
<file path=[Content_Types].xml><?xml version="1.0" encoding="utf-8"?>
<Types xmlns="http://schemas.openxmlformats.org/package/2006/content-types">
  <Default Extension="xml" ContentType="application/xml"/>
  <Default Extension="xlsx" ContentType="application/vnd.openxmlformats-officedocument.spreadsheetml.sheet"/>
  <Default Extension="bin" ContentType="application/vnd.openxmlformats-officedocument.oleObject"/>
  <Default Extension="jpeg" ContentType="image/jpeg"/>
  <Default Extension="JPG" ContentType="image/.jpg"/>
  <Default Extension="png" ContentType="image/png"/>
  <Default Extension="emf" ContentType="image/x-emf"/>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style1.xml" ContentType="application/vnd.ms-office.chartstyle+xml"/>
  <Override PartName="/word/charts/style2.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FF5A0DA">
      <w:pPr>
        <w:snapToGrid w:val="0"/>
        <w:jc w:val="center"/>
        <w:rPr>
          <w:rFonts w:ascii="Times New Roman" w:hAnsi="Times New Roman" w:eastAsia="隶书" w:cs="Times New Roman"/>
          <w:sz w:val="52"/>
          <w:szCs w:val="52"/>
        </w:rPr>
      </w:pPr>
    </w:p>
    <w:p w14:paraId="6A75A4C3">
      <w:pPr>
        <w:snapToGrid w:val="0"/>
        <w:jc w:val="center"/>
        <w:rPr>
          <w:rFonts w:ascii="Times New Roman" w:hAnsi="Times New Roman" w:eastAsia="隶书" w:cs="Times New Roman"/>
          <w:sz w:val="52"/>
          <w:szCs w:val="52"/>
        </w:rPr>
      </w:pPr>
    </w:p>
    <w:p w14:paraId="48CEA567">
      <w:pPr>
        <w:snapToGrid w:val="0"/>
        <w:jc w:val="center"/>
        <w:rPr>
          <w:rFonts w:hint="eastAsia" w:ascii="Times New Roman" w:hAnsi="Times New Roman" w:eastAsia="隶书" w:cs="Times New Roman"/>
          <w:sz w:val="52"/>
          <w:szCs w:val="52"/>
        </w:rPr>
      </w:pPr>
    </w:p>
    <w:p w14:paraId="075387DC">
      <w:pPr>
        <w:snapToGrid w:val="0"/>
        <w:jc w:val="center"/>
        <w:rPr>
          <w:rFonts w:hint="eastAsia" w:ascii="Times New Roman" w:hAnsi="Times New Roman" w:eastAsia="隶书" w:cs="Times New Roman"/>
          <w:sz w:val="52"/>
          <w:szCs w:val="52"/>
          <w:lang w:eastAsia="zh-CN"/>
        </w:rPr>
      </w:pPr>
      <w:r>
        <w:rPr>
          <w:rFonts w:hint="eastAsia" w:ascii="Times New Roman" w:hAnsi="Times New Roman" w:eastAsia="隶书" w:cs="Times New Roman"/>
          <w:sz w:val="52"/>
          <w:szCs w:val="52"/>
          <w:lang w:eastAsia="zh-CN"/>
        </w:rPr>
        <w:t>本溪玉麒麟新材料有限公司超低排放技改项目</w:t>
      </w:r>
    </w:p>
    <w:p w14:paraId="7C6EF596">
      <w:pPr>
        <w:jc w:val="center"/>
        <w:rPr>
          <w:rFonts w:ascii="Times New Roman" w:hAnsi="Times New Roman" w:eastAsia="隶书" w:cs="Times New Roman"/>
          <w:sz w:val="84"/>
          <w:szCs w:val="84"/>
          <w14:shadow w14:blurRad="50800" w14:dist="38100" w14:dir="2700000" w14:sx="100000" w14:sy="100000" w14:kx="0" w14:ky="0" w14:algn="tl">
            <w14:srgbClr w14:val="000000">
              <w14:alpha w14:val="60000"/>
            </w14:srgbClr>
          </w14:shadow>
        </w:rPr>
      </w:pPr>
      <w:r>
        <w:rPr>
          <w:rFonts w:ascii="Times New Roman" w:hAnsi="Times New Roman" w:eastAsia="隶书" w:cs="Times New Roman"/>
          <w:sz w:val="84"/>
          <w:szCs w:val="84"/>
          <w14:shadow w14:blurRad="50800" w14:dist="38100" w14:dir="2700000" w14:sx="100000" w14:sy="100000" w14:kx="0" w14:ky="0" w14:algn="tl">
            <w14:srgbClr w14:val="000000">
              <w14:alpha w14:val="60000"/>
            </w14:srgbClr>
          </w14:shadow>
        </w:rPr>
        <w:t>环境影响报告书</w:t>
      </w:r>
    </w:p>
    <w:p w14:paraId="4A1A9728">
      <w:pPr>
        <w:jc w:val="center"/>
        <w:rPr>
          <w:rFonts w:ascii="Times New Roman" w:hAnsi="Times New Roman" w:eastAsia="隶书" w:cs="Times New Roman"/>
          <w:sz w:val="30"/>
          <w:szCs w:val="30"/>
          <w14:shadow w14:blurRad="50800" w14:dist="38100" w14:dir="2700000" w14:sx="100000" w14:sy="100000" w14:kx="0" w14:ky="0" w14:algn="tl">
            <w14:srgbClr w14:val="000000">
              <w14:alpha w14:val="60000"/>
            </w14:srgbClr>
          </w14:shadow>
        </w:rPr>
      </w:pPr>
      <w:r>
        <w:rPr>
          <w:rFonts w:ascii="Times New Roman" w:hAnsi="Times New Roman" w:eastAsia="隶书" w:cs="Times New Roman"/>
          <w:sz w:val="30"/>
          <w:szCs w:val="30"/>
          <w14:shadow w14:blurRad="50800" w14:dist="38100" w14:dir="2700000" w14:sx="100000" w14:sy="100000" w14:kx="0" w14:ky="0" w14:algn="tl">
            <w14:srgbClr w14:val="000000">
              <w14:alpha w14:val="60000"/>
            </w14:srgbClr>
          </w14:shadow>
        </w:rPr>
        <w:t>（</w:t>
      </w:r>
      <w:r>
        <w:rPr>
          <w:rFonts w:hint="eastAsia" w:ascii="Times New Roman" w:hAnsi="Times New Roman" w:eastAsia="隶书" w:cs="Times New Roman"/>
          <w:sz w:val="30"/>
          <w:szCs w:val="30"/>
          <w14:shadow w14:blurRad="50800" w14:dist="38100" w14:dir="2700000" w14:sx="100000" w14:sy="100000" w14:kx="0" w14:ky="0" w14:algn="tl">
            <w14:srgbClr w14:val="000000">
              <w14:alpha w14:val="60000"/>
            </w14:srgbClr>
          </w14:shadow>
        </w:rPr>
        <w:t>送审</w:t>
      </w:r>
      <w:r>
        <w:rPr>
          <w:rFonts w:ascii="Times New Roman" w:hAnsi="Times New Roman" w:eastAsia="隶书" w:cs="Times New Roman"/>
          <w:sz w:val="30"/>
          <w:szCs w:val="30"/>
          <w14:shadow w14:blurRad="50800" w14:dist="38100" w14:dir="2700000" w14:sx="100000" w14:sy="100000" w14:kx="0" w14:ky="0" w14:algn="tl">
            <w14:srgbClr w14:val="000000">
              <w14:alpha w14:val="60000"/>
            </w14:srgbClr>
          </w14:shadow>
        </w:rPr>
        <w:t>版）</w:t>
      </w:r>
    </w:p>
    <w:p w14:paraId="4352B7AB">
      <w:pPr>
        <w:rPr>
          <w:rFonts w:ascii="Times New Roman" w:hAnsi="Times New Roman" w:eastAsia="阴影黑体-10Point" w:cs="Times New Roman"/>
          <w:b/>
          <w:bCs/>
          <w:sz w:val="52"/>
          <w:szCs w:val="22"/>
          <w14:shadow w14:blurRad="50800" w14:dist="38100" w14:dir="2700000" w14:sx="100000" w14:sy="100000" w14:kx="0" w14:ky="0" w14:algn="tl">
            <w14:srgbClr w14:val="000000">
              <w14:alpha w14:val="60000"/>
            </w14:srgbClr>
          </w14:shadow>
        </w:rPr>
      </w:pPr>
    </w:p>
    <w:p w14:paraId="233687EC">
      <w:pPr>
        <w:rPr>
          <w:rFonts w:ascii="Times New Roman" w:hAnsi="Times New Roman" w:eastAsia="阴影黑体-10Point" w:cs="Times New Roman"/>
          <w:b/>
          <w:bCs/>
          <w:sz w:val="21"/>
          <w14:shadow w14:blurRad="50800" w14:dist="38100" w14:dir="2700000" w14:sx="100000" w14:sy="100000" w14:kx="0" w14:ky="0" w14:algn="tl">
            <w14:srgbClr w14:val="000000">
              <w14:alpha w14:val="60000"/>
            </w14:srgbClr>
          </w14:shadow>
        </w:rPr>
      </w:pPr>
    </w:p>
    <w:p w14:paraId="16343FD5">
      <w:pPr>
        <w:rPr>
          <w:rFonts w:ascii="Times New Roman" w:hAnsi="Times New Roman" w:eastAsia="阴影黑体-10Point" w:cs="Times New Roman"/>
          <w:b/>
          <w:bCs/>
          <w14:shadow w14:blurRad="50800" w14:dist="38100" w14:dir="2700000" w14:sx="100000" w14:sy="100000" w14:kx="0" w14:ky="0" w14:algn="tl">
            <w14:srgbClr w14:val="000000">
              <w14:alpha w14:val="60000"/>
            </w14:srgbClr>
          </w14:shadow>
        </w:rPr>
      </w:pPr>
    </w:p>
    <w:p w14:paraId="7B6B51B5">
      <w:pPr>
        <w:rPr>
          <w:rFonts w:ascii="Times New Roman" w:hAnsi="Times New Roman" w:eastAsia="阴影黑体-10Point" w:cs="Times New Roman"/>
          <w:b/>
          <w:bCs/>
          <w:sz w:val="32"/>
          <w:szCs w:val="32"/>
          <w14:shadow w14:blurRad="50800" w14:dist="38100" w14:dir="2700000" w14:sx="100000" w14:sy="100000" w14:kx="0" w14:ky="0" w14:algn="tl">
            <w14:srgbClr w14:val="000000">
              <w14:alpha w14:val="60000"/>
            </w14:srgbClr>
          </w14:shadow>
        </w:rPr>
      </w:pPr>
    </w:p>
    <w:p w14:paraId="32B62C87">
      <w:pPr>
        <w:rPr>
          <w:rFonts w:ascii="Times New Roman" w:hAnsi="Times New Roman" w:eastAsia="阴影黑体-10Point" w:cs="Times New Roman"/>
          <w:b/>
          <w:bCs/>
          <w:sz w:val="32"/>
          <w:szCs w:val="32"/>
          <w14:shadow w14:blurRad="50800" w14:dist="38100" w14:dir="2700000" w14:sx="100000" w14:sy="100000" w14:kx="0" w14:ky="0" w14:algn="tl">
            <w14:srgbClr w14:val="000000">
              <w14:alpha w14:val="60000"/>
            </w14:srgbClr>
          </w14:shadow>
        </w:rPr>
      </w:pPr>
    </w:p>
    <w:p w14:paraId="121137C9">
      <w:pPr>
        <w:rPr>
          <w:rFonts w:ascii="Times New Roman" w:hAnsi="Times New Roman" w:eastAsia="阴影黑体-10Point" w:cs="Times New Roman"/>
          <w:b/>
          <w:bCs/>
          <w:sz w:val="32"/>
          <w:szCs w:val="32"/>
          <w14:shadow w14:blurRad="50800" w14:dist="38100" w14:dir="2700000" w14:sx="100000" w14:sy="100000" w14:kx="0" w14:ky="0" w14:algn="tl">
            <w14:srgbClr w14:val="000000">
              <w14:alpha w14:val="60000"/>
            </w14:srgbClr>
          </w14:shadow>
        </w:rPr>
      </w:pPr>
    </w:p>
    <w:p w14:paraId="1AD5CEF0">
      <w:pPr>
        <w:rPr>
          <w:rFonts w:hint="eastAsia" w:ascii="Times New Roman" w:hAnsi="Times New Roman" w:eastAsia="阴影黑体-10Point" w:cs="Times New Roman"/>
          <w:b/>
          <w:bCs/>
          <w:sz w:val="32"/>
          <w:szCs w:val="32"/>
          <w14:shadow w14:blurRad="50800" w14:dist="38100" w14:dir="2700000" w14:sx="100000" w14:sy="100000" w14:kx="0" w14:ky="0" w14:algn="tl">
            <w14:srgbClr w14:val="000000">
              <w14:alpha w14:val="60000"/>
            </w14:srgbClr>
          </w14:shadow>
        </w:rPr>
      </w:pPr>
    </w:p>
    <w:p w14:paraId="2D9D9B90">
      <w:pPr>
        <w:rPr>
          <w:rFonts w:ascii="Times New Roman" w:hAnsi="Times New Roman" w:eastAsia="阴影黑体-10Point" w:cs="Times New Roman"/>
          <w:b/>
          <w:bCs/>
          <w:sz w:val="32"/>
          <w:szCs w:val="32"/>
          <w14:shadow w14:blurRad="50800" w14:dist="38100" w14:dir="2700000" w14:sx="100000" w14:sy="100000" w14:kx="0" w14:ky="0" w14:algn="tl">
            <w14:srgbClr w14:val="000000">
              <w14:alpha w14:val="60000"/>
            </w14:srgbClr>
          </w14:shadow>
        </w:rPr>
      </w:pPr>
    </w:p>
    <w:p w14:paraId="7C6AF41C">
      <w:pPr>
        <w:rPr>
          <w:rFonts w:ascii="Times New Roman" w:hAnsi="Times New Roman" w:eastAsia="阴影黑体-10Point" w:cs="Times New Roman"/>
          <w:b/>
          <w:bCs/>
          <w:sz w:val="32"/>
          <w:szCs w:val="32"/>
          <w14:shadow w14:blurRad="50800" w14:dist="38100" w14:dir="2700000" w14:sx="100000" w14:sy="100000" w14:kx="0" w14:ky="0" w14:algn="tl">
            <w14:srgbClr w14:val="000000">
              <w14:alpha w14:val="60000"/>
            </w14:srgbClr>
          </w14:shadow>
        </w:rPr>
      </w:pPr>
    </w:p>
    <w:p w14:paraId="2B9AA6F4">
      <w:pPr>
        <w:rPr>
          <w:rFonts w:ascii="Times New Roman" w:hAnsi="Times New Roman" w:eastAsia="阴影黑体-10Point" w:cs="Times New Roman"/>
          <w:b/>
          <w:bCs/>
          <w:sz w:val="32"/>
          <w:szCs w:val="32"/>
          <w14:shadow w14:blurRad="50800" w14:dist="38100" w14:dir="2700000" w14:sx="100000" w14:sy="100000" w14:kx="0" w14:ky="0" w14:algn="tl">
            <w14:srgbClr w14:val="000000">
              <w14:alpha w14:val="60000"/>
            </w14:srgbClr>
          </w14:shadow>
        </w:rPr>
      </w:pPr>
    </w:p>
    <w:p w14:paraId="431602B2">
      <w:pPr>
        <w:rPr>
          <w:rFonts w:hint="eastAsia" w:ascii="Times New Roman" w:hAnsi="Times New Roman" w:eastAsia="阴影黑体-10Point" w:cs="Times New Roman"/>
          <w:b/>
          <w:bCs/>
          <w:sz w:val="32"/>
          <w:szCs w:val="32"/>
          <w14:shadow w14:blurRad="50800" w14:dist="38100" w14:dir="2700000" w14:sx="100000" w14:sy="100000" w14:kx="0" w14:ky="0" w14:algn="tl">
            <w14:srgbClr w14:val="000000">
              <w14:alpha w14:val="60000"/>
            </w14:srgbClr>
          </w14:shadow>
        </w:rPr>
      </w:pPr>
    </w:p>
    <w:p w14:paraId="782D4C84">
      <w:pPr>
        <w:jc w:val="center"/>
        <w:rPr>
          <w:rFonts w:hint="eastAsia" w:ascii="Times New Roman" w:hAnsi="Times New Roman" w:eastAsia="隶书" w:cs="Times New Roman"/>
          <w:sz w:val="36"/>
          <w:lang w:eastAsia="zh-CN"/>
        </w:rPr>
      </w:pPr>
      <w:r>
        <w:rPr>
          <w:rFonts w:hint="eastAsia" w:ascii="Times New Roman" w:hAnsi="Times New Roman" w:eastAsia="隶书" w:cs="Times New Roman"/>
          <w:sz w:val="36"/>
        </w:rPr>
        <w:t>建设单位：</w:t>
      </w:r>
      <w:r>
        <w:rPr>
          <w:rFonts w:hint="eastAsia" w:ascii="Times New Roman" w:hAnsi="Times New Roman" w:eastAsia="隶书" w:cs="Times New Roman"/>
          <w:sz w:val="36"/>
          <w:lang w:eastAsia="zh-CN"/>
        </w:rPr>
        <w:t>本溪玉麒麟新材料有限公司</w:t>
      </w:r>
    </w:p>
    <w:p w14:paraId="789EAD1A">
      <w:pPr>
        <w:jc w:val="center"/>
        <w:rPr>
          <w:rFonts w:hint="eastAsia" w:ascii="Times New Roman" w:hAnsi="Times New Roman" w:eastAsia="隶书" w:cs="Times New Roman"/>
          <w:sz w:val="36"/>
          <w:lang w:eastAsia="zh-CN"/>
        </w:rPr>
      </w:pPr>
      <w:r>
        <w:rPr>
          <w:rFonts w:hint="eastAsia" w:ascii="Times New Roman" w:hAnsi="Times New Roman" w:eastAsia="隶书" w:cs="Times New Roman"/>
          <w:sz w:val="36"/>
        </w:rPr>
        <w:t>评价单位：</w:t>
      </w:r>
      <w:r>
        <w:rPr>
          <w:rFonts w:hint="eastAsia" w:ascii="Times New Roman" w:hAnsi="Times New Roman" w:eastAsia="隶书" w:cs="Times New Roman"/>
          <w:sz w:val="36"/>
          <w:lang w:eastAsia="zh-CN"/>
        </w:rPr>
        <w:t>辽宁瑞恺技术咨询服务有限公司</w:t>
      </w:r>
    </w:p>
    <w:p w14:paraId="163C60E0">
      <w:pPr>
        <w:jc w:val="center"/>
        <w:rPr>
          <w:rFonts w:hint="eastAsia" w:ascii="Times New Roman" w:hAnsi="Times New Roman" w:eastAsia="隶书" w:cs="Times New Roman"/>
          <w:sz w:val="36"/>
          <w:szCs w:val="22"/>
        </w:rPr>
      </w:pPr>
    </w:p>
    <w:p w14:paraId="1F0DBF50">
      <w:pPr>
        <w:jc w:val="center"/>
        <w:rPr>
          <w:rFonts w:ascii="Times New Roman" w:hAnsi="Times New Roman" w:cs="Times New Roman"/>
          <w:sz w:val="21"/>
          <w:szCs w:val="22"/>
        </w:rPr>
      </w:pPr>
      <w:r>
        <w:rPr>
          <w:rFonts w:ascii="Times New Roman" w:hAnsi="Times New Roman" w:cs="Times New Roman"/>
          <w:b/>
          <w:sz w:val="32"/>
        </w:rPr>
        <w:t>20</w:t>
      </w:r>
      <w:r>
        <w:rPr>
          <w:rFonts w:hint="eastAsia" w:ascii="Times New Roman" w:hAnsi="Times New Roman" w:cs="Times New Roman"/>
          <w:b/>
          <w:sz w:val="32"/>
          <w:lang w:val="en-US" w:eastAsia="zh-CN"/>
        </w:rPr>
        <w:t>26</w:t>
      </w:r>
      <w:r>
        <w:rPr>
          <w:rFonts w:ascii="Times New Roman" w:hAnsi="Times New Roman" w:cs="Times New Roman"/>
          <w:b/>
          <w:sz w:val="32"/>
        </w:rPr>
        <w:t>年</w:t>
      </w:r>
      <w:r>
        <w:rPr>
          <w:rFonts w:hint="eastAsia" w:ascii="Times New Roman" w:hAnsi="Times New Roman" w:cs="Times New Roman"/>
          <w:b/>
          <w:sz w:val="32"/>
          <w:lang w:val="en-US" w:eastAsia="zh-CN"/>
        </w:rPr>
        <w:t>5</w:t>
      </w:r>
      <w:r>
        <w:rPr>
          <w:rFonts w:ascii="Times New Roman" w:hAnsi="Times New Roman" w:cs="Times New Roman"/>
          <w:b/>
          <w:sz w:val="32"/>
        </w:rPr>
        <w:t>月</w:t>
      </w:r>
    </w:p>
    <w:p w14:paraId="23645AA3">
      <w:pPr>
        <w:pStyle w:val="125"/>
        <w:rPr>
          <w:rFonts w:ascii="Times New Roman" w:hAnsi="Times New Roman" w:cs="Times New Roman"/>
        </w:rPr>
        <w:sectPr>
          <w:headerReference r:id="rId5" w:type="first"/>
          <w:headerReference r:id="rId3" w:type="default"/>
          <w:headerReference r:id="rId4" w:type="even"/>
          <w:footerReference r:id="rId6" w:type="even"/>
          <w:pgSz w:w="11907" w:h="16840"/>
          <w:pgMar w:top="1701" w:right="1701" w:bottom="1701" w:left="1701" w:header="851" w:footer="1077" w:gutter="0"/>
          <w:pgBorders w:offsetFrom="page">
            <w:top w:val="none" w:sz="0" w:space="0"/>
            <w:left w:val="none" w:sz="0" w:space="0"/>
            <w:bottom w:val="none" w:sz="0" w:space="0"/>
            <w:right w:val="none" w:sz="0" w:space="0"/>
          </w:pgBorders>
          <w:pgNumType w:fmt="upperRoman" w:start="1"/>
          <w:cols w:space="720" w:num="1"/>
          <w:docGrid w:type="lines" w:linePitch="479" w:charSpace="0"/>
        </w:sectPr>
      </w:pPr>
    </w:p>
    <w:p w14:paraId="067E7502">
      <w:pPr>
        <w:pStyle w:val="125"/>
        <w:rPr>
          <w:rFonts w:ascii="Times New Roman" w:hAnsi="Times New Roman" w:cs="Times New Roman"/>
        </w:rPr>
      </w:pPr>
      <w:r>
        <w:rPr>
          <w:rFonts w:ascii="Times New Roman" w:hAnsi="Times New Roman" w:cs="Times New Roman"/>
        </w:rPr>
        <w:t>目  录</w:t>
      </w:r>
    </w:p>
    <w:p w14:paraId="22757D5F">
      <w:pPr>
        <w:pStyle w:val="37"/>
        <w:tabs>
          <w:tab w:val="right" w:leader="dot" w:pos="8505"/>
        </w:tabs>
      </w:pPr>
      <w:r>
        <w:rPr>
          <w:rFonts w:ascii="Times New Roman" w:hAnsi="Times New Roman" w:cs="Times New Roman"/>
          <w:b w:val="0"/>
          <w:sz w:val="24"/>
          <w:szCs w:val="24"/>
        </w:rPr>
        <w:fldChar w:fldCharType="begin"/>
      </w:r>
      <w:r>
        <w:rPr>
          <w:rFonts w:ascii="Times New Roman" w:hAnsi="Times New Roman" w:cs="Times New Roman"/>
          <w:b w:val="0"/>
          <w:sz w:val="24"/>
          <w:szCs w:val="24"/>
        </w:rPr>
        <w:instrText xml:space="preserve"> TOC \o "1-3" \h \z \u </w:instrText>
      </w:r>
      <w:r>
        <w:rPr>
          <w:rFonts w:ascii="Times New Roman" w:hAnsi="Times New Roman" w:cs="Times New Roman"/>
          <w:b w:val="0"/>
          <w:sz w:val="24"/>
          <w:szCs w:val="24"/>
        </w:rPr>
        <w:fldChar w:fldCharType="separate"/>
      </w:r>
      <w:r>
        <w:rPr>
          <w:rFonts w:ascii="Times New Roman" w:hAnsi="Times New Roman" w:cs="Times New Roman"/>
          <w:szCs w:val="24"/>
        </w:rPr>
        <w:fldChar w:fldCharType="begin"/>
      </w:r>
      <w:r>
        <w:rPr>
          <w:rFonts w:ascii="Times New Roman" w:hAnsi="Times New Roman" w:cs="Times New Roman"/>
          <w:szCs w:val="24"/>
        </w:rPr>
        <w:instrText xml:space="preserve"> HYPERLINK \l _Toc22128 </w:instrText>
      </w:r>
      <w:r>
        <w:rPr>
          <w:rFonts w:ascii="Times New Roman" w:hAnsi="Times New Roman" w:cs="Times New Roman"/>
          <w:szCs w:val="24"/>
        </w:rPr>
        <w:fldChar w:fldCharType="separate"/>
      </w:r>
      <w:r>
        <w:t>概述</w:t>
      </w:r>
      <w:r>
        <w:tab/>
      </w:r>
      <w:r>
        <w:fldChar w:fldCharType="begin"/>
      </w:r>
      <w:r>
        <w:instrText xml:space="preserve"> PAGEREF _Toc22128 \h </w:instrText>
      </w:r>
      <w:r>
        <w:fldChar w:fldCharType="separate"/>
      </w:r>
      <w:r>
        <w:t>1</w:t>
      </w:r>
      <w:r>
        <w:fldChar w:fldCharType="end"/>
      </w:r>
      <w:r>
        <w:rPr>
          <w:rFonts w:ascii="Times New Roman" w:hAnsi="Times New Roman" w:cs="Times New Roman"/>
          <w:szCs w:val="24"/>
        </w:rPr>
        <w:fldChar w:fldCharType="end"/>
      </w:r>
    </w:p>
    <w:p w14:paraId="58A29D5C">
      <w:pPr>
        <w:pStyle w:val="37"/>
        <w:tabs>
          <w:tab w:val="right" w:leader="dot" w:pos="8505"/>
        </w:tabs>
      </w:pPr>
      <w:r>
        <w:rPr>
          <w:rFonts w:ascii="Times New Roman" w:hAnsi="Times New Roman" w:cs="Times New Roman"/>
        </w:rPr>
        <w:fldChar w:fldCharType="begin"/>
      </w:r>
      <w:r>
        <w:rPr>
          <w:rFonts w:ascii="Times New Roman" w:hAnsi="Times New Roman" w:cs="Times New Roman"/>
        </w:rPr>
        <w:instrText xml:space="preserve"> HYPERLINK \l _Toc29885 </w:instrText>
      </w:r>
      <w:r>
        <w:rPr>
          <w:rFonts w:ascii="Times New Roman" w:hAnsi="Times New Roman" w:cs="Times New Roman"/>
        </w:rPr>
        <w:fldChar w:fldCharType="separate"/>
      </w:r>
      <w:r>
        <w:t>1. 总则</w:t>
      </w:r>
      <w:r>
        <w:tab/>
      </w:r>
      <w:r>
        <w:fldChar w:fldCharType="begin"/>
      </w:r>
      <w:r>
        <w:instrText xml:space="preserve"> PAGEREF _Toc29885 \h </w:instrText>
      </w:r>
      <w:r>
        <w:fldChar w:fldCharType="separate"/>
      </w:r>
      <w:r>
        <w:t>5</w:t>
      </w:r>
      <w:r>
        <w:fldChar w:fldCharType="end"/>
      </w:r>
      <w:r>
        <w:rPr>
          <w:rFonts w:ascii="Times New Roman" w:hAnsi="Times New Roman" w:cs="Times New Roman"/>
        </w:rPr>
        <w:fldChar w:fldCharType="end"/>
      </w:r>
    </w:p>
    <w:p w14:paraId="0DD88BAC">
      <w:pPr>
        <w:pStyle w:val="46"/>
        <w:tabs>
          <w:tab w:val="right" w:leader="dot" w:pos="8505"/>
        </w:tabs>
      </w:pPr>
      <w:r>
        <w:rPr>
          <w:rFonts w:ascii="Times New Roman" w:hAnsi="Times New Roman" w:cs="Times New Roman"/>
        </w:rPr>
        <w:fldChar w:fldCharType="begin"/>
      </w:r>
      <w:r>
        <w:rPr>
          <w:rFonts w:ascii="Times New Roman" w:hAnsi="Times New Roman" w:cs="Times New Roman"/>
        </w:rPr>
        <w:instrText xml:space="preserve"> HYPERLINK \l _Toc20188 </w:instrText>
      </w:r>
      <w:r>
        <w:rPr>
          <w:rFonts w:ascii="Times New Roman" w:hAnsi="Times New Roman" w:cs="Times New Roman"/>
        </w:rPr>
        <w:fldChar w:fldCharType="separate"/>
      </w:r>
      <w:r>
        <w:t>1.1 编制依据</w:t>
      </w:r>
      <w:r>
        <w:tab/>
      </w:r>
      <w:r>
        <w:fldChar w:fldCharType="begin"/>
      </w:r>
      <w:r>
        <w:instrText xml:space="preserve"> PAGEREF _Toc20188 \h </w:instrText>
      </w:r>
      <w:r>
        <w:fldChar w:fldCharType="separate"/>
      </w:r>
      <w:r>
        <w:t>5</w:t>
      </w:r>
      <w:r>
        <w:fldChar w:fldCharType="end"/>
      </w:r>
      <w:r>
        <w:rPr>
          <w:rFonts w:ascii="Times New Roman" w:hAnsi="Times New Roman" w:cs="Times New Roman"/>
        </w:rPr>
        <w:fldChar w:fldCharType="end"/>
      </w:r>
    </w:p>
    <w:p w14:paraId="3AB6A0B8">
      <w:pPr>
        <w:pStyle w:val="30"/>
        <w:tabs>
          <w:tab w:val="right" w:leader="dot" w:pos="8505"/>
        </w:tabs>
      </w:pPr>
      <w:r>
        <w:rPr>
          <w:rFonts w:ascii="Times New Roman" w:hAnsi="Times New Roman" w:cs="Times New Roman"/>
        </w:rPr>
        <w:fldChar w:fldCharType="begin"/>
      </w:r>
      <w:r>
        <w:rPr>
          <w:rFonts w:ascii="Times New Roman" w:hAnsi="Times New Roman" w:cs="Times New Roman"/>
        </w:rPr>
        <w:instrText xml:space="preserve"> HYPERLINK \l _Toc29406 </w:instrText>
      </w:r>
      <w:r>
        <w:rPr>
          <w:rFonts w:ascii="Times New Roman" w:hAnsi="Times New Roman" w:cs="Times New Roman"/>
        </w:rPr>
        <w:fldChar w:fldCharType="separate"/>
      </w:r>
      <w:r>
        <w:t>1.1.1 法律法规</w:t>
      </w:r>
      <w:r>
        <w:tab/>
      </w:r>
      <w:r>
        <w:fldChar w:fldCharType="begin"/>
      </w:r>
      <w:r>
        <w:instrText xml:space="preserve"> PAGEREF _Toc29406 \h </w:instrText>
      </w:r>
      <w:r>
        <w:fldChar w:fldCharType="separate"/>
      </w:r>
      <w:r>
        <w:t>5</w:t>
      </w:r>
      <w:r>
        <w:fldChar w:fldCharType="end"/>
      </w:r>
      <w:r>
        <w:rPr>
          <w:rFonts w:ascii="Times New Roman" w:hAnsi="Times New Roman" w:cs="Times New Roman"/>
        </w:rPr>
        <w:fldChar w:fldCharType="end"/>
      </w:r>
    </w:p>
    <w:p w14:paraId="170C8895">
      <w:pPr>
        <w:pStyle w:val="30"/>
        <w:tabs>
          <w:tab w:val="right" w:leader="dot" w:pos="8505"/>
        </w:tabs>
      </w:pPr>
      <w:r>
        <w:rPr>
          <w:rFonts w:ascii="Times New Roman" w:hAnsi="Times New Roman" w:cs="Times New Roman"/>
        </w:rPr>
        <w:fldChar w:fldCharType="begin"/>
      </w:r>
      <w:r>
        <w:rPr>
          <w:rFonts w:ascii="Times New Roman" w:hAnsi="Times New Roman" w:cs="Times New Roman"/>
        </w:rPr>
        <w:instrText xml:space="preserve"> HYPERLINK \l _Toc15209 </w:instrText>
      </w:r>
      <w:r>
        <w:rPr>
          <w:rFonts w:ascii="Times New Roman" w:hAnsi="Times New Roman" w:cs="Times New Roman"/>
        </w:rPr>
        <w:fldChar w:fldCharType="separate"/>
      </w:r>
      <w:r>
        <w:t>1.1.2 技术导则及技术指南</w:t>
      </w:r>
      <w:r>
        <w:tab/>
      </w:r>
      <w:r>
        <w:fldChar w:fldCharType="begin"/>
      </w:r>
      <w:r>
        <w:instrText xml:space="preserve"> PAGEREF _Toc15209 \h </w:instrText>
      </w:r>
      <w:r>
        <w:fldChar w:fldCharType="separate"/>
      </w:r>
      <w:r>
        <w:t>8</w:t>
      </w:r>
      <w:r>
        <w:fldChar w:fldCharType="end"/>
      </w:r>
      <w:r>
        <w:rPr>
          <w:rFonts w:ascii="Times New Roman" w:hAnsi="Times New Roman" w:cs="Times New Roman"/>
        </w:rPr>
        <w:fldChar w:fldCharType="end"/>
      </w:r>
    </w:p>
    <w:p w14:paraId="02FAF32B">
      <w:pPr>
        <w:pStyle w:val="30"/>
        <w:tabs>
          <w:tab w:val="right" w:leader="dot" w:pos="8505"/>
        </w:tabs>
      </w:pPr>
      <w:r>
        <w:rPr>
          <w:rFonts w:ascii="Times New Roman" w:hAnsi="Times New Roman" w:cs="Times New Roman"/>
        </w:rPr>
        <w:fldChar w:fldCharType="begin"/>
      </w:r>
      <w:r>
        <w:rPr>
          <w:rFonts w:ascii="Times New Roman" w:hAnsi="Times New Roman" w:cs="Times New Roman"/>
        </w:rPr>
        <w:instrText xml:space="preserve"> HYPERLINK \l _Toc8450 </w:instrText>
      </w:r>
      <w:r>
        <w:rPr>
          <w:rFonts w:ascii="Times New Roman" w:hAnsi="Times New Roman" w:cs="Times New Roman"/>
        </w:rPr>
        <w:fldChar w:fldCharType="separate"/>
      </w:r>
      <w:r>
        <w:t>1.1.3 规范文件及相关名录</w:t>
      </w:r>
      <w:r>
        <w:tab/>
      </w:r>
      <w:r>
        <w:fldChar w:fldCharType="begin"/>
      </w:r>
      <w:r>
        <w:instrText xml:space="preserve"> PAGEREF _Toc8450 \h </w:instrText>
      </w:r>
      <w:r>
        <w:fldChar w:fldCharType="separate"/>
      </w:r>
      <w:r>
        <w:t>9</w:t>
      </w:r>
      <w:r>
        <w:fldChar w:fldCharType="end"/>
      </w:r>
      <w:r>
        <w:rPr>
          <w:rFonts w:ascii="Times New Roman" w:hAnsi="Times New Roman" w:cs="Times New Roman"/>
        </w:rPr>
        <w:fldChar w:fldCharType="end"/>
      </w:r>
    </w:p>
    <w:p w14:paraId="71B560C5">
      <w:pPr>
        <w:pStyle w:val="30"/>
        <w:tabs>
          <w:tab w:val="right" w:leader="dot" w:pos="8505"/>
        </w:tabs>
      </w:pPr>
      <w:r>
        <w:rPr>
          <w:rFonts w:ascii="Times New Roman" w:hAnsi="Times New Roman" w:cs="Times New Roman"/>
        </w:rPr>
        <w:fldChar w:fldCharType="begin"/>
      </w:r>
      <w:r>
        <w:rPr>
          <w:rFonts w:ascii="Times New Roman" w:hAnsi="Times New Roman" w:cs="Times New Roman"/>
        </w:rPr>
        <w:instrText xml:space="preserve"> HYPERLINK \l _Toc23485 </w:instrText>
      </w:r>
      <w:r>
        <w:rPr>
          <w:rFonts w:ascii="Times New Roman" w:hAnsi="Times New Roman" w:cs="Times New Roman"/>
        </w:rPr>
        <w:fldChar w:fldCharType="separate"/>
      </w:r>
      <w:r>
        <w:t>1.1.4 规划及项目相关文件</w:t>
      </w:r>
      <w:r>
        <w:tab/>
      </w:r>
      <w:r>
        <w:fldChar w:fldCharType="begin"/>
      </w:r>
      <w:r>
        <w:instrText xml:space="preserve"> PAGEREF _Toc23485 \h </w:instrText>
      </w:r>
      <w:r>
        <w:fldChar w:fldCharType="separate"/>
      </w:r>
      <w:r>
        <w:t>9</w:t>
      </w:r>
      <w:r>
        <w:fldChar w:fldCharType="end"/>
      </w:r>
      <w:r>
        <w:rPr>
          <w:rFonts w:ascii="Times New Roman" w:hAnsi="Times New Roman" w:cs="Times New Roman"/>
        </w:rPr>
        <w:fldChar w:fldCharType="end"/>
      </w:r>
    </w:p>
    <w:p w14:paraId="36005AE1">
      <w:pPr>
        <w:pStyle w:val="46"/>
        <w:tabs>
          <w:tab w:val="right" w:leader="dot" w:pos="8505"/>
        </w:tabs>
      </w:pPr>
      <w:r>
        <w:rPr>
          <w:rFonts w:ascii="Times New Roman" w:hAnsi="Times New Roman" w:cs="Times New Roman"/>
        </w:rPr>
        <w:fldChar w:fldCharType="begin"/>
      </w:r>
      <w:r>
        <w:rPr>
          <w:rFonts w:ascii="Times New Roman" w:hAnsi="Times New Roman" w:cs="Times New Roman"/>
        </w:rPr>
        <w:instrText xml:space="preserve"> HYPERLINK \l _Toc11625 </w:instrText>
      </w:r>
      <w:r>
        <w:rPr>
          <w:rFonts w:ascii="Times New Roman" w:hAnsi="Times New Roman" w:cs="Times New Roman"/>
        </w:rPr>
        <w:fldChar w:fldCharType="separate"/>
      </w:r>
      <w:r>
        <w:rPr>
          <w:rFonts w:eastAsia="华文新魏"/>
        </w:rPr>
        <w:t xml:space="preserve">1.2 </w:t>
      </w:r>
      <w:r>
        <w:t>环境影响因素识别及评价因子</w:t>
      </w:r>
      <w:r>
        <w:tab/>
      </w:r>
      <w:r>
        <w:fldChar w:fldCharType="begin"/>
      </w:r>
      <w:r>
        <w:instrText xml:space="preserve"> PAGEREF _Toc11625 \h </w:instrText>
      </w:r>
      <w:r>
        <w:fldChar w:fldCharType="separate"/>
      </w:r>
      <w:r>
        <w:t>10</w:t>
      </w:r>
      <w:r>
        <w:fldChar w:fldCharType="end"/>
      </w:r>
      <w:r>
        <w:rPr>
          <w:rFonts w:ascii="Times New Roman" w:hAnsi="Times New Roman" w:cs="Times New Roman"/>
        </w:rPr>
        <w:fldChar w:fldCharType="end"/>
      </w:r>
    </w:p>
    <w:p w14:paraId="705DA6D1">
      <w:pPr>
        <w:pStyle w:val="30"/>
        <w:tabs>
          <w:tab w:val="right" w:leader="dot" w:pos="8505"/>
        </w:tabs>
      </w:pPr>
      <w:r>
        <w:rPr>
          <w:rFonts w:ascii="Times New Roman" w:hAnsi="Times New Roman" w:cs="Times New Roman"/>
        </w:rPr>
        <w:fldChar w:fldCharType="begin"/>
      </w:r>
      <w:r>
        <w:rPr>
          <w:rFonts w:ascii="Times New Roman" w:hAnsi="Times New Roman" w:cs="Times New Roman"/>
        </w:rPr>
        <w:instrText xml:space="preserve"> HYPERLINK \l _Toc9599 </w:instrText>
      </w:r>
      <w:r>
        <w:rPr>
          <w:rFonts w:ascii="Times New Roman" w:hAnsi="Times New Roman" w:cs="Times New Roman"/>
        </w:rPr>
        <w:fldChar w:fldCharType="separate"/>
      </w:r>
      <w:r>
        <w:t>1.2.1 环境影响因素识别</w:t>
      </w:r>
      <w:r>
        <w:tab/>
      </w:r>
      <w:r>
        <w:fldChar w:fldCharType="begin"/>
      </w:r>
      <w:r>
        <w:instrText xml:space="preserve"> PAGEREF _Toc9599 \h </w:instrText>
      </w:r>
      <w:r>
        <w:fldChar w:fldCharType="separate"/>
      </w:r>
      <w:r>
        <w:t>10</w:t>
      </w:r>
      <w:r>
        <w:fldChar w:fldCharType="end"/>
      </w:r>
      <w:r>
        <w:rPr>
          <w:rFonts w:ascii="Times New Roman" w:hAnsi="Times New Roman" w:cs="Times New Roman"/>
        </w:rPr>
        <w:fldChar w:fldCharType="end"/>
      </w:r>
    </w:p>
    <w:p w14:paraId="1CB50BC8">
      <w:pPr>
        <w:pStyle w:val="30"/>
        <w:tabs>
          <w:tab w:val="right" w:leader="dot" w:pos="8505"/>
        </w:tabs>
      </w:pPr>
      <w:r>
        <w:rPr>
          <w:rFonts w:ascii="Times New Roman" w:hAnsi="Times New Roman" w:cs="Times New Roman"/>
        </w:rPr>
        <w:fldChar w:fldCharType="begin"/>
      </w:r>
      <w:r>
        <w:rPr>
          <w:rFonts w:ascii="Times New Roman" w:hAnsi="Times New Roman" w:cs="Times New Roman"/>
        </w:rPr>
        <w:instrText xml:space="preserve"> HYPERLINK \l _Toc24032 </w:instrText>
      </w:r>
      <w:r>
        <w:rPr>
          <w:rFonts w:ascii="Times New Roman" w:hAnsi="Times New Roman" w:cs="Times New Roman"/>
        </w:rPr>
        <w:fldChar w:fldCharType="separate"/>
      </w:r>
      <w:r>
        <w:t>1.2.2 评价因子</w:t>
      </w:r>
      <w:r>
        <w:tab/>
      </w:r>
      <w:r>
        <w:fldChar w:fldCharType="begin"/>
      </w:r>
      <w:r>
        <w:instrText xml:space="preserve"> PAGEREF _Toc24032 \h </w:instrText>
      </w:r>
      <w:r>
        <w:fldChar w:fldCharType="separate"/>
      </w:r>
      <w:r>
        <w:t>10</w:t>
      </w:r>
      <w:r>
        <w:fldChar w:fldCharType="end"/>
      </w:r>
      <w:r>
        <w:rPr>
          <w:rFonts w:ascii="Times New Roman" w:hAnsi="Times New Roman" w:cs="Times New Roman"/>
        </w:rPr>
        <w:fldChar w:fldCharType="end"/>
      </w:r>
    </w:p>
    <w:p w14:paraId="6BA56B65">
      <w:pPr>
        <w:pStyle w:val="46"/>
        <w:tabs>
          <w:tab w:val="right" w:leader="dot" w:pos="8505"/>
        </w:tabs>
      </w:pPr>
      <w:r>
        <w:rPr>
          <w:rFonts w:ascii="Times New Roman" w:hAnsi="Times New Roman" w:cs="Times New Roman"/>
        </w:rPr>
        <w:fldChar w:fldCharType="begin"/>
      </w:r>
      <w:r>
        <w:rPr>
          <w:rFonts w:ascii="Times New Roman" w:hAnsi="Times New Roman" w:cs="Times New Roman"/>
        </w:rPr>
        <w:instrText xml:space="preserve"> HYPERLINK \l _Toc23296 </w:instrText>
      </w:r>
      <w:r>
        <w:rPr>
          <w:rFonts w:ascii="Times New Roman" w:hAnsi="Times New Roman" w:cs="Times New Roman"/>
        </w:rPr>
        <w:fldChar w:fldCharType="separate"/>
      </w:r>
      <w:r>
        <w:t>1.3 环境功能区划</w:t>
      </w:r>
      <w:r>
        <w:tab/>
      </w:r>
      <w:r>
        <w:fldChar w:fldCharType="begin"/>
      </w:r>
      <w:r>
        <w:instrText xml:space="preserve"> PAGEREF _Toc23296 \h </w:instrText>
      </w:r>
      <w:r>
        <w:fldChar w:fldCharType="separate"/>
      </w:r>
      <w:r>
        <w:t>11</w:t>
      </w:r>
      <w:r>
        <w:fldChar w:fldCharType="end"/>
      </w:r>
      <w:r>
        <w:rPr>
          <w:rFonts w:ascii="Times New Roman" w:hAnsi="Times New Roman" w:cs="Times New Roman"/>
        </w:rPr>
        <w:fldChar w:fldCharType="end"/>
      </w:r>
    </w:p>
    <w:p w14:paraId="5D76592C">
      <w:pPr>
        <w:pStyle w:val="46"/>
        <w:tabs>
          <w:tab w:val="right" w:leader="dot" w:pos="8505"/>
        </w:tabs>
      </w:pPr>
      <w:r>
        <w:rPr>
          <w:rFonts w:ascii="Times New Roman" w:hAnsi="Times New Roman" w:cs="Times New Roman"/>
        </w:rPr>
        <w:fldChar w:fldCharType="begin"/>
      </w:r>
      <w:r>
        <w:rPr>
          <w:rFonts w:ascii="Times New Roman" w:hAnsi="Times New Roman" w:cs="Times New Roman"/>
        </w:rPr>
        <w:instrText xml:space="preserve"> HYPERLINK \l _Toc6215 </w:instrText>
      </w:r>
      <w:r>
        <w:rPr>
          <w:rFonts w:ascii="Times New Roman" w:hAnsi="Times New Roman" w:cs="Times New Roman"/>
        </w:rPr>
        <w:fldChar w:fldCharType="separate"/>
      </w:r>
      <w:r>
        <w:t>1.4 评价标准</w:t>
      </w:r>
      <w:r>
        <w:tab/>
      </w:r>
      <w:r>
        <w:fldChar w:fldCharType="begin"/>
      </w:r>
      <w:r>
        <w:instrText xml:space="preserve"> PAGEREF _Toc6215 \h </w:instrText>
      </w:r>
      <w:r>
        <w:fldChar w:fldCharType="separate"/>
      </w:r>
      <w:r>
        <w:t>12</w:t>
      </w:r>
      <w:r>
        <w:fldChar w:fldCharType="end"/>
      </w:r>
      <w:r>
        <w:rPr>
          <w:rFonts w:ascii="Times New Roman" w:hAnsi="Times New Roman" w:cs="Times New Roman"/>
        </w:rPr>
        <w:fldChar w:fldCharType="end"/>
      </w:r>
    </w:p>
    <w:p w14:paraId="3AA4FCC1">
      <w:pPr>
        <w:pStyle w:val="30"/>
        <w:tabs>
          <w:tab w:val="right" w:leader="dot" w:pos="8505"/>
        </w:tabs>
      </w:pPr>
      <w:r>
        <w:rPr>
          <w:rFonts w:ascii="Times New Roman" w:hAnsi="Times New Roman" w:cs="Times New Roman"/>
        </w:rPr>
        <w:fldChar w:fldCharType="begin"/>
      </w:r>
      <w:r>
        <w:rPr>
          <w:rFonts w:ascii="Times New Roman" w:hAnsi="Times New Roman" w:cs="Times New Roman"/>
        </w:rPr>
        <w:instrText xml:space="preserve"> HYPERLINK \l _Toc3117 </w:instrText>
      </w:r>
      <w:r>
        <w:rPr>
          <w:rFonts w:ascii="Times New Roman" w:hAnsi="Times New Roman" w:cs="Times New Roman"/>
        </w:rPr>
        <w:fldChar w:fldCharType="separate"/>
      </w:r>
      <w:r>
        <w:t>1.4.1 环境质量标准</w:t>
      </w:r>
      <w:r>
        <w:tab/>
      </w:r>
      <w:r>
        <w:fldChar w:fldCharType="begin"/>
      </w:r>
      <w:r>
        <w:instrText xml:space="preserve"> PAGEREF _Toc3117 \h </w:instrText>
      </w:r>
      <w:r>
        <w:fldChar w:fldCharType="separate"/>
      </w:r>
      <w:r>
        <w:t>12</w:t>
      </w:r>
      <w:r>
        <w:fldChar w:fldCharType="end"/>
      </w:r>
      <w:r>
        <w:rPr>
          <w:rFonts w:ascii="Times New Roman" w:hAnsi="Times New Roman" w:cs="Times New Roman"/>
        </w:rPr>
        <w:fldChar w:fldCharType="end"/>
      </w:r>
    </w:p>
    <w:p w14:paraId="14F23AEF">
      <w:pPr>
        <w:pStyle w:val="30"/>
        <w:tabs>
          <w:tab w:val="right" w:leader="dot" w:pos="8505"/>
        </w:tabs>
      </w:pPr>
      <w:r>
        <w:rPr>
          <w:rFonts w:ascii="Times New Roman" w:hAnsi="Times New Roman" w:cs="Times New Roman"/>
        </w:rPr>
        <w:fldChar w:fldCharType="begin"/>
      </w:r>
      <w:r>
        <w:rPr>
          <w:rFonts w:ascii="Times New Roman" w:hAnsi="Times New Roman" w:cs="Times New Roman"/>
        </w:rPr>
        <w:instrText xml:space="preserve"> HYPERLINK \l _Toc4152 </w:instrText>
      </w:r>
      <w:r>
        <w:rPr>
          <w:rFonts w:ascii="Times New Roman" w:hAnsi="Times New Roman" w:cs="Times New Roman"/>
        </w:rPr>
        <w:fldChar w:fldCharType="separate"/>
      </w:r>
      <w:r>
        <w:t>1.4.2 排放（控制）标准</w:t>
      </w:r>
      <w:r>
        <w:tab/>
      </w:r>
      <w:r>
        <w:fldChar w:fldCharType="begin"/>
      </w:r>
      <w:r>
        <w:instrText xml:space="preserve"> PAGEREF _Toc4152 \h </w:instrText>
      </w:r>
      <w:r>
        <w:fldChar w:fldCharType="separate"/>
      </w:r>
      <w:r>
        <w:t>15</w:t>
      </w:r>
      <w:r>
        <w:fldChar w:fldCharType="end"/>
      </w:r>
      <w:r>
        <w:rPr>
          <w:rFonts w:ascii="Times New Roman" w:hAnsi="Times New Roman" w:cs="Times New Roman"/>
        </w:rPr>
        <w:fldChar w:fldCharType="end"/>
      </w:r>
    </w:p>
    <w:p w14:paraId="23C2DEC8">
      <w:pPr>
        <w:pStyle w:val="46"/>
        <w:tabs>
          <w:tab w:val="right" w:leader="dot" w:pos="8505"/>
        </w:tabs>
      </w:pPr>
      <w:r>
        <w:rPr>
          <w:rFonts w:ascii="Times New Roman" w:hAnsi="Times New Roman" w:cs="Times New Roman"/>
        </w:rPr>
        <w:fldChar w:fldCharType="begin"/>
      </w:r>
      <w:r>
        <w:rPr>
          <w:rFonts w:ascii="Times New Roman" w:hAnsi="Times New Roman" w:cs="Times New Roman"/>
        </w:rPr>
        <w:instrText xml:space="preserve"> HYPERLINK \l _Toc31763 </w:instrText>
      </w:r>
      <w:r>
        <w:rPr>
          <w:rFonts w:ascii="Times New Roman" w:hAnsi="Times New Roman" w:cs="Times New Roman"/>
        </w:rPr>
        <w:fldChar w:fldCharType="separate"/>
      </w:r>
      <w:r>
        <w:t>1.5 评价等级及范围</w:t>
      </w:r>
      <w:r>
        <w:tab/>
      </w:r>
      <w:r>
        <w:fldChar w:fldCharType="begin"/>
      </w:r>
      <w:r>
        <w:instrText xml:space="preserve"> PAGEREF _Toc31763 \h </w:instrText>
      </w:r>
      <w:r>
        <w:fldChar w:fldCharType="separate"/>
      </w:r>
      <w:r>
        <w:t>18</w:t>
      </w:r>
      <w:r>
        <w:fldChar w:fldCharType="end"/>
      </w:r>
      <w:r>
        <w:rPr>
          <w:rFonts w:ascii="Times New Roman" w:hAnsi="Times New Roman" w:cs="Times New Roman"/>
        </w:rPr>
        <w:fldChar w:fldCharType="end"/>
      </w:r>
    </w:p>
    <w:p w14:paraId="464C70C9">
      <w:pPr>
        <w:pStyle w:val="30"/>
        <w:tabs>
          <w:tab w:val="right" w:leader="dot" w:pos="8505"/>
        </w:tabs>
      </w:pPr>
      <w:r>
        <w:rPr>
          <w:rFonts w:ascii="Times New Roman" w:hAnsi="Times New Roman" w:cs="Times New Roman"/>
        </w:rPr>
        <w:fldChar w:fldCharType="begin"/>
      </w:r>
      <w:r>
        <w:rPr>
          <w:rFonts w:ascii="Times New Roman" w:hAnsi="Times New Roman" w:cs="Times New Roman"/>
        </w:rPr>
        <w:instrText xml:space="preserve"> HYPERLINK \l _Toc19197 </w:instrText>
      </w:r>
      <w:r>
        <w:rPr>
          <w:rFonts w:ascii="Times New Roman" w:hAnsi="Times New Roman" w:cs="Times New Roman"/>
        </w:rPr>
        <w:fldChar w:fldCharType="separate"/>
      </w:r>
      <w:r>
        <w:rPr>
          <w:highlight w:val="none"/>
        </w:rPr>
        <w:t>1.5.1 大气评价等级及范围</w:t>
      </w:r>
      <w:r>
        <w:tab/>
      </w:r>
      <w:r>
        <w:fldChar w:fldCharType="begin"/>
      </w:r>
      <w:r>
        <w:instrText xml:space="preserve"> PAGEREF _Toc19197 \h </w:instrText>
      </w:r>
      <w:r>
        <w:fldChar w:fldCharType="separate"/>
      </w:r>
      <w:r>
        <w:t>18</w:t>
      </w:r>
      <w:r>
        <w:fldChar w:fldCharType="end"/>
      </w:r>
      <w:r>
        <w:rPr>
          <w:rFonts w:ascii="Times New Roman" w:hAnsi="Times New Roman" w:cs="Times New Roman"/>
        </w:rPr>
        <w:fldChar w:fldCharType="end"/>
      </w:r>
    </w:p>
    <w:p w14:paraId="5E6BD188">
      <w:pPr>
        <w:pStyle w:val="30"/>
        <w:tabs>
          <w:tab w:val="right" w:leader="dot" w:pos="8505"/>
        </w:tabs>
      </w:pPr>
      <w:r>
        <w:rPr>
          <w:rFonts w:ascii="Times New Roman" w:hAnsi="Times New Roman" w:cs="Times New Roman"/>
        </w:rPr>
        <w:fldChar w:fldCharType="begin"/>
      </w:r>
      <w:r>
        <w:rPr>
          <w:rFonts w:ascii="Times New Roman" w:hAnsi="Times New Roman" w:cs="Times New Roman"/>
        </w:rPr>
        <w:instrText xml:space="preserve"> HYPERLINK \l _Toc30588 </w:instrText>
      </w:r>
      <w:r>
        <w:rPr>
          <w:rFonts w:ascii="Times New Roman" w:hAnsi="Times New Roman" w:cs="Times New Roman"/>
        </w:rPr>
        <w:fldChar w:fldCharType="separate"/>
      </w:r>
      <w:r>
        <w:t>1.5.2 水环境评价等级及范围</w:t>
      </w:r>
      <w:r>
        <w:tab/>
      </w:r>
      <w:r>
        <w:fldChar w:fldCharType="begin"/>
      </w:r>
      <w:r>
        <w:instrText xml:space="preserve"> PAGEREF _Toc30588 \h </w:instrText>
      </w:r>
      <w:r>
        <w:fldChar w:fldCharType="separate"/>
      </w:r>
      <w:r>
        <w:t>25</w:t>
      </w:r>
      <w:r>
        <w:fldChar w:fldCharType="end"/>
      </w:r>
      <w:r>
        <w:rPr>
          <w:rFonts w:ascii="Times New Roman" w:hAnsi="Times New Roman" w:cs="Times New Roman"/>
        </w:rPr>
        <w:fldChar w:fldCharType="end"/>
      </w:r>
    </w:p>
    <w:p w14:paraId="5F6DFCC6">
      <w:pPr>
        <w:pStyle w:val="30"/>
        <w:tabs>
          <w:tab w:val="right" w:leader="dot" w:pos="8505"/>
        </w:tabs>
      </w:pPr>
      <w:r>
        <w:rPr>
          <w:rFonts w:ascii="Times New Roman" w:hAnsi="Times New Roman" w:cs="Times New Roman"/>
        </w:rPr>
        <w:fldChar w:fldCharType="begin"/>
      </w:r>
      <w:r>
        <w:rPr>
          <w:rFonts w:ascii="Times New Roman" w:hAnsi="Times New Roman" w:cs="Times New Roman"/>
        </w:rPr>
        <w:instrText xml:space="preserve"> HYPERLINK \l _Toc19815 </w:instrText>
      </w:r>
      <w:r>
        <w:rPr>
          <w:rFonts w:ascii="Times New Roman" w:hAnsi="Times New Roman" w:cs="Times New Roman"/>
        </w:rPr>
        <w:fldChar w:fldCharType="separate"/>
      </w:r>
      <w:r>
        <w:t>1.5.3 噪声评价等级及范围</w:t>
      </w:r>
      <w:r>
        <w:tab/>
      </w:r>
      <w:r>
        <w:fldChar w:fldCharType="begin"/>
      </w:r>
      <w:r>
        <w:instrText xml:space="preserve"> PAGEREF _Toc19815 \h </w:instrText>
      </w:r>
      <w:r>
        <w:fldChar w:fldCharType="separate"/>
      </w:r>
      <w:r>
        <w:t>25</w:t>
      </w:r>
      <w:r>
        <w:fldChar w:fldCharType="end"/>
      </w:r>
      <w:r>
        <w:rPr>
          <w:rFonts w:ascii="Times New Roman" w:hAnsi="Times New Roman" w:cs="Times New Roman"/>
        </w:rPr>
        <w:fldChar w:fldCharType="end"/>
      </w:r>
    </w:p>
    <w:p w14:paraId="450EF641">
      <w:pPr>
        <w:pStyle w:val="30"/>
        <w:tabs>
          <w:tab w:val="right" w:leader="dot" w:pos="8505"/>
        </w:tabs>
      </w:pPr>
      <w:r>
        <w:rPr>
          <w:rFonts w:ascii="Times New Roman" w:hAnsi="Times New Roman" w:cs="Times New Roman"/>
        </w:rPr>
        <w:fldChar w:fldCharType="begin"/>
      </w:r>
      <w:r>
        <w:rPr>
          <w:rFonts w:ascii="Times New Roman" w:hAnsi="Times New Roman" w:cs="Times New Roman"/>
        </w:rPr>
        <w:instrText xml:space="preserve"> HYPERLINK \l _Toc4363 </w:instrText>
      </w:r>
      <w:r>
        <w:rPr>
          <w:rFonts w:ascii="Times New Roman" w:hAnsi="Times New Roman" w:cs="Times New Roman"/>
        </w:rPr>
        <w:fldChar w:fldCharType="separate"/>
      </w:r>
      <w:r>
        <w:t>1.5.4 土壤环境评价等级及范围</w:t>
      </w:r>
      <w:r>
        <w:tab/>
      </w:r>
      <w:r>
        <w:fldChar w:fldCharType="begin"/>
      </w:r>
      <w:r>
        <w:instrText xml:space="preserve"> PAGEREF _Toc4363 \h </w:instrText>
      </w:r>
      <w:r>
        <w:fldChar w:fldCharType="separate"/>
      </w:r>
      <w:r>
        <w:t>26</w:t>
      </w:r>
      <w:r>
        <w:fldChar w:fldCharType="end"/>
      </w:r>
      <w:r>
        <w:rPr>
          <w:rFonts w:ascii="Times New Roman" w:hAnsi="Times New Roman" w:cs="Times New Roman"/>
        </w:rPr>
        <w:fldChar w:fldCharType="end"/>
      </w:r>
    </w:p>
    <w:p w14:paraId="53AC0456">
      <w:pPr>
        <w:pStyle w:val="30"/>
        <w:tabs>
          <w:tab w:val="right" w:leader="dot" w:pos="8505"/>
        </w:tabs>
      </w:pPr>
      <w:r>
        <w:rPr>
          <w:rFonts w:ascii="Times New Roman" w:hAnsi="Times New Roman" w:cs="Times New Roman"/>
        </w:rPr>
        <w:fldChar w:fldCharType="begin"/>
      </w:r>
      <w:r>
        <w:rPr>
          <w:rFonts w:ascii="Times New Roman" w:hAnsi="Times New Roman" w:cs="Times New Roman"/>
        </w:rPr>
        <w:instrText xml:space="preserve"> HYPERLINK \l _Toc24694 </w:instrText>
      </w:r>
      <w:r>
        <w:rPr>
          <w:rFonts w:ascii="Times New Roman" w:hAnsi="Times New Roman" w:cs="Times New Roman"/>
        </w:rPr>
        <w:fldChar w:fldCharType="separate"/>
      </w:r>
      <w:r>
        <w:t>1.5.</w:t>
      </w:r>
      <w:r>
        <w:rPr>
          <w:lang w:eastAsia="zh-CN"/>
        </w:rPr>
        <w:t>5</w:t>
      </w:r>
      <w:r>
        <w:t xml:space="preserve"> </w:t>
      </w:r>
      <w:r>
        <w:rPr>
          <w:lang w:eastAsia="zh-CN"/>
        </w:rPr>
        <w:t>生态影响</w:t>
      </w:r>
      <w:r>
        <w:t>评价等级</w:t>
      </w:r>
      <w:r>
        <w:rPr>
          <w:rFonts w:hint="eastAsia"/>
          <w:lang w:eastAsia="zh-CN"/>
        </w:rPr>
        <w:t>及范围</w:t>
      </w:r>
      <w:r>
        <w:tab/>
      </w:r>
      <w:r>
        <w:fldChar w:fldCharType="begin"/>
      </w:r>
      <w:r>
        <w:instrText xml:space="preserve"> PAGEREF _Toc24694 \h </w:instrText>
      </w:r>
      <w:r>
        <w:fldChar w:fldCharType="separate"/>
      </w:r>
      <w:r>
        <w:t>27</w:t>
      </w:r>
      <w:r>
        <w:fldChar w:fldCharType="end"/>
      </w:r>
      <w:r>
        <w:rPr>
          <w:rFonts w:ascii="Times New Roman" w:hAnsi="Times New Roman" w:cs="Times New Roman"/>
        </w:rPr>
        <w:fldChar w:fldCharType="end"/>
      </w:r>
    </w:p>
    <w:p w14:paraId="0F16F489">
      <w:pPr>
        <w:pStyle w:val="30"/>
        <w:tabs>
          <w:tab w:val="right" w:leader="dot" w:pos="8505"/>
        </w:tabs>
      </w:pPr>
      <w:r>
        <w:rPr>
          <w:rFonts w:ascii="Times New Roman" w:hAnsi="Times New Roman" w:cs="Times New Roman"/>
        </w:rPr>
        <w:fldChar w:fldCharType="begin"/>
      </w:r>
      <w:r>
        <w:rPr>
          <w:rFonts w:ascii="Times New Roman" w:hAnsi="Times New Roman" w:cs="Times New Roman"/>
        </w:rPr>
        <w:instrText xml:space="preserve"> HYPERLINK \l _Toc19491 </w:instrText>
      </w:r>
      <w:r>
        <w:rPr>
          <w:rFonts w:ascii="Times New Roman" w:hAnsi="Times New Roman" w:cs="Times New Roman"/>
        </w:rPr>
        <w:fldChar w:fldCharType="separate"/>
      </w:r>
      <w:r>
        <w:t>1.5.6 风险评价等级</w:t>
      </w:r>
      <w:r>
        <w:tab/>
      </w:r>
      <w:r>
        <w:fldChar w:fldCharType="begin"/>
      </w:r>
      <w:r>
        <w:instrText xml:space="preserve"> PAGEREF _Toc19491 \h </w:instrText>
      </w:r>
      <w:r>
        <w:fldChar w:fldCharType="separate"/>
      </w:r>
      <w:r>
        <w:t>27</w:t>
      </w:r>
      <w:r>
        <w:fldChar w:fldCharType="end"/>
      </w:r>
      <w:r>
        <w:rPr>
          <w:rFonts w:ascii="Times New Roman" w:hAnsi="Times New Roman" w:cs="Times New Roman"/>
        </w:rPr>
        <w:fldChar w:fldCharType="end"/>
      </w:r>
    </w:p>
    <w:p w14:paraId="55C31F6E">
      <w:pPr>
        <w:pStyle w:val="46"/>
        <w:tabs>
          <w:tab w:val="right" w:leader="dot" w:pos="8505"/>
        </w:tabs>
      </w:pPr>
      <w:r>
        <w:rPr>
          <w:rFonts w:ascii="Times New Roman" w:hAnsi="Times New Roman" w:cs="Times New Roman"/>
        </w:rPr>
        <w:fldChar w:fldCharType="begin"/>
      </w:r>
      <w:r>
        <w:rPr>
          <w:rFonts w:ascii="Times New Roman" w:hAnsi="Times New Roman" w:cs="Times New Roman"/>
        </w:rPr>
        <w:instrText xml:space="preserve"> HYPERLINK \l _Toc16511 </w:instrText>
      </w:r>
      <w:r>
        <w:rPr>
          <w:rFonts w:ascii="Times New Roman" w:hAnsi="Times New Roman" w:cs="Times New Roman"/>
        </w:rPr>
        <w:fldChar w:fldCharType="separate"/>
      </w:r>
      <w:r>
        <w:t>1.6 相关规划及政策符合性分析</w:t>
      </w:r>
      <w:r>
        <w:tab/>
      </w:r>
      <w:r>
        <w:fldChar w:fldCharType="begin"/>
      </w:r>
      <w:r>
        <w:instrText xml:space="preserve"> PAGEREF _Toc16511 \h </w:instrText>
      </w:r>
      <w:r>
        <w:fldChar w:fldCharType="separate"/>
      </w:r>
      <w:r>
        <w:t>28</w:t>
      </w:r>
      <w:r>
        <w:fldChar w:fldCharType="end"/>
      </w:r>
      <w:r>
        <w:rPr>
          <w:rFonts w:ascii="Times New Roman" w:hAnsi="Times New Roman" w:cs="Times New Roman"/>
        </w:rPr>
        <w:fldChar w:fldCharType="end"/>
      </w:r>
    </w:p>
    <w:p w14:paraId="0E44005C">
      <w:pPr>
        <w:pStyle w:val="30"/>
        <w:tabs>
          <w:tab w:val="right" w:leader="dot" w:pos="8505"/>
        </w:tabs>
      </w:pPr>
      <w:r>
        <w:rPr>
          <w:rFonts w:ascii="Times New Roman" w:hAnsi="Times New Roman" w:cs="Times New Roman"/>
        </w:rPr>
        <w:fldChar w:fldCharType="begin"/>
      </w:r>
      <w:r>
        <w:rPr>
          <w:rFonts w:ascii="Times New Roman" w:hAnsi="Times New Roman" w:cs="Times New Roman"/>
        </w:rPr>
        <w:instrText xml:space="preserve"> HYPERLINK \l _Toc11702 </w:instrText>
      </w:r>
      <w:r>
        <w:rPr>
          <w:rFonts w:ascii="Times New Roman" w:hAnsi="Times New Roman" w:cs="Times New Roman"/>
        </w:rPr>
        <w:fldChar w:fldCharType="separate"/>
      </w:r>
      <w:r>
        <w:t xml:space="preserve">1.6.1 </w:t>
      </w:r>
      <w:r>
        <w:rPr>
          <w:rFonts w:hint="eastAsia"/>
          <w:lang w:eastAsia="zh-CN"/>
        </w:rPr>
        <w:t>与</w:t>
      </w:r>
      <w:r>
        <w:t>产业政策符合性分析</w:t>
      </w:r>
      <w:r>
        <w:tab/>
      </w:r>
      <w:r>
        <w:fldChar w:fldCharType="begin"/>
      </w:r>
      <w:r>
        <w:instrText xml:space="preserve"> PAGEREF _Toc11702 \h </w:instrText>
      </w:r>
      <w:r>
        <w:fldChar w:fldCharType="separate"/>
      </w:r>
      <w:r>
        <w:t>28</w:t>
      </w:r>
      <w:r>
        <w:fldChar w:fldCharType="end"/>
      </w:r>
      <w:r>
        <w:rPr>
          <w:rFonts w:ascii="Times New Roman" w:hAnsi="Times New Roman" w:cs="Times New Roman"/>
        </w:rPr>
        <w:fldChar w:fldCharType="end"/>
      </w:r>
    </w:p>
    <w:p w14:paraId="07BA41DD">
      <w:pPr>
        <w:pStyle w:val="30"/>
        <w:tabs>
          <w:tab w:val="right" w:leader="dot" w:pos="8505"/>
        </w:tabs>
      </w:pPr>
      <w:r>
        <w:rPr>
          <w:rFonts w:ascii="Times New Roman" w:hAnsi="Times New Roman" w:cs="Times New Roman"/>
        </w:rPr>
        <w:fldChar w:fldCharType="begin"/>
      </w:r>
      <w:r>
        <w:rPr>
          <w:rFonts w:ascii="Times New Roman" w:hAnsi="Times New Roman" w:cs="Times New Roman"/>
        </w:rPr>
        <w:instrText xml:space="preserve"> HYPERLINK \l _Toc30174 </w:instrText>
      </w:r>
      <w:r>
        <w:rPr>
          <w:rFonts w:ascii="Times New Roman" w:hAnsi="Times New Roman" w:cs="Times New Roman"/>
        </w:rPr>
        <w:fldChar w:fldCharType="separate"/>
      </w:r>
      <w:r>
        <w:t>1.6.2 与</w:t>
      </w:r>
      <w:r>
        <w:rPr>
          <w:rFonts w:hint="eastAsia"/>
          <w:lang w:eastAsia="zh-CN"/>
        </w:rPr>
        <w:t>钢铁行业规范条件</w:t>
      </w:r>
      <w:r>
        <w:t>符合性分析</w:t>
      </w:r>
      <w:r>
        <w:tab/>
      </w:r>
      <w:r>
        <w:fldChar w:fldCharType="begin"/>
      </w:r>
      <w:r>
        <w:instrText xml:space="preserve"> PAGEREF _Toc30174 \h </w:instrText>
      </w:r>
      <w:r>
        <w:fldChar w:fldCharType="separate"/>
      </w:r>
      <w:r>
        <w:t>29</w:t>
      </w:r>
      <w:r>
        <w:fldChar w:fldCharType="end"/>
      </w:r>
      <w:r>
        <w:rPr>
          <w:rFonts w:ascii="Times New Roman" w:hAnsi="Times New Roman" w:cs="Times New Roman"/>
        </w:rPr>
        <w:fldChar w:fldCharType="end"/>
      </w:r>
    </w:p>
    <w:p w14:paraId="1AC62A1F">
      <w:pPr>
        <w:pStyle w:val="30"/>
        <w:tabs>
          <w:tab w:val="right" w:leader="dot" w:pos="8505"/>
        </w:tabs>
      </w:pPr>
      <w:r>
        <w:rPr>
          <w:rFonts w:ascii="Times New Roman" w:hAnsi="Times New Roman" w:cs="Times New Roman"/>
        </w:rPr>
        <w:fldChar w:fldCharType="begin"/>
      </w:r>
      <w:r>
        <w:rPr>
          <w:rFonts w:ascii="Times New Roman" w:hAnsi="Times New Roman" w:cs="Times New Roman"/>
        </w:rPr>
        <w:instrText xml:space="preserve"> HYPERLINK \l _Toc25073 </w:instrText>
      </w:r>
      <w:r>
        <w:rPr>
          <w:rFonts w:ascii="Times New Roman" w:hAnsi="Times New Roman" w:cs="Times New Roman"/>
        </w:rPr>
        <w:fldChar w:fldCharType="separate"/>
      </w:r>
      <w:r>
        <w:t>1.6.</w:t>
      </w:r>
      <w:r>
        <w:rPr>
          <w:rFonts w:hint="eastAsia"/>
          <w:lang w:eastAsia="zh-CN"/>
        </w:rPr>
        <w:t>3</w:t>
      </w:r>
      <w:r>
        <w:t xml:space="preserve"> 与</w:t>
      </w:r>
      <w:r>
        <w:rPr>
          <w:rFonts w:hint="eastAsia"/>
          <w:lang w:eastAsia="zh-CN"/>
        </w:rPr>
        <w:t>产能置换政策</w:t>
      </w:r>
      <w:r>
        <w:t>符合性分析</w:t>
      </w:r>
      <w:r>
        <w:tab/>
      </w:r>
      <w:r>
        <w:fldChar w:fldCharType="begin"/>
      </w:r>
      <w:r>
        <w:instrText xml:space="preserve"> PAGEREF _Toc25073 \h </w:instrText>
      </w:r>
      <w:r>
        <w:fldChar w:fldCharType="separate"/>
      </w:r>
      <w:r>
        <w:t>30</w:t>
      </w:r>
      <w:r>
        <w:fldChar w:fldCharType="end"/>
      </w:r>
      <w:r>
        <w:rPr>
          <w:rFonts w:ascii="Times New Roman" w:hAnsi="Times New Roman" w:cs="Times New Roman"/>
        </w:rPr>
        <w:fldChar w:fldCharType="end"/>
      </w:r>
    </w:p>
    <w:p w14:paraId="2A864B74">
      <w:pPr>
        <w:pStyle w:val="30"/>
        <w:tabs>
          <w:tab w:val="right" w:leader="dot" w:pos="8505"/>
        </w:tabs>
      </w:pPr>
      <w:r>
        <w:rPr>
          <w:rFonts w:ascii="Times New Roman" w:hAnsi="Times New Roman" w:cs="Times New Roman"/>
        </w:rPr>
        <w:fldChar w:fldCharType="begin"/>
      </w:r>
      <w:r>
        <w:rPr>
          <w:rFonts w:ascii="Times New Roman" w:hAnsi="Times New Roman" w:cs="Times New Roman"/>
        </w:rPr>
        <w:instrText xml:space="preserve"> HYPERLINK \l _Toc13383 </w:instrText>
      </w:r>
      <w:r>
        <w:rPr>
          <w:rFonts w:ascii="Times New Roman" w:hAnsi="Times New Roman" w:cs="Times New Roman"/>
        </w:rPr>
        <w:fldChar w:fldCharType="separate"/>
      </w:r>
      <w:r>
        <w:t>1.6.4 规划符合性分析</w:t>
      </w:r>
      <w:r>
        <w:tab/>
      </w:r>
      <w:r>
        <w:fldChar w:fldCharType="begin"/>
      </w:r>
      <w:r>
        <w:instrText xml:space="preserve"> PAGEREF _Toc13383 \h </w:instrText>
      </w:r>
      <w:r>
        <w:fldChar w:fldCharType="separate"/>
      </w:r>
      <w:r>
        <w:t>31</w:t>
      </w:r>
      <w:r>
        <w:fldChar w:fldCharType="end"/>
      </w:r>
      <w:r>
        <w:rPr>
          <w:rFonts w:ascii="Times New Roman" w:hAnsi="Times New Roman" w:cs="Times New Roman"/>
        </w:rPr>
        <w:fldChar w:fldCharType="end"/>
      </w:r>
    </w:p>
    <w:p w14:paraId="093E556D">
      <w:pPr>
        <w:pStyle w:val="30"/>
        <w:tabs>
          <w:tab w:val="right" w:leader="dot" w:pos="8505"/>
        </w:tabs>
      </w:pPr>
      <w:r>
        <w:rPr>
          <w:rFonts w:ascii="Times New Roman" w:hAnsi="Times New Roman" w:cs="Times New Roman"/>
        </w:rPr>
        <w:fldChar w:fldCharType="begin"/>
      </w:r>
      <w:r>
        <w:rPr>
          <w:rFonts w:ascii="Times New Roman" w:hAnsi="Times New Roman" w:cs="Times New Roman"/>
        </w:rPr>
        <w:instrText xml:space="preserve"> HYPERLINK \l _Toc3338 </w:instrText>
      </w:r>
      <w:r>
        <w:rPr>
          <w:rFonts w:ascii="Times New Roman" w:hAnsi="Times New Roman" w:cs="Times New Roman"/>
        </w:rPr>
        <w:fldChar w:fldCharType="separate"/>
      </w:r>
      <w:r>
        <w:t>1.6.5 环保管理政策符合性分析</w:t>
      </w:r>
      <w:r>
        <w:tab/>
      </w:r>
      <w:r>
        <w:fldChar w:fldCharType="begin"/>
      </w:r>
      <w:r>
        <w:instrText xml:space="preserve"> PAGEREF _Toc3338 \h </w:instrText>
      </w:r>
      <w:r>
        <w:fldChar w:fldCharType="separate"/>
      </w:r>
      <w:r>
        <w:t>35</w:t>
      </w:r>
      <w:r>
        <w:fldChar w:fldCharType="end"/>
      </w:r>
      <w:r>
        <w:rPr>
          <w:rFonts w:ascii="Times New Roman" w:hAnsi="Times New Roman" w:cs="Times New Roman"/>
        </w:rPr>
        <w:fldChar w:fldCharType="end"/>
      </w:r>
    </w:p>
    <w:p w14:paraId="4BF78F0B">
      <w:pPr>
        <w:pStyle w:val="46"/>
        <w:tabs>
          <w:tab w:val="right" w:leader="dot" w:pos="8505"/>
        </w:tabs>
      </w:pPr>
      <w:r>
        <w:rPr>
          <w:rFonts w:ascii="Times New Roman" w:hAnsi="Times New Roman" w:cs="Times New Roman"/>
        </w:rPr>
        <w:fldChar w:fldCharType="begin"/>
      </w:r>
      <w:r>
        <w:rPr>
          <w:rFonts w:ascii="Times New Roman" w:hAnsi="Times New Roman" w:cs="Times New Roman"/>
        </w:rPr>
        <w:instrText xml:space="preserve"> HYPERLINK \l _Toc6430 </w:instrText>
      </w:r>
      <w:r>
        <w:rPr>
          <w:rFonts w:ascii="Times New Roman" w:hAnsi="Times New Roman" w:cs="Times New Roman"/>
        </w:rPr>
        <w:fldChar w:fldCharType="separate"/>
      </w:r>
      <w:r>
        <w:t>1.7 主要环境保护目标</w:t>
      </w:r>
      <w:r>
        <w:tab/>
      </w:r>
      <w:r>
        <w:fldChar w:fldCharType="begin"/>
      </w:r>
      <w:r>
        <w:instrText xml:space="preserve"> PAGEREF _Toc6430 \h </w:instrText>
      </w:r>
      <w:r>
        <w:fldChar w:fldCharType="separate"/>
      </w:r>
      <w:r>
        <w:t>49</w:t>
      </w:r>
      <w:r>
        <w:fldChar w:fldCharType="end"/>
      </w:r>
      <w:r>
        <w:rPr>
          <w:rFonts w:ascii="Times New Roman" w:hAnsi="Times New Roman" w:cs="Times New Roman"/>
        </w:rPr>
        <w:fldChar w:fldCharType="end"/>
      </w:r>
    </w:p>
    <w:p w14:paraId="3879E91B">
      <w:pPr>
        <w:pStyle w:val="30"/>
        <w:tabs>
          <w:tab w:val="right" w:leader="dot" w:pos="8505"/>
        </w:tabs>
      </w:pPr>
      <w:r>
        <w:rPr>
          <w:rFonts w:ascii="Times New Roman" w:hAnsi="Times New Roman" w:cs="Times New Roman"/>
        </w:rPr>
        <w:fldChar w:fldCharType="begin"/>
      </w:r>
      <w:r>
        <w:rPr>
          <w:rFonts w:ascii="Times New Roman" w:hAnsi="Times New Roman" w:cs="Times New Roman"/>
        </w:rPr>
        <w:instrText xml:space="preserve"> HYPERLINK \l _Toc24758 </w:instrText>
      </w:r>
      <w:r>
        <w:rPr>
          <w:rFonts w:ascii="Times New Roman" w:hAnsi="Times New Roman" w:cs="Times New Roman"/>
        </w:rPr>
        <w:fldChar w:fldCharType="separate"/>
      </w:r>
      <w:r>
        <w:t>1.7.1 周围环境概况</w:t>
      </w:r>
      <w:r>
        <w:tab/>
      </w:r>
      <w:r>
        <w:fldChar w:fldCharType="begin"/>
      </w:r>
      <w:r>
        <w:instrText xml:space="preserve"> PAGEREF _Toc24758 \h </w:instrText>
      </w:r>
      <w:r>
        <w:fldChar w:fldCharType="separate"/>
      </w:r>
      <w:r>
        <w:t>49</w:t>
      </w:r>
      <w:r>
        <w:fldChar w:fldCharType="end"/>
      </w:r>
      <w:r>
        <w:rPr>
          <w:rFonts w:ascii="Times New Roman" w:hAnsi="Times New Roman" w:cs="Times New Roman"/>
        </w:rPr>
        <w:fldChar w:fldCharType="end"/>
      </w:r>
    </w:p>
    <w:p w14:paraId="267B5B13">
      <w:pPr>
        <w:pStyle w:val="30"/>
        <w:tabs>
          <w:tab w:val="right" w:leader="dot" w:pos="8505"/>
        </w:tabs>
      </w:pPr>
      <w:r>
        <w:rPr>
          <w:rFonts w:ascii="Times New Roman" w:hAnsi="Times New Roman" w:cs="Times New Roman"/>
        </w:rPr>
        <w:fldChar w:fldCharType="begin"/>
      </w:r>
      <w:r>
        <w:rPr>
          <w:rFonts w:ascii="Times New Roman" w:hAnsi="Times New Roman" w:cs="Times New Roman"/>
        </w:rPr>
        <w:instrText xml:space="preserve"> HYPERLINK \l _Toc31142 </w:instrText>
      </w:r>
      <w:r>
        <w:rPr>
          <w:rFonts w:ascii="Times New Roman" w:hAnsi="Times New Roman" w:cs="Times New Roman"/>
        </w:rPr>
        <w:fldChar w:fldCharType="separate"/>
      </w:r>
      <w:r>
        <w:t>1.7.2 主要环境保护目标</w:t>
      </w:r>
      <w:r>
        <w:tab/>
      </w:r>
      <w:r>
        <w:fldChar w:fldCharType="begin"/>
      </w:r>
      <w:r>
        <w:instrText xml:space="preserve"> PAGEREF _Toc31142 \h </w:instrText>
      </w:r>
      <w:r>
        <w:fldChar w:fldCharType="separate"/>
      </w:r>
      <w:r>
        <w:t>49</w:t>
      </w:r>
      <w:r>
        <w:fldChar w:fldCharType="end"/>
      </w:r>
      <w:r>
        <w:rPr>
          <w:rFonts w:ascii="Times New Roman" w:hAnsi="Times New Roman" w:cs="Times New Roman"/>
        </w:rPr>
        <w:fldChar w:fldCharType="end"/>
      </w:r>
    </w:p>
    <w:p w14:paraId="4203333A">
      <w:pPr>
        <w:pStyle w:val="37"/>
        <w:tabs>
          <w:tab w:val="right" w:leader="dot" w:pos="8505"/>
        </w:tabs>
      </w:pPr>
      <w:r>
        <w:rPr>
          <w:rFonts w:ascii="Times New Roman" w:hAnsi="Times New Roman" w:cs="Times New Roman"/>
        </w:rPr>
        <w:fldChar w:fldCharType="begin"/>
      </w:r>
      <w:r>
        <w:rPr>
          <w:rFonts w:ascii="Times New Roman" w:hAnsi="Times New Roman" w:cs="Times New Roman"/>
        </w:rPr>
        <w:instrText xml:space="preserve"> HYPERLINK \l _Toc1568 </w:instrText>
      </w:r>
      <w:r>
        <w:rPr>
          <w:rFonts w:ascii="Times New Roman" w:hAnsi="Times New Roman" w:cs="Times New Roman"/>
        </w:rPr>
        <w:fldChar w:fldCharType="separate"/>
      </w:r>
      <w:r>
        <w:rPr>
          <w:lang w:eastAsia="zh-CN"/>
        </w:rPr>
        <w:t>2</w:t>
      </w:r>
      <w:r>
        <w:t xml:space="preserve">. </w:t>
      </w:r>
      <w:r>
        <w:rPr>
          <w:rFonts w:hint="eastAsia"/>
          <w:lang w:eastAsia="zh-CN"/>
        </w:rPr>
        <w:t>现有工程回顾性评价</w:t>
      </w:r>
      <w:r>
        <w:tab/>
      </w:r>
      <w:r>
        <w:fldChar w:fldCharType="begin"/>
      </w:r>
      <w:r>
        <w:instrText xml:space="preserve"> PAGEREF _Toc1568 \h </w:instrText>
      </w:r>
      <w:r>
        <w:fldChar w:fldCharType="separate"/>
      </w:r>
      <w:r>
        <w:t>53</w:t>
      </w:r>
      <w:r>
        <w:fldChar w:fldCharType="end"/>
      </w:r>
      <w:r>
        <w:rPr>
          <w:rFonts w:ascii="Times New Roman" w:hAnsi="Times New Roman" w:cs="Times New Roman"/>
        </w:rPr>
        <w:fldChar w:fldCharType="end"/>
      </w:r>
    </w:p>
    <w:p w14:paraId="71781A77">
      <w:pPr>
        <w:pStyle w:val="46"/>
        <w:tabs>
          <w:tab w:val="right" w:leader="dot" w:pos="8505"/>
        </w:tabs>
      </w:pPr>
      <w:r>
        <w:rPr>
          <w:rFonts w:ascii="Times New Roman" w:hAnsi="Times New Roman" w:cs="Times New Roman"/>
        </w:rPr>
        <w:fldChar w:fldCharType="begin"/>
      </w:r>
      <w:r>
        <w:rPr>
          <w:rFonts w:ascii="Times New Roman" w:hAnsi="Times New Roman" w:cs="Times New Roman"/>
        </w:rPr>
        <w:instrText xml:space="preserve"> HYPERLINK \l _Toc10113 </w:instrText>
      </w:r>
      <w:r>
        <w:rPr>
          <w:rFonts w:ascii="Times New Roman" w:hAnsi="Times New Roman" w:cs="Times New Roman"/>
        </w:rPr>
        <w:fldChar w:fldCharType="separate"/>
      </w:r>
      <w:r>
        <w:t>2.1</w:t>
      </w:r>
      <w:r>
        <w:rPr>
          <w:rFonts w:hint="eastAsia"/>
        </w:rPr>
        <w:t xml:space="preserve"> 环保手续回顾及运营现状</w:t>
      </w:r>
      <w:r>
        <w:tab/>
      </w:r>
      <w:r>
        <w:fldChar w:fldCharType="begin"/>
      </w:r>
      <w:r>
        <w:instrText xml:space="preserve"> PAGEREF _Toc10113 \h </w:instrText>
      </w:r>
      <w:r>
        <w:fldChar w:fldCharType="separate"/>
      </w:r>
      <w:r>
        <w:t>53</w:t>
      </w:r>
      <w:r>
        <w:fldChar w:fldCharType="end"/>
      </w:r>
      <w:r>
        <w:rPr>
          <w:rFonts w:ascii="Times New Roman" w:hAnsi="Times New Roman" w:cs="Times New Roman"/>
        </w:rPr>
        <w:fldChar w:fldCharType="end"/>
      </w:r>
    </w:p>
    <w:p w14:paraId="21000832">
      <w:pPr>
        <w:pStyle w:val="30"/>
        <w:tabs>
          <w:tab w:val="right" w:leader="dot" w:pos="8505"/>
        </w:tabs>
      </w:pPr>
      <w:r>
        <w:rPr>
          <w:rFonts w:ascii="Times New Roman" w:hAnsi="Times New Roman" w:cs="Times New Roman"/>
        </w:rPr>
        <w:fldChar w:fldCharType="begin"/>
      </w:r>
      <w:r>
        <w:rPr>
          <w:rFonts w:ascii="Times New Roman" w:hAnsi="Times New Roman" w:cs="Times New Roman"/>
        </w:rPr>
        <w:instrText xml:space="preserve"> HYPERLINK \l _Toc18660 </w:instrText>
      </w:r>
      <w:r>
        <w:rPr>
          <w:rFonts w:ascii="Times New Roman" w:hAnsi="Times New Roman" w:cs="Times New Roman"/>
        </w:rPr>
        <w:fldChar w:fldCharType="separate"/>
      </w:r>
      <w:r>
        <w:t>2.1.</w:t>
      </w:r>
      <w:r>
        <w:rPr>
          <w:rFonts w:hint="eastAsia"/>
        </w:rPr>
        <w:t>1</w:t>
      </w:r>
      <w:r>
        <w:t xml:space="preserve"> </w:t>
      </w:r>
      <w:r>
        <w:rPr>
          <w:rFonts w:hint="eastAsia"/>
        </w:rPr>
        <w:t>环保手续回顾及运营现状</w:t>
      </w:r>
      <w:r>
        <w:tab/>
      </w:r>
      <w:r>
        <w:fldChar w:fldCharType="begin"/>
      </w:r>
      <w:r>
        <w:instrText xml:space="preserve"> PAGEREF _Toc18660 \h </w:instrText>
      </w:r>
      <w:r>
        <w:fldChar w:fldCharType="separate"/>
      </w:r>
      <w:r>
        <w:t>53</w:t>
      </w:r>
      <w:r>
        <w:fldChar w:fldCharType="end"/>
      </w:r>
      <w:r>
        <w:rPr>
          <w:rFonts w:ascii="Times New Roman" w:hAnsi="Times New Roman" w:cs="Times New Roman"/>
        </w:rPr>
        <w:fldChar w:fldCharType="end"/>
      </w:r>
    </w:p>
    <w:p w14:paraId="13A37930">
      <w:pPr>
        <w:pStyle w:val="30"/>
        <w:tabs>
          <w:tab w:val="right" w:leader="dot" w:pos="8505"/>
        </w:tabs>
      </w:pPr>
      <w:r>
        <w:rPr>
          <w:rFonts w:ascii="Times New Roman" w:hAnsi="Times New Roman" w:cs="Times New Roman"/>
        </w:rPr>
        <w:fldChar w:fldCharType="begin"/>
      </w:r>
      <w:r>
        <w:rPr>
          <w:rFonts w:ascii="Times New Roman" w:hAnsi="Times New Roman" w:cs="Times New Roman"/>
        </w:rPr>
        <w:instrText xml:space="preserve"> HYPERLINK \l _Toc1622 </w:instrText>
      </w:r>
      <w:r>
        <w:rPr>
          <w:rFonts w:ascii="Times New Roman" w:hAnsi="Times New Roman" w:cs="Times New Roman"/>
        </w:rPr>
        <w:fldChar w:fldCharType="separate"/>
      </w:r>
      <w:r>
        <w:rPr>
          <w:rFonts w:hint="eastAsia"/>
        </w:rPr>
        <w:t>2.1.2 排污许可证执行情况</w:t>
      </w:r>
      <w:r>
        <w:tab/>
      </w:r>
      <w:r>
        <w:fldChar w:fldCharType="begin"/>
      </w:r>
      <w:r>
        <w:instrText xml:space="preserve"> PAGEREF _Toc1622 \h </w:instrText>
      </w:r>
      <w:r>
        <w:fldChar w:fldCharType="separate"/>
      </w:r>
      <w:r>
        <w:t>54</w:t>
      </w:r>
      <w:r>
        <w:fldChar w:fldCharType="end"/>
      </w:r>
      <w:r>
        <w:rPr>
          <w:rFonts w:ascii="Times New Roman" w:hAnsi="Times New Roman" w:cs="Times New Roman"/>
        </w:rPr>
        <w:fldChar w:fldCharType="end"/>
      </w:r>
    </w:p>
    <w:p w14:paraId="37A97414">
      <w:pPr>
        <w:pStyle w:val="46"/>
        <w:tabs>
          <w:tab w:val="right" w:leader="dot" w:pos="8505"/>
        </w:tabs>
      </w:pPr>
      <w:r>
        <w:rPr>
          <w:rFonts w:ascii="Times New Roman" w:hAnsi="Times New Roman" w:cs="Times New Roman"/>
        </w:rPr>
        <w:fldChar w:fldCharType="begin"/>
      </w:r>
      <w:r>
        <w:rPr>
          <w:rFonts w:ascii="Times New Roman" w:hAnsi="Times New Roman" w:cs="Times New Roman"/>
        </w:rPr>
        <w:instrText xml:space="preserve"> HYPERLINK \l _Toc4765 </w:instrText>
      </w:r>
      <w:r>
        <w:rPr>
          <w:rFonts w:ascii="Times New Roman" w:hAnsi="Times New Roman" w:cs="Times New Roman"/>
        </w:rPr>
        <w:fldChar w:fldCharType="separate"/>
      </w:r>
      <w:r>
        <w:t>2.2</w:t>
      </w:r>
      <w:r>
        <w:rPr>
          <w:rFonts w:hint="eastAsia"/>
        </w:rPr>
        <w:t xml:space="preserve"> 已建工程基本情况</w:t>
      </w:r>
      <w:r>
        <w:tab/>
      </w:r>
      <w:r>
        <w:fldChar w:fldCharType="begin"/>
      </w:r>
      <w:r>
        <w:instrText xml:space="preserve"> PAGEREF _Toc4765 \h </w:instrText>
      </w:r>
      <w:r>
        <w:fldChar w:fldCharType="separate"/>
      </w:r>
      <w:r>
        <w:t>54</w:t>
      </w:r>
      <w:r>
        <w:fldChar w:fldCharType="end"/>
      </w:r>
      <w:r>
        <w:rPr>
          <w:rFonts w:ascii="Times New Roman" w:hAnsi="Times New Roman" w:cs="Times New Roman"/>
        </w:rPr>
        <w:fldChar w:fldCharType="end"/>
      </w:r>
    </w:p>
    <w:p w14:paraId="7AD884D9">
      <w:pPr>
        <w:pStyle w:val="30"/>
        <w:tabs>
          <w:tab w:val="right" w:leader="dot" w:pos="8505"/>
        </w:tabs>
      </w:pPr>
      <w:r>
        <w:rPr>
          <w:rFonts w:ascii="Times New Roman" w:hAnsi="Times New Roman" w:cs="Times New Roman"/>
        </w:rPr>
        <w:fldChar w:fldCharType="begin"/>
      </w:r>
      <w:r>
        <w:rPr>
          <w:rFonts w:ascii="Times New Roman" w:hAnsi="Times New Roman" w:cs="Times New Roman"/>
        </w:rPr>
        <w:instrText xml:space="preserve"> HYPERLINK \l _Toc25506 </w:instrText>
      </w:r>
      <w:r>
        <w:rPr>
          <w:rFonts w:ascii="Times New Roman" w:hAnsi="Times New Roman" w:cs="Times New Roman"/>
        </w:rPr>
        <w:fldChar w:fldCharType="separate"/>
      </w:r>
      <w:r>
        <w:t>2.2.</w:t>
      </w:r>
      <w:r>
        <w:rPr>
          <w:rFonts w:hint="eastAsia"/>
        </w:rPr>
        <w:t>1工程组成</w:t>
      </w:r>
      <w:r>
        <w:tab/>
      </w:r>
      <w:r>
        <w:fldChar w:fldCharType="begin"/>
      </w:r>
      <w:r>
        <w:instrText xml:space="preserve"> PAGEREF _Toc25506 \h </w:instrText>
      </w:r>
      <w:r>
        <w:fldChar w:fldCharType="separate"/>
      </w:r>
      <w:r>
        <w:t>54</w:t>
      </w:r>
      <w:r>
        <w:fldChar w:fldCharType="end"/>
      </w:r>
      <w:r>
        <w:rPr>
          <w:rFonts w:ascii="Times New Roman" w:hAnsi="Times New Roman" w:cs="Times New Roman"/>
        </w:rPr>
        <w:fldChar w:fldCharType="end"/>
      </w:r>
    </w:p>
    <w:p w14:paraId="56D97E97">
      <w:pPr>
        <w:pStyle w:val="30"/>
        <w:tabs>
          <w:tab w:val="right" w:leader="dot" w:pos="8505"/>
        </w:tabs>
      </w:pPr>
      <w:r>
        <w:rPr>
          <w:rFonts w:ascii="Times New Roman" w:hAnsi="Times New Roman" w:cs="Times New Roman"/>
        </w:rPr>
        <w:fldChar w:fldCharType="begin"/>
      </w:r>
      <w:r>
        <w:rPr>
          <w:rFonts w:ascii="Times New Roman" w:hAnsi="Times New Roman" w:cs="Times New Roman"/>
        </w:rPr>
        <w:instrText xml:space="preserve"> HYPERLINK \l _Toc1016 </w:instrText>
      </w:r>
      <w:r>
        <w:rPr>
          <w:rFonts w:ascii="Times New Roman" w:hAnsi="Times New Roman" w:cs="Times New Roman"/>
        </w:rPr>
        <w:fldChar w:fldCharType="separate"/>
      </w:r>
      <w:r>
        <w:rPr>
          <w:rFonts w:hint="eastAsia"/>
        </w:rPr>
        <w:t>2</w:t>
      </w:r>
      <w:r>
        <w:t>.</w:t>
      </w:r>
      <w:r>
        <w:rPr>
          <w:rFonts w:hint="eastAsia"/>
        </w:rPr>
        <w:t>2</w:t>
      </w:r>
      <w:r>
        <w:t xml:space="preserve">.2 </w:t>
      </w:r>
      <w:r>
        <w:rPr>
          <w:rFonts w:hint="eastAsia"/>
        </w:rPr>
        <w:t>主要生产设备</w:t>
      </w:r>
      <w:r>
        <w:tab/>
      </w:r>
      <w:r>
        <w:fldChar w:fldCharType="begin"/>
      </w:r>
      <w:r>
        <w:instrText xml:space="preserve"> PAGEREF _Toc1016 \h </w:instrText>
      </w:r>
      <w:r>
        <w:fldChar w:fldCharType="separate"/>
      </w:r>
      <w:r>
        <w:t>55</w:t>
      </w:r>
      <w:r>
        <w:fldChar w:fldCharType="end"/>
      </w:r>
      <w:r>
        <w:rPr>
          <w:rFonts w:ascii="Times New Roman" w:hAnsi="Times New Roman" w:cs="Times New Roman"/>
        </w:rPr>
        <w:fldChar w:fldCharType="end"/>
      </w:r>
    </w:p>
    <w:p w14:paraId="2C5FBEE8">
      <w:pPr>
        <w:pStyle w:val="30"/>
        <w:tabs>
          <w:tab w:val="right" w:leader="dot" w:pos="8505"/>
        </w:tabs>
      </w:pPr>
      <w:r>
        <w:rPr>
          <w:rFonts w:ascii="Times New Roman" w:hAnsi="Times New Roman" w:cs="Times New Roman"/>
        </w:rPr>
        <w:fldChar w:fldCharType="begin"/>
      </w:r>
      <w:r>
        <w:rPr>
          <w:rFonts w:ascii="Times New Roman" w:hAnsi="Times New Roman" w:cs="Times New Roman"/>
        </w:rPr>
        <w:instrText xml:space="preserve"> HYPERLINK \l _Toc18932 </w:instrText>
      </w:r>
      <w:r>
        <w:rPr>
          <w:rFonts w:ascii="Times New Roman" w:hAnsi="Times New Roman" w:cs="Times New Roman"/>
        </w:rPr>
        <w:fldChar w:fldCharType="separate"/>
      </w:r>
      <w:r>
        <w:t>2.2.</w:t>
      </w:r>
      <w:r>
        <w:rPr>
          <w:rFonts w:hint="eastAsia"/>
        </w:rPr>
        <w:t>3</w:t>
      </w:r>
      <w:r>
        <w:rPr>
          <w:rFonts w:hint="eastAsia"/>
          <w:lang w:eastAsia="zh-CN"/>
        </w:rPr>
        <w:t xml:space="preserve"> </w:t>
      </w:r>
      <w:r>
        <w:rPr>
          <w:rFonts w:hint="eastAsia"/>
        </w:rPr>
        <w:t>产品方案</w:t>
      </w:r>
      <w:r>
        <w:tab/>
      </w:r>
      <w:r>
        <w:fldChar w:fldCharType="begin"/>
      </w:r>
      <w:r>
        <w:instrText xml:space="preserve"> PAGEREF _Toc18932 \h </w:instrText>
      </w:r>
      <w:r>
        <w:fldChar w:fldCharType="separate"/>
      </w:r>
      <w:r>
        <w:t>57</w:t>
      </w:r>
      <w:r>
        <w:fldChar w:fldCharType="end"/>
      </w:r>
      <w:r>
        <w:rPr>
          <w:rFonts w:ascii="Times New Roman" w:hAnsi="Times New Roman" w:cs="Times New Roman"/>
        </w:rPr>
        <w:fldChar w:fldCharType="end"/>
      </w:r>
    </w:p>
    <w:p w14:paraId="17AA629D">
      <w:pPr>
        <w:pStyle w:val="30"/>
        <w:tabs>
          <w:tab w:val="right" w:leader="dot" w:pos="8505"/>
        </w:tabs>
      </w:pPr>
      <w:r>
        <w:rPr>
          <w:rFonts w:ascii="Times New Roman" w:hAnsi="Times New Roman" w:cs="Times New Roman"/>
        </w:rPr>
        <w:fldChar w:fldCharType="begin"/>
      </w:r>
      <w:r>
        <w:rPr>
          <w:rFonts w:ascii="Times New Roman" w:hAnsi="Times New Roman" w:cs="Times New Roman"/>
        </w:rPr>
        <w:instrText xml:space="preserve"> HYPERLINK \l _Toc8059 </w:instrText>
      </w:r>
      <w:r>
        <w:rPr>
          <w:rFonts w:ascii="Times New Roman" w:hAnsi="Times New Roman" w:cs="Times New Roman"/>
        </w:rPr>
        <w:fldChar w:fldCharType="separate"/>
      </w:r>
      <w:r>
        <w:rPr>
          <w:rFonts w:hint="eastAsia"/>
        </w:rPr>
        <w:t>2</w:t>
      </w:r>
      <w:r>
        <w:t>.</w:t>
      </w:r>
      <w:r>
        <w:rPr>
          <w:rFonts w:hint="eastAsia"/>
        </w:rPr>
        <w:t>2</w:t>
      </w:r>
      <w:r>
        <w:t>.4</w:t>
      </w:r>
      <w:r>
        <w:rPr>
          <w:rFonts w:hint="eastAsia"/>
          <w:lang w:eastAsia="zh-CN"/>
        </w:rPr>
        <w:t xml:space="preserve"> </w:t>
      </w:r>
      <w:r>
        <w:rPr>
          <w:rFonts w:hint="eastAsia"/>
        </w:rPr>
        <w:t>工艺流程</w:t>
      </w:r>
      <w:r>
        <w:rPr>
          <w:rFonts w:hint="eastAsia"/>
          <w:lang w:eastAsia="zh-CN"/>
        </w:rPr>
        <w:t>及产排污节点分析</w:t>
      </w:r>
      <w:r>
        <w:tab/>
      </w:r>
      <w:r>
        <w:fldChar w:fldCharType="begin"/>
      </w:r>
      <w:r>
        <w:instrText xml:space="preserve"> PAGEREF _Toc8059 \h </w:instrText>
      </w:r>
      <w:r>
        <w:fldChar w:fldCharType="separate"/>
      </w:r>
      <w:r>
        <w:t>57</w:t>
      </w:r>
      <w:r>
        <w:fldChar w:fldCharType="end"/>
      </w:r>
      <w:r>
        <w:rPr>
          <w:rFonts w:ascii="Times New Roman" w:hAnsi="Times New Roman" w:cs="Times New Roman"/>
        </w:rPr>
        <w:fldChar w:fldCharType="end"/>
      </w:r>
    </w:p>
    <w:p w14:paraId="2E644E09">
      <w:pPr>
        <w:pStyle w:val="46"/>
        <w:tabs>
          <w:tab w:val="right" w:leader="dot" w:pos="8505"/>
        </w:tabs>
      </w:pPr>
      <w:r>
        <w:rPr>
          <w:rFonts w:ascii="Times New Roman" w:hAnsi="Times New Roman" w:cs="Times New Roman"/>
        </w:rPr>
        <w:fldChar w:fldCharType="begin"/>
      </w:r>
      <w:r>
        <w:rPr>
          <w:rFonts w:ascii="Times New Roman" w:hAnsi="Times New Roman" w:cs="Times New Roman"/>
        </w:rPr>
        <w:instrText xml:space="preserve"> HYPERLINK \l _Toc4901 </w:instrText>
      </w:r>
      <w:r>
        <w:rPr>
          <w:rFonts w:ascii="Times New Roman" w:hAnsi="Times New Roman" w:cs="Times New Roman"/>
        </w:rPr>
        <w:fldChar w:fldCharType="separate"/>
      </w:r>
      <w:r>
        <w:t xml:space="preserve">2. </w:t>
      </w:r>
      <w:r>
        <w:rPr>
          <w:rFonts w:hint="eastAsia"/>
          <w:lang w:val="en-US" w:eastAsia="zh-CN"/>
        </w:rPr>
        <w:t>3</w:t>
      </w:r>
      <w:r>
        <w:rPr>
          <w:rFonts w:hint="eastAsia"/>
        </w:rPr>
        <w:t xml:space="preserve"> 现有工程</w:t>
      </w:r>
      <w:r>
        <w:t>主要原辅材料</w:t>
      </w:r>
      <w:r>
        <w:tab/>
      </w:r>
      <w:r>
        <w:fldChar w:fldCharType="begin"/>
      </w:r>
      <w:r>
        <w:instrText xml:space="preserve"> PAGEREF _Toc4901 \h </w:instrText>
      </w:r>
      <w:r>
        <w:fldChar w:fldCharType="separate"/>
      </w:r>
      <w:r>
        <w:t>68</w:t>
      </w:r>
      <w:r>
        <w:fldChar w:fldCharType="end"/>
      </w:r>
      <w:r>
        <w:rPr>
          <w:rFonts w:ascii="Times New Roman" w:hAnsi="Times New Roman" w:cs="Times New Roman"/>
        </w:rPr>
        <w:fldChar w:fldCharType="end"/>
      </w:r>
    </w:p>
    <w:p w14:paraId="43874641">
      <w:pPr>
        <w:pStyle w:val="30"/>
        <w:tabs>
          <w:tab w:val="right" w:leader="dot" w:pos="8505"/>
        </w:tabs>
      </w:pPr>
      <w:r>
        <w:rPr>
          <w:rFonts w:ascii="Times New Roman" w:hAnsi="Times New Roman" w:cs="Times New Roman"/>
        </w:rPr>
        <w:fldChar w:fldCharType="begin"/>
      </w:r>
      <w:r>
        <w:rPr>
          <w:rFonts w:ascii="Times New Roman" w:hAnsi="Times New Roman" w:cs="Times New Roman"/>
        </w:rPr>
        <w:instrText xml:space="preserve"> HYPERLINK \l _Toc23386 </w:instrText>
      </w:r>
      <w:r>
        <w:rPr>
          <w:rFonts w:ascii="Times New Roman" w:hAnsi="Times New Roman" w:cs="Times New Roman"/>
        </w:rPr>
        <w:fldChar w:fldCharType="separate"/>
      </w:r>
      <w:r>
        <w:rPr>
          <w:rFonts w:hint="eastAsia"/>
        </w:rPr>
        <w:t>2</w:t>
      </w:r>
      <w:r>
        <w:t>.</w:t>
      </w:r>
      <w:r>
        <w:rPr>
          <w:rFonts w:hint="eastAsia"/>
          <w:lang w:val="en-US" w:eastAsia="zh-CN"/>
        </w:rPr>
        <w:t>3</w:t>
      </w:r>
      <w:r>
        <w:t xml:space="preserve">.1 </w:t>
      </w:r>
      <w:r>
        <w:rPr>
          <w:rFonts w:hint="eastAsia"/>
        </w:rPr>
        <w:t>原辅材料消耗量</w:t>
      </w:r>
      <w:r>
        <w:tab/>
      </w:r>
      <w:r>
        <w:fldChar w:fldCharType="begin"/>
      </w:r>
      <w:r>
        <w:instrText xml:space="preserve"> PAGEREF _Toc23386 \h </w:instrText>
      </w:r>
      <w:r>
        <w:fldChar w:fldCharType="separate"/>
      </w:r>
      <w:r>
        <w:t>68</w:t>
      </w:r>
      <w:r>
        <w:fldChar w:fldCharType="end"/>
      </w:r>
      <w:r>
        <w:rPr>
          <w:rFonts w:ascii="Times New Roman" w:hAnsi="Times New Roman" w:cs="Times New Roman"/>
        </w:rPr>
        <w:fldChar w:fldCharType="end"/>
      </w:r>
    </w:p>
    <w:p w14:paraId="0C27F36C">
      <w:pPr>
        <w:pStyle w:val="30"/>
        <w:tabs>
          <w:tab w:val="right" w:leader="dot" w:pos="8505"/>
        </w:tabs>
      </w:pPr>
      <w:r>
        <w:rPr>
          <w:rFonts w:ascii="Times New Roman" w:hAnsi="Times New Roman" w:cs="Times New Roman"/>
        </w:rPr>
        <w:fldChar w:fldCharType="begin"/>
      </w:r>
      <w:r>
        <w:rPr>
          <w:rFonts w:ascii="Times New Roman" w:hAnsi="Times New Roman" w:cs="Times New Roman"/>
        </w:rPr>
        <w:instrText xml:space="preserve"> HYPERLINK \l _Toc22867 </w:instrText>
      </w:r>
      <w:r>
        <w:rPr>
          <w:rFonts w:ascii="Times New Roman" w:hAnsi="Times New Roman" w:cs="Times New Roman"/>
        </w:rPr>
        <w:fldChar w:fldCharType="separate"/>
      </w:r>
      <w:r>
        <w:rPr>
          <w:rFonts w:hint="eastAsia"/>
        </w:rPr>
        <w:t>2</w:t>
      </w:r>
      <w:r>
        <w:t>.</w:t>
      </w:r>
      <w:r>
        <w:rPr>
          <w:rFonts w:hint="eastAsia"/>
          <w:lang w:val="en-US" w:eastAsia="zh-CN"/>
        </w:rPr>
        <w:t>3</w:t>
      </w:r>
      <w:r>
        <w:t>.</w:t>
      </w:r>
      <w:r>
        <w:rPr>
          <w:rFonts w:hint="eastAsia"/>
        </w:rPr>
        <w:t>2</w:t>
      </w:r>
      <w:r>
        <w:t xml:space="preserve"> </w:t>
      </w:r>
      <w:r>
        <w:rPr>
          <w:rFonts w:hint="eastAsia"/>
        </w:rPr>
        <w:t>原辅材料性质及运输方式</w:t>
      </w:r>
      <w:r>
        <w:tab/>
      </w:r>
      <w:r>
        <w:fldChar w:fldCharType="begin"/>
      </w:r>
      <w:r>
        <w:instrText xml:space="preserve"> PAGEREF _Toc22867 \h </w:instrText>
      </w:r>
      <w:r>
        <w:fldChar w:fldCharType="separate"/>
      </w:r>
      <w:r>
        <w:t>68</w:t>
      </w:r>
      <w:r>
        <w:fldChar w:fldCharType="end"/>
      </w:r>
      <w:r>
        <w:rPr>
          <w:rFonts w:ascii="Times New Roman" w:hAnsi="Times New Roman" w:cs="Times New Roman"/>
        </w:rPr>
        <w:fldChar w:fldCharType="end"/>
      </w:r>
    </w:p>
    <w:p w14:paraId="37C8E579">
      <w:pPr>
        <w:pStyle w:val="46"/>
        <w:tabs>
          <w:tab w:val="right" w:leader="dot" w:pos="8505"/>
        </w:tabs>
      </w:pPr>
      <w:r>
        <w:rPr>
          <w:rFonts w:ascii="Times New Roman" w:hAnsi="Times New Roman" w:cs="Times New Roman"/>
        </w:rPr>
        <w:fldChar w:fldCharType="begin"/>
      </w:r>
      <w:r>
        <w:rPr>
          <w:rFonts w:ascii="Times New Roman" w:hAnsi="Times New Roman" w:cs="Times New Roman"/>
        </w:rPr>
        <w:instrText xml:space="preserve"> HYPERLINK \l _Toc23308 </w:instrText>
      </w:r>
      <w:r>
        <w:rPr>
          <w:rFonts w:ascii="Times New Roman" w:hAnsi="Times New Roman" w:cs="Times New Roman"/>
        </w:rPr>
        <w:fldChar w:fldCharType="separate"/>
      </w:r>
      <w:r>
        <w:t>2.</w:t>
      </w:r>
      <w:r>
        <w:rPr>
          <w:rFonts w:hint="eastAsia"/>
          <w:lang w:val="en-US" w:eastAsia="zh-CN"/>
        </w:rPr>
        <w:t>4</w:t>
      </w:r>
      <w:r>
        <w:rPr>
          <w:rFonts w:hint="eastAsia"/>
        </w:rPr>
        <w:t xml:space="preserve"> 现有工程储运工程</w:t>
      </w:r>
      <w:r>
        <w:tab/>
      </w:r>
      <w:r>
        <w:fldChar w:fldCharType="begin"/>
      </w:r>
      <w:r>
        <w:instrText xml:space="preserve"> PAGEREF _Toc23308 \h </w:instrText>
      </w:r>
      <w:r>
        <w:fldChar w:fldCharType="separate"/>
      </w:r>
      <w:r>
        <w:t>70</w:t>
      </w:r>
      <w:r>
        <w:fldChar w:fldCharType="end"/>
      </w:r>
      <w:r>
        <w:rPr>
          <w:rFonts w:ascii="Times New Roman" w:hAnsi="Times New Roman" w:cs="Times New Roman"/>
        </w:rPr>
        <w:fldChar w:fldCharType="end"/>
      </w:r>
    </w:p>
    <w:p w14:paraId="50905733">
      <w:pPr>
        <w:pStyle w:val="46"/>
        <w:tabs>
          <w:tab w:val="right" w:leader="dot" w:pos="8505"/>
        </w:tabs>
      </w:pPr>
      <w:r>
        <w:rPr>
          <w:rFonts w:ascii="Times New Roman" w:hAnsi="Times New Roman" w:cs="Times New Roman"/>
        </w:rPr>
        <w:fldChar w:fldCharType="begin"/>
      </w:r>
      <w:r>
        <w:rPr>
          <w:rFonts w:ascii="Times New Roman" w:hAnsi="Times New Roman" w:cs="Times New Roman"/>
        </w:rPr>
        <w:instrText xml:space="preserve"> HYPERLINK \l _Toc9380 </w:instrText>
      </w:r>
      <w:r>
        <w:rPr>
          <w:rFonts w:ascii="Times New Roman" w:hAnsi="Times New Roman" w:cs="Times New Roman"/>
        </w:rPr>
        <w:fldChar w:fldCharType="separate"/>
      </w:r>
      <w:r>
        <w:t>2.</w:t>
      </w:r>
      <w:r>
        <w:rPr>
          <w:rFonts w:hint="eastAsia"/>
          <w:lang w:val="en-US" w:eastAsia="zh-CN"/>
        </w:rPr>
        <w:t>5</w:t>
      </w:r>
      <w:r>
        <w:rPr>
          <w:rFonts w:hint="eastAsia"/>
        </w:rPr>
        <w:t xml:space="preserve"> 现有工程公辅工程</w:t>
      </w:r>
      <w:r>
        <w:tab/>
      </w:r>
      <w:r>
        <w:fldChar w:fldCharType="begin"/>
      </w:r>
      <w:r>
        <w:instrText xml:space="preserve"> PAGEREF _Toc9380 \h </w:instrText>
      </w:r>
      <w:r>
        <w:fldChar w:fldCharType="separate"/>
      </w:r>
      <w:r>
        <w:t>70</w:t>
      </w:r>
      <w:r>
        <w:fldChar w:fldCharType="end"/>
      </w:r>
      <w:r>
        <w:rPr>
          <w:rFonts w:ascii="Times New Roman" w:hAnsi="Times New Roman" w:cs="Times New Roman"/>
        </w:rPr>
        <w:fldChar w:fldCharType="end"/>
      </w:r>
    </w:p>
    <w:p w14:paraId="339ED647">
      <w:pPr>
        <w:pStyle w:val="46"/>
        <w:tabs>
          <w:tab w:val="right" w:leader="dot" w:pos="8505"/>
        </w:tabs>
      </w:pPr>
      <w:r>
        <w:rPr>
          <w:rFonts w:ascii="Times New Roman" w:hAnsi="Times New Roman" w:cs="Times New Roman"/>
        </w:rPr>
        <w:fldChar w:fldCharType="begin"/>
      </w:r>
      <w:r>
        <w:rPr>
          <w:rFonts w:ascii="Times New Roman" w:hAnsi="Times New Roman" w:cs="Times New Roman"/>
        </w:rPr>
        <w:instrText xml:space="preserve"> HYPERLINK \l _Toc22148 </w:instrText>
      </w:r>
      <w:r>
        <w:rPr>
          <w:rFonts w:ascii="Times New Roman" w:hAnsi="Times New Roman" w:cs="Times New Roman"/>
        </w:rPr>
        <w:fldChar w:fldCharType="separate"/>
      </w:r>
      <w:r>
        <w:t>2.</w:t>
      </w:r>
      <w:r>
        <w:rPr>
          <w:rFonts w:hint="eastAsia"/>
          <w:lang w:val="en-US" w:eastAsia="zh-CN"/>
        </w:rPr>
        <w:t>6</w:t>
      </w:r>
      <w:r>
        <w:rPr>
          <w:rFonts w:hint="eastAsia"/>
        </w:rPr>
        <w:t xml:space="preserve"> 现有工程劳动定员与工作制度</w:t>
      </w:r>
      <w:r>
        <w:tab/>
      </w:r>
      <w:r>
        <w:fldChar w:fldCharType="begin"/>
      </w:r>
      <w:r>
        <w:instrText xml:space="preserve"> PAGEREF _Toc22148 \h </w:instrText>
      </w:r>
      <w:r>
        <w:fldChar w:fldCharType="separate"/>
      </w:r>
      <w:r>
        <w:t>71</w:t>
      </w:r>
      <w:r>
        <w:fldChar w:fldCharType="end"/>
      </w:r>
      <w:r>
        <w:rPr>
          <w:rFonts w:ascii="Times New Roman" w:hAnsi="Times New Roman" w:cs="Times New Roman"/>
        </w:rPr>
        <w:fldChar w:fldCharType="end"/>
      </w:r>
    </w:p>
    <w:p w14:paraId="0B419716">
      <w:pPr>
        <w:pStyle w:val="46"/>
        <w:tabs>
          <w:tab w:val="right" w:leader="dot" w:pos="8505"/>
        </w:tabs>
      </w:pPr>
      <w:r>
        <w:rPr>
          <w:rFonts w:ascii="Times New Roman" w:hAnsi="Times New Roman" w:cs="Times New Roman"/>
        </w:rPr>
        <w:fldChar w:fldCharType="begin"/>
      </w:r>
      <w:r>
        <w:rPr>
          <w:rFonts w:ascii="Times New Roman" w:hAnsi="Times New Roman" w:cs="Times New Roman"/>
        </w:rPr>
        <w:instrText xml:space="preserve"> HYPERLINK \l _Toc25622 </w:instrText>
      </w:r>
      <w:r>
        <w:rPr>
          <w:rFonts w:ascii="Times New Roman" w:hAnsi="Times New Roman" w:cs="Times New Roman"/>
        </w:rPr>
        <w:fldChar w:fldCharType="separate"/>
      </w:r>
      <w:r>
        <w:t>2.</w:t>
      </w:r>
      <w:r>
        <w:rPr>
          <w:rFonts w:hint="eastAsia"/>
          <w:lang w:val="en-US" w:eastAsia="zh-CN"/>
        </w:rPr>
        <w:t>7</w:t>
      </w:r>
      <w:r>
        <w:rPr>
          <w:rFonts w:hint="eastAsia"/>
        </w:rPr>
        <w:t xml:space="preserve"> 现有工程总平面布置</w:t>
      </w:r>
      <w:r>
        <w:tab/>
      </w:r>
      <w:r>
        <w:fldChar w:fldCharType="begin"/>
      </w:r>
      <w:r>
        <w:instrText xml:space="preserve"> PAGEREF _Toc25622 \h </w:instrText>
      </w:r>
      <w:r>
        <w:fldChar w:fldCharType="separate"/>
      </w:r>
      <w:r>
        <w:t>71</w:t>
      </w:r>
      <w:r>
        <w:fldChar w:fldCharType="end"/>
      </w:r>
      <w:r>
        <w:rPr>
          <w:rFonts w:ascii="Times New Roman" w:hAnsi="Times New Roman" w:cs="Times New Roman"/>
        </w:rPr>
        <w:fldChar w:fldCharType="end"/>
      </w:r>
    </w:p>
    <w:p w14:paraId="467DAC60">
      <w:pPr>
        <w:pStyle w:val="46"/>
        <w:tabs>
          <w:tab w:val="right" w:leader="dot" w:pos="8505"/>
        </w:tabs>
      </w:pPr>
      <w:r>
        <w:rPr>
          <w:rFonts w:ascii="Times New Roman" w:hAnsi="Times New Roman" w:cs="Times New Roman"/>
        </w:rPr>
        <w:fldChar w:fldCharType="begin"/>
      </w:r>
      <w:r>
        <w:rPr>
          <w:rFonts w:ascii="Times New Roman" w:hAnsi="Times New Roman" w:cs="Times New Roman"/>
        </w:rPr>
        <w:instrText xml:space="preserve"> HYPERLINK \l _Toc9275 </w:instrText>
      </w:r>
      <w:r>
        <w:rPr>
          <w:rFonts w:ascii="Times New Roman" w:hAnsi="Times New Roman" w:cs="Times New Roman"/>
        </w:rPr>
        <w:fldChar w:fldCharType="separate"/>
      </w:r>
      <w:r>
        <w:t>2.</w:t>
      </w:r>
      <w:r>
        <w:rPr>
          <w:rFonts w:hint="eastAsia"/>
          <w:lang w:val="en-US" w:eastAsia="zh-CN"/>
        </w:rPr>
        <w:t>8</w:t>
      </w:r>
      <w:r>
        <w:t xml:space="preserve"> </w:t>
      </w:r>
      <w:r>
        <w:rPr>
          <w:rFonts w:hint="eastAsia"/>
        </w:rPr>
        <w:t>现有工程平衡分析</w:t>
      </w:r>
      <w:r>
        <w:tab/>
      </w:r>
      <w:r>
        <w:fldChar w:fldCharType="begin"/>
      </w:r>
      <w:r>
        <w:instrText xml:space="preserve"> PAGEREF _Toc9275 \h </w:instrText>
      </w:r>
      <w:r>
        <w:fldChar w:fldCharType="separate"/>
      </w:r>
      <w:r>
        <w:t>72</w:t>
      </w:r>
      <w:r>
        <w:fldChar w:fldCharType="end"/>
      </w:r>
      <w:r>
        <w:rPr>
          <w:rFonts w:ascii="Times New Roman" w:hAnsi="Times New Roman" w:cs="Times New Roman"/>
        </w:rPr>
        <w:fldChar w:fldCharType="end"/>
      </w:r>
    </w:p>
    <w:p w14:paraId="7374B37B">
      <w:pPr>
        <w:pStyle w:val="30"/>
        <w:tabs>
          <w:tab w:val="right" w:leader="dot" w:pos="8505"/>
        </w:tabs>
      </w:pPr>
      <w:r>
        <w:rPr>
          <w:rFonts w:ascii="Times New Roman" w:hAnsi="Times New Roman" w:cs="Times New Roman"/>
        </w:rPr>
        <w:fldChar w:fldCharType="begin"/>
      </w:r>
      <w:r>
        <w:rPr>
          <w:rFonts w:ascii="Times New Roman" w:hAnsi="Times New Roman" w:cs="Times New Roman"/>
        </w:rPr>
        <w:instrText xml:space="preserve"> HYPERLINK \l _Toc29164 </w:instrText>
      </w:r>
      <w:r>
        <w:rPr>
          <w:rFonts w:ascii="Times New Roman" w:hAnsi="Times New Roman" w:cs="Times New Roman"/>
        </w:rPr>
        <w:fldChar w:fldCharType="separate"/>
      </w:r>
      <w:r>
        <w:t>2.</w:t>
      </w:r>
      <w:r>
        <w:rPr>
          <w:rFonts w:hint="eastAsia"/>
          <w:lang w:val="en-US" w:eastAsia="zh-CN"/>
        </w:rPr>
        <w:t>8</w:t>
      </w:r>
      <w:r>
        <w:t>.</w:t>
      </w:r>
      <w:r>
        <w:rPr>
          <w:rFonts w:hint="eastAsia"/>
        </w:rPr>
        <w:t>1</w:t>
      </w:r>
      <w:r>
        <w:t xml:space="preserve"> </w:t>
      </w:r>
      <w:r>
        <w:rPr>
          <w:rFonts w:hint="eastAsia"/>
          <w:lang w:eastAsia="zh-CN"/>
        </w:rPr>
        <w:t>物料平衡</w:t>
      </w:r>
      <w:r>
        <w:tab/>
      </w:r>
      <w:r>
        <w:fldChar w:fldCharType="begin"/>
      </w:r>
      <w:r>
        <w:instrText xml:space="preserve"> PAGEREF _Toc29164 \h </w:instrText>
      </w:r>
      <w:r>
        <w:fldChar w:fldCharType="separate"/>
      </w:r>
      <w:r>
        <w:t>72</w:t>
      </w:r>
      <w:r>
        <w:fldChar w:fldCharType="end"/>
      </w:r>
      <w:r>
        <w:rPr>
          <w:rFonts w:ascii="Times New Roman" w:hAnsi="Times New Roman" w:cs="Times New Roman"/>
        </w:rPr>
        <w:fldChar w:fldCharType="end"/>
      </w:r>
    </w:p>
    <w:p w14:paraId="74570CFD">
      <w:pPr>
        <w:pStyle w:val="30"/>
        <w:tabs>
          <w:tab w:val="right" w:leader="dot" w:pos="8505"/>
        </w:tabs>
      </w:pPr>
      <w:r>
        <w:rPr>
          <w:rFonts w:ascii="Times New Roman" w:hAnsi="Times New Roman" w:cs="Times New Roman"/>
        </w:rPr>
        <w:fldChar w:fldCharType="begin"/>
      </w:r>
      <w:r>
        <w:rPr>
          <w:rFonts w:ascii="Times New Roman" w:hAnsi="Times New Roman" w:cs="Times New Roman"/>
        </w:rPr>
        <w:instrText xml:space="preserve"> HYPERLINK \l _Toc17511 </w:instrText>
      </w:r>
      <w:r>
        <w:rPr>
          <w:rFonts w:ascii="Times New Roman" w:hAnsi="Times New Roman" w:cs="Times New Roman"/>
        </w:rPr>
        <w:fldChar w:fldCharType="separate"/>
      </w:r>
      <w:r>
        <w:t>2.</w:t>
      </w:r>
      <w:r>
        <w:rPr>
          <w:rFonts w:hint="eastAsia"/>
          <w:lang w:val="en-US" w:eastAsia="zh-CN"/>
        </w:rPr>
        <w:t>8</w:t>
      </w:r>
      <w:r>
        <w:t>.</w:t>
      </w:r>
      <w:r>
        <w:rPr>
          <w:rFonts w:hint="eastAsia"/>
        </w:rPr>
        <w:t>2</w:t>
      </w:r>
      <w:r>
        <w:t xml:space="preserve"> </w:t>
      </w:r>
      <w:r>
        <w:rPr>
          <w:rFonts w:hint="eastAsia"/>
          <w:lang w:eastAsia="zh-CN"/>
        </w:rPr>
        <w:t>铁元素平衡</w:t>
      </w:r>
      <w:r>
        <w:tab/>
      </w:r>
      <w:r>
        <w:fldChar w:fldCharType="begin"/>
      </w:r>
      <w:r>
        <w:instrText xml:space="preserve"> PAGEREF _Toc17511 \h </w:instrText>
      </w:r>
      <w:r>
        <w:fldChar w:fldCharType="separate"/>
      </w:r>
      <w:r>
        <w:t>72</w:t>
      </w:r>
      <w:r>
        <w:fldChar w:fldCharType="end"/>
      </w:r>
      <w:r>
        <w:rPr>
          <w:rFonts w:ascii="Times New Roman" w:hAnsi="Times New Roman" w:cs="Times New Roman"/>
        </w:rPr>
        <w:fldChar w:fldCharType="end"/>
      </w:r>
    </w:p>
    <w:p w14:paraId="5D2E751E">
      <w:pPr>
        <w:pStyle w:val="46"/>
        <w:tabs>
          <w:tab w:val="right" w:leader="dot" w:pos="8505"/>
        </w:tabs>
      </w:pPr>
      <w:r>
        <w:rPr>
          <w:rFonts w:ascii="Times New Roman" w:hAnsi="Times New Roman" w:cs="Times New Roman"/>
        </w:rPr>
        <w:fldChar w:fldCharType="begin"/>
      </w:r>
      <w:r>
        <w:rPr>
          <w:rFonts w:ascii="Times New Roman" w:hAnsi="Times New Roman" w:cs="Times New Roman"/>
        </w:rPr>
        <w:instrText xml:space="preserve"> HYPERLINK \l _Toc10366 </w:instrText>
      </w:r>
      <w:r>
        <w:rPr>
          <w:rFonts w:ascii="Times New Roman" w:hAnsi="Times New Roman" w:cs="Times New Roman"/>
        </w:rPr>
        <w:fldChar w:fldCharType="separate"/>
      </w:r>
      <w:r>
        <w:t>2.</w:t>
      </w:r>
      <w:r>
        <w:rPr>
          <w:rFonts w:hint="eastAsia"/>
          <w:lang w:val="en-US" w:eastAsia="zh-CN"/>
        </w:rPr>
        <w:t>9</w:t>
      </w:r>
      <w:r>
        <w:t xml:space="preserve"> </w:t>
      </w:r>
      <w:r>
        <w:rPr>
          <w:rFonts w:hint="eastAsia"/>
        </w:rPr>
        <w:t>现有工程污染源治理及达标排放情况</w:t>
      </w:r>
      <w:r>
        <w:tab/>
      </w:r>
      <w:r>
        <w:fldChar w:fldCharType="begin"/>
      </w:r>
      <w:r>
        <w:instrText xml:space="preserve"> PAGEREF _Toc10366 \h </w:instrText>
      </w:r>
      <w:r>
        <w:fldChar w:fldCharType="separate"/>
      </w:r>
      <w:r>
        <w:t>72</w:t>
      </w:r>
      <w:r>
        <w:fldChar w:fldCharType="end"/>
      </w:r>
      <w:r>
        <w:rPr>
          <w:rFonts w:ascii="Times New Roman" w:hAnsi="Times New Roman" w:cs="Times New Roman"/>
        </w:rPr>
        <w:fldChar w:fldCharType="end"/>
      </w:r>
    </w:p>
    <w:p w14:paraId="4C826C26">
      <w:pPr>
        <w:pStyle w:val="30"/>
        <w:tabs>
          <w:tab w:val="right" w:leader="dot" w:pos="8505"/>
        </w:tabs>
      </w:pPr>
      <w:r>
        <w:rPr>
          <w:rFonts w:ascii="Times New Roman" w:hAnsi="Times New Roman" w:cs="Times New Roman"/>
        </w:rPr>
        <w:fldChar w:fldCharType="begin"/>
      </w:r>
      <w:r>
        <w:rPr>
          <w:rFonts w:ascii="Times New Roman" w:hAnsi="Times New Roman" w:cs="Times New Roman"/>
        </w:rPr>
        <w:instrText xml:space="preserve"> HYPERLINK \l _Toc32534 </w:instrText>
      </w:r>
      <w:r>
        <w:rPr>
          <w:rFonts w:ascii="Times New Roman" w:hAnsi="Times New Roman" w:cs="Times New Roman"/>
        </w:rPr>
        <w:fldChar w:fldCharType="separate"/>
      </w:r>
      <w:r>
        <w:t>2.</w:t>
      </w:r>
      <w:r>
        <w:rPr>
          <w:rFonts w:hint="eastAsia"/>
          <w:lang w:val="en-US" w:eastAsia="zh-CN"/>
        </w:rPr>
        <w:t>9</w:t>
      </w:r>
      <w:r>
        <w:t>.</w:t>
      </w:r>
      <w:r>
        <w:rPr>
          <w:rFonts w:hint="eastAsia"/>
        </w:rPr>
        <w:t>1</w:t>
      </w:r>
      <w:r>
        <w:t xml:space="preserve"> </w:t>
      </w:r>
      <w:r>
        <w:rPr>
          <w:rFonts w:hint="eastAsia"/>
        </w:rPr>
        <w:t>废气</w:t>
      </w:r>
      <w:r>
        <w:tab/>
      </w:r>
      <w:r>
        <w:fldChar w:fldCharType="begin"/>
      </w:r>
      <w:r>
        <w:instrText xml:space="preserve"> PAGEREF _Toc32534 \h </w:instrText>
      </w:r>
      <w:r>
        <w:fldChar w:fldCharType="separate"/>
      </w:r>
      <w:r>
        <w:t>72</w:t>
      </w:r>
      <w:r>
        <w:fldChar w:fldCharType="end"/>
      </w:r>
      <w:r>
        <w:rPr>
          <w:rFonts w:ascii="Times New Roman" w:hAnsi="Times New Roman" w:cs="Times New Roman"/>
        </w:rPr>
        <w:fldChar w:fldCharType="end"/>
      </w:r>
    </w:p>
    <w:p w14:paraId="2BA66D5D">
      <w:pPr>
        <w:pStyle w:val="30"/>
        <w:tabs>
          <w:tab w:val="right" w:leader="dot" w:pos="8505"/>
        </w:tabs>
      </w:pPr>
      <w:r>
        <w:rPr>
          <w:rFonts w:ascii="Times New Roman" w:hAnsi="Times New Roman" w:cs="Times New Roman"/>
        </w:rPr>
        <w:fldChar w:fldCharType="begin"/>
      </w:r>
      <w:r>
        <w:rPr>
          <w:rFonts w:ascii="Times New Roman" w:hAnsi="Times New Roman" w:cs="Times New Roman"/>
        </w:rPr>
        <w:instrText xml:space="preserve"> HYPERLINK \l _Toc29290 </w:instrText>
      </w:r>
      <w:r>
        <w:rPr>
          <w:rFonts w:ascii="Times New Roman" w:hAnsi="Times New Roman" w:cs="Times New Roman"/>
        </w:rPr>
        <w:fldChar w:fldCharType="separate"/>
      </w:r>
      <w:r>
        <w:t>2.</w:t>
      </w:r>
      <w:r>
        <w:rPr>
          <w:rFonts w:hint="eastAsia"/>
          <w:lang w:val="en-US" w:eastAsia="zh-CN"/>
        </w:rPr>
        <w:t>9</w:t>
      </w:r>
      <w:r>
        <w:t>.</w:t>
      </w:r>
      <w:r>
        <w:rPr>
          <w:rFonts w:hint="eastAsia"/>
        </w:rPr>
        <w:t>2</w:t>
      </w:r>
      <w:r>
        <w:t xml:space="preserve"> </w:t>
      </w:r>
      <w:r>
        <w:rPr>
          <w:rFonts w:hint="eastAsia"/>
        </w:rPr>
        <w:t>废水</w:t>
      </w:r>
      <w:r>
        <w:tab/>
      </w:r>
      <w:r>
        <w:fldChar w:fldCharType="begin"/>
      </w:r>
      <w:r>
        <w:instrText xml:space="preserve"> PAGEREF _Toc29290 \h </w:instrText>
      </w:r>
      <w:r>
        <w:fldChar w:fldCharType="separate"/>
      </w:r>
      <w:r>
        <w:t>76</w:t>
      </w:r>
      <w:r>
        <w:fldChar w:fldCharType="end"/>
      </w:r>
      <w:r>
        <w:rPr>
          <w:rFonts w:ascii="Times New Roman" w:hAnsi="Times New Roman" w:cs="Times New Roman"/>
        </w:rPr>
        <w:fldChar w:fldCharType="end"/>
      </w:r>
    </w:p>
    <w:p w14:paraId="3F04FF94">
      <w:pPr>
        <w:pStyle w:val="30"/>
        <w:tabs>
          <w:tab w:val="right" w:leader="dot" w:pos="8505"/>
        </w:tabs>
      </w:pPr>
      <w:r>
        <w:rPr>
          <w:rFonts w:ascii="Times New Roman" w:hAnsi="Times New Roman" w:cs="Times New Roman"/>
        </w:rPr>
        <w:fldChar w:fldCharType="begin"/>
      </w:r>
      <w:r>
        <w:rPr>
          <w:rFonts w:ascii="Times New Roman" w:hAnsi="Times New Roman" w:cs="Times New Roman"/>
        </w:rPr>
        <w:instrText xml:space="preserve"> HYPERLINK \l _Toc29706 </w:instrText>
      </w:r>
      <w:r>
        <w:rPr>
          <w:rFonts w:ascii="Times New Roman" w:hAnsi="Times New Roman" w:cs="Times New Roman"/>
        </w:rPr>
        <w:fldChar w:fldCharType="separate"/>
      </w:r>
      <w:r>
        <w:t>2.</w:t>
      </w:r>
      <w:r>
        <w:rPr>
          <w:rFonts w:hint="eastAsia"/>
          <w:lang w:val="en-US" w:eastAsia="zh-CN"/>
        </w:rPr>
        <w:t>9</w:t>
      </w:r>
      <w:r>
        <w:t>.</w:t>
      </w:r>
      <w:r>
        <w:rPr>
          <w:rFonts w:hint="eastAsia"/>
        </w:rPr>
        <w:t>3</w:t>
      </w:r>
      <w:r>
        <w:t xml:space="preserve"> </w:t>
      </w:r>
      <w:r>
        <w:rPr>
          <w:rFonts w:hint="eastAsia"/>
        </w:rPr>
        <w:t>噪声</w:t>
      </w:r>
      <w:r>
        <w:tab/>
      </w:r>
      <w:r>
        <w:fldChar w:fldCharType="begin"/>
      </w:r>
      <w:r>
        <w:instrText xml:space="preserve"> PAGEREF _Toc29706 \h </w:instrText>
      </w:r>
      <w:r>
        <w:fldChar w:fldCharType="separate"/>
      </w:r>
      <w:r>
        <w:t>76</w:t>
      </w:r>
      <w:r>
        <w:fldChar w:fldCharType="end"/>
      </w:r>
      <w:r>
        <w:rPr>
          <w:rFonts w:ascii="Times New Roman" w:hAnsi="Times New Roman" w:cs="Times New Roman"/>
        </w:rPr>
        <w:fldChar w:fldCharType="end"/>
      </w:r>
    </w:p>
    <w:p w14:paraId="23B0016F">
      <w:pPr>
        <w:pStyle w:val="30"/>
        <w:tabs>
          <w:tab w:val="right" w:leader="dot" w:pos="8505"/>
        </w:tabs>
      </w:pPr>
      <w:r>
        <w:rPr>
          <w:rFonts w:ascii="Times New Roman" w:hAnsi="Times New Roman" w:cs="Times New Roman"/>
        </w:rPr>
        <w:fldChar w:fldCharType="begin"/>
      </w:r>
      <w:r>
        <w:rPr>
          <w:rFonts w:ascii="Times New Roman" w:hAnsi="Times New Roman" w:cs="Times New Roman"/>
        </w:rPr>
        <w:instrText xml:space="preserve"> HYPERLINK \l _Toc22912 </w:instrText>
      </w:r>
      <w:r>
        <w:rPr>
          <w:rFonts w:ascii="Times New Roman" w:hAnsi="Times New Roman" w:cs="Times New Roman"/>
        </w:rPr>
        <w:fldChar w:fldCharType="separate"/>
      </w:r>
      <w:r>
        <w:t>2.</w:t>
      </w:r>
      <w:r>
        <w:rPr>
          <w:rFonts w:hint="eastAsia"/>
          <w:lang w:val="en-US" w:eastAsia="zh-CN"/>
        </w:rPr>
        <w:t>9</w:t>
      </w:r>
      <w:r>
        <w:t>.</w:t>
      </w:r>
      <w:r>
        <w:rPr>
          <w:rFonts w:hint="eastAsia"/>
        </w:rPr>
        <w:t>4</w:t>
      </w:r>
      <w:r>
        <w:t xml:space="preserve"> </w:t>
      </w:r>
      <w:r>
        <w:rPr>
          <w:rFonts w:hint="eastAsia"/>
        </w:rPr>
        <w:t>固体废物</w:t>
      </w:r>
      <w:r>
        <w:tab/>
      </w:r>
      <w:r>
        <w:fldChar w:fldCharType="begin"/>
      </w:r>
      <w:r>
        <w:instrText xml:space="preserve"> PAGEREF _Toc22912 \h </w:instrText>
      </w:r>
      <w:r>
        <w:fldChar w:fldCharType="separate"/>
      </w:r>
      <w:r>
        <w:t>76</w:t>
      </w:r>
      <w:r>
        <w:fldChar w:fldCharType="end"/>
      </w:r>
      <w:r>
        <w:rPr>
          <w:rFonts w:ascii="Times New Roman" w:hAnsi="Times New Roman" w:cs="Times New Roman"/>
        </w:rPr>
        <w:fldChar w:fldCharType="end"/>
      </w:r>
    </w:p>
    <w:p w14:paraId="73C0AC09">
      <w:pPr>
        <w:pStyle w:val="46"/>
        <w:tabs>
          <w:tab w:val="right" w:leader="dot" w:pos="8505"/>
        </w:tabs>
      </w:pPr>
      <w:r>
        <w:rPr>
          <w:rFonts w:ascii="Times New Roman" w:hAnsi="Times New Roman" w:cs="Times New Roman"/>
        </w:rPr>
        <w:fldChar w:fldCharType="begin"/>
      </w:r>
      <w:r>
        <w:rPr>
          <w:rFonts w:ascii="Times New Roman" w:hAnsi="Times New Roman" w:cs="Times New Roman"/>
        </w:rPr>
        <w:instrText xml:space="preserve"> HYPERLINK \l _Toc12937 </w:instrText>
      </w:r>
      <w:r>
        <w:rPr>
          <w:rFonts w:ascii="Times New Roman" w:hAnsi="Times New Roman" w:cs="Times New Roman"/>
        </w:rPr>
        <w:fldChar w:fldCharType="separate"/>
      </w:r>
      <w:r>
        <w:t>2.</w:t>
      </w:r>
      <w:r>
        <w:rPr>
          <w:rFonts w:hint="eastAsia"/>
        </w:rPr>
        <w:t>1</w:t>
      </w:r>
      <w:r>
        <w:rPr>
          <w:rFonts w:hint="eastAsia"/>
          <w:lang w:val="en-US" w:eastAsia="zh-CN"/>
        </w:rPr>
        <w:t>0</w:t>
      </w:r>
      <w:r>
        <w:t xml:space="preserve"> </w:t>
      </w:r>
      <w:r>
        <w:rPr>
          <w:rFonts w:hint="eastAsia"/>
        </w:rPr>
        <w:t>现有工程污染物排放量汇总</w:t>
      </w:r>
      <w:r>
        <w:tab/>
      </w:r>
      <w:r>
        <w:fldChar w:fldCharType="begin"/>
      </w:r>
      <w:r>
        <w:instrText xml:space="preserve"> PAGEREF _Toc12937 \h </w:instrText>
      </w:r>
      <w:r>
        <w:fldChar w:fldCharType="separate"/>
      </w:r>
      <w:r>
        <w:t>77</w:t>
      </w:r>
      <w:r>
        <w:fldChar w:fldCharType="end"/>
      </w:r>
      <w:r>
        <w:rPr>
          <w:rFonts w:ascii="Times New Roman" w:hAnsi="Times New Roman" w:cs="Times New Roman"/>
        </w:rPr>
        <w:fldChar w:fldCharType="end"/>
      </w:r>
    </w:p>
    <w:p w14:paraId="376463ED">
      <w:pPr>
        <w:pStyle w:val="30"/>
        <w:tabs>
          <w:tab w:val="right" w:leader="dot" w:pos="8505"/>
        </w:tabs>
      </w:pPr>
      <w:r>
        <w:rPr>
          <w:rFonts w:ascii="Times New Roman" w:hAnsi="Times New Roman" w:cs="Times New Roman"/>
        </w:rPr>
        <w:fldChar w:fldCharType="begin"/>
      </w:r>
      <w:r>
        <w:rPr>
          <w:rFonts w:ascii="Times New Roman" w:hAnsi="Times New Roman" w:cs="Times New Roman"/>
        </w:rPr>
        <w:instrText xml:space="preserve"> HYPERLINK \l _Toc29152 </w:instrText>
      </w:r>
      <w:r>
        <w:rPr>
          <w:rFonts w:ascii="Times New Roman" w:hAnsi="Times New Roman" w:cs="Times New Roman"/>
        </w:rPr>
        <w:fldChar w:fldCharType="separate"/>
      </w:r>
      <w:r>
        <w:t>2.</w:t>
      </w:r>
      <w:r>
        <w:rPr>
          <w:rFonts w:hint="eastAsia"/>
        </w:rPr>
        <w:t>1</w:t>
      </w:r>
      <w:r>
        <w:rPr>
          <w:rFonts w:hint="eastAsia"/>
          <w:lang w:val="en-US" w:eastAsia="zh-CN"/>
        </w:rPr>
        <w:t>0</w:t>
      </w:r>
      <w:r>
        <w:t>.</w:t>
      </w:r>
      <w:r>
        <w:rPr>
          <w:rFonts w:hint="eastAsia"/>
        </w:rPr>
        <w:t>1</w:t>
      </w:r>
      <w:r>
        <w:t xml:space="preserve"> </w:t>
      </w:r>
      <w:r>
        <w:rPr>
          <w:rFonts w:hint="eastAsia"/>
        </w:rPr>
        <w:t>污染物排放量</w:t>
      </w:r>
      <w:r>
        <w:tab/>
      </w:r>
      <w:r>
        <w:fldChar w:fldCharType="begin"/>
      </w:r>
      <w:r>
        <w:instrText xml:space="preserve"> PAGEREF _Toc29152 \h </w:instrText>
      </w:r>
      <w:r>
        <w:fldChar w:fldCharType="separate"/>
      </w:r>
      <w:r>
        <w:t>77</w:t>
      </w:r>
      <w:r>
        <w:fldChar w:fldCharType="end"/>
      </w:r>
      <w:r>
        <w:rPr>
          <w:rFonts w:ascii="Times New Roman" w:hAnsi="Times New Roman" w:cs="Times New Roman"/>
        </w:rPr>
        <w:fldChar w:fldCharType="end"/>
      </w:r>
    </w:p>
    <w:p w14:paraId="2F6850AF">
      <w:pPr>
        <w:pStyle w:val="30"/>
        <w:tabs>
          <w:tab w:val="right" w:leader="dot" w:pos="8505"/>
        </w:tabs>
      </w:pPr>
      <w:r>
        <w:rPr>
          <w:rFonts w:ascii="Times New Roman" w:hAnsi="Times New Roman" w:cs="Times New Roman"/>
        </w:rPr>
        <w:fldChar w:fldCharType="begin"/>
      </w:r>
      <w:r>
        <w:rPr>
          <w:rFonts w:ascii="Times New Roman" w:hAnsi="Times New Roman" w:cs="Times New Roman"/>
        </w:rPr>
        <w:instrText xml:space="preserve"> HYPERLINK \l _Toc24693 </w:instrText>
      </w:r>
      <w:r>
        <w:rPr>
          <w:rFonts w:ascii="Times New Roman" w:hAnsi="Times New Roman" w:cs="Times New Roman"/>
        </w:rPr>
        <w:fldChar w:fldCharType="separate"/>
      </w:r>
      <w:r>
        <w:t>2.</w:t>
      </w:r>
      <w:r>
        <w:rPr>
          <w:rFonts w:hint="eastAsia"/>
        </w:rPr>
        <w:t>1</w:t>
      </w:r>
      <w:r>
        <w:rPr>
          <w:rFonts w:hint="eastAsia"/>
          <w:lang w:val="en-US" w:eastAsia="zh-CN"/>
        </w:rPr>
        <w:t>0</w:t>
      </w:r>
      <w:r>
        <w:t>.</w:t>
      </w:r>
      <w:r>
        <w:rPr>
          <w:rFonts w:hint="eastAsia"/>
        </w:rPr>
        <w:t>2</w:t>
      </w:r>
      <w:r>
        <w:t xml:space="preserve"> </w:t>
      </w:r>
      <w:r>
        <w:rPr>
          <w:rFonts w:hint="eastAsia"/>
        </w:rPr>
        <w:t>排污许可量</w:t>
      </w:r>
      <w:r>
        <w:tab/>
      </w:r>
      <w:r>
        <w:fldChar w:fldCharType="begin"/>
      </w:r>
      <w:r>
        <w:instrText xml:space="preserve"> PAGEREF _Toc24693 \h </w:instrText>
      </w:r>
      <w:r>
        <w:fldChar w:fldCharType="separate"/>
      </w:r>
      <w:r>
        <w:t>78</w:t>
      </w:r>
      <w:r>
        <w:fldChar w:fldCharType="end"/>
      </w:r>
      <w:r>
        <w:rPr>
          <w:rFonts w:ascii="Times New Roman" w:hAnsi="Times New Roman" w:cs="Times New Roman"/>
        </w:rPr>
        <w:fldChar w:fldCharType="end"/>
      </w:r>
    </w:p>
    <w:p w14:paraId="23047545">
      <w:pPr>
        <w:pStyle w:val="46"/>
        <w:tabs>
          <w:tab w:val="right" w:leader="dot" w:pos="8505"/>
        </w:tabs>
      </w:pPr>
      <w:r>
        <w:rPr>
          <w:rFonts w:ascii="Times New Roman" w:hAnsi="Times New Roman" w:cs="Times New Roman"/>
        </w:rPr>
        <w:fldChar w:fldCharType="begin"/>
      </w:r>
      <w:r>
        <w:rPr>
          <w:rFonts w:ascii="Times New Roman" w:hAnsi="Times New Roman" w:cs="Times New Roman"/>
        </w:rPr>
        <w:instrText xml:space="preserve"> HYPERLINK \l _Toc11035 </w:instrText>
      </w:r>
      <w:r>
        <w:rPr>
          <w:rFonts w:ascii="Times New Roman" w:hAnsi="Times New Roman" w:cs="Times New Roman"/>
        </w:rPr>
        <w:fldChar w:fldCharType="separate"/>
      </w:r>
      <w:r>
        <w:t>2.</w:t>
      </w:r>
      <w:r>
        <w:rPr>
          <w:rFonts w:hint="eastAsia"/>
        </w:rPr>
        <w:t>1</w:t>
      </w:r>
      <w:r>
        <w:rPr>
          <w:rFonts w:hint="eastAsia"/>
          <w:lang w:val="en-US" w:eastAsia="zh-CN"/>
        </w:rPr>
        <w:t>1</w:t>
      </w:r>
      <w:r>
        <w:t xml:space="preserve"> </w:t>
      </w:r>
      <w:r>
        <w:rPr>
          <w:rFonts w:hint="eastAsia"/>
        </w:rPr>
        <w:t>现有环保问题及“以新带老”整改措施</w:t>
      </w:r>
      <w:r>
        <w:tab/>
      </w:r>
      <w:r>
        <w:fldChar w:fldCharType="begin"/>
      </w:r>
      <w:r>
        <w:instrText xml:space="preserve"> PAGEREF _Toc11035 \h </w:instrText>
      </w:r>
      <w:r>
        <w:fldChar w:fldCharType="separate"/>
      </w:r>
      <w:r>
        <w:t>79</w:t>
      </w:r>
      <w:r>
        <w:fldChar w:fldCharType="end"/>
      </w:r>
      <w:r>
        <w:rPr>
          <w:rFonts w:ascii="Times New Roman" w:hAnsi="Times New Roman" w:cs="Times New Roman"/>
        </w:rPr>
        <w:fldChar w:fldCharType="end"/>
      </w:r>
    </w:p>
    <w:p w14:paraId="1200960E">
      <w:pPr>
        <w:pStyle w:val="37"/>
        <w:tabs>
          <w:tab w:val="right" w:leader="dot" w:pos="8505"/>
        </w:tabs>
      </w:pPr>
      <w:r>
        <w:rPr>
          <w:rFonts w:ascii="Times New Roman" w:hAnsi="Times New Roman" w:cs="Times New Roman"/>
        </w:rPr>
        <w:fldChar w:fldCharType="begin"/>
      </w:r>
      <w:r>
        <w:rPr>
          <w:rFonts w:ascii="Times New Roman" w:hAnsi="Times New Roman" w:cs="Times New Roman"/>
        </w:rPr>
        <w:instrText xml:space="preserve"> HYPERLINK \l _Toc29548 </w:instrText>
      </w:r>
      <w:r>
        <w:rPr>
          <w:rFonts w:ascii="Times New Roman" w:hAnsi="Times New Roman" w:cs="Times New Roman"/>
        </w:rPr>
        <w:fldChar w:fldCharType="separate"/>
      </w:r>
      <w:r>
        <w:rPr>
          <w:rFonts w:hint="eastAsia"/>
          <w:lang w:eastAsia="zh-CN"/>
        </w:rPr>
        <w:t>3</w:t>
      </w:r>
      <w:r>
        <w:t xml:space="preserve">. </w:t>
      </w:r>
      <w:r>
        <w:rPr>
          <w:rFonts w:hint="eastAsia"/>
          <w:lang w:eastAsia="zh-CN"/>
        </w:rPr>
        <w:t>本项目工程分析</w:t>
      </w:r>
      <w:r>
        <w:tab/>
      </w:r>
      <w:r>
        <w:fldChar w:fldCharType="begin"/>
      </w:r>
      <w:r>
        <w:instrText xml:space="preserve"> PAGEREF _Toc29548 \h </w:instrText>
      </w:r>
      <w:r>
        <w:fldChar w:fldCharType="separate"/>
      </w:r>
      <w:r>
        <w:t>80</w:t>
      </w:r>
      <w:r>
        <w:fldChar w:fldCharType="end"/>
      </w:r>
      <w:r>
        <w:rPr>
          <w:rFonts w:ascii="Times New Roman" w:hAnsi="Times New Roman" w:cs="Times New Roman"/>
        </w:rPr>
        <w:fldChar w:fldCharType="end"/>
      </w:r>
    </w:p>
    <w:p w14:paraId="55707299">
      <w:pPr>
        <w:pStyle w:val="46"/>
        <w:tabs>
          <w:tab w:val="right" w:leader="dot" w:pos="8505"/>
        </w:tabs>
      </w:pPr>
      <w:r>
        <w:rPr>
          <w:rFonts w:ascii="Times New Roman" w:hAnsi="Times New Roman" w:cs="Times New Roman"/>
        </w:rPr>
        <w:fldChar w:fldCharType="begin"/>
      </w:r>
      <w:r>
        <w:rPr>
          <w:rFonts w:ascii="Times New Roman" w:hAnsi="Times New Roman" w:cs="Times New Roman"/>
        </w:rPr>
        <w:instrText xml:space="preserve"> HYPERLINK \l _Toc8028 </w:instrText>
      </w:r>
      <w:r>
        <w:rPr>
          <w:rFonts w:ascii="Times New Roman" w:hAnsi="Times New Roman" w:cs="Times New Roman"/>
        </w:rPr>
        <w:fldChar w:fldCharType="separate"/>
      </w:r>
      <w:r>
        <w:rPr>
          <w:rFonts w:hint="eastAsia"/>
        </w:rPr>
        <w:t>3</w:t>
      </w:r>
      <w:r>
        <w:t>.</w:t>
      </w:r>
      <w:r>
        <w:rPr>
          <w:rFonts w:hint="eastAsia"/>
        </w:rPr>
        <w:t>1</w:t>
      </w:r>
      <w:r>
        <w:t xml:space="preserve"> 项目概况</w:t>
      </w:r>
      <w:r>
        <w:tab/>
      </w:r>
      <w:r>
        <w:fldChar w:fldCharType="begin"/>
      </w:r>
      <w:r>
        <w:instrText xml:space="preserve"> PAGEREF _Toc8028 \h </w:instrText>
      </w:r>
      <w:r>
        <w:fldChar w:fldCharType="separate"/>
      </w:r>
      <w:r>
        <w:t>80</w:t>
      </w:r>
      <w:r>
        <w:fldChar w:fldCharType="end"/>
      </w:r>
      <w:r>
        <w:rPr>
          <w:rFonts w:ascii="Times New Roman" w:hAnsi="Times New Roman" w:cs="Times New Roman"/>
        </w:rPr>
        <w:fldChar w:fldCharType="end"/>
      </w:r>
    </w:p>
    <w:p w14:paraId="1D5C3B96">
      <w:pPr>
        <w:pStyle w:val="30"/>
        <w:tabs>
          <w:tab w:val="right" w:leader="dot" w:pos="8505"/>
        </w:tabs>
      </w:pPr>
      <w:r>
        <w:rPr>
          <w:rFonts w:ascii="Times New Roman" w:hAnsi="Times New Roman" w:cs="Times New Roman"/>
        </w:rPr>
        <w:fldChar w:fldCharType="begin"/>
      </w:r>
      <w:r>
        <w:rPr>
          <w:rFonts w:ascii="Times New Roman" w:hAnsi="Times New Roman" w:cs="Times New Roman"/>
        </w:rPr>
        <w:instrText xml:space="preserve"> HYPERLINK \l _Toc21453 </w:instrText>
      </w:r>
      <w:r>
        <w:rPr>
          <w:rFonts w:ascii="Times New Roman" w:hAnsi="Times New Roman" w:cs="Times New Roman"/>
        </w:rPr>
        <w:fldChar w:fldCharType="separate"/>
      </w:r>
      <w:r>
        <w:rPr>
          <w:rFonts w:hint="eastAsia"/>
          <w:lang w:eastAsia="zh-CN"/>
        </w:rPr>
        <w:t>3</w:t>
      </w:r>
      <w:r>
        <w:t>.</w:t>
      </w:r>
      <w:r>
        <w:rPr>
          <w:rFonts w:hint="eastAsia"/>
          <w:lang w:eastAsia="zh-CN"/>
        </w:rPr>
        <w:t>1</w:t>
      </w:r>
      <w:r>
        <w:t>.1 工程概况</w:t>
      </w:r>
      <w:r>
        <w:tab/>
      </w:r>
      <w:r>
        <w:fldChar w:fldCharType="begin"/>
      </w:r>
      <w:r>
        <w:instrText xml:space="preserve"> PAGEREF _Toc21453 \h </w:instrText>
      </w:r>
      <w:r>
        <w:fldChar w:fldCharType="separate"/>
      </w:r>
      <w:r>
        <w:t>80</w:t>
      </w:r>
      <w:r>
        <w:fldChar w:fldCharType="end"/>
      </w:r>
      <w:r>
        <w:rPr>
          <w:rFonts w:ascii="Times New Roman" w:hAnsi="Times New Roman" w:cs="Times New Roman"/>
        </w:rPr>
        <w:fldChar w:fldCharType="end"/>
      </w:r>
    </w:p>
    <w:p w14:paraId="7C97B415">
      <w:pPr>
        <w:pStyle w:val="30"/>
        <w:tabs>
          <w:tab w:val="right" w:leader="dot" w:pos="8505"/>
        </w:tabs>
      </w:pPr>
      <w:r>
        <w:rPr>
          <w:rFonts w:ascii="Times New Roman" w:hAnsi="Times New Roman" w:cs="Times New Roman"/>
        </w:rPr>
        <w:fldChar w:fldCharType="begin"/>
      </w:r>
      <w:r>
        <w:rPr>
          <w:rFonts w:ascii="Times New Roman" w:hAnsi="Times New Roman" w:cs="Times New Roman"/>
        </w:rPr>
        <w:instrText xml:space="preserve"> HYPERLINK \l _Toc30952 </w:instrText>
      </w:r>
      <w:r>
        <w:rPr>
          <w:rFonts w:ascii="Times New Roman" w:hAnsi="Times New Roman" w:cs="Times New Roman"/>
        </w:rPr>
        <w:fldChar w:fldCharType="separate"/>
      </w:r>
      <w:r>
        <w:rPr>
          <w:rFonts w:hint="eastAsia"/>
        </w:rPr>
        <w:t>3</w:t>
      </w:r>
      <w:r>
        <w:t>.</w:t>
      </w:r>
      <w:r>
        <w:rPr>
          <w:rFonts w:hint="eastAsia"/>
        </w:rPr>
        <w:t>1</w:t>
      </w:r>
      <w:r>
        <w:t>.2 建设内容</w:t>
      </w:r>
      <w:r>
        <w:tab/>
      </w:r>
      <w:r>
        <w:fldChar w:fldCharType="begin"/>
      </w:r>
      <w:r>
        <w:instrText xml:space="preserve"> PAGEREF _Toc30952 \h </w:instrText>
      </w:r>
      <w:r>
        <w:fldChar w:fldCharType="separate"/>
      </w:r>
      <w:r>
        <w:t>81</w:t>
      </w:r>
      <w:r>
        <w:fldChar w:fldCharType="end"/>
      </w:r>
      <w:r>
        <w:rPr>
          <w:rFonts w:ascii="Times New Roman" w:hAnsi="Times New Roman" w:cs="Times New Roman"/>
        </w:rPr>
        <w:fldChar w:fldCharType="end"/>
      </w:r>
    </w:p>
    <w:p w14:paraId="5CD2DD37">
      <w:pPr>
        <w:pStyle w:val="30"/>
        <w:tabs>
          <w:tab w:val="right" w:leader="dot" w:pos="8505"/>
        </w:tabs>
      </w:pPr>
      <w:r>
        <w:rPr>
          <w:rFonts w:ascii="Times New Roman" w:hAnsi="Times New Roman" w:cs="Times New Roman"/>
        </w:rPr>
        <w:fldChar w:fldCharType="begin"/>
      </w:r>
      <w:r>
        <w:rPr>
          <w:rFonts w:ascii="Times New Roman" w:hAnsi="Times New Roman" w:cs="Times New Roman"/>
        </w:rPr>
        <w:instrText xml:space="preserve"> HYPERLINK \l _Toc16577 </w:instrText>
      </w:r>
      <w:r>
        <w:rPr>
          <w:rFonts w:ascii="Times New Roman" w:hAnsi="Times New Roman" w:cs="Times New Roman"/>
        </w:rPr>
        <w:fldChar w:fldCharType="separate"/>
      </w:r>
      <w:r>
        <w:rPr>
          <w:rFonts w:hint="eastAsia"/>
          <w:lang w:eastAsia="zh-CN"/>
        </w:rPr>
        <w:t>3</w:t>
      </w:r>
      <w:r>
        <w:t>.</w:t>
      </w:r>
      <w:r>
        <w:rPr>
          <w:rFonts w:hint="eastAsia"/>
          <w:lang w:eastAsia="zh-CN"/>
        </w:rPr>
        <w:t>1</w:t>
      </w:r>
      <w:r>
        <w:t>.3 产品</w:t>
      </w:r>
      <w:r>
        <w:rPr>
          <w:rFonts w:hint="eastAsia"/>
          <w:lang w:eastAsia="zh-CN"/>
        </w:rPr>
        <w:t>方案</w:t>
      </w:r>
      <w:r>
        <w:tab/>
      </w:r>
      <w:r>
        <w:fldChar w:fldCharType="begin"/>
      </w:r>
      <w:r>
        <w:instrText xml:space="preserve"> PAGEREF _Toc16577 \h </w:instrText>
      </w:r>
      <w:r>
        <w:fldChar w:fldCharType="separate"/>
      </w:r>
      <w:r>
        <w:t>83</w:t>
      </w:r>
      <w:r>
        <w:fldChar w:fldCharType="end"/>
      </w:r>
      <w:r>
        <w:rPr>
          <w:rFonts w:ascii="Times New Roman" w:hAnsi="Times New Roman" w:cs="Times New Roman"/>
        </w:rPr>
        <w:fldChar w:fldCharType="end"/>
      </w:r>
    </w:p>
    <w:p w14:paraId="2D4D5359">
      <w:pPr>
        <w:pStyle w:val="30"/>
        <w:tabs>
          <w:tab w:val="right" w:leader="dot" w:pos="8505"/>
        </w:tabs>
      </w:pPr>
      <w:r>
        <w:rPr>
          <w:rFonts w:ascii="Times New Roman" w:hAnsi="Times New Roman" w:cs="Times New Roman"/>
        </w:rPr>
        <w:fldChar w:fldCharType="begin"/>
      </w:r>
      <w:r>
        <w:rPr>
          <w:rFonts w:ascii="Times New Roman" w:hAnsi="Times New Roman" w:cs="Times New Roman"/>
        </w:rPr>
        <w:instrText xml:space="preserve"> HYPERLINK \l _Toc2155 </w:instrText>
      </w:r>
      <w:r>
        <w:rPr>
          <w:rFonts w:ascii="Times New Roman" w:hAnsi="Times New Roman" w:cs="Times New Roman"/>
        </w:rPr>
        <w:fldChar w:fldCharType="separate"/>
      </w:r>
      <w:r>
        <w:rPr>
          <w:rFonts w:hint="eastAsia"/>
          <w:lang w:eastAsia="zh-CN"/>
        </w:rPr>
        <w:t>3</w:t>
      </w:r>
      <w:r>
        <w:t>.</w:t>
      </w:r>
      <w:r>
        <w:rPr>
          <w:rFonts w:hint="eastAsia"/>
          <w:lang w:eastAsia="zh-CN"/>
        </w:rPr>
        <w:t>1</w:t>
      </w:r>
      <w:r>
        <w:t>.4 主要原辅材料</w:t>
      </w:r>
      <w:r>
        <w:rPr>
          <w:rFonts w:hint="eastAsia"/>
          <w:lang w:eastAsia="zh-CN"/>
        </w:rPr>
        <w:t>及能源</w:t>
      </w:r>
      <w:r>
        <w:t>用量</w:t>
      </w:r>
      <w:r>
        <w:tab/>
      </w:r>
      <w:r>
        <w:fldChar w:fldCharType="begin"/>
      </w:r>
      <w:r>
        <w:instrText xml:space="preserve"> PAGEREF _Toc2155 \h </w:instrText>
      </w:r>
      <w:r>
        <w:fldChar w:fldCharType="separate"/>
      </w:r>
      <w:r>
        <w:t>84</w:t>
      </w:r>
      <w:r>
        <w:fldChar w:fldCharType="end"/>
      </w:r>
      <w:r>
        <w:rPr>
          <w:rFonts w:ascii="Times New Roman" w:hAnsi="Times New Roman" w:cs="Times New Roman"/>
        </w:rPr>
        <w:fldChar w:fldCharType="end"/>
      </w:r>
    </w:p>
    <w:p w14:paraId="0C006154">
      <w:pPr>
        <w:pStyle w:val="30"/>
        <w:tabs>
          <w:tab w:val="right" w:leader="dot" w:pos="8505"/>
        </w:tabs>
      </w:pPr>
      <w:r>
        <w:rPr>
          <w:rFonts w:ascii="Times New Roman" w:hAnsi="Times New Roman" w:cs="Times New Roman"/>
        </w:rPr>
        <w:fldChar w:fldCharType="begin"/>
      </w:r>
      <w:r>
        <w:rPr>
          <w:rFonts w:ascii="Times New Roman" w:hAnsi="Times New Roman" w:cs="Times New Roman"/>
        </w:rPr>
        <w:instrText xml:space="preserve"> HYPERLINK \l _Toc17856 </w:instrText>
      </w:r>
      <w:r>
        <w:rPr>
          <w:rFonts w:ascii="Times New Roman" w:hAnsi="Times New Roman" w:cs="Times New Roman"/>
        </w:rPr>
        <w:fldChar w:fldCharType="separate"/>
      </w:r>
      <w:r>
        <w:rPr>
          <w:rFonts w:hint="eastAsia"/>
          <w:lang w:eastAsia="zh-CN"/>
        </w:rPr>
        <w:t>3</w:t>
      </w:r>
      <w:r>
        <w:t>.</w:t>
      </w:r>
      <w:r>
        <w:rPr>
          <w:rFonts w:hint="eastAsia"/>
          <w:lang w:eastAsia="zh-CN"/>
        </w:rPr>
        <w:t>1</w:t>
      </w:r>
      <w:r>
        <w:t>.5 主要设备（设施）明细</w:t>
      </w:r>
      <w:r>
        <w:tab/>
      </w:r>
      <w:r>
        <w:fldChar w:fldCharType="begin"/>
      </w:r>
      <w:r>
        <w:instrText xml:space="preserve"> PAGEREF _Toc17856 \h </w:instrText>
      </w:r>
      <w:r>
        <w:fldChar w:fldCharType="separate"/>
      </w:r>
      <w:r>
        <w:t>86</w:t>
      </w:r>
      <w:r>
        <w:fldChar w:fldCharType="end"/>
      </w:r>
      <w:r>
        <w:rPr>
          <w:rFonts w:ascii="Times New Roman" w:hAnsi="Times New Roman" w:cs="Times New Roman"/>
        </w:rPr>
        <w:fldChar w:fldCharType="end"/>
      </w:r>
    </w:p>
    <w:p w14:paraId="260E26F2">
      <w:pPr>
        <w:pStyle w:val="30"/>
        <w:tabs>
          <w:tab w:val="right" w:leader="dot" w:pos="8505"/>
        </w:tabs>
      </w:pPr>
      <w:r>
        <w:rPr>
          <w:rFonts w:ascii="Times New Roman" w:hAnsi="Times New Roman" w:cs="Times New Roman"/>
        </w:rPr>
        <w:fldChar w:fldCharType="begin"/>
      </w:r>
      <w:r>
        <w:rPr>
          <w:rFonts w:ascii="Times New Roman" w:hAnsi="Times New Roman" w:cs="Times New Roman"/>
        </w:rPr>
        <w:instrText xml:space="preserve"> HYPERLINK \l _Toc15091 </w:instrText>
      </w:r>
      <w:r>
        <w:rPr>
          <w:rFonts w:ascii="Times New Roman" w:hAnsi="Times New Roman" w:cs="Times New Roman"/>
        </w:rPr>
        <w:fldChar w:fldCharType="separate"/>
      </w:r>
      <w:r>
        <w:rPr>
          <w:rFonts w:hint="eastAsia"/>
          <w:lang w:eastAsia="zh-CN"/>
        </w:rPr>
        <w:t>3</w:t>
      </w:r>
      <w:r>
        <w:t>.</w:t>
      </w:r>
      <w:r>
        <w:rPr>
          <w:rFonts w:hint="eastAsia"/>
          <w:lang w:eastAsia="zh-CN"/>
        </w:rPr>
        <w:t>1</w:t>
      </w:r>
      <w:r>
        <w:t>.6 储运工程</w:t>
      </w:r>
      <w:r>
        <w:tab/>
      </w:r>
      <w:r>
        <w:fldChar w:fldCharType="begin"/>
      </w:r>
      <w:r>
        <w:instrText xml:space="preserve"> PAGEREF _Toc15091 \h </w:instrText>
      </w:r>
      <w:r>
        <w:fldChar w:fldCharType="separate"/>
      </w:r>
      <w:r>
        <w:t>87</w:t>
      </w:r>
      <w:r>
        <w:fldChar w:fldCharType="end"/>
      </w:r>
      <w:r>
        <w:rPr>
          <w:rFonts w:ascii="Times New Roman" w:hAnsi="Times New Roman" w:cs="Times New Roman"/>
        </w:rPr>
        <w:fldChar w:fldCharType="end"/>
      </w:r>
    </w:p>
    <w:p w14:paraId="75B8ADEA">
      <w:pPr>
        <w:pStyle w:val="30"/>
        <w:tabs>
          <w:tab w:val="right" w:leader="dot" w:pos="8505"/>
        </w:tabs>
      </w:pPr>
      <w:r>
        <w:rPr>
          <w:rFonts w:ascii="Times New Roman" w:hAnsi="Times New Roman" w:cs="Times New Roman"/>
        </w:rPr>
        <w:fldChar w:fldCharType="begin"/>
      </w:r>
      <w:r>
        <w:rPr>
          <w:rFonts w:ascii="Times New Roman" w:hAnsi="Times New Roman" w:cs="Times New Roman"/>
        </w:rPr>
        <w:instrText xml:space="preserve"> HYPERLINK \l _Toc21814 </w:instrText>
      </w:r>
      <w:r>
        <w:rPr>
          <w:rFonts w:ascii="Times New Roman" w:hAnsi="Times New Roman" w:cs="Times New Roman"/>
        </w:rPr>
        <w:fldChar w:fldCharType="separate"/>
      </w:r>
      <w:r>
        <w:rPr>
          <w:rFonts w:hint="eastAsia"/>
          <w:lang w:eastAsia="zh-CN"/>
        </w:rPr>
        <w:t>3</w:t>
      </w:r>
      <w:r>
        <w:t>.</w:t>
      </w:r>
      <w:r>
        <w:rPr>
          <w:rFonts w:hint="eastAsia"/>
          <w:lang w:eastAsia="zh-CN"/>
        </w:rPr>
        <w:t>1</w:t>
      </w:r>
      <w:r>
        <w:t>.7 公</w:t>
      </w:r>
      <w:r>
        <w:rPr>
          <w:lang w:eastAsia="zh-CN"/>
        </w:rPr>
        <w:t>辅</w:t>
      </w:r>
      <w:r>
        <w:t>工程</w:t>
      </w:r>
      <w:r>
        <w:tab/>
      </w:r>
      <w:r>
        <w:fldChar w:fldCharType="begin"/>
      </w:r>
      <w:r>
        <w:instrText xml:space="preserve"> PAGEREF _Toc21814 \h </w:instrText>
      </w:r>
      <w:r>
        <w:fldChar w:fldCharType="separate"/>
      </w:r>
      <w:r>
        <w:t>88</w:t>
      </w:r>
      <w:r>
        <w:fldChar w:fldCharType="end"/>
      </w:r>
      <w:r>
        <w:rPr>
          <w:rFonts w:ascii="Times New Roman" w:hAnsi="Times New Roman" w:cs="Times New Roman"/>
        </w:rPr>
        <w:fldChar w:fldCharType="end"/>
      </w:r>
    </w:p>
    <w:p w14:paraId="2FA8654B">
      <w:pPr>
        <w:pStyle w:val="30"/>
        <w:tabs>
          <w:tab w:val="right" w:leader="dot" w:pos="8505"/>
        </w:tabs>
      </w:pPr>
      <w:r>
        <w:rPr>
          <w:rFonts w:ascii="Times New Roman" w:hAnsi="Times New Roman" w:cs="Times New Roman"/>
        </w:rPr>
        <w:fldChar w:fldCharType="begin"/>
      </w:r>
      <w:r>
        <w:rPr>
          <w:rFonts w:ascii="Times New Roman" w:hAnsi="Times New Roman" w:cs="Times New Roman"/>
        </w:rPr>
        <w:instrText xml:space="preserve"> HYPERLINK \l _Toc21642 </w:instrText>
      </w:r>
      <w:r>
        <w:rPr>
          <w:rFonts w:ascii="Times New Roman" w:hAnsi="Times New Roman" w:cs="Times New Roman"/>
        </w:rPr>
        <w:fldChar w:fldCharType="separate"/>
      </w:r>
      <w:r>
        <w:rPr>
          <w:rFonts w:hint="eastAsia"/>
          <w:lang w:eastAsia="zh-CN"/>
        </w:rPr>
        <w:t>3</w:t>
      </w:r>
      <w:r>
        <w:t>.</w:t>
      </w:r>
      <w:r>
        <w:rPr>
          <w:rFonts w:hint="eastAsia"/>
          <w:lang w:eastAsia="zh-CN"/>
        </w:rPr>
        <w:t>1</w:t>
      </w:r>
      <w:r>
        <w:t>.</w:t>
      </w:r>
      <w:r>
        <w:rPr>
          <w:lang w:eastAsia="zh-CN"/>
        </w:rPr>
        <w:t>8</w:t>
      </w:r>
      <w:r>
        <w:t xml:space="preserve"> 总平面布置</w:t>
      </w:r>
      <w:r>
        <w:tab/>
      </w:r>
      <w:r>
        <w:fldChar w:fldCharType="begin"/>
      </w:r>
      <w:r>
        <w:instrText xml:space="preserve"> PAGEREF _Toc21642 \h </w:instrText>
      </w:r>
      <w:r>
        <w:fldChar w:fldCharType="separate"/>
      </w:r>
      <w:r>
        <w:t>88</w:t>
      </w:r>
      <w:r>
        <w:fldChar w:fldCharType="end"/>
      </w:r>
      <w:r>
        <w:rPr>
          <w:rFonts w:ascii="Times New Roman" w:hAnsi="Times New Roman" w:cs="Times New Roman"/>
        </w:rPr>
        <w:fldChar w:fldCharType="end"/>
      </w:r>
    </w:p>
    <w:p w14:paraId="213AAE91">
      <w:pPr>
        <w:pStyle w:val="46"/>
        <w:tabs>
          <w:tab w:val="right" w:leader="dot" w:pos="8505"/>
        </w:tabs>
      </w:pPr>
      <w:r>
        <w:rPr>
          <w:rFonts w:ascii="Times New Roman" w:hAnsi="Times New Roman" w:cs="Times New Roman"/>
        </w:rPr>
        <w:fldChar w:fldCharType="begin"/>
      </w:r>
      <w:r>
        <w:rPr>
          <w:rFonts w:ascii="Times New Roman" w:hAnsi="Times New Roman" w:cs="Times New Roman"/>
        </w:rPr>
        <w:instrText xml:space="preserve"> HYPERLINK \l _Toc31012 </w:instrText>
      </w:r>
      <w:r>
        <w:rPr>
          <w:rFonts w:ascii="Times New Roman" w:hAnsi="Times New Roman" w:cs="Times New Roman"/>
        </w:rPr>
        <w:fldChar w:fldCharType="separate"/>
      </w:r>
      <w:r>
        <w:rPr>
          <w:rFonts w:hint="eastAsia"/>
        </w:rPr>
        <w:t>3</w:t>
      </w:r>
      <w:r>
        <w:t>.</w:t>
      </w:r>
      <w:r>
        <w:rPr>
          <w:rFonts w:hint="eastAsia"/>
        </w:rPr>
        <w:t>2</w:t>
      </w:r>
      <w:r>
        <w:t xml:space="preserve"> 影响因素分析</w:t>
      </w:r>
      <w:r>
        <w:tab/>
      </w:r>
      <w:r>
        <w:fldChar w:fldCharType="begin"/>
      </w:r>
      <w:r>
        <w:instrText xml:space="preserve"> PAGEREF _Toc31012 \h </w:instrText>
      </w:r>
      <w:r>
        <w:fldChar w:fldCharType="separate"/>
      </w:r>
      <w:r>
        <w:t>90</w:t>
      </w:r>
      <w:r>
        <w:fldChar w:fldCharType="end"/>
      </w:r>
      <w:r>
        <w:rPr>
          <w:rFonts w:ascii="Times New Roman" w:hAnsi="Times New Roman" w:cs="Times New Roman"/>
        </w:rPr>
        <w:fldChar w:fldCharType="end"/>
      </w:r>
    </w:p>
    <w:p w14:paraId="05146331">
      <w:pPr>
        <w:pStyle w:val="30"/>
        <w:tabs>
          <w:tab w:val="right" w:leader="dot" w:pos="8505"/>
        </w:tabs>
      </w:pPr>
      <w:r>
        <w:rPr>
          <w:rFonts w:ascii="Times New Roman" w:hAnsi="Times New Roman" w:cs="Times New Roman"/>
        </w:rPr>
        <w:fldChar w:fldCharType="begin"/>
      </w:r>
      <w:r>
        <w:rPr>
          <w:rFonts w:ascii="Times New Roman" w:hAnsi="Times New Roman" w:cs="Times New Roman"/>
        </w:rPr>
        <w:instrText xml:space="preserve"> HYPERLINK \l _Toc15561 </w:instrText>
      </w:r>
      <w:r>
        <w:rPr>
          <w:rFonts w:ascii="Times New Roman" w:hAnsi="Times New Roman" w:cs="Times New Roman"/>
        </w:rPr>
        <w:fldChar w:fldCharType="separate"/>
      </w:r>
      <w:r>
        <w:rPr>
          <w:rFonts w:hint="eastAsia"/>
          <w:lang w:eastAsia="zh-CN"/>
        </w:rPr>
        <w:t>3</w:t>
      </w:r>
      <w:r>
        <w:t>.</w:t>
      </w:r>
      <w:r>
        <w:rPr>
          <w:rFonts w:hint="eastAsia"/>
          <w:lang w:eastAsia="zh-CN"/>
        </w:rPr>
        <w:t>2</w:t>
      </w:r>
      <w:r>
        <w:t>.1 施工期影响因素分析</w:t>
      </w:r>
      <w:r>
        <w:tab/>
      </w:r>
      <w:r>
        <w:fldChar w:fldCharType="begin"/>
      </w:r>
      <w:r>
        <w:instrText xml:space="preserve"> PAGEREF _Toc15561 \h </w:instrText>
      </w:r>
      <w:r>
        <w:fldChar w:fldCharType="separate"/>
      </w:r>
      <w:r>
        <w:t>90</w:t>
      </w:r>
      <w:r>
        <w:fldChar w:fldCharType="end"/>
      </w:r>
      <w:r>
        <w:rPr>
          <w:rFonts w:ascii="Times New Roman" w:hAnsi="Times New Roman" w:cs="Times New Roman"/>
        </w:rPr>
        <w:fldChar w:fldCharType="end"/>
      </w:r>
    </w:p>
    <w:p w14:paraId="38DE0F1C">
      <w:pPr>
        <w:pStyle w:val="30"/>
        <w:tabs>
          <w:tab w:val="right" w:leader="dot" w:pos="8505"/>
        </w:tabs>
      </w:pPr>
      <w:r>
        <w:rPr>
          <w:rFonts w:ascii="Times New Roman" w:hAnsi="Times New Roman" w:cs="Times New Roman"/>
        </w:rPr>
        <w:fldChar w:fldCharType="begin"/>
      </w:r>
      <w:r>
        <w:rPr>
          <w:rFonts w:ascii="Times New Roman" w:hAnsi="Times New Roman" w:cs="Times New Roman"/>
        </w:rPr>
        <w:instrText xml:space="preserve"> HYPERLINK \l _Toc20978 </w:instrText>
      </w:r>
      <w:r>
        <w:rPr>
          <w:rFonts w:ascii="Times New Roman" w:hAnsi="Times New Roman" w:cs="Times New Roman"/>
        </w:rPr>
        <w:fldChar w:fldCharType="separate"/>
      </w:r>
      <w:r>
        <w:rPr>
          <w:rFonts w:hint="eastAsia"/>
          <w:lang w:eastAsia="zh-CN"/>
        </w:rPr>
        <w:t>3</w:t>
      </w:r>
      <w:r>
        <w:t>.</w:t>
      </w:r>
      <w:r>
        <w:rPr>
          <w:rFonts w:hint="eastAsia"/>
          <w:lang w:eastAsia="zh-CN"/>
        </w:rPr>
        <w:t>2</w:t>
      </w:r>
      <w:r>
        <w:t>.2 营运期影响因素分析</w:t>
      </w:r>
      <w:r>
        <w:tab/>
      </w:r>
      <w:r>
        <w:fldChar w:fldCharType="begin"/>
      </w:r>
      <w:r>
        <w:instrText xml:space="preserve"> PAGEREF _Toc20978 \h </w:instrText>
      </w:r>
      <w:r>
        <w:fldChar w:fldCharType="separate"/>
      </w:r>
      <w:r>
        <w:t>92</w:t>
      </w:r>
      <w:r>
        <w:fldChar w:fldCharType="end"/>
      </w:r>
      <w:r>
        <w:rPr>
          <w:rFonts w:ascii="Times New Roman" w:hAnsi="Times New Roman" w:cs="Times New Roman"/>
        </w:rPr>
        <w:fldChar w:fldCharType="end"/>
      </w:r>
    </w:p>
    <w:p w14:paraId="63490C5B">
      <w:pPr>
        <w:pStyle w:val="46"/>
        <w:tabs>
          <w:tab w:val="right" w:leader="dot" w:pos="8505"/>
        </w:tabs>
      </w:pPr>
      <w:r>
        <w:rPr>
          <w:rFonts w:ascii="Times New Roman" w:hAnsi="Times New Roman" w:cs="Times New Roman"/>
        </w:rPr>
        <w:fldChar w:fldCharType="begin"/>
      </w:r>
      <w:r>
        <w:rPr>
          <w:rFonts w:ascii="Times New Roman" w:hAnsi="Times New Roman" w:cs="Times New Roman"/>
        </w:rPr>
        <w:instrText xml:space="preserve"> HYPERLINK \l _Toc21725 </w:instrText>
      </w:r>
      <w:r>
        <w:rPr>
          <w:rFonts w:ascii="Times New Roman" w:hAnsi="Times New Roman" w:cs="Times New Roman"/>
        </w:rPr>
        <w:fldChar w:fldCharType="separate"/>
      </w:r>
      <w:r>
        <w:rPr>
          <w:rFonts w:hint="eastAsia"/>
        </w:rPr>
        <w:t>3</w:t>
      </w:r>
      <w:r>
        <w:t>.</w:t>
      </w:r>
      <w:r>
        <w:rPr>
          <w:rFonts w:hint="eastAsia"/>
        </w:rPr>
        <w:t>3</w:t>
      </w:r>
      <w:r>
        <w:t xml:space="preserve"> </w:t>
      </w:r>
      <w:r>
        <w:rPr>
          <w:rFonts w:hint="eastAsia"/>
        </w:rPr>
        <w:t>平衡分析</w:t>
      </w:r>
      <w:r>
        <w:tab/>
      </w:r>
      <w:r>
        <w:fldChar w:fldCharType="begin"/>
      </w:r>
      <w:r>
        <w:instrText xml:space="preserve"> PAGEREF _Toc21725 \h </w:instrText>
      </w:r>
      <w:r>
        <w:fldChar w:fldCharType="separate"/>
      </w:r>
      <w:r>
        <w:t>102</w:t>
      </w:r>
      <w:r>
        <w:fldChar w:fldCharType="end"/>
      </w:r>
      <w:r>
        <w:rPr>
          <w:rFonts w:ascii="Times New Roman" w:hAnsi="Times New Roman" w:cs="Times New Roman"/>
        </w:rPr>
        <w:fldChar w:fldCharType="end"/>
      </w:r>
    </w:p>
    <w:p w14:paraId="0869CB2A">
      <w:pPr>
        <w:pStyle w:val="30"/>
        <w:tabs>
          <w:tab w:val="right" w:leader="dot" w:pos="8505"/>
        </w:tabs>
      </w:pPr>
      <w:r>
        <w:rPr>
          <w:rFonts w:ascii="Times New Roman" w:hAnsi="Times New Roman" w:cs="Times New Roman"/>
        </w:rPr>
        <w:fldChar w:fldCharType="begin"/>
      </w:r>
      <w:r>
        <w:rPr>
          <w:rFonts w:ascii="Times New Roman" w:hAnsi="Times New Roman" w:cs="Times New Roman"/>
        </w:rPr>
        <w:instrText xml:space="preserve"> HYPERLINK \l _Toc7386 </w:instrText>
      </w:r>
      <w:r>
        <w:rPr>
          <w:rFonts w:ascii="Times New Roman" w:hAnsi="Times New Roman" w:cs="Times New Roman"/>
        </w:rPr>
        <w:fldChar w:fldCharType="separate"/>
      </w:r>
      <w:r>
        <w:rPr>
          <w:lang w:eastAsia="zh-CN"/>
        </w:rPr>
        <w:t>3</w:t>
      </w:r>
      <w:r>
        <w:t>.</w:t>
      </w:r>
      <w:r>
        <w:rPr>
          <w:lang w:eastAsia="zh-CN"/>
        </w:rPr>
        <w:t>3</w:t>
      </w:r>
      <w:r>
        <w:t>.1 物料平衡</w:t>
      </w:r>
      <w:r>
        <w:tab/>
      </w:r>
      <w:r>
        <w:fldChar w:fldCharType="begin"/>
      </w:r>
      <w:r>
        <w:instrText xml:space="preserve"> PAGEREF _Toc7386 \h </w:instrText>
      </w:r>
      <w:r>
        <w:fldChar w:fldCharType="separate"/>
      </w:r>
      <w:r>
        <w:t>102</w:t>
      </w:r>
      <w:r>
        <w:fldChar w:fldCharType="end"/>
      </w:r>
      <w:r>
        <w:rPr>
          <w:rFonts w:ascii="Times New Roman" w:hAnsi="Times New Roman" w:cs="Times New Roman"/>
        </w:rPr>
        <w:fldChar w:fldCharType="end"/>
      </w:r>
    </w:p>
    <w:p w14:paraId="75B0D642">
      <w:pPr>
        <w:pStyle w:val="30"/>
        <w:tabs>
          <w:tab w:val="right" w:leader="dot" w:pos="8505"/>
        </w:tabs>
      </w:pPr>
      <w:r>
        <w:rPr>
          <w:rFonts w:ascii="Times New Roman" w:hAnsi="Times New Roman" w:cs="Times New Roman"/>
        </w:rPr>
        <w:fldChar w:fldCharType="begin"/>
      </w:r>
      <w:r>
        <w:rPr>
          <w:rFonts w:ascii="Times New Roman" w:hAnsi="Times New Roman" w:cs="Times New Roman"/>
        </w:rPr>
        <w:instrText xml:space="preserve"> HYPERLINK \l _Toc19154 </w:instrText>
      </w:r>
      <w:r>
        <w:rPr>
          <w:rFonts w:ascii="Times New Roman" w:hAnsi="Times New Roman" w:cs="Times New Roman"/>
        </w:rPr>
        <w:fldChar w:fldCharType="separate"/>
      </w:r>
      <w:r>
        <w:rPr>
          <w:lang w:eastAsia="zh-CN"/>
        </w:rPr>
        <w:t>3</w:t>
      </w:r>
      <w:r>
        <w:t>.</w:t>
      </w:r>
      <w:r>
        <w:rPr>
          <w:lang w:eastAsia="zh-CN"/>
        </w:rPr>
        <w:t>3</w:t>
      </w:r>
      <w:r>
        <w:t>.</w:t>
      </w:r>
      <w:r>
        <w:rPr>
          <w:rFonts w:hint="eastAsia"/>
          <w:lang w:eastAsia="zh-CN"/>
        </w:rPr>
        <w:t>2</w:t>
      </w:r>
      <w:r>
        <w:t xml:space="preserve"> </w:t>
      </w:r>
      <w:r>
        <w:rPr>
          <w:rFonts w:hint="eastAsia"/>
          <w:lang w:eastAsia="zh-CN"/>
        </w:rPr>
        <w:t>铁元素</w:t>
      </w:r>
      <w:r>
        <w:t>平衡</w:t>
      </w:r>
      <w:r>
        <w:tab/>
      </w:r>
      <w:r>
        <w:fldChar w:fldCharType="begin"/>
      </w:r>
      <w:r>
        <w:instrText xml:space="preserve"> PAGEREF _Toc19154 \h </w:instrText>
      </w:r>
      <w:r>
        <w:fldChar w:fldCharType="separate"/>
      </w:r>
      <w:r>
        <w:t>102</w:t>
      </w:r>
      <w:r>
        <w:fldChar w:fldCharType="end"/>
      </w:r>
      <w:r>
        <w:rPr>
          <w:rFonts w:ascii="Times New Roman" w:hAnsi="Times New Roman" w:cs="Times New Roman"/>
        </w:rPr>
        <w:fldChar w:fldCharType="end"/>
      </w:r>
    </w:p>
    <w:p w14:paraId="55223BF3">
      <w:pPr>
        <w:pStyle w:val="30"/>
        <w:tabs>
          <w:tab w:val="right" w:leader="dot" w:pos="8505"/>
        </w:tabs>
      </w:pPr>
      <w:r>
        <w:rPr>
          <w:rFonts w:ascii="Times New Roman" w:hAnsi="Times New Roman" w:cs="Times New Roman"/>
        </w:rPr>
        <w:fldChar w:fldCharType="begin"/>
      </w:r>
      <w:r>
        <w:rPr>
          <w:rFonts w:ascii="Times New Roman" w:hAnsi="Times New Roman" w:cs="Times New Roman"/>
        </w:rPr>
        <w:instrText xml:space="preserve"> HYPERLINK \l _Toc1677 </w:instrText>
      </w:r>
      <w:r>
        <w:rPr>
          <w:rFonts w:ascii="Times New Roman" w:hAnsi="Times New Roman" w:cs="Times New Roman"/>
        </w:rPr>
        <w:fldChar w:fldCharType="separate"/>
      </w:r>
      <w:r>
        <w:rPr>
          <w:lang w:eastAsia="zh-CN"/>
        </w:rPr>
        <w:t>3</w:t>
      </w:r>
      <w:r>
        <w:t>.</w:t>
      </w:r>
      <w:r>
        <w:rPr>
          <w:lang w:eastAsia="zh-CN"/>
        </w:rPr>
        <w:t>3</w:t>
      </w:r>
      <w:r>
        <w:t>.</w:t>
      </w:r>
      <w:r>
        <w:rPr>
          <w:rFonts w:hint="eastAsia"/>
          <w:lang w:eastAsia="zh-CN"/>
        </w:rPr>
        <w:t>3</w:t>
      </w:r>
      <w:r>
        <w:t xml:space="preserve"> </w:t>
      </w:r>
      <w:r>
        <w:rPr>
          <w:rFonts w:hint="eastAsia"/>
          <w:lang w:eastAsia="zh-CN"/>
        </w:rPr>
        <w:t>水量</w:t>
      </w:r>
      <w:r>
        <w:t>平衡</w:t>
      </w:r>
      <w:r>
        <w:tab/>
      </w:r>
      <w:r>
        <w:fldChar w:fldCharType="begin"/>
      </w:r>
      <w:r>
        <w:instrText xml:space="preserve"> PAGEREF _Toc1677 \h </w:instrText>
      </w:r>
      <w:r>
        <w:fldChar w:fldCharType="separate"/>
      </w:r>
      <w:r>
        <w:t>104</w:t>
      </w:r>
      <w:r>
        <w:fldChar w:fldCharType="end"/>
      </w:r>
      <w:r>
        <w:rPr>
          <w:rFonts w:ascii="Times New Roman" w:hAnsi="Times New Roman" w:cs="Times New Roman"/>
        </w:rPr>
        <w:fldChar w:fldCharType="end"/>
      </w:r>
    </w:p>
    <w:p w14:paraId="0521B5B8">
      <w:pPr>
        <w:pStyle w:val="46"/>
        <w:tabs>
          <w:tab w:val="right" w:leader="dot" w:pos="8505"/>
        </w:tabs>
      </w:pPr>
      <w:r>
        <w:rPr>
          <w:rFonts w:ascii="Times New Roman" w:hAnsi="Times New Roman" w:cs="Times New Roman"/>
        </w:rPr>
        <w:fldChar w:fldCharType="begin"/>
      </w:r>
      <w:r>
        <w:rPr>
          <w:rFonts w:ascii="Times New Roman" w:hAnsi="Times New Roman" w:cs="Times New Roman"/>
        </w:rPr>
        <w:instrText xml:space="preserve"> HYPERLINK \l _Toc15396 </w:instrText>
      </w:r>
      <w:r>
        <w:rPr>
          <w:rFonts w:ascii="Times New Roman" w:hAnsi="Times New Roman" w:cs="Times New Roman"/>
        </w:rPr>
        <w:fldChar w:fldCharType="separate"/>
      </w:r>
      <w:r>
        <w:rPr>
          <w:rFonts w:hint="eastAsia"/>
        </w:rPr>
        <w:t>3</w:t>
      </w:r>
      <w:r>
        <w:t xml:space="preserve">.4 </w:t>
      </w:r>
      <w:r>
        <w:rPr>
          <w:rFonts w:hint="eastAsia"/>
        </w:rPr>
        <w:t>污染源源强核算</w:t>
      </w:r>
      <w:r>
        <w:tab/>
      </w:r>
      <w:r>
        <w:fldChar w:fldCharType="begin"/>
      </w:r>
      <w:r>
        <w:instrText xml:space="preserve"> PAGEREF _Toc15396 \h </w:instrText>
      </w:r>
      <w:r>
        <w:fldChar w:fldCharType="separate"/>
      </w:r>
      <w:r>
        <w:t>105</w:t>
      </w:r>
      <w:r>
        <w:fldChar w:fldCharType="end"/>
      </w:r>
      <w:r>
        <w:rPr>
          <w:rFonts w:ascii="Times New Roman" w:hAnsi="Times New Roman" w:cs="Times New Roman"/>
        </w:rPr>
        <w:fldChar w:fldCharType="end"/>
      </w:r>
    </w:p>
    <w:p w14:paraId="1963A9AE">
      <w:pPr>
        <w:pStyle w:val="30"/>
        <w:tabs>
          <w:tab w:val="right" w:leader="dot" w:pos="8505"/>
        </w:tabs>
      </w:pPr>
      <w:r>
        <w:rPr>
          <w:rFonts w:ascii="Times New Roman" w:hAnsi="Times New Roman" w:cs="Times New Roman"/>
        </w:rPr>
        <w:fldChar w:fldCharType="begin"/>
      </w:r>
      <w:r>
        <w:rPr>
          <w:rFonts w:ascii="Times New Roman" w:hAnsi="Times New Roman" w:cs="Times New Roman"/>
        </w:rPr>
        <w:instrText xml:space="preserve"> HYPERLINK \l _Toc29689 </w:instrText>
      </w:r>
      <w:r>
        <w:rPr>
          <w:rFonts w:ascii="Times New Roman" w:hAnsi="Times New Roman" w:cs="Times New Roman"/>
        </w:rPr>
        <w:fldChar w:fldCharType="separate"/>
      </w:r>
      <w:r>
        <w:rPr>
          <w:lang w:eastAsia="zh-CN"/>
        </w:rPr>
        <w:t>3</w:t>
      </w:r>
      <w:r>
        <w:t>.</w:t>
      </w:r>
      <w:r>
        <w:rPr>
          <w:rFonts w:hint="eastAsia"/>
          <w:lang w:eastAsia="zh-CN"/>
        </w:rPr>
        <w:t>4</w:t>
      </w:r>
      <w:r>
        <w:t>.1 废气</w:t>
      </w:r>
      <w:r>
        <w:tab/>
      </w:r>
      <w:r>
        <w:fldChar w:fldCharType="begin"/>
      </w:r>
      <w:r>
        <w:instrText xml:space="preserve"> PAGEREF _Toc29689 \h </w:instrText>
      </w:r>
      <w:r>
        <w:fldChar w:fldCharType="separate"/>
      </w:r>
      <w:r>
        <w:t>105</w:t>
      </w:r>
      <w:r>
        <w:fldChar w:fldCharType="end"/>
      </w:r>
      <w:r>
        <w:rPr>
          <w:rFonts w:ascii="Times New Roman" w:hAnsi="Times New Roman" w:cs="Times New Roman"/>
        </w:rPr>
        <w:fldChar w:fldCharType="end"/>
      </w:r>
    </w:p>
    <w:p w14:paraId="4289D3F1">
      <w:pPr>
        <w:pStyle w:val="30"/>
        <w:tabs>
          <w:tab w:val="right" w:leader="dot" w:pos="8505"/>
        </w:tabs>
      </w:pPr>
      <w:r>
        <w:rPr>
          <w:rFonts w:ascii="Times New Roman" w:hAnsi="Times New Roman" w:cs="Times New Roman"/>
        </w:rPr>
        <w:fldChar w:fldCharType="begin"/>
      </w:r>
      <w:r>
        <w:rPr>
          <w:rFonts w:ascii="Times New Roman" w:hAnsi="Times New Roman" w:cs="Times New Roman"/>
        </w:rPr>
        <w:instrText xml:space="preserve"> HYPERLINK \l _Toc18913 </w:instrText>
      </w:r>
      <w:r>
        <w:rPr>
          <w:rFonts w:ascii="Times New Roman" w:hAnsi="Times New Roman" w:cs="Times New Roman"/>
        </w:rPr>
        <w:fldChar w:fldCharType="separate"/>
      </w:r>
      <w:r>
        <w:rPr>
          <w:rFonts w:hint="eastAsia"/>
          <w:lang w:eastAsia="zh-CN"/>
        </w:rPr>
        <w:t>3</w:t>
      </w:r>
      <w:r>
        <w:t>.</w:t>
      </w:r>
      <w:r>
        <w:rPr>
          <w:rFonts w:hint="eastAsia"/>
          <w:lang w:eastAsia="zh-CN"/>
        </w:rPr>
        <w:t>4</w:t>
      </w:r>
      <w:r>
        <w:t>.</w:t>
      </w:r>
      <w:r>
        <w:rPr>
          <w:rFonts w:hint="eastAsia"/>
          <w:lang w:eastAsia="zh-CN"/>
        </w:rPr>
        <w:t>2</w:t>
      </w:r>
      <w:r>
        <w:t xml:space="preserve"> 废水</w:t>
      </w:r>
      <w:r>
        <w:tab/>
      </w:r>
      <w:r>
        <w:fldChar w:fldCharType="begin"/>
      </w:r>
      <w:r>
        <w:instrText xml:space="preserve"> PAGEREF _Toc18913 \h </w:instrText>
      </w:r>
      <w:r>
        <w:fldChar w:fldCharType="separate"/>
      </w:r>
      <w:r>
        <w:t>120</w:t>
      </w:r>
      <w:r>
        <w:fldChar w:fldCharType="end"/>
      </w:r>
      <w:r>
        <w:rPr>
          <w:rFonts w:ascii="Times New Roman" w:hAnsi="Times New Roman" w:cs="Times New Roman"/>
        </w:rPr>
        <w:fldChar w:fldCharType="end"/>
      </w:r>
    </w:p>
    <w:p w14:paraId="32663275">
      <w:pPr>
        <w:pStyle w:val="30"/>
        <w:tabs>
          <w:tab w:val="right" w:leader="dot" w:pos="8505"/>
        </w:tabs>
      </w:pPr>
      <w:r>
        <w:rPr>
          <w:rFonts w:ascii="Times New Roman" w:hAnsi="Times New Roman" w:cs="Times New Roman"/>
        </w:rPr>
        <w:fldChar w:fldCharType="begin"/>
      </w:r>
      <w:r>
        <w:rPr>
          <w:rFonts w:ascii="Times New Roman" w:hAnsi="Times New Roman" w:cs="Times New Roman"/>
        </w:rPr>
        <w:instrText xml:space="preserve"> HYPERLINK \l _Toc27118 </w:instrText>
      </w:r>
      <w:r>
        <w:rPr>
          <w:rFonts w:ascii="Times New Roman" w:hAnsi="Times New Roman" w:cs="Times New Roman"/>
        </w:rPr>
        <w:fldChar w:fldCharType="separate"/>
      </w:r>
      <w:r>
        <w:rPr>
          <w:rFonts w:hint="eastAsia"/>
          <w:lang w:eastAsia="zh-CN"/>
        </w:rPr>
        <w:t>3</w:t>
      </w:r>
      <w:r>
        <w:t>.</w:t>
      </w:r>
      <w:r>
        <w:rPr>
          <w:rFonts w:hint="eastAsia"/>
          <w:lang w:eastAsia="zh-CN"/>
        </w:rPr>
        <w:t>4</w:t>
      </w:r>
      <w:r>
        <w:t>.</w:t>
      </w:r>
      <w:r>
        <w:rPr>
          <w:rFonts w:hint="eastAsia"/>
          <w:lang w:eastAsia="zh-CN"/>
        </w:rPr>
        <w:t>3</w:t>
      </w:r>
      <w:r>
        <w:t xml:space="preserve"> 固体废物</w:t>
      </w:r>
      <w:r>
        <w:tab/>
      </w:r>
      <w:r>
        <w:fldChar w:fldCharType="begin"/>
      </w:r>
      <w:r>
        <w:instrText xml:space="preserve"> PAGEREF _Toc27118 \h </w:instrText>
      </w:r>
      <w:r>
        <w:fldChar w:fldCharType="separate"/>
      </w:r>
      <w:r>
        <w:t>120</w:t>
      </w:r>
      <w:r>
        <w:fldChar w:fldCharType="end"/>
      </w:r>
      <w:r>
        <w:rPr>
          <w:rFonts w:ascii="Times New Roman" w:hAnsi="Times New Roman" w:cs="Times New Roman"/>
        </w:rPr>
        <w:fldChar w:fldCharType="end"/>
      </w:r>
    </w:p>
    <w:p w14:paraId="1629BC12">
      <w:pPr>
        <w:pStyle w:val="30"/>
        <w:tabs>
          <w:tab w:val="right" w:leader="dot" w:pos="8505"/>
        </w:tabs>
      </w:pPr>
      <w:r>
        <w:rPr>
          <w:rFonts w:ascii="Times New Roman" w:hAnsi="Times New Roman" w:cs="Times New Roman"/>
        </w:rPr>
        <w:fldChar w:fldCharType="begin"/>
      </w:r>
      <w:r>
        <w:rPr>
          <w:rFonts w:ascii="Times New Roman" w:hAnsi="Times New Roman" w:cs="Times New Roman"/>
        </w:rPr>
        <w:instrText xml:space="preserve"> HYPERLINK \l _Toc5136 </w:instrText>
      </w:r>
      <w:r>
        <w:rPr>
          <w:rFonts w:ascii="Times New Roman" w:hAnsi="Times New Roman" w:cs="Times New Roman"/>
        </w:rPr>
        <w:fldChar w:fldCharType="separate"/>
      </w:r>
      <w:r>
        <w:rPr>
          <w:rFonts w:hint="eastAsia"/>
          <w:lang w:eastAsia="zh-CN"/>
        </w:rPr>
        <w:t>3</w:t>
      </w:r>
      <w:r>
        <w:t>.</w:t>
      </w:r>
      <w:r>
        <w:rPr>
          <w:rFonts w:hint="eastAsia"/>
          <w:lang w:eastAsia="zh-CN"/>
        </w:rPr>
        <w:t>4</w:t>
      </w:r>
      <w:r>
        <w:t>.</w:t>
      </w:r>
      <w:r>
        <w:rPr>
          <w:rFonts w:hint="eastAsia"/>
          <w:lang w:eastAsia="zh-CN"/>
        </w:rPr>
        <w:t>4</w:t>
      </w:r>
      <w:r>
        <w:t xml:space="preserve"> 噪声</w:t>
      </w:r>
      <w:r>
        <w:tab/>
      </w:r>
      <w:r>
        <w:fldChar w:fldCharType="begin"/>
      </w:r>
      <w:r>
        <w:instrText xml:space="preserve"> PAGEREF _Toc5136 \h </w:instrText>
      </w:r>
      <w:r>
        <w:fldChar w:fldCharType="separate"/>
      </w:r>
      <w:r>
        <w:t>124</w:t>
      </w:r>
      <w:r>
        <w:fldChar w:fldCharType="end"/>
      </w:r>
      <w:r>
        <w:rPr>
          <w:rFonts w:ascii="Times New Roman" w:hAnsi="Times New Roman" w:cs="Times New Roman"/>
        </w:rPr>
        <w:fldChar w:fldCharType="end"/>
      </w:r>
    </w:p>
    <w:p w14:paraId="60E54AD6">
      <w:pPr>
        <w:pStyle w:val="30"/>
        <w:tabs>
          <w:tab w:val="right" w:leader="dot" w:pos="8505"/>
        </w:tabs>
      </w:pPr>
      <w:r>
        <w:rPr>
          <w:rFonts w:ascii="Times New Roman" w:hAnsi="Times New Roman" w:cs="Times New Roman"/>
        </w:rPr>
        <w:fldChar w:fldCharType="begin"/>
      </w:r>
      <w:r>
        <w:rPr>
          <w:rFonts w:ascii="Times New Roman" w:hAnsi="Times New Roman" w:cs="Times New Roman"/>
        </w:rPr>
        <w:instrText xml:space="preserve"> HYPERLINK \l _Toc16407 </w:instrText>
      </w:r>
      <w:r>
        <w:rPr>
          <w:rFonts w:ascii="Times New Roman" w:hAnsi="Times New Roman" w:cs="Times New Roman"/>
        </w:rPr>
        <w:fldChar w:fldCharType="separate"/>
      </w:r>
      <w:r>
        <w:rPr>
          <w:rFonts w:hint="eastAsia"/>
          <w:lang w:eastAsia="zh-CN"/>
        </w:rPr>
        <w:t xml:space="preserve">3.4.5 </w:t>
      </w:r>
      <w:r>
        <w:rPr>
          <w:rFonts w:hint="eastAsia"/>
          <w:lang w:val="en-US" w:eastAsia="zh-CN"/>
        </w:rPr>
        <w:t>固废</w:t>
      </w:r>
      <w:r>
        <w:tab/>
      </w:r>
      <w:r>
        <w:fldChar w:fldCharType="begin"/>
      </w:r>
      <w:r>
        <w:instrText xml:space="preserve"> PAGEREF _Toc16407 \h </w:instrText>
      </w:r>
      <w:r>
        <w:fldChar w:fldCharType="separate"/>
      </w:r>
      <w:r>
        <w:t>126</w:t>
      </w:r>
      <w:r>
        <w:fldChar w:fldCharType="end"/>
      </w:r>
      <w:r>
        <w:rPr>
          <w:rFonts w:ascii="Times New Roman" w:hAnsi="Times New Roman" w:cs="Times New Roman"/>
        </w:rPr>
        <w:fldChar w:fldCharType="end"/>
      </w:r>
    </w:p>
    <w:p w14:paraId="0D8E3274">
      <w:pPr>
        <w:pStyle w:val="30"/>
        <w:tabs>
          <w:tab w:val="right" w:leader="dot" w:pos="8505"/>
        </w:tabs>
      </w:pPr>
      <w:r>
        <w:rPr>
          <w:rFonts w:ascii="Times New Roman" w:hAnsi="Times New Roman" w:cs="Times New Roman"/>
        </w:rPr>
        <w:fldChar w:fldCharType="begin"/>
      </w:r>
      <w:r>
        <w:rPr>
          <w:rFonts w:ascii="Times New Roman" w:hAnsi="Times New Roman" w:cs="Times New Roman"/>
        </w:rPr>
        <w:instrText xml:space="preserve"> HYPERLINK \l _Toc7088 </w:instrText>
      </w:r>
      <w:r>
        <w:rPr>
          <w:rFonts w:ascii="Times New Roman" w:hAnsi="Times New Roman" w:cs="Times New Roman"/>
        </w:rPr>
        <w:fldChar w:fldCharType="separate"/>
      </w:r>
      <w:r>
        <w:rPr>
          <w:rFonts w:hint="eastAsia"/>
          <w:lang w:val="en-US" w:eastAsia="zh-CN"/>
        </w:rPr>
        <w:t>3.4.6</w:t>
      </w:r>
      <w:r>
        <w:t>污染物排放量统计</w:t>
      </w:r>
      <w:r>
        <w:tab/>
      </w:r>
      <w:r>
        <w:fldChar w:fldCharType="begin"/>
      </w:r>
      <w:r>
        <w:instrText xml:space="preserve"> PAGEREF _Toc7088 \h </w:instrText>
      </w:r>
      <w:r>
        <w:fldChar w:fldCharType="separate"/>
      </w:r>
      <w:r>
        <w:t>130</w:t>
      </w:r>
      <w:r>
        <w:fldChar w:fldCharType="end"/>
      </w:r>
      <w:r>
        <w:rPr>
          <w:rFonts w:ascii="Times New Roman" w:hAnsi="Times New Roman" w:cs="Times New Roman"/>
        </w:rPr>
        <w:fldChar w:fldCharType="end"/>
      </w:r>
    </w:p>
    <w:p w14:paraId="33A95002">
      <w:pPr>
        <w:pStyle w:val="46"/>
        <w:tabs>
          <w:tab w:val="right" w:leader="dot" w:pos="8505"/>
        </w:tabs>
      </w:pPr>
      <w:r>
        <w:rPr>
          <w:rFonts w:ascii="Times New Roman" w:hAnsi="Times New Roman" w:cs="Times New Roman"/>
        </w:rPr>
        <w:fldChar w:fldCharType="begin"/>
      </w:r>
      <w:r>
        <w:rPr>
          <w:rFonts w:ascii="Times New Roman" w:hAnsi="Times New Roman" w:cs="Times New Roman"/>
        </w:rPr>
        <w:instrText xml:space="preserve"> HYPERLINK \l _Toc3335 </w:instrText>
      </w:r>
      <w:r>
        <w:rPr>
          <w:rFonts w:ascii="Times New Roman" w:hAnsi="Times New Roman" w:cs="Times New Roman"/>
        </w:rPr>
        <w:fldChar w:fldCharType="separate"/>
      </w:r>
      <w:r>
        <w:rPr>
          <w:rFonts w:hint="eastAsia"/>
        </w:rPr>
        <w:t>3</w:t>
      </w:r>
      <w:r>
        <w:t>.</w:t>
      </w:r>
      <w:r>
        <w:rPr>
          <w:rFonts w:hint="eastAsia"/>
        </w:rPr>
        <w:t>5  “以新带老”削减方案</w:t>
      </w:r>
      <w:r>
        <w:tab/>
      </w:r>
      <w:r>
        <w:fldChar w:fldCharType="begin"/>
      </w:r>
      <w:r>
        <w:instrText xml:space="preserve"> PAGEREF _Toc3335 \h </w:instrText>
      </w:r>
      <w:r>
        <w:fldChar w:fldCharType="separate"/>
      </w:r>
      <w:r>
        <w:t>131</w:t>
      </w:r>
      <w:r>
        <w:fldChar w:fldCharType="end"/>
      </w:r>
      <w:r>
        <w:rPr>
          <w:rFonts w:ascii="Times New Roman" w:hAnsi="Times New Roman" w:cs="Times New Roman"/>
        </w:rPr>
        <w:fldChar w:fldCharType="end"/>
      </w:r>
    </w:p>
    <w:p w14:paraId="69FF320B">
      <w:pPr>
        <w:pStyle w:val="46"/>
        <w:tabs>
          <w:tab w:val="right" w:leader="dot" w:pos="8505"/>
        </w:tabs>
      </w:pPr>
      <w:r>
        <w:rPr>
          <w:rFonts w:ascii="Times New Roman" w:hAnsi="Times New Roman" w:cs="Times New Roman"/>
        </w:rPr>
        <w:fldChar w:fldCharType="begin"/>
      </w:r>
      <w:r>
        <w:rPr>
          <w:rFonts w:ascii="Times New Roman" w:hAnsi="Times New Roman" w:cs="Times New Roman"/>
        </w:rPr>
        <w:instrText xml:space="preserve"> HYPERLINK \l _Toc780 </w:instrText>
      </w:r>
      <w:r>
        <w:rPr>
          <w:rFonts w:ascii="Times New Roman" w:hAnsi="Times New Roman" w:cs="Times New Roman"/>
        </w:rPr>
        <w:fldChar w:fldCharType="separate"/>
      </w:r>
      <w:r>
        <w:rPr>
          <w:rFonts w:hint="eastAsia"/>
        </w:rPr>
        <w:t>3</w:t>
      </w:r>
      <w:r>
        <w:t>.</w:t>
      </w:r>
      <w:r>
        <w:rPr>
          <w:rFonts w:hint="eastAsia"/>
          <w:lang w:val="en-US" w:eastAsia="zh-CN"/>
        </w:rPr>
        <w:t>6</w:t>
      </w:r>
      <w:r>
        <w:t xml:space="preserve"> 污染物排放</w:t>
      </w:r>
      <w:r>
        <w:rPr>
          <w:rFonts w:hint="eastAsia"/>
        </w:rPr>
        <w:t>“三本账”情况</w:t>
      </w:r>
      <w:r>
        <w:tab/>
      </w:r>
      <w:r>
        <w:fldChar w:fldCharType="begin"/>
      </w:r>
      <w:r>
        <w:instrText xml:space="preserve"> PAGEREF _Toc780 \h </w:instrText>
      </w:r>
      <w:r>
        <w:fldChar w:fldCharType="separate"/>
      </w:r>
      <w:r>
        <w:t>132</w:t>
      </w:r>
      <w:r>
        <w:fldChar w:fldCharType="end"/>
      </w:r>
      <w:r>
        <w:rPr>
          <w:rFonts w:ascii="Times New Roman" w:hAnsi="Times New Roman" w:cs="Times New Roman"/>
        </w:rPr>
        <w:fldChar w:fldCharType="end"/>
      </w:r>
    </w:p>
    <w:p w14:paraId="5B227BFD">
      <w:pPr>
        <w:pStyle w:val="46"/>
        <w:tabs>
          <w:tab w:val="right" w:leader="dot" w:pos="8505"/>
        </w:tabs>
      </w:pPr>
      <w:r>
        <w:rPr>
          <w:rFonts w:ascii="Times New Roman" w:hAnsi="Times New Roman" w:cs="Times New Roman"/>
        </w:rPr>
        <w:fldChar w:fldCharType="begin"/>
      </w:r>
      <w:r>
        <w:rPr>
          <w:rFonts w:ascii="Times New Roman" w:hAnsi="Times New Roman" w:cs="Times New Roman"/>
        </w:rPr>
        <w:instrText xml:space="preserve"> HYPERLINK \l _Toc32662 </w:instrText>
      </w:r>
      <w:r>
        <w:rPr>
          <w:rFonts w:ascii="Times New Roman" w:hAnsi="Times New Roman" w:cs="Times New Roman"/>
        </w:rPr>
        <w:fldChar w:fldCharType="separate"/>
      </w:r>
      <w:r>
        <w:rPr>
          <w:rFonts w:hint="eastAsia"/>
        </w:rPr>
        <w:t>3</w:t>
      </w:r>
      <w:r>
        <w:t>.</w:t>
      </w:r>
      <w:r>
        <w:rPr>
          <w:rFonts w:hint="eastAsia"/>
          <w:lang w:val="en-US" w:eastAsia="zh-CN"/>
        </w:rPr>
        <w:t>7</w:t>
      </w:r>
      <w:r>
        <w:t xml:space="preserve"> 总量控制分析</w:t>
      </w:r>
      <w:r>
        <w:tab/>
      </w:r>
      <w:r>
        <w:fldChar w:fldCharType="begin"/>
      </w:r>
      <w:r>
        <w:instrText xml:space="preserve"> PAGEREF _Toc32662 \h </w:instrText>
      </w:r>
      <w:r>
        <w:fldChar w:fldCharType="separate"/>
      </w:r>
      <w:r>
        <w:t>134</w:t>
      </w:r>
      <w:r>
        <w:fldChar w:fldCharType="end"/>
      </w:r>
      <w:r>
        <w:rPr>
          <w:rFonts w:ascii="Times New Roman" w:hAnsi="Times New Roman" w:cs="Times New Roman"/>
        </w:rPr>
        <w:fldChar w:fldCharType="end"/>
      </w:r>
    </w:p>
    <w:p w14:paraId="4A42BBD9">
      <w:pPr>
        <w:pStyle w:val="30"/>
        <w:tabs>
          <w:tab w:val="right" w:leader="dot" w:pos="8505"/>
        </w:tabs>
      </w:pPr>
      <w:r>
        <w:rPr>
          <w:rFonts w:ascii="Times New Roman" w:hAnsi="Times New Roman" w:cs="Times New Roman"/>
        </w:rPr>
        <w:fldChar w:fldCharType="begin"/>
      </w:r>
      <w:r>
        <w:rPr>
          <w:rFonts w:ascii="Times New Roman" w:hAnsi="Times New Roman" w:cs="Times New Roman"/>
        </w:rPr>
        <w:instrText xml:space="preserve"> HYPERLINK \l _Toc30745 </w:instrText>
      </w:r>
      <w:r>
        <w:rPr>
          <w:rFonts w:ascii="Times New Roman" w:hAnsi="Times New Roman" w:cs="Times New Roman"/>
        </w:rPr>
        <w:fldChar w:fldCharType="separate"/>
      </w:r>
      <w:r>
        <w:rPr>
          <w:rFonts w:hint="eastAsia"/>
          <w:lang w:eastAsia="zh-CN"/>
        </w:rPr>
        <w:t>3</w:t>
      </w:r>
      <w:r>
        <w:t>.</w:t>
      </w:r>
      <w:r>
        <w:rPr>
          <w:rFonts w:hint="eastAsia"/>
          <w:lang w:val="en-US" w:eastAsia="zh-CN"/>
        </w:rPr>
        <w:t>7</w:t>
      </w:r>
      <w:r>
        <w:t>.</w:t>
      </w:r>
      <w:r>
        <w:rPr>
          <w:rFonts w:hint="eastAsia"/>
          <w:lang w:eastAsia="zh-CN"/>
        </w:rPr>
        <w:t>1</w:t>
      </w:r>
      <w:r>
        <w:t xml:space="preserve"> </w:t>
      </w:r>
      <w:r>
        <w:rPr>
          <w:rFonts w:hint="eastAsia"/>
          <w:lang w:eastAsia="zh-CN"/>
        </w:rPr>
        <w:t>总量控制因子</w:t>
      </w:r>
      <w:r>
        <w:tab/>
      </w:r>
      <w:r>
        <w:fldChar w:fldCharType="begin"/>
      </w:r>
      <w:r>
        <w:instrText xml:space="preserve"> PAGEREF _Toc30745 \h </w:instrText>
      </w:r>
      <w:r>
        <w:fldChar w:fldCharType="separate"/>
      </w:r>
      <w:r>
        <w:t>134</w:t>
      </w:r>
      <w:r>
        <w:fldChar w:fldCharType="end"/>
      </w:r>
      <w:r>
        <w:rPr>
          <w:rFonts w:ascii="Times New Roman" w:hAnsi="Times New Roman" w:cs="Times New Roman"/>
        </w:rPr>
        <w:fldChar w:fldCharType="end"/>
      </w:r>
    </w:p>
    <w:p w14:paraId="024F983C">
      <w:pPr>
        <w:pStyle w:val="30"/>
        <w:tabs>
          <w:tab w:val="right" w:leader="dot" w:pos="8505"/>
        </w:tabs>
      </w:pPr>
      <w:r>
        <w:rPr>
          <w:rFonts w:ascii="Times New Roman" w:hAnsi="Times New Roman" w:cs="Times New Roman"/>
        </w:rPr>
        <w:fldChar w:fldCharType="begin"/>
      </w:r>
      <w:r>
        <w:rPr>
          <w:rFonts w:ascii="Times New Roman" w:hAnsi="Times New Roman" w:cs="Times New Roman"/>
        </w:rPr>
        <w:instrText xml:space="preserve"> HYPERLINK \l _Toc26200 </w:instrText>
      </w:r>
      <w:r>
        <w:rPr>
          <w:rFonts w:ascii="Times New Roman" w:hAnsi="Times New Roman" w:cs="Times New Roman"/>
        </w:rPr>
        <w:fldChar w:fldCharType="separate"/>
      </w:r>
      <w:r>
        <w:rPr>
          <w:rFonts w:hint="eastAsia"/>
          <w:lang w:eastAsia="zh-CN"/>
        </w:rPr>
        <w:t>3</w:t>
      </w:r>
      <w:r>
        <w:t>.</w:t>
      </w:r>
      <w:r>
        <w:rPr>
          <w:rFonts w:hint="eastAsia"/>
          <w:lang w:val="en-US" w:eastAsia="zh-CN"/>
        </w:rPr>
        <w:t>7</w:t>
      </w:r>
      <w:r>
        <w:t>.</w:t>
      </w:r>
      <w:r>
        <w:rPr>
          <w:rFonts w:hint="eastAsia"/>
          <w:lang w:eastAsia="zh-CN"/>
        </w:rPr>
        <w:t>2</w:t>
      </w:r>
      <w:r>
        <w:t xml:space="preserve"> </w:t>
      </w:r>
      <w:r>
        <w:rPr>
          <w:rFonts w:hint="eastAsia"/>
          <w:lang w:eastAsia="zh-CN"/>
        </w:rPr>
        <w:t>总量控制指标</w:t>
      </w:r>
      <w:r>
        <w:tab/>
      </w:r>
      <w:r>
        <w:fldChar w:fldCharType="begin"/>
      </w:r>
      <w:r>
        <w:instrText xml:space="preserve"> PAGEREF _Toc26200 \h </w:instrText>
      </w:r>
      <w:r>
        <w:fldChar w:fldCharType="separate"/>
      </w:r>
      <w:r>
        <w:t>134</w:t>
      </w:r>
      <w:r>
        <w:fldChar w:fldCharType="end"/>
      </w:r>
      <w:r>
        <w:rPr>
          <w:rFonts w:ascii="Times New Roman" w:hAnsi="Times New Roman" w:cs="Times New Roman"/>
        </w:rPr>
        <w:fldChar w:fldCharType="end"/>
      </w:r>
    </w:p>
    <w:p w14:paraId="28F2A633">
      <w:pPr>
        <w:pStyle w:val="37"/>
        <w:tabs>
          <w:tab w:val="right" w:leader="dot" w:pos="8505"/>
        </w:tabs>
      </w:pPr>
      <w:r>
        <w:rPr>
          <w:rFonts w:ascii="Times New Roman" w:hAnsi="Times New Roman" w:cs="Times New Roman"/>
        </w:rPr>
        <w:fldChar w:fldCharType="begin"/>
      </w:r>
      <w:r>
        <w:rPr>
          <w:rFonts w:ascii="Times New Roman" w:hAnsi="Times New Roman" w:cs="Times New Roman"/>
        </w:rPr>
        <w:instrText xml:space="preserve"> HYPERLINK \l _Toc28083 </w:instrText>
      </w:r>
      <w:r>
        <w:rPr>
          <w:rFonts w:ascii="Times New Roman" w:hAnsi="Times New Roman" w:cs="Times New Roman"/>
        </w:rPr>
        <w:fldChar w:fldCharType="separate"/>
      </w:r>
      <w:r>
        <w:rPr>
          <w:rFonts w:hint="eastAsia"/>
          <w:lang w:eastAsia="zh-CN"/>
        </w:rPr>
        <w:t>4</w:t>
      </w:r>
      <w:r>
        <w:t>. 环境现状调查与评价</w:t>
      </w:r>
      <w:r>
        <w:tab/>
      </w:r>
      <w:r>
        <w:fldChar w:fldCharType="begin"/>
      </w:r>
      <w:r>
        <w:instrText xml:space="preserve"> PAGEREF _Toc28083 \h </w:instrText>
      </w:r>
      <w:r>
        <w:fldChar w:fldCharType="separate"/>
      </w:r>
      <w:r>
        <w:t>135</w:t>
      </w:r>
      <w:r>
        <w:fldChar w:fldCharType="end"/>
      </w:r>
      <w:r>
        <w:rPr>
          <w:rFonts w:ascii="Times New Roman" w:hAnsi="Times New Roman" w:cs="Times New Roman"/>
        </w:rPr>
        <w:fldChar w:fldCharType="end"/>
      </w:r>
    </w:p>
    <w:p w14:paraId="6BBB4463">
      <w:pPr>
        <w:pStyle w:val="46"/>
        <w:tabs>
          <w:tab w:val="right" w:leader="dot" w:pos="8505"/>
        </w:tabs>
      </w:pPr>
      <w:r>
        <w:rPr>
          <w:rFonts w:ascii="Times New Roman" w:hAnsi="Times New Roman" w:cs="Times New Roman"/>
        </w:rPr>
        <w:fldChar w:fldCharType="begin"/>
      </w:r>
      <w:r>
        <w:rPr>
          <w:rFonts w:ascii="Times New Roman" w:hAnsi="Times New Roman" w:cs="Times New Roman"/>
        </w:rPr>
        <w:instrText xml:space="preserve"> HYPERLINK \l _Toc5384 </w:instrText>
      </w:r>
      <w:r>
        <w:rPr>
          <w:rFonts w:ascii="Times New Roman" w:hAnsi="Times New Roman" w:cs="Times New Roman"/>
        </w:rPr>
        <w:fldChar w:fldCharType="separate"/>
      </w:r>
      <w:r>
        <w:rPr>
          <w:rFonts w:hint="eastAsia" w:eastAsia="华文新魏"/>
        </w:rPr>
        <w:t>4</w:t>
      </w:r>
      <w:r>
        <w:rPr>
          <w:rFonts w:eastAsia="华文新魏"/>
        </w:rPr>
        <w:t xml:space="preserve">.1 </w:t>
      </w:r>
      <w:r>
        <w:t>自然环境概况</w:t>
      </w:r>
      <w:r>
        <w:tab/>
      </w:r>
      <w:r>
        <w:fldChar w:fldCharType="begin"/>
      </w:r>
      <w:r>
        <w:instrText xml:space="preserve"> PAGEREF _Toc5384 \h </w:instrText>
      </w:r>
      <w:r>
        <w:fldChar w:fldCharType="separate"/>
      </w:r>
      <w:r>
        <w:t>135</w:t>
      </w:r>
      <w:r>
        <w:fldChar w:fldCharType="end"/>
      </w:r>
      <w:r>
        <w:rPr>
          <w:rFonts w:ascii="Times New Roman" w:hAnsi="Times New Roman" w:cs="Times New Roman"/>
        </w:rPr>
        <w:fldChar w:fldCharType="end"/>
      </w:r>
    </w:p>
    <w:p w14:paraId="4AA934AA">
      <w:pPr>
        <w:pStyle w:val="30"/>
        <w:tabs>
          <w:tab w:val="right" w:leader="dot" w:pos="8505"/>
        </w:tabs>
      </w:pPr>
      <w:r>
        <w:rPr>
          <w:rFonts w:ascii="Times New Roman" w:hAnsi="Times New Roman" w:cs="Times New Roman"/>
        </w:rPr>
        <w:fldChar w:fldCharType="begin"/>
      </w:r>
      <w:r>
        <w:rPr>
          <w:rFonts w:ascii="Times New Roman" w:hAnsi="Times New Roman" w:cs="Times New Roman"/>
        </w:rPr>
        <w:instrText xml:space="preserve"> HYPERLINK \l _Toc3021 </w:instrText>
      </w:r>
      <w:r>
        <w:rPr>
          <w:rFonts w:ascii="Times New Roman" w:hAnsi="Times New Roman" w:cs="Times New Roman"/>
        </w:rPr>
        <w:fldChar w:fldCharType="separate"/>
      </w:r>
      <w:r>
        <w:rPr>
          <w:rFonts w:hint="eastAsia"/>
          <w:lang w:eastAsia="zh-CN"/>
        </w:rPr>
        <w:t>4</w:t>
      </w:r>
      <w:r>
        <w:t>.1.1 地理位置</w:t>
      </w:r>
      <w:r>
        <w:tab/>
      </w:r>
      <w:r>
        <w:fldChar w:fldCharType="begin"/>
      </w:r>
      <w:r>
        <w:instrText xml:space="preserve"> PAGEREF _Toc3021 \h </w:instrText>
      </w:r>
      <w:r>
        <w:fldChar w:fldCharType="separate"/>
      </w:r>
      <w:r>
        <w:t>135</w:t>
      </w:r>
      <w:r>
        <w:fldChar w:fldCharType="end"/>
      </w:r>
      <w:r>
        <w:rPr>
          <w:rFonts w:ascii="Times New Roman" w:hAnsi="Times New Roman" w:cs="Times New Roman"/>
        </w:rPr>
        <w:fldChar w:fldCharType="end"/>
      </w:r>
    </w:p>
    <w:p w14:paraId="4D425644">
      <w:pPr>
        <w:pStyle w:val="30"/>
        <w:tabs>
          <w:tab w:val="right" w:leader="dot" w:pos="8505"/>
        </w:tabs>
      </w:pPr>
      <w:r>
        <w:rPr>
          <w:rFonts w:ascii="Times New Roman" w:hAnsi="Times New Roman" w:cs="Times New Roman"/>
        </w:rPr>
        <w:fldChar w:fldCharType="begin"/>
      </w:r>
      <w:r>
        <w:rPr>
          <w:rFonts w:ascii="Times New Roman" w:hAnsi="Times New Roman" w:cs="Times New Roman"/>
        </w:rPr>
        <w:instrText xml:space="preserve"> HYPERLINK \l _Toc12901 </w:instrText>
      </w:r>
      <w:r>
        <w:rPr>
          <w:rFonts w:ascii="Times New Roman" w:hAnsi="Times New Roman" w:cs="Times New Roman"/>
        </w:rPr>
        <w:fldChar w:fldCharType="separate"/>
      </w:r>
      <w:r>
        <w:rPr>
          <w:rFonts w:hint="eastAsia"/>
          <w:lang w:eastAsia="zh-CN"/>
        </w:rPr>
        <w:t>4</w:t>
      </w:r>
      <w:r>
        <w:t>.1.2 地形地貌</w:t>
      </w:r>
      <w:r>
        <w:tab/>
      </w:r>
      <w:r>
        <w:fldChar w:fldCharType="begin"/>
      </w:r>
      <w:r>
        <w:instrText xml:space="preserve"> PAGEREF _Toc12901 \h </w:instrText>
      </w:r>
      <w:r>
        <w:fldChar w:fldCharType="separate"/>
      </w:r>
      <w:r>
        <w:t>137</w:t>
      </w:r>
      <w:r>
        <w:fldChar w:fldCharType="end"/>
      </w:r>
      <w:r>
        <w:rPr>
          <w:rFonts w:ascii="Times New Roman" w:hAnsi="Times New Roman" w:cs="Times New Roman"/>
        </w:rPr>
        <w:fldChar w:fldCharType="end"/>
      </w:r>
    </w:p>
    <w:p w14:paraId="5109E501">
      <w:pPr>
        <w:pStyle w:val="30"/>
        <w:tabs>
          <w:tab w:val="right" w:leader="dot" w:pos="8505"/>
        </w:tabs>
      </w:pPr>
      <w:r>
        <w:rPr>
          <w:rFonts w:ascii="Times New Roman" w:hAnsi="Times New Roman" w:cs="Times New Roman"/>
        </w:rPr>
        <w:fldChar w:fldCharType="begin"/>
      </w:r>
      <w:r>
        <w:rPr>
          <w:rFonts w:ascii="Times New Roman" w:hAnsi="Times New Roman" w:cs="Times New Roman"/>
        </w:rPr>
        <w:instrText xml:space="preserve"> HYPERLINK \l _Toc27220 </w:instrText>
      </w:r>
      <w:r>
        <w:rPr>
          <w:rFonts w:ascii="Times New Roman" w:hAnsi="Times New Roman" w:cs="Times New Roman"/>
        </w:rPr>
        <w:fldChar w:fldCharType="separate"/>
      </w:r>
      <w:r>
        <w:t>4.1.3 气候气象</w:t>
      </w:r>
      <w:r>
        <w:tab/>
      </w:r>
      <w:r>
        <w:fldChar w:fldCharType="begin"/>
      </w:r>
      <w:r>
        <w:instrText xml:space="preserve"> PAGEREF _Toc27220 \h </w:instrText>
      </w:r>
      <w:r>
        <w:fldChar w:fldCharType="separate"/>
      </w:r>
      <w:r>
        <w:t>137</w:t>
      </w:r>
      <w:r>
        <w:fldChar w:fldCharType="end"/>
      </w:r>
      <w:r>
        <w:rPr>
          <w:rFonts w:ascii="Times New Roman" w:hAnsi="Times New Roman" w:cs="Times New Roman"/>
        </w:rPr>
        <w:fldChar w:fldCharType="end"/>
      </w:r>
    </w:p>
    <w:p w14:paraId="22AEA762">
      <w:pPr>
        <w:pStyle w:val="30"/>
        <w:tabs>
          <w:tab w:val="right" w:leader="dot" w:pos="8505"/>
        </w:tabs>
      </w:pPr>
      <w:r>
        <w:rPr>
          <w:rFonts w:ascii="Times New Roman" w:hAnsi="Times New Roman" w:cs="Times New Roman"/>
        </w:rPr>
        <w:fldChar w:fldCharType="begin"/>
      </w:r>
      <w:r>
        <w:rPr>
          <w:rFonts w:ascii="Times New Roman" w:hAnsi="Times New Roman" w:cs="Times New Roman"/>
        </w:rPr>
        <w:instrText xml:space="preserve"> HYPERLINK \l _Toc6673 </w:instrText>
      </w:r>
      <w:r>
        <w:rPr>
          <w:rFonts w:ascii="Times New Roman" w:hAnsi="Times New Roman" w:cs="Times New Roman"/>
        </w:rPr>
        <w:fldChar w:fldCharType="separate"/>
      </w:r>
      <w:r>
        <w:rPr>
          <w:rFonts w:hint="eastAsia"/>
          <w:lang w:eastAsia="zh-CN"/>
        </w:rPr>
        <w:t>4</w:t>
      </w:r>
      <w:r>
        <w:t xml:space="preserve">.1.4 </w:t>
      </w:r>
      <w:r>
        <w:rPr>
          <w:rFonts w:hint="eastAsia"/>
          <w:lang w:eastAsia="zh-CN"/>
        </w:rPr>
        <w:t>地表水系</w:t>
      </w:r>
      <w:r>
        <w:tab/>
      </w:r>
      <w:r>
        <w:fldChar w:fldCharType="begin"/>
      </w:r>
      <w:r>
        <w:instrText xml:space="preserve"> PAGEREF _Toc6673 \h </w:instrText>
      </w:r>
      <w:r>
        <w:fldChar w:fldCharType="separate"/>
      </w:r>
      <w:r>
        <w:t>137</w:t>
      </w:r>
      <w:r>
        <w:fldChar w:fldCharType="end"/>
      </w:r>
      <w:r>
        <w:rPr>
          <w:rFonts w:ascii="Times New Roman" w:hAnsi="Times New Roman" w:cs="Times New Roman"/>
        </w:rPr>
        <w:fldChar w:fldCharType="end"/>
      </w:r>
    </w:p>
    <w:p w14:paraId="49A6B3E5">
      <w:pPr>
        <w:pStyle w:val="30"/>
        <w:tabs>
          <w:tab w:val="right" w:leader="dot" w:pos="8505"/>
        </w:tabs>
      </w:pPr>
      <w:r>
        <w:rPr>
          <w:rFonts w:ascii="Times New Roman" w:hAnsi="Times New Roman" w:cs="Times New Roman"/>
        </w:rPr>
        <w:fldChar w:fldCharType="begin"/>
      </w:r>
      <w:r>
        <w:rPr>
          <w:rFonts w:ascii="Times New Roman" w:hAnsi="Times New Roman" w:cs="Times New Roman"/>
        </w:rPr>
        <w:instrText xml:space="preserve"> HYPERLINK \l _Toc13354 </w:instrText>
      </w:r>
      <w:r>
        <w:rPr>
          <w:rFonts w:ascii="Times New Roman" w:hAnsi="Times New Roman" w:cs="Times New Roman"/>
        </w:rPr>
        <w:fldChar w:fldCharType="separate"/>
      </w:r>
      <w:r>
        <w:rPr>
          <w:rFonts w:hint="eastAsia"/>
          <w:lang w:eastAsia="zh-CN"/>
        </w:rPr>
        <w:t>4</w:t>
      </w:r>
      <w:r>
        <w:t>.1.</w:t>
      </w:r>
      <w:r>
        <w:rPr>
          <w:rFonts w:hint="eastAsia"/>
          <w:lang w:eastAsia="zh-CN"/>
        </w:rPr>
        <w:t>5</w:t>
      </w:r>
      <w:r>
        <w:t xml:space="preserve"> </w:t>
      </w:r>
      <w:r>
        <w:rPr>
          <w:rFonts w:hint="eastAsia"/>
          <w:lang w:eastAsia="zh-CN"/>
        </w:rPr>
        <w:t>地质条件</w:t>
      </w:r>
      <w:r>
        <w:tab/>
      </w:r>
      <w:r>
        <w:fldChar w:fldCharType="begin"/>
      </w:r>
      <w:r>
        <w:instrText xml:space="preserve"> PAGEREF _Toc13354 \h </w:instrText>
      </w:r>
      <w:r>
        <w:fldChar w:fldCharType="separate"/>
      </w:r>
      <w:r>
        <w:t>138</w:t>
      </w:r>
      <w:r>
        <w:fldChar w:fldCharType="end"/>
      </w:r>
      <w:r>
        <w:rPr>
          <w:rFonts w:ascii="Times New Roman" w:hAnsi="Times New Roman" w:cs="Times New Roman"/>
        </w:rPr>
        <w:fldChar w:fldCharType="end"/>
      </w:r>
    </w:p>
    <w:p w14:paraId="7C0796E0">
      <w:pPr>
        <w:pStyle w:val="30"/>
        <w:tabs>
          <w:tab w:val="right" w:leader="dot" w:pos="8505"/>
        </w:tabs>
      </w:pPr>
      <w:r>
        <w:rPr>
          <w:rFonts w:ascii="Times New Roman" w:hAnsi="Times New Roman" w:cs="Times New Roman"/>
        </w:rPr>
        <w:fldChar w:fldCharType="begin"/>
      </w:r>
      <w:r>
        <w:rPr>
          <w:rFonts w:ascii="Times New Roman" w:hAnsi="Times New Roman" w:cs="Times New Roman"/>
        </w:rPr>
        <w:instrText xml:space="preserve"> HYPERLINK \l _Toc6693 </w:instrText>
      </w:r>
      <w:r>
        <w:rPr>
          <w:rFonts w:ascii="Times New Roman" w:hAnsi="Times New Roman" w:cs="Times New Roman"/>
        </w:rPr>
        <w:fldChar w:fldCharType="separate"/>
      </w:r>
      <w:r>
        <w:rPr>
          <w:rFonts w:hint="eastAsia"/>
          <w:lang w:eastAsia="zh-CN"/>
        </w:rPr>
        <w:t>4</w:t>
      </w:r>
      <w:r>
        <w:t>.1.</w:t>
      </w:r>
      <w:r>
        <w:rPr>
          <w:rFonts w:hint="eastAsia"/>
          <w:lang w:eastAsia="zh-CN"/>
        </w:rPr>
        <w:t>6</w:t>
      </w:r>
      <w:r>
        <w:t xml:space="preserve"> </w:t>
      </w:r>
      <w:r>
        <w:rPr>
          <w:rFonts w:hint="eastAsia"/>
          <w:lang w:eastAsia="zh-CN"/>
        </w:rPr>
        <w:t>水文地质</w:t>
      </w:r>
      <w:r>
        <w:tab/>
      </w:r>
      <w:r>
        <w:fldChar w:fldCharType="begin"/>
      </w:r>
      <w:r>
        <w:instrText xml:space="preserve"> PAGEREF _Toc6693 \h </w:instrText>
      </w:r>
      <w:r>
        <w:fldChar w:fldCharType="separate"/>
      </w:r>
      <w:r>
        <w:t>139</w:t>
      </w:r>
      <w:r>
        <w:fldChar w:fldCharType="end"/>
      </w:r>
      <w:r>
        <w:rPr>
          <w:rFonts w:ascii="Times New Roman" w:hAnsi="Times New Roman" w:cs="Times New Roman"/>
        </w:rPr>
        <w:fldChar w:fldCharType="end"/>
      </w:r>
    </w:p>
    <w:p w14:paraId="49D41027">
      <w:pPr>
        <w:pStyle w:val="30"/>
        <w:tabs>
          <w:tab w:val="right" w:leader="dot" w:pos="8505"/>
        </w:tabs>
      </w:pPr>
      <w:r>
        <w:rPr>
          <w:rFonts w:ascii="Times New Roman" w:hAnsi="Times New Roman" w:cs="Times New Roman"/>
        </w:rPr>
        <w:fldChar w:fldCharType="begin"/>
      </w:r>
      <w:r>
        <w:rPr>
          <w:rFonts w:ascii="Times New Roman" w:hAnsi="Times New Roman" w:cs="Times New Roman"/>
        </w:rPr>
        <w:instrText xml:space="preserve"> HYPERLINK \l _Toc31444 </w:instrText>
      </w:r>
      <w:r>
        <w:rPr>
          <w:rFonts w:ascii="Times New Roman" w:hAnsi="Times New Roman" w:cs="Times New Roman"/>
        </w:rPr>
        <w:fldChar w:fldCharType="separate"/>
      </w:r>
      <w:r>
        <w:rPr>
          <w:rFonts w:hint="eastAsia"/>
          <w:lang w:eastAsia="zh-CN"/>
        </w:rPr>
        <w:t>4</w:t>
      </w:r>
      <w:r>
        <w:t>.1.</w:t>
      </w:r>
      <w:r>
        <w:rPr>
          <w:rFonts w:hint="eastAsia"/>
          <w:lang w:eastAsia="zh-CN"/>
        </w:rPr>
        <w:t>7</w:t>
      </w:r>
      <w:r>
        <w:t xml:space="preserve"> </w:t>
      </w:r>
      <w:r>
        <w:rPr>
          <w:rFonts w:hint="eastAsia"/>
          <w:lang w:eastAsia="zh-CN"/>
        </w:rPr>
        <w:t>土壤植被</w:t>
      </w:r>
      <w:r>
        <w:tab/>
      </w:r>
      <w:r>
        <w:fldChar w:fldCharType="begin"/>
      </w:r>
      <w:r>
        <w:instrText xml:space="preserve"> PAGEREF _Toc31444 \h </w:instrText>
      </w:r>
      <w:r>
        <w:fldChar w:fldCharType="separate"/>
      </w:r>
      <w:r>
        <w:t>139</w:t>
      </w:r>
      <w:r>
        <w:fldChar w:fldCharType="end"/>
      </w:r>
      <w:r>
        <w:rPr>
          <w:rFonts w:ascii="Times New Roman" w:hAnsi="Times New Roman" w:cs="Times New Roman"/>
        </w:rPr>
        <w:fldChar w:fldCharType="end"/>
      </w:r>
    </w:p>
    <w:p w14:paraId="07F775DE">
      <w:pPr>
        <w:pStyle w:val="46"/>
        <w:tabs>
          <w:tab w:val="right" w:leader="dot" w:pos="8505"/>
        </w:tabs>
      </w:pPr>
      <w:r>
        <w:rPr>
          <w:rFonts w:ascii="Times New Roman" w:hAnsi="Times New Roman" w:cs="Times New Roman"/>
        </w:rPr>
        <w:fldChar w:fldCharType="begin"/>
      </w:r>
      <w:r>
        <w:rPr>
          <w:rFonts w:ascii="Times New Roman" w:hAnsi="Times New Roman" w:cs="Times New Roman"/>
        </w:rPr>
        <w:instrText xml:space="preserve"> HYPERLINK \l _Toc21139 </w:instrText>
      </w:r>
      <w:r>
        <w:rPr>
          <w:rFonts w:ascii="Times New Roman" w:hAnsi="Times New Roman" w:cs="Times New Roman"/>
        </w:rPr>
        <w:fldChar w:fldCharType="separate"/>
      </w:r>
      <w:r>
        <w:rPr>
          <w:rFonts w:hint="eastAsia"/>
        </w:rPr>
        <w:t>4</w:t>
      </w:r>
      <w:r>
        <w:t>.2 环境质量现状调查</w:t>
      </w:r>
      <w:r>
        <w:tab/>
      </w:r>
      <w:r>
        <w:fldChar w:fldCharType="begin"/>
      </w:r>
      <w:r>
        <w:instrText xml:space="preserve"> PAGEREF _Toc21139 \h </w:instrText>
      </w:r>
      <w:r>
        <w:fldChar w:fldCharType="separate"/>
      </w:r>
      <w:r>
        <w:t>140</w:t>
      </w:r>
      <w:r>
        <w:fldChar w:fldCharType="end"/>
      </w:r>
      <w:r>
        <w:rPr>
          <w:rFonts w:ascii="Times New Roman" w:hAnsi="Times New Roman" w:cs="Times New Roman"/>
        </w:rPr>
        <w:fldChar w:fldCharType="end"/>
      </w:r>
    </w:p>
    <w:p w14:paraId="107E979A">
      <w:pPr>
        <w:pStyle w:val="30"/>
        <w:tabs>
          <w:tab w:val="right" w:leader="dot" w:pos="8505"/>
        </w:tabs>
      </w:pPr>
      <w:r>
        <w:rPr>
          <w:rFonts w:ascii="Times New Roman" w:hAnsi="Times New Roman" w:cs="Times New Roman"/>
        </w:rPr>
        <w:fldChar w:fldCharType="begin"/>
      </w:r>
      <w:r>
        <w:rPr>
          <w:rFonts w:ascii="Times New Roman" w:hAnsi="Times New Roman" w:cs="Times New Roman"/>
        </w:rPr>
        <w:instrText xml:space="preserve"> HYPERLINK \l _Toc2269 </w:instrText>
      </w:r>
      <w:r>
        <w:rPr>
          <w:rFonts w:ascii="Times New Roman" w:hAnsi="Times New Roman" w:cs="Times New Roman"/>
        </w:rPr>
        <w:fldChar w:fldCharType="separate"/>
      </w:r>
      <w:r>
        <w:rPr>
          <w:rFonts w:hint="eastAsia"/>
          <w:lang w:eastAsia="zh-CN"/>
        </w:rPr>
        <w:t>4</w:t>
      </w:r>
      <w:r>
        <w:t>.2.1 环境空气质量现状调查与评价</w:t>
      </w:r>
      <w:r>
        <w:tab/>
      </w:r>
      <w:r>
        <w:fldChar w:fldCharType="begin"/>
      </w:r>
      <w:r>
        <w:instrText xml:space="preserve"> PAGEREF _Toc2269 \h </w:instrText>
      </w:r>
      <w:r>
        <w:fldChar w:fldCharType="separate"/>
      </w:r>
      <w:r>
        <w:t>140</w:t>
      </w:r>
      <w:r>
        <w:fldChar w:fldCharType="end"/>
      </w:r>
      <w:r>
        <w:rPr>
          <w:rFonts w:ascii="Times New Roman" w:hAnsi="Times New Roman" w:cs="Times New Roman"/>
        </w:rPr>
        <w:fldChar w:fldCharType="end"/>
      </w:r>
    </w:p>
    <w:p w14:paraId="03B02CB1">
      <w:pPr>
        <w:pStyle w:val="30"/>
        <w:tabs>
          <w:tab w:val="right" w:leader="dot" w:pos="8505"/>
        </w:tabs>
      </w:pPr>
      <w:r>
        <w:rPr>
          <w:rFonts w:ascii="Times New Roman" w:hAnsi="Times New Roman" w:cs="Times New Roman"/>
        </w:rPr>
        <w:fldChar w:fldCharType="begin"/>
      </w:r>
      <w:r>
        <w:rPr>
          <w:rFonts w:ascii="Times New Roman" w:hAnsi="Times New Roman" w:cs="Times New Roman"/>
        </w:rPr>
        <w:instrText xml:space="preserve"> HYPERLINK \l _Toc4561 </w:instrText>
      </w:r>
      <w:r>
        <w:rPr>
          <w:rFonts w:ascii="Times New Roman" w:hAnsi="Times New Roman" w:cs="Times New Roman"/>
        </w:rPr>
        <w:fldChar w:fldCharType="separate"/>
      </w:r>
      <w:r>
        <w:rPr>
          <w:rFonts w:hint="eastAsia"/>
          <w:lang w:eastAsia="zh-CN"/>
        </w:rPr>
        <w:t>4</w:t>
      </w:r>
      <w:r>
        <w:t>.2.2 声环境质量现状调查与评价</w:t>
      </w:r>
      <w:r>
        <w:tab/>
      </w:r>
      <w:r>
        <w:fldChar w:fldCharType="begin"/>
      </w:r>
      <w:r>
        <w:instrText xml:space="preserve"> PAGEREF _Toc4561 \h </w:instrText>
      </w:r>
      <w:r>
        <w:fldChar w:fldCharType="separate"/>
      </w:r>
      <w:r>
        <w:t>145</w:t>
      </w:r>
      <w:r>
        <w:fldChar w:fldCharType="end"/>
      </w:r>
      <w:r>
        <w:rPr>
          <w:rFonts w:ascii="Times New Roman" w:hAnsi="Times New Roman" w:cs="Times New Roman"/>
        </w:rPr>
        <w:fldChar w:fldCharType="end"/>
      </w:r>
    </w:p>
    <w:p w14:paraId="083CF7EF">
      <w:pPr>
        <w:pStyle w:val="30"/>
        <w:tabs>
          <w:tab w:val="right" w:leader="dot" w:pos="8505"/>
        </w:tabs>
      </w:pPr>
      <w:r>
        <w:rPr>
          <w:rFonts w:ascii="Times New Roman" w:hAnsi="Times New Roman" w:cs="Times New Roman"/>
        </w:rPr>
        <w:fldChar w:fldCharType="begin"/>
      </w:r>
      <w:r>
        <w:rPr>
          <w:rFonts w:ascii="Times New Roman" w:hAnsi="Times New Roman" w:cs="Times New Roman"/>
        </w:rPr>
        <w:instrText xml:space="preserve"> HYPERLINK \l _Toc1584 </w:instrText>
      </w:r>
      <w:r>
        <w:rPr>
          <w:rFonts w:ascii="Times New Roman" w:hAnsi="Times New Roman" w:cs="Times New Roman"/>
        </w:rPr>
        <w:fldChar w:fldCharType="separate"/>
      </w:r>
      <w:r>
        <w:rPr>
          <w:rFonts w:hint="eastAsia"/>
          <w:lang w:eastAsia="zh-CN"/>
        </w:rPr>
        <w:t>4</w:t>
      </w:r>
      <w:r>
        <w:t>.2.</w:t>
      </w:r>
      <w:r>
        <w:rPr>
          <w:rFonts w:hint="eastAsia"/>
          <w:lang w:eastAsia="zh-CN"/>
        </w:rPr>
        <w:t>3</w:t>
      </w:r>
      <w:r>
        <w:t xml:space="preserve"> 土壤环境质量现状监测与评价</w:t>
      </w:r>
      <w:r>
        <w:tab/>
      </w:r>
      <w:r>
        <w:fldChar w:fldCharType="begin"/>
      </w:r>
      <w:r>
        <w:instrText xml:space="preserve"> PAGEREF _Toc1584 \h </w:instrText>
      </w:r>
      <w:r>
        <w:fldChar w:fldCharType="separate"/>
      </w:r>
      <w:r>
        <w:t>146</w:t>
      </w:r>
      <w:r>
        <w:fldChar w:fldCharType="end"/>
      </w:r>
      <w:r>
        <w:rPr>
          <w:rFonts w:ascii="Times New Roman" w:hAnsi="Times New Roman" w:cs="Times New Roman"/>
        </w:rPr>
        <w:fldChar w:fldCharType="end"/>
      </w:r>
    </w:p>
    <w:p w14:paraId="7B2229F9">
      <w:pPr>
        <w:pStyle w:val="30"/>
        <w:tabs>
          <w:tab w:val="right" w:leader="dot" w:pos="8505"/>
        </w:tabs>
      </w:pPr>
      <w:r>
        <w:rPr>
          <w:rFonts w:ascii="Times New Roman" w:hAnsi="Times New Roman" w:cs="Times New Roman"/>
        </w:rPr>
        <w:fldChar w:fldCharType="begin"/>
      </w:r>
      <w:r>
        <w:rPr>
          <w:rFonts w:ascii="Times New Roman" w:hAnsi="Times New Roman" w:cs="Times New Roman"/>
        </w:rPr>
        <w:instrText xml:space="preserve"> HYPERLINK \l _Toc795 </w:instrText>
      </w:r>
      <w:r>
        <w:rPr>
          <w:rFonts w:ascii="Times New Roman" w:hAnsi="Times New Roman" w:cs="Times New Roman"/>
        </w:rPr>
        <w:fldChar w:fldCharType="separate"/>
      </w:r>
      <w:r>
        <w:rPr>
          <w:rFonts w:hint="eastAsia"/>
          <w:lang w:eastAsia="zh-CN"/>
        </w:rPr>
        <w:t>4</w:t>
      </w:r>
      <w:r>
        <w:t>.2.</w:t>
      </w:r>
      <w:r>
        <w:rPr>
          <w:rFonts w:hint="eastAsia"/>
          <w:lang w:val="en-US" w:eastAsia="zh-CN"/>
        </w:rPr>
        <w:t>4</w:t>
      </w:r>
      <w:r>
        <w:t xml:space="preserve"> </w:t>
      </w:r>
      <w:r>
        <w:rPr>
          <w:rFonts w:hint="eastAsia"/>
          <w:lang w:val="en-US" w:eastAsia="zh-CN"/>
        </w:rPr>
        <w:t>地表水</w:t>
      </w:r>
      <w:r>
        <w:t>环境质量现状监测与评价</w:t>
      </w:r>
      <w:r>
        <w:tab/>
      </w:r>
      <w:r>
        <w:fldChar w:fldCharType="begin"/>
      </w:r>
      <w:r>
        <w:instrText xml:space="preserve"> PAGEREF _Toc795 \h </w:instrText>
      </w:r>
      <w:r>
        <w:fldChar w:fldCharType="separate"/>
      </w:r>
      <w:r>
        <w:t>155</w:t>
      </w:r>
      <w:r>
        <w:fldChar w:fldCharType="end"/>
      </w:r>
      <w:r>
        <w:rPr>
          <w:rFonts w:ascii="Times New Roman" w:hAnsi="Times New Roman" w:cs="Times New Roman"/>
        </w:rPr>
        <w:fldChar w:fldCharType="end"/>
      </w:r>
    </w:p>
    <w:p w14:paraId="54A24D62">
      <w:pPr>
        <w:pStyle w:val="46"/>
        <w:tabs>
          <w:tab w:val="right" w:leader="dot" w:pos="8505"/>
        </w:tabs>
      </w:pPr>
      <w:r>
        <w:rPr>
          <w:rFonts w:ascii="Times New Roman" w:hAnsi="Times New Roman" w:cs="Times New Roman"/>
        </w:rPr>
        <w:fldChar w:fldCharType="begin"/>
      </w:r>
      <w:r>
        <w:rPr>
          <w:rFonts w:ascii="Times New Roman" w:hAnsi="Times New Roman" w:cs="Times New Roman"/>
        </w:rPr>
        <w:instrText xml:space="preserve"> HYPERLINK \l _Toc30248 </w:instrText>
      </w:r>
      <w:r>
        <w:rPr>
          <w:rFonts w:ascii="Times New Roman" w:hAnsi="Times New Roman" w:cs="Times New Roman"/>
        </w:rPr>
        <w:fldChar w:fldCharType="separate"/>
      </w:r>
      <w:r>
        <w:rPr>
          <w:rFonts w:hint="eastAsia"/>
        </w:rPr>
        <w:t>4</w:t>
      </w:r>
      <w:r>
        <w:t>.3 区域污染源调查</w:t>
      </w:r>
      <w:r>
        <w:tab/>
      </w:r>
      <w:r>
        <w:fldChar w:fldCharType="begin"/>
      </w:r>
      <w:r>
        <w:instrText xml:space="preserve"> PAGEREF _Toc30248 \h </w:instrText>
      </w:r>
      <w:r>
        <w:fldChar w:fldCharType="separate"/>
      </w:r>
      <w:r>
        <w:t>160</w:t>
      </w:r>
      <w:r>
        <w:fldChar w:fldCharType="end"/>
      </w:r>
      <w:r>
        <w:rPr>
          <w:rFonts w:ascii="Times New Roman" w:hAnsi="Times New Roman" w:cs="Times New Roman"/>
        </w:rPr>
        <w:fldChar w:fldCharType="end"/>
      </w:r>
    </w:p>
    <w:p w14:paraId="4E7ED92D">
      <w:pPr>
        <w:pStyle w:val="37"/>
        <w:tabs>
          <w:tab w:val="right" w:leader="dot" w:pos="8505"/>
        </w:tabs>
      </w:pPr>
      <w:r>
        <w:rPr>
          <w:rFonts w:ascii="Times New Roman" w:hAnsi="Times New Roman" w:cs="Times New Roman"/>
        </w:rPr>
        <w:fldChar w:fldCharType="begin"/>
      </w:r>
      <w:r>
        <w:rPr>
          <w:rFonts w:ascii="Times New Roman" w:hAnsi="Times New Roman" w:cs="Times New Roman"/>
        </w:rPr>
        <w:instrText xml:space="preserve"> HYPERLINK \l _Toc1808 </w:instrText>
      </w:r>
      <w:r>
        <w:rPr>
          <w:rFonts w:ascii="Times New Roman" w:hAnsi="Times New Roman" w:cs="Times New Roman"/>
        </w:rPr>
        <w:fldChar w:fldCharType="separate"/>
      </w:r>
      <w:r>
        <w:rPr>
          <w:rFonts w:hint="eastAsia"/>
          <w:lang w:eastAsia="zh-CN"/>
        </w:rPr>
        <w:t>5</w:t>
      </w:r>
      <w:r>
        <w:t>. 环境影响预测与评价</w:t>
      </w:r>
      <w:r>
        <w:tab/>
      </w:r>
      <w:r>
        <w:fldChar w:fldCharType="begin"/>
      </w:r>
      <w:r>
        <w:instrText xml:space="preserve"> PAGEREF _Toc1808 \h </w:instrText>
      </w:r>
      <w:r>
        <w:fldChar w:fldCharType="separate"/>
      </w:r>
      <w:r>
        <w:t>161</w:t>
      </w:r>
      <w:r>
        <w:fldChar w:fldCharType="end"/>
      </w:r>
      <w:r>
        <w:rPr>
          <w:rFonts w:ascii="Times New Roman" w:hAnsi="Times New Roman" w:cs="Times New Roman"/>
        </w:rPr>
        <w:fldChar w:fldCharType="end"/>
      </w:r>
    </w:p>
    <w:p w14:paraId="011398D9">
      <w:pPr>
        <w:pStyle w:val="46"/>
        <w:tabs>
          <w:tab w:val="right" w:leader="dot" w:pos="8505"/>
        </w:tabs>
      </w:pPr>
      <w:r>
        <w:rPr>
          <w:rFonts w:ascii="Times New Roman" w:hAnsi="Times New Roman" w:cs="Times New Roman"/>
        </w:rPr>
        <w:fldChar w:fldCharType="begin"/>
      </w:r>
      <w:r>
        <w:rPr>
          <w:rFonts w:ascii="Times New Roman" w:hAnsi="Times New Roman" w:cs="Times New Roman"/>
        </w:rPr>
        <w:instrText xml:space="preserve"> HYPERLINK \l _Toc13811 </w:instrText>
      </w:r>
      <w:r>
        <w:rPr>
          <w:rFonts w:ascii="Times New Roman" w:hAnsi="Times New Roman" w:cs="Times New Roman"/>
        </w:rPr>
        <w:fldChar w:fldCharType="separate"/>
      </w:r>
      <w:r>
        <w:rPr>
          <w:rFonts w:hint="eastAsia"/>
        </w:rPr>
        <w:t>5</w:t>
      </w:r>
      <w:r>
        <w:t>.1 大气环境影响预测与分析</w:t>
      </w:r>
      <w:r>
        <w:tab/>
      </w:r>
      <w:r>
        <w:fldChar w:fldCharType="begin"/>
      </w:r>
      <w:r>
        <w:instrText xml:space="preserve"> PAGEREF _Toc13811 \h </w:instrText>
      </w:r>
      <w:r>
        <w:fldChar w:fldCharType="separate"/>
      </w:r>
      <w:r>
        <w:t>161</w:t>
      </w:r>
      <w:r>
        <w:fldChar w:fldCharType="end"/>
      </w:r>
      <w:r>
        <w:rPr>
          <w:rFonts w:ascii="Times New Roman" w:hAnsi="Times New Roman" w:cs="Times New Roman"/>
        </w:rPr>
        <w:fldChar w:fldCharType="end"/>
      </w:r>
    </w:p>
    <w:p w14:paraId="41C6E75F">
      <w:pPr>
        <w:pStyle w:val="30"/>
        <w:tabs>
          <w:tab w:val="right" w:leader="dot" w:pos="8505"/>
        </w:tabs>
      </w:pPr>
      <w:r>
        <w:rPr>
          <w:rFonts w:ascii="Times New Roman" w:hAnsi="Times New Roman" w:cs="Times New Roman"/>
        </w:rPr>
        <w:fldChar w:fldCharType="begin"/>
      </w:r>
      <w:r>
        <w:rPr>
          <w:rFonts w:ascii="Times New Roman" w:hAnsi="Times New Roman" w:cs="Times New Roman"/>
        </w:rPr>
        <w:instrText xml:space="preserve"> HYPERLINK \l _Toc3049 </w:instrText>
      </w:r>
      <w:r>
        <w:rPr>
          <w:rFonts w:ascii="Times New Roman" w:hAnsi="Times New Roman" w:cs="Times New Roman"/>
        </w:rPr>
        <w:fldChar w:fldCharType="separate"/>
      </w:r>
      <w:r>
        <w:rPr>
          <w:rFonts w:hint="eastAsia"/>
          <w:lang w:eastAsia="zh-CN"/>
        </w:rPr>
        <w:t>5</w:t>
      </w:r>
      <w:r>
        <w:t>.1.1 预测因子</w:t>
      </w:r>
      <w:r>
        <w:tab/>
      </w:r>
      <w:r>
        <w:fldChar w:fldCharType="begin"/>
      </w:r>
      <w:r>
        <w:instrText xml:space="preserve"> PAGEREF _Toc3049 \h </w:instrText>
      </w:r>
      <w:r>
        <w:fldChar w:fldCharType="separate"/>
      </w:r>
      <w:r>
        <w:t>161</w:t>
      </w:r>
      <w:r>
        <w:fldChar w:fldCharType="end"/>
      </w:r>
      <w:r>
        <w:rPr>
          <w:rFonts w:ascii="Times New Roman" w:hAnsi="Times New Roman" w:cs="Times New Roman"/>
        </w:rPr>
        <w:fldChar w:fldCharType="end"/>
      </w:r>
    </w:p>
    <w:p w14:paraId="223E395B">
      <w:pPr>
        <w:pStyle w:val="30"/>
        <w:tabs>
          <w:tab w:val="right" w:leader="dot" w:pos="8505"/>
        </w:tabs>
      </w:pPr>
      <w:r>
        <w:rPr>
          <w:rFonts w:ascii="Times New Roman" w:hAnsi="Times New Roman" w:cs="Times New Roman"/>
        </w:rPr>
        <w:fldChar w:fldCharType="begin"/>
      </w:r>
      <w:r>
        <w:rPr>
          <w:rFonts w:ascii="Times New Roman" w:hAnsi="Times New Roman" w:cs="Times New Roman"/>
        </w:rPr>
        <w:instrText xml:space="preserve"> HYPERLINK \l _Toc3035 </w:instrText>
      </w:r>
      <w:r>
        <w:rPr>
          <w:rFonts w:ascii="Times New Roman" w:hAnsi="Times New Roman" w:cs="Times New Roman"/>
        </w:rPr>
        <w:fldChar w:fldCharType="separate"/>
      </w:r>
      <w:r>
        <w:rPr>
          <w:rFonts w:hint="eastAsia"/>
          <w:lang w:eastAsia="zh-CN"/>
        </w:rPr>
        <w:t>5</w:t>
      </w:r>
      <w:r>
        <w:t>.1.</w:t>
      </w:r>
      <w:r>
        <w:rPr>
          <w:lang w:eastAsia="zh-CN"/>
        </w:rPr>
        <w:t>2</w:t>
      </w:r>
      <w:r>
        <w:t xml:space="preserve"> 预测</w:t>
      </w:r>
      <w:r>
        <w:rPr>
          <w:lang w:eastAsia="zh-CN"/>
        </w:rPr>
        <w:t>周期</w:t>
      </w:r>
      <w:r>
        <w:tab/>
      </w:r>
      <w:r>
        <w:fldChar w:fldCharType="begin"/>
      </w:r>
      <w:r>
        <w:instrText xml:space="preserve"> PAGEREF _Toc3035 \h </w:instrText>
      </w:r>
      <w:r>
        <w:fldChar w:fldCharType="separate"/>
      </w:r>
      <w:r>
        <w:t>161</w:t>
      </w:r>
      <w:r>
        <w:fldChar w:fldCharType="end"/>
      </w:r>
      <w:r>
        <w:rPr>
          <w:rFonts w:ascii="Times New Roman" w:hAnsi="Times New Roman" w:cs="Times New Roman"/>
        </w:rPr>
        <w:fldChar w:fldCharType="end"/>
      </w:r>
    </w:p>
    <w:p w14:paraId="30CA7EC3">
      <w:pPr>
        <w:pStyle w:val="30"/>
        <w:tabs>
          <w:tab w:val="right" w:leader="dot" w:pos="8505"/>
        </w:tabs>
      </w:pPr>
      <w:r>
        <w:rPr>
          <w:rFonts w:ascii="Times New Roman" w:hAnsi="Times New Roman" w:cs="Times New Roman"/>
        </w:rPr>
        <w:fldChar w:fldCharType="begin"/>
      </w:r>
      <w:r>
        <w:rPr>
          <w:rFonts w:ascii="Times New Roman" w:hAnsi="Times New Roman" w:cs="Times New Roman"/>
        </w:rPr>
        <w:instrText xml:space="preserve"> HYPERLINK \l _Toc18809 </w:instrText>
      </w:r>
      <w:r>
        <w:rPr>
          <w:rFonts w:ascii="Times New Roman" w:hAnsi="Times New Roman" w:cs="Times New Roman"/>
        </w:rPr>
        <w:fldChar w:fldCharType="separate"/>
      </w:r>
      <w:r>
        <w:rPr>
          <w:rFonts w:hint="eastAsia"/>
          <w:lang w:eastAsia="zh-CN"/>
        </w:rPr>
        <w:t>5</w:t>
      </w:r>
      <w:r>
        <w:t>.1.</w:t>
      </w:r>
      <w:r>
        <w:rPr>
          <w:lang w:eastAsia="zh-CN"/>
        </w:rPr>
        <w:t>3</w:t>
      </w:r>
      <w:r>
        <w:t xml:space="preserve"> 预测模型</w:t>
      </w:r>
      <w:r>
        <w:tab/>
      </w:r>
      <w:r>
        <w:fldChar w:fldCharType="begin"/>
      </w:r>
      <w:r>
        <w:instrText xml:space="preserve"> PAGEREF _Toc18809 \h </w:instrText>
      </w:r>
      <w:r>
        <w:fldChar w:fldCharType="separate"/>
      </w:r>
      <w:r>
        <w:t>161</w:t>
      </w:r>
      <w:r>
        <w:fldChar w:fldCharType="end"/>
      </w:r>
      <w:r>
        <w:rPr>
          <w:rFonts w:ascii="Times New Roman" w:hAnsi="Times New Roman" w:cs="Times New Roman"/>
        </w:rPr>
        <w:fldChar w:fldCharType="end"/>
      </w:r>
    </w:p>
    <w:p w14:paraId="194943D7">
      <w:pPr>
        <w:pStyle w:val="30"/>
        <w:tabs>
          <w:tab w:val="right" w:leader="dot" w:pos="8505"/>
        </w:tabs>
      </w:pPr>
      <w:r>
        <w:rPr>
          <w:rFonts w:ascii="Times New Roman" w:hAnsi="Times New Roman" w:cs="Times New Roman"/>
        </w:rPr>
        <w:fldChar w:fldCharType="begin"/>
      </w:r>
      <w:r>
        <w:rPr>
          <w:rFonts w:ascii="Times New Roman" w:hAnsi="Times New Roman" w:cs="Times New Roman"/>
        </w:rPr>
        <w:instrText xml:space="preserve"> HYPERLINK \l _Toc20337 </w:instrText>
      </w:r>
      <w:r>
        <w:rPr>
          <w:rFonts w:ascii="Times New Roman" w:hAnsi="Times New Roman" w:cs="Times New Roman"/>
        </w:rPr>
        <w:fldChar w:fldCharType="separate"/>
      </w:r>
      <w:r>
        <w:rPr>
          <w:rFonts w:hint="eastAsia"/>
          <w:lang w:eastAsia="zh-CN"/>
        </w:rPr>
        <w:t>5</w:t>
      </w:r>
      <w:r>
        <w:t>.1.</w:t>
      </w:r>
      <w:r>
        <w:rPr>
          <w:lang w:eastAsia="zh-CN"/>
        </w:rPr>
        <w:t>4</w:t>
      </w:r>
      <w:r>
        <w:t xml:space="preserve"> 气象参数</w:t>
      </w:r>
      <w:r>
        <w:tab/>
      </w:r>
      <w:r>
        <w:fldChar w:fldCharType="begin"/>
      </w:r>
      <w:r>
        <w:instrText xml:space="preserve"> PAGEREF _Toc20337 \h </w:instrText>
      </w:r>
      <w:r>
        <w:fldChar w:fldCharType="separate"/>
      </w:r>
      <w:r>
        <w:t>162</w:t>
      </w:r>
      <w:r>
        <w:fldChar w:fldCharType="end"/>
      </w:r>
      <w:r>
        <w:rPr>
          <w:rFonts w:ascii="Times New Roman" w:hAnsi="Times New Roman" w:cs="Times New Roman"/>
        </w:rPr>
        <w:fldChar w:fldCharType="end"/>
      </w:r>
    </w:p>
    <w:p w14:paraId="201985E7">
      <w:pPr>
        <w:pStyle w:val="30"/>
        <w:tabs>
          <w:tab w:val="right" w:leader="dot" w:pos="8505"/>
        </w:tabs>
      </w:pPr>
      <w:r>
        <w:rPr>
          <w:rFonts w:ascii="Times New Roman" w:hAnsi="Times New Roman" w:cs="Times New Roman"/>
        </w:rPr>
        <w:fldChar w:fldCharType="begin"/>
      </w:r>
      <w:r>
        <w:rPr>
          <w:rFonts w:ascii="Times New Roman" w:hAnsi="Times New Roman" w:cs="Times New Roman"/>
        </w:rPr>
        <w:instrText xml:space="preserve"> HYPERLINK \l _Toc23421 </w:instrText>
      </w:r>
      <w:r>
        <w:rPr>
          <w:rFonts w:ascii="Times New Roman" w:hAnsi="Times New Roman" w:cs="Times New Roman"/>
        </w:rPr>
        <w:fldChar w:fldCharType="separate"/>
      </w:r>
      <w:r>
        <w:rPr>
          <w:rFonts w:hint="eastAsia"/>
          <w:lang w:eastAsia="zh-CN"/>
        </w:rPr>
        <w:t>5</w:t>
      </w:r>
      <w:r>
        <w:t>.1.</w:t>
      </w:r>
      <w:r>
        <w:rPr>
          <w:lang w:eastAsia="zh-CN"/>
        </w:rPr>
        <w:t>5</w:t>
      </w:r>
      <w:r>
        <w:t xml:space="preserve"> 地形数据参数</w:t>
      </w:r>
      <w:r>
        <w:tab/>
      </w:r>
      <w:r>
        <w:fldChar w:fldCharType="begin"/>
      </w:r>
      <w:r>
        <w:instrText xml:space="preserve"> PAGEREF _Toc23421 \h </w:instrText>
      </w:r>
      <w:r>
        <w:fldChar w:fldCharType="separate"/>
      </w:r>
      <w:r>
        <w:t>167</w:t>
      </w:r>
      <w:r>
        <w:fldChar w:fldCharType="end"/>
      </w:r>
      <w:r>
        <w:rPr>
          <w:rFonts w:ascii="Times New Roman" w:hAnsi="Times New Roman" w:cs="Times New Roman"/>
        </w:rPr>
        <w:fldChar w:fldCharType="end"/>
      </w:r>
    </w:p>
    <w:p w14:paraId="7804C6F3">
      <w:pPr>
        <w:pStyle w:val="30"/>
        <w:tabs>
          <w:tab w:val="right" w:leader="dot" w:pos="8505"/>
        </w:tabs>
      </w:pPr>
      <w:r>
        <w:rPr>
          <w:rFonts w:ascii="Times New Roman" w:hAnsi="Times New Roman" w:cs="Times New Roman"/>
        </w:rPr>
        <w:fldChar w:fldCharType="begin"/>
      </w:r>
      <w:r>
        <w:rPr>
          <w:rFonts w:ascii="Times New Roman" w:hAnsi="Times New Roman" w:cs="Times New Roman"/>
        </w:rPr>
        <w:instrText xml:space="preserve"> HYPERLINK \l _Toc3629 </w:instrText>
      </w:r>
      <w:r>
        <w:rPr>
          <w:rFonts w:ascii="Times New Roman" w:hAnsi="Times New Roman" w:cs="Times New Roman"/>
        </w:rPr>
        <w:fldChar w:fldCharType="separate"/>
      </w:r>
      <w:r>
        <w:rPr>
          <w:rFonts w:hint="eastAsia"/>
          <w:lang w:eastAsia="zh-CN"/>
        </w:rPr>
        <w:t>5</w:t>
      </w:r>
      <w:r>
        <w:t>.1.</w:t>
      </w:r>
      <w:r>
        <w:rPr>
          <w:lang w:eastAsia="zh-CN"/>
        </w:rPr>
        <w:t>6</w:t>
      </w:r>
      <w:r>
        <w:t xml:space="preserve"> 预测范围</w:t>
      </w:r>
      <w:r>
        <w:tab/>
      </w:r>
      <w:r>
        <w:fldChar w:fldCharType="begin"/>
      </w:r>
      <w:r>
        <w:instrText xml:space="preserve"> PAGEREF _Toc3629 \h </w:instrText>
      </w:r>
      <w:r>
        <w:fldChar w:fldCharType="separate"/>
      </w:r>
      <w:r>
        <w:t>169</w:t>
      </w:r>
      <w:r>
        <w:fldChar w:fldCharType="end"/>
      </w:r>
      <w:r>
        <w:rPr>
          <w:rFonts w:ascii="Times New Roman" w:hAnsi="Times New Roman" w:cs="Times New Roman"/>
        </w:rPr>
        <w:fldChar w:fldCharType="end"/>
      </w:r>
    </w:p>
    <w:p w14:paraId="6D70B08D">
      <w:pPr>
        <w:pStyle w:val="30"/>
        <w:tabs>
          <w:tab w:val="right" w:leader="dot" w:pos="8505"/>
        </w:tabs>
      </w:pPr>
      <w:r>
        <w:rPr>
          <w:rFonts w:ascii="Times New Roman" w:hAnsi="Times New Roman" w:cs="Times New Roman"/>
        </w:rPr>
        <w:fldChar w:fldCharType="begin"/>
      </w:r>
      <w:r>
        <w:rPr>
          <w:rFonts w:ascii="Times New Roman" w:hAnsi="Times New Roman" w:cs="Times New Roman"/>
        </w:rPr>
        <w:instrText xml:space="preserve"> HYPERLINK \l _Toc8086 </w:instrText>
      </w:r>
      <w:r>
        <w:rPr>
          <w:rFonts w:ascii="Times New Roman" w:hAnsi="Times New Roman" w:cs="Times New Roman"/>
        </w:rPr>
        <w:fldChar w:fldCharType="separate"/>
      </w:r>
      <w:r>
        <w:rPr>
          <w:rFonts w:hint="eastAsia"/>
          <w:lang w:eastAsia="zh-CN"/>
        </w:rPr>
        <w:t>5</w:t>
      </w:r>
      <w:r>
        <w:t>.1.</w:t>
      </w:r>
      <w:r>
        <w:rPr>
          <w:lang w:eastAsia="zh-CN"/>
        </w:rPr>
        <w:t>7</w:t>
      </w:r>
      <w:r>
        <w:t xml:space="preserve"> 预测参数</w:t>
      </w:r>
      <w:r>
        <w:rPr>
          <w:rFonts w:hint="eastAsia"/>
          <w:lang w:val="en-US" w:eastAsia="zh-CN"/>
        </w:rPr>
        <w:t>及方案</w:t>
      </w:r>
      <w:r>
        <w:tab/>
      </w:r>
      <w:r>
        <w:fldChar w:fldCharType="begin"/>
      </w:r>
      <w:r>
        <w:instrText xml:space="preserve"> PAGEREF _Toc8086 \h </w:instrText>
      </w:r>
      <w:r>
        <w:fldChar w:fldCharType="separate"/>
      </w:r>
      <w:r>
        <w:t>169</w:t>
      </w:r>
      <w:r>
        <w:fldChar w:fldCharType="end"/>
      </w:r>
      <w:r>
        <w:rPr>
          <w:rFonts w:ascii="Times New Roman" w:hAnsi="Times New Roman" w:cs="Times New Roman"/>
        </w:rPr>
        <w:fldChar w:fldCharType="end"/>
      </w:r>
    </w:p>
    <w:p w14:paraId="0636DC6D">
      <w:pPr>
        <w:pStyle w:val="30"/>
        <w:tabs>
          <w:tab w:val="right" w:leader="dot" w:pos="8505"/>
        </w:tabs>
      </w:pPr>
      <w:r>
        <w:rPr>
          <w:rFonts w:ascii="Times New Roman" w:hAnsi="Times New Roman" w:cs="Times New Roman"/>
        </w:rPr>
        <w:fldChar w:fldCharType="begin"/>
      </w:r>
      <w:r>
        <w:rPr>
          <w:rFonts w:ascii="Times New Roman" w:hAnsi="Times New Roman" w:cs="Times New Roman"/>
        </w:rPr>
        <w:instrText xml:space="preserve"> HYPERLINK \l _Toc9507 </w:instrText>
      </w:r>
      <w:r>
        <w:rPr>
          <w:rFonts w:ascii="Times New Roman" w:hAnsi="Times New Roman" w:cs="Times New Roman"/>
        </w:rPr>
        <w:fldChar w:fldCharType="separate"/>
      </w:r>
      <w:r>
        <w:rPr>
          <w:rFonts w:hint="eastAsia"/>
          <w:lang w:eastAsia="zh-CN"/>
        </w:rPr>
        <w:t>5</w:t>
      </w:r>
      <w:r>
        <w:t>.1.</w:t>
      </w:r>
      <w:r>
        <w:rPr>
          <w:rFonts w:hint="eastAsia"/>
          <w:lang w:val="en-US" w:eastAsia="zh-CN"/>
        </w:rPr>
        <w:t>8</w:t>
      </w:r>
      <w:r>
        <w:t xml:space="preserve"> 大气影响预测结果及评价</w:t>
      </w:r>
      <w:r>
        <w:tab/>
      </w:r>
      <w:r>
        <w:fldChar w:fldCharType="begin"/>
      </w:r>
      <w:r>
        <w:instrText xml:space="preserve"> PAGEREF _Toc9507 \h </w:instrText>
      </w:r>
      <w:r>
        <w:fldChar w:fldCharType="separate"/>
      </w:r>
      <w:r>
        <w:t>174</w:t>
      </w:r>
      <w:r>
        <w:fldChar w:fldCharType="end"/>
      </w:r>
      <w:r>
        <w:rPr>
          <w:rFonts w:ascii="Times New Roman" w:hAnsi="Times New Roman" w:cs="Times New Roman"/>
        </w:rPr>
        <w:fldChar w:fldCharType="end"/>
      </w:r>
    </w:p>
    <w:p w14:paraId="55CE03B9">
      <w:pPr>
        <w:pStyle w:val="30"/>
        <w:tabs>
          <w:tab w:val="right" w:leader="dot" w:pos="8505"/>
        </w:tabs>
      </w:pPr>
      <w:r>
        <w:rPr>
          <w:rFonts w:ascii="Times New Roman" w:hAnsi="Times New Roman" w:cs="Times New Roman"/>
        </w:rPr>
        <w:fldChar w:fldCharType="begin"/>
      </w:r>
      <w:r>
        <w:rPr>
          <w:rFonts w:ascii="Times New Roman" w:hAnsi="Times New Roman" w:cs="Times New Roman"/>
        </w:rPr>
        <w:instrText xml:space="preserve"> HYPERLINK \l _Toc1170 </w:instrText>
      </w:r>
      <w:r>
        <w:rPr>
          <w:rFonts w:ascii="Times New Roman" w:hAnsi="Times New Roman" w:cs="Times New Roman"/>
        </w:rPr>
        <w:fldChar w:fldCharType="separate"/>
      </w:r>
      <w:r>
        <w:rPr>
          <w:rFonts w:hint="eastAsia"/>
          <w:lang w:eastAsia="zh-CN"/>
        </w:rPr>
        <w:t>5</w:t>
      </w:r>
      <w:r>
        <w:t>.1.</w:t>
      </w:r>
      <w:r>
        <w:rPr>
          <w:rFonts w:hint="eastAsia"/>
          <w:lang w:val="en-US" w:eastAsia="zh-CN"/>
        </w:rPr>
        <w:t>9</w:t>
      </w:r>
      <w:r>
        <w:t xml:space="preserve"> 厂界达标排放评价</w:t>
      </w:r>
      <w:r>
        <w:tab/>
      </w:r>
      <w:r>
        <w:fldChar w:fldCharType="begin"/>
      </w:r>
      <w:r>
        <w:instrText xml:space="preserve"> PAGEREF _Toc1170 \h </w:instrText>
      </w:r>
      <w:r>
        <w:fldChar w:fldCharType="separate"/>
      </w:r>
      <w:r>
        <w:t>194</w:t>
      </w:r>
      <w:r>
        <w:fldChar w:fldCharType="end"/>
      </w:r>
      <w:r>
        <w:rPr>
          <w:rFonts w:ascii="Times New Roman" w:hAnsi="Times New Roman" w:cs="Times New Roman"/>
        </w:rPr>
        <w:fldChar w:fldCharType="end"/>
      </w:r>
    </w:p>
    <w:p w14:paraId="33DD0E9C">
      <w:pPr>
        <w:pStyle w:val="30"/>
        <w:tabs>
          <w:tab w:val="right" w:leader="dot" w:pos="8505"/>
        </w:tabs>
      </w:pPr>
      <w:r>
        <w:rPr>
          <w:rFonts w:ascii="Times New Roman" w:hAnsi="Times New Roman" w:cs="Times New Roman"/>
        </w:rPr>
        <w:fldChar w:fldCharType="begin"/>
      </w:r>
      <w:r>
        <w:rPr>
          <w:rFonts w:ascii="Times New Roman" w:hAnsi="Times New Roman" w:cs="Times New Roman"/>
        </w:rPr>
        <w:instrText xml:space="preserve"> HYPERLINK \l _Toc32177 </w:instrText>
      </w:r>
      <w:r>
        <w:rPr>
          <w:rFonts w:ascii="Times New Roman" w:hAnsi="Times New Roman" w:cs="Times New Roman"/>
        </w:rPr>
        <w:fldChar w:fldCharType="separate"/>
      </w:r>
      <w:r>
        <w:rPr>
          <w:rFonts w:hint="eastAsia"/>
          <w:lang w:eastAsia="zh-CN"/>
        </w:rPr>
        <w:t>5</w:t>
      </w:r>
      <w:r>
        <w:t>.1.1</w:t>
      </w:r>
      <w:r>
        <w:rPr>
          <w:lang w:eastAsia="zh-CN"/>
        </w:rPr>
        <w:t>2</w:t>
      </w:r>
      <w:r>
        <w:t xml:space="preserve"> 小结</w:t>
      </w:r>
      <w:r>
        <w:tab/>
      </w:r>
      <w:r>
        <w:fldChar w:fldCharType="begin"/>
      </w:r>
      <w:r>
        <w:instrText xml:space="preserve"> PAGEREF _Toc32177 \h </w:instrText>
      </w:r>
      <w:r>
        <w:fldChar w:fldCharType="separate"/>
      </w:r>
      <w:r>
        <w:t>195</w:t>
      </w:r>
      <w:r>
        <w:fldChar w:fldCharType="end"/>
      </w:r>
      <w:r>
        <w:rPr>
          <w:rFonts w:ascii="Times New Roman" w:hAnsi="Times New Roman" w:cs="Times New Roman"/>
        </w:rPr>
        <w:fldChar w:fldCharType="end"/>
      </w:r>
    </w:p>
    <w:p w14:paraId="3E4D7778">
      <w:pPr>
        <w:pStyle w:val="46"/>
        <w:tabs>
          <w:tab w:val="right" w:leader="dot" w:pos="8505"/>
        </w:tabs>
      </w:pPr>
      <w:r>
        <w:rPr>
          <w:rFonts w:ascii="Times New Roman" w:hAnsi="Times New Roman" w:cs="Times New Roman"/>
        </w:rPr>
        <w:fldChar w:fldCharType="begin"/>
      </w:r>
      <w:r>
        <w:rPr>
          <w:rFonts w:ascii="Times New Roman" w:hAnsi="Times New Roman" w:cs="Times New Roman"/>
        </w:rPr>
        <w:instrText xml:space="preserve"> HYPERLINK \l _Toc21757 </w:instrText>
      </w:r>
      <w:r>
        <w:rPr>
          <w:rFonts w:ascii="Times New Roman" w:hAnsi="Times New Roman" w:cs="Times New Roman"/>
        </w:rPr>
        <w:fldChar w:fldCharType="separate"/>
      </w:r>
      <w:r>
        <w:rPr>
          <w:rFonts w:hint="eastAsia"/>
        </w:rPr>
        <w:t>5</w:t>
      </w:r>
      <w:r>
        <w:t>.2 噪声环境影响预测与分析</w:t>
      </w:r>
      <w:r>
        <w:tab/>
      </w:r>
      <w:r>
        <w:fldChar w:fldCharType="begin"/>
      </w:r>
      <w:r>
        <w:instrText xml:space="preserve"> PAGEREF _Toc21757 \h </w:instrText>
      </w:r>
      <w:r>
        <w:fldChar w:fldCharType="separate"/>
      </w:r>
      <w:r>
        <w:t>195</w:t>
      </w:r>
      <w:r>
        <w:fldChar w:fldCharType="end"/>
      </w:r>
      <w:r>
        <w:rPr>
          <w:rFonts w:ascii="Times New Roman" w:hAnsi="Times New Roman" w:cs="Times New Roman"/>
        </w:rPr>
        <w:fldChar w:fldCharType="end"/>
      </w:r>
    </w:p>
    <w:p w14:paraId="56DC5465">
      <w:pPr>
        <w:pStyle w:val="30"/>
        <w:tabs>
          <w:tab w:val="right" w:leader="dot" w:pos="8505"/>
        </w:tabs>
      </w:pPr>
      <w:r>
        <w:rPr>
          <w:rFonts w:ascii="Times New Roman" w:hAnsi="Times New Roman" w:cs="Times New Roman"/>
        </w:rPr>
        <w:fldChar w:fldCharType="begin"/>
      </w:r>
      <w:r>
        <w:rPr>
          <w:rFonts w:ascii="Times New Roman" w:hAnsi="Times New Roman" w:cs="Times New Roman"/>
        </w:rPr>
        <w:instrText xml:space="preserve"> HYPERLINK \l _Toc11346 </w:instrText>
      </w:r>
      <w:r>
        <w:rPr>
          <w:rFonts w:ascii="Times New Roman" w:hAnsi="Times New Roman" w:cs="Times New Roman"/>
        </w:rPr>
        <w:fldChar w:fldCharType="separate"/>
      </w:r>
      <w:r>
        <w:rPr>
          <w:rFonts w:hint="eastAsia"/>
          <w:lang w:eastAsia="zh-CN"/>
        </w:rPr>
        <w:t>5</w:t>
      </w:r>
      <w:r>
        <w:t>.2.1 噪声源参数</w:t>
      </w:r>
      <w:r>
        <w:tab/>
      </w:r>
      <w:r>
        <w:fldChar w:fldCharType="begin"/>
      </w:r>
      <w:r>
        <w:instrText xml:space="preserve"> PAGEREF _Toc11346 \h </w:instrText>
      </w:r>
      <w:r>
        <w:fldChar w:fldCharType="separate"/>
      </w:r>
      <w:r>
        <w:t>195</w:t>
      </w:r>
      <w:r>
        <w:fldChar w:fldCharType="end"/>
      </w:r>
      <w:r>
        <w:rPr>
          <w:rFonts w:ascii="Times New Roman" w:hAnsi="Times New Roman" w:cs="Times New Roman"/>
        </w:rPr>
        <w:fldChar w:fldCharType="end"/>
      </w:r>
    </w:p>
    <w:p w14:paraId="092AD9A0">
      <w:pPr>
        <w:pStyle w:val="30"/>
        <w:tabs>
          <w:tab w:val="right" w:leader="dot" w:pos="8505"/>
        </w:tabs>
      </w:pPr>
      <w:r>
        <w:rPr>
          <w:rFonts w:ascii="Times New Roman" w:hAnsi="Times New Roman" w:cs="Times New Roman"/>
        </w:rPr>
        <w:fldChar w:fldCharType="begin"/>
      </w:r>
      <w:r>
        <w:rPr>
          <w:rFonts w:ascii="Times New Roman" w:hAnsi="Times New Roman" w:cs="Times New Roman"/>
        </w:rPr>
        <w:instrText xml:space="preserve"> HYPERLINK \l _Toc24341 </w:instrText>
      </w:r>
      <w:r>
        <w:rPr>
          <w:rFonts w:ascii="Times New Roman" w:hAnsi="Times New Roman" w:cs="Times New Roman"/>
        </w:rPr>
        <w:fldChar w:fldCharType="separate"/>
      </w:r>
      <w:r>
        <w:rPr>
          <w:rFonts w:hint="eastAsia"/>
          <w:lang w:eastAsia="zh-CN"/>
        </w:rPr>
        <w:t>5</w:t>
      </w:r>
      <w:r>
        <w:t>.2.2 预测点与评价标准</w:t>
      </w:r>
      <w:r>
        <w:tab/>
      </w:r>
      <w:r>
        <w:fldChar w:fldCharType="begin"/>
      </w:r>
      <w:r>
        <w:instrText xml:space="preserve"> PAGEREF _Toc24341 \h </w:instrText>
      </w:r>
      <w:r>
        <w:fldChar w:fldCharType="separate"/>
      </w:r>
      <w:r>
        <w:t>196</w:t>
      </w:r>
      <w:r>
        <w:fldChar w:fldCharType="end"/>
      </w:r>
      <w:r>
        <w:rPr>
          <w:rFonts w:ascii="Times New Roman" w:hAnsi="Times New Roman" w:cs="Times New Roman"/>
        </w:rPr>
        <w:fldChar w:fldCharType="end"/>
      </w:r>
    </w:p>
    <w:p w14:paraId="07D10E34">
      <w:pPr>
        <w:pStyle w:val="30"/>
        <w:tabs>
          <w:tab w:val="right" w:leader="dot" w:pos="8505"/>
        </w:tabs>
      </w:pPr>
      <w:r>
        <w:rPr>
          <w:rFonts w:ascii="Times New Roman" w:hAnsi="Times New Roman" w:cs="Times New Roman"/>
        </w:rPr>
        <w:fldChar w:fldCharType="begin"/>
      </w:r>
      <w:r>
        <w:rPr>
          <w:rFonts w:ascii="Times New Roman" w:hAnsi="Times New Roman" w:cs="Times New Roman"/>
        </w:rPr>
        <w:instrText xml:space="preserve"> HYPERLINK \l _Toc27441 </w:instrText>
      </w:r>
      <w:r>
        <w:rPr>
          <w:rFonts w:ascii="Times New Roman" w:hAnsi="Times New Roman" w:cs="Times New Roman"/>
        </w:rPr>
        <w:fldChar w:fldCharType="separate"/>
      </w:r>
      <w:r>
        <w:rPr>
          <w:rFonts w:hint="eastAsia"/>
          <w:lang w:eastAsia="zh-CN"/>
        </w:rPr>
        <w:t>5</w:t>
      </w:r>
      <w:r>
        <w:t>.2.3 预测内容及模式</w:t>
      </w:r>
      <w:r>
        <w:tab/>
      </w:r>
      <w:r>
        <w:fldChar w:fldCharType="begin"/>
      </w:r>
      <w:r>
        <w:instrText xml:space="preserve"> PAGEREF _Toc27441 \h </w:instrText>
      </w:r>
      <w:r>
        <w:fldChar w:fldCharType="separate"/>
      </w:r>
      <w:r>
        <w:t>197</w:t>
      </w:r>
      <w:r>
        <w:fldChar w:fldCharType="end"/>
      </w:r>
      <w:r>
        <w:rPr>
          <w:rFonts w:ascii="Times New Roman" w:hAnsi="Times New Roman" w:cs="Times New Roman"/>
        </w:rPr>
        <w:fldChar w:fldCharType="end"/>
      </w:r>
    </w:p>
    <w:p w14:paraId="3929853E">
      <w:pPr>
        <w:pStyle w:val="30"/>
        <w:tabs>
          <w:tab w:val="right" w:leader="dot" w:pos="8505"/>
        </w:tabs>
      </w:pPr>
      <w:r>
        <w:rPr>
          <w:rFonts w:ascii="Times New Roman" w:hAnsi="Times New Roman" w:cs="Times New Roman"/>
        </w:rPr>
        <w:fldChar w:fldCharType="begin"/>
      </w:r>
      <w:r>
        <w:rPr>
          <w:rFonts w:ascii="Times New Roman" w:hAnsi="Times New Roman" w:cs="Times New Roman"/>
        </w:rPr>
        <w:instrText xml:space="preserve"> HYPERLINK \l _Toc11682 </w:instrText>
      </w:r>
      <w:r>
        <w:rPr>
          <w:rFonts w:ascii="Times New Roman" w:hAnsi="Times New Roman" w:cs="Times New Roman"/>
        </w:rPr>
        <w:fldChar w:fldCharType="separate"/>
      </w:r>
      <w:r>
        <w:rPr>
          <w:rFonts w:hint="eastAsia"/>
          <w:lang w:eastAsia="zh-CN"/>
        </w:rPr>
        <w:t>5</w:t>
      </w:r>
      <w:r>
        <w:t>.2.4 预测结果分析</w:t>
      </w:r>
      <w:r>
        <w:tab/>
      </w:r>
      <w:r>
        <w:fldChar w:fldCharType="begin"/>
      </w:r>
      <w:r>
        <w:instrText xml:space="preserve"> PAGEREF _Toc11682 \h </w:instrText>
      </w:r>
      <w:r>
        <w:fldChar w:fldCharType="separate"/>
      </w:r>
      <w:r>
        <w:t>198</w:t>
      </w:r>
      <w:r>
        <w:fldChar w:fldCharType="end"/>
      </w:r>
      <w:r>
        <w:rPr>
          <w:rFonts w:ascii="Times New Roman" w:hAnsi="Times New Roman" w:cs="Times New Roman"/>
        </w:rPr>
        <w:fldChar w:fldCharType="end"/>
      </w:r>
    </w:p>
    <w:p w14:paraId="1105C539">
      <w:pPr>
        <w:pStyle w:val="46"/>
        <w:tabs>
          <w:tab w:val="right" w:leader="dot" w:pos="8505"/>
        </w:tabs>
      </w:pPr>
      <w:r>
        <w:rPr>
          <w:rFonts w:ascii="Times New Roman" w:hAnsi="Times New Roman" w:cs="Times New Roman"/>
        </w:rPr>
        <w:fldChar w:fldCharType="begin"/>
      </w:r>
      <w:r>
        <w:rPr>
          <w:rFonts w:ascii="Times New Roman" w:hAnsi="Times New Roman" w:cs="Times New Roman"/>
        </w:rPr>
        <w:instrText xml:space="preserve"> HYPERLINK \l _Toc30261 </w:instrText>
      </w:r>
      <w:r>
        <w:rPr>
          <w:rFonts w:ascii="Times New Roman" w:hAnsi="Times New Roman" w:cs="Times New Roman"/>
        </w:rPr>
        <w:fldChar w:fldCharType="separate"/>
      </w:r>
      <w:r>
        <w:rPr>
          <w:rFonts w:hint="eastAsia"/>
        </w:rPr>
        <w:t>5</w:t>
      </w:r>
      <w:r>
        <w:t>.3 水环境影响分析</w:t>
      </w:r>
      <w:r>
        <w:tab/>
      </w:r>
      <w:r>
        <w:fldChar w:fldCharType="begin"/>
      </w:r>
      <w:r>
        <w:instrText xml:space="preserve"> PAGEREF _Toc30261 \h </w:instrText>
      </w:r>
      <w:r>
        <w:fldChar w:fldCharType="separate"/>
      </w:r>
      <w:r>
        <w:t>201</w:t>
      </w:r>
      <w:r>
        <w:fldChar w:fldCharType="end"/>
      </w:r>
      <w:r>
        <w:rPr>
          <w:rFonts w:ascii="Times New Roman" w:hAnsi="Times New Roman" w:cs="Times New Roman"/>
        </w:rPr>
        <w:fldChar w:fldCharType="end"/>
      </w:r>
    </w:p>
    <w:p w14:paraId="65236312">
      <w:pPr>
        <w:pStyle w:val="46"/>
        <w:tabs>
          <w:tab w:val="right" w:leader="dot" w:pos="8505"/>
        </w:tabs>
      </w:pPr>
      <w:r>
        <w:rPr>
          <w:rFonts w:ascii="Times New Roman" w:hAnsi="Times New Roman" w:cs="Times New Roman"/>
        </w:rPr>
        <w:fldChar w:fldCharType="begin"/>
      </w:r>
      <w:r>
        <w:rPr>
          <w:rFonts w:ascii="Times New Roman" w:hAnsi="Times New Roman" w:cs="Times New Roman"/>
        </w:rPr>
        <w:instrText xml:space="preserve"> HYPERLINK \l _Toc24634 </w:instrText>
      </w:r>
      <w:r>
        <w:rPr>
          <w:rFonts w:ascii="Times New Roman" w:hAnsi="Times New Roman" w:cs="Times New Roman"/>
        </w:rPr>
        <w:fldChar w:fldCharType="separate"/>
      </w:r>
      <w:r>
        <w:rPr>
          <w:rFonts w:hint="eastAsia"/>
        </w:rPr>
        <w:t>5</w:t>
      </w:r>
      <w:r>
        <w:t>.4 地下水环境影响分析</w:t>
      </w:r>
      <w:r>
        <w:tab/>
      </w:r>
      <w:r>
        <w:fldChar w:fldCharType="begin"/>
      </w:r>
      <w:r>
        <w:instrText xml:space="preserve"> PAGEREF _Toc24634 \h </w:instrText>
      </w:r>
      <w:r>
        <w:fldChar w:fldCharType="separate"/>
      </w:r>
      <w:r>
        <w:t>201</w:t>
      </w:r>
      <w:r>
        <w:fldChar w:fldCharType="end"/>
      </w:r>
      <w:r>
        <w:rPr>
          <w:rFonts w:ascii="Times New Roman" w:hAnsi="Times New Roman" w:cs="Times New Roman"/>
        </w:rPr>
        <w:fldChar w:fldCharType="end"/>
      </w:r>
    </w:p>
    <w:p w14:paraId="3B838FA9">
      <w:pPr>
        <w:pStyle w:val="30"/>
        <w:tabs>
          <w:tab w:val="right" w:leader="dot" w:pos="8505"/>
        </w:tabs>
      </w:pPr>
      <w:r>
        <w:rPr>
          <w:rFonts w:ascii="Times New Roman" w:hAnsi="Times New Roman" w:cs="Times New Roman"/>
        </w:rPr>
        <w:fldChar w:fldCharType="begin"/>
      </w:r>
      <w:r>
        <w:rPr>
          <w:rFonts w:ascii="Times New Roman" w:hAnsi="Times New Roman" w:cs="Times New Roman"/>
        </w:rPr>
        <w:instrText xml:space="preserve"> HYPERLINK \l _Toc15520 </w:instrText>
      </w:r>
      <w:r>
        <w:rPr>
          <w:rFonts w:ascii="Times New Roman" w:hAnsi="Times New Roman" w:cs="Times New Roman"/>
        </w:rPr>
        <w:fldChar w:fldCharType="separate"/>
      </w:r>
      <w:r>
        <w:rPr>
          <w:rFonts w:hint="eastAsia"/>
          <w:lang w:eastAsia="zh-CN"/>
        </w:rPr>
        <w:t>5</w:t>
      </w:r>
      <w:r>
        <w:t>.4.1 地下水污染来源</w:t>
      </w:r>
      <w:r>
        <w:tab/>
      </w:r>
      <w:r>
        <w:fldChar w:fldCharType="begin"/>
      </w:r>
      <w:r>
        <w:instrText xml:space="preserve"> PAGEREF _Toc15520 \h </w:instrText>
      </w:r>
      <w:r>
        <w:fldChar w:fldCharType="separate"/>
      </w:r>
      <w:r>
        <w:t>201</w:t>
      </w:r>
      <w:r>
        <w:fldChar w:fldCharType="end"/>
      </w:r>
      <w:r>
        <w:rPr>
          <w:rFonts w:ascii="Times New Roman" w:hAnsi="Times New Roman" w:cs="Times New Roman"/>
        </w:rPr>
        <w:fldChar w:fldCharType="end"/>
      </w:r>
    </w:p>
    <w:p w14:paraId="29C17FC2">
      <w:pPr>
        <w:pStyle w:val="30"/>
        <w:tabs>
          <w:tab w:val="right" w:leader="dot" w:pos="8505"/>
        </w:tabs>
      </w:pPr>
      <w:r>
        <w:rPr>
          <w:rFonts w:ascii="Times New Roman" w:hAnsi="Times New Roman" w:cs="Times New Roman"/>
        </w:rPr>
        <w:fldChar w:fldCharType="begin"/>
      </w:r>
      <w:r>
        <w:rPr>
          <w:rFonts w:ascii="Times New Roman" w:hAnsi="Times New Roman" w:cs="Times New Roman"/>
        </w:rPr>
        <w:instrText xml:space="preserve"> HYPERLINK \l _Toc26363 </w:instrText>
      </w:r>
      <w:r>
        <w:rPr>
          <w:rFonts w:ascii="Times New Roman" w:hAnsi="Times New Roman" w:cs="Times New Roman"/>
        </w:rPr>
        <w:fldChar w:fldCharType="separate"/>
      </w:r>
      <w:r>
        <w:rPr>
          <w:rFonts w:hint="eastAsia"/>
          <w:lang w:eastAsia="zh-CN"/>
        </w:rPr>
        <w:t>5</w:t>
      </w:r>
      <w:r>
        <w:rPr>
          <w:lang w:eastAsia="zh-CN"/>
        </w:rPr>
        <w:t>.4.2 地下水环境影响分析</w:t>
      </w:r>
      <w:r>
        <w:tab/>
      </w:r>
      <w:r>
        <w:fldChar w:fldCharType="begin"/>
      </w:r>
      <w:r>
        <w:instrText xml:space="preserve"> PAGEREF _Toc26363 \h </w:instrText>
      </w:r>
      <w:r>
        <w:fldChar w:fldCharType="separate"/>
      </w:r>
      <w:r>
        <w:t>201</w:t>
      </w:r>
      <w:r>
        <w:fldChar w:fldCharType="end"/>
      </w:r>
      <w:r>
        <w:rPr>
          <w:rFonts w:ascii="Times New Roman" w:hAnsi="Times New Roman" w:cs="Times New Roman"/>
        </w:rPr>
        <w:fldChar w:fldCharType="end"/>
      </w:r>
    </w:p>
    <w:p w14:paraId="2C4252FB">
      <w:pPr>
        <w:pStyle w:val="46"/>
        <w:tabs>
          <w:tab w:val="right" w:leader="dot" w:pos="8505"/>
        </w:tabs>
      </w:pPr>
      <w:r>
        <w:rPr>
          <w:rFonts w:ascii="Times New Roman" w:hAnsi="Times New Roman" w:cs="Times New Roman"/>
        </w:rPr>
        <w:fldChar w:fldCharType="begin"/>
      </w:r>
      <w:r>
        <w:rPr>
          <w:rFonts w:ascii="Times New Roman" w:hAnsi="Times New Roman" w:cs="Times New Roman"/>
        </w:rPr>
        <w:instrText xml:space="preserve"> HYPERLINK \l _Toc15481 </w:instrText>
      </w:r>
      <w:r>
        <w:rPr>
          <w:rFonts w:ascii="Times New Roman" w:hAnsi="Times New Roman" w:cs="Times New Roman"/>
        </w:rPr>
        <w:fldChar w:fldCharType="separate"/>
      </w:r>
      <w:r>
        <w:rPr>
          <w:rFonts w:hint="eastAsia"/>
        </w:rPr>
        <w:t>5</w:t>
      </w:r>
      <w:r>
        <w:t>.5 固体废物环境影响分析</w:t>
      </w:r>
      <w:r>
        <w:tab/>
      </w:r>
      <w:r>
        <w:fldChar w:fldCharType="begin"/>
      </w:r>
      <w:r>
        <w:instrText xml:space="preserve"> PAGEREF _Toc15481 \h </w:instrText>
      </w:r>
      <w:r>
        <w:fldChar w:fldCharType="separate"/>
      </w:r>
      <w:r>
        <w:t>202</w:t>
      </w:r>
      <w:r>
        <w:fldChar w:fldCharType="end"/>
      </w:r>
      <w:r>
        <w:rPr>
          <w:rFonts w:ascii="Times New Roman" w:hAnsi="Times New Roman" w:cs="Times New Roman"/>
        </w:rPr>
        <w:fldChar w:fldCharType="end"/>
      </w:r>
    </w:p>
    <w:p w14:paraId="29F67B76">
      <w:pPr>
        <w:pStyle w:val="46"/>
        <w:tabs>
          <w:tab w:val="right" w:leader="dot" w:pos="8505"/>
        </w:tabs>
      </w:pPr>
      <w:r>
        <w:rPr>
          <w:rFonts w:ascii="Times New Roman" w:hAnsi="Times New Roman" w:cs="Times New Roman"/>
        </w:rPr>
        <w:fldChar w:fldCharType="begin"/>
      </w:r>
      <w:r>
        <w:rPr>
          <w:rFonts w:ascii="Times New Roman" w:hAnsi="Times New Roman" w:cs="Times New Roman"/>
        </w:rPr>
        <w:instrText xml:space="preserve"> HYPERLINK \l _Toc17601 </w:instrText>
      </w:r>
      <w:r>
        <w:rPr>
          <w:rFonts w:ascii="Times New Roman" w:hAnsi="Times New Roman" w:cs="Times New Roman"/>
        </w:rPr>
        <w:fldChar w:fldCharType="separate"/>
      </w:r>
      <w:r>
        <w:rPr>
          <w:rFonts w:hint="eastAsia"/>
          <w:highlight w:val="none"/>
        </w:rPr>
        <w:t>5</w:t>
      </w:r>
      <w:r>
        <w:rPr>
          <w:highlight w:val="none"/>
        </w:rPr>
        <w:t>.6 土壤环境影响分析</w:t>
      </w:r>
      <w:r>
        <w:tab/>
      </w:r>
      <w:r>
        <w:fldChar w:fldCharType="begin"/>
      </w:r>
      <w:r>
        <w:instrText xml:space="preserve"> PAGEREF _Toc17601 \h </w:instrText>
      </w:r>
      <w:r>
        <w:fldChar w:fldCharType="separate"/>
      </w:r>
      <w:r>
        <w:t>204</w:t>
      </w:r>
      <w:r>
        <w:fldChar w:fldCharType="end"/>
      </w:r>
      <w:r>
        <w:rPr>
          <w:rFonts w:ascii="Times New Roman" w:hAnsi="Times New Roman" w:cs="Times New Roman"/>
        </w:rPr>
        <w:fldChar w:fldCharType="end"/>
      </w:r>
    </w:p>
    <w:p w14:paraId="1A94BCEA">
      <w:pPr>
        <w:pStyle w:val="30"/>
        <w:tabs>
          <w:tab w:val="right" w:leader="dot" w:pos="8505"/>
        </w:tabs>
      </w:pPr>
      <w:r>
        <w:rPr>
          <w:rFonts w:ascii="Times New Roman" w:hAnsi="Times New Roman" w:cs="Times New Roman"/>
        </w:rPr>
        <w:fldChar w:fldCharType="begin"/>
      </w:r>
      <w:r>
        <w:rPr>
          <w:rFonts w:ascii="Times New Roman" w:hAnsi="Times New Roman" w:cs="Times New Roman"/>
        </w:rPr>
        <w:instrText xml:space="preserve"> HYPERLINK \l _Toc15952 </w:instrText>
      </w:r>
      <w:r>
        <w:rPr>
          <w:rFonts w:ascii="Times New Roman" w:hAnsi="Times New Roman" w:cs="Times New Roman"/>
        </w:rPr>
        <w:fldChar w:fldCharType="separate"/>
      </w:r>
      <w:r>
        <w:rPr>
          <w:rFonts w:hint="eastAsia" w:eastAsia="宋体"/>
          <w:lang w:val="en-US" w:eastAsia="zh-CN"/>
        </w:rPr>
        <w:t>5.6.1</w:t>
      </w:r>
      <w:r>
        <w:rPr>
          <w:rFonts w:hint="default" w:eastAsia="宋体"/>
          <w:lang w:eastAsia="zh-CN"/>
        </w:rPr>
        <w:t>区域土壤状况调查</w:t>
      </w:r>
      <w:r>
        <w:tab/>
      </w:r>
      <w:r>
        <w:fldChar w:fldCharType="begin"/>
      </w:r>
      <w:r>
        <w:instrText xml:space="preserve"> PAGEREF _Toc15952 \h </w:instrText>
      </w:r>
      <w:r>
        <w:fldChar w:fldCharType="separate"/>
      </w:r>
      <w:r>
        <w:t>204</w:t>
      </w:r>
      <w:r>
        <w:fldChar w:fldCharType="end"/>
      </w:r>
      <w:r>
        <w:rPr>
          <w:rFonts w:ascii="Times New Roman" w:hAnsi="Times New Roman" w:cs="Times New Roman"/>
        </w:rPr>
        <w:fldChar w:fldCharType="end"/>
      </w:r>
    </w:p>
    <w:p w14:paraId="01392521">
      <w:pPr>
        <w:pStyle w:val="30"/>
        <w:tabs>
          <w:tab w:val="right" w:leader="dot" w:pos="8505"/>
        </w:tabs>
      </w:pPr>
      <w:r>
        <w:rPr>
          <w:rFonts w:ascii="Times New Roman" w:hAnsi="Times New Roman" w:cs="Times New Roman"/>
        </w:rPr>
        <w:fldChar w:fldCharType="begin"/>
      </w:r>
      <w:r>
        <w:rPr>
          <w:rFonts w:ascii="Times New Roman" w:hAnsi="Times New Roman" w:cs="Times New Roman"/>
        </w:rPr>
        <w:instrText xml:space="preserve"> HYPERLINK \l _Toc21601 </w:instrText>
      </w:r>
      <w:r>
        <w:rPr>
          <w:rFonts w:ascii="Times New Roman" w:hAnsi="Times New Roman" w:cs="Times New Roman"/>
        </w:rPr>
        <w:fldChar w:fldCharType="separate"/>
      </w:r>
      <w:r>
        <w:rPr>
          <w:rFonts w:hint="eastAsia" w:eastAsia="宋体"/>
          <w:lang w:val="en-US" w:eastAsia="zh-CN"/>
        </w:rPr>
        <w:t>5.6.2</w:t>
      </w:r>
      <w:r>
        <w:rPr>
          <w:rFonts w:hint="default" w:eastAsia="宋体"/>
          <w:lang w:val="en-US" w:eastAsia="zh-CN"/>
        </w:rPr>
        <w:t xml:space="preserve"> 土壤理化性质现状调查</w:t>
      </w:r>
      <w:r>
        <w:tab/>
      </w:r>
      <w:r>
        <w:fldChar w:fldCharType="begin"/>
      </w:r>
      <w:r>
        <w:instrText xml:space="preserve"> PAGEREF _Toc21601 \h </w:instrText>
      </w:r>
      <w:r>
        <w:fldChar w:fldCharType="separate"/>
      </w:r>
      <w:r>
        <w:t>207</w:t>
      </w:r>
      <w:r>
        <w:fldChar w:fldCharType="end"/>
      </w:r>
      <w:r>
        <w:rPr>
          <w:rFonts w:ascii="Times New Roman" w:hAnsi="Times New Roman" w:cs="Times New Roman"/>
        </w:rPr>
        <w:fldChar w:fldCharType="end"/>
      </w:r>
    </w:p>
    <w:p w14:paraId="066B46E3">
      <w:pPr>
        <w:pStyle w:val="30"/>
        <w:tabs>
          <w:tab w:val="right" w:leader="dot" w:pos="8505"/>
        </w:tabs>
      </w:pPr>
      <w:r>
        <w:rPr>
          <w:rFonts w:ascii="Times New Roman" w:hAnsi="Times New Roman" w:cs="Times New Roman"/>
        </w:rPr>
        <w:fldChar w:fldCharType="begin"/>
      </w:r>
      <w:r>
        <w:rPr>
          <w:rFonts w:ascii="Times New Roman" w:hAnsi="Times New Roman" w:cs="Times New Roman"/>
        </w:rPr>
        <w:instrText xml:space="preserve"> HYPERLINK \l _Toc7201 </w:instrText>
      </w:r>
      <w:r>
        <w:rPr>
          <w:rFonts w:ascii="Times New Roman" w:hAnsi="Times New Roman" w:cs="Times New Roman"/>
        </w:rPr>
        <w:fldChar w:fldCharType="separate"/>
      </w:r>
      <w:r>
        <w:rPr>
          <w:rFonts w:hint="eastAsia" w:eastAsia="宋体"/>
          <w:lang w:val="en-US" w:eastAsia="zh-CN"/>
        </w:rPr>
        <w:t>5.6.3</w:t>
      </w:r>
      <w:r>
        <w:rPr>
          <w:rFonts w:hint="default" w:eastAsia="宋体"/>
          <w:lang w:val="en-US" w:eastAsia="zh-CN"/>
        </w:rPr>
        <w:t>土壤环境影响预测分析与评价</w:t>
      </w:r>
      <w:r>
        <w:tab/>
      </w:r>
      <w:r>
        <w:fldChar w:fldCharType="begin"/>
      </w:r>
      <w:r>
        <w:instrText xml:space="preserve"> PAGEREF _Toc7201 \h </w:instrText>
      </w:r>
      <w:r>
        <w:fldChar w:fldCharType="separate"/>
      </w:r>
      <w:r>
        <w:t>208</w:t>
      </w:r>
      <w:r>
        <w:fldChar w:fldCharType="end"/>
      </w:r>
      <w:r>
        <w:rPr>
          <w:rFonts w:ascii="Times New Roman" w:hAnsi="Times New Roman" w:cs="Times New Roman"/>
        </w:rPr>
        <w:fldChar w:fldCharType="end"/>
      </w:r>
    </w:p>
    <w:p w14:paraId="19920F6A">
      <w:pPr>
        <w:pStyle w:val="46"/>
        <w:tabs>
          <w:tab w:val="right" w:leader="dot" w:pos="8505"/>
        </w:tabs>
      </w:pPr>
      <w:r>
        <w:rPr>
          <w:rFonts w:ascii="Times New Roman" w:hAnsi="Times New Roman" w:cs="Times New Roman"/>
        </w:rPr>
        <w:fldChar w:fldCharType="begin"/>
      </w:r>
      <w:r>
        <w:rPr>
          <w:rFonts w:ascii="Times New Roman" w:hAnsi="Times New Roman" w:cs="Times New Roman"/>
        </w:rPr>
        <w:instrText xml:space="preserve"> HYPERLINK \l _Toc12407 </w:instrText>
      </w:r>
      <w:r>
        <w:rPr>
          <w:rFonts w:ascii="Times New Roman" w:hAnsi="Times New Roman" w:cs="Times New Roman"/>
        </w:rPr>
        <w:fldChar w:fldCharType="separate"/>
      </w:r>
      <w:r>
        <w:rPr>
          <w:rFonts w:hint="eastAsia"/>
        </w:rPr>
        <w:t>5</w:t>
      </w:r>
      <w:r>
        <w:t>.7 生态环境影响分析</w:t>
      </w:r>
      <w:r>
        <w:tab/>
      </w:r>
      <w:r>
        <w:fldChar w:fldCharType="begin"/>
      </w:r>
      <w:r>
        <w:instrText xml:space="preserve"> PAGEREF _Toc12407 \h </w:instrText>
      </w:r>
      <w:r>
        <w:fldChar w:fldCharType="separate"/>
      </w:r>
      <w:r>
        <w:t>212</w:t>
      </w:r>
      <w:r>
        <w:fldChar w:fldCharType="end"/>
      </w:r>
      <w:r>
        <w:rPr>
          <w:rFonts w:ascii="Times New Roman" w:hAnsi="Times New Roman" w:cs="Times New Roman"/>
        </w:rPr>
        <w:fldChar w:fldCharType="end"/>
      </w:r>
    </w:p>
    <w:p w14:paraId="33488A84">
      <w:pPr>
        <w:pStyle w:val="37"/>
        <w:tabs>
          <w:tab w:val="right" w:leader="dot" w:pos="8505"/>
        </w:tabs>
      </w:pPr>
      <w:r>
        <w:rPr>
          <w:rFonts w:ascii="Times New Roman" w:hAnsi="Times New Roman" w:cs="Times New Roman"/>
        </w:rPr>
        <w:fldChar w:fldCharType="begin"/>
      </w:r>
      <w:r>
        <w:rPr>
          <w:rFonts w:ascii="Times New Roman" w:hAnsi="Times New Roman" w:cs="Times New Roman"/>
        </w:rPr>
        <w:instrText xml:space="preserve"> HYPERLINK \l _Toc21605 </w:instrText>
      </w:r>
      <w:r>
        <w:rPr>
          <w:rFonts w:ascii="Times New Roman" w:hAnsi="Times New Roman" w:cs="Times New Roman"/>
        </w:rPr>
        <w:fldChar w:fldCharType="separate"/>
      </w:r>
      <w:r>
        <w:rPr>
          <w:rFonts w:hint="eastAsia"/>
          <w:lang w:eastAsia="zh-CN"/>
        </w:rPr>
        <w:t>6</w:t>
      </w:r>
      <w:r>
        <w:t xml:space="preserve">. </w:t>
      </w:r>
      <w:r>
        <w:rPr>
          <w:lang w:eastAsia="zh-CN"/>
        </w:rPr>
        <w:t>环境风险评价</w:t>
      </w:r>
      <w:r>
        <w:tab/>
      </w:r>
      <w:r>
        <w:fldChar w:fldCharType="begin"/>
      </w:r>
      <w:r>
        <w:instrText xml:space="preserve"> PAGEREF _Toc21605 \h </w:instrText>
      </w:r>
      <w:r>
        <w:fldChar w:fldCharType="separate"/>
      </w:r>
      <w:r>
        <w:t>213</w:t>
      </w:r>
      <w:r>
        <w:fldChar w:fldCharType="end"/>
      </w:r>
      <w:r>
        <w:rPr>
          <w:rFonts w:ascii="Times New Roman" w:hAnsi="Times New Roman" w:cs="Times New Roman"/>
        </w:rPr>
        <w:fldChar w:fldCharType="end"/>
      </w:r>
    </w:p>
    <w:p w14:paraId="47AECDA4">
      <w:pPr>
        <w:pStyle w:val="46"/>
        <w:tabs>
          <w:tab w:val="right" w:leader="dot" w:pos="8505"/>
        </w:tabs>
      </w:pPr>
      <w:r>
        <w:rPr>
          <w:rFonts w:ascii="Times New Roman" w:hAnsi="Times New Roman" w:cs="Times New Roman"/>
        </w:rPr>
        <w:fldChar w:fldCharType="begin"/>
      </w:r>
      <w:r>
        <w:rPr>
          <w:rFonts w:ascii="Times New Roman" w:hAnsi="Times New Roman" w:cs="Times New Roman"/>
        </w:rPr>
        <w:instrText xml:space="preserve"> HYPERLINK \l _Toc6842 </w:instrText>
      </w:r>
      <w:r>
        <w:rPr>
          <w:rFonts w:ascii="Times New Roman" w:hAnsi="Times New Roman" w:cs="Times New Roman"/>
        </w:rPr>
        <w:fldChar w:fldCharType="separate"/>
      </w:r>
      <w:r>
        <w:rPr>
          <w:rFonts w:hint="eastAsia" w:ascii="Times New Roman" w:hAnsi="Times New Roman" w:cs="Times New Roman"/>
        </w:rPr>
        <w:t>6</w:t>
      </w:r>
      <w:r>
        <w:rPr>
          <w:rFonts w:ascii="Times New Roman" w:hAnsi="Times New Roman" w:cs="Times New Roman"/>
        </w:rPr>
        <w:t>.1 环境风险识别</w:t>
      </w:r>
      <w:r>
        <w:tab/>
      </w:r>
      <w:r>
        <w:fldChar w:fldCharType="begin"/>
      </w:r>
      <w:r>
        <w:instrText xml:space="preserve"> PAGEREF _Toc6842 \h </w:instrText>
      </w:r>
      <w:r>
        <w:fldChar w:fldCharType="separate"/>
      </w:r>
      <w:r>
        <w:t>213</w:t>
      </w:r>
      <w:r>
        <w:fldChar w:fldCharType="end"/>
      </w:r>
      <w:r>
        <w:rPr>
          <w:rFonts w:ascii="Times New Roman" w:hAnsi="Times New Roman" w:cs="Times New Roman"/>
        </w:rPr>
        <w:fldChar w:fldCharType="end"/>
      </w:r>
    </w:p>
    <w:p w14:paraId="58C12CE0">
      <w:pPr>
        <w:pStyle w:val="30"/>
        <w:tabs>
          <w:tab w:val="right" w:leader="dot" w:pos="8505"/>
        </w:tabs>
      </w:pPr>
      <w:r>
        <w:rPr>
          <w:rFonts w:ascii="Times New Roman" w:hAnsi="Times New Roman" w:cs="Times New Roman"/>
        </w:rPr>
        <w:fldChar w:fldCharType="begin"/>
      </w:r>
      <w:r>
        <w:rPr>
          <w:rFonts w:ascii="Times New Roman" w:hAnsi="Times New Roman" w:cs="Times New Roman"/>
        </w:rPr>
        <w:instrText xml:space="preserve"> HYPERLINK \l _Toc29328 </w:instrText>
      </w:r>
      <w:r>
        <w:rPr>
          <w:rFonts w:ascii="Times New Roman" w:hAnsi="Times New Roman" w:cs="Times New Roman"/>
        </w:rPr>
        <w:fldChar w:fldCharType="separate"/>
      </w:r>
      <w:r>
        <w:rPr>
          <w:rFonts w:hint="eastAsia" w:ascii="Times New Roman" w:hAnsi="Times New Roman" w:cs="Times New Roman"/>
          <w:szCs w:val="28"/>
        </w:rPr>
        <w:t>6</w:t>
      </w:r>
      <w:r>
        <w:rPr>
          <w:rFonts w:ascii="Times New Roman" w:hAnsi="Times New Roman" w:cs="Times New Roman"/>
          <w:szCs w:val="28"/>
        </w:rPr>
        <w:t>.1.1 物质危险性识别</w:t>
      </w:r>
      <w:r>
        <w:tab/>
      </w:r>
      <w:r>
        <w:fldChar w:fldCharType="begin"/>
      </w:r>
      <w:r>
        <w:instrText xml:space="preserve"> PAGEREF _Toc29328 \h </w:instrText>
      </w:r>
      <w:r>
        <w:fldChar w:fldCharType="separate"/>
      </w:r>
      <w:r>
        <w:t>213</w:t>
      </w:r>
      <w:r>
        <w:fldChar w:fldCharType="end"/>
      </w:r>
      <w:r>
        <w:rPr>
          <w:rFonts w:ascii="Times New Roman" w:hAnsi="Times New Roman" w:cs="Times New Roman"/>
        </w:rPr>
        <w:fldChar w:fldCharType="end"/>
      </w:r>
    </w:p>
    <w:p w14:paraId="27981566">
      <w:pPr>
        <w:pStyle w:val="30"/>
        <w:tabs>
          <w:tab w:val="right" w:leader="dot" w:pos="8505"/>
        </w:tabs>
      </w:pPr>
      <w:r>
        <w:rPr>
          <w:rFonts w:ascii="Times New Roman" w:hAnsi="Times New Roman" w:cs="Times New Roman"/>
        </w:rPr>
        <w:fldChar w:fldCharType="begin"/>
      </w:r>
      <w:r>
        <w:rPr>
          <w:rFonts w:ascii="Times New Roman" w:hAnsi="Times New Roman" w:cs="Times New Roman"/>
        </w:rPr>
        <w:instrText xml:space="preserve"> HYPERLINK \l _Toc26367 </w:instrText>
      </w:r>
      <w:r>
        <w:rPr>
          <w:rFonts w:ascii="Times New Roman" w:hAnsi="Times New Roman" w:cs="Times New Roman"/>
        </w:rPr>
        <w:fldChar w:fldCharType="separate"/>
      </w:r>
      <w:r>
        <w:rPr>
          <w:rFonts w:hint="eastAsia" w:ascii="Times New Roman" w:hAnsi="Times New Roman" w:cs="Times New Roman"/>
          <w:szCs w:val="28"/>
        </w:rPr>
        <w:t>6</w:t>
      </w:r>
      <w:r>
        <w:rPr>
          <w:rFonts w:ascii="Times New Roman" w:hAnsi="Times New Roman" w:cs="Times New Roman"/>
          <w:szCs w:val="28"/>
        </w:rPr>
        <w:t>.1.2 生产系统危险性识别</w:t>
      </w:r>
      <w:r>
        <w:tab/>
      </w:r>
      <w:r>
        <w:fldChar w:fldCharType="begin"/>
      </w:r>
      <w:r>
        <w:instrText xml:space="preserve"> PAGEREF _Toc26367 \h </w:instrText>
      </w:r>
      <w:r>
        <w:fldChar w:fldCharType="separate"/>
      </w:r>
      <w:r>
        <w:t>216</w:t>
      </w:r>
      <w:r>
        <w:fldChar w:fldCharType="end"/>
      </w:r>
      <w:r>
        <w:rPr>
          <w:rFonts w:ascii="Times New Roman" w:hAnsi="Times New Roman" w:cs="Times New Roman"/>
        </w:rPr>
        <w:fldChar w:fldCharType="end"/>
      </w:r>
    </w:p>
    <w:p w14:paraId="7DF4D99A">
      <w:pPr>
        <w:pStyle w:val="30"/>
        <w:tabs>
          <w:tab w:val="right" w:leader="dot" w:pos="8505"/>
        </w:tabs>
      </w:pPr>
      <w:r>
        <w:rPr>
          <w:rFonts w:ascii="Times New Roman" w:hAnsi="Times New Roman" w:cs="Times New Roman"/>
        </w:rPr>
        <w:fldChar w:fldCharType="begin"/>
      </w:r>
      <w:r>
        <w:rPr>
          <w:rFonts w:ascii="Times New Roman" w:hAnsi="Times New Roman" w:cs="Times New Roman"/>
        </w:rPr>
        <w:instrText xml:space="preserve"> HYPERLINK \l _Toc24714 </w:instrText>
      </w:r>
      <w:r>
        <w:rPr>
          <w:rFonts w:ascii="Times New Roman" w:hAnsi="Times New Roman" w:cs="Times New Roman"/>
        </w:rPr>
        <w:fldChar w:fldCharType="separate"/>
      </w:r>
      <w:r>
        <w:rPr>
          <w:rFonts w:hint="eastAsia" w:ascii="Times New Roman" w:hAnsi="Times New Roman" w:cs="Times New Roman"/>
          <w:szCs w:val="28"/>
        </w:rPr>
        <w:t>6</w:t>
      </w:r>
      <w:r>
        <w:rPr>
          <w:rFonts w:ascii="Times New Roman" w:hAnsi="Times New Roman" w:cs="Times New Roman"/>
          <w:szCs w:val="28"/>
        </w:rPr>
        <w:t>.1.</w:t>
      </w:r>
      <w:r>
        <w:rPr>
          <w:rFonts w:hint="eastAsia" w:ascii="Times New Roman" w:hAnsi="Times New Roman" w:cs="Times New Roman"/>
          <w:szCs w:val="28"/>
          <w:lang w:val="en-US" w:eastAsia="zh-CN"/>
        </w:rPr>
        <w:t>4</w:t>
      </w:r>
      <w:r>
        <w:rPr>
          <w:rFonts w:ascii="Times New Roman" w:hAnsi="Times New Roman" w:cs="Times New Roman"/>
          <w:szCs w:val="28"/>
        </w:rPr>
        <w:t>危险物质向环境转移途径识别</w:t>
      </w:r>
      <w:r>
        <w:tab/>
      </w:r>
      <w:r>
        <w:fldChar w:fldCharType="begin"/>
      </w:r>
      <w:r>
        <w:instrText xml:space="preserve"> PAGEREF _Toc24714 \h </w:instrText>
      </w:r>
      <w:r>
        <w:fldChar w:fldCharType="separate"/>
      </w:r>
      <w:r>
        <w:t>219</w:t>
      </w:r>
      <w:r>
        <w:fldChar w:fldCharType="end"/>
      </w:r>
      <w:r>
        <w:rPr>
          <w:rFonts w:ascii="Times New Roman" w:hAnsi="Times New Roman" w:cs="Times New Roman"/>
        </w:rPr>
        <w:fldChar w:fldCharType="end"/>
      </w:r>
    </w:p>
    <w:p w14:paraId="60550A35">
      <w:pPr>
        <w:pStyle w:val="46"/>
        <w:tabs>
          <w:tab w:val="right" w:leader="dot" w:pos="8505"/>
        </w:tabs>
      </w:pPr>
      <w:r>
        <w:rPr>
          <w:rFonts w:ascii="Times New Roman" w:hAnsi="Times New Roman" w:cs="Times New Roman"/>
        </w:rPr>
        <w:fldChar w:fldCharType="begin"/>
      </w:r>
      <w:r>
        <w:rPr>
          <w:rFonts w:ascii="Times New Roman" w:hAnsi="Times New Roman" w:cs="Times New Roman"/>
        </w:rPr>
        <w:instrText xml:space="preserve"> HYPERLINK \l _Toc20309 </w:instrText>
      </w:r>
      <w:r>
        <w:rPr>
          <w:rFonts w:ascii="Times New Roman" w:hAnsi="Times New Roman" w:cs="Times New Roman"/>
        </w:rPr>
        <w:fldChar w:fldCharType="separate"/>
      </w:r>
      <w:r>
        <w:rPr>
          <w:rFonts w:hint="eastAsia" w:ascii="Times New Roman" w:hAnsi="Times New Roman" w:cs="Times New Roman"/>
        </w:rPr>
        <w:t>6</w:t>
      </w:r>
      <w:r>
        <w:rPr>
          <w:rFonts w:ascii="Times New Roman" w:hAnsi="Times New Roman" w:cs="Times New Roman"/>
        </w:rPr>
        <w:t>.2 环境风险分析</w:t>
      </w:r>
      <w:r>
        <w:tab/>
      </w:r>
      <w:r>
        <w:fldChar w:fldCharType="begin"/>
      </w:r>
      <w:r>
        <w:instrText xml:space="preserve"> PAGEREF _Toc20309 \h </w:instrText>
      </w:r>
      <w:r>
        <w:fldChar w:fldCharType="separate"/>
      </w:r>
      <w:r>
        <w:t>222</w:t>
      </w:r>
      <w:r>
        <w:fldChar w:fldCharType="end"/>
      </w:r>
      <w:r>
        <w:rPr>
          <w:rFonts w:ascii="Times New Roman" w:hAnsi="Times New Roman" w:cs="Times New Roman"/>
        </w:rPr>
        <w:fldChar w:fldCharType="end"/>
      </w:r>
    </w:p>
    <w:p w14:paraId="4DC0C9C8">
      <w:pPr>
        <w:pStyle w:val="46"/>
        <w:tabs>
          <w:tab w:val="right" w:leader="dot" w:pos="8505"/>
        </w:tabs>
      </w:pPr>
      <w:r>
        <w:rPr>
          <w:rFonts w:ascii="Times New Roman" w:hAnsi="Times New Roman" w:cs="Times New Roman"/>
        </w:rPr>
        <w:fldChar w:fldCharType="begin"/>
      </w:r>
      <w:r>
        <w:rPr>
          <w:rFonts w:ascii="Times New Roman" w:hAnsi="Times New Roman" w:cs="Times New Roman"/>
        </w:rPr>
        <w:instrText xml:space="preserve"> HYPERLINK \l _Toc466 </w:instrText>
      </w:r>
      <w:r>
        <w:rPr>
          <w:rFonts w:ascii="Times New Roman" w:hAnsi="Times New Roman" w:cs="Times New Roman"/>
        </w:rPr>
        <w:fldChar w:fldCharType="separate"/>
      </w:r>
      <w:r>
        <w:rPr>
          <w:rFonts w:hint="eastAsia" w:ascii="Times New Roman" w:hAnsi="Times New Roman" w:cs="Times New Roman"/>
          <w:highlight w:val="none"/>
        </w:rPr>
        <w:t>6</w:t>
      </w:r>
      <w:r>
        <w:rPr>
          <w:rFonts w:ascii="Times New Roman" w:hAnsi="Times New Roman" w:cs="Times New Roman"/>
          <w:highlight w:val="none"/>
        </w:rPr>
        <w:t>.3 环境风险防范措施及应急要求</w:t>
      </w:r>
      <w:r>
        <w:tab/>
      </w:r>
      <w:r>
        <w:fldChar w:fldCharType="begin"/>
      </w:r>
      <w:r>
        <w:instrText xml:space="preserve"> PAGEREF _Toc466 \h </w:instrText>
      </w:r>
      <w:r>
        <w:fldChar w:fldCharType="separate"/>
      </w:r>
      <w:r>
        <w:t>232</w:t>
      </w:r>
      <w:r>
        <w:fldChar w:fldCharType="end"/>
      </w:r>
      <w:r>
        <w:rPr>
          <w:rFonts w:ascii="Times New Roman" w:hAnsi="Times New Roman" w:cs="Times New Roman"/>
        </w:rPr>
        <w:fldChar w:fldCharType="end"/>
      </w:r>
    </w:p>
    <w:p w14:paraId="0C3DFB52">
      <w:pPr>
        <w:pStyle w:val="30"/>
        <w:tabs>
          <w:tab w:val="right" w:leader="dot" w:pos="8505"/>
        </w:tabs>
      </w:pPr>
      <w:r>
        <w:rPr>
          <w:rFonts w:ascii="Times New Roman" w:hAnsi="Times New Roman" w:cs="Times New Roman"/>
        </w:rPr>
        <w:fldChar w:fldCharType="begin"/>
      </w:r>
      <w:r>
        <w:rPr>
          <w:rFonts w:ascii="Times New Roman" w:hAnsi="Times New Roman" w:cs="Times New Roman"/>
        </w:rPr>
        <w:instrText xml:space="preserve"> HYPERLINK \l _Toc12258 </w:instrText>
      </w:r>
      <w:r>
        <w:rPr>
          <w:rFonts w:ascii="Times New Roman" w:hAnsi="Times New Roman" w:cs="Times New Roman"/>
        </w:rPr>
        <w:fldChar w:fldCharType="separate"/>
      </w:r>
      <w:r>
        <w:rPr>
          <w:rFonts w:hint="eastAsia" w:ascii="Times New Roman" w:hAnsi="Times New Roman" w:cs="Times New Roman"/>
          <w:szCs w:val="28"/>
          <w:highlight w:val="none"/>
        </w:rPr>
        <w:t>6</w:t>
      </w:r>
      <w:r>
        <w:rPr>
          <w:rFonts w:ascii="Times New Roman" w:hAnsi="Times New Roman" w:cs="Times New Roman"/>
          <w:szCs w:val="28"/>
          <w:highlight w:val="none"/>
        </w:rPr>
        <w:t>.3.1 风险管理措施</w:t>
      </w:r>
      <w:r>
        <w:tab/>
      </w:r>
      <w:r>
        <w:fldChar w:fldCharType="begin"/>
      </w:r>
      <w:r>
        <w:instrText xml:space="preserve"> PAGEREF _Toc12258 \h </w:instrText>
      </w:r>
      <w:r>
        <w:fldChar w:fldCharType="separate"/>
      </w:r>
      <w:r>
        <w:t>232</w:t>
      </w:r>
      <w:r>
        <w:fldChar w:fldCharType="end"/>
      </w:r>
      <w:r>
        <w:rPr>
          <w:rFonts w:ascii="Times New Roman" w:hAnsi="Times New Roman" w:cs="Times New Roman"/>
        </w:rPr>
        <w:fldChar w:fldCharType="end"/>
      </w:r>
    </w:p>
    <w:p w14:paraId="0FF2F429">
      <w:pPr>
        <w:pStyle w:val="30"/>
        <w:tabs>
          <w:tab w:val="right" w:leader="dot" w:pos="8505"/>
        </w:tabs>
      </w:pPr>
      <w:r>
        <w:rPr>
          <w:rFonts w:ascii="Times New Roman" w:hAnsi="Times New Roman" w:cs="Times New Roman"/>
        </w:rPr>
        <w:fldChar w:fldCharType="begin"/>
      </w:r>
      <w:r>
        <w:rPr>
          <w:rFonts w:ascii="Times New Roman" w:hAnsi="Times New Roman" w:cs="Times New Roman"/>
        </w:rPr>
        <w:instrText xml:space="preserve"> HYPERLINK \l _Toc32277 </w:instrText>
      </w:r>
      <w:r>
        <w:rPr>
          <w:rFonts w:ascii="Times New Roman" w:hAnsi="Times New Roman" w:cs="Times New Roman"/>
        </w:rPr>
        <w:fldChar w:fldCharType="separate"/>
      </w:r>
      <w:r>
        <w:rPr>
          <w:rFonts w:hint="eastAsia" w:ascii="Times New Roman" w:hAnsi="Times New Roman" w:cs="Times New Roman"/>
          <w:szCs w:val="28"/>
          <w:highlight w:val="none"/>
        </w:rPr>
        <w:t>6</w:t>
      </w:r>
      <w:r>
        <w:rPr>
          <w:rFonts w:ascii="Times New Roman" w:hAnsi="Times New Roman" w:cs="Times New Roman"/>
          <w:szCs w:val="28"/>
          <w:highlight w:val="none"/>
        </w:rPr>
        <w:t>.3.2 安全管理与监督</w:t>
      </w:r>
      <w:r>
        <w:tab/>
      </w:r>
      <w:r>
        <w:fldChar w:fldCharType="begin"/>
      </w:r>
      <w:r>
        <w:instrText xml:space="preserve"> PAGEREF _Toc32277 \h </w:instrText>
      </w:r>
      <w:r>
        <w:fldChar w:fldCharType="separate"/>
      </w:r>
      <w:r>
        <w:t>233</w:t>
      </w:r>
      <w:r>
        <w:fldChar w:fldCharType="end"/>
      </w:r>
      <w:r>
        <w:rPr>
          <w:rFonts w:ascii="Times New Roman" w:hAnsi="Times New Roman" w:cs="Times New Roman"/>
        </w:rPr>
        <w:fldChar w:fldCharType="end"/>
      </w:r>
    </w:p>
    <w:p w14:paraId="6FF5AA53">
      <w:pPr>
        <w:pStyle w:val="30"/>
        <w:tabs>
          <w:tab w:val="right" w:leader="dot" w:pos="8505"/>
        </w:tabs>
      </w:pPr>
      <w:r>
        <w:rPr>
          <w:rFonts w:ascii="Times New Roman" w:hAnsi="Times New Roman" w:cs="Times New Roman"/>
        </w:rPr>
        <w:fldChar w:fldCharType="begin"/>
      </w:r>
      <w:r>
        <w:rPr>
          <w:rFonts w:ascii="Times New Roman" w:hAnsi="Times New Roman" w:cs="Times New Roman"/>
        </w:rPr>
        <w:instrText xml:space="preserve"> HYPERLINK \l _Toc14726 </w:instrText>
      </w:r>
      <w:r>
        <w:rPr>
          <w:rFonts w:ascii="Times New Roman" w:hAnsi="Times New Roman" w:cs="Times New Roman"/>
        </w:rPr>
        <w:fldChar w:fldCharType="separate"/>
      </w:r>
      <w:r>
        <w:rPr>
          <w:rFonts w:hint="eastAsia" w:ascii="Times New Roman" w:hAnsi="Times New Roman" w:cs="Times New Roman"/>
          <w:szCs w:val="28"/>
          <w:highlight w:val="none"/>
        </w:rPr>
        <w:t>6</w:t>
      </w:r>
      <w:r>
        <w:rPr>
          <w:rFonts w:ascii="Times New Roman" w:hAnsi="Times New Roman" w:cs="Times New Roman"/>
          <w:szCs w:val="28"/>
          <w:highlight w:val="none"/>
        </w:rPr>
        <w:t>.3.3 环境风险防范措施</w:t>
      </w:r>
      <w:r>
        <w:tab/>
      </w:r>
      <w:r>
        <w:fldChar w:fldCharType="begin"/>
      </w:r>
      <w:r>
        <w:instrText xml:space="preserve"> PAGEREF _Toc14726 \h </w:instrText>
      </w:r>
      <w:r>
        <w:fldChar w:fldCharType="separate"/>
      </w:r>
      <w:r>
        <w:t>233</w:t>
      </w:r>
      <w:r>
        <w:fldChar w:fldCharType="end"/>
      </w:r>
      <w:r>
        <w:rPr>
          <w:rFonts w:ascii="Times New Roman" w:hAnsi="Times New Roman" w:cs="Times New Roman"/>
        </w:rPr>
        <w:fldChar w:fldCharType="end"/>
      </w:r>
    </w:p>
    <w:p w14:paraId="10FB552D">
      <w:pPr>
        <w:pStyle w:val="30"/>
        <w:tabs>
          <w:tab w:val="right" w:leader="dot" w:pos="8505"/>
        </w:tabs>
      </w:pPr>
      <w:r>
        <w:rPr>
          <w:rFonts w:ascii="Times New Roman" w:hAnsi="Times New Roman" w:cs="Times New Roman"/>
        </w:rPr>
        <w:fldChar w:fldCharType="begin"/>
      </w:r>
      <w:r>
        <w:rPr>
          <w:rFonts w:ascii="Times New Roman" w:hAnsi="Times New Roman" w:cs="Times New Roman"/>
        </w:rPr>
        <w:instrText xml:space="preserve"> HYPERLINK \l _Toc18309 </w:instrText>
      </w:r>
      <w:r>
        <w:rPr>
          <w:rFonts w:ascii="Times New Roman" w:hAnsi="Times New Roman" w:cs="Times New Roman"/>
        </w:rPr>
        <w:fldChar w:fldCharType="separate"/>
      </w:r>
      <w:r>
        <w:rPr>
          <w:rFonts w:hint="eastAsia" w:ascii="Times New Roman" w:hAnsi="Times New Roman" w:cs="Times New Roman"/>
          <w:szCs w:val="28"/>
          <w:highlight w:val="none"/>
        </w:rPr>
        <w:t>6</w:t>
      </w:r>
      <w:r>
        <w:rPr>
          <w:rFonts w:ascii="Times New Roman" w:hAnsi="Times New Roman" w:cs="Times New Roman"/>
          <w:szCs w:val="28"/>
          <w:highlight w:val="none"/>
        </w:rPr>
        <w:t>.3.4 事故应急措施</w:t>
      </w:r>
      <w:r>
        <w:tab/>
      </w:r>
      <w:r>
        <w:fldChar w:fldCharType="begin"/>
      </w:r>
      <w:r>
        <w:instrText xml:space="preserve"> PAGEREF _Toc18309 \h </w:instrText>
      </w:r>
      <w:r>
        <w:fldChar w:fldCharType="separate"/>
      </w:r>
      <w:r>
        <w:t>235</w:t>
      </w:r>
      <w:r>
        <w:fldChar w:fldCharType="end"/>
      </w:r>
      <w:r>
        <w:rPr>
          <w:rFonts w:ascii="Times New Roman" w:hAnsi="Times New Roman" w:cs="Times New Roman"/>
        </w:rPr>
        <w:fldChar w:fldCharType="end"/>
      </w:r>
    </w:p>
    <w:p w14:paraId="460BE5AD">
      <w:pPr>
        <w:pStyle w:val="30"/>
        <w:tabs>
          <w:tab w:val="right" w:leader="dot" w:pos="8505"/>
        </w:tabs>
      </w:pPr>
      <w:r>
        <w:rPr>
          <w:rFonts w:ascii="Times New Roman" w:hAnsi="Times New Roman" w:cs="Times New Roman"/>
        </w:rPr>
        <w:fldChar w:fldCharType="begin"/>
      </w:r>
      <w:r>
        <w:rPr>
          <w:rFonts w:ascii="Times New Roman" w:hAnsi="Times New Roman" w:cs="Times New Roman"/>
        </w:rPr>
        <w:instrText xml:space="preserve"> HYPERLINK \l _Toc1345 </w:instrText>
      </w:r>
      <w:r>
        <w:rPr>
          <w:rFonts w:ascii="Times New Roman" w:hAnsi="Times New Roman" w:cs="Times New Roman"/>
        </w:rPr>
        <w:fldChar w:fldCharType="separate"/>
      </w:r>
      <w:r>
        <w:rPr>
          <w:rFonts w:hint="eastAsia" w:ascii="Times New Roman" w:hAnsi="Times New Roman" w:cs="Times New Roman"/>
          <w:szCs w:val="28"/>
          <w:highlight w:val="none"/>
        </w:rPr>
        <w:t>6</w:t>
      </w:r>
      <w:r>
        <w:rPr>
          <w:rFonts w:ascii="Times New Roman" w:hAnsi="Times New Roman" w:cs="Times New Roman"/>
          <w:szCs w:val="28"/>
          <w:highlight w:val="none"/>
        </w:rPr>
        <w:t>.3.5 制定突发环境风险应急预案</w:t>
      </w:r>
      <w:r>
        <w:tab/>
      </w:r>
      <w:r>
        <w:fldChar w:fldCharType="begin"/>
      </w:r>
      <w:r>
        <w:instrText xml:space="preserve"> PAGEREF _Toc1345 \h </w:instrText>
      </w:r>
      <w:r>
        <w:fldChar w:fldCharType="separate"/>
      </w:r>
      <w:r>
        <w:t>236</w:t>
      </w:r>
      <w:r>
        <w:fldChar w:fldCharType="end"/>
      </w:r>
      <w:r>
        <w:rPr>
          <w:rFonts w:ascii="Times New Roman" w:hAnsi="Times New Roman" w:cs="Times New Roman"/>
        </w:rPr>
        <w:fldChar w:fldCharType="end"/>
      </w:r>
    </w:p>
    <w:p w14:paraId="4FFF7606">
      <w:pPr>
        <w:pStyle w:val="46"/>
        <w:tabs>
          <w:tab w:val="right" w:leader="dot" w:pos="8505"/>
        </w:tabs>
      </w:pPr>
      <w:r>
        <w:rPr>
          <w:rFonts w:ascii="Times New Roman" w:hAnsi="Times New Roman" w:cs="Times New Roman"/>
        </w:rPr>
        <w:fldChar w:fldCharType="begin"/>
      </w:r>
      <w:r>
        <w:rPr>
          <w:rFonts w:ascii="Times New Roman" w:hAnsi="Times New Roman" w:cs="Times New Roman"/>
        </w:rPr>
        <w:instrText xml:space="preserve"> HYPERLINK \l _Toc23250 </w:instrText>
      </w:r>
      <w:r>
        <w:rPr>
          <w:rFonts w:ascii="Times New Roman" w:hAnsi="Times New Roman" w:cs="Times New Roman"/>
        </w:rPr>
        <w:fldChar w:fldCharType="separate"/>
      </w:r>
      <w:r>
        <w:rPr>
          <w:rFonts w:hint="eastAsia" w:ascii="Times New Roman" w:hAnsi="Times New Roman" w:cs="Times New Roman"/>
          <w:highlight w:val="none"/>
        </w:rPr>
        <w:t>6</w:t>
      </w:r>
      <w:r>
        <w:rPr>
          <w:rFonts w:ascii="Times New Roman" w:hAnsi="Times New Roman" w:cs="Times New Roman"/>
          <w:highlight w:val="none"/>
        </w:rPr>
        <w:t>.4 环境风险简单分析结论</w:t>
      </w:r>
      <w:r>
        <w:tab/>
      </w:r>
      <w:r>
        <w:fldChar w:fldCharType="begin"/>
      </w:r>
      <w:r>
        <w:instrText xml:space="preserve"> PAGEREF _Toc23250 \h </w:instrText>
      </w:r>
      <w:r>
        <w:fldChar w:fldCharType="separate"/>
      </w:r>
      <w:r>
        <w:t>239</w:t>
      </w:r>
      <w:r>
        <w:fldChar w:fldCharType="end"/>
      </w:r>
      <w:r>
        <w:rPr>
          <w:rFonts w:ascii="Times New Roman" w:hAnsi="Times New Roman" w:cs="Times New Roman"/>
        </w:rPr>
        <w:fldChar w:fldCharType="end"/>
      </w:r>
    </w:p>
    <w:p w14:paraId="5FA0B14E">
      <w:pPr>
        <w:pStyle w:val="37"/>
        <w:tabs>
          <w:tab w:val="right" w:leader="dot" w:pos="8505"/>
        </w:tabs>
      </w:pPr>
      <w:r>
        <w:rPr>
          <w:rFonts w:ascii="Times New Roman" w:hAnsi="Times New Roman" w:cs="Times New Roman"/>
        </w:rPr>
        <w:fldChar w:fldCharType="begin"/>
      </w:r>
      <w:r>
        <w:rPr>
          <w:rFonts w:ascii="Times New Roman" w:hAnsi="Times New Roman" w:cs="Times New Roman"/>
        </w:rPr>
        <w:instrText xml:space="preserve"> HYPERLINK \l _Toc7167 </w:instrText>
      </w:r>
      <w:r>
        <w:rPr>
          <w:rFonts w:ascii="Times New Roman" w:hAnsi="Times New Roman" w:cs="Times New Roman"/>
        </w:rPr>
        <w:fldChar w:fldCharType="separate"/>
      </w:r>
      <w:r>
        <w:rPr>
          <w:lang w:eastAsia="zh-CN"/>
        </w:rPr>
        <w:t>7</w:t>
      </w:r>
      <w:r>
        <w:t>. 环境保护措施及其可行性论证</w:t>
      </w:r>
      <w:r>
        <w:tab/>
      </w:r>
      <w:r>
        <w:fldChar w:fldCharType="begin"/>
      </w:r>
      <w:r>
        <w:instrText xml:space="preserve"> PAGEREF _Toc7167 \h </w:instrText>
      </w:r>
      <w:r>
        <w:fldChar w:fldCharType="separate"/>
      </w:r>
      <w:r>
        <w:t>249</w:t>
      </w:r>
      <w:r>
        <w:fldChar w:fldCharType="end"/>
      </w:r>
      <w:r>
        <w:rPr>
          <w:rFonts w:ascii="Times New Roman" w:hAnsi="Times New Roman" w:cs="Times New Roman"/>
        </w:rPr>
        <w:fldChar w:fldCharType="end"/>
      </w:r>
    </w:p>
    <w:p w14:paraId="52C82C44">
      <w:pPr>
        <w:pStyle w:val="46"/>
        <w:tabs>
          <w:tab w:val="right" w:leader="dot" w:pos="8505"/>
        </w:tabs>
      </w:pPr>
      <w:r>
        <w:rPr>
          <w:rFonts w:ascii="Times New Roman" w:hAnsi="Times New Roman" w:cs="Times New Roman"/>
        </w:rPr>
        <w:fldChar w:fldCharType="begin"/>
      </w:r>
      <w:r>
        <w:rPr>
          <w:rFonts w:ascii="Times New Roman" w:hAnsi="Times New Roman" w:cs="Times New Roman"/>
        </w:rPr>
        <w:instrText xml:space="preserve"> HYPERLINK \l _Toc2123 </w:instrText>
      </w:r>
      <w:r>
        <w:rPr>
          <w:rFonts w:ascii="Times New Roman" w:hAnsi="Times New Roman" w:cs="Times New Roman"/>
        </w:rPr>
        <w:fldChar w:fldCharType="separate"/>
      </w:r>
      <w:r>
        <w:t>7.1 施工期污染防治措施</w:t>
      </w:r>
      <w:r>
        <w:tab/>
      </w:r>
      <w:r>
        <w:fldChar w:fldCharType="begin"/>
      </w:r>
      <w:r>
        <w:instrText xml:space="preserve"> PAGEREF _Toc2123 \h </w:instrText>
      </w:r>
      <w:r>
        <w:fldChar w:fldCharType="separate"/>
      </w:r>
      <w:r>
        <w:t>249</w:t>
      </w:r>
      <w:r>
        <w:fldChar w:fldCharType="end"/>
      </w:r>
      <w:r>
        <w:rPr>
          <w:rFonts w:ascii="Times New Roman" w:hAnsi="Times New Roman" w:cs="Times New Roman"/>
        </w:rPr>
        <w:fldChar w:fldCharType="end"/>
      </w:r>
    </w:p>
    <w:p w14:paraId="252960F8">
      <w:pPr>
        <w:pStyle w:val="30"/>
        <w:tabs>
          <w:tab w:val="right" w:leader="dot" w:pos="8505"/>
        </w:tabs>
      </w:pPr>
      <w:r>
        <w:rPr>
          <w:rFonts w:ascii="Times New Roman" w:hAnsi="Times New Roman" w:cs="Times New Roman"/>
        </w:rPr>
        <w:fldChar w:fldCharType="begin"/>
      </w:r>
      <w:r>
        <w:rPr>
          <w:rFonts w:ascii="Times New Roman" w:hAnsi="Times New Roman" w:cs="Times New Roman"/>
        </w:rPr>
        <w:instrText xml:space="preserve"> HYPERLINK \l _Toc5021 </w:instrText>
      </w:r>
      <w:r>
        <w:rPr>
          <w:rFonts w:ascii="Times New Roman" w:hAnsi="Times New Roman" w:cs="Times New Roman"/>
        </w:rPr>
        <w:fldChar w:fldCharType="separate"/>
      </w:r>
      <w:r>
        <w:t>7.1.</w:t>
      </w:r>
      <w:r>
        <w:rPr>
          <w:lang w:eastAsia="zh-CN"/>
        </w:rPr>
        <w:t>1</w:t>
      </w:r>
      <w:r>
        <w:t xml:space="preserve"> 施工</w:t>
      </w:r>
      <w:r>
        <w:rPr>
          <w:rFonts w:hint="eastAsia"/>
          <w:lang w:eastAsia="zh-CN"/>
        </w:rPr>
        <w:t>机械尾气</w:t>
      </w:r>
      <w:r>
        <w:tab/>
      </w:r>
      <w:r>
        <w:fldChar w:fldCharType="begin"/>
      </w:r>
      <w:r>
        <w:instrText xml:space="preserve"> PAGEREF _Toc5021 \h </w:instrText>
      </w:r>
      <w:r>
        <w:fldChar w:fldCharType="separate"/>
      </w:r>
      <w:r>
        <w:t>249</w:t>
      </w:r>
      <w:r>
        <w:fldChar w:fldCharType="end"/>
      </w:r>
      <w:r>
        <w:rPr>
          <w:rFonts w:ascii="Times New Roman" w:hAnsi="Times New Roman" w:cs="Times New Roman"/>
        </w:rPr>
        <w:fldChar w:fldCharType="end"/>
      </w:r>
    </w:p>
    <w:p w14:paraId="6C94D516">
      <w:pPr>
        <w:pStyle w:val="30"/>
        <w:tabs>
          <w:tab w:val="right" w:leader="dot" w:pos="8505"/>
        </w:tabs>
      </w:pPr>
      <w:r>
        <w:rPr>
          <w:rFonts w:ascii="Times New Roman" w:hAnsi="Times New Roman" w:cs="Times New Roman"/>
        </w:rPr>
        <w:fldChar w:fldCharType="begin"/>
      </w:r>
      <w:r>
        <w:rPr>
          <w:rFonts w:ascii="Times New Roman" w:hAnsi="Times New Roman" w:cs="Times New Roman"/>
        </w:rPr>
        <w:instrText xml:space="preserve"> HYPERLINK \l _Toc8700 </w:instrText>
      </w:r>
      <w:r>
        <w:rPr>
          <w:rFonts w:ascii="Times New Roman" w:hAnsi="Times New Roman" w:cs="Times New Roman"/>
        </w:rPr>
        <w:fldChar w:fldCharType="separate"/>
      </w:r>
      <w:r>
        <w:t>7.1.</w:t>
      </w:r>
      <w:r>
        <w:rPr>
          <w:lang w:eastAsia="zh-CN"/>
        </w:rPr>
        <w:t>2</w:t>
      </w:r>
      <w:r>
        <w:t xml:space="preserve"> 施工噪声</w:t>
      </w:r>
      <w:r>
        <w:tab/>
      </w:r>
      <w:r>
        <w:fldChar w:fldCharType="begin"/>
      </w:r>
      <w:r>
        <w:instrText xml:space="preserve"> PAGEREF _Toc8700 \h </w:instrText>
      </w:r>
      <w:r>
        <w:fldChar w:fldCharType="separate"/>
      </w:r>
      <w:r>
        <w:t>249</w:t>
      </w:r>
      <w:r>
        <w:fldChar w:fldCharType="end"/>
      </w:r>
      <w:r>
        <w:rPr>
          <w:rFonts w:ascii="Times New Roman" w:hAnsi="Times New Roman" w:cs="Times New Roman"/>
        </w:rPr>
        <w:fldChar w:fldCharType="end"/>
      </w:r>
    </w:p>
    <w:p w14:paraId="5BB510F4">
      <w:pPr>
        <w:pStyle w:val="30"/>
        <w:tabs>
          <w:tab w:val="right" w:leader="dot" w:pos="8505"/>
        </w:tabs>
      </w:pPr>
      <w:r>
        <w:rPr>
          <w:rFonts w:ascii="Times New Roman" w:hAnsi="Times New Roman" w:cs="Times New Roman"/>
        </w:rPr>
        <w:fldChar w:fldCharType="begin"/>
      </w:r>
      <w:r>
        <w:rPr>
          <w:rFonts w:ascii="Times New Roman" w:hAnsi="Times New Roman" w:cs="Times New Roman"/>
        </w:rPr>
        <w:instrText xml:space="preserve"> HYPERLINK \l _Toc17166 </w:instrText>
      </w:r>
      <w:r>
        <w:rPr>
          <w:rFonts w:ascii="Times New Roman" w:hAnsi="Times New Roman" w:cs="Times New Roman"/>
        </w:rPr>
        <w:fldChar w:fldCharType="separate"/>
      </w:r>
      <w:r>
        <w:t>7.1.</w:t>
      </w:r>
      <w:r>
        <w:rPr>
          <w:lang w:eastAsia="zh-CN"/>
        </w:rPr>
        <w:t>3</w:t>
      </w:r>
      <w:r>
        <w:t xml:space="preserve"> 施工垃圾</w:t>
      </w:r>
      <w:r>
        <w:tab/>
      </w:r>
      <w:r>
        <w:fldChar w:fldCharType="begin"/>
      </w:r>
      <w:r>
        <w:instrText xml:space="preserve"> PAGEREF _Toc17166 \h </w:instrText>
      </w:r>
      <w:r>
        <w:fldChar w:fldCharType="separate"/>
      </w:r>
      <w:r>
        <w:t>250</w:t>
      </w:r>
      <w:r>
        <w:fldChar w:fldCharType="end"/>
      </w:r>
      <w:r>
        <w:rPr>
          <w:rFonts w:ascii="Times New Roman" w:hAnsi="Times New Roman" w:cs="Times New Roman"/>
        </w:rPr>
        <w:fldChar w:fldCharType="end"/>
      </w:r>
    </w:p>
    <w:p w14:paraId="30FABD26">
      <w:pPr>
        <w:pStyle w:val="30"/>
        <w:tabs>
          <w:tab w:val="right" w:leader="dot" w:pos="8505"/>
        </w:tabs>
      </w:pPr>
      <w:r>
        <w:rPr>
          <w:rFonts w:ascii="Times New Roman" w:hAnsi="Times New Roman" w:cs="Times New Roman"/>
        </w:rPr>
        <w:fldChar w:fldCharType="begin"/>
      </w:r>
      <w:r>
        <w:rPr>
          <w:rFonts w:ascii="Times New Roman" w:hAnsi="Times New Roman" w:cs="Times New Roman"/>
        </w:rPr>
        <w:instrText xml:space="preserve"> HYPERLINK \l _Toc9146 </w:instrText>
      </w:r>
      <w:r>
        <w:rPr>
          <w:rFonts w:ascii="Times New Roman" w:hAnsi="Times New Roman" w:cs="Times New Roman"/>
        </w:rPr>
        <w:fldChar w:fldCharType="separate"/>
      </w:r>
      <w:r>
        <w:t>7.1.</w:t>
      </w:r>
      <w:r>
        <w:rPr>
          <w:lang w:eastAsia="zh-CN"/>
        </w:rPr>
        <w:t>4</w:t>
      </w:r>
      <w:r>
        <w:t xml:space="preserve"> 施工废水</w:t>
      </w:r>
      <w:r>
        <w:tab/>
      </w:r>
      <w:r>
        <w:fldChar w:fldCharType="begin"/>
      </w:r>
      <w:r>
        <w:instrText xml:space="preserve"> PAGEREF _Toc9146 \h </w:instrText>
      </w:r>
      <w:r>
        <w:fldChar w:fldCharType="separate"/>
      </w:r>
      <w:r>
        <w:t>250</w:t>
      </w:r>
      <w:r>
        <w:fldChar w:fldCharType="end"/>
      </w:r>
      <w:r>
        <w:rPr>
          <w:rFonts w:ascii="Times New Roman" w:hAnsi="Times New Roman" w:cs="Times New Roman"/>
        </w:rPr>
        <w:fldChar w:fldCharType="end"/>
      </w:r>
    </w:p>
    <w:p w14:paraId="6BC9D970">
      <w:pPr>
        <w:pStyle w:val="46"/>
        <w:tabs>
          <w:tab w:val="right" w:leader="dot" w:pos="8505"/>
        </w:tabs>
      </w:pPr>
      <w:r>
        <w:rPr>
          <w:rFonts w:ascii="Times New Roman" w:hAnsi="Times New Roman" w:cs="Times New Roman"/>
        </w:rPr>
        <w:fldChar w:fldCharType="begin"/>
      </w:r>
      <w:r>
        <w:rPr>
          <w:rFonts w:ascii="Times New Roman" w:hAnsi="Times New Roman" w:cs="Times New Roman"/>
        </w:rPr>
        <w:instrText xml:space="preserve"> HYPERLINK \l _Toc31935 </w:instrText>
      </w:r>
      <w:r>
        <w:rPr>
          <w:rFonts w:ascii="Times New Roman" w:hAnsi="Times New Roman" w:cs="Times New Roman"/>
        </w:rPr>
        <w:fldChar w:fldCharType="separate"/>
      </w:r>
      <w:r>
        <w:t>7.2 营运期环境保护措施及可行性分析</w:t>
      </w:r>
      <w:r>
        <w:tab/>
      </w:r>
      <w:r>
        <w:fldChar w:fldCharType="begin"/>
      </w:r>
      <w:r>
        <w:instrText xml:space="preserve"> PAGEREF _Toc31935 \h </w:instrText>
      </w:r>
      <w:r>
        <w:fldChar w:fldCharType="separate"/>
      </w:r>
      <w:r>
        <w:t>251</w:t>
      </w:r>
      <w:r>
        <w:fldChar w:fldCharType="end"/>
      </w:r>
      <w:r>
        <w:rPr>
          <w:rFonts w:ascii="Times New Roman" w:hAnsi="Times New Roman" w:cs="Times New Roman"/>
        </w:rPr>
        <w:fldChar w:fldCharType="end"/>
      </w:r>
    </w:p>
    <w:p w14:paraId="4ECDE06F">
      <w:pPr>
        <w:pStyle w:val="30"/>
        <w:tabs>
          <w:tab w:val="right" w:leader="dot" w:pos="8505"/>
        </w:tabs>
      </w:pPr>
      <w:r>
        <w:rPr>
          <w:rFonts w:ascii="Times New Roman" w:hAnsi="Times New Roman" w:cs="Times New Roman"/>
        </w:rPr>
        <w:fldChar w:fldCharType="begin"/>
      </w:r>
      <w:r>
        <w:rPr>
          <w:rFonts w:ascii="Times New Roman" w:hAnsi="Times New Roman" w:cs="Times New Roman"/>
        </w:rPr>
        <w:instrText xml:space="preserve"> HYPERLINK \l _Toc27777 </w:instrText>
      </w:r>
      <w:r>
        <w:rPr>
          <w:rFonts w:ascii="Times New Roman" w:hAnsi="Times New Roman" w:cs="Times New Roman"/>
        </w:rPr>
        <w:fldChar w:fldCharType="separate"/>
      </w:r>
      <w:r>
        <w:t xml:space="preserve">7.2.1 </w:t>
      </w:r>
      <w:r>
        <w:rPr>
          <w:rFonts w:hint="eastAsia"/>
          <w:lang w:eastAsia="zh-CN"/>
        </w:rPr>
        <w:t>废气污染防治</w:t>
      </w:r>
      <w:r>
        <w:t>措施及可行性分析</w:t>
      </w:r>
      <w:r>
        <w:tab/>
      </w:r>
      <w:r>
        <w:fldChar w:fldCharType="begin"/>
      </w:r>
      <w:r>
        <w:instrText xml:space="preserve"> PAGEREF _Toc27777 \h </w:instrText>
      </w:r>
      <w:r>
        <w:fldChar w:fldCharType="separate"/>
      </w:r>
      <w:r>
        <w:t>251</w:t>
      </w:r>
      <w:r>
        <w:fldChar w:fldCharType="end"/>
      </w:r>
      <w:r>
        <w:rPr>
          <w:rFonts w:ascii="Times New Roman" w:hAnsi="Times New Roman" w:cs="Times New Roman"/>
        </w:rPr>
        <w:fldChar w:fldCharType="end"/>
      </w:r>
    </w:p>
    <w:p w14:paraId="07DB3F48">
      <w:pPr>
        <w:pStyle w:val="30"/>
        <w:tabs>
          <w:tab w:val="right" w:leader="dot" w:pos="8505"/>
        </w:tabs>
      </w:pPr>
      <w:r>
        <w:rPr>
          <w:rFonts w:ascii="Times New Roman" w:hAnsi="Times New Roman" w:cs="Times New Roman"/>
        </w:rPr>
        <w:fldChar w:fldCharType="begin"/>
      </w:r>
      <w:r>
        <w:rPr>
          <w:rFonts w:ascii="Times New Roman" w:hAnsi="Times New Roman" w:cs="Times New Roman"/>
        </w:rPr>
        <w:instrText xml:space="preserve"> HYPERLINK \l _Toc10487 </w:instrText>
      </w:r>
      <w:r>
        <w:rPr>
          <w:rFonts w:ascii="Times New Roman" w:hAnsi="Times New Roman" w:cs="Times New Roman"/>
        </w:rPr>
        <w:fldChar w:fldCharType="separate"/>
      </w:r>
      <w:r>
        <w:rPr>
          <w:lang w:eastAsia="zh-CN"/>
        </w:rPr>
        <w:t>7.2.2</w:t>
      </w:r>
      <w:r>
        <w:t xml:space="preserve"> 水环境保护措施及可行性分析</w:t>
      </w:r>
      <w:r>
        <w:tab/>
      </w:r>
      <w:r>
        <w:fldChar w:fldCharType="begin"/>
      </w:r>
      <w:r>
        <w:instrText xml:space="preserve"> PAGEREF _Toc10487 \h </w:instrText>
      </w:r>
      <w:r>
        <w:fldChar w:fldCharType="separate"/>
      </w:r>
      <w:r>
        <w:t>266</w:t>
      </w:r>
      <w:r>
        <w:fldChar w:fldCharType="end"/>
      </w:r>
      <w:r>
        <w:rPr>
          <w:rFonts w:ascii="Times New Roman" w:hAnsi="Times New Roman" w:cs="Times New Roman"/>
        </w:rPr>
        <w:fldChar w:fldCharType="end"/>
      </w:r>
    </w:p>
    <w:p w14:paraId="645E7DAF">
      <w:pPr>
        <w:pStyle w:val="30"/>
        <w:tabs>
          <w:tab w:val="right" w:leader="dot" w:pos="8505"/>
        </w:tabs>
      </w:pPr>
      <w:r>
        <w:rPr>
          <w:rFonts w:ascii="Times New Roman" w:hAnsi="Times New Roman" w:cs="Times New Roman"/>
        </w:rPr>
        <w:fldChar w:fldCharType="begin"/>
      </w:r>
      <w:r>
        <w:rPr>
          <w:rFonts w:ascii="Times New Roman" w:hAnsi="Times New Roman" w:cs="Times New Roman"/>
        </w:rPr>
        <w:instrText xml:space="preserve"> HYPERLINK \l _Toc7122 </w:instrText>
      </w:r>
      <w:r>
        <w:rPr>
          <w:rFonts w:ascii="Times New Roman" w:hAnsi="Times New Roman" w:cs="Times New Roman"/>
        </w:rPr>
        <w:fldChar w:fldCharType="separate"/>
      </w:r>
      <w:r>
        <w:rPr>
          <w:lang w:eastAsia="zh-CN"/>
        </w:rPr>
        <w:t>7</w:t>
      </w:r>
      <w:r>
        <w:t>.2.3 地下水污染防治措施</w:t>
      </w:r>
      <w:r>
        <w:tab/>
      </w:r>
      <w:r>
        <w:fldChar w:fldCharType="begin"/>
      </w:r>
      <w:r>
        <w:instrText xml:space="preserve"> PAGEREF _Toc7122 \h </w:instrText>
      </w:r>
      <w:r>
        <w:fldChar w:fldCharType="separate"/>
      </w:r>
      <w:r>
        <w:t>267</w:t>
      </w:r>
      <w:r>
        <w:fldChar w:fldCharType="end"/>
      </w:r>
      <w:r>
        <w:rPr>
          <w:rFonts w:ascii="Times New Roman" w:hAnsi="Times New Roman" w:cs="Times New Roman"/>
        </w:rPr>
        <w:fldChar w:fldCharType="end"/>
      </w:r>
    </w:p>
    <w:p w14:paraId="45B71F1F">
      <w:pPr>
        <w:pStyle w:val="30"/>
        <w:tabs>
          <w:tab w:val="right" w:leader="dot" w:pos="8505"/>
        </w:tabs>
      </w:pPr>
      <w:r>
        <w:rPr>
          <w:rFonts w:ascii="Times New Roman" w:hAnsi="Times New Roman" w:cs="Times New Roman"/>
        </w:rPr>
        <w:fldChar w:fldCharType="begin"/>
      </w:r>
      <w:r>
        <w:rPr>
          <w:rFonts w:ascii="Times New Roman" w:hAnsi="Times New Roman" w:cs="Times New Roman"/>
        </w:rPr>
        <w:instrText xml:space="preserve"> HYPERLINK \l _Toc10302 </w:instrText>
      </w:r>
      <w:r>
        <w:rPr>
          <w:rFonts w:ascii="Times New Roman" w:hAnsi="Times New Roman" w:cs="Times New Roman"/>
        </w:rPr>
        <w:fldChar w:fldCharType="separate"/>
      </w:r>
      <w:r>
        <w:rPr>
          <w:rFonts w:hint="eastAsia"/>
          <w:lang w:eastAsia="zh-CN"/>
        </w:rPr>
        <w:t>7</w:t>
      </w:r>
      <w:r>
        <w:t>.2.4 固体废物治理措施可行性论证</w:t>
      </w:r>
      <w:r>
        <w:tab/>
      </w:r>
      <w:r>
        <w:fldChar w:fldCharType="begin"/>
      </w:r>
      <w:r>
        <w:instrText xml:space="preserve"> PAGEREF _Toc10302 \h </w:instrText>
      </w:r>
      <w:r>
        <w:fldChar w:fldCharType="separate"/>
      </w:r>
      <w:r>
        <w:t>268</w:t>
      </w:r>
      <w:r>
        <w:fldChar w:fldCharType="end"/>
      </w:r>
      <w:r>
        <w:rPr>
          <w:rFonts w:ascii="Times New Roman" w:hAnsi="Times New Roman" w:cs="Times New Roman"/>
        </w:rPr>
        <w:fldChar w:fldCharType="end"/>
      </w:r>
    </w:p>
    <w:p w14:paraId="001B38C8">
      <w:pPr>
        <w:pStyle w:val="30"/>
        <w:tabs>
          <w:tab w:val="right" w:leader="dot" w:pos="8505"/>
        </w:tabs>
      </w:pPr>
      <w:r>
        <w:rPr>
          <w:rFonts w:ascii="Times New Roman" w:hAnsi="Times New Roman" w:cs="Times New Roman"/>
        </w:rPr>
        <w:fldChar w:fldCharType="begin"/>
      </w:r>
      <w:r>
        <w:rPr>
          <w:rFonts w:ascii="Times New Roman" w:hAnsi="Times New Roman" w:cs="Times New Roman"/>
        </w:rPr>
        <w:instrText xml:space="preserve"> HYPERLINK \l _Toc31473 </w:instrText>
      </w:r>
      <w:r>
        <w:rPr>
          <w:rFonts w:ascii="Times New Roman" w:hAnsi="Times New Roman" w:cs="Times New Roman"/>
        </w:rPr>
        <w:fldChar w:fldCharType="separate"/>
      </w:r>
      <w:r>
        <w:rPr>
          <w:rFonts w:hint="eastAsia"/>
          <w:lang w:eastAsia="zh-CN"/>
        </w:rPr>
        <w:t>7</w:t>
      </w:r>
      <w:r>
        <w:t>.2.5 噪声污染防治措施</w:t>
      </w:r>
      <w:r>
        <w:tab/>
      </w:r>
      <w:r>
        <w:fldChar w:fldCharType="begin"/>
      </w:r>
      <w:r>
        <w:instrText xml:space="preserve"> PAGEREF _Toc31473 \h </w:instrText>
      </w:r>
      <w:r>
        <w:fldChar w:fldCharType="separate"/>
      </w:r>
      <w:r>
        <w:t>270</w:t>
      </w:r>
      <w:r>
        <w:fldChar w:fldCharType="end"/>
      </w:r>
      <w:r>
        <w:rPr>
          <w:rFonts w:ascii="Times New Roman" w:hAnsi="Times New Roman" w:cs="Times New Roman"/>
        </w:rPr>
        <w:fldChar w:fldCharType="end"/>
      </w:r>
    </w:p>
    <w:p w14:paraId="4904B541">
      <w:pPr>
        <w:pStyle w:val="30"/>
        <w:tabs>
          <w:tab w:val="right" w:leader="dot" w:pos="8505"/>
        </w:tabs>
      </w:pPr>
      <w:r>
        <w:rPr>
          <w:rFonts w:ascii="Times New Roman" w:hAnsi="Times New Roman" w:cs="Times New Roman"/>
        </w:rPr>
        <w:fldChar w:fldCharType="begin"/>
      </w:r>
      <w:r>
        <w:rPr>
          <w:rFonts w:ascii="Times New Roman" w:hAnsi="Times New Roman" w:cs="Times New Roman"/>
        </w:rPr>
        <w:instrText xml:space="preserve"> HYPERLINK \l _Toc26141 </w:instrText>
      </w:r>
      <w:r>
        <w:rPr>
          <w:rFonts w:ascii="Times New Roman" w:hAnsi="Times New Roman" w:cs="Times New Roman"/>
        </w:rPr>
        <w:fldChar w:fldCharType="separate"/>
      </w:r>
      <w:r>
        <w:rPr>
          <w:rFonts w:hint="eastAsia"/>
          <w:lang w:eastAsia="zh-CN"/>
        </w:rPr>
        <w:t>7</w:t>
      </w:r>
      <w:r>
        <w:t>.2.6 土壤环境保护措施</w:t>
      </w:r>
      <w:r>
        <w:tab/>
      </w:r>
      <w:r>
        <w:fldChar w:fldCharType="begin"/>
      </w:r>
      <w:r>
        <w:instrText xml:space="preserve"> PAGEREF _Toc26141 \h </w:instrText>
      </w:r>
      <w:r>
        <w:fldChar w:fldCharType="separate"/>
      </w:r>
      <w:r>
        <w:t>272</w:t>
      </w:r>
      <w:r>
        <w:fldChar w:fldCharType="end"/>
      </w:r>
      <w:r>
        <w:rPr>
          <w:rFonts w:ascii="Times New Roman" w:hAnsi="Times New Roman" w:cs="Times New Roman"/>
        </w:rPr>
        <w:fldChar w:fldCharType="end"/>
      </w:r>
    </w:p>
    <w:p w14:paraId="54B03898">
      <w:pPr>
        <w:pStyle w:val="46"/>
        <w:tabs>
          <w:tab w:val="right" w:leader="dot" w:pos="8505"/>
        </w:tabs>
      </w:pPr>
      <w:r>
        <w:rPr>
          <w:rFonts w:ascii="Times New Roman" w:hAnsi="Times New Roman" w:cs="Times New Roman"/>
        </w:rPr>
        <w:fldChar w:fldCharType="begin"/>
      </w:r>
      <w:r>
        <w:rPr>
          <w:rFonts w:ascii="Times New Roman" w:hAnsi="Times New Roman" w:cs="Times New Roman"/>
        </w:rPr>
        <w:instrText xml:space="preserve"> HYPERLINK \l _Toc22843 </w:instrText>
      </w:r>
      <w:r>
        <w:rPr>
          <w:rFonts w:ascii="Times New Roman" w:hAnsi="Times New Roman" w:cs="Times New Roman"/>
        </w:rPr>
        <w:fldChar w:fldCharType="separate"/>
      </w:r>
      <w:r>
        <w:rPr>
          <w:rFonts w:hint="eastAsia"/>
        </w:rPr>
        <w:t>7</w:t>
      </w:r>
      <w:r>
        <w:t>.3 “三同时”验收要求</w:t>
      </w:r>
      <w:r>
        <w:tab/>
      </w:r>
      <w:r>
        <w:fldChar w:fldCharType="begin"/>
      </w:r>
      <w:r>
        <w:instrText xml:space="preserve"> PAGEREF _Toc22843 \h </w:instrText>
      </w:r>
      <w:r>
        <w:fldChar w:fldCharType="separate"/>
      </w:r>
      <w:r>
        <w:t>276</w:t>
      </w:r>
      <w:r>
        <w:fldChar w:fldCharType="end"/>
      </w:r>
      <w:r>
        <w:rPr>
          <w:rFonts w:ascii="Times New Roman" w:hAnsi="Times New Roman" w:cs="Times New Roman"/>
        </w:rPr>
        <w:fldChar w:fldCharType="end"/>
      </w:r>
    </w:p>
    <w:p w14:paraId="7752C707">
      <w:pPr>
        <w:pStyle w:val="46"/>
        <w:tabs>
          <w:tab w:val="right" w:leader="dot" w:pos="8505"/>
        </w:tabs>
      </w:pPr>
      <w:r>
        <w:rPr>
          <w:rFonts w:ascii="Times New Roman" w:hAnsi="Times New Roman" w:cs="Times New Roman"/>
        </w:rPr>
        <w:fldChar w:fldCharType="begin"/>
      </w:r>
      <w:r>
        <w:rPr>
          <w:rFonts w:ascii="Times New Roman" w:hAnsi="Times New Roman" w:cs="Times New Roman"/>
        </w:rPr>
        <w:instrText xml:space="preserve"> HYPERLINK \l _Toc1710 </w:instrText>
      </w:r>
      <w:r>
        <w:rPr>
          <w:rFonts w:ascii="Times New Roman" w:hAnsi="Times New Roman" w:cs="Times New Roman"/>
        </w:rPr>
        <w:fldChar w:fldCharType="separate"/>
      </w:r>
      <w:r>
        <w:rPr>
          <w:rFonts w:hint="eastAsia"/>
        </w:rPr>
        <w:t>7</w:t>
      </w:r>
      <w:r>
        <w:t>.4 环保投资概算</w:t>
      </w:r>
      <w:r>
        <w:tab/>
      </w:r>
      <w:r>
        <w:fldChar w:fldCharType="begin"/>
      </w:r>
      <w:r>
        <w:instrText xml:space="preserve"> PAGEREF _Toc1710 \h </w:instrText>
      </w:r>
      <w:r>
        <w:fldChar w:fldCharType="separate"/>
      </w:r>
      <w:r>
        <w:t>278</w:t>
      </w:r>
      <w:r>
        <w:fldChar w:fldCharType="end"/>
      </w:r>
      <w:r>
        <w:rPr>
          <w:rFonts w:ascii="Times New Roman" w:hAnsi="Times New Roman" w:cs="Times New Roman"/>
        </w:rPr>
        <w:fldChar w:fldCharType="end"/>
      </w:r>
    </w:p>
    <w:p w14:paraId="24D6F85B">
      <w:pPr>
        <w:pStyle w:val="37"/>
        <w:tabs>
          <w:tab w:val="right" w:leader="dot" w:pos="8505"/>
        </w:tabs>
      </w:pPr>
      <w:r>
        <w:rPr>
          <w:rFonts w:ascii="Times New Roman" w:hAnsi="Times New Roman" w:cs="Times New Roman"/>
        </w:rPr>
        <w:fldChar w:fldCharType="begin"/>
      </w:r>
      <w:r>
        <w:rPr>
          <w:rFonts w:ascii="Times New Roman" w:hAnsi="Times New Roman" w:cs="Times New Roman"/>
        </w:rPr>
        <w:instrText xml:space="preserve"> HYPERLINK \l _Toc15329 </w:instrText>
      </w:r>
      <w:r>
        <w:rPr>
          <w:rFonts w:ascii="Times New Roman" w:hAnsi="Times New Roman" w:cs="Times New Roman"/>
        </w:rPr>
        <w:fldChar w:fldCharType="separate"/>
      </w:r>
      <w:r>
        <w:rPr>
          <w:rFonts w:hint="eastAsia"/>
          <w:lang w:eastAsia="zh-CN"/>
        </w:rPr>
        <w:t>8</w:t>
      </w:r>
      <w:r>
        <w:t>. 环境影响经济损益分析</w:t>
      </w:r>
      <w:r>
        <w:tab/>
      </w:r>
      <w:r>
        <w:fldChar w:fldCharType="begin"/>
      </w:r>
      <w:r>
        <w:instrText xml:space="preserve"> PAGEREF _Toc15329 \h </w:instrText>
      </w:r>
      <w:r>
        <w:fldChar w:fldCharType="separate"/>
      </w:r>
      <w:r>
        <w:t>279</w:t>
      </w:r>
      <w:r>
        <w:fldChar w:fldCharType="end"/>
      </w:r>
      <w:r>
        <w:rPr>
          <w:rFonts w:ascii="Times New Roman" w:hAnsi="Times New Roman" w:cs="Times New Roman"/>
        </w:rPr>
        <w:fldChar w:fldCharType="end"/>
      </w:r>
    </w:p>
    <w:p w14:paraId="4ADA84D6">
      <w:pPr>
        <w:pStyle w:val="46"/>
        <w:tabs>
          <w:tab w:val="right" w:leader="dot" w:pos="8505"/>
        </w:tabs>
      </w:pPr>
      <w:r>
        <w:rPr>
          <w:rFonts w:ascii="Times New Roman" w:hAnsi="Times New Roman" w:cs="Times New Roman"/>
        </w:rPr>
        <w:fldChar w:fldCharType="begin"/>
      </w:r>
      <w:r>
        <w:rPr>
          <w:rFonts w:ascii="Times New Roman" w:hAnsi="Times New Roman" w:cs="Times New Roman"/>
        </w:rPr>
        <w:instrText xml:space="preserve"> HYPERLINK \l _Toc11731 </w:instrText>
      </w:r>
      <w:r>
        <w:rPr>
          <w:rFonts w:ascii="Times New Roman" w:hAnsi="Times New Roman" w:cs="Times New Roman"/>
        </w:rPr>
        <w:fldChar w:fldCharType="separate"/>
      </w:r>
      <w:r>
        <w:rPr>
          <w:rFonts w:hint="eastAsia"/>
        </w:rPr>
        <w:t>8</w:t>
      </w:r>
      <w:r>
        <w:t>.1 费用</w:t>
      </w:r>
      <w:r>
        <w:tab/>
      </w:r>
      <w:r>
        <w:fldChar w:fldCharType="begin"/>
      </w:r>
      <w:r>
        <w:instrText xml:space="preserve"> PAGEREF _Toc11731 \h </w:instrText>
      </w:r>
      <w:r>
        <w:fldChar w:fldCharType="separate"/>
      </w:r>
      <w:r>
        <w:t>280</w:t>
      </w:r>
      <w:r>
        <w:fldChar w:fldCharType="end"/>
      </w:r>
      <w:r>
        <w:rPr>
          <w:rFonts w:ascii="Times New Roman" w:hAnsi="Times New Roman" w:cs="Times New Roman"/>
        </w:rPr>
        <w:fldChar w:fldCharType="end"/>
      </w:r>
    </w:p>
    <w:p w14:paraId="30831B21">
      <w:pPr>
        <w:pStyle w:val="46"/>
        <w:tabs>
          <w:tab w:val="right" w:leader="dot" w:pos="8505"/>
        </w:tabs>
      </w:pPr>
      <w:r>
        <w:rPr>
          <w:rFonts w:ascii="Times New Roman" w:hAnsi="Times New Roman" w:cs="Times New Roman"/>
        </w:rPr>
        <w:fldChar w:fldCharType="begin"/>
      </w:r>
      <w:r>
        <w:rPr>
          <w:rFonts w:ascii="Times New Roman" w:hAnsi="Times New Roman" w:cs="Times New Roman"/>
        </w:rPr>
        <w:instrText xml:space="preserve"> HYPERLINK \l _Toc1230 </w:instrText>
      </w:r>
      <w:r>
        <w:rPr>
          <w:rFonts w:ascii="Times New Roman" w:hAnsi="Times New Roman" w:cs="Times New Roman"/>
        </w:rPr>
        <w:fldChar w:fldCharType="separate"/>
      </w:r>
      <w:r>
        <w:rPr>
          <w:rFonts w:hint="eastAsia"/>
        </w:rPr>
        <w:t>8</w:t>
      </w:r>
      <w:r>
        <w:t>.2 效益</w:t>
      </w:r>
      <w:r>
        <w:tab/>
      </w:r>
      <w:r>
        <w:fldChar w:fldCharType="begin"/>
      </w:r>
      <w:r>
        <w:instrText xml:space="preserve"> PAGEREF _Toc1230 \h </w:instrText>
      </w:r>
      <w:r>
        <w:fldChar w:fldCharType="separate"/>
      </w:r>
      <w:r>
        <w:t>281</w:t>
      </w:r>
      <w:r>
        <w:fldChar w:fldCharType="end"/>
      </w:r>
      <w:r>
        <w:rPr>
          <w:rFonts w:ascii="Times New Roman" w:hAnsi="Times New Roman" w:cs="Times New Roman"/>
        </w:rPr>
        <w:fldChar w:fldCharType="end"/>
      </w:r>
    </w:p>
    <w:p w14:paraId="236E8DC0">
      <w:pPr>
        <w:pStyle w:val="30"/>
        <w:tabs>
          <w:tab w:val="right" w:leader="dot" w:pos="8505"/>
        </w:tabs>
      </w:pPr>
      <w:r>
        <w:rPr>
          <w:rFonts w:ascii="Times New Roman" w:hAnsi="Times New Roman" w:cs="Times New Roman"/>
        </w:rPr>
        <w:fldChar w:fldCharType="begin"/>
      </w:r>
      <w:r>
        <w:rPr>
          <w:rFonts w:ascii="Times New Roman" w:hAnsi="Times New Roman" w:cs="Times New Roman"/>
        </w:rPr>
        <w:instrText xml:space="preserve"> HYPERLINK \l _Toc5397 </w:instrText>
      </w:r>
      <w:r>
        <w:rPr>
          <w:rFonts w:ascii="Times New Roman" w:hAnsi="Times New Roman" w:cs="Times New Roman"/>
        </w:rPr>
        <w:fldChar w:fldCharType="separate"/>
      </w:r>
      <w:r>
        <w:rPr>
          <w:rFonts w:hint="eastAsia"/>
          <w:lang w:eastAsia="zh-CN"/>
        </w:rPr>
        <w:t>8</w:t>
      </w:r>
      <w:r>
        <w:t>.2.1 直接效益</w:t>
      </w:r>
      <w:r>
        <w:tab/>
      </w:r>
      <w:r>
        <w:fldChar w:fldCharType="begin"/>
      </w:r>
      <w:r>
        <w:instrText xml:space="preserve"> PAGEREF _Toc5397 \h </w:instrText>
      </w:r>
      <w:r>
        <w:fldChar w:fldCharType="separate"/>
      </w:r>
      <w:r>
        <w:t>281</w:t>
      </w:r>
      <w:r>
        <w:fldChar w:fldCharType="end"/>
      </w:r>
      <w:r>
        <w:rPr>
          <w:rFonts w:ascii="Times New Roman" w:hAnsi="Times New Roman" w:cs="Times New Roman"/>
        </w:rPr>
        <w:fldChar w:fldCharType="end"/>
      </w:r>
    </w:p>
    <w:p w14:paraId="08739C62">
      <w:pPr>
        <w:pStyle w:val="46"/>
        <w:tabs>
          <w:tab w:val="right" w:leader="dot" w:pos="8505"/>
        </w:tabs>
      </w:pPr>
      <w:r>
        <w:rPr>
          <w:rFonts w:ascii="Times New Roman" w:hAnsi="Times New Roman" w:cs="Times New Roman"/>
        </w:rPr>
        <w:fldChar w:fldCharType="begin"/>
      </w:r>
      <w:r>
        <w:rPr>
          <w:rFonts w:ascii="Times New Roman" w:hAnsi="Times New Roman" w:cs="Times New Roman"/>
        </w:rPr>
        <w:instrText xml:space="preserve"> HYPERLINK \l _Toc4493 </w:instrText>
      </w:r>
      <w:r>
        <w:rPr>
          <w:rFonts w:ascii="Times New Roman" w:hAnsi="Times New Roman" w:cs="Times New Roman"/>
        </w:rPr>
        <w:fldChar w:fldCharType="separate"/>
      </w:r>
      <w:r>
        <w:rPr>
          <w:rFonts w:hint="eastAsia"/>
        </w:rPr>
        <w:t>8</w:t>
      </w:r>
      <w:r>
        <w:t>.3 环境影响经济损益分析结论</w:t>
      </w:r>
      <w:r>
        <w:tab/>
      </w:r>
      <w:r>
        <w:fldChar w:fldCharType="begin"/>
      </w:r>
      <w:r>
        <w:instrText xml:space="preserve"> PAGEREF _Toc4493 \h </w:instrText>
      </w:r>
      <w:r>
        <w:fldChar w:fldCharType="separate"/>
      </w:r>
      <w:r>
        <w:t>282</w:t>
      </w:r>
      <w:r>
        <w:fldChar w:fldCharType="end"/>
      </w:r>
      <w:r>
        <w:rPr>
          <w:rFonts w:ascii="Times New Roman" w:hAnsi="Times New Roman" w:cs="Times New Roman"/>
        </w:rPr>
        <w:fldChar w:fldCharType="end"/>
      </w:r>
    </w:p>
    <w:p w14:paraId="237156A9">
      <w:pPr>
        <w:pStyle w:val="37"/>
        <w:tabs>
          <w:tab w:val="right" w:leader="dot" w:pos="8505"/>
        </w:tabs>
      </w:pPr>
      <w:r>
        <w:rPr>
          <w:rFonts w:ascii="Times New Roman" w:hAnsi="Times New Roman" w:cs="Times New Roman"/>
        </w:rPr>
        <w:fldChar w:fldCharType="begin"/>
      </w:r>
      <w:r>
        <w:rPr>
          <w:rFonts w:ascii="Times New Roman" w:hAnsi="Times New Roman" w:cs="Times New Roman"/>
        </w:rPr>
        <w:instrText xml:space="preserve"> HYPERLINK \l _Toc3440 </w:instrText>
      </w:r>
      <w:r>
        <w:rPr>
          <w:rFonts w:ascii="Times New Roman" w:hAnsi="Times New Roman" w:cs="Times New Roman"/>
        </w:rPr>
        <w:fldChar w:fldCharType="separate"/>
      </w:r>
      <w:r>
        <w:rPr>
          <w:rFonts w:hint="eastAsia"/>
          <w:lang w:eastAsia="zh-CN"/>
        </w:rPr>
        <w:t>9</w:t>
      </w:r>
      <w:r>
        <w:t>. 环境管理与监测计划</w:t>
      </w:r>
      <w:r>
        <w:tab/>
      </w:r>
      <w:r>
        <w:fldChar w:fldCharType="begin"/>
      </w:r>
      <w:r>
        <w:instrText xml:space="preserve"> PAGEREF _Toc3440 \h </w:instrText>
      </w:r>
      <w:r>
        <w:fldChar w:fldCharType="separate"/>
      </w:r>
      <w:r>
        <w:t>283</w:t>
      </w:r>
      <w:r>
        <w:fldChar w:fldCharType="end"/>
      </w:r>
      <w:r>
        <w:rPr>
          <w:rFonts w:ascii="Times New Roman" w:hAnsi="Times New Roman" w:cs="Times New Roman"/>
        </w:rPr>
        <w:fldChar w:fldCharType="end"/>
      </w:r>
    </w:p>
    <w:p w14:paraId="0421E413">
      <w:pPr>
        <w:pStyle w:val="46"/>
        <w:tabs>
          <w:tab w:val="right" w:leader="dot" w:pos="8505"/>
        </w:tabs>
      </w:pPr>
      <w:r>
        <w:rPr>
          <w:rFonts w:ascii="Times New Roman" w:hAnsi="Times New Roman" w:cs="Times New Roman"/>
        </w:rPr>
        <w:fldChar w:fldCharType="begin"/>
      </w:r>
      <w:r>
        <w:rPr>
          <w:rFonts w:ascii="Times New Roman" w:hAnsi="Times New Roman" w:cs="Times New Roman"/>
        </w:rPr>
        <w:instrText xml:space="preserve"> HYPERLINK \l _Toc6743 </w:instrText>
      </w:r>
      <w:r>
        <w:rPr>
          <w:rFonts w:ascii="Times New Roman" w:hAnsi="Times New Roman" w:cs="Times New Roman"/>
        </w:rPr>
        <w:fldChar w:fldCharType="separate"/>
      </w:r>
      <w:r>
        <w:rPr>
          <w:rFonts w:hint="eastAsia"/>
        </w:rPr>
        <w:t>9</w:t>
      </w:r>
      <w:r>
        <w:t>.1 环境管理</w:t>
      </w:r>
      <w:r>
        <w:tab/>
      </w:r>
      <w:r>
        <w:fldChar w:fldCharType="begin"/>
      </w:r>
      <w:r>
        <w:instrText xml:space="preserve"> PAGEREF _Toc6743 \h </w:instrText>
      </w:r>
      <w:r>
        <w:fldChar w:fldCharType="separate"/>
      </w:r>
      <w:r>
        <w:t>283</w:t>
      </w:r>
      <w:r>
        <w:fldChar w:fldCharType="end"/>
      </w:r>
      <w:r>
        <w:rPr>
          <w:rFonts w:ascii="Times New Roman" w:hAnsi="Times New Roman" w:cs="Times New Roman"/>
        </w:rPr>
        <w:fldChar w:fldCharType="end"/>
      </w:r>
    </w:p>
    <w:p w14:paraId="38D9D48E">
      <w:pPr>
        <w:pStyle w:val="30"/>
        <w:tabs>
          <w:tab w:val="right" w:leader="dot" w:pos="8505"/>
        </w:tabs>
      </w:pPr>
      <w:r>
        <w:rPr>
          <w:rFonts w:ascii="Times New Roman" w:hAnsi="Times New Roman" w:cs="Times New Roman"/>
        </w:rPr>
        <w:fldChar w:fldCharType="begin"/>
      </w:r>
      <w:r>
        <w:rPr>
          <w:rFonts w:ascii="Times New Roman" w:hAnsi="Times New Roman" w:cs="Times New Roman"/>
        </w:rPr>
        <w:instrText xml:space="preserve"> HYPERLINK \l _Toc13470 </w:instrText>
      </w:r>
      <w:r>
        <w:rPr>
          <w:rFonts w:ascii="Times New Roman" w:hAnsi="Times New Roman" w:cs="Times New Roman"/>
        </w:rPr>
        <w:fldChar w:fldCharType="separate"/>
      </w:r>
      <w:r>
        <w:rPr>
          <w:rFonts w:hint="eastAsia"/>
          <w:lang w:eastAsia="zh-CN"/>
        </w:rPr>
        <w:t>9</w:t>
      </w:r>
      <w:r>
        <w:t>.1.1 环境管理体制</w:t>
      </w:r>
      <w:r>
        <w:tab/>
      </w:r>
      <w:r>
        <w:fldChar w:fldCharType="begin"/>
      </w:r>
      <w:r>
        <w:instrText xml:space="preserve"> PAGEREF _Toc13470 \h </w:instrText>
      </w:r>
      <w:r>
        <w:fldChar w:fldCharType="separate"/>
      </w:r>
      <w:r>
        <w:t>283</w:t>
      </w:r>
      <w:r>
        <w:fldChar w:fldCharType="end"/>
      </w:r>
      <w:r>
        <w:rPr>
          <w:rFonts w:ascii="Times New Roman" w:hAnsi="Times New Roman" w:cs="Times New Roman"/>
        </w:rPr>
        <w:fldChar w:fldCharType="end"/>
      </w:r>
    </w:p>
    <w:p w14:paraId="67A22D65">
      <w:pPr>
        <w:pStyle w:val="30"/>
        <w:tabs>
          <w:tab w:val="right" w:leader="dot" w:pos="8505"/>
        </w:tabs>
      </w:pPr>
      <w:r>
        <w:rPr>
          <w:rFonts w:ascii="Times New Roman" w:hAnsi="Times New Roman" w:cs="Times New Roman"/>
        </w:rPr>
        <w:fldChar w:fldCharType="begin"/>
      </w:r>
      <w:r>
        <w:rPr>
          <w:rFonts w:ascii="Times New Roman" w:hAnsi="Times New Roman" w:cs="Times New Roman"/>
        </w:rPr>
        <w:instrText xml:space="preserve"> HYPERLINK \l _Toc6849 </w:instrText>
      </w:r>
      <w:r>
        <w:rPr>
          <w:rFonts w:ascii="Times New Roman" w:hAnsi="Times New Roman" w:cs="Times New Roman"/>
        </w:rPr>
        <w:fldChar w:fldCharType="separate"/>
      </w:r>
      <w:r>
        <w:rPr>
          <w:rFonts w:hint="eastAsia"/>
          <w:lang w:eastAsia="zh-CN"/>
        </w:rPr>
        <w:t>9</w:t>
      </w:r>
      <w:r>
        <w:t>.1.2 环境管理机构</w:t>
      </w:r>
      <w:r>
        <w:tab/>
      </w:r>
      <w:r>
        <w:fldChar w:fldCharType="begin"/>
      </w:r>
      <w:r>
        <w:instrText xml:space="preserve"> PAGEREF _Toc6849 \h </w:instrText>
      </w:r>
      <w:r>
        <w:fldChar w:fldCharType="separate"/>
      </w:r>
      <w:r>
        <w:t>283</w:t>
      </w:r>
      <w:r>
        <w:fldChar w:fldCharType="end"/>
      </w:r>
      <w:r>
        <w:rPr>
          <w:rFonts w:ascii="Times New Roman" w:hAnsi="Times New Roman" w:cs="Times New Roman"/>
        </w:rPr>
        <w:fldChar w:fldCharType="end"/>
      </w:r>
    </w:p>
    <w:p w14:paraId="23222744">
      <w:pPr>
        <w:pStyle w:val="30"/>
        <w:tabs>
          <w:tab w:val="right" w:leader="dot" w:pos="8505"/>
        </w:tabs>
      </w:pPr>
      <w:r>
        <w:rPr>
          <w:rFonts w:ascii="Times New Roman" w:hAnsi="Times New Roman" w:cs="Times New Roman"/>
        </w:rPr>
        <w:fldChar w:fldCharType="begin"/>
      </w:r>
      <w:r>
        <w:rPr>
          <w:rFonts w:ascii="Times New Roman" w:hAnsi="Times New Roman" w:cs="Times New Roman"/>
        </w:rPr>
        <w:instrText xml:space="preserve"> HYPERLINK \l _Toc8609 </w:instrText>
      </w:r>
      <w:r>
        <w:rPr>
          <w:rFonts w:ascii="Times New Roman" w:hAnsi="Times New Roman" w:cs="Times New Roman"/>
        </w:rPr>
        <w:fldChar w:fldCharType="separate"/>
      </w:r>
      <w:r>
        <w:rPr>
          <w:rFonts w:hint="eastAsia"/>
          <w:lang w:eastAsia="zh-CN"/>
        </w:rPr>
        <w:t>9</w:t>
      </w:r>
      <w:r>
        <w:t>.1.3 环境管理手段和措施</w:t>
      </w:r>
      <w:r>
        <w:tab/>
      </w:r>
      <w:r>
        <w:fldChar w:fldCharType="begin"/>
      </w:r>
      <w:r>
        <w:instrText xml:space="preserve"> PAGEREF _Toc8609 \h </w:instrText>
      </w:r>
      <w:r>
        <w:fldChar w:fldCharType="separate"/>
      </w:r>
      <w:r>
        <w:t>284</w:t>
      </w:r>
      <w:r>
        <w:fldChar w:fldCharType="end"/>
      </w:r>
      <w:r>
        <w:rPr>
          <w:rFonts w:ascii="Times New Roman" w:hAnsi="Times New Roman" w:cs="Times New Roman"/>
        </w:rPr>
        <w:fldChar w:fldCharType="end"/>
      </w:r>
    </w:p>
    <w:p w14:paraId="345CA0EE">
      <w:pPr>
        <w:pStyle w:val="30"/>
        <w:tabs>
          <w:tab w:val="right" w:leader="dot" w:pos="8505"/>
        </w:tabs>
      </w:pPr>
      <w:r>
        <w:rPr>
          <w:rFonts w:ascii="Times New Roman" w:hAnsi="Times New Roman" w:cs="Times New Roman"/>
        </w:rPr>
        <w:fldChar w:fldCharType="begin"/>
      </w:r>
      <w:r>
        <w:rPr>
          <w:rFonts w:ascii="Times New Roman" w:hAnsi="Times New Roman" w:cs="Times New Roman"/>
        </w:rPr>
        <w:instrText xml:space="preserve"> HYPERLINK \l _Toc6297 </w:instrText>
      </w:r>
      <w:r>
        <w:rPr>
          <w:rFonts w:ascii="Times New Roman" w:hAnsi="Times New Roman" w:cs="Times New Roman"/>
        </w:rPr>
        <w:fldChar w:fldCharType="separate"/>
      </w:r>
      <w:r>
        <w:rPr>
          <w:rFonts w:hint="eastAsia"/>
          <w:lang w:eastAsia="zh-CN"/>
        </w:rPr>
        <w:t>9</w:t>
      </w:r>
      <w:r>
        <w:t>.1.4 建设阶段环境管理要求</w:t>
      </w:r>
      <w:r>
        <w:tab/>
      </w:r>
      <w:r>
        <w:fldChar w:fldCharType="begin"/>
      </w:r>
      <w:r>
        <w:instrText xml:space="preserve"> PAGEREF _Toc6297 \h </w:instrText>
      </w:r>
      <w:r>
        <w:fldChar w:fldCharType="separate"/>
      </w:r>
      <w:r>
        <w:t>284</w:t>
      </w:r>
      <w:r>
        <w:fldChar w:fldCharType="end"/>
      </w:r>
      <w:r>
        <w:rPr>
          <w:rFonts w:ascii="Times New Roman" w:hAnsi="Times New Roman" w:cs="Times New Roman"/>
        </w:rPr>
        <w:fldChar w:fldCharType="end"/>
      </w:r>
    </w:p>
    <w:p w14:paraId="68959A08">
      <w:pPr>
        <w:pStyle w:val="30"/>
        <w:tabs>
          <w:tab w:val="right" w:leader="dot" w:pos="8505"/>
        </w:tabs>
      </w:pPr>
      <w:r>
        <w:rPr>
          <w:rFonts w:ascii="Times New Roman" w:hAnsi="Times New Roman" w:cs="Times New Roman"/>
        </w:rPr>
        <w:fldChar w:fldCharType="begin"/>
      </w:r>
      <w:r>
        <w:rPr>
          <w:rFonts w:ascii="Times New Roman" w:hAnsi="Times New Roman" w:cs="Times New Roman"/>
        </w:rPr>
        <w:instrText xml:space="preserve"> HYPERLINK \l _Toc10898 </w:instrText>
      </w:r>
      <w:r>
        <w:rPr>
          <w:rFonts w:ascii="Times New Roman" w:hAnsi="Times New Roman" w:cs="Times New Roman"/>
        </w:rPr>
        <w:fldChar w:fldCharType="separate"/>
      </w:r>
      <w:r>
        <w:rPr>
          <w:rFonts w:hint="eastAsia"/>
          <w:lang w:eastAsia="zh-CN"/>
        </w:rPr>
        <w:t>9</w:t>
      </w:r>
      <w:r>
        <w:t>.1.5 运行阶段环境管理要求</w:t>
      </w:r>
      <w:r>
        <w:tab/>
      </w:r>
      <w:r>
        <w:fldChar w:fldCharType="begin"/>
      </w:r>
      <w:r>
        <w:instrText xml:space="preserve"> PAGEREF _Toc10898 \h </w:instrText>
      </w:r>
      <w:r>
        <w:fldChar w:fldCharType="separate"/>
      </w:r>
      <w:r>
        <w:t>285</w:t>
      </w:r>
      <w:r>
        <w:fldChar w:fldCharType="end"/>
      </w:r>
      <w:r>
        <w:rPr>
          <w:rFonts w:ascii="Times New Roman" w:hAnsi="Times New Roman" w:cs="Times New Roman"/>
        </w:rPr>
        <w:fldChar w:fldCharType="end"/>
      </w:r>
    </w:p>
    <w:p w14:paraId="00BEE695">
      <w:pPr>
        <w:pStyle w:val="30"/>
        <w:tabs>
          <w:tab w:val="right" w:leader="dot" w:pos="8505"/>
        </w:tabs>
      </w:pPr>
      <w:r>
        <w:rPr>
          <w:rFonts w:ascii="Times New Roman" w:hAnsi="Times New Roman" w:cs="Times New Roman"/>
        </w:rPr>
        <w:fldChar w:fldCharType="begin"/>
      </w:r>
      <w:r>
        <w:rPr>
          <w:rFonts w:ascii="Times New Roman" w:hAnsi="Times New Roman" w:cs="Times New Roman"/>
        </w:rPr>
        <w:instrText xml:space="preserve"> HYPERLINK \l _Toc761 </w:instrText>
      </w:r>
      <w:r>
        <w:rPr>
          <w:rFonts w:ascii="Times New Roman" w:hAnsi="Times New Roman" w:cs="Times New Roman"/>
        </w:rPr>
        <w:fldChar w:fldCharType="separate"/>
      </w:r>
      <w:r>
        <w:rPr>
          <w:rFonts w:hint="eastAsia"/>
          <w:lang w:eastAsia="zh-CN"/>
        </w:rPr>
        <w:t>9</w:t>
      </w:r>
      <w:r>
        <w:t>.1.6 运行阶段污染物排放管理要求</w:t>
      </w:r>
      <w:r>
        <w:tab/>
      </w:r>
      <w:r>
        <w:fldChar w:fldCharType="begin"/>
      </w:r>
      <w:r>
        <w:instrText xml:space="preserve"> PAGEREF _Toc761 \h </w:instrText>
      </w:r>
      <w:r>
        <w:fldChar w:fldCharType="separate"/>
      </w:r>
      <w:r>
        <w:t>285</w:t>
      </w:r>
      <w:r>
        <w:fldChar w:fldCharType="end"/>
      </w:r>
      <w:r>
        <w:rPr>
          <w:rFonts w:ascii="Times New Roman" w:hAnsi="Times New Roman" w:cs="Times New Roman"/>
        </w:rPr>
        <w:fldChar w:fldCharType="end"/>
      </w:r>
    </w:p>
    <w:p w14:paraId="49838651">
      <w:pPr>
        <w:pStyle w:val="46"/>
        <w:tabs>
          <w:tab w:val="right" w:leader="dot" w:pos="8505"/>
        </w:tabs>
      </w:pPr>
      <w:r>
        <w:rPr>
          <w:rFonts w:ascii="Times New Roman" w:hAnsi="Times New Roman" w:cs="Times New Roman"/>
        </w:rPr>
        <w:fldChar w:fldCharType="begin"/>
      </w:r>
      <w:r>
        <w:rPr>
          <w:rFonts w:ascii="Times New Roman" w:hAnsi="Times New Roman" w:cs="Times New Roman"/>
        </w:rPr>
        <w:instrText xml:space="preserve"> HYPERLINK \l _Toc13828 </w:instrText>
      </w:r>
      <w:r>
        <w:rPr>
          <w:rFonts w:ascii="Times New Roman" w:hAnsi="Times New Roman" w:cs="Times New Roman"/>
        </w:rPr>
        <w:fldChar w:fldCharType="separate"/>
      </w:r>
      <w:r>
        <w:rPr>
          <w:rFonts w:hint="eastAsia"/>
        </w:rPr>
        <w:t>9</w:t>
      </w:r>
      <w:r>
        <w:t>.2 监测计划</w:t>
      </w:r>
      <w:r>
        <w:tab/>
      </w:r>
      <w:r>
        <w:fldChar w:fldCharType="begin"/>
      </w:r>
      <w:r>
        <w:instrText xml:space="preserve"> PAGEREF _Toc13828 \h </w:instrText>
      </w:r>
      <w:r>
        <w:fldChar w:fldCharType="separate"/>
      </w:r>
      <w:r>
        <w:t>287</w:t>
      </w:r>
      <w:r>
        <w:fldChar w:fldCharType="end"/>
      </w:r>
      <w:r>
        <w:rPr>
          <w:rFonts w:ascii="Times New Roman" w:hAnsi="Times New Roman" w:cs="Times New Roman"/>
        </w:rPr>
        <w:fldChar w:fldCharType="end"/>
      </w:r>
    </w:p>
    <w:p w14:paraId="373BAB6F">
      <w:pPr>
        <w:pStyle w:val="46"/>
        <w:tabs>
          <w:tab w:val="right" w:leader="dot" w:pos="8505"/>
        </w:tabs>
      </w:pPr>
      <w:r>
        <w:rPr>
          <w:rFonts w:ascii="Times New Roman" w:hAnsi="Times New Roman" w:cs="Times New Roman"/>
        </w:rPr>
        <w:fldChar w:fldCharType="begin"/>
      </w:r>
      <w:r>
        <w:rPr>
          <w:rFonts w:ascii="Times New Roman" w:hAnsi="Times New Roman" w:cs="Times New Roman"/>
        </w:rPr>
        <w:instrText xml:space="preserve"> HYPERLINK \l _Toc29331 </w:instrText>
      </w:r>
      <w:r>
        <w:rPr>
          <w:rFonts w:ascii="Times New Roman" w:hAnsi="Times New Roman" w:cs="Times New Roman"/>
        </w:rPr>
        <w:fldChar w:fldCharType="separate"/>
      </w:r>
      <w:r>
        <w:rPr>
          <w:rFonts w:hint="eastAsia"/>
        </w:rPr>
        <w:t>9</w:t>
      </w:r>
      <w:r>
        <w:t>.3 环境信息公开制度</w:t>
      </w:r>
      <w:r>
        <w:tab/>
      </w:r>
      <w:r>
        <w:fldChar w:fldCharType="begin"/>
      </w:r>
      <w:r>
        <w:instrText xml:space="preserve"> PAGEREF _Toc29331 \h </w:instrText>
      </w:r>
      <w:r>
        <w:fldChar w:fldCharType="separate"/>
      </w:r>
      <w:r>
        <w:t>288</w:t>
      </w:r>
      <w:r>
        <w:fldChar w:fldCharType="end"/>
      </w:r>
      <w:r>
        <w:rPr>
          <w:rFonts w:ascii="Times New Roman" w:hAnsi="Times New Roman" w:cs="Times New Roman"/>
        </w:rPr>
        <w:fldChar w:fldCharType="end"/>
      </w:r>
    </w:p>
    <w:p w14:paraId="31BE0DC8">
      <w:pPr>
        <w:pStyle w:val="30"/>
        <w:tabs>
          <w:tab w:val="right" w:leader="dot" w:pos="8505"/>
        </w:tabs>
      </w:pPr>
      <w:r>
        <w:rPr>
          <w:rFonts w:ascii="Times New Roman" w:hAnsi="Times New Roman" w:cs="Times New Roman"/>
        </w:rPr>
        <w:fldChar w:fldCharType="begin"/>
      </w:r>
      <w:r>
        <w:rPr>
          <w:rFonts w:ascii="Times New Roman" w:hAnsi="Times New Roman" w:cs="Times New Roman"/>
        </w:rPr>
        <w:instrText xml:space="preserve"> HYPERLINK \l _Toc23683 </w:instrText>
      </w:r>
      <w:r>
        <w:rPr>
          <w:rFonts w:ascii="Times New Roman" w:hAnsi="Times New Roman" w:cs="Times New Roman"/>
        </w:rPr>
        <w:fldChar w:fldCharType="separate"/>
      </w:r>
      <w:r>
        <w:rPr>
          <w:rFonts w:hint="eastAsia"/>
          <w:lang w:eastAsia="zh-CN"/>
        </w:rPr>
        <w:t>9</w:t>
      </w:r>
      <w:r>
        <w:t>.3.1 环境信息公开内容</w:t>
      </w:r>
      <w:r>
        <w:tab/>
      </w:r>
      <w:r>
        <w:fldChar w:fldCharType="begin"/>
      </w:r>
      <w:r>
        <w:instrText xml:space="preserve"> PAGEREF _Toc23683 \h </w:instrText>
      </w:r>
      <w:r>
        <w:fldChar w:fldCharType="separate"/>
      </w:r>
      <w:r>
        <w:t>288</w:t>
      </w:r>
      <w:r>
        <w:fldChar w:fldCharType="end"/>
      </w:r>
      <w:r>
        <w:rPr>
          <w:rFonts w:ascii="Times New Roman" w:hAnsi="Times New Roman" w:cs="Times New Roman"/>
        </w:rPr>
        <w:fldChar w:fldCharType="end"/>
      </w:r>
    </w:p>
    <w:p w14:paraId="516CC057">
      <w:pPr>
        <w:pStyle w:val="30"/>
        <w:tabs>
          <w:tab w:val="right" w:leader="dot" w:pos="8505"/>
        </w:tabs>
      </w:pPr>
      <w:r>
        <w:rPr>
          <w:rFonts w:ascii="Times New Roman" w:hAnsi="Times New Roman" w:cs="Times New Roman"/>
        </w:rPr>
        <w:fldChar w:fldCharType="begin"/>
      </w:r>
      <w:r>
        <w:rPr>
          <w:rFonts w:ascii="Times New Roman" w:hAnsi="Times New Roman" w:cs="Times New Roman"/>
        </w:rPr>
        <w:instrText xml:space="preserve"> HYPERLINK \l _Toc7623 </w:instrText>
      </w:r>
      <w:r>
        <w:rPr>
          <w:rFonts w:ascii="Times New Roman" w:hAnsi="Times New Roman" w:cs="Times New Roman"/>
        </w:rPr>
        <w:fldChar w:fldCharType="separate"/>
      </w:r>
      <w:r>
        <w:rPr>
          <w:rFonts w:hint="eastAsia"/>
          <w:lang w:eastAsia="zh-CN"/>
        </w:rPr>
        <w:t>9</w:t>
      </w:r>
      <w:r>
        <w:t>.3.2 环境信息公开方式</w:t>
      </w:r>
      <w:r>
        <w:tab/>
      </w:r>
      <w:r>
        <w:fldChar w:fldCharType="begin"/>
      </w:r>
      <w:r>
        <w:instrText xml:space="preserve"> PAGEREF _Toc7623 \h </w:instrText>
      </w:r>
      <w:r>
        <w:fldChar w:fldCharType="separate"/>
      </w:r>
      <w:r>
        <w:t>288</w:t>
      </w:r>
      <w:r>
        <w:fldChar w:fldCharType="end"/>
      </w:r>
      <w:r>
        <w:rPr>
          <w:rFonts w:ascii="Times New Roman" w:hAnsi="Times New Roman" w:cs="Times New Roman"/>
        </w:rPr>
        <w:fldChar w:fldCharType="end"/>
      </w:r>
    </w:p>
    <w:p w14:paraId="4BA8ACD0">
      <w:pPr>
        <w:pStyle w:val="46"/>
        <w:tabs>
          <w:tab w:val="right" w:leader="dot" w:pos="8505"/>
        </w:tabs>
      </w:pPr>
      <w:r>
        <w:rPr>
          <w:rFonts w:ascii="Times New Roman" w:hAnsi="Times New Roman" w:cs="Times New Roman"/>
        </w:rPr>
        <w:fldChar w:fldCharType="begin"/>
      </w:r>
      <w:r>
        <w:rPr>
          <w:rFonts w:ascii="Times New Roman" w:hAnsi="Times New Roman" w:cs="Times New Roman"/>
        </w:rPr>
        <w:instrText xml:space="preserve"> HYPERLINK \l _Toc754 </w:instrText>
      </w:r>
      <w:r>
        <w:rPr>
          <w:rFonts w:ascii="Times New Roman" w:hAnsi="Times New Roman" w:cs="Times New Roman"/>
        </w:rPr>
        <w:fldChar w:fldCharType="separate"/>
      </w:r>
      <w:r>
        <w:rPr>
          <w:rFonts w:hint="eastAsia"/>
        </w:rPr>
        <w:t>9</w:t>
      </w:r>
      <w:r>
        <w:t>.4 排污口规范化管理</w:t>
      </w:r>
      <w:r>
        <w:tab/>
      </w:r>
      <w:r>
        <w:fldChar w:fldCharType="begin"/>
      </w:r>
      <w:r>
        <w:instrText xml:space="preserve"> PAGEREF _Toc754 \h </w:instrText>
      </w:r>
      <w:r>
        <w:fldChar w:fldCharType="separate"/>
      </w:r>
      <w:r>
        <w:t>289</w:t>
      </w:r>
      <w:r>
        <w:fldChar w:fldCharType="end"/>
      </w:r>
      <w:r>
        <w:rPr>
          <w:rFonts w:ascii="Times New Roman" w:hAnsi="Times New Roman" w:cs="Times New Roman"/>
        </w:rPr>
        <w:fldChar w:fldCharType="end"/>
      </w:r>
    </w:p>
    <w:p w14:paraId="59F6D8DB">
      <w:pPr>
        <w:pStyle w:val="30"/>
        <w:tabs>
          <w:tab w:val="right" w:leader="dot" w:pos="8505"/>
        </w:tabs>
      </w:pPr>
      <w:r>
        <w:rPr>
          <w:rFonts w:ascii="Times New Roman" w:hAnsi="Times New Roman" w:cs="Times New Roman"/>
        </w:rPr>
        <w:fldChar w:fldCharType="begin"/>
      </w:r>
      <w:r>
        <w:rPr>
          <w:rFonts w:ascii="Times New Roman" w:hAnsi="Times New Roman" w:cs="Times New Roman"/>
        </w:rPr>
        <w:instrText xml:space="preserve"> HYPERLINK \l _Toc9730 </w:instrText>
      </w:r>
      <w:r>
        <w:rPr>
          <w:rFonts w:ascii="Times New Roman" w:hAnsi="Times New Roman" w:cs="Times New Roman"/>
        </w:rPr>
        <w:fldChar w:fldCharType="separate"/>
      </w:r>
      <w:r>
        <w:rPr>
          <w:rFonts w:hint="eastAsia"/>
          <w:lang w:eastAsia="zh-CN"/>
        </w:rPr>
        <w:t>9</w:t>
      </w:r>
      <w:r>
        <w:t>.4.1 排污口规范化要求</w:t>
      </w:r>
      <w:r>
        <w:tab/>
      </w:r>
      <w:r>
        <w:fldChar w:fldCharType="begin"/>
      </w:r>
      <w:r>
        <w:instrText xml:space="preserve"> PAGEREF _Toc9730 \h </w:instrText>
      </w:r>
      <w:r>
        <w:fldChar w:fldCharType="separate"/>
      </w:r>
      <w:r>
        <w:t>289</w:t>
      </w:r>
      <w:r>
        <w:fldChar w:fldCharType="end"/>
      </w:r>
      <w:r>
        <w:rPr>
          <w:rFonts w:ascii="Times New Roman" w:hAnsi="Times New Roman" w:cs="Times New Roman"/>
        </w:rPr>
        <w:fldChar w:fldCharType="end"/>
      </w:r>
    </w:p>
    <w:p w14:paraId="6C3EBACA">
      <w:pPr>
        <w:pStyle w:val="30"/>
        <w:tabs>
          <w:tab w:val="right" w:leader="dot" w:pos="8505"/>
        </w:tabs>
      </w:pPr>
      <w:r>
        <w:rPr>
          <w:rFonts w:ascii="Times New Roman" w:hAnsi="Times New Roman" w:cs="Times New Roman"/>
        </w:rPr>
        <w:fldChar w:fldCharType="begin"/>
      </w:r>
      <w:r>
        <w:rPr>
          <w:rFonts w:ascii="Times New Roman" w:hAnsi="Times New Roman" w:cs="Times New Roman"/>
        </w:rPr>
        <w:instrText xml:space="preserve"> HYPERLINK \l _Toc7371 </w:instrText>
      </w:r>
      <w:r>
        <w:rPr>
          <w:rFonts w:ascii="Times New Roman" w:hAnsi="Times New Roman" w:cs="Times New Roman"/>
        </w:rPr>
        <w:fldChar w:fldCharType="separate"/>
      </w:r>
      <w:r>
        <w:rPr>
          <w:rFonts w:hint="eastAsia"/>
          <w:lang w:eastAsia="zh-CN"/>
        </w:rPr>
        <w:t>9</w:t>
      </w:r>
      <w:r>
        <w:t>.4.2 排污口规范化设置</w:t>
      </w:r>
      <w:r>
        <w:tab/>
      </w:r>
      <w:r>
        <w:fldChar w:fldCharType="begin"/>
      </w:r>
      <w:r>
        <w:instrText xml:space="preserve"> PAGEREF _Toc7371 \h </w:instrText>
      </w:r>
      <w:r>
        <w:fldChar w:fldCharType="separate"/>
      </w:r>
      <w:r>
        <w:t>291</w:t>
      </w:r>
      <w:r>
        <w:fldChar w:fldCharType="end"/>
      </w:r>
      <w:r>
        <w:rPr>
          <w:rFonts w:ascii="Times New Roman" w:hAnsi="Times New Roman" w:cs="Times New Roman"/>
        </w:rPr>
        <w:fldChar w:fldCharType="end"/>
      </w:r>
    </w:p>
    <w:p w14:paraId="65E1C5B5">
      <w:pPr>
        <w:pStyle w:val="37"/>
        <w:tabs>
          <w:tab w:val="right" w:leader="dot" w:pos="8505"/>
        </w:tabs>
      </w:pPr>
      <w:r>
        <w:rPr>
          <w:rFonts w:ascii="Times New Roman" w:hAnsi="Times New Roman" w:cs="Times New Roman"/>
        </w:rPr>
        <w:fldChar w:fldCharType="begin"/>
      </w:r>
      <w:r>
        <w:rPr>
          <w:rFonts w:ascii="Times New Roman" w:hAnsi="Times New Roman" w:cs="Times New Roman"/>
        </w:rPr>
        <w:instrText xml:space="preserve"> HYPERLINK \l _Toc20853 </w:instrText>
      </w:r>
      <w:r>
        <w:rPr>
          <w:rFonts w:ascii="Times New Roman" w:hAnsi="Times New Roman" w:cs="Times New Roman"/>
        </w:rPr>
        <w:fldChar w:fldCharType="separate"/>
      </w:r>
      <w:r>
        <w:rPr>
          <w:rFonts w:hint="eastAsia"/>
          <w:lang w:eastAsia="zh-CN"/>
        </w:rPr>
        <w:t>10</w:t>
      </w:r>
      <w:r>
        <w:t>. 评价结论</w:t>
      </w:r>
      <w:r>
        <w:tab/>
      </w:r>
      <w:r>
        <w:fldChar w:fldCharType="begin"/>
      </w:r>
      <w:r>
        <w:instrText xml:space="preserve"> PAGEREF _Toc20853 \h </w:instrText>
      </w:r>
      <w:r>
        <w:fldChar w:fldCharType="separate"/>
      </w:r>
      <w:r>
        <w:t>292</w:t>
      </w:r>
      <w:r>
        <w:fldChar w:fldCharType="end"/>
      </w:r>
      <w:r>
        <w:rPr>
          <w:rFonts w:ascii="Times New Roman" w:hAnsi="Times New Roman" w:cs="Times New Roman"/>
        </w:rPr>
        <w:fldChar w:fldCharType="end"/>
      </w:r>
    </w:p>
    <w:p w14:paraId="0588A30F">
      <w:pPr>
        <w:pStyle w:val="46"/>
        <w:tabs>
          <w:tab w:val="right" w:leader="dot" w:pos="8505"/>
        </w:tabs>
      </w:pPr>
      <w:r>
        <w:rPr>
          <w:rFonts w:ascii="Times New Roman" w:hAnsi="Times New Roman" w:cs="Times New Roman"/>
        </w:rPr>
        <w:fldChar w:fldCharType="begin"/>
      </w:r>
      <w:r>
        <w:rPr>
          <w:rFonts w:ascii="Times New Roman" w:hAnsi="Times New Roman" w:cs="Times New Roman"/>
        </w:rPr>
        <w:instrText xml:space="preserve"> HYPERLINK \l _Toc32156 </w:instrText>
      </w:r>
      <w:r>
        <w:rPr>
          <w:rFonts w:ascii="Times New Roman" w:hAnsi="Times New Roman" w:cs="Times New Roman"/>
        </w:rPr>
        <w:fldChar w:fldCharType="separate"/>
      </w:r>
      <w:r>
        <w:rPr>
          <w:rFonts w:hint="eastAsia"/>
        </w:rPr>
        <w:t>10</w:t>
      </w:r>
      <w:r>
        <w:t>.1 项目概况</w:t>
      </w:r>
      <w:r>
        <w:tab/>
      </w:r>
      <w:r>
        <w:fldChar w:fldCharType="begin"/>
      </w:r>
      <w:r>
        <w:instrText xml:space="preserve"> PAGEREF _Toc32156 \h </w:instrText>
      </w:r>
      <w:r>
        <w:fldChar w:fldCharType="separate"/>
      </w:r>
      <w:r>
        <w:t>292</w:t>
      </w:r>
      <w:r>
        <w:fldChar w:fldCharType="end"/>
      </w:r>
      <w:r>
        <w:rPr>
          <w:rFonts w:ascii="Times New Roman" w:hAnsi="Times New Roman" w:cs="Times New Roman"/>
        </w:rPr>
        <w:fldChar w:fldCharType="end"/>
      </w:r>
    </w:p>
    <w:p w14:paraId="441E743B">
      <w:pPr>
        <w:pStyle w:val="46"/>
        <w:tabs>
          <w:tab w:val="right" w:leader="dot" w:pos="8505"/>
        </w:tabs>
      </w:pPr>
      <w:r>
        <w:rPr>
          <w:rFonts w:ascii="Times New Roman" w:hAnsi="Times New Roman" w:cs="Times New Roman"/>
        </w:rPr>
        <w:fldChar w:fldCharType="begin"/>
      </w:r>
      <w:r>
        <w:rPr>
          <w:rFonts w:ascii="Times New Roman" w:hAnsi="Times New Roman" w:cs="Times New Roman"/>
        </w:rPr>
        <w:instrText xml:space="preserve"> HYPERLINK \l _Toc6951 </w:instrText>
      </w:r>
      <w:r>
        <w:rPr>
          <w:rFonts w:ascii="Times New Roman" w:hAnsi="Times New Roman" w:cs="Times New Roman"/>
        </w:rPr>
        <w:fldChar w:fldCharType="separate"/>
      </w:r>
      <w:r>
        <w:rPr>
          <w:rFonts w:hint="eastAsia"/>
        </w:rPr>
        <w:t>10</w:t>
      </w:r>
      <w:r>
        <w:t>.2 环境质量现状评价结论</w:t>
      </w:r>
      <w:r>
        <w:tab/>
      </w:r>
      <w:r>
        <w:fldChar w:fldCharType="begin"/>
      </w:r>
      <w:r>
        <w:instrText xml:space="preserve"> PAGEREF _Toc6951 \h </w:instrText>
      </w:r>
      <w:r>
        <w:fldChar w:fldCharType="separate"/>
      </w:r>
      <w:r>
        <w:t>293</w:t>
      </w:r>
      <w:r>
        <w:fldChar w:fldCharType="end"/>
      </w:r>
      <w:r>
        <w:rPr>
          <w:rFonts w:ascii="Times New Roman" w:hAnsi="Times New Roman" w:cs="Times New Roman"/>
        </w:rPr>
        <w:fldChar w:fldCharType="end"/>
      </w:r>
    </w:p>
    <w:p w14:paraId="77083DBA">
      <w:pPr>
        <w:pStyle w:val="46"/>
        <w:tabs>
          <w:tab w:val="right" w:leader="dot" w:pos="8505"/>
        </w:tabs>
      </w:pPr>
      <w:r>
        <w:rPr>
          <w:rFonts w:ascii="Times New Roman" w:hAnsi="Times New Roman" w:cs="Times New Roman"/>
        </w:rPr>
        <w:fldChar w:fldCharType="begin"/>
      </w:r>
      <w:r>
        <w:rPr>
          <w:rFonts w:ascii="Times New Roman" w:hAnsi="Times New Roman" w:cs="Times New Roman"/>
        </w:rPr>
        <w:instrText xml:space="preserve"> HYPERLINK \l _Toc6965 </w:instrText>
      </w:r>
      <w:r>
        <w:rPr>
          <w:rFonts w:ascii="Times New Roman" w:hAnsi="Times New Roman" w:cs="Times New Roman"/>
        </w:rPr>
        <w:fldChar w:fldCharType="separate"/>
      </w:r>
      <w:r>
        <w:rPr>
          <w:rFonts w:hint="eastAsia"/>
        </w:rPr>
        <w:t>10</w:t>
      </w:r>
      <w:r>
        <w:t>.3 环境影响源及污染物排放情况结论</w:t>
      </w:r>
      <w:r>
        <w:tab/>
      </w:r>
      <w:r>
        <w:fldChar w:fldCharType="begin"/>
      </w:r>
      <w:r>
        <w:instrText xml:space="preserve"> PAGEREF _Toc6965 \h </w:instrText>
      </w:r>
      <w:r>
        <w:fldChar w:fldCharType="separate"/>
      </w:r>
      <w:r>
        <w:t>294</w:t>
      </w:r>
      <w:r>
        <w:fldChar w:fldCharType="end"/>
      </w:r>
      <w:r>
        <w:rPr>
          <w:rFonts w:ascii="Times New Roman" w:hAnsi="Times New Roman" w:cs="Times New Roman"/>
        </w:rPr>
        <w:fldChar w:fldCharType="end"/>
      </w:r>
    </w:p>
    <w:p w14:paraId="76DF39E5">
      <w:pPr>
        <w:pStyle w:val="30"/>
        <w:tabs>
          <w:tab w:val="right" w:leader="dot" w:pos="8505"/>
        </w:tabs>
      </w:pPr>
      <w:r>
        <w:rPr>
          <w:rFonts w:ascii="Times New Roman" w:hAnsi="Times New Roman" w:cs="Times New Roman"/>
        </w:rPr>
        <w:fldChar w:fldCharType="begin"/>
      </w:r>
      <w:r>
        <w:rPr>
          <w:rFonts w:ascii="Times New Roman" w:hAnsi="Times New Roman" w:cs="Times New Roman"/>
        </w:rPr>
        <w:instrText xml:space="preserve"> HYPERLINK \l _Toc5355 </w:instrText>
      </w:r>
      <w:r>
        <w:rPr>
          <w:rFonts w:ascii="Times New Roman" w:hAnsi="Times New Roman" w:cs="Times New Roman"/>
        </w:rPr>
        <w:fldChar w:fldCharType="separate"/>
      </w:r>
      <w:r>
        <w:rPr>
          <w:rFonts w:hint="eastAsia"/>
          <w:lang w:eastAsia="zh-CN"/>
        </w:rPr>
        <w:t>10</w:t>
      </w:r>
      <w:r>
        <w:t>.3.1 施工期污染物排放情况</w:t>
      </w:r>
      <w:r>
        <w:tab/>
      </w:r>
      <w:r>
        <w:fldChar w:fldCharType="begin"/>
      </w:r>
      <w:r>
        <w:instrText xml:space="preserve"> PAGEREF _Toc5355 \h </w:instrText>
      </w:r>
      <w:r>
        <w:fldChar w:fldCharType="separate"/>
      </w:r>
      <w:r>
        <w:t>294</w:t>
      </w:r>
      <w:r>
        <w:fldChar w:fldCharType="end"/>
      </w:r>
      <w:r>
        <w:rPr>
          <w:rFonts w:ascii="Times New Roman" w:hAnsi="Times New Roman" w:cs="Times New Roman"/>
        </w:rPr>
        <w:fldChar w:fldCharType="end"/>
      </w:r>
    </w:p>
    <w:p w14:paraId="28CFC65E">
      <w:pPr>
        <w:pStyle w:val="30"/>
        <w:tabs>
          <w:tab w:val="right" w:leader="dot" w:pos="8505"/>
        </w:tabs>
      </w:pPr>
      <w:r>
        <w:rPr>
          <w:rFonts w:ascii="Times New Roman" w:hAnsi="Times New Roman" w:cs="Times New Roman"/>
        </w:rPr>
        <w:fldChar w:fldCharType="begin"/>
      </w:r>
      <w:r>
        <w:rPr>
          <w:rFonts w:ascii="Times New Roman" w:hAnsi="Times New Roman" w:cs="Times New Roman"/>
        </w:rPr>
        <w:instrText xml:space="preserve"> HYPERLINK \l _Toc28249 </w:instrText>
      </w:r>
      <w:r>
        <w:rPr>
          <w:rFonts w:ascii="Times New Roman" w:hAnsi="Times New Roman" w:cs="Times New Roman"/>
        </w:rPr>
        <w:fldChar w:fldCharType="separate"/>
      </w:r>
      <w:r>
        <w:rPr>
          <w:rFonts w:hint="eastAsia"/>
          <w:lang w:eastAsia="zh-CN"/>
        </w:rPr>
        <w:t>10</w:t>
      </w:r>
      <w:r>
        <w:t>.3.2 营运期污染物排放情况</w:t>
      </w:r>
      <w:r>
        <w:tab/>
      </w:r>
      <w:r>
        <w:fldChar w:fldCharType="begin"/>
      </w:r>
      <w:r>
        <w:instrText xml:space="preserve"> PAGEREF _Toc28249 \h </w:instrText>
      </w:r>
      <w:r>
        <w:fldChar w:fldCharType="separate"/>
      </w:r>
      <w:r>
        <w:t>294</w:t>
      </w:r>
      <w:r>
        <w:fldChar w:fldCharType="end"/>
      </w:r>
      <w:r>
        <w:rPr>
          <w:rFonts w:ascii="Times New Roman" w:hAnsi="Times New Roman" w:cs="Times New Roman"/>
        </w:rPr>
        <w:fldChar w:fldCharType="end"/>
      </w:r>
    </w:p>
    <w:p w14:paraId="64CE69B9">
      <w:pPr>
        <w:pStyle w:val="46"/>
        <w:tabs>
          <w:tab w:val="right" w:leader="dot" w:pos="8505"/>
        </w:tabs>
      </w:pPr>
      <w:r>
        <w:rPr>
          <w:rFonts w:ascii="Times New Roman" w:hAnsi="Times New Roman" w:cs="Times New Roman"/>
        </w:rPr>
        <w:fldChar w:fldCharType="begin"/>
      </w:r>
      <w:r>
        <w:rPr>
          <w:rFonts w:ascii="Times New Roman" w:hAnsi="Times New Roman" w:cs="Times New Roman"/>
        </w:rPr>
        <w:instrText xml:space="preserve"> HYPERLINK \l _Toc12746 </w:instrText>
      </w:r>
      <w:r>
        <w:rPr>
          <w:rFonts w:ascii="Times New Roman" w:hAnsi="Times New Roman" w:cs="Times New Roman"/>
        </w:rPr>
        <w:fldChar w:fldCharType="separate"/>
      </w:r>
      <w:r>
        <w:rPr>
          <w:rFonts w:hint="eastAsia"/>
        </w:rPr>
        <w:t>10</w:t>
      </w:r>
      <w:r>
        <w:t>.4 环境影响预测评价结论</w:t>
      </w:r>
      <w:r>
        <w:tab/>
      </w:r>
      <w:r>
        <w:fldChar w:fldCharType="begin"/>
      </w:r>
      <w:r>
        <w:instrText xml:space="preserve"> PAGEREF _Toc12746 \h </w:instrText>
      </w:r>
      <w:r>
        <w:fldChar w:fldCharType="separate"/>
      </w:r>
      <w:r>
        <w:t>298</w:t>
      </w:r>
      <w:r>
        <w:fldChar w:fldCharType="end"/>
      </w:r>
      <w:r>
        <w:rPr>
          <w:rFonts w:ascii="Times New Roman" w:hAnsi="Times New Roman" w:cs="Times New Roman"/>
        </w:rPr>
        <w:fldChar w:fldCharType="end"/>
      </w:r>
    </w:p>
    <w:p w14:paraId="6BB8126B">
      <w:pPr>
        <w:pStyle w:val="46"/>
        <w:tabs>
          <w:tab w:val="right" w:leader="dot" w:pos="8505"/>
        </w:tabs>
      </w:pPr>
      <w:r>
        <w:rPr>
          <w:rFonts w:ascii="Times New Roman" w:hAnsi="Times New Roman" w:cs="Times New Roman"/>
        </w:rPr>
        <w:fldChar w:fldCharType="begin"/>
      </w:r>
      <w:r>
        <w:rPr>
          <w:rFonts w:ascii="Times New Roman" w:hAnsi="Times New Roman" w:cs="Times New Roman"/>
        </w:rPr>
        <w:instrText xml:space="preserve"> HYPERLINK \l _Toc19961 </w:instrText>
      </w:r>
      <w:r>
        <w:rPr>
          <w:rFonts w:ascii="Times New Roman" w:hAnsi="Times New Roman" w:cs="Times New Roman"/>
        </w:rPr>
        <w:fldChar w:fldCharType="separate"/>
      </w:r>
      <w:r>
        <w:rPr>
          <w:rFonts w:hint="eastAsia"/>
        </w:rPr>
        <w:t>10</w:t>
      </w:r>
      <w:r>
        <w:t>.5 环保措施可行性结论</w:t>
      </w:r>
      <w:r>
        <w:tab/>
      </w:r>
      <w:r>
        <w:fldChar w:fldCharType="begin"/>
      </w:r>
      <w:r>
        <w:instrText xml:space="preserve"> PAGEREF _Toc19961 \h </w:instrText>
      </w:r>
      <w:r>
        <w:fldChar w:fldCharType="separate"/>
      </w:r>
      <w:r>
        <w:t>300</w:t>
      </w:r>
      <w:r>
        <w:fldChar w:fldCharType="end"/>
      </w:r>
      <w:r>
        <w:rPr>
          <w:rFonts w:ascii="Times New Roman" w:hAnsi="Times New Roman" w:cs="Times New Roman"/>
        </w:rPr>
        <w:fldChar w:fldCharType="end"/>
      </w:r>
    </w:p>
    <w:p w14:paraId="100DF809">
      <w:pPr>
        <w:pStyle w:val="46"/>
        <w:tabs>
          <w:tab w:val="right" w:leader="dot" w:pos="8505"/>
        </w:tabs>
      </w:pPr>
      <w:r>
        <w:rPr>
          <w:rFonts w:ascii="Times New Roman" w:hAnsi="Times New Roman" w:cs="Times New Roman"/>
        </w:rPr>
        <w:fldChar w:fldCharType="begin"/>
      </w:r>
      <w:r>
        <w:rPr>
          <w:rFonts w:ascii="Times New Roman" w:hAnsi="Times New Roman" w:cs="Times New Roman"/>
        </w:rPr>
        <w:instrText xml:space="preserve"> HYPERLINK \l _Toc1236 </w:instrText>
      </w:r>
      <w:r>
        <w:rPr>
          <w:rFonts w:ascii="Times New Roman" w:hAnsi="Times New Roman" w:cs="Times New Roman"/>
        </w:rPr>
        <w:fldChar w:fldCharType="separate"/>
      </w:r>
      <w:r>
        <w:rPr>
          <w:rFonts w:hint="eastAsia"/>
        </w:rPr>
        <w:t>10</w:t>
      </w:r>
      <w:r>
        <w:t>.6 环境风险评价结论</w:t>
      </w:r>
      <w:r>
        <w:tab/>
      </w:r>
      <w:r>
        <w:fldChar w:fldCharType="begin"/>
      </w:r>
      <w:r>
        <w:instrText xml:space="preserve"> PAGEREF _Toc1236 \h </w:instrText>
      </w:r>
      <w:r>
        <w:fldChar w:fldCharType="separate"/>
      </w:r>
      <w:r>
        <w:t>302</w:t>
      </w:r>
      <w:r>
        <w:fldChar w:fldCharType="end"/>
      </w:r>
      <w:r>
        <w:rPr>
          <w:rFonts w:ascii="Times New Roman" w:hAnsi="Times New Roman" w:cs="Times New Roman"/>
        </w:rPr>
        <w:fldChar w:fldCharType="end"/>
      </w:r>
    </w:p>
    <w:p w14:paraId="3EEF8202">
      <w:pPr>
        <w:pStyle w:val="30"/>
        <w:tabs>
          <w:tab w:val="right" w:leader="dot" w:pos="8505"/>
        </w:tabs>
      </w:pPr>
      <w:r>
        <w:rPr>
          <w:rFonts w:ascii="Times New Roman" w:hAnsi="Times New Roman" w:cs="Times New Roman"/>
        </w:rPr>
        <w:fldChar w:fldCharType="begin"/>
      </w:r>
      <w:r>
        <w:rPr>
          <w:rFonts w:ascii="Times New Roman" w:hAnsi="Times New Roman" w:cs="Times New Roman"/>
        </w:rPr>
        <w:instrText xml:space="preserve"> HYPERLINK \l _Toc16702 </w:instrText>
      </w:r>
      <w:r>
        <w:rPr>
          <w:rFonts w:ascii="Times New Roman" w:hAnsi="Times New Roman" w:cs="Times New Roman"/>
        </w:rPr>
        <w:fldChar w:fldCharType="separate"/>
      </w:r>
      <w:r>
        <w:rPr>
          <w:rFonts w:hint="eastAsia"/>
          <w:lang w:eastAsia="zh-CN"/>
        </w:rPr>
        <w:t>10</w:t>
      </w:r>
      <w:r>
        <w:t>.6.1 项目危险因素</w:t>
      </w:r>
      <w:r>
        <w:tab/>
      </w:r>
      <w:r>
        <w:fldChar w:fldCharType="begin"/>
      </w:r>
      <w:r>
        <w:instrText xml:space="preserve"> PAGEREF _Toc16702 \h </w:instrText>
      </w:r>
      <w:r>
        <w:fldChar w:fldCharType="separate"/>
      </w:r>
      <w:r>
        <w:t>302</w:t>
      </w:r>
      <w:r>
        <w:fldChar w:fldCharType="end"/>
      </w:r>
      <w:r>
        <w:rPr>
          <w:rFonts w:ascii="Times New Roman" w:hAnsi="Times New Roman" w:cs="Times New Roman"/>
        </w:rPr>
        <w:fldChar w:fldCharType="end"/>
      </w:r>
    </w:p>
    <w:p w14:paraId="5E19A81A">
      <w:pPr>
        <w:pStyle w:val="30"/>
        <w:tabs>
          <w:tab w:val="right" w:leader="dot" w:pos="8505"/>
        </w:tabs>
      </w:pPr>
      <w:r>
        <w:rPr>
          <w:rFonts w:ascii="Times New Roman" w:hAnsi="Times New Roman" w:cs="Times New Roman"/>
        </w:rPr>
        <w:fldChar w:fldCharType="begin"/>
      </w:r>
      <w:r>
        <w:rPr>
          <w:rFonts w:ascii="Times New Roman" w:hAnsi="Times New Roman" w:cs="Times New Roman"/>
        </w:rPr>
        <w:instrText xml:space="preserve"> HYPERLINK \l _Toc8063 </w:instrText>
      </w:r>
      <w:r>
        <w:rPr>
          <w:rFonts w:ascii="Times New Roman" w:hAnsi="Times New Roman" w:cs="Times New Roman"/>
        </w:rPr>
        <w:fldChar w:fldCharType="separate"/>
      </w:r>
      <w:r>
        <w:rPr>
          <w:rFonts w:hint="eastAsia"/>
          <w:lang w:eastAsia="zh-CN"/>
        </w:rPr>
        <w:t>10</w:t>
      </w:r>
      <w:r>
        <w:rPr>
          <w:lang w:eastAsia="zh-CN"/>
        </w:rPr>
        <w:t>.6.2 环境风险防范措施和应急预案</w:t>
      </w:r>
      <w:r>
        <w:tab/>
      </w:r>
      <w:r>
        <w:fldChar w:fldCharType="begin"/>
      </w:r>
      <w:r>
        <w:instrText xml:space="preserve"> PAGEREF _Toc8063 \h </w:instrText>
      </w:r>
      <w:r>
        <w:fldChar w:fldCharType="separate"/>
      </w:r>
      <w:r>
        <w:t>302</w:t>
      </w:r>
      <w:r>
        <w:fldChar w:fldCharType="end"/>
      </w:r>
      <w:r>
        <w:rPr>
          <w:rFonts w:ascii="Times New Roman" w:hAnsi="Times New Roman" w:cs="Times New Roman"/>
        </w:rPr>
        <w:fldChar w:fldCharType="end"/>
      </w:r>
    </w:p>
    <w:p w14:paraId="6D68202B">
      <w:pPr>
        <w:pStyle w:val="30"/>
        <w:tabs>
          <w:tab w:val="right" w:leader="dot" w:pos="8505"/>
        </w:tabs>
      </w:pPr>
      <w:r>
        <w:rPr>
          <w:rFonts w:ascii="Times New Roman" w:hAnsi="Times New Roman" w:cs="Times New Roman"/>
        </w:rPr>
        <w:fldChar w:fldCharType="begin"/>
      </w:r>
      <w:r>
        <w:rPr>
          <w:rFonts w:ascii="Times New Roman" w:hAnsi="Times New Roman" w:cs="Times New Roman"/>
        </w:rPr>
        <w:instrText xml:space="preserve"> HYPERLINK \l _Toc26350 </w:instrText>
      </w:r>
      <w:r>
        <w:rPr>
          <w:rFonts w:ascii="Times New Roman" w:hAnsi="Times New Roman" w:cs="Times New Roman"/>
        </w:rPr>
        <w:fldChar w:fldCharType="separate"/>
      </w:r>
      <w:r>
        <w:rPr>
          <w:rFonts w:hint="eastAsia"/>
          <w:lang w:eastAsia="zh-CN"/>
        </w:rPr>
        <w:t>10</w:t>
      </w:r>
      <w:r>
        <w:t>.6.4 环境风险评价结论与建议</w:t>
      </w:r>
      <w:r>
        <w:tab/>
      </w:r>
      <w:r>
        <w:fldChar w:fldCharType="begin"/>
      </w:r>
      <w:r>
        <w:instrText xml:space="preserve"> PAGEREF _Toc26350 \h </w:instrText>
      </w:r>
      <w:r>
        <w:fldChar w:fldCharType="separate"/>
      </w:r>
      <w:r>
        <w:t>302</w:t>
      </w:r>
      <w:r>
        <w:fldChar w:fldCharType="end"/>
      </w:r>
      <w:r>
        <w:rPr>
          <w:rFonts w:ascii="Times New Roman" w:hAnsi="Times New Roman" w:cs="Times New Roman"/>
        </w:rPr>
        <w:fldChar w:fldCharType="end"/>
      </w:r>
    </w:p>
    <w:p w14:paraId="2F7F3383">
      <w:pPr>
        <w:pStyle w:val="46"/>
        <w:tabs>
          <w:tab w:val="right" w:leader="dot" w:pos="8505"/>
        </w:tabs>
      </w:pPr>
      <w:r>
        <w:rPr>
          <w:rFonts w:ascii="Times New Roman" w:hAnsi="Times New Roman" w:cs="Times New Roman"/>
        </w:rPr>
        <w:fldChar w:fldCharType="begin"/>
      </w:r>
      <w:r>
        <w:rPr>
          <w:rFonts w:ascii="Times New Roman" w:hAnsi="Times New Roman" w:cs="Times New Roman"/>
        </w:rPr>
        <w:instrText xml:space="preserve"> HYPERLINK \l _Toc21501 </w:instrText>
      </w:r>
      <w:r>
        <w:rPr>
          <w:rFonts w:ascii="Times New Roman" w:hAnsi="Times New Roman" w:cs="Times New Roman"/>
        </w:rPr>
        <w:fldChar w:fldCharType="separate"/>
      </w:r>
      <w:r>
        <w:rPr>
          <w:rFonts w:hint="eastAsia"/>
        </w:rPr>
        <w:t>10</w:t>
      </w:r>
      <w:r>
        <w:t xml:space="preserve">.7 </w:t>
      </w:r>
      <w:r>
        <w:rPr>
          <w:rFonts w:hint="eastAsia"/>
        </w:rPr>
        <w:t>公众参与</w:t>
      </w:r>
      <w:r>
        <w:t>结论</w:t>
      </w:r>
      <w:r>
        <w:tab/>
      </w:r>
      <w:r>
        <w:fldChar w:fldCharType="begin"/>
      </w:r>
      <w:r>
        <w:instrText xml:space="preserve"> PAGEREF _Toc21501 \h </w:instrText>
      </w:r>
      <w:r>
        <w:fldChar w:fldCharType="separate"/>
      </w:r>
      <w:r>
        <w:t>302</w:t>
      </w:r>
      <w:r>
        <w:fldChar w:fldCharType="end"/>
      </w:r>
      <w:r>
        <w:rPr>
          <w:rFonts w:ascii="Times New Roman" w:hAnsi="Times New Roman" w:cs="Times New Roman"/>
        </w:rPr>
        <w:fldChar w:fldCharType="end"/>
      </w:r>
    </w:p>
    <w:p w14:paraId="3206CB2E">
      <w:pPr>
        <w:pStyle w:val="46"/>
        <w:tabs>
          <w:tab w:val="right" w:leader="dot" w:pos="8505"/>
        </w:tabs>
      </w:pPr>
      <w:r>
        <w:rPr>
          <w:rFonts w:ascii="Times New Roman" w:hAnsi="Times New Roman" w:cs="Times New Roman"/>
        </w:rPr>
        <w:fldChar w:fldCharType="begin"/>
      </w:r>
      <w:r>
        <w:rPr>
          <w:rFonts w:ascii="Times New Roman" w:hAnsi="Times New Roman" w:cs="Times New Roman"/>
        </w:rPr>
        <w:instrText xml:space="preserve"> HYPERLINK \l _Toc17648 </w:instrText>
      </w:r>
      <w:r>
        <w:rPr>
          <w:rFonts w:ascii="Times New Roman" w:hAnsi="Times New Roman" w:cs="Times New Roman"/>
        </w:rPr>
        <w:fldChar w:fldCharType="separate"/>
      </w:r>
      <w:r>
        <w:rPr>
          <w:rFonts w:hint="eastAsia"/>
        </w:rPr>
        <w:t>10</w:t>
      </w:r>
      <w:r>
        <w:t>.8 环境影响经济损益分析结论</w:t>
      </w:r>
      <w:r>
        <w:tab/>
      </w:r>
      <w:r>
        <w:fldChar w:fldCharType="begin"/>
      </w:r>
      <w:r>
        <w:instrText xml:space="preserve"> PAGEREF _Toc17648 \h </w:instrText>
      </w:r>
      <w:r>
        <w:fldChar w:fldCharType="separate"/>
      </w:r>
      <w:r>
        <w:t>303</w:t>
      </w:r>
      <w:r>
        <w:fldChar w:fldCharType="end"/>
      </w:r>
      <w:r>
        <w:rPr>
          <w:rFonts w:ascii="Times New Roman" w:hAnsi="Times New Roman" w:cs="Times New Roman"/>
        </w:rPr>
        <w:fldChar w:fldCharType="end"/>
      </w:r>
    </w:p>
    <w:p w14:paraId="21F571F8">
      <w:pPr>
        <w:pStyle w:val="46"/>
        <w:tabs>
          <w:tab w:val="right" w:leader="dot" w:pos="8505"/>
        </w:tabs>
      </w:pPr>
      <w:r>
        <w:rPr>
          <w:rFonts w:ascii="Times New Roman" w:hAnsi="Times New Roman" w:cs="Times New Roman"/>
        </w:rPr>
        <w:fldChar w:fldCharType="begin"/>
      </w:r>
      <w:r>
        <w:rPr>
          <w:rFonts w:ascii="Times New Roman" w:hAnsi="Times New Roman" w:cs="Times New Roman"/>
        </w:rPr>
        <w:instrText xml:space="preserve"> HYPERLINK \l _Toc808 </w:instrText>
      </w:r>
      <w:r>
        <w:rPr>
          <w:rFonts w:ascii="Times New Roman" w:hAnsi="Times New Roman" w:cs="Times New Roman"/>
        </w:rPr>
        <w:fldChar w:fldCharType="separate"/>
      </w:r>
      <w:r>
        <w:rPr>
          <w:rFonts w:hint="eastAsia"/>
        </w:rPr>
        <w:t>10</w:t>
      </w:r>
      <w:r>
        <w:t>.9 环境管理与监测计划结论</w:t>
      </w:r>
      <w:r>
        <w:tab/>
      </w:r>
      <w:r>
        <w:fldChar w:fldCharType="begin"/>
      </w:r>
      <w:r>
        <w:instrText xml:space="preserve"> PAGEREF _Toc808 \h </w:instrText>
      </w:r>
      <w:r>
        <w:fldChar w:fldCharType="separate"/>
      </w:r>
      <w:r>
        <w:t>303</w:t>
      </w:r>
      <w:r>
        <w:fldChar w:fldCharType="end"/>
      </w:r>
      <w:r>
        <w:rPr>
          <w:rFonts w:ascii="Times New Roman" w:hAnsi="Times New Roman" w:cs="Times New Roman"/>
        </w:rPr>
        <w:fldChar w:fldCharType="end"/>
      </w:r>
    </w:p>
    <w:p w14:paraId="295AC6A4">
      <w:pPr>
        <w:pStyle w:val="46"/>
        <w:tabs>
          <w:tab w:val="right" w:leader="dot" w:pos="8505"/>
        </w:tabs>
      </w:pPr>
      <w:r>
        <w:rPr>
          <w:rFonts w:ascii="Times New Roman" w:hAnsi="Times New Roman" w:cs="Times New Roman"/>
        </w:rPr>
        <w:fldChar w:fldCharType="begin"/>
      </w:r>
      <w:r>
        <w:rPr>
          <w:rFonts w:ascii="Times New Roman" w:hAnsi="Times New Roman" w:cs="Times New Roman"/>
        </w:rPr>
        <w:instrText xml:space="preserve"> HYPERLINK \l _Toc10491 </w:instrText>
      </w:r>
      <w:r>
        <w:rPr>
          <w:rFonts w:ascii="Times New Roman" w:hAnsi="Times New Roman" w:cs="Times New Roman"/>
        </w:rPr>
        <w:fldChar w:fldCharType="separate"/>
      </w:r>
      <w:r>
        <w:rPr>
          <w:rFonts w:hint="eastAsia"/>
        </w:rPr>
        <w:t>10</w:t>
      </w:r>
      <w:r>
        <w:t>.10 可行性评价结论</w:t>
      </w:r>
      <w:r>
        <w:tab/>
      </w:r>
      <w:r>
        <w:fldChar w:fldCharType="begin"/>
      </w:r>
      <w:r>
        <w:instrText xml:space="preserve"> PAGEREF _Toc10491 \h </w:instrText>
      </w:r>
      <w:r>
        <w:fldChar w:fldCharType="separate"/>
      </w:r>
      <w:r>
        <w:t>303</w:t>
      </w:r>
      <w:r>
        <w:fldChar w:fldCharType="end"/>
      </w:r>
      <w:r>
        <w:rPr>
          <w:rFonts w:ascii="Times New Roman" w:hAnsi="Times New Roman" w:cs="Times New Roman"/>
        </w:rPr>
        <w:fldChar w:fldCharType="end"/>
      </w:r>
    </w:p>
    <w:p w14:paraId="55298F86">
      <w:pPr>
        <w:adjustRightInd w:val="0"/>
        <w:spacing w:line="300" w:lineRule="auto"/>
        <w:rPr>
          <w:rFonts w:ascii="Times New Roman" w:hAnsi="Times New Roman" w:cs="Times New Roman"/>
        </w:rPr>
      </w:pPr>
      <w:r>
        <w:rPr>
          <w:rFonts w:ascii="Times New Roman" w:hAnsi="Times New Roman" w:cs="Times New Roman"/>
        </w:rPr>
        <w:fldChar w:fldCharType="end"/>
      </w:r>
    </w:p>
    <w:p w14:paraId="43C88C14">
      <w:pPr>
        <w:ind w:right="6" w:firstLine="674" w:firstLineChars="321"/>
        <w:rPr>
          <w:rFonts w:ascii="Times New Roman" w:hAnsi="Times New Roman" w:cs="Times New Roman"/>
          <w:sz w:val="21"/>
          <w:szCs w:val="21"/>
        </w:rPr>
      </w:pPr>
    </w:p>
    <w:p w14:paraId="5C60F05F">
      <w:pPr>
        <w:ind w:right="6" w:firstLine="420"/>
        <w:rPr>
          <w:rFonts w:ascii="Times New Roman" w:hAnsi="Times New Roman" w:cs="Times New Roman"/>
        </w:rPr>
        <w:sectPr>
          <w:headerReference r:id="rId7" w:type="default"/>
          <w:footerReference r:id="rId8" w:type="default"/>
          <w:pgSz w:w="11907" w:h="16840"/>
          <w:pgMar w:top="1701" w:right="1701" w:bottom="1701" w:left="1701" w:header="851" w:footer="1077" w:gutter="0"/>
          <w:pgBorders w:offsetFrom="page">
            <w:top w:val="none" w:sz="0" w:space="0"/>
            <w:left w:val="none" w:sz="0" w:space="0"/>
            <w:bottom w:val="none" w:sz="0" w:space="0"/>
            <w:right w:val="none" w:sz="0" w:space="0"/>
          </w:pgBorders>
          <w:pgNumType w:fmt="upperRoman" w:start="1"/>
          <w:cols w:space="720" w:num="1"/>
          <w:docGrid w:type="lines" w:linePitch="479" w:charSpace="0"/>
        </w:sectPr>
      </w:pPr>
    </w:p>
    <w:p w14:paraId="4A773074">
      <w:pPr>
        <w:pStyle w:val="5"/>
      </w:pPr>
      <w:bookmarkStart w:id="0" w:name="_Toc90026100"/>
      <w:bookmarkStart w:id="1" w:name="_Toc22128"/>
      <w:r>
        <w:t>概述</w:t>
      </w:r>
      <w:bookmarkEnd w:id="0"/>
      <w:bookmarkEnd w:id="1"/>
    </w:p>
    <w:p w14:paraId="03B389B7">
      <w:pPr>
        <w:spacing w:line="500" w:lineRule="exact"/>
        <w:ind w:firstLine="482" w:firstLineChars="200"/>
        <w:rPr>
          <w:rFonts w:ascii="Times New Roman" w:hAnsi="Times New Roman" w:cs="Times New Roman"/>
          <w:b/>
        </w:rPr>
      </w:pPr>
      <w:r>
        <w:rPr>
          <w:rFonts w:ascii="Times New Roman" w:hAnsi="Times New Roman" w:cs="Times New Roman"/>
          <w:b/>
        </w:rPr>
        <w:t>（1）项目由来</w:t>
      </w:r>
    </w:p>
    <w:p w14:paraId="7620C420">
      <w:pPr>
        <w:spacing w:line="500" w:lineRule="exact"/>
        <w:ind w:firstLine="480" w:firstLineChars="200"/>
        <w:jc w:val="both"/>
        <w:rPr>
          <w:rFonts w:hint="default" w:ascii="Times New Roman" w:hAnsi="Times New Roman" w:eastAsia="宋体" w:cs="Times New Roman"/>
          <w:lang w:val="en-US" w:eastAsia="zh-CN"/>
        </w:rPr>
      </w:pPr>
      <w:r>
        <w:rPr>
          <w:rFonts w:hint="eastAsia" w:ascii="Times New Roman" w:hAnsi="Times New Roman" w:cs="Times New Roman"/>
          <w:lang w:eastAsia="zh-CN"/>
        </w:rPr>
        <w:t>本溪玉麒麟新材料有限公司</w:t>
      </w:r>
      <w:r>
        <w:rPr>
          <w:rFonts w:ascii="Times New Roman" w:hAnsi="Times New Roman" w:cs="Times New Roman"/>
        </w:rPr>
        <w:t>位于</w:t>
      </w:r>
      <w:r>
        <w:rPr>
          <w:rFonts w:hint="eastAsia" w:ascii="Times New Roman" w:hAnsi="Times New Roman" w:cs="Times New Roman"/>
          <w:lang w:val="en-US" w:eastAsia="zh-CN"/>
        </w:rPr>
        <w:t>本溪市本溪满族自治县草河口镇祁家堡村</w:t>
      </w:r>
      <w:r>
        <w:rPr>
          <w:rFonts w:hint="eastAsia" w:ascii="Times New Roman" w:hAnsi="Times New Roman" w:cs="Times New Roman"/>
        </w:rPr>
        <w:t>，</w:t>
      </w:r>
      <w:r>
        <w:rPr>
          <w:rFonts w:hint="eastAsia" w:ascii="Times New Roman" w:hAnsi="Times New Roman" w:cs="Times New Roman"/>
          <w:lang w:val="en-US" w:eastAsia="zh-CN"/>
        </w:rPr>
        <w:t>并于2019年2月收购了本溪市北方炼铁厂和本溪连铸曲轴有限公司，本溪玉麒麟新材料有限公司于2019年3月29日取得《关于同意本溪玉麒麟新材料有限公司适用本溪市北方炼铁厂和本溪连铸曲轴有限公司环评文件及批复的函》(本县环函[2019]7号)。公司设炼铁车间、烧结车间、竖炉车间和石灰窑车间等，以生产球墨铸造用生铁为主导产品。公司收购的“本溪市北方炼铁厂”于2011年取得《关于本溪市北方炼铁厂205m</w:t>
      </w:r>
      <w:r>
        <w:rPr>
          <w:rFonts w:hint="eastAsia" w:ascii="Times New Roman" w:hAnsi="Times New Roman" w:cs="Times New Roman"/>
          <w:vertAlign w:val="superscript"/>
          <w:lang w:val="en-US" w:eastAsia="zh-CN"/>
        </w:rPr>
        <w:t>3</w:t>
      </w:r>
      <w:r>
        <w:rPr>
          <w:rFonts w:hint="eastAsia" w:ascii="Times New Roman" w:hAnsi="Times New Roman" w:cs="Times New Roman"/>
          <w:lang w:val="en-US" w:eastAsia="zh-CN"/>
        </w:rPr>
        <w:t>炼铁高炉异地扩建改造项目环境影响报告书的批复》(本环建字[2011]18号)；2021年8年完成自主验收。公司收购的“本溪连铸曲轴有限公司”于2012年取得《关于本溪连铸曲轴有限公司烧结机改造及新上脱硫工艺项目环境影响报告书的批复》(本环建字[2012]26号)；2021年8年完成自主验收。本溪玉麒麟新材料有限公司于2020年，将厂区北侧现有白灰竖窑拆除，在厂区东侧新建1座200m</w:t>
      </w:r>
      <w:r>
        <w:rPr>
          <w:rFonts w:hint="eastAsia" w:ascii="Times New Roman" w:hAnsi="Times New Roman" w:cs="Times New Roman"/>
          <w:vertAlign w:val="superscript"/>
          <w:lang w:val="en-US" w:eastAsia="zh-CN"/>
        </w:rPr>
        <w:t>3</w:t>
      </w:r>
      <w:r>
        <w:rPr>
          <w:rFonts w:hint="eastAsia" w:ascii="Times New Roman" w:hAnsi="Times New Roman" w:cs="Times New Roman"/>
          <w:lang w:val="en-US" w:eastAsia="zh-CN"/>
        </w:rPr>
        <w:t>煤气节能环保白灰竖窑(以下简称“本项目”)，年产生石灰4.5万t。于2020年10月27日取得《关于本溪玉麒麟新材料有限公司煤气节能环保石灰窑项目环境影响评价报告表的批复》（本环建字[2020]30号）；2021年8年完成自主验收。</w:t>
      </w:r>
      <w:r>
        <w:rPr>
          <w:rFonts w:hint="eastAsia" w:ascii="Times New Roman" w:hAnsi="Times New Roman" w:eastAsia="宋体" w:cs="Times New Roman"/>
          <w:lang w:val="en-US" w:eastAsia="zh-CN"/>
        </w:rPr>
        <w:t>2019年11月08日首次申请排污许可证，排污许可证编号：91210521MA0YALYT39001R。</w:t>
      </w:r>
    </w:p>
    <w:p w14:paraId="05E9CEFB">
      <w:pPr>
        <w:spacing w:line="500" w:lineRule="exact"/>
        <w:ind w:firstLine="480" w:firstLineChars="200"/>
        <w:jc w:val="both"/>
        <w:rPr>
          <w:rFonts w:hint="default" w:ascii="Times New Roman" w:hAnsi="Times New Roman" w:cs="Times New Roman"/>
          <w:vertAlign w:val="baseline"/>
          <w:lang w:val="en-US"/>
        </w:rPr>
      </w:pPr>
      <w:r>
        <w:rPr>
          <w:rFonts w:hint="eastAsia" w:ascii="Times New Roman" w:hAnsi="Times New Roman" w:cs="Times New Roman"/>
          <w:lang w:val="en-US" w:eastAsia="zh-CN"/>
        </w:rPr>
        <w:t>本溪玉麒麟新材料有限公司现有90m</w:t>
      </w:r>
      <w:r>
        <w:rPr>
          <w:rFonts w:hint="eastAsia" w:ascii="Times New Roman" w:hAnsi="Times New Roman" w:cs="Times New Roman"/>
          <w:vertAlign w:val="superscript"/>
          <w:lang w:val="en-US" w:eastAsia="zh-CN"/>
        </w:rPr>
        <w:t>2</w:t>
      </w:r>
      <w:r>
        <w:rPr>
          <w:rFonts w:hint="eastAsia" w:ascii="Times New Roman" w:hAnsi="Times New Roman" w:cs="Times New Roman"/>
          <w:lang w:val="en-US" w:eastAsia="zh-CN"/>
        </w:rPr>
        <w:t>步进式烧结机1台，年产烧结矿66万吨；6m</w:t>
      </w:r>
      <w:r>
        <w:rPr>
          <w:rFonts w:hint="eastAsia" w:ascii="Times New Roman" w:hAnsi="Times New Roman" w:cs="Times New Roman"/>
          <w:vertAlign w:val="superscript"/>
          <w:lang w:val="en-US" w:eastAsia="zh-CN"/>
        </w:rPr>
        <w:t>2</w:t>
      </w:r>
      <w:r>
        <w:rPr>
          <w:rFonts w:hint="eastAsia" w:ascii="Times New Roman" w:hAnsi="Times New Roman" w:cs="Times New Roman"/>
          <w:vertAlign w:val="baseline"/>
          <w:lang w:val="en-US" w:eastAsia="zh-CN"/>
        </w:rPr>
        <w:t>环形竖炉3台，年产球团矿14.02万吨；205m</w:t>
      </w:r>
      <w:r>
        <w:rPr>
          <w:rFonts w:hint="eastAsia" w:ascii="Times New Roman" w:hAnsi="Times New Roman" w:cs="Times New Roman"/>
          <w:vertAlign w:val="superscript"/>
          <w:lang w:val="en-US" w:eastAsia="zh-CN"/>
        </w:rPr>
        <w:t>3</w:t>
      </w:r>
      <w:r>
        <w:rPr>
          <w:rFonts w:hint="eastAsia" w:ascii="Times New Roman" w:hAnsi="Times New Roman" w:cs="Times New Roman"/>
          <w:vertAlign w:val="baseline"/>
          <w:lang w:val="en-US" w:eastAsia="zh-CN"/>
        </w:rPr>
        <w:t>高炉1台，年产铸铁26万吨，铁水38.8万吨；石灰窑1座，年产生石灰5.1万吨。</w:t>
      </w:r>
    </w:p>
    <w:p w14:paraId="44BEAEBD">
      <w:pPr>
        <w:spacing w:line="500" w:lineRule="exact"/>
        <w:ind w:firstLine="480" w:firstLineChars="200"/>
        <w:jc w:val="both"/>
        <w:rPr>
          <w:rFonts w:ascii="Times New Roman" w:hAnsi="Times New Roman" w:cs="Times New Roman"/>
        </w:rPr>
      </w:pPr>
      <w:r>
        <w:rPr>
          <w:rFonts w:hint="eastAsia" w:ascii="Times New Roman" w:hAnsi="Times New Roman" w:cs="Times New Roman"/>
          <w:lang w:eastAsia="zh-CN"/>
        </w:rPr>
        <w:t>本溪玉麒麟新材料有限公司</w:t>
      </w:r>
      <w:r>
        <w:rPr>
          <w:rFonts w:hint="eastAsia" w:ascii="Times New Roman" w:hAnsi="Times New Roman" w:cs="Times New Roman"/>
        </w:rPr>
        <w:t>厂区占地总面积约</w:t>
      </w:r>
      <w:r>
        <w:rPr>
          <w:rFonts w:hint="eastAsia" w:ascii="Times New Roman" w:hAnsi="Times New Roman" w:cs="Times New Roman"/>
          <w:lang w:val="en-US" w:eastAsia="zh-CN"/>
        </w:rPr>
        <w:t>8.8</w:t>
      </w:r>
      <w:r>
        <w:rPr>
          <w:rFonts w:hint="eastAsia" w:ascii="Times New Roman" w:hAnsi="Times New Roman" w:cs="Times New Roman"/>
        </w:rPr>
        <w:t>万m</w:t>
      </w:r>
      <w:r>
        <w:rPr>
          <w:rFonts w:hint="eastAsia" w:ascii="Times New Roman" w:hAnsi="Times New Roman" w:cs="Times New Roman"/>
          <w:vertAlign w:val="superscript"/>
        </w:rPr>
        <w:t>2</w:t>
      </w:r>
      <w:r>
        <w:rPr>
          <w:rFonts w:hint="eastAsia" w:ascii="Times New Roman" w:hAnsi="Times New Roman" w:cs="Times New Roman"/>
        </w:rPr>
        <w:t>，办公楼、宿舍楼、食堂配套齐全，现有职工</w:t>
      </w:r>
      <w:r>
        <w:rPr>
          <w:rFonts w:ascii="Times New Roman" w:hAnsi="Times New Roman" w:cs="Times New Roman"/>
        </w:rPr>
        <w:t>5</w:t>
      </w:r>
      <w:r>
        <w:rPr>
          <w:rFonts w:hint="eastAsia" w:ascii="Times New Roman" w:hAnsi="Times New Roman" w:cs="Times New Roman"/>
        </w:rPr>
        <w:t>00余人。</w:t>
      </w:r>
    </w:p>
    <w:p w14:paraId="571FCA88">
      <w:pPr>
        <w:spacing w:line="500" w:lineRule="exact"/>
        <w:ind w:firstLine="480" w:firstLineChars="200"/>
        <w:jc w:val="both"/>
        <w:rPr>
          <w:rFonts w:hint="eastAsia" w:ascii="Times New Roman" w:hAnsi="Times New Roman" w:cs="Times New Roman"/>
        </w:rPr>
        <w:sectPr>
          <w:headerReference r:id="rId9" w:type="default"/>
          <w:footerReference r:id="rId10" w:type="default"/>
          <w:footerReference r:id="rId11" w:type="even"/>
          <w:pgSz w:w="11907" w:h="16840"/>
          <w:pgMar w:top="1701" w:right="1701" w:bottom="1701" w:left="1701" w:header="851" w:footer="1077" w:gutter="0"/>
          <w:pgBorders w:offsetFrom="page">
            <w:top w:val="none" w:sz="0" w:space="0"/>
            <w:left w:val="none" w:sz="0" w:space="0"/>
            <w:bottom w:val="none" w:sz="0" w:space="0"/>
            <w:right w:val="none" w:sz="0" w:space="0"/>
          </w:pgBorders>
          <w:pgNumType w:fmt="decimal" w:start="1"/>
          <w:cols w:space="720" w:num="1"/>
          <w:docGrid w:type="lines" w:linePitch="479" w:charSpace="0"/>
        </w:sectPr>
      </w:pPr>
    </w:p>
    <w:p w14:paraId="7FB12487">
      <w:pPr>
        <w:spacing w:line="500" w:lineRule="exact"/>
        <w:ind w:firstLine="480" w:firstLineChars="200"/>
        <w:jc w:val="both"/>
        <w:rPr>
          <w:rFonts w:hint="eastAsia" w:ascii="Times New Roman" w:hAnsi="Times New Roman" w:cs="Times New Roman"/>
        </w:rPr>
      </w:pPr>
      <w:r>
        <w:rPr>
          <w:rFonts w:hint="eastAsia" w:ascii="Times New Roman" w:hAnsi="Times New Roman" w:cs="Times New Roman"/>
        </w:rPr>
        <w:t>为提升产品质量和市场竞争力，使本溪玉麒麟新材料有限公司实现现代化生产和可持续发展，增加公司经济效益，降低环境负担，本溪玉麒麟新材料有限公司拟投资</w:t>
      </w:r>
      <w:r>
        <w:rPr>
          <w:rFonts w:hint="eastAsia" w:ascii="Times New Roman" w:hAnsi="Times New Roman" w:cs="Times New Roman"/>
          <w:lang w:val="en-US" w:eastAsia="zh-CN"/>
        </w:rPr>
        <w:t>8337</w:t>
      </w:r>
      <w:r>
        <w:rPr>
          <w:rFonts w:hint="eastAsia" w:ascii="Times New Roman" w:hAnsi="Times New Roman" w:cs="Times New Roman"/>
        </w:rPr>
        <w:t>万元人民币，</w:t>
      </w:r>
      <w:r>
        <w:rPr>
          <w:rFonts w:hint="eastAsia" w:ascii="Times New Roman" w:hAnsi="Times New Roman" w:cs="Times New Roman"/>
          <w:lang w:eastAsia="zh-CN"/>
        </w:rPr>
        <w:t>本溪玉麒麟新材料有限公司</w:t>
      </w:r>
      <w:r>
        <w:rPr>
          <w:rFonts w:hint="eastAsia" w:ascii="Times New Roman" w:hAnsi="Times New Roman" w:cs="Times New Roman"/>
        </w:rPr>
        <w:t>进行节能环保改造工程，主要改造内容包括：</w:t>
      </w:r>
      <w:r>
        <w:rPr>
          <w:rFonts w:hint="eastAsia" w:ascii="Times New Roman" w:hAnsi="Times New Roman" w:eastAsia="宋体" w:cs="Times New Roman"/>
        </w:rPr>
        <w:t>烧结机升级改造</w:t>
      </w:r>
      <w:r>
        <w:rPr>
          <w:rFonts w:hint="eastAsia" w:ascii="Times New Roman" w:hAnsi="Times New Roman" w:eastAsia="宋体" w:cs="Times New Roman"/>
          <w:lang w:eastAsia="zh-CN"/>
        </w:rPr>
        <w:t>，</w:t>
      </w:r>
      <w:r>
        <w:rPr>
          <w:rFonts w:hint="eastAsia" w:ascii="Times New Roman" w:hAnsi="Times New Roman" w:eastAsia="宋体" w:cs="Times New Roman"/>
          <w:lang w:val="en-US" w:eastAsia="zh-CN"/>
        </w:rPr>
        <w:t>拆除原步进式烧结机，改建为带式烧结机，升级</w:t>
      </w:r>
      <w:r>
        <w:rPr>
          <w:rFonts w:hint="eastAsia" w:ascii="Times New Roman" w:hAnsi="Times New Roman" w:eastAsia="宋体" w:cs="Times New Roman"/>
        </w:rPr>
        <w:t>环冷机烟气治理工程</w:t>
      </w:r>
      <w:r>
        <w:rPr>
          <w:rFonts w:hint="eastAsia" w:ascii="Times New Roman" w:hAnsi="Times New Roman" w:eastAsia="宋体" w:cs="Times New Roman"/>
          <w:lang w:eastAsia="zh-CN"/>
        </w:rPr>
        <w:t>，</w:t>
      </w:r>
      <w:r>
        <w:rPr>
          <w:rFonts w:hint="eastAsia" w:ascii="Times New Roman" w:hAnsi="Times New Roman" w:eastAsia="宋体" w:cs="Times New Roman"/>
        </w:rPr>
        <w:t>白灰窑除尘器系统改造及各部封堵，安装湿法除尘器，新建烧结脱硝系统，烧结脱硫改造工程，新建焦炭上料系统。烧结多管除尘器改造高效电除尘器及其他除尘器改造。利用原有厂房、框架及部分设备利旧，拆除6.3平3座圆形竖炉，技改新建12平方米圆形竖炉及配套竖冷器、链篦机、2个球团成品矿仓等设施，同步实施土建施工、电气控制系统升级、安全防护设施。</w:t>
      </w:r>
      <w:r>
        <w:rPr>
          <w:rFonts w:hint="eastAsia" w:ascii="Times New Roman" w:hAnsi="Times New Roman" w:eastAsia="宋体" w:cs="Times New Roman"/>
          <w:lang w:val="en-US" w:eastAsia="zh-CN"/>
        </w:rPr>
        <w:t>本次技改</w:t>
      </w:r>
      <w:r>
        <w:rPr>
          <w:rFonts w:hint="eastAsia" w:ascii="Times New Roman" w:hAnsi="Times New Roman" w:eastAsia="宋体" w:cs="Times New Roman"/>
        </w:rPr>
        <w:t>总产能不增加</w:t>
      </w:r>
      <w:r>
        <w:rPr>
          <w:rFonts w:hint="eastAsia" w:ascii="Times New Roman" w:hAnsi="Times New Roman" w:eastAsia="宋体" w:cs="Times New Roman"/>
          <w:lang w:eastAsia="zh-CN"/>
        </w:rPr>
        <w:t>。</w:t>
      </w:r>
      <w:r>
        <w:rPr>
          <w:rFonts w:hint="eastAsia" w:ascii="Times New Roman" w:hAnsi="Times New Roman" w:eastAsia="宋体" w:cs="Times New Roman"/>
          <w:lang w:val="en-US" w:eastAsia="zh-CN"/>
        </w:rPr>
        <w:t>同时减少烧结机烟气处理排放量约390000立方米每小时。预计烧结机改造后，烟气治理系统电除尘、脱硫、脱硝等达标排放。</w:t>
      </w:r>
    </w:p>
    <w:p w14:paraId="1747B0AB">
      <w:pPr>
        <w:spacing w:line="500" w:lineRule="exact"/>
        <w:ind w:firstLine="480" w:firstLineChars="200"/>
        <w:jc w:val="both"/>
        <w:rPr>
          <w:rFonts w:hint="default" w:ascii="Times New Roman" w:hAnsi="Times New Roman" w:eastAsia="宋体" w:cs="Times New Roman"/>
          <w:lang w:val="en-US" w:eastAsia="zh-CN"/>
        </w:rPr>
      </w:pPr>
      <w:r>
        <w:rPr>
          <w:rFonts w:hint="eastAsia" w:ascii="Times New Roman" w:hAnsi="Times New Roman" w:cs="Times New Roman"/>
          <w:lang w:val="en-US" w:eastAsia="zh-CN"/>
        </w:rPr>
        <w:t>本溪满族自治县工业和信息化局于2026年03月13日为本项目出具了备案证明，关于《本溪玉麒麟新材料有限公司超低排放技改项目》项目备案证明（本投备字(2026)1号），项目代码:2603-210521-04-02-185652。</w:t>
      </w:r>
    </w:p>
    <w:p w14:paraId="2622B048">
      <w:pPr>
        <w:spacing w:line="500" w:lineRule="exact"/>
        <w:ind w:firstLine="480" w:firstLineChars="200"/>
        <w:jc w:val="both"/>
        <w:rPr>
          <w:rFonts w:hint="eastAsia" w:ascii="Times New Roman" w:hAnsi="Times New Roman" w:cs="Times New Roman"/>
        </w:rPr>
      </w:pPr>
      <w:r>
        <w:rPr>
          <w:rFonts w:ascii="Times New Roman" w:hAnsi="Times New Roman" w:cs="Times New Roman"/>
        </w:rPr>
        <w:t>根据中华人民共和国国务院</w:t>
      </w:r>
      <w:r>
        <w:rPr>
          <w:rFonts w:hint="eastAsia" w:ascii="Times New Roman" w:hAnsi="Times New Roman" w:cs="Times New Roman"/>
        </w:rPr>
        <w:t>2017年</w:t>
      </w:r>
      <w:r>
        <w:rPr>
          <w:rFonts w:ascii="Times New Roman" w:hAnsi="Times New Roman" w:cs="Times New Roman"/>
        </w:rPr>
        <w:t>第682号令《建设项目环境保护管理条例》中有关要求及《中华人民共和国环境影响评价法》的规定，</w:t>
      </w:r>
      <w:r>
        <w:rPr>
          <w:rFonts w:hint="eastAsia" w:ascii="Times New Roman" w:hAnsi="Times New Roman" w:cs="Times New Roman"/>
          <w:lang w:eastAsia="zh-CN"/>
        </w:rPr>
        <w:t>本溪玉麒麟新材料有限公司</w:t>
      </w:r>
      <w:r>
        <w:rPr>
          <w:rFonts w:ascii="Times New Roman" w:hAnsi="Times New Roman" w:cs="Times New Roman"/>
        </w:rPr>
        <w:t>委托我公司承担本项目的环境影响评价工作。我公司接受委托后，进行了细致的现场踏勘和调研，对相关情况进行了全面调查。在资料收集统计、工程分析、环境影响分析的基础上，根据环境影响评价技术导则和相关规范完成了本项目环境影响报告书的编制工作。</w:t>
      </w:r>
    </w:p>
    <w:p w14:paraId="78A5F1F0">
      <w:pPr>
        <w:spacing w:line="500" w:lineRule="exact"/>
        <w:ind w:firstLine="482" w:firstLineChars="200"/>
        <w:rPr>
          <w:rFonts w:ascii="Times New Roman" w:hAnsi="Times New Roman" w:cs="Times New Roman"/>
          <w:b/>
        </w:rPr>
      </w:pPr>
      <w:r>
        <w:rPr>
          <w:rFonts w:ascii="Times New Roman" w:hAnsi="Times New Roman" w:cs="Times New Roman"/>
          <w:b/>
        </w:rPr>
        <w:t>（2）项目特点</w:t>
      </w:r>
    </w:p>
    <w:p w14:paraId="76501A14">
      <w:pPr>
        <w:spacing w:line="500" w:lineRule="exact"/>
        <w:ind w:firstLine="480" w:firstLineChars="200"/>
        <w:rPr>
          <w:rFonts w:hint="eastAsia" w:ascii="Times New Roman" w:hAnsi="Times New Roman" w:eastAsia="宋体" w:cs="Times New Roman"/>
          <w:lang w:val="en-US" w:eastAsia="zh-CN"/>
        </w:rPr>
      </w:pPr>
      <w:r>
        <w:rPr>
          <w:rFonts w:ascii="Times New Roman" w:hAnsi="Times New Roman" w:cs="Times New Roman"/>
        </w:rPr>
        <w:t>本项目为</w:t>
      </w:r>
      <w:r>
        <w:rPr>
          <w:rFonts w:hint="eastAsia" w:ascii="Times New Roman" w:hAnsi="Times New Roman" w:cs="Times New Roman"/>
        </w:rPr>
        <w:t>技术改造</w:t>
      </w:r>
      <w:r>
        <w:rPr>
          <w:rFonts w:ascii="Times New Roman" w:hAnsi="Times New Roman" w:cs="Times New Roman"/>
        </w:rPr>
        <w:t>项目，根据《国民经济行业分类》（GB/T4754-2017，2019年修订），属于C</w:t>
      </w:r>
      <w:r>
        <w:rPr>
          <w:rFonts w:hint="eastAsia" w:ascii="Times New Roman" w:hAnsi="Times New Roman" w:cs="Times New Roman"/>
        </w:rPr>
        <w:t>3110</w:t>
      </w:r>
      <w:r>
        <w:rPr>
          <w:rFonts w:ascii="Times New Roman" w:hAnsi="Times New Roman" w:cs="Times New Roman"/>
        </w:rPr>
        <w:t>“</w:t>
      </w:r>
      <w:r>
        <w:rPr>
          <w:rFonts w:hint="eastAsia" w:ascii="Times New Roman" w:hAnsi="Times New Roman" w:cs="Times New Roman"/>
        </w:rPr>
        <w:t>炼</w:t>
      </w:r>
      <w:r>
        <w:rPr>
          <w:rFonts w:hint="eastAsia" w:ascii="Times New Roman" w:hAnsi="Times New Roman" w:cs="Times New Roman"/>
          <w:lang w:val="en-US" w:eastAsia="zh-CN"/>
        </w:rPr>
        <w:t>铁</w:t>
      </w:r>
      <w:r>
        <w:rPr>
          <w:rFonts w:ascii="Times New Roman" w:hAnsi="Times New Roman" w:cs="Times New Roman"/>
        </w:rPr>
        <w:t>”。根据《建设项目环境影响评价分类管理名录》</w:t>
      </w:r>
      <w:r>
        <w:rPr>
          <w:rFonts w:hint="eastAsia" w:ascii="Times New Roman" w:hAnsi="Times New Roman" w:cs="Times New Roman"/>
        </w:rPr>
        <w:t>（2</w:t>
      </w:r>
      <w:r>
        <w:rPr>
          <w:rFonts w:ascii="Times New Roman" w:hAnsi="Times New Roman" w:cs="Times New Roman"/>
        </w:rPr>
        <w:t>021</w:t>
      </w:r>
      <w:r>
        <w:rPr>
          <w:rFonts w:hint="eastAsia" w:ascii="Times New Roman" w:hAnsi="Times New Roman" w:cs="Times New Roman"/>
        </w:rPr>
        <w:t>年版）</w:t>
      </w:r>
      <w:r>
        <w:rPr>
          <w:rFonts w:ascii="Times New Roman" w:hAnsi="Times New Roman" w:cs="Times New Roman"/>
        </w:rPr>
        <w:t>，本项目属于“黑色金属冶炼和压延加工业”中的“</w:t>
      </w:r>
      <w:r>
        <w:rPr>
          <w:rFonts w:hint="eastAsia" w:ascii="Times New Roman" w:hAnsi="Times New Roman" w:cs="Times New Roman"/>
        </w:rPr>
        <w:t>炼</w:t>
      </w:r>
      <w:r>
        <w:rPr>
          <w:rFonts w:hint="eastAsia" w:ascii="Times New Roman" w:hAnsi="Times New Roman" w:cs="Times New Roman"/>
          <w:lang w:val="en-US" w:eastAsia="zh-CN"/>
        </w:rPr>
        <w:t>铁</w:t>
      </w:r>
      <w:r>
        <w:rPr>
          <w:rFonts w:ascii="Times New Roman" w:hAnsi="Times New Roman" w:cs="Times New Roman"/>
        </w:rPr>
        <w:t>”，应编制环境影响报告书。</w:t>
      </w:r>
      <w:r>
        <w:rPr>
          <w:rFonts w:hint="eastAsia" w:ascii="Times New Roman" w:hAnsi="Times New Roman" w:cs="Times New Roman"/>
          <w:lang w:val="en-US" w:eastAsia="zh-CN"/>
        </w:rPr>
        <w:t xml:space="preserve"> </w:t>
      </w:r>
    </w:p>
    <w:p w14:paraId="01E5769B">
      <w:pPr>
        <w:pStyle w:val="19"/>
        <w:spacing w:line="500" w:lineRule="exact"/>
        <w:ind w:firstLine="480"/>
        <w:jc w:val="both"/>
        <w:rPr>
          <w:sz w:val="24"/>
          <w:szCs w:val="24"/>
        </w:rPr>
      </w:pPr>
      <w:r>
        <w:rPr>
          <w:rFonts w:hint="eastAsia"/>
          <w:sz w:val="24"/>
          <w:szCs w:val="24"/>
        </w:rPr>
        <w:t>本项目位于</w:t>
      </w:r>
      <w:r>
        <w:rPr>
          <w:sz w:val="24"/>
          <w:szCs w:val="24"/>
        </w:rPr>
        <w:t>辽宁省</w:t>
      </w:r>
      <w:r>
        <w:rPr>
          <w:rFonts w:hint="eastAsia"/>
          <w:sz w:val="24"/>
          <w:szCs w:val="24"/>
        </w:rPr>
        <w:t>本溪市本溪满族自治县草河口镇祁家堡村</w:t>
      </w:r>
      <w:r>
        <w:rPr>
          <w:rFonts w:hint="eastAsia"/>
          <w:sz w:val="24"/>
          <w:szCs w:val="24"/>
          <w:lang w:eastAsia="zh-CN"/>
        </w:rPr>
        <w:t>本溪玉麒麟新材料有限公司</w:t>
      </w:r>
      <w:r>
        <w:rPr>
          <w:rFonts w:hint="eastAsia"/>
          <w:sz w:val="24"/>
          <w:szCs w:val="24"/>
        </w:rPr>
        <w:t>厂区内</w:t>
      </w:r>
      <w:r>
        <w:rPr>
          <w:sz w:val="24"/>
          <w:szCs w:val="24"/>
        </w:rPr>
        <w:t>，</w:t>
      </w:r>
      <w:r>
        <w:rPr>
          <w:rFonts w:hint="eastAsia"/>
          <w:sz w:val="24"/>
          <w:szCs w:val="24"/>
        </w:rPr>
        <w:t>不新增全厂用地</w:t>
      </w:r>
      <w:r>
        <w:rPr>
          <w:sz w:val="24"/>
          <w:szCs w:val="24"/>
        </w:rPr>
        <w:t>。本项目没有位于自然保护区、风景名胜区、饮用水水源保护区和其他需要特别保护的区域范围内，满足生态功能区保护要求。</w:t>
      </w:r>
    </w:p>
    <w:p w14:paraId="6E232892">
      <w:pPr>
        <w:spacing w:line="500" w:lineRule="exact"/>
        <w:ind w:firstLine="482" w:firstLineChars="200"/>
        <w:rPr>
          <w:rFonts w:ascii="Times New Roman" w:hAnsi="Times New Roman" w:cs="Times New Roman"/>
          <w:b/>
        </w:rPr>
      </w:pPr>
      <w:r>
        <w:rPr>
          <w:rFonts w:ascii="Times New Roman" w:hAnsi="Times New Roman" w:cs="Times New Roman"/>
          <w:b/>
        </w:rPr>
        <w:t>（3）分析判定相关情况</w:t>
      </w:r>
    </w:p>
    <w:p w14:paraId="6E59712B">
      <w:pPr>
        <w:pStyle w:val="19"/>
        <w:spacing w:line="500" w:lineRule="exact"/>
        <w:ind w:firstLine="480"/>
        <w:rPr>
          <w:sz w:val="24"/>
          <w:szCs w:val="24"/>
        </w:rPr>
      </w:pPr>
      <w:r>
        <w:rPr>
          <w:sz w:val="24"/>
          <w:szCs w:val="24"/>
        </w:rPr>
        <w:t>本项目为</w:t>
      </w:r>
      <w:r>
        <w:rPr>
          <w:rFonts w:hint="eastAsia"/>
          <w:sz w:val="24"/>
          <w:szCs w:val="24"/>
          <w:lang w:val="en-US" w:eastAsia="zh-CN"/>
        </w:rPr>
        <w:t>烧结机、竖炉及环保设备</w:t>
      </w:r>
      <w:r>
        <w:rPr>
          <w:rFonts w:hint="eastAsia"/>
          <w:sz w:val="24"/>
          <w:szCs w:val="24"/>
        </w:rPr>
        <w:t>技术改造</w:t>
      </w:r>
      <w:r>
        <w:rPr>
          <w:sz w:val="24"/>
          <w:szCs w:val="24"/>
        </w:rPr>
        <w:t>项目，根据《产业结构调整指导目录（20</w:t>
      </w:r>
      <w:r>
        <w:rPr>
          <w:rFonts w:hint="eastAsia"/>
          <w:sz w:val="24"/>
          <w:szCs w:val="24"/>
          <w:lang w:val="en-US" w:eastAsia="zh-CN"/>
        </w:rPr>
        <w:t>24</w:t>
      </w:r>
      <w:r>
        <w:rPr>
          <w:sz w:val="24"/>
          <w:szCs w:val="24"/>
        </w:rPr>
        <w:t>年本）》，本项目采用</w:t>
      </w:r>
      <w:r>
        <w:rPr>
          <w:rFonts w:hint="eastAsia"/>
          <w:sz w:val="24"/>
          <w:szCs w:val="24"/>
        </w:rPr>
        <w:t>的</w:t>
      </w:r>
      <w:r>
        <w:rPr>
          <w:rFonts w:hint="eastAsia"/>
          <w:sz w:val="24"/>
          <w:szCs w:val="24"/>
          <w:lang w:val="en-US" w:eastAsia="zh-CN"/>
        </w:rPr>
        <w:t>带式烧结机、12m</w:t>
      </w:r>
      <w:r>
        <w:rPr>
          <w:rFonts w:hint="eastAsia"/>
          <w:sz w:val="24"/>
          <w:szCs w:val="24"/>
          <w:vertAlign w:val="superscript"/>
          <w:lang w:val="en-US" w:eastAsia="zh-CN"/>
        </w:rPr>
        <w:t>2</w:t>
      </w:r>
      <w:r>
        <w:rPr>
          <w:rFonts w:hint="eastAsia"/>
          <w:sz w:val="24"/>
          <w:szCs w:val="24"/>
          <w:vertAlign w:val="baseline"/>
          <w:lang w:val="en-US" w:eastAsia="zh-CN"/>
        </w:rPr>
        <w:t>竖炉</w:t>
      </w:r>
      <w:r>
        <w:rPr>
          <w:sz w:val="24"/>
          <w:szCs w:val="24"/>
        </w:rPr>
        <w:t>不属于“鼓励类”、“限制类”和“淘汰类”，项目建设内容为允许类，符合国家产业政策要求。</w:t>
      </w:r>
    </w:p>
    <w:p w14:paraId="741AC272">
      <w:pPr>
        <w:pStyle w:val="19"/>
        <w:spacing w:line="500" w:lineRule="exact"/>
        <w:ind w:firstLine="480"/>
        <w:rPr>
          <w:sz w:val="24"/>
          <w:szCs w:val="24"/>
        </w:rPr>
      </w:pPr>
      <w:r>
        <w:rPr>
          <w:sz w:val="24"/>
          <w:szCs w:val="24"/>
        </w:rPr>
        <w:t>本项目位于</w:t>
      </w:r>
      <w:r>
        <w:rPr>
          <w:rFonts w:hint="eastAsia"/>
          <w:sz w:val="24"/>
          <w:szCs w:val="24"/>
        </w:rPr>
        <w:t>辽宁省本溪市本溪满族自治县草河口镇祁家堡村</w:t>
      </w:r>
      <w:r>
        <w:rPr>
          <w:rFonts w:hint="eastAsia"/>
          <w:sz w:val="24"/>
          <w:szCs w:val="24"/>
          <w:lang w:eastAsia="zh-CN"/>
        </w:rPr>
        <w:t>本溪玉麒麟新材料有限公司</w:t>
      </w:r>
      <w:r>
        <w:rPr>
          <w:rFonts w:hint="eastAsia"/>
          <w:sz w:val="24"/>
          <w:szCs w:val="24"/>
        </w:rPr>
        <w:t>厂区内</w:t>
      </w:r>
      <w:r>
        <w:rPr>
          <w:sz w:val="24"/>
          <w:szCs w:val="24"/>
        </w:rPr>
        <w:t>，用地性质为工业用地</w:t>
      </w:r>
      <w:r>
        <w:rPr>
          <w:rFonts w:hint="eastAsia"/>
          <w:sz w:val="24"/>
          <w:szCs w:val="24"/>
        </w:rPr>
        <w:t>、</w:t>
      </w:r>
      <w:r>
        <w:rPr>
          <w:sz w:val="24"/>
          <w:szCs w:val="24"/>
        </w:rPr>
        <w:t>符合</w:t>
      </w:r>
      <w:r>
        <w:rPr>
          <w:rFonts w:hint="eastAsia"/>
          <w:sz w:val="24"/>
          <w:szCs w:val="24"/>
        </w:rPr>
        <w:t>本溪满族自治县草河口镇</w:t>
      </w:r>
      <w:r>
        <w:rPr>
          <w:sz w:val="24"/>
          <w:szCs w:val="24"/>
        </w:rPr>
        <w:t>用地规划和产业</w:t>
      </w:r>
      <w:r>
        <w:rPr>
          <w:rFonts w:hint="eastAsia"/>
          <w:sz w:val="24"/>
          <w:szCs w:val="24"/>
        </w:rPr>
        <w:t>定位</w:t>
      </w:r>
      <w:r>
        <w:rPr>
          <w:sz w:val="24"/>
          <w:szCs w:val="24"/>
        </w:rPr>
        <w:t>要求。</w:t>
      </w:r>
    </w:p>
    <w:p w14:paraId="76C77D94">
      <w:pPr>
        <w:spacing w:line="500" w:lineRule="exact"/>
        <w:ind w:firstLine="482" w:firstLineChars="200"/>
        <w:rPr>
          <w:rFonts w:ascii="Times New Roman" w:hAnsi="Times New Roman" w:cs="Times New Roman"/>
          <w:b/>
        </w:rPr>
      </w:pPr>
      <w:r>
        <w:rPr>
          <w:rFonts w:ascii="Times New Roman" w:hAnsi="Times New Roman" w:cs="Times New Roman"/>
          <w:b/>
        </w:rPr>
        <w:t>（4）关注的主要环境问题及环境影响</w:t>
      </w:r>
    </w:p>
    <w:p w14:paraId="091B1AF4">
      <w:pPr>
        <w:spacing w:line="500" w:lineRule="exact"/>
        <w:ind w:firstLine="480" w:firstLineChars="200"/>
        <w:rPr>
          <w:rFonts w:hint="eastAsia" w:ascii="Times New Roman" w:hAnsi="Times New Roman" w:cs="Times New Roman"/>
        </w:rPr>
      </w:pPr>
      <w:r>
        <w:rPr>
          <w:rFonts w:ascii="Times New Roman" w:hAnsi="Times New Roman" w:cs="Times New Roman"/>
        </w:rPr>
        <w:t>通过工程分析及现场勘查与调研，本项目可能产生的环境问题</w:t>
      </w:r>
      <w:r>
        <w:rPr>
          <w:rFonts w:hint="eastAsia" w:ascii="Times New Roman" w:hAnsi="Times New Roman" w:cs="Times New Roman"/>
        </w:rPr>
        <w:t>分</w:t>
      </w:r>
      <w:r>
        <w:rPr>
          <w:rFonts w:ascii="Times New Roman" w:hAnsi="Times New Roman" w:cs="Times New Roman"/>
        </w:rPr>
        <w:t>为</w:t>
      </w:r>
      <w:r>
        <w:rPr>
          <w:rFonts w:hint="eastAsia" w:ascii="Times New Roman" w:hAnsi="Times New Roman" w:cs="Times New Roman"/>
        </w:rPr>
        <w:t>施工期和</w:t>
      </w:r>
      <w:r>
        <w:rPr>
          <w:rFonts w:ascii="Times New Roman" w:hAnsi="Times New Roman" w:cs="Times New Roman"/>
        </w:rPr>
        <w:t>运营期。</w:t>
      </w:r>
    </w:p>
    <w:p w14:paraId="496CD330">
      <w:pPr>
        <w:spacing w:line="500" w:lineRule="exact"/>
        <w:ind w:firstLine="480" w:firstLineChars="200"/>
        <w:rPr>
          <w:rFonts w:ascii="Times New Roman" w:hAnsi="Times New Roman" w:cs="Times New Roman"/>
        </w:rPr>
      </w:pPr>
      <w:r>
        <w:rPr>
          <w:rFonts w:hint="eastAsia" w:ascii="Times New Roman" w:hAnsi="Times New Roman" w:cs="Times New Roman"/>
        </w:rPr>
        <w:t>施工期主要为生产设备安装不涉及土建工程，环境问题为施工机械尾气、施工噪声、施工废建筑材料、施工人员生活污水及生活垃圾。施工期对环境的影响一般是可逆的，将随着施工的结束而消除。</w:t>
      </w:r>
    </w:p>
    <w:p w14:paraId="0C809BF5">
      <w:pPr>
        <w:spacing w:line="500" w:lineRule="exact"/>
        <w:ind w:firstLine="480" w:firstLineChars="200"/>
        <w:rPr>
          <w:rFonts w:ascii="Times New Roman" w:hAnsi="Times New Roman" w:cs="Times New Roman"/>
        </w:rPr>
      </w:pPr>
      <w:r>
        <w:rPr>
          <w:rFonts w:ascii="Times New Roman" w:hAnsi="Times New Roman" w:cs="Times New Roman"/>
        </w:rPr>
        <w:t>运营期主要环境问题为</w:t>
      </w:r>
      <w:r>
        <w:rPr>
          <w:rFonts w:hint="eastAsia"/>
          <w:sz w:val="24"/>
          <w:szCs w:val="24"/>
          <w:lang w:val="en-US" w:eastAsia="zh-CN"/>
        </w:rPr>
        <w:t>带式烧结机</w:t>
      </w:r>
      <w:r>
        <w:rPr>
          <w:rFonts w:ascii="Times New Roman" w:hAnsi="Times New Roman" w:cs="Times New Roman"/>
        </w:rPr>
        <w:t>废气（颗粒物</w:t>
      </w:r>
      <w:r>
        <w:rPr>
          <w:rFonts w:hint="eastAsia" w:ascii="Times New Roman" w:hAnsi="Times New Roman" w:cs="Times New Roman"/>
        </w:rPr>
        <w:t>、二氧化硫、氮氧化物</w:t>
      </w:r>
      <w:r>
        <w:rPr>
          <w:rFonts w:ascii="Times New Roman" w:hAnsi="Times New Roman" w:cs="Times New Roman"/>
        </w:rPr>
        <w:t>）</w:t>
      </w:r>
      <w:r>
        <w:rPr>
          <w:rFonts w:hint="eastAsia" w:ascii="Times New Roman" w:hAnsi="Times New Roman" w:cs="Times New Roman"/>
        </w:rPr>
        <w:t>、</w:t>
      </w:r>
      <w:r>
        <w:rPr>
          <w:rFonts w:hint="eastAsia"/>
          <w:sz w:val="24"/>
          <w:szCs w:val="24"/>
          <w:vertAlign w:val="baseline"/>
          <w:lang w:val="en-US" w:eastAsia="zh-CN"/>
        </w:rPr>
        <w:t>竖炉</w:t>
      </w:r>
      <w:r>
        <w:rPr>
          <w:rFonts w:hint="eastAsia" w:ascii="Times New Roman" w:hAnsi="Times New Roman" w:cs="Times New Roman"/>
        </w:rPr>
        <w:t>废气（</w:t>
      </w:r>
      <w:r>
        <w:rPr>
          <w:rFonts w:ascii="Times New Roman" w:hAnsi="Times New Roman" w:cs="Times New Roman"/>
        </w:rPr>
        <w:t>颗粒物</w:t>
      </w:r>
      <w:r>
        <w:rPr>
          <w:rFonts w:hint="eastAsia" w:ascii="Times New Roman" w:hAnsi="Times New Roman" w:cs="Times New Roman"/>
        </w:rPr>
        <w:t>、二氧化硫、氮氧化物）、厂区无组织废气的</w:t>
      </w:r>
      <w:r>
        <w:rPr>
          <w:rFonts w:ascii="Times New Roman" w:hAnsi="Times New Roman" w:cs="Times New Roman"/>
        </w:rPr>
        <w:t>治理措施的可行性及对周围环境的影响；循环冷却水等废水</w:t>
      </w:r>
      <w:r>
        <w:rPr>
          <w:rFonts w:hint="eastAsia" w:ascii="Times New Roman" w:hAnsi="Times New Roman" w:cs="Times New Roman"/>
        </w:rPr>
        <w:t>依托现有</w:t>
      </w:r>
      <w:r>
        <w:rPr>
          <w:rFonts w:ascii="Times New Roman" w:hAnsi="Times New Roman" w:cs="Times New Roman"/>
        </w:rPr>
        <w:t>的可行性；厂区涉水区域防渗措施和要求，避免污染地下水；各种产噪设备对声环境的影响；各种固体废物尤其是危险废物处理措施的可行性；环境风险措施的可行性及其对周围环境风险影响分析。</w:t>
      </w:r>
    </w:p>
    <w:p w14:paraId="3BA81767">
      <w:pPr>
        <w:spacing w:line="500" w:lineRule="exact"/>
        <w:ind w:firstLine="480" w:firstLineChars="200"/>
        <w:rPr>
          <w:rFonts w:ascii="Times New Roman" w:hAnsi="Times New Roman" w:cs="Times New Roman"/>
        </w:rPr>
      </w:pPr>
      <w:r>
        <w:rPr>
          <w:rFonts w:ascii="Times New Roman" w:hAnsi="Times New Roman" w:cs="Times New Roman"/>
        </w:rPr>
        <w:t>根据本项目的污染特征，本着抓主要矛盾、突出重点、提高报告书实用性的原则，本次环评将重点论述项目废气、固废、噪声、</w:t>
      </w:r>
      <w:r>
        <w:rPr>
          <w:rFonts w:hint="eastAsia" w:ascii="Times New Roman" w:hAnsi="Times New Roman" w:cs="Times New Roman"/>
        </w:rPr>
        <w:t>土壤</w:t>
      </w:r>
      <w:r>
        <w:rPr>
          <w:rFonts w:ascii="Times New Roman" w:hAnsi="Times New Roman" w:cs="Times New Roman"/>
        </w:rPr>
        <w:t>的环境影响以及环保措施可行性等，对</w:t>
      </w:r>
      <w:r>
        <w:rPr>
          <w:rFonts w:hint="eastAsia" w:ascii="Times New Roman" w:hAnsi="Times New Roman" w:cs="Times New Roman"/>
        </w:rPr>
        <w:t>水环境影响、</w:t>
      </w:r>
      <w:r>
        <w:rPr>
          <w:rFonts w:ascii="Times New Roman" w:hAnsi="Times New Roman" w:cs="Times New Roman"/>
        </w:rPr>
        <w:t>环境风险</w:t>
      </w:r>
      <w:r>
        <w:rPr>
          <w:rFonts w:hint="eastAsia" w:ascii="Times New Roman" w:hAnsi="Times New Roman" w:cs="Times New Roman"/>
        </w:rPr>
        <w:t>影响及生态环境影响</w:t>
      </w:r>
      <w:r>
        <w:rPr>
          <w:rFonts w:ascii="Times New Roman" w:hAnsi="Times New Roman" w:cs="Times New Roman"/>
        </w:rPr>
        <w:t>予以简单评价。</w:t>
      </w:r>
    </w:p>
    <w:p w14:paraId="5570BABC">
      <w:pPr>
        <w:spacing w:line="500" w:lineRule="exact"/>
        <w:ind w:firstLine="482" w:firstLineChars="200"/>
        <w:rPr>
          <w:rFonts w:ascii="Times New Roman" w:hAnsi="Times New Roman" w:cs="Times New Roman"/>
          <w:b/>
        </w:rPr>
      </w:pPr>
      <w:r>
        <w:rPr>
          <w:rFonts w:ascii="Times New Roman" w:hAnsi="Times New Roman" w:cs="Times New Roman"/>
          <w:b/>
        </w:rPr>
        <w:t>（5）环境影响评价工作过程</w:t>
      </w:r>
    </w:p>
    <w:p w14:paraId="01C36B92">
      <w:pPr>
        <w:spacing w:line="500" w:lineRule="exact"/>
        <w:ind w:firstLine="480" w:firstLineChars="200"/>
        <w:rPr>
          <w:rFonts w:hint="eastAsia" w:ascii="Times New Roman" w:hAnsi="Times New Roman" w:cs="Times New Roman"/>
        </w:rPr>
      </w:pPr>
      <w:r>
        <w:rPr>
          <w:rFonts w:ascii="Times New Roman" w:hAnsi="Times New Roman" w:cs="Times New Roman"/>
        </w:rPr>
        <w:t>根据《环境影响评价技术导则-总纲》（HJ 2.1-2016）等相关技术规范的要求，环境影响评价工作一般分为三个阶段，即调查分析和工作方案制定阶段、分析论证和预测评价阶段、环境影响报告书编制阶段，具体工作过程及程序见图Ⅰ。</w:t>
      </w:r>
    </w:p>
    <w:p w14:paraId="6C2709E2">
      <w:pPr>
        <w:spacing w:line="500" w:lineRule="exact"/>
        <w:ind w:firstLine="480" w:firstLineChars="200"/>
        <w:rPr>
          <w:rFonts w:ascii="Times New Roman" w:hAnsi="Times New Roman" w:cs="Times New Roman"/>
        </w:rPr>
      </w:pPr>
    </w:p>
    <w:p w14:paraId="0F6F7D58">
      <w:pPr>
        <w:snapToGrid w:val="0"/>
        <w:jc w:val="center"/>
        <w:rPr>
          <w:rFonts w:ascii="Times New Roman" w:hAnsi="Times New Roman" w:cs="Times New Roman"/>
          <w:bdr w:val="single" w:color="FFFFFF" w:sz="4" w:space="0"/>
        </w:rPr>
      </w:pPr>
      <w:r>
        <w:rPr>
          <w:rFonts w:ascii="Times New Roman" w:hAnsi="Times New Roman" w:cs="Times New Roman"/>
          <w:bdr w:val="single" w:color="FFFFFF" w:sz="4" w:space="0"/>
        </w:rPr>
        <w:drawing>
          <wp:inline distT="0" distB="0" distL="114300" distR="114300">
            <wp:extent cx="5305425" cy="5113020"/>
            <wp:effectExtent l="0" t="0" r="9525" b="11430"/>
            <wp:docPr id="76"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图片 2"/>
                    <pic:cNvPicPr>
                      <a:picLocks noChangeAspect="1"/>
                    </pic:cNvPicPr>
                  </pic:nvPicPr>
                  <pic:blipFill>
                    <a:blip r:embed="rId29"/>
                    <a:srcRect l="4823" t="2702" r="3134" b="3282"/>
                    <a:stretch>
                      <a:fillRect/>
                    </a:stretch>
                  </pic:blipFill>
                  <pic:spPr>
                    <a:xfrm>
                      <a:off x="0" y="0"/>
                      <a:ext cx="5305425" cy="5113020"/>
                    </a:xfrm>
                    <a:prstGeom prst="rect">
                      <a:avLst/>
                    </a:prstGeom>
                    <a:noFill/>
                    <a:ln>
                      <a:noFill/>
                    </a:ln>
                  </pic:spPr>
                </pic:pic>
              </a:graphicData>
            </a:graphic>
          </wp:inline>
        </w:drawing>
      </w:r>
    </w:p>
    <w:p w14:paraId="701309AA">
      <w:pPr>
        <w:snapToGrid w:val="0"/>
        <w:jc w:val="center"/>
        <w:rPr>
          <w:rFonts w:ascii="Times New Roman" w:hAnsi="Times New Roman" w:eastAsia="黑体" w:cs="Times New Roman"/>
        </w:rPr>
      </w:pPr>
      <w:r>
        <w:rPr>
          <w:rFonts w:ascii="Times New Roman" w:hAnsi="Times New Roman" w:eastAsia="黑体" w:cs="Times New Roman"/>
        </w:rPr>
        <w:t>图</w:t>
      </w:r>
      <w:r>
        <w:rPr>
          <w:rFonts w:ascii="Times New Roman" w:hAnsi="Times New Roman" w:cs="Times New Roman"/>
        </w:rPr>
        <w:t>Ⅰ</w:t>
      </w:r>
      <w:r>
        <w:rPr>
          <w:rFonts w:ascii="Times New Roman" w:hAnsi="Times New Roman" w:eastAsia="黑体" w:cs="Times New Roman"/>
        </w:rPr>
        <w:t xml:space="preserve">  环境影响评价工作程序图</w:t>
      </w:r>
    </w:p>
    <w:p w14:paraId="54280127">
      <w:pPr>
        <w:spacing w:line="500" w:lineRule="exact"/>
        <w:ind w:firstLine="482" w:firstLineChars="200"/>
        <w:rPr>
          <w:rFonts w:hint="eastAsia" w:ascii="Times New Roman" w:hAnsi="Times New Roman" w:cs="Times New Roman"/>
          <w:b/>
        </w:rPr>
      </w:pPr>
    </w:p>
    <w:p w14:paraId="132C8599">
      <w:pPr>
        <w:spacing w:line="500" w:lineRule="exact"/>
        <w:ind w:firstLine="482" w:firstLineChars="200"/>
        <w:rPr>
          <w:rFonts w:ascii="Times New Roman" w:hAnsi="Times New Roman" w:cs="Times New Roman"/>
          <w:b/>
        </w:rPr>
      </w:pPr>
      <w:r>
        <w:rPr>
          <w:rFonts w:ascii="Times New Roman" w:hAnsi="Times New Roman" w:cs="Times New Roman"/>
          <w:b/>
        </w:rPr>
        <w:t>（6）环境影响评价主要结论</w:t>
      </w:r>
    </w:p>
    <w:p w14:paraId="7195FDD5">
      <w:pPr>
        <w:spacing w:line="500" w:lineRule="exact"/>
        <w:ind w:firstLine="480" w:firstLineChars="200"/>
        <w:jc w:val="both"/>
        <w:rPr>
          <w:rFonts w:ascii="Times New Roman" w:hAnsi="Times New Roman" w:cs="Times New Roman"/>
        </w:rPr>
      </w:pPr>
      <w:r>
        <w:rPr>
          <w:rFonts w:ascii="Times New Roman" w:hAnsi="Times New Roman" w:cs="Times New Roman"/>
        </w:rPr>
        <w:t>本项目位于</w:t>
      </w:r>
      <w:r>
        <w:rPr>
          <w:rFonts w:hint="eastAsia" w:ascii="Times New Roman" w:hAnsi="Times New Roman" w:cs="Times New Roman"/>
        </w:rPr>
        <w:t>辽宁省本溪市本溪满族自治县草河口镇祁家堡村</w:t>
      </w:r>
      <w:r>
        <w:rPr>
          <w:rFonts w:hint="eastAsia" w:ascii="Times New Roman" w:hAnsi="Times New Roman" w:cs="Times New Roman"/>
          <w:lang w:eastAsia="zh-CN"/>
        </w:rPr>
        <w:t>本溪玉麒麟新材料有限公司</w:t>
      </w:r>
      <w:r>
        <w:rPr>
          <w:rFonts w:hint="eastAsia" w:ascii="Times New Roman" w:hAnsi="Times New Roman" w:cs="Times New Roman"/>
        </w:rPr>
        <w:t>厂区内</w:t>
      </w:r>
      <w:r>
        <w:rPr>
          <w:rFonts w:ascii="Times New Roman" w:hAnsi="Times New Roman" w:cs="Times New Roman"/>
        </w:rPr>
        <w:t>，</w:t>
      </w:r>
      <w:r>
        <w:rPr>
          <w:rFonts w:ascii="Times New Roman" w:hAnsi="Times New Roman" w:cs="Times New Roman"/>
          <w:highlight w:val="none"/>
        </w:rPr>
        <w:t>用地性质为工业用地，符合</w:t>
      </w:r>
      <w:r>
        <w:rPr>
          <w:rFonts w:hint="eastAsia" w:ascii="Times New Roman" w:hAnsi="Times New Roman" w:cs="Times New Roman"/>
          <w:highlight w:val="none"/>
        </w:rPr>
        <w:t>本溪满族自治县草河口镇</w:t>
      </w:r>
      <w:r>
        <w:rPr>
          <w:rFonts w:ascii="Times New Roman" w:hAnsi="Times New Roman" w:cs="Times New Roman"/>
          <w:highlight w:val="none"/>
        </w:rPr>
        <w:t>用地规划和产业布局要求，符合《</w:t>
      </w:r>
      <w:r>
        <w:rPr>
          <w:rFonts w:hint="eastAsia" w:eastAsia="宋体"/>
          <w:highlight w:val="none"/>
        </w:rPr>
        <w:t>本溪满族自治县草河口镇国土空间总体规划</w:t>
      </w:r>
      <w:r>
        <w:rPr>
          <w:rFonts w:ascii="Times New Roman" w:hAnsi="Times New Roman" w:cs="Times New Roman"/>
          <w:highlight w:val="none"/>
        </w:rPr>
        <w:t>》定位，与当地的环境功能区划相符，选址可行。</w:t>
      </w:r>
      <w:r>
        <w:rPr>
          <w:rFonts w:ascii="Times New Roman" w:hAnsi="Times New Roman" w:cs="Times New Roman"/>
        </w:rPr>
        <w:t>本项目</w:t>
      </w:r>
      <w:r>
        <w:rPr>
          <w:rFonts w:hint="eastAsia" w:ascii="Times New Roman" w:hAnsi="Times New Roman" w:cs="Times New Roman"/>
        </w:rPr>
        <w:t>为炼</w:t>
      </w:r>
      <w:r>
        <w:rPr>
          <w:rFonts w:hint="eastAsia" w:ascii="Times New Roman" w:hAnsi="Times New Roman" w:cs="Times New Roman"/>
          <w:lang w:val="en-US" w:eastAsia="zh-CN"/>
        </w:rPr>
        <w:t>铁</w:t>
      </w:r>
      <w:r>
        <w:rPr>
          <w:rFonts w:hint="eastAsia" w:ascii="Times New Roman" w:hAnsi="Times New Roman" w:cs="Times New Roman"/>
        </w:rPr>
        <w:t>生产线技术改造项目，</w:t>
      </w:r>
      <w:r>
        <w:rPr>
          <w:rFonts w:hint="eastAsia" w:ascii="Times New Roman" w:hAnsi="Times New Roman" w:cs="Times New Roman"/>
          <w:lang w:val="en-US" w:eastAsia="zh-CN"/>
        </w:rPr>
        <w:t>改建烧结机、</w:t>
      </w:r>
      <w:r>
        <w:rPr>
          <w:rFonts w:hint="eastAsia" w:ascii="Times New Roman" w:hAnsi="Times New Roman" w:cs="Times New Roman"/>
          <w:highlight w:val="none"/>
        </w:rPr>
        <w:t>12平方米圆形竖炉，不新增炼</w:t>
      </w:r>
      <w:r>
        <w:rPr>
          <w:rFonts w:hint="eastAsia" w:ascii="Times New Roman" w:hAnsi="Times New Roman" w:cs="Times New Roman"/>
          <w:highlight w:val="none"/>
          <w:lang w:val="en-US" w:eastAsia="zh-CN"/>
        </w:rPr>
        <w:t>铁</w:t>
      </w:r>
      <w:r>
        <w:rPr>
          <w:rFonts w:hint="eastAsia" w:ascii="Times New Roman" w:hAnsi="Times New Roman" w:cs="Times New Roman"/>
          <w:highlight w:val="none"/>
        </w:rPr>
        <w:t>产能</w:t>
      </w:r>
      <w:r>
        <w:rPr>
          <w:rFonts w:hint="eastAsia" w:ascii="Times New Roman" w:hAnsi="Times New Roman" w:cs="Times New Roman"/>
        </w:rPr>
        <w:t>，</w:t>
      </w:r>
      <w:r>
        <w:rPr>
          <w:rFonts w:ascii="Times New Roman" w:hAnsi="Times New Roman" w:cs="Times New Roman"/>
        </w:rPr>
        <w:t>符合国家及地方产业政策规定，符合行业规范条件要求。</w:t>
      </w:r>
    </w:p>
    <w:p w14:paraId="6B127398">
      <w:pPr>
        <w:spacing w:line="500" w:lineRule="exact"/>
        <w:ind w:firstLine="480" w:firstLineChars="200"/>
        <w:rPr>
          <w:rFonts w:ascii="Times New Roman" w:hAnsi="Times New Roman" w:cs="Times New Roman"/>
        </w:rPr>
      </w:pPr>
      <w:r>
        <w:rPr>
          <w:rFonts w:ascii="Times New Roman" w:hAnsi="Times New Roman" w:cs="Times New Roman"/>
        </w:rPr>
        <w:t>本项目运营后，污染防治措施完善可行并可达标排放，采取相应措施后对周围环境影响较小；项目的实施有利于经济效益、环境效益和社会效益的统一。运营过程中，企业须确保各项环保设施稳定运行并采取风险防范措施，严格执行各项环保管理制度，在此前提下，本项目从环保角度是可行的。</w:t>
      </w:r>
    </w:p>
    <w:p w14:paraId="45032FF5">
      <w:pPr>
        <w:spacing w:line="460" w:lineRule="exact"/>
        <w:ind w:firstLine="480" w:firstLineChars="200"/>
        <w:rPr>
          <w:rFonts w:ascii="Times New Roman" w:hAnsi="Times New Roman" w:cs="Times New Roman"/>
        </w:rPr>
        <w:sectPr>
          <w:footerReference r:id="rId12" w:type="default"/>
          <w:footerReference r:id="rId13" w:type="even"/>
          <w:pgSz w:w="11907" w:h="16840"/>
          <w:pgMar w:top="1701" w:right="1701" w:bottom="1701" w:left="1701" w:header="851" w:footer="1077" w:gutter="0"/>
          <w:pgBorders w:offsetFrom="page">
            <w:top w:val="none" w:sz="0" w:space="0"/>
            <w:left w:val="none" w:sz="0" w:space="0"/>
            <w:bottom w:val="none" w:sz="0" w:space="0"/>
            <w:right w:val="none" w:sz="0" w:space="0"/>
          </w:pgBorders>
          <w:pgNumType w:fmt="decimal" w:start="1"/>
          <w:cols w:space="720" w:num="1"/>
          <w:docGrid w:type="lines" w:linePitch="479" w:charSpace="0"/>
        </w:sectPr>
      </w:pPr>
    </w:p>
    <w:p w14:paraId="364F9122">
      <w:pPr>
        <w:pStyle w:val="5"/>
      </w:pPr>
      <w:bookmarkStart w:id="2" w:name="_Toc175714237"/>
      <w:bookmarkStart w:id="3" w:name="_Toc154569840"/>
      <w:bookmarkStart w:id="4" w:name="_Toc151276115"/>
      <w:bookmarkStart w:id="5" w:name="_Toc90026101"/>
      <w:bookmarkStart w:id="6" w:name="_Toc151200227"/>
      <w:bookmarkStart w:id="7" w:name="_Toc151278901"/>
      <w:bookmarkStart w:id="8" w:name="_Toc158523389"/>
      <w:bookmarkStart w:id="9" w:name="_Toc29885"/>
      <w:bookmarkStart w:id="10" w:name="_Toc153878436"/>
      <w:bookmarkStart w:id="11" w:name="_Toc175711404"/>
      <w:bookmarkStart w:id="12" w:name="_Toc153007100"/>
      <w:bookmarkStart w:id="13" w:name="_Toc151200067"/>
      <w:bookmarkStart w:id="14" w:name="_Toc166464709"/>
      <w:bookmarkStart w:id="15" w:name="_Toc154570227"/>
      <w:r>
        <w:t>1. 总则</w:t>
      </w:r>
      <w:bookmarkEnd w:id="2"/>
      <w:bookmarkEnd w:id="3"/>
      <w:bookmarkEnd w:id="4"/>
      <w:bookmarkEnd w:id="5"/>
      <w:bookmarkEnd w:id="6"/>
      <w:bookmarkEnd w:id="7"/>
      <w:bookmarkEnd w:id="8"/>
      <w:bookmarkEnd w:id="9"/>
      <w:bookmarkEnd w:id="10"/>
      <w:bookmarkEnd w:id="11"/>
      <w:bookmarkEnd w:id="12"/>
      <w:bookmarkEnd w:id="13"/>
      <w:bookmarkEnd w:id="14"/>
      <w:bookmarkEnd w:id="15"/>
    </w:p>
    <w:p w14:paraId="4AA88D81">
      <w:pPr>
        <w:pStyle w:val="6"/>
        <w:spacing w:before="239"/>
      </w:pPr>
      <w:bookmarkStart w:id="16" w:name="_Toc151200069"/>
      <w:bookmarkStart w:id="17" w:name="_Toc151200229"/>
      <w:bookmarkStart w:id="18" w:name="_Toc153878438"/>
      <w:bookmarkStart w:id="19" w:name="_Toc90026102"/>
      <w:bookmarkStart w:id="20" w:name="_Toc153007102"/>
      <w:bookmarkStart w:id="21" w:name="_Toc166464711"/>
      <w:bookmarkStart w:id="22" w:name="_Toc175711406"/>
      <w:bookmarkStart w:id="23" w:name="_Toc154569842"/>
      <w:bookmarkStart w:id="24" w:name="_Toc175714239"/>
      <w:bookmarkStart w:id="25" w:name="_Toc151276117"/>
      <w:bookmarkStart w:id="26" w:name="_Toc20188"/>
      <w:bookmarkStart w:id="27" w:name="_Toc158523391"/>
      <w:bookmarkStart w:id="28" w:name="_Toc151278903"/>
      <w:bookmarkStart w:id="29" w:name="_Toc154570229"/>
      <w:r>
        <w:t>1.1 编制依据</w:t>
      </w:r>
      <w:bookmarkEnd w:id="16"/>
      <w:bookmarkEnd w:id="17"/>
      <w:bookmarkEnd w:id="18"/>
      <w:bookmarkEnd w:id="19"/>
      <w:bookmarkEnd w:id="20"/>
      <w:bookmarkEnd w:id="21"/>
      <w:bookmarkEnd w:id="22"/>
      <w:bookmarkEnd w:id="23"/>
      <w:bookmarkEnd w:id="24"/>
      <w:bookmarkEnd w:id="25"/>
      <w:bookmarkEnd w:id="26"/>
      <w:bookmarkEnd w:id="27"/>
      <w:bookmarkEnd w:id="28"/>
      <w:bookmarkEnd w:id="29"/>
    </w:p>
    <w:p w14:paraId="226D22F4">
      <w:pPr>
        <w:pStyle w:val="7"/>
      </w:pPr>
      <w:bookmarkStart w:id="30" w:name="_Toc151200230"/>
      <w:bookmarkStart w:id="31" w:name="_Toc151258699"/>
      <w:bookmarkStart w:id="32" w:name="_Toc151200070"/>
      <w:bookmarkStart w:id="33" w:name="_Toc151276118"/>
      <w:bookmarkStart w:id="34" w:name="_Toc29406"/>
      <w:bookmarkStart w:id="35" w:name="_Toc90026183"/>
      <w:r>
        <w:t xml:space="preserve">1.1.1 </w:t>
      </w:r>
      <w:bookmarkEnd w:id="30"/>
      <w:bookmarkEnd w:id="31"/>
      <w:bookmarkEnd w:id="32"/>
      <w:bookmarkEnd w:id="33"/>
      <w:r>
        <w:t>法律法规</w:t>
      </w:r>
      <w:bookmarkEnd w:id="34"/>
      <w:bookmarkEnd w:id="35"/>
    </w:p>
    <w:p w14:paraId="63FC5DB9">
      <w:pPr>
        <w:numPr>
          <w:ilvl w:val="0"/>
          <w:numId w:val="23"/>
        </w:numPr>
        <w:spacing w:line="500" w:lineRule="exact"/>
        <w:ind w:left="0" w:firstLine="480" w:firstLineChars="200"/>
        <w:jc w:val="both"/>
        <w:rPr>
          <w:rFonts w:ascii="Times New Roman" w:hAnsi="Times New Roman" w:cs="Times New Roman"/>
        </w:rPr>
      </w:pPr>
      <w:r>
        <w:rPr>
          <w:rFonts w:ascii="Times New Roman" w:hAnsi="Times New Roman" w:cs="Times New Roman"/>
        </w:rPr>
        <w:t>《中华人民共和国环境保护法》（2015.1.1实施）</w:t>
      </w:r>
    </w:p>
    <w:p w14:paraId="64F0200C">
      <w:pPr>
        <w:numPr>
          <w:ilvl w:val="0"/>
          <w:numId w:val="23"/>
        </w:numPr>
        <w:spacing w:line="500" w:lineRule="exact"/>
        <w:ind w:left="0" w:firstLine="480" w:firstLineChars="200"/>
        <w:jc w:val="both"/>
        <w:rPr>
          <w:rFonts w:ascii="Times New Roman" w:hAnsi="Times New Roman" w:cs="Times New Roman"/>
        </w:rPr>
      </w:pPr>
      <w:r>
        <w:rPr>
          <w:rFonts w:ascii="Times New Roman" w:hAnsi="Times New Roman" w:cs="Times New Roman"/>
        </w:rPr>
        <w:t>《中华人民共和国环境影响评价法》（2018.12.29修正实施）</w:t>
      </w:r>
    </w:p>
    <w:p w14:paraId="07D876E2">
      <w:pPr>
        <w:numPr>
          <w:ilvl w:val="0"/>
          <w:numId w:val="23"/>
        </w:numPr>
        <w:spacing w:line="500" w:lineRule="exact"/>
        <w:ind w:left="0" w:firstLine="480" w:firstLineChars="200"/>
        <w:jc w:val="both"/>
        <w:rPr>
          <w:rFonts w:ascii="Times New Roman" w:hAnsi="Times New Roman" w:cs="Times New Roman"/>
        </w:rPr>
      </w:pPr>
      <w:r>
        <w:rPr>
          <w:rFonts w:ascii="Times New Roman" w:hAnsi="Times New Roman" w:cs="Times New Roman"/>
        </w:rPr>
        <w:t>《建设项目环境保护管理条例》（2017.10.1修改）</w:t>
      </w:r>
    </w:p>
    <w:p w14:paraId="313A1565">
      <w:pPr>
        <w:numPr>
          <w:ilvl w:val="0"/>
          <w:numId w:val="23"/>
        </w:numPr>
        <w:spacing w:line="500" w:lineRule="exact"/>
        <w:ind w:left="0" w:firstLine="480" w:firstLineChars="200"/>
        <w:jc w:val="both"/>
        <w:rPr>
          <w:rFonts w:ascii="Times New Roman" w:hAnsi="Times New Roman" w:cs="Times New Roman"/>
        </w:rPr>
      </w:pPr>
      <w:r>
        <w:rPr>
          <w:rFonts w:ascii="Times New Roman" w:hAnsi="Times New Roman" w:cs="Times New Roman"/>
        </w:rPr>
        <w:t>《中华人民共和国噪声污染防治法》（2018.12.29修正实施）</w:t>
      </w:r>
    </w:p>
    <w:p w14:paraId="1397EBAA">
      <w:pPr>
        <w:numPr>
          <w:ilvl w:val="0"/>
          <w:numId w:val="23"/>
        </w:numPr>
        <w:spacing w:line="500" w:lineRule="exact"/>
        <w:ind w:left="0" w:firstLine="480" w:firstLineChars="200"/>
        <w:jc w:val="both"/>
        <w:rPr>
          <w:rFonts w:ascii="Times New Roman" w:hAnsi="Times New Roman" w:cs="Times New Roman"/>
        </w:rPr>
      </w:pPr>
      <w:r>
        <w:rPr>
          <w:rFonts w:ascii="Times New Roman" w:hAnsi="Times New Roman" w:cs="Times New Roman"/>
        </w:rPr>
        <w:t>《中华人民共和国大气污染防治法》（2018.10.26修正实施）</w:t>
      </w:r>
    </w:p>
    <w:p w14:paraId="7274C275">
      <w:pPr>
        <w:numPr>
          <w:ilvl w:val="0"/>
          <w:numId w:val="23"/>
        </w:numPr>
        <w:spacing w:line="500" w:lineRule="exact"/>
        <w:ind w:left="0" w:firstLine="480" w:firstLineChars="200"/>
        <w:jc w:val="both"/>
        <w:rPr>
          <w:rFonts w:ascii="Times New Roman" w:hAnsi="Times New Roman" w:cs="Times New Roman"/>
        </w:rPr>
      </w:pPr>
      <w:r>
        <w:rPr>
          <w:rFonts w:ascii="Times New Roman" w:hAnsi="Times New Roman" w:cs="Times New Roman"/>
        </w:rPr>
        <w:t>《中华人民共和国水污染防治法》（2018.1.1修正实施）</w:t>
      </w:r>
    </w:p>
    <w:p w14:paraId="7B704513">
      <w:pPr>
        <w:numPr>
          <w:ilvl w:val="0"/>
          <w:numId w:val="23"/>
        </w:numPr>
        <w:spacing w:line="500" w:lineRule="exact"/>
        <w:ind w:left="0" w:firstLine="480" w:firstLineChars="200"/>
        <w:jc w:val="both"/>
        <w:rPr>
          <w:rFonts w:hint="eastAsia" w:ascii="Times New Roman" w:hAnsi="Times New Roman" w:cs="Times New Roman"/>
        </w:rPr>
      </w:pPr>
      <w:r>
        <w:rPr>
          <w:rFonts w:ascii="Times New Roman" w:hAnsi="Times New Roman" w:cs="Times New Roman"/>
        </w:rPr>
        <w:t>《中华人民共和国固体废物污染环境防治法》（中华人民共和国主席令第</w:t>
      </w:r>
      <w:r>
        <w:rPr>
          <w:rFonts w:hint="eastAsia" w:ascii="Times New Roman" w:hAnsi="Times New Roman" w:cs="Times New Roman"/>
        </w:rPr>
        <w:t>43</w:t>
      </w:r>
      <w:r>
        <w:rPr>
          <w:rFonts w:ascii="Times New Roman" w:hAnsi="Times New Roman" w:cs="Times New Roman"/>
        </w:rPr>
        <w:t>号，20</w:t>
      </w:r>
      <w:r>
        <w:rPr>
          <w:rFonts w:hint="eastAsia" w:ascii="Times New Roman" w:hAnsi="Times New Roman" w:cs="Times New Roman"/>
        </w:rPr>
        <w:t>20</w:t>
      </w:r>
      <w:r>
        <w:rPr>
          <w:rFonts w:ascii="Times New Roman" w:hAnsi="Times New Roman" w:cs="Times New Roman"/>
        </w:rPr>
        <w:t>.</w:t>
      </w:r>
      <w:r>
        <w:rPr>
          <w:rFonts w:hint="eastAsia" w:ascii="Times New Roman" w:hAnsi="Times New Roman" w:cs="Times New Roman"/>
        </w:rPr>
        <w:t>9</w:t>
      </w:r>
      <w:r>
        <w:rPr>
          <w:rFonts w:ascii="Times New Roman" w:hAnsi="Times New Roman" w:cs="Times New Roman"/>
        </w:rPr>
        <w:t>.</w:t>
      </w:r>
      <w:r>
        <w:rPr>
          <w:rFonts w:hint="eastAsia" w:ascii="Times New Roman" w:hAnsi="Times New Roman" w:cs="Times New Roman"/>
        </w:rPr>
        <w:t>1</w:t>
      </w:r>
      <w:r>
        <w:rPr>
          <w:rFonts w:ascii="Times New Roman" w:hAnsi="Times New Roman" w:cs="Times New Roman"/>
        </w:rPr>
        <w:t>实施）</w:t>
      </w:r>
    </w:p>
    <w:p w14:paraId="33C4F189">
      <w:pPr>
        <w:pStyle w:val="307"/>
        <w:numPr>
          <w:ilvl w:val="0"/>
          <w:numId w:val="23"/>
        </w:numPr>
        <w:snapToGrid/>
        <w:spacing w:line="500" w:lineRule="exact"/>
        <w:ind w:left="0" w:firstLine="480"/>
        <w:jc w:val="both"/>
      </w:pPr>
      <w:r>
        <w:rPr>
          <w:rFonts w:hint="eastAsia"/>
          <w:lang w:val="en-US" w:eastAsia="zh-CN"/>
        </w:rPr>
        <w:t>《危险废物转移管理办法》（2022.1.1施行）</w:t>
      </w:r>
    </w:p>
    <w:p w14:paraId="1F276429">
      <w:pPr>
        <w:numPr>
          <w:ilvl w:val="0"/>
          <w:numId w:val="23"/>
        </w:numPr>
        <w:spacing w:line="500" w:lineRule="exact"/>
        <w:ind w:left="0" w:firstLine="480" w:firstLineChars="200"/>
        <w:jc w:val="both"/>
        <w:rPr>
          <w:rFonts w:ascii="Times New Roman" w:hAnsi="Times New Roman" w:cs="Times New Roman"/>
        </w:rPr>
      </w:pPr>
      <w:r>
        <w:rPr>
          <w:rFonts w:ascii="Times New Roman" w:hAnsi="Times New Roman" w:cs="Times New Roman"/>
        </w:rPr>
        <w:t>《中华人民共和国清洁生产促进法》（2012.7.1实施）</w:t>
      </w:r>
    </w:p>
    <w:p w14:paraId="3ED6E2E1">
      <w:pPr>
        <w:pStyle w:val="307"/>
        <w:numPr>
          <w:ilvl w:val="0"/>
          <w:numId w:val="23"/>
        </w:numPr>
        <w:snapToGrid/>
        <w:spacing w:line="500" w:lineRule="exact"/>
        <w:ind w:left="0" w:firstLine="480"/>
        <w:jc w:val="both"/>
      </w:pPr>
      <w:r>
        <w:t>《中华人民共和国水法》</w:t>
      </w:r>
      <w:r>
        <w:rPr>
          <w:lang w:eastAsia="zh-CN"/>
        </w:rPr>
        <w:t>（中华人民共和国主席令第48号，2016.9.1实施）</w:t>
      </w:r>
    </w:p>
    <w:p w14:paraId="6347F98C">
      <w:pPr>
        <w:pStyle w:val="307"/>
        <w:numPr>
          <w:ilvl w:val="0"/>
          <w:numId w:val="23"/>
        </w:numPr>
        <w:snapToGrid/>
        <w:spacing w:line="500" w:lineRule="exact"/>
        <w:ind w:left="0" w:firstLine="480"/>
        <w:jc w:val="both"/>
      </w:pPr>
      <w:r>
        <w:t>《中华人民共和国节约能源法》</w:t>
      </w:r>
      <w:r>
        <w:rPr>
          <w:lang w:eastAsia="zh-CN"/>
        </w:rPr>
        <w:t>（2018.10.26修正实施）</w:t>
      </w:r>
    </w:p>
    <w:p w14:paraId="10E419FB">
      <w:pPr>
        <w:pStyle w:val="307"/>
        <w:numPr>
          <w:ilvl w:val="0"/>
          <w:numId w:val="23"/>
        </w:numPr>
        <w:snapToGrid/>
        <w:spacing w:line="500" w:lineRule="exact"/>
        <w:ind w:left="0" w:firstLine="480"/>
        <w:jc w:val="both"/>
      </w:pPr>
      <w:r>
        <w:t>《中华人民共和国环境保护税法》</w:t>
      </w:r>
      <w:r>
        <w:rPr>
          <w:lang w:eastAsia="zh-CN"/>
        </w:rPr>
        <w:t>（2018.1.1实施）</w:t>
      </w:r>
    </w:p>
    <w:p w14:paraId="46970533">
      <w:pPr>
        <w:numPr>
          <w:ilvl w:val="0"/>
          <w:numId w:val="23"/>
        </w:numPr>
        <w:spacing w:line="500" w:lineRule="exact"/>
        <w:ind w:left="0" w:firstLine="480" w:firstLineChars="200"/>
        <w:jc w:val="both"/>
        <w:rPr>
          <w:rFonts w:ascii="Times New Roman" w:hAnsi="Times New Roman" w:cs="Times New Roman"/>
        </w:rPr>
      </w:pPr>
      <w:r>
        <w:rPr>
          <w:rFonts w:ascii="Times New Roman" w:hAnsi="Times New Roman" w:cs="Times New Roman"/>
        </w:rPr>
        <w:t>《建设项目环境影响评价分类管理名录》（</w:t>
      </w:r>
      <w:r>
        <w:rPr>
          <w:rFonts w:hint="eastAsia" w:ascii="Times New Roman" w:hAnsi="Times New Roman" w:cs="Times New Roman"/>
        </w:rPr>
        <w:t>生态环境</w:t>
      </w:r>
      <w:r>
        <w:rPr>
          <w:rFonts w:ascii="Times New Roman" w:hAnsi="Times New Roman" w:cs="Times New Roman"/>
        </w:rPr>
        <w:t>部令第</w:t>
      </w:r>
      <w:r>
        <w:rPr>
          <w:rFonts w:hint="eastAsia" w:ascii="Times New Roman" w:hAnsi="Times New Roman" w:cs="Times New Roman"/>
        </w:rPr>
        <w:t>16</w:t>
      </w:r>
      <w:r>
        <w:rPr>
          <w:rFonts w:ascii="Times New Roman" w:hAnsi="Times New Roman" w:cs="Times New Roman"/>
        </w:rPr>
        <w:t>号，20</w:t>
      </w:r>
      <w:r>
        <w:rPr>
          <w:rFonts w:hint="eastAsia" w:ascii="Times New Roman" w:hAnsi="Times New Roman" w:cs="Times New Roman"/>
        </w:rPr>
        <w:t>21</w:t>
      </w:r>
      <w:r>
        <w:rPr>
          <w:rFonts w:ascii="Times New Roman" w:hAnsi="Times New Roman" w:cs="Times New Roman"/>
        </w:rPr>
        <w:t>.</w:t>
      </w:r>
      <w:r>
        <w:rPr>
          <w:rFonts w:hint="eastAsia" w:ascii="Times New Roman" w:hAnsi="Times New Roman" w:cs="Times New Roman"/>
        </w:rPr>
        <w:t>1</w:t>
      </w:r>
      <w:r>
        <w:rPr>
          <w:rFonts w:ascii="Times New Roman" w:hAnsi="Times New Roman" w:cs="Times New Roman"/>
        </w:rPr>
        <w:t>.1实施）</w:t>
      </w:r>
    </w:p>
    <w:p w14:paraId="46927974">
      <w:pPr>
        <w:pStyle w:val="307"/>
        <w:numPr>
          <w:ilvl w:val="0"/>
          <w:numId w:val="23"/>
        </w:numPr>
        <w:snapToGrid/>
        <w:spacing w:line="500" w:lineRule="exact"/>
        <w:ind w:left="0" w:firstLine="480"/>
        <w:jc w:val="both"/>
      </w:pPr>
      <w:r>
        <w:t>《环境保护公众参与办法》（环境保护部令第35号，2015.9.1施行）</w:t>
      </w:r>
    </w:p>
    <w:p w14:paraId="155FBCC7">
      <w:pPr>
        <w:pStyle w:val="307"/>
        <w:numPr>
          <w:ilvl w:val="0"/>
          <w:numId w:val="23"/>
        </w:numPr>
        <w:snapToGrid/>
        <w:spacing w:line="500" w:lineRule="exact"/>
        <w:ind w:left="0" w:firstLine="480"/>
        <w:jc w:val="both"/>
      </w:pPr>
      <w:r>
        <w:t>《环境影响评价公众参与办法》（</w:t>
      </w:r>
      <w:r>
        <w:rPr>
          <w:lang w:eastAsia="zh-CN"/>
        </w:rPr>
        <w:t>生态环境部令第4号，2019.1.1施行</w:t>
      </w:r>
      <w:r>
        <w:t>）</w:t>
      </w:r>
    </w:p>
    <w:p w14:paraId="20A7C4F6">
      <w:pPr>
        <w:pStyle w:val="307"/>
        <w:numPr>
          <w:ilvl w:val="0"/>
          <w:numId w:val="23"/>
        </w:numPr>
        <w:snapToGrid/>
        <w:spacing w:line="500" w:lineRule="exact"/>
        <w:ind w:left="0" w:firstLine="480"/>
        <w:jc w:val="both"/>
      </w:pPr>
      <w:r>
        <w:rPr>
          <w:lang w:eastAsia="zh-CN"/>
        </w:rPr>
        <w:t>《关于发布&lt;环境影响评价公众参与办法&gt;配套文件的公告》（生态环境部公告2018年第48号，2019.1.1施行）</w:t>
      </w:r>
    </w:p>
    <w:p w14:paraId="7EBCE45B">
      <w:pPr>
        <w:pStyle w:val="307"/>
        <w:numPr>
          <w:ilvl w:val="0"/>
          <w:numId w:val="23"/>
        </w:numPr>
        <w:snapToGrid/>
        <w:spacing w:line="500" w:lineRule="exact"/>
        <w:ind w:left="0" w:firstLine="480"/>
        <w:jc w:val="both"/>
      </w:pPr>
      <w:r>
        <w:t>《国务院关于加强环境保护重点工作的意见》（国发[2011]35号）</w:t>
      </w:r>
    </w:p>
    <w:p w14:paraId="65317048">
      <w:pPr>
        <w:pStyle w:val="307"/>
        <w:numPr>
          <w:ilvl w:val="0"/>
          <w:numId w:val="23"/>
        </w:numPr>
        <w:snapToGrid/>
        <w:spacing w:line="500" w:lineRule="exact"/>
        <w:ind w:left="0" w:firstLine="480"/>
      </w:pPr>
      <w:r>
        <w:rPr>
          <w:lang w:eastAsia="zh-CN"/>
        </w:rPr>
        <w:t>《突发环境事件应急管理办法》（原环境保护部令2015年第34号）</w:t>
      </w:r>
    </w:p>
    <w:p w14:paraId="54B8C876">
      <w:pPr>
        <w:pStyle w:val="307"/>
        <w:numPr>
          <w:ilvl w:val="0"/>
          <w:numId w:val="23"/>
        </w:numPr>
        <w:snapToGrid/>
        <w:spacing w:line="500" w:lineRule="exact"/>
        <w:ind w:left="0" w:firstLine="480"/>
        <w:jc w:val="both"/>
      </w:pPr>
      <w:r>
        <w:t>《关于进一步加强环境影响评价管理防范环境风险的通知》（环发[2012]77号）</w:t>
      </w:r>
    </w:p>
    <w:p w14:paraId="0CA4FF1B">
      <w:pPr>
        <w:pStyle w:val="307"/>
        <w:numPr>
          <w:ilvl w:val="0"/>
          <w:numId w:val="23"/>
        </w:numPr>
        <w:snapToGrid/>
        <w:spacing w:line="500" w:lineRule="exact"/>
        <w:ind w:left="0" w:firstLine="480"/>
        <w:jc w:val="both"/>
      </w:pPr>
      <w:r>
        <w:t>《关于切实加强风险防范严格环境影响评价管理的通知》（环发[2012]98号）</w:t>
      </w:r>
    </w:p>
    <w:p w14:paraId="50679034">
      <w:pPr>
        <w:pStyle w:val="307"/>
        <w:numPr>
          <w:ilvl w:val="0"/>
          <w:numId w:val="23"/>
        </w:numPr>
        <w:snapToGrid/>
        <w:spacing w:line="500" w:lineRule="exact"/>
        <w:ind w:left="0" w:firstLine="480"/>
        <w:jc w:val="both"/>
      </w:pPr>
      <w:r>
        <w:t>《关于推进环境保护公众参与的指导意见》（环办[2014]48号）</w:t>
      </w:r>
    </w:p>
    <w:p w14:paraId="73688859">
      <w:pPr>
        <w:pStyle w:val="307"/>
        <w:numPr>
          <w:ilvl w:val="0"/>
          <w:numId w:val="23"/>
        </w:numPr>
        <w:snapToGrid/>
        <w:spacing w:line="500" w:lineRule="exact"/>
        <w:ind w:left="0" w:firstLine="480"/>
        <w:jc w:val="both"/>
      </w:pPr>
      <w:r>
        <w:t>《关于切实加强环境影响评价监督管理工作的通知》（环办[2013]104号）</w:t>
      </w:r>
    </w:p>
    <w:p w14:paraId="19F86ADD">
      <w:pPr>
        <w:pStyle w:val="307"/>
        <w:numPr>
          <w:ilvl w:val="0"/>
          <w:numId w:val="23"/>
        </w:numPr>
        <w:snapToGrid/>
        <w:spacing w:line="500" w:lineRule="exact"/>
        <w:ind w:left="0" w:firstLine="480"/>
        <w:jc w:val="both"/>
      </w:pPr>
      <w:r>
        <w:t>《关于落实大气污染防治行动计划严格环境影响评价准入的通知》（环办[2014]30号）</w:t>
      </w:r>
    </w:p>
    <w:p w14:paraId="168CAE86">
      <w:pPr>
        <w:pStyle w:val="307"/>
        <w:numPr>
          <w:ilvl w:val="0"/>
          <w:numId w:val="23"/>
        </w:numPr>
        <w:snapToGrid/>
        <w:spacing w:line="500" w:lineRule="exact"/>
        <w:ind w:left="0" w:firstLine="480"/>
        <w:jc w:val="both"/>
      </w:pPr>
      <w:r>
        <w:rPr>
          <w:rFonts w:hint="eastAsia"/>
        </w:rPr>
        <w:t>《国务院关于印发水污染防治行动计划</w:t>
      </w:r>
      <w:r>
        <w:t>的通知》（国发[2015]17号）</w:t>
      </w:r>
    </w:p>
    <w:p w14:paraId="2F7EA4B7">
      <w:pPr>
        <w:pStyle w:val="307"/>
        <w:numPr>
          <w:ilvl w:val="0"/>
          <w:numId w:val="23"/>
        </w:numPr>
        <w:snapToGrid/>
        <w:spacing w:line="500" w:lineRule="exact"/>
        <w:ind w:left="0" w:firstLine="480"/>
        <w:jc w:val="both"/>
      </w:pPr>
      <w:r>
        <w:t>《国务院关于印发土壤污染防治行动计划的通知》（国发[2016]31号）</w:t>
      </w:r>
    </w:p>
    <w:p w14:paraId="100CCB77">
      <w:pPr>
        <w:pStyle w:val="307"/>
        <w:numPr>
          <w:ilvl w:val="0"/>
          <w:numId w:val="23"/>
        </w:numPr>
        <w:snapToGrid/>
        <w:spacing w:line="500" w:lineRule="exact"/>
        <w:ind w:left="0" w:firstLine="480"/>
        <w:jc w:val="both"/>
        <w:rPr>
          <w:rFonts w:hint="eastAsia"/>
        </w:rPr>
      </w:pPr>
      <w:r>
        <w:t>《建设项目竣工环境保护验收</w:t>
      </w:r>
      <w:r>
        <w:rPr>
          <w:lang w:eastAsia="zh-CN"/>
        </w:rPr>
        <w:t>暂行</w:t>
      </w:r>
      <w:r>
        <w:t>办法》（</w:t>
      </w:r>
      <w:r>
        <w:rPr>
          <w:lang w:eastAsia="zh-CN"/>
        </w:rPr>
        <w:t>国环规环评[2017]4号</w:t>
      </w:r>
      <w:r>
        <w:t>）</w:t>
      </w:r>
    </w:p>
    <w:p w14:paraId="16FE7C9A">
      <w:pPr>
        <w:pStyle w:val="307"/>
        <w:numPr>
          <w:ilvl w:val="0"/>
          <w:numId w:val="23"/>
        </w:numPr>
        <w:snapToGrid/>
        <w:spacing w:line="500" w:lineRule="exact"/>
        <w:ind w:left="0" w:firstLine="480"/>
        <w:jc w:val="both"/>
      </w:pPr>
      <w:r>
        <w:rPr>
          <w:lang w:eastAsia="zh-CN"/>
        </w:rPr>
        <w:t>《关于以改善环境质量为核心加强环境影响评价管理的通知》（环环评[2016]150号）</w:t>
      </w:r>
    </w:p>
    <w:p w14:paraId="03CDBE46">
      <w:pPr>
        <w:pStyle w:val="307"/>
        <w:numPr>
          <w:ilvl w:val="0"/>
          <w:numId w:val="23"/>
        </w:numPr>
        <w:snapToGrid/>
        <w:spacing w:line="500" w:lineRule="exact"/>
        <w:ind w:left="0" w:firstLine="480"/>
        <w:jc w:val="both"/>
      </w:pPr>
      <w:r>
        <w:rPr>
          <w:lang w:eastAsia="zh-CN"/>
        </w:rPr>
        <w:t>《关于加强规划环境影响评价与建设项目环境影响评价联动工作的意见》（环发[2015]178号）</w:t>
      </w:r>
    </w:p>
    <w:p w14:paraId="46705E3A">
      <w:pPr>
        <w:pStyle w:val="307"/>
        <w:numPr>
          <w:ilvl w:val="0"/>
          <w:numId w:val="23"/>
        </w:numPr>
        <w:snapToGrid/>
        <w:spacing w:line="500" w:lineRule="exact"/>
        <w:ind w:left="0" w:firstLine="480"/>
        <w:jc w:val="both"/>
      </w:pPr>
      <w:r>
        <w:rPr>
          <w:lang w:eastAsia="zh-CN"/>
        </w:rPr>
        <w:t>《</w:t>
      </w:r>
      <w:r>
        <w:t>关于钢铁行业化解过剩产能实现脱困发展的意见》（国发</w:t>
      </w:r>
      <w:r>
        <w:rPr>
          <w:lang w:eastAsia="zh-CN"/>
        </w:rPr>
        <w:t>[</w:t>
      </w:r>
      <w:r>
        <w:t>2016</w:t>
      </w:r>
      <w:r>
        <w:rPr>
          <w:lang w:eastAsia="zh-CN"/>
        </w:rPr>
        <w:t>]</w:t>
      </w:r>
      <w:r>
        <w:t>6号）</w:t>
      </w:r>
    </w:p>
    <w:p w14:paraId="4C58D300">
      <w:pPr>
        <w:pStyle w:val="307"/>
        <w:numPr>
          <w:ilvl w:val="0"/>
          <w:numId w:val="23"/>
        </w:numPr>
        <w:snapToGrid/>
        <w:spacing w:line="500" w:lineRule="exact"/>
        <w:ind w:left="0" w:firstLine="480"/>
        <w:jc w:val="both"/>
      </w:pPr>
      <w:r>
        <w:t>《钢铁工业调整升级计划（2016~2020）》（工信部规</w:t>
      </w:r>
      <w:r>
        <w:rPr>
          <w:rFonts w:hint="eastAsia"/>
          <w:lang w:eastAsia="zh-CN"/>
        </w:rPr>
        <w:t>[</w:t>
      </w:r>
      <w:r>
        <w:t>2016</w:t>
      </w:r>
      <w:r>
        <w:rPr>
          <w:rFonts w:hint="eastAsia"/>
          <w:lang w:eastAsia="zh-CN"/>
        </w:rPr>
        <w:t>]</w:t>
      </w:r>
      <w:r>
        <w:t>358号）</w:t>
      </w:r>
    </w:p>
    <w:p w14:paraId="1647AB54">
      <w:pPr>
        <w:pStyle w:val="307"/>
        <w:numPr>
          <w:ilvl w:val="0"/>
          <w:numId w:val="23"/>
        </w:numPr>
        <w:snapToGrid/>
        <w:spacing w:line="500" w:lineRule="exact"/>
        <w:ind w:left="0" w:firstLine="480"/>
        <w:jc w:val="both"/>
      </w:pPr>
      <w:r>
        <w:t>《钢铁行业规范条件（2015年修订）》</w:t>
      </w:r>
    </w:p>
    <w:p w14:paraId="42715F38">
      <w:pPr>
        <w:pStyle w:val="307"/>
        <w:numPr>
          <w:ilvl w:val="0"/>
          <w:numId w:val="23"/>
        </w:numPr>
        <w:snapToGrid/>
        <w:spacing w:line="500" w:lineRule="exact"/>
        <w:ind w:left="0" w:firstLine="480"/>
        <w:jc w:val="both"/>
      </w:pPr>
      <w:r>
        <w:t>《钢铁行业规范企业管理办法》（工业和信息化部公告</w:t>
      </w:r>
      <w:r>
        <w:rPr>
          <w:lang w:eastAsia="zh-CN"/>
        </w:rPr>
        <w:t>[</w:t>
      </w:r>
      <w:r>
        <w:t>2015</w:t>
      </w:r>
      <w:r>
        <w:rPr>
          <w:lang w:eastAsia="zh-CN"/>
        </w:rPr>
        <w:t>]</w:t>
      </w:r>
      <w:r>
        <w:t>第35号）</w:t>
      </w:r>
    </w:p>
    <w:p w14:paraId="046D915C">
      <w:pPr>
        <w:pStyle w:val="307"/>
        <w:numPr>
          <w:ilvl w:val="0"/>
          <w:numId w:val="23"/>
        </w:numPr>
        <w:snapToGrid/>
        <w:spacing w:line="500" w:lineRule="exact"/>
        <w:ind w:left="0" w:firstLine="480"/>
        <w:jc w:val="both"/>
      </w:pPr>
      <w:r>
        <w:rPr>
          <w:lang w:eastAsia="zh-CN"/>
        </w:rPr>
        <w:t>《关于推进实施钢铁行业超低排放的意见》（环大气[2019]35号）</w:t>
      </w:r>
    </w:p>
    <w:p w14:paraId="26EC424A">
      <w:pPr>
        <w:pStyle w:val="307"/>
        <w:numPr>
          <w:ilvl w:val="0"/>
          <w:numId w:val="23"/>
        </w:numPr>
        <w:snapToGrid/>
        <w:spacing w:line="500" w:lineRule="exact"/>
        <w:ind w:left="0" w:firstLine="480"/>
        <w:jc w:val="both"/>
        <w:rPr>
          <w:rFonts w:hint="eastAsia"/>
          <w:highlight w:val="none"/>
        </w:rPr>
      </w:pPr>
      <w:r>
        <w:rPr>
          <w:highlight w:val="none"/>
        </w:rPr>
        <w:t>《</w:t>
      </w:r>
      <w:r>
        <w:rPr>
          <w:rFonts w:hint="eastAsia"/>
          <w:highlight w:val="none"/>
        </w:rPr>
        <w:t>钢铁行业清洁生产评价指标体系</w:t>
      </w:r>
      <w:r>
        <w:rPr>
          <w:highlight w:val="none"/>
        </w:rPr>
        <w:t>》（</w:t>
      </w:r>
      <w:r>
        <w:rPr>
          <w:rFonts w:hint="eastAsia"/>
          <w:highlight w:val="none"/>
        </w:rPr>
        <w:t>DB32／T 5089-2025</w:t>
      </w:r>
      <w:r>
        <w:rPr>
          <w:highlight w:val="none"/>
        </w:rPr>
        <w:t>）</w:t>
      </w:r>
    </w:p>
    <w:p w14:paraId="44810DC0">
      <w:pPr>
        <w:pStyle w:val="307"/>
        <w:numPr>
          <w:ilvl w:val="0"/>
          <w:numId w:val="23"/>
        </w:numPr>
        <w:snapToGrid/>
        <w:spacing w:line="500" w:lineRule="exact"/>
        <w:ind w:left="0" w:firstLine="480"/>
        <w:jc w:val="both"/>
        <w:rPr>
          <w:rFonts w:hint="eastAsia"/>
        </w:rPr>
      </w:pPr>
      <w:r>
        <w:t>《国务院关于印发打赢蓝天保卫战三年行动计划的通知》（国发[2018]22号）</w:t>
      </w:r>
    </w:p>
    <w:p w14:paraId="3691F7EA">
      <w:pPr>
        <w:pStyle w:val="307"/>
        <w:numPr>
          <w:ilvl w:val="0"/>
          <w:numId w:val="23"/>
        </w:numPr>
        <w:snapToGrid/>
        <w:spacing w:line="500" w:lineRule="exact"/>
        <w:ind w:left="0" w:firstLine="480"/>
        <w:jc w:val="both"/>
        <w:rPr>
          <w:rFonts w:hint="eastAsia"/>
        </w:rPr>
      </w:pPr>
      <w:r>
        <w:t>《中共中央国务院关于全面加强生态环境保护坚决打好污染防治攻坚战的意见》（2018.6.16）</w:t>
      </w:r>
    </w:p>
    <w:p w14:paraId="7E1C44C9">
      <w:pPr>
        <w:pStyle w:val="307"/>
        <w:numPr>
          <w:ilvl w:val="0"/>
          <w:numId w:val="23"/>
        </w:numPr>
        <w:snapToGrid/>
        <w:spacing w:line="500" w:lineRule="exact"/>
        <w:ind w:left="0" w:firstLine="480"/>
        <w:jc w:val="both"/>
        <w:rPr>
          <w:rFonts w:hint="eastAsia"/>
        </w:rPr>
      </w:pPr>
      <w:r>
        <w:rPr>
          <w:rFonts w:hint="eastAsia"/>
          <w:lang w:eastAsia="zh-CN"/>
        </w:rPr>
        <w:t>《中共中央国务院关于深入打好污染防治攻坚战的意见》（2021.11.02）</w:t>
      </w:r>
    </w:p>
    <w:p w14:paraId="014FDA41">
      <w:pPr>
        <w:pStyle w:val="307"/>
        <w:numPr>
          <w:ilvl w:val="0"/>
          <w:numId w:val="23"/>
        </w:numPr>
        <w:snapToGrid/>
        <w:spacing w:line="500" w:lineRule="exact"/>
        <w:ind w:left="0" w:firstLine="480"/>
        <w:jc w:val="both"/>
        <w:rPr>
          <w:rFonts w:hint="eastAsia"/>
        </w:rPr>
      </w:pPr>
      <w:r>
        <w:t>《关于加强高耗能、高排放建设项目生态环境源头防控的指导意见》（环环评[2021]45号）</w:t>
      </w:r>
    </w:p>
    <w:p w14:paraId="63758AF7">
      <w:pPr>
        <w:pStyle w:val="307"/>
        <w:numPr>
          <w:ilvl w:val="0"/>
          <w:numId w:val="23"/>
        </w:numPr>
        <w:snapToGrid/>
        <w:spacing w:line="500" w:lineRule="exact"/>
        <w:ind w:left="0" w:firstLine="480"/>
        <w:jc w:val="both"/>
        <w:rPr>
          <w:rFonts w:hint="eastAsia"/>
        </w:rPr>
      </w:pPr>
      <w:r>
        <w:t>《建设项目主要污染物排放总量指标审核及管理暂行办法》（环发[2014]197号）</w:t>
      </w:r>
    </w:p>
    <w:p w14:paraId="4BBA53D8">
      <w:pPr>
        <w:pStyle w:val="307"/>
        <w:numPr>
          <w:ilvl w:val="0"/>
          <w:numId w:val="23"/>
        </w:numPr>
        <w:snapToGrid/>
        <w:spacing w:line="500" w:lineRule="exact"/>
        <w:ind w:left="0" w:firstLine="480"/>
        <w:jc w:val="both"/>
        <w:rPr>
          <w:rFonts w:hint="eastAsia"/>
        </w:rPr>
      </w:pPr>
      <w:r>
        <w:rPr>
          <w:rFonts w:hint="eastAsia"/>
          <w:lang w:eastAsia="zh-CN"/>
        </w:rPr>
        <w:t>《中共中央国务院关于完整准确全面贯彻新发展理念做好碳达峰碳中和工作的意见》（</w:t>
      </w:r>
      <w:r>
        <w:rPr>
          <w:rFonts w:hint="eastAsia"/>
          <w:lang w:val="en-US" w:eastAsia="zh-CN"/>
        </w:rPr>
        <w:t>中发</w:t>
      </w:r>
      <w:r>
        <w:rPr>
          <w:lang w:val="en-US" w:eastAsia="zh-CN"/>
        </w:rPr>
        <w:t>[2021]36号</w:t>
      </w:r>
      <w:r>
        <w:rPr>
          <w:rFonts w:hint="eastAsia"/>
          <w:lang w:eastAsia="zh-CN"/>
        </w:rPr>
        <w:t>）</w:t>
      </w:r>
    </w:p>
    <w:p w14:paraId="48D7FB70">
      <w:pPr>
        <w:pStyle w:val="307"/>
        <w:numPr>
          <w:ilvl w:val="0"/>
          <w:numId w:val="23"/>
        </w:numPr>
        <w:snapToGrid/>
        <w:spacing w:line="500" w:lineRule="exact"/>
        <w:ind w:left="0" w:firstLine="480"/>
        <w:jc w:val="both"/>
      </w:pPr>
      <w:r>
        <w:rPr>
          <w:lang w:eastAsia="zh-CN"/>
        </w:rPr>
        <w:t>《关于印发&lt;工业炉窑大气污染综合治理方案&gt;的通知》（环大气[2019]56号）</w:t>
      </w:r>
    </w:p>
    <w:p w14:paraId="66C47F6A">
      <w:pPr>
        <w:pStyle w:val="307"/>
        <w:numPr>
          <w:ilvl w:val="0"/>
          <w:numId w:val="23"/>
        </w:numPr>
        <w:snapToGrid/>
        <w:spacing w:line="500" w:lineRule="exact"/>
        <w:ind w:left="0" w:firstLine="480"/>
        <w:jc w:val="both"/>
      </w:pPr>
      <w:r>
        <w:rPr>
          <w:lang w:eastAsia="zh-CN"/>
        </w:rPr>
        <w:t>《关于做好环境影响评价制度与排污许可制衔接相关工作的通知》（环办环评[2017]1709号）</w:t>
      </w:r>
    </w:p>
    <w:p w14:paraId="11047226">
      <w:pPr>
        <w:pStyle w:val="307"/>
        <w:numPr>
          <w:ilvl w:val="0"/>
          <w:numId w:val="23"/>
        </w:numPr>
        <w:snapToGrid/>
        <w:spacing w:line="500" w:lineRule="exact"/>
        <w:ind w:left="0" w:firstLine="480"/>
        <w:jc w:val="both"/>
      </w:pPr>
      <w:r>
        <w:rPr>
          <w:lang w:eastAsia="zh-CN"/>
        </w:rPr>
        <w:t>《环境空气细颗粒物污染综合防治技术政策》（原环境保护部公告2013年第59号，2013.9.13实施）</w:t>
      </w:r>
    </w:p>
    <w:p w14:paraId="12513277">
      <w:pPr>
        <w:pStyle w:val="307"/>
        <w:numPr>
          <w:ilvl w:val="0"/>
          <w:numId w:val="23"/>
        </w:numPr>
        <w:snapToGrid/>
        <w:spacing w:line="500" w:lineRule="exact"/>
        <w:ind w:left="0" w:firstLine="480"/>
        <w:jc w:val="both"/>
      </w:pPr>
      <w:r>
        <w:rPr>
          <w:lang w:eastAsia="zh-CN"/>
        </w:rPr>
        <w:t>《关于发布计算污染物排放量的排污系数和物料衡算方法的公告》（原环境保护部公告2017年第81号）</w:t>
      </w:r>
    </w:p>
    <w:p w14:paraId="306C6615">
      <w:pPr>
        <w:pStyle w:val="307"/>
        <w:numPr>
          <w:ilvl w:val="0"/>
          <w:numId w:val="23"/>
        </w:numPr>
        <w:snapToGrid/>
        <w:spacing w:line="500" w:lineRule="exact"/>
        <w:ind w:left="0" w:firstLine="480"/>
        <w:jc w:val="both"/>
      </w:pPr>
      <w:r>
        <w:rPr>
          <w:lang w:val="en-US"/>
        </w:rPr>
        <w:t>《辽宁省环境保护条例》（</w:t>
      </w:r>
      <w:r>
        <w:rPr>
          <w:rFonts w:hint="eastAsia"/>
          <w:lang w:val="en-US" w:eastAsia="zh-CN"/>
        </w:rPr>
        <w:t>2020.3.30修正</w:t>
      </w:r>
      <w:r>
        <w:rPr>
          <w:lang w:val="en-US"/>
        </w:rPr>
        <w:t>实施）</w:t>
      </w:r>
    </w:p>
    <w:p w14:paraId="33B2A308">
      <w:pPr>
        <w:pStyle w:val="307"/>
        <w:numPr>
          <w:ilvl w:val="0"/>
          <w:numId w:val="23"/>
        </w:numPr>
        <w:snapToGrid/>
        <w:spacing w:line="500" w:lineRule="exact"/>
        <w:ind w:left="0" w:firstLine="480"/>
        <w:jc w:val="both"/>
      </w:pPr>
      <w:r>
        <w:rPr>
          <w:lang w:val="en-US" w:eastAsia="zh-CN"/>
        </w:rPr>
        <w:t>《辽宁省大气污染防治条例》</w:t>
      </w:r>
      <w:r>
        <w:rPr>
          <w:rFonts w:hint="eastAsia"/>
          <w:lang w:val="en-US" w:eastAsia="zh-CN"/>
        </w:rPr>
        <w:t>（2020年修订）</w:t>
      </w:r>
      <w:r>
        <w:rPr>
          <w:lang w:val="en-US" w:eastAsia="zh-CN"/>
        </w:rPr>
        <w:t>（</w:t>
      </w:r>
      <w:r>
        <w:rPr>
          <w:rFonts w:hint="eastAsia"/>
          <w:lang w:val="en-US" w:eastAsia="zh-CN"/>
        </w:rPr>
        <w:t>2020</w:t>
      </w:r>
      <w:r>
        <w:rPr>
          <w:lang w:val="en-US" w:eastAsia="zh-CN"/>
        </w:rPr>
        <w:t>.3.30</w:t>
      </w:r>
      <w:r>
        <w:rPr>
          <w:rFonts w:hint="eastAsia"/>
          <w:lang w:val="en-US" w:eastAsia="zh-CN"/>
        </w:rPr>
        <w:t>实施</w:t>
      </w:r>
      <w:r>
        <w:rPr>
          <w:lang w:val="en-US" w:eastAsia="zh-CN"/>
        </w:rPr>
        <w:t>）</w:t>
      </w:r>
    </w:p>
    <w:p w14:paraId="1D67CC63">
      <w:pPr>
        <w:pStyle w:val="307"/>
        <w:numPr>
          <w:ilvl w:val="0"/>
          <w:numId w:val="23"/>
        </w:numPr>
        <w:snapToGrid/>
        <w:spacing w:line="500" w:lineRule="exact"/>
        <w:ind w:left="0" w:firstLine="480"/>
        <w:jc w:val="both"/>
      </w:pPr>
      <w:r>
        <w:rPr>
          <w:lang w:val="en-US"/>
        </w:rPr>
        <w:t>《辽宁省地下水资源保护条例》</w:t>
      </w:r>
      <w:r>
        <w:rPr>
          <w:rFonts w:hint="eastAsia"/>
          <w:lang w:val="en-US" w:eastAsia="zh-CN"/>
        </w:rPr>
        <w:t>（2020年修订）</w:t>
      </w:r>
      <w:r>
        <w:rPr>
          <w:lang w:val="en-US" w:eastAsia="zh-CN"/>
        </w:rPr>
        <w:t>（</w:t>
      </w:r>
      <w:r>
        <w:rPr>
          <w:rFonts w:hint="eastAsia"/>
          <w:lang w:val="en-US" w:eastAsia="zh-CN"/>
        </w:rPr>
        <w:t>2020</w:t>
      </w:r>
      <w:r>
        <w:rPr>
          <w:lang w:val="en-US" w:eastAsia="zh-CN"/>
        </w:rPr>
        <w:t>.3.30</w:t>
      </w:r>
      <w:r>
        <w:rPr>
          <w:rFonts w:hint="eastAsia"/>
          <w:lang w:val="en-US" w:eastAsia="zh-CN"/>
        </w:rPr>
        <w:t>实施</w:t>
      </w:r>
      <w:r>
        <w:rPr>
          <w:lang w:val="en-US" w:eastAsia="zh-CN"/>
        </w:rPr>
        <w:t>）</w:t>
      </w:r>
    </w:p>
    <w:p w14:paraId="7CFA3BAC">
      <w:pPr>
        <w:pStyle w:val="307"/>
        <w:numPr>
          <w:ilvl w:val="0"/>
          <w:numId w:val="23"/>
        </w:numPr>
        <w:snapToGrid/>
        <w:spacing w:line="500" w:lineRule="exact"/>
        <w:ind w:left="0" w:firstLine="480"/>
        <w:jc w:val="both"/>
        <w:rPr>
          <w:rFonts w:hint="eastAsia"/>
        </w:rPr>
      </w:pPr>
      <w:r>
        <w:rPr>
          <w:lang w:val="en-US"/>
        </w:rPr>
        <w:t>《辽宁省固体废物污染环境防治办法》</w:t>
      </w:r>
      <w:r>
        <w:rPr>
          <w:rFonts w:hint="eastAsia"/>
          <w:lang w:val="en-US" w:eastAsia="zh-CN"/>
        </w:rPr>
        <w:t>（2</w:t>
      </w:r>
      <w:r>
        <w:rPr>
          <w:lang w:val="en-US" w:eastAsia="zh-CN"/>
        </w:rPr>
        <w:t>017</w:t>
      </w:r>
      <w:r>
        <w:rPr>
          <w:rFonts w:hint="eastAsia"/>
          <w:lang w:val="en-US" w:eastAsia="zh-CN"/>
        </w:rPr>
        <w:t>年修订）</w:t>
      </w:r>
      <w:r>
        <w:rPr>
          <w:lang w:val="en-US"/>
        </w:rPr>
        <w:t>（辽宁省人民政府令第311号公布，2017.11.29</w:t>
      </w:r>
      <w:r>
        <w:rPr>
          <w:rFonts w:hint="eastAsia"/>
          <w:lang w:val="en-US" w:eastAsia="zh-CN"/>
        </w:rPr>
        <w:t>实施</w:t>
      </w:r>
      <w:r>
        <w:rPr>
          <w:lang w:val="en-US"/>
        </w:rPr>
        <w:t>）</w:t>
      </w:r>
    </w:p>
    <w:p w14:paraId="7577EE83">
      <w:pPr>
        <w:pStyle w:val="307"/>
        <w:numPr>
          <w:ilvl w:val="0"/>
          <w:numId w:val="23"/>
        </w:numPr>
        <w:snapToGrid/>
        <w:spacing w:line="500" w:lineRule="exact"/>
        <w:ind w:left="0" w:firstLine="480"/>
        <w:jc w:val="both"/>
      </w:pPr>
      <w:r>
        <w:rPr>
          <w:lang w:val="en-US"/>
        </w:rPr>
        <w:t>《辽宁省扬尘污染防治管理办法》（辽宁省人民政府令2013年第283号，2013.07.01施行）</w:t>
      </w:r>
    </w:p>
    <w:p w14:paraId="32AFD4D6">
      <w:pPr>
        <w:pStyle w:val="307"/>
        <w:numPr>
          <w:ilvl w:val="0"/>
          <w:numId w:val="23"/>
        </w:numPr>
        <w:snapToGrid/>
        <w:spacing w:line="500" w:lineRule="exact"/>
        <w:ind w:left="0" w:firstLine="480"/>
        <w:jc w:val="both"/>
      </w:pPr>
      <w:r>
        <w:rPr>
          <w:lang w:val="en-US" w:eastAsia="zh-CN"/>
        </w:rPr>
        <w:t>《辽宁省污染源自动监控管理办法》（辽环发[2015]31号）</w:t>
      </w:r>
    </w:p>
    <w:p w14:paraId="062F100A">
      <w:pPr>
        <w:pStyle w:val="307"/>
        <w:numPr>
          <w:ilvl w:val="0"/>
          <w:numId w:val="23"/>
        </w:numPr>
        <w:snapToGrid/>
        <w:spacing w:line="500" w:lineRule="exact"/>
        <w:ind w:left="0" w:firstLine="480"/>
        <w:jc w:val="both"/>
        <w:rPr>
          <w:rFonts w:hint="eastAsia"/>
        </w:rPr>
      </w:pPr>
      <w:r>
        <w:rPr>
          <w:lang w:val="en-US" w:eastAsia="zh-CN"/>
        </w:rPr>
        <w:t>《辽宁省人民政府关于印发辽宁省打赢蓝天保卫战三年行动方案（2018-2020年）的通知》（辽政发[2018]31号）</w:t>
      </w:r>
    </w:p>
    <w:p w14:paraId="377905CF">
      <w:pPr>
        <w:pStyle w:val="307"/>
        <w:numPr>
          <w:ilvl w:val="0"/>
          <w:numId w:val="23"/>
        </w:numPr>
        <w:snapToGrid/>
        <w:spacing w:line="500" w:lineRule="exact"/>
        <w:ind w:left="0" w:firstLine="480"/>
        <w:jc w:val="both"/>
      </w:pPr>
      <w:r>
        <w:rPr>
          <w:lang w:val="en-US" w:eastAsia="zh-CN"/>
        </w:rPr>
        <w:t>《中共辽宁省委办公厅、辽宁省人民政府办公厅关于印发&lt;辽宁省污染防治攻坚战三年专项行动方案（2018-2020年）&gt;的通知》（辽委办发[2018]60号）</w:t>
      </w:r>
    </w:p>
    <w:p w14:paraId="53ACB9CD">
      <w:pPr>
        <w:pStyle w:val="307"/>
        <w:numPr>
          <w:ilvl w:val="0"/>
          <w:numId w:val="23"/>
        </w:numPr>
        <w:snapToGrid/>
        <w:spacing w:line="500" w:lineRule="exact"/>
        <w:ind w:left="0" w:firstLine="480"/>
        <w:jc w:val="both"/>
      </w:pPr>
      <w:r>
        <w:rPr>
          <w:lang w:val="en-US" w:eastAsia="zh-CN"/>
        </w:rPr>
        <w:t>《关于印发&lt;辽宁省工业炉窑大气污染综合治理实施方案&gt;的函》（辽环函[2020]29号）</w:t>
      </w:r>
    </w:p>
    <w:p w14:paraId="53FF9D39">
      <w:pPr>
        <w:pStyle w:val="307"/>
        <w:numPr>
          <w:ilvl w:val="0"/>
          <w:numId w:val="23"/>
        </w:numPr>
        <w:snapToGrid/>
        <w:spacing w:line="500" w:lineRule="exact"/>
        <w:ind w:left="0" w:firstLine="480"/>
        <w:jc w:val="both"/>
      </w:pPr>
      <w:r>
        <w:rPr>
          <w:lang w:val="en-US"/>
        </w:rPr>
        <w:t>《关于加强建设项目环境影响评价管理和环境风险防范工作的通知》（辽环函[2012]346号）</w:t>
      </w:r>
    </w:p>
    <w:p w14:paraId="736864D1">
      <w:pPr>
        <w:pStyle w:val="307"/>
        <w:numPr>
          <w:ilvl w:val="0"/>
          <w:numId w:val="23"/>
        </w:numPr>
        <w:snapToGrid/>
        <w:spacing w:line="500" w:lineRule="exact"/>
        <w:ind w:left="0" w:firstLine="480"/>
        <w:jc w:val="both"/>
      </w:pPr>
      <w:r>
        <w:rPr>
          <w:lang w:val="en-US"/>
        </w:rPr>
        <w:t>《辽宁省人民政府关于加强环境保护重点工作的实施意见》（辽政发[2010]39号）</w:t>
      </w:r>
    </w:p>
    <w:p w14:paraId="156F3B28">
      <w:pPr>
        <w:pStyle w:val="307"/>
        <w:numPr>
          <w:ilvl w:val="0"/>
          <w:numId w:val="23"/>
        </w:numPr>
        <w:snapToGrid/>
        <w:spacing w:line="500" w:lineRule="exact"/>
        <w:ind w:left="0" w:firstLine="480"/>
        <w:jc w:val="both"/>
      </w:pPr>
      <w:r>
        <w:rPr>
          <w:lang w:val="en-US"/>
        </w:rPr>
        <w:t>《关于全面加强危险废物环境管理有关问题的通知》（辽环发[2012]9号，2012.3.1）</w:t>
      </w:r>
    </w:p>
    <w:p w14:paraId="515F1758">
      <w:pPr>
        <w:pStyle w:val="307"/>
        <w:numPr>
          <w:ilvl w:val="0"/>
          <w:numId w:val="23"/>
        </w:numPr>
        <w:snapToGrid/>
        <w:spacing w:line="500" w:lineRule="exact"/>
        <w:ind w:left="0" w:firstLine="480"/>
        <w:jc w:val="both"/>
        <w:rPr>
          <w:rFonts w:hint="eastAsia"/>
        </w:rPr>
      </w:pPr>
      <w:r>
        <w:rPr>
          <w:lang w:val="en-US" w:eastAsia="zh-CN"/>
        </w:rPr>
        <w:t>《辽宁省钢铁企业超低排放改造实施方案》（辽环综函[2019]212号，2019.12.6）</w:t>
      </w:r>
    </w:p>
    <w:p w14:paraId="3505593A">
      <w:pPr>
        <w:pStyle w:val="307"/>
        <w:numPr>
          <w:ilvl w:val="0"/>
          <w:numId w:val="23"/>
        </w:numPr>
        <w:snapToGrid/>
        <w:spacing w:line="500" w:lineRule="exact"/>
        <w:ind w:left="0" w:firstLine="480"/>
        <w:jc w:val="both"/>
        <w:rPr>
          <w:rFonts w:hint="eastAsia"/>
          <w:lang w:val="en-US" w:eastAsia="zh-CN"/>
        </w:rPr>
      </w:pPr>
      <w:r>
        <w:rPr>
          <w:rFonts w:hint="eastAsia"/>
          <w:lang w:val="en-US" w:eastAsia="zh-CN"/>
        </w:rPr>
        <w:t>《辽宁省生态环境厅关于进一步加强建设项目主要污染物排放总量指标审核和管理的通知》（</w:t>
      </w:r>
      <w:r>
        <w:rPr>
          <w:lang w:val="en-US" w:eastAsia="zh-CN"/>
        </w:rPr>
        <w:t>辽环综函[2020]380号</w:t>
      </w:r>
      <w:r>
        <w:rPr>
          <w:rFonts w:hint="eastAsia"/>
          <w:lang w:val="en-US" w:eastAsia="zh-CN"/>
        </w:rPr>
        <w:t>）</w:t>
      </w:r>
    </w:p>
    <w:p w14:paraId="0124A6A1">
      <w:pPr>
        <w:pStyle w:val="307"/>
        <w:numPr>
          <w:ilvl w:val="0"/>
          <w:numId w:val="23"/>
        </w:numPr>
        <w:snapToGrid/>
        <w:spacing w:line="500" w:lineRule="exact"/>
        <w:ind w:left="0" w:firstLine="480"/>
        <w:jc w:val="both"/>
        <w:rPr>
          <w:rFonts w:hint="eastAsia"/>
          <w:lang w:val="en-US" w:eastAsia="zh-CN"/>
        </w:rPr>
      </w:pPr>
      <w:r>
        <w:rPr>
          <w:rFonts w:hint="eastAsia"/>
          <w:lang w:val="en-US" w:eastAsia="zh-CN"/>
        </w:rPr>
        <w:t>《辽宁省人民政府办公厅关于加强全省高能耗、高排放项目准入管理的意见》（辽政办发[2021]6号）</w:t>
      </w:r>
    </w:p>
    <w:p w14:paraId="5880AC50">
      <w:pPr>
        <w:pStyle w:val="307"/>
        <w:numPr>
          <w:ilvl w:val="0"/>
          <w:numId w:val="23"/>
        </w:numPr>
        <w:snapToGrid/>
        <w:spacing w:line="500" w:lineRule="exact"/>
        <w:ind w:left="0" w:firstLine="480"/>
        <w:jc w:val="both"/>
        <w:rPr>
          <w:lang w:val="en-US" w:eastAsia="zh-CN"/>
        </w:rPr>
      </w:pPr>
      <w:r>
        <w:rPr>
          <w:rFonts w:hint="eastAsia"/>
          <w:lang w:val="en-US" w:eastAsia="zh-CN"/>
        </w:rPr>
        <w:t>《辽宁省突发环境事件应急预案备案行业名录（试行）》（</w:t>
      </w:r>
      <w:r>
        <w:rPr>
          <w:lang w:val="en-US" w:eastAsia="zh-CN"/>
        </w:rPr>
        <w:t>辽环综函[2020]192号</w:t>
      </w:r>
      <w:r>
        <w:rPr>
          <w:rFonts w:hint="eastAsia"/>
          <w:lang w:val="en-US" w:eastAsia="zh-CN"/>
        </w:rPr>
        <w:t>）</w:t>
      </w:r>
    </w:p>
    <w:p w14:paraId="76D5F808">
      <w:pPr>
        <w:pStyle w:val="307"/>
        <w:numPr>
          <w:ilvl w:val="0"/>
          <w:numId w:val="23"/>
        </w:numPr>
        <w:snapToGrid/>
        <w:spacing w:line="500" w:lineRule="exact"/>
        <w:ind w:left="0" w:firstLine="480"/>
        <w:jc w:val="both"/>
        <w:rPr>
          <w:rFonts w:hint="eastAsia"/>
          <w:highlight w:val="none"/>
          <w:lang w:val="en-US" w:eastAsia="zh-CN"/>
        </w:rPr>
      </w:pPr>
      <w:r>
        <w:rPr>
          <w:rFonts w:hint="eastAsia"/>
          <w:highlight w:val="none"/>
          <w:lang w:val="en-US" w:eastAsia="zh-CN"/>
        </w:rPr>
        <w:t>《本溪市人民政府关于实施“三线一单”生态环境分区管控的意见》（本政发〔2021〕8号）</w:t>
      </w:r>
    </w:p>
    <w:p w14:paraId="16877F31">
      <w:pPr>
        <w:pStyle w:val="307"/>
        <w:numPr>
          <w:ilvl w:val="0"/>
          <w:numId w:val="23"/>
        </w:numPr>
        <w:snapToGrid/>
        <w:spacing w:line="500" w:lineRule="exact"/>
        <w:ind w:left="0" w:firstLine="480"/>
        <w:jc w:val="both"/>
        <w:rPr>
          <w:rFonts w:hint="eastAsia"/>
          <w:highlight w:val="none"/>
          <w:lang w:val="en-US" w:eastAsia="zh-CN"/>
        </w:rPr>
      </w:pPr>
      <w:r>
        <w:rPr>
          <w:rFonts w:hint="eastAsia" w:eastAsia="宋体"/>
          <w:highlight w:val="none"/>
        </w:rPr>
        <w:t>《关于&lt;本溪市生态环境分区管控成果动态更新&gt;的通知》（2024 年12 月11 日）</w:t>
      </w:r>
    </w:p>
    <w:p w14:paraId="397DA7EF">
      <w:pPr>
        <w:pStyle w:val="7"/>
      </w:pPr>
      <w:bookmarkStart w:id="36" w:name="_Toc151258700"/>
      <w:bookmarkStart w:id="37" w:name="_Toc151276119"/>
      <w:bookmarkStart w:id="38" w:name="_Toc151200071"/>
      <w:bookmarkStart w:id="39" w:name="_Toc151200231"/>
      <w:bookmarkStart w:id="40" w:name="_Toc90026184"/>
      <w:bookmarkStart w:id="41" w:name="_Toc15209"/>
      <w:r>
        <w:t>1.1.2 技术导则</w:t>
      </w:r>
      <w:bookmarkEnd w:id="36"/>
      <w:bookmarkEnd w:id="37"/>
      <w:bookmarkEnd w:id="38"/>
      <w:bookmarkEnd w:id="39"/>
      <w:r>
        <w:t>及技术指南</w:t>
      </w:r>
      <w:bookmarkEnd w:id="40"/>
      <w:bookmarkEnd w:id="41"/>
    </w:p>
    <w:p w14:paraId="6385B10B">
      <w:pPr>
        <w:numPr>
          <w:ilvl w:val="0"/>
          <w:numId w:val="24"/>
        </w:numPr>
        <w:spacing w:line="500" w:lineRule="exact"/>
        <w:jc w:val="both"/>
        <w:rPr>
          <w:rFonts w:ascii="Times New Roman" w:hAnsi="Times New Roman" w:cs="Times New Roman"/>
        </w:rPr>
      </w:pPr>
      <w:r>
        <w:rPr>
          <w:rFonts w:ascii="Times New Roman" w:hAnsi="Times New Roman" w:cs="Times New Roman"/>
        </w:rPr>
        <w:t>《建设项目环境影响评价技术导则 总纲》（HJ2.1-2016）</w:t>
      </w:r>
    </w:p>
    <w:p w14:paraId="51480A80">
      <w:pPr>
        <w:numPr>
          <w:ilvl w:val="0"/>
          <w:numId w:val="24"/>
        </w:numPr>
        <w:spacing w:line="500" w:lineRule="exact"/>
        <w:jc w:val="both"/>
        <w:rPr>
          <w:rFonts w:ascii="Times New Roman" w:hAnsi="Times New Roman" w:cs="Times New Roman"/>
        </w:rPr>
      </w:pPr>
      <w:r>
        <w:rPr>
          <w:rFonts w:ascii="Times New Roman" w:hAnsi="Times New Roman" w:cs="Times New Roman"/>
        </w:rPr>
        <w:t>《环境影响评价技术导则 大气环境》（HJ2.2-2018）</w:t>
      </w:r>
    </w:p>
    <w:p w14:paraId="4143605F">
      <w:pPr>
        <w:numPr>
          <w:ilvl w:val="0"/>
          <w:numId w:val="24"/>
        </w:numPr>
        <w:spacing w:line="500" w:lineRule="exact"/>
        <w:jc w:val="both"/>
        <w:rPr>
          <w:rFonts w:ascii="Times New Roman" w:hAnsi="Times New Roman" w:cs="Times New Roman"/>
        </w:rPr>
      </w:pPr>
      <w:r>
        <w:rPr>
          <w:rFonts w:ascii="Times New Roman" w:hAnsi="Times New Roman" w:cs="Times New Roman"/>
        </w:rPr>
        <w:t>《环境影响评价技术导则 地表水环境》（HJ2.3-2018）</w:t>
      </w:r>
    </w:p>
    <w:p w14:paraId="2FC3558E">
      <w:pPr>
        <w:numPr>
          <w:ilvl w:val="0"/>
          <w:numId w:val="24"/>
        </w:numPr>
        <w:spacing w:line="500" w:lineRule="exact"/>
        <w:jc w:val="both"/>
        <w:rPr>
          <w:rFonts w:ascii="Times New Roman" w:hAnsi="Times New Roman" w:cs="Times New Roman"/>
        </w:rPr>
      </w:pPr>
      <w:r>
        <w:rPr>
          <w:rFonts w:ascii="Times New Roman" w:hAnsi="Times New Roman" w:cs="Times New Roman"/>
        </w:rPr>
        <w:t>《环境影响评价技术导则 地下水环境》（HJ 610-2016）</w:t>
      </w:r>
    </w:p>
    <w:p w14:paraId="61714BAD">
      <w:pPr>
        <w:numPr>
          <w:ilvl w:val="0"/>
          <w:numId w:val="24"/>
        </w:numPr>
        <w:spacing w:line="500" w:lineRule="exact"/>
        <w:jc w:val="both"/>
        <w:rPr>
          <w:rFonts w:ascii="Times New Roman" w:hAnsi="Times New Roman" w:cs="Times New Roman"/>
        </w:rPr>
      </w:pPr>
      <w:r>
        <w:rPr>
          <w:rFonts w:ascii="Times New Roman" w:hAnsi="Times New Roman" w:cs="Times New Roman"/>
        </w:rPr>
        <w:t>《环境影响评价技术导则 声环境》（HJ2.4-2009）</w:t>
      </w:r>
    </w:p>
    <w:p w14:paraId="102F7FF7">
      <w:pPr>
        <w:numPr>
          <w:ilvl w:val="0"/>
          <w:numId w:val="24"/>
        </w:numPr>
        <w:spacing w:line="500" w:lineRule="exact"/>
        <w:jc w:val="both"/>
        <w:rPr>
          <w:rFonts w:ascii="Times New Roman" w:hAnsi="Times New Roman" w:cs="Times New Roman"/>
        </w:rPr>
      </w:pPr>
      <w:r>
        <w:rPr>
          <w:rFonts w:ascii="Times New Roman" w:hAnsi="Times New Roman" w:cs="Times New Roman"/>
        </w:rPr>
        <w:t>《环境影响评价技术导则 土壤环境（试行）》（HJ964-2018）</w:t>
      </w:r>
    </w:p>
    <w:p w14:paraId="7591AB2C">
      <w:pPr>
        <w:numPr>
          <w:ilvl w:val="0"/>
          <w:numId w:val="24"/>
        </w:numPr>
        <w:spacing w:line="500" w:lineRule="exact"/>
        <w:jc w:val="both"/>
        <w:rPr>
          <w:rFonts w:ascii="Times New Roman" w:hAnsi="Times New Roman" w:cs="Times New Roman"/>
        </w:rPr>
      </w:pPr>
      <w:r>
        <w:rPr>
          <w:rFonts w:ascii="Times New Roman" w:hAnsi="Times New Roman" w:cs="Times New Roman"/>
        </w:rPr>
        <w:t>《环境影响评价技术导则 生态影响》（HJ19-2011）</w:t>
      </w:r>
    </w:p>
    <w:p w14:paraId="700C299A">
      <w:pPr>
        <w:numPr>
          <w:ilvl w:val="0"/>
          <w:numId w:val="24"/>
        </w:numPr>
        <w:spacing w:line="500" w:lineRule="exact"/>
        <w:jc w:val="both"/>
        <w:rPr>
          <w:rFonts w:ascii="Times New Roman" w:hAnsi="Times New Roman" w:cs="Times New Roman"/>
        </w:rPr>
      </w:pPr>
      <w:r>
        <w:rPr>
          <w:rFonts w:ascii="Times New Roman" w:hAnsi="Times New Roman" w:cs="Times New Roman"/>
        </w:rPr>
        <w:t>《建设项目环境风险评价技术导则》（HJ169-2018）</w:t>
      </w:r>
    </w:p>
    <w:p w14:paraId="53824EF4">
      <w:pPr>
        <w:numPr>
          <w:ilvl w:val="0"/>
          <w:numId w:val="24"/>
        </w:numPr>
        <w:spacing w:line="500" w:lineRule="exact"/>
        <w:jc w:val="both"/>
        <w:rPr>
          <w:rFonts w:ascii="Times New Roman" w:hAnsi="Times New Roman" w:cs="Times New Roman"/>
        </w:rPr>
      </w:pPr>
      <w:r>
        <w:rPr>
          <w:rFonts w:ascii="Times New Roman" w:hAnsi="Times New Roman" w:cs="Times New Roman"/>
        </w:rPr>
        <w:t>《环境影响评价技术导则 钢铁建设项目》（HJ708-2014）</w:t>
      </w:r>
    </w:p>
    <w:p w14:paraId="4D68FFB4">
      <w:pPr>
        <w:numPr>
          <w:ilvl w:val="0"/>
          <w:numId w:val="24"/>
        </w:numPr>
        <w:spacing w:line="500" w:lineRule="exact"/>
        <w:ind w:left="0" w:firstLine="480" w:firstLineChars="200"/>
        <w:jc w:val="both"/>
        <w:rPr>
          <w:rFonts w:ascii="Times New Roman" w:hAnsi="Times New Roman" w:cs="Times New Roman"/>
        </w:rPr>
      </w:pPr>
      <w:r>
        <w:rPr>
          <w:rFonts w:ascii="Times New Roman" w:hAnsi="Times New Roman" w:cs="Times New Roman"/>
        </w:rPr>
        <w:t>《建设项目危险废物环境影响评价指南》（环境保护部公告2017年第43号）</w:t>
      </w:r>
    </w:p>
    <w:p w14:paraId="7B86DEF5">
      <w:pPr>
        <w:numPr>
          <w:ilvl w:val="0"/>
          <w:numId w:val="24"/>
        </w:numPr>
        <w:spacing w:line="500" w:lineRule="exact"/>
        <w:ind w:left="0" w:firstLine="480" w:firstLineChars="200"/>
        <w:jc w:val="both"/>
        <w:rPr>
          <w:rFonts w:ascii="Times New Roman" w:hAnsi="Times New Roman" w:cs="Times New Roman"/>
        </w:rPr>
      </w:pPr>
      <w:r>
        <w:rPr>
          <w:rFonts w:ascii="Times New Roman" w:hAnsi="Times New Roman" w:cs="Times New Roman"/>
        </w:rPr>
        <w:t>《污染源源强核算技术指南 准则》（HJ884-2018）</w:t>
      </w:r>
    </w:p>
    <w:p w14:paraId="315979A2">
      <w:pPr>
        <w:numPr>
          <w:ilvl w:val="0"/>
          <w:numId w:val="24"/>
        </w:numPr>
        <w:spacing w:line="500" w:lineRule="exact"/>
        <w:ind w:left="0" w:firstLine="480" w:firstLineChars="200"/>
        <w:jc w:val="both"/>
        <w:rPr>
          <w:rFonts w:ascii="Times New Roman" w:hAnsi="Times New Roman" w:cs="Times New Roman"/>
        </w:rPr>
      </w:pPr>
      <w:r>
        <w:rPr>
          <w:rFonts w:ascii="Times New Roman" w:hAnsi="Times New Roman" w:cs="Times New Roman"/>
        </w:rPr>
        <w:t>《污染源源强核算技术指南 钢铁工业》（HJ885-2018）</w:t>
      </w:r>
    </w:p>
    <w:p w14:paraId="1057739D">
      <w:pPr>
        <w:numPr>
          <w:ilvl w:val="0"/>
          <w:numId w:val="24"/>
        </w:numPr>
        <w:spacing w:line="500" w:lineRule="exact"/>
        <w:ind w:left="0" w:firstLine="480" w:firstLineChars="200"/>
        <w:jc w:val="both"/>
        <w:rPr>
          <w:rFonts w:ascii="Times New Roman" w:hAnsi="Times New Roman" w:cs="Times New Roman"/>
        </w:rPr>
      </w:pPr>
      <w:r>
        <w:rPr>
          <w:rFonts w:ascii="Times New Roman" w:hAnsi="Times New Roman" w:cs="Times New Roman"/>
        </w:rPr>
        <w:t>《排污单位自行监测技术指南 总则》（HJ819-2017）</w:t>
      </w:r>
    </w:p>
    <w:p w14:paraId="32186E16">
      <w:pPr>
        <w:numPr>
          <w:ilvl w:val="0"/>
          <w:numId w:val="24"/>
        </w:numPr>
        <w:spacing w:line="500" w:lineRule="exact"/>
        <w:ind w:left="0" w:firstLine="480" w:firstLineChars="200"/>
        <w:jc w:val="both"/>
        <w:rPr>
          <w:rFonts w:ascii="Times New Roman" w:hAnsi="Times New Roman" w:cs="Times New Roman"/>
        </w:rPr>
      </w:pPr>
      <w:r>
        <w:rPr>
          <w:rFonts w:ascii="Times New Roman" w:hAnsi="Times New Roman" w:cs="Times New Roman"/>
        </w:rPr>
        <w:t>《排污单位自行监测技术指南 钢铁工业及炼焦化学工业》（HJ878-2017）</w:t>
      </w:r>
    </w:p>
    <w:p w14:paraId="67B45C21">
      <w:pPr>
        <w:numPr>
          <w:ilvl w:val="0"/>
          <w:numId w:val="24"/>
        </w:numPr>
        <w:spacing w:line="500" w:lineRule="exact"/>
        <w:ind w:left="0" w:firstLine="480" w:firstLineChars="200"/>
        <w:jc w:val="both"/>
        <w:rPr>
          <w:rFonts w:ascii="Times New Roman" w:hAnsi="Times New Roman" w:cs="Times New Roman"/>
        </w:rPr>
      </w:pPr>
      <w:r>
        <w:rPr>
          <w:rFonts w:ascii="Times New Roman" w:hAnsi="Times New Roman" w:cs="Times New Roman"/>
        </w:rPr>
        <w:t>《钢铁企业超低排放改造技术指南》</w:t>
      </w:r>
      <w:r>
        <w:rPr>
          <w:rFonts w:hint="eastAsia" w:ascii="Times New Roman" w:hAnsi="Times New Roman" w:cs="Times New Roman"/>
        </w:rPr>
        <w:t>（中环协[2020]4号）</w:t>
      </w:r>
    </w:p>
    <w:p w14:paraId="590F723C">
      <w:pPr>
        <w:numPr>
          <w:ilvl w:val="0"/>
          <w:numId w:val="24"/>
        </w:numPr>
        <w:spacing w:line="500" w:lineRule="exact"/>
        <w:ind w:left="0" w:firstLine="480" w:firstLineChars="200"/>
        <w:jc w:val="both"/>
        <w:rPr>
          <w:rFonts w:ascii="Times New Roman" w:hAnsi="Times New Roman" w:cs="Times New Roman"/>
        </w:rPr>
      </w:pPr>
      <w:r>
        <w:rPr>
          <w:rFonts w:ascii="Times New Roman" w:hAnsi="Times New Roman" w:cs="Times New Roman"/>
        </w:rPr>
        <w:t>《钢铁行业炼钢工艺污染防治最佳可行技术指南（试行）》（HJ-BAT-005）</w:t>
      </w:r>
    </w:p>
    <w:p w14:paraId="794F5F46">
      <w:pPr>
        <w:pStyle w:val="7"/>
      </w:pPr>
      <w:bookmarkStart w:id="42" w:name="_Toc90026185"/>
      <w:bookmarkStart w:id="43" w:name="_Toc8450"/>
      <w:bookmarkStart w:id="44" w:name="_Toc151258701"/>
      <w:bookmarkStart w:id="45" w:name="_Toc151276120"/>
      <w:bookmarkStart w:id="46" w:name="_Toc151200072"/>
      <w:bookmarkStart w:id="47" w:name="_Toc151200232"/>
      <w:r>
        <w:t>1.1.3 规范文件及相关名录</w:t>
      </w:r>
      <w:bookmarkEnd w:id="42"/>
      <w:bookmarkEnd w:id="43"/>
    </w:p>
    <w:p w14:paraId="56AD2343">
      <w:pPr>
        <w:pStyle w:val="307"/>
        <w:numPr>
          <w:ilvl w:val="0"/>
          <w:numId w:val="25"/>
        </w:numPr>
        <w:snapToGrid/>
        <w:spacing w:line="500" w:lineRule="exact"/>
        <w:ind w:firstLineChars="0"/>
        <w:jc w:val="both"/>
        <w:rPr>
          <w:rFonts w:hint="eastAsia"/>
        </w:rPr>
      </w:pPr>
      <w:r>
        <w:t>《产业结构调整</w:t>
      </w:r>
      <w:r>
        <w:rPr>
          <w:lang w:eastAsia="zh-CN"/>
        </w:rPr>
        <w:t>指导</w:t>
      </w:r>
      <w:r>
        <w:t>目录》（20</w:t>
      </w:r>
      <w:r>
        <w:rPr>
          <w:rFonts w:hint="eastAsia"/>
          <w:lang w:val="en-US" w:eastAsia="zh-CN"/>
        </w:rPr>
        <w:t>24</w:t>
      </w:r>
      <w:r>
        <w:t>年本）</w:t>
      </w:r>
    </w:p>
    <w:p w14:paraId="1CDBC0E3">
      <w:pPr>
        <w:numPr>
          <w:ilvl w:val="0"/>
          <w:numId w:val="25"/>
        </w:numPr>
        <w:spacing w:line="500" w:lineRule="exact"/>
        <w:jc w:val="both"/>
        <w:rPr>
          <w:rFonts w:ascii="Times New Roman" w:hAnsi="Times New Roman" w:cs="Times New Roman"/>
        </w:rPr>
      </w:pPr>
      <w:r>
        <w:rPr>
          <w:rFonts w:ascii="Times New Roman" w:hAnsi="Times New Roman" w:cs="Times New Roman"/>
        </w:rPr>
        <w:t>《危险废物收集贮存运输技术规范》（HJ2025-2012）</w:t>
      </w:r>
    </w:p>
    <w:p w14:paraId="0778919B">
      <w:pPr>
        <w:numPr>
          <w:ilvl w:val="0"/>
          <w:numId w:val="25"/>
        </w:numPr>
        <w:spacing w:line="500" w:lineRule="exact"/>
        <w:jc w:val="both"/>
        <w:rPr>
          <w:rFonts w:ascii="Times New Roman" w:hAnsi="Times New Roman" w:cs="Times New Roman"/>
        </w:rPr>
      </w:pPr>
      <w:r>
        <w:rPr>
          <w:rFonts w:ascii="Times New Roman" w:hAnsi="Times New Roman" w:cs="Times New Roman"/>
        </w:rPr>
        <w:t>《国家危险废物名录（2021</w:t>
      </w:r>
      <w:r>
        <w:rPr>
          <w:rFonts w:hint="eastAsia" w:ascii="Times New Roman" w:hAnsi="Times New Roman" w:cs="Times New Roman"/>
        </w:rPr>
        <w:t>年</w:t>
      </w:r>
      <w:r>
        <w:rPr>
          <w:rFonts w:ascii="Times New Roman" w:hAnsi="Times New Roman" w:cs="Times New Roman"/>
        </w:rPr>
        <w:t>版）》</w:t>
      </w:r>
    </w:p>
    <w:p w14:paraId="15718313">
      <w:pPr>
        <w:numPr>
          <w:ilvl w:val="0"/>
          <w:numId w:val="25"/>
        </w:numPr>
        <w:spacing w:line="500" w:lineRule="exact"/>
        <w:jc w:val="both"/>
        <w:rPr>
          <w:rFonts w:ascii="Times New Roman" w:hAnsi="Times New Roman" w:cs="Times New Roman"/>
        </w:rPr>
      </w:pPr>
      <w:r>
        <w:rPr>
          <w:rFonts w:hint="eastAsia" w:ascii="Times New Roman" w:hAnsi="Times New Roman" w:cs="Times New Roman"/>
        </w:rPr>
        <w:t>《一般固体废物分类与代码》（G</w:t>
      </w:r>
      <w:r>
        <w:rPr>
          <w:rFonts w:ascii="Times New Roman" w:hAnsi="Times New Roman" w:cs="Times New Roman"/>
        </w:rPr>
        <w:t>B/T39198-2020</w:t>
      </w:r>
      <w:r>
        <w:rPr>
          <w:rFonts w:hint="eastAsia" w:ascii="Times New Roman" w:hAnsi="Times New Roman" w:cs="Times New Roman"/>
        </w:rPr>
        <w:t>）</w:t>
      </w:r>
    </w:p>
    <w:p w14:paraId="098E60B6">
      <w:pPr>
        <w:numPr>
          <w:ilvl w:val="0"/>
          <w:numId w:val="25"/>
        </w:numPr>
        <w:spacing w:line="500" w:lineRule="exact"/>
        <w:jc w:val="both"/>
        <w:rPr>
          <w:rFonts w:ascii="Times New Roman" w:hAnsi="Times New Roman" w:eastAsia="PMingLiU-ExtB" w:cs="Times New Roman"/>
        </w:rPr>
      </w:pPr>
      <w:r>
        <w:rPr>
          <w:rFonts w:ascii="Times New Roman" w:hAnsi="Times New Roman" w:cs="Times New Roman"/>
        </w:rPr>
        <w:t>《有毒有害大气污染物名录（2018年）》</w:t>
      </w:r>
    </w:p>
    <w:p w14:paraId="08C37378">
      <w:pPr>
        <w:numPr>
          <w:ilvl w:val="0"/>
          <w:numId w:val="25"/>
        </w:numPr>
        <w:spacing w:line="500" w:lineRule="exact"/>
        <w:jc w:val="both"/>
        <w:rPr>
          <w:rFonts w:ascii="Times New Roman" w:hAnsi="Times New Roman" w:cs="Times New Roman"/>
        </w:rPr>
      </w:pPr>
      <w:r>
        <w:rPr>
          <w:rFonts w:ascii="Times New Roman" w:hAnsi="Times New Roman" w:cs="Times New Roman"/>
        </w:rPr>
        <w:t>《钢铁工业除尘工程技术规范》（HJ435-2008）</w:t>
      </w:r>
    </w:p>
    <w:p w14:paraId="27A38596">
      <w:pPr>
        <w:numPr>
          <w:ilvl w:val="0"/>
          <w:numId w:val="25"/>
        </w:numPr>
        <w:spacing w:line="500" w:lineRule="exact"/>
        <w:jc w:val="both"/>
        <w:rPr>
          <w:rFonts w:ascii="Times New Roman" w:hAnsi="Times New Roman" w:cs="Times New Roman"/>
        </w:rPr>
      </w:pPr>
      <w:r>
        <w:rPr>
          <w:rFonts w:ascii="Times New Roman" w:hAnsi="Times New Roman" w:cs="Times New Roman"/>
        </w:rPr>
        <w:t>《排污许可证申请与核发技术规范 钢铁工业》（HJ846-2017）</w:t>
      </w:r>
    </w:p>
    <w:p w14:paraId="1F51FAEF">
      <w:pPr>
        <w:pStyle w:val="7"/>
      </w:pPr>
      <w:bookmarkStart w:id="48" w:name="_Toc90026186"/>
      <w:bookmarkStart w:id="49" w:name="_Toc23485"/>
      <w:r>
        <w:t>1.1.</w:t>
      </w:r>
      <w:bookmarkEnd w:id="44"/>
      <w:bookmarkEnd w:id="45"/>
      <w:bookmarkEnd w:id="46"/>
      <w:bookmarkEnd w:id="47"/>
      <w:r>
        <w:t>4 规划及项目相关文件</w:t>
      </w:r>
      <w:bookmarkEnd w:id="48"/>
      <w:bookmarkEnd w:id="49"/>
      <w:r>
        <w:t xml:space="preserve"> </w:t>
      </w:r>
    </w:p>
    <w:p w14:paraId="1C9D6B76">
      <w:pPr>
        <w:pStyle w:val="307"/>
        <w:numPr>
          <w:ilvl w:val="0"/>
          <w:numId w:val="26"/>
        </w:numPr>
        <w:snapToGrid/>
        <w:spacing w:line="500" w:lineRule="exact"/>
        <w:ind w:firstLineChars="0"/>
        <w:jc w:val="both"/>
        <w:rPr>
          <w:lang w:eastAsia="zh-CN"/>
        </w:rPr>
      </w:pPr>
      <w:r>
        <w:rPr>
          <w:rFonts w:hint="eastAsia"/>
          <w:lang w:eastAsia="zh-CN"/>
        </w:rPr>
        <w:t>《辽宁省主体功能区规划》</w:t>
      </w:r>
    </w:p>
    <w:p w14:paraId="56009FC7">
      <w:pPr>
        <w:pStyle w:val="307"/>
        <w:numPr>
          <w:ilvl w:val="0"/>
          <w:numId w:val="26"/>
        </w:numPr>
        <w:snapToGrid/>
        <w:spacing w:line="500" w:lineRule="exact"/>
        <w:ind w:firstLineChars="0"/>
        <w:jc w:val="both"/>
        <w:rPr>
          <w:lang w:eastAsia="zh-CN"/>
        </w:rPr>
      </w:pPr>
      <w:r>
        <w:rPr>
          <w:rFonts w:hint="eastAsia"/>
          <w:color w:val="000000" w:themeColor="text1"/>
          <w:kern w:val="0"/>
          <w14:textFill>
            <w14:solidFill>
              <w14:schemeClr w14:val="tx1"/>
            </w14:solidFill>
          </w14:textFill>
        </w:rPr>
        <w:t>本溪市国土空间总体规划（2021-2035年）</w:t>
      </w:r>
    </w:p>
    <w:p w14:paraId="1F24201B">
      <w:pPr>
        <w:pStyle w:val="307"/>
        <w:numPr>
          <w:ilvl w:val="0"/>
          <w:numId w:val="26"/>
        </w:numPr>
        <w:snapToGrid/>
        <w:spacing w:line="500" w:lineRule="exact"/>
        <w:ind w:left="0" w:firstLine="480"/>
        <w:jc w:val="both"/>
        <w:rPr>
          <w:rFonts w:hint="eastAsia"/>
          <w:lang w:eastAsia="zh-CN"/>
        </w:rPr>
      </w:pPr>
      <w:r>
        <w:rPr>
          <w:lang w:eastAsia="zh-CN"/>
        </w:rPr>
        <w:t>关于《</w:t>
      </w:r>
      <w:r>
        <w:rPr>
          <w:rFonts w:hint="eastAsia"/>
          <w:lang w:eastAsia="zh-CN"/>
        </w:rPr>
        <w:t>本溪玉麒麟新材料有限公司超低排放技改项目</w:t>
      </w:r>
      <w:r>
        <w:rPr>
          <w:lang w:eastAsia="zh-CN"/>
        </w:rPr>
        <w:t>》项目备案证明</w:t>
      </w:r>
      <w:r>
        <w:t>（</w:t>
      </w:r>
      <w:r>
        <w:rPr>
          <w:rFonts w:hint="eastAsia"/>
          <w:lang w:eastAsia="zh-CN"/>
        </w:rPr>
        <w:t>本投备字(2026)1号</w:t>
      </w:r>
      <w:r>
        <w:rPr>
          <w:lang w:eastAsia="zh-CN"/>
        </w:rPr>
        <w:t>，</w:t>
      </w:r>
      <w:r>
        <w:rPr>
          <w:rFonts w:hint="eastAsia"/>
          <w:lang w:eastAsia="zh-CN"/>
        </w:rPr>
        <w:t>202</w:t>
      </w:r>
      <w:r>
        <w:rPr>
          <w:rFonts w:hint="eastAsia"/>
          <w:lang w:val="en-US" w:eastAsia="zh-CN"/>
        </w:rPr>
        <w:t>6</w:t>
      </w:r>
      <w:r>
        <w:rPr>
          <w:lang w:eastAsia="zh-CN"/>
        </w:rPr>
        <w:t>.</w:t>
      </w:r>
      <w:r>
        <w:rPr>
          <w:rFonts w:hint="eastAsia"/>
          <w:lang w:val="en-US" w:eastAsia="zh-CN"/>
        </w:rPr>
        <w:t>3</w:t>
      </w:r>
      <w:r>
        <w:rPr>
          <w:lang w:eastAsia="zh-CN"/>
        </w:rPr>
        <w:t>.</w:t>
      </w:r>
      <w:r>
        <w:rPr>
          <w:rFonts w:hint="eastAsia"/>
          <w:lang w:val="en-US" w:eastAsia="zh-CN"/>
        </w:rPr>
        <w:t>13</w:t>
      </w:r>
      <w:r>
        <w:t>）</w:t>
      </w:r>
    </w:p>
    <w:p w14:paraId="4A868212">
      <w:pPr>
        <w:pStyle w:val="307"/>
        <w:numPr>
          <w:ilvl w:val="0"/>
          <w:numId w:val="26"/>
        </w:numPr>
        <w:snapToGrid/>
        <w:spacing w:line="500" w:lineRule="exact"/>
        <w:ind w:left="0" w:firstLine="480"/>
        <w:jc w:val="both"/>
        <w:rPr>
          <w:lang w:eastAsia="zh-CN"/>
        </w:rPr>
      </w:pPr>
      <w:r>
        <w:rPr>
          <w:rFonts w:hint="eastAsia"/>
          <w:lang w:eastAsia="zh-CN"/>
        </w:rPr>
        <w:t>项目设计资料、企业前期环评资料</w:t>
      </w:r>
    </w:p>
    <w:p w14:paraId="4277A8F6">
      <w:pPr>
        <w:pStyle w:val="307"/>
        <w:numPr>
          <w:ilvl w:val="0"/>
          <w:numId w:val="26"/>
        </w:numPr>
        <w:snapToGrid/>
        <w:spacing w:line="500" w:lineRule="exact"/>
        <w:ind w:left="480" w:firstLine="0" w:firstLineChars="0"/>
        <w:jc w:val="both"/>
        <w:rPr>
          <w:rFonts w:hint="eastAsia"/>
          <w:lang w:eastAsia="zh-CN"/>
        </w:rPr>
      </w:pPr>
      <w:r>
        <w:rPr>
          <w:lang w:eastAsia="zh-CN"/>
        </w:rPr>
        <w:t>土地证、</w:t>
      </w:r>
      <w:r>
        <w:rPr>
          <w:rFonts w:hint="eastAsia"/>
          <w:lang w:eastAsia="zh-CN"/>
        </w:rPr>
        <w:t>排污许可证、验收意见及其他监测相关资料</w:t>
      </w:r>
    </w:p>
    <w:p w14:paraId="16C5CAD3">
      <w:pPr>
        <w:pStyle w:val="6"/>
        <w:spacing w:before="239"/>
      </w:pPr>
      <w:bookmarkStart w:id="50" w:name="_Toc90026103"/>
      <w:bookmarkStart w:id="51" w:name="_Toc11625"/>
      <w:r>
        <w:rPr>
          <w:rFonts w:eastAsia="华文新魏"/>
        </w:rPr>
        <w:t xml:space="preserve">1.2 </w:t>
      </w:r>
      <w:r>
        <w:t>环境影响因素识别及评价因子</w:t>
      </w:r>
      <w:bookmarkEnd w:id="50"/>
      <w:bookmarkEnd w:id="51"/>
    </w:p>
    <w:p w14:paraId="089CA1C0">
      <w:pPr>
        <w:pStyle w:val="7"/>
      </w:pPr>
      <w:bookmarkStart w:id="52" w:name="_Toc175711437"/>
      <w:bookmarkStart w:id="53" w:name="_Toc90026188"/>
      <w:bookmarkStart w:id="54" w:name="_Toc175714270"/>
      <w:bookmarkStart w:id="55" w:name="_Toc9599"/>
      <w:bookmarkStart w:id="56" w:name="_Toc166464738"/>
      <w:r>
        <w:t>1.2.1 环境影响因素识别</w:t>
      </w:r>
      <w:bookmarkEnd w:id="52"/>
      <w:bookmarkEnd w:id="53"/>
      <w:bookmarkEnd w:id="54"/>
      <w:bookmarkEnd w:id="55"/>
      <w:bookmarkEnd w:id="56"/>
    </w:p>
    <w:p w14:paraId="213E0F75">
      <w:pPr>
        <w:pStyle w:val="2"/>
        <w:spacing w:line="500" w:lineRule="exact"/>
        <w:ind w:right="0" w:firstLine="480" w:firstLineChars="200"/>
        <w:rPr>
          <w:rFonts w:hint="eastAsia" w:ascii="Times New Roman"/>
          <w:sz w:val="24"/>
        </w:rPr>
      </w:pPr>
      <w:r>
        <w:rPr>
          <w:rFonts w:ascii="Times New Roman" w:eastAsia="宋体"/>
          <w:sz w:val="24"/>
        </w:rPr>
        <w:t>根据本项目所在地环境现状调查以及对主要排污环节的分析，采用矩阵法确定项目的环境影响因素，以确定环境影响因子和评价因子，具体见表1.2-1。</w:t>
      </w:r>
    </w:p>
    <w:p w14:paraId="5254EA15">
      <w:pPr>
        <w:pStyle w:val="112"/>
        <w:snapToGrid/>
      </w:pPr>
      <w:r>
        <w:t>表1.2-1  环境影响矩阵分析</w:t>
      </w:r>
    </w:p>
    <w:tbl>
      <w:tblPr>
        <w:tblStyle w:val="56"/>
        <w:tblW w:w="5000" w:type="pct"/>
        <w:tblInd w:w="0" w:type="dxa"/>
        <w:tblBorders>
          <w:top w:val="thinThickSmallGap" w:color="auto" w:sz="12" w:space="0"/>
          <w:left w:val="none" w:color="auto" w:sz="0" w:space="0"/>
          <w:bottom w:val="thickThinSmallGap" w:color="auto" w:sz="12" w:space="0"/>
          <w:right w:val="none" w:color="auto" w:sz="0" w:space="0"/>
          <w:insideH w:val="single" w:color="auto" w:sz="6" w:space="0"/>
          <w:insideV w:val="single" w:color="auto" w:sz="6" w:space="0"/>
        </w:tblBorders>
        <w:tblLayout w:type="autofit"/>
        <w:tblCellMar>
          <w:top w:w="0" w:type="dxa"/>
          <w:left w:w="108" w:type="dxa"/>
          <w:bottom w:w="0" w:type="dxa"/>
          <w:right w:w="108" w:type="dxa"/>
        </w:tblCellMar>
      </w:tblPr>
      <w:tblGrid>
        <w:gridCol w:w="982"/>
        <w:gridCol w:w="1207"/>
        <w:gridCol w:w="2709"/>
        <w:gridCol w:w="3823"/>
      </w:tblGrid>
      <w:tr w14:paraId="5860B0FA">
        <w:tblPrEx>
          <w:tblBorders>
            <w:top w:val="thinThickSmallGap" w:color="auto" w:sz="12" w:space="0"/>
            <w:left w:val="none" w:color="auto" w:sz="0" w:space="0"/>
            <w:bottom w:val="thickThinSmallGap"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97" w:hRule="atLeast"/>
          <w:tblHeader/>
        </w:trPr>
        <w:tc>
          <w:tcPr>
            <w:tcW w:w="563" w:type="pct"/>
            <w:shd w:val="clear" w:color="auto" w:fill="D9D9D9"/>
            <w:noWrap w:val="0"/>
            <w:vAlign w:val="center"/>
          </w:tcPr>
          <w:p w14:paraId="079952C5">
            <w:pPr>
              <w:autoSpaceDE w:val="0"/>
              <w:autoSpaceDN w:val="0"/>
              <w:jc w:val="center"/>
              <w:rPr>
                <w:rFonts w:ascii="Times New Roman" w:hAnsi="Times New Roman" w:cs="Times New Roman"/>
                <w:sz w:val="21"/>
                <w:szCs w:val="21"/>
              </w:rPr>
            </w:pPr>
            <w:r>
              <w:rPr>
                <w:rFonts w:ascii="Times New Roman" w:hAnsi="Times New Roman" w:cs="Times New Roman"/>
                <w:sz w:val="21"/>
                <w:szCs w:val="21"/>
              </w:rPr>
              <w:t>时段</w:t>
            </w:r>
          </w:p>
        </w:tc>
        <w:tc>
          <w:tcPr>
            <w:tcW w:w="692" w:type="pct"/>
            <w:shd w:val="clear" w:color="auto" w:fill="D9D9D9"/>
            <w:noWrap w:val="0"/>
            <w:vAlign w:val="center"/>
          </w:tcPr>
          <w:p w14:paraId="2DE31B4C">
            <w:pPr>
              <w:autoSpaceDE w:val="0"/>
              <w:autoSpaceDN w:val="0"/>
              <w:jc w:val="center"/>
              <w:rPr>
                <w:rFonts w:ascii="Times New Roman" w:hAnsi="Times New Roman" w:cs="Times New Roman"/>
                <w:sz w:val="21"/>
                <w:szCs w:val="21"/>
              </w:rPr>
            </w:pPr>
            <w:r>
              <w:rPr>
                <w:rFonts w:ascii="Times New Roman" w:hAnsi="Times New Roman" w:cs="Times New Roman"/>
                <w:sz w:val="21"/>
                <w:szCs w:val="21"/>
              </w:rPr>
              <w:t>环境要素</w:t>
            </w:r>
          </w:p>
        </w:tc>
        <w:tc>
          <w:tcPr>
            <w:tcW w:w="1553" w:type="pct"/>
            <w:shd w:val="clear" w:color="auto" w:fill="D9D9D9"/>
            <w:noWrap w:val="0"/>
            <w:vAlign w:val="center"/>
          </w:tcPr>
          <w:p w14:paraId="1BDF9A90">
            <w:pPr>
              <w:autoSpaceDE w:val="0"/>
              <w:autoSpaceDN w:val="0"/>
              <w:jc w:val="center"/>
              <w:rPr>
                <w:rFonts w:ascii="Times New Roman" w:hAnsi="Times New Roman" w:cs="Times New Roman"/>
                <w:sz w:val="21"/>
                <w:szCs w:val="21"/>
              </w:rPr>
            </w:pPr>
            <w:r>
              <w:rPr>
                <w:rFonts w:ascii="Times New Roman" w:hAnsi="Times New Roman" w:cs="Times New Roman"/>
                <w:sz w:val="21"/>
                <w:szCs w:val="21"/>
              </w:rPr>
              <w:t>产生环境影响的主要内容</w:t>
            </w:r>
          </w:p>
        </w:tc>
        <w:tc>
          <w:tcPr>
            <w:tcW w:w="2192" w:type="pct"/>
            <w:shd w:val="clear" w:color="auto" w:fill="D9D9D9"/>
            <w:noWrap w:val="0"/>
            <w:vAlign w:val="center"/>
          </w:tcPr>
          <w:p w14:paraId="01EE6BE7">
            <w:pPr>
              <w:autoSpaceDE w:val="0"/>
              <w:autoSpaceDN w:val="0"/>
              <w:jc w:val="center"/>
              <w:rPr>
                <w:rFonts w:ascii="Times New Roman" w:hAnsi="Times New Roman" w:cs="Times New Roman"/>
                <w:sz w:val="21"/>
                <w:szCs w:val="21"/>
              </w:rPr>
            </w:pPr>
            <w:r>
              <w:rPr>
                <w:rFonts w:ascii="Times New Roman" w:hAnsi="Times New Roman" w:cs="Times New Roman"/>
                <w:sz w:val="21"/>
                <w:szCs w:val="21"/>
              </w:rPr>
              <w:t>主要环境影响因素</w:t>
            </w:r>
          </w:p>
        </w:tc>
      </w:tr>
      <w:tr w14:paraId="3DEF2428">
        <w:tblPrEx>
          <w:tblBorders>
            <w:top w:val="thinThickSmallGap" w:color="auto" w:sz="12" w:space="0"/>
            <w:left w:val="none" w:color="auto" w:sz="0" w:space="0"/>
            <w:bottom w:val="thickThinSmallGap"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97" w:hRule="atLeast"/>
        </w:trPr>
        <w:tc>
          <w:tcPr>
            <w:tcW w:w="563" w:type="pct"/>
            <w:vMerge w:val="restart"/>
            <w:noWrap w:val="0"/>
            <w:vAlign w:val="center"/>
          </w:tcPr>
          <w:p w14:paraId="5895BFE0">
            <w:pPr>
              <w:autoSpaceDE w:val="0"/>
              <w:autoSpaceDN w:val="0"/>
              <w:jc w:val="center"/>
              <w:rPr>
                <w:rFonts w:ascii="Times New Roman" w:hAnsi="Times New Roman" w:cs="Times New Roman"/>
                <w:sz w:val="21"/>
                <w:szCs w:val="21"/>
              </w:rPr>
            </w:pPr>
            <w:r>
              <w:rPr>
                <w:rFonts w:ascii="Times New Roman" w:hAnsi="Times New Roman" w:cs="Times New Roman"/>
                <w:sz w:val="21"/>
                <w:szCs w:val="21"/>
              </w:rPr>
              <w:t>施工期</w:t>
            </w:r>
          </w:p>
        </w:tc>
        <w:tc>
          <w:tcPr>
            <w:tcW w:w="692" w:type="pct"/>
            <w:noWrap w:val="0"/>
            <w:vAlign w:val="center"/>
          </w:tcPr>
          <w:p w14:paraId="1620BB0A">
            <w:pPr>
              <w:autoSpaceDE w:val="0"/>
              <w:autoSpaceDN w:val="0"/>
              <w:jc w:val="center"/>
              <w:rPr>
                <w:rFonts w:ascii="Times New Roman" w:hAnsi="Times New Roman" w:cs="Times New Roman"/>
                <w:sz w:val="21"/>
                <w:szCs w:val="21"/>
              </w:rPr>
            </w:pPr>
            <w:r>
              <w:rPr>
                <w:rFonts w:ascii="Times New Roman" w:hAnsi="Times New Roman" w:cs="Times New Roman"/>
                <w:sz w:val="21"/>
                <w:szCs w:val="21"/>
              </w:rPr>
              <w:t>大气环境</w:t>
            </w:r>
          </w:p>
        </w:tc>
        <w:tc>
          <w:tcPr>
            <w:tcW w:w="1553" w:type="pct"/>
            <w:noWrap w:val="0"/>
            <w:vAlign w:val="center"/>
          </w:tcPr>
          <w:p w14:paraId="52DEEADF">
            <w:pPr>
              <w:autoSpaceDE w:val="0"/>
              <w:autoSpaceDN w:val="0"/>
              <w:jc w:val="center"/>
              <w:rPr>
                <w:rFonts w:ascii="Times New Roman" w:hAnsi="Times New Roman" w:cs="Times New Roman"/>
                <w:sz w:val="21"/>
                <w:szCs w:val="21"/>
              </w:rPr>
            </w:pPr>
            <w:r>
              <w:rPr>
                <w:rFonts w:ascii="Times New Roman" w:hAnsi="Times New Roman" w:cs="Times New Roman"/>
                <w:sz w:val="21"/>
                <w:szCs w:val="21"/>
              </w:rPr>
              <w:t>施工机械</w:t>
            </w:r>
          </w:p>
        </w:tc>
        <w:tc>
          <w:tcPr>
            <w:tcW w:w="2192" w:type="pct"/>
            <w:noWrap w:val="0"/>
            <w:vAlign w:val="center"/>
          </w:tcPr>
          <w:p w14:paraId="7D22766B">
            <w:pPr>
              <w:autoSpaceDE w:val="0"/>
              <w:autoSpaceDN w:val="0"/>
              <w:jc w:val="center"/>
              <w:rPr>
                <w:rFonts w:ascii="Times New Roman" w:hAnsi="Times New Roman" w:cs="Times New Roman"/>
                <w:sz w:val="21"/>
                <w:szCs w:val="21"/>
              </w:rPr>
            </w:pPr>
            <w:r>
              <w:rPr>
                <w:rFonts w:ascii="Times New Roman" w:hAnsi="Times New Roman" w:cs="Times New Roman"/>
                <w:sz w:val="21"/>
                <w:szCs w:val="21"/>
              </w:rPr>
              <w:t>施工机械尾气</w:t>
            </w:r>
          </w:p>
        </w:tc>
      </w:tr>
      <w:tr w14:paraId="111CBC59">
        <w:tblPrEx>
          <w:tblBorders>
            <w:top w:val="thinThickSmallGap" w:color="auto" w:sz="12" w:space="0"/>
            <w:left w:val="none" w:color="auto" w:sz="0" w:space="0"/>
            <w:bottom w:val="thickThinSmallGap"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97" w:hRule="atLeast"/>
        </w:trPr>
        <w:tc>
          <w:tcPr>
            <w:tcW w:w="563" w:type="pct"/>
            <w:vMerge w:val="continue"/>
            <w:noWrap w:val="0"/>
            <w:vAlign w:val="center"/>
          </w:tcPr>
          <w:p w14:paraId="6710F1E6">
            <w:pPr>
              <w:autoSpaceDE w:val="0"/>
              <w:autoSpaceDN w:val="0"/>
              <w:jc w:val="center"/>
              <w:rPr>
                <w:rFonts w:ascii="Times New Roman" w:hAnsi="Times New Roman" w:cs="Times New Roman"/>
                <w:sz w:val="21"/>
                <w:szCs w:val="21"/>
              </w:rPr>
            </w:pPr>
          </w:p>
        </w:tc>
        <w:tc>
          <w:tcPr>
            <w:tcW w:w="692" w:type="pct"/>
            <w:noWrap w:val="0"/>
            <w:vAlign w:val="center"/>
          </w:tcPr>
          <w:p w14:paraId="408D2A23">
            <w:pPr>
              <w:autoSpaceDE w:val="0"/>
              <w:autoSpaceDN w:val="0"/>
              <w:jc w:val="center"/>
              <w:rPr>
                <w:rFonts w:ascii="Times New Roman" w:hAnsi="Times New Roman" w:cs="Times New Roman"/>
                <w:sz w:val="21"/>
                <w:szCs w:val="21"/>
              </w:rPr>
            </w:pPr>
            <w:r>
              <w:rPr>
                <w:rFonts w:ascii="Times New Roman" w:hAnsi="Times New Roman" w:cs="Times New Roman"/>
                <w:sz w:val="21"/>
                <w:szCs w:val="21"/>
              </w:rPr>
              <w:t>地表水</w:t>
            </w:r>
          </w:p>
        </w:tc>
        <w:tc>
          <w:tcPr>
            <w:tcW w:w="1553" w:type="pct"/>
            <w:noWrap w:val="0"/>
            <w:vAlign w:val="center"/>
          </w:tcPr>
          <w:p w14:paraId="09BFA574">
            <w:pPr>
              <w:autoSpaceDE w:val="0"/>
              <w:autoSpaceDN w:val="0"/>
              <w:jc w:val="center"/>
              <w:rPr>
                <w:rFonts w:ascii="Times New Roman" w:hAnsi="Times New Roman" w:cs="Times New Roman"/>
                <w:sz w:val="21"/>
                <w:szCs w:val="21"/>
              </w:rPr>
            </w:pPr>
            <w:r>
              <w:rPr>
                <w:rFonts w:ascii="Times New Roman" w:hAnsi="Times New Roman" w:cs="Times New Roman"/>
                <w:sz w:val="21"/>
                <w:szCs w:val="21"/>
              </w:rPr>
              <w:t>施工废水、生活污水</w:t>
            </w:r>
          </w:p>
        </w:tc>
        <w:tc>
          <w:tcPr>
            <w:tcW w:w="2192" w:type="pct"/>
            <w:noWrap w:val="0"/>
            <w:vAlign w:val="center"/>
          </w:tcPr>
          <w:p w14:paraId="2F253D56">
            <w:pPr>
              <w:autoSpaceDE w:val="0"/>
              <w:autoSpaceDN w:val="0"/>
              <w:jc w:val="center"/>
              <w:rPr>
                <w:rFonts w:ascii="Times New Roman" w:hAnsi="Times New Roman" w:cs="Times New Roman"/>
                <w:sz w:val="21"/>
                <w:szCs w:val="21"/>
              </w:rPr>
            </w:pPr>
            <w:r>
              <w:rPr>
                <w:rFonts w:ascii="Times New Roman" w:hAnsi="Times New Roman" w:eastAsia="Times New Roman" w:cs="Times New Roman"/>
                <w:sz w:val="21"/>
                <w:szCs w:val="21"/>
              </w:rPr>
              <w:t>COD</w:t>
            </w:r>
            <w:r>
              <w:rPr>
                <w:rFonts w:ascii="Times New Roman" w:hAnsi="Times New Roman" w:eastAsia="Times New Roman" w:cs="Times New Roman"/>
                <w:position w:val="-3"/>
                <w:sz w:val="21"/>
                <w:szCs w:val="21"/>
              </w:rPr>
              <w:t>cr</w:t>
            </w:r>
            <w:r>
              <w:rPr>
                <w:rFonts w:ascii="Times New Roman" w:hAnsi="Times New Roman" w:cs="Times New Roman"/>
                <w:sz w:val="21"/>
                <w:szCs w:val="21"/>
              </w:rPr>
              <w:t>、</w:t>
            </w:r>
            <w:r>
              <w:rPr>
                <w:rFonts w:ascii="Times New Roman" w:hAnsi="Times New Roman" w:eastAsia="Times New Roman" w:cs="Times New Roman"/>
                <w:sz w:val="21"/>
                <w:szCs w:val="21"/>
              </w:rPr>
              <w:t>SS</w:t>
            </w:r>
            <w:r>
              <w:rPr>
                <w:rFonts w:ascii="Times New Roman" w:hAnsi="Times New Roman" w:cs="Times New Roman"/>
                <w:sz w:val="21"/>
                <w:szCs w:val="21"/>
              </w:rPr>
              <w:t>、</w:t>
            </w:r>
            <w:r>
              <w:rPr>
                <w:rFonts w:ascii="Times New Roman" w:hAnsi="Times New Roman" w:eastAsia="Times New Roman" w:cs="Times New Roman"/>
                <w:sz w:val="21"/>
                <w:szCs w:val="21"/>
              </w:rPr>
              <w:t>BOD</w:t>
            </w:r>
            <w:r>
              <w:rPr>
                <w:rFonts w:ascii="Times New Roman" w:hAnsi="Times New Roman" w:eastAsia="Times New Roman" w:cs="Times New Roman"/>
                <w:sz w:val="21"/>
                <w:szCs w:val="21"/>
                <w:vertAlign w:val="subscript"/>
              </w:rPr>
              <w:t>5</w:t>
            </w:r>
            <w:r>
              <w:rPr>
                <w:rFonts w:ascii="Times New Roman" w:hAnsi="Times New Roman" w:cs="Times New Roman"/>
                <w:sz w:val="21"/>
                <w:szCs w:val="21"/>
              </w:rPr>
              <w:t>、</w:t>
            </w:r>
            <w:r>
              <w:rPr>
                <w:rFonts w:ascii="Times New Roman" w:hAnsi="Times New Roman" w:eastAsia="Times New Roman" w:cs="Times New Roman"/>
                <w:sz w:val="21"/>
                <w:szCs w:val="21"/>
              </w:rPr>
              <w:t>NH</w:t>
            </w:r>
            <w:r>
              <w:rPr>
                <w:rFonts w:ascii="Times New Roman" w:hAnsi="Times New Roman" w:eastAsia="Times New Roman" w:cs="Times New Roman"/>
                <w:sz w:val="21"/>
                <w:szCs w:val="21"/>
                <w:vertAlign w:val="subscript"/>
              </w:rPr>
              <w:t>3</w:t>
            </w:r>
            <w:r>
              <w:rPr>
                <w:rFonts w:ascii="Times New Roman" w:hAnsi="Times New Roman" w:eastAsia="Times New Roman" w:cs="Times New Roman"/>
                <w:sz w:val="21"/>
                <w:szCs w:val="21"/>
              </w:rPr>
              <w:t>-N</w:t>
            </w:r>
            <w:r>
              <w:rPr>
                <w:rFonts w:ascii="Times New Roman" w:hAnsi="Times New Roman" w:cs="Times New Roman"/>
                <w:sz w:val="21"/>
                <w:szCs w:val="21"/>
              </w:rPr>
              <w:t>、石油类等</w:t>
            </w:r>
          </w:p>
        </w:tc>
      </w:tr>
      <w:tr w14:paraId="5E7D0C81">
        <w:tblPrEx>
          <w:tblBorders>
            <w:top w:val="thinThickSmallGap" w:color="auto" w:sz="12" w:space="0"/>
            <w:left w:val="none" w:color="auto" w:sz="0" w:space="0"/>
            <w:bottom w:val="thickThinSmallGap"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97" w:hRule="atLeast"/>
        </w:trPr>
        <w:tc>
          <w:tcPr>
            <w:tcW w:w="563" w:type="pct"/>
            <w:vMerge w:val="continue"/>
            <w:noWrap w:val="0"/>
            <w:vAlign w:val="center"/>
          </w:tcPr>
          <w:p w14:paraId="58DAD43F">
            <w:pPr>
              <w:autoSpaceDE w:val="0"/>
              <w:autoSpaceDN w:val="0"/>
              <w:jc w:val="center"/>
              <w:rPr>
                <w:rFonts w:ascii="Times New Roman" w:hAnsi="Times New Roman" w:cs="Times New Roman"/>
                <w:sz w:val="21"/>
                <w:szCs w:val="21"/>
              </w:rPr>
            </w:pPr>
          </w:p>
        </w:tc>
        <w:tc>
          <w:tcPr>
            <w:tcW w:w="692" w:type="pct"/>
            <w:noWrap w:val="0"/>
            <w:vAlign w:val="center"/>
          </w:tcPr>
          <w:p w14:paraId="59EA6BD6">
            <w:pPr>
              <w:autoSpaceDE w:val="0"/>
              <w:autoSpaceDN w:val="0"/>
              <w:jc w:val="center"/>
              <w:rPr>
                <w:rFonts w:ascii="Times New Roman" w:hAnsi="Times New Roman" w:cs="Times New Roman"/>
                <w:sz w:val="21"/>
                <w:szCs w:val="21"/>
              </w:rPr>
            </w:pPr>
            <w:r>
              <w:rPr>
                <w:rFonts w:ascii="Times New Roman" w:hAnsi="Times New Roman" w:cs="Times New Roman"/>
                <w:sz w:val="21"/>
                <w:szCs w:val="21"/>
              </w:rPr>
              <w:t>声环境</w:t>
            </w:r>
          </w:p>
        </w:tc>
        <w:tc>
          <w:tcPr>
            <w:tcW w:w="1553" w:type="pct"/>
            <w:noWrap w:val="0"/>
            <w:vAlign w:val="center"/>
          </w:tcPr>
          <w:p w14:paraId="3F505F26">
            <w:pPr>
              <w:autoSpaceDE w:val="0"/>
              <w:autoSpaceDN w:val="0"/>
              <w:jc w:val="center"/>
              <w:rPr>
                <w:rFonts w:ascii="Times New Roman" w:hAnsi="Times New Roman" w:cs="Times New Roman"/>
                <w:sz w:val="21"/>
                <w:szCs w:val="21"/>
              </w:rPr>
            </w:pPr>
            <w:r>
              <w:rPr>
                <w:rFonts w:ascii="Times New Roman" w:hAnsi="Times New Roman" w:cs="Times New Roman"/>
                <w:sz w:val="21"/>
                <w:szCs w:val="21"/>
              </w:rPr>
              <w:t>施工机械</w:t>
            </w:r>
          </w:p>
        </w:tc>
        <w:tc>
          <w:tcPr>
            <w:tcW w:w="2192" w:type="pct"/>
            <w:noWrap w:val="0"/>
            <w:vAlign w:val="center"/>
          </w:tcPr>
          <w:p w14:paraId="66FD7704">
            <w:pPr>
              <w:autoSpaceDE w:val="0"/>
              <w:autoSpaceDN w:val="0"/>
              <w:jc w:val="center"/>
              <w:rPr>
                <w:rFonts w:ascii="Times New Roman" w:hAnsi="Times New Roman" w:cs="Times New Roman"/>
                <w:sz w:val="21"/>
                <w:szCs w:val="21"/>
              </w:rPr>
            </w:pPr>
            <w:r>
              <w:rPr>
                <w:rFonts w:ascii="Times New Roman" w:hAnsi="Times New Roman" w:cs="Times New Roman"/>
                <w:sz w:val="21"/>
                <w:szCs w:val="21"/>
              </w:rPr>
              <w:t>机械噪声</w:t>
            </w:r>
          </w:p>
        </w:tc>
      </w:tr>
      <w:tr w14:paraId="28729930">
        <w:tblPrEx>
          <w:tblBorders>
            <w:top w:val="thinThickSmallGap" w:color="auto" w:sz="12" w:space="0"/>
            <w:left w:val="none" w:color="auto" w:sz="0" w:space="0"/>
            <w:bottom w:val="thickThinSmallGap"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97" w:hRule="atLeast"/>
        </w:trPr>
        <w:tc>
          <w:tcPr>
            <w:tcW w:w="563" w:type="pct"/>
            <w:vMerge w:val="restart"/>
            <w:noWrap w:val="0"/>
            <w:vAlign w:val="center"/>
          </w:tcPr>
          <w:p w14:paraId="5FBDAE7A">
            <w:pPr>
              <w:autoSpaceDE w:val="0"/>
              <w:autoSpaceDN w:val="0"/>
              <w:jc w:val="center"/>
              <w:rPr>
                <w:rFonts w:ascii="Times New Roman" w:hAnsi="Times New Roman" w:cs="Times New Roman"/>
                <w:sz w:val="21"/>
                <w:szCs w:val="21"/>
              </w:rPr>
            </w:pPr>
            <w:r>
              <w:rPr>
                <w:rFonts w:ascii="Times New Roman" w:hAnsi="Times New Roman" w:cs="Times New Roman"/>
                <w:sz w:val="21"/>
                <w:szCs w:val="21"/>
              </w:rPr>
              <w:t>运营期</w:t>
            </w:r>
          </w:p>
        </w:tc>
        <w:tc>
          <w:tcPr>
            <w:tcW w:w="692" w:type="pct"/>
            <w:vMerge w:val="restart"/>
            <w:noWrap w:val="0"/>
            <w:vAlign w:val="center"/>
          </w:tcPr>
          <w:p w14:paraId="1FBAA5D9">
            <w:pPr>
              <w:autoSpaceDE w:val="0"/>
              <w:autoSpaceDN w:val="0"/>
              <w:jc w:val="center"/>
              <w:rPr>
                <w:rFonts w:ascii="Times New Roman" w:hAnsi="Times New Roman" w:cs="Times New Roman"/>
                <w:sz w:val="21"/>
                <w:szCs w:val="21"/>
              </w:rPr>
            </w:pPr>
            <w:r>
              <w:rPr>
                <w:rFonts w:ascii="Times New Roman" w:hAnsi="Times New Roman" w:cs="Times New Roman"/>
                <w:sz w:val="21"/>
                <w:szCs w:val="21"/>
              </w:rPr>
              <w:t>大气环境</w:t>
            </w:r>
          </w:p>
        </w:tc>
        <w:tc>
          <w:tcPr>
            <w:tcW w:w="1553" w:type="pct"/>
            <w:noWrap w:val="0"/>
            <w:vAlign w:val="center"/>
          </w:tcPr>
          <w:p w14:paraId="404E6AD8">
            <w:pPr>
              <w:autoSpaceDE w:val="0"/>
              <w:autoSpaceDN w:val="0"/>
              <w:jc w:val="center"/>
              <w:rPr>
                <w:rFonts w:ascii="Times New Roman" w:hAnsi="Times New Roman" w:cs="Times New Roman"/>
                <w:sz w:val="21"/>
                <w:szCs w:val="21"/>
              </w:rPr>
            </w:pPr>
            <w:r>
              <w:rPr>
                <w:rFonts w:hint="eastAsia" w:ascii="Times New Roman" w:hAnsi="Times New Roman" w:cs="Times New Roman"/>
                <w:sz w:val="21"/>
                <w:szCs w:val="21"/>
                <w:lang w:val="en-US" w:eastAsia="zh-CN"/>
              </w:rPr>
              <w:t>烧结机机头</w:t>
            </w:r>
            <w:r>
              <w:rPr>
                <w:rFonts w:ascii="Times New Roman" w:hAnsi="Times New Roman" w:cs="Times New Roman"/>
                <w:sz w:val="21"/>
                <w:szCs w:val="21"/>
              </w:rPr>
              <w:t>烟气</w:t>
            </w:r>
          </w:p>
        </w:tc>
        <w:tc>
          <w:tcPr>
            <w:tcW w:w="2192" w:type="pct"/>
            <w:noWrap w:val="0"/>
            <w:vAlign w:val="center"/>
          </w:tcPr>
          <w:p w14:paraId="1CD7BCE7">
            <w:pPr>
              <w:autoSpaceDE w:val="0"/>
              <w:autoSpaceDN w:val="0"/>
              <w:jc w:val="center"/>
              <w:rPr>
                <w:rFonts w:hint="default" w:ascii="Times New Roman" w:hAnsi="Times New Roman" w:eastAsia="宋体" w:cs="Times New Roman"/>
                <w:sz w:val="21"/>
                <w:szCs w:val="21"/>
                <w:lang w:val="en-US" w:eastAsia="zh-CN"/>
              </w:rPr>
            </w:pPr>
            <w:r>
              <w:rPr>
                <w:rFonts w:ascii="Times New Roman" w:hAnsi="Times New Roman" w:cs="Times New Roman"/>
                <w:sz w:val="21"/>
                <w:szCs w:val="21"/>
              </w:rPr>
              <w:t>颗粒物</w:t>
            </w:r>
            <w:r>
              <w:rPr>
                <w:rFonts w:hint="eastAsia" w:ascii="Times New Roman" w:hAnsi="Times New Roman" w:cs="Times New Roman"/>
                <w:sz w:val="21"/>
                <w:szCs w:val="21"/>
              </w:rPr>
              <w:t>、SO</w:t>
            </w:r>
            <w:r>
              <w:rPr>
                <w:rFonts w:hint="eastAsia" w:ascii="Times New Roman" w:hAnsi="Times New Roman" w:cs="Times New Roman"/>
                <w:sz w:val="21"/>
                <w:szCs w:val="21"/>
                <w:vertAlign w:val="subscript"/>
              </w:rPr>
              <w:t>2</w:t>
            </w:r>
            <w:r>
              <w:rPr>
                <w:rFonts w:hint="eastAsia" w:ascii="Times New Roman" w:hAnsi="Times New Roman" w:cs="Times New Roman"/>
                <w:sz w:val="21"/>
                <w:szCs w:val="21"/>
              </w:rPr>
              <w:t>、NOx</w:t>
            </w:r>
            <w:r>
              <w:rPr>
                <w:rFonts w:hint="eastAsia" w:ascii="Times New Roman" w:hAnsi="Times New Roman" w:cs="Times New Roman"/>
                <w:sz w:val="21"/>
                <w:szCs w:val="21"/>
                <w:lang w:eastAsia="zh-CN"/>
              </w:rPr>
              <w:t>、氟化物、</w:t>
            </w:r>
            <w:r>
              <w:rPr>
                <w:rFonts w:hint="eastAsia" w:ascii="Times New Roman" w:hAnsi="Times New Roman" w:cs="Times New Roman"/>
                <w:sz w:val="21"/>
                <w:szCs w:val="21"/>
                <w:lang w:val="en-US" w:eastAsia="zh-CN"/>
              </w:rPr>
              <w:t>二噁英</w:t>
            </w:r>
          </w:p>
        </w:tc>
      </w:tr>
      <w:tr w14:paraId="2F3117D0">
        <w:tblPrEx>
          <w:tblBorders>
            <w:top w:val="thinThickSmallGap" w:color="auto" w:sz="12" w:space="0"/>
            <w:left w:val="none" w:color="auto" w:sz="0" w:space="0"/>
            <w:bottom w:val="thickThinSmallGap"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97" w:hRule="atLeast"/>
        </w:trPr>
        <w:tc>
          <w:tcPr>
            <w:tcW w:w="563" w:type="pct"/>
            <w:vMerge w:val="continue"/>
            <w:noWrap w:val="0"/>
            <w:vAlign w:val="center"/>
          </w:tcPr>
          <w:p w14:paraId="6D6AA4A8">
            <w:pPr>
              <w:autoSpaceDE w:val="0"/>
              <w:autoSpaceDN w:val="0"/>
              <w:jc w:val="center"/>
              <w:rPr>
                <w:rFonts w:ascii="Times New Roman" w:hAnsi="Times New Roman" w:cs="Times New Roman"/>
                <w:sz w:val="21"/>
                <w:szCs w:val="21"/>
              </w:rPr>
            </w:pPr>
          </w:p>
        </w:tc>
        <w:tc>
          <w:tcPr>
            <w:tcW w:w="692" w:type="pct"/>
            <w:vMerge w:val="continue"/>
            <w:noWrap w:val="0"/>
            <w:vAlign w:val="center"/>
          </w:tcPr>
          <w:p w14:paraId="5B5399D6">
            <w:pPr>
              <w:autoSpaceDE w:val="0"/>
              <w:autoSpaceDN w:val="0"/>
              <w:jc w:val="center"/>
              <w:rPr>
                <w:rFonts w:ascii="Times New Roman" w:hAnsi="Times New Roman" w:cs="Times New Roman"/>
                <w:sz w:val="21"/>
                <w:szCs w:val="21"/>
              </w:rPr>
            </w:pPr>
          </w:p>
        </w:tc>
        <w:tc>
          <w:tcPr>
            <w:tcW w:w="1553" w:type="pct"/>
            <w:noWrap w:val="0"/>
            <w:vAlign w:val="center"/>
          </w:tcPr>
          <w:p w14:paraId="42F15CB6">
            <w:pPr>
              <w:autoSpaceDE w:val="0"/>
              <w:autoSpaceDN w:val="0"/>
              <w:jc w:val="center"/>
              <w:rPr>
                <w:rFonts w:hint="eastAsia" w:ascii="Times New Roman" w:hAnsi="Times New Roman" w:cs="Times New Roman"/>
                <w:sz w:val="21"/>
                <w:szCs w:val="21"/>
              </w:rPr>
            </w:pPr>
            <w:r>
              <w:rPr>
                <w:rFonts w:hint="eastAsia" w:ascii="Times New Roman" w:hAnsi="Times New Roman" w:cs="Times New Roman"/>
                <w:sz w:val="21"/>
                <w:szCs w:val="21"/>
                <w:lang w:val="en-US" w:eastAsia="zh-CN"/>
              </w:rPr>
              <w:t>烧结机机尾</w:t>
            </w:r>
            <w:r>
              <w:rPr>
                <w:rFonts w:hint="eastAsia" w:ascii="Times New Roman" w:hAnsi="Times New Roman" w:cs="Times New Roman"/>
                <w:sz w:val="21"/>
                <w:szCs w:val="21"/>
              </w:rPr>
              <w:t>烟气</w:t>
            </w:r>
          </w:p>
        </w:tc>
        <w:tc>
          <w:tcPr>
            <w:tcW w:w="2192" w:type="pct"/>
            <w:noWrap w:val="0"/>
            <w:vAlign w:val="center"/>
          </w:tcPr>
          <w:p w14:paraId="25B71222">
            <w:pPr>
              <w:autoSpaceDE w:val="0"/>
              <w:autoSpaceDN w:val="0"/>
              <w:jc w:val="center"/>
              <w:rPr>
                <w:rFonts w:ascii="Times New Roman" w:hAnsi="Times New Roman" w:cs="Times New Roman"/>
                <w:sz w:val="21"/>
                <w:szCs w:val="21"/>
              </w:rPr>
            </w:pPr>
            <w:r>
              <w:rPr>
                <w:rFonts w:hint="eastAsia" w:ascii="Times New Roman" w:hAnsi="Times New Roman" w:cs="Times New Roman"/>
                <w:sz w:val="21"/>
                <w:szCs w:val="21"/>
              </w:rPr>
              <w:t>颗粒物</w:t>
            </w:r>
          </w:p>
        </w:tc>
      </w:tr>
      <w:tr w14:paraId="248820A5">
        <w:tblPrEx>
          <w:tblBorders>
            <w:top w:val="thinThickSmallGap" w:color="auto" w:sz="12" w:space="0"/>
            <w:left w:val="none" w:color="auto" w:sz="0" w:space="0"/>
            <w:bottom w:val="thickThinSmallGap"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97" w:hRule="atLeast"/>
        </w:trPr>
        <w:tc>
          <w:tcPr>
            <w:tcW w:w="563" w:type="pct"/>
            <w:vMerge w:val="continue"/>
            <w:noWrap w:val="0"/>
            <w:vAlign w:val="center"/>
          </w:tcPr>
          <w:p w14:paraId="3D41D50F">
            <w:pPr>
              <w:autoSpaceDE w:val="0"/>
              <w:autoSpaceDN w:val="0"/>
              <w:jc w:val="center"/>
              <w:rPr>
                <w:rFonts w:ascii="Times New Roman" w:hAnsi="Times New Roman" w:cs="Times New Roman"/>
                <w:sz w:val="21"/>
                <w:szCs w:val="21"/>
              </w:rPr>
            </w:pPr>
          </w:p>
        </w:tc>
        <w:tc>
          <w:tcPr>
            <w:tcW w:w="692" w:type="pct"/>
            <w:vMerge w:val="continue"/>
            <w:noWrap w:val="0"/>
            <w:vAlign w:val="center"/>
          </w:tcPr>
          <w:p w14:paraId="0C681EF3">
            <w:pPr>
              <w:autoSpaceDE w:val="0"/>
              <w:autoSpaceDN w:val="0"/>
              <w:jc w:val="center"/>
              <w:rPr>
                <w:rFonts w:ascii="Times New Roman" w:hAnsi="Times New Roman" w:cs="Times New Roman"/>
                <w:sz w:val="21"/>
                <w:szCs w:val="21"/>
              </w:rPr>
            </w:pPr>
          </w:p>
        </w:tc>
        <w:tc>
          <w:tcPr>
            <w:tcW w:w="1553" w:type="pct"/>
            <w:noWrap w:val="0"/>
            <w:vAlign w:val="center"/>
          </w:tcPr>
          <w:p w14:paraId="1589E7E9">
            <w:pPr>
              <w:autoSpaceDE w:val="0"/>
              <w:autoSpaceDN w:val="0"/>
              <w:jc w:val="center"/>
              <w:rPr>
                <w:rFonts w:hint="default" w:ascii="Times New Roman" w:hAnsi="Times New Roman" w:cs="Times New Roman"/>
                <w:sz w:val="21"/>
                <w:szCs w:val="21"/>
                <w:lang w:val="en-US" w:eastAsia="zh-CN"/>
              </w:rPr>
            </w:pPr>
            <w:r>
              <w:rPr>
                <w:rFonts w:hint="eastAsia" w:ascii="Times New Roman" w:hAnsi="Times New Roman" w:cs="Times New Roman"/>
                <w:sz w:val="21"/>
                <w:szCs w:val="21"/>
                <w:lang w:val="en-US" w:eastAsia="zh-CN"/>
              </w:rPr>
              <w:t>球团竖炉</w:t>
            </w:r>
            <w:r>
              <w:rPr>
                <w:rFonts w:hint="eastAsia" w:ascii="Times New Roman" w:hAnsi="Times New Roman" w:cs="Times New Roman"/>
                <w:sz w:val="21"/>
                <w:szCs w:val="21"/>
              </w:rPr>
              <w:t>烟气</w:t>
            </w:r>
          </w:p>
        </w:tc>
        <w:tc>
          <w:tcPr>
            <w:tcW w:w="2192" w:type="pct"/>
            <w:noWrap w:val="0"/>
            <w:vAlign w:val="center"/>
          </w:tcPr>
          <w:p w14:paraId="304F8986">
            <w:pPr>
              <w:autoSpaceDE w:val="0"/>
              <w:autoSpaceDN w:val="0"/>
              <w:jc w:val="center"/>
              <w:rPr>
                <w:rFonts w:hint="eastAsia" w:ascii="Times New Roman" w:hAnsi="Times New Roman" w:cs="Times New Roman"/>
                <w:sz w:val="21"/>
                <w:szCs w:val="21"/>
              </w:rPr>
            </w:pPr>
            <w:r>
              <w:rPr>
                <w:rFonts w:ascii="Times New Roman" w:hAnsi="Times New Roman" w:cs="Times New Roman"/>
                <w:sz w:val="21"/>
                <w:szCs w:val="21"/>
              </w:rPr>
              <w:t>颗粒物</w:t>
            </w:r>
            <w:r>
              <w:rPr>
                <w:rFonts w:hint="eastAsia" w:ascii="Times New Roman" w:hAnsi="Times New Roman" w:cs="Times New Roman"/>
                <w:sz w:val="21"/>
                <w:szCs w:val="21"/>
              </w:rPr>
              <w:t>、SO</w:t>
            </w:r>
            <w:r>
              <w:rPr>
                <w:rFonts w:hint="eastAsia" w:ascii="Times New Roman" w:hAnsi="Times New Roman" w:cs="Times New Roman"/>
                <w:sz w:val="21"/>
                <w:szCs w:val="21"/>
                <w:vertAlign w:val="subscript"/>
              </w:rPr>
              <w:t>2</w:t>
            </w:r>
            <w:r>
              <w:rPr>
                <w:rFonts w:hint="eastAsia" w:ascii="Times New Roman" w:hAnsi="Times New Roman" w:cs="Times New Roman"/>
                <w:sz w:val="21"/>
                <w:szCs w:val="21"/>
              </w:rPr>
              <w:t>、NOx</w:t>
            </w:r>
            <w:r>
              <w:rPr>
                <w:rFonts w:hint="eastAsia" w:ascii="Times New Roman" w:hAnsi="Times New Roman" w:cs="Times New Roman"/>
                <w:sz w:val="21"/>
                <w:szCs w:val="21"/>
                <w:lang w:eastAsia="zh-CN"/>
              </w:rPr>
              <w:t>、氟化物、</w:t>
            </w:r>
            <w:r>
              <w:rPr>
                <w:rFonts w:hint="eastAsia" w:ascii="Times New Roman" w:hAnsi="Times New Roman" w:cs="Times New Roman"/>
                <w:sz w:val="21"/>
                <w:szCs w:val="21"/>
                <w:lang w:val="en-US" w:eastAsia="zh-CN"/>
              </w:rPr>
              <w:t>二噁英</w:t>
            </w:r>
          </w:p>
        </w:tc>
      </w:tr>
      <w:tr w14:paraId="2F35A3E8">
        <w:tblPrEx>
          <w:tblBorders>
            <w:top w:val="thinThickSmallGap" w:color="auto" w:sz="12" w:space="0"/>
            <w:left w:val="none" w:color="auto" w:sz="0" w:space="0"/>
            <w:bottom w:val="thickThinSmallGap"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97" w:hRule="atLeast"/>
        </w:trPr>
        <w:tc>
          <w:tcPr>
            <w:tcW w:w="563" w:type="pct"/>
            <w:vMerge w:val="continue"/>
            <w:noWrap w:val="0"/>
            <w:vAlign w:val="center"/>
          </w:tcPr>
          <w:p w14:paraId="43819A81">
            <w:pPr>
              <w:autoSpaceDE w:val="0"/>
              <w:autoSpaceDN w:val="0"/>
              <w:jc w:val="center"/>
              <w:rPr>
                <w:rFonts w:ascii="Times New Roman" w:hAnsi="Times New Roman" w:cs="Times New Roman"/>
                <w:sz w:val="21"/>
                <w:szCs w:val="21"/>
              </w:rPr>
            </w:pPr>
          </w:p>
        </w:tc>
        <w:tc>
          <w:tcPr>
            <w:tcW w:w="692" w:type="pct"/>
            <w:vMerge w:val="continue"/>
            <w:noWrap w:val="0"/>
            <w:vAlign w:val="center"/>
          </w:tcPr>
          <w:p w14:paraId="529349A8">
            <w:pPr>
              <w:autoSpaceDE w:val="0"/>
              <w:autoSpaceDN w:val="0"/>
              <w:jc w:val="center"/>
              <w:rPr>
                <w:rFonts w:ascii="Times New Roman" w:hAnsi="Times New Roman" w:cs="Times New Roman"/>
                <w:sz w:val="21"/>
                <w:szCs w:val="21"/>
              </w:rPr>
            </w:pPr>
          </w:p>
        </w:tc>
        <w:tc>
          <w:tcPr>
            <w:tcW w:w="1553" w:type="pct"/>
            <w:noWrap w:val="0"/>
            <w:vAlign w:val="center"/>
          </w:tcPr>
          <w:p w14:paraId="6D81005F">
            <w:pPr>
              <w:autoSpaceDE w:val="0"/>
              <w:autoSpaceDN w:val="0"/>
              <w:jc w:val="center"/>
              <w:rPr>
                <w:rFonts w:hint="eastAsia" w:ascii="Times New Roman" w:hAnsi="Times New Roman" w:cs="Times New Roman"/>
                <w:sz w:val="21"/>
                <w:szCs w:val="21"/>
              </w:rPr>
            </w:pPr>
            <w:r>
              <w:rPr>
                <w:rFonts w:hint="eastAsia" w:ascii="Times New Roman" w:hAnsi="Times New Roman" w:cs="Times New Roman"/>
                <w:sz w:val="21"/>
                <w:szCs w:val="21"/>
              </w:rPr>
              <w:t>无组织废气</w:t>
            </w:r>
          </w:p>
        </w:tc>
        <w:tc>
          <w:tcPr>
            <w:tcW w:w="2192" w:type="pct"/>
            <w:noWrap w:val="0"/>
            <w:vAlign w:val="center"/>
          </w:tcPr>
          <w:p w14:paraId="48CBA727">
            <w:pPr>
              <w:autoSpaceDE w:val="0"/>
              <w:autoSpaceDN w:val="0"/>
              <w:jc w:val="center"/>
              <w:rPr>
                <w:rFonts w:ascii="Times New Roman" w:hAnsi="Times New Roman" w:cs="Times New Roman"/>
                <w:sz w:val="21"/>
                <w:szCs w:val="21"/>
              </w:rPr>
            </w:pPr>
            <w:r>
              <w:rPr>
                <w:rFonts w:hint="eastAsia" w:ascii="Times New Roman" w:hAnsi="Times New Roman" w:cs="Times New Roman"/>
                <w:sz w:val="21"/>
                <w:szCs w:val="21"/>
              </w:rPr>
              <w:t>颗粒物</w:t>
            </w:r>
          </w:p>
        </w:tc>
      </w:tr>
      <w:tr w14:paraId="0599E4FC">
        <w:tblPrEx>
          <w:tblBorders>
            <w:top w:val="thinThickSmallGap" w:color="auto" w:sz="12" w:space="0"/>
            <w:left w:val="none" w:color="auto" w:sz="0" w:space="0"/>
            <w:bottom w:val="thickThinSmallGap"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97" w:hRule="atLeast"/>
        </w:trPr>
        <w:tc>
          <w:tcPr>
            <w:tcW w:w="563" w:type="pct"/>
            <w:vMerge w:val="continue"/>
            <w:noWrap w:val="0"/>
            <w:vAlign w:val="center"/>
          </w:tcPr>
          <w:p w14:paraId="7B6F3C6C">
            <w:pPr>
              <w:autoSpaceDE w:val="0"/>
              <w:autoSpaceDN w:val="0"/>
              <w:jc w:val="center"/>
              <w:rPr>
                <w:rFonts w:ascii="Times New Roman" w:hAnsi="Times New Roman" w:cs="Times New Roman"/>
                <w:position w:val="-3"/>
                <w:sz w:val="21"/>
                <w:szCs w:val="21"/>
              </w:rPr>
            </w:pPr>
          </w:p>
        </w:tc>
        <w:tc>
          <w:tcPr>
            <w:tcW w:w="692" w:type="pct"/>
            <w:noWrap w:val="0"/>
            <w:vAlign w:val="center"/>
          </w:tcPr>
          <w:p w14:paraId="125CFEBF">
            <w:pPr>
              <w:autoSpaceDE w:val="0"/>
              <w:autoSpaceDN w:val="0"/>
              <w:jc w:val="center"/>
              <w:rPr>
                <w:rFonts w:ascii="Times New Roman" w:hAnsi="Times New Roman" w:cs="Times New Roman"/>
                <w:sz w:val="21"/>
                <w:szCs w:val="21"/>
              </w:rPr>
            </w:pPr>
            <w:r>
              <w:rPr>
                <w:rFonts w:ascii="Times New Roman" w:hAnsi="Times New Roman" w:cs="Times New Roman"/>
                <w:sz w:val="21"/>
                <w:szCs w:val="21"/>
              </w:rPr>
              <w:t>水环境</w:t>
            </w:r>
          </w:p>
        </w:tc>
        <w:tc>
          <w:tcPr>
            <w:tcW w:w="1553" w:type="pct"/>
            <w:noWrap w:val="0"/>
            <w:vAlign w:val="center"/>
          </w:tcPr>
          <w:p w14:paraId="1C103BBF">
            <w:pPr>
              <w:autoSpaceDE w:val="0"/>
              <w:autoSpaceDN w:val="0"/>
              <w:jc w:val="center"/>
              <w:rPr>
                <w:rFonts w:hint="default" w:ascii="Times New Roman" w:hAnsi="Times New Roman" w:eastAsia="宋体" w:cs="Times New Roman"/>
                <w:sz w:val="21"/>
                <w:szCs w:val="21"/>
                <w:lang w:val="en-US" w:eastAsia="zh-CN"/>
              </w:rPr>
            </w:pPr>
            <w:r>
              <w:rPr>
                <w:rFonts w:hint="eastAsia" w:ascii="Times New Roman" w:hAnsi="Times New Roman" w:cs="Times New Roman"/>
                <w:sz w:val="21"/>
                <w:szCs w:val="21"/>
              </w:rPr>
              <w:t>冷却循环水系统排水</w:t>
            </w:r>
            <w:r>
              <w:rPr>
                <w:rFonts w:hint="eastAsia" w:ascii="Times New Roman" w:hAnsi="Times New Roman" w:cs="Times New Roman"/>
                <w:sz w:val="21"/>
                <w:szCs w:val="21"/>
                <w:lang w:eastAsia="zh-CN"/>
              </w:rPr>
              <w:t>、</w:t>
            </w:r>
            <w:r>
              <w:rPr>
                <w:rFonts w:hint="eastAsia" w:ascii="Times New Roman" w:hAnsi="Times New Roman" w:cs="Times New Roman"/>
                <w:sz w:val="21"/>
                <w:szCs w:val="21"/>
                <w:lang w:val="en-US" w:eastAsia="zh-CN"/>
              </w:rPr>
              <w:t>脱硫废水</w:t>
            </w:r>
          </w:p>
        </w:tc>
        <w:tc>
          <w:tcPr>
            <w:tcW w:w="2192" w:type="pct"/>
            <w:noWrap w:val="0"/>
            <w:vAlign w:val="center"/>
          </w:tcPr>
          <w:p w14:paraId="128EF0AB">
            <w:pPr>
              <w:jc w:val="center"/>
              <w:rPr>
                <w:rFonts w:hint="eastAsia" w:ascii="Times New Roman" w:hAnsi="Times New Roman" w:cs="Times New Roman"/>
                <w:sz w:val="21"/>
                <w:szCs w:val="21"/>
              </w:rPr>
            </w:pPr>
            <w:r>
              <w:rPr>
                <w:rFonts w:ascii="Times New Roman" w:hAnsi="Times New Roman" w:eastAsia="Times New Roman" w:cs="Times New Roman"/>
                <w:sz w:val="21"/>
                <w:szCs w:val="21"/>
              </w:rPr>
              <w:t>SS、</w:t>
            </w:r>
            <w:r>
              <w:rPr>
                <w:rFonts w:hint="eastAsia" w:ascii="Times New Roman" w:hAnsi="Times New Roman" w:cs="Times New Roman"/>
                <w:sz w:val="21"/>
                <w:szCs w:val="21"/>
              </w:rPr>
              <w:t>COD</w:t>
            </w:r>
          </w:p>
        </w:tc>
      </w:tr>
      <w:tr w14:paraId="7E99873D">
        <w:tblPrEx>
          <w:tblBorders>
            <w:top w:val="thinThickSmallGap" w:color="auto" w:sz="12" w:space="0"/>
            <w:left w:val="none" w:color="auto" w:sz="0" w:space="0"/>
            <w:bottom w:val="thickThinSmallGap"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97" w:hRule="atLeast"/>
        </w:trPr>
        <w:tc>
          <w:tcPr>
            <w:tcW w:w="563" w:type="pct"/>
            <w:vMerge w:val="continue"/>
            <w:noWrap w:val="0"/>
            <w:vAlign w:val="center"/>
          </w:tcPr>
          <w:p w14:paraId="04A38F55">
            <w:pPr>
              <w:autoSpaceDE w:val="0"/>
              <w:autoSpaceDN w:val="0"/>
              <w:jc w:val="center"/>
              <w:rPr>
                <w:rFonts w:ascii="Times New Roman" w:hAnsi="Times New Roman" w:cs="Times New Roman"/>
                <w:sz w:val="21"/>
                <w:szCs w:val="21"/>
              </w:rPr>
            </w:pPr>
          </w:p>
        </w:tc>
        <w:tc>
          <w:tcPr>
            <w:tcW w:w="692" w:type="pct"/>
            <w:noWrap w:val="0"/>
            <w:vAlign w:val="center"/>
          </w:tcPr>
          <w:p w14:paraId="082A847E">
            <w:pPr>
              <w:autoSpaceDE w:val="0"/>
              <w:autoSpaceDN w:val="0"/>
              <w:jc w:val="center"/>
              <w:rPr>
                <w:rFonts w:ascii="Times New Roman" w:hAnsi="Times New Roman" w:cs="Times New Roman"/>
                <w:sz w:val="21"/>
                <w:szCs w:val="21"/>
              </w:rPr>
            </w:pPr>
            <w:r>
              <w:rPr>
                <w:rFonts w:ascii="Times New Roman" w:hAnsi="Times New Roman" w:cs="Times New Roman"/>
                <w:sz w:val="21"/>
                <w:szCs w:val="21"/>
              </w:rPr>
              <w:t>声环境</w:t>
            </w:r>
          </w:p>
        </w:tc>
        <w:tc>
          <w:tcPr>
            <w:tcW w:w="1553" w:type="pct"/>
            <w:noWrap w:val="0"/>
            <w:vAlign w:val="center"/>
          </w:tcPr>
          <w:p w14:paraId="76D428CF">
            <w:pPr>
              <w:autoSpaceDE w:val="0"/>
              <w:autoSpaceDN w:val="0"/>
              <w:jc w:val="center"/>
              <w:rPr>
                <w:rFonts w:ascii="Times New Roman" w:hAnsi="Times New Roman" w:cs="Times New Roman"/>
                <w:sz w:val="21"/>
                <w:szCs w:val="21"/>
              </w:rPr>
            </w:pPr>
            <w:r>
              <w:rPr>
                <w:rFonts w:ascii="Times New Roman" w:hAnsi="Times New Roman" w:cs="Times New Roman"/>
                <w:sz w:val="21"/>
                <w:szCs w:val="21"/>
              </w:rPr>
              <w:t>机械设备</w:t>
            </w:r>
          </w:p>
        </w:tc>
        <w:tc>
          <w:tcPr>
            <w:tcW w:w="2192" w:type="pct"/>
            <w:noWrap w:val="0"/>
            <w:vAlign w:val="center"/>
          </w:tcPr>
          <w:p w14:paraId="089ABF70">
            <w:pPr>
              <w:autoSpaceDE w:val="0"/>
              <w:autoSpaceDN w:val="0"/>
              <w:jc w:val="center"/>
              <w:rPr>
                <w:rFonts w:ascii="Times New Roman" w:hAnsi="Times New Roman" w:cs="Times New Roman"/>
                <w:sz w:val="21"/>
                <w:szCs w:val="21"/>
              </w:rPr>
            </w:pPr>
            <w:r>
              <w:rPr>
                <w:rFonts w:ascii="Times New Roman" w:hAnsi="Times New Roman" w:cs="Times New Roman"/>
                <w:sz w:val="21"/>
                <w:szCs w:val="21"/>
              </w:rPr>
              <w:t>机械噪声</w:t>
            </w:r>
            <w:r>
              <w:rPr>
                <w:rFonts w:hint="eastAsia" w:ascii="Times New Roman" w:hAnsi="Times New Roman" w:cs="Times New Roman"/>
                <w:sz w:val="21"/>
                <w:szCs w:val="21"/>
              </w:rPr>
              <w:t>、空气动力性噪声</w:t>
            </w:r>
          </w:p>
        </w:tc>
      </w:tr>
      <w:tr w14:paraId="3C9C531B">
        <w:tblPrEx>
          <w:tblBorders>
            <w:top w:val="thinThickSmallGap" w:color="auto" w:sz="12" w:space="0"/>
            <w:left w:val="none" w:color="auto" w:sz="0" w:space="0"/>
            <w:bottom w:val="thickThinSmallGap"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97" w:hRule="atLeast"/>
        </w:trPr>
        <w:tc>
          <w:tcPr>
            <w:tcW w:w="563" w:type="pct"/>
            <w:vMerge w:val="continue"/>
            <w:noWrap w:val="0"/>
            <w:vAlign w:val="center"/>
          </w:tcPr>
          <w:p w14:paraId="2EB468CE">
            <w:pPr>
              <w:autoSpaceDE w:val="0"/>
              <w:autoSpaceDN w:val="0"/>
              <w:jc w:val="center"/>
              <w:rPr>
                <w:rFonts w:ascii="Times New Roman" w:hAnsi="Times New Roman" w:cs="Times New Roman"/>
                <w:sz w:val="21"/>
                <w:szCs w:val="21"/>
              </w:rPr>
            </w:pPr>
          </w:p>
        </w:tc>
        <w:tc>
          <w:tcPr>
            <w:tcW w:w="692" w:type="pct"/>
            <w:vMerge w:val="restart"/>
            <w:noWrap w:val="0"/>
            <w:vAlign w:val="center"/>
          </w:tcPr>
          <w:p w14:paraId="28F3874B">
            <w:pPr>
              <w:autoSpaceDE w:val="0"/>
              <w:autoSpaceDN w:val="0"/>
              <w:jc w:val="center"/>
              <w:rPr>
                <w:rFonts w:ascii="Times New Roman" w:hAnsi="Times New Roman" w:cs="Times New Roman"/>
                <w:sz w:val="21"/>
                <w:szCs w:val="21"/>
              </w:rPr>
            </w:pPr>
            <w:r>
              <w:rPr>
                <w:rFonts w:ascii="Times New Roman" w:hAnsi="Times New Roman" w:cs="Times New Roman"/>
                <w:sz w:val="21"/>
                <w:szCs w:val="21"/>
              </w:rPr>
              <w:t>固体废物</w:t>
            </w:r>
          </w:p>
        </w:tc>
        <w:tc>
          <w:tcPr>
            <w:tcW w:w="1553" w:type="pct"/>
            <w:noWrap w:val="0"/>
            <w:vAlign w:val="center"/>
          </w:tcPr>
          <w:p w14:paraId="6F0D9CF2">
            <w:pPr>
              <w:autoSpaceDE w:val="0"/>
              <w:autoSpaceDN w:val="0"/>
              <w:jc w:val="center"/>
              <w:rPr>
                <w:rFonts w:ascii="Times New Roman" w:hAnsi="Times New Roman" w:cs="Times New Roman"/>
                <w:sz w:val="21"/>
                <w:szCs w:val="21"/>
                <w:highlight w:val="none"/>
              </w:rPr>
            </w:pPr>
            <w:r>
              <w:rPr>
                <w:rFonts w:ascii="Times New Roman" w:hAnsi="Times New Roman" w:cs="Times New Roman"/>
                <w:sz w:val="21"/>
                <w:szCs w:val="21"/>
                <w:highlight w:val="none"/>
              </w:rPr>
              <w:t>生产车间</w:t>
            </w:r>
          </w:p>
        </w:tc>
        <w:tc>
          <w:tcPr>
            <w:tcW w:w="2192" w:type="pct"/>
            <w:noWrap w:val="0"/>
            <w:vAlign w:val="center"/>
          </w:tcPr>
          <w:p w14:paraId="70E4BA05">
            <w:pPr>
              <w:autoSpaceDE w:val="0"/>
              <w:autoSpaceDN w:val="0"/>
              <w:jc w:val="center"/>
              <w:rPr>
                <w:rFonts w:hint="eastAsia" w:ascii="Times New Roman" w:hAnsi="Times New Roman" w:cs="Times New Roman"/>
                <w:sz w:val="21"/>
                <w:szCs w:val="21"/>
                <w:highlight w:val="none"/>
              </w:rPr>
            </w:pPr>
            <w:r>
              <w:rPr>
                <w:rFonts w:hint="eastAsia" w:ascii="Times New Roman" w:hAnsi="Times New Roman" w:cs="Times New Roman"/>
                <w:sz w:val="21"/>
                <w:szCs w:val="21"/>
                <w:highlight w:val="none"/>
              </w:rPr>
              <w:t>除尘灰</w:t>
            </w:r>
            <w:r>
              <w:rPr>
                <w:rFonts w:hint="eastAsia" w:ascii="Times New Roman" w:hAnsi="Times New Roman" w:cs="Times New Roman"/>
                <w:sz w:val="21"/>
                <w:szCs w:val="21"/>
                <w:highlight w:val="none"/>
                <w:lang w:eastAsia="zh-CN"/>
              </w:rPr>
              <w:t>、</w:t>
            </w:r>
            <w:r>
              <w:rPr>
                <w:rFonts w:hint="eastAsia" w:ascii="Times New Roman" w:hAnsi="Times New Roman" w:cs="Times New Roman"/>
                <w:sz w:val="21"/>
                <w:szCs w:val="21"/>
                <w:highlight w:val="none"/>
              </w:rPr>
              <w:t>除尘灰浆</w:t>
            </w:r>
            <w:r>
              <w:rPr>
                <w:rFonts w:hint="eastAsia" w:ascii="Times New Roman" w:hAnsi="Times New Roman" w:cs="Times New Roman"/>
                <w:sz w:val="21"/>
                <w:szCs w:val="21"/>
                <w:highlight w:val="none"/>
                <w:lang w:eastAsia="zh-CN"/>
              </w:rPr>
              <w:t>、</w:t>
            </w:r>
            <w:r>
              <w:rPr>
                <w:rFonts w:hint="eastAsia" w:ascii="Times New Roman" w:hAnsi="Times New Roman" w:cs="Times New Roman"/>
                <w:sz w:val="21"/>
                <w:szCs w:val="21"/>
                <w:highlight w:val="none"/>
              </w:rPr>
              <w:t>脱硫灰</w:t>
            </w:r>
            <w:r>
              <w:rPr>
                <w:rFonts w:hint="eastAsia" w:ascii="Times New Roman" w:hAnsi="Times New Roman" w:cs="Times New Roman"/>
                <w:sz w:val="21"/>
                <w:szCs w:val="21"/>
                <w:highlight w:val="none"/>
                <w:lang w:eastAsia="zh-CN"/>
              </w:rPr>
              <w:t>、</w:t>
            </w:r>
            <w:r>
              <w:rPr>
                <w:rFonts w:hint="eastAsia" w:ascii="Times New Roman" w:hAnsi="Times New Roman" w:cs="Times New Roman"/>
                <w:sz w:val="21"/>
                <w:szCs w:val="21"/>
                <w:highlight w:val="none"/>
              </w:rPr>
              <w:t>废布袋</w:t>
            </w:r>
          </w:p>
        </w:tc>
      </w:tr>
      <w:tr w14:paraId="0B09A220">
        <w:tblPrEx>
          <w:tblBorders>
            <w:top w:val="thinThickSmallGap" w:color="auto" w:sz="12" w:space="0"/>
            <w:left w:val="none" w:color="auto" w:sz="0" w:space="0"/>
            <w:bottom w:val="thickThinSmallGap"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97" w:hRule="atLeast"/>
        </w:trPr>
        <w:tc>
          <w:tcPr>
            <w:tcW w:w="563" w:type="pct"/>
            <w:vMerge w:val="continue"/>
            <w:noWrap w:val="0"/>
            <w:vAlign w:val="center"/>
          </w:tcPr>
          <w:p w14:paraId="7BEA5561">
            <w:pPr>
              <w:autoSpaceDE w:val="0"/>
              <w:autoSpaceDN w:val="0"/>
              <w:jc w:val="center"/>
              <w:rPr>
                <w:rFonts w:ascii="Times New Roman" w:hAnsi="Times New Roman" w:cs="Times New Roman"/>
                <w:sz w:val="21"/>
                <w:szCs w:val="21"/>
              </w:rPr>
            </w:pPr>
          </w:p>
        </w:tc>
        <w:tc>
          <w:tcPr>
            <w:tcW w:w="692" w:type="pct"/>
            <w:vMerge w:val="continue"/>
            <w:noWrap w:val="0"/>
            <w:vAlign w:val="center"/>
          </w:tcPr>
          <w:p w14:paraId="632E332F">
            <w:pPr>
              <w:autoSpaceDE w:val="0"/>
              <w:autoSpaceDN w:val="0"/>
              <w:jc w:val="center"/>
              <w:rPr>
                <w:rFonts w:ascii="Times New Roman" w:hAnsi="Times New Roman" w:cs="Times New Roman"/>
                <w:sz w:val="21"/>
                <w:szCs w:val="21"/>
              </w:rPr>
            </w:pPr>
          </w:p>
        </w:tc>
        <w:tc>
          <w:tcPr>
            <w:tcW w:w="1553" w:type="pct"/>
            <w:noWrap w:val="0"/>
            <w:vAlign w:val="center"/>
          </w:tcPr>
          <w:p w14:paraId="2C550F99">
            <w:pPr>
              <w:autoSpaceDE w:val="0"/>
              <w:autoSpaceDN w:val="0"/>
              <w:jc w:val="center"/>
              <w:rPr>
                <w:rFonts w:ascii="Times New Roman" w:hAnsi="Times New Roman" w:cs="Times New Roman"/>
                <w:sz w:val="21"/>
                <w:szCs w:val="21"/>
              </w:rPr>
            </w:pPr>
            <w:r>
              <w:rPr>
                <w:rFonts w:hint="eastAsia" w:ascii="Times New Roman" w:hAnsi="Times New Roman" w:cs="Times New Roman"/>
                <w:sz w:val="21"/>
                <w:szCs w:val="21"/>
              </w:rPr>
              <w:t>设备检修</w:t>
            </w:r>
          </w:p>
        </w:tc>
        <w:tc>
          <w:tcPr>
            <w:tcW w:w="2192" w:type="pct"/>
            <w:noWrap w:val="0"/>
            <w:vAlign w:val="center"/>
          </w:tcPr>
          <w:p w14:paraId="1280B12A">
            <w:pPr>
              <w:autoSpaceDE w:val="0"/>
              <w:autoSpaceDN w:val="0"/>
              <w:jc w:val="center"/>
              <w:rPr>
                <w:rFonts w:ascii="Times New Roman" w:hAnsi="Times New Roman" w:cs="Times New Roman"/>
                <w:sz w:val="21"/>
                <w:szCs w:val="21"/>
              </w:rPr>
            </w:pPr>
            <w:r>
              <w:rPr>
                <w:rFonts w:hint="eastAsia" w:ascii="Times New Roman" w:hAnsi="Times New Roman" w:cs="Times New Roman"/>
                <w:sz w:val="21"/>
                <w:szCs w:val="21"/>
              </w:rPr>
              <w:t>废</w:t>
            </w:r>
            <w:r>
              <w:rPr>
                <w:rFonts w:hint="eastAsia" w:ascii="Times New Roman" w:hAnsi="Times New Roman" w:cs="Times New Roman"/>
                <w:sz w:val="21"/>
                <w:szCs w:val="21"/>
                <w:lang w:val="en-US" w:eastAsia="zh-CN"/>
              </w:rPr>
              <w:t>机</w:t>
            </w:r>
            <w:r>
              <w:rPr>
                <w:rFonts w:hint="eastAsia" w:ascii="Times New Roman" w:hAnsi="Times New Roman" w:cs="Times New Roman"/>
                <w:sz w:val="21"/>
                <w:szCs w:val="21"/>
              </w:rPr>
              <w:t>油、废油桶</w:t>
            </w:r>
          </w:p>
        </w:tc>
      </w:tr>
      <w:tr w14:paraId="1C158AEB">
        <w:tblPrEx>
          <w:tblBorders>
            <w:top w:val="thinThickSmallGap" w:color="auto" w:sz="12" w:space="0"/>
            <w:left w:val="none" w:color="auto" w:sz="0" w:space="0"/>
            <w:bottom w:val="thickThinSmallGap"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97" w:hRule="atLeast"/>
        </w:trPr>
        <w:tc>
          <w:tcPr>
            <w:tcW w:w="563" w:type="pct"/>
            <w:vMerge w:val="continue"/>
            <w:noWrap w:val="0"/>
            <w:vAlign w:val="center"/>
          </w:tcPr>
          <w:p w14:paraId="1A7D929F">
            <w:pPr>
              <w:autoSpaceDE w:val="0"/>
              <w:autoSpaceDN w:val="0"/>
              <w:jc w:val="center"/>
              <w:rPr>
                <w:rFonts w:ascii="Times New Roman" w:hAnsi="Times New Roman" w:cs="Times New Roman"/>
                <w:sz w:val="21"/>
                <w:szCs w:val="21"/>
              </w:rPr>
            </w:pPr>
          </w:p>
        </w:tc>
        <w:tc>
          <w:tcPr>
            <w:tcW w:w="692" w:type="pct"/>
            <w:vMerge w:val="restart"/>
            <w:noWrap w:val="0"/>
            <w:vAlign w:val="center"/>
          </w:tcPr>
          <w:p w14:paraId="103D42E3">
            <w:pPr>
              <w:autoSpaceDE w:val="0"/>
              <w:autoSpaceDN w:val="0"/>
              <w:jc w:val="center"/>
              <w:rPr>
                <w:rFonts w:ascii="Times New Roman" w:hAnsi="Times New Roman" w:cs="Times New Roman"/>
                <w:sz w:val="21"/>
                <w:szCs w:val="21"/>
              </w:rPr>
            </w:pPr>
            <w:r>
              <w:rPr>
                <w:rFonts w:hint="eastAsia" w:ascii="Times New Roman" w:hAnsi="Times New Roman" w:cs="Times New Roman"/>
                <w:sz w:val="21"/>
                <w:szCs w:val="21"/>
              </w:rPr>
              <w:t>环境风险</w:t>
            </w:r>
          </w:p>
        </w:tc>
        <w:tc>
          <w:tcPr>
            <w:tcW w:w="1553" w:type="pct"/>
            <w:noWrap w:val="0"/>
            <w:vAlign w:val="center"/>
          </w:tcPr>
          <w:p w14:paraId="7FD6DF10">
            <w:pPr>
              <w:autoSpaceDE w:val="0"/>
              <w:autoSpaceDN w:val="0"/>
              <w:jc w:val="center"/>
              <w:rPr>
                <w:rFonts w:ascii="Times New Roman" w:hAnsi="Times New Roman" w:cs="Times New Roman"/>
                <w:sz w:val="21"/>
                <w:szCs w:val="21"/>
                <w:highlight w:val="none"/>
              </w:rPr>
            </w:pPr>
            <w:r>
              <w:rPr>
                <w:rFonts w:hint="eastAsia" w:ascii="Times New Roman" w:hAnsi="Times New Roman" w:cs="Times New Roman"/>
                <w:sz w:val="21"/>
                <w:szCs w:val="21"/>
                <w:highlight w:val="none"/>
                <w:lang w:val="en-US" w:eastAsia="zh-CN"/>
              </w:rPr>
              <w:t>煤气</w:t>
            </w:r>
            <w:r>
              <w:rPr>
                <w:rFonts w:hint="eastAsia" w:ascii="Times New Roman" w:hAnsi="Times New Roman" w:cs="Times New Roman"/>
                <w:sz w:val="21"/>
                <w:szCs w:val="21"/>
                <w:highlight w:val="none"/>
              </w:rPr>
              <w:t>管道</w:t>
            </w:r>
          </w:p>
        </w:tc>
        <w:tc>
          <w:tcPr>
            <w:tcW w:w="2192" w:type="pct"/>
            <w:noWrap w:val="0"/>
            <w:vAlign w:val="center"/>
          </w:tcPr>
          <w:p w14:paraId="24A3A8C2">
            <w:pPr>
              <w:autoSpaceDE w:val="0"/>
              <w:autoSpaceDN w:val="0"/>
              <w:jc w:val="center"/>
              <w:rPr>
                <w:rFonts w:hint="eastAsia" w:ascii="Times New Roman" w:hAnsi="Times New Roman" w:eastAsia="宋体" w:cs="Times New Roman"/>
                <w:sz w:val="21"/>
                <w:szCs w:val="21"/>
                <w:highlight w:val="none"/>
                <w:lang w:eastAsia="zh-CN"/>
              </w:rPr>
            </w:pPr>
            <w:r>
              <w:rPr>
                <w:rFonts w:hint="eastAsia" w:ascii="Times New Roman" w:hAnsi="Times New Roman" w:cs="Times New Roman"/>
                <w:sz w:val="21"/>
                <w:szCs w:val="21"/>
                <w:highlight w:val="none"/>
                <w:lang w:val="en-US" w:eastAsia="zh-CN"/>
              </w:rPr>
              <w:t>高炉煤气</w:t>
            </w:r>
          </w:p>
        </w:tc>
      </w:tr>
      <w:tr w14:paraId="42D7EC0E">
        <w:tblPrEx>
          <w:tblBorders>
            <w:top w:val="thinThickSmallGap" w:color="auto" w:sz="12" w:space="0"/>
            <w:left w:val="none" w:color="auto" w:sz="0" w:space="0"/>
            <w:bottom w:val="thickThinSmallGap"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97" w:hRule="atLeast"/>
        </w:trPr>
        <w:tc>
          <w:tcPr>
            <w:tcW w:w="563" w:type="pct"/>
            <w:vMerge w:val="continue"/>
            <w:noWrap w:val="0"/>
            <w:vAlign w:val="center"/>
          </w:tcPr>
          <w:p w14:paraId="574197E3">
            <w:pPr>
              <w:autoSpaceDE w:val="0"/>
              <w:autoSpaceDN w:val="0"/>
              <w:jc w:val="center"/>
              <w:rPr>
                <w:rFonts w:ascii="Times New Roman" w:hAnsi="Times New Roman" w:cs="Times New Roman"/>
                <w:sz w:val="21"/>
                <w:szCs w:val="21"/>
              </w:rPr>
            </w:pPr>
          </w:p>
        </w:tc>
        <w:tc>
          <w:tcPr>
            <w:tcW w:w="692" w:type="pct"/>
            <w:vMerge w:val="continue"/>
            <w:noWrap w:val="0"/>
            <w:vAlign w:val="center"/>
          </w:tcPr>
          <w:p w14:paraId="7D354211">
            <w:pPr>
              <w:autoSpaceDE w:val="0"/>
              <w:autoSpaceDN w:val="0"/>
              <w:jc w:val="center"/>
              <w:rPr>
                <w:rFonts w:hint="eastAsia" w:ascii="Times New Roman" w:hAnsi="Times New Roman" w:cs="Times New Roman"/>
                <w:sz w:val="21"/>
                <w:szCs w:val="21"/>
              </w:rPr>
            </w:pPr>
          </w:p>
        </w:tc>
        <w:tc>
          <w:tcPr>
            <w:tcW w:w="1553" w:type="pct"/>
            <w:noWrap w:val="0"/>
            <w:vAlign w:val="center"/>
          </w:tcPr>
          <w:p w14:paraId="40241A4A">
            <w:pPr>
              <w:autoSpaceDE w:val="0"/>
              <w:autoSpaceDN w:val="0"/>
              <w:jc w:val="center"/>
              <w:rPr>
                <w:rFonts w:hint="eastAsia" w:ascii="Times New Roman" w:hAnsi="Times New Roman" w:eastAsia="宋体" w:cs="Times New Roman"/>
                <w:sz w:val="21"/>
                <w:szCs w:val="21"/>
                <w:highlight w:val="yellow"/>
                <w:lang w:eastAsia="zh-CN"/>
              </w:rPr>
            </w:pPr>
            <w:r>
              <w:rPr>
                <w:rFonts w:hint="eastAsia" w:ascii="Times New Roman" w:hAnsi="Times New Roman" w:cs="Times New Roman"/>
                <w:sz w:val="21"/>
                <w:szCs w:val="21"/>
                <w:highlight w:val="none"/>
                <w:lang w:val="en-US" w:eastAsia="zh-CN"/>
              </w:rPr>
              <w:t>危废贮存点</w:t>
            </w:r>
          </w:p>
        </w:tc>
        <w:tc>
          <w:tcPr>
            <w:tcW w:w="2192" w:type="pct"/>
            <w:noWrap w:val="0"/>
            <w:vAlign w:val="center"/>
          </w:tcPr>
          <w:p w14:paraId="46291BF9">
            <w:pPr>
              <w:autoSpaceDE w:val="0"/>
              <w:autoSpaceDN w:val="0"/>
              <w:jc w:val="center"/>
              <w:rPr>
                <w:rFonts w:hint="default" w:ascii="Times New Roman" w:hAnsi="Times New Roman" w:eastAsia="宋体" w:cs="Times New Roman"/>
                <w:sz w:val="21"/>
                <w:szCs w:val="21"/>
                <w:highlight w:val="yellow"/>
                <w:lang w:val="en-US" w:eastAsia="zh-CN"/>
              </w:rPr>
            </w:pPr>
            <w:r>
              <w:rPr>
                <w:rFonts w:hint="eastAsia" w:ascii="Times New Roman" w:hAnsi="Times New Roman" w:cs="Times New Roman"/>
                <w:sz w:val="21"/>
                <w:szCs w:val="21"/>
              </w:rPr>
              <w:t>废</w:t>
            </w:r>
            <w:r>
              <w:rPr>
                <w:rFonts w:hint="eastAsia" w:ascii="Times New Roman" w:hAnsi="Times New Roman" w:cs="Times New Roman"/>
                <w:sz w:val="21"/>
                <w:szCs w:val="21"/>
                <w:lang w:val="en-US" w:eastAsia="zh-CN"/>
              </w:rPr>
              <w:t>机</w:t>
            </w:r>
            <w:r>
              <w:rPr>
                <w:rFonts w:hint="eastAsia" w:ascii="Times New Roman" w:hAnsi="Times New Roman" w:cs="Times New Roman"/>
                <w:sz w:val="21"/>
                <w:szCs w:val="21"/>
              </w:rPr>
              <w:t>油、废油桶</w:t>
            </w:r>
            <w:r>
              <w:rPr>
                <w:rFonts w:hint="eastAsia" w:ascii="Times New Roman" w:hAnsi="Times New Roman" w:cs="Times New Roman"/>
                <w:sz w:val="21"/>
                <w:szCs w:val="21"/>
                <w:lang w:eastAsia="zh-CN"/>
              </w:rPr>
              <w:t>、</w:t>
            </w:r>
            <w:r>
              <w:rPr>
                <w:rFonts w:hint="eastAsia" w:ascii="Times New Roman" w:hAnsi="Times New Roman" w:cs="Times New Roman"/>
                <w:sz w:val="21"/>
                <w:szCs w:val="21"/>
                <w:lang w:val="en-US" w:eastAsia="zh-CN"/>
              </w:rPr>
              <w:t>废催化剂</w:t>
            </w:r>
          </w:p>
        </w:tc>
      </w:tr>
    </w:tbl>
    <w:p w14:paraId="1C16B92D">
      <w:pPr>
        <w:pStyle w:val="7"/>
      </w:pPr>
      <w:bookmarkStart w:id="57" w:name="_Toc90026189"/>
      <w:bookmarkStart w:id="58" w:name="_Toc24032"/>
      <w:r>
        <w:t>1.2.2 评价因子</w:t>
      </w:r>
      <w:bookmarkEnd w:id="57"/>
      <w:bookmarkEnd w:id="58"/>
    </w:p>
    <w:p w14:paraId="07199829">
      <w:pPr>
        <w:spacing w:line="500" w:lineRule="exact"/>
        <w:ind w:firstLine="480" w:firstLineChars="200"/>
        <w:rPr>
          <w:rFonts w:ascii="Times New Roman" w:hAnsi="Times New Roman" w:cs="Times New Roman"/>
        </w:rPr>
      </w:pPr>
      <w:r>
        <w:rPr>
          <w:rFonts w:ascii="Times New Roman" w:hAnsi="Times New Roman" w:cs="Times New Roman"/>
        </w:rPr>
        <w:t>本次评价的各评价因子见表1.2-2。</w:t>
      </w:r>
    </w:p>
    <w:p w14:paraId="0AB27347">
      <w:pPr>
        <w:pStyle w:val="112"/>
        <w:snapToGrid/>
      </w:pPr>
      <w:r>
        <w:t>表1.2-2  评价因子列表</w:t>
      </w:r>
    </w:p>
    <w:tbl>
      <w:tblPr>
        <w:tblStyle w:val="56"/>
        <w:tblW w:w="5000" w:type="pct"/>
        <w:tblInd w:w="0" w:type="dxa"/>
        <w:tblBorders>
          <w:top w:val="thinThickSmallGap" w:color="auto" w:sz="12" w:space="0"/>
          <w:left w:val="none" w:color="auto" w:sz="0" w:space="0"/>
          <w:bottom w:val="thickThinSmallGap" w:color="auto" w:sz="12" w:space="0"/>
          <w:right w:val="none" w:color="auto" w:sz="0" w:space="0"/>
          <w:insideH w:val="single" w:color="auto" w:sz="6" w:space="0"/>
          <w:insideV w:val="single" w:color="auto" w:sz="6" w:space="0"/>
        </w:tblBorders>
        <w:tblLayout w:type="autofit"/>
        <w:tblCellMar>
          <w:top w:w="0" w:type="dxa"/>
          <w:left w:w="108" w:type="dxa"/>
          <w:bottom w:w="0" w:type="dxa"/>
          <w:right w:w="108" w:type="dxa"/>
        </w:tblCellMar>
      </w:tblPr>
      <w:tblGrid>
        <w:gridCol w:w="1401"/>
        <w:gridCol w:w="1401"/>
        <w:gridCol w:w="4293"/>
        <w:gridCol w:w="1626"/>
      </w:tblGrid>
      <w:tr w14:paraId="2C85C56A">
        <w:tblPrEx>
          <w:tblBorders>
            <w:top w:val="thinThickSmallGap" w:color="auto" w:sz="12" w:space="0"/>
            <w:left w:val="none" w:color="auto" w:sz="0" w:space="0"/>
            <w:bottom w:val="thickThinSmallGap"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97" w:hRule="atLeast"/>
          <w:tblHeader/>
        </w:trPr>
        <w:tc>
          <w:tcPr>
            <w:tcW w:w="803" w:type="pct"/>
            <w:tcBorders>
              <w:top w:val="thinThickSmallGap" w:color="auto" w:sz="12" w:space="0"/>
              <w:bottom w:val="single" w:color="auto" w:sz="6" w:space="0"/>
            </w:tcBorders>
            <w:shd w:val="clear" w:color="auto" w:fill="D9D9D9"/>
            <w:noWrap w:val="0"/>
            <w:vAlign w:val="center"/>
          </w:tcPr>
          <w:p w14:paraId="2206BE72">
            <w:pPr>
              <w:ind w:left="975" w:hanging="975"/>
              <w:jc w:val="center"/>
              <w:rPr>
                <w:rFonts w:ascii="Times New Roman" w:hAnsi="Times New Roman" w:cs="Times New Roman"/>
                <w:sz w:val="21"/>
                <w:szCs w:val="21"/>
              </w:rPr>
            </w:pPr>
            <w:r>
              <w:rPr>
                <w:rFonts w:ascii="Times New Roman" w:hAnsi="Times New Roman" w:cs="Times New Roman"/>
                <w:sz w:val="21"/>
                <w:szCs w:val="21"/>
              </w:rPr>
              <w:t>类别</w:t>
            </w:r>
          </w:p>
        </w:tc>
        <w:tc>
          <w:tcPr>
            <w:tcW w:w="803" w:type="pct"/>
            <w:tcBorders>
              <w:top w:val="thinThickSmallGap" w:color="auto" w:sz="12" w:space="0"/>
              <w:bottom w:val="single" w:color="auto" w:sz="6" w:space="0"/>
            </w:tcBorders>
            <w:shd w:val="clear" w:color="auto" w:fill="D9D9D9"/>
            <w:noWrap w:val="0"/>
            <w:vAlign w:val="center"/>
          </w:tcPr>
          <w:p w14:paraId="012C166B">
            <w:pPr>
              <w:ind w:left="975" w:hanging="975"/>
              <w:jc w:val="center"/>
              <w:rPr>
                <w:rFonts w:ascii="Times New Roman" w:hAnsi="Times New Roman" w:cs="Times New Roman"/>
                <w:sz w:val="21"/>
                <w:szCs w:val="21"/>
              </w:rPr>
            </w:pPr>
            <w:r>
              <w:rPr>
                <w:rFonts w:ascii="Times New Roman" w:hAnsi="Times New Roman" w:cs="Times New Roman"/>
                <w:sz w:val="21"/>
                <w:szCs w:val="21"/>
              </w:rPr>
              <w:t>项目</w:t>
            </w:r>
          </w:p>
        </w:tc>
        <w:tc>
          <w:tcPr>
            <w:tcW w:w="2461" w:type="pct"/>
            <w:tcBorders>
              <w:top w:val="thinThickSmallGap" w:color="auto" w:sz="12" w:space="0"/>
              <w:bottom w:val="single" w:color="auto" w:sz="6" w:space="0"/>
            </w:tcBorders>
            <w:shd w:val="clear" w:color="auto" w:fill="D9D9D9"/>
            <w:noWrap w:val="0"/>
            <w:vAlign w:val="center"/>
          </w:tcPr>
          <w:p w14:paraId="50A55F8B">
            <w:pPr>
              <w:ind w:left="975" w:hanging="975"/>
              <w:jc w:val="center"/>
              <w:rPr>
                <w:rFonts w:ascii="Times New Roman" w:hAnsi="Times New Roman" w:cs="Times New Roman"/>
                <w:sz w:val="21"/>
                <w:szCs w:val="21"/>
              </w:rPr>
            </w:pPr>
            <w:r>
              <w:rPr>
                <w:rFonts w:ascii="Times New Roman" w:hAnsi="Times New Roman" w:cs="Times New Roman"/>
                <w:sz w:val="21"/>
                <w:szCs w:val="21"/>
              </w:rPr>
              <w:t>评价因子</w:t>
            </w:r>
          </w:p>
        </w:tc>
        <w:tc>
          <w:tcPr>
            <w:tcW w:w="932" w:type="pct"/>
            <w:tcBorders>
              <w:top w:val="thinThickSmallGap" w:color="auto" w:sz="12" w:space="0"/>
              <w:bottom w:val="single" w:color="auto" w:sz="6" w:space="0"/>
            </w:tcBorders>
            <w:shd w:val="clear" w:color="auto" w:fill="D9D9D9"/>
            <w:noWrap w:val="0"/>
            <w:vAlign w:val="center"/>
          </w:tcPr>
          <w:p w14:paraId="145EBA0E">
            <w:pPr>
              <w:ind w:left="975" w:hanging="975"/>
              <w:jc w:val="center"/>
              <w:rPr>
                <w:rFonts w:ascii="Times New Roman" w:hAnsi="Times New Roman" w:cs="Times New Roman"/>
                <w:sz w:val="21"/>
                <w:szCs w:val="21"/>
              </w:rPr>
            </w:pPr>
            <w:r>
              <w:rPr>
                <w:rFonts w:hint="eastAsia" w:ascii="Times New Roman" w:hAnsi="Times New Roman" w:cs="Times New Roman"/>
                <w:sz w:val="21"/>
                <w:szCs w:val="21"/>
              </w:rPr>
              <w:t>总量控制因子</w:t>
            </w:r>
          </w:p>
        </w:tc>
      </w:tr>
      <w:tr w14:paraId="3533F645">
        <w:tblPrEx>
          <w:tblBorders>
            <w:top w:val="thinThickSmallGap" w:color="auto" w:sz="12" w:space="0"/>
            <w:left w:val="none" w:color="auto" w:sz="0" w:space="0"/>
            <w:bottom w:val="thickThinSmallGap"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97" w:hRule="atLeast"/>
        </w:trPr>
        <w:tc>
          <w:tcPr>
            <w:tcW w:w="803" w:type="pct"/>
            <w:vMerge w:val="restart"/>
            <w:tcBorders>
              <w:top w:val="single" w:color="auto" w:sz="6" w:space="0"/>
            </w:tcBorders>
            <w:noWrap w:val="0"/>
            <w:vAlign w:val="center"/>
          </w:tcPr>
          <w:p w14:paraId="72181268">
            <w:pPr>
              <w:ind w:left="975" w:hanging="975"/>
              <w:jc w:val="center"/>
              <w:rPr>
                <w:rFonts w:ascii="Times New Roman" w:hAnsi="Times New Roman" w:cs="Times New Roman"/>
                <w:sz w:val="21"/>
                <w:szCs w:val="21"/>
              </w:rPr>
            </w:pPr>
            <w:r>
              <w:rPr>
                <w:rFonts w:ascii="Times New Roman" w:hAnsi="Times New Roman" w:cs="Times New Roman"/>
                <w:sz w:val="21"/>
                <w:szCs w:val="21"/>
              </w:rPr>
              <w:t>环境</w:t>
            </w:r>
          </w:p>
          <w:p w14:paraId="1A033617">
            <w:pPr>
              <w:ind w:left="975" w:hanging="975"/>
              <w:jc w:val="center"/>
              <w:rPr>
                <w:rFonts w:ascii="Times New Roman" w:hAnsi="Times New Roman" w:cs="Times New Roman"/>
                <w:sz w:val="21"/>
                <w:szCs w:val="21"/>
              </w:rPr>
            </w:pPr>
            <w:r>
              <w:rPr>
                <w:rFonts w:ascii="Times New Roman" w:hAnsi="Times New Roman" w:cs="Times New Roman"/>
                <w:sz w:val="21"/>
                <w:szCs w:val="21"/>
              </w:rPr>
              <w:t>空气</w:t>
            </w:r>
          </w:p>
        </w:tc>
        <w:tc>
          <w:tcPr>
            <w:tcW w:w="803" w:type="pct"/>
            <w:tcBorders>
              <w:top w:val="single" w:color="auto" w:sz="6" w:space="0"/>
            </w:tcBorders>
            <w:noWrap w:val="0"/>
            <w:vAlign w:val="center"/>
          </w:tcPr>
          <w:p w14:paraId="0F402A2E">
            <w:pPr>
              <w:ind w:left="975" w:hanging="975"/>
              <w:jc w:val="center"/>
              <w:rPr>
                <w:rFonts w:ascii="Times New Roman" w:hAnsi="Times New Roman" w:cs="Times New Roman"/>
                <w:sz w:val="21"/>
                <w:szCs w:val="21"/>
              </w:rPr>
            </w:pPr>
            <w:r>
              <w:rPr>
                <w:rFonts w:ascii="Times New Roman" w:hAnsi="Times New Roman" w:cs="Times New Roman"/>
                <w:sz w:val="21"/>
                <w:szCs w:val="21"/>
              </w:rPr>
              <w:t>环境现状</w:t>
            </w:r>
          </w:p>
        </w:tc>
        <w:tc>
          <w:tcPr>
            <w:tcW w:w="2461" w:type="pct"/>
            <w:tcBorders>
              <w:top w:val="single" w:color="auto" w:sz="6" w:space="0"/>
            </w:tcBorders>
            <w:noWrap w:val="0"/>
            <w:vAlign w:val="center"/>
          </w:tcPr>
          <w:p w14:paraId="35D9517A">
            <w:pPr>
              <w:jc w:val="center"/>
              <w:rPr>
                <w:rFonts w:hint="default" w:ascii="Times New Roman" w:hAnsi="Times New Roman" w:eastAsia="宋体" w:cs="Times New Roman"/>
                <w:sz w:val="21"/>
                <w:szCs w:val="21"/>
                <w:lang w:val="en-US" w:eastAsia="zh-CN"/>
              </w:rPr>
            </w:pPr>
            <w:r>
              <w:rPr>
                <w:rFonts w:ascii="Times New Roman" w:hAnsi="Times New Roman" w:cs="Times New Roman"/>
                <w:sz w:val="21"/>
                <w:szCs w:val="21"/>
              </w:rPr>
              <w:t>PM</w:t>
            </w:r>
            <w:r>
              <w:rPr>
                <w:rFonts w:ascii="Times New Roman" w:hAnsi="Times New Roman" w:cs="Times New Roman"/>
                <w:sz w:val="21"/>
                <w:szCs w:val="21"/>
                <w:vertAlign w:val="subscript"/>
              </w:rPr>
              <w:t>10</w:t>
            </w:r>
            <w:r>
              <w:rPr>
                <w:rFonts w:ascii="Times New Roman" w:hAnsi="Times New Roman" w:cs="Times New Roman"/>
                <w:sz w:val="21"/>
                <w:szCs w:val="21"/>
              </w:rPr>
              <w:t>、PM</w:t>
            </w:r>
            <w:r>
              <w:rPr>
                <w:rFonts w:ascii="Times New Roman" w:hAnsi="Times New Roman" w:cs="Times New Roman"/>
                <w:sz w:val="21"/>
                <w:szCs w:val="21"/>
                <w:vertAlign w:val="subscript"/>
              </w:rPr>
              <w:t>2.5</w:t>
            </w:r>
            <w:r>
              <w:rPr>
                <w:rFonts w:ascii="Times New Roman" w:hAnsi="Times New Roman" w:cs="Times New Roman"/>
                <w:sz w:val="21"/>
                <w:szCs w:val="21"/>
              </w:rPr>
              <w:t>、SO</w:t>
            </w:r>
            <w:r>
              <w:rPr>
                <w:rFonts w:ascii="Times New Roman" w:hAnsi="Times New Roman" w:cs="Times New Roman"/>
                <w:sz w:val="21"/>
                <w:szCs w:val="21"/>
                <w:vertAlign w:val="subscript"/>
              </w:rPr>
              <w:t>2</w:t>
            </w:r>
            <w:r>
              <w:rPr>
                <w:rFonts w:ascii="Times New Roman" w:hAnsi="Times New Roman" w:cs="Times New Roman"/>
                <w:sz w:val="21"/>
                <w:szCs w:val="21"/>
              </w:rPr>
              <w:t>、NO</w:t>
            </w:r>
            <w:r>
              <w:rPr>
                <w:rFonts w:ascii="Times New Roman" w:hAnsi="Times New Roman" w:cs="Times New Roman"/>
                <w:sz w:val="21"/>
                <w:szCs w:val="21"/>
                <w:vertAlign w:val="subscript"/>
              </w:rPr>
              <w:t>2</w:t>
            </w:r>
            <w:r>
              <w:rPr>
                <w:rFonts w:ascii="Times New Roman" w:hAnsi="Times New Roman" w:cs="Times New Roman"/>
                <w:sz w:val="21"/>
                <w:szCs w:val="21"/>
              </w:rPr>
              <w:t>、CO、O</w:t>
            </w:r>
            <w:r>
              <w:rPr>
                <w:rFonts w:ascii="Times New Roman" w:hAnsi="Times New Roman" w:cs="Times New Roman"/>
                <w:sz w:val="21"/>
                <w:szCs w:val="21"/>
                <w:vertAlign w:val="subscript"/>
              </w:rPr>
              <w:t>3</w:t>
            </w:r>
            <w:r>
              <w:rPr>
                <w:rFonts w:ascii="Times New Roman" w:hAnsi="Times New Roman" w:cs="Times New Roman"/>
                <w:sz w:val="21"/>
                <w:szCs w:val="21"/>
              </w:rPr>
              <w:t>、</w:t>
            </w:r>
            <w:r>
              <w:rPr>
                <w:rFonts w:hint="eastAsia" w:ascii="Times New Roman" w:hAnsi="Times New Roman" w:cs="Times New Roman"/>
                <w:sz w:val="21"/>
                <w:szCs w:val="21"/>
              </w:rPr>
              <w:t>T</w:t>
            </w:r>
            <w:r>
              <w:rPr>
                <w:rFonts w:ascii="Times New Roman" w:hAnsi="Times New Roman" w:cs="Times New Roman"/>
                <w:sz w:val="21"/>
                <w:szCs w:val="21"/>
              </w:rPr>
              <w:t>SP</w:t>
            </w:r>
            <w:r>
              <w:rPr>
                <w:rFonts w:hint="eastAsia" w:ascii="Times New Roman" w:hAnsi="Times New Roman" w:cs="Times New Roman"/>
                <w:sz w:val="21"/>
                <w:szCs w:val="21"/>
                <w:lang w:eastAsia="zh-CN"/>
              </w:rPr>
              <w:t>、</w:t>
            </w:r>
            <w:r>
              <w:rPr>
                <w:rFonts w:hint="eastAsia" w:ascii="Times New Roman" w:hAnsi="Times New Roman" w:cs="Times New Roman"/>
                <w:sz w:val="21"/>
                <w:szCs w:val="21"/>
                <w:lang w:val="en-US" w:eastAsia="zh-CN"/>
              </w:rPr>
              <w:t>氟化物、</w:t>
            </w:r>
            <w:r>
              <w:rPr>
                <w:rFonts w:hint="eastAsia" w:ascii="Times New Roman" w:hAnsi="Times New Roman" w:cs="Times New Roman"/>
                <w:sz w:val="21"/>
                <w:szCs w:val="21"/>
              </w:rPr>
              <w:t>NOx</w:t>
            </w:r>
            <w:r>
              <w:rPr>
                <w:rFonts w:hint="eastAsia" w:ascii="Times New Roman" w:hAnsi="Times New Roman" w:cs="Times New Roman"/>
                <w:sz w:val="21"/>
                <w:szCs w:val="21"/>
                <w:lang w:eastAsia="zh-CN"/>
              </w:rPr>
              <w:t>、</w:t>
            </w:r>
            <w:r>
              <w:rPr>
                <w:rFonts w:hint="eastAsia" w:ascii="Times New Roman" w:hAnsi="Times New Roman" w:cs="Times New Roman"/>
                <w:sz w:val="21"/>
                <w:szCs w:val="21"/>
                <w:lang w:val="en-US" w:eastAsia="zh-CN"/>
              </w:rPr>
              <w:t>二噁英</w:t>
            </w:r>
          </w:p>
        </w:tc>
        <w:tc>
          <w:tcPr>
            <w:tcW w:w="932" w:type="pct"/>
            <w:vMerge w:val="restart"/>
            <w:tcBorders>
              <w:top w:val="single" w:color="auto" w:sz="6" w:space="0"/>
            </w:tcBorders>
            <w:noWrap w:val="0"/>
            <w:vAlign w:val="center"/>
          </w:tcPr>
          <w:p w14:paraId="3C49CC53">
            <w:pPr>
              <w:jc w:val="center"/>
              <w:rPr>
                <w:rFonts w:ascii="Times New Roman" w:hAnsi="Times New Roman" w:cs="Times New Roman"/>
                <w:sz w:val="21"/>
                <w:szCs w:val="21"/>
              </w:rPr>
            </w:pPr>
            <w:r>
              <w:rPr>
                <w:rFonts w:hint="eastAsia" w:ascii="Times New Roman" w:hAnsi="Times New Roman" w:cs="Times New Roman"/>
                <w:sz w:val="21"/>
                <w:szCs w:val="21"/>
              </w:rPr>
              <w:t>NOx</w:t>
            </w:r>
          </w:p>
        </w:tc>
      </w:tr>
      <w:tr w14:paraId="4ECDAAB2">
        <w:tblPrEx>
          <w:tblBorders>
            <w:top w:val="thinThickSmallGap" w:color="auto" w:sz="12" w:space="0"/>
            <w:left w:val="none" w:color="auto" w:sz="0" w:space="0"/>
            <w:bottom w:val="thickThinSmallGap"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97" w:hRule="atLeast"/>
        </w:trPr>
        <w:tc>
          <w:tcPr>
            <w:tcW w:w="803" w:type="pct"/>
            <w:vMerge w:val="continue"/>
            <w:noWrap w:val="0"/>
            <w:vAlign w:val="center"/>
          </w:tcPr>
          <w:p w14:paraId="48E55ABC">
            <w:pPr>
              <w:jc w:val="center"/>
              <w:rPr>
                <w:rFonts w:ascii="Times New Roman" w:hAnsi="Times New Roman" w:cs="Times New Roman"/>
                <w:sz w:val="21"/>
                <w:szCs w:val="21"/>
              </w:rPr>
            </w:pPr>
          </w:p>
        </w:tc>
        <w:tc>
          <w:tcPr>
            <w:tcW w:w="803" w:type="pct"/>
            <w:noWrap w:val="0"/>
            <w:vAlign w:val="center"/>
          </w:tcPr>
          <w:p w14:paraId="506142FE">
            <w:pPr>
              <w:ind w:left="975" w:hanging="975"/>
              <w:jc w:val="center"/>
              <w:rPr>
                <w:rFonts w:ascii="Times New Roman" w:hAnsi="Times New Roman" w:cs="Times New Roman"/>
                <w:sz w:val="21"/>
                <w:szCs w:val="21"/>
              </w:rPr>
            </w:pPr>
            <w:r>
              <w:rPr>
                <w:rFonts w:ascii="Times New Roman" w:hAnsi="Times New Roman" w:cs="Times New Roman"/>
                <w:sz w:val="21"/>
                <w:szCs w:val="21"/>
              </w:rPr>
              <w:t>环境影响</w:t>
            </w:r>
          </w:p>
        </w:tc>
        <w:tc>
          <w:tcPr>
            <w:tcW w:w="2461" w:type="pct"/>
            <w:noWrap w:val="0"/>
            <w:vAlign w:val="center"/>
          </w:tcPr>
          <w:p w14:paraId="2FA10C69">
            <w:pPr>
              <w:jc w:val="center"/>
              <w:rPr>
                <w:rFonts w:ascii="Times New Roman" w:hAnsi="Times New Roman" w:cs="Times New Roman"/>
                <w:sz w:val="21"/>
                <w:szCs w:val="21"/>
              </w:rPr>
            </w:pPr>
            <w:r>
              <w:rPr>
                <w:rFonts w:ascii="Times New Roman" w:hAnsi="Times New Roman" w:cs="Times New Roman"/>
                <w:sz w:val="21"/>
                <w:szCs w:val="21"/>
              </w:rPr>
              <w:t>颗粒物（PM</w:t>
            </w:r>
            <w:r>
              <w:rPr>
                <w:rFonts w:ascii="Times New Roman" w:hAnsi="Times New Roman" w:cs="Times New Roman"/>
                <w:sz w:val="21"/>
                <w:szCs w:val="21"/>
                <w:vertAlign w:val="subscript"/>
              </w:rPr>
              <w:t>10</w:t>
            </w:r>
            <w:r>
              <w:rPr>
                <w:rFonts w:ascii="Times New Roman" w:hAnsi="Times New Roman" w:cs="Times New Roman"/>
                <w:sz w:val="21"/>
                <w:szCs w:val="21"/>
              </w:rPr>
              <w:t>、PM</w:t>
            </w:r>
            <w:r>
              <w:rPr>
                <w:rFonts w:ascii="Times New Roman" w:hAnsi="Times New Roman" w:cs="Times New Roman"/>
                <w:sz w:val="21"/>
                <w:szCs w:val="21"/>
                <w:vertAlign w:val="subscript"/>
              </w:rPr>
              <w:t>2.5</w:t>
            </w:r>
            <w:r>
              <w:rPr>
                <w:rFonts w:ascii="Times New Roman" w:hAnsi="Times New Roman" w:cs="Times New Roman"/>
                <w:sz w:val="21"/>
                <w:szCs w:val="21"/>
              </w:rPr>
              <w:t>、</w:t>
            </w:r>
            <w:r>
              <w:rPr>
                <w:rFonts w:hint="eastAsia" w:ascii="Times New Roman" w:hAnsi="Times New Roman" w:cs="Times New Roman"/>
                <w:sz w:val="21"/>
                <w:szCs w:val="21"/>
              </w:rPr>
              <w:t>T</w:t>
            </w:r>
            <w:r>
              <w:rPr>
                <w:rFonts w:ascii="Times New Roman" w:hAnsi="Times New Roman" w:cs="Times New Roman"/>
                <w:sz w:val="21"/>
                <w:szCs w:val="21"/>
              </w:rPr>
              <w:t>SP）、SO</w:t>
            </w:r>
            <w:r>
              <w:rPr>
                <w:rFonts w:ascii="Times New Roman" w:hAnsi="Times New Roman" w:cs="Times New Roman"/>
                <w:sz w:val="21"/>
                <w:szCs w:val="21"/>
                <w:vertAlign w:val="subscript"/>
              </w:rPr>
              <w:t>2</w:t>
            </w:r>
            <w:r>
              <w:rPr>
                <w:rFonts w:ascii="Times New Roman" w:hAnsi="Times New Roman" w:cs="Times New Roman"/>
                <w:sz w:val="21"/>
                <w:szCs w:val="21"/>
              </w:rPr>
              <w:t>、</w:t>
            </w:r>
            <w:r>
              <w:rPr>
                <w:rFonts w:hint="eastAsia" w:ascii="Times New Roman" w:hAnsi="Times New Roman" w:cs="Times New Roman"/>
                <w:sz w:val="21"/>
                <w:szCs w:val="21"/>
                <w:lang w:val="en-US" w:eastAsia="zh-CN"/>
              </w:rPr>
              <w:t>氟化物、</w:t>
            </w:r>
            <w:r>
              <w:rPr>
                <w:rFonts w:hint="eastAsia" w:ascii="Times New Roman" w:hAnsi="Times New Roman" w:cs="Times New Roman"/>
                <w:sz w:val="21"/>
                <w:szCs w:val="21"/>
              </w:rPr>
              <w:t>NOx</w:t>
            </w:r>
            <w:r>
              <w:rPr>
                <w:rFonts w:hint="eastAsia" w:ascii="Times New Roman" w:hAnsi="Times New Roman" w:cs="Times New Roman"/>
                <w:sz w:val="21"/>
                <w:szCs w:val="21"/>
                <w:lang w:eastAsia="zh-CN"/>
              </w:rPr>
              <w:t>、</w:t>
            </w:r>
            <w:r>
              <w:rPr>
                <w:rFonts w:hint="eastAsia" w:ascii="Times New Roman" w:hAnsi="Times New Roman" w:cs="Times New Roman"/>
                <w:sz w:val="21"/>
                <w:szCs w:val="21"/>
                <w:lang w:val="en-US" w:eastAsia="zh-CN"/>
              </w:rPr>
              <w:t>二噁英</w:t>
            </w:r>
          </w:p>
        </w:tc>
        <w:tc>
          <w:tcPr>
            <w:tcW w:w="932" w:type="pct"/>
            <w:vMerge w:val="continue"/>
            <w:noWrap w:val="0"/>
            <w:vAlign w:val="center"/>
          </w:tcPr>
          <w:p w14:paraId="2E7A5745">
            <w:pPr>
              <w:jc w:val="center"/>
              <w:rPr>
                <w:rFonts w:ascii="Times New Roman" w:hAnsi="Times New Roman" w:cs="Times New Roman"/>
                <w:sz w:val="21"/>
                <w:szCs w:val="21"/>
              </w:rPr>
            </w:pPr>
          </w:p>
        </w:tc>
      </w:tr>
      <w:tr w14:paraId="6AEFEE24">
        <w:tblPrEx>
          <w:tblBorders>
            <w:top w:val="thinThickSmallGap" w:color="auto" w:sz="12" w:space="0"/>
            <w:left w:val="none" w:color="auto" w:sz="0" w:space="0"/>
            <w:bottom w:val="thickThinSmallGap"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97" w:hRule="atLeast"/>
        </w:trPr>
        <w:tc>
          <w:tcPr>
            <w:tcW w:w="803" w:type="pct"/>
            <w:vMerge w:val="restart"/>
            <w:noWrap w:val="0"/>
            <w:vAlign w:val="center"/>
          </w:tcPr>
          <w:p w14:paraId="4E8479C5">
            <w:pPr>
              <w:ind w:left="975" w:hanging="975"/>
              <w:jc w:val="center"/>
              <w:rPr>
                <w:rFonts w:ascii="Times New Roman" w:hAnsi="Times New Roman" w:cs="Times New Roman"/>
                <w:sz w:val="21"/>
                <w:szCs w:val="21"/>
              </w:rPr>
            </w:pPr>
            <w:r>
              <w:rPr>
                <w:rFonts w:ascii="Times New Roman" w:hAnsi="Times New Roman" w:cs="Times New Roman"/>
                <w:sz w:val="21"/>
                <w:szCs w:val="21"/>
              </w:rPr>
              <w:t>声环境</w:t>
            </w:r>
          </w:p>
        </w:tc>
        <w:tc>
          <w:tcPr>
            <w:tcW w:w="803" w:type="pct"/>
            <w:noWrap w:val="0"/>
            <w:vAlign w:val="center"/>
          </w:tcPr>
          <w:p w14:paraId="5C4E2527">
            <w:pPr>
              <w:ind w:left="975" w:hanging="975"/>
              <w:jc w:val="center"/>
              <w:rPr>
                <w:rFonts w:ascii="Times New Roman" w:hAnsi="Times New Roman" w:cs="Times New Roman"/>
                <w:sz w:val="21"/>
                <w:szCs w:val="21"/>
              </w:rPr>
            </w:pPr>
            <w:r>
              <w:rPr>
                <w:rFonts w:ascii="Times New Roman" w:hAnsi="Times New Roman" w:cs="Times New Roman"/>
                <w:sz w:val="21"/>
                <w:szCs w:val="21"/>
              </w:rPr>
              <w:t>环境现状</w:t>
            </w:r>
          </w:p>
        </w:tc>
        <w:tc>
          <w:tcPr>
            <w:tcW w:w="2461" w:type="pct"/>
            <w:noWrap w:val="0"/>
            <w:vAlign w:val="center"/>
          </w:tcPr>
          <w:p w14:paraId="7CFA815B">
            <w:pPr>
              <w:ind w:left="975" w:hanging="975"/>
              <w:jc w:val="center"/>
              <w:rPr>
                <w:rFonts w:ascii="Times New Roman" w:hAnsi="Times New Roman" w:cs="Times New Roman"/>
                <w:sz w:val="21"/>
                <w:szCs w:val="21"/>
              </w:rPr>
            </w:pPr>
            <w:r>
              <w:rPr>
                <w:rFonts w:ascii="Times New Roman" w:hAnsi="Times New Roman" w:cs="Times New Roman"/>
                <w:sz w:val="21"/>
                <w:szCs w:val="21"/>
              </w:rPr>
              <w:t>Leq（A）</w:t>
            </w:r>
          </w:p>
        </w:tc>
        <w:tc>
          <w:tcPr>
            <w:tcW w:w="932" w:type="pct"/>
            <w:vMerge w:val="restart"/>
            <w:noWrap w:val="0"/>
            <w:vAlign w:val="center"/>
          </w:tcPr>
          <w:p w14:paraId="0D4BB086">
            <w:pPr>
              <w:ind w:left="975" w:hanging="975"/>
              <w:jc w:val="center"/>
              <w:rPr>
                <w:rFonts w:ascii="Times New Roman" w:hAnsi="Times New Roman" w:cs="Times New Roman"/>
                <w:sz w:val="21"/>
                <w:szCs w:val="21"/>
              </w:rPr>
            </w:pPr>
            <w:r>
              <w:rPr>
                <w:rFonts w:hint="eastAsia" w:ascii="Times New Roman" w:hAnsi="Times New Roman" w:cs="Times New Roman"/>
                <w:sz w:val="21"/>
                <w:szCs w:val="21"/>
              </w:rPr>
              <w:t>/</w:t>
            </w:r>
          </w:p>
        </w:tc>
      </w:tr>
      <w:tr w14:paraId="10021899">
        <w:tblPrEx>
          <w:tblBorders>
            <w:top w:val="thinThickSmallGap" w:color="auto" w:sz="12" w:space="0"/>
            <w:left w:val="none" w:color="auto" w:sz="0" w:space="0"/>
            <w:bottom w:val="thickThinSmallGap"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97" w:hRule="atLeast"/>
        </w:trPr>
        <w:tc>
          <w:tcPr>
            <w:tcW w:w="803" w:type="pct"/>
            <w:vMerge w:val="continue"/>
            <w:noWrap w:val="0"/>
            <w:vAlign w:val="center"/>
          </w:tcPr>
          <w:p w14:paraId="7577C173">
            <w:pPr>
              <w:jc w:val="center"/>
              <w:rPr>
                <w:rFonts w:ascii="Times New Roman" w:hAnsi="Times New Roman" w:cs="Times New Roman"/>
                <w:sz w:val="21"/>
                <w:szCs w:val="21"/>
              </w:rPr>
            </w:pPr>
          </w:p>
        </w:tc>
        <w:tc>
          <w:tcPr>
            <w:tcW w:w="803" w:type="pct"/>
            <w:noWrap w:val="0"/>
            <w:vAlign w:val="center"/>
          </w:tcPr>
          <w:p w14:paraId="50692FD8">
            <w:pPr>
              <w:ind w:left="975" w:hanging="975"/>
              <w:jc w:val="center"/>
              <w:rPr>
                <w:rFonts w:ascii="Times New Roman" w:hAnsi="Times New Roman" w:cs="Times New Roman"/>
                <w:sz w:val="21"/>
                <w:szCs w:val="21"/>
              </w:rPr>
            </w:pPr>
            <w:r>
              <w:rPr>
                <w:rFonts w:ascii="Times New Roman" w:hAnsi="Times New Roman" w:cs="Times New Roman"/>
                <w:sz w:val="21"/>
                <w:szCs w:val="21"/>
              </w:rPr>
              <w:t>环境影响</w:t>
            </w:r>
          </w:p>
        </w:tc>
        <w:tc>
          <w:tcPr>
            <w:tcW w:w="2461" w:type="pct"/>
            <w:noWrap w:val="0"/>
            <w:vAlign w:val="center"/>
          </w:tcPr>
          <w:p w14:paraId="524C3DA5">
            <w:pPr>
              <w:ind w:left="975" w:hanging="975"/>
              <w:jc w:val="center"/>
              <w:rPr>
                <w:rFonts w:ascii="Times New Roman" w:hAnsi="Times New Roman" w:cs="Times New Roman"/>
                <w:sz w:val="21"/>
                <w:szCs w:val="21"/>
              </w:rPr>
            </w:pPr>
            <w:r>
              <w:rPr>
                <w:rFonts w:ascii="Times New Roman" w:hAnsi="Times New Roman" w:cs="Times New Roman"/>
                <w:sz w:val="21"/>
                <w:szCs w:val="21"/>
              </w:rPr>
              <w:t>Leq（A）</w:t>
            </w:r>
          </w:p>
        </w:tc>
        <w:tc>
          <w:tcPr>
            <w:tcW w:w="932" w:type="pct"/>
            <w:vMerge w:val="continue"/>
            <w:noWrap w:val="0"/>
            <w:vAlign w:val="center"/>
          </w:tcPr>
          <w:p w14:paraId="4F216004">
            <w:pPr>
              <w:ind w:left="975" w:hanging="975"/>
              <w:jc w:val="center"/>
              <w:rPr>
                <w:rFonts w:ascii="Times New Roman" w:hAnsi="Times New Roman" w:cs="Times New Roman"/>
                <w:sz w:val="21"/>
                <w:szCs w:val="21"/>
              </w:rPr>
            </w:pPr>
          </w:p>
        </w:tc>
      </w:tr>
      <w:tr w14:paraId="0F4962A6">
        <w:tblPrEx>
          <w:tblBorders>
            <w:top w:val="thinThickSmallGap" w:color="auto" w:sz="12" w:space="0"/>
            <w:left w:val="none" w:color="auto" w:sz="0" w:space="0"/>
            <w:bottom w:val="thickThinSmallGap"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97" w:hRule="atLeast"/>
        </w:trPr>
        <w:tc>
          <w:tcPr>
            <w:tcW w:w="803" w:type="pct"/>
            <w:noWrap w:val="0"/>
            <w:vAlign w:val="center"/>
          </w:tcPr>
          <w:p w14:paraId="6D29268F">
            <w:pPr>
              <w:jc w:val="center"/>
              <w:rPr>
                <w:rFonts w:ascii="Times New Roman" w:hAnsi="Times New Roman" w:cs="Times New Roman"/>
                <w:sz w:val="21"/>
                <w:szCs w:val="21"/>
              </w:rPr>
            </w:pPr>
            <w:r>
              <w:rPr>
                <w:rFonts w:hint="eastAsia" w:ascii="Times New Roman" w:hAnsi="Times New Roman" w:cs="Times New Roman"/>
                <w:sz w:val="21"/>
                <w:szCs w:val="21"/>
              </w:rPr>
              <w:t>地表水</w:t>
            </w:r>
          </w:p>
        </w:tc>
        <w:tc>
          <w:tcPr>
            <w:tcW w:w="803" w:type="pct"/>
            <w:noWrap w:val="0"/>
            <w:vAlign w:val="center"/>
          </w:tcPr>
          <w:p w14:paraId="0B3C8D98">
            <w:pPr>
              <w:ind w:left="975" w:hanging="975"/>
              <w:jc w:val="center"/>
              <w:rPr>
                <w:rFonts w:ascii="Times New Roman" w:hAnsi="Times New Roman" w:cs="Times New Roman"/>
                <w:sz w:val="21"/>
                <w:szCs w:val="21"/>
              </w:rPr>
            </w:pPr>
            <w:r>
              <w:rPr>
                <w:rFonts w:ascii="Times New Roman" w:hAnsi="Times New Roman" w:cs="Times New Roman"/>
                <w:sz w:val="21"/>
                <w:szCs w:val="21"/>
              </w:rPr>
              <w:t>环境影响</w:t>
            </w:r>
          </w:p>
        </w:tc>
        <w:tc>
          <w:tcPr>
            <w:tcW w:w="2461" w:type="pct"/>
            <w:noWrap w:val="0"/>
            <w:vAlign w:val="center"/>
          </w:tcPr>
          <w:p w14:paraId="17C2980E">
            <w:pPr>
              <w:ind w:left="975" w:hanging="975"/>
              <w:jc w:val="center"/>
              <w:rPr>
                <w:rFonts w:ascii="Times New Roman" w:hAnsi="Times New Roman" w:cs="Times New Roman"/>
                <w:sz w:val="21"/>
                <w:szCs w:val="21"/>
              </w:rPr>
            </w:pPr>
            <w:r>
              <w:rPr>
                <w:rFonts w:hint="eastAsia" w:ascii="Times New Roman" w:hAnsi="Times New Roman" w:cs="Times New Roman"/>
                <w:sz w:val="21"/>
                <w:szCs w:val="21"/>
              </w:rPr>
              <w:t>COD、SS</w:t>
            </w:r>
          </w:p>
        </w:tc>
        <w:tc>
          <w:tcPr>
            <w:tcW w:w="932" w:type="pct"/>
            <w:noWrap w:val="0"/>
            <w:vAlign w:val="center"/>
          </w:tcPr>
          <w:p w14:paraId="3C29F1A8">
            <w:pPr>
              <w:ind w:left="975" w:hanging="975"/>
              <w:jc w:val="center"/>
              <w:rPr>
                <w:rFonts w:ascii="Times New Roman" w:hAnsi="Times New Roman" w:cs="Times New Roman"/>
                <w:sz w:val="21"/>
                <w:szCs w:val="21"/>
              </w:rPr>
            </w:pPr>
            <w:r>
              <w:rPr>
                <w:rFonts w:hint="eastAsia" w:ascii="Times New Roman" w:hAnsi="Times New Roman" w:cs="Times New Roman"/>
                <w:sz w:val="21"/>
                <w:szCs w:val="21"/>
              </w:rPr>
              <w:t>/</w:t>
            </w:r>
          </w:p>
        </w:tc>
      </w:tr>
      <w:tr w14:paraId="10477D6A">
        <w:tblPrEx>
          <w:tblBorders>
            <w:top w:val="thinThickSmallGap" w:color="auto" w:sz="12" w:space="0"/>
            <w:left w:val="none" w:color="auto" w:sz="0" w:space="0"/>
            <w:bottom w:val="thickThinSmallGap"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97" w:hRule="atLeast"/>
        </w:trPr>
        <w:tc>
          <w:tcPr>
            <w:tcW w:w="803" w:type="pct"/>
            <w:noWrap w:val="0"/>
            <w:vAlign w:val="center"/>
          </w:tcPr>
          <w:p w14:paraId="3F9564B5">
            <w:pPr>
              <w:jc w:val="center"/>
              <w:rPr>
                <w:rFonts w:ascii="Times New Roman" w:hAnsi="Times New Roman" w:cs="Times New Roman"/>
                <w:sz w:val="21"/>
                <w:szCs w:val="21"/>
              </w:rPr>
            </w:pPr>
            <w:r>
              <w:rPr>
                <w:rFonts w:hint="eastAsia" w:ascii="Times New Roman" w:hAnsi="Times New Roman" w:cs="Times New Roman"/>
                <w:sz w:val="21"/>
                <w:szCs w:val="21"/>
              </w:rPr>
              <w:t>地</w:t>
            </w:r>
            <w:r>
              <w:rPr>
                <w:rFonts w:hint="eastAsia" w:ascii="Times New Roman" w:hAnsi="Times New Roman" w:cs="Times New Roman"/>
                <w:sz w:val="21"/>
                <w:szCs w:val="21"/>
                <w:lang w:val="en-US" w:eastAsia="zh-CN"/>
              </w:rPr>
              <w:t>下</w:t>
            </w:r>
            <w:r>
              <w:rPr>
                <w:rFonts w:hint="eastAsia" w:ascii="Times New Roman" w:hAnsi="Times New Roman" w:cs="Times New Roman"/>
                <w:sz w:val="21"/>
                <w:szCs w:val="21"/>
              </w:rPr>
              <w:t>水</w:t>
            </w:r>
          </w:p>
        </w:tc>
        <w:tc>
          <w:tcPr>
            <w:tcW w:w="803" w:type="pct"/>
            <w:noWrap w:val="0"/>
            <w:vAlign w:val="center"/>
          </w:tcPr>
          <w:p w14:paraId="6B7D59A1">
            <w:pPr>
              <w:ind w:left="975" w:hanging="975"/>
              <w:jc w:val="center"/>
              <w:rPr>
                <w:rFonts w:ascii="Times New Roman" w:hAnsi="Times New Roman" w:cs="Times New Roman"/>
                <w:sz w:val="21"/>
                <w:szCs w:val="21"/>
              </w:rPr>
            </w:pPr>
            <w:r>
              <w:rPr>
                <w:rFonts w:ascii="Times New Roman" w:hAnsi="Times New Roman" w:cs="Times New Roman"/>
                <w:sz w:val="21"/>
                <w:szCs w:val="21"/>
              </w:rPr>
              <w:t>环境影响</w:t>
            </w:r>
          </w:p>
        </w:tc>
        <w:tc>
          <w:tcPr>
            <w:tcW w:w="2461" w:type="pct"/>
            <w:noWrap w:val="0"/>
            <w:vAlign w:val="center"/>
          </w:tcPr>
          <w:p w14:paraId="08817F30">
            <w:pPr>
              <w:ind w:left="975" w:hanging="975"/>
              <w:jc w:val="center"/>
              <w:rPr>
                <w:rFonts w:ascii="Times New Roman" w:hAnsi="Times New Roman" w:cs="Times New Roman"/>
                <w:sz w:val="21"/>
                <w:szCs w:val="21"/>
              </w:rPr>
            </w:pPr>
            <w:r>
              <w:rPr>
                <w:rFonts w:hint="eastAsia" w:ascii="Times New Roman" w:hAnsi="Times New Roman" w:cs="Times New Roman"/>
                <w:sz w:val="21"/>
                <w:szCs w:val="21"/>
              </w:rPr>
              <w:t>COD、SS</w:t>
            </w:r>
          </w:p>
        </w:tc>
        <w:tc>
          <w:tcPr>
            <w:tcW w:w="932" w:type="pct"/>
            <w:noWrap w:val="0"/>
            <w:vAlign w:val="center"/>
          </w:tcPr>
          <w:p w14:paraId="4143DBC4">
            <w:pPr>
              <w:ind w:left="975" w:hanging="975"/>
              <w:jc w:val="center"/>
              <w:rPr>
                <w:rFonts w:ascii="Times New Roman" w:hAnsi="Times New Roman" w:cs="Times New Roman"/>
                <w:sz w:val="21"/>
                <w:szCs w:val="21"/>
              </w:rPr>
            </w:pPr>
            <w:r>
              <w:rPr>
                <w:rFonts w:hint="eastAsia" w:ascii="Times New Roman" w:hAnsi="Times New Roman" w:cs="Times New Roman"/>
                <w:sz w:val="21"/>
                <w:szCs w:val="21"/>
              </w:rPr>
              <w:t>/</w:t>
            </w:r>
          </w:p>
        </w:tc>
      </w:tr>
      <w:tr w14:paraId="79B94F4E">
        <w:tblPrEx>
          <w:tblBorders>
            <w:top w:val="thinThickSmallGap" w:color="auto" w:sz="12" w:space="0"/>
            <w:left w:val="none" w:color="auto" w:sz="0" w:space="0"/>
            <w:bottom w:val="thickThinSmallGap"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97" w:hRule="atLeast"/>
        </w:trPr>
        <w:tc>
          <w:tcPr>
            <w:tcW w:w="803" w:type="pct"/>
            <w:vMerge w:val="restart"/>
            <w:noWrap w:val="0"/>
            <w:vAlign w:val="center"/>
          </w:tcPr>
          <w:p w14:paraId="015A8EB2">
            <w:pPr>
              <w:jc w:val="center"/>
              <w:rPr>
                <w:rFonts w:ascii="Times New Roman" w:hAnsi="Times New Roman" w:cs="Times New Roman"/>
                <w:sz w:val="21"/>
                <w:szCs w:val="21"/>
              </w:rPr>
            </w:pPr>
            <w:r>
              <w:rPr>
                <w:rFonts w:ascii="Times New Roman" w:hAnsi="Times New Roman" w:cs="Times New Roman"/>
                <w:sz w:val="21"/>
                <w:szCs w:val="21"/>
              </w:rPr>
              <w:t>土壤环境</w:t>
            </w:r>
          </w:p>
        </w:tc>
        <w:tc>
          <w:tcPr>
            <w:tcW w:w="803" w:type="pct"/>
            <w:noWrap w:val="0"/>
            <w:vAlign w:val="center"/>
          </w:tcPr>
          <w:p w14:paraId="58D037FC">
            <w:pPr>
              <w:ind w:left="975" w:hanging="975"/>
              <w:jc w:val="center"/>
              <w:rPr>
                <w:rFonts w:ascii="Times New Roman" w:hAnsi="Times New Roman" w:cs="Times New Roman"/>
                <w:sz w:val="21"/>
                <w:szCs w:val="21"/>
              </w:rPr>
            </w:pPr>
            <w:r>
              <w:rPr>
                <w:rFonts w:ascii="Times New Roman" w:hAnsi="Times New Roman" w:cs="Times New Roman"/>
                <w:sz w:val="21"/>
                <w:szCs w:val="21"/>
              </w:rPr>
              <w:t>环境现状</w:t>
            </w:r>
          </w:p>
        </w:tc>
        <w:tc>
          <w:tcPr>
            <w:tcW w:w="2461" w:type="pct"/>
            <w:noWrap w:val="0"/>
            <w:vAlign w:val="center"/>
          </w:tcPr>
          <w:p w14:paraId="012C926E">
            <w:pPr>
              <w:jc w:val="center"/>
              <w:rPr>
                <w:rFonts w:ascii="Times New Roman" w:hAnsi="Times New Roman" w:cs="Times New Roman"/>
                <w:sz w:val="21"/>
                <w:szCs w:val="21"/>
              </w:rPr>
            </w:pPr>
            <w:r>
              <w:rPr>
                <w:rFonts w:ascii="Times New Roman" w:hAnsi="Times New Roman" w:cs="Times New Roman"/>
                <w:sz w:val="21"/>
                <w:szCs w:val="21"/>
              </w:rPr>
              <w:t>pH、砷、镉、总铬、铬（六价）、铜、铅、汞、镍、铜、锌、四氯化碳、氯仿、氯甲烷、1,1-二氯乙烷、1,2-二氯乙烷、1,1二氯乙烯、顺-1,2二氯乙烯、反-1,2-二氯乙烯、二氯甲烷、1,2-二氯丙烷、1,1,1,2-四氯乙烷、1,1,2,2-四氯乙烷、四氯乙烯、1,1,1-三氯乙烷、1,1,2-三氯乙烷、三氯乙烯、1,2,3-三氯丙烷、氯乙烯、苯、氯苯、1,2-二氯苯、1,4-二氯苯、乙苯、苯乙烯、甲苯、间二甲苯+对二甲苯、邻二甲苯、硝基苯、苯胺、2-氯酚、苯并[a]蒽、苯并[a]芘、苯并[b]荧蒽、苯并[k]荧蒽、䓛、二苯并[a,h]蒽、茚并[1,2,3-cd]芘、萘。</w:t>
            </w:r>
          </w:p>
        </w:tc>
        <w:tc>
          <w:tcPr>
            <w:tcW w:w="932" w:type="pct"/>
            <w:noWrap w:val="0"/>
            <w:vAlign w:val="center"/>
          </w:tcPr>
          <w:p w14:paraId="64736158">
            <w:pPr>
              <w:jc w:val="center"/>
              <w:rPr>
                <w:rFonts w:ascii="Times New Roman" w:hAnsi="Times New Roman" w:cs="Times New Roman"/>
                <w:sz w:val="21"/>
                <w:szCs w:val="21"/>
              </w:rPr>
            </w:pPr>
            <w:r>
              <w:rPr>
                <w:rFonts w:hint="eastAsia" w:ascii="Times New Roman" w:hAnsi="Times New Roman" w:cs="Times New Roman"/>
                <w:sz w:val="21"/>
                <w:szCs w:val="21"/>
              </w:rPr>
              <w:t>/</w:t>
            </w:r>
          </w:p>
        </w:tc>
      </w:tr>
      <w:tr w14:paraId="27706D26">
        <w:tblPrEx>
          <w:tblBorders>
            <w:top w:val="thinThickSmallGap" w:color="auto" w:sz="12" w:space="0"/>
            <w:left w:val="none" w:color="auto" w:sz="0" w:space="0"/>
            <w:bottom w:val="thickThinSmallGap"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97" w:hRule="atLeast"/>
        </w:trPr>
        <w:tc>
          <w:tcPr>
            <w:tcW w:w="803" w:type="pct"/>
            <w:vMerge w:val="continue"/>
            <w:noWrap w:val="0"/>
            <w:vAlign w:val="center"/>
          </w:tcPr>
          <w:p w14:paraId="143B400A">
            <w:pPr>
              <w:jc w:val="center"/>
              <w:rPr>
                <w:rFonts w:ascii="Times New Roman" w:hAnsi="Times New Roman" w:cs="Times New Roman"/>
                <w:sz w:val="21"/>
                <w:szCs w:val="21"/>
              </w:rPr>
            </w:pPr>
          </w:p>
        </w:tc>
        <w:tc>
          <w:tcPr>
            <w:tcW w:w="803" w:type="pct"/>
            <w:noWrap w:val="0"/>
            <w:vAlign w:val="center"/>
          </w:tcPr>
          <w:p w14:paraId="25FDBEC4">
            <w:pPr>
              <w:ind w:left="975" w:hanging="975"/>
              <w:jc w:val="center"/>
              <w:rPr>
                <w:rFonts w:ascii="Times New Roman" w:hAnsi="Times New Roman" w:cs="Times New Roman"/>
                <w:sz w:val="21"/>
                <w:szCs w:val="21"/>
              </w:rPr>
            </w:pPr>
            <w:r>
              <w:rPr>
                <w:rFonts w:ascii="Times New Roman" w:hAnsi="Times New Roman" w:cs="Times New Roman"/>
                <w:sz w:val="21"/>
                <w:szCs w:val="21"/>
              </w:rPr>
              <w:t>环境影响</w:t>
            </w:r>
          </w:p>
        </w:tc>
        <w:tc>
          <w:tcPr>
            <w:tcW w:w="2461" w:type="pct"/>
            <w:noWrap w:val="0"/>
            <w:vAlign w:val="center"/>
          </w:tcPr>
          <w:p w14:paraId="189C4A12">
            <w:pPr>
              <w:ind w:left="975" w:hanging="975"/>
              <w:jc w:val="center"/>
              <w:rPr>
                <w:rFonts w:ascii="Times New Roman" w:hAnsi="Times New Roman" w:cs="Times New Roman"/>
                <w:sz w:val="21"/>
                <w:szCs w:val="21"/>
              </w:rPr>
            </w:pPr>
            <w:r>
              <w:rPr>
                <w:rFonts w:hint="eastAsia" w:ascii="Times New Roman" w:hAnsi="Times New Roman" w:cs="Times New Roman"/>
                <w:sz w:val="21"/>
                <w:szCs w:val="21"/>
              </w:rPr>
              <w:t>/</w:t>
            </w:r>
          </w:p>
        </w:tc>
        <w:tc>
          <w:tcPr>
            <w:tcW w:w="932" w:type="pct"/>
            <w:noWrap w:val="0"/>
            <w:vAlign w:val="center"/>
          </w:tcPr>
          <w:p w14:paraId="20AA357C">
            <w:pPr>
              <w:ind w:left="975" w:hanging="975"/>
              <w:jc w:val="center"/>
              <w:rPr>
                <w:rFonts w:ascii="Times New Roman" w:hAnsi="Times New Roman" w:cs="Times New Roman"/>
                <w:sz w:val="21"/>
                <w:szCs w:val="21"/>
              </w:rPr>
            </w:pPr>
            <w:r>
              <w:rPr>
                <w:rFonts w:hint="eastAsia" w:ascii="Times New Roman" w:hAnsi="Times New Roman" w:cs="Times New Roman"/>
                <w:sz w:val="21"/>
                <w:szCs w:val="21"/>
              </w:rPr>
              <w:t>/</w:t>
            </w:r>
          </w:p>
        </w:tc>
      </w:tr>
      <w:tr w14:paraId="17866C54">
        <w:tblPrEx>
          <w:tblBorders>
            <w:top w:val="thinThickSmallGap" w:color="auto" w:sz="12" w:space="0"/>
            <w:left w:val="none" w:color="auto" w:sz="0" w:space="0"/>
            <w:bottom w:val="thickThinSmallGap"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97" w:hRule="atLeast"/>
        </w:trPr>
        <w:tc>
          <w:tcPr>
            <w:tcW w:w="803" w:type="pct"/>
            <w:noWrap w:val="0"/>
            <w:vAlign w:val="center"/>
          </w:tcPr>
          <w:p w14:paraId="19D87C8E">
            <w:pPr>
              <w:ind w:left="975" w:hanging="975"/>
              <w:jc w:val="center"/>
              <w:rPr>
                <w:rFonts w:ascii="Times New Roman" w:hAnsi="Times New Roman" w:cs="Times New Roman"/>
                <w:sz w:val="21"/>
                <w:szCs w:val="21"/>
              </w:rPr>
            </w:pPr>
            <w:r>
              <w:rPr>
                <w:rFonts w:ascii="Times New Roman" w:hAnsi="Times New Roman" w:cs="Times New Roman"/>
                <w:sz w:val="21"/>
                <w:szCs w:val="21"/>
              </w:rPr>
              <w:t>固体废物</w:t>
            </w:r>
          </w:p>
        </w:tc>
        <w:tc>
          <w:tcPr>
            <w:tcW w:w="803" w:type="pct"/>
            <w:noWrap w:val="0"/>
            <w:vAlign w:val="center"/>
          </w:tcPr>
          <w:p w14:paraId="270A071E">
            <w:pPr>
              <w:ind w:left="975" w:hanging="975"/>
              <w:jc w:val="center"/>
              <w:rPr>
                <w:rFonts w:ascii="Times New Roman" w:hAnsi="Times New Roman" w:cs="Times New Roman"/>
                <w:sz w:val="21"/>
                <w:szCs w:val="21"/>
              </w:rPr>
            </w:pPr>
            <w:r>
              <w:rPr>
                <w:rFonts w:ascii="Times New Roman" w:hAnsi="Times New Roman" w:cs="Times New Roman"/>
                <w:sz w:val="21"/>
                <w:szCs w:val="21"/>
              </w:rPr>
              <w:t>环境影响</w:t>
            </w:r>
          </w:p>
        </w:tc>
        <w:tc>
          <w:tcPr>
            <w:tcW w:w="2461" w:type="pct"/>
            <w:noWrap w:val="0"/>
            <w:vAlign w:val="center"/>
          </w:tcPr>
          <w:p w14:paraId="17F04E66">
            <w:pPr>
              <w:ind w:left="975" w:hanging="975"/>
              <w:jc w:val="center"/>
              <w:rPr>
                <w:rFonts w:ascii="Times New Roman" w:hAnsi="Times New Roman" w:cs="Times New Roman"/>
                <w:sz w:val="21"/>
                <w:szCs w:val="21"/>
              </w:rPr>
            </w:pPr>
            <w:r>
              <w:rPr>
                <w:rFonts w:ascii="Times New Roman" w:hAnsi="Times New Roman" w:cs="Times New Roman"/>
                <w:sz w:val="21"/>
                <w:szCs w:val="21"/>
              </w:rPr>
              <w:t>一般工业固废、危险废物</w:t>
            </w:r>
          </w:p>
        </w:tc>
        <w:tc>
          <w:tcPr>
            <w:tcW w:w="932" w:type="pct"/>
            <w:noWrap w:val="0"/>
            <w:vAlign w:val="center"/>
          </w:tcPr>
          <w:p w14:paraId="45A41DED">
            <w:pPr>
              <w:ind w:left="975" w:hanging="975"/>
              <w:jc w:val="center"/>
              <w:rPr>
                <w:rFonts w:ascii="Times New Roman" w:hAnsi="Times New Roman" w:cs="Times New Roman"/>
                <w:sz w:val="21"/>
                <w:szCs w:val="21"/>
              </w:rPr>
            </w:pPr>
            <w:r>
              <w:rPr>
                <w:rFonts w:hint="eastAsia" w:ascii="Times New Roman" w:hAnsi="Times New Roman" w:cs="Times New Roman"/>
                <w:sz w:val="21"/>
                <w:szCs w:val="21"/>
              </w:rPr>
              <w:t>/</w:t>
            </w:r>
          </w:p>
        </w:tc>
      </w:tr>
      <w:tr w14:paraId="0EDA47F1">
        <w:tblPrEx>
          <w:tblBorders>
            <w:top w:val="thinThickSmallGap" w:color="auto" w:sz="12" w:space="0"/>
            <w:left w:val="none" w:color="auto" w:sz="0" w:space="0"/>
            <w:bottom w:val="thickThinSmallGap"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97" w:hRule="atLeast"/>
        </w:trPr>
        <w:tc>
          <w:tcPr>
            <w:tcW w:w="803" w:type="pct"/>
            <w:noWrap w:val="0"/>
            <w:vAlign w:val="center"/>
          </w:tcPr>
          <w:p w14:paraId="0122B594">
            <w:pPr>
              <w:ind w:left="975" w:hanging="975"/>
              <w:jc w:val="center"/>
              <w:rPr>
                <w:rFonts w:ascii="Times New Roman" w:hAnsi="Times New Roman" w:cs="Times New Roman"/>
                <w:sz w:val="21"/>
                <w:szCs w:val="21"/>
              </w:rPr>
            </w:pPr>
            <w:r>
              <w:rPr>
                <w:rFonts w:ascii="Times New Roman" w:hAnsi="Times New Roman" w:cs="Times New Roman"/>
                <w:sz w:val="21"/>
                <w:szCs w:val="21"/>
              </w:rPr>
              <w:t>环境风险</w:t>
            </w:r>
          </w:p>
        </w:tc>
        <w:tc>
          <w:tcPr>
            <w:tcW w:w="803" w:type="pct"/>
            <w:noWrap w:val="0"/>
            <w:vAlign w:val="center"/>
          </w:tcPr>
          <w:p w14:paraId="429BF4DE">
            <w:pPr>
              <w:ind w:left="975" w:hanging="975"/>
              <w:jc w:val="center"/>
              <w:rPr>
                <w:rFonts w:ascii="Times New Roman" w:hAnsi="Times New Roman" w:cs="Times New Roman"/>
                <w:sz w:val="21"/>
                <w:szCs w:val="21"/>
              </w:rPr>
            </w:pPr>
            <w:r>
              <w:rPr>
                <w:rFonts w:ascii="Times New Roman" w:hAnsi="Times New Roman" w:cs="Times New Roman"/>
                <w:sz w:val="21"/>
                <w:szCs w:val="21"/>
              </w:rPr>
              <w:t>环境影响</w:t>
            </w:r>
          </w:p>
        </w:tc>
        <w:tc>
          <w:tcPr>
            <w:tcW w:w="2461" w:type="pct"/>
            <w:noWrap w:val="0"/>
            <w:vAlign w:val="center"/>
          </w:tcPr>
          <w:p w14:paraId="539B072D">
            <w:pPr>
              <w:ind w:left="975" w:hanging="975"/>
              <w:jc w:val="center"/>
              <w:rPr>
                <w:rFonts w:ascii="Times New Roman" w:hAnsi="Times New Roman" w:cs="Times New Roman"/>
                <w:sz w:val="21"/>
                <w:szCs w:val="21"/>
              </w:rPr>
            </w:pPr>
            <w:r>
              <w:rPr>
                <w:rFonts w:ascii="Times New Roman" w:hAnsi="Times New Roman" w:cs="Times New Roman"/>
                <w:sz w:val="21"/>
                <w:szCs w:val="21"/>
              </w:rPr>
              <w:t>危险废物</w:t>
            </w:r>
          </w:p>
        </w:tc>
        <w:tc>
          <w:tcPr>
            <w:tcW w:w="932" w:type="pct"/>
            <w:noWrap w:val="0"/>
            <w:vAlign w:val="center"/>
          </w:tcPr>
          <w:p w14:paraId="7ACA4C26">
            <w:pPr>
              <w:ind w:left="975" w:hanging="975"/>
              <w:jc w:val="center"/>
              <w:rPr>
                <w:rFonts w:ascii="Times New Roman" w:hAnsi="Times New Roman" w:cs="Times New Roman"/>
                <w:sz w:val="21"/>
                <w:szCs w:val="21"/>
              </w:rPr>
            </w:pPr>
            <w:r>
              <w:rPr>
                <w:rFonts w:hint="eastAsia" w:ascii="Times New Roman" w:hAnsi="Times New Roman" w:cs="Times New Roman"/>
                <w:sz w:val="21"/>
                <w:szCs w:val="21"/>
              </w:rPr>
              <w:t>/</w:t>
            </w:r>
          </w:p>
        </w:tc>
      </w:tr>
    </w:tbl>
    <w:p w14:paraId="3C963849">
      <w:pPr>
        <w:pStyle w:val="6"/>
        <w:spacing w:before="239"/>
      </w:pPr>
      <w:bookmarkStart w:id="59" w:name="_Toc90026104"/>
      <w:bookmarkStart w:id="60" w:name="_Toc23296"/>
      <w:r>
        <w:t>1.3 环境功能区划</w:t>
      </w:r>
      <w:bookmarkEnd w:id="59"/>
      <w:bookmarkEnd w:id="60"/>
    </w:p>
    <w:p w14:paraId="7AFDF073">
      <w:pPr>
        <w:spacing w:line="500" w:lineRule="exact"/>
        <w:ind w:firstLine="482" w:firstLineChars="200"/>
        <w:jc w:val="both"/>
        <w:rPr>
          <w:rFonts w:hint="eastAsia" w:ascii="Times New Roman" w:hAnsi="Times New Roman" w:cs="Times New Roman"/>
          <w:b/>
        </w:rPr>
      </w:pPr>
      <w:r>
        <w:rPr>
          <w:rFonts w:hint="eastAsia" w:ascii="Times New Roman" w:hAnsi="Times New Roman" w:cs="Times New Roman"/>
          <w:b/>
        </w:rPr>
        <w:t>（1）大气环境</w:t>
      </w:r>
    </w:p>
    <w:p w14:paraId="5AF7C65E">
      <w:pPr>
        <w:spacing w:line="500" w:lineRule="exact"/>
        <w:ind w:firstLine="480" w:firstLineChars="200"/>
        <w:jc w:val="both"/>
        <w:rPr>
          <w:rFonts w:hint="eastAsia" w:ascii="Times New Roman" w:hAnsi="Times New Roman" w:cs="Times New Roman"/>
        </w:rPr>
      </w:pPr>
      <w:r>
        <w:rPr>
          <w:rFonts w:ascii="Times New Roman" w:hAnsi="Times New Roman" w:cs="Times New Roman"/>
        </w:rPr>
        <w:t>本项目位于辽宁省</w:t>
      </w:r>
      <w:r>
        <w:rPr>
          <w:rFonts w:hint="eastAsia" w:ascii="Times New Roman" w:hAnsi="Times New Roman" w:cs="Times New Roman"/>
          <w:lang w:val="en-US" w:eastAsia="zh-CN"/>
        </w:rPr>
        <w:t>本溪市本溪满族自治县草河口镇祁家堡村</w:t>
      </w:r>
      <w:r>
        <w:rPr>
          <w:rFonts w:hint="eastAsia" w:ascii="Times New Roman" w:hAnsi="Times New Roman" w:cs="Times New Roman"/>
        </w:rPr>
        <w:t>，本项目所在区域属于二类环境空气质量功能区。</w:t>
      </w:r>
    </w:p>
    <w:p w14:paraId="0A6A9C60">
      <w:pPr>
        <w:spacing w:line="500" w:lineRule="exact"/>
        <w:ind w:firstLine="482" w:firstLineChars="200"/>
        <w:jc w:val="both"/>
        <w:rPr>
          <w:rFonts w:hint="eastAsia" w:ascii="Times New Roman" w:hAnsi="Times New Roman" w:cs="Times New Roman"/>
          <w:b/>
        </w:rPr>
      </w:pPr>
      <w:r>
        <w:rPr>
          <w:rFonts w:hint="eastAsia" w:ascii="Times New Roman" w:hAnsi="Times New Roman" w:cs="Times New Roman"/>
          <w:b/>
        </w:rPr>
        <w:t>（2）声环境</w:t>
      </w:r>
    </w:p>
    <w:p w14:paraId="61CF5FA2">
      <w:pPr>
        <w:spacing w:line="500" w:lineRule="exact"/>
        <w:ind w:firstLine="480" w:firstLineChars="200"/>
        <w:jc w:val="both"/>
        <w:rPr>
          <w:rFonts w:hint="eastAsia" w:ascii="Times New Roman" w:hAnsi="Times New Roman" w:cs="Times New Roman"/>
        </w:rPr>
      </w:pPr>
      <w:r>
        <w:rPr>
          <w:rFonts w:hint="eastAsia" w:ascii="Times New Roman" w:hAnsi="Times New Roman" w:cs="Times New Roman"/>
        </w:rPr>
        <w:t>厂界东侧，西侧，北侧噪声值满足《工业企业厂界环境噪声排放标准(GB12348-2008)》中2类标准(2类：昼间60dB(A)，夜间50dB(A))要求。厂界南侧噪声值满足《工业企业厂界环境噪声排放标准(GB12348-2008)》中4类标准(4类：昼间70dB(A)，夜间55dB(A))要求</w:t>
      </w:r>
      <w:r>
        <w:rPr>
          <w:rFonts w:ascii="Times New Roman" w:hAnsi="Times New Roman" w:cs="Times New Roman"/>
        </w:rPr>
        <w:t>。</w:t>
      </w:r>
    </w:p>
    <w:p w14:paraId="3B81FC2B">
      <w:pPr>
        <w:spacing w:line="500" w:lineRule="exact"/>
        <w:ind w:firstLine="482" w:firstLineChars="200"/>
        <w:jc w:val="both"/>
        <w:rPr>
          <w:rFonts w:hint="eastAsia" w:ascii="Times New Roman" w:hAnsi="Times New Roman" w:cs="Times New Roman"/>
          <w:b/>
        </w:rPr>
      </w:pPr>
      <w:r>
        <w:rPr>
          <w:rFonts w:hint="eastAsia" w:ascii="Times New Roman" w:hAnsi="Times New Roman" w:cs="Times New Roman"/>
          <w:b/>
        </w:rPr>
        <w:t>（3）地表水环境</w:t>
      </w:r>
    </w:p>
    <w:p w14:paraId="4C606F97">
      <w:pPr>
        <w:spacing w:line="500" w:lineRule="exact"/>
        <w:ind w:firstLine="480" w:firstLineChars="200"/>
        <w:jc w:val="both"/>
        <w:rPr>
          <w:rFonts w:ascii="Times New Roman" w:hAnsi="Times New Roman" w:cs="Times New Roman"/>
        </w:rPr>
      </w:pPr>
      <w:r>
        <w:rPr>
          <w:rFonts w:hint="eastAsia" w:cs="Arial"/>
          <w:lang w:val="en-US" w:eastAsia="zh-CN"/>
        </w:rPr>
        <w:t>本项目厂区西侧祁家堡村小河，</w:t>
      </w:r>
      <w:r>
        <w:rPr>
          <w:rFonts w:hint="eastAsia" w:ascii="Times New Roman" w:hAnsi="Times New Roman" w:cs="Times New Roman"/>
        </w:rPr>
        <w:t>地表水属于</w:t>
      </w:r>
      <w:r>
        <w:rPr>
          <w:rFonts w:hint="eastAsia" w:ascii="宋体" w:hAnsi="宋体" w:eastAsia="宋体" w:cs="宋体"/>
        </w:rPr>
        <w:t>Ⅱ</w:t>
      </w:r>
      <w:r>
        <w:rPr>
          <w:rFonts w:hint="eastAsia" w:ascii="Times New Roman" w:hAnsi="Times New Roman" w:cs="Times New Roman"/>
        </w:rPr>
        <w:t>类功能区。</w:t>
      </w:r>
    </w:p>
    <w:p w14:paraId="68C0D85D">
      <w:pPr>
        <w:pStyle w:val="6"/>
        <w:spacing w:before="239"/>
      </w:pPr>
      <w:bookmarkStart w:id="61" w:name="_Toc154569843"/>
      <w:bookmarkStart w:id="62" w:name="_Toc151276121"/>
      <w:bookmarkStart w:id="63" w:name="_Toc153007103"/>
      <w:bookmarkStart w:id="64" w:name="_Toc175711407"/>
      <w:bookmarkStart w:id="65" w:name="_Toc90026105"/>
      <w:bookmarkStart w:id="66" w:name="_Toc166464712"/>
      <w:bookmarkStart w:id="67" w:name="_Toc153878439"/>
      <w:bookmarkStart w:id="68" w:name="_Toc175714240"/>
      <w:bookmarkStart w:id="69" w:name="_Toc158523392"/>
      <w:bookmarkStart w:id="70" w:name="_Toc6215"/>
      <w:bookmarkStart w:id="71" w:name="_Toc151200073"/>
      <w:bookmarkStart w:id="72" w:name="_Toc151200233"/>
      <w:bookmarkStart w:id="73" w:name="_Toc151278904"/>
      <w:bookmarkStart w:id="74" w:name="_Toc154570230"/>
      <w:r>
        <w:t>1.4 评价标准</w:t>
      </w:r>
      <w:bookmarkEnd w:id="61"/>
      <w:bookmarkEnd w:id="62"/>
      <w:bookmarkEnd w:id="63"/>
      <w:bookmarkEnd w:id="64"/>
      <w:bookmarkEnd w:id="65"/>
      <w:bookmarkEnd w:id="66"/>
      <w:bookmarkEnd w:id="67"/>
      <w:bookmarkEnd w:id="68"/>
      <w:bookmarkEnd w:id="69"/>
      <w:bookmarkEnd w:id="70"/>
      <w:bookmarkEnd w:id="71"/>
      <w:bookmarkEnd w:id="72"/>
      <w:bookmarkEnd w:id="73"/>
      <w:bookmarkEnd w:id="74"/>
    </w:p>
    <w:p w14:paraId="5EB9F19B">
      <w:pPr>
        <w:pStyle w:val="7"/>
      </w:pPr>
      <w:bookmarkStart w:id="75" w:name="_Toc151200234"/>
      <w:bookmarkStart w:id="76" w:name="_Toc151276122"/>
      <w:bookmarkStart w:id="77" w:name="_Toc151200074"/>
      <w:bookmarkStart w:id="78" w:name="_Toc151258703"/>
      <w:bookmarkStart w:id="79" w:name="_Toc90026192"/>
      <w:bookmarkStart w:id="80" w:name="_Toc3117"/>
      <w:r>
        <w:t>1.4.1 环境质量标准</w:t>
      </w:r>
      <w:bookmarkEnd w:id="75"/>
      <w:bookmarkEnd w:id="76"/>
      <w:bookmarkEnd w:id="77"/>
      <w:bookmarkEnd w:id="78"/>
      <w:bookmarkEnd w:id="79"/>
      <w:bookmarkEnd w:id="80"/>
    </w:p>
    <w:p w14:paraId="6B0260EA">
      <w:pPr>
        <w:spacing w:line="500" w:lineRule="exact"/>
        <w:ind w:firstLine="482" w:firstLineChars="200"/>
        <w:rPr>
          <w:rFonts w:ascii="Times New Roman" w:hAnsi="Times New Roman" w:cs="Times New Roman"/>
          <w:b/>
        </w:rPr>
      </w:pPr>
      <w:r>
        <w:rPr>
          <w:rFonts w:ascii="Times New Roman" w:hAnsi="Times New Roman" w:cs="Times New Roman"/>
          <w:b/>
        </w:rPr>
        <w:t>（1）大气环境</w:t>
      </w:r>
    </w:p>
    <w:p w14:paraId="306BE81A">
      <w:pPr>
        <w:spacing w:line="500" w:lineRule="exact"/>
        <w:ind w:firstLine="480" w:firstLineChars="200"/>
        <w:jc w:val="both"/>
        <w:rPr>
          <w:rFonts w:hint="eastAsia" w:ascii="Times New Roman" w:hAnsi="Times New Roman" w:cs="Times New Roman"/>
        </w:rPr>
      </w:pPr>
      <w:r>
        <w:rPr>
          <w:rFonts w:ascii="Times New Roman" w:hAnsi="Times New Roman" w:cs="Times New Roman"/>
        </w:rPr>
        <w:t>本项目所在区域</w:t>
      </w:r>
      <w:r>
        <w:rPr>
          <w:rFonts w:hint="eastAsia" w:ascii="Times New Roman" w:hAnsi="Times New Roman" w:cs="Times New Roman"/>
        </w:rPr>
        <w:t>T</w:t>
      </w:r>
      <w:r>
        <w:rPr>
          <w:rFonts w:ascii="Times New Roman" w:hAnsi="Times New Roman" w:cs="Times New Roman"/>
        </w:rPr>
        <w:t>SP</w:t>
      </w:r>
      <w:r>
        <w:rPr>
          <w:rFonts w:hint="eastAsia" w:ascii="Times New Roman" w:hAnsi="Times New Roman" w:cs="Times New Roman"/>
        </w:rPr>
        <w:t>、</w:t>
      </w:r>
      <w:r>
        <w:rPr>
          <w:rFonts w:ascii="Times New Roman" w:hAnsi="Times New Roman" w:cs="Times New Roman"/>
        </w:rPr>
        <w:t>PM</w:t>
      </w:r>
      <w:r>
        <w:rPr>
          <w:rFonts w:ascii="Times New Roman" w:hAnsi="Times New Roman" w:cs="Times New Roman"/>
          <w:vertAlign w:val="subscript"/>
        </w:rPr>
        <w:t>10</w:t>
      </w:r>
      <w:r>
        <w:rPr>
          <w:rFonts w:ascii="Times New Roman" w:hAnsi="Times New Roman" w:cs="Times New Roman"/>
        </w:rPr>
        <w:t>、SO</w:t>
      </w:r>
      <w:r>
        <w:rPr>
          <w:rFonts w:ascii="Times New Roman" w:hAnsi="Times New Roman" w:cs="Times New Roman"/>
          <w:vertAlign w:val="subscript"/>
        </w:rPr>
        <w:t>2</w:t>
      </w:r>
      <w:r>
        <w:rPr>
          <w:rFonts w:ascii="Times New Roman" w:hAnsi="Times New Roman" w:cs="Times New Roman"/>
        </w:rPr>
        <w:t>、NO</w:t>
      </w:r>
      <w:r>
        <w:rPr>
          <w:rFonts w:ascii="Times New Roman" w:hAnsi="Times New Roman" w:cs="Times New Roman"/>
          <w:vertAlign w:val="subscript"/>
        </w:rPr>
        <w:t>2</w:t>
      </w:r>
      <w:r>
        <w:rPr>
          <w:rFonts w:ascii="Times New Roman" w:hAnsi="Times New Roman" w:cs="Times New Roman"/>
        </w:rPr>
        <w:t>、PM</w:t>
      </w:r>
      <w:r>
        <w:rPr>
          <w:rFonts w:ascii="Times New Roman" w:hAnsi="Times New Roman" w:cs="Times New Roman"/>
          <w:vertAlign w:val="subscript"/>
        </w:rPr>
        <w:t>2.5</w:t>
      </w:r>
      <w:r>
        <w:rPr>
          <w:rFonts w:ascii="Times New Roman" w:hAnsi="Times New Roman" w:cs="Times New Roman"/>
        </w:rPr>
        <w:t>、CO和O</w:t>
      </w:r>
      <w:r>
        <w:rPr>
          <w:rFonts w:ascii="Times New Roman" w:hAnsi="Times New Roman" w:cs="Times New Roman"/>
          <w:vertAlign w:val="subscript"/>
        </w:rPr>
        <w:t>3</w:t>
      </w:r>
      <w:r>
        <w:rPr>
          <w:rFonts w:ascii="Times New Roman" w:hAnsi="Times New Roman" w:cs="Times New Roman"/>
        </w:rPr>
        <w:t>执行《环境空气质量标准》（GB3095-2012）中二级标准，具体标准限值见表1.4-1。</w:t>
      </w:r>
    </w:p>
    <w:p w14:paraId="5AD60133">
      <w:pPr>
        <w:pStyle w:val="112"/>
        <w:snapToGrid/>
        <w:rPr>
          <w:sz w:val="18"/>
          <w:szCs w:val="18"/>
        </w:rPr>
      </w:pPr>
      <w:r>
        <w:t>表1.4-1  环境空气质量标准    单位：μg/m</w:t>
      </w:r>
      <w:r>
        <w:rPr>
          <w:vertAlign w:val="superscript"/>
        </w:rPr>
        <w:t>3</w:t>
      </w:r>
    </w:p>
    <w:tbl>
      <w:tblPr>
        <w:tblStyle w:val="56"/>
        <w:tblW w:w="5000" w:type="pct"/>
        <w:jc w:val="center"/>
        <w:tblBorders>
          <w:top w:val="thinThickSmallGap" w:color="auto" w:sz="12" w:space="0"/>
          <w:left w:val="none" w:color="auto" w:sz="0" w:space="0"/>
          <w:bottom w:val="thickThinSmallGap" w:color="auto" w:sz="12" w:space="0"/>
          <w:right w:val="none" w:color="auto" w:sz="0" w:space="0"/>
          <w:insideH w:val="single" w:color="auto" w:sz="6" w:space="0"/>
          <w:insideV w:val="single" w:color="auto" w:sz="6" w:space="0"/>
        </w:tblBorders>
        <w:tblLayout w:type="autofit"/>
        <w:tblCellMar>
          <w:top w:w="0" w:type="dxa"/>
          <w:left w:w="108" w:type="dxa"/>
          <w:bottom w:w="0" w:type="dxa"/>
          <w:right w:w="108" w:type="dxa"/>
        </w:tblCellMar>
      </w:tblPr>
      <w:tblGrid>
        <w:gridCol w:w="1621"/>
        <w:gridCol w:w="2153"/>
        <w:gridCol w:w="1909"/>
        <w:gridCol w:w="3038"/>
      </w:tblGrid>
      <w:tr w14:paraId="63F79F14">
        <w:tblPrEx>
          <w:tblBorders>
            <w:top w:val="thinThickSmallGap" w:color="auto" w:sz="12" w:space="0"/>
            <w:left w:val="none" w:color="auto" w:sz="0" w:space="0"/>
            <w:bottom w:val="thickThinSmallGap"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atLeast"/>
          <w:tblHeader/>
          <w:jc w:val="center"/>
        </w:trPr>
        <w:tc>
          <w:tcPr>
            <w:tcW w:w="929" w:type="pct"/>
            <w:tcBorders>
              <w:top w:val="thinThickSmallGap" w:color="auto" w:sz="12" w:space="0"/>
              <w:bottom w:val="single" w:color="auto" w:sz="6" w:space="0"/>
            </w:tcBorders>
            <w:shd w:val="clear" w:color="auto" w:fill="E0E0E0"/>
            <w:noWrap w:val="0"/>
            <w:vAlign w:val="center"/>
          </w:tcPr>
          <w:p w14:paraId="14055209">
            <w:pPr>
              <w:ind w:right="-64"/>
              <w:jc w:val="center"/>
              <w:rPr>
                <w:rFonts w:ascii="Times New Roman" w:hAnsi="Times New Roman" w:cs="Times New Roman"/>
                <w:sz w:val="21"/>
                <w:szCs w:val="21"/>
              </w:rPr>
            </w:pPr>
            <w:r>
              <w:rPr>
                <w:rFonts w:ascii="Times New Roman" w:hAnsi="Times New Roman" w:cs="Times New Roman"/>
                <w:sz w:val="21"/>
                <w:szCs w:val="21"/>
              </w:rPr>
              <w:t>污染物名称</w:t>
            </w:r>
          </w:p>
        </w:tc>
        <w:tc>
          <w:tcPr>
            <w:tcW w:w="2328" w:type="pct"/>
            <w:gridSpan w:val="2"/>
            <w:tcBorders>
              <w:top w:val="thinThickSmallGap" w:color="auto" w:sz="12" w:space="0"/>
              <w:bottom w:val="single" w:color="auto" w:sz="6" w:space="0"/>
            </w:tcBorders>
            <w:shd w:val="clear" w:color="auto" w:fill="E0E0E0"/>
            <w:noWrap w:val="0"/>
            <w:vAlign w:val="center"/>
          </w:tcPr>
          <w:p w14:paraId="4B57E241">
            <w:pPr>
              <w:ind w:right="-62"/>
              <w:jc w:val="center"/>
              <w:rPr>
                <w:rFonts w:ascii="Times New Roman" w:hAnsi="Times New Roman" w:cs="Times New Roman"/>
                <w:sz w:val="21"/>
                <w:szCs w:val="21"/>
              </w:rPr>
            </w:pPr>
            <w:r>
              <w:rPr>
                <w:rFonts w:ascii="Times New Roman" w:hAnsi="Times New Roman" w:cs="Times New Roman"/>
                <w:sz w:val="21"/>
                <w:szCs w:val="21"/>
              </w:rPr>
              <w:t>标准限值</w:t>
            </w:r>
          </w:p>
        </w:tc>
        <w:tc>
          <w:tcPr>
            <w:tcW w:w="1741" w:type="pct"/>
            <w:tcBorders>
              <w:top w:val="thinThickSmallGap" w:color="auto" w:sz="12" w:space="0"/>
              <w:bottom w:val="single" w:color="auto" w:sz="6" w:space="0"/>
            </w:tcBorders>
            <w:shd w:val="clear" w:color="auto" w:fill="E0E0E0"/>
            <w:noWrap w:val="0"/>
            <w:vAlign w:val="center"/>
          </w:tcPr>
          <w:p w14:paraId="05888451">
            <w:pPr>
              <w:ind w:right="-62"/>
              <w:jc w:val="center"/>
              <w:rPr>
                <w:rFonts w:ascii="Times New Roman" w:hAnsi="Times New Roman" w:cs="Times New Roman"/>
                <w:sz w:val="21"/>
                <w:szCs w:val="21"/>
              </w:rPr>
            </w:pPr>
            <w:r>
              <w:rPr>
                <w:rFonts w:ascii="Times New Roman" w:hAnsi="Times New Roman" w:cs="Times New Roman"/>
                <w:sz w:val="21"/>
                <w:szCs w:val="21"/>
              </w:rPr>
              <w:t>来源</w:t>
            </w:r>
          </w:p>
        </w:tc>
      </w:tr>
      <w:tr w14:paraId="73A5087A">
        <w:tblPrEx>
          <w:tblBorders>
            <w:top w:val="thinThickSmallGap" w:color="auto" w:sz="12" w:space="0"/>
            <w:left w:val="none" w:color="auto" w:sz="0" w:space="0"/>
            <w:bottom w:val="thickThinSmallGap"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929" w:type="pct"/>
            <w:vMerge w:val="restart"/>
            <w:tcBorders>
              <w:top w:val="single" w:color="auto" w:sz="6" w:space="0"/>
            </w:tcBorders>
            <w:noWrap w:val="0"/>
            <w:vAlign w:val="center"/>
          </w:tcPr>
          <w:p w14:paraId="123509CA">
            <w:pPr>
              <w:ind w:right="-64"/>
              <w:jc w:val="center"/>
              <w:rPr>
                <w:rFonts w:ascii="Times New Roman" w:hAnsi="Times New Roman" w:cs="Times New Roman"/>
                <w:sz w:val="21"/>
                <w:szCs w:val="21"/>
              </w:rPr>
            </w:pPr>
            <w:r>
              <w:rPr>
                <w:rFonts w:ascii="Times New Roman" w:hAnsi="Times New Roman" w:cs="Times New Roman"/>
                <w:sz w:val="21"/>
                <w:szCs w:val="21"/>
              </w:rPr>
              <w:t>PM</w:t>
            </w:r>
            <w:r>
              <w:rPr>
                <w:rFonts w:ascii="Times New Roman" w:hAnsi="Times New Roman" w:cs="Times New Roman"/>
                <w:sz w:val="21"/>
                <w:szCs w:val="21"/>
                <w:vertAlign w:val="subscript"/>
              </w:rPr>
              <w:t>10</w:t>
            </w:r>
          </w:p>
        </w:tc>
        <w:tc>
          <w:tcPr>
            <w:tcW w:w="1234" w:type="pct"/>
            <w:tcBorders>
              <w:top w:val="single" w:color="auto" w:sz="6" w:space="0"/>
            </w:tcBorders>
            <w:noWrap w:val="0"/>
            <w:vAlign w:val="center"/>
          </w:tcPr>
          <w:p w14:paraId="0BD40635">
            <w:pPr>
              <w:ind w:right="-64"/>
              <w:jc w:val="center"/>
              <w:rPr>
                <w:rFonts w:ascii="Times New Roman" w:hAnsi="Times New Roman" w:cs="Times New Roman"/>
                <w:sz w:val="21"/>
                <w:szCs w:val="21"/>
              </w:rPr>
            </w:pPr>
            <w:r>
              <w:rPr>
                <w:rFonts w:hint="eastAsia" w:ascii="Times New Roman" w:hAnsi="Times New Roman" w:cs="Times New Roman"/>
                <w:sz w:val="21"/>
                <w:szCs w:val="21"/>
                <w:lang w:val="en-US" w:eastAsia="zh-CN"/>
              </w:rPr>
              <w:t>日</w:t>
            </w:r>
            <w:r>
              <w:rPr>
                <w:rFonts w:ascii="Times New Roman" w:hAnsi="Times New Roman" w:cs="Times New Roman"/>
                <w:sz w:val="21"/>
                <w:szCs w:val="21"/>
              </w:rPr>
              <w:t>平均</w:t>
            </w:r>
          </w:p>
        </w:tc>
        <w:tc>
          <w:tcPr>
            <w:tcW w:w="1094" w:type="pct"/>
            <w:tcBorders>
              <w:top w:val="single" w:color="auto" w:sz="6" w:space="0"/>
            </w:tcBorders>
            <w:noWrap w:val="0"/>
            <w:vAlign w:val="center"/>
          </w:tcPr>
          <w:p w14:paraId="699C30DE">
            <w:pPr>
              <w:ind w:right="-64"/>
              <w:jc w:val="center"/>
              <w:rPr>
                <w:rFonts w:hint="default" w:ascii="Times New Roman" w:hAnsi="Times New Roman" w:eastAsia="宋体" w:cs="Times New Roman"/>
                <w:sz w:val="21"/>
                <w:szCs w:val="21"/>
                <w:lang w:val="en-US" w:eastAsia="zh-CN"/>
              </w:rPr>
            </w:pPr>
            <w:r>
              <w:rPr>
                <w:rFonts w:hint="eastAsia" w:ascii="Times New Roman" w:hAnsi="Times New Roman" w:cs="Times New Roman"/>
                <w:sz w:val="21"/>
                <w:szCs w:val="21"/>
                <w:lang w:val="en-US" w:eastAsia="zh-CN"/>
              </w:rPr>
              <w:t>120</w:t>
            </w:r>
          </w:p>
        </w:tc>
        <w:tc>
          <w:tcPr>
            <w:tcW w:w="1741" w:type="pct"/>
            <w:vMerge w:val="restart"/>
            <w:tcBorders>
              <w:top w:val="single" w:color="auto" w:sz="6" w:space="0"/>
            </w:tcBorders>
            <w:noWrap w:val="0"/>
            <w:vAlign w:val="center"/>
          </w:tcPr>
          <w:p w14:paraId="7E60E7CC">
            <w:pPr>
              <w:ind w:right="-64"/>
              <w:jc w:val="center"/>
              <w:rPr>
                <w:rFonts w:ascii="Times New Roman" w:hAnsi="Times New Roman" w:cs="Times New Roman"/>
                <w:sz w:val="21"/>
                <w:szCs w:val="21"/>
              </w:rPr>
            </w:pPr>
            <w:r>
              <w:rPr>
                <w:rFonts w:ascii="Times New Roman" w:hAnsi="Times New Roman" w:cs="Times New Roman"/>
                <w:sz w:val="21"/>
                <w:szCs w:val="21"/>
              </w:rPr>
              <w:t>《环境空气质量标准》（GB3095-20</w:t>
            </w:r>
            <w:r>
              <w:rPr>
                <w:rFonts w:hint="eastAsia" w:ascii="Times New Roman" w:hAnsi="Times New Roman" w:cs="Times New Roman"/>
                <w:sz w:val="21"/>
                <w:szCs w:val="21"/>
                <w:lang w:val="en-US" w:eastAsia="zh-CN"/>
              </w:rPr>
              <w:t>26</w:t>
            </w:r>
            <w:r>
              <w:rPr>
                <w:rFonts w:ascii="Times New Roman" w:hAnsi="Times New Roman" w:cs="Times New Roman"/>
                <w:sz w:val="21"/>
                <w:szCs w:val="21"/>
              </w:rPr>
              <w:t>）</w:t>
            </w:r>
          </w:p>
        </w:tc>
      </w:tr>
      <w:tr w14:paraId="444A5536">
        <w:tblPrEx>
          <w:tblBorders>
            <w:top w:val="thinThickSmallGap" w:color="auto" w:sz="12" w:space="0"/>
            <w:left w:val="none" w:color="auto" w:sz="0" w:space="0"/>
            <w:bottom w:val="thickThinSmallGap"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929" w:type="pct"/>
            <w:vMerge w:val="continue"/>
            <w:noWrap w:val="0"/>
            <w:vAlign w:val="center"/>
          </w:tcPr>
          <w:p w14:paraId="537CD5C8">
            <w:pPr>
              <w:ind w:right="-64"/>
              <w:jc w:val="center"/>
              <w:rPr>
                <w:rFonts w:ascii="Times New Roman" w:hAnsi="Times New Roman" w:cs="Times New Roman"/>
                <w:sz w:val="21"/>
                <w:szCs w:val="21"/>
              </w:rPr>
            </w:pPr>
          </w:p>
        </w:tc>
        <w:tc>
          <w:tcPr>
            <w:tcW w:w="1234" w:type="pct"/>
            <w:tcBorders>
              <w:top w:val="single" w:color="auto" w:sz="6" w:space="0"/>
            </w:tcBorders>
            <w:noWrap w:val="0"/>
            <w:vAlign w:val="center"/>
          </w:tcPr>
          <w:p w14:paraId="18AC156D">
            <w:pPr>
              <w:ind w:right="-64"/>
              <w:jc w:val="center"/>
              <w:rPr>
                <w:rFonts w:ascii="Times New Roman" w:hAnsi="Times New Roman" w:cs="Times New Roman"/>
                <w:sz w:val="21"/>
                <w:szCs w:val="21"/>
              </w:rPr>
            </w:pPr>
            <w:r>
              <w:rPr>
                <w:rFonts w:ascii="Times New Roman" w:hAnsi="Times New Roman" w:cs="Times New Roman"/>
                <w:sz w:val="21"/>
                <w:szCs w:val="21"/>
              </w:rPr>
              <w:t>年平均</w:t>
            </w:r>
          </w:p>
        </w:tc>
        <w:tc>
          <w:tcPr>
            <w:tcW w:w="1094" w:type="pct"/>
            <w:tcBorders>
              <w:top w:val="single" w:color="auto" w:sz="6" w:space="0"/>
            </w:tcBorders>
            <w:noWrap w:val="0"/>
            <w:vAlign w:val="center"/>
          </w:tcPr>
          <w:p w14:paraId="714F7277">
            <w:pPr>
              <w:ind w:right="-64"/>
              <w:jc w:val="center"/>
              <w:rPr>
                <w:rFonts w:hint="default" w:ascii="Times New Roman" w:hAnsi="Times New Roman" w:eastAsia="宋体" w:cs="Times New Roman"/>
                <w:sz w:val="21"/>
                <w:szCs w:val="21"/>
                <w:lang w:val="en-US" w:eastAsia="zh-CN"/>
              </w:rPr>
            </w:pPr>
            <w:r>
              <w:rPr>
                <w:rFonts w:hint="eastAsia" w:ascii="Times New Roman" w:hAnsi="Times New Roman" w:cs="Times New Roman"/>
                <w:sz w:val="21"/>
                <w:szCs w:val="21"/>
                <w:lang w:val="en-US" w:eastAsia="zh-CN"/>
              </w:rPr>
              <w:t>60</w:t>
            </w:r>
          </w:p>
        </w:tc>
        <w:tc>
          <w:tcPr>
            <w:tcW w:w="1741" w:type="pct"/>
            <w:vMerge w:val="continue"/>
            <w:noWrap w:val="0"/>
            <w:vAlign w:val="center"/>
          </w:tcPr>
          <w:p w14:paraId="67F6011E">
            <w:pPr>
              <w:ind w:right="-64"/>
              <w:jc w:val="center"/>
              <w:rPr>
                <w:rFonts w:ascii="Times New Roman" w:hAnsi="Times New Roman" w:cs="Times New Roman"/>
                <w:sz w:val="21"/>
                <w:szCs w:val="21"/>
              </w:rPr>
            </w:pPr>
          </w:p>
        </w:tc>
      </w:tr>
      <w:tr w14:paraId="5542B4D6">
        <w:tblPrEx>
          <w:tblBorders>
            <w:top w:val="thinThickSmallGap" w:color="auto" w:sz="12" w:space="0"/>
            <w:left w:val="none" w:color="auto" w:sz="0" w:space="0"/>
            <w:bottom w:val="thickThinSmallGap"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929" w:type="pct"/>
            <w:vMerge w:val="restart"/>
            <w:noWrap w:val="0"/>
            <w:vAlign w:val="center"/>
          </w:tcPr>
          <w:p w14:paraId="5108C79D">
            <w:pPr>
              <w:ind w:right="-64"/>
              <w:jc w:val="center"/>
              <w:rPr>
                <w:rFonts w:ascii="Times New Roman" w:hAnsi="Times New Roman" w:cs="Times New Roman"/>
                <w:sz w:val="21"/>
                <w:szCs w:val="21"/>
              </w:rPr>
            </w:pPr>
            <w:r>
              <w:rPr>
                <w:rFonts w:ascii="Times New Roman" w:hAnsi="Times New Roman" w:cs="Times New Roman"/>
                <w:sz w:val="21"/>
                <w:szCs w:val="21"/>
              </w:rPr>
              <w:t>TSP</w:t>
            </w:r>
          </w:p>
        </w:tc>
        <w:tc>
          <w:tcPr>
            <w:tcW w:w="1234" w:type="pct"/>
            <w:tcBorders>
              <w:top w:val="single" w:color="auto" w:sz="6" w:space="0"/>
            </w:tcBorders>
            <w:noWrap w:val="0"/>
            <w:vAlign w:val="center"/>
          </w:tcPr>
          <w:p w14:paraId="4A76D978">
            <w:pPr>
              <w:ind w:right="-64"/>
              <w:jc w:val="center"/>
              <w:rPr>
                <w:rFonts w:ascii="Times New Roman" w:hAnsi="Times New Roman" w:cs="Times New Roman"/>
                <w:sz w:val="21"/>
                <w:szCs w:val="21"/>
              </w:rPr>
            </w:pPr>
            <w:r>
              <w:rPr>
                <w:rFonts w:hint="eastAsia" w:ascii="Times New Roman" w:hAnsi="Times New Roman" w:cs="Times New Roman"/>
                <w:sz w:val="21"/>
                <w:szCs w:val="21"/>
                <w:lang w:val="en-US" w:eastAsia="zh-CN"/>
              </w:rPr>
              <w:t>日</w:t>
            </w:r>
            <w:r>
              <w:rPr>
                <w:rFonts w:ascii="Times New Roman" w:hAnsi="Times New Roman" w:cs="Times New Roman"/>
                <w:sz w:val="21"/>
                <w:szCs w:val="21"/>
              </w:rPr>
              <w:t>平均</w:t>
            </w:r>
          </w:p>
        </w:tc>
        <w:tc>
          <w:tcPr>
            <w:tcW w:w="1094" w:type="pct"/>
            <w:tcBorders>
              <w:top w:val="single" w:color="auto" w:sz="6" w:space="0"/>
            </w:tcBorders>
            <w:noWrap w:val="0"/>
            <w:vAlign w:val="center"/>
          </w:tcPr>
          <w:p w14:paraId="422F98C2">
            <w:pPr>
              <w:ind w:right="-64"/>
              <w:jc w:val="center"/>
              <w:rPr>
                <w:rFonts w:ascii="Times New Roman" w:hAnsi="Times New Roman" w:cs="Times New Roman"/>
                <w:sz w:val="21"/>
                <w:szCs w:val="21"/>
              </w:rPr>
            </w:pPr>
            <w:r>
              <w:rPr>
                <w:rFonts w:ascii="Times New Roman" w:hAnsi="Times New Roman" w:cs="Times New Roman"/>
                <w:sz w:val="21"/>
                <w:szCs w:val="21"/>
              </w:rPr>
              <w:t>300</w:t>
            </w:r>
          </w:p>
        </w:tc>
        <w:tc>
          <w:tcPr>
            <w:tcW w:w="1741" w:type="pct"/>
            <w:vMerge w:val="continue"/>
            <w:noWrap w:val="0"/>
            <w:vAlign w:val="center"/>
          </w:tcPr>
          <w:p w14:paraId="1EC5EA12">
            <w:pPr>
              <w:ind w:right="-64"/>
              <w:jc w:val="center"/>
              <w:rPr>
                <w:rFonts w:ascii="Times New Roman" w:hAnsi="Times New Roman" w:cs="Times New Roman"/>
                <w:sz w:val="21"/>
                <w:szCs w:val="21"/>
              </w:rPr>
            </w:pPr>
          </w:p>
        </w:tc>
      </w:tr>
      <w:tr w14:paraId="57906A8A">
        <w:tblPrEx>
          <w:tblBorders>
            <w:top w:val="thinThickSmallGap" w:color="auto" w:sz="12" w:space="0"/>
            <w:left w:val="none" w:color="auto" w:sz="0" w:space="0"/>
            <w:bottom w:val="thickThinSmallGap"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929" w:type="pct"/>
            <w:vMerge w:val="continue"/>
            <w:noWrap w:val="0"/>
            <w:vAlign w:val="center"/>
          </w:tcPr>
          <w:p w14:paraId="1205847B">
            <w:pPr>
              <w:ind w:right="-64"/>
              <w:jc w:val="center"/>
              <w:rPr>
                <w:rFonts w:ascii="Times New Roman" w:hAnsi="Times New Roman" w:cs="Times New Roman"/>
                <w:sz w:val="21"/>
                <w:szCs w:val="21"/>
              </w:rPr>
            </w:pPr>
          </w:p>
        </w:tc>
        <w:tc>
          <w:tcPr>
            <w:tcW w:w="1234" w:type="pct"/>
            <w:tcBorders>
              <w:top w:val="single" w:color="auto" w:sz="6" w:space="0"/>
            </w:tcBorders>
            <w:noWrap w:val="0"/>
            <w:vAlign w:val="center"/>
          </w:tcPr>
          <w:p w14:paraId="001B9514">
            <w:pPr>
              <w:ind w:right="-64"/>
              <w:jc w:val="center"/>
              <w:rPr>
                <w:rFonts w:ascii="Times New Roman" w:hAnsi="Times New Roman" w:cs="Times New Roman"/>
                <w:sz w:val="21"/>
                <w:szCs w:val="21"/>
              </w:rPr>
            </w:pPr>
            <w:r>
              <w:rPr>
                <w:rFonts w:ascii="Times New Roman" w:hAnsi="Times New Roman" w:cs="Times New Roman"/>
                <w:sz w:val="21"/>
                <w:szCs w:val="21"/>
              </w:rPr>
              <w:t>年平均</w:t>
            </w:r>
          </w:p>
        </w:tc>
        <w:tc>
          <w:tcPr>
            <w:tcW w:w="1094" w:type="pct"/>
            <w:tcBorders>
              <w:top w:val="single" w:color="auto" w:sz="6" w:space="0"/>
            </w:tcBorders>
            <w:noWrap w:val="0"/>
            <w:vAlign w:val="center"/>
          </w:tcPr>
          <w:p w14:paraId="10AE546D">
            <w:pPr>
              <w:ind w:right="-64"/>
              <w:jc w:val="center"/>
              <w:rPr>
                <w:rFonts w:ascii="Times New Roman" w:hAnsi="Times New Roman" w:cs="Times New Roman"/>
                <w:sz w:val="21"/>
                <w:szCs w:val="21"/>
              </w:rPr>
            </w:pPr>
            <w:r>
              <w:rPr>
                <w:rFonts w:ascii="Times New Roman" w:hAnsi="Times New Roman" w:cs="Times New Roman"/>
                <w:sz w:val="21"/>
                <w:szCs w:val="21"/>
              </w:rPr>
              <w:t>200</w:t>
            </w:r>
          </w:p>
        </w:tc>
        <w:tc>
          <w:tcPr>
            <w:tcW w:w="1741" w:type="pct"/>
            <w:vMerge w:val="continue"/>
            <w:noWrap w:val="0"/>
            <w:vAlign w:val="center"/>
          </w:tcPr>
          <w:p w14:paraId="4FCE4C06">
            <w:pPr>
              <w:ind w:right="-64"/>
              <w:jc w:val="center"/>
              <w:rPr>
                <w:rFonts w:ascii="Times New Roman" w:hAnsi="Times New Roman" w:cs="Times New Roman"/>
                <w:sz w:val="21"/>
                <w:szCs w:val="21"/>
              </w:rPr>
            </w:pPr>
          </w:p>
        </w:tc>
      </w:tr>
      <w:tr w14:paraId="67365900">
        <w:tblPrEx>
          <w:tblBorders>
            <w:top w:val="thinThickSmallGap" w:color="auto" w:sz="12" w:space="0"/>
            <w:left w:val="none" w:color="auto" w:sz="0" w:space="0"/>
            <w:bottom w:val="thickThinSmallGap"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929" w:type="pct"/>
            <w:vMerge w:val="restart"/>
            <w:tcBorders>
              <w:top w:val="single" w:color="auto" w:sz="6" w:space="0"/>
            </w:tcBorders>
            <w:noWrap w:val="0"/>
            <w:vAlign w:val="center"/>
          </w:tcPr>
          <w:p w14:paraId="59CEE482">
            <w:pPr>
              <w:ind w:right="-64"/>
              <w:jc w:val="center"/>
              <w:rPr>
                <w:rFonts w:ascii="Times New Roman" w:hAnsi="Times New Roman" w:cs="Times New Roman"/>
                <w:sz w:val="21"/>
                <w:szCs w:val="21"/>
              </w:rPr>
            </w:pPr>
            <w:r>
              <w:rPr>
                <w:rFonts w:ascii="Times New Roman" w:hAnsi="Times New Roman" w:cs="Times New Roman"/>
                <w:sz w:val="21"/>
                <w:szCs w:val="21"/>
              </w:rPr>
              <w:t>PM</w:t>
            </w:r>
            <w:r>
              <w:rPr>
                <w:rFonts w:ascii="Times New Roman" w:hAnsi="Times New Roman" w:cs="Times New Roman"/>
                <w:sz w:val="21"/>
                <w:szCs w:val="21"/>
                <w:vertAlign w:val="subscript"/>
              </w:rPr>
              <w:t>2.5</w:t>
            </w:r>
          </w:p>
        </w:tc>
        <w:tc>
          <w:tcPr>
            <w:tcW w:w="1234" w:type="pct"/>
            <w:tcBorders>
              <w:top w:val="single" w:color="auto" w:sz="6" w:space="0"/>
            </w:tcBorders>
            <w:noWrap w:val="0"/>
            <w:vAlign w:val="center"/>
          </w:tcPr>
          <w:p w14:paraId="28B06AA6">
            <w:pPr>
              <w:ind w:right="-64"/>
              <w:jc w:val="center"/>
              <w:rPr>
                <w:rFonts w:ascii="Times New Roman" w:hAnsi="Times New Roman" w:cs="Times New Roman"/>
                <w:sz w:val="21"/>
                <w:szCs w:val="21"/>
              </w:rPr>
            </w:pPr>
            <w:r>
              <w:rPr>
                <w:rFonts w:hint="eastAsia" w:ascii="Times New Roman" w:hAnsi="Times New Roman" w:cs="Times New Roman"/>
                <w:sz w:val="21"/>
                <w:szCs w:val="21"/>
                <w:lang w:val="en-US" w:eastAsia="zh-CN"/>
              </w:rPr>
              <w:t>日</w:t>
            </w:r>
            <w:r>
              <w:rPr>
                <w:rFonts w:ascii="Times New Roman" w:hAnsi="Times New Roman" w:cs="Times New Roman"/>
                <w:sz w:val="21"/>
                <w:szCs w:val="21"/>
              </w:rPr>
              <w:t>平均</w:t>
            </w:r>
          </w:p>
        </w:tc>
        <w:tc>
          <w:tcPr>
            <w:tcW w:w="1094" w:type="pct"/>
            <w:tcBorders>
              <w:top w:val="single" w:color="auto" w:sz="6" w:space="0"/>
            </w:tcBorders>
            <w:noWrap w:val="0"/>
            <w:vAlign w:val="center"/>
          </w:tcPr>
          <w:p w14:paraId="4213D41A">
            <w:pPr>
              <w:ind w:right="-64"/>
              <w:jc w:val="center"/>
              <w:rPr>
                <w:rFonts w:hint="default" w:ascii="Times New Roman" w:hAnsi="Times New Roman" w:eastAsia="宋体" w:cs="Times New Roman"/>
                <w:sz w:val="21"/>
                <w:szCs w:val="21"/>
                <w:lang w:val="en-US" w:eastAsia="zh-CN"/>
              </w:rPr>
            </w:pPr>
            <w:r>
              <w:rPr>
                <w:rFonts w:hint="eastAsia" w:ascii="Times New Roman" w:hAnsi="Times New Roman" w:cs="Times New Roman"/>
                <w:sz w:val="21"/>
                <w:szCs w:val="21"/>
                <w:lang w:val="en-US" w:eastAsia="zh-CN"/>
              </w:rPr>
              <w:t>60</w:t>
            </w:r>
          </w:p>
        </w:tc>
        <w:tc>
          <w:tcPr>
            <w:tcW w:w="1741" w:type="pct"/>
            <w:vMerge w:val="continue"/>
            <w:noWrap w:val="0"/>
            <w:vAlign w:val="center"/>
          </w:tcPr>
          <w:p w14:paraId="459268B6">
            <w:pPr>
              <w:ind w:right="-64"/>
              <w:jc w:val="center"/>
              <w:rPr>
                <w:rFonts w:ascii="Times New Roman" w:hAnsi="Times New Roman" w:cs="Times New Roman"/>
                <w:sz w:val="21"/>
                <w:szCs w:val="21"/>
              </w:rPr>
            </w:pPr>
          </w:p>
        </w:tc>
      </w:tr>
      <w:tr w14:paraId="43107CE5">
        <w:tblPrEx>
          <w:tblBorders>
            <w:top w:val="thinThickSmallGap" w:color="auto" w:sz="12" w:space="0"/>
            <w:left w:val="none" w:color="auto" w:sz="0" w:space="0"/>
            <w:bottom w:val="thickThinSmallGap"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929" w:type="pct"/>
            <w:vMerge w:val="continue"/>
            <w:noWrap w:val="0"/>
            <w:vAlign w:val="center"/>
          </w:tcPr>
          <w:p w14:paraId="1122F050">
            <w:pPr>
              <w:ind w:right="-64"/>
              <w:jc w:val="center"/>
              <w:rPr>
                <w:rFonts w:ascii="Times New Roman" w:hAnsi="Times New Roman" w:cs="Times New Roman"/>
                <w:sz w:val="21"/>
                <w:szCs w:val="21"/>
              </w:rPr>
            </w:pPr>
          </w:p>
        </w:tc>
        <w:tc>
          <w:tcPr>
            <w:tcW w:w="1234" w:type="pct"/>
            <w:tcBorders>
              <w:top w:val="single" w:color="auto" w:sz="6" w:space="0"/>
            </w:tcBorders>
            <w:noWrap w:val="0"/>
            <w:vAlign w:val="center"/>
          </w:tcPr>
          <w:p w14:paraId="733FC73F">
            <w:pPr>
              <w:ind w:right="-64"/>
              <w:jc w:val="center"/>
              <w:rPr>
                <w:rFonts w:ascii="Times New Roman" w:hAnsi="Times New Roman" w:cs="Times New Roman"/>
                <w:sz w:val="21"/>
                <w:szCs w:val="21"/>
              </w:rPr>
            </w:pPr>
            <w:r>
              <w:rPr>
                <w:rFonts w:ascii="Times New Roman" w:hAnsi="Times New Roman" w:cs="Times New Roman"/>
                <w:sz w:val="21"/>
                <w:szCs w:val="21"/>
              </w:rPr>
              <w:t>年平均</w:t>
            </w:r>
          </w:p>
        </w:tc>
        <w:tc>
          <w:tcPr>
            <w:tcW w:w="1094" w:type="pct"/>
            <w:tcBorders>
              <w:top w:val="single" w:color="auto" w:sz="6" w:space="0"/>
            </w:tcBorders>
            <w:noWrap w:val="0"/>
            <w:vAlign w:val="center"/>
          </w:tcPr>
          <w:p w14:paraId="450174FD">
            <w:pPr>
              <w:ind w:right="-64"/>
              <w:jc w:val="center"/>
              <w:rPr>
                <w:rFonts w:hint="default" w:ascii="Times New Roman" w:hAnsi="Times New Roman" w:eastAsia="宋体" w:cs="Times New Roman"/>
                <w:sz w:val="21"/>
                <w:szCs w:val="21"/>
                <w:lang w:val="en-US" w:eastAsia="zh-CN"/>
              </w:rPr>
            </w:pPr>
            <w:r>
              <w:rPr>
                <w:rFonts w:hint="eastAsia" w:ascii="Times New Roman" w:hAnsi="Times New Roman" w:cs="Times New Roman"/>
                <w:sz w:val="21"/>
                <w:szCs w:val="21"/>
                <w:lang w:val="en-US" w:eastAsia="zh-CN"/>
              </w:rPr>
              <w:t>30</w:t>
            </w:r>
          </w:p>
        </w:tc>
        <w:tc>
          <w:tcPr>
            <w:tcW w:w="1741" w:type="pct"/>
            <w:vMerge w:val="continue"/>
            <w:noWrap w:val="0"/>
            <w:vAlign w:val="center"/>
          </w:tcPr>
          <w:p w14:paraId="5C804BDF">
            <w:pPr>
              <w:ind w:right="-64"/>
              <w:jc w:val="center"/>
              <w:rPr>
                <w:rFonts w:ascii="Times New Roman" w:hAnsi="Times New Roman" w:cs="Times New Roman"/>
                <w:sz w:val="21"/>
                <w:szCs w:val="21"/>
              </w:rPr>
            </w:pPr>
          </w:p>
        </w:tc>
      </w:tr>
      <w:tr w14:paraId="31E63EFB">
        <w:tblPrEx>
          <w:tblBorders>
            <w:top w:val="thinThickSmallGap" w:color="auto" w:sz="12" w:space="0"/>
            <w:left w:val="none" w:color="auto" w:sz="0" w:space="0"/>
            <w:bottom w:val="thickThinSmallGap"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929" w:type="pct"/>
            <w:vMerge w:val="restart"/>
            <w:noWrap w:val="0"/>
            <w:vAlign w:val="center"/>
          </w:tcPr>
          <w:p w14:paraId="61AD66D9">
            <w:pPr>
              <w:ind w:right="-64"/>
              <w:jc w:val="center"/>
              <w:rPr>
                <w:rFonts w:ascii="Times New Roman" w:hAnsi="Times New Roman" w:cs="Times New Roman"/>
                <w:sz w:val="21"/>
                <w:szCs w:val="21"/>
              </w:rPr>
            </w:pPr>
            <w:r>
              <w:rPr>
                <w:rFonts w:ascii="Times New Roman" w:hAnsi="Times New Roman" w:cs="Times New Roman"/>
                <w:sz w:val="21"/>
                <w:szCs w:val="21"/>
              </w:rPr>
              <w:t>SO</w:t>
            </w:r>
            <w:r>
              <w:rPr>
                <w:rFonts w:ascii="Times New Roman" w:hAnsi="Times New Roman" w:cs="Times New Roman"/>
                <w:sz w:val="21"/>
                <w:szCs w:val="21"/>
                <w:vertAlign w:val="subscript"/>
              </w:rPr>
              <w:t>2</w:t>
            </w:r>
          </w:p>
        </w:tc>
        <w:tc>
          <w:tcPr>
            <w:tcW w:w="1234" w:type="pct"/>
            <w:noWrap w:val="0"/>
            <w:vAlign w:val="center"/>
          </w:tcPr>
          <w:p w14:paraId="39D10CF4">
            <w:pPr>
              <w:ind w:right="-64"/>
              <w:jc w:val="center"/>
              <w:rPr>
                <w:rFonts w:ascii="Times New Roman" w:hAnsi="Times New Roman" w:cs="Times New Roman"/>
                <w:sz w:val="21"/>
                <w:szCs w:val="21"/>
              </w:rPr>
            </w:pPr>
            <w:r>
              <w:rPr>
                <w:rFonts w:ascii="Times New Roman" w:hAnsi="Times New Roman" w:cs="Times New Roman"/>
                <w:sz w:val="21"/>
                <w:szCs w:val="21"/>
              </w:rPr>
              <w:t>1h平均</w:t>
            </w:r>
          </w:p>
        </w:tc>
        <w:tc>
          <w:tcPr>
            <w:tcW w:w="1094" w:type="pct"/>
            <w:noWrap w:val="0"/>
            <w:vAlign w:val="center"/>
          </w:tcPr>
          <w:p w14:paraId="1EFDE7F5">
            <w:pPr>
              <w:ind w:right="-64"/>
              <w:jc w:val="center"/>
              <w:rPr>
                <w:rFonts w:ascii="Times New Roman" w:hAnsi="Times New Roman" w:cs="Times New Roman"/>
                <w:sz w:val="21"/>
                <w:szCs w:val="21"/>
              </w:rPr>
            </w:pPr>
            <w:r>
              <w:rPr>
                <w:rFonts w:ascii="Times New Roman" w:hAnsi="Times New Roman" w:cs="Times New Roman"/>
                <w:sz w:val="21"/>
                <w:szCs w:val="21"/>
              </w:rPr>
              <w:t>500</w:t>
            </w:r>
          </w:p>
        </w:tc>
        <w:tc>
          <w:tcPr>
            <w:tcW w:w="1741" w:type="pct"/>
            <w:vMerge w:val="continue"/>
            <w:noWrap w:val="0"/>
            <w:vAlign w:val="center"/>
          </w:tcPr>
          <w:p w14:paraId="53C62B99">
            <w:pPr>
              <w:ind w:right="-64"/>
              <w:jc w:val="center"/>
              <w:rPr>
                <w:rFonts w:ascii="Times New Roman" w:hAnsi="Times New Roman" w:cs="Times New Roman"/>
                <w:sz w:val="21"/>
                <w:szCs w:val="21"/>
              </w:rPr>
            </w:pPr>
          </w:p>
        </w:tc>
      </w:tr>
      <w:tr w14:paraId="1A5062C0">
        <w:tblPrEx>
          <w:tblBorders>
            <w:top w:val="thinThickSmallGap" w:color="auto" w:sz="12" w:space="0"/>
            <w:left w:val="none" w:color="auto" w:sz="0" w:space="0"/>
            <w:bottom w:val="thickThinSmallGap"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929" w:type="pct"/>
            <w:vMerge w:val="continue"/>
            <w:noWrap w:val="0"/>
            <w:vAlign w:val="center"/>
          </w:tcPr>
          <w:p w14:paraId="183E7712">
            <w:pPr>
              <w:ind w:right="-64"/>
              <w:jc w:val="center"/>
              <w:rPr>
                <w:rFonts w:ascii="Times New Roman" w:hAnsi="Times New Roman" w:cs="Times New Roman"/>
                <w:sz w:val="21"/>
                <w:szCs w:val="21"/>
              </w:rPr>
            </w:pPr>
          </w:p>
        </w:tc>
        <w:tc>
          <w:tcPr>
            <w:tcW w:w="1234" w:type="pct"/>
            <w:noWrap w:val="0"/>
            <w:vAlign w:val="center"/>
          </w:tcPr>
          <w:p w14:paraId="4336EEA6">
            <w:pPr>
              <w:ind w:right="-64"/>
              <w:jc w:val="center"/>
              <w:rPr>
                <w:rFonts w:ascii="Times New Roman" w:hAnsi="Times New Roman" w:cs="Times New Roman"/>
                <w:sz w:val="21"/>
                <w:szCs w:val="21"/>
              </w:rPr>
            </w:pPr>
            <w:r>
              <w:rPr>
                <w:rFonts w:hint="eastAsia" w:ascii="Times New Roman" w:hAnsi="Times New Roman" w:cs="Times New Roman"/>
                <w:sz w:val="21"/>
                <w:szCs w:val="21"/>
                <w:lang w:val="en-US" w:eastAsia="zh-CN"/>
              </w:rPr>
              <w:t>日</w:t>
            </w:r>
            <w:r>
              <w:rPr>
                <w:rFonts w:ascii="Times New Roman" w:hAnsi="Times New Roman" w:cs="Times New Roman"/>
                <w:sz w:val="21"/>
                <w:szCs w:val="21"/>
              </w:rPr>
              <w:t>平均</w:t>
            </w:r>
          </w:p>
        </w:tc>
        <w:tc>
          <w:tcPr>
            <w:tcW w:w="1094" w:type="pct"/>
            <w:noWrap w:val="0"/>
            <w:vAlign w:val="center"/>
          </w:tcPr>
          <w:p w14:paraId="019C112F">
            <w:pPr>
              <w:ind w:right="-64"/>
              <w:jc w:val="center"/>
              <w:rPr>
                <w:rFonts w:ascii="Times New Roman" w:hAnsi="Times New Roman" w:cs="Times New Roman"/>
                <w:sz w:val="21"/>
                <w:szCs w:val="21"/>
              </w:rPr>
            </w:pPr>
            <w:r>
              <w:rPr>
                <w:rFonts w:ascii="Times New Roman" w:hAnsi="Times New Roman" w:cs="Times New Roman"/>
                <w:sz w:val="21"/>
                <w:szCs w:val="21"/>
              </w:rPr>
              <w:t>150</w:t>
            </w:r>
          </w:p>
        </w:tc>
        <w:tc>
          <w:tcPr>
            <w:tcW w:w="1741" w:type="pct"/>
            <w:vMerge w:val="continue"/>
            <w:noWrap w:val="0"/>
            <w:vAlign w:val="center"/>
          </w:tcPr>
          <w:p w14:paraId="2A2B921B">
            <w:pPr>
              <w:ind w:right="-64"/>
              <w:jc w:val="center"/>
              <w:rPr>
                <w:rFonts w:ascii="Times New Roman" w:hAnsi="Times New Roman" w:cs="Times New Roman"/>
                <w:sz w:val="21"/>
                <w:szCs w:val="21"/>
              </w:rPr>
            </w:pPr>
          </w:p>
        </w:tc>
      </w:tr>
      <w:tr w14:paraId="3F9F3E23">
        <w:tblPrEx>
          <w:tblBorders>
            <w:top w:val="thinThickSmallGap" w:color="auto" w:sz="12" w:space="0"/>
            <w:left w:val="none" w:color="auto" w:sz="0" w:space="0"/>
            <w:bottom w:val="thickThinSmallGap"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929" w:type="pct"/>
            <w:vMerge w:val="continue"/>
            <w:noWrap w:val="0"/>
            <w:vAlign w:val="center"/>
          </w:tcPr>
          <w:p w14:paraId="036651EC">
            <w:pPr>
              <w:ind w:right="-64"/>
              <w:jc w:val="center"/>
              <w:rPr>
                <w:rFonts w:ascii="Times New Roman" w:hAnsi="Times New Roman" w:cs="Times New Roman"/>
                <w:sz w:val="21"/>
                <w:szCs w:val="21"/>
              </w:rPr>
            </w:pPr>
          </w:p>
        </w:tc>
        <w:tc>
          <w:tcPr>
            <w:tcW w:w="1234" w:type="pct"/>
            <w:noWrap w:val="0"/>
            <w:vAlign w:val="center"/>
          </w:tcPr>
          <w:p w14:paraId="7A5D9547">
            <w:pPr>
              <w:ind w:right="-64"/>
              <w:jc w:val="center"/>
              <w:rPr>
                <w:rFonts w:ascii="Times New Roman" w:hAnsi="Times New Roman" w:cs="Times New Roman"/>
                <w:sz w:val="21"/>
                <w:szCs w:val="21"/>
              </w:rPr>
            </w:pPr>
            <w:r>
              <w:rPr>
                <w:rFonts w:ascii="Times New Roman" w:hAnsi="Times New Roman" w:cs="Times New Roman"/>
                <w:sz w:val="21"/>
                <w:szCs w:val="21"/>
              </w:rPr>
              <w:t>年平均</w:t>
            </w:r>
          </w:p>
        </w:tc>
        <w:tc>
          <w:tcPr>
            <w:tcW w:w="1094" w:type="pct"/>
            <w:noWrap w:val="0"/>
            <w:vAlign w:val="center"/>
          </w:tcPr>
          <w:p w14:paraId="7AC1335D">
            <w:pPr>
              <w:ind w:right="-64"/>
              <w:jc w:val="center"/>
              <w:rPr>
                <w:rFonts w:ascii="Times New Roman" w:hAnsi="Times New Roman" w:cs="Times New Roman"/>
                <w:sz w:val="21"/>
                <w:szCs w:val="21"/>
              </w:rPr>
            </w:pPr>
            <w:r>
              <w:rPr>
                <w:rFonts w:ascii="Times New Roman" w:hAnsi="Times New Roman" w:cs="Times New Roman"/>
                <w:sz w:val="21"/>
                <w:szCs w:val="21"/>
              </w:rPr>
              <w:t>60</w:t>
            </w:r>
          </w:p>
        </w:tc>
        <w:tc>
          <w:tcPr>
            <w:tcW w:w="1741" w:type="pct"/>
            <w:vMerge w:val="continue"/>
            <w:noWrap w:val="0"/>
            <w:vAlign w:val="center"/>
          </w:tcPr>
          <w:p w14:paraId="72134C2A">
            <w:pPr>
              <w:ind w:right="-64"/>
              <w:jc w:val="center"/>
              <w:rPr>
                <w:rFonts w:ascii="Times New Roman" w:hAnsi="Times New Roman" w:cs="Times New Roman"/>
                <w:sz w:val="21"/>
                <w:szCs w:val="21"/>
              </w:rPr>
            </w:pPr>
          </w:p>
        </w:tc>
      </w:tr>
      <w:tr w14:paraId="10957600">
        <w:tblPrEx>
          <w:tblBorders>
            <w:top w:val="thinThickSmallGap" w:color="auto" w:sz="12" w:space="0"/>
            <w:left w:val="none" w:color="auto" w:sz="0" w:space="0"/>
            <w:bottom w:val="thickThinSmallGap"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929" w:type="pct"/>
            <w:vMerge w:val="restart"/>
            <w:noWrap w:val="0"/>
            <w:vAlign w:val="center"/>
          </w:tcPr>
          <w:p w14:paraId="03612821">
            <w:pPr>
              <w:ind w:right="-64"/>
              <w:jc w:val="center"/>
              <w:rPr>
                <w:rFonts w:ascii="Times New Roman" w:hAnsi="Times New Roman" w:cs="Times New Roman"/>
                <w:sz w:val="21"/>
                <w:szCs w:val="21"/>
              </w:rPr>
            </w:pPr>
            <w:r>
              <w:rPr>
                <w:rFonts w:ascii="Times New Roman" w:hAnsi="Times New Roman" w:cs="Times New Roman"/>
                <w:sz w:val="21"/>
                <w:szCs w:val="21"/>
              </w:rPr>
              <w:t>NO</w:t>
            </w:r>
            <w:r>
              <w:rPr>
                <w:rFonts w:ascii="Times New Roman" w:hAnsi="Times New Roman" w:cs="Times New Roman"/>
                <w:sz w:val="21"/>
                <w:szCs w:val="21"/>
                <w:vertAlign w:val="subscript"/>
              </w:rPr>
              <w:t>2</w:t>
            </w:r>
          </w:p>
        </w:tc>
        <w:tc>
          <w:tcPr>
            <w:tcW w:w="1234" w:type="pct"/>
            <w:noWrap w:val="0"/>
            <w:vAlign w:val="center"/>
          </w:tcPr>
          <w:p w14:paraId="1D466B4B">
            <w:pPr>
              <w:ind w:right="-124" w:hanging="108"/>
              <w:jc w:val="center"/>
              <w:rPr>
                <w:rFonts w:ascii="Times New Roman" w:hAnsi="Times New Roman" w:cs="Times New Roman"/>
                <w:sz w:val="21"/>
                <w:szCs w:val="21"/>
              </w:rPr>
            </w:pPr>
            <w:r>
              <w:rPr>
                <w:rFonts w:ascii="Times New Roman" w:hAnsi="Times New Roman" w:cs="Times New Roman"/>
                <w:sz w:val="21"/>
                <w:szCs w:val="21"/>
              </w:rPr>
              <w:t>1h平均</w:t>
            </w:r>
          </w:p>
        </w:tc>
        <w:tc>
          <w:tcPr>
            <w:tcW w:w="1094" w:type="pct"/>
            <w:noWrap w:val="0"/>
            <w:vAlign w:val="center"/>
          </w:tcPr>
          <w:p w14:paraId="5EB979DB">
            <w:pPr>
              <w:ind w:right="-64"/>
              <w:jc w:val="center"/>
              <w:rPr>
                <w:rFonts w:ascii="Times New Roman" w:hAnsi="Times New Roman" w:cs="Times New Roman"/>
                <w:sz w:val="21"/>
                <w:szCs w:val="21"/>
              </w:rPr>
            </w:pPr>
            <w:r>
              <w:rPr>
                <w:rFonts w:ascii="Times New Roman" w:hAnsi="Times New Roman" w:cs="Times New Roman"/>
                <w:sz w:val="21"/>
                <w:szCs w:val="21"/>
              </w:rPr>
              <w:t>200</w:t>
            </w:r>
          </w:p>
        </w:tc>
        <w:tc>
          <w:tcPr>
            <w:tcW w:w="1741" w:type="pct"/>
            <w:vMerge w:val="continue"/>
            <w:noWrap w:val="0"/>
            <w:vAlign w:val="center"/>
          </w:tcPr>
          <w:p w14:paraId="083E90C7">
            <w:pPr>
              <w:ind w:right="-64"/>
              <w:jc w:val="center"/>
              <w:rPr>
                <w:rFonts w:ascii="Times New Roman" w:hAnsi="Times New Roman" w:cs="Times New Roman"/>
                <w:sz w:val="21"/>
                <w:szCs w:val="21"/>
              </w:rPr>
            </w:pPr>
          </w:p>
        </w:tc>
      </w:tr>
      <w:tr w14:paraId="668EBB22">
        <w:tblPrEx>
          <w:tblBorders>
            <w:top w:val="thinThickSmallGap" w:color="auto" w:sz="12" w:space="0"/>
            <w:left w:val="none" w:color="auto" w:sz="0" w:space="0"/>
            <w:bottom w:val="thickThinSmallGap"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929" w:type="pct"/>
            <w:vMerge w:val="continue"/>
            <w:noWrap w:val="0"/>
            <w:vAlign w:val="center"/>
          </w:tcPr>
          <w:p w14:paraId="4511810B">
            <w:pPr>
              <w:ind w:right="-64"/>
              <w:jc w:val="center"/>
              <w:rPr>
                <w:rFonts w:ascii="Times New Roman" w:hAnsi="Times New Roman" w:cs="Times New Roman"/>
                <w:sz w:val="21"/>
                <w:szCs w:val="21"/>
              </w:rPr>
            </w:pPr>
          </w:p>
        </w:tc>
        <w:tc>
          <w:tcPr>
            <w:tcW w:w="1234" w:type="pct"/>
            <w:noWrap w:val="0"/>
            <w:vAlign w:val="center"/>
          </w:tcPr>
          <w:p w14:paraId="1E694DEB">
            <w:pPr>
              <w:ind w:right="-190" w:hanging="84"/>
              <w:jc w:val="center"/>
              <w:rPr>
                <w:rFonts w:ascii="Times New Roman" w:hAnsi="Times New Roman" w:cs="Times New Roman"/>
                <w:sz w:val="21"/>
                <w:szCs w:val="21"/>
              </w:rPr>
            </w:pPr>
            <w:r>
              <w:rPr>
                <w:rFonts w:hint="eastAsia" w:ascii="Times New Roman" w:hAnsi="Times New Roman" w:cs="Times New Roman"/>
                <w:sz w:val="21"/>
                <w:szCs w:val="21"/>
                <w:lang w:val="en-US" w:eastAsia="zh-CN"/>
              </w:rPr>
              <w:t>日</w:t>
            </w:r>
            <w:r>
              <w:rPr>
                <w:rFonts w:ascii="Times New Roman" w:hAnsi="Times New Roman" w:cs="Times New Roman"/>
                <w:sz w:val="21"/>
                <w:szCs w:val="21"/>
              </w:rPr>
              <w:t>平均</w:t>
            </w:r>
          </w:p>
        </w:tc>
        <w:tc>
          <w:tcPr>
            <w:tcW w:w="1094" w:type="pct"/>
            <w:noWrap w:val="0"/>
            <w:vAlign w:val="center"/>
          </w:tcPr>
          <w:p w14:paraId="76159D0A">
            <w:pPr>
              <w:ind w:right="-64"/>
              <w:jc w:val="center"/>
              <w:rPr>
                <w:rFonts w:ascii="Times New Roman" w:hAnsi="Times New Roman" w:cs="Times New Roman"/>
                <w:sz w:val="21"/>
                <w:szCs w:val="21"/>
              </w:rPr>
            </w:pPr>
            <w:r>
              <w:rPr>
                <w:rFonts w:ascii="Times New Roman" w:hAnsi="Times New Roman" w:cs="Times New Roman"/>
                <w:sz w:val="21"/>
                <w:szCs w:val="21"/>
              </w:rPr>
              <w:t>80</w:t>
            </w:r>
          </w:p>
        </w:tc>
        <w:tc>
          <w:tcPr>
            <w:tcW w:w="1741" w:type="pct"/>
            <w:vMerge w:val="continue"/>
            <w:noWrap w:val="0"/>
            <w:vAlign w:val="center"/>
          </w:tcPr>
          <w:p w14:paraId="2019A046">
            <w:pPr>
              <w:ind w:right="-64"/>
              <w:jc w:val="center"/>
              <w:rPr>
                <w:rFonts w:ascii="Times New Roman" w:hAnsi="Times New Roman" w:cs="Times New Roman"/>
                <w:sz w:val="21"/>
                <w:szCs w:val="21"/>
              </w:rPr>
            </w:pPr>
          </w:p>
        </w:tc>
      </w:tr>
      <w:tr w14:paraId="4D5919CD">
        <w:tblPrEx>
          <w:tblBorders>
            <w:top w:val="thinThickSmallGap" w:color="auto" w:sz="12" w:space="0"/>
            <w:left w:val="none" w:color="auto" w:sz="0" w:space="0"/>
            <w:bottom w:val="thickThinSmallGap"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929" w:type="pct"/>
            <w:vMerge w:val="continue"/>
            <w:noWrap w:val="0"/>
            <w:vAlign w:val="center"/>
          </w:tcPr>
          <w:p w14:paraId="2A0F19D8">
            <w:pPr>
              <w:ind w:right="-64"/>
              <w:jc w:val="center"/>
              <w:rPr>
                <w:rFonts w:ascii="Times New Roman" w:hAnsi="Times New Roman" w:cs="Times New Roman"/>
                <w:sz w:val="21"/>
                <w:szCs w:val="21"/>
              </w:rPr>
            </w:pPr>
          </w:p>
        </w:tc>
        <w:tc>
          <w:tcPr>
            <w:tcW w:w="1234" w:type="pct"/>
            <w:noWrap w:val="0"/>
            <w:vAlign w:val="center"/>
          </w:tcPr>
          <w:p w14:paraId="3C644380">
            <w:pPr>
              <w:ind w:right="-190" w:hanging="84"/>
              <w:jc w:val="center"/>
              <w:rPr>
                <w:rFonts w:ascii="Times New Roman" w:hAnsi="Times New Roman" w:cs="Times New Roman"/>
                <w:sz w:val="21"/>
                <w:szCs w:val="21"/>
              </w:rPr>
            </w:pPr>
            <w:r>
              <w:rPr>
                <w:rFonts w:ascii="Times New Roman" w:hAnsi="Times New Roman" w:cs="Times New Roman"/>
                <w:sz w:val="21"/>
                <w:szCs w:val="21"/>
              </w:rPr>
              <w:t>年平均</w:t>
            </w:r>
          </w:p>
        </w:tc>
        <w:tc>
          <w:tcPr>
            <w:tcW w:w="1094" w:type="pct"/>
            <w:noWrap w:val="0"/>
            <w:vAlign w:val="center"/>
          </w:tcPr>
          <w:p w14:paraId="44F34AA9">
            <w:pPr>
              <w:ind w:right="-64"/>
              <w:jc w:val="center"/>
              <w:rPr>
                <w:rFonts w:ascii="Times New Roman" w:hAnsi="Times New Roman" w:cs="Times New Roman"/>
                <w:sz w:val="21"/>
                <w:szCs w:val="21"/>
              </w:rPr>
            </w:pPr>
            <w:r>
              <w:rPr>
                <w:rFonts w:ascii="Times New Roman" w:hAnsi="Times New Roman" w:cs="Times New Roman"/>
                <w:sz w:val="21"/>
                <w:szCs w:val="21"/>
              </w:rPr>
              <w:t>40</w:t>
            </w:r>
          </w:p>
        </w:tc>
        <w:tc>
          <w:tcPr>
            <w:tcW w:w="1741" w:type="pct"/>
            <w:vMerge w:val="continue"/>
            <w:noWrap w:val="0"/>
            <w:vAlign w:val="center"/>
          </w:tcPr>
          <w:p w14:paraId="265C0286">
            <w:pPr>
              <w:ind w:right="-64"/>
              <w:jc w:val="center"/>
              <w:rPr>
                <w:rFonts w:ascii="Times New Roman" w:hAnsi="Times New Roman" w:cs="Times New Roman"/>
                <w:sz w:val="21"/>
                <w:szCs w:val="21"/>
              </w:rPr>
            </w:pPr>
          </w:p>
        </w:tc>
      </w:tr>
      <w:tr w14:paraId="61E15B05">
        <w:tblPrEx>
          <w:tblBorders>
            <w:top w:val="thinThickSmallGap" w:color="auto" w:sz="12" w:space="0"/>
            <w:left w:val="none" w:color="auto" w:sz="0" w:space="0"/>
            <w:bottom w:val="thickThinSmallGap"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929" w:type="pct"/>
            <w:vMerge w:val="restart"/>
            <w:noWrap w:val="0"/>
            <w:vAlign w:val="center"/>
          </w:tcPr>
          <w:p w14:paraId="55B0CFA2">
            <w:pPr>
              <w:ind w:right="-64"/>
              <w:jc w:val="center"/>
              <w:rPr>
                <w:rFonts w:ascii="Times New Roman" w:hAnsi="Times New Roman" w:cs="Times New Roman"/>
                <w:sz w:val="21"/>
                <w:szCs w:val="21"/>
              </w:rPr>
            </w:pPr>
            <w:r>
              <w:rPr>
                <w:rFonts w:ascii="Times New Roman" w:hAnsi="Times New Roman" w:cs="Times New Roman"/>
                <w:sz w:val="21"/>
                <w:szCs w:val="21"/>
              </w:rPr>
              <w:t>CO</w:t>
            </w:r>
          </w:p>
        </w:tc>
        <w:tc>
          <w:tcPr>
            <w:tcW w:w="1234" w:type="pct"/>
            <w:noWrap w:val="0"/>
            <w:vAlign w:val="center"/>
          </w:tcPr>
          <w:p w14:paraId="2AF1EDE9">
            <w:pPr>
              <w:ind w:right="-124" w:hanging="108"/>
              <w:jc w:val="center"/>
              <w:rPr>
                <w:rFonts w:ascii="Times New Roman" w:hAnsi="Times New Roman" w:cs="Times New Roman"/>
                <w:sz w:val="21"/>
                <w:szCs w:val="21"/>
              </w:rPr>
            </w:pPr>
            <w:r>
              <w:rPr>
                <w:rFonts w:ascii="Times New Roman" w:hAnsi="Times New Roman" w:cs="Times New Roman"/>
                <w:sz w:val="21"/>
                <w:szCs w:val="21"/>
              </w:rPr>
              <w:t>1h平均</w:t>
            </w:r>
          </w:p>
        </w:tc>
        <w:tc>
          <w:tcPr>
            <w:tcW w:w="1094" w:type="pct"/>
            <w:noWrap w:val="0"/>
            <w:vAlign w:val="center"/>
          </w:tcPr>
          <w:p w14:paraId="3A395351">
            <w:pPr>
              <w:ind w:right="-64"/>
              <w:jc w:val="center"/>
              <w:rPr>
                <w:rFonts w:ascii="Times New Roman" w:hAnsi="Times New Roman" w:cs="Times New Roman"/>
                <w:sz w:val="21"/>
                <w:szCs w:val="21"/>
              </w:rPr>
            </w:pPr>
            <w:r>
              <w:rPr>
                <w:rFonts w:ascii="Times New Roman" w:hAnsi="Times New Roman" w:cs="Times New Roman"/>
                <w:sz w:val="21"/>
                <w:szCs w:val="21"/>
              </w:rPr>
              <w:t>10</w:t>
            </w:r>
            <w:r>
              <w:rPr>
                <w:rFonts w:hint="eastAsia" w:ascii="Times New Roman" w:hAnsi="Times New Roman" w:cs="Times New Roman"/>
                <w:sz w:val="21"/>
                <w:szCs w:val="21"/>
              </w:rPr>
              <w:t>000</w:t>
            </w:r>
          </w:p>
        </w:tc>
        <w:tc>
          <w:tcPr>
            <w:tcW w:w="1741" w:type="pct"/>
            <w:vMerge w:val="continue"/>
            <w:noWrap w:val="0"/>
            <w:vAlign w:val="center"/>
          </w:tcPr>
          <w:p w14:paraId="27C75E2C">
            <w:pPr>
              <w:ind w:right="-64"/>
              <w:jc w:val="center"/>
              <w:rPr>
                <w:rFonts w:ascii="Times New Roman" w:hAnsi="Times New Roman" w:cs="Times New Roman"/>
                <w:sz w:val="21"/>
                <w:szCs w:val="21"/>
              </w:rPr>
            </w:pPr>
          </w:p>
        </w:tc>
      </w:tr>
      <w:tr w14:paraId="6B75FAE6">
        <w:tblPrEx>
          <w:tblBorders>
            <w:top w:val="thinThickSmallGap" w:color="auto" w:sz="12" w:space="0"/>
            <w:left w:val="none" w:color="auto" w:sz="0" w:space="0"/>
            <w:bottom w:val="thickThinSmallGap"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929" w:type="pct"/>
            <w:vMerge w:val="continue"/>
            <w:noWrap w:val="0"/>
            <w:vAlign w:val="center"/>
          </w:tcPr>
          <w:p w14:paraId="2BF6B4BD">
            <w:pPr>
              <w:ind w:right="-64"/>
              <w:jc w:val="center"/>
              <w:rPr>
                <w:rFonts w:ascii="Times New Roman" w:hAnsi="Times New Roman" w:cs="Times New Roman"/>
                <w:sz w:val="21"/>
                <w:szCs w:val="21"/>
              </w:rPr>
            </w:pPr>
          </w:p>
        </w:tc>
        <w:tc>
          <w:tcPr>
            <w:tcW w:w="1234" w:type="pct"/>
            <w:noWrap w:val="0"/>
            <w:vAlign w:val="center"/>
          </w:tcPr>
          <w:p w14:paraId="0D105389">
            <w:pPr>
              <w:ind w:right="-190" w:hanging="84"/>
              <w:jc w:val="center"/>
              <w:rPr>
                <w:rFonts w:ascii="Times New Roman" w:hAnsi="Times New Roman" w:cs="Times New Roman"/>
                <w:sz w:val="21"/>
                <w:szCs w:val="21"/>
              </w:rPr>
            </w:pPr>
            <w:r>
              <w:rPr>
                <w:rFonts w:hint="eastAsia" w:ascii="Times New Roman" w:hAnsi="Times New Roman" w:cs="Times New Roman"/>
                <w:sz w:val="21"/>
                <w:szCs w:val="21"/>
                <w:lang w:val="en-US" w:eastAsia="zh-CN"/>
              </w:rPr>
              <w:t>日</w:t>
            </w:r>
            <w:r>
              <w:rPr>
                <w:rFonts w:ascii="Times New Roman" w:hAnsi="Times New Roman" w:cs="Times New Roman"/>
                <w:sz w:val="21"/>
                <w:szCs w:val="21"/>
              </w:rPr>
              <w:t>平均</w:t>
            </w:r>
          </w:p>
        </w:tc>
        <w:tc>
          <w:tcPr>
            <w:tcW w:w="1094" w:type="pct"/>
            <w:noWrap w:val="0"/>
            <w:vAlign w:val="center"/>
          </w:tcPr>
          <w:p w14:paraId="367D84DC">
            <w:pPr>
              <w:ind w:right="-64"/>
              <w:jc w:val="center"/>
              <w:rPr>
                <w:rFonts w:ascii="Times New Roman" w:hAnsi="Times New Roman" w:cs="Times New Roman"/>
                <w:sz w:val="21"/>
                <w:szCs w:val="21"/>
              </w:rPr>
            </w:pPr>
            <w:r>
              <w:rPr>
                <w:rFonts w:ascii="Times New Roman" w:hAnsi="Times New Roman" w:cs="Times New Roman"/>
                <w:sz w:val="21"/>
                <w:szCs w:val="21"/>
              </w:rPr>
              <w:t>4</w:t>
            </w:r>
            <w:r>
              <w:rPr>
                <w:rFonts w:hint="eastAsia" w:ascii="Times New Roman" w:hAnsi="Times New Roman" w:cs="Times New Roman"/>
                <w:sz w:val="21"/>
                <w:szCs w:val="21"/>
              </w:rPr>
              <w:t>000</w:t>
            </w:r>
          </w:p>
        </w:tc>
        <w:tc>
          <w:tcPr>
            <w:tcW w:w="1741" w:type="pct"/>
            <w:vMerge w:val="continue"/>
            <w:noWrap w:val="0"/>
            <w:vAlign w:val="center"/>
          </w:tcPr>
          <w:p w14:paraId="6669B751">
            <w:pPr>
              <w:ind w:right="-64"/>
              <w:jc w:val="center"/>
              <w:rPr>
                <w:rFonts w:ascii="Times New Roman" w:hAnsi="Times New Roman" w:cs="Times New Roman"/>
                <w:sz w:val="21"/>
                <w:szCs w:val="21"/>
              </w:rPr>
            </w:pPr>
          </w:p>
        </w:tc>
      </w:tr>
      <w:tr w14:paraId="7EBBF2C0">
        <w:tblPrEx>
          <w:tblBorders>
            <w:top w:val="thinThickSmallGap" w:color="auto" w:sz="12" w:space="0"/>
            <w:left w:val="none" w:color="auto" w:sz="0" w:space="0"/>
            <w:bottom w:val="thickThinSmallGap"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929" w:type="pct"/>
            <w:vMerge w:val="restart"/>
            <w:noWrap w:val="0"/>
            <w:vAlign w:val="center"/>
          </w:tcPr>
          <w:p w14:paraId="6931979D">
            <w:pPr>
              <w:ind w:right="-64"/>
              <w:jc w:val="center"/>
              <w:rPr>
                <w:rFonts w:ascii="Times New Roman" w:hAnsi="Times New Roman" w:cs="Times New Roman"/>
                <w:sz w:val="21"/>
                <w:szCs w:val="21"/>
              </w:rPr>
            </w:pPr>
            <w:r>
              <w:rPr>
                <w:rFonts w:ascii="Times New Roman" w:hAnsi="Times New Roman" w:cs="Times New Roman"/>
                <w:sz w:val="21"/>
                <w:szCs w:val="21"/>
              </w:rPr>
              <w:t>O</w:t>
            </w:r>
            <w:r>
              <w:rPr>
                <w:rFonts w:ascii="Times New Roman" w:hAnsi="Times New Roman" w:cs="Times New Roman"/>
                <w:sz w:val="21"/>
                <w:szCs w:val="21"/>
                <w:vertAlign w:val="subscript"/>
              </w:rPr>
              <w:t>3</w:t>
            </w:r>
          </w:p>
        </w:tc>
        <w:tc>
          <w:tcPr>
            <w:tcW w:w="1234" w:type="pct"/>
            <w:noWrap w:val="0"/>
            <w:vAlign w:val="center"/>
          </w:tcPr>
          <w:p w14:paraId="3928BA6C">
            <w:pPr>
              <w:ind w:right="-124" w:hanging="108"/>
              <w:jc w:val="center"/>
              <w:rPr>
                <w:rFonts w:ascii="Times New Roman" w:hAnsi="Times New Roman" w:cs="Times New Roman"/>
                <w:sz w:val="21"/>
                <w:szCs w:val="21"/>
              </w:rPr>
            </w:pPr>
            <w:r>
              <w:rPr>
                <w:rFonts w:ascii="Times New Roman" w:hAnsi="Times New Roman" w:cs="Times New Roman"/>
                <w:sz w:val="21"/>
                <w:szCs w:val="21"/>
              </w:rPr>
              <w:t>1h平均</w:t>
            </w:r>
          </w:p>
        </w:tc>
        <w:tc>
          <w:tcPr>
            <w:tcW w:w="1094" w:type="pct"/>
            <w:noWrap w:val="0"/>
            <w:vAlign w:val="center"/>
          </w:tcPr>
          <w:p w14:paraId="6E600054">
            <w:pPr>
              <w:ind w:right="-64"/>
              <w:jc w:val="center"/>
              <w:rPr>
                <w:rFonts w:ascii="Times New Roman" w:hAnsi="Times New Roman" w:cs="Times New Roman"/>
                <w:sz w:val="21"/>
                <w:szCs w:val="21"/>
              </w:rPr>
            </w:pPr>
            <w:r>
              <w:rPr>
                <w:rFonts w:ascii="Times New Roman" w:hAnsi="Times New Roman" w:cs="Times New Roman"/>
                <w:sz w:val="21"/>
                <w:szCs w:val="21"/>
              </w:rPr>
              <w:t>200</w:t>
            </w:r>
          </w:p>
        </w:tc>
        <w:tc>
          <w:tcPr>
            <w:tcW w:w="1741" w:type="pct"/>
            <w:vMerge w:val="continue"/>
            <w:noWrap w:val="0"/>
            <w:vAlign w:val="center"/>
          </w:tcPr>
          <w:p w14:paraId="1F2F9DA2">
            <w:pPr>
              <w:ind w:right="-64"/>
              <w:jc w:val="center"/>
              <w:rPr>
                <w:rFonts w:ascii="Times New Roman" w:hAnsi="Times New Roman" w:cs="Times New Roman"/>
                <w:sz w:val="21"/>
                <w:szCs w:val="21"/>
              </w:rPr>
            </w:pPr>
          </w:p>
        </w:tc>
      </w:tr>
      <w:tr w14:paraId="21562ECA">
        <w:tblPrEx>
          <w:tblBorders>
            <w:top w:val="thinThickSmallGap" w:color="auto" w:sz="12" w:space="0"/>
            <w:left w:val="none" w:color="auto" w:sz="0" w:space="0"/>
            <w:bottom w:val="thickThinSmallGap"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929" w:type="pct"/>
            <w:vMerge w:val="continue"/>
            <w:noWrap w:val="0"/>
            <w:vAlign w:val="center"/>
          </w:tcPr>
          <w:p w14:paraId="4C93978A">
            <w:pPr>
              <w:ind w:right="-64"/>
              <w:jc w:val="center"/>
              <w:rPr>
                <w:rFonts w:ascii="Times New Roman" w:hAnsi="Times New Roman" w:cs="Times New Roman"/>
                <w:sz w:val="21"/>
                <w:szCs w:val="21"/>
              </w:rPr>
            </w:pPr>
          </w:p>
        </w:tc>
        <w:tc>
          <w:tcPr>
            <w:tcW w:w="1234" w:type="pct"/>
            <w:noWrap w:val="0"/>
            <w:vAlign w:val="center"/>
          </w:tcPr>
          <w:p w14:paraId="5DF1FCEC">
            <w:pPr>
              <w:ind w:right="-190" w:hanging="84"/>
              <w:jc w:val="center"/>
              <w:rPr>
                <w:rFonts w:ascii="Times New Roman" w:hAnsi="Times New Roman" w:cs="Times New Roman"/>
                <w:sz w:val="21"/>
                <w:szCs w:val="21"/>
              </w:rPr>
            </w:pPr>
            <w:r>
              <w:rPr>
                <w:rFonts w:ascii="Times New Roman" w:hAnsi="Times New Roman" w:cs="Times New Roman"/>
                <w:sz w:val="21"/>
                <w:szCs w:val="21"/>
              </w:rPr>
              <w:t>日最大8h平均</w:t>
            </w:r>
          </w:p>
        </w:tc>
        <w:tc>
          <w:tcPr>
            <w:tcW w:w="1094" w:type="pct"/>
            <w:noWrap w:val="0"/>
            <w:vAlign w:val="center"/>
          </w:tcPr>
          <w:p w14:paraId="44554EB1">
            <w:pPr>
              <w:ind w:right="-64"/>
              <w:jc w:val="center"/>
              <w:rPr>
                <w:rFonts w:ascii="Times New Roman" w:hAnsi="Times New Roman" w:cs="Times New Roman"/>
                <w:sz w:val="21"/>
                <w:szCs w:val="21"/>
              </w:rPr>
            </w:pPr>
            <w:r>
              <w:rPr>
                <w:rFonts w:ascii="Times New Roman" w:hAnsi="Times New Roman" w:cs="Times New Roman"/>
                <w:sz w:val="21"/>
                <w:szCs w:val="21"/>
              </w:rPr>
              <w:t>160</w:t>
            </w:r>
          </w:p>
        </w:tc>
        <w:tc>
          <w:tcPr>
            <w:tcW w:w="1741" w:type="pct"/>
            <w:vMerge w:val="continue"/>
            <w:noWrap w:val="0"/>
            <w:vAlign w:val="center"/>
          </w:tcPr>
          <w:p w14:paraId="2C114F4B">
            <w:pPr>
              <w:ind w:right="-64"/>
              <w:jc w:val="center"/>
              <w:rPr>
                <w:rFonts w:ascii="Times New Roman" w:hAnsi="Times New Roman" w:cs="Times New Roman"/>
                <w:sz w:val="21"/>
                <w:szCs w:val="21"/>
              </w:rPr>
            </w:pPr>
          </w:p>
        </w:tc>
      </w:tr>
      <w:tr w14:paraId="0EAACE59">
        <w:tblPrEx>
          <w:tblBorders>
            <w:top w:val="thinThickSmallGap" w:color="auto" w:sz="12" w:space="0"/>
            <w:left w:val="none" w:color="auto" w:sz="0" w:space="0"/>
            <w:bottom w:val="thickThinSmallGap"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929" w:type="pct"/>
            <w:vMerge w:val="restart"/>
            <w:noWrap w:val="0"/>
            <w:vAlign w:val="center"/>
          </w:tcPr>
          <w:p w14:paraId="717D120B">
            <w:pPr>
              <w:ind w:right="-64"/>
              <w:jc w:val="center"/>
              <w:rPr>
                <w:rFonts w:hint="eastAsia" w:ascii="Times New Roman" w:hAnsi="Times New Roman" w:eastAsia="宋体" w:cs="Times New Roman"/>
                <w:sz w:val="21"/>
                <w:szCs w:val="21"/>
                <w:lang w:eastAsia="zh-CN"/>
              </w:rPr>
            </w:pPr>
            <w:bookmarkStart w:id="81" w:name="_Toc151200075"/>
            <w:bookmarkStart w:id="82" w:name="_Toc151276123"/>
            <w:bookmarkStart w:id="83" w:name="_Toc151200235"/>
            <w:bookmarkStart w:id="84" w:name="_Toc151258704"/>
            <w:r>
              <w:rPr>
                <w:rFonts w:ascii="Times New Roman" w:hAnsi="Times New Roman" w:cs="Times New Roman"/>
                <w:sz w:val="21"/>
                <w:szCs w:val="21"/>
              </w:rPr>
              <w:t>NO</w:t>
            </w:r>
            <w:r>
              <w:rPr>
                <w:rFonts w:hint="eastAsia" w:ascii="Times New Roman" w:hAnsi="Times New Roman" w:cs="Times New Roman"/>
                <w:sz w:val="21"/>
                <w:szCs w:val="21"/>
                <w:vertAlign w:val="subscript"/>
                <w:lang w:val="en-US" w:eastAsia="zh-CN"/>
              </w:rPr>
              <w:t>X</w:t>
            </w:r>
          </w:p>
        </w:tc>
        <w:tc>
          <w:tcPr>
            <w:tcW w:w="1234" w:type="pct"/>
            <w:noWrap w:val="0"/>
            <w:vAlign w:val="center"/>
          </w:tcPr>
          <w:p w14:paraId="684E3D02">
            <w:pPr>
              <w:ind w:right="-124" w:rightChars="0" w:hanging="108" w:firstLineChars="0"/>
              <w:jc w:val="center"/>
              <w:rPr>
                <w:rFonts w:ascii="Times New Roman" w:hAnsi="Times New Roman" w:cs="Times New Roman"/>
                <w:sz w:val="21"/>
                <w:szCs w:val="21"/>
              </w:rPr>
            </w:pPr>
            <w:r>
              <w:rPr>
                <w:rFonts w:ascii="Times New Roman" w:hAnsi="Times New Roman" w:cs="Times New Roman"/>
                <w:sz w:val="21"/>
                <w:szCs w:val="21"/>
              </w:rPr>
              <w:t>1h平均</w:t>
            </w:r>
          </w:p>
        </w:tc>
        <w:tc>
          <w:tcPr>
            <w:tcW w:w="1094" w:type="pct"/>
            <w:noWrap w:val="0"/>
            <w:vAlign w:val="center"/>
          </w:tcPr>
          <w:p w14:paraId="499C5BCA">
            <w:pPr>
              <w:ind w:right="-64"/>
              <w:jc w:val="center"/>
              <w:rPr>
                <w:rFonts w:hint="default" w:ascii="Times New Roman" w:hAnsi="Times New Roman" w:eastAsia="宋体" w:cs="Times New Roman"/>
                <w:sz w:val="21"/>
                <w:szCs w:val="21"/>
                <w:lang w:val="en-US" w:eastAsia="zh-CN"/>
              </w:rPr>
            </w:pPr>
            <w:r>
              <w:rPr>
                <w:rFonts w:hint="eastAsia" w:ascii="Times New Roman" w:hAnsi="Times New Roman" w:cs="Times New Roman"/>
                <w:sz w:val="21"/>
                <w:szCs w:val="21"/>
                <w:lang w:val="en-US" w:eastAsia="zh-CN"/>
              </w:rPr>
              <w:t>250</w:t>
            </w:r>
          </w:p>
        </w:tc>
        <w:tc>
          <w:tcPr>
            <w:tcW w:w="1741" w:type="pct"/>
            <w:vMerge w:val="continue"/>
            <w:noWrap w:val="0"/>
            <w:vAlign w:val="center"/>
          </w:tcPr>
          <w:p w14:paraId="381D9DCC">
            <w:pPr>
              <w:ind w:right="-64"/>
              <w:jc w:val="center"/>
              <w:rPr>
                <w:rFonts w:ascii="Times New Roman" w:hAnsi="Times New Roman" w:cs="Times New Roman"/>
                <w:sz w:val="21"/>
                <w:szCs w:val="21"/>
              </w:rPr>
            </w:pPr>
          </w:p>
        </w:tc>
      </w:tr>
      <w:tr w14:paraId="3B0DCB0C">
        <w:tblPrEx>
          <w:tblBorders>
            <w:top w:val="thinThickSmallGap" w:color="auto" w:sz="12" w:space="0"/>
            <w:left w:val="none" w:color="auto" w:sz="0" w:space="0"/>
            <w:bottom w:val="thickThinSmallGap"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929" w:type="pct"/>
            <w:vMerge w:val="continue"/>
            <w:noWrap w:val="0"/>
            <w:vAlign w:val="center"/>
          </w:tcPr>
          <w:p w14:paraId="3CC46CC9">
            <w:pPr>
              <w:ind w:right="-64"/>
              <w:jc w:val="center"/>
              <w:rPr>
                <w:rFonts w:ascii="Times New Roman" w:hAnsi="Times New Roman" w:cs="Times New Roman"/>
                <w:sz w:val="21"/>
                <w:szCs w:val="21"/>
              </w:rPr>
            </w:pPr>
          </w:p>
        </w:tc>
        <w:tc>
          <w:tcPr>
            <w:tcW w:w="1234" w:type="pct"/>
            <w:noWrap w:val="0"/>
            <w:vAlign w:val="center"/>
          </w:tcPr>
          <w:p w14:paraId="2006166A">
            <w:pPr>
              <w:ind w:right="-190" w:rightChars="0" w:hanging="84" w:firstLineChars="0"/>
              <w:jc w:val="center"/>
              <w:rPr>
                <w:rFonts w:ascii="Times New Roman" w:hAnsi="Times New Roman" w:cs="Times New Roman"/>
                <w:sz w:val="21"/>
                <w:szCs w:val="21"/>
              </w:rPr>
            </w:pPr>
            <w:r>
              <w:rPr>
                <w:rFonts w:hint="eastAsia" w:ascii="Times New Roman" w:hAnsi="Times New Roman" w:cs="Times New Roman"/>
                <w:sz w:val="21"/>
                <w:szCs w:val="21"/>
                <w:lang w:val="en-US" w:eastAsia="zh-CN"/>
              </w:rPr>
              <w:t>日</w:t>
            </w:r>
            <w:r>
              <w:rPr>
                <w:rFonts w:ascii="Times New Roman" w:hAnsi="Times New Roman" w:cs="Times New Roman"/>
                <w:sz w:val="21"/>
                <w:szCs w:val="21"/>
              </w:rPr>
              <w:t>平均</w:t>
            </w:r>
          </w:p>
        </w:tc>
        <w:tc>
          <w:tcPr>
            <w:tcW w:w="1094" w:type="pct"/>
            <w:noWrap w:val="0"/>
            <w:vAlign w:val="center"/>
          </w:tcPr>
          <w:p w14:paraId="4597ECAB">
            <w:pPr>
              <w:ind w:right="-64"/>
              <w:jc w:val="center"/>
              <w:rPr>
                <w:rFonts w:hint="default" w:ascii="Times New Roman" w:hAnsi="Times New Roman" w:eastAsia="宋体" w:cs="Times New Roman"/>
                <w:sz w:val="21"/>
                <w:szCs w:val="21"/>
                <w:lang w:val="en-US" w:eastAsia="zh-CN"/>
              </w:rPr>
            </w:pPr>
            <w:r>
              <w:rPr>
                <w:rFonts w:hint="eastAsia" w:ascii="Times New Roman" w:hAnsi="Times New Roman" w:cs="Times New Roman"/>
                <w:sz w:val="21"/>
                <w:szCs w:val="21"/>
                <w:lang w:val="en-US" w:eastAsia="zh-CN"/>
              </w:rPr>
              <w:t>100</w:t>
            </w:r>
          </w:p>
        </w:tc>
        <w:tc>
          <w:tcPr>
            <w:tcW w:w="1741" w:type="pct"/>
            <w:vMerge w:val="continue"/>
            <w:noWrap w:val="0"/>
            <w:vAlign w:val="center"/>
          </w:tcPr>
          <w:p w14:paraId="1B4D1154">
            <w:pPr>
              <w:ind w:right="-64"/>
              <w:jc w:val="center"/>
              <w:rPr>
                <w:rFonts w:ascii="Times New Roman" w:hAnsi="Times New Roman" w:cs="Times New Roman"/>
                <w:sz w:val="21"/>
                <w:szCs w:val="21"/>
              </w:rPr>
            </w:pPr>
          </w:p>
        </w:tc>
      </w:tr>
      <w:tr w14:paraId="1BF78570">
        <w:tblPrEx>
          <w:tblBorders>
            <w:top w:val="thinThickSmallGap" w:color="auto" w:sz="12" w:space="0"/>
            <w:left w:val="none" w:color="auto" w:sz="0" w:space="0"/>
            <w:bottom w:val="thickThinSmallGap"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929" w:type="pct"/>
            <w:vMerge w:val="continue"/>
            <w:noWrap w:val="0"/>
            <w:vAlign w:val="center"/>
          </w:tcPr>
          <w:p w14:paraId="2F01D141">
            <w:pPr>
              <w:ind w:right="-64"/>
              <w:jc w:val="center"/>
              <w:rPr>
                <w:rFonts w:ascii="Times New Roman" w:hAnsi="Times New Roman" w:cs="Times New Roman"/>
                <w:sz w:val="21"/>
                <w:szCs w:val="21"/>
              </w:rPr>
            </w:pPr>
          </w:p>
        </w:tc>
        <w:tc>
          <w:tcPr>
            <w:tcW w:w="1234" w:type="pct"/>
            <w:noWrap w:val="0"/>
            <w:vAlign w:val="center"/>
          </w:tcPr>
          <w:p w14:paraId="5BC34EAE">
            <w:pPr>
              <w:ind w:right="-190" w:rightChars="0" w:hanging="84" w:firstLineChars="0"/>
              <w:jc w:val="center"/>
              <w:rPr>
                <w:rFonts w:ascii="Times New Roman" w:hAnsi="Times New Roman" w:cs="Times New Roman"/>
                <w:sz w:val="21"/>
                <w:szCs w:val="21"/>
              </w:rPr>
            </w:pPr>
            <w:r>
              <w:rPr>
                <w:rFonts w:ascii="Times New Roman" w:hAnsi="Times New Roman" w:cs="Times New Roman"/>
                <w:sz w:val="21"/>
                <w:szCs w:val="21"/>
              </w:rPr>
              <w:t>年平均</w:t>
            </w:r>
          </w:p>
        </w:tc>
        <w:tc>
          <w:tcPr>
            <w:tcW w:w="1094" w:type="pct"/>
            <w:noWrap w:val="0"/>
            <w:vAlign w:val="center"/>
          </w:tcPr>
          <w:p w14:paraId="1563AE26">
            <w:pPr>
              <w:ind w:right="-64"/>
              <w:jc w:val="center"/>
              <w:rPr>
                <w:rFonts w:hint="default" w:ascii="Times New Roman" w:hAnsi="Times New Roman" w:eastAsia="宋体" w:cs="Times New Roman"/>
                <w:sz w:val="21"/>
                <w:szCs w:val="21"/>
                <w:lang w:val="en-US" w:eastAsia="zh-CN"/>
              </w:rPr>
            </w:pPr>
            <w:r>
              <w:rPr>
                <w:rFonts w:hint="eastAsia" w:ascii="Times New Roman" w:hAnsi="Times New Roman" w:cs="Times New Roman"/>
                <w:sz w:val="21"/>
                <w:szCs w:val="21"/>
                <w:lang w:val="en-US" w:eastAsia="zh-CN"/>
              </w:rPr>
              <w:t>50</w:t>
            </w:r>
          </w:p>
        </w:tc>
        <w:tc>
          <w:tcPr>
            <w:tcW w:w="1741" w:type="pct"/>
            <w:vMerge w:val="continue"/>
            <w:noWrap w:val="0"/>
            <w:vAlign w:val="center"/>
          </w:tcPr>
          <w:p w14:paraId="10D18DD2">
            <w:pPr>
              <w:ind w:right="-64"/>
              <w:jc w:val="center"/>
              <w:rPr>
                <w:rFonts w:ascii="Times New Roman" w:hAnsi="Times New Roman" w:cs="Times New Roman"/>
                <w:sz w:val="21"/>
                <w:szCs w:val="21"/>
              </w:rPr>
            </w:pPr>
          </w:p>
        </w:tc>
      </w:tr>
      <w:tr w14:paraId="627E2322">
        <w:tblPrEx>
          <w:tblBorders>
            <w:top w:val="thinThickSmallGap" w:color="auto" w:sz="12" w:space="0"/>
            <w:left w:val="none" w:color="auto" w:sz="0" w:space="0"/>
            <w:bottom w:val="thickThinSmallGap"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929" w:type="pct"/>
            <w:vMerge w:val="restart"/>
            <w:noWrap w:val="0"/>
            <w:vAlign w:val="center"/>
          </w:tcPr>
          <w:p w14:paraId="0EA4BFAE">
            <w:pPr>
              <w:ind w:right="-64" w:rightChars="0"/>
              <w:jc w:val="center"/>
              <w:rPr>
                <w:rFonts w:ascii="Times New Roman" w:hAnsi="Times New Roman" w:cs="Times New Roman"/>
                <w:sz w:val="21"/>
                <w:szCs w:val="21"/>
              </w:rPr>
            </w:pPr>
            <w:r>
              <w:rPr>
                <w:rFonts w:hint="eastAsia" w:ascii="Times New Roman" w:hAnsi="Times New Roman" w:cs="Times New Roman"/>
                <w:sz w:val="21"/>
                <w:szCs w:val="21"/>
                <w:lang w:val="en-US" w:eastAsia="zh-CN"/>
              </w:rPr>
              <w:t>氟化物</w:t>
            </w:r>
          </w:p>
        </w:tc>
        <w:tc>
          <w:tcPr>
            <w:tcW w:w="1234" w:type="pct"/>
            <w:noWrap w:val="0"/>
            <w:vAlign w:val="center"/>
          </w:tcPr>
          <w:p w14:paraId="31117C35">
            <w:pPr>
              <w:ind w:right="-124" w:rightChars="0" w:hanging="108" w:firstLineChars="0"/>
              <w:jc w:val="center"/>
              <w:rPr>
                <w:rFonts w:ascii="Times New Roman" w:hAnsi="Times New Roman" w:cs="Times New Roman"/>
                <w:sz w:val="21"/>
                <w:szCs w:val="21"/>
              </w:rPr>
            </w:pPr>
            <w:r>
              <w:rPr>
                <w:rFonts w:ascii="Times New Roman" w:hAnsi="Times New Roman" w:cs="Times New Roman"/>
                <w:sz w:val="21"/>
                <w:szCs w:val="21"/>
              </w:rPr>
              <w:t>1h平均</w:t>
            </w:r>
          </w:p>
        </w:tc>
        <w:tc>
          <w:tcPr>
            <w:tcW w:w="1094" w:type="pct"/>
            <w:noWrap w:val="0"/>
            <w:vAlign w:val="center"/>
          </w:tcPr>
          <w:p w14:paraId="4392C69D">
            <w:pPr>
              <w:ind w:right="-64" w:rightChars="0"/>
              <w:jc w:val="center"/>
              <w:rPr>
                <w:rFonts w:hint="eastAsia" w:ascii="Times New Roman" w:hAnsi="Times New Roman" w:cs="Times New Roman"/>
                <w:sz w:val="21"/>
                <w:szCs w:val="21"/>
                <w:lang w:val="en-US" w:eastAsia="zh-CN"/>
              </w:rPr>
            </w:pPr>
            <w:r>
              <w:rPr>
                <w:rFonts w:hint="eastAsia" w:ascii="Times New Roman" w:hAnsi="Times New Roman" w:cs="Times New Roman"/>
                <w:sz w:val="21"/>
                <w:szCs w:val="21"/>
                <w:lang w:val="en-US" w:eastAsia="zh-CN"/>
              </w:rPr>
              <w:t>20</w:t>
            </w:r>
          </w:p>
        </w:tc>
        <w:tc>
          <w:tcPr>
            <w:tcW w:w="1741" w:type="pct"/>
            <w:vMerge w:val="continue"/>
            <w:noWrap w:val="0"/>
            <w:vAlign w:val="center"/>
          </w:tcPr>
          <w:p w14:paraId="357D6B5B">
            <w:pPr>
              <w:ind w:right="-64"/>
              <w:jc w:val="center"/>
              <w:rPr>
                <w:rFonts w:ascii="Times New Roman" w:hAnsi="Times New Roman" w:cs="Times New Roman"/>
                <w:sz w:val="21"/>
                <w:szCs w:val="21"/>
              </w:rPr>
            </w:pPr>
          </w:p>
        </w:tc>
      </w:tr>
      <w:tr w14:paraId="6A9BFA39">
        <w:tblPrEx>
          <w:tblBorders>
            <w:top w:val="thinThickSmallGap" w:color="auto" w:sz="12" w:space="0"/>
            <w:left w:val="none" w:color="auto" w:sz="0" w:space="0"/>
            <w:bottom w:val="thickThinSmallGap"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929" w:type="pct"/>
            <w:vMerge w:val="continue"/>
            <w:noWrap w:val="0"/>
            <w:vAlign w:val="center"/>
          </w:tcPr>
          <w:p w14:paraId="03868ECE">
            <w:pPr>
              <w:ind w:right="-64" w:rightChars="0"/>
              <w:jc w:val="center"/>
              <w:rPr>
                <w:rFonts w:ascii="Times New Roman" w:hAnsi="Times New Roman" w:cs="Times New Roman"/>
                <w:sz w:val="21"/>
                <w:szCs w:val="21"/>
              </w:rPr>
            </w:pPr>
          </w:p>
        </w:tc>
        <w:tc>
          <w:tcPr>
            <w:tcW w:w="1234" w:type="pct"/>
            <w:noWrap w:val="0"/>
            <w:vAlign w:val="center"/>
          </w:tcPr>
          <w:p w14:paraId="0927EE1C">
            <w:pPr>
              <w:ind w:right="-190" w:rightChars="0" w:hanging="84" w:firstLineChars="0"/>
              <w:jc w:val="center"/>
              <w:rPr>
                <w:rFonts w:ascii="Times New Roman" w:hAnsi="Times New Roman" w:cs="Times New Roman"/>
                <w:sz w:val="21"/>
                <w:szCs w:val="21"/>
              </w:rPr>
            </w:pPr>
            <w:r>
              <w:rPr>
                <w:rFonts w:hint="eastAsia" w:ascii="Times New Roman" w:hAnsi="Times New Roman" w:cs="Times New Roman"/>
                <w:sz w:val="21"/>
                <w:szCs w:val="21"/>
                <w:lang w:val="en-US" w:eastAsia="zh-CN"/>
              </w:rPr>
              <w:t>日</w:t>
            </w:r>
            <w:r>
              <w:rPr>
                <w:rFonts w:ascii="Times New Roman" w:hAnsi="Times New Roman" w:cs="Times New Roman"/>
                <w:sz w:val="21"/>
                <w:szCs w:val="21"/>
              </w:rPr>
              <w:t>平均</w:t>
            </w:r>
          </w:p>
        </w:tc>
        <w:tc>
          <w:tcPr>
            <w:tcW w:w="1094" w:type="pct"/>
            <w:noWrap w:val="0"/>
            <w:vAlign w:val="center"/>
          </w:tcPr>
          <w:p w14:paraId="2D57917B">
            <w:pPr>
              <w:ind w:right="-64" w:rightChars="0"/>
              <w:jc w:val="center"/>
              <w:rPr>
                <w:rFonts w:hint="eastAsia" w:ascii="Times New Roman" w:hAnsi="Times New Roman" w:cs="Times New Roman"/>
                <w:sz w:val="21"/>
                <w:szCs w:val="21"/>
                <w:lang w:val="en-US" w:eastAsia="zh-CN"/>
              </w:rPr>
            </w:pPr>
            <w:r>
              <w:rPr>
                <w:rFonts w:hint="eastAsia" w:ascii="Times New Roman" w:hAnsi="Times New Roman" w:cs="Times New Roman"/>
                <w:sz w:val="21"/>
                <w:szCs w:val="21"/>
                <w:lang w:val="en-US" w:eastAsia="zh-CN"/>
              </w:rPr>
              <w:t>7</w:t>
            </w:r>
          </w:p>
        </w:tc>
        <w:tc>
          <w:tcPr>
            <w:tcW w:w="1741" w:type="pct"/>
            <w:vMerge w:val="continue"/>
            <w:noWrap w:val="0"/>
            <w:vAlign w:val="center"/>
          </w:tcPr>
          <w:p w14:paraId="615D7516">
            <w:pPr>
              <w:ind w:right="-64"/>
              <w:jc w:val="center"/>
              <w:rPr>
                <w:rFonts w:ascii="Times New Roman" w:hAnsi="Times New Roman" w:cs="Times New Roman"/>
                <w:sz w:val="21"/>
                <w:szCs w:val="21"/>
              </w:rPr>
            </w:pPr>
          </w:p>
        </w:tc>
      </w:tr>
      <w:tr w14:paraId="29EC4107">
        <w:tblPrEx>
          <w:tblBorders>
            <w:top w:val="thinThickSmallGap" w:color="auto" w:sz="12" w:space="0"/>
            <w:left w:val="none" w:color="auto" w:sz="0" w:space="0"/>
            <w:bottom w:val="thickThinSmallGap"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929" w:type="pct"/>
            <w:vMerge w:val="continue"/>
            <w:noWrap w:val="0"/>
            <w:vAlign w:val="center"/>
          </w:tcPr>
          <w:p w14:paraId="073DF3D7">
            <w:pPr>
              <w:ind w:right="-64" w:rightChars="0"/>
              <w:jc w:val="center"/>
              <w:rPr>
                <w:rFonts w:ascii="Times New Roman" w:hAnsi="Times New Roman" w:cs="Times New Roman"/>
                <w:sz w:val="21"/>
                <w:szCs w:val="21"/>
              </w:rPr>
            </w:pPr>
          </w:p>
        </w:tc>
        <w:tc>
          <w:tcPr>
            <w:tcW w:w="1234" w:type="pct"/>
            <w:noWrap w:val="0"/>
            <w:vAlign w:val="center"/>
          </w:tcPr>
          <w:p w14:paraId="02326D79">
            <w:pPr>
              <w:ind w:right="-190" w:rightChars="0" w:hanging="84" w:firstLineChars="0"/>
              <w:jc w:val="center"/>
              <w:rPr>
                <w:rFonts w:ascii="Times New Roman" w:hAnsi="Times New Roman" w:cs="Times New Roman"/>
                <w:sz w:val="21"/>
                <w:szCs w:val="21"/>
              </w:rPr>
            </w:pPr>
            <w:r>
              <w:rPr>
                <w:rFonts w:hint="eastAsia" w:ascii="Times New Roman" w:hAnsi="Times New Roman" w:cs="Times New Roman"/>
                <w:sz w:val="21"/>
                <w:szCs w:val="21"/>
                <w:lang w:val="en-US" w:eastAsia="zh-CN"/>
              </w:rPr>
              <w:t>月</w:t>
            </w:r>
            <w:r>
              <w:rPr>
                <w:rFonts w:ascii="Times New Roman" w:hAnsi="Times New Roman" w:cs="Times New Roman"/>
                <w:sz w:val="21"/>
                <w:szCs w:val="21"/>
              </w:rPr>
              <w:t>平均</w:t>
            </w:r>
          </w:p>
        </w:tc>
        <w:tc>
          <w:tcPr>
            <w:tcW w:w="1094" w:type="pct"/>
            <w:noWrap w:val="0"/>
            <w:vAlign w:val="center"/>
          </w:tcPr>
          <w:p w14:paraId="203A3044">
            <w:pPr>
              <w:ind w:right="-64" w:rightChars="0"/>
              <w:jc w:val="center"/>
              <w:rPr>
                <w:rFonts w:hint="eastAsia" w:ascii="Times New Roman" w:hAnsi="Times New Roman" w:cs="Times New Roman"/>
                <w:sz w:val="21"/>
                <w:szCs w:val="21"/>
                <w:lang w:val="en-US" w:eastAsia="zh-CN"/>
              </w:rPr>
            </w:pPr>
            <w:r>
              <w:rPr>
                <w:rFonts w:hint="eastAsia" w:ascii="Times New Roman" w:hAnsi="Times New Roman" w:cs="Times New Roman"/>
                <w:sz w:val="21"/>
                <w:szCs w:val="21"/>
                <w:lang w:val="en-US" w:eastAsia="zh-CN"/>
              </w:rPr>
              <w:t>3</w:t>
            </w:r>
          </w:p>
        </w:tc>
        <w:tc>
          <w:tcPr>
            <w:tcW w:w="1741" w:type="pct"/>
            <w:vMerge w:val="continue"/>
            <w:noWrap w:val="0"/>
            <w:vAlign w:val="center"/>
          </w:tcPr>
          <w:p w14:paraId="2A5098FF">
            <w:pPr>
              <w:ind w:right="-64"/>
              <w:jc w:val="center"/>
              <w:rPr>
                <w:rFonts w:ascii="Times New Roman" w:hAnsi="Times New Roman" w:cs="Times New Roman"/>
                <w:sz w:val="21"/>
                <w:szCs w:val="21"/>
              </w:rPr>
            </w:pPr>
          </w:p>
        </w:tc>
      </w:tr>
      <w:tr w14:paraId="1B67C854">
        <w:tblPrEx>
          <w:tblBorders>
            <w:top w:val="thinThickSmallGap" w:color="auto" w:sz="12" w:space="0"/>
            <w:left w:val="none" w:color="auto" w:sz="0" w:space="0"/>
            <w:bottom w:val="thickThinSmallGap"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929" w:type="pct"/>
            <w:noWrap w:val="0"/>
            <w:vAlign w:val="center"/>
          </w:tcPr>
          <w:p w14:paraId="036DC208">
            <w:pPr>
              <w:ind w:right="-64"/>
              <w:jc w:val="center"/>
              <w:rPr>
                <w:rFonts w:ascii="Times New Roman" w:hAnsi="Times New Roman" w:cs="Times New Roman"/>
                <w:sz w:val="21"/>
                <w:szCs w:val="21"/>
              </w:rPr>
            </w:pPr>
            <w:r>
              <w:rPr>
                <w:rFonts w:hint="eastAsia" w:ascii="Times New Roman" w:hAnsi="Times New Roman" w:cs="Times New Roman"/>
                <w:sz w:val="21"/>
                <w:szCs w:val="21"/>
              </w:rPr>
              <w:t>二噁英</w:t>
            </w:r>
          </w:p>
        </w:tc>
        <w:tc>
          <w:tcPr>
            <w:tcW w:w="1234" w:type="pct"/>
            <w:noWrap w:val="0"/>
            <w:vAlign w:val="center"/>
          </w:tcPr>
          <w:p w14:paraId="5F035F52">
            <w:pPr>
              <w:ind w:right="-190" w:rightChars="0" w:hanging="84" w:firstLineChars="0"/>
              <w:jc w:val="center"/>
              <w:rPr>
                <w:rFonts w:ascii="Times New Roman" w:hAnsi="Times New Roman" w:cs="Times New Roman"/>
                <w:sz w:val="21"/>
                <w:szCs w:val="21"/>
              </w:rPr>
            </w:pPr>
            <w:r>
              <w:rPr>
                <w:rFonts w:hint="eastAsia" w:ascii="Times New Roman" w:hAnsi="Times New Roman" w:cs="Times New Roman"/>
                <w:sz w:val="21"/>
                <w:szCs w:val="21"/>
              </w:rPr>
              <w:t>年均值</w:t>
            </w:r>
          </w:p>
        </w:tc>
        <w:tc>
          <w:tcPr>
            <w:tcW w:w="1094" w:type="pct"/>
            <w:noWrap w:val="0"/>
            <w:vAlign w:val="center"/>
          </w:tcPr>
          <w:p w14:paraId="6E3E5910">
            <w:pPr>
              <w:ind w:right="-64"/>
              <w:jc w:val="center"/>
              <w:rPr>
                <w:rFonts w:hint="eastAsia" w:ascii="Times New Roman" w:hAnsi="Times New Roman" w:cs="Times New Roman"/>
                <w:sz w:val="21"/>
                <w:szCs w:val="21"/>
                <w:lang w:val="en-US" w:eastAsia="zh-CN"/>
              </w:rPr>
            </w:pPr>
            <w:r>
              <w:rPr>
                <w:rFonts w:hint="eastAsia" w:ascii="Times New Roman" w:hAnsi="Times New Roman" w:cs="Times New Roman"/>
                <w:sz w:val="21"/>
                <w:szCs w:val="21"/>
                <w:lang w:val="en-US" w:eastAsia="zh-CN"/>
              </w:rPr>
              <w:t>0.6 pg TEQ/m</w:t>
            </w:r>
            <w:r>
              <w:rPr>
                <w:rFonts w:hint="eastAsia" w:ascii="Times New Roman" w:hAnsi="Times New Roman" w:cs="Times New Roman"/>
                <w:sz w:val="21"/>
                <w:szCs w:val="21"/>
                <w:vertAlign w:val="superscript"/>
                <w:lang w:val="en-US" w:eastAsia="zh-CN"/>
              </w:rPr>
              <w:t>3</w:t>
            </w:r>
          </w:p>
        </w:tc>
        <w:tc>
          <w:tcPr>
            <w:tcW w:w="1741" w:type="pct"/>
            <w:noWrap w:val="0"/>
            <w:vAlign w:val="center"/>
          </w:tcPr>
          <w:p w14:paraId="0FE0DA3F">
            <w:pPr>
              <w:ind w:right="-64"/>
              <w:jc w:val="center"/>
              <w:rPr>
                <w:rFonts w:ascii="Times New Roman" w:hAnsi="Times New Roman" w:cs="Times New Roman"/>
                <w:sz w:val="21"/>
                <w:szCs w:val="21"/>
              </w:rPr>
            </w:pPr>
            <w:r>
              <w:rPr>
                <w:rFonts w:hint="eastAsia" w:ascii="Times New Roman" w:hAnsi="Times New Roman" w:cs="Times New Roman"/>
                <w:sz w:val="21"/>
                <w:szCs w:val="21"/>
              </w:rPr>
              <w:t>参照日本环境厅中央环境审议会议制定的环境标准</w:t>
            </w:r>
          </w:p>
        </w:tc>
      </w:tr>
      <w:tr w14:paraId="159B577E">
        <w:tblPrEx>
          <w:tblBorders>
            <w:top w:val="thinThickSmallGap" w:color="auto" w:sz="12" w:space="0"/>
            <w:left w:val="none" w:color="auto" w:sz="0" w:space="0"/>
            <w:bottom w:val="thickThinSmallGap"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929" w:type="pct"/>
            <w:noWrap w:val="0"/>
            <w:vAlign w:val="center"/>
          </w:tcPr>
          <w:p w14:paraId="0489F59C">
            <w:pPr>
              <w:ind w:right="-64"/>
              <w:jc w:val="center"/>
              <w:rPr>
                <w:rFonts w:ascii="Times New Roman" w:hAnsi="Times New Roman" w:cs="Times New Roman"/>
                <w:sz w:val="21"/>
                <w:szCs w:val="21"/>
              </w:rPr>
            </w:pPr>
            <w:r>
              <w:rPr>
                <w:rFonts w:hint="eastAsia" w:ascii="Times New Roman" w:hAnsi="Times New Roman" w:cs="Times New Roman"/>
                <w:sz w:val="21"/>
                <w:szCs w:val="21"/>
              </w:rPr>
              <w:t>氨</w:t>
            </w:r>
          </w:p>
        </w:tc>
        <w:tc>
          <w:tcPr>
            <w:tcW w:w="1234" w:type="pct"/>
            <w:noWrap w:val="0"/>
            <w:vAlign w:val="center"/>
          </w:tcPr>
          <w:p w14:paraId="1BE31B73">
            <w:pPr>
              <w:ind w:right="-190" w:rightChars="0" w:hanging="84" w:firstLineChars="0"/>
              <w:jc w:val="center"/>
              <w:rPr>
                <w:rFonts w:ascii="Times New Roman" w:hAnsi="Times New Roman" w:cs="Times New Roman"/>
                <w:sz w:val="21"/>
                <w:szCs w:val="21"/>
              </w:rPr>
            </w:pPr>
            <w:r>
              <w:rPr>
                <w:rFonts w:hint="eastAsia" w:ascii="Times New Roman" w:hAnsi="Times New Roman" w:cs="Times New Roman"/>
                <w:sz w:val="21"/>
                <w:szCs w:val="21"/>
              </w:rPr>
              <w:t>1 小时平均</w:t>
            </w:r>
          </w:p>
        </w:tc>
        <w:tc>
          <w:tcPr>
            <w:tcW w:w="1094" w:type="pct"/>
            <w:noWrap w:val="0"/>
            <w:vAlign w:val="center"/>
          </w:tcPr>
          <w:p w14:paraId="2D41962F">
            <w:pPr>
              <w:ind w:right="-64"/>
              <w:jc w:val="center"/>
              <w:rPr>
                <w:rFonts w:hint="default" w:ascii="Times New Roman" w:hAnsi="Times New Roman" w:cs="Times New Roman"/>
                <w:sz w:val="21"/>
                <w:szCs w:val="21"/>
                <w:lang w:val="en-US" w:eastAsia="zh-CN"/>
              </w:rPr>
            </w:pPr>
            <w:r>
              <w:rPr>
                <w:rFonts w:hint="eastAsia" w:ascii="Times New Roman" w:hAnsi="Times New Roman" w:cs="Times New Roman"/>
                <w:sz w:val="21"/>
                <w:szCs w:val="21"/>
                <w:lang w:val="en-US" w:eastAsia="zh-CN"/>
              </w:rPr>
              <w:t>200</w:t>
            </w:r>
          </w:p>
        </w:tc>
        <w:tc>
          <w:tcPr>
            <w:tcW w:w="1741" w:type="pct"/>
            <w:noWrap w:val="0"/>
            <w:vAlign w:val="center"/>
          </w:tcPr>
          <w:p w14:paraId="39CFA241">
            <w:pPr>
              <w:keepNext w:val="0"/>
              <w:keepLines w:val="0"/>
              <w:widowControl/>
              <w:suppressLineNumbers w:val="0"/>
              <w:jc w:val="left"/>
              <w:rPr>
                <w:rFonts w:ascii="Times New Roman" w:hAnsi="Times New Roman" w:cs="Times New Roman"/>
                <w:sz w:val="21"/>
                <w:szCs w:val="21"/>
              </w:rPr>
            </w:pPr>
            <w:r>
              <w:rPr>
                <w:rFonts w:hint="eastAsia" w:ascii="宋体" w:hAnsi="宋体" w:eastAsia="宋体" w:cs="宋体"/>
                <w:color w:val="000000"/>
                <w:kern w:val="0"/>
                <w:sz w:val="20"/>
                <w:szCs w:val="20"/>
                <w:lang w:val="en-US" w:eastAsia="zh-CN" w:bidi="ar"/>
              </w:rPr>
              <w:t>《环境影响评价技术导则</w:t>
            </w:r>
            <w:r>
              <w:rPr>
                <w:rFonts w:hint="default" w:ascii="Times New Roman" w:hAnsi="Times New Roman" w:eastAsia="宋体" w:cs="Times New Roman"/>
                <w:color w:val="000000"/>
                <w:kern w:val="0"/>
                <w:sz w:val="20"/>
                <w:szCs w:val="20"/>
                <w:lang w:val="en-US" w:eastAsia="zh-CN" w:bidi="ar"/>
              </w:rPr>
              <w:t>-</w:t>
            </w:r>
            <w:r>
              <w:rPr>
                <w:rFonts w:hint="eastAsia" w:ascii="宋体" w:hAnsi="宋体" w:eastAsia="宋体" w:cs="宋体"/>
                <w:color w:val="000000"/>
                <w:kern w:val="0"/>
                <w:sz w:val="20"/>
                <w:szCs w:val="20"/>
                <w:lang w:val="en-US" w:eastAsia="zh-CN" w:bidi="ar"/>
              </w:rPr>
              <w:t>大气环境》</w:t>
            </w:r>
            <w:r>
              <w:rPr>
                <w:rFonts w:hint="default" w:ascii="Times New Roman" w:hAnsi="Times New Roman" w:eastAsia="宋体" w:cs="Times New Roman"/>
                <w:color w:val="000000"/>
                <w:kern w:val="0"/>
                <w:sz w:val="20"/>
                <w:szCs w:val="20"/>
                <w:lang w:val="en-US" w:eastAsia="zh-CN" w:bidi="ar"/>
              </w:rPr>
              <w:t>(HJ2.2-2018)</w:t>
            </w:r>
            <w:r>
              <w:rPr>
                <w:rFonts w:hint="eastAsia" w:ascii="宋体" w:hAnsi="宋体" w:eastAsia="宋体" w:cs="宋体"/>
                <w:color w:val="000000"/>
                <w:kern w:val="0"/>
                <w:sz w:val="20"/>
                <w:szCs w:val="20"/>
                <w:lang w:val="en-US" w:eastAsia="zh-CN" w:bidi="ar"/>
              </w:rPr>
              <w:t>附录</w:t>
            </w:r>
            <w:r>
              <w:rPr>
                <w:rFonts w:hint="default" w:ascii="Times New Roman" w:hAnsi="Times New Roman" w:eastAsia="宋体" w:cs="Times New Roman"/>
                <w:color w:val="000000"/>
                <w:kern w:val="0"/>
                <w:sz w:val="20"/>
                <w:szCs w:val="20"/>
                <w:lang w:val="en-US" w:eastAsia="zh-CN" w:bidi="ar"/>
              </w:rPr>
              <w:t>D</w:t>
            </w:r>
            <w:r>
              <w:rPr>
                <w:rFonts w:hint="eastAsia" w:ascii="宋体" w:hAnsi="宋体" w:eastAsia="宋体" w:cs="宋体"/>
                <w:color w:val="000000"/>
                <w:kern w:val="0"/>
                <w:sz w:val="20"/>
                <w:szCs w:val="20"/>
                <w:lang w:val="en-US" w:eastAsia="zh-CN" w:bidi="ar"/>
              </w:rPr>
              <w:t>参考限值</w:t>
            </w:r>
          </w:p>
        </w:tc>
      </w:tr>
    </w:tbl>
    <w:p w14:paraId="1A592586">
      <w:pPr>
        <w:spacing w:line="500" w:lineRule="exact"/>
        <w:ind w:firstLine="482" w:firstLineChars="200"/>
        <w:rPr>
          <w:rFonts w:ascii="Times New Roman" w:hAnsi="Times New Roman" w:cs="Times New Roman"/>
          <w:b/>
        </w:rPr>
      </w:pPr>
      <w:r>
        <w:rPr>
          <w:rFonts w:ascii="Times New Roman" w:hAnsi="Times New Roman" w:cs="Times New Roman"/>
          <w:b/>
        </w:rPr>
        <w:t>（</w:t>
      </w:r>
      <w:r>
        <w:rPr>
          <w:rFonts w:hint="eastAsia" w:ascii="Times New Roman" w:hAnsi="Times New Roman" w:cs="Times New Roman"/>
          <w:b/>
        </w:rPr>
        <w:t>2</w:t>
      </w:r>
      <w:r>
        <w:rPr>
          <w:rFonts w:ascii="Times New Roman" w:hAnsi="Times New Roman" w:cs="Times New Roman"/>
          <w:b/>
        </w:rPr>
        <w:t>）声环境</w:t>
      </w:r>
    </w:p>
    <w:p w14:paraId="3ABF2AFF">
      <w:pPr>
        <w:spacing w:line="500" w:lineRule="exact"/>
        <w:ind w:firstLine="482"/>
        <w:jc w:val="both"/>
        <w:rPr>
          <w:rFonts w:hint="eastAsia" w:ascii="Times New Roman" w:hAnsi="Times New Roman" w:cs="Times New Roman"/>
        </w:rPr>
      </w:pPr>
      <w:r>
        <w:rPr>
          <w:rFonts w:ascii="Times New Roman" w:hAnsi="Times New Roman" w:cs="Times New Roman"/>
        </w:rPr>
        <w:t>本项目</w:t>
      </w:r>
      <w:r>
        <w:rPr>
          <w:rFonts w:hint="eastAsia" w:ascii="Times New Roman" w:hAnsi="Times New Roman" w:cs="Times New Roman"/>
        </w:rPr>
        <w:t>厂界东侧，西侧，北侧噪声值满足《工业企业厂界环境噪声排放标准(GB12348-2008)》中2类标准(2类：昼间60dB(A)，夜间50dB(A))要求。厂界南侧噪声值满足《工业企业厂界环境噪声排放标准(GB12348-2008)》中4类标准(4类：昼间70dB(A)，夜间55dB(A))要求</w:t>
      </w:r>
      <w:r>
        <w:rPr>
          <w:rFonts w:ascii="Times New Roman" w:hAnsi="Times New Roman" w:cs="Times New Roman"/>
        </w:rPr>
        <w:t>。</w:t>
      </w:r>
    </w:p>
    <w:p w14:paraId="37B0C8B3">
      <w:pPr>
        <w:spacing w:line="500" w:lineRule="exact"/>
        <w:ind w:firstLine="482"/>
        <w:rPr>
          <w:rFonts w:ascii="Times New Roman" w:hAnsi="Times New Roman" w:cs="Times New Roman"/>
          <w:b/>
        </w:rPr>
      </w:pPr>
      <w:r>
        <w:rPr>
          <w:rFonts w:ascii="Times New Roman" w:hAnsi="Times New Roman" w:cs="Times New Roman"/>
          <w:b/>
        </w:rPr>
        <w:t>（</w:t>
      </w:r>
      <w:r>
        <w:rPr>
          <w:rFonts w:hint="eastAsia" w:ascii="Times New Roman" w:hAnsi="Times New Roman" w:cs="Times New Roman"/>
          <w:b/>
        </w:rPr>
        <w:t>3</w:t>
      </w:r>
      <w:r>
        <w:rPr>
          <w:rFonts w:ascii="Times New Roman" w:hAnsi="Times New Roman" w:cs="Times New Roman"/>
          <w:b/>
        </w:rPr>
        <w:t>）土壤环境</w:t>
      </w:r>
    </w:p>
    <w:p w14:paraId="5234A0A9">
      <w:pPr>
        <w:spacing w:line="500" w:lineRule="exact"/>
        <w:ind w:firstLine="480" w:firstLineChars="200"/>
        <w:jc w:val="both"/>
        <w:rPr>
          <w:rFonts w:hint="eastAsia" w:ascii="Times New Roman" w:hAnsi="Times New Roman" w:cs="Times New Roman"/>
        </w:rPr>
      </w:pPr>
      <w:r>
        <w:rPr>
          <w:rFonts w:ascii="Times New Roman" w:hAnsi="Times New Roman" w:cs="Times New Roman"/>
        </w:rPr>
        <w:t>本项目厂区内土壤环境中的各因子执行《土壤环境质量 建设用地土壤污染风险管控标准（试行）》（GB36600-2018）中第二类用地的筛选值，厂外居民区土壤环境中的各因子执行《土壤环境质量 建设用地土壤污染风险管控标准（试行）》（GB36600-2018）中第一类用地的筛选值，厂区外周边农田执行</w:t>
      </w:r>
      <w:bookmarkStart w:id="85" w:name="_Hlk27559881"/>
      <w:r>
        <w:rPr>
          <w:rFonts w:ascii="Times New Roman" w:hAnsi="Times New Roman" w:cs="Times New Roman"/>
        </w:rPr>
        <w:t>《土壤环境质量 农用地土壤污染风险管控标准（试行）》（GB15618-2018）中农用地（其他）土壤污染风险筛选值</w:t>
      </w:r>
      <w:bookmarkEnd w:id="85"/>
      <w:r>
        <w:rPr>
          <w:rFonts w:ascii="Times New Roman" w:hAnsi="Times New Roman" w:cs="Times New Roman"/>
        </w:rPr>
        <w:t>，具体见表1.4-</w:t>
      </w:r>
      <w:r>
        <w:rPr>
          <w:rFonts w:hint="eastAsia" w:ascii="Times New Roman" w:hAnsi="Times New Roman" w:cs="Times New Roman"/>
        </w:rPr>
        <w:t>2</w:t>
      </w:r>
      <w:r>
        <w:rPr>
          <w:rFonts w:ascii="Times New Roman" w:hAnsi="Times New Roman" w:cs="Times New Roman"/>
        </w:rPr>
        <w:t>和表1.4-</w:t>
      </w:r>
      <w:r>
        <w:rPr>
          <w:rFonts w:hint="eastAsia" w:ascii="Times New Roman" w:hAnsi="Times New Roman" w:cs="Times New Roman"/>
        </w:rPr>
        <w:t>3</w:t>
      </w:r>
      <w:r>
        <w:rPr>
          <w:rFonts w:ascii="Times New Roman" w:hAnsi="Times New Roman" w:cs="Times New Roman"/>
        </w:rPr>
        <w:t>。</w:t>
      </w:r>
    </w:p>
    <w:p w14:paraId="538DE9E8">
      <w:pPr>
        <w:spacing w:line="500" w:lineRule="exact"/>
        <w:ind w:firstLine="480" w:firstLineChars="200"/>
        <w:rPr>
          <w:rFonts w:ascii="Times New Roman" w:hAnsi="Times New Roman" w:eastAsia="黑体" w:cs="Times New Roman"/>
        </w:rPr>
      </w:pPr>
      <w:r>
        <w:rPr>
          <w:rFonts w:ascii="Times New Roman" w:hAnsi="Times New Roman" w:eastAsia="黑体" w:cs="Times New Roman"/>
        </w:rPr>
        <w:t>表1.4-</w:t>
      </w:r>
      <w:r>
        <w:rPr>
          <w:rFonts w:hint="eastAsia" w:ascii="Times New Roman" w:hAnsi="Times New Roman" w:eastAsia="黑体" w:cs="Times New Roman"/>
        </w:rPr>
        <w:t>2</w:t>
      </w:r>
      <w:r>
        <w:rPr>
          <w:rFonts w:ascii="Times New Roman" w:hAnsi="Times New Roman" w:eastAsia="黑体" w:cs="Times New Roman"/>
        </w:rPr>
        <w:t xml:space="preserve">  土壤环境质量建设用地土壤污染风险管控标准     </w:t>
      </w:r>
      <w:r>
        <w:rPr>
          <w:rFonts w:ascii="Times New Roman" w:hAnsi="Times New Roman" w:eastAsia="黑体" w:cs="Times New Roman"/>
          <w:sz w:val="21"/>
          <w:szCs w:val="21"/>
        </w:rPr>
        <w:t>单位：mg/kg</w:t>
      </w:r>
    </w:p>
    <w:tbl>
      <w:tblPr>
        <w:tblStyle w:val="56"/>
        <w:tblW w:w="8612" w:type="dxa"/>
        <w:jc w:val="center"/>
        <w:tblBorders>
          <w:top w:val="thinThickSmallGap" w:color="auto" w:sz="12" w:space="0"/>
          <w:left w:val="none" w:color="auto" w:sz="0" w:space="0"/>
          <w:bottom w:val="thickThinSmallGap" w:color="auto" w:sz="12" w:space="0"/>
          <w:right w:val="none" w:color="auto" w:sz="0" w:space="0"/>
          <w:insideH w:val="single" w:color="auto" w:sz="6" w:space="0"/>
          <w:insideV w:val="single" w:color="auto" w:sz="6" w:space="0"/>
        </w:tblBorders>
        <w:tblLayout w:type="autofit"/>
        <w:tblCellMar>
          <w:top w:w="0" w:type="dxa"/>
          <w:left w:w="108" w:type="dxa"/>
          <w:bottom w:w="0" w:type="dxa"/>
          <w:right w:w="108" w:type="dxa"/>
        </w:tblCellMar>
      </w:tblPr>
      <w:tblGrid>
        <w:gridCol w:w="756"/>
        <w:gridCol w:w="2272"/>
        <w:gridCol w:w="1420"/>
        <w:gridCol w:w="1420"/>
        <w:gridCol w:w="1420"/>
        <w:gridCol w:w="1324"/>
      </w:tblGrid>
      <w:tr w14:paraId="23C1ECF6">
        <w:tblPrEx>
          <w:tblBorders>
            <w:top w:val="thinThickSmallGap" w:color="auto" w:sz="12" w:space="0"/>
            <w:left w:val="none" w:color="auto" w:sz="0" w:space="0"/>
            <w:bottom w:val="thickThinSmallGap"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88" w:hRule="atLeast"/>
          <w:tblHeader/>
          <w:jc w:val="center"/>
        </w:trPr>
        <w:tc>
          <w:tcPr>
            <w:tcW w:w="3028" w:type="dxa"/>
            <w:gridSpan w:val="2"/>
            <w:vMerge w:val="restart"/>
            <w:tcBorders>
              <w:top w:val="thinThickSmallGap" w:color="auto" w:sz="12" w:space="0"/>
              <w:bottom w:val="single" w:color="auto" w:sz="6" w:space="0"/>
            </w:tcBorders>
            <w:shd w:val="clear" w:color="auto" w:fill="DDDDDD"/>
            <w:noWrap w:val="0"/>
            <w:vAlign w:val="center"/>
          </w:tcPr>
          <w:p w14:paraId="6AA7741A">
            <w:pPr>
              <w:jc w:val="center"/>
              <w:rPr>
                <w:rFonts w:ascii="Times New Roman" w:hAnsi="Times New Roman" w:cs="Times New Roman"/>
                <w:sz w:val="21"/>
                <w:szCs w:val="21"/>
              </w:rPr>
            </w:pPr>
            <w:r>
              <w:rPr>
                <w:rFonts w:ascii="Times New Roman" w:hAnsi="Times New Roman" w:cs="Times New Roman"/>
              </w:rPr>
              <mc:AlternateContent>
                <mc:Choice Requires="wpg">
                  <w:drawing>
                    <wp:anchor distT="0" distB="0" distL="114300" distR="114300" simplePos="0" relativeHeight="251660288" behindDoc="0" locked="0" layoutInCell="1" allowOverlap="1">
                      <wp:simplePos x="0" y="0"/>
                      <wp:positionH relativeFrom="column">
                        <wp:posOffset>-26670</wp:posOffset>
                      </wp:positionH>
                      <wp:positionV relativeFrom="paragraph">
                        <wp:posOffset>-4445</wp:posOffset>
                      </wp:positionV>
                      <wp:extent cx="1849755" cy="494665"/>
                      <wp:effectExtent l="1905" t="4445" r="15240" b="15240"/>
                      <wp:wrapNone/>
                      <wp:docPr id="4" name="组合 3405"/>
                      <wp:cNvGraphicFramePr/>
                      <a:graphic xmlns:a="http://schemas.openxmlformats.org/drawingml/2006/main">
                        <a:graphicData uri="http://schemas.microsoft.com/office/word/2010/wordprocessingGroup">
                          <wpg:wgp>
                            <wpg:cNvGrpSpPr/>
                            <wpg:grpSpPr>
                              <a:xfrm>
                                <a:off x="0" y="0"/>
                                <a:ext cx="1849755" cy="494665"/>
                                <a:chOff x="1770" y="6631"/>
                                <a:chExt cx="1350" cy="679"/>
                              </a:xfrm>
                            </wpg:grpSpPr>
                            <wps:wsp>
                              <wps:cNvPr id="2" name="自选图形 3406"/>
                              <wps:cNvCnPr/>
                              <wps:spPr>
                                <a:xfrm>
                                  <a:off x="1770" y="6631"/>
                                  <a:ext cx="1350" cy="407"/>
                                </a:xfrm>
                                <a:prstGeom prst="straightConnector1">
                                  <a:avLst/>
                                </a:prstGeom>
                                <a:ln w="9525" cap="flat" cmpd="sng">
                                  <a:solidFill>
                                    <a:srgbClr val="000000"/>
                                  </a:solidFill>
                                  <a:prstDash val="solid"/>
                                  <a:headEnd type="none" w="med" len="med"/>
                                  <a:tailEnd type="none" w="med" len="med"/>
                                </a:ln>
                              </wps:spPr>
                              <wps:bodyPr/>
                            </wps:wsp>
                            <wps:wsp>
                              <wps:cNvPr id="3" name="自选图形 3407"/>
                              <wps:cNvCnPr/>
                              <wps:spPr>
                                <a:xfrm>
                                  <a:off x="1770" y="6664"/>
                                  <a:ext cx="818" cy="646"/>
                                </a:xfrm>
                                <a:prstGeom prst="straightConnector1">
                                  <a:avLst/>
                                </a:prstGeom>
                                <a:ln w="9525" cap="flat" cmpd="sng">
                                  <a:solidFill>
                                    <a:srgbClr val="000000"/>
                                  </a:solidFill>
                                  <a:prstDash val="solid"/>
                                  <a:headEnd type="none" w="med" len="med"/>
                                  <a:tailEnd type="none" w="med" len="med"/>
                                </a:ln>
                              </wps:spPr>
                              <wps:bodyPr/>
                            </wps:wsp>
                          </wpg:wgp>
                        </a:graphicData>
                      </a:graphic>
                    </wp:anchor>
                  </w:drawing>
                </mc:Choice>
                <mc:Fallback>
                  <w:pict>
                    <v:group id="组合 3405" o:spid="_x0000_s1026" o:spt="203" style="position:absolute;left:0pt;margin-left:-2.1pt;margin-top:-0.35pt;height:38.95pt;width:145.65pt;z-index:251660288;mso-width-relative:page;mso-height-relative:page;" coordorigin="1770,6631" coordsize="1350,679" o:gfxdata="UEsDBAoAAAAAAIdO4kAAAAAAAAAAAAAAAAAEAAAAZHJzL1BLAwQUAAAACACHTuJAix7c9dgAAAAH&#10;AQAADwAAAGRycy9kb3ducmV2LnhtbE2OzWrDMBCE74W+g9hCb4ks98fBsRxKaHsKhSaFktvG2tgm&#10;1spYip28fdVTexqGGWa+YnWxnRhp8K1jDWqegCCunGm51vC1e5stQPiAbLBzTBqu5GFV3t4UmBs3&#10;8SeN21CLOMI+Rw1NCH0upa8asujnrieO2dENFkO0Qy3NgFMct51Mk+RZWmw5PjTY07qh6rQ9Ww3v&#10;E04vD+p13JyO6+t+9/TxvVGk9f2dSpYgAl3CXxl+8SM6lJHp4M5svOg0zB7T2IyagYhxusgUiIOG&#10;LEtBloX8z1/+AFBLAwQUAAAACACHTuJAaObLG5sCAAApBwAADgAAAGRycy9lMm9Eb2MueG1s7VXL&#10;bhMxFN0j8Q+W93QyyWSSjDrpomm7QVCp8AGux/OQ/JLtZpIdCyRgx54dS34Bwd9UwF9w7ZlMaSlS&#10;AIkVWUw8vg/fc+7xncOjjeBozYxtlMxxfDDCiEmqikZWOX7+7PTRHCPriCwIV5LleMssPlo+fHDY&#10;6oyNVa14wQyCJNJmrc5x7ZzOosjSmgliD5RmEoylMoI4eDVVVBjSQnbBo/FolEatMoU2ijJrYXfV&#10;GXGf0eyTUJVlQ9lK0SvBpOuyGsaJA0i2brTFy1BtWTLqnpalZQ7xHANSF55wCKwv/TNaHpKsMkTX&#10;De1LIPuUcAeTII2EQ4dUK+IIujLNT6lEQ42yqnQHVImoAxIYARTx6A43Z0Zd6YClytpKD6RDo+6w&#10;/sdp6ZP1uUFNkeMEI0kENPzLx5fXb1+jSTKaenpaXWXgdWb0hT43/UbVvXnEm9II/w9Y0CYQux2I&#10;ZRuHKGzG82Qxm04xomBLFkmahtQkozW0x4fFsxm0BKxpOom7rtD6ZBc+mYLRx6azhTdGu2MjX91Q&#10;TKtBkvaGJ/t3PF3URLNAv/UM9DyNdzx9ffXh24s31+8+X39679lKO7aC77HsqbKZBdbu4ekewANb&#10;A9xkNLsFl2TaWHfGlEB+kWPrDGmq2h0rKUHrysRBhWT92LqOp12AL4FL1OZ4MR37ThC4uyXcGVgK&#10;Df23sgqxVvGmOG049xHWVJfH3KA18fcn/PqCbrn5Q1bE1p1fMHk3ktWMFCeyQG6rQVkSBgr2JQhW&#10;YMQZzB+/Cp6ONHwfT2g9l6AA3+uOWr+6VMU2MB72QQNet/9ADJNfiSH0zZcAwvktMaRJx8dODPMY&#10;5nGQfhIENkj/vxb8GNhPC2FMwAQNk6Of9n5E//geNHXzhVt+B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AwFAABbQ29udGVudF9UeXBlc10ueG1s&#10;UEsBAhQACgAAAAAAh07iQAAAAAAAAAAAAAAAAAYAAAAAAAAAAAAQAAAA7gMAAF9yZWxzL1BLAQIU&#10;ABQAAAAIAIdO4kCKFGY80QAAAJQBAAALAAAAAAAAAAEAIAAAABIEAABfcmVscy8ucmVsc1BLAQIU&#10;AAoAAAAAAIdO4kAAAAAAAAAAAAAAAAAEAAAAAAAAAAAAEAAAAAAAAABkcnMvUEsBAhQAFAAAAAgA&#10;h07iQIse3PXYAAAABwEAAA8AAAAAAAAAAQAgAAAAIgAAAGRycy9kb3ducmV2LnhtbFBLAQIUABQA&#10;AAAIAIdO4kBo5ssbmwIAACkHAAAOAAAAAAAAAAEAIAAAACcBAABkcnMvZTJvRG9jLnhtbFBLBQYA&#10;AAAABgAGAFkBAAA0BgAAAAA=&#10;">
                      <o:lock v:ext="edit" aspectratio="f"/>
                      <v:shape id="自选图形 3406" o:spid="_x0000_s1026" o:spt="32" type="#_x0000_t32" style="position:absolute;left:1770;top:6631;height:407;width:1350;" filled="f" stroked="t" coordsize="21600,21600" o:gfxdata="UEsDBAoAAAAAAIdO4kAAAAAAAAAAAAAAAAAEAAAAZHJzL1BLAwQUAAAACACHTuJAOTk0IrwAAADa&#10;AAAADwAAAGRycy9kb3ducmV2LnhtbEWPwWrDMBBE74H+g9hCLyGWbGhpHCshBALpsYmh18Xa2G6t&#10;lbGU2PXXV4VCj8PMvGGK3WQ7cafBt441pIkCQVw503KtobwcV68gfEA22DkmDd/kYbd9WBSYGzfy&#10;O93PoRYRwj5HDU0IfS6lrxqy6BPXE0fv6gaLIcqhlmbAMcJtJzOlXqTFluNCgz0dGqq+zjergfzt&#10;OVX7ta3Lt3lcfmTz59hftH56TNUGRKAp/If/2iejIYPfK/EGyO0P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Dk5NCK8AAAA&#10;2gAAAA8AAAAAAAAAAQAgAAAAIgAAAGRycy9kb3ducmV2LnhtbFBLAQIUABQAAAAIAIdO4kAzLwWe&#10;OwAAADkAAAAQAAAAAAAAAAEAIAAAAAsBAABkcnMvc2hhcGV4bWwueG1sUEsFBgAAAAAGAAYAWwEA&#10;ALUDAAAAAA==&#10;">
                        <v:fill on="f" focussize="0,0"/>
                        <v:stroke color="#000000" joinstyle="round"/>
                        <v:imagedata o:title=""/>
                        <o:lock v:ext="edit" aspectratio="f"/>
                      </v:shape>
                      <v:shape id="自选图形 3407" o:spid="_x0000_s1026" o:spt="32" type="#_x0000_t32" style="position:absolute;left:1770;top:6664;height:646;width:818;" filled="f" stroked="t" coordsize="21600,21600" o:gfxdata="UEsDBAoAAAAAAIdO4kAAAAAAAAAAAAAAAAAEAAAAZHJzL1BLAwQUAAAACACHTuJAVnWRub0AAADa&#10;AAAADwAAAGRycy9kb3ducmV2LnhtbEWPQWvCQBSE70L/w/IKvUjdjUWxqWsQoVCPNYLXR/Y1SZt9&#10;G7Ibk+bXu4WCx2FmvmG22WgbcaXO1441JAsFgrhwpuZSwzl/f96A8AHZYOOYNPySh2z3MNtiatzA&#10;n3Q9hVJECPsUNVQhtKmUvqjIol+4ljh6X66zGKLsSmk6HCLcNnKp1FparDkuVNjSoaLi59RbDeT7&#10;VaL2r7Y8H6dhfllO30Oba/30mKg3EIHGcA//tz+Mhhf4uxJvgNzd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WdZG5vQAA&#10;ANoAAAAPAAAAAAAAAAEAIAAAACIAAABkcnMvZG93bnJldi54bWxQSwECFAAUAAAACACHTuJAMy8F&#10;njsAAAA5AAAAEAAAAAAAAAABACAAAAAMAQAAZHJzL3NoYXBleG1sLnhtbFBLBQYAAAAABgAGAFsB&#10;AAC2AwAAAAA=&#10;">
                        <v:fill on="f" focussize="0,0"/>
                        <v:stroke color="#000000" joinstyle="round"/>
                        <v:imagedata o:title=""/>
                        <o:lock v:ext="edit" aspectratio="f"/>
                      </v:shape>
                    </v:group>
                  </w:pict>
                </mc:Fallback>
              </mc:AlternateContent>
            </w:r>
            <w:r>
              <w:rPr>
                <w:rFonts w:ascii="Times New Roman" w:hAnsi="Times New Roman" w:cs="Times New Roman"/>
                <w:sz w:val="21"/>
                <w:szCs w:val="21"/>
              </w:rPr>
              <w:t xml:space="preserve">       地类</w:t>
            </w:r>
          </w:p>
          <w:p w14:paraId="77272714">
            <w:pPr>
              <w:jc w:val="center"/>
              <w:rPr>
                <w:rFonts w:ascii="Times New Roman" w:hAnsi="Times New Roman" w:cs="Times New Roman"/>
                <w:sz w:val="21"/>
                <w:szCs w:val="21"/>
              </w:rPr>
            </w:pPr>
            <w:r>
              <w:rPr>
                <w:rFonts w:ascii="Times New Roman" w:hAnsi="Times New Roman" w:cs="Times New Roman"/>
                <w:sz w:val="21"/>
                <w:szCs w:val="21"/>
              </w:rPr>
              <w:t>指标</w:t>
            </w:r>
          </w:p>
          <w:p w14:paraId="37F86EF8">
            <w:pPr>
              <w:rPr>
                <w:rFonts w:ascii="Times New Roman" w:hAnsi="Times New Roman" w:cs="Times New Roman"/>
                <w:sz w:val="21"/>
                <w:szCs w:val="21"/>
              </w:rPr>
            </w:pPr>
            <w:r>
              <w:rPr>
                <w:rFonts w:ascii="Times New Roman" w:hAnsi="Times New Roman" w:cs="Times New Roman"/>
                <w:sz w:val="21"/>
                <w:szCs w:val="21"/>
              </w:rPr>
              <w:t>项目</w:t>
            </w:r>
          </w:p>
        </w:tc>
        <w:tc>
          <w:tcPr>
            <w:tcW w:w="2840" w:type="dxa"/>
            <w:gridSpan w:val="2"/>
            <w:tcBorders>
              <w:top w:val="thinThickSmallGap" w:color="auto" w:sz="12" w:space="0"/>
              <w:bottom w:val="single" w:color="auto" w:sz="6" w:space="0"/>
            </w:tcBorders>
            <w:shd w:val="clear" w:color="auto" w:fill="DDDDDD"/>
            <w:noWrap w:val="0"/>
            <w:vAlign w:val="center"/>
          </w:tcPr>
          <w:p w14:paraId="20AD66B8">
            <w:pPr>
              <w:spacing w:line="240" w:lineRule="exact"/>
              <w:jc w:val="center"/>
              <w:rPr>
                <w:rFonts w:ascii="Times New Roman" w:hAnsi="Times New Roman" w:cs="Times New Roman"/>
                <w:sz w:val="21"/>
                <w:szCs w:val="21"/>
              </w:rPr>
            </w:pPr>
            <w:r>
              <w:rPr>
                <w:rFonts w:ascii="Times New Roman" w:hAnsi="Times New Roman" w:cs="Times New Roman"/>
                <w:sz w:val="21"/>
                <w:szCs w:val="21"/>
              </w:rPr>
              <w:t>第一类用地</w:t>
            </w:r>
          </w:p>
        </w:tc>
        <w:tc>
          <w:tcPr>
            <w:tcW w:w="2744" w:type="dxa"/>
            <w:gridSpan w:val="2"/>
            <w:tcBorders>
              <w:top w:val="thinThickSmallGap" w:color="auto" w:sz="12" w:space="0"/>
              <w:bottom w:val="single" w:color="auto" w:sz="6" w:space="0"/>
            </w:tcBorders>
            <w:shd w:val="clear" w:color="auto" w:fill="DDDDDD"/>
            <w:noWrap w:val="0"/>
            <w:vAlign w:val="center"/>
          </w:tcPr>
          <w:p w14:paraId="364E0F7C">
            <w:pPr>
              <w:spacing w:line="240" w:lineRule="exact"/>
              <w:jc w:val="center"/>
              <w:rPr>
                <w:rFonts w:ascii="Times New Roman" w:hAnsi="Times New Roman" w:cs="Times New Roman"/>
                <w:sz w:val="21"/>
                <w:szCs w:val="21"/>
              </w:rPr>
            </w:pPr>
            <w:r>
              <w:rPr>
                <w:rFonts w:ascii="Times New Roman" w:hAnsi="Times New Roman" w:cs="Times New Roman"/>
                <w:sz w:val="21"/>
                <w:szCs w:val="21"/>
              </w:rPr>
              <w:t>第二类用地</w:t>
            </w:r>
          </w:p>
        </w:tc>
      </w:tr>
      <w:tr w14:paraId="57B29008">
        <w:tblPrEx>
          <w:tblBorders>
            <w:top w:val="thinThickSmallGap" w:color="auto" w:sz="12" w:space="0"/>
            <w:left w:val="none" w:color="auto" w:sz="0" w:space="0"/>
            <w:bottom w:val="thickThinSmallGap"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88" w:hRule="atLeast"/>
          <w:tblHeader/>
          <w:jc w:val="center"/>
        </w:trPr>
        <w:tc>
          <w:tcPr>
            <w:tcW w:w="3028" w:type="dxa"/>
            <w:gridSpan w:val="2"/>
            <w:vMerge w:val="continue"/>
            <w:tcBorders>
              <w:top w:val="single" w:color="auto" w:sz="6" w:space="0"/>
              <w:bottom w:val="single" w:color="auto" w:sz="6" w:space="0"/>
            </w:tcBorders>
            <w:shd w:val="clear" w:color="auto" w:fill="DDDDDD"/>
            <w:noWrap w:val="0"/>
            <w:vAlign w:val="center"/>
          </w:tcPr>
          <w:p w14:paraId="55E2086B">
            <w:pPr>
              <w:jc w:val="center"/>
              <w:rPr>
                <w:rFonts w:ascii="Times New Roman" w:hAnsi="Times New Roman" w:cs="Times New Roman"/>
                <w:sz w:val="21"/>
                <w:szCs w:val="21"/>
              </w:rPr>
            </w:pPr>
          </w:p>
        </w:tc>
        <w:tc>
          <w:tcPr>
            <w:tcW w:w="1420" w:type="dxa"/>
            <w:tcBorders>
              <w:top w:val="single" w:color="auto" w:sz="6" w:space="0"/>
              <w:bottom w:val="single" w:color="auto" w:sz="6" w:space="0"/>
            </w:tcBorders>
            <w:shd w:val="clear" w:color="auto" w:fill="DDDDDD"/>
            <w:noWrap w:val="0"/>
            <w:vAlign w:val="center"/>
          </w:tcPr>
          <w:p w14:paraId="21DCA979">
            <w:pPr>
              <w:spacing w:line="240" w:lineRule="exact"/>
              <w:jc w:val="center"/>
              <w:rPr>
                <w:rFonts w:ascii="Times New Roman" w:hAnsi="Times New Roman" w:cs="Times New Roman"/>
                <w:sz w:val="21"/>
                <w:szCs w:val="21"/>
              </w:rPr>
            </w:pPr>
            <w:r>
              <w:rPr>
                <w:rFonts w:ascii="Times New Roman" w:hAnsi="Times New Roman" w:cs="Times New Roman"/>
                <w:sz w:val="21"/>
                <w:szCs w:val="21"/>
              </w:rPr>
              <w:t>筛选值</w:t>
            </w:r>
          </w:p>
        </w:tc>
        <w:tc>
          <w:tcPr>
            <w:tcW w:w="1420" w:type="dxa"/>
            <w:tcBorders>
              <w:top w:val="single" w:color="auto" w:sz="6" w:space="0"/>
              <w:bottom w:val="single" w:color="auto" w:sz="6" w:space="0"/>
            </w:tcBorders>
            <w:shd w:val="clear" w:color="auto" w:fill="DDDDDD"/>
            <w:noWrap w:val="0"/>
            <w:vAlign w:val="center"/>
          </w:tcPr>
          <w:p w14:paraId="4606AB75">
            <w:pPr>
              <w:spacing w:line="240" w:lineRule="exact"/>
              <w:jc w:val="center"/>
              <w:rPr>
                <w:rFonts w:ascii="Times New Roman" w:hAnsi="Times New Roman" w:cs="Times New Roman"/>
                <w:sz w:val="21"/>
                <w:szCs w:val="21"/>
              </w:rPr>
            </w:pPr>
            <w:r>
              <w:rPr>
                <w:rFonts w:ascii="Times New Roman" w:hAnsi="Times New Roman" w:cs="Times New Roman"/>
                <w:sz w:val="21"/>
                <w:szCs w:val="21"/>
              </w:rPr>
              <w:t>管制值</w:t>
            </w:r>
          </w:p>
        </w:tc>
        <w:tc>
          <w:tcPr>
            <w:tcW w:w="1420" w:type="dxa"/>
            <w:tcBorders>
              <w:top w:val="single" w:color="auto" w:sz="6" w:space="0"/>
              <w:bottom w:val="single" w:color="auto" w:sz="6" w:space="0"/>
            </w:tcBorders>
            <w:shd w:val="clear" w:color="auto" w:fill="DDDDDD"/>
            <w:noWrap w:val="0"/>
            <w:vAlign w:val="center"/>
          </w:tcPr>
          <w:p w14:paraId="1339126C">
            <w:pPr>
              <w:spacing w:line="240" w:lineRule="exact"/>
              <w:jc w:val="center"/>
              <w:rPr>
                <w:rFonts w:ascii="Times New Roman" w:hAnsi="Times New Roman" w:cs="Times New Roman"/>
                <w:sz w:val="21"/>
                <w:szCs w:val="21"/>
              </w:rPr>
            </w:pPr>
            <w:r>
              <w:rPr>
                <w:rFonts w:ascii="Times New Roman" w:hAnsi="Times New Roman" w:cs="Times New Roman"/>
                <w:sz w:val="21"/>
                <w:szCs w:val="21"/>
              </w:rPr>
              <w:t>筛选值</w:t>
            </w:r>
          </w:p>
        </w:tc>
        <w:tc>
          <w:tcPr>
            <w:tcW w:w="1324" w:type="dxa"/>
            <w:tcBorders>
              <w:top w:val="single" w:color="auto" w:sz="6" w:space="0"/>
              <w:bottom w:val="single" w:color="auto" w:sz="6" w:space="0"/>
            </w:tcBorders>
            <w:shd w:val="clear" w:color="auto" w:fill="DDDDDD"/>
            <w:noWrap w:val="0"/>
            <w:vAlign w:val="center"/>
          </w:tcPr>
          <w:p w14:paraId="09BF18F0">
            <w:pPr>
              <w:spacing w:line="240" w:lineRule="exact"/>
              <w:jc w:val="center"/>
              <w:rPr>
                <w:rFonts w:ascii="Times New Roman" w:hAnsi="Times New Roman" w:cs="Times New Roman"/>
                <w:sz w:val="21"/>
                <w:szCs w:val="21"/>
              </w:rPr>
            </w:pPr>
            <w:r>
              <w:rPr>
                <w:rFonts w:ascii="Times New Roman" w:hAnsi="Times New Roman" w:cs="Times New Roman"/>
                <w:sz w:val="21"/>
                <w:szCs w:val="21"/>
              </w:rPr>
              <w:t>管制值</w:t>
            </w:r>
          </w:p>
        </w:tc>
      </w:tr>
      <w:tr w14:paraId="554C4FB4">
        <w:tblPrEx>
          <w:tblBorders>
            <w:top w:val="thinThickSmallGap" w:color="auto" w:sz="12" w:space="0"/>
            <w:left w:val="none" w:color="auto" w:sz="0" w:space="0"/>
            <w:bottom w:val="thickThinSmallGap"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88" w:hRule="atLeast"/>
          <w:jc w:val="center"/>
        </w:trPr>
        <w:tc>
          <w:tcPr>
            <w:tcW w:w="8612" w:type="dxa"/>
            <w:gridSpan w:val="6"/>
            <w:tcBorders>
              <w:top w:val="single" w:color="auto" w:sz="6" w:space="0"/>
            </w:tcBorders>
            <w:noWrap w:val="0"/>
            <w:vAlign w:val="center"/>
          </w:tcPr>
          <w:p w14:paraId="10B9817C">
            <w:pPr>
              <w:spacing w:line="240" w:lineRule="exact"/>
              <w:jc w:val="center"/>
              <w:rPr>
                <w:rFonts w:ascii="Times New Roman" w:hAnsi="Times New Roman" w:cs="Times New Roman"/>
                <w:sz w:val="21"/>
                <w:szCs w:val="21"/>
              </w:rPr>
            </w:pPr>
            <w:r>
              <w:rPr>
                <w:rFonts w:ascii="Times New Roman" w:hAnsi="Times New Roman" w:cs="Times New Roman"/>
                <w:sz w:val="21"/>
                <w:szCs w:val="21"/>
              </w:rPr>
              <w:t>重金属和无机物</w:t>
            </w:r>
          </w:p>
        </w:tc>
      </w:tr>
      <w:tr w14:paraId="63318452">
        <w:tblPrEx>
          <w:tblBorders>
            <w:top w:val="thinThickSmallGap" w:color="auto" w:sz="12" w:space="0"/>
            <w:left w:val="none" w:color="auto" w:sz="0" w:space="0"/>
            <w:bottom w:val="thickThinSmallGap"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88" w:hRule="atLeast"/>
          <w:jc w:val="center"/>
        </w:trPr>
        <w:tc>
          <w:tcPr>
            <w:tcW w:w="756" w:type="dxa"/>
            <w:tcBorders>
              <w:top w:val="single" w:color="auto" w:sz="6" w:space="0"/>
            </w:tcBorders>
            <w:noWrap w:val="0"/>
            <w:vAlign w:val="center"/>
          </w:tcPr>
          <w:p w14:paraId="09C28450">
            <w:pPr>
              <w:jc w:val="center"/>
              <w:rPr>
                <w:rFonts w:ascii="Times New Roman" w:hAnsi="Times New Roman" w:cs="Times New Roman"/>
                <w:sz w:val="21"/>
                <w:szCs w:val="21"/>
              </w:rPr>
            </w:pPr>
            <w:r>
              <w:rPr>
                <w:rFonts w:ascii="Times New Roman" w:hAnsi="Times New Roman" w:cs="Times New Roman"/>
                <w:sz w:val="21"/>
                <w:szCs w:val="21"/>
              </w:rPr>
              <w:t>1</w:t>
            </w:r>
          </w:p>
        </w:tc>
        <w:tc>
          <w:tcPr>
            <w:tcW w:w="2272" w:type="dxa"/>
            <w:tcBorders>
              <w:top w:val="single" w:color="auto" w:sz="6" w:space="0"/>
            </w:tcBorders>
            <w:noWrap w:val="0"/>
            <w:vAlign w:val="center"/>
          </w:tcPr>
          <w:p w14:paraId="33DD404D">
            <w:pPr>
              <w:jc w:val="center"/>
              <w:rPr>
                <w:rFonts w:ascii="Times New Roman" w:hAnsi="Times New Roman" w:cs="Times New Roman"/>
                <w:sz w:val="21"/>
                <w:szCs w:val="21"/>
              </w:rPr>
            </w:pPr>
            <w:r>
              <w:rPr>
                <w:rFonts w:ascii="Times New Roman" w:hAnsi="Times New Roman" w:cs="Times New Roman"/>
                <w:sz w:val="21"/>
                <w:szCs w:val="21"/>
              </w:rPr>
              <w:t>砷</w:t>
            </w:r>
          </w:p>
        </w:tc>
        <w:tc>
          <w:tcPr>
            <w:tcW w:w="1420" w:type="dxa"/>
            <w:tcBorders>
              <w:top w:val="single" w:color="auto" w:sz="6" w:space="0"/>
            </w:tcBorders>
            <w:noWrap w:val="0"/>
            <w:vAlign w:val="center"/>
          </w:tcPr>
          <w:p w14:paraId="0F439924">
            <w:pPr>
              <w:spacing w:line="240" w:lineRule="exact"/>
              <w:jc w:val="center"/>
              <w:rPr>
                <w:rFonts w:ascii="Times New Roman" w:hAnsi="Times New Roman" w:cs="Times New Roman"/>
                <w:sz w:val="21"/>
                <w:szCs w:val="21"/>
              </w:rPr>
            </w:pPr>
            <w:r>
              <w:rPr>
                <w:rFonts w:ascii="Times New Roman" w:hAnsi="Times New Roman" w:cs="Times New Roman"/>
                <w:sz w:val="21"/>
                <w:szCs w:val="21"/>
              </w:rPr>
              <w:t>20</w:t>
            </w:r>
          </w:p>
        </w:tc>
        <w:tc>
          <w:tcPr>
            <w:tcW w:w="1420" w:type="dxa"/>
            <w:tcBorders>
              <w:top w:val="single" w:color="auto" w:sz="6" w:space="0"/>
            </w:tcBorders>
            <w:noWrap w:val="0"/>
            <w:vAlign w:val="center"/>
          </w:tcPr>
          <w:p w14:paraId="1F71E818">
            <w:pPr>
              <w:spacing w:line="240" w:lineRule="exact"/>
              <w:jc w:val="center"/>
              <w:rPr>
                <w:rFonts w:ascii="Times New Roman" w:hAnsi="Times New Roman" w:cs="Times New Roman"/>
                <w:sz w:val="21"/>
                <w:szCs w:val="21"/>
              </w:rPr>
            </w:pPr>
            <w:r>
              <w:rPr>
                <w:rFonts w:ascii="Times New Roman" w:hAnsi="Times New Roman" w:cs="Times New Roman"/>
                <w:sz w:val="21"/>
                <w:szCs w:val="21"/>
              </w:rPr>
              <w:t>120</w:t>
            </w:r>
          </w:p>
        </w:tc>
        <w:tc>
          <w:tcPr>
            <w:tcW w:w="1420" w:type="dxa"/>
            <w:tcBorders>
              <w:top w:val="single" w:color="auto" w:sz="6" w:space="0"/>
            </w:tcBorders>
            <w:noWrap w:val="0"/>
            <w:vAlign w:val="center"/>
          </w:tcPr>
          <w:p w14:paraId="43CD6177">
            <w:pPr>
              <w:spacing w:line="240" w:lineRule="exact"/>
              <w:jc w:val="center"/>
              <w:rPr>
                <w:rFonts w:ascii="Times New Roman" w:hAnsi="Times New Roman" w:cs="Times New Roman"/>
                <w:sz w:val="21"/>
                <w:szCs w:val="21"/>
              </w:rPr>
            </w:pPr>
            <w:r>
              <w:rPr>
                <w:rFonts w:ascii="Times New Roman" w:hAnsi="Times New Roman" w:cs="Times New Roman"/>
                <w:sz w:val="21"/>
                <w:szCs w:val="21"/>
              </w:rPr>
              <w:t>60</w:t>
            </w:r>
          </w:p>
        </w:tc>
        <w:tc>
          <w:tcPr>
            <w:tcW w:w="1324" w:type="dxa"/>
            <w:tcBorders>
              <w:top w:val="single" w:color="auto" w:sz="6" w:space="0"/>
            </w:tcBorders>
            <w:noWrap w:val="0"/>
            <w:vAlign w:val="center"/>
          </w:tcPr>
          <w:p w14:paraId="18E3EE08">
            <w:pPr>
              <w:spacing w:line="240" w:lineRule="exact"/>
              <w:jc w:val="center"/>
              <w:rPr>
                <w:rFonts w:ascii="Times New Roman" w:hAnsi="Times New Roman" w:cs="Times New Roman"/>
                <w:sz w:val="21"/>
                <w:szCs w:val="21"/>
              </w:rPr>
            </w:pPr>
            <w:r>
              <w:rPr>
                <w:rFonts w:ascii="Times New Roman" w:hAnsi="Times New Roman" w:cs="Times New Roman"/>
                <w:sz w:val="21"/>
                <w:szCs w:val="21"/>
              </w:rPr>
              <w:t>140</w:t>
            </w:r>
          </w:p>
        </w:tc>
      </w:tr>
      <w:tr w14:paraId="0872C31C">
        <w:tblPrEx>
          <w:tblBorders>
            <w:top w:val="thinThickSmallGap" w:color="auto" w:sz="12" w:space="0"/>
            <w:left w:val="none" w:color="auto" w:sz="0" w:space="0"/>
            <w:bottom w:val="thickThinSmallGap"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88" w:hRule="atLeast"/>
          <w:jc w:val="center"/>
        </w:trPr>
        <w:tc>
          <w:tcPr>
            <w:tcW w:w="756" w:type="dxa"/>
            <w:noWrap w:val="0"/>
            <w:vAlign w:val="center"/>
          </w:tcPr>
          <w:p w14:paraId="4DF1EC98">
            <w:pPr>
              <w:jc w:val="center"/>
              <w:rPr>
                <w:rFonts w:ascii="Times New Roman" w:hAnsi="Times New Roman" w:cs="Times New Roman"/>
                <w:sz w:val="21"/>
                <w:szCs w:val="21"/>
              </w:rPr>
            </w:pPr>
            <w:r>
              <w:rPr>
                <w:rFonts w:ascii="Times New Roman" w:hAnsi="Times New Roman" w:cs="Times New Roman"/>
                <w:sz w:val="21"/>
                <w:szCs w:val="21"/>
              </w:rPr>
              <w:t>2</w:t>
            </w:r>
          </w:p>
        </w:tc>
        <w:tc>
          <w:tcPr>
            <w:tcW w:w="2272" w:type="dxa"/>
            <w:noWrap w:val="0"/>
            <w:vAlign w:val="center"/>
          </w:tcPr>
          <w:p w14:paraId="53F75D3E">
            <w:pPr>
              <w:jc w:val="center"/>
              <w:rPr>
                <w:rFonts w:ascii="Times New Roman" w:hAnsi="Times New Roman" w:cs="Times New Roman"/>
                <w:sz w:val="21"/>
                <w:szCs w:val="21"/>
              </w:rPr>
            </w:pPr>
            <w:r>
              <w:rPr>
                <w:rFonts w:ascii="Times New Roman" w:hAnsi="Times New Roman" w:cs="Times New Roman"/>
                <w:sz w:val="21"/>
                <w:szCs w:val="21"/>
              </w:rPr>
              <w:t>镉</w:t>
            </w:r>
          </w:p>
        </w:tc>
        <w:tc>
          <w:tcPr>
            <w:tcW w:w="1420" w:type="dxa"/>
            <w:noWrap w:val="0"/>
            <w:vAlign w:val="center"/>
          </w:tcPr>
          <w:p w14:paraId="6F69E02D">
            <w:pPr>
              <w:spacing w:line="240" w:lineRule="exact"/>
              <w:jc w:val="center"/>
              <w:rPr>
                <w:rFonts w:ascii="Times New Roman" w:hAnsi="Times New Roman" w:cs="Times New Roman"/>
                <w:sz w:val="21"/>
                <w:szCs w:val="21"/>
              </w:rPr>
            </w:pPr>
            <w:r>
              <w:rPr>
                <w:rFonts w:ascii="Times New Roman" w:hAnsi="Times New Roman" w:cs="Times New Roman"/>
                <w:sz w:val="21"/>
                <w:szCs w:val="21"/>
              </w:rPr>
              <w:t>20</w:t>
            </w:r>
          </w:p>
        </w:tc>
        <w:tc>
          <w:tcPr>
            <w:tcW w:w="1420" w:type="dxa"/>
            <w:noWrap w:val="0"/>
            <w:vAlign w:val="center"/>
          </w:tcPr>
          <w:p w14:paraId="62AD4052">
            <w:pPr>
              <w:spacing w:line="240" w:lineRule="exact"/>
              <w:jc w:val="center"/>
              <w:rPr>
                <w:rFonts w:ascii="Times New Roman" w:hAnsi="Times New Roman" w:cs="Times New Roman"/>
                <w:sz w:val="21"/>
                <w:szCs w:val="21"/>
              </w:rPr>
            </w:pPr>
            <w:r>
              <w:rPr>
                <w:rFonts w:ascii="Times New Roman" w:hAnsi="Times New Roman" w:cs="Times New Roman"/>
                <w:sz w:val="21"/>
                <w:szCs w:val="21"/>
              </w:rPr>
              <w:t>47</w:t>
            </w:r>
          </w:p>
        </w:tc>
        <w:tc>
          <w:tcPr>
            <w:tcW w:w="1420" w:type="dxa"/>
            <w:noWrap w:val="0"/>
            <w:vAlign w:val="center"/>
          </w:tcPr>
          <w:p w14:paraId="1AE54806">
            <w:pPr>
              <w:spacing w:line="240" w:lineRule="exact"/>
              <w:jc w:val="center"/>
              <w:rPr>
                <w:rFonts w:ascii="Times New Roman" w:hAnsi="Times New Roman" w:cs="Times New Roman"/>
                <w:sz w:val="21"/>
                <w:szCs w:val="21"/>
              </w:rPr>
            </w:pPr>
            <w:r>
              <w:rPr>
                <w:rFonts w:ascii="Times New Roman" w:hAnsi="Times New Roman" w:cs="Times New Roman"/>
                <w:sz w:val="21"/>
                <w:szCs w:val="21"/>
              </w:rPr>
              <w:t>65</w:t>
            </w:r>
          </w:p>
        </w:tc>
        <w:tc>
          <w:tcPr>
            <w:tcW w:w="1324" w:type="dxa"/>
            <w:noWrap w:val="0"/>
            <w:vAlign w:val="center"/>
          </w:tcPr>
          <w:p w14:paraId="2E9281D6">
            <w:pPr>
              <w:spacing w:line="240" w:lineRule="exact"/>
              <w:jc w:val="center"/>
              <w:rPr>
                <w:rFonts w:ascii="Times New Roman" w:hAnsi="Times New Roman" w:cs="Times New Roman"/>
                <w:sz w:val="21"/>
                <w:szCs w:val="21"/>
              </w:rPr>
            </w:pPr>
            <w:r>
              <w:rPr>
                <w:rFonts w:ascii="Times New Roman" w:hAnsi="Times New Roman" w:cs="Times New Roman"/>
                <w:sz w:val="21"/>
                <w:szCs w:val="21"/>
              </w:rPr>
              <w:t>172</w:t>
            </w:r>
          </w:p>
        </w:tc>
      </w:tr>
      <w:tr w14:paraId="06EE9E7C">
        <w:tblPrEx>
          <w:tblBorders>
            <w:top w:val="thinThickSmallGap" w:color="auto" w:sz="12" w:space="0"/>
            <w:left w:val="none" w:color="auto" w:sz="0" w:space="0"/>
            <w:bottom w:val="thickThinSmallGap"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88" w:hRule="atLeast"/>
          <w:jc w:val="center"/>
        </w:trPr>
        <w:tc>
          <w:tcPr>
            <w:tcW w:w="756" w:type="dxa"/>
            <w:noWrap w:val="0"/>
            <w:vAlign w:val="center"/>
          </w:tcPr>
          <w:p w14:paraId="5A04AF2E">
            <w:pPr>
              <w:jc w:val="center"/>
              <w:rPr>
                <w:rFonts w:ascii="Times New Roman" w:hAnsi="Times New Roman" w:cs="Times New Roman"/>
                <w:sz w:val="21"/>
                <w:szCs w:val="21"/>
              </w:rPr>
            </w:pPr>
            <w:r>
              <w:rPr>
                <w:rFonts w:ascii="Times New Roman" w:hAnsi="Times New Roman" w:cs="Times New Roman"/>
                <w:sz w:val="21"/>
                <w:szCs w:val="21"/>
              </w:rPr>
              <w:t>3</w:t>
            </w:r>
          </w:p>
        </w:tc>
        <w:tc>
          <w:tcPr>
            <w:tcW w:w="2272" w:type="dxa"/>
            <w:noWrap w:val="0"/>
            <w:vAlign w:val="center"/>
          </w:tcPr>
          <w:p w14:paraId="0BC2D690">
            <w:pPr>
              <w:jc w:val="center"/>
              <w:rPr>
                <w:rFonts w:ascii="Times New Roman" w:hAnsi="Times New Roman" w:cs="Times New Roman"/>
                <w:sz w:val="21"/>
                <w:szCs w:val="21"/>
              </w:rPr>
            </w:pPr>
            <w:r>
              <w:rPr>
                <w:rFonts w:ascii="Times New Roman" w:hAnsi="Times New Roman" w:cs="Times New Roman"/>
                <w:sz w:val="21"/>
                <w:szCs w:val="21"/>
              </w:rPr>
              <w:t>六价铬</w:t>
            </w:r>
          </w:p>
        </w:tc>
        <w:tc>
          <w:tcPr>
            <w:tcW w:w="1420" w:type="dxa"/>
            <w:noWrap w:val="0"/>
            <w:vAlign w:val="center"/>
          </w:tcPr>
          <w:p w14:paraId="7C4E4B83">
            <w:pPr>
              <w:spacing w:line="240" w:lineRule="exact"/>
              <w:jc w:val="center"/>
              <w:rPr>
                <w:rFonts w:ascii="Times New Roman" w:hAnsi="Times New Roman" w:cs="Times New Roman"/>
                <w:sz w:val="21"/>
                <w:szCs w:val="21"/>
              </w:rPr>
            </w:pPr>
            <w:r>
              <w:rPr>
                <w:rFonts w:ascii="Times New Roman" w:hAnsi="Times New Roman" w:cs="Times New Roman"/>
                <w:sz w:val="21"/>
                <w:szCs w:val="21"/>
              </w:rPr>
              <w:t>3.0</w:t>
            </w:r>
          </w:p>
        </w:tc>
        <w:tc>
          <w:tcPr>
            <w:tcW w:w="1420" w:type="dxa"/>
            <w:noWrap w:val="0"/>
            <w:vAlign w:val="center"/>
          </w:tcPr>
          <w:p w14:paraId="5D84B165">
            <w:pPr>
              <w:spacing w:line="240" w:lineRule="exact"/>
              <w:jc w:val="center"/>
              <w:rPr>
                <w:rFonts w:ascii="Times New Roman" w:hAnsi="Times New Roman" w:cs="Times New Roman"/>
                <w:sz w:val="21"/>
                <w:szCs w:val="21"/>
              </w:rPr>
            </w:pPr>
            <w:r>
              <w:rPr>
                <w:rFonts w:ascii="Times New Roman" w:hAnsi="Times New Roman" w:cs="Times New Roman"/>
                <w:sz w:val="21"/>
                <w:szCs w:val="21"/>
              </w:rPr>
              <w:t>30</w:t>
            </w:r>
          </w:p>
        </w:tc>
        <w:tc>
          <w:tcPr>
            <w:tcW w:w="1420" w:type="dxa"/>
            <w:noWrap w:val="0"/>
            <w:vAlign w:val="center"/>
          </w:tcPr>
          <w:p w14:paraId="6B361214">
            <w:pPr>
              <w:spacing w:line="240" w:lineRule="exact"/>
              <w:jc w:val="center"/>
              <w:rPr>
                <w:rFonts w:ascii="Times New Roman" w:hAnsi="Times New Roman" w:cs="Times New Roman"/>
                <w:sz w:val="21"/>
                <w:szCs w:val="21"/>
              </w:rPr>
            </w:pPr>
            <w:r>
              <w:rPr>
                <w:rFonts w:ascii="Times New Roman" w:hAnsi="Times New Roman" w:cs="Times New Roman"/>
                <w:sz w:val="21"/>
                <w:szCs w:val="21"/>
              </w:rPr>
              <w:t>5.7</w:t>
            </w:r>
          </w:p>
        </w:tc>
        <w:tc>
          <w:tcPr>
            <w:tcW w:w="1324" w:type="dxa"/>
            <w:noWrap w:val="0"/>
            <w:vAlign w:val="center"/>
          </w:tcPr>
          <w:p w14:paraId="053C0409">
            <w:pPr>
              <w:spacing w:line="240" w:lineRule="exact"/>
              <w:jc w:val="center"/>
              <w:rPr>
                <w:rFonts w:ascii="Times New Roman" w:hAnsi="Times New Roman" w:cs="Times New Roman"/>
                <w:sz w:val="21"/>
                <w:szCs w:val="21"/>
              </w:rPr>
            </w:pPr>
            <w:r>
              <w:rPr>
                <w:rFonts w:ascii="Times New Roman" w:hAnsi="Times New Roman" w:cs="Times New Roman"/>
                <w:sz w:val="21"/>
                <w:szCs w:val="21"/>
              </w:rPr>
              <w:t>78</w:t>
            </w:r>
          </w:p>
        </w:tc>
      </w:tr>
      <w:tr w14:paraId="26359C17">
        <w:tblPrEx>
          <w:tblBorders>
            <w:top w:val="thinThickSmallGap" w:color="auto" w:sz="12" w:space="0"/>
            <w:left w:val="none" w:color="auto" w:sz="0" w:space="0"/>
            <w:bottom w:val="thickThinSmallGap"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88" w:hRule="atLeast"/>
          <w:jc w:val="center"/>
        </w:trPr>
        <w:tc>
          <w:tcPr>
            <w:tcW w:w="756" w:type="dxa"/>
            <w:noWrap w:val="0"/>
            <w:vAlign w:val="center"/>
          </w:tcPr>
          <w:p w14:paraId="1A11E0BB">
            <w:pPr>
              <w:jc w:val="center"/>
              <w:rPr>
                <w:rFonts w:ascii="Times New Roman" w:hAnsi="Times New Roman" w:cs="Times New Roman"/>
                <w:sz w:val="21"/>
                <w:szCs w:val="21"/>
              </w:rPr>
            </w:pPr>
            <w:r>
              <w:rPr>
                <w:rFonts w:ascii="Times New Roman" w:hAnsi="Times New Roman" w:cs="Times New Roman"/>
                <w:sz w:val="21"/>
                <w:szCs w:val="21"/>
              </w:rPr>
              <w:t>4</w:t>
            </w:r>
          </w:p>
        </w:tc>
        <w:tc>
          <w:tcPr>
            <w:tcW w:w="2272" w:type="dxa"/>
            <w:noWrap w:val="0"/>
            <w:vAlign w:val="center"/>
          </w:tcPr>
          <w:p w14:paraId="471B4CEF">
            <w:pPr>
              <w:jc w:val="center"/>
              <w:rPr>
                <w:rFonts w:ascii="Times New Roman" w:hAnsi="Times New Roman" w:cs="Times New Roman"/>
                <w:sz w:val="21"/>
                <w:szCs w:val="21"/>
              </w:rPr>
            </w:pPr>
            <w:r>
              <w:rPr>
                <w:rFonts w:ascii="Times New Roman" w:hAnsi="Times New Roman" w:cs="Times New Roman"/>
                <w:sz w:val="21"/>
                <w:szCs w:val="21"/>
              </w:rPr>
              <w:t>铜</w:t>
            </w:r>
          </w:p>
        </w:tc>
        <w:tc>
          <w:tcPr>
            <w:tcW w:w="1420" w:type="dxa"/>
            <w:noWrap w:val="0"/>
            <w:vAlign w:val="center"/>
          </w:tcPr>
          <w:p w14:paraId="1AA7E2F1">
            <w:pPr>
              <w:spacing w:line="240" w:lineRule="exact"/>
              <w:jc w:val="center"/>
              <w:rPr>
                <w:rFonts w:ascii="Times New Roman" w:hAnsi="Times New Roman" w:cs="Times New Roman"/>
                <w:sz w:val="21"/>
                <w:szCs w:val="21"/>
              </w:rPr>
            </w:pPr>
            <w:r>
              <w:rPr>
                <w:rFonts w:ascii="Times New Roman" w:hAnsi="Times New Roman" w:cs="Times New Roman"/>
                <w:sz w:val="21"/>
                <w:szCs w:val="21"/>
              </w:rPr>
              <w:t>2000</w:t>
            </w:r>
          </w:p>
        </w:tc>
        <w:tc>
          <w:tcPr>
            <w:tcW w:w="1420" w:type="dxa"/>
            <w:noWrap w:val="0"/>
            <w:vAlign w:val="center"/>
          </w:tcPr>
          <w:p w14:paraId="33D45049">
            <w:pPr>
              <w:spacing w:line="240" w:lineRule="exact"/>
              <w:jc w:val="center"/>
              <w:rPr>
                <w:rFonts w:ascii="Times New Roman" w:hAnsi="Times New Roman" w:cs="Times New Roman"/>
                <w:sz w:val="21"/>
                <w:szCs w:val="21"/>
              </w:rPr>
            </w:pPr>
            <w:r>
              <w:rPr>
                <w:rFonts w:ascii="Times New Roman" w:hAnsi="Times New Roman" w:cs="Times New Roman"/>
                <w:sz w:val="21"/>
                <w:szCs w:val="21"/>
              </w:rPr>
              <w:t>8000</w:t>
            </w:r>
          </w:p>
        </w:tc>
        <w:tc>
          <w:tcPr>
            <w:tcW w:w="1420" w:type="dxa"/>
            <w:noWrap w:val="0"/>
            <w:vAlign w:val="center"/>
          </w:tcPr>
          <w:p w14:paraId="5000C7B4">
            <w:pPr>
              <w:spacing w:line="240" w:lineRule="exact"/>
              <w:jc w:val="center"/>
              <w:rPr>
                <w:rFonts w:ascii="Times New Roman" w:hAnsi="Times New Roman" w:cs="Times New Roman"/>
                <w:sz w:val="21"/>
                <w:szCs w:val="21"/>
              </w:rPr>
            </w:pPr>
            <w:r>
              <w:rPr>
                <w:rFonts w:ascii="Times New Roman" w:hAnsi="Times New Roman" w:cs="Times New Roman"/>
                <w:sz w:val="21"/>
                <w:szCs w:val="21"/>
              </w:rPr>
              <w:t>18000</w:t>
            </w:r>
          </w:p>
        </w:tc>
        <w:tc>
          <w:tcPr>
            <w:tcW w:w="1324" w:type="dxa"/>
            <w:noWrap w:val="0"/>
            <w:vAlign w:val="center"/>
          </w:tcPr>
          <w:p w14:paraId="7C563323">
            <w:pPr>
              <w:spacing w:line="240" w:lineRule="exact"/>
              <w:jc w:val="center"/>
              <w:rPr>
                <w:rFonts w:ascii="Times New Roman" w:hAnsi="Times New Roman" w:cs="Times New Roman"/>
                <w:sz w:val="21"/>
                <w:szCs w:val="21"/>
              </w:rPr>
            </w:pPr>
            <w:r>
              <w:rPr>
                <w:rFonts w:ascii="Times New Roman" w:hAnsi="Times New Roman" w:cs="Times New Roman"/>
                <w:sz w:val="21"/>
                <w:szCs w:val="21"/>
              </w:rPr>
              <w:t>36000</w:t>
            </w:r>
          </w:p>
        </w:tc>
      </w:tr>
      <w:tr w14:paraId="6A8AE272">
        <w:tblPrEx>
          <w:tblBorders>
            <w:top w:val="thinThickSmallGap" w:color="auto" w:sz="12" w:space="0"/>
            <w:left w:val="none" w:color="auto" w:sz="0" w:space="0"/>
            <w:bottom w:val="thickThinSmallGap"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88" w:hRule="atLeast"/>
          <w:jc w:val="center"/>
        </w:trPr>
        <w:tc>
          <w:tcPr>
            <w:tcW w:w="756" w:type="dxa"/>
            <w:noWrap w:val="0"/>
            <w:vAlign w:val="center"/>
          </w:tcPr>
          <w:p w14:paraId="0181E2FB">
            <w:pPr>
              <w:jc w:val="center"/>
              <w:rPr>
                <w:rFonts w:ascii="Times New Roman" w:hAnsi="Times New Roman" w:cs="Times New Roman"/>
                <w:sz w:val="21"/>
                <w:szCs w:val="21"/>
              </w:rPr>
            </w:pPr>
            <w:r>
              <w:rPr>
                <w:rFonts w:ascii="Times New Roman" w:hAnsi="Times New Roman" w:cs="Times New Roman"/>
                <w:sz w:val="21"/>
                <w:szCs w:val="21"/>
              </w:rPr>
              <w:t>5</w:t>
            </w:r>
          </w:p>
        </w:tc>
        <w:tc>
          <w:tcPr>
            <w:tcW w:w="2272" w:type="dxa"/>
            <w:noWrap w:val="0"/>
            <w:vAlign w:val="center"/>
          </w:tcPr>
          <w:p w14:paraId="49D4FDA7">
            <w:pPr>
              <w:jc w:val="center"/>
              <w:rPr>
                <w:rFonts w:ascii="Times New Roman" w:hAnsi="Times New Roman" w:cs="Times New Roman"/>
                <w:sz w:val="21"/>
                <w:szCs w:val="21"/>
              </w:rPr>
            </w:pPr>
            <w:r>
              <w:rPr>
                <w:rFonts w:ascii="Times New Roman" w:hAnsi="Times New Roman" w:cs="Times New Roman"/>
                <w:sz w:val="21"/>
                <w:szCs w:val="21"/>
              </w:rPr>
              <w:t>铅</w:t>
            </w:r>
          </w:p>
        </w:tc>
        <w:tc>
          <w:tcPr>
            <w:tcW w:w="1420" w:type="dxa"/>
            <w:noWrap w:val="0"/>
            <w:vAlign w:val="center"/>
          </w:tcPr>
          <w:p w14:paraId="46FC49B5">
            <w:pPr>
              <w:spacing w:line="240" w:lineRule="exact"/>
              <w:jc w:val="center"/>
              <w:rPr>
                <w:rFonts w:ascii="Times New Roman" w:hAnsi="Times New Roman" w:cs="Times New Roman"/>
                <w:sz w:val="21"/>
                <w:szCs w:val="21"/>
              </w:rPr>
            </w:pPr>
            <w:r>
              <w:rPr>
                <w:rFonts w:ascii="Times New Roman" w:hAnsi="Times New Roman" w:cs="Times New Roman"/>
                <w:sz w:val="21"/>
                <w:szCs w:val="21"/>
              </w:rPr>
              <w:t>400</w:t>
            </w:r>
          </w:p>
        </w:tc>
        <w:tc>
          <w:tcPr>
            <w:tcW w:w="1420" w:type="dxa"/>
            <w:noWrap w:val="0"/>
            <w:vAlign w:val="center"/>
          </w:tcPr>
          <w:p w14:paraId="213C660E">
            <w:pPr>
              <w:spacing w:line="240" w:lineRule="exact"/>
              <w:jc w:val="center"/>
              <w:rPr>
                <w:rFonts w:ascii="Times New Roman" w:hAnsi="Times New Roman" w:cs="Times New Roman"/>
                <w:sz w:val="21"/>
                <w:szCs w:val="21"/>
              </w:rPr>
            </w:pPr>
            <w:r>
              <w:rPr>
                <w:rFonts w:ascii="Times New Roman" w:hAnsi="Times New Roman" w:cs="Times New Roman"/>
                <w:sz w:val="21"/>
                <w:szCs w:val="21"/>
              </w:rPr>
              <w:t>800</w:t>
            </w:r>
          </w:p>
        </w:tc>
        <w:tc>
          <w:tcPr>
            <w:tcW w:w="1420" w:type="dxa"/>
            <w:noWrap w:val="0"/>
            <w:vAlign w:val="center"/>
          </w:tcPr>
          <w:p w14:paraId="4C415ABC">
            <w:pPr>
              <w:spacing w:line="240" w:lineRule="exact"/>
              <w:jc w:val="center"/>
              <w:rPr>
                <w:rFonts w:ascii="Times New Roman" w:hAnsi="Times New Roman" w:cs="Times New Roman"/>
                <w:sz w:val="21"/>
                <w:szCs w:val="21"/>
              </w:rPr>
            </w:pPr>
            <w:r>
              <w:rPr>
                <w:rFonts w:ascii="Times New Roman" w:hAnsi="Times New Roman" w:cs="Times New Roman"/>
                <w:sz w:val="21"/>
                <w:szCs w:val="21"/>
              </w:rPr>
              <w:t>800</w:t>
            </w:r>
          </w:p>
        </w:tc>
        <w:tc>
          <w:tcPr>
            <w:tcW w:w="1324" w:type="dxa"/>
            <w:noWrap w:val="0"/>
            <w:vAlign w:val="center"/>
          </w:tcPr>
          <w:p w14:paraId="71849800">
            <w:pPr>
              <w:spacing w:line="240" w:lineRule="exact"/>
              <w:jc w:val="center"/>
              <w:rPr>
                <w:rFonts w:ascii="Times New Roman" w:hAnsi="Times New Roman" w:cs="Times New Roman"/>
                <w:sz w:val="21"/>
                <w:szCs w:val="21"/>
              </w:rPr>
            </w:pPr>
            <w:r>
              <w:rPr>
                <w:rFonts w:ascii="Times New Roman" w:hAnsi="Times New Roman" w:cs="Times New Roman"/>
                <w:sz w:val="21"/>
                <w:szCs w:val="21"/>
              </w:rPr>
              <w:t>2500</w:t>
            </w:r>
          </w:p>
        </w:tc>
      </w:tr>
      <w:tr w14:paraId="7A83D5F3">
        <w:tblPrEx>
          <w:tblBorders>
            <w:top w:val="thinThickSmallGap" w:color="auto" w:sz="12" w:space="0"/>
            <w:left w:val="none" w:color="auto" w:sz="0" w:space="0"/>
            <w:bottom w:val="thickThinSmallGap"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88" w:hRule="atLeast"/>
          <w:jc w:val="center"/>
        </w:trPr>
        <w:tc>
          <w:tcPr>
            <w:tcW w:w="756" w:type="dxa"/>
            <w:noWrap w:val="0"/>
            <w:vAlign w:val="center"/>
          </w:tcPr>
          <w:p w14:paraId="36762BEE">
            <w:pPr>
              <w:jc w:val="center"/>
              <w:rPr>
                <w:rFonts w:ascii="Times New Roman" w:hAnsi="Times New Roman" w:cs="Times New Roman"/>
                <w:sz w:val="21"/>
                <w:szCs w:val="21"/>
              </w:rPr>
            </w:pPr>
            <w:r>
              <w:rPr>
                <w:rFonts w:ascii="Times New Roman" w:hAnsi="Times New Roman" w:cs="Times New Roman"/>
                <w:sz w:val="21"/>
                <w:szCs w:val="21"/>
              </w:rPr>
              <w:t>6</w:t>
            </w:r>
          </w:p>
        </w:tc>
        <w:tc>
          <w:tcPr>
            <w:tcW w:w="2272" w:type="dxa"/>
            <w:noWrap w:val="0"/>
            <w:vAlign w:val="center"/>
          </w:tcPr>
          <w:p w14:paraId="1A6B529B">
            <w:pPr>
              <w:jc w:val="center"/>
              <w:rPr>
                <w:rFonts w:ascii="Times New Roman" w:hAnsi="Times New Roman" w:cs="Times New Roman"/>
                <w:sz w:val="21"/>
                <w:szCs w:val="21"/>
              </w:rPr>
            </w:pPr>
            <w:r>
              <w:rPr>
                <w:rFonts w:ascii="Times New Roman" w:hAnsi="Times New Roman" w:cs="Times New Roman"/>
                <w:sz w:val="21"/>
                <w:szCs w:val="21"/>
              </w:rPr>
              <w:t>汞</w:t>
            </w:r>
          </w:p>
        </w:tc>
        <w:tc>
          <w:tcPr>
            <w:tcW w:w="1420" w:type="dxa"/>
            <w:noWrap w:val="0"/>
            <w:vAlign w:val="center"/>
          </w:tcPr>
          <w:p w14:paraId="23548E26">
            <w:pPr>
              <w:spacing w:line="240" w:lineRule="exact"/>
              <w:jc w:val="center"/>
              <w:rPr>
                <w:rFonts w:ascii="Times New Roman" w:hAnsi="Times New Roman" w:cs="Times New Roman"/>
                <w:sz w:val="21"/>
                <w:szCs w:val="21"/>
              </w:rPr>
            </w:pPr>
            <w:r>
              <w:rPr>
                <w:rFonts w:ascii="Times New Roman" w:hAnsi="Times New Roman" w:cs="Times New Roman"/>
                <w:sz w:val="21"/>
                <w:szCs w:val="21"/>
              </w:rPr>
              <w:t>8</w:t>
            </w:r>
          </w:p>
        </w:tc>
        <w:tc>
          <w:tcPr>
            <w:tcW w:w="1420" w:type="dxa"/>
            <w:noWrap w:val="0"/>
            <w:vAlign w:val="center"/>
          </w:tcPr>
          <w:p w14:paraId="26289580">
            <w:pPr>
              <w:spacing w:line="240" w:lineRule="exact"/>
              <w:jc w:val="center"/>
              <w:rPr>
                <w:rFonts w:ascii="Times New Roman" w:hAnsi="Times New Roman" w:cs="Times New Roman"/>
                <w:sz w:val="21"/>
                <w:szCs w:val="21"/>
              </w:rPr>
            </w:pPr>
            <w:r>
              <w:rPr>
                <w:rFonts w:ascii="Times New Roman" w:hAnsi="Times New Roman" w:cs="Times New Roman"/>
                <w:sz w:val="21"/>
                <w:szCs w:val="21"/>
              </w:rPr>
              <w:t>33</w:t>
            </w:r>
          </w:p>
        </w:tc>
        <w:tc>
          <w:tcPr>
            <w:tcW w:w="1420" w:type="dxa"/>
            <w:noWrap w:val="0"/>
            <w:vAlign w:val="center"/>
          </w:tcPr>
          <w:p w14:paraId="35B72F7B">
            <w:pPr>
              <w:spacing w:line="240" w:lineRule="exact"/>
              <w:jc w:val="center"/>
              <w:rPr>
                <w:rFonts w:ascii="Times New Roman" w:hAnsi="Times New Roman" w:cs="Times New Roman"/>
                <w:sz w:val="21"/>
                <w:szCs w:val="21"/>
              </w:rPr>
            </w:pPr>
            <w:r>
              <w:rPr>
                <w:rFonts w:ascii="Times New Roman" w:hAnsi="Times New Roman" w:cs="Times New Roman"/>
                <w:sz w:val="21"/>
                <w:szCs w:val="21"/>
              </w:rPr>
              <w:t>38</w:t>
            </w:r>
          </w:p>
        </w:tc>
        <w:tc>
          <w:tcPr>
            <w:tcW w:w="1324" w:type="dxa"/>
            <w:noWrap w:val="0"/>
            <w:vAlign w:val="center"/>
          </w:tcPr>
          <w:p w14:paraId="3024AE62">
            <w:pPr>
              <w:spacing w:line="240" w:lineRule="exact"/>
              <w:jc w:val="center"/>
              <w:rPr>
                <w:rFonts w:ascii="Times New Roman" w:hAnsi="Times New Roman" w:cs="Times New Roman"/>
                <w:sz w:val="21"/>
                <w:szCs w:val="21"/>
              </w:rPr>
            </w:pPr>
            <w:r>
              <w:rPr>
                <w:rFonts w:ascii="Times New Roman" w:hAnsi="Times New Roman" w:cs="Times New Roman"/>
                <w:sz w:val="21"/>
                <w:szCs w:val="21"/>
              </w:rPr>
              <w:t>82</w:t>
            </w:r>
          </w:p>
        </w:tc>
      </w:tr>
      <w:tr w14:paraId="48A6A1A2">
        <w:tblPrEx>
          <w:tblBorders>
            <w:top w:val="thinThickSmallGap" w:color="auto" w:sz="12" w:space="0"/>
            <w:left w:val="none" w:color="auto" w:sz="0" w:space="0"/>
            <w:bottom w:val="thickThinSmallGap"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88" w:hRule="atLeast"/>
          <w:jc w:val="center"/>
        </w:trPr>
        <w:tc>
          <w:tcPr>
            <w:tcW w:w="756" w:type="dxa"/>
            <w:noWrap w:val="0"/>
            <w:vAlign w:val="center"/>
          </w:tcPr>
          <w:p w14:paraId="34845ACE">
            <w:pPr>
              <w:jc w:val="center"/>
              <w:rPr>
                <w:rFonts w:ascii="Times New Roman" w:hAnsi="Times New Roman" w:cs="Times New Roman"/>
                <w:sz w:val="21"/>
                <w:szCs w:val="21"/>
              </w:rPr>
            </w:pPr>
            <w:r>
              <w:rPr>
                <w:rFonts w:ascii="Times New Roman" w:hAnsi="Times New Roman" w:cs="Times New Roman"/>
                <w:sz w:val="21"/>
                <w:szCs w:val="21"/>
              </w:rPr>
              <w:t>7</w:t>
            </w:r>
          </w:p>
        </w:tc>
        <w:tc>
          <w:tcPr>
            <w:tcW w:w="2272" w:type="dxa"/>
            <w:noWrap w:val="0"/>
            <w:vAlign w:val="center"/>
          </w:tcPr>
          <w:p w14:paraId="13C69D2C">
            <w:pPr>
              <w:jc w:val="center"/>
              <w:rPr>
                <w:rFonts w:ascii="Times New Roman" w:hAnsi="Times New Roman" w:cs="Times New Roman"/>
                <w:sz w:val="21"/>
                <w:szCs w:val="21"/>
              </w:rPr>
            </w:pPr>
            <w:r>
              <w:rPr>
                <w:rFonts w:ascii="Times New Roman" w:hAnsi="Times New Roman" w:cs="Times New Roman"/>
                <w:sz w:val="21"/>
                <w:szCs w:val="21"/>
              </w:rPr>
              <w:t>镍</w:t>
            </w:r>
          </w:p>
        </w:tc>
        <w:tc>
          <w:tcPr>
            <w:tcW w:w="1420" w:type="dxa"/>
            <w:noWrap w:val="0"/>
            <w:vAlign w:val="center"/>
          </w:tcPr>
          <w:p w14:paraId="0CCC9710">
            <w:pPr>
              <w:spacing w:line="240" w:lineRule="exact"/>
              <w:jc w:val="center"/>
              <w:rPr>
                <w:rFonts w:ascii="Times New Roman" w:hAnsi="Times New Roman" w:cs="Times New Roman"/>
                <w:sz w:val="21"/>
                <w:szCs w:val="21"/>
              </w:rPr>
            </w:pPr>
            <w:r>
              <w:rPr>
                <w:rFonts w:ascii="Times New Roman" w:hAnsi="Times New Roman" w:cs="Times New Roman"/>
                <w:sz w:val="21"/>
                <w:szCs w:val="21"/>
              </w:rPr>
              <w:t>150</w:t>
            </w:r>
          </w:p>
        </w:tc>
        <w:tc>
          <w:tcPr>
            <w:tcW w:w="1420" w:type="dxa"/>
            <w:noWrap w:val="0"/>
            <w:vAlign w:val="center"/>
          </w:tcPr>
          <w:p w14:paraId="5BCA0F1A">
            <w:pPr>
              <w:spacing w:line="240" w:lineRule="exact"/>
              <w:jc w:val="center"/>
              <w:rPr>
                <w:rFonts w:ascii="Times New Roman" w:hAnsi="Times New Roman" w:cs="Times New Roman"/>
                <w:sz w:val="21"/>
                <w:szCs w:val="21"/>
              </w:rPr>
            </w:pPr>
            <w:r>
              <w:rPr>
                <w:rFonts w:ascii="Times New Roman" w:hAnsi="Times New Roman" w:cs="Times New Roman"/>
                <w:sz w:val="21"/>
                <w:szCs w:val="21"/>
              </w:rPr>
              <w:t>600</w:t>
            </w:r>
          </w:p>
        </w:tc>
        <w:tc>
          <w:tcPr>
            <w:tcW w:w="1420" w:type="dxa"/>
            <w:noWrap w:val="0"/>
            <w:vAlign w:val="center"/>
          </w:tcPr>
          <w:p w14:paraId="43017F88">
            <w:pPr>
              <w:spacing w:line="240" w:lineRule="exact"/>
              <w:jc w:val="center"/>
              <w:rPr>
                <w:rFonts w:ascii="Times New Roman" w:hAnsi="Times New Roman" w:cs="Times New Roman"/>
                <w:sz w:val="21"/>
                <w:szCs w:val="21"/>
              </w:rPr>
            </w:pPr>
            <w:r>
              <w:rPr>
                <w:rFonts w:ascii="Times New Roman" w:hAnsi="Times New Roman" w:cs="Times New Roman"/>
                <w:sz w:val="21"/>
                <w:szCs w:val="21"/>
              </w:rPr>
              <w:t>900</w:t>
            </w:r>
          </w:p>
        </w:tc>
        <w:tc>
          <w:tcPr>
            <w:tcW w:w="1324" w:type="dxa"/>
            <w:noWrap w:val="0"/>
            <w:vAlign w:val="center"/>
          </w:tcPr>
          <w:p w14:paraId="25FE6FE9">
            <w:pPr>
              <w:spacing w:line="240" w:lineRule="exact"/>
              <w:jc w:val="center"/>
              <w:rPr>
                <w:rFonts w:ascii="Times New Roman" w:hAnsi="Times New Roman" w:cs="Times New Roman"/>
                <w:sz w:val="21"/>
                <w:szCs w:val="21"/>
              </w:rPr>
            </w:pPr>
            <w:r>
              <w:rPr>
                <w:rFonts w:ascii="Times New Roman" w:hAnsi="Times New Roman" w:cs="Times New Roman"/>
                <w:sz w:val="21"/>
                <w:szCs w:val="21"/>
              </w:rPr>
              <w:t>2000</w:t>
            </w:r>
          </w:p>
        </w:tc>
      </w:tr>
      <w:tr w14:paraId="26CCE402">
        <w:tblPrEx>
          <w:tblBorders>
            <w:top w:val="thinThickSmallGap" w:color="auto" w:sz="12" w:space="0"/>
            <w:left w:val="none" w:color="auto" w:sz="0" w:space="0"/>
            <w:bottom w:val="thickThinSmallGap"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88" w:hRule="atLeast"/>
          <w:jc w:val="center"/>
        </w:trPr>
        <w:tc>
          <w:tcPr>
            <w:tcW w:w="8612" w:type="dxa"/>
            <w:gridSpan w:val="6"/>
            <w:noWrap w:val="0"/>
            <w:vAlign w:val="center"/>
          </w:tcPr>
          <w:p w14:paraId="0A698270">
            <w:pPr>
              <w:spacing w:line="240" w:lineRule="exact"/>
              <w:jc w:val="center"/>
              <w:rPr>
                <w:rFonts w:ascii="Times New Roman" w:hAnsi="Times New Roman" w:cs="Times New Roman"/>
                <w:sz w:val="21"/>
                <w:szCs w:val="21"/>
              </w:rPr>
            </w:pPr>
            <w:r>
              <w:rPr>
                <w:rFonts w:ascii="Times New Roman" w:hAnsi="Times New Roman" w:cs="Times New Roman"/>
                <w:sz w:val="21"/>
                <w:szCs w:val="21"/>
              </w:rPr>
              <w:t>挥发性有机物</w:t>
            </w:r>
          </w:p>
        </w:tc>
      </w:tr>
      <w:tr w14:paraId="393666AE">
        <w:tblPrEx>
          <w:tblBorders>
            <w:top w:val="thinThickSmallGap" w:color="auto" w:sz="12" w:space="0"/>
            <w:left w:val="none" w:color="auto" w:sz="0" w:space="0"/>
            <w:bottom w:val="thickThinSmallGap"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88" w:hRule="atLeast"/>
          <w:jc w:val="center"/>
        </w:trPr>
        <w:tc>
          <w:tcPr>
            <w:tcW w:w="756" w:type="dxa"/>
            <w:noWrap w:val="0"/>
            <w:vAlign w:val="center"/>
          </w:tcPr>
          <w:p w14:paraId="19373610">
            <w:pPr>
              <w:jc w:val="center"/>
              <w:rPr>
                <w:rFonts w:ascii="Times New Roman" w:hAnsi="Times New Roman" w:cs="Times New Roman"/>
                <w:sz w:val="21"/>
                <w:szCs w:val="21"/>
              </w:rPr>
            </w:pPr>
            <w:r>
              <w:rPr>
                <w:rFonts w:ascii="Times New Roman" w:hAnsi="Times New Roman" w:cs="Times New Roman"/>
                <w:sz w:val="21"/>
                <w:szCs w:val="21"/>
              </w:rPr>
              <w:t>8</w:t>
            </w:r>
          </w:p>
        </w:tc>
        <w:tc>
          <w:tcPr>
            <w:tcW w:w="2272" w:type="dxa"/>
            <w:noWrap w:val="0"/>
            <w:vAlign w:val="center"/>
          </w:tcPr>
          <w:p w14:paraId="15FA05FC">
            <w:pPr>
              <w:jc w:val="center"/>
              <w:rPr>
                <w:rFonts w:ascii="Times New Roman" w:hAnsi="Times New Roman" w:cs="Times New Roman"/>
                <w:sz w:val="21"/>
                <w:szCs w:val="21"/>
              </w:rPr>
            </w:pPr>
            <w:r>
              <w:rPr>
                <w:rFonts w:ascii="Times New Roman" w:hAnsi="Times New Roman" w:cs="Times New Roman"/>
                <w:sz w:val="21"/>
                <w:szCs w:val="21"/>
              </w:rPr>
              <w:t>四氯化碳</w:t>
            </w:r>
          </w:p>
        </w:tc>
        <w:tc>
          <w:tcPr>
            <w:tcW w:w="1420" w:type="dxa"/>
            <w:noWrap w:val="0"/>
            <w:vAlign w:val="center"/>
          </w:tcPr>
          <w:p w14:paraId="546723F3">
            <w:pPr>
              <w:spacing w:line="240" w:lineRule="exact"/>
              <w:jc w:val="center"/>
              <w:rPr>
                <w:rFonts w:ascii="Times New Roman" w:hAnsi="Times New Roman" w:cs="Times New Roman"/>
                <w:sz w:val="21"/>
                <w:szCs w:val="21"/>
              </w:rPr>
            </w:pPr>
            <w:r>
              <w:rPr>
                <w:rFonts w:ascii="Times New Roman" w:hAnsi="Times New Roman" w:cs="Times New Roman"/>
                <w:sz w:val="21"/>
                <w:szCs w:val="21"/>
              </w:rPr>
              <w:t>0.9</w:t>
            </w:r>
          </w:p>
        </w:tc>
        <w:tc>
          <w:tcPr>
            <w:tcW w:w="1420" w:type="dxa"/>
            <w:noWrap w:val="0"/>
            <w:vAlign w:val="center"/>
          </w:tcPr>
          <w:p w14:paraId="7C75FE13">
            <w:pPr>
              <w:spacing w:line="240" w:lineRule="exact"/>
              <w:jc w:val="center"/>
              <w:rPr>
                <w:rFonts w:ascii="Times New Roman" w:hAnsi="Times New Roman" w:cs="Times New Roman"/>
                <w:sz w:val="21"/>
                <w:szCs w:val="21"/>
              </w:rPr>
            </w:pPr>
            <w:r>
              <w:rPr>
                <w:rFonts w:ascii="Times New Roman" w:hAnsi="Times New Roman" w:cs="Times New Roman"/>
                <w:sz w:val="21"/>
                <w:szCs w:val="21"/>
              </w:rPr>
              <w:t>9</w:t>
            </w:r>
          </w:p>
        </w:tc>
        <w:tc>
          <w:tcPr>
            <w:tcW w:w="1420" w:type="dxa"/>
            <w:noWrap w:val="0"/>
            <w:vAlign w:val="center"/>
          </w:tcPr>
          <w:p w14:paraId="4B6FFCBF">
            <w:pPr>
              <w:spacing w:line="240" w:lineRule="exact"/>
              <w:jc w:val="center"/>
              <w:rPr>
                <w:rFonts w:ascii="Times New Roman" w:hAnsi="Times New Roman" w:cs="Times New Roman"/>
                <w:sz w:val="21"/>
                <w:szCs w:val="21"/>
              </w:rPr>
            </w:pPr>
            <w:r>
              <w:rPr>
                <w:rFonts w:ascii="Times New Roman" w:hAnsi="Times New Roman" w:cs="Times New Roman"/>
                <w:sz w:val="21"/>
                <w:szCs w:val="21"/>
              </w:rPr>
              <w:t>2.8</w:t>
            </w:r>
          </w:p>
        </w:tc>
        <w:tc>
          <w:tcPr>
            <w:tcW w:w="1324" w:type="dxa"/>
            <w:noWrap w:val="0"/>
            <w:vAlign w:val="center"/>
          </w:tcPr>
          <w:p w14:paraId="68332148">
            <w:pPr>
              <w:spacing w:line="240" w:lineRule="exact"/>
              <w:jc w:val="center"/>
              <w:rPr>
                <w:rFonts w:ascii="Times New Roman" w:hAnsi="Times New Roman" w:cs="Times New Roman"/>
                <w:sz w:val="21"/>
                <w:szCs w:val="21"/>
              </w:rPr>
            </w:pPr>
            <w:r>
              <w:rPr>
                <w:rFonts w:ascii="Times New Roman" w:hAnsi="Times New Roman" w:cs="Times New Roman"/>
                <w:sz w:val="21"/>
                <w:szCs w:val="21"/>
              </w:rPr>
              <w:t>36</w:t>
            </w:r>
          </w:p>
        </w:tc>
      </w:tr>
      <w:tr w14:paraId="4C9C90E7">
        <w:tblPrEx>
          <w:tblBorders>
            <w:top w:val="thinThickSmallGap" w:color="auto" w:sz="12" w:space="0"/>
            <w:left w:val="none" w:color="auto" w:sz="0" w:space="0"/>
            <w:bottom w:val="thickThinSmallGap"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88" w:hRule="atLeast"/>
          <w:jc w:val="center"/>
        </w:trPr>
        <w:tc>
          <w:tcPr>
            <w:tcW w:w="756" w:type="dxa"/>
            <w:noWrap w:val="0"/>
            <w:vAlign w:val="center"/>
          </w:tcPr>
          <w:p w14:paraId="20C03676">
            <w:pPr>
              <w:jc w:val="center"/>
              <w:rPr>
                <w:rFonts w:ascii="Times New Roman" w:hAnsi="Times New Roman" w:cs="Times New Roman"/>
                <w:sz w:val="21"/>
                <w:szCs w:val="21"/>
              </w:rPr>
            </w:pPr>
            <w:r>
              <w:rPr>
                <w:rFonts w:ascii="Times New Roman" w:hAnsi="Times New Roman" w:cs="Times New Roman"/>
                <w:sz w:val="21"/>
                <w:szCs w:val="21"/>
              </w:rPr>
              <w:t>9</w:t>
            </w:r>
          </w:p>
        </w:tc>
        <w:tc>
          <w:tcPr>
            <w:tcW w:w="2272" w:type="dxa"/>
            <w:noWrap w:val="0"/>
            <w:vAlign w:val="center"/>
          </w:tcPr>
          <w:p w14:paraId="513DC5FF">
            <w:pPr>
              <w:jc w:val="center"/>
              <w:rPr>
                <w:rFonts w:ascii="Times New Roman" w:hAnsi="Times New Roman" w:cs="Times New Roman"/>
                <w:sz w:val="21"/>
                <w:szCs w:val="21"/>
              </w:rPr>
            </w:pPr>
            <w:r>
              <w:rPr>
                <w:rFonts w:ascii="Times New Roman" w:hAnsi="Times New Roman" w:cs="Times New Roman"/>
                <w:sz w:val="21"/>
                <w:szCs w:val="21"/>
              </w:rPr>
              <w:t>氯仿</w:t>
            </w:r>
          </w:p>
        </w:tc>
        <w:tc>
          <w:tcPr>
            <w:tcW w:w="1420" w:type="dxa"/>
            <w:noWrap w:val="0"/>
            <w:vAlign w:val="center"/>
          </w:tcPr>
          <w:p w14:paraId="1E9EB614">
            <w:pPr>
              <w:spacing w:line="240" w:lineRule="exact"/>
              <w:jc w:val="center"/>
              <w:rPr>
                <w:rFonts w:ascii="Times New Roman" w:hAnsi="Times New Roman" w:cs="Times New Roman"/>
                <w:sz w:val="21"/>
                <w:szCs w:val="21"/>
              </w:rPr>
            </w:pPr>
            <w:r>
              <w:rPr>
                <w:rFonts w:ascii="Times New Roman" w:hAnsi="Times New Roman" w:cs="Times New Roman"/>
                <w:sz w:val="21"/>
                <w:szCs w:val="21"/>
              </w:rPr>
              <w:t>0.3</w:t>
            </w:r>
          </w:p>
        </w:tc>
        <w:tc>
          <w:tcPr>
            <w:tcW w:w="1420" w:type="dxa"/>
            <w:noWrap w:val="0"/>
            <w:vAlign w:val="center"/>
          </w:tcPr>
          <w:p w14:paraId="2D544F4A">
            <w:pPr>
              <w:spacing w:line="240" w:lineRule="exact"/>
              <w:jc w:val="center"/>
              <w:rPr>
                <w:rFonts w:ascii="Times New Roman" w:hAnsi="Times New Roman" w:cs="Times New Roman"/>
                <w:sz w:val="21"/>
                <w:szCs w:val="21"/>
              </w:rPr>
            </w:pPr>
            <w:r>
              <w:rPr>
                <w:rFonts w:ascii="Times New Roman" w:hAnsi="Times New Roman" w:cs="Times New Roman"/>
                <w:sz w:val="21"/>
                <w:szCs w:val="21"/>
              </w:rPr>
              <w:t>10</w:t>
            </w:r>
          </w:p>
        </w:tc>
        <w:tc>
          <w:tcPr>
            <w:tcW w:w="1420" w:type="dxa"/>
            <w:noWrap w:val="0"/>
            <w:vAlign w:val="center"/>
          </w:tcPr>
          <w:p w14:paraId="786CD925">
            <w:pPr>
              <w:spacing w:line="240" w:lineRule="exact"/>
              <w:jc w:val="center"/>
              <w:rPr>
                <w:rFonts w:ascii="Times New Roman" w:hAnsi="Times New Roman" w:cs="Times New Roman"/>
                <w:sz w:val="21"/>
                <w:szCs w:val="21"/>
              </w:rPr>
            </w:pPr>
            <w:r>
              <w:rPr>
                <w:rFonts w:ascii="Times New Roman" w:hAnsi="Times New Roman" w:cs="Times New Roman"/>
                <w:sz w:val="21"/>
                <w:szCs w:val="21"/>
              </w:rPr>
              <w:t>0.9</w:t>
            </w:r>
          </w:p>
        </w:tc>
        <w:tc>
          <w:tcPr>
            <w:tcW w:w="1324" w:type="dxa"/>
            <w:noWrap w:val="0"/>
            <w:vAlign w:val="center"/>
          </w:tcPr>
          <w:p w14:paraId="597FC3ED">
            <w:pPr>
              <w:spacing w:line="240" w:lineRule="exact"/>
              <w:jc w:val="center"/>
              <w:rPr>
                <w:rFonts w:ascii="Times New Roman" w:hAnsi="Times New Roman" w:cs="Times New Roman"/>
                <w:sz w:val="21"/>
                <w:szCs w:val="21"/>
              </w:rPr>
            </w:pPr>
            <w:r>
              <w:rPr>
                <w:rFonts w:ascii="Times New Roman" w:hAnsi="Times New Roman" w:cs="Times New Roman"/>
                <w:sz w:val="21"/>
                <w:szCs w:val="21"/>
              </w:rPr>
              <w:t>10</w:t>
            </w:r>
          </w:p>
        </w:tc>
      </w:tr>
      <w:tr w14:paraId="326D4192">
        <w:tblPrEx>
          <w:tblBorders>
            <w:top w:val="thinThickSmallGap" w:color="auto" w:sz="12" w:space="0"/>
            <w:left w:val="none" w:color="auto" w:sz="0" w:space="0"/>
            <w:bottom w:val="thickThinSmallGap"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88" w:hRule="atLeast"/>
          <w:jc w:val="center"/>
        </w:trPr>
        <w:tc>
          <w:tcPr>
            <w:tcW w:w="756" w:type="dxa"/>
            <w:noWrap w:val="0"/>
            <w:vAlign w:val="center"/>
          </w:tcPr>
          <w:p w14:paraId="1D1B63A1">
            <w:pPr>
              <w:jc w:val="center"/>
              <w:rPr>
                <w:rFonts w:ascii="Times New Roman" w:hAnsi="Times New Roman" w:cs="Times New Roman"/>
                <w:sz w:val="21"/>
                <w:szCs w:val="21"/>
              </w:rPr>
            </w:pPr>
            <w:r>
              <w:rPr>
                <w:rFonts w:ascii="Times New Roman" w:hAnsi="Times New Roman" w:cs="Times New Roman"/>
                <w:sz w:val="21"/>
                <w:szCs w:val="21"/>
              </w:rPr>
              <w:t>10</w:t>
            </w:r>
          </w:p>
        </w:tc>
        <w:tc>
          <w:tcPr>
            <w:tcW w:w="2272" w:type="dxa"/>
            <w:noWrap w:val="0"/>
            <w:vAlign w:val="center"/>
          </w:tcPr>
          <w:p w14:paraId="099866F9">
            <w:pPr>
              <w:jc w:val="center"/>
              <w:rPr>
                <w:rFonts w:ascii="Times New Roman" w:hAnsi="Times New Roman" w:cs="Times New Roman"/>
                <w:sz w:val="21"/>
                <w:szCs w:val="21"/>
              </w:rPr>
            </w:pPr>
            <w:r>
              <w:rPr>
                <w:rFonts w:ascii="Times New Roman" w:hAnsi="Times New Roman" w:cs="Times New Roman"/>
                <w:sz w:val="21"/>
                <w:szCs w:val="21"/>
              </w:rPr>
              <w:t>氯甲烷</w:t>
            </w:r>
          </w:p>
        </w:tc>
        <w:tc>
          <w:tcPr>
            <w:tcW w:w="1420" w:type="dxa"/>
            <w:noWrap w:val="0"/>
            <w:vAlign w:val="center"/>
          </w:tcPr>
          <w:p w14:paraId="2BBCFC8D">
            <w:pPr>
              <w:spacing w:line="240" w:lineRule="exact"/>
              <w:jc w:val="center"/>
              <w:rPr>
                <w:rFonts w:ascii="Times New Roman" w:hAnsi="Times New Roman" w:cs="Times New Roman"/>
                <w:sz w:val="21"/>
                <w:szCs w:val="21"/>
              </w:rPr>
            </w:pPr>
            <w:r>
              <w:rPr>
                <w:rFonts w:ascii="Times New Roman" w:hAnsi="Times New Roman" w:cs="Times New Roman"/>
                <w:sz w:val="21"/>
                <w:szCs w:val="21"/>
              </w:rPr>
              <w:t>12</w:t>
            </w:r>
          </w:p>
        </w:tc>
        <w:tc>
          <w:tcPr>
            <w:tcW w:w="1420" w:type="dxa"/>
            <w:noWrap w:val="0"/>
            <w:vAlign w:val="center"/>
          </w:tcPr>
          <w:p w14:paraId="59238FA8">
            <w:pPr>
              <w:spacing w:line="240" w:lineRule="exact"/>
              <w:jc w:val="center"/>
              <w:rPr>
                <w:rFonts w:ascii="Times New Roman" w:hAnsi="Times New Roman" w:cs="Times New Roman"/>
                <w:sz w:val="21"/>
                <w:szCs w:val="21"/>
              </w:rPr>
            </w:pPr>
            <w:r>
              <w:rPr>
                <w:rFonts w:ascii="Times New Roman" w:hAnsi="Times New Roman" w:cs="Times New Roman"/>
                <w:sz w:val="21"/>
                <w:szCs w:val="21"/>
              </w:rPr>
              <w:t>21</w:t>
            </w:r>
          </w:p>
        </w:tc>
        <w:tc>
          <w:tcPr>
            <w:tcW w:w="1420" w:type="dxa"/>
            <w:noWrap w:val="0"/>
            <w:vAlign w:val="center"/>
          </w:tcPr>
          <w:p w14:paraId="0D37F265">
            <w:pPr>
              <w:spacing w:line="240" w:lineRule="exact"/>
              <w:jc w:val="center"/>
              <w:rPr>
                <w:rFonts w:ascii="Times New Roman" w:hAnsi="Times New Roman" w:cs="Times New Roman"/>
                <w:sz w:val="21"/>
                <w:szCs w:val="21"/>
              </w:rPr>
            </w:pPr>
            <w:r>
              <w:rPr>
                <w:rFonts w:ascii="Times New Roman" w:hAnsi="Times New Roman" w:cs="Times New Roman"/>
                <w:sz w:val="21"/>
                <w:szCs w:val="21"/>
              </w:rPr>
              <w:t>37</w:t>
            </w:r>
          </w:p>
        </w:tc>
        <w:tc>
          <w:tcPr>
            <w:tcW w:w="1324" w:type="dxa"/>
            <w:noWrap w:val="0"/>
            <w:vAlign w:val="center"/>
          </w:tcPr>
          <w:p w14:paraId="18A16E19">
            <w:pPr>
              <w:spacing w:line="240" w:lineRule="exact"/>
              <w:jc w:val="center"/>
              <w:rPr>
                <w:rFonts w:ascii="Times New Roman" w:hAnsi="Times New Roman" w:cs="Times New Roman"/>
                <w:sz w:val="21"/>
                <w:szCs w:val="21"/>
              </w:rPr>
            </w:pPr>
            <w:r>
              <w:rPr>
                <w:rFonts w:ascii="Times New Roman" w:hAnsi="Times New Roman" w:cs="Times New Roman"/>
                <w:sz w:val="21"/>
                <w:szCs w:val="21"/>
              </w:rPr>
              <w:t>120</w:t>
            </w:r>
          </w:p>
        </w:tc>
      </w:tr>
      <w:tr w14:paraId="76B1226D">
        <w:tblPrEx>
          <w:tblBorders>
            <w:top w:val="thinThickSmallGap" w:color="auto" w:sz="12" w:space="0"/>
            <w:left w:val="none" w:color="auto" w:sz="0" w:space="0"/>
            <w:bottom w:val="thickThinSmallGap"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88" w:hRule="atLeast"/>
          <w:jc w:val="center"/>
        </w:trPr>
        <w:tc>
          <w:tcPr>
            <w:tcW w:w="756" w:type="dxa"/>
            <w:noWrap w:val="0"/>
            <w:vAlign w:val="center"/>
          </w:tcPr>
          <w:p w14:paraId="12CD8BE3">
            <w:pPr>
              <w:jc w:val="center"/>
              <w:rPr>
                <w:rFonts w:ascii="Times New Roman" w:hAnsi="Times New Roman" w:cs="Times New Roman"/>
                <w:sz w:val="21"/>
                <w:szCs w:val="21"/>
              </w:rPr>
            </w:pPr>
            <w:r>
              <w:rPr>
                <w:rFonts w:ascii="Times New Roman" w:hAnsi="Times New Roman" w:cs="Times New Roman"/>
                <w:sz w:val="21"/>
                <w:szCs w:val="21"/>
              </w:rPr>
              <w:t>11</w:t>
            </w:r>
          </w:p>
        </w:tc>
        <w:tc>
          <w:tcPr>
            <w:tcW w:w="2272" w:type="dxa"/>
            <w:noWrap w:val="0"/>
            <w:vAlign w:val="center"/>
          </w:tcPr>
          <w:p w14:paraId="567AC8BC">
            <w:pPr>
              <w:jc w:val="center"/>
              <w:rPr>
                <w:rFonts w:ascii="Times New Roman" w:hAnsi="Times New Roman" w:cs="Times New Roman"/>
                <w:sz w:val="21"/>
                <w:szCs w:val="21"/>
              </w:rPr>
            </w:pPr>
            <w:r>
              <w:rPr>
                <w:rFonts w:ascii="Times New Roman" w:hAnsi="Times New Roman" w:cs="Times New Roman"/>
                <w:sz w:val="21"/>
                <w:szCs w:val="21"/>
              </w:rPr>
              <w:t>1,1-二氯乙烷</w:t>
            </w:r>
          </w:p>
        </w:tc>
        <w:tc>
          <w:tcPr>
            <w:tcW w:w="1420" w:type="dxa"/>
            <w:noWrap w:val="0"/>
            <w:vAlign w:val="center"/>
          </w:tcPr>
          <w:p w14:paraId="77028796">
            <w:pPr>
              <w:spacing w:line="240" w:lineRule="exact"/>
              <w:jc w:val="center"/>
              <w:rPr>
                <w:rFonts w:ascii="Times New Roman" w:hAnsi="Times New Roman" w:cs="Times New Roman"/>
                <w:sz w:val="21"/>
                <w:szCs w:val="21"/>
              </w:rPr>
            </w:pPr>
            <w:r>
              <w:rPr>
                <w:rFonts w:ascii="Times New Roman" w:hAnsi="Times New Roman" w:cs="Times New Roman"/>
                <w:sz w:val="21"/>
                <w:szCs w:val="21"/>
              </w:rPr>
              <w:t>3</w:t>
            </w:r>
          </w:p>
        </w:tc>
        <w:tc>
          <w:tcPr>
            <w:tcW w:w="1420" w:type="dxa"/>
            <w:noWrap w:val="0"/>
            <w:vAlign w:val="center"/>
          </w:tcPr>
          <w:p w14:paraId="0A522E33">
            <w:pPr>
              <w:spacing w:line="240" w:lineRule="exact"/>
              <w:jc w:val="center"/>
              <w:rPr>
                <w:rFonts w:ascii="Times New Roman" w:hAnsi="Times New Roman" w:cs="Times New Roman"/>
                <w:sz w:val="21"/>
                <w:szCs w:val="21"/>
              </w:rPr>
            </w:pPr>
            <w:r>
              <w:rPr>
                <w:rFonts w:ascii="Times New Roman" w:hAnsi="Times New Roman" w:cs="Times New Roman"/>
                <w:sz w:val="21"/>
                <w:szCs w:val="21"/>
              </w:rPr>
              <w:t>20</w:t>
            </w:r>
          </w:p>
        </w:tc>
        <w:tc>
          <w:tcPr>
            <w:tcW w:w="1420" w:type="dxa"/>
            <w:noWrap w:val="0"/>
            <w:vAlign w:val="center"/>
          </w:tcPr>
          <w:p w14:paraId="2C8054DB">
            <w:pPr>
              <w:spacing w:line="240" w:lineRule="exact"/>
              <w:jc w:val="center"/>
              <w:rPr>
                <w:rFonts w:ascii="Times New Roman" w:hAnsi="Times New Roman" w:cs="Times New Roman"/>
                <w:sz w:val="21"/>
                <w:szCs w:val="21"/>
              </w:rPr>
            </w:pPr>
            <w:r>
              <w:rPr>
                <w:rFonts w:ascii="Times New Roman" w:hAnsi="Times New Roman" w:cs="Times New Roman"/>
                <w:sz w:val="21"/>
                <w:szCs w:val="21"/>
              </w:rPr>
              <w:t>9</w:t>
            </w:r>
          </w:p>
        </w:tc>
        <w:tc>
          <w:tcPr>
            <w:tcW w:w="1324" w:type="dxa"/>
            <w:noWrap w:val="0"/>
            <w:vAlign w:val="center"/>
          </w:tcPr>
          <w:p w14:paraId="545ABDC4">
            <w:pPr>
              <w:spacing w:line="240" w:lineRule="exact"/>
              <w:jc w:val="center"/>
              <w:rPr>
                <w:rFonts w:ascii="Times New Roman" w:hAnsi="Times New Roman" w:cs="Times New Roman"/>
                <w:sz w:val="21"/>
                <w:szCs w:val="21"/>
              </w:rPr>
            </w:pPr>
            <w:r>
              <w:rPr>
                <w:rFonts w:ascii="Times New Roman" w:hAnsi="Times New Roman" w:cs="Times New Roman"/>
                <w:sz w:val="21"/>
                <w:szCs w:val="21"/>
              </w:rPr>
              <w:t>100</w:t>
            </w:r>
          </w:p>
        </w:tc>
      </w:tr>
      <w:tr w14:paraId="7BD09875">
        <w:tblPrEx>
          <w:tblBorders>
            <w:top w:val="thinThickSmallGap" w:color="auto" w:sz="12" w:space="0"/>
            <w:left w:val="none" w:color="auto" w:sz="0" w:space="0"/>
            <w:bottom w:val="thickThinSmallGap"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88" w:hRule="atLeast"/>
          <w:jc w:val="center"/>
        </w:trPr>
        <w:tc>
          <w:tcPr>
            <w:tcW w:w="756" w:type="dxa"/>
            <w:noWrap w:val="0"/>
            <w:vAlign w:val="center"/>
          </w:tcPr>
          <w:p w14:paraId="7B7EFFFF">
            <w:pPr>
              <w:jc w:val="center"/>
              <w:rPr>
                <w:rFonts w:ascii="Times New Roman" w:hAnsi="Times New Roman" w:cs="Times New Roman"/>
                <w:sz w:val="21"/>
                <w:szCs w:val="21"/>
              </w:rPr>
            </w:pPr>
            <w:r>
              <w:rPr>
                <w:rFonts w:ascii="Times New Roman" w:hAnsi="Times New Roman" w:cs="Times New Roman"/>
                <w:sz w:val="21"/>
                <w:szCs w:val="21"/>
              </w:rPr>
              <w:t>12</w:t>
            </w:r>
          </w:p>
        </w:tc>
        <w:tc>
          <w:tcPr>
            <w:tcW w:w="2272" w:type="dxa"/>
            <w:noWrap w:val="0"/>
            <w:vAlign w:val="center"/>
          </w:tcPr>
          <w:p w14:paraId="204A8530">
            <w:pPr>
              <w:jc w:val="center"/>
              <w:rPr>
                <w:rFonts w:ascii="Times New Roman" w:hAnsi="Times New Roman" w:cs="Times New Roman"/>
                <w:sz w:val="21"/>
                <w:szCs w:val="21"/>
              </w:rPr>
            </w:pPr>
            <w:r>
              <w:rPr>
                <w:rFonts w:ascii="Times New Roman" w:hAnsi="Times New Roman" w:cs="Times New Roman"/>
                <w:sz w:val="21"/>
                <w:szCs w:val="21"/>
              </w:rPr>
              <w:t>1,2-二氯乙烷</w:t>
            </w:r>
          </w:p>
        </w:tc>
        <w:tc>
          <w:tcPr>
            <w:tcW w:w="1420" w:type="dxa"/>
            <w:noWrap w:val="0"/>
            <w:vAlign w:val="center"/>
          </w:tcPr>
          <w:p w14:paraId="556D5C80">
            <w:pPr>
              <w:spacing w:line="240" w:lineRule="exact"/>
              <w:jc w:val="center"/>
              <w:rPr>
                <w:rFonts w:ascii="Times New Roman" w:hAnsi="Times New Roman" w:cs="Times New Roman"/>
                <w:sz w:val="21"/>
                <w:szCs w:val="21"/>
              </w:rPr>
            </w:pPr>
            <w:r>
              <w:rPr>
                <w:rFonts w:ascii="Times New Roman" w:hAnsi="Times New Roman" w:cs="Times New Roman"/>
                <w:sz w:val="21"/>
                <w:szCs w:val="21"/>
              </w:rPr>
              <w:t>0.52</w:t>
            </w:r>
          </w:p>
        </w:tc>
        <w:tc>
          <w:tcPr>
            <w:tcW w:w="1420" w:type="dxa"/>
            <w:noWrap w:val="0"/>
            <w:vAlign w:val="center"/>
          </w:tcPr>
          <w:p w14:paraId="0C40A9D6">
            <w:pPr>
              <w:spacing w:line="240" w:lineRule="exact"/>
              <w:jc w:val="center"/>
              <w:rPr>
                <w:rFonts w:ascii="Times New Roman" w:hAnsi="Times New Roman" w:cs="Times New Roman"/>
                <w:sz w:val="21"/>
                <w:szCs w:val="21"/>
              </w:rPr>
            </w:pPr>
            <w:r>
              <w:rPr>
                <w:rFonts w:ascii="Times New Roman" w:hAnsi="Times New Roman" w:cs="Times New Roman"/>
                <w:sz w:val="21"/>
                <w:szCs w:val="21"/>
              </w:rPr>
              <w:t>6</w:t>
            </w:r>
          </w:p>
        </w:tc>
        <w:tc>
          <w:tcPr>
            <w:tcW w:w="1420" w:type="dxa"/>
            <w:noWrap w:val="0"/>
            <w:vAlign w:val="center"/>
          </w:tcPr>
          <w:p w14:paraId="150A167F">
            <w:pPr>
              <w:spacing w:line="240" w:lineRule="exact"/>
              <w:jc w:val="center"/>
              <w:rPr>
                <w:rFonts w:ascii="Times New Roman" w:hAnsi="Times New Roman" w:cs="Times New Roman"/>
                <w:sz w:val="21"/>
                <w:szCs w:val="21"/>
              </w:rPr>
            </w:pPr>
            <w:r>
              <w:rPr>
                <w:rFonts w:ascii="Times New Roman" w:hAnsi="Times New Roman" w:cs="Times New Roman"/>
                <w:sz w:val="21"/>
                <w:szCs w:val="21"/>
              </w:rPr>
              <w:t>5</w:t>
            </w:r>
          </w:p>
        </w:tc>
        <w:tc>
          <w:tcPr>
            <w:tcW w:w="1324" w:type="dxa"/>
            <w:noWrap w:val="0"/>
            <w:vAlign w:val="center"/>
          </w:tcPr>
          <w:p w14:paraId="65F443E2">
            <w:pPr>
              <w:spacing w:line="240" w:lineRule="exact"/>
              <w:jc w:val="center"/>
              <w:rPr>
                <w:rFonts w:ascii="Times New Roman" w:hAnsi="Times New Roman" w:cs="Times New Roman"/>
                <w:sz w:val="21"/>
                <w:szCs w:val="21"/>
              </w:rPr>
            </w:pPr>
            <w:r>
              <w:rPr>
                <w:rFonts w:ascii="Times New Roman" w:hAnsi="Times New Roman" w:cs="Times New Roman"/>
                <w:sz w:val="21"/>
                <w:szCs w:val="21"/>
              </w:rPr>
              <w:t>21</w:t>
            </w:r>
          </w:p>
        </w:tc>
      </w:tr>
      <w:tr w14:paraId="5636E193">
        <w:tblPrEx>
          <w:tblBorders>
            <w:top w:val="thinThickSmallGap" w:color="auto" w:sz="12" w:space="0"/>
            <w:left w:val="none" w:color="auto" w:sz="0" w:space="0"/>
            <w:bottom w:val="thickThinSmallGap"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88" w:hRule="atLeast"/>
          <w:jc w:val="center"/>
        </w:trPr>
        <w:tc>
          <w:tcPr>
            <w:tcW w:w="756" w:type="dxa"/>
            <w:noWrap w:val="0"/>
            <w:vAlign w:val="center"/>
          </w:tcPr>
          <w:p w14:paraId="23F8F067">
            <w:pPr>
              <w:jc w:val="center"/>
              <w:rPr>
                <w:rFonts w:ascii="Times New Roman" w:hAnsi="Times New Roman" w:cs="Times New Roman"/>
                <w:sz w:val="21"/>
                <w:szCs w:val="21"/>
              </w:rPr>
            </w:pPr>
            <w:r>
              <w:rPr>
                <w:rFonts w:ascii="Times New Roman" w:hAnsi="Times New Roman" w:cs="Times New Roman"/>
                <w:sz w:val="21"/>
                <w:szCs w:val="21"/>
              </w:rPr>
              <w:t>13</w:t>
            </w:r>
          </w:p>
        </w:tc>
        <w:tc>
          <w:tcPr>
            <w:tcW w:w="2272" w:type="dxa"/>
            <w:noWrap w:val="0"/>
            <w:vAlign w:val="center"/>
          </w:tcPr>
          <w:p w14:paraId="33BB8CB2">
            <w:pPr>
              <w:jc w:val="center"/>
              <w:rPr>
                <w:rFonts w:ascii="Times New Roman" w:hAnsi="Times New Roman" w:cs="Times New Roman"/>
                <w:sz w:val="21"/>
                <w:szCs w:val="21"/>
              </w:rPr>
            </w:pPr>
            <w:r>
              <w:rPr>
                <w:rFonts w:ascii="Times New Roman" w:hAnsi="Times New Roman" w:cs="Times New Roman"/>
                <w:sz w:val="21"/>
                <w:szCs w:val="21"/>
              </w:rPr>
              <w:t>1,1-二氯乙烯</w:t>
            </w:r>
          </w:p>
        </w:tc>
        <w:tc>
          <w:tcPr>
            <w:tcW w:w="1420" w:type="dxa"/>
            <w:noWrap w:val="0"/>
            <w:vAlign w:val="center"/>
          </w:tcPr>
          <w:p w14:paraId="1E9CD7AB">
            <w:pPr>
              <w:spacing w:line="240" w:lineRule="exact"/>
              <w:jc w:val="center"/>
              <w:rPr>
                <w:rFonts w:ascii="Times New Roman" w:hAnsi="Times New Roman" w:cs="Times New Roman"/>
                <w:sz w:val="21"/>
                <w:szCs w:val="21"/>
              </w:rPr>
            </w:pPr>
            <w:r>
              <w:rPr>
                <w:rFonts w:ascii="Times New Roman" w:hAnsi="Times New Roman" w:cs="Times New Roman"/>
                <w:sz w:val="21"/>
                <w:szCs w:val="21"/>
              </w:rPr>
              <w:t>12</w:t>
            </w:r>
          </w:p>
        </w:tc>
        <w:tc>
          <w:tcPr>
            <w:tcW w:w="1420" w:type="dxa"/>
            <w:noWrap w:val="0"/>
            <w:vAlign w:val="center"/>
          </w:tcPr>
          <w:p w14:paraId="449DC315">
            <w:pPr>
              <w:spacing w:line="240" w:lineRule="exact"/>
              <w:jc w:val="center"/>
              <w:rPr>
                <w:rFonts w:ascii="Times New Roman" w:hAnsi="Times New Roman" w:cs="Times New Roman"/>
                <w:sz w:val="21"/>
                <w:szCs w:val="21"/>
              </w:rPr>
            </w:pPr>
            <w:r>
              <w:rPr>
                <w:rFonts w:ascii="Times New Roman" w:hAnsi="Times New Roman" w:cs="Times New Roman"/>
                <w:sz w:val="21"/>
                <w:szCs w:val="21"/>
              </w:rPr>
              <w:t>40</w:t>
            </w:r>
          </w:p>
        </w:tc>
        <w:tc>
          <w:tcPr>
            <w:tcW w:w="1420" w:type="dxa"/>
            <w:noWrap w:val="0"/>
            <w:vAlign w:val="center"/>
          </w:tcPr>
          <w:p w14:paraId="72CB5248">
            <w:pPr>
              <w:spacing w:line="240" w:lineRule="exact"/>
              <w:jc w:val="center"/>
              <w:rPr>
                <w:rFonts w:ascii="Times New Roman" w:hAnsi="Times New Roman" w:cs="Times New Roman"/>
                <w:sz w:val="21"/>
                <w:szCs w:val="21"/>
              </w:rPr>
            </w:pPr>
            <w:r>
              <w:rPr>
                <w:rFonts w:ascii="Times New Roman" w:hAnsi="Times New Roman" w:cs="Times New Roman"/>
                <w:sz w:val="21"/>
                <w:szCs w:val="21"/>
              </w:rPr>
              <w:t>66</w:t>
            </w:r>
          </w:p>
        </w:tc>
        <w:tc>
          <w:tcPr>
            <w:tcW w:w="1324" w:type="dxa"/>
            <w:noWrap w:val="0"/>
            <w:vAlign w:val="center"/>
          </w:tcPr>
          <w:p w14:paraId="2CB0D965">
            <w:pPr>
              <w:spacing w:line="240" w:lineRule="exact"/>
              <w:jc w:val="center"/>
              <w:rPr>
                <w:rFonts w:ascii="Times New Roman" w:hAnsi="Times New Roman" w:cs="Times New Roman"/>
                <w:sz w:val="21"/>
                <w:szCs w:val="21"/>
              </w:rPr>
            </w:pPr>
            <w:r>
              <w:rPr>
                <w:rFonts w:ascii="Times New Roman" w:hAnsi="Times New Roman" w:cs="Times New Roman"/>
                <w:sz w:val="21"/>
                <w:szCs w:val="21"/>
              </w:rPr>
              <w:t>200</w:t>
            </w:r>
          </w:p>
        </w:tc>
      </w:tr>
      <w:tr w14:paraId="25B7BA4F">
        <w:tblPrEx>
          <w:tblBorders>
            <w:top w:val="thinThickSmallGap" w:color="auto" w:sz="12" w:space="0"/>
            <w:left w:val="none" w:color="auto" w:sz="0" w:space="0"/>
            <w:bottom w:val="thickThinSmallGap"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88" w:hRule="atLeast"/>
          <w:jc w:val="center"/>
        </w:trPr>
        <w:tc>
          <w:tcPr>
            <w:tcW w:w="756" w:type="dxa"/>
            <w:noWrap w:val="0"/>
            <w:vAlign w:val="center"/>
          </w:tcPr>
          <w:p w14:paraId="7FD60A43">
            <w:pPr>
              <w:jc w:val="center"/>
              <w:rPr>
                <w:rFonts w:ascii="Times New Roman" w:hAnsi="Times New Roman" w:cs="Times New Roman"/>
                <w:sz w:val="21"/>
                <w:szCs w:val="21"/>
              </w:rPr>
            </w:pPr>
            <w:r>
              <w:rPr>
                <w:rFonts w:ascii="Times New Roman" w:hAnsi="Times New Roman" w:cs="Times New Roman"/>
                <w:sz w:val="21"/>
                <w:szCs w:val="21"/>
              </w:rPr>
              <w:t>14</w:t>
            </w:r>
          </w:p>
        </w:tc>
        <w:tc>
          <w:tcPr>
            <w:tcW w:w="2272" w:type="dxa"/>
            <w:noWrap w:val="0"/>
            <w:vAlign w:val="center"/>
          </w:tcPr>
          <w:p w14:paraId="3383A62B">
            <w:pPr>
              <w:jc w:val="center"/>
              <w:rPr>
                <w:rFonts w:ascii="Times New Roman" w:hAnsi="Times New Roman" w:cs="Times New Roman"/>
                <w:sz w:val="21"/>
                <w:szCs w:val="21"/>
              </w:rPr>
            </w:pPr>
            <w:r>
              <w:rPr>
                <w:rFonts w:ascii="Times New Roman" w:hAnsi="Times New Roman" w:cs="Times New Roman"/>
                <w:sz w:val="21"/>
                <w:szCs w:val="21"/>
              </w:rPr>
              <w:t>顺-1,2-二氯乙烯</w:t>
            </w:r>
          </w:p>
        </w:tc>
        <w:tc>
          <w:tcPr>
            <w:tcW w:w="1420" w:type="dxa"/>
            <w:noWrap w:val="0"/>
            <w:vAlign w:val="center"/>
          </w:tcPr>
          <w:p w14:paraId="5A4D6953">
            <w:pPr>
              <w:spacing w:line="240" w:lineRule="exact"/>
              <w:jc w:val="center"/>
              <w:rPr>
                <w:rFonts w:ascii="Times New Roman" w:hAnsi="Times New Roman" w:cs="Times New Roman"/>
                <w:sz w:val="21"/>
                <w:szCs w:val="21"/>
              </w:rPr>
            </w:pPr>
            <w:r>
              <w:rPr>
                <w:rFonts w:ascii="Times New Roman" w:hAnsi="Times New Roman" w:cs="Times New Roman"/>
                <w:sz w:val="21"/>
                <w:szCs w:val="21"/>
              </w:rPr>
              <w:t>66</w:t>
            </w:r>
          </w:p>
        </w:tc>
        <w:tc>
          <w:tcPr>
            <w:tcW w:w="1420" w:type="dxa"/>
            <w:noWrap w:val="0"/>
            <w:vAlign w:val="center"/>
          </w:tcPr>
          <w:p w14:paraId="5F426223">
            <w:pPr>
              <w:spacing w:line="240" w:lineRule="exact"/>
              <w:jc w:val="center"/>
              <w:rPr>
                <w:rFonts w:ascii="Times New Roman" w:hAnsi="Times New Roman" w:cs="Times New Roman"/>
                <w:sz w:val="21"/>
                <w:szCs w:val="21"/>
              </w:rPr>
            </w:pPr>
            <w:r>
              <w:rPr>
                <w:rFonts w:ascii="Times New Roman" w:hAnsi="Times New Roman" w:cs="Times New Roman"/>
                <w:sz w:val="21"/>
                <w:szCs w:val="21"/>
              </w:rPr>
              <w:t>200</w:t>
            </w:r>
          </w:p>
        </w:tc>
        <w:tc>
          <w:tcPr>
            <w:tcW w:w="1420" w:type="dxa"/>
            <w:noWrap w:val="0"/>
            <w:vAlign w:val="center"/>
          </w:tcPr>
          <w:p w14:paraId="3AB601FD">
            <w:pPr>
              <w:spacing w:line="240" w:lineRule="exact"/>
              <w:jc w:val="center"/>
              <w:rPr>
                <w:rFonts w:ascii="Times New Roman" w:hAnsi="Times New Roman" w:cs="Times New Roman"/>
                <w:sz w:val="21"/>
                <w:szCs w:val="21"/>
              </w:rPr>
            </w:pPr>
            <w:r>
              <w:rPr>
                <w:rFonts w:ascii="Times New Roman" w:hAnsi="Times New Roman" w:cs="Times New Roman"/>
                <w:sz w:val="21"/>
                <w:szCs w:val="21"/>
              </w:rPr>
              <w:t>596</w:t>
            </w:r>
          </w:p>
        </w:tc>
        <w:tc>
          <w:tcPr>
            <w:tcW w:w="1324" w:type="dxa"/>
            <w:noWrap w:val="0"/>
            <w:vAlign w:val="center"/>
          </w:tcPr>
          <w:p w14:paraId="545B45EF">
            <w:pPr>
              <w:spacing w:line="240" w:lineRule="exact"/>
              <w:jc w:val="center"/>
              <w:rPr>
                <w:rFonts w:ascii="Times New Roman" w:hAnsi="Times New Roman" w:cs="Times New Roman"/>
                <w:sz w:val="21"/>
                <w:szCs w:val="21"/>
              </w:rPr>
            </w:pPr>
            <w:r>
              <w:rPr>
                <w:rFonts w:ascii="Times New Roman" w:hAnsi="Times New Roman" w:cs="Times New Roman"/>
                <w:sz w:val="21"/>
                <w:szCs w:val="21"/>
              </w:rPr>
              <w:t>2000</w:t>
            </w:r>
          </w:p>
        </w:tc>
      </w:tr>
      <w:tr w14:paraId="201528D8">
        <w:tblPrEx>
          <w:tblBorders>
            <w:top w:val="thinThickSmallGap" w:color="auto" w:sz="12" w:space="0"/>
            <w:left w:val="none" w:color="auto" w:sz="0" w:space="0"/>
            <w:bottom w:val="thickThinSmallGap"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88" w:hRule="atLeast"/>
          <w:jc w:val="center"/>
        </w:trPr>
        <w:tc>
          <w:tcPr>
            <w:tcW w:w="756" w:type="dxa"/>
            <w:noWrap w:val="0"/>
            <w:vAlign w:val="center"/>
          </w:tcPr>
          <w:p w14:paraId="19371612">
            <w:pPr>
              <w:jc w:val="center"/>
              <w:rPr>
                <w:rFonts w:ascii="Times New Roman" w:hAnsi="Times New Roman" w:cs="Times New Roman"/>
                <w:sz w:val="21"/>
                <w:szCs w:val="21"/>
              </w:rPr>
            </w:pPr>
            <w:r>
              <w:rPr>
                <w:rFonts w:ascii="Times New Roman" w:hAnsi="Times New Roman" w:cs="Times New Roman"/>
                <w:sz w:val="21"/>
                <w:szCs w:val="21"/>
              </w:rPr>
              <w:t>15</w:t>
            </w:r>
          </w:p>
        </w:tc>
        <w:tc>
          <w:tcPr>
            <w:tcW w:w="2272" w:type="dxa"/>
            <w:noWrap w:val="0"/>
            <w:vAlign w:val="center"/>
          </w:tcPr>
          <w:p w14:paraId="687C94C7">
            <w:pPr>
              <w:jc w:val="center"/>
              <w:rPr>
                <w:rFonts w:ascii="Times New Roman" w:hAnsi="Times New Roman" w:cs="Times New Roman"/>
                <w:sz w:val="21"/>
                <w:szCs w:val="21"/>
              </w:rPr>
            </w:pPr>
            <w:r>
              <w:rPr>
                <w:rFonts w:ascii="Times New Roman" w:hAnsi="Times New Roman" w:cs="Times New Roman"/>
                <w:sz w:val="21"/>
                <w:szCs w:val="21"/>
              </w:rPr>
              <w:t>反-1,2-二氯乙烯</w:t>
            </w:r>
          </w:p>
        </w:tc>
        <w:tc>
          <w:tcPr>
            <w:tcW w:w="1420" w:type="dxa"/>
            <w:noWrap w:val="0"/>
            <w:vAlign w:val="center"/>
          </w:tcPr>
          <w:p w14:paraId="4AE0C998">
            <w:pPr>
              <w:spacing w:line="240" w:lineRule="exact"/>
              <w:jc w:val="center"/>
              <w:rPr>
                <w:rFonts w:ascii="Times New Roman" w:hAnsi="Times New Roman" w:cs="Times New Roman"/>
                <w:sz w:val="21"/>
                <w:szCs w:val="21"/>
              </w:rPr>
            </w:pPr>
            <w:r>
              <w:rPr>
                <w:rFonts w:ascii="Times New Roman" w:hAnsi="Times New Roman" w:cs="Times New Roman"/>
                <w:sz w:val="21"/>
                <w:szCs w:val="21"/>
              </w:rPr>
              <w:t>10</w:t>
            </w:r>
          </w:p>
        </w:tc>
        <w:tc>
          <w:tcPr>
            <w:tcW w:w="1420" w:type="dxa"/>
            <w:noWrap w:val="0"/>
            <w:vAlign w:val="center"/>
          </w:tcPr>
          <w:p w14:paraId="0190F440">
            <w:pPr>
              <w:spacing w:line="240" w:lineRule="exact"/>
              <w:jc w:val="center"/>
              <w:rPr>
                <w:rFonts w:ascii="Times New Roman" w:hAnsi="Times New Roman" w:cs="Times New Roman"/>
                <w:sz w:val="21"/>
                <w:szCs w:val="21"/>
              </w:rPr>
            </w:pPr>
            <w:r>
              <w:rPr>
                <w:rFonts w:ascii="Times New Roman" w:hAnsi="Times New Roman" w:cs="Times New Roman"/>
                <w:sz w:val="21"/>
                <w:szCs w:val="21"/>
              </w:rPr>
              <w:t>31</w:t>
            </w:r>
          </w:p>
        </w:tc>
        <w:tc>
          <w:tcPr>
            <w:tcW w:w="1420" w:type="dxa"/>
            <w:noWrap w:val="0"/>
            <w:vAlign w:val="center"/>
          </w:tcPr>
          <w:p w14:paraId="7D01B350">
            <w:pPr>
              <w:spacing w:line="240" w:lineRule="exact"/>
              <w:jc w:val="center"/>
              <w:rPr>
                <w:rFonts w:ascii="Times New Roman" w:hAnsi="Times New Roman" w:cs="Times New Roman"/>
                <w:sz w:val="21"/>
                <w:szCs w:val="21"/>
              </w:rPr>
            </w:pPr>
            <w:r>
              <w:rPr>
                <w:rFonts w:ascii="Times New Roman" w:hAnsi="Times New Roman" w:cs="Times New Roman"/>
                <w:sz w:val="21"/>
                <w:szCs w:val="21"/>
              </w:rPr>
              <w:t>54</w:t>
            </w:r>
          </w:p>
        </w:tc>
        <w:tc>
          <w:tcPr>
            <w:tcW w:w="1324" w:type="dxa"/>
            <w:noWrap w:val="0"/>
            <w:vAlign w:val="center"/>
          </w:tcPr>
          <w:p w14:paraId="68B61350">
            <w:pPr>
              <w:spacing w:line="240" w:lineRule="exact"/>
              <w:jc w:val="center"/>
              <w:rPr>
                <w:rFonts w:ascii="Times New Roman" w:hAnsi="Times New Roman" w:cs="Times New Roman"/>
                <w:sz w:val="21"/>
                <w:szCs w:val="21"/>
              </w:rPr>
            </w:pPr>
            <w:r>
              <w:rPr>
                <w:rFonts w:ascii="Times New Roman" w:hAnsi="Times New Roman" w:cs="Times New Roman"/>
                <w:sz w:val="21"/>
                <w:szCs w:val="21"/>
              </w:rPr>
              <w:t>163</w:t>
            </w:r>
          </w:p>
        </w:tc>
      </w:tr>
      <w:tr w14:paraId="14CE3B9F">
        <w:tblPrEx>
          <w:tblBorders>
            <w:top w:val="thinThickSmallGap" w:color="auto" w:sz="12" w:space="0"/>
            <w:left w:val="none" w:color="auto" w:sz="0" w:space="0"/>
            <w:bottom w:val="thickThinSmallGap"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88" w:hRule="atLeast"/>
          <w:jc w:val="center"/>
        </w:trPr>
        <w:tc>
          <w:tcPr>
            <w:tcW w:w="756" w:type="dxa"/>
            <w:noWrap w:val="0"/>
            <w:vAlign w:val="center"/>
          </w:tcPr>
          <w:p w14:paraId="2A08100F">
            <w:pPr>
              <w:jc w:val="center"/>
              <w:rPr>
                <w:rFonts w:ascii="Times New Roman" w:hAnsi="Times New Roman" w:cs="Times New Roman"/>
                <w:sz w:val="21"/>
                <w:szCs w:val="21"/>
              </w:rPr>
            </w:pPr>
            <w:r>
              <w:rPr>
                <w:rFonts w:ascii="Times New Roman" w:hAnsi="Times New Roman" w:cs="Times New Roman"/>
                <w:sz w:val="21"/>
                <w:szCs w:val="21"/>
              </w:rPr>
              <w:t>16</w:t>
            </w:r>
          </w:p>
        </w:tc>
        <w:tc>
          <w:tcPr>
            <w:tcW w:w="2272" w:type="dxa"/>
            <w:noWrap w:val="0"/>
            <w:vAlign w:val="center"/>
          </w:tcPr>
          <w:p w14:paraId="375793F4">
            <w:pPr>
              <w:jc w:val="center"/>
              <w:rPr>
                <w:rFonts w:ascii="Times New Roman" w:hAnsi="Times New Roman" w:cs="Times New Roman"/>
                <w:sz w:val="21"/>
                <w:szCs w:val="21"/>
              </w:rPr>
            </w:pPr>
            <w:r>
              <w:rPr>
                <w:rFonts w:ascii="Times New Roman" w:hAnsi="Times New Roman" w:cs="Times New Roman"/>
                <w:sz w:val="21"/>
                <w:szCs w:val="21"/>
              </w:rPr>
              <w:t>二氯甲烷</w:t>
            </w:r>
          </w:p>
        </w:tc>
        <w:tc>
          <w:tcPr>
            <w:tcW w:w="1420" w:type="dxa"/>
            <w:noWrap w:val="0"/>
            <w:vAlign w:val="center"/>
          </w:tcPr>
          <w:p w14:paraId="7B9C3F31">
            <w:pPr>
              <w:spacing w:line="240" w:lineRule="exact"/>
              <w:jc w:val="center"/>
              <w:rPr>
                <w:rFonts w:ascii="Times New Roman" w:hAnsi="Times New Roman" w:cs="Times New Roman"/>
                <w:sz w:val="21"/>
                <w:szCs w:val="21"/>
              </w:rPr>
            </w:pPr>
            <w:r>
              <w:rPr>
                <w:rFonts w:ascii="Times New Roman" w:hAnsi="Times New Roman" w:cs="Times New Roman"/>
                <w:sz w:val="21"/>
                <w:szCs w:val="21"/>
              </w:rPr>
              <w:t>94</w:t>
            </w:r>
          </w:p>
        </w:tc>
        <w:tc>
          <w:tcPr>
            <w:tcW w:w="1420" w:type="dxa"/>
            <w:noWrap w:val="0"/>
            <w:vAlign w:val="center"/>
          </w:tcPr>
          <w:p w14:paraId="7D3AD24C">
            <w:pPr>
              <w:spacing w:line="240" w:lineRule="exact"/>
              <w:jc w:val="center"/>
              <w:rPr>
                <w:rFonts w:ascii="Times New Roman" w:hAnsi="Times New Roman" w:cs="Times New Roman"/>
                <w:sz w:val="21"/>
                <w:szCs w:val="21"/>
              </w:rPr>
            </w:pPr>
            <w:r>
              <w:rPr>
                <w:rFonts w:ascii="Times New Roman" w:hAnsi="Times New Roman" w:cs="Times New Roman"/>
                <w:sz w:val="21"/>
                <w:szCs w:val="21"/>
              </w:rPr>
              <w:t>300</w:t>
            </w:r>
          </w:p>
        </w:tc>
        <w:tc>
          <w:tcPr>
            <w:tcW w:w="1420" w:type="dxa"/>
            <w:noWrap w:val="0"/>
            <w:vAlign w:val="center"/>
          </w:tcPr>
          <w:p w14:paraId="259321F2">
            <w:pPr>
              <w:spacing w:line="240" w:lineRule="exact"/>
              <w:jc w:val="center"/>
              <w:rPr>
                <w:rFonts w:ascii="Times New Roman" w:hAnsi="Times New Roman" w:cs="Times New Roman"/>
                <w:sz w:val="21"/>
                <w:szCs w:val="21"/>
              </w:rPr>
            </w:pPr>
            <w:r>
              <w:rPr>
                <w:rFonts w:ascii="Times New Roman" w:hAnsi="Times New Roman" w:cs="Times New Roman"/>
                <w:sz w:val="21"/>
                <w:szCs w:val="21"/>
              </w:rPr>
              <w:t>616</w:t>
            </w:r>
          </w:p>
        </w:tc>
        <w:tc>
          <w:tcPr>
            <w:tcW w:w="1324" w:type="dxa"/>
            <w:noWrap w:val="0"/>
            <w:vAlign w:val="center"/>
          </w:tcPr>
          <w:p w14:paraId="18355A9D">
            <w:pPr>
              <w:spacing w:line="240" w:lineRule="exact"/>
              <w:jc w:val="center"/>
              <w:rPr>
                <w:rFonts w:ascii="Times New Roman" w:hAnsi="Times New Roman" w:cs="Times New Roman"/>
                <w:sz w:val="21"/>
                <w:szCs w:val="21"/>
              </w:rPr>
            </w:pPr>
            <w:r>
              <w:rPr>
                <w:rFonts w:ascii="Times New Roman" w:hAnsi="Times New Roman" w:cs="Times New Roman"/>
                <w:sz w:val="21"/>
                <w:szCs w:val="21"/>
              </w:rPr>
              <w:t>2000</w:t>
            </w:r>
          </w:p>
        </w:tc>
      </w:tr>
      <w:tr w14:paraId="545C6858">
        <w:tblPrEx>
          <w:tblBorders>
            <w:top w:val="thinThickSmallGap" w:color="auto" w:sz="12" w:space="0"/>
            <w:left w:val="none" w:color="auto" w:sz="0" w:space="0"/>
            <w:bottom w:val="thickThinSmallGap"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88" w:hRule="atLeast"/>
          <w:jc w:val="center"/>
        </w:trPr>
        <w:tc>
          <w:tcPr>
            <w:tcW w:w="756" w:type="dxa"/>
            <w:noWrap w:val="0"/>
            <w:vAlign w:val="center"/>
          </w:tcPr>
          <w:p w14:paraId="3247ED86">
            <w:pPr>
              <w:jc w:val="center"/>
              <w:rPr>
                <w:rFonts w:ascii="Times New Roman" w:hAnsi="Times New Roman" w:cs="Times New Roman"/>
                <w:sz w:val="21"/>
                <w:szCs w:val="21"/>
              </w:rPr>
            </w:pPr>
            <w:r>
              <w:rPr>
                <w:rFonts w:ascii="Times New Roman" w:hAnsi="Times New Roman" w:cs="Times New Roman"/>
                <w:sz w:val="21"/>
                <w:szCs w:val="21"/>
              </w:rPr>
              <w:t>17</w:t>
            </w:r>
          </w:p>
        </w:tc>
        <w:tc>
          <w:tcPr>
            <w:tcW w:w="2272" w:type="dxa"/>
            <w:noWrap w:val="0"/>
            <w:vAlign w:val="center"/>
          </w:tcPr>
          <w:p w14:paraId="65CB8462">
            <w:pPr>
              <w:jc w:val="center"/>
              <w:rPr>
                <w:rFonts w:ascii="Times New Roman" w:hAnsi="Times New Roman" w:cs="Times New Roman"/>
                <w:sz w:val="21"/>
                <w:szCs w:val="21"/>
              </w:rPr>
            </w:pPr>
            <w:r>
              <w:rPr>
                <w:rFonts w:ascii="Times New Roman" w:hAnsi="Times New Roman" w:cs="Times New Roman"/>
                <w:sz w:val="21"/>
                <w:szCs w:val="21"/>
              </w:rPr>
              <w:t>1,2-二氯丙烷</w:t>
            </w:r>
          </w:p>
        </w:tc>
        <w:tc>
          <w:tcPr>
            <w:tcW w:w="1420" w:type="dxa"/>
            <w:noWrap w:val="0"/>
            <w:vAlign w:val="center"/>
          </w:tcPr>
          <w:p w14:paraId="39152135">
            <w:pPr>
              <w:spacing w:line="240" w:lineRule="exact"/>
              <w:jc w:val="center"/>
              <w:rPr>
                <w:rFonts w:ascii="Times New Roman" w:hAnsi="Times New Roman" w:cs="Times New Roman"/>
                <w:sz w:val="21"/>
                <w:szCs w:val="21"/>
              </w:rPr>
            </w:pPr>
            <w:r>
              <w:rPr>
                <w:rFonts w:ascii="Times New Roman" w:hAnsi="Times New Roman" w:cs="Times New Roman"/>
                <w:sz w:val="21"/>
                <w:szCs w:val="21"/>
              </w:rPr>
              <w:t>1</w:t>
            </w:r>
          </w:p>
        </w:tc>
        <w:tc>
          <w:tcPr>
            <w:tcW w:w="1420" w:type="dxa"/>
            <w:noWrap w:val="0"/>
            <w:vAlign w:val="center"/>
          </w:tcPr>
          <w:p w14:paraId="54BCB208">
            <w:pPr>
              <w:spacing w:line="240" w:lineRule="exact"/>
              <w:jc w:val="center"/>
              <w:rPr>
                <w:rFonts w:ascii="Times New Roman" w:hAnsi="Times New Roman" w:cs="Times New Roman"/>
                <w:sz w:val="21"/>
                <w:szCs w:val="21"/>
              </w:rPr>
            </w:pPr>
            <w:r>
              <w:rPr>
                <w:rFonts w:ascii="Times New Roman" w:hAnsi="Times New Roman" w:cs="Times New Roman"/>
                <w:sz w:val="21"/>
                <w:szCs w:val="21"/>
              </w:rPr>
              <w:t>5</w:t>
            </w:r>
          </w:p>
        </w:tc>
        <w:tc>
          <w:tcPr>
            <w:tcW w:w="1420" w:type="dxa"/>
            <w:noWrap w:val="0"/>
            <w:vAlign w:val="center"/>
          </w:tcPr>
          <w:p w14:paraId="3C2B606F">
            <w:pPr>
              <w:spacing w:line="240" w:lineRule="exact"/>
              <w:jc w:val="center"/>
              <w:rPr>
                <w:rFonts w:ascii="Times New Roman" w:hAnsi="Times New Roman" w:cs="Times New Roman"/>
                <w:sz w:val="21"/>
                <w:szCs w:val="21"/>
              </w:rPr>
            </w:pPr>
            <w:r>
              <w:rPr>
                <w:rFonts w:ascii="Times New Roman" w:hAnsi="Times New Roman" w:cs="Times New Roman"/>
                <w:sz w:val="21"/>
                <w:szCs w:val="21"/>
              </w:rPr>
              <w:t>5</w:t>
            </w:r>
          </w:p>
        </w:tc>
        <w:tc>
          <w:tcPr>
            <w:tcW w:w="1324" w:type="dxa"/>
            <w:noWrap w:val="0"/>
            <w:vAlign w:val="center"/>
          </w:tcPr>
          <w:p w14:paraId="00A8FCC7">
            <w:pPr>
              <w:spacing w:line="240" w:lineRule="exact"/>
              <w:jc w:val="center"/>
              <w:rPr>
                <w:rFonts w:ascii="Times New Roman" w:hAnsi="Times New Roman" w:cs="Times New Roman"/>
                <w:sz w:val="21"/>
                <w:szCs w:val="21"/>
              </w:rPr>
            </w:pPr>
            <w:r>
              <w:rPr>
                <w:rFonts w:ascii="Times New Roman" w:hAnsi="Times New Roman" w:cs="Times New Roman"/>
                <w:sz w:val="21"/>
                <w:szCs w:val="21"/>
              </w:rPr>
              <w:t>47</w:t>
            </w:r>
          </w:p>
        </w:tc>
      </w:tr>
      <w:tr w14:paraId="4C050CBA">
        <w:tblPrEx>
          <w:tblBorders>
            <w:top w:val="thinThickSmallGap" w:color="auto" w:sz="12" w:space="0"/>
            <w:left w:val="none" w:color="auto" w:sz="0" w:space="0"/>
            <w:bottom w:val="thickThinSmallGap"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88" w:hRule="atLeast"/>
          <w:jc w:val="center"/>
        </w:trPr>
        <w:tc>
          <w:tcPr>
            <w:tcW w:w="756" w:type="dxa"/>
            <w:noWrap w:val="0"/>
            <w:vAlign w:val="center"/>
          </w:tcPr>
          <w:p w14:paraId="5AF7B115">
            <w:pPr>
              <w:jc w:val="center"/>
              <w:rPr>
                <w:rFonts w:ascii="Times New Roman" w:hAnsi="Times New Roman" w:cs="Times New Roman"/>
                <w:sz w:val="21"/>
                <w:szCs w:val="21"/>
              </w:rPr>
            </w:pPr>
            <w:r>
              <w:rPr>
                <w:rFonts w:ascii="Times New Roman" w:hAnsi="Times New Roman" w:cs="Times New Roman"/>
                <w:sz w:val="21"/>
                <w:szCs w:val="21"/>
              </w:rPr>
              <w:t>18</w:t>
            </w:r>
          </w:p>
        </w:tc>
        <w:tc>
          <w:tcPr>
            <w:tcW w:w="2272" w:type="dxa"/>
            <w:noWrap w:val="0"/>
            <w:vAlign w:val="center"/>
          </w:tcPr>
          <w:p w14:paraId="7F1D85A3">
            <w:pPr>
              <w:jc w:val="center"/>
              <w:rPr>
                <w:rFonts w:ascii="Times New Roman" w:hAnsi="Times New Roman" w:cs="Times New Roman"/>
                <w:sz w:val="21"/>
                <w:szCs w:val="21"/>
              </w:rPr>
            </w:pPr>
            <w:r>
              <w:rPr>
                <w:rFonts w:ascii="Times New Roman" w:hAnsi="Times New Roman" w:cs="Times New Roman"/>
                <w:sz w:val="21"/>
                <w:szCs w:val="21"/>
              </w:rPr>
              <w:t>1,1,1,2-四氯乙烷</w:t>
            </w:r>
          </w:p>
        </w:tc>
        <w:tc>
          <w:tcPr>
            <w:tcW w:w="1420" w:type="dxa"/>
            <w:noWrap w:val="0"/>
            <w:vAlign w:val="center"/>
          </w:tcPr>
          <w:p w14:paraId="6141817D">
            <w:pPr>
              <w:spacing w:line="240" w:lineRule="exact"/>
              <w:jc w:val="center"/>
              <w:rPr>
                <w:rFonts w:ascii="Times New Roman" w:hAnsi="Times New Roman" w:cs="Times New Roman"/>
                <w:sz w:val="21"/>
                <w:szCs w:val="21"/>
              </w:rPr>
            </w:pPr>
            <w:r>
              <w:rPr>
                <w:rFonts w:ascii="Times New Roman" w:hAnsi="Times New Roman" w:cs="Times New Roman"/>
                <w:sz w:val="21"/>
                <w:szCs w:val="21"/>
              </w:rPr>
              <w:t>2.6</w:t>
            </w:r>
          </w:p>
        </w:tc>
        <w:tc>
          <w:tcPr>
            <w:tcW w:w="1420" w:type="dxa"/>
            <w:noWrap w:val="0"/>
            <w:vAlign w:val="center"/>
          </w:tcPr>
          <w:p w14:paraId="61FB9838">
            <w:pPr>
              <w:spacing w:line="240" w:lineRule="exact"/>
              <w:jc w:val="center"/>
              <w:rPr>
                <w:rFonts w:ascii="Times New Roman" w:hAnsi="Times New Roman" w:cs="Times New Roman"/>
                <w:sz w:val="21"/>
                <w:szCs w:val="21"/>
              </w:rPr>
            </w:pPr>
            <w:r>
              <w:rPr>
                <w:rFonts w:ascii="Times New Roman" w:hAnsi="Times New Roman" w:cs="Times New Roman"/>
                <w:sz w:val="21"/>
                <w:szCs w:val="21"/>
              </w:rPr>
              <w:t>26</w:t>
            </w:r>
          </w:p>
        </w:tc>
        <w:tc>
          <w:tcPr>
            <w:tcW w:w="1420" w:type="dxa"/>
            <w:noWrap w:val="0"/>
            <w:vAlign w:val="center"/>
          </w:tcPr>
          <w:p w14:paraId="2B0A1292">
            <w:pPr>
              <w:spacing w:line="240" w:lineRule="exact"/>
              <w:jc w:val="center"/>
              <w:rPr>
                <w:rFonts w:ascii="Times New Roman" w:hAnsi="Times New Roman" w:cs="Times New Roman"/>
                <w:sz w:val="21"/>
                <w:szCs w:val="21"/>
              </w:rPr>
            </w:pPr>
            <w:r>
              <w:rPr>
                <w:rFonts w:ascii="Times New Roman" w:hAnsi="Times New Roman" w:cs="Times New Roman"/>
                <w:sz w:val="21"/>
                <w:szCs w:val="21"/>
              </w:rPr>
              <w:t>10</w:t>
            </w:r>
          </w:p>
        </w:tc>
        <w:tc>
          <w:tcPr>
            <w:tcW w:w="1324" w:type="dxa"/>
            <w:noWrap w:val="0"/>
            <w:vAlign w:val="center"/>
          </w:tcPr>
          <w:p w14:paraId="514BFEB1">
            <w:pPr>
              <w:spacing w:line="240" w:lineRule="exact"/>
              <w:jc w:val="center"/>
              <w:rPr>
                <w:rFonts w:ascii="Times New Roman" w:hAnsi="Times New Roman" w:cs="Times New Roman"/>
                <w:sz w:val="21"/>
                <w:szCs w:val="21"/>
              </w:rPr>
            </w:pPr>
            <w:r>
              <w:rPr>
                <w:rFonts w:ascii="Times New Roman" w:hAnsi="Times New Roman" w:cs="Times New Roman"/>
                <w:sz w:val="21"/>
                <w:szCs w:val="21"/>
              </w:rPr>
              <w:t>100</w:t>
            </w:r>
          </w:p>
        </w:tc>
      </w:tr>
      <w:tr w14:paraId="2D1B93B4">
        <w:tblPrEx>
          <w:tblBorders>
            <w:top w:val="thinThickSmallGap" w:color="auto" w:sz="12" w:space="0"/>
            <w:left w:val="none" w:color="auto" w:sz="0" w:space="0"/>
            <w:bottom w:val="thickThinSmallGap"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88" w:hRule="atLeast"/>
          <w:jc w:val="center"/>
        </w:trPr>
        <w:tc>
          <w:tcPr>
            <w:tcW w:w="756" w:type="dxa"/>
            <w:noWrap w:val="0"/>
            <w:vAlign w:val="center"/>
          </w:tcPr>
          <w:p w14:paraId="7FF4276A">
            <w:pPr>
              <w:jc w:val="center"/>
              <w:rPr>
                <w:rFonts w:ascii="Times New Roman" w:hAnsi="Times New Roman" w:cs="Times New Roman"/>
                <w:sz w:val="21"/>
                <w:szCs w:val="21"/>
              </w:rPr>
            </w:pPr>
            <w:r>
              <w:rPr>
                <w:rFonts w:ascii="Times New Roman" w:hAnsi="Times New Roman" w:cs="Times New Roman"/>
                <w:sz w:val="21"/>
                <w:szCs w:val="21"/>
              </w:rPr>
              <w:t>19</w:t>
            </w:r>
          </w:p>
        </w:tc>
        <w:tc>
          <w:tcPr>
            <w:tcW w:w="2272" w:type="dxa"/>
            <w:noWrap w:val="0"/>
            <w:vAlign w:val="center"/>
          </w:tcPr>
          <w:p w14:paraId="7A9FEECF">
            <w:pPr>
              <w:jc w:val="center"/>
              <w:rPr>
                <w:rFonts w:ascii="Times New Roman" w:hAnsi="Times New Roman" w:cs="Times New Roman"/>
                <w:sz w:val="21"/>
                <w:szCs w:val="21"/>
              </w:rPr>
            </w:pPr>
            <w:r>
              <w:rPr>
                <w:rFonts w:ascii="Times New Roman" w:hAnsi="Times New Roman" w:cs="Times New Roman"/>
                <w:sz w:val="21"/>
                <w:szCs w:val="21"/>
              </w:rPr>
              <w:t>1,1,2,2-四氯乙烷</w:t>
            </w:r>
          </w:p>
        </w:tc>
        <w:tc>
          <w:tcPr>
            <w:tcW w:w="1420" w:type="dxa"/>
            <w:noWrap w:val="0"/>
            <w:vAlign w:val="center"/>
          </w:tcPr>
          <w:p w14:paraId="67B05E74">
            <w:pPr>
              <w:spacing w:line="240" w:lineRule="exact"/>
              <w:jc w:val="center"/>
              <w:rPr>
                <w:rFonts w:ascii="Times New Roman" w:hAnsi="Times New Roman" w:cs="Times New Roman"/>
                <w:sz w:val="21"/>
                <w:szCs w:val="21"/>
              </w:rPr>
            </w:pPr>
            <w:r>
              <w:rPr>
                <w:rFonts w:ascii="Times New Roman" w:hAnsi="Times New Roman" w:cs="Times New Roman"/>
                <w:sz w:val="21"/>
                <w:szCs w:val="21"/>
              </w:rPr>
              <w:t>1.6</w:t>
            </w:r>
          </w:p>
        </w:tc>
        <w:tc>
          <w:tcPr>
            <w:tcW w:w="1420" w:type="dxa"/>
            <w:noWrap w:val="0"/>
            <w:vAlign w:val="center"/>
          </w:tcPr>
          <w:p w14:paraId="11E682DD">
            <w:pPr>
              <w:spacing w:line="240" w:lineRule="exact"/>
              <w:jc w:val="center"/>
              <w:rPr>
                <w:rFonts w:ascii="Times New Roman" w:hAnsi="Times New Roman" w:cs="Times New Roman"/>
                <w:sz w:val="21"/>
                <w:szCs w:val="21"/>
              </w:rPr>
            </w:pPr>
            <w:r>
              <w:rPr>
                <w:rFonts w:ascii="Times New Roman" w:hAnsi="Times New Roman" w:cs="Times New Roman"/>
                <w:sz w:val="21"/>
                <w:szCs w:val="21"/>
              </w:rPr>
              <w:t>14</w:t>
            </w:r>
          </w:p>
        </w:tc>
        <w:tc>
          <w:tcPr>
            <w:tcW w:w="1420" w:type="dxa"/>
            <w:noWrap w:val="0"/>
            <w:vAlign w:val="center"/>
          </w:tcPr>
          <w:p w14:paraId="5A58B7C0">
            <w:pPr>
              <w:spacing w:line="240" w:lineRule="exact"/>
              <w:jc w:val="center"/>
              <w:rPr>
                <w:rFonts w:ascii="Times New Roman" w:hAnsi="Times New Roman" w:cs="Times New Roman"/>
                <w:sz w:val="21"/>
                <w:szCs w:val="21"/>
              </w:rPr>
            </w:pPr>
            <w:r>
              <w:rPr>
                <w:rFonts w:ascii="Times New Roman" w:hAnsi="Times New Roman" w:cs="Times New Roman"/>
                <w:sz w:val="21"/>
                <w:szCs w:val="21"/>
              </w:rPr>
              <w:t>6.8</w:t>
            </w:r>
          </w:p>
        </w:tc>
        <w:tc>
          <w:tcPr>
            <w:tcW w:w="1324" w:type="dxa"/>
            <w:noWrap w:val="0"/>
            <w:vAlign w:val="center"/>
          </w:tcPr>
          <w:p w14:paraId="3E41D8B4">
            <w:pPr>
              <w:spacing w:line="240" w:lineRule="exact"/>
              <w:jc w:val="center"/>
              <w:rPr>
                <w:rFonts w:ascii="Times New Roman" w:hAnsi="Times New Roman" w:cs="Times New Roman"/>
                <w:sz w:val="21"/>
                <w:szCs w:val="21"/>
              </w:rPr>
            </w:pPr>
            <w:r>
              <w:rPr>
                <w:rFonts w:ascii="Times New Roman" w:hAnsi="Times New Roman" w:cs="Times New Roman"/>
                <w:sz w:val="21"/>
                <w:szCs w:val="21"/>
              </w:rPr>
              <w:t>50</w:t>
            </w:r>
          </w:p>
        </w:tc>
      </w:tr>
      <w:tr w14:paraId="267B9CEB">
        <w:tblPrEx>
          <w:tblBorders>
            <w:top w:val="thinThickSmallGap" w:color="auto" w:sz="12" w:space="0"/>
            <w:left w:val="none" w:color="auto" w:sz="0" w:space="0"/>
            <w:bottom w:val="thickThinSmallGap"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88" w:hRule="atLeast"/>
          <w:jc w:val="center"/>
        </w:trPr>
        <w:tc>
          <w:tcPr>
            <w:tcW w:w="756" w:type="dxa"/>
            <w:noWrap w:val="0"/>
            <w:vAlign w:val="center"/>
          </w:tcPr>
          <w:p w14:paraId="489C92B8">
            <w:pPr>
              <w:jc w:val="center"/>
              <w:rPr>
                <w:rFonts w:ascii="Times New Roman" w:hAnsi="Times New Roman" w:cs="Times New Roman"/>
                <w:sz w:val="21"/>
                <w:szCs w:val="21"/>
              </w:rPr>
            </w:pPr>
            <w:r>
              <w:rPr>
                <w:rFonts w:ascii="Times New Roman" w:hAnsi="Times New Roman" w:cs="Times New Roman"/>
                <w:sz w:val="21"/>
                <w:szCs w:val="21"/>
              </w:rPr>
              <w:t>20</w:t>
            </w:r>
          </w:p>
        </w:tc>
        <w:tc>
          <w:tcPr>
            <w:tcW w:w="2272" w:type="dxa"/>
            <w:noWrap w:val="0"/>
            <w:vAlign w:val="center"/>
          </w:tcPr>
          <w:p w14:paraId="27AF01E6">
            <w:pPr>
              <w:jc w:val="center"/>
              <w:rPr>
                <w:rFonts w:ascii="Times New Roman" w:hAnsi="Times New Roman" w:cs="Times New Roman"/>
                <w:sz w:val="21"/>
                <w:szCs w:val="21"/>
              </w:rPr>
            </w:pPr>
            <w:r>
              <w:rPr>
                <w:rFonts w:ascii="Times New Roman" w:hAnsi="Times New Roman" w:cs="Times New Roman"/>
                <w:sz w:val="21"/>
                <w:szCs w:val="21"/>
              </w:rPr>
              <w:t>四氯乙烯</w:t>
            </w:r>
          </w:p>
        </w:tc>
        <w:tc>
          <w:tcPr>
            <w:tcW w:w="1420" w:type="dxa"/>
            <w:noWrap w:val="0"/>
            <w:vAlign w:val="center"/>
          </w:tcPr>
          <w:p w14:paraId="22F0A7BA">
            <w:pPr>
              <w:spacing w:line="240" w:lineRule="exact"/>
              <w:jc w:val="center"/>
              <w:rPr>
                <w:rFonts w:ascii="Times New Roman" w:hAnsi="Times New Roman" w:cs="Times New Roman"/>
                <w:sz w:val="21"/>
                <w:szCs w:val="21"/>
              </w:rPr>
            </w:pPr>
            <w:r>
              <w:rPr>
                <w:rFonts w:ascii="Times New Roman" w:hAnsi="Times New Roman" w:cs="Times New Roman"/>
                <w:sz w:val="21"/>
                <w:szCs w:val="21"/>
              </w:rPr>
              <w:t>11</w:t>
            </w:r>
          </w:p>
        </w:tc>
        <w:tc>
          <w:tcPr>
            <w:tcW w:w="1420" w:type="dxa"/>
            <w:noWrap w:val="0"/>
            <w:vAlign w:val="center"/>
          </w:tcPr>
          <w:p w14:paraId="18491CF3">
            <w:pPr>
              <w:spacing w:line="240" w:lineRule="exact"/>
              <w:jc w:val="center"/>
              <w:rPr>
                <w:rFonts w:ascii="Times New Roman" w:hAnsi="Times New Roman" w:cs="Times New Roman"/>
                <w:sz w:val="21"/>
                <w:szCs w:val="21"/>
              </w:rPr>
            </w:pPr>
            <w:r>
              <w:rPr>
                <w:rFonts w:ascii="Times New Roman" w:hAnsi="Times New Roman" w:cs="Times New Roman"/>
                <w:sz w:val="21"/>
                <w:szCs w:val="21"/>
              </w:rPr>
              <w:t>34</w:t>
            </w:r>
          </w:p>
        </w:tc>
        <w:tc>
          <w:tcPr>
            <w:tcW w:w="1420" w:type="dxa"/>
            <w:noWrap w:val="0"/>
            <w:vAlign w:val="center"/>
          </w:tcPr>
          <w:p w14:paraId="0EA1704D">
            <w:pPr>
              <w:spacing w:line="240" w:lineRule="exact"/>
              <w:jc w:val="center"/>
              <w:rPr>
                <w:rFonts w:ascii="Times New Roman" w:hAnsi="Times New Roman" w:cs="Times New Roman"/>
                <w:sz w:val="21"/>
                <w:szCs w:val="21"/>
              </w:rPr>
            </w:pPr>
            <w:r>
              <w:rPr>
                <w:rFonts w:ascii="Times New Roman" w:hAnsi="Times New Roman" w:cs="Times New Roman"/>
                <w:sz w:val="21"/>
                <w:szCs w:val="21"/>
              </w:rPr>
              <w:t>53</w:t>
            </w:r>
          </w:p>
        </w:tc>
        <w:tc>
          <w:tcPr>
            <w:tcW w:w="1324" w:type="dxa"/>
            <w:noWrap w:val="0"/>
            <w:vAlign w:val="center"/>
          </w:tcPr>
          <w:p w14:paraId="44C601B9">
            <w:pPr>
              <w:spacing w:line="240" w:lineRule="exact"/>
              <w:jc w:val="center"/>
              <w:rPr>
                <w:rFonts w:ascii="Times New Roman" w:hAnsi="Times New Roman" w:cs="Times New Roman"/>
                <w:sz w:val="21"/>
                <w:szCs w:val="21"/>
              </w:rPr>
            </w:pPr>
            <w:r>
              <w:rPr>
                <w:rFonts w:ascii="Times New Roman" w:hAnsi="Times New Roman" w:cs="Times New Roman"/>
                <w:sz w:val="21"/>
                <w:szCs w:val="21"/>
              </w:rPr>
              <w:t>183</w:t>
            </w:r>
          </w:p>
        </w:tc>
      </w:tr>
      <w:tr w14:paraId="17197CB8">
        <w:tblPrEx>
          <w:tblBorders>
            <w:top w:val="thinThickSmallGap" w:color="auto" w:sz="12" w:space="0"/>
            <w:left w:val="none" w:color="auto" w:sz="0" w:space="0"/>
            <w:bottom w:val="thickThinSmallGap"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88" w:hRule="atLeast"/>
          <w:jc w:val="center"/>
        </w:trPr>
        <w:tc>
          <w:tcPr>
            <w:tcW w:w="756" w:type="dxa"/>
            <w:noWrap w:val="0"/>
            <w:vAlign w:val="center"/>
          </w:tcPr>
          <w:p w14:paraId="14368817">
            <w:pPr>
              <w:jc w:val="center"/>
              <w:rPr>
                <w:rFonts w:ascii="Times New Roman" w:hAnsi="Times New Roman" w:cs="Times New Roman"/>
                <w:sz w:val="21"/>
                <w:szCs w:val="21"/>
              </w:rPr>
            </w:pPr>
            <w:r>
              <w:rPr>
                <w:rFonts w:ascii="Times New Roman" w:hAnsi="Times New Roman" w:cs="Times New Roman"/>
                <w:sz w:val="21"/>
                <w:szCs w:val="21"/>
              </w:rPr>
              <w:t>21</w:t>
            </w:r>
          </w:p>
        </w:tc>
        <w:tc>
          <w:tcPr>
            <w:tcW w:w="2272" w:type="dxa"/>
            <w:noWrap w:val="0"/>
            <w:vAlign w:val="center"/>
          </w:tcPr>
          <w:p w14:paraId="371A705A">
            <w:pPr>
              <w:jc w:val="center"/>
              <w:rPr>
                <w:rFonts w:ascii="Times New Roman" w:hAnsi="Times New Roman" w:cs="Times New Roman"/>
                <w:sz w:val="21"/>
                <w:szCs w:val="21"/>
              </w:rPr>
            </w:pPr>
            <w:r>
              <w:rPr>
                <w:rFonts w:ascii="Times New Roman" w:hAnsi="Times New Roman" w:cs="Times New Roman"/>
                <w:sz w:val="21"/>
                <w:szCs w:val="21"/>
              </w:rPr>
              <w:t>1,1,1-三氯乙烷</w:t>
            </w:r>
          </w:p>
        </w:tc>
        <w:tc>
          <w:tcPr>
            <w:tcW w:w="1420" w:type="dxa"/>
            <w:noWrap w:val="0"/>
            <w:vAlign w:val="center"/>
          </w:tcPr>
          <w:p w14:paraId="76B950C3">
            <w:pPr>
              <w:spacing w:line="240" w:lineRule="exact"/>
              <w:jc w:val="center"/>
              <w:rPr>
                <w:rFonts w:ascii="Times New Roman" w:hAnsi="Times New Roman" w:cs="Times New Roman"/>
                <w:sz w:val="21"/>
                <w:szCs w:val="21"/>
              </w:rPr>
            </w:pPr>
            <w:r>
              <w:rPr>
                <w:rFonts w:ascii="Times New Roman" w:hAnsi="Times New Roman" w:cs="Times New Roman"/>
                <w:sz w:val="21"/>
                <w:szCs w:val="21"/>
              </w:rPr>
              <w:t>701</w:t>
            </w:r>
          </w:p>
        </w:tc>
        <w:tc>
          <w:tcPr>
            <w:tcW w:w="1420" w:type="dxa"/>
            <w:noWrap w:val="0"/>
            <w:vAlign w:val="center"/>
          </w:tcPr>
          <w:p w14:paraId="302E5F34">
            <w:pPr>
              <w:spacing w:line="240" w:lineRule="exact"/>
              <w:jc w:val="center"/>
              <w:rPr>
                <w:rFonts w:ascii="Times New Roman" w:hAnsi="Times New Roman" w:cs="Times New Roman"/>
                <w:sz w:val="21"/>
                <w:szCs w:val="21"/>
              </w:rPr>
            </w:pPr>
            <w:r>
              <w:rPr>
                <w:rFonts w:ascii="Times New Roman" w:hAnsi="Times New Roman" w:cs="Times New Roman"/>
                <w:sz w:val="21"/>
                <w:szCs w:val="21"/>
              </w:rPr>
              <w:t>840</w:t>
            </w:r>
          </w:p>
        </w:tc>
        <w:tc>
          <w:tcPr>
            <w:tcW w:w="1420" w:type="dxa"/>
            <w:noWrap w:val="0"/>
            <w:vAlign w:val="center"/>
          </w:tcPr>
          <w:p w14:paraId="14558426">
            <w:pPr>
              <w:spacing w:line="240" w:lineRule="exact"/>
              <w:jc w:val="center"/>
              <w:rPr>
                <w:rFonts w:ascii="Times New Roman" w:hAnsi="Times New Roman" w:cs="Times New Roman"/>
                <w:sz w:val="21"/>
                <w:szCs w:val="21"/>
              </w:rPr>
            </w:pPr>
            <w:r>
              <w:rPr>
                <w:rFonts w:ascii="Times New Roman" w:hAnsi="Times New Roman" w:cs="Times New Roman"/>
                <w:sz w:val="21"/>
                <w:szCs w:val="21"/>
              </w:rPr>
              <w:t>840</w:t>
            </w:r>
          </w:p>
        </w:tc>
        <w:tc>
          <w:tcPr>
            <w:tcW w:w="1324" w:type="dxa"/>
            <w:noWrap w:val="0"/>
            <w:vAlign w:val="center"/>
          </w:tcPr>
          <w:p w14:paraId="0C4CF45B">
            <w:pPr>
              <w:spacing w:line="240" w:lineRule="exact"/>
              <w:jc w:val="center"/>
              <w:rPr>
                <w:rFonts w:ascii="Times New Roman" w:hAnsi="Times New Roman" w:cs="Times New Roman"/>
                <w:sz w:val="21"/>
                <w:szCs w:val="21"/>
              </w:rPr>
            </w:pPr>
            <w:r>
              <w:rPr>
                <w:rFonts w:ascii="Times New Roman" w:hAnsi="Times New Roman" w:cs="Times New Roman"/>
                <w:sz w:val="21"/>
                <w:szCs w:val="21"/>
              </w:rPr>
              <w:t>840</w:t>
            </w:r>
          </w:p>
        </w:tc>
      </w:tr>
      <w:tr w14:paraId="4B946778">
        <w:tblPrEx>
          <w:tblBorders>
            <w:top w:val="thinThickSmallGap" w:color="auto" w:sz="12" w:space="0"/>
            <w:left w:val="none" w:color="auto" w:sz="0" w:space="0"/>
            <w:bottom w:val="thickThinSmallGap"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88" w:hRule="atLeast"/>
          <w:jc w:val="center"/>
        </w:trPr>
        <w:tc>
          <w:tcPr>
            <w:tcW w:w="756" w:type="dxa"/>
            <w:noWrap w:val="0"/>
            <w:vAlign w:val="center"/>
          </w:tcPr>
          <w:p w14:paraId="39E0EF4A">
            <w:pPr>
              <w:jc w:val="center"/>
              <w:rPr>
                <w:rFonts w:ascii="Times New Roman" w:hAnsi="Times New Roman" w:cs="Times New Roman"/>
                <w:sz w:val="21"/>
                <w:szCs w:val="21"/>
              </w:rPr>
            </w:pPr>
            <w:r>
              <w:rPr>
                <w:rFonts w:ascii="Times New Roman" w:hAnsi="Times New Roman" w:cs="Times New Roman"/>
                <w:sz w:val="21"/>
                <w:szCs w:val="21"/>
              </w:rPr>
              <w:t>22</w:t>
            </w:r>
          </w:p>
        </w:tc>
        <w:tc>
          <w:tcPr>
            <w:tcW w:w="2272" w:type="dxa"/>
            <w:noWrap w:val="0"/>
            <w:vAlign w:val="center"/>
          </w:tcPr>
          <w:p w14:paraId="7264CC06">
            <w:pPr>
              <w:jc w:val="center"/>
              <w:rPr>
                <w:rFonts w:ascii="Times New Roman" w:hAnsi="Times New Roman" w:cs="Times New Roman"/>
                <w:sz w:val="21"/>
                <w:szCs w:val="21"/>
              </w:rPr>
            </w:pPr>
            <w:r>
              <w:rPr>
                <w:rFonts w:ascii="Times New Roman" w:hAnsi="Times New Roman" w:cs="Times New Roman"/>
                <w:sz w:val="21"/>
                <w:szCs w:val="21"/>
              </w:rPr>
              <w:t>1,1,2-三氯乙烷</w:t>
            </w:r>
          </w:p>
        </w:tc>
        <w:tc>
          <w:tcPr>
            <w:tcW w:w="1420" w:type="dxa"/>
            <w:noWrap w:val="0"/>
            <w:vAlign w:val="center"/>
          </w:tcPr>
          <w:p w14:paraId="6EC94F19">
            <w:pPr>
              <w:spacing w:line="240" w:lineRule="exact"/>
              <w:jc w:val="center"/>
              <w:rPr>
                <w:rFonts w:ascii="Times New Roman" w:hAnsi="Times New Roman" w:cs="Times New Roman"/>
                <w:sz w:val="21"/>
                <w:szCs w:val="21"/>
              </w:rPr>
            </w:pPr>
            <w:r>
              <w:rPr>
                <w:rFonts w:ascii="Times New Roman" w:hAnsi="Times New Roman" w:cs="Times New Roman"/>
                <w:sz w:val="21"/>
                <w:szCs w:val="21"/>
              </w:rPr>
              <w:t>0.6</w:t>
            </w:r>
          </w:p>
        </w:tc>
        <w:tc>
          <w:tcPr>
            <w:tcW w:w="1420" w:type="dxa"/>
            <w:noWrap w:val="0"/>
            <w:vAlign w:val="center"/>
          </w:tcPr>
          <w:p w14:paraId="41CA2FB2">
            <w:pPr>
              <w:spacing w:line="240" w:lineRule="exact"/>
              <w:jc w:val="center"/>
              <w:rPr>
                <w:rFonts w:ascii="Times New Roman" w:hAnsi="Times New Roman" w:cs="Times New Roman"/>
                <w:sz w:val="21"/>
                <w:szCs w:val="21"/>
              </w:rPr>
            </w:pPr>
            <w:r>
              <w:rPr>
                <w:rFonts w:ascii="Times New Roman" w:hAnsi="Times New Roman" w:cs="Times New Roman"/>
                <w:sz w:val="21"/>
                <w:szCs w:val="21"/>
              </w:rPr>
              <w:t>5</w:t>
            </w:r>
          </w:p>
        </w:tc>
        <w:tc>
          <w:tcPr>
            <w:tcW w:w="1420" w:type="dxa"/>
            <w:noWrap w:val="0"/>
            <w:vAlign w:val="center"/>
          </w:tcPr>
          <w:p w14:paraId="65BBC9C5">
            <w:pPr>
              <w:spacing w:line="240" w:lineRule="exact"/>
              <w:jc w:val="center"/>
              <w:rPr>
                <w:rFonts w:ascii="Times New Roman" w:hAnsi="Times New Roman" w:cs="Times New Roman"/>
                <w:sz w:val="21"/>
                <w:szCs w:val="21"/>
              </w:rPr>
            </w:pPr>
            <w:r>
              <w:rPr>
                <w:rFonts w:ascii="Times New Roman" w:hAnsi="Times New Roman" w:cs="Times New Roman"/>
                <w:sz w:val="21"/>
                <w:szCs w:val="21"/>
              </w:rPr>
              <w:t>2.8</w:t>
            </w:r>
          </w:p>
        </w:tc>
        <w:tc>
          <w:tcPr>
            <w:tcW w:w="1324" w:type="dxa"/>
            <w:noWrap w:val="0"/>
            <w:vAlign w:val="center"/>
          </w:tcPr>
          <w:p w14:paraId="6599CDB3">
            <w:pPr>
              <w:spacing w:line="240" w:lineRule="exact"/>
              <w:jc w:val="center"/>
              <w:rPr>
                <w:rFonts w:ascii="Times New Roman" w:hAnsi="Times New Roman" w:cs="Times New Roman"/>
                <w:sz w:val="21"/>
                <w:szCs w:val="21"/>
              </w:rPr>
            </w:pPr>
            <w:r>
              <w:rPr>
                <w:rFonts w:ascii="Times New Roman" w:hAnsi="Times New Roman" w:cs="Times New Roman"/>
                <w:sz w:val="21"/>
                <w:szCs w:val="21"/>
              </w:rPr>
              <w:t>15</w:t>
            </w:r>
          </w:p>
        </w:tc>
      </w:tr>
      <w:tr w14:paraId="3F2159E2">
        <w:tblPrEx>
          <w:tblBorders>
            <w:top w:val="thinThickSmallGap" w:color="auto" w:sz="12" w:space="0"/>
            <w:left w:val="none" w:color="auto" w:sz="0" w:space="0"/>
            <w:bottom w:val="thickThinSmallGap"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88" w:hRule="atLeast"/>
          <w:jc w:val="center"/>
        </w:trPr>
        <w:tc>
          <w:tcPr>
            <w:tcW w:w="756" w:type="dxa"/>
            <w:noWrap w:val="0"/>
            <w:vAlign w:val="center"/>
          </w:tcPr>
          <w:p w14:paraId="042C544D">
            <w:pPr>
              <w:jc w:val="center"/>
              <w:rPr>
                <w:rFonts w:ascii="Times New Roman" w:hAnsi="Times New Roman" w:cs="Times New Roman"/>
                <w:sz w:val="21"/>
                <w:szCs w:val="21"/>
              </w:rPr>
            </w:pPr>
            <w:r>
              <w:rPr>
                <w:rFonts w:ascii="Times New Roman" w:hAnsi="Times New Roman" w:cs="Times New Roman"/>
                <w:sz w:val="21"/>
                <w:szCs w:val="21"/>
              </w:rPr>
              <w:t>23</w:t>
            </w:r>
          </w:p>
        </w:tc>
        <w:tc>
          <w:tcPr>
            <w:tcW w:w="2272" w:type="dxa"/>
            <w:noWrap w:val="0"/>
            <w:vAlign w:val="center"/>
          </w:tcPr>
          <w:p w14:paraId="46D20D04">
            <w:pPr>
              <w:jc w:val="center"/>
              <w:rPr>
                <w:rFonts w:ascii="Times New Roman" w:hAnsi="Times New Roman" w:cs="Times New Roman"/>
                <w:sz w:val="21"/>
                <w:szCs w:val="21"/>
              </w:rPr>
            </w:pPr>
            <w:r>
              <w:rPr>
                <w:rFonts w:ascii="Times New Roman" w:hAnsi="Times New Roman" w:cs="Times New Roman"/>
                <w:sz w:val="21"/>
                <w:szCs w:val="21"/>
              </w:rPr>
              <w:t>三氯乙烯</w:t>
            </w:r>
          </w:p>
        </w:tc>
        <w:tc>
          <w:tcPr>
            <w:tcW w:w="1420" w:type="dxa"/>
            <w:noWrap w:val="0"/>
            <w:vAlign w:val="center"/>
          </w:tcPr>
          <w:p w14:paraId="79436B66">
            <w:pPr>
              <w:spacing w:line="240" w:lineRule="exact"/>
              <w:jc w:val="center"/>
              <w:rPr>
                <w:rFonts w:ascii="Times New Roman" w:hAnsi="Times New Roman" w:cs="Times New Roman"/>
                <w:sz w:val="21"/>
                <w:szCs w:val="21"/>
              </w:rPr>
            </w:pPr>
            <w:r>
              <w:rPr>
                <w:rFonts w:ascii="Times New Roman" w:hAnsi="Times New Roman" w:cs="Times New Roman"/>
                <w:sz w:val="21"/>
                <w:szCs w:val="21"/>
              </w:rPr>
              <w:t>0.7</w:t>
            </w:r>
          </w:p>
        </w:tc>
        <w:tc>
          <w:tcPr>
            <w:tcW w:w="1420" w:type="dxa"/>
            <w:noWrap w:val="0"/>
            <w:vAlign w:val="center"/>
          </w:tcPr>
          <w:p w14:paraId="7AF088E0">
            <w:pPr>
              <w:spacing w:line="240" w:lineRule="exact"/>
              <w:jc w:val="center"/>
              <w:rPr>
                <w:rFonts w:ascii="Times New Roman" w:hAnsi="Times New Roman" w:cs="Times New Roman"/>
                <w:sz w:val="21"/>
                <w:szCs w:val="21"/>
              </w:rPr>
            </w:pPr>
            <w:r>
              <w:rPr>
                <w:rFonts w:ascii="Times New Roman" w:hAnsi="Times New Roman" w:cs="Times New Roman"/>
                <w:sz w:val="21"/>
                <w:szCs w:val="21"/>
              </w:rPr>
              <w:t>7</w:t>
            </w:r>
          </w:p>
        </w:tc>
        <w:tc>
          <w:tcPr>
            <w:tcW w:w="1420" w:type="dxa"/>
            <w:noWrap w:val="0"/>
            <w:vAlign w:val="center"/>
          </w:tcPr>
          <w:p w14:paraId="3046F2E6">
            <w:pPr>
              <w:spacing w:line="240" w:lineRule="exact"/>
              <w:jc w:val="center"/>
              <w:rPr>
                <w:rFonts w:ascii="Times New Roman" w:hAnsi="Times New Roman" w:cs="Times New Roman"/>
                <w:sz w:val="21"/>
                <w:szCs w:val="21"/>
              </w:rPr>
            </w:pPr>
            <w:r>
              <w:rPr>
                <w:rFonts w:ascii="Times New Roman" w:hAnsi="Times New Roman" w:cs="Times New Roman"/>
                <w:sz w:val="21"/>
                <w:szCs w:val="21"/>
              </w:rPr>
              <w:t>2.8</w:t>
            </w:r>
          </w:p>
        </w:tc>
        <w:tc>
          <w:tcPr>
            <w:tcW w:w="1324" w:type="dxa"/>
            <w:noWrap w:val="0"/>
            <w:vAlign w:val="center"/>
          </w:tcPr>
          <w:p w14:paraId="472A6F9E">
            <w:pPr>
              <w:spacing w:line="240" w:lineRule="exact"/>
              <w:jc w:val="center"/>
              <w:rPr>
                <w:rFonts w:ascii="Times New Roman" w:hAnsi="Times New Roman" w:cs="Times New Roman"/>
                <w:sz w:val="21"/>
                <w:szCs w:val="21"/>
              </w:rPr>
            </w:pPr>
            <w:r>
              <w:rPr>
                <w:rFonts w:ascii="Times New Roman" w:hAnsi="Times New Roman" w:cs="Times New Roman"/>
                <w:sz w:val="21"/>
                <w:szCs w:val="21"/>
              </w:rPr>
              <w:t>20</w:t>
            </w:r>
          </w:p>
        </w:tc>
      </w:tr>
      <w:tr w14:paraId="3C8A99A0">
        <w:tblPrEx>
          <w:tblBorders>
            <w:top w:val="thinThickSmallGap" w:color="auto" w:sz="12" w:space="0"/>
            <w:left w:val="none" w:color="auto" w:sz="0" w:space="0"/>
            <w:bottom w:val="thickThinSmallGap"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88" w:hRule="atLeast"/>
          <w:jc w:val="center"/>
        </w:trPr>
        <w:tc>
          <w:tcPr>
            <w:tcW w:w="756" w:type="dxa"/>
            <w:noWrap w:val="0"/>
            <w:vAlign w:val="center"/>
          </w:tcPr>
          <w:p w14:paraId="1E079EB2">
            <w:pPr>
              <w:jc w:val="center"/>
              <w:rPr>
                <w:rFonts w:ascii="Times New Roman" w:hAnsi="Times New Roman" w:cs="Times New Roman"/>
                <w:sz w:val="21"/>
                <w:szCs w:val="21"/>
              </w:rPr>
            </w:pPr>
            <w:r>
              <w:rPr>
                <w:rFonts w:ascii="Times New Roman" w:hAnsi="Times New Roman" w:cs="Times New Roman"/>
                <w:sz w:val="21"/>
                <w:szCs w:val="21"/>
              </w:rPr>
              <w:t>24</w:t>
            </w:r>
          </w:p>
        </w:tc>
        <w:tc>
          <w:tcPr>
            <w:tcW w:w="2272" w:type="dxa"/>
            <w:noWrap w:val="0"/>
            <w:vAlign w:val="center"/>
          </w:tcPr>
          <w:p w14:paraId="28F050FD">
            <w:pPr>
              <w:jc w:val="center"/>
              <w:rPr>
                <w:rFonts w:ascii="Times New Roman" w:hAnsi="Times New Roman" w:cs="Times New Roman"/>
                <w:sz w:val="21"/>
                <w:szCs w:val="21"/>
              </w:rPr>
            </w:pPr>
            <w:r>
              <w:rPr>
                <w:rFonts w:ascii="Times New Roman" w:hAnsi="Times New Roman" w:cs="Times New Roman"/>
                <w:sz w:val="21"/>
                <w:szCs w:val="21"/>
              </w:rPr>
              <w:t>1,2,3-三氯丙烷</w:t>
            </w:r>
          </w:p>
        </w:tc>
        <w:tc>
          <w:tcPr>
            <w:tcW w:w="1420" w:type="dxa"/>
            <w:noWrap w:val="0"/>
            <w:vAlign w:val="center"/>
          </w:tcPr>
          <w:p w14:paraId="24444FB4">
            <w:pPr>
              <w:spacing w:line="240" w:lineRule="exact"/>
              <w:jc w:val="center"/>
              <w:rPr>
                <w:rFonts w:ascii="Times New Roman" w:hAnsi="Times New Roman" w:cs="Times New Roman"/>
                <w:sz w:val="21"/>
                <w:szCs w:val="21"/>
              </w:rPr>
            </w:pPr>
            <w:r>
              <w:rPr>
                <w:rFonts w:ascii="Times New Roman" w:hAnsi="Times New Roman" w:cs="Times New Roman"/>
                <w:sz w:val="21"/>
                <w:szCs w:val="21"/>
              </w:rPr>
              <w:t>0.05</w:t>
            </w:r>
          </w:p>
        </w:tc>
        <w:tc>
          <w:tcPr>
            <w:tcW w:w="1420" w:type="dxa"/>
            <w:noWrap w:val="0"/>
            <w:vAlign w:val="center"/>
          </w:tcPr>
          <w:p w14:paraId="71EBA814">
            <w:pPr>
              <w:spacing w:line="240" w:lineRule="exact"/>
              <w:jc w:val="center"/>
              <w:rPr>
                <w:rFonts w:ascii="Times New Roman" w:hAnsi="Times New Roman" w:cs="Times New Roman"/>
                <w:sz w:val="21"/>
                <w:szCs w:val="21"/>
              </w:rPr>
            </w:pPr>
            <w:r>
              <w:rPr>
                <w:rFonts w:ascii="Times New Roman" w:hAnsi="Times New Roman" w:cs="Times New Roman"/>
                <w:sz w:val="21"/>
                <w:szCs w:val="21"/>
              </w:rPr>
              <w:t>0.5</w:t>
            </w:r>
          </w:p>
        </w:tc>
        <w:tc>
          <w:tcPr>
            <w:tcW w:w="1420" w:type="dxa"/>
            <w:noWrap w:val="0"/>
            <w:vAlign w:val="center"/>
          </w:tcPr>
          <w:p w14:paraId="03001560">
            <w:pPr>
              <w:spacing w:line="240" w:lineRule="exact"/>
              <w:jc w:val="center"/>
              <w:rPr>
                <w:rFonts w:ascii="Times New Roman" w:hAnsi="Times New Roman" w:cs="Times New Roman"/>
                <w:sz w:val="21"/>
                <w:szCs w:val="21"/>
              </w:rPr>
            </w:pPr>
            <w:r>
              <w:rPr>
                <w:rFonts w:ascii="Times New Roman" w:hAnsi="Times New Roman" w:cs="Times New Roman"/>
                <w:sz w:val="21"/>
                <w:szCs w:val="21"/>
              </w:rPr>
              <w:t>0.5</w:t>
            </w:r>
          </w:p>
        </w:tc>
        <w:tc>
          <w:tcPr>
            <w:tcW w:w="1324" w:type="dxa"/>
            <w:noWrap w:val="0"/>
            <w:vAlign w:val="center"/>
          </w:tcPr>
          <w:p w14:paraId="7336F9EA">
            <w:pPr>
              <w:spacing w:line="240" w:lineRule="exact"/>
              <w:jc w:val="center"/>
              <w:rPr>
                <w:rFonts w:ascii="Times New Roman" w:hAnsi="Times New Roman" w:cs="Times New Roman"/>
                <w:sz w:val="21"/>
                <w:szCs w:val="21"/>
              </w:rPr>
            </w:pPr>
            <w:r>
              <w:rPr>
                <w:rFonts w:ascii="Times New Roman" w:hAnsi="Times New Roman" w:cs="Times New Roman"/>
                <w:sz w:val="21"/>
                <w:szCs w:val="21"/>
              </w:rPr>
              <w:t>5</w:t>
            </w:r>
          </w:p>
        </w:tc>
      </w:tr>
      <w:tr w14:paraId="0F528AFE">
        <w:tblPrEx>
          <w:tblBorders>
            <w:top w:val="thinThickSmallGap" w:color="auto" w:sz="12" w:space="0"/>
            <w:left w:val="none" w:color="auto" w:sz="0" w:space="0"/>
            <w:bottom w:val="thickThinSmallGap"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88" w:hRule="atLeast"/>
          <w:jc w:val="center"/>
        </w:trPr>
        <w:tc>
          <w:tcPr>
            <w:tcW w:w="756" w:type="dxa"/>
            <w:noWrap w:val="0"/>
            <w:vAlign w:val="center"/>
          </w:tcPr>
          <w:p w14:paraId="60DDB132">
            <w:pPr>
              <w:jc w:val="center"/>
              <w:rPr>
                <w:rFonts w:ascii="Times New Roman" w:hAnsi="Times New Roman" w:cs="Times New Roman"/>
                <w:sz w:val="21"/>
                <w:szCs w:val="21"/>
              </w:rPr>
            </w:pPr>
            <w:r>
              <w:rPr>
                <w:rFonts w:ascii="Times New Roman" w:hAnsi="Times New Roman" w:cs="Times New Roman"/>
                <w:sz w:val="21"/>
                <w:szCs w:val="21"/>
              </w:rPr>
              <w:t>25</w:t>
            </w:r>
          </w:p>
        </w:tc>
        <w:tc>
          <w:tcPr>
            <w:tcW w:w="2272" w:type="dxa"/>
            <w:noWrap w:val="0"/>
            <w:vAlign w:val="center"/>
          </w:tcPr>
          <w:p w14:paraId="78DE1594">
            <w:pPr>
              <w:jc w:val="center"/>
              <w:rPr>
                <w:rFonts w:ascii="Times New Roman" w:hAnsi="Times New Roman" w:cs="Times New Roman"/>
                <w:sz w:val="21"/>
                <w:szCs w:val="21"/>
              </w:rPr>
            </w:pPr>
            <w:r>
              <w:rPr>
                <w:rFonts w:ascii="Times New Roman" w:hAnsi="Times New Roman" w:cs="Times New Roman"/>
                <w:sz w:val="21"/>
                <w:szCs w:val="21"/>
              </w:rPr>
              <w:t>氯乙烯</w:t>
            </w:r>
          </w:p>
        </w:tc>
        <w:tc>
          <w:tcPr>
            <w:tcW w:w="1420" w:type="dxa"/>
            <w:noWrap w:val="0"/>
            <w:vAlign w:val="center"/>
          </w:tcPr>
          <w:p w14:paraId="55748D75">
            <w:pPr>
              <w:spacing w:line="240" w:lineRule="exact"/>
              <w:jc w:val="center"/>
              <w:rPr>
                <w:rFonts w:ascii="Times New Roman" w:hAnsi="Times New Roman" w:cs="Times New Roman"/>
                <w:sz w:val="21"/>
                <w:szCs w:val="21"/>
              </w:rPr>
            </w:pPr>
            <w:r>
              <w:rPr>
                <w:rFonts w:ascii="Times New Roman" w:hAnsi="Times New Roman" w:cs="Times New Roman"/>
                <w:sz w:val="21"/>
                <w:szCs w:val="21"/>
              </w:rPr>
              <w:t>0.12</w:t>
            </w:r>
          </w:p>
        </w:tc>
        <w:tc>
          <w:tcPr>
            <w:tcW w:w="1420" w:type="dxa"/>
            <w:noWrap w:val="0"/>
            <w:vAlign w:val="center"/>
          </w:tcPr>
          <w:p w14:paraId="05196D8B">
            <w:pPr>
              <w:spacing w:line="240" w:lineRule="exact"/>
              <w:jc w:val="center"/>
              <w:rPr>
                <w:rFonts w:ascii="Times New Roman" w:hAnsi="Times New Roman" w:cs="Times New Roman"/>
                <w:sz w:val="21"/>
                <w:szCs w:val="21"/>
              </w:rPr>
            </w:pPr>
            <w:r>
              <w:rPr>
                <w:rFonts w:ascii="Times New Roman" w:hAnsi="Times New Roman" w:cs="Times New Roman"/>
                <w:sz w:val="21"/>
                <w:szCs w:val="21"/>
              </w:rPr>
              <w:t>1.2</w:t>
            </w:r>
          </w:p>
        </w:tc>
        <w:tc>
          <w:tcPr>
            <w:tcW w:w="1420" w:type="dxa"/>
            <w:noWrap w:val="0"/>
            <w:vAlign w:val="center"/>
          </w:tcPr>
          <w:p w14:paraId="0550EA85">
            <w:pPr>
              <w:spacing w:line="240" w:lineRule="exact"/>
              <w:jc w:val="center"/>
              <w:rPr>
                <w:rFonts w:ascii="Times New Roman" w:hAnsi="Times New Roman" w:cs="Times New Roman"/>
                <w:sz w:val="21"/>
                <w:szCs w:val="21"/>
              </w:rPr>
            </w:pPr>
            <w:r>
              <w:rPr>
                <w:rFonts w:ascii="Times New Roman" w:hAnsi="Times New Roman" w:cs="Times New Roman"/>
                <w:sz w:val="21"/>
                <w:szCs w:val="21"/>
              </w:rPr>
              <w:t>0.43</w:t>
            </w:r>
          </w:p>
        </w:tc>
        <w:tc>
          <w:tcPr>
            <w:tcW w:w="1324" w:type="dxa"/>
            <w:noWrap w:val="0"/>
            <w:vAlign w:val="center"/>
          </w:tcPr>
          <w:p w14:paraId="485EDB26">
            <w:pPr>
              <w:spacing w:line="240" w:lineRule="exact"/>
              <w:jc w:val="center"/>
              <w:rPr>
                <w:rFonts w:ascii="Times New Roman" w:hAnsi="Times New Roman" w:cs="Times New Roman"/>
                <w:sz w:val="21"/>
                <w:szCs w:val="21"/>
              </w:rPr>
            </w:pPr>
            <w:r>
              <w:rPr>
                <w:rFonts w:ascii="Times New Roman" w:hAnsi="Times New Roman" w:cs="Times New Roman"/>
                <w:sz w:val="21"/>
                <w:szCs w:val="21"/>
              </w:rPr>
              <w:t>4.3</w:t>
            </w:r>
          </w:p>
        </w:tc>
      </w:tr>
      <w:tr w14:paraId="7CC1F056">
        <w:tblPrEx>
          <w:tblBorders>
            <w:top w:val="thinThickSmallGap" w:color="auto" w:sz="12" w:space="0"/>
            <w:left w:val="none" w:color="auto" w:sz="0" w:space="0"/>
            <w:bottom w:val="thickThinSmallGap"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88" w:hRule="atLeast"/>
          <w:jc w:val="center"/>
        </w:trPr>
        <w:tc>
          <w:tcPr>
            <w:tcW w:w="756" w:type="dxa"/>
            <w:noWrap w:val="0"/>
            <w:vAlign w:val="center"/>
          </w:tcPr>
          <w:p w14:paraId="30914CB6">
            <w:pPr>
              <w:jc w:val="center"/>
              <w:rPr>
                <w:rFonts w:ascii="Times New Roman" w:hAnsi="Times New Roman" w:cs="Times New Roman"/>
                <w:sz w:val="21"/>
                <w:szCs w:val="21"/>
              </w:rPr>
            </w:pPr>
            <w:r>
              <w:rPr>
                <w:rFonts w:ascii="Times New Roman" w:hAnsi="Times New Roman" w:cs="Times New Roman"/>
                <w:sz w:val="21"/>
                <w:szCs w:val="21"/>
              </w:rPr>
              <w:t>26</w:t>
            </w:r>
          </w:p>
        </w:tc>
        <w:tc>
          <w:tcPr>
            <w:tcW w:w="2272" w:type="dxa"/>
            <w:noWrap w:val="0"/>
            <w:vAlign w:val="center"/>
          </w:tcPr>
          <w:p w14:paraId="0E632B25">
            <w:pPr>
              <w:jc w:val="center"/>
              <w:rPr>
                <w:rFonts w:ascii="Times New Roman" w:hAnsi="Times New Roman" w:cs="Times New Roman"/>
                <w:sz w:val="21"/>
                <w:szCs w:val="21"/>
              </w:rPr>
            </w:pPr>
            <w:r>
              <w:rPr>
                <w:rFonts w:ascii="Times New Roman" w:hAnsi="Times New Roman" w:cs="Times New Roman"/>
                <w:sz w:val="21"/>
                <w:szCs w:val="21"/>
              </w:rPr>
              <w:t>苯</w:t>
            </w:r>
          </w:p>
        </w:tc>
        <w:tc>
          <w:tcPr>
            <w:tcW w:w="1420" w:type="dxa"/>
            <w:noWrap w:val="0"/>
            <w:vAlign w:val="center"/>
          </w:tcPr>
          <w:p w14:paraId="77F934AA">
            <w:pPr>
              <w:spacing w:line="240" w:lineRule="exact"/>
              <w:jc w:val="center"/>
              <w:rPr>
                <w:rFonts w:ascii="Times New Roman" w:hAnsi="Times New Roman" w:cs="Times New Roman"/>
                <w:sz w:val="21"/>
                <w:szCs w:val="21"/>
              </w:rPr>
            </w:pPr>
            <w:r>
              <w:rPr>
                <w:rFonts w:ascii="Times New Roman" w:hAnsi="Times New Roman" w:cs="Times New Roman"/>
                <w:sz w:val="21"/>
                <w:szCs w:val="21"/>
              </w:rPr>
              <w:t>1</w:t>
            </w:r>
          </w:p>
        </w:tc>
        <w:tc>
          <w:tcPr>
            <w:tcW w:w="1420" w:type="dxa"/>
            <w:noWrap w:val="0"/>
            <w:vAlign w:val="center"/>
          </w:tcPr>
          <w:p w14:paraId="20F95469">
            <w:pPr>
              <w:spacing w:line="240" w:lineRule="exact"/>
              <w:jc w:val="center"/>
              <w:rPr>
                <w:rFonts w:ascii="Times New Roman" w:hAnsi="Times New Roman" w:cs="Times New Roman"/>
                <w:sz w:val="21"/>
                <w:szCs w:val="21"/>
              </w:rPr>
            </w:pPr>
            <w:r>
              <w:rPr>
                <w:rFonts w:ascii="Times New Roman" w:hAnsi="Times New Roman" w:cs="Times New Roman"/>
                <w:sz w:val="21"/>
                <w:szCs w:val="21"/>
              </w:rPr>
              <w:t>10</w:t>
            </w:r>
          </w:p>
        </w:tc>
        <w:tc>
          <w:tcPr>
            <w:tcW w:w="1420" w:type="dxa"/>
            <w:noWrap w:val="0"/>
            <w:vAlign w:val="center"/>
          </w:tcPr>
          <w:p w14:paraId="36425992">
            <w:pPr>
              <w:spacing w:line="240" w:lineRule="exact"/>
              <w:jc w:val="center"/>
              <w:rPr>
                <w:rFonts w:ascii="Times New Roman" w:hAnsi="Times New Roman" w:cs="Times New Roman"/>
                <w:sz w:val="21"/>
                <w:szCs w:val="21"/>
              </w:rPr>
            </w:pPr>
            <w:r>
              <w:rPr>
                <w:rFonts w:ascii="Times New Roman" w:hAnsi="Times New Roman" w:cs="Times New Roman"/>
                <w:sz w:val="21"/>
                <w:szCs w:val="21"/>
              </w:rPr>
              <w:t>4</w:t>
            </w:r>
          </w:p>
        </w:tc>
        <w:tc>
          <w:tcPr>
            <w:tcW w:w="1324" w:type="dxa"/>
            <w:noWrap w:val="0"/>
            <w:vAlign w:val="center"/>
          </w:tcPr>
          <w:p w14:paraId="611E344F">
            <w:pPr>
              <w:spacing w:line="240" w:lineRule="exact"/>
              <w:jc w:val="center"/>
              <w:rPr>
                <w:rFonts w:ascii="Times New Roman" w:hAnsi="Times New Roman" w:cs="Times New Roman"/>
                <w:sz w:val="21"/>
                <w:szCs w:val="21"/>
              </w:rPr>
            </w:pPr>
            <w:r>
              <w:rPr>
                <w:rFonts w:ascii="Times New Roman" w:hAnsi="Times New Roman" w:cs="Times New Roman"/>
                <w:sz w:val="21"/>
                <w:szCs w:val="21"/>
              </w:rPr>
              <w:t>40</w:t>
            </w:r>
          </w:p>
        </w:tc>
      </w:tr>
      <w:tr w14:paraId="627BA857">
        <w:tblPrEx>
          <w:tblBorders>
            <w:top w:val="thinThickSmallGap" w:color="auto" w:sz="12" w:space="0"/>
            <w:left w:val="none" w:color="auto" w:sz="0" w:space="0"/>
            <w:bottom w:val="thickThinSmallGap"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88" w:hRule="atLeast"/>
          <w:jc w:val="center"/>
        </w:trPr>
        <w:tc>
          <w:tcPr>
            <w:tcW w:w="756" w:type="dxa"/>
            <w:noWrap w:val="0"/>
            <w:vAlign w:val="center"/>
          </w:tcPr>
          <w:p w14:paraId="213E1E1A">
            <w:pPr>
              <w:jc w:val="center"/>
              <w:rPr>
                <w:rFonts w:ascii="Times New Roman" w:hAnsi="Times New Roman" w:cs="Times New Roman"/>
                <w:sz w:val="21"/>
                <w:szCs w:val="21"/>
              </w:rPr>
            </w:pPr>
            <w:r>
              <w:rPr>
                <w:rFonts w:ascii="Times New Roman" w:hAnsi="Times New Roman" w:cs="Times New Roman"/>
                <w:sz w:val="21"/>
                <w:szCs w:val="21"/>
              </w:rPr>
              <w:t>27</w:t>
            </w:r>
          </w:p>
        </w:tc>
        <w:tc>
          <w:tcPr>
            <w:tcW w:w="2272" w:type="dxa"/>
            <w:noWrap w:val="0"/>
            <w:vAlign w:val="center"/>
          </w:tcPr>
          <w:p w14:paraId="576C3EAD">
            <w:pPr>
              <w:jc w:val="center"/>
              <w:rPr>
                <w:rFonts w:ascii="Times New Roman" w:hAnsi="Times New Roman" w:cs="Times New Roman"/>
                <w:sz w:val="21"/>
                <w:szCs w:val="21"/>
              </w:rPr>
            </w:pPr>
            <w:r>
              <w:rPr>
                <w:rFonts w:ascii="Times New Roman" w:hAnsi="Times New Roman" w:cs="Times New Roman"/>
                <w:sz w:val="21"/>
                <w:szCs w:val="21"/>
              </w:rPr>
              <w:t>氯苯</w:t>
            </w:r>
          </w:p>
        </w:tc>
        <w:tc>
          <w:tcPr>
            <w:tcW w:w="1420" w:type="dxa"/>
            <w:noWrap w:val="0"/>
            <w:vAlign w:val="center"/>
          </w:tcPr>
          <w:p w14:paraId="700BB24E">
            <w:pPr>
              <w:spacing w:line="240" w:lineRule="exact"/>
              <w:jc w:val="center"/>
              <w:rPr>
                <w:rFonts w:ascii="Times New Roman" w:hAnsi="Times New Roman" w:cs="Times New Roman"/>
                <w:sz w:val="21"/>
                <w:szCs w:val="21"/>
              </w:rPr>
            </w:pPr>
            <w:r>
              <w:rPr>
                <w:rFonts w:ascii="Times New Roman" w:hAnsi="Times New Roman" w:cs="Times New Roman"/>
                <w:sz w:val="21"/>
                <w:szCs w:val="21"/>
              </w:rPr>
              <w:t>68</w:t>
            </w:r>
          </w:p>
        </w:tc>
        <w:tc>
          <w:tcPr>
            <w:tcW w:w="1420" w:type="dxa"/>
            <w:noWrap w:val="0"/>
            <w:vAlign w:val="center"/>
          </w:tcPr>
          <w:p w14:paraId="5905F297">
            <w:pPr>
              <w:spacing w:line="240" w:lineRule="exact"/>
              <w:jc w:val="center"/>
              <w:rPr>
                <w:rFonts w:ascii="Times New Roman" w:hAnsi="Times New Roman" w:cs="Times New Roman"/>
                <w:sz w:val="21"/>
                <w:szCs w:val="21"/>
              </w:rPr>
            </w:pPr>
            <w:r>
              <w:rPr>
                <w:rFonts w:ascii="Times New Roman" w:hAnsi="Times New Roman" w:cs="Times New Roman"/>
                <w:sz w:val="21"/>
                <w:szCs w:val="21"/>
              </w:rPr>
              <w:t>200</w:t>
            </w:r>
          </w:p>
        </w:tc>
        <w:tc>
          <w:tcPr>
            <w:tcW w:w="1420" w:type="dxa"/>
            <w:noWrap w:val="0"/>
            <w:vAlign w:val="center"/>
          </w:tcPr>
          <w:p w14:paraId="5D37E204">
            <w:pPr>
              <w:spacing w:line="240" w:lineRule="exact"/>
              <w:jc w:val="center"/>
              <w:rPr>
                <w:rFonts w:ascii="Times New Roman" w:hAnsi="Times New Roman" w:cs="Times New Roman"/>
                <w:sz w:val="21"/>
                <w:szCs w:val="21"/>
              </w:rPr>
            </w:pPr>
            <w:r>
              <w:rPr>
                <w:rFonts w:ascii="Times New Roman" w:hAnsi="Times New Roman" w:cs="Times New Roman"/>
                <w:sz w:val="21"/>
                <w:szCs w:val="21"/>
              </w:rPr>
              <w:t>270</w:t>
            </w:r>
          </w:p>
        </w:tc>
        <w:tc>
          <w:tcPr>
            <w:tcW w:w="1324" w:type="dxa"/>
            <w:noWrap w:val="0"/>
            <w:vAlign w:val="center"/>
          </w:tcPr>
          <w:p w14:paraId="25B661C3">
            <w:pPr>
              <w:spacing w:line="240" w:lineRule="exact"/>
              <w:jc w:val="center"/>
              <w:rPr>
                <w:rFonts w:ascii="Times New Roman" w:hAnsi="Times New Roman" w:cs="Times New Roman"/>
                <w:sz w:val="21"/>
                <w:szCs w:val="21"/>
              </w:rPr>
            </w:pPr>
            <w:r>
              <w:rPr>
                <w:rFonts w:ascii="Times New Roman" w:hAnsi="Times New Roman" w:cs="Times New Roman"/>
                <w:sz w:val="21"/>
                <w:szCs w:val="21"/>
              </w:rPr>
              <w:t>1000</w:t>
            </w:r>
          </w:p>
        </w:tc>
      </w:tr>
      <w:tr w14:paraId="06A42D69">
        <w:tblPrEx>
          <w:tblBorders>
            <w:top w:val="thinThickSmallGap" w:color="auto" w:sz="12" w:space="0"/>
            <w:left w:val="none" w:color="auto" w:sz="0" w:space="0"/>
            <w:bottom w:val="thickThinSmallGap"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88" w:hRule="atLeast"/>
          <w:jc w:val="center"/>
        </w:trPr>
        <w:tc>
          <w:tcPr>
            <w:tcW w:w="756" w:type="dxa"/>
            <w:noWrap w:val="0"/>
            <w:vAlign w:val="center"/>
          </w:tcPr>
          <w:p w14:paraId="07CCC6F3">
            <w:pPr>
              <w:jc w:val="center"/>
              <w:rPr>
                <w:rFonts w:ascii="Times New Roman" w:hAnsi="Times New Roman" w:cs="Times New Roman"/>
                <w:sz w:val="21"/>
                <w:szCs w:val="21"/>
              </w:rPr>
            </w:pPr>
            <w:r>
              <w:rPr>
                <w:rFonts w:ascii="Times New Roman" w:hAnsi="Times New Roman" w:cs="Times New Roman"/>
                <w:sz w:val="21"/>
                <w:szCs w:val="21"/>
              </w:rPr>
              <w:t>28</w:t>
            </w:r>
          </w:p>
        </w:tc>
        <w:tc>
          <w:tcPr>
            <w:tcW w:w="2272" w:type="dxa"/>
            <w:noWrap w:val="0"/>
            <w:vAlign w:val="center"/>
          </w:tcPr>
          <w:p w14:paraId="35446100">
            <w:pPr>
              <w:jc w:val="center"/>
              <w:rPr>
                <w:rFonts w:ascii="Times New Roman" w:hAnsi="Times New Roman" w:cs="Times New Roman"/>
                <w:sz w:val="21"/>
                <w:szCs w:val="21"/>
              </w:rPr>
            </w:pPr>
            <w:r>
              <w:rPr>
                <w:rFonts w:ascii="Times New Roman" w:hAnsi="Times New Roman" w:cs="Times New Roman"/>
                <w:sz w:val="21"/>
                <w:szCs w:val="21"/>
              </w:rPr>
              <w:t>1,2-二氯苯</w:t>
            </w:r>
          </w:p>
        </w:tc>
        <w:tc>
          <w:tcPr>
            <w:tcW w:w="1420" w:type="dxa"/>
            <w:noWrap w:val="0"/>
            <w:vAlign w:val="center"/>
          </w:tcPr>
          <w:p w14:paraId="2F7ABF7C">
            <w:pPr>
              <w:spacing w:line="240" w:lineRule="exact"/>
              <w:jc w:val="center"/>
              <w:rPr>
                <w:rFonts w:ascii="Times New Roman" w:hAnsi="Times New Roman" w:cs="Times New Roman"/>
                <w:sz w:val="21"/>
                <w:szCs w:val="21"/>
              </w:rPr>
            </w:pPr>
            <w:r>
              <w:rPr>
                <w:rFonts w:ascii="Times New Roman" w:hAnsi="Times New Roman" w:cs="Times New Roman"/>
                <w:sz w:val="21"/>
                <w:szCs w:val="21"/>
              </w:rPr>
              <w:t>560</w:t>
            </w:r>
          </w:p>
        </w:tc>
        <w:tc>
          <w:tcPr>
            <w:tcW w:w="1420" w:type="dxa"/>
            <w:noWrap w:val="0"/>
            <w:vAlign w:val="center"/>
          </w:tcPr>
          <w:p w14:paraId="67EFA5B0">
            <w:pPr>
              <w:spacing w:line="240" w:lineRule="exact"/>
              <w:jc w:val="center"/>
              <w:rPr>
                <w:rFonts w:ascii="Times New Roman" w:hAnsi="Times New Roman" w:cs="Times New Roman"/>
                <w:sz w:val="21"/>
                <w:szCs w:val="21"/>
              </w:rPr>
            </w:pPr>
            <w:r>
              <w:rPr>
                <w:rFonts w:ascii="Times New Roman" w:hAnsi="Times New Roman" w:cs="Times New Roman"/>
                <w:sz w:val="21"/>
                <w:szCs w:val="21"/>
              </w:rPr>
              <w:t>560</w:t>
            </w:r>
          </w:p>
        </w:tc>
        <w:tc>
          <w:tcPr>
            <w:tcW w:w="1420" w:type="dxa"/>
            <w:noWrap w:val="0"/>
            <w:vAlign w:val="center"/>
          </w:tcPr>
          <w:p w14:paraId="04C8E82F">
            <w:pPr>
              <w:spacing w:line="240" w:lineRule="exact"/>
              <w:jc w:val="center"/>
              <w:rPr>
                <w:rFonts w:ascii="Times New Roman" w:hAnsi="Times New Roman" w:cs="Times New Roman"/>
                <w:sz w:val="21"/>
                <w:szCs w:val="21"/>
              </w:rPr>
            </w:pPr>
            <w:r>
              <w:rPr>
                <w:rFonts w:ascii="Times New Roman" w:hAnsi="Times New Roman" w:cs="Times New Roman"/>
                <w:sz w:val="21"/>
                <w:szCs w:val="21"/>
              </w:rPr>
              <w:t>560</w:t>
            </w:r>
          </w:p>
        </w:tc>
        <w:tc>
          <w:tcPr>
            <w:tcW w:w="1324" w:type="dxa"/>
            <w:noWrap w:val="0"/>
            <w:vAlign w:val="center"/>
          </w:tcPr>
          <w:p w14:paraId="34889426">
            <w:pPr>
              <w:spacing w:line="240" w:lineRule="exact"/>
              <w:jc w:val="center"/>
              <w:rPr>
                <w:rFonts w:ascii="Times New Roman" w:hAnsi="Times New Roman" w:cs="Times New Roman"/>
                <w:sz w:val="21"/>
                <w:szCs w:val="21"/>
              </w:rPr>
            </w:pPr>
            <w:r>
              <w:rPr>
                <w:rFonts w:ascii="Times New Roman" w:hAnsi="Times New Roman" w:cs="Times New Roman"/>
                <w:sz w:val="21"/>
                <w:szCs w:val="21"/>
              </w:rPr>
              <w:t>560</w:t>
            </w:r>
          </w:p>
        </w:tc>
      </w:tr>
      <w:tr w14:paraId="21B1800D">
        <w:tblPrEx>
          <w:tblBorders>
            <w:top w:val="thinThickSmallGap" w:color="auto" w:sz="12" w:space="0"/>
            <w:left w:val="none" w:color="auto" w:sz="0" w:space="0"/>
            <w:bottom w:val="thickThinSmallGap"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88" w:hRule="atLeast"/>
          <w:jc w:val="center"/>
        </w:trPr>
        <w:tc>
          <w:tcPr>
            <w:tcW w:w="756" w:type="dxa"/>
            <w:noWrap w:val="0"/>
            <w:vAlign w:val="center"/>
          </w:tcPr>
          <w:p w14:paraId="03A7B0FA">
            <w:pPr>
              <w:jc w:val="center"/>
              <w:rPr>
                <w:rFonts w:ascii="Times New Roman" w:hAnsi="Times New Roman" w:cs="Times New Roman"/>
                <w:sz w:val="21"/>
                <w:szCs w:val="21"/>
              </w:rPr>
            </w:pPr>
            <w:r>
              <w:rPr>
                <w:rFonts w:ascii="Times New Roman" w:hAnsi="Times New Roman" w:cs="Times New Roman"/>
                <w:sz w:val="21"/>
                <w:szCs w:val="21"/>
              </w:rPr>
              <w:t>29</w:t>
            </w:r>
          </w:p>
        </w:tc>
        <w:tc>
          <w:tcPr>
            <w:tcW w:w="2272" w:type="dxa"/>
            <w:noWrap w:val="0"/>
            <w:vAlign w:val="center"/>
          </w:tcPr>
          <w:p w14:paraId="5C89756A">
            <w:pPr>
              <w:jc w:val="center"/>
              <w:rPr>
                <w:rFonts w:ascii="Times New Roman" w:hAnsi="Times New Roman" w:cs="Times New Roman"/>
                <w:sz w:val="21"/>
                <w:szCs w:val="21"/>
              </w:rPr>
            </w:pPr>
            <w:r>
              <w:rPr>
                <w:rFonts w:ascii="Times New Roman" w:hAnsi="Times New Roman" w:cs="Times New Roman"/>
                <w:sz w:val="21"/>
                <w:szCs w:val="21"/>
              </w:rPr>
              <w:t>1,4-二氯苯</w:t>
            </w:r>
          </w:p>
        </w:tc>
        <w:tc>
          <w:tcPr>
            <w:tcW w:w="1420" w:type="dxa"/>
            <w:noWrap w:val="0"/>
            <w:vAlign w:val="center"/>
          </w:tcPr>
          <w:p w14:paraId="4E1FBCD0">
            <w:pPr>
              <w:spacing w:line="240" w:lineRule="exact"/>
              <w:jc w:val="center"/>
              <w:rPr>
                <w:rFonts w:ascii="Times New Roman" w:hAnsi="Times New Roman" w:cs="Times New Roman"/>
                <w:sz w:val="21"/>
                <w:szCs w:val="21"/>
              </w:rPr>
            </w:pPr>
            <w:r>
              <w:rPr>
                <w:rFonts w:ascii="Times New Roman" w:hAnsi="Times New Roman" w:cs="Times New Roman"/>
                <w:sz w:val="21"/>
                <w:szCs w:val="21"/>
              </w:rPr>
              <w:t>5.6</w:t>
            </w:r>
          </w:p>
        </w:tc>
        <w:tc>
          <w:tcPr>
            <w:tcW w:w="1420" w:type="dxa"/>
            <w:noWrap w:val="0"/>
            <w:vAlign w:val="center"/>
          </w:tcPr>
          <w:p w14:paraId="76D4D6A7">
            <w:pPr>
              <w:spacing w:line="240" w:lineRule="exact"/>
              <w:jc w:val="center"/>
              <w:rPr>
                <w:rFonts w:ascii="Times New Roman" w:hAnsi="Times New Roman" w:cs="Times New Roman"/>
                <w:sz w:val="21"/>
                <w:szCs w:val="21"/>
              </w:rPr>
            </w:pPr>
            <w:r>
              <w:rPr>
                <w:rFonts w:ascii="Times New Roman" w:hAnsi="Times New Roman" w:cs="Times New Roman"/>
                <w:sz w:val="21"/>
                <w:szCs w:val="21"/>
              </w:rPr>
              <w:t>56</w:t>
            </w:r>
          </w:p>
        </w:tc>
        <w:tc>
          <w:tcPr>
            <w:tcW w:w="1420" w:type="dxa"/>
            <w:noWrap w:val="0"/>
            <w:vAlign w:val="center"/>
          </w:tcPr>
          <w:p w14:paraId="6D530741">
            <w:pPr>
              <w:spacing w:line="240" w:lineRule="exact"/>
              <w:jc w:val="center"/>
              <w:rPr>
                <w:rFonts w:ascii="Times New Roman" w:hAnsi="Times New Roman" w:cs="Times New Roman"/>
                <w:sz w:val="21"/>
                <w:szCs w:val="21"/>
              </w:rPr>
            </w:pPr>
            <w:r>
              <w:rPr>
                <w:rFonts w:ascii="Times New Roman" w:hAnsi="Times New Roman" w:cs="Times New Roman"/>
                <w:sz w:val="21"/>
                <w:szCs w:val="21"/>
              </w:rPr>
              <w:t>20</w:t>
            </w:r>
          </w:p>
        </w:tc>
        <w:tc>
          <w:tcPr>
            <w:tcW w:w="1324" w:type="dxa"/>
            <w:noWrap w:val="0"/>
            <w:vAlign w:val="center"/>
          </w:tcPr>
          <w:p w14:paraId="226112B1">
            <w:pPr>
              <w:spacing w:line="240" w:lineRule="exact"/>
              <w:jc w:val="center"/>
              <w:rPr>
                <w:rFonts w:ascii="Times New Roman" w:hAnsi="Times New Roman" w:cs="Times New Roman"/>
                <w:sz w:val="21"/>
                <w:szCs w:val="21"/>
              </w:rPr>
            </w:pPr>
            <w:r>
              <w:rPr>
                <w:rFonts w:ascii="Times New Roman" w:hAnsi="Times New Roman" w:cs="Times New Roman"/>
                <w:sz w:val="21"/>
                <w:szCs w:val="21"/>
              </w:rPr>
              <w:t>200</w:t>
            </w:r>
          </w:p>
        </w:tc>
      </w:tr>
      <w:tr w14:paraId="70B5A154">
        <w:tblPrEx>
          <w:tblBorders>
            <w:top w:val="thinThickSmallGap" w:color="auto" w:sz="12" w:space="0"/>
            <w:left w:val="none" w:color="auto" w:sz="0" w:space="0"/>
            <w:bottom w:val="thickThinSmallGap"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88" w:hRule="atLeast"/>
          <w:jc w:val="center"/>
        </w:trPr>
        <w:tc>
          <w:tcPr>
            <w:tcW w:w="756" w:type="dxa"/>
            <w:noWrap w:val="0"/>
            <w:vAlign w:val="center"/>
          </w:tcPr>
          <w:p w14:paraId="46DA3B39">
            <w:pPr>
              <w:jc w:val="center"/>
              <w:rPr>
                <w:rFonts w:ascii="Times New Roman" w:hAnsi="Times New Roman" w:cs="Times New Roman"/>
                <w:sz w:val="21"/>
                <w:szCs w:val="21"/>
              </w:rPr>
            </w:pPr>
            <w:r>
              <w:rPr>
                <w:rFonts w:ascii="Times New Roman" w:hAnsi="Times New Roman" w:cs="Times New Roman"/>
                <w:sz w:val="21"/>
                <w:szCs w:val="21"/>
              </w:rPr>
              <w:t>30</w:t>
            </w:r>
          </w:p>
        </w:tc>
        <w:tc>
          <w:tcPr>
            <w:tcW w:w="2272" w:type="dxa"/>
            <w:noWrap w:val="0"/>
            <w:vAlign w:val="center"/>
          </w:tcPr>
          <w:p w14:paraId="24501326">
            <w:pPr>
              <w:jc w:val="center"/>
              <w:rPr>
                <w:rFonts w:ascii="Times New Roman" w:hAnsi="Times New Roman" w:cs="Times New Roman"/>
                <w:sz w:val="21"/>
                <w:szCs w:val="21"/>
              </w:rPr>
            </w:pPr>
            <w:r>
              <w:rPr>
                <w:rFonts w:ascii="Times New Roman" w:hAnsi="Times New Roman" w:cs="Times New Roman"/>
                <w:sz w:val="21"/>
                <w:szCs w:val="21"/>
              </w:rPr>
              <w:t>乙苯</w:t>
            </w:r>
          </w:p>
        </w:tc>
        <w:tc>
          <w:tcPr>
            <w:tcW w:w="1420" w:type="dxa"/>
            <w:noWrap w:val="0"/>
            <w:vAlign w:val="center"/>
          </w:tcPr>
          <w:p w14:paraId="0248DBC0">
            <w:pPr>
              <w:spacing w:line="240" w:lineRule="exact"/>
              <w:jc w:val="center"/>
              <w:rPr>
                <w:rFonts w:ascii="Times New Roman" w:hAnsi="Times New Roman" w:cs="Times New Roman"/>
                <w:sz w:val="21"/>
                <w:szCs w:val="21"/>
              </w:rPr>
            </w:pPr>
            <w:r>
              <w:rPr>
                <w:rFonts w:ascii="Times New Roman" w:hAnsi="Times New Roman" w:cs="Times New Roman"/>
                <w:sz w:val="21"/>
                <w:szCs w:val="21"/>
              </w:rPr>
              <w:t>7.2</w:t>
            </w:r>
          </w:p>
        </w:tc>
        <w:tc>
          <w:tcPr>
            <w:tcW w:w="1420" w:type="dxa"/>
            <w:noWrap w:val="0"/>
            <w:vAlign w:val="center"/>
          </w:tcPr>
          <w:p w14:paraId="1808FB2E">
            <w:pPr>
              <w:spacing w:line="240" w:lineRule="exact"/>
              <w:jc w:val="center"/>
              <w:rPr>
                <w:rFonts w:ascii="Times New Roman" w:hAnsi="Times New Roman" w:cs="Times New Roman"/>
                <w:sz w:val="21"/>
                <w:szCs w:val="21"/>
              </w:rPr>
            </w:pPr>
            <w:r>
              <w:rPr>
                <w:rFonts w:ascii="Times New Roman" w:hAnsi="Times New Roman" w:cs="Times New Roman"/>
                <w:sz w:val="21"/>
                <w:szCs w:val="21"/>
              </w:rPr>
              <w:t>72</w:t>
            </w:r>
          </w:p>
        </w:tc>
        <w:tc>
          <w:tcPr>
            <w:tcW w:w="1420" w:type="dxa"/>
            <w:noWrap w:val="0"/>
            <w:vAlign w:val="center"/>
          </w:tcPr>
          <w:p w14:paraId="71D8CE31">
            <w:pPr>
              <w:spacing w:line="240" w:lineRule="exact"/>
              <w:jc w:val="center"/>
              <w:rPr>
                <w:rFonts w:ascii="Times New Roman" w:hAnsi="Times New Roman" w:cs="Times New Roman"/>
                <w:sz w:val="21"/>
                <w:szCs w:val="21"/>
              </w:rPr>
            </w:pPr>
            <w:r>
              <w:rPr>
                <w:rFonts w:ascii="Times New Roman" w:hAnsi="Times New Roman" w:cs="Times New Roman"/>
                <w:sz w:val="21"/>
                <w:szCs w:val="21"/>
              </w:rPr>
              <w:t>28</w:t>
            </w:r>
          </w:p>
        </w:tc>
        <w:tc>
          <w:tcPr>
            <w:tcW w:w="1324" w:type="dxa"/>
            <w:noWrap w:val="0"/>
            <w:vAlign w:val="center"/>
          </w:tcPr>
          <w:p w14:paraId="74ABDC80">
            <w:pPr>
              <w:spacing w:line="240" w:lineRule="exact"/>
              <w:jc w:val="center"/>
              <w:rPr>
                <w:rFonts w:ascii="Times New Roman" w:hAnsi="Times New Roman" w:cs="Times New Roman"/>
                <w:sz w:val="21"/>
                <w:szCs w:val="21"/>
              </w:rPr>
            </w:pPr>
            <w:r>
              <w:rPr>
                <w:rFonts w:ascii="Times New Roman" w:hAnsi="Times New Roman" w:cs="Times New Roman"/>
                <w:sz w:val="21"/>
                <w:szCs w:val="21"/>
              </w:rPr>
              <w:t>280</w:t>
            </w:r>
          </w:p>
        </w:tc>
      </w:tr>
      <w:tr w14:paraId="5FFF1C1E">
        <w:tblPrEx>
          <w:tblBorders>
            <w:top w:val="thinThickSmallGap" w:color="auto" w:sz="12" w:space="0"/>
            <w:left w:val="none" w:color="auto" w:sz="0" w:space="0"/>
            <w:bottom w:val="thickThinSmallGap"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88" w:hRule="atLeast"/>
          <w:jc w:val="center"/>
        </w:trPr>
        <w:tc>
          <w:tcPr>
            <w:tcW w:w="756" w:type="dxa"/>
            <w:noWrap w:val="0"/>
            <w:vAlign w:val="center"/>
          </w:tcPr>
          <w:p w14:paraId="26B6FDD8">
            <w:pPr>
              <w:jc w:val="center"/>
              <w:rPr>
                <w:rFonts w:ascii="Times New Roman" w:hAnsi="Times New Roman" w:cs="Times New Roman"/>
                <w:sz w:val="21"/>
                <w:szCs w:val="21"/>
              </w:rPr>
            </w:pPr>
            <w:r>
              <w:rPr>
                <w:rFonts w:ascii="Times New Roman" w:hAnsi="Times New Roman" w:cs="Times New Roman"/>
                <w:sz w:val="21"/>
                <w:szCs w:val="21"/>
              </w:rPr>
              <w:t>31</w:t>
            </w:r>
          </w:p>
        </w:tc>
        <w:tc>
          <w:tcPr>
            <w:tcW w:w="2272" w:type="dxa"/>
            <w:noWrap w:val="0"/>
            <w:vAlign w:val="center"/>
          </w:tcPr>
          <w:p w14:paraId="08677823">
            <w:pPr>
              <w:jc w:val="center"/>
              <w:rPr>
                <w:rFonts w:ascii="Times New Roman" w:hAnsi="Times New Roman" w:cs="Times New Roman"/>
                <w:sz w:val="21"/>
                <w:szCs w:val="21"/>
              </w:rPr>
            </w:pPr>
            <w:r>
              <w:rPr>
                <w:rFonts w:ascii="Times New Roman" w:hAnsi="Times New Roman" w:cs="Times New Roman"/>
                <w:sz w:val="21"/>
                <w:szCs w:val="21"/>
              </w:rPr>
              <w:t>苯乙烯</w:t>
            </w:r>
          </w:p>
        </w:tc>
        <w:tc>
          <w:tcPr>
            <w:tcW w:w="1420" w:type="dxa"/>
            <w:noWrap w:val="0"/>
            <w:vAlign w:val="center"/>
          </w:tcPr>
          <w:p w14:paraId="4D586579">
            <w:pPr>
              <w:spacing w:line="240" w:lineRule="exact"/>
              <w:jc w:val="center"/>
              <w:rPr>
                <w:rFonts w:ascii="Times New Roman" w:hAnsi="Times New Roman" w:cs="Times New Roman"/>
                <w:sz w:val="21"/>
                <w:szCs w:val="21"/>
              </w:rPr>
            </w:pPr>
            <w:r>
              <w:rPr>
                <w:rFonts w:ascii="Times New Roman" w:hAnsi="Times New Roman" w:cs="Times New Roman"/>
                <w:sz w:val="21"/>
                <w:szCs w:val="21"/>
              </w:rPr>
              <w:t>1290</w:t>
            </w:r>
          </w:p>
        </w:tc>
        <w:tc>
          <w:tcPr>
            <w:tcW w:w="1420" w:type="dxa"/>
            <w:noWrap w:val="0"/>
            <w:vAlign w:val="center"/>
          </w:tcPr>
          <w:p w14:paraId="2BC6B194">
            <w:pPr>
              <w:spacing w:line="240" w:lineRule="exact"/>
              <w:jc w:val="center"/>
              <w:rPr>
                <w:rFonts w:ascii="Times New Roman" w:hAnsi="Times New Roman" w:cs="Times New Roman"/>
                <w:sz w:val="21"/>
                <w:szCs w:val="21"/>
              </w:rPr>
            </w:pPr>
            <w:r>
              <w:rPr>
                <w:rFonts w:ascii="Times New Roman" w:hAnsi="Times New Roman" w:cs="Times New Roman"/>
                <w:sz w:val="21"/>
                <w:szCs w:val="21"/>
              </w:rPr>
              <w:t>1290</w:t>
            </w:r>
          </w:p>
        </w:tc>
        <w:tc>
          <w:tcPr>
            <w:tcW w:w="1420" w:type="dxa"/>
            <w:noWrap w:val="0"/>
            <w:vAlign w:val="center"/>
          </w:tcPr>
          <w:p w14:paraId="60F0FBDD">
            <w:pPr>
              <w:spacing w:line="240" w:lineRule="exact"/>
              <w:jc w:val="center"/>
              <w:rPr>
                <w:rFonts w:ascii="Times New Roman" w:hAnsi="Times New Roman" w:cs="Times New Roman"/>
                <w:sz w:val="21"/>
                <w:szCs w:val="21"/>
              </w:rPr>
            </w:pPr>
            <w:r>
              <w:rPr>
                <w:rFonts w:ascii="Times New Roman" w:hAnsi="Times New Roman" w:cs="Times New Roman"/>
                <w:sz w:val="21"/>
                <w:szCs w:val="21"/>
              </w:rPr>
              <w:t>1290</w:t>
            </w:r>
          </w:p>
        </w:tc>
        <w:tc>
          <w:tcPr>
            <w:tcW w:w="1324" w:type="dxa"/>
            <w:noWrap w:val="0"/>
            <w:vAlign w:val="center"/>
          </w:tcPr>
          <w:p w14:paraId="56850FDE">
            <w:pPr>
              <w:spacing w:line="240" w:lineRule="exact"/>
              <w:jc w:val="center"/>
              <w:rPr>
                <w:rFonts w:ascii="Times New Roman" w:hAnsi="Times New Roman" w:cs="Times New Roman"/>
                <w:sz w:val="21"/>
                <w:szCs w:val="21"/>
              </w:rPr>
            </w:pPr>
            <w:r>
              <w:rPr>
                <w:rFonts w:ascii="Times New Roman" w:hAnsi="Times New Roman" w:cs="Times New Roman"/>
                <w:sz w:val="21"/>
                <w:szCs w:val="21"/>
              </w:rPr>
              <w:t>1290</w:t>
            </w:r>
          </w:p>
        </w:tc>
      </w:tr>
      <w:tr w14:paraId="181D7AFC">
        <w:tblPrEx>
          <w:tblBorders>
            <w:top w:val="thinThickSmallGap" w:color="auto" w:sz="12" w:space="0"/>
            <w:left w:val="none" w:color="auto" w:sz="0" w:space="0"/>
            <w:bottom w:val="thickThinSmallGap"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88" w:hRule="atLeast"/>
          <w:jc w:val="center"/>
        </w:trPr>
        <w:tc>
          <w:tcPr>
            <w:tcW w:w="756" w:type="dxa"/>
            <w:noWrap w:val="0"/>
            <w:vAlign w:val="center"/>
          </w:tcPr>
          <w:p w14:paraId="1A213066">
            <w:pPr>
              <w:jc w:val="center"/>
              <w:rPr>
                <w:rFonts w:ascii="Times New Roman" w:hAnsi="Times New Roman" w:cs="Times New Roman"/>
                <w:sz w:val="21"/>
                <w:szCs w:val="21"/>
              </w:rPr>
            </w:pPr>
            <w:r>
              <w:rPr>
                <w:rFonts w:ascii="Times New Roman" w:hAnsi="Times New Roman" w:cs="Times New Roman"/>
                <w:sz w:val="21"/>
                <w:szCs w:val="21"/>
              </w:rPr>
              <w:t>32</w:t>
            </w:r>
          </w:p>
        </w:tc>
        <w:tc>
          <w:tcPr>
            <w:tcW w:w="2272" w:type="dxa"/>
            <w:noWrap w:val="0"/>
            <w:vAlign w:val="center"/>
          </w:tcPr>
          <w:p w14:paraId="594562DB">
            <w:pPr>
              <w:jc w:val="center"/>
              <w:rPr>
                <w:rFonts w:ascii="Times New Roman" w:hAnsi="Times New Roman" w:cs="Times New Roman"/>
                <w:sz w:val="21"/>
                <w:szCs w:val="21"/>
              </w:rPr>
            </w:pPr>
            <w:r>
              <w:rPr>
                <w:rFonts w:ascii="Times New Roman" w:hAnsi="Times New Roman" w:cs="Times New Roman"/>
                <w:sz w:val="21"/>
                <w:szCs w:val="21"/>
              </w:rPr>
              <w:t>甲苯</w:t>
            </w:r>
          </w:p>
        </w:tc>
        <w:tc>
          <w:tcPr>
            <w:tcW w:w="1420" w:type="dxa"/>
            <w:noWrap w:val="0"/>
            <w:vAlign w:val="center"/>
          </w:tcPr>
          <w:p w14:paraId="3B8BCC19">
            <w:pPr>
              <w:spacing w:line="240" w:lineRule="exact"/>
              <w:jc w:val="center"/>
              <w:rPr>
                <w:rFonts w:ascii="Times New Roman" w:hAnsi="Times New Roman" w:cs="Times New Roman"/>
                <w:sz w:val="21"/>
                <w:szCs w:val="21"/>
              </w:rPr>
            </w:pPr>
            <w:r>
              <w:rPr>
                <w:rFonts w:ascii="Times New Roman" w:hAnsi="Times New Roman" w:cs="Times New Roman"/>
                <w:sz w:val="21"/>
                <w:szCs w:val="21"/>
              </w:rPr>
              <w:t>1200</w:t>
            </w:r>
          </w:p>
        </w:tc>
        <w:tc>
          <w:tcPr>
            <w:tcW w:w="1420" w:type="dxa"/>
            <w:noWrap w:val="0"/>
            <w:vAlign w:val="center"/>
          </w:tcPr>
          <w:p w14:paraId="6D3B9D17">
            <w:pPr>
              <w:spacing w:line="240" w:lineRule="exact"/>
              <w:jc w:val="center"/>
              <w:rPr>
                <w:rFonts w:ascii="Times New Roman" w:hAnsi="Times New Roman" w:cs="Times New Roman"/>
                <w:sz w:val="21"/>
                <w:szCs w:val="21"/>
              </w:rPr>
            </w:pPr>
            <w:r>
              <w:rPr>
                <w:rFonts w:ascii="Times New Roman" w:hAnsi="Times New Roman" w:cs="Times New Roman"/>
                <w:sz w:val="21"/>
                <w:szCs w:val="21"/>
              </w:rPr>
              <w:t>1200</w:t>
            </w:r>
          </w:p>
        </w:tc>
        <w:tc>
          <w:tcPr>
            <w:tcW w:w="1420" w:type="dxa"/>
            <w:noWrap w:val="0"/>
            <w:vAlign w:val="center"/>
          </w:tcPr>
          <w:p w14:paraId="0FA6F58A">
            <w:pPr>
              <w:spacing w:line="240" w:lineRule="exact"/>
              <w:jc w:val="center"/>
              <w:rPr>
                <w:rFonts w:ascii="Times New Roman" w:hAnsi="Times New Roman" w:cs="Times New Roman"/>
                <w:sz w:val="21"/>
                <w:szCs w:val="21"/>
              </w:rPr>
            </w:pPr>
            <w:r>
              <w:rPr>
                <w:rFonts w:ascii="Times New Roman" w:hAnsi="Times New Roman" w:cs="Times New Roman"/>
                <w:sz w:val="21"/>
                <w:szCs w:val="21"/>
              </w:rPr>
              <w:t>1200</w:t>
            </w:r>
          </w:p>
        </w:tc>
        <w:tc>
          <w:tcPr>
            <w:tcW w:w="1324" w:type="dxa"/>
            <w:noWrap w:val="0"/>
            <w:vAlign w:val="center"/>
          </w:tcPr>
          <w:p w14:paraId="0282B70B">
            <w:pPr>
              <w:spacing w:line="240" w:lineRule="exact"/>
              <w:jc w:val="center"/>
              <w:rPr>
                <w:rFonts w:ascii="Times New Roman" w:hAnsi="Times New Roman" w:cs="Times New Roman"/>
                <w:sz w:val="21"/>
                <w:szCs w:val="21"/>
              </w:rPr>
            </w:pPr>
            <w:r>
              <w:rPr>
                <w:rFonts w:ascii="Times New Roman" w:hAnsi="Times New Roman" w:cs="Times New Roman"/>
                <w:sz w:val="21"/>
                <w:szCs w:val="21"/>
              </w:rPr>
              <w:t>1200</w:t>
            </w:r>
          </w:p>
        </w:tc>
      </w:tr>
      <w:tr w14:paraId="098F6005">
        <w:tblPrEx>
          <w:tblBorders>
            <w:top w:val="thinThickSmallGap" w:color="auto" w:sz="12" w:space="0"/>
            <w:left w:val="none" w:color="auto" w:sz="0" w:space="0"/>
            <w:bottom w:val="thickThinSmallGap"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88" w:hRule="atLeast"/>
          <w:jc w:val="center"/>
        </w:trPr>
        <w:tc>
          <w:tcPr>
            <w:tcW w:w="756" w:type="dxa"/>
            <w:noWrap w:val="0"/>
            <w:vAlign w:val="center"/>
          </w:tcPr>
          <w:p w14:paraId="3D8778DD">
            <w:pPr>
              <w:jc w:val="center"/>
              <w:rPr>
                <w:rFonts w:ascii="Times New Roman" w:hAnsi="Times New Roman" w:cs="Times New Roman"/>
                <w:sz w:val="21"/>
                <w:szCs w:val="21"/>
              </w:rPr>
            </w:pPr>
            <w:r>
              <w:rPr>
                <w:rFonts w:ascii="Times New Roman" w:hAnsi="Times New Roman" w:cs="Times New Roman"/>
                <w:sz w:val="21"/>
                <w:szCs w:val="21"/>
              </w:rPr>
              <w:t>33</w:t>
            </w:r>
          </w:p>
        </w:tc>
        <w:tc>
          <w:tcPr>
            <w:tcW w:w="2272" w:type="dxa"/>
            <w:noWrap w:val="0"/>
            <w:vAlign w:val="center"/>
          </w:tcPr>
          <w:p w14:paraId="71DE9A3B">
            <w:pPr>
              <w:jc w:val="center"/>
              <w:rPr>
                <w:rFonts w:ascii="Times New Roman" w:hAnsi="Times New Roman" w:cs="Times New Roman"/>
                <w:sz w:val="21"/>
                <w:szCs w:val="21"/>
              </w:rPr>
            </w:pPr>
            <w:r>
              <w:rPr>
                <w:rFonts w:ascii="Times New Roman" w:hAnsi="Times New Roman" w:cs="Times New Roman"/>
                <w:sz w:val="21"/>
                <w:szCs w:val="21"/>
              </w:rPr>
              <w:t>间二甲苯+对二甲苯</w:t>
            </w:r>
          </w:p>
        </w:tc>
        <w:tc>
          <w:tcPr>
            <w:tcW w:w="1420" w:type="dxa"/>
            <w:noWrap w:val="0"/>
            <w:vAlign w:val="center"/>
          </w:tcPr>
          <w:p w14:paraId="1F6D352C">
            <w:pPr>
              <w:spacing w:line="240" w:lineRule="exact"/>
              <w:jc w:val="center"/>
              <w:rPr>
                <w:rFonts w:ascii="Times New Roman" w:hAnsi="Times New Roman" w:cs="Times New Roman"/>
                <w:sz w:val="21"/>
                <w:szCs w:val="21"/>
              </w:rPr>
            </w:pPr>
            <w:r>
              <w:rPr>
                <w:rFonts w:ascii="Times New Roman" w:hAnsi="Times New Roman" w:cs="Times New Roman"/>
                <w:sz w:val="21"/>
                <w:szCs w:val="21"/>
              </w:rPr>
              <w:t>163</w:t>
            </w:r>
          </w:p>
        </w:tc>
        <w:tc>
          <w:tcPr>
            <w:tcW w:w="1420" w:type="dxa"/>
            <w:noWrap w:val="0"/>
            <w:vAlign w:val="center"/>
          </w:tcPr>
          <w:p w14:paraId="64D205D6">
            <w:pPr>
              <w:spacing w:line="240" w:lineRule="exact"/>
              <w:jc w:val="center"/>
              <w:rPr>
                <w:rFonts w:ascii="Times New Roman" w:hAnsi="Times New Roman" w:cs="Times New Roman"/>
                <w:sz w:val="21"/>
                <w:szCs w:val="21"/>
              </w:rPr>
            </w:pPr>
            <w:r>
              <w:rPr>
                <w:rFonts w:ascii="Times New Roman" w:hAnsi="Times New Roman" w:cs="Times New Roman"/>
                <w:sz w:val="21"/>
                <w:szCs w:val="21"/>
              </w:rPr>
              <w:t>500</w:t>
            </w:r>
          </w:p>
        </w:tc>
        <w:tc>
          <w:tcPr>
            <w:tcW w:w="1420" w:type="dxa"/>
            <w:noWrap w:val="0"/>
            <w:vAlign w:val="center"/>
          </w:tcPr>
          <w:p w14:paraId="4EF1F16E">
            <w:pPr>
              <w:spacing w:line="240" w:lineRule="exact"/>
              <w:jc w:val="center"/>
              <w:rPr>
                <w:rFonts w:ascii="Times New Roman" w:hAnsi="Times New Roman" w:cs="Times New Roman"/>
                <w:sz w:val="21"/>
                <w:szCs w:val="21"/>
              </w:rPr>
            </w:pPr>
            <w:r>
              <w:rPr>
                <w:rFonts w:ascii="Times New Roman" w:hAnsi="Times New Roman" w:cs="Times New Roman"/>
                <w:sz w:val="21"/>
                <w:szCs w:val="21"/>
              </w:rPr>
              <w:t>570</w:t>
            </w:r>
          </w:p>
        </w:tc>
        <w:tc>
          <w:tcPr>
            <w:tcW w:w="1324" w:type="dxa"/>
            <w:noWrap w:val="0"/>
            <w:vAlign w:val="center"/>
          </w:tcPr>
          <w:p w14:paraId="6227ECEC">
            <w:pPr>
              <w:spacing w:line="240" w:lineRule="exact"/>
              <w:jc w:val="center"/>
              <w:rPr>
                <w:rFonts w:ascii="Times New Roman" w:hAnsi="Times New Roman" w:cs="Times New Roman"/>
                <w:sz w:val="21"/>
                <w:szCs w:val="21"/>
              </w:rPr>
            </w:pPr>
            <w:r>
              <w:rPr>
                <w:rFonts w:ascii="Times New Roman" w:hAnsi="Times New Roman" w:cs="Times New Roman"/>
                <w:sz w:val="21"/>
                <w:szCs w:val="21"/>
              </w:rPr>
              <w:t>570</w:t>
            </w:r>
          </w:p>
        </w:tc>
      </w:tr>
      <w:tr w14:paraId="6F63E160">
        <w:tblPrEx>
          <w:tblBorders>
            <w:top w:val="thinThickSmallGap" w:color="auto" w:sz="12" w:space="0"/>
            <w:left w:val="none" w:color="auto" w:sz="0" w:space="0"/>
            <w:bottom w:val="thickThinSmallGap"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88" w:hRule="atLeast"/>
          <w:jc w:val="center"/>
        </w:trPr>
        <w:tc>
          <w:tcPr>
            <w:tcW w:w="756" w:type="dxa"/>
            <w:noWrap w:val="0"/>
            <w:vAlign w:val="center"/>
          </w:tcPr>
          <w:p w14:paraId="3DD23721">
            <w:pPr>
              <w:jc w:val="center"/>
              <w:rPr>
                <w:rFonts w:ascii="Times New Roman" w:hAnsi="Times New Roman" w:cs="Times New Roman"/>
                <w:sz w:val="21"/>
                <w:szCs w:val="21"/>
              </w:rPr>
            </w:pPr>
            <w:r>
              <w:rPr>
                <w:rFonts w:ascii="Times New Roman" w:hAnsi="Times New Roman" w:cs="Times New Roman"/>
                <w:sz w:val="21"/>
                <w:szCs w:val="21"/>
              </w:rPr>
              <w:t>34</w:t>
            </w:r>
          </w:p>
        </w:tc>
        <w:tc>
          <w:tcPr>
            <w:tcW w:w="2272" w:type="dxa"/>
            <w:noWrap w:val="0"/>
            <w:vAlign w:val="center"/>
          </w:tcPr>
          <w:p w14:paraId="027011E3">
            <w:pPr>
              <w:jc w:val="center"/>
              <w:rPr>
                <w:rFonts w:ascii="Times New Roman" w:hAnsi="Times New Roman" w:cs="Times New Roman"/>
                <w:sz w:val="21"/>
                <w:szCs w:val="21"/>
              </w:rPr>
            </w:pPr>
            <w:r>
              <w:rPr>
                <w:rFonts w:ascii="Times New Roman" w:hAnsi="Times New Roman" w:cs="Times New Roman"/>
                <w:sz w:val="21"/>
                <w:szCs w:val="21"/>
              </w:rPr>
              <w:t>邻二甲苯</w:t>
            </w:r>
          </w:p>
        </w:tc>
        <w:tc>
          <w:tcPr>
            <w:tcW w:w="1420" w:type="dxa"/>
            <w:noWrap w:val="0"/>
            <w:vAlign w:val="center"/>
          </w:tcPr>
          <w:p w14:paraId="3033F856">
            <w:pPr>
              <w:spacing w:line="240" w:lineRule="exact"/>
              <w:jc w:val="center"/>
              <w:rPr>
                <w:rFonts w:ascii="Times New Roman" w:hAnsi="Times New Roman" w:cs="Times New Roman"/>
                <w:sz w:val="21"/>
                <w:szCs w:val="21"/>
              </w:rPr>
            </w:pPr>
            <w:r>
              <w:rPr>
                <w:rFonts w:ascii="Times New Roman" w:hAnsi="Times New Roman" w:cs="Times New Roman"/>
                <w:sz w:val="21"/>
                <w:szCs w:val="21"/>
              </w:rPr>
              <w:t>222</w:t>
            </w:r>
          </w:p>
        </w:tc>
        <w:tc>
          <w:tcPr>
            <w:tcW w:w="1420" w:type="dxa"/>
            <w:noWrap w:val="0"/>
            <w:vAlign w:val="center"/>
          </w:tcPr>
          <w:p w14:paraId="6E641E2C">
            <w:pPr>
              <w:spacing w:line="240" w:lineRule="exact"/>
              <w:jc w:val="center"/>
              <w:rPr>
                <w:rFonts w:ascii="Times New Roman" w:hAnsi="Times New Roman" w:cs="Times New Roman"/>
                <w:sz w:val="21"/>
                <w:szCs w:val="21"/>
              </w:rPr>
            </w:pPr>
            <w:r>
              <w:rPr>
                <w:rFonts w:ascii="Times New Roman" w:hAnsi="Times New Roman" w:cs="Times New Roman"/>
                <w:sz w:val="21"/>
                <w:szCs w:val="21"/>
              </w:rPr>
              <w:t>640</w:t>
            </w:r>
          </w:p>
        </w:tc>
        <w:tc>
          <w:tcPr>
            <w:tcW w:w="1420" w:type="dxa"/>
            <w:noWrap w:val="0"/>
            <w:vAlign w:val="center"/>
          </w:tcPr>
          <w:p w14:paraId="0984418A">
            <w:pPr>
              <w:spacing w:line="240" w:lineRule="exact"/>
              <w:jc w:val="center"/>
              <w:rPr>
                <w:rFonts w:ascii="Times New Roman" w:hAnsi="Times New Roman" w:cs="Times New Roman"/>
                <w:sz w:val="21"/>
                <w:szCs w:val="21"/>
              </w:rPr>
            </w:pPr>
            <w:r>
              <w:rPr>
                <w:rFonts w:ascii="Times New Roman" w:hAnsi="Times New Roman" w:cs="Times New Roman"/>
                <w:sz w:val="21"/>
                <w:szCs w:val="21"/>
              </w:rPr>
              <w:t>640</w:t>
            </w:r>
          </w:p>
        </w:tc>
        <w:tc>
          <w:tcPr>
            <w:tcW w:w="1324" w:type="dxa"/>
            <w:noWrap w:val="0"/>
            <w:vAlign w:val="center"/>
          </w:tcPr>
          <w:p w14:paraId="50C19A12">
            <w:pPr>
              <w:spacing w:line="240" w:lineRule="exact"/>
              <w:jc w:val="center"/>
              <w:rPr>
                <w:rFonts w:ascii="Times New Roman" w:hAnsi="Times New Roman" w:cs="Times New Roman"/>
                <w:sz w:val="21"/>
                <w:szCs w:val="21"/>
              </w:rPr>
            </w:pPr>
            <w:r>
              <w:rPr>
                <w:rFonts w:ascii="Times New Roman" w:hAnsi="Times New Roman" w:cs="Times New Roman"/>
                <w:sz w:val="21"/>
                <w:szCs w:val="21"/>
              </w:rPr>
              <w:t>640</w:t>
            </w:r>
          </w:p>
        </w:tc>
      </w:tr>
      <w:tr w14:paraId="6DD52CDC">
        <w:tblPrEx>
          <w:tblBorders>
            <w:top w:val="thinThickSmallGap" w:color="auto" w:sz="12" w:space="0"/>
            <w:left w:val="none" w:color="auto" w:sz="0" w:space="0"/>
            <w:bottom w:val="thickThinSmallGap"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88" w:hRule="atLeast"/>
          <w:jc w:val="center"/>
        </w:trPr>
        <w:tc>
          <w:tcPr>
            <w:tcW w:w="8612" w:type="dxa"/>
            <w:gridSpan w:val="6"/>
            <w:noWrap w:val="0"/>
            <w:vAlign w:val="center"/>
          </w:tcPr>
          <w:p w14:paraId="6E0937F1">
            <w:pPr>
              <w:spacing w:line="240" w:lineRule="exact"/>
              <w:jc w:val="center"/>
              <w:rPr>
                <w:rFonts w:ascii="Times New Roman" w:hAnsi="Times New Roman" w:cs="Times New Roman"/>
                <w:sz w:val="21"/>
                <w:szCs w:val="21"/>
              </w:rPr>
            </w:pPr>
            <w:r>
              <w:rPr>
                <w:rFonts w:ascii="Times New Roman" w:hAnsi="Times New Roman" w:cs="Times New Roman"/>
                <w:sz w:val="21"/>
                <w:szCs w:val="21"/>
              </w:rPr>
              <w:t>半挥发性有机物</w:t>
            </w:r>
          </w:p>
        </w:tc>
      </w:tr>
      <w:tr w14:paraId="1E328603">
        <w:tblPrEx>
          <w:tblBorders>
            <w:top w:val="thinThickSmallGap" w:color="auto" w:sz="12" w:space="0"/>
            <w:left w:val="none" w:color="auto" w:sz="0" w:space="0"/>
            <w:bottom w:val="thickThinSmallGap"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88" w:hRule="atLeast"/>
          <w:jc w:val="center"/>
        </w:trPr>
        <w:tc>
          <w:tcPr>
            <w:tcW w:w="756" w:type="dxa"/>
            <w:noWrap w:val="0"/>
            <w:vAlign w:val="center"/>
          </w:tcPr>
          <w:p w14:paraId="2A4D8CBD">
            <w:pPr>
              <w:jc w:val="center"/>
              <w:rPr>
                <w:rFonts w:ascii="Times New Roman" w:hAnsi="Times New Roman" w:cs="Times New Roman"/>
                <w:sz w:val="21"/>
                <w:szCs w:val="21"/>
              </w:rPr>
            </w:pPr>
            <w:r>
              <w:rPr>
                <w:rFonts w:ascii="Times New Roman" w:hAnsi="Times New Roman" w:cs="Times New Roman"/>
                <w:sz w:val="21"/>
                <w:szCs w:val="21"/>
              </w:rPr>
              <w:t>35</w:t>
            </w:r>
          </w:p>
        </w:tc>
        <w:tc>
          <w:tcPr>
            <w:tcW w:w="2272" w:type="dxa"/>
            <w:noWrap w:val="0"/>
            <w:vAlign w:val="center"/>
          </w:tcPr>
          <w:p w14:paraId="0825FC14">
            <w:pPr>
              <w:jc w:val="center"/>
              <w:rPr>
                <w:rFonts w:ascii="Times New Roman" w:hAnsi="Times New Roman" w:cs="Times New Roman"/>
                <w:sz w:val="21"/>
                <w:szCs w:val="21"/>
              </w:rPr>
            </w:pPr>
            <w:r>
              <w:rPr>
                <w:rFonts w:ascii="Times New Roman" w:hAnsi="Times New Roman" w:cs="Times New Roman"/>
                <w:sz w:val="21"/>
                <w:szCs w:val="21"/>
              </w:rPr>
              <w:t>硝基苯</w:t>
            </w:r>
          </w:p>
        </w:tc>
        <w:tc>
          <w:tcPr>
            <w:tcW w:w="1420" w:type="dxa"/>
            <w:noWrap w:val="0"/>
            <w:vAlign w:val="center"/>
          </w:tcPr>
          <w:p w14:paraId="6F77E00D">
            <w:pPr>
              <w:spacing w:line="240" w:lineRule="exact"/>
              <w:jc w:val="center"/>
              <w:rPr>
                <w:rFonts w:ascii="Times New Roman" w:hAnsi="Times New Roman" w:cs="Times New Roman"/>
                <w:sz w:val="21"/>
                <w:szCs w:val="21"/>
              </w:rPr>
            </w:pPr>
            <w:r>
              <w:rPr>
                <w:rFonts w:ascii="Times New Roman" w:hAnsi="Times New Roman" w:cs="Times New Roman"/>
                <w:sz w:val="21"/>
                <w:szCs w:val="21"/>
              </w:rPr>
              <w:t>34</w:t>
            </w:r>
          </w:p>
        </w:tc>
        <w:tc>
          <w:tcPr>
            <w:tcW w:w="1420" w:type="dxa"/>
            <w:noWrap w:val="0"/>
            <w:vAlign w:val="center"/>
          </w:tcPr>
          <w:p w14:paraId="60B10E7C">
            <w:pPr>
              <w:spacing w:line="240" w:lineRule="exact"/>
              <w:jc w:val="center"/>
              <w:rPr>
                <w:rFonts w:ascii="Times New Roman" w:hAnsi="Times New Roman" w:cs="Times New Roman"/>
                <w:sz w:val="21"/>
                <w:szCs w:val="21"/>
              </w:rPr>
            </w:pPr>
            <w:r>
              <w:rPr>
                <w:rFonts w:ascii="Times New Roman" w:hAnsi="Times New Roman" w:cs="Times New Roman"/>
                <w:sz w:val="21"/>
                <w:szCs w:val="21"/>
              </w:rPr>
              <w:t>190</w:t>
            </w:r>
          </w:p>
        </w:tc>
        <w:tc>
          <w:tcPr>
            <w:tcW w:w="1420" w:type="dxa"/>
            <w:noWrap w:val="0"/>
            <w:vAlign w:val="center"/>
          </w:tcPr>
          <w:p w14:paraId="12F806F2">
            <w:pPr>
              <w:spacing w:line="240" w:lineRule="exact"/>
              <w:jc w:val="center"/>
              <w:rPr>
                <w:rFonts w:ascii="Times New Roman" w:hAnsi="Times New Roman" w:cs="Times New Roman"/>
                <w:sz w:val="21"/>
                <w:szCs w:val="21"/>
              </w:rPr>
            </w:pPr>
            <w:r>
              <w:rPr>
                <w:rFonts w:ascii="Times New Roman" w:hAnsi="Times New Roman" w:cs="Times New Roman"/>
                <w:sz w:val="21"/>
                <w:szCs w:val="21"/>
              </w:rPr>
              <w:t>76</w:t>
            </w:r>
          </w:p>
        </w:tc>
        <w:tc>
          <w:tcPr>
            <w:tcW w:w="1324" w:type="dxa"/>
            <w:noWrap w:val="0"/>
            <w:vAlign w:val="center"/>
          </w:tcPr>
          <w:p w14:paraId="35DC8897">
            <w:pPr>
              <w:spacing w:line="240" w:lineRule="exact"/>
              <w:jc w:val="center"/>
              <w:rPr>
                <w:rFonts w:ascii="Times New Roman" w:hAnsi="Times New Roman" w:cs="Times New Roman"/>
                <w:sz w:val="21"/>
                <w:szCs w:val="21"/>
              </w:rPr>
            </w:pPr>
            <w:r>
              <w:rPr>
                <w:rFonts w:ascii="Times New Roman" w:hAnsi="Times New Roman" w:cs="Times New Roman"/>
                <w:sz w:val="21"/>
                <w:szCs w:val="21"/>
              </w:rPr>
              <w:t>760</w:t>
            </w:r>
          </w:p>
        </w:tc>
      </w:tr>
      <w:tr w14:paraId="4CD18A6B">
        <w:tblPrEx>
          <w:tblBorders>
            <w:top w:val="thinThickSmallGap" w:color="auto" w:sz="12" w:space="0"/>
            <w:left w:val="none" w:color="auto" w:sz="0" w:space="0"/>
            <w:bottom w:val="thickThinSmallGap"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88" w:hRule="atLeast"/>
          <w:jc w:val="center"/>
        </w:trPr>
        <w:tc>
          <w:tcPr>
            <w:tcW w:w="756" w:type="dxa"/>
            <w:noWrap w:val="0"/>
            <w:vAlign w:val="center"/>
          </w:tcPr>
          <w:p w14:paraId="70D72C91">
            <w:pPr>
              <w:jc w:val="center"/>
              <w:rPr>
                <w:rFonts w:ascii="Times New Roman" w:hAnsi="Times New Roman" w:cs="Times New Roman"/>
                <w:sz w:val="21"/>
                <w:szCs w:val="21"/>
              </w:rPr>
            </w:pPr>
            <w:r>
              <w:rPr>
                <w:rFonts w:ascii="Times New Roman" w:hAnsi="Times New Roman" w:cs="Times New Roman"/>
                <w:sz w:val="21"/>
                <w:szCs w:val="21"/>
              </w:rPr>
              <w:t>36</w:t>
            </w:r>
          </w:p>
        </w:tc>
        <w:tc>
          <w:tcPr>
            <w:tcW w:w="2272" w:type="dxa"/>
            <w:noWrap w:val="0"/>
            <w:vAlign w:val="center"/>
          </w:tcPr>
          <w:p w14:paraId="2F3C8EA6">
            <w:pPr>
              <w:jc w:val="center"/>
              <w:rPr>
                <w:rFonts w:ascii="Times New Roman" w:hAnsi="Times New Roman" w:cs="Times New Roman"/>
                <w:sz w:val="21"/>
                <w:szCs w:val="21"/>
              </w:rPr>
            </w:pPr>
            <w:r>
              <w:rPr>
                <w:rFonts w:ascii="Times New Roman" w:hAnsi="Times New Roman" w:cs="Times New Roman"/>
                <w:sz w:val="21"/>
                <w:szCs w:val="21"/>
              </w:rPr>
              <w:t>苯胺</w:t>
            </w:r>
          </w:p>
        </w:tc>
        <w:tc>
          <w:tcPr>
            <w:tcW w:w="1420" w:type="dxa"/>
            <w:noWrap w:val="0"/>
            <w:vAlign w:val="center"/>
          </w:tcPr>
          <w:p w14:paraId="13DD1E6E">
            <w:pPr>
              <w:spacing w:line="240" w:lineRule="exact"/>
              <w:jc w:val="center"/>
              <w:rPr>
                <w:rFonts w:ascii="Times New Roman" w:hAnsi="Times New Roman" w:cs="Times New Roman"/>
                <w:sz w:val="21"/>
                <w:szCs w:val="21"/>
              </w:rPr>
            </w:pPr>
            <w:r>
              <w:rPr>
                <w:rFonts w:ascii="Times New Roman" w:hAnsi="Times New Roman" w:cs="Times New Roman"/>
                <w:sz w:val="21"/>
                <w:szCs w:val="21"/>
              </w:rPr>
              <w:t>92</w:t>
            </w:r>
          </w:p>
        </w:tc>
        <w:tc>
          <w:tcPr>
            <w:tcW w:w="1420" w:type="dxa"/>
            <w:noWrap w:val="0"/>
            <w:vAlign w:val="center"/>
          </w:tcPr>
          <w:p w14:paraId="572AEE3C">
            <w:pPr>
              <w:spacing w:line="240" w:lineRule="exact"/>
              <w:jc w:val="center"/>
              <w:rPr>
                <w:rFonts w:ascii="Times New Roman" w:hAnsi="Times New Roman" w:cs="Times New Roman"/>
                <w:sz w:val="21"/>
                <w:szCs w:val="21"/>
              </w:rPr>
            </w:pPr>
            <w:r>
              <w:rPr>
                <w:rFonts w:ascii="Times New Roman" w:hAnsi="Times New Roman" w:cs="Times New Roman"/>
                <w:sz w:val="21"/>
                <w:szCs w:val="21"/>
              </w:rPr>
              <w:t>211</w:t>
            </w:r>
          </w:p>
        </w:tc>
        <w:tc>
          <w:tcPr>
            <w:tcW w:w="1420" w:type="dxa"/>
            <w:noWrap w:val="0"/>
            <w:vAlign w:val="center"/>
          </w:tcPr>
          <w:p w14:paraId="2207B1E7">
            <w:pPr>
              <w:spacing w:line="240" w:lineRule="exact"/>
              <w:jc w:val="center"/>
              <w:rPr>
                <w:rFonts w:ascii="Times New Roman" w:hAnsi="Times New Roman" w:cs="Times New Roman"/>
                <w:sz w:val="21"/>
                <w:szCs w:val="21"/>
              </w:rPr>
            </w:pPr>
            <w:r>
              <w:rPr>
                <w:rFonts w:ascii="Times New Roman" w:hAnsi="Times New Roman" w:cs="Times New Roman"/>
                <w:sz w:val="21"/>
                <w:szCs w:val="21"/>
              </w:rPr>
              <w:t>260</w:t>
            </w:r>
          </w:p>
        </w:tc>
        <w:tc>
          <w:tcPr>
            <w:tcW w:w="1324" w:type="dxa"/>
            <w:noWrap w:val="0"/>
            <w:vAlign w:val="center"/>
          </w:tcPr>
          <w:p w14:paraId="715D7008">
            <w:pPr>
              <w:spacing w:line="240" w:lineRule="exact"/>
              <w:jc w:val="center"/>
              <w:rPr>
                <w:rFonts w:ascii="Times New Roman" w:hAnsi="Times New Roman" w:cs="Times New Roman"/>
                <w:sz w:val="21"/>
                <w:szCs w:val="21"/>
              </w:rPr>
            </w:pPr>
            <w:r>
              <w:rPr>
                <w:rFonts w:ascii="Times New Roman" w:hAnsi="Times New Roman" w:cs="Times New Roman"/>
                <w:sz w:val="21"/>
                <w:szCs w:val="21"/>
              </w:rPr>
              <w:t>663</w:t>
            </w:r>
          </w:p>
        </w:tc>
      </w:tr>
      <w:tr w14:paraId="215C88DD">
        <w:tblPrEx>
          <w:tblBorders>
            <w:top w:val="thinThickSmallGap" w:color="auto" w:sz="12" w:space="0"/>
            <w:left w:val="none" w:color="auto" w:sz="0" w:space="0"/>
            <w:bottom w:val="thickThinSmallGap"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88" w:hRule="atLeast"/>
          <w:jc w:val="center"/>
        </w:trPr>
        <w:tc>
          <w:tcPr>
            <w:tcW w:w="756" w:type="dxa"/>
            <w:noWrap w:val="0"/>
            <w:vAlign w:val="center"/>
          </w:tcPr>
          <w:p w14:paraId="4FD45005">
            <w:pPr>
              <w:jc w:val="center"/>
              <w:rPr>
                <w:rFonts w:ascii="Times New Roman" w:hAnsi="Times New Roman" w:cs="Times New Roman"/>
                <w:sz w:val="21"/>
                <w:szCs w:val="21"/>
              </w:rPr>
            </w:pPr>
            <w:r>
              <w:rPr>
                <w:rFonts w:ascii="Times New Roman" w:hAnsi="Times New Roman" w:cs="Times New Roman"/>
                <w:sz w:val="21"/>
                <w:szCs w:val="21"/>
              </w:rPr>
              <w:t>37</w:t>
            </w:r>
          </w:p>
        </w:tc>
        <w:tc>
          <w:tcPr>
            <w:tcW w:w="2272" w:type="dxa"/>
            <w:noWrap w:val="0"/>
            <w:vAlign w:val="center"/>
          </w:tcPr>
          <w:p w14:paraId="6DE46C1E">
            <w:pPr>
              <w:jc w:val="center"/>
              <w:rPr>
                <w:rFonts w:ascii="Times New Roman" w:hAnsi="Times New Roman" w:cs="Times New Roman"/>
                <w:sz w:val="21"/>
                <w:szCs w:val="21"/>
              </w:rPr>
            </w:pPr>
            <w:r>
              <w:rPr>
                <w:rFonts w:ascii="Times New Roman" w:hAnsi="Times New Roman" w:cs="Times New Roman"/>
                <w:sz w:val="21"/>
                <w:szCs w:val="21"/>
              </w:rPr>
              <w:t>2-氯酚</w:t>
            </w:r>
          </w:p>
        </w:tc>
        <w:tc>
          <w:tcPr>
            <w:tcW w:w="1420" w:type="dxa"/>
            <w:noWrap w:val="0"/>
            <w:vAlign w:val="center"/>
          </w:tcPr>
          <w:p w14:paraId="1D55BE91">
            <w:pPr>
              <w:spacing w:line="240" w:lineRule="exact"/>
              <w:jc w:val="center"/>
              <w:rPr>
                <w:rFonts w:ascii="Times New Roman" w:hAnsi="Times New Roman" w:cs="Times New Roman"/>
                <w:sz w:val="21"/>
                <w:szCs w:val="21"/>
              </w:rPr>
            </w:pPr>
            <w:r>
              <w:rPr>
                <w:rFonts w:ascii="Times New Roman" w:hAnsi="Times New Roman" w:cs="Times New Roman"/>
                <w:sz w:val="21"/>
                <w:szCs w:val="21"/>
              </w:rPr>
              <w:t>250</w:t>
            </w:r>
          </w:p>
        </w:tc>
        <w:tc>
          <w:tcPr>
            <w:tcW w:w="1420" w:type="dxa"/>
            <w:noWrap w:val="0"/>
            <w:vAlign w:val="center"/>
          </w:tcPr>
          <w:p w14:paraId="66B33106">
            <w:pPr>
              <w:spacing w:line="240" w:lineRule="exact"/>
              <w:jc w:val="center"/>
              <w:rPr>
                <w:rFonts w:ascii="Times New Roman" w:hAnsi="Times New Roman" w:cs="Times New Roman"/>
                <w:sz w:val="21"/>
                <w:szCs w:val="21"/>
              </w:rPr>
            </w:pPr>
            <w:r>
              <w:rPr>
                <w:rFonts w:ascii="Times New Roman" w:hAnsi="Times New Roman" w:cs="Times New Roman"/>
                <w:sz w:val="21"/>
                <w:szCs w:val="21"/>
              </w:rPr>
              <w:t>500</w:t>
            </w:r>
          </w:p>
        </w:tc>
        <w:tc>
          <w:tcPr>
            <w:tcW w:w="1420" w:type="dxa"/>
            <w:noWrap w:val="0"/>
            <w:vAlign w:val="center"/>
          </w:tcPr>
          <w:p w14:paraId="127684CE">
            <w:pPr>
              <w:spacing w:line="240" w:lineRule="exact"/>
              <w:jc w:val="center"/>
              <w:rPr>
                <w:rFonts w:ascii="Times New Roman" w:hAnsi="Times New Roman" w:cs="Times New Roman"/>
                <w:sz w:val="21"/>
                <w:szCs w:val="21"/>
              </w:rPr>
            </w:pPr>
            <w:r>
              <w:rPr>
                <w:rFonts w:ascii="Times New Roman" w:hAnsi="Times New Roman" w:cs="Times New Roman"/>
                <w:sz w:val="21"/>
                <w:szCs w:val="21"/>
              </w:rPr>
              <w:t>2256</w:t>
            </w:r>
          </w:p>
        </w:tc>
        <w:tc>
          <w:tcPr>
            <w:tcW w:w="1324" w:type="dxa"/>
            <w:noWrap w:val="0"/>
            <w:vAlign w:val="center"/>
          </w:tcPr>
          <w:p w14:paraId="2AF1FD71">
            <w:pPr>
              <w:spacing w:line="240" w:lineRule="exact"/>
              <w:jc w:val="center"/>
              <w:rPr>
                <w:rFonts w:ascii="Times New Roman" w:hAnsi="Times New Roman" w:cs="Times New Roman"/>
                <w:sz w:val="21"/>
                <w:szCs w:val="21"/>
              </w:rPr>
            </w:pPr>
            <w:r>
              <w:rPr>
                <w:rFonts w:ascii="Times New Roman" w:hAnsi="Times New Roman" w:cs="Times New Roman"/>
                <w:sz w:val="21"/>
                <w:szCs w:val="21"/>
              </w:rPr>
              <w:t>4500</w:t>
            </w:r>
          </w:p>
        </w:tc>
      </w:tr>
      <w:tr w14:paraId="0F03FC2D">
        <w:tblPrEx>
          <w:tblBorders>
            <w:top w:val="thinThickSmallGap" w:color="auto" w:sz="12" w:space="0"/>
            <w:left w:val="none" w:color="auto" w:sz="0" w:space="0"/>
            <w:bottom w:val="thickThinSmallGap"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88" w:hRule="atLeast"/>
          <w:jc w:val="center"/>
        </w:trPr>
        <w:tc>
          <w:tcPr>
            <w:tcW w:w="756" w:type="dxa"/>
            <w:noWrap w:val="0"/>
            <w:vAlign w:val="center"/>
          </w:tcPr>
          <w:p w14:paraId="26BD92F7">
            <w:pPr>
              <w:jc w:val="center"/>
              <w:rPr>
                <w:rFonts w:ascii="Times New Roman" w:hAnsi="Times New Roman" w:cs="Times New Roman"/>
                <w:sz w:val="21"/>
                <w:szCs w:val="21"/>
              </w:rPr>
            </w:pPr>
            <w:r>
              <w:rPr>
                <w:rFonts w:ascii="Times New Roman" w:hAnsi="Times New Roman" w:cs="Times New Roman"/>
                <w:sz w:val="21"/>
                <w:szCs w:val="21"/>
              </w:rPr>
              <w:t>38</w:t>
            </w:r>
          </w:p>
        </w:tc>
        <w:tc>
          <w:tcPr>
            <w:tcW w:w="2272" w:type="dxa"/>
            <w:noWrap w:val="0"/>
            <w:vAlign w:val="center"/>
          </w:tcPr>
          <w:p w14:paraId="23FB2E60">
            <w:pPr>
              <w:jc w:val="center"/>
              <w:rPr>
                <w:rFonts w:ascii="Times New Roman" w:hAnsi="Times New Roman" w:cs="Times New Roman"/>
                <w:sz w:val="21"/>
                <w:szCs w:val="21"/>
              </w:rPr>
            </w:pPr>
            <w:r>
              <w:rPr>
                <w:rFonts w:ascii="Times New Roman" w:hAnsi="Times New Roman" w:cs="Times New Roman"/>
                <w:sz w:val="21"/>
                <w:szCs w:val="21"/>
              </w:rPr>
              <w:t>苯并[a]蒽</w:t>
            </w:r>
          </w:p>
        </w:tc>
        <w:tc>
          <w:tcPr>
            <w:tcW w:w="1420" w:type="dxa"/>
            <w:noWrap w:val="0"/>
            <w:vAlign w:val="center"/>
          </w:tcPr>
          <w:p w14:paraId="0084F7DD">
            <w:pPr>
              <w:spacing w:line="240" w:lineRule="exact"/>
              <w:jc w:val="center"/>
              <w:rPr>
                <w:rFonts w:ascii="Times New Roman" w:hAnsi="Times New Roman" w:cs="Times New Roman"/>
                <w:sz w:val="21"/>
                <w:szCs w:val="21"/>
              </w:rPr>
            </w:pPr>
            <w:r>
              <w:rPr>
                <w:rFonts w:ascii="Times New Roman" w:hAnsi="Times New Roman" w:cs="Times New Roman"/>
                <w:sz w:val="21"/>
                <w:szCs w:val="21"/>
              </w:rPr>
              <w:t>5.5</w:t>
            </w:r>
          </w:p>
        </w:tc>
        <w:tc>
          <w:tcPr>
            <w:tcW w:w="1420" w:type="dxa"/>
            <w:noWrap w:val="0"/>
            <w:vAlign w:val="center"/>
          </w:tcPr>
          <w:p w14:paraId="1C5A0AA1">
            <w:pPr>
              <w:spacing w:line="240" w:lineRule="exact"/>
              <w:jc w:val="center"/>
              <w:rPr>
                <w:rFonts w:ascii="Times New Roman" w:hAnsi="Times New Roman" w:cs="Times New Roman"/>
                <w:sz w:val="21"/>
                <w:szCs w:val="21"/>
              </w:rPr>
            </w:pPr>
            <w:r>
              <w:rPr>
                <w:rFonts w:ascii="Times New Roman" w:hAnsi="Times New Roman" w:cs="Times New Roman"/>
                <w:sz w:val="21"/>
                <w:szCs w:val="21"/>
              </w:rPr>
              <w:t>55</w:t>
            </w:r>
          </w:p>
        </w:tc>
        <w:tc>
          <w:tcPr>
            <w:tcW w:w="1420" w:type="dxa"/>
            <w:noWrap w:val="0"/>
            <w:vAlign w:val="center"/>
          </w:tcPr>
          <w:p w14:paraId="21CC1EE1">
            <w:pPr>
              <w:spacing w:line="240" w:lineRule="exact"/>
              <w:jc w:val="center"/>
              <w:rPr>
                <w:rFonts w:ascii="Times New Roman" w:hAnsi="Times New Roman" w:cs="Times New Roman"/>
                <w:sz w:val="21"/>
                <w:szCs w:val="21"/>
              </w:rPr>
            </w:pPr>
            <w:r>
              <w:rPr>
                <w:rFonts w:ascii="Times New Roman" w:hAnsi="Times New Roman" w:cs="Times New Roman"/>
                <w:sz w:val="21"/>
                <w:szCs w:val="21"/>
              </w:rPr>
              <w:t>15</w:t>
            </w:r>
          </w:p>
        </w:tc>
        <w:tc>
          <w:tcPr>
            <w:tcW w:w="1324" w:type="dxa"/>
            <w:noWrap w:val="0"/>
            <w:vAlign w:val="center"/>
          </w:tcPr>
          <w:p w14:paraId="6A2C26E8">
            <w:pPr>
              <w:spacing w:line="240" w:lineRule="exact"/>
              <w:jc w:val="center"/>
              <w:rPr>
                <w:rFonts w:ascii="Times New Roman" w:hAnsi="Times New Roman" w:cs="Times New Roman"/>
                <w:sz w:val="21"/>
                <w:szCs w:val="21"/>
              </w:rPr>
            </w:pPr>
            <w:r>
              <w:rPr>
                <w:rFonts w:ascii="Times New Roman" w:hAnsi="Times New Roman" w:cs="Times New Roman"/>
                <w:sz w:val="21"/>
                <w:szCs w:val="21"/>
              </w:rPr>
              <w:t>151</w:t>
            </w:r>
          </w:p>
        </w:tc>
      </w:tr>
      <w:tr w14:paraId="2BE1BB64">
        <w:tblPrEx>
          <w:tblBorders>
            <w:top w:val="thinThickSmallGap" w:color="auto" w:sz="12" w:space="0"/>
            <w:left w:val="none" w:color="auto" w:sz="0" w:space="0"/>
            <w:bottom w:val="thickThinSmallGap"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88" w:hRule="atLeast"/>
          <w:jc w:val="center"/>
        </w:trPr>
        <w:tc>
          <w:tcPr>
            <w:tcW w:w="756" w:type="dxa"/>
            <w:noWrap w:val="0"/>
            <w:vAlign w:val="center"/>
          </w:tcPr>
          <w:p w14:paraId="5E513FAA">
            <w:pPr>
              <w:jc w:val="center"/>
              <w:rPr>
                <w:rFonts w:ascii="Times New Roman" w:hAnsi="Times New Roman" w:cs="Times New Roman"/>
                <w:sz w:val="21"/>
                <w:szCs w:val="21"/>
              </w:rPr>
            </w:pPr>
            <w:r>
              <w:rPr>
                <w:rFonts w:ascii="Times New Roman" w:hAnsi="Times New Roman" w:cs="Times New Roman"/>
                <w:sz w:val="21"/>
                <w:szCs w:val="21"/>
              </w:rPr>
              <w:t>39</w:t>
            </w:r>
          </w:p>
        </w:tc>
        <w:tc>
          <w:tcPr>
            <w:tcW w:w="2272" w:type="dxa"/>
            <w:noWrap w:val="0"/>
            <w:vAlign w:val="center"/>
          </w:tcPr>
          <w:p w14:paraId="040118FF">
            <w:pPr>
              <w:jc w:val="center"/>
              <w:rPr>
                <w:rFonts w:ascii="Times New Roman" w:hAnsi="Times New Roman" w:cs="Times New Roman"/>
                <w:sz w:val="21"/>
                <w:szCs w:val="21"/>
              </w:rPr>
            </w:pPr>
            <w:r>
              <w:rPr>
                <w:rFonts w:ascii="Times New Roman" w:hAnsi="Times New Roman" w:cs="Times New Roman"/>
                <w:sz w:val="21"/>
                <w:szCs w:val="21"/>
              </w:rPr>
              <w:t>苯并[a]芘</w:t>
            </w:r>
          </w:p>
        </w:tc>
        <w:tc>
          <w:tcPr>
            <w:tcW w:w="1420" w:type="dxa"/>
            <w:noWrap w:val="0"/>
            <w:vAlign w:val="center"/>
          </w:tcPr>
          <w:p w14:paraId="5F325C10">
            <w:pPr>
              <w:spacing w:line="240" w:lineRule="exact"/>
              <w:jc w:val="center"/>
              <w:rPr>
                <w:rFonts w:ascii="Times New Roman" w:hAnsi="Times New Roman" w:cs="Times New Roman"/>
                <w:sz w:val="21"/>
                <w:szCs w:val="21"/>
              </w:rPr>
            </w:pPr>
            <w:r>
              <w:rPr>
                <w:rFonts w:ascii="Times New Roman" w:hAnsi="Times New Roman" w:cs="Times New Roman"/>
                <w:sz w:val="21"/>
                <w:szCs w:val="21"/>
              </w:rPr>
              <w:t>0.55</w:t>
            </w:r>
          </w:p>
        </w:tc>
        <w:tc>
          <w:tcPr>
            <w:tcW w:w="1420" w:type="dxa"/>
            <w:noWrap w:val="0"/>
            <w:vAlign w:val="center"/>
          </w:tcPr>
          <w:p w14:paraId="4BBE8F53">
            <w:pPr>
              <w:spacing w:line="240" w:lineRule="exact"/>
              <w:jc w:val="center"/>
              <w:rPr>
                <w:rFonts w:ascii="Times New Roman" w:hAnsi="Times New Roman" w:cs="Times New Roman"/>
                <w:sz w:val="21"/>
                <w:szCs w:val="21"/>
              </w:rPr>
            </w:pPr>
            <w:r>
              <w:rPr>
                <w:rFonts w:ascii="Times New Roman" w:hAnsi="Times New Roman" w:cs="Times New Roman"/>
                <w:sz w:val="21"/>
                <w:szCs w:val="21"/>
              </w:rPr>
              <w:t>5.5</w:t>
            </w:r>
          </w:p>
        </w:tc>
        <w:tc>
          <w:tcPr>
            <w:tcW w:w="1420" w:type="dxa"/>
            <w:noWrap w:val="0"/>
            <w:vAlign w:val="center"/>
          </w:tcPr>
          <w:p w14:paraId="6A3BBE99">
            <w:pPr>
              <w:spacing w:line="240" w:lineRule="exact"/>
              <w:jc w:val="center"/>
              <w:rPr>
                <w:rFonts w:ascii="Times New Roman" w:hAnsi="Times New Roman" w:cs="Times New Roman"/>
                <w:sz w:val="21"/>
                <w:szCs w:val="21"/>
              </w:rPr>
            </w:pPr>
            <w:r>
              <w:rPr>
                <w:rFonts w:ascii="Times New Roman" w:hAnsi="Times New Roman" w:cs="Times New Roman"/>
                <w:sz w:val="21"/>
                <w:szCs w:val="21"/>
              </w:rPr>
              <w:t>1.5</w:t>
            </w:r>
          </w:p>
        </w:tc>
        <w:tc>
          <w:tcPr>
            <w:tcW w:w="1324" w:type="dxa"/>
            <w:noWrap w:val="0"/>
            <w:vAlign w:val="center"/>
          </w:tcPr>
          <w:p w14:paraId="124CDD6F">
            <w:pPr>
              <w:spacing w:line="240" w:lineRule="exact"/>
              <w:jc w:val="center"/>
              <w:rPr>
                <w:rFonts w:ascii="Times New Roman" w:hAnsi="Times New Roman" w:cs="Times New Roman"/>
                <w:sz w:val="21"/>
                <w:szCs w:val="21"/>
              </w:rPr>
            </w:pPr>
            <w:r>
              <w:rPr>
                <w:rFonts w:ascii="Times New Roman" w:hAnsi="Times New Roman" w:cs="Times New Roman"/>
                <w:sz w:val="21"/>
                <w:szCs w:val="21"/>
              </w:rPr>
              <w:t>15</w:t>
            </w:r>
          </w:p>
        </w:tc>
      </w:tr>
      <w:tr w14:paraId="74651B80">
        <w:tblPrEx>
          <w:tblBorders>
            <w:top w:val="thinThickSmallGap" w:color="auto" w:sz="12" w:space="0"/>
            <w:left w:val="none" w:color="auto" w:sz="0" w:space="0"/>
            <w:bottom w:val="thickThinSmallGap"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88" w:hRule="atLeast"/>
          <w:jc w:val="center"/>
        </w:trPr>
        <w:tc>
          <w:tcPr>
            <w:tcW w:w="756" w:type="dxa"/>
            <w:noWrap w:val="0"/>
            <w:vAlign w:val="center"/>
          </w:tcPr>
          <w:p w14:paraId="53D45F88">
            <w:pPr>
              <w:jc w:val="center"/>
              <w:rPr>
                <w:rFonts w:ascii="Times New Roman" w:hAnsi="Times New Roman" w:cs="Times New Roman"/>
                <w:sz w:val="21"/>
                <w:szCs w:val="21"/>
              </w:rPr>
            </w:pPr>
            <w:r>
              <w:rPr>
                <w:rFonts w:ascii="Times New Roman" w:hAnsi="Times New Roman" w:cs="Times New Roman"/>
                <w:sz w:val="21"/>
                <w:szCs w:val="21"/>
              </w:rPr>
              <w:t>40</w:t>
            </w:r>
          </w:p>
        </w:tc>
        <w:tc>
          <w:tcPr>
            <w:tcW w:w="2272" w:type="dxa"/>
            <w:noWrap w:val="0"/>
            <w:vAlign w:val="center"/>
          </w:tcPr>
          <w:p w14:paraId="10BEA0B4">
            <w:pPr>
              <w:jc w:val="center"/>
              <w:rPr>
                <w:rFonts w:ascii="Times New Roman" w:hAnsi="Times New Roman" w:cs="Times New Roman"/>
                <w:sz w:val="21"/>
                <w:szCs w:val="21"/>
              </w:rPr>
            </w:pPr>
            <w:r>
              <w:rPr>
                <w:rFonts w:ascii="Times New Roman" w:hAnsi="Times New Roman" w:cs="Times New Roman"/>
                <w:sz w:val="21"/>
                <w:szCs w:val="21"/>
              </w:rPr>
              <w:t>苯并[b]荧蒽</w:t>
            </w:r>
          </w:p>
        </w:tc>
        <w:tc>
          <w:tcPr>
            <w:tcW w:w="1420" w:type="dxa"/>
            <w:noWrap w:val="0"/>
            <w:vAlign w:val="center"/>
          </w:tcPr>
          <w:p w14:paraId="4E4BD8E6">
            <w:pPr>
              <w:spacing w:line="240" w:lineRule="exact"/>
              <w:jc w:val="center"/>
              <w:rPr>
                <w:rFonts w:ascii="Times New Roman" w:hAnsi="Times New Roman" w:cs="Times New Roman"/>
                <w:sz w:val="21"/>
                <w:szCs w:val="21"/>
              </w:rPr>
            </w:pPr>
            <w:r>
              <w:rPr>
                <w:rFonts w:ascii="Times New Roman" w:hAnsi="Times New Roman" w:cs="Times New Roman"/>
                <w:sz w:val="21"/>
                <w:szCs w:val="21"/>
              </w:rPr>
              <w:t>5.5</w:t>
            </w:r>
          </w:p>
        </w:tc>
        <w:tc>
          <w:tcPr>
            <w:tcW w:w="1420" w:type="dxa"/>
            <w:noWrap w:val="0"/>
            <w:vAlign w:val="center"/>
          </w:tcPr>
          <w:p w14:paraId="35ECAE57">
            <w:pPr>
              <w:spacing w:line="240" w:lineRule="exact"/>
              <w:jc w:val="center"/>
              <w:rPr>
                <w:rFonts w:ascii="Times New Roman" w:hAnsi="Times New Roman" w:cs="Times New Roman"/>
                <w:sz w:val="21"/>
                <w:szCs w:val="21"/>
              </w:rPr>
            </w:pPr>
            <w:r>
              <w:rPr>
                <w:rFonts w:ascii="Times New Roman" w:hAnsi="Times New Roman" w:cs="Times New Roman"/>
                <w:sz w:val="21"/>
                <w:szCs w:val="21"/>
              </w:rPr>
              <w:t>55</w:t>
            </w:r>
          </w:p>
        </w:tc>
        <w:tc>
          <w:tcPr>
            <w:tcW w:w="1420" w:type="dxa"/>
            <w:noWrap w:val="0"/>
            <w:vAlign w:val="center"/>
          </w:tcPr>
          <w:p w14:paraId="1B240C6E">
            <w:pPr>
              <w:spacing w:line="240" w:lineRule="exact"/>
              <w:jc w:val="center"/>
              <w:rPr>
                <w:rFonts w:ascii="Times New Roman" w:hAnsi="Times New Roman" w:cs="Times New Roman"/>
                <w:sz w:val="21"/>
                <w:szCs w:val="21"/>
              </w:rPr>
            </w:pPr>
            <w:r>
              <w:rPr>
                <w:rFonts w:ascii="Times New Roman" w:hAnsi="Times New Roman" w:cs="Times New Roman"/>
                <w:sz w:val="21"/>
                <w:szCs w:val="21"/>
              </w:rPr>
              <w:t>15</w:t>
            </w:r>
          </w:p>
        </w:tc>
        <w:tc>
          <w:tcPr>
            <w:tcW w:w="1324" w:type="dxa"/>
            <w:noWrap w:val="0"/>
            <w:vAlign w:val="center"/>
          </w:tcPr>
          <w:p w14:paraId="2AF49A52">
            <w:pPr>
              <w:spacing w:line="240" w:lineRule="exact"/>
              <w:jc w:val="center"/>
              <w:rPr>
                <w:rFonts w:ascii="Times New Roman" w:hAnsi="Times New Roman" w:cs="Times New Roman"/>
                <w:sz w:val="21"/>
                <w:szCs w:val="21"/>
              </w:rPr>
            </w:pPr>
            <w:r>
              <w:rPr>
                <w:rFonts w:ascii="Times New Roman" w:hAnsi="Times New Roman" w:cs="Times New Roman"/>
                <w:sz w:val="21"/>
                <w:szCs w:val="21"/>
              </w:rPr>
              <w:t>151</w:t>
            </w:r>
          </w:p>
        </w:tc>
      </w:tr>
      <w:tr w14:paraId="20FB5B9C">
        <w:tblPrEx>
          <w:tblBorders>
            <w:top w:val="thinThickSmallGap" w:color="auto" w:sz="12" w:space="0"/>
            <w:left w:val="none" w:color="auto" w:sz="0" w:space="0"/>
            <w:bottom w:val="thickThinSmallGap"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88" w:hRule="atLeast"/>
          <w:jc w:val="center"/>
        </w:trPr>
        <w:tc>
          <w:tcPr>
            <w:tcW w:w="756" w:type="dxa"/>
            <w:noWrap w:val="0"/>
            <w:vAlign w:val="center"/>
          </w:tcPr>
          <w:p w14:paraId="0DFE96CD">
            <w:pPr>
              <w:jc w:val="center"/>
              <w:rPr>
                <w:rFonts w:ascii="Times New Roman" w:hAnsi="Times New Roman" w:cs="Times New Roman"/>
                <w:sz w:val="21"/>
                <w:szCs w:val="21"/>
              </w:rPr>
            </w:pPr>
            <w:r>
              <w:rPr>
                <w:rFonts w:ascii="Times New Roman" w:hAnsi="Times New Roman" w:cs="Times New Roman"/>
                <w:sz w:val="21"/>
                <w:szCs w:val="21"/>
              </w:rPr>
              <w:t>41</w:t>
            </w:r>
          </w:p>
        </w:tc>
        <w:tc>
          <w:tcPr>
            <w:tcW w:w="2272" w:type="dxa"/>
            <w:noWrap w:val="0"/>
            <w:vAlign w:val="center"/>
          </w:tcPr>
          <w:p w14:paraId="53629E09">
            <w:pPr>
              <w:jc w:val="center"/>
              <w:rPr>
                <w:rFonts w:ascii="Times New Roman" w:hAnsi="Times New Roman" w:cs="Times New Roman"/>
                <w:sz w:val="21"/>
                <w:szCs w:val="21"/>
              </w:rPr>
            </w:pPr>
            <w:r>
              <w:rPr>
                <w:rFonts w:ascii="Times New Roman" w:hAnsi="Times New Roman" w:cs="Times New Roman"/>
                <w:sz w:val="21"/>
                <w:szCs w:val="21"/>
              </w:rPr>
              <w:t>苯并[k]荧蒽</w:t>
            </w:r>
          </w:p>
        </w:tc>
        <w:tc>
          <w:tcPr>
            <w:tcW w:w="1420" w:type="dxa"/>
            <w:noWrap w:val="0"/>
            <w:vAlign w:val="center"/>
          </w:tcPr>
          <w:p w14:paraId="6FCCBFD1">
            <w:pPr>
              <w:spacing w:line="240" w:lineRule="exact"/>
              <w:jc w:val="center"/>
              <w:rPr>
                <w:rFonts w:ascii="Times New Roman" w:hAnsi="Times New Roman" w:cs="Times New Roman"/>
                <w:sz w:val="21"/>
                <w:szCs w:val="21"/>
              </w:rPr>
            </w:pPr>
            <w:r>
              <w:rPr>
                <w:rFonts w:ascii="Times New Roman" w:hAnsi="Times New Roman" w:cs="Times New Roman"/>
                <w:sz w:val="21"/>
                <w:szCs w:val="21"/>
              </w:rPr>
              <w:t>55</w:t>
            </w:r>
          </w:p>
        </w:tc>
        <w:tc>
          <w:tcPr>
            <w:tcW w:w="1420" w:type="dxa"/>
            <w:noWrap w:val="0"/>
            <w:vAlign w:val="center"/>
          </w:tcPr>
          <w:p w14:paraId="1FE3721A">
            <w:pPr>
              <w:spacing w:line="240" w:lineRule="exact"/>
              <w:jc w:val="center"/>
              <w:rPr>
                <w:rFonts w:ascii="Times New Roman" w:hAnsi="Times New Roman" w:cs="Times New Roman"/>
                <w:sz w:val="21"/>
                <w:szCs w:val="21"/>
              </w:rPr>
            </w:pPr>
            <w:r>
              <w:rPr>
                <w:rFonts w:ascii="Times New Roman" w:hAnsi="Times New Roman" w:cs="Times New Roman"/>
                <w:sz w:val="21"/>
                <w:szCs w:val="21"/>
              </w:rPr>
              <w:t>550</w:t>
            </w:r>
          </w:p>
        </w:tc>
        <w:tc>
          <w:tcPr>
            <w:tcW w:w="1420" w:type="dxa"/>
            <w:noWrap w:val="0"/>
            <w:vAlign w:val="center"/>
          </w:tcPr>
          <w:p w14:paraId="54FD6DBD">
            <w:pPr>
              <w:spacing w:line="240" w:lineRule="exact"/>
              <w:jc w:val="center"/>
              <w:rPr>
                <w:rFonts w:ascii="Times New Roman" w:hAnsi="Times New Roman" w:cs="Times New Roman"/>
                <w:sz w:val="21"/>
                <w:szCs w:val="21"/>
              </w:rPr>
            </w:pPr>
            <w:r>
              <w:rPr>
                <w:rFonts w:ascii="Times New Roman" w:hAnsi="Times New Roman" w:cs="Times New Roman"/>
                <w:sz w:val="21"/>
                <w:szCs w:val="21"/>
              </w:rPr>
              <w:t>151</w:t>
            </w:r>
          </w:p>
        </w:tc>
        <w:tc>
          <w:tcPr>
            <w:tcW w:w="1324" w:type="dxa"/>
            <w:noWrap w:val="0"/>
            <w:vAlign w:val="center"/>
          </w:tcPr>
          <w:p w14:paraId="33909417">
            <w:pPr>
              <w:spacing w:line="240" w:lineRule="exact"/>
              <w:jc w:val="center"/>
              <w:rPr>
                <w:rFonts w:ascii="Times New Roman" w:hAnsi="Times New Roman" w:cs="Times New Roman"/>
                <w:sz w:val="21"/>
                <w:szCs w:val="21"/>
              </w:rPr>
            </w:pPr>
            <w:r>
              <w:rPr>
                <w:rFonts w:ascii="Times New Roman" w:hAnsi="Times New Roman" w:cs="Times New Roman"/>
                <w:sz w:val="21"/>
                <w:szCs w:val="21"/>
              </w:rPr>
              <w:t>1500</w:t>
            </w:r>
          </w:p>
        </w:tc>
      </w:tr>
      <w:tr w14:paraId="7C7900F6">
        <w:tblPrEx>
          <w:tblBorders>
            <w:top w:val="thinThickSmallGap" w:color="auto" w:sz="12" w:space="0"/>
            <w:left w:val="none" w:color="auto" w:sz="0" w:space="0"/>
            <w:bottom w:val="thickThinSmallGap"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88" w:hRule="atLeast"/>
          <w:jc w:val="center"/>
        </w:trPr>
        <w:tc>
          <w:tcPr>
            <w:tcW w:w="756" w:type="dxa"/>
            <w:noWrap w:val="0"/>
            <w:vAlign w:val="center"/>
          </w:tcPr>
          <w:p w14:paraId="17F330CA">
            <w:pPr>
              <w:jc w:val="center"/>
              <w:rPr>
                <w:rFonts w:ascii="Times New Roman" w:hAnsi="Times New Roman" w:cs="Times New Roman"/>
                <w:sz w:val="21"/>
                <w:szCs w:val="21"/>
              </w:rPr>
            </w:pPr>
            <w:r>
              <w:rPr>
                <w:rFonts w:ascii="Times New Roman" w:hAnsi="Times New Roman" w:cs="Times New Roman"/>
                <w:sz w:val="21"/>
                <w:szCs w:val="21"/>
              </w:rPr>
              <w:t>42</w:t>
            </w:r>
          </w:p>
        </w:tc>
        <w:tc>
          <w:tcPr>
            <w:tcW w:w="2272" w:type="dxa"/>
            <w:noWrap w:val="0"/>
            <w:vAlign w:val="center"/>
          </w:tcPr>
          <w:p w14:paraId="0A09A9CA">
            <w:pPr>
              <w:jc w:val="center"/>
              <w:rPr>
                <w:rFonts w:ascii="Times New Roman" w:hAnsi="Times New Roman" w:cs="Times New Roman"/>
                <w:sz w:val="21"/>
                <w:szCs w:val="21"/>
              </w:rPr>
            </w:pPr>
            <w:r>
              <w:rPr>
                <w:rFonts w:ascii="Times New Roman" w:hAnsi="Times New Roman" w:cs="Times New Roman"/>
                <w:sz w:val="21"/>
                <w:szCs w:val="21"/>
              </w:rPr>
              <w:t>䓛</w:t>
            </w:r>
          </w:p>
        </w:tc>
        <w:tc>
          <w:tcPr>
            <w:tcW w:w="1420" w:type="dxa"/>
            <w:noWrap w:val="0"/>
            <w:vAlign w:val="center"/>
          </w:tcPr>
          <w:p w14:paraId="7140F0F6">
            <w:pPr>
              <w:spacing w:line="240" w:lineRule="exact"/>
              <w:jc w:val="center"/>
              <w:rPr>
                <w:rFonts w:ascii="Times New Roman" w:hAnsi="Times New Roman" w:cs="Times New Roman"/>
                <w:sz w:val="21"/>
                <w:szCs w:val="21"/>
              </w:rPr>
            </w:pPr>
            <w:r>
              <w:rPr>
                <w:rFonts w:ascii="Times New Roman" w:hAnsi="Times New Roman" w:cs="Times New Roman"/>
                <w:sz w:val="21"/>
                <w:szCs w:val="21"/>
              </w:rPr>
              <w:t>490</w:t>
            </w:r>
          </w:p>
        </w:tc>
        <w:tc>
          <w:tcPr>
            <w:tcW w:w="1420" w:type="dxa"/>
            <w:noWrap w:val="0"/>
            <w:vAlign w:val="center"/>
          </w:tcPr>
          <w:p w14:paraId="46D47004">
            <w:pPr>
              <w:spacing w:line="240" w:lineRule="exact"/>
              <w:jc w:val="center"/>
              <w:rPr>
                <w:rFonts w:ascii="Times New Roman" w:hAnsi="Times New Roman" w:cs="Times New Roman"/>
                <w:sz w:val="21"/>
                <w:szCs w:val="21"/>
              </w:rPr>
            </w:pPr>
            <w:r>
              <w:rPr>
                <w:rFonts w:ascii="Times New Roman" w:hAnsi="Times New Roman" w:cs="Times New Roman"/>
                <w:sz w:val="21"/>
                <w:szCs w:val="21"/>
              </w:rPr>
              <w:t>4900</w:t>
            </w:r>
          </w:p>
        </w:tc>
        <w:tc>
          <w:tcPr>
            <w:tcW w:w="1420" w:type="dxa"/>
            <w:noWrap w:val="0"/>
            <w:vAlign w:val="center"/>
          </w:tcPr>
          <w:p w14:paraId="23311622">
            <w:pPr>
              <w:spacing w:line="240" w:lineRule="exact"/>
              <w:jc w:val="center"/>
              <w:rPr>
                <w:rFonts w:ascii="Times New Roman" w:hAnsi="Times New Roman" w:cs="Times New Roman"/>
                <w:sz w:val="21"/>
                <w:szCs w:val="21"/>
              </w:rPr>
            </w:pPr>
            <w:r>
              <w:rPr>
                <w:rFonts w:ascii="Times New Roman" w:hAnsi="Times New Roman" w:cs="Times New Roman"/>
                <w:sz w:val="21"/>
                <w:szCs w:val="21"/>
              </w:rPr>
              <w:t>1293</w:t>
            </w:r>
          </w:p>
        </w:tc>
        <w:tc>
          <w:tcPr>
            <w:tcW w:w="1324" w:type="dxa"/>
            <w:noWrap w:val="0"/>
            <w:vAlign w:val="center"/>
          </w:tcPr>
          <w:p w14:paraId="15E2529E">
            <w:pPr>
              <w:spacing w:line="240" w:lineRule="exact"/>
              <w:jc w:val="center"/>
              <w:rPr>
                <w:rFonts w:ascii="Times New Roman" w:hAnsi="Times New Roman" w:cs="Times New Roman"/>
                <w:sz w:val="21"/>
                <w:szCs w:val="21"/>
              </w:rPr>
            </w:pPr>
            <w:r>
              <w:rPr>
                <w:rFonts w:ascii="Times New Roman" w:hAnsi="Times New Roman" w:cs="Times New Roman"/>
                <w:sz w:val="21"/>
                <w:szCs w:val="21"/>
              </w:rPr>
              <w:t>12900</w:t>
            </w:r>
          </w:p>
        </w:tc>
      </w:tr>
      <w:tr w14:paraId="61514EF4">
        <w:tblPrEx>
          <w:tblBorders>
            <w:top w:val="thinThickSmallGap" w:color="auto" w:sz="12" w:space="0"/>
            <w:left w:val="none" w:color="auto" w:sz="0" w:space="0"/>
            <w:bottom w:val="thickThinSmallGap"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88" w:hRule="atLeast"/>
          <w:jc w:val="center"/>
        </w:trPr>
        <w:tc>
          <w:tcPr>
            <w:tcW w:w="756" w:type="dxa"/>
            <w:noWrap w:val="0"/>
            <w:vAlign w:val="center"/>
          </w:tcPr>
          <w:p w14:paraId="432E6744">
            <w:pPr>
              <w:jc w:val="center"/>
              <w:rPr>
                <w:rFonts w:ascii="Times New Roman" w:hAnsi="Times New Roman" w:cs="Times New Roman"/>
                <w:sz w:val="21"/>
                <w:szCs w:val="21"/>
              </w:rPr>
            </w:pPr>
            <w:r>
              <w:rPr>
                <w:rFonts w:ascii="Times New Roman" w:hAnsi="Times New Roman" w:cs="Times New Roman"/>
                <w:sz w:val="21"/>
                <w:szCs w:val="21"/>
              </w:rPr>
              <w:t>43</w:t>
            </w:r>
          </w:p>
        </w:tc>
        <w:tc>
          <w:tcPr>
            <w:tcW w:w="2272" w:type="dxa"/>
            <w:noWrap w:val="0"/>
            <w:vAlign w:val="center"/>
          </w:tcPr>
          <w:p w14:paraId="74DC6562">
            <w:pPr>
              <w:jc w:val="center"/>
              <w:rPr>
                <w:rFonts w:ascii="Times New Roman" w:hAnsi="Times New Roman" w:cs="Times New Roman"/>
                <w:sz w:val="21"/>
                <w:szCs w:val="21"/>
              </w:rPr>
            </w:pPr>
            <w:r>
              <w:rPr>
                <w:rFonts w:ascii="Times New Roman" w:hAnsi="Times New Roman" w:cs="Times New Roman"/>
                <w:sz w:val="21"/>
                <w:szCs w:val="21"/>
              </w:rPr>
              <w:t>二苯并[a,h]蒽</w:t>
            </w:r>
          </w:p>
        </w:tc>
        <w:tc>
          <w:tcPr>
            <w:tcW w:w="1420" w:type="dxa"/>
            <w:noWrap w:val="0"/>
            <w:vAlign w:val="center"/>
          </w:tcPr>
          <w:p w14:paraId="0432235A">
            <w:pPr>
              <w:spacing w:line="240" w:lineRule="exact"/>
              <w:jc w:val="center"/>
              <w:rPr>
                <w:rFonts w:ascii="Times New Roman" w:hAnsi="Times New Roman" w:cs="Times New Roman"/>
                <w:sz w:val="21"/>
                <w:szCs w:val="21"/>
              </w:rPr>
            </w:pPr>
            <w:r>
              <w:rPr>
                <w:rFonts w:ascii="Times New Roman" w:hAnsi="Times New Roman" w:cs="Times New Roman"/>
                <w:sz w:val="21"/>
                <w:szCs w:val="21"/>
              </w:rPr>
              <w:t>0.55</w:t>
            </w:r>
          </w:p>
        </w:tc>
        <w:tc>
          <w:tcPr>
            <w:tcW w:w="1420" w:type="dxa"/>
            <w:noWrap w:val="0"/>
            <w:vAlign w:val="center"/>
          </w:tcPr>
          <w:p w14:paraId="6C0F00E1">
            <w:pPr>
              <w:spacing w:line="240" w:lineRule="exact"/>
              <w:jc w:val="center"/>
              <w:rPr>
                <w:rFonts w:ascii="Times New Roman" w:hAnsi="Times New Roman" w:cs="Times New Roman"/>
                <w:sz w:val="21"/>
                <w:szCs w:val="21"/>
              </w:rPr>
            </w:pPr>
            <w:r>
              <w:rPr>
                <w:rFonts w:ascii="Times New Roman" w:hAnsi="Times New Roman" w:cs="Times New Roman"/>
                <w:sz w:val="21"/>
                <w:szCs w:val="21"/>
              </w:rPr>
              <w:t>5.5</w:t>
            </w:r>
          </w:p>
        </w:tc>
        <w:tc>
          <w:tcPr>
            <w:tcW w:w="1420" w:type="dxa"/>
            <w:noWrap w:val="0"/>
            <w:vAlign w:val="center"/>
          </w:tcPr>
          <w:p w14:paraId="1C318198">
            <w:pPr>
              <w:spacing w:line="240" w:lineRule="exact"/>
              <w:jc w:val="center"/>
              <w:rPr>
                <w:rFonts w:ascii="Times New Roman" w:hAnsi="Times New Roman" w:cs="Times New Roman"/>
                <w:sz w:val="21"/>
                <w:szCs w:val="21"/>
              </w:rPr>
            </w:pPr>
            <w:r>
              <w:rPr>
                <w:rFonts w:ascii="Times New Roman" w:hAnsi="Times New Roman" w:cs="Times New Roman"/>
                <w:sz w:val="21"/>
                <w:szCs w:val="21"/>
              </w:rPr>
              <w:t>1.5</w:t>
            </w:r>
          </w:p>
        </w:tc>
        <w:tc>
          <w:tcPr>
            <w:tcW w:w="1324" w:type="dxa"/>
            <w:noWrap w:val="0"/>
            <w:vAlign w:val="center"/>
          </w:tcPr>
          <w:p w14:paraId="14828115">
            <w:pPr>
              <w:spacing w:line="240" w:lineRule="exact"/>
              <w:jc w:val="center"/>
              <w:rPr>
                <w:rFonts w:ascii="Times New Roman" w:hAnsi="Times New Roman" w:cs="Times New Roman"/>
                <w:sz w:val="21"/>
                <w:szCs w:val="21"/>
              </w:rPr>
            </w:pPr>
            <w:r>
              <w:rPr>
                <w:rFonts w:ascii="Times New Roman" w:hAnsi="Times New Roman" w:cs="Times New Roman"/>
                <w:sz w:val="21"/>
                <w:szCs w:val="21"/>
              </w:rPr>
              <w:t>15</w:t>
            </w:r>
          </w:p>
        </w:tc>
      </w:tr>
      <w:tr w14:paraId="0FBCFEDD">
        <w:tblPrEx>
          <w:tblBorders>
            <w:top w:val="thinThickSmallGap" w:color="auto" w:sz="12" w:space="0"/>
            <w:left w:val="none" w:color="auto" w:sz="0" w:space="0"/>
            <w:bottom w:val="thickThinSmallGap"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88" w:hRule="atLeast"/>
          <w:jc w:val="center"/>
        </w:trPr>
        <w:tc>
          <w:tcPr>
            <w:tcW w:w="756" w:type="dxa"/>
            <w:noWrap w:val="0"/>
            <w:vAlign w:val="center"/>
          </w:tcPr>
          <w:p w14:paraId="4E59EA67">
            <w:pPr>
              <w:jc w:val="center"/>
              <w:rPr>
                <w:rFonts w:ascii="Times New Roman" w:hAnsi="Times New Roman" w:cs="Times New Roman"/>
                <w:sz w:val="21"/>
                <w:szCs w:val="21"/>
              </w:rPr>
            </w:pPr>
            <w:r>
              <w:rPr>
                <w:rFonts w:ascii="Times New Roman" w:hAnsi="Times New Roman" w:cs="Times New Roman"/>
                <w:sz w:val="21"/>
                <w:szCs w:val="21"/>
              </w:rPr>
              <w:t>44</w:t>
            </w:r>
          </w:p>
        </w:tc>
        <w:tc>
          <w:tcPr>
            <w:tcW w:w="2272" w:type="dxa"/>
            <w:noWrap w:val="0"/>
            <w:vAlign w:val="center"/>
          </w:tcPr>
          <w:p w14:paraId="7A9D6E2F">
            <w:pPr>
              <w:jc w:val="center"/>
              <w:rPr>
                <w:rFonts w:ascii="Times New Roman" w:hAnsi="Times New Roman" w:cs="Times New Roman"/>
                <w:sz w:val="21"/>
                <w:szCs w:val="21"/>
              </w:rPr>
            </w:pPr>
            <w:r>
              <w:rPr>
                <w:rFonts w:ascii="Times New Roman" w:hAnsi="Times New Roman" w:cs="Times New Roman"/>
                <w:sz w:val="21"/>
                <w:szCs w:val="21"/>
              </w:rPr>
              <w:t>茚并[1,2,3-cd]芘</w:t>
            </w:r>
          </w:p>
        </w:tc>
        <w:tc>
          <w:tcPr>
            <w:tcW w:w="1420" w:type="dxa"/>
            <w:noWrap w:val="0"/>
            <w:vAlign w:val="center"/>
          </w:tcPr>
          <w:p w14:paraId="03076E41">
            <w:pPr>
              <w:spacing w:line="240" w:lineRule="exact"/>
              <w:jc w:val="center"/>
              <w:rPr>
                <w:rFonts w:ascii="Times New Roman" w:hAnsi="Times New Roman" w:cs="Times New Roman"/>
                <w:sz w:val="21"/>
                <w:szCs w:val="21"/>
              </w:rPr>
            </w:pPr>
            <w:r>
              <w:rPr>
                <w:rFonts w:ascii="Times New Roman" w:hAnsi="Times New Roman" w:cs="Times New Roman"/>
                <w:sz w:val="21"/>
                <w:szCs w:val="21"/>
              </w:rPr>
              <w:t>5.5</w:t>
            </w:r>
          </w:p>
        </w:tc>
        <w:tc>
          <w:tcPr>
            <w:tcW w:w="1420" w:type="dxa"/>
            <w:noWrap w:val="0"/>
            <w:vAlign w:val="center"/>
          </w:tcPr>
          <w:p w14:paraId="58756A1D">
            <w:pPr>
              <w:spacing w:line="240" w:lineRule="exact"/>
              <w:jc w:val="center"/>
              <w:rPr>
                <w:rFonts w:ascii="Times New Roman" w:hAnsi="Times New Roman" w:cs="Times New Roman"/>
                <w:sz w:val="21"/>
                <w:szCs w:val="21"/>
              </w:rPr>
            </w:pPr>
            <w:r>
              <w:rPr>
                <w:rFonts w:ascii="Times New Roman" w:hAnsi="Times New Roman" w:cs="Times New Roman"/>
                <w:sz w:val="21"/>
                <w:szCs w:val="21"/>
              </w:rPr>
              <w:t>55</w:t>
            </w:r>
          </w:p>
        </w:tc>
        <w:tc>
          <w:tcPr>
            <w:tcW w:w="1420" w:type="dxa"/>
            <w:noWrap w:val="0"/>
            <w:vAlign w:val="center"/>
          </w:tcPr>
          <w:p w14:paraId="1BD64633">
            <w:pPr>
              <w:spacing w:line="240" w:lineRule="exact"/>
              <w:jc w:val="center"/>
              <w:rPr>
                <w:rFonts w:ascii="Times New Roman" w:hAnsi="Times New Roman" w:cs="Times New Roman"/>
                <w:sz w:val="21"/>
                <w:szCs w:val="21"/>
              </w:rPr>
            </w:pPr>
            <w:r>
              <w:rPr>
                <w:rFonts w:ascii="Times New Roman" w:hAnsi="Times New Roman" w:cs="Times New Roman"/>
                <w:sz w:val="21"/>
                <w:szCs w:val="21"/>
              </w:rPr>
              <w:t>15</w:t>
            </w:r>
          </w:p>
        </w:tc>
        <w:tc>
          <w:tcPr>
            <w:tcW w:w="1324" w:type="dxa"/>
            <w:noWrap w:val="0"/>
            <w:vAlign w:val="center"/>
          </w:tcPr>
          <w:p w14:paraId="065D12DC">
            <w:pPr>
              <w:spacing w:line="240" w:lineRule="exact"/>
              <w:jc w:val="center"/>
              <w:rPr>
                <w:rFonts w:ascii="Times New Roman" w:hAnsi="Times New Roman" w:cs="Times New Roman"/>
                <w:sz w:val="21"/>
                <w:szCs w:val="21"/>
              </w:rPr>
            </w:pPr>
            <w:r>
              <w:rPr>
                <w:rFonts w:ascii="Times New Roman" w:hAnsi="Times New Roman" w:cs="Times New Roman"/>
                <w:sz w:val="21"/>
                <w:szCs w:val="21"/>
              </w:rPr>
              <w:t>151</w:t>
            </w:r>
          </w:p>
        </w:tc>
      </w:tr>
      <w:tr w14:paraId="0D6D43D3">
        <w:tblPrEx>
          <w:tblBorders>
            <w:top w:val="thinThickSmallGap" w:color="auto" w:sz="12" w:space="0"/>
            <w:left w:val="none" w:color="auto" w:sz="0" w:space="0"/>
            <w:bottom w:val="thickThinSmallGap"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88" w:hRule="atLeast"/>
          <w:jc w:val="center"/>
        </w:trPr>
        <w:tc>
          <w:tcPr>
            <w:tcW w:w="756" w:type="dxa"/>
            <w:noWrap w:val="0"/>
            <w:vAlign w:val="center"/>
          </w:tcPr>
          <w:p w14:paraId="252B5173">
            <w:pPr>
              <w:jc w:val="center"/>
              <w:rPr>
                <w:rFonts w:ascii="Times New Roman" w:hAnsi="Times New Roman" w:cs="Times New Roman"/>
                <w:sz w:val="21"/>
                <w:szCs w:val="21"/>
              </w:rPr>
            </w:pPr>
            <w:r>
              <w:rPr>
                <w:rFonts w:ascii="Times New Roman" w:hAnsi="Times New Roman" w:cs="Times New Roman"/>
                <w:sz w:val="21"/>
                <w:szCs w:val="21"/>
              </w:rPr>
              <w:t>45</w:t>
            </w:r>
          </w:p>
        </w:tc>
        <w:tc>
          <w:tcPr>
            <w:tcW w:w="2272" w:type="dxa"/>
            <w:noWrap w:val="0"/>
            <w:vAlign w:val="center"/>
          </w:tcPr>
          <w:p w14:paraId="0AFE09F9">
            <w:pPr>
              <w:jc w:val="center"/>
              <w:rPr>
                <w:rFonts w:ascii="Times New Roman" w:hAnsi="Times New Roman" w:cs="Times New Roman"/>
                <w:sz w:val="21"/>
                <w:szCs w:val="21"/>
              </w:rPr>
            </w:pPr>
            <w:r>
              <w:rPr>
                <w:rFonts w:ascii="Times New Roman" w:hAnsi="Times New Roman" w:cs="Times New Roman"/>
                <w:sz w:val="21"/>
                <w:szCs w:val="21"/>
              </w:rPr>
              <w:t>萘</w:t>
            </w:r>
          </w:p>
        </w:tc>
        <w:tc>
          <w:tcPr>
            <w:tcW w:w="1420" w:type="dxa"/>
            <w:noWrap w:val="0"/>
            <w:vAlign w:val="center"/>
          </w:tcPr>
          <w:p w14:paraId="504B7FEB">
            <w:pPr>
              <w:spacing w:line="240" w:lineRule="exact"/>
              <w:jc w:val="center"/>
              <w:rPr>
                <w:rFonts w:ascii="Times New Roman" w:hAnsi="Times New Roman" w:cs="Times New Roman"/>
                <w:sz w:val="21"/>
                <w:szCs w:val="21"/>
              </w:rPr>
            </w:pPr>
            <w:r>
              <w:rPr>
                <w:rFonts w:ascii="Times New Roman" w:hAnsi="Times New Roman" w:cs="Times New Roman"/>
                <w:sz w:val="21"/>
                <w:szCs w:val="21"/>
              </w:rPr>
              <w:t>25</w:t>
            </w:r>
          </w:p>
        </w:tc>
        <w:tc>
          <w:tcPr>
            <w:tcW w:w="1420" w:type="dxa"/>
            <w:noWrap w:val="0"/>
            <w:vAlign w:val="center"/>
          </w:tcPr>
          <w:p w14:paraId="6B06F295">
            <w:pPr>
              <w:spacing w:line="240" w:lineRule="exact"/>
              <w:jc w:val="center"/>
              <w:rPr>
                <w:rFonts w:ascii="Times New Roman" w:hAnsi="Times New Roman" w:cs="Times New Roman"/>
                <w:sz w:val="21"/>
                <w:szCs w:val="21"/>
              </w:rPr>
            </w:pPr>
            <w:r>
              <w:rPr>
                <w:rFonts w:ascii="Times New Roman" w:hAnsi="Times New Roman" w:cs="Times New Roman"/>
                <w:sz w:val="21"/>
                <w:szCs w:val="21"/>
              </w:rPr>
              <w:t>255</w:t>
            </w:r>
          </w:p>
        </w:tc>
        <w:tc>
          <w:tcPr>
            <w:tcW w:w="1420" w:type="dxa"/>
            <w:noWrap w:val="0"/>
            <w:vAlign w:val="center"/>
          </w:tcPr>
          <w:p w14:paraId="0093B88B">
            <w:pPr>
              <w:spacing w:line="240" w:lineRule="exact"/>
              <w:jc w:val="center"/>
              <w:rPr>
                <w:rFonts w:ascii="Times New Roman" w:hAnsi="Times New Roman" w:cs="Times New Roman"/>
                <w:sz w:val="21"/>
                <w:szCs w:val="21"/>
              </w:rPr>
            </w:pPr>
            <w:r>
              <w:rPr>
                <w:rFonts w:ascii="Times New Roman" w:hAnsi="Times New Roman" w:cs="Times New Roman"/>
                <w:sz w:val="21"/>
                <w:szCs w:val="21"/>
              </w:rPr>
              <w:t>70</w:t>
            </w:r>
          </w:p>
        </w:tc>
        <w:tc>
          <w:tcPr>
            <w:tcW w:w="1324" w:type="dxa"/>
            <w:noWrap w:val="0"/>
            <w:vAlign w:val="center"/>
          </w:tcPr>
          <w:p w14:paraId="517343A0">
            <w:pPr>
              <w:spacing w:line="240" w:lineRule="exact"/>
              <w:jc w:val="center"/>
              <w:rPr>
                <w:rFonts w:ascii="Times New Roman" w:hAnsi="Times New Roman" w:cs="Times New Roman"/>
                <w:sz w:val="21"/>
                <w:szCs w:val="21"/>
              </w:rPr>
            </w:pPr>
            <w:r>
              <w:rPr>
                <w:rFonts w:ascii="Times New Roman" w:hAnsi="Times New Roman" w:cs="Times New Roman"/>
                <w:sz w:val="21"/>
                <w:szCs w:val="21"/>
              </w:rPr>
              <w:t>700</w:t>
            </w:r>
          </w:p>
        </w:tc>
      </w:tr>
    </w:tbl>
    <w:p w14:paraId="6B0843CE">
      <w:pPr>
        <w:jc w:val="center"/>
        <w:rPr>
          <w:rFonts w:hint="eastAsia" w:ascii="Times New Roman" w:hAnsi="Times New Roman" w:eastAsia="黑体" w:cs="Times New Roman"/>
        </w:rPr>
      </w:pPr>
    </w:p>
    <w:p w14:paraId="386007B6">
      <w:pPr>
        <w:jc w:val="center"/>
        <w:rPr>
          <w:rFonts w:ascii="Times New Roman" w:hAnsi="Times New Roman" w:eastAsia="黑体" w:cs="Times New Roman"/>
        </w:rPr>
      </w:pPr>
      <w:r>
        <w:rPr>
          <w:rFonts w:ascii="Times New Roman" w:hAnsi="Times New Roman" w:eastAsia="黑体" w:cs="Times New Roman"/>
        </w:rPr>
        <w:t>表1.4-</w:t>
      </w:r>
      <w:r>
        <w:rPr>
          <w:rFonts w:hint="eastAsia" w:ascii="Times New Roman" w:hAnsi="Times New Roman" w:eastAsia="黑体" w:cs="Times New Roman"/>
        </w:rPr>
        <w:t>3</w:t>
      </w:r>
      <w:r>
        <w:rPr>
          <w:rFonts w:ascii="Times New Roman" w:hAnsi="Times New Roman" w:eastAsia="黑体" w:cs="Times New Roman"/>
        </w:rPr>
        <w:t xml:space="preserve">  土壤环境质量农用地（其他）土壤污染风险管控标准     </w:t>
      </w:r>
      <w:r>
        <w:rPr>
          <w:rFonts w:ascii="Times New Roman" w:hAnsi="Times New Roman" w:eastAsia="黑体" w:cs="Times New Roman"/>
          <w:sz w:val="21"/>
          <w:szCs w:val="21"/>
        </w:rPr>
        <w:t>单位：mg/kg</w:t>
      </w:r>
    </w:p>
    <w:tbl>
      <w:tblPr>
        <w:tblStyle w:val="56"/>
        <w:tblW w:w="8612" w:type="dxa"/>
        <w:jc w:val="center"/>
        <w:tblBorders>
          <w:top w:val="thinThickSmallGap" w:color="auto" w:sz="12" w:space="0"/>
          <w:left w:val="none" w:color="auto" w:sz="0" w:space="0"/>
          <w:bottom w:val="thickThinSmallGap" w:color="auto" w:sz="12" w:space="0"/>
          <w:right w:val="none" w:color="auto" w:sz="0" w:space="0"/>
          <w:insideH w:val="single" w:color="auto" w:sz="6" w:space="0"/>
          <w:insideV w:val="single" w:color="auto" w:sz="6" w:space="0"/>
        </w:tblBorders>
        <w:tblLayout w:type="autofit"/>
        <w:tblCellMar>
          <w:top w:w="0" w:type="dxa"/>
          <w:left w:w="108" w:type="dxa"/>
          <w:bottom w:w="0" w:type="dxa"/>
          <w:right w:w="108" w:type="dxa"/>
        </w:tblCellMar>
      </w:tblPr>
      <w:tblGrid>
        <w:gridCol w:w="638"/>
        <w:gridCol w:w="1148"/>
        <w:gridCol w:w="851"/>
        <w:gridCol w:w="960"/>
        <w:gridCol w:w="851"/>
        <w:gridCol w:w="850"/>
        <w:gridCol w:w="851"/>
        <w:gridCol w:w="851"/>
        <w:gridCol w:w="851"/>
        <w:gridCol w:w="761"/>
      </w:tblGrid>
      <w:tr w14:paraId="625329E6">
        <w:tblPrEx>
          <w:tblBorders>
            <w:top w:val="thinThickSmallGap" w:color="auto" w:sz="12" w:space="0"/>
            <w:left w:val="none" w:color="auto" w:sz="0" w:space="0"/>
            <w:bottom w:val="thickThinSmallGap"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88" w:hRule="atLeast"/>
          <w:tblHeader/>
          <w:jc w:val="center"/>
        </w:trPr>
        <w:tc>
          <w:tcPr>
            <w:tcW w:w="1786" w:type="dxa"/>
            <w:gridSpan w:val="2"/>
            <w:vMerge w:val="restart"/>
            <w:tcBorders>
              <w:top w:val="thinThickSmallGap" w:color="auto" w:sz="12" w:space="0"/>
              <w:bottom w:val="single" w:color="auto" w:sz="6" w:space="0"/>
            </w:tcBorders>
            <w:shd w:val="clear" w:color="auto" w:fill="DDDDDD"/>
            <w:noWrap w:val="0"/>
            <w:vAlign w:val="center"/>
          </w:tcPr>
          <w:p w14:paraId="683F2331">
            <w:pPr>
              <w:jc w:val="center"/>
              <w:rPr>
                <w:rFonts w:ascii="Times New Roman" w:hAnsi="Times New Roman" w:cs="Times New Roman"/>
                <w:sz w:val="21"/>
                <w:szCs w:val="21"/>
              </w:rPr>
            </w:pPr>
            <w:r>
              <w:rPr>
                <w:rFonts w:ascii="Times New Roman" w:hAnsi="Times New Roman" w:cs="Times New Roman"/>
                <w:sz w:val="21"/>
                <w:szCs w:val="21"/>
              </w:rPr>
              <w:t xml:space="preserve">       地类</w:t>
            </w:r>
          </w:p>
          <w:p w14:paraId="35A2F383">
            <w:pPr>
              <w:jc w:val="center"/>
              <w:rPr>
                <w:rFonts w:ascii="Times New Roman" w:hAnsi="Times New Roman" w:cs="Times New Roman"/>
                <w:sz w:val="21"/>
                <w:szCs w:val="21"/>
              </w:rPr>
            </w:pPr>
            <w:r>
              <w:rPr>
                <w:rFonts w:ascii="Times New Roman" w:hAnsi="Times New Roman" w:cs="Times New Roman"/>
                <w:sz w:val="21"/>
                <w:szCs w:val="21"/>
              </w:rPr>
              <w:t>指标</w:t>
            </w:r>
          </w:p>
          <w:p w14:paraId="7E333FAA">
            <w:pPr>
              <w:rPr>
                <w:rFonts w:ascii="Times New Roman" w:hAnsi="Times New Roman" w:cs="Times New Roman"/>
                <w:sz w:val="21"/>
                <w:szCs w:val="21"/>
              </w:rPr>
            </w:pPr>
            <w:r>
              <w:rPr>
                <w:rFonts w:ascii="Times New Roman" w:hAnsi="Times New Roman" w:cs="Times New Roman"/>
                <w:sz w:val="21"/>
                <w:szCs w:val="21"/>
              </w:rPr>
              <w:t>项目</w:t>
            </w:r>
          </w:p>
        </w:tc>
        <w:tc>
          <w:tcPr>
            <w:tcW w:w="3512" w:type="dxa"/>
            <w:gridSpan w:val="4"/>
            <w:tcBorders>
              <w:top w:val="thinThickSmallGap" w:color="auto" w:sz="12" w:space="0"/>
              <w:bottom w:val="single" w:color="auto" w:sz="6" w:space="0"/>
            </w:tcBorders>
            <w:shd w:val="clear" w:color="auto" w:fill="DDDDDD"/>
            <w:noWrap w:val="0"/>
            <w:vAlign w:val="center"/>
          </w:tcPr>
          <w:p w14:paraId="49961B8E">
            <w:pPr>
              <w:spacing w:line="240" w:lineRule="exact"/>
              <w:jc w:val="center"/>
              <w:rPr>
                <w:rFonts w:ascii="Times New Roman" w:hAnsi="Times New Roman" w:cs="Times New Roman"/>
                <w:sz w:val="21"/>
                <w:szCs w:val="21"/>
              </w:rPr>
            </w:pPr>
            <w:r>
              <w:rPr>
                <w:rFonts w:ascii="Times New Roman" w:hAnsi="Times New Roman" w:cs="Times New Roman"/>
                <w:sz w:val="21"/>
                <w:szCs w:val="21"/>
              </w:rPr>
              <w:t>风险筛选值</w:t>
            </w:r>
          </w:p>
        </w:tc>
        <w:tc>
          <w:tcPr>
            <w:tcW w:w="3314" w:type="dxa"/>
            <w:gridSpan w:val="4"/>
            <w:tcBorders>
              <w:top w:val="thinThickSmallGap" w:color="auto" w:sz="12" w:space="0"/>
              <w:bottom w:val="single" w:color="auto" w:sz="6" w:space="0"/>
            </w:tcBorders>
            <w:shd w:val="clear" w:color="auto" w:fill="DDDDDD"/>
            <w:noWrap w:val="0"/>
            <w:vAlign w:val="center"/>
          </w:tcPr>
          <w:p w14:paraId="1752DB39">
            <w:pPr>
              <w:spacing w:line="240" w:lineRule="exact"/>
              <w:jc w:val="center"/>
              <w:rPr>
                <w:rFonts w:ascii="Times New Roman" w:hAnsi="Times New Roman" w:cs="Times New Roman"/>
                <w:sz w:val="21"/>
                <w:szCs w:val="21"/>
              </w:rPr>
            </w:pPr>
            <w:r>
              <w:rPr>
                <w:rFonts w:ascii="Times New Roman" w:hAnsi="Times New Roman" w:cs="Times New Roman"/>
                <w:sz w:val="21"/>
                <w:szCs w:val="21"/>
              </w:rPr>
              <w:t>风险管制值</w:t>
            </w:r>
          </w:p>
        </w:tc>
      </w:tr>
      <w:tr w14:paraId="62F34644">
        <w:tblPrEx>
          <w:tblBorders>
            <w:top w:val="thinThickSmallGap" w:color="auto" w:sz="12" w:space="0"/>
            <w:left w:val="none" w:color="auto" w:sz="0" w:space="0"/>
            <w:bottom w:val="thickThinSmallGap"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428" w:hRule="atLeast"/>
          <w:tblHeader/>
          <w:jc w:val="center"/>
        </w:trPr>
        <w:tc>
          <w:tcPr>
            <w:tcW w:w="1786" w:type="dxa"/>
            <w:gridSpan w:val="2"/>
            <w:vMerge w:val="continue"/>
            <w:tcBorders>
              <w:top w:val="single" w:color="auto" w:sz="6" w:space="0"/>
              <w:bottom w:val="single" w:color="auto" w:sz="6" w:space="0"/>
            </w:tcBorders>
            <w:shd w:val="clear" w:color="auto" w:fill="DDDDDD"/>
            <w:noWrap w:val="0"/>
            <w:vAlign w:val="center"/>
          </w:tcPr>
          <w:p w14:paraId="1941F63A">
            <w:pPr>
              <w:jc w:val="center"/>
              <w:rPr>
                <w:rFonts w:ascii="Times New Roman" w:hAnsi="Times New Roman" w:cs="Times New Roman"/>
                <w:sz w:val="21"/>
                <w:szCs w:val="21"/>
              </w:rPr>
            </w:pPr>
          </w:p>
        </w:tc>
        <w:tc>
          <w:tcPr>
            <w:tcW w:w="851" w:type="dxa"/>
            <w:tcBorders>
              <w:top w:val="single" w:color="auto" w:sz="6" w:space="0"/>
              <w:bottom w:val="single" w:color="auto" w:sz="6" w:space="0"/>
            </w:tcBorders>
            <w:shd w:val="clear" w:color="auto" w:fill="DDDDDD"/>
            <w:noWrap w:val="0"/>
            <w:vAlign w:val="center"/>
          </w:tcPr>
          <w:p w14:paraId="4CFC265F">
            <w:pPr>
              <w:spacing w:line="240" w:lineRule="exact"/>
              <w:jc w:val="center"/>
              <w:rPr>
                <w:rFonts w:ascii="Times New Roman" w:hAnsi="Times New Roman" w:cs="Times New Roman"/>
                <w:sz w:val="21"/>
                <w:szCs w:val="21"/>
              </w:rPr>
            </w:pPr>
            <w:r>
              <w:rPr>
                <w:rFonts w:ascii="Times New Roman" w:hAnsi="Times New Roman" w:cs="Times New Roman"/>
                <w:sz w:val="21"/>
                <w:szCs w:val="21"/>
              </w:rPr>
              <w:t>pH≤5.5</w:t>
            </w:r>
          </w:p>
        </w:tc>
        <w:tc>
          <w:tcPr>
            <w:tcW w:w="960" w:type="dxa"/>
            <w:tcBorders>
              <w:top w:val="single" w:color="auto" w:sz="6" w:space="0"/>
              <w:bottom w:val="single" w:color="auto" w:sz="6" w:space="0"/>
            </w:tcBorders>
            <w:shd w:val="clear" w:color="auto" w:fill="DDDDDD"/>
            <w:noWrap w:val="0"/>
            <w:vAlign w:val="center"/>
          </w:tcPr>
          <w:p w14:paraId="482F0569">
            <w:pPr>
              <w:spacing w:line="240" w:lineRule="exact"/>
              <w:jc w:val="center"/>
              <w:rPr>
                <w:rFonts w:ascii="Times New Roman" w:hAnsi="Times New Roman" w:cs="Times New Roman"/>
                <w:sz w:val="21"/>
                <w:szCs w:val="21"/>
              </w:rPr>
            </w:pPr>
            <w:r>
              <w:rPr>
                <w:rFonts w:ascii="Times New Roman" w:hAnsi="Times New Roman" w:cs="Times New Roman"/>
                <w:sz w:val="21"/>
                <w:szCs w:val="21"/>
              </w:rPr>
              <w:t>5.5＜pH≤6.5</w:t>
            </w:r>
          </w:p>
        </w:tc>
        <w:tc>
          <w:tcPr>
            <w:tcW w:w="851" w:type="dxa"/>
            <w:tcBorders>
              <w:top w:val="single" w:color="auto" w:sz="6" w:space="0"/>
              <w:bottom w:val="single" w:color="auto" w:sz="6" w:space="0"/>
            </w:tcBorders>
            <w:shd w:val="clear" w:color="auto" w:fill="DDDDDD"/>
            <w:noWrap w:val="0"/>
            <w:vAlign w:val="center"/>
          </w:tcPr>
          <w:p w14:paraId="5774BA24">
            <w:pPr>
              <w:spacing w:line="240" w:lineRule="exact"/>
              <w:jc w:val="center"/>
              <w:rPr>
                <w:rFonts w:ascii="Times New Roman" w:hAnsi="Times New Roman" w:cs="Times New Roman"/>
                <w:sz w:val="21"/>
                <w:szCs w:val="21"/>
              </w:rPr>
            </w:pPr>
            <w:r>
              <w:rPr>
                <w:rFonts w:ascii="Times New Roman" w:hAnsi="Times New Roman" w:cs="Times New Roman"/>
                <w:sz w:val="21"/>
                <w:szCs w:val="21"/>
              </w:rPr>
              <w:t>6.5＜pH≤7.5</w:t>
            </w:r>
          </w:p>
        </w:tc>
        <w:tc>
          <w:tcPr>
            <w:tcW w:w="850" w:type="dxa"/>
            <w:tcBorders>
              <w:top w:val="single" w:color="auto" w:sz="6" w:space="0"/>
              <w:bottom w:val="single" w:color="auto" w:sz="6" w:space="0"/>
            </w:tcBorders>
            <w:shd w:val="clear" w:color="auto" w:fill="DDDDDD"/>
            <w:noWrap w:val="0"/>
            <w:vAlign w:val="center"/>
          </w:tcPr>
          <w:p w14:paraId="50295773">
            <w:pPr>
              <w:spacing w:line="240" w:lineRule="exact"/>
              <w:jc w:val="center"/>
              <w:rPr>
                <w:rFonts w:ascii="Times New Roman" w:hAnsi="Times New Roman" w:cs="Times New Roman"/>
                <w:sz w:val="21"/>
                <w:szCs w:val="21"/>
              </w:rPr>
            </w:pPr>
            <w:r>
              <w:rPr>
                <w:rFonts w:ascii="Times New Roman" w:hAnsi="Times New Roman" w:cs="Times New Roman"/>
                <w:sz w:val="21"/>
                <w:szCs w:val="21"/>
              </w:rPr>
              <w:t>pH＞7.5</w:t>
            </w:r>
          </w:p>
        </w:tc>
        <w:tc>
          <w:tcPr>
            <w:tcW w:w="851" w:type="dxa"/>
            <w:tcBorders>
              <w:top w:val="single" w:color="auto" w:sz="6" w:space="0"/>
              <w:bottom w:val="single" w:color="auto" w:sz="6" w:space="0"/>
            </w:tcBorders>
            <w:shd w:val="clear" w:color="auto" w:fill="DDDDDD"/>
            <w:noWrap w:val="0"/>
            <w:vAlign w:val="center"/>
          </w:tcPr>
          <w:p w14:paraId="300CE953">
            <w:pPr>
              <w:spacing w:line="240" w:lineRule="exact"/>
              <w:jc w:val="center"/>
              <w:rPr>
                <w:rFonts w:ascii="Times New Roman" w:hAnsi="Times New Roman" w:cs="Times New Roman"/>
                <w:sz w:val="21"/>
                <w:szCs w:val="21"/>
              </w:rPr>
            </w:pPr>
            <w:r>
              <w:rPr>
                <w:rFonts w:ascii="Times New Roman" w:hAnsi="Times New Roman" w:cs="Times New Roman"/>
                <w:sz w:val="21"/>
                <w:szCs w:val="21"/>
              </w:rPr>
              <w:t>pH≤5.5</w:t>
            </w:r>
          </w:p>
        </w:tc>
        <w:tc>
          <w:tcPr>
            <w:tcW w:w="851" w:type="dxa"/>
            <w:tcBorders>
              <w:top w:val="single" w:color="auto" w:sz="6" w:space="0"/>
              <w:bottom w:val="single" w:color="auto" w:sz="6" w:space="0"/>
            </w:tcBorders>
            <w:shd w:val="clear" w:color="auto" w:fill="DDDDDD"/>
            <w:noWrap w:val="0"/>
            <w:vAlign w:val="center"/>
          </w:tcPr>
          <w:p w14:paraId="3F7DCB89">
            <w:pPr>
              <w:spacing w:line="240" w:lineRule="exact"/>
              <w:jc w:val="center"/>
              <w:rPr>
                <w:rFonts w:ascii="Times New Roman" w:hAnsi="Times New Roman" w:cs="Times New Roman"/>
                <w:sz w:val="21"/>
                <w:szCs w:val="21"/>
              </w:rPr>
            </w:pPr>
            <w:r>
              <w:rPr>
                <w:rFonts w:ascii="Times New Roman" w:hAnsi="Times New Roman" w:cs="Times New Roman"/>
                <w:sz w:val="21"/>
                <w:szCs w:val="21"/>
              </w:rPr>
              <w:t>5.5＜pH≤6.5</w:t>
            </w:r>
          </w:p>
        </w:tc>
        <w:tc>
          <w:tcPr>
            <w:tcW w:w="851" w:type="dxa"/>
            <w:tcBorders>
              <w:top w:val="single" w:color="auto" w:sz="6" w:space="0"/>
              <w:bottom w:val="single" w:color="auto" w:sz="6" w:space="0"/>
            </w:tcBorders>
            <w:shd w:val="clear" w:color="auto" w:fill="DDDDDD"/>
            <w:noWrap w:val="0"/>
            <w:vAlign w:val="center"/>
          </w:tcPr>
          <w:p w14:paraId="72CA3950">
            <w:pPr>
              <w:spacing w:line="240" w:lineRule="exact"/>
              <w:jc w:val="center"/>
              <w:rPr>
                <w:rFonts w:ascii="Times New Roman" w:hAnsi="Times New Roman" w:cs="Times New Roman"/>
                <w:sz w:val="21"/>
                <w:szCs w:val="21"/>
              </w:rPr>
            </w:pPr>
            <w:r>
              <w:rPr>
                <w:rFonts w:ascii="Times New Roman" w:hAnsi="Times New Roman" w:cs="Times New Roman"/>
                <w:sz w:val="21"/>
                <w:szCs w:val="21"/>
              </w:rPr>
              <w:t>6.5＜pH≤7.5</w:t>
            </w:r>
          </w:p>
        </w:tc>
        <w:tc>
          <w:tcPr>
            <w:tcW w:w="761" w:type="dxa"/>
            <w:tcBorders>
              <w:top w:val="single" w:color="auto" w:sz="6" w:space="0"/>
              <w:bottom w:val="single" w:color="auto" w:sz="6" w:space="0"/>
            </w:tcBorders>
            <w:shd w:val="clear" w:color="auto" w:fill="DDDDDD"/>
            <w:noWrap w:val="0"/>
            <w:vAlign w:val="center"/>
          </w:tcPr>
          <w:p w14:paraId="2F5E7E85">
            <w:pPr>
              <w:spacing w:line="240" w:lineRule="exact"/>
              <w:jc w:val="center"/>
              <w:rPr>
                <w:rFonts w:ascii="Times New Roman" w:hAnsi="Times New Roman" w:cs="Times New Roman"/>
                <w:sz w:val="21"/>
                <w:szCs w:val="21"/>
              </w:rPr>
            </w:pPr>
            <w:r>
              <w:rPr>
                <w:rFonts w:ascii="Times New Roman" w:hAnsi="Times New Roman" w:cs="Times New Roman"/>
                <w:sz w:val="21"/>
                <w:szCs w:val="21"/>
              </w:rPr>
              <w:t>pH＞7.5</w:t>
            </w:r>
          </w:p>
        </w:tc>
      </w:tr>
      <w:tr w14:paraId="7D1B220A">
        <w:tblPrEx>
          <w:tblBorders>
            <w:top w:val="thinThickSmallGap" w:color="auto" w:sz="12" w:space="0"/>
            <w:left w:val="none" w:color="auto" w:sz="0" w:space="0"/>
            <w:bottom w:val="thickThinSmallGap"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88" w:hRule="atLeast"/>
          <w:jc w:val="center"/>
        </w:trPr>
        <w:tc>
          <w:tcPr>
            <w:tcW w:w="638" w:type="dxa"/>
            <w:tcBorders>
              <w:top w:val="single" w:color="auto" w:sz="6" w:space="0"/>
            </w:tcBorders>
            <w:noWrap w:val="0"/>
            <w:vAlign w:val="center"/>
          </w:tcPr>
          <w:p w14:paraId="39AE50DA">
            <w:pPr>
              <w:jc w:val="center"/>
              <w:rPr>
                <w:rFonts w:ascii="Times New Roman" w:hAnsi="Times New Roman" w:cs="Times New Roman"/>
                <w:sz w:val="21"/>
                <w:szCs w:val="21"/>
              </w:rPr>
            </w:pPr>
            <w:r>
              <w:rPr>
                <w:rFonts w:ascii="Times New Roman" w:hAnsi="Times New Roman" w:cs="Times New Roman"/>
                <w:sz w:val="21"/>
                <w:szCs w:val="21"/>
              </w:rPr>
              <w:t>1</w:t>
            </w:r>
          </w:p>
        </w:tc>
        <w:tc>
          <w:tcPr>
            <w:tcW w:w="1148" w:type="dxa"/>
            <w:tcBorders>
              <w:top w:val="single" w:color="auto" w:sz="6" w:space="0"/>
            </w:tcBorders>
            <w:noWrap w:val="0"/>
            <w:vAlign w:val="center"/>
          </w:tcPr>
          <w:p w14:paraId="35306CB0">
            <w:pPr>
              <w:jc w:val="center"/>
              <w:rPr>
                <w:rFonts w:ascii="Times New Roman" w:hAnsi="Times New Roman" w:cs="Times New Roman"/>
                <w:sz w:val="21"/>
                <w:szCs w:val="21"/>
              </w:rPr>
            </w:pPr>
            <w:r>
              <w:rPr>
                <w:rFonts w:ascii="Times New Roman" w:hAnsi="Times New Roman" w:cs="Times New Roman"/>
                <w:sz w:val="21"/>
                <w:szCs w:val="21"/>
              </w:rPr>
              <w:t>镉</w:t>
            </w:r>
          </w:p>
        </w:tc>
        <w:tc>
          <w:tcPr>
            <w:tcW w:w="851" w:type="dxa"/>
            <w:tcBorders>
              <w:top w:val="single" w:color="auto" w:sz="6" w:space="0"/>
            </w:tcBorders>
            <w:noWrap w:val="0"/>
            <w:vAlign w:val="center"/>
          </w:tcPr>
          <w:p w14:paraId="2922C681">
            <w:pPr>
              <w:spacing w:line="240" w:lineRule="exact"/>
              <w:jc w:val="center"/>
              <w:rPr>
                <w:rFonts w:ascii="Times New Roman" w:hAnsi="Times New Roman" w:cs="Times New Roman"/>
                <w:sz w:val="21"/>
                <w:szCs w:val="21"/>
              </w:rPr>
            </w:pPr>
            <w:r>
              <w:rPr>
                <w:rFonts w:ascii="Times New Roman" w:hAnsi="Times New Roman" w:cs="Times New Roman"/>
                <w:sz w:val="21"/>
                <w:szCs w:val="21"/>
              </w:rPr>
              <w:t>0.3</w:t>
            </w:r>
          </w:p>
        </w:tc>
        <w:tc>
          <w:tcPr>
            <w:tcW w:w="960" w:type="dxa"/>
            <w:tcBorders>
              <w:top w:val="single" w:color="auto" w:sz="6" w:space="0"/>
            </w:tcBorders>
            <w:noWrap w:val="0"/>
            <w:vAlign w:val="center"/>
          </w:tcPr>
          <w:p w14:paraId="625A3178">
            <w:pPr>
              <w:spacing w:line="240" w:lineRule="exact"/>
              <w:jc w:val="center"/>
              <w:rPr>
                <w:rFonts w:ascii="Times New Roman" w:hAnsi="Times New Roman" w:cs="Times New Roman"/>
                <w:sz w:val="21"/>
                <w:szCs w:val="21"/>
              </w:rPr>
            </w:pPr>
            <w:r>
              <w:rPr>
                <w:rFonts w:ascii="Times New Roman" w:hAnsi="Times New Roman" w:cs="Times New Roman"/>
                <w:sz w:val="21"/>
                <w:szCs w:val="21"/>
              </w:rPr>
              <w:t>0.3</w:t>
            </w:r>
          </w:p>
        </w:tc>
        <w:tc>
          <w:tcPr>
            <w:tcW w:w="851" w:type="dxa"/>
            <w:tcBorders>
              <w:top w:val="single" w:color="auto" w:sz="6" w:space="0"/>
            </w:tcBorders>
            <w:noWrap w:val="0"/>
            <w:vAlign w:val="center"/>
          </w:tcPr>
          <w:p w14:paraId="191681C1">
            <w:pPr>
              <w:spacing w:line="240" w:lineRule="exact"/>
              <w:jc w:val="center"/>
              <w:rPr>
                <w:rFonts w:ascii="Times New Roman" w:hAnsi="Times New Roman" w:cs="Times New Roman"/>
                <w:sz w:val="21"/>
                <w:szCs w:val="21"/>
              </w:rPr>
            </w:pPr>
            <w:r>
              <w:rPr>
                <w:rFonts w:ascii="Times New Roman" w:hAnsi="Times New Roman" w:cs="Times New Roman"/>
                <w:sz w:val="21"/>
                <w:szCs w:val="21"/>
              </w:rPr>
              <w:t>0.3</w:t>
            </w:r>
          </w:p>
        </w:tc>
        <w:tc>
          <w:tcPr>
            <w:tcW w:w="850" w:type="dxa"/>
            <w:tcBorders>
              <w:top w:val="single" w:color="auto" w:sz="6" w:space="0"/>
            </w:tcBorders>
            <w:noWrap w:val="0"/>
            <w:vAlign w:val="center"/>
          </w:tcPr>
          <w:p w14:paraId="75254244">
            <w:pPr>
              <w:spacing w:line="240" w:lineRule="exact"/>
              <w:jc w:val="center"/>
              <w:rPr>
                <w:rFonts w:ascii="Times New Roman" w:hAnsi="Times New Roman" w:cs="Times New Roman"/>
                <w:sz w:val="21"/>
                <w:szCs w:val="21"/>
              </w:rPr>
            </w:pPr>
            <w:r>
              <w:rPr>
                <w:rFonts w:ascii="Times New Roman" w:hAnsi="Times New Roman" w:cs="Times New Roman"/>
                <w:sz w:val="21"/>
                <w:szCs w:val="21"/>
              </w:rPr>
              <w:t>0.6</w:t>
            </w:r>
          </w:p>
        </w:tc>
        <w:tc>
          <w:tcPr>
            <w:tcW w:w="851" w:type="dxa"/>
            <w:tcBorders>
              <w:top w:val="single" w:color="auto" w:sz="6" w:space="0"/>
            </w:tcBorders>
            <w:noWrap w:val="0"/>
            <w:vAlign w:val="center"/>
          </w:tcPr>
          <w:p w14:paraId="498001D9">
            <w:pPr>
              <w:spacing w:line="240" w:lineRule="exact"/>
              <w:jc w:val="center"/>
              <w:rPr>
                <w:rFonts w:ascii="Times New Roman" w:hAnsi="Times New Roman" w:cs="Times New Roman"/>
                <w:sz w:val="21"/>
                <w:szCs w:val="21"/>
              </w:rPr>
            </w:pPr>
            <w:r>
              <w:rPr>
                <w:rFonts w:ascii="Times New Roman" w:hAnsi="Times New Roman" w:cs="Times New Roman"/>
                <w:sz w:val="21"/>
                <w:szCs w:val="21"/>
              </w:rPr>
              <w:t>1.5</w:t>
            </w:r>
          </w:p>
        </w:tc>
        <w:tc>
          <w:tcPr>
            <w:tcW w:w="851" w:type="dxa"/>
            <w:tcBorders>
              <w:top w:val="single" w:color="auto" w:sz="6" w:space="0"/>
            </w:tcBorders>
            <w:noWrap w:val="0"/>
            <w:vAlign w:val="center"/>
          </w:tcPr>
          <w:p w14:paraId="0F2BF220">
            <w:pPr>
              <w:spacing w:line="240" w:lineRule="exact"/>
              <w:jc w:val="center"/>
              <w:rPr>
                <w:rFonts w:ascii="Times New Roman" w:hAnsi="Times New Roman" w:cs="Times New Roman"/>
                <w:sz w:val="21"/>
                <w:szCs w:val="21"/>
              </w:rPr>
            </w:pPr>
            <w:r>
              <w:rPr>
                <w:rFonts w:ascii="Times New Roman" w:hAnsi="Times New Roman" w:cs="Times New Roman"/>
                <w:sz w:val="21"/>
                <w:szCs w:val="21"/>
              </w:rPr>
              <w:t>2.0</w:t>
            </w:r>
          </w:p>
        </w:tc>
        <w:tc>
          <w:tcPr>
            <w:tcW w:w="851" w:type="dxa"/>
            <w:tcBorders>
              <w:top w:val="single" w:color="auto" w:sz="6" w:space="0"/>
            </w:tcBorders>
            <w:noWrap w:val="0"/>
            <w:vAlign w:val="center"/>
          </w:tcPr>
          <w:p w14:paraId="3835069D">
            <w:pPr>
              <w:spacing w:line="240" w:lineRule="exact"/>
              <w:jc w:val="center"/>
              <w:rPr>
                <w:rFonts w:ascii="Times New Roman" w:hAnsi="Times New Roman" w:cs="Times New Roman"/>
                <w:sz w:val="21"/>
                <w:szCs w:val="21"/>
              </w:rPr>
            </w:pPr>
            <w:r>
              <w:rPr>
                <w:rFonts w:ascii="Times New Roman" w:hAnsi="Times New Roman" w:cs="Times New Roman"/>
                <w:sz w:val="21"/>
                <w:szCs w:val="21"/>
              </w:rPr>
              <w:t>3.0</w:t>
            </w:r>
          </w:p>
        </w:tc>
        <w:tc>
          <w:tcPr>
            <w:tcW w:w="761" w:type="dxa"/>
            <w:tcBorders>
              <w:top w:val="single" w:color="auto" w:sz="6" w:space="0"/>
            </w:tcBorders>
            <w:noWrap w:val="0"/>
            <w:vAlign w:val="center"/>
          </w:tcPr>
          <w:p w14:paraId="2928F6CA">
            <w:pPr>
              <w:spacing w:line="240" w:lineRule="exact"/>
              <w:jc w:val="center"/>
              <w:rPr>
                <w:rFonts w:ascii="Times New Roman" w:hAnsi="Times New Roman" w:cs="Times New Roman"/>
                <w:sz w:val="21"/>
                <w:szCs w:val="21"/>
              </w:rPr>
            </w:pPr>
            <w:r>
              <w:rPr>
                <w:rFonts w:ascii="Times New Roman" w:hAnsi="Times New Roman" w:cs="Times New Roman"/>
                <w:sz w:val="21"/>
                <w:szCs w:val="21"/>
              </w:rPr>
              <w:t>4.0</w:t>
            </w:r>
          </w:p>
        </w:tc>
      </w:tr>
      <w:tr w14:paraId="2619BF19">
        <w:tblPrEx>
          <w:tblBorders>
            <w:top w:val="thinThickSmallGap" w:color="auto" w:sz="12" w:space="0"/>
            <w:left w:val="none" w:color="auto" w:sz="0" w:space="0"/>
            <w:bottom w:val="thickThinSmallGap"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88" w:hRule="atLeast"/>
          <w:jc w:val="center"/>
        </w:trPr>
        <w:tc>
          <w:tcPr>
            <w:tcW w:w="638" w:type="dxa"/>
            <w:tcBorders>
              <w:top w:val="single" w:color="auto" w:sz="6" w:space="0"/>
            </w:tcBorders>
            <w:noWrap w:val="0"/>
            <w:vAlign w:val="center"/>
          </w:tcPr>
          <w:p w14:paraId="110224AE">
            <w:pPr>
              <w:jc w:val="center"/>
              <w:rPr>
                <w:rFonts w:ascii="Times New Roman" w:hAnsi="Times New Roman" w:cs="Times New Roman"/>
                <w:sz w:val="21"/>
                <w:szCs w:val="21"/>
              </w:rPr>
            </w:pPr>
            <w:r>
              <w:rPr>
                <w:rFonts w:ascii="Times New Roman" w:hAnsi="Times New Roman" w:cs="Times New Roman"/>
                <w:sz w:val="21"/>
                <w:szCs w:val="21"/>
              </w:rPr>
              <w:t>2</w:t>
            </w:r>
          </w:p>
        </w:tc>
        <w:tc>
          <w:tcPr>
            <w:tcW w:w="1148" w:type="dxa"/>
            <w:tcBorders>
              <w:top w:val="single" w:color="auto" w:sz="6" w:space="0"/>
            </w:tcBorders>
            <w:noWrap w:val="0"/>
            <w:vAlign w:val="center"/>
          </w:tcPr>
          <w:p w14:paraId="2E224E5C">
            <w:pPr>
              <w:jc w:val="center"/>
              <w:rPr>
                <w:rFonts w:ascii="Times New Roman" w:hAnsi="Times New Roman" w:cs="Times New Roman"/>
                <w:sz w:val="21"/>
                <w:szCs w:val="21"/>
              </w:rPr>
            </w:pPr>
            <w:r>
              <w:rPr>
                <w:rFonts w:ascii="Times New Roman" w:hAnsi="Times New Roman" w:cs="Times New Roman"/>
                <w:sz w:val="21"/>
                <w:szCs w:val="21"/>
              </w:rPr>
              <w:t>汞</w:t>
            </w:r>
          </w:p>
        </w:tc>
        <w:tc>
          <w:tcPr>
            <w:tcW w:w="851" w:type="dxa"/>
            <w:tcBorders>
              <w:top w:val="single" w:color="auto" w:sz="6" w:space="0"/>
            </w:tcBorders>
            <w:noWrap w:val="0"/>
            <w:vAlign w:val="center"/>
          </w:tcPr>
          <w:p w14:paraId="680CA936">
            <w:pPr>
              <w:spacing w:line="240" w:lineRule="exact"/>
              <w:jc w:val="center"/>
              <w:rPr>
                <w:rFonts w:ascii="Times New Roman" w:hAnsi="Times New Roman" w:cs="Times New Roman"/>
                <w:sz w:val="21"/>
                <w:szCs w:val="21"/>
              </w:rPr>
            </w:pPr>
            <w:r>
              <w:rPr>
                <w:rFonts w:ascii="Times New Roman" w:hAnsi="Times New Roman" w:cs="Times New Roman"/>
                <w:sz w:val="21"/>
                <w:szCs w:val="21"/>
              </w:rPr>
              <w:t>1.3</w:t>
            </w:r>
          </w:p>
        </w:tc>
        <w:tc>
          <w:tcPr>
            <w:tcW w:w="960" w:type="dxa"/>
            <w:tcBorders>
              <w:top w:val="single" w:color="auto" w:sz="6" w:space="0"/>
            </w:tcBorders>
            <w:noWrap w:val="0"/>
            <w:vAlign w:val="center"/>
          </w:tcPr>
          <w:p w14:paraId="12E2683F">
            <w:pPr>
              <w:spacing w:line="240" w:lineRule="exact"/>
              <w:jc w:val="center"/>
              <w:rPr>
                <w:rFonts w:ascii="Times New Roman" w:hAnsi="Times New Roman" w:cs="Times New Roman"/>
                <w:sz w:val="21"/>
                <w:szCs w:val="21"/>
              </w:rPr>
            </w:pPr>
            <w:r>
              <w:rPr>
                <w:rFonts w:ascii="Times New Roman" w:hAnsi="Times New Roman" w:cs="Times New Roman"/>
                <w:sz w:val="21"/>
                <w:szCs w:val="21"/>
              </w:rPr>
              <w:t>1.8</w:t>
            </w:r>
          </w:p>
        </w:tc>
        <w:tc>
          <w:tcPr>
            <w:tcW w:w="851" w:type="dxa"/>
            <w:tcBorders>
              <w:top w:val="single" w:color="auto" w:sz="6" w:space="0"/>
            </w:tcBorders>
            <w:noWrap w:val="0"/>
            <w:vAlign w:val="center"/>
          </w:tcPr>
          <w:p w14:paraId="4252081A">
            <w:pPr>
              <w:spacing w:line="240" w:lineRule="exact"/>
              <w:jc w:val="center"/>
              <w:rPr>
                <w:rFonts w:ascii="Times New Roman" w:hAnsi="Times New Roman" w:cs="Times New Roman"/>
                <w:sz w:val="21"/>
                <w:szCs w:val="21"/>
              </w:rPr>
            </w:pPr>
            <w:r>
              <w:rPr>
                <w:rFonts w:ascii="Times New Roman" w:hAnsi="Times New Roman" w:cs="Times New Roman"/>
                <w:sz w:val="21"/>
                <w:szCs w:val="21"/>
              </w:rPr>
              <w:t>2.4</w:t>
            </w:r>
          </w:p>
        </w:tc>
        <w:tc>
          <w:tcPr>
            <w:tcW w:w="850" w:type="dxa"/>
            <w:tcBorders>
              <w:top w:val="single" w:color="auto" w:sz="6" w:space="0"/>
            </w:tcBorders>
            <w:noWrap w:val="0"/>
            <w:vAlign w:val="center"/>
          </w:tcPr>
          <w:p w14:paraId="6FEFD3E6">
            <w:pPr>
              <w:spacing w:line="240" w:lineRule="exact"/>
              <w:jc w:val="center"/>
              <w:rPr>
                <w:rFonts w:ascii="Times New Roman" w:hAnsi="Times New Roman" w:cs="Times New Roman"/>
                <w:sz w:val="21"/>
                <w:szCs w:val="21"/>
              </w:rPr>
            </w:pPr>
            <w:r>
              <w:rPr>
                <w:rFonts w:ascii="Times New Roman" w:hAnsi="Times New Roman" w:cs="Times New Roman"/>
                <w:sz w:val="21"/>
                <w:szCs w:val="21"/>
              </w:rPr>
              <w:t>3.4</w:t>
            </w:r>
          </w:p>
        </w:tc>
        <w:tc>
          <w:tcPr>
            <w:tcW w:w="851" w:type="dxa"/>
            <w:tcBorders>
              <w:top w:val="single" w:color="auto" w:sz="6" w:space="0"/>
            </w:tcBorders>
            <w:noWrap w:val="0"/>
            <w:vAlign w:val="center"/>
          </w:tcPr>
          <w:p w14:paraId="0580C983">
            <w:pPr>
              <w:spacing w:line="240" w:lineRule="exact"/>
              <w:jc w:val="center"/>
              <w:rPr>
                <w:rFonts w:ascii="Times New Roman" w:hAnsi="Times New Roman" w:cs="Times New Roman"/>
                <w:sz w:val="21"/>
                <w:szCs w:val="21"/>
              </w:rPr>
            </w:pPr>
            <w:r>
              <w:rPr>
                <w:rFonts w:ascii="Times New Roman" w:hAnsi="Times New Roman" w:cs="Times New Roman"/>
                <w:sz w:val="21"/>
                <w:szCs w:val="21"/>
              </w:rPr>
              <w:t>2.0</w:t>
            </w:r>
          </w:p>
        </w:tc>
        <w:tc>
          <w:tcPr>
            <w:tcW w:w="851" w:type="dxa"/>
            <w:tcBorders>
              <w:top w:val="single" w:color="auto" w:sz="6" w:space="0"/>
            </w:tcBorders>
            <w:noWrap w:val="0"/>
            <w:vAlign w:val="center"/>
          </w:tcPr>
          <w:p w14:paraId="08CC9DA5">
            <w:pPr>
              <w:spacing w:line="240" w:lineRule="exact"/>
              <w:jc w:val="center"/>
              <w:rPr>
                <w:rFonts w:ascii="Times New Roman" w:hAnsi="Times New Roman" w:cs="Times New Roman"/>
                <w:sz w:val="21"/>
                <w:szCs w:val="21"/>
              </w:rPr>
            </w:pPr>
            <w:r>
              <w:rPr>
                <w:rFonts w:ascii="Times New Roman" w:hAnsi="Times New Roman" w:cs="Times New Roman"/>
                <w:sz w:val="21"/>
                <w:szCs w:val="21"/>
              </w:rPr>
              <w:t>2.5</w:t>
            </w:r>
          </w:p>
        </w:tc>
        <w:tc>
          <w:tcPr>
            <w:tcW w:w="851" w:type="dxa"/>
            <w:tcBorders>
              <w:top w:val="single" w:color="auto" w:sz="6" w:space="0"/>
            </w:tcBorders>
            <w:noWrap w:val="0"/>
            <w:vAlign w:val="center"/>
          </w:tcPr>
          <w:p w14:paraId="48C30DB9">
            <w:pPr>
              <w:spacing w:line="240" w:lineRule="exact"/>
              <w:jc w:val="center"/>
              <w:rPr>
                <w:rFonts w:ascii="Times New Roman" w:hAnsi="Times New Roman" w:cs="Times New Roman"/>
                <w:sz w:val="21"/>
                <w:szCs w:val="21"/>
              </w:rPr>
            </w:pPr>
            <w:r>
              <w:rPr>
                <w:rFonts w:ascii="Times New Roman" w:hAnsi="Times New Roman" w:cs="Times New Roman"/>
                <w:sz w:val="21"/>
                <w:szCs w:val="21"/>
              </w:rPr>
              <w:t>4.0</w:t>
            </w:r>
          </w:p>
        </w:tc>
        <w:tc>
          <w:tcPr>
            <w:tcW w:w="761" w:type="dxa"/>
            <w:tcBorders>
              <w:top w:val="single" w:color="auto" w:sz="6" w:space="0"/>
            </w:tcBorders>
            <w:noWrap w:val="0"/>
            <w:vAlign w:val="center"/>
          </w:tcPr>
          <w:p w14:paraId="109FE997">
            <w:pPr>
              <w:spacing w:line="240" w:lineRule="exact"/>
              <w:jc w:val="center"/>
              <w:rPr>
                <w:rFonts w:ascii="Times New Roman" w:hAnsi="Times New Roman" w:cs="Times New Roman"/>
                <w:sz w:val="21"/>
                <w:szCs w:val="21"/>
              </w:rPr>
            </w:pPr>
            <w:r>
              <w:rPr>
                <w:rFonts w:ascii="Times New Roman" w:hAnsi="Times New Roman" w:cs="Times New Roman"/>
                <w:sz w:val="21"/>
                <w:szCs w:val="21"/>
              </w:rPr>
              <w:t>6.0</w:t>
            </w:r>
          </w:p>
        </w:tc>
      </w:tr>
      <w:tr w14:paraId="473F1903">
        <w:tblPrEx>
          <w:tblBorders>
            <w:top w:val="thinThickSmallGap" w:color="auto" w:sz="12" w:space="0"/>
            <w:left w:val="none" w:color="auto" w:sz="0" w:space="0"/>
            <w:bottom w:val="thickThinSmallGap"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88" w:hRule="atLeast"/>
          <w:jc w:val="center"/>
        </w:trPr>
        <w:tc>
          <w:tcPr>
            <w:tcW w:w="638" w:type="dxa"/>
            <w:tcBorders>
              <w:top w:val="single" w:color="auto" w:sz="6" w:space="0"/>
            </w:tcBorders>
            <w:noWrap w:val="0"/>
            <w:vAlign w:val="center"/>
          </w:tcPr>
          <w:p w14:paraId="080589FD">
            <w:pPr>
              <w:jc w:val="center"/>
              <w:rPr>
                <w:rFonts w:ascii="Times New Roman" w:hAnsi="Times New Roman" w:cs="Times New Roman"/>
                <w:sz w:val="21"/>
                <w:szCs w:val="21"/>
              </w:rPr>
            </w:pPr>
            <w:r>
              <w:rPr>
                <w:rFonts w:ascii="Times New Roman" w:hAnsi="Times New Roman" w:cs="Times New Roman"/>
                <w:sz w:val="21"/>
                <w:szCs w:val="21"/>
              </w:rPr>
              <w:t>3</w:t>
            </w:r>
          </w:p>
        </w:tc>
        <w:tc>
          <w:tcPr>
            <w:tcW w:w="1148" w:type="dxa"/>
            <w:tcBorders>
              <w:top w:val="single" w:color="auto" w:sz="6" w:space="0"/>
            </w:tcBorders>
            <w:noWrap w:val="0"/>
            <w:vAlign w:val="center"/>
          </w:tcPr>
          <w:p w14:paraId="6C326280">
            <w:pPr>
              <w:jc w:val="center"/>
              <w:rPr>
                <w:rFonts w:ascii="Times New Roman" w:hAnsi="Times New Roman" w:cs="Times New Roman"/>
                <w:sz w:val="21"/>
                <w:szCs w:val="21"/>
              </w:rPr>
            </w:pPr>
            <w:r>
              <w:rPr>
                <w:rFonts w:ascii="Times New Roman" w:hAnsi="Times New Roman" w:cs="Times New Roman"/>
                <w:sz w:val="21"/>
                <w:szCs w:val="21"/>
              </w:rPr>
              <w:t>砷</w:t>
            </w:r>
          </w:p>
        </w:tc>
        <w:tc>
          <w:tcPr>
            <w:tcW w:w="851" w:type="dxa"/>
            <w:tcBorders>
              <w:top w:val="single" w:color="auto" w:sz="6" w:space="0"/>
            </w:tcBorders>
            <w:noWrap w:val="0"/>
            <w:vAlign w:val="center"/>
          </w:tcPr>
          <w:p w14:paraId="72228D41">
            <w:pPr>
              <w:spacing w:line="240" w:lineRule="exact"/>
              <w:jc w:val="center"/>
              <w:rPr>
                <w:rFonts w:ascii="Times New Roman" w:hAnsi="Times New Roman" w:cs="Times New Roman"/>
                <w:sz w:val="21"/>
                <w:szCs w:val="21"/>
              </w:rPr>
            </w:pPr>
            <w:r>
              <w:rPr>
                <w:rFonts w:ascii="Times New Roman" w:hAnsi="Times New Roman" w:cs="Times New Roman"/>
                <w:sz w:val="21"/>
                <w:szCs w:val="21"/>
              </w:rPr>
              <w:t>40</w:t>
            </w:r>
          </w:p>
        </w:tc>
        <w:tc>
          <w:tcPr>
            <w:tcW w:w="960" w:type="dxa"/>
            <w:tcBorders>
              <w:top w:val="single" w:color="auto" w:sz="6" w:space="0"/>
            </w:tcBorders>
            <w:noWrap w:val="0"/>
            <w:vAlign w:val="center"/>
          </w:tcPr>
          <w:p w14:paraId="5F32DDF5">
            <w:pPr>
              <w:spacing w:line="240" w:lineRule="exact"/>
              <w:jc w:val="center"/>
              <w:rPr>
                <w:rFonts w:ascii="Times New Roman" w:hAnsi="Times New Roman" w:cs="Times New Roman"/>
                <w:sz w:val="21"/>
                <w:szCs w:val="21"/>
              </w:rPr>
            </w:pPr>
            <w:r>
              <w:rPr>
                <w:rFonts w:ascii="Times New Roman" w:hAnsi="Times New Roman" w:cs="Times New Roman"/>
                <w:sz w:val="21"/>
                <w:szCs w:val="21"/>
              </w:rPr>
              <w:t>40</w:t>
            </w:r>
          </w:p>
        </w:tc>
        <w:tc>
          <w:tcPr>
            <w:tcW w:w="851" w:type="dxa"/>
            <w:tcBorders>
              <w:top w:val="single" w:color="auto" w:sz="6" w:space="0"/>
            </w:tcBorders>
            <w:noWrap w:val="0"/>
            <w:vAlign w:val="center"/>
          </w:tcPr>
          <w:p w14:paraId="79748D52">
            <w:pPr>
              <w:spacing w:line="240" w:lineRule="exact"/>
              <w:jc w:val="center"/>
              <w:rPr>
                <w:rFonts w:ascii="Times New Roman" w:hAnsi="Times New Roman" w:cs="Times New Roman"/>
                <w:sz w:val="21"/>
                <w:szCs w:val="21"/>
              </w:rPr>
            </w:pPr>
            <w:r>
              <w:rPr>
                <w:rFonts w:ascii="Times New Roman" w:hAnsi="Times New Roman" w:cs="Times New Roman"/>
                <w:sz w:val="21"/>
                <w:szCs w:val="21"/>
              </w:rPr>
              <w:t>30</w:t>
            </w:r>
          </w:p>
        </w:tc>
        <w:tc>
          <w:tcPr>
            <w:tcW w:w="850" w:type="dxa"/>
            <w:tcBorders>
              <w:top w:val="single" w:color="auto" w:sz="6" w:space="0"/>
            </w:tcBorders>
            <w:noWrap w:val="0"/>
            <w:vAlign w:val="center"/>
          </w:tcPr>
          <w:p w14:paraId="772E1D18">
            <w:pPr>
              <w:spacing w:line="240" w:lineRule="exact"/>
              <w:jc w:val="center"/>
              <w:rPr>
                <w:rFonts w:ascii="Times New Roman" w:hAnsi="Times New Roman" w:cs="Times New Roman"/>
                <w:sz w:val="21"/>
                <w:szCs w:val="21"/>
              </w:rPr>
            </w:pPr>
            <w:r>
              <w:rPr>
                <w:rFonts w:ascii="Times New Roman" w:hAnsi="Times New Roman" w:cs="Times New Roman"/>
                <w:sz w:val="21"/>
                <w:szCs w:val="21"/>
              </w:rPr>
              <w:t>25</w:t>
            </w:r>
          </w:p>
        </w:tc>
        <w:tc>
          <w:tcPr>
            <w:tcW w:w="851" w:type="dxa"/>
            <w:tcBorders>
              <w:top w:val="single" w:color="auto" w:sz="6" w:space="0"/>
            </w:tcBorders>
            <w:noWrap w:val="0"/>
            <w:vAlign w:val="center"/>
          </w:tcPr>
          <w:p w14:paraId="4CEBCD4A">
            <w:pPr>
              <w:spacing w:line="240" w:lineRule="exact"/>
              <w:jc w:val="center"/>
              <w:rPr>
                <w:rFonts w:ascii="Times New Roman" w:hAnsi="Times New Roman" w:cs="Times New Roman"/>
                <w:sz w:val="21"/>
                <w:szCs w:val="21"/>
              </w:rPr>
            </w:pPr>
            <w:r>
              <w:rPr>
                <w:rFonts w:ascii="Times New Roman" w:hAnsi="Times New Roman" w:cs="Times New Roman"/>
                <w:sz w:val="21"/>
                <w:szCs w:val="21"/>
              </w:rPr>
              <w:t>200</w:t>
            </w:r>
          </w:p>
        </w:tc>
        <w:tc>
          <w:tcPr>
            <w:tcW w:w="851" w:type="dxa"/>
            <w:tcBorders>
              <w:top w:val="single" w:color="auto" w:sz="6" w:space="0"/>
            </w:tcBorders>
            <w:noWrap w:val="0"/>
            <w:vAlign w:val="center"/>
          </w:tcPr>
          <w:p w14:paraId="4704E00B">
            <w:pPr>
              <w:spacing w:line="240" w:lineRule="exact"/>
              <w:jc w:val="center"/>
              <w:rPr>
                <w:rFonts w:ascii="Times New Roman" w:hAnsi="Times New Roman" w:cs="Times New Roman"/>
                <w:sz w:val="21"/>
                <w:szCs w:val="21"/>
              </w:rPr>
            </w:pPr>
            <w:r>
              <w:rPr>
                <w:rFonts w:ascii="Times New Roman" w:hAnsi="Times New Roman" w:cs="Times New Roman"/>
                <w:sz w:val="21"/>
                <w:szCs w:val="21"/>
              </w:rPr>
              <w:t>150</w:t>
            </w:r>
          </w:p>
        </w:tc>
        <w:tc>
          <w:tcPr>
            <w:tcW w:w="851" w:type="dxa"/>
            <w:tcBorders>
              <w:top w:val="single" w:color="auto" w:sz="6" w:space="0"/>
            </w:tcBorders>
            <w:noWrap w:val="0"/>
            <w:vAlign w:val="center"/>
          </w:tcPr>
          <w:p w14:paraId="36AD04AC">
            <w:pPr>
              <w:spacing w:line="240" w:lineRule="exact"/>
              <w:jc w:val="center"/>
              <w:rPr>
                <w:rFonts w:ascii="Times New Roman" w:hAnsi="Times New Roman" w:cs="Times New Roman"/>
                <w:sz w:val="21"/>
                <w:szCs w:val="21"/>
              </w:rPr>
            </w:pPr>
            <w:r>
              <w:rPr>
                <w:rFonts w:ascii="Times New Roman" w:hAnsi="Times New Roman" w:cs="Times New Roman"/>
                <w:sz w:val="21"/>
                <w:szCs w:val="21"/>
              </w:rPr>
              <w:t>120</w:t>
            </w:r>
          </w:p>
        </w:tc>
        <w:tc>
          <w:tcPr>
            <w:tcW w:w="761" w:type="dxa"/>
            <w:tcBorders>
              <w:top w:val="single" w:color="auto" w:sz="6" w:space="0"/>
            </w:tcBorders>
            <w:noWrap w:val="0"/>
            <w:vAlign w:val="center"/>
          </w:tcPr>
          <w:p w14:paraId="12476D45">
            <w:pPr>
              <w:spacing w:line="240" w:lineRule="exact"/>
              <w:jc w:val="center"/>
              <w:rPr>
                <w:rFonts w:ascii="Times New Roman" w:hAnsi="Times New Roman" w:cs="Times New Roman"/>
                <w:sz w:val="21"/>
                <w:szCs w:val="21"/>
              </w:rPr>
            </w:pPr>
            <w:r>
              <w:rPr>
                <w:rFonts w:ascii="Times New Roman" w:hAnsi="Times New Roman" w:cs="Times New Roman"/>
                <w:sz w:val="21"/>
                <w:szCs w:val="21"/>
              </w:rPr>
              <w:t>100</w:t>
            </w:r>
          </w:p>
        </w:tc>
      </w:tr>
      <w:tr w14:paraId="018D7623">
        <w:tblPrEx>
          <w:tblBorders>
            <w:top w:val="thinThickSmallGap" w:color="auto" w:sz="12" w:space="0"/>
            <w:left w:val="none" w:color="auto" w:sz="0" w:space="0"/>
            <w:bottom w:val="thickThinSmallGap"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88" w:hRule="atLeast"/>
          <w:jc w:val="center"/>
        </w:trPr>
        <w:tc>
          <w:tcPr>
            <w:tcW w:w="638" w:type="dxa"/>
            <w:tcBorders>
              <w:top w:val="single" w:color="auto" w:sz="6" w:space="0"/>
            </w:tcBorders>
            <w:noWrap w:val="0"/>
            <w:vAlign w:val="center"/>
          </w:tcPr>
          <w:p w14:paraId="63FEFD4A">
            <w:pPr>
              <w:jc w:val="center"/>
              <w:rPr>
                <w:rFonts w:ascii="Times New Roman" w:hAnsi="Times New Roman" w:cs="Times New Roman"/>
                <w:sz w:val="21"/>
                <w:szCs w:val="21"/>
              </w:rPr>
            </w:pPr>
            <w:r>
              <w:rPr>
                <w:rFonts w:ascii="Times New Roman" w:hAnsi="Times New Roman" w:cs="Times New Roman"/>
                <w:sz w:val="21"/>
                <w:szCs w:val="21"/>
              </w:rPr>
              <w:t>4</w:t>
            </w:r>
          </w:p>
        </w:tc>
        <w:tc>
          <w:tcPr>
            <w:tcW w:w="1148" w:type="dxa"/>
            <w:tcBorders>
              <w:top w:val="single" w:color="auto" w:sz="6" w:space="0"/>
            </w:tcBorders>
            <w:noWrap w:val="0"/>
            <w:vAlign w:val="center"/>
          </w:tcPr>
          <w:p w14:paraId="2D6656CF">
            <w:pPr>
              <w:jc w:val="center"/>
              <w:rPr>
                <w:rFonts w:ascii="Times New Roman" w:hAnsi="Times New Roman" w:cs="Times New Roman"/>
                <w:sz w:val="21"/>
                <w:szCs w:val="21"/>
              </w:rPr>
            </w:pPr>
            <w:r>
              <w:rPr>
                <w:rFonts w:ascii="Times New Roman" w:hAnsi="Times New Roman" w:cs="Times New Roman"/>
                <w:sz w:val="21"/>
                <w:szCs w:val="21"/>
              </w:rPr>
              <w:t>铅</w:t>
            </w:r>
          </w:p>
        </w:tc>
        <w:tc>
          <w:tcPr>
            <w:tcW w:w="851" w:type="dxa"/>
            <w:tcBorders>
              <w:top w:val="single" w:color="auto" w:sz="6" w:space="0"/>
            </w:tcBorders>
            <w:noWrap w:val="0"/>
            <w:vAlign w:val="center"/>
          </w:tcPr>
          <w:p w14:paraId="698D29AE">
            <w:pPr>
              <w:spacing w:line="240" w:lineRule="exact"/>
              <w:jc w:val="center"/>
              <w:rPr>
                <w:rFonts w:ascii="Times New Roman" w:hAnsi="Times New Roman" w:cs="Times New Roman"/>
                <w:sz w:val="21"/>
                <w:szCs w:val="21"/>
              </w:rPr>
            </w:pPr>
            <w:r>
              <w:rPr>
                <w:rFonts w:ascii="Times New Roman" w:hAnsi="Times New Roman" w:cs="Times New Roman"/>
                <w:sz w:val="21"/>
                <w:szCs w:val="21"/>
              </w:rPr>
              <w:t>70</w:t>
            </w:r>
          </w:p>
        </w:tc>
        <w:tc>
          <w:tcPr>
            <w:tcW w:w="960" w:type="dxa"/>
            <w:tcBorders>
              <w:top w:val="single" w:color="auto" w:sz="6" w:space="0"/>
            </w:tcBorders>
            <w:noWrap w:val="0"/>
            <w:vAlign w:val="center"/>
          </w:tcPr>
          <w:p w14:paraId="03E97F5A">
            <w:pPr>
              <w:spacing w:line="240" w:lineRule="exact"/>
              <w:jc w:val="center"/>
              <w:rPr>
                <w:rFonts w:ascii="Times New Roman" w:hAnsi="Times New Roman" w:cs="Times New Roman"/>
                <w:sz w:val="21"/>
                <w:szCs w:val="21"/>
              </w:rPr>
            </w:pPr>
            <w:r>
              <w:rPr>
                <w:rFonts w:ascii="Times New Roman" w:hAnsi="Times New Roman" w:cs="Times New Roman"/>
                <w:sz w:val="21"/>
                <w:szCs w:val="21"/>
              </w:rPr>
              <w:t>90</w:t>
            </w:r>
          </w:p>
        </w:tc>
        <w:tc>
          <w:tcPr>
            <w:tcW w:w="851" w:type="dxa"/>
            <w:tcBorders>
              <w:top w:val="single" w:color="auto" w:sz="6" w:space="0"/>
            </w:tcBorders>
            <w:noWrap w:val="0"/>
            <w:vAlign w:val="center"/>
          </w:tcPr>
          <w:p w14:paraId="13958282">
            <w:pPr>
              <w:spacing w:line="240" w:lineRule="exact"/>
              <w:jc w:val="center"/>
              <w:rPr>
                <w:rFonts w:ascii="Times New Roman" w:hAnsi="Times New Roman" w:cs="Times New Roman"/>
                <w:sz w:val="21"/>
                <w:szCs w:val="21"/>
              </w:rPr>
            </w:pPr>
            <w:r>
              <w:rPr>
                <w:rFonts w:ascii="Times New Roman" w:hAnsi="Times New Roman" w:cs="Times New Roman"/>
                <w:sz w:val="21"/>
                <w:szCs w:val="21"/>
              </w:rPr>
              <w:t>120</w:t>
            </w:r>
          </w:p>
        </w:tc>
        <w:tc>
          <w:tcPr>
            <w:tcW w:w="850" w:type="dxa"/>
            <w:tcBorders>
              <w:top w:val="single" w:color="auto" w:sz="6" w:space="0"/>
            </w:tcBorders>
            <w:noWrap w:val="0"/>
            <w:vAlign w:val="center"/>
          </w:tcPr>
          <w:p w14:paraId="4D6CA75D">
            <w:pPr>
              <w:spacing w:line="240" w:lineRule="exact"/>
              <w:jc w:val="center"/>
              <w:rPr>
                <w:rFonts w:ascii="Times New Roman" w:hAnsi="Times New Roman" w:cs="Times New Roman"/>
                <w:sz w:val="21"/>
                <w:szCs w:val="21"/>
              </w:rPr>
            </w:pPr>
            <w:r>
              <w:rPr>
                <w:rFonts w:ascii="Times New Roman" w:hAnsi="Times New Roman" w:cs="Times New Roman"/>
                <w:sz w:val="21"/>
                <w:szCs w:val="21"/>
              </w:rPr>
              <w:t>170</w:t>
            </w:r>
          </w:p>
        </w:tc>
        <w:tc>
          <w:tcPr>
            <w:tcW w:w="851" w:type="dxa"/>
            <w:tcBorders>
              <w:top w:val="single" w:color="auto" w:sz="6" w:space="0"/>
            </w:tcBorders>
            <w:noWrap w:val="0"/>
            <w:vAlign w:val="center"/>
          </w:tcPr>
          <w:p w14:paraId="7160FE0F">
            <w:pPr>
              <w:spacing w:line="240" w:lineRule="exact"/>
              <w:jc w:val="center"/>
              <w:rPr>
                <w:rFonts w:ascii="Times New Roman" w:hAnsi="Times New Roman" w:cs="Times New Roman"/>
                <w:sz w:val="21"/>
                <w:szCs w:val="21"/>
              </w:rPr>
            </w:pPr>
            <w:r>
              <w:rPr>
                <w:rFonts w:ascii="Times New Roman" w:hAnsi="Times New Roman" w:cs="Times New Roman"/>
                <w:sz w:val="21"/>
                <w:szCs w:val="21"/>
              </w:rPr>
              <w:t>400</w:t>
            </w:r>
          </w:p>
        </w:tc>
        <w:tc>
          <w:tcPr>
            <w:tcW w:w="851" w:type="dxa"/>
            <w:tcBorders>
              <w:top w:val="single" w:color="auto" w:sz="6" w:space="0"/>
            </w:tcBorders>
            <w:noWrap w:val="0"/>
            <w:vAlign w:val="center"/>
          </w:tcPr>
          <w:p w14:paraId="0A8BFBAB">
            <w:pPr>
              <w:spacing w:line="240" w:lineRule="exact"/>
              <w:jc w:val="center"/>
              <w:rPr>
                <w:rFonts w:ascii="Times New Roman" w:hAnsi="Times New Roman" w:cs="Times New Roman"/>
                <w:sz w:val="21"/>
                <w:szCs w:val="21"/>
              </w:rPr>
            </w:pPr>
            <w:r>
              <w:rPr>
                <w:rFonts w:ascii="Times New Roman" w:hAnsi="Times New Roman" w:cs="Times New Roman"/>
                <w:sz w:val="21"/>
                <w:szCs w:val="21"/>
              </w:rPr>
              <w:t>500</w:t>
            </w:r>
          </w:p>
        </w:tc>
        <w:tc>
          <w:tcPr>
            <w:tcW w:w="851" w:type="dxa"/>
            <w:tcBorders>
              <w:top w:val="single" w:color="auto" w:sz="6" w:space="0"/>
            </w:tcBorders>
            <w:noWrap w:val="0"/>
            <w:vAlign w:val="center"/>
          </w:tcPr>
          <w:p w14:paraId="05E14C2A">
            <w:pPr>
              <w:spacing w:line="240" w:lineRule="exact"/>
              <w:jc w:val="center"/>
              <w:rPr>
                <w:rFonts w:ascii="Times New Roman" w:hAnsi="Times New Roman" w:cs="Times New Roman"/>
                <w:sz w:val="21"/>
                <w:szCs w:val="21"/>
              </w:rPr>
            </w:pPr>
            <w:r>
              <w:rPr>
                <w:rFonts w:ascii="Times New Roman" w:hAnsi="Times New Roman" w:cs="Times New Roman"/>
                <w:sz w:val="21"/>
                <w:szCs w:val="21"/>
              </w:rPr>
              <w:t>700</w:t>
            </w:r>
          </w:p>
        </w:tc>
        <w:tc>
          <w:tcPr>
            <w:tcW w:w="761" w:type="dxa"/>
            <w:tcBorders>
              <w:top w:val="single" w:color="auto" w:sz="6" w:space="0"/>
            </w:tcBorders>
            <w:noWrap w:val="0"/>
            <w:vAlign w:val="center"/>
          </w:tcPr>
          <w:p w14:paraId="78FC9DDE">
            <w:pPr>
              <w:spacing w:line="240" w:lineRule="exact"/>
              <w:jc w:val="center"/>
              <w:rPr>
                <w:rFonts w:ascii="Times New Roman" w:hAnsi="Times New Roman" w:cs="Times New Roman"/>
                <w:sz w:val="21"/>
                <w:szCs w:val="21"/>
              </w:rPr>
            </w:pPr>
            <w:r>
              <w:rPr>
                <w:rFonts w:ascii="Times New Roman" w:hAnsi="Times New Roman" w:cs="Times New Roman"/>
                <w:sz w:val="21"/>
                <w:szCs w:val="21"/>
              </w:rPr>
              <w:t>1000</w:t>
            </w:r>
          </w:p>
        </w:tc>
      </w:tr>
      <w:tr w14:paraId="0C317CEA">
        <w:tblPrEx>
          <w:tblBorders>
            <w:top w:val="thinThickSmallGap" w:color="auto" w:sz="12" w:space="0"/>
            <w:left w:val="none" w:color="auto" w:sz="0" w:space="0"/>
            <w:bottom w:val="thickThinSmallGap"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88" w:hRule="atLeast"/>
          <w:jc w:val="center"/>
        </w:trPr>
        <w:tc>
          <w:tcPr>
            <w:tcW w:w="638" w:type="dxa"/>
            <w:tcBorders>
              <w:top w:val="single" w:color="auto" w:sz="6" w:space="0"/>
            </w:tcBorders>
            <w:noWrap w:val="0"/>
            <w:vAlign w:val="center"/>
          </w:tcPr>
          <w:p w14:paraId="038E233A">
            <w:pPr>
              <w:jc w:val="center"/>
              <w:rPr>
                <w:rFonts w:ascii="Times New Roman" w:hAnsi="Times New Roman" w:cs="Times New Roman"/>
                <w:sz w:val="21"/>
                <w:szCs w:val="21"/>
              </w:rPr>
            </w:pPr>
            <w:r>
              <w:rPr>
                <w:rFonts w:ascii="Times New Roman" w:hAnsi="Times New Roman" w:cs="Times New Roman"/>
                <w:sz w:val="21"/>
                <w:szCs w:val="21"/>
              </w:rPr>
              <w:t>5</w:t>
            </w:r>
          </w:p>
        </w:tc>
        <w:tc>
          <w:tcPr>
            <w:tcW w:w="1148" w:type="dxa"/>
            <w:tcBorders>
              <w:top w:val="single" w:color="auto" w:sz="6" w:space="0"/>
            </w:tcBorders>
            <w:noWrap w:val="0"/>
            <w:vAlign w:val="center"/>
          </w:tcPr>
          <w:p w14:paraId="389D639D">
            <w:pPr>
              <w:jc w:val="center"/>
              <w:rPr>
                <w:rFonts w:ascii="Times New Roman" w:hAnsi="Times New Roman" w:cs="Times New Roman"/>
                <w:sz w:val="21"/>
                <w:szCs w:val="21"/>
              </w:rPr>
            </w:pPr>
            <w:r>
              <w:rPr>
                <w:rFonts w:ascii="Times New Roman" w:hAnsi="Times New Roman" w:cs="Times New Roman"/>
                <w:sz w:val="21"/>
                <w:szCs w:val="21"/>
              </w:rPr>
              <w:t>铬</w:t>
            </w:r>
          </w:p>
        </w:tc>
        <w:tc>
          <w:tcPr>
            <w:tcW w:w="851" w:type="dxa"/>
            <w:tcBorders>
              <w:top w:val="single" w:color="auto" w:sz="6" w:space="0"/>
            </w:tcBorders>
            <w:noWrap w:val="0"/>
            <w:vAlign w:val="center"/>
          </w:tcPr>
          <w:p w14:paraId="0A02DB45">
            <w:pPr>
              <w:spacing w:line="240" w:lineRule="exact"/>
              <w:jc w:val="center"/>
              <w:rPr>
                <w:rFonts w:ascii="Times New Roman" w:hAnsi="Times New Roman" w:cs="Times New Roman"/>
                <w:sz w:val="21"/>
                <w:szCs w:val="21"/>
              </w:rPr>
            </w:pPr>
            <w:r>
              <w:rPr>
                <w:rFonts w:ascii="Times New Roman" w:hAnsi="Times New Roman" w:cs="Times New Roman"/>
                <w:sz w:val="21"/>
                <w:szCs w:val="21"/>
              </w:rPr>
              <w:t>150</w:t>
            </w:r>
          </w:p>
        </w:tc>
        <w:tc>
          <w:tcPr>
            <w:tcW w:w="960" w:type="dxa"/>
            <w:tcBorders>
              <w:top w:val="single" w:color="auto" w:sz="6" w:space="0"/>
            </w:tcBorders>
            <w:noWrap w:val="0"/>
            <w:vAlign w:val="center"/>
          </w:tcPr>
          <w:p w14:paraId="0432A693">
            <w:pPr>
              <w:spacing w:line="240" w:lineRule="exact"/>
              <w:jc w:val="center"/>
              <w:rPr>
                <w:rFonts w:ascii="Times New Roman" w:hAnsi="Times New Roman" w:cs="Times New Roman"/>
                <w:sz w:val="21"/>
                <w:szCs w:val="21"/>
              </w:rPr>
            </w:pPr>
            <w:r>
              <w:rPr>
                <w:rFonts w:ascii="Times New Roman" w:hAnsi="Times New Roman" w:cs="Times New Roman"/>
                <w:sz w:val="21"/>
                <w:szCs w:val="21"/>
              </w:rPr>
              <w:t>150</w:t>
            </w:r>
          </w:p>
        </w:tc>
        <w:tc>
          <w:tcPr>
            <w:tcW w:w="851" w:type="dxa"/>
            <w:tcBorders>
              <w:top w:val="single" w:color="auto" w:sz="6" w:space="0"/>
            </w:tcBorders>
            <w:noWrap w:val="0"/>
            <w:vAlign w:val="center"/>
          </w:tcPr>
          <w:p w14:paraId="7E1272C3">
            <w:pPr>
              <w:spacing w:line="240" w:lineRule="exact"/>
              <w:jc w:val="center"/>
              <w:rPr>
                <w:rFonts w:ascii="Times New Roman" w:hAnsi="Times New Roman" w:cs="Times New Roman"/>
                <w:sz w:val="21"/>
                <w:szCs w:val="21"/>
              </w:rPr>
            </w:pPr>
            <w:r>
              <w:rPr>
                <w:rFonts w:ascii="Times New Roman" w:hAnsi="Times New Roman" w:cs="Times New Roman"/>
                <w:sz w:val="21"/>
                <w:szCs w:val="21"/>
              </w:rPr>
              <w:t>200</w:t>
            </w:r>
          </w:p>
        </w:tc>
        <w:tc>
          <w:tcPr>
            <w:tcW w:w="850" w:type="dxa"/>
            <w:tcBorders>
              <w:top w:val="single" w:color="auto" w:sz="6" w:space="0"/>
            </w:tcBorders>
            <w:noWrap w:val="0"/>
            <w:vAlign w:val="center"/>
          </w:tcPr>
          <w:p w14:paraId="43E890FF">
            <w:pPr>
              <w:spacing w:line="240" w:lineRule="exact"/>
              <w:jc w:val="center"/>
              <w:rPr>
                <w:rFonts w:ascii="Times New Roman" w:hAnsi="Times New Roman" w:cs="Times New Roman"/>
                <w:sz w:val="21"/>
                <w:szCs w:val="21"/>
              </w:rPr>
            </w:pPr>
            <w:r>
              <w:rPr>
                <w:rFonts w:ascii="Times New Roman" w:hAnsi="Times New Roman" w:cs="Times New Roman"/>
                <w:sz w:val="21"/>
                <w:szCs w:val="21"/>
              </w:rPr>
              <w:t>250</w:t>
            </w:r>
          </w:p>
        </w:tc>
        <w:tc>
          <w:tcPr>
            <w:tcW w:w="851" w:type="dxa"/>
            <w:tcBorders>
              <w:top w:val="single" w:color="auto" w:sz="6" w:space="0"/>
            </w:tcBorders>
            <w:noWrap w:val="0"/>
            <w:vAlign w:val="center"/>
          </w:tcPr>
          <w:p w14:paraId="3E1DB0D9">
            <w:pPr>
              <w:spacing w:line="240" w:lineRule="exact"/>
              <w:jc w:val="center"/>
              <w:rPr>
                <w:rFonts w:ascii="Times New Roman" w:hAnsi="Times New Roman" w:cs="Times New Roman"/>
                <w:sz w:val="21"/>
                <w:szCs w:val="21"/>
              </w:rPr>
            </w:pPr>
            <w:r>
              <w:rPr>
                <w:rFonts w:ascii="Times New Roman" w:hAnsi="Times New Roman" w:cs="Times New Roman"/>
                <w:sz w:val="21"/>
                <w:szCs w:val="21"/>
              </w:rPr>
              <w:t>800</w:t>
            </w:r>
          </w:p>
        </w:tc>
        <w:tc>
          <w:tcPr>
            <w:tcW w:w="851" w:type="dxa"/>
            <w:tcBorders>
              <w:top w:val="single" w:color="auto" w:sz="6" w:space="0"/>
            </w:tcBorders>
            <w:noWrap w:val="0"/>
            <w:vAlign w:val="center"/>
          </w:tcPr>
          <w:p w14:paraId="781268E3">
            <w:pPr>
              <w:spacing w:line="240" w:lineRule="exact"/>
              <w:jc w:val="center"/>
              <w:rPr>
                <w:rFonts w:ascii="Times New Roman" w:hAnsi="Times New Roman" w:cs="Times New Roman"/>
                <w:sz w:val="21"/>
                <w:szCs w:val="21"/>
              </w:rPr>
            </w:pPr>
            <w:r>
              <w:rPr>
                <w:rFonts w:ascii="Times New Roman" w:hAnsi="Times New Roman" w:cs="Times New Roman"/>
                <w:sz w:val="21"/>
                <w:szCs w:val="21"/>
              </w:rPr>
              <w:t>850</w:t>
            </w:r>
          </w:p>
        </w:tc>
        <w:tc>
          <w:tcPr>
            <w:tcW w:w="851" w:type="dxa"/>
            <w:tcBorders>
              <w:top w:val="single" w:color="auto" w:sz="6" w:space="0"/>
            </w:tcBorders>
            <w:noWrap w:val="0"/>
            <w:vAlign w:val="center"/>
          </w:tcPr>
          <w:p w14:paraId="77CD837E">
            <w:pPr>
              <w:spacing w:line="240" w:lineRule="exact"/>
              <w:jc w:val="center"/>
              <w:rPr>
                <w:rFonts w:ascii="Times New Roman" w:hAnsi="Times New Roman" w:cs="Times New Roman"/>
                <w:sz w:val="21"/>
                <w:szCs w:val="21"/>
              </w:rPr>
            </w:pPr>
            <w:r>
              <w:rPr>
                <w:rFonts w:ascii="Times New Roman" w:hAnsi="Times New Roman" w:cs="Times New Roman"/>
                <w:sz w:val="21"/>
                <w:szCs w:val="21"/>
              </w:rPr>
              <w:t>1000</w:t>
            </w:r>
          </w:p>
        </w:tc>
        <w:tc>
          <w:tcPr>
            <w:tcW w:w="761" w:type="dxa"/>
            <w:tcBorders>
              <w:top w:val="single" w:color="auto" w:sz="6" w:space="0"/>
            </w:tcBorders>
            <w:noWrap w:val="0"/>
            <w:vAlign w:val="center"/>
          </w:tcPr>
          <w:p w14:paraId="43AE9F3D">
            <w:pPr>
              <w:spacing w:line="240" w:lineRule="exact"/>
              <w:jc w:val="center"/>
              <w:rPr>
                <w:rFonts w:ascii="Times New Roman" w:hAnsi="Times New Roman" w:cs="Times New Roman"/>
                <w:sz w:val="21"/>
                <w:szCs w:val="21"/>
              </w:rPr>
            </w:pPr>
            <w:r>
              <w:rPr>
                <w:rFonts w:ascii="Times New Roman" w:hAnsi="Times New Roman" w:cs="Times New Roman"/>
                <w:sz w:val="21"/>
                <w:szCs w:val="21"/>
              </w:rPr>
              <w:t>1300</w:t>
            </w:r>
          </w:p>
        </w:tc>
      </w:tr>
      <w:tr w14:paraId="79141BE2">
        <w:tblPrEx>
          <w:tblBorders>
            <w:top w:val="thinThickSmallGap" w:color="auto" w:sz="12" w:space="0"/>
            <w:left w:val="none" w:color="auto" w:sz="0" w:space="0"/>
            <w:bottom w:val="thickThinSmallGap"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88" w:hRule="atLeast"/>
          <w:jc w:val="center"/>
        </w:trPr>
        <w:tc>
          <w:tcPr>
            <w:tcW w:w="638" w:type="dxa"/>
            <w:tcBorders>
              <w:top w:val="single" w:color="auto" w:sz="6" w:space="0"/>
            </w:tcBorders>
            <w:noWrap w:val="0"/>
            <w:vAlign w:val="center"/>
          </w:tcPr>
          <w:p w14:paraId="11269B44">
            <w:pPr>
              <w:jc w:val="center"/>
              <w:rPr>
                <w:rFonts w:ascii="Times New Roman" w:hAnsi="Times New Roman" w:cs="Times New Roman"/>
                <w:sz w:val="21"/>
                <w:szCs w:val="21"/>
              </w:rPr>
            </w:pPr>
            <w:r>
              <w:rPr>
                <w:rFonts w:ascii="Times New Roman" w:hAnsi="Times New Roman" w:cs="Times New Roman"/>
                <w:sz w:val="21"/>
                <w:szCs w:val="21"/>
              </w:rPr>
              <w:t>6</w:t>
            </w:r>
          </w:p>
        </w:tc>
        <w:tc>
          <w:tcPr>
            <w:tcW w:w="1148" w:type="dxa"/>
            <w:tcBorders>
              <w:top w:val="single" w:color="auto" w:sz="6" w:space="0"/>
            </w:tcBorders>
            <w:noWrap w:val="0"/>
            <w:vAlign w:val="center"/>
          </w:tcPr>
          <w:p w14:paraId="4930F046">
            <w:pPr>
              <w:jc w:val="center"/>
              <w:rPr>
                <w:rFonts w:ascii="Times New Roman" w:hAnsi="Times New Roman" w:cs="Times New Roman"/>
                <w:sz w:val="21"/>
                <w:szCs w:val="21"/>
              </w:rPr>
            </w:pPr>
            <w:r>
              <w:rPr>
                <w:rFonts w:ascii="Times New Roman" w:hAnsi="Times New Roman" w:cs="Times New Roman"/>
                <w:sz w:val="21"/>
                <w:szCs w:val="21"/>
              </w:rPr>
              <w:t>铜</w:t>
            </w:r>
          </w:p>
        </w:tc>
        <w:tc>
          <w:tcPr>
            <w:tcW w:w="851" w:type="dxa"/>
            <w:tcBorders>
              <w:top w:val="single" w:color="auto" w:sz="6" w:space="0"/>
            </w:tcBorders>
            <w:noWrap w:val="0"/>
            <w:vAlign w:val="center"/>
          </w:tcPr>
          <w:p w14:paraId="2D739345">
            <w:pPr>
              <w:spacing w:line="240" w:lineRule="exact"/>
              <w:jc w:val="center"/>
              <w:rPr>
                <w:rFonts w:ascii="Times New Roman" w:hAnsi="Times New Roman" w:cs="Times New Roman"/>
                <w:sz w:val="21"/>
                <w:szCs w:val="21"/>
              </w:rPr>
            </w:pPr>
            <w:r>
              <w:rPr>
                <w:rFonts w:ascii="Times New Roman" w:hAnsi="Times New Roman" w:cs="Times New Roman"/>
                <w:sz w:val="21"/>
                <w:szCs w:val="21"/>
              </w:rPr>
              <w:t>50</w:t>
            </w:r>
          </w:p>
        </w:tc>
        <w:tc>
          <w:tcPr>
            <w:tcW w:w="960" w:type="dxa"/>
            <w:tcBorders>
              <w:top w:val="single" w:color="auto" w:sz="6" w:space="0"/>
            </w:tcBorders>
            <w:noWrap w:val="0"/>
            <w:vAlign w:val="center"/>
          </w:tcPr>
          <w:p w14:paraId="540BC511">
            <w:pPr>
              <w:spacing w:line="240" w:lineRule="exact"/>
              <w:jc w:val="center"/>
              <w:rPr>
                <w:rFonts w:ascii="Times New Roman" w:hAnsi="Times New Roman" w:cs="Times New Roman"/>
                <w:sz w:val="21"/>
                <w:szCs w:val="21"/>
              </w:rPr>
            </w:pPr>
            <w:r>
              <w:rPr>
                <w:rFonts w:ascii="Times New Roman" w:hAnsi="Times New Roman" w:cs="Times New Roman"/>
                <w:sz w:val="21"/>
                <w:szCs w:val="21"/>
              </w:rPr>
              <w:t>50</w:t>
            </w:r>
          </w:p>
        </w:tc>
        <w:tc>
          <w:tcPr>
            <w:tcW w:w="851" w:type="dxa"/>
            <w:tcBorders>
              <w:top w:val="single" w:color="auto" w:sz="6" w:space="0"/>
            </w:tcBorders>
            <w:noWrap w:val="0"/>
            <w:vAlign w:val="center"/>
          </w:tcPr>
          <w:p w14:paraId="7B53E898">
            <w:pPr>
              <w:spacing w:line="240" w:lineRule="exact"/>
              <w:jc w:val="center"/>
              <w:rPr>
                <w:rFonts w:ascii="Times New Roman" w:hAnsi="Times New Roman" w:cs="Times New Roman"/>
                <w:sz w:val="21"/>
                <w:szCs w:val="21"/>
              </w:rPr>
            </w:pPr>
            <w:r>
              <w:rPr>
                <w:rFonts w:ascii="Times New Roman" w:hAnsi="Times New Roman" w:cs="Times New Roman"/>
                <w:sz w:val="21"/>
                <w:szCs w:val="21"/>
              </w:rPr>
              <w:t>100</w:t>
            </w:r>
          </w:p>
        </w:tc>
        <w:tc>
          <w:tcPr>
            <w:tcW w:w="850" w:type="dxa"/>
            <w:tcBorders>
              <w:top w:val="single" w:color="auto" w:sz="6" w:space="0"/>
            </w:tcBorders>
            <w:noWrap w:val="0"/>
            <w:vAlign w:val="center"/>
          </w:tcPr>
          <w:p w14:paraId="48EF4716">
            <w:pPr>
              <w:spacing w:line="240" w:lineRule="exact"/>
              <w:jc w:val="center"/>
              <w:rPr>
                <w:rFonts w:ascii="Times New Roman" w:hAnsi="Times New Roman" w:cs="Times New Roman"/>
                <w:sz w:val="21"/>
                <w:szCs w:val="21"/>
              </w:rPr>
            </w:pPr>
            <w:r>
              <w:rPr>
                <w:rFonts w:ascii="Times New Roman" w:hAnsi="Times New Roman" w:cs="Times New Roman"/>
                <w:sz w:val="21"/>
                <w:szCs w:val="21"/>
              </w:rPr>
              <w:t>100</w:t>
            </w:r>
          </w:p>
        </w:tc>
        <w:tc>
          <w:tcPr>
            <w:tcW w:w="851" w:type="dxa"/>
            <w:tcBorders>
              <w:top w:val="single" w:color="auto" w:sz="6" w:space="0"/>
            </w:tcBorders>
            <w:noWrap w:val="0"/>
            <w:vAlign w:val="center"/>
          </w:tcPr>
          <w:p w14:paraId="174C6CA5">
            <w:pPr>
              <w:spacing w:line="240" w:lineRule="exact"/>
              <w:jc w:val="center"/>
              <w:rPr>
                <w:rFonts w:ascii="Times New Roman" w:hAnsi="Times New Roman" w:cs="Times New Roman"/>
                <w:sz w:val="21"/>
                <w:szCs w:val="21"/>
              </w:rPr>
            </w:pPr>
            <w:r>
              <w:rPr>
                <w:rFonts w:ascii="Times New Roman" w:hAnsi="Times New Roman" w:cs="Times New Roman"/>
                <w:sz w:val="21"/>
                <w:szCs w:val="21"/>
              </w:rPr>
              <w:t>--</w:t>
            </w:r>
          </w:p>
        </w:tc>
        <w:tc>
          <w:tcPr>
            <w:tcW w:w="851" w:type="dxa"/>
            <w:tcBorders>
              <w:top w:val="single" w:color="auto" w:sz="6" w:space="0"/>
            </w:tcBorders>
            <w:noWrap w:val="0"/>
            <w:vAlign w:val="center"/>
          </w:tcPr>
          <w:p w14:paraId="65EFCB01">
            <w:pPr>
              <w:spacing w:line="240" w:lineRule="exact"/>
              <w:jc w:val="center"/>
              <w:rPr>
                <w:rFonts w:ascii="Times New Roman" w:hAnsi="Times New Roman" w:cs="Times New Roman"/>
                <w:sz w:val="21"/>
                <w:szCs w:val="21"/>
              </w:rPr>
            </w:pPr>
            <w:r>
              <w:rPr>
                <w:rFonts w:ascii="Times New Roman" w:hAnsi="Times New Roman" w:cs="Times New Roman"/>
                <w:sz w:val="21"/>
                <w:szCs w:val="21"/>
              </w:rPr>
              <w:t>--</w:t>
            </w:r>
          </w:p>
        </w:tc>
        <w:tc>
          <w:tcPr>
            <w:tcW w:w="851" w:type="dxa"/>
            <w:tcBorders>
              <w:top w:val="single" w:color="auto" w:sz="6" w:space="0"/>
            </w:tcBorders>
            <w:noWrap w:val="0"/>
            <w:vAlign w:val="center"/>
          </w:tcPr>
          <w:p w14:paraId="1DD14BFF">
            <w:pPr>
              <w:spacing w:line="240" w:lineRule="exact"/>
              <w:jc w:val="center"/>
              <w:rPr>
                <w:rFonts w:ascii="Times New Roman" w:hAnsi="Times New Roman" w:cs="Times New Roman"/>
                <w:sz w:val="21"/>
                <w:szCs w:val="21"/>
              </w:rPr>
            </w:pPr>
            <w:r>
              <w:rPr>
                <w:rFonts w:ascii="Times New Roman" w:hAnsi="Times New Roman" w:cs="Times New Roman"/>
                <w:sz w:val="21"/>
                <w:szCs w:val="21"/>
              </w:rPr>
              <w:t>--</w:t>
            </w:r>
          </w:p>
        </w:tc>
        <w:tc>
          <w:tcPr>
            <w:tcW w:w="761" w:type="dxa"/>
            <w:tcBorders>
              <w:top w:val="single" w:color="auto" w:sz="6" w:space="0"/>
            </w:tcBorders>
            <w:noWrap w:val="0"/>
            <w:vAlign w:val="center"/>
          </w:tcPr>
          <w:p w14:paraId="46AEA250">
            <w:pPr>
              <w:spacing w:line="240" w:lineRule="exact"/>
              <w:jc w:val="center"/>
              <w:rPr>
                <w:rFonts w:ascii="Times New Roman" w:hAnsi="Times New Roman" w:cs="Times New Roman"/>
                <w:sz w:val="21"/>
                <w:szCs w:val="21"/>
              </w:rPr>
            </w:pPr>
            <w:r>
              <w:rPr>
                <w:rFonts w:ascii="Times New Roman" w:hAnsi="Times New Roman" w:cs="Times New Roman"/>
                <w:sz w:val="21"/>
                <w:szCs w:val="21"/>
              </w:rPr>
              <w:t>--</w:t>
            </w:r>
          </w:p>
        </w:tc>
      </w:tr>
      <w:tr w14:paraId="14E97489">
        <w:tblPrEx>
          <w:tblBorders>
            <w:top w:val="thinThickSmallGap" w:color="auto" w:sz="12" w:space="0"/>
            <w:left w:val="none" w:color="auto" w:sz="0" w:space="0"/>
            <w:bottom w:val="thickThinSmallGap"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88" w:hRule="atLeast"/>
          <w:jc w:val="center"/>
        </w:trPr>
        <w:tc>
          <w:tcPr>
            <w:tcW w:w="638" w:type="dxa"/>
            <w:tcBorders>
              <w:top w:val="single" w:color="auto" w:sz="6" w:space="0"/>
            </w:tcBorders>
            <w:noWrap w:val="0"/>
            <w:vAlign w:val="center"/>
          </w:tcPr>
          <w:p w14:paraId="5CA82010">
            <w:pPr>
              <w:jc w:val="center"/>
              <w:rPr>
                <w:rFonts w:ascii="Times New Roman" w:hAnsi="Times New Roman" w:cs="Times New Roman"/>
                <w:sz w:val="21"/>
                <w:szCs w:val="21"/>
              </w:rPr>
            </w:pPr>
            <w:r>
              <w:rPr>
                <w:rFonts w:ascii="Times New Roman" w:hAnsi="Times New Roman" w:cs="Times New Roman"/>
                <w:sz w:val="21"/>
                <w:szCs w:val="21"/>
              </w:rPr>
              <w:t>7</w:t>
            </w:r>
          </w:p>
        </w:tc>
        <w:tc>
          <w:tcPr>
            <w:tcW w:w="1148" w:type="dxa"/>
            <w:tcBorders>
              <w:top w:val="single" w:color="auto" w:sz="6" w:space="0"/>
            </w:tcBorders>
            <w:noWrap w:val="0"/>
            <w:vAlign w:val="center"/>
          </w:tcPr>
          <w:p w14:paraId="046F5100">
            <w:pPr>
              <w:jc w:val="center"/>
              <w:rPr>
                <w:rFonts w:ascii="Times New Roman" w:hAnsi="Times New Roman" w:cs="Times New Roman"/>
                <w:sz w:val="21"/>
                <w:szCs w:val="21"/>
              </w:rPr>
            </w:pPr>
            <w:r>
              <w:rPr>
                <w:rFonts w:ascii="Times New Roman" w:hAnsi="Times New Roman" w:cs="Times New Roman"/>
                <w:sz w:val="21"/>
                <w:szCs w:val="21"/>
              </w:rPr>
              <w:t>镍</w:t>
            </w:r>
          </w:p>
        </w:tc>
        <w:tc>
          <w:tcPr>
            <w:tcW w:w="851" w:type="dxa"/>
            <w:tcBorders>
              <w:top w:val="single" w:color="auto" w:sz="6" w:space="0"/>
            </w:tcBorders>
            <w:noWrap w:val="0"/>
            <w:vAlign w:val="center"/>
          </w:tcPr>
          <w:p w14:paraId="430B574A">
            <w:pPr>
              <w:spacing w:line="240" w:lineRule="exact"/>
              <w:jc w:val="center"/>
              <w:rPr>
                <w:rFonts w:ascii="Times New Roman" w:hAnsi="Times New Roman" w:cs="Times New Roman"/>
                <w:sz w:val="21"/>
                <w:szCs w:val="21"/>
              </w:rPr>
            </w:pPr>
            <w:r>
              <w:rPr>
                <w:rFonts w:ascii="Times New Roman" w:hAnsi="Times New Roman" w:cs="Times New Roman"/>
                <w:sz w:val="21"/>
                <w:szCs w:val="21"/>
              </w:rPr>
              <w:t>60</w:t>
            </w:r>
          </w:p>
        </w:tc>
        <w:tc>
          <w:tcPr>
            <w:tcW w:w="960" w:type="dxa"/>
            <w:tcBorders>
              <w:top w:val="single" w:color="auto" w:sz="6" w:space="0"/>
            </w:tcBorders>
            <w:noWrap w:val="0"/>
            <w:vAlign w:val="center"/>
          </w:tcPr>
          <w:p w14:paraId="1D758E5E">
            <w:pPr>
              <w:spacing w:line="240" w:lineRule="exact"/>
              <w:jc w:val="center"/>
              <w:rPr>
                <w:rFonts w:ascii="Times New Roman" w:hAnsi="Times New Roman" w:cs="Times New Roman"/>
                <w:sz w:val="21"/>
                <w:szCs w:val="21"/>
              </w:rPr>
            </w:pPr>
            <w:r>
              <w:rPr>
                <w:rFonts w:ascii="Times New Roman" w:hAnsi="Times New Roman" w:cs="Times New Roman"/>
                <w:sz w:val="21"/>
                <w:szCs w:val="21"/>
              </w:rPr>
              <w:t>70</w:t>
            </w:r>
          </w:p>
        </w:tc>
        <w:tc>
          <w:tcPr>
            <w:tcW w:w="851" w:type="dxa"/>
            <w:tcBorders>
              <w:top w:val="single" w:color="auto" w:sz="6" w:space="0"/>
            </w:tcBorders>
            <w:noWrap w:val="0"/>
            <w:vAlign w:val="center"/>
          </w:tcPr>
          <w:p w14:paraId="4EDC1137">
            <w:pPr>
              <w:spacing w:line="240" w:lineRule="exact"/>
              <w:jc w:val="center"/>
              <w:rPr>
                <w:rFonts w:ascii="Times New Roman" w:hAnsi="Times New Roman" w:cs="Times New Roman"/>
                <w:sz w:val="21"/>
                <w:szCs w:val="21"/>
              </w:rPr>
            </w:pPr>
            <w:r>
              <w:rPr>
                <w:rFonts w:ascii="Times New Roman" w:hAnsi="Times New Roman" w:cs="Times New Roman"/>
                <w:sz w:val="21"/>
                <w:szCs w:val="21"/>
              </w:rPr>
              <w:t>100</w:t>
            </w:r>
          </w:p>
        </w:tc>
        <w:tc>
          <w:tcPr>
            <w:tcW w:w="850" w:type="dxa"/>
            <w:tcBorders>
              <w:top w:val="single" w:color="auto" w:sz="6" w:space="0"/>
            </w:tcBorders>
            <w:noWrap w:val="0"/>
            <w:vAlign w:val="center"/>
          </w:tcPr>
          <w:p w14:paraId="5388AEFE">
            <w:pPr>
              <w:spacing w:line="240" w:lineRule="exact"/>
              <w:jc w:val="center"/>
              <w:rPr>
                <w:rFonts w:ascii="Times New Roman" w:hAnsi="Times New Roman" w:cs="Times New Roman"/>
                <w:sz w:val="21"/>
                <w:szCs w:val="21"/>
              </w:rPr>
            </w:pPr>
            <w:r>
              <w:rPr>
                <w:rFonts w:ascii="Times New Roman" w:hAnsi="Times New Roman" w:cs="Times New Roman"/>
                <w:sz w:val="21"/>
                <w:szCs w:val="21"/>
              </w:rPr>
              <w:t>190</w:t>
            </w:r>
          </w:p>
        </w:tc>
        <w:tc>
          <w:tcPr>
            <w:tcW w:w="851" w:type="dxa"/>
            <w:tcBorders>
              <w:top w:val="single" w:color="auto" w:sz="6" w:space="0"/>
            </w:tcBorders>
            <w:noWrap w:val="0"/>
            <w:vAlign w:val="center"/>
          </w:tcPr>
          <w:p w14:paraId="1F48A38F">
            <w:pPr>
              <w:spacing w:line="240" w:lineRule="exact"/>
              <w:jc w:val="center"/>
              <w:rPr>
                <w:rFonts w:ascii="Times New Roman" w:hAnsi="Times New Roman" w:cs="Times New Roman"/>
                <w:sz w:val="21"/>
                <w:szCs w:val="21"/>
              </w:rPr>
            </w:pPr>
            <w:r>
              <w:rPr>
                <w:rFonts w:ascii="Times New Roman" w:hAnsi="Times New Roman" w:cs="Times New Roman"/>
                <w:sz w:val="21"/>
                <w:szCs w:val="21"/>
              </w:rPr>
              <w:t>--</w:t>
            </w:r>
          </w:p>
        </w:tc>
        <w:tc>
          <w:tcPr>
            <w:tcW w:w="851" w:type="dxa"/>
            <w:tcBorders>
              <w:top w:val="single" w:color="auto" w:sz="6" w:space="0"/>
            </w:tcBorders>
            <w:noWrap w:val="0"/>
            <w:vAlign w:val="center"/>
          </w:tcPr>
          <w:p w14:paraId="7C8D9294">
            <w:pPr>
              <w:spacing w:line="240" w:lineRule="exact"/>
              <w:jc w:val="center"/>
              <w:rPr>
                <w:rFonts w:ascii="Times New Roman" w:hAnsi="Times New Roman" w:cs="Times New Roman"/>
                <w:sz w:val="21"/>
                <w:szCs w:val="21"/>
              </w:rPr>
            </w:pPr>
            <w:r>
              <w:rPr>
                <w:rFonts w:ascii="Times New Roman" w:hAnsi="Times New Roman" w:cs="Times New Roman"/>
                <w:sz w:val="21"/>
                <w:szCs w:val="21"/>
              </w:rPr>
              <w:t>--</w:t>
            </w:r>
          </w:p>
        </w:tc>
        <w:tc>
          <w:tcPr>
            <w:tcW w:w="851" w:type="dxa"/>
            <w:tcBorders>
              <w:top w:val="single" w:color="auto" w:sz="6" w:space="0"/>
            </w:tcBorders>
            <w:noWrap w:val="0"/>
            <w:vAlign w:val="center"/>
          </w:tcPr>
          <w:p w14:paraId="111E869E">
            <w:pPr>
              <w:spacing w:line="240" w:lineRule="exact"/>
              <w:jc w:val="center"/>
              <w:rPr>
                <w:rFonts w:ascii="Times New Roman" w:hAnsi="Times New Roman" w:cs="Times New Roman"/>
                <w:sz w:val="21"/>
                <w:szCs w:val="21"/>
              </w:rPr>
            </w:pPr>
            <w:r>
              <w:rPr>
                <w:rFonts w:ascii="Times New Roman" w:hAnsi="Times New Roman" w:cs="Times New Roman"/>
                <w:sz w:val="21"/>
                <w:szCs w:val="21"/>
              </w:rPr>
              <w:t>--</w:t>
            </w:r>
          </w:p>
        </w:tc>
        <w:tc>
          <w:tcPr>
            <w:tcW w:w="761" w:type="dxa"/>
            <w:tcBorders>
              <w:top w:val="single" w:color="auto" w:sz="6" w:space="0"/>
            </w:tcBorders>
            <w:noWrap w:val="0"/>
            <w:vAlign w:val="center"/>
          </w:tcPr>
          <w:p w14:paraId="2F5F3523">
            <w:pPr>
              <w:spacing w:line="240" w:lineRule="exact"/>
              <w:jc w:val="center"/>
              <w:rPr>
                <w:rFonts w:ascii="Times New Roman" w:hAnsi="Times New Roman" w:cs="Times New Roman"/>
                <w:sz w:val="21"/>
                <w:szCs w:val="21"/>
              </w:rPr>
            </w:pPr>
            <w:r>
              <w:rPr>
                <w:rFonts w:ascii="Times New Roman" w:hAnsi="Times New Roman" w:cs="Times New Roman"/>
                <w:sz w:val="21"/>
                <w:szCs w:val="21"/>
              </w:rPr>
              <w:t>--</w:t>
            </w:r>
          </w:p>
        </w:tc>
      </w:tr>
      <w:tr w14:paraId="3A192FA6">
        <w:tblPrEx>
          <w:tblBorders>
            <w:top w:val="thinThickSmallGap" w:color="auto" w:sz="12" w:space="0"/>
            <w:left w:val="none" w:color="auto" w:sz="0" w:space="0"/>
            <w:bottom w:val="thickThinSmallGap"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88" w:hRule="atLeast"/>
          <w:jc w:val="center"/>
        </w:trPr>
        <w:tc>
          <w:tcPr>
            <w:tcW w:w="638" w:type="dxa"/>
            <w:tcBorders>
              <w:top w:val="single" w:color="auto" w:sz="6" w:space="0"/>
            </w:tcBorders>
            <w:noWrap w:val="0"/>
            <w:vAlign w:val="center"/>
          </w:tcPr>
          <w:p w14:paraId="24757BC8">
            <w:pPr>
              <w:jc w:val="center"/>
              <w:rPr>
                <w:rFonts w:ascii="Times New Roman" w:hAnsi="Times New Roman" w:cs="Times New Roman"/>
                <w:sz w:val="21"/>
                <w:szCs w:val="21"/>
              </w:rPr>
            </w:pPr>
            <w:r>
              <w:rPr>
                <w:rFonts w:ascii="Times New Roman" w:hAnsi="Times New Roman" w:cs="Times New Roman"/>
                <w:sz w:val="21"/>
                <w:szCs w:val="21"/>
              </w:rPr>
              <w:t>8</w:t>
            </w:r>
          </w:p>
        </w:tc>
        <w:tc>
          <w:tcPr>
            <w:tcW w:w="1148" w:type="dxa"/>
            <w:tcBorders>
              <w:top w:val="single" w:color="auto" w:sz="6" w:space="0"/>
            </w:tcBorders>
            <w:noWrap w:val="0"/>
            <w:vAlign w:val="center"/>
          </w:tcPr>
          <w:p w14:paraId="63098F7B">
            <w:pPr>
              <w:jc w:val="center"/>
              <w:rPr>
                <w:rFonts w:ascii="Times New Roman" w:hAnsi="Times New Roman" w:cs="Times New Roman"/>
                <w:sz w:val="21"/>
                <w:szCs w:val="21"/>
              </w:rPr>
            </w:pPr>
            <w:r>
              <w:rPr>
                <w:rFonts w:ascii="Times New Roman" w:hAnsi="Times New Roman" w:cs="Times New Roman"/>
                <w:sz w:val="21"/>
                <w:szCs w:val="21"/>
              </w:rPr>
              <w:t>锌</w:t>
            </w:r>
          </w:p>
        </w:tc>
        <w:tc>
          <w:tcPr>
            <w:tcW w:w="851" w:type="dxa"/>
            <w:tcBorders>
              <w:top w:val="single" w:color="auto" w:sz="6" w:space="0"/>
            </w:tcBorders>
            <w:noWrap w:val="0"/>
            <w:vAlign w:val="center"/>
          </w:tcPr>
          <w:p w14:paraId="194BD114">
            <w:pPr>
              <w:spacing w:line="240" w:lineRule="exact"/>
              <w:jc w:val="center"/>
              <w:rPr>
                <w:rFonts w:ascii="Times New Roman" w:hAnsi="Times New Roman" w:cs="Times New Roman"/>
                <w:sz w:val="21"/>
                <w:szCs w:val="21"/>
              </w:rPr>
            </w:pPr>
            <w:r>
              <w:rPr>
                <w:rFonts w:ascii="Times New Roman" w:hAnsi="Times New Roman" w:cs="Times New Roman"/>
                <w:sz w:val="21"/>
                <w:szCs w:val="21"/>
              </w:rPr>
              <w:t>200</w:t>
            </w:r>
          </w:p>
        </w:tc>
        <w:tc>
          <w:tcPr>
            <w:tcW w:w="960" w:type="dxa"/>
            <w:tcBorders>
              <w:top w:val="single" w:color="auto" w:sz="6" w:space="0"/>
            </w:tcBorders>
            <w:noWrap w:val="0"/>
            <w:vAlign w:val="center"/>
          </w:tcPr>
          <w:p w14:paraId="5249D89B">
            <w:pPr>
              <w:spacing w:line="240" w:lineRule="exact"/>
              <w:jc w:val="center"/>
              <w:rPr>
                <w:rFonts w:ascii="Times New Roman" w:hAnsi="Times New Roman" w:cs="Times New Roman"/>
                <w:sz w:val="21"/>
                <w:szCs w:val="21"/>
              </w:rPr>
            </w:pPr>
            <w:r>
              <w:rPr>
                <w:rFonts w:ascii="Times New Roman" w:hAnsi="Times New Roman" w:cs="Times New Roman"/>
                <w:sz w:val="21"/>
                <w:szCs w:val="21"/>
              </w:rPr>
              <w:t>200</w:t>
            </w:r>
          </w:p>
        </w:tc>
        <w:tc>
          <w:tcPr>
            <w:tcW w:w="851" w:type="dxa"/>
            <w:tcBorders>
              <w:top w:val="single" w:color="auto" w:sz="6" w:space="0"/>
            </w:tcBorders>
            <w:noWrap w:val="0"/>
            <w:vAlign w:val="center"/>
          </w:tcPr>
          <w:p w14:paraId="1AF4A5AF">
            <w:pPr>
              <w:spacing w:line="240" w:lineRule="exact"/>
              <w:jc w:val="center"/>
              <w:rPr>
                <w:rFonts w:ascii="Times New Roman" w:hAnsi="Times New Roman" w:cs="Times New Roman"/>
                <w:sz w:val="21"/>
                <w:szCs w:val="21"/>
              </w:rPr>
            </w:pPr>
            <w:r>
              <w:rPr>
                <w:rFonts w:ascii="Times New Roman" w:hAnsi="Times New Roman" w:cs="Times New Roman"/>
                <w:sz w:val="21"/>
                <w:szCs w:val="21"/>
              </w:rPr>
              <w:t>250</w:t>
            </w:r>
          </w:p>
        </w:tc>
        <w:tc>
          <w:tcPr>
            <w:tcW w:w="850" w:type="dxa"/>
            <w:tcBorders>
              <w:top w:val="single" w:color="auto" w:sz="6" w:space="0"/>
            </w:tcBorders>
            <w:noWrap w:val="0"/>
            <w:vAlign w:val="center"/>
          </w:tcPr>
          <w:p w14:paraId="226A1C8D">
            <w:pPr>
              <w:spacing w:line="240" w:lineRule="exact"/>
              <w:jc w:val="center"/>
              <w:rPr>
                <w:rFonts w:ascii="Times New Roman" w:hAnsi="Times New Roman" w:cs="Times New Roman"/>
                <w:sz w:val="21"/>
                <w:szCs w:val="21"/>
              </w:rPr>
            </w:pPr>
            <w:r>
              <w:rPr>
                <w:rFonts w:ascii="Times New Roman" w:hAnsi="Times New Roman" w:cs="Times New Roman"/>
                <w:sz w:val="21"/>
                <w:szCs w:val="21"/>
              </w:rPr>
              <w:t>300</w:t>
            </w:r>
          </w:p>
        </w:tc>
        <w:tc>
          <w:tcPr>
            <w:tcW w:w="851" w:type="dxa"/>
            <w:tcBorders>
              <w:top w:val="single" w:color="auto" w:sz="6" w:space="0"/>
            </w:tcBorders>
            <w:noWrap w:val="0"/>
            <w:vAlign w:val="center"/>
          </w:tcPr>
          <w:p w14:paraId="20184C01">
            <w:pPr>
              <w:spacing w:line="240" w:lineRule="exact"/>
              <w:jc w:val="center"/>
              <w:rPr>
                <w:rFonts w:ascii="Times New Roman" w:hAnsi="Times New Roman" w:cs="Times New Roman"/>
                <w:sz w:val="21"/>
                <w:szCs w:val="21"/>
              </w:rPr>
            </w:pPr>
            <w:r>
              <w:rPr>
                <w:rFonts w:ascii="Times New Roman" w:hAnsi="Times New Roman" w:cs="Times New Roman"/>
                <w:sz w:val="21"/>
                <w:szCs w:val="21"/>
              </w:rPr>
              <w:t>--</w:t>
            </w:r>
          </w:p>
        </w:tc>
        <w:tc>
          <w:tcPr>
            <w:tcW w:w="851" w:type="dxa"/>
            <w:tcBorders>
              <w:top w:val="single" w:color="auto" w:sz="6" w:space="0"/>
            </w:tcBorders>
            <w:noWrap w:val="0"/>
            <w:vAlign w:val="center"/>
          </w:tcPr>
          <w:p w14:paraId="3D0E2446">
            <w:pPr>
              <w:spacing w:line="240" w:lineRule="exact"/>
              <w:jc w:val="center"/>
              <w:rPr>
                <w:rFonts w:ascii="Times New Roman" w:hAnsi="Times New Roman" w:cs="Times New Roman"/>
                <w:sz w:val="21"/>
                <w:szCs w:val="21"/>
              </w:rPr>
            </w:pPr>
            <w:r>
              <w:rPr>
                <w:rFonts w:ascii="Times New Roman" w:hAnsi="Times New Roman" w:cs="Times New Roman"/>
                <w:sz w:val="21"/>
                <w:szCs w:val="21"/>
              </w:rPr>
              <w:t>--</w:t>
            </w:r>
          </w:p>
        </w:tc>
        <w:tc>
          <w:tcPr>
            <w:tcW w:w="851" w:type="dxa"/>
            <w:tcBorders>
              <w:top w:val="single" w:color="auto" w:sz="6" w:space="0"/>
            </w:tcBorders>
            <w:noWrap w:val="0"/>
            <w:vAlign w:val="center"/>
          </w:tcPr>
          <w:p w14:paraId="0504C4B3">
            <w:pPr>
              <w:spacing w:line="240" w:lineRule="exact"/>
              <w:jc w:val="center"/>
              <w:rPr>
                <w:rFonts w:ascii="Times New Roman" w:hAnsi="Times New Roman" w:cs="Times New Roman"/>
                <w:sz w:val="21"/>
                <w:szCs w:val="21"/>
              </w:rPr>
            </w:pPr>
            <w:r>
              <w:rPr>
                <w:rFonts w:ascii="Times New Roman" w:hAnsi="Times New Roman" w:cs="Times New Roman"/>
                <w:sz w:val="21"/>
                <w:szCs w:val="21"/>
              </w:rPr>
              <w:t>--</w:t>
            </w:r>
          </w:p>
        </w:tc>
        <w:tc>
          <w:tcPr>
            <w:tcW w:w="761" w:type="dxa"/>
            <w:tcBorders>
              <w:top w:val="single" w:color="auto" w:sz="6" w:space="0"/>
            </w:tcBorders>
            <w:noWrap w:val="0"/>
            <w:vAlign w:val="center"/>
          </w:tcPr>
          <w:p w14:paraId="1AA03CE4">
            <w:pPr>
              <w:spacing w:line="240" w:lineRule="exact"/>
              <w:jc w:val="center"/>
              <w:rPr>
                <w:rFonts w:ascii="Times New Roman" w:hAnsi="Times New Roman" w:cs="Times New Roman"/>
                <w:sz w:val="21"/>
                <w:szCs w:val="21"/>
              </w:rPr>
            </w:pPr>
            <w:r>
              <w:rPr>
                <w:rFonts w:ascii="Times New Roman" w:hAnsi="Times New Roman" w:cs="Times New Roman"/>
                <w:sz w:val="21"/>
                <w:szCs w:val="21"/>
              </w:rPr>
              <w:t>--</w:t>
            </w:r>
          </w:p>
        </w:tc>
      </w:tr>
      <w:bookmarkEnd w:id="81"/>
      <w:bookmarkEnd w:id="82"/>
      <w:bookmarkEnd w:id="83"/>
      <w:bookmarkEnd w:id="84"/>
    </w:tbl>
    <w:p w14:paraId="27225B05">
      <w:pPr>
        <w:pStyle w:val="7"/>
      </w:pPr>
      <w:bookmarkStart w:id="86" w:name="_Toc90026193"/>
      <w:bookmarkStart w:id="87" w:name="_Toc4152"/>
      <w:bookmarkStart w:id="88" w:name="_Toc151278905"/>
      <w:bookmarkStart w:id="89" w:name="_Toc151276124"/>
      <w:bookmarkStart w:id="90" w:name="_Toc151200076"/>
      <w:bookmarkStart w:id="91" w:name="_Toc154570231"/>
      <w:bookmarkStart w:id="92" w:name="_Toc154569844"/>
      <w:bookmarkStart w:id="93" w:name="_Toc153878440"/>
      <w:bookmarkStart w:id="94" w:name="_Toc153007104"/>
      <w:bookmarkStart w:id="95" w:name="_Toc166464713"/>
      <w:bookmarkStart w:id="96" w:name="_Toc158523393"/>
      <w:bookmarkStart w:id="97" w:name="_Toc175714241"/>
      <w:bookmarkStart w:id="98" w:name="_Toc175711408"/>
      <w:bookmarkStart w:id="99" w:name="_Toc151200236"/>
      <w:r>
        <w:t>1.4.2 排放（控制）标准</w:t>
      </w:r>
      <w:bookmarkEnd w:id="86"/>
      <w:bookmarkEnd w:id="87"/>
    </w:p>
    <w:p w14:paraId="1BF8E1CE">
      <w:pPr>
        <w:spacing w:line="500" w:lineRule="exact"/>
        <w:ind w:firstLine="482" w:firstLineChars="200"/>
        <w:rPr>
          <w:rFonts w:hint="eastAsia" w:ascii="Times New Roman" w:hAnsi="Times New Roman" w:cs="Times New Roman"/>
          <w:b/>
        </w:rPr>
      </w:pPr>
      <w:r>
        <w:rPr>
          <w:rFonts w:ascii="Times New Roman" w:hAnsi="Times New Roman" w:cs="Times New Roman"/>
          <w:b/>
        </w:rPr>
        <w:t>（1）废气</w:t>
      </w:r>
    </w:p>
    <w:p w14:paraId="2E98123C">
      <w:pPr>
        <w:pStyle w:val="310"/>
        <w:snapToGrid/>
        <w:spacing w:line="500" w:lineRule="exact"/>
        <w:jc w:val="both"/>
        <w:rPr>
          <w:rFonts w:hint="eastAsia"/>
          <w:b/>
          <w:lang w:eastAsia="zh-CN"/>
        </w:rPr>
      </w:pPr>
      <w:r>
        <w:rPr>
          <w:rFonts w:hint="eastAsia"/>
          <w:b/>
          <w:lang w:eastAsia="zh-CN"/>
        </w:rPr>
        <w:t>① 现有工程：</w:t>
      </w:r>
    </w:p>
    <w:p w14:paraId="14F0C5BB">
      <w:pPr>
        <w:pStyle w:val="310"/>
        <w:snapToGrid/>
        <w:spacing w:line="500" w:lineRule="exact"/>
        <w:jc w:val="both"/>
        <w:rPr>
          <w:rFonts w:hint="eastAsia"/>
          <w:lang w:eastAsia="zh-CN"/>
        </w:rPr>
      </w:pPr>
      <w:r>
        <w:rPr>
          <w:rFonts w:ascii="宋体" w:hAnsi="宋体" w:eastAsia="宋体" w:cs="宋体"/>
          <w:sz w:val="24"/>
          <w:szCs w:val="24"/>
        </w:rPr>
        <w:t>烧结机头、球团焙烧设备</w:t>
      </w:r>
      <w:r>
        <w:rPr>
          <w:rFonts w:hint="eastAsia"/>
          <w:lang w:eastAsia="zh-CN"/>
        </w:rPr>
        <w:t>：颗粒物、二氧化硫、氮氧化物（以NO</w:t>
      </w:r>
      <w:r>
        <w:rPr>
          <w:rFonts w:hint="eastAsia"/>
          <w:vertAlign w:val="subscript"/>
          <w:lang w:eastAsia="zh-CN"/>
        </w:rPr>
        <w:t>2</w:t>
      </w:r>
      <w:r>
        <w:rPr>
          <w:rFonts w:hint="eastAsia"/>
          <w:lang w:eastAsia="zh-CN"/>
        </w:rPr>
        <w:t>计）、氟化物（以F计）、二噁英类、氨执行《钢铁工业大气污染物排放标准》（DB21/ 4119—2025</w:t>
      </w:r>
      <w:r>
        <w:rPr>
          <w:lang w:eastAsia="zh-CN"/>
        </w:rPr>
        <w:t>）表</w:t>
      </w:r>
      <w:r>
        <w:rPr>
          <w:rFonts w:hint="eastAsia"/>
          <w:lang w:val="en-US" w:eastAsia="zh-CN"/>
        </w:rPr>
        <w:t>1</w:t>
      </w:r>
      <w:r>
        <w:rPr>
          <w:lang w:eastAsia="zh-CN"/>
        </w:rPr>
        <w:t>排放限值</w:t>
      </w:r>
      <w:r>
        <w:rPr>
          <w:rFonts w:hint="eastAsia"/>
          <w:lang w:eastAsia="zh-CN"/>
        </w:rPr>
        <w:t>。</w:t>
      </w:r>
    </w:p>
    <w:p w14:paraId="6C8B24A7">
      <w:pPr>
        <w:pStyle w:val="310"/>
        <w:snapToGrid/>
        <w:spacing w:line="500" w:lineRule="exact"/>
        <w:jc w:val="both"/>
        <w:rPr>
          <w:rFonts w:hint="eastAsia"/>
          <w:lang w:eastAsia="zh-CN"/>
        </w:rPr>
      </w:pPr>
      <w:r>
        <w:rPr>
          <w:rFonts w:ascii="宋体" w:hAnsi="宋体" w:eastAsia="宋体" w:cs="宋体"/>
          <w:sz w:val="24"/>
          <w:szCs w:val="24"/>
        </w:rPr>
        <w:t>烧结机机尾</w:t>
      </w:r>
      <w:r>
        <w:rPr>
          <w:rFonts w:hint="eastAsia" w:ascii="宋体" w:hAnsi="宋体" w:eastAsia="宋体" w:cs="宋体"/>
          <w:sz w:val="24"/>
          <w:szCs w:val="24"/>
          <w:lang w:eastAsia="zh-CN"/>
        </w:rPr>
        <w:t>：</w:t>
      </w:r>
      <w:r>
        <w:rPr>
          <w:rFonts w:hint="eastAsia"/>
          <w:lang w:eastAsia="zh-CN"/>
        </w:rPr>
        <w:t>颗粒物执行《钢铁工业大气污染物排放标准》（DB21/ 4119—2025</w:t>
      </w:r>
      <w:r>
        <w:rPr>
          <w:lang w:eastAsia="zh-CN"/>
        </w:rPr>
        <w:t>）表</w:t>
      </w:r>
      <w:r>
        <w:rPr>
          <w:rFonts w:hint="eastAsia"/>
          <w:lang w:val="en-US" w:eastAsia="zh-CN"/>
        </w:rPr>
        <w:t>1</w:t>
      </w:r>
      <w:r>
        <w:rPr>
          <w:lang w:eastAsia="zh-CN"/>
        </w:rPr>
        <w:t>排放限值</w:t>
      </w:r>
      <w:r>
        <w:rPr>
          <w:rFonts w:hint="eastAsia"/>
          <w:lang w:eastAsia="zh-CN"/>
        </w:rPr>
        <w:t>。</w:t>
      </w:r>
    </w:p>
    <w:p w14:paraId="1FADD9FF">
      <w:pPr>
        <w:pStyle w:val="310"/>
        <w:snapToGrid/>
        <w:spacing w:line="500" w:lineRule="exact"/>
        <w:jc w:val="both"/>
        <w:rPr>
          <w:rFonts w:hint="eastAsia"/>
          <w:lang w:eastAsia="zh-CN"/>
        </w:rPr>
      </w:pPr>
      <w:r>
        <w:rPr>
          <w:rFonts w:ascii="宋体" w:hAnsi="宋体" w:eastAsia="宋体" w:cs="宋体"/>
          <w:sz w:val="24"/>
          <w:szCs w:val="24"/>
        </w:rPr>
        <w:t>热风炉</w:t>
      </w:r>
      <w:r>
        <w:rPr>
          <w:rFonts w:hint="eastAsia" w:ascii="宋体" w:hAnsi="宋体" w:eastAsia="宋体" w:cs="宋体"/>
          <w:sz w:val="24"/>
          <w:szCs w:val="24"/>
          <w:lang w:eastAsia="zh-CN"/>
        </w:rPr>
        <w:t>：</w:t>
      </w:r>
      <w:r>
        <w:rPr>
          <w:rFonts w:hint="eastAsia"/>
          <w:lang w:eastAsia="zh-CN"/>
        </w:rPr>
        <w:t>颗粒物、二氧化硫、氮氧化物（以NO</w:t>
      </w:r>
      <w:r>
        <w:rPr>
          <w:rFonts w:hint="eastAsia"/>
          <w:vertAlign w:val="subscript"/>
          <w:lang w:eastAsia="zh-CN"/>
        </w:rPr>
        <w:t>2</w:t>
      </w:r>
      <w:r>
        <w:rPr>
          <w:rFonts w:hint="eastAsia"/>
          <w:lang w:eastAsia="zh-CN"/>
        </w:rPr>
        <w:t>计）执行《钢铁工业大气污染物排放标准》（DB21/ 4119—2025</w:t>
      </w:r>
      <w:r>
        <w:rPr>
          <w:lang w:eastAsia="zh-CN"/>
        </w:rPr>
        <w:t>）表</w:t>
      </w:r>
      <w:r>
        <w:rPr>
          <w:rFonts w:hint="eastAsia"/>
          <w:lang w:val="en-US" w:eastAsia="zh-CN"/>
        </w:rPr>
        <w:t>1</w:t>
      </w:r>
      <w:r>
        <w:rPr>
          <w:lang w:eastAsia="zh-CN"/>
        </w:rPr>
        <w:t>排放限值</w:t>
      </w:r>
      <w:r>
        <w:rPr>
          <w:rFonts w:hint="eastAsia"/>
          <w:lang w:eastAsia="zh-CN"/>
        </w:rPr>
        <w:t>。</w:t>
      </w:r>
    </w:p>
    <w:p w14:paraId="12B6B8F6">
      <w:pPr>
        <w:pStyle w:val="310"/>
        <w:snapToGrid/>
        <w:spacing w:line="500" w:lineRule="exact"/>
        <w:jc w:val="both"/>
        <w:rPr>
          <w:rFonts w:hint="eastAsia"/>
          <w:lang w:eastAsia="zh-CN"/>
        </w:rPr>
      </w:pPr>
      <w:r>
        <w:rPr>
          <w:rFonts w:ascii="宋体" w:hAnsi="宋体" w:eastAsia="宋体" w:cs="宋体"/>
          <w:sz w:val="24"/>
          <w:szCs w:val="24"/>
        </w:rPr>
        <w:t>高炉出铁场、高炉矿槽</w:t>
      </w:r>
      <w:r>
        <w:rPr>
          <w:rFonts w:hint="eastAsia" w:ascii="宋体" w:hAnsi="宋体" w:eastAsia="宋体" w:cs="宋体"/>
          <w:sz w:val="24"/>
          <w:szCs w:val="24"/>
          <w:lang w:eastAsia="zh-CN"/>
        </w:rPr>
        <w:t>：</w:t>
      </w:r>
      <w:r>
        <w:rPr>
          <w:rFonts w:ascii="宋体" w:hAnsi="宋体" w:eastAsia="宋体" w:cs="宋体"/>
          <w:sz w:val="24"/>
          <w:szCs w:val="24"/>
        </w:rPr>
        <w:t>颗粒物</w:t>
      </w:r>
      <w:r>
        <w:rPr>
          <w:rFonts w:hint="eastAsia"/>
          <w:lang w:eastAsia="zh-CN"/>
        </w:rPr>
        <w:t>执行《钢铁工业大气污染物排放标准》（DB21/ 4119—2025</w:t>
      </w:r>
      <w:r>
        <w:rPr>
          <w:lang w:eastAsia="zh-CN"/>
        </w:rPr>
        <w:t>）表</w:t>
      </w:r>
      <w:r>
        <w:rPr>
          <w:rFonts w:hint="eastAsia"/>
          <w:lang w:val="en-US" w:eastAsia="zh-CN"/>
        </w:rPr>
        <w:t>1</w:t>
      </w:r>
      <w:r>
        <w:rPr>
          <w:lang w:eastAsia="zh-CN"/>
        </w:rPr>
        <w:t xml:space="preserve"> 排放限值</w:t>
      </w:r>
      <w:r>
        <w:rPr>
          <w:rFonts w:hint="eastAsia"/>
          <w:lang w:eastAsia="zh-CN"/>
        </w:rPr>
        <w:t>。</w:t>
      </w:r>
    </w:p>
    <w:p w14:paraId="49AB58AF">
      <w:pPr>
        <w:pStyle w:val="310"/>
        <w:snapToGrid/>
        <w:spacing w:line="500" w:lineRule="exact"/>
        <w:jc w:val="both"/>
        <w:rPr>
          <w:rFonts w:hint="eastAsia"/>
          <w:lang w:eastAsia="zh-CN"/>
        </w:rPr>
      </w:pPr>
      <w:r>
        <w:rPr>
          <w:rFonts w:hint="eastAsia"/>
          <w:lang w:eastAsia="zh-CN"/>
        </w:rPr>
        <w:t>原料系统、煤粉系统及其他生产设施 ：颗粒物执行《钢铁工业大气污染物排放标准》（DB21/ 4119—2025</w:t>
      </w:r>
      <w:r>
        <w:rPr>
          <w:lang w:eastAsia="zh-CN"/>
        </w:rPr>
        <w:t>）表</w:t>
      </w:r>
      <w:r>
        <w:rPr>
          <w:rFonts w:hint="eastAsia"/>
          <w:lang w:val="en-US" w:eastAsia="zh-CN"/>
        </w:rPr>
        <w:t>1</w:t>
      </w:r>
      <w:r>
        <w:rPr>
          <w:lang w:eastAsia="zh-CN"/>
        </w:rPr>
        <w:t>排放限值</w:t>
      </w:r>
      <w:r>
        <w:rPr>
          <w:rFonts w:hint="eastAsia"/>
          <w:lang w:eastAsia="zh-CN"/>
        </w:rPr>
        <w:t>。</w:t>
      </w:r>
    </w:p>
    <w:p w14:paraId="1B6C43CD">
      <w:pPr>
        <w:pStyle w:val="310"/>
        <w:snapToGrid/>
        <w:spacing w:line="500" w:lineRule="exact"/>
        <w:jc w:val="both"/>
        <w:rPr>
          <w:lang w:eastAsia="zh-CN"/>
        </w:rPr>
      </w:pPr>
      <w:r>
        <w:rPr>
          <w:rFonts w:hint="eastAsia"/>
          <w:lang w:val="en-US" w:eastAsia="zh-CN"/>
        </w:rPr>
        <w:t>厂界：</w:t>
      </w:r>
      <w:r>
        <w:rPr>
          <w:rFonts w:hint="eastAsia"/>
          <w:lang w:eastAsia="zh-CN"/>
        </w:rPr>
        <w:t>颗粒物执行《钢铁工业大气污染物排放标准》（DB21/ 4119—2025</w:t>
      </w:r>
      <w:r>
        <w:rPr>
          <w:lang w:eastAsia="zh-CN"/>
        </w:rPr>
        <w:t>）表</w:t>
      </w:r>
      <w:r>
        <w:rPr>
          <w:rFonts w:hint="eastAsia"/>
          <w:lang w:val="en-US" w:eastAsia="zh-CN"/>
        </w:rPr>
        <w:t>2</w:t>
      </w:r>
      <w:r>
        <w:rPr>
          <w:lang w:eastAsia="zh-CN"/>
        </w:rPr>
        <w:t>排放限值</w:t>
      </w:r>
      <w:r>
        <w:rPr>
          <w:rFonts w:hint="eastAsia"/>
          <w:lang w:eastAsia="zh-CN"/>
        </w:rPr>
        <w:t>。</w:t>
      </w:r>
    </w:p>
    <w:p w14:paraId="7E28F1BE">
      <w:pPr>
        <w:pStyle w:val="310"/>
        <w:snapToGrid/>
        <w:spacing w:line="500" w:lineRule="exact"/>
        <w:jc w:val="both"/>
        <w:rPr>
          <w:rFonts w:hint="eastAsia"/>
          <w:b/>
          <w:lang w:eastAsia="zh-CN"/>
        </w:rPr>
      </w:pPr>
      <w:r>
        <w:rPr>
          <w:rFonts w:hint="eastAsia"/>
          <w:b/>
          <w:lang w:eastAsia="zh-CN"/>
        </w:rPr>
        <w:t>② 本项目：</w:t>
      </w:r>
    </w:p>
    <w:p w14:paraId="6229076C">
      <w:pPr>
        <w:pStyle w:val="310"/>
        <w:snapToGrid/>
        <w:spacing w:line="500" w:lineRule="exact"/>
        <w:jc w:val="both"/>
        <w:rPr>
          <w:rFonts w:hint="eastAsia"/>
          <w:lang w:eastAsia="zh-CN"/>
        </w:rPr>
      </w:pPr>
      <w:r>
        <w:rPr>
          <w:rFonts w:ascii="宋体" w:hAnsi="宋体" w:eastAsia="宋体" w:cs="宋体"/>
          <w:sz w:val="24"/>
          <w:szCs w:val="24"/>
        </w:rPr>
        <w:t>烧结机头、球团焙烧设备</w:t>
      </w:r>
      <w:r>
        <w:rPr>
          <w:rFonts w:hint="eastAsia"/>
          <w:lang w:eastAsia="zh-CN"/>
        </w:rPr>
        <w:t>：颗粒物、二氧化硫、氮氧化物（以NO</w:t>
      </w:r>
      <w:r>
        <w:rPr>
          <w:rFonts w:hint="eastAsia"/>
          <w:vertAlign w:val="subscript"/>
          <w:lang w:eastAsia="zh-CN"/>
        </w:rPr>
        <w:t>2</w:t>
      </w:r>
      <w:r>
        <w:rPr>
          <w:rFonts w:hint="eastAsia"/>
          <w:lang w:eastAsia="zh-CN"/>
        </w:rPr>
        <w:t>计）、氟化物（以F计）、二噁英类、氨执行《钢铁工业大气污染物排放标准》（DB21/ 4119—2025</w:t>
      </w:r>
      <w:r>
        <w:rPr>
          <w:lang w:eastAsia="zh-CN"/>
        </w:rPr>
        <w:t>）表</w:t>
      </w:r>
      <w:r>
        <w:rPr>
          <w:rFonts w:hint="eastAsia"/>
          <w:lang w:val="en-US" w:eastAsia="zh-CN"/>
        </w:rPr>
        <w:t>1</w:t>
      </w:r>
      <w:r>
        <w:rPr>
          <w:lang w:eastAsia="zh-CN"/>
        </w:rPr>
        <w:t>排放限值</w:t>
      </w:r>
      <w:r>
        <w:rPr>
          <w:rFonts w:hint="eastAsia"/>
          <w:lang w:eastAsia="zh-CN"/>
        </w:rPr>
        <w:t>。</w:t>
      </w:r>
    </w:p>
    <w:p w14:paraId="15AE98D0">
      <w:pPr>
        <w:pStyle w:val="310"/>
        <w:snapToGrid/>
        <w:spacing w:line="500" w:lineRule="exact"/>
        <w:jc w:val="both"/>
        <w:rPr>
          <w:rFonts w:hint="eastAsia"/>
          <w:lang w:eastAsia="zh-CN"/>
        </w:rPr>
      </w:pPr>
      <w:r>
        <w:rPr>
          <w:rFonts w:ascii="宋体" w:hAnsi="宋体" w:eastAsia="宋体" w:cs="宋体"/>
          <w:sz w:val="24"/>
          <w:szCs w:val="24"/>
        </w:rPr>
        <w:t>烧结机机尾</w:t>
      </w:r>
      <w:r>
        <w:rPr>
          <w:rFonts w:hint="eastAsia" w:ascii="宋体" w:hAnsi="宋体" w:eastAsia="宋体" w:cs="宋体"/>
          <w:sz w:val="24"/>
          <w:szCs w:val="24"/>
          <w:lang w:eastAsia="zh-CN"/>
        </w:rPr>
        <w:t>：</w:t>
      </w:r>
      <w:r>
        <w:rPr>
          <w:rFonts w:hint="eastAsia"/>
          <w:lang w:eastAsia="zh-CN"/>
        </w:rPr>
        <w:t>颗粒物执行《钢铁工业大气污染物排放标准》（DB21/ 4119—2025</w:t>
      </w:r>
      <w:r>
        <w:rPr>
          <w:lang w:eastAsia="zh-CN"/>
        </w:rPr>
        <w:t>）表</w:t>
      </w:r>
      <w:r>
        <w:rPr>
          <w:rFonts w:hint="eastAsia"/>
          <w:lang w:val="en-US" w:eastAsia="zh-CN"/>
        </w:rPr>
        <w:t>1</w:t>
      </w:r>
      <w:r>
        <w:rPr>
          <w:lang w:eastAsia="zh-CN"/>
        </w:rPr>
        <w:t>排放限值</w:t>
      </w:r>
      <w:r>
        <w:rPr>
          <w:rFonts w:hint="eastAsia"/>
          <w:lang w:eastAsia="zh-CN"/>
        </w:rPr>
        <w:t>。</w:t>
      </w:r>
    </w:p>
    <w:p w14:paraId="3D674F73">
      <w:pPr>
        <w:pStyle w:val="310"/>
        <w:snapToGrid/>
        <w:spacing w:line="500" w:lineRule="exact"/>
        <w:jc w:val="both"/>
        <w:rPr>
          <w:rFonts w:hint="eastAsia"/>
          <w:lang w:eastAsia="zh-CN"/>
        </w:rPr>
      </w:pPr>
      <w:r>
        <w:rPr>
          <w:rFonts w:hint="eastAsia"/>
          <w:lang w:eastAsia="zh-CN"/>
        </w:rPr>
        <w:t>原料系统、煤粉系统及其他生产设施 ：颗粒物执行《钢铁工业大气污染物排放标准》（DB21/ 4119—2025</w:t>
      </w:r>
      <w:r>
        <w:rPr>
          <w:lang w:eastAsia="zh-CN"/>
        </w:rPr>
        <w:t>）表</w:t>
      </w:r>
      <w:r>
        <w:rPr>
          <w:rFonts w:hint="eastAsia"/>
          <w:lang w:val="en-US" w:eastAsia="zh-CN"/>
        </w:rPr>
        <w:t>1</w:t>
      </w:r>
      <w:r>
        <w:rPr>
          <w:lang w:eastAsia="zh-CN"/>
        </w:rPr>
        <w:t>排放限值</w:t>
      </w:r>
      <w:r>
        <w:rPr>
          <w:rFonts w:hint="eastAsia"/>
          <w:lang w:eastAsia="zh-CN"/>
        </w:rPr>
        <w:t>。</w:t>
      </w:r>
    </w:p>
    <w:p w14:paraId="005E796E">
      <w:pPr>
        <w:pStyle w:val="310"/>
        <w:snapToGrid/>
        <w:spacing w:line="500" w:lineRule="exact"/>
        <w:jc w:val="both"/>
        <w:rPr>
          <w:lang w:eastAsia="zh-CN"/>
        </w:rPr>
      </w:pPr>
      <w:r>
        <w:rPr>
          <w:rFonts w:hint="eastAsia"/>
          <w:lang w:val="en-US" w:eastAsia="zh-CN"/>
        </w:rPr>
        <w:t>厂界：</w:t>
      </w:r>
      <w:r>
        <w:rPr>
          <w:rFonts w:hint="eastAsia"/>
          <w:lang w:eastAsia="zh-CN"/>
        </w:rPr>
        <w:t>颗粒物执行《钢铁工业大气污染物排放标准》（DB21/ 4119—2025</w:t>
      </w:r>
      <w:r>
        <w:rPr>
          <w:lang w:eastAsia="zh-CN"/>
        </w:rPr>
        <w:t>）表</w:t>
      </w:r>
      <w:r>
        <w:rPr>
          <w:rFonts w:hint="eastAsia"/>
          <w:lang w:val="en-US" w:eastAsia="zh-CN"/>
        </w:rPr>
        <w:t>2</w:t>
      </w:r>
      <w:r>
        <w:rPr>
          <w:lang w:eastAsia="zh-CN"/>
        </w:rPr>
        <w:t>排放限值</w:t>
      </w:r>
      <w:r>
        <w:rPr>
          <w:rFonts w:hint="eastAsia"/>
          <w:lang w:eastAsia="zh-CN"/>
        </w:rPr>
        <w:t>。</w:t>
      </w:r>
    </w:p>
    <w:p w14:paraId="2FC81C86">
      <w:pPr>
        <w:pStyle w:val="310"/>
        <w:snapToGrid/>
        <w:spacing w:line="500" w:lineRule="exact"/>
        <w:jc w:val="both"/>
        <w:rPr>
          <w:rFonts w:hint="eastAsia"/>
          <w:lang w:eastAsia="zh-CN"/>
        </w:rPr>
      </w:pPr>
      <w:r>
        <w:rPr>
          <w:rFonts w:hint="eastAsia"/>
          <w:lang w:eastAsia="zh-CN"/>
        </w:rPr>
        <w:t>本溪玉麒麟新材料有限公司有组织排放废气具体执行标准</w:t>
      </w:r>
      <w:r>
        <w:rPr>
          <w:lang w:eastAsia="zh-CN"/>
        </w:rPr>
        <w:t>详见表1.4-</w:t>
      </w:r>
      <w:r>
        <w:rPr>
          <w:rFonts w:hint="eastAsia"/>
          <w:lang w:eastAsia="zh-CN"/>
        </w:rPr>
        <w:t>4</w:t>
      </w:r>
      <w:r>
        <w:rPr>
          <w:lang w:eastAsia="zh-CN"/>
        </w:rPr>
        <w:t>。</w:t>
      </w:r>
    </w:p>
    <w:p w14:paraId="7421A044">
      <w:pPr>
        <w:pStyle w:val="112"/>
        <w:snapToGrid/>
      </w:pPr>
      <w:r>
        <w:t>表1.4-</w:t>
      </w:r>
      <w:r>
        <w:rPr>
          <w:rFonts w:hint="eastAsia"/>
        </w:rPr>
        <w:t>4</w:t>
      </w:r>
      <w:r>
        <w:t xml:space="preserve">  </w:t>
      </w:r>
      <w:r>
        <w:rPr>
          <w:rFonts w:hint="eastAsia"/>
          <w:lang w:eastAsia="zh-CN"/>
        </w:rPr>
        <w:t>本溪玉麒麟新材料有限公司</w:t>
      </w:r>
      <w:r>
        <w:t>有组织排放废气污染物排放标准一览表</w:t>
      </w:r>
    </w:p>
    <w:tbl>
      <w:tblPr>
        <w:tblStyle w:val="56"/>
        <w:tblW w:w="5000" w:type="pct"/>
        <w:jc w:val="center"/>
        <w:tblBorders>
          <w:top w:val="thinThickSmallGap" w:color="auto" w:sz="12" w:space="0"/>
          <w:left w:val="none" w:color="auto" w:sz="0" w:space="0"/>
          <w:bottom w:val="thickThinSmallGap" w:color="auto" w:sz="12" w:space="0"/>
          <w:right w:val="none" w:color="auto" w:sz="0" w:space="0"/>
          <w:insideH w:val="single" w:color="auto" w:sz="6" w:space="0"/>
          <w:insideV w:val="single" w:color="auto" w:sz="6" w:space="0"/>
        </w:tblBorders>
        <w:tblLayout w:type="autofit"/>
        <w:tblCellMar>
          <w:top w:w="0" w:type="dxa"/>
          <w:left w:w="108" w:type="dxa"/>
          <w:bottom w:w="0" w:type="dxa"/>
          <w:right w:w="108" w:type="dxa"/>
        </w:tblCellMar>
      </w:tblPr>
      <w:tblGrid>
        <w:gridCol w:w="1099"/>
        <w:gridCol w:w="1724"/>
        <w:gridCol w:w="2225"/>
        <w:gridCol w:w="1583"/>
        <w:gridCol w:w="2090"/>
      </w:tblGrid>
      <w:tr w14:paraId="11272205">
        <w:tblPrEx>
          <w:tblBorders>
            <w:top w:val="thinThickSmallGap" w:color="auto" w:sz="12" w:space="0"/>
            <w:left w:val="none" w:color="auto" w:sz="0" w:space="0"/>
            <w:bottom w:val="thickThinSmallGap"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630" w:type="pct"/>
            <w:tcBorders>
              <w:top w:val="thinThickSmallGap" w:color="auto" w:sz="12" w:space="0"/>
              <w:bottom w:val="single" w:color="auto" w:sz="6" w:space="0"/>
            </w:tcBorders>
            <w:shd w:val="clear" w:color="auto" w:fill="E0E0E0"/>
            <w:noWrap w:val="0"/>
            <w:vAlign w:val="center"/>
          </w:tcPr>
          <w:p w14:paraId="3EE3F386">
            <w:pPr>
              <w:ind w:right="-62"/>
              <w:jc w:val="center"/>
              <w:rPr>
                <w:rFonts w:ascii="Times New Roman" w:hAnsi="Times New Roman" w:cs="Times New Roman"/>
                <w:sz w:val="21"/>
                <w:szCs w:val="21"/>
              </w:rPr>
            </w:pPr>
            <w:r>
              <w:rPr>
                <w:rFonts w:hint="eastAsia" w:ascii="Times New Roman" w:hAnsi="Times New Roman" w:cs="Times New Roman"/>
                <w:sz w:val="21"/>
                <w:szCs w:val="21"/>
              </w:rPr>
              <w:t>项目</w:t>
            </w:r>
          </w:p>
        </w:tc>
        <w:tc>
          <w:tcPr>
            <w:tcW w:w="988" w:type="pct"/>
            <w:tcBorders>
              <w:top w:val="thinThickSmallGap" w:color="auto" w:sz="12" w:space="0"/>
              <w:bottom w:val="single" w:color="auto" w:sz="6" w:space="0"/>
            </w:tcBorders>
            <w:shd w:val="clear" w:color="auto" w:fill="E0E0E0"/>
            <w:noWrap w:val="0"/>
            <w:vAlign w:val="center"/>
          </w:tcPr>
          <w:p w14:paraId="425A2259">
            <w:pPr>
              <w:ind w:right="-62"/>
              <w:jc w:val="center"/>
              <w:rPr>
                <w:rFonts w:ascii="Times New Roman" w:hAnsi="Times New Roman" w:cs="Times New Roman"/>
                <w:sz w:val="21"/>
                <w:szCs w:val="21"/>
              </w:rPr>
            </w:pPr>
            <w:r>
              <w:rPr>
                <w:rFonts w:ascii="Times New Roman" w:hAnsi="Times New Roman" w:cs="Times New Roman"/>
                <w:sz w:val="21"/>
                <w:szCs w:val="21"/>
              </w:rPr>
              <w:t>生产工艺或设施</w:t>
            </w:r>
          </w:p>
        </w:tc>
        <w:tc>
          <w:tcPr>
            <w:tcW w:w="1275" w:type="pct"/>
            <w:tcBorders>
              <w:top w:val="thinThickSmallGap" w:color="auto" w:sz="12" w:space="0"/>
              <w:bottom w:val="single" w:color="auto" w:sz="6" w:space="0"/>
            </w:tcBorders>
            <w:shd w:val="clear" w:color="auto" w:fill="E0E0E0"/>
            <w:noWrap w:val="0"/>
            <w:vAlign w:val="center"/>
          </w:tcPr>
          <w:p w14:paraId="470464A0">
            <w:pPr>
              <w:ind w:right="-62"/>
              <w:jc w:val="center"/>
              <w:rPr>
                <w:rFonts w:ascii="Times New Roman" w:hAnsi="Times New Roman" w:cs="Times New Roman"/>
                <w:sz w:val="21"/>
                <w:szCs w:val="21"/>
              </w:rPr>
            </w:pPr>
            <w:r>
              <w:rPr>
                <w:rFonts w:ascii="Times New Roman" w:hAnsi="Times New Roman" w:cs="Times New Roman"/>
                <w:sz w:val="21"/>
                <w:szCs w:val="21"/>
              </w:rPr>
              <w:t>污染物项目</w:t>
            </w:r>
          </w:p>
        </w:tc>
        <w:tc>
          <w:tcPr>
            <w:tcW w:w="907" w:type="pct"/>
            <w:tcBorders>
              <w:top w:val="thinThickSmallGap" w:color="auto" w:sz="12" w:space="0"/>
              <w:bottom w:val="single" w:color="auto" w:sz="6" w:space="0"/>
            </w:tcBorders>
            <w:shd w:val="clear" w:color="auto" w:fill="E0E0E0"/>
            <w:noWrap w:val="0"/>
            <w:vAlign w:val="center"/>
          </w:tcPr>
          <w:p w14:paraId="391D1FD2">
            <w:pPr>
              <w:ind w:right="-62"/>
              <w:jc w:val="center"/>
              <w:rPr>
                <w:rFonts w:ascii="Times New Roman" w:hAnsi="Times New Roman" w:cs="Times New Roman"/>
                <w:sz w:val="21"/>
                <w:szCs w:val="21"/>
              </w:rPr>
            </w:pPr>
            <w:r>
              <w:rPr>
                <w:rFonts w:ascii="Times New Roman" w:hAnsi="Times New Roman" w:cs="Times New Roman"/>
                <w:sz w:val="21"/>
                <w:szCs w:val="21"/>
              </w:rPr>
              <w:t>排放限值（mg/m</w:t>
            </w:r>
            <w:r>
              <w:rPr>
                <w:rFonts w:ascii="Times New Roman" w:hAnsi="Times New Roman" w:cs="Times New Roman"/>
                <w:sz w:val="21"/>
                <w:szCs w:val="21"/>
                <w:vertAlign w:val="superscript"/>
              </w:rPr>
              <w:t>3</w:t>
            </w:r>
            <w:r>
              <w:rPr>
                <w:rFonts w:ascii="Times New Roman" w:hAnsi="Times New Roman" w:cs="Times New Roman"/>
                <w:sz w:val="21"/>
                <w:szCs w:val="21"/>
              </w:rPr>
              <w:t>）</w:t>
            </w:r>
          </w:p>
        </w:tc>
        <w:tc>
          <w:tcPr>
            <w:tcW w:w="1198" w:type="pct"/>
            <w:tcBorders>
              <w:top w:val="thinThickSmallGap" w:color="auto" w:sz="12" w:space="0"/>
              <w:bottom w:val="single" w:color="auto" w:sz="6" w:space="0"/>
            </w:tcBorders>
            <w:shd w:val="clear" w:color="auto" w:fill="E0E0E0"/>
            <w:noWrap w:val="0"/>
            <w:vAlign w:val="center"/>
          </w:tcPr>
          <w:p w14:paraId="0570542C">
            <w:pPr>
              <w:ind w:right="-62"/>
              <w:jc w:val="center"/>
              <w:rPr>
                <w:rFonts w:ascii="Times New Roman" w:hAnsi="Times New Roman" w:cs="Times New Roman"/>
                <w:sz w:val="21"/>
                <w:szCs w:val="21"/>
              </w:rPr>
            </w:pPr>
            <w:r>
              <w:rPr>
                <w:rFonts w:ascii="Times New Roman" w:hAnsi="Times New Roman" w:cs="Times New Roman"/>
                <w:sz w:val="21"/>
                <w:szCs w:val="21"/>
              </w:rPr>
              <w:t>标准来源</w:t>
            </w:r>
          </w:p>
        </w:tc>
      </w:tr>
      <w:tr w14:paraId="04FB9C7B">
        <w:tblPrEx>
          <w:tblBorders>
            <w:top w:val="thinThickSmallGap" w:color="auto" w:sz="12" w:space="0"/>
            <w:left w:val="none" w:color="auto" w:sz="0" w:space="0"/>
            <w:bottom w:val="thickThinSmallGap"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630" w:type="pct"/>
            <w:vMerge w:val="restart"/>
            <w:noWrap w:val="0"/>
            <w:vAlign w:val="center"/>
          </w:tcPr>
          <w:p w14:paraId="446C5F05">
            <w:pPr>
              <w:ind w:right="-62"/>
              <w:jc w:val="center"/>
              <w:rPr>
                <w:rFonts w:hint="eastAsia" w:ascii="Times New Roman" w:hAnsi="Times New Roman" w:cs="Times New Roman"/>
                <w:sz w:val="21"/>
                <w:szCs w:val="21"/>
              </w:rPr>
            </w:pPr>
            <w:r>
              <w:rPr>
                <w:rFonts w:hint="eastAsia" w:ascii="Times New Roman" w:hAnsi="Times New Roman" w:cs="Times New Roman"/>
                <w:sz w:val="21"/>
                <w:szCs w:val="21"/>
              </w:rPr>
              <w:t>现有工程</w:t>
            </w:r>
          </w:p>
        </w:tc>
        <w:tc>
          <w:tcPr>
            <w:tcW w:w="988" w:type="pct"/>
            <w:vMerge w:val="restart"/>
            <w:noWrap w:val="0"/>
            <w:vAlign w:val="center"/>
          </w:tcPr>
          <w:p w14:paraId="50D36180">
            <w:pPr>
              <w:ind w:right="-62"/>
              <w:jc w:val="center"/>
              <w:rPr>
                <w:rFonts w:ascii="Times New Roman" w:hAnsi="Times New Roman" w:cs="Times New Roman"/>
                <w:sz w:val="21"/>
                <w:szCs w:val="21"/>
              </w:rPr>
            </w:pPr>
            <w:r>
              <w:rPr>
                <w:rFonts w:hint="eastAsia" w:ascii="Times New Roman" w:hAnsi="Times New Roman" w:cs="Times New Roman"/>
                <w:sz w:val="21"/>
                <w:szCs w:val="21"/>
              </w:rPr>
              <w:t>烧结机头、球团焙烧设备</w:t>
            </w:r>
          </w:p>
        </w:tc>
        <w:tc>
          <w:tcPr>
            <w:tcW w:w="1275" w:type="pct"/>
            <w:noWrap w:val="0"/>
            <w:vAlign w:val="center"/>
          </w:tcPr>
          <w:p w14:paraId="0F630BF0">
            <w:pPr>
              <w:ind w:right="-62"/>
              <w:jc w:val="center"/>
              <w:rPr>
                <w:rFonts w:ascii="Times New Roman" w:hAnsi="Times New Roman" w:cs="Times New Roman"/>
                <w:sz w:val="21"/>
                <w:szCs w:val="21"/>
              </w:rPr>
            </w:pPr>
            <w:r>
              <w:rPr>
                <w:rFonts w:hint="eastAsia" w:ascii="Times New Roman" w:hAnsi="Times New Roman" w:cs="Times New Roman"/>
                <w:sz w:val="21"/>
                <w:szCs w:val="21"/>
              </w:rPr>
              <w:t>颗粒物</w:t>
            </w:r>
          </w:p>
        </w:tc>
        <w:tc>
          <w:tcPr>
            <w:tcW w:w="907" w:type="pct"/>
            <w:noWrap w:val="0"/>
            <w:vAlign w:val="center"/>
          </w:tcPr>
          <w:p w14:paraId="64BDFC21">
            <w:pPr>
              <w:ind w:right="-62"/>
              <w:jc w:val="center"/>
              <w:rPr>
                <w:rFonts w:hint="default" w:ascii="Times New Roman" w:hAnsi="Times New Roman" w:eastAsia="宋体" w:cs="Times New Roman"/>
                <w:sz w:val="21"/>
                <w:szCs w:val="21"/>
                <w:lang w:val="en-US" w:eastAsia="zh-CN"/>
              </w:rPr>
            </w:pPr>
            <w:r>
              <w:rPr>
                <w:rFonts w:hint="eastAsia" w:ascii="Times New Roman" w:hAnsi="Times New Roman" w:cs="Times New Roman"/>
                <w:sz w:val="21"/>
                <w:szCs w:val="21"/>
                <w:lang w:val="en-US" w:eastAsia="zh-CN"/>
              </w:rPr>
              <w:t>10</w:t>
            </w:r>
          </w:p>
        </w:tc>
        <w:tc>
          <w:tcPr>
            <w:tcW w:w="1198" w:type="pct"/>
            <w:vMerge w:val="restart"/>
            <w:noWrap w:val="0"/>
            <w:vAlign w:val="center"/>
          </w:tcPr>
          <w:p w14:paraId="13629B47">
            <w:pPr>
              <w:ind w:right="-62"/>
              <w:jc w:val="center"/>
              <w:rPr>
                <w:rFonts w:ascii="Times New Roman" w:hAnsi="Times New Roman" w:cs="Times New Roman"/>
                <w:sz w:val="21"/>
                <w:szCs w:val="21"/>
              </w:rPr>
            </w:pPr>
            <w:r>
              <w:rPr>
                <w:rFonts w:hint="eastAsia" w:ascii="Times New Roman" w:hAnsi="Times New Roman" w:cs="Times New Roman"/>
                <w:sz w:val="21"/>
                <w:szCs w:val="21"/>
              </w:rPr>
              <w:t>DB21/ 4119—2025</w:t>
            </w:r>
            <w:r>
              <w:rPr>
                <w:rFonts w:ascii="Times New Roman" w:hAnsi="Times New Roman" w:cs="Times New Roman"/>
                <w:sz w:val="21"/>
                <w:szCs w:val="21"/>
              </w:rPr>
              <w:t>表</w:t>
            </w:r>
            <w:r>
              <w:rPr>
                <w:rFonts w:hint="eastAsia" w:ascii="Times New Roman" w:hAnsi="Times New Roman" w:cs="Times New Roman"/>
                <w:sz w:val="21"/>
                <w:szCs w:val="21"/>
                <w:lang w:val="en-US" w:eastAsia="zh-CN"/>
              </w:rPr>
              <w:t>1</w:t>
            </w:r>
            <w:r>
              <w:rPr>
                <w:rFonts w:hint="eastAsia" w:ascii="Times New Roman" w:hAnsi="Times New Roman" w:cs="Times New Roman"/>
                <w:sz w:val="21"/>
                <w:szCs w:val="21"/>
              </w:rPr>
              <w:t>限值</w:t>
            </w:r>
          </w:p>
        </w:tc>
      </w:tr>
      <w:tr w14:paraId="2734B43A">
        <w:tblPrEx>
          <w:tblBorders>
            <w:top w:val="thinThickSmallGap" w:color="auto" w:sz="12" w:space="0"/>
            <w:left w:val="none" w:color="auto" w:sz="0" w:space="0"/>
            <w:bottom w:val="thickThinSmallGap"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630" w:type="pct"/>
            <w:vMerge w:val="continue"/>
            <w:noWrap w:val="0"/>
            <w:vAlign w:val="center"/>
          </w:tcPr>
          <w:p w14:paraId="694CC99D">
            <w:pPr>
              <w:ind w:right="-62"/>
              <w:jc w:val="center"/>
              <w:rPr>
                <w:rFonts w:ascii="Times New Roman" w:hAnsi="Times New Roman" w:cs="Times New Roman"/>
                <w:sz w:val="21"/>
                <w:szCs w:val="21"/>
              </w:rPr>
            </w:pPr>
          </w:p>
        </w:tc>
        <w:tc>
          <w:tcPr>
            <w:tcW w:w="988" w:type="pct"/>
            <w:vMerge w:val="continue"/>
            <w:noWrap w:val="0"/>
            <w:vAlign w:val="center"/>
          </w:tcPr>
          <w:p w14:paraId="1B97B90B">
            <w:pPr>
              <w:ind w:right="-62"/>
              <w:jc w:val="center"/>
              <w:rPr>
                <w:rFonts w:hint="eastAsia" w:ascii="Times New Roman" w:hAnsi="Times New Roman" w:cs="Times New Roman"/>
                <w:sz w:val="21"/>
                <w:szCs w:val="21"/>
              </w:rPr>
            </w:pPr>
          </w:p>
        </w:tc>
        <w:tc>
          <w:tcPr>
            <w:tcW w:w="1275" w:type="pct"/>
            <w:noWrap w:val="0"/>
            <w:vAlign w:val="center"/>
          </w:tcPr>
          <w:p w14:paraId="069E203C">
            <w:pPr>
              <w:ind w:right="-62"/>
              <w:jc w:val="center"/>
              <w:rPr>
                <w:rFonts w:hint="eastAsia" w:ascii="Times New Roman" w:hAnsi="Times New Roman" w:eastAsia="宋体" w:cs="Times New Roman"/>
                <w:sz w:val="21"/>
                <w:szCs w:val="21"/>
                <w:lang w:val="en-US" w:eastAsia="zh-CN"/>
              </w:rPr>
            </w:pPr>
            <w:r>
              <w:rPr>
                <w:rFonts w:hint="eastAsia" w:ascii="Times New Roman" w:hAnsi="Times New Roman" w:cs="Times New Roman"/>
                <w:sz w:val="21"/>
                <w:szCs w:val="21"/>
                <w:lang w:val="en-US" w:eastAsia="zh-CN"/>
              </w:rPr>
              <w:t>二氧化硫</w:t>
            </w:r>
          </w:p>
        </w:tc>
        <w:tc>
          <w:tcPr>
            <w:tcW w:w="907" w:type="pct"/>
            <w:noWrap w:val="0"/>
            <w:vAlign w:val="center"/>
          </w:tcPr>
          <w:p w14:paraId="6FD0FFF1">
            <w:pPr>
              <w:ind w:right="-62"/>
              <w:jc w:val="center"/>
              <w:rPr>
                <w:rFonts w:hint="default" w:ascii="Times New Roman" w:hAnsi="Times New Roman" w:eastAsia="宋体" w:cs="Times New Roman"/>
                <w:bCs/>
                <w:spacing w:val="4"/>
                <w:sz w:val="21"/>
                <w:szCs w:val="21"/>
                <w:lang w:val="en-US" w:eastAsia="zh-CN"/>
              </w:rPr>
            </w:pPr>
            <w:r>
              <w:rPr>
                <w:rFonts w:hint="eastAsia" w:ascii="Times New Roman" w:hAnsi="Times New Roman" w:cs="Times New Roman"/>
                <w:bCs/>
                <w:spacing w:val="4"/>
                <w:sz w:val="21"/>
                <w:szCs w:val="21"/>
                <w:lang w:val="en-US" w:eastAsia="zh-CN"/>
              </w:rPr>
              <w:t>35</w:t>
            </w:r>
          </w:p>
        </w:tc>
        <w:tc>
          <w:tcPr>
            <w:tcW w:w="1198" w:type="pct"/>
            <w:vMerge w:val="continue"/>
            <w:noWrap w:val="0"/>
            <w:vAlign w:val="center"/>
          </w:tcPr>
          <w:p w14:paraId="76FFE6E8">
            <w:pPr>
              <w:ind w:right="-62"/>
              <w:jc w:val="center"/>
              <w:rPr>
                <w:rFonts w:ascii="Times New Roman" w:hAnsi="Times New Roman" w:cs="Times New Roman"/>
                <w:sz w:val="21"/>
                <w:szCs w:val="21"/>
              </w:rPr>
            </w:pPr>
          </w:p>
        </w:tc>
      </w:tr>
      <w:tr w14:paraId="79902887">
        <w:tblPrEx>
          <w:tblBorders>
            <w:top w:val="thinThickSmallGap" w:color="auto" w:sz="12" w:space="0"/>
            <w:left w:val="none" w:color="auto" w:sz="0" w:space="0"/>
            <w:bottom w:val="thickThinSmallGap"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630" w:type="pct"/>
            <w:vMerge w:val="continue"/>
            <w:noWrap w:val="0"/>
            <w:vAlign w:val="center"/>
          </w:tcPr>
          <w:p w14:paraId="5B64AFA5">
            <w:pPr>
              <w:ind w:right="-62"/>
              <w:jc w:val="center"/>
              <w:rPr>
                <w:rFonts w:ascii="Times New Roman" w:hAnsi="Times New Roman" w:cs="Times New Roman"/>
                <w:sz w:val="21"/>
                <w:szCs w:val="21"/>
              </w:rPr>
            </w:pPr>
          </w:p>
        </w:tc>
        <w:tc>
          <w:tcPr>
            <w:tcW w:w="988" w:type="pct"/>
            <w:vMerge w:val="continue"/>
            <w:noWrap w:val="0"/>
            <w:vAlign w:val="center"/>
          </w:tcPr>
          <w:p w14:paraId="57C279D6">
            <w:pPr>
              <w:ind w:right="-62"/>
              <w:jc w:val="center"/>
              <w:rPr>
                <w:rFonts w:hint="eastAsia" w:ascii="Times New Roman" w:hAnsi="Times New Roman" w:cs="Times New Roman"/>
                <w:sz w:val="21"/>
                <w:szCs w:val="21"/>
              </w:rPr>
            </w:pPr>
          </w:p>
        </w:tc>
        <w:tc>
          <w:tcPr>
            <w:tcW w:w="1275" w:type="pct"/>
            <w:noWrap w:val="0"/>
            <w:vAlign w:val="center"/>
          </w:tcPr>
          <w:p w14:paraId="4F8A6532">
            <w:pPr>
              <w:ind w:right="-62"/>
              <w:jc w:val="center"/>
              <w:rPr>
                <w:rFonts w:hint="eastAsia" w:ascii="Times New Roman" w:hAnsi="Times New Roman" w:cs="Times New Roman"/>
                <w:sz w:val="21"/>
                <w:szCs w:val="21"/>
              </w:rPr>
            </w:pPr>
            <w:r>
              <w:rPr>
                <w:rFonts w:hint="eastAsia" w:ascii="Times New Roman" w:hAnsi="Times New Roman" w:cs="Times New Roman"/>
                <w:sz w:val="21"/>
                <w:szCs w:val="21"/>
              </w:rPr>
              <w:t>氮氧化物（以NO</w:t>
            </w:r>
            <w:r>
              <w:rPr>
                <w:rFonts w:hint="eastAsia" w:ascii="Times New Roman" w:hAnsi="Times New Roman" w:cs="Times New Roman"/>
                <w:sz w:val="21"/>
                <w:szCs w:val="21"/>
                <w:vertAlign w:val="subscript"/>
              </w:rPr>
              <w:t>2</w:t>
            </w:r>
            <w:r>
              <w:rPr>
                <w:rFonts w:hint="eastAsia" w:ascii="Times New Roman" w:hAnsi="Times New Roman" w:cs="Times New Roman"/>
                <w:sz w:val="21"/>
                <w:szCs w:val="21"/>
              </w:rPr>
              <w:t xml:space="preserve">计） </w:t>
            </w:r>
          </w:p>
        </w:tc>
        <w:tc>
          <w:tcPr>
            <w:tcW w:w="907" w:type="pct"/>
            <w:noWrap w:val="0"/>
            <w:vAlign w:val="center"/>
          </w:tcPr>
          <w:p w14:paraId="014B8D52">
            <w:pPr>
              <w:ind w:right="-62"/>
              <w:jc w:val="center"/>
              <w:rPr>
                <w:rFonts w:hint="default" w:ascii="Times New Roman" w:hAnsi="Times New Roman" w:eastAsia="宋体" w:cs="Times New Roman"/>
                <w:sz w:val="21"/>
                <w:szCs w:val="21"/>
                <w:lang w:val="en-US" w:eastAsia="zh-CN"/>
              </w:rPr>
            </w:pPr>
            <w:r>
              <w:rPr>
                <w:rFonts w:hint="eastAsia" w:ascii="Times New Roman" w:hAnsi="Times New Roman" w:cs="Times New Roman"/>
                <w:sz w:val="21"/>
                <w:szCs w:val="21"/>
                <w:lang w:val="en-US" w:eastAsia="zh-CN"/>
              </w:rPr>
              <w:t>50</w:t>
            </w:r>
          </w:p>
        </w:tc>
        <w:tc>
          <w:tcPr>
            <w:tcW w:w="1198" w:type="pct"/>
            <w:vMerge w:val="continue"/>
            <w:noWrap w:val="0"/>
            <w:vAlign w:val="center"/>
          </w:tcPr>
          <w:p w14:paraId="7EBC6EBD">
            <w:pPr>
              <w:ind w:right="-62"/>
              <w:jc w:val="center"/>
              <w:rPr>
                <w:rFonts w:ascii="Times New Roman" w:hAnsi="Times New Roman" w:cs="Times New Roman"/>
                <w:sz w:val="21"/>
                <w:szCs w:val="21"/>
              </w:rPr>
            </w:pPr>
          </w:p>
        </w:tc>
      </w:tr>
      <w:tr w14:paraId="222A5C59">
        <w:tblPrEx>
          <w:tblBorders>
            <w:top w:val="thinThickSmallGap" w:color="auto" w:sz="12" w:space="0"/>
            <w:left w:val="none" w:color="auto" w:sz="0" w:space="0"/>
            <w:bottom w:val="thickThinSmallGap"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630" w:type="pct"/>
            <w:vMerge w:val="continue"/>
            <w:noWrap w:val="0"/>
            <w:vAlign w:val="center"/>
          </w:tcPr>
          <w:p w14:paraId="318DE8F3">
            <w:pPr>
              <w:ind w:right="-62"/>
              <w:jc w:val="center"/>
              <w:rPr>
                <w:rFonts w:ascii="Times New Roman" w:hAnsi="Times New Roman" w:cs="Times New Roman"/>
                <w:sz w:val="21"/>
                <w:szCs w:val="21"/>
              </w:rPr>
            </w:pPr>
          </w:p>
        </w:tc>
        <w:tc>
          <w:tcPr>
            <w:tcW w:w="988" w:type="pct"/>
            <w:vMerge w:val="continue"/>
            <w:noWrap w:val="0"/>
            <w:vAlign w:val="center"/>
          </w:tcPr>
          <w:p w14:paraId="6FD16F63">
            <w:pPr>
              <w:ind w:right="-62"/>
              <w:jc w:val="center"/>
              <w:rPr>
                <w:rFonts w:hint="eastAsia" w:ascii="Times New Roman" w:hAnsi="Times New Roman" w:cs="Times New Roman"/>
                <w:sz w:val="21"/>
                <w:szCs w:val="21"/>
              </w:rPr>
            </w:pPr>
          </w:p>
        </w:tc>
        <w:tc>
          <w:tcPr>
            <w:tcW w:w="1275" w:type="pct"/>
            <w:noWrap w:val="0"/>
            <w:vAlign w:val="center"/>
          </w:tcPr>
          <w:p w14:paraId="7D77BB0B">
            <w:pPr>
              <w:ind w:right="-62" w:rightChars="0"/>
              <w:jc w:val="center"/>
              <w:rPr>
                <w:rFonts w:hint="eastAsia" w:ascii="Times New Roman" w:hAnsi="Times New Roman" w:cs="Times New Roman"/>
                <w:sz w:val="21"/>
                <w:szCs w:val="21"/>
                <w:lang w:val="en-US" w:eastAsia="zh-CN" w:bidi="ar-SA"/>
              </w:rPr>
            </w:pPr>
            <w:r>
              <w:rPr>
                <w:rFonts w:hint="eastAsia" w:ascii="Times New Roman" w:hAnsi="Times New Roman" w:cs="Times New Roman"/>
                <w:sz w:val="21"/>
                <w:szCs w:val="21"/>
              </w:rPr>
              <w:t>氟化物（以F计）</w:t>
            </w:r>
          </w:p>
        </w:tc>
        <w:tc>
          <w:tcPr>
            <w:tcW w:w="907" w:type="pct"/>
            <w:noWrap w:val="0"/>
            <w:vAlign w:val="center"/>
          </w:tcPr>
          <w:p w14:paraId="5F17C5BD">
            <w:pPr>
              <w:ind w:right="-62"/>
              <w:jc w:val="center"/>
              <w:rPr>
                <w:rFonts w:hint="eastAsia" w:ascii="Times New Roman" w:hAnsi="Times New Roman" w:eastAsia="宋体" w:cs="Times New Roman"/>
                <w:sz w:val="21"/>
                <w:szCs w:val="21"/>
                <w:lang w:val="en-US" w:eastAsia="zh-CN"/>
              </w:rPr>
            </w:pPr>
            <w:r>
              <w:rPr>
                <w:rFonts w:hint="eastAsia" w:ascii="Times New Roman" w:hAnsi="Times New Roman" w:cs="Times New Roman"/>
                <w:sz w:val="21"/>
                <w:szCs w:val="21"/>
                <w:lang w:val="en-US" w:eastAsia="zh-CN"/>
              </w:rPr>
              <w:t>4</w:t>
            </w:r>
          </w:p>
        </w:tc>
        <w:tc>
          <w:tcPr>
            <w:tcW w:w="1198" w:type="pct"/>
            <w:vMerge w:val="continue"/>
            <w:noWrap w:val="0"/>
            <w:vAlign w:val="center"/>
          </w:tcPr>
          <w:p w14:paraId="295CA7E2">
            <w:pPr>
              <w:ind w:right="-62"/>
              <w:jc w:val="center"/>
              <w:rPr>
                <w:rFonts w:ascii="Times New Roman" w:hAnsi="Times New Roman" w:cs="Times New Roman"/>
                <w:sz w:val="21"/>
                <w:szCs w:val="21"/>
              </w:rPr>
            </w:pPr>
          </w:p>
        </w:tc>
      </w:tr>
      <w:tr w14:paraId="2735C045">
        <w:tblPrEx>
          <w:tblBorders>
            <w:top w:val="thinThickSmallGap" w:color="auto" w:sz="12" w:space="0"/>
            <w:left w:val="none" w:color="auto" w:sz="0" w:space="0"/>
            <w:bottom w:val="thickThinSmallGap"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630" w:type="pct"/>
            <w:vMerge w:val="continue"/>
            <w:noWrap w:val="0"/>
            <w:vAlign w:val="center"/>
          </w:tcPr>
          <w:p w14:paraId="5693D188">
            <w:pPr>
              <w:ind w:right="-62"/>
              <w:jc w:val="center"/>
              <w:rPr>
                <w:rFonts w:ascii="Times New Roman" w:hAnsi="Times New Roman" w:cs="Times New Roman"/>
                <w:sz w:val="21"/>
                <w:szCs w:val="21"/>
              </w:rPr>
            </w:pPr>
          </w:p>
        </w:tc>
        <w:tc>
          <w:tcPr>
            <w:tcW w:w="988" w:type="pct"/>
            <w:vMerge w:val="continue"/>
            <w:noWrap w:val="0"/>
            <w:vAlign w:val="center"/>
          </w:tcPr>
          <w:p w14:paraId="149B6760">
            <w:pPr>
              <w:ind w:right="-62"/>
              <w:jc w:val="center"/>
              <w:rPr>
                <w:rFonts w:hint="eastAsia" w:ascii="Times New Roman" w:hAnsi="Times New Roman" w:cs="Times New Roman"/>
                <w:sz w:val="21"/>
                <w:szCs w:val="21"/>
              </w:rPr>
            </w:pPr>
          </w:p>
        </w:tc>
        <w:tc>
          <w:tcPr>
            <w:tcW w:w="1275" w:type="pct"/>
            <w:noWrap w:val="0"/>
            <w:vAlign w:val="center"/>
          </w:tcPr>
          <w:p w14:paraId="635DB3E0">
            <w:pPr>
              <w:ind w:right="-62" w:rightChars="0"/>
              <w:jc w:val="center"/>
              <w:rPr>
                <w:rFonts w:hint="eastAsia" w:ascii="Times New Roman" w:hAnsi="Times New Roman" w:cs="Times New Roman"/>
                <w:sz w:val="21"/>
                <w:szCs w:val="21"/>
                <w:lang w:val="en-US" w:eastAsia="zh-CN" w:bidi="ar-SA"/>
              </w:rPr>
            </w:pPr>
            <w:r>
              <w:rPr>
                <w:rFonts w:hint="eastAsia" w:ascii="Times New Roman" w:hAnsi="Times New Roman" w:cs="Times New Roman"/>
                <w:sz w:val="21"/>
                <w:szCs w:val="21"/>
              </w:rPr>
              <w:t>二噁英</w:t>
            </w:r>
          </w:p>
        </w:tc>
        <w:tc>
          <w:tcPr>
            <w:tcW w:w="907" w:type="pct"/>
            <w:noWrap w:val="0"/>
            <w:vAlign w:val="center"/>
          </w:tcPr>
          <w:p w14:paraId="15370BA0">
            <w:pPr>
              <w:ind w:right="-62"/>
              <w:jc w:val="center"/>
              <w:rPr>
                <w:rFonts w:hint="eastAsia" w:ascii="Times New Roman" w:hAnsi="Times New Roman" w:cs="Times New Roman"/>
                <w:sz w:val="21"/>
                <w:szCs w:val="21"/>
              </w:rPr>
            </w:pPr>
            <w:r>
              <w:rPr>
                <w:rFonts w:hint="eastAsia" w:ascii="Times New Roman" w:hAnsi="Times New Roman" w:cs="Times New Roman"/>
                <w:sz w:val="21"/>
                <w:szCs w:val="21"/>
              </w:rPr>
              <w:t>0.5 ng-TEQ/</w:t>
            </w:r>
            <w:r>
              <w:rPr>
                <w:rFonts w:ascii="Times New Roman" w:hAnsi="Times New Roman" w:cs="Times New Roman"/>
                <w:sz w:val="21"/>
                <w:szCs w:val="21"/>
              </w:rPr>
              <w:t>m</w:t>
            </w:r>
            <w:r>
              <w:rPr>
                <w:rFonts w:ascii="Times New Roman" w:hAnsi="Times New Roman" w:cs="Times New Roman"/>
                <w:sz w:val="21"/>
                <w:szCs w:val="21"/>
                <w:vertAlign w:val="superscript"/>
              </w:rPr>
              <w:t>3</w:t>
            </w:r>
          </w:p>
        </w:tc>
        <w:tc>
          <w:tcPr>
            <w:tcW w:w="1198" w:type="pct"/>
            <w:vMerge w:val="continue"/>
            <w:noWrap w:val="0"/>
            <w:vAlign w:val="center"/>
          </w:tcPr>
          <w:p w14:paraId="0B68AC77">
            <w:pPr>
              <w:ind w:right="-62"/>
              <w:jc w:val="center"/>
              <w:rPr>
                <w:rFonts w:ascii="Times New Roman" w:hAnsi="Times New Roman" w:cs="Times New Roman"/>
                <w:sz w:val="21"/>
                <w:szCs w:val="21"/>
              </w:rPr>
            </w:pPr>
          </w:p>
        </w:tc>
      </w:tr>
      <w:tr w14:paraId="776E0034">
        <w:tblPrEx>
          <w:tblBorders>
            <w:top w:val="thinThickSmallGap" w:color="auto" w:sz="12" w:space="0"/>
            <w:left w:val="none" w:color="auto" w:sz="0" w:space="0"/>
            <w:bottom w:val="thickThinSmallGap"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630" w:type="pct"/>
            <w:vMerge w:val="continue"/>
            <w:noWrap w:val="0"/>
            <w:vAlign w:val="center"/>
          </w:tcPr>
          <w:p w14:paraId="0C0C707E">
            <w:pPr>
              <w:ind w:right="-62"/>
              <w:jc w:val="center"/>
              <w:rPr>
                <w:rFonts w:ascii="Times New Roman" w:hAnsi="Times New Roman" w:cs="Times New Roman"/>
                <w:sz w:val="21"/>
                <w:szCs w:val="21"/>
              </w:rPr>
            </w:pPr>
          </w:p>
        </w:tc>
        <w:tc>
          <w:tcPr>
            <w:tcW w:w="988" w:type="pct"/>
            <w:vMerge w:val="continue"/>
            <w:noWrap w:val="0"/>
            <w:vAlign w:val="center"/>
          </w:tcPr>
          <w:p w14:paraId="2E40ED71">
            <w:pPr>
              <w:ind w:right="-62"/>
              <w:jc w:val="center"/>
              <w:rPr>
                <w:rFonts w:hint="eastAsia" w:ascii="Times New Roman" w:hAnsi="Times New Roman" w:cs="Times New Roman"/>
                <w:sz w:val="21"/>
                <w:szCs w:val="21"/>
              </w:rPr>
            </w:pPr>
          </w:p>
        </w:tc>
        <w:tc>
          <w:tcPr>
            <w:tcW w:w="1275" w:type="pct"/>
            <w:noWrap w:val="0"/>
            <w:vAlign w:val="center"/>
          </w:tcPr>
          <w:p w14:paraId="5EF64622">
            <w:pPr>
              <w:ind w:right="-62"/>
              <w:jc w:val="center"/>
              <w:rPr>
                <w:rFonts w:hint="eastAsia" w:ascii="Times New Roman" w:hAnsi="Times New Roman" w:eastAsia="宋体" w:cs="Times New Roman"/>
                <w:sz w:val="21"/>
                <w:szCs w:val="21"/>
                <w:lang w:val="en-US" w:eastAsia="zh-CN"/>
              </w:rPr>
            </w:pPr>
            <w:r>
              <w:rPr>
                <w:rFonts w:hint="eastAsia" w:ascii="Times New Roman" w:hAnsi="Times New Roman" w:cs="Times New Roman"/>
                <w:sz w:val="21"/>
                <w:szCs w:val="21"/>
                <w:lang w:val="en-US" w:eastAsia="zh-CN"/>
              </w:rPr>
              <w:t>氨</w:t>
            </w:r>
          </w:p>
        </w:tc>
        <w:tc>
          <w:tcPr>
            <w:tcW w:w="907" w:type="pct"/>
            <w:noWrap w:val="0"/>
            <w:vAlign w:val="center"/>
          </w:tcPr>
          <w:p w14:paraId="4FD8C120">
            <w:pPr>
              <w:ind w:right="-62"/>
              <w:jc w:val="center"/>
              <w:rPr>
                <w:rFonts w:hint="eastAsia" w:ascii="Times New Roman" w:hAnsi="Times New Roman" w:eastAsia="宋体" w:cs="Times New Roman"/>
                <w:sz w:val="21"/>
                <w:szCs w:val="21"/>
                <w:lang w:val="en-US" w:eastAsia="zh-CN"/>
              </w:rPr>
            </w:pPr>
            <w:r>
              <w:rPr>
                <w:rFonts w:hint="eastAsia" w:ascii="Times New Roman" w:hAnsi="Times New Roman" w:cs="Times New Roman"/>
                <w:sz w:val="21"/>
                <w:szCs w:val="21"/>
                <w:lang w:val="en-US" w:eastAsia="zh-CN"/>
              </w:rPr>
              <w:t>8</w:t>
            </w:r>
          </w:p>
        </w:tc>
        <w:tc>
          <w:tcPr>
            <w:tcW w:w="1198" w:type="pct"/>
            <w:vMerge w:val="continue"/>
            <w:noWrap w:val="0"/>
            <w:vAlign w:val="center"/>
          </w:tcPr>
          <w:p w14:paraId="4ED54C97">
            <w:pPr>
              <w:ind w:right="-62"/>
              <w:jc w:val="center"/>
              <w:rPr>
                <w:rFonts w:ascii="Times New Roman" w:hAnsi="Times New Roman" w:cs="Times New Roman"/>
                <w:sz w:val="21"/>
                <w:szCs w:val="21"/>
              </w:rPr>
            </w:pPr>
          </w:p>
        </w:tc>
      </w:tr>
      <w:tr w14:paraId="7B85DBCE">
        <w:tblPrEx>
          <w:tblBorders>
            <w:top w:val="thinThickSmallGap" w:color="auto" w:sz="12" w:space="0"/>
            <w:left w:val="none" w:color="auto" w:sz="0" w:space="0"/>
            <w:bottom w:val="thickThinSmallGap"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630" w:type="pct"/>
            <w:vMerge w:val="continue"/>
            <w:noWrap w:val="0"/>
            <w:vAlign w:val="center"/>
          </w:tcPr>
          <w:p w14:paraId="7EB2845C">
            <w:pPr>
              <w:ind w:right="-62"/>
              <w:jc w:val="center"/>
              <w:rPr>
                <w:rFonts w:ascii="Times New Roman" w:hAnsi="Times New Roman" w:cs="Times New Roman"/>
                <w:sz w:val="21"/>
                <w:szCs w:val="21"/>
              </w:rPr>
            </w:pPr>
          </w:p>
        </w:tc>
        <w:tc>
          <w:tcPr>
            <w:tcW w:w="988" w:type="pct"/>
            <w:noWrap w:val="0"/>
            <w:vAlign w:val="center"/>
          </w:tcPr>
          <w:p w14:paraId="536F8404">
            <w:pPr>
              <w:ind w:right="-62"/>
              <w:jc w:val="center"/>
              <w:rPr>
                <w:rFonts w:hint="eastAsia" w:ascii="Times New Roman" w:hAnsi="Times New Roman" w:cs="Times New Roman"/>
                <w:sz w:val="21"/>
                <w:szCs w:val="21"/>
              </w:rPr>
            </w:pPr>
            <w:r>
              <w:rPr>
                <w:rFonts w:hint="eastAsia" w:ascii="Times New Roman" w:hAnsi="Times New Roman" w:cs="Times New Roman"/>
                <w:sz w:val="21"/>
                <w:szCs w:val="21"/>
              </w:rPr>
              <w:t xml:space="preserve">烧结机机尾、带式焙烧机机尾以及其他生产设备 </w:t>
            </w:r>
          </w:p>
        </w:tc>
        <w:tc>
          <w:tcPr>
            <w:tcW w:w="1275" w:type="pct"/>
            <w:noWrap w:val="0"/>
            <w:vAlign w:val="center"/>
          </w:tcPr>
          <w:p w14:paraId="634A1D58">
            <w:pPr>
              <w:ind w:right="-62"/>
              <w:jc w:val="center"/>
              <w:rPr>
                <w:rFonts w:hint="eastAsia" w:ascii="Times New Roman" w:hAnsi="Times New Roman" w:cs="Times New Roman"/>
                <w:sz w:val="21"/>
                <w:szCs w:val="21"/>
              </w:rPr>
            </w:pPr>
            <w:r>
              <w:rPr>
                <w:rFonts w:hint="eastAsia" w:ascii="Times New Roman" w:hAnsi="Times New Roman" w:cs="Times New Roman"/>
                <w:sz w:val="21"/>
                <w:szCs w:val="21"/>
              </w:rPr>
              <w:t>颗粒物</w:t>
            </w:r>
          </w:p>
        </w:tc>
        <w:tc>
          <w:tcPr>
            <w:tcW w:w="907" w:type="pct"/>
            <w:noWrap w:val="0"/>
            <w:vAlign w:val="center"/>
          </w:tcPr>
          <w:p w14:paraId="2F137F45">
            <w:pPr>
              <w:ind w:right="-62"/>
              <w:jc w:val="center"/>
              <w:rPr>
                <w:rFonts w:hint="default" w:ascii="Times New Roman" w:hAnsi="Times New Roman" w:eastAsia="宋体" w:cs="Times New Roman"/>
                <w:sz w:val="21"/>
                <w:szCs w:val="21"/>
                <w:lang w:val="en-US" w:eastAsia="zh-CN"/>
              </w:rPr>
            </w:pPr>
            <w:r>
              <w:rPr>
                <w:rFonts w:hint="eastAsia" w:ascii="Times New Roman" w:hAnsi="Times New Roman" w:cs="Times New Roman"/>
                <w:sz w:val="21"/>
                <w:szCs w:val="21"/>
                <w:lang w:val="en-US" w:eastAsia="zh-CN"/>
              </w:rPr>
              <w:t>10</w:t>
            </w:r>
          </w:p>
        </w:tc>
        <w:tc>
          <w:tcPr>
            <w:tcW w:w="1198" w:type="pct"/>
            <w:vMerge w:val="continue"/>
            <w:noWrap w:val="0"/>
            <w:vAlign w:val="center"/>
          </w:tcPr>
          <w:p w14:paraId="01C987CF">
            <w:pPr>
              <w:ind w:right="-62"/>
              <w:jc w:val="center"/>
              <w:rPr>
                <w:rFonts w:ascii="Times New Roman" w:hAnsi="Times New Roman" w:cs="Times New Roman"/>
                <w:sz w:val="21"/>
                <w:szCs w:val="21"/>
              </w:rPr>
            </w:pPr>
          </w:p>
        </w:tc>
      </w:tr>
      <w:tr w14:paraId="0E33BB67">
        <w:tblPrEx>
          <w:tblBorders>
            <w:top w:val="thinThickSmallGap" w:color="auto" w:sz="12" w:space="0"/>
            <w:left w:val="none" w:color="auto" w:sz="0" w:space="0"/>
            <w:bottom w:val="thickThinSmallGap"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630" w:type="pct"/>
            <w:vMerge w:val="continue"/>
            <w:noWrap w:val="0"/>
            <w:vAlign w:val="center"/>
          </w:tcPr>
          <w:p w14:paraId="2C169ED6">
            <w:pPr>
              <w:ind w:right="-62"/>
              <w:jc w:val="center"/>
              <w:rPr>
                <w:rFonts w:ascii="Times New Roman" w:hAnsi="Times New Roman" w:cs="Times New Roman"/>
                <w:sz w:val="21"/>
                <w:szCs w:val="21"/>
              </w:rPr>
            </w:pPr>
          </w:p>
        </w:tc>
        <w:tc>
          <w:tcPr>
            <w:tcW w:w="988" w:type="pct"/>
            <w:vMerge w:val="restart"/>
            <w:noWrap w:val="0"/>
            <w:vAlign w:val="center"/>
          </w:tcPr>
          <w:p w14:paraId="0B3C3A31">
            <w:pPr>
              <w:ind w:right="-62"/>
              <w:jc w:val="center"/>
              <w:rPr>
                <w:rFonts w:hint="eastAsia" w:ascii="Times New Roman" w:hAnsi="Times New Roman" w:cs="Times New Roman"/>
                <w:sz w:val="21"/>
                <w:szCs w:val="21"/>
              </w:rPr>
            </w:pPr>
            <w:r>
              <w:rPr>
                <w:rFonts w:hint="eastAsia" w:ascii="Times New Roman" w:hAnsi="Times New Roman" w:cs="Times New Roman"/>
                <w:sz w:val="21"/>
                <w:szCs w:val="21"/>
              </w:rPr>
              <w:t xml:space="preserve">热风炉 </w:t>
            </w:r>
          </w:p>
        </w:tc>
        <w:tc>
          <w:tcPr>
            <w:tcW w:w="1275" w:type="pct"/>
            <w:noWrap w:val="0"/>
            <w:vAlign w:val="center"/>
          </w:tcPr>
          <w:p w14:paraId="7AD61379">
            <w:pPr>
              <w:ind w:right="-62" w:rightChars="0"/>
              <w:jc w:val="center"/>
              <w:rPr>
                <w:rFonts w:hint="eastAsia" w:ascii="Times New Roman" w:hAnsi="Times New Roman" w:cs="Times New Roman"/>
                <w:sz w:val="21"/>
                <w:szCs w:val="21"/>
              </w:rPr>
            </w:pPr>
            <w:r>
              <w:rPr>
                <w:rFonts w:hint="eastAsia" w:ascii="Times New Roman" w:hAnsi="Times New Roman" w:cs="Times New Roman"/>
                <w:sz w:val="21"/>
                <w:szCs w:val="21"/>
              </w:rPr>
              <w:t>颗粒物</w:t>
            </w:r>
          </w:p>
        </w:tc>
        <w:tc>
          <w:tcPr>
            <w:tcW w:w="907" w:type="pct"/>
            <w:noWrap w:val="0"/>
            <w:vAlign w:val="center"/>
          </w:tcPr>
          <w:p w14:paraId="0A25FDE9">
            <w:pPr>
              <w:ind w:right="-62"/>
              <w:jc w:val="center"/>
              <w:rPr>
                <w:rFonts w:hint="default" w:ascii="Times New Roman" w:hAnsi="Times New Roman" w:cs="Times New Roman"/>
                <w:sz w:val="21"/>
                <w:szCs w:val="21"/>
                <w:lang w:val="en-US" w:eastAsia="zh-CN"/>
              </w:rPr>
            </w:pPr>
            <w:r>
              <w:rPr>
                <w:rFonts w:hint="eastAsia" w:ascii="Times New Roman" w:hAnsi="Times New Roman" w:cs="Times New Roman"/>
                <w:sz w:val="21"/>
                <w:szCs w:val="21"/>
                <w:lang w:val="en-US" w:eastAsia="zh-CN"/>
              </w:rPr>
              <w:t>10</w:t>
            </w:r>
          </w:p>
        </w:tc>
        <w:tc>
          <w:tcPr>
            <w:tcW w:w="1198" w:type="pct"/>
            <w:vMerge w:val="continue"/>
            <w:noWrap w:val="0"/>
            <w:vAlign w:val="center"/>
          </w:tcPr>
          <w:p w14:paraId="021019DF">
            <w:pPr>
              <w:ind w:right="-62"/>
              <w:jc w:val="center"/>
              <w:rPr>
                <w:rFonts w:ascii="Times New Roman" w:hAnsi="Times New Roman" w:cs="Times New Roman"/>
                <w:sz w:val="21"/>
                <w:szCs w:val="21"/>
              </w:rPr>
            </w:pPr>
          </w:p>
        </w:tc>
      </w:tr>
      <w:tr w14:paraId="42D222C0">
        <w:tblPrEx>
          <w:tblBorders>
            <w:top w:val="thinThickSmallGap" w:color="auto" w:sz="12" w:space="0"/>
            <w:left w:val="none" w:color="auto" w:sz="0" w:space="0"/>
            <w:bottom w:val="thickThinSmallGap"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630" w:type="pct"/>
            <w:vMerge w:val="continue"/>
            <w:noWrap w:val="0"/>
            <w:vAlign w:val="center"/>
          </w:tcPr>
          <w:p w14:paraId="6A216E39">
            <w:pPr>
              <w:ind w:right="-62"/>
              <w:jc w:val="center"/>
              <w:rPr>
                <w:rFonts w:ascii="Times New Roman" w:hAnsi="Times New Roman" w:cs="Times New Roman"/>
                <w:sz w:val="21"/>
                <w:szCs w:val="21"/>
              </w:rPr>
            </w:pPr>
          </w:p>
        </w:tc>
        <w:tc>
          <w:tcPr>
            <w:tcW w:w="988" w:type="pct"/>
            <w:vMerge w:val="continue"/>
            <w:noWrap w:val="0"/>
            <w:vAlign w:val="center"/>
          </w:tcPr>
          <w:p w14:paraId="751ED462">
            <w:pPr>
              <w:ind w:right="-62"/>
              <w:jc w:val="center"/>
              <w:rPr>
                <w:rFonts w:hint="eastAsia" w:ascii="Times New Roman" w:hAnsi="Times New Roman" w:cs="Times New Roman"/>
                <w:sz w:val="21"/>
                <w:szCs w:val="21"/>
              </w:rPr>
            </w:pPr>
          </w:p>
        </w:tc>
        <w:tc>
          <w:tcPr>
            <w:tcW w:w="1275" w:type="pct"/>
            <w:noWrap w:val="0"/>
            <w:vAlign w:val="center"/>
          </w:tcPr>
          <w:p w14:paraId="4A4EB956">
            <w:pPr>
              <w:ind w:right="-62" w:rightChars="0"/>
              <w:jc w:val="center"/>
              <w:rPr>
                <w:rFonts w:hint="eastAsia" w:ascii="Times New Roman" w:hAnsi="Times New Roman" w:cs="Times New Roman"/>
                <w:sz w:val="21"/>
                <w:szCs w:val="21"/>
              </w:rPr>
            </w:pPr>
            <w:r>
              <w:rPr>
                <w:rFonts w:hint="eastAsia" w:ascii="Times New Roman" w:hAnsi="Times New Roman" w:cs="Times New Roman"/>
                <w:sz w:val="21"/>
                <w:szCs w:val="21"/>
                <w:lang w:val="en-US" w:eastAsia="zh-CN"/>
              </w:rPr>
              <w:t>二氧化硫</w:t>
            </w:r>
          </w:p>
        </w:tc>
        <w:tc>
          <w:tcPr>
            <w:tcW w:w="907" w:type="pct"/>
            <w:noWrap w:val="0"/>
            <w:vAlign w:val="center"/>
          </w:tcPr>
          <w:p w14:paraId="7B4BB6BA">
            <w:pPr>
              <w:ind w:right="-62"/>
              <w:jc w:val="center"/>
              <w:rPr>
                <w:rFonts w:hint="default" w:ascii="Times New Roman" w:hAnsi="Times New Roman" w:eastAsia="宋体" w:cs="Times New Roman"/>
                <w:sz w:val="21"/>
                <w:szCs w:val="21"/>
                <w:lang w:val="en-US" w:eastAsia="zh-CN"/>
              </w:rPr>
            </w:pPr>
            <w:r>
              <w:rPr>
                <w:rFonts w:hint="eastAsia" w:ascii="Times New Roman" w:hAnsi="Times New Roman" w:cs="Times New Roman"/>
                <w:sz w:val="21"/>
                <w:szCs w:val="21"/>
                <w:lang w:val="en-US" w:eastAsia="zh-CN"/>
              </w:rPr>
              <w:t>50</w:t>
            </w:r>
          </w:p>
        </w:tc>
        <w:tc>
          <w:tcPr>
            <w:tcW w:w="1198" w:type="pct"/>
            <w:vMerge w:val="continue"/>
            <w:noWrap w:val="0"/>
            <w:vAlign w:val="center"/>
          </w:tcPr>
          <w:p w14:paraId="6445245F">
            <w:pPr>
              <w:ind w:right="-62"/>
              <w:jc w:val="center"/>
              <w:rPr>
                <w:rFonts w:ascii="Times New Roman" w:hAnsi="Times New Roman" w:cs="Times New Roman"/>
                <w:sz w:val="21"/>
                <w:szCs w:val="21"/>
              </w:rPr>
            </w:pPr>
          </w:p>
        </w:tc>
      </w:tr>
      <w:tr w14:paraId="0A48D154">
        <w:tblPrEx>
          <w:tblBorders>
            <w:top w:val="thinThickSmallGap" w:color="auto" w:sz="12" w:space="0"/>
            <w:left w:val="none" w:color="auto" w:sz="0" w:space="0"/>
            <w:bottom w:val="thickThinSmallGap"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630" w:type="pct"/>
            <w:vMerge w:val="continue"/>
            <w:noWrap w:val="0"/>
            <w:vAlign w:val="center"/>
          </w:tcPr>
          <w:p w14:paraId="11F7B594">
            <w:pPr>
              <w:ind w:right="-62"/>
              <w:jc w:val="center"/>
              <w:rPr>
                <w:rFonts w:ascii="Times New Roman" w:hAnsi="Times New Roman" w:cs="Times New Roman"/>
                <w:sz w:val="21"/>
                <w:szCs w:val="21"/>
              </w:rPr>
            </w:pPr>
          </w:p>
        </w:tc>
        <w:tc>
          <w:tcPr>
            <w:tcW w:w="988" w:type="pct"/>
            <w:vMerge w:val="continue"/>
            <w:noWrap w:val="0"/>
            <w:vAlign w:val="center"/>
          </w:tcPr>
          <w:p w14:paraId="25E1A92A">
            <w:pPr>
              <w:ind w:right="-62"/>
              <w:jc w:val="center"/>
              <w:rPr>
                <w:rFonts w:hint="eastAsia" w:ascii="Times New Roman" w:hAnsi="Times New Roman" w:cs="Times New Roman"/>
                <w:sz w:val="21"/>
                <w:szCs w:val="21"/>
              </w:rPr>
            </w:pPr>
          </w:p>
        </w:tc>
        <w:tc>
          <w:tcPr>
            <w:tcW w:w="1275" w:type="pct"/>
            <w:noWrap w:val="0"/>
            <w:vAlign w:val="center"/>
          </w:tcPr>
          <w:p w14:paraId="0AB6FF57">
            <w:pPr>
              <w:ind w:right="-62" w:rightChars="0"/>
              <w:jc w:val="center"/>
              <w:rPr>
                <w:rFonts w:hint="eastAsia" w:ascii="Times New Roman" w:hAnsi="Times New Roman" w:cs="Times New Roman"/>
                <w:sz w:val="21"/>
                <w:szCs w:val="21"/>
              </w:rPr>
            </w:pPr>
            <w:r>
              <w:rPr>
                <w:rFonts w:hint="eastAsia" w:ascii="Times New Roman" w:hAnsi="Times New Roman" w:cs="Times New Roman"/>
                <w:sz w:val="21"/>
                <w:szCs w:val="21"/>
              </w:rPr>
              <w:t>氮氧化物（以NO</w:t>
            </w:r>
            <w:r>
              <w:rPr>
                <w:rFonts w:hint="eastAsia" w:ascii="Times New Roman" w:hAnsi="Times New Roman" w:cs="Times New Roman"/>
                <w:sz w:val="21"/>
                <w:szCs w:val="21"/>
                <w:vertAlign w:val="subscript"/>
              </w:rPr>
              <w:t>2</w:t>
            </w:r>
            <w:r>
              <w:rPr>
                <w:rFonts w:hint="eastAsia" w:ascii="Times New Roman" w:hAnsi="Times New Roman" w:cs="Times New Roman"/>
                <w:sz w:val="21"/>
                <w:szCs w:val="21"/>
              </w:rPr>
              <w:t xml:space="preserve">计） </w:t>
            </w:r>
          </w:p>
        </w:tc>
        <w:tc>
          <w:tcPr>
            <w:tcW w:w="907" w:type="pct"/>
            <w:noWrap w:val="0"/>
            <w:vAlign w:val="center"/>
          </w:tcPr>
          <w:p w14:paraId="66C38427">
            <w:pPr>
              <w:ind w:right="-62"/>
              <w:jc w:val="center"/>
              <w:rPr>
                <w:rFonts w:hint="default" w:ascii="Times New Roman" w:hAnsi="Times New Roman" w:eastAsia="宋体" w:cs="Times New Roman"/>
                <w:sz w:val="21"/>
                <w:szCs w:val="21"/>
                <w:lang w:val="en-US" w:eastAsia="zh-CN"/>
              </w:rPr>
            </w:pPr>
            <w:r>
              <w:rPr>
                <w:rFonts w:hint="eastAsia" w:ascii="Times New Roman" w:hAnsi="Times New Roman" w:cs="Times New Roman"/>
                <w:sz w:val="21"/>
                <w:szCs w:val="21"/>
                <w:lang w:val="en-US" w:eastAsia="zh-CN"/>
              </w:rPr>
              <w:t>200</w:t>
            </w:r>
          </w:p>
        </w:tc>
        <w:tc>
          <w:tcPr>
            <w:tcW w:w="1198" w:type="pct"/>
            <w:vMerge w:val="continue"/>
            <w:noWrap w:val="0"/>
            <w:vAlign w:val="center"/>
          </w:tcPr>
          <w:p w14:paraId="291035BD">
            <w:pPr>
              <w:ind w:right="-62"/>
              <w:jc w:val="center"/>
              <w:rPr>
                <w:rFonts w:ascii="Times New Roman" w:hAnsi="Times New Roman" w:cs="Times New Roman"/>
                <w:sz w:val="21"/>
                <w:szCs w:val="21"/>
              </w:rPr>
            </w:pPr>
          </w:p>
        </w:tc>
      </w:tr>
      <w:tr w14:paraId="2FADBFB9">
        <w:tblPrEx>
          <w:tblBorders>
            <w:top w:val="thinThickSmallGap" w:color="auto" w:sz="12" w:space="0"/>
            <w:left w:val="none" w:color="auto" w:sz="0" w:space="0"/>
            <w:bottom w:val="thickThinSmallGap"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630" w:type="pct"/>
            <w:vMerge w:val="continue"/>
            <w:noWrap w:val="0"/>
            <w:vAlign w:val="center"/>
          </w:tcPr>
          <w:p w14:paraId="174A5FA6">
            <w:pPr>
              <w:ind w:right="-62"/>
              <w:jc w:val="center"/>
              <w:rPr>
                <w:rFonts w:ascii="Times New Roman" w:hAnsi="Times New Roman" w:cs="Times New Roman"/>
                <w:sz w:val="21"/>
                <w:szCs w:val="21"/>
              </w:rPr>
            </w:pPr>
          </w:p>
        </w:tc>
        <w:tc>
          <w:tcPr>
            <w:tcW w:w="988" w:type="pct"/>
            <w:noWrap w:val="0"/>
            <w:vAlign w:val="center"/>
          </w:tcPr>
          <w:p w14:paraId="5618D6E9">
            <w:pPr>
              <w:ind w:right="-62"/>
              <w:jc w:val="center"/>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高炉出铁场、高炉矿槽</w:t>
            </w:r>
          </w:p>
        </w:tc>
        <w:tc>
          <w:tcPr>
            <w:tcW w:w="1275" w:type="pct"/>
            <w:noWrap w:val="0"/>
            <w:vAlign w:val="center"/>
          </w:tcPr>
          <w:p w14:paraId="2F5C6C6E">
            <w:pPr>
              <w:ind w:right="-62" w:rightChars="0"/>
              <w:jc w:val="center"/>
              <w:rPr>
                <w:rFonts w:hint="eastAsia" w:ascii="Times New Roman" w:hAnsi="Times New Roman" w:cs="Times New Roman"/>
                <w:sz w:val="21"/>
                <w:szCs w:val="21"/>
              </w:rPr>
            </w:pPr>
            <w:r>
              <w:rPr>
                <w:rFonts w:hint="eastAsia" w:ascii="Times New Roman" w:hAnsi="Times New Roman" w:cs="Times New Roman"/>
                <w:sz w:val="21"/>
                <w:szCs w:val="21"/>
              </w:rPr>
              <w:t>颗粒物</w:t>
            </w:r>
          </w:p>
        </w:tc>
        <w:tc>
          <w:tcPr>
            <w:tcW w:w="907" w:type="pct"/>
            <w:noWrap w:val="0"/>
            <w:vAlign w:val="center"/>
          </w:tcPr>
          <w:p w14:paraId="3F30718B">
            <w:pPr>
              <w:ind w:right="-62" w:rightChars="0"/>
              <w:jc w:val="center"/>
              <w:rPr>
                <w:rFonts w:hint="eastAsia" w:ascii="Times New Roman" w:hAnsi="Times New Roman" w:cs="Times New Roman"/>
                <w:sz w:val="21"/>
                <w:szCs w:val="21"/>
              </w:rPr>
            </w:pPr>
            <w:r>
              <w:rPr>
                <w:rFonts w:hint="eastAsia" w:ascii="Times New Roman" w:hAnsi="Times New Roman" w:cs="Times New Roman"/>
                <w:sz w:val="21"/>
                <w:szCs w:val="21"/>
                <w:lang w:val="en-US" w:eastAsia="zh-CN"/>
              </w:rPr>
              <w:t>10</w:t>
            </w:r>
          </w:p>
        </w:tc>
        <w:tc>
          <w:tcPr>
            <w:tcW w:w="1198" w:type="pct"/>
            <w:vMerge w:val="continue"/>
            <w:noWrap w:val="0"/>
            <w:vAlign w:val="center"/>
          </w:tcPr>
          <w:p w14:paraId="648B57E2">
            <w:pPr>
              <w:ind w:right="-62"/>
              <w:jc w:val="center"/>
              <w:rPr>
                <w:rFonts w:ascii="Times New Roman" w:hAnsi="Times New Roman" w:cs="Times New Roman"/>
                <w:sz w:val="21"/>
                <w:szCs w:val="21"/>
              </w:rPr>
            </w:pPr>
          </w:p>
        </w:tc>
      </w:tr>
      <w:tr w14:paraId="18535D01">
        <w:tblPrEx>
          <w:tblBorders>
            <w:top w:val="thinThickSmallGap" w:color="auto" w:sz="12" w:space="0"/>
            <w:left w:val="none" w:color="auto" w:sz="0" w:space="0"/>
            <w:bottom w:val="thickThinSmallGap"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630" w:type="pct"/>
            <w:vMerge w:val="continue"/>
            <w:noWrap w:val="0"/>
            <w:vAlign w:val="center"/>
          </w:tcPr>
          <w:p w14:paraId="0FA5FD8F">
            <w:pPr>
              <w:ind w:right="-62"/>
              <w:jc w:val="center"/>
              <w:rPr>
                <w:rFonts w:ascii="Times New Roman" w:hAnsi="Times New Roman" w:cs="Times New Roman"/>
                <w:sz w:val="21"/>
                <w:szCs w:val="21"/>
              </w:rPr>
            </w:pPr>
          </w:p>
        </w:tc>
        <w:tc>
          <w:tcPr>
            <w:tcW w:w="988" w:type="pct"/>
            <w:noWrap w:val="0"/>
            <w:vAlign w:val="center"/>
          </w:tcPr>
          <w:p w14:paraId="5DF6DAAE">
            <w:pPr>
              <w:ind w:right="-62"/>
              <w:jc w:val="center"/>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原料系统、煤粉系统及其他生 产设施</w:t>
            </w:r>
          </w:p>
        </w:tc>
        <w:tc>
          <w:tcPr>
            <w:tcW w:w="1275" w:type="pct"/>
            <w:noWrap w:val="0"/>
            <w:vAlign w:val="center"/>
          </w:tcPr>
          <w:p w14:paraId="7710EF06">
            <w:pPr>
              <w:ind w:right="-62" w:rightChars="0"/>
              <w:jc w:val="center"/>
              <w:rPr>
                <w:rFonts w:hint="eastAsia" w:ascii="Times New Roman" w:hAnsi="Times New Roman" w:cs="Times New Roman"/>
                <w:sz w:val="21"/>
                <w:szCs w:val="21"/>
              </w:rPr>
            </w:pPr>
            <w:r>
              <w:rPr>
                <w:rFonts w:hint="eastAsia" w:ascii="Times New Roman" w:hAnsi="Times New Roman" w:cs="Times New Roman"/>
                <w:sz w:val="21"/>
                <w:szCs w:val="21"/>
              </w:rPr>
              <w:t>颗粒物</w:t>
            </w:r>
          </w:p>
        </w:tc>
        <w:tc>
          <w:tcPr>
            <w:tcW w:w="907" w:type="pct"/>
            <w:noWrap w:val="0"/>
            <w:vAlign w:val="center"/>
          </w:tcPr>
          <w:p w14:paraId="4A9E469C">
            <w:pPr>
              <w:ind w:right="-62" w:rightChars="0"/>
              <w:jc w:val="center"/>
              <w:rPr>
                <w:rFonts w:hint="eastAsia" w:ascii="Times New Roman" w:hAnsi="Times New Roman" w:cs="Times New Roman"/>
                <w:sz w:val="21"/>
                <w:szCs w:val="21"/>
              </w:rPr>
            </w:pPr>
            <w:r>
              <w:rPr>
                <w:rFonts w:hint="eastAsia" w:ascii="Times New Roman" w:hAnsi="Times New Roman" w:cs="Times New Roman"/>
                <w:sz w:val="21"/>
                <w:szCs w:val="21"/>
                <w:lang w:val="en-US" w:eastAsia="zh-CN"/>
              </w:rPr>
              <w:t>10</w:t>
            </w:r>
          </w:p>
        </w:tc>
        <w:tc>
          <w:tcPr>
            <w:tcW w:w="1198" w:type="pct"/>
            <w:vMerge w:val="continue"/>
            <w:noWrap w:val="0"/>
            <w:vAlign w:val="center"/>
          </w:tcPr>
          <w:p w14:paraId="58977B63">
            <w:pPr>
              <w:ind w:right="-62"/>
              <w:jc w:val="center"/>
              <w:rPr>
                <w:rFonts w:ascii="Times New Roman" w:hAnsi="Times New Roman" w:cs="Times New Roman"/>
                <w:sz w:val="21"/>
                <w:szCs w:val="21"/>
              </w:rPr>
            </w:pPr>
          </w:p>
        </w:tc>
      </w:tr>
      <w:tr w14:paraId="4B5A88E3">
        <w:tblPrEx>
          <w:tblBorders>
            <w:top w:val="thinThickSmallGap" w:color="auto" w:sz="12" w:space="0"/>
            <w:left w:val="none" w:color="auto" w:sz="0" w:space="0"/>
            <w:bottom w:val="thickThinSmallGap"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630" w:type="pct"/>
            <w:vMerge w:val="restart"/>
            <w:noWrap w:val="0"/>
            <w:vAlign w:val="center"/>
          </w:tcPr>
          <w:p w14:paraId="49D3F616">
            <w:pPr>
              <w:ind w:right="-62"/>
              <w:jc w:val="center"/>
              <w:rPr>
                <w:rFonts w:hint="eastAsia" w:ascii="Times New Roman" w:hAnsi="Times New Roman" w:cs="Times New Roman"/>
                <w:sz w:val="21"/>
                <w:szCs w:val="21"/>
              </w:rPr>
            </w:pPr>
            <w:r>
              <w:rPr>
                <w:rFonts w:hint="eastAsia" w:ascii="Times New Roman" w:hAnsi="Times New Roman" w:cs="Times New Roman"/>
                <w:sz w:val="21"/>
                <w:szCs w:val="21"/>
              </w:rPr>
              <w:t>本项目</w:t>
            </w:r>
          </w:p>
        </w:tc>
        <w:tc>
          <w:tcPr>
            <w:tcW w:w="988" w:type="pct"/>
            <w:vMerge w:val="restart"/>
            <w:noWrap w:val="0"/>
            <w:vAlign w:val="center"/>
          </w:tcPr>
          <w:p w14:paraId="6B0CD6F1">
            <w:pPr>
              <w:ind w:right="-62" w:rightChars="0"/>
              <w:jc w:val="center"/>
              <w:rPr>
                <w:rFonts w:hint="eastAsia" w:ascii="Times New Roman" w:hAnsi="Times New Roman" w:eastAsia="宋体" w:cs="Times New Roman"/>
                <w:sz w:val="21"/>
                <w:szCs w:val="21"/>
              </w:rPr>
            </w:pPr>
            <w:r>
              <w:rPr>
                <w:rFonts w:hint="eastAsia" w:ascii="Times New Roman" w:hAnsi="Times New Roman" w:cs="Times New Roman"/>
                <w:sz w:val="21"/>
                <w:szCs w:val="21"/>
              </w:rPr>
              <w:t>烧结机头、球团焙烧设备</w:t>
            </w:r>
          </w:p>
        </w:tc>
        <w:tc>
          <w:tcPr>
            <w:tcW w:w="1275" w:type="pct"/>
            <w:noWrap w:val="0"/>
            <w:vAlign w:val="center"/>
          </w:tcPr>
          <w:p w14:paraId="3586DD31">
            <w:pPr>
              <w:ind w:right="-62" w:rightChars="0"/>
              <w:jc w:val="center"/>
              <w:rPr>
                <w:rFonts w:hint="eastAsia" w:ascii="Times New Roman" w:hAnsi="Times New Roman" w:cs="Times New Roman"/>
                <w:sz w:val="21"/>
                <w:szCs w:val="21"/>
              </w:rPr>
            </w:pPr>
            <w:r>
              <w:rPr>
                <w:rFonts w:hint="eastAsia" w:ascii="Times New Roman" w:hAnsi="Times New Roman" w:cs="Times New Roman"/>
                <w:sz w:val="21"/>
                <w:szCs w:val="21"/>
              </w:rPr>
              <w:t>颗粒物</w:t>
            </w:r>
          </w:p>
        </w:tc>
        <w:tc>
          <w:tcPr>
            <w:tcW w:w="907" w:type="pct"/>
            <w:noWrap w:val="0"/>
            <w:vAlign w:val="center"/>
          </w:tcPr>
          <w:p w14:paraId="2FE73C03">
            <w:pPr>
              <w:ind w:right="-62" w:rightChars="0"/>
              <w:jc w:val="center"/>
              <w:rPr>
                <w:rFonts w:hint="eastAsia" w:ascii="Times New Roman" w:hAnsi="Times New Roman" w:cs="Times New Roman"/>
                <w:sz w:val="21"/>
                <w:szCs w:val="21"/>
              </w:rPr>
            </w:pPr>
            <w:r>
              <w:rPr>
                <w:rFonts w:hint="eastAsia" w:ascii="Times New Roman" w:hAnsi="Times New Roman" w:cs="Times New Roman"/>
                <w:sz w:val="21"/>
                <w:szCs w:val="21"/>
                <w:lang w:val="en-US" w:eastAsia="zh-CN"/>
              </w:rPr>
              <w:t>10</w:t>
            </w:r>
          </w:p>
        </w:tc>
        <w:tc>
          <w:tcPr>
            <w:tcW w:w="1198" w:type="pct"/>
            <w:vMerge w:val="restart"/>
            <w:noWrap w:val="0"/>
            <w:vAlign w:val="center"/>
          </w:tcPr>
          <w:p w14:paraId="7E7EEC11">
            <w:pPr>
              <w:ind w:right="-62"/>
              <w:jc w:val="center"/>
              <w:rPr>
                <w:rFonts w:ascii="Times New Roman" w:hAnsi="Times New Roman" w:cs="Times New Roman"/>
                <w:sz w:val="21"/>
                <w:szCs w:val="21"/>
              </w:rPr>
            </w:pPr>
            <w:r>
              <w:rPr>
                <w:rFonts w:hint="eastAsia" w:ascii="Times New Roman" w:hAnsi="Times New Roman" w:cs="Times New Roman"/>
                <w:sz w:val="21"/>
                <w:szCs w:val="21"/>
              </w:rPr>
              <w:t>DB21/4119</w:t>
            </w:r>
            <w:r>
              <w:rPr>
                <w:rFonts w:hint="eastAsia" w:ascii="Times New Roman" w:hAnsi="Times New Roman" w:cs="Times New Roman"/>
                <w:sz w:val="21"/>
                <w:szCs w:val="21"/>
                <w:lang w:val="en-US" w:eastAsia="zh-CN"/>
              </w:rPr>
              <w:t>-</w:t>
            </w:r>
            <w:r>
              <w:rPr>
                <w:rFonts w:hint="eastAsia" w:ascii="Times New Roman" w:hAnsi="Times New Roman" w:cs="Times New Roman"/>
                <w:sz w:val="21"/>
                <w:szCs w:val="21"/>
              </w:rPr>
              <w:t>2025</w:t>
            </w:r>
            <w:r>
              <w:rPr>
                <w:rFonts w:ascii="Times New Roman" w:hAnsi="Times New Roman" w:cs="Times New Roman"/>
                <w:sz w:val="21"/>
                <w:szCs w:val="21"/>
              </w:rPr>
              <w:t>表</w:t>
            </w:r>
            <w:r>
              <w:rPr>
                <w:rFonts w:hint="eastAsia" w:ascii="Times New Roman" w:hAnsi="Times New Roman" w:cs="Times New Roman"/>
                <w:sz w:val="21"/>
                <w:szCs w:val="21"/>
                <w:lang w:val="en-US" w:eastAsia="zh-CN"/>
              </w:rPr>
              <w:t>1</w:t>
            </w:r>
            <w:r>
              <w:rPr>
                <w:rFonts w:hint="eastAsia" w:ascii="Times New Roman" w:hAnsi="Times New Roman" w:cs="Times New Roman"/>
                <w:sz w:val="21"/>
                <w:szCs w:val="21"/>
              </w:rPr>
              <w:t>限值</w:t>
            </w:r>
          </w:p>
        </w:tc>
      </w:tr>
      <w:tr w14:paraId="02632DB6">
        <w:tblPrEx>
          <w:tblBorders>
            <w:top w:val="thinThickSmallGap" w:color="auto" w:sz="12" w:space="0"/>
            <w:left w:val="none" w:color="auto" w:sz="0" w:space="0"/>
            <w:bottom w:val="thickThinSmallGap"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630" w:type="pct"/>
            <w:vMerge w:val="continue"/>
            <w:noWrap w:val="0"/>
            <w:vAlign w:val="center"/>
          </w:tcPr>
          <w:p w14:paraId="2771095F">
            <w:pPr>
              <w:ind w:right="-62"/>
              <w:jc w:val="center"/>
              <w:rPr>
                <w:rFonts w:hint="eastAsia" w:ascii="Times New Roman" w:hAnsi="Times New Roman" w:cs="Times New Roman"/>
                <w:sz w:val="21"/>
                <w:szCs w:val="21"/>
              </w:rPr>
            </w:pPr>
          </w:p>
        </w:tc>
        <w:tc>
          <w:tcPr>
            <w:tcW w:w="988" w:type="pct"/>
            <w:vMerge w:val="continue"/>
            <w:noWrap w:val="0"/>
            <w:vAlign w:val="center"/>
          </w:tcPr>
          <w:p w14:paraId="655934F5">
            <w:pPr>
              <w:ind w:right="-62" w:rightChars="0"/>
              <w:jc w:val="center"/>
              <w:rPr>
                <w:rFonts w:hint="eastAsia" w:ascii="Times New Roman" w:hAnsi="Times New Roman" w:eastAsia="宋体" w:cs="Times New Roman"/>
                <w:sz w:val="21"/>
                <w:szCs w:val="21"/>
              </w:rPr>
            </w:pPr>
          </w:p>
        </w:tc>
        <w:tc>
          <w:tcPr>
            <w:tcW w:w="1275" w:type="pct"/>
            <w:noWrap w:val="0"/>
            <w:vAlign w:val="center"/>
          </w:tcPr>
          <w:p w14:paraId="2D0DB134">
            <w:pPr>
              <w:ind w:right="-62" w:rightChars="0"/>
              <w:jc w:val="center"/>
              <w:rPr>
                <w:rFonts w:hint="eastAsia" w:ascii="Times New Roman" w:hAnsi="Times New Roman" w:cs="Times New Roman"/>
                <w:sz w:val="21"/>
                <w:szCs w:val="21"/>
              </w:rPr>
            </w:pPr>
            <w:r>
              <w:rPr>
                <w:rFonts w:hint="eastAsia" w:ascii="Times New Roman" w:hAnsi="Times New Roman" w:cs="Times New Roman"/>
                <w:sz w:val="21"/>
                <w:szCs w:val="21"/>
                <w:lang w:val="en-US" w:eastAsia="zh-CN"/>
              </w:rPr>
              <w:t>二氧化硫</w:t>
            </w:r>
          </w:p>
        </w:tc>
        <w:tc>
          <w:tcPr>
            <w:tcW w:w="907" w:type="pct"/>
            <w:noWrap w:val="0"/>
            <w:vAlign w:val="center"/>
          </w:tcPr>
          <w:p w14:paraId="3FEE7938">
            <w:pPr>
              <w:ind w:right="-62" w:rightChars="0"/>
              <w:jc w:val="center"/>
              <w:rPr>
                <w:rFonts w:hint="eastAsia" w:ascii="Times New Roman" w:hAnsi="Times New Roman" w:cs="Times New Roman"/>
                <w:sz w:val="21"/>
                <w:szCs w:val="21"/>
              </w:rPr>
            </w:pPr>
            <w:r>
              <w:rPr>
                <w:rFonts w:hint="eastAsia" w:ascii="Times New Roman" w:hAnsi="Times New Roman" w:cs="Times New Roman"/>
                <w:bCs/>
                <w:spacing w:val="4"/>
                <w:sz w:val="21"/>
                <w:szCs w:val="21"/>
                <w:lang w:val="en-US" w:eastAsia="zh-CN"/>
              </w:rPr>
              <w:t>35</w:t>
            </w:r>
          </w:p>
        </w:tc>
        <w:tc>
          <w:tcPr>
            <w:tcW w:w="1198" w:type="pct"/>
            <w:vMerge w:val="continue"/>
            <w:noWrap w:val="0"/>
            <w:vAlign w:val="center"/>
          </w:tcPr>
          <w:p w14:paraId="7FC4B284">
            <w:pPr>
              <w:ind w:right="-62"/>
              <w:jc w:val="center"/>
              <w:rPr>
                <w:rFonts w:ascii="Times New Roman" w:hAnsi="Times New Roman" w:cs="Times New Roman"/>
                <w:sz w:val="21"/>
                <w:szCs w:val="21"/>
              </w:rPr>
            </w:pPr>
          </w:p>
        </w:tc>
      </w:tr>
      <w:tr w14:paraId="0912C8CF">
        <w:tblPrEx>
          <w:tblBorders>
            <w:top w:val="thinThickSmallGap" w:color="auto" w:sz="12" w:space="0"/>
            <w:left w:val="none" w:color="auto" w:sz="0" w:space="0"/>
            <w:bottom w:val="thickThinSmallGap"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630" w:type="pct"/>
            <w:vMerge w:val="continue"/>
            <w:noWrap w:val="0"/>
            <w:vAlign w:val="center"/>
          </w:tcPr>
          <w:p w14:paraId="3EABA3EE">
            <w:pPr>
              <w:ind w:right="-62"/>
              <w:jc w:val="center"/>
              <w:rPr>
                <w:rFonts w:hint="eastAsia" w:ascii="Times New Roman" w:hAnsi="Times New Roman" w:cs="Times New Roman"/>
                <w:sz w:val="21"/>
                <w:szCs w:val="21"/>
              </w:rPr>
            </w:pPr>
          </w:p>
        </w:tc>
        <w:tc>
          <w:tcPr>
            <w:tcW w:w="988" w:type="pct"/>
            <w:vMerge w:val="continue"/>
            <w:noWrap w:val="0"/>
            <w:vAlign w:val="center"/>
          </w:tcPr>
          <w:p w14:paraId="5A4E0A05">
            <w:pPr>
              <w:ind w:right="-62" w:rightChars="0"/>
              <w:jc w:val="center"/>
              <w:rPr>
                <w:rFonts w:hint="eastAsia" w:ascii="Times New Roman" w:hAnsi="Times New Roman" w:eastAsia="宋体" w:cs="Times New Roman"/>
                <w:sz w:val="21"/>
                <w:szCs w:val="21"/>
              </w:rPr>
            </w:pPr>
          </w:p>
        </w:tc>
        <w:tc>
          <w:tcPr>
            <w:tcW w:w="1275" w:type="pct"/>
            <w:noWrap w:val="0"/>
            <w:vAlign w:val="center"/>
          </w:tcPr>
          <w:p w14:paraId="4116ABA0">
            <w:pPr>
              <w:ind w:right="-62" w:rightChars="0"/>
              <w:jc w:val="center"/>
              <w:rPr>
                <w:rFonts w:hint="eastAsia" w:ascii="Times New Roman" w:hAnsi="Times New Roman" w:cs="Times New Roman"/>
                <w:sz w:val="21"/>
                <w:szCs w:val="21"/>
              </w:rPr>
            </w:pPr>
            <w:r>
              <w:rPr>
                <w:rFonts w:hint="eastAsia" w:ascii="Times New Roman" w:hAnsi="Times New Roman" w:cs="Times New Roman"/>
                <w:sz w:val="21"/>
                <w:szCs w:val="21"/>
              </w:rPr>
              <w:t>氮氧化物（以NO</w:t>
            </w:r>
            <w:r>
              <w:rPr>
                <w:rFonts w:hint="eastAsia" w:ascii="Times New Roman" w:hAnsi="Times New Roman" w:cs="Times New Roman"/>
                <w:sz w:val="21"/>
                <w:szCs w:val="21"/>
                <w:vertAlign w:val="subscript"/>
              </w:rPr>
              <w:t>2</w:t>
            </w:r>
            <w:r>
              <w:rPr>
                <w:rFonts w:hint="eastAsia" w:ascii="Times New Roman" w:hAnsi="Times New Roman" w:cs="Times New Roman"/>
                <w:sz w:val="21"/>
                <w:szCs w:val="21"/>
              </w:rPr>
              <w:t xml:space="preserve">计） </w:t>
            </w:r>
          </w:p>
        </w:tc>
        <w:tc>
          <w:tcPr>
            <w:tcW w:w="907" w:type="pct"/>
            <w:noWrap w:val="0"/>
            <w:vAlign w:val="center"/>
          </w:tcPr>
          <w:p w14:paraId="6FD19235">
            <w:pPr>
              <w:ind w:right="-62" w:rightChars="0"/>
              <w:jc w:val="center"/>
              <w:rPr>
                <w:rFonts w:hint="eastAsia" w:ascii="Times New Roman" w:hAnsi="Times New Roman" w:cs="Times New Roman"/>
                <w:sz w:val="21"/>
                <w:szCs w:val="21"/>
              </w:rPr>
            </w:pPr>
            <w:r>
              <w:rPr>
                <w:rFonts w:hint="eastAsia" w:ascii="Times New Roman" w:hAnsi="Times New Roman" w:cs="Times New Roman"/>
                <w:sz w:val="21"/>
                <w:szCs w:val="21"/>
                <w:lang w:val="en-US" w:eastAsia="zh-CN"/>
              </w:rPr>
              <w:t>50</w:t>
            </w:r>
          </w:p>
        </w:tc>
        <w:tc>
          <w:tcPr>
            <w:tcW w:w="1198" w:type="pct"/>
            <w:vMerge w:val="continue"/>
            <w:noWrap w:val="0"/>
            <w:vAlign w:val="center"/>
          </w:tcPr>
          <w:p w14:paraId="33D9E1EF">
            <w:pPr>
              <w:ind w:right="-62"/>
              <w:jc w:val="center"/>
              <w:rPr>
                <w:rFonts w:ascii="Times New Roman" w:hAnsi="Times New Roman" w:cs="Times New Roman"/>
                <w:sz w:val="21"/>
                <w:szCs w:val="21"/>
              </w:rPr>
            </w:pPr>
          </w:p>
        </w:tc>
      </w:tr>
      <w:tr w14:paraId="334B903A">
        <w:tblPrEx>
          <w:tblBorders>
            <w:top w:val="thinThickSmallGap" w:color="auto" w:sz="12" w:space="0"/>
            <w:left w:val="none" w:color="auto" w:sz="0" w:space="0"/>
            <w:bottom w:val="thickThinSmallGap"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630" w:type="pct"/>
            <w:vMerge w:val="continue"/>
            <w:noWrap w:val="0"/>
            <w:vAlign w:val="center"/>
          </w:tcPr>
          <w:p w14:paraId="65BA1D05">
            <w:pPr>
              <w:ind w:right="-62"/>
              <w:jc w:val="center"/>
              <w:rPr>
                <w:rFonts w:hint="eastAsia" w:ascii="Times New Roman" w:hAnsi="Times New Roman" w:cs="Times New Roman"/>
                <w:sz w:val="21"/>
                <w:szCs w:val="21"/>
              </w:rPr>
            </w:pPr>
          </w:p>
        </w:tc>
        <w:tc>
          <w:tcPr>
            <w:tcW w:w="988" w:type="pct"/>
            <w:vMerge w:val="continue"/>
            <w:noWrap w:val="0"/>
            <w:vAlign w:val="center"/>
          </w:tcPr>
          <w:p w14:paraId="2C822125">
            <w:pPr>
              <w:ind w:right="-62" w:rightChars="0"/>
              <w:jc w:val="center"/>
              <w:rPr>
                <w:rFonts w:hint="eastAsia" w:ascii="Times New Roman" w:hAnsi="Times New Roman" w:eastAsia="宋体" w:cs="Times New Roman"/>
                <w:sz w:val="21"/>
                <w:szCs w:val="21"/>
              </w:rPr>
            </w:pPr>
          </w:p>
        </w:tc>
        <w:tc>
          <w:tcPr>
            <w:tcW w:w="1275" w:type="pct"/>
            <w:noWrap w:val="0"/>
            <w:vAlign w:val="center"/>
          </w:tcPr>
          <w:p w14:paraId="63DA5D6D">
            <w:pPr>
              <w:ind w:right="-62" w:rightChars="0"/>
              <w:jc w:val="center"/>
              <w:rPr>
                <w:rFonts w:hint="eastAsia" w:ascii="Times New Roman" w:hAnsi="Times New Roman" w:cs="Times New Roman"/>
                <w:sz w:val="21"/>
                <w:szCs w:val="21"/>
              </w:rPr>
            </w:pPr>
            <w:r>
              <w:rPr>
                <w:rFonts w:hint="eastAsia" w:ascii="Times New Roman" w:hAnsi="Times New Roman" w:cs="Times New Roman"/>
                <w:sz w:val="21"/>
                <w:szCs w:val="21"/>
              </w:rPr>
              <w:t>氟化物（以F计）</w:t>
            </w:r>
          </w:p>
        </w:tc>
        <w:tc>
          <w:tcPr>
            <w:tcW w:w="907" w:type="pct"/>
            <w:noWrap w:val="0"/>
            <w:vAlign w:val="center"/>
          </w:tcPr>
          <w:p w14:paraId="65116452">
            <w:pPr>
              <w:ind w:right="-62" w:rightChars="0"/>
              <w:jc w:val="center"/>
              <w:rPr>
                <w:rFonts w:hint="eastAsia" w:ascii="Times New Roman" w:hAnsi="Times New Roman" w:cs="Times New Roman"/>
                <w:sz w:val="21"/>
                <w:szCs w:val="21"/>
              </w:rPr>
            </w:pPr>
            <w:r>
              <w:rPr>
                <w:rFonts w:hint="eastAsia" w:ascii="Times New Roman" w:hAnsi="Times New Roman" w:cs="Times New Roman"/>
                <w:sz w:val="21"/>
                <w:szCs w:val="21"/>
                <w:lang w:val="en-US" w:eastAsia="zh-CN"/>
              </w:rPr>
              <w:t>4</w:t>
            </w:r>
          </w:p>
        </w:tc>
        <w:tc>
          <w:tcPr>
            <w:tcW w:w="1198" w:type="pct"/>
            <w:vMerge w:val="continue"/>
            <w:noWrap w:val="0"/>
            <w:vAlign w:val="center"/>
          </w:tcPr>
          <w:p w14:paraId="4219ABB2">
            <w:pPr>
              <w:ind w:right="-62"/>
              <w:jc w:val="center"/>
              <w:rPr>
                <w:rFonts w:ascii="Times New Roman" w:hAnsi="Times New Roman" w:cs="Times New Roman"/>
                <w:sz w:val="21"/>
                <w:szCs w:val="21"/>
              </w:rPr>
            </w:pPr>
          </w:p>
        </w:tc>
      </w:tr>
      <w:tr w14:paraId="49725444">
        <w:tblPrEx>
          <w:tblBorders>
            <w:top w:val="thinThickSmallGap" w:color="auto" w:sz="12" w:space="0"/>
            <w:left w:val="none" w:color="auto" w:sz="0" w:space="0"/>
            <w:bottom w:val="thickThinSmallGap"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630" w:type="pct"/>
            <w:vMerge w:val="continue"/>
            <w:noWrap w:val="0"/>
            <w:vAlign w:val="center"/>
          </w:tcPr>
          <w:p w14:paraId="1A5BCAA3">
            <w:pPr>
              <w:ind w:right="-62"/>
              <w:jc w:val="center"/>
              <w:rPr>
                <w:rFonts w:hint="eastAsia" w:ascii="Times New Roman" w:hAnsi="Times New Roman" w:cs="Times New Roman"/>
                <w:sz w:val="21"/>
                <w:szCs w:val="21"/>
              </w:rPr>
            </w:pPr>
          </w:p>
        </w:tc>
        <w:tc>
          <w:tcPr>
            <w:tcW w:w="988" w:type="pct"/>
            <w:vMerge w:val="continue"/>
            <w:noWrap w:val="0"/>
            <w:vAlign w:val="center"/>
          </w:tcPr>
          <w:p w14:paraId="732F1B60">
            <w:pPr>
              <w:ind w:right="-62" w:rightChars="0"/>
              <w:jc w:val="center"/>
              <w:rPr>
                <w:rFonts w:hint="eastAsia" w:ascii="Times New Roman" w:hAnsi="Times New Roman" w:eastAsia="宋体" w:cs="Times New Roman"/>
                <w:sz w:val="21"/>
                <w:szCs w:val="21"/>
              </w:rPr>
            </w:pPr>
          </w:p>
        </w:tc>
        <w:tc>
          <w:tcPr>
            <w:tcW w:w="1275" w:type="pct"/>
            <w:noWrap w:val="0"/>
            <w:vAlign w:val="center"/>
          </w:tcPr>
          <w:p w14:paraId="6048FF81">
            <w:pPr>
              <w:ind w:right="-62" w:rightChars="0"/>
              <w:jc w:val="center"/>
              <w:rPr>
                <w:rFonts w:hint="eastAsia" w:ascii="Times New Roman" w:hAnsi="Times New Roman" w:cs="Times New Roman"/>
                <w:sz w:val="21"/>
                <w:szCs w:val="21"/>
              </w:rPr>
            </w:pPr>
            <w:r>
              <w:rPr>
                <w:rFonts w:hint="eastAsia" w:ascii="Times New Roman" w:hAnsi="Times New Roman" w:cs="Times New Roman"/>
                <w:sz w:val="21"/>
                <w:szCs w:val="21"/>
              </w:rPr>
              <w:t>二噁英</w:t>
            </w:r>
          </w:p>
        </w:tc>
        <w:tc>
          <w:tcPr>
            <w:tcW w:w="907" w:type="pct"/>
            <w:noWrap w:val="0"/>
            <w:vAlign w:val="center"/>
          </w:tcPr>
          <w:p w14:paraId="564A7283">
            <w:pPr>
              <w:ind w:right="-62" w:rightChars="0"/>
              <w:jc w:val="center"/>
              <w:rPr>
                <w:rFonts w:hint="eastAsia" w:ascii="Times New Roman" w:hAnsi="Times New Roman" w:cs="Times New Roman"/>
                <w:sz w:val="21"/>
                <w:szCs w:val="21"/>
              </w:rPr>
            </w:pPr>
            <w:r>
              <w:rPr>
                <w:rFonts w:hint="eastAsia" w:ascii="Times New Roman" w:hAnsi="Times New Roman" w:cs="Times New Roman"/>
                <w:sz w:val="21"/>
                <w:szCs w:val="21"/>
              </w:rPr>
              <w:t>0.5 ng-TEQ/</w:t>
            </w:r>
            <w:r>
              <w:rPr>
                <w:rFonts w:ascii="Times New Roman" w:hAnsi="Times New Roman" w:cs="Times New Roman"/>
                <w:sz w:val="21"/>
                <w:szCs w:val="21"/>
              </w:rPr>
              <w:t>m</w:t>
            </w:r>
            <w:r>
              <w:rPr>
                <w:rFonts w:ascii="Times New Roman" w:hAnsi="Times New Roman" w:cs="Times New Roman"/>
                <w:sz w:val="21"/>
                <w:szCs w:val="21"/>
                <w:vertAlign w:val="superscript"/>
              </w:rPr>
              <w:t>3</w:t>
            </w:r>
          </w:p>
        </w:tc>
        <w:tc>
          <w:tcPr>
            <w:tcW w:w="1198" w:type="pct"/>
            <w:vMerge w:val="continue"/>
            <w:noWrap w:val="0"/>
            <w:vAlign w:val="center"/>
          </w:tcPr>
          <w:p w14:paraId="10C74BE8">
            <w:pPr>
              <w:ind w:right="-62"/>
              <w:jc w:val="center"/>
              <w:rPr>
                <w:rFonts w:ascii="Times New Roman" w:hAnsi="Times New Roman" w:cs="Times New Roman"/>
                <w:sz w:val="21"/>
                <w:szCs w:val="21"/>
              </w:rPr>
            </w:pPr>
          </w:p>
        </w:tc>
      </w:tr>
      <w:tr w14:paraId="202AD1D3">
        <w:tblPrEx>
          <w:tblBorders>
            <w:top w:val="thinThickSmallGap" w:color="auto" w:sz="12" w:space="0"/>
            <w:left w:val="none" w:color="auto" w:sz="0" w:space="0"/>
            <w:bottom w:val="thickThinSmallGap"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630" w:type="pct"/>
            <w:vMerge w:val="continue"/>
            <w:noWrap w:val="0"/>
            <w:vAlign w:val="center"/>
          </w:tcPr>
          <w:p w14:paraId="2487C3A2">
            <w:pPr>
              <w:ind w:right="-62"/>
              <w:jc w:val="center"/>
              <w:rPr>
                <w:rFonts w:hint="eastAsia" w:ascii="Times New Roman" w:hAnsi="Times New Roman" w:cs="Times New Roman"/>
                <w:sz w:val="21"/>
                <w:szCs w:val="21"/>
              </w:rPr>
            </w:pPr>
          </w:p>
        </w:tc>
        <w:tc>
          <w:tcPr>
            <w:tcW w:w="988" w:type="pct"/>
            <w:vMerge w:val="continue"/>
            <w:noWrap w:val="0"/>
            <w:vAlign w:val="center"/>
          </w:tcPr>
          <w:p w14:paraId="39A10F1F">
            <w:pPr>
              <w:ind w:right="-62" w:rightChars="0"/>
              <w:jc w:val="center"/>
              <w:rPr>
                <w:rFonts w:hint="eastAsia" w:ascii="Times New Roman" w:hAnsi="Times New Roman" w:eastAsia="宋体" w:cs="Times New Roman"/>
                <w:sz w:val="21"/>
                <w:szCs w:val="21"/>
              </w:rPr>
            </w:pPr>
          </w:p>
        </w:tc>
        <w:tc>
          <w:tcPr>
            <w:tcW w:w="1275" w:type="pct"/>
            <w:noWrap w:val="0"/>
            <w:vAlign w:val="center"/>
          </w:tcPr>
          <w:p w14:paraId="355838CA">
            <w:pPr>
              <w:ind w:right="-62" w:rightChars="0"/>
              <w:jc w:val="center"/>
              <w:rPr>
                <w:rFonts w:hint="eastAsia" w:ascii="Times New Roman" w:hAnsi="Times New Roman" w:cs="Times New Roman"/>
                <w:sz w:val="21"/>
                <w:szCs w:val="21"/>
              </w:rPr>
            </w:pPr>
            <w:r>
              <w:rPr>
                <w:rFonts w:hint="eastAsia" w:ascii="Times New Roman" w:hAnsi="Times New Roman" w:cs="Times New Roman"/>
                <w:sz w:val="21"/>
                <w:szCs w:val="21"/>
                <w:lang w:val="en-US" w:eastAsia="zh-CN"/>
              </w:rPr>
              <w:t>氨</w:t>
            </w:r>
          </w:p>
        </w:tc>
        <w:tc>
          <w:tcPr>
            <w:tcW w:w="907" w:type="pct"/>
            <w:noWrap w:val="0"/>
            <w:vAlign w:val="center"/>
          </w:tcPr>
          <w:p w14:paraId="32DBAF3B">
            <w:pPr>
              <w:ind w:right="-62" w:rightChars="0"/>
              <w:jc w:val="center"/>
              <w:rPr>
                <w:rFonts w:hint="eastAsia" w:ascii="Times New Roman" w:hAnsi="Times New Roman" w:cs="Times New Roman"/>
                <w:sz w:val="21"/>
                <w:szCs w:val="21"/>
              </w:rPr>
            </w:pPr>
            <w:r>
              <w:rPr>
                <w:rFonts w:hint="eastAsia" w:ascii="Times New Roman" w:hAnsi="Times New Roman" w:cs="Times New Roman"/>
                <w:sz w:val="21"/>
                <w:szCs w:val="21"/>
                <w:lang w:val="en-US" w:eastAsia="zh-CN"/>
              </w:rPr>
              <w:t>8</w:t>
            </w:r>
          </w:p>
        </w:tc>
        <w:tc>
          <w:tcPr>
            <w:tcW w:w="1198" w:type="pct"/>
            <w:vMerge w:val="continue"/>
            <w:noWrap w:val="0"/>
            <w:vAlign w:val="center"/>
          </w:tcPr>
          <w:p w14:paraId="25DF6261">
            <w:pPr>
              <w:ind w:right="-62"/>
              <w:jc w:val="center"/>
              <w:rPr>
                <w:rFonts w:ascii="Times New Roman" w:hAnsi="Times New Roman" w:cs="Times New Roman"/>
                <w:sz w:val="21"/>
                <w:szCs w:val="21"/>
              </w:rPr>
            </w:pPr>
          </w:p>
        </w:tc>
      </w:tr>
      <w:tr w14:paraId="3B009439">
        <w:tblPrEx>
          <w:tblBorders>
            <w:top w:val="thinThickSmallGap" w:color="auto" w:sz="12" w:space="0"/>
            <w:left w:val="none" w:color="auto" w:sz="0" w:space="0"/>
            <w:bottom w:val="thickThinSmallGap"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630" w:type="pct"/>
            <w:vMerge w:val="continue"/>
            <w:noWrap w:val="0"/>
            <w:vAlign w:val="center"/>
          </w:tcPr>
          <w:p w14:paraId="4029B5BD">
            <w:pPr>
              <w:ind w:right="-62"/>
              <w:jc w:val="center"/>
              <w:rPr>
                <w:rFonts w:ascii="Times New Roman" w:hAnsi="Times New Roman" w:cs="Times New Roman"/>
                <w:sz w:val="21"/>
                <w:szCs w:val="21"/>
              </w:rPr>
            </w:pPr>
          </w:p>
        </w:tc>
        <w:tc>
          <w:tcPr>
            <w:tcW w:w="988" w:type="pct"/>
            <w:noWrap w:val="0"/>
            <w:vAlign w:val="center"/>
          </w:tcPr>
          <w:p w14:paraId="172A3F4C">
            <w:pPr>
              <w:ind w:right="-62" w:rightChars="0"/>
              <w:jc w:val="center"/>
              <w:rPr>
                <w:rFonts w:hint="eastAsia" w:ascii="Times New Roman" w:hAnsi="Times New Roman" w:cs="Times New Roman"/>
                <w:sz w:val="21"/>
                <w:szCs w:val="21"/>
              </w:rPr>
            </w:pPr>
            <w:r>
              <w:rPr>
                <w:rFonts w:hint="eastAsia" w:ascii="Times New Roman" w:hAnsi="Times New Roman" w:cs="Times New Roman"/>
                <w:sz w:val="21"/>
                <w:szCs w:val="21"/>
              </w:rPr>
              <w:t xml:space="preserve">烧结机机尾、带式焙烧机机尾以及其他生产设备 </w:t>
            </w:r>
          </w:p>
        </w:tc>
        <w:tc>
          <w:tcPr>
            <w:tcW w:w="1275" w:type="pct"/>
            <w:noWrap w:val="0"/>
            <w:vAlign w:val="center"/>
          </w:tcPr>
          <w:p w14:paraId="36F7DBA6">
            <w:pPr>
              <w:ind w:right="-62" w:rightChars="0"/>
              <w:jc w:val="center"/>
              <w:rPr>
                <w:rFonts w:hint="eastAsia" w:ascii="Times New Roman" w:hAnsi="Times New Roman" w:cs="Times New Roman"/>
                <w:sz w:val="21"/>
                <w:szCs w:val="21"/>
              </w:rPr>
            </w:pPr>
            <w:r>
              <w:rPr>
                <w:rFonts w:hint="eastAsia" w:ascii="Times New Roman" w:hAnsi="Times New Roman" w:cs="Times New Roman"/>
                <w:sz w:val="21"/>
                <w:szCs w:val="21"/>
              </w:rPr>
              <w:t>颗粒物</w:t>
            </w:r>
          </w:p>
        </w:tc>
        <w:tc>
          <w:tcPr>
            <w:tcW w:w="907" w:type="pct"/>
            <w:noWrap w:val="0"/>
            <w:vAlign w:val="center"/>
          </w:tcPr>
          <w:p w14:paraId="7E4B6AB6">
            <w:pPr>
              <w:ind w:right="-62" w:rightChars="0"/>
              <w:jc w:val="center"/>
              <w:rPr>
                <w:rFonts w:hint="eastAsia" w:ascii="Times New Roman" w:hAnsi="Times New Roman" w:cs="Times New Roman"/>
                <w:sz w:val="21"/>
                <w:szCs w:val="21"/>
              </w:rPr>
            </w:pPr>
            <w:r>
              <w:rPr>
                <w:rFonts w:hint="eastAsia" w:ascii="Times New Roman" w:hAnsi="Times New Roman" w:cs="Times New Roman"/>
                <w:sz w:val="21"/>
                <w:szCs w:val="21"/>
                <w:lang w:val="en-US" w:eastAsia="zh-CN"/>
              </w:rPr>
              <w:t>10</w:t>
            </w:r>
          </w:p>
        </w:tc>
        <w:tc>
          <w:tcPr>
            <w:tcW w:w="1198" w:type="pct"/>
            <w:vMerge w:val="continue"/>
            <w:noWrap w:val="0"/>
            <w:vAlign w:val="center"/>
          </w:tcPr>
          <w:p w14:paraId="22BDD62B">
            <w:pPr>
              <w:ind w:right="-62"/>
              <w:jc w:val="center"/>
              <w:rPr>
                <w:rFonts w:ascii="Times New Roman" w:hAnsi="Times New Roman" w:cs="Times New Roman"/>
                <w:sz w:val="21"/>
                <w:szCs w:val="21"/>
              </w:rPr>
            </w:pPr>
          </w:p>
        </w:tc>
      </w:tr>
      <w:tr w14:paraId="69597018">
        <w:tblPrEx>
          <w:tblBorders>
            <w:top w:val="thinThickSmallGap" w:color="auto" w:sz="12" w:space="0"/>
            <w:left w:val="none" w:color="auto" w:sz="0" w:space="0"/>
            <w:bottom w:val="thickThinSmallGap"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630" w:type="pct"/>
            <w:vMerge w:val="continue"/>
            <w:noWrap w:val="0"/>
            <w:vAlign w:val="center"/>
          </w:tcPr>
          <w:p w14:paraId="4837FD9F">
            <w:pPr>
              <w:ind w:right="-62"/>
              <w:jc w:val="center"/>
              <w:rPr>
                <w:rFonts w:ascii="Times New Roman" w:hAnsi="Times New Roman" w:cs="Times New Roman"/>
                <w:sz w:val="21"/>
                <w:szCs w:val="21"/>
              </w:rPr>
            </w:pPr>
          </w:p>
        </w:tc>
        <w:tc>
          <w:tcPr>
            <w:tcW w:w="988" w:type="pct"/>
            <w:noWrap w:val="0"/>
            <w:vAlign w:val="center"/>
          </w:tcPr>
          <w:p w14:paraId="33F6E81B">
            <w:pPr>
              <w:ind w:right="-62" w:rightChars="0"/>
              <w:jc w:val="center"/>
              <w:rPr>
                <w:rFonts w:hint="eastAsia" w:ascii="Times New Roman" w:hAnsi="Times New Roman" w:cs="Times New Roman"/>
                <w:sz w:val="21"/>
                <w:szCs w:val="21"/>
              </w:rPr>
            </w:pPr>
            <w:r>
              <w:rPr>
                <w:rFonts w:hint="eastAsia" w:ascii="Times New Roman" w:hAnsi="Times New Roman" w:eastAsia="宋体" w:cs="Times New Roman"/>
                <w:sz w:val="21"/>
                <w:szCs w:val="21"/>
              </w:rPr>
              <w:t>原料系统、煤粉系统及其他生产设施</w:t>
            </w:r>
          </w:p>
        </w:tc>
        <w:tc>
          <w:tcPr>
            <w:tcW w:w="1275" w:type="pct"/>
            <w:noWrap w:val="0"/>
            <w:vAlign w:val="center"/>
          </w:tcPr>
          <w:p w14:paraId="7249011C">
            <w:pPr>
              <w:ind w:right="-62" w:rightChars="0"/>
              <w:jc w:val="center"/>
              <w:rPr>
                <w:rFonts w:hint="eastAsia" w:ascii="Times New Roman" w:hAnsi="Times New Roman" w:cs="Times New Roman"/>
                <w:sz w:val="21"/>
                <w:szCs w:val="21"/>
              </w:rPr>
            </w:pPr>
            <w:r>
              <w:rPr>
                <w:rFonts w:hint="eastAsia" w:ascii="Times New Roman" w:hAnsi="Times New Roman" w:cs="Times New Roman"/>
                <w:sz w:val="21"/>
                <w:szCs w:val="21"/>
              </w:rPr>
              <w:t>颗粒物</w:t>
            </w:r>
          </w:p>
        </w:tc>
        <w:tc>
          <w:tcPr>
            <w:tcW w:w="907" w:type="pct"/>
            <w:noWrap w:val="0"/>
            <w:vAlign w:val="center"/>
          </w:tcPr>
          <w:p w14:paraId="3656B3F9">
            <w:pPr>
              <w:ind w:right="-62" w:rightChars="0"/>
              <w:jc w:val="center"/>
              <w:rPr>
                <w:rFonts w:hint="eastAsia" w:ascii="Times New Roman" w:hAnsi="Times New Roman" w:cs="Times New Roman"/>
                <w:sz w:val="21"/>
                <w:szCs w:val="21"/>
              </w:rPr>
            </w:pPr>
            <w:r>
              <w:rPr>
                <w:rFonts w:hint="eastAsia" w:ascii="Times New Roman" w:hAnsi="Times New Roman" w:cs="Times New Roman"/>
                <w:sz w:val="21"/>
                <w:szCs w:val="21"/>
                <w:lang w:val="en-US" w:eastAsia="zh-CN"/>
              </w:rPr>
              <w:t>10</w:t>
            </w:r>
          </w:p>
        </w:tc>
        <w:tc>
          <w:tcPr>
            <w:tcW w:w="1198" w:type="pct"/>
            <w:vMerge w:val="continue"/>
            <w:noWrap w:val="0"/>
            <w:vAlign w:val="center"/>
          </w:tcPr>
          <w:p w14:paraId="56BA48A7">
            <w:pPr>
              <w:ind w:right="-62"/>
              <w:jc w:val="center"/>
              <w:rPr>
                <w:rFonts w:ascii="Times New Roman" w:hAnsi="Times New Roman" w:cs="Times New Roman"/>
                <w:sz w:val="21"/>
                <w:szCs w:val="21"/>
              </w:rPr>
            </w:pPr>
          </w:p>
        </w:tc>
      </w:tr>
    </w:tbl>
    <w:p w14:paraId="3ECDC0C0">
      <w:pPr>
        <w:pStyle w:val="310"/>
        <w:snapToGrid/>
        <w:spacing w:line="500" w:lineRule="exact"/>
        <w:jc w:val="both"/>
        <w:rPr>
          <w:lang w:eastAsia="zh-CN"/>
        </w:rPr>
      </w:pPr>
      <w:r>
        <w:rPr>
          <w:rFonts w:ascii="Segoe UI Symbol" w:hAnsi="Segoe UI Symbol" w:cs="Segoe UI Symbol"/>
        </w:rPr>
        <w:t>★</w:t>
      </w:r>
      <w:r>
        <w:rPr>
          <w:b/>
          <w:lang w:eastAsia="zh-CN"/>
        </w:rPr>
        <w:t>营运期无组织排放废气：</w:t>
      </w:r>
      <w:r>
        <w:rPr>
          <w:rFonts w:ascii="宋体" w:hAnsi="宋体" w:eastAsia="宋体" w:cs="宋体"/>
          <w:sz w:val="24"/>
          <w:szCs w:val="24"/>
        </w:rPr>
        <w:t>烧结、球团、炼铁有厂房车间</w:t>
      </w:r>
      <w:r>
        <w:rPr>
          <w:rFonts w:hint="eastAsia" w:ascii="宋体" w:hAnsi="宋体" w:eastAsia="宋体" w:cs="宋体"/>
          <w:sz w:val="24"/>
          <w:szCs w:val="24"/>
          <w:lang w:eastAsia="zh-CN"/>
        </w:rPr>
        <w:t>：</w:t>
      </w:r>
      <w:r>
        <w:rPr>
          <w:rFonts w:ascii="宋体" w:hAnsi="宋体" w:eastAsia="宋体" w:cs="宋体"/>
          <w:sz w:val="24"/>
          <w:szCs w:val="24"/>
        </w:rPr>
        <w:t>颗粒物</w:t>
      </w:r>
      <w:r>
        <w:rPr>
          <w:rFonts w:hint="eastAsia"/>
          <w:lang w:eastAsia="zh-CN"/>
        </w:rPr>
        <w:t>执行《钢铁工业大气污染物排放标准》（DB21/ 4119—2025</w:t>
      </w:r>
      <w:r>
        <w:rPr>
          <w:lang w:eastAsia="zh-CN"/>
        </w:rPr>
        <w:t>）表</w:t>
      </w:r>
      <w:r>
        <w:rPr>
          <w:rFonts w:hint="eastAsia"/>
          <w:lang w:val="en-US" w:eastAsia="zh-CN"/>
        </w:rPr>
        <w:t>2</w:t>
      </w:r>
      <w:r>
        <w:rPr>
          <w:lang w:eastAsia="zh-CN"/>
        </w:rPr>
        <w:t>排放限值</w:t>
      </w:r>
      <w:r>
        <w:rPr>
          <w:rFonts w:hint="eastAsia"/>
          <w:lang w:eastAsia="zh-CN"/>
        </w:rPr>
        <w:t>。</w:t>
      </w:r>
    </w:p>
    <w:p w14:paraId="1472F8D8">
      <w:pPr>
        <w:pStyle w:val="310"/>
        <w:snapToGrid/>
        <w:spacing w:line="500" w:lineRule="exact"/>
        <w:jc w:val="both"/>
        <w:rPr>
          <w:rFonts w:hint="eastAsia"/>
          <w:lang w:eastAsia="zh-CN"/>
        </w:rPr>
      </w:pPr>
      <w:r>
        <w:rPr>
          <w:rFonts w:hint="eastAsia"/>
          <w:lang w:eastAsia="zh-CN"/>
        </w:rPr>
        <w:t>本溪玉麒麟新材料有限公司无组织排放废气具体执行</w:t>
      </w:r>
      <w:r>
        <w:rPr>
          <w:lang w:eastAsia="zh-CN"/>
        </w:rPr>
        <w:t>详见表1.4-</w:t>
      </w:r>
      <w:r>
        <w:rPr>
          <w:rFonts w:hint="eastAsia"/>
          <w:lang w:eastAsia="zh-CN"/>
        </w:rPr>
        <w:t>5</w:t>
      </w:r>
      <w:r>
        <w:rPr>
          <w:lang w:eastAsia="zh-CN"/>
        </w:rPr>
        <w:t>。</w:t>
      </w:r>
    </w:p>
    <w:p w14:paraId="573AD457">
      <w:pPr>
        <w:pStyle w:val="112"/>
        <w:spacing w:before="240" w:line="360" w:lineRule="auto"/>
      </w:pPr>
      <w:r>
        <w:t>表1.4-</w:t>
      </w:r>
      <w:r>
        <w:rPr>
          <w:rFonts w:hint="eastAsia"/>
        </w:rPr>
        <w:t>5</w:t>
      </w:r>
      <w:r>
        <w:t xml:space="preserve">  无组织排放废气污染物排放标准一览表</w:t>
      </w:r>
    </w:p>
    <w:tbl>
      <w:tblPr>
        <w:tblStyle w:val="56"/>
        <w:tblW w:w="5000" w:type="pct"/>
        <w:jc w:val="center"/>
        <w:tblBorders>
          <w:top w:val="thinThickSmallGap" w:color="auto" w:sz="12" w:space="0"/>
          <w:left w:val="none" w:color="auto" w:sz="0" w:space="0"/>
          <w:bottom w:val="thickThinSmallGap" w:color="auto" w:sz="12" w:space="0"/>
          <w:right w:val="none" w:color="auto" w:sz="0" w:space="0"/>
          <w:insideH w:val="single" w:color="auto" w:sz="6" w:space="0"/>
          <w:insideV w:val="single" w:color="auto" w:sz="6" w:space="0"/>
        </w:tblBorders>
        <w:tblLayout w:type="autofit"/>
        <w:tblCellMar>
          <w:top w:w="0" w:type="dxa"/>
          <w:left w:w="108" w:type="dxa"/>
          <w:bottom w:w="0" w:type="dxa"/>
          <w:right w:w="108" w:type="dxa"/>
        </w:tblCellMar>
      </w:tblPr>
      <w:tblGrid>
        <w:gridCol w:w="2397"/>
        <w:gridCol w:w="1476"/>
        <w:gridCol w:w="1603"/>
        <w:gridCol w:w="3245"/>
      </w:tblGrid>
      <w:tr w14:paraId="3C4DA9B6">
        <w:tblPrEx>
          <w:tblBorders>
            <w:top w:val="thinThickSmallGap" w:color="auto" w:sz="12" w:space="0"/>
            <w:left w:val="none" w:color="auto" w:sz="0" w:space="0"/>
            <w:bottom w:val="thickThinSmallGap"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374" w:type="pct"/>
            <w:shd w:val="clear" w:color="auto" w:fill="E0E0E0"/>
            <w:noWrap w:val="0"/>
            <w:vAlign w:val="center"/>
          </w:tcPr>
          <w:p w14:paraId="67AB4594">
            <w:pPr>
              <w:ind w:right="-62"/>
              <w:jc w:val="center"/>
              <w:rPr>
                <w:rFonts w:ascii="Times New Roman" w:hAnsi="Times New Roman" w:cs="Times New Roman"/>
                <w:sz w:val="21"/>
                <w:szCs w:val="21"/>
              </w:rPr>
            </w:pPr>
            <w:r>
              <w:rPr>
                <w:rFonts w:ascii="Times New Roman" w:hAnsi="Times New Roman" w:cs="Times New Roman"/>
                <w:sz w:val="21"/>
                <w:szCs w:val="21"/>
              </w:rPr>
              <w:t>无组织排放源</w:t>
            </w:r>
          </w:p>
        </w:tc>
        <w:tc>
          <w:tcPr>
            <w:tcW w:w="846" w:type="pct"/>
            <w:shd w:val="clear" w:color="auto" w:fill="E0E0E0"/>
            <w:noWrap w:val="0"/>
            <w:vAlign w:val="center"/>
          </w:tcPr>
          <w:p w14:paraId="5FD0D537">
            <w:pPr>
              <w:ind w:right="-62"/>
              <w:jc w:val="center"/>
              <w:rPr>
                <w:rFonts w:ascii="Times New Roman" w:hAnsi="Times New Roman" w:cs="Times New Roman"/>
                <w:sz w:val="21"/>
                <w:szCs w:val="21"/>
              </w:rPr>
            </w:pPr>
            <w:r>
              <w:rPr>
                <w:rFonts w:ascii="Times New Roman" w:hAnsi="Times New Roman" w:cs="Times New Roman"/>
                <w:sz w:val="21"/>
                <w:szCs w:val="21"/>
              </w:rPr>
              <w:t>污染物项目</w:t>
            </w:r>
          </w:p>
        </w:tc>
        <w:tc>
          <w:tcPr>
            <w:tcW w:w="919" w:type="pct"/>
            <w:shd w:val="clear" w:color="auto" w:fill="E0E0E0"/>
            <w:noWrap w:val="0"/>
            <w:vAlign w:val="center"/>
          </w:tcPr>
          <w:p w14:paraId="37A5D0C3">
            <w:pPr>
              <w:ind w:right="-62"/>
              <w:jc w:val="center"/>
              <w:rPr>
                <w:rFonts w:ascii="Times New Roman" w:hAnsi="Times New Roman" w:cs="Times New Roman"/>
                <w:sz w:val="21"/>
                <w:szCs w:val="21"/>
              </w:rPr>
            </w:pPr>
            <w:r>
              <w:rPr>
                <w:rFonts w:ascii="Times New Roman" w:hAnsi="Times New Roman" w:cs="Times New Roman"/>
                <w:sz w:val="21"/>
                <w:szCs w:val="21"/>
              </w:rPr>
              <w:t>排放限值（mg/m</w:t>
            </w:r>
            <w:r>
              <w:rPr>
                <w:rFonts w:ascii="Times New Roman" w:hAnsi="Times New Roman" w:cs="Times New Roman"/>
                <w:sz w:val="21"/>
                <w:szCs w:val="21"/>
                <w:vertAlign w:val="superscript"/>
              </w:rPr>
              <w:t>3</w:t>
            </w:r>
            <w:r>
              <w:rPr>
                <w:rFonts w:ascii="Times New Roman" w:hAnsi="Times New Roman" w:cs="Times New Roman"/>
                <w:sz w:val="21"/>
                <w:szCs w:val="21"/>
              </w:rPr>
              <w:t>）</w:t>
            </w:r>
          </w:p>
        </w:tc>
        <w:tc>
          <w:tcPr>
            <w:tcW w:w="1860" w:type="pct"/>
            <w:shd w:val="clear" w:color="auto" w:fill="E0E0E0"/>
            <w:noWrap w:val="0"/>
            <w:vAlign w:val="center"/>
          </w:tcPr>
          <w:p w14:paraId="16EB23D5">
            <w:pPr>
              <w:ind w:right="-62"/>
              <w:jc w:val="center"/>
              <w:rPr>
                <w:rFonts w:ascii="Times New Roman" w:hAnsi="Times New Roman" w:cs="Times New Roman"/>
                <w:sz w:val="21"/>
                <w:szCs w:val="21"/>
              </w:rPr>
            </w:pPr>
            <w:r>
              <w:rPr>
                <w:rFonts w:ascii="Times New Roman" w:hAnsi="Times New Roman" w:cs="Times New Roman"/>
                <w:sz w:val="21"/>
                <w:szCs w:val="21"/>
              </w:rPr>
              <w:t>标准来源</w:t>
            </w:r>
          </w:p>
        </w:tc>
      </w:tr>
      <w:tr w14:paraId="0A834CA5">
        <w:tblPrEx>
          <w:tblBorders>
            <w:top w:val="thinThickSmallGap" w:color="auto" w:sz="12" w:space="0"/>
            <w:left w:val="none" w:color="auto" w:sz="0" w:space="0"/>
            <w:bottom w:val="thickThinSmallGap"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374" w:type="pct"/>
            <w:noWrap w:val="0"/>
            <w:vAlign w:val="center"/>
          </w:tcPr>
          <w:p w14:paraId="19E7C171">
            <w:pPr>
              <w:ind w:right="-62"/>
              <w:jc w:val="center"/>
              <w:rPr>
                <w:rFonts w:hint="eastAsia" w:ascii="Times New Roman" w:hAnsi="Times New Roman" w:eastAsia="宋体" w:cs="Times New Roman"/>
                <w:sz w:val="21"/>
                <w:szCs w:val="21"/>
                <w:lang w:eastAsia="zh-CN"/>
              </w:rPr>
            </w:pPr>
            <w:r>
              <w:rPr>
                <w:rFonts w:hint="eastAsia" w:ascii="Times New Roman" w:hAnsi="Times New Roman" w:cs="Times New Roman"/>
                <w:sz w:val="21"/>
                <w:szCs w:val="21"/>
                <w:lang w:val="en-US" w:eastAsia="zh-CN"/>
              </w:rPr>
              <w:t>厂界（有厂房车间）</w:t>
            </w:r>
          </w:p>
        </w:tc>
        <w:tc>
          <w:tcPr>
            <w:tcW w:w="846" w:type="pct"/>
            <w:noWrap w:val="0"/>
            <w:vAlign w:val="center"/>
          </w:tcPr>
          <w:p w14:paraId="68455FD9">
            <w:pPr>
              <w:ind w:right="-62"/>
              <w:jc w:val="center"/>
              <w:rPr>
                <w:rFonts w:ascii="Times New Roman" w:hAnsi="Times New Roman" w:cs="Times New Roman"/>
                <w:sz w:val="21"/>
                <w:szCs w:val="21"/>
              </w:rPr>
            </w:pPr>
            <w:r>
              <w:rPr>
                <w:rFonts w:ascii="Times New Roman" w:hAnsi="Times New Roman" w:cs="Times New Roman"/>
                <w:sz w:val="21"/>
                <w:szCs w:val="21"/>
              </w:rPr>
              <w:t>颗粒物</w:t>
            </w:r>
          </w:p>
        </w:tc>
        <w:tc>
          <w:tcPr>
            <w:tcW w:w="919" w:type="pct"/>
            <w:noWrap w:val="0"/>
            <w:vAlign w:val="center"/>
          </w:tcPr>
          <w:p w14:paraId="76011034">
            <w:pPr>
              <w:ind w:right="-62"/>
              <w:jc w:val="center"/>
              <w:rPr>
                <w:rFonts w:hint="default" w:ascii="Times New Roman" w:hAnsi="Times New Roman" w:eastAsia="宋体" w:cs="Times New Roman"/>
                <w:sz w:val="21"/>
                <w:szCs w:val="21"/>
                <w:lang w:val="en-US" w:eastAsia="zh-CN"/>
              </w:rPr>
            </w:pPr>
            <w:r>
              <w:rPr>
                <w:rFonts w:hint="eastAsia" w:ascii="Times New Roman" w:hAnsi="Times New Roman" w:cs="Times New Roman"/>
                <w:sz w:val="21"/>
                <w:szCs w:val="21"/>
                <w:lang w:val="en-US" w:eastAsia="zh-CN"/>
              </w:rPr>
              <w:t>8.0</w:t>
            </w:r>
          </w:p>
        </w:tc>
        <w:tc>
          <w:tcPr>
            <w:tcW w:w="1860" w:type="pct"/>
            <w:noWrap w:val="0"/>
            <w:vAlign w:val="center"/>
          </w:tcPr>
          <w:p w14:paraId="1806E439">
            <w:pPr>
              <w:ind w:right="-62"/>
              <w:jc w:val="center"/>
              <w:rPr>
                <w:rFonts w:ascii="Times New Roman" w:hAnsi="Times New Roman" w:cs="Times New Roman"/>
                <w:sz w:val="21"/>
                <w:szCs w:val="21"/>
              </w:rPr>
            </w:pPr>
            <w:r>
              <w:rPr>
                <w:rFonts w:hint="eastAsia" w:ascii="Times New Roman" w:hAnsi="Times New Roman" w:cs="Times New Roman"/>
                <w:sz w:val="21"/>
                <w:szCs w:val="21"/>
              </w:rPr>
              <w:t>DB21/4119</w:t>
            </w:r>
            <w:r>
              <w:rPr>
                <w:rFonts w:hint="eastAsia" w:ascii="Times New Roman" w:hAnsi="Times New Roman" w:cs="Times New Roman"/>
                <w:sz w:val="21"/>
                <w:szCs w:val="21"/>
                <w:lang w:val="en-US" w:eastAsia="zh-CN"/>
              </w:rPr>
              <w:t>-</w:t>
            </w:r>
            <w:r>
              <w:rPr>
                <w:rFonts w:hint="eastAsia" w:ascii="Times New Roman" w:hAnsi="Times New Roman" w:cs="Times New Roman"/>
                <w:sz w:val="21"/>
                <w:szCs w:val="21"/>
              </w:rPr>
              <w:t>2025</w:t>
            </w:r>
            <w:r>
              <w:rPr>
                <w:rFonts w:ascii="Times New Roman" w:hAnsi="Times New Roman" w:cs="Times New Roman"/>
                <w:sz w:val="21"/>
                <w:szCs w:val="21"/>
              </w:rPr>
              <w:t>表2</w:t>
            </w:r>
          </w:p>
        </w:tc>
      </w:tr>
    </w:tbl>
    <w:p w14:paraId="65047E41">
      <w:pPr>
        <w:spacing w:line="500" w:lineRule="exact"/>
        <w:ind w:firstLine="482" w:firstLineChars="200"/>
        <w:rPr>
          <w:rFonts w:ascii="Times New Roman" w:hAnsi="Times New Roman" w:cs="Times New Roman"/>
          <w:b/>
        </w:rPr>
      </w:pPr>
      <w:r>
        <w:rPr>
          <w:rFonts w:ascii="Times New Roman" w:hAnsi="Times New Roman" w:cs="Times New Roman"/>
          <w:b/>
        </w:rPr>
        <w:t>（2）废水</w:t>
      </w:r>
    </w:p>
    <w:p w14:paraId="70D98DE3">
      <w:pPr>
        <w:pStyle w:val="310"/>
        <w:snapToGrid/>
        <w:spacing w:line="500" w:lineRule="exact"/>
        <w:jc w:val="both"/>
        <w:rPr>
          <w:rFonts w:hint="eastAsia"/>
          <w:highlight w:val="none"/>
          <w:lang w:eastAsia="zh-CN"/>
        </w:rPr>
      </w:pPr>
      <w:bookmarkStart w:id="100" w:name="_Hlk62025340"/>
      <w:r>
        <w:rPr>
          <w:rFonts w:hint="eastAsia"/>
          <w:highlight w:val="none"/>
        </w:rPr>
        <w:t>本项目不新增生活污水，</w:t>
      </w:r>
      <w:r>
        <w:rPr>
          <w:rFonts w:hint="eastAsia"/>
          <w:highlight w:val="none"/>
          <w:lang w:eastAsia="zh-CN"/>
        </w:rPr>
        <w:t>脱硫设施废水、冷却循环水系统排水循环使用，不外排。</w:t>
      </w:r>
    </w:p>
    <w:bookmarkEnd w:id="100"/>
    <w:p w14:paraId="71A82762">
      <w:pPr>
        <w:spacing w:line="500" w:lineRule="exact"/>
        <w:ind w:firstLine="482" w:firstLineChars="200"/>
        <w:rPr>
          <w:rFonts w:ascii="Times New Roman" w:hAnsi="Times New Roman" w:cs="Times New Roman"/>
          <w:b/>
        </w:rPr>
      </w:pPr>
      <w:r>
        <w:rPr>
          <w:rFonts w:ascii="Times New Roman" w:hAnsi="Times New Roman" w:cs="Times New Roman"/>
          <w:b/>
        </w:rPr>
        <w:t>（3）噪声</w:t>
      </w:r>
    </w:p>
    <w:p w14:paraId="7DF73816">
      <w:pPr>
        <w:spacing w:line="500" w:lineRule="exact"/>
        <w:ind w:firstLine="480" w:firstLineChars="200"/>
        <w:rPr>
          <w:rFonts w:ascii="Times New Roman" w:hAnsi="Times New Roman" w:cs="Times New Roman"/>
        </w:rPr>
      </w:pPr>
      <w:r>
        <w:rPr>
          <w:rFonts w:ascii="Segoe UI Symbol" w:hAnsi="Segoe UI Symbol" w:cs="Segoe UI Symbol"/>
        </w:rPr>
        <w:t>★</w:t>
      </w:r>
      <w:r>
        <w:rPr>
          <w:rFonts w:ascii="Times New Roman" w:hAnsi="Times New Roman" w:cs="Times New Roman"/>
        </w:rPr>
        <w:t>施工期：《建筑施工场界环境噪声排放标准》</w:t>
      </w:r>
      <w:r>
        <w:rPr>
          <w:rFonts w:ascii="Times New Roman" w:hAnsi="Times New Roman" w:eastAsia="黑体" w:cs="Times New Roman"/>
        </w:rPr>
        <w:t>（GB12523-2011）</w:t>
      </w:r>
      <w:r>
        <w:rPr>
          <w:rFonts w:ascii="Times New Roman" w:hAnsi="Times New Roman" w:cs="Times New Roman"/>
        </w:rPr>
        <w:t>，即昼间70dB(A)、夜间55dB(A)。</w:t>
      </w:r>
    </w:p>
    <w:p w14:paraId="40752BF4">
      <w:pPr>
        <w:spacing w:line="500" w:lineRule="exact"/>
        <w:ind w:firstLine="482"/>
        <w:jc w:val="both"/>
        <w:rPr>
          <w:rFonts w:hint="eastAsia" w:ascii="Times New Roman" w:hAnsi="Times New Roman" w:cs="Times New Roman"/>
        </w:rPr>
      </w:pPr>
      <w:r>
        <w:rPr>
          <w:rFonts w:ascii="Segoe UI Symbol" w:hAnsi="Segoe UI Symbol" w:cs="Segoe UI Symbol"/>
        </w:rPr>
        <w:t>★</w:t>
      </w:r>
      <w:r>
        <w:rPr>
          <w:rFonts w:ascii="Times New Roman" w:hAnsi="Times New Roman" w:cs="Times New Roman"/>
        </w:rPr>
        <w:t>营运期：本项目</w:t>
      </w:r>
      <w:r>
        <w:rPr>
          <w:rFonts w:hint="eastAsia" w:ascii="Times New Roman" w:hAnsi="Times New Roman" w:cs="Times New Roman"/>
        </w:rPr>
        <w:t>厂界东侧，西侧，北侧噪声值满足《工业企业厂界环境噪声排放标准(GB12348-2008)》中2类标准(2类：昼间60dB(A)，夜间50dB(A))要求。厂界南侧噪声值满足《工业企业厂界环境噪声排放标准(GB12348-2008)》中4类标准(4类：昼间70dB(A)，夜间55dB(A))要求</w:t>
      </w:r>
      <w:r>
        <w:rPr>
          <w:rFonts w:ascii="Times New Roman" w:hAnsi="Times New Roman" w:cs="Times New Roman"/>
        </w:rPr>
        <w:t>。</w:t>
      </w:r>
    </w:p>
    <w:p w14:paraId="02B23283">
      <w:pPr>
        <w:spacing w:line="500" w:lineRule="exact"/>
        <w:ind w:firstLine="482" w:firstLineChars="200"/>
        <w:rPr>
          <w:rFonts w:ascii="Times New Roman" w:hAnsi="Times New Roman" w:cs="Times New Roman"/>
          <w:b/>
        </w:rPr>
      </w:pPr>
      <w:r>
        <w:rPr>
          <w:rFonts w:ascii="Times New Roman" w:hAnsi="Times New Roman" w:cs="Times New Roman"/>
          <w:b/>
        </w:rPr>
        <w:t>（4）固废</w:t>
      </w:r>
    </w:p>
    <w:p w14:paraId="302AA6CF">
      <w:pPr>
        <w:spacing w:line="500" w:lineRule="exact"/>
        <w:ind w:firstLine="480" w:firstLineChars="200"/>
        <w:rPr>
          <w:rFonts w:ascii="Times New Roman" w:hAnsi="Times New Roman" w:cs="Times New Roman"/>
        </w:rPr>
      </w:pPr>
      <w:r>
        <w:rPr>
          <w:rFonts w:ascii="Segoe UI Symbol" w:hAnsi="Segoe UI Symbol" w:cs="Segoe UI Symbol"/>
        </w:rPr>
        <w:t>★</w:t>
      </w:r>
      <w:r>
        <w:rPr>
          <w:rFonts w:ascii="Times New Roman" w:hAnsi="Times New Roman" w:cs="Times New Roman"/>
        </w:rPr>
        <w:t>《一般工业固体废物贮存</w:t>
      </w:r>
      <w:r>
        <w:rPr>
          <w:rFonts w:hint="eastAsia" w:ascii="Times New Roman" w:hAnsi="Times New Roman" w:cs="Times New Roman"/>
        </w:rPr>
        <w:t>和填埋</w:t>
      </w:r>
      <w:r>
        <w:rPr>
          <w:rFonts w:ascii="Times New Roman" w:hAnsi="Times New Roman" w:cs="Times New Roman"/>
        </w:rPr>
        <w:t>污染控制标准》（GB18599-20</w:t>
      </w:r>
      <w:r>
        <w:rPr>
          <w:rFonts w:hint="eastAsia" w:ascii="Times New Roman" w:hAnsi="Times New Roman" w:cs="Times New Roman"/>
        </w:rPr>
        <w:t>20</w:t>
      </w:r>
      <w:r>
        <w:rPr>
          <w:rFonts w:ascii="Times New Roman" w:hAnsi="Times New Roman" w:cs="Times New Roman"/>
        </w:rPr>
        <w:t>）；</w:t>
      </w:r>
    </w:p>
    <w:p w14:paraId="048A1727">
      <w:pPr>
        <w:spacing w:line="500" w:lineRule="exact"/>
        <w:ind w:firstLine="480" w:firstLineChars="200"/>
        <w:rPr>
          <w:rFonts w:ascii="Times New Roman" w:hAnsi="Times New Roman" w:cs="Times New Roman"/>
        </w:rPr>
      </w:pPr>
      <w:r>
        <w:rPr>
          <w:rFonts w:ascii="Segoe UI Symbol" w:hAnsi="Segoe UI Symbol" w:cs="Segoe UI Symbol"/>
        </w:rPr>
        <w:t>★</w:t>
      </w:r>
      <w:r>
        <w:rPr>
          <w:rFonts w:hint="eastAsia" w:ascii="Segoe UI Symbol" w:hAnsi="Segoe UI Symbol" w:cs="Segoe UI Symbol"/>
        </w:rPr>
        <w:t>《固体废物分类与代码目录》</w:t>
      </w:r>
      <w:r>
        <w:rPr>
          <w:rFonts w:ascii="Times New Roman" w:hAnsi="Times New Roman" w:cs="Times New Roman"/>
        </w:rPr>
        <w:t>（</w:t>
      </w:r>
      <w:r>
        <w:rPr>
          <w:rFonts w:hint="eastAsia" w:ascii="Times New Roman" w:hAnsi="Times New Roman" w:cs="Times New Roman"/>
        </w:rPr>
        <w:t>公告 2024年 第4号</w:t>
      </w:r>
      <w:r>
        <w:rPr>
          <w:rFonts w:ascii="Times New Roman" w:hAnsi="Times New Roman" w:cs="Times New Roman"/>
        </w:rPr>
        <w:t>）；</w:t>
      </w:r>
    </w:p>
    <w:p w14:paraId="159561D6">
      <w:pPr>
        <w:spacing w:line="500" w:lineRule="exact"/>
        <w:ind w:firstLine="480" w:firstLineChars="200"/>
        <w:rPr>
          <w:rFonts w:ascii="Times New Roman" w:hAnsi="Times New Roman" w:cs="Times New Roman"/>
        </w:rPr>
      </w:pPr>
      <w:r>
        <w:rPr>
          <w:rFonts w:ascii="Segoe UI Symbol" w:hAnsi="Segoe UI Symbol" w:cs="Segoe UI Symbol"/>
        </w:rPr>
        <w:t>★</w:t>
      </w:r>
      <w:bookmarkStart w:id="101" w:name="_Hlk62025443"/>
      <w:r>
        <w:rPr>
          <w:rFonts w:ascii="Times New Roman" w:hAnsi="Times New Roman" w:cs="Times New Roman"/>
        </w:rPr>
        <w:t>《危险废物鉴别标准 通则》（GB5085.7-2019）</w:t>
      </w:r>
      <w:bookmarkEnd w:id="101"/>
      <w:r>
        <w:rPr>
          <w:rFonts w:ascii="Times New Roman" w:hAnsi="Times New Roman" w:cs="Times New Roman"/>
        </w:rPr>
        <w:t>；</w:t>
      </w:r>
    </w:p>
    <w:p w14:paraId="5970EB6B">
      <w:pPr>
        <w:spacing w:line="500" w:lineRule="exact"/>
        <w:ind w:firstLine="480" w:firstLineChars="200"/>
        <w:rPr>
          <w:rFonts w:ascii="Times New Roman" w:hAnsi="Times New Roman" w:cs="Times New Roman"/>
        </w:rPr>
      </w:pPr>
      <w:r>
        <w:rPr>
          <w:rFonts w:ascii="Segoe UI Symbol" w:hAnsi="Segoe UI Symbol" w:cs="Segoe UI Symbol"/>
        </w:rPr>
        <w:t>★</w:t>
      </w:r>
      <w:r>
        <w:rPr>
          <w:rFonts w:ascii="Times New Roman" w:hAnsi="Times New Roman" w:cs="Times New Roman"/>
        </w:rPr>
        <w:t>《危险废物贮存污染控制标准》（</w:t>
      </w:r>
      <w:r>
        <w:rPr>
          <w:rFonts w:hint="eastAsia" w:ascii="Times New Roman" w:hAnsi="Times New Roman" w:cs="Times New Roman"/>
        </w:rPr>
        <w:t>GB 18597—2023</w:t>
      </w:r>
      <w:r>
        <w:rPr>
          <w:rFonts w:ascii="Times New Roman" w:hAnsi="Times New Roman" w:cs="Times New Roman"/>
        </w:rPr>
        <w:t>）。</w:t>
      </w:r>
    </w:p>
    <w:p w14:paraId="4FD8964B">
      <w:pPr>
        <w:pStyle w:val="6"/>
        <w:spacing w:before="239"/>
      </w:pPr>
      <w:bookmarkStart w:id="102" w:name="_Toc90026106"/>
      <w:bookmarkStart w:id="103" w:name="_Toc31763"/>
      <w:r>
        <w:t>1.5 评价等级</w:t>
      </w:r>
      <w:bookmarkEnd w:id="88"/>
      <w:bookmarkEnd w:id="89"/>
      <w:bookmarkEnd w:id="90"/>
      <w:bookmarkEnd w:id="91"/>
      <w:bookmarkEnd w:id="92"/>
      <w:bookmarkEnd w:id="93"/>
      <w:bookmarkEnd w:id="94"/>
      <w:bookmarkEnd w:id="95"/>
      <w:bookmarkEnd w:id="96"/>
      <w:bookmarkEnd w:id="97"/>
      <w:bookmarkEnd w:id="98"/>
      <w:bookmarkEnd w:id="99"/>
      <w:r>
        <w:t>及范围</w:t>
      </w:r>
      <w:bookmarkEnd w:id="102"/>
      <w:bookmarkEnd w:id="103"/>
    </w:p>
    <w:p w14:paraId="5571D459">
      <w:pPr>
        <w:spacing w:line="500" w:lineRule="exact"/>
        <w:ind w:firstLine="480" w:firstLineChars="200"/>
        <w:rPr>
          <w:rFonts w:ascii="Times New Roman" w:hAnsi="Times New Roman" w:cs="Times New Roman"/>
        </w:rPr>
      </w:pPr>
      <w:r>
        <w:rPr>
          <w:rFonts w:ascii="Times New Roman" w:hAnsi="Times New Roman" w:cs="Times New Roman"/>
        </w:rPr>
        <w:t>根据建设项目的工程特点、排污特征及项目所在区域的环境功能，按照国家环境保护行业标准《环境影响评价技术导则》中的有关规定，对该项目进行环境影响评价等级划分。</w:t>
      </w:r>
    </w:p>
    <w:p w14:paraId="281E8956">
      <w:pPr>
        <w:pStyle w:val="7"/>
        <w:rPr>
          <w:highlight w:val="none"/>
        </w:rPr>
      </w:pPr>
      <w:bookmarkStart w:id="104" w:name="_Toc151200077"/>
      <w:bookmarkStart w:id="105" w:name="_Toc151200237"/>
      <w:bookmarkStart w:id="106" w:name="_Toc151258706"/>
      <w:bookmarkStart w:id="107" w:name="_Toc151276125"/>
      <w:bookmarkStart w:id="108" w:name="_Toc19197"/>
      <w:bookmarkStart w:id="109" w:name="_Toc90026195"/>
      <w:r>
        <w:rPr>
          <w:highlight w:val="none"/>
        </w:rPr>
        <w:t>1.5.1 大气评价等级</w:t>
      </w:r>
      <w:bookmarkEnd w:id="104"/>
      <w:bookmarkEnd w:id="105"/>
      <w:bookmarkEnd w:id="106"/>
      <w:bookmarkEnd w:id="107"/>
      <w:r>
        <w:rPr>
          <w:highlight w:val="none"/>
        </w:rPr>
        <w:t>及范围</w:t>
      </w:r>
      <w:bookmarkEnd w:id="108"/>
      <w:bookmarkEnd w:id="109"/>
    </w:p>
    <w:p w14:paraId="254A033C">
      <w:pPr>
        <w:pStyle w:val="133"/>
      </w:pPr>
      <w:r>
        <w:t>1.5.1.1 大气评价等级</w:t>
      </w:r>
    </w:p>
    <w:p w14:paraId="14E5DAE4">
      <w:pPr>
        <w:tabs>
          <w:tab w:val="left" w:pos="6580"/>
        </w:tabs>
        <w:spacing w:line="500" w:lineRule="exact"/>
        <w:ind w:firstLine="480" w:firstLineChars="200"/>
        <w:rPr>
          <w:rFonts w:ascii="Times New Roman" w:hAnsi="Times New Roman" w:cs="Times New Roman"/>
        </w:rPr>
      </w:pPr>
      <w:r>
        <w:rPr>
          <w:rFonts w:ascii="Times New Roman" w:hAnsi="Times New Roman" w:cs="Times New Roman"/>
        </w:rPr>
        <w:t>根据《环境影响评价技术导则 大气环境》（HJ2.2-2018）中估算模型进行计算，取评价等级最高者作为本项目的评价等级，同时，应考虑“对电力、钢铁、水泥、石化、化工、平板玻璃、有色等高耗能行业的多源项目，并且编制环境影响报告书的项目评价等级提高一级”。</w:t>
      </w:r>
    </w:p>
    <w:p w14:paraId="60EEF5EB">
      <w:pPr>
        <w:tabs>
          <w:tab w:val="left" w:pos="6580"/>
        </w:tabs>
        <w:spacing w:line="500" w:lineRule="exact"/>
        <w:ind w:firstLine="482" w:firstLineChars="200"/>
        <w:rPr>
          <w:rFonts w:ascii="Times New Roman" w:hAnsi="Times New Roman" w:cs="Times New Roman"/>
          <w:b/>
        </w:rPr>
      </w:pPr>
      <w:r>
        <w:rPr>
          <w:rFonts w:ascii="Times New Roman" w:hAnsi="Times New Roman" w:cs="Times New Roman"/>
          <w:b/>
        </w:rPr>
        <w:t>（1）评价因子</w:t>
      </w:r>
    </w:p>
    <w:p w14:paraId="4F0C4B07">
      <w:pPr>
        <w:tabs>
          <w:tab w:val="left" w:pos="6580"/>
        </w:tabs>
        <w:spacing w:line="500" w:lineRule="exact"/>
        <w:ind w:firstLine="480" w:firstLineChars="200"/>
        <w:rPr>
          <w:rFonts w:ascii="Times New Roman" w:hAnsi="Times New Roman" w:cs="Times New Roman"/>
        </w:rPr>
      </w:pPr>
      <w:r>
        <w:rPr>
          <w:rFonts w:ascii="Times New Roman" w:hAnsi="Times New Roman" w:cs="Times New Roman"/>
        </w:rPr>
        <w:t>根据项目污染源初步调查结果，确定本</w:t>
      </w:r>
      <w:r>
        <w:rPr>
          <w:rFonts w:hint="eastAsia" w:ascii="Times New Roman" w:hAnsi="Times New Roman" w:cs="Times New Roman"/>
        </w:rPr>
        <w:t>次环评</w:t>
      </w:r>
      <w:r>
        <w:rPr>
          <w:rFonts w:ascii="Times New Roman" w:hAnsi="Times New Roman" w:cs="Times New Roman"/>
        </w:rPr>
        <w:t>大气评价因子及评价标准见表</w:t>
      </w:r>
      <w:r>
        <w:rPr>
          <w:rFonts w:hint="eastAsia" w:ascii="Times New Roman" w:hAnsi="Times New Roman" w:cs="Times New Roman"/>
        </w:rPr>
        <w:t>1.5-1</w:t>
      </w:r>
      <w:r>
        <w:rPr>
          <w:rFonts w:ascii="Times New Roman" w:hAnsi="Times New Roman" w:cs="Times New Roman"/>
        </w:rPr>
        <w:t>。</w:t>
      </w:r>
    </w:p>
    <w:p w14:paraId="0A336039">
      <w:pPr>
        <w:adjustRightInd w:val="0"/>
        <w:jc w:val="center"/>
        <w:rPr>
          <w:rFonts w:ascii="Times New Roman" w:hAnsi="Times New Roman" w:eastAsia="黑体" w:cs="Times New Roman"/>
        </w:rPr>
      </w:pPr>
      <w:r>
        <w:rPr>
          <w:rFonts w:ascii="Times New Roman" w:hAnsi="Times New Roman" w:eastAsia="黑体" w:cs="Times New Roman"/>
        </w:rPr>
        <w:t>表</w:t>
      </w:r>
      <w:r>
        <w:rPr>
          <w:rFonts w:hint="eastAsia" w:ascii="Times New Roman" w:hAnsi="Times New Roman" w:eastAsia="黑体" w:cs="Times New Roman"/>
        </w:rPr>
        <w:t>1.5-1</w:t>
      </w:r>
      <w:r>
        <w:rPr>
          <w:rFonts w:ascii="Times New Roman" w:hAnsi="Times New Roman" w:eastAsia="黑体" w:cs="Times New Roman"/>
        </w:rPr>
        <w:t xml:space="preserve">  大气评价因子及评价标准一览表</w:t>
      </w:r>
    </w:p>
    <w:tbl>
      <w:tblPr>
        <w:tblStyle w:val="721"/>
        <w:tblW w:w="4998" w:type="pct"/>
        <w:jc w:val="center"/>
        <w:tblBorders>
          <w:top w:val="double" w:color="auto" w:sz="4" w:space="0"/>
          <w:left w:val="none" w:color="auto" w:sz="0" w:space="0"/>
          <w:bottom w:val="double" w:color="auto" w:sz="4"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495"/>
        <w:gridCol w:w="1221"/>
        <w:gridCol w:w="1647"/>
        <w:gridCol w:w="2707"/>
        <w:gridCol w:w="2648"/>
      </w:tblGrid>
      <w:tr w14:paraId="0DBD7737">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84" w:type="pct"/>
            <w:tcBorders>
              <w:tl2br w:val="nil"/>
              <w:tr2bl w:val="nil"/>
            </w:tcBorders>
            <w:vAlign w:val="center"/>
          </w:tcPr>
          <w:p w14:paraId="309C3C54">
            <w:pPr>
              <w:adjustRightInd w:val="0"/>
              <w:snapToGrid w:val="0"/>
              <w:spacing w:line="240" w:lineRule="auto"/>
              <w:ind w:firstLine="0" w:firstLineChars="0"/>
              <w:jc w:val="center"/>
              <w:rPr>
                <w:rFonts w:hint="default" w:ascii="Times New Roman" w:hAnsi="Times New Roman" w:eastAsia="宋体" w:cs="Times New Roman"/>
                <w:snapToGrid w:val="0"/>
                <w:color w:val="0000FF"/>
                <w:sz w:val="21"/>
                <w:szCs w:val="21"/>
                <w:lang w:val="zh-CN"/>
              </w:rPr>
            </w:pPr>
            <w:r>
              <w:rPr>
                <w:rFonts w:hint="default" w:ascii="Times New Roman" w:hAnsi="Times New Roman" w:eastAsia="宋体" w:cs="Times New Roman"/>
                <w:snapToGrid w:val="0"/>
                <w:color w:val="0000FF"/>
                <w:sz w:val="21"/>
                <w:szCs w:val="21"/>
                <w:lang w:val="zh-CN"/>
              </w:rPr>
              <w:t>编号</w:t>
            </w:r>
          </w:p>
        </w:tc>
        <w:tc>
          <w:tcPr>
            <w:tcW w:w="700" w:type="pct"/>
            <w:tcBorders>
              <w:tl2br w:val="nil"/>
              <w:tr2bl w:val="nil"/>
            </w:tcBorders>
            <w:vAlign w:val="center"/>
          </w:tcPr>
          <w:p w14:paraId="654CA235">
            <w:pPr>
              <w:adjustRightInd w:val="0"/>
              <w:snapToGrid w:val="0"/>
              <w:spacing w:line="240" w:lineRule="auto"/>
              <w:ind w:firstLine="0" w:firstLineChars="0"/>
              <w:jc w:val="center"/>
              <w:rPr>
                <w:rFonts w:hint="default" w:ascii="Times New Roman" w:hAnsi="Times New Roman" w:eastAsia="宋体" w:cs="Times New Roman"/>
                <w:snapToGrid w:val="0"/>
                <w:color w:val="0000FF"/>
                <w:sz w:val="21"/>
                <w:szCs w:val="21"/>
                <w:lang w:val="zh-CN"/>
              </w:rPr>
            </w:pPr>
            <w:r>
              <w:rPr>
                <w:rFonts w:hint="default" w:ascii="Times New Roman" w:hAnsi="Times New Roman" w:eastAsia="宋体" w:cs="Times New Roman"/>
                <w:snapToGrid w:val="0"/>
                <w:color w:val="0000FF"/>
                <w:sz w:val="21"/>
                <w:szCs w:val="21"/>
                <w:lang w:val="zh-CN"/>
              </w:rPr>
              <w:t>污染因子</w:t>
            </w:r>
          </w:p>
        </w:tc>
        <w:tc>
          <w:tcPr>
            <w:tcW w:w="944" w:type="pct"/>
            <w:tcBorders>
              <w:tl2br w:val="nil"/>
              <w:tr2bl w:val="nil"/>
            </w:tcBorders>
            <w:vAlign w:val="center"/>
          </w:tcPr>
          <w:p w14:paraId="35092D4F">
            <w:pPr>
              <w:adjustRightInd w:val="0"/>
              <w:snapToGrid w:val="0"/>
              <w:spacing w:line="240" w:lineRule="auto"/>
              <w:ind w:firstLine="0" w:firstLineChars="0"/>
              <w:jc w:val="center"/>
              <w:rPr>
                <w:rFonts w:hint="default" w:ascii="Times New Roman" w:hAnsi="Times New Roman" w:eastAsia="宋体" w:cs="Times New Roman"/>
                <w:snapToGrid w:val="0"/>
                <w:color w:val="0000FF"/>
                <w:sz w:val="21"/>
                <w:szCs w:val="21"/>
                <w:lang w:val="zh-CN"/>
              </w:rPr>
            </w:pPr>
            <w:r>
              <w:rPr>
                <w:rFonts w:hint="default" w:ascii="Times New Roman" w:hAnsi="Times New Roman" w:eastAsia="宋体" w:cs="Times New Roman"/>
                <w:snapToGrid w:val="0"/>
                <w:color w:val="0000FF"/>
                <w:sz w:val="21"/>
                <w:szCs w:val="21"/>
                <w:lang w:val="en-US" w:eastAsia="zh-CN"/>
              </w:rPr>
              <w:t>平均时段</w:t>
            </w:r>
          </w:p>
        </w:tc>
        <w:tc>
          <w:tcPr>
            <w:tcW w:w="1552" w:type="pct"/>
            <w:tcBorders>
              <w:tl2br w:val="nil"/>
              <w:tr2bl w:val="nil"/>
            </w:tcBorders>
            <w:vAlign w:val="center"/>
          </w:tcPr>
          <w:p w14:paraId="0758A6FB">
            <w:pPr>
              <w:adjustRightInd w:val="0"/>
              <w:snapToGrid w:val="0"/>
              <w:spacing w:line="240" w:lineRule="auto"/>
              <w:ind w:firstLine="0" w:firstLineChars="0"/>
              <w:jc w:val="center"/>
              <w:rPr>
                <w:rFonts w:hint="default" w:ascii="Times New Roman" w:hAnsi="Times New Roman" w:eastAsia="宋体" w:cs="Times New Roman"/>
                <w:snapToGrid w:val="0"/>
                <w:color w:val="0000FF"/>
                <w:sz w:val="21"/>
                <w:szCs w:val="21"/>
                <w:lang w:val="zh-CN"/>
              </w:rPr>
            </w:pPr>
            <w:r>
              <w:rPr>
                <w:rFonts w:hint="default" w:ascii="Times New Roman" w:hAnsi="Times New Roman" w:eastAsia="宋体" w:cs="Times New Roman"/>
                <w:snapToGrid w:val="0"/>
                <w:color w:val="0000FF"/>
                <w:sz w:val="21"/>
                <w:szCs w:val="21"/>
                <w:lang w:val="zh-CN"/>
              </w:rPr>
              <w:t>《</w:t>
            </w:r>
            <w:bookmarkStart w:id="110" w:name="OLE_LINK4"/>
            <w:r>
              <w:rPr>
                <w:rFonts w:hint="default" w:ascii="Times New Roman" w:hAnsi="Times New Roman" w:eastAsia="宋体" w:cs="Times New Roman"/>
                <w:snapToGrid w:val="0"/>
                <w:color w:val="0000FF"/>
                <w:sz w:val="21"/>
                <w:szCs w:val="21"/>
                <w:lang w:val="zh-CN"/>
              </w:rPr>
              <w:t>环境空气质量标准</w:t>
            </w:r>
            <w:bookmarkEnd w:id="110"/>
            <w:r>
              <w:rPr>
                <w:rFonts w:hint="default" w:ascii="Times New Roman" w:hAnsi="Times New Roman" w:eastAsia="宋体" w:cs="Times New Roman"/>
                <w:snapToGrid w:val="0"/>
                <w:color w:val="0000FF"/>
                <w:sz w:val="21"/>
                <w:szCs w:val="21"/>
                <w:lang w:val="zh-CN"/>
              </w:rPr>
              <w:t>》（</w:t>
            </w:r>
            <w:bookmarkStart w:id="111" w:name="OLE_LINK9"/>
            <w:r>
              <w:rPr>
                <w:rFonts w:hint="default" w:ascii="Times New Roman" w:hAnsi="Times New Roman" w:eastAsia="宋体" w:cs="Times New Roman"/>
                <w:snapToGrid w:val="0"/>
                <w:color w:val="0000FF"/>
                <w:sz w:val="21"/>
                <w:szCs w:val="21"/>
                <w:lang w:val="zh-CN"/>
              </w:rPr>
              <w:t>GB3095-20</w:t>
            </w:r>
            <w:bookmarkEnd w:id="111"/>
            <w:r>
              <w:rPr>
                <w:rFonts w:hint="eastAsia" w:cs="Times New Roman"/>
                <w:snapToGrid w:val="0"/>
                <w:color w:val="0000FF"/>
                <w:sz w:val="21"/>
                <w:szCs w:val="21"/>
                <w:lang w:val="en-US" w:eastAsia="zh-CN"/>
              </w:rPr>
              <w:t>26</w:t>
            </w:r>
            <w:r>
              <w:rPr>
                <w:rFonts w:hint="default" w:ascii="Times New Roman" w:hAnsi="Times New Roman" w:eastAsia="宋体" w:cs="Times New Roman"/>
                <w:snapToGrid w:val="0"/>
                <w:color w:val="0000FF"/>
                <w:sz w:val="21"/>
                <w:szCs w:val="21"/>
                <w:lang w:val="zh-CN"/>
              </w:rPr>
              <w:t>）</w:t>
            </w:r>
            <w:r>
              <w:rPr>
                <w:rFonts w:hint="default" w:ascii="Times New Roman" w:hAnsi="Times New Roman" w:eastAsia="宋体" w:cs="Times New Roman"/>
                <w:snapToGrid w:val="0"/>
                <w:color w:val="0000FF"/>
                <w:sz w:val="21"/>
                <w:szCs w:val="21"/>
                <w:lang w:val="en-US" w:eastAsia="zh-CN"/>
              </w:rPr>
              <w:t>二类区</w:t>
            </w:r>
            <w:r>
              <w:rPr>
                <w:rFonts w:hint="eastAsia" w:cs="Times New Roman"/>
                <w:snapToGrid w:val="0"/>
                <w:color w:val="0000FF"/>
                <w:sz w:val="21"/>
                <w:szCs w:val="21"/>
                <w:lang w:val="en-US" w:eastAsia="zh-CN"/>
              </w:rPr>
              <w:t>过渡阶段</w:t>
            </w:r>
            <w:r>
              <w:rPr>
                <w:rFonts w:hint="default" w:ascii="Times New Roman" w:hAnsi="Times New Roman" w:eastAsia="宋体" w:cs="Times New Roman"/>
                <w:snapToGrid w:val="0"/>
                <w:color w:val="0000FF"/>
                <w:sz w:val="21"/>
                <w:szCs w:val="21"/>
                <w:lang w:val="zh-CN"/>
              </w:rPr>
              <w:t>浓度限值（μg/m</w:t>
            </w:r>
            <w:r>
              <w:rPr>
                <w:rFonts w:hint="default" w:ascii="Times New Roman" w:hAnsi="Times New Roman" w:eastAsia="宋体" w:cs="Times New Roman"/>
                <w:snapToGrid w:val="0"/>
                <w:color w:val="0000FF"/>
                <w:sz w:val="21"/>
                <w:szCs w:val="21"/>
                <w:vertAlign w:val="superscript"/>
                <w:lang w:val="zh-CN"/>
              </w:rPr>
              <w:t>3</w:t>
            </w:r>
            <w:r>
              <w:rPr>
                <w:rFonts w:hint="default" w:ascii="Times New Roman" w:hAnsi="Times New Roman" w:eastAsia="宋体" w:cs="Times New Roman"/>
                <w:snapToGrid w:val="0"/>
                <w:color w:val="0000FF"/>
                <w:sz w:val="21"/>
                <w:szCs w:val="21"/>
                <w:lang w:val="zh-CN"/>
              </w:rPr>
              <w:t>）</w:t>
            </w:r>
          </w:p>
        </w:tc>
        <w:tc>
          <w:tcPr>
            <w:tcW w:w="1518" w:type="pct"/>
            <w:tcBorders>
              <w:tl2br w:val="nil"/>
              <w:tr2bl w:val="nil"/>
            </w:tcBorders>
            <w:vAlign w:val="center"/>
          </w:tcPr>
          <w:p w14:paraId="5C95B0F9">
            <w:pPr>
              <w:adjustRightInd w:val="0"/>
              <w:snapToGrid w:val="0"/>
              <w:spacing w:line="240" w:lineRule="auto"/>
              <w:ind w:firstLine="0" w:firstLineChars="0"/>
              <w:jc w:val="center"/>
              <w:rPr>
                <w:rFonts w:hint="eastAsia" w:cs="Times New Roman"/>
                <w:snapToGrid w:val="0"/>
                <w:color w:val="0000FF"/>
                <w:sz w:val="21"/>
                <w:szCs w:val="21"/>
                <w:lang w:val="en-US" w:eastAsia="zh-CN"/>
              </w:rPr>
            </w:pPr>
            <w:r>
              <w:rPr>
                <w:rFonts w:hint="default" w:ascii="Times New Roman" w:hAnsi="Times New Roman" w:eastAsia="宋体" w:cs="Times New Roman"/>
                <w:snapToGrid w:val="0"/>
                <w:color w:val="0000FF"/>
                <w:sz w:val="21"/>
                <w:szCs w:val="21"/>
                <w:lang w:val="zh-CN"/>
              </w:rPr>
              <w:t>《环境空气质量标准》（GB3095-20</w:t>
            </w:r>
            <w:r>
              <w:rPr>
                <w:rFonts w:hint="eastAsia" w:cs="Times New Roman"/>
                <w:snapToGrid w:val="0"/>
                <w:color w:val="0000FF"/>
                <w:sz w:val="21"/>
                <w:szCs w:val="21"/>
                <w:lang w:val="en-US" w:eastAsia="zh-CN"/>
              </w:rPr>
              <w:t>12</w:t>
            </w:r>
            <w:r>
              <w:rPr>
                <w:rFonts w:hint="default" w:ascii="Times New Roman" w:hAnsi="Times New Roman" w:eastAsia="宋体" w:cs="Times New Roman"/>
                <w:snapToGrid w:val="0"/>
                <w:color w:val="0000FF"/>
                <w:sz w:val="21"/>
                <w:szCs w:val="21"/>
                <w:lang w:val="zh-CN"/>
              </w:rPr>
              <w:t>）</w:t>
            </w:r>
            <w:r>
              <w:rPr>
                <w:rFonts w:hint="eastAsia" w:ascii="Times New Roman" w:hAnsi="Times New Roman" w:eastAsia="宋体" w:cs="Times New Roman"/>
                <w:snapToGrid w:val="0"/>
                <w:color w:val="0000FF"/>
                <w:sz w:val="21"/>
                <w:szCs w:val="21"/>
                <w:lang w:val="en-US" w:eastAsia="zh-CN"/>
              </w:rPr>
              <w:t>及修改单</w:t>
            </w:r>
            <w:r>
              <w:rPr>
                <w:rFonts w:hint="default" w:ascii="Times New Roman" w:hAnsi="Times New Roman" w:eastAsia="宋体" w:cs="Times New Roman"/>
                <w:snapToGrid w:val="0"/>
                <w:color w:val="0000FF"/>
                <w:sz w:val="21"/>
                <w:szCs w:val="21"/>
                <w:lang w:val="en-US" w:eastAsia="zh-CN"/>
              </w:rPr>
              <w:t>二类区</w:t>
            </w:r>
          </w:p>
        </w:tc>
      </w:tr>
      <w:tr w14:paraId="0E6B2FA7">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16" w:hRule="atLeast"/>
          <w:jc w:val="center"/>
        </w:trPr>
        <w:tc>
          <w:tcPr>
            <w:tcW w:w="284" w:type="pct"/>
            <w:vMerge w:val="restart"/>
            <w:tcBorders>
              <w:tl2br w:val="nil"/>
              <w:tr2bl w:val="nil"/>
            </w:tcBorders>
            <w:vAlign w:val="center"/>
          </w:tcPr>
          <w:p w14:paraId="75FF5CFE">
            <w:pPr>
              <w:adjustRightInd w:val="0"/>
              <w:snapToGrid w:val="0"/>
              <w:spacing w:line="240" w:lineRule="auto"/>
              <w:ind w:firstLine="0" w:firstLineChars="0"/>
              <w:jc w:val="center"/>
              <w:rPr>
                <w:rFonts w:hint="default" w:ascii="Times New Roman" w:hAnsi="Times New Roman" w:eastAsia="宋体" w:cs="Times New Roman"/>
                <w:snapToGrid w:val="0"/>
                <w:color w:val="0000FF"/>
                <w:sz w:val="21"/>
                <w:szCs w:val="21"/>
                <w:lang w:val="zh-CN"/>
              </w:rPr>
            </w:pPr>
            <w:r>
              <w:rPr>
                <w:rFonts w:hint="default" w:ascii="Times New Roman" w:hAnsi="Times New Roman" w:eastAsia="宋体" w:cs="Times New Roman"/>
                <w:snapToGrid w:val="0"/>
                <w:color w:val="0000FF"/>
                <w:sz w:val="21"/>
                <w:szCs w:val="21"/>
                <w:lang w:val="zh-CN"/>
              </w:rPr>
              <w:t>1</w:t>
            </w:r>
          </w:p>
        </w:tc>
        <w:tc>
          <w:tcPr>
            <w:tcW w:w="700" w:type="pct"/>
            <w:vMerge w:val="restart"/>
            <w:tcBorders>
              <w:tl2br w:val="nil"/>
              <w:tr2bl w:val="nil"/>
            </w:tcBorders>
            <w:vAlign w:val="center"/>
          </w:tcPr>
          <w:p w14:paraId="369F5479">
            <w:pPr>
              <w:adjustRightInd w:val="0"/>
              <w:snapToGrid w:val="0"/>
              <w:spacing w:line="240" w:lineRule="auto"/>
              <w:ind w:firstLine="0" w:firstLineChars="0"/>
              <w:jc w:val="center"/>
              <w:rPr>
                <w:rFonts w:hint="default" w:ascii="Times New Roman" w:hAnsi="Times New Roman" w:eastAsia="宋体" w:cs="Times New Roman"/>
                <w:snapToGrid w:val="0"/>
                <w:color w:val="0000FF"/>
                <w:sz w:val="21"/>
                <w:szCs w:val="21"/>
                <w:lang w:val="zh-CN"/>
              </w:rPr>
            </w:pPr>
            <w:r>
              <w:rPr>
                <w:rFonts w:hint="default" w:ascii="Times New Roman" w:hAnsi="Times New Roman" w:eastAsia="宋体" w:cs="Times New Roman"/>
                <w:snapToGrid w:val="0"/>
                <w:color w:val="0000FF"/>
                <w:sz w:val="21"/>
                <w:szCs w:val="21"/>
                <w:lang w:val="zh-CN"/>
              </w:rPr>
              <w:t>SO</w:t>
            </w:r>
            <w:r>
              <w:rPr>
                <w:rFonts w:hint="default" w:ascii="Times New Roman" w:hAnsi="Times New Roman" w:eastAsia="宋体" w:cs="Times New Roman"/>
                <w:snapToGrid w:val="0"/>
                <w:color w:val="0000FF"/>
                <w:sz w:val="21"/>
                <w:szCs w:val="21"/>
                <w:vertAlign w:val="subscript"/>
                <w:lang w:val="zh-CN"/>
              </w:rPr>
              <w:t>2</w:t>
            </w:r>
          </w:p>
        </w:tc>
        <w:tc>
          <w:tcPr>
            <w:tcW w:w="944" w:type="pct"/>
            <w:tcBorders>
              <w:tl2br w:val="nil"/>
              <w:tr2bl w:val="nil"/>
            </w:tcBorders>
            <w:vAlign w:val="center"/>
          </w:tcPr>
          <w:p w14:paraId="6DEFFC5F">
            <w:pPr>
              <w:adjustRightInd w:val="0"/>
              <w:snapToGrid w:val="0"/>
              <w:spacing w:line="240" w:lineRule="auto"/>
              <w:ind w:firstLine="0" w:firstLineChars="0"/>
              <w:jc w:val="center"/>
              <w:rPr>
                <w:rFonts w:hint="default" w:ascii="Times New Roman" w:hAnsi="Times New Roman" w:eastAsia="宋体" w:cs="Times New Roman"/>
                <w:snapToGrid w:val="0"/>
                <w:color w:val="0000FF"/>
                <w:kern w:val="2"/>
                <w:sz w:val="21"/>
                <w:szCs w:val="21"/>
                <w:lang w:val="zh-CN" w:eastAsia="zh-CN" w:bidi="ar-SA"/>
              </w:rPr>
            </w:pPr>
            <w:r>
              <w:rPr>
                <w:rFonts w:hint="default" w:ascii="Times New Roman" w:hAnsi="Times New Roman" w:eastAsia="宋体" w:cs="Times New Roman"/>
                <w:snapToGrid w:val="0"/>
                <w:color w:val="0000FF"/>
                <w:sz w:val="21"/>
                <w:szCs w:val="21"/>
                <w:lang w:val="en-US" w:eastAsia="zh-CN"/>
              </w:rPr>
              <w:t>1</w:t>
            </w:r>
            <w:r>
              <w:rPr>
                <w:rFonts w:hint="default" w:ascii="Times New Roman" w:hAnsi="Times New Roman" w:eastAsia="宋体" w:cs="Times New Roman"/>
                <w:snapToGrid w:val="0"/>
                <w:color w:val="0000FF"/>
                <w:sz w:val="21"/>
                <w:szCs w:val="21"/>
                <w:lang w:val="zh-CN"/>
              </w:rPr>
              <w:t>小时平均</w:t>
            </w:r>
          </w:p>
        </w:tc>
        <w:tc>
          <w:tcPr>
            <w:tcW w:w="1552" w:type="pct"/>
            <w:tcBorders>
              <w:tl2br w:val="nil"/>
              <w:tr2bl w:val="nil"/>
            </w:tcBorders>
            <w:vAlign w:val="center"/>
          </w:tcPr>
          <w:p w14:paraId="49DF417D">
            <w:pPr>
              <w:adjustRightInd w:val="0"/>
              <w:snapToGrid w:val="0"/>
              <w:spacing w:line="240" w:lineRule="auto"/>
              <w:ind w:firstLine="0" w:firstLineChars="0"/>
              <w:jc w:val="center"/>
              <w:rPr>
                <w:rFonts w:hint="default" w:ascii="Times New Roman" w:hAnsi="Times New Roman" w:eastAsia="宋体" w:cs="Times New Roman"/>
                <w:snapToGrid w:val="0"/>
                <w:color w:val="0000FF"/>
                <w:kern w:val="2"/>
                <w:sz w:val="21"/>
                <w:szCs w:val="21"/>
                <w:lang w:val="en-US" w:eastAsia="zh-CN" w:bidi="ar-SA"/>
              </w:rPr>
            </w:pPr>
            <w:r>
              <w:rPr>
                <w:rFonts w:hint="default" w:ascii="Times New Roman" w:hAnsi="Times New Roman" w:eastAsia="宋体" w:cs="Times New Roman"/>
                <w:snapToGrid w:val="0"/>
                <w:color w:val="0000FF"/>
                <w:sz w:val="21"/>
                <w:szCs w:val="21"/>
                <w:lang w:val="zh-CN"/>
              </w:rPr>
              <w:t>500</w:t>
            </w:r>
          </w:p>
        </w:tc>
        <w:tc>
          <w:tcPr>
            <w:tcW w:w="2588" w:type="dxa"/>
            <w:tcBorders>
              <w:tl2br w:val="nil"/>
              <w:tr2bl w:val="nil"/>
            </w:tcBorders>
            <w:vAlign w:val="center"/>
          </w:tcPr>
          <w:p w14:paraId="4FB8DC7B">
            <w:pPr>
              <w:adjustRightInd w:val="0"/>
              <w:snapToGrid w:val="0"/>
              <w:spacing w:line="240" w:lineRule="auto"/>
              <w:ind w:firstLine="0" w:firstLineChars="0"/>
              <w:jc w:val="center"/>
              <w:rPr>
                <w:rFonts w:hint="default" w:ascii="Times New Roman" w:hAnsi="Times New Roman" w:eastAsia="宋体" w:cs="Times New Roman"/>
                <w:snapToGrid w:val="0"/>
                <w:color w:val="0000FF"/>
                <w:sz w:val="21"/>
                <w:szCs w:val="21"/>
                <w:lang w:val="zh-CN"/>
              </w:rPr>
            </w:pPr>
            <w:r>
              <w:rPr>
                <w:rFonts w:hint="default" w:ascii="Times New Roman" w:hAnsi="Times New Roman" w:eastAsia="宋体" w:cs="Times New Roman"/>
                <w:snapToGrid w:val="0"/>
                <w:color w:val="0000FF"/>
                <w:sz w:val="21"/>
                <w:szCs w:val="21"/>
                <w:lang w:val="zh-CN"/>
              </w:rPr>
              <w:t>500</w:t>
            </w:r>
          </w:p>
        </w:tc>
      </w:tr>
      <w:tr w14:paraId="7AAABC3F">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84" w:type="pct"/>
            <w:vMerge w:val="continue"/>
            <w:tcBorders>
              <w:tl2br w:val="nil"/>
              <w:tr2bl w:val="nil"/>
            </w:tcBorders>
            <w:vAlign w:val="center"/>
          </w:tcPr>
          <w:p w14:paraId="2BB18EA9">
            <w:pPr>
              <w:adjustRightInd w:val="0"/>
              <w:snapToGrid w:val="0"/>
              <w:spacing w:line="240" w:lineRule="auto"/>
              <w:ind w:firstLine="0" w:firstLineChars="0"/>
              <w:jc w:val="center"/>
              <w:rPr>
                <w:rFonts w:hint="default" w:ascii="Times New Roman" w:hAnsi="Times New Roman" w:eastAsia="宋体" w:cs="Times New Roman"/>
                <w:snapToGrid w:val="0"/>
                <w:color w:val="0000FF"/>
                <w:sz w:val="21"/>
                <w:szCs w:val="21"/>
                <w:lang w:val="zh-CN"/>
              </w:rPr>
            </w:pPr>
          </w:p>
        </w:tc>
        <w:tc>
          <w:tcPr>
            <w:tcW w:w="700" w:type="pct"/>
            <w:vMerge w:val="continue"/>
            <w:tcBorders>
              <w:tl2br w:val="nil"/>
              <w:tr2bl w:val="nil"/>
            </w:tcBorders>
            <w:vAlign w:val="center"/>
          </w:tcPr>
          <w:p w14:paraId="60DBEF39">
            <w:pPr>
              <w:adjustRightInd w:val="0"/>
              <w:snapToGrid w:val="0"/>
              <w:spacing w:line="240" w:lineRule="auto"/>
              <w:ind w:firstLine="0" w:firstLineChars="0"/>
              <w:jc w:val="center"/>
              <w:rPr>
                <w:rFonts w:hint="default" w:ascii="Times New Roman" w:hAnsi="Times New Roman" w:eastAsia="宋体" w:cs="Times New Roman"/>
                <w:snapToGrid w:val="0"/>
                <w:color w:val="0000FF"/>
                <w:sz w:val="21"/>
                <w:szCs w:val="21"/>
                <w:lang w:val="zh-CN"/>
              </w:rPr>
            </w:pPr>
          </w:p>
        </w:tc>
        <w:tc>
          <w:tcPr>
            <w:tcW w:w="944" w:type="pct"/>
            <w:tcBorders>
              <w:tl2br w:val="nil"/>
              <w:tr2bl w:val="nil"/>
            </w:tcBorders>
            <w:vAlign w:val="center"/>
          </w:tcPr>
          <w:p w14:paraId="0078A00F">
            <w:pPr>
              <w:adjustRightInd w:val="0"/>
              <w:snapToGrid w:val="0"/>
              <w:spacing w:line="240" w:lineRule="auto"/>
              <w:ind w:firstLine="0" w:firstLineChars="0"/>
              <w:jc w:val="center"/>
              <w:rPr>
                <w:rFonts w:hint="default" w:ascii="Times New Roman" w:hAnsi="Times New Roman" w:eastAsia="宋体" w:cs="Times New Roman"/>
                <w:snapToGrid w:val="0"/>
                <w:color w:val="0000FF"/>
                <w:sz w:val="21"/>
                <w:szCs w:val="21"/>
                <w:lang w:val="zh-CN"/>
              </w:rPr>
            </w:pPr>
            <w:r>
              <w:rPr>
                <w:rFonts w:hint="default" w:ascii="Times New Roman" w:hAnsi="Times New Roman" w:eastAsia="宋体" w:cs="Times New Roman"/>
                <w:snapToGrid w:val="0"/>
                <w:color w:val="0000FF"/>
                <w:sz w:val="21"/>
                <w:szCs w:val="21"/>
                <w:lang w:val="en-US" w:eastAsia="zh-CN"/>
              </w:rPr>
              <w:t>24小时平</w:t>
            </w:r>
            <w:r>
              <w:rPr>
                <w:rFonts w:hint="default" w:ascii="Times New Roman" w:hAnsi="Times New Roman" w:eastAsia="宋体" w:cs="Times New Roman"/>
                <w:snapToGrid w:val="0"/>
                <w:color w:val="0000FF"/>
                <w:sz w:val="21"/>
                <w:szCs w:val="21"/>
                <w:lang w:val="zh-CN"/>
              </w:rPr>
              <w:t>均</w:t>
            </w:r>
          </w:p>
        </w:tc>
        <w:tc>
          <w:tcPr>
            <w:tcW w:w="1552" w:type="pct"/>
            <w:tcBorders>
              <w:tl2br w:val="nil"/>
              <w:tr2bl w:val="nil"/>
            </w:tcBorders>
            <w:vAlign w:val="center"/>
          </w:tcPr>
          <w:p w14:paraId="7EBAA54E">
            <w:pPr>
              <w:tabs>
                <w:tab w:val="left" w:pos="580"/>
              </w:tabs>
              <w:adjustRightInd w:val="0"/>
              <w:snapToGrid w:val="0"/>
              <w:spacing w:line="240" w:lineRule="auto"/>
              <w:ind w:firstLine="0" w:firstLineChars="0"/>
              <w:jc w:val="center"/>
              <w:rPr>
                <w:rFonts w:hint="default" w:ascii="Times New Roman" w:hAnsi="Times New Roman" w:eastAsia="宋体" w:cs="Times New Roman"/>
                <w:snapToGrid w:val="0"/>
                <w:color w:val="0000FF"/>
                <w:kern w:val="2"/>
                <w:sz w:val="21"/>
                <w:szCs w:val="21"/>
                <w:lang w:val="en-US" w:eastAsia="zh-CN" w:bidi="ar-SA"/>
              </w:rPr>
            </w:pPr>
            <w:r>
              <w:rPr>
                <w:rFonts w:hint="default" w:ascii="Times New Roman" w:hAnsi="Times New Roman" w:eastAsia="宋体" w:cs="Times New Roman"/>
                <w:snapToGrid w:val="0"/>
                <w:color w:val="0000FF"/>
                <w:sz w:val="21"/>
                <w:szCs w:val="21"/>
                <w:lang w:val="en-US" w:eastAsia="zh-CN"/>
              </w:rPr>
              <w:t>150</w:t>
            </w:r>
          </w:p>
        </w:tc>
        <w:tc>
          <w:tcPr>
            <w:tcW w:w="2588" w:type="dxa"/>
            <w:tcBorders>
              <w:tl2br w:val="nil"/>
              <w:tr2bl w:val="nil"/>
            </w:tcBorders>
            <w:vAlign w:val="center"/>
          </w:tcPr>
          <w:p w14:paraId="7E2A8146">
            <w:pPr>
              <w:tabs>
                <w:tab w:val="left" w:pos="580"/>
              </w:tabs>
              <w:adjustRightInd w:val="0"/>
              <w:snapToGrid w:val="0"/>
              <w:spacing w:line="240" w:lineRule="auto"/>
              <w:ind w:firstLine="0" w:firstLineChars="0"/>
              <w:jc w:val="center"/>
              <w:rPr>
                <w:rFonts w:hint="default" w:ascii="Times New Roman" w:hAnsi="Times New Roman" w:eastAsia="宋体" w:cs="Times New Roman"/>
                <w:snapToGrid w:val="0"/>
                <w:color w:val="0000FF"/>
                <w:sz w:val="21"/>
                <w:szCs w:val="21"/>
                <w:lang w:val="en-US" w:eastAsia="zh-CN"/>
              </w:rPr>
            </w:pPr>
            <w:r>
              <w:rPr>
                <w:rFonts w:hint="eastAsia" w:ascii="Times New Roman" w:hAnsi="Times New Roman" w:eastAsia="宋体" w:cs="Times New Roman"/>
                <w:snapToGrid w:val="0"/>
                <w:color w:val="0000FF"/>
                <w:sz w:val="21"/>
                <w:szCs w:val="21"/>
                <w:lang w:val="en-US" w:eastAsia="zh-CN"/>
              </w:rPr>
              <w:t>150</w:t>
            </w:r>
          </w:p>
        </w:tc>
      </w:tr>
      <w:tr w14:paraId="2656D941">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84" w:type="pct"/>
            <w:vMerge w:val="continue"/>
            <w:tcBorders>
              <w:tl2br w:val="nil"/>
              <w:tr2bl w:val="nil"/>
            </w:tcBorders>
            <w:vAlign w:val="center"/>
          </w:tcPr>
          <w:p w14:paraId="49ACE4BC">
            <w:pPr>
              <w:adjustRightInd w:val="0"/>
              <w:snapToGrid w:val="0"/>
              <w:spacing w:line="240" w:lineRule="auto"/>
              <w:ind w:firstLine="0" w:firstLineChars="0"/>
              <w:jc w:val="center"/>
              <w:rPr>
                <w:rFonts w:hint="default" w:ascii="Times New Roman" w:hAnsi="Times New Roman" w:eastAsia="宋体" w:cs="Times New Roman"/>
                <w:snapToGrid w:val="0"/>
                <w:color w:val="0000FF"/>
                <w:sz w:val="21"/>
                <w:szCs w:val="21"/>
                <w:lang w:val="zh-CN"/>
              </w:rPr>
            </w:pPr>
          </w:p>
        </w:tc>
        <w:tc>
          <w:tcPr>
            <w:tcW w:w="700" w:type="pct"/>
            <w:vMerge w:val="continue"/>
            <w:tcBorders>
              <w:tl2br w:val="nil"/>
              <w:tr2bl w:val="nil"/>
            </w:tcBorders>
            <w:vAlign w:val="center"/>
          </w:tcPr>
          <w:p w14:paraId="24C717F4">
            <w:pPr>
              <w:adjustRightInd w:val="0"/>
              <w:snapToGrid w:val="0"/>
              <w:spacing w:line="240" w:lineRule="auto"/>
              <w:ind w:firstLine="0" w:firstLineChars="0"/>
              <w:jc w:val="center"/>
              <w:rPr>
                <w:rFonts w:hint="default" w:ascii="Times New Roman" w:hAnsi="Times New Roman" w:eastAsia="宋体" w:cs="Times New Roman"/>
                <w:snapToGrid w:val="0"/>
                <w:color w:val="0000FF"/>
                <w:sz w:val="21"/>
                <w:szCs w:val="21"/>
                <w:lang w:val="zh-CN"/>
              </w:rPr>
            </w:pPr>
          </w:p>
        </w:tc>
        <w:tc>
          <w:tcPr>
            <w:tcW w:w="944" w:type="pct"/>
            <w:tcBorders>
              <w:tl2br w:val="nil"/>
              <w:tr2bl w:val="nil"/>
            </w:tcBorders>
            <w:vAlign w:val="center"/>
          </w:tcPr>
          <w:p w14:paraId="73035D19">
            <w:pPr>
              <w:adjustRightInd w:val="0"/>
              <w:snapToGrid w:val="0"/>
              <w:spacing w:line="240" w:lineRule="auto"/>
              <w:ind w:firstLine="0" w:firstLineChars="0"/>
              <w:jc w:val="center"/>
              <w:rPr>
                <w:rFonts w:hint="default" w:ascii="Times New Roman" w:hAnsi="Times New Roman" w:eastAsia="宋体" w:cs="Times New Roman"/>
                <w:snapToGrid w:val="0"/>
                <w:color w:val="0000FF"/>
                <w:sz w:val="21"/>
                <w:szCs w:val="21"/>
                <w:lang w:val="zh-CN"/>
              </w:rPr>
            </w:pPr>
            <w:r>
              <w:rPr>
                <w:rFonts w:hint="default" w:ascii="Times New Roman" w:hAnsi="Times New Roman" w:eastAsia="宋体" w:cs="Times New Roman"/>
                <w:snapToGrid w:val="0"/>
                <w:color w:val="0000FF"/>
                <w:sz w:val="21"/>
                <w:szCs w:val="21"/>
                <w:lang w:val="zh-CN"/>
              </w:rPr>
              <w:t>年平均</w:t>
            </w:r>
          </w:p>
        </w:tc>
        <w:tc>
          <w:tcPr>
            <w:tcW w:w="1552" w:type="pct"/>
            <w:tcBorders>
              <w:tl2br w:val="nil"/>
              <w:tr2bl w:val="nil"/>
            </w:tcBorders>
            <w:vAlign w:val="center"/>
          </w:tcPr>
          <w:p w14:paraId="6EDA16D3">
            <w:pPr>
              <w:adjustRightInd w:val="0"/>
              <w:snapToGrid w:val="0"/>
              <w:spacing w:line="240" w:lineRule="auto"/>
              <w:ind w:firstLine="0" w:firstLineChars="0"/>
              <w:jc w:val="center"/>
              <w:rPr>
                <w:rFonts w:hint="default" w:ascii="Times New Roman" w:hAnsi="Times New Roman" w:eastAsia="宋体" w:cs="Times New Roman"/>
                <w:snapToGrid w:val="0"/>
                <w:color w:val="0000FF"/>
                <w:kern w:val="2"/>
                <w:sz w:val="21"/>
                <w:szCs w:val="21"/>
                <w:lang w:val="en-US" w:eastAsia="zh-CN" w:bidi="ar-SA"/>
              </w:rPr>
            </w:pPr>
            <w:r>
              <w:rPr>
                <w:rFonts w:hint="default" w:ascii="Times New Roman" w:hAnsi="Times New Roman" w:eastAsia="宋体" w:cs="Times New Roman"/>
                <w:snapToGrid w:val="0"/>
                <w:color w:val="0000FF"/>
                <w:sz w:val="21"/>
                <w:szCs w:val="21"/>
                <w:lang w:val="en-US" w:eastAsia="zh-CN"/>
              </w:rPr>
              <w:t>60</w:t>
            </w:r>
          </w:p>
        </w:tc>
        <w:tc>
          <w:tcPr>
            <w:tcW w:w="2588" w:type="dxa"/>
            <w:tcBorders>
              <w:tl2br w:val="nil"/>
              <w:tr2bl w:val="nil"/>
            </w:tcBorders>
            <w:vAlign w:val="center"/>
          </w:tcPr>
          <w:p w14:paraId="18498EE0">
            <w:pPr>
              <w:adjustRightInd w:val="0"/>
              <w:snapToGrid w:val="0"/>
              <w:spacing w:line="240" w:lineRule="auto"/>
              <w:ind w:firstLine="0" w:firstLineChars="0"/>
              <w:jc w:val="center"/>
              <w:rPr>
                <w:rFonts w:hint="default" w:ascii="Times New Roman" w:hAnsi="Times New Roman" w:eastAsia="宋体" w:cs="Times New Roman"/>
                <w:snapToGrid w:val="0"/>
                <w:color w:val="0000FF"/>
                <w:sz w:val="21"/>
                <w:szCs w:val="21"/>
                <w:lang w:val="en-US" w:eastAsia="zh-CN"/>
              </w:rPr>
            </w:pPr>
            <w:r>
              <w:rPr>
                <w:rFonts w:hint="eastAsia" w:ascii="Times New Roman" w:hAnsi="Times New Roman" w:eastAsia="宋体" w:cs="Times New Roman"/>
                <w:snapToGrid w:val="0"/>
                <w:color w:val="0000FF"/>
                <w:sz w:val="21"/>
                <w:szCs w:val="21"/>
                <w:lang w:val="en-US" w:eastAsia="zh-CN"/>
              </w:rPr>
              <w:t>60</w:t>
            </w:r>
          </w:p>
        </w:tc>
      </w:tr>
      <w:tr w14:paraId="3FB1DFE2">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84" w:type="pct"/>
            <w:vMerge w:val="restart"/>
            <w:tcBorders>
              <w:tl2br w:val="nil"/>
              <w:tr2bl w:val="nil"/>
            </w:tcBorders>
            <w:vAlign w:val="center"/>
          </w:tcPr>
          <w:p w14:paraId="17F67BA5">
            <w:pPr>
              <w:adjustRightInd w:val="0"/>
              <w:snapToGrid w:val="0"/>
              <w:spacing w:line="240" w:lineRule="auto"/>
              <w:ind w:firstLine="0" w:firstLineChars="0"/>
              <w:jc w:val="center"/>
              <w:rPr>
                <w:rFonts w:hint="default" w:ascii="Times New Roman" w:hAnsi="Times New Roman" w:eastAsia="宋体" w:cs="Times New Roman"/>
                <w:snapToGrid w:val="0"/>
                <w:color w:val="0000FF"/>
                <w:sz w:val="21"/>
                <w:szCs w:val="21"/>
                <w:lang w:val="zh-CN"/>
              </w:rPr>
            </w:pPr>
            <w:r>
              <w:rPr>
                <w:rFonts w:hint="default" w:ascii="Times New Roman" w:hAnsi="Times New Roman" w:eastAsia="宋体" w:cs="Times New Roman"/>
                <w:snapToGrid w:val="0"/>
                <w:color w:val="0000FF"/>
                <w:sz w:val="21"/>
                <w:szCs w:val="21"/>
                <w:lang w:val="zh-CN"/>
              </w:rPr>
              <w:t>2</w:t>
            </w:r>
          </w:p>
        </w:tc>
        <w:tc>
          <w:tcPr>
            <w:tcW w:w="700" w:type="pct"/>
            <w:vMerge w:val="restart"/>
            <w:tcBorders>
              <w:tl2br w:val="nil"/>
              <w:tr2bl w:val="nil"/>
            </w:tcBorders>
            <w:vAlign w:val="center"/>
          </w:tcPr>
          <w:p w14:paraId="60FC1D7B">
            <w:pPr>
              <w:adjustRightInd w:val="0"/>
              <w:snapToGrid w:val="0"/>
              <w:spacing w:line="240" w:lineRule="auto"/>
              <w:ind w:firstLine="0" w:firstLineChars="0"/>
              <w:jc w:val="center"/>
              <w:rPr>
                <w:rFonts w:hint="default" w:ascii="Times New Roman" w:hAnsi="Times New Roman" w:eastAsia="宋体" w:cs="Times New Roman"/>
                <w:snapToGrid w:val="0"/>
                <w:color w:val="0000FF"/>
                <w:kern w:val="2"/>
                <w:sz w:val="21"/>
                <w:szCs w:val="21"/>
                <w:lang w:val="zh-CN" w:eastAsia="zh-CN" w:bidi="ar-SA"/>
              </w:rPr>
            </w:pPr>
            <w:r>
              <w:rPr>
                <w:rFonts w:hint="default" w:ascii="Times New Roman" w:hAnsi="Times New Roman" w:eastAsia="宋体" w:cs="Times New Roman"/>
                <w:snapToGrid w:val="0"/>
                <w:color w:val="0000FF"/>
                <w:sz w:val="21"/>
                <w:szCs w:val="21"/>
                <w:lang w:val="zh-CN"/>
              </w:rPr>
              <w:t>TSP</w:t>
            </w:r>
          </w:p>
        </w:tc>
        <w:tc>
          <w:tcPr>
            <w:tcW w:w="944" w:type="pct"/>
            <w:tcBorders>
              <w:tl2br w:val="nil"/>
              <w:tr2bl w:val="nil"/>
            </w:tcBorders>
            <w:vAlign w:val="center"/>
          </w:tcPr>
          <w:p w14:paraId="0116DCDA">
            <w:pPr>
              <w:adjustRightInd w:val="0"/>
              <w:snapToGrid w:val="0"/>
              <w:spacing w:line="240" w:lineRule="auto"/>
              <w:ind w:firstLine="0" w:firstLineChars="0"/>
              <w:jc w:val="center"/>
              <w:rPr>
                <w:rFonts w:hint="default" w:ascii="Times New Roman" w:hAnsi="Times New Roman" w:eastAsia="宋体" w:cs="Times New Roman"/>
                <w:snapToGrid w:val="0"/>
                <w:color w:val="0000FF"/>
                <w:kern w:val="2"/>
                <w:sz w:val="21"/>
                <w:szCs w:val="21"/>
                <w:lang w:val="zh-CN" w:eastAsia="zh-CN" w:bidi="ar-SA"/>
              </w:rPr>
            </w:pPr>
            <w:r>
              <w:rPr>
                <w:rFonts w:hint="default" w:ascii="Times New Roman" w:hAnsi="Times New Roman" w:eastAsia="宋体" w:cs="Times New Roman"/>
                <w:snapToGrid w:val="0"/>
                <w:color w:val="0000FF"/>
                <w:sz w:val="21"/>
                <w:szCs w:val="21"/>
                <w:lang w:val="en-US" w:eastAsia="zh-CN"/>
              </w:rPr>
              <w:t>24小时平</w:t>
            </w:r>
            <w:r>
              <w:rPr>
                <w:rFonts w:hint="default" w:ascii="Times New Roman" w:hAnsi="Times New Roman" w:eastAsia="宋体" w:cs="Times New Roman"/>
                <w:snapToGrid w:val="0"/>
                <w:color w:val="0000FF"/>
                <w:sz w:val="21"/>
                <w:szCs w:val="21"/>
                <w:lang w:val="zh-CN"/>
              </w:rPr>
              <w:t>均</w:t>
            </w:r>
          </w:p>
        </w:tc>
        <w:tc>
          <w:tcPr>
            <w:tcW w:w="1552" w:type="pct"/>
            <w:tcBorders>
              <w:tl2br w:val="nil"/>
              <w:tr2bl w:val="nil"/>
            </w:tcBorders>
            <w:vAlign w:val="center"/>
          </w:tcPr>
          <w:p w14:paraId="6E85E082">
            <w:pPr>
              <w:adjustRightInd w:val="0"/>
              <w:snapToGrid w:val="0"/>
              <w:spacing w:line="240" w:lineRule="auto"/>
              <w:ind w:firstLine="0" w:firstLineChars="0"/>
              <w:jc w:val="center"/>
              <w:rPr>
                <w:rFonts w:hint="default" w:ascii="Times New Roman" w:hAnsi="Times New Roman" w:eastAsia="宋体" w:cs="Times New Roman"/>
                <w:snapToGrid w:val="0"/>
                <w:color w:val="0000FF"/>
                <w:kern w:val="2"/>
                <w:sz w:val="21"/>
                <w:szCs w:val="21"/>
                <w:lang w:val="en-US" w:eastAsia="zh-CN" w:bidi="ar-SA"/>
              </w:rPr>
            </w:pPr>
            <w:r>
              <w:rPr>
                <w:rFonts w:hint="default" w:ascii="Times New Roman" w:hAnsi="Times New Roman" w:eastAsia="宋体" w:cs="Times New Roman"/>
                <w:snapToGrid w:val="0"/>
                <w:color w:val="0000FF"/>
                <w:sz w:val="21"/>
                <w:szCs w:val="21"/>
                <w:lang w:val="zh-CN"/>
              </w:rPr>
              <w:t>300</w:t>
            </w:r>
          </w:p>
        </w:tc>
        <w:tc>
          <w:tcPr>
            <w:tcW w:w="2588" w:type="dxa"/>
            <w:tcBorders>
              <w:tl2br w:val="nil"/>
              <w:tr2bl w:val="nil"/>
            </w:tcBorders>
            <w:vAlign w:val="center"/>
          </w:tcPr>
          <w:p w14:paraId="59CD58CE">
            <w:pPr>
              <w:adjustRightInd w:val="0"/>
              <w:snapToGrid w:val="0"/>
              <w:spacing w:line="240" w:lineRule="auto"/>
              <w:ind w:firstLine="0" w:firstLineChars="0"/>
              <w:jc w:val="center"/>
              <w:rPr>
                <w:rFonts w:hint="default" w:ascii="Times New Roman" w:hAnsi="Times New Roman" w:eastAsia="宋体" w:cs="Times New Roman"/>
                <w:snapToGrid w:val="0"/>
                <w:color w:val="0000FF"/>
                <w:kern w:val="2"/>
                <w:sz w:val="21"/>
                <w:szCs w:val="21"/>
                <w:lang w:val="zh-CN" w:eastAsia="zh-CN" w:bidi="ar-SA"/>
              </w:rPr>
            </w:pPr>
            <w:r>
              <w:rPr>
                <w:rFonts w:hint="default" w:ascii="Times New Roman" w:hAnsi="Times New Roman" w:eastAsia="宋体" w:cs="Times New Roman"/>
                <w:snapToGrid w:val="0"/>
                <w:color w:val="0000FF"/>
                <w:sz w:val="21"/>
                <w:szCs w:val="21"/>
                <w:lang w:val="zh-CN"/>
              </w:rPr>
              <w:t>300</w:t>
            </w:r>
          </w:p>
        </w:tc>
      </w:tr>
      <w:tr w14:paraId="003D1E06">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84" w:type="pct"/>
            <w:vMerge w:val="continue"/>
            <w:tcBorders>
              <w:tl2br w:val="nil"/>
              <w:tr2bl w:val="nil"/>
            </w:tcBorders>
            <w:vAlign w:val="center"/>
          </w:tcPr>
          <w:p w14:paraId="0A964B83">
            <w:pPr>
              <w:adjustRightInd w:val="0"/>
              <w:snapToGrid w:val="0"/>
              <w:spacing w:line="240" w:lineRule="auto"/>
              <w:ind w:firstLine="0" w:firstLineChars="0"/>
              <w:jc w:val="center"/>
              <w:rPr>
                <w:rFonts w:hint="default" w:ascii="Times New Roman" w:hAnsi="Times New Roman" w:eastAsia="宋体" w:cs="Times New Roman"/>
                <w:snapToGrid w:val="0"/>
                <w:color w:val="0000FF"/>
                <w:sz w:val="21"/>
                <w:szCs w:val="21"/>
                <w:lang w:val="zh-CN"/>
              </w:rPr>
            </w:pPr>
          </w:p>
        </w:tc>
        <w:tc>
          <w:tcPr>
            <w:tcW w:w="700" w:type="pct"/>
            <w:vMerge w:val="continue"/>
            <w:tcBorders>
              <w:tl2br w:val="nil"/>
              <w:tr2bl w:val="nil"/>
            </w:tcBorders>
            <w:vAlign w:val="center"/>
          </w:tcPr>
          <w:p w14:paraId="21A4CA6B">
            <w:pPr>
              <w:adjustRightInd w:val="0"/>
              <w:snapToGrid w:val="0"/>
              <w:spacing w:line="240" w:lineRule="auto"/>
              <w:ind w:firstLine="0" w:firstLineChars="0"/>
              <w:jc w:val="center"/>
              <w:rPr>
                <w:rFonts w:hint="default" w:ascii="Times New Roman" w:hAnsi="Times New Roman" w:eastAsia="宋体" w:cs="Times New Roman"/>
                <w:snapToGrid w:val="0"/>
                <w:color w:val="0000FF"/>
                <w:sz w:val="21"/>
                <w:szCs w:val="21"/>
                <w:lang w:val="zh-CN"/>
              </w:rPr>
            </w:pPr>
          </w:p>
        </w:tc>
        <w:tc>
          <w:tcPr>
            <w:tcW w:w="944" w:type="pct"/>
            <w:tcBorders>
              <w:tl2br w:val="nil"/>
              <w:tr2bl w:val="nil"/>
            </w:tcBorders>
            <w:vAlign w:val="center"/>
          </w:tcPr>
          <w:p w14:paraId="22572AE0">
            <w:pPr>
              <w:adjustRightInd w:val="0"/>
              <w:snapToGrid w:val="0"/>
              <w:spacing w:line="240" w:lineRule="auto"/>
              <w:ind w:firstLine="0" w:firstLineChars="0"/>
              <w:jc w:val="center"/>
              <w:rPr>
                <w:rFonts w:hint="default" w:ascii="Times New Roman" w:hAnsi="Times New Roman" w:eastAsia="宋体" w:cs="Times New Roman"/>
                <w:snapToGrid w:val="0"/>
                <w:color w:val="0000FF"/>
                <w:sz w:val="21"/>
                <w:szCs w:val="21"/>
                <w:lang w:val="en-US" w:eastAsia="zh-CN"/>
              </w:rPr>
            </w:pPr>
            <w:r>
              <w:rPr>
                <w:rFonts w:hint="default" w:ascii="Times New Roman" w:hAnsi="Times New Roman" w:eastAsia="宋体" w:cs="Times New Roman"/>
                <w:snapToGrid w:val="0"/>
                <w:color w:val="0000FF"/>
                <w:sz w:val="21"/>
                <w:szCs w:val="21"/>
                <w:lang w:val="zh-CN"/>
              </w:rPr>
              <w:t>年平均</w:t>
            </w:r>
          </w:p>
        </w:tc>
        <w:tc>
          <w:tcPr>
            <w:tcW w:w="1552" w:type="pct"/>
            <w:tcBorders>
              <w:tl2br w:val="nil"/>
              <w:tr2bl w:val="nil"/>
            </w:tcBorders>
            <w:vAlign w:val="center"/>
          </w:tcPr>
          <w:p w14:paraId="53BF1D37">
            <w:pPr>
              <w:adjustRightInd w:val="0"/>
              <w:snapToGrid w:val="0"/>
              <w:spacing w:line="240" w:lineRule="auto"/>
              <w:ind w:firstLine="0" w:firstLineChars="0"/>
              <w:jc w:val="center"/>
              <w:rPr>
                <w:rFonts w:hint="default" w:ascii="Times New Roman" w:hAnsi="Times New Roman" w:eastAsia="宋体" w:cs="Times New Roman"/>
                <w:snapToGrid w:val="0"/>
                <w:color w:val="0000FF"/>
                <w:kern w:val="2"/>
                <w:sz w:val="21"/>
                <w:szCs w:val="21"/>
                <w:lang w:val="en-US" w:eastAsia="zh-CN" w:bidi="ar-SA"/>
              </w:rPr>
            </w:pPr>
            <w:r>
              <w:rPr>
                <w:rFonts w:hint="default" w:ascii="Times New Roman" w:hAnsi="Times New Roman" w:eastAsia="宋体" w:cs="Times New Roman"/>
                <w:snapToGrid w:val="0"/>
                <w:color w:val="0000FF"/>
                <w:sz w:val="21"/>
                <w:szCs w:val="21"/>
                <w:lang w:val="en-US" w:eastAsia="zh-CN"/>
              </w:rPr>
              <w:t>200</w:t>
            </w:r>
          </w:p>
        </w:tc>
        <w:tc>
          <w:tcPr>
            <w:tcW w:w="2588" w:type="dxa"/>
            <w:tcBorders>
              <w:tl2br w:val="nil"/>
              <w:tr2bl w:val="nil"/>
            </w:tcBorders>
            <w:vAlign w:val="center"/>
          </w:tcPr>
          <w:p w14:paraId="7F4E9435">
            <w:pPr>
              <w:adjustRightInd w:val="0"/>
              <w:snapToGrid w:val="0"/>
              <w:spacing w:line="240" w:lineRule="auto"/>
              <w:ind w:firstLine="0" w:firstLineChars="0"/>
              <w:jc w:val="center"/>
              <w:rPr>
                <w:rFonts w:hint="default" w:ascii="Times New Roman" w:hAnsi="Times New Roman" w:eastAsia="宋体" w:cs="Times New Roman"/>
                <w:snapToGrid w:val="0"/>
                <w:color w:val="0000FF"/>
                <w:sz w:val="21"/>
                <w:szCs w:val="21"/>
                <w:lang w:val="en-US" w:eastAsia="zh-CN"/>
              </w:rPr>
            </w:pPr>
            <w:r>
              <w:rPr>
                <w:rFonts w:hint="eastAsia" w:ascii="Times New Roman" w:hAnsi="Times New Roman" w:eastAsia="宋体" w:cs="Times New Roman"/>
                <w:snapToGrid w:val="0"/>
                <w:color w:val="0000FF"/>
                <w:sz w:val="21"/>
                <w:szCs w:val="21"/>
                <w:lang w:val="en-US" w:eastAsia="zh-CN"/>
              </w:rPr>
              <w:t>200</w:t>
            </w:r>
          </w:p>
        </w:tc>
      </w:tr>
      <w:tr w14:paraId="4F26FEA5">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84" w:type="pct"/>
            <w:vMerge w:val="restart"/>
            <w:tcBorders>
              <w:tl2br w:val="nil"/>
              <w:tr2bl w:val="nil"/>
            </w:tcBorders>
            <w:vAlign w:val="center"/>
          </w:tcPr>
          <w:p w14:paraId="7052435D">
            <w:pPr>
              <w:adjustRightInd w:val="0"/>
              <w:snapToGrid w:val="0"/>
              <w:spacing w:line="240" w:lineRule="auto"/>
              <w:ind w:firstLine="0" w:firstLineChars="0"/>
              <w:jc w:val="center"/>
              <w:rPr>
                <w:rFonts w:hint="default" w:ascii="Times New Roman" w:hAnsi="Times New Roman" w:eastAsia="宋体" w:cs="Times New Roman"/>
                <w:snapToGrid w:val="0"/>
                <w:color w:val="0000FF"/>
                <w:sz w:val="21"/>
                <w:szCs w:val="21"/>
                <w:lang w:val="zh-CN"/>
              </w:rPr>
            </w:pPr>
            <w:r>
              <w:rPr>
                <w:rFonts w:hint="default" w:ascii="Times New Roman" w:hAnsi="Times New Roman" w:eastAsia="宋体" w:cs="Times New Roman"/>
                <w:snapToGrid w:val="0"/>
                <w:color w:val="0000FF"/>
                <w:sz w:val="21"/>
                <w:szCs w:val="21"/>
                <w:lang w:val="zh-CN"/>
              </w:rPr>
              <w:t>3</w:t>
            </w:r>
          </w:p>
        </w:tc>
        <w:tc>
          <w:tcPr>
            <w:tcW w:w="700" w:type="pct"/>
            <w:vMerge w:val="restart"/>
            <w:tcBorders>
              <w:tl2br w:val="nil"/>
              <w:tr2bl w:val="nil"/>
            </w:tcBorders>
            <w:vAlign w:val="center"/>
          </w:tcPr>
          <w:p w14:paraId="55F28B0A">
            <w:pPr>
              <w:adjustRightInd w:val="0"/>
              <w:snapToGrid w:val="0"/>
              <w:spacing w:line="240" w:lineRule="auto"/>
              <w:ind w:firstLine="0" w:firstLineChars="0"/>
              <w:jc w:val="center"/>
              <w:rPr>
                <w:rFonts w:hint="default" w:ascii="Times New Roman" w:hAnsi="Times New Roman" w:eastAsia="宋体" w:cs="Times New Roman"/>
                <w:snapToGrid w:val="0"/>
                <w:color w:val="0000FF"/>
                <w:kern w:val="2"/>
                <w:sz w:val="21"/>
                <w:szCs w:val="21"/>
                <w:lang w:val="zh-CN" w:eastAsia="zh-CN" w:bidi="ar-SA"/>
              </w:rPr>
            </w:pPr>
            <w:r>
              <w:rPr>
                <w:rFonts w:hint="default" w:ascii="Times New Roman" w:hAnsi="Times New Roman" w:eastAsia="宋体" w:cs="Times New Roman"/>
                <w:snapToGrid w:val="0"/>
                <w:color w:val="0000FF"/>
                <w:sz w:val="21"/>
                <w:szCs w:val="21"/>
                <w:lang w:val="zh-CN"/>
              </w:rPr>
              <w:t>氟化物</w:t>
            </w:r>
          </w:p>
        </w:tc>
        <w:tc>
          <w:tcPr>
            <w:tcW w:w="944" w:type="pct"/>
            <w:tcBorders>
              <w:tl2br w:val="nil"/>
              <w:tr2bl w:val="nil"/>
            </w:tcBorders>
            <w:vAlign w:val="center"/>
          </w:tcPr>
          <w:p w14:paraId="46AD6E3C">
            <w:pPr>
              <w:adjustRightInd w:val="0"/>
              <w:snapToGrid w:val="0"/>
              <w:spacing w:line="240" w:lineRule="auto"/>
              <w:ind w:firstLine="0" w:firstLineChars="0"/>
              <w:jc w:val="center"/>
              <w:rPr>
                <w:rFonts w:hint="default" w:ascii="Times New Roman" w:hAnsi="Times New Roman" w:eastAsia="宋体" w:cs="Times New Roman"/>
                <w:snapToGrid w:val="0"/>
                <w:color w:val="0000FF"/>
                <w:kern w:val="2"/>
                <w:sz w:val="21"/>
                <w:szCs w:val="21"/>
                <w:lang w:val="zh-CN" w:eastAsia="zh-CN" w:bidi="ar-SA"/>
              </w:rPr>
            </w:pPr>
            <w:bookmarkStart w:id="112" w:name="OLE_LINK17"/>
            <w:r>
              <w:rPr>
                <w:rFonts w:hint="default" w:ascii="Times New Roman" w:hAnsi="Times New Roman" w:eastAsia="宋体" w:cs="Times New Roman"/>
                <w:snapToGrid w:val="0"/>
                <w:color w:val="0000FF"/>
                <w:sz w:val="21"/>
                <w:szCs w:val="21"/>
                <w:lang w:val="zh-CN"/>
              </w:rPr>
              <w:t>1小时平均</w:t>
            </w:r>
            <w:bookmarkEnd w:id="112"/>
          </w:p>
        </w:tc>
        <w:tc>
          <w:tcPr>
            <w:tcW w:w="1552" w:type="pct"/>
            <w:tcBorders>
              <w:tl2br w:val="nil"/>
              <w:tr2bl w:val="nil"/>
            </w:tcBorders>
            <w:vAlign w:val="center"/>
          </w:tcPr>
          <w:p w14:paraId="41D612A1">
            <w:pPr>
              <w:adjustRightInd w:val="0"/>
              <w:snapToGrid w:val="0"/>
              <w:spacing w:line="240" w:lineRule="auto"/>
              <w:ind w:firstLine="0" w:firstLineChars="0"/>
              <w:jc w:val="center"/>
              <w:rPr>
                <w:rFonts w:hint="default" w:ascii="Times New Roman" w:hAnsi="Times New Roman" w:eastAsia="宋体" w:cs="Times New Roman"/>
                <w:snapToGrid w:val="0"/>
                <w:color w:val="0000FF"/>
                <w:kern w:val="2"/>
                <w:sz w:val="21"/>
                <w:szCs w:val="21"/>
                <w:lang w:val="en-US" w:eastAsia="zh-CN" w:bidi="ar-SA"/>
              </w:rPr>
            </w:pPr>
            <w:r>
              <w:rPr>
                <w:rFonts w:hint="default" w:ascii="Times New Roman" w:hAnsi="Times New Roman" w:eastAsia="宋体" w:cs="Times New Roman"/>
                <w:snapToGrid w:val="0"/>
                <w:color w:val="0000FF"/>
                <w:sz w:val="21"/>
                <w:szCs w:val="21"/>
                <w:lang w:val="zh-CN"/>
              </w:rPr>
              <w:t>20</w:t>
            </w:r>
          </w:p>
        </w:tc>
        <w:tc>
          <w:tcPr>
            <w:tcW w:w="2588" w:type="dxa"/>
            <w:tcBorders>
              <w:tl2br w:val="nil"/>
              <w:tr2bl w:val="nil"/>
            </w:tcBorders>
            <w:vAlign w:val="center"/>
          </w:tcPr>
          <w:p w14:paraId="770ED766">
            <w:pPr>
              <w:adjustRightInd w:val="0"/>
              <w:snapToGrid w:val="0"/>
              <w:spacing w:line="240" w:lineRule="auto"/>
              <w:ind w:firstLine="0" w:firstLineChars="0"/>
              <w:jc w:val="center"/>
              <w:rPr>
                <w:rFonts w:hint="default" w:ascii="Times New Roman" w:hAnsi="Times New Roman" w:eastAsia="宋体" w:cs="Times New Roman"/>
                <w:snapToGrid w:val="0"/>
                <w:color w:val="0000FF"/>
                <w:kern w:val="2"/>
                <w:sz w:val="21"/>
                <w:szCs w:val="21"/>
                <w:lang w:val="zh-CN" w:eastAsia="zh-CN" w:bidi="ar-SA"/>
              </w:rPr>
            </w:pPr>
            <w:r>
              <w:rPr>
                <w:rFonts w:hint="default" w:ascii="Times New Roman" w:hAnsi="Times New Roman" w:eastAsia="宋体" w:cs="Times New Roman"/>
                <w:snapToGrid w:val="0"/>
                <w:color w:val="0000FF"/>
                <w:sz w:val="21"/>
                <w:szCs w:val="21"/>
                <w:lang w:val="zh-CN"/>
              </w:rPr>
              <w:t>20</w:t>
            </w:r>
          </w:p>
        </w:tc>
      </w:tr>
      <w:tr w14:paraId="237BB3C1">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84" w:type="pct"/>
            <w:vMerge w:val="continue"/>
            <w:tcBorders>
              <w:tl2br w:val="nil"/>
              <w:tr2bl w:val="nil"/>
            </w:tcBorders>
            <w:vAlign w:val="center"/>
          </w:tcPr>
          <w:p w14:paraId="0E0F508B">
            <w:pPr>
              <w:adjustRightInd w:val="0"/>
              <w:snapToGrid w:val="0"/>
              <w:spacing w:line="240" w:lineRule="auto"/>
              <w:ind w:firstLine="0" w:firstLineChars="0"/>
              <w:jc w:val="center"/>
              <w:rPr>
                <w:rFonts w:hint="default" w:ascii="Times New Roman" w:hAnsi="Times New Roman" w:eastAsia="宋体" w:cs="Times New Roman"/>
                <w:snapToGrid w:val="0"/>
                <w:color w:val="0000FF"/>
                <w:sz w:val="21"/>
                <w:szCs w:val="21"/>
                <w:lang w:val="zh-CN"/>
              </w:rPr>
            </w:pPr>
          </w:p>
        </w:tc>
        <w:tc>
          <w:tcPr>
            <w:tcW w:w="700" w:type="pct"/>
            <w:vMerge w:val="continue"/>
            <w:tcBorders>
              <w:tl2br w:val="nil"/>
              <w:tr2bl w:val="nil"/>
            </w:tcBorders>
            <w:vAlign w:val="center"/>
          </w:tcPr>
          <w:p w14:paraId="44A90958">
            <w:pPr>
              <w:adjustRightInd w:val="0"/>
              <w:snapToGrid w:val="0"/>
              <w:spacing w:line="240" w:lineRule="auto"/>
              <w:ind w:firstLine="0" w:firstLineChars="0"/>
              <w:jc w:val="center"/>
              <w:rPr>
                <w:rFonts w:hint="default" w:ascii="Times New Roman" w:hAnsi="Times New Roman" w:eastAsia="宋体" w:cs="Times New Roman"/>
                <w:snapToGrid w:val="0"/>
                <w:color w:val="0000FF"/>
                <w:sz w:val="21"/>
                <w:szCs w:val="21"/>
                <w:lang w:val="zh-CN"/>
              </w:rPr>
            </w:pPr>
          </w:p>
        </w:tc>
        <w:tc>
          <w:tcPr>
            <w:tcW w:w="944" w:type="pct"/>
            <w:tcBorders>
              <w:tl2br w:val="nil"/>
              <w:tr2bl w:val="nil"/>
            </w:tcBorders>
            <w:vAlign w:val="center"/>
          </w:tcPr>
          <w:p w14:paraId="6F1C4765">
            <w:pPr>
              <w:adjustRightInd w:val="0"/>
              <w:snapToGrid w:val="0"/>
              <w:spacing w:line="240" w:lineRule="auto"/>
              <w:ind w:firstLine="0" w:firstLineChars="0"/>
              <w:jc w:val="center"/>
              <w:rPr>
                <w:rFonts w:hint="default" w:ascii="Times New Roman" w:hAnsi="Times New Roman" w:eastAsia="宋体" w:cs="Times New Roman"/>
                <w:snapToGrid w:val="0"/>
                <w:color w:val="0000FF"/>
                <w:sz w:val="21"/>
                <w:szCs w:val="21"/>
                <w:lang w:val="zh-CN"/>
              </w:rPr>
            </w:pPr>
            <w:r>
              <w:rPr>
                <w:rFonts w:hint="default" w:ascii="Times New Roman" w:hAnsi="Times New Roman" w:eastAsia="宋体" w:cs="Times New Roman"/>
                <w:snapToGrid w:val="0"/>
                <w:color w:val="0000FF"/>
                <w:sz w:val="21"/>
                <w:szCs w:val="21"/>
                <w:lang w:val="en-US" w:eastAsia="zh-CN"/>
              </w:rPr>
              <w:t>24小时平</w:t>
            </w:r>
            <w:r>
              <w:rPr>
                <w:rFonts w:hint="default" w:ascii="Times New Roman" w:hAnsi="Times New Roman" w:eastAsia="宋体" w:cs="Times New Roman"/>
                <w:snapToGrid w:val="0"/>
                <w:color w:val="0000FF"/>
                <w:sz w:val="21"/>
                <w:szCs w:val="21"/>
                <w:lang w:val="zh-CN"/>
              </w:rPr>
              <w:t>均</w:t>
            </w:r>
          </w:p>
        </w:tc>
        <w:tc>
          <w:tcPr>
            <w:tcW w:w="1552" w:type="pct"/>
            <w:tcBorders>
              <w:tl2br w:val="nil"/>
              <w:tr2bl w:val="nil"/>
            </w:tcBorders>
            <w:vAlign w:val="center"/>
          </w:tcPr>
          <w:p w14:paraId="11E69479">
            <w:pPr>
              <w:adjustRightInd w:val="0"/>
              <w:snapToGrid w:val="0"/>
              <w:spacing w:line="240" w:lineRule="auto"/>
              <w:ind w:firstLine="0" w:firstLineChars="0"/>
              <w:jc w:val="center"/>
              <w:rPr>
                <w:rFonts w:hint="default" w:ascii="Times New Roman" w:hAnsi="Times New Roman" w:eastAsia="宋体" w:cs="Times New Roman"/>
                <w:snapToGrid w:val="0"/>
                <w:color w:val="0000FF"/>
                <w:kern w:val="2"/>
                <w:sz w:val="21"/>
                <w:szCs w:val="21"/>
                <w:lang w:val="en-US" w:eastAsia="zh-CN" w:bidi="ar-SA"/>
              </w:rPr>
            </w:pPr>
            <w:r>
              <w:rPr>
                <w:rFonts w:hint="default" w:ascii="Times New Roman" w:hAnsi="Times New Roman" w:eastAsia="宋体" w:cs="Times New Roman"/>
                <w:snapToGrid w:val="0"/>
                <w:color w:val="0000FF"/>
                <w:sz w:val="21"/>
                <w:szCs w:val="21"/>
                <w:lang w:val="en-US" w:eastAsia="zh-CN"/>
              </w:rPr>
              <w:t>7</w:t>
            </w:r>
          </w:p>
        </w:tc>
        <w:tc>
          <w:tcPr>
            <w:tcW w:w="2588" w:type="dxa"/>
            <w:tcBorders>
              <w:tl2br w:val="nil"/>
              <w:tr2bl w:val="nil"/>
            </w:tcBorders>
            <w:vAlign w:val="center"/>
          </w:tcPr>
          <w:p w14:paraId="2AA6CF45">
            <w:pPr>
              <w:adjustRightInd w:val="0"/>
              <w:snapToGrid w:val="0"/>
              <w:spacing w:line="240" w:lineRule="auto"/>
              <w:ind w:firstLine="0" w:firstLineChars="0"/>
              <w:jc w:val="center"/>
              <w:rPr>
                <w:rFonts w:hint="default" w:ascii="Times New Roman" w:hAnsi="Times New Roman" w:eastAsia="宋体" w:cs="Times New Roman"/>
                <w:snapToGrid w:val="0"/>
                <w:color w:val="0000FF"/>
                <w:sz w:val="21"/>
                <w:szCs w:val="21"/>
                <w:lang w:val="en-US" w:eastAsia="zh-CN"/>
              </w:rPr>
            </w:pPr>
            <w:r>
              <w:rPr>
                <w:rFonts w:hint="eastAsia" w:ascii="Times New Roman" w:hAnsi="Times New Roman" w:eastAsia="宋体" w:cs="Times New Roman"/>
                <w:snapToGrid w:val="0"/>
                <w:color w:val="0000FF"/>
                <w:sz w:val="21"/>
                <w:szCs w:val="21"/>
                <w:lang w:val="en-US" w:eastAsia="zh-CN"/>
              </w:rPr>
              <w:t>7</w:t>
            </w:r>
          </w:p>
        </w:tc>
      </w:tr>
      <w:tr w14:paraId="508DB8DD">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84" w:type="pct"/>
            <w:vMerge w:val="restart"/>
            <w:tcBorders>
              <w:tl2br w:val="nil"/>
              <w:tr2bl w:val="nil"/>
            </w:tcBorders>
            <w:vAlign w:val="center"/>
          </w:tcPr>
          <w:p w14:paraId="0EE9A65B">
            <w:pPr>
              <w:adjustRightInd w:val="0"/>
              <w:snapToGrid w:val="0"/>
              <w:spacing w:line="240" w:lineRule="auto"/>
              <w:ind w:firstLine="0" w:firstLineChars="0"/>
              <w:jc w:val="center"/>
              <w:rPr>
                <w:rFonts w:hint="default" w:ascii="Times New Roman" w:hAnsi="Times New Roman" w:eastAsia="宋体" w:cs="Times New Roman"/>
                <w:snapToGrid w:val="0"/>
                <w:color w:val="0000FF"/>
                <w:sz w:val="21"/>
                <w:szCs w:val="21"/>
                <w:lang w:val="zh-CN"/>
              </w:rPr>
            </w:pPr>
            <w:r>
              <w:rPr>
                <w:rFonts w:hint="default" w:ascii="Times New Roman" w:hAnsi="Times New Roman" w:eastAsia="宋体" w:cs="Times New Roman"/>
                <w:snapToGrid w:val="0"/>
                <w:color w:val="0000FF"/>
                <w:sz w:val="21"/>
                <w:szCs w:val="21"/>
                <w:lang w:val="zh-CN"/>
              </w:rPr>
              <w:t>4</w:t>
            </w:r>
          </w:p>
        </w:tc>
        <w:tc>
          <w:tcPr>
            <w:tcW w:w="700" w:type="pct"/>
            <w:vMerge w:val="restart"/>
            <w:tcBorders>
              <w:tl2br w:val="nil"/>
              <w:tr2bl w:val="nil"/>
            </w:tcBorders>
            <w:vAlign w:val="center"/>
          </w:tcPr>
          <w:p w14:paraId="62CA9A8A">
            <w:pPr>
              <w:adjustRightInd w:val="0"/>
              <w:snapToGrid w:val="0"/>
              <w:spacing w:line="240" w:lineRule="auto"/>
              <w:ind w:firstLine="0" w:firstLineChars="0"/>
              <w:jc w:val="center"/>
              <w:rPr>
                <w:rFonts w:hint="eastAsia" w:ascii="Times New Roman" w:hAnsi="Times New Roman" w:eastAsia="宋体" w:cs="Times New Roman"/>
                <w:snapToGrid w:val="0"/>
                <w:color w:val="0000FF"/>
                <w:sz w:val="21"/>
                <w:szCs w:val="21"/>
                <w:lang w:val="en-US" w:eastAsia="zh-CN"/>
              </w:rPr>
            </w:pPr>
            <w:r>
              <w:rPr>
                <w:rFonts w:ascii="Times New Roman" w:hAnsi="Times New Roman" w:eastAsia="宋体" w:cs="Times New Roman"/>
                <w:snapToGrid w:val="0"/>
                <w:color w:val="0000FF"/>
                <w:kern w:val="0"/>
                <w:sz w:val="21"/>
                <w:szCs w:val="21"/>
              </w:rPr>
              <w:t>NO</w:t>
            </w:r>
            <w:r>
              <w:rPr>
                <w:rFonts w:hint="eastAsia" w:ascii="Times New Roman" w:hAnsi="Times New Roman" w:eastAsia="宋体" w:cs="Times New Roman"/>
                <w:snapToGrid w:val="0"/>
                <w:color w:val="0000FF"/>
                <w:kern w:val="0"/>
                <w:sz w:val="21"/>
                <w:szCs w:val="21"/>
                <w:vertAlign w:val="subscript"/>
                <w:lang w:val="en-US" w:eastAsia="zh-CN"/>
              </w:rPr>
              <w:t>X</w:t>
            </w:r>
          </w:p>
        </w:tc>
        <w:tc>
          <w:tcPr>
            <w:tcW w:w="944" w:type="pct"/>
            <w:tcBorders>
              <w:tl2br w:val="nil"/>
              <w:tr2bl w:val="nil"/>
            </w:tcBorders>
            <w:vAlign w:val="center"/>
          </w:tcPr>
          <w:p w14:paraId="07140124">
            <w:pPr>
              <w:adjustRightInd w:val="0"/>
              <w:snapToGrid w:val="0"/>
              <w:spacing w:line="240" w:lineRule="auto"/>
              <w:ind w:firstLine="0" w:firstLineChars="0"/>
              <w:jc w:val="center"/>
              <w:rPr>
                <w:rFonts w:hint="default" w:ascii="Times New Roman" w:hAnsi="Times New Roman" w:eastAsia="宋体" w:cs="Times New Roman"/>
                <w:snapToGrid w:val="0"/>
                <w:color w:val="0000FF"/>
                <w:sz w:val="21"/>
                <w:szCs w:val="21"/>
                <w:lang w:val="en-US" w:eastAsia="zh-CN"/>
              </w:rPr>
            </w:pPr>
            <w:r>
              <w:rPr>
                <w:rFonts w:hint="default" w:ascii="Times New Roman" w:hAnsi="Times New Roman" w:eastAsia="宋体" w:cs="Times New Roman"/>
                <w:snapToGrid w:val="0"/>
                <w:color w:val="0000FF"/>
                <w:sz w:val="21"/>
                <w:szCs w:val="21"/>
                <w:lang w:val="en-US" w:eastAsia="zh-CN"/>
              </w:rPr>
              <w:t>1</w:t>
            </w:r>
            <w:r>
              <w:rPr>
                <w:rFonts w:hint="default" w:ascii="Times New Roman" w:hAnsi="Times New Roman" w:eastAsia="宋体" w:cs="Times New Roman"/>
                <w:snapToGrid w:val="0"/>
                <w:color w:val="0000FF"/>
                <w:sz w:val="21"/>
                <w:szCs w:val="21"/>
                <w:lang w:val="zh-CN"/>
              </w:rPr>
              <w:t>小时平均</w:t>
            </w:r>
          </w:p>
        </w:tc>
        <w:tc>
          <w:tcPr>
            <w:tcW w:w="1552" w:type="pct"/>
            <w:tcBorders>
              <w:tl2br w:val="nil"/>
              <w:tr2bl w:val="nil"/>
            </w:tcBorders>
            <w:vAlign w:val="center"/>
          </w:tcPr>
          <w:p w14:paraId="76CAED86">
            <w:pPr>
              <w:widowControl/>
              <w:spacing w:line="240" w:lineRule="auto"/>
              <w:ind w:right="-64" w:rightChars="0" w:firstLine="0" w:firstLineChars="0"/>
              <w:jc w:val="center"/>
              <w:rPr>
                <w:rFonts w:hint="default" w:ascii="Times New Roman" w:hAnsi="Times New Roman" w:eastAsia="宋体" w:cs="Times New Roman"/>
                <w:snapToGrid w:val="0"/>
                <w:color w:val="0000FF"/>
                <w:kern w:val="2"/>
                <w:sz w:val="21"/>
                <w:szCs w:val="21"/>
                <w:lang w:val="en-US" w:eastAsia="zh-CN" w:bidi="ar-SA"/>
              </w:rPr>
            </w:pPr>
            <w:r>
              <w:rPr>
                <w:rFonts w:hint="eastAsia" w:ascii="Times New Roman" w:hAnsi="Times New Roman" w:eastAsia="宋体" w:cs="Times New Roman"/>
                <w:snapToGrid w:val="0"/>
                <w:color w:val="0000FF"/>
                <w:kern w:val="0"/>
                <w:sz w:val="21"/>
                <w:szCs w:val="21"/>
                <w:lang w:val="en-US" w:eastAsia="zh-CN"/>
              </w:rPr>
              <w:t>250</w:t>
            </w:r>
          </w:p>
        </w:tc>
        <w:tc>
          <w:tcPr>
            <w:tcW w:w="2588" w:type="dxa"/>
            <w:tcBorders>
              <w:tl2br w:val="nil"/>
              <w:tr2bl w:val="nil"/>
            </w:tcBorders>
            <w:vAlign w:val="center"/>
          </w:tcPr>
          <w:p w14:paraId="457C0AC0">
            <w:pPr>
              <w:widowControl/>
              <w:spacing w:line="240" w:lineRule="auto"/>
              <w:ind w:right="-64" w:rightChars="0" w:firstLine="0" w:firstLineChars="0"/>
              <w:jc w:val="center"/>
              <w:rPr>
                <w:rFonts w:hint="default" w:ascii="Times New Roman" w:hAnsi="Times New Roman" w:eastAsia="宋体" w:cs="Times New Roman"/>
                <w:snapToGrid w:val="0"/>
                <w:color w:val="0000FF"/>
                <w:sz w:val="21"/>
                <w:szCs w:val="21"/>
                <w:lang w:val="en-US" w:eastAsia="zh-CN"/>
              </w:rPr>
            </w:pPr>
            <w:r>
              <w:rPr>
                <w:rFonts w:hint="eastAsia" w:ascii="Times New Roman" w:hAnsi="Times New Roman" w:eastAsia="宋体" w:cs="Times New Roman"/>
                <w:snapToGrid w:val="0"/>
                <w:color w:val="0000FF"/>
                <w:kern w:val="0"/>
                <w:sz w:val="21"/>
                <w:szCs w:val="21"/>
                <w:lang w:val="en-US" w:eastAsia="zh-CN"/>
              </w:rPr>
              <w:t>250</w:t>
            </w:r>
          </w:p>
        </w:tc>
      </w:tr>
      <w:tr w14:paraId="7DB283D4">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84" w:type="pct"/>
            <w:vMerge w:val="continue"/>
            <w:tcBorders>
              <w:tl2br w:val="nil"/>
              <w:tr2bl w:val="nil"/>
            </w:tcBorders>
            <w:vAlign w:val="center"/>
          </w:tcPr>
          <w:p w14:paraId="5C2DBD77">
            <w:pPr>
              <w:adjustRightInd w:val="0"/>
              <w:snapToGrid w:val="0"/>
              <w:spacing w:line="240" w:lineRule="auto"/>
              <w:ind w:firstLine="0" w:firstLineChars="0"/>
              <w:jc w:val="center"/>
              <w:rPr>
                <w:rFonts w:hint="default" w:ascii="Times New Roman" w:hAnsi="Times New Roman" w:eastAsia="宋体" w:cs="Times New Roman"/>
                <w:snapToGrid w:val="0"/>
                <w:color w:val="0000FF"/>
                <w:sz w:val="21"/>
                <w:szCs w:val="21"/>
                <w:lang w:val="zh-CN"/>
              </w:rPr>
            </w:pPr>
          </w:p>
        </w:tc>
        <w:tc>
          <w:tcPr>
            <w:tcW w:w="700" w:type="pct"/>
            <w:vMerge w:val="continue"/>
            <w:tcBorders>
              <w:tl2br w:val="nil"/>
              <w:tr2bl w:val="nil"/>
            </w:tcBorders>
            <w:vAlign w:val="center"/>
          </w:tcPr>
          <w:p w14:paraId="1A6A4F81">
            <w:pPr>
              <w:adjustRightInd w:val="0"/>
              <w:snapToGrid w:val="0"/>
              <w:spacing w:line="240" w:lineRule="auto"/>
              <w:ind w:firstLine="0" w:firstLineChars="0"/>
              <w:jc w:val="center"/>
              <w:rPr>
                <w:rFonts w:ascii="Times New Roman" w:hAnsi="Times New Roman" w:eastAsia="宋体" w:cs="Times New Roman"/>
                <w:snapToGrid w:val="0"/>
                <w:color w:val="0000FF"/>
                <w:kern w:val="0"/>
                <w:sz w:val="21"/>
                <w:szCs w:val="21"/>
              </w:rPr>
            </w:pPr>
          </w:p>
        </w:tc>
        <w:tc>
          <w:tcPr>
            <w:tcW w:w="944" w:type="pct"/>
            <w:tcBorders>
              <w:tl2br w:val="nil"/>
              <w:tr2bl w:val="nil"/>
            </w:tcBorders>
            <w:vAlign w:val="center"/>
          </w:tcPr>
          <w:p w14:paraId="3B811852">
            <w:pPr>
              <w:adjustRightInd w:val="0"/>
              <w:snapToGrid w:val="0"/>
              <w:spacing w:line="240" w:lineRule="auto"/>
              <w:ind w:firstLine="0" w:firstLineChars="0"/>
              <w:jc w:val="center"/>
              <w:rPr>
                <w:rFonts w:hint="default" w:ascii="Times New Roman" w:hAnsi="Times New Roman" w:eastAsia="宋体" w:cs="Times New Roman"/>
                <w:snapToGrid w:val="0"/>
                <w:color w:val="0000FF"/>
                <w:sz w:val="21"/>
                <w:szCs w:val="21"/>
                <w:lang w:val="zh-CN"/>
              </w:rPr>
            </w:pPr>
            <w:r>
              <w:rPr>
                <w:rFonts w:hint="default" w:ascii="Times New Roman" w:hAnsi="Times New Roman" w:eastAsia="宋体" w:cs="Times New Roman"/>
                <w:snapToGrid w:val="0"/>
                <w:color w:val="0000FF"/>
                <w:sz w:val="21"/>
                <w:szCs w:val="21"/>
                <w:lang w:val="en-US" w:eastAsia="zh-CN"/>
              </w:rPr>
              <w:t>24小时平</w:t>
            </w:r>
            <w:r>
              <w:rPr>
                <w:rFonts w:hint="default" w:ascii="Times New Roman" w:hAnsi="Times New Roman" w:eastAsia="宋体" w:cs="Times New Roman"/>
                <w:snapToGrid w:val="0"/>
                <w:color w:val="0000FF"/>
                <w:sz w:val="21"/>
                <w:szCs w:val="21"/>
                <w:lang w:val="zh-CN"/>
              </w:rPr>
              <w:t>均</w:t>
            </w:r>
          </w:p>
        </w:tc>
        <w:tc>
          <w:tcPr>
            <w:tcW w:w="1552" w:type="pct"/>
            <w:tcBorders>
              <w:tl2br w:val="nil"/>
              <w:tr2bl w:val="nil"/>
            </w:tcBorders>
            <w:vAlign w:val="center"/>
          </w:tcPr>
          <w:p w14:paraId="37E8805D">
            <w:pPr>
              <w:widowControl/>
              <w:spacing w:line="240" w:lineRule="auto"/>
              <w:ind w:right="-64" w:rightChars="0" w:firstLine="0" w:firstLineChars="0"/>
              <w:jc w:val="center"/>
              <w:rPr>
                <w:rFonts w:hint="default" w:ascii="Times New Roman" w:hAnsi="Times New Roman" w:eastAsia="宋体" w:cs="Times New Roman"/>
                <w:snapToGrid w:val="0"/>
                <w:color w:val="0000FF"/>
                <w:kern w:val="2"/>
                <w:sz w:val="21"/>
                <w:szCs w:val="21"/>
                <w:lang w:val="en-US" w:eastAsia="zh-CN" w:bidi="ar-SA"/>
              </w:rPr>
            </w:pPr>
            <w:r>
              <w:rPr>
                <w:rFonts w:hint="eastAsia" w:ascii="Times New Roman" w:hAnsi="Times New Roman" w:eastAsia="宋体" w:cs="Times New Roman"/>
                <w:snapToGrid w:val="0"/>
                <w:color w:val="0000FF"/>
                <w:kern w:val="0"/>
                <w:sz w:val="21"/>
                <w:szCs w:val="21"/>
                <w:lang w:val="en-US" w:eastAsia="zh-CN"/>
              </w:rPr>
              <w:t>100</w:t>
            </w:r>
          </w:p>
        </w:tc>
        <w:tc>
          <w:tcPr>
            <w:tcW w:w="2588" w:type="dxa"/>
            <w:tcBorders>
              <w:tl2br w:val="nil"/>
              <w:tr2bl w:val="nil"/>
            </w:tcBorders>
            <w:vAlign w:val="center"/>
          </w:tcPr>
          <w:p w14:paraId="6CA0C709">
            <w:pPr>
              <w:widowControl/>
              <w:spacing w:line="240" w:lineRule="auto"/>
              <w:ind w:right="-64" w:rightChars="0" w:firstLine="0" w:firstLineChars="0"/>
              <w:jc w:val="center"/>
              <w:rPr>
                <w:rFonts w:hint="eastAsia" w:cs="Times New Roman"/>
                <w:snapToGrid w:val="0"/>
                <w:color w:val="0000FF"/>
                <w:kern w:val="2"/>
                <w:sz w:val="21"/>
                <w:szCs w:val="21"/>
                <w:lang w:val="en-US" w:eastAsia="zh-CN" w:bidi="ar-SA"/>
              </w:rPr>
            </w:pPr>
            <w:r>
              <w:rPr>
                <w:rFonts w:hint="eastAsia" w:ascii="Times New Roman" w:hAnsi="Times New Roman" w:eastAsia="宋体" w:cs="Times New Roman"/>
                <w:snapToGrid w:val="0"/>
                <w:color w:val="0000FF"/>
                <w:kern w:val="0"/>
                <w:sz w:val="21"/>
                <w:szCs w:val="21"/>
                <w:lang w:val="en-US" w:eastAsia="zh-CN"/>
              </w:rPr>
              <w:t>100</w:t>
            </w:r>
          </w:p>
        </w:tc>
      </w:tr>
      <w:tr w14:paraId="466C7EF8">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84" w:type="pct"/>
            <w:vMerge w:val="continue"/>
            <w:tcBorders>
              <w:tl2br w:val="nil"/>
              <w:tr2bl w:val="nil"/>
            </w:tcBorders>
            <w:vAlign w:val="center"/>
          </w:tcPr>
          <w:p w14:paraId="404AE8D2">
            <w:pPr>
              <w:adjustRightInd w:val="0"/>
              <w:snapToGrid w:val="0"/>
              <w:spacing w:line="240" w:lineRule="auto"/>
              <w:ind w:firstLine="0" w:firstLineChars="0"/>
              <w:jc w:val="center"/>
              <w:rPr>
                <w:rFonts w:hint="default" w:ascii="Times New Roman" w:hAnsi="Times New Roman" w:eastAsia="宋体" w:cs="Times New Roman"/>
                <w:snapToGrid w:val="0"/>
                <w:color w:val="0000FF"/>
                <w:sz w:val="21"/>
                <w:szCs w:val="21"/>
                <w:lang w:val="zh-CN"/>
              </w:rPr>
            </w:pPr>
          </w:p>
        </w:tc>
        <w:tc>
          <w:tcPr>
            <w:tcW w:w="700" w:type="pct"/>
            <w:vMerge w:val="continue"/>
            <w:tcBorders>
              <w:tl2br w:val="nil"/>
              <w:tr2bl w:val="nil"/>
            </w:tcBorders>
            <w:vAlign w:val="center"/>
          </w:tcPr>
          <w:p w14:paraId="064D2710">
            <w:pPr>
              <w:adjustRightInd w:val="0"/>
              <w:snapToGrid w:val="0"/>
              <w:spacing w:line="240" w:lineRule="auto"/>
              <w:ind w:firstLine="0" w:firstLineChars="0"/>
              <w:jc w:val="center"/>
              <w:rPr>
                <w:rFonts w:hint="default" w:ascii="Times New Roman" w:hAnsi="Times New Roman" w:eastAsia="宋体" w:cs="Times New Roman"/>
                <w:snapToGrid w:val="0"/>
                <w:color w:val="0000FF"/>
                <w:sz w:val="21"/>
                <w:szCs w:val="21"/>
                <w:lang w:val="zh-CN"/>
              </w:rPr>
            </w:pPr>
          </w:p>
        </w:tc>
        <w:tc>
          <w:tcPr>
            <w:tcW w:w="944" w:type="pct"/>
            <w:tcBorders>
              <w:tl2br w:val="nil"/>
              <w:tr2bl w:val="nil"/>
            </w:tcBorders>
            <w:vAlign w:val="center"/>
          </w:tcPr>
          <w:p w14:paraId="56D26717">
            <w:pPr>
              <w:adjustRightInd w:val="0"/>
              <w:snapToGrid w:val="0"/>
              <w:spacing w:line="240" w:lineRule="auto"/>
              <w:ind w:firstLine="0" w:firstLineChars="0"/>
              <w:jc w:val="center"/>
              <w:rPr>
                <w:rFonts w:hint="default" w:ascii="Times New Roman" w:hAnsi="Times New Roman" w:eastAsia="宋体" w:cs="Times New Roman"/>
                <w:snapToGrid w:val="0"/>
                <w:color w:val="0000FF"/>
                <w:sz w:val="21"/>
                <w:szCs w:val="21"/>
                <w:lang w:val="en-US" w:eastAsia="zh-CN"/>
              </w:rPr>
            </w:pPr>
            <w:r>
              <w:rPr>
                <w:rFonts w:hint="default" w:ascii="Times New Roman" w:hAnsi="Times New Roman" w:eastAsia="宋体" w:cs="Times New Roman"/>
                <w:snapToGrid w:val="0"/>
                <w:color w:val="0000FF"/>
                <w:sz w:val="21"/>
                <w:szCs w:val="21"/>
                <w:lang w:val="zh-CN"/>
              </w:rPr>
              <w:t>年平均</w:t>
            </w:r>
          </w:p>
        </w:tc>
        <w:tc>
          <w:tcPr>
            <w:tcW w:w="1552" w:type="pct"/>
            <w:tcBorders>
              <w:tl2br w:val="nil"/>
              <w:tr2bl w:val="nil"/>
            </w:tcBorders>
            <w:vAlign w:val="center"/>
          </w:tcPr>
          <w:p w14:paraId="7540067D">
            <w:pPr>
              <w:widowControl/>
              <w:spacing w:line="240" w:lineRule="auto"/>
              <w:ind w:right="-64" w:rightChars="0" w:firstLine="0" w:firstLineChars="0"/>
              <w:jc w:val="center"/>
              <w:rPr>
                <w:rFonts w:hint="default" w:ascii="Times New Roman" w:hAnsi="Times New Roman" w:eastAsia="宋体" w:cs="Times New Roman"/>
                <w:snapToGrid w:val="0"/>
                <w:color w:val="0000FF"/>
                <w:kern w:val="2"/>
                <w:sz w:val="21"/>
                <w:szCs w:val="21"/>
                <w:lang w:val="en-US" w:eastAsia="zh-CN" w:bidi="ar-SA"/>
              </w:rPr>
            </w:pPr>
            <w:r>
              <w:rPr>
                <w:rFonts w:hint="eastAsia" w:ascii="Times New Roman" w:hAnsi="Times New Roman" w:eastAsia="宋体" w:cs="Times New Roman"/>
                <w:snapToGrid w:val="0"/>
                <w:color w:val="0000FF"/>
                <w:kern w:val="0"/>
                <w:sz w:val="21"/>
                <w:szCs w:val="21"/>
                <w:lang w:val="en-US" w:eastAsia="zh-CN"/>
              </w:rPr>
              <w:t>50</w:t>
            </w:r>
          </w:p>
        </w:tc>
        <w:tc>
          <w:tcPr>
            <w:tcW w:w="2588" w:type="dxa"/>
            <w:tcBorders>
              <w:tl2br w:val="nil"/>
              <w:tr2bl w:val="nil"/>
            </w:tcBorders>
            <w:vAlign w:val="center"/>
          </w:tcPr>
          <w:p w14:paraId="24361A88">
            <w:pPr>
              <w:widowControl/>
              <w:spacing w:line="240" w:lineRule="auto"/>
              <w:ind w:right="-64" w:rightChars="0" w:firstLine="0" w:firstLineChars="0"/>
              <w:jc w:val="center"/>
              <w:rPr>
                <w:rFonts w:hint="default" w:ascii="Times New Roman" w:hAnsi="Times New Roman" w:eastAsia="宋体" w:cs="Times New Roman"/>
                <w:snapToGrid w:val="0"/>
                <w:color w:val="0000FF"/>
                <w:sz w:val="21"/>
                <w:szCs w:val="21"/>
                <w:lang w:val="en-US" w:eastAsia="zh-CN"/>
              </w:rPr>
            </w:pPr>
            <w:r>
              <w:rPr>
                <w:rFonts w:hint="eastAsia" w:ascii="Times New Roman" w:hAnsi="Times New Roman" w:eastAsia="宋体" w:cs="Times New Roman"/>
                <w:snapToGrid w:val="0"/>
                <w:color w:val="0000FF"/>
                <w:kern w:val="0"/>
                <w:sz w:val="21"/>
                <w:szCs w:val="21"/>
                <w:lang w:val="en-US" w:eastAsia="zh-CN"/>
              </w:rPr>
              <w:t>50</w:t>
            </w:r>
          </w:p>
        </w:tc>
      </w:tr>
      <w:tr w14:paraId="5336ED9F">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84" w:type="pct"/>
            <w:tcBorders>
              <w:tl2br w:val="nil"/>
              <w:tr2bl w:val="nil"/>
            </w:tcBorders>
            <w:vAlign w:val="center"/>
          </w:tcPr>
          <w:p w14:paraId="79D539CE">
            <w:pPr>
              <w:adjustRightInd w:val="0"/>
              <w:snapToGrid w:val="0"/>
              <w:spacing w:line="240" w:lineRule="auto"/>
              <w:ind w:firstLine="0" w:firstLineChars="0"/>
              <w:jc w:val="center"/>
              <w:rPr>
                <w:rFonts w:hint="default" w:cs="Times New Roman"/>
                <w:snapToGrid w:val="0"/>
                <w:color w:val="0000FF"/>
                <w:sz w:val="21"/>
                <w:szCs w:val="21"/>
                <w:lang w:val="en-US" w:eastAsia="zh-CN"/>
              </w:rPr>
            </w:pPr>
            <w:bookmarkStart w:id="113" w:name="OLE_LINK3" w:colFirst="1" w:colLast="1"/>
            <w:r>
              <w:rPr>
                <w:rFonts w:hint="eastAsia" w:cs="Times New Roman"/>
                <w:snapToGrid w:val="0"/>
                <w:color w:val="0000FF"/>
                <w:sz w:val="21"/>
                <w:szCs w:val="21"/>
                <w:lang w:val="en-US" w:eastAsia="zh-CN"/>
              </w:rPr>
              <w:t>5</w:t>
            </w:r>
          </w:p>
        </w:tc>
        <w:tc>
          <w:tcPr>
            <w:tcW w:w="700" w:type="pct"/>
            <w:tcBorders>
              <w:tl2br w:val="nil"/>
              <w:tr2bl w:val="nil"/>
            </w:tcBorders>
            <w:vAlign w:val="center"/>
          </w:tcPr>
          <w:p w14:paraId="7F44D341">
            <w:pPr>
              <w:adjustRightInd w:val="0"/>
              <w:snapToGrid w:val="0"/>
              <w:spacing w:line="240" w:lineRule="auto"/>
              <w:ind w:firstLine="0" w:firstLineChars="0"/>
              <w:jc w:val="center"/>
              <w:rPr>
                <w:rFonts w:hint="eastAsia" w:ascii="Times New Roman" w:hAnsi="Times New Roman" w:eastAsia="宋体" w:cs="Times New Roman"/>
                <w:snapToGrid w:val="0"/>
                <w:color w:val="0000FF"/>
                <w:sz w:val="21"/>
                <w:szCs w:val="21"/>
                <w:lang w:val="en-US" w:eastAsia="zh-CN"/>
              </w:rPr>
            </w:pPr>
            <w:r>
              <w:rPr>
                <w:rFonts w:hint="eastAsia" w:cs="Times New Roman"/>
                <w:snapToGrid w:val="0"/>
                <w:color w:val="0000FF"/>
                <w:sz w:val="21"/>
                <w:szCs w:val="21"/>
                <w:lang w:val="en-US" w:eastAsia="zh-CN"/>
              </w:rPr>
              <w:t>氨</w:t>
            </w:r>
          </w:p>
        </w:tc>
        <w:tc>
          <w:tcPr>
            <w:tcW w:w="944" w:type="pct"/>
            <w:tcBorders>
              <w:tl2br w:val="nil"/>
              <w:tr2bl w:val="nil"/>
            </w:tcBorders>
            <w:vAlign w:val="center"/>
          </w:tcPr>
          <w:p w14:paraId="7059DA82">
            <w:pPr>
              <w:adjustRightInd w:val="0"/>
              <w:snapToGrid w:val="0"/>
              <w:spacing w:line="240" w:lineRule="auto"/>
              <w:ind w:firstLine="0" w:firstLineChars="0"/>
              <w:jc w:val="center"/>
              <w:rPr>
                <w:rFonts w:hint="default" w:ascii="Times New Roman" w:hAnsi="Times New Roman" w:eastAsia="宋体" w:cs="Times New Roman"/>
                <w:snapToGrid w:val="0"/>
                <w:color w:val="0000FF"/>
                <w:sz w:val="21"/>
                <w:szCs w:val="21"/>
                <w:lang w:val="zh-CN"/>
              </w:rPr>
            </w:pPr>
            <w:r>
              <w:rPr>
                <w:rFonts w:hint="eastAsia" w:ascii="Times New Roman" w:hAnsi="Times New Roman" w:eastAsia="宋体" w:cs="Times New Roman"/>
                <w:snapToGrid w:val="0"/>
                <w:color w:val="0000FF"/>
                <w:kern w:val="0"/>
                <w:sz w:val="21"/>
                <w:szCs w:val="21"/>
              </w:rPr>
              <w:t>1 小时平均</w:t>
            </w:r>
          </w:p>
        </w:tc>
        <w:tc>
          <w:tcPr>
            <w:tcW w:w="1552" w:type="pct"/>
            <w:tcBorders>
              <w:tl2br w:val="nil"/>
              <w:tr2bl w:val="nil"/>
            </w:tcBorders>
            <w:vAlign w:val="center"/>
          </w:tcPr>
          <w:p w14:paraId="14F71468">
            <w:pPr>
              <w:adjustRightInd w:val="0"/>
              <w:snapToGrid w:val="0"/>
              <w:spacing w:line="240" w:lineRule="auto"/>
              <w:ind w:firstLine="0" w:firstLineChars="0"/>
              <w:jc w:val="center"/>
              <w:rPr>
                <w:rFonts w:hint="default" w:ascii="Times New Roman" w:hAnsi="Times New Roman" w:eastAsia="宋体" w:cs="Times New Roman"/>
                <w:snapToGrid w:val="0"/>
                <w:color w:val="0000FF"/>
                <w:sz w:val="21"/>
                <w:szCs w:val="21"/>
                <w:lang w:val="en-US" w:eastAsia="zh-CN"/>
              </w:rPr>
            </w:pPr>
            <w:r>
              <w:rPr>
                <w:rFonts w:hint="eastAsia" w:cs="Times New Roman"/>
                <w:snapToGrid w:val="0"/>
                <w:color w:val="0000FF"/>
                <w:sz w:val="21"/>
                <w:szCs w:val="21"/>
                <w:lang w:val="en-US" w:eastAsia="zh-CN"/>
              </w:rPr>
              <w:t>200</w:t>
            </w:r>
          </w:p>
        </w:tc>
        <w:tc>
          <w:tcPr>
            <w:tcW w:w="1518" w:type="pct"/>
            <w:tcBorders>
              <w:tl2br w:val="nil"/>
              <w:tr2bl w:val="nil"/>
            </w:tcBorders>
            <w:vAlign w:val="center"/>
          </w:tcPr>
          <w:p w14:paraId="45456140">
            <w:pPr>
              <w:adjustRightInd w:val="0"/>
              <w:snapToGrid w:val="0"/>
              <w:spacing w:line="240" w:lineRule="auto"/>
              <w:ind w:firstLine="0" w:firstLineChars="0"/>
              <w:jc w:val="center"/>
              <w:rPr>
                <w:rFonts w:hint="default" w:ascii="Times New Roman" w:hAnsi="Times New Roman" w:eastAsia="宋体" w:cs="Times New Roman"/>
                <w:snapToGrid w:val="0"/>
                <w:color w:val="0000FF"/>
                <w:sz w:val="21"/>
                <w:szCs w:val="21"/>
                <w:lang w:val="zh-CN"/>
              </w:rPr>
            </w:pPr>
            <w:r>
              <w:rPr>
                <w:rFonts w:hint="eastAsia" w:ascii="宋体" w:hAnsi="宋体" w:eastAsia="宋体" w:cs="宋体"/>
                <w:snapToGrid w:val="0"/>
                <w:color w:val="0000FF"/>
                <w:kern w:val="0"/>
                <w:sz w:val="20"/>
                <w:szCs w:val="20"/>
                <w:lang w:val="en-US" w:eastAsia="zh-CN" w:bidi="ar"/>
              </w:rPr>
              <w:t>《环境影响评价技术导则</w:t>
            </w:r>
            <w:r>
              <w:rPr>
                <w:rFonts w:hint="default" w:ascii="Times New Roman" w:hAnsi="Times New Roman" w:eastAsia="宋体" w:cs="Times New Roman"/>
                <w:snapToGrid w:val="0"/>
                <w:color w:val="0000FF"/>
                <w:kern w:val="0"/>
                <w:sz w:val="20"/>
                <w:szCs w:val="20"/>
                <w:lang w:val="en-US" w:eastAsia="zh-CN" w:bidi="ar"/>
              </w:rPr>
              <w:t>-</w:t>
            </w:r>
            <w:r>
              <w:rPr>
                <w:rFonts w:hint="eastAsia" w:ascii="宋体" w:hAnsi="宋体" w:eastAsia="宋体" w:cs="宋体"/>
                <w:snapToGrid w:val="0"/>
                <w:color w:val="0000FF"/>
                <w:kern w:val="0"/>
                <w:sz w:val="20"/>
                <w:szCs w:val="20"/>
                <w:lang w:val="en-US" w:eastAsia="zh-CN" w:bidi="ar"/>
              </w:rPr>
              <w:t>大气环境》</w:t>
            </w:r>
            <w:r>
              <w:rPr>
                <w:rFonts w:hint="default" w:ascii="Times New Roman" w:hAnsi="Times New Roman" w:eastAsia="宋体" w:cs="Times New Roman"/>
                <w:snapToGrid w:val="0"/>
                <w:color w:val="0000FF"/>
                <w:kern w:val="0"/>
                <w:sz w:val="20"/>
                <w:szCs w:val="20"/>
                <w:lang w:val="en-US" w:eastAsia="zh-CN" w:bidi="ar"/>
              </w:rPr>
              <w:t>(HJ2.2-2018)</w:t>
            </w:r>
            <w:r>
              <w:rPr>
                <w:rFonts w:hint="eastAsia" w:ascii="宋体" w:hAnsi="宋体" w:eastAsia="宋体" w:cs="宋体"/>
                <w:snapToGrid w:val="0"/>
                <w:color w:val="0000FF"/>
                <w:kern w:val="0"/>
                <w:sz w:val="20"/>
                <w:szCs w:val="20"/>
                <w:lang w:val="en-US" w:eastAsia="zh-CN" w:bidi="ar"/>
              </w:rPr>
              <w:t>附录</w:t>
            </w:r>
            <w:r>
              <w:rPr>
                <w:rFonts w:hint="default" w:ascii="Times New Roman" w:hAnsi="Times New Roman" w:eastAsia="宋体" w:cs="Times New Roman"/>
                <w:snapToGrid w:val="0"/>
                <w:color w:val="0000FF"/>
                <w:kern w:val="0"/>
                <w:sz w:val="20"/>
                <w:szCs w:val="20"/>
                <w:lang w:val="en-US" w:eastAsia="zh-CN" w:bidi="ar"/>
              </w:rPr>
              <w:t>D</w:t>
            </w:r>
            <w:r>
              <w:rPr>
                <w:rFonts w:hint="eastAsia" w:ascii="宋体" w:hAnsi="宋体" w:eastAsia="宋体" w:cs="宋体"/>
                <w:snapToGrid w:val="0"/>
                <w:color w:val="0000FF"/>
                <w:kern w:val="0"/>
                <w:sz w:val="20"/>
                <w:szCs w:val="20"/>
                <w:lang w:val="en-US" w:eastAsia="zh-CN" w:bidi="ar"/>
              </w:rPr>
              <w:t>参考限值</w:t>
            </w:r>
          </w:p>
        </w:tc>
      </w:tr>
      <w:bookmarkEnd w:id="113"/>
      <w:tr w14:paraId="0E6E48F5">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84" w:type="pct"/>
            <w:tcBorders>
              <w:tl2br w:val="nil"/>
              <w:tr2bl w:val="nil"/>
            </w:tcBorders>
            <w:vAlign w:val="center"/>
          </w:tcPr>
          <w:p w14:paraId="43564F8E">
            <w:pPr>
              <w:adjustRightInd w:val="0"/>
              <w:snapToGrid w:val="0"/>
              <w:spacing w:line="240" w:lineRule="auto"/>
              <w:ind w:firstLine="0" w:firstLineChars="0"/>
              <w:jc w:val="center"/>
              <w:rPr>
                <w:rFonts w:hint="eastAsia" w:ascii="Times New Roman" w:hAnsi="Times New Roman" w:eastAsia="宋体" w:cs="Times New Roman"/>
                <w:snapToGrid w:val="0"/>
                <w:color w:val="0000FF"/>
                <w:sz w:val="21"/>
                <w:szCs w:val="21"/>
                <w:lang w:val="zh-CN" w:eastAsia="zh-CN"/>
              </w:rPr>
            </w:pPr>
            <w:r>
              <w:rPr>
                <w:rFonts w:hint="eastAsia" w:eastAsia="宋体" w:cs="Times New Roman"/>
                <w:snapToGrid w:val="0"/>
                <w:color w:val="0000FF"/>
                <w:sz w:val="21"/>
                <w:szCs w:val="21"/>
                <w:lang w:val="en-US" w:eastAsia="zh-CN"/>
              </w:rPr>
              <w:t>6</w:t>
            </w:r>
          </w:p>
        </w:tc>
        <w:tc>
          <w:tcPr>
            <w:tcW w:w="700" w:type="pct"/>
            <w:tcBorders>
              <w:tl2br w:val="nil"/>
              <w:tr2bl w:val="nil"/>
            </w:tcBorders>
            <w:vAlign w:val="center"/>
          </w:tcPr>
          <w:p w14:paraId="2EEA2B66">
            <w:pPr>
              <w:adjustRightInd w:val="0"/>
              <w:snapToGrid w:val="0"/>
              <w:spacing w:line="240" w:lineRule="auto"/>
              <w:ind w:firstLine="0" w:firstLineChars="0"/>
              <w:jc w:val="center"/>
              <w:rPr>
                <w:rFonts w:hint="default" w:ascii="Times New Roman" w:hAnsi="Times New Roman" w:eastAsia="宋体" w:cs="Times New Roman"/>
                <w:snapToGrid w:val="0"/>
                <w:color w:val="0000FF"/>
                <w:sz w:val="21"/>
                <w:szCs w:val="21"/>
                <w:lang w:val="zh-CN"/>
              </w:rPr>
            </w:pPr>
            <w:r>
              <w:rPr>
                <w:rFonts w:hint="default" w:ascii="Times New Roman" w:hAnsi="Times New Roman" w:eastAsia="宋体" w:cs="Times New Roman"/>
                <w:snapToGrid w:val="0"/>
                <w:color w:val="0000FF"/>
                <w:sz w:val="21"/>
                <w:szCs w:val="21"/>
                <w:lang w:val="zh-CN"/>
              </w:rPr>
              <w:t>二噁英</w:t>
            </w:r>
          </w:p>
        </w:tc>
        <w:tc>
          <w:tcPr>
            <w:tcW w:w="944" w:type="pct"/>
            <w:tcBorders>
              <w:tl2br w:val="nil"/>
              <w:tr2bl w:val="nil"/>
            </w:tcBorders>
            <w:vAlign w:val="center"/>
          </w:tcPr>
          <w:p w14:paraId="56EC09C3">
            <w:pPr>
              <w:adjustRightInd w:val="0"/>
              <w:snapToGrid w:val="0"/>
              <w:spacing w:line="240" w:lineRule="auto"/>
              <w:ind w:firstLine="0" w:firstLineChars="0"/>
              <w:jc w:val="center"/>
              <w:rPr>
                <w:rFonts w:hint="default" w:ascii="Times New Roman" w:hAnsi="Times New Roman" w:eastAsia="宋体" w:cs="Times New Roman"/>
                <w:snapToGrid w:val="0"/>
                <w:color w:val="0000FF"/>
                <w:kern w:val="2"/>
                <w:sz w:val="21"/>
                <w:szCs w:val="21"/>
                <w:lang w:val="zh-CN" w:eastAsia="zh-CN" w:bidi="ar-SA"/>
              </w:rPr>
            </w:pPr>
            <w:r>
              <w:rPr>
                <w:rFonts w:hint="default" w:ascii="Times New Roman" w:hAnsi="Times New Roman" w:eastAsia="宋体" w:cs="Times New Roman"/>
                <w:snapToGrid w:val="0"/>
                <w:color w:val="0000FF"/>
                <w:sz w:val="21"/>
                <w:szCs w:val="21"/>
                <w:lang w:val="zh-CN"/>
              </w:rPr>
              <w:t>年平均值</w:t>
            </w:r>
          </w:p>
        </w:tc>
        <w:tc>
          <w:tcPr>
            <w:tcW w:w="1552" w:type="pct"/>
            <w:tcBorders>
              <w:tl2br w:val="nil"/>
              <w:tr2bl w:val="nil"/>
            </w:tcBorders>
            <w:vAlign w:val="center"/>
          </w:tcPr>
          <w:p w14:paraId="170F7402">
            <w:pPr>
              <w:adjustRightInd w:val="0"/>
              <w:snapToGrid w:val="0"/>
              <w:spacing w:line="240" w:lineRule="auto"/>
              <w:ind w:firstLine="0" w:firstLineChars="0"/>
              <w:jc w:val="center"/>
              <w:rPr>
                <w:rFonts w:hint="default" w:ascii="Times New Roman" w:hAnsi="Times New Roman" w:eastAsia="宋体" w:cs="Times New Roman"/>
                <w:snapToGrid w:val="0"/>
                <w:color w:val="0000FF"/>
                <w:kern w:val="2"/>
                <w:sz w:val="21"/>
                <w:szCs w:val="21"/>
                <w:lang w:val="zh-CN" w:eastAsia="zh-CN" w:bidi="ar-SA"/>
              </w:rPr>
            </w:pPr>
            <w:r>
              <w:rPr>
                <w:rFonts w:hint="default" w:ascii="Times New Roman" w:hAnsi="Times New Roman" w:eastAsia="宋体" w:cs="Times New Roman"/>
                <w:snapToGrid w:val="0"/>
                <w:color w:val="0000FF"/>
                <w:sz w:val="21"/>
                <w:szCs w:val="21"/>
                <w:lang w:val="zh-CN"/>
              </w:rPr>
              <w:t>0.6</w:t>
            </w:r>
            <w:r>
              <w:rPr>
                <w:rFonts w:hint="default" w:ascii="Times New Roman" w:hAnsi="Times New Roman" w:eastAsia="宋体" w:cs="Times New Roman"/>
                <w:snapToGrid w:val="0"/>
                <w:color w:val="0000FF"/>
                <w:sz w:val="21"/>
                <w:szCs w:val="21"/>
                <w:lang w:val="en-US" w:eastAsia="zh-CN"/>
              </w:rPr>
              <w:t>p</w:t>
            </w:r>
            <w:r>
              <w:rPr>
                <w:rFonts w:hint="default" w:ascii="Times New Roman" w:hAnsi="Times New Roman" w:eastAsia="宋体" w:cs="Times New Roman"/>
                <w:snapToGrid w:val="0"/>
                <w:color w:val="0000FF"/>
                <w:sz w:val="21"/>
                <w:szCs w:val="21"/>
                <w:lang w:val="zh-CN"/>
              </w:rPr>
              <w:t>gTEQ/Nm</w:t>
            </w:r>
            <w:r>
              <w:rPr>
                <w:rFonts w:hint="default" w:ascii="Times New Roman" w:hAnsi="Times New Roman" w:eastAsia="宋体" w:cs="Times New Roman"/>
                <w:snapToGrid w:val="0"/>
                <w:color w:val="0000FF"/>
                <w:sz w:val="21"/>
                <w:szCs w:val="21"/>
                <w:vertAlign w:val="superscript"/>
                <w:lang w:val="zh-CN"/>
              </w:rPr>
              <w:t>3</w:t>
            </w:r>
          </w:p>
        </w:tc>
        <w:tc>
          <w:tcPr>
            <w:tcW w:w="1518" w:type="pct"/>
            <w:tcBorders>
              <w:tl2br w:val="nil"/>
              <w:tr2bl w:val="nil"/>
            </w:tcBorders>
            <w:vAlign w:val="center"/>
          </w:tcPr>
          <w:p w14:paraId="042474E9">
            <w:pPr>
              <w:adjustRightInd w:val="0"/>
              <w:snapToGrid w:val="0"/>
              <w:spacing w:line="240" w:lineRule="auto"/>
              <w:ind w:firstLine="0" w:firstLineChars="0"/>
              <w:jc w:val="center"/>
              <w:rPr>
                <w:rFonts w:hint="default" w:ascii="Times New Roman" w:hAnsi="Times New Roman" w:eastAsia="宋体" w:cs="Times New Roman"/>
                <w:snapToGrid w:val="0"/>
                <w:color w:val="0000FF"/>
                <w:sz w:val="21"/>
                <w:szCs w:val="21"/>
                <w:lang w:val="zh-CN"/>
              </w:rPr>
            </w:pPr>
            <w:r>
              <w:rPr>
                <w:rFonts w:hint="default" w:ascii="Times New Roman" w:hAnsi="Times New Roman" w:eastAsia="宋体" w:cs="Times New Roman"/>
                <w:snapToGrid w:val="0"/>
                <w:color w:val="0000FF"/>
                <w:sz w:val="21"/>
                <w:szCs w:val="21"/>
                <w:lang w:val="zh-CN"/>
              </w:rPr>
              <w:t>按照环发【2008】82号文要求参照执行日本标准</w:t>
            </w:r>
          </w:p>
        </w:tc>
      </w:tr>
    </w:tbl>
    <w:p w14:paraId="4D643E40">
      <w:pPr>
        <w:tabs>
          <w:tab w:val="left" w:pos="6580"/>
        </w:tabs>
        <w:spacing w:line="500" w:lineRule="exact"/>
        <w:ind w:firstLine="482" w:firstLineChars="200"/>
        <w:rPr>
          <w:rFonts w:ascii="Times New Roman" w:hAnsi="Times New Roman" w:cs="Times New Roman"/>
          <w:b/>
        </w:rPr>
      </w:pPr>
      <w:r>
        <w:rPr>
          <w:rFonts w:ascii="Times New Roman" w:hAnsi="Times New Roman" w:cs="Times New Roman"/>
          <w:b/>
        </w:rPr>
        <w:t>（2）估算模型参数</w:t>
      </w:r>
    </w:p>
    <w:p w14:paraId="37FD0482">
      <w:pPr>
        <w:tabs>
          <w:tab w:val="left" w:pos="6580"/>
        </w:tabs>
        <w:spacing w:line="500" w:lineRule="exact"/>
        <w:ind w:firstLine="480" w:firstLineChars="200"/>
        <w:rPr>
          <w:rFonts w:hint="eastAsia" w:ascii="Times New Roman" w:hAnsi="Times New Roman" w:cs="Times New Roman"/>
        </w:rPr>
      </w:pPr>
      <w:r>
        <w:rPr>
          <w:rFonts w:ascii="Times New Roman" w:hAnsi="Times New Roman" w:cs="Times New Roman"/>
        </w:rPr>
        <w:t>采用《环境影响评价技术导则 大气环境》（HJ2.2-2018）附录A推荐模型清单中的估算模型AERSCREEN进行估算，估算模型选用参数见表1.5-2。</w:t>
      </w:r>
    </w:p>
    <w:p w14:paraId="460AE846">
      <w:pPr>
        <w:pStyle w:val="112"/>
        <w:snapToGrid/>
      </w:pPr>
      <w:r>
        <w:t>表1.5-2  估算模型参数一览表</w:t>
      </w:r>
    </w:p>
    <w:tbl>
      <w:tblPr>
        <w:tblStyle w:val="56"/>
        <w:tblW w:w="4930" w:type="pct"/>
        <w:jc w:val="center"/>
        <w:tblBorders>
          <w:top w:val="thinThickSmallGap" w:color="auto" w:sz="12" w:space="0"/>
          <w:left w:val="none" w:color="auto" w:sz="0" w:space="0"/>
          <w:bottom w:val="thickThinSmallGap" w:color="auto" w:sz="12" w:space="0"/>
          <w:right w:val="none" w:color="auto" w:sz="0" w:space="0"/>
          <w:insideH w:val="single" w:color="auto" w:sz="2" w:space="0"/>
          <w:insideV w:val="single" w:color="auto" w:sz="2" w:space="0"/>
        </w:tblBorders>
        <w:tblLayout w:type="autofit"/>
        <w:tblCellMar>
          <w:top w:w="0" w:type="dxa"/>
          <w:left w:w="108" w:type="dxa"/>
          <w:bottom w:w="0" w:type="dxa"/>
          <w:right w:w="108" w:type="dxa"/>
        </w:tblCellMar>
      </w:tblPr>
      <w:tblGrid>
        <w:gridCol w:w="2390"/>
        <w:gridCol w:w="2391"/>
        <w:gridCol w:w="3818"/>
      </w:tblGrid>
      <w:tr w14:paraId="67DFDE58">
        <w:tblPrEx>
          <w:tblBorders>
            <w:top w:val="thinThickSmallGap" w:color="auto" w:sz="12" w:space="0"/>
            <w:left w:val="none" w:color="auto" w:sz="0" w:space="0"/>
            <w:bottom w:val="thickThinSmallGap" w:color="auto" w:sz="12"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97" w:hRule="atLeast"/>
          <w:tblHeader/>
          <w:jc w:val="center"/>
        </w:trPr>
        <w:tc>
          <w:tcPr>
            <w:tcW w:w="2780" w:type="pct"/>
            <w:gridSpan w:val="2"/>
            <w:tcBorders>
              <w:top w:val="thinThickSmallGap" w:color="auto" w:sz="12" w:space="0"/>
              <w:bottom w:val="single" w:color="auto" w:sz="2" w:space="0"/>
            </w:tcBorders>
            <w:shd w:val="clear" w:color="auto" w:fill="E0E0E0"/>
            <w:noWrap w:val="0"/>
            <w:vAlign w:val="center"/>
          </w:tcPr>
          <w:p w14:paraId="40222594">
            <w:pPr>
              <w:pStyle w:val="248"/>
              <w:spacing w:line="240" w:lineRule="auto"/>
              <w:rPr>
                <w:rFonts w:ascii="Times New Roman" w:hAnsi="Times New Roman"/>
                <w:kern w:val="2"/>
                <w:szCs w:val="21"/>
              </w:rPr>
            </w:pPr>
            <w:r>
              <w:rPr>
                <w:rFonts w:ascii="Times New Roman" w:hAnsi="Times New Roman"/>
                <w:kern w:val="2"/>
                <w:szCs w:val="21"/>
              </w:rPr>
              <w:t>参数</w:t>
            </w:r>
          </w:p>
        </w:tc>
        <w:tc>
          <w:tcPr>
            <w:tcW w:w="2220" w:type="pct"/>
            <w:tcBorders>
              <w:top w:val="thinThickSmallGap" w:color="auto" w:sz="12" w:space="0"/>
              <w:bottom w:val="single" w:color="auto" w:sz="2" w:space="0"/>
            </w:tcBorders>
            <w:shd w:val="clear" w:color="auto" w:fill="E0E0E0"/>
            <w:noWrap w:val="0"/>
            <w:vAlign w:val="center"/>
          </w:tcPr>
          <w:p w14:paraId="058A4736">
            <w:pPr>
              <w:pStyle w:val="248"/>
              <w:spacing w:line="240" w:lineRule="auto"/>
              <w:rPr>
                <w:rFonts w:ascii="Times New Roman" w:hAnsi="Times New Roman"/>
                <w:kern w:val="2"/>
                <w:szCs w:val="21"/>
              </w:rPr>
            </w:pPr>
            <w:r>
              <w:rPr>
                <w:rFonts w:ascii="Times New Roman" w:hAnsi="Times New Roman"/>
                <w:kern w:val="2"/>
                <w:szCs w:val="21"/>
              </w:rPr>
              <w:t>取值</w:t>
            </w:r>
          </w:p>
        </w:tc>
      </w:tr>
      <w:tr w14:paraId="4C16F409">
        <w:tblPrEx>
          <w:tblBorders>
            <w:top w:val="thinThickSmallGap" w:color="auto" w:sz="12" w:space="0"/>
            <w:left w:val="none" w:color="auto" w:sz="0" w:space="0"/>
            <w:bottom w:val="thickThinSmallGap" w:color="auto" w:sz="12"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2390" w:type="dxa"/>
            <w:vMerge w:val="restart"/>
            <w:tcBorders>
              <w:top w:val="single" w:color="auto" w:sz="2" w:space="0"/>
            </w:tcBorders>
            <w:noWrap w:val="0"/>
            <w:vAlign w:val="center"/>
          </w:tcPr>
          <w:p w14:paraId="2C341210">
            <w:pPr>
              <w:spacing w:line="300" w:lineRule="exact"/>
              <w:jc w:val="center"/>
              <w:rPr>
                <w:rFonts w:hint="eastAsia" w:ascii="Times New Roman" w:hAnsi="Times New Roman" w:cs="Times New Roman"/>
                <w:sz w:val="21"/>
                <w:szCs w:val="21"/>
              </w:rPr>
            </w:pPr>
            <w:r>
              <w:rPr>
                <w:rFonts w:hint="default" w:ascii="Times New Roman" w:hAnsi="Times New Roman" w:cs="Times New Roman"/>
                <w:sz w:val="21"/>
                <w:szCs w:val="21"/>
                <w:lang w:val="en-US" w:eastAsia="zh-CN"/>
              </w:rPr>
              <w:t>城市农村/选项</w:t>
            </w:r>
          </w:p>
        </w:tc>
        <w:tc>
          <w:tcPr>
            <w:tcW w:w="2391" w:type="dxa"/>
            <w:tcBorders>
              <w:top w:val="single" w:color="auto" w:sz="2" w:space="0"/>
            </w:tcBorders>
            <w:noWrap w:val="0"/>
            <w:vAlign w:val="center"/>
          </w:tcPr>
          <w:p w14:paraId="16DD399D">
            <w:pPr>
              <w:spacing w:line="300" w:lineRule="exact"/>
              <w:jc w:val="center"/>
              <w:rPr>
                <w:rFonts w:hint="eastAsia" w:ascii="Times New Roman" w:hAnsi="Times New Roman" w:cs="Times New Roman"/>
                <w:sz w:val="21"/>
                <w:szCs w:val="21"/>
              </w:rPr>
            </w:pPr>
            <w:r>
              <w:rPr>
                <w:rFonts w:hint="default" w:ascii="Times New Roman" w:hAnsi="Times New Roman" w:cs="Times New Roman"/>
                <w:sz w:val="21"/>
                <w:szCs w:val="21"/>
                <w:lang w:val="en-US" w:eastAsia="zh-CN"/>
              </w:rPr>
              <w:t>城市/农村</w:t>
            </w:r>
          </w:p>
        </w:tc>
        <w:tc>
          <w:tcPr>
            <w:tcW w:w="3818" w:type="dxa"/>
            <w:tcBorders>
              <w:top w:val="single" w:color="auto" w:sz="2" w:space="0"/>
            </w:tcBorders>
            <w:noWrap w:val="0"/>
            <w:vAlign w:val="center"/>
          </w:tcPr>
          <w:p w14:paraId="4A2391A4">
            <w:pPr>
              <w:spacing w:line="300" w:lineRule="exact"/>
              <w:jc w:val="center"/>
              <w:rPr>
                <w:rFonts w:hint="eastAsia" w:ascii="Times New Roman" w:hAnsi="Times New Roman" w:cs="Times New Roman"/>
                <w:sz w:val="21"/>
                <w:szCs w:val="21"/>
              </w:rPr>
            </w:pPr>
            <w:r>
              <w:rPr>
                <w:rFonts w:hint="default" w:ascii="Times New Roman" w:hAnsi="Times New Roman" w:cs="Times New Roman"/>
                <w:sz w:val="21"/>
                <w:szCs w:val="21"/>
                <w:lang w:val="en-US" w:eastAsia="zh-CN"/>
              </w:rPr>
              <w:t>农村</w:t>
            </w:r>
          </w:p>
        </w:tc>
      </w:tr>
      <w:tr w14:paraId="03DBDE01">
        <w:tblPrEx>
          <w:tblBorders>
            <w:top w:val="thinThickSmallGap" w:color="auto" w:sz="12" w:space="0"/>
            <w:left w:val="none" w:color="auto" w:sz="0" w:space="0"/>
            <w:bottom w:val="thickThinSmallGap" w:color="auto" w:sz="12"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2390" w:type="dxa"/>
            <w:vMerge w:val="continue"/>
            <w:noWrap w:val="0"/>
            <w:vAlign w:val="center"/>
          </w:tcPr>
          <w:p w14:paraId="7C0C1860">
            <w:pPr>
              <w:spacing w:line="300" w:lineRule="exact"/>
              <w:jc w:val="center"/>
              <w:rPr>
                <w:rFonts w:hint="eastAsia" w:ascii="Times New Roman" w:hAnsi="Times New Roman" w:cs="Times New Roman"/>
                <w:sz w:val="21"/>
                <w:szCs w:val="21"/>
              </w:rPr>
            </w:pPr>
          </w:p>
        </w:tc>
        <w:tc>
          <w:tcPr>
            <w:tcW w:w="2391" w:type="dxa"/>
            <w:noWrap w:val="0"/>
            <w:vAlign w:val="center"/>
          </w:tcPr>
          <w:p w14:paraId="11C4343B">
            <w:pPr>
              <w:spacing w:line="300" w:lineRule="exact"/>
              <w:jc w:val="center"/>
              <w:rPr>
                <w:rFonts w:hint="eastAsia" w:ascii="Times New Roman" w:hAnsi="Times New Roman" w:cs="Times New Roman"/>
                <w:sz w:val="21"/>
                <w:szCs w:val="21"/>
              </w:rPr>
            </w:pPr>
            <w:r>
              <w:rPr>
                <w:rFonts w:hint="default" w:ascii="Times New Roman" w:hAnsi="Times New Roman" w:cs="Times New Roman"/>
                <w:sz w:val="21"/>
                <w:szCs w:val="21"/>
                <w:lang w:val="en-US" w:eastAsia="zh-CN"/>
              </w:rPr>
              <w:t>人口数(城市人口数)</w:t>
            </w:r>
          </w:p>
        </w:tc>
        <w:tc>
          <w:tcPr>
            <w:tcW w:w="3818" w:type="dxa"/>
            <w:noWrap w:val="0"/>
            <w:vAlign w:val="center"/>
          </w:tcPr>
          <w:p w14:paraId="2C6B1533">
            <w:pPr>
              <w:spacing w:line="300" w:lineRule="exact"/>
              <w:jc w:val="center"/>
              <w:rPr>
                <w:rFonts w:hint="eastAsia" w:ascii="Times New Roman" w:hAnsi="Times New Roman" w:cs="Times New Roman"/>
                <w:sz w:val="21"/>
                <w:szCs w:val="21"/>
              </w:rPr>
            </w:pPr>
            <w:r>
              <w:rPr>
                <w:rFonts w:hint="default" w:ascii="Times New Roman" w:hAnsi="Times New Roman" w:cs="Times New Roman"/>
                <w:sz w:val="21"/>
                <w:szCs w:val="21"/>
                <w:lang w:val="en-US" w:eastAsia="zh-CN"/>
              </w:rPr>
              <w:t>/</w:t>
            </w:r>
          </w:p>
        </w:tc>
      </w:tr>
      <w:tr w14:paraId="2052B5F5">
        <w:tblPrEx>
          <w:tblBorders>
            <w:top w:val="thinThickSmallGap" w:color="auto" w:sz="12" w:space="0"/>
            <w:left w:val="none" w:color="auto" w:sz="0" w:space="0"/>
            <w:bottom w:val="thickThinSmallGap" w:color="auto" w:sz="12"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4781" w:type="dxa"/>
            <w:gridSpan w:val="2"/>
            <w:noWrap w:val="0"/>
            <w:vAlign w:val="center"/>
          </w:tcPr>
          <w:p w14:paraId="370A3125">
            <w:pPr>
              <w:spacing w:line="300" w:lineRule="exact"/>
              <w:jc w:val="center"/>
              <w:rPr>
                <w:rFonts w:hint="eastAsia" w:ascii="Times New Roman" w:hAnsi="Times New Roman" w:cs="Times New Roman"/>
                <w:sz w:val="21"/>
                <w:szCs w:val="21"/>
              </w:rPr>
            </w:pPr>
            <w:r>
              <w:rPr>
                <w:rFonts w:hint="default" w:ascii="Times New Roman" w:hAnsi="Times New Roman" w:cs="Times New Roman"/>
                <w:sz w:val="21"/>
                <w:szCs w:val="21"/>
                <w:lang w:val="en-US" w:eastAsia="zh-CN"/>
              </w:rPr>
              <w:t>最高环境温度℃</w:t>
            </w:r>
          </w:p>
        </w:tc>
        <w:tc>
          <w:tcPr>
            <w:tcW w:w="3818" w:type="dxa"/>
            <w:noWrap w:val="0"/>
            <w:vAlign w:val="center"/>
          </w:tcPr>
          <w:p w14:paraId="791C7466">
            <w:pPr>
              <w:spacing w:line="300" w:lineRule="exact"/>
              <w:jc w:val="center"/>
              <w:rPr>
                <w:rFonts w:hint="eastAsia" w:ascii="Times New Roman" w:hAnsi="Times New Roman" w:cs="Times New Roman"/>
                <w:sz w:val="21"/>
                <w:szCs w:val="21"/>
              </w:rPr>
            </w:pPr>
            <w:r>
              <w:rPr>
                <w:rFonts w:hint="default" w:ascii="Times New Roman" w:hAnsi="Times New Roman" w:cs="Times New Roman"/>
                <w:sz w:val="21"/>
                <w:szCs w:val="21"/>
              </w:rPr>
              <w:t>3</w:t>
            </w:r>
            <w:r>
              <w:rPr>
                <w:rFonts w:hint="default" w:ascii="Times New Roman" w:hAnsi="Times New Roman" w:cs="Times New Roman"/>
                <w:sz w:val="21"/>
                <w:szCs w:val="21"/>
                <w:lang w:val="en-US" w:eastAsia="zh-CN"/>
              </w:rPr>
              <w:t>9.4</w:t>
            </w:r>
          </w:p>
        </w:tc>
      </w:tr>
      <w:tr w14:paraId="3419AE12">
        <w:tblPrEx>
          <w:tblBorders>
            <w:top w:val="thinThickSmallGap" w:color="auto" w:sz="12" w:space="0"/>
            <w:left w:val="none" w:color="auto" w:sz="0" w:space="0"/>
            <w:bottom w:val="thickThinSmallGap" w:color="auto" w:sz="12"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4781" w:type="dxa"/>
            <w:gridSpan w:val="2"/>
            <w:noWrap w:val="0"/>
            <w:vAlign w:val="center"/>
          </w:tcPr>
          <w:p w14:paraId="0C9D31D1">
            <w:pPr>
              <w:spacing w:line="300" w:lineRule="exact"/>
              <w:jc w:val="center"/>
              <w:rPr>
                <w:rFonts w:hint="eastAsia" w:ascii="Times New Roman" w:hAnsi="Times New Roman" w:cs="Times New Roman"/>
                <w:sz w:val="21"/>
                <w:szCs w:val="21"/>
              </w:rPr>
            </w:pPr>
            <w:r>
              <w:rPr>
                <w:rFonts w:hint="default" w:ascii="Times New Roman" w:hAnsi="Times New Roman" w:cs="Times New Roman"/>
                <w:sz w:val="21"/>
                <w:szCs w:val="21"/>
                <w:lang w:val="en-US" w:eastAsia="zh-CN"/>
              </w:rPr>
              <w:t>最低环境温度℃</w:t>
            </w:r>
          </w:p>
        </w:tc>
        <w:tc>
          <w:tcPr>
            <w:tcW w:w="3818" w:type="dxa"/>
            <w:noWrap w:val="0"/>
            <w:vAlign w:val="center"/>
          </w:tcPr>
          <w:p w14:paraId="0F202B01">
            <w:pPr>
              <w:spacing w:line="300" w:lineRule="exact"/>
              <w:jc w:val="center"/>
              <w:rPr>
                <w:rFonts w:hint="eastAsia" w:ascii="Times New Roman" w:hAnsi="Times New Roman" w:cs="Times New Roman"/>
                <w:sz w:val="21"/>
                <w:szCs w:val="21"/>
              </w:rPr>
            </w:pPr>
            <w:r>
              <w:rPr>
                <w:rFonts w:hint="default" w:ascii="Times New Roman" w:hAnsi="Times New Roman" w:cs="Times New Roman"/>
                <w:sz w:val="21"/>
                <w:szCs w:val="21"/>
              </w:rPr>
              <w:t>-</w:t>
            </w:r>
            <w:r>
              <w:rPr>
                <w:rFonts w:hint="default" w:ascii="Times New Roman" w:hAnsi="Times New Roman" w:cs="Times New Roman"/>
                <w:sz w:val="21"/>
                <w:szCs w:val="21"/>
                <w:lang w:val="en-US" w:eastAsia="zh-CN"/>
              </w:rPr>
              <w:t>27.7</w:t>
            </w:r>
          </w:p>
        </w:tc>
      </w:tr>
      <w:tr w14:paraId="360241A3">
        <w:tblPrEx>
          <w:tblBorders>
            <w:top w:val="thinThickSmallGap" w:color="auto" w:sz="12" w:space="0"/>
            <w:left w:val="none" w:color="auto" w:sz="0" w:space="0"/>
            <w:bottom w:val="thickThinSmallGap" w:color="auto" w:sz="12"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4781" w:type="dxa"/>
            <w:gridSpan w:val="2"/>
            <w:noWrap w:val="0"/>
            <w:vAlign w:val="center"/>
          </w:tcPr>
          <w:p w14:paraId="27CCE66F">
            <w:pPr>
              <w:spacing w:line="300" w:lineRule="exact"/>
              <w:jc w:val="center"/>
              <w:rPr>
                <w:rFonts w:hint="eastAsia" w:ascii="Times New Roman" w:hAnsi="Times New Roman" w:cs="Times New Roman"/>
                <w:sz w:val="21"/>
                <w:szCs w:val="21"/>
              </w:rPr>
            </w:pPr>
            <w:r>
              <w:rPr>
                <w:rFonts w:hint="default" w:ascii="Times New Roman" w:hAnsi="Times New Roman" w:cs="Times New Roman"/>
                <w:sz w:val="21"/>
                <w:szCs w:val="21"/>
                <w:lang w:val="en-US" w:eastAsia="zh-CN"/>
              </w:rPr>
              <w:t>土地利用类型</w:t>
            </w:r>
          </w:p>
        </w:tc>
        <w:tc>
          <w:tcPr>
            <w:tcW w:w="3818" w:type="dxa"/>
            <w:noWrap w:val="0"/>
            <w:vAlign w:val="center"/>
          </w:tcPr>
          <w:p w14:paraId="53F1DDEA">
            <w:pPr>
              <w:spacing w:line="300" w:lineRule="exact"/>
              <w:jc w:val="center"/>
              <w:rPr>
                <w:rFonts w:hint="eastAsia" w:ascii="Times New Roman" w:hAnsi="Times New Roman" w:cs="Times New Roman"/>
                <w:sz w:val="21"/>
                <w:szCs w:val="21"/>
              </w:rPr>
            </w:pPr>
            <w:r>
              <w:rPr>
                <w:rFonts w:hint="default" w:ascii="Times New Roman" w:hAnsi="Times New Roman" w:cs="Times New Roman"/>
                <w:sz w:val="21"/>
                <w:szCs w:val="21"/>
              </w:rPr>
              <w:t>落叶林、针叶林</w:t>
            </w:r>
          </w:p>
        </w:tc>
      </w:tr>
      <w:tr w14:paraId="765965D2">
        <w:tblPrEx>
          <w:tblBorders>
            <w:top w:val="thinThickSmallGap" w:color="auto" w:sz="12" w:space="0"/>
            <w:left w:val="none" w:color="auto" w:sz="0" w:space="0"/>
            <w:bottom w:val="thickThinSmallGap" w:color="auto" w:sz="12"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4781" w:type="dxa"/>
            <w:gridSpan w:val="2"/>
            <w:noWrap w:val="0"/>
            <w:vAlign w:val="center"/>
          </w:tcPr>
          <w:p w14:paraId="03F6CE33">
            <w:pPr>
              <w:spacing w:line="300" w:lineRule="exact"/>
              <w:jc w:val="center"/>
              <w:rPr>
                <w:rFonts w:hint="eastAsia" w:ascii="Times New Roman" w:hAnsi="Times New Roman" w:cs="Times New Roman"/>
                <w:sz w:val="21"/>
                <w:szCs w:val="21"/>
              </w:rPr>
            </w:pPr>
            <w:r>
              <w:rPr>
                <w:rFonts w:hint="default" w:ascii="Times New Roman" w:hAnsi="Times New Roman" w:cs="Times New Roman"/>
                <w:sz w:val="21"/>
                <w:szCs w:val="21"/>
                <w:lang w:val="en-US" w:eastAsia="zh-CN"/>
              </w:rPr>
              <w:t>区域湿度条件</w:t>
            </w:r>
          </w:p>
        </w:tc>
        <w:tc>
          <w:tcPr>
            <w:tcW w:w="3818" w:type="dxa"/>
            <w:noWrap w:val="0"/>
            <w:vAlign w:val="center"/>
          </w:tcPr>
          <w:p w14:paraId="4290E5D0">
            <w:pPr>
              <w:spacing w:line="300" w:lineRule="exact"/>
              <w:jc w:val="center"/>
              <w:rPr>
                <w:rFonts w:hint="eastAsia" w:ascii="Times New Roman" w:hAnsi="Times New Roman" w:cs="Times New Roman"/>
                <w:sz w:val="21"/>
                <w:szCs w:val="21"/>
              </w:rPr>
            </w:pPr>
            <w:r>
              <w:rPr>
                <w:rFonts w:hint="default" w:ascii="Times New Roman" w:hAnsi="Times New Roman" w:cs="Times New Roman"/>
                <w:sz w:val="21"/>
                <w:szCs w:val="21"/>
              </w:rPr>
              <w:t>中等湿度气候</w:t>
            </w:r>
          </w:p>
        </w:tc>
      </w:tr>
      <w:tr w14:paraId="56ADE235">
        <w:tblPrEx>
          <w:tblBorders>
            <w:top w:val="thinThickSmallGap" w:color="auto" w:sz="12" w:space="0"/>
            <w:left w:val="none" w:color="auto" w:sz="0" w:space="0"/>
            <w:bottom w:val="thickThinSmallGap" w:color="auto" w:sz="12"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2390" w:type="dxa"/>
            <w:vMerge w:val="restart"/>
            <w:noWrap w:val="0"/>
            <w:vAlign w:val="center"/>
          </w:tcPr>
          <w:p w14:paraId="28DCEC27">
            <w:pPr>
              <w:spacing w:line="300" w:lineRule="exact"/>
              <w:jc w:val="center"/>
              <w:rPr>
                <w:rFonts w:hint="eastAsia" w:ascii="Times New Roman" w:hAnsi="Times New Roman" w:cs="Times New Roman"/>
                <w:sz w:val="21"/>
                <w:szCs w:val="21"/>
              </w:rPr>
            </w:pPr>
            <w:r>
              <w:rPr>
                <w:rFonts w:hint="default" w:ascii="Times New Roman" w:hAnsi="Times New Roman" w:cs="Times New Roman"/>
                <w:sz w:val="21"/>
                <w:szCs w:val="21"/>
                <w:lang w:val="en-US" w:eastAsia="zh-CN"/>
              </w:rPr>
              <w:t>是否考虑地形</w:t>
            </w:r>
          </w:p>
        </w:tc>
        <w:tc>
          <w:tcPr>
            <w:tcW w:w="2391" w:type="dxa"/>
            <w:noWrap w:val="0"/>
            <w:vAlign w:val="center"/>
          </w:tcPr>
          <w:p w14:paraId="49537769">
            <w:pPr>
              <w:spacing w:line="300" w:lineRule="exact"/>
              <w:jc w:val="center"/>
              <w:rPr>
                <w:rFonts w:hint="eastAsia" w:ascii="Times New Roman" w:hAnsi="Times New Roman" w:cs="Times New Roman"/>
                <w:sz w:val="21"/>
                <w:szCs w:val="21"/>
              </w:rPr>
            </w:pPr>
            <w:r>
              <w:rPr>
                <w:rFonts w:hint="default" w:ascii="Times New Roman" w:hAnsi="Times New Roman" w:cs="Times New Roman"/>
                <w:sz w:val="21"/>
                <w:szCs w:val="21"/>
                <w:lang w:val="en-US" w:eastAsia="zh-CN"/>
              </w:rPr>
              <w:t>考虑地形</w:t>
            </w:r>
          </w:p>
        </w:tc>
        <w:tc>
          <w:tcPr>
            <w:tcW w:w="3818" w:type="dxa"/>
            <w:noWrap w:val="0"/>
            <w:vAlign w:val="center"/>
          </w:tcPr>
          <w:p w14:paraId="3BD9E6EF">
            <w:pPr>
              <w:spacing w:line="300" w:lineRule="exact"/>
              <w:jc w:val="center"/>
              <w:rPr>
                <w:rFonts w:hint="eastAsia" w:ascii="Times New Roman" w:hAnsi="Times New Roman" w:cs="Times New Roman"/>
                <w:sz w:val="21"/>
                <w:szCs w:val="21"/>
              </w:rPr>
            </w:pPr>
            <w:r>
              <w:rPr>
                <w:rFonts w:hint="default" w:ascii="Times New Roman" w:hAnsi="Times New Roman" w:cs="Times New Roman"/>
                <w:sz w:val="21"/>
                <w:szCs w:val="21"/>
                <w:lang w:val="en-US" w:eastAsia="zh-CN"/>
              </w:rPr>
              <w:t>否</w:t>
            </w:r>
          </w:p>
        </w:tc>
      </w:tr>
      <w:tr w14:paraId="7187B5DC">
        <w:tblPrEx>
          <w:tblBorders>
            <w:top w:val="thinThickSmallGap" w:color="auto" w:sz="12" w:space="0"/>
            <w:left w:val="none" w:color="auto" w:sz="0" w:space="0"/>
            <w:bottom w:val="thickThinSmallGap" w:color="auto" w:sz="12"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2390" w:type="dxa"/>
            <w:vMerge w:val="continue"/>
            <w:noWrap w:val="0"/>
            <w:vAlign w:val="center"/>
          </w:tcPr>
          <w:p w14:paraId="7D711EC3">
            <w:pPr>
              <w:spacing w:line="300" w:lineRule="exact"/>
              <w:jc w:val="center"/>
              <w:rPr>
                <w:rFonts w:hint="eastAsia" w:ascii="Times New Roman" w:hAnsi="Times New Roman" w:cs="Times New Roman"/>
                <w:sz w:val="21"/>
                <w:szCs w:val="21"/>
              </w:rPr>
            </w:pPr>
          </w:p>
        </w:tc>
        <w:tc>
          <w:tcPr>
            <w:tcW w:w="2391" w:type="dxa"/>
            <w:noWrap w:val="0"/>
            <w:vAlign w:val="center"/>
          </w:tcPr>
          <w:p w14:paraId="474ACCB1">
            <w:pPr>
              <w:spacing w:line="300" w:lineRule="exact"/>
              <w:jc w:val="center"/>
              <w:rPr>
                <w:rFonts w:hint="eastAsia" w:ascii="Times New Roman" w:hAnsi="Times New Roman" w:cs="Times New Roman"/>
                <w:sz w:val="21"/>
                <w:szCs w:val="21"/>
              </w:rPr>
            </w:pPr>
            <w:r>
              <w:rPr>
                <w:rFonts w:hint="default" w:ascii="Times New Roman" w:hAnsi="Times New Roman" w:cs="Times New Roman"/>
                <w:sz w:val="21"/>
                <w:szCs w:val="21"/>
                <w:lang w:val="en-US" w:eastAsia="zh-CN"/>
              </w:rPr>
              <w:t>地形数据分辨率(m)</w:t>
            </w:r>
          </w:p>
        </w:tc>
        <w:tc>
          <w:tcPr>
            <w:tcW w:w="3818" w:type="dxa"/>
            <w:noWrap w:val="0"/>
            <w:vAlign w:val="center"/>
          </w:tcPr>
          <w:p w14:paraId="401A2554">
            <w:pPr>
              <w:spacing w:line="300" w:lineRule="exact"/>
              <w:jc w:val="center"/>
              <w:rPr>
                <w:rFonts w:hint="eastAsia" w:ascii="Times New Roman" w:hAnsi="Times New Roman" w:cs="Times New Roman"/>
                <w:sz w:val="21"/>
                <w:szCs w:val="21"/>
              </w:rPr>
            </w:pPr>
            <w:r>
              <w:rPr>
                <w:rFonts w:hint="default" w:ascii="Times New Roman" w:hAnsi="Times New Roman" w:cs="Times New Roman"/>
                <w:sz w:val="21"/>
                <w:szCs w:val="21"/>
                <w:lang w:val="en-US" w:eastAsia="zh-CN"/>
              </w:rPr>
              <w:t>90</w:t>
            </w:r>
          </w:p>
        </w:tc>
      </w:tr>
      <w:tr w14:paraId="4BB326C3">
        <w:tblPrEx>
          <w:tblBorders>
            <w:top w:val="thinThickSmallGap" w:color="auto" w:sz="12" w:space="0"/>
            <w:left w:val="none" w:color="auto" w:sz="0" w:space="0"/>
            <w:bottom w:val="thickThinSmallGap" w:color="auto" w:sz="12"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2390" w:type="dxa"/>
            <w:vMerge w:val="restart"/>
            <w:noWrap w:val="0"/>
            <w:vAlign w:val="center"/>
          </w:tcPr>
          <w:p w14:paraId="34C166D5">
            <w:pPr>
              <w:spacing w:line="300" w:lineRule="exact"/>
              <w:jc w:val="center"/>
              <w:rPr>
                <w:rFonts w:hint="eastAsia" w:ascii="Times New Roman" w:hAnsi="Times New Roman" w:cs="Times New Roman"/>
                <w:sz w:val="21"/>
                <w:szCs w:val="21"/>
              </w:rPr>
            </w:pPr>
            <w:r>
              <w:rPr>
                <w:rFonts w:hint="default" w:ascii="Times New Roman" w:hAnsi="Times New Roman" w:cs="Times New Roman"/>
                <w:sz w:val="21"/>
                <w:szCs w:val="21"/>
                <w:lang w:val="en-US" w:eastAsia="zh-CN"/>
              </w:rPr>
              <w:t>是否考虑海岸线熏烟</w:t>
            </w:r>
          </w:p>
        </w:tc>
        <w:tc>
          <w:tcPr>
            <w:tcW w:w="2391" w:type="dxa"/>
            <w:noWrap w:val="0"/>
            <w:vAlign w:val="center"/>
          </w:tcPr>
          <w:p w14:paraId="6528B36C">
            <w:pPr>
              <w:spacing w:line="300" w:lineRule="exact"/>
              <w:jc w:val="center"/>
              <w:rPr>
                <w:rFonts w:hint="eastAsia" w:ascii="Times New Roman" w:hAnsi="Times New Roman" w:cs="Times New Roman"/>
                <w:sz w:val="21"/>
                <w:szCs w:val="21"/>
              </w:rPr>
            </w:pPr>
            <w:r>
              <w:rPr>
                <w:rFonts w:hint="default" w:ascii="Times New Roman" w:hAnsi="Times New Roman" w:cs="Times New Roman"/>
                <w:sz w:val="21"/>
                <w:szCs w:val="21"/>
                <w:lang w:val="en-US" w:eastAsia="zh-CN"/>
              </w:rPr>
              <w:t>考虑海岸线熏烟</w:t>
            </w:r>
          </w:p>
        </w:tc>
        <w:tc>
          <w:tcPr>
            <w:tcW w:w="3818" w:type="dxa"/>
            <w:noWrap w:val="0"/>
            <w:vAlign w:val="center"/>
          </w:tcPr>
          <w:p w14:paraId="158DA8EB">
            <w:pPr>
              <w:spacing w:line="300" w:lineRule="exact"/>
              <w:jc w:val="center"/>
              <w:rPr>
                <w:rFonts w:hint="eastAsia" w:ascii="Times New Roman" w:hAnsi="Times New Roman" w:cs="Times New Roman"/>
                <w:sz w:val="21"/>
                <w:szCs w:val="21"/>
              </w:rPr>
            </w:pPr>
            <w:r>
              <w:rPr>
                <w:rFonts w:hint="default" w:ascii="Times New Roman" w:hAnsi="Times New Roman" w:cs="Times New Roman"/>
                <w:sz w:val="21"/>
                <w:szCs w:val="21"/>
                <w:lang w:val="en-US" w:eastAsia="zh-CN"/>
              </w:rPr>
              <w:t>否</w:t>
            </w:r>
          </w:p>
        </w:tc>
      </w:tr>
      <w:tr w14:paraId="7CB60517">
        <w:tblPrEx>
          <w:tblBorders>
            <w:top w:val="thinThickSmallGap" w:color="auto" w:sz="12" w:space="0"/>
            <w:left w:val="none" w:color="auto" w:sz="0" w:space="0"/>
            <w:bottom w:val="thickThinSmallGap" w:color="auto" w:sz="12"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2390" w:type="dxa"/>
            <w:vMerge w:val="continue"/>
            <w:noWrap w:val="0"/>
            <w:vAlign w:val="center"/>
          </w:tcPr>
          <w:p w14:paraId="1E8C22FA">
            <w:pPr>
              <w:spacing w:line="300" w:lineRule="exact"/>
              <w:jc w:val="center"/>
              <w:rPr>
                <w:rFonts w:hint="eastAsia" w:ascii="Times New Roman" w:hAnsi="Times New Roman" w:cs="Times New Roman"/>
                <w:sz w:val="21"/>
                <w:szCs w:val="21"/>
              </w:rPr>
            </w:pPr>
          </w:p>
        </w:tc>
        <w:tc>
          <w:tcPr>
            <w:tcW w:w="2391" w:type="dxa"/>
            <w:noWrap w:val="0"/>
            <w:vAlign w:val="center"/>
          </w:tcPr>
          <w:p w14:paraId="7C152933">
            <w:pPr>
              <w:spacing w:line="300" w:lineRule="exact"/>
              <w:jc w:val="center"/>
              <w:rPr>
                <w:rFonts w:hint="eastAsia" w:ascii="Times New Roman" w:hAnsi="Times New Roman" w:cs="Times New Roman"/>
                <w:sz w:val="21"/>
                <w:szCs w:val="21"/>
              </w:rPr>
            </w:pPr>
            <w:r>
              <w:rPr>
                <w:rFonts w:hint="default" w:ascii="Times New Roman" w:hAnsi="Times New Roman" w:cs="Times New Roman"/>
                <w:sz w:val="21"/>
                <w:szCs w:val="21"/>
                <w:lang w:val="en-US" w:eastAsia="zh-CN"/>
              </w:rPr>
              <w:t>海岸线距离/m</w:t>
            </w:r>
          </w:p>
        </w:tc>
        <w:tc>
          <w:tcPr>
            <w:tcW w:w="3818" w:type="dxa"/>
            <w:noWrap w:val="0"/>
            <w:vAlign w:val="center"/>
          </w:tcPr>
          <w:p w14:paraId="682FF3A5">
            <w:pPr>
              <w:spacing w:line="300" w:lineRule="exact"/>
              <w:jc w:val="center"/>
              <w:rPr>
                <w:rFonts w:hint="eastAsia" w:ascii="Times New Roman" w:hAnsi="Times New Roman" w:cs="Times New Roman"/>
                <w:sz w:val="21"/>
                <w:szCs w:val="21"/>
              </w:rPr>
            </w:pPr>
            <w:r>
              <w:rPr>
                <w:rFonts w:hint="default" w:ascii="Times New Roman" w:hAnsi="Times New Roman" w:cs="Times New Roman"/>
                <w:sz w:val="21"/>
                <w:szCs w:val="21"/>
                <w:lang w:val="en-US" w:eastAsia="zh-CN"/>
              </w:rPr>
              <w:t>/</w:t>
            </w:r>
          </w:p>
        </w:tc>
      </w:tr>
      <w:tr w14:paraId="2B1E4AA1">
        <w:tblPrEx>
          <w:tblBorders>
            <w:top w:val="thinThickSmallGap" w:color="auto" w:sz="12" w:space="0"/>
            <w:left w:val="none" w:color="auto" w:sz="0" w:space="0"/>
            <w:bottom w:val="thickThinSmallGap" w:color="auto" w:sz="12"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2390" w:type="dxa"/>
            <w:vMerge w:val="continue"/>
            <w:noWrap w:val="0"/>
            <w:vAlign w:val="center"/>
          </w:tcPr>
          <w:p w14:paraId="129415FE">
            <w:pPr>
              <w:spacing w:line="300" w:lineRule="exact"/>
              <w:jc w:val="center"/>
              <w:rPr>
                <w:rFonts w:hint="eastAsia" w:ascii="Times New Roman" w:hAnsi="Times New Roman" w:cs="Times New Roman"/>
                <w:sz w:val="21"/>
                <w:szCs w:val="21"/>
              </w:rPr>
            </w:pPr>
          </w:p>
        </w:tc>
        <w:tc>
          <w:tcPr>
            <w:tcW w:w="2391" w:type="dxa"/>
            <w:noWrap w:val="0"/>
            <w:vAlign w:val="center"/>
          </w:tcPr>
          <w:p w14:paraId="3F02795F">
            <w:pPr>
              <w:spacing w:line="300" w:lineRule="exact"/>
              <w:jc w:val="center"/>
              <w:rPr>
                <w:rFonts w:hint="eastAsia" w:ascii="Times New Roman" w:hAnsi="Times New Roman" w:cs="Times New Roman"/>
                <w:sz w:val="21"/>
                <w:szCs w:val="21"/>
              </w:rPr>
            </w:pPr>
            <w:r>
              <w:rPr>
                <w:rFonts w:hint="default" w:ascii="Times New Roman" w:hAnsi="Times New Roman" w:cs="Times New Roman"/>
                <w:sz w:val="21"/>
                <w:szCs w:val="21"/>
                <w:lang w:val="en-US" w:eastAsia="zh-CN"/>
              </w:rPr>
              <w:t>海岸线方向/o</w:t>
            </w:r>
          </w:p>
        </w:tc>
        <w:tc>
          <w:tcPr>
            <w:tcW w:w="3818" w:type="dxa"/>
            <w:noWrap w:val="0"/>
            <w:vAlign w:val="center"/>
          </w:tcPr>
          <w:p w14:paraId="18240031">
            <w:pPr>
              <w:spacing w:line="300" w:lineRule="exact"/>
              <w:jc w:val="center"/>
              <w:rPr>
                <w:rFonts w:hint="eastAsia" w:ascii="Times New Roman" w:hAnsi="Times New Roman" w:cs="Times New Roman"/>
                <w:sz w:val="21"/>
                <w:szCs w:val="21"/>
              </w:rPr>
            </w:pPr>
            <w:r>
              <w:rPr>
                <w:rFonts w:hint="default" w:ascii="Times New Roman" w:hAnsi="Times New Roman" w:cs="Times New Roman"/>
                <w:sz w:val="21"/>
                <w:szCs w:val="21"/>
                <w:lang w:val="en-US" w:eastAsia="zh-CN"/>
              </w:rPr>
              <w:t>/</w:t>
            </w:r>
          </w:p>
        </w:tc>
      </w:tr>
    </w:tbl>
    <w:p w14:paraId="6839371F">
      <w:pPr>
        <w:tabs>
          <w:tab w:val="left" w:pos="6580"/>
        </w:tabs>
        <w:spacing w:line="500" w:lineRule="exact"/>
        <w:ind w:firstLine="482" w:firstLineChars="200"/>
        <w:rPr>
          <w:rFonts w:ascii="Times New Roman" w:hAnsi="Times New Roman" w:cs="Times New Roman"/>
          <w:b/>
        </w:rPr>
      </w:pPr>
      <w:r>
        <w:rPr>
          <w:rFonts w:ascii="Times New Roman" w:hAnsi="Times New Roman" w:cs="Times New Roman"/>
          <w:b/>
        </w:rPr>
        <w:t>（4）</w:t>
      </w:r>
      <w:r>
        <w:rPr>
          <w:rFonts w:hint="eastAsia" w:ascii="Times New Roman" w:hAnsi="Times New Roman" w:cs="Times New Roman"/>
          <w:b/>
        </w:rPr>
        <w:t>污染源参数</w:t>
      </w:r>
    </w:p>
    <w:p w14:paraId="61C29A90">
      <w:pPr>
        <w:pStyle w:val="112"/>
        <w:snapToGrid/>
      </w:pPr>
      <w:r>
        <w:t>表1.</w:t>
      </w:r>
      <w:r>
        <w:rPr>
          <w:rFonts w:hint="eastAsia"/>
        </w:rPr>
        <w:t>5</w:t>
      </w:r>
      <w:r>
        <w:t xml:space="preserve">-3  </w:t>
      </w:r>
      <w:r>
        <w:rPr>
          <w:rFonts w:hint="eastAsia"/>
        </w:rPr>
        <w:t>有组织</w:t>
      </w:r>
      <w:r>
        <w:t>污染源参数</w:t>
      </w:r>
    </w:p>
    <w:tbl>
      <w:tblPr>
        <w:tblStyle w:val="57"/>
        <w:tblW w:w="5046" w:type="pct"/>
        <w:jc w:val="center"/>
        <w:tblBorders>
          <w:top w:val="double" w:color="auto" w:sz="4" w:space="0"/>
          <w:left w:val="none" w:color="auto" w:sz="0" w:space="0"/>
          <w:bottom w:val="double" w:color="auto" w:sz="4"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341"/>
        <w:gridCol w:w="540"/>
        <w:gridCol w:w="615"/>
        <w:gridCol w:w="617"/>
        <w:gridCol w:w="659"/>
        <w:gridCol w:w="600"/>
        <w:gridCol w:w="676"/>
        <w:gridCol w:w="706"/>
        <w:gridCol w:w="691"/>
        <w:gridCol w:w="504"/>
        <w:gridCol w:w="675"/>
        <w:gridCol w:w="384"/>
        <w:gridCol w:w="906"/>
        <w:gridCol w:w="887"/>
      </w:tblGrid>
      <w:tr w14:paraId="4354E7B5">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93" w:type="pct"/>
            <w:vMerge w:val="restart"/>
            <w:shd w:val="clear" w:color="auto" w:fill="D7D7D7" w:themeFill="background1" w:themeFillShade="D8"/>
            <w:vAlign w:val="center"/>
          </w:tcPr>
          <w:p w14:paraId="7687C097">
            <w:pPr>
              <w:widowControl w:val="0"/>
              <w:spacing w:line="300" w:lineRule="exact"/>
              <w:jc w:val="center"/>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编号</w:t>
            </w:r>
          </w:p>
        </w:tc>
        <w:tc>
          <w:tcPr>
            <w:tcW w:w="306" w:type="pct"/>
            <w:vMerge w:val="restart"/>
            <w:shd w:val="clear" w:color="auto" w:fill="D7D7D7" w:themeFill="background1" w:themeFillShade="D8"/>
            <w:vAlign w:val="center"/>
          </w:tcPr>
          <w:p w14:paraId="1E11DACF">
            <w:pPr>
              <w:widowControl w:val="0"/>
              <w:spacing w:line="300" w:lineRule="exact"/>
              <w:jc w:val="center"/>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名称</w:t>
            </w:r>
          </w:p>
        </w:tc>
        <w:tc>
          <w:tcPr>
            <w:tcW w:w="699" w:type="pct"/>
            <w:gridSpan w:val="2"/>
            <w:shd w:val="clear" w:color="auto" w:fill="D7D7D7" w:themeFill="background1" w:themeFillShade="D8"/>
            <w:vAlign w:val="center"/>
          </w:tcPr>
          <w:p w14:paraId="186A4B9B">
            <w:pPr>
              <w:widowControl w:val="0"/>
              <w:spacing w:line="300" w:lineRule="exact"/>
              <w:jc w:val="center"/>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排气筒底部坐标/m</w:t>
            </w:r>
          </w:p>
        </w:tc>
        <w:tc>
          <w:tcPr>
            <w:tcW w:w="374" w:type="pct"/>
            <w:vMerge w:val="restart"/>
            <w:shd w:val="clear" w:color="auto" w:fill="D7D7D7" w:themeFill="background1" w:themeFillShade="D8"/>
            <w:vAlign w:val="center"/>
          </w:tcPr>
          <w:p w14:paraId="2798573A">
            <w:pPr>
              <w:widowControl w:val="0"/>
              <w:spacing w:line="300" w:lineRule="exact"/>
              <w:jc w:val="center"/>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排气筒底部海拔高度/m</w:t>
            </w:r>
          </w:p>
        </w:tc>
        <w:tc>
          <w:tcPr>
            <w:tcW w:w="340" w:type="pct"/>
            <w:vMerge w:val="restart"/>
            <w:shd w:val="clear" w:color="auto" w:fill="D7D7D7" w:themeFill="background1" w:themeFillShade="D8"/>
            <w:vAlign w:val="center"/>
          </w:tcPr>
          <w:p w14:paraId="48F06043">
            <w:pPr>
              <w:widowControl w:val="0"/>
              <w:spacing w:line="300" w:lineRule="exact"/>
              <w:jc w:val="center"/>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排气筒高度/m</w:t>
            </w:r>
          </w:p>
        </w:tc>
        <w:tc>
          <w:tcPr>
            <w:tcW w:w="384" w:type="pct"/>
            <w:vMerge w:val="restart"/>
            <w:shd w:val="clear" w:color="auto" w:fill="D7D7D7" w:themeFill="background1" w:themeFillShade="D8"/>
            <w:vAlign w:val="center"/>
          </w:tcPr>
          <w:p w14:paraId="5D219303">
            <w:pPr>
              <w:widowControl w:val="0"/>
              <w:spacing w:line="300" w:lineRule="exact"/>
              <w:jc w:val="center"/>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排气筒出口内径/m</w:t>
            </w:r>
          </w:p>
        </w:tc>
        <w:tc>
          <w:tcPr>
            <w:tcW w:w="401" w:type="pct"/>
            <w:vMerge w:val="restart"/>
            <w:shd w:val="clear" w:color="auto" w:fill="D7D7D7" w:themeFill="background1" w:themeFillShade="D8"/>
            <w:vAlign w:val="center"/>
          </w:tcPr>
          <w:p w14:paraId="0D437012">
            <w:pPr>
              <w:widowControl w:val="0"/>
              <w:spacing w:line="300" w:lineRule="exact"/>
              <w:jc w:val="center"/>
              <w:rPr>
                <w:rFonts w:hint="default" w:ascii="Times New Roman" w:hAnsi="Times New Roman" w:cs="Times New Roman"/>
                <w:sz w:val="21"/>
                <w:szCs w:val="21"/>
                <w:lang w:val="en-US" w:eastAsia="zh-CN"/>
              </w:rPr>
            </w:pPr>
            <w:bookmarkStart w:id="114" w:name="OLE_LINK1"/>
            <w:r>
              <w:rPr>
                <w:rFonts w:hint="default" w:ascii="Times New Roman" w:hAnsi="Times New Roman" w:cs="Times New Roman"/>
                <w:sz w:val="21"/>
                <w:szCs w:val="21"/>
                <w:lang w:val="en-US" w:eastAsia="zh-CN"/>
              </w:rPr>
              <w:t>烟气</w:t>
            </w:r>
            <w:bookmarkEnd w:id="114"/>
            <w:r>
              <w:rPr>
                <w:rFonts w:hint="default" w:ascii="Times New Roman" w:hAnsi="Times New Roman" w:cs="Times New Roman"/>
                <w:sz w:val="21"/>
                <w:szCs w:val="21"/>
                <w:lang w:val="en-US" w:eastAsia="zh-CN"/>
              </w:rPr>
              <w:t>流量</w:t>
            </w:r>
          </w:p>
          <w:p w14:paraId="2C932F4D">
            <w:pPr>
              <w:widowControl w:val="0"/>
              <w:spacing w:line="300" w:lineRule="exact"/>
              <w:jc w:val="center"/>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m3/h</w:t>
            </w:r>
          </w:p>
        </w:tc>
        <w:tc>
          <w:tcPr>
            <w:tcW w:w="392" w:type="pct"/>
            <w:vMerge w:val="restart"/>
            <w:shd w:val="clear" w:color="auto" w:fill="D7D7D7" w:themeFill="background1" w:themeFillShade="D8"/>
            <w:vAlign w:val="center"/>
          </w:tcPr>
          <w:p w14:paraId="4A82AC04">
            <w:pPr>
              <w:widowControl w:val="0"/>
              <w:spacing w:line="300" w:lineRule="exact"/>
              <w:jc w:val="center"/>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烟气流速m/s</w:t>
            </w:r>
          </w:p>
        </w:tc>
        <w:tc>
          <w:tcPr>
            <w:tcW w:w="286" w:type="pct"/>
            <w:vMerge w:val="restart"/>
            <w:shd w:val="clear" w:color="auto" w:fill="D7D7D7" w:themeFill="background1" w:themeFillShade="D8"/>
            <w:vAlign w:val="center"/>
          </w:tcPr>
          <w:p w14:paraId="2CE0F99D">
            <w:pPr>
              <w:widowControl w:val="0"/>
              <w:spacing w:line="300" w:lineRule="exact"/>
              <w:jc w:val="center"/>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烟气温度/℃</w:t>
            </w:r>
          </w:p>
        </w:tc>
        <w:tc>
          <w:tcPr>
            <w:tcW w:w="383" w:type="pct"/>
            <w:vMerge w:val="restart"/>
            <w:shd w:val="clear" w:color="auto" w:fill="D7D7D7" w:themeFill="background1" w:themeFillShade="D8"/>
            <w:vAlign w:val="center"/>
          </w:tcPr>
          <w:p w14:paraId="16661658">
            <w:pPr>
              <w:widowControl w:val="0"/>
              <w:spacing w:line="300" w:lineRule="exact"/>
              <w:jc w:val="center"/>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年排放小时数/h</w:t>
            </w:r>
          </w:p>
        </w:tc>
        <w:tc>
          <w:tcPr>
            <w:tcW w:w="217" w:type="pct"/>
            <w:vMerge w:val="restart"/>
            <w:shd w:val="clear" w:color="auto" w:fill="D7D7D7" w:themeFill="background1" w:themeFillShade="D8"/>
            <w:vAlign w:val="center"/>
          </w:tcPr>
          <w:p w14:paraId="30777B17">
            <w:pPr>
              <w:widowControl w:val="0"/>
              <w:spacing w:line="300" w:lineRule="exact"/>
              <w:jc w:val="center"/>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排放工况</w:t>
            </w:r>
          </w:p>
        </w:tc>
        <w:tc>
          <w:tcPr>
            <w:tcW w:w="514" w:type="pct"/>
            <w:vMerge w:val="restart"/>
            <w:shd w:val="clear" w:color="auto" w:fill="D7D7D7" w:themeFill="background1" w:themeFillShade="D8"/>
            <w:vAlign w:val="center"/>
          </w:tcPr>
          <w:p w14:paraId="431638A8">
            <w:pPr>
              <w:widowControl w:val="0"/>
              <w:spacing w:line="300" w:lineRule="exact"/>
              <w:jc w:val="center"/>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污染物</w:t>
            </w:r>
          </w:p>
        </w:tc>
        <w:tc>
          <w:tcPr>
            <w:tcW w:w="504" w:type="pct"/>
            <w:vMerge w:val="restart"/>
            <w:shd w:val="clear" w:color="auto" w:fill="D7D7D7" w:themeFill="background1" w:themeFillShade="D8"/>
            <w:vAlign w:val="center"/>
          </w:tcPr>
          <w:p w14:paraId="1258EF0C">
            <w:pPr>
              <w:widowControl w:val="0"/>
              <w:spacing w:line="300" w:lineRule="exact"/>
              <w:jc w:val="center"/>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排放速率kg/h</w:t>
            </w:r>
          </w:p>
        </w:tc>
      </w:tr>
      <w:tr w14:paraId="77237EA1">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93" w:type="pct"/>
            <w:vMerge w:val="continue"/>
            <w:shd w:val="clear" w:color="auto" w:fill="D7D7D7" w:themeFill="background1" w:themeFillShade="D8"/>
            <w:vAlign w:val="center"/>
          </w:tcPr>
          <w:p w14:paraId="731FEC50">
            <w:pPr>
              <w:widowControl w:val="0"/>
              <w:spacing w:line="300" w:lineRule="exact"/>
              <w:jc w:val="center"/>
              <w:rPr>
                <w:rFonts w:hint="default" w:ascii="Times New Roman" w:hAnsi="Times New Roman" w:cs="Times New Roman"/>
                <w:sz w:val="21"/>
                <w:szCs w:val="21"/>
                <w:lang w:val="en-US" w:eastAsia="zh-CN"/>
              </w:rPr>
            </w:pPr>
          </w:p>
        </w:tc>
        <w:tc>
          <w:tcPr>
            <w:tcW w:w="306" w:type="pct"/>
            <w:vMerge w:val="continue"/>
            <w:shd w:val="clear" w:color="auto" w:fill="D7D7D7" w:themeFill="background1" w:themeFillShade="D8"/>
            <w:vAlign w:val="center"/>
          </w:tcPr>
          <w:p w14:paraId="13077EF1">
            <w:pPr>
              <w:widowControl w:val="0"/>
              <w:spacing w:line="300" w:lineRule="exact"/>
              <w:jc w:val="center"/>
              <w:rPr>
                <w:rFonts w:hint="default" w:ascii="Times New Roman" w:hAnsi="Times New Roman" w:cs="Times New Roman"/>
                <w:sz w:val="21"/>
                <w:szCs w:val="21"/>
                <w:lang w:val="en-US" w:eastAsia="zh-CN"/>
              </w:rPr>
            </w:pPr>
          </w:p>
        </w:tc>
        <w:tc>
          <w:tcPr>
            <w:tcW w:w="349" w:type="pct"/>
            <w:shd w:val="clear" w:color="auto" w:fill="D7D7D7" w:themeFill="background1" w:themeFillShade="D8"/>
            <w:vAlign w:val="center"/>
          </w:tcPr>
          <w:p w14:paraId="4E5FEFDD">
            <w:pPr>
              <w:widowControl w:val="0"/>
              <w:spacing w:line="300" w:lineRule="exact"/>
              <w:jc w:val="center"/>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X</w:t>
            </w:r>
          </w:p>
        </w:tc>
        <w:tc>
          <w:tcPr>
            <w:tcW w:w="350" w:type="pct"/>
            <w:shd w:val="clear" w:color="auto" w:fill="D7D7D7" w:themeFill="background1" w:themeFillShade="D8"/>
            <w:vAlign w:val="center"/>
          </w:tcPr>
          <w:p w14:paraId="72B894D9">
            <w:pPr>
              <w:widowControl w:val="0"/>
              <w:spacing w:line="300" w:lineRule="exact"/>
              <w:jc w:val="center"/>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Y</w:t>
            </w:r>
          </w:p>
        </w:tc>
        <w:tc>
          <w:tcPr>
            <w:tcW w:w="374" w:type="pct"/>
            <w:vMerge w:val="continue"/>
            <w:shd w:val="clear" w:color="auto" w:fill="D7D7D7" w:themeFill="background1" w:themeFillShade="D8"/>
            <w:vAlign w:val="center"/>
          </w:tcPr>
          <w:p w14:paraId="31DA6294">
            <w:pPr>
              <w:widowControl w:val="0"/>
              <w:spacing w:line="300" w:lineRule="exact"/>
              <w:jc w:val="center"/>
              <w:rPr>
                <w:rFonts w:hint="default" w:ascii="Times New Roman" w:hAnsi="Times New Roman" w:cs="Times New Roman"/>
                <w:sz w:val="21"/>
                <w:szCs w:val="21"/>
                <w:lang w:val="en-US" w:eastAsia="zh-CN"/>
              </w:rPr>
            </w:pPr>
          </w:p>
        </w:tc>
        <w:tc>
          <w:tcPr>
            <w:tcW w:w="340" w:type="pct"/>
            <w:vMerge w:val="continue"/>
            <w:shd w:val="clear" w:color="auto" w:fill="D7D7D7" w:themeFill="background1" w:themeFillShade="D8"/>
            <w:vAlign w:val="center"/>
          </w:tcPr>
          <w:p w14:paraId="75ADF313">
            <w:pPr>
              <w:widowControl w:val="0"/>
              <w:spacing w:line="300" w:lineRule="exact"/>
              <w:jc w:val="center"/>
              <w:rPr>
                <w:rFonts w:hint="default" w:ascii="Times New Roman" w:hAnsi="Times New Roman" w:cs="Times New Roman"/>
                <w:sz w:val="21"/>
                <w:szCs w:val="21"/>
                <w:lang w:val="en-US" w:eastAsia="zh-CN"/>
              </w:rPr>
            </w:pPr>
          </w:p>
        </w:tc>
        <w:tc>
          <w:tcPr>
            <w:tcW w:w="384" w:type="pct"/>
            <w:vMerge w:val="continue"/>
            <w:shd w:val="clear" w:color="auto" w:fill="D7D7D7" w:themeFill="background1" w:themeFillShade="D8"/>
            <w:vAlign w:val="center"/>
          </w:tcPr>
          <w:p w14:paraId="710BC3EF">
            <w:pPr>
              <w:widowControl w:val="0"/>
              <w:spacing w:line="300" w:lineRule="exact"/>
              <w:jc w:val="center"/>
              <w:rPr>
                <w:rFonts w:hint="default" w:ascii="Times New Roman" w:hAnsi="Times New Roman" w:cs="Times New Roman"/>
                <w:sz w:val="21"/>
                <w:szCs w:val="21"/>
                <w:lang w:val="en-US" w:eastAsia="zh-CN"/>
              </w:rPr>
            </w:pPr>
          </w:p>
        </w:tc>
        <w:tc>
          <w:tcPr>
            <w:tcW w:w="401" w:type="pct"/>
            <w:vMerge w:val="continue"/>
            <w:shd w:val="clear" w:color="auto" w:fill="D7D7D7" w:themeFill="background1" w:themeFillShade="D8"/>
            <w:vAlign w:val="center"/>
          </w:tcPr>
          <w:p w14:paraId="6FE1D4B4">
            <w:pPr>
              <w:widowControl w:val="0"/>
              <w:spacing w:line="300" w:lineRule="exact"/>
              <w:jc w:val="center"/>
              <w:rPr>
                <w:rFonts w:hint="default" w:ascii="Times New Roman" w:hAnsi="Times New Roman" w:cs="Times New Roman"/>
                <w:sz w:val="21"/>
                <w:szCs w:val="21"/>
                <w:lang w:val="en-US" w:eastAsia="zh-CN"/>
              </w:rPr>
            </w:pPr>
          </w:p>
        </w:tc>
        <w:tc>
          <w:tcPr>
            <w:tcW w:w="392" w:type="pct"/>
            <w:vMerge w:val="continue"/>
            <w:shd w:val="clear" w:color="auto" w:fill="D7D7D7" w:themeFill="background1" w:themeFillShade="D8"/>
            <w:vAlign w:val="center"/>
          </w:tcPr>
          <w:p w14:paraId="7244D731">
            <w:pPr>
              <w:widowControl w:val="0"/>
              <w:spacing w:line="300" w:lineRule="exact"/>
              <w:jc w:val="center"/>
              <w:rPr>
                <w:rFonts w:hint="default" w:ascii="Times New Roman" w:hAnsi="Times New Roman" w:cs="Times New Roman"/>
                <w:sz w:val="21"/>
                <w:szCs w:val="21"/>
                <w:lang w:val="en-US" w:eastAsia="zh-CN"/>
              </w:rPr>
            </w:pPr>
          </w:p>
        </w:tc>
        <w:tc>
          <w:tcPr>
            <w:tcW w:w="286" w:type="pct"/>
            <w:vMerge w:val="continue"/>
            <w:shd w:val="clear" w:color="auto" w:fill="D7D7D7" w:themeFill="background1" w:themeFillShade="D8"/>
            <w:vAlign w:val="center"/>
          </w:tcPr>
          <w:p w14:paraId="78A594CB">
            <w:pPr>
              <w:widowControl w:val="0"/>
              <w:spacing w:line="300" w:lineRule="exact"/>
              <w:jc w:val="center"/>
              <w:rPr>
                <w:rFonts w:hint="default" w:ascii="Times New Roman" w:hAnsi="Times New Roman" w:cs="Times New Roman"/>
                <w:sz w:val="21"/>
                <w:szCs w:val="21"/>
                <w:lang w:val="en-US" w:eastAsia="zh-CN"/>
              </w:rPr>
            </w:pPr>
          </w:p>
        </w:tc>
        <w:tc>
          <w:tcPr>
            <w:tcW w:w="383" w:type="pct"/>
            <w:vMerge w:val="continue"/>
            <w:shd w:val="clear" w:color="auto" w:fill="D7D7D7" w:themeFill="background1" w:themeFillShade="D8"/>
            <w:vAlign w:val="center"/>
          </w:tcPr>
          <w:p w14:paraId="3ECFA819">
            <w:pPr>
              <w:widowControl w:val="0"/>
              <w:spacing w:line="300" w:lineRule="exact"/>
              <w:jc w:val="center"/>
              <w:rPr>
                <w:rFonts w:hint="default" w:ascii="Times New Roman" w:hAnsi="Times New Roman" w:cs="Times New Roman"/>
                <w:sz w:val="21"/>
                <w:szCs w:val="21"/>
                <w:lang w:val="en-US" w:eastAsia="zh-CN"/>
              </w:rPr>
            </w:pPr>
          </w:p>
        </w:tc>
        <w:tc>
          <w:tcPr>
            <w:tcW w:w="217" w:type="pct"/>
            <w:vMerge w:val="continue"/>
            <w:shd w:val="clear" w:color="auto" w:fill="D7D7D7" w:themeFill="background1" w:themeFillShade="D8"/>
            <w:vAlign w:val="center"/>
          </w:tcPr>
          <w:p w14:paraId="3E51B746">
            <w:pPr>
              <w:widowControl w:val="0"/>
              <w:spacing w:line="300" w:lineRule="exact"/>
              <w:jc w:val="center"/>
              <w:rPr>
                <w:rFonts w:hint="default" w:ascii="Times New Roman" w:hAnsi="Times New Roman" w:cs="Times New Roman"/>
                <w:sz w:val="21"/>
                <w:szCs w:val="21"/>
                <w:lang w:val="en-US" w:eastAsia="zh-CN"/>
              </w:rPr>
            </w:pPr>
          </w:p>
        </w:tc>
        <w:tc>
          <w:tcPr>
            <w:tcW w:w="514" w:type="pct"/>
            <w:vMerge w:val="continue"/>
            <w:shd w:val="clear" w:color="auto" w:fill="D7D7D7" w:themeFill="background1" w:themeFillShade="D8"/>
            <w:vAlign w:val="center"/>
          </w:tcPr>
          <w:p w14:paraId="1094164B">
            <w:pPr>
              <w:widowControl w:val="0"/>
              <w:spacing w:line="300" w:lineRule="exact"/>
              <w:jc w:val="center"/>
              <w:rPr>
                <w:rFonts w:hint="default" w:ascii="Times New Roman" w:hAnsi="Times New Roman" w:cs="Times New Roman"/>
                <w:sz w:val="21"/>
                <w:szCs w:val="21"/>
                <w:lang w:val="en-US" w:eastAsia="zh-CN"/>
              </w:rPr>
            </w:pPr>
          </w:p>
        </w:tc>
        <w:tc>
          <w:tcPr>
            <w:tcW w:w="504" w:type="pct"/>
            <w:vMerge w:val="continue"/>
            <w:shd w:val="clear" w:color="auto" w:fill="D7D7D7" w:themeFill="background1" w:themeFillShade="D8"/>
            <w:vAlign w:val="center"/>
          </w:tcPr>
          <w:p w14:paraId="1B24BB35">
            <w:pPr>
              <w:widowControl w:val="0"/>
              <w:spacing w:line="300" w:lineRule="exact"/>
              <w:jc w:val="center"/>
              <w:rPr>
                <w:rFonts w:hint="default" w:ascii="Times New Roman" w:hAnsi="Times New Roman" w:cs="Times New Roman"/>
                <w:sz w:val="21"/>
                <w:szCs w:val="21"/>
                <w:lang w:val="en-US" w:eastAsia="zh-CN"/>
              </w:rPr>
            </w:pPr>
          </w:p>
        </w:tc>
      </w:tr>
      <w:tr w14:paraId="4C9595AB">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93" w:type="pct"/>
            <w:vMerge w:val="restart"/>
            <w:vAlign w:val="center"/>
          </w:tcPr>
          <w:p w14:paraId="16B06995">
            <w:pPr>
              <w:widowControl w:val="0"/>
              <w:spacing w:line="300" w:lineRule="exact"/>
              <w:jc w:val="center"/>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1</w:t>
            </w:r>
          </w:p>
        </w:tc>
        <w:tc>
          <w:tcPr>
            <w:tcW w:w="306" w:type="pct"/>
            <w:vMerge w:val="restart"/>
            <w:vAlign w:val="center"/>
          </w:tcPr>
          <w:p w14:paraId="06668B57">
            <w:pPr>
              <w:widowControl w:val="0"/>
              <w:spacing w:line="300" w:lineRule="exact"/>
              <w:jc w:val="center"/>
              <w:rPr>
                <w:rFonts w:hint="default" w:ascii="Times New Roman" w:hAnsi="Times New Roman" w:cs="Times New Roman"/>
                <w:sz w:val="21"/>
                <w:szCs w:val="21"/>
                <w:lang w:val="en-US" w:eastAsia="zh-CN"/>
              </w:rPr>
            </w:pPr>
            <w:r>
              <w:rPr>
                <w:rFonts w:hint="eastAsia" w:ascii="Times New Roman" w:hAnsi="Times New Roman" w:cs="Times New Roman"/>
                <w:sz w:val="21"/>
                <w:szCs w:val="21"/>
                <w:lang w:val="en-US" w:eastAsia="zh-CN"/>
              </w:rPr>
              <w:t>DA002</w:t>
            </w:r>
          </w:p>
        </w:tc>
        <w:tc>
          <w:tcPr>
            <w:tcW w:w="349" w:type="pct"/>
            <w:vMerge w:val="restart"/>
            <w:vAlign w:val="center"/>
          </w:tcPr>
          <w:p w14:paraId="6424A51F">
            <w:pPr>
              <w:widowControl w:val="0"/>
              <w:spacing w:line="300" w:lineRule="exact"/>
              <w:jc w:val="center"/>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3</w:t>
            </w:r>
          </w:p>
        </w:tc>
        <w:tc>
          <w:tcPr>
            <w:tcW w:w="350" w:type="pct"/>
            <w:vMerge w:val="restart"/>
            <w:vAlign w:val="center"/>
          </w:tcPr>
          <w:p w14:paraId="78A98B55">
            <w:pPr>
              <w:widowControl w:val="0"/>
              <w:spacing w:line="300" w:lineRule="exact"/>
              <w:jc w:val="center"/>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-58</w:t>
            </w:r>
          </w:p>
        </w:tc>
        <w:tc>
          <w:tcPr>
            <w:tcW w:w="374" w:type="pct"/>
            <w:vMerge w:val="restart"/>
            <w:vAlign w:val="center"/>
          </w:tcPr>
          <w:p w14:paraId="01237499">
            <w:pPr>
              <w:widowControl w:val="0"/>
              <w:spacing w:line="300" w:lineRule="exact"/>
              <w:jc w:val="center"/>
              <w:rPr>
                <w:rFonts w:hint="default" w:ascii="Times New Roman" w:hAnsi="Times New Roman" w:cs="Times New Roman"/>
                <w:sz w:val="21"/>
                <w:szCs w:val="21"/>
                <w:lang w:val="en-US" w:eastAsia="zh-CN"/>
              </w:rPr>
            </w:pPr>
            <w:r>
              <w:rPr>
                <w:rFonts w:hint="eastAsia" w:ascii="Times New Roman" w:hAnsi="Times New Roman" w:cs="Times New Roman"/>
                <w:sz w:val="21"/>
                <w:szCs w:val="21"/>
                <w:lang w:val="en-US" w:eastAsia="zh-CN"/>
              </w:rPr>
              <w:t>351</w:t>
            </w:r>
          </w:p>
        </w:tc>
        <w:tc>
          <w:tcPr>
            <w:tcW w:w="340" w:type="pct"/>
            <w:vMerge w:val="restart"/>
            <w:vAlign w:val="center"/>
          </w:tcPr>
          <w:p w14:paraId="562E0948">
            <w:pPr>
              <w:widowControl w:val="0"/>
              <w:spacing w:line="300" w:lineRule="exact"/>
              <w:jc w:val="center"/>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70</w:t>
            </w:r>
          </w:p>
        </w:tc>
        <w:tc>
          <w:tcPr>
            <w:tcW w:w="384" w:type="pct"/>
            <w:vMerge w:val="restart"/>
            <w:vAlign w:val="center"/>
          </w:tcPr>
          <w:p w14:paraId="7230EA0E">
            <w:pPr>
              <w:widowControl w:val="0"/>
              <w:spacing w:line="300" w:lineRule="exact"/>
              <w:jc w:val="center"/>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2.4</w:t>
            </w:r>
          </w:p>
        </w:tc>
        <w:tc>
          <w:tcPr>
            <w:tcW w:w="401" w:type="pct"/>
            <w:vMerge w:val="restart"/>
            <w:vAlign w:val="center"/>
          </w:tcPr>
          <w:p w14:paraId="0892803C">
            <w:pPr>
              <w:widowControl w:val="0"/>
              <w:spacing w:line="300" w:lineRule="exact"/>
              <w:jc w:val="center"/>
              <w:rPr>
                <w:rFonts w:hint="default" w:ascii="Times New Roman" w:hAnsi="Times New Roman" w:cs="Times New Roman"/>
                <w:sz w:val="21"/>
                <w:szCs w:val="21"/>
                <w:lang w:val="en-US" w:eastAsia="zh-CN"/>
              </w:rPr>
            </w:pPr>
            <w:r>
              <w:rPr>
                <w:rFonts w:hint="eastAsia" w:ascii="Times New Roman" w:hAnsi="Times New Roman" w:cs="Times New Roman"/>
                <w:sz w:val="21"/>
                <w:szCs w:val="21"/>
                <w:lang w:val="en-US" w:eastAsia="zh-CN"/>
              </w:rPr>
              <w:t>270000</w:t>
            </w:r>
          </w:p>
        </w:tc>
        <w:tc>
          <w:tcPr>
            <w:tcW w:w="392" w:type="pct"/>
            <w:vMerge w:val="restart"/>
            <w:vAlign w:val="center"/>
          </w:tcPr>
          <w:p w14:paraId="4F501796">
            <w:pPr>
              <w:widowControl w:val="0"/>
              <w:spacing w:line="300" w:lineRule="exact"/>
              <w:jc w:val="center"/>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16.59</w:t>
            </w:r>
          </w:p>
        </w:tc>
        <w:tc>
          <w:tcPr>
            <w:tcW w:w="286" w:type="pct"/>
            <w:vMerge w:val="restart"/>
            <w:vAlign w:val="center"/>
          </w:tcPr>
          <w:p w14:paraId="7C511D91">
            <w:pPr>
              <w:widowControl w:val="0"/>
              <w:spacing w:line="300" w:lineRule="exact"/>
              <w:jc w:val="center"/>
              <w:rPr>
                <w:rFonts w:hint="default" w:ascii="Times New Roman" w:hAnsi="Times New Roman" w:cs="Times New Roman"/>
                <w:sz w:val="21"/>
                <w:szCs w:val="21"/>
                <w:lang w:val="en-US" w:eastAsia="zh-CN"/>
              </w:rPr>
            </w:pPr>
            <w:r>
              <w:rPr>
                <w:rFonts w:hint="eastAsia" w:ascii="Times New Roman" w:hAnsi="Times New Roman" w:cs="Times New Roman"/>
                <w:sz w:val="21"/>
                <w:szCs w:val="21"/>
                <w:lang w:val="en-US" w:eastAsia="zh-CN"/>
              </w:rPr>
              <w:t>120</w:t>
            </w:r>
          </w:p>
        </w:tc>
        <w:tc>
          <w:tcPr>
            <w:tcW w:w="383" w:type="pct"/>
            <w:vMerge w:val="restart"/>
            <w:vAlign w:val="center"/>
          </w:tcPr>
          <w:p w14:paraId="64C1A03C">
            <w:pPr>
              <w:widowControl w:val="0"/>
              <w:spacing w:line="300" w:lineRule="exact"/>
              <w:jc w:val="center"/>
              <w:rPr>
                <w:rFonts w:hint="default" w:ascii="Times New Roman" w:hAnsi="Times New Roman" w:cs="Times New Roman"/>
                <w:sz w:val="21"/>
                <w:szCs w:val="21"/>
                <w:lang w:val="en-US" w:eastAsia="zh-CN"/>
              </w:rPr>
            </w:pPr>
            <w:r>
              <w:rPr>
                <w:rFonts w:hint="eastAsia" w:ascii="Times New Roman" w:hAnsi="Times New Roman" w:cs="Times New Roman"/>
                <w:sz w:val="21"/>
                <w:szCs w:val="21"/>
                <w:lang w:val="en-US" w:eastAsia="zh-CN"/>
              </w:rPr>
              <w:t>7920</w:t>
            </w:r>
          </w:p>
        </w:tc>
        <w:tc>
          <w:tcPr>
            <w:tcW w:w="217" w:type="pct"/>
            <w:vMerge w:val="restart"/>
            <w:vAlign w:val="center"/>
          </w:tcPr>
          <w:p w14:paraId="5683F3D1">
            <w:pPr>
              <w:widowControl w:val="0"/>
              <w:spacing w:line="300" w:lineRule="exact"/>
              <w:jc w:val="center"/>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正常排放</w:t>
            </w:r>
          </w:p>
        </w:tc>
        <w:tc>
          <w:tcPr>
            <w:tcW w:w="514" w:type="pct"/>
            <w:vAlign w:val="center"/>
          </w:tcPr>
          <w:p w14:paraId="71CF8251">
            <w:pPr>
              <w:widowControl w:val="0"/>
              <w:spacing w:line="300" w:lineRule="exact"/>
              <w:jc w:val="center"/>
              <w:rPr>
                <w:rFonts w:hint="default" w:ascii="Times New Roman" w:hAnsi="Times New Roman" w:cs="Times New Roman"/>
                <w:sz w:val="21"/>
                <w:szCs w:val="21"/>
                <w:lang w:val="en-US" w:eastAsia="zh-CN"/>
              </w:rPr>
            </w:pPr>
            <w:r>
              <w:rPr>
                <w:rFonts w:hint="eastAsia" w:ascii="Times New Roman" w:hAnsi="Times New Roman" w:cs="Times New Roman"/>
                <w:sz w:val="21"/>
                <w:szCs w:val="21"/>
                <w:lang w:val="en-US" w:eastAsia="zh-CN"/>
              </w:rPr>
              <w:t>颗粒物</w:t>
            </w:r>
          </w:p>
        </w:tc>
        <w:tc>
          <w:tcPr>
            <w:tcW w:w="504" w:type="pct"/>
            <w:vAlign w:val="center"/>
          </w:tcPr>
          <w:p w14:paraId="0317A634">
            <w:pPr>
              <w:widowControl w:val="0"/>
              <w:spacing w:line="300" w:lineRule="exact"/>
              <w:jc w:val="center"/>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2.71</w:t>
            </w:r>
          </w:p>
        </w:tc>
      </w:tr>
      <w:tr w14:paraId="62E33CBB">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93" w:type="pct"/>
            <w:vMerge w:val="continue"/>
            <w:vAlign w:val="center"/>
          </w:tcPr>
          <w:p w14:paraId="4DEE65D5">
            <w:pPr>
              <w:widowControl w:val="0"/>
              <w:spacing w:line="300" w:lineRule="exact"/>
              <w:jc w:val="center"/>
              <w:rPr>
                <w:rFonts w:hint="default" w:ascii="Times New Roman" w:hAnsi="Times New Roman" w:cs="Times New Roman"/>
                <w:sz w:val="21"/>
                <w:szCs w:val="21"/>
                <w:lang w:val="en-US" w:eastAsia="zh-CN"/>
              </w:rPr>
            </w:pPr>
          </w:p>
        </w:tc>
        <w:tc>
          <w:tcPr>
            <w:tcW w:w="306" w:type="pct"/>
            <w:vMerge w:val="continue"/>
            <w:vAlign w:val="center"/>
          </w:tcPr>
          <w:p w14:paraId="34A65A0A">
            <w:pPr>
              <w:widowControl w:val="0"/>
              <w:spacing w:line="300" w:lineRule="exact"/>
              <w:jc w:val="center"/>
              <w:rPr>
                <w:rFonts w:hint="default" w:ascii="Times New Roman" w:hAnsi="Times New Roman" w:cs="Times New Roman"/>
                <w:sz w:val="21"/>
                <w:szCs w:val="21"/>
                <w:lang w:val="en-US" w:eastAsia="zh-CN"/>
              </w:rPr>
            </w:pPr>
          </w:p>
        </w:tc>
        <w:tc>
          <w:tcPr>
            <w:tcW w:w="349" w:type="pct"/>
            <w:vMerge w:val="continue"/>
            <w:vAlign w:val="center"/>
          </w:tcPr>
          <w:p w14:paraId="4F628DF7">
            <w:pPr>
              <w:widowControl w:val="0"/>
              <w:spacing w:line="300" w:lineRule="exact"/>
              <w:jc w:val="center"/>
              <w:rPr>
                <w:rFonts w:hint="default" w:ascii="Times New Roman" w:hAnsi="Times New Roman" w:cs="Times New Roman"/>
                <w:sz w:val="21"/>
                <w:szCs w:val="21"/>
                <w:lang w:val="en-US" w:eastAsia="zh-CN"/>
              </w:rPr>
            </w:pPr>
          </w:p>
        </w:tc>
        <w:tc>
          <w:tcPr>
            <w:tcW w:w="350" w:type="pct"/>
            <w:vMerge w:val="continue"/>
            <w:vAlign w:val="center"/>
          </w:tcPr>
          <w:p w14:paraId="68017EC7">
            <w:pPr>
              <w:widowControl w:val="0"/>
              <w:spacing w:line="300" w:lineRule="exact"/>
              <w:jc w:val="center"/>
              <w:rPr>
                <w:rFonts w:hint="default" w:ascii="Times New Roman" w:hAnsi="Times New Roman" w:cs="Times New Roman"/>
                <w:sz w:val="21"/>
                <w:szCs w:val="21"/>
                <w:lang w:val="en-US" w:eastAsia="zh-CN"/>
              </w:rPr>
            </w:pPr>
          </w:p>
        </w:tc>
        <w:tc>
          <w:tcPr>
            <w:tcW w:w="374" w:type="pct"/>
            <w:vMerge w:val="continue"/>
            <w:vAlign w:val="center"/>
          </w:tcPr>
          <w:p w14:paraId="27519554">
            <w:pPr>
              <w:widowControl w:val="0"/>
              <w:spacing w:line="300" w:lineRule="exact"/>
              <w:jc w:val="center"/>
              <w:rPr>
                <w:rFonts w:hint="default" w:ascii="Times New Roman" w:hAnsi="Times New Roman" w:cs="Times New Roman"/>
                <w:sz w:val="21"/>
                <w:szCs w:val="21"/>
                <w:lang w:val="en-US" w:eastAsia="zh-CN"/>
              </w:rPr>
            </w:pPr>
          </w:p>
        </w:tc>
        <w:tc>
          <w:tcPr>
            <w:tcW w:w="340" w:type="pct"/>
            <w:vMerge w:val="continue"/>
            <w:vAlign w:val="center"/>
          </w:tcPr>
          <w:p w14:paraId="737D1511">
            <w:pPr>
              <w:widowControl w:val="0"/>
              <w:spacing w:line="300" w:lineRule="exact"/>
              <w:jc w:val="center"/>
              <w:rPr>
                <w:rFonts w:hint="default" w:ascii="Times New Roman" w:hAnsi="Times New Roman" w:cs="Times New Roman"/>
                <w:sz w:val="21"/>
                <w:szCs w:val="21"/>
                <w:lang w:val="en-US" w:eastAsia="zh-CN"/>
              </w:rPr>
            </w:pPr>
          </w:p>
        </w:tc>
        <w:tc>
          <w:tcPr>
            <w:tcW w:w="384" w:type="pct"/>
            <w:vMerge w:val="continue"/>
            <w:vAlign w:val="center"/>
          </w:tcPr>
          <w:p w14:paraId="27A5BF9F">
            <w:pPr>
              <w:widowControl w:val="0"/>
              <w:spacing w:line="300" w:lineRule="exact"/>
              <w:jc w:val="center"/>
              <w:rPr>
                <w:rFonts w:hint="default" w:ascii="Times New Roman" w:hAnsi="Times New Roman" w:cs="Times New Roman"/>
                <w:sz w:val="21"/>
                <w:szCs w:val="21"/>
                <w:lang w:val="en-US" w:eastAsia="zh-CN"/>
              </w:rPr>
            </w:pPr>
          </w:p>
        </w:tc>
        <w:tc>
          <w:tcPr>
            <w:tcW w:w="401" w:type="pct"/>
            <w:vMerge w:val="continue"/>
            <w:vAlign w:val="center"/>
          </w:tcPr>
          <w:p w14:paraId="536C0756">
            <w:pPr>
              <w:widowControl w:val="0"/>
              <w:spacing w:line="300" w:lineRule="exact"/>
              <w:jc w:val="center"/>
              <w:rPr>
                <w:rFonts w:hint="default" w:ascii="Times New Roman" w:hAnsi="Times New Roman" w:cs="Times New Roman"/>
                <w:sz w:val="21"/>
                <w:szCs w:val="21"/>
                <w:lang w:val="en-US" w:eastAsia="zh-CN"/>
              </w:rPr>
            </w:pPr>
          </w:p>
        </w:tc>
        <w:tc>
          <w:tcPr>
            <w:tcW w:w="392" w:type="pct"/>
            <w:vMerge w:val="continue"/>
            <w:vAlign w:val="center"/>
          </w:tcPr>
          <w:p w14:paraId="75D5FB5D">
            <w:pPr>
              <w:widowControl w:val="0"/>
              <w:spacing w:line="300" w:lineRule="exact"/>
              <w:jc w:val="center"/>
              <w:rPr>
                <w:rFonts w:hint="default" w:ascii="Times New Roman" w:hAnsi="Times New Roman" w:cs="Times New Roman"/>
                <w:sz w:val="21"/>
                <w:szCs w:val="21"/>
                <w:lang w:val="en-US" w:eastAsia="zh-CN"/>
              </w:rPr>
            </w:pPr>
          </w:p>
        </w:tc>
        <w:tc>
          <w:tcPr>
            <w:tcW w:w="286" w:type="pct"/>
            <w:vMerge w:val="continue"/>
            <w:vAlign w:val="center"/>
          </w:tcPr>
          <w:p w14:paraId="3B5B1AAF">
            <w:pPr>
              <w:widowControl w:val="0"/>
              <w:spacing w:line="300" w:lineRule="exact"/>
              <w:jc w:val="center"/>
              <w:rPr>
                <w:rFonts w:hint="default" w:ascii="Times New Roman" w:hAnsi="Times New Roman" w:cs="Times New Roman"/>
                <w:sz w:val="21"/>
                <w:szCs w:val="21"/>
                <w:lang w:val="en-US" w:eastAsia="zh-CN"/>
              </w:rPr>
            </w:pPr>
          </w:p>
        </w:tc>
        <w:tc>
          <w:tcPr>
            <w:tcW w:w="383" w:type="pct"/>
            <w:vMerge w:val="continue"/>
            <w:vAlign w:val="center"/>
          </w:tcPr>
          <w:p w14:paraId="4E162EE3">
            <w:pPr>
              <w:widowControl w:val="0"/>
              <w:spacing w:line="300" w:lineRule="exact"/>
              <w:jc w:val="center"/>
              <w:rPr>
                <w:rFonts w:hint="default" w:ascii="Times New Roman" w:hAnsi="Times New Roman" w:cs="Times New Roman"/>
                <w:sz w:val="21"/>
                <w:szCs w:val="21"/>
                <w:lang w:val="en-US" w:eastAsia="zh-CN"/>
              </w:rPr>
            </w:pPr>
          </w:p>
        </w:tc>
        <w:tc>
          <w:tcPr>
            <w:tcW w:w="217" w:type="pct"/>
            <w:vMerge w:val="continue"/>
            <w:vAlign w:val="center"/>
          </w:tcPr>
          <w:p w14:paraId="18D4DCB1">
            <w:pPr>
              <w:widowControl w:val="0"/>
              <w:spacing w:line="300" w:lineRule="exact"/>
              <w:jc w:val="center"/>
              <w:rPr>
                <w:rFonts w:hint="default" w:ascii="Times New Roman" w:hAnsi="Times New Roman" w:cs="Times New Roman"/>
                <w:sz w:val="21"/>
                <w:szCs w:val="21"/>
                <w:lang w:val="en-US" w:eastAsia="zh-CN"/>
              </w:rPr>
            </w:pPr>
          </w:p>
        </w:tc>
        <w:tc>
          <w:tcPr>
            <w:tcW w:w="514" w:type="pct"/>
            <w:vAlign w:val="center"/>
          </w:tcPr>
          <w:p w14:paraId="3148721E">
            <w:pPr>
              <w:widowControl w:val="0"/>
              <w:spacing w:line="300" w:lineRule="exact"/>
              <w:jc w:val="center"/>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二氧化硫</w:t>
            </w:r>
          </w:p>
        </w:tc>
        <w:tc>
          <w:tcPr>
            <w:tcW w:w="504" w:type="pct"/>
            <w:vAlign w:val="center"/>
          </w:tcPr>
          <w:p w14:paraId="6F734612">
            <w:pPr>
              <w:widowControl w:val="0"/>
              <w:spacing w:line="300" w:lineRule="exact"/>
              <w:jc w:val="center"/>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6.21</w:t>
            </w:r>
          </w:p>
        </w:tc>
      </w:tr>
      <w:tr w14:paraId="1937034F">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93" w:type="pct"/>
            <w:vMerge w:val="continue"/>
            <w:vAlign w:val="center"/>
          </w:tcPr>
          <w:p w14:paraId="183A0B35">
            <w:pPr>
              <w:widowControl w:val="0"/>
              <w:spacing w:line="300" w:lineRule="exact"/>
              <w:jc w:val="center"/>
              <w:rPr>
                <w:rFonts w:hint="default" w:ascii="Times New Roman" w:hAnsi="Times New Roman" w:cs="Times New Roman"/>
                <w:sz w:val="21"/>
                <w:szCs w:val="21"/>
                <w:lang w:val="en-US" w:eastAsia="zh-CN"/>
              </w:rPr>
            </w:pPr>
          </w:p>
        </w:tc>
        <w:tc>
          <w:tcPr>
            <w:tcW w:w="306" w:type="pct"/>
            <w:vMerge w:val="continue"/>
            <w:vAlign w:val="center"/>
          </w:tcPr>
          <w:p w14:paraId="6AADF41A">
            <w:pPr>
              <w:widowControl w:val="0"/>
              <w:spacing w:line="300" w:lineRule="exact"/>
              <w:jc w:val="center"/>
              <w:rPr>
                <w:rFonts w:hint="default" w:ascii="Times New Roman" w:hAnsi="Times New Roman" w:cs="Times New Roman"/>
                <w:sz w:val="21"/>
                <w:szCs w:val="21"/>
                <w:lang w:val="en-US" w:eastAsia="zh-CN"/>
              </w:rPr>
            </w:pPr>
          </w:p>
        </w:tc>
        <w:tc>
          <w:tcPr>
            <w:tcW w:w="349" w:type="pct"/>
            <w:vMerge w:val="continue"/>
            <w:vAlign w:val="center"/>
          </w:tcPr>
          <w:p w14:paraId="78E7DA52">
            <w:pPr>
              <w:widowControl w:val="0"/>
              <w:spacing w:line="300" w:lineRule="exact"/>
              <w:jc w:val="center"/>
              <w:rPr>
                <w:rFonts w:hint="default" w:ascii="Times New Roman" w:hAnsi="Times New Roman" w:cs="Times New Roman"/>
                <w:sz w:val="21"/>
                <w:szCs w:val="21"/>
                <w:lang w:val="en-US" w:eastAsia="zh-CN"/>
              </w:rPr>
            </w:pPr>
          </w:p>
        </w:tc>
        <w:tc>
          <w:tcPr>
            <w:tcW w:w="350" w:type="pct"/>
            <w:vMerge w:val="continue"/>
            <w:vAlign w:val="center"/>
          </w:tcPr>
          <w:p w14:paraId="5A4D0784">
            <w:pPr>
              <w:widowControl w:val="0"/>
              <w:spacing w:line="300" w:lineRule="exact"/>
              <w:jc w:val="center"/>
              <w:rPr>
                <w:rFonts w:hint="default" w:ascii="Times New Roman" w:hAnsi="Times New Roman" w:cs="Times New Roman"/>
                <w:sz w:val="21"/>
                <w:szCs w:val="21"/>
                <w:lang w:val="en-US" w:eastAsia="zh-CN"/>
              </w:rPr>
            </w:pPr>
          </w:p>
        </w:tc>
        <w:tc>
          <w:tcPr>
            <w:tcW w:w="374" w:type="pct"/>
            <w:vMerge w:val="continue"/>
            <w:vAlign w:val="center"/>
          </w:tcPr>
          <w:p w14:paraId="60553973">
            <w:pPr>
              <w:widowControl w:val="0"/>
              <w:spacing w:line="300" w:lineRule="exact"/>
              <w:jc w:val="center"/>
              <w:rPr>
                <w:rFonts w:hint="default" w:ascii="Times New Roman" w:hAnsi="Times New Roman" w:cs="Times New Roman"/>
                <w:sz w:val="21"/>
                <w:szCs w:val="21"/>
                <w:lang w:val="en-US" w:eastAsia="zh-CN"/>
              </w:rPr>
            </w:pPr>
          </w:p>
        </w:tc>
        <w:tc>
          <w:tcPr>
            <w:tcW w:w="340" w:type="pct"/>
            <w:vMerge w:val="continue"/>
            <w:vAlign w:val="center"/>
          </w:tcPr>
          <w:p w14:paraId="7F6C5639">
            <w:pPr>
              <w:widowControl w:val="0"/>
              <w:spacing w:line="300" w:lineRule="exact"/>
              <w:jc w:val="center"/>
              <w:rPr>
                <w:rFonts w:hint="default" w:ascii="Times New Roman" w:hAnsi="Times New Roman" w:cs="Times New Roman"/>
                <w:sz w:val="21"/>
                <w:szCs w:val="21"/>
                <w:lang w:val="en-US" w:eastAsia="zh-CN"/>
              </w:rPr>
            </w:pPr>
          </w:p>
        </w:tc>
        <w:tc>
          <w:tcPr>
            <w:tcW w:w="384" w:type="pct"/>
            <w:vMerge w:val="continue"/>
            <w:vAlign w:val="center"/>
          </w:tcPr>
          <w:p w14:paraId="4E5FDF9E">
            <w:pPr>
              <w:widowControl w:val="0"/>
              <w:spacing w:line="300" w:lineRule="exact"/>
              <w:jc w:val="center"/>
              <w:rPr>
                <w:rFonts w:hint="default" w:ascii="Times New Roman" w:hAnsi="Times New Roman" w:cs="Times New Roman"/>
                <w:sz w:val="21"/>
                <w:szCs w:val="21"/>
                <w:lang w:val="en-US" w:eastAsia="zh-CN"/>
              </w:rPr>
            </w:pPr>
          </w:p>
        </w:tc>
        <w:tc>
          <w:tcPr>
            <w:tcW w:w="401" w:type="pct"/>
            <w:vMerge w:val="continue"/>
            <w:vAlign w:val="center"/>
          </w:tcPr>
          <w:p w14:paraId="3135F905">
            <w:pPr>
              <w:widowControl w:val="0"/>
              <w:spacing w:line="300" w:lineRule="exact"/>
              <w:jc w:val="center"/>
              <w:rPr>
                <w:rFonts w:hint="default" w:ascii="Times New Roman" w:hAnsi="Times New Roman" w:cs="Times New Roman"/>
                <w:sz w:val="21"/>
                <w:szCs w:val="21"/>
                <w:lang w:val="en-US" w:eastAsia="zh-CN"/>
              </w:rPr>
            </w:pPr>
          </w:p>
        </w:tc>
        <w:tc>
          <w:tcPr>
            <w:tcW w:w="392" w:type="pct"/>
            <w:vMerge w:val="continue"/>
            <w:vAlign w:val="center"/>
          </w:tcPr>
          <w:p w14:paraId="44005905">
            <w:pPr>
              <w:widowControl w:val="0"/>
              <w:spacing w:line="300" w:lineRule="exact"/>
              <w:jc w:val="center"/>
              <w:rPr>
                <w:rFonts w:hint="default" w:ascii="Times New Roman" w:hAnsi="Times New Roman" w:cs="Times New Roman"/>
                <w:sz w:val="21"/>
                <w:szCs w:val="21"/>
                <w:lang w:val="en-US" w:eastAsia="zh-CN"/>
              </w:rPr>
            </w:pPr>
          </w:p>
        </w:tc>
        <w:tc>
          <w:tcPr>
            <w:tcW w:w="286" w:type="pct"/>
            <w:vMerge w:val="continue"/>
            <w:vAlign w:val="center"/>
          </w:tcPr>
          <w:p w14:paraId="00E055AF">
            <w:pPr>
              <w:widowControl w:val="0"/>
              <w:spacing w:line="300" w:lineRule="exact"/>
              <w:jc w:val="center"/>
              <w:rPr>
                <w:rFonts w:hint="default" w:ascii="Times New Roman" w:hAnsi="Times New Roman" w:cs="Times New Roman"/>
                <w:sz w:val="21"/>
                <w:szCs w:val="21"/>
                <w:lang w:val="en-US" w:eastAsia="zh-CN"/>
              </w:rPr>
            </w:pPr>
          </w:p>
        </w:tc>
        <w:tc>
          <w:tcPr>
            <w:tcW w:w="383" w:type="pct"/>
            <w:vMerge w:val="continue"/>
            <w:vAlign w:val="center"/>
          </w:tcPr>
          <w:p w14:paraId="288F507D">
            <w:pPr>
              <w:widowControl w:val="0"/>
              <w:spacing w:line="300" w:lineRule="exact"/>
              <w:jc w:val="center"/>
              <w:rPr>
                <w:rFonts w:hint="default" w:ascii="Times New Roman" w:hAnsi="Times New Roman" w:cs="Times New Roman"/>
                <w:sz w:val="21"/>
                <w:szCs w:val="21"/>
                <w:lang w:val="en-US" w:eastAsia="zh-CN"/>
              </w:rPr>
            </w:pPr>
          </w:p>
        </w:tc>
        <w:tc>
          <w:tcPr>
            <w:tcW w:w="217" w:type="pct"/>
            <w:vMerge w:val="continue"/>
            <w:vAlign w:val="center"/>
          </w:tcPr>
          <w:p w14:paraId="7519D0E5">
            <w:pPr>
              <w:widowControl w:val="0"/>
              <w:spacing w:line="300" w:lineRule="exact"/>
              <w:jc w:val="center"/>
              <w:rPr>
                <w:rFonts w:hint="default" w:ascii="Times New Roman" w:hAnsi="Times New Roman" w:cs="Times New Roman"/>
                <w:sz w:val="21"/>
                <w:szCs w:val="21"/>
                <w:lang w:val="en-US" w:eastAsia="zh-CN"/>
              </w:rPr>
            </w:pPr>
          </w:p>
        </w:tc>
        <w:tc>
          <w:tcPr>
            <w:tcW w:w="514" w:type="pct"/>
            <w:vAlign w:val="center"/>
          </w:tcPr>
          <w:p w14:paraId="12520EC8">
            <w:pPr>
              <w:widowControl w:val="0"/>
              <w:spacing w:line="300" w:lineRule="exact"/>
              <w:jc w:val="center"/>
              <w:rPr>
                <w:rFonts w:hint="default" w:ascii="Times New Roman" w:hAnsi="Times New Roman" w:cs="Times New Roman"/>
                <w:sz w:val="21"/>
                <w:szCs w:val="21"/>
                <w:lang w:val="en-US" w:eastAsia="zh-CN"/>
              </w:rPr>
            </w:pPr>
            <w:r>
              <w:rPr>
                <w:rFonts w:hint="eastAsia" w:ascii="Times New Roman" w:hAnsi="Times New Roman" w:cs="Times New Roman"/>
                <w:sz w:val="21"/>
                <w:szCs w:val="21"/>
                <w:lang w:val="en-US" w:eastAsia="zh-CN"/>
              </w:rPr>
              <w:t>氮氧化物</w:t>
            </w:r>
          </w:p>
        </w:tc>
        <w:tc>
          <w:tcPr>
            <w:tcW w:w="504" w:type="pct"/>
            <w:vAlign w:val="center"/>
          </w:tcPr>
          <w:p w14:paraId="7EF34177">
            <w:pPr>
              <w:widowControl w:val="0"/>
              <w:spacing w:line="300" w:lineRule="exact"/>
              <w:jc w:val="center"/>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5.875</w:t>
            </w:r>
          </w:p>
        </w:tc>
      </w:tr>
      <w:tr w14:paraId="50669CD0">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93" w:type="pct"/>
            <w:vMerge w:val="continue"/>
            <w:vAlign w:val="center"/>
          </w:tcPr>
          <w:p w14:paraId="070DCC8C">
            <w:pPr>
              <w:widowControl w:val="0"/>
              <w:spacing w:line="300" w:lineRule="exact"/>
              <w:jc w:val="center"/>
              <w:rPr>
                <w:rFonts w:hint="default" w:ascii="Times New Roman" w:hAnsi="Times New Roman" w:cs="Times New Roman"/>
                <w:sz w:val="21"/>
                <w:szCs w:val="21"/>
                <w:lang w:val="en-US" w:eastAsia="zh-CN"/>
              </w:rPr>
            </w:pPr>
          </w:p>
        </w:tc>
        <w:tc>
          <w:tcPr>
            <w:tcW w:w="306" w:type="pct"/>
            <w:vMerge w:val="continue"/>
            <w:vAlign w:val="center"/>
          </w:tcPr>
          <w:p w14:paraId="5B382574">
            <w:pPr>
              <w:widowControl w:val="0"/>
              <w:spacing w:line="300" w:lineRule="exact"/>
              <w:jc w:val="center"/>
              <w:rPr>
                <w:rFonts w:hint="default" w:ascii="Times New Roman" w:hAnsi="Times New Roman" w:cs="Times New Roman"/>
                <w:sz w:val="21"/>
                <w:szCs w:val="21"/>
                <w:lang w:val="en-US" w:eastAsia="zh-CN"/>
              </w:rPr>
            </w:pPr>
          </w:p>
        </w:tc>
        <w:tc>
          <w:tcPr>
            <w:tcW w:w="349" w:type="pct"/>
            <w:vMerge w:val="continue"/>
            <w:vAlign w:val="center"/>
          </w:tcPr>
          <w:p w14:paraId="2945939B">
            <w:pPr>
              <w:widowControl w:val="0"/>
              <w:spacing w:line="300" w:lineRule="exact"/>
              <w:jc w:val="center"/>
              <w:rPr>
                <w:rFonts w:hint="default" w:ascii="Times New Roman" w:hAnsi="Times New Roman" w:cs="Times New Roman"/>
                <w:sz w:val="21"/>
                <w:szCs w:val="21"/>
                <w:lang w:val="en-US" w:eastAsia="zh-CN"/>
              </w:rPr>
            </w:pPr>
          </w:p>
        </w:tc>
        <w:tc>
          <w:tcPr>
            <w:tcW w:w="350" w:type="pct"/>
            <w:vMerge w:val="continue"/>
            <w:vAlign w:val="center"/>
          </w:tcPr>
          <w:p w14:paraId="375B0B29">
            <w:pPr>
              <w:widowControl w:val="0"/>
              <w:spacing w:line="300" w:lineRule="exact"/>
              <w:jc w:val="center"/>
              <w:rPr>
                <w:rFonts w:hint="default" w:ascii="Times New Roman" w:hAnsi="Times New Roman" w:cs="Times New Roman"/>
                <w:sz w:val="21"/>
                <w:szCs w:val="21"/>
                <w:lang w:val="en-US" w:eastAsia="zh-CN"/>
              </w:rPr>
            </w:pPr>
          </w:p>
        </w:tc>
        <w:tc>
          <w:tcPr>
            <w:tcW w:w="374" w:type="pct"/>
            <w:vMerge w:val="continue"/>
            <w:vAlign w:val="center"/>
          </w:tcPr>
          <w:p w14:paraId="77E131EC">
            <w:pPr>
              <w:widowControl w:val="0"/>
              <w:spacing w:line="300" w:lineRule="exact"/>
              <w:jc w:val="center"/>
              <w:rPr>
                <w:rFonts w:hint="default" w:ascii="Times New Roman" w:hAnsi="Times New Roman" w:cs="Times New Roman"/>
                <w:sz w:val="21"/>
                <w:szCs w:val="21"/>
                <w:lang w:val="en-US" w:eastAsia="zh-CN"/>
              </w:rPr>
            </w:pPr>
          </w:p>
        </w:tc>
        <w:tc>
          <w:tcPr>
            <w:tcW w:w="340" w:type="pct"/>
            <w:vMerge w:val="continue"/>
            <w:vAlign w:val="center"/>
          </w:tcPr>
          <w:p w14:paraId="49A971C5">
            <w:pPr>
              <w:widowControl w:val="0"/>
              <w:spacing w:line="300" w:lineRule="exact"/>
              <w:jc w:val="center"/>
              <w:rPr>
                <w:rFonts w:hint="default" w:ascii="Times New Roman" w:hAnsi="Times New Roman" w:cs="Times New Roman"/>
                <w:sz w:val="21"/>
                <w:szCs w:val="21"/>
                <w:lang w:val="en-US" w:eastAsia="zh-CN"/>
              </w:rPr>
            </w:pPr>
          </w:p>
        </w:tc>
        <w:tc>
          <w:tcPr>
            <w:tcW w:w="384" w:type="pct"/>
            <w:vMerge w:val="continue"/>
            <w:vAlign w:val="center"/>
          </w:tcPr>
          <w:p w14:paraId="402081B2">
            <w:pPr>
              <w:widowControl w:val="0"/>
              <w:spacing w:line="300" w:lineRule="exact"/>
              <w:jc w:val="center"/>
              <w:rPr>
                <w:rFonts w:hint="default" w:ascii="Times New Roman" w:hAnsi="Times New Roman" w:cs="Times New Roman"/>
                <w:sz w:val="21"/>
                <w:szCs w:val="21"/>
                <w:lang w:val="en-US" w:eastAsia="zh-CN"/>
              </w:rPr>
            </w:pPr>
          </w:p>
        </w:tc>
        <w:tc>
          <w:tcPr>
            <w:tcW w:w="401" w:type="pct"/>
            <w:vMerge w:val="continue"/>
            <w:vAlign w:val="center"/>
          </w:tcPr>
          <w:p w14:paraId="59C0A66A">
            <w:pPr>
              <w:widowControl w:val="0"/>
              <w:spacing w:line="300" w:lineRule="exact"/>
              <w:jc w:val="center"/>
              <w:rPr>
                <w:rFonts w:hint="default" w:ascii="Times New Roman" w:hAnsi="Times New Roman" w:cs="Times New Roman"/>
                <w:sz w:val="21"/>
                <w:szCs w:val="21"/>
                <w:lang w:val="en-US" w:eastAsia="zh-CN"/>
              </w:rPr>
            </w:pPr>
          </w:p>
        </w:tc>
        <w:tc>
          <w:tcPr>
            <w:tcW w:w="392" w:type="pct"/>
            <w:vMerge w:val="continue"/>
            <w:vAlign w:val="center"/>
          </w:tcPr>
          <w:p w14:paraId="4942BFBE">
            <w:pPr>
              <w:widowControl w:val="0"/>
              <w:spacing w:line="300" w:lineRule="exact"/>
              <w:jc w:val="center"/>
              <w:rPr>
                <w:rFonts w:hint="default" w:ascii="Times New Roman" w:hAnsi="Times New Roman" w:cs="Times New Roman"/>
                <w:sz w:val="21"/>
                <w:szCs w:val="21"/>
                <w:lang w:val="en-US" w:eastAsia="zh-CN"/>
              </w:rPr>
            </w:pPr>
          </w:p>
        </w:tc>
        <w:tc>
          <w:tcPr>
            <w:tcW w:w="286" w:type="pct"/>
            <w:vMerge w:val="continue"/>
            <w:vAlign w:val="center"/>
          </w:tcPr>
          <w:p w14:paraId="3983598C">
            <w:pPr>
              <w:widowControl w:val="0"/>
              <w:spacing w:line="300" w:lineRule="exact"/>
              <w:jc w:val="center"/>
              <w:rPr>
                <w:rFonts w:hint="default" w:ascii="Times New Roman" w:hAnsi="Times New Roman" w:cs="Times New Roman"/>
                <w:sz w:val="21"/>
                <w:szCs w:val="21"/>
                <w:lang w:val="en-US" w:eastAsia="zh-CN"/>
              </w:rPr>
            </w:pPr>
          </w:p>
        </w:tc>
        <w:tc>
          <w:tcPr>
            <w:tcW w:w="383" w:type="pct"/>
            <w:vMerge w:val="continue"/>
            <w:vAlign w:val="center"/>
          </w:tcPr>
          <w:p w14:paraId="548462E5">
            <w:pPr>
              <w:widowControl w:val="0"/>
              <w:spacing w:line="300" w:lineRule="exact"/>
              <w:jc w:val="center"/>
              <w:rPr>
                <w:rFonts w:hint="default" w:ascii="Times New Roman" w:hAnsi="Times New Roman" w:cs="Times New Roman"/>
                <w:sz w:val="21"/>
                <w:szCs w:val="21"/>
                <w:lang w:val="en-US" w:eastAsia="zh-CN"/>
              </w:rPr>
            </w:pPr>
          </w:p>
        </w:tc>
        <w:tc>
          <w:tcPr>
            <w:tcW w:w="217" w:type="pct"/>
            <w:vMerge w:val="continue"/>
            <w:vAlign w:val="center"/>
          </w:tcPr>
          <w:p w14:paraId="00B5CC3F">
            <w:pPr>
              <w:widowControl w:val="0"/>
              <w:spacing w:line="300" w:lineRule="exact"/>
              <w:jc w:val="center"/>
              <w:rPr>
                <w:rFonts w:hint="default" w:ascii="Times New Roman" w:hAnsi="Times New Roman" w:cs="Times New Roman"/>
                <w:sz w:val="21"/>
                <w:szCs w:val="21"/>
                <w:lang w:val="en-US" w:eastAsia="zh-CN"/>
              </w:rPr>
            </w:pPr>
          </w:p>
        </w:tc>
        <w:tc>
          <w:tcPr>
            <w:tcW w:w="514" w:type="pct"/>
            <w:vAlign w:val="center"/>
          </w:tcPr>
          <w:p w14:paraId="3EF44AB8">
            <w:pPr>
              <w:widowControl w:val="0"/>
              <w:spacing w:line="300" w:lineRule="exact"/>
              <w:jc w:val="center"/>
              <w:rPr>
                <w:rFonts w:hint="eastAsia" w:ascii="Times New Roman" w:hAnsi="Times New Roman" w:cs="Times New Roman"/>
                <w:sz w:val="21"/>
                <w:szCs w:val="21"/>
                <w:lang w:val="en-US" w:eastAsia="zh-CN"/>
              </w:rPr>
            </w:pPr>
            <w:r>
              <w:rPr>
                <w:rFonts w:hint="eastAsia" w:ascii="Times New Roman" w:hAnsi="Times New Roman" w:cs="Times New Roman"/>
                <w:sz w:val="21"/>
                <w:szCs w:val="21"/>
                <w:lang w:val="en-US" w:eastAsia="zh-CN"/>
              </w:rPr>
              <w:t>氟化物</w:t>
            </w:r>
          </w:p>
        </w:tc>
        <w:tc>
          <w:tcPr>
            <w:tcW w:w="504" w:type="pct"/>
            <w:shd w:val="clear" w:color="auto" w:fill="auto"/>
            <w:vAlign w:val="center"/>
          </w:tcPr>
          <w:p w14:paraId="346C4686">
            <w:pPr>
              <w:widowControl w:val="0"/>
              <w:spacing w:line="300" w:lineRule="exact"/>
              <w:jc w:val="center"/>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0.135</w:t>
            </w:r>
          </w:p>
        </w:tc>
      </w:tr>
      <w:tr w14:paraId="50D2C99F">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93" w:type="pct"/>
            <w:vMerge w:val="continue"/>
            <w:vAlign w:val="center"/>
          </w:tcPr>
          <w:p w14:paraId="6B0E3296">
            <w:pPr>
              <w:widowControl w:val="0"/>
              <w:spacing w:line="300" w:lineRule="exact"/>
              <w:jc w:val="center"/>
              <w:rPr>
                <w:rFonts w:hint="default" w:ascii="Times New Roman" w:hAnsi="Times New Roman" w:cs="Times New Roman"/>
                <w:sz w:val="21"/>
                <w:szCs w:val="21"/>
                <w:lang w:val="en-US" w:eastAsia="zh-CN"/>
              </w:rPr>
            </w:pPr>
          </w:p>
        </w:tc>
        <w:tc>
          <w:tcPr>
            <w:tcW w:w="306" w:type="pct"/>
            <w:vMerge w:val="continue"/>
            <w:vAlign w:val="center"/>
          </w:tcPr>
          <w:p w14:paraId="55EC5229">
            <w:pPr>
              <w:widowControl w:val="0"/>
              <w:spacing w:line="300" w:lineRule="exact"/>
              <w:jc w:val="center"/>
              <w:rPr>
                <w:rFonts w:hint="default" w:ascii="Times New Roman" w:hAnsi="Times New Roman" w:cs="Times New Roman"/>
                <w:sz w:val="21"/>
                <w:szCs w:val="21"/>
                <w:lang w:val="en-US" w:eastAsia="zh-CN"/>
              </w:rPr>
            </w:pPr>
          </w:p>
        </w:tc>
        <w:tc>
          <w:tcPr>
            <w:tcW w:w="349" w:type="pct"/>
            <w:vMerge w:val="continue"/>
            <w:vAlign w:val="center"/>
          </w:tcPr>
          <w:p w14:paraId="0118EDE7">
            <w:pPr>
              <w:widowControl w:val="0"/>
              <w:spacing w:line="300" w:lineRule="exact"/>
              <w:jc w:val="center"/>
              <w:rPr>
                <w:rFonts w:hint="default" w:ascii="Times New Roman" w:hAnsi="Times New Roman" w:cs="Times New Roman"/>
                <w:sz w:val="21"/>
                <w:szCs w:val="21"/>
                <w:lang w:val="en-US" w:eastAsia="zh-CN"/>
              </w:rPr>
            </w:pPr>
          </w:p>
        </w:tc>
        <w:tc>
          <w:tcPr>
            <w:tcW w:w="350" w:type="pct"/>
            <w:vMerge w:val="continue"/>
            <w:vAlign w:val="center"/>
          </w:tcPr>
          <w:p w14:paraId="4D7D8B74">
            <w:pPr>
              <w:widowControl w:val="0"/>
              <w:spacing w:line="300" w:lineRule="exact"/>
              <w:jc w:val="center"/>
              <w:rPr>
                <w:rFonts w:hint="default" w:ascii="Times New Roman" w:hAnsi="Times New Roman" w:cs="Times New Roman"/>
                <w:sz w:val="21"/>
                <w:szCs w:val="21"/>
                <w:lang w:val="en-US" w:eastAsia="zh-CN"/>
              </w:rPr>
            </w:pPr>
          </w:p>
        </w:tc>
        <w:tc>
          <w:tcPr>
            <w:tcW w:w="374" w:type="pct"/>
            <w:vMerge w:val="continue"/>
            <w:vAlign w:val="center"/>
          </w:tcPr>
          <w:p w14:paraId="4E079F00">
            <w:pPr>
              <w:widowControl w:val="0"/>
              <w:spacing w:line="300" w:lineRule="exact"/>
              <w:jc w:val="center"/>
              <w:rPr>
                <w:rFonts w:hint="default" w:ascii="Times New Roman" w:hAnsi="Times New Roman" w:cs="Times New Roman"/>
                <w:sz w:val="21"/>
                <w:szCs w:val="21"/>
                <w:lang w:val="en-US" w:eastAsia="zh-CN"/>
              </w:rPr>
            </w:pPr>
          </w:p>
        </w:tc>
        <w:tc>
          <w:tcPr>
            <w:tcW w:w="340" w:type="pct"/>
            <w:vMerge w:val="continue"/>
            <w:vAlign w:val="center"/>
          </w:tcPr>
          <w:p w14:paraId="011F5C26">
            <w:pPr>
              <w:widowControl w:val="0"/>
              <w:spacing w:line="300" w:lineRule="exact"/>
              <w:jc w:val="center"/>
              <w:rPr>
                <w:rFonts w:hint="default" w:ascii="Times New Roman" w:hAnsi="Times New Roman" w:cs="Times New Roman"/>
                <w:sz w:val="21"/>
                <w:szCs w:val="21"/>
                <w:lang w:val="en-US" w:eastAsia="zh-CN"/>
              </w:rPr>
            </w:pPr>
          </w:p>
        </w:tc>
        <w:tc>
          <w:tcPr>
            <w:tcW w:w="384" w:type="pct"/>
            <w:vMerge w:val="continue"/>
            <w:vAlign w:val="center"/>
          </w:tcPr>
          <w:p w14:paraId="66287590">
            <w:pPr>
              <w:widowControl w:val="0"/>
              <w:spacing w:line="300" w:lineRule="exact"/>
              <w:jc w:val="center"/>
              <w:rPr>
                <w:rFonts w:hint="default" w:ascii="Times New Roman" w:hAnsi="Times New Roman" w:cs="Times New Roman"/>
                <w:sz w:val="21"/>
                <w:szCs w:val="21"/>
                <w:lang w:val="en-US" w:eastAsia="zh-CN"/>
              </w:rPr>
            </w:pPr>
          </w:p>
        </w:tc>
        <w:tc>
          <w:tcPr>
            <w:tcW w:w="401" w:type="pct"/>
            <w:vMerge w:val="continue"/>
            <w:vAlign w:val="center"/>
          </w:tcPr>
          <w:p w14:paraId="117E57C5">
            <w:pPr>
              <w:widowControl w:val="0"/>
              <w:spacing w:line="300" w:lineRule="exact"/>
              <w:jc w:val="center"/>
              <w:rPr>
                <w:rFonts w:hint="default" w:ascii="Times New Roman" w:hAnsi="Times New Roman" w:cs="Times New Roman"/>
                <w:sz w:val="21"/>
                <w:szCs w:val="21"/>
                <w:lang w:val="en-US" w:eastAsia="zh-CN"/>
              </w:rPr>
            </w:pPr>
          </w:p>
        </w:tc>
        <w:tc>
          <w:tcPr>
            <w:tcW w:w="392" w:type="pct"/>
            <w:vMerge w:val="continue"/>
            <w:vAlign w:val="center"/>
          </w:tcPr>
          <w:p w14:paraId="1CD32457">
            <w:pPr>
              <w:widowControl w:val="0"/>
              <w:spacing w:line="300" w:lineRule="exact"/>
              <w:jc w:val="center"/>
              <w:rPr>
                <w:rFonts w:hint="default" w:ascii="Times New Roman" w:hAnsi="Times New Roman" w:cs="Times New Roman"/>
                <w:sz w:val="21"/>
                <w:szCs w:val="21"/>
                <w:lang w:val="en-US" w:eastAsia="zh-CN"/>
              </w:rPr>
            </w:pPr>
          </w:p>
        </w:tc>
        <w:tc>
          <w:tcPr>
            <w:tcW w:w="286" w:type="pct"/>
            <w:vMerge w:val="continue"/>
            <w:vAlign w:val="center"/>
          </w:tcPr>
          <w:p w14:paraId="22A90F9E">
            <w:pPr>
              <w:widowControl w:val="0"/>
              <w:spacing w:line="300" w:lineRule="exact"/>
              <w:jc w:val="center"/>
              <w:rPr>
                <w:rFonts w:hint="default" w:ascii="Times New Roman" w:hAnsi="Times New Roman" w:cs="Times New Roman"/>
                <w:sz w:val="21"/>
                <w:szCs w:val="21"/>
                <w:lang w:val="en-US" w:eastAsia="zh-CN"/>
              </w:rPr>
            </w:pPr>
          </w:p>
        </w:tc>
        <w:tc>
          <w:tcPr>
            <w:tcW w:w="383" w:type="pct"/>
            <w:vMerge w:val="continue"/>
            <w:vAlign w:val="center"/>
          </w:tcPr>
          <w:p w14:paraId="2E79FC1B">
            <w:pPr>
              <w:widowControl w:val="0"/>
              <w:spacing w:line="300" w:lineRule="exact"/>
              <w:jc w:val="center"/>
              <w:rPr>
                <w:rFonts w:hint="default" w:ascii="Times New Roman" w:hAnsi="Times New Roman" w:cs="Times New Roman"/>
                <w:sz w:val="21"/>
                <w:szCs w:val="21"/>
                <w:lang w:val="en-US" w:eastAsia="zh-CN"/>
              </w:rPr>
            </w:pPr>
          </w:p>
        </w:tc>
        <w:tc>
          <w:tcPr>
            <w:tcW w:w="217" w:type="pct"/>
            <w:vMerge w:val="continue"/>
            <w:vAlign w:val="center"/>
          </w:tcPr>
          <w:p w14:paraId="79618F38">
            <w:pPr>
              <w:widowControl w:val="0"/>
              <w:spacing w:line="300" w:lineRule="exact"/>
              <w:jc w:val="center"/>
              <w:rPr>
                <w:rFonts w:hint="default" w:ascii="Times New Roman" w:hAnsi="Times New Roman" w:cs="Times New Roman"/>
                <w:sz w:val="21"/>
                <w:szCs w:val="21"/>
                <w:lang w:val="en-US" w:eastAsia="zh-CN"/>
              </w:rPr>
            </w:pPr>
          </w:p>
        </w:tc>
        <w:tc>
          <w:tcPr>
            <w:tcW w:w="514" w:type="pct"/>
            <w:vAlign w:val="center"/>
          </w:tcPr>
          <w:p w14:paraId="0DA9E2DD">
            <w:pPr>
              <w:widowControl w:val="0"/>
              <w:spacing w:line="300" w:lineRule="exact"/>
              <w:jc w:val="center"/>
              <w:rPr>
                <w:rFonts w:hint="eastAsia" w:ascii="Times New Roman" w:hAnsi="Times New Roman" w:cs="Times New Roman"/>
                <w:sz w:val="21"/>
                <w:szCs w:val="21"/>
                <w:lang w:val="en-US" w:eastAsia="zh-CN"/>
              </w:rPr>
            </w:pPr>
            <w:r>
              <w:rPr>
                <w:rFonts w:hint="eastAsia" w:ascii="Times New Roman" w:hAnsi="Times New Roman" w:cs="Times New Roman"/>
                <w:sz w:val="21"/>
                <w:szCs w:val="21"/>
                <w:lang w:val="en-US" w:eastAsia="zh-CN"/>
              </w:rPr>
              <w:t>氨</w:t>
            </w:r>
          </w:p>
        </w:tc>
        <w:tc>
          <w:tcPr>
            <w:tcW w:w="504" w:type="pct"/>
            <w:shd w:val="clear" w:color="auto" w:fill="auto"/>
            <w:vAlign w:val="center"/>
          </w:tcPr>
          <w:p w14:paraId="534A4E9F">
            <w:pPr>
              <w:widowControl w:val="0"/>
              <w:spacing w:line="300" w:lineRule="exact"/>
              <w:jc w:val="center"/>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0.76</w:t>
            </w:r>
          </w:p>
        </w:tc>
      </w:tr>
      <w:tr w14:paraId="1599FF35">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93" w:type="pct"/>
            <w:vMerge w:val="continue"/>
            <w:vAlign w:val="center"/>
          </w:tcPr>
          <w:p w14:paraId="2C2F3587">
            <w:pPr>
              <w:widowControl w:val="0"/>
              <w:spacing w:line="300" w:lineRule="exact"/>
              <w:jc w:val="center"/>
              <w:rPr>
                <w:rFonts w:hint="default" w:ascii="Times New Roman" w:hAnsi="Times New Roman" w:cs="Times New Roman"/>
                <w:sz w:val="21"/>
                <w:szCs w:val="21"/>
                <w:lang w:val="en-US" w:eastAsia="zh-CN"/>
              </w:rPr>
            </w:pPr>
          </w:p>
        </w:tc>
        <w:tc>
          <w:tcPr>
            <w:tcW w:w="306" w:type="pct"/>
            <w:vMerge w:val="continue"/>
            <w:vAlign w:val="center"/>
          </w:tcPr>
          <w:p w14:paraId="2AA1B75A">
            <w:pPr>
              <w:widowControl w:val="0"/>
              <w:spacing w:line="300" w:lineRule="exact"/>
              <w:jc w:val="center"/>
              <w:rPr>
                <w:rFonts w:hint="default" w:ascii="Times New Roman" w:hAnsi="Times New Roman" w:cs="Times New Roman"/>
                <w:sz w:val="21"/>
                <w:szCs w:val="21"/>
                <w:lang w:val="en-US" w:eastAsia="zh-CN"/>
              </w:rPr>
            </w:pPr>
          </w:p>
        </w:tc>
        <w:tc>
          <w:tcPr>
            <w:tcW w:w="349" w:type="pct"/>
            <w:vMerge w:val="continue"/>
            <w:vAlign w:val="center"/>
          </w:tcPr>
          <w:p w14:paraId="7ABCD134">
            <w:pPr>
              <w:widowControl w:val="0"/>
              <w:spacing w:line="300" w:lineRule="exact"/>
              <w:jc w:val="center"/>
              <w:rPr>
                <w:rFonts w:hint="default" w:ascii="Times New Roman" w:hAnsi="Times New Roman" w:cs="Times New Roman"/>
                <w:sz w:val="21"/>
                <w:szCs w:val="21"/>
                <w:lang w:val="en-US" w:eastAsia="zh-CN"/>
              </w:rPr>
            </w:pPr>
          </w:p>
        </w:tc>
        <w:tc>
          <w:tcPr>
            <w:tcW w:w="350" w:type="pct"/>
            <w:vMerge w:val="continue"/>
            <w:vAlign w:val="center"/>
          </w:tcPr>
          <w:p w14:paraId="0B88ACA9">
            <w:pPr>
              <w:widowControl w:val="0"/>
              <w:spacing w:line="300" w:lineRule="exact"/>
              <w:jc w:val="center"/>
              <w:rPr>
                <w:rFonts w:hint="default" w:ascii="Times New Roman" w:hAnsi="Times New Roman" w:cs="Times New Roman"/>
                <w:sz w:val="21"/>
                <w:szCs w:val="21"/>
                <w:lang w:val="en-US" w:eastAsia="zh-CN"/>
              </w:rPr>
            </w:pPr>
          </w:p>
        </w:tc>
        <w:tc>
          <w:tcPr>
            <w:tcW w:w="374" w:type="pct"/>
            <w:vMerge w:val="continue"/>
            <w:vAlign w:val="center"/>
          </w:tcPr>
          <w:p w14:paraId="5041FB80">
            <w:pPr>
              <w:widowControl w:val="0"/>
              <w:spacing w:line="300" w:lineRule="exact"/>
              <w:jc w:val="center"/>
              <w:rPr>
                <w:rFonts w:hint="default" w:ascii="Times New Roman" w:hAnsi="Times New Roman" w:cs="Times New Roman"/>
                <w:sz w:val="21"/>
                <w:szCs w:val="21"/>
                <w:lang w:val="en-US" w:eastAsia="zh-CN"/>
              </w:rPr>
            </w:pPr>
          </w:p>
        </w:tc>
        <w:tc>
          <w:tcPr>
            <w:tcW w:w="340" w:type="pct"/>
            <w:vMerge w:val="continue"/>
            <w:vAlign w:val="center"/>
          </w:tcPr>
          <w:p w14:paraId="19BF0028">
            <w:pPr>
              <w:widowControl w:val="0"/>
              <w:spacing w:line="300" w:lineRule="exact"/>
              <w:jc w:val="center"/>
              <w:rPr>
                <w:rFonts w:hint="default" w:ascii="Times New Roman" w:hAnsi="Times New Roman" w:cs="Times New Roman"/>
                <w:sz w:val="21"/>
                <w:szCs w:val="21"/>
                <w:lang w:val="en-US" w:eastAsia="zh-CN"/>
              </w:rPr>
            </w:pPr>
          </w:p>
        </w:tc>
        <w:tc>
          <w:tcPr>
            <w:tcW w:w="384" w:type="pct"/>
            <w:vMerge w:val="continue"/>
            <w:vAlign w:val="center"/>
          </w:tcPr>
          <w:p w14:paraId="03739712">
            <w:pPr>
              <w:widowControl w:val="0"/>
              <w:spacing w:line="300" w:lineRule="exact"/>
              <w:jc w:val="center"/>
              <w:rPr>
                <w:rFonts w:hint="default" w:ascii="Times New Roman" w:hAnsi="Times New Roman" w:cs="Times New Roman"/>
                <w:sz w:val="21"/>
                <w:szCs w:val="21"/>
                <w:lang w:val="en-US" w:eastAsia="zh-CN"/>
              </w:rPr>
            </w:pPr>
          </w:p>
        </w:tc>
        <w:tc>
          <w:tcPr>
            <w:tcW w:w="401" w:type="pct"/>
            <w:vMerge w:val="continue"/>
            <w:vAlign w:val="center"/>
          </w:tcPr>
          <w:p w14:paraId="1B302209">
            <w:pPr>
              <w:widowControl w:val="0"/>
              <w:spacing w:line="300" w:lineRule="exact"/>
              <w:jc w:val="center"/>
              <w:rPr>
                <w:rFonts w:hint="default" w:ascii="Times New Roman" w:hAnsi="Times New Roman" w:cs="Times New Roman"/>
                <w:sz w:val="21"/>
                <w:szCs w:val="21"/>
                <w:lang w:val="en-US" w:eastAsia="zh-CN"/>
              </w:rPr>
            </w:pPr>
          </w:p>
        </w:tc>
        <w:tc>
          <w:tcPr>
            <w:tcW w:w="392" w:type="pct"/>
            <w:vMerge w:val="continue"/>
            <w:vAlign w:val="center"/>
          </w:tcPr>
          <w:p w14:paraId="062F9BB4">
            <w:pPr>
              <w:widowControl w:val="0"/>
              <w:spacing w:line="300" w:lineRule="exact"/>
              <w:jc w:val="center"/>
              <w:rPr>
                <w:rFonts w:hint="default" w:ascii="Times New Roman" w:hAnsi="Times New Roman" w:cs="Times New Roman"/>
                <w:sz w:val="21"/>
                <w:szCs w:val="21"/>
                <w:lang w:val="en-US" w:eastAsia="zh-CN"/>
              </w:rPr>
            </w:pPr>
          </w:p>
        </w:tc>
        <w:tc>
          <w:tcPr>
            <w:tcW w:w="286" w:type="pct"/>
            <w:vMerge w:val="continue"/>
            <w:vAlign w:val="center"/>
          </w:tcPr>
          <w:p w14:paraId="34B5A168">
            <w:pPr>
              <w:widowControl w:val="0"/>
              <w:spacing w:line="300" w:lineRule="exact"/>
              <w:jc w:val="center"/>
              <w:rPr>
                <w:rFonts w:hint="default" w:ascii="Times New Roman" w:hAnsi="Times New Roman" w:cs="Times New Roman"/>
                <w:sz w:val="21"/>
                <w:szCs w:val="21"/>
                <w:lang w:val="en-US" w:eastAsia="zh-CN"/>
              </w:rPr>
            </w:pPr>
          </w:p>
        </w:tc>
        <w:tc>
          <w:tcPr>
            <w:tcW w:w="383" w:type="pct"/>
            <w:vMerge w:val="continue"/>
            <w:vAlign w:val="center"/>
          </w:tcPr>
          <w:p w14:paraId="3698D143">
            <w:pPr>
              <w:widowControl w:val="0"/>
              <w:spacing w:line="300" w:lineRule="exact"/>
              <w:jc w:val="center"/>
              <w:rPr>
                <w:rFonts w:hint="default" w:ascii="Times New Roman" w:hAnsi="Times New Roman" w:cs="Times New Roman"/>
                <w:sz w:val="21"/>
                <w:szCs w:val="21"/>
                <w:lang w:val="en-US" w:eastAsia="zh-CN"/>
              </w:rPr>
            </w:pPr>
          </w:p>
        </w:tc>
        <w:tc>
          <w:tcPr>
            <w:tcW w:w="217" w:type="pct"/>
            <w:vMerge w:val="continue"/>
            <w:vAlign w:val="center"/>
          </w:tcPr>
          <w:p w14:paraId="0B77DFCE">
            <w:pPr>
              <w:widowControl w:val="0"/>
              <w:spacing w:line="300" w:lineRule="exact"/>
              <w:jc w:val="center"/>
              <w:rPr>
                <w:rFonts w:hint="default" w:ascii="Times New Roman" w:hAnsi="Times New Roman" w:cs="Times New Roman"/>
                <w:sz w:val="21"/>
                <w:szCs w:val="21"/>
                <w:lang w:val="en-US" w:eastAsia="zh-CN"/>
              </w:rPr>
            </w:pPr>
          </w:p>
        </w:tc>
        <w:tc>
          <w:tcPr>
            <w:tcW w:w="514" w:type="pct"/>
            <w:vAlign w:val="center"/>
          </w:tcPr>
          <w:p w14:paraId="1D0A7EED">
            <w:pPr>
              <w:widowControl w:val="0"/>
              <w:spacing w:line="300" w:lineRule="exact"/>
              <w:jc w:val="center"/>
              <w:rPr>
                <w:rFonts w:hint="eastAsia" w:ascii="Times New Roman" w:hAnsi="Times New Roman" w:cs="Times New Roman"/>
                <w:sz w:val="21"/>
                <w:szCs w:val="21"/>
                <w:lang w:val="en-US" w:eastAsia="zh-CN"/>
              </w:rPr>
            </w:pPr>
            <w:r>
              <w:rPr>
                <w:rFonts w:hint="eastAsia" w:ascii="Times New Roman" w:hAnsi="Times New Roman" w:cs="Times New Roman"/>
                <w:sz w:val="21"/>
                <w:szCs w:val="21"/>
                <w:lang w:val="en-US" w:eastAsia="zh-CN"/>
              </w:rPr>
              <w:t>二噁英</w:t>
            </w:r>
          </w:p>
        </w:tc>
        <w:tc>
          <w:tcPr>
            <w:tcW w:w="504" w:type="pct"/>
            <w:shd w:val="clear" w:color="auto" w:fill="auto"/>
            <w:vAlign w:val="center"/>
          </w:tcPr>
          <w:p w14:paraId="06F45857">
            <w:pPr>
              <w:widowControl w:val="0"/>
              <w:spacing w:line="300" w:lineRule="exact"/>
              <w:jc w:val="center"/>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1.35E-08</w:t>
            </w:r>
          </w:p>
        </w:tc>
      </w:tr>
      <w:tr w14:paraId="07968D00">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93" w:type="pct"/>
            <w:vAlign w:val="center"/>
          </w:tcPr>
          <w:p w14:paraId="3DCD5804">
            <w:pPr>
              <w:widowControl w:val="0"/>
              <w:spacing w:line="300" w:lineRule="exact"/>
              <w:jc w:val="center"/>
              <w:rPr>
                <w:rFonts w:hint="eastAsia" w:ascii="Times New Roman" w:hAnsi="Times New Roman" w:cs="Times New Roman"/>
                <w:sz w:val="21"/>
                <w:szCs w:val="21"/>
                <w:lang w:val="en-US" w:eastAsia="zh-CN"/>
              </w:rPr>
            </w:pPr>
            <w:r>
              <w:rPr>
                <w:rFonts w:hint="eastAsia" w:ascii="Times New Roman" w:hAnsi="Times New Roman" w:cs="Times New Roman"/>
                <w:sz w:val="21"/>
                <w:szCs w:val="21"/>
                <w:lang w:val="en-US" w:eastAsia="zh-CN"/>
              </w:rPr>
              <w:t>2</w:t>
            </w:r>
          </w:p>
        </w:tc>
        <w:tc>
          <w:tcPr>
            <w:tcW w:w="306" w:type="pct"/>
            <w:vAlign w:val="center"/>
          </w:tcPr>
          <w:p w14:paraId="57433234">
            <w:pPr>
              <w:widowControl w:val="0"/>
              <w:spacing w:line="300" w:lineRule="exact"/>
              <w:jc w:val="center"/>
              <w:rPr>
                <w:rFonts w:hint="default" w:ascii="Times New Roman" w:hAnsi="Times New Roman" w:cs="Times New Roman"/>
                <w:sz w:val="21"/>
                <w:szCs w:val="21"/>
                <w:lang w:val="en-US" w:eastAsia="zh-CN"/>
              </w:rPr>
            </w:pPr>
            <w:r>
              <w:rPr>
                <w:rFonts w:hint="eastAsia" w:ascii="Times New Roman" w:hAnsi="Times New Roman" w:cs="Times New Roman"/>
                <w:sz w:val="21"/>
                <w:szCs w:val="21"/>
                <w:lang w:val="en-US" w:eastAsia="zh-CN"/>
              </w:rPr>
              <w:t>DA004</w:t>
            </w:r>
          </w:p>
        </w:tc>
        <w:tc>
          <w:tcPr>
            <w:tcW w:w="349" w:type="pct"/>
            <w:vAlign w:val="center"/>
          </w:tcPr>
          <w:p w14:paraId="09A36BE3">
            <w:pPr>
              <w:widowControl w:val="0"/>
              <w:spacing w:line="300" w:lineRule="exact"/>
              <w:jc w:val="center"/>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-37</w:t>
            </w:r>
          </w:p>
        </w:tc>
        <w:tc>
          <w:tcPr>
            <w:tcW w:w="350" w:type="pct"/>
            <w:vAlign w:val="center"/>
          </w:tcPr>
          <w:p w14:paraId="4E8CBA66">
            <w:pPr>
              <w:widowControl w:val="0"/>
              <w:spacing w:line="300" w:lineRule="exact"/>
              <w:jc w:val="center"/>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-3</w:t>
            </w:r>
          </w:p>
        </w:tc>
        <w:tc>
          <w:tcPr>
            <w:tcW w:w="374" w:type="pct"/>
            <w:vAlign w:val="center"/>
          </w:tcPr>
          <w:p w14:paraId="54296755">
            <w:pPr>
              <w:widowControl w:val="0"/>
              <w:spacing w:line="300" w:lineRule="exact"/>
              <w:jc w:val="center"/>
              <w:rPr>
                <w:rFonts w:hint="default" w:ascii="Times New Roman" w:hAnsi="Times New Roman" w:cs="Times New Roman"/>
                <w:sz w:val="21"/>
                <w:szCs w:val="21"/>
                <w:lang w:val="en-US" w:eastAsia="zh-CN"/>
              </w:rPr>
            </w:pPr>
            <w:r>
              <w:rPr>
                <w:rFonts w:hint="eastAsia" w:ascii="Times New Roman" w:hAnsi="Times New Roman" w:cs="Times New Roman"/>
                <w:sz w:val="21"/>
                <w:szCs w:val="21"/>
                <w:lang w:val="en-US" w:eastAsia="zh-CN"/>
              </w:rPr>
              <w:t>351</w:t>
            </w:r>
          </w:p>
        </w:tc>
        <w:tc>
          <w:tcPr>
            <w:tcW w:w="340" w:type="pct"/>
            <w:vAlign w:val="center"/>
          </w:tcPr>
          <w:p w14:paraId="095DF462">
            <w:pPr>
              <w:widowControl w:val="0"/>
              <w:spacing w:line="300" w:lineRule="exact"/>
              <w:jc w:val="center"/>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20</w:t>
            </w:r>
          </w:p>
        </w:tc>
        <w:tc>
          <w:tcPr>
            <w:tcW w:w="384" w:type="pct"/>
            <w:vAlign w:val="center"/>
          </w:tcPr>
          <w:p w14:paraId="15072476">
            <w:pPr>
              <w:widowControl w:val="0"/>
              <w:spacing w:line="300" w:lineRule="exact"/>
              <w:jc w:val="center"/>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1.8</w:t>
            </w:r>
          </w:p>
        </w:tc>
        <w:tc>
          <w:tcPr>
            <w:tcW w:w="401" w:type="pct"/>
            <w:vAlign w:val="center"/>
          </w:tcPr>
          <w:p w14:paraId="36138E61">
            <w:pPr>
              <w:widowControl w:val="0"/>
              <w:spacing w:line="300" w:lineRule="exact"/>
              <w:jc w:val="center"/>
              <w:rPr>
                <w:rFonts w:hint="default" w:ascii="Times New Roman" w:hAnsi="Times New Roman" w:cs="Times New Roman"/>
                <w:sz w:val="21"/>
                <w:szCs w:val="21"/>
                <w:lang w:val="en-US" w:eastAsia="zh-CN"/>
              </w:rPr>
            </w:pPr>
            <w:r>
              <w:rPr>
                <w:rFonts w:hint="eastAsia" w:ascii="Times New Roman" w:hAnsi="Times New Roman" w:cs="Times New Roman"/>
                <w:sz w:val="21"/>
                <w:szCs w:val="21"/>
                <w:lang w:val="en-US" w:eastAsia="zh-CN"/>
              </w:rPr>
              <w:t>100345</w:t>
            </w:r>
          </w:p>
        </w:tc>
        <w:tc>
          <w:tcPr>
            <w:tcW w:w="392" w:type="pct"/>
            <w:vAlign w:val="center"/>
          </w:tcPr>
          <w:p w14:paraId="33259F76">
            <w:pPr>
              <w:widowControl w:val="0"/>
              <w:spacing w:line="300" w:lineRule="exact"/>
              <w:jc w:val="center"/>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10.96</w:t>
            </w:r>
          </w:p>
        </w:tc>
        <w:tc>
          <w:tcPr>
            <w:tcW w:w="286" w:type="pct"/>
            <w:vAlign w:val="center"/>
          </w:tcPr>
          <w:p w14:paraId="5682BBF1">
            <w:pPr>
              <w:widowControl w:val="0"/>
              <w:spacing w:line="300" w:lineRule="exact"/>
              <w:jc w:val="center"/>
              <w:rPr>
                <w:rFonts w:hint="default" w:ascii="Times New Roman" w:hAnsi="Times New Roman" w:cs="Times New Roman"/>
                <w:sz w:val="21"/>
                <w:szCs w:val="21"/>
                <w:lang w:val="en-US" w:eastAsia="zh-CN"/>
              </w:rPr>
            </w:pPr>
            <w:r>
              <w:rPr>
                <w:rFonts w:hint="eastAsia" w:ascii="Times New Roman" w:hAnsi="Times New Roman" w:cs="Times New Roman"/>
                <w:sz w:val="21"/>
                <w:szCs w:val="21"/>
                <w:lang w:val="en-US" w:eastAsia="zh-CN"/>
              </w:rPr>
              <w:t>常温</w:t>
            </w:r>
          </w:p>
        </w:tc>
        <w:tc>
          <w:tcPr>
            <w:tcW w:w="383" w:type="pct"/>
            <w:vAlign w:val="center"/>
          </w:tcPr>
          <w:p w14:paraId="7989F445">
            <w:pPr>
              <w:widowControl w:val="0"/>
              <w:spacing w:line="300" w:lineRule="exact"/>
              <w:jc w:val="center"/>
              <w:rPr>
                <w:rFonts w:hint="default" w:ascii="Times New Roman" w:hAnsi="Times New Roman" w:cs="Times New Roman"/>
                <w:sz w:val="21"/>
                <w:szCs w:val="21"/>
                <w:lang w:val="en-US" w:eastAsia="zh-CN"/>
              </w:rPr>
            </w:pPr>
            <w:r>
              <w:rPr>
                <w:rFonts w:hint="eastAsia" w:ascii="Times New Roman" w:hAnsi="Times New Roman" w:cs="Times New Roman"/>
                <w:sz w:val="21"/>
                <w:szCs w:val="21"/>
                <w:lang w:val="en-US" w:eastAsia="zh-CN"/>
              </w:rPr>
              <w:t>7920</w:t>
            </w:r>
          </w:p>
        </w:tc>
        <w:tc>
          <w:tcPr>
            <w:tcW w:w="217" w:type="pct"/>
            <w:vAlign w:val="center"/>
          </w:tcPr>
          <w:p w14:paraId="68E050D7">
            <w:pPr>
              <w:widowControl w:val="0"/>
              <w:spacing w:line="300" w:lineRule="exact"/>
              <w:jc w:val="center"/>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正常排放</w:t>
            </w:r>
          </w:p>
        </w:tc>
        <w:tc>
          <w:tcPr>
            <w:tcW w:w="514" w:type="pct"/>
            <w:vAlign w:val="center"/>
          </w:tcPr>
          <w:p w14:paraId="6A718D6C">
            <w:pPr>
              <w:widowControl w:val="0"/>
              <w:spacing w:line="300" w:lineRule="exact"/>
              <w:jc w:val="center"/>
              <w:rPr>
                <w:rFonts w:hint="default" w:ascii="Times New Roman" w:hAnsi="Times New Roman" w:cs="Times New Roman"/>
                <w:sz w:val="21"/>
                <w:szCs w:val="21"/>
                <w:lang w:val="en-US" w:eastAsia="zh-CN"/>
              </w:rPr>
            </w:pPr>
            <w:r>
              <w:rPr>
                <w:rFonts w:hint="eastAsia" w:ascii="Times New Roman" w:hAnsi="Times New Roman" w:cs="Times New Roman"/>
                <w:sz w:val="21"/>
                <w:szCs w:val="21"/>
                <w:lang w:val="en-US" w:eastAsia="zh-CN"/>
              </w:rPr>
              <w:t>颗粒物</w:t>
            </w:r>
          </w:p>
        </w:tc>
        <w:tc>
          <w:tcPr>
            <w:tcW w:w="504" w:type="pct"/>
            <w:vAlign w:val="center"/>
          </w:tcPr>
          <w:p w14:paraId="5289131A">
            <w:pPr>
              <w:widowControl w:val="0"/>
              <w:spacing w:line="300" w:lineRule="exact"/>
              <w:jc w:val="center"/>
              <w:rPr>
                <w:rFonts w:hint="default" w:ascii="Times New Roman" w:hAnsi="Times New Roman" w:cs="Times New Roman"/>
                <w:sz w:val="21"/>
                <w:szCs w:val="21"/>
                <w:lang w:val="en-US" w:eastAsia="zh-CN"/>
              </w:rPr>
            </w:pPr>
            <w:r>
              <w:rPr>
                <w:rFonts w:hint="eastAsia" w:ascii="Times New Roman" w:hAnsi="Times New Roman" w:cs="Times New Roman"/>
                <w:sz w:val="21"/>
                <w:szCs w:val="21"/>
                <w:lang w:val="en-US" w:eastAsia="zh-CN"/>
              </w:rPr>
              <w:t>0.2</w:t>
            </w:r>
          </w:p>
        </w:tc>
      </w:tr>
      <w:tr w14:paraId="56D7D6CC">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93" w:type="pct"/>
            <w:vAlign w:val="center"/>
          </w:tcPr>
          <w:p w14:paraId="078C2BCA">
            <w:pPr>
              <w:widowControl w:val="0"/>
              <w:spacing w:line="300" w:lineRule="exact"/>
              <w:jc w:val="center"/>
              <w:rPr>
                <w:rFonts w:hint="default" w:ascii="Times New Roman" w:hAnsi="Times New Roman" w:cs="Times New Roman"/>
                <w:sz w:val="21"/>
                <w:szCs w:val="21"/>
                <w:lang w:val="en-US" w:eastAsia="zh-CN"/>
              </w:rPr>
            </w:pPr>
            <w:r>
              <w:rPr>
                <w:rFonts w:hint="eastAsia" w:ascii="Times New Roman" w:hAnsi="Times New Roman" w:cs="Times New Roman"/>
                <w:sz w:val="21"/>
                <w:szCs w:val="21"/>
                <w:lang w:val="en-US" w:eastAsia="zh-CN"/>
              </w:rPr>
              <w:t>3</w:t>
            </w:r>
          </w:p>
        </w:tc>
        <w:tc>
          <w:tcPr>
            <w:tcW w:w="306" w:type="pct"/>
            <w:vAlign w:val="center"/>
          </w:tcPr>
          <w:p w14:paraId="735A08D5">
            <w:pPr>
              <w:widowControl w:val="0"/>
              <w:spacing w:line="300" w:lineRule="exact"/>
              <w:jc w:val="center"/>
              <w:rPr>
                <w:rFonts w:hint="default" w:ascii="Times New Roman" w:hAnsi="Times New Roman" w:cs="Times New Roman"/>
                <w:sz w:val="21"/>
                <w:szCs w:val="21"/>
                <w:lang w:val="en-US" w:eastAsia="zh-CN"/>
              </w:rPr>
            </w:pPr>
            <w:r>
              <w:rPr>
                <w:rFonts w:hint="eastAsia" w:ascii="Times New Roman" w:hAnsi="Times New Roman" w:cs="Times New Roman"/>
                <w:sz w:val="21"/>
                <w:szCs w:val="21"/>
                <w:lang w:val="en-US" w:eastAsia="zh-CN"/>
              </w:rPr>
              <w:t>DA005</w:t>
            </w:r>
          </w:p>
        </w:tc>
        <w:tc>
          <w:tcPr>
            <w:tcW w:w="349" w:type="pct"/>
            <w:vAlign w:val="center"/>
          </w:tcPr>
          <w:p w14:paraId="2A20B6E8">
            <w:pPr>
              <w:widowControl w:val="0"/>
              <w:spacing w:line="300" w:lineRule="exact"/>
              <w:jc w:val="center"/>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-3</w:t>
            </w:r>
          </w:p>
        </w:tc>
        <w:tc>
          <w:tcPr>
            <w:tcW w:w="350" w:type="pct"/>
            <w:vAlign w:val="center"/>
          </w:tcPr>
          <w:p w14:paraId="0515931A">
            <w:pPr>
              <w:widowControl w:val="0"/>
              <w:spacing w:line="300" w:lineRule="exact"/>
              <w:jc w:val="center"/>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-78</w:t>
            </w:r>
          </w:p>
        </w:tc>
        <w:tc>
          <w:tcPr>
            <w:tcW w:w="374" w:type="pct"/>
            <w:vAlign w:val="center"/>
          </w:tcPr>
          <w:p w14:paraId="1ABEDAA4">
            <w:pPr>
              <w:widowControl w:val="0"/>
              <w:spacing w:line="300" w:lineRule="exact"/>
              <w:jc w:val="center"/>
              <w:rPr>
                <w:rFonts w:hint="default" w:ascii="Times New Roman" w:hAnsi="Times New Roman" w:cs="Times New Roman"/>
                <w:sz w:val="21"/>
                <w:szCs w:val="21"/>
                <w:lang w:val="en-US" w:eastAsia="zh-CN"/>
              </w:rPr>
            </w:pPr>
            <w:r>
              <w:rPr>
                <w:rFonts w:hint="eastAsia" w:ascii="Times New Roman" w:hAnsi="Times New Roman" w:cs="Times New Roman"/>
                <w:sz w:val="21"/>
                <w:szCs w:val="21"/>
                <w:lang w:val="en-US" w:eastAsia="zh-CN"/>
              </w:rPr>
              <w:t>351</w:t>
            </w:r>
          </w:p>
        </w:tc>
        <w:tc>
          <w:tcPr>
            <w:tcW w:w="340" w:type="pct"/>
            <w:vAlign w:val="center"/>
          </w:tcPr>
          <w:p w14:paraId="253E56AE">
            <w:pPr>
              <w:widowControl w:val="0"/>
              <w:spacing w:line="300" w:lineRule="exact"/>
              <w:jc w:val="center"/>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19</w:t>
            </w:r>
          </w:p>
        </w:tc>
        <w:tc>
          <w:tcPr>
            <w:tcW w:w="384" w:type="pct"/>
            <w:vAlign w:val="center"/>
          </w:tcPr>
          <w:p w14:paraId="3DABAA03">
            <w:pPr>
              <w:widowControl w:val="0"/>
              <w:spacing w:line="300" w:lineRule="exact"/>
              <w:jc w:val="center"/>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2</w:t>
            </w:r>
          </w:p>
        </w:tc>
        <w:tc>
          <w:tcPr>
            <w:tcW w:w="401" w:type="pct"/>
            <w:vAlign w:val="center"/>
          </w:tcPr>
          <w:p w14:paraId="7AF96C0F">
            <w:pPr>
              <w:widowControl w:val="0"/>
              <w:spacing w:line="300" w:lineRule="exact"/>
              <w:jc w:val="center"/>
              <w:rPr>
                <w:rFonts w:hint="default" w:ascii="Times New Roman" w:hAnsi="Times New Roman" w:cs="Times New Roman"/>
                <w:sz w:val="21"/>
                <w:szCs w:val="21"/>
                <w:lang w:val="en-US" w:eastAsia="zh-CN"/>
              </w:rPr>
            </w:pPr>
            <w:r>
              <w:rPr>
                <w:rFonts w:hint="eastAsia" w:ascii="Times New Roman" w:hAnsi="Times New Roman" w:cs="Times New Roman"/>
                <w:sz w:val="21"/>
                <w:szCs w:val="21"/>
                <w:lang w:val="en-US" w:eastAsia="zh-CN"/>
              </w:rPr>
              <w:t>150000</w:t>
            </w:r>
          </w:p>
        </w:tc>
        <w:tc>
          <w:tcPr>
            <w:tcW w:w="392" w:type="pct"/>
            <w:vAlign w:val="center"/>
          </w:tcPr>
          <w:p w14:paraId="3CFDE4E4">
            <w:pPr>
              <w:widowControl w:val="0"/>
              <w:spacing w:line="300" w:lineRule="exact"/>
              <w:jc w:val="center"/>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13.27</w:t>
            </w:r>
          </w:p>
        </w:tc>
        <w:tc>
          <w:tcPr>
            <w:tcW w:w="286" w:type="pct"/>
            <w:vAlign w:val="center"/>
          </w:tcPr>
          <w:p w14:paraId="06261C00">
            <w:pPr>
              <w:widowControl w:val="0"/>
              <w:spacing w:line="300" w:lineRule="exact"/>
              <w:jc w:val="center"/>
              <w:rPr>
                <w:rFonts w:hint="default" w:ascii="Times New Roman" w:hAnsi="Times New Roman" w:cs="Times New Roman"/>
                <w:sz w:val="21"/>
                <w:szCs w:val="21"/>
                <w:lang w:val="en-US" w:eastAsia="zh-CN"/>
              </w:rPr>
            </w:pPr>
            <w:r>
              <w:rPr>
                <w:rFonts w:hint="eastAsia" w:ascii="Times New Roman" w:hAnsi="Times New Roman" w:cs="Times New Roman"/>
                <w:sz w:val="21"/>
                <w:szCs w:val="21"/>
                <w:lang w:val="en-US" w:eastAsia="zh-CN"/>
              </w:rPr>
              <w:t>常温</w:t>
            </w:r>
          </w:p>
        </w:tc>
        <w:tc>
          <w:tcPr>
            <w:tcW w:w="383" w:type="pct"/>
            <w:vAlign w:val="center"/>
          </w:tcPr>
          <w:p w14:paraId="3F34AA88">
            <w:pPr>
              <w:widowControl w:val="0"/>
              <w:spacing w:line="300" w:lineRule="exact"/>
              <w:jc w:val="center"/>
              <w:rPr>
                <w:rFonts w:hint="default" w:ascii="Times New Roman" w:hAnsi="Times New Roman" w:cs="Times New Roman"/>
                <w:sz w:val="21"/>
                <w:szCs w:val="21"/>
                <w:lang w:val="en-US" w:eastAsia="zh-CN"/>
              </w:rPr>
            </w:pPr>
            <w:r>
              <w:rPr>
                <w:rFonts w:hint="eastAsia" w:ascii="Times New Roman" w:hAnsi="Times New Roman" w:cs="Times New Roman"/>
                <w:sz w:val="21"/>
                <w:szCs w:val="21"/>
                <w:lang w:val="en-US" w:eastAsia="zh-CN"/>
              </w:rPr>
              <w:t>7920</w:t>
            </w:r>
          </w:p>
        </w:tc>
        <w:tc>
          <w:tcPr>
            <w:tcW w:w="217" w:type="pct"/>
            <w:vAlign w:val="center"/>
          </w:tcPr>
          <w:p w14:paraId="0A82B199">
            <w:pPr>
              <w:widowControl w:val="0"/>
              <w:spacing w:line="300" w:lineRule="exact"/>
              <w:jc w:val="center"/>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正常排放</w:t>
            </w:r>
          </w:p>
        </w:tc>
        <w:tc>
          <w:tcPr>
            <w:tcW w:w="514" w:type="pct"/>
            <w:vAlign w:val="center"/>
          </w:tcPr>
          <w:p w14:paraId="75D26D2C">
            <w:pPr>
              <w:widowControl w:val="0"/>
              <w:spacing w:line="300" w:lineRule="exact"/>
              <w:jc w:val="center"/>
              <w:rPr>
                <w:rFonts w:hint="eastAsia" w:ascii="Times New Roman" w:hAnsi="Times New Roman" w:cs="Times New Roman"/>
                <w:sz w:val="21"/>
                <w:szCs w:val="21"/>
                <w:lang w:val="en-US" w:eastAsia="zh-CN"/>
              </w:rPr>
            </w:pPr>
            <w:r>
              <w:rPr>
                <w:rFonts w:hint="eastAsia" w:ascii="Times New Roman" w:hAnsi="Times New Roman" w:cs="Times New Roman"/>
                <w:sz w:val="21"/>
                <w:szCs w:val="21"/>
                <w:lang w:val="en-US" w:eastAsia="zh-CN"/>
              </w:rPr>
              <w:t>颗粒物</w:t>
            </w:r>
          </w:p>
        </w:tc>
        <w:tc>
          <w:tcPr>
            <w:tcW w:w="504" w:type="pct"/>
            <w:vAlign w:val="center"/>
          </w:tcPr>
          <w:p w14:paraId="05504E79">
            <w:pPr>
              <w:widowControl w:val="0"/>
              <w:spacing w:line="300" w:lineRule="exact"/>
              <w:jc w:val="center"/>
              <w:rPr>
                <w:rFonts w:hint="default" w:ascii="Times New Roman" w:hAnsi="Times New Roman" w:cs="Times New Roman"/>
                <w:sz w:val="21"/>
                <w:szCs w:val="21"/>
                <w:lang w:val="en-US" w:eastAsia="zh-CN"/>
              </w:rPr>
            </w:pPr>
            <w:r>
              <w:rPr>
                <w:rFonts w:hint="eastAsia" w:ascii="Times New Roman" w:hAnsi="Times New Roman" w:cs="Times New Roman"/>
                <w:sz w:val="21"/>
                <w:szCs w:val="21"/>
                <w:lang w:val="en-US" w:eastAsia="zh-CN"/>
              </w:rPr>
              <w:t>0.47</w:t>
            </w:r>
          </w:p>
        </w:tc>
      </w:tr>
      <w:tr w14:paraId="6B7F2AD3">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19" w:hRule="atLeast"/>
          <w:jc w:val="center"/>
        </w:trPr>
        <w:tc>
          <w:tcPr>
            <w:tcW w:w="193" w:type="pct"/>
            <w:vMerge w:val="restart"/>
            <w:vAlign w:val="center"/>
          </w:tcPr>
          <w:p w14:paraId="3A96AD75">
            <w:pPr>
              <w:widowControl w:val="0"/>
              <w:spacing w:line="300" w:lineRule="exact"/>
              <w:jc w:val="center"/>
              <w:rPr>
                <w:rFonts w:hint="default" w:ascii="Times New Roman" w:hAnsi="Times New Roman" w:cs="Times New Roman"/>
                <w:sz w:val="21"/>
                <w:szCs w:val="21"/>
                <w:lang w:val="en-US" w:eastAsia="zh-CN"/>
              </w:rPr>
            </w:pPr>
            <w:r>
              <w:rPr>
                <w:rFonts w:hint="eastAsia" w:ascii="Times New Roman" w:hAnsi="Times New Roman" w:cs="Times New Roman"/>
                <w:sz w:val="21"/>
                <w:szCs w:val="21"/>
                <w:lang w:val="en-US" w:eastAsia="zh-CN"/>
              </w:rPr>
              <w:t>4</w:t>
            </w:r>
          </w:p>
        </w:tc>
        <w:tc>
          <w:tcPr>
            <w:tcW w:w="306" w:type="pct"/>
            <w:vMerge w:val="restart"/>
            <w:vAlign w:val="center"/>
          </w:tcPr>
          <w:p w14:paraId="61A7435D">
            <w:pPr>
              <w:widowControl w:val="0"/>
              <w:spacing w:line="300" w:lineRule="exact"/>
              <w:jc w:val="center"/>
              <w:rPr>
                <w:rFonts w:hint="default" w:ascii="Times New Roman" w:hAnsi="Times New Roman" w:cs="Times New Roman"/>
                <w:sz w:val="21"/>
                <w:szCs w:val="21"/>
                <w:lang w:val="en-US" w:eastAsia="zh-CN"/>
              </w:rPr>
            </w:pPr>
            <w:r>
              <w:rPr>
                <w:rFonts w:hint="eastAsia" w:ascii="Times New Roman" w:hAnsi="Times New Roman" w:cs="Times New Roman"/>
                <w:sz w:val="21"/>
                <w:szCs w:val="21"/>
                <w:lang w:val="en-US" w:eastAsia="zh-CN"/>
              </w:rPr>
              <w:t>DA011</w:t>
            </w:r>
          </w:p>
        </w:tc>
        <w:tc>
          <w:tcPr>
            <w:tcW w:w="349" w:type="pct"/>
            <w:vMerge w:val="restart"/>
            <w:vAlign w:val="center"/>
          </w:tcPr>
          <w:p w14:paraId="20D48CE8">
            <w:pPr>
              <w:widowControl w:val="0"/>
              <w:spacing w:line="300" w:lineRule="exact"/>
              <w:jc w:val="center"/>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64</w:t>
            </w:r>
          </w:p>
        </w:tc>
        <w:tc>
          <w:tcPr>
            <w:tcW w:w="350" w:type="pct"/>
            <w:vMerge w:val="restart"/>
            <w:vAlign w:val="center"/>
          </w:tcPr>
          <w:p w14:paraId="2482062E">
            <w:pPr>
              <w:widowControl w:val="0"/>
              <w:spacing w:line="300" w:lineRule="exact"/>
              <w:jc w:val="center"/>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160</w:t>
            </w:r>
          </w:p>
        </w:tc>
        <w:tc>
          <w:tcPr>
            <w:tcW w:w="374" w:type="pct"/>
            <w:vMerge w:val="restart"/>
            <w:vAlign w:val="center"/>
          </w:tcPr>
          <w:p w14:paraId="5E1185A6">
            <w:pPr>
              <w:widowControl w:val="0"/>
              <w:spacing w:line="300" w:lineRule="exact"/>
              <w:jc w:val="center"/>
              <w:rPr>
                <w:rFonts w:hint="default" w:ascii="Times New Roman" w:hAnsi="Times New Roman" w:cs="Times New Roman"/>
                <w:sz w:val="21"/>
                <w:szCs w:val="21"/>
                <w:lang w:val="en-US" w:eastAsia="zh-CN"/>
              </w:rPr>
            </w:pPr>
            <w:r>
              <w:rPr>
                <w:rFonts w:hint="eastAsia" w:ascii="Times New Roman" w:hAnsi="Times New Roman" w:cs="Times New Roman"/>
                <w:sz w:val="21"/>
                <w:szCs w:val="21"/>
                <w:lang w:val="en-US" w:eastAsia="zh-CN"/>
              </w:rPr>
              <w:t>353</w:t>
            </w:r>
          </w:p>
        </w:tc>
        <w:tc>
          <w:tcPr>
            <w:tcW w:w="340" w:type="pct"/>
            <w:vMerge w:val="restart"/>
            <w:vAlign w:val="center"/>
          </w:tcPr>
          <w:p w14:paraId="3E5C0E8A">
            <w:pPr>
              <w:widowControl w:val="0"/>
              <w:spacing w:line="300" w:lineRule="exact"/>
              <w:jc w:val="center"/>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60</w:t>
            </w:r>
          </w:p>
        </w:tc>
        <w:tc>
          <w:tcPr>
            <w:tcW w:w="384" w:type="pct"/>
            <w:vMerge w:val="restart"/>
            <w:vAlign w:val="center"/>
          </w:tcPr>
          <w:p w14:paraId="785E4214">
            <w:pPr>
              <w:widowControl w:val="0"/>
              <w:spacing w:line="300" w:lineRule="exact"/>
              <w:jc w:val="center"/>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1.8</w:t>
            </w:r>
          </w:p>
        </w:tc>
        <w:tc>
          <w:tcPr>
            <w:tcW w:w="401" w:type="pct"/>
            <w:vMerge w:val="restart"/>
            <w:vAlign w:val="center"/>
          </w:tcPr>
          <w:p w14:paraId="68DBD431">
            <w:pPr>
              <w:widowControl w:val="0"/>
              <w:spacing w:line="300" w:lineRule="exact"/>
              <w:jc w:val="center"/>
              <w:rPr>
                <w:rFonts w:hint="default" w:ascii="Times New Roman" w:hAnsi="Times New Roman" w:cs="Times New Roman"/>
                <w:sz w:val="21"/>
                <w:szCs w:val="21"/>
                <w:lang w:val="en-US" w:eastAsia="zh-CN"/>
              </w:rPr>
            </w:pPr>
            <w:r>
              <w:rPr>
                <w:rFonts w:hint="eastAsia" w:ascii="Times New Roman" w:hAnsi="Times New Roman" w:cs="Times New Roman"/>
                <w:sz w:val="21"/>
                <w:szCs w:val="21"/>
                <w:lang w:val="en-US" w:eastAsia="zh-CN"/>
              </w:rPr>
              <w:t>180000</w:t>
            </w:r>
          </w:p>
        </w:tc>
        <w:tc>
          <w:tcPr>
            <w:tcW w:w="392" w:type="pct"/>
            <w:vMerge w:val="restart"/>
            <w:vAlign w:val="center"/>
          </w:tcPr>
          <w:p w14:paraId="299C14A9">
            <w:pPr>
              <w:widowControl w:val="0"/>
              <w:spacing w:line="300" w:lineRule="exact"/>
              <w:jc w:val="center"/>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19.66</w:t>
            </w:r>
          </w:p>
        </w:tc>
        <w:tc>
          <w:tcPr>
            <w:tcW w:w="286" w:type="pct"/>
            <w:vMerge w:val="restart"/>
            <w:vAlign w:val="center"/>
          </w:tcPr>
          <w:p w14:paraId="3062298D">
            <w:pPr>
              <w:widowControl w:val="0"/>
              <w:spacing w:line="300" w:lineRule="exact"/>
              <w:jc w:val="center"/>
              <w:rPr>
                <w:rFonts w:hint="default" w:ascii="Times New Roman" w:hAnsi="Times New Roman" w:cs="Times New Roman"/>
                <w:sz w:val="21"/>
                <w:szCs w:val="21"/>
                <w:lang w:val="en-US" w:eastAsia="zh-CN"/>
              </w:rPr>
            </w:pPr>
            <w:r>
              <w:rPr>
                <w:rFonts w:hint="eastAsia" w:ascii="Times New Roman" w:hAnsi="Times New Roman" w:cs="Times New Roman"/>
                <w:sz w:val="21"/>
                <w:szCs w:val="21"/>
                <w:lang w:val="en-US" w:eastAsia="zh-CN"/>
              </w:rPr>
              <w:t>120</w:t>
            </w:r>
          </w:p>
        </w:tc>
        <w:tc>
          <w:tcPr>
            <w:tcW w:w="383" w:type="pct"/>
            <w:vMerge w:val="restart"/>
            <w:vAlign w:val="center"/>
          </w:tcPr>
          <w:p w14:paraId="7863D885">
            <w:pPr>
              <w:widowControl w:val="0"/>
              <w:spacing w:line="300" w:lineRule="exact"/>
              <w:jc w:val="center"/>
              <w:rPr>
                <w:rFonts w:hint="default" w:ascii="Times New Roman" w:hAnsi="Times New Roman" w:cs="Times New Roman"/>
                <w:sz w:val="21"/>
                <w:szCs w:val="21"/>
                <w:lang w:val="en-US" w:eastAsia="zh-CN"/>
              </w:rPr>
            </w:pPr>
            <w:r>
              <w:rPr>
                <w:rFonts w:hint="eastAsia" w:ascii="Times New Roman" w:hAnsi="Times New Roman" w:cs="Times New Roman"/>
                <w:sz w:val="21"/>
                <w:szCs w:val="21"/>
                <w:lang w:val="en-US" w:eastAsia="zh-CN"/>
              </w:rPr>
              <w:t>7920</w:t>
            </w:r>
          </w:p>
        </w:tc>
        <w:tc>
          <w:tcPr>
            <w:tcW w:w="217" w:type="pct"/>
            <w:vMerge w:val="restart"/>
            <w:vAlign w:val="center"/>
          </w:tcPr>
          <w:p w14:paraId="5C4DEF93">
            <w:pPr>
              <w:widowControl w:val="0"/>
              <w:spacing w:line="300" w:lineRule="exact"/>
              <w:jc w:val="center"/>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正常排放</w:t>
            </w:r>
          </w:p>
        </w:tc>
        <w:tc>
          <w:tcPr>
            <w:tcW w:w="514" w:type="pct"/>
            <w:vAlign w:val="center"/>
          </w:tcPr>
          <w:p w14:paraId="0A57BB29">
            <w:pPr>
              <w:widowControl w:val="0"/>
              <w:spacing w:line="300" w:lineRule="exact"/>
              <w:jc w:val="center"/>
              <w:rPr>
                <w:rFonts w:hint="eastAsia" w:ascii="Times New Roman" w:hAnsi="Times New Roman" w:cs="Times New Roman"/>
                <w:sz w:val="21"/>
                <w:szCs w:val="21"/>
                <w:lang w:val="en-US" w:eastAsia="zh-CN"/>
              </w:rPr>
            </w:pPr>
            <w:r>
              <w:rPr>
                <w:rFonts w:hint="eastAsia" w:ascii="Times New Roman" w:hAnsi="Times New Roman" w:cs="Times New Roman"/>
                <w:sz w:val="21"/>
                <w:szCs w:val="21"/>
                <w:lang w:val="en-US" w:eastAsia="zh-CN"/>
              </w:rPr>
              <w:t>颗粒物</w:t>
            </w:r>
          </w:p>
        </w:tc>
        <w:tc>
          <w:tcPr>
            <w:tcW w:w="504" w:type="pct"/>
            <w:vAlign w:val="center"/>
          </w:tcPr>
          <w:p w14:paraId="4FAD52F8">
            <w:pPr>
              <w:widowControl w:val="0"/>
              <w:spacing w:line="300" w:lineRule="exact"/>
              <w:jc w:val="center"/>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1.8</w:t>
            </w:r>
          </w:p>
        </w:tc>
      </w:tr>
      <w:tr w14:paraId="4F9783E6">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19" w:hRule="atLeast"/>
          <w:jc w:val="center"/>
        </w:trPr>
        <w:tc>
          <w:tcPr>
            <w:tcW w:w="193" w:type="pct"/>
            <w:vMerge w:val="continue"/>
            <w:vAlign w:val="center"/>
          </w:tcPr>
          <w:p w14:paraId="34B377FC">
            <w:pPr>
              <w:widowControl w:val="0"/>
              <w:spacing w:line="300" w:lineRule="exact"/>
              <w:jc w:val="center"/>
              <w:rPr>
                <w:rFonts w:hint="default" w:ascii="Times New Roman" w:hAnsi="Times New Roman" w:cs="Times New Roman"/>
                <w:sz w:val="21"/>
                <w:szCs w:val="21"/>
                <w:lang w:val="en-US" w:eastAsia="zh-CN"/>
              </w:rPr>
            </w:pPr>
          </w:p>
        </w:tc>
        <w:tc>
          <w:tcPr>
            <w:tcW w:w="306" w:type="pct"/>
            <w:vMerge w:val="continue"/>
            <w:vAlign w:val="center"/>
          </w:tcPr>
          <w:p w14:paraId="6124BDFE">
            <w:pPr>
              <w:widowControl w:val="0"/>
              <w:spacing w:line="300" w:lineRule="exact"/>
              <w:jc w:val="center"/>
              <w:rPr>
                <w:rFonts w:hint="default" w:ascii="Times New Roman" w:hAnsi="Times New Roman" w:cs="Times New Roman"/>
                <w:sz w:val="21"/>
                <w:szCs w:val="21"/>
                <w:lang w:val="en-US" w:eastAsia="zh-CN"/>
              </w:rPr>
            </w:pPr>
          </w:p>
        </w:tc>
        <w:tc>
          <w:tcPr>
            <w:tcW w:w="349" w:type="pct"/>
            <w:vMerge w:val="continue"/>
            <w:vAlign w:val="center"/>
          </w:tcPr>
          <w:p w14:paraId="0BDBB7EC">
            <w:pPr>
              <w:widowControl w:val="0"/>
              <w:spacing w:line="300" w:lineRule="exact"/>
              <w:jc w:val="center"/>
              <w:rPr>
                <w:rFonts w:hint="default" w:ascii="Times New Roman" w:hAnsi="Times New Roman" w:cs="Times New Roman"/>
                <w:sz w:val="21"/>
                <w:szCs w:val="21"/>
                <w:lang w:val="en-US" w:eastAsia="zh-CN"/>
              </w:rPr>
            </w:pPr>
          </w:p>
        </w:tc>
        <w:tc>
          <w:tcPr>
            <w:tcW w:w="350" w:type="pct"/>
            <w:vMerge w:val="continue"/>
            <w:vAlign w:val="center"/>
          </w:tcPr>
          <w:p w14:paraId="2AC27E80">
            <w:pPr>
              <w:widowControl w:val="0"/>
              <w:spacing w:line="300" w:lineRule="exact"/>
              <w:jc w:val="center"/>
              <w:rPr>
                <w:rFonts w:hint="default" w:ascii="Times New Roman" w:hAnsi="Times New Roman" w:cs="Times New Roman"/>
                <w:sz w:val="21"/>
                <w:szCs w:val="21"/>
                <w:lang w:val="en-US" w:eastAsia="zh-CN"/>
              </w:rPr>
            </w:pPr>
          </w:p>
        </w:tc>
        <w:tc>
          <w:tcPr>
            <w:tcW w:w="374" w:type="pct"/>
            <w:vMerge w:val="continue"/>
            <w:vAlign w:val="center"/>
          </w:tcPr>
          <w:p w14:paraId="28C8D60D">
            <w:pPr>
              <w:widowControl w:val="0"/>
              <w:spacing w:line="300" w:lineRule="exact"/>
              <w:jc w:val="center"/>
              <w:rPr>
                <w:rFonts w:hint="default" w:ascii="Times New Roman" w:hAnsi="Times New Roman" w:cs="Times New Roman"/>
                <w:sz w:val="21"/>
                <w:szCs w:val="21"/>
                <w:lang w:val="en-US" w:eastAsia="zh-CN"/>
              </w:rPr>
            </w:pPr>
          </w:p>
        </w:tc>
        <w:tc>
          <w:tcPr>
            <w:tcW w:w="340" w:type="pct"/>
            <w:vMerge w:val="continue"/>
            <w:vAlign w:val="center"/>
          </w:tcPr>
          <w:p w14:paraId="1A2C95DA">
            <w:pPr>
              <w:widowControl w:val="0"/>
              <w:spacing w:line="300" w:lineRule="exact"/>
              <w:jc w:val="center"/>
              <w:rPr>
                <w:rFonts w:hint="default" w:ascii="Times New Roman" w:hAnsi="Times New Roman" w:cs="Times New Roman"/>
                <w:sz w:val="21"/>
                <w:szCs w:val="21"/>
                <w:lang w:val="en-US" w:eastAsia="zh-CN"/>
              </w:rPr>
            </w:pPr>
          </w:p>
        </w:tc>
        <w:tc>
          <w:tcPr>
            <w:tcW w:w="384" w:type="pct"/>
            <w:vMerge w:val="continue"/>
            <w:vAlign w:val="center"/>
          </w:tcPr>
          <w:p w14:paraId="357EDF20">
            <w:pPr>
              <w:widowControl w:val="0"/>
              <w:spacing w:line="300" w:lineRule="exact"/>
              <w:jc w:val="center"/>
              <w:rPr>
                <w:rFonts w:hint="default" w:ascii="Times New Roman" w:hAnsi="Times New Roman" w:cs="Times New Roman"/>
                <w:sz w:val="21"/>
                <w:szCs w:val="21"/>
                <w:lang w:val="en-US" w:eastAsia="zh-CN"/>
              </w:rPr>
            </w:pPr>
          </w:p>
        </w:tc>
        <w:tc>
          <w:tcPr>
            <w:tcW w:w="401" w:type="pct"/>
            <w:vMerge w:val="continue"/>
            <w:vAlign w:val="center"/>
          </w:tcPr>
          <w:p w14:paraId="173E9320">
            <w:pPr>
              <w:widowControl w:val="0"/>
              <w:spacing w:line="300" w:lineRule="exact"/>
              <w:jc w:val="center"/>
              <w:rPr>
                <w:rFonts w:hint="default" w:ascii="Times New Roman" w:hAnsi="Times New Roman" w:cs="Times New Roman"/>
                <w:sz w:val="21"/>
                <w:szCs w:val="21"/>
                <w:lang w:val="en-US" w:eastAsia="zh-CN"/>
              </w:rPr>
            </w:pPr>
          </w:p>
        </w:tc>
        <w:tc>
          <w:tcPr>
            <w:tcW w:w="392" w:type="pct"/>
            <w:vMerge w:val="continue"/>
            <w:vAlign w:val="center"/>
          </w:tcPr>
          <w:p w14:paraId="397325EF">
            <w:pPr>
              <w:widowControl w:val="0"/>
              <w:spacing w:line="300" w:lineRule="exact"/>
              <w:jc w:val="center"/>
              <w:rPr>
                <w:rFonts w:hint="default" w:ascii="Times New Roman" w:hAnsi="Times New Roman" w:cs="Times New Roman"/>
                <w:sz w:val="21"/>
                <w:szCs w:val="21"/>
                <w:lang w:val="en-US" w:eastAsia="zh-CN"/>
              </w:rPr>
            </w:pPr>
          </w:p>
        </w:tc>
        <w:tc>
          <w:tcPr>
            <w:tcW w:w="286" w:type="pct"/>
            <w:vMerge w:val="continue"/>
            <w:vAlign w:val="center"/>
          </w:tcPr>
          <w:p w14:paraId="4A3E6935">
            <w:pPr>
              <w:widowControl w:val="0"/>
              <w:spacing w:line="300" w:lineRule="exact"/>
              <w:jc w:val="center"/>
              <w:rPr>
                <w:rFonts w:hint="default" w:ascii="Times New Roman" w:hAnsi="Times New Roman" w:cs="Times New Roman"/>
                <w:sz w:val="21"/>
                <w:szCs w:val="21"/>
                <w:lang w:val="en-US" w:eastAsia="zh-CN"/>
              </w:rPr>
            </w:pPr>
          </w:p>
        </w:tc>
        <w:tc>
          <w:tcPr>
            <w:tcW w:w="383" w:type="pct"/>
            <w:vMerge w:val="continue"/>
            <w:vAlign w:val="center"/>
          </w:tcPr>
          <w:p w14:paraId="77FFC393">
            <w:pPr>
              <w:widowControl w:val="0"/>
              <w:spacing w:line="300" w:lineRule="exact"/>
              <w:jc w:val="center"/>
              <w:rPr>
                <w:rFonts w:hint="default" w:ascii="Times New Roman" w:hAnsi="Times New Roman" w:cs="Times New Roman"/>
                <w:sz w:val="21"/>
                <w:szCs w:val="21"/>
                <w:lang w:val="en-US" w:eastAsia="zh-CN"/>
              </w:rPr>
            </w:pPr>
          </w:p>
        </w:tc>
        <w:tc>
          <w:tcPr>
            <w:tcW w:w="217" w:type="pct"/>
            <w:vMerge w:val="continue"/>
            <w:vAlign w:val="center"/>
          </w:tcPr>
          <w:p w14:paraId="461A634D">
            <w:pPr>
              <w:widowControl w:val="0"/>
              <w:spacing w:line="300" w:lineRule="exact"/>
              <w:jc w:val="center"/>
              <w:rPr>
                <w:rFonts w:hint="default" w:ascii="Times New Roman" w:hAnsi="Times New Roman" w:cs="Times New Roman"/>
                <w:sz w:val="21"/>
                <w:szCs w:val="21"/>
                <w:lang w:val="en-US" w:eastAsia="zh-CN"/>
              </w:rPr>
            </w:pPr>
          </w:p>
        </w:tc>
        <w:tc>
          <w:tcPr>
            <w:tcW w:w="514" w:type="pct"/>
            <w:vAlign w:val="center"/>
          </w:tcPr>
          <w:p w14:paraId="2D1B3A99">
            <w:pPr>
              <w:widowControl w:val="0"/>
              <w:spacing w:line="300" w:lineRule="exact"/>
              <w:jc w:val="center"/>
              <w:rPr>
                <w:rFonts w:hint="eastAsia" w:ascii="Times New Roman" w:hAnsi="Times New Roman" w:cs="Times New Roman"/>
                <w:sz w:val="21"/>
                <w:szCs w:val="21"/>
                <w:lang w:val="en-US" w:eastAsia="zh-CN"/>
              </w:rPr>
            </w:pPr>
            <w:r>
              <w:rPr>
                <w:rFonts w:hint="default" w:ascii="Times New Roman" w:hAnsi="Times New Roman" w:cs="Times New Roman"/>
                <w:sz w:val="21"/>
                <w:szCs w:val="21"/>
                <w:lang w:val="en-US" w:eastAsia="zh-CN"/>
              </w:rPr>
              <w:t>二氧化硫</w:t>
            </w:r>
          </w:p>
        </w:tc>
        <w:tc>
          <w:tcPr>
            <w:tcW w:w="504" w:type="pct"/>
            <w:vAlign w:val="center"/>
          </w:tcPr>
          <w:p w14:paraId="6B433839">
            <w:pPr>
              <w:widowControl w:val="0"/>
              <w:spacing w:line="300" w:lineRule="exact"/>
              <w:jc w:val="center"/>
              <w:rPr>
                <w:rFonts w:hint="eastAsia" w:ascii="Times New Roman" w:hAnsi="Times New Roman" w:cs="Times New Roman"/>
                <w:sz w:val="21"/>
                <w:szCs w:val="21"/>
                <w:lang w:val="en-US" w:eastAsia="zh-CN"/>
              </w:rPr>
            </w:pPr>
            <w:r>
              <w:rPr>
                <w:rFonts w:hint="default" w:ascii="Times New Roman" w:hAnsi="Times New Roman" w:cs="Times New Roman"/>
                <w:sz w:val="21"/>
                <w:szCs w:val="21"/>
                <w:lang w:val="en-US" w:eastAsia="zh-CN"/>
              </w:rPr>
              <w:t>1.95</w:t>
            </w:r>
          </w:p>
        </w:tc>
      </w:tr>
      <w:tr w14:paraId="5937D4E3">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19" w:hRule="atLeast"/>
          <w:jc w:val="center"/>
        </w:trPr>
        <w:tc>
          <w:tcPr>
            <w:tcW w:w="193" w:type="pct"/>
            <w:vMerge w:val="continue"/>
            <w:vAlign w:val="center"/>
          </w:tcPr>
          <w:p w14:paraId="033F97AA">
            <w:pPr>
              <w:widowControl w:val="0"/>
              <w:spacing w:line="300" w:lineRule="exact"/>
              <w:jc w:val="center"/>
              <w:rPr>
                <w:rFonts w:hint="eastAsia" w:ascii="Times New Roman" w:hAnsi="Times New Roman" w:cs="Times New Roman"/>
                <w:sz w:val="21"/>
                <w:szCs w:val="21"/>
                <w:lang w:val="en-US" w:eastAsia="zh-CN"/>
              </w:rPr>
            </w:pPr>
          </w:p>
        </w:tc>
        <w:tc>
          <w:tcPr>
            <w:tcW w:w="306" w:type="pct"/>
            <w:vMerge w:val="continue"/>
            <w:vAlign w:val="center"/>
          </w:tcPr>
          <w:p w14:paraId="060168DE">
            <w:pPr>
              <w:widowControl w:val="0"/>
              <w:spacing w:line="300" w:lineRule="exact"/>
              <w:jc w:val="center"/>
              <w:rPr>
                <w:rFonts w:hint="eastAsia" w:ascii="Times New Roman" w:hAnsi="Times New Roman" w:cs="Times New Roman"/>
                <w:sz w:val="21"/>
                <w:szCs w:val="21"/>
                <w:lang w:val="en-US" w:eastAsia="zh-CN"/>
              </w:rPr>
            </w:pPr>
          </w:p>
        </w:tc>
        <w:tc>
          <w:tcPr>
            <w:tcW w:w="349" w:type="pct"/>
            <w:vMerge w:val="continue"/>
            <w:vAlign w:val="center"/>
          </w:tcPr>
          <w:p w14:paraId="28A734D1">
            <w:pPr>
              <w:widowControl w:val="0"/>
              <w:spacing w:line="300" w:lineRule="exact"/>
              <w:jc w:val="center"/>
              <w:rPr>
                <w:rFonts w:hint="eastAsia" w:ascii="Times New Roman" w:hAnsi="Times New Roman" w:cs="Times New Roman"/>
                <w:sz w:val="21"/>
                <w:szCs w:val="21"/>
                <w:lang w:val="en-US" w:eastAsia="zh-CN"/>
              </w:rPr>
            </w:pPr>
          </w:p>
        </w:tc>
        <w:tc>
          <w:tcPr>
            <w:tcW w:w="350" w:type="pct"/>
            <w:vMerge w:val="continue"/>
            <w:vAlign w:val="center"/>
          </w:tcPr>
          <w:p w14:paraId="55FBEEC6">
            <w:pPr>
              <w:widowControl w:val="0"/>
              <w:spacing w:line="300" w:lineRule="exact"/>
              <w:jc w:val="center"/>
              <w:rPr>
                <w:rFonts w:hint="eastAsia" w:ascii="Times New Roman" w:hAnsi="Times New Roman" w:cs="Times New Roman"/>
                <w:sz w:val="21"/>
                <w:szCs w:val="21"/>
                <w:lang w:val="en-US" w:eastAsia="zh-CN"/>
              </w:rPr>
            </w:pPr>
          </w:p>
        </w:tc>
        <w:tc>
          <w:tcPr>
            <w:tcW w:w="374" w:type="pct"/>
            <w:vMerge w:val="continue"/>
            <w:vAlign w:val="center"/>
          </w:tcPr>
          <w:p w14:paraId="2542B99E">
            <w:pPr>
              <w:widowControl w:val="0"/>
              <w:spacing w:line="300" w:lineRule="exact"/>
              <w:jc w:val="center"/>
              <w:rPr>
                <w:rFonts w:hint="eastAsia" w:ascii="Times New Roman" w:hAnsi="Times New Roman" w:cs="Times New Roman"/>
                <w:sz w:val="21"/>
                <w:szCs w:val="21"/>
                <w:lang w:val="en-US" w:eastAsia="zh-CN"/>
              </w:rPr>
            </w:pPr>
          </w:p>
        </w:tc>
        <w:tc>
          <w:tcPr>
            <w:tcW w:w="340" w:type="pct"/>
            <w:vMerge w:val="continue"/>
            <w:vAlign w:val="center"/>
          </w:tcPr>
          <w:p w14:paraId="6AC92609">
            <w:pPr>
              <w:widowControl w:val="0"/>
              <w:spacing w:line="300" w:lineRule="exact"/>
              <w:jc w:val="center"/>
              <w:rPr>
                <w:rFonts w:hint="eastAsia" w:ascii="Times New Roman" w:hAnsi="Times New Roman" w:cs="Times New Roman"/>
                <w:sz w:val="21"/>
                <w:szCs w:val="21"/>
                <w:lang w:val="en-US" w:eastAsia="zh-CN"/>
              </w:rPr>
            </w:pPr>
          </w:p>
        </w:tc>
        <w:tc>
          <w:tcPr>
            <w:tcW w:w="384" w:type="pct"/>
            <w:vMerge w:val="continue"/>
            <w:vAlign w:val="center"/>
          </w:tcPr>
          <w:p w14:paraId="00660D4E">
            <w:pPr>
              <w:widowControl w:val="0"/>
              <w:spacing w:line="300" w:lineRule="exact"/>
              <w:jc w:val="center"/>
              <w:rPr>
                <w:rFonts w:hint="eastAsia" w:ascii="Times New Roman" w:hAnsi="Times New Roman" w:cs="Times New Roman"/>
                <w:sz w:val="21"/>
                <w:szCs w:val="21"/>
                <w:lang w:val="en-US" w:eastAsia="zh-CN"/>
              </w:rPr>
            </w:pPr>
          </w:p>
        </w:tc>
        <w:tc>
          <w:tcPr>
            <w:tcW w:w="401" w:type="pct"/>
            <w:vMerge w:val="continue"/>
            <w:vAlign w:val="center"/>
          </w:tcPr>
          <w:p w14:paraId="3D756F94">
            <w:pPr>
              <w:widowControl w:val="0"/>
              <w:spacing w:line="300" w:lineRule="exact"/>
              <w:jc w:val="center"/>
              <w:rPr>
                <w:rFonts w:hint="eastAsia" w:ascii="Times New Roman" w:hAnsi="Times New Roman" w:cs="Times New Roman"/>
                <w:sz w:val="21"/>
                <w:szCs w:val="21"/>
                <w:lang w:val="en-US" w:eastAsia="zh-CN"/>
              </w:rPr>
            </w:pPr>
          </w:p>
        </w:tc>
        <w:tc>
          <w:tcPr>
            <w:tcW w:w="392" w:type="pct"/>
            <w:vMerge w:val="continue"/>
            <w:vAlign w:val="center"/>
          </w:tcPr>
          <w:p w14:paraId="4138948E">
            <w:pPr>
              <w:widowControl w:val="0"/>
              <w:spacing w:line="300" w:lineRule="exact"/>
              <w:jc w:val="center"/>
              <w:rPr>
                <w:rFonts w:hint="default" w:ascii="Times New Roman" w:hAnsi="Times New Roman" w:cs="Times New Roman"/>
                <w:sz w:val="21"/>
                <w:szCs w:val="21"/>
                <w:lang w:val="en-US" w:eastAsia="zh-CN"/>
              </w:rPr>
            </w:pPr>
          </w:p>
        </w:tc>
        <w:tc>
          <w:tcPr>
            <w:tcW w:w="286" w:type="pct"/>
            <w:vMerge w:val="continue"/>
            <w:vAlign w:val="center"/>
          </w:tcPr>
          <w:p w14:paraId="7E10E75B">
            <w:pPr>
              <w:widowControl w:val="0"/>
              <w:spacing w:line="300" w:lineRule="exact"/>
              <w:jc w:val="center"/>
              <w:rPr>
                <w:rFonts w:hint="eastAsia" w:ascii="Times New Roman" w:hAnsi="Times New Roman" w:cs="Times New Roman"/>
                <w:sz w:val="21"/>
                <w:szCs w:val="21"/>
                <w:lang w:val="en-US" w:eastAsia="zh-CN"/>
              </w:rPr>
            </w:pPr>
          </w:p>
        </w:tc>
        <w:tc>
          <w:tcPr>
            <w:tcW w:w="383" w:type="pct"/>
            <w:vMerge w:val="continue"/>
            <w:vAlign w:val="center"/>
          </w:tcPr>
          <w:p w14:paraId="5F95B887">
            <w:pPr>
              <w:widowControl w:val="0"/>
              <w:spacing w:line="300" w:lineRule="exact"/>
              <w:jc w:val="center"/>
              <w:rPr>
                <w:rFonts w:hint="eastAsia" w:ascii="Times New Roman" w:hAnsi="Times New Roman" w:cs="Times New Roman"/>
                <w:sz w:val="21"/>
                <w:szCs w:val="21"/>
                <w:lang w:val="en-US" w:eastAsia="zh-CN"/>
              </w:rPr>
            </w:pPr>
          </w:p>
        </w:tc>
        <w:tc>
          <w:tcPr>
            <w:tcW w:w="217" w:type="pct"/>
            <w:vMerge w:val="continue"/>
            <w:vAlign w:val="center"/>
          </w:tcPr>
          <w:p w14:paraId="0730B1CA">
            <w:pPr>
              <w:widowControl w:val="0"/>
              <w:spacing w:line="300" w:lineRule="exact"/>
              <w:jc w:val="center"/>
              <w:rPr>
                <w:rFonts w:hint="eastAsia" w:ascii="Times New Roman" w:hAnsi="Times New Roman" w:cs="Times New Roman"/>
                <w:sz w:val="21"/>
                <w:szCs w:val="21"/>
                <w:lang w:val="en-US" w:eastAsia="zh-CN"/>
              </w:rPr>
            </w:pPr>
          </w:p>
        </w:tc>
        <w:tc>
          <w:tcPr>
            <w:tcW w:w="514" w:type="pct"/>
            <w:vAlign w:val="center"/>
          </w:tcPr>
          <w:p w14:paraId="7602345D">
            <w:pPr>
              <w:widowControl w:val="0"/>
              <w:spacing w:line="300" w:lineRule="exact"/>
              <w:jc w:val="center"/>
              <w:rPr>
                <w:rFonts w:hint="eastAsia" w:ascii="Times New Roman" w:hAnsi="Times New Roman" w:cs="Times New Roman"/>
                <w:sz w:val="21"/>
                <w:szCs w:val="21"/>
                <w:lang w:val="en-US" w:eastAsia="zh-CN"/>
              </w:rPr>
            </w:pPr>
            <w:r>
              <w:rPr>
                <w:rFonts w:hint="eastAsia" w:ascii="Times New Roman" w:hAnsi="Times New Roman" w:cs="Times New Roman"/>
                <w:sz w:val="21"/>
                <w:szCs w:val="21"/>
                <w:lang w:val="en-US" w:eastAsia="zh-CN"/>
              </w:rPr>
              <w:t>氮氧化物</w:t>
            </w:r>
          </w:p>
        </w:tc>
        <w:tc>
          <w:tcPr>
            <w:tcW w:w="504" w:type="pct"/>
            <w:vAlign w:val="center"/>
          </w:tcPr>
          <w:p w14:paraId="62A32969">
            <w:pPr>
              <w:widowControl w:val="0"/>
              <w:spacing w:line="300" w:lineRule="exact"/>
              <w:jc w:val="center"/>
              <w:rPr>
                <w:rFonts w:hint="eastAsia" w:ascii="Times New Roman" w:hAnsi="Times New Roman" w:cs="Times New Roman"/>
                <w:sz w:val="21"/>
                <w:szCs w:val="21"/>
                <w:lang w:val="en-US" w:eastAsia="zh-CN"/>
              </w:rPr>
            </w:pPr>
            <w:r>
              <w:rPr>
                <w:rFonts w:hint="default" w:ascii="Times New Roman" w:hAnsi="Times New Roman" w:cs="Times New Roman"/>
                <w:sz w:val="21"/>
                <w:szCs w:val="21"/>
                <w:lang w:val="en-US" w:eastAsia="zh-CN"/>
              </w:rPr>
              <w:t>2.7</w:t>
            </w:r>
          </w:p>
        </w:tc>
      </w:tr>
      <w:tr w14:paraId="756D853E">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19" w:hRule="atLeast"/>
          <w:jc w:val="center"/>
        </w:trPr>
        <w:tc>
          <w:tcPr>
            <w:tcW w:w="193" w:type="pct"/>
            <w:vMerge w:val="continue"/>
            <w:vAlign w:val="center"/>
          </w:tcPr>
          <w:p w14:paraId="6348280F">
            <w:pPr>
              <w:widowControl w:val="0"/>
              <w:spacing w:line="300" w:lineRule="exact"/>
              <w:jc w:val="center"/>
              <w:rPr>
                <w:rFonts w:hint="eastAsia" w:ascii="Times New Roman" w:hAnsi="Times New Roman" w:cs="Times New Roman"/>
                <w:sz w:val="21"/>
                <w:szCs w:val="21"/>
                <w:lang w:val="en-US" w:eastAsia="zh-CN"/>
              </w:rPr>
            </w:pPr>
          </w:p>
        </w:tc>
        <w:tc>
          <w:tcPr>
            <w:tcW w:w="306" w:type="pct"/>
            <w:vMerge w:val="continue"/>
            <w:vAlign w:val="center"/>
          </w:tcPr>
          <w:p w14:paraId="1BCDDCF9">
            <w:pPr>
              <w:widowControl w:val="0"/>
              <w:spacing w:line="300" w:lineRule="exact"/>
              <w:jc w:val="center"/>
              <w:rPr>
                <w:rFonts w:hint="eastAsia" w:ascii="Times New Roman" w:hAnsi="Times New Roman" w:cs="Times New Roman"/>
                <w:sz w:val="21"/>
                <w:szCs w:val="21"/>
                <w:lang w:val="en-US" w:eastAsia="zh-CN"/>
              </w:rPr>
            </w:pPr>
          </w:p>
        </w:tc>
        <w:tc>
          <w:tcPr>
            <w:tcW w:w="349" w:type="pct"/>
            <w:vMerge w:val="continue"/>
            <w:vAlign w:val="center"/>
          </w:tcPr>
          <w:p w14:paraId="0ECA5D7C">
            <w:pPr>
              <w:widowControl w:val="0"/>
              <w:spacing w:line="300" w:lineRule="exact"/>
              <w:jc w:val="center"/>
              <w:rPr>
                <w:rFonts w:hint="eastAsia" w:ascii="Times New Roman" w:hAnsi="Times New Roman" w:cs="Times New Roman"/>
                <w:sz w:val="21"/>
                <w:szCs w:val="21"/>
                <w:lang w:val="en-US" w:eastAsia="zh-CN"/>
              </w:rPr>
            </w:pPr>
          </w:p>
        </w:tc>
        <w:tc>
          <w:tcPr>
            <w:tcW w:w="350" w:type="pct"/>
            <w:vMerge w:val="continue"/>
            <w:vAlign w:val="center"/>
          </w:tcPr>
          <w:p w14:paraId="4E0FBEE9">
            <w:pPr>
              <w:widowControl w:val="0"/>
              <w:spacing w:line="300" w:lineRule="exact"/>
              <w:jc w:val="center"/>
              <w:rPr>
                <w:rFonts w:hint="eastAsia" w:ascii="Times New Roman" w:hAnsi="Times New Roman" w:cs="Times New Roman"/>
                <w:sz w:val="21"/>
                <w:szCs w:val="21"/>
                <w:lang w:val="en-US" w:eastAsia="zh-CN"/>
              </w:rPr>
            </w:pPr>
          </w:p>
        </w:tc>
        <w:tc>
          <w:tcPr>
            <w:tcW w:w="374" w:type="pct"/>
            <w:vMerge w:val="continue"/>
            <w:vAlign w:val="center"/>
          </w:tcPr>
          <w:p w14:paraId="54E879EC">
            <w:pPr>
              <w:widowControl w:val="0"/>
              <w:spacing w:line="300" w:lineRule="exact"/>
              <w:jc w:val="center"/>
              <w:rPr>
                <w:rFonts w:hint="eastAsia" w:ascii="Times New Roman" w:hAnsi="Times New Roman" w:cs="Times New Roman"/>
                <w:sz w:val="21"/>
                <w:szCs w:val="21"/>
                <w:lang w:val="en-US" w:eastAsia="zh-CN"/>
              </w:rPr>
            </w:pPr>
          </w:p>
        </w:tc>
        <w:tc>
          <w:tcPr>
            <w:tcW w:w="340" w:type="pct"/>
            <w:vMerge w:val="continue"/>
            <w:vAlign w:val="center"/>
          </w:tcPr>
          <w:p w14:paraId="5E9DF7A5">
            <w:pPr>
              <w:widowControl w:val="0"/>
              <w:spacing w:line="300" w:lineRule="exact"/>
              <w:jc w:val="center"/>
              <w:rPr>
                <w:rFonts w:hint="eastAsia" w:ascii="Times New Roman" w:hAnsi="Times New Roman" w:cs="Times New Roman"/>
                <w:sz w:val="21"/>
                <w:szCs w:val="21"/>
                <w:lang w:val="en-US" w:eastAsia="zh-CN"/>
              </w:rPr>
            </w:pPr>
          </w:p>
        </w:tc>
        <w:tc>
          <w:tcPr>
            <w:tcW w:w="384" w:type="pct"/>
            <w:vMerge w:val="continue"/>
            <w:vAlign w:val="center"/>
          </w:tcPr>
          <w:p w14:paraId="46493A9F">
            <w:pPr>
              <w:widowControl w:val="0"/>
              <w:spacing w:line="300" w:lineRule="exact"/>
              <w:jc w:val="center"/>
              <w:rPr>
                <w:rFonts w:hint="eastAsia" w:ascii="Times New Roman" w:hAnsi="Times New Roman" w:cs="Times New Roman"/>
                <w:sz w:val="21"/>
                <w:szCs w:val="21"/>
                <w:lang w:val="en-US" w:eastAsia="zh-CN"/>
              </w:rPr>
            </w:pPr>
          </w:p>
        </w:tc>
        <w:tc>
          <w:tcPr>
            <w:tcW w:w="401" w:type="pct"/>
            <w:vMerge w:val="continue"/>
            <w:vAlign w:val="center"/>
          </w:tcPr>
          <w:p w14:paraId="4901E9DD">
            <w:pPr>
              <w:widowControl w:val="0"/>
              <w:spacing w:line="300" w:lineRule="exact"/>
              <w:jc w:val="center"/>
              <w:rPr>
                <w:rFonts w:hint="eastAsia" w:ascii="Times New Roman" w:hAnsi="Times New Roman" w:cs="Times New Roman"/>
                <w:sz w:val="21"/>
                <w:szCs w:val="21"/>
                <w:lang w:val="en-US" w:eastAsia="zh-CN"/>
              </w:rPr>
            </w:pPr>
          </w:p>
        </w:tc>
        <w:tc>
          <w:tcPr>
            <w:tcW w:w="392" w:type="pct"/>
            <w:vMerge w:val="continue"/>
            <w:vAlign w:val="center"/>
          </w:tcPr>
          <w:p w14:paraId="632B0E4C">
            <w:pPr>
              <w:widowControl w:val="0"/>
              <w:spacing w:line="300" w:lineRule="exact"/>
              <w:jc w:val="center"/>
              <w:rPr>
                <w:rFonts w:hint="default" w:ascii="Times New Roman" w:hAnsi="Times New Roman" w:cs="Times New Roman"/>
                <w:sz w:val="21"/>
                <w:szCs w:val="21"/>
                <w:lang w:val="en-US" w:eastAsia="zh-CN"/>
              </w:rPr>
            </w:pPr>
          </w:p>
        </w:tc>
        <w:tc>
          <w:tcPr>
            <w:tcW w:w="286" w:type="pct"/>
            <w:vMerge w:val="continue"/>
            <w:vAlign w:val="center"/>
          </w:tcPr>
          <w:p w14:paraId="16AC5EE4">
            <w:pPr>
              <w:widowControl w:val="0"/>
              <w:spacing w:line="300" w:lineRule="exact"/>
              <w:jc w:val="center"/>
              <w:rPr>
                <w:rFonts w:hint="eastAsia" w:ascii="Times New Roman" w:hAnsi="Times New Roman" w:cs="Times New Roman"/>
                <w:sz w:val="21"/>
                <w:szCs w:val="21"/>
                <w:lang w:val="en-US" w:eastAsia="zh-CN"/>
              </w:rPr>
            </w:pPr>
          </w:p>
        </w:tc>
        <w:tc>
          <w:tcPr>
            <w:tcW w:w="383" w:type="pct"/>
            <w:vMerge w:val="continue"/>
            <w:vAlign w:val="center"/>
          </w:tcPr>
          <w:p w14:paraId="5590CA72">
            <w:pPr>
              <w:widowControl w:val="0"/>
              <w:spacing w:line="300" w:lineRule="exact"/>
              <w:jc w:val="center"/>
              <w:rPr>
                <w:rFonts w:hint="eastAsia" w:ascii="Times New Roman" w:hAnsi="Times New Roman" w:cs="Times New Roman"/>
                <w:sz w:val="21"/>
                <w:szCs w:val="21"/>
                <w:lang w:val="en-US" w:eastAsia="zh-CN"/>
              </w:rPr>
            </w:pPr>
          </w:p>
        </w:tc>
        <w:tc>
          <w:tcPr>
            <w:tcW w:w="217" w:type="pct"/>
            <w:vMerge w:val="continue"/>
            <w:vAlign w:val="center"/>
          </w:tcPr>
          <w:p w14:paraId="5F0893D2">
            <w:pPr>
              <w:widowControl w:val="0"/>
              <w:spacing w:line="300" w:lineRule="exact"/>
              <w:jc w:val="center"/>
              <w:rPr>
                <w:rFonts w:hint="eastAsia" w:ascii="Times New Roman" w:hAnsi="Times New Roman" w:cs="Times New Roman"/>
                <w:sz w:val="21"/>
                <w:szCs w:val="21"/>
                <w:lang w:val="en-US" w:eastAsia="zh-CN"/>
              </w:rPr>
            </w:pPr>
          </w:p>
        </w:tc>
        <w:tc>
          <w:tcPr>
            <w:tcW w:w="514" w:type="pct"/>
            <w:vAlign w:val="center"/>
          </w:tcPr>
          <w:p w14:paraId="0D0C9D5D">
            <w:pPr>
              <w:widowControl w:val="0"/>
              <w:spacing w:line="300" w:lineRule="exact"/>
              <w:jc w:val="center"/>
              <w:rPr>
                <w:rFonts w:hint="eastAsia" w:ascii="Times New Roman" w:hAnsi="Times New Roman" w:cs="Times New Roman"/>
                <w:sz w:val="21"/>
                <w:szCs w:val="21"/>
                <w:lang w:val="en-US" w:eastAsia="zh-CN"/>
              </w:rPr>
            </w:pPr>
            <w:r>
              <w:rPr>
                <w:rFonts w:hint="eastAsia" w:ascii="Times New Roman" w:hAnsi="Times New Roman" w:cs="Times New Roman"/>
                <w:sz w:val="21"/>
                <w:szCs w:val="21"/>
                <w:lang w:val="en-US" w:eastAsia="zh-CN"/>
              </w:rPr>
              <w:t>氟化物</w:t>
            </w:r>
          </w:p>
        </w:tc>
        <w:tc>
          <w:tcPr>
            <w:tcW w:w="504" w:type="pct"/>
            <w:vAlign w:val="center"/>
          </w:tcPr>
          <w:p w14:paraId="70A87D0F">
            <w:pPr>
              <w:widowControl w:val="0"/>
              <w:spacing w:line="300" w:lineRule="exact"/>
              <w:jc w:val="center"/>
              <w:rPr>
                <w:rFonts w:hint="eastAsia" w:ascii="Times New Roman" w:hAnsi="Times New Roman" w:cs="Times New Roman"/>
                <w:sz w:val="21"/>
                <w:szCs w:val="21"/>
                <w:lang w:val="en-US" w:eastAsia="zh-CN"/>
              </w:rPr>
            </w:pPr>
            <w:r>
              <w:rPr>
                <w:rFonts w:hint="default" w:ascii="Times New Roman" w:hAnsi="Times New Roman" w:cs="Times New Roman"/>
                <w:sz w:val="21"/>
                <w:szCs w:val="21"/>
                <w:lang w:val="en-US" w:eastAsia="zh-CN"/>
              </w:rPr>
              <w:t>0.006</w:t>
            </w:r>
          </w:p>
        </w:tc>
      </w:tr>
      <w:tr w14:paraId="24E66F41">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19" w:hRule="atLeast"/>
          <w:jc w:val="center"/>
        </w:trPr>
        <w:tc>
          <w:tcPr>
            <w:tcW w:w="193" w:type="pct"/>
            <w:vMerge w:val="continue"/>
            <w:vAlign w:val="center"/>
          </w:tcPr>
          <w:p w14:paraId="1579B0B1">
            <w:pPr>
              <w:widowControl w:val="0"/>
              <w:spacing w:line="300" w:lineRule="exact"/>
              <w:jc w:val="center"/>
              <w:rPr>
                <w:rFonts w:hint="eastAsia" w:ascii="Times New Roman" w:hAnsi="Times New Roman" w:cs="Times New Roman"/>
                <w:sz w:val="21"/>
                <w:szCs w:val="21"/>
                <w:lang w:val="en-US" w:eastAsia="zh-CN"/>
              </w:rPr>
            </w:pPr>
          </w:p>
        </w:tc>
        <w:tc>
          <w:tcPr>
            <w:tcW w:w="306" w:type="pct"/>
            <w:vMerge w:val="continue"/>
            <w:vAlign w:val="center"/>
          </w:tcPr>
          <w:p w14:paraId="580F2133">
            <w:pPr>
              <w:widowControl w:val="0"/>
              <w:spacing w:line="300" w:lineRule="exact"/>
              <w:jc w:val="center"/>
              <w:rPr>
                <w:rFonts w:hint="eastAsia" w:ascii="Times New Roman" w:hAnsi="Times New Roman" w:cs="Times New Roman"/>
                <w:sz w:val="21"/>
                <w:szCs w:val="21"/>
                <w:lang w:val="en-US" w:eastAsia="zh-CN"/>
              </w:rPr>
            </w:pPr>
          </w:p>
        </w:tc>
        <w:tc>
          <w:tcPr>
            <w:tcW w:w="349" w:type="pct"/>
            <w:vMerge w:val="continue"/>
            <w:vAlign w:val="center"/>
          </w:tcPr>
          <w:p w14:paraId="08979414">
            <w:pPr>
              <w:widowControl w:val="0"/>
              <w:spacing w:line="300" w:lineRule="exact"/>
              <w:jc w:val="center"/>
              <w:rPr>
                <w:rFonts w:hint="eastAsia" w:ascii="Times New Roman" w:hAnsi="Times New Roman" w:cs="Times New Roman"/>
                <w:sz w:val="21"/>
                <w:szCs w:val="21"/>
                <w:lang w:val="en-US" w:eastAsia="zh-CN"/>
              </w:rPr>
            </w:pPr>
          </w:p>
        </w:tc>
        <w:tc>
          <w:tcPr>
            <w:tcW w:w="350" w:type="pct"/>
            <w:vMerge w:val="continue"/>
            <w:vAlign w:val="center"/>
          </w:tcPr>
          <w:p w14:paraId="1A06CD04">
            <w:pPr>
              <w:widowControl w:val="0"/>
              <w:spacing w:line="300" w:lineRule="exact"/>
              <w:jc w:val="center"/>
              <w:rPr>
                <w:rFonts w:hint="eastAsia" w:ascii="Times New Roman" w:hAnsi="Times New Roman" w:cs="Times New Roman"/>
                <w:sz w:val="21"/>
                <w:szCs w:val="21"/>
                <w:lang w:val="en-US" w:eastAsia="zh-CN"/>
              </w:rPr>
            </w:pPr>
          </w:p>
        </w:tc>
        <w:tc>
          <w:tcPr>
            <w:tcW w:w="374" w:type="pct"/>
            <w:vMerge w:val="continue"/>
            <w:vAlign w:val="center"/>
          </w:tcPr>
          <w:p w14:paraId="3D4E91FB">
            <w:pPr>
              <w:widowControl w:val="0"/>
              <w:spacing w:line="300" w:lineRule="exact"/>
              <w:jc w:val="center"/>
              <w:rPr>
                <w:rFonts w:hint="eastAsia" w:ascii="Times New Roman" w:hAnsi="Times New Roman" w:cs="Times New Roman"/>
                <w:sz w:val="21"/>
                <w:szCs w:val="21"/>
                <w:lang w:val="en-US" w:eastAsia="zh-CN"/>
              </w:rPr>
            </w:pPr>
          </w:p>
        </w:tc>
        <w:tc>
          <w:tcPr>
            <w:tcW w:w="340" w:type="pct"/>
            <w:vMerge w:val="continue"/>
            <w:vAlign w:val="center"/>
          </w:tcPr>
          <w:p w14:paraId="2E0A49C7">
            <w:pPr>
              <w:widowControl w:val="0"/>
              <w:spacing w:line="300" w:lineRule="exact"/>
              <w:jc w:val="center"/>
              <w:rPr>
                <w:rFonts w:hint="eastAsia" w:ascii="Times New Roman" w:hAnsi="Times New Roman" w:cs="Times New Roman"/>
                <w:sz w:val="21"/>
                <w:szCs w:val="21"/>
                <w:lang w:val="en-US" w:eastAsia="zh-CN"/>
              </w:rPr>
            </w:pPr>
          </w:p>
        </w:tc>
        <w:tc>
          <w:tcPr>
            <w:tcW w:w="384" w:type="pct"/>
            <w:vMerge w:val="continue"/>
            <w:vAlign w:val="center"/>
          </w:tcPr>
          <w:p w14:paraId="5A23D5BF">
            <w:pPr>
              <w:widowControl w:val="0"/>
              <w:spacing w:line="300" w:lineRule="exact"/>
              <w:jc w:val="center"/>
              <w:rPr>
                <w:rFonts w:hint="eastAsia" w:ascii="Times New Roman" w:hAnsi="Times New Roman" w:cs="Times New Roman"/>
                <w:sz w:val="21"/>
                <w:szCs w:val="21"/>
                <w:lang w:val="en-US" w:eastAsia="zh-CN"/>
              </w:rPr>
            </w:pPr>
          </w:p>
        </w:tc>
        <w:tc>
          <w:tcPr>
            <w:tcW w:w="401" w:type="pct"/>
            <w:vMerge w:val="continue"/>
            <w:vAlign w:val="center"/>
          </w:tcPr>
          <w:p w14:paraId="411352D7">
            <w:pPr>
              <w:widowControl w:val="0"/>
              <w:spacing w:line="300" w:lineRule="exact"/>
              <w:jc w:val="center"/>
              <w:rPr>
                <w:rFonts w:hint="eastAsia" w:ascii="Times New Roman" w:hAnsi="Times New Roman" w:cs="Times New Roman"/>
                <w:sz w:val="21"/>
                <w:szCs w:val="21"/>
                <w:lang w:val="en-US" w:eastAsia="zh-CN"/>
              </w:rPr>
            </w:pPr>
          </w:p>
        </w:tc>
        <w:tc>
          <w:tcPr>
            <w:tcW w:w="392" w:type="pct"/>
            <w:vMerge w:val="continue"/>
            <w:vAlign w:val="center"/>
          </w:tcPr>
          <w:p w14:paraId="63CEC4AB">
            <w:pPr>
              <w:widowControl w:val="0"/>
              <w:spacing w:line="300" w:lineRule="exact"/>
              <w:jc w:val="center"/>
              <w:rPr>
                <w:rFonts w:hint="default" w:ascii="Times New Roman" w:hAnsi="Times New Roman" w:cs="Times New Roman"/>
                <w:sz w:val="21"/>
                <w:szCs w:val="21"/>
                <w:lang w:val="en-US" w:eastAsia="zh-CN"/>
              </w:rPr>
            </w:pPr>
          </w:p>
        </w:tc>
        <w:tc>
          <w:tcPr>
            <w:tcW w:w="286" w:type="pct"/>
            <w:vMerge w:val="continue"/>
            <w:vAlign w:val="center"/>
          </w:tcPr>
          <w:p w14:paraId="103D8E90">
            <w:pPr>
              <w:widowControl w:val="0"/>
              <w:spacing w:line="300" w:lineRule="exact"/>
              <w:jc w:val="center"/>
              <w:rPr>
                <w:rFonts w:hint="eastAsia" w:ascii="Times New Roman" w:hAnsi="Times New Roman" w:cs="Times New Roman"/>
                <w:sz w:val="21"/>
                <w:szCs w:val="21"/>
                <w:lang w:val="en-US" w:eastAsia="zh-CN"/>
              </w:rPr>
            </w:pPr>
          </w:p>
        </w:tc>
        <w:tc>
          <w:tcPr>
            <w:tcW w:w="383" w:type="pct"/>
            <w:vMerge w:val="continue"/>
            <w:vAlign w:val="center"/>
          </w:tcPr>
          <w:p w14:paraId="37144E25">
            <w:pPr>
              <w:widowControl w:val="0"/>
              <w:spacing w:line="300" w:lineRule="exact"/>
              <w:jc w:val="center"/>
              <w:rPr>
                <w:rFonts w:hint="eastAsia" w:ascii="Times New Roman" w:hAnsi="Times New Roman" w:cs="Times New Roman"/>
                <w:sz w:val="21"/>
                <w:szCs w:val="21"/>
                <w:lang w:val="en-US" w:eastAsia="zh-CN"/>
              </w:rPr>
            </w:pPr>
          </w:p>
        </w:tc>
        <w:tc>
          <w:tcPr>
            <w:tcW w:w="217" w:type="pct"/>
            <w:vMerge w:val="continue"/>
            <w:vAlign w:val="center"/>
          </w:tcPr>
          <w:p w14:paraId="1D62ECAF">
            <w:pPr>
              <w:widowControl w:val="0"/>
              <w:spacing w:line="300" w:lineRule="exact"/>
              <w:jc w:val="center"/>
              <w:rPr>
                <w:rFonts w:hint="eastAsia" w:ascii="Times New Roman" w:hAnsi="Times New Roman" w:cs="Times New Roman"/>
                <w:sz w:val="21"/>
                <w:szCs w:val="21"/>
                <w:lang w:val="en-US" w:eastAsia="zh-CN"/>
              </w:rPr>
            </w:pPr>
          </w:p>
        </w:tc>
        <w:tc>
          <w:tcPr>
            <w:tcW w:w="514" w:type="pct"/>
            <w:vAlign w:val="center"/>
          </w:tcPr>
          <w:p w14:paraId="425C2930">
            <w:pPr>
              <w:widowControl w:val="0"/>
              <w:spacing w:line="300" w:lineRule="exact"/>
              <w:jc w:val="center"/>
              <w:rPr>
                <w:rFonts w:hint="eastAsia" w:ascii="Times New Roman" w:hAnsi="Times New Roman" w:cs="Times New Roman"/>
                <w:sz w:val="21"/>
                <w:szCs w:val="21"/>
                <w:lang w:val="en-US" w:eastAsia="zh-CN"/>
              </w:rPr>
            </w:pPr>
            <w:r>
              <w:rPr>
                <w:rFonts w:hint="eastAsia" w:ascii="Times New Roman" w:hAnsi="Times New Roman" w:cs="Times New Roman"/>
                <w:sz w:val="21"/>
                <w:szCs w:val="21"/>
                <w:lang w:val="en-US" w:eastAsia="zh-CN"/>
              </w:rPr>
              <w:t>氨</w:t>
            </w:r>
          </w:p>
        </w:tc>
        <w:tc>
          <w:tcPr>
            <w:tcW w:w="504" w:type="pct"/>
            <w:vAlign w:val="center"/>
          </w:tcPr>
          <w:p w14:paraId="159ECD3B">
            <w:pPr>
              <w:widowControl w:val="0"/>
              <w:spacing w:line="300" w:lineRule="exact"/>
              <w:jc w:val="center"/>
              <w:rPr>
                <w:rFonts w:hint="eastAsia" w:ascii="Times New Roman" w:hAnsi="Times New Roman" w:cs="Times New Roman"/>
                <w:sz w:val="21"/>
                <w:szCs w:val="21"/>
                <w:lang w:val="en-US" w:eastAsia="zh-CN"/>
              </w:rPr>
            </w:pPr>
            <w:r>
              <w:rPr>
                <w:rFonts w:hint="default" w:ascii="Times New Roman" w:hAnsi="Times New Roman" w:cs="Times New Roman"/>
                <w:sz w:val="21"/>
                <w:szCs w:val="21"/>
                <w:lang w:val="en-US" w:eastAsia="zh-CN"/>
              </w:rPr>
              <w:t>0.504</w:t>
            </w:r>
          </w:p>
        </w:tc>
      </w:tr>
      <w:tr w14:paraId="572257E7">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19" w:hRule="atLeast"/>
          <w:jc w:val="center"/>
        </w:trPr>
        <w:tc>
          <w:tcPr>
            <w:tcW w:w="193" w:type="pct"/>
            <w:vMerge w:val="continue"/>
            <w:vAlign w:val="center"/>
          </w:tcPr>
          <w:p w14:paraId="62BCA5EE">
            <w:pPr>
              <w:widowControl w:val="0"/>
              <w:spacing w:line="300" w:lineRule="exact"/>
              <w:jc w:val="center"/>
              <w:rPr>
                <w:rFonts w:hint="eastAsia" w:ascii="Times New Roman" w:hAnsi="Times New Roman" w:cs="Times New Roman"/>
                <w:sz w:val="21"/>
                <w:szCs w:val="21"/>
                <w:lang w:val="en-US" w:eastAsia="zh-CN"/>
              </w:rPr>
            </w:pPr>
          </w:p>
        </w:tc>
        <w:tc>
          <w:tcPr>
            <w:tcW w:w="306" w:type="pct"/>
            <w:vMerge w:val="continue"/>
            <w:vAlign w:val="center"/>
          </w:tcPr>
          <w:p w14:paraId="3B8802E3">
            <w:pPr>
              <w:widowControl w:val="0"/>
              <w:spacing w:line="300" w:lineRule="exact"/>
              <w:jc w:val="center"/>
              <w:rPr>
                <w:rFonts w:hint="eastAsia" w:ascii="Times New Roman" w:hAnsi="Times New Roman" w:cs="Times New Roman"/>
                <w:sz w:val="21"/>
                <w:szCs w:val="21"/>
                <w:lang w:val="en-US" w:eastAsia="zh-CN"/>
              </w:rPr>
            </w:pPr>
          </w:p>
        </w:tc>
        <w:tc>
          <w:tcPr>
            <w:tcW w:w="349" w:type="pct"/>
            <w:vMerge w:val="continue"/>
            <w:vAlign w:val="center"/>
          </w:tcPr>
          <w:p w14:paraId="6D854796">
            <w:pPr>
              <w:widowControl w:val="0"/>
              <w:spacing w:line="300" w:lineRule="exact"/>
              <w:jc w:val="center"/>
              <w:rPr>
                <w:rFonts w:hint="eastAsia" w:ascii="Times New Roman" w:hAnsi="Times New Roman" w:cs="Times New Roman"/>
                <w:sz w:val="21"/>
                <w:szCs w:val="21"/>
                <w:lang w:val="en-US" w:eastAsia="zh-CN"/>
              </w:rPr>
            </w:pPr>
          </w:p>
        </w:tc>
        <w:tc>
          <w:tcPr>
            <w:tcW w:w="350" w:type="pct"/>
            <w:vMerge w:val="continue"/>
            <w:vAlign w:val="center"/>
          </w:tcPr>
          <w:p w14:paraId="08C69D88">
            <w:pPr>
              <w:widowControl w:val="0"/>
              <w:spacing w:line="300" w:lineRule="exact"/>
              <w:jc w:val="center"/>
              <w:rPr>
                <w:rFonts w:hint="eastAsia" w:ascii="Times New Roman" w:hAnsi="Times New Roman" w:cs="Times New Roman"/>
                <w:sz w:val="21"/>
                <w:szCs w:val="21"/>
                <w:lang w:val="en-US" w:eastAsia="zh-CN"/>
              </w:rPr>
            </w:pPr>
          </w:p>
        </w:tc>
        <w:tc>
          <w:tcPr>
            <w:tcW w:w="374" w:type="pct"/>
            <w:vMerge w:val="continue"/>
            <w:vAlign w:val="center"/>
          </w:tcPr>
          <w:p w14:paraId="20E1C592">
            <w:pPr>
              <w:widowControl w:val="0"/>
              <w:spacing w:line="300" w:lineRule="exact"/>
              <w:jc w:val="center"/>
              <w:rPr>
                <w:rFonts w:hint="eastAsia" w:ascii="Times New Roman" w:hAnsi="Times New Roman" w:cs="Times New Roman"/>
                <w:sz w:val="21"/>
                <w:szCs w:val="21"/>
                <w:lang w:val="en-US" w:eastAsia="zh-CN"/>
              </w:rPr>
            </w:pPr>
          </w:p>
        </w:tc>
        <w:tc>
          <w:tcPr>
            <w:tcW w:w="340" w:type="pct"/>
            <w:vMerge w:val="continue"/>
            <w:vAlign w:val="center"/>
          </w:tcPr>
          <w:p w14:paraId="6B5E8A20">
            <w:pPr>
              <w:widowControl w:val="0"/>
              <w:spacing w:line="300" w:lineRule="exact"/>
              <w:jc w:val="center"/>
              <w:rPr>
                <w:rFonts w:hint="eastAsia" w:ascii="Times New Roman" w:hAnsi="Times New Roman" w:cs="Times New Roman"/>
                <w:sz w:val="21"/>
                <w:szCs w:val="21"/>
                <w:lang w:val="en-US" w:eastAsia="zh-CN"/>
              </w:rPr>
            </w:pPr>
          </w:p>
        </w:tc>
        <w:tc>
          <w:tcPr>
            <w:tcW w:w="384" w:type="pct"/>
            <w:vMerge w:val="continue"/>
            <w:vAlign w:val="center"/>
          </w:tcPr>
          <w:p w14:paraId="0B290C28">
            <w:pPr>
              <w:widowControl w:val="0"/>
              <w:spacing w:line="300" w:lineRule="exact"/>
              <w:jc w:val="center"/>
              <w:rPr>
                <w:rFonts w:hint="eastAsia" w:ascii="Times New Roman" w:hAnsi="Times New Roman" w:cs="Times New Roman"/>
                <w:sz w:val="21"/>
                <w:szCs w:val="21"/>
                <w:lang w:val="en-US" w:eastAsia="zh-CN"/>
              </w:rPr>
            </w:pPr>
          </w:p>
        </w:tc>
        <w:tc>
          <w:tcPr>
            <w:tcW w:w="401" w:type="pct"/>
            <w:vMerge w:val="continue"/>
            <w:vAlign w:val="center"/>
          </w:tcPr>
          <w:p w14:paraId="543E6D71">
            <w:pPr>
              <w:widowControl w:val="0"/>
              <w:spacing w:line="300" w:lineRule="exact"/>
              <w:jc w:val="center"/>
              <w:rPr>
                <w:rFonts w:hint="eastAsia" w:ascii="Times New Roman" w:hAnsi="Times New Roman" w:cs="Times New Roman"/>
                <w:sz w:val="21"/>
                <w:szCs w:val="21"/>
                <w:lang w:val="en-US" w:eastAsia="zh-CN"/>
              </w:rPr>
            </w:pPr>
          </w:p>
        </w:tc>
        <w:tc>
          <w:tcPr>
            <w:tcW w:w="392" w:type="pct"/>
            <w:vMerge w:val="continue"/>
            <w:vAlign w:val="center"/>
          </w:tcPr>
          <w:p w14:paraId="7548E725">
            <w:pPr>
              <w:widowControl w:val="0"/>
              <w:spacing w:line="300" w:lineRule="exact"/>
              <w:jc w:val="center"/>
              <w:rPr>
                <w:rFonts w:hint="default" w:ascii="Times New Roman" w:hAnsi="Times New Roman" w:cs="Times New Roman"/>
                <w:sz w:val="21"/>
                <w:szCs w:val="21"/>
                <w:lang w:val="en-US" w:eastAsia="zh-CN"/>
              </w:rPr>
            </w:pPr>
          </w:p>
        </w:tc>
        <w:tc>
          <w:tcPr>
            <w:tcW w:w="286" w:type="pct"/>
            <w:vMerge w:val="continue"/>
            <w:vAlign w:val="center"/>
          </w:tcPr>
          <w:p w14:paraId="55234D20">
            <w:pPr>
              <w:widowControl w:val="0"/>
              <w:spacing w:line="300" w:lineRule="exact"/>
              <w:jc w:val="center"/>
              <w:rPr>
                <w:rFonts w:hint="eastAsia" w:ascii="Times New Roman" w:hAnsi="Times New Roman" w:cs="Times New Roman"/>
                <w:sz w:val="21"/>
                <w:szCs w:val="21"/>
                <w:lang w:val="en-US" w:eastAsia="zh-CN"/>
              </w:rPr>
            </w:pPr>
          </w:p>
        </w:tc>
        <w:tc>
          <w:tcPr>
            <w:tcW w:w="383" w:type="pct"/>
            <w:vMerge w:val="continue"/>
            <w:vAlign w:val="center"/>
          </w:tcPr>
          <w:p w14:paraId="3E6C9D47">
            <w:pPr>
              <w:widowControl w:val="0"/>
              <w:spacing w:line="300" w:lineRule="exact"/>
              <w:jc w:val="center"/>
              <w:rPr>
                <w:rFonts w:hint="eastAsia" w:ascii="Times New Roman" w:hAnsi="Times New Roman" w:cs="Times New Roman"/>
                <w:sz w:val="21"/>
                <w:szCs w:val="21"/>
                <w:lang w:val="en-US" w:eastAsia="zh-CN"/>
              </w:rPr>
            </w:pPr>
          </w:p>
        </w:tc>
        <w:tc>
          <w:tcPr>
            <w:tcW w:w="217" w:type="pct"/>
            <w:vMerge w:val="continue"/>
            <w:vAlign w:val="center"/>
          </w:tcPr>
          <w:p w14:paraId="4AA665C2">
            <w:pPr>
              <w:widowControl w:val="0"/>
              <w:spacing w:line="300" w:lineRule="exact"/>
              <w:jc w:val="center"/>
              <w:rPr>
                <w:rFonts w:hint="eastAsia" w:ascii="Times New Roman" w:hAnsi="Times New Roman" w:cs="Times New Roman"/>
                <w:sz w:val="21"/>
                <w:szCs w:val="21"/>
                <w:lang w:val="en-US" w:eastAsia="zh-CN"/>
              </w:rPr>
            </w:pPr>
          </w:p>
        </w:tc>
        <w:tc>
          <w:tcPr>
            <w:tcW w:w="514" w:type="pct"/>
            <w:vAlign w:val="center"/>
          </w:tcPr>
          <w:p w14:paraId="3A0295D5">
            <w:pPr>
              <w:widowControl w:val="0"/>
              <w:spacing w:line="300" w:lineRule="exact"/>
              <w:jc w:val="center"/>
              <w:rPr>
                <w:rFonts w:hint="eastAsia" w:ascii="Times New Roman" w:hAnsi="Times New Roman" w:cs="Times New Roman"/>
                <w:sz w:val="21"/>
                <w:szCs w:val="21"/>
                <w:lang w:val="en-US" w:eastAsia="zh-CN"/>
              </w:rPr>
            </w:pPr>
            <w:r>
              <w:rPr>
                <w:rFonts w:hint="eastAsia" w:ascii="Times New Roman" w:hAnsi="Times New Roman" w:cs="Times New Roman"/>
                <w:sz w:val="21"/>
                <w:szCs w:val="21"/>
                <w:lang w:val="en-US" w:eastAsia="zh-CN"/>
              </w:rPr>
              <w:t>二噁英</w:t>
            </w:r>
          </w:p>
        </w:tc>
        <w:tc>
          <w:tcPr>
            <w:tcW w:w="504" w:type="pct"/>
            <w:vAlign w:val="center"/>
          </w:tcPr>
          <w:p w14:paraId="3A3B1F02">
            <w:pPr>
              <w:widowControl w:val="0"/>
              <w:spacing w:line="300" w:lineRule="exact"/>
              <w:jc w:val="center"/>
              <w:rPr>
                <w:rFonts w:hint="eastAsia" w:ascii="Times New Roman" w:hAnsi="Times New Roman" w:cs="Times New Roman"/>
                <w:sz w:val="21"/>
                <w:szCs w:val="21"/>
                <w:lang w:val="en-US" w:eastAsia="zh-CN"/>
              </w:rPr>
            </w:pPr>
            <w:r>
              <w:rPr>
                <w:rFonts w:hint="default" w:ascii="Times New Roman" w:hAnsi="Times New Roman" w:cs="Times New Roman"/>
                <w:sz w:val="21"/>
                <w:szCs w:val="21"/>
                <w:lang w:val="en-US" w:eastAsia="zh-CN"/>
              </w:rPr>
              <w:t>8.30E-09</w:t>
            </w:r>
          </w:p>
        </w:tc>
      </w:tr>
      <w:tr w14:paraId="1D32D632">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93" w:type="pct"/>
            <w:vAlign w:val="center"/>
          </w:tcPr>
          <w:p w14:paraId="19157065">
            <w:pPr>
              <w:widowControl w:val="0"/>
              <w:spacing w:line="300" w:lineRule="exact"/>
              <w:jc w:val="center"/>
              <w:rPr>
                <w:rFonts w:hint="default" w:ascii="Times New Roman" w:hAnsi="Times New Roman" w:cs="Times New Roman"/>
                <w:sz w:val="21"/>
                <w:szCs w:val="21"/>
                <w:lang w:val="en-US" w:eastAsia="zh-CN"/>
              </w:rPr>
            </w:pPr>
            <w:r>
              <w:rPr>
                <w:rFonts w:hint="eastAsia" w:ascii="Times New Roman" w:hAnsi="Times New Roman" w:cs="Times New Roman"/>
                <w:sz w:val="21"/>
                <w:szCs w:val="21"/>
                <w:lang w:val="en-US" w:eastAsia="zh-CN"/>
              </w:rPr>
              <w:t>5</w:t>
            </w:r>
          </w:p>
        </w:tc>
        <w:tc>
          <w:tcPr>
            <w:tcW w:w="306" w:type="pct"/>
            <w:vAlign w:val="center"/>
          </w:tcPr>
          <w:p w14:paraId="4889C559">
            <w:pPr>
              <w:widowControl w:val="0"/>
              <w:spacing w:line="300" w:lineRule="exact"/>
              <w:jc w:val="center"/>
              <w:rPr>
                <w:rFonts w:hint="eastAsia" w:ascii="Times New Roman" w:hAnsi="Times New Roman" w:cs="Times New Roman"/>
                <w:sz w:val="21"/>
                <w:szCs w:val="21"/>
                <w:lang w:val="en-US" w:eastAsia="zh-CN"/>
              </w:rPr>
            </w:pPr>
            <w:r>
              <w:rPr>
                <w:rFonts w:hint="default" w:ascii="Times New Roman" w:hAnsi="Times New Roman" w:cs="Times New Roman"/>
                <w:sz w:val="21"/>
                <w:szCs w:val="21"/>
                <w:lang w:val="en-US" w:eastAsia="zh-CN"/>
              </w:rPr>
              <w:t>DA012</w:t>
            </w:r>
          </w:p>
        </w:tc>
        <w:tc>
          <w:tcPr>
            <w:tcW w:w="349" w:type="pct"/>
            <w:vAlign w:val="center"/>
          </w:tcPr>
          <w:p w14:paraId="260296E4">
            <w:pPr>
              <w:widowControl w:val="0"/>
              <w:spacing w:line="300" w:lineRule="exact"/>
              <w:jc w:val="center"/>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-24</w:t>
            </w:r>
          </w:p>
        </w:tc>
        <w:tc>
          <w:tcPr>
            <w:tcW w:w="350" w:type="pct"/>
            <w:vAlign w:val="center"/>
          </w:tcPr>
          <w:p w14:paraId="528DCB0D">
            <w:pPr>
              <w:widowControl w:val="0"/>
              <w:spacing w:line="300" w:lineRule="exact"/>
              <w:jc w:val="center"/>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44</w:t>
            </w:r>
          </w:p>
        </w:tc>
        <w:tc>
          <w:tcPr>
            <w:tcW w:w="374" w:type="pct"/>
            <w:vAlign w:val="center"/>
          </w:tcPr>
          <w:p w14:paraId="0506E61E">
            <w:pPr>
              <w:widowControl w:val="0"/>
              <w:spacing w:line="300" w:lineRule="exact"/>
              <w:jc w:val="center"/>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351</w:t>
            </w:r>
          </w:p>
        </w:tc>
        <w:tc>
          <w:tcPr>
            <w:tcW w:w="340" w:type="pct"/>
            <w:vAlign w:val="center"/>
          </w:tcPr>
          <w:p w14:paraId="12635447">
            <w:pPr>
              <w:widowControl w:val="0"/>
              <w:spacing w:line="300" w:lineRule="exact"/>
              <w:jc w:val="center"/>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15</w:t>
            </w:r>
          </w:p>
        </w:tc>
        <w:tc>
          <w:tcPr>
            <w:tcW w:w="384" w:type="pct"/>
            <w:vAlign w:val="center"/>
          </w:tcPr>
          <w:p w14:paraId="5F6FB945">
            <w:pPr>
              <w:widowControl w:val="0"/>
              <w:spacing w:line="300" w:lineRule="exact"/>
              <w:jc w:val="center"/>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0.6</w:t>
            </w:r>
          </w:p>
        </w:tc>
        <w:tc>
          <w:tcPr>
            <w:tcW w:w="401" w:type="pct"/>
            <w:vAlign w:val="center"/>
          </w:tcPr>
          <w:p w14:paraId="605B8A9E">
            <w:pPr>
              <w:widowControl w:val="0"/>
              <w:spacing w:line="300" w:lineRule="exact"/>
              <w:jc w:val="center"/>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26694</w:t>
            </w:r>
          </w:p>
        </w:tc>
        <w:tc>
          <w:tcPr>
            <w:tcW w:w="392" w:type="pct"/>
            <w:vAlign w:val="center"/>
          </w:tcPr>
          <w:p w14:paraId="2D1EA8A7">
            <w:pPr>
              <w:widowControl w:val="0"/>
              <w:spacing w:line="300" w:lineRule="exact"/>
              <w:jc w:val="center"/>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26.24</w:t>
            </w:r>
          </w:p>
        </w:tc>
        <w:tc>
          <w:tcPr>
            <w:tcW w:w="286" w:type="pct"/>
            <w:vAlign w:val="center"/>
          </w:tcPr>
          <w:p w14:paraId="2FFF840A">
            <w:pPr>
              <w:widowControl w:val="0"/>
              <w:spacing w:line="300" w:lineRule="exact"/>
              <w:jc w:val="center"/>
              <w:rPr>
                <w:rFonts w:hint="default" w:ascii="Times New Roman" w:hAnsi="Times New Roman" w:cs="Times New Roman"/>
                <w:sz w:val="21"/>
                <w:szCs w:val="21"/>
                <w:lang w:val="en-US" w:eastAsia="zh-CN"/>
              </w:rPr>
            </w:pPr>
            <w:r>
              <w:rPr>
                <w:rFonts w:hint="eastAsia" w:ascii="Times New Roman" w:hAnsi="Times New Roman" w:cs="Times New Roman"/>
                <w:sz w:val="21"/>
                <w:szCs w:val="21"/>
                <w:lang w:val="en-US" w:eastAsia="zh-CN"/>
              </w:rPr>
              <w:t>常温</w:t>
            </w:r>
          </w:p>
        </w:tc>
        <w:tc>
          <w:tcPr>
            <w:tcW w:w="383" w:type="pct"/>
            <w:vAlign w:val="center"/>
          </w:tcPr>
          <w:p w14:paraId="6459DA16">
            <w:pPr>
              <w:widowControl w:val="0"/>
              <w:spacing w:line="300" w:lineRule="exact"/>
              <w:jc w:val="center"/>
              <w:rPr>
                <w:rFonts w:hint="default" w:ascii="Times New Roman" w:hAnsi="Times New Roman" w:cs="Times New Roman"/>
                <w:sz w:val="21"/>
                <w:szCs w:val="21"/>
                <w:lang w:val="en-US" w:eastAsia="zh-CN"/>
              </w:rPr>
            </w:pPr>
            <w:r>
              <w:rPr>
                <w:rFonts w:hint="eastAsia" w:ascii="Times New Roman" w:hAnsi="Times New Roman" w:cs="Times New Roman"/>
                <w:sz w:val="21"/>
                <w:szCs w:val="21"/>
                <w:lang w:val="en-US" w:eastAsia="zh-CN"/>
              </w:rPr>
              <w:t>7920</w:t>
            </w:r>
          </w:p>
        </w:tc>
        <w:tc>
          <w:tcPr>
            <w:tcW w:w="217" w:type="pct"/>
            <w:vAlign w:val="center"/>
          </w:tcPr>
          <w:p w14:paraId="48DF4045">
            <w:pPr>
              <w:widowControl w:val="0"/>
              <w:spacing w:line="300" w:lineRule="exact"/>
              <w:jc w:val="center"/>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正常排放</w:t>
            </w:r>
          </w:p>
        </w:tc>
        <w:tc>
          <w:tcPr>
            <w:tcW w:w="514" w:type="pct"/>
            <w:vAlign w:val="center"/>
          </w:tcPr>
          <w:p w14:paraId="688AD1E2">
            <w:pPr>
              <w:widowControl w:val="0"/>
              <w:spacing w:line="300" w:lineRule="exact"/>
              <w:jc w:val="center"/>
              <w:rPr>
                <w:rFonts w:hint="eastAsia" w:ascii="Times New Roman" w:hAnsi="Times New Roman" w:cs="Times New Roman"/>
                <w:sz w:val="21"/>
                <w:szCs w:val="21"/>
                <w:lang w:val="en-US" w:eastAsia="zh-CN"/>
              </w:rPr>
            </w:pPr>
            <w:r>
              <w:rPr>
                <w:rFonts w:hint="eastAsia" w:ascii="Times New Roman" w:hAnsi="Times New Roman" w:cs="Times New Roman"/>
                <w:sz w:val="21"/>
                <w:szCs w:val="21"/>
                <w:lang w:val="en-US" w:eastAsia="zh-CN"/>
              </w:rPr>
              <w:t>颗粒物</w:t>
            </w:r>
          </w:p>
        </w:tc>
        <w:tc>
          <w:tcPr>
            <w:tcW w:w="504" w:type="pct"/>
            <w:vAlign w:val="center"/>
          </w:tcPr>
          <w:p w14:paraId="484D144B">
            <w:pPr>
              <w:widowControl w:val="0"/>
              <w:spacing w:line="300" w:lineRule="exact"/>
              <w:jc w:val="center"/>
              <w:rPr>
                <w:rFonts w:hint="default" w:ascii="Times New Roman" w:hAnsi="Times New Roman" w:cs="Times New Roman"/>
                <w:sz w:val="21"/>
                <w:szCs w:val="21"/>
                <w:lang w:val="en-US" w:eastAsia="zh-CN"/>
              </w:rPr>
            </w:pPr>
            <w:r>
              <w:rPr>
                <w:rFonts w:hint="eastAsia" w:ascii="Times New Roman" w:hAnsi="Times New Roman" w:cs="Times New Roman"/>
                <w:sz w:val="21"/>
                <w:szCs w:val="21"/>
                <w:lang w:val="en-US" w:eastAsia="zh-CN"/>
              </w:rPr>
              <w:t>0.054</w:t>
            </w:r>
          </w:p>
        </w:tc>
      </w:tr>
      <w:tr w14:paraId="12FFAFDF">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93" w:type="pct"/>
            <w:vAlign w:val="center"/>
          </w:tcPr>
          <w:p w14:paraId="2DEFA656">
            <w:pPr>
              <w:widowControl w:val="0"/>
              <w:spacing w:line="300" w:lineRule="exact"/>
              <w:jc w:val="center"/>
              <w:rPr>
                <w:rFonts w:hint="default" w:ascii="Times New Roman" w:hAnsi="Times New Roman" w:cs="Times New Roman"/>
                <w:sz w:val="21"/>
                <w:szCs w:val="21"/>
                <w:lang w:val="en-US" w:eastAsia="zh-CN"/>
              </w:rPr>
            </w:pPr>
            <w:r>
              <w:rPr>
                <w:rFonts w:hint="eastAsia" w:ascii="Times New Roman" w:hAnsi="Times New Roman" w:cs="Times New Roman"/>
                <w:sz w:val="21"/>
                <w:szCs w:val="21"/>
                <w:lang w:val="en-US" w:eastAsia="zh-CN"/>
              </w:rPr>
              <w:t>6</w:t>
            </w:r>
          </w:p>
        </w:tc>
        <w:tc>
          <w:tcPr>
            <w:tcW w:w="306" w:type="pct"/>
            <w:vAlign w:val="center"/>
          </w:tcPr>
          <w:p w14:paraId="0F3A25CE">
            <w:pPr>
              <w:widowControl w:val="0"/>
              <w:spacing w:line="300" w:lineRule="exact"/>
              <w:jc w:val="center"/>
              <w:rPr>
                <w:rFonts w:hint="eastAsia" w:ascii="Times New Roman" w:hAnsi="Times New Roman" w:cs="Times New Roman"/>
                <w:sz w:val="21"/>
                <w:szCs w:val="21"/>
                <w:lang w:val="en-US" w:eastAsia="zh-CN"/>
              </w:rPr>
            </w:pPr>
            <w:r>
              <w:rPr>
                <w:rFonts w:hint="default" w:ascii="Times New Roman" w:hAnsi="Times New Roman" w:cs="Times New Roman"/>
                <w:sz w:val="21"/>
                <w:szCs w:val="21"/>
                <w:lang w:val="en-US" w:eastAsia="zh-CN"/>
              </w:rPr>
              <w:t>DA013</w:t>
            </w:r>
          </w:p>
        </w:tc>
        <w:tc>
          <w:tcPr>
            <w:tcW w:w="349" w:type="pct"/>
            <w:vAlign w:val="center"/>
          </w:tcPr>
          <w:p w14:paraId="22312858">
            <w:pPr>
              <w:widowControl w:val="0"/>
              <w:spacing w:line="300" w:lineRule="exact"/>
              <w:jc w:val="center"/>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44</w:t>
            </w:r>
          </w:p>
        </w:tc>
        <w:tc>
          <w:tcPr>
            <w:tcW w:w="350" w:type="pct"/>
            <w:vAlign w:val="center"/>
          </w:tcPr>
          <w:p w14:paraId="33073E74">
            <w:pPr>
              <w:widowControl w:val="0"/>
              <w:spacing w:line="300" w:lineRule="exact"/>
              <w:jc w:val="center"/>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-112</w:t>
            </w:r>
          </w:p>
        </w:tc>
        <w:tc>
          <w:tcPr>
            <w:tcW w:w="374" w:type="pct"/>
            <w:vAlign w:val="center"/>
          </w:tcPr>
          <w:p w14:paraId="0CFA4BF0">
            <w:pPr>
              <w:widowControl w:val="0"/>
              <w:spacing w:line="300" w:lineRule="exact"/>
              <w:jc w:val="center"/>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354</w:t>
            </w:r>
          </w:p>
        </w:tc>
        <w:tc>
          <w:tcPr>
            <w:tcW w:w="340" w:type="pct"/>
            <w:vAlign w:val="center"/>
          </w:tcPr>
          <w:p w14:paraId="03230526">
            <w:pPr>
              <w:widowControl w:val="0"/>
              <w:spacing w:line="300" w:lineRule="exact"/>
              <w:jc w:val="center"/>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30</w:t>
            </w:r>
          </w:p>
        </w:tc>
        <w:tc>
          <w:tcPr>
            <w:tcW w:w="384" w:type="pct"/>
            <w:vAlign w:val="center"/>
          </w:tcPr>
          <w:p w14:paraId="7A85EC2E">
            <w:pPr>
              <w:widowControl w:val="0"/>
              <w:spacing w:line="300" w:lineRule="exact"/>
              <w:jc w:val="center"/>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1.12</w:t>
            </w:r>
          </w:p>
        </w:tc>
        <w:tc>
          <w:tcPr>
            <w:tcW w:w="401" w:type="pct"/>
            <w:vAlign w:val="center"/>
          </w:tcPr>
          <w:p w14:paraId="40287A82">
            <w:pPr>
              <w:widowControl w:val="0"/>
              <w:spacing w:line="300" w:lineRule="exact"/>
              <w:jc w:val="center"/>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100000</w:t>
            </w:r>
          </w:p>
        </w:tc>
        <w:tc>
          <w:tcPr>
            <w:tcW w:w="392" w:type="pct"/>
            <w:vAlign w:val="center"/>
          </w:tcPr>
          <w:p w14:paraId="70CF5542">
            <w:pPr>
              <w:widowControl w:val="0"/>
              <w:spacing w:line="300" w:lineRule="exact"/>
              <w:jc w:val="center"/>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28.21</w:t>
            </w:r>
          </w:p>
        </w:tc>
        <w:tc>
          <w:tcPr>
            <w:tcW w:w="286" w:type="pct"/>
            <w:vAlign w:val="center"/>
          </w:tcPr>
          <w:p w14:paraId="655DA4C9">
            <w:pPr>
              <w:widowControl w:val="0"/>
              <w:spacing w:line="300" w:lineRule="exact"/>
              <w:jc w:val="center"/>
              <w:rPr>
                <w:rFonts w:hint="default" w:ascii="Times New Roman" w:hAnsi="Times New Roman" w:cs="Times New Roman"/>
                <w:sz w:val="21"/>
                <w:szCs w:val="21"/>
                <w:lang w:val="en-US" w:eastAsia="zh-CN"/>
              </w:rPr>
            </w:pPr>
            <w:r>
              <w:rPr>
                <w:rFonts w:hint="eastAsia" w:ascii="Times New Roman" w:hAnsi="Times New Roman" w:cs="Times New Roman"/>
                <w:sz w:val="21"/>
                <w:szCs w:val="21"/>
                <w:lang w:val="en-US" w:eastAsia="zh-CN"/>
              </w:rPr>
              <w:t>常温</w:t>
            </w:r>
          </w:p>
        </w:tc>
        <w:tc>
          <w:tcPr>
            <w:tcW w:w="383" w:type="pct"/>
            <w:vAlign w:val="center"/>
          </w:tcPr>
          <w:p w14:paraId="07DCFED5">
            <w:pPr>
              <w:widowControl w:val="0"/>
              <w:spacing w:line="300" w:lineRule="exact"/>
              <w:jc w:val="center"/>
              <w:rPr>
                <w:rFonts w:hint="default" w:ascii="Times New Roman" w:hAnsi="Times New Roman" w:cs="Times New Roman"/>
                <w:sz w:val="21"/>
                <w:szCs w:val="21"/>
                <w:lang w:val="en-US" w:eastAsia="zh-CN"/>
              </w:rPr>
            </w:pPr>
            <w:r>
              <w:rPr>
                <w:rFonts w:hint="eastAsia" w:ascii="Times New Roman" w:hAnsi="Times New Roman" w:cs="Times New Roman"/>
                <w:sz w:val="21"/>
                <w:szCs w:val="21"/>
                <w:lang w:val="en-US" w:eastAsia="zh-CN"/>
              </w:rPr>
              <w:t>7920</w:t>
            </w:r>
          </w:p>
        </w:tc>
        <w:tc>
          <w:tcPr>
            <w:tcW w:w="217" w:type="pct"/>
            <w:vAlign w:val="center"/>
          </w:tcPr>
          <w:p w14:paraId="29BF2A7D">
            <w:pPr>
              <w:widowControl w:val="0"/>
              <w:spacing w:line="300" w:lineRule="exact"/>
              <w:jc w:val="center"/>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正常排放</w:t>
            </w:r>
          </w:p>
        </w:tc>
        <w:tc>
          <w:tcPr>
            <w:tcW w:w="514" w:type="pct"/>
            <w:vAlign w:val="center"/>
          </w:tcPr>
          <w:p w14:paraId="7759CBB5">
            <w:pPr>
              <w:widowControl w:val="0"/>
              <w:spacing w:line="300" w:lineRule="exact"/>
              <w:jc w:val="center"/>
              <w:rPr>
                <w:rFonts w:hint="eastAsia" w:ascii="Times New Roman" w:hAnsi="Times New Roman" w:cs="Times New Roman"/>
                <w:sz w:val="21"/>
                <w:szCs w:val="21"/>
                <w:lang w:val="en-US" w:eastAsia="zh-CN"/>
              </w:rPr>
            </w:pPr>
            <w:r>
              <w:rPr>
                <w:rFonts w:hint="eastAsia" w:ascii="Times New Roman" w:hAnsi="Times New Roman" w:cs="Times New Roman"/>
                <w:sz w:val="21"/>
                <w:szCs w:val="21"/>
                <w:lang w:val="en-US" w:eastAsia="zh-CN"/>
              </w:rPr>
              <w:t>颗粒物</w:t>
            </w:r>
          </w:p>
        </w:tc>
        <w:tc>
          <w:tcPr>
            <w:tcW w:w="504" w:type="pct"/>
            <w:vAlign w:val="center"/>
          </w:tcPr>
          <w:p w14:paraId="3978DD40">
            <w:pPr>
              <w:widowControl w:val="0"/>
              <w:spacing w:line="300" w:lineRule="exact"/>
              <w:jc w:val="center"/>
              <w:rPr>
                <w:rFonts w:hint="default" w:ascii="Times New Roman" w:hAnsi="Times New Roman" w:cs="Times New Roman"/>
                <w:sz w:val="21"/>
                <w:szCs w:val="21"/>
                <w:lang w:val="en-US" w:eastAsia="zh-CN"/>
              </w:rPr>
            </w:pPr>
            <w:r>
              <w:rPr>
                <w:rFonts w:hint="eastAsia" w:ascii="Times New Roman" w:hAnsi="Times New Roman" w:cs="Times New Roman"/>
                <w:sz w:val="21"/>
                <w:szCs w:val="21"/>
                <w:lang w:val="en-US" w:eastAsia="zh-CN"/>
              </w:rPr>
              <w:t>0.01</w:t>
            </w:r>
          </w:p>
        </w:tc>
      </w:tr>
      <w:tr w14:paraId="24FADC1A">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93" w:type="pct"/>
            <w:vAlign w:val="center"/>
          </w:tcPr>
          <w:p w14:paraId="630D7562">
            <w:pPr>
              <w:widowControl w:val="0"/>
              <w:spacing w:line="300" w:lineRule="exact"/>
              <w:jc w:val="center"/>
              <w:rPr>
                <w:rFonts w:hint="default" w:ascii="Times New Roman" w:hAnsi="Times New Roman" w:cs="Times New Roman"/>
                <w:sz w:val="21"/>
                <w:szCs w:val="21"/>
                <w:lang w:val="en-US" w:eastAsia="zh-CN"/>
              </w:rPr>
            </w:pPr>
            <w:r>
              <w:rPr>
                <w:rFonts w:hint="eastAsia" w:ascii="Times New Roman" w:hAnsi="Times New Roman" w:cs="Times New Roman"/>
                <w:sz w:val="21"/>
                <w:szCs w:val="21"/>
                <w:lang w:val="en-US" w:eastAsia="zh-CN"/>
              </w:rPr>
              <w:t>7</w:t>
            </w:r>
          </w:p>
        </w:tc>
        <w:tc>
          <w:tcPr>
            <w:tcW w:w="306" w:type="pct"/>
            <w:vAlign w:val="center"/>
          </w:tcPr>
          <w:p w14:paraId="33DC84FA">
            <w:pPr>
              <w:widowControl w:val="0"/>
              <w:spacing w:line="300" w:lineRule="exact"/>
              <w:jc w:val="center"/>
              <w:rPr>
                <w:rFonts w:hint="eastAsia" w:ascii="Times New Roman" w:hAnsi="Times New Roman" w:cs="Times New Roman"/>
                <w:sz w:val="21"/>
                <w:szCs w:val="21"/>
                <w:lang w:val="en-US" w:eastAsia="zh-CN"/>
              </w:rPr>
            </w:pPr>
            <w:r>
              <w:rPr>
                <w:rFonts w:hint="default" w:ascii="Times New Roman" w:hAnsi="Times New Roman" w:cs="Times New Roman"/>
                <w:sz w:val="21"/>
                <w:szCs w:val="21"/>
                <w:lang w:val="en-US" w:eastAsia="zh-CN"/>
              </w:rPr>
              <w:t>DA014</w:t>
            </w:r>
          </w:p>
        </w:tc>
        <w:tc>
          <w:tcPr>
            <w:tcW w:w="349" w:type="pct"/>
            <w:vAlign w:val="center"/>
          </w:tcPr>
          <w:p w14:paraId="329313AF">
            <w:pPr>
              <w:widowControl w:val="0"/>
              <w:spacing w:line="300" w:lineRule="exact"/>
              <w:jc w:val="center"/>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91</w:t>
            </w:r>
          </w:p>
        </w:tc>
        <w:tc>
          <w:tcPr>
            <w:tcW w:w="350" w:type="pct"/>
            <w:vAlign w:val="center"/>
          </w:tcPr>
          <w:p w14:paraId="71DC3EBF">
            <w:pPr>
              <w:widowControl w:val="0"/>
              <w:spacing w:line="300" w:lineRule="exact"/>
              <w:jc w:val="center"/>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146</w:t>
            </w:r>
          </w:p>
        </w:tc>
        <w:tc>
          <w:tcPr>
            <w:tcW w:w="374" w:type="pct"/>
            <w:vAlign w:val="center"/>
          </w:tcPr>
          <w:p w14:paraId="1C911124">
            <w:pPr>
              <w:widowControl w:val="0"/>
              <w:spacing w:line="300" w:lineRule="exact"/>
              <w:jc w:val="center"/>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354</w:t>
            </w:r>
          </w:p>
        </w:tc>
        <w:tc>
          <w:tcPr>
            <w:tcW w:w="340" w:type="pct"/>
            <w:vAlign w:val="center"/>
          </w:tcPr>
          <w:p w14:paraId="64C35EFD">
            <w:pPr>
              <w:widowControl w:val="0"/>
              <w:spacing w:line="300" w:lineRule="exact"/>
              <w:jc w:val="center"/>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30</w:t>
            </w:r>
          </w:p>
        </w:tc>
        <w:tc>
          <w:tcPr>
            <w:tcW w:w="384" w:type="pct"/>
            <w:vAlign w:val="center"/>
          </w:tcPr>
          <w:p w14:paraId="62D61397">
            <w:pPr>
              <w:widowControl w:val="0"/>
              <w:spacing w:line="300" w:lineRule="exact"/>
              <w:jc w:val="center"/>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1.2</w:t>
            </w:r>
          </w:p>
        </w:tc>
        <w:tc>
          <w:tcPr>
            <w:tcW w:w="401" w:type="pct"/>
            <w:vAlign w:val="center"/>
          </w:tcPr>
          <w:p w14:paraId="7EE4620D">
            <w:pPr>
              <w:widowControl w:val="0"/>
              <w:spacing w:line="300" w:lineRule="exact"/>
              <w:jc w:val="center"/>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50000</w:t>
            </w:r>
          </w:p>
        </w:tc>
        <w:tc>
          <w:tcPr>
            <w:tcW w:w="392" w:type="pct"/>
            <w:vAlign w:val="center"/>
          </w:tcPr>
          <w:p w14:paraId="60DB0CA5">
            <w:pPr>
              <w:widowControl w:val="0"/>
              <w:spacing w:line="300" w:lineRule="exact"/>
              <w:jc w:val="center"/>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12.29</w:t>
            </w:r>
          </w:p>
        </w:tc>
        <w:tc>
          <w:tcPr>
            <w:tcW w:w="286" w:type="pct"/>
            <w:vAlign w:val="center"/>
          </w:tcPr>
          <w:p w14:paraId="62799D02">
            <w:pPr>
              <w:widowControl w:val="0"/>
              <w:spacing w:line="300" w:lineRule="exact"/>
              <w:jc w:val="center"/>
              <w:rPr>
                <w:rFonts w:hint="default" w:ascii="Times New Roman" w:hAnsi="Times New Roman" w:cs="Times New Roman"/>
                <w:sz w:val="21"/>
                <w:szCs w:val="21"/>
                <w:lang w:val="en-US" w:eastAsia="zh-CN"/>
              </w:rPr>
            </w:pPr>
            <w:r>
              <w:rPr>
                <w:rFonts w:hint="eastAsia" w:ascii="Times New Roman" w:hAnsi="Times New Roman" w:cs="Times New Roman"/>
                <w:sz w:val="21"/>
                <w:szCs w:val="21"/>
                <w:lang w:val="en-US" w:eastAsia="zh-CN"/>
              </w:rPr>
              <w:t>常温</w:t>
            </w:r>
          </w:p>
        </w:tc>
        <w:tc>
          <w:tcPr>
            <w:tcW w:w="383" w:type="pct"/>
            <w:vAlign w:val="center"/>
          </w:tcPr>
          <w:p w14:paraId="5348B76A">
            <w:pPr>
              <w:widowControl w:val="0"/>
              <w:spacing w:line="300" w:lineRule="exact"/>
              <w:jc w:val="center"/>
              <w:rPr>
                <w:rFonts w:hint="default" w:ascii="Times New Roman" w:hAnsi="Times New Roman" w:cs="Times New Roman"/>
                <w:sz w:val="21"/>
                <w:szCs w:val="21"/>
                <w:lang w:val="en-US" w:eastAsia="zh-CN"/>
              </w:rPr>
            </w:pPr>
            <w:r>
              <w:rPr>
                <w:rFonts w:hint="eastAsia" w:ascii="Times New Roman" w:hAnsi="Times New Roman" w:cs="Times New Roman"/>
                <w:sz w:val="21"/>
                <w:szCs w:val="21"/>
                <w:lang w:val="en-US" w:eastAsia="zh-CN"/>
              </w:rPr>
              <w:t>7920</w:t>
            </w:r>
          </w:p>
        </w:tc>
        <w:tc>
          <w:tcPr>
            <w:tcW w:w="217" w:type="pct"/>
            <w:vAlign w:val="center"/>
          </w:tcPr>
          <w:p w14:paraId="2FB9E7B2">
            <w:pPr>
              <w:widowControl w:val="0"/>
              <w:spacing w:line="300" w:lineRule="exact"/>
              <w:jc w:val="center"/>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正常排放</w:t>
            </w:r>
          </w:p>
        </w:tc>
        <w:tc>
          <w:tcPr>
            <w:tcW w:w="514" w:type="pct"/>
            <w:vAlign w:val="center"/>
          </w:tcPr>
          <w:p w14:paraId="00FDF9B1">
            <w:pPr>
              <w:widowControl w:val="0"/>
              <w:spacing w:line="300" w:lineRule="exact"/>
              <w:jc w:val="center"/>
              <w:rPr>
                <w:rFonts w:hint="eastAsia" w:ascii="Times New Roman" w:hAnsi="Times New Roman" w:cs="Times New Roman"/>
                <w:sz w:val="21"/>
                <w:szCs w:val="21"/>
                <w:lang w:val="en-US" w:eastAsia="zh-CN"/>
              </w:rPr>
            </w:pPr>
            <w:r>
              <w:rPr>
                <w:rFonts w:hint="eastAsia" w:ascii="Times New Roman" w:hAnsi="Times New Roman" w:cs="Times New Roman"/>
                <w:sz w:val="21"/>
                <w:szCs w:val="21"/>
                <w:lang w:val="en-US" w:eastAsia="zh-CN"/>
              </w:rPr>
              <w:t>颗粒物</w:t>
            </w:r>
          </w:p>
        </w:tc>
        <w:tc>
          <w:tcPr>
            <w:tcW w:w="504" w:type="pct"/>
            <w:vAlign w:val="center"/>
          </w:tcPr>
          <w:p w14:paraId="2E09D140">
            <w:pPr>
              <w:widowControl w:val="0"/>
              <w:spacing w:line="300" w:lineRule="exact"/>
              <w:jc w:val="center"/>
              <w:rPr>
                <w:rFonts w:hint="default" w:ascii="Times New Roman" w:hAnsi="Times New Roman" w:cs="Times New Roman"/>
                <w:sz w:val="21"/>
                <w:szCs w:val="21"/>
                <w:lang w:val="en-US" w:eastAsia="zh-CN"/>
              </w:rPr>
            </w:pPr>
            <w:r>
              <w:rPr>
                <w:rFonts w:hint="eastAsia" w:ascii="Times New Roman" w:hAnsi="Times New Roman" w:cs="Times New Roman"/>
                <w:sz w:val="21"/>
                <w:szCs w:val="21"/>
                <w:lang w:val="en-US" w:eastAsia="zh-CN"/>
              </w:rPr>
              <w:t>0.1</w:t>
            </w:r>
          </w:p>
        </w:tc>
      </w:tr>
      <w:tr w14:paraId="3B755943">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93" w:type="pct"/>
            <w:vAlign w:val="center"/>
          </w:tcPr>
          <w:p w14:paraId="1F221D21">
            <w:pPr>
              <w:widowControl w:val="0"/>
              <w:spacing w:line="300" w:lineRule="exact"/>
              <w:jc w:val="center"/>
              <w:rPr>
                <w:rFonts w:hint="default" w:ascii="Times New Roman" w:hAnsi="Times New Roman" w:cs="Times New Roman"/>
                <w:sz w:val="21"/>
                <w:szCs w:val="21"/>
                <w:lang w:val="en-US" w:eastAsia="zh-CN"/>
              </w:rPr>
            </w:pPr>
            <w:r>
              <w:rPr>
                <w:rFonts w:hint="eastAsia" w:ascii="Times New Roman" w:hAnsi="Times New Roman" w:cs="Times New Roman"/>
                <w:sz w:val="21"/>
                <w:szCs w:val="21"/>
                <w:lang w:val="en-US" w:eastAsia="zh-CN"/>
              </w:rPr>
              <w:t>8</w:t>
            </w:r>
          </w:p>
        </w:tc>
        <w:tc>
          <w:tcPr>
            <w:tcW w:w="306" w:type="pct"/>
            <w:vAlign w:val="center"/>
          </w:tcPr>
          <w:p w14:paraId="78A03C8A">
            <w:pPr>
              <w:widowControl w:val="0"/>
              <w:spacing w:line="300" w:lineRule="exact"/>
              <w:jc w:val="center"/>
              <w:rPr>
                <w:rFonts w:hint="eastAsia" w:ascii="Times New Roman" w:hAnsi="Times New Roman" w:cs="Times New Roman"/>
                <w:sz w:val="21"/>
                <w:szCs w:val="21"/>
                <w:lang w:val="en-US" w:eastAsia="zh-CN"/>
              </w:rPr>
            </w:pPr>
            <w:r>
              <w:rPr>
                <w:rFonts w:hint="default" w:ascii="Times New Roman" w:hAnsi="Times New Roman" w:cs="Times New Roman"/>
                <w:sz w:val="21"/>
                <w:szCs w:val="21"/>
                <w:lang w:val="en-US" w:eastAsia="zh-CN"/>
              </w:rPr>
              <w:t>DA015</w:t>
            </w:r>
          </w:p>
        </w:tc>
        <w:tc>
          <w:tcPr>
            <w:tcW w:w="349" w:type="pct"/>
            <w:vAlign w:val="center"/>
          </w:tcPr>
          <w:p w14:paraId="668193D9">
            <w:pPr>
              <w:widowControl w:val="0"/>
              <w:spacing w:line="300" w:lineRule="exact"/>
              <w:jc w:val="center"/>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64</w:t>
            </w:r>
          </w:p>
        </w:tc>
        <w:tc>
          <w:tcPr>
            <w:tcW w:w="350" w:type="pct"/>
            <w:vAlign w:val="center"/>
          </w:tcPr>
          <w:p w14:paraId="0C81FA8B">
            <w:pPr>
              <w:widowControl w:val="0"/>
              <w:spacing w:line="300" w:lineRule="exact"/>
              <w:jc w:val="center"/>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-67</w:t>
            </w:r>
          </w:p>
        </w:tc>
        <w:tc>
          <w:tcPr>
            <w:tcW w:w="374" w:type="pct"/>
            <w:vAlign w:val="center"/>
          </w:tcPr>
          <w:p w14:paraId="39A83509">
            <w:pPr>
              <w:widowControl w:val="0"/>
              <w:spacing w:line="300" w:lineRule="exact"/>
              <w:jc w:val="center"/>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353</w:t>
            </w:r>
          </w:p>
        </w:tc>
        <w:tc>
          <w:tcPr>
            <w:tcW w:w="340" w:type="pct"/>
            <w:vAlign w:val="center"/>
          </w:tcPr>
          <w:p w14:paraId="7AB0E68F">
            <w:pPr>
              <w:widowControl w:val="0"/>
              <w:spacing w:line="300" w:lineRule="exact"/>
              <w:jc w:val="center"/>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30</w:t>
            </w:r>
          </w:p>
        </w:tc>
        <w:tc>
          <w:tcPr>
            <w:tcW w:w="384" w:type="pct"/>
            <w:vAlign w:val="center"/>
          </w:tcPr>
          <w:p w14:paraId="2BB3FAD1">
            <w:pPr>
              <w:widowControl w:val="0"/>
              <w:spacing w:line="300" w:lineRule="exact"/>
              <w:jc w:val="center"/>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1.5</w:t>
            </w:r>
          </w:p>
        </w:tc>
        <w:tc>
          <w:tcPr>
            <w:tcW w:w="401" w:type="pct"/>
            <w:vAlign w:val="center"/>
          </w:tcPr>
          <w:p w14:paraId="2591F42A">
            <w:pPr>
              <w:widowControl w:val="0"/>
              <w:spacing w:line="300" w:lineRule="exact"/>
              <w:jc w:val="center"/>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80000</w:t>
            </w:r>
          </w:p>
        </w:tc>
        <w:tc>
          <w:tcPr>
            <w:tcW w:w="392" w:type="pct"/>
            <w:vAlign w:val="center"/>
          </w:tcPr>
          <w:p w14:paraId="18670E78">
            <w:pPr>
              <w:widowControl w:val="0"/>
              <w:spacing w:line="300" w:lineRule="exact"/>
              <w:jc w:val="center"/>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12.58</w:t>
            </w:r>
          </w:p>
        </w:tc>
        <w:tc>
          <w:tcPr>
            <w:tcW w:w="286" w:type="pct"/>
            <w:vAlign w:val="center"/>
          </w:tcPr>
          <w:p w14:paraId="56ECB7A6">
            <w:pPr>
              <w:widowControl w:val="0"/>
              <w:spacing w:line="300" w:lineRule="exact"/>
              <w:jc w:val="center"/>
              <w:rPr>
                <w:rFonts w:hint="default" w:ascii="Times New Roman" w:hAnsi="Times New Roman" w:cs="Times New Roman"/>
                <w:sz w:val="21"/>
                <w:szCs w:val="21"/>
                <w:lang w:val="en-US" w:eastAsia="zh-CN"/>
              </w:rPr>
            </w:pPr>
            <w:r>
              <w:rPr>
                <w:rFonts w:hint="eastAsia" w:ascii="Times New Roman" w:hAnsi="Times New Roman" w:cs="Times New Roman"/>
                <w:sz w:val="21"/>
                <w:szCs w:val="21"/>
                <w:lang w:val="en-US" w:eastAsia="zh-CN"/>
              </w:rPr>
              <w:t>常温</w:t>
            </w:r>
          </w:p>
        </w:tc>
        <w:tc>
          <w:tcPr>
            <w:tcW w:w="383" w:type="pct"/>
            <w:vAlign w:val="center"/>
          </w:tcPr>
          <w:p w14:paraId="4A8A62E4">
            <w:pPr>
              <w:widowControl w:val="0"/>
              <w:spacing w:line="300" w:lineRule="exact"/>
              <w:jc w:val="center"/>
              <w:rPr>
                <w:rFonts w:hint="default" w:ascii="Times New Roman" w:hAnsi="Times New Roman" w:cs="Times New Roman"/>
                <w:sz w:val="21"/>
                <w:szCs w:val="21"/>
                <w:lang w:val="en-US" w:eastAsia="zh-CN"/>
              </w:rPr>
            </w:pPr>
            <w:r>
              <w:rPr>
                <w:rFonts w:hint="eastAsia" w:ascii="Times New Roman" w:hAnsi="Times New Roman" w:cs="Times New Roman"/>
                <w:sz w:val="21"/>
                <w:szCs w:val="21"/>
                <w:lang w:val="en-US" w:eastAsia="zh-CN"/>
              </w:rPr>
              <w:t>7920</w:t>
            </w:r>
          </w:p>
        </w:tc>
        <w:tc>
          <w:tcPr>
            <w:tcW w:w="217" w:type="pct"/>
            <w:vAlign w:val="center"/>
          </w:tcPr>
          <w:p w14:paraId="083BE3C1">
            <w:pPr>
              <w:widowControl w:val="0"/>
              <w:spacing w:line="300" w:lineRule="exact"/>
              <w:jc w:val="center"/>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正常排放</w:t>
            </w:r>
          </w:p>
        </w:tc>
        <w:tc>
          <w:tcPr>
            <w:tcW w:w="514" w:type="pct"/>
            <w:vAlign w:val="center"/>
          </w:tcPr>
          <w:p w14:paraId="502A12E0">
            <w:pPr>
              <w:widowControl w:val="0"/>
              <w:spacing w:line="300" w:lineRule="exact"/>
              <w:jc w:val="center"/>
              <w:rPr>
                <w:rFonts w:hint="eastAsia" w:ascii="Times New Roman" w:hAnsi="Times New Roman" w:cs="Times New Roman"/>
                <w:sz w:val="21"/>
                <w:szCs w:val="21"/>
                <w:lang w:val="en-US" w:eastAsia="zh-CN"/>
              </w:rPr>
            </w:pPr>
            <w:r>
              <w:rPr>
                <w:rFonts w:hint="eastAsia" w:ascii="Times New Roman" w:hAnsi="Times New Roman" w:cs="Times New Roman"/>
                <w:sz w:val="21"/>
                <w:szCs w:val="21"/>
                <w:lang w:val="en-US" w:eastAsia="zh-CN"/>
              </w:rPr>
              <w:t>颗粒物</w:t>
            </w:r>
          </w:p>
        </w:tc>
        <w:tc>
          <w:tcPr>
            <w:tcW w:w="504" w:type="pct"/>
            <w:vAlign w:val="center"/>
          </w:tcPr>
          <w:p w14:paraId="12A74D73">
            <w:pPr>
              <w:widowControl w:val="0"/>
              <w:spacing w:line="300" w:lineRule="exact"/>
              <w:jc w:val="center"/>
              <w:rPr>
                <w:rFonts w:hint="default" w:ascii="Times New Roman" w:hAnsi="Times New Roman" w:cs="Times New Roman"/>
                <w:sz w:val="21"/>
                <w:szCs w:val="21"/>
                <w:lang w:val="en-US" w:eastAsia="zh-CN"/>
              </w:rPr>
            </w:pPr>
            <w:r>
              <w:rPr>
                <w:rFonts w:hint="eastAsia" w:ascii="Times New Roman" w:hAnsi="Times New Roman" w:cs="Times New Roman"/>
                <w:sz w:val="21"/>
                <w:szCs w:val="21"/>
                <w:lang w:val="en-US" w:eastAsia="zh-CN"/>
              </w:rPr>
              <w:t>0.3</w:t>
            </w:r>
          </w:p>
        </w:tc>
      </w:tr>
    </w:tbl>
    <w:p w14:paraId="1C9C5964">
      <w:pPr>
        <w:pStyle w:val="112"/>
        <w:snapToGrid/>
      </w:pPr>
    </w:p>
    <w:p w14:paraId="32462167">
      <w:pPr>
        <w:keepNext w:val="0"/>
        <w:keepLines w:val="0"/>
        <w:pageBreakBefore w:val="0"/>
        <w:widowControl w:val="0"/>
        <w:kinsoku/>
        <w:wordWrap/>
        <w:overflowPunct/>
        <w:topLinePunct w:val="0"/>
        <w:autoSpaceDE/>
        <w:autoSpaceDN/>
        <w:bidi w:val="0"/>
        <w:adjustRightInd w:val="0"/>
        <w:snapToGrid w:val="0"/>
        <w:spacing w:before="157" w:beforeLines="50"/>
        <w:jc w:val="center"/>
        <w:textAlignment w:val="auto"/>
        <w:rPr>
          <w:rFonts w:hint="default" w:ascii="Times New Roman" w:hAnsi="Times New Roman" w:cs="Times New Roman"/>
          <w:b/>
          <w:bCs/>
          <w:color w:val="0000FF"/>
          <w:szCs w:val="21"/>
          <w:highlight w:val="none"/>
        </w:rPr>
      </w:pPr>
      <w:r>
        <w:t>表1.</w:t>
      </w:r>
      <w:r>
        <w:rPr>
          <w:rFonts w:hint="eastAsia"/>
        </w:rPr>
        <w:t>5</w:t>
      </w:r>
      <w:r>
        <w:t xml:space="preserve">-4  </w:t>
      </w:r>
      <w:r>
        <w:rPr>
          <w:rFonts w:hint="eastAsia"/>
        </w:rPr>
        <w:t>无组织</w:t>
      </w:r>
      <w:r>
        <w:t>污染源参数</w:t>
      </w:r>
      <w:r>
        <w:rPr>
          <w:rFonts w:hint="default" w:ascii="Times New Roman" w:hAnsi="Times New Roman" w:cs="Times New Roman"/>
          <w:b/>
          <w:bCs/>
          <w:color w:val="0000FF"/>
          <w:szCs w:val="21"/>
          <w:highlight w:val="none"/>
        </w:rPr>
        <w:t>(</w:t>
      </w:r>
      <w:r>
        <w:rPr>
          <w:rFonts w:hint="eastAsia" w:ascii="Times New Roman" w:hAnsi="Times New Roman" w:cs="Times New Roman"/>
          <w:b/>
          <w:bCs/>
          <w:color w:val="0000FF"/>
          <w:szCs w:val="21"/>
          <w:highlight w:val="none"/>
          <w:lang w:val="en-US" w:eastAsia="zh-CN"/>
        </w:rPr>
        <w:t>矩形</w:t>
      </w:r>
      <w:r>
        <w:rPr>
          <w:rFonts w:hint="default" w:ascii="Times New Roman" w:hAnsi="Times New Roman" w:cs="Times New Roman"/>
          <w:b/>
          <w:bCs/>
          <w:color w:val="0000FF"/>
          <w:szCs w:val="21"/>
          <w:highlight w:val="none"/>
        </w:rPr>
        <w:t>面源)</w:t>
      </w:r>
    </w:p>
    <w:tbl>
      <w:tblPr>
        <w:tblStyle w:val="56"/>
        <w:tblW w:w="5000" w:type="pct"/>
        <w:jc w:val="center"/>
        <w:tblBorders>
          <w:top w:val="double" w:color="auto" w:sz="4" w:space="0"/>
          <w:left w:val="none" w:color="auto" w:sz="0" w:space="0"/>
          <w:bottom w:val="double" w:color="auto" w:sz="4" w:space="0"/>
          <w:right w:val="none" w:color="auto" w:sz="0" w:space="0"/>
          <w:insideH w:val="single" w:color="auto" w:sz="2" w:space="0"/>
          <w:insideV w:val="single" w:color="auto" w:sz="2" w:space="0"/>
        </w:tblBorders>
        <w:tblLayout w:type="fixed"/>
        <w:tblCellMar>
          <w:top w:w="0" w:type="dxa"/>
          <w:left w:w="108" w:type="dxa"/>
          <w:bottom w:w="0" w:type="dxa"/>
          <w:right w:w="108" w:type="dxa"/>
        </w:tblCellMar>
      </w:tblPr>
      <w:tblGrid>
        <w:gridCol w:w="378"/>
        <w:gridCol w:w="889"/>
        <w:gridCol w:w="569"/>
        <w:gridCol w:w="660"/>
        <w:gridCol w:w="655"/>
        <w:gridCol w:w="695"/>
        <w:gridCol w:w="620"/>
        <w:gridCol w:w="866"/>
        <w:gridCol w:w="710"/>
        <w:gridCol w:w="675"/>
        <w:gridCol w:w="656"/>
        <w:gridCol w:w="1348"/>
      </w:tblGrid>
      <w:tr w14:paraId="2A1392E9">
        <w:tblPrEx>
          <w:tblBorders>
            <w:top w:val="double" w:color="auto" w:sz="4" w:space="0"/>
            <w:left w:val="none" w:color="auto" w:sz="0" w:space="0"/>
            <w:bottom w:val="double" w:color="auto" w:sz="4"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824" w:hRule="atLeast"/>
          <w:jc w:val="center"/>
        </w:trPr>
        <w:tc>
          <w:tcPr>
            <w:tcW w:w="216" w:type="pct"/>
            <w:vMerge w:val="restart"/>
            <w:shd w:val="clear" w:color="auto" w:fill="D7D7D7" w:themeFill="background1" w:themeFillShade="D8"/>
            <w:vAlign w:val="center"/>
          </w:tcPr>
          <w:p w14:paraId="657F35F0">
            <w:pPr>
              <w:spacing w:line="300" w:lineRule="exact"/>
              <w:jc w:val="center"/>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编号</w:t>
            </w:r>
          </w:p>
        </w:tc>
        <w:tc>
          <w:tcPr>
            <w:tcW w:w="509" w:type="pct"/>
            <w:vMerge w:val="restart"/>
            <w:shd w:val="clear" w:color="auto" w:fill="D7D7D7" w:themeFill="background1" w:themeFillShade="D8"/>
            <w:vAlign w:val="center"/>
          </w:tcPr>
          <w:p w14:paraId="01A7516F">
            <w:pPr>
              <w:spacing w:line="300" w:lineRule="exact"/>
              <w:jc w:val="center"/>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名称</w:t>
            </w:r>
          </w:p>
        </w:tc>
        <w:tc>
          <w:tcPr>
            <w:tcW w:w="704" w:type="pct"/>
            <w:gridSpan w:val="2"/>
            <w:shd w:val="clear" w:color="auto" w:fill="D7D7D7" w:themeFill="background1" w:themeFillShade="D8"/>
            <w:vAlign w:val="center"/>
          </w:tcPr>
          <w:p w14:paraId="1A6DAF98">
            <w:pPr>
              <w:spacing w:line="300" w:lineRule="exact"/>
              <w:jc w:val="center"/>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面源中心坐标</w:t>
            </w:r>
            <w:r>
              <w:rPr>
                <w:rFonts w:hint="eastAsia" w:ascii="Times New Roman" w:hAnsi="Times New Roman" w:cs="Times New Roman"/>
                <w:sz w:val="21"/>
                <w:szCs w:val="21"/>
                <w:lang w:val="en-US" w:eastAsia="zh-CN"/>
              </w:rPr>
              <w:t>/m</w:t>
            </w:r>
          </w:p>
        </w:tc>
        <w:tc>
          <w:tcPr>
            <w:tcW w:w="375" w:type="pct"/>
            <w:vMerge w:val="restart"/>
            <w:shd w:val="clear" w:color="auto" w:fill="D7D7D7" w:themeFill="background1" w:themeFillShade="D8"/>
            <w:vAlign w:val="center"/>
          </w:tcPr>
          <w:p w14:paraId="22220111">
            <w:pPr>
              <w:spacing w:line="300" w:lineRule="exact"/>
              <w:jc w:val="center"/>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面源海拔高度/m</w:t>
            </w:r>
          </w:p>
        </w:tc>
        <w:tc>
          <w:tcPr>
            <w:tcW w:w="398" w:type="pct"/>
            <w:vMerge w:val="restart"/>
            <w:shd w:val="clear" w:color="auto" w:fill="D7D7D7" w:themeFill="background1" w:themeFillShade="D8"/>
            <w:vAlign w:val="center"/>
          </w:tcPr>
          <w:p w14:paraId="37A478E4">
            <w:pPr>
              <w:spacing w:line="300" w:lineRule="exact"/>
              <w:jc w:val="center"/>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面源</w:t>
            </w:r>
            <w:r>
              <w:rPr>
                <w:rFonts w:hint="eastAsia" w:ascii="Times New Roman" w:hAnsi="Times New Roman" w:cs="Times New Roman"/>
                <w:sz w:val="21"/>
                <w:szCs w:val="21"/>
                <w:lang w:val="en-US" w:eastAsia="zh-CN"/>
              </w:rPr>
              <w:t>长</w:t>
            </w:r>
            <w:r>
              <w:rPr>
                <w:rFonts w:hint="default" w:ascii="Times New Roman" w:hAnsi="Times New Roman" w:cs="Times New Roman"/>
                <w:sz w:val="21"/>
                <w:szCs w:val="21"/>
                <w:lang w:val="en-US" w:eastAsia="zh-CN"/>
              </w:rPr>
              <w:t>度/m</w:t>
            </w:r>
          </w:p>
        </w:tc>
        <w:tc>
          <w:tcPr>
            <w:tcW w:w="355" w:type="pct"/>
            <w:vMerge w:val="restart"/>
            <w:shd w:val="clear" w:color="auto" w:fill="D7D7D7" w:themeFill="background1" w:themeFillShade="D8"/>
            <w:vAlign w:val="center"/>
          </w:tcPr>
          <w:p w14:paraId="60DCBA56">
            <w:pPr>
              <w:spacing w:line="300" w:lineRule="exact"/>
              <w:jc w:val="center"/>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面源</w:t>
            </w:r>
            <w:r>
              <w:rPr>
                <w:rFonts w:hint="eastAsia" w:ascii="Times New Roman" w:hAnsi="Times New Roman" w:cs="Times New Roman"/>
                <w:sz w:val="21"/>
                <w:szCs w:val="21"/>
                <w:lang w:val="en-US" w:eastAsia="zh-CN"/>
              </w:rPr>
              <w:t>宽</w:t>
            </w:r>
            <w:r>
              <w:rPr>
                <w:rFonts w:hint="default" w:ascii="Times New Roman" w:hAnsi="Times New Roman" w:cs="Times New Roman"/>
                <w:sz w:val="21"/>
                <w:szCs w:val="21"/>
                <w:lang w:val="en-US" w:eastAsia="zh-CN"/>
              </w:rPr>
              <w:t>度/m</w:t>
            </w:r>
          </w:p>
        </w:tc>
        <w:tc>
          <w:tcPr>
            <w:tcW w:w="496" w:type="pct"/>
            <w:vMerge w:val="restart"/>
            <w:shd w:val="clear" w:color="auto" w:fill="D7D7D7" w:themeFill="background1" w:themeFillShade="D8"/>
            <w:vAlign w:val="center"/>
          </w:tcPr>
          <w:p w14:paraId="625D99F4">
            <w:pPr>
              <w:spacing w:line="300" w:lineRule="exact"/>
              <w:jc w:val="center"/>
              <w:rPr>
                <w:rFonts w:hint="default" w:ascii="Times New Roman" w:hAnsi="Times New Roman" w:cs="Times New Roman"/>
                <w:sz w:val="21"/>
                <w:szCs w:val="21"/>
                <w:lang w:val="en-US" w:eastAsia="zh-CN"/>
              </w:rPr>
            </w:pPr>
            <w:r>
              <w:rPr>
                <w:rFonts w:hint="eastAsia" w:ascii="Times New Roman" w:hAnsi="Times New Roman" w:cs="Times New Roman"/>
                <w:sz w:val="21"/>
                <w:szCs w:val="21"/>
                <w:lang w:val="en-US" w:eastAsia="zh-CN"/>
              </w:rPr>
              <w:t>与正北向夹角°</w:t>
            </w:r>
          </w:p>
        </w:tc>
        <w:tc>
          <w:tcPr>
            <w:tcW w:w="407" w:type="pct"/>
            <w:vMerge w:val="restart"/>
            <w:shd w:val="clear" w:color="auto" w:fill="D7D7D7" w:themeFill="background1" w:themeFillShade="D8"/>
            <w:vAlign w:val="center"/>
          </w:tcPr>
          <w:p w14:paraId="13D3931F">
            <w:pPr>
              <w:spacing w:line="300" w:lineRule="exact"/>
              <w:jc w:val="center"/>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面源有效排放高度/m</w:t>
            </w:r>
          </w:p>
        </w:tc>
        <w:tc>
          <w:tcPr>
            <w:tcW w:w="387" w:type="pct"/>
            <w:vMerge w:val="restart"/>
            <w:shd w:val="clear" w:color="auto" w:fill="D7D7D7" w:themeFill="background1" w:themeFillShade="D8"/>
            <w:vAlign w:val="center"/>
          </w:tcPr>
          <w:p w14:paraId="403DF1E1">
            <w:pPr>
              <w:spacing w:line="300" w:lineRule="exact"/>
              <w:jc w:val="center"/>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年排放小时数/h</w:t>
            </w:r>
          </w:p>
        </w:tc>
        <w:tc>
          <w:tcPr>
            <w:tcW w:w="376" w:type="pct"/>
            <w:vMerge w:val="restart"/>
            <w:shd w:val="clear" w:color="auto" w:fill="D7D7D7" w:themeFill="background1" w:themeFillShade="D8"/>
            <w:vAlign w:val="center"/>
          </w:tcPr>
          <w:p w14:paraId="3A3DA999">
            <w:pPr>
              <w:spacing w:line="300" w:lineRule="exact"/>
              <w:jc w:val="center"/>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排放工况</w:t>
            </w:r>
          </w:p>
        </w:tc>
        <w:tc>
          <w:tcPr>
            <w:tcW w:w="772" w:type="pct"/>
            <w:shd w:val="clear" w:color="auto" w:fill="D7D7D7" w:themeFill="background1" w:themeFillShade="D8"/>
            <w:vAlign w:val="center"/>
          </w:tcPr>
          <w:p w14:paraId="45AFCCA7">
            <w:pPr>
              <w:spacing w:line="300" w:lineRule="exact"/>
              <w:jc w:val="center"/>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污染物排放速率/（kg/h）</w:t>
            </w:r>
          </w:p>
        </w:tc>
      </w:tr>
      <w:tr w14:paraId="220D0B3A">
        <w:tblPrEx>
          <w:tblBorders>
            <w:top w:val="double" w:color="auto" w:sz="4" w:space="0"/>
            <w:left w:val="none" w:color="auto" w:sz="0" w:space="0"/>
            <w:bottom w:val="double" w:color="auto" w:sz="4"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216" w:type="pct"/>
            <w:vMerge w:val="continue"/>
            <w:shd w:val="clear" w:color="auto" w:fill="D7D7D7" w:themeFill="background1" w:themeFillShade="D8"/>
            <w:vAlign w:val="center"/>
          </w:tcPr>
          <w:p w14:paraId="18E66D60">
            <w:pPr>
              <w:spacing w:line="300" w:lineRule="exact"/>
              <w:jc w:val="center"/>
              <w:rPr>
                <w:rFonts w:hint="default" w:ascii="Times New Roman" w:hAnsi="Times New Roman" w:cs="Times New Roman"/>
                <w:sz w:val="21"/>
                <w:szCs w:val="21"/>
                <w:lang w:val="en-US" w:eastAsia="zh-CN"/>
              </w:rPr>
            </w:pPr>
          </w:p>
        </w:tc>
        <w:tc>
          <w:tcPr>
            <w:tcW w:w="509" w:type="pct"/>
            <w:vMerge w:val="continue"/>
            <w:shd w:val="clear" w:color="auto" w:fill="D7D7D7" w:themeFill="background1" w:themeFillShade="D8"/>
            <w:vAlign w:val="center"/>
          </w:tcPr>
          <w:p w14:paraId="3DF62835">
            <w:pPr>
              <w:spacing w:line="300" w:lineRule="exact"/>
              <w:jc w:val="center"/>
              <w:rPr>
                <w:rFonts w:hint="default" w:ascii="Times New Roman" w:hAnsi="Times New Roman" w:cs="Times New Roman"/>
                <w:sz w:val="21"/>
                <w:szCs w:val="21"/>
                <w:lang w:val="en-US" w:eastAsia="zh-CN"/>
              </w:rPr>
            </w:pPr>
          </w:p>
        </w:tc>
        <w:tc>
          <w:tcPr>
            <w:tcW w:w="326" w:type="pct"/>
            <w:shd w:val="clear" w:color="auto" w:fill="D7D7D7" w:themeFill="background1" w:themeFillShade="D8"/>
            <w:vAlign w:val="center"/>
          </w:tcPr>
          <w:p w14:paraId="7E98EAA5">
            <w:pPr>
              <w:spacing w:line="300" w:lineRule="exact"/>
              <w:jc w:val="center"/>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X</w:t>
            </w:r>
          </w:p>
        </w:tc>
        <w:tc>
          <w:tcPr>
            <w:tcW w:w="378" w:type="pct"/>
            <w:shd w:val="clear" w:color="auto" w:fill="D7D7D7" w:themeFill="background1" w:themeFillShade="D8"/>
            <w:vAlign w:val="center"/>
          </w:tcPr>
          <w:p w14:paraId="43A96296">
            <w:pPr>
              <w:spacing w:line="300" w:lineRule="exact"/>
              <w:jc w:val="center"/>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Y</w:t>
            </w:r>
          </w:p>
        </w:tc>
        <w:tc>
          <w:tcPr>
            <w:tcW w:w="375" w:type="pct"/>
            <w:vMerge w:val="continue"/>
            <w:shd w:val="clear" w:color="auto" w:fill="D7D7D7" w:themeFill="background1" w:themeFillShade="D8"/>
            <w:vAlign w:val="center"/>
          </w:tcPr>
          <w:p w14:paraId="037F9F57">
            <w:pPr>
              <w:spacing w:line="300" w:lineRule="exact"/>
              <w:jc w:val="center"/>
              <w:rPr>
                <w:rFonts w:hint="default" w:ascii="Times New Roman" w:hAnsi="Times New Roman" w:cs="Times New Roman"/>
                <w:sz w:val="21"/>
                <w:szCs w:val="21"/>
                <w:lang w:val="en-US" w:eastAsia="zh-CN"/>
              </w:rPr>
            </w:pPr>
          </w:p>
        </w:tc>
        <w:tc>
          <w:tcPr>
            <w:tcW w:w="398" w:type="pct"/>
            <w:vMerge w:val="continue"/>
            <w:shd w:val="clear" w:color="auto" w:fill="D7D7D7" w:themeFill="background1" w:themeFillShade="D8"/>
            <w:vAlign w:val="center"/>
          </w:tcPr>
          <w:p w14:paraId="0153DA36">
            <w:pPr>
              <w:spacing w:line="300" w:lineRule="exact"/>
              <w:jc w:val="center"/>
              <w:rPr>
                <w:rFonts w:hint="default" w:ascii="Times New Roman" w:hAnsi="Times New Roman" w:cs="Times New Roman"/>
                <w:sz w:val="21"/>
                <w:szCs w:val="21"/>
                <w:lang w:val="en-US" w:eastAsia="zh-CN"/>
              </w:rPr>
            </w:pPr>
          </w:p>
        </w:tc>
        <w:tc>
          <w:tcPr>
            <w:tcW w:w="355" w:type="pct"/>
            <w:vMerge w:val="continue"/>
            <w:shd w:val="clear" w:color="auto" w:fill="D7D7D7" w:themeFill="background1" w:themeFillShade="D8"/>
            <w:vAlign w:val="center"/>
          </w:tcPr>
          <w:p w14:paraId="0C16C063">
            <w:pPr>
              <w:spacing w:line="300" w:lineRule="exact"/>
              <w:jc w:val="center"/>
              <w:rPr>
                <w:rFonts w:hint="default" w:ascii="Times New Roman" w:hAnsi="Times New Roman" w:cs="Times New Roman"/>
                <w:sz w:val="21"/>
                <w:szCs w:val="21"/>
                <w:lang w:val="en-US" w:eastAsia="zh-CN"/>
              </w:rPr>
            </w:pPr>
          </w:p>
        </w:tc>
        <w:tc>
          <w:tcPr>
            <w:tcW w:w="496" w:type="pct"/>
            <w:vMerge w:val="continue"/>
            <w:shd w:val="clear" w:color="auto" w:fill="D7D7D7" w:themeFill="background1" w:themeFillShade="D8"/>
            <w:vAlign w:val="center"/>
          </w:tcPr>
          <w:p w14:paraId="7866FBBD">
            <w:pPr>
              <w:spacing w:line="300" w:lineRule="exact"/>
              <w:jc w:val="center"/>
              <w:rPr>
                <w:rFonts w:hint="default" w:ascii="Times New Roman" w:hAnsi="Times New Roman" w:cs="Times New Roman"/>
                <w:sz w:val="21"/>
                <w:szCs w:val="21"/>
                <w:lang w:val="en-US" w:eastAsia="zh-CN"/>
              </w:rPr>
            </w:pPr>
          </w:p>
        </w:tc>
        <w:tc>
          <w:tcPr>
            <w:tcW w:w="407" w:type="pct"/>
            <w:vMerge w:val="continue"/>
            <w:shd w:val="clear" w:color="auto" w:fill="D7D7D7" w:themeFill="background1" w:themeFillShade="D8"/>
            <w:vAlign w:val="center"/>
          </w:tcPr>
          <w:p w14:paraId="169567D4">
            <w:pPr>
              <w:spacing w:line="300" w:lineRule="exact"/>
              <w:jc w:val="center"/>
              <w:rPr>
                <w:rFonts w:hint="default" w:ascii="Times New Roman" w:hAnsi="Times New Roman" w:cs="Times New Roman"/>
                <w:sz w:val="21"/>
                <w:szCs w:val="21"/>
                <w:lang w:val="en-US" w:eastAsia="zh-CN"/>
              </w:rPr>
            </w:pPr>
          </w:p>
        </w:tc>
        <w:tc>
          <w:tcPr>
            <w:tcW w:w="387" w:type="pct"/>
            <w:vMerge w:val="continue"/>
            <w:shd w:val="clear" w:color="auto" w:fill="D7D7D7" w:themeFill="background1" w:themeFillShade="D8"/>
            <w:vAlign w:val="center"/>
          </w:tcPr>
          <w:p w14:paraId="1B8F5CE6">
            <w:pPr>
              <w:spacing w:line="300" w:lineRule="exact"/>
              <w:jc w:val="center"/>
              <w:rPr>
                <w:rFonts w:hint="default" w:ascii="Times New Roman" w:hAnsi="Times New Roman" w:cs="Times New Roman"/>
                <w:sz w:val="21"/>
                <w:szCs w:val="21"/>
                <w:lang w:val="en-US" w:eastAsia="zh-CN"/>
              </w:rPr>
            </w:pPr>
          </w:p>
        </w:tc>
        <w:tc>
          <w:tcPr>
            <w:tcW w:w="376" w:type="pct"/>
            <w:vMerge w:val="continue"/>
            <w:shd w:val="clear" w:color="auto" w:fill="D7D7D7" w:themeFill="background1" w:themeFillShade="D8"/>
            <w:vAlign w:val="center"/>
          </w:tcPr>
          <w:p w14:paraId="0A608BE2">
            <w:pPr>
              <w:spacing w:line="300" w:lineRule="exact"/>
              <w:jc w:val="center"/>
              <w:rPr>
                <w:rFonts w:hint="default" w:ascii="Times New Roman" w:hAnsi="Times New Roman" w:cs="Times New Roman"/>
                <w:sz w:val="21"/>
                <w:szCs w:val="21"/>
                <w:lang w:val="en-US" w:eastAsia="zh-CN"/>
              </w:rPr>
            </w:pPr>
          </w:p>
        </w:tc>
        <w:tc>
          <w:tcPr>
            <w:tcW w:w="772" w:type="pct"/>
            <w:shd w:val="clear" w:color="auto" w:fill="D7D7D7" w:themeFill="background1" w:themeFillShade="D8"/>
            <w:vAlign w:val="center"/>
          </w:tcPr>
          <w:p w14:paraId="1DEEE088">
            <w:pPr>
              <w:spacing w:line="300" w:lineRule="exact"/>
              <w:jc w:val="center"/>
              <w:rPr>
                <w:rFonts w:hint="default" w:ascii="Times New Roman" w:hAnsi="Times New Roman" w:cs="Times New Roman"/>
                <w:sz w:val="21"/>
                <w:szCs w:val="21"/>
                <w:lang w:val="en-US" w:eastAsia="zh-CN"/>
              </w:rPr>
            </w:pPr>
            <w:r>
              <w:rPr>
                <w:rFonts w:hint="eastAsia" w:ascii="Times New Roman" w:hAnsi="Times New Roman" w:cs="Times New Roman"/>
                <w:sz w:val="21"/>
                <w:szCs w:val="21"/>
                <w:lang w:val="en-US" w:eastAsia="zh-CN"/>
              </w:rPr>
              <w:t>TSP</w:t>
            </w:r>
          </w:p>
        </w:tc>
      </w:tr>
      <w:tr w14:paraId="1F0BDF8E">
        <w:tblPrEx>
          <w:tblBorders>
            <w:top w:val="double" w:color="auto" w:sz="4" w:space="0"/>
            <w:left w:val="none" w:color="auto" w:sz="0" w:space="0"/>
            <w:bottom w:val="double" w:color="auto" w:sz="4"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216" w:type="pct"/>
            <w:vAlign w:val="center"/>
          </w:tcPr>
          <w:p w14:paraId="7F197F02">
            <w:pPr>
              <w:spacing w:line="300" w:lineRule="exact"/>
              <w:jc w:val="center"/>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1</w:t>
            </w:r>
          </w:p>
        </w:tc>
        <w:tc>
          <w:tcPr>
            <w:tcW w:w="509" w:type="pct"/>
            <w:vAlign w:val="center"/>
          </w:tcPr>
          <w:p w14:paraId="77C18050">
            <w:pPr>
              <w:spacing w:line="300" w:lineRule="exact"/>
              <w:jc w:val="center"/>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烧结车间M1</w:t>
            </w:r>
          </w:p>
        </w:tc>
        <w:tc>
          <w:tcPr>
            <w:tcW w:w="326" w:type="pct"/>
            <w:vAlign w:val="center"/>
          </w:tcPr>
          <w:p w14:paraId="7F09CCA1">
            <w:pPr>
              <w:spacing w:line="300" w:lineRule="exact"/>
              <w:jc w:val="center"/>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-24</w:t>
            </w:r>
          </w:p>
        </w:tc>
        <w:tc>
          <w:tcPr>
            <w:tcW w:w="378" w:type="pct"/>
            <w:vAlign w:val="center"/>
          </w:tcPr>
          <w:p w14:paraId="3D33CBEA">
            <w:pPr>
              <w:spacing w:line="300" w:lineRule="exact"/>
              <w:jc w:val="center"/>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-92</w:t>
            </w:r>
          </w:p>
        </w:tc>
        <w:tc>
          <w:tcPr>
            <w:tcW w:w="375" w:type="pct"/>
            <w:vAlign w:val="center"/>
          </w:tcPr>
          <w:p w14:paraId="03138C49">
            <w:pPr>
              <w:spacing w:line="300" w:lineRule="exact"/>
              <w:jc w:val="center"/>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351</w:t>
            </w:r>
          </w:p>
        </w:tc>
        <w:tc>
          <w:tcPr>
            <w:tcW w:w="398" w:type="pct"/>
            <w:vAlign w:val="center"/>
          </w:tcPr>
          <w:p w14:paraId="7081443B">
            <w:pPr>
              <w:spacing w:line="300" w:lineRule="exact"/>
              <w:jc w:val="center"/>
              <w:rPr>
                <w:rFonts w:hint="default" w:ascii="Times New Roman" w:hAnsi="Times New Roman" w:cs="Times New Roman"/>
                <w:sz w:val="21"/>
                <w:szCs w:val="21"/>
                <w:lang w:val="en-US" w:eastAsia="zh-CN"/>
              </w:rPr>
            </w:pPr>
            <w:r>
              <w:rPr>
                <w:rFonts w:hint="eastAsia" w:ascii="Times New Roman" w:hAnsi="Times New Roman" w:cs="Times New Roman"/>
                <w:sz w:val="21"/>
                <w:szCs w:val="21"/>
                <w:lang w:val="en-US" w:eastAsia="zh-CN"/>
              </w:rPr>
              <w:t>136</w:t>
            </w:r>
          </w:p>
        </w:tc>
        <w:tc>
          <w:tcPr>
            <w:tcW w:w="355" w:type="pct"/>
            <w:vAlign w:val="center"/>
          </w:tcPr>
          <w:p w14:paraId="76620C3D">
            <w:pPr>
              <w:spacing w:line="300" w:lineRule="exact"/>
              <w:jc w:val="center"/>
              <w:rPr>
                <w:rFonts w:hint="default" w:ascii="Times New Roman" w:hAnsi="Times New Roman" w:cs="Times New Roman"/>
                <w:sz w:val="21"/>
                <w:szCs w:val="21"/>
                <w:lang w:val="en-US" w:eastAsia="zh-CN"/>
              </w:rPr>
            </w:pPr>
            <w:r>
              <w:rPr>
                <w:rFonts w:hint="eastAsia" w:ascii="Times New Roman" w:hAnsi="Times New Roman" w:cs="Times New Roman"/>
                <w:sz w:val="21"/>
                <w:szCs w:val="21"/>
                <w:lang w:val="en-US" w:eastAsia="zh-CN"/>
              </w:rPr>
              <w:t>31</w:t>
            </w:r>
          </w:p>
        </w:tc>
        <w:tc>
          <w:tcPr>
            <w:tcW w:w="496" w:type="pct"/>
            <w:vAlign w:val="center"/>
          </w:tcPr>
          <w:p w14:paraId="65AF985D">
            <w:pPr>
              <w:spacing w:line="300" w:lineRule="exact"/>
              <w:jc w:val="center"/>
              <w:rPr>
                <w:rFonts w:hint="default" w:ascii="Times New Roman" w:hAnsi="Times New Roman" w:cs="Times New Roman"/>
                <w:sz w:val="21"/>
                <w:szCs w:val="21"/>
                <w:lang w:val="en-US" w:eastAsia="zh-CN"/>
              </w:rPr>
            </w:pPr>
            <w:r>
              <w:rPr>
                <w:rFonts w:hint="eastAsia" w:ascii="Times New Roman" w:hAnsi="Times New Roman" w:cs="Times New Roman"/>
                <w:sz w:val="21"/>
                <w:szCs w:val="21"/>
                <w:lang w:val="en-US" w:eastAsia="zh-CN"/>
              </w:rPr>
              <w:t>65</w:t>
            </w:r>
          </w:p>
        </w:tc>
        <w:tc>
          <w:tcPr>
            <w:tcW w:w="407" w:type="pct"/>
            <w:vAlign w:val="center"/>
          </w:tcPr>
          <w:p w14:paraId="5B0C6882">
            <w:pPr>
              <w:spacing w:line="300" w:lineRule="exact"/>
              <w:jc w:val="center"/>
              <w:rPr>
                <w:rFonts w:hint="default" w:ascii="Times New Roman" w:hAnsi="Times New Roman" w:cs="Times New Roman"/>
                <w:sz w:val="21"/>
                <w:szCs w:val="21"/>
                <w:lang w:val="en-US" w:eastAsia="zh-CN"/>
              </w:rPr>
            </w:pPr>
            <w:r>
              <w:rPr>
                <w:rFonts w:hint="eastAsia" w:ascii="Times New Roman" w:hAnsi="Times New Roman" w:cs="Times New Roman"/>
                <w:sz w:val="21"/>
                <w:szCs w:val="21"/>
                <w:lang w:val="en-US" w:eastAsia="zh-CN"/>
              </w:rPr>
              <w:t>15</w:t>
            </w:r>
          </w:p>
        </w:tc>
        <w:tc>
          <w:tcPr>
            <w:tcW w:w="387" w:type="pct"/>
            <w:vAlign w:val="center"/>
          </w:tcPr>
          <w:p w14:paraId="4864D79E">
            <w:pPr>
              <w:spacing w:line="300" w:lineRule="exact"/>
              <w:jc w:val="center"/>
              <w:rPr>
                <w:rFonts w:hint="default" w:ascii="Times New Roman" w:hAnsi="Times New Roman" w:cs="Times New Roman"/>
                <w:sz w:val="21"/>
                <w:szCs w:val="21"/>
                <w:lang w:val="en-US" w:eastAsia="zh-CN"/>
              </w:rPr>
            </w:pPr>
            <w:r>
              <w:rPr>
                <w:rFonts w:hint="eastAsia" w:ascii="Times New Roman" w:hAnsi="Times New Roman" w:cs="Times New Roman"/>
                <w:sz w:val="21"/>
                <w:szCs w:val="21"/>
                <w:lang w:val="en-US" w:eastAsia="zh-CN"/>
              </w:rPr>
              <w:t>7920</w:t>
            </w:r>
          </w:p>
        </w:tc>
        <w:tc>
          <w:tcPr>
            <w:tcW w:w="376" w:type="pct"/>
            <w:vAlign w:val="center"/>
          </w:tcPr>
          <w:p w14:paraId="5D56676F">
            <w:pPr>
              <w:spacing w:line="300" w:lineRule="exact"/>
              <w:jc w:val="center"/>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正常排放</w:t>
            </w:r>
          </w:p>
        </w:tc>
        <w:tc>
          <w:tcPr>
            <w:tcW w:w="772" w:type="pct"/>
            <w:vAlign w:val="center"/>
          </w:tcPr>
          <w:p w14:paraId="23098F5B">
            <w:pPr>
              <w:spacing w:line="300" w:lineRule="exact"/>
              <w:jc w:val="center"/>
              <w:rPr>
                <w:rFonts w:hint="default" w:ascii="Times New Roman" w:hAnsi="Times New Roman" w:cs="Times New Roman"/>
                <w:sz w:val="21"/>
                <w:szCs w:val="21"/>
                <w:lang w:val="en-US" w:eastAsia="zh-CN"/>
              </w:rPr>
            </w:pPr>
            <w:r>
              <w:rPr>
                <w:rFonts w:hint="eastAsia" w:ascii="Times New Roman" w:hAnsi="Times New Roman" w:cs="Times New Roman"/>
                <w:sz w:val="21"/>
                <w:szCs w:val="21"/>
                <w:lang w:val="en-US" w:eastAsia="zh-CN"/>
              </w:rPr>
              <w:t>0.26</w:t>
            </w:r>
          </w:p>
        </w:tc>
      </w:tr>
      <w:tr w14:paraId="6DBECCA4">
        <w:tblPrEx>
          <w:tblBorders>
            <w:top w:val="double" w:color="auto" w:sz="4" w:space="0"/>
            <w:left w:val="none" w:color="auto" w:sz="0" w:space="0"/>
            <w:bottom w:val="double" w:color="auto" w:sz="4"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216" w:type="pct"/>
            <w:vAlign w:val="center"/>
          </w:tcPr>
          <w:p w14:paraId="533A9BE5">
            <w:pPr>
              <w:spacing w:line="300" w:lineRule="exact"/>
              <w:jc w:val="center"/>
              <w:rPr>
                <w:rFonts w:hint="default" w:ascii="Times New Roman" w:hAnsi="Times New Roman" w:cs="Times New Roman"/>
                <w:sz w:val="21"/>
                <w:szCs w:val="21"/>
                <w:lang w:val="en-US" w:eastAsia="zh-CN"/>
              </w:rPr>
            </w:pPr>
            <w:r>
              <w:rPr>
                <w:rFonts w:hint="eastAsia" w:ascii="Times New Roman" w:hAnsi="Times New Roman" w:cs="Times New Roman"/>
                <w:sz w:val="21"/>
                <w:szCs w:val="21"/>
                <w:lang w:val="en-US" w:eastAsia="zh-CN"/>
              </w:rPr>
              <w:t>2</w:t>
            </w:r>
          </w:p>
        </w:tc>
        <w:tc>
          <w:tcPr>
            <w:tcW w:w="509" w:type="pct"/>
            <w:vAlign w:val="center"/>
          </w:tcPr>
          <w:p w14:paraId="6837C380">
            <w:pPr>
              <w:spacing w:line="300" w:lineRule="exact"/>
              <w:jc w:val="center"/>
              <w:rPr>
                <w:rFonts w:hint="default" w:ascii="Times New Roman" w:hAnsi="Times New Roman" w:cs="Times New Roman"/>
                <w:sz w:val="21"/>
                <w:szCs w:val="21"/>
                <w:lang w:val="en-US" w:eastAsia="zh-CN"/>
              </w:rPr>
            </w:pPr>
            <w:r>
              <w:rPr>
                <w:rFonts w:hint="eastAsia" w:ascii="Times New Roman" w:hAnsi="Times New Roman" w:cs="Times New Roman"/>
                <w:sz w:val="21"/>
                <w:szCs w:val="21"/>
                <w:lang w:val="en-US" w:eastAsia="zh-CN"/>
              </w:rPr>
              <w:t>球团车间M2</w:t>
            </w:r>
          </w:p>
        </w:tc>
        <w:tc>
          <w:tcPr>
            <w:tcW w:w="326" w:type="pct"/>
            <w:vAlign w:val="center"/>
          </w:tcPr>
          <w:p w14:paraId="6B3AD407">
            <w:pPr>
              <w:spacing w:line="300" w:lineRule="exact"/>
              <w:jc w:val="center"/>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90</w:t>
            </w:r>
          </w:p>
        </w:tc>
        <w:tc>
          <w:tcPr>
            <w:tcW w:w="378" w:type="pct"/>
            <w:vAlign w:val="center"/>
          </w:tcPr>
          <w:p w14:paraId="2CDD62E6">
            <w:pPr>
              <w:spacing w:line="300" w:lineRule="exact"/>
              <w:jc w:val="center"/>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175</w:t>
            </w:r>
          </w:p>
        </w:tc>
        <w:tc>
          <w:tcPr>
            <w:tcW w:w="375" w:type="pct"/>
            <w:vAlign w:val="center"/>
          </w:tcPr>
          <w:p w14:paraId="1020947C">
            <w:pPr>
              <w:spacing w:line="300" w:lineRule="exact"/>
              <w:jc w:val="center"/>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354</w:t>
            </w:r>
          </w:p>
        </w:tc>
        <w:tc>
          <w:tcPr>
            <w:tcW w:w="398" w:type="pct"/>
            <w:vAlign w:val="center"/>
          </w:tcPr>
          <w:p w14:paraId="750C3113">
            <w:pPr>
              <w:spacing w:line="300" w:lineRule="exact"/>
              <w:jc w:val="center"/>
              <w:rPr>
                <w:rFonts w:hint="default" w:ascii="Times New Roman" w:hAnsi="Times New Roman" w:cs="Times New Roman"/>
                <w:sz w:val="21"/>
                <w:szCs w:val="21"/>
                <w:lang w:val="en-US" w:eastAsia="zh-CN"/>
              </w:rPr>
            </w:pPr>
            <w:r>
              <w:rPr>
                <w:rFonts w:hint="eastAsia" w:ascii="Times New Roman" w:hAnsi="Times New Roman" w:cs="Times New Roman"/>
                <w:sz w:val="21"/>
                <w:szCs w:val="21"/>
                <w:lang w:val="en-US" w:eastAsia="zh-CN"/>
              </w:rPr>
              <w:t>66</w:t>
            </w:r>
          </w:p>
        </w:tc>
        <w:tc>
          <w:tcPr>
            <w:tcW w:w="355" w:type="pct"/>
            <w:vAlign w:val="center"/>
          </w:tcPr>
          <w:p w14:paraId="5806E851">
            <w:pPr>
              <w:spacing w:line="300" w:lineRule="exact"/>
              <w:jc w:val="center"/>
              <w:rPr>
                <w:rFonts w:hint="default" w:ascii="Times New Roman" w:hAnsi="Times New Roman" w:cs="Times New Roman"/>
                <w:sz w:val="21"/>
                <w:szCs w:val="21"/>
                <w:lang w:val="en-US" w:eastAsia="zh-CN"/>
              </w:rPr>
            </w:pPr>
            <w:r>
              <w:rPr>
                <w:rFonts w:hint="eastAsia" w:ascii="Times New Roman" w:hAnsi="Times New Roman" w:cs="Times New Roman"/>
                <w:sz w:val="21"/>
                <w:szCs w:val="21"/>
                <w:lang w:val="en-US" w:eastAsia="zh-CN"/>
              </w:rPr>
              <w:t>46</w:t>
            </w:r>
          </w:p>
        </w:tc>
        <w:tc>
          <w:tcPr>
            <w:tcW w:w="496" w:type="pct"/>
            <w:vAlign w:val="center"/>
          </w:tcPr>
          <w:p w14:paraId="3111E0AF">
            <w:pPr>
              <w:spacing w:line="300" w:lineRule="exact"/>
              <w:jc w:val="center"/>
              <w:rPr>
                <w:rFonts w:hint="default" w:ascii="Times New Roman" w:hAnsi="Times New Roman" w:cs="Times New Roman"/>
                <w:sz w:val="21"/>
                <w:szCs w:val="21"/>
                <w:lang w:val="en-US" w:eastAsia="zh-CN"/>
              </w:rPr>
            </w:pPr>
            <w:r>
              <w:rPr>
                <w:rFonts w:hint="eastAsia" w:ascii="Times New Roman" w:hAnsi="Times New Roman" w:cs="Times New Roman"/>
                <w:sz w:val="21"/>
                <w:szCs w:val="21"/>
                <w:lang w:val="en-US" w:eastAsia="zh-CN"/>
              </w:rPr>
              <w:t>65</w:t>
            </w:r>
          </w:p>
        </w:tc>
        <w:tc>
          <w:tcPr>
            <w:tcW w:w="407" w:type="pct"/>
            <w:vAlign w:val="center"/>
          </w:tcPr>
          <w:p w14:paraId="7FF66CE1">
            <w:pPr>
              <w:spacing w:line="300" w:lineRule="exact"/>
              <w:jc w:val="center"/>
              <w:rPr>
                <w:rFonts w:hint="default" w:ascii="Times New Roman" w:hAnsi="Times New Roman" w:cs="Times New Roman"/>
                <w:sz w:val="21"/>
                <w:szCs w:val="21"/>
                <w:lang w:val="en-US" w:eastAsia="zh-CN"/>
              </w:rPr>
            </w:pPr>
            <w:r>
              <w:rPr>
                <w:rFonts w:hint="eastAsia" w:ascii="Times New Roman" w:hAnsi="Times New Roman" w:cs="Times New Roman"/>
                <w:sz w:val="21"/>
                <w:szCs w:val="21"/>
                <w:lang w:val="en-US" w:eastAsia="zh-CN"/>
              </w:rPr>
              <w:t>15</w:t>
            </w:r>
          </w:p>
        </w:tc>
        <w:tc>
          <w:tcPr>
            <w:tcW w:w="387" w:type="pct"/>
            <w:vAlign w:val="center"/>
          </w:tcPr>
          <w:p w14:paraId="7AEDFA2A">
            <w:pPr>
              <w:spacing w:line="300" w:lineRule="exact"/>
              <w:jc w:val="center"/>
              <w:rPr>
                <w:rFonts w:hint="default" w:ascii="Times New Roman" w:hAnsi="Times New Roman" w:cs="Times New Roman"/>
                <w:sz w:val="21"/>
                <w:szCs w:val="21"/>
                <w:lang w:val="en-US" w:eastAsia="zh-CN"/>
              </w:rPr>
            </w:pPr>
            <w:r>
              <w:rPr>
                <w:rFonts w:hint="eastAsia" w:ascii="Times New Roman" w:hAnsi="Times New Roman" w:cs="Times New Roman"/>
                <w:sz w:val="21"/>
                <w:szCs w:val="21"/>
                <w:lang w:val="en-US" w:eastAsia="zh-CN"/>
              </w:rPr>
              <w:t>7920</w:t>
            </w:r>
          </w:p>
        </w:tc>
        <w:tc>
          <w:tcPr>
            <w:tcW w:w="376" w:type="pct"/>
            <w:vAlign w:val="center"/>
          </w:tcPr>
          <w:p w14:paraId="7CAEC46E">
            <w:pPr>
              <w:spacing w:line="300" w:lineRule="exact"/>
              <w:jc w:val="center"/>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正常排放</w:t>
            </w:r>
          </w:p>
        </w:tc>
        <w:tc>
          <w:tcPr>
            <w:tcW w:w="772" w:type="pct"/>
            <w:vAlign w:val="center"/>
          </w:tcPr>
          <w:p w14:paraId="2D57B0FC">
            <w:pPr>
              <w:spacing w:line="300" w:lineRule="exact"/>
              <w:jc w:val="center"/>
              <w:rPr>
                <w:rFonts w:hint="default" w:ascii="Times New Roman" w:hAnsi="Times New Roman" w:cs="Times New Roman"/>
                <w:sz w:val="21"/>
                <w:szCs w:val="21"/>
                <w:lang w:val="en-US" w:eastAsia="zh-CN"/>
              </w:rPr>
            </w:pPr>
            <w:r>
              <w:rPr>
                <w:rFonts w:hint="eastAsia" w:ascii="Times New Roman" w:hAnsi="Times New Roman" w:cs="Times New Roman"/>
                <w:sz w:val="21"/>
                <w:szCs w:val="21"/>
                <w:lang w:val="en-US" w:eastAsia="zh-CN"/>
              </w:rPr>
              <w:t>0.16</w:t>
            </w:r>
          </w:p>
        </w:tc>
      </w:tr>
    </w:tbl>
    <w:p w14:paraId="57C72719">
      <w:pPr>
        <w:keepNext w:val="0"/>
        <w:keepLines w:val="0"/>
        <w:pageBreakBefore w:val="0"/>
        <w:widowControl w:val="0"/>
        <w:kinsoku/>
        <w:wordWrap/>
        <w:overflowPunct/>
        <w:topLinePunct w:val="0"/>
        <w:autoSpaceDE/>
        <w:autoSpaceDN/>
        <w:bidi w:val="0"/>
        <w:adjustRightInd w:val="0"/>
        <w:snapToGrid w:val="0"/>
        <w:spacing w:before="157" w:beforeLines="50"/>
        <w:jc w:val="center"/>
        <w:textAlignment w:val="auto"/>
        <w:rPr>
          <w:rFonts w:hint="default" w:ascii="Times New Roman" w:hAnsi="Times New Roman" w:cs="Times New Roman"/>
          <w:b/>
          <w:bCs/>
          <w:color w:val="0000FF"/>
          <w:szCs w:val="21"/>
          <w:highlight w:val="none"/>
        </w:rPr>
      </w:pPr>
      <w:r>
        <w:t>表1.</w:t>
      </w:r>
      <w:r>
        <w:rPr>
          <w:rFonts w:hint="eastAsia"/>
        </w:rPr>
        <w:t>5</w:t>
      </w:r>
      <w:r>
        <w:t xml:space="preserve">-4  </w:t>
      </w:r>
      <w:r>
        <w:rPr>
          <w:rFonts w:hint="eastAsia"/>
        </w:rPr>
        <w:t>无组织</w:t>
      </w:r>
      <w:r>
        <w:t>污染源参数</w:t>
      </w:r>
      <w:r>
        <w:rPr>
          <w:rFonts w:hint="default" w:ascii="Times New Roman" w:hAnsi="Times New Roman" w:cs="Times New Roman"/>
          <w:b/>
          <w:bCs/>
          <w:color w:val="0000FF"/>
          <w:szCs w:val="21"/>
          <w:highlight w:val="none"/>
        </w:rPr>
        <w:t>(</w:t>
      </w:r>
      <w:r>
        <w:rPr>
          <w:rFonts w:hint="default" w:ascii="Times New Roman" w:hAnsi="Times New Roman" w:cs="Times New Roman"/>
          <w:b/>
          <w:bCs/>
          <w:color w:val="0000FF"/>
          <w:szCs w:val="21"/>
          <w:highlight w:val="none"/>
          <w:lang w:val="en-US" w:eastAsia="zh-CN"/>
        </w:rPr>
        <w:t>圆形</w:t>
      </w:r>
      <w:r>
        <w:rPr>
          <w:rFonts w:hint="default" w:ascii="Times New Roman" w:hAnsi="Times New Roman" w:cs="Times New Roman"/>
          <w:b/>
          <w:bCs/>
          <w:color w:val="0000FF"/>
          <w:szCs w:val="21"/>
          <w:highlight w:val="none"/>
        </w:rPr>
        <w:t>面源)</w:t>
      </w:r>
    </w:p>
    <w:tbl>
      <w:tblPr>
        <w:tblStyle w:val="56"/>
        <w:tblW w:w="4997" w:type="pct"/>
        <w:jc w:val="center"/>
        <w:tblBorders>
          <w:top w:val="double" w:color="auto" w:sz="4" w:space="0"/>
          <w:left w:val="none" w:color="auto" w:sz="0" w:space="0"/>
          <w:bottom w:val="double" w:color="auto" w:sz="4" w:space="0"/>
          <w:right w:val="none" w:color="auto" w:sz="0" w:space="0"/>
          <w:insideH w:val="single" w:color="auto" w:sz="2" w:space="0"/>
          <w:insideV w:val="single" w:color="auto" w:sz="2" w:space="0"/>
        </w:tblBorders>
        <w:tblLayout w:type="autofit"/>
        <w:tblCellMar>
          <w:top w:w="0" w:type="dxa"/>
          <w:left w:w="108" w:type="dxa"/>
          <w:bottom w:w="0" w:type="dxa"/>
          <w:right w:w="108" w:type="dxa"/>
        </w:tblCellMar>
      </w:tblPr>
      <w:tblGrid>
        <w:gridCol w:w="489"/>
        <w:gridCol w:w="1372"/>
        <w:gridCol w:w="668"/>
        <w:gridCol w:w="735"/>
        <w:gridCol w:w="836"/>
        <w:gridCol w:w="696"/>
        <w:gridCol w:w="1019"/>
        <w:gridCol w:w="871"/>
        <w:gridCol w:w="871"/>
        <w:gridCol w:w="1159"/>
      </w:tblGrid>
      <w:tr w14:paraId="50E984F4">
        <w:tblPrEx>
          <w:tblBorders>
            <w:top w:val="double" w:color="auto" w:sz="4" w:space="0"/>
            <w:left w:val="none" w:color="auto" w:sz="0" w:space="0"/>
            <w:bottom w:val="double" w:color="auto" w:sz="4"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824" w:hRule="atLeast"/>
          <w:jc w:val="center"/>
        </w:trPr>
        <w:tc>
          <w:tcPr>
            <w:tcW w:w="281" w:type="pct"/>
            <w:vMerge w:val="restart"/>
            <w:shd w:val="clear" w:color="auto" w:fill="D7D7D7" w:themeFill="background1" w:themeFillShade="D8"/>
            <w:vAlign w:val="center"/>
          </w:tcPr>
          <w:p w14:paraId="09FFA7DC">
            <w:pPr>
              <w:spacing w:line="300" w:lineRule="exact"/>
              <w:jc w:val="center"/>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编号</w:t>
            </w:r>
          </w:p>
        </w:tc>
        <w:tc>
          <w:tcPr>
            <w:tcW w:w="786" w:type="pct"/>
            <w:vMerge w:val="restart"/>
            <w:shd w:val="clear" w:color="auto" w:fill="D7D7D7" w:themeFill="background1" w:themeFillShade="D8"/>
            <w:vAlign w:val="center"/>
          </w:tcPr>
          <w:p w14:paraId="5A8A2E1E">
            <w:pPr>
              <w:spacing w:line="300" w:lineRule="exact"/>
              <w:jc w:val="center"/>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名称</w:t>
            </w:r>
          </w:p>
        </w:tc>
        <w:tc>
          <w:tcPr>
            <w:tcW w:w="804" w:type="pct"/>
            <w:gridSpan w:val="2"/>
            <w:shd w:val="clear" w:color="auto" w:fill="D7D7D7" w:themeFill="background1" w:themeFillShade="D8"/>
            <w:vAlign w:val="center"/>
          </w:tcPr>
          <w:p w14:paraId="1BD3A371">
            <w:pPr>
              <w:spacing w:line="300" w:lineRule="exact"/>
              <w:jc w:val="center"/>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面源中心坐标</w:t>
            </w:r>
            <w:r>
              <w:rPr>
                <w:rFonts w:hint="eastAsia" w:ascii="Times New Roman" w:hAnsi="Times New Roman" w:cs="Times New Roman"/>
                <w:sz w:val="21"/>
                <w:szCs w:val="21"/>
                <w:lang w:val="en-US" w:eastAsia="zh-CN"/>
              </w:rPr>
              <w:t>/m</w:t>
            </w:r>
          </w:p>
        </w:tc>
        <w:tc>
          <w:tcPr>
            <w:tcW w:w="479" w:type="pct"/>
            <w:vMerge w:val="restart"/>
            <w:shd w:val="clear" w:color="auto" w:fill="D7D7D7" w:themeFill="background1" w:themeFillShade="D8"/>
            <w:vAlign w:val="center"/>
          </w:tcPr>
          <w:p w14:paraId="11EAC049">
            <w:pPr>
              <w:spacing w:line="300" w:lineRule="exact"/>
              <w:jc w:val="center"/>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面源海拔高度/m</w:t>
            </w:r>
          </w:p>
        </w:tc>
        <w:tc>
          <w:tcPr>
            <w:tcW w:w="399" w:type="pct"/>
            <w:vMerge w:val="restart"/>
            <w:shd w:val="clear" w:color="auto" w:fill="D7D7D7" w:themeFill="background1" w:themeFillShade="D8"/>
            <w:vAlign w:val="center"/>
          </w:tcPr>
          <w:p w14:paraId="287D8232">
            <w:pPr>
              <w:spacing w:line="300" w:lineRule="exact"/>
              <w:jc w:val="center"/>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面源</w:t>
            </w:r>
            <w:r>
              <w:rPr>
                <w:rFonts w:hint="eastAsia" w:ascii="Times New Roman" w:hAnsi="Times New Roman" w:cs="Times New Roman"/>
                <w:sz w:val="21"/>
                <w:szCs w:val="21"/>
                <w:lang w:val="en-US" w:eastAsia="zh-CN"/>
              </w:rPr>
              <w:t>直</w:t>
            </w:r>
            <w:r>
              <w:rPr>
                <w:rFonts w:hint="default" w:ascii="Times New Roman" w:hAnsi="Times New Roman" w:cs="Times New Roman"/>
                <w:sz w:val="21"/>
                <w:szCs w:val="21"/>
                <w:lang w:val="en-US" w:eastAsia="zh-CN"/>
              </w:rPr>
              <w:t>径/m</w:t>
            </w:r>
          </w:p>
        </w:tc>
        <w:tc>
          <w:tcPr>
            <w:tcW w:w="584" w:type="pct"/>
            <w:vMerge w:val="restart"/>
            <w:shd w:val="clear" w:color="auto" w:fill="D7D7D7" w:themeFill="background1" w:themeFillShade="D8"/>
            <w:vAlign w:val="center"/>
          </w:tcPr>
          <w:p w14:paraId="1903ACFB">
            <w:pPr>
              <w:spacing w:line="300" w:lineRule="exact"/>
              <w:jc w:val="center"/>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面源有效排放高度/m</w:t>
            </w:r>
          </w:p>
        </w:tc>
        <w:tc>
          <w:tcPr>
            <w:tcW w:w="499" w:type="pct"/>
            <w:vMerge w:val="restart"/>
            <w:shd w:val="clear" w:color="auto" w:fill="D7D7D7" w:themeFill="background1" w:themeFillShade="D8"/>
            <w:vAlign w:val="center"/>
          </w:tcPr>
          <w:p w14:paraId="77459788">
            <w:pPr>
              <w:spacing w:line="300" w:lineRule="exact"/>
              <w:jc w:val="center"/>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年排放小时数/h</w:t>
            </w:r>
          </w:p>
        </w:tc>
        <w:tc>
          <w:tcPr>
            <w:tcW w:w="499" w:type="pct"/>
            <w:vMerge w:val="restart"/>
            <w:shd w:val="clear" w:color="auto" w:fill="D7D7D7" w:themeFill="background1" w:themeFillShade="D8"/>
            <w:vAlign w:val="center"/>
          </w:tcPr>
          <w:p w14:paraId="33E474A8">
            <w:pPr>
              <w:spacing w:line="300" w:lineRule="exact"/>
              <w:jc w:val="center"/>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排放工况</w:t>
            </w:r>
          </w:p>
        </w:tc>
        <w:tc>
          <w:tcPr>
            <w:tcW w:w="664" w:type="pct"/>
            <w:shd w:val="clear" w:color="auto" w:fill="D7D7D7" w:themeFill="background1" w:themeFillShade="D8"/>
            <w:vAlign w:val="center"/>
          </w:tcPr>
          <w:p w14:paraId="1C996587">
            <w:pPr>
              <w:spacing w:line="300" w:lineRule="exact"/>
              <w:jc w:val="center"/>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污染物排放速率/（kg/h）</w:t>
            </w:r>
          </w:p>
        </w:tc>
      </w:tr>
      <w:tr w14:paraId="6A2EA87A">
        <w:tblPrEx>
          <w:tblBorders>
            <w:top w:val="double" w:color="auto" w:sz="4" w:space="0"/>
            <w:left w:val="none" w:color="auto" w:sz="0" w:space="0"/>
            <w:bottom w:val="double" w:color="auto" w:sz="4"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281" w:type="pct"/>
            <w:vMerge w:val="continue"/>
            <w:shd w:val="clear" w:color="auto" w:fill="D7D7D7" w:themeFill="background1" w:themeFillShade="D8"/>
            <w:vAlign w:val="center"/>
          </w:tcPr>
          <w:p w14:paraId="0F60BEFA">
            <w:pPr>
              <w:spacing w:line="300" w:lineRule="exact"/>
              <w:jc w:val="center"/>
              <w:rPr>
                <w:rFonts w:hint="default" w:ascii="Times New Roman" w:hAnsi="Times New Roman" w:cs="Times New Roman"/>
                <w:sz w:val="21"/>
                <w:szCs w:val="21"/>
                <w:lang w:val="en-US" w:eastAsia="zh-CN"/>
              </w:rPr>
            </w:pPr>
          </w:p>
        </w:tc>
        <w:tc>
          <w:tcPr>
            <w:tcW w:w="786" w:type="pct"/>
            <w:vMerge w:val="continue"/>
            <w:shd w:val="clear" w:color="auto" w:fill="D7D7D7" w:themeFill="background1" w:themeFillShade="D8"/>
            <w:vAlign w:val="center"/>
          </w:tcPr>
          <w:p w14:paraId="7653DC8F">
            <w:pPr>
              <w:spacing w:line="300" w:lineRule="exact"/>
              <w:jc w:val="center"/>
              <w:rPr>
                <w:rFonts w:hint="default" w:ascii="Times New Roman" w:hAnsi="Times New Roman" w:cs="Times New Roman"/>
                <w:sz w:val="21"/>
                <w:szCs w:val="21"/>
                <w:lang w:val="en-US" w:eastAsia="zh-CN"/>
              </w:rPr>
            </w:pPr>
          </w:p>
        </w:tc>
        <w:tc>
          <w:tcPr>
            <w:tcW w:w="383" w:type="pct"/>
            <w:shd w:val="clear" w:color="auto" w:fill="D7D7D7" w:themeFill="background1" w:themeFillShade="D8"/>
            <w:vAlign w:val="center"/>
          </w:tcPr>
          <w:p w14:paraId="6478E5A3">
            <w:pPr>
              <w:spacing w:line="300" w:lineRule="exact"/>
              <w:jc w:val="center"/>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X</w:t>
            </w:r>
          </w:p>
        </w:tc>
        <w:tc>
          <w:tcPr>
            <w:tcW w:w="421" w:type="pct"/>
            <w:shd w:val="clear" w:color="auto" w:fill="D7D7D7" w:themeFill="background1" w:themeFillShade="D8"/>
            <w:vAlign w:val="center"/>
          </w:tcPr>
          <w:p w14:paraId="5847CF7B">
            <w:pPr>
              <w:spacing w:line="300" w:lineRule="exact"/>
              <w:jc w:val="center"/>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Y</w:t>
            </w:r>
          </w:p>
        </w:tc>
        <w:tc>
          <w:tcPr>
            <w:tcW w:w="479" w:type="pct"/>
            <w:vMerge w:val="continue"/>
            <w:shd w:val="clear" w:color="auto" w:fill="D7D7D7" w:themeFill="background1" w:themeFillShade="D8"/>
            <w:vAlign w:val="center"/>
          </w:tcPr>
          <w:p w14:paraId="65EF639C">
            <w:pPr>
              <w:spacing w:line="300" w:lineRule="exact"/>
              <w:jc w:val="center"/>
              <w:rPr>
                <w:rFonts w:hint="default" w:ascii="Times New Roman" w:hAnsi="Times New Roman" w:cs="Times New Roman"/>
                <w:sz w:val="21"/>
                <w:szCs w:val="21"/>
                <w:lang w:val="en-US" w:eastAsia="zh-CN"/>
              </w:rPr>
            </w:pPr>
          </w:p>
        </w:tc>
        <w:tc>
          <w:tcPr>
            <w:tcW w:w="399" w:type="pct"/>
            <w:vMerge w:val="continue"/>
            <w:shd w:val="clear" w:color="auto" w:fill="D7D7D7" w:themeFill="background1" w:themeFillShade="D8"/>
            <w:vAlign w:val="center"/>
          </w:tcPr>
          <w:p w14:paraId="288734E9">
            <w:pPr>
              <w:spacing w:line="300" w:lineRule="exact"/>
              <w:jc w:val="center"/>
              <w:rPr>
                <w:rFonts w:hint="default" w:ascii="Times New Roman" w:hAnsi="Times New Roman" w:cs="Times New Roman"/>
                <w:sz w:val="21"/>
                <w:szCs w:val="21"/>
                <w:lang w:val="en-US" w:eastAsia="zh-CN"/>
              </w:rPr>
            </w:pPr>
          </w:p>
        </w:tc>
        <w:tc>
          <w:tcPr>
            <w:tcW w:w="584" w:type="pct"/>
            <w:vMerge w:val="continue"/>
            <w:shd w:val="clear" w:color="auto" w:fill="D7D7D7" w:themeFill="background1" w:themeFillShade="D8"/>
            <w:vAlign w:val="center"/>
          </w:tcPr>
          <w:p w14:paraId="113244E9">
            <w:pPr>
              <w:spacing w:line="300" w:lineRule="exact"/>
              <w:jc w:val="center"/>
              <w:rPr>
                <w:rFonts w:hint="default" w:ascii="Times New Roman" w:hAnsi="Times New Roman" w:cs="Times New Roman"/>
                <w:sz w:val="21"/>
                <w:szCs w:val="21"/>
                <w:lang w:val="en-US" w:eastAsia="zh-CN"/>
              </w:rPr>
            </w:pPr>
          </w:p>
        </w:tc>
        <w:tc>
          <w:tcPr>
            <w:tcW w:w="499" w:type="pct"/>
            <w:vMerge w:val="continue"/>
            <w:shd w:val="clear" w:color="auto" w:fill="D7D7D7" w:themeFill="background1" w:themeFillShade="D8"/>
            <w:vAlign w:val="center"/>
          </w:tcPr>
          <w:p w14:paraId="0F40D201">
            <w:pPr>
              <w:spacing w:line="300" w:lineRule="exact"/>
              <w:jc w:val="center"/>
              <w:rPr>
                <w:rFonts w:hint="default" w:ascii="Times New Roman" w:hAnsi="Times New Roman" w:cs="Times New Roman"/>
                <w:sz w:val="21"/>
                <w:szCs w:val="21"/>
                <w:lang w:val="en-US" w:eastAsia="zh-CN"/>
              </w:rPr>
            </w:pPr>
          </w:p>
        </w:tc>
        <w:tc>
          <w:tcPr>
            <w:tcW w:w="499" w:type="pct"/>
            <w:vMerge w:val="continue"/>
            <w:shd w:val="clear" w:color="auto" w:fill="D7D7D7" w:themeFill="background1" w:themeFillShade="D8"/>
            <w:vAlign w:val="center"/>
          </w:tcPr>
          <w:p w14:paraId="4CB28FF2">
            <w:pPr>
              <w:spacing w:line="300" w:lineRule="exact"/>
              <w:jc w:val="center"/>
              <w:rPr>
                <w:rFonts w:hint="default" w:ascii="Times New Roman" w:hAnsi="Times New Roman" w:cs="Times New Roman"/>
                <w:sz w:val="21"/>
                <w:szCs w:val="21"/>
                <w:lang w:val="en-US" w:eastAsia="zh-CN"/>
              </w:rPr>
            </w:pPr>
          </w:p>
        </w:tc>
        <w:tc>
          <w:tcPr>
            <w:tcW w:w="664" w:type="pct"/>
            <w:shd w:val="clear" w:color="auto" w:fill="D7D7D7" w:themeFill="background1" w:themeFillShade="D8"/>
            <w:vAlign w:val="center"/>
          </w:tcPr>
          <w:p w14:paraId="096A605A">
            <w:pPr>
              <w:spacing w:line="300" w:lineRule="exact"/>
              <w:jc w:val="center"/>
              <w:rPr>
                <w:rFonts w:hint="default" w:ascii="Times New Roman" w:hAnsi="Times New Roman" w:cs="Times New Roman"/>
                <w:sz w:val="21"/>
                <w:szCs w:val="21"/>
                <w:lang w:val="en-US" w:eastAsia="zh-CN"/>
              </w:rPr>
            </w:pPr>
            <w:r>
              <w:rPr>
                <w:rFonts w:hint="eastAsia" w:ascii="Times New Roman" w:hAnsi="Times New Roman" w:cs="Times New Roman"/>
                <w:sz w:val="21"/>
                <w:szCs w:val="21"/>
                <w:lang w:val="en-US" w:eastAsia="zh-CN"/>
              </w:rPr>
              <w:t>氨</w:t>
            </w:r>
          </w:p>
        </w:tc>
      </w:tr>
      <w:tr w14:paraId="21F09378">
        <w:tblPrEx>
          <w:tblBorders>
            <w:top w:val="double" w:color="auto" w:sz="4" w:space="0"/>
            <w:left w:val="none" w:color="auto" w:sz="0" w:space="0"/>
            <w:bottom w:val="double" w:color="auto" w:sz="4"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530" w:hRule="atLeast"/>
          <w:jc w:val="center"/>
        </w:trPr>
        <w:tc>
          <w:tcPr>
            <w:tcW w:w="281" w:type="pct"/>
            <w:vAlign w:val="center"/>
          </w:tcPr>
          <w:p w14:paraId="0C7E4489">
            <w:pPr>
              <w:spacing w:line="300" w:lineRule="exact"/>
              <w:jc w:val="center"/>
              <w:rPr>
                <w:rFonts w:hint="eastAsia" w:ascii="Times New Roman" w:hAnsi="Times New Roman" w:cs="Times New Roman"/>
                <w:sz w:val="21"/>
                <w:szCs w:val="21"/>
                <w:lang w:val="en-US" w:eastAsia="zh-CN"/>
              </w:rPr>
            </w:pPr>
            <w:r>
              <w:rPr>
                <w:rFonts w:hint="eastAsia" w:ascii="Times New Roman" w:hAnsi="Times New Roman" w:cs="Times New Roman"/>
                <w:sz w:val="21"/>
                <w:szCs w:val="21"/>
                <w:lang w:val="en-US" w:eastAsia="zh-CN"/>
              </w:rPr>
              <w:t>3</w:t>
            </w:r>
          </w:p>
        </w:tc>
        <w:tc>
          <w:tcPr>
            <w:tcW w:w="786" w:type="pct"/>
            <w:vAlign w:val="center"/>
          </w:tcPr>
          <w:p w14:paraId="6668412C">
            <w:pPr>
              <w:spacing w:line="300" w:lineRule="exact"/>
              <w:jc w:val="center"/>
              <w:rPr>
                <w:rFonts w:hint="default" w:ascii="Times New Roman" w:hAnsi="Times New Roman" w:cs="Times New Roman"/>
                <w:sz w:val="21"/>
                <w:szCs w:val="21"/>
                <w:lang w:val="en-US" w:eastAsia="zh-CN"/>
              </w:rPr>
            </w:pPr>
            <w:r>
              <w:rPr>
                <w:rFonts w:hint="eastAsia" w:ascii="Times New Roman" w:hAnsi="Times New Roman" w:cs="Times New Roman"/>
                <w:sz w:val="21"/>
                <w:szCs w:val="21"/>
                <w:lang w:val="en-US" w:eastAsia="zh-CN"/>
              </w:rPr>
              <w:t>氨水罐M3</w:t>
            </w:r>
          </w:p>
        </w:tc>
        <w:tc>
          <w:tcPr>
            <w:tcW w:w="383" w:type="pct"/>
            <w:vAlign w:val="center"/>
          </w:tcPr>
          <w:p w14:paraId="1373919A">
            <w:pPr>
              <w:spacing w:line="300" w:lineRule="exact"/>
              <w:jc w:val="center"/>
              <w:rPr>
                <w:rFonts w:hint="default" w:ascii="Times New Roman" w:hAnsi="Times New Roman" w:cs="Times New Roman"/>
                <w:sz w:val="21"/>
                <w:szCs w:val="21"/>
                <w:lang w:val="en-US" w:eastAsia="zh-CN"/>
              </w:rPr>
            </w:pPr>
            <w:r>
              <w:rPr>
                <w:rFonts w:hint="eastAsia" w:ascii="Times New Roman" w:hAnsi="Times New Roman" w:cs="Times New Roman"/>
                <w:sz w:val="21"/>
                <w:szCs w:val="21"/>
                <w:lang w:val="en-US" w:eastAsia="zh-CN"/>
              </w:rPr>
              <w:t>20</w:t>
            </w:r>
          </w:p>
        </w:tc>
        <w:tc>
          <w:tcPr>
            <w:tcW w:w="421" w:type="pct"/>
            <w:vAlign w:val="center"/>
          </w:tcPr>
          <w:p w14:paraId="146F427B">
            <w:pPr>
              <w:spacing w:line="300" w:lineRule="exact"/>
              <w:jc w:val="center"/>
              <w:rPr>
                <w:rFonts w:hint="default" w:ascii="Times New Roman" w:hAnsi="Times New Roman" w:cs="Times New Roman"/>
                <w:sz w:val="21"/>
                <w:szCs w:val="21"/>
                <w:lang w:val="en-US" w:eastAsia="zh-CN"/>
              </w:rPr>
            </w:pPr>
            <w:r>
              <w:rPr>
                <w:rFonts w:hint="eastAsia" w:ascii="Times New Roman" w:hAnsi="Times New Roman" w:cs="Times New Roman"/>
                <w:sz w:val="21"/>
                <w:szCs w:val="21"/>
                <w:lang w:val="en-US" w:eastAsia="zh-CN"/>
              </w:rPr>
              <w:t>40</w:t>
            </w:r>
          </w:p>
        </w:tc>
        <w:tc>
          <w:tcPr>
            <w:tcW w:w="479" w:type="pct"/>
            <w:vAlign w:val="center"/>
          </w:tcPr>
          <w:p w14:paraId="4CEE8296">
            <w:pPr>
              <w:spacing w:line="300" w:lineRule="exact"/>
              <w:jc w:val="center"/>
              <w:rPr>
                <w:rFonts w:hint="default" w:ascii="Times New Roman" w:hAnsi="Times New Roman" w:cs="Times New Roman"/>
                <w:sz w:val="21"/>
                <w:szCs w:val="21"/>
                <w:lang w:val="en-US" w:eastAsia="zh-CN"/>
              </w:rPr>
            </w:pPr>
            <w:r>
              <w:rPr>
                <w:rFonts w:hint="eastAsia" w:ascii="Times New Roman" w:hAnsi="Times New Roman" w:cs="Times New Roman"/>
                <w:sz w:val="21"/>
                <w:szCs w:val="21"/>
                <w:lang w:val="en-US" w:eastAsia="zh-CN"/>
              </w:rPr>
              <w:t>351</w:t>
            </w:r>
          </w:p>
        </w:tc>
        <w:tc>
          <w:tcPr>
            <w:tcW w:w="399" w:type="pct"/>
            <w:vAlign w:val="center"/>
          </w:tcPr>
          <w:p w14:paraId="5A32684F">
            <w:pPr>
              <w:spacing w:line="300" w:lineRule="exact"/>
              <w:jc w:val="center"/>
              <w:rPr>
                <w:rFonts w:hint="default" w:ascii="Times New Roman" w:hAnsi="Times New Roman" w:cs="Times New Roman"/>
                <w:sz w:val="21"/>
                <w:szCs w:val="21"/>
                <w:lang w:val="en-US" w:eastAsia="zh-CN"/>
              </w:rPr>
            </w:pPr>
            <w:r>
              <w:rPr>
                <w:rFonts w:hint="eastAsia" w:ascii="Times New Roman" w:hAnsi="Times New Roman" w:cs="Times New Roman"/>
                <w:sz w:val="21"/>
                <w:szCs w:val="21"/>
                <w:lang w:val="en-US" w:eastAsia="zh-CN"/>
              </w:rPr>
              <w:t>2.3</w:t>
            </w:r>
          </w:p>
        </w:tc>
        <w:tc>
          <w:tcPr>
            <w:tcW w:w="584" w:type="pct"/>
            <w:vAlign w:val="center"/>
          </w:tcPr>
          <w:p w14:paraId="6E9043E2">
            <w:pPr>
              <w:spacing w:line="300" w:lineRule="exact"/>
              <w:jc w:val="center"/>
              <w:rPr>
                <w:rFonts w:hint="default" w:ascii="Times New Roman" w:hAnsi="Times New Roman" w:cs="Times New Roman"/>
                <w:sz w:val="21"/>
                <w:szCs w:val="21"/>
                <w:lang w:val="en-US" w:eastAsia="zh-CN"/>
              </w:rPr>
            </w:pPr>
            <w:r>
              <w:rPr>
                <w:rFonts w:hint="eastAsia" w:ascii="Times New Roman" w:hAnsi="Times New Roman" w:cs="Times New Roman"/>
                <w:sz w:val="21"/>
                <w:szCs w:val="21"/>
                <w:lang w:val="en-US" w:eastAsia="zh-CN"/>
              </w:rPr>
              <w:t>5</w:t>
            </w:r>
          </w:p>
        </w:tc>
        <w:tc>
          <w:tcPr>
            <w:tcW w:w="499" w:type="pct"/>
            <w:vAlign w:val="center"/>
          </w:tcPr>
          <w:p w14:paraId="5386547F">
            <w:pPr>
              <w:spacing w:line="300" w:lineRule="exact"/>
              <w:jc w:val="center"/>
              <w:rPr>
                <w:rFonts w:hint="default" w:ascii="Times New Roman" w:hAnsi="Times New Roman" w:cs="Times New Roman"/>
                <w:sz w:val="21"/>
                <w:szCs w:val="21"/>
                <w:lang w:val="en-US" w:eastAsia="zh-CN"/>
              </w:rPr>
            </w:pPr>
            <w:r>
              <w:rPr>
                <w:rFonts w:hint="eastAsia" w:ascii="Times New Roman" w:hAnsi="Times New Roman" w:cs="Times New Roman"/>
                <w:sz w:val="21"/>
                <w:szCs w:val="21"/>
                <w:lang w:val="en-US" w:eastAsia="zh-CN"/>
              </w:rPr>
              <w:t>7920</w:t>
            </w:r>
          </w:p>
        </w:tc>
        <w:tc>
          <w:tcPr>
            <w:tcW w:w="499" w:type="pct"/>
            <w:vAlign w:val="center"/>
          </w:tcPr>
          <w:p w14:paraId="33B6AD0B">
            <w:pPr>
              <w:spacing w:line="300" w:lineRule="exact"/>
              <w:jc w:val="center"/>
              <w:rPr>
                <w:rFonts w:hint="eastAsia" w:ascii="Times New Roman" w:hAnsi="Times New Roman" w:cs="Times New Roman"/>
                <w:sz w:val="21"/>
                <w:szCs w:val="21"/>
                <w:lang w:val="en-US" w:eastAsia="zh-CN"/>
              </w:rPr>
            </w:pPr>
            <w:r>
              <w:rPr>
                <w:rFonts w:hint="eastAsia" w:ascii="Times New Roman" w:hAnsi="Times New Roman" w:cs="Times New Roman"/>
                <w:sz w:val="21"/>
                <w:szCs w:val="21"/>
                <w:lang w:val="en-US" w:eastAsia="zh-CN"/>
              </w:rPr>
              <w:t>正常排放</w:t>
            </w:r>
          </w:p>
        </w:tc>
        <w:tc>
          <w:tcPr>
            <w:tcW w:w="664" w:type="pct"/>
            <w:vAlign w:val="center"/>
          </w:tcPr>
          <w:p w14:paraId="78671AC8">
            <w:pPr>
              <w:spacing w:line="300" w:lineRule="exact"/>
              <w:jc w:val="center"/>
              <w:rPr>
                <w:rFonts w:hint="default" w:ascii="Times New Roman" w:hAnsi="Times New Roman" w:cs="Times New Roman"/>
                <w:sz w:val="21"/>
                <w:szCs w:val="21"/>
                <w:lang w:val="en-US" w:eastAsia="zh-CN"/>
              </w:rPr>
            </w:pPr>
            <w:r>
              <w:rPr>
                <w:rFonts w:hint="eastAsia" w:ascii="Times New Roman" w:hAnsi="Times New Roman" w:cs="Times New Roman"/>
                <w:sz w:val="21"/>
                <w:szCs w:val="21"/>
                <w:lang w:val="en-US" w:eastAsia="zh-CN"/>
              </w:rPr>
              <w:t>0.003</w:t>
            </w:r>
          </w:p>
        </w:tc>
      </w:tr>
    </w:tbl>
    <w:p w14:paraId="2F6B7104">
      <w:pPr>
        <w:tabs>
          <w:tab w:val="left" w:pos="6580"/>
        </w:tabs>
        <w:spacing w:line="500" w:lineRule="exact"/>
        <w:ind w:firstLine="482" w:firstLineChars="200"/>
        <w:rPr>
          <w:rFonts w:ascii="Times New Roman" w:hAnsi="Times New Roman" w:cs="Times New Roman"/>
          <w:b/>
        </w:rPr>
      </w:pPr>
    </w:p>
    <w:p w14:paraId="186CDDE8">
      <w:pPr>
        <w:tabs>
          <w:tab w:val="left" w:pos="6580"/>
        </w:tabs>
        <w:spacing w:line="500" w:lineRule="exact"/>
        <w:ind w:firstLine="482" w:firstLineChars="200"/>
        <w:rPr>
          <w:rFonts w:ascii="Times New Roman" w:hAnsi="Times New Roman" w:cs="Times New Roman"/>
          <w:b/>
        </w:rPr>
      </w:pPr>
      <w:r>
        <w:rPr>
          <w:rFonts w:ascii="Times New Roman" w:hAnsi="Times New Roman" w:cs="Times New Roman"/>
          <w:b/>
        </w:rPr>
        <w:t>（5）主要污染源估算模型计算结果</w:t>
      </w:r>
    </w:p>
    <w:p w14:paraId="0225E2AF">
      <w:pPr>
        <w:tabs>
          <w:tab w:val="left" w:pos="6580"/>
        </w:tabs>
        <w:spacing w:line="500" w:lineRule="exact"/>
        <w:ind w:firstLine="480" w:firstLineChars="200"/>
        <w:rPr>
          <w:rFonts w:ascii="Times New Roman" w:hAnsi="Times New Roman" w:cs="Times New Roman"/>
        </w:rPr>
      </w:pPr>
      <w:r>
        <w:rPr>
          <w:rFonts w:ascii="Times New Roman" w:hAnsi="Times New Roman" w:cs="Times New Roman"/>
        </w:rPr>
        <w:t>选择本项目污染源正常排放的主要污染物及排放参数，采用“导则”推荐模型中的估算模型对项目的大气环境评价工作进行分级，分级依据见表1.5-5。</w:t>
      </w:r>
    </w:p>
    <w:p w14:paraId="16E33289">
      <w:pPr>
        <w:tabs>
          <w:tab w:val="left" w:pos="6580"/>
        </w:tabs>
        <w:spacing w:line="500" w:lineRule="exact"/>
        <w:ind w:firstLine="480" w:firstLineChars="200"/>
        <w:rPr>
          <w:rFonts w:ascii="Times New Roman" w:hAnsi="Times New Roman" w:cs="Times New Roman"/>
        </w:rPr>
      </w:pPr>
      <w:r>
        <w:rPr>
          <w:rFonts w:ascii="Times New Roman" w:hAnsi="Times New Roman" w:cs="Times New Roman"/>
        </w:rPr>
        <w:t>结合本项目污染源的初步调查结果，分别计算主要污染物的最大地面空气质量浓度占标率Pi，及第i个污染物的地面空气质量浓度达到标准值10%时所对应的最远距离D</w:t>
      </w:r>
      <w:r>
        <w:rPr>
          <w:rFonts w:ascii="Times New Roman" w:hAnsi="Times New Roman" w:cs="Times New Roman"/>
          <w:vertAlign w:val="subscript"/>
        </w:rPr>
        <w:t>10%</w:t>
      </w:r>
      <w:r>
        <w:rPr>
          <w:rFonts w:ascii="Times New Roman" w:hAnsi="Times New Roman" w:cs="Times New Roman"/>
        </w:rPr>
        <w:t>。其中P</w:t>
      </w:r>
      <w:r>
        <w:rPr>
          <w:rFonts w:ascii="Times New Roman" w:hAnsi="Times New Roman" w:cs="Times New Roman"/>
          <w:vertAlign w:val="subscript"/>
        </w:rPr>
        <w:t>i</w:t>
      </w:r>
      <w:r>
        <w:rPr>
          <w:rFonts w:ascii="Times New Roman" w:hAnsi="Times New Roman" w:cs="Times New Roman"/>
        </w:rPr>
        <w:t>定义为：</w:t>
      </w:r>
    </w:p>
    <w:p w14:paraId="54B3255B">
      <w:pPr>
        <w:tabs>
          <w:tab w:val="left" w:pos="6580"/>
        </w:tabs>
        <w:jc w:val="center"/>
        <w:rPr>
          <w:rFonts w:ascii="Times New Roman" w:hAnsi="Times New Roman" w:cs="Times New Roman"/>
        </w:rPr>
      </w:pPr>
      <w:r>
        <w:rPr>
          <w:rFonts w:ascii="Times New Roman" w:hAnsi="Times New Roman" w:cs="Times New Roman"/>
        </w:rPr>
        <w:t>P</w:t>
      </w:r>
      <w:r>
        <w:rPr>
          <w:rFonts w:ascii="Times New Roman" w:hAnsi="Times New Roman" w:cs="Times New Roman"/>
          <w:vertAlign w:val="subscript"/>
        </w:rPr>
        <w:t>i</w:t>
      </w:r>
      <w:r>
        <w:rPr>
          <w:rFonts w:ascii="Times New Roman" w:hAnsi="Times New Roman" w:cs="Times New Roman"/>
        </w:rPr>
        <w:t xml:space="preserve">= </w:t>
      </w:r>
      <w:r>
        <w:rPr>
          <w:rFonts w:ascii="Times New Roman" w:hAnsi="Times New Roman" w:cs="Times New Roman"/>
          <w:position w:val="-30"/>
        </w:rPr>
        <w:object>
          <v:shape id="_x0000_i1025" o:spt="75" type="#_x0000_t75" style="height:35.25pt;width:21pt;" o:ole="t" fillcolor="#6D6D6D" filled="f" o:preferrelative="t" stroked="f" coordsize="21600,21600">
            <v:path/>
            <v:fill on="f" focussize="0,0"/>
            <v:stroke on="f"/>
            <v:imagedata r:id="rId31" o:title=""/>
            <o:lock v:ext="edit" aspectratio="t"/>
            <w10:wrap type="none"/>
            <w10:anchorlock/>
          </v:shape>
          <o:OLEObject Type="Embed" ProgID="Equation.3" ShapeID="_x0000_i1025" DrawAspect="Content" ObjectID="_1468075725" r:id="rId30">
            <o:LockedField>false</o:LockedField>
          </o:OLEObject>
        </w:object>
      </w:r>
      <w:r>
        <w:rPr>
          <w:rFonts w:ascii="Times New Roman" w:hAnsi="Times New Roman" w:cs="Times New Roman"/>
        </w:rPr>
        <w:t>×100%</w:t>
      </w:r>
    </w:p>
    <w:p w14:paraId="338A26E9">
      <w:pPr>
        <w:tabs>
          <w:tab w:val="left" w:pos="6580"/>
        </w:tabs>
        <w:spacing w:line="500" w:lineRule="exact"/>
        <w:ind w:firstLine="480" w:firstLineChars="200"/>
        <w:rPr>
          <w:rFonts w:ascii="Times New Roman" w:hAnsi="Times New Roman" w:cs="Times New Roman"/>
        </w:rPr>
      </w:pPr>
      <w:r>
        <w:rPr>
          <w:rFonts w:ascii="Times New Roman" w:hAnsi="Times New Roman" w:cs="Times New Roman"/>
        </w:rPr>
        <w:t>式中：P</w:t>
      </w:r>
      <w:r>
        <w:rPr>
          <w:rFonts w:ascii="Times New Roman" w:hAnsi="Times New Roman" w:cs="Times New Roman"/>
          <w:vertAlign w:val="subscript"/>
        </w:rPr>
        <w:t>i</w:t>
      </w:r>
      <w:r>
        <w:rPr>
          <w:rFonts w:ascii="Times New Roman" w:hAnsi="Times New Roman" w:cs="Times New Roman"/>
        </w:rPr>
        <w:t>—第i个污染物的最大地面空气质量浓度占标率，%</w:t>
      </w:r>
    </w:p>
    <w:p w14:paraId="675E5919">
      <w:pPr>
        <w:tabs>
          <w:tab w:val="left" w:pos="6580"/>
        </w:tabs>
        <w:spacing w:line="500" w:lineRule="exact"/>
        <w:ind w:firstLine="480" w:firstLineChars="200"/>
        <w:rPr>
          <w:rFonts w:ascii="Times New Roman" w:hAnsi="Times New Roman" w:cs="Times New Roman"/>
        </w:rPr>
      </w:pPr>
      <w:r>
        <w:rPr>
          <w:rFonts w:ascii="Times New Roman" w:hAnsi="Times New Roman" w:cs="Times New Roman"/>
        </w:rPr>
        <w:t xml:space="preserve">      C</w:t>
      </w:r>
      <w:r>
        <w:rPr>
          <w:rFonts w:ascii="Times New Roman" w:hAnsi="Times New Roman" w:cs="Times New Roman"/>
          <w:vertAlign w:val="subscript"/>
        </w:rPr>
        <w:t>i</w:t>
      </w:r>
      <w:r>
        <w:rPr>
          <w:rFonts w:ascii="Times New Roman" w:hAnsi="Times New Roman" w:cs="Times New Roman"/>
        </w:rPr>
        <w:t>—采用估算模型计算出的第i个污染物的最大1h地面空气质量浓度，μg/m</w:t>
      </w:r>
      <w:r>
        <w:rPr>
          <w:rFonts w:ascii="Times New Roman" w:hAnsi="Times New Roman" w:cs="Times New Roman"/>
          <w:vertAlign w:val="superscript"/>
        </w:rPr>
        <w:t>3</w:t>
      </w:r>
    </w:p>
    <w:p w14:paraId="1DCBBB9F">
      <w:pPr>
        <w:tabs>
          <w:tab w:val="left" w:pos="0"/>
        </w:tabs>
        <w:spacing w:line="500" w:lineRule="exact"/>
        <w:ind w:firstLine="480" w:firstLineChars="200"/>
        <w:rPr>
          <w:rFonts w:ascii="Times New Roman" w:hAnsi="Times New Roman" w:cs="Times New Roman"/>
        </w:rPr>
      </w:pPr>
      <w:r>
        <w:rPr>
          <w:rFonts w:ascii="Times New Roman" w:hAnsi="Times New Roman" w:cs="Times New Roman"/>
        </w:rPr>
        <w:t xml:space="preserve">      C</w:t>
      </w:r>
      <w:r>
        <w:rPr>
          <w:rFonts w:ascii="Times New Roman" w:hAnsi="Times New Roman" w:cs="Times New Roman"/>
          <w:vertAlign w:val="subscript"/>
        </w:rPr>
        <w:t>0i</w:t>
      </w:r>
      <w:r>
        <w:rPr>
          <w:rFonts w:ascii="Times New Roman" w:hAnsi="Times New Roman" w:cs="Times New Roman"/>
        </w:rPr>
        <w:t>—第i个污染物的环境空气质量浓度标准，μg/m</w:t>
      </w:r>
      <w:r>
        <w:rPr>
          <w:rFonts w:ascii="Times New Roman" w:hAnsi="Times New Roman" w:cs="Times New Roman"/>
          <w:vertAlign w:val="superscript"/>
        </w:rPr>
        <w:t>3</w:t>
      </w:r>
      <w:r>
        <w:rPr>
          <w:rFonts w:ascii="Times New Roman" w:hAnsi="Times New Roman" w:cs="Times New Roman"/>
        </w:rPr>
        <w:t>。</w:t>
      </w:r>
    </w:p>
    <w:p w14:paraId="042762E3">
      <w:pPr>
        <w:tabs>
          <w:tab w:val="left" w:pos="0"/>
        </w:tabs>
        <w:spacing w:line="500" w:lineRule="exact"/>
        <w:ind w:firstLine="480" w:firstLineChars="200"/>
        <w:rPr>
          <w:rFonts w:ascii="Times New Roman" w:hAnsi="Times New Roman" w:cs="Times New Roman"/>
        </w:rPr>
      </w:pPr>
      <w:r>
        <w:rPr>
          <w:rFonts w:ascii="Times New Roman" w:hAnsi="Times New Roman" w:cs="Times New Roman"/>
        </w:rPr>
        <w:t>C</w:t>
      </w:r>
      <w:r>
        <w:rPr>
          <w:rFonts w:ascii="Times New Roman" w:hAnsi="Times New Roman" w:cs="Times New Roman"/>
          <w:vertAlign w:val="subscript"/>
        </w:rPr>
        <w:t>0i</w:t>
      </w:r>
      <w:r>
        <w:rPr>
          <w:rFonts w:ascii="Times New Roman" w:hAnsi="Times New Roman" w:cs="Times New Roman"/>
        </w:rPr>
        <w:t>一般选用GB3095中1h平均质量浓度的二级浓度限值，日平均质量浓度限值按3倍折算为1h平均质量浓度限值。</w:t>
      </w:r>
    </w:p>
    <w:p w14:paraId="4178EAEA">
      <w:pPr>
        <w:pStyle w:val="112"/>
        <w:snapToGrid/>
      </w:pPr>
      <w:r>
        <w:t>表1.5-5  大气评价工作等级分级依据一览表</w:t>
      </w:r>
    </w:p>
    <w:tbl>
      <w:tblPr>
        <w:tblStyle w:val="56"/>
        <w:tblW w:w="4991" w:type="pct"/>
        <w:tblInd w:w="0" w:type="dxa"/>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2140"/>
        <w:gridCol w:w="6565"/>
      </w:tblGrid>
      <w:tr w14:paraId="2B1BF531">
        <w:tblPrEx>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blHeader/>
        </w:trPr>
        <w:tc>
          <w:tcPr>
            <w:tcW w:w="2140" w:type="dxa"/>
            <w:tcBorders>
              <w:top w:val="thinThickSmallGap" w:color="auto" w:sz="12" w:space="0"/>
              <w:bottom w:val="single" w:color="auto" w:sz="4" w:space="0"/>
            </w:tcBorders>
            <w:shd w:val="clear" w:color="auto" w:fill="DDDDDD"/>
            <w:noWrap w:val="0"/>
            <w:vAlign w:val="center"/>
          </w:tcPr>
          <w:p w14:paraId="1D40B447">
            <w:pPr>
              <w:spacing w:line="300" w:lineRule="exact"/>
              <w:jc w:val="center"/>
              <w:rPr>
                <w:rFonts w:ascii="Times New Roman" w:hAnsi="Times New Roman" w:cs="Times New Roman"/>
                <w:sz w:val="21"/>
                <w:szCs w:val="21"/>
              </w:rPr>
            </w:pPr>
            <w:r>
              <w:rPr>
                <w:rFonts w:ascii="Times New Roman" w:hAnsi="Times New Roman" w:cs="Times New Roman"/>
                <w:sz w:val="21"/>
                <w:szCs w:val="21"/>
              </w:rPr>
              <w:t>评价工作等级</w:t>
            </w:r>
          </w:p>
        </w:tc>
        <w:tc>
          <w:tcPr>
            <w:tcW w:w="6566" w:type="dxa"/>
            <w:tcBorders>
              <w:top w:val="thinThickSmallGap" w:color="auto" w:sz="12" w:space="0"/>
              <w:bottom w:val="single" w:color="auto" w:sz="4" w:space="0"/>
            </w:tcBorders>
            <w:shd w:val="clear" w:color="auto" w:fill="DDDDDD"/>
            <w:noWrap w:val="0"/>
            <w:vAlign w:val="center"/>
          </w:tcPr>
          <w:p w14:paraId="397C41C8">
            <w:pPr>
              <w:spacing w:line="300" w:lineRule="exact"/>
              <w:jc w:val="center"/>
              <w:rPr>
                <w:rFonts w:ascii="Times New Roman" w:hAnsi="Times New Roman" w:cs="Times New Roman"/>
                <w:sz w:val="21"/>
                <w:szCs w:val="21"/>
              </w:rPr>
            </w:pPr>
            <w:r>
              <w:rPr>
                <w:rFonts w:ascii="Times New Roman" w:hAnsi="Times New Roman" w:cs="Times New Roman"/>
                <w:sz w:val="21"/>
                <w:szCs w:val="21"/>
              </w:rPr>
              <w:t>评价工作分级依据</w:t>
            </w:r>
          </w:p>
        </w:tc>
      </w:tr>
      <w:tr w14:paraId="79348DC4">
        <w:tblPrEx>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140" w:type="dxa"/>
            <w:tcBorders>
              <w:top w:val="single" w:color="auto" w:sz="4" w:space="0"/>
            </w:tcBorders>
            <w:noWrap w:val="0"/>
            <w:vAlign w:val="center"/>
          </w:tcPr>
          <w:p w14:paraId="7882A3A8">
            <w:pPr>
              <w:spacing w:line="300" w:lineRule="exact"/>
              <w:jc w:val="center"/>
              <w:rPr>
                <w:rFonts w:ascii="Times New Roman" w:hAnsi="Times New Roman" w:cs="Times New Roman"/>
                <w:sz w:val="21"/>
                <w:szCs w:val="21"/>
              </w:rPr>
            </w:pPr>
            <w:r>
              <w:rPr>
                <w:rFonts w:ascii="Times New Roman" w:hAnsi="Times New Roman" w:cs="Times New Roman"/>
                <w:sz w:val="21"/>
                <w:szCs w:val="21"/>
              </w:rPr>
              <w:t>一级</w:t>
            </w:r>
          </w:p>
        </w:tc>
        <w:tc>
          <w:tcPr>
            <w:tcW w:w="6566" w:type="dxa"/>
            <w:tcBorders>
              <w:top w:val="single" w:color="auto" w:sz="4" w:space="0"/>
            </w:tcBorders>
            <w:noWrap w:val="0"/>
            <w:vAlign w:val="center"/>
          </w:tcPr>
          <w:p w14:paraId="567E3D6B">
            <w:pPr>
              <w:spacing w:line="300" w:lineRule="exact"/>
              <w:jc w:val="center"/>
              <w:rPr>
                <w:rFonts w:ascii="Times New Roman" w:hAnsi="Times New Roman" w:cs="Times New Roman"/>
                <w:sz w:val="21"/>
                <w:szCs w:val="21"/>
              </w:rPr>
            </w:pPr>
            <w:r>
              <w:rPr>
                <w:rFonts w:ascii="Times New Roman" w:hAnsi="Times New Roman" w:cs="Times New Roman"/>
                <w:sz w:val="21"/>
                <w:szCs w:val="21"/>
              </w:rPr>
              <w:t>P</w:t>
            </w:r>
            <w:r>
              <w:rPr>
                <w:rFonts w:ascii="Times New Roman" w:hAnsi="Times New Roman" w:cs="Times New Roman"/>
                <w:sz w:val="21"/>
                <w:szCs w:val="21"/>
                <w:vertAlign w:val="subscript"/>
              </w:rPr>
              <w:t>max</w:t>
            </w:r>
            <w:r>
              <w:rPr>
                <w:rFonts w:ascii="Times New Roman" w:hAnsi="Times New Roman" w:cs="Times New Roman"/>
                <w:sz w:val="21"/>
                <w:szCs w:val="21"/>
              </w:rPr>
              <w:t>≥10%</w:t>
            </w:r>
          </w:p>
        </w:tc>
      </w:tr>
      <w:tr w14:paraId="649CE8D6">
        <w:tblPrEx>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140" w:type="dxa"/>
            <w:noWrap w:val="0"/>
            <w:vAlign w:val="center"/>
          </w:tcPr>
          <w:p w14:paraId="305CAFBB">
            <w:pPr>
              <w:spacing w:line="300" w:lineRule="exact"/>
              <w:jc w:val="center"/>
              <w:rPr>
                <w:rFonts w:ascii="Times New Roman" w:hAnsi="Times New Roman" w:cs="Times New Roman"/>
                <w:sz w:val="21"/>
                <w:szCs w:val="21"/>
              </w:rPr>
            </w:pPr>
            <w:r>
              <w:rPr>
                <w:rFonts w:ascii="Times New Roman" w:hAnsi="Times New Roman" w:cs="Times New Roman"/>
                <w:sz w:val="21"/>
                <w:szCs w:val="21"/>
              </w:rPr>
              <w:t>二级</w:t>
            </w:r>
          </w:p>
        </w:tc>
        <w:tc>
          <w:tcPr>
            <w:tcW w:w="6566" w:type="dxa"/>
            <w:noWrap w:val="0"/>
            <w:vAlign w:val="center"/>
          </w:tcPr>
          <w:p w14:paraId="4B958BCB">
            <w:pPr>
              <w:spacing w:line="300" w:lineRule="exact"/>
              <w:jc w:val="center"/>
              <w:rPr>
                <w:rFonts w:ascii="Times New Roman" w:hAnsi="Times New Roman" w:cs="Times New Roman"/>
                <w:sz w:val="21"/>
                <w:szCs w:val="21"/>
              </w:rPr>
            </w:pPr>
            <w:r>
              <w:rPr>
                <w:rFonts w:ascii="Times New Roman" w:hAnsi="Times New Roman" w:cs="Times New Roman"/>
                <w:sz w:val="21"/>
                <w:szCs w:val="21"/>
              </w:rPr>
              <w:t>1%≤P</w:t>
            </w:r>
            <w:r>
              <w:rPr>
                <w:rFonts w:ascii="Times New Roman" w:hAnsi="Times New Roman" w:cs="Times New Roman"/>
                <w:sz w:val="21"/>
                <w:szCs w:val="21"/>
                <w:vertAlign w:val="subscript"/>
              </w:rPr>
              <w:t>max</w:t>
            </w:r>
            <w:r>
              <w:rPr>
                <w:rFonts w:ascii="Times New Roman" w:hAnsi="Times New Roman" w:cs="Times New Roman"/>
                <w:sz w:val="21"/>
                <w:szCs w:val="21"/>
              </w:rPr>
              <w:t>＜10%</w:t>
            </w:r>
          </w:p>
        </w:tc>
      </w:tr>
      <w:tr w14:paraId="28A11B1B">
        <w:tblPrEx>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140" w:type="dxa"/>
            <w:noWrap w:val="0"/>
            <w:vAlign w:val="center"/>
          </w:tcPr>
          <w:p w14:paraId="4DAE6466">
            <w:pPr>
              <w:spacing w:line="300" w:lineRule="exact"/>
              <w:jc w:val="center"/>
              <w:rPr>
                <w:rFonts w:ascii="Times New Roman" w:hAnsi="Times New Roman" w:cs="Times New Roman"/>
                <w:sz w:val="21"/>
                <w:szCs w:val="21"/>
              </w:rPr>
            </w:pPr>
            <w:r>
              <w:rPr>
                <w:rFonts w:ascii="Times New Roman" w:hAnsi="Times New Roman" w:cs="Times New Roman"/>
                <w:sz w:val="21"/>
                <w:szCs w:val="21"/>
              </w:rPr>
              <w:t>三级</w:t>
            </w:r>
          </w:p>
        </w:tc>
        <w:tc>
          <w:tcPr>
            <w:tcW w:w="6566" w:type="dxa"/>
            <w:noWrap w:val="0"/>
            <w:vAlign w:val="center"/>
          </w:tcPr>
          <w:p w14:paraId="353882B8">
            <w:pPr>
              <w:spacing w:line="300" w:lineRule="exact"/>
              <w:jc w:val="center"/>
              <w:rPr>
                <w:rFonts w:ascii="Times New Roman" w:hAnsi="Times New Roman" w:cs="Times New Roman"/>
                <w:sz w:val="21"/>
                <w:szCs w:val="21"/>
              </w:rPr>
            </w:pPr>
            <w:r>
              <w:rPr>
                <w:rFonts w:ascii="Times New Roman" w:hAnsi="Times New Roman" w:cs="Times New Roman"/>
                <w:sz w:val="21"/>
                <w:szCs w:val="21"/>
              </w:rPr>
              <w:t>P</w:t>
            </w:r>
            <w:r>
              <w:rPr>
                <w:rFonts w:ascii="Times New Roman" w:hAnsi="Times New Roman" w:cs="Times New Roman"/>
                <w:sz w:val="21"/>
                <w:szCs w:val="21"/>
                <w:vertAlign w:val="subscript"/>
              </w:rPr>
              <w:t>max</w:t>
            </w:r>
            <w:r>
              <w:rPr>
                <w:rFonts w:ascii="Times New Roman" w:hAnsi="Times New Roman" w:cs="Times New Roman"/>
                <w:sz w:val="21"/>
                <w:szCs w:val="21"/>
              </w:rPr>
              <w:t>&lt;1%</w:t>
            </w:r>
          </w:p>
        </w:tc>
      </w:tr>
    </w:tbl>
    <w:p w14:paraId="6EB88FF1">
      <w:pPr>
        <w:pStyle w:val="470"/>
        <w:spacing w:line="500" w:lineRule="exact"/>
        <w:rPr>
          <w:rFonts w:hint="eastAsia" w:ascii="Times New Roman" w:hAnsi="Times New Roman"/>
          <w:lang w:eastAsia="zh-CN"/>
        </w:rPr>
      </w:pPr>
      <w:r>
        <w:rPr>
          <w:rFonts w:ascii="Times New Roman" w:hAnsi="Times New Roman"/>
          <w:lang w:eastAsia="zh-CN"/>
        </w:rPr>
        <w:t>根据估算模型</w:t>
      </w:r>
      <w:r>
        <w:rPr>
          <w:rFonts w:ascii="Times New Roman" w:hAnsi="Times New Roman"/>
        </w:rPr>
        <w:t>分别计算各</w:t>
      </w:r>
      <w:r>
        <w:rPr>
          <w:rFonts w:ascii="Times New Roman" w:hAnsi="Times New Roman"/>
          <w:lang w:eastAsia="zh-CN"/>
        </w:rPr>
        <w:t>污染物</w:t>
      </w:r>
      <w:r>
        <w:rPr>
          <w:rFonts w:ascii="Times New Roman" w:hAnsi="Times New Roman"/>
        </w:rPr>
        <w:t>的P</w:t>
      </w:r>
      <w:r>
        <w:rPr>
          <w:rFonts w:ascii="Times New Roman" w:hAnsi="Times New Roman"/>
          <w:vertAlign w:val="subscript"/>
        </w:rPr>
        <w:t>i</w:t>
      </w:r>
      <w:r>
        <w:rPr>
          <w:rFonts w:ascii="Times New Roman" w:hAnsi="Times New Roman"/>
        </w:rPr>
        <w:t>和D</w:t>
      </w:r>
      <w:r>
        <w:rPr>
          <w:rFonts w:ascii="Times New Roman" w:hAnsi="Times New Roman"/>
          <w:vertAlign w:val="subscript"/>
        </w:rPr>
        <w:t>10%</w:t>
      </w:r>
      <w:r>
        <w:rPr>
          <w:rFonts w:ascii="Times New Roman" w:hAnsi="Times New Roman"/>
        </w:rPr>
        <w:t>并由此确定P</w:t>
      </w:r>
      <w:r>
        <w:rPr>
          <w:rFonts w:ascii="Times New Roman" w:hAnsi="Times New Roman"/>
          <w:vertAlign w:val="subscript"/>
        </w:rPr>
        <w:t>max</w:t>
      </w:r>
      <w:r>
        <w:rPr>
          <w:rFonts w:ascii="Times New Roman" w:hAnsi="Times New Roman"/>
        </w:rPr>
        <w:t>，计算结果见表1.5-6。</w:t>
      </w:r>
    </w:p>
    <w:p w14:paraId="78A371E4">
      <w:pPr>
        <w:pStyle w:val="112"/>
        <w:snapToGrid/>
      </w:pPr>
      <w:bookmarkStart w:id="115" w:name="_Ref259059335"/>
      <w:r>
        <w:t>表</w:t>
      </w:r>
      <w:bookmarkEnd w:id="115"/>
      <w:r>
        <w:t>1.5-6  主要污染源估算模型计算结果一览表</w:t>
      </w:r>
    </w:p>
    <w:tbl>
      <w:tblPr>
        <w:tblStyle w:val="56"/>
        <w:tblW w:w="4998" w:type="pct"/>
        <w:tblInd w:w="0" w:type="dxa"/>
        <w:tblBorders>
          <w:top w:val="double" w:color="auto" w:sz="4" w:space="0"/>
          <w:left w:val="none" w:color="auto" w:sz="0" w:space="0"/>
          <w:bottom w:val="double" w:color="auto" w:sz="4" w:space="0"/>
          <w:right w:val="none" w:color="auto" w:sz="0" w:space="0"/>
          <w:insideH w:val="single" w:color="auto" w:sz="4" w:space="0"/>
          <w:insideV w:val="single" w:color="auto" w:sz="4" w:space="0"/>
        </w:tblBorders>
        <w:shd w:val="clear" w:color="auto" w:fill="auto"/>
        <w:tblLayout w:type="autofit"/>
        <w:tblCellMar>
          <w:top w:w="0" w:type="dxa"/>
          <w:left w:w="108" w:type="dxa"/>
          <w:bottom w:w="0" w:type="dxa"/>
          <w:right w:w="108" w:type="dxa"/>
        </w:tblCellMar>
      </w:tblPr>
      <w:tblGrid>
        <w:gridCol w:w="1126"/>
        <w:gridCol w:w="1188"/>
        <w:gridCol w:w="1260"/>
        <w:gridCol w:w="1366"/>
        <w:gridCol w:w="1171"/>
        <w:gridCol w:w="1206"/>
        <w:gridCol w:w="1401"/>
      </w:tblGrid>
      <w:tr w14:paraId="622BD9BB">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40" w:hRule="atLeast"/>
        </w:trPr>
        <w:tc>
          <w:tcPr>
            <w:tcW w:w="657" w:type="pct"/>
            <w:tcBorders>
              <w:tl2br w:val="nil"/>
              <w:tr2bl w:val="nil"/>
            </w:tcBorders>
            <w:shd w:val="clear" w:color="auto" w:fill="auto"/>
            <w:vAlign w:val="center"/>
          </w:tcPr>
          <w:p w14:paraId="7D107EDF">
            <w:pPr>
              <w:keepNext w:val="0"/>
              <w:keepLines w:val="0"/>
              <w:widowControl/>
              <w:suppressLineNumbers w:val="0"/>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1"/>
                <w:szCs w:val="21"/>
                <w:u w:val="none"/>
                <w:lang w:val="en-US" w:eastAsia="zh-CN" w:bidi="ar"/>
              </w:rPr>
              <w:t>污染源</w:t>
            </w:r>
          </w:p>
        </w:tc>
        <w:tc>
          <w:tcPr>
            <w:tcW w:w="693" w:type="pct"/>
            <w:tcBorders>
              <w:tl2br w:val="nil"/>
              <w:tr2bl w:val="nil"/>
            </w:tcBorders>
            <w:shd w:val="clear" w:color="auto" w:fill="auto"/>
            <w:vAlign w:val="center"/>
          </w:tcPr>
          <w:p w14:paraId="0A329D03">
            <w:pPr>
              <w:keepNext w:val="0"/>
              <w:keepLines w:val="0"/>
              <w:widowControl/>
              <w:suppressLineNumbers w:val="0"/>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1"/>
                <w:szCs w:val="21"/>
                <w:u w:val="none"/>
                <w:lang w:val="en-US" w:eastAsia="zh-CN" w:bidi="ar"/>
              </w:rPr>
              <w:t>污染物名称</w:t>
            </w:r>
          </w:p>
        </w:tc>
        <w:tc>
          <w:tcPr>
            <w:tcW w:w="734" w:type="pct"/>
            <w:tcBorders>
              <w:tl2br w:val="nil"/>
              <w:tr2bl w:val="nil"/>
            </w:tcBorders>
            <w:shd w:val="clear" w:color="auto" w:fill="auto"/>
            <w:vAlign w:val="center"/>
          </w:tcPr>
          <w:p w14:paraId="4B2B88BD">
            <w:pPr>
              <w:keepNext w:val="0"/>
              <w:keepLines w:val="0"/>
              <w:widowControl/>
              <w:suppressLineNumbers w:val="0"/>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1"/>
                <w:szCs w:val="21"/>
                <w:u w:val="none"/>
                <w:lang w:val="en-US" w:eastAsia="zh-CN" w:bidi="ar"/>
              </w:rPr>
              <w:t>Ci(mg/m</w:t>
            </w:r>
            <w:r>
              <w:rPr>
                <w:rFonts w:hint="default" w:ascii="Times New Roman" w:hAnsi="Times New Roman" w:eastAsia="宋体" w:cs="Times New Roman"/>
                <w:i w:val="0"/>
                <w:iCs w:val="0"/>
                <w:color w:val="0000FF"/>
                <w:kern w:val="0"/>
                <w:sz w:val="21"/>
                <w:szCs w:val="21"/>
                <w:u w:val="none"/>
                <w:vertAlign w:val="superscript"/>
                <w:lang w:val="en-US" w:eastAsia="zh-CN" w:bidi="ar"/>
              </w:rPr>
              <w:t>3</w:t>
            </w:r>
            <w:r>
              <w:rPr>
                <w:rFonts w:hint="default" w:ascii="Times New Roman" w:hAnsi="Times New Roman" w:eastAsia="宋体" w:cs="Times New Roman"/>
                <w:i w:val="0"/>
                <w:iCs w:val="0"/>
                <w:color w:val="0000FF"/>
                <w:kern w:val="0"/>
                <w:sz w:val="21"/>
                <w:szCs w:val="21"/>
                <w:u w:val="none"/>
                <w:lang w:val="en-US" w:eastAsia="zh-CN" w:bidi="ar"/>
              </w:rPr>
              <w:t>)</w:t>
            </w:r>
          </w:p>
        </w:tc>
        <w:tc>
          <w:tcPr>
            <w:tcW w:w="795" w:type="pct"/>
            <w:tcBorders>
              <w:tl2br w:val="nil"/>
              <w:tr2bl w:val="nil"/>
            </w:tcBorders>
            <w:shd w:val="clear" w:color="auto" w:fill="auto"/>
            <w:vAlign w:val="center"/>
          </w:tcPr>
          <w:p w14:paraId="53FAD792">
            <w:pPr>
              <w:keepNext w:val="0"/>
              <w:keepLines w:val="0"/>
              <w:widowControl/>
              <w:suppressLineNumbers w:val="0"/>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1"/>
                <w:szCs w:val="21"/>
                <w:u w:val="none"/>
                <w:lang w:val="en-US" w:eastAsia="zh-CN" w:bidi="ar"/>
              </w:rPr>
              <w:t>C0i(mg/m</w:t>
            </w:r>
            <w:r>
              <w:rPr>
                <w:rFonts w:hint="default" w:ascii="Times New Roman" w:hAnsi="Times New Roman" w:eastAsia="宋体" w:cs="Times New Roman"/>
                <w:i w:val="0"/>
                <w:iCs w:val="0"/>
                <w:color w:val="0000FF"/>
                <w:kern w:val="0"/>
                <w:sz w:val="21"/>
                <w:szCs w:val="21"/>
                <w:u w:val="none"/>
                <w:vertAlign w:val="superscript"/>
                <w:lang w:val="en-US" w:eastAsia="zh-CN" w:bidi="ar"/>
              </w:rPr>
              <w:t>3</w:t>
            </w:r>
            <w:r>
              <w:rPr>
                <w:rFonts w:hint="default" w:ascii="Times New Roman" w:hAnsi="Times New Roman" w:eastAsia="宋体" w:cs="Times New Roman"/>
                <w:i w:val="0"/>
                <w:iCs w:val="0"/>
                <w:color w:val="0000FF"/>
                <w:kern w:val="0"/>
                <w:sz w:val="21"/>
                <w:szCs w:val="21"/>
                <w:u w:val="none"/>
                <w:lang w:val="en-US" w:eastAsia="zh-CN" w:bidi="ar"/>
              </w:rPr>
              <w:t>)</w:t>
            </w:r>
          </w:p>
        </w:tc>
        <w:tc>
          <w:tcPr>
            <w:tcW w:w="683" w:type="pct"/>
            <w:tcBorders>
              <w:tl2br w:val="nil"/>
              <w:tr2bl w:val="nil"/>
            </w:tcBorders>
            <w:shd w:val="clear" w:color="auto" w:fill="auto"/>
            <w:vAlign w:val="center"/>
          </w:tcPr>
          <w:p w14:paraId="2B5B3D6E">
            <w:pPr>
              <w:keepNext w:val="0"/>
              <w:keepLines w:val="0"/>
              <w:widowControl/>
              <w:suppressLineNumbers w:val="0"/>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1"/>
                <w:szCs w:val="21"/>
                <w:u w:val="none"/>
                <w:lang w:val="en-US" w:eastAsia="zh-CN" w:bidi="ar"/>
              </w:rPr>
              <w:t>Pi(%)</w:t>
            </w:r>
          </w:p>
        </w:tc>
        <w:tc>
          <w:tcPr>
            <w:tcW w:w="703" w:type="pct"/>
            <w:tcBorders>
              <w:tl2br w:val="nil"/>
              <w:tr2bl w:val="nil"/>
            </w:tcBorders>
            <w:shd w:val="clear" w:color="auto" w:fill="auto"/>
            <w:vAlign w:val="center"/>
          </w:tcPr>
          <w:p w14:paraId="6D6032E8">
            <w:pPr>
              <w:keepNext w:val="0"/>
              <w:keepLines w:val="0"/>
              <w:widowControl/>
              <w:suppressLineNumbers w:val="0"/>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1"/>
                <w:szCs w:val="21"/>
                <w:u w:val="none"/>
                <w:lang w:val="en-US" w:eastAsia="zh-CN" w:bidi="ar"/>
              </w:rPr>
              <w:t>D10%(m)</w:t>
            </w:r>
          </w:p>
        </w:tc>
        <w:tc>
          <w:tcPr>
            <w:tcW w:w="733" w:type="pct"/>
            <w:tcBorders>
              <w:tl2br w:val="nil"/>
              <w:tr2bl w:val="nil"/>
            </w:tcBorders>
            <w:shd w:val="clear" w:color="auto" w:fill="auto"/>
            <w:noWrap/>
            <w:vAlign w:val="center"/>
          </w:tcPr>
          <w:p w14:paraId="34C6FF1E">
            <w:pPr>
              <w:keepNext w:val="0"/>
              <w:keepLines w:val="0"/>
              <w:widowControl/>
              <w:suppressLineNumbers w:val="0"/>
              <w:jc w:val="left"/>
              <w:textAlignment w:val="center"/>
              <w:rPr>
                <w:rFonts w:hint="default" w:ascii="Times New Roman" w:hAnsi="Times New Roman" w:eastAsia="宋体" w:cs="Times New Roman"/>
                <w:i w:val="0"/>
                <w:iCs w:val="0"/>
                <w:color w:val="0000FF"/>
                <w:sz w:val="22"/>
                <w:szCs w:val="22"/>
                <w:u w:val="none"/>
                <w:lang w:val="en-US"/>
              </w:rPr>
            </w:pPr>
            <w:r>
              <w:rPr>
                <w:rFonts w:hint="default" w:ascii="Times New Roman" w:hAnsi="Times New Roman" w:eastAsia="宋体" w:cs="Times New Roman"/>
                <w:i w:val="0"/>
                <w:iCs w:val="0"/>
                <w:color w:val="0000FF"/>
                <w:kern w:val="0"/>
                <w:sz w:val="22"/>
                <w:szCs w:val="22"/>
                <w:u w:val="none"/>
                <w:lang w:val="en-US" w:eastAsia="zh-CN" w:bidi="ar"/>
              </w:rPr>
              <w:t>离源距离</w:t>
            </w:r>
            <w:r>
              <w:rPr>
                <w:rFonts w:hint="default" w:ascii="Times New Roman" w:hAnsi="Times New Roman" w:eastAsia="宋体" w:cs="Times New Roman"/>
                <w:i w:val="0"/>
                <w:iCs w:val="0"/>
                <w:color w:val="0000FF"/>
                <w:kern w:val="0"/>
                <w:sz w:val="21"/>
                <w:szCs w:val="21"/>
                <w:u w:val="none"/>
                <w:lang w:val="en-US" w:eastAsia="zh-CN" w:bidi="ar"/>
              </w:rPr>
              <w:t>(m)</w:t>
            </w:r>
          </w:p>
        </w:tc>
      </w:tr>
      <w:tr w14:paraId="26C627B8">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40" w:hRule="atLeast"/>
        </w:trPr>
        <w:tc>
          <w:tcPr>
            <w:tcW w:w="5000" w:type="pct"/>
            <w:gridSpan w:val="7"/>
            <w:tcBorders>
              <w:tl2br w:val="nil"/>
              <w:tr2bl w:val="nil"/>
            </w:tcBorders>
            <w:shd w:val="clear" w:color="auto" w:fill="auto"/>
            <w:vAlign w:val="center"/>
          </w:tcPr>
          <w:p w14:paraId="14355F24">
            <w:pPr>
              <w:jc w:val="center"/>
              <w:rPr>
                <w:rFonts w:hint="default" w:ascii="Times New Roman" w:hAnsi="Times New Roman" w:eastAsia="宋体" w:cs="Times New Roman"/>
                <w:i w:val="0"/>
                <w:iCs w:val="0"/>
                <w:color w:val="0000FF"/>
                <w:sz w:val="22"/>
                <w:szCs w:val="22"/>
                <w:u w:val="none"/>
              </w:rPr>
            </w:pPr>
            <w:r>
              <w:rPr>
                <w:rFonts w:hint="default" w:ascii="Times New Roman" w:hAnsi="Times New Roman" w:eastAsia="宋体" w:cs="Times New Roman"/>
                <w:i w:val="0"/>
                <w:iCs w:val="0"/>
                <w:color w:val="0000FF"/>
                <w:kern w:val="0"/>
                <w:sz w:val="21"/>
                <w:szCs w:val="21"/>
                <w:u w:val="none"/>
                <w:lang w:val="en-US" w:eastAsia="zh-CN" w:bidi="ar"/>
              </w:rPr>
              <w:t>点源</w:t>
            </w:r>
          </w:p>
        </w:tc>
      </w:tr>
      <w:tr w14:paraId="6664AADF">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657" w:type="pct"/>
            <w:vMerge w:val="restart"/>
            <w:tcBorders>
              <w:tl2br w:val="nil"/>
              <w:tr2bl w:val="nil"/>
            </w:tcBorders>
            <w:shd w:val="clear" w:color="auto" w:fill="auto"/>
            <w:vAlign w:val="center"/>
          </w:tcPr>
          <w:p w14:paraId="103FBF5E">
            <w:pPr>
              <w:spacing w:line="300" w:lineRule="exact"/>
              <w:jc w:val="center"/>
              <w:rPr>
                <w:rFonts w:hint="default" w:ascii="Times New Roman" w:hAnsi="Times New Roman" w:cs="Times New Roman"/>
                <w:sz w:val="21"/>
                <w:szCs w:val="21"/>
                <w:lang w:val="en-US"/>
              </w:rPr>
            </w:pPr>
            <w:r>
              <w:rPr>
                <w:rFonts w:hint="eastAsia" w:ascii="Times New Roman" w:hAnsi="Times New Roman" w:cs="Times New Roman"/>
                <w:sz w:val="21"/>
                <w:szCs w:val="21"/>
                <w:lang w:val="en-US" w:eastAsia="zh-CN"/>
              </w:rPr>
              <w:t>DA002</w:t>
            </w:r>
          </w:p>
        </w:tc>
        <w:tc>
          <w:tcPr>
            <w:tcW w:w="693" w:type="pct"/>
            <w:tcBorders>
              <w:tl2br w:val="nil"/>
              <w:tr2bl w:val="nil"/>
            </w:tcBorders>
            <w:shd w:val="clear" w:color="auto" w:fill="auto"/>
            <w:noWrap/>
            <w:vAlign w:val="center"/>
          </w:tcPr>
          <w:p w14:paraId="3D8EAB66">
            <w:pPr>
              <w:spacing w:line="300" w:lineRule="exact"/>
              <w:jc w:val="center"/>
              <w:rPr>
                <w:rFonts w:hint="default" w:ascii="Times New Roman" w:hAnsi="Times New Roman" w:cs="Times New Roman"/>
                <w:sz w:val="21"/>
                <w:szCs w:val="21"/>
              </w:rPr>
            </w:pPr>
            <w:r>
              <w:rPr>
                <w:rFonts w:hint="default" w:ascii="Times New Roman" w:hAnsi="Times New Roman" w:cs="Times New Roman"/>
                <w:sz w:val="21"/>
                <w:szCs w:val="21"/>
                <w:lang w:val="en-US" w:eastAsia="zh-CN"/>
              </w:rPr>
              <w:t>SO2</w:t>
            </w:r>
          </w:p>
        </w:tc>
        <w:tc>
          <w:tcPr>
            <w:tcW w:w="1251" w:type="dxa"/>
            <w:tcBorders>
              <w:tl2br w:val="nil"/>
              <w:tr2bl w:val="nil"/>
            </w:tcBorders>
            <w:shd w:val="clear" w:color="auto" w:fill="auto"/>
            <w:vAlign w:val="center"/>
          </w:tcPr>
          <w:p w14:paraId="0668D5F8">
            <w:pPr>
              <w:spacing w:line="300" w:lineRule="exact"/>
              <w:jc w:val="center"/>
              <w:rPr>
                <w:rFonts w:hint="default" w:ascii="Times New Roman" w:hAnsi="Times New Roman" w:cs="Times New Roman"/>
                <w:sz w:val="21"/>
                <w:szCs w:val="21"/>
                <w:lang w:val="en-US" w:eastAsia="zh-CN"/>
              </w:rPr>
            </w:pPr>
            <w:r>
              <w:rPr>
                <w:rFonts w:hint="eastAsia" w:ascii="Times New Roman" w:hAnsi="Times New Roman" w:cs="Times New Roman"/>
                <w:sz w:val="21"/>
                <w:szCs w:val="21"/>
                <w:lang w:val="en-US" w:eastAsia="zh-CN"/>
              </w:rPr>
              <w:t>7.84E-02</w:t>
            </w:r>
          </w:p>
        </w:tc>
        <w:tc>
          <w:tcPr>
            <w:tcW w:w="795" w:type="pct"/>
            <w:tcBorders>
              <w:tl2br w:val="nil"/>
              <w:tr2bl w:val="nil"/>
            </w:tcBorders>
            <w:shd w:val="clear" w:color="auto" w:fill="auto"/>
            <w:vAlign w:val="center"/>
          </w:tcPr>
          <w:p w14:paraId="40B426CB">
            <w:pPr>
              <w:spacing w:line="300" w:lineRule="exact"/>
              <w:jc w:val="center"/>
              <w:rPr>
                <w:rFonts w:hint="default" w:ascii="Times New Roman" w:hAnsi="Times New Roman" w:cs="Times New Roman"/>
                <w:sz w:val="21"/>
                <w:szCs w:val="21"/>
              </w:rPr>
            </w:pPr>
            <w:r>
              <w:rPr>
                <w:rFonts w:hint="default" w:ascii="Times New Roman" w:hAnsi="Times New Roman" w:cs="Times New Roman"/>
                <w:sz w:val="21"/>
                <w:szCs w:val="21"/>
                <w:lang w:val="en-US" w:eastAsia="zh-CN"/>
              </w:rPr>
              <w:t>0.5</w:t>
            </w:r>
          </w:p>
        </w:tc>
        <w:tc>
          <w:tcPr>
            <w:tcW w:w="683" w:type="pct"/>
            <w:tcBorders>
              <w:tl2br w:val="nil"/>
              <w:tr2bl w:val="nil"/>
            </w:tcBorders>
            <w:shd w:val="clear" w:color="auto" w:fill="auto"/>
            <w:vAlign w:val="center"/>
          </w:tcPr>
          <w:p w14:paraId="5C07C3E1">
            <w:pPr>
              <w:spacing w:line="300" w:lineRule="exact"/>
              <w:jc w:val="center"/>
              <w:rPr>
                <w:rFonts w:hint="default" w:ascii="Times New Roman" w:hAnsi="Times New Roman" w:cs="Times New Roman"/>
                <w:sz w:val="21"/>
                <w:szCs w:val="21"/>
                <w:lang w:val="en-US" w:eastAsia="zh-CN"/>
              </w:rPr>
            </w:pPr>
            <w:r>
              <w:rPr>
                <w:rFonts w:hint="eastAsia" w:ascii="Times New Roman" w:hAnsi="Times New Roman" w:cs="Times New Roman"/>
                <w:sz w:val="21"/>
                <w:szCs w:val="21"/>
                <w:lang w:val="en-US" w:eastAsia="zh-CN"/>
              </w:rPr>
              <w:t>15.68%</w:t>
            </w:r>
          </w:p>
        </w:tc>
        <w:tc>
          <w:tcPr>
            <w:tcW w:w="703" w:type="pct"/>
            <w:tcBorders>
              <w:tl2br w:val="nil"/>
              <w:tr2bl w:val="nil"/>
            </w:tcBorders>
            <w:shd w:val="clear" w:color="auto" w:fill="auto"/>
            <w:vAlign w:val="center"/>
          </w:tcPr>
          <w:p w14:paraId="59979BEF">
            <w:pPr>
              <w:spacing w:line="300" w:lineRule="exact"/>
              <w:jc w:val="center"/>
              <w:rPr>
                <w:rFonts w:hint="default" w:ascii="Times New Roman" w:hAnsi="Times New Roman" w:cs="Times New Roman"/>
                <w:sz w:val="21"/>
                <w:szCs w:val="21"/>
                <w:lang w:val="en-US" w:eastAsia="zh-CN"/>
              </w:rPr>
            </w:pPr>
            <w:r>
              <w:rPr>
                <w:rFonts w:hint="eastAsia" w:ascii="Times New Roman" w:hAnsi="Times New Roman" w:cs="Times New Roman"/>
                <w:sz w:val="21"/>
                <w:szCs w:val="21"/>
                <w:lang w:val="en-US" w:eastAsia="zh-CN"/>
              </w:rPr>
              <w:t>1500</w:t>
            </w:r>
          </w:p>
        </w:tc>
        <w:tc>
          <w:tcPr>
            <w:tcW w:w="733" w:type="pct"/>
            <w:vMerge w:val="restart"/>
            <w:tcBorders>
              <w:tl2br w:val="nil"/>
              <w:tr2bl w:val="nil"/>
            </w:tcBorders>
            <w:shd w:val="clear" w:color="auto" w:fill="auto"/>
            <w:noWrap/>
            <w:vAlign w:val="center"/>
          </w:tcPr>
          <w:p w14:paraId="07EEEE49">
            <w:pPr>
              <w:spacing w:line="300" w:lineRule="exact"/>
              <w:jc w:val="center"/>
              <w:rPr>
                <w:rFonts w:hint="default" w:ascii="Times New Roman" w:hAnsi="Times New Roman" w:cs="Times New Roman"/>
                <w:sz w:val="21"/>
                <w:szCs w:val="21"/>
                <w:lang w:val="en-US" w:eastAsia="zh-CN"/>
              </w:rPr>
            </w:pPr>
            <w:r>
              <w:rPr>
                <w:rFonts w:hint="eastAsia" w:ascii="Times New Roman" w:hAnsi="Times New Roman" w:cs="Times New Roman"/>
                <w:sz w:val="21"/>
                <w:szCs w:val="21"/>
                <w:lang w:val="en-US" w:eastAsia="zh-CN"/>
              </w:rPr>
              <w:t>962</w:t>
            </w:r>
          </w:p>
        </w:tc>
      </w:tr>
      <w:tr w14:paraId="41297139">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657" w:type="pct"/>
            <w:vMerge w:val="continue"/>
            <w:tcBorders>
              <w:tl2br w:val="nil"/>
              <w:tr2bl w:val="nil"/>
            </w:tcBorders>
            <w:shd w:val="clear" w:color="auto" w:fill="auto"/>
            <w:vAlign w:val="center"/>
          </w:tcPr>
          <w:p w14:paraId="176B78E5">
            <w:pPr>
              <w:spacing w:line="300" w:lineRule="exact"/>
              <w:jc w:val="center"/>
              <w:rPr>
                <w:rFonts w:hint="eastAsia" w:ascii="Times New Roman" w:hAnsi="Times New Roman" w:cs="Times New Roman"/>
                <w:sz w:val="21"/>
                <w:szCs w:val="21"/>
                <w:lang w:val="en-US" w:eastAsia="zh-CN"/>
              </w:rPr>
            </w:pPr>
          </w:p>
        </w:tc>
        <w:tc>
          <w:tcPr>
            <w:tcW w:w="693" w:type="pct"/>
            <w:tcBorders>
              <w:tl2br w:val="nil"/>
              <w:tr2bl w:val="nil"/>
            </w:tcBorders>
            <w:shd w:val="clear" w:color="auto" w:fill="auto"/>
            <w:noWrap/>
            <w:vAlign w:val="center"/>
          </w:tcPr>
          <w:p w14:paraId="7DCA73EE">
            <w:pPr>
              <w:spacing w:line="300" w:lineRule="exact"/>
              <w:jc w:val="center"/>
              <w:rPr>
                <w:rFonts w:hint="default" w:ascii="Times New Roman" w:hAnsi="Times New Roman" w:cs="Times New Roman"/>
                <w:sz w:val="21"/>
                <w:szCs w:val="21"/>
                <w:lang w:val="en-US" w:eastAsia="zh-CN"/>
              </w:rPr>
            </w:pPr>
            <w:r>
              <w:rPr>
                <w:rFonts w:hint="eastAsia" w:ascii="Times New Roman" w:hAnsi="Times New Roman" w:cs="Times New Roman"/>
                <w:sz w:val="21"/>
                <w:szCs w:val="21"/>
                <w:lang w:val="en-US" w:eastAsia="zh-CN"/>
              </w:rPr>
              <w:t>颗粒物</w:t>
            </w:r>
          </w:p>
        </w:tc>
        <w:tc>
          <w:tcPr>
            <w:tcW w:w="1251" w:type="dxa"/>
            <w:tcBorders>
              <w:tl2br w:val="nil"/>
              <w:tr2bl w:val="nil"/>
            </w:tcBorders>
            <w:shd w:val="clear" w:color="auto" w:fill="auto"/>
            <w:vAlign w:val="center"/>
          </w:tcPr>
          <w:p w14:paraId="152FDC0A">
            <w:pPr>
              <w:spacing w:line="300" w:lineRule="exact"/>
              <w:jc w:val="center"/>
              <w:rPr>
                <w:rFonts w:hint="default" w:ascii="Times New Roman" w:hAnsi="Times New Roman" w:cs="Times New Roman"/>
                <w:sz w:val="21"/>
                <w:szCs w:val="21"/>
                <w:lang w:val="en-US" w:eastAsia="zh-CN"/>
              </w:rPr>
            </w:pPr>
            <w:r>
              <w:rPr>
                <w:rFonts w:hint="eastAsia" w:ascii="Times New Roman" w:hAnsi="Times New Roman" w:cs="Times New Roman"/>
                <w:sz w:val="21"/>
                <w:szCs w:val="21"/>
                <w:lang w:val="en-US" w:eastAsia="zh-CN"/>
              </w:rPr>
              <w:t>3.42E-02</w:t>
            </w:r>
          </w:p>
        </w:tc>
        <w:tc>
          <w:tcPr>
            <w:tcW w:w="795" w:type="pct"/>
            <w:tcBorders>
              <w:tl2br w:val="nil"/>
              <w:tr2bl w:val="nil"/>
            </w:tcBorders>
            <w:shd w:val="clear" w:color="auto" w:fill="auto"/>
            <w:vAlign w:val="center"/>
          </w:tcPr>
          <w:p w14:paraId="6AD3ACF9">
            <w:pPr>
              <w:spacing w:line="300" w:lineRule="exact"/>
              <w:jc w:val="center"/>
              <w:rPr>
                <w:rFonts w:hint="default" w:ascii="Times New Roman" w:hAnsi="Times New Roman" w:cs="Times New Roman"/>
                <w:sz w:val="21"/>
                <w:szCs w:val="21"/>
                <w:lang w:val="en-US" w:eastAsia="zh-CN"/>
              </w:rPr>
            </w:pPr>
            <w:r>
              <w:rPr>
                <w:rFonts w:hint="eastAsia" w:ascii="Times New Roman" w:hAnsi="Times New Roman" w:cs="Times New Roman"/>
                <w:sz w:val="21"/>
                <w:szCs w:val="21"/>
                <w:lang w:val="en-US" w:eastAsia="zh-CN"/>
              </w:rPr>
              <w:t>0.9</w:t>
            </w:r>
          </w:p>
        </w:tc>
        <w:tc>
          <w:tcPr>
            <w:tcW w:w="683" w:type="pct"/>
            <w:tcBorders>
              <w:tl2br w:val="nil"/>
              <w:tr2bl w:val="nil"/>
            </w:tcBorders>
            <w:shd w:val="clear" w:color="auto" w:fill="auto"/>
            <w:vAlign w:val="center"/>
          </w:tcPr>
          <w:p w14:paraId="4F266AF9">
            <w:pPr>
              <w:spacing w:line="300" w:lineRule="exact"/>
              <w:jc w:val="center"/>
              <w:rPr>
                <w:rFonts w:hint="default" w:ascii="Times New Roman" w:hAnsi="Times New Roman" w:cs="Times New Roman"/>
                <w:sz w:val="21"/>
                <w:szCs w:val="21"/>
                <w:lang w:val="en-US" w:eastAsia="zh-CN"/>
              </w:rPr>
            </w:pPr>
            <w:r>
              <w:rPr>
                <w:rFonts w:hint="eastAsia" w:ascii="Times New Roman" w:hAnsi="Times New Roman" w:cs="Times New Roman"/>
                <w:sz w:val="21"/>
                <w:szCs w:val="21"/>
                <w:lang w:val="en-US" w:eastAsia="zh-CN"/>
              </w:rPr>
              <w:t>3.8%</w:t>
            </w:r>
          </w:p>
        </w:tc>
        <w:tc>
          <w:tcPr>
            <w:tcW w:w="703" w:type="pct"/>
            <w:tcBorders>
              <w:tl2br w:val="nil"/>
              <w:tr2bl w:val="nil"/>
            </w:tcBorders>
            <w:shd w:val="clear" w:color="auto" w:fill="auto"/>
            <w:vAlign w:val="center"/>
          </w:tcPr>
          <w:p w14:paraId="3D480D64">
            <w:pPr>
              <w:spacing w:line="300" w:lineRule="exact"/>
              <w:jc w:val="center"/>
              <w:rPr>
                <w:rFonts w:hint="eastAsia" w:ascii="Times New Roman" w:hAnsi="Times New Roman" w:cs="Times New Roman"/>
                <w:sz w:val="21"/>
                <w:szCs w:val="21"/>
                <w:lang w:val="en-US" w:eastAsia="zh-CN"/>
              </w:rPr>
            </w:pPr>
            <w:r>
              <w:rPr>
                <w:rFonts w:hint="eastAsia" w:ascii="Times New Roman" w:hAnsi="Times New Roman" w:cs="Times New Roman"/>
                <w:sz w:val="21"/>
                <w:szCs w:val="21"/>
                <w:lang w:val="en-US" w:eastAsia="zh-CN"/>
              </w:rPr>
              <w:t>/</w:t>
            </w:r>
          </w:p>
        </w:tc>
        <w:tc>
          <w:tcPr>
            <w:tcW w:w="733" w:type="pct"/>
            <w:vMerge w:val="continue"/>
            <w:tcBorders>
              <w:tl2br w:val="nil"/>
              <w:tr2bl w:val="nil"/>
            </w:tcBorders>
            <w:shd w:val="clear" w:color="auto" w:fill="auto"/>
            <w:noWrap/>
            <w:vAlign w:val="center"/>
          </w:tcPr>
          <w:p w14:paraId="162261BA">
            <w:pPr>
              <w:spacing w:line="300" w:lineRule="exact"/>
              <w:jc w:val="center"/>
              <w:rPr>
                <w:rFonts w:hint="default" w:ascii="Times New Roman" w:hAnsi="Times New Roman" w:cs="Times New Roman"/>
                <w:sz w:val="21"/>
                <w:szCs w:val="21"/>
              </w:rPr>
            </w:pPr>
          </w:p>
        </w:tc>
      </w:tr>
      <w:tr w14:paraId="1CB395F6">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657" w:type="pct"/>
            <w:vMerge w:val="continue"/>
            <w:tcBorders>
              <w:tl2br w:val="nil"/>
              <w:tr2bl w:val="nil"/>
            </w:tcBorders>
            <w:shd w:val="clear" w:color="auto" w:fill="auto"/>
            <w:vAlign w:val="center"/>
          </w:tcPr>
          <w:p w14:paraId="35711978">
            <w:pPr>
              <w:spacing w:line="300" w:lineRule="exact"/>
              <w:jc w:val="center"/>
              <w:rPr>
                <w:rFonts w:hint="default" w:ascii="Times New Roman" w:hAnsi="Times New Roman" w:cs="Times New Roman"/>
                <w:sz w:val="21"/>
                <w:szCs w:val="21"/>
              </w:rPr>
            </w:pPr>
          </w:p>
        </w:tc>
        <w:tc>
          <w:tcPr>
            <w:tcW w:w="693" w:type="pct"/>
            <w:tcBorders>
              <w:tl2br w:val="nil"/>
              <w:tr2bl w:val="nil"/>
            </w:tcBorders>
            <w:shd w:val="clear" w:color="auto" w:fill="auto"/>
            <w:vAlign w:val="center"/>
          </w:tcPr>
          <w:p w14:paraId="2E94F423">
            <w:pPr>
              <w:spacing w:line="300" w:lineRule="exact"/>
              <w:jc w:val="center"/>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氟化物</w:t>
            </w:r>
          </w:p>
        </w:tc>
        <w:tc>
          <w:tcPr>
            <w:tcW w:w="1251" w:type="dxa"/>
            <w:tcBorders>
              <w:tl2br w:val="nil"/>
              <w:tr2bl w:val="nil"/>
            </w:tcBorders>
            <w:shd w:val="clear" w:color="auto" w:fill="auto"/>
            <w:vAlign w:val="center"/>
          </w:tcPr>
          <w:p w14:paraId="58AF0D56">
            <w:pPr>
              <w:spacing w:line="300" w:lineRule="exact"/>
              <w:jc w:val="center"/>
              <w:rPr>
                <w:rFonts w:hint="default" w:ascii="Times New Roman" w:hAnsi="Times New Roman" w:cs="Times New Roman"/>
                <w:sz w:val="21"/>
                <w:szCs w:val="21"/>
                <w:lang w:val="en-US" w:eastAsia="zh-CN"/>
              </w:rPr>
            </w:pPr>
            <w:r>
              <w:rPr>
                <w:rFonts w:hint="eastAsia" w:ascii="Times New Roman" w:hAnsi="Times New Roman" w:cs="Times New Roman"/>
                <w:sz w:val="21"/>
                <w:szCs w:val="21"/>
                <w:lang w:val="en-US" w:eastAsia="zh-CN"/>
              </w:rPr>
              <w:t>1.70E-03</w:t>
            </w:r>
          </w:p>
        </w:tc>
        <w:tc>
          <w:tcPr>
            <w:tcW w:w="795" w:type="pct"/>
            <w:tcBorders>
              <w:tl2br w:val="nil"/>
              <w:tr2bl w:val="nil"/>
            </w:tcBorders>
            <w:shd w:val="clear" w:color="auto" w:fill="auto"/>
            <w:vAlign w:val="center"/>
          </w:tcPr>
          <w:p w14:paraId="483D9078">
            <w:pPr>
              <w:spacing w:line="300" w:lineRule="exact"/>
              <w:jc w:val="center"/>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0.02</w:t>
            </w:r>
          </w:p>
        </w:tc>
        <w:tc>
          <w:tcPr>
            <w:tcW w:w="683" w:type="pct"/>
            <w:tcBorders>
              <w:tl2br w:val="nil"/>
              <w:tr2bl w:val="nil"/>
            </w:tcBorders>
            <w:shd w:val="clear" w:color="auto" w:fill="auto"/>
            <w:vAlign w:val="center"/>
          </w:tcPr>
          <w:p w14:paraId="582580B7">
            <w:pPr>
              <w:spacing w:line="300" w:lineRule="exact"/>
              <w:jc w:val="center"/>
              <w:rPr>
                <w:rFonts w:hint="default" w:ascii="Times New Roman" w:hAnsi="Times New Roman" w:cs="Times New Roman"/>
                <w:sz w:val="21"/>
                <w:szCs w:val="21"/>
                <w:lang w:val="en-US" w:eastAsia="zh-CN"/>
              </w:rPr>
            </w:pPr>
            <w:r>
              <w:rPr>
                <w:rFonts w:hint="eastAsia" w:ascii="Times New Roman" w:hAnsi="Times New Roman" w:cs="Times New Roman"/>
                <w:sz w:val="21"/>
                <w:szCs w:val="21"/>
                <w:lang w:val="en-US" w:eastAsia="zh-CN"/>
              </w:rPr>
              <w:t>8.52%</w:t>
            </w:r>
          </w:p>
        </w:tc>
        <w:tc>
          <w:tcPr>
            <w:tcW w:w="703" w:type="pct"/>
            <w:tcBorders>
              <w:tl2br w:val="nil"/>
              <w:tr2bl w:val="nil"/>
            </w:tcBorders>
            <w:shd w:val="clear" w:color="auto" w:fill="auto"/>
            <w:vAlign w:val="center"/>
          </w:tcPr>
          <w:p w14:paraId="0E1802F9">
            <w:pPr>
              <w:spacing w:line="300" w:lineRule="exact"/>
              <w:jc w:val="center"/>
              <w:rPr>
                <w:rFonts w:hint="eastAsia" w:ascii="Times New Roman" w:hAnsi="Times New Roman" w:cs="Times New Roman"/>
                <w:sz w:val="21"/>
                <w:szCs w:val="21"/>
                <w:lang w:val="en-US" w:eastAsia="zh-CN"/>
              </w:rPr>
            </w:pPr>
            <w:r>
              <w:rPr>
                <w:rFonts w:hint="eastAsia" w:ascii="Times New Roman" w:hAnsi="Times New Roman" w:cs="Times New Roman"/>
                <w:sz w:val="21"/>
                <w:szCs w:val="21"/>
                <w:lang w:val="en-US" w:eastAsia="zh-CN"/>
              </w:rPr>
              <w:t>/</w:t>
            </w:r>
          </w:p>
        </w:tc>
        <w:tc>
          <w:tcPr>
            <w:tcW w:w="733" w:type="pct"/>
            <w:vMerge w:val="continue"/>
            <w:tcBorders>
              <w:tl2br w:val="nil"/>
              <w:tr2bl w:val="nil"/>
            </w:tcBorders>
            <w:shd w:val="clear" w:color="auto" w:fill="auto"/>
            <w:noWrap/>
            <w:vAlign w:val="center"/>
          </w:tcPr>
          <w:p w14:paraId="09267D35">
            <w:pPr>
              <w:spacing w:line="300" w:lineRule="exact"/>
              <w:jc w:val="center"/>
              <w:rPr>
                <w:rFonts w:hint="default" w:ascii="Times New Roman" w:hAnsi="Times New Roman" w:cs="Times New Roman"/>
                <w:sz w:val="21"/>
                <w:szCs w:val="21"/>
              </w:rPr>
            </w:pPr>
          </w:p>
        </w:tc>
      </w:tr>
      <w:tr w14:paraId="3B2F9E4E">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657" w:type="pct"/>
            <w:vMerge w:val="continue"/>
            <w:tcBorders>
              <w:tl2br w:val="nil"/>
              <w:tr2bl w:val="nil"/>
            </w:tcBorders>
            <w:shd w:val="clear" w:color="auto" w:fill="auto"/>
            <w:vAlign w:val="center"/>
          </w:tcPr>
          <w:p w14:paraId="5B08291F">
            <w:pPr>
              <w:spacing w:line="300" w:lineRule="exact"/>
              <w:jc w:val="center"/>
              <w:rPr>
                <w:rFonts w:hint="default" w:ascii="Times New Roman" w:hAnsi="Times New Roman" w:cs="Times New Roman"/>
                <w:sz w:val="21"/>
                <w:szCs w:val="21"/>
              </w:rPr>
            </w:pPr>
          </w:p>
        </w:tc>
        <w:tc>
          <w:tcPr>
            <w:tcW w:w="693" w:type="pct"/>
            <w:tcBorders>
              <w:tl2br w:val="nil"/>
              <w:tr2bl w:val="nil"/>
            </w:tcBorders>
            <w:shd w:val="clear" w:color="auto" w:fill="auto"/>
            <w:vAlign w:val="center"/>
          </w:tcPr>
          <w:p w14:paraId="226A26E0">
            <w:pPr>
              <w:spacing w:line="300" w:lineRule="exact"/>
              <w:jc w:val="center"/>
              <w:rPr>
                <w:rFonts w:hint="eastAsia" w:ascii="Times New Roman" w:hAnsi="Times New Roman" w:cs="Times New Roman"/>
                <w:sz w:val="21"/>
                <w:szCs w:val="21"/>
                <w:lang w:val="en-US" w:eastAsia="zh-CN"/>
              </w:rPr>
            </w:pPr>
            <w:r>
              <w:rPr>
                <w:rFonts w:hint="eastAsia" w:ascii="Times New Roman" w:hAnsi="Times New Roman" w:cs="Times New Roman"/>
                <w:sz w:val="21"/>
                <w:szCs w:val="21"/>
                <w:lang w:val="en-US" w:eastAsia="zh-CN"/>
              </w:rPr>
              <w:t>氨</w:t>
            </w:r>
          </w:p>
        </w:tc>
        <w:tc>
          <w:tcPr>
            <w:tcW w:w="1251" w:type="dxa"/>
            <w:tcBorders>
              <w:tl2br w:val="nil"/>
              <w:tr2bl w:val="nil"/>
            </w:tcBorders>
            <w:shd w:val="clear" w:color="auto" w:fill="auto"/>
            <w:vAlign w:val="center"/>
          </w:tcPr>
          <w:p w14:paraId="2EFA1733">
            <w:pPr>
              <w:spacing w:line="300" w:lineRule="exact"/>
              <w:jc w:val="center"/>
              <w:rPr>
                <w:rFonts w:hint="default" w:ascii="Times New Roman" w:hAnsi="Times New Roman" w:cs="Times New Roman"/>
                <w:sz w:val="21"/>
                <w:szCs w:val="21"/>
                <w:lang w:val="en-US" w:eastAsia="zh-CN"/>
              </w:rPr>
            </w:pPr>
            <w:r>
              <w:rPr>
                <w:rFonts w:hint="eastAsia" w:ascii="Times New Roman" w:hAnsi="Times New Roman" w:cs="Times New Roman"/>
                <w:sz w:val="21"/>
                <w:szCs w:val="21"/>
                <w:lang w:val="en-US" w:eastAsia="zh-CN"/>
              </w:rPr>
              <w:t>9.59E-03</w:t>
            </w:r>
          </w:p>
        </w:tc>
        <w:tc>
          <w:tcPr>
            <w:tcW w:w="795" w:type="pct"/>
            <w:tcBorders>
              <w:tl2br w:val="nil"/>
              <w:tr2bl w:val="nil"/>
            </w:tcBorders>
            <w:shd w:val="clear" w:color="auto" w:fill="auto"/>
            <w:vAlign w:val="center"/>
          </w:tcPr>
          <w:p w14:paraId="006C1EB1">
            <w:pPr>
              <w:spacing w:line="300" w:lineRule="exact"/>
              <w:jc w:val="center"/>
              <w:rPr>
                <w:rFonts w:hint="default" w:ascii="Times New Roman" w:hAnsi="Times New Roman" w:cs="Times New Roman"/>
                <w:sz w:val="21"/>
                <w:szCs w:val="21"/>
                <w:lang w:val="en-US" w:eastAsia="zh-CN"/>
              </w:rPr>
            </w:pPr>
            <w:r>
              <w:rPr>
                <w:rFonts w:hint="eastAsia" w:ascii="Times New Roman" w:hAnsi="Times New Roman" w:cs="Times New Roman"/>
                <w:sz w:val="21"/>
                <w:szCs w:val="21"/>
                <w:lang w:val="en-US" w:eastAsia="zh-CN"/>
              </w:rPr>
              <w:t>0.2</w:t>
            </w:r>
          </w:p>
        </w:tc>
        <w:tc>
          <w:tcPr>
            <w:tcW w:w="683" w:type="pct"/>
            <w:tcBorders>
              <w:tl2br w:val="nil"/>
              <w:tr2bl w:val="nil"/>
            </w:tcBorders>
            <w:shd w:val="clear" w:color="auto" w:fill="auto"/>
            <w:vAlign w:val="center"/>
          </w:tcPr>
          <w:p w14:paraId="1301640F">
            <w:pPr>
              <w:spacing w:line="300" w:lineRule="exact"/>
              <w:jc w:val="center"/>
              <w:rPr>
                <w:rFonts w:hint="default" w:ascii="Times New Roman" w:hAnsi="Times New Roman" w:cs="Times New Roman"/>
                <w:sz w:val="21"/>
                <w:szCs w:val="21"/>
                <w:lang w:val="en-US" w:eastAsia="zh-CN"/>
              </w:rPr>
            </w:pPr>
            <w:r>
              <w:rPr>
                <w:rFonts w:hint="eastAsia" w:ascii="Times New Roman" w:hAnsi="Times New Roman" w:cs="Times New Roman"/>
                <w:sz w:val="21"/>
                <w:szCs w:val="21"/>
                <w:lang w:val="en-US" w:eastAsia="zh-CN"/>
              </w:rPr>
              <w:t>4.8%</w:t>
            </w:r>
          </w:p>
        </w:tc>
        <w:tc>
          <w:tcPr>
            <w:tcW w:w="703" w:type="pct"/>
            <w:tcBorders>
              <w:tl2br w:val="nil"/>
              <w:tr2bl w:val="nil"/>
            </w:tcBorders>
            <w:shd w:val="clear" w:color="auto" w:fill="auto"/>
            <w:vAlign w:val="center"/>
          </w:tcPr>
          <w:p w14:paraId="460E35BA">
            <w:pPr>
              <w:spacing w:line="300" w:lineRule="exact"/>
              <w:jc w:val="center"/>
              <w:rPr>
                <w:rFonts w:hint="eastAsia" w:ascii="Times New Roman" w:hAnsi="Times New Roman" w:cs="Times New Roman"/>
                <w:sz w:val="21"/>
                <w:szCs w:val="21"/>
                <w:lang w:val="en-US" w:eastAsia="zh-CN"/>
              </w:rPr>
            </w:pPr>
            <w:r>
              <w:rPr>
                <w:rFonts w:hint="eastAsia" w:ascii="Times New Roman" w:hAnsi="Times New Roman" w:cs="Times New Roman"/>
                <w:sz w:val="21"/>
                <w:szCs w:val="21"/>
                <w:lang w:val="en-US" w:eastAsia="zh-CN"/>
              </w:rPr>
              <w:t>/</w:t>
            </w:r>
          </w:p>
        </w:tc>
        <w:tc>
          <w:tcPr>
            <w:tcW w:w="733" w:type="pct"/>
            <w:vMerge w:val="continue"/>
            <w:tcBorders>
              <w:tl2br w:val="nil"/>
              <w:tr2bl w:val="nil"/>
            </w:tcBorders>
            <w:shd w:val="clear" w:color="auto" w:fill="auto"/>
            <w:noWrap/>
            <w:vAlign w:val="center"/>
          </w:tcPr>
          <w:p w14:paraId="2E102335">
            <w:pPr>
              <w:spacing w:line="300" w:lineRule="exact"/>
              <w:jc w:val="center"/>
              <w:rPr>
                <w:rFonts w:hint="default" w:ascii="Times New Roman" w:hAnsi="Times New Roman" w:cs="Times New Roman"/>
                <w:sz w:val="21"/>
                <w:szCs w:val="21"/>
              </w:rPr>
            </w:pPr>
          </w:p>
        </w:tc>
      </w:tr>
      <w:tr w14:paraId="2449B43A">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40" w:hRule="atLeast"/>
        </w:trPr>
        <w:tc>
          <w:tcPr>
            <w:tcW w:w="657" w:type="pct"/>
            <w:vMerge w:val="continue"/>
            <w:tcBorders>
              <w:tl2br w:val="nil"/>
              <w:tr2bl w:val="nil"/>
            </w:tcBorders>
            <w:shd w:val="clear" w:color="auto" w:fill="auto"/>
            <w:vAlign w:val="center"/>
          </w:tcPr>
          <w:p w14:paraId="2C59B6E9">
            <w:pPr>
              <w:spacing w:line="300" w:lineRule="exact"/>
              <w:jc w:val="center"/>
              <w:rPr>
                <w:rFonts w:hint="default" w:ascii="Times New Roman" w:hAnsi="Times New Roman" w:cs="Times New Roman"/>
                <w:sz w:val="21"/>
                <w:szCs w:val="21"/>
              </w:rPr>
            </w:pPr>
          </w:p>
        </w:tc>
        <w:tc>
          <w:tcPr>
            <w:tcW w:w="693" w:type="pct"/>
            <w:tcBorders>
              <w:tl2br w:val="nil"/>
              <w:tr2bl w:val="nil"/>
            </w:tcBorders>
            <w:shd w:val="clear" w:color="auto" w:fill="auto"/>
            <w:vAlign w:val="center"/>
          </w:tcPr>
          <w:p w14:paraId="58B8F64C">
            <w:pPr>
              <w:spacing w:line="300" w:lineRule="exact"/>
              <w:jc w:val="center"/>
              <w:rPr>
                <w:rFonts w:hint="eastAsia" w:ascii="Times New Roman" w:hAnsi="Times New Roman" w:cs="Times New Roman"/>
                <w:sz w:val="21"/>
                <w:szCs w:val="21"/>
                <w:lang w:val="en-US" w:eastAsia="zh-CN"/>
              </w:rPr>
            </w:pPr>
            <w:r>
              <w:rPr>
                <w:rFonts w:hint="eastAsia" w:ascii="Times New Roman" w:hAnsi="Times New Roman" w:cs="Times New Roman"/>
                <w:sz w:val="21"/>
                <w:szCs w:val="21"/>
                <w:lang w:val="en-US" w:eastAsia="zh-CN"/>
              </w:rPr>
              <w:t>氮氧化物</w:t>
            </w:r>
          </w:p>
        </w:tc>
        <w:tc>
          <w:tcPr>
            <w:tcW w:w="1251" w:type="dxa"/>
            <w:tcBorders>
              <w:tl2br w:val="nil"/>
              <w:tr2bl w:val="nil"/>
            </w:tcBorders>
            <w:shd w:val="clear" w:color="auto" w:fill="auto"/>
            <w:vAlign w:val="center"/>
          </w:tcPr>
          <w:p w14:paraId="3E97DB4D">
            <w:pPr>
              <w:spacing w:line="300" w:lineRule="exact"/>
              <w:jc w:val="center"/>
              <w:rPr>
                <w:rFonts w:hint="default" w:ascii="Times New Roman" w:hAnsi="Times New Roman" w:cs="Times New Roman"/>
                <w:sz w:val="21"/>
                <w:szCs w:val="21"/>
                <w:lang w:val="en-US" w:eastAsia="zh-CN"/>
              </w:rPr>
            </w:pPr>
            <w:r>
              <w:rPr>
                <w:rFonts w:hint="eastAsia" w:ascii="Times New Roman" w:hAnsi="Times New Roman" w:cs="Times New Roman"/>
                <w:sz w:val="21"/>
                <w:szCs w:val="21"/>
                <w:lang w:val="en-US" w:eastAsia="zh-CN"/>
              </w:rPr>
              <w:t>7.42E-02</w:t>
            </w:r>
          </w:p>
        </w:tc>
        <w:tc>
          <w:tcPr>
            <w:tcW w:w="795" w:type="pct"/>
            <w:tcBorders>
              <w:tl2br w:val="nil"/>
              <w:tr2bl w:val="nil"/>
            </w:tcBorders>
            <w:shd w:val="clear" w:color="auto" w:fill="auto"/>
            <w:vAlign w:val="center"/>
          </w:tcPr>
          <w:p w14:paraId="459C9D0E">
            <w:pPr>
              <w:spacing w:line="300" w:lineRule="exact"/>
              <w:jc w:val="center"/>
              <w:rPr>
                <w:rFonts w:hint="eastAsia" w:ascii="Times New Roman" w:hAnsi="Times New Roman" w:cs="Times New Roman"/>
                <w:sz w:val="21"/>
                <w:szCs w:val="21"/>
                <w:lang w:val="en-US" w:eastAsia="zh-CN"/>
              </w:rPr>
            </w:pPr>
            <w:r>
              <w:rPr>
                <w:rFonts w:hint="eastAsia" w:ascii="Times New Roman" w:hAnsi="Times New Roman" w:cs="Times New Roman"/>
                <w:sz w:val="21"/>
                <w:szCs w:val="21"/>
                <w:lang w:val="en-US" w:eastAsia="zh-CN"/>
              </w:rPr>
              <w:t>0.25</w:t>
            </w:r>
          </w:p>
        </w:tc>
        <w:tc>
          <w:tcPr>
            <w:tcW w:w="683" w:type="pct"/>
            <w:tcBorders>
              <w:tl2br w:val="nil"/>
              <w:tr2bl w:val="nil"/>
            </w:tcBorders>
            <w:shd w:val="clear" w:color="auto" w:fill="auto"/>
            <w:vAlign w:val="center"/>
          </w:tcPr>
          <w:p w14:paraId="76C389B4">
            <w:pPr>
              <w:spacing w:line="300" w:lineRule="exact"/>
              <w:jc w:val="center"/>
              <w:rPr>
                <w:rFonts w:hint="default" w:ascii="Times New Roman" w:hAnsi="Times New Roman" w:cs="Times New Roman"/>
                <w:sz w:val="21"/>
                <w:szCs w:val="21"/>
                <w:lang w:val="en-US" w:eastAsia="zh-CN"/>
              </w:rPr>
            </w:pPr>
            <w:r>
              <w:rPr>
                <w:rFonts w:hint="eastAsia" w:ascii="Times New Roman" w:hAnsi="Times New Roman" w:cs="Times New Roman"/>
                <w:sz w:val="21"/>
                <w:szCs w:val="21"/>
                <w:lang w:val="en-US" w:eastAsia="zh-CN"/>
              </w:rPr>
              <w:t>29.67%</w:t>
            </w:r>
          </w:p>
        </w:tc>
        <w:tc>
          <w:tcPr>
            <w:tcW w:w="703" w:type="pct"/>
            <w:tcBorders>
              <w:tl2br w:val="nil"/>
              <w:tr2bl w:val="nil"/>
            </w:tcBorders>
            <w:shd w:val="clear" w:color="auto" w:fill="auto"/>
            <w:vAlign w:val="center"/>
          </w:tcPr>
          <w:p w14:paraId="0C597DF0">
            <w:pPr>
              <w:spacing w:line="300" w:lineRule="exact"/>
              <w:jc w:val="center"/>
              <w:rPr>
                <w:rFonts w:hint="default" w:ascii="Times New Roman" w:hAnsi="Times New Roman" w:cs="Times New Roman"/>
                <w:sz w:val="21"/>
                <w:szCs w:val="21"/>
                <w:lang w:val="en-US" w:eastAsia="zh-CN"/>
              </w:rPr>
            </w:pPr>
            <w:r>
              <w:rPr>
                <w:rFonts w:hint="eastAsia" w:ascii="Times New Roman" w:hAnsi="Times New Roman" w:cs="Times New Roman"/>
                <w:sz w:val="21"/>
                <w:szCs w:val="21"/>
                <w:lang w:val="en-US" w:eastAsia="zh-CN"/>
              </w:rPr>
              <w:t>3100</w:t>
            </w:r>
          </w:p>
        </w:tc>
        <w:tc>
          <w:tcPr>
            <w:tcW w:w="733" w:type="pct"/>
            <w:vMerge w:val="continue"/>
            <w:tcBorders>
              <w:tl2br w:val="nil"/>
              <w:tr2bl w:val="nil"/>
            </w:tcBorders>
            <w:shd w:val="clear" w:color="auto" w:fill="auto"/>
            <w:noWrap/>
            <w:vAlign w:val="center"/>
          </w:tcPr>
          <w:p w14:paraId="7FA29627">
            <w:pPr>
              <w:spacing w:line="300" w:lineRule="exact"/>
              <w:jc w:val="center"/>
              <w:rPr>
                <w:rFonts w:hint="default" w:ascii="Times New Roman" w:hAnsi="Times New Roman" w:cs="Times New Roman"/>
                <w:sz w:val="21"/>
                <w:szCs w:val="21"/>
              </w:rPr>
            </w:pPr>
          </w:p>
        </w:tc>
      </w:tr>
      <w:tr w14:paraId="6E9F7AF9">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657" w:type="pct"/>
            <w:vMerge w:val="continue"/>
            <w:tcBorders>
              <w:tl2br w:val="nil"/>
              <w:tr2bl w:val="nil"/>
            </w:tcBorders>
            <w:shd w:val="clear" w:color="auto" w:fill="auto"/>
            <w:vAlign w:val="center"/>
          </w:tcPr>
          <w:p w14:paraId="14F8D1E7">
            <w:pPr>
              <w:spacing w:line="300" w:lineRule="exact"/>
              <w:jc w:val="center"/>
              <w:rPr>
                <w:rFonts w:hint="default" w:ascii="Times New Roman" w:hAnsi="Times New Roman" w:cs="Times New Roman"/>
                <w:sz w:val="21"/>
                <w:szCs w:val="21"/>
              </w:rPr>
            </w:pPr>
          </w:p>
        </w:tc>
        <w:tc>
          <w:tcPr>
            <w:tcW w:w="693" w:type="pct"/>
            <w:tcBorders>
              <w:tl2br w:val="nil"/>
              <w:tr2bl w:val="nil"/>
            </w:tcBorders>
            <w:shd w:val="clear" w:color="auto" w:fill="auto"/>
            <w:vAlign w:val="center"/>
          </w:tcPr>
          <w:p w14:paraId="784455C3">
            <w:pPr>
              <w:spacing w:line="300" w:lineRule="exact"/>
              <w:jc w:val="center"/>
              <w:rPr>
                <w:rFonts w:hint="eastAsia" w:ascii="Times New Roman" w:hAnsi="Times New Roman" w:cs="Times New Roman"/>
                <w:sz w:val="21"/>
                <w:szCs w:val="21"/>
                <w:lang w:val="en-US" w:eastAsia="zh-CN"/>
              </w:rPr>
            </w:pPr>
            <w:r>
              <w:rPr>
                <w:rFonts w:hint="eastAsia" w:ascii="Times New Roman" w:hAnsi="Times New Roman" w:cs="Times New Roman"/>
                <w:sz w:val="21"/>
                <w:szCs w:val="21"/>
                <w:lang w:val="en-US" w:eastAsia="zh-CN"/>
              </w:rPr>
              <w:t>二噁英</w:t>
            </w:r>
          </w:p>
        </w:tc>
        <w:tc>
          <w:tcPr>
            <w:tcW w:w="1251" w:type="dxa"/>
            <w:tcBorders>
              <w:tl2br w:val="nil"/>
              <w:tr2bl w:val="nil"/>
            </w:tcBorders>
            <w:shd w:val="clear" w:color="auto" w:fill="auto"/>
            <w:vAlign w:val="center"/>
          </w:tcPr>
          <w:p w14:paraId="4920AC9D">
            <w:pPr>
              <w:spacing w:line="300" w:lineRule="exact"/>
              <w:jc w:val="center"/>
              <w:rPr>
                <w:rFonts w:hint="default" w:ascii="Times New Roman" w:hAnsi="Times New Roman" w:cs="Times New Roman"/>
                <w:sz w:val="21"/>
                <w:szCs w:val="21"/>
                <w:lang w:val="en-US" w:eastAsia="zh-CN"/>
              </w:rPr>
            </w:pPr>
            <w:r>
              <w:rPr>
                <w:rFonts w:hint="eastAsia" w:ascii="Times New Roman" w:hAnsi="Times New Roman" w:cs="Times New Roman"/>
                <w:sz w:val="21"/>
                <w:szCs w:val="21"/>
                <w:lang w:val="en-US" w:eastAsia="zh-CN"/>
              </w:rPr>
              <w:t>1.70E-04</w:t>
            </w:r>
          </w:p>
        </w:tc>
        <w:tc>
          <w:tcPr>
            <w:tcW w:w="795" w:type="pct"/>
            <w:tcBorders>
              <w:tl2br w:val="nil"/>
              <w:tr2bl w:val="nil"/>
            </w:tcBorders>
            <w:shd w:val="clear" w:color="auto" w:fill="auto"/>
            <w:vAlign w:val="center"/>
          </w:tcPr>
          <w:p w14:paraId="235B6AF0">
            <w:pPr>
              <w:spacing w:line="300" w:lineRule="exact"/>
              <w:jc w:val="center"/>
              <w:rPr>
                <w:rFonts w:hint="default" w:ascii="Times New Roman" w:hAnsi="Times New Roman" w:cs="Times New Roman"/>
                <w:sz w:val="21"/>
                <w:szCs w:val="21"/>
                <w:lang w:val="en-US" w:eastAsia="zh-CN"/>
              </w:rPr>
            </w:pPr>
            <w:r>
              <w:rPr>
                <w:rFonts w:hint="eastAsia" w:ascii="Times New Roman" w:hAnsi="Times New Roman" w:cs="Times New Roman"/>
                <w:sz w:val="21"/>
                <w:szCs w:val="21"/>
                <w:lang w:val="en-US" w:eastAsia="zh-CN"/>
              </w:rPr>
              <w:t>3.6E-9</w:t>
            </w:r>
          </w:p>
        </w:tc>
        <w:tc>
          <w:tcPr>
            <w:tcW w:w="683" w:type="pct"/>
            <w:tcBorders>
              <w:tl2br w:val="nil"/>
              <w:tr2bl w:val="nil"/>
            </w:tcBorders>
            <w:shd w:val="clear" w:color="auto" w:fill="auto"/>
            <w:vAlign w:val="center"/>
          </w:tcPr>
          <w:p w14:paraId="260FDA10">
            <w:pPr>
              <w:spacing w:line="300" w:lineRule="exact"/>
              <w:jc w:val="center"/>
              <w:rPr>
                <w:rFonts w:hint="default" w:ascii="Times New Roman" w:hAnsi="Times New Roman" w:cs="Times New Roman"/>
                <w:sz w:val="21"/>
                <w:szCs w:val="21"/>
                <w:lang w:val="en-US" w:eastAsia="zh-CN"/>
              </w:rPr>
            </w:pPr>
            <w:r>
              <w:rPr>
                <w:rFonts w:hint="eastAsia" w:ascii="Times New Roman" w:hAnsi="Times New Roman" w:cs="Times New Roman"/>
                <w:sz w:val="21"/>
                <w:szCs w:val="21"/>
                <w:lang w:val="en-US" w:eastAsia="zh-CN"/>
              </w:rPr>
              <w:t>4.73%</w:t>
            </w:r>
          </w:p>
        </w:tc>
        <w:tc>
          <w:tcPr>
            <w:tcW w:w="703" w:type="pct"/>
            <w:tcBorders>
              <w:tl2br w:val="nil"/>
              <w:tr2bl w:val="nil"/>
            </w:tcBorders>
            <w:shd w:val="clear" w:color="auto" w:fill="auto"/>
            <w:vAlign w:val="center"/>
          </w:tcPr>
          <w:p w14:paraId="50F16E2A">
            <w:pPr>
              <w:spacing w:line="300" w:lineRule="exact"/>
              <w:jc w:val="center"/>
              <w:rPr>
                <w:rFonts w:hint="eastAsia" w:ascii="Times New Roman" w:hAnsi="Times New Roman" w:cs="Times New Roman"/>
                <w:sz w:val="21"/>
                <w:szCs w:val="21"/>
                <w:lang w:val="en-US" w:eastAsia="zh-CN"/>
              </w:rPr>
            </w:pPr>
            <w:r>
              <w:rPr>
                <w:rFonts w:hint="eastAsia" w:ascii="Times New Roman" w:hAnsi="Times New Roman" w:cs="Times New Roman"/>
                <w:sz w:val="21"/>
                <w:szCs w:val="21"/>
                <w:lang w:val="en-US" w:eastAsia="zh-CN"/>
              </w:rPr>
              <w:t>/</w:t>
            </w:r>
          </w:p>
        </w:tc>
        <w:tc>
          <w:tcPr>
            <w:tcW w:w="733" w:type="pct"/>
            <w:vMerge w:val="continue"/>
            <w:tcBorders>
              <w:tl2br w:val="nil"/>
              <w:tr2bl w:val="nil"/>
            </w:tcBorders>
            <w:shd w:val="clear" w:color="auto" w:fill="auto"/>
            <w:noWrap/>
            <w:vAlign w:val="center"/>
          </w:tcPr>
          <w:p w14:paraId="3DA4BCBF">
            <w:pPr>
              <w:spacing w:line="300" w:lineRule="exact"/>
              <w:jc w:val="center"/>
              <w:rPr>
                <w:rFonts w:hint="default" w:ascii="Times New Roman" w:hAnsi="Times New Roman" w:cs="Times New Roman"/>
                <w:sz w:val="21"/>
                <w:szCs w:val="21"/>
              </w:rPr>
            </w:pPr>
          </w:p>
        </w:tc>
      </w:tr>
      <w:tr w14:paraId="54CA4947">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40" w:hRule="atLeast"/>
        </w:trPr>
        <w:tc>
          <w:tcPr>
            <w:tcW w:w="657" w:type="pct"/>
            <w:tcBorders>
              <w:tl2br w:val="nil"/>
              <w:tr2bl w:val="nil"/>
            </w:tcBorders>
            <w:shd w:val="clear" w:color="auto" w:fill="auto"/>
            <w:vAlign w:val="center"/>
          </w:tcPr>
          <w:p w14:paraId="783C07A1">
            <w:pPr>
              <w:spacing w:line="300" w:lineRule="exact"/>
              <w:jc w:val="center"/>
              <w:rPr>
                <w:rFonts w:hint="default" w:ascii="Times New Roman" w:hAnsi="Times New Roman" w:cs="Times New Roman"/>
                <w:sz w:val="21"/>
                <w:szCs w:val="21"/>
                <w:lang w:val="en-US" w:eastAsia="zh-CN"/>
              </w:rPr>
            </w:pPr>
            <w:r>
              <w:rPr>
                <w:rFonts w:hint="eastAsia" w:ascii="Times New Roman" w:hAnsi="Times New Roman" w:cs="Times New Roman"/>
                <w:sz w:val="21"/>
                <w:szCs w:val="21"/>
                <w:lang w:val="en-US" w:eastAsia="zh-CN"/>
              </w:rPr>
              <w:t>DA004</w:t>
            </w:r>
          </w:p>
        </w:tc>
        <w:tc>
          <w:tcPr>
            <w:tcW w:w="693" w:type="pct"/>
            <w:tcBorders>
              <w:tl2br w:val="nil"/>
              <w:tr2bl w:val="nil"/>
            </w:tcBorders>
            <w:shd w:val="clear" w:color="auto" w:fill="auto"/>
            <w:vAlign w:val="center"/>
          </w:tcPr>
          <w:p w14:paraId="72BF99E5">
            <w:pPr>
              <w:spacing w:line="300" w:lineRule="exact"/>
              <w:jc w:val="center"/>
              <w:rPr>
                <w:rFonts w:hint="default" w:ascii="Times New Roman" w:hAnsi="Times New Roman" w:cs="Times New Roman"/>
                <w:sz w:val="21"/>
                <w:szCs w:val="21"/>
                <w:lang w:val="en-US" w:eastAsia="zh-CN"/>
              </w:rPr>
            </w:pPr>
            <w:r>
              <w:rPr>
                <w:rFonts w:hint="eastAsia" w:ascii="Times New Roman" w:hAnsi="Times New Roman" w:cs="Times New Roman"/>
                <w:sz w:val="21"/>
                <w:szCs w:val="21"/>
                <w:lang w:val="en-US" w:eastAsia="zh-CN"/>
              </w:rPr>
              <w:t>颗粒物</w:t>
            </w:r>
          </w:p>
        </w:tc>
        <w:tc>
          <w:tcPr>
            <w:tcW w:w="734" w:type="pct"/>
            <w:tcBorders>
              <w:tl2br w:val="nil"/>
              <w:tr2bl w:val="nil"/>
            </w:tcBorders>
            <w:shd w:val="clear" w:color="auto" w:fill="auto"/>
            <w:vAlign w:val="center"/>
          </w:tcPr>
          <w:p w14:paraId="6EE46FC0">
            <w:pPr>
              <w:spacing w:line="300" w:lineRule="exact"/>
              <w:jc w:val="center"/>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2.04E-01</w:t>
            </w:r>
          </w:p>
        </w:tc>
        <w:tc>
          <w:tcPr>
            <w:tcW w:w="795" w:type="pct"/>
            <w:tcBorders>
              <w:tl2br w:val="nil"/>
              <w:tr2bl w:val="nil"/>
            </w:tcBorders>
            <w:shd w:val="clear" w:color="auto" w:fill="auto"/>
            <w:vAlign w:val="center"/>
          </w:tcPr>
          <w:p w14:paraId="49A6C736">
            <w:pPr>
              <w:spacing w:line="300" w:lineRule="exact"/>
              <w:jc w:val="center"/>
              <w:rPr>
                <w:rFonts w:hint="default" w:ascii="Times New Roman" w:hAnsi="Times New Roman" w:cs="Times New Roman"/>
                <w:sz w:val="21"/>
                <w:szCs w:val="21"/>
                <w:lang w:val="en-US" w:eastAsia="zh-CN"/>
              </w:rPr>
            </w:pPr>
            <w:r>
              <w:rPr>
                <w:rFonts w:hint="eastAsia" w:ascii="Times New Roman" w:hAnsi="Times New Roman" w:cs="Times New Roman"/>
                <w:sz w:val="21"/>
                <w:szCs w:val="21"/>
                <w:lang w:val="en-US" w:eastAsia="zh-CN"/>
              </w:rPr>
              <w:t>0.9</w:t>
            </w:r>
          </w:p>
        </w:tc>
        <w:tc>
          <w:tcPr>
            <w:tcW w:w="683" w:type="pct"/>
            <w:tcBorders>
              <w:tl2br w:val="nil"/>
              <w:tr2bl w:val="nil"/>
            </w:tcBorders>
            <w:shd w:val="clear" w:color="auto" w:fill="auto"/>
            <w:vAlign w:val="center"/>
          </w:tcPr>
          <w:p w14:paraId="42795A93">
            <w:pPr>
              <w:spacing w:line="300" w:lineRule="exact"/>
              <w:jc w:val="center"/>
              <w:rPr>
                <w:rFonts w:hint="default" w:ascii="Times New Roman" w:hAnsi="Times New Roman" w:cs="Times New Roman"/>
                <w:sz w:val="21"/>
                <w:szCs w:val="21"/>
                <w:lang w:val="en-US" w:eastAsia="zh-CN"/>
              </w:rPr>
            </w:pPr>
            <w:r>
              <w:rPr>
                <w:rFonts w:hint="eastAsia" w:ascii="Times New Roman" w:hAnsi="Times New Roman" w:cs="Times New Roman"/>
                <w:sz w:val="21"/>
                <w:szCs w:val="21"/>
                <w:lang w:val="en-US" w:eastAsia="zh-CN"/>
              </w:rPr>
              <w:t>22.65%</w:t>
            </w:r>
          </w:p>
        </w:tc>
        <w:tc>
          <w:tcPr>
            <w:tcW w:w="703" w:type="pct"/>
            <w:tcBorders>
              <w:tl2br w:val="nil"/>
              <w:tr2bl w:val="nil"/>
            </w:tcBorders>
            <w:shd w:val="clear" w:color="auto" w:fill="auto"/>
            <w:vAlign w:val="center"/>
          </w:tcPr>
          <w:p w14:paraId="62D597FD">
            <w:pPr>
              <w:spacing w:line="300" w:lineRule="exact"/>
              <w:jc w:val="center"/>
              <w:rPr>
                <w:rFonts w:hint="default" w:ascii="Times New Roman" w:hAnsi="Times New Roman" w:cs="Times New Roman"/>
                <w:sz w:val="21"/>
                <w:szCs w:val="21"/>
                <w:lang w:val="en-US" w:eastAsia="zh-CN"/>
              </w:rPr>
            </w:pPr>
            <w:r>
              <w:rPr>
                <w:rFonts w:hint="eastAsia" w:ascii="Times New Roman" w:hAnsi="Times New Roman" w:cs="Times New Roman"/>
                <w:sz w:val="21"/>
                <w:szCs w:val="21"/>
                <w:lang w:val="en-US" w:eastAsia="zh-CN"/>
              </w:rPr>
              <w:t>525</w:t>
            </w:r>
          </w:p>
        </w:tc>
        <w:tc>
          <w:tcPr>
            <w:tcW w:w="733" w:type="pct"/>
            <w:tcBorders>
              <w:tl2br w:val="nil"/>
              <w:tr2bl w:val="nil"/>
            </w:tcBorders>
            <w:shd w:val="clear" w:color="auto" w:fill="auto"/>
            <w:noWrap/>
            <w:vAlign w:val="center"/>
          </w:tcPr>
          <w:p w14:paraId="55A370FF">
            <w:pPr>
              <w:spacing w:line="300" w:lineRule="exact"/>
              <w:jc w:val="center"/>
              <w:rPr>
                <w:rFonts w:hint="default" w:ascii="Times New Roman" w:hAnsi="Times New Roman" w:cs="Times New Roman"/>
                <w:sz w:val="21"/>
                <w:szCs w:val="21"/>
                <w:lang w:val="en-US" w:eastAsia="zh-CN"/>
              </w:rPr>
            </w:pPr>
            <w:r>
              <w:rPr>
                <w:rFonts w:hint="eastAsia" w:ascii="Times New Roman" w:hAnsi="Times New Roman" w:cs="Times New Roman"/>
                <w:sz w:val="21"/>
                <w:szCs w:val="21"/>
                <w:lang w:val="en-US" w:eastAsia="zh-CN"/>
              </w:rPr>
              <w:t>271</w:t>
            </w:r>
          </w:p>
        </w:tc>
      </w:tr>
      <w:tr w14:paraId="0EF01C1C">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40" w:hRule="atLeast"/>
        </w:trPr>
        <w:tc>
          <w:tcPr>
            <w:tcW w:w="657" w:type="pct"/>
            <w:tcBorders>
              <w:tl2br w:val="nil"/>
              <w:tr2bl w:val="nil"/>
            </w:tcBorders>
            <w:shd w:val="clear" w:color="auto" w:fill="auto"/>
            <w:vAlign w:val="center"/>
          </w:tcPr>
          <w:p w14:paraId="015EA7BE">
            <w:pPr>
              <w:spacing w:line="300" w:lineRule="exact"/>
              <w:jc w:val="center"/>
              <w:rPr>
                <w:rFonts w:hint="eastAsia" w:ascii="Times New Roman" w:hAnsi="Times New Roman" w:cs="Times New Roman"/>
                <w:sz w:val="21"/>
                <w:szCs w:val="21"/>
                <w:lang w:val="en-US" w:eastAsia="zh-CN"/>
              </w:rPr>
            </w:pPr>
            <w:r>
              <w:rPr>
                <w:rFonts w:hint="eastAsia" w:ascii="Times New Roman" w:hAnsi="Times New Roman" w:cs="Times New Roman"/>
                <w:sz w:val="21"/>
                <w:szCs w:val="21"/>
                <w:lang w:val="en-US" w:eastAsia="zh-CN"/>
              </w:rPr>
              <w:t>DA005</w:t>
            </w:r>
          </w:p>
        </w:tc>
        <w:tc>
          <w:tcPr>
            <w:tcW w:w="693" w:type="pct"/>
            <w:tcBorders>
              <w:tl2br w:val="nil"/>
              <w:tr2bl w:val="nil"/>
            </w:tcBorders>
            <w:shd w:val="clear" w:color="auto" w:fill="auto"/>
            <w:vAlign w:val="center"/>
          </w:tcPr>
          <w:p w14:paraId="302D3031">
            <w:pPr>
              <w:spacing w:line="300" w:lineRule="exact"/>
              <w:jc w:val="center"/>
              <w:rPr>
                <w:rFonts w:hint="default" w:ascii="Times New Roman" w:hAnsi="Times New Roman" w:cs="Times New Roman"/>
                <w:sz w:val="21"/>
                <w:szCs w:val="21"/>
                <w:lang w:val="en-US" w:eastAsia="zh-CN"/>
              </w:rPr>
            </w:pPr>
            <w:r>
              <w:rPr>
                <w:rFonts w:hint="eastAsia" w:ascii="Times New Roman" w:hAnsi="Times New Roman" w:cs="Times New Roman"/>
                <w:sz w:val="21"/>
                <w:szCs w:val="21"/>
                <w:lang w:val="en-US" w:eastAsia="zh-CN"/>
              </w:rPr>
              <w:t>颗粒物</w:t>
            </w:r>
          </w:p>
        </w:tc>
        <w:tc>
          <w:tcPr>
            <w:tcW w:w="734" w:type="pct"/>
            <w:tcBorders>
              <w:tl2br w:val="nil"/>
              <w:tr2bl w:val="nil"/>
            </w:tcBorders>
            <w:shd w:val="clear" w:color="auto" w:fill="auto"/>
            <w:vAlign w:val="center"/>
          </w:tcPr>
          <w:p w14:paraId="69E924B6">
            <w:pPr>
              <w:spacing w:line="300" w:lineRule="exact"/>
              <w:jc w:val="center"/>
              <w:rPr>
                <w:rFonts w:hint="default" w:ascii="Times New Roman" w:hAnsi="Times New Roman" w:cs="Times New Roman"/>
                <w:sz w:val="21"/>
                <w:szCs w:val="21"/>
                <w:lang w:val="en-US" w:eastAsia="zh-CN"/>
              </w:rPr>
            </w:pPr>
            <w:r>
              <w:rPr>
                <w:rFonts w:hint="eastAsia" w:ascii="Times New Roman" w:hAnsi="Times New Roman" w:cs="Times New Roman"/>
                <w:sz w:val="21"/>
                <w:szCs w:val="21"/>
                <w:lang w:val="en-US" w:eastAsia="zh-CN"/>
              </w:rPr>
              <w:t>7.18</w:t>
            </w:r>
            <w:r>
              <w:rPr>
                <w:rFonts w:hint="default" w:ascii="Times New Roman" w:hAnsi="Times New Roman" w:cs="Times New Roman"/>
                <w:sz w:val="21"/>
                <w:szCs w:val="21"/>
                <w:lang w:val="en-US" w:eastAsia="zh-CN"/>
              </w:rPr>
              <w:t>E-01</w:t>
            </w:r>
          </w:p>
        </w:tc>
        <w:tc>
          <w:tcPr>
            <w:tcW w:w="795" w:type="pct"/>
            <w:tcBorders>
              <w:tl2br w:val="nil"/>
              <w:tr2bl w:val="nil"/>
            </w:tcBorders>
            <w:shd w:val="clear" w:color="auto" w:fill="auto"/>
            <w:vAlign w:val="center"/>
          </w:tcPr>
          <w:p w14:paraId="41621974">
            <w:pPr>
              <w:spacing w:line="300" w:lineRule="exact"/>
              <w:jc w:val="center"/>
              <w:rPr>
                <w:rFonts w:hint="eastAsia" w:ascii="Times New Roman" w:hAnsi="Times New Roman" w:cs="Times New Roman"/>
                <w:sz w:val="21"/>
                <w:szCs w:val="21"/>
                <w:lang w:val="en-US" w:eastAsia="zh-CN"/>
              </w:rPr>
            </w:pPr>
            <w:r>
              <w:rPr>
                <w:rFonts w:hint="eastAsia" w:ascii="Times New Roman" w:hAnsi="Times New Roman" w:cs="Times New Roman"/>
                <w:sz w:val="21"/>
                <w:szCs w:val="21"/>
                <w:lang w:val="en-US" w:eastAsia="zh-CN"/>
              </w:rPr>
              <w:t>0.9</w:t>
            </w:r>
          </w:p>
        </w:tc>
        <w:tc>
          <w:tcPr>
            <w:tcW w:w="683" w:type="pct"/>
            <w:tcBorders>
              <w:tl2br w:val="nil"/>
              <w:tr2bl w:val="nil"/>
            </w:tcBorders>
            <w:shd w:val="clear" w:color="auto" w:fill="auto"/>
            <w:vAlign w:val="center"/>
          </w:tcPr>
          <w:p w14:paraId="2D5BF5A9">
            <w:pPr>
              <w:spacing w:line="300" w:lineRule="exact"/>
              <w:jc w:val="center"/>
              <w:rPr>
                <w:rFonts w:hint="default" w:ascii="Times New Roman" w:hAnsi="Times New Roman" w:cs="Times New Roman"/>
                <w:sz w:val="21"/>
                <w:szCs w:val="21"/>
                <w:lang w:val="en-US" w:eastAsia="zh-CN"/>
              </w:rPr>
            </w:pPr>
            <w:r>
              <w:rPr>
                <w:rFonts w:hint="eastAsia" w:ascii="Times New Roman" w:hAnsi="Times New Roman" w:cs="Times New Roman"/>
                <w:sz w:val="21"/>
                <w:szCs w:val="21"/>
                <w:lang w:val="en-US" w:eastAsia="zh-CN"/>
              </w:rPr>
              <w:t>79.77%</w:t>
            </w:r>
          </w:p>
        </w:tc>
        <w:tc>
          <w:tcPr>
            <w:tcW w:w="703" w:type="pct"/>
            <w:tcBorders>
              <w:tl2br w:val="nil"/>
              <w:tr2bl w:val="nil"/>
            </w:tcBorders>
            <w:shd w:val="clear" w:color="auto" w:fill="auto"/>
            <w:vAlign w:val="center"/>
          </w:tcPr>
          <w:p w14:paraId="30737BCD">
            <w:pPr>
              <w:spacing w:line="300" w:lineRule="exact"/>
              <w:jc w:val="center"/>
              <w:rPr>
                <w:rFonts w:hint="default" w:ascii="Times New Roman" w:hAnsi="Times New Roman" w:cs="Times New Roman"/>
                <w:sz w:val="21"/>
                <w:szCs w:val="21"/>
                <w:lang w:val="en-US" w:eastAsia="zh-CN"/>
              </w:rPr>
            </w:pPr>
            <w:r>
              <w:rPr>
                <w:rFonts w:hint="eastAsia" w:ascii="Times New Roman" w:hAnsi="Times New Roman" w:cs="Times New Roman"/>
                <w:sz w:val="21"/>
                <w:szCs w:val="21"/>
                <w:lang w:val="en-US" w:eastAsia="zh-CN"/>
              </w:rPr>
              <w:t>1025</w:t>
            </w:r>
          </w:p>
        </w:tc>
        <w:tc>
          <w:tcPr>
            <w:tcW w:w="733" w:type="pct"/>
            <w:tcBorders>
              <w:tl2br w:val="nil"/>
              <w:tr2bl w:val="nil"/>
            </w:tcBorders>
            <w:shd w:val="clear" w:color="auto" w:fill="auto"/>
            <w:noWrap/>
            <w:vAlign w:val="center"/>
          </w:tcPr>
          <w:p w14:paraId="2F2D202E">
            <w:pPr>
              <w:spacing w:line="300" w:lineRule="exact"/>
              <w:jc w:val="center"/>
              <w:rPr>
                <w:rFonts w:hint="default" w:ascii="Times New Roman" w:hAnsi="Times New Roman" w:cs="Times New Roman"/>
                <w:sz w:val="21"/>
                <w:szCs w:val="21"/>
                <w:lang w:val="en-US" w:eastAsia="zh-CN"/>
              </w:rPr>
            </w:pPr>
            <w:r>
              <w:rPr>
                <w:rFonts w:hint="eastAsia" w:ascii="Times New Roman" w:hAnsi="Times New Roman" w:cs="Times New Roman"/>
                <w:sz w:val="21"/>
                <w:szCs w:val="21"/>
                <w:lang w:val="en-US" w:eastAsia="zh-CN"/>
              </w:rPr>
              <w:t>199</w:t>
            </w:r>
          </w:p>
        </w:tc>
      </w:tr>
      <w:tr w14:paraId="2EE150FA">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657" w:type="pct"/>
            <w:vMerge w:val="restart"/>
            <w:tcBorders>
              <w:tl2br w:val="nil"/>
              <w:tr2bl w:val="nil"/>
            </w:tcBorders>
            <w:shd w:val="clear" w:color="auto" w:fill="auto"/>
            <w:vAlign w:val="center"/>
          </w:tcPr>
          <w:p w14:paraId="5ADF2241">
            <w:pPr>
              <w:spacing w:line="300" w:lineRule="exact"/>
              <w:jc w:val="center"/>
              <w:rPr>
                <w:rFonts w:hint="default" w:ascii="Times New Roman" w:hAnsi="Times New Roman" w:cs="Times New Roman"/>
                <w:sz w:val="21"/>
                <w:szCs w:val="21"/>
                <w:lang w:val="en-US" w:eastAsia="zh-CN"/>
              </w:rPr>
            </w:pPr>
            <w:r>
              <w:rPr>
                <w:rFonts w:hint="eastAsia" w:ascii="Times New Roman" w:hAnsi="Times New Roman" w:cs="Times New Roman"/>
                <w:sz w:val="21"/>
                <w:szCs w:val="21"/>
                <w:lang w:val="en-US" w:eastAsia="zh-CN"/>
              </w:rPr>
              <w:t>DA011</w:t>
            </w:r>
          </w:p>
        </w:tc>
        <w:tc>
          <w:tcPr>
            <w:tcW w:w="1181" w:type="dxa"/>
            <w:tcBorders>
              <w:tl2br w:val="nil"/>
              <w:tr2bl w:val="nil"/>
            </w:tcBorders>
            <w:shd w:val="clear" w:color="auto" w:fill="auto"/>
            <w:vAlign w:val="center"/>
          </w:tcPr>
          <w:p w14:paraId="6B91A7D3">
            <w:pPr>
              <w:spacing w:line="300" w:lineRule="exact"/>
              <w:jc w:val="center"/>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SO2</w:t>
            </w:r>
          </w:p>
        </w:tc>
        <w:tc>
          <w:tcPr>
            <w:tcW w:w="1251" w:type="dxa"/>
            <w:tcBorders>
              <w:tl2br w:val="nil"/>
              <w:tr2bl w:val="nil"/>
            </w:tcBorders>
            <w:shd w:val="clear" w:color="auto" w:fill="auto"/>
            <w:vAlign w:val="center"/>
          </w:tcPr>
          <w:p w14:paraId="5FA9825A">
            <w:pPr>
              <w:spacing w:line="300" w:lineRule="exact"/>
              <w:jc w:val="center"/>
              <w:rPr>
                <w:rFonts w:hint="default" w:ascii="Times New Roman" w:hAnsi="Times New Roman" w:cs="Times New Roman"/>
                <w:sz w:val="21"/>
                <w:szCs w:val="21"/>
                <w:lang w:val="en-US" w:eastAsia="zh-CN"/>
              </w:rPr>
            </w:pPr>
            <w:r>
              <w:rPr>
                <w:rFonts w:hint="eastAsia" w:ascii="Times New Roman" w:hAnsi="Times New Roman" w:cs="Times New Roman"/>
                <w:sz w:val="21"/>
                <w:szCs w:val="21"/>
                <w:lang w:val="en-US" w:eastAsia="zh-CN"/>
              </w:rPr>
              <w:t>3.69E-02</w:t>
            </w:r>
          </w:p>
        </w:tc>
        <w:tc>
          <w:tcPr>
            <w:tcW w:w="1355" w:type="dxa"/>
            <w:tcBorders>
              <w:tl2br w:val="nil"/>
              <w:tr2bl w:val="nil"/>
            </w:tcBorders>
            <w:shd w:val="clear" w:color="auto" w:fill="auto"/>
            <w:vAlign w:val="center"/>
          </w:tcPr>
          <w:p w14:paraId="3C6A348C">
            <w:pPr>
              <w:spacing w:line="300" w:lineRule="exact"/>
              <w:jc w:val="center"/>
              <w:rPr>
                <w:rFonts w:hint="eastAsia" w:ascii="Times New Roman" w:hAnsi="Times New Roman" w:cs="Times New Roman"/>
                <w:sz w:val="21"/>
                <w:szCs w:val="21"/>
                <w:lang w:val="en-US" w:eastAsia="zh-CN"/>
              </w:rPr>
            </w:pPr>
            <w:r>
              <w:rPr>
                <w:rFonts w:hint="default" w:ascii="Times New Roman" w:hAnsi="Times New Roman" w:cs="Times New Roman"/>
                <w:sz w:val="21"/>
                <w:szCs w:val="21"/>
                <w:lang w:val="en-US" w:eastAsia="zh-CN"/>
              </w:rPr>
              <w:t>0.5</w:t>
            </w:r>
          </w:p>
        </w:tc>
        <w:tc>
          <w:tcPr>
            <w:tcW w:w="683" w:type="pct"/>
            <w:tcBorders>
              <w:tl2br w:val="nil"/>
              <w:tr2bl w:val="nil"/>
            </w:tcBorders>
            <w:shd w:val="clear" w:color="auto" w:fill="auto"/>
            <w:vAlign w:val="center"/>
          </w:tcPr>
          <w:p w14:paraId="64E2568B">
            <w:pPr>
              <w:spacing w:line="300" w:lineRule="exact"/>
              <w:jc w:val="center"/>
              <w:rPr>
                <w:rFonts w:hint="default" w:ascii="Times New Roman" w:hAnsi="Times New Roman" w:cs="Times New Roman"/>
                <w:sz w:val="21"/>
                <w:szCs w:val="21"/>
                <w:lang w:val="en-US" w:eastAsia="zh-CN"/>
              </w:rPr>
            </w:pPr>
            <w:r>
              <w:rPr>
                <w:rFonts w:hint="eastAsia" w:ascii="Times New Roman" w:hAnsi="Times New Roman" w:cs="Times New Roman"/>
                <w:sz w:val="21"/>
                <w:szCs w:val="21"/>
                <w:lang w:val="en-US" w:eastAsia="zh-CN"/>
              </w:rPr>
              <w:t>7.38%</w:t>
            </w:r>
          </w:p>
        </w:tc>
        <w:tc>
          <w:tcPr>
            <w:tcW w:w="703" w:type="pct"/>
            <w:tcBorders>
              <w:tl2br w:val="nil"/>
              <w:tr2bl w:val="nil"/>
            </w:tcBorders>
            <w:shd w:val="clear" w:color="auto" w:fill="auto"/>
            <w:vAlign w:val="center"/>
          </w:tcPr>
          <w:p w14:paraId="715B878B">
            <w:pPr>
              <w:spacing w:line="300" w:lineRule="exact"/>
              <w:jc w:val="center"/>
              <w:rPr>
                <w:rFonts w:hint="default" w:ascii="Times New Roman" w:hAnsi="Times New Roman" w:cs="Times New Roman"/>
                <w:sz w:val="21"/>
                <w:szCs w:val="21"/>
                <w:lang w:val="en-US" w:eastAsia="zh-CN"/>
              </w:rPr>
            </w:pPr>
            <w:r>
              <w:rPr>
                <w:rFonts w:hint="eastAsia" w:ascii="Times New Roman" w:hAnsi="Times New Roman" w:cs="Times New Roman"/>
                <w:sz w:val="21"/>
                <w:szCs w:val="21"/>
                <w:lang w:val="en-US" w:eastAsia="zh-CN"/>
              </w:rPr>
              <w:t>/</w:t>
            </w:r>
          </w:p>
        </w:tc>
        <w:tc>
          <w:tcPr>
            <w:tcW w:w="733" w:type="pct"/>
            <w:vMerge w:val="restart"/>
            <w:tcBorders>
              <w:tl2br w:val="nil"/>
              <w:tr2bl w:val="nil"/>
            </w:tcBorders>
            <w:shd w:val="clear" w:color="auto" w:fill="auto"/>
            <w:noWrap/>
            <w:vAlign w:val="center"/>
          </w:tcPr>
          <w:p w14:paraId="58728AEF">
            <w:pPr>
              <w:spacing w:line="300" w:lineRule="exact"/>
              <w:jc w:val="center"/>
              <w:rPr>
                <w:rFonts w:hint="default" w:ascii="Times New Roman" w:hAnsi="Times New Roman" w:cs="Times New Roman"/>
                <w:sz w:val="21"/>
                <w:szCs w:val="21"/>
                <w:lang w:val="en-US" w:eastAsia="zh-CN"/>
              </w:rPr>
            </w:pPr>
            <w:r>
              <w:rPr>
                <w:rFonts w:hint="eastAsia" w:ascii="Times New Roman" w:hAnsi="Times New Roman" w:cs="Times New Roman"/>
                <w:sz w:val="21"/>
                <w:szCs w:val="21"/>
                <w:lang w:val="en-US" w:eastAsia="zh-CN"/>
              </w:rPr>
              <w:t>717</w:t>
            </w:r>
          </w:p>
        </w:tc>
      </w:tr>
      <w:tr w14:paraId="3E3AC4B5">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657" w:type="pct"/>
            <w:vMerge w:val="continue"/>
            <w:tcBorders>
              <w:tl2br w:val="nil"/>
              <w:tr2bl w:val="nil"/>
            </w:tcBorders>
            <w:shd w:val="clear" w:color="auto" w:fill="auto"/>
            <w:vAlign w:val="center"/>
          </w:tcPr>
          <w:p w14:paraId="5CCD51F2">
            <w:pPr>
              <w:spacing w:line="300" w:lineRule="exact"/>
              <w:jc w:val="center"/>
              <w:rPr>
                <w:rFonts w:hint="eastAsia" w:ascii="Times New Roman" w:hAnsi="Times New Roman" w:cs="Times New Roman"/>
                <w:sz w:val="21"/>
                <w:szCs w:val="21"/>
                <w:lang w:val="en-US" w:eastAsia="zh-CN"/>
              </w:rPr>
            </w:pPr>
          </w:p>
        </w:tc>
        <w:tc>
          <w:tcPr>
            <w:tcW w:w="1181" w:type="dxa"/>
            <w:tcBorders>
              <w:tl2br w:val="nil"/>
              <w:tr2bl w:val="nil"/>
            </w:tcBorders>
            <w:shd w:val="clear" w:color="auto" w:fill="auto"/>
            <w:vAlign w:val="center"/>
          </w:tcPr>
          <w:p w14:paraId="122689AA">
            <w:pPr>
              <w:spacing w:line="300" w:lineRule="exact"/>
              <w:jc w:val="center"/>
              <w:rPr>
                <w:rFonts w:hint="default" w:ascii="Times New Roman" w:hAnsi="Times New Roman" w:cs="Times New Roman"/>
                <w:sz w:val="21"/>
                <w:szCs w:val="21"/>
                <w:lang w:val="en-US" w:eastAsia="zh-CN"/>
              </w:rPr>
            </w:pPr>
            <w:r>
              <w:rPr>
                <w:rFonts w:hint="eastAsia" w:ascii="Times New Roman" w:hAnsi="Times New Roman" w:cs="Times New Roman"/>
                <w:sz w:val="21"/>
                <w:szCs w:val="21"/>
                <w:lang w:val="en-US" w:eastAsia="zh-CN"/>
              </w:rPr>
              <w:t>颗粒物</w:t>
            </w:r>
          </w:p>
        </w:tc>
        <w:tc>
          <w:tcPr>
            <w:tcW w:w="1251" w:type="dxa"/>
            <w:tcBorders>
              <w:tl2br w:val="nil"/>
              <w:tr2bl w:val="nil"/>
            </w:tcBorders>
            <w:shd w:val="clear" w:color="auto" w:fill="auto"/>
            <w:vAlign w:val="center"/>
          </w:tcPr>
          <w:p w14:paraId="45093340">
            <w:pPr>
              <w:spacing w:line="300" w:lineRule="exact"/>
              <w:jc w:val="center"/>
              <w:rPr>
                <w:rFonts w:hint="default" w:ascii="Times New Roman" w:hAnsi="Times New Roman" w:cs="Times New Roman"/>
                <w:sz w:val="21"/>
                <w:szCs w:val="21"/>
                <w:lang w:val="en-US" w:eastAsia="zh-CN"/>
              </w:rPr>
            </w:pPr>
            <w:r>
              <w:rPr>
                <w:rFonts w:hint="eastAsia" w:ascii="Times New Roman" w:hAnsi="Times New Roman" w:cs="Times New Roman"/>
                <w:sz w:val="21"/>
                <w:szCs w:val="21"/>
                <w:lang w:val="en-US" w:eastAsia="zh-CN"/>
              </w:rPr>
              <w:t>3.41E-02</w:t>
            </w:r>
          </w:p>
        </w:tc>
        <w:tc>
          <w:tcPr>
            <w:tcW w:w="1355" w:type="dxa"/>
            <w:tcBorders>
              <w:tl2br w:val="nil"/>
              <w:tr2bl w:val="nil"/>
            </w:tcBorders>
            <w:shd w:val="clear" w:color="auto" w:fill="auto"/>
            <w:vAlign w:val="center"/>
          </w:tcPr>
          <w:p w14:paraId="2E477611">
            <w:pPr>
              <w:spacing w:line="300" w:lineRule="exact"/>
              <w:jc w:val="center"/>
              <w:rPr>
                <w:rFonts w:hint="eastAsia" w:ascii="Times New Roman" w:hAnsi="Times New Roman" w:cs="Times New Roman"/>
                <w:sz w:val="21"/>
                <w:szCs w:val="21"/>
                <w:lang w:val="en-US" w:eastAsia="zh-CN"/>
              </w:rPr>
            </w:pPr>
            <w:r>
              <w:rPr>
                <w:rFonts w:hint="eastAsia" w:ascii="Times New Roman" w:hAnsi="Times New Roman" w:cs="Times New Roman"/>
                <w:sz w:val="21"/>
                <w:szCs w:val="21"/>
                <w:lang w:val="en-US" w:eastAsia="zh-CN"/>
              </w:rPr>
              <w:t>0.9</w:t>
            </w:r>
          </w:p>
        </w:tc>
        <w:tc>
          <w:tcPr>
            <w:tcW w:w="683" w:type="pct"/>
            <w:tcBorders>
              <w:tl2br w:val="nil"/>
              <w:tr2bl w:val="nil"/>
            </w:tcBorders>
            <w:shd w:val="clear" w:color="auto" w:fill="auto"/>
            <w:vAlign w:val="center"/>
          </w:tcPr>
          <w:p w14:paraId="5FF45F7A">
            <w:pPr>
              <w:spacing w:line="300" w:lineRule="exact"/>
              <w:jc w:val="center"/>
              <w:rPr>
                <w:rFonts w:hint="default" w:ascii="Times New Roman" w:hAnsi="Times New Roman" w:cs="Times New Roman"/>
                <w:sz w:val="21"/>
                <w:szCs w:val="21"/>
                <w:lang w:val="en-US" w:eastAsia="zh-CN"/>
              </w:rPr>
            </w:pPr>
            <w:r>
              <w:rPr>
                <w:rFonts w:hint="eastAsia" w:ascii="Times New Roman" w:hAnsi="Times New Roman" w:cs="Times New Roman"/>
                <w:sz w:val="21"/>
                <w:szCs w:val="21"/>
                <w:lang w:val="en-US" w:eastAsia="zh-CN"/>
              </w:rPr>
              <w:t>3.79%</w:t>
            </w:r>
          </w:p>
        </w:tc>
        <w:tc>
          <w:tcPr>
            <w:tcW w:w="703" w:type="pct"/>
            <w:tcBorders>
              <w:tl2br w:val="nil"/>
              <w:tr2bl w:val="nil"/>
            </w:tcBorders>
            <w:shd w:val="clear" w:color="auto" w:fill="auto"/>
            <w:vAlign w:val="center"/>
          </w:tcPr>
          <w:p w14:paraId="59E63158">
            <w:pPr>
              <w:spacing w:line="300" w:lineRule="exact"/>
              <w:jc w:val="center"/>
              <w:rPr>
                <w:rFonts w:hint="default" w:ascii="Times New Roman" w:hAnsi="Times New Roman" w:cs="Times New Roman"/>
                <w:sz w:val="21"/>
                <w:szCs w:val="21"/>
                <w:lang w:val="en-US" w:eastAsia="zh-CN"/>
              </w:rPr>
            </w:pPr>
            <w:r>
              <w:rPr>
                <w:rFonts w:hint="eastAsia" w:ascii="Times New Roman" w:hAnsi="Times New Roman" w:cs="Times New Roman"/>
                <w:sz w:val="21"/>
                <w:szCs w:val="21"/>
                <w:lang w:val="en-US" w:eastAsia="zh-CN"/>
              </w:rPr>
              <w:t>/</w:t>
            </w:r>
          </w:p>
        </w:tc>
        <w:tc>
          <w:tcPr>
            <w:tcW w:w="733" w:type="pct"/>
            <w:vMerge w:val="continue"/>
            <w:tcBorders>
              <w:tl2br w:val="nil"/>
              <w:tr2bl w:val="nil"/>
            </w:tcBorders>
            <w:shd w:val="clear" w:color="auto" w:fill="auto"/>
            <w:noWrap/>
            <w:vAlign w:val="center"/>
          </w:tcPr>
          <w:p w14:paraId="49FDC50D">
            <w:pPr>
              <w:spacing w:line="300" w:lineRule="exact"/>
              <w:jc w:val="center"/>
              <w:rPr>
                <w:rFonts w:hint="default" w:ascii="Times New Roman" w:hAnsi="Times New Roman" w:cs="Times New Roman"/>
                <w:sz w:val="21"/>
                <w:szCs w:val="21"/>
                <w:lang w:val="en-US" w:eastAsia="zh-CN"/>
              </w:rPr>
            </w:pPr>
          </w:p>
        </w:tc>
      </w:tr>
      <w:tr w14:paraId="14692E0E">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40" w:hRule="atLeast"/>
        </w:trPr>
        <w:tc>
          <w:tcPr>
            <w:tcW w:w="657" w:type="pct"/>
            <w:vMerge w:val="continue"/>
            <w:tcBorders>
              <w:tl2br w:val="nil"/>
              <w:tr2bl w:val="nil"/>
            </w:tcBorders>
            <w:shd w:val="clear" w:color="auto" w:fill="auto"/>
            <w:vAlign w:val="center"/>
          </w:tcPr>
          <w:p w14:paraId="4416FADD">
            <w:pPr>
              <w:spacing w:line="300" w:lineRule="exact"/>
              <w:jc w:val="center"/>
              <w:rPr>
                <w:rFonts w:hint="eastAsia" w:ascii="Times New Roman" w:hAnsi="Times New Roman" w:cs="Times New Roman"/>
                <w:sz w:val="21"/>
                <w:szCs w:val="21"/>
                <w:lang w:val="en-US" w:eastAsia="zh-CN"/>
              </w:rPr>
            </w:pPr>
          </w:p>
        </w:tc>
        <w:tc>
          <w:tcPr>
            <w:tcW w:w="1181" w:type="dxa"/>
            <w:tcBorders>
              <w:tl2br w:val="nil"/>
              <w:tr2bl w:val="nil"/>
            </w:tcBorders>
            <w:shd w:val="clear" w:color="auto" w:fill="auto"/>
            <w:vAlign w:val="center"/>
          </w:tcPr>
          <w:p w14:paraId="3B68B73C">
            <w:pPr>
              <w:spacing w:line="300" w:lineRule="exact"/>
              <w:jc w:val="center"/>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氟化物</w:t>
            </w:r>
          </w:p>
        </w:tc>
        <w:tc>
          <w:tcPr>
            <w:tcW w:w="1251" w:type="dxa"/>
            <w:tcBorders>
              <w:tl2br w:val="nil"/>
              <w:tr2bl w:val="nil"/>
            </w:tcBorders>
            <w:shd w:val="clear" w:color="auto" w:fill="auto"/>
            <w:vAlign w:val="center"/>
          </w:tcPr>
          <w:p w14:paraId="4E5E394A">
            <w:pPr>
              <w:spacing w:line="300" w:lineRule="exact"/>
              <w:jc w:val="center"/>
              <w:rPr>
                <w:rFonts w:hint="default" w:ascii="Times New Roman" w:hAnsi="Times New Roman" w:cs="Times New Roman"/>
                <w:sz w:val="21"/>
                <w:szCs w:val="21"/>
                <w:lang w:val="en-US" w:eastAsia="zh-CN"/>
              </w:rPr>
            </w:pPr>
            <w:r>
              <w:rPr>
                <w:rFonts w:hint="eastAsia" w:ascii="Times New Roman" w:hAnsi="Times New Roman" w:cs="Times New Roman"/>
                <w:sz w:val="21"/>
                <w:szCs w:val="21"/>
                <w:lang w:val="en-US" w:eastAsia="zh-CN"/>
              </w:rPr>
              <w:t>1.14E-04</w:t>
            </w:r>
          </w:p>
        </w:tc>
        <w:tc>
          <w:tcPr>
            <w:tcW w:w="1355" w:type="dxa"/>
            <w:tcBorders>
              <w:tl2br w:val="nil"/>
              <w:tr2bl w:val="nil"/>
            </w:tcBorders>
            <w:shd w:val="clear" w:color="auto" w:fill="auto"/>
            <w:vAlign w:val="center"/>
          </w:tcPr>
          <w:p w14:paraId="6D680149">
            <w:pPr>
              <w:spacing w:line="300" w:lineRule="exact"/>
              <w:jc w:val="center"/>
              <w:rPr>
                <w:rFonts w:hint="eastAsia" w:ascii="Times New Roman" w:hAnsi="Times New Roman" w:cs="Times New Roman"/>
                <w:sz w:val="21"/>
                <w:szCs w:val="21"/>
                <w:lang w:val="en-US" w:eastAsia="zh-CN"/>
              </w:rPr>
            </w:pPr>
            <w:r>
              <w:rPr>
                <w:rFonts w:hint="default" w:ascii="Times New Roman" w:hAnsi="Times New Roman" w:cs="Times New Roman"/>
                <w:sz w:val="21"/>
                <w:szCs w:val="21"/>
                <w:lang w:val="en-US" w:eastAsia="zh-CN"/>
              </w:rPr>
              <w:t>0.02</w:t>
            </w:r>
          </w:p>
        </w:tc>
        <w:tc>
          <w:tcPr>
            <w:tcW w:w="683" w:type="pct"/>
            <w:tcBorders>
              <w:tl2br w:val="nil"/>
              <w:tr2bl w:val="nil"/>
            </w:tcBorders>
            <w:shd w:val="clear" w:color="auto" w:fill="auto"/>
            <w:vAlign w:val="center"/>
          </w:tcPr>
          <w:p w14:paraId="61A92863">
            <w:pPr>
              <w:spacing w:line="300" w:lineRule="exact"/>
              <w:jc w:val="center"/>
              <w:rPr>
                <w:rFonts w:hint="default" w:ascii="Times New Roman" w:hAnsi="Times New Roman" w:cs="Times New Roman"/>
                <w:sz w:val="21"/>
                <w:szCs w:val="21"/>
                <w:lang w:val="en-US" w:eastAsia="zh-CN"/>
              </w:rPr>
            </w:pPr>
            <w:r>
              <w:rPr>
                <w:rFonts w:hint="eastAsia" w:ascii="Times New Roman" w:hAnsi="Times New Roman" w:cs="Times New Roman"/>
                <w:sz w:val="21"/>
                <w:szCs w:val="21"/>
                <w:lang w:val="en-US" w:eastAsia="zh-CN"/>
              </w:rPr>
              <w:t>0.57%</w:t>
            </w:r>
          </w:p>
        </w:tc>
        <w:tc>
          <w:tcPr>
            <w:tcW w:w="703" w:type="pct"/>
            <w:tcBorders>
              <w:tl2br w:val="nil"/>
              <w:tr2bl w:val="nil"/>
            </w:tcBorders>
            <w:shd w:val="clear" w:color="auto" w:fill="auto"/>
            <w:vAlign w:val="center"/>
          </w:tcPr>
          <w:p w14:paraId="236ABEBB">
            <w:pPr>
              <w:spacing w:line="300" w:lineRule="exact"/>
              <w:jc w:val="center"/>
              <w:rPr>
                <w:rFonts w:hint="default" w:ascii="Times New Roman" w:hAnsi="Times New Roman" w:cs="Times New Roman"/>
                <w:sz w:val="21"/>
                <w:szCs w:val="21"/>
                <w:lang w:val="en-US" w:eastAsia="zh-CN"/>
              </w:rPr>
            </w:pPr>
            <w:r>
              <w:rPr>
                <w:rFonts w:hint="eastAsia" w:ascii="Times New Roman" w:hAnsi="Times New Roman" w:cs="Times New Roman"/>
                <w:sz w:val="21"/>
                <w:szCs w:val="21"/>
                <w:lang w:val="en-US" w:eastAsia="zh-CN"/>
              </w:rPr>
              <w:t>/</w:t>
            </w:r>
          </w:p>
        </w:tc>
        <w:tc>
          <w:tcPr>
            <w:tcW w:w="733" w:type="pct"/>
            <w:vMerge w:val="continue"/>
            <w:tcBorders>
              <w:tl2br w:val="nil"/>
              <w:tr2bl w:val="nil"/>
            </w:tcBorders>
            <w:shd w:val="clear" w:color="auto" w:fill="auto"/>
            <w:noWrap/>
            <w:vAlign w:val="center"/>
          </w:tcPr>
          <w:p w14:paraId="35A553DC">
            <w:pPr>
              <w:spacing w:line="300" w:lineRule="exact"/>
              <w:jc w:val="center"/>
              <w:rPr>
                <w:rFonts w:hint="default" w:ascii="Times New Roman" w:hAnsi="Times New Roman" w:cs="Times New Roman"/>
                <w:sz w:val="21"/>
                <w:szCs w:val="21"/>
                <w:lang w:val="en-US" w:eastAsia="zh-CN"/>
              </w:rPr>
            </w:pPr>
          </w:p>
        </w:tc>
      </w:tr>
      <w:tr w14:paraId="26A113C3">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40" w:hRule="atLeast"/>
        </w:trPr>
        <w:tc>
          <w:tcPr>
            <w:tcW w:w="657" w:type="pct"/>
            <w:vMerge w:val="continue"/>
            <w:tcBorders>
              <w:tl2br w:val="nil"/>
              <w:tr2bl w:val="nil"/>
            </w:tcBorders>
            <w:shd w:val="clear" w:color="auto" w:fill="auto"/>
            <w:vAlign w:val="center"/>
          </w:tcPr>
          <w:p w14:paraId="520C95D0">
            <w:pPr>
              <w:spacing w:line="300" w:lineRule="exact"/>
              <w:jc w:val="center"/>
              <w:rPr>
                <w:rFonts w:hint="eastAsia" w:ascii="Times New Roman" w:hAnsi="Times New Roman" w:cs="Times New Roman"/>
                <w:sz w:val="21"/>
                <w:szCs w:val="21"/>
                <w:lang w:val="en-US" w:eastAsia="zh-CN"/>
              </w:rPr>
            </w:pPr>
          </w:p>
        </w:tc>
        <w:tc>
          <w:tcPr>
            <w:tcW w:w="1181" w:type="dxa"/>
            <w:tcBorders>
              <w:tl2br w:val="nil"/>
              <w:tr2bl w:val="nil"/>
            </w:tcBorders>
            <w:shd w:val="clear" w:color="auto" w:fill="auto"/>
            <w:vAlign w:val="center"/>
          </w:tcPr>
          <w:p w14:paraId="4FE02D12">
            <w:pPr>
              <w:spacing w:line="300" w:lineRule="exact"/>
              <w:jc w:val="center"/>
              <w:rPr>
                <w:rFonts w:hint="default" w:ascii="Times New Roman" w:hAnsi="Times New Roman" w:cs="Times New Roman"/>
                <w:sz w:val="21"/>
                <w:szCs w:val="21"/>
                <w:lang w:val="en-US" w:eastAsia="zh-CN"/>
              </w:rPr>
            </w:pPr>
            <w:r>
              <w:rPr>
                <w:rFonts w:hint="eastAsia" w:ascii="Times New Roman" w:hAnsi="Times New Roman" w:cs="Times New Roman"/>
                <w:sz w:val="21"/>
                <w:szCs w:val="21"/>
                <w:lang w:val="en-US" w:eastAsia="zh-CN"/>
              </w:rPr>
              <w:t>氨</w:t>
            </w:r>
          </w:p>
        </w:tc>
        <w:tc>
          <w:tcPr>
            <w:tcW w:w="1251" w:type="dxa"/>
            <w:tcBorders>
              <w:tl2br w:val="nil"/>
              <w:tr2bl w:val="nil"/>
            </w:tcBorders>
            <w:shd w:val="clear" w:color="auto" w:fill="auto"/>
            <w:vAlign w:val="center"/>
          </w:tcPr>
          <w:p w14:paraId="734E4A83">
            <w:pPr>
              <w:spacing w:line="300" w:lineRule="exact"/>
              <w:jc w:val="center"/>
              <w:rPr>
                <w:rFonts w:hint="default" w:ascii="Times New Roman" w:hAnsi="Times New Roman" w:cs="Times New Roman"/>
                <w:sz w:val="21"/>
                <w:szCs w:val="21"/>
                <w:lang w:val="en-US" w:eastAsia="zh-CN"/>
              </w:rPr>
            </w:pPr>
            <w:r>
              <w:rPr>
                <w:rFonts w:hint="eastAsia" w:ascii="Times New Roman" w:hAnsi="Times New Roman" w:cs="Times New Roman"/>
                <w:sz w:val="21"/>
                <w:szCs w:val="21"/>
                <w:lang w:val="en-US" w:eastAsia="zh-CN"/>
              </w:rPr>
              <w:t>9.54E-03</w:t>
            </w:r>
          </w:p>
        </w:tc>
        <w:tc>
          <w:tcPr>
            <w:tcW w:w="1355" w:type="dxa"/>
            <w:tcBorders>
              <w:tl2br w:val="nil"/>
              <w:tr2bl w:val="nil"/>
            </w:tcBorders>
            <w:shd w:val="clear" w:color="auto" w:fill="auto"/>
            <w:vAlign w:val="center"/>
          </w:tcPr>
          <w:p w14:paraId="17129918">
            <w:pPr>
              <w:spacing w:line="300" w:lineRule="exact"/>
              <w:jc w:val="center"/>
              <w:rPr>
                <w:rFonts w:hint="eastAsia" w:ascii="Times New Roman" w:hAnsi="Times New Roman" w:cs="Times New Roman"/>
                <w:sz w:val="21"/>
                <w:szCs w:val="21"/>
                <w:lang w:val="en-US" w:eastAsia="zh-CN"/>
              </w:rPr>
            </w:pPr>
            <w:r>
              <w:rPr>
                <w:rFonts w:hint="eastAsia" w:ascii="Times New Roman" w:hAnsi="Times New Roman" w:cs="Times New Roman"/>
                <w:sz w:val="21"/>
                <w:szCs w:val="21"/>
                <w:lang w:val="en-US" w:eastAsia="zh-CN"/>
              </w:rPr>
              <w:t>0.2</w:t>
            </w:r>
          </w:p>
        </w:tc>
        <w:tc>
          <w:tcPr>
            <w:tcW w:w="683" w:type="pct"/>
            <w:tcBorders>
              <w:tl2br w:val="nil"/>
              <w:tr2bl w:val="nil"/>
            </w:tcBorders>
            <w:shd w:val="clear" w:color="auto" w:fill="auto"/>
            <w:vAlign w:val="center"/>
          </w:tcPr>
          <w:p w14:paraId="59BBED21">
            <w:pPr>
              <w:spacing w:line="300" w:lineRule="exact"/>
              <w:jc w:val="center"/>
              <w:rPr>
                <w:rFonts w:hint="default" w:ascii="Times New Roman" w:hAnsi="Times New Roman" w:cs="Times New Roman"/>
                <w:sz w:val="21"/>
                <w:szCs w:val="21"/>
                <w:lang w:val="en-US" w:eastAsia="zh-CN"/>
              </w:rPr>
            </w:pPr>
            <w:r>
              <w:rPr>
                <w:rFonts w:hint="eastAsia" w:ascii="Times New Roman" w:hAnsi="Times New Roman" w:cs="Times New Roman"/>
                <w:sz w:val="21"/>
                <w:szCs w:val="21"/>
                <w:lang w:val="en-US" w:eastAsia="zh-CN"/>
              </w:rPr>
              <w:t>4.77%</w:t>
            </w:r>
          </w:p>
        </w:tc>
        <w:tc>
          <w:tcPr>
            <w:tcW w:w="703" w:type="pct"/>
            <w:tcBorders>
              <w:tl2br w:val="nil"/>
              <w:tr2bl w:val="nil"/>
            </w:tcBorders>
            <w:shd w:val="clear" w:color="auto" w:fill="auto"/>
            <w:vAlign w:val="center"/>
          </w:tcPr>
          <w:p w14:paraId="26017CE7">
            <w:pPr>
              <w:spacing w:line="300" w:lineRule="exact"/>
              <w:jc w:val="center"/>
              <w:rPr>
                <w:rFonts w:hint="default" w:ascii="Times New Roman" w:hAnsi="Times New Roman" w:cs="Times New Roman"/>
                <w:sz w:val="21"/>
                <w:szCs w:val="21"/>
                <w:lang w:val="en-US" w:eastAsia="zh-CN"/>
              </w:rPr>
            </w:pPr>
            <w:r>
              <w:rPr>
                <w:rFonts w:hint="eastAsia" w:ascii="Times New Roman" w:hAnsi="Times New Roman" w:cs="Times New Roman"/>
                <w:sz w:val="21"/>
                <w:szCs w:val="21"/>
                <w:lang w:val="en-US" w:eastAsia="zh-CN"/>
              </w:rPr>
              <w:t>/</w:t>
            </w:r>
          </w:p>
        </w:tc>
        <w:tc>
          <w:tcPr>
            <w:tcW w:w="733" w:type="pct"/>
            <w:vMerge w:val="continue"/>
            <w:tcBorders>
              <w:tl2br w:val="nil"/>
              <w:tr2bl w:val="nil"/>
            </w:tcBorders>
            <w:shd w:val="clear" w:color="auto" w:fill="auto"/>
            <w:noWrap/>
            <w:vAlign w:val="center"/>
          </w:tcPr>
          <w:p w14:paraId="24A4D02C">
            <w:pPr>
              <w:spacing w:line="300" w:lineRule="exact"/>
              <w:jc w:val="center"/>
              <w:rPr>
                <w:rFonts w:hint="default" w:ascii="Times New Roman" w:hAnsi="Times New Roman" w:cs="Times New Roman"/>
                <w:sz w:val="21"/>
                <w:szCs w:val="21"/>
                <w:lang w:val="en-US" w:eastAsia="zh-CN"/>
              </w:rPr>
            </w:pPr>
          </w:p>
        </w:tc>
      </w:tr>
      <w:tr w14:paraId="451236A4">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40" w:hRule="atLeast"/>
        </w:trPr>
        <w:tc>
          <w:tcPr>
            <w:tcW w:w="657" w:type="pct"/>
            <w:vMerge w:val="continue"/>
            <w:tcBorders>
              <w:tl2br w:val="nil"/>
              <w:tr2bl w:val="nil"/>
            </w:tcBorders>
            <w:shd w:val="clear" w:color="auto" w:fill="auto"/>
            <w:vAlign w:val="center"/>
          </w:tcPr>
          <w:p w14:paraId="1D79D7C0">
            <w:pPr>
              <w:spacing w:line="300" w:lineRule="exact"/>
              <w:jc w:val="center"/>
              <w:rPr>
                <w:rFonts w:hint="eastAsia" w:ascii="Times New Roman" w:hAnsi="Times New Roman" w:cs="Times New Roman"/>
                <w:sz w:val="21"/>
                <w:szCs w:val="21"/>
                <w:lang w:val="en-US" w:eastAsia="zh-CN"/>
              </w:rPr>
            </w:pPr>
          </w:p>
        </w:tc>
        <w:tc>
          <w:tcPr>
            <w:tcW w:w="1181" w:type="dxa"/>
            <w:tcBorders>
              <w:tl2br w:val="nil"/>
              <w:tr2bl w:val="nil"/>
            </w:tcBorders>
            <w:shd w:val="clear" w:color="auto" w:fill="auto"/>
            <w:vAlign w:val="center"/>
          </w:tcPr>
          <w:p w14:paraId="7F279DC3">
            <w:pPr>
              <w:spacing w:line="300" w:lineRule="exact"/>
              <w:jc w:val="center"/>
              <w:rPr>
                <w:rFonts w:hint="default" w:ascii="Times New Roman" w:hAnsi="Times New Roman" w:cs="Times New Roman"/>
                <w:sz w:val="21"/>
                <w:szCs w:val="21"/>
                <w:lang w:val="en-US" w:eastAsia="zh-CN"/>
              </w:rPr>
            </w:pPr>
            <w:r>
              <w:rPr>
                <w:rFonts w:hint="eastAsia" w:ascii="Times New Roman" w:hAnsi="Times New Roman" w:cs="Times New Roman"/>
                <w:sz w:val="21"/>
                <w:szCs w:val="21"/>
                <w:lang w:val="en-US" w:eastAsia="zh-CN"/>
              </w:rPr>
              <w:t>氮氧化物</w:t>
            </w:r>
          </w:p>
        </w:tc>
        <w:tc>
          <w:tcPr>
            <w:tcW w:w="1251" w:type="dxa"/>
            <w:tcBorders>
              <w:tl2br w:val="nil"/>
              <w:tr2bl w:val="nil"/>
            </w:tcBorders>
            <w:shd w:val="clear" w:color="auto" w:fill="auto"/>
            <w:vAlign w:val="center"/>
          </w:tcPr>
          <w:p w14:paraId="156A6982">
            <w:pPr>
              <w:spacing w:line="300" w:lineRule="exact"/>
              <w:jc w:val="center"/>
              <w:rPr>
                <w:rFonts w:hint="default" w:ascii="Times New Roman" w:hAnsi="Times New Roman" w:cs="Times New Roman"/>
                <w:sz w:val="21"/>
                <w:szCs w:val="21"/>
                <w:lang w:val="en-US" w:eastAsia="zh-CN"/>
              </w:rPr>
            </w:pPr>
            <w:r>
              <w:rPr>
                <w:rFonts w:hint="eastAsia" w:ascii="Times New Roman" w:hAnsi="Times New Roman" w:cs="Times New Roman"/>
                <w:sz w:val="21"/>
                <w:szCs w:val="21"/>
                <w:lang w:val="en-US" w:eastAsia="zh-CN"/>
              </w:rPr>
              <w:t>5.11E-02</w:t>
            </w:r>
          </w:p>
        </w:tc>
        <w:tc>
          <w:tcPr>
            <w:tcW w:w="1355" w:type="dxa"/>
            <w:tcBorders>
              <w:tl2br w:val="nil"/>
              <w:tr2bl w:val="nil"/>
            </w:tcBorders>
            <w:shd w:val="clear" w:color="auto" w:fill="auto"/>
            <w:vAlign w:val="center"/>
          </w:tcPr>
          <w:p w14:paraId="5E3563E6">
            <w:pPr>
              <w:spacing w:line="300" w:lineRule="exact"/>
              <w:jc w:val="center"/>
              <w:rPr>
                <w:rFonts w:hint="eastAsia" w:ascii="Times New Roman" w:hAnsi="Times New Roman" w:cs="Times New Roman"/>
                <w:sz w:val="21"/>
                <w:szCs w:val="21"/>
                <w:lang w:val="en-US" w:eastAsia="zh-CN"/>
              </w:rPr>
            </w:pPr>
            <w:r>
              <w:rPr>
                <w:rFonts w:hint="eastAsia" w:ascii="Times New Roman" w:hAnsi="Times New Roman" w:cs="Times New Roman"/>
                <w:sz w:val="21"/>
                <w:szCs w:val="21"/>
                <w:lang w:val="en-US" w:eastAsia="zh-CN"/>
              </w:rPr>
              <w:t>0.25</w:t>
            </w:r>
          </w:p>
        </w:tc>
        <w:tc>
          <w:tcPr>
            <w:tcW w:w="683" w:type="pct"/>
            <w:tcBorders>
              <w:tl2br w:val="nil"/>
              <w:tr2bl w:val="nil"/>
            </w:tcBorders>
            <w:shd w:val="clear" w:color="auto" w:fill="auto"/>
            <w:vAlign w:val="center"/>
          </w:tcPr>
          <w:p w14:paraId="53DA3F3D">
            <w:pPr>
              <w:spacing w:line="300" w:lineRule="exact"/>
              <w:jc w:val="center"/>
              <w:rPr>
                <w:rFonts w:hint="default" w:ascii="Times New Roman" w:hAnsi="Times New Roman" w:cs="Times New Roman"/>
                <w:sz w:val="21"/>
                <w:szCs w:val="21"/>
                <w:lang w:val="en-US" w:eastAsia="zh-CN"/>
              </w:rPr>
            </w:pPr>
            <w:r>
              <w:rPr>
                <w:rFonts w:hint="eastAsia" w:ascii="Times New Roman" w:hAnsi="Times New Roman" w:cs="Times New Roman"/>
                <w:sz w:val="21"/>
                <w:szCs w:val="21"/>
                <w:lang w:val="en-US" w:eastAsia="zh-CN"/>
              </w:rPr>
              <w:t>20.45%</w:t>
            </w:r>
          </w:p>
        </w:tc>
        <w:tc>
          <w:tcPr>
            <w:tcW w:w="703" w:type="pct"/>
            <w:tcBorders>
              <w:tl2br w:val="nil"/>
              <w:tr2bl w:val="nil"/>
            </w:tcBorders>
            <w:shd w:val="clear" w:color="auto" w:fill="auto"/>
            <w:vAlign w:val="center"/>
          </w:tcPr>
          <w:p w14:paraId="294AED88">
            <w:pPr>
              <w:spacing w:line="300" w:lineRule="exact"/>
              <w:jc w:val="center"/>
              <w:rPr>
                <w:rFonts w:hint="default" w:ascii="Times New Roman" w:hAnsi="Times New Roman" w:cs="Times New Roman"/>
                <w:sz w:val="21"/>
                <w:szCs w:val="21"/>
                <w:lang w:val="en-US" w:eastAsia="zh-CN"/>
              </w:rPr>
            </w:pPr>
            <w:r>
              <w:rPr>
                <w:rFonts w:hint="eastAsia" w:ascii="Times New Roman" w:hAnsi="Times New Roman" w:cs="Times New Roman"/>
                <w:sz w:val="21"/>
                <w:szCs w:val="21"/>
                <w:lang w:val="en-US" w:eastAsia="zh-CN"/>
              </w:rPr>
              <w:t>1650</w:t>
            </w:r>
          </w:p>
        </w:tc>
        <w:tc>
          <w:tcPr>
            <w:tcW w:w="733" w:type="pct"/>
            <w:vMerge w:val="continue"/>
            <w:tcBorders>
              <w:tl2br w:val="nil"/>
              <w:tr2bl w:val="nil"/>
            </w:tcBorders>
            <w:shd w:val="clear" w:color="auto" w:fill="auto"/>
            <w:noWrap/>
            <w:vAlign w:val="center"/>
          </w:tcPr>
          <w:p w14:paraId="2733D8CE">
            <w:pPr>
              <w:spacing w:line="300" w:lineRule="exact"/>
              <w:jc w:val="center"/>
              <w:rPr>
                <w:rFonts w:hint="default" w:ascii="Times New Roman" w:hAnsi="Times New Roman" w:cs="Times New Roman"/>
                <w:sz w:val="21"/>
                <w:szCs w:val="21"/>
                <w:lang w:val="en-US" w:eastAsia="zh-CN"/>
              </w:rPr>
            </w:pPr>
          </w:p>
        </w:tc>
      </w:tr>
      <w:tr w14:paraId="0846B092">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657" w:type="pct"/>
            <w:vMerge w:val="continue"/>
            <w:tcBorders>
              <w:tl2br w:val="nil"/>
              <w:tr2bl w:val="nil"/>
            </w:tcBorders>
            <w:shd w:val="clear" w:color="auto" w:fill="auto"/>
            <w:vAlign w:val="center"/>
          </w:tcPr>
          <w:p w14:paraId="5BFA4041">
            <w:pPr>
              <w:spacing w:line="300" w:lineRule="exact"/>
              <w:jc w:val="center"/>
              <w:rPr>
                <w:rFonts w:hint="eastAsia" w:ascii="Times New Roman" w:hAnsi="Times New Roman" w:cs="Times New Roman"/>
                <w:sz w:val="21"/>
                <w:szCs w:val="21"/>
                <w:lang w:val="en-US" w:eastAsia="zh-CN"/>
              </w:rPr>
            </w:pPr>
          </w:p>
        </w:tc>
        <w:tc>
          <w:tcPr>
            <w:tcW w:w="1181" w:type="dxa"/>
            <w:tcBorders>
              <w:tl2br w:val="nil"/>
              <w:tr2bl w:val="nil"/>
            </w:tcBorders>
            <w:shd w:val="clear" w:color="auto" w:fill="auto"/>
            <w:vAlign w:val="center"/>
          </w:tcPr>
          <w:p w14:paraId="0AB3F0BD">
            <w:pPr>
              <w:spacing w:line="300" w:lineRule="exact"/>
              <w:jc w:val="center"/>
              <w:rPr>
                <w:rFonts w:hint="default" w:ascii="Times New Roman" w:hAnsi="Times New Roman" w:cs="Times New Roman"/>
                <w:sz w:val="21"/>
                <w:szCs w:val="21"/>
                <w:lang w:val="en-US" w:eastAsia="zh-CN"/>
              </w:rPr>
            </w:pPr>
            <w:r>
              <w:rPr>
                <w:rFonts w:hint="eastAsia" w:ascii="Times New Roman" w:hAnsi="Times New Roman" w:cs="Times New Roman"/>
                <w:sz w:val="21"/>
                <w:szCs w:val="21"/>
                <w:lang w:val="en-US" w:eastAsia="zh-CN"/>
              </w:rPr>
              <w:t>二噁英</w:t>
            </w:r>
          </w:p>
        </w:tc>
        <w:tc>
          <w:tcPr>
            <w:tcW w:w="1251" w:type="dxa"/>
            <w:tcBorders>
              <w:tl2br w:val="nil"/>
              <w:tr2bl w:val="nil"/>
            </w:tcBorders>
            <w:shd w:val="clear" w:color="auto" w:fill="auto"/>
            <w:vAlign w:val="center"/>
          </w:tcPr>
          <w:p w14:paraId="5B23E50F">
            <w:pPr>
              <w:spacing w:line="300" w:lineRule="exact"/>
              <w:jc w:val="center"/>
              <w:rPr>
                <w:rFonts w:hint="default" w:ascii="Times New Roman" w:hAnsi="Times New Roman" w:cs="Times New Roman"/>
                <w:sz w:val="21"/>
                <w:szCs w:val="21"/>
                <w:lang w:val="en-US" w:eastAsia="zh-CN"/>
              </w:rPr>
            </w:pPr>
            <w:r>
              <w:rPr>
                <w:rFonts w:hint="eastAsia" w:ascii="Times New Roman" w:hAnsi="Times New Roman" w:cs="Times New Roman"/>
                <w:sz w:val="21"/>
                <w:szCs w:val="21"/>
                <w:lang w:val="en-US" w:eastAsia="zh-CN"/>
              </w:rPr>
              <w:t>1.57E-04</w:t>
            </w:r>
          </w:p>
        </w:tc>
        <w:tc>
          <w:tcPr>
            <w:tcW w:w="1355" w:type="dxa"/>
            <w:tcBorders>
              <w:tl2br w:val="nil"/>
              <w:tr2bl w:val="nil"/>
            </w:tcBorders>
            <w:shd w:val="clear" w:color="auto" w:fill="auto"/>
            <w:vAlign w:val="center"/>
          </w:tcPr>
          <w:p w14:paraId="619FD0B9">
            <w:pPr>
              <w:spacing w:line="300" w:lineRule="exact"/>
              <w:jc w:val="center"/>
              <w:rPr>
                <w:rFonts w:hint="eastAsia" w:ascii="Times New Roman" w:hAnsi="Times New Roman" w:cs="Times New Roman"/>
                <w:sz w:val="21"/>
                <w:szCs w:val="21"/>
                <w:lang w:val="en-US" w:eastAsia="zh-CN"/>
              </w:rPr>
            </w:pPr>
            <w:r>
              <w:rPr>
                <w:rFonts w:hint="eastAsia" w:ascii="Times New Roman" w:hAnsi="Times New Roman" w:cs="Times New Roman"/>
                <w:sz w:val="21"/>
                <w:szCs w:val="21"/>
                <w:lang w:val="en-US" w:eastAsia="zh-CN"/>
              </w:rPr>
              <w:t>3.6E-9</w:t>
            </w:r>
          </w:p>
        </w:tc>
        <w:tc>
          <w:tcPr>
            <w:tcW w:w="683" w:type="pct"/>
            <w:tcBorders>
              <w:tl2br w:val="nil"/>
              <w:tr2bl w:val="nil"/>
            </w:tcBorders>
            <w:shd w:val="clear" w:color="auto" w:fill="auto"/>
            <w:vAlign w:val="center"/>
          </w:tcPr>
          <w:p w14:paraId="72AFB20B">
            <w:pPr>
              <w:spacing w:line="300" w:lineRule="exact"/>
              <w:jc w:val="center"/>
              <w:rPr>
                <w:rFonts w:hint="default" w:ascii="Times New Roman" w:hAnsi="Times New Roman" w:cs="Times New Roman"/>
                <w:sz w:val="21"/>
                <w:szCs w:val="21"/>
                <w:lang w:val="en-US" w:eastAsia="zh-CN"/>
              </w:rPr>
            </w:pPr>
            <w:r>
              <w:rPr>
                <w:rFonts w:hint="eastAsia" w:ascii="Times New Roman" w:hAnsi="Times New Roman" w:cs="Times New Roman"/>
                <w:sz w:val="21"/>
                <w:szCs w:val="21"/>
                <w:lang w:val="en-US" w:eastAsia="zh-CN"/>
              </w:rPr>
              <w:t>4.37%</w:t>
            </w:r>
          </w:p>
        </w:tc>
        <w:tc>
          <w:tcPr>
            <w:tcW w:w="703" w:type="pct"/>
            <w:tcBorders>
              <w:tl2br w:val="nil"/>
              <w:tr2bl w:val="nil"/>
            </w:tcBorders>
            <w:shd w:val="clear" w:color="auto" w:fill="auto"/>
            <w:vAlign w:val="center"/>
          </w:tcPr>
          <w:p w14:paraId="69C82A5A">
            <w:pPr>
              <w:spacing w:line="300" w:lineRule="exact"/>
              <w:jc w:val="center"/>
              <w:rPr>
                <w:rFonts w:hint="default" w:ascii="Times New Roman" w:hAnsi="Times New Roman" w:cs="Times New Roman"/>
                <w:sz w:val="21"/>
                <w:szCs w:val="21"/>
                <w:lang w:val="en-US" w:eastAsia="zh-CN"/>
              </w:rPr>
            </w:pPr>
            <w:r>
              <w:rPr>
                <w:rFonts w:hint="eastAsia" w:ascii="Times New Roman" w:hAnsi="Times New Roman" w:cs="Times New Roman"/>
                <w:sz w:val="21"/>
                <w:szCs w:val="21"/>
                <w:lang w:val="en-US" w:eastAsia="zh-CN"/>
              </w:rPr>
              <w:t>/</w:t>
            </w:r>
          </w:p>
        </w:tc>
        <w:tc>
          <w:tcPr>
            <w:tcW w:w="733" w:type="pct"/>
            <w:vMerge w:val="continue"/>
            <w:tcBorders>
              <w:tl2br w:val="nil"/>
              <w:tr2bl w:val="nil"/>
            </w:tcBorders>
            <w:shd w:val="clear" w:color="auto" w:fill="auto"/>
            <w:noWrap/>
            <w:vAlign w:val="center"/>
          </w:tcPr>
          <w:p w14:paraId="3E050216">
            <w:pPr>
              <w:spacing w:line="300" w:lineRule="exact"/>
              <w:jc w:val="center"/>
              <w:rPr>
                <w:rFonts w:hint="default" w:ascii="Times New Roman" w:hAnsi="Times New Roman" w:cs="Times New Roman"/>
                <w:sz w:val="21"/>
                <w:szCs w:val="21"/>
                <w:lang w:val="en-US" w:eastAsia="zh-CN"/>
              </w:rPr>
            </w:pPr>
          </w:p>
        </w:tc>
      </w:tr>
      <w:tr w14:paraId="4CCD630A">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657" w:type="pct"/>
            <w:tcBorders>
              <w:tl2br w:val="nil"/>
              <w:tr2bl w:val="nil"/>
            </w:tcBorders>
            <w:shd w:val="clear" w:color="auto" w:fill="auto"/>
            <w:vAlign w:val="center"/>
          </w:tcPr>
          <w:p w14:paraId="70B5D376">
            <w:pPr>
              <w:spacing w:line="300" w:lineRule="exact"/>
              <w:jc w:val="center"/>
              <w:rPr>
                <w:rFonts w:hint="eastAsia" w:ascii="Times New Roman" w:hAnsi="Times New Roman" w:cs="Times New Roman"/>
                <w:sz w:val="21"/>
                <w:szCs w:val="21"/>
                <w:lang w:val="en-US" w:eastAsia="zh-CN"/>
              </w:rPr>
            </w:pPr>
            <w:r>
              <w:rPr>
                <w:rFonts w:hint="default" w:ascii="Times New Roman" w:hAnsi="Times New Roman" w:cs="Times New Roman"/>
                <w:sz w:val="21"/>
                <w:szCs w:val="21"/>
                <w:lang w:val="en-US" w:eastAsia="zh-CN"/>
              </w:rPr>
              <w:t>DA012</w:t>
            </w:r>
          </w:p>
        </w:tc>
        <w:tc>
          <w:tcPr>
            <w:tcW w:w="693" w:type="pct"/>
            <w:tcBorders>
              <w:tl2br w:val="nil"/>
              <w:tr2bl w:val="nil"/>
            </w:tcBorders>
            <w:shd w:val="clear" w:color="auto" w:fill="auto"/>
            <w:vAlign w:val="center"/>
          </w:tcPr>
          <w:p w14:paraId="0DD4A660">
            <w:pPr>
              <w:spacing w:line="300" w:lineRule="exact"/>
              <w:jc w:val="center"/>
              <w:rPr>
                <w:rFonts w:hint="eastAsia" w:ascii="Times New Roman" w:hAnsi="Times New Roman" w:cs="Times New Roman"/>
                <w:sz w:val="21"/>
                <w:szCs w:val="21"/>
                <w:lang w:val="en-US" w:eastAsia="zh-CN"/>
              </w:rPr>
            </w:pPr>
            <w:r>
              <w:rPr>
                <w:rFonts w:hint="eastAsia" w:ascii="Times New Roman" w:hAnsi="Times New Roman" w:cs="Times New Roman"/>
                <w:sz w:val="21"/>
                <w:szCs w:val="21"/>
                <w:lang w:val="en-US" w:eastAsia="zh-CN"/>
              </w:rPr>
              <w:t>颗粒物</w:t>
            </w:r>
          </w:p>
        </w:tc>
        <w:tc>
          <w:tcPr>
            <w:tcW w:w="734" w:type="pct"/>
            <w:tcBorders>
              <w:tl2br w:val="nil"/>
              <w:tr2bl w:val="nil"/>
            </w:tcBorders>
            <w:shd w:val="clear" w:color="auto" w:fill="auto"/>
            <w:vAlign w:val="center"/>
          </w:tcPr>
          <w:p w14:paraId="50C90CB8">
            <w:pPr>
              <w:spacing w:line="300" w:lineRule="exact"/>
              <w:jc w:val="center"/>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6.63E-02</w:t>
            </w:r>
          </w:p>
        </w:tc>
        <w:tc>
          <w:tcPr>
            <w:tcW w:w="795" w:type="pct"/>
            <w:tcBorders>
              <w:tl2br w:val="nil"/>
              <w:tr2bl w:val="nil"/>
            </w:tcBorders>
            <w:shd w:val="clear" w:color="auto" w:fill="auto"/>
            <w:vAlign w:val="center"/>
          </w:tcPr>
          <w:p w14:paraId="1002CF41">
            <w:pPr>
              <w:spacing w:line="300" w:lineRule="exact"/>
              <w:jc w:val="center"/>
              <w:rPr>
                <w:rFonts w:hint="eastAsia" w:ascii="Times New Roman" w:hAnsi="Times New Roman" w:cs="Times New Roman"/>
                <w:sz w:val="21"/>
                <w:szCs w:val="21"/>
                <w:lang w:val="en-US" w:eastAsia="zh-CN"/>
              </w:rPr>
            </w:pPr>
            <w:r>
              <w:rPr>
                <w:rFonts w:hint="eastAsia" w:ascii="Times New Roman" w:hAnsi="Times New Roman" w:cs="Times New Roman"/>
                <w:sz w:val="21"/>
                <w:szCs w:val="21"/>
                <w:lang w:val="en-US" w:eastAsia="zh-CN"/>
              </w:rPr>
              <w:t>0.9</w:t>
            </w:r>
          </w:p>
        </w:tc>
        <w:tc>
          <w:tcPr>
            <w:tcW w:w="683" w:type="pct"/>
            <w:tcBorders>
              <w:tl2br w:val="nil"/>
              <w:tr2bl w:val="nil"/>
            </w:tcBorders>
            <w:shd w:val="clear" w:color="auto" w:fill="auto"/>
            <w:vAlign w:val="center"/>
          </w:tcPr>
          <w:p w14:paraId="76DCD4D5">
            <w:pPr>
              <w:spacing w:line="300" w:lineRule="exact"/>
              <w:jc w:val="center"/>
              <w:rPr>
                <w:rFonts w:hint="default" w:ascii="Times New Roman" w:hAnsi="Times New Roman" w:cs="Times New Roman"/>
                <w:sz w:val="21"/>
                <w:szCs w:val="21"/>
                <w:lang w:val="en-US" w:eastAsia="zh-CN"/>
              </w:rPr>
            </w:pPr>
            <w:r>
              <w:rPr>
                <w:rFonts w:hint="eastAsia" w:ascii="Times New Roman" w:hAnsi="Times New Roman" w:cs="Times New Roman"/>
                <w:sz w:val="21"/>
                <w:szCs w:val="21"/>
                <w:lang w:val="en-US" w:eastAsia="zh-CN"/>
              </w:rPr>
              <w:t>7.36%</w:t>
            </w:r>
          </w:p>
        </w:tc>
        <w:tc>
          <w:tcPr>
            <w:tcW w:w="703" w:type="pct"/>
            <w:tcBorders>
              <w:tl2br w:val="nil"/>
              <w:tr2bl w:val="nil"/>
            </w:tcBorders>
            <w:shd w:val="clear" w:color="auto" w:fill="auto"/>
            <w:vAlign w:val="center"/>
          </w:tcPr>
          <w:p w14:paraId="4620D74D">
            <w:pPr>
              <w:spacing w:line="300" w:lineRule="exact"/>
              <w:jc w:val="center"/>
              <w:rPr>
                <w:rFonts w:hint="default" w:ascii="Times New Roman" w:hAnsi="Times New Roman" w:cs="Times New Roman"/>
                <w:sz w:val="21"/>
                <w:szCs w:val="21"/>
                <w:lang w:val="en-US" w:eastAsia="zh-CN"/>
              </w:rPr>
            </w:pPr>
            <w:r>
              <w:rPr>
                <w:rFonts w:hint="eastAsia" w:ascii="Times New Roman" w:hAnsi="Times New Roman" w:cs="Times New Roman"/>
                <w:sz w:val="21"/>
                <w:szCs w:val="21"/>
                <w:lang w:val="en-US" w:eastAsia="zh-CN"/>
              </w:rPr>
              <w:t>/</w:t>
            </w:r>
          </w:p>
        </w:tc>
        <w:tc>
          <w:tcPr>
            <w:tcW w:w="733" w:type="pct"/>
            <w:tcBorders>
              <w:tl2br w:val="nil"/>
              <w:tr2bl w:val="nil"/>
            </w:tcBorders>
            <w:shd w:val="clear" w:color="auto" w:fill="auto"/>
            <w:noWrap/>
            <w:vAlign w:val="center"/>
          </w:tcPr>
          <w:p w14:paraId="724CD90D">
            <w:pPr>
              <w:spacing w:line="300" w:lineRule="exact"/>
              <w:jc w:val="center"/>
              <w:rPr>
                <w:rFonts w:hint="default" w:ascii="Times New Roman" w:hAnsi="Times New Roman" w:cs="Times New Roman"/>
                <w:sz w:val="21"/>
                <w:szCs w:val="21"/>
                <w:lang w:val="en-US" w:eastAsia="zh-CN"/>
              </w:rPr>
            </w:pPr>
            <w:r>
              <w:rPr>
                <w:rFonts w:hint="eastAsia" w:ascii="Times New Roman" w:hAnsi="Times New Roman" w:cs="Times New Roman"/>
                <w:sz w:val="21"/>
                <w:szCs w:val="21"/>
                <w:lang w:val="en-US" w:eastAsia="zh-CN"/>
              </w:rPr>
              <w:t>250</w:t>
            </w:r>
          </w:p>
        </w:tc>
      </w:tr>
      <w:tr w14:paraId="28509BDB">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657" w:type="pct"/>
            <w:tcBorders>
              <w:tl2br w:val="nil"/>
              <w:tr2bl w:val="nil"/>
            </w:tcBorders>
            <w:shd w:val="clear" w:color="auto" w:fill="auto"/>
            <w:vAlign w:val="center"/>
          </w:tcPr>
          <w:p w14:paraId="75C33BE8">
            <w:pPr>
              <w:spacing w:line="300" w:lineRule="exact"/>
              <w:jc w:val="center"/>
              <w:rPr>
                <w:rFonts w:hint="eastAsia" w:ascii="Times New Roman" w:hAnsi="Times New Roman" w:cs="Times New Roman"/>
                <w:sz w:val="21"/>
                <w:szCs w:val="21"/>
                <w:lang w:val="en-US" w:eastAsia="zh-CN"/>
              </w:rPr>
            </w:pPr>
            <w:r>
              <w:rPr>
                <w:rFonts w:hint="default" w:ascii="Times New Roman" w:hAnsi="Times New Roman" w:cs="Times New Roman"/>
                <w:sz w:val="21"/>
                <w:szCs w:val="21"/>
                <w:lang w:val="en-US" w:eastAsia="zh-CN"/>
              </w:rPr>
              <w:t>DA013</w:t>
            </w:r>
          </w:p>
        </w:tc>
        <w:tc>
          <w:tcPr>
            <w:tcW w:w="693" w:type="pct"/>
            <w:tcBorders>
              <w:tl2br w:val="nil"/>
              <w:tr2bl w:val="nil"/>
            </w:tcBorders>
            <w:shd w:val="clear" w:color="auto" w:fill="auto"/>
            <w:vAlign w:val="center"/>
          </w:tcPr>
          <w:p w14:paraId="620C3FFF">
            <w:pPr>
              <w:spacing w:line="300" w:lineRule="exact"/>
              <w:jc w:val="center"/>
              <w:rPr>
                <w:rFonts w:hint="eastAsia" w:ascii="Times New Roman" w:hAnsi="Times New Roman" w:cs="Times New Roman"/>
                <w:sz w:val="21"/>
                <w:szCs w:val="21"/>
                <w:lang w:val="en-US" w:eastAsia="zh-CN"/>
              </w:rPr>
            </w:pPr>
            <w:r>
              <w:rPr>
                <w:rFonts w:hint="eastAsia" w:ascii="Times New Roman" w:hAnsi="Times New Roman" w:cs="Times New Roman"/>
                <w:sz w:val="21"/>
                <w:szCs w:val="21"/>
                <w:lang w:val="en-US" w:eastAsia="zh-CN"/>
              </w:rPr>
              <w:t>颗粒物</w:t>
            </w:r>
          </w:p>
        </w:tc>
        <w:tc>
          <w:tcPr>
            <w:tcW w:w="734" w:type="pct"/>
            <w:tcBorders>
              <w:tl2br w:val="nil"/>
              <w:tr2bl w:val="nil"/>
            </w:tcBorders>
            <w:shd w:val="clear" w:color="auto" w:fill="auto"/>
            <w:vAlign w:val="center"/>
          </w:tcPr>
          <w:p w14:paraId="121A6109">
            <w:pPr>
              <w:spacing w:line="300" w:lineRule="exact"/>
              <w:jc w:val="center"/>
              <w:rPr>
                <w:rFonts w:hint="default" w:ascii="Times New Roman" w:hAnsi="Times New Roman" w:cs="Times New Roman"/>
                <w:sz w:val="21"/>
                <w:szCs w:val="21"/>
                <w:lang w:val="en-US" w:eastAsia="zh-CN"/>
              </w:rPr>
            </w:pPr>
            <w:r>
              <w:rPr>
                <w:rFonts w:hint="eastAsia" w:ascii="Times New Roman" w:hAnsi="Times New Roman" w:cs="Times New Roman"/>
                <w:sz w:val="21"/>
                <w:szCs w:val="21"/>
                <w:lang w:val="en-US" w:eastAsia="zh-CN"/>
              </w:rPr>
              <w:t>1.20</w:t>
            </w:r>
            <w:r>
              <w:rPr>
                <w:rFonts w:hint="default" w:ascii="Times New Roman" w:hAnsi="Times New Roman" w:cs="Times New Roman"/>
                <w:sz w:val="21"/>
                <w:szCs w:val="21"/>
                <w:lang w:val="en-US" w:eastAsia="zh-CN"/>
              </w:rPr>
              <w:t>E-02</w:t>
            </w:r>
          </w:p>
        </w:tc>
        <w:tc>
          <w:tcPr>
            <w:tcW w:w="795" w:type="pct"/>
            <w:tcBorders>
              <w:tl2br w:val="nil"/>
              <w:tr2bl w:val="nil"/>
            </w:tcBorders>
            <w:shd w:val="clear" w:color="auto" w:fill="auto"/>
            <w:vAlign w:val="center"/>
          </w:tcPr>
          <w:p w14:paraId="39112AE8">
            <w:pPr>
              <w:spacing w:line="300" w:lineRule="exact"/>
              <w:jc w:val="center"/>
              <w:rPr>
                <w:rFonts w:hint="eastAsia" w:ascii="Times New Roman" w:hAnsi="Times New Roman" w:cs="Times New Roman"/>
                <w:sz w:val="21"/>
                <w:szCs w:val="21"/>
                <w:lang w:val="en-US" w:eastAsia="zh-CN"/>
              </w:rPr>
            </w:pPr>
            <w:r>
              <w:rPr>
                <w:rFonts w:hint="eastAsia" w:ascii="Times New Roman" w:hAnsi="Times New Roman" w:cs="Times New Roman"/>
                <w:sz w:val="21"/>
                <w:szCs w:val="21"/>
                <w:lang w:val="en-US" w:eastAsia="zh-CN"/>
              </w:rPr>
              <w:t>0.9</w:t>
            </w:r>
          </w:p>
        </w:tc>
        <w:tc>
          <w:tcPr>
            <w:tcW w:w="683" w:type="pct"/>
            <w:tcBorders>
              <w:tl2br w:val="nil"/>
              <w:tr2bl w:val="nil"/>
            </w:tcBorders>
            <w:shd w:val="clear" w:color="auto" w:fill="auto"/>
            <w:vAlign w:val="center"/>
          </w:tcPr>
          <w:p w14:paraId="3B4CDD9F">
            <w:pPr>
              <w:spacing w:line="300" w:lineRule="exact"/>
              <w:jc w:val="center"/>
              <w:rPr>
                <w:rFonts w:hint="default" w:ascii="Times New Roman" w:hAnsi="Times New Roman" w:cs="Times New Roman"/>
                <w:sz w:val="21"/>
                <w:szCs w:val="21"/>
                <w:lang w:val="en-US" w:eastAsia="zh-CN"/>
              </w:rPr>
            </w:pPr>
            <w:r>
              <w:rPr>
                <w:rFonts w:hint="eastAsia" w:ascii="Times New Roman" w:hAnsi="Times New Roman" w:cs="Times New Roman"/>
                <w:sz w:val="21"/>
                <w:szCs w:val="21"/>
                <w:lang w:val="en-US" w:eastAsia="zh-CN"/>
              </w:rPr>
              <w:t>1.33</w:t>
            </w:r>
          </w:p>
        </w:tc>
        <w:tc>
          <w:tcPr>
            <w:tcW w:w="703" w:type="pct"/>
            <w:tcBorders>
              <w:tl2br w:val="nil"/>
              <w:tr2bl w:val="nil"/>
            </w:tcBorders>
            <w:shd w:val="clear" w:color="auto" w:fill="auto"/>
            <w:vAlign w:val="center"/>
          </w:tcPr>
          <w:p w14:paraId="58160CC6">
            <w:pPr>
              <w:spacing w:line="300" w:lineRule="exact"/>
              <w:jc w:val="center"/>
              <w:rPr>
                <w:rFonts w:hint="default" w:ascii="Times New Roman" w:hAnsi="Times New Roman" w:cs="Times New Roman"/>
                <w:sz w:val="21"/>
                <w:szCs w:val="21"/>
                <w:lang w:val="en-US" w:eastAsia="zh-CN"/>
              </w:rPr>
            </w:pPr>
            <w:r>
              <w:rPr>
                <w:rFonts w:hint="eastAsia" w:ascii="Times New Roman" w:hAnsi="Times New Roman" w:cs="Times New Roman"/>
                <w:sz w:val="21"/>
                <w:szCs w:val="21"/>
                <w:lang w:val="en-US" w:eastAsia="zh-CN"/>
              </w:rPr>
              <w:t>/</w:t>
            </w:r>
          </w:p>
        </w:tc>
        <w:tc>
          <w:tcPr>
            <w:tcW w:w="733" w:type="pct"/>
            <w:tcBorders>
              <w:tl2br w:val="nil"/>
              <w:tr2bl w:val="nil"/>
            </w:tcBorders>
            <w:shd w:val="clear" w:color="auto" w:fill="auto"/>
            <w:noWrap/>
            <w:vAlign w:val="center"/>
          </w:tcPr>
          <w:p w14:paraId="64E84969">
            <w:pPr>
              <w:spacing w:line="300" w:lineRule="exact"/>
              <w:jc w:val="center"/>
              <w:rPr>
                <w:rFonts w:hint="default" w:ascii="Times New Roman" w:hAnsi="Times New Roman" w:cs="Times New Roman"/>
                <w:sz w:val="21"/>
                <w:szCs w:val="21"/>
                <w:lang w:val="en-US" w:eastAsia="zh-CN"/>
              </w:rPr>
            </w:pPr>
            <w:r>
              <w:rPr>
                <w:rFonts w:hint="eastAsia" w:ascii="Times New Roman" w:hAnsi="Times New Roman" w:cs="Times New Roman"/>
                <w:sz w:val="21"/>
                <w:szCs w:val="21"/>
                <w:lang w:val="en-US" w:eastAsia="zh-CN"/>
              </w:rPr>
              <w:t>225</w:t>
            </w:r>
          </w:p>
        </w:tc>
      </w:tr>
      <w:tr w14:paraId="5B6BE592">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40" w:hRule="atLeast"/>
        </w:trPr>
        <w:tc>
          <w:tcPr>
            <w:tcW w:w="657" w:type="pct"/>
            <w:tcBorders>
              <w:tl2br w:val="nil"/>
              <w:tr2bl w:val="nil"/>
            </w:tcBorders>
            <w:shd w:val="clear" w:color="auto" w:fill="auto"/>
            <w:vAlign w:val="center"/>
          </w:tcPr>
          <w:p w14:paraId="76C4912A">
            <w:pPr>
              <w:spacing w:line="300" w:lineRule="exact"/>
              <w:jc w:val="center"/>
              <w:rPr>
                <w:rFonts w:hint="eastAsia" w:ascii="Times New Roman" w:hAnsi="Times New Roman" w:cs="Times New Roman"/>
                <w:sz w:val="21"/>
                <w:szCs w:val="21"/>
                <w:lang w:val="en-US" w:eastAsia="zh-CN"/>
              </w:rPr>
            </w:pPr>
            <w:r>
              <w:rPr>
                <w:rFonts w:hint="default" w:ascii="Times New Roman" w:hAnsi="Times New Roman" w:cs="Times New Roman"/>
                <w:sz w:val="21"/>
                <w:szCs w:val="21"/>
                <w:lang w:val="en-US" w:eastAsia="zh-CN"/>
              </w:rPr>
              <w:t>DA014</w:t>
            </w:r>
          </w:p>
        </w:tc>
        <w:tc>
          <w:tcPr>
            <w:tcW w:w="693" w:type="pct"/>
            <w:tcBorders>
              <w:tl2br w:val="nil"/>
              <w:tr2bl w:val="nil"/>
            </w:tcBorders>
            <w:shd w:val="clear" w:color="auto" w:fill="auto"/>
            <w:vAlign w:val="center"/>
          </w:tcPr>
          <w:p w14:paraId="3065DF2E">
            <w:pPr>
              <w:spacing w:line="300" w:lineRule="exact"/>
              <w:jc w:val="center"/>
              <w:rPr>
                <w:rFonts w:hint="eastAsia" w:ascii="Times New Roman" w:hAnsi="Times New Roman" w:cs="Times New Roman"/>
                <w:sz w:val="21"/>
                <w:szCs w:val="21"/>
                <w:lang w:val="en-US" w:eastAsia="zh-CN"/>
              </w:rPr>
            </w:pPr>
            <w:r>
              <w:rPr>
                <w:rFonts w:hint="eastAsia" w:ascii="Times New Roman" w:hAnsi="Times New Roman" w:cs="Times New Roman"/>
                <w:sz w:val="21"/>
                <w:szCs w:val="21"/>
                <w:lang w:val="en-US" w:eastAsia="zh-CN"/>
              </w:rPr>
              <w:t>颗粒物</w:t>
            </w:r>
          </w:p>
        </w:tc>
        <w:tc>
          <w:tcPr>
            <w:tcW w:w="734" w:type="pct"/>
            <w:tcBorders>
              <w:tl2br w:val="nil"/>
              <w:tr2bl w:val="nil"/>
            </w:tcBorders>
            <w:shd w:val="clear" w:color="auto" w:fill="auto"/>
            <w:vAlign w:val="center"/>
          </w:tcPr>
          <w:p w14:paraId="51D7AB89">
            <w:pPr>
              <w:spacing w:line="300" w:lineRule="exact"/>
              <w:jc w:val="center"/>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6.</w:t>
            </w:r>
            <w:r>
              <w:rPr>
                <w:rFonts w:hint="eastAsia" w:ascii="Times New Roman" w:hAnsi="Times New Roman" w:cs="Times New Roman"/>
                <w:sz w:val="21"/>
                <w:szCs w:val="21"/>
                <w:lang w:val="en-US" w:eastAsia="zh-CN"/>
              </w:rPr>
              <w:t>77</w:t>
            </w:r>
            <w:r>
              <w:rPr>
                <w:rFonts w:hint="default" w:ascii="Times New Roman" w:hAnsi="Times New Roman" w:cs="Times New Roman"/>
                <w:sz w:val="21"/>
                <w:szCs w:val="21"/>
                <w:lang w:val="en-US" w:eastAsia="zh-CN"/>
              </w:rPr>
              <w:t>E-02</w:t>
            </w:r>
          </w:p>
        </w:tc>
        <w:tc>
          <w:tcPr>
            <w:tcW w:w="795" w:type="pct"/>
            <w:tcBorders>
              <w:tl2br w:val="nil"/>
              <w:tr2bl w:val="nil"/>
            </w:tcBorders>
            <w:shd w:val="clear" w:color="auto" w:fill="auto"/>
            <w:vAlign w:val="center"/>
          </w:tcPr>
          <w:p w14:paraId="395D61E8">
            <w:pPr>
              <w:spacing w:line="300" w:lineRule="exact"/>
              <w:jc w:val="center"/>
              <w:rPr>
                <w:rFonts w:hint="eastAsia" w:ascii="Times New Roman" w:hAnsi="Times New Roman" w:cs="Times New Roman"/>
                <w:sz w:val="21"/>
                <w:szCs w:val="21"/>
                <w:lang w:val="en-US" w:eastAsia="zh-CN"/>
              </w:rPr>
            </w:pPr>
            <w:r>
              <w:rPr>
                <w:rFonts w:hint="eastAsia" w:ascii="Times New Roman" w:hAnsi="Times New Roman" w:cs="Times New Roman"/>
                <w:sz w:val="21"/>
                <w:szCs w:val="21"/>
                <w:lang w:val="en-US" w:eastAsia="zh-CN"/>
              </w:rPr>
              <w:t>0.9</w:t>
            </w:r>
          </w:p>
        </w:tc>
        <w:tc>
          <w:tcPr>
            <w:tcW w:w="683" w:type="pct"/>
            <w:tcBorders>
              <w:tl2br w:val="nil"/>
              <w:tr2bl w:val="nil"/>
            </w:tcBorders>
            <w:shd w:val="clear" w:color="auto" w:fill="auto"/>
            <w:vAlign w:val="center"/>
          </w:tcPr>
          <w:p w14:paraId="30CDF56F">
            <w:pPr>
              <w:spacing w:line="300" w:lineRule="exact"/>
              <w:jc w:val="center"/>
              <w:rPr>
                <w:rFonts w:hint="default" w:ascii="Times New Roman" w:hAnsi="Times New Roman" w:cs="Times New Roman"/>
                <w:sz w:val="21"/>
                <w:szCs w:val="21"/>
                <w:lang w:val="en-US" w:eastAsia="zh-CN"/>
              </w:rPr>
            </w:pPr>
            <w:r>
              <w:rPr>
                <w:rFonts w:hint="eastAsia" w:ascii="Times New Roman" w:hAnsi="Times New Roman" w:cs="Times New Roman"/>
                <w:sz w:val="21"/>
                <w:szCs w:val="21"/>
                <w:lang w:val="en-US" w:eastAsia="zh-CN"/>
              </w:rPr>
              <w:t>7.52%</w:t>
            </w:r>
          </w:p>
        </w:tc>
        <w:tc>
          <w:tcPr>
            <w:tcW w:w="703" w:type="pct"/>
            <w:tcBorders>
              <w:tl2br w:val="nil"/>
              <w:tr2bl w:val="nil"/>
            </w:tcBorders>
            <w:shd w:val="clear" w:color="auto" w:fill="auto"/>
            <w:vAlign w:val="center"/>
          </w:tcPr>
          <w:p w14:paraId="69AC2689">
            <w:pPr>
              <w:spacing w:line="300" w:lineRule="exact"/>
              <w:jc w:val="center"/>
              <w:rPr>
                <w:rFonts w:hint="default" w:ascii="Times New Roman" w:hAnsi="Times New Roman" w:cs="Times New Roman"/>
                <w:sz w:val="21"/>
                <w:szCs w:val="21"/>
                <w:lang w:val="en-US" w:eastAsia="zh-CN"/>
              </w:rPr>
            </w:pPr>
            <w:r>
              <w:rPr>
                <w:rFonts w:hint="eastAsia" w:ascii="Times New Roman" w:hAnsi="Times New Roman" w:cs="Times New Roman"/>
                <w:sz w:val="21"/>
                <w:szCs w:val="21"/>
                <w:lang w:val="en-US" w:eastAsia="zh-CN"/>
              </w:rPr>
              <w:t>/</w:t>
            </w:r>
          </w:p>
        </w:tc>
        <w:tc>
          <w:tcPr>
            <w:tcW w:w="733" w:type="pct"/>
            <w:tcBorders>
              <w:tl2br w:val="nil"/>
              <w:tr2bl w:val="nil"/>
            </w:tcBorders>
            <w:shd w:val="clear" w:color="auto" w:fill="auto"/>
            <w:noWrap/>
            <w:vAlign w:val="center"/>
          </w:tcPr>
          <w:p w14:paraId="2401C8DC">
            <w:pPr>
              <w:spacing w:line="300" w:lineRule="exact"/>
              <w:jc w:val="center"/>
              <w:rPr>
                <w:rFonts w:hint="default" w:ascii="Times New Roman" w:hAnsi="Times New Roman" w:cs="Times New Roman"/>
                <w:sz w:val="21"/>
                <w:szCs w:val="21"/>
                <w:lang w:val="en-US" w:eastAsia="zh-CN"/>
              </w:rPr>
            </w:pPr>
            <w:r>
              <w:rPr>
                <w:rFonts w:hint="eastAsia" w:ascii="Times New Roman" w:hAnsi="Times New Roman" w:cs="Times New Roman"/>
                <w:sz w:val="21"/>
                <w:szCs w:val="21"/>
                <w:lang w:val="en-US" w:eastAsia="zh-CN"/>
              </w:rPr>
              <w:t>349</w:t>
            </w:r>
          </w:p>
        </w:tc>
      </w:tr>
      <w:tr w14:paraId="2382AA6D">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40" w:hRule="atLeast"/>
        </w:trPr>
        <w:tc>
          <w:tcPr>
            <w:tcW w:w="657" w:type="pct"/>
            <w:tcBorders>
              <w:tl2br w:val="nil"/>
              <w:tr2bl w:val="nil"/>
            </w:tcBorders>
            <w:shd w:val="clear" w:color="auto" w:fill="auto"/>
            <w:vAlign w:val="center"/>
          </w:tcPr>
          <w:p w14:paraId="3F76D86D">
            <w:pPr>
              <w:spacing w:line="300" w:lineRule="exact"/>
              <w:jc w:val="center"/>
              <w:rPr>
                <w:rFonts w:hint="eastAsia" w:ascii="Times New Roman" w:hAnsi="Times New Roman" w:cs="Times New Roman"/>
                <w:sz w:val="21"/>
                <w:szCs w:val="21"/>
                <w:lang w:val="en-US" w:eastAsia="zh-CN"/>
              </w:rPr>
            </w:pPr>
            <w:r>
              <w:rPr>
                <w:rFonts w:hint="default" w:ascii="Times New Roman" w:hAnsi="Times New Roman" w:cs="Times New Roman"/>
                <w:sz w:val="21"/>
                <w:szCs w:val="21"/>
                <w:lang w:val="en-US" w:eastAsia="zh-CN"/>
              </w:rPr>
              <w:t>DA015</w:t>
            </w:r>
          </w:p>
        </w:tc>
        <w:tc>
          <w:tcPr>
            <w:tcW w:w="693" w:type="pct"/>
            <w:tcBorders>
              <w:tl2br w:val="nil"/>
              <w:tr2bl w:val="nil"/>
            </w:tcBorders>
            <w:shd w:val="clear" w:color="auto" w:fill="auto"/>
            <w:vAlign w:val="center"/>
          </w:tcPr>
          <w:p w14:paraId="4F2A6809">
            <w:pPr>
              <w:spacing w:line="300" w:lineRule="exact"/>
              <w:jc w:val="center"/>
              <w:rPr>
                <w:rFonts w:hint="eastAsia" w:ascii="Times New Roman" w:hAnsi="Times New Roman" w:cs="Times New Roman"/>
                <w:sz w:val="21"/>
                <w:szCs w:val="21"/>
                <w:lang w:val="en-US" w:eastAsia="zh-CN"/>
              </w:rPr>
            </w:pPr>
            <w:r>
              <w:rPr>
                <w:rFonts w:hint="eastAsia" w:ascii="Times New Roman" w:hAnsi="Times New Roman" w:cs="Times New Roman"/>
                <w:sz w:val="21"/>
                <w:szCs w:val="21"/>
                <w:lang w:val="en-US" w:eastAsia="zh-CN"/>
              </w:rPr>
              <w:t>颗粒物</w:t>
            </w:r>
          </w:p>
        </w:tc>
        <w:tc>
          <w:tcPr>
            <w:tcW w:w="734" w:type="pct"/>
            <w:tcBorders>
              <w:tl2br w:val="nil"/>
              <w:tr2bl w:val="nil"/>
            </w:tcBorders>
            <w:shd w:val="clear" w:color="auto" w:fill="auto"/>
            <w:vAlign w:val="center"/>
          </w:tcPr>
          <w:p w14:paraId="450ACD47">
            <w:pPr>
              <w:spacing w:line="300" w:lineRule="exact"/>
              <w:jc w:val="center"/>
              <w:rPr>
                <w:rFonts w:hint="default" w:ascii="Times New Roman" w:hAnsi="Times New Roman" w:cs="Times New Roman"/>
                <w:sz w:val="21"/>
                <w:szCs w:val="21"/>
                <w:lang w:val="en-US" w:eastAsia="zh-CN"/>
              </w:rPr>
            </w:pPr>
            <w:r>
              <w:rPr>
                <w:rFonts w:hint="eastAsia" w:ascii="Times New Roman" w:hAnsi="Times New Roman" w:cs="Times New Roman"/>
                <w:sz w:val="21"/>
                <w:szCs w:val="21"/>
                <w:lang w:val="en-US" w:eastAsia="zh-CN"/>
              </w:rPr>
              <w:t>3.60</w:t>
            </w:r>
            <w:r>
              <w:rPr>
                <w:rFonts w:hint="default" w:ascii="Times New Roman" w:hAnsi="Times New Roman" w:cs="Times New Roman"/>
                <w:sz w:val="21"/>
                <w:szCs w:val="21"/>
                <w:lang w:val="en-US" w:eastAsia="zh-CN"/>
              </w:rPr>
              <w:t>E-01</w:t>
            </w:r>
          </w:p>
        </w:tc>
        <w:tc>
          <w:tcPr>
            <w:tcW w:w="795" w:type="pct"/>
            <w:tcBorders>
              <w:tl2br w:val="nil"/>
              <w:tr2bl w:val="nil"/>
            </w:tcBorders>
            <w:shd w:val="clear" w:color="auto" w:fill="auto"/>
            <w:vAlign w:val="center"/>
          </w:tcPr>
          <w:p w14:paraId="1E0F44CC">
            <w:pPr>
              <w:spacing w:line="300" w:lineRule="exact"/>
              <w:jc w:val="center"/>
              <w:rPr>
                <w:rFonts w:hint="eastAsia" w:ascii="Times New Roman" w:hAnsi="Times New Roman" w:cs="Times New Roman"/>
                <w:sz w:val="21"/>
                <w:szCs w:val="21"/>
                <w:lang w:val="en-US" w:eastAsia="zh-CN"/>
              </w:rPr>
            </w:pPr>
            <w:r>
              <w:rPr>
                <w:rFonts w:hint="eastAsia" w:ascii="Times New Roman" w:hAnsi="Times New Roman" w:cs="Times New Roman"/>
                <w:sz w:val="21"/>
                <w:szCs w:val="21"/>
                <w:lang w:val="en-US" w:eastAsia="zh-CN"/>
              </w:rPr>
              <w:t>0.9</w:t>
            </w:r>
          </w:p>
        </w:tc>
        <w:tc>
          <w:tcPr>
            <w:tcW w:w="683" w:type="pct"/>
            <w:tcBorders>
              <w:tl2br w:val="nil"/>
              <w:tr2bl w:val="nil"/>
            </w:tcBorders>
            <w:shd w:val="clear" w:color="auto" w:fill="auto"/>
            <w:vAlign w:val="center"/>
          </w:tcPr>
          <w:p w14:paraId="38DF02A3">
            <w:pPr>
              <w:spacing w:line="300" w:lineRule="exact"/>
              <w:jc w:val="center"/>
              <w:rPr>
                <w:rFonts w:hint="default" w:ascii="Times New Roman" w:hAnsi="Times New Roman" w:cs="Times New Roman"/>
                <w:sz w:val="21"/>
                <w:szCs w:val="21"/>
                <w:lang w:val="en-US" w:eastAsia="zh-CN"/>
              </w:rPr>
            </w:pPr>
            <w:r>
              <w:rPr>
                <w:rFonts w:hint="eastAsia" w:ascii="Times New Roman" w:hAnsi="Times New Roman" w:cs="Times New Roman"/>
                <w:sz w:val="21"/>
                <w:szCs w:val="21"/>
                <w:lang w:val="en-US" w:eastAsia="zh-CN"/>
              </w:rPr>
              <w:t>40.05%</w:t>
            </w:r>
          </w:p>
        </w:tc>
        <w:tc>
          <w:tcPr>
            <w:tcW w:w="703" w:type="pct"/>
            <w:tcBorders>
              <w:tl2br w:val="nil"/>
              <w:tr2bl w:val="nil"/>
            </w:tcBorders>
            <w:shd w:val="clear" w:color="auto" w:fill="auto"/>
            <w:vAlign w:val="center"/>
          </w:tcPr>
          <w:p w14:paraId="33E8617A">
            <w:pPr>
              <w:spacing w:line="300" w:lineRule="exact"/>
              <w:jc w:val="center"/>
              <w:rPr>
                <w:rFonts w:hint="default" w:ascii="Times New Roman" w:hAnsi="Times New Roman" w:cs="Times New Roman"/>
                <w:sz w:val="21"/>
                <w:szCs w:val="21"/>
                <w:lang w:val="en-US" w:eastAsia="zh-CN"/>
              </w:rPr>
            </w:pPr>
            <w:r>
              <w:rPr>
                <w:rFonts w:hint="eastAsia" w:ascii="Times New Roman" w:hAnsi="Times New Roman" w:cs="Times New Roman"/>
                <w:sz w:val="21"/>
                <w:szCs w:val="21"/>
                <w:lang w:val="en-US" w:eastAsia="zh-CN"/>
              </w:rPr>
              <w:t>525</w:t>
            </w:r>
          </w:p>
        </w:tc>
        <w:tc>
          <w:tcPr>
            <w:tcW w:w="733" w:type="pct"/>
            <w:tcBorders>
              <w:tl2br w:val="nil"/>
              <w:tr2bl w:val="nil"/>
            </w:tcBorders>
            <w:shd w:val="clear" w:color="auto" w:fill="auto"/>
            <w:noWrap/>
            <w:vAlign w:val="center"/>
          </w:tcPr>
          <w:p w14:paraId="5EB6F309">
            <w:pPr>
              <w:spacing w:line="300" w:lineRule="exact"/>
              <w:jc w:val="center"/>
              <w:rPr>
                <w:rFonts w:hint="default" w:ascii="Times New Roman" w:hAnsi="Times New Roman" w:cs="Times New Roman"/>
                <w:sz w:val="21"/>
                <w:szCs w:val="21"/>
                <w:lang w:val="en-US" w:eastAsia="zh-CN"/>
              </w:rPr>
            </w:pPr>
            <w:r>
              <w:rPr>
                <w:rFonts w:hint="eastAsia" w:ascii="Times New Roman" w:hAnsi="Times New Roman" w:cs="Times New Roman"/>
                <w:sz w:val="21"/>
                <w:szCs w:val="21"/>
                <w:lang w:val="en-US" w:eastAsia="zh-CN"/>
              </w:rPr>
              <w:t>225</w:t>
            </w:r>
          </w:p>
        </w:tc>
      </w:tr>
      <w:tr w14:paraId="71CC2EB2">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40" w:hRule="atLeast"/>
        </w:trPr>
        <w:tc>
          <w:tcPr>
            <w:tcW w:w="5000" w:type="pct"/>
            <w:gridSpan w:val="7"/>
            <w:tcBorders>
              <w:tl2br w:val="nil"/>
              <w:tr2bl w:val="nil"/>
            </w:tcBorders>
            <w:shd w:val="clear" w:color="auto" w:fill="auto"/>
            <w:vAlign w:val="center"/>
          </w:tcPr>
          <w:p w14:paraId="60F2992B">
            <w:pPr>
              <w:spacing w:line="300" w:lineRule="exact"/>
              <w:jc w:val="center"/>
              <w:rPr>
                <w:rFonts w:hint="default" w:ascii="Times New Roman" w:hAnsi="Times New Roman" w:cs="Times New Roman"/>
                <w:sz w:val="21"/>
                <w:szCs w:val="21"/>
              </w:rPr>
            </w:pPr>
            <w:r>
              <w:rPr>
                <w:rFonts w:hint="default" w:ascii="Times New Roman" w:hAnsi="Times New Roman" w:cs="Times New Roman"/>
                <w:sz w:val="21"/>
                <w:szCs w:val="21"/>
                <w:lang w:val="en-US" w:eastAsia="zh-CN"/>
              </w:rPr>
              <w:t>面源</w:t>
            </w:r>
          </w:p>
        </w:tc>
      </w:tr>
      <w:tr w14:paraId="60DB4084">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657" w:type="pct"/>
            <w:tcBorders>
              <w:tl2br w:val="nil"/>
              <w:tr2bl w:val="nil"/>
            </w:tcBorders>
            <w:shd w:val="clear" w:color="auto" w:fill="auto"/>
            <w:vAlign w:val="center"/>
          </w:tcPr>
          <w:p w14:paraId="5DB58C38">
            <w:pPr>
              <w:spacing w:line="300" w:lineRule="exact"/>
              <w:jc w:val="center"/>
              <w:rPr>
                <w:rFonts w:hint="default" w:ascii="Times New Roman" w:hAnsi="Times New Roman" w:cs="Times New Roman"/>
                <w:sz w:val="21"/>
                <w:szCs w:val="21"/>
              </w:rPr>
            </w:pPr>
            <w:r>
              <w:rPr>
                <w:rFonts w:hint="default" w:ascii="Times New Roman" w:hAnsi="Times New Roman" w:cs="Times New Roman"/>
                <w:sz w:val="21"/>
                <w:szCs w:val="21"/>
                <w:lang w:val="en-US" w:eastAsia="zh-CN"/>
              </w:rPr>
              <w:t>M1</w:t>
            </w:r>
          </w:p>
        </w:tc>
        <w:tc>
          <w:tcPr>
            <w:tcW w:w="693" w:type="pct"/>
            <w:tcBorders>
              <w:tl2br w:val="nil"/>
              <w:tr2bl w:val="nil"/>
            </w:tcBorders>
            <w:shd w:val="clear" w:color="auto" w:fill="auto"/>
            <w:vAlign w:val="center"/>
          </w:tcPr>
          <w:p w14:paraId="7A730026">
            <w:pPr>
              <w:spacing w:line="300" w:lineRule="exact"/>
              <w:jc w:val="center"/>
              <w:rPr>
                <w:rFonts w:hint="default" w:ascii="Times New Roman" w:hAnsi="Times New Roman" w:cs="Times New Roman"/>
                <w:sz w:val="21"/>
                <w:szCs w:val="21"/>
              </w:rPr>
            </w:pPr>
            <w:r>
              <w:rPr>
                <w:rFonts w:hint="eastAsia" w:ascii="Times New Roman" w:hAnsi="Times New Roman" w:cs="Times New Roman"/>
                <w:sz w:val="21"/>
                <w:szCs w:val="21"/>
                <w:lang w:val="en-US" w:eastAsia="zh-CN"/>
              </w:rPr>
              <w:t>颗粒物</w:t>
            </w:r>
          </w:p>
        </w:tc>
        <w:tc>
          <w:tcPr>
            <w:tcW w:w="734" w:type="pct"/>
            <w:tcBorders>
              <w:tl2br w:val="nil"/>
              <w:tr2bl w:val="nil"/>
            </w:tcBorders>
            <w:shd w:val="clear" w:color="auto" w:fill="auto"/>
            <w:vAlign w:val="center"/>
          </w:tcPr>
          <w:p w14:paraId="7CD0009D">
            <w:pPr>
              <w:spacing w:line="300" w:lineRule="exact"/>
              <w:jc w:val="center"/>
              <w:rPr>
                <w:rFonts w:hint="default" w:ascii="Times New Roman" w:hAnsi="Times New Roman" w:cs="Times New Roman"/>
                <w:sz w:val="21"/>
                <w:szCs w:val="21"/>
              </w:rPr>
            </w:pPr>
            <w:r>
              <w:rPr>
                <w:rFonts w:hint="eastAsia" w:ascii="Times New Roman" w:hAnsi="Times New Roman" w:cs="Times New Roman"/>
                <w:sz w:val="21"/>
                <w:szCs w:val="21"/>
                <w:lang w:val="en-US" w:eastAsia="zh-CN"/>
              </w:rPr>
              <w:t>7.62</w:t>
            </w:r>
            <w:r>
              <w:rPr>
                <w:rFonts w:hint="default" w:ascii="Times New Roman" w:hAnsi="Times New Roman" w:cs="Times New Roman"/>
                <w:sz w:val="21"/>
                <w:szCs w:val="21"/>
                <w:lang w:val="en-US" w:eastAsia="zh-CN"/>
              </w:rPr>
              <w:t>E-02</w:t>
            </w:r>
          </w:p>
        </w:tc>
        <w:tc>
          <w:tcPr>
            <w:tcW w:w="795" w:type="pct"/>
            <w:tcBorders>
              <w:tl2br w:val="nil"/>
              <w:tr2bl w:val="nil"/>
            </w:tcBorders>
            <w:shd w:val="clear" w:color="auto" w:fill="auto"/>
            <w:vAlign w:val="center"/>
          </w:tcPr>
          <w:p w14:paraId="759A94ED">
            <w:pPr>
              <w:spacing w:line="300" w:lineRule="exact"/>
              <w:jc w:val="center"/>
              <w:rPr>
                <w:rFonts w:hint="default" w:ascii="Times New Roman" w:hAnsi="Times New Roman" w:cs="Times New Roman"/>
                <w:sz w:val="21"/>
                <w:szCs w:val="21"/>
              </w:rPr>
            </w:pPr>
            <w:r>
              <w:rPr>
                <w:rFonts w:hint="default" w:ascii="Times New Roman" w:hAnsi="Times New Roman" w:cs="Times New Roman"/>
                <w:sz w:val="21"/>
                <w:szCs w:val="21"/>
                <w:lang w:val="en-US" w:eastAsia="zh-CN"/>
              </w:rPr>
              <w:t>0.9</w:t>
            </w:r>
          </w:p>
        </w:tc>
        <w:tc>
          <w:tcPr>
            <w:tcW w:w="683" w:type="pct"/>
            <w:tcBorders>
              <w:tl2br w:val="nil"/>
              <w:tr2bl w:val="nil"/>
            </w:tcBorders>
            <w:shd w:val="clear" w:color="auto" w:fill="auto"/>
            <w:vAlign w:val="center"/>
          </w:tcPr>
          <w:p w14:paraId="1A5B8F32">
            <w:pPr>
              <w:spacing w:line="300" w:lineRule="exact"/>
              <w:jc w:val="center"/>
              <w:rPr>
                <w:rFonts w:hint="default" w:ascii="Times New Roman" w:hAnsi="Times New Roman" w:cs="Times New Roman"/>
                <w:sz w:val="21"/>
                <w:szCs w:val="21"/>
                <w:lang w:val="en-US" w:eastAsia="zh-CN"/>
              </w:rPr>
            </w:pPr>
            <w:r>
              <w:rPr>
                <w:rFonts w:hint="eastAsia" w:ascii="Times New Roman" w:hAnsi="Times New Roman" w:cs="Times New Roman"/>
                <w:sz w:val="21"/>
                <w:szCs w:val="21"/>
                <w:lang w:val="en-US" w:eastAsia="zh-CN"/>
              </w:rPr>
              <w:t>8.47%</w:t>
            </w:r>
          </w:p>
        </w:tc>
        <w:tc>
          <w:tcPr>
            <w:tcW w:w="703" w:type="pct"/>
            <w:tcBorders>
              <w:tl2br w:val="nil"/>
              <w:tr2bl w:val="nil"/>
            </w:tcBorders>
            <w:shd w:val="clear" w:color="auto" w:fill="auto"/>
            <w:vAlign w:val="center"/>
          </w:tcPr>
          <w:p w14:paraId="7E419BCC">
            <w:pPr>
              <w:spacing w:line="300" w:lineRule="exact"/>
              <w:jc w:val="center"/>
              <w:rPr>
                <w:rFonts w:hint="default" w:ascii="Times New Roman" w:hAnsi="Times New Roman" w:cs="Times New Roman"/>
                <w:sz w:val="21"/>
                <w:szCs w:val="21"/>
              </w:rPr>
            </w:pPr>
            <w:r>
              <w:rPr>
                <w:rFonts w:hint="default" w:ascii="Times New Roman" w:hAnsi="Times New Roman" w:cs="Times New Roman"/>
                <w:sz w:val="21"/>
                <w:szCs w:val="21"/>
                <w:lang w:val="en-US" w:eastAsia="zh-CN"/>
              </w:rPr>
              <w:t>/</w:t>
            </w:r>
          </w:p>
        </w:tc>
        <w:tc>
          <w:tcPr>
            <w:tcW w:w="733" w:type="pct"/>
            <w:tcBorders>
              <w:tl2br w:val="nil"/>
              <w:tr2bl w:val="nil"/>
            </w:tcBorders>
            <w:shd w:val="clear" w:color="auto" w:fill="auto"/>
            <w:noWrap/>
            <w:vAlign w:val="center"/>
          </w:tcPr>
          <w:p w14:paraId="6229BC18">
            <w:pPr>
              <w:spacing w:line="300" w:lineRule="exact"/>
              <w:jc w:val="center"/>
              <w:rPr>
                <w:rFonts w:hint="default" w:ascii="Times New Roman" w:hAnsi="Times New Roman" w:cs="Times New Roman"/>
                <w:sz w:val="21"/>
                <w:szCs w:val="21"/>
                <w:lang w:val="en-US" w:eastAsia="zh-CN"/>
              </w:rPr>
            </w:pPr>
            <w:r>
              <w:rPr>
                <w:rFonts w:hint="eastAsia" w:ascii="Times New Roman" w:hAnsi="Times New Roman" w:cs="Times New Roman"/>
                <w:sz w:val="21"/>
                <w:szCs w:val="21"/>
                <w:lang w:val="en-US" w:eastAsia="zh-CN"/>
              </w:rPr>
              <w:t>69</w:t>
            </w:r>
          </w:p>
        </w:tc>
      </w:tr>
      <w:tr w14:paraId="54A285FB">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5" w:hRule="atLeast"/>
        </w:trPr>
        <w:tc>
          <w:tcPr>
            <w:tcW w:w="657" w:type="pct"/>
            <w:tcBorders>
              <w:tl2br w:val="nil"/>
              <w:tr2bl w:val="nil"/>
            </w:tcBorders>
            <w:shd w:val="clear" w:color="auto" w:fill="auto"/>
            <w:vAlign w:val="center"/>
          </w:tcPr>
          <w:p w14:paraId="1474DD57">
            <w:pPr>
              <w:spacing w:line="300" w:lineRule="exact"/>
              <w:jc w:val="center"/>
              <w:rPr>
                <w:rFonts w:hint="default" w:ascii="Times New Roman" w:hAnsi="Times New Roman" w:cs="Times New Roman"/>
                <w:sz w:val="21"/>
                <w:szCs w:val="21"/>
                <w:lang w:val="en-US" w:eastAsia="zh-CN"/>
              </w:rPr>
            </w:pPr>
            <w:r>
              <w:rPr>
                <w:rFonts w:hint="eastAsia" w:ascii="Times New Roman" w:hAnsi="Times New Roman" w:cs="Times New Roman"/>
                <w:sz w:val="21"/>
                <w:szCs w:val="21"/>
                <w:lang w:val="en-US" w:eastAsia="zh-CN"/>
              </w:rPr>
              <w:t>M2</w:t>
            </w:r>
          </w:p>
        </w:tc>
        <w:tc>
          <w:tcPr>
            <w:tcW w:w="693" w:type="pct"/>
            <w:tcBorders>
              <w:tl2br w:val="nil"/>
              <w:tr2bl w:val="nil"/>
            </w:tcBorders>
            <w:shd w:val="clear" w:color="auto" w:fill="auto"/>
            <w:vAlign w:val="center"/>
          </w:tcPr>
          <w:p w14:paraId="0015885C">
            <w:pPr>
              <w:spacing w:line="300" w:lineRule="exact"/>
              <w:jc w:val="center"/>
              <w:rPr>
                <w:rFonts w:hint="default" w:ascii="Times New Roman" w:hAnsi="Times New Roman" w:cs="Times New Roman"/>
                <w:sz w:val="21"/>
                <w:szCs w:val="21"/>
                <w:lang w:val="en-US" w:eastAsia="zh-CN"/>
              </w:rPr>
            </w:pPr>
            <w:r>
              <w:rPr>
                <w:rFonts w:hint="eastAsia" w:ascii="Times New Roman" w:hAnsi="Times New Roman" w:cs="Times New Roman"/>
                <w:sz w:val="21"/>
                <w:szCs w:val="21"/>
                <w:lang w:val="en-US" w:eastAsia="zh-CN"/>
              </w:rPr>
              <w:t>颗粒物</w:t>
            </w:r>
          </w:p>
        </w:tc>
        <w:tc>
          <w:tcPr>
            <w:tcW w:w="734" w:type="pct"/>
            <w:tcBorders>
              <w:tl2br w:val="nil"/>
              <w:tr2bl w:val="nil"/>
            </w:tcBorders>
            <w:shd w:val="clear" w:color="auto" w:fill="auto"/>
            <w:vAlign w:val="center"/>
          </w:tcPr>
          <w:p w14:paraId="2C0613D8">
            <w:pPr>
              <w:spacing w:line="300" w:lineRule="exact"/>
              <w:jc w:val="center"/>
              <w:rPr>
                <w:rFonts w:hint="default" w:ascii="Times New Roman" w:hAnsi="Times New Roman" w:cs="Times New Roman"/>
                <w:sz w:val="21"/>
                <w:szCs w:val="21"/>
                <w:lang w:val="en-US" w:eastAsia="zh-CN"/>
              </w:rPr>
            </w:pPr>
            <w:r>
              <w:rPr>
                <w:rFonts w:hint="eastAsia" w:ascii="Times New Roman" w:hAnsi="Times New Roman" w:cs="Times New Roman"/>
                <w:sz w:val="21"/>
                <w:szCs w:val="21"/>
                <w:lang w:val="en-US" w:eastAsia="zh-CN"/>
              </w:rPr>
              <w:t>5.52</w:t>
            </w:r>
            <w:r>
              <w:rPr>
                <w:rFonts w:hint="default" w:ascii="Times New Roman" w:hAnsi="Times New Roman" w:cs="Times New Roman"/>
                <w:sz w:val="21"/>
                <w:szCs w:val="21"/>
                <w:lang w:val="en-US" w:eastAsia="zh-CN"/>
              </w:rPr>
              <w:t>E-02</w:t>
            </w:r>
          </w:p>
        </w:tc>
        <w:tc>
          <w:tcPr>
            <w:tcW w:w="795" w:type="pct"/>
            <w:tcBorders>
              <w:tl2br w:val="nil"/>
              <w:tr2bl w:val="nil"/>
            </w:tcBorders>
            <w:shd w:val="clear" w:color="auto" w:fill="auto"/>
            <w:vAlign w:val="center"/>
          </w:tcPr>
          <w:p w14:paraId="68884E4B">
            <w:pPr>
              <w:spacing w:line="300" w:lineRule="exact"/>
              <w:jc w:val="center"/>
              <w:rPr>
                <w:rFonts w:hint="default" w:ascii="Times New Roman" w:hAnsi="Times New Roman" w:cs="Times New Roman"/>
                <w:sz w:val="21"/>
                <w:szCs w:val="21"/>
                <w:lang w:val="en-US" w:eastAsia="zh-CN"/>
              </w:rPr>
            </w:pPr>
            <w:r>
              <w:rPr>
                <w:rFonts w:hint="eastAsia" w:ascii="Times New Roman" w:hAnsi="Times New Roman" w:cs="Times New Roman"/>
                <w:sz w:val="21"/>
                <w:szCs w:val="21"/>
                <w:lang w:val="en-US" w:eastAsia="zh-CN"/>
              </w:rPr>
              <w:t>0.9</w:t>
            </w:r>
          </w:p>
        </w:tc>
        <w:tc>
          <w:tcPr>
            <w:tcW w:w="683" w:type="pct"/>
            <w:tcBorders>
              <w:tl2br w:val="nil"/>
              <w:tr2bl w:val="nil"/>
            </w:tcBorders>
            <w:shd w:val="clear" w:color="auto" w:fill="auto"/>
            <w:vAlign w:val="center"/>
          </w:tcPr>
          <w:p w14:paraId="7ED7973B">
            <w:pPr>
              <w:spacing w:line="300" w:lineRule="exact"/>
              <w:jc w:val="center"/>
              <w:rPr>
                <w:rFonts w:hint="default" w:ascii="Times New Roman" w:hAnsi="Times New Roman" w:cs="Times New Roman"/>
                <w:sz w:val="21"/>
                <w:szCs w:val="21"/>
                <w:lang w:val="en-US" w:eastAsia="zh-CN"/>
              </w:rPr>
            </w:pPr>
            <w:r>
              <w:rPr>
                <w:rFonts w:hint="eastAsia" w:ascii="Times New Roman" w:hAnsi="Times New Roman" w:cs="Times New Roman"/>
                <w:sz w:val="21"/>
                <w:szCs w:val="21"/>
                <w:lang w:val="en-US" w:eastAsia="zh-CN"/>
              </w:rPr>
              <w:t>6.13%</w:t>
            </w:r>
          </w:p>
        </w:tc>
        <w:tc>
          <w:tcPr>
            <w:tcW w:w="703" w:type="pct"/>
            <w:tcBorders>
              <w:tl2br w:val="nil"/>
              <w:tr2bl w:val="nil"/>
            </w:tcBorders>
            <w:shd w:val="clear" w:color="auto" w:fill="auto"/>
            <w:vAlign w:val="center"/>
          </w:tcPr>
          <w:p w14:paraId="73C907AF">
            <w:pPr>
              <w:spacing w:line="300" w:lineRule="exact"/>
              <w:jc w:val="center"/>
              <w:rPr>
                <w:rFonts w:hint="default" w:ascii="Times New Roman" w:hAnsi="Times New Roman" w:cs="Times New Roman"/>
                <w:sz w:val="21"/>
                <w:szCs w:val="21"/>
                <w:lang w:val="en-US" w:eastAsia="zh-CN"/>
              </w:rPr>
            </w:pPr>
            <w:r>
              <w:rPr>
                <w:rFonts w:hint="eastAsia" w:ascii="Times New Roman" w:hAnsi="Times New Roman" w:cs="Times New Roman"/>
                <w:sz w:val="21"/>
                <w:szCs w:val="21"/>
                <w:lang w:val="en-US" w:eastAsia="zh-CN"/>
              </w:rPr>
              <w:t>/</w:t>
            </w:r>
          </w:p>
        </w:tc>
        <w:tc>
          <w:tcPr>
            <w:tcW w:w="733" w:type="pct"/>
            <w:tcBorders>
              <w:tl2br w:val="nil"/>
              <w:tr2bl w:val="nil"/>
            </w:tcBorders>
            <w:shd w:val="clear" w:color="auto" w:fill="auto"/>
            <w:noWrap/>
            <w:vAlign w:val="center"/>
          </w:tcPr>
          <w:p w14:paraId="2A77028F">
            <w:pPr>
              <w:spacing w:line="300" w:lineRule="exact"/>
              <w:jc w:val="center"/>
              <w:rPr>
                <w:rFonts w:hint="default" w:ascii="Times New Roman" w:hAnsi="Times New Roman" w:cs="Times New Roman"/>
                <w:sz w:val="21"/>
                <w:szCs w:val="21"/>
                <w:lang w:val="en-US" w:eastAsia="zh-CN"/>
              </w:rPr>
            </w:pPr>
            <w:r>
              <w:rPr>
                <w:rFonts w:hint="eastAsia" w:ascii="Times New Roman" w:hAnsi="Times New Roman" w:cs="Times New Roman"/>
                <w:sz w:val="21"/>
                <w:szCs w:val="21"/>
                <w:lang w:val="en-US" w:eastAsia="zh-CN"/>
              </w:rPr>
              <w:t>47</w:t>
            </w:r>
          </w:p>
        </w:tc>
      </w:tr>
      <w:tr w14:paraId="249064B5">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657" w:type="pct"/>
            <w:tcBorders>
              <w:tl2br w:val="nil"/>
              <w:tr2bl w:val="nil"/>
            </w:tcBorders>
            <w:shd w:val="clear" w:color="auto" w:fill="auto"/>
            <w:vAlign w:val="center"/>
          </w:tcPr>
          <w:p w14:paraId="0DC196BA">
            <w:pPr>
              <w:spacing w:line="300" w:lineRule="exact"/>
              <w:jc w:val="center"/>
              <w:rPr>
                <w:rFonts w:hint="default" w:ascii="Times New Roman" w:hAnsi="Times New Roman" w:cs="Times New Roman"/>
                <w:sz w:val="21"/>
                <w:szCs w:val="21"/>
                <w:lang w:val="en-US" w:eastAsia="zh-CN"/>
              </w:rPr>
            </w:pPr>
            <w:r>
              <w:rPr>
                <w:rFonts w:hint="eastAsia" w:ascii="Times New Roman" w:hAnsi="Times New Roman" w:cs="Times New Roman"/>
                <w:sz w:val="21"/>
                <w:szCs w:val="21"/>
                <w:lang w:val="en-US" w:eastAsia="zh-CN"/>
              </w:rPr>
              <w:t>M3</w:t>
            </w:r>
          </w:p>
        </w:tc>
        <w:tc>
          <w:tcPr>
            <w:tcW w:w="693" w:type="pct"/>
            <w:tcBorders>
              <w:tl2br w:val="nil"/>
              <w:tr2bl w:val="nil"/>
            </w:tcBorders>
            <w:shd w:val="clear" w:color="auto" w:fill="auto"/>
            <w:vAlign w:val="center"/>
          </w:tcPr>
          <w:p w14:paraId="494E9A00">
            <w:pPr>
              <w:spacing w:line="300" w:lineRule="exact"/>
              <w:jc w:val="center"/>
              <w:rPr>
                <w:rFonts w:hint="eastAsia" w:ascii="Times New Roman" w:hAnsi="Times New Roman" w:cs="Times New Roman"/>
                <w:sz w:val="21"/>
                <w:szCs w:val="21"/>
                <w:lang w:val="en-US" w:eastAsia="zh-CN"/>
              </w:rPr>
            </w:pPr>
            <w:r>
              <w:rPr>
                <w:rFonts w:hint="eastAsia" w:ascii="Times New Roman" w:hAnsi="Times New Roman" w:cs="Times New Roman"/>
                <w:sz w:val="21"/>
                <w:szCs w:val="21"/>
                <w:lang w:val="en-US" w:eastAsia="zh-CN"/>
              </w:rPr>
              <w:t>氨</w:t>
            </w:r>
          </w:p>
        </w:tc>
        <w:tc>
          <w:tcPr>
            <w:tcW w:w="734" w:type="pct"/>
            <w:tcBorders>
              <w:tl2br w:val="nil"/>
              <w:tr2bl w:val="nil"/>
            </w:tcBorders>
            <w:shd w:val="clear" w:color="auto" w:fill="auto"/>
            <w:vAlign w:val="center"/>
          </w:tcPr>
          <w:p w14:paraId="70E1B491">
            <w:pPr>
              <w:spacing w:line="300" w:lineRule="exact"/>
              <w:jc w:val="center"/>
              <w:rPr>
                <w:rFonts w:hint="default" w:ascii="Times New Roman" w:hAnsi="Times New Roman" w:cs="Times New Roman"/>
                <w:sz w:val="21"/>
                <w:szCs w:val="21"/>
                <w:lang w:val="en-US" w:eastAsia="zh-CN"/>
              </w:rPr>
            </w:pPr>
            <w:r>
              <w:rPr>
                <w:rFonts w:hint="eastAsia" w:ascii="Times New Roman" w:hAnsi="Times New Roman" w:cs="Times New Roman"/>
                <w:sz w:val="21"/>
                <w:szCs w:val="21"/>
                <w:lang w:val="en-US" w:eastAsia="zh-CN"/>
              </w:rPr>
              <w:t>1.99</w:t>
            </w:r>
            <w:r>
              <w:rPr>
                <w:rFonts w:hint="default" w:ascii="Times New Roman" w:hAnsi="Times New Roman" w:cs="Times New Roman"/>
                <w:sz w:val="21"/>
                <w:szCs w:val="21"/>
                <w:lang w:val="en-US" w:eastAsia="zh-CN"/>
              </w:rPr>
              <w:t>E-02</w:t>
            </w:r>
          </w:p>
        </w:tc>
        <w:tc>
          <w:tcPr>
            <w:tcW w:w="795" w:type="pct"/>
            <w:tcBorders>
              <w:tl2br w:val="nil"/>
              <w:tr2bl w:val="nil"/>
            </w:tcBorders>
            <w:shd w:val="clear" w:color="auto" w:fill="auto"/>
            <w:vAlign w:val="center"/>
          </w:tcPr>
          <w:p w14:paraId="4F8731F2">
            <w:pPr>
              <w:spacing w:line="300" w:lineRule="exact"/>
              <w:jc w:val="center"/>
              <w:rPr>
                <w:rFonts w:hint="default" w:ascii="Times New Roman" w:hAnsi="Times New Roman" w:cs="Times New Roman"/>
                <w:sz w:val="21"/>
                <w:szCs w:val="21"/>
                <w:lang w:val="en-US" w:eastAsia="zh-CN"/>
              </w:rPr>
            </w:pPr>
            <w:r>
              <w:rPr>
                <w:rFonts w:hint="eastAsia" w:ascii="Times New Roman" w:hAnsi="Times New Roman" w:cs="Times New Roman"/>
                <w:sz w:val="21"/>
                <w:szCs w:val="21"/>
                <w:lang w:val="en-US" w:eastAsia="zh-CN"/>
              </w:rPr>
              <w:t>0.2</w:t>
            </w:r>
          </w:p>
        </w:tc>
        <w:tc>
          <w:tcPr>
            <w:tcW w:w="683" w:type="pct"/>
            <w:tcBorders>
              <w:tl2br w:val="nil"/>
              <w:tr2bl w:val="nil"/>
            </w:tcBorders>
            <w:shd w:val="clear" w:color="auto" w:fill="auto"/>
            <w:vAlign w:val="center"/>
          </w:tcPr>
          <w:p w14:paraId="43590860">
            <w:pPr>
              <w:spacing w:line="300" w:lineRule="exact"/>
              <w:jc w:val="center"/>
              <w:rPr>
                <w:rFonts w:hint="default" w:ascii="Times New Roman" w:hAnsi="Times New Roman" w:cs="Times New Roman"/>
                <w:sz w:val="21"/>
                <w:szCs w:val="21"/>
                <w:lang w:val="en-US" w:eastAsia="zh-CN"/>
              </w:rPr>
            </w:pPr>
            <w:r>
              <w:rPr>
                <w:rFonts w:hint="eastAsia" w:ascii="Times New Roman" w:hAnsi="Times New Roman" w:cs="Times New Roman"/>
                <w:sz w:val="21"/>
                <w:szCs w:val="21"/>
                <w:lang w:val="en-US" w:eastAsia="zh-CN"/>
              </w:rPr>
              <w:t>9.97%</w:t>
            </w:r>
          </w:p>
        </w:tc>
        <w:tc>
          <w:tcPr>
            <w:tcW w:w="703" w:type="pct"/>
            <w:tcBorders>
              <w:tl2br w:val="nil"/>
              <w:tr2bl w:val="nil"/>
            </w:tcBorders>
            <w:shd w:val="clear" w:color="auto" w:fill="auto"/>
            <w:vAlign w:val="center"/>
          </w:tcPr>
          <w:p w14:paraId="46D005F2">
            <w:pPr>
              <w:spacing w:line="300" w:lineRule="exact"/>
              <w:jc w:val="center"/>
              <w:rPr>
                <w:rFonts w:hint="default" w:ascii="Times New Roman" w:hAnsi="Times New Roman" w:cs="Times New Roman"/>
                <w:sz w:val="21"/>
                <w:szCs w:val="21"/>
                <w:lang w:val="en-US" w:eastAsia="zh-CN"/>
              </w:rPr>
            </w:pPr>
            <w:r>
              <w:rPr>
                <w:rFonts w:hint="eastAsia" w:ascii="Times New Roman" w:hAnsi="Times New Roman" w:cs="Times New Roman"/>
                <w:sz w:val="21"/>
                <w:szCs w:val="21"/>
                <w:lang w:val="en-US" w:eastAsia="zh-CN"/>
              </w:rPr>
              <w:t>/</w:t>
            </w:r>
          </w:p>
        </w:tc>
        <w:tc>
          <w:tcPr>
            <w:tcW w:w="733" w:type="pct"/>
            <w:tcBorders>
              <w:tl2br w:val="nil"/>
              <w:tr2bl w:val="nil"/>
            </w:tcBorders>
            <w:shd w:val="clear" w:color="auto" w:fill="auto"/>
            <w:noWrap/>
            <w:vAlign w:val="center"/>
          </w:tcPr>
          <w:p w14:paraId="0DAA2BF3">
            <w:pPr>
              <w:spacing w:line="300" w:lineRule="exact"/>
              <w:jc w:val="center"/>
              <w:rPr>
                <w:rFonts w:hint="default" w:ascii="Times New Roman" w:hAnsi="Times New Roman" w:cs="Times New Roman"/>
                <w:sz w:val="21"/>
                <w:szCs w:val="21"/>
                <w:lang w:val="en-US" w:eastAsia="zh-CN"/>
              </w:rPr>
            </w:pPr>
            <w:r>
              <w:rPr>
                <w:rFonts w:hint="eastAsia" w:ascii="Times New Roman" w:hAnsi="Times New Roman" w:cs="Times New Roman"/>
                <w:sz w:val="21"/>
                <w:szCs w:val="21"/>
                <w:lang w:val="en-US" w:eastAsia="zh-CN"/>
              </w:rPr>
              <w:t>10</w:t>
            </w:r>
          </w:p>
        </w:tc>
      </w:tr>
    </w:tbl>
    <w:p w14:paraId="30D90070">
      <w:pPr>
        <w:pStyle w:val="470"/>
        <w:spacing w:line="500" w:lineRule="exact"/>
        <w:rPr>
          <w:rFonts w:ascii="Times New Roman" w:hAnsi="Times New Roman"/>
        </w:rPr>
      </w:pPr>
    </w:p>
    <w:p w14:paraId="2F448F3B">
      <w:pPr>
        <w:pStyle w:val="470"/>
        <w:spacing w:line="500" w:lineRule="exact"/>
        <w:rPr>
          <w:rFonts w:ascii="Times New Roman" w:hAnsi="Times New Roman"/>
        </w:rPr>
      </w:pPr>
      <w:r>
        <w:rPr>
          <w:rFonts w:ascii="Times New Roman" w:hAnsi="Times New Roman"/>
        </w:rPr>
        <w:t>通过计算结果分析，</w:t>
      </w:r>
      <w:r>
        <w:rPr>
          <w:rFonts w:hint="eastAsia" w:ascii="Times New Roman" w:hAnsi="Times New Roman"/>
        </w:rPr>
        <w:t>DA005</w:t>
      </w:r>
      <w:r>
        <w:rPr>
          <w:rFonts w:ascii="Times New Roman" w:hAnsi="Times New Roman"/>
          <w:lang w:eastAsia="zh-CN"/>
        </w:rPr>
        <w:t>排放的颗粒物</w:t>
      </w:r>
      <w:r>
        <w:rPr>
          <w:rFonts w:ascii="Times New Roman" w:hAnsi="Times New Roman"/>
        </w:rPr>
        <w:t>占标率最大，为</w:t>
      </w:r>
      <w:r>
        <w:rPr>
          <w:rFonts w:hint="eastAsia" w:ascii="Times New Roman" w:hAnsi="Times New Roman"/>
        </w:rPr>
        <w:t>79.77</w:t>
      </w:r>
      <w:r>
        <w:rPr>
          <w:rFonts w:ascii="Times New Roman" w:hAnsi="Times New Roman"/>
        </w:rPr>
        <w:t>%＞10%，根据大气评价工作等级划分依据应确定为一级。</w:t>
      </w:r>
    </w:p>
    <w:p w14:paraId="64783B4E">
      <w:pPr>
        <w:pStyle w:val="133"/>
      </w:pPr>
      <w:r>
        <w:t>1.5.1.2 大气评价范围</w:t>
      </w:r>
    </w:p>
    <w:p w14:paraId="794AA45D">
      <w:pPr>
        <w:tabs>
          <w:tab w:val="left" w:pos="6580"/>
        </w:tabs>
        <w:spacing w:line="500" w:lineRule="exact"/>
        <w:ind w:firstLine="480" w:firstLineChars="200"/>
        <w:jc w:val="both"/>
        <w:rPr>
          <w:rFonts w:ascii="Times New Roman" w:hAnsi="Times New Roman" w:cs="Times New Roman"/>
        </w:rPr>
      </w:pPr>
      <w:r>
        <w:rPr>
          <w:rFonts w:hint="eastAsia" w:ascii="Times New Roman" w:hAnsi="Times New Roman" w:cs="Times New Roman"/>
        </w:rPr>
        <w:t>根据估算模型计算结果，并结合HJ2.2-2018的相关规定，一级评价项目根据建设项目排放污染物的最远影响距离（D10%）确定大气环境影响评价范围。本项目D10%的最大距离为3100米，因此，确定本项目环境空气评价范围为：以点源排气筒为中心，边长5.0km×5.0km的矩形区域，评价范围面积25.0km</w:t>
      </w:r>
      <w:r>
        <w:rPr>
          <w:rFonts w:hint="eastAsia" w:ascii="Times New Roman" w:hAnsi="Times New Roman" w:cs="Times New Roman"/>
          <w:vertAlign w:val="superscript"/>
        </w:rPr>
        <w:t>2</w:t>
      </w:r>
      <w:r>
        <w:rPr>
          <w:rFonts w:hint="eastAsia" w:ascii="Times New Roman" w:hAnsi="Times New Roman" w:cs="Times New Roman"/>
        </w:rPr>
        <w:t>。</w:t>
      </w:r>
      <w:r>
        <w:rPr>
          <w:rFonts w:ascii="Times New Roman" w:hAnsi="Times New Roman" w:cs="Times New Roman"/>
        </w:rPr>
        <w:t>详见图1.5-2。</w:t>
      </w:r>
    </w:p>
    <w:p w14:paraId="11A1D06D">
      <w:pPr>
        <w:spacing w:line="500" w:lineRule="exact"/>
        <w:ind w:right="6" w:firstLine="480" w:firstLineChars="200"/>
        <w:rPr>
          <w:rFonts w:ascii="Times New Roman" w:hAnsi="Times New Roman" w:cs="Times New Roman"/>
        </w:rPr>
      </w:pPr>
    </w:p>
    <w:p w14:paraId="5D6DEB7E">
      <w:pPr>
        <w:spacing w:line="500" w:lineRule="exact"/>
        <w:ind w:right="6" w:firstLine="480" w:firstLineChars="200"/>
        <w:rPr>
          <w:rFonts w:hint="eastAsia" w:ascii="Times New Roman" w:hAnsi="Times New Roman" w:cs="Times New Roman"/>
        </w:rPr>
        <w:sectPr>
          <w:headerReference r:id="rId14" w:type="default"/>
          <w:footerReference r:id="rId15" w:type="even"/>
          <w:pgSz w:w="11907" w:h="16840"/>
          <w:pgMar w:top="1701" w:right="1701" w:bottom="1701" w:left="1701" w:header="851" w:footer="1077" w:gutter="0"/>
          <w:pgBorders w:offsetFrom="page">
            <w:top w:val="none" w:sz="0" w:space="0"/>
            <w:left w:val="none" w:sz="0" w:space="0"/>
            <w:bottom w:val="none" w:sz="0" w:space="0"/>
            <w:right w:val="none" w:sz="0" w:space="0"/>
          </w:pgBorders>
          <w:pgNumType w:fmt="decimal"/>
          <w:cols w:space="720" w:num="1"/>
          <w:docGrid w:type="lines" w:linePitch="479" w:charSpace="0"/>
        </w:sectPr>
      </w:pPr>
    </w:p>
    <w:p w14:paraId="61518F03">
      <w:pPr>
        <w:ind w:right="6"/>
        <w:jc w:val="center"/>
        <w:rPr>
          <w:rFonts w:hint="eastAsia"/>
        </w:rPr>
      </w:pPr>
      <w:r>
        <mc:AlternateContent>
          <mc:Choice Requires="wps">
            <w:drawing>
              <wp:anchor distT="0" distB="0" distL="114300" distR="114300" simplePos="0" relativeHeight="251716608" behindDoc="0" locked="0" layoutInCell="1" allowOverlap="1">
                <wp:simplePos x="0" y="0"/>
                <wp:positionH relativeFrom="column">
                  <wp:posOffset>396875</wp:posOffset>
                </wp:positionH>
                <wp:positionV relativeFrom="paragraph">
                  <wp:posOffset>-84455</wp:posOffset>
                </wp:positionV>
                <wp:extent cx="860425" cy="4445"/>
                <wp:effectExtent l="0" t="0" r="0" b="0"/>
                <wp:wrapNone/>
                <wp:docPr id="75" name="自选图形 4631"/>
                <wp:cNvGraphicFramePr/>
                <a:graphic xmlns:a="http://schemas.openxmlformats.org/drawingml/2006/main">
                  <a:graphicData uri="http://schemas.microsoft.com/office/word/2010/wordprocessingShape">
                    <wps:wsp>
                      <wps:cNvCnPr/>
                      <wps:spPr>
                        <a:xfrm>
                          <a:off x="0" y="0"/>
                          <a:ext cx="860425" cy="4445"/>
                        </a:xfrm>
                        <a:prstGeom prst="straightConnector1">
                          <a:avLst/>
                        </a:prstGeom>
                        <a:ln>
                          <a:noFill/>
                        </a:ln>
                      </wps:spPr>
                      <wps:bodyPr/>
                    </wps:wsp>
                  </a:graphicData>
                </a:graphic>
              </wp:anchor>
            </w:drawing>
          </mc:Choice>
          <mc:Fallback>
            <w:pict>
              <v:shape id="自选图形 4631" o:spid="_x0000_s1026" o:spt="32" type="#_x0000_t32" style="position:absolute;left:0pt;margin-left:31.25pt;margin-top:-6.65pt;height:0.35pt;width:67.75pt;z-index:251716608;mso-width-relative:page;mso-height-relative:page;" filled="f" stroked="f" coordsize="21600,21600" o:gfxdata="UEsDBAoAAAAAAIdO4kAAAAAAAAAAAAAAAAAEAAAAZHJzL1BLAwQUAAAACACHTuJAR7RD1NgAAAAK&#10;AQAADwAAAGRycy9kb3ducmV2LnhtbE2PsU7DMBCGdyTewTokFtTaSUVoQ5wOiG4stGVgc+MjCY3P&#10;Uew27dtzmeh4d5/++/5ifXGdOOMQWk8akrkCgVR521KtYb/bzJYgQjRkTecJNVwxwLq8vytMbv1I&#10;n3jexlpwCIXcaGhi7HMpQ9WgM2HueyS+/fjBmcjjUEs7mJHDXSdTpTLpTEv8oTE9vjVYHbcnp6H9&#10;2FfW/76vnl7it1ObY737uo5aPz4k6hVExEv8h2HSZ3Uo2engT2SD6DRk6TOTGmbJYgFiAlZLLneY&#10;NmkGsizkbYXyD1BLAwQUAAAACACHTuJAFpB0zKkBAAA0AwAADgAAAGRycy9lMm9Eb2MueG1srVLN&#10;btQwEL4j8Q6W72yyS7pU0WZ76KpcEKwEPIDrOBtLsceacffnxg3xDNw48g7wNpXKWzB2lm3VXnrg&#10;Mp6fzDfzfZPFxd4NYmuQLPhGTielFMZraK3fNPLzp6tX51JQVL5VA3jTyIMhebF8+WKxC7WZQQ9D&#10;a1AwiKd6FxrZxxjqoiDdG6doAsF4LnaATkUOcVO0qHaM7oZiVpbzYgfYBgRtiDi7GovyiIjPAYSu&#10;s9qsQN844+OIimZQkSlRbwPJZd6264yOH7qOTBRDI5lpzJaHsH+dbLFcqHqDKvRWH1dQz1nhESen&#10;rOehJ6iVikrcoH0C5axGIOjiRIMrRiJZEWYxLR9p87FXwWQuLDWFk+j0/2D1++0ahW0b+eZMCq8c&#10;X/zu688/X77dfv99++uHqOavp0mlXaCaP770azxGFNaYKO87dOllMmKflT2clDX7KDQnz+dlNeMB&#10;mktVVZ0lxOK+NSDFtwacSE4jKaKymz5egvd8QcBp1lZt31EcG/81pLmDT9bDlR2GsZoyRVp4XDF5&#10;19Ae8uY5z2Lm+cfDp2s9jHP3/c++/At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AaBAAAW0NvbnRlbnRfVHlwZXNdLnhtbFBLAQIUAAoAAAAAAIdO&#10;4kAAAAAAAAAAAAAAAAAGAAAAAAAAAAAAEAAAAPwCAABfcmVscy9QSwECFAAUAAAACACHTuJAihRm&#10;PNEAAACUAQAACwAAAAAAAAABACAAAAAgAwAAX3JlbHMvLnJlbHNQSwECFAAKAAAAAACHTuJAAAAA&#10;AAAAAAAAAAAABAAAAAAAAAAAABAAAAAAAAAAZHJzL1BLAQIUABQAAAAIAIdO4kBHtEPU2AAAAAoB&#10;AAAPAAAAAAAAAAEAIAAAACIAAABkcnMvZG93bnJldi54bWxQSwECFAAUAAAACACHTuJAFpB0zKkB&#10;AAA0AwAADgAAAAAAAAABACAAAAAnAQAAZHJzL2Uyb0RvYy54bWxQSwUGAAAAAAYABgBZAQAAQgUA&#10;AAAA&#10;">
                <v:fill on="f" focussize="0,0"/>
                <v:stroke on="f"/>
                <v:imagedata o:title=""/>
                <o:lock v:ext="edit" aspectratio="f"/>
              </v:shape>
            </w:pict>
          </mc:Fallback>
        </mc:AlternateContent>
      </w:r>
      <w:r>
        <w:rPr>
          <w:rFonts w:hint="eastAsia" w:ascii="Times New Roman" w:hAnsi="Times New Roman" w:eastAsia="宋体" w:cs="Times New Roman"/>
          <w:color w:val="000000" w:themeColor="text1"/>
          <w:lang w:eastAsia="zh-CN"/>
          <w14:textFill>
            <w14:solidFill>
              <w14:schemeClr w14:val="tx1"/>
            </w14:solidFill>
          </w14:textFill>
        </w:rPr>
        <w:drawing>
          <wp:inline distT="0" distB="0" distL="114300" distR="114300">
            <wp:extent cx="5563870" cy="4854575"/>
            <wp:effectExtent l="0" t="0" r="17780" b="3175"/>
            <wp:docPr id="1" name="图片 1" descr="底图处理 拷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底图处理 拷贝"/>
                    <pic:cNvPicPr>
                      <a:picLocks noChangeAspect="1"/>
                    </pic:cNvPicPr>
                  </pic:nvPicPr>
                  <pic:blipFill>
                    <a:blip r:embed="rId32"/>
                    <a:stretch>
                      <a:fillRect/>
                    </a:stretch>
                  </pic:blipFill>
                  <pic:spPr>
                    <a:xfrm>
                      <a:off x="0" y="0"/>
                      <a:ext cx="5563870" cy="4854575"/>
                    </a:xfrm>
                    <a:prstGeom prst="rect">
                      <a:avLst/>
                    </a:prstGeom>
                  </pic:spPr>
                </pic:pic>
              </a:graphicData>
            </a:graphic>
          </wp:inline>
        </w:drawing>
      </w:r>
    </w:p>
    <w:p w14:paraId="431EC8BE">
      <w:pPr>
        <w:ind w:right="6"/>
        <w:jc w:val="center"/>
        <w:rPr>
          <w:rFonts w:hint="eastAsia" w:ascii="Times New Roman" w:hAnsi="Times New Roman" w:eastAsia="黑体" w:cs="Times New Roman"/>
        </w:rPr>
      </w:pPr>
      <w:r>
        <w:rPr>
          <w:rFonts w:ascii="Times New Roman" w:hAnsi="Times New Roman" w:eastAsia="黑体" w:cs="Times New Roman"/>
        </w:rPr>
        <w:t>图1.5-2  本项目评价范围</w:t>
      </w:r>
      <w:r>
        <w:rPr>
          <w:rFonts w:hint="eastAsia" w:ascii="Times New Roman" w:hAnsi="Times New Roman" w:eastAsia="黑体" w:cs="Times New Roman"/>
        </w:rPr>
        <w:t>及敏感目标</w:t>
      </w:r>
      <w:r>
        <w:rPr>
          <w:rFonts w:ascii="Times New Roman" w:hAnsi="Times New Roman" w:eastAsia="黑体" w:cs="Times New Roman"/>
        </w:rPr>
        <w:t>图</w:t>
      </w:r>
    </w:p>
    <w:p w14:paraId="2874BFB0">
      <w:pPr>
        <w:ind w:right="6"/>
        <w:jc w:val="center"/>
        <w:rPr>
          <w:rFonts w:hint="eastAsia" w:ascii="Times New Roman" w:hAnsi="Times New Roman" w:cs="Times New Roman"/>
        </w:rPr>
        <w:sectPr>
          <w:pgSz w:w="16840" w:h="11907" w:orient="landscape"/>
          <w:pgMar w:top="1701" w:right="1701" w:bottom="1701" w:left="1701" w:header="851" w:footer="1077" w:gutter="0"/>
          <w:pgBorders w:offsetFrom="page">
            <w:top w:val="none" w:sz="0" w:space="0"/>
            <w:left w:val="none" w:sz="0" w:space="0"/>
            <w:bottom w:val="none" w:sz="0" w:space="0"/>
            <w:right w:val="none" w:sz="0" w:space="0"/>
          </w:pgBorders>
          <w:pgNumType w:fmt="decimal"/>
          <w:cols w:space="720" w:num="1"/>
          <w:docGrid w:type="lines" w:linePitch="479" w:charSpace="0"/>
        </w:sectPr>
      </w:pPr>
    </w:p>
    <w:p w14:paraId="3623C680">
      <w:pPr>
        <w:pStyle w:val="7"/>
      </w:pPr>
      <w:bookmarkStart w:id="116" w:name="_Toc90026196"/>
      <w:bookmarkStart w:id="117" w:name="_Toc30588"/>
      <w:r>
        <w:t>1.5.2 水环境评价等级及范围</w:t>
      </w:r>
      <w:bookmarkEnd w:id="116"/>
      <w:bookmarkEnd w:id="117"/>
    </w:p>
    <w:p w14:paraId="5DA260B6">
      <w:pPr>
        <w:pStyle w:val="133"/>
      </w:pPr>
      <w:r>
        <w:t>1.5.2.1 水环境评价等级</w:t>
      </w:r>
    </w:p>
    <w:p w14:paraId="7BEC6993">
      <w:pPr>
        <w:tabs>
          <w:tab w:val="left" w:pos="6580"/>
        </w:tabs>
        <w:spacing w:line="500" w:lineRule="exact"/>
        <w:ind w:firstLine="482" w:firstLineChars="200"/>
        <w:rPr>
          <w:rFonts w:ascii="Times New Roman" w:hAnsi="Times New Roman" w:cs="Times New Roman"/>
          <w:b/>
        </w:rPr>
      </w:pPr>
      <w:r>
        <w:rPr>
          <w:rFonts w:ascii="Times New Roman" w:hAnsi="Times New Roman" w:cs="Times New Roman"/>
          <w:b/>
        </w:rPr>
        <w:t>（1）地表水环境</w:t>
      </w:r>
    </w:p>
    <w:p w14:paraId="6C15CA7D">
      <w:pPr>
        <w:pStyle w:val="310"/>
        <w:snapToGrid/>
        <w:spacing w:line="500" w:lineRule="exact"/>
        <w:jc w:val="both"/>
        <w:rPr>
          <w:rFonts w:hint="eastAsia"/>
          <w:highlight w:val="none"/>
          <w:lang w:eastAsia="zh-CN"/>
        </w:rPr>
      </w:pPr>
      <w:r>
        <w:rPr>
          <w:rFonts w:ascii="Times New Roman" w:hAnsi="Times New Roman" w:cs="Times New Roman"/>
        </w:rPr>
        <w:t>本项目投产后，不新增生活污水，</w:t>
      </w:r>
      <w:r>
        <w:rPr>
          <w:rFonts w:hint="eastAsia"/>
          <w:highlight w:val="none"/>
          <w:lang w:eastAsia="zh-CN"/>
        </w:rPr>
        <w:t>脱硫设施废水、冷却循环水系统排水循环使用，不外排。</w:t>
      </w:r>
    </w:p>
    <w:p w14:paraId="27FD7665">
      <w:pPr>
        <w:spacing w:line="500" w:lineRule="exact"/>
        <w:ind w:right="6" w:firstLine="480" w:firstLineChars="200"/>
        <w:rPr>
          <w:rFonts w:ascii="Times New Roman" w:hAnsi="Times New Roman" w:cs="Times New Roman"/>
        </w:rPr>
      </w:pPr>
      <w:r>
        <w:rPr>
          <w:rFonts w:ascii="Times New Roman" w:hAnsi="Times New Roman" w:cs="Times New Roman"/>
        </w:rPr>
        <w:t>依据《环境影响评价技术导则 地表水环境》（HJ2.3-2018）的规定，水污染影响型建设项目根据排放方式和废水排放量划分评价等级，对于“建设项目生产工艺中有废水产生，但作为回水利用，不排放到外环境的，按三级B评价”，因此本项目地表水评价等级确定为三级B。</w:t>
      </w:r>
    </w:p>
    <w:p w14:paraId="586649E4">
      <w:pPr>
        <w:tabs>
          <w:tab w:val="left" w:pos="6580"/>
        </w:tabs>
        <w:spacing w:line="500" w:lineRule="exact"/>
        <w:ind w:firstLine="482" w:firstLineChars="200"/>
        <w:rPr>
          <w:rFonts w:ascii="Times New Roman" w:hAnsi="Times New Roman" w:cs="Times New Roman"/>
          <w:b/>
        </w:rPr>
      </w:pPr>
      <w:r>
        <w:rPr>
          <w:rFonts w:ascii="Times New Roman" w:hAnsi="Times New Roman" w:cs="Times New Roman"/>
          <w:b/>
        </w:rPr>
        <w:t>（2）地下水环境</w:t>
      </w:r>
    </w:p>
    <w:p w14:paraId="2D9BD71D">
      <w:pPr>
        <w:tabs>
          <w:tab w:val="left" w:pos="6580"/>
        </w:tabs>
        <w:spacing w:line="500" w:lineRule="exact"/>
        <w:ind w:firstLine="480" w:firstLineChars="200"/>
        <w:rPr>
          <w:rFonts w:ascii="Times New Roman" w:hAnsi="Times New Roman" w:cs="Times New Roman"/>
        </w:rPr>
      </w:pPr>
      <w:bookmarkStart w:id="118" w:name="_Hlk62026101"/>
      <w:r>
        <w:rPr>
          <w:rFonts w:ascii="Times New Roman" w:hAnsi="Times New Roman" w:cs="Times New Roman"/>
        </w:rPr>
        <w:t>根据《环境影响评价技术导则  地下水环境》（HJ610-2016）附录A，本项目</w:t>
      </w:r>
      <w:r>
        <w:rPr>
          <w:rFonts w:hint="eastAsia" w:ascii="Times New Roman" w:hAnsi="Times New Roman" w:cs="Times New Roman"/>
        </w:rPr>
        <w:t>类别属于</w:t>
      </w:r>
      <w:r>
        <w:rPr>
          <w:rFonts w:ascii="Times New Roman" w:hAnsi="Times New Roman" w:cs="Times New Roman"/>
        </w:rPr>
        <w:t>“4</w:t>
      </w:r>
      <w:r>
        <w:rPr>
          <w:rFonts w:hint="eastAsia" w:ascii="Times New Roman" w:hAnsi="Times New Roman" w:cs="Times New Roman"/>
        </w:rPr>
        <w:t>4</w:t>
      </w:r>
      <w:r>
        <w:rPr>
          <w:rFonts w:ascii="Times New Roman" w:hAnsi="Times New Roman" w:cs="Times New Roman"/>
        </w:rPr>
        <w:t>、炼</w:t>
      </w:r>
      <w:r>
        <w:rPr>
          <w:rFonts w:hint="eastAsia" w:ascii="Times New Roman" w:hAnsi="Times New Roman" w:cs="Times New Roman"/>
        </w:rPr>
        <w:t>钢</w:t>
      </w:r>
      <w:r>
        <w:rPr>
          <w:rFonts w:ascii="Times New Roman" w:hAnsi="Times New Roman" w:cs="Times New Roman"/>
        </w:rPr>
        <w:t>”</w:t>
      </w:r>
      <w:r>
        <w:rPr>
          <w:rFonts w:hint="eastAsia" w:ascii="Times New Roman" w:hAnsi="Times New Roman" w:cs="Times New Roman"/>
        </w:rPr>
        <w:t>，</w:t>
      </w:r>
      <w:r>
        <w:rPr>
          <w:rFonts w:ascii="Times New Roman" w:hAnsi="Times New Roman" w:cs="Times New Roman"/>
        </w:rPr>
        <w:t>为导则规定的Ⅳ类项目。根据导则的一般性原则，Ⅳ类项目不开展地下水环境影响评价</w:t>
      </w:r>
      <w:r>
        <w:rPr>
          <w:rFonts w:hint="eastAsia" w:ascii="Times New Roman" w:hAnsi="Times New Roman" w:cs="Times New Roman"/>
        </w:rPr>
        <w:t>。</w:t>
      </w:r>
      <w:bookmarkEnd w:id="118"/>
    </w:p>
    <w:p w14:paraId="734D0E2B">
      <w:pPr>
        <w:pStyle w:val="133"/>
      </w:pPr>
      <w:r>
        <w:t>1.5.2.2 水环境评价范围</w:t>
      </w:r>
    </w:p>
    <w:p w14:paraId="47391A8A">
      <w:pPr>
        <w:tabs>
          <w:tab w:val="left" w:pos="6580"/>
        </w:tabs>
        <w:spacing w:line="500" w:lineRule="exact"/>
        <w:ind w:firstLine="480" w:firstLineChars="200"/>
        <w:rPr>
          <w:rFonts w:ascii="Times New Roman" w:hAnsi="Times New Roman" w:cs="Times New Roman"/>
        </w:rPr>
      </w:pPr>
      <w:r>
        <w:rPr>
          <w:rFonts w:ascii="Times New Roman" w:hAnsi="Times New Roman" w:cs="Times New Roman"/>
        </w:rPr>
        <w:t>根据《环境影响评价技术导则 地表水环境》（HJ2.3-2018）中关于三级B评价范围的要求，本项目地表水环境评价范围确定为</w:t>
      </w:r>
      <w:r>
        <w:rPr>
          <w:rFonts w:hint="eastAsia" w:ascii="Times New Roman" w:hAnsi="Times New Roman" w:cs="Times New Roman"/>
        </w:rPr>
        <w:t>厂区内</w:t>
      </w:r>
      <w:r>
        <w:rPr>
          <w:rFonts w:hint="eastAsia"/>
        </w:rPr>
        <w:t>。</w:t>
      </w:r>
    </w:p>
    <w:p w14:paraId="5635E80D">
      <w:pPr>
        <w:pStyle w:val="7"/>
      </w:pPr>
      <w:bookmarkStart w:id="119" w:name="_Toc151200239"/>
      <w:bookmarkStart w:id="120" w:name="_Toc151258708"/>
      <w:bookmarkStart w:id="121" w:name="_Toc151276127"/>
      <w:bookmarkStart w:id="122" w:name="_Toc151200079"/>
      <w:bookmarkStart w:id="123" w:name="_Toc19815"/>
      <w:bookmarkStart w:id="124" w:name="_Toc90026197"/>
      <w:r>
        <w:t>1.5.3 噪声评价等级</w:t>
      </w:r>
      <w:bookmarkEnd w:id="119"/>
      <w:bookmarkEnd w:id="120"/>
      <w:bookmarkEnd w:id="121"/>
      <w:bookmarkEnd w:id="122"/>
      <w:r>
        <w:t>及范围</w:t>
      </w:r>
      <w:bookmarkEnd w:id="123"/>
      <w:bookmarkEnd w:id="124"/>
    </w:p>
    <w:p w14:paraId="7BAF7EAA">
      <w:pPr>
        <w:pStyle w:val="133"/>
      </w:pPr>
      <w:r>
        <w:t>1.5.3.1 噪声评价等级</w:t>
      </w:r>
    </w:p>
    <w:p w14:paraId="1D9BD6BB">
      <w:pPr>
        <w:tabs>
          <w:tab w:val="left" w:pos="6580"/>
        </w:tabs>
        <w:spacing w:line="500" w:lineRule="exact"/>
        <w:ind w:firstLine="480" w:firstLineChars="200"/>
        <w:jc w:val="both"/>
        <w:rPr>
          <w:rFonts w:hint="eastAsia" w:ascii="Times New Roman" w:hAnsi="Times New Roman" w:cs="Times New Roman"/>
        </w:rPr>
      </w:pPr>
      <w:r>
        <w:rPr>
          <w:rFonts w:ascii="Times New Roman" w:hAnsi="Times New Roman" w:cs="Times New Roman"/>
        </w:rPr>
        <w:t>根据《环境影响评价技术导则 声环境》（</w:t>
      </w:r>
      <w:r>
        <w:rPr>
          <w:rFonts w:hint="eastAsia" w:ascii="Times New Roman" w:hAnsi="Times New Roman" w:cs="Times New Roman"/>
        </w:rPr>
        <w:t>HJ 2.4—2021</w:t>
      </w:r>
      <w:r>
        <w:rPr>
          <w:rFonts w:ascii="Times New Roman" w:hAnsi="Times New Roman" w:cs="Times New Roman"/>
        </w:rPr>
        <w:t>）中噪声环境影响评价工作等级划分的基本原则，“</w:t>
      </w:r>
      <w:bookmarkStart w:id="125" w:name="_Hlk62026137"/>
      <w:r>
        <w:rPr>
          <w:rFonts w:hint="eastAsia" w:ascii="Times New Roman" w:hAnsi="Times New Roman" w:cs="Times New Roman"/>
        </w:rPr>
        <w:t xml:space="preserve"> 评价范围内有适用于GB 3096规定的0类声环境功能区域，或建设项目建设前后评价范围内声环境保护目标噪声级增量达5 dB(A)以上（不含5 dB(A)），或受影响人口数量显著增加时，按一级评价</w:t>
      </w:r>
      <w:bookmarkEnd w:id="125"/>
      <w:r>
        <w:rPr>
          <w:rFonts w:hint="eastAsia" w:ascii="Times New Roman" w:hAnsi="Times New Roman" w:cs="Times New Roman"/>
          <w:lang w:eastAsia="zh-CN"/>
        </w:rPr>
        <w:t>；</w:t>
      </w:r>
      <w:r>
        <w:rPr>
          <w:rFonts w:hint="eastAsia" w:ascii="Times New Roman" w:hAnsi="Times New Roman" w:cs="Times New Roman"/>
        </w:rPr>
        <w:t xml:space="preserve">建设项目所处的声环境功能区为GB 3096规定的1类、2类地区，或建设项目建设前后评价范围内声环境保护目标噪声级增量达3 dB(A)～5 dB(A)，或受噪声影响人口数量增加较多时，按二级评价 </w:t>
      </w:r>
      <w:r>
        <w:rPr>
          <w:rFonts w:ascii="Times New Roman" w:hAnsi="Times New Roman" w:cs="Times New Roman"/>
        </w:rPr>
        <w:t>；</w:t>
      </w:r>
      <w:r>
        <w:rPr>
          <w:rFonts w:hint="eastAsia" w:ascii="Times New Roman" w:hAnsi="Times New Roman" w:cs="Times New Roman"/>
        </w:rPr>
        <w:t>建设项目所处的声环境功能区为GB 3096规定的3类、4类地区，或建设项目建设前后评价范围内声环境保护目标噪声级增量在3 dB(A)以下（不含3 dB(A)），且受影响人口数量变化不大时，按三级评价。</w:t>
      </w:r>
      <w:r>
        <w:rPr>
          <w:rFonts w:ascii="Times New Roman" w:hAnsi="Times New Roman" w:cs="Times New Roman"/>
        </w:rPr>
        <w:t>”。</w:t>
      </w:r>
    </w:p>
    <w:p w14:paraId="279583E3">
      <w:pPr>
        <w:spacing w:line="500" w:lineRule="exact"/>
        <w:ind w:firstLine="482"/>
        <w:jc w:val="both"/>
        <w:rPr>
          <w:rFonts w:ascii="Times New Roman" w:hAnsi="Times New Roman" w:cs="Times New Roman"/>
        </w:rPr>
      </w:pPr>
      <w:r>
        <w:rPr>
          <w:rFonts w:hint="eastAsia" w:ascii="Times New Roman" w:hAnsi="Times New Roman" w:cs="Times New Roman"/>
          <w:lang w:eastAsia="zh-CN"/>
        </w:rPr>
        <w:t>本溪玉麒麟新材料有限公司</w:t>
      </w:r>
      <w:r>
        <w:rPr>
          <w:rFonts w:hint="eastAsia" w:ascii="Times New Roman" w:hAnsi="Times New Roman" w:cs="Times New Roman"/>
        </w:rPr>
        <w:t>厂界东侧，西侧，北侧噪声</w:t>
      </w:r>
      <w:r>
        <w:rPr>
          <w:rFonts w:hint="eastAsia" w:ascii="Times New Roman" w:hAnsi="Times New Roman" w:cs="Times New Roman"/>
          <w:lang w:val="en-US" w:eastAsia="zh-CN"/>
        </w:rPr>
        <w:t>为</w:t>
      </w:r>
      <w:r>
        <w:rPr>
          <w:rFonts w:hint="eastAsia" w:ascii="Times New Roman" w:hAnsi="Times New Roman" w:cs="Times New Roman"/>
        </w:rPr>
        <w:t>2类</w:t>
      </w:r>
      <w:r>
        <w:rPr>
          <w:rFonts w:hint="eastAsia" w:ascii="Times New Roman" w:hAnsi="Times New Roman" w:cs="Times New Roman"/>
          <w:lang w:val="en-US" w:eastAsia="zh-CN"/>
        </w:rPr>
        <w:t>地区</w:t>
      </w:r>
      <w:r>
        <w:rPr>
          <w:rFonts w:hint="eastAsia" w:ascii="Times New Roman" w:hAnsi="Times New Roman" w:cs="Times New Roman"/>
        </w:rPr>
        <w:t>。厂界南侧</w:t>
      </w:r>
      <w:r>
        <w:rPr>
          <w:rFonts w:hint="eastAsia" w:ascii="Times New Roman" w:hAnsi="Times New Roman" w:cs="Times New Roman"/>
          <w:lang w:val="en-US" w:eastAsia="zh-CN"/>
        </w:rPr>
        <w:t>为</w:t>
      </w:r>
      <w:r>
        <w:rPr>
          <w:rFonts w:hint="eastAsia" w:ascii="Times New Roman" w:hAnsi="Times New Roman" w:cs="Times New Roman"/>
        </w:rPr>
        <w:t>4类</w:t>
      </w:r>
      <w:r>
        <w:rPr>
          <w:rFonts w:hint="eastAsia" w:ascii="Times New Roman" w:hAnsi="Times New Roman" w:cs="Times New Roman"/>
          <w:lang w:val="en-US" w:eastAsia="zh-CN"/>
        </w:rPr>
        <w:t>地区</w:t>
      </w:r>
      <w:r>
        <w:rPr>
          <w:rFonts w:ascii="Times New Roman" w:hAnsi="Times New Roman" w:cs="Times New Roman"/>
        </w:rPr>
        <w:t>。故确定本项目噪声评价等级为</w:t>
      </w:r>
      <w:r>
        <w:rPr>
          <w:rFonts w:hint="eastAsia" w:ascii="Times New Roman" w:hAnsi="Times New Roman" w:cs="Times New Roman"/>
          <w:lang w:val="en-US" w:eastAsia="zh-CN"/>
        </w:rPr>
        <w:t>二</w:t>
      </w:r>
      <w:r>
        <w:rPr>
          <w:rFonts w:ascii="Times New Roman" w:hAnsi="Times New Roman" w:cs="Times New Roman"/>
        </w:rPr>
        <w:t>级。</w:t>
      </w:r>
    </w:p>
    <w:p w14:paraId="28093D45">
      <w:pPr>
        <w:pStyle w:val="133"/>
      </w:pPr>
      <w:r>
        <w:t>1.5.3.2 噪声评价范围</w:t>
      </w:r>
    </w:p>
    <w:p w14:paraId="734F671F">
      <w:pPr>
        <w:tabs>
          <w:tab w:val="left" w:pos="6580"/>
        </w:tabs>
        <w:spacing w:line="500" w:lineRule="exact"/>
        <w:ind w:firstLine="480" w:firstLineChars="200"/>
        <w:rPr>
          <w:rFonts w:ascii="Times New Roman" w:hAnsi="Times New Roman" w:cs="Times New Roman"/>
          <w:highlight w:val="yellow"/>
        </w:rPr>
      </w:pPr>
      <w:r>
        <w:rPr>
          <w:rFonts w:ascii="Times New Roman" w:hAnsi="Times New Roman" w:cs="Times New Roman"/>
          <w:highlight w:val="none"/>
        </w:rPr>
        <w:t>根据本项目噪声源强及周边环境敏感情况，确定噪声评价范围为项目厂界外</w:t>
      </w:r>
      <w:r>
        <w:rPr>
          <w:rFonts w:hint="eastAsia" w:ascii="Times New Roman" w:hAnsi="Times New Roman" w:cs="Times New Roman"/>
          <w:highlight w:val="none"/>
        </w:rPr>
        <w:t>200</w:t>
      </w:r>
      <w:r>
        <w:rPr>
          <w:rFonts w:ascii="Times New Roman" w:hAnsi="Times New Roman" w:cs="Times New Roman"/>
          <w:highlight w:val="none"/>
        </w:rPr>
        <w:t>m。</w:t>
      </w:r>
    </w:p>
    <w:p w14:paraId="7C4B5E15">
      <w:pPr>
        <w:pStyle w:val="7"/>
      </w:pPr>
      <w:bookmarkStart w:id="126" w:name="_Toc4363"/>
      <w:bookmarkStart w:id="127" w:name="_Toc90026198"/>
      <w:r>
        <w:t>1.5.4 土壤环境评价等级及范围</w:t>
      </w:r>
      <w:bookmarkEnd w:id="126"/>
      <w:bookmarkEnd w:id="127"/>
    </w:p>
    <w:p w14:paraId="6B7EA04B">
      <w:pPr>
        <w:pStyle w:val="133"/>
      </w:pPr>
      <w:r>
        <w:t>1.5.4.1 土壤环境评价等级</w:t>
      </w:r>
    </w:p>
    <w:p w14:paraId="67FD8DFA">
      <w:pPr>
        <w:tabs>
          <w:tab w:val="left" w:pos="6580"/>
        </w:tabs>
        <w:adjustRightInd w:val="0"/>
        <w:snapToGrid w:val="0"/>
        <w:spacing w:line="360" w:lineRule="auto"/>
        <w:ind w:firstLine="482" w:firstLineChars="200"/>
        <w:rPr>
          <w:rFonts w:ascii="Times New Roman" w:hAnsi="Times New Roman" w:cs="Times New Roman"/>
          <w:b/>
        </w:rPr>
      </w:pPr>
      <w:r>
        <w:rPr>
          <w:rFonts w:ascii="Times New Roman" w:hAnsi="Times New Roman" w:cs="Times New Roman"/>
          <w:b/>
        </w:rPr>
        <w:t>（1）项目类别判定</w:t>
      </w:r>
    </w:p>
    <w:p w14:paraId="058206E0">
      <w:pPr>
        <w:tabs>
          <w:tab w:val="left" w:pos="6580"/>
        </w:tabs>
        <w:adjustRightInd w:val="0"/>
        <w:snapToGrid w:val="0"/>
        <w:spacing w:line="360" w:lineRule="auto"/>
        <w:ind w:firstLine="480" w:firstLineChars="200"/>
        <w:jc w:val="both"/>
        <w:rPr>
          <w:rFonts w:ascii="Times New Roman" w:hAnsi="Times New Roman" w:cs="Times New Roman"/>
        </w:rPr>
      </w:pPr>
      <w:r>
        <w:rPr>
          <w:rFonts w:ascii="Times New Roman" w:hAnsi="Times New Roman" w:cs="Times New Roman"/>
        </w:rPr>
        <w:t>《环境影响评价技术导则 土壤影响》（HJ964-2018）中根据行业特征、工艺特点或规模大小等，将建设项目类别分为Ⅰ类、Ⅱ类、Ⅲ类、Ⅳ类，其中Ⅳ类建设项目可不开展土壤环境影响评价。根据导则附录A，</w:t>
      </w:r>
      <w:bookmarkStart w:id="128" w:name="_Hlk62026161"/>
      <w:r>
        <w:rPr>
          <w:rFonts w:ascii="Times New Roman" w:hAnsi="Times New Roman" w:cs="Times New Roman"/>
        </w:rPr>
        <w:t>本项目属于“制造业—金属冶炼和压延加工及非金属矿物制品”</w:t>
      </w:r>
      <w:r>
        <w:rPr>
          <w:rFonts w:hint="eastAsia" w:ascii="Times New Roman" w:hAnsi="Times New Roman" w:cs="Times New Roman"/>
        </w:rPr>
        <w:t>中的“炼</w:t>
      </w:r>
      <w:r>
        <w:rPr>
          <w:rFonts w:hint="eastAsia" w:ascii="Times New Roman" w:hAnsi="Times New Roman" w:cs="Times New Roman"/>
          <w:lang w:val="en-US" w:eastAsia="zh-CN"/>
        </w:rPr>
        <w:t>铁</w:t>
      </w:r>
      <w:r>
        <w:rPr>
          <w:rFonts w:hint="eastAsia" w:ascii="Times New Roman" w:hAnsi="Times New Roman" w:cs="Times New Roman"/>
        </w:rPr>
        <w:t>”</w:t>
      </w:r>
      <w:r>
        <w:rPr>
          <w:rFonts w:ascii="Times New Roman" w:hAnsi="Times New Roman" w:cs="Times New Roman"/>
        </w:rPr>
        <w:t>，项目类别为Ⅱ类、污染影响型</w:t>
      </w:r>
      <w:bookmarkEnd w:id="128"/>
      <w:r>
        <w:rPr>
          <w:rFonts w:ascii="Times New Roman" w:hAnsi="Times New Roman" w:cs="Times New Roman"/>
        </w:rPr>
        <w:t>。</w:t>
      </w:r>
    </w:p>
    <w:p w14:paraId="68969468">
      <w:pPr>
        <w:tabs>
          <w:tab w:val="left" w:pos="6580"/>
        </w:tabs>
        <w:adjustRightInd w:val="0"/>
        <w:snapToGrid w:val="0"/>
        <w:spacing w:line="360" w:lineRule="auto"/>
        <w:ind w:firstLine="482" w:firstLineChars="200"/>
        <w:rPr>
          <w:rFonts w:ascii="Times New Roman" w:hAnsi="Times New Roman" w:cs="Times New Roman"/>
          <w:b/>
        </w:rPr>
      </w:pPr>
      <w:r>
        <w:rPr>
          <w:rFonts w:ascii="Times New Roman" w:hAnsi="Times New Roman" w:cs="Times New Roman"/>
          <w:b/>
        </w:rPr>
        <w:t>（2）等级划分</w:t>
      </w:r>
    </w:p>
    <w:p w14:paraId="2A98B182">
      <w:pPr>
        <w:tabs>
          <w:tab w:val="left" w:pos="6580"/>
        </w:tabs>
        <w:spacing w:line="500" w:lineRule="exact"/>
        <w:ind w:firstLine="480" w:firstLineChars="200"/>
        <w:rPr>
          <w:rFonts w:ascii="Times New Roman" w:hAnsi="Times New Roman" w:cs="Times New Roman"/>
        </w:rPr>
      </w:pPr>
      <w:r>
        <w:rPr>
          <w:rFonts w:ascii="Times New Roman" w:hAnsi="Times New Roman" w:cs="Times New Roman"/>
        </w:rPr>
        <w:t>导则将建设项目占地规模分为大型（≥50hm</w:t>
      </w:r>
      <w:r>
        <w:rPr>
          <w:rFonts w:ascii="Times New Roman" w:hAnsi="Times New Roman" w:cs="Times New Roman"/>
          <w:vertAlign w:val="superscript"/>
        </w:rPr>
        <w:t>2</w:t>
      </w:r>
      <w:r>
        <w:rPr>
          <w:rFonts w:ascii="Times New Roman" w:hAnsi="Times New Roman" w:cs="Times New Roman"/>
        </w:rPr>
        <w:t>）、中型（5~50hm</w:t>
      </w:r>
      <w:r>
        <w:rPr>
          <w:rFonts w:ascii="Times New Roman" w:hAnsi="Times New Roman" w:cs="Times New Roman"/>
          <w:vertAlign w:val="superscript"/>
        </w:rPr>
        <w:t>2</w:t>
      </w:r>
      <w:r>
        <w:rPr>
          <w:rFonts w:ascii="Times New Roman" w:hAnsi="Times New Roman" w:cs="Times New Roman"/>
        </w:rPr>
        <w:t>）、小型（≤5hm</w:t>
      </w:r>
      <w:r>
        <w:rPr>
          <w:rFonts w:ascii="Times New Roman" w:hAnsi="Times New Roman" w:cs="Times New Roman"/>
          <w:vertAlign w:val="superscript"/>
        </w:rPr>
        <w:t>2</w:t>
      </w:r>
      <w:r>
        <w:rPr>
          <w:rFonts w:ascii="Times New Roman" w:hAnsi="Times New Roman" w:cs="Times New Roman"/>
        </w:rPr>
        <w:t>），项目占地为永久占地。</w:t>
      </w:r>
      <w:bookmarkStart w:id="129" w:name="_Hlk62026171"/>
      <w:r>
        <w:rPr>
          <w:rFonts w:ascii="Times New Roman" w:hAnsi="Times New Roman" w:cs="Times New Roman"/>
        </w:rPr>
        <w:t>本项目处于</w:t>
      </w:r>
      <w:r>
        <w:rPr>
          <w:rFonts w:hint="eastAsia" w:ascii="Times New Roman" w:hAnsi="Times New Roman" w:cs="Times New Roman"/>
          <w:lang w:eastAsia="zh-CN"/>
        </w:rPr>
        <w:t>本溪玉麒麟新材料有限公司</w:t>
      </w:r>
      <w:r>
        <w:rPr>
          <w:rFonts w:ascii="Times New Roman" w:hAnsi="Times New Roman" w:cs="Times New Roman"/>
        </w:rPr>
        <w:t>现有厂区内，用地面积</w:t>
      </w:r>
      <w:r>
        <w:rPr>
          <w:rFonts w:hint="eastAsia" w:ascii="Times New Roman" w:hAnsi="Times New Roman" w:cs="Times New Roman"/>
          <w:lang w:val="en-US" w:eastAsia="zh-CN"/>
        </w:rPr>
        <w:t>88</w:t>
      </w:r>
      <w:r>
        <w:rPr>
          <w:rFonts w:hint="eastAsia" w:ascii="Times New Roman" w:hAnsi="Times New Roman" w:cs="Times New Roman"/>
        </w:rPr>
        <w:t>000m</w:t>
      </w:r>
      <w:r>
        <w:rPr>
          <w:rFonts w:hint="eastAsia" w:ascii="Times New Roman" w:hAnsi="Times New Roman" w:cs="Times New Roman"/>
          <w:vertAlign w:val="superscript"/>
        </w:rPr>
        <w:t>3</w:t>
      </w:r>
      <w:r>
        <w:rPr>
          <w:rFonts w:hint="eastAsia" w:ascii="Times New Roman" w:hAnsi="Times New Roman" w:cs="Times New Roman"/>
        </w:rPr>
        <w:t>，</w:t>
      </w:r>
      <w:r>
        <w:rPr>
          <w:rFonts w:ascii="Times New Roman" w:hAnsi="Times New Roman" w:cs="Times New Roman"/>
        </w:rPr>
        <w:t>属于</w:t>
      </w:r>
      <w:r>
        <w:rPr>
          <w:rFonts w:hint="eastAsia" w:ascii="Times New Roman" w:hAnsi="Times New Roman" w:cs="Times New Roman"/>
          <w:lang w:val="en-US" w:eastAsia="zh-CN"/>
        </w:rPr>
        <w:t>中</w:t>
      </w:r>
      <w:r>
        <w:rPr>
          <w:rFonts w:ascii="Times New Roman" w:hAnsi="Times New Roman" w:cs="Times New Roman"/>
        </w:rPr>
        <w:t>型</w:t>
      </w:r>
      <w:bookmarkEnd w:id="129"/>
      <w:r>
        <w:rPr>
          <w:rFonts w:ascii="Times New Roman" w:hAnsi="Times New Roman" w:cs="Times New Roman"/>
        </w:rPr>
        <w:t>。</w:t>
      </w:r>
    </w:p>
    <w:p w14:paraId="6A963F79">
      <w:pPr>
        <w:tabs>
          <w:tab w:val="left" w:pos="6580"/>
        </w:tabs>
        <w:spacing w:line="500" w:lineRule="exact"/>
        <w:ind w:firstLine="480" w:firstLineChars="200"/>
        <w:rPr>
          <w:rFonts w:hint="eastAsia" w:ascii="Times New Roman" w:hAnsi="Times New Roman" w:cs="Times New Roman"/>
        </w:rPr>
      </w:pPr>
      <w:r>
        <w:rPr>
          <w:rFonts w:ascii="Times New Roman" w:hAnsi="Times New Roman" w:cs="Times New Roman"/>
        </w:rPr>
        <w:t>建设项目所在地周边的土壤环境敏感程度分为敏感、较敏感、不敏感，判别依据见表</w:t>
      </w:r>
      <w:r>
        <w:rPr>
          <w:rFonts w:ascii="Times New Roman" w:hAnsi="Times New Roman" w:cs="Times New Roman"/>
          <w:szCs w:val="18"/>
        </w:rPr>
        <w:t>1.5-7</w:t>
      </w:r>
      <w:r>
        <w:rPr>
          <w:rFonts w:ascii="Times New Roman" w:hAnsi="Times New Roman" w:cs="Times New Roman"/>
        </w:rPr>
        <w:t>。</w:t>
      </w:r>
      <w:bookmarkStart w:id="130" w:name="_Hlk62026185"/>
      <w:r>
        <w:rPr>
          <w:rFonts w:ascii="Times New Roman" w:hAnsi="Times New Roman" w:cs="Times New Roman"/>
        </w:rPr>
        <w:t>本项目周边存在耕地、居民区等土壤环境敏感目标，敏感程度属于敏感</w:t>
      </w:r>
      <w:bookmarkEnd w:id="130"/>
      <w:r>
        <w:rPr>
          <w:rFonts w:ascii="Times New Roman" w:hAnsi="Times New Roman" w:cs="Times New Roman"/>
        </w:rPr>
        <w:t>。</w:t>
      </w:r>
    </w:p>
    <w:p w14:paraId="5307F20C">
      <w:pPr>
        <w:pStyle w:val="112"/>
        <w:snapToGrid/>
      </w:pPr>
      <w:r>
        <w:t>表</w:t>
      </w:r>
      <w:r>
        <w:rPr>
          <w:szCs w:val="18"/>
        </w:rPr>
        <w:t>1.5-7</w:t>
      </w:r>
      <w:r>
        <w:t xml:space="preserve">  污染影响型敏感程度分级一览表</w:t>
      </w:r>
    </w:p>
    <w:tbl>
      <w:tblPr>
        <w:tblStyle w:val="56"/>
        <w:tblW w:w="0" w:type="auto"/>
        <w:tblInd w:w="0" w:type="dxa"/>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1703"/>
        <w:gridCol w:w="6696"/>
      </w:tblGrid>
      <w:tr w14:paraId="1F18B388">
        <w:tblPrEx>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703" w:type="dxa"/>
            <w:tcBorders>
              <w:top w:val="thinThickSmallGap" w:color="auto" w:sz="12" w:space="0"/>
            </w:tcBorders>
            <w:shd w:val="clear" w:color="auto" w:fill="DDDDDD"/>
            <w:noWrap w:val="0"/>
            <w:vAlign w:val="center"/>
          </w:tcPr>
          <w:p w14:paraId="158A33B1">
            <w:pPr>
              <w:spacing w:line="300" w:lineRule="exact"/>
              <w:jc w:val="center"/>
              <w:textAlignment w:val="baseline"/>
              <w:rPr>
                <w:rFonts w:ascii="Times New Roman" w:hAnsi="Times New Roman" w:cs="Times New Roman"/>
                <w:sz w:val="21"/>
                <w:szCs w:val="21"/>
              </w:rPr>
            </w:pPr>
            <w:r>
              <w:rPr>
                <w:rFonts w:ascii="Times New Roman" w:hAnsi="Times New Roman" w:cs="Times New Roman"/>
                <w:sz w:val="21"/>
                <w:szCs w:val="21"/>
              </w:rPr>
              <w:t>敏感程度</w:t>
            </w:r>
          </w:p>
        </w:tc>
        <w:tc>
          <w:tcPr>
            <w:tcW w:w="6696" w:type="dxa"/>
            <w:tcBorders>
              <w:top w:val="thinThickSmallGap" w:color="auto" w:sz="12" w:space="0"/>
              <w:bottom w:val="single" w:color="auto" w:sz="4" w:space="0"/>
            </w:tcBorders>
            <w:shd w:val="clear" w:color="auto" w:fill="DDDDDD"/>
            <w:noWrap w:val="0"/>
            <w:vAlign w:val="center"/>
          </w:tcPr>
          <w:p w14:paraId="1A2AC4BB">
            <w:pPr>
              <w:spacing w:line="300" w:lineRule="exact"/>
              <w:jc w:val="center"/>
              <w:textAlignment w:val="baseline"/>
              <w:rPr>
                <w:rFonts w:ascii="Times New Roman" w:hAnsi="Times New Roman" w:cs="Times New Roman"/>
                <w:sz w:val="21"/>
                <w:szCs w:val="21"/>
              </w:rPr>
            </w:pPr>
            <w:r>
              <w:rPr>
                <w:rFonts w:ascii="Times New Roman" w:hAnsi="Times New Roman" w:cs="Times New Roman"/>
                <w:sz w:val="21"/>
                <w:szCs w:val="21"/>
              </w:rPr>
              <w:t>判别依据</w:t>
            </w:r>
          </w:p>
        </w:tc>
      </w:tr>
      <w:tr w14:paraId="5E9C0723">
        <w:tblPrEx>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703" w:type="dxa"/>
            <w:tcBorders>
              <w:top w:val="single" w:color="auto" w:sz="4" w:space="0"/>
            </w:tcBorders>
            <w:noWrap w:val="0"/>
            <w:vAlign w:val="center"/>
          </w:tcPr>
          <w:p w14:paraId="1C978B47">
            <w:pPr>
              <w:spacing w:line="300" w:lineRule="exact"/>
              <w:jc w:val="center"/>
              <w:textAlignment w:val="baseline"/>
              <w:rPr>
                <w:rFonts w:ascii="Times New Roman" w:hAnsi="Times New Roman" w:cs="Times New Roman"/>
                <w:sz w:val="21"/>
                <w:szCs w:val="21"/>
              </w:rPr>
            </w:pPr>
            <w:r>
              <w:rPr>
                <w:rFonts w:ascii="Times New Roman" w:hAnsi="Times New Roman" w:cs="Times New Roman"/>
                <w:sz w:val="21"/>
                <w:szCs w:val="21"/>
              </w:rPr>
              <w:t>敏感</w:t>
            </w:r>
          </w:p>
        </w:tc>
        <w:tc>
          <w:tcPr>
            <w:tcW w:w="6696" w:type="dxa"/>
            <w:tcBorders>
              <w:top w:val="single" w:color="auto" w:sz="4" w:space="0"/>
            </w:tcBorders>
            <w:noWrap w:val="0"/>
            <w:vAlign w:val="center"/>
          </w:tcPr>
          <w:p w14:paraId="34BC11D5">
            <w:pPr>
              <w:spacing w:line="300" w:lineRule="exact"/>
              <w:textAlignment w:val="baseline"/>
              <w:rPr>
                <w:rFonts w:ascii="Times New Roman" w:hAnsi="Times New Roman" w:cs="Times New Roman"/>
                <w:sz w:val="21"/>
                <w:szCs w:val="21"/>
              </w:rPr>
            </w:pPr>
            <w:r>
              <w:rPr>
                <w:rFonts w:ascii="Times New Roman" w:hAnsi="Times New Roman" w:cs="Times New Roman"/>
                <w:sz w:val="21"/>
                <w:szCs w:val="21"/>
              </w:rPr>
              <w:t>建设项目周边存在耕地、园地、牧草地、饮用水水源地或居民区、学校、医院、疗养院、养老院等土壤环境敏感目标的。</w:t>
            </w:r>
          </w:p>
        </w:tc>
      </w:tr>
      <w:tr w14:paraId="11984B10">
        <w:tblPrEx>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703" w:type="dxa"/>
            <w:noWrap w:val="0"/>
            <w:vAlign w:val="center"/>
          </w:tcPr>
          <w:p w14:paraId="1939C6DC">
            <w:pPr>
              <w:spacing w:line="300" w:lineRule="exact"/>
              <w:jc w:val="center"/>
              <w:textAlignment w:val="baseline"/>
              <w:rPr>
                <w:rFonts w:ascii="Times New Roman" w:hAnsi="Times New Roman" w:cs="Times New Roman"/>
                <w:sz w:val="21"/>
                <w:szCs w:val="21"/>
              </w:rPr>
            </w:pPr>
            <w:r>
              <w:rPr>
                <w:rFonts w:ascii="Times New Roman" w:hAnsi="Times New Roman" w:cs="Times New Roman"/>
                <w:sz w:val="21"/>
                <w:szCs w:val="21"/>
              </w:rPr>
              <w:t>较敏感</w:t>
            </w:r>
          </w:p>
        </w:tc>
        <w:tc>
          <w:tcPr>
            <w:tcW w:w="6696" w:type="dxa"/>
            <w:noWrap w:val="0"/>
            <w:vAlign w:val="center"/>
          </w:tcPr>
          <w:p w14:paraId="35574457">
            <w:pPr>
              <w:spacing w:line="300" w:lineRule="exact"/>
              <w:textAlignment w:val="baseline"/>
              <w:rPr>
                <w:rFonts w:ascii="Times New Roman" w:hAnsi="Times New Roman" w:cs="Times New Roman"/>
                <w:sz w:val="21"/>
                <w:szCs w:val="21"/>
              </w:rPr>
            </w:pPr>
            <w:r>
              <w:rPr>
                <w:rFonts w:ascii="Times New Roman" w:hAnsi="Times New Roman" w:cs="Times New Roman"/>
                <w:sz w:val="21"/>
                <w:szCs w:val="21"/>
              </w:rPr>
              <w:t>建设项目周边存在其他土壤环境敏感目标的。</w:t>
            </w:r>
          </w:p>
        </w:tc>
      </w:tr>
      <w:tr w14:paraId="178AC1FC">
        <w:tblPrEx>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703" w:type="dxa"/>
            <w:noWrap w:val="0"/>
            <w:vAlign w:val="center"/>
          </w:tcPr>
          <w:p w14:paraId="6B7E3FE2">
            <w:pPr>
              <w:spacing w:line="300" w:lineRule="exact"/>
              <w:jc w:val="center"/>
              <w:textAlignment w:val="baseline"/>
              <w:rPr>
                <w:rFonts w:ascii="Times New Roman" w:hAnsi="Times New Roman" w:cs="Times New Roman"/>
                <w:sz w:val="21"/>
                <w:szCs w:val="21"/>
              </w:rPr>
            </w:pPr>
            <w:r>
              <w:rPr>
                <w:rFonts w:ascii="Times New Roman" w:hAnsi="Times New Roman" w:cs="Times New Roman"/>
                <w:sz w:val="21"/>
                <w:szCs w:val="21"/>
              </w:rPr>
              <w:t>不敏感</w:t>
            </w:r>
          </w:p>
        </w:tc>
        <w:tc>
          <w:tcPr>
            <w:tcW w:w="6696" w:type="dxa"/>
            <w:noWrap w:val="0"/>
            <w:vAlign w:val="center"/>
          </w:tcPr>
          <w:p w14:paraId="2500899B">
            <w:pPr>
              <w:spacing w:line="300" w:lineRule="exact"/>
              <w:textAlignment w:val="baseline"/>
              <w:rPr>
                <w:rFonts w:ascii="Times New Roman" w:hAnsi="Times New Roman" w:cs="Times New Roman"/>
                <w:sz w:val="21"/>
                <w:szCs w:val="21"/>
              </w:rPr>
            </w:pPr>
            <w:r>
              <w:rPr>
                <w:rFonts w:ascii="Times New Roman" w:hAnsi="Times New Roman" w:cs="Times New Roman"/>
                <w:sz w:val="21"/>
                <w:szCs w:val="21"/>
              </w:rPr>
              <w:t>其他情况。</w:t>
            </w:r>
          </w:p>
        </w:tc>
      </w:tr>
    </w:tbl>
    <w:p w14:paraId="24B463D8">
      <w:pPr>
        <w:tabs>
          <w:tab w:val="left" w:pos="6580"/>
        </w:tabs>
        <w:spacing w:line="500" w:lineRule="exact"/>
        <w:ind w:firstLine="480" w:firstLineChars="200"/>
        <w:rPr>
          <w:rFonts w:ascii="Times New Roman" w:hAnsi="Times New Roman" w:cs="Times New Roman"/>
        </w:rPr>
      </w:pPr>
      <w:r>
        <w:rPr>
          <w:rFonts w:ascii="Times New Roman" w:hAnsi="Times New Roman" w:cs="Times New Roman"/>
        </w:rPr>
        <w:t>根据土壤环境影响评价项目类别、占地规模与敏感程度划分评价工作等级，依据见表</w:t>
      </w:r>
      <w:r>
        <w:rPr>
          <w:rFonts w:ascii="Times New Roman" w:hAnsi="Times New Roman" w:cs="Times New Roman"/>
          <w:szCs w:val="18"/>
        </w:rPr>
        <w:t>1.5-8</w:t>
      </w:r>
      <w:r>
        <w:rPr>
          <w:rFonts w:ascii="Times New Roman" w:hAnsi="Times New Roman" w:cs="Times New Roman"/>
        </w:rPr>
        <w:t>。</w:t>
      </w:r>
    </w:p>
    <w:p w14:paraId="4F9A2BF7">
      <w:pPr>
        <w:tabs>
          <w:tab w:val="left" w:pos="6580"/>
        </w:tabs>
        <w:spacing w:line="500" w:lineRule="exact"/>
        <w:ind w:firstLine="480" w:firstLineChars="200"/>
        <w:rPr>
          <w:rFonts w:ascii="Times New Roman" w:hAnsi="Times New Roman" w:cs="Times New Roman"/>
        </w:rPr>
      </w:pPr>
      <w:r>
        <w:rPr>
          <w:rFonts w:ascii="Times New Roman" w:hAnsi="Times New Roman" w:cs="Times New Roman"/>
        </w:rPr>
        <w:t>由上述依据确定，本项目土壤环境评价等级为二级。</w:t>
      </w:r>
    </w:p>
    <w:p w14:paraId="209D8BB8">
      <w:pPr>
        <w:pStyle w:val="112"/>
        <w:snapToGrid/>
      </w:pPr>
      <w:r>
        <mc:AlternateContent>
          <mc:Choice Requires="wps">
            <w:drawing>
              <wp:anchor distT="0" distB="0" distL="114300" distR="114300" simplePos="0" relativeHeight="251661312" behindDoc="0" locked="0" layoutInCell="1" allowOverlap="1">
                <wp:simplePos x="0" y="0"/>
                <wp:positionH relativeFrom="column">
                  <wp:posOffset>300355</wp:posOffset>
                </wp:positionH>
                <wp:positionV relativeFrom="paragraph">
                  <wp:posOffset>317500</wp:posOffset>
                </wp:positionV>
                <wp:extent cx="715645" cy="594360"/>
                <wp:effectExtent l="3175" t="3810" r="5080" b="11430"/>
                <wp:wrapNone/>
                <wp:docPr id="5" name="自选图形 3588"/>
                <wp:cNvGraphicFramePr/>
                <a:graphic xmlns:a="http://schemas.openxmlformats.org/drawingml/2006/main">
                  <a:graphicData uri="http://schemas.microsoft.com/office/word/2010/wordprocessingShape">
                    <wps:wsp>
                      <wps:cNvCnPr/>
                      <wps:spPr>
                        <a:xfrm>
                          <a:off x="0" y="0"/>
                          <a:ext cx="715645" cy="594360"/>
                        </a:xfrm>
                        <a:prstGeom prst="straightConnector1">
                          <a:avLst/>
                        </a:prstGeom>
                        <a:ln w="6350" cap="flat" cmpd="sng">
                          <a:solidFill>
                            <a:srgbClr val="000000"/>
                          </a:solidFill>
                          <a:prstDash val="solid"/>
                          <a:headEnd type="none" w="med" len="med"/>
                          <a:tailEnd type="none" w="med" len="med"/>
                        </a:ln>
                      </wps:spPr>
                      <wps:bodyPr/>
                    </wps:wsp>
                  </a:graphicData>
                </a:graphic>
              </wp:anchor>
            </w:drawing>
          </mc:Choice>
          <mc:Fallback>
            <w:pict>
              <v:shape id="自选图形 3588" o:spid="_x0000_s1026" o:spt="32" type="#_x0000_t32" style="position:absolute;left:0pt;margin-left:23.65pt;margin-top:25pt;height:46.8pt;width:56.35pt;z-index:251661312;mso-width-relative:page;mso-height-relative:page;" filled="f" stroked="t" coordsize="21600,21600" o:gfxdata="UEsDBAoAAAAAAIdO4kAAAAAAAAAAAAAAAAAEAAAAZHJzL1BLAwQUAAAACACHTuJA/iUh39cAAAAJ&#10;AQAADwAAAGRycy9kb3ducmV2LnhtbE2PS0/DMBCE70j8B2uRuFG7D1IU4vRQQOJUQUFF3Nx4SSLi&#10;dRQ7D/49mxPcZjWj2W+y3eQaMWAXak8algsFAqnwtqZSw/vb080diBANWdN4Qg0/GGCXX15kJrV+&#10;pFccjrEUXEIhNRqqGNtUylBU6ExY+BaJvS/fORP57EppOzNyuWvkSqlEOlMTf6hMi/sKi+9j7zQ4&#10;8+z7VbUfDqfp4cWOn1QcHj+0vr5aqnsQEaf4F4YZn9EhZ6az78kG0WjYbNec1HCreNLsJ7M4s9is&#10;E5B5Jv8vyH8BUEsDBBQAAAAIAIdO4kClrnHB/QEAAOoDAAAOAAAAZHJzL2Uyb0RvYy54bWytU82O&#10;0zAQviPxDpbvNO12W0rUdA8tywXBSsADTB0nseQ/ebxNe+OGeAZuHHkH9m1Wgrdg7JQuLJceyMEZ&#10;e2a+me/zeHm1N5rtZEDlbMUnozFn0gpXK9tW/MP762cLzjCCrUE7Kyt+kMivVk+fLHtfygvXOV3L&#10;wAjEYtn7incx+rIoUHTSAI6cl5acjQsGIm1DW9QBekI3urgYj+dF70LtgxMSkU43g5MfEcM5gK5p&#10;lJAbJ26NtHFADVJDJErYKY98lbttGini26ZBGZmuODGNeaUiZG/TWqyWULYBfKfEsQU4p4VHnAwo&#10;S0VPUBuIwG6D+gfKKBEcuiaOhDPFQCQrQiwm40favOvAy8yFpEZ/Eh3/H6x4s7sJTNUVn3FmwdCF&#10;//j07efHz/df7u6/f2XT2WKRROo9lhS7tjfhuEN/ExLjfRNM+hMXts/CHk7Cyn1kgg6fT2bzSyog&#10;yDV7cTmdZ+GLh2QfML6SzrBkVBxjANV2ce2spSt0YZLFhd1rjFSeEn8npMrasr7i8+mMLlUAjWRD&#10;o0Cm8UQLbZtz0WlVXyutUwaGdrvWge0gjUX+EknC/SssFdkAdkNcdg0D00moX9qaxYMnwSy9E55a&#10;MLLmTEt6VskiQCgjKH1OJJXWljpIOg/KJmvr6kMWPJ/TCOQej+OaZuzPfc5+eKKrX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G0EAABbQ29udGVu&#10;dF9UeXBlc10ueG1sUEsBAhQACgAAAAAAh07iQAAAAAAAAAAAAAAAAAYAAAAAAAAAAAAQAAAATwMA&#10;AF9yZWxzL1BLAQIUABQAAAAIAIdO4kCKFGY80QAAAJQBAAALAAAAAAAAAAEAIAAAAHMDAABfcmVs&#10;cy8ucmVsc1BLAQIUAAoAAAAAAIdO4kAAAAAAAAAAAAAAAAAEAAAAAAAAAAAAEAAAAAAAAABkcnMv&#10;UEsBAhQAFAAAAAgAh07iQP4lId/XAAAACQEAAA8AAAAAAAAAAQAgAAAAIgAAAGRycy9kb3ducmV2&#10;LnhtbFBLAQIUABQAAAAIAIdO4kClrnHB/QEAAOoDAAAOAAAAAAAAAAEAIAAAACYBAABkcnMvZTJv&#10;RG9jLnhtbFBLBQYAAAAABgAGAFkBAACVBQAAAAA=&#10;">
                <v:fill on="f" focussize="0,0"/>
                <v:stroke weight="0.5pt" color="#000000" joinstyle="round"/>
                <v:imagedata o:title=""/>
                <o:lock v:ext="edit" aspectratio="f"/>
              </v:shape>
            </w:pict>
          </mc:Fallback>
        </mc:AlternateContent>
      </w:r>
      <w:r>
        <w:t>表</w:t>
      </w:r>
      <w:r>
        <w:rPr>
          <w:szCs w:val="18"/>
        </w:rPr>
        <w:t>1.5-8</w:t>
      </w:r>
      <w:r>
        <w:t xml:space="preserve">  污染影响型评价工作等级划分一览表</w:t>
      </w:r>
    </w:p>
    <w:tbl>
      <w:tblPr>
        <w:tblStyle w:val="56"/>
        <w:tblW w:w="0" w:type="auto"/>
        <w:tblInd w:w="0" w:type="dxa"/>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1703"/>
        <w:gridCol w:w="744"/>
        <w:gridCol w:w="744"/>
        <w:gridCol w:w="744"/>
        <w:gridCol w:w="744"/>
        <w:gridCol w:w="744"/>
        <w:gridCol w:w="744"/>
        <w:gridCol w:w="744"/>
        <w:gridCol w:w="744"/>
        <w:gridCol w:w="744"/>
      </w:tblGrid>
      <w:tr w14:paraId="2A0DA56E">
        <w:tblPrEx>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703" w:type="dxa"/>
            <w:vMerge w:val="restart"/>
            <w:tcBorders>
              <w:top w:val="thinThickSmallGap" w:color="auto" w:sz="12" w:space="0"/>
            </w:tcBorders>
            <w:shd w:val="clear" w:color="auto" w:fill="DDDDDD"/>
            <w:noWrap w:val="0"/>
            <w:vAlign w:val="center"/>
          </w:tcPr>
          <w:p w14:paraId="29DF2DBB">
            <w:pPr>
              <w:spacing w:line="300" w:lineRule="exact"/>
              <w:jc w:val="center"/>
              <w:textAlignment w:val="baseline"/>
              <w:rPr>
                <w:rFonts w:ascii="Times New Roman" w:hAnsi="Times New Roman" w:cs="Times New Roman"/>
                <w:spacing w:val="-20"/>
                <w:sz w:val="21"/>
                <w:szCs w:val="21"/>
              </w:rPr>
            </w:pPr>
            <w:r>
              <w:rPr>
                <w:rFonts w:ascii="Times New Roman" w:hAnsi="Times New Roman" w:cs="Times New Roman"/>
                <w:sz w:val="21"/>
                <w:szCs w:val="21"/>
              </w:rPr>
              <w:t xml:space="preserve">       </w:t>
            </w:r>
            <w:r>
              <w:rPr>
                <w:rFonts w:ascii="Times New Roman" w:hAnsi="Times New Roman" w:cs="Times New Roman"/>
                <w:spacing w:val="-20"/>
                <w:sz w:val="21"/>
                <w:szCs w:val="21"/>
              </w:rPr>
              <w:t>占地规模</w:t>
            </w:r>
          </w:p>
          <w:p w14:paraId="3A39985A">
            <w:pPr>
              <w:spacing w:line="300" w:lineRule="exact"/>
              <w:textAlignment w:val="baseline"/>
              <w:rPr>
                <w:rFonts w:ascii="Times New Roman" w:hAnsi="Times New Roman" w:cs="Times New Roman"/>
                <w:spacing w:val="-20"/>
                <w:kern w:val="21"/>
                <w:sz w:val="21"/>
                <w:szCs w:val="21"/>
              </w:rPr>
            </w:pPr>
            <w:r>
              <w:rPr>
                <w:rFonts w:ascii="Times New Roman" w:hAnsi="Times New Roman" w:cs="Times New Roman"/>
              </w:rPr>
              <mc:AlternateContent>
                <mc:Choice Requires="wps">
                  <w:drawing>
                    <wp:anchor distT="0" distB="0" distL="114300" distR="114300" simplePos="0" relativeHeight="251662336" behindDoc="0" locked="0" layoutInCell="1" allowOverlap="1">
                      <wp:simplePos x="0" y="0"/>
                      <wp:positionH relativeFrom="column">
                        <wp:posOffset>-52705</wp:posOffset>
                      </wp:positionH>
                      <wp:positionV relativeFrom="paragraph">
                        <wp:posOffset>77470</wp:posOffset>
                      </wp:positionV>
                      <wp:extent cx="1069340" cy="301625"/>
                      <wp:effectExtent l="1270" t="4445" r="15240" b="17780"/>
                      <wp:wrapNone/>
                      <wp:docPr id="6" name="自选图形 3589"/>
                      <wp:cNvGraphicFramePr/>
                      <a:graphic xmlns:a="http://schemas.openxmlformats.org/drawingml/2006/main">
                        <a:graphicData uri="http://schemas.microsoft.com/office/word/2010/wordprocessingShape">
                          <wps:wsp>
                            <wps:cNvCnPr/>
                            <wps:spPr>
                              <a:xfrm>
                                <a:off x="0" y="0"/>
                                <a:ext cx="1069340" cy="301625"/>
                              </a:xfrm>
                              <a:prstGeom prst="straightConnector1">
                                <a:avLst/>
                              </a:prstGeom>
                              <a:ln w="6350" cap="flat" cmpd="sng">
                                <a:solidFill>
                                  <a:srgbClr val="000000"/>
                                </a:solidFill>
                                <a:prstDash val="solid"/>
                                <a:headEnd type="none" w="med" len="med"/>
                                <a:tailEnd type="none" w="med" len="med"/>
                              </a:ln>
                            </wps:spPr>
                            <wps:bodyPr/>
                          </wps:wsp>
                        </a:graphicData>
                      </a:graphic>
                    </wp:anchor>
                  </w:drawing>
                </mc:Choice>
                <mc:Fallback>
                  <w:pict>
                    <v:shape id="自选图形 3589" o:spid="_x0000_s1026" o:spt="32" type="#_x0000_t32" style="position:absolute;left:0pt;margin-left:-4.15pt;margin-top:6.1pt;height:23.75pt;width:84.2pt;z-index:251662336;mso-width-relative:page;mso-height-relative:page;" filled="f" stroked="t" coordsize="21600,21600" o:gfxdata="UEsDBAoAAAAAAIdO4kAAAAAAAAAAAAAAAAAEAAAAZHJzL1BLAwQUAAAACACHTuJAaHUiktcAAAAI&#10;AQAADwAAAGRycy9kb3ducmV2LnhtbE2PzU7DMBCE70i8g7VI3Fo7QZQ2xOmhgMSpgoKouG3jJYmI&#10;11Hs/PD2uCc4zs5o5tt8O9tWjNT7xrGGZKlAEJfONFxpeH97WqxB+IBssHVMGn7Iw7a4vMgxM27i&#10;VxoPoRKxhH2GGuoQukxKX9Zk0S9dRxy9L9dbDFH2lTQ9TrHctjJVaiUtNhwXauxoV1P5fRisBovP&#10;bkjr3bj/mB9ezPTJ5f7xqPX1VaLuQQSaw18YzvgRHYrIdHIDGy9aDYv1TUzGe5qCOPsrlYA4abjd&#10;3IEscvn/geIXUEsDBBQAAAAIAIdO4kBJ+Ife+gEAAOsDAAAOAAAAZHJzL2Uyb0RvYy54bWytU82O&#10;0zAQviPxDpbvNGlLq92o6R5alguCSsADuLaTWPKfPN6mvXFDPAM3jrwDvM1K8BaMndCF5dIDOThj&#10;z8w3830er26ORpODDKCcrel0UlIiLXdC2bam79/dPruiBCKzgmlnZU1PEujN+umTVe8rOXOd00IG&#10;giAWqt7XtIvRV0UBvJOGwcR5adHZuGBYxG1oCxFYj+hGF7OyXBa9C8IHxyUAnm4HJx0RwyWArmkU&#10;l1vH74y0cUANUrOIlKBTHug6d9s0ksc3TQMyEl1TZBrzikXQ3qe1WK9Y1QbmO8XHFtglLTziZJiy&#10;WPQMtWWRkbug/oEyigcHrokT7kwxEMmKIItp+Uibtx3zMnNBqcGfRYf/B8tfH3aBKFHTJSWWGbzw&#10;Hx+//vzw6f7z9/tvX8h8cXWdROo9VBi7sbsw7sDvQmJ8bIJJf+RCjlnY01lYeYyE4+G0XF7Pn6Pm&#10;HH3zcrqcLRJo8ZDtA8SX0hmSjJpCDEy1Xdw4a/EOXZhmddnhFcQh8XdCKq0t6ZHAfJEqMJzJBmcB&#10;TeORF9g254LTStwqrVMGhHa/0YEcWJqL/I0N/RWWimwZdENcdqUwVnWSiRdWkHjyqJjFh0JTC0YK&#10;SrTEd5WsHBmZ0pdEohbaoiRJ6EHaZO2dOGXF8znOQBZtnNc0ZH/uc/bDG13/A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GoEAABbQ29udGVudF9U&#10;eXBlc10ueG1sUEsBAhQACgAAAAAAh07iQAAAAAAAAAAAAAAAAAYAAAAAAAAAAAAQAAAATAMAAF9y&#10;ZWxzL1BLAQIUABQAAAAIAIdO4kCKFGY80QAAAJQBAAALAAAAAAAAAAEAIAAAAHADAABfcmVscy8u&#10;cmVsc1BLAQIUAAoAAAAAAIdO4kAAAAAAAAAAAAAAAAAEAAAAAAAAAAAAEAAAAAAAAABkcnMvUEsB&#10;AhQAFAAAAAgAh07iQGh1IpLXAAAACAEAAA8AAAAAAAAAAQAgAAAAIgAAAGRycy9kb3ducmV2Lnht&#10;bFBLAQIUABQAAAAIAIdO4kBJ+Ife+gEAAOsDAAAOAAAAAAAAAAEAIAAAACYBAABkcnMvZTJvRG9j&#10;LnhtbFBLBQYAAAAABgAGAFkBAACSBQAAAAA=&#10;">
                      <v:fill on="f" focussize="0,0"/>
                      <v:stroke weight="0.5pt" color="#000000" joinstyle="round"/>
                      <v:imagedata o:title=""/>
                      <o:lock v:ext="edit" aspectratio="f"/>
                    </v:shape>
                  </w:pict>
                </mc:Fallback>
              </mc:AlternateContent>
            </w:r>
            <w:r>
              <w:rPr>
                <w:rFonts w:ascii="Times New Roman" w:hAnsi="Times New Roman" w:cs="Times New Roman"/>
                <w:spacing w:val="-20"/>
                <w:kern w:val="21"/>
                <w:sz w:val="21"/>
                <w:szCs w:val="21"/>
              </w:rPr>
              <w:t>评价工作等级</w:t>
            </w:r>
          </w:p>
          <w:p w14:paraId="2742FFB2">
            <w:pPr>
              <w:spacing w:line="300" w:lineRule="exact"/>
              <w:textAlignment w:val="baseline"/>
              <w:rPr>
                <w:rFonts w:ascii="Times New Roman" w:hAnsi="Times New Roman" w:cs="Times New Roman"/>
                <w:spacing w:val="-20"/>
                <w:sz w:val="21"/>
                <w:szCs w:val="21"/>
              </w:rPr>
            </w:pPr>
            <w:r>
              <w:rPr>
                <w:rFonts w:ascii="Times New Roman" w:hAnsi="Times New Roman" w:cs="Times New Roman"/>
                <w:spacing w:val="-20"/>
                <w:sz w:val="21"/>
                <w:szCs w:val="21"/>
              </w:rPr>
              <w:t>敏感程度</w:t>
            </w:r>
          </w:p>
        </w:tc>
        <w:tc>
          <w:tcPr>
            <w:tcW w:w="2232" w:type="dxa"/>
            <w:gridSpan w:val="3"/>
            <w:tcBorders>
              <w:top w:val="thinThickSmallGap" w:color="auto" w:sz="12" w:space="0"/>
              <w:bottom w:val="single" w:color="auto" w:sz="4" w:space="0"/>
            </w:tcBorders>
            <w:shd w:val="clear" w:color="auto" w:fill="DDDDDD"/>
            <w:noWrap w:val="0"/>
            <w:vAlign w:val="center"/>
          </w:tcPr>
          <w:p w14:paraId="02BEB9B0">
            <w:pPr>
              <w:spacing w:line="300" w:lineRule="exact"/>
              <w:jc w:val="center"/>
              <w:textAlignment w:val="baseline"/>
              <w:rPr>
                <w:rFonts w:ascii="Times New Roman" w:hAnsi="Times New Roman" w:cs="Times New Roman"/>
                <w:sz w:val="21"/>
                <w:szCs w:val="21"/>
              </w:rPr>
            </w:pPr>
            <w:r>
              <w:rPr>
                <w:rFonts w:ascii="Times New Roman" w:hAnsi="Times New Roman" w:cs="Times New Roman"/>
                <w:sz w:val="21"/>
                <w:szCs w:val="21"/>
              </w:rPr>
              <w:t>Ⅰ类</w:t>
            </w:r>
          </w:p>
        </w:tc>
        <w:tc>
          <w:tcPr>
            <w:tcW w:w="2232" w:type="dxa"/>
            <w:gridSpan w:val="3"/>
            <w:tcBorders>
              <w:top w:val="thinThickSmallGap" w:color="auto" w:sz="12" w:space="0"/>
              <w:bottom w:val="single" w:color="auto" w:sz="4" w:space="0"/>
            </w:tcBorders>
            <w:shd w:val="clear" w:color="auto" w:fill="DDDDDD"/>
            <w:noWrap w:val="0"/>
            <w:vAlign w:val="center"/>
          </w:tcPr>
          <w:p w14:paraId="521E9EAE">
            <w:pPr>
              <w:spacing w:line="300" w:lineRule="exact"/>
              <w:jc w:val="center"/>
              <w:textAlignment w:val="baseline"/>
              <w:rPr>
                <w:rFonts w:ascii="Times New Roman" w:hAnsi="Times New Roman" w:cs="Times New Roman"/>
                <w:sz w:val="21"/>
                <w:szCs w:val="21"/>
              </w:rPr>
            </w:pPr>
            <w:r>
              <w:rPr>
                <w:rFonts w:ascii="Times New Roman" w:hAnsi="Times New Roman" w:cs="Times New Roman"/>
                <w:sz w:val="21"/>
                <w:szCs w:val="21"/>
              </w:rPr>
              <w:t>Ⅱ类</w:t>
            </w:r>
          </w:p>
        </w:tc>
        <w:tc>
          <w:tcPr>
            <w:tcW w:w="2232" w:type="dxa"/>
            <w:gridSpan w:val="3"/>
            <w:tcBorders>
              <w:top w:val="thinThickSmallGap" w:color="auto" w:sz="12" w:space="0"/>
              <w:bottom w:val="single" w:color="auto" w:sz="4" w:space="0"/>
            </w:tcBorders>
            <w:shd w:val="clear" w:color="auto" w:fill="DDDDDD"/>
            <w:noWrap w:val="0"/>
            <w:vAlign w:val="center"/>
          </w:tcPr>
          <w:p w14:paraId="126C38F4">
            <w:pPr>
              <w:spacing w:line="300" w:lineRule="exact"/>
              <w:jc w:val="center"/>
              <w:textAlignment w:val="baseline"/>
              <w:rPr>
                <w:rFonts w:ascii="Times New Roman" w:hAnsi="Times New Roman" w:cs="Times New Roman"/>
                <w:sz w:val="21"/>
                <w:szCs w:val="21"/>
              </w:rPr>
            </w:pPr>
            <w:r>
              <w:rPr>
                <w:rFonts w:ascii="Times New Roman" w:hAnsi="Times New Roman" w:cs="Times New Roman"/>
                <w:sz w:val="21"/>
                <w:szCs w:val="21"/>
              </w:rPr>
              <w:t>Ⅲ类</w:t>
            </w:r>
          </w:p>
        </w:tc>
      </w:tr>
      <w:tr w14:paraId="0F120AC5">
        <w:tblPrEx>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703" w:type="dxa"/>
            <w:vMerge w:val="continue"/>
            <w:tcBorders>
              <w:bottom w:val="single" w:color="auto" w:sz="4" w:space="0"/>
            </w:tcBorders>
            <w:shd w:val="clear" w:color="auto" w:fill="DDDDDD"/>
            <w:noWrap w:val="0"/>
            <w:vAlign w:val="center"/>
          </w:tcPr>
          <w:p w14:paraId="33207486">
            <w:pPr>
              <w:spacing w:line="300" w:lineRule="exact"/>
              <w:jc w:val="center"/>
              <w:textAlignment w:val="baseline"/>
              <w:rPr>
                <w:rFonts w:ascii="Times New Roman" w:hAnsi="Times New Roman" w:cs="Times New Roman"/>
                <w:sz w:val="21"/>
                <w:szCs w:val="21"/>
              </w:rPr>
            </w:pPr>
          </w:p>
        </w:tc>
        <w:tc>
          <w:tcPr>
            <w:tcW w:w="744" w:type="dxa"/>
            <w:tcBorders>
              <w:top w:val="single" w:color="auto" w:sz="4" w:space="0"/>
              <w:bottom w:val="single" w:color="auto" w:sz="4" w:space="0"/>
            </w:tcBorders>
            <w:shd w:val="clear" w:color="auto" w:fill="DDDDDD"/>
            <w:noWrap w:val="0"/>
            <w:vAlign w:val="center"/>
          </w:tcPr>
          <w:p w14:paraId="1C005269">
            <w:pPr>
              <w:spacing w:line="300" w:lineRule="exact"/>
              <w:jc w:val="center"/>
              <w:textAlignment w:val="baseline"/>
              <w:rPr>
                <w:rFonts w:ascii="Times New Roman" w:hAnsi="Times New Roman" w:cs="Times New Roman"/>
                <w:sz w:val="21"/>
                <w:szCs w:val="21"/>
              </w:rPr>
            </w:pPr>
            <w:r>
              <w:rPr>
                <w:rFonts w:ascii="Times New Roman" w:hAnsi="Times New Roman" w:cs="Times New Roman"/>
                <w:sz w:val="21"/>
                <w:szCs w:val="21"/>
              </w:rPr>
              <w:t>大</w:t>
            </w:r>
          </w:p>
        </w:tc>
        <w:tc>
          <w:tcPr>
            <w:tcW w:w="744" w:type="dxa"/>
            <w:tcBorders>
              <w:top w:val="single" w:color="auto" w:sz="4" w:space="0"/>
              <w:bottom w:val="single" w:color="auto" w:sz="4" w:space="0"/>
            </w:tcBorders>
            <w:shd w:val="clear" w:color="auto" w:fill="DDDDDD"/>
            <w:noWrap w:val="0"/>
            <w:vAlign w:val="center"/>
          </w:tcPr>
          <w:p w14:paraId="2B5D23E2">
            <w:pPr>
              <w:spacing w:line="300" w:lineRule="exact"/>
              <w:jc w:val="center"/>
              <w:textAlignment w:val="baseline"/>
              <w:rPr>
                <w:rFonts w:ascii="Times New Roman" w:hAnsi="Times New Roman" w:cs="Times New Roman"/>
                <w:sz w:val="21"/>
                <w:szCs w:val="21"/>
              </w:rPr>
            </w:pPr>
            <w:r>
              <w:rPr>
                <w:rFonts w:ascii="Times New Roman" w:hAnsi="Times New Roman" w:cs="Times New Roman"/>
                <w:sz w:val="21"/>
                <w:szCs w:val="21"/>
              </w:rPr>
              <w:t>中</w:t>
            </w:r>
          </w:p>
        </w:tc>
        <w:tc>
          <w:tcPr>
            <w:tcW w:w="744" w:type="dxa"/>
            <w:tcBorders>
              <w:top w:val="single" w:color="auto" w:sz="4" w:space="0"/>
              <w:bottom w:val="single" w:color="auto" w:sz="4" w:space="0"/>
            </w:tcBorders>
            <w:shd w:val="clear" w:color="auto" w:fill="DDDDDD"/>
            <w:noWrap w:val="0"/>
            <w:vAlign w:val="center"/>
          </w:tcPr>
          <w:p w14:paraId="3A18CC9F">
            <w:pPr>
              <w:spacing w:line="300" w:lineRule="exact"/>
              <w:jc w:val="center"/>
              <w:textAlignment w:val="baseline"/>
              <w:rPr>
                <w:rFonts w:ascii="Times New Roman" w:hAnsi="Times New Roman" w:cs="Times New Roman"/>
                <w:sz w:val="21"/>
                <w:szCs w:val="21"/>
              </w:rPr>
            </w:pPr>
            <w:r>
              <w:rPr>
                <w:rFonts w:ascii="Times New Roman" w:hAnsi="Times New Roman" w:cs="Times New Roman"/>
                <w:sz w:val="21"/>
                <w:szCs w:val="21"/>
              </w:rPr>
              <w:t>小</w:t>
            </w:r>
          </w:p>
        </w:tc>
        <w:tc>
          <w:tcPr>
            <w:tcW w:w="744" w:type="dxa"/>
            <w:tcBorders>
              <w:top w:val="single" w:color="auto" w:sz="4" w:space="0"/>
              <w:bottom w:val="single" w:color="auto" w:sz="4" w:space="0"/>
            </w:tcBorders>
            <w:shd w:val="clear" w:color="auto" w:fill="DDDDDD"/>
            <w:noWrap w:val="0"/>
            <w:vAlign w:val="center"/>
          </w:tcPr>
          <w:p w14:paraId="6ADAABCD">
            <w:pPr>
              <w:spacing w:line="300" w:lineRule="exact"/>
              <w:jc w:val="center"/>
              <w:textAlignment w:val="baseline"/>
              <w:rPr>
                <w:rFonts w:ascii="Times New Roman" w:hAnsi="Times New Roman" w:cs="Times New Roman"/>
                <w:sz w:val="21"/>
                <w:szCs w:val="21"/>
              </w:rPr>
            </w:pPr>
            <w:r>
              <w:rPr>
                <w:rFonts w:ascii="Times New Roman" w:hAnsi="Times New Roman" w:cs="Times New Roman"/>
                <w:sz w:val="21"/>
                <w:szCs w:val="21"/>
              </w:rPr>
              <w:t>大</w:t>
            </w:r>
          </w:p>
        </w:tc>
        <w:tc>
          <w:tcPr>
            <w:tcW w:w="744" w:type="dxa"/>
            <w:tcBorders>
              <w:top w:val="single" w:color="auto" w:sz="4" w:space="0"/>
              <w:bottom w:val="single" w:color="auto" w:sz="4" w:space="0"/>
            </w:tcBorders>
            <w:shd w:val="clear" w:color="auto" w:fill="DDDDDD"/>
            <w:noWrap w:val="0"/>
            <w:vAlign w:val="center"/>
          </w:tcPr>
          <w:p w14:paraId="5D671033">
            <w:pPr>
              <w:spacing w:line="300" w:lineRule="exact"/>
              <w:jc w:val="center"/>
              <w:textAlignment w:val="baseline"/>
              <w:rPr>
                <w:rFonts w:ascii="Times New Roman" w:hAnsi="Times New Roman" w:cs="Times New Roman"/>
                <w:sz w:val="21"/>
                <w:szCs w:val="21"/>
              </w:rPr>
            </w:pPr>
            <w:r>
              <w:rPr>
                <w:rFonts w:ascii="Times New Roman" w:hAnsi="Times New Roman" w:cs="Times New Roman"/>
                <w:sz w:val="21"/>
                <w:szCs w:val="21"/>
              </w:rPr>
              <w:t>中</w:t>
            </w:r>
          </w:p>
        </w:tc>
        <w:tc>
          <w:tcPr>
            <w:tcW w:w="744" w:type="dxa"/>
            <w:tcBorders>
              <w:top w:val="single" w:color="auto" w:sz="4" w:space="0"/>
              <w:bottom w:val="single" w:color="auto" w:sz="4" w:space="0"/>
            </w:tcBorders>
            <w:shd w:val="clear" w:color="auto" w:fill="DDDDDD"/>
            <w:noWrap w:val="0"/>
            <w:vAlign w:val="center"/>
          </w:tcPr>
          <w:p w14:paraId="64E68C34">
            <w:pPr>
              <w:spacing w:line="300" w:lineRule="exact"/>
              <w:jc w:val="center"/>
              <w:textAlignment w:val="baseline"/>
              <w:rPr>
                <w:rFonts w:ascii="Times New Roman" w:hAnsi="Times New Roman" w:cs="Times New Roman"/>
                <w:sz w:val="21"/>
                <w:szCs w:val="21"/>
              </w:rPr>
            </w:pPr>
            <w:r>
              <w:rPr>
                <w:rFonts w:ascii="Times New Roman" w:hAnsi="Times New Roman" w:cs="Times New Roman"/>
                <w:sz w:val="21"/>
                <w:szCs w:val="21"/>
              </w:rPr>
              <w:t>小</w:t>
            </w:r>
          </w:p>
        </w:tc>
        <w:tc>
          <w:tcPr>
            <w:tcW w:w="744" w:type="dxa"/>
            <w:tcBorders>
              <w:top w:val="single" w:color="auto" w:sz="4" w:space="0"/>
              <w:bottom w:val="single" w:color="auto" w:sz="4" w:space="0"/>
            </w:tcBorders>
            <w:shd w:val="clear" w:color="auto" w:fill="DDDDDD"/>
            <w:noWrap w:val="0"/>
            <w:vAlign w:val="center"/>
          </w:tcPr>
          <w:p w14:paraId="1D58E2D5">
            <w:pPr>
              <w:spacing w:line="300" w:lineRule="exact"/>
              <w:jc w:val="center"/>
              <w:textAlignment w:val="baseline"/>
              <w:rPr>
                <w:rFonts w:ascii="Times New Roman" w:hAnsi="Times New Roman" w:cs="Times New Roman"/>
                <w:sz w:val="21"/>
                <w:szCs w:val="21"/>
              </w:rPr>
            </w:pPr>
            <w:r>
              <w:rPr>
                <w:rFonts w:ascii="Times New Roman" w:hAnsi="Times New Roman" w:cs="Times New Roman"/>
                <w:sz w:val="21"/>
                <w:szCs w:val="21"/>
              </w:rPr>
              <w:t>大</w:t>
            </w:r>
          </w:p>
        </w:tc>
        <w:tc>
          <w:tcPr>
            <w:tcW w:w="744" w:type="dxa"/>
            <w:tcBorders>
              <w:top w:val="single" w:color="auto" w:sz="4" w:space="0"/>
              <w:bottom w:val="single" w:color="auto" w:sz="4" w:space="0"/>
            </w:tcBorders>
            <w:shd w:val="clear" w:color="auto" w:fill="DDDDDD"/>
            <w:noWrap w:val="0"/>
            <w:vAlign w:val="center"/>
          </w:tcPr>
          <w:p w14:paraId="185D0697">
            <w:pPr>
              <w:spacing w:line="300" w:lineRule="exact"/>
              <w:jc w:val="center"/>
              <w:textAlignment w:val="baseline"/>
              <w:rPr>
                <w:rFonts w:ascii="Times New Roman" w:hAnsi="Times New Roman" w:cs="Times New Roman"/>
                <w:sz w:val="21"/>
                <w:szCs w:val="21"/>
              </w:rPr>
            </w:pPr>
            <w:r>
              <w:rPr>
                <w:rFonts w:ascii="Times New Roman" w:hAnsi="Times New Roman" w:cs="Times New Roman"/>
                <w:sz w:val="21"/>
                <w:szCs w:val="21"/>
              </w:rPr>
              <w:t>中</w:t>
            </w:r>
          </w:p>
        </w:tc>
        <w:tc>
          <w:tcPr>
            <w:tcW w:w="744" w:type="dxa"/>
            <w:tcBorders>
              <w:top w:val="single" w:color="auto" w:sz="4" w:space="0"/>
              <w:bottom w:val="single" w:color="auto" w:sz="4" w:space="0"/>
            </w:tcBorders>
            <w:shd w:val="clear" w:color="auto" w:fill="DDDDDD"/>
            <w:noWrap w:val="0"/>
            <w:vAlign w:val="center"/>
          </w:tcPr>
          <w:p w14:paraId="60269DAA">
            <w:pPr>
              <w:spacing w:line="300" w:lineRule="exact"/>
              <w:jc w:val="center"/>
              <w:textAlignment w:val="baseline"/>
              <w:rPr>
                <w:rFonts w:ascii="Times New Roman" w:hAnsi="Times New Roman" w:cs="Times New Roman"/>
                <w:sz w:val="21"/>
                <w:szCs w:val="21"/>
              </w:rPr>
            </w:pPr>
            <w:r>
              <w:rPr>
                <w:rFonts w:ascii="Times New Roman" w:hAnsi="Times New Roman" w:cs="Times New Roman"/>
                <w:sz w:val="21"/>
                <w:szCs w:val="21"/>
              </w:rPr>
              <w:t>小</w:t>
            </w:r>
          </w:p>
        </w:tc>
      </w:tr>
      <w:tr w14:paraId="04252737">
        <w:tblPrEx>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703" w:type="dxa"/>
            <w:tcBorders>
              <w:top w:val="single" w:color="auto" w:sz="4" w:space="0"/>
            </w:tcBorders>
            <w:noWrap w:val="0"/>
            <w:vAlign w:val="center"/>
          </w:tcPr>
          <w:p w14:paraId="06546C73">
            <w:pPr>
              <w:spacing w:line="300" w:lineRule="exact"/>
              <w:jc w:val="center"/>
              <w:textAlignment w:val="baseline"/>
              <w:rPr>
                <w:rFonts w:ascii="Times New Roman" w:hAnsi="Times New Roman" w:cs="Times New Roman"/>
                <w:sz w:val="21"/>
                <w:szCs w:val="21"/>
              </w:rPr>
            </w:pPr>
            <w:r>
              <w:rPr>
                <w:rFonts w:ascii="Times New Roman" w:hAnsi="Times New Roman" w:cs="Times New Roman"/>
                <w:sz w:val="21"/>
                <w:szCs w:val="21"/>
              </w:rPr>
              <w:t>敏感</w:t>
            </w:r>
          </w:p>
        </w:tc>
        <w:tc>
          <w:tcPr>
            <w:tcW w:w="744" w:type="dxa"/>
            <w:tcBorders>
              <w:top w:val="single" w:color="auto" w:sz="4" w:space="0"/>
            </w:tcBorders>
            <w:noWrap w:val="0"/>
            <w:vAlign w:val="center"/>
          </w:tcPr>
          <w:p w14:paraId="178E20E0">
            <w:pPr>
              <w:spacing w:line="300" w:lineRule="exact"/>
              <w:jc w:val="center"/>
              <w:textAlignment w:val="baseline"/>
              <w:rPr>
                <w:rFonts w:ascii="Times New Roman" w:hAnsi="Times New Roman" w:cs="Times New Roman"/>
                <w:sz w:val="21"/>
                <w:szCs w:val="21"/>
              </w:rPr>
            </w:pPr>
            <w:r>
              <w:rPr>
                <w:rFonts w:ascii="Times New Roman" w:hAnsi="Times New Roman" w:cs="Times New Roman"/>
                <w:sz w:val="21"/>
                <w:szCs w:val="21"/>
              </w:rPr>
              <w:t>一级</w:t>
            </w:r>
          </w:p>
        </w:tc>
        <w:tc>
          <w:tcPr>
            <w:tcW w:w="744" w:type="dxa"/>
            <w:tcBorders>
              <w:top w:val="single" w:color="auto" w:sz="4" w:space="0"/>
            </w:tcBorders>
            <w:noWrap w:val="0"/>
            <w:vAlign w:val="center"/>
          </w:tcPr>
          <w:p w14:paraId="30BC85B0">
            <w:pPr>
              <w:spacing w:line="300" w:lineRule="exact"/>
              <w:jc w:val="center"/>
              <w:textAlignment w:val="baseline"/>
              <w:rPr>
                <w:rFonts w:ascii="Times New Roman" w:hAnsi="Times New Roman" w:cs="Times New Roman"/>
                <w:sz w:val="21"/>
                <w:szCs w:val="21"/>
              </w:rPr>
            </w:pPr>
            <w:r>
              <w:rPr>
                <w:rFonts w:ascii="Times New Roman" w:hAnsi="Times New Roman" w:cs="Times New Roman"/>
                <w:sz w:val="21"/>
                <w:szCs w:val="21"/>
              </w:rPr>
              <w:t>一级</w:t>
            </w:r>
          </w:p>
        </w:tc>
        <w:tc>
          <w:tcPr>
            <w:tcW w:w="744" w:type="dxa"/>
            <w:tcBorders>
              <w:top w:val="single" w:color="auto" w:sz="4" w:space="0"/>
            </w:tcBorders>
            <w:noWrap w:val="0"/>
            <w:vAlign w:val="center"/>
          </w:tcPr>
          <w:p w14:paraId="6D906388">
            <w:pPr>
              <w:spacing w:line="300" w:lineRule="exact"/>
              <w:jc w:val="center"/>
              <w:textAlignment w:val="baseline"/>
              <w:rPr>
                <w:rFonts w:ascii="Times New Roman" w:hAnsi="Times New Roman" w:cs="Times New Roman"/>
                <w:sz w:val="21"/>
                <w:szCs w:val="21"/>
              </w:rPr>
            </w:pPr>
            <w:r>
              <w:rPr>
                <w:rFonts w:ascii="Times New Roman" w:hAnsi="Times New Roman" w:cs="Times New Roman"/>
                <w:sz w:val="21"/>
                <w:szCs w:val="21"/>
              </w:rPr>
              <w:t>一级</w:t>
            </w:r>
          </w:p>
        </w:tc>
        <w:tc>
          <w:tcPr>
            <w:tcW w:w="744" w:type="dxa"/>
            <w:tcBorders>
              <w:top w:val="single" w:color="auto" w:sz="4" w:space="0"/>
            </w:tcBorders>
            <w:noWrap w:val="0"/>
            <w:vAlign w:val="center"/>
          </w:tcPr>
          <w:p w14:paraId="615E3FAB">
            <w:pPr>
              <w:spacing w:line="300" w:lineRule="exact"/>
              <w:jc w:val="center"/>
              <w:textAlignment w:val="baseline"/>
              <w:rPr>
                <w:rFonts w:ascii="Times New Roman" w:hAnsi="Times New Roman" w:cs="Times New Roman"/>
                <w:sz w:val="21"/>
                <w:szCs w:val="21"/>
              </w:rPr>
            </w:pPr>
            <w:r>
              <w:rPr>
                <w:rFonts w:ascii="Times New Roman" w:hAnsi="Times New Roman" w:cs="Times New Roman"/>
                <w:sz w:val="21"/>
                <w:szCs w:val="21"/>
              </w:rPr>
              <w:t>二级</w:t>
            </w:r>
          </w:p>
        </w:tc>
        <w:tc>
          <w:tcPr>
            <w:tcW w:w="744" w:type="dxa"/>
            <w:tcBorders>
              <w:top w:val="single" w:color="auto" w:sz="4" w:space="0"/>
            </w:tcBorders>
            <w:noWrap w:val="0"/>
            <w:vAlign w:val="center"/>
          </w:tcPr>
          <w:p w14:paraId="7EB9943E">
            <w:pPr>
              <w:spacing w:line="300" w:lineRule="exact"/>
              <w:jc w:val="center"/>
              <w:textAlignment w:val="baseline"/>
              <w:rPr>
                <w:rFonts w:ascii="Times New Roman" w:hAnsi="Times New Roman" w:cs="Times New Roman"/>
                <w:sz w:val="21"/>
                <w:szCs w:val="21"/>
              </w:rPr>
            </w:pPr>
            <w:r>
              <w:rPr>
                <w:rFonts w:ascii="Times New Roman" w:hAnsi="Times New Roman" w:eastAsia="宋体" w:cs="Times New Roman"/>
                <w:sz w:val="21"/>
                <w:szCs w:val="21"/>
                <w:shd w:val="pct15" w:color="auto" w:fill="FFFFFF"/>
              </w:rPr>
              <w:t>二级</w:t>
            </w:r>
          </w:p>
        </w:tc>
        <w:tc>
          <w:tcPr>
            <w:tcW w:w="744" w:type="dxa"/>
            <w:tcBorders>
              <w:top w:val="single" w:color="auto" w:sz="4" w:space="0"/>
            </w:tcBorders>
            <w:noWrap w:val="0"/>
            <w:vAlign w:val="center"/>
          </w:tcPr>
          <w:p w14:paraId="2D53CED1">
            <w:pPr>
              <w:spacing w:line="300" w:lineRule="exact"/>
              <w:jc w:val="center"/>
              <w:textAlignment w:val="baseline"/>
              <w:rPr>
                <w:rFonts w:ascii="Times New Roman" w:hAnsi="Times New Roman" w:eastAsia="宋体" w:cs="Times New Roman"/>
                <w:sz w:val="21"/>
                <w:szCs w:val="21"/>
              </w:rPr>
            </w:pPr>
            <w:r>
              <w:rPr>
                <w:rFonts w:ascii="Times New Roman" w:hAnsi="Times New Roman" w:eastAsia="宋体" w:cs="Times New Roman"/>
                <w:sz w:val="21"/>
                <w:szCs w:val="21"/>
              </w:rPr>
              <w:t>二级</w:t>
            </w:r>
          </w:p>
        </w:tc>
        <w:tc>
          <w:tcPr>
            <w:tcW w:w="744" w:type="dxa"/>
            <w:tcBorders>
              <w:top w:val="single" w:color="auto" w:sz="4" w:space="0"/>
            </w:tcBorders>
            <w:noWrap w:val="0"/>
            <w:vAlign w:val="center"/>
          </w:tcPr>
          <w:p w14:paraId="77E05001">
            <w:pPr>
              <w:spacing w:line="300" w:lineRule="exact"/>
              <w:jc w:val="center"/>
              <w:textAlignment w:val="baseline"/>
              <w:rPr>
                <w:rFonts w:ascii="Times New Roman" w:hAnsi="Times New Roman" w:cs="Times New Roman"/>
                <w:sz w:val="21"/>
                <w:szCs w:val="21"/>
              </w:rPr>
            </w:pPr>
            <w:r>
              <w:rPr>
                <w:rFonts w:ascii="Times New Roman" w:hAnsi="Times New Roman" w:cs="Times New Roman"/>
                <w:sz w:val="21"/>
                <w:szCs w:val="21"/>
              </w:rPr>
              <w:t>三级</w:t>
            </w:r>
          </w:p>
        </w:tc>
        <w:tc>
          <w:tcPr>
            <w:tcW w:w="744" w:type="dxa"/>
            <w:tcBorders>
              <w:top w:val="single" w:color="auto" w:sz="4" w:space="0"/>
            </w:tcBorders>
            <w:noWrap w:val="0"/>
            <w:vAlign w:val="center"/>
          </w:tcPr>
          <w:p w14:paraId="12DC12DF">
            <w:pPr>
              <w:spacing w:line="300" w:lineRule="exact"/>
              <w:jc w:val="center"/>
              <w:textAlignment w:val="baseline"/>
              <w:rPr>
                <w:rFonts w:ascii="Times New Roman" w:hAnsi="Times New Roman" w:cs="Times New Roman"/>
                <w:sz w:val="21"/>
                <w:szCs w:val="21"/>
              </w:rPr>
            </w:pPr>
            <w:r>
              <w:rPr>
                <w:rFonts w:ascii="Times New Roman" w:hAnsi="Times New Roman" w:cs="Times New Roman"/>
                <w:sz w:val="21"/>
                <w:szCs w:val="21"/>
              </w:rPr>
              <w:t>三级</w:t>
            </w:r>
          </w:p>
        </w:tc>
        <w:tc>
          <w:tcPr>
            <w:tcW w:w="744" w:type="dxa"/>
            <w:tcBorders>
              <w:top w:val="single" w:color="auto" w:sz="4" w:space="0"/>
            </w:tcBorders>
            <w:noWrap w:val="0"/>
            <w:vAlign w:val="center"/>
          </w:tcPr>
          <w:p w14:paraId="25BD898E">
            <w:pPr>
              <w:spacing w:line="300" w:lineRule="exact"/>
              <w:jc w:val="center"/>
              <w:textAlignment w:val="baseline"/>
              <w:rPr>
                <w:rFonts w:ascii="Times New Roman" w:hAnsi="Times New Roman" w:cs="Times New Roman"/>
                <w:sz w:val="21"/>
                <w:szCs w:val="21"/>
              </w:rPr>
            </w:pPr>
            <w:r>
              <w:rPr>
                <w:rFonts w:ascii="Times New Roman" w:hAnsi="Times New Roman" w:cs="Times New Roman"/>
                <w:sz w:val="21"/>
                <w:szCs w:val="21"/>
              </w:rPr>
              <w:t>三级</w:t>
            </w:r>
          </w:p>
        </w:tc>
      </w:tr>
      <w:tr w14:paraId="6251D344">
        <w:tblPrEx>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703" w:type="dxa"/>
            <w:noWrap w:val="0"/>
            <w:vAlign w:val="center"/>
          </w:tcPr>
          <w:p w14:paraId="701EAFB6">
            <w:pPr>
              <w:spacing w:line="300" w:lineRule="exact"/>
              <w:jc w:val="center"/>
              <w:textAlignment w:val="baseline"/>
              <w:rPr>
                <w:rFonts w:ascii="Times New Roman" w:hAnsi="Times New Roman" w:cs="Times New Roman"/>
                <w:sz w:val="21"/>
                <w:szCs w:val="21"/>
              </w:rPr>
            </w:pPr>
            <w:r>
              <w:rPr>
                <w:rFonts w:ascii="Times New Roman" w:hAnsi="Times New Roman" w:cs="Times New Roman"/>
                <w:sz w:val="21"/>
                <w:szCs w:val="21"/>
              </w:rPr>
              <w:t>较敏感</w:t>
            </w:r>
          </w:p>
        </w:tc>
        <w:tc>
          <w:tcPr>
            <w:tcW w:w="744" w:type="dxa"/>
            <w:noWrap w:val="0"/>
            <w:vAlign w:val="center"/>
          </w:tcPr>
          <w:p w14:paraId="17C89323">
            <w:pPr>
              <w:spacing w:line="300" w:lineRule="exact"/>
              <w:jc w:val="center"/>
              <w:textAlignment w:val="baseline"/>
              <w:rPr>
                <w:rFonts w:ascii="Times New Roman" w:hAnsi="Times New Roman" w:cs="Times New Roman"/>
                <w:sz w:val="21"/>
                <w:szCs w:val="21"/>
              </w:rPr>
            </w:pPr>
            <w:r>
              <w:rPr>
                <w:rFonts w:ascii="Times New Roman" w:hAnsi="Times New Roman" w:cs="Times New Roman"/>
                <w:sz w:val="21"/>
                <w:szCs w:val="21"/>
              </w:rPr>
              <w:t>一级</w:t>
            </w:r>
          </w:p>
        </w:tc>
        <w:tc>
          <w:tcPr>
            <w:tcW w:w="744" w:type="dxa"/>
            <w:noWrap w:val="0"/>
            <w:vAlign w:val="center"/>
          </w:tcPr>
          <w:p w14:paraId="3CCAEB7D">
            <w:pPr>
              <w:spacing w:line="300" w:lineRule="exact"/>
              <w:jc w:val="center"/>
              <w:textAlignment w:val="baseline"/>
              <w:rPr>
                <w:rFonts w:ascii="Times New Roman" w:hAnsi="Times New Roman" w:cs="Times New Roman"/>
                <w:sz w:val="21"/>
                <w:szCs w:val="21"/>
              </w:rPr>
            </w:pPr>
            <w:r>
              <w:rPr>
                <w:rFonts w:ascii="Times New Roman" w:hAnsi="Times New Roman" w:cs="Times New Roman"/>
                <w:sz w:val="21"/>
                <w:szCs w:val="21"/>
              </w:rPr>
              <w:t>一级</w:t>
            </w:r>
          </w:p>
        </w:tc>
        <w:tc>
          <w:tcPr>
            <w:tcW w:w="744" w:type="dxa"/>
            <w:noWrap w:val="0"/>
            <w:vAlign w:val="center"/>
          </w:tcPr>
          <w:p w14:paraId="54043EA4">
            <w:pPr>
              <w:spacing w:line="300" w:lineRule="exact"/>
              <w:jc w:val="center"/>
              <w:textAlignment w:val="baseline"/>
              <w:rPr>
                <w:rFonts w:ascii="Times New Roman" w:hAnsi="Times New Roman" w:cs="Times New Roman"/>
                <w:sz w:val="21"/>
                <w:szCs w:val="21"/>
              </w:rPr>
            </w:pPr>
            <w:r>
              <w:rPr>
                <w:rFonts w:ascii="Times New Roman" w:hAnsi="Times New Roman" w:cs="Times New Roman"/>
                <w:sz w:val="21"/>
                <w:szCs w:val="21"/>
              </w:rPr>
              <w:t>二级</w:t>
            </w:r>
          </w:p>
        </w:tc>
        <w:tc>
          <w:tcPr>
            <w:tcW w:w="744" w:type="dxa"/>
            <w:noWrap w:val="0"/>
            <w:vAlign w:val="center"/>
          </w:tcPr>
          <w:p w14:paraId="3DF4A037">
            <w:pPr>
              <w:spacing w:line="300" w:lineRule="exact"/>
              <w:jc w:val="center"/>
              <w:textAlignment w:val="baseline"/>
              <w:rPr>
                <w:rFonts w:ascii="Times New Roman" w:hAnsi="Times New Roman" w:cs="Times New Roman"/>
                <w:sz w:val="21"/>
                <w:szCs w:val="21"/>
              </w:rPr>
            </w:pPr>
            <w:r>
              <w:rPr>
                <w:rFonts w:ascii="Times New Roman" w:hAnsi="Times New Roman" w:cs="Times New Roman"/>
                <w:sz w:val="21"/>
                <w:szCs w:val="21"/>
              </w:rPr>
              <w:t>二级</w:t>
            </w:r>
          </w:p>
        </w:tc>
        <w:tc>
          <w:tcPr>
            <w:tcW w:w="744" w:type="dxa"/>
            <w:noWrap w:val="0"/>
            <w:vAlign w:val="center"/>
          </w:tcPr>
          <w:p w14:paraId="7D126E01">
            <w:pPr>
              <w:spacing w:line="300" w:lineRule="exact"/>
              <w:jc w:val="center"/>
              <w:textAlignment w:val="baseline"/>
              <w:rPr>
                <w:rFonts w:ascii="Times New Roman" w:hAnsi="Times New Roman" w:cs="Times New Roman"/>
                <w:sz w:val="21"/>
                <w:szCs w:val="21"/>
              </w:rPr>
            </w:pPr>
            <w:r>
              <w:rPr>
                <w:rFonts w:ascii="Times New Roman" w:hAnsi="Times New Roman" w:cs="Times New Roman"/>
                <w:sz w:val="21"/>
                <w:szCs w:val="21"/>
              </w:rPr>
              <w:t>二级</w:t>
            </w:r>
          </w:p>
        </w:tc>
        <w:tc>
          <w:tcPr>
            <w:tcW w:w="744" w:type="dxa"/>
            <w:noWrap w:val="0"/>
            <w:vAlign w:val="center"/>
          </w:tcPr>
          <w:p w14:paraId="28D6E058">
            <w:pPr>
              <w:spacing w:line="300" w:lineRule="exact"/>
              <w:jc w:val="center"/>
              <w:textAlignment w:val="baseline"/>
              <w:rPr>
                <w:rFonts w:ascii="Times New Roman" w:hAnsi="Times New Roman" w:eastAsia="宋体" w:cs="Times New Roman"/>
                <w:sz w:val="21"/>
                <w:szCs w:val="21"/>
              </w:rPr>
            </w:pPr>
            <w:r>
              <w:rPr>
                <w:rFonts w:ascii="Times New Roman" w:hAnsi="Times New Roman" w:eastAsia="宋体" w:cs="Times New Roman"/>
                <w:sz w:val="21"/>
                <w:szCs w:val="21"/>
              </w:rPr>
              <w:t>三级</w:t>
            </w:r>
          </w:p>
        </w:tc>
        <w:tc>
          <w:tcPr>
            <w:tcW w:w="744" w:type="dxa"/>
            <w:noWrap w:val="0"/>
            <w:vAlign w:val="center"/>
          </w:tcPr>
          <w:p w14:paraId="39DE4E48">
            <w:pPr>
              <w:spacing w:line="300" w:lineRule="exact"/>
              <w:jc w:val="center"/>
              <w:textAlignment w:val="baseline"/>
              <w:rPr>
                <w:rFonts w:ascii="Times New Roman" w:hAnsi="Times New Roman" w:cs="Times New Roman"/>
                <w:sz w:val="21"/>
                <w:szCs w:val="21"/>
              </w:rPr>
            </w:pPr>
            <w:r>
              <w:rPr>
                <w:rFonts w:ascii="Times New Roman" w:hAnsi="Times New Roman" w:cs="Times New Roman"/>
                <w:sz w:val="21"/>
                <w:szCs w:val="21"/>
              </w:rPr>
              <w:t>三级</w:t>
            </w:r>
          </w:p>
        </w:tc>
        <w:tc>
          <w:tcPr>
            <w:tcW w:w="744" w:type="dxa"/>
            <w:noWrap w:val="0"/>
            <w:vAlign w:val="center"/>
          </w:tcPr>
          <w:p w14:paraId="72C949CE">
            <w:pPr>
              <w:spacing w:line="300" w:lineRule="exact"/>
              <w:jc w:val="center"/>
              <w:textAlignment w:val="baseline"/>
              <w:rPr>
                <w:rFonts w:ascii="Times New Roman" w:hAnsi="Times New Roman" w:cs="Times New Roman"/>
                <w:sz w:val="21"/>
                <w:szCs w:val="21"/>
              </w:rPr>
            </w:pPr>
            <w:r>
              <w:rPr>
                <w:rFonts w:ascii="Times New Roman" w:hAnsi="Times New Roman" w:cs="Times New Roman"/>
                <w:sz w:val="21"/>
                <w:szCs w:val="21"/>
              </w:rPr>
              <w:t>三级</w:t>
            </w:r>
          </w:p>
        </w:tc>
        <w:tc>
          <w:tcPr>
            <w:tcW w:w="744" w:type="dxa"/>
            <w:noWrap w:val="0"/>
            <w:vAlign w:val="center"/>
          </w:tcPr>
          <w:p w14:paraId="0386BDCD">
            <w:pPr>
              <w:spacing w:line="300" w:lineRule="exact"/>
              <w:jc w:val="center"/>
              <w:textAlignment w:val="baseline"/>
              <w:rPr>
                <w:rFonts w:ascii="Times New Roman" w:hAnsi="Times New Roman" w:cs="Times New Roman"/>
                <w:sz w:val="21"/>
                <w:szCs w:val="21"/>
              </w:rPr>
            </w:pPr>
            <w:r>
              <w:rPr>
                <w:rFonts w:ascii="Times New Roman" w:hAnsi="Times New Roman" w:cs="Times New Roman"/>
                <w:sz w:val="21"/>
                <w:szCs w:val="21"/>
              </w:rPr>
              <w:t>--</w:t>
            </w:r>
          </w:p>
        </w:tc>
      </w:tr>
      <w:tr w14:paraId="39F31BE0">
        <w:tblPrEx>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703" w:type="dxa"/>
            <w:noWrap w:val="0"/>
            <w:vAlign w:val="center"/>
          </w:tcPr>
          <w:p w14:paraId="1E261692">
            <w:pPr>
              <w:spacing w:line="300" w:lineRule="exact"/>
              <w:jc w:val="center"/>
              <w:textAlignment w:val="baseline"/>
              <w:rPr>
                <w:rFonts w:ascii="Times New Roman" w:hAnsi="Times New Roman" w:cs="Times New Roman"/>
                <w:sz w:val="21"/>
                <w:szCs w:val="21"/>
              </w:rPr>
            </w:pPr>
            <w:r>
              <w:rPr>
                <w:rFonts w:ascii="Times New Roman" w:hAnsi="Times New Roman" w:cs="Times New Roman"/>
                <w:sz w:val="21"/>
                <w:szCs w:val="21"/>
              </w:rPr>
              <w:t>不敏感</w:t>
            </w:r>
          </w:p>
        </w:tc>
        <w:tc>
          <w:tcPr>
            <w:tcW w:w="744" w:type="dxa"/>
            <w:noWrap w:val="0"/>
            <w:vAlign w:val="center"/>
          </w:tcPr>
          <w:p w14:paraId="77831EDB">
            <w:pPr>
              <w:spacing w:line="300" w:lineRule="exact"/>
              <w:jc w:val="center"/>
              <w:textAlignment w:val="baseline"/>
              <w:rPr>
                <w:rFonts w:ascii="Times New Roman" w:hAnsi="Times New Roman" w:cs="Times New Roman"/>
                <w:sz w:val="21"/>
                <w:szCs w:val="21"/>
              </w:rPr>
            </w:pPr>
            <w:r>
              <w:rPr>
                <w:rFonts w:ascii="Times New Roman" w:hAnsi="Times New Roman" w:cs="Times New Roman"/>
                <w:sz w:val="21"/>
                <w:szCs w:val="21"/>
              </w:rPr>
              <w:t>一级</w:t>
            </w:r>
          </w:p>
        </w:tc>
        <w:tc>
          <w:tcPr>
            <w:tcW w:w="744" w:type="dxa"/>
            <w:noWrap w:val="0"/>
            <w:vAlign w:val="center"/>
          </w:tcPr>
          <w:p w14:paraId="3CBEA356">
            <w:pPr>
              <w:spacing w:line="300" w:lineRule="exact"/>
              <w:jc w:val="center"/>
              <w:textAlignment w:val="baseline"/>
              <w:rPr>
                <w:rFonts w:ascii="Times New Roman" w:hAnsi="Times New Roman" w:cs="Times New Roman"/>
                <w:sz w:val="21"/>
                <w:szCs w:val="21"/>
              </w:rPr>
            </w:pPr>
            <w:r>
              <w:rPr>
                <w:rFonts w:ascii="Times New Roman" w:hAnsi="Times New Roman" w:cs="Times New Roman"/>
                <w:sz w:val="21"/>
                <w:szCs w:val="21"/>
              </w:rPr>
              <w:t>二级</w:t>
            </w:r>
          </w:p>
        </w:tc>
        <w:tc>
          <w:tcPr>
            <w:tcW w:w="744" w:type="dxa"/>
            <w:noWrap w:val="0"/>
            <w:vAlign w:val="center"/>
          </w:tcPr>
          <w:p w14:paraId="58D0BB7A">
            <w:pPr>
              <w:spacing w:line="300" w:lineRule="exact"/>
              <w:jc w:val="center"/>
              <w:textAlignment w:val="baseline"/>
              <w:rPr>
                <w:rFonts w:ascii="Times New Roman" w:hAnsi="Times New Roman" w:cs="Times New Roman"/>
                <w:sz w:val="21"/>
                <w:szCs w:val="21"/>
              </w:rPr>
            </w:pPr>
            <w:r>
              <w:rPr>
                <w:rFonts w:ascii="Times New Roman" w:hAnsi="Times New Roman" w:cs="Times New Roman"/>
                <w:sz w:val="21"/>
                <w:szCs w:val="21"/>
              </w:rPr>
              <w:t>二级</w:t>
            </w:r>
          </w:p>
        </w:tc>
        <w:tc>
          <w:tcPr>
            <w:tcW w:w="744" w:type="dxa"/>
            <w:noWrap w:val="0"/>
            <w:vAlign w:val="center"/>
          </w:tcPr>
          <w:p w14:paraId="405FDEC3">
            <w:pPr>
              <w:spacing w:line="300" w:lineRule="exact"/>
              <w:jc w:val="center"/>
              <w:textAlignment w:val="baseline"/>
              <w:rPr>
                <w:rFonts w:ascii="Times New Roman" w:hAnsi="Times New Roman" w:cs="Times New Roman"/>
                <w:sz w:val="21"/>
                <w:szCs w:val="21"/>
              </w:rPr>
            </w:pPr>
            <w:r>
              <w:rPr>
                <w:rFonts w:ascii="Times New Roman" w:hAnsi="Times New Roman" w:cs="Times New Roman"/>
                <w:sz w:val="21"/>
                <w:szCs w:val="21"/>
              </w:rPr>
              <w:t>二级</w:t>
            </w:r>
          </w:p>
        </w:tc>
        <w:tc>
          <w:tcPr>
            <w:tcW w:w="744" w:type="dxa"/>
            <w:noWrap w:val="0"/>
            <w:vAlign w:val="center"/>
          </w:tcPr>
          <w:p w14:paraId="25B3CE50">
            <w:pPr>
              <w:spacing w:line="300" w:lineRule="exact"/>
              <w:jc w:val="center"/>
              <w:textAlignment w:val="baseline"/>
              <w:rPr>
                <w:rFonts w:ascii="Times New Roman" w:hAnsi="Times New Roman" w:cs="Times New Roman"/>
                <w:sz w:val="21"/>
                <w:szCs w:val="21"/>
              </w:rPr>
            </w:pPr>
            <w:r>
              <w:rPr>
                <w:rFonts w:ascii="Times New Roman" w:hAnsi="Times New Roman" w:cs="Times New Roman"/>
                <w:sz w:val="21"/>
                <w:szCs w:val="21"/>
              </w:rPr>
              <w:t>三级</w:t>
            </w:r>
          </w:p>
        </w:tc>
        <w:tc>
          <w:tcPr>
            <w:tcW w:w="744" w:type="dxa"/>
            <w:noWrap w:val="0"/>
            <w:vAlign w:val="center"/>
          </w:tcPr>
          <w:p w14:paraId="7BED4C16">
            <w:pPr>
              <w:spacing w:line="300" w:lineRule="exact"/>
              <w:jc w:val="center"/>
              <w:textAlignment w:val="baseline"/>
              <w:rPr>
                <w:rFonts w:ascii="Times New Roman" w:hAnsi="Times New Roman" w:cs="Times New Roman"/>
                <w:sz w:val="21"/>
                <w:szCs w:val="21"/>
              </w:rPr>
            </w:pPr>
            <w:r>
              <w:rPr>
                <w:rFonts w:ascii="Times New Roman" w:hAnsi="Times New Roman" w:cs="Times New Roman"/>
                <w:sz w:val="21"/>
                <w:szCs w:val="21"/>
              </w:rPr>
              <w:t>三级</w:t>
            </w:r>
          </w:p>
        </w:tc>
        <w:tc>
          <w:tcPr>
            <w:tcW w:w="744" w:type="dxa"/>
            <w:noWrap w:val="0"/>
            <w:vAlign w:val="center"/>
          </w:tcPr>
          <w:p w14:paraId="74FE5230">
            <w:pPr>
              <w:spacing w:line="300" w:lineRule="exact"/>
              <w:jc w:val="center"/>
              <w:textAlignment w:val="baseline"/>
              <w:rPr>
                <w:rFonts w:ascii="Times New Roman" w:hAnsi="Times New Roman" w:cs="Times New Roman"/>
                <w:sz w:val="21"/>
                <w:szCs w:val="21"/>
              </w:rPr>
            </w:pPr>
            <w:r>
              <w:rPr>
                <w:rFonts w:ascii="Times New Roman" w:hAnsi="Times New Roman" w:cs="Times New Roman"/>
                <w:sz w:val="21"/>
                <w:szCs w:val="21"/>
              </w:rPr>
              <w:t>三级</w:t>
            </w:r>
          </w:p>
        </w:tc>
        <w:tc>
          <w:tcPr>
            <w:tcW w:w="744" w:type="dxa"/>
            <w:noWrap w:val="0"/>
            <w:vAlign w:val="center"/>
          </w:tcPr>
          <w:p w14:paraId="77D10FDE">
            <w:pPr>
              <w:spacing w:line="300" w:lineRule="exact"/>
              <w:jc w:val="center"/>
              <w:textAlignment w:val="baseline"/>
              <w:rPr>
                <w:rFonts w:ascii="Times New Roman" w:hAnsi="Times New Roman" w:cs="Times New Roman"/>
                <w:sz w:val="21"/>
                <w:szCs w:val="21"/>
              </w:rPr>
            </w:pPr>
            <w:r>
              <w:rPr>
                <w:rFonts w:ascii="Times New Roman" w:hAnsi="Times New Roman" w:cs="Times New Roman"/>
                <w:sz w:val="21"/>
                <w:szCs w:val="21"/>
              </w:rPr>
              <w:t>--</w:t>
            </w:r>
          </w:p>
        </w:tc>
        <w:tc>
          <w:tcPr>
            <w:tcW w:w="744" w:type="dxa"/>
            <w:noWrap w:val="0"/>
            <w:vAlign w:val="center"/>
          </w:tcPr>
          <w:p w14:paraId="55D1DE77">
            <w:pPr>
              <w:spacing w:line="300" w:lineRule="exact"/>
              <w:jc w:val="center"/>
              <w:textAlignment w:val="baseline"/>
              <w:rPr>
                <w:rFonts w:ascii="Times New Roman" w:hAnsi="Times New Roman" w:cs="Times New Roman"/>
                <w:sz w:val="21"/>
                <w:szCs w:val="21"/>
              </w:rPr>
            </w:pPr>
            <w:r>
              <w:rPr>
                <w:rFonts w:ascii="Times New Roman" w:hAnsi="Times New Roman" w:cs="Times New Roman"/>
                <w:sz w:val="21"/>
                <w:szCs w:val="21"/>
              </w:rPr>
              <w:t>--</w:t>
            </w:r>
          </w:p>
        </w:tc>
      </w:tr>
      <w:tr w14:paraId="4754073A">
        <w:tblPrEx>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399" w:type="dxa"/>
            <w:gridSpan w:val="10"/>
            <w:noWrap w:val="0"/>
            <w:vAlign w:val="center"/>
          </w:tcPr>
          <w:p w14:paraId="2ED9907F">
            <w:pPr>
              <w:spacing w:line="300" w:lineRule="exact"/>
              <w:textAlignment w:val="baseline"/>
              <w:rPr>
                <w:rFonts w:ascii="Times New Roman" w:hAnsi="Times New Roman" w:cs="Times New Roman"/>
                <w:sz w:val="21"/>
                <w:szCs w:val="21"/>
              </w:rPr>
            </w:pPr>
            <w:r>
              <w:rPr>
                <w:rFonts w:ascii="Times New Roman" w:hAnsi="Times New Roman" w:cs="Times New Roman"/>
                <w:sz w:val="21"/>
                <w:szCs w:val="21"/>
              </w:rPr>
              <w:t>注：“--”表示可不开展土壤环境影响评价工作。</w:t>
            </w:r>
          </w:p>
        </w:tc>
      </w:tr>
    </w:tbl>
    <w:p w14:paraId="2FDE7376">
      <w:pPr>
        <w:pStyle w:val="133"/>
      </w:pPr>
      <w:r>
        <w:t>1.5.4.2 土壤环境评价范围</w:t>
      </w:r>
    </w:p>
    <w:p w14:paraId="702EA831">
      <w:pPr>
        <w:tabs>
          <w:tab w:val="left" w:pos="6580"/>
        </w:tabs>
        <w:spacing w:line="500" w:lineRule="exact"/>
        <w:ind w:firstLine="480" w:firstLineChars="200"/>
        <w:rPr>
          <w:rFonts w:ascii="Times New Roman" w:hAnsi="Times New Roman" w:cs="Times New Roman"/>
        </w:rPr>
      </w:pPr>
      <w:r>
        <w:rPr>
          <w:rFonts w:ascii="Times New Roman" w:hAnsi="Times New Roman" w:cs="Times New Roman"/>
        </w:rPr>
        <w:t>本项目土壤评价范围为</w:t>
      </w:r>
      <w:r>
        <w:rPr>
          <w:rFonts w:hint="eastAsia" w:ascii="Times New Roman" w:hAnsi="Times New Roman" w:cs="Times New Roman"/>
        </w:rPr>
        <w:t>厂区</w:t>
      </w:r>
      <w:r>
        <w:rPr>
          <w:rFonts w:ascii="Times New Roman" w:hAnsi="Times New Roman" w:cs="Times New Roman"/>
        </w:rPr>
        <w:t>占地范围内及占地范围外0.2km，见图1.5-2。</w:t>
      </w:r>
    </w:p>
    <w:p w14:paraId="486FF294">
      <w:pPr>
        <w:pStyle w:val="7"/>
      </w:pPr>
      <w:bookmarkStart w:id="131" w:name="_Toc24694"/>
      <w:bookmarkStart w:id="132" w:name="_Toc90026199"/>
      <w:r>
        <w:t>1.5.</w:t>
      </w:r>
      <w:r>
        <w:rPr>
          <w:lang w:eastAsia="zh-CN"/>
        </w:rPr>
        <w:t>5</w:t>
      </w:r>
      <w:r>
        <w:t xml:space="preserve"> </w:t>
      </w:r>
      <w:r>
        <w:rPr>
          <w:lang w:eastAsia="zh-CN"/>
        </w:rPr>
        <w:t>生态影响</w:t>
      </w:r>
      <w:r>
        <w:t>评价等级</w:t>
      </w:r>
      <w:r>
        <w:rPr>
          <w:rFonts w:hint="eastAsia"/>
          <w:lang w:eastAsia="zh-CN"/>
        </w:rPr>
        <w:t>及范围</w:t>
      </w:r>
      <w:bookmarkEnd w:id="131"/>
      <w:bookmarkEnd w:id="132"/>
    </w:p>
    <w:p w14:paraId="21A4DB09">
      <w:pPr>
        <w:tabs>
          <w:tab w:val="left" w:pos="6580"/>
        </w:tabs>
        <w:spacing w:line="500" w:lineRule="exact"/>
        <w:ind w:firstLine="480" w:firstLineChars="200"/>
        <w:jc w:val="both"/>
        <w:rPr>
          <w:rFonts w:hint="eastAsia" w:ascii="Times New Roman" w:hAnsi="Times New Roman" w:cs="Times New Roman"/>
        </w:rPr>
      </w:pPr>
      <w:r>
        <w:rPr>
          <w:rFonts w:ascii="Times New Roman" w:hAnsi="Times New Roman" w:cs="Times New Roman"/>
        </w:rPr>
        <w:t>本项目</w:t>
      </w:r>
      <w:r>
        <w:rPr>
          <w:rFonts w:hint="eastAsia" w:ascii="Times New Roman" w:hAnsi="Times New Roman" w:cs="Times New Roman"/>
        </w:rPr>
        <w:t>在现有厂区内建设，</w:t>
      </w:r>
      <w:r>
        <w:rPr>
          <w:rFonts w:ascii="Times New Roman" w:hAnsi="Times New Roman" w:cs="Times New Roman"/>
        </w:rPr>
        <w:t>根据《环境影响评价技术导则 生态影响》（HJ19-20</w:t>
      </w:r>
      <w:r>
        <w:rPr>
          <w:rFonts w:hint="eastAsia" w:ascii="Times New Roman" w:hAnsi="Times New Roman" w:cs="Times New Roman"/>
          <w:lang w:val="en-US" w:eastAsia="zh-CN"/>
        </w:rPr>
        <w:t>22</w:t>
      </w:r>
      <w:r>
        <w:rPr>
          <w:rFonts w:ascii="Times New Roman" w:hAnsi="Times New Roman" w:cs="Times New Roman"/>
        </w:rPr>
        <w:t>）</w:t>
      </w:r>
      <w:r>
        <w:rPr>
          <w:rFonts w:hint="eastAsia" w:ascii="Times New Roman" w:hAnsi="Times New Roman" w:cs="Times New Roman"/>
        </w:rPr>
        <w:t>，“</w:t>
      </w:r>
      <w:r>
        <w:rPr>
          <w:rFonts w:hint="eastAsia"/>
        </w:rPr>
        <w:t>符合生态环境分区管控要求且位于原厂界（或永久用地）范围内的污染影响类改扩建项目，位于已批准规划环评的产业园区内且符合规划环评要求、不涉及生态敏感区的污染影响类建设项目，可不确定评价等级，直接进行生态影响简单分析。”。</w:t>
      </w:r>
    </w:p>
    <w:p w14:paraId="0B94EA4F">
      <w:pPr>
        <w:pStyle w:val="7"/>
      </w:pPr>
      <w:bookmarkStart w:id="133" w:name="_Toc90026200"/>
      <w:bookmarkStart w:id="134" w:name="_Toc19491"/>
      <w:r>
        <w:t>1.5.6 风险评价等级</w:t>
      </w:r>
      <w:bookmarkEnd w:id="133"/>
      <w:bookmarkEnd w:id="134"/>
    </w:p>
    <w:p w14:paraId="3AD2FF0F">
      <w:pPr>
        <w:tabs>
          <w:tab w:val="left" w:pos="6580"/>
        </w:tabs>
        <w:spacing w:line="500" w:lineRule="exact"/>
        <w:ind w:firstLine="480" w:firstLineChars="200"/>
        <w:rPr>
          <w:rFonts w:ascii="Times New Roman" w:hAnsi="Times New Roman" w:cs="Times New Roman"/>
        </w:rPr>
      </w:pPr>
      <w:r>
        <w:rPr>
          <w:rFonts w:ascii="Times New Roman" w:hAnsi="Times New Roman" w:cs="Times New Roman"/>
        </w:rPr>
        <w:t>根据《建设项目环境风险评价技术导则》（HJ169-2018），环境风险评价工作等级划分依据见表</w:t>
      </w:r>
      <w:r>
        <w:rPr>
          <w:rFonts w:ascii="Times New Roman" w:hAnsi="Times New Roman" w:cs="Times New Roman"/>
          <w:szCs w:val="18"/>
        </w:rPr>
        <w:t>1.5-9</w:t>
      </w:r>
      <w:r>
        <w:rPr>
          <w:rFonts w:ascii="Times New Roman" w:hAnsi="Times New Roman" w:cs="Times New Roman"/>
        </w:rPr>
        <w:t>。</w:t>
      </w:r>
    </w:p>
    <w:p w14:paraId="7AF52970">
      <w:pPr>
        <w:pStyle w:val="112"/>
        <w:snapToGrid/>
      </w:pPr>
      <w:r>
        <w:t>表</w:t>
      </w:r>
      <w:r>
        <w:rPr>
          <w:szCs w:val="18"/>
        </w:rPr>
        <w:t>1.5-9</w:t>
      </w:r>
      <w:r>
        <w:t xml:space="preserve">  评价工作等级划分依据一览表</w:t>
      </w:r>
    </w:p>
    <w:tbl>
      <w:tblPr>
        <w:tblStyle w:val="56"/>
        <w:tblW w:w="0" w:type="auto"/>
        <w:tblInd w:w="0" w:type="dxa"/>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1703"/>
        <w:gridCol w:w="1674"/>
        <w:gridCol w:w="1674"/>
        <w:gridCol w:w="1674"/>
        <w:gridCol w:w="1674"/>
      </w:tblGrid>
      <w:tr w14:paraId="0260FE61">
        <w:tblPrEx>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1703" w:type="dxa"/>
            <w:tcBorders>
              <w:top w:val="thinThickSmallGap" w:color="auto" w:sz="12" w:space="0"/>
              <w:bottom w:val="single" w:color="auto" w:sz="4" w:space="0"/>
            </w:tcBorders>
            <w:shd w:val="clear" w:color="auto" w:fill="DDDDDD"/>
            <w:noWrap w:val="0"/>
            <w:vAlign w:val="center"/>
          </w:tcPr>
          <w:p w14:paraId="766A197D">
            <w:pPr>
              <w:spacing w:line="300" w:lineRule="exact"/>
              <w:ind w:firstLine="482"/>
              <w:textAlignment w:val="baseline"/>
              <w:rPr>
                <w:rFonts w:ascii="Times New Roman" w:hAnsi="Times New Roman" w:cs="Times New Roman"/>
                <w:sz w:val="21"/>
                <w:szCs w:val="21"/>
              </w:rPr>
            </w:pPr>
            <w:r>
              <w:rPr>
                <w:rFonts w:ascii="Times New Roman" w:hAnsi="Times New Roman" w:cs="Times New Roman"/>
                <w:sz w:val="21"/>
                <w:szCs w:val="21"/>
              </w:rPr>
              <w:t>项目</w:t>
            </w:r>
          </w:p>
        </w:tc>
        <w:tc>
          <w:tcPr>
            <w:tcW w:w="6696" w:type="dxa"/>
            <w:gridSpan w:val="4"/>
            <w:tcBorders>
              <w:top w:val="thinThickSmallGap" w:color="auto" w:sz="12" w:space="0"/>
              <w:bottom w:val="single" w:color="auto" w:sz="4" w:space="0"/>
            </w:tcBorders>
            <w:shd w:val="clear" w:color="auto" w:fill="DDDDDD"/>
            <w:noWrap w:val="0"/>
            <w:vAlign w:val="center"/>
          </w:tcPr>
          <w:p w14:paraId="7173D259">
            <w:pPr>
              <w:spacing w:line="300" w:lineRule="exact"/>
              <w:jc w:val="center"/>
              <w:textAlignment w:val="baseline"/>
              <w:rPr>
                <w:rFonts w:ascii="Times New Roman" w:hAnsi="Times New Roman" w:cs="Times New Roman"/>
                <w:sz w:val="21"/>
                <w:szCs w:val="21"/>
              </w:rPr>
            </w:pPr>
            <w:r>
              <w:rPr>
                <w:rFonts w:ascii="Times New Roman" w:hAnsi="Times New Roman" w:cs="Times New Roman"/>
                <w:sz w:val="21"/>
                <w:szCs w:val="21"/>
              </w:rPr>
              <w:t>划分依据</w:t>
            </w:r>
          </w:p>
        </w:tc>
      </w:tr>
      <w:tr w14:paraId="47A8E176">
        <w:tblPrEx>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1703" w:type="dxa"/>
            <w:tcBorders>
              <w:top w:val="single" w:color="auto" w:sz="4" w:space="0"/>
            </w:tcBorders>
            <w:noWrap w:val="0"/>
            <w:vAlign w:val="center"/>
          </w:tcPr>
          <w:p w14:paraId="2E76C22D">
            <w:pPr>
              <w:spacing w:line="300" w:lineRule="exact"/>
              <w:jc w:val="center"/>
              <w:textAlignment w:val="baseline"/>
              <w:rPr>
                <w:rFonts w:ascii="Times New Roman" w:hAnsi="Times New Roman" w:cs="Times New Roman"/>
                <w:sz w:val="21"/>
                <w:szCs w:val="21"/>
              </w:rPr>
            </w:pPr>
            <w:r>
              <w:rPr>
                <w:rFonts w:ascii="Times New Roman" w:hAnsi="Times New Roman" w:cs="Times New Roman"/>
                <w:sz w:val="21"/>
                <w:szCs w:val="21"/>
              </w:rPr>
              <w:t>环境风险潜势</w:t>
            </w:r>
          </w:p>
        </w:tc>
        <w:tc>
          <w:tcPr>
            <w:tcW w:w="1674" w:type="dxa"/>
            <w:tcBorders>
              <w:top w:val="single" w:color="auto" w:sz="4" w:space="0"/>
            </w:tcBorders>
            <w:noWrap w:val="0"/>
            <w:vAlign w:val="center"/>
          </w:tcPr>
          <w:p w14:paraId="662EE857">
            <w:pPr>
              <w:spacing w:line="300" w:lineRule="exact"/>
              <w:jc w:val="center"/>
              <w:textAlignment w:val="baseline"/>
              <w:rPr>
                <w:rFonts w:ascii="Times New Roman" w:hAnsi="Times New Roman" w:cs="Times New Roman"/>
                <w:sz w:val="21"/>
                <w:szCs w:val="21"/>
              </w:rPr>
            </w:pPr>
            <w:r>
              <w:rPr>
                <w:rFonts w:ascii="Times New Roman" w:hAnsi="Times New Roman" w:cs="Times New Roman"/>
                <w:sz w:val="21"/>
                <w:szCs w:val="21"/>
              </w:rPr>
              <w:t>Ⅳ、Ⅳ</w:t>
            </w:r>
            <w:r>
              <w:rPr>
                <w:rFonts w:ascii="Times New Roman" w:hAnsi="Times New Roman" w:cs="Times New Roman"/>
                <w:sz w:val="21"/>
                <w:szCs w:val="21"/>
                <w:vertAlign w:val="superscript"/>
              </w:rPr>
              <w:t>+</w:t>
            </w:r>
          </w:p>
        </w:tc>
        <w:tc>
          <w:tcPr>
            <w:tcW w:w="1674" w:type="dxa"/>
            <w:tcBorders>
              <w:top w:val="single" w:color="auto" w:sz="4" w:space="0"/>
            </w:tcBorders>
            <w:noWrap w:val="0"/>
            <w:vAlign w:val="center"/>
          </w:tcPr>
          <w:p w14:paraId="34F28E17">
            <w:pPr>
              <w:spacing w:line="300" w:lineRule="exact"/>
              <w:jc w:val="center"/>
              <w:textAlignment w:val="baseline"/>
              <w:rPr>
                <w:rFonts w:ascii="Times New Roman" w:hAnsi="Times New Roman" w:cs="Times New Roman"/>
                <w:sz w:val="21"/>
                <w:szCs w:val="21"/>
              </w:rPr>
            </w:pPr>
            <w:r>
              <w:rPr>
                <w:rFonts w:ascii="Times New Roman" w:hAnsi="Times New Roman" w:cs="Times New Roman"/>
                <w:sz w:val="21"/>
                <w:szCs w:val="21"/>
              </w:rPr>
              <w:t>Ⅲ</w:t>
            </w:r>
          </w:p>
        </w:tc>
        <w:tc>
          <w:tcPr>
            <w:tcW w:w="1674" w:type="dxa"/>
            <w:tcBorders>
              <w:top w:val="single" w:color="auto" w:sz="4" w:space="0"/>
            </w:tcBorders>
            <w:noWrap w:val="0"/>
            <w:vAlign w:val="center"/>
          </w:tcPr>
          <w:p w14:paraId="6CD1411E">
            <w:pPr>
              <w:spacing w:line="300" w:lineRule="exact"/>
              <w:jc w:val="center"/>
              <w:textAlignment w:val="baseline"/>
              <w:rPr>
                <w:rFonts w:ascii="Times New Roman" w:hAnsi="Times New Roman" w:cs="Times New Roman"/>
                <w:sz w:val="21"/>
                <w:szCs w:val="21"/>
              </w:rPr>
            </w:pPr>
            <w:r>
              <w:rPr>
                <w:rFonts w:ascii="Times New Roman" w:hAnsi="Times New Roman" w:cs="Times New Roman"/>
                <w:sz w:val="21"/>
                <w:szCs w:val="21"/>
              </w:rPr>
              <w:t>Ⅱ</w:t>
            </w:r>
          </w:p>
        </w:tc>
        <w:tc>
          <w:tcPr>
            <w:tcW w:w="1674" w:type="dxa"/>
            <w:tcBorders>
              <w:top w:val="single" w:color="auto" w:sz="4" w:space="0"/>
            </w:tcBorders>
            <w:noWrap w:val="0"/>
            <w:vAlign w:val="center"/>
          </w:tcPr>
          <w:p w14:paraId="701B1F05">
            <w:pPr>
              <w:spacing w:line="300" w:lineRule="exact"/>
              <w:jc w:val="center"/>
              <w:textAlignment w:val="baseline"/>
              <w:rPr>
                <w:rFonts w:ascii="Times New Roman" w:hAnsi="Times New Roman" w:cs="Times New Roman"/>
                <w:sz w:val="21"/>
                <w:szCs w:val="21"/>
              </w:rPr>
            </w:pPr>
            <w:r>
              <w:rPr>
                <w:rFonts w:ascii="Times New Roman" w:hAnsi="Times New Roman" w:cs="Times New Roman"/>
                <w:sz w:val="21"/>
                <w:szCs w:val="21"/>
              </w:rPr>
              <w:t>Ⅰ</w:t>
            </w:r>
          </w:p>
        </w:tc>
      </w:tr>
      <w:tr w14:paraId="46A035BB">
        <w:tblPrEx>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1703" w:type="dxa"/>
            <w:noWrap w:val="0"/>
            <w:vAlign w:val="center"/>
          </w:tcPr>
          <w:p w14:paraId="2AD74B31">
            <w:pPr>
              <w:spacing w:line="300" w:lineRule="exact"/>
              <w:jc w:val="center"/>
              <w:textAlignment w:val="baseline"/>
              <w:rPr>
                <w:rFonts w:ascii="Times New Roman" w:hAnsi="Times New Roman" w:cs="Times New Roman"/>
                <w:sz w:val="21"/>
                <w:szCs w:val="21"/>
              </w:rPr>
            </w:pPr>
            <w:r>
              <w:rPr>
                <w:rFonts w:ascii="Times New Roman" w:hAnsi="Times New Roman" w:cs="Times New Roman"/>
                <w:sz w:val="21"/>
                <w:szCs w:val="21"/>
              </w:rPr>
              <w:t>评价工作等级</w:t>
            </w:r>
          </w:p>
        </w:tc>
        <w:tc>
          <w:tcPr>
            <w:tcW w:w="1674" w:type="dxa"/>
            <w:noWrap w:val="0"/>
            <w:vAlign w:val="center"/>
          </w:tcPr>
          <w:p w14:paraId="7C9A48A2">
            <w:pPr>
              <w:spacing w:line="300" w:lineRule="exact"/>
              <w:jc w:val="center"/>
              <w:textAlignment w:val="baseline"/>
              <w:rPr>
                <w:rFonts w:ascii="Times New Roman" w:hAnsi="Times New Roman" w:cs="Times New Roman"/>
                <w:sz w:val="21"/>
                <w:szCs w:val="21"/>
              </w:rPr>
            </w:pPr>
            <w:r>
              <w:rPr>
                <w:rFonts w:ascii="Times New Roman" w:hAnsi="Times New Roman" w:cs="Times New Roman"/>
                <w:sz w:val="21"/>
                <w:szCs w:val="21"/>
              </w:rPr>
              <w:t>一</w:t>
            </w:r>
          </w:p>
        </w:tc>
        <w:tc>
          <w:tcPr>
            <w:tcW w:w="1674" w:type="dxa"/>
            <w:noWrap w:val="0"/>
            <w:vAlign w:val="center"/>
          </w:tcPr>
          <w:p w14:paraId="5F6A00A0">
            <w:pPr>
              <w:spacing w:line="300" w:lineRule="exact"/>
              <w:jc w:val="center"/>
              <w:textAlignment w:val="baseline"/>
              <w:rPr>
                <w:rFonts w:ascii="Times New Roman" w:hAnsi="Times New Roman" w:cs="Times New Roman"/>
                <w:sz w:val="21"/>
                <w:szCs w:val="21"/>
              </w:rPr>
            </w:pPr>
            <w:r>
              <w:rPr>
                <w:rFonts w:ascii="Times New Roman" w:hAnsi="Times New Roman" w:cs="Times New Roman"/>
                <w:sz w:val="21"/>
                <w:szCs w:val="21"/>
              </w:rPr>
              <w:t>二</w:t>
            </w:r>
          </w:p>
        </w:tc>
        <w:tc>
          <w:tcPr>
            <w:tcW w:w="1674" w:type="dxa"/>
            <w:noWrap w:val="0"/>
            <w:vAlign w:val="center"/>
          </w:tcPr>
          <w:p w14:paraId="6F910071">
            <w:pPr>
              <w:spacing w:line="300" w:lineRule="exact"/>
              <w:jc w:val="center"/>
              <w:textAlignment w:val="baseline"/>
              <w:rPr>
                <w:rFonts w:ascii="Times New Roman" w:hAnsi="Times New Roman" w:cs="Times New Roman"/>
                <w:sz w:val="21"/>
                <w:szCs w:val="21"/>
              </w:rPr>
            </w:pPr>
            <w:r>
              <w:rPr>
                <w:rFonts w:ascii="Times New Roman" w:hAnsi="Times New Roman" w:cs="Times New Roman"/>
                <w:sz w:val="21"/>
                <w:szCs w:val="21"/>
              </w:rPr>
              <w:t>三</w:t>
            </w:r>
          </w:p>
        </w:tc>
        <w:tc>
          <w:tcPr>
            <w:tcW w:w="1674" w:type="dxa"/>
            <w:noWrap w:val="0"/>
            <w:vAlign w:val="center"/>
          </w:tcPr>
          <w:p w14:paraId="6228B5CA">
            <w:pPr>
              <w:spacing w:line="300" w:lineRule="exact"/>
              <w:jc w:val="center"/>
              <w:textAlignment w:val="baseline"/>
              <w:rPr>
                <w:rFonts w:ascii="Times New Roman" w:hAnsi="Times New Roman" w:cs="Times New Roman"/>
                <w:sz w:val="21"/>
                <w:szCs w:val="21"/>
              </w:rPr>
            </w:pPr>
            <w:r>
              <w:rPr>
                <w:rFonts w:ascii="Times New Roman" w:hAnsi="Times New Roman" w:cs="Times New Roman"/>
                <w:sz w:val="21"/>
                <w:szCs w:val="21"/>
              </w:rPr>
              <w:t>简单分析</w:t>
            </w:r>
          </w:p>
        </w:tc>
      </w:tr>
    </w:tbl>
    <w:p w14:paraId="1B125FFB">
      <w:pPr>
        <w:pStyle w:val="310"/>
        <w:spacing w:line="500" w:lineRule="exact"/>
        <w:rPr>
          <w:lang w:eastAsia="zh-CN"/>
        </w:rPr>
      </w:pPr>
      <w:r>
        <w:rPr>
          <w:lang w:eastAsia="zh-CN"/>
        </w:rPr>
        <w:t>根据“风险导则”，P的分级根据危险物质数量与临界量的比值（Q）和所属行业及生产工艺特点（M）确定。</w:t>
      </w:r>
    </w:p>
    <w:p w14:paraId="399EF95B">
      <w:pPr>
        <w:pStyle w:val="310"/>
        <w:spacing w:line="500" w:lineRule="exact"/>
        <w:rPr>
          <w:lang w:eastAsia="zh-CN"/>
        </w:rPr>
      </w:pPr>
      <w:r>
        <w:rPr>
          <w:lang w:eastAsia="zh-CN"/>
        </w:rPr>
        <w:t>其中，当只涉及一种危险物质时，计算该物质的总量与其临界量比值即为Q；当存在多种危险物质时，按如下公式计算物质总量与其临界量比值（Q）：</w:t>
      </w:r>
    </w:p>
    <w:p w14:paraId="3CEC6821">
      <w:pPr>
        <w:adjustRightInd w:val="0"/>
        <w:snapToGrid w:val="0"/>
        <w:jc w:val="center"/>
        <w:rPr>
          <w:rFonts w:ascii="Times New Roman" w:hAnsi="Times New Roman" w:cs="Times New Roman"/>
        </w:rPr>
      </w:pPr>
      <w:r>
        <w:rPr>
          <w:rFonts w:ascii="Times New Roman" w:hAnsi="Times New Roman" w:cs="Times New Roman"/>
        </w:rPr>
        <w:t>Q=</w:t>
      </w:r>
      <w:r>
        <w:rPr>
          <w:rFonts w:ascii="Times New Roman" w:hAnsi="Times New Roman" w:cs="Times New Roman"/>
          <w:position w:val="-30"/>
        </w:rPr>
        <w:drawing>
          <wp:inline distT="0" distB="0" distL="114300" distR="114300">
            <wp:extent cx="1146175" cy="405765"/>
            <wp:effectExtent l="0" t="0" r="0" b="14605"/>
            <wp:docPr id="79"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图片 6"/>
                    <pic:cNvPicPr>
                      <a:picLocks noChangeAspect="1"/>
                    </pic:cNvPicPr>
                  </pic:nvPicPr>
                  <pic:blipFill>
                    <a:blip r:embed="rId33"/>
                    <a:srcRect r="14189"/>
                    <a:stretch>
                      <a:fillRect/>
                    </a:stretch>
                  </pic:blipFill>
                  <pic:spPr>
                    <a:xfrm>
                      <a:off x="0" y="0"/>
                      <a:ext cx="1146175" cy="405765"/>
                    </a:xfrm>
                    <a:prstGeom prst="rect">
                      <a:avLst/>
                    </a:prstGeom>
                    <a:noFill/>
                    <a:ln>
                      <a:noFill/>
                    </a:ln>
                  </pic:spPr>
                </pic:pic>
              </a:graphicData>
            </a:graphic>
          </wp:inline>
        </w:drawing>
      </w:r>
    </w:p>
    <w:p w14:paraId="5F05A79F">
      <w:pPr>
        <w:adjustRightInd w:val="0"/>
        <w:spacing w:line="500" w:lineRule="exact"/>
        <w:ind w:firstLine="480" w:firstLineChars="200"/>
        <w:rPr>
          <w:rFonts w:ascii="Times New Roman" w:hAnsi="Times New Roman" w:cs="Times New Roman"/>
        </w:rPr>
      </w:pPr>
      <w:r>
        <w:rPr>
          <w:rFonts w:ascii="Times New Roman" w:hAnsi="Times New Roman" w:cs="Times New Roman"/>
        </w:rPr>
        <w:t>式中：q</w:t>
      </w:r>
      <w:r>
        <w:rPr>
          <w:rFonts w:ascii="Times New Roman" w:hAnsi="Times New Roman" w:cs="Times New Roman"/>
          <w:vertAlign w:val="subscript"/>
        </w:rPr>
        <w:t>1</w:t>
      </w:r>
      <w:r>
        <w:rPr>
          <w:rFonts w:ascii="Times New Roman" w:hAnsi="Times New Roman" w:cs="Times New Roman"/>
        </w:rPr>
        <w:t>、q</w:t>
      </w:r>
      <w:r>
        <w:rPr>
          <w:rFonts w:ascii="Times New Roman" w:hAnsi="Times New Roman" w:cs="Times New Roman"/>
          <w:vertAlign w:val="subscript"/>
        </w:rPr>
        <w:t>2</w:t>
      </w:r>
      <w:r>
        <w:rPr>
          <w:rFonts w:ascii="Times New Roman" w:hAnsi="Times New Roman" w:cs="Times New Roman"/>
        </w:rPr>
        <w:t>……q</w:t>
      </w:r>
      <w:r>
        <w:rPr>
          <w:rFonts w:ascii="Times New Roman" w:hAnsi="Times New Roman" w:cs="Times New Roman"/>
          <w:vertAlign w:val="subscript"/>
        </w:rPr>
        <w:t>n</w:t>
      </w:r>
      <w:r>
        <w:rPr>
          <w:rFonts w:ascii="Times New Roman" w:hAnsi="Times New Roman" w:cs="Times New Roman"/>
        </w:rPr>
        <w:t>－每种危险物质的最大存在总量，t；</w:t>
      </w:r>
    </w:p>
    <w:p w14:paraId="00CB98EB">
      <w:pPr>
        <w:adjustRightInd w:val="0"/>
        <w:spacing w:line="500" w:lineRule="exact"/>
        <w:ind w:firstLine="1200" w:firstLineChars="500"/>
        <w:rPr>
          <w:rFonts w:ascii="Times New Roman" w:hAnsi="Times New Roman" w:cs="Times New Roman"/>
        </w:rPr>
      </w:pPr>
      <w:r>
        <w:rPr>
          <w:rFonts w:ascii="Times New Roman" w:hAnsi="Times New Roman" w:cs="Times New Roman"/>
        </w:rPr>
        <w:t>Q</w:t>
      </w:r>
      <w:r>
        <w:rPr>
          <w:rFonts w:ascii="Times New Roman" w:hAnsi="Times New Roman" w:cs="Times New Roman"/>
          <w:vertAlign w:val="subscript"/>
        </w:rPr>
        <w:t>1</w:t>
      </w:r>
      <w:r>
        <w:rPr>
          <w:rFonts w:ascii="Times New Roman" w:hAnsi="Times New Roman" w:cs="Times New Roman"/>
        </w:rPr>
        <w:t>、Q</w:t>
      </w:r>
      <w:r>
        <w:rPr>
          <w:rFonts w:ascii="Times New Roman" w:hAnsi="Times New Roman" w:cs="Times New Roman"/>
          <w:vertAlign w:val="subscript"/>
        </w:rPr>
        <w:t>2</w:t>
      </w:r>
      <w:r>
        <w:rPr>
          <w:rFonts w:ascii="Times New Roman" w:hAnsi="Times New Roman" w:cs="Times New Roman"/>
        </w:rPr>
        <w:t>……Q</w:t>
      </w:r>
      <w:r>
        <w:rPr>
          <w:rFonts w:ascii="Times New Roman" w:hAnsi="Times New Roman" w:cs="Times New Roman"/>
          <w:vertAlign w:val="subscript"/>
        </w:rPr>
        <w:t>n</w:t>
      </w:r>
      <w:r>
        <w:rPr>
          <w:rFonts w:ascii="Times New Roman" w:hAnsi="Times New Roman" w:cs="Times New Roman"/>
        </w:rPr>
        <w:t>－每种危险物质的临界量，t，取自风险导则附录B。</w:t>
      </w:r>
    </w:p>
    <w:p w14:paraId="73E4B706">
      <w:pPr>
        <w:adjustRightInd w:val="0"/>
        <w:spacing w:line="500" w:lineRule="exact"/>
        <w:ind w:firstLine="480" w:firstLineChars="200"/>
        <w:rPr>
          <w:rFonts w:ascii="Times New Roman" w:hAnsi="Times New Roman" w:cs="Times New Roman"/>
        </w:rPr>
      </w:pPr>
      <w:r>
        <w:rPr>
          <w:rFonts w:ascii="Times New Roman" w:hAnsi="Times New Roman" w:cs="Times New Roman"/>
        </w:rPr>
        <w:t>当Q＜1时，该项目环境风险潜势为Ⅰ；当Q≥1时，将Q值划分为：1≤Q＜10、10≤Q＜100、Q≥100三级。</w:t>
      </w:r>
    </w:p>
    <w:p w14:paraId="50D6A1D3">
      <w:pPr>
        <w:spacing w:line="500" w:lineRule="exact"/>
        <w:ind w:firstLine="480" w:firstLineChars="200"/>
        <w:jc w:val="both"/>
        <w:rPr>
          <w:rFonts w:ascii="Times New Roman" w:hAnsi="Times New Roman" w:cs="Times New Roman"/>
          <w:highlight w:val="none"/>
        </w:rPr>
      </w:pPr>
      <w:r>
        <w:rPr>
          <w:rFonts w:hint="eastAsia" w:ascii="Times New Roman" w:hAnsi="Times New Roman" w:cs="Times New Roman"/>
          <w:highlight w:val="none"/>
        </w:rPr>
        <w:t>根据HJ169-2018附录B，本项目在生产、使用、储存过程中涉及的危险物质为</w:t>
      </w:r>
      <w:r>
        <w:rPr>
          <w:rFonts w:hint="eastAsia" w:ascii="Times New Roman" w:hAnsi="Times New Roman" w:cs="Times New Roman"/>
          <w:highlight w:val="none"/>
          <w:lang w:val="en-US" w:eastAsia="zh-CN"/>
        </w:rPr>
        <w:t>高炉煤气</w:t>
      </w:r>
      <w:r>
        <w:rPr>
          <w:rFonts w:hint="eastAsia" w:ascii="Times New Roman" w:hAnsi="Times New Roman" w:cs="Times New Roman"/>
          <w:highlight w:val="none"/>
        </w:rPr>
        <w:t>、设备维修更换的废</w:t>
      </w:r>
      <w:r>
        <w:rPr>
          <w:rFonts w:hint="eastAsia" w:ascii="Times New Roman" w:hAnsi="Times New Roman" w:cs="Times New Roman"/>
          <w:highlight w:val="none"/>
          <w:lang w:val="en-US" w:eastAsia="zh-CN"/>
        </w:rPr>
        <w:t>机</w:t>
      </w:r>
      <w:r>
        <w:rPr>
          <w:rFonts w:hint="eastAsia" w:ascii="Times New Roman" w:hAnsi="Times New Roman" w:cs="Times New Roman"/>
          <w:highlight w:val="none"/>
        </w:rPr>
        <w:t>油（属于附录B中油类物质）</w:t>
      </w:r>
      <w:r>
        <w:rPr>
          <w:rFonts w:hint="eastAsia" w:ascii="Times New Roman" w:hAnsi="Times New Roman" w:cs="Times New Roman"/>
          <w:highlight w:val="none"/>
          <w:lang w:eastAsia="zh-CN"/>
        </w:rPr>
        <w:t>、</w:t>
      </w:r>
      <w:r>
        <w:rPr>
          <w:rFonts w:hint="eastAsia" w:ascii="Times New Roman" w:hAnsi="Times New Roman" w:cs="Times New Roman"/>
          <w:highlight w:val="none"/>
          <w:lang w:val="en-US" w:eastAsia="zh-CN"/>
        </w:rPr>
        <w:t>氨水储罐内的氨水</w:t>
      </w:r>
      <w:r>
        <w:rPr>
          <w:rFonts w:hint="eastAsia" w:ascii="Times New Roman" w:hAnsi="Times New Roman" w:cs="Times New Roman"/>
          <w:highlight w:val="none"/>
        </w:rPr>
        <w:t>。</w:t>
      </w:r>
      <w:r>
        <w:rPr>
          <w:rFonts w:ascii="Times New Roman" w:hAnsi="Times New Roman" w:cs="Times New Roman"/>
          <w:highlight w:val="none"/>
        </w:rPr>
        <w:t>Q值计算情况见表</w:t>
      </w:r>
      <w:r>
        <w:rPr>
          <w:rFonts w:ascii="Times New Roman" w:hAnsi="Times New Roman" w:cs="Times New Roman"/>
          <w:szCs w:val="18"/>
          <w:highlight w:val="none"/>
        </w:rPr>
        <w:t>1.5-10</w:t>
      </w:r>
      <w:r>
        <w:rPr>
          <w:rFonts w:ascii="Times New Roman" w:hAnsi="Times New Roman" w:cs="Times New Roman"/>
          <w:highlight w:val="none"/>
        </w:rPr>
        <w:t>。</w:t>
      </w:r>
    </w:p>
    <w:p w14:paraId="45C898C5">
      <w:pPr>
        <w:tabs>
          <w:tab w:val="left" w:pos="851"/>
          <w:tab w:val="left" w:pos="1141"/>
          <w:tab w:val="left" w:pos="4335"/>
        </w:tabs>
        <w:jc w:val="center"/>
        <w:rPr>
          <w:rFonts w:ascii="Times New Roman" w:hAnsi="Times New Roman" w:eastAsia="黑体" w:cs="Times New Roman"/>
          <w:highlight w:val="none"/>
        </w:rPr>
      </w:pPr>
      <w:r>
        <w:rPr>
          <w:rFonts w:ascii="Times New Roman" w:hAnsi="Times New Roman" w:eastAsia="黑体" w:cs="Times New Roman"/>
          <w:highlight w:val="none"/>
        </w:rPr>
        <w:t>表</w:t>
      </w:r>
      <w:r>
        <w:rPr>
          <w:rFonts w:ascii="Times New Roman" w:hAnsi="Times New Roman" w:cs="Times New Roman"/>
          <w:szCs w:val="18"/>
          <w:highlight w:val="none"/>
        </w:rPr>
        <w:t>1.5-10</w:t>
      </w:r>
      <w:r>
        <w:rPr>
          <w:rFonts w:ascii="Times New Roman" w:hAnsi="Times New Roman" w:eastAsia="黑体" w:cs="Times New Roman"/>
          <w:highlight w:val="none"/>
        </w:rPr>
        <w:t xml:space="preserve">  Q值核算情况一览表</w:t>
      </w:r>
    </w:p>
    <w:tbl>
      <w:tblPr>
        <w:tblStyle w:val="56"/>
        <w:tblW w:w="5000" w:type="pct"/>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043"/>
        <w:gridCol w:w="1296"/>
        <w:gridCol w:w="2602"/>
        <w:gridCol w:w="1904"/>
        <w:gridCol w:w="876"/>
      </w:tblGrid>
      <w:tr w14:paraId="42E160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tcBorders>
              <w:top w:val="single" w:color="000000" w:sz="4" w:space="0"/>
              <w:left w:val="single" w:color="000000" w:sz="4" w:space="0"/>
              <w:bottom w:val="single" w:color="000000" w:sz="4" w:space="0"/>
              <w:right w:val="single" w:color="000000" w:sz="4" w:space="0"/>
            </w:tcBorders>
            <w:vAlign w:val="center"/>
          </w:tcPr>
          <w:p w14:paraId="38BC3C0A">
            <w:pPr>
              <w:jc w:val="center"/>
              <w:rPr>
                <w:rFonts w:hint="default" w:ascii="Times New Roman" w:hAnsi="Times New Roman" w:cs="Times New Roman"/>
                <w:b/>
              </w:rPr>
            </w:pPr>
            <w:r>
              <w:rPr>
                <w:rFonts w:hint="default" w:ascii="Times New Roman" w:hAnsi="Times New Roman" w:cs="Times New Roman"/>
                <w:b/>
              </w:rPr>
              <w:t>危险物料名称</w:t>
            </w:r>
          </w:p>
        </w:tc>
        <w:tc>
          <w:tcPr>
            <w:tcW w:w="0" w:type="auto"/>
            <w:tcBorders>
              <w:top w:val="single" w:color="000000" w:sz="4" w:space="0"/>
              <w:left w:val="single" w:color="000000" w:sz="4" w:space="0"/>
              <w:bottom w:val="single" w:color="000000" w:sz="4" w:space="0"/>
              <w:right w:val="single" w:color="000000" w:sz="4" w:space="0"/>
            </w:tcBorders>
            <w:vAlign w:val="center"/>
          </w:tcPr>
          <w:p w14:paraId="06223EFD">
            <w:pPr>
              <w:jc w:val="center"/>
              <w:rPr>
                <w:rFonts w:hint="default" w:ascii="Times New Roman" w:hAnsi="Times New Roman" w:cs="Times New Roman"/>
                <w:b/>
              </w:rPr>
            </w:pPr>
            <w:r>
              <w:rPr>
                <w:rFonts w:hint="default" w:ascii="Times New Roman" w:hAnsi="Times New Roman" w:cs="Times New Roman"/>
                <w:b/>
              </w:rPr>
              <w:t>CAS号</w:t>
            </w:r>
          </w:p>
        </w:tc>
        <w:tc>
          <w:tcPr>
            <w:tcW w:w="0" w:type="auto"/>
            <w:tcBorders>
              <w:top w:val="single" w:color="000000" w:sz="4" w:space="0"/>
              <w:left w:val="single" w:color="000000" w:sz="4" w:space="0"/>
              <w:bottom w:val="single" w:color="000000" w:sz="4" w:space="0"/>
              <w:right w:val="single" w:color="000000" w:sz="4" w:space="0"/>
            </w:tcBorders>
            <w:vAlign w:val="center"/>
          </w:tcPr>
          <w:p w14:paraId="2473104D">
            <w:pPr>
              <w:jc w:val="center"/>
              <w:rPr>
                <w:rFonts w:hint="default" w:ascii="Times New Roman" w:hAnsi="Times New Roman" w:cs="Times New Roman"/>
                <w:b/>
              </w:rPr>
            </w:pPr>
            <w:r>
              <w:rPr>
                <w:rFonts w:hint="default" w:ascii="Times New Roman" w:hAnsi="Times New Roman" w:cs="Times New Roman"/>
                <w:b/>
              </w:rPr>
              <w:t>最大存在总量qi（吨）</w:t>
            </w:r>
          </w:p>
        </w:tc>
        <w:tc>
          <w:tcPr>
            <w:tcW w:w="0" w:type="auto"/>
            <w:tcBorders>
              <w:top w:val="single" w:color="000000" w:sz="4" w:space="0"/>
              <w:left w:val="single" w:color="000000" w:sz="4" w:space="0"/>
              <w:bottom w:val="single" w:color="000000" w:sz="4" w:space="0"/>
              <w:right w:val="single" w:color="000000" w:sz="4" w:space="0"/>
            </w:tcBorders>
            <w:vAlign w:val="center"/>
          </w:tcPr>
          <w:p w14:paraId="4D1C0B95">
            <w:pPr>
              <w:jc w:val="center"/>
              <w:rPr>
                <w:rFonts w:hint="default" w:ascii="Times New Roman" w:hAnsi="Times New Roman" w:cs="Times New Roman"/>
                <w:b/>
              </w:rPr>
            </w:pPr>
            <w:r>
              <w:rPr>
                <w:rFonts w:hint="default" w:ascii="Times New Roman" w:hAnsi="Times New Roman" w:cs="Times New Roman"/>
                <w:b/>
              </w:rPr>
              <w:t>临界量Qi（吨）</w:t>
            </w:r>
          </w:p>
        </w:tc>
        <w:tc>
          <w:tcPr>
            <w:tcW w:w="0" w:type="auto"/>
            <w:tcBorders>
              <w:top w:val="single" w:color="000000" w:sz="4" w:space="0"/>
              <w:left w:val="single" w:color="000000" w:sz="4" w:space="0"/>
              <w:bottom w:val="single" w:color="000000" w:sz="4" w:space="0"/>
              <w:right w:val="single" w:color="000000" w:sz="4" w:space="0"/>
            </w:tcBorders>
            <w:vAlign w:val="center"/>
          </w:tcPr>
          <w:p w14:paraId="1409C049">
            <w:pPr>
              <w:jc w:val="center"/>
              <w:rPr>
                <w:rFonts w:hint="default" w:ascii="Times New Roman" w:hAnsi="Times New Roman" w:cs="Times New Roman"/>
                <w:b/>
              </w:rPr>
            </w:pPr>
            <w:r>
              <w:rPr>
                <w:rFonts w:hint="default" w:ascii="Times New Roman" w:hAnsi="Times New Roman" w:cs="Times New Roman"/>
                <w:b/>
              </w:rPr>
              <w:t>qi/Qi</w:t>
            </w:r>
          </w:p>
        </w:tc>
      </w:tr>
      <w:tr w14:paraId="702540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tcBorders>
              <w:top w:val="single" w:color="000000" w:sz="4" w:space="0"/>
              <w:left w:val="single" w:color="000000" w:sz="4" w:space="0"/>
              <w:bottom w:val="single" w:color="000000" w:sz="4" w:space="0"/>
              <w:right w:val="single" w:color="000000" w:sz="4" w:space="0"/>
            </w:tcBorders>
            <w:vAlign w:val="center"/>
          </w:tcPr>
          <w:p w14:paraId="1DCDCC9B">
            <w:pPr>
              <w:jc w:val="center"/>
              <w:rPr>
                <w:rFonts w:hint="default" w:ascii="Times New Roman" w:hAnsi="Times New Roman" w:cs="Times New Roman"/>
              </w:rPr>
            </w:pPr>
            <w:r>
              <w:rPr>
                <w:rFonts w:hint="default" w:ascii="Times New Roman" w:hAnsi="Times New Roman" w:cs="Times New Roman"/>
              </w:rPr>
              <w:t>煤气（以CO计）</w:t>
            </w:r>
          </w:p>
        </w:tc>
        <w:tc>
          <w:tcPr>
            <w:tcW w:w="0" w:type="auto"/>
            <w:tcBorders>
              <w:top w:val="single" w:color="000000" w:sz="4" w:space="0"/>
              <w:left w:val="single" w:color="000000" w:sz="4" w:space="0"/>
              <w:bottom w:val="single" w:color="000000" w:sz="4" w:space="0"/>
              <w:right w:val="single" w:color="000000" w:sz="4" w:space="0"/>
            </w:tcBorders>
            <w:vAlign w:val="center"/>
          </w:tcPr>
          <w:p w14:paraId="1457C421">
            <w:pPr>
              <w:jc w:val="center"/>
              <w:rPr>
                <w:rFonts w:hint="default" w:ascii="Times New Roman" w:hAnsi="Times New Roman" w:cs="Times New Roman"/>
              </w:rPr>
            </w:pPr>
            <w:r>
              <w:rPr>
                <w:rFonts w:hint="default" w:ascii="Times New Roman" w:hAnsi="Times New Roman" w:cs="Times New Roman"/>
              </w:rPr>
              <w:t>630-08-0</w:t>
            </w:r>
          </w:p>
        </w:tc>
        <w:tc>
          <w:tcPr>
            <w:tcW w:w="0" w:type="auto"/>
            <w:tcBorders>
              <w:top w:val="single" w:color="000000" w:sz="4" w:space="0"/>
              <w:left w:val="single" w:color="000000" w:sz="4" w:space="0"/>
              <w:bottom w:val="single" w:color="000000" w:sz="4" w:space="0"/>
              <w:right w:val="single" w:color="000000" w:sz="4" w:space="0"/>
            </w:tcBorders>
            <w:vAlign w:val="center"/>
          </w:tcPr>
          <w:p w14:paraId="3E3CF708">
            <w:pPr>
              <w:jc w:val="center"/>
              <w:rPr>
                <w:rFonts w:hint="default" w:ascii="Times New Roman" w:hAnsi="Times New Roman" w:eastAsia="宋体" w:cs="Times New Roman"/>
                <w:lang w:eastAsia="zh-CN"/>
              </w:rPr>
            </w:pPr>
            <w:r>
              <w:rPr>
                <w:rFonts w:hint="default" w:ascii="Times New Roman" w:hAnsi="Times New Roman" w:cs="Times New Roman"/>
                <w:lang w:val="en-US" w:eastAsia="zh-CN"/>
              </w:rPr>
              <w:t>1</w:t>
            </w:r>
          </w:p>
        </w:tc>
        <w:tc>
          <w:tcPr>
            <w:tcW w:w="0" w:type="auto"/>
            <w:tcBorders>
              <w:top w:val="single" w:color="000000" w:sz="4" w:space="0"/>
              <w:left w:val="single" w:color="000000" w:sz="4" w:space="0"/>
              <w:bottom w:val="single" w:color="000000" w:sz="4" w:space="0"/>
              <w:right w:val="single" w:color="000000" w:sz="4" w:space="0"/>
            </w:tcBorders>
            <w:vAlign w:val="center"/>
          </w:tcPr>
          <w:p w14:paraId="7B4809BB">
            <w:pPr>
              <w:jc w:val="center"/>
              <w:rPr>
                <w:rFonts w:hint="default" w:ascii="Times New Roman" w:hAnsi="Times New Roman" w:cs="Times New Roman"/>
              </w:rPr>
            </w:pPr>
            <w:r>
              <w:rPr>
                <w:rFonts w:hint="default" w:ascii="Times New Roman" w:hAnsi="Times New Roman" w:cs="Times New Roman"/>
              </w:rPr>
              <w:t>7.5</w:t>
            </w:r>
          </w:p>
        </w:tc>
        <w:tc>
          <w:tcPr>
            <w:tcW w:w="0" w:type="auto"/>
            <w:tcBorders>
              <w:top w:val="single" w:color="000000" w:sz="4" w:space="0"/>
              <w:left w:val="single" w:color="000000" w:sz="4" w:space="0"/>
              <w:bottom w:val="single" w:color="000000" w:sz="4" w:space="0"/>
              <w:right w:val="single" w:color="000000" w:sz="4" w:space="0"/>
            </w:tcBorders>
            <w:vAlign w:val="center"/>
          </w:tcPr>
          <w:p w14:paraId="35BB6A9B">
            <w:pPr>
              <w:jc w:val="center"/>
              <w:rPr>
                <w:rFonts w:hint="default" w:ascii="Times New Roman" w:hAnsi="Times New Roman" w:eastAsia="宋体" w:cs="Times New Roman"/>
                <w:lang w:val="en-US" w:eastAsia="zh-CN"/>
              </w:rPr>
            </w:pPr>
            <w:r>
              <w:rPr>
                <w:rFonts w:hint="default" w:ascii="Times New Roman" w:hAnsi="Times New Roman" w:cs="Times New Roman"/>
              </w:rPr>
              <w:t>0.</w:t>
            </w:r>
            <w:r>
              <w:rPr>
                <w:rFonts w:hint="default" w:ascii="Times New Roman" w:hAnsi="Times New Roman" w:cs="Times New Roman"/>
                <w:lang w:val="en-US" w:eastAsia="zh-CN"/>
              </w:rPr>
              <w:t>133</w:t>
            </w:r>
          </w:p>
        </w:tc>
      </w:tr>
      <w:tr w14:paraId="7F99BF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tcBorders>
              <w:top w:val="single" w:color="000000" w:sz="4" w:space="0"/>
              <w:left w:val="single" w:color="000000" w:sz="4" w:space="0"/>
              <w:bottom w:val="single" w:color="000000" w:sz="4" w:space="0"/>
              <w:right w:val="single" w:color="000000" w:sz="4" w:space="0"/>
            </w:tcBorders>
            <w:vAlign w:val="center"/>
          </w:tcPr>
          <w:p w14:paraId="191FA086">
            <w:pPr>
              <w:jc w:val="center"/>
              <w:rPr>
                <w:rFonts w:hint="default" w:ascii="Times New Roman" w:hAnsi="Times New Roman" w:cs="Times New Roman"/>
              </w:rPr>
            </w:pPr>
            <w:r>
              <w:rPr>
                <w:rFonts w:hint="default" w:ascii="Times New Roman" w:hAnsi="Times New Roman" w:cs="Times New Roman"/>
              </w:rPr>
              <w:t>废矿物油</w:t>
            </w:r>
          </w:p>
        </w:tc>
        <w:tc>
          <w:tcPr>
            <w:tcW w:w="0" w:type="auto"/>
            <w:tcBorders>
              <w:top w:val="single" w:color="000000" w:sz="4" w:space="0"/>
              <w:left w:val="single" w:color="000000" w:sz="4" w:space="0"/>
              <w:bottom w:val="single" w:color="000000" w:sz="4" w:space="0"/>
              <w:right w:val="single" w:color="000000" w:sz="4" w:space="0"/>
            </w:tcBorders>
            <w:vAlign w:val="center"/>
          </w:tcPr>
          <w:p w14:paraId="542795F8">
            <w:pPr>
              <w:jc w:val="center"/>
              <w:rPr>
                <w:rFonts w:hint="default" w:ascii="Times New Roman" w:hAnsi="Times New Roman" w:cs="Times New Roman"/>
              </w:rPr>
            </w:pPr>
            <w:r>
              <w:rPr>
                <w:rFonts w:hint="default" w:ascii="Times New Roman" w:hAnsi="Times New Roman" w:cs="Times New Roman"/>
              </w:rPr>
              <w:t>/</w:t>
            </w:r>
          </w:p>
        </w:tc>
        <w:tc>
          <w:tcPr>
            <w:tcW w:w="0" w:type="auto"/>
            <w:tcBorders>
              <w:top w:val="single" w:color="000000" w:sz="4" w:space="0"/>
              <w:left w:val="single" w:color="000000" w:sz="4" w:space="0"/>
              <w:bottom w:val="single" w:color="000000" w:sz="4" w:space="0"/>
              <w:right w:val="single" w:color="000000" w:sz="4" w:space="0"/>
            </w:tcBorders>
            <w:vAlign w:val="center"/>
          </w:tcPr>
          <w:p w14:paraId="7E603BFC">
            <w:pPr>
              <w:jc w:val="center"/>
              <w:rPr>
                <w:rFonts w:hint="default" w:ascii="Times New Roman" w:hAnsi="Times New Roman" w:cs="Times New Roman"/>
              </w:rPr>
            </w:pPr>
            <w:r>
              <w:rPr>
                <w:rFonts w:hint="default" w:ascii="Times New Roman" w:hAnsi="Times New Roman" w:cs="Times New Roman"/>
              </w:rPr>
              <w:t>0.2</w:t>
            </w:r>
          </w:p>
        </w:tc>
        <w:tc>
          <w:tcPr>
            <w:tcW w:w="0" w:type="auto"/>
            <w:tcBorders>
              <w:top w:val="single" w:color="000000" w:sz="4" w:space="0"/>
              <w:left w:val="single" w:color="000000" w:sz="4" w:space="0"/>
              <w:bottom w:val="single" w:color="000000" w:sz="4" w:space="0"/>
              <w:right w:val="single" w:color="000000" w:sz="4" w:space="0"/>
            </w:tcBorders>
            <w:vAlign w:val="center"/>
          </w:tcPr>
          <w:p w14:paraId="2A7F3F75">
            <w:pPr>
              <w:jc w:val="center"/>
              <w:rPr>
                <w:rFonts w:hint="default" w:ascii="Times New Roman" w:hAnsi="Times New Roman" w:cs="Times New Roman"/>
              </w:rPr>
            </w:pPr>
            <w:r>
              <w:rPr>
                <w:rFonts w:hint="default" w:ascii="Times New Roman" w:hAnsi="Times New Roman" w:cs="Times New Roman"/>
              </w:rPr>
              <w:t>2500</w:t>
            </w:r>
          </w:p>
        </w:tc>
        <w:tc>
          <w:tcPr>
            <w:tcW w:w="0" w:type="auto"/>
            <w:tcBorders>
              <w:top w:val="single" w:color="000000" w:sz="4" w:space="0"/>
              <w:left w:val="single" w:color="000000" w:sz="4" w:space="0"/>
              <w:bottom w:val="single" w:color="000000" w:sz="4" w:space="0"/>
              <w:right w:val="single" w:color="000000" w:sz="4" w:space="0"/>
            </w:tcBorders>
            <w:vAlign w:val="center"/>
          </w:tcPr>
          <w:p w14:paraId="1CBA0225">
            <w:pPr>
              <w:jc w:val="center"/>
              <w:rPr>
                <w:rFonts w:hint="default" w:ascii="Times New Roman" w:hAnsi="Times New Roman" w:cs="Times New Roman"/>
              </w:rPr>
            </w:pPr>
            <w:r>
              <w:rPr>
                <w:rFonts w:hint="default" w:ascii="Times New Roman" w:hAnsi="Times New Roman" w:cs="Times New Roman"/>
              </w:rPr>
              <w:t>0.0008</w:t>
            </w:r>
          </w:p>
        </w:tc>
      </w:tr>
      <w:tr w14:paraId="0357BD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tcBorders>
              <w:top w:val="single" w:color="000000" w:sz="4" w:space="0"/>
              <w:left w:val="single" w:color="000000" w:sz="4" w:space="0"/>
              <w:bottom w:val="single" w:color="000000" w:sz="4" w:space="0"/>
              <w:right w:val="single" w:color="000000" w:sz="4" w:space="0"/>
            </w:tcBorders>
            <w:vAlign w:val="center"/>
          </w:tcPr>
          <w:p w14:paraId="19CA0FD4">
            <w:pPr>
              <w:jc w:val="center"/>
              <w:rPr>
                <w:rFonts w:hint="default" w:ascii="Times New Roman" w:hAnsi="Times New Roman" w:cs="Times New Roman"/>
              </w:rPr>
            </w:pPr>
            <w:r>
              <w:rPr>
                <w:rFonts w:hint="default" w:ascii="Times New Roman" w:hAnsi="Times New Roman" w:cs="Times New Roman"/>
              </w:rPr>
              <w:t>氨水（20%）</w:t>
            </w:r>
          </w:p>
        </w:tc>
        <w:tc>
          <w:tcPr>
            <w:tcW w:w="743" w:type="pct"/>
            <w:tcBorders>
              <w:top w:val="single" w:color="000000" w:sz="4" w:space="0"/>
              <w:left w:val="single" w:color="000000" w:sz="4" w:space="0"/>
              <w:bottom w:val="single" w:color="000000" w:sz="4" w:space="0"/>
              <w:right w:val="single" w:color="000000" w:sz="4" w:space="0"/>
            </w:tcBorders>
            <w:vAlign w:val="center"/>
          </w:tcPr>
          <w:p w14:paraId="3BD8AD5D">
            <w:pPr>
              <w:jc w:val="center"/>
              <w:rPr>
                <w:rFonts w:hint="default" w:ascii="Times New Roman" w:hAnsi="Times New Roman" w:cs="Times New Roman"/>
              </w:rPr>
            </w:pPr>
            <w:r>
              <w:rPr>
                <w:rFonts w:hint="default" w:ascii="Times New Roman" w:hAnsi="Times New Roman" w:cs="Times New Roman"/>
              </w:rPr>
              <w:t>1336-21-6</w:t>
            </w:r>
          </w:p>
        </w:tc>
        <w:tc>
          <w:tcPr>
            <w:tcW w:w="1492" w:type="pct"/>
            <w:tcBorders>
              <w:top w:val="single" w:color="000000" w:sz="4" w:space="0"/>
              <w:left w:val="single" w:color="000000" w:sz="4" w:space="0"/>
              <w:bottom w:val="single" w:color="000000" w:sz="4" w:space="0"/>
              <w:right w:val="single" w:color="000000" w:sz="4" w:space="0"/>
            </w:tcBorders>
            <w:vAlign w:val="center"/>
          </w:tcPr>
          <w:p w14:paraId="13F07457">
            <w:pPr>
              <w:jc w:val="center"/>
              <w:rPr>
                <w:rFonts w:hint="default" w:ascii="Times New Roman" w:hAnsi="Times New Roman" w:eastAsia="宋体" w:cs="Times New Roman"/>
                <w:lang w:val="en-US" w:eastAsia="zh-CN"/>
              </w:rPr>
            </w:pPr>
            <w:r>
              <w:rPr>
                <w:rFonts w:hint="default" w:ascii="Times New Roman" w:hAnsi="Times New Roman" w:cs="Times New Roman"/>
                <w:lang w:val="en-US" w:eastAsia="zh-CN"/>
              </w:rPr>
              <w:t>8.19</w:t>
            </w:r>
          </w:p>
        </w:tc>
        <w:tc>
          <w:tcPr>
            <w:tcW w:w="0" w:type="auto"/>
            <w:tcBorders>
              <w:top w:val="single" w:color="000000" w:sz="4" w:space="0"/>
              <w:left w:val="single" w:color="000000" w:sz="4" w:space="0"/>
              <w:bottom w:val="single" w:color="000000" w:sz="4" w:space="0"/>
              <w:right w:val="single" w:color="000000" w:sz="4" w:space="0"/>
            </w:tcBorders>
            <w:vAlign w:val="center"/>
          </w:tcPr>
          <w:p w14:paraId="70E3B474">
            <w:pPr>
              <w:jc w:val="center"/>
              <w:rPr>
                <w:rFonts w:hint="default" w:ascii="Times New Roman" w:hAnsi="Times New Roman" w:cs="Times New Roman"/>
              </w:rPr>
            </w:pPr>
            <w:r>
              <w:rPr>
                <w:rFonts w:hint="default" w:ascii="Times New Roman" w:hAnsi="Times New Roman" w:cs="Times New Roman"/>
              </w:rPr>
              <w:t>10</w:t>
            </w:r>
          </w:p>
        </w:tc>
        <w:tc>
          <w:tcPr>
            <w:tcW w:w="0" w:type="auto"/>
            <w:tcBorders>
              <w:top w:val="single" w:color="000000" w:sz="4" w:space="0"/>
              <w:left w:val="single" w:color="000000" w:sz="4" w:space="0"/>
              <w:bottom w:val="single" w:color="000000" w:sz="4" w:space="0"/>
              <w:right w:val="single" w:color="000000" w:sz="4" w:space="0"/>
            </w:tcBorders>
            <w:vAlign w:val="center"/>
          </w:tcPr>
          <w:p w14:paraId="1907FED8">
            <w:pPr>
              <w:jc w:val="center"/>
              <w:rPr>
                <w:rFonts w:hint="default" w:ascii="Times New Roman" w:hAnsi="Times New Roman" w:eastAsia="宋体" w:cs="Times New Roman"/>
                <w:lang w:val="en-US" w:eastAsia="zh-CN"/>
              </w:rPr>
            </w:pPr>
            <w:r>
              <w:rPr>
                <w:rFonts w:hint="default" w:ascii="Times New Roman" w:hAnsi="Times New Roman" w:cs="Times New Roman"/>
                <w:lang w:val="en-US" w:eastAsia="zh-CN"/>
              </w:rPr>
              <w:t>0.819</w:t>
            </w:r>
          </w:p>
        </w:tc>
      </w:tr>
      <w:tr w14:paraId="53354F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tcBorders>
              <w:top w:val="single" w:color="000000" w:sz="4" w:space="0"/>
              <w:left w:val="single" w:color="000000" w:sz="4" w:space="0"/>
              <w:bottom w:val="single" w:color="000000" w:sz="4" w:space="0"/>
              <w:right w:val="single" w:color="000000" w:sz="4" w:space="0"/>
            </w:tcBorders>
            <w:vAlign w:val="center"/>
          </w:tcPr>
          <w:p w14:paraId="1DD20D2A">
            <w:pPr>
              <w:jc w:val="center"/>
              <w:rPr>
                <w:rFonts w:hint="default" w:ascii="Times New Roman" w:hAnsi="Times New Roman" w:cs="Times New Roman"/>
              </w:rPr>
            </w:pPr>
            <w:r>
              <w:rPr>
                <w:rFonts w:hint="default" w:ascii="Times New Roman" w:hAnsi="Times New Roman" w:cs="Times New Roman"/>
              </w:rPr>
              <w:t>Q</w:t>
            </w:r>
          </w:p>
        </w:tc>
        <w:tc>
          <w:tcPr>
            <w:tcW w:w="0" w:type="auto"/>
            <w:tcBorders>
              <w:top w:val="single" w:color="000000" w:sz="4" w:space="0"/>
              <w:left w:val="single" w:color="000000" w:sz="4" w:space="0"/>
              <w:bottom w:val="single" w:color="000000" w:sz="4" w:space="0"/>
              <w:right w:val="single" w:color="000000" w:sz="4" w:space="0"/>
            </w:tcBorders>
            <w:vAlign w:val="center"/>
          </w:tcPr>
          <w:p w14:paraId="7AA77485">
            <w:pPr>
              <w:jc w:val="center"/>
              <w:rPr>
                <w:rFonts w:hint="default" w:ascii="Times New Roman" w:hAnsi="Times New Roman" w:cs="Times New Roman"/>
              </w:rPr>
            </w:pPr>
            <w:r>
              <w:rPr>
                <w:rFonts w:hint="default" w:ascii="Times New Roman" w:hAnsi="Times New Roman" w:cs="Times New Roman"/>
              </w:rPr>
              <w:t>/</w:t>
            </w:r>
          </w:p>
        </w:tc>
        <w:tc>
          <w:tcPr>
            <w:tcW w:w="0" w:type="auto"/>
            <w:tcBorders>
              <w:top w:val="single" w:color="000000" w:sz="4" w:space="0"/>
              <w:left w:val="single" w:color="000000" w:sz="4" w:space="0"/>
              <w:bottom w:val="single" w:color="000000" w:sz="4" w:space="0"/>
              <w:right w:val="single" w:color="000000" w:sz="4" w:space="0"/>
            </w:tcBorders>
            <w:vAlign w:val="center"/>
          </w:tcPr>
          <w:p w14:paraId="504F265A">
            <w:pPr>
              <w:jc w:val="center"/>
              <w:rPr>
                <w:rFonts w:hint="default" w:ascii="Times New Roman" w:hAnsi="Times New Roman" w:cs="Times New Roman"/>
              </w:rPr>
            </w:pPr>
            <w:r>
              <w:rPr>
                <w:rFonts w:hint="default" w:ascii="Times New Roman" w:hAnsi="Times New Roman" w:cs="Times New Roman"/>
              </w:rPr>
              <w:t>/</w:t>
            </w:r>
          </w:p>
        </w:tc>
        <w:tc>
          <w:tcPr>
            <w:tcW w:w="0" w:type="auto"/>
            <w:tcBorders>
              <w:top w:val="single" w:color="000000" w:sz="4" w:space="0"/>
              <w:left w:val="single" w:color="000000" w:sz="4" w:space="0"/>
              <w:bottom w:val="single" w:color="000000" w:sz="4" w:space="0"/>
              <w:right w:val="single" w:color="000000" w:sz="4" w:space="0"/>
            </w:tcBorders>
            <w:vAlign w:val="center"/>
          </w:tcPr>
          <w:p w14:paraId="76123230">
            <w:pPr>
              <w:jc w:val="center"/>
              <w:rPr>
                <w:rFonts w:hint="default" w:ascii="Times New Roman" w:hAnsi="Times New Roman" w:cs="Times New Roman"/>
              </w:rPr>
            </w:pPr>
            <w:r>
              <w:rPr>
                <w:rFonts w:hint="default" w:ascii="Times New Roman" w:hAnsi="Times New Roman" w:cs="Times New Roman"/>
              </w:rPr>
              <w:t>/</w:t>
            </w:r>
          </w:p>
        </w:tc>
        <w:tc>
          <w:tcPr>
            <w:tcW w:w="0" w:type="auto"/>
            <w:tcBorders>
              <w:top w:val="single" w:color="000000" w:sz="4" w:space="0"/>
              <w:left w:val="single" w:color="000000" w:sz="4" w:space="0"/>
              <w:bottom w:val="single" w:color="000000" w:sz="4" w:space="0"/>
              <w:right w:val="single" w:color="000000" w:sz="4" w:space="0"/>
            </w:tcBorders>
            <w:vAlign w:val="center"/>
          </w:tcPr>
          <w:p w14:paraId="71545BCF">
            <w:pPr>
              <w:jc w:val="center"/>
              <w:rPr>
                <w:rFonts w:hint="default" w:ascii="Times New Roman" w:hAnsi="Times New Roman" w:eastAsia="宋体" w:cs="Times New Roman"/>
                <w:lang w:val="en-US" w:eastAsia="zh-CN"/>
              </w:rPr>
            </w:pPr>
            <w:r>
              <w:rPr>
                <w:rFonts w:hint="default" w:ascii="Times New Roman" w:hAnsi="Times New Roman" w:cs="Times New Roman"/>
                <w:lang w:val="en-US" w:eastAsia="zh-CN"/>
              </w:rPr>
              <w:t>0.9528</w:t>
            </w:r>
          </w:p>
        </w:tc>
      </w:tr>
    </w:tbl>
    <w:p w14:paraId="6743A685">
      <w:pPr>
        <w:adjustRightInd w:val="0"/>
        <w:spacing w:line="500" w:lineRule="exact"/>
        <w:ind w:firstLine="480" w:firstLineChars="200"/>
        <w:rPr>
          <w:rFonts w:ascii="Times New Roman" w:hAnsi="Times New Roman" w:eastAsia="方正书宋简体" w:cs="Times New Roman"/>
          <w:highlight w:val="none"/>
        </w:rPr>
      </w:pPr>
      <w:r>
        <w:rPr>
          <w:rFonts w:hint="eastAsia" w:ascii="Times New Roman" w:hAnsi="Times New Roman" w:cs="Times New Roman"/>
          <w:highlight w:val="none"/>
        </w:rPr>
        <w:t>经</w:t>
      </w:r>
      <w:r>
        <w:rPr>
          <w:rFonts w:ascii="Times New Roman" w:hAnsi="Times New Roman" w:cs="Times New Roman"/>
          <w:highlight w:val="none"/>
        </w:rPr>
        <w:t>核算，</w:t>
      </w:r>
      <w:r>
        <w:rPr>
          <w:rFonts w:hint="eastAsia" w:ascii="Times New Roman" w:hAnsi="Times New Roman" w:cs="Times New Roman"/>
          <w:highlight w:val="none"/>
        </w:rPr>
        <w:t>本项目</w:t>
      </w:r>
      <w:r>
        <w:rPr>
          <w:rFonts w:ascii="Times New Roman" w:hAnsi="Times New Roman" w:cs="Times New Roman"/>
          <w:highlight w:val="none"/>
        </w:rPr>
        <w:t>Q值为</w:t>
      </w:r>
      <w:r>
        <w:rPr>
          <w:rFonts w:hint="eastAsia" w:ascii="Times New Roman" w:hAnsi="Times New Roman" w:cs="Times New Roman"/>
          <w:highlight w:val="none"/>
        </w:rPr>
        <w:t>0.9528</w:t>
      </w:r>
      <w:r>
        <w:rPr>
          <w:rFonts w:ascii="Times New Roman" w:hAnsi="Times New Roman" w:cs="Times New Roman"/>
          <w:highlight w:val="none"/>
        </w:rPr>
        <w:t>，属于Q＜1级，项目环境风险潜势为Ⅰ。</w:t>
      </w:r>
      <w:bookmarkStart w:id="135" w:name="_Hlk62026228"/>
      <w:r>
        <w:rPr>
          <w:rFonts w:hint="eastAsia" w:ascii="Times New Roman" w:hAnsi="Times New Roman" w:cs="Times New Roman"/>
          <w:highlight w:val="none"/>
        </w:rPr>
        <w:t>由表1.5-8判定，</w:t>
      </w:r>
      <w:r>
        <w:rPr>
          <w:rFonts w:ascii="Times New Roman" w:hAnsi="Times New Roman" w:cs="Times New Roman"/>
          <w:highlight w:val="none"/>
        </w:rPr>
        <w:t>本项目</w:t>
      </w:r>
      <w:r>
        <w:rPr>
          <w:rFonts w:ascii="Times New Roman" w:hAnsi="Times New Roman" w:eastAsia="方正书宋简体" w:cs="Times New Roman"/>
          <w:highlight w:val="none"/>
        </w:rPr>
        <w:t>环境风险评价工作等级为简单分析。</w:t>
      </w:r>
      <w:bookmarkEnd w:id="135"/>
    </w:p>
    <w:p w14:paraId="6C85480A">
      <w:pPr>
        <w:pStyle w:val="6"/>
        <w:spacing w:before="239"/>
      </w:pPr>
      <w:bookmarkStart w:id="136" w:name="_Toc90026107"/>
      <w:bookmarkStart w:id="137" w:name="_Toc16511"/>
      <w:r>
        <w:t>1.6 相关规划及政策符合性分析</w:t>
      </w:r>
      <w:bookmarkEnd w:id="136"/>
      <w:bookmarkEnd w:id="137"/>
    </w:p>
    <w:p w14:paraId="53B0F737">
      <w:pPr>
        <w:pStyle w:val="7"/>
      </w:pPr>
      <w:bookmarkStart w:id="138" w:name="_Toc90026202"/>
      <w:bookmarkStart w:id="139" w:name="_Toc11702"/>
      <w:r>
        <w:t xml:space="preserve">1.6.1 </w:t>
      </w:r>
      <w:r>
        <w:rPr>
          <w:rFonts w:hint="eastAsia"/>
          <w:lang w:eastAsia="zh-CN"/>
        </w:rPr>
        <w:t>与</w:t>
      </w:r>
      <w:r>
        <w:t>产业政策符合性分析</w:t>
      </w:r>
      <w:bookmarkEnd w:id="138"/>
      <w:bookmarkEnd w:id="139"/>
    </w:p>
    <w:p w14:paraId="49086F9A">
      <w:pPr>
        <w:pStyle w:val="19"/>
        <w:spacing w:line="500" w:lineRule="exact"/>
        <w:ind w:firstLine="480"/>
        <w:jc w:val="both"/>
        <w:rPr>
          <w:sz w:val="24"/>
        </w:rPr>
      </w:pPr>
      <w:r>
        <w:rPr>
          <w:sz w:val="24"/>
        </w:rPr>
        <w:t>本项目为</w:t>
      </w:r>
      <w:r>
        <w:rPr>
          <w:rFonts w:hint="eastAsia"/>
          <w:sz w:val="24"/>
        </w:rPr>
        <w:t>炼钢</w:t>
      </w:r>
      <w:r>
        <w:rPr>
          <w:sz w:val="24"/>
        </w:rPr>
        <w:t>生产线</w:t>
      </w:r>
      <w:r>
        <w:rPr>
          <w:rFonts w:hint="eastAsia"/>
          <w:sz w:val="24"/>
        </w:rPr>
        <w:t>技术改造</w:t>
      </w:r>
      <w:r>
        <w:rPr>
          <w:sz w:val="24"/>
        </w:rPr>
        <w:t>项目，根据《产业结构调整指导目录（20</w:t>
      </w:r>
      <w:r>
        <w:rPr>
          <w:rFonts w:hint="eastAsia"/>
          <w:sz w:val="24"/>
          <w:lang w:val="en-US" w:eastAsia="zh-CN"/>
        </w:rPr>
        <w:t>24</w:t>
      </w:r>
      <w:r>
        <w:rPr>
          <w:sz w:val="24"/>
        </w:rPr>
        <w:t>年本）》，本项目采用</w:t>
      </w:r>
      <w:r>
        <w:rPr>
          <w:rFonts w:hint="eastAsia"/>
          <w:sz w:val="24"/>
        </w:rPr>
        <w:t>的50m</w:t>
      </w:r>
      <w:r>
        <w:rPr>
          <w:rFonts w:hint="eastAsia"/>
          <w:sz w:val="24"/>
          <w:vertAlign w:val="superscript"/>
          <w:lang w:val="en-US" w:eastAsia="zh-CN"/>
        </w:rPr>
        <w:t>2</w:t>
      </w:r>
      <w:r>
        <w:rPr>
          <w:rFonts w:hint="eastAsia"/>
          <w:sz w:val="24"/>
        </w:rPr>
        <w:t>带式烧结机</w:t>
      </w:r>
      <w:r>
        <w:rPr>
          <w:rFonts w:hint="eastAsia"/>
          <w:sz w:val="24"/>
          <w:lang w:eastAsia="zh-CN"/>
        </w:rPr>
        <w:t>、12m</w:t>
      </w:r>
      <w:r>
        <w:rPr>
          <w:rFonts w:hint="eastAsia"/>
          <w:sz w:val="24"/>
          <w:vertAlign w:val="superscript"/>
          <w:lang w:val="en-US" w:eastAsia="zh-CN"/>
        </w:rPr>
        <w:t>2</w:t>
      </w:r>
      <w:r>
        <w:rPr>
          <w:rFonts w:hint="eastAsia"/>
          <w:sz w:val="24"/>
          <w:lang w:eastAsia="zh-CN"/>
        </w:rPr>
        <w:t>圆形竖炉</w:t>
      </w:r>
      <w:r>
        <w:rPr>
          <w:sz w:val="24"/>
        </w:rPr>
        <w:t>不属于“鼓励类”、“限制类”和“淘汰类”，项目建设内容为允许类</w:t>
      </w:r>
      <w:r>
        <w:rPr>
          <w:rFonts w:hint="eastAsia"/>
          <w:sz w:val="24"/>
        </w:rPr>
        <w:t>；也不在《全国落后生产工艺装备淘汰目录清单（20</w:t>
      </w:r>
      <w:r>
        <w:rPr>
          <w:rFonts w:hint="eastAsia"/>
          <w:sz w:val="24"/>
          <w:lang w:val="en-US" w:eastAsia="zh-CN"/>
        </w:rPr>
        <w:t>24</w:t>
      </w:r>
      <w:r>
        <w:rPr>
          <w:rFonts w:hint="eastAsia"/>
          <w:sz w:val="24"/>
        </w:rPr>
        <w:t>年本）》指出的落后生产设备目录中。综上，</w:t>
      </w:r>
      <w:r>
        <w:rPr>
          <w:sz w:val="24"/>
        </w:rPr>
        <w:t>项目符合国家产业政策要求。</w:t>
      </w:r>
    </w:p>
    <w:p w14:paraId="012F9AA2">
      <w:pPr>
        <w:pStyle w:val="7"/>
      </w:pPr>
      <w:bookmarkStart w:id="140" w:name="_Toc90026203"/>
      <w:bookmarkStart w:id="141" w:name="_Toc30174"/>
      <w:r>
        <w:t>1.6.2 与</w:t>
      </w:r>
      <w:r>
        <w:rPr>
          <w:rFonts w:hint="eastAsia"/>
          <w:lang w:eastAsia="zh-CN"/>
        </w:rPr>
        <w:t>钢铁行业规范条件</w:t>
      </w:r>
      <w:r>
        <w:t>符合性分析</w:t>
      </w:r>
      <w:bookmarkEnd w:id="140"/>
      <w:bookmarkEnd w:id="141"/>
    </w:p>
    <w:p w14:paraId="47F61C34">
      <w:pPr>
        <w:pStyle w:val="19"/>
        <w:spacing w:line="500" w:lineRule="exact"/>
        <w:ind w:firstLine="480"/>
        <w:jc w:val="both"/>
        <w:rPr>
          <w:sz w:val="24"/>
        </w:rPr>
      </w:pPr>
      <w:r>
        <w:rPr>
          <w:rFonts w:hint="eastAsia"/>
          <w:sz w:val="24"/>
        </w:rPr>
        <w:t>本项目符合《钢铁行业规范条件（20</w:t>
      </w:r>
      <w:r>
        <w:rPr>
          <w:rFonts w:hint="eastAsia"/>
          <w:sz w:val="24"/>
          <w:lang w:val="en-US" w:eastAsia="zh-CN"/>
        </w:rPr>
        <w:t>2</w:t>
      </w:r>
      <w:r>
        <w:rPr>
          <w:rFonts w:hint="eastAsia"/>
          <w:sz w:val="24"/>
        </w:rPr>
        <w:t>5年</w:t>
      </w:r>
      <w:r>
        <w:rPr>
          <w:rFonts w:hint="eastAsia"/>
          <w:sz w:val="24"/>
          <w:lang w:val="en-US" w:eastAsia="zh-CN"/>
        </w:rPr>
        <w:t>版</w:t>
      </w:r>
      <w:r>
        <w:rPr>
          <w:rFonts w:hint="eastAsia"/>
          <w:sz w:val="24"/>
        </w:rPr>
        <w:t>）》中的相关要求，符合性分析见表1.6-1。</w:t>
      </w:r>
    </w:p>
    <w:p w14:paraId="05911B9D">
      <w:pPr>
        <w:widowControl w:val="0"/>
        <w:adjustRightInd w:val="0"/>
        <w:jc w:val="center"/>
        <w:textAlignment w:val="baseline"/>
      </w:pPr>
      <w:r>
        <w:rPr>
          <w:rFonts w:ascii="Times New Roman" w:hAnsi="Times New Roman" w:eastAsia="黑体" w:cs="Times New Roman"/>
          <w:bCs/>
        </w:rPr>
        <w:t>表1.6-1  本</w:t>
      </w:r>
      <w:r>
        <w:rPr>
          <w:rFonts w:hint="eastAsia" w:eastAsia="黑体"/>
          <w:bCs/>
        </w:rPr>
        <w:t>项目与《钢铁行业规范条件》相符性分析表</w:t>
      </w:r>
    </w:p>
    <w:tbl>
      <w:tblPr>
        <w:tblStyle w:val="56"/>
        <w:tblW w:w="5088" w:type="pct"/>
        <w:tblInd w:w="0" w:type="dxa"/>
        <w:tblBorders>
          <w:top w:val="thinThickSmallGap" w:color="auto" w:sz="12" w:space="0"/>
          <w:left w:val="none" w:color="auto" w:sz="0" w:space="0"/>
          <w:bottom w:val="thickThinSmallGap" w:color="auto" w:sz="12" w:space="0"/>
          <w:right w:val="none" w:color="auto" w:sz="0" w:space="0"/>
          <w:insideH w:val="single" w:color="auto" w:sz="6" w:space="0"/>
          <w:insideV w:val="single" w:color="auto" w:sz="6" w:space="0"/>
        </w:tblBorders>
        <w:tblLayout w:type="autofit"/>
        <w:tblCellMar>
          <w:top w:w="0" w:type="dxa"/>
          <w:left w:w="108" w:type="dxa"/>
          <w:bottom w:w="0" w:type="dxa"/>
          <w:right w:w="108" w:type="dxa"/>
        </w:tblCellMar>
      </w:tblPr>
      <w:tblGrid>
        <w:gridCol w:w="548"/>
        <w:gridCol w:w="3722"/>
        <w:gridCol w:w="3526"/>
        <w:gridCol w:w="1027"/>
      </w:tblGrid>
      <w:tr w14:paraId="204AA417">
        <w:tblPrEx>
          <w:tblBorders>
            <w:top w:val="thinThickSmallGap" w:color="auto" w:sz="12" w:space="0"/>
            <w:left w:val="none" w:color="auto" w:sz="0" w:space="0"/>
            <w:bottom w:val="thickThinSmallGap"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atLeast"/>
          <w:tblHeader/>
        </w:trPr>
        <w:tc>
          <w:tcPr>
            <w:tcW w:w="311" w:type="pct"/>
            <w:noWrap w:val="0"/>
            <w:tcMar>
              <w:left w:w="57" w:type="dxa"/>
              <w:right w:w="57" w:type="dxa"/>
            </w:tcMar>
            <w:vAlign w:val="center"/>
          </w:tcPr>
          <w:p w14:paraId="042DCD14">
            <w:pPr>
              <w:snapToGrid w:val="0"/>
              <w:jc w:val="center"/>
              <w:rPr>
                <w:rFonts w:ascii="Times New Roman" w:hAnsi="Times New Roman" w:cs="Times New Roman"/>
                <w:kern w:val="2"/>
                <w:sz w:val="21"/>
                <w:szCs w:val="21"/>
              </w:rPr>
            </w:pPr>
            <w:r>
              <w:rPr>
                <w:rFonts w:ascii="Times New Roman" w:hAnsi="Times New Roman" w:cs="Times New Roman"/>
                <w:kern w:val="2"/>
                <w:sz w:val="21"/>
                <w:szCs w:val="21"/>
              </w:rPr>
              <w:t>序号</w:t>
            </w:r>
          </w:p>
        </w:tc>
        <w:tc>
          <w:tcPr>
            <w:tcW w:w="2109" w:type="pct"/>
            <w:noWrap w:val="0"/>
            <w:vAlign w:val="center"/>
          </w:tcPr>
          <w:p w14:paraId="1F27AF58">
            <w:pPr>
              <w:snapToGrid w:val="0"/>
              <w:jc w:val="center"/>
              <w:rPr>
                <w:rFonts w:ascii="Times New Roman" w:hAnsi="Times New Roman" w:cs="Times New Roman"/>
                <w:kern w:val="2"/>
                <w:sz w:val="21"/>
                <w:szCs w:val="21"/>
              </w:rPr>
            </w:pPr>
            <w:r>
              <w:rPr>
                <w:rFonts w:ascii="Times New Roman" w:hAnsi="Times New Roman" w:cs="Times New Roman"/>
                <w:kern w:val="2"/>
                <w:sz w:val="21"/>
                <w:szCs w:val="21"/>
              </w:rPr>
              <w:t>钢铁行业规范条件</w:t>
            </w:r>
          </w:p>
        </w:tc>
        <w:tc>
          <w:tcPr>
            <w:tcW w:w="1998" w:type="pct"/>
            <w:noWrap w:val="0"/>
            <w:vAlign w:val="center"/>
          </w:tcPr>
          <w:p w14:paraId="4A3374FC">
            <w:pPr>
              <w:snapToGrid w:val="0"/>
              <w:jc w:val="center"/>
              <w:rPr>
                <w:rFonts w:ascii="Times New Roman" w:hAnsi="Times New Roman" w:cs="Times New Roman"/>
                <w:kern w:val="2"/>
                <w:sz w:val="21"/>
                <w:szCs w:val="21"/>
              </w:rPr>
            </w:pPr>
            <w:r>
              <w:rPr>
                <w:rFonts w:ascii="Times New Roman" w:hAnsi="Times New Roman" w:cs="Times New Roman"/>
                <w:kern w:val="2"/>
                <w:sz w:val="21"/>
                <w:szCs w:val="21"/>
              </w:rPr>
              <w:t>本项目与规范条件的相符性分析</w:t>
            </w:r>
          </w:p>
        </w:tc>
        <w:tc>
          <w:tcPr>
            <w:tcW w:w="580" w:type="pct"/>
            <w:noWrap w:val="0"/>
            <w:vAlign w:val="center"/>
          </w:tcPr>
          <w:p w14:paraId="7711078D">
            <w:pPr>
              <w:snapToGrid w:val="0"/>
              <w:jc w:val="center"/>
              <w:rPr>
                <w:rFonts w:ascii="Times New Roman" w:hAnsi="Times New Roman" w:cs="Times New Roman"/>
                <w:kern w:val="2"/>
                <w:sz w:val="21"/>
                <w:szCs w:val="21"/>
              </w:rPr>
            </w:pPr>
            <w:r>
              <w:rPr>
                <w:rFonts w:ascii="Times New Roman" w:hAnsi="Times New Roman" w:cs="Times New Roman"/>
                <w:kern w:val="2"/>
                <w:sz w:val="21"/>
                <w:szCs w:val="21"/>
              </w:rPr>
              <w:t>符合性</w:t>
            </w:r>
          </w:p>
        </w:tc>
      </w:tr>
      <w:tr w14:paraId="40BE30D5">
        <w:tblPrEx>
          <w:tblBorders>
            <w:top w:val="thinThickSmallGap" w:color="auto" w:sz="12" w:space="0"/>
            <w:left w:val="none" w:color="auto" w:sz="0" w:space="0"/>
            <w:bottom w:val="thickThinSmallGap"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5000" w:type="pct"/>
            <w:gridSpan w:val="4"/>
            <w:noWrap w:val="0"/>
            <w:tcMar>
              <w:left w:w="57" w:type="dxa"/>
              <w:right w:w="57" w:type="dxa"/>
            </w:tcMar>
            <w:vAlign w:val="center"/>
          </w:tcPr>
          <w:p w14:paraId="23F72F59">
            <w:pPr>
              <w:snapToGrid w:val="0"/>
              <w:jc w:val="center"/>
              <w:rPr>
                <w:rFonts w:hint="eastAsia" w:ascii="Times New Roman" w:hAnsi="Times New Roman" w:eastAsia="宋体" w:cs="Times New Roman"/>
                <w:kern w:val="2"/>
                <w:sz w:val="21"/>
                <w:szCs w:val="21"/>
                <w:lang w:eastAsia="zh-CN"/>
              </w:rPr>
            </w:pPr>
            <w:r>
              <w:rPr>
                <w:rFonts w:hint="eastAsia" w:ascii="Times New Roman" w:hAnsi="Times New Roman" w:cs="Times New Roman"/>
                <w:kern w:val="2"/>
                <w:sz w:val="21"/>
                <w:szCs w:val="21"/>
                <w:lang w:val="en-US" w:eastAsia="zh-CN"/>
              </w:rPr>
              <w:t>质量管理</w:t>
            </w:r>
          </w:p>
        </w:tc>
      </w:tr>
      <w:tr w14:paraId="2E14441E">
        <w:tblPrEx>
          <w:tblBorders>
            <w:top w:val="thinThickSmallGap" w:color="auto" w:sz="12" w:space="0"/>
            <w:left w:val="none" w:color="auto" w:sz="0" w:space="0"/>
            <w:bottom w:val="thickThinSmallGap"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atLeast"/>
          <w:tblHeader/>
        </w:trPr>
        <w:tc>
          <w:tcPr>
            <w:tcW w:w="311" w:type="pct"/>
            <w:noWrap w:val="0"/>
            <w:tcMar>
              <w:left w:w="57" w:type="dxa"/>
              <w:right w:w="57" w:type="dxa"/>
            </w:tcMar>
            <w:vAlign w:val="center"/>
          </w:tcPr>
          <w:p w14:paraId="0D7A7F07">
            <w:pPr>
              <w:snapToGrid w:val="0"/>
              <w:jc w:val="center"/>
              <w:rPr>
                <w:rFonts w:ascii="Times New Roman" w:hAnsi="Times New Roman" w:cs="Times New Roman"/>
                <w:kern w:val="2"/>
                <w:sz w:val="21"/>
                <w:szCs w:val="21"/>
              </w:rPr>
            </w:pPr>
            <w:r>
              <w:rPr>
                <w:rFonts w:ascii="Times New Roman" w:hAnsi="Times New Roman" w:cs="Times New Roman"/>
                <w:kern w:val="2"/>
                <w:sz w:val="21"/>
                <w:szCs w:val="21"/>
              </w:rPr>
              <w:t>1</w:t>
            </w:r>
          </w:p>
        </w:tc>
        <w:tc>
          <w:tcPr>
            <w:tcW w:w="2109" w:type="pct"/>
            <w:noWrap w:val="0"/>
            <w:vAlign w:val="center"/>
          </w:tcPr>
          <w:p w14:paraId="111FE2E9">
            <w:pPr>
              <w:snapToGrid w:val="0"/>
              <w:jc w:val="center"/>
              <w:rPr>
                <w:rFonts w:ascii="Times New Roman" w:hAnsi="Times New Roman" w:cs="Times New Roman"/>
                <w:kern w:val="2"/>
                <w:sz w:val="21"/>
                <w:szCs w:val="21"/>
              </w:rPr>
            </w:pPr>
            <w:r>
              <w:rPr>
                <w:rFonts w:hint="eastAsia" w:ascii="Times New Roman" w:hAnsi="Times New Roman" w:cs="Times New Roman"/>
                <w:kern w:val="2"/>
                <w:sz w:val="21"/>
                <w:szCs w:val="21"/>
              </w:rPr>
              <w:t>生产质量合格产品，不存在生产、销售、进口或提供不符合强制性标准的产品行为，许可类产品须具备生产许可证，不存在以假充真、以次充好，以不合格产品冒充合格产品以及生产《产业结构调整指导目录》中列明的淘汰类产品行为。</w:t>
            </w:r>
          </w:p>
        </w:tc>
        <w:tc>
          <w:tcPr>
            <w:tcW w:w="1998" w:type="pct"/>
            <w:noWrap w:val="0"/>
            <w:vAlign w:val="center"/>
          </w:tcPr>
          <w:p w14:paraId="130481CA">
            <w:pPr>
              <w:snapToGrid w:val="0"/>
              <w:jc w:val="center"/>
              <w:rPr>
                <w:rFonts w:ascii="Times New Roman" w:hAnsi="Times New Roman" w:cs="Times New Roman"/>
                <w:kern w:val="2"/>
                <w:sz w:val="21"/>
                <w:szCs w:val="21"/>
              </w:rPr>
            </w:pPr>
            <w:r>
              <w:rPr>
                <w:rFonts w:hint="eastAsia" w:ascii="Times New Roman" w:hAnsi="Times New Roman" w:cs="Times New Roman"/>
                <w:kern w:val="2"/>
                <w:sz w:val="21"/>
                <w:szCs w:val="21"/>
              </w:rPr>
              <w:t>本项目为技术改造项目，</w:t>
            </w:r>
            <w:r>
              <w:rPr>
                <w:rFonts w:hint="eastAsia"/>
                <w:sz w:val="21"/>
                <w:szCs w:val="21"/>
              </w:rPr>
              <w:t>50m</w:t>
            </w:r>
            <w:r>
              <w:rPr>
                <w:rFonts w:hint="eastAsia"/>
                <w:sz w:val="21"/>
                <w:szCs w:val="21"/>
                <w:vertAlign w:val="superscript"/>
                <w:lang w:val="en-US" w:eastAsia="zh-CN"/>
              </w:rPr>
              <w:t>2</w:t>
            </w:r>
            <w:r>
              <w:rPr>
                <w:rFonts w:hint="eastAsia"/>
                <w:sz w:val="21"/>
                <w:szCs w:val="21"/>
              </w:rPr>
              <w:t>带式烧结机</w:t>
            </w:r>
            <w:r>
              <w:rPr>
                <w:rFonts w:hint="eastAsia"/>
                <w:sz w:val="21"/>
                <w:szCs w:val="21"/>
                <w:lang w:eastAsia="zh-CN"/>
              </w:rPr>
              <w:t>、12m</w:t>
            </w:r>
            <w:r>
              <w:rPr>
                <w:rFonts w:hint="eastAsia"/>
                <w:sz w:val="21"/>
                <w:szCs w:val="21"/>
                <w:vertAlign w:val="superscript"/>
                <w:lang w:val="en-US" w:eastAsia="zh-CN"/>
              </w:rPr>
              <w:t>2</w:t>
            </w:r>
            <w:r>
              <w:rPr>
                <w:rFonts w:hint="eastAsia"/>
                <w:sz w:val="21"/>
                <w:szCs w:val="21"/>
                <w:lang w:eastAsia="zh-CN"/>
              </w:rPr>
              <w:t>圆形竖炉</w:t>
            </w:r>
            <w:r>
              <w:rPr>
                <w:rFonts w:hint="eastAsia" w:ascii="Times New Roman" w:hAnsi="Times New Roman" w:cs="Times New Roman"/>
                <w:kern w:val="2"/>
                <w:sz w:val="21"/>
                <w:szCs w:val="21"/>
              </w:rPr>
              <w:t>，不生产《产业结构调整指导目录》中列明的淘汰类产品。</w:t>
            </w:r>
          </w:p>
        </w:tc>
        <w:tc>
          <w:tcPr>
            <w:tcW w:w="580" w:type="pct"/>
            <w:noWrap w:val="0"/>
            <w:vAlign w:val="center"/>
          </w:tcPr>
          <w:p w14:paraId="1CDFDD1A">
            <w:pPr>
              <w:snapToGrid w:val="0"/>
              <w:jc w:val="center"/>
              <w:rPr>
                <w:rFonts w:ascii="Times New Roman" w:hAnsi="Times New Roman" w:cs="Times New Roman"/>
                <w:kern w:val="2"/>
                <w:sz w:val="21"/>
                <w:szCs w:val="21"/>
              </w:rPr>
            </w:pPr>
            <w:r>
              <w:rPr>
                <w:rFonts w:hint="eastAsia" w:ascii="Times New Roman" w:hAnsi="Times New Roman" w:cs="Times New Roman"/>
                <w:kern w:val="2"/>
                <w:sz w:val="21"/>
                <w:szCs w:val="21"/>
              </w:rPr>
              <w:t>符合</w:t>
            </w:r>
          </w:p>
        </w:tc>
      </w:tr>
      <w:tr w14:paraId="40ED8CAC">
        <w:tblPrEx>
          <w:tblBorders>
            <w:top w:val="thinThickSmallGap" w:color="auto" w:sz="12" w:space="0"/>
            <w:left w:val="none" w:color="auto" w:sz="0" w:space="0"/>
            <w:bottom w:val="thickThinSmallGap"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atLeast"/>
          <w:tblHeader/>
        </w:trPr>
        <w:tc>
          <w:tcPr>
            <w:tcW w:w="311" w:type="pct"/>
            <w:noWrap w:val="0"/>
            <w:tcMar>
              <w:left w:w="57" w:type="dxa"/>
              <w:right w:w="57" w:type="dxa"/>
            </w:tcMar>
            <w:vAlign w:val="center"/>
          </w:tcPr>
          <w:p w14:paraId="4CBC627E">
            <w:pPr>
              <w:snapToGrid w:val="0"/>
              <w:jc w:val="center"/>
              <w:rPr>
                <w:rFonts w:hint="eastAsia" w:ascii="Times New Roman" w:hAnsi="Times New Roman" w:eastAsia="宋体" w:cs="Times New Roman"/>
                <w:kern w:val="2"/>
                <w:sz w:val="21"/>
                <w:szCs w:val="21"/>
                <w:lang w:val="en-US" w:eastAsia="zh-CN"/>
              </w:rPr>
            </w:pPr>
            <w:r>
              <w:rPr>
                <w:rFonts w:hint="eastAsia" w:ascii="Times New Roman" w:hAnsi="Times New Roman" w:cs="Times New Roman"/>
                <w:kern w:val="2"/>
                <w:sz w:val="21"/>
                <w:szCs w:val="21"/>
                <w:lang w:val="en-US" w:eastAsia="zh-CN"/>
              </w:rPr>
              <w:t>2</w:t>
            </w:r>
          </w:p>
        </w:tc>
        <w:tc>
          <w:tcPr>
            <w:tcW w:w="2109" w:type="pct"/>
            <w:noWrap w:val="0"/>
            <w:vAlign w:val="center"/>
          </w:tcPr>
          <w:p w14:paraId="70FB007E">
            <w:pPr>
              <w:snapToGrid w:val="0"/>
              <w:jc w:val="center"/>
              <w:rPr>
                <w:rFonts w:hint="eastAsia" w:ascii="Times New Roman" w:hAnsi="Times New Roman" w:cs="Times New Roman"/>
                <w:kern w:val="2"/>
                <w:sz w:val="21"/>
                <w:szCs w:val="21"/>
              </w:rPr>
            </w:pPr>
            <w:r>
              <w:rPr>
                <w:rFonts w:hint="eastAsia" w:ascii="Times New Roman" w:hAnsi="Times New Roman" w:cs="Times New Roman"/>
                <w:kern w:val="2"/>
                <w:sz w:val="21"/>
                <w:szCs w:val="21"/>
              </w:rPr>
              <w:t>建立完备的产品生产全过程质量保证制度和质量控制指标体系，具有产品质量保障部门和检化验设施，保持良好的产品质量信用记录。</w:t>
            </w:r>
          </w:p>
        </w:tc>
        <w:tc>
          <w:tcPr>
            <w:tcW w:w="1998" w:type="pct"/>
            <w:noWrap w:val="0"/>
            <w:vAlign w:val="center"/>
          </w:tcPr>
          <w:p w14:paraId="4260E874">
            <w:pPr>
              <w:snapToGrid w:val="0"/>
              <w:jc w:val="center"/>
              <w:rPr>
                <w:rFonts w:hint="eastAsia" w:ascii="Times New Roman" w:hAnsi="Times New Roman" w:eastAsia="宋体" w:cs="Times New Roman"/>
                <w:kern w:val="2"/>
                <w:sz w:val="21"/>
                <w:szCs w:val="21"/>
                <w:lang w:eastAsia="zh-CN"/>
              </w:rPr>
            </w:pPr>
            <w:r>
              <w:rPr>
                <w:rFonts w:hint="eastAsia" w:ascii="Times New Roman" w:hAnsi="Times New Roman" w:cs="Times New Roman"/>
                <w:kern w:val="2"/>
                <w:sz w:val="21"/>
                <w:szCs w:val="21"/>
                <w:lang w:val="en-US" w:eastAsia="zh-CN"/>
              </w:rPr>
              <w:t>本项目</w:t>
            </w:r>
            <w:r>
              <w:rPr>
                <w:rFonts w:hint="eastAsia" w:ascii="Times New Roman" w:hAnsi="Times New Roman" w:cs="Times New Roman"/>
                <w:kern w:val="2"/>
                <w:sz w:val="21"/>
                <w:szCs w:val="21"/>
              </w:rPr>
              <w:t>产品生产全过程质量保证制度和质量控制指标体系</w:t>
            </w:r>
            <w:r>
              <w:rPr>
                <w:rFonts w:hint="eastAsia" w:ascii="Times New Roman" w:hAnsi="Times New Roman" w:cs="Times New Roman"/>
                <w:kern w:val="2"/>
                <w:sz w:val="21"/>
                <w:szCs w:val="21"/>
                <w:lang w:eastAsia="zh-CN"/>
              </w:rPr>
              <w:t>。</w:t>
            </w:r>
          </w:p>
        </w:tc>
        <w:tc>
          <w:tcPr>
            <w:tcW w:w="580" w:type="pct"/>
            <w:noWrap w:val="0"/>
            <w:vAlign w:val="center"/>
          </w:tcPr>
          <w:p w14:paraId="6BC3EA0E">
            <w:pPr>
              <w:snapToGrid w:val="0"/>
              <w:jc w:val="center"/>
              <w:rPr>
                <w:rFonts w:hint="eastAsia" w:ascii="Times New Roman" w:hAnsi="Times New Roman" w:cs="Times New Roman"/>
                <w:kern w:val="2"/>
                <w:sz w:val="21"/>
                <w:szCs w:val="21"/>
              </w:rPr>
            </w:pPr>
            <w:r>
              <w:rPr>
                <w:rFonts w:hint="eastAsia" w:ascii="Times New Roman" w:hAnsi="Times New Roman" w:cs="Times New Roman"/>
                <w:kern w:val="2"/>
                <w:sz w:val="21"/>
                <w:szCs w:val="21"/>
              </w:rPr>
              <w:t>符合</w:t>
            </w:r>
          </w:p>
        </w:tc>
      </w:tr>
      <w:tr w14:paraId="21AE557C">
        <w:tblPrEx>
          <w:tblBorders>
            <w:top w:val="thinThickSmallGap" w:color="auto" w:sz="12" w:space="0"/>
            <w:left w:val="none" w:color="auto" w:sz="0" w:space="0"/>
            <w:bottom w:val="thickThinSmallGap"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5000" w:type="pct"/>
            <w:gridSpan w:val="4"/>
            <w:noWrap w:val="0"/>
            <w:vAlign w:val="center"/>
          </w:tcPr>
          <w:p w14:paraId="0E31230D">
            <w:pPr>
              <w:snapToGrid w:val="0"/>
              <w:jc w:val="center"/>
              <w:rPr>
                <w:rFonts w:ascii="Times New Roman" w:hAnsi="Times New Roman" w:cs="Times New Roman"/>
                <w:kern w:val="2"/>
                <w:sz w:val="21"/>
                <w:szCs w:val="21"/>
              </w:rPr>
            </w:pPr>
            <w:r>
              <w:rPr>
                <w:rFonts w:ascii="Times New Roman" w:hAnsi="Times New Roman" w:cs="Times New Roman"/>
                <w:kern w:val="2"/>
                <w:sz w:val="21"/>
                <w:szCs w:val="21"/>
              </w:rPr>
              <w:t>工艺与装备</w:t>
            </w:r>
          </w:p>
        </w:tc>
      </w:tr>
      <w:tr w14:paraId="7974108A">
        <w:tblPrEx>
          <w:tblBorders>
            <w:top w:val="thinThickSmallGap" w:color="auto" w:sz="12" w:space="0"/>
            <w:left w:val="none" w:color="auto" w:sz="0" w:space="0"/>
            <w:bottom w:val="thickThinSmallGap"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1485" w:hRule="atLeast"/>
        </w:trPr>
        <w:tc>
          <w:tcPr>
            <w:tcW w:w="311" w:type="pct"/>
            <w:noWrap w:val="0"/>
            <w:vAlign w:val="center"/>
          </w:tcPr>
          <w:p w14:paraId="7A4B2F8C">
            <w:pPr>
              <w:snapToGrid w:val="0"/>
              <w:jc w:val="center"/>
              <w:rPr>
                <w:rFonts w:ascii="Times New Roman" w:hAnsi="Times New Roman" w:cs="Times New Roman"/>
                <w:bCs/>
                <w:kern w:val="2"/>
                <w:sz w:val="21"/>
                <w:szCs w:val="21"/>
              </w:rPr>
            </w:pPr>
            <w:r>
              <w:rPr>
                <w:rFonts w:ascii="Times New Roman" w:hAnsi="Times New Roman" w:cs="Times New Roman"/>
                <w:bCs/>
                <w:kern w:val="2"/>
                <w:sz w:val="21"/>
                <w:szCs w:val="21"/>
              </w:rPr>
              <w:t>1</w:t>
            </w:r>
          </w:p>
        </w:tc>
        <w:tc>
          <w:tcPr>
            <w:tcW w:w="2109" w:type="pct"/>
            <w:noWrap w:val="0"/>
            <w:vAlign w:val="center"/>
          </w:tcPr>
          <w:p w14:paraId="7AB0FAA4">
            <w:pPr>
              <w:snapToGrid w:val="0"/>
              <w:jc w:val="center"/>
              <w:rPr>
                <w:rFonts w:ascii="Times New Roman" w:hAnsi="Times New Roman" w:cs="Times New Roman"/>
                <w:kern w:val="2"/>
                <w:sz w:val="21"/>
                <w:szCs w:val="21"/>
              </w:rPr>
            </w:pPr>
            <w:r>
              <w:rPr>
                <w:rFonts w:hint="eastAsia" w:ascii="Times New Roman" w:hAnsi="Times New Roman" w:cs="Times New Roman"/>
                <w:kern w:val="2"/>
                <w:sz w:val="21"/>
                <w:szCs w:val="21"/>
              </w:rPr>
              <w:t>冶炼设备须在2016年国务院国资委、各省级人民政府上报国务院备案去产能实施方案的钢铁行业冶炼设备清单内，2016年及以后建成的冶炼设备须符合《钢铁行业产能置换实施办法》要求。</w:t>
            </w:r>
          </w:p>
        </w:tc>
        <w:tc>
          <w:tcPr>
            <w:tcW w:w="1998" w:type="pct"/>
            <w:noWrap w:val="0"/>
            <w:vAlign w:val="center"/>
          </w:tcPr>
          <w:p w14:paraId="443BF624">
            <w:pPr>
              <w:snapToGrid w:val="0"/>
              <w:jc w:val="center"/>
              <w:rPr>
                <w:rFonts w:ascii="Times New Roman" w:hAnsi="Times New Roman" w:cs="Times New Roman"/>
                <w:kern w:val="2"/>
                <w:sz w:val="21"/>
                <w:szCs w:val="21"/>
              </w:rPr>
            </w:pPr>
            <w:r>
              <w:rPr>
                <w:rFonts w:hint="eastAsia" w:ascii="Times New Roman" w:hAnsi="Times New Roman" w:cs="Times New Roman"/>
                <w:kern w:val="2"/>
                <w:sz w:val="21"/>
                <w:szCs w:val="21"/>
              </w:rPr>
              <w:t>本项目不新增钢铁产能，不需进行</w:t>
            </w:r>
            <w:r>
              <w:rPr>
                <w:rFonts w:ascii="Times New Roman" w:hAnsi="Times New Roman" w:cs="Times New Roman"/>
                <w:kern w:val="2"/>
                <w:sz w:val="21"/>
                <w:szCs w:val="21"/>
              </w:rPr>
              <w:t>产能置换</w:t>
            </w:r>
            <w:r>
              <w:rPr>
                <w:rFonts w:hint="eastAsia" w:ascii="Times New Roman" w:hAnsi="Times New Roman" w:cs="Times New Roman"/>
                <w:kern w:val="2"/>
                <w:sz w:val="21"/>
                <w:szCs w:val="21"/>
              </w:rPr>
              <w:t>。</w:t>
            </w:r>
          </w:p>
        </w:tc>
        <w:tc>
          <w:tcPr>
            <w:tcW w:w="580" w:type="pct"/>
            <w:noWrap w:val="0"/>
            <w:vAlign w:val="center"/>
          </w:tcPr>
          <w:p w14:paraId="64DBF435">
            <w:pPr>
              <w:snapToGrid w:val="0"/>
              <w:jc w:val="center"/>
              <w:rPr>
                <w:rFonts w:ascii="Times New Roman" w:hAnsi="Times New Roman" w:cs="Times New Roman"/>
                <w:kern w:val="2"/>
                <w:sz w:val="21"/>
                <w:szCs w:val="21"/>
              </w:rPr>
            </w:pPr>
            <w:r>
              <w:rPr>
                <w:rFonts w:ascii="Times New Roman" w:hAnsi="Times New Roman" w:cs="Times New Roman"/>
                <w:kern w:val="2"/>
                <w:sz w:val="21"/>
                <w:szCs w:val="21"/>
              </w:rPr>
              <w:t>符合</w:t>
            </w:r>
          </w:p>
        </w:tc>
      </w:tr>
      <w:tr w14:paraId="09F66308">
        <w:tblPrEx>
          <w:tblBorders>
            <w:top w:val="thinThickSmallGap" w:color="auto" w:sz="12" w:space="0"/>
            <w:left w:val="none" w:color="auto" w:sz="0" w:space="0"/>
            <w:bottom w:val="thickThinSmallGap"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1485" w:hRule="atLeast"/>
        </w:trPr>
        <w:tc>
          <w:tcPr>
            <w:tcW w:w="311" w:type="pct"/>
            <w:noWrap w:val="0"/>
            <w:vAlign w:val="center"/>
          </w:tcPr>
          <w:p w14:paraId="058D118F">
            <w:pPr>
              <w:snapToGrid w:val="0"/>
              <w:jc w:val="center"/>
              <w:rPr>
                <w:rFonts w:ascii="Times New Roman" w:hAnsi="Times New Roman" w:cs="Times New Roman"/>
                <w:bCs/>
                <w:kern w:val="2"/>
                <w:sz w:val="21"/>
                <w:szCs w:val="21"/>
              </w:rPr>
            </w:pPr>
            <w:r>
              <w:rPr>
                <w:rFonts w:hint="eastAsia" w:ascii="Times New Roman" w:hAnsi="Times New Roman" w:cs="Times New Roman"/>
                <w:bCs/>
                <w:kern w:val="2"/>
                <w:sz w:val="21"/>
                <w:szCs w:val="21"/>
              </w:rPr>
              <w:t>2</w:t>
            </w:r>
          </w:p>
        </w:tc>
        <w:tc>
          <w:tcPr>
            <w:tcW w:w="2109" w:type="pct"/>
            <w:noWrap w:val="0"/>
            <w:vAlign w:val="center"/>
          </w:tcPr>
          <w:p w14:paraId="1DFEA2FC">
            <w:pPr>
              <w:snapToGrid w:val="0"/>
              <w:jc w:val="center"/>
              <w:rPr>
                <w:rFonts w:hint="eastAsia" w:ascii="Times New Roman" w:hAnsi="Times New Roman" w:cs="Times New Roman"/>
                <w:kern w:val="2"/>
                <w:sz w:val="21"/>
                <w:szCs w:val="21"/>
              </w:rPr>
            </w:pPr>
            <w:r>
              <w:rPr>
                <w:rFonts w:hint="eastAsia" w:ascii="Times New Roman" w:hAnsi="Times New Roman" w:cs="Times New Roman"/>
                <w:kern w:val="2"/>
                <w:sz w:val="21"/>
                <w:szCs w:val="21"/>
              </w:rPr>
              <w:t>主体工艺技术及装备应当符合《产业结构调整指导目录》要求，不存在淘汰类工艺技术及装备。</w:t>
            </w:r>
          </w:p>
        </w:tc>
        <w:tc>
          <w:tcPr>
            <w:tcW w:w="1998" w:type="pct"/>
            <w:noWrap w:val="0"/>
            <w:vAlign w:val="center"/>
          </w:tcPr>
          <w:p w14:paraId="6E4E5FFC">
            <w:pPr>
              <w:snapToGrid w:val="0"/>
              <w:jc w:val="center"/>
              <w:rPr>
                <w:rFonts w:hint="eastAsia" w:ascii="Times New Roman" w:hAnsi="Times New Roman" w:cs="Times New Roman"/>
                <w:kern w:val="2"/>
                <w:sz w:val="21"/>
                <w:szCs w:val="21"/>
              </w:rPr>
            </w:pPr>
            <w:r>
              <w:rPr>
                <w:rFonts w:hint="eastAsia" w:ascii="Times New Roman" w:hAnsi="Times New Roman" w:cs="Times New Roman"/>
                <w:kern w:val="2"/>
                <w:sz w:val="21"/>
                <w:szCs w:val="21"/>
              </w:rPr>
              <w:t>本项目为技术改造项目，</w:t>
            </w:r>
            <w:r>
              <w:rPr>
                <w:rFonts w:hint="eastAsia"/>
                <w:sz w:val="21"/>
                <w:szCs w:val="21"/>
              </w:rPr>
              <w:t>50m</w:t>
            </w:r>
            <w:r>
              <w:rPr>
                <w:rFonts w:hint="eastAsia"/>
                <w:sz w:val="21"/>
                <w:szCs w:val="21"/>
                <w:vertAlign w:val="superscript"/>
                <w:lang w:val="en-US" w:eastAsia="zh-CN"/>
              </w:rPr>
              <w:t>2</w:t>
            </w:r>
            <w:r>
              <w:rPr>
                <w:rFonts w:hint="eastAsia"/>
                <w:sz w:val="21"/>
                <w:szCs w:val="21"/>
              </w:rPr>
              <w:t>带式烧结机</w:t>
            </w:r>
            <w:r>
              <w:rPr>
                <w:rFonts w:hint="eastAsia"/>
                <w:sz w:val="21"/>
                <w:szCs w:val="21"/>
                <w:lang w:eastAsia="zh-CN"/>
              </w:rPr>
              <w:t>、12m</w:t>
            </w:r>
            <w:r>
              <w:rPr>
                <w:rFonts w:hint="eastAsia"/>
                <w:sz w:val="21"/>
                <w:szCs w:val="21"/>
                <w:vertAlign w:val="superscript"/>
                <w:lang w:val="en-US" w:eastAsia="zh-CN"/>
              </w:rPr>
              <w:t>2</w:t>
            </w:r>
            <w:r>
              <w:rPr>
                <w:rFonts w:hint="eastAsia"/>
                <w:sz w:val="21"/>
                <w:szCs w:val="21"/>
                <w:lang w:eastAsia="zh-CN"/>
              </w:rPr>
              <w:t>圆形竖炉不属于“鼓励类”、“限制类”和“淘汰类”，项目建设内容为允许类。</w:t>
            </w:r>
          </w:p>
        </w:tc>
        <w:tc>
          <w:tcPr>
            <w:tcW w:w="580" w:type="pct"/>
            <w:noWrap w:val="0"/>
            <w:vAlign w:val="center"/>
          </w:tcPr>
          <w:p w14:paraId="39E5C29F">
            <w:pPr>
              <w:snapToGrid w:val="0"/>
              <w:jc w:val="center"/>
              <w:rPr>
                <w:rFonts w:ascii="Times New Roman" w:hAnsi="Times New Roman" w:cs="Times New Roman"/>
                <w:kern w:val="2"/>
                <w:sz w:val="21"/>
                <w:szCs w:val="21"/>
              </w:rPr>
            </w:pPr>
            <w:r>
              <w:rPr>
                <w:rFonts w:ascii="Times New Roman" w:hAnsi="Times New Roman" w:cs="Times New Roman"/>
                <w:kern w:val="2"/>
                <w:sz w:val="21"/>
                <w:szCs w:val="21"/>
              </w:rPr>
              <w:t>符合</w:t>
            </w:r>
          </w:p>
        </w:tc>
      </w:tr>
      <w:tr w14:paraId="02372314">
        <w:tblPrEx>
          <w:tblBorders>
            <w:top w:val="thinThickSmallGap" w:color="auto" w:sz="12" w:space="0"/>
            <w:left w:val="none" w:color="auto" w:sz="0" w:space="0"/>
            <w:bottom w:val="thickThinSmallGap"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5000" w:type="pct"/>
            <w:gridSpan w:val="4"/>
            <w:noWrap w:val="0"/>
            <w:vAlign w:val="center"/>
          </w:tcPr>
          <w:p w14:paraId="3E2C9939">
            <w:pPr>
              <w:snapToGrid w:val="0"/>
              <w:jc w:val="center"/>
              <w:rPr>
                <w:rFonts w:ascii="Times New Roman" w:hAnsi="Times New Roman" w:cs="Times New Roman"/>
                <w:kern w:val="2"/>
                <w:sz w:val="21"/>
                <w:szCs w:val="21"/>
              </w:rPr>
            </w:pPr>
            <w:r>
              <w:rPr>
                <w:rFonts w:ascii="Times New Roman" w:hAnsi="Times New Roman" w:cs="Times New Roman"/>
                <w:kern w:val="2"/>
                <w:sz w:val="21"/>
                <w:szCs w:val="21"/>
              </w:rPr>
              <w:t>环境保护</w:t>
            </w:r>
          </w:p>
        </w:tc>
      </w:tr>
      <w:tr w14:paraId="2EC758CE">
        <w:tblPrEx>
          <w:tblBorders>
            <w:top w:val="thinThickSmallGap" w:color="auto" w:sz="12" w:space="0"/>
            <w:left w:val="none" w:color="auto" w:sz="0" w:space="0"/>
            <w:bottom w:val="thickThinSmallGap"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311" w:type="pct"/>
            <w:noWrap w:val="0"/>
            <w:vAlign w:val="center"/>
          </w:tcPr>
          <w:p w14:paraId="266FF6D9">
            <w:pPr>
              <w:snapToGrid w:val="0"/>
              <w:jc w:val="center"/>
              <w:rPr>
                <w:rFonts w:ascii="Times New Roman" w:hAnsi="Times New Roman" w:cs="Times New Roman"/>
                <w:kern w:val="2"/>
                <w:sz w:val="21"/>
                <w:szCs w:val="21"/>
              </w:rPr>
            </w:pPr>
            <w:r>
              <w:rPr>
                <w:rFonts w:ascii="Times New Roman" w:hAnsi="Times New Roman" w:cs="Times New Roman"/>
                <w:kern w:val="2"/>
                <w:sz w:val="21"/>
                <w:szCs w:val="21"/>
              </w:rPr>
              <w:t>1</w:t>
            </w:r>
          </w:p>
        </w:tc>
        <w:tc>
          <w:tcPr>
            <w:tcW w:w="2109" w:type="pct"/>
            <w:noWrap w:val="0"/>
            <w:vAlign w:val="center"/>
          </w:tcPr>
          <w:p w14:paraId="289D07F4">
            <w:pPr>
              <w:snapToGrid w:val="0"/>
              <w:jc w:val="center"/>
              <w:rPr>
                <w:rFonts w:ascii="Times New Roman" w:hAnsi="Times New Roman" w:cs="Times New Roman"/>
                <w:kern w:val="2"/>
                <w:sz w:val="21"/>
                <w:szCs w:val="21"/>
              </w:rPr>
            </w:pPr>
            <w:r>
              <w:rPr>
                <w:rFonts w:hint="eastAsia" w:ascii="Times New Roman" w:hAnsi="Times New Roman" w:cs="Times New Roman"/>
                <w:kern w:val="2"/>
                <w:sz w:val="21"/>
                <w:szCs w:val="21"/>
              </w:rPr>
              <w:t>符合生态环境分区管控、环境影响评价、环境保护设施“三同时”、环境保护竣工验收等要求。</w:t>
            </w:r>
          </w:p>
        </w:tc>
        <w:tc>
          <w:tcPr>
            <w:tcW w:w="1998" w:type="pct"/>
            <w:noWrap w:val="0"/>
            <w:vAlign w:val="center"/>
          </w:tcPr>
          <w:p w14:paraId="4AEA9EDB">
            <w:pPr>
              <w:snapToGrid w:val="0"/>
              <w:jc w:val="center"/>
              <w:rPr>
                <w:rFonts w:ascii="Times New Roman" w:hAnsi="Times New Roman" w:cs="Times New Roman"/>
                <w:kern w:val="2"/>
                <w:sz w:val="21"/>
                <w:szCs w:val="21"/>
              </w:rPr>
            </w:pPr>
            <w:r>
              <w:rPr>
                <w:rFonts w:ascii="Times New Roman" w:hAnsi="Times New Roman" w:cs="Times New Roman"/>
                <w:kern w:val="2"/>
                <w:sz w:val="21"/>
                <w:szCs w:val="21"/>
              </w:rPr>
              <w:t>企业具备环境保护管理制度，配套污染物治理设施，</w:t>
            </w:r>
            <w:r>
              <w:rPr>
                <w:rFonts w:hint="eastAsia" w:ascii="Times New Roman" w:hAnsi="Times New Roman" w:cs="Times New Roman"/>
                <w:kern w:val="2"/>
                <w:sz w:val="21"/>
                <w:szCs w:val="21"/>
              </w:rPr>
              <w:t>电炉、加热炉等污染物排放口按要求</w:t>
            </w:r>
            <w:r>
              <w:rPr>
                <w:rFonts w:ascii="Times New Roman" w:hAnsi="Times New Roman" w:cs="Times New Roman"/>
                <w:kern w:val="2"/>
                <w:sz w:val="21"/>
                <w:szCs w:val="21"/>
              </w:rPr>
              <w:t>安装在线自动监控系统，并与地方环保部门联网。</w:t>
            </w:r>
            <w:r>
              <w:rPr>
                <w:rFonts w:hint="eastAsia" w:ascii="Times New Roman" w:hAnsi="Times New Roman" w:cs="Times New Roman"/>
                <w:kern w:val="2"/>
                <w:sz w:val="21"/>
                <w:szCs w:val="21"/>
              </w:rPr>
              <w:t>生产</w:t>
            </w:r>
            <w:r>
              <w:rPr>
                <w:rFonts w:ascii="Times New Roman" w:hAnsi="Times New Roman" w:cs="Times New Roman"/>
                <w:kern w:val="2"/>
                <w:sz w:val="21"/>
                <w:szCs w:val="21"/>
              </w:rPr>
              <w:t>废水处理后全部回用不排放。</w:t>
            </w:r>
          </w:p>
        </w:tc>
        <w:tc>
          <w:tcPr>
            <w:tcW w:w="580" w:type="pct"/>
            <w:noWrap w:val="0"/>
            <w:vAlign w:val="center"/>
          </w:tcPr>
          <w:p w14:paraId="0C125272">
            <w:pPr>
              <w:snapToGrid w:val="0"/>
              <w:jc w:val="center"/>
              <w:rPr>
                <w:rFonts w:ascii="Times New Roman" w:hAnsi="Times New Roman" w:cs="Times New Roman"/>
                <w:kern w:val="2"/>
                <w:sz w:val="21"/>
                <w:szCs w:val="21"/>
              </w:rPr>
            </w:pPr>
            <w:r>
              <w:rPr>
                <w:rFonts w:ascii="Times New Roman" w:hAnsi="Times New Roman" w:cs="Times New Roman"/>
                <w:kern w:val="2"/>
                <w:sz w:val="21"/>
                <w:szCs w:val="21"/>
              </w:rPr>
              <w:t>符合</w:t>
            </w:r>
          </w:p>
        </w:tc>
      </w:tr>
      <w:tr w14:paraId="1B18BD4D">
        <w:tblPrEx>
          <w:tblBorders>
            <w:top w:val="thinThickSmallGap" w:color="auto" w:sz="12" w:space="0"/>
            <w:left w:val="none" w:color="auto" w:sz="0" w:space="0"/>
            <w:bottom w:val="thickThinSmallGap"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1044" w:hRule="atLeast"/>
        </w:trPr>
        <w:tc>
          <w:tcPr>
            <w:tcW w:w="311" w:type="pct"/>
            <w:noWrap w:val="0"/>
            <w:vAlign w:val="center"/>
          </w:tcPr>
          <w:p w14:paraId="0F33BA16">
            <w:pPr>
              <w:snapToGrid w:val="0"/>
              <w:jc w:val="center"/>
              <w:rPr>
                <w:rFonts w:ascii="Times New Roman" w:hAnsi="Times New Roman" w:cs="Times New Roman"/>
                <w:kern w:val="2"/>
                <w:sz w:val="21"/>
                <w:szCs w:val="21"/>
              </w:rPr>
            </w:pPr>
            <w:r>
              <w:rPr>
                <w:rFonts w:ascii="Times New Roman" w:hAnsi="Times New Roman" w:cs="Times New Roman"/>
                <w:kern w:val="2"/>
                <w:sz w:val="21"/>
                <w:szCs w:val="21"/>
              </w:rPr>
              <w:t>2</w:t>
            </w:r>
          </w:p>
        </w:tc>
        <w:tc>
          <w:tcPr>
            <w:tcW w:w="2109" w:type="pct"/>
            <w:noWrap w:val="0"/>
            <w:vAlign w:val="center"/>
          </w:tcPr>
          <w:p w14:paraId="2A117E64">
            <w:pPr>
              <w:snapToGrid w:val="0"/>
              <w:jc w:val="center"/>
              <w:rPr>
                <w:rFonts w:hint="eastAsia" w:ascii="Times New Roman" w:hAnsi="Times New Roman" w:cs="Times New Roman"/>
                <w:kern w:val="2"/>
                <w:sz w:val="21"/>
                <w:szCs w:val="21"/>
              </w:rPr>
            </w:pPr>
            <w:r>
              <w:rPr>
                <w:rFonts w:hint="eastAsia" w:ascii="Times New Roman" w:hAnsi="Times New Roman" w:cs="Times New Roman"/>
                <w:kern w:val="2"/>
                <w:sz w:val="21"/>
                <w:szCs w:val="21"/>
              </w:rPr>
              <w:t>依法申领排污许可证，严格落实排污许可证规定，履行依证排污责任，依法开展自行监测，并保存原始监测记录。</w:t>
            </w:r>
          </w:p>
        </w:tc>
        <w:tc>
          <w:tcPr>
            <w:tcW w:w="1998" w:type="pct"/>
            <w:noWrap w:val="0"/>
            <w:vAlign w:val="center"/>
          </w:tcPr>
          <w:p w14:paraId="5B750A11">
            <w:pPr>
              <w:snapToGrid w:val="0"/>
              <w:jc w:val="center"/>
              <w:rPr>
                <w:rFonts w:hint="default" w:ascii="Times New Roman" w:hAnsi="Times New Roman" w:eastAsia="宋体" w:cs="Times New Roman"/>
                <w:kern w:val="2"/>
                <w:sz w:val="21"/>
                <w:szCs w:val="21"/>
                <w:lang w:val="en-US" w:eastAsia="zh-CN"/>
              </w:rPr>
            </w:pPr>
            <w:r>
              <w:rPr>
                <w:rFonts w:ascii="Times New Roman" w:hAnsi="Times New Roman" w:cs="Times New Roman"/>
                <w:kern w:val="2"/>
                <w:sz w:val="21"/>
                <w:szCs w:val="21"/>
              </w:rPr>
              <w:t>企业</w:t>
            </w:r>
            <w:r>
              <w:rPr>
                <w:rFonts w:hint="eastAsia" w:ascii="Times New Roman" w:hAnsi="Times New Roman" w:cs="Times New Roman"/>
                <w:kern w:val="2"/>
                <w:sz w:val="21"/>
                <w:szCs w:val="21"/>
              </w:rPr>
              <w:t>已</w:t>
            </w:r>
            <w:r>
              <w:rPr>
                <w:rFonts w:ascii="Times New Roman" w:hAnsi="Times New Roman" w:cs="Times New Roman"/>
                <w:kern w:val="2"/>
                <w:sz w:val="21"/>
                <w:szCs w:val="21"/>
              </w:rPr>
              <w:t>持有排污许可证</w:t>
            </w:r>
            <w:r>
              <w:rPr>
                <w:rFonts w:hint="eastAsia" w:ascii="Times New Roman" w:hAnsi="Times New Roman" w:cs="Times New Roman"/>
                <w:kern w:val="2"/>
                <w:sz w:val="21"/>
                <w:szCs w:val="21"/>
              </w:rPr>
              <w:t>，证书编号：9121038112369978</w:t>
            </w:r>
            <w:r>
              <w:rPr>
                <w:rFonts w:ascii="Times New Roman" w:hAnsi="Times New Roman" w:cs="Times New Roman"/>
                <w:kern w:val="2"/>
                <w:sz w:val="21"/>
                <w:szCs w:val="21"/>
              </w:rPr>
              <w:t>X</w:t>
            </w:r>
            <w:r>
              <w:rPr>
                <w:rFonts w:hint="eastAsia" w:ascii="Times New Roman" w:hAnsi="Times New Roman" w:cs="Times New Roman"/>
                <w:kern w:val="2"/>
                <w:sz w:val="21"/>
                <w:szCs w:val="21"/>
              </w:rPr>
              <w:t>1001</w:t>
            </w:r>
            <w:r>
              <w:rPr>
                <w:rFonts w:ascii="Times New Roman" w:hAnsi="Times New Roman" w:cs="Times New Roman"/>
                <w:kern w:val="2"/>
                <w:sz w:val="21"/>
                <w:szCs w:val="21"/>
              </w:rPr>
              <w:t>P。</w:t>
            </w:r>
            <w:r>
              <w:rPr>
                <w:rFonts w:hint="eastAsia" w:ascii="Times New Roman" w:hAnsi="Times New Roman" w:cs="Times New Roman"/>
                <w:kern w:val="2"/>
                <w:sz w:val="21"/>
                <w:szCs w:val="21"/>
                <w:lang w:val="en-US" w:eastAsia="zh-CN"/>
              </w:rPr>
              <w:t>依照排污许可要求进行监测，并于排污许可网站进行公开，</w:t>
            </w:r>
            <w:r>
              <w:rPr>
                <w:rFonts w:hint="eastAsia" w:ascii="Times New Roman" w:hAnsi="Times New Roman" w:cs="Times New Roman"/>
                <w:kern w:val="2"/>
                <w:sz w:val="21"/>
                <w:szCs w:val="21"/>
              </w:rPr>
              <w:t>保存原始</w:t>
            </w:r>
            <w:r>
              <w:rPr>
                <w:rFonts w:hint="eastAsia" w:ascii="Times New Roman" w:hAnsi="Times New Roman" w:cs="Times New Roman"/>
                <w:kern w:val="2"/>
                <w:sz w:val="21"/>
                <w:szCs w:val="21"/>
                <w:lang w:val="en-US" w:eastAsia="zh-CN"/>
              </w:rPr>
              <w:t>手工</w:t>
            </w:r>
            <w:r>
              <w:rPr>
                <w:rFonts w:hint="eastAsia" w:ascii="Times New Roman" w:hAnsi="Times New Roman" w:cs="Times New Roman"/>
                <w:kern w:val="2"/>
                <w:sz w:val="21"/>
                <w:szCs w:val="21"/>
              </w:rPr>
              <w:t>监测记录</w:t>
            </w:r>
            <w:r>
              <w:rPr>
                <w:rFonts w:hint="eastAsia" w:ascii="Times New Roman" w:hAnsi="Times New Roman" w:cs="Times New Roman"/>
                <w:kern w:val="2"/>
                <w:sz w:val="21"/>
                <w:szCs w:val="21"/>
                <w:lang w:val="en-US" w:eastAsia="zh-CN"/>
              </w:rPr>
              <w:t>及在线记录</w:t>
            </w:r>
            <w:r>
              <w:rPr>
                <w:rFonts w:hint="eastAsia" w:ascii="Times New Roman" w:hAnsi="Times New Roman" w:cs="Times New Roman"/>
                <w:kern w:val="2"/>
                <w:sz w:val="21"/>
                <w:szCs w:val="21"/>
              </w:rPr>
              <w:t>。</w:t>
            </w:r>
          </w:p>
        </w:tc>
        <w:tc>
          <w:tcPr>
            <w:tcW w:w="580" w:type="pct"/>
            <w:noWrap w:val="0"/>
            <w:vAlign w:val="center"/>
          </w:tcPr>
          <w:p w14:paraId="5C0F0DC4">
            <w:pPr>
              <w:snapToGrid w:val="0"/>
              <w:jc w:val="center"/>
              <w:rPr>
                <w:rFonts w:ascii="Times New Roman" w:hAnsi="Times New Roman" w:cs="Times New Roman"/>
                <w:kern w:val="2"/>
                <w:sz w:val="21"/>
                <w:szCs w:val="21"/>
              </w:rPr>
            </w:pPr>
            <w:r>
              <w:rPr>
                <w:rFonts w:ascii="Times New Roman" w:hAnsi="Times New Roman" w:cs="Times New Roman"/>
                <w:kern w:val="2"/>
                <w:sz w:val="21"/>
                <w:szCs w:val="21"/>
              </w:rPr>
              <w:t>符合</w:t>
            </w:r>
          </w:p>
        </w:tc>
      </w:tr>
      <w:tr w14:paraId="54A1CF25">
        <w:tblPrEx>
          <w:tblBorders>
            <w:top w:val="thinThickSmallGap" w:color="auto" w:sz="12" w:space="0"/>
            <w:left w:val="none" w:color="auto" w:sz="0" w:space="0"/>
            <w:bottom w:val="thickThinSmallGap"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1044" w:hRule="atLeast"/>
        </w:trPr>
        <w:tc>
          <w:tcPr>
            <w:tcW w:w="311" w:type="pct"/>
            <w:noWrap w:val="0"/>
            <w:vAlign w:val="center"/>
          </w:tcPr>
          <w:p w14:paraId="22BC588D">
            <w:pPr>
              <w:snapToGrid w:val="0"/>
              <w:jc w:val="center"/>
              <w:rPr>
                <w:rFonts w:ascii="Times New Roman" w:hAnsi="Times New Roman" w:cs="Times New Roman"/>
                <w:kern w:val="2"/>
                <w:sz w:val="21"/>
                <w:szCs w:val="21"/>
              </w:rPr>
            </w:pPr>
            <w:r>
              <w:rPr>
                <w:rFonts w:hint="eastAsia" w:ascii="Times New Roman" w:hAnsi="Times New Roman" w:cs="Times New Roman"/>
                <w:kern w:val="2"/>
                <w:sz w:val="21"/>
                <w:szCs w:val="21"/>
              </w:rPr>
              <w:t>3</w:t>
            </w:r>
          </w:p>
        </w:tc>
        <w:tc>
          <w:tcPr>
            <w:tcW w:w="2109" w:type="pct"/>
            <w:noWrap w:val="0"/>
            <w:vAlign w:val="center"/>
          </w:tcPr>
          <w:p w14:paraId="0C3431C4">
            <w:pPr>
              <w:snapToGrid w:val="0"/>
              <w:jc w:val="center"/>
              <w:rPr>
                <w:rFonts w:ascii="Times New Roman" w:hAnsi="Times New Roman" w:cs="Times New Roman"/>
                <w:kern w:val="2"/>
                <w:sz w:val="21"/>
                <w:szCs w:val="21"/>
              </w:rPr>
            </w:pPr>
            <w:r>
              <w:rPr>
                <w:rFonts w:hint="eastAsia" w:ascii="Times New Roman" w:hAnsi="Times New Roman" w:cs="Times New Roman"/>
                <w:kern w:val="2"/>
                <w:sz w:val="21"/>
                <w:szCs w:val="21"/>
              </w:rPr>
              <w:t>上年度以来未被生态环境主管部门通报发生重大及以上突发环境事件、环境污染事故或生态破坏事件。</w:t>
            </w:r>
          </w:p>
        </w:tc>
        <w:tc>
          <w:tcPr>
            <w:tcW w:w="1998" w:type="pct"/>
            <w:noWrap w:val="0"/>
            <w:vAlign w:val="center"/>
          </w:tcPr>
          <w:p w14:paraId="7454327F">
            <w:pPr>
              <w:snapToGrid w:val="0"/>
              <w:jc w:val="center"/>
              <w:rPr>
                <w:rFonts w:ascii="Times New Roman" w:hAnsi="Times New Roman" w:cs="Times New Roman"/>
                <w:kern w:val="2"/>
                <w:sz w:val="21"/>
                <w:szCs w:val="21"/>
              </w:rPr>
            </w:pPr>
            <w:r>
              <w:rPr>
                <w:rFonts w:hint="eastAsia" w:ascii="Times New Roman" w:hAnsi="Times New Roman" w:cs="Times New Roman"/>
                <w:kern w:val="2"/>
                <w:sz w:val="21"/>
                <w:szCs w:val="21"/>
                <w:lang w:val="en-US" w:eastAsia="zh-CN"/>
              </w:rPr>
              <w:t>企业</w:t>
            </w:r>
            <w:r>
              <w:rPr>
                <w:rFonts w:hint="eastAsia" w:ascii="Times New Roman" w:hAnsi="Times New Roman" w:cs="Times New Roman"/>
                <w:kern w:val="2"/>
                <w:sz w:val="21"/>
                <w:szCs w:val="21"/>
              </w:rPr>
              <w:t>上年度以来未被生态环境主管部门通报发生重大及以上突发环境事件、环境污染事故或生态破坏事件</w:t>
            </w:r>
            <w:r>
              <w:rPr>
                <w:rFonts w:ascii="Times New Roman" w:hAnsi="Times New Roman" w:cs="Times New Roman"/>
                <w:kern w:val="2"/>
                <w:sz w:val="21"/>
                <w:szCs w:val="21"/>
              </w:rPr>
              <w:t>。</w:t>
            </w:r>
          </w:p>
        </w:tc>
        <w:tc>
          <w:tcPr>
            <w:tcW w:w="580" w:type="pct"/>
            <w:noWrap w:val="0"/>
            <w:vAlign w:val="center"/>
          </w:tcPr>
          <w:p w14:paraId="335A9759">
            <w:pPr>
              <w:snapToGrid w:val="0"/>
              <w:jc w:val="center"/>
              <w:rPr>
                <w:rFonts w:ascii="Times New Roman" w:hAnsi="Times New Roman" w:cs="Times New Roman"/>
                <w:kern w:val="2"/>
                <w:sz w:val="21"/>
                <w:szCs w:val="21"/>
              </w:rPr>
            </w:pPr>
            <w:r>
              <w:rPr>
                <w:rFonts w:ascii="Times New Roman" w:hAnsi="Times New Roman" w:cs="Times New Roman"/>
                <w:kern w:val="2"/>
                <w:sz w:val="21"/>
                <w:szCs w:val="21"/>
              </w:rPr>
              <w:t>符合</w:t>
            </w:r>
          </w:p>
        </w:tc>
      </w:tr>
      <w:tr w14:paraId="65901B10">
        <w:tblPrEx>
          <w:tblBorders>
            <w:top w:val="thinThickSmallGap" w:color="auto" w:sz="12" w:space="0"/>
            <w:left w:val="none" w:color="auto" w:sz="0" w:space="0"/>
            <w:bottom w:val="thickThinSmallGap"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1044" w:hRule="atLeast"/>
        </w:trPr>
        <w:tc>
          <w:tcPr>
            <w:tcW w:w="311" w:type="pct"/>
            <w:noWrap w:val="0"/>
            <w:vAlign w:val="center"/>
          </w:tcPr>
          <w:p w14:paraId="7E771EC9">
            <w:pPr>
              <w:snapToGrid w:val="0"/>
              <w:jc w:val="center"/>
              <w:rPr>
                <w:rFonts w:hint="eastAsia" w:ascii="Times New Roman" w:hAnsi="Times New Roman" w:eastAsia="宋体" w:cs="Times New Roman"/>
                <w:kern w:val="2"/>
                <w:sz w:val="21"/>
                <w:szCs w:val="21"/>
                <w:lang w:val="en-US" w:eastAsia="zh-CN"/>
              </w:rPr>
            </w:pPr>
            <w:r>
              <w:rPr>
                <w:rFonts w:hint="eastAsia" w:ascii="Times New Roman" w:hAnsi="Times New Roman" w:cs="Times New Roman"/>
                <w:kern w:val="2"/>
                <w:sz w:val="21"/>
                <w:szCs w:val="21"/>
                <w:lang w:val="en-US" w:eastAsia="zh-CN"/>
              </w:rPr>
              <w:t>4</w:t>
            </w:r>
          </w:p>
        </w:tc>
        <w:tc>
          <w:tcPr>
            <w:tcW w:w="2109" w:type="pct"/>
            <w:noWrap w:val="0"/>
            <w:vAlign w:val="center"/>
          </w:tcPr>
          <w:p w14:paraId="0769CD21">
            <w:pPr>
              <w:snapToGrid w:val="0"/>
              <w:jc w:val="center"/>
              <w:rPr>
                <w:rFonts w:hint="eastAsia" w:ascii="Times New Roman" w:hAnsi="Times New Roman" w:eastAsia="宋体" w:cs="Times New Roman"/>
                <w:kern w:val="2"/>
                <w:sz w:val="21"/>
                <w:szCs w:val="21"/>
                <w:lang w:eastAsia="zh-CN"/>
              </w:rPr>
            </w:pPr>
            <w:r>
              <w:rPr>
                <w:rFonts w:hint="eastAsia" w:ascii="Times New Roman" w:hAnsi="Times New Roman" w:cs="Times New Roman"/>
                <w:kern w:val="2"/>
                <w:sz w:val="21"/>
                <w:szCs w:val="21"/>
              </w:rPr>
              <w:t>污染物排放、处置应当符合《钢铁烧结、球团工业大气污染物排放标准》（GB28662）、《炼铁工业大气污染物排放标准》（GB28663）、《炼钢工业大气污染物排放标准》（GB28664）、《轧钢工业大气污染物排放标准》（GB28665）、《炼焦化学工业污染物排放标准》（GB16171/GB16171.1）、《钢铁工业水污染物排放标准》（GB13456）、《一般工业固体废物贮存和填埋污染控制标准》（GB18599）、《危险废物贮存污染控制标准》（GB18597）、《工业企业厂界环境噪声排放标准》（GB12348）等规定，未出现超总量排污、超排污许可证排污等情形。2026年起应当完成全流程超低排放改造并公示</w:t>
            </w:r>
            <w:r>
              <w:rPr>
                <w:rFonts w:hint="eastAsia" w:ascii="Times New Roman" w:hAnsi="Times New Roman" w:cs="Times New Roman"/>
                <w:kern w:val="2"/>
                <w:sz w:val="21"/>
                <w:szCs w:val="21"/>
                <w:lang w:eastAsia="zh-CN"/>
              </w:rPr>
              <w:t>。</w:t>
            </w:r>
          </w:p>
        </w:tc>
        <w:tc>
          <w:tcPr>
            <w:tcW w:w="1998" w:type="pct"/>
            <w:noWrap w:val="0"/>
            <w:vAlign w:val="center"/>
          </w:tcPr>
          <w:p w14:paraId="0DDDD459">
            <w:pPr>
              <w:snapToGrid w:val="0"/>
              <w:jc w:val="center"/>
              <w:rPr>
                <w:rFonts w:ascii="Times New Roman" w:hAnsi="Times New Roman" w:cs="Times New Roman"/>
                <w:kern w:val="2"/>
                <w:sz w:val="21"/>
                <w:szCs w:val="21"/>
              </w:rPr>
            </w:pPr>
            <w:r>
              <w:rPr>
                <w:rFonts w:ascii="Times New Roman" w:hAnsi="Times New Roman" w:cs="Times New Roman"/>
                <w:kern w:val="2"/>
                <w:sz w:val="21"/>
                <w:szCs w:val="21"/>
              </w:rPr>
              <w:t>大气污染物排放符合</w:t>
            </w:r>
            <w:r>
              <w:rPr>
                <w:rFonts w:hint="eastAsia" w:ascii="Times New Roman" w:hAnsi="Times New Roman" w:cs="Times New Roman"/>
                <w:kern w:val="2"/>
                <w:sz w:val="21"/>
                <w:szCs w:val="21"/>
              </w:rPr>
              <w:t>《钢铁工业大气污染物排放标准》（DB21/ 4119—2025）表1</w:t>
            </w:r>
            <w:r>
              <w:rPr>
                <w:rFonts w:ascii="Times New Roman" w:hAnsi="Times New Roman" w:cs="Times New Roman"/>
                <w:kern w:val="2"/>
                <w:sz w:val="21"/>
                <w:szCs w:val="21"/>
              </w:rPr>
              <w:t>排放限值要求。</w:t>
            </w:r>
            <w:r>
              <w:rPr>
                <w:rFonts w:hint="eastAsia" w:ascii="Times New Roman" w:hAnsi="Times New Roman" w:cs="Times New Roman"/>
                <w:kern w:val="2"/>
                <w:sz w:val="21"/>
                <w:szCs w:val="21"/>
              </w:rPr>
              <w:t>企业生产</w:t>
            </w:r>
            <w:r>
              <w:rPr>
                <w:rFonts w:ascii="Times New Roman" w:hAnsi="Times New Roman" w:cs="Times New Roman"/>
                <w:kern w:val="2"/>
                <w:sz w:val="21"/>
                <w:szCs w:val="21"/>
              </w:rPr>
              <w:t>废水处理后全部回用不排放。固体废物污染控制符合《一般工业固体废物贮存</w:t>
            </w:r>
            <w:r>
              <w:rPr>
                <w:rFonts w:hint="eastAsia" w:ascii="Times New Roman" w:hAnsi="Times New Roman" w:cs="Times New Roman"/>
                <w:kern w:val="2"/>
                <w:sz w:val="21"/>
                <w:szCs w:val="21"/>
              </w:rPr>
              <w:t>和填埋</w:t>
            </w:r>
            <w:r>
              <w:rPr>
                <w:rFonts w:ascii="Times New Roman" w:hAnsi="Times New Roman" w:cs="Times New Roman"/>
                <w:kern w:val="2"/>
                <w:sz w:val="21"/>
                <w:szCs w:val="21"/>
              </w:rPr>
              <w:t>污染控制标准》（GB18599-20</w:t>
            </w:r>
            <w:r>
              <w:rPr>
                <w:rFonts w:hint="eastAsia" w:ascii="Times New Roman" w:hAnsi="Times New Roman" w:cs="Times New Roman"/>
                <w:kern w:val="2"/>
                <w:sz w:val="21"/>
                <w:szCs w:val="21"/>
              </w:rPr>
              <w:t>20</w:t>
            </w:r>
            <w:r>
              <w:rPr>
                <w:rFonts w:ascii="Times New Roman" w:hAnsi="Times New Roman" w:cs="Times New Roman"/>
                <w:kern w:val="2"/>
                <w:sz w:val="21"/>
                <w:szCs w:val="21"/>
              </w:rPr>
              <w:t>）</w:t>
            </w:r>
            <w:r>
              <w:rPr>
                <w:rFonts w:hint="eastAsia" w:ascii="Times New Roman" w:hAnsi="Times New Roman" w:cs="Times New Roman"/>
                <w:kern w:val="2"/>
                <w:sz w:val="21"/>
                <w:szCs w:val="21"/>
              </w:rPr>
              <w:t>，</w:t>
            </w:r>
            <w:r>
              <w:rPr>
                <w:rFonts w:ascii="Times New Roman" w:hAnsi="Times New Roman" w:cs="Times New Roman"/>
                <w:kern w:val="2"/>
                <w:sz w:val="21"/>
                <w:szCs w:val="21"/>
              </w:rPr>
              <w:t>危险废物污染控制符合《危险废物贮存污染控制标准》（</w:t>
            </w:r>
            <w:r>
              <w:rPr>
                <w:rFonts w:hint="eastAsia" w:ascii="Times New Roman" w:hAnsi="Times New Roman" w:cs="Times New Roman"/>
                <w:kern w:val="2"/>
                <w:sz w:val="21"/>
                <w:szCs w:val="21"/>
              </w:rPr>
              <w:t>GB 18597—2023</w:t>
            </w:r>
            <w:r>
              <w:rPr>
                <w:rFonts w:ascii="Times New Roman" w:hAnsi="Times New Roman" w:cs="Times New Roman"/>
                <w:kern w:val="2"/>
                <w:sz w:val="21"/>
                <w:szCs w:val="21"/>
              </w:rPr>
              <w:t>）</w:t>
            </w:r>
            <w:r>
              <w:rPr>
                <w:rFonts w:hint="eastAsia" w:ascii="Times New Roman" w:hAnsi="Times New Roman" w:cs="Times New Roman"/>
                <w:kern w:val="2"/>
                <w:sz w:val="21"/>
                <w:szCs w:val="21"/>
              </w:rPr>
              <w:t>，</w:t>
            </w:r>
            <w:r>
              <w:rPr>
                <w:rFonts w:ascii="Times New Roman" w:hAnsi="Times New Roman" w:cs="Times New Roman"/>
                <w:kern w:val="2"/>
                <w:sz w:val="21"/>
                <w:szCs w:val="21"/>
              </w:rPr>
              <w:t>噪声排放符合《工业企业厂界环境噪声排放标准》（</w:t>
            </w:r>
            <w:r>
              <w:rPr>
                <w:rFonts w:hint="eastAsia" w:ascii="Times New Roman" w:hAnsi="Times New Roman" w:cs="Times New Roman"/>
                <w:kern w:val="2"/>
                <w:sz w:val="21"/>
                <w:szCs w:val="21"/>
              </w:rPr>
              <w:t>GB 12348—2008</w:t>
            </w:r>
            <w:r>
              <w:rPr>
                <w:rFonts w:ascii="Times New Roman" w:hAnsi="Times New Roman" w:cs="Times New Roman"/>
                <w:kern w:val="2"/>
                <w:sz w:val="21"/>
                <w:szCs w:val="21"/>
              </w:rPr>
              <w:t>）的规定。</w:t>
            </w:r>
          </w:p>
        </w:tc>
        <w:tc>
          <w:tcPr>
            <w:tcW w:w="580" w:type="pct"/>
            <w:noWrap w:val="0"/>
            <w:vAlign w:val="center"/>
          </w:tcPr>
          <w:p w14:paraId="3BAE3ABB">
            <w:pPr>
              <w:snapToGrid w:val="0"/>
              <w:jc w:val="center"/>
              <w:rPr>
                <w:rFonts w:ascii="Times New Roman" w:hAnsi="Times New Roman" w:cs="Times New Roman"/>
                <w:kern w:val="2"/>
                <w:sz w:val="21"/>
                <w:szCs w:val="21"/>
              </w:rPr>
            </w:pPr>
            <w:r>
              <w:rPr>
                <w:rFonts w:ascii="Times New Roman" w:hAnsi="Times New Roman" w:cs="Times New Roman"/>
                <w:kern w:val="2"/>
                <w:sz w:val="21"/>
                <w:szCs w:val="21"/>
              </w:rPr>
              <w:t>符合</w:t>
            </w:r>
          </w:p>
        </w:tc>
      </w:tr>
      <w:tr w14:paraId="79E45699">
        <w:tblPrEx>
          <w:tblBorders>
            <w:top w:val="thinThickSmallGap" w:color="auto" w:sz="12" w:space="0"/>
            <w:left w:val="none" w:color="auto" w:sz="0" w:space="0"/>
            <w:bottom w:val="thickThinSmallGap"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5000" w:type="pct"/>
            <w:gridSpan w:val="4"/>
            <w:noWrap w:val="0"/>
            <w:vAlign w:val="center"/>
          </w:tcPr>
          <w:p w14:paraId="04A6F7FE">
            <w:pPr>
              <w:snapToGrid w:val="0"/>
              <w:jc w:val="center"/>
              <w:rPr>
                <w:rFonts w:ascii="Times New Roman" w:hAnsi="Times New Roman" w:cs="Times New Roman"/>
                <w:kern w:val="2"/>
                <w:sz w:val="21"/>
                <w:szCs w:val="21"/>
              </w:rPr>
            </w:pPr>
            <w:r>
              <w:rPr>
                <w:rFonts w:ascii="Times New Roman" w:hAnsi="Times New Roman" w:cs="Times New Roman"/>
                <w:kern w:val="2"/>
                <w:sz w:val="21"/>
                <w:szCs w:val="21"/>
              </w:rPr>
              <w:t>能源消耗</w:t>
            </w:r>
          </w:p>
        </w:tc>
      </w:tr>
      <w:tr w14:paraId="673FF38D">
        <w:tblPrEx>
          <w:tblBorders>
            <w:top w:val="thinThickSmallGap" w:color="auto" w:sz="12" w:space="0"/>
            <w:left w:val="none" w:color="auto" w:sz="0" w:space="0"/>
            <w:bottom w:val="thickThinSmallGap"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311" w:type="pct"/>
            <w:noWrap w:val="0"/>
            <w:vAlign w:val="center"/>
          </w:tcPr>
          <w:p w14:paraId="54E9F3C5">
            <w:pPr>
              <w:snapToGrid w:val="0"/>
              <w:jc w:val="center"/>
              <w:rPr>
                <w:rFonts w:ascii="Times New Roman" w:hAnsi="Times New Roman" w:cs="Times New Roman"/>
                <w:kern w:val="2"/>
                <w:sz w:val="21"/>
                <w:szCs w:val="21"/>
              </w:rPr>
            </w:pPr>
            <w:r>
              <w:rPr>
                <w:rFonts w:ascii="Times New Roman" w:hAnsi="Times New Roman" w:cs="Times New Roman"/>
                <w:kern w:val="2"/>
                <w:sz w:val="21"/>
                <w:szCs w:val="21"/>
              </w:rPr>
              <w:t>1</w:t>
            </w:r>
          </w:p>
        </w:tc>
        <w:tc>
          <w:tcPr>
            <w:tcW w:w="2109" w:type="pct"/>
            <w:noWrap w:val="0"/>
            <w:vAlign w:val="center"/>
          </w:tcPr>
          <w:p w14:paraId="790FB0F1">
            <w:pPr>
              <w:snapToGrid w:val="0"/>
              <w:jc w:val="center"/>
              <w:rPr>
                <w:rFonts w:ascii="Times New Roman" w:hAnsi="Times New Roman" w:cs="Times New Roman"/>
                <w:kern w:val="2"/>
                <w:sz w:val="21"/>
                <w:szCs w:val="21"/>
              </w:rPr>
            </w:pPr>
            <w:r>
              <w:rPr>
                <w:rFonts w:hint="eastAsia" w:ascii="Times New Roman" w:hAnsi="Times New Roman" w:cs="Times New Roman"/>
                <w:kern w:val="2"/>
                <w:sz w:val="21"/>
                <w:szCs w:val="21"/>
              </w:rPr>
              <w:t>铁渣、钢渣、除尘灰、脱硫石膏等固废综合利用符合国家有关政策规定。</w:t>
            </w:r>
          </w:p>
        </w:tc>
        <w:tc>
          <w:tcPr>
            <w:tcW w:w="1998" w:type="pct"/>
            <w:noWrap w:val="0"/>
            <w:vAlign w:val="center"/>
          </w:tcPr>
          <w:p w14:paraId="7D47F788">
            <w:pPr>
              <w:snapToGrid w:val="0"/>
              <w:jc w:val="center"/>
              <w:rPr>
                <w:rFonts w:hint="default" w:ascii="Times New Roman" w:hAnsi="Times New Roman" w:eastAsia="宋体" w:cs="Times New Roman"/>
                <w:kern w:val="2"/>
                <w:sz w:val="21"/>
                <w:szCs w:val="21"/>
                <w:lang w:val="en-US" w:eastAsia="zh-CN"/>
              </w:rPr>
            </w:pPr>
            <w:r>
              <w:rPr>
                <w:rFonts w:hint="eastAsia" w:ascii="Times New Roman" w:hAnsi="Times New Roman" w:cs="Times New Roman"/>
                <w:kern w:val="2"/>
                <w:sz w:val="21"/>
                <w:szCs w:val="21"/>
              </w:rPr>
              <w:t>除尘灰</w:t>
            </w:r>
            <w:r>
              <w:rPr>
                <w:rFonts w:hint="eastAsia" w:ascii="Times New Roman" w:hAnsi="Times New Roman" w:cs="Times New Roman"/>
                <w:kern w:val="2"/>
                <w:sz w:val="21"/>
                <w:szCs w:val="21"/>
                <w:lang w:val="en-US" w:eastAsia="zh-CN"/>
              </w:rPr>
              <w:t>回用烧结，</w:t>
            </w:r>
            <w:r>
              <w:rPr>
                <w:rFonts w:hint="eastAsia" w:ascii="Times New Roman" w:hAnsi="Times New Roman" w:cs="Times New Roman"/>
                <w:kern w:val="2"/>
                <w:sz w:val="21"/>
                <w:szCs w:val="21"/>
              </w:rPr>
              <w:t>脱硫石膏</w:t>
            </w:r>
            <w:r>
              <w:rPr>
                <w:rFonts w:hint="eastAsia" w:ascii="Times New Roman" w:hAnsi="Times New Roman" w:cs="Times New Roman"/>
                <w:kern w:val="2"/>
                <w:sz w:val="21"/>
                <w:szCs w:val="21"/>
                <w:lang w:val="en-US" w:eastAsia="zh-CN"/>
              </w:rPr>
              <w:t>外售综合利用。</w:t>
            </w:r>
          </w:p>
        </w:tc>
        <w:tc>
          <w:tcPr>
            <w:tcW w:w="580" w:type="pct"/>
            <w:noWrap w:val="0"/>
            <w:vAlign w:val="center"/>
          </w:tcPr>
          <w:p w14:paraId="0071432F">
            <w:pPr>
              <w:snapToGrid w:val="0"/>
              <w:jc w:val="center"/>
              <w:rPr>
                <w:rFonts w:ascii="Times New Roman" w:hAnsi="Times New Roman" w:cs="Times New Roman"/>
                <w:kern w:val="2"/>
                <w:sz w:val="21"/>
                <w:szCs w:val="21"/>
              </w:rPr>
            </w:pPr>
            <w:r>
              <w:rPr>
                <w:rFonts w:ascii="Times New Roman" w:hAnsi="Times New Roman" w:cs="Times New Roman"/>
                <w:kern w:val="2"/>
                <w:sz w:val="21"/>
                <w:szCs w:val="21"/>
              </w:rPr>
              <w:t>符合</w:t>
            </w:r>
          </w:p>
        </w:tc>
      </w:tr>
      <w:tr w14:paraId="09490DCA">
        <w:tblPrEx>
          <w:tblBorders>
            <w:top w:val="thinThickSmallGap" w:color="auto" w:sz="12" w:space="0"/>
            <w:left w:val="none" w:color="auto" w:sz="0" w:space="0"/>
            <w:bottom w:val="thickThinSmallGap"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311" w:type="pct"/>
            <w:noWrap w:val="0"/>
            <w:vAlign w:val="center"/>
          </w:tcPr>
          <w:p w14:paraId="1FDCE058">
            <w:pPr>
              <w:snapToGrid w:val="0"/>
              <w:jc w:val="center"/>
              <w:rPr>
                <w:rFonts w:ascii="Times New Roman" w:hAnsi="Times New Roman" w:cs="Times New Roman"/>
                <w:kern w:val="2"/>
                <w:sz w:val="21"/>
                <w:szCs w:val="21"/>
              </w:rPr>
            </w:pPr>
            <w:r>
              <w:rPr>
                <w:rFonts w:hint="eastAsia" w:ascii="Times New Roman" w:hAnsi="Times New Roman" w:cs="Times New Roman"/>
                <w:kern w:val="2"/>
                <w:sz w:val="21"/>
                <w:szCs w:val="21"/>
              </w:rPr>
              <w:t>2</w:t>
            </w:r>
          </w:p>
        </w:tc>
        <w:tc>
          <w:tcPr>
            <w:tcW w:w="2109" w:type="pct"/>
            <w:noWrap w:val="0"/>
            <w:vAlign w:val="center"/>
          </w:tcPr>
          <w:p w14:paraId="11EDF89D">
            <w:pPr>
              <w:snapToGrid w:val="0"/>
              <w:jc w:val="center"/>
              <w:rPr>
                <w:rFonts w:ascii="Times New Roman" w:hAnsi="Times New Roman" w:cs="Times New Roman"/>
                <w:kern w:val="2"/>
                <w:sz w:val="21"/>
                <w:szCs w:val="21"/>
              </w:rPr>
            </w:pPr>
            <w:r>
              <w:rPr>
                <w:rFonts w:hint="eastAsia" w:ascii="Times New Roman" w:hAnsi="Times New Roman" w:cs="Times New Roman"/>
                <w:kern w:val="2"/>
                <w:sz w:val="21"/>
                <w:szCs w:val="21"/>
              </w:rPr>
              <w:t>水资源消耗符合《工业用水定额：钢铁》《取水定额第2部分：钢铁联合企业》（GB/T18916.2）等规定。不存在未经批准擅自取用地下水行为。</w:t>
            </w:r>
          </w:p>
        </w:tc>
        <w:tc>
          <w:tcPr>
            <w:tcW w:w="1998" w:type="pct"/>
            <w:noWrap w:val="0"/>
            <w:vAlign w:val="center"/>
          </w:tcPr>
          <w:p w14:paraId="7A5B7B15">
            <w:pPr>
              <w:snapToGrid w:val="0"/>
              <w:jc w:val="center"/>
              <w:rPr>
                <w:rFonts w:ascii="Times New Roman" w:hAnsi="Times New Roman" w:cs="Times New Roman"/>
                <w:kern w:val="2"/>
                <w:sz w:val="21"/>
                <w:szCs w:val="21"/>
              </w:rPr>
            </w:pPr>
            <w:r>
              <w:rPr>
                <w:rFonts w:ascii="Times New Roman" w:hAnsi="Times New Roman" w:cs="Times New Roman"/>
                <w:kern w:val="2"/>
                <w:sz w:val="21"/>
                <w:szCs w:val="21"/>
              </w:rPr>
              <w:t>企业资源</w:t>
            </w:r>
            <w:r>
              <w:rPr>
                <w:rFonts w:hint="eastAsia" w:ascii="Times New Roman" w:hAnsi="Times New Roman" w:cs="Times New Roman"/>
                <w:kern w:val="2"/>
                <w:sz w:val="21"/>
                <w:szCs w:val="21"/>
              </w:rPr>
              <w:t>均</w:t>
            </w:r>
            <w:r>
              <w:rPr>
                <w:rFonts w:ascii="Times New Roman" w:hAnsi="Times New Roman" w:cs="Times New Roman"/>
                <w:kern w:val="2"/>
                <w:sz w:val="21"/>
                <w:szCs w:val="21"/>
              </w:rPr>
              <w:t>综合利用，新水消耗1.8立方米≤3.8立方米，固体废物综合利用率≥96%。</w:t>
            </w:r>
            <w:r>
              <w:rPr>
                <w:rFonts w:hint="eastAsia" w:ascii="Times New Roman" w:hAnsi="Times New Roman" w:cs="Times New Roman"/>
                <w:bCs/>
                <w:sz w:val="21"/>
                <w:szCs w:val="21"/>
              </w:rPr>
              <w:t>厂区用水主要来自</w:t>
            </w:r>
            <w:r>
              <w:rPr>
                <w:rFonts w:hint="eastAsia" w:ascii="Times New Roman" w:hAnsi="Times New Roman" w:cs="Times New Roman"/>
                <w:bCs/>
                <w:sz w:val="21"/>
                <w:szCs w:val="21"/>
                <w:lang w:val="en-US" w:eastAsia="zh-CN"/>
              </w:rPr>
              <w:t>地下水，本次技改项目仅增加湿式除尘用水，用水量较少，企业已取得取水证，取水证见附件</w:t>
            </w:r>
            <w:r>
              <w:rPr>
                <w:rFonts w:ascii="Times New Roman" w:hAnsi="Times New Roman" w:cs="Times New Roman"/>
                <w:kern w:val="2"/>
                <w:sz w:val="21"/>
                <w:szCs w:val="21"/>
              </w:rPr>
              <w:t>。</w:t>
            </w:r>
          </w:p>
        </w:tc>
        <w:tc>
          <w:tcPr>
            <w:tcW w:w="580" w:type="pct"/>
            <w:noWrap w:val="0"/>
            <w:vAlign w:val="center"/>
          </w:tcPr>
          <w:p w14:paraId="5AF8A3D0">
            <w:pPr>
              <w:snapToGrid w:val="0"/>
              <w:jc w:val="center"/>
              <w:rPr>
                <w:rFonts w:ascii="Times New Roman" w:hAnsi="Times New Roman" w:cs="Times New Roman"/>
                <w:kern w:val="2"/>
                <w:sz w:val="21"/>
                <w:szCs w:val="21"/>
              </w:rPr>
            </w:pPr>
            <w:r>
              <w:rPr>
                <w:rFonts w:ascii="Times New Roman" w:hAnsi="Times New Roman" w:cs="Times New Roman"/>
                <w:kern w:val="2"/>
                <w:sz w:val="21"/>
                <w:szCs w:val="21"/>
              </w:rPr>
              <w:t>符合</w:t>
            </w:r>
          </w:p>
        </w:tc>
      </w:tr>
      <w:tr w14:paraId="1130CA26">
        <w:tblPrEx>
          <w:tblBorders>
            <w:top w:val="thinThickSmallGap" w:color="auto" w:sz="12" w:space="0"/>
            <w:left w:val="none" w:color="auto" w:sz="0" w:space="0"/>
            <w:bottom w:val="thickThinSmallGap"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311" w:type="pct"/>
            <w:noWrap w:val="0"/>
            <w:vAlign w:val="center"/>
          </w:tcPr>
          <w:p w14:paraId="68C8D9B7">
            <w:pPr>
              <w:snapToGrid w:val="0"/>
              <w:jc w:val="center"/>
              <w:rPr>
                <w:rFonts w:hint="eastAsia" w:ascii="Times New Roman" w:hAnsi="Times New Roman" w:eastAsia="宋体" w:cs="Times New Roman"/>
                <w:kern w:val="2"/>
                <w:sz w:val="21"/>
                <w:szCs w:val="21"/>
                <w:lang w:val="en-US" w:eastAsia="zh-CN"/>
              </w:rPr>
            </w:pPr>
            <w:bookmarkStart w:id="142" w:name="_Toc90026204"/>
            <w:r>
              <w:rPr>
                <w:rFonts w:hint="eastAsia" w:ascii="Times New Roman" w:hAnsi="Times New Roman" w:cs="Times New Roman"/>
                <w:kern w:val="2"/>
                <w:sz w:val="21"/>
                <w:szCs w:val="21"/>
                <w:lang w:val="en-US" w:eastAsia="zh-CN"/>
              </w:rPr>
              <w:t>3</w:t>
            </w:r>
          </w:p>
        </w:tc>
        <w:tc>
          <w:tcPr>
            <w:tcW w:w="2109" w:type="pct"/>
            <w:noWrap w:val="0"/>
            <w:vAlign w:val="center"/>
          </w:tcPr>
          <w:p w14:paraId="5FAE4448">
            <w:pPr>
              <w:snapToGrid w:val="0"/>
              <w:jc w:val="center"/>
              <w:rPr>
                <w:rFonts w:ascii="Times New Roman" w:hAnsi="Times New Roman" w:cs="Times New Roman"/>
                <w:kern w:val="2"/>
                <w:sz w:val="21"/>
                <w:szCs w:val="21"/>
              </w:rPr>
            </w:pPr>
            <w:r>
              <w:rPr>
                <w:rFonts w:hint="eastAsia" w:ascii="Times New Roman" w:hAnsi="Times New Roman" w:cs="Times New Roman"/>
                <w:kern w:val="2"/>
                <w:sz w:val="21"/>
                <w:szCs w:val="21"/>
              </w:rPr>
              <w:t>按要求履行项目节能审查和验收等相关手续。</w:t>
            </w:r>
          </w:p>
        </w:tc>
        <w:tc>
          <w:tcPr>
            <w:tcW w:w="1998" w:type="pct"/>
            <w:noWrap w:val="0"/>
            <w:vAlign w:val="center"/>
          </w:tcPr>
          <w:p w14:paraId="44FC974D">
            <w:pPr>
              <w:snapToGrid w:val="0"/>
              <w:jc w:val="center"/>
              <w:rPr>
                <w:rFonts w:hint="default" w:ascii="Times New Roman" w:hAnsi="Times New Roman" w:eastAsia="宋体" w:cs="Times New Roman"/>
                <w:kern w:val="2"/>
                <w:sz w:val="21"/>
                <w:szCs w:val="21"/>
                <w:lang w:val="en-US" w:eastAsia="zh-CN"/>
              </w:rPr>
            </w:pPr>
            <w:r>
              <w:rPr>
                <w:rFonts w:hint="eastAsia" w:ascii="Times New Roman" w:hAnsi="Times New Roman" w:cs="Times New Roman"/>
                <w:kern w:val="2"/>
                <w:sz w:val="21"/>
                <w:szCs w:val="21"/>
                <w:lang w:val="en-US" w:eastAsia="zh-CN"/>
              </w:rPr>
              <w:t>企业原项目均完成验收手续，本项目建设完成后按照竣工验收要求进行验收</w:t>
            </w:r>
          </w:p>
        </w:tc>
        <w:tc>
          <w:tcPr>
            <w:tcW w:w="580" w:type="pct"/>
            <w:noWrap w:val="0"/>
            <w:vAlign w:val="center"/>
          </w:tcPr>
          <w:p w14:paraId="73E280E8">
            <w:pPr>
              <w:snapToGrid w:val="0"/>
              <w:jc w:val="center"/>
              <w:rPr>
                <w:rFonts w:ascii="Times New Roman" w:hAnsi="Times New Roman" w:cs="Times New Roman"/>
                <w:kern w:val="2"/>
                <w:sz w:val="21"/>
                <w:szCs w:val="21"/>
              </w:rPr>
            </w:pPr>
            <w:r>
              <w:rPr>
                <w:rFonts w:ascii="Times New Roman" w:hAnsi="Times New Roman" w:cs="Times New Roman"/>
                <w:kern w:val="2"/>
                <w:sz w:val="21"/>
                <w:szCs w:val="21"/>
              </w:rPr>
              <w:t>符合</w:t>
            </w:r>
          </w:p>
        </w:tc>
      </w:tr>
    </w:tbl>
    <w:p w14:paraId="6BD10A4D">
      <w:pPr>
        <w:pStyle w:val="7"/>
      </w:pPr>
      <w:bookmarkStart w:id="143" w:name="_Toc25073"/>
      <w:r>
        <w:t>1.6.</w:t>
      </w:r>
      <w:r>
        <w:rPr>
          <w:rFonts w:hint="eastAsia"/>
          <w:lang w:eastAsia="zh-CN"/>
        </w:rPr>
        <w:t>3</w:t>
      </w:r>
      <w:r>
        <w:t xml:space="preserve"> 与</w:t>
      </w:r>
      <w:r>
        <w:rPr>
          <w:rFonts w:hint="eastAsia"/>
          <w:lang w:eastAsia="zh-CN"/>
        </w:rPr>
        <w:t>产能置换政策</w:t>
      </w:r>
      <w:r>
        <w:t>符合性分析</w:t>
      </w:r>
      <w:bookmarkEnd w:id="142"/>
      <w:bookmarkEnd w:id="143"/>
    </w:p>
    <w:p w14:paraId="397B0087">
      <w:pPr>
        <w:pStyle w:val="19"/>
        <w:spacing w:line="500" w:lineRule="exact"/>
        <w:ind w:firstLine="480"/>
        <w:jc w:val="both"/>
        <w:rPr>
          <w:sz w:val="24"/>
          <w:szCs w:val="24"/>
        </w:rPr>
      </w:pPr>
      <w:r>
        <w:rPr>
          <w:rFonts w:hint="eastAsia"/>
          <w:sz w:val="24"/>
          <w:szCs w:val="24"/>
        </w:rPr>
        <w:t>根据《国务院关于化解产能严重过剩矛盾的指导意见》（国发[2013]41号）、《国务院关于钢铁行业化解过剩产能实现脱困发展的意见》（国发[2016]6号）、《工业和信息化部关于印发钢铁水泥玻璃行业产能置换实施办法的通知》（工信部原[2017]337号）、《关于做好2018年重点领域化解过剩产能工作的通知》（发改运行[2018]554号）、《关于完善钢铁产能置换和项目备案工作的通知》（发改电[</w:t>
      </w:r>
      <w:r>
        <w:rPr>
          <w:sz w:val="24"/>
          <w:szCs w:val="24"/>
        </w:rPr>
        <w:t>2020</w:t>
      </w:r>
      <w:r>
        <w:rPr>
          <w:rFonts w:hint="eastAsia"/>
          <w:sz w:val="24"/>
          <w:szCs w:val="24"/>
        </w:rPr>
        <w:t>]</w:t>
      </w:r>
      <w:r>
        <w:rPr>
          <w:sz w:val="24"/>
          <w:szCs w:val="24"/>
        </w:rPr>
        <w:t>19</w:t>
      </w:r>
      <w:r>
        <w:rPr>
          <w:rFonts w:hint="eastAsia"/>
          <w:sz w:val="24"/>
          <w:szCs w:val="24"/>
        </w:rPr>
        <w:t>号）等</w:t>
      </w:r>
      <w:r>
        <w:rPr>
          <w:sz w:val="24"/>
          <w:szCs w:val="24"/>
        </w:rPr>
        <w:t>文件的</w:t>
      </w:r>
      <w:r>
        <w:rPr>
          <w:rFonts w:hint="eastAsia"/>
          <w:sz w:val="24"/>
          <w:szCs w:val="24"/>
        </w:rPr>
        <w:t>规定：</w:t>
      </w:r>
      <w:r>
        <w:rPr>
          <w:sz w:val="24"/>
          <w:szCs w:val="24"/>
        </w:rPr>
        <w:t>各地区</w:t>
      </w:r>
      <w:r>
        <w:rPr>
          <w:rFonts w:hint="eastAsia"/>
          <w:sz w:val="24"/>
          <w:szCs w:val="24"/>
        </w:rPr>
        <w:t>、</w:t>
      </w:r>
      <w:r>
        <w:rPr>
          <w:sz w:val="24"/>
          <w:szCs w:val="24"/>
        </w:rPr>
        <w:t>各部门不得以任何名义</w:t>
      </w:r>
      <w:r>
        <w:rPr>
          <w:rFonts w:hint="eastAsia"/>
          <w:sz w:val="24"/>
          <w:szCs w:val="24"/>
        </w:rPr>
        <w:t>、</w:t>
      </w:r>
      <w:r>
        <w:rPr>
          <w:sz w:val="24"/>
          <w:szCs w:val="24"/>
        </w:rPr>
        <w:t>任何方式备案新增产能的钢铁项目</w:t>
      </w:r>
      <w:r>
        <w:rPr>
          <w:rFonts w:hint="eastAsia"/>
          <w:sz w:val="24"/>
          <w:szCs w:val="24"/>
        </w:rPr>
        <w:t>，</w:t>
      </w:r>
      <w:r>
        <w:rPr>
          <w:sz w:val="24"/>
          <w:szCs w:val="24"/>
        </w:rPr>
        <w:t>各相关部门和机构不得办理土地供应</w:t>
      </w:r>
      <w:r>
        <w:rPr>
          <w:rFonts w:hint="eastAsia"/>
          <w:sz w:val="24"/>
          <w:szCs w:val="24"/>
        </w:rPr>
        <w:t>、</w:t>
      </w:r>
      <w:r>
        <w:rPr>
          <w:sz w:val="24"/>
          <w:szCs w:val="24"/>
        </w:rPr>
        <w:t>能评</w:t>
      </w:r>
      <w:r>
        <w:rPr>
          <w:rFonts w:hint="eastAsia"/>
          <w:sz w:val="24"/>
          <w:szCs w:val="24"/>
        </w:rPr>
        <w:t>、</w:t>
      </w:r>
      <w:r>
        <w:rPr>
          <w:sz w:val="24"/>
          <w:szCs w:val="24"/>
        </w:rPr>
        <w:t>环评审批和新增授信支持的相关业务</w:t>
      </w:r>
      <w:r>
        <w:rPr>
          <w:rFonts w:hint="eastAsia"/>
          <w:sz w:val="24"/>
          <w:szCs w:val="24"/>
        </w:rPr>
        <w:t>，</w:t>
      </w:r>
      <w:r>
        <w:rPr>
          <w:sz w:val="24"/>
          <w:szCs w:val="24"/>
        </w:rPr>
        <w:t>严把钢铁产能置换和项目备案关，防止产能</w:t>
      </w:r>
      <w:r>
        <w:rPr>
          <w:rFonts w:hint="eastAsia"/>
          <w:sz w:val="24"/>
          <w:szCs w:val="24"/>
        </w:rPr>
        <w:t>“</w:t>
      </w:r>
      <w:r>
        <w:rPr>
          <w:sz w:val="24"/>
          <w:szCs w:val="24"/>
        </w:rPr>
        <w:t>边减边增</w:t>
      </w:r>
      <w:r>
        <w:rPr>
          <w:rFonts w:hint="eastAsia"/>
          <w:sz w:val="24"/>
          <w:szCs w:val="24"/>
        </w:rPr>
        <w:t>”，</w:t>
      </w:r>
      <w:r>
        <w:rPr>
          <w:sz w:val="24"/>
          <w:szCs w:val="24"/>
        </w:rPr>
        <w:t>合理高效利用废钢铁资源，进一步推动钢铁行业转型升级和结构优化</w:t>
      </w:r>
      <w:r>
        <w:rPr>
          <w:rFonts w:hint="eastAsia"/>
          <w:sz w:val="24"/>
          <w:szCs w:val="24"/>
        </w:rPr>
        <w:t>；</w:t>
      </w:r>
      <w:r>
        <w:rPr>
          <w:sz w:val="24"/>
          <w:szCs w:val="24"/>
        </w:rPr>
        <w:t>进一步完善废钢铁回收、分类、加工、配送体系等，加速废钢铁循环利用，在资源循环利用基地建设中鼓励废钢铁循环利用，适度引导发展电炉炼钢，深入推动行业节能环保水平提升</w:t>
      </w:r>
      <w:r>
        <w:rPr>
          <w:rFonts w:hint="eastAsia"/>
          <w:sz w:val="24"/>
          <w:szCs w:val="24"/>
        </w:rPr>
        <w:t>；</w:t>
      </w:r>
      <w:r>
        <w:rPr>
          <w:sz w:val="24"/>
          <w:szCs w:val="24"/>
        </w:rPr>
        <w:t>推动行业升级，促进绿色发展</w:t>
      </w:r>
      <w:r>
        <w:rPr>
          <w:rFonts w:hint="eastAsia"/>
          <w:sz w:val="24"/>
          <w:szCs w:val="24"/>
        </w:rPr>
        <w:t>，</w:t>
      </w:r>
      <w:r>
        <w:rPr>
          <w:sz w:val="24"/>
          <w:szCs w:val="24"/>
        </w:rPr>
        <w:t>实施节能环保改造升级，所有钢铁企业实现环保节能稳定达标。</w:t>
      </w:r>
    </w:p>
    <w:p w14:paraId="4907DC5D">
      <w:pPr>
        <w:pStyle w:val="19"/>
        <w:spacing w:line="500" w:lineRule="exact"/>
        <w:ind w:firstLine="480"/>
        <w:jc w:val="both"/>
        <w:rPr>
          <w:rFonts w:hint="eastAsia"/>
          <w:sz w:val="24"/>
          <w:szCs w:val="24"/>
          <w:highlight w:val="yellow"/>
        </w:rPr>
      </w:pPr>
      <w:r>
        <w:rPr>
          <w:rFonts w:hint="eastAsia"/>
          <w:sz w:val="24"/>
          <w:szCs w:val="24"/>
          <w:highlight w:val="none"/>
        </w:rPr>
        <w:t>本项目为技术改造项目，现有90 m²步进式烧结机属于淘汰类设备，将其改造为50m²带式烧结机，拆除现有3台6m</w:t>
      </w:r>
      <w:r>
        <w:rPr>
          <w:rFonts w:hint="eastAsia"/>
          <w:sz w:val="24"/>
          <w:szCs w:val="24"/>
          <w:highlight w:val="none"/>
          <w:vertAlign w:val="superscript"/>
        </w:rPr>
        <w:t>2</w:t>
      </w:r>
      <w:r>
        <w:rPr>
          <w:rFonts w:hint="eastAsia"/>
          <w:sz w:val="24"/>
          <w:szCs w:val="24"/>
          <w:highlight w:val="none"/>
        </w:rPr>
        <w:t>竖炉在原址新建1座12m</w:t>
      </w:r>
      <w:r>
        <w:rPr>
          <w:rFonts w:hint="eastAsia"/>
          <w:sz w:val="24"/>
          <w:szCs w:val="24"/>
          <w:highlight w:val="none"/>
          <w:vertAlign w:val="superscript"/>
          <w:lang w:val="en-US" w:eastAsia="zh-CN"/>
        </w:rPr>
        <w:t>2</w:t>
      </w:r>
      <w:r>
        <w:rPr>
          <w:rFonts w:hint="eastAsia"/>
          <w:sz w:val="24"/>
          <w:szCs w:val="24"/>
          <w:highlight w:val="none"/>
        </w:rPr>
        <w:t>圆形竖炉，炼</w:t>
      </w:r>
      <w:r>
        <w:rPr>
          <w:rFonts w:hint="eastAsia"/>
          <w:sz w:val="24"/>
          <w:szCs w:val="24"/>
          <w:highlight w:val="none"/>
          <w:lang w:val="en-US" w:eastAsia="zh-CN"/>
        </w:rPr>
        <w:t>铁</w:t>
      </w:r>
      <w:r>
        <w:rPr>
          <w:rFonts w:hint="eastAsia"/>
          <w:sz w:val="24"/>
          <w:szCs w:val="24"/>
          <w:highlight w:val="none"/>
        </w:rPr>
        <w:t>产能不变，不涉及钢铁产能置换；本项目</w:t>
      </w:r>
      <w:r>
        <w:rPr>
          <w:rFonts w:hint="eastAsia"/>
          <w:sz w:val="24"/>
          <w:szCs w:val="24"/>
          <w:highlight w:val="none"/>
          <w:lang w:val="en-US" w:eastAsia="zh-CN"/>
        </w:rPr>
        <w:t>炼铁过程产生的废料均作为返矿用于烧结</w:t>
      </w:r>
      <w:r>
        <w:rPr>
          <w:rFonts w:hint="eastAsia"/>
          <w:sz w:val="24"/>
          <w:szCs w:val="24"/>
          <w:highlight w:val="none"/>
        </w:rPr>
        <w:t>，可实现</w:t>
      </w:r>
      <w:r>
        <w:rPr>
          <w:sz w:val="24"/>
          <w:szCs w:val="24"/>
          <w:highlight w:val="none"/>
        </w:rPr>
        <w:t>资源循环利用</w:t>
      </w:r>
      <w:r>
        <w:rPr>
          <w:rFonts w:hint="eastAsia"/>
          <w:sz w:val="24"/>
          <w:szCs w:val="24"/>
          <w:highlight w:val="none"/>
        </w:rPr>
        <w:t>。综上，本项目符合上述文件的规定。</w:t>
      </w:r>
    </w:p>
    <w:p w14:paraId="16402FCC">
      <w:pPr>
        <w:pStyle w:val="7"/>
      </w:pPr>
      <w:bookmarkStart w:id="144" w:name="_Toc90026205"/>
      <w:bookmarkStart w:id="145" w:name="_Toc13383"/>
      <w:r>
        <w:t>1.6.4 规划符合性分析</w:t>
      </w:r>
      <w:bookmarkEnd w:id="144"/>
      <w:bookmarkEnd w:id="145"/>
    </w:p>
    <w:p w14:paraId="1FAD59E7">
      <w:pPr>
        <w:pStyle w:val="133"/>
      </w:pPr>
      <w:r>
        <w:t>1.6.4.1与《</w:t>
      </w:r>
      <w:r>
        <w:rPr>
          <w:rFonts w:hint="eastAsia"/>
          <w:lang w:eastAsia="zh-CN"/>
        </w:rPr>
        <w:t>辽宁省主体功能区规划</w:t>
      </w:r>
      <w:r>
        <w:t>》符合性分析</w:t>
      </w:r>
    </w:p>
    <w:p w14:paraId="1BB6AC71">
      <w:pPr>
        <w:pStyle w:val="19"/>
        <w:spacing w:line="500" w:lineRule="exact"/>
        <w:ind w:firstLine="480"/>
        <w:jc w:val="both"/>
        <w:rPr>
          <w:rFonts w:hint="eastAsia"/>
          <w:sz w:val="24"/>
          <w:highlight w:val="yellow"/>
        </w:rPr>
      </w:pPr>
      <w:r>
        <w:rPr>
          <w:rFonts w:hint="eastAsia"/>
          <w:sz w:val="24"/>
        </w:rPr>
        <w:t>根据《辽宁省主体功能区规划》，本项目所在地位于</w:t>
      </w:r>
      <w:r>
        <w:rPr>
          <w:rFonts w:hint="eastAsia"/>
          <w:sz w:val="24"/>
          <w:lang w:val="en-US" w:eastAsia="zh-CN"/>
        </w:rPr>
        <w:t>本溪满族自治县</w:t>
      </w:r>
      <w:r>
        <w:rPr>
          <w:rFonts w:hint="eastAsia"/>
          <w:sz w:val="24"/>
        </w:rPr>
        <w:t>，属于</w:t>
      </w:r>
      <w:r>
        <w:rPr>
          <w:rFonts w:hint="eastAsia"/>
          <w:sz w:val="24"/>
          <w:lang w:val="en-US" w:eastAsia="zh-CN"/>
        </w:rPr>
        <w:t>本溪</w:t>
      </w:r>
      <w:r>
        <w:rPr>
          <w:rFonts w:hint="eastAsia"/>
          <w:sz w:val="24"/>
        </w:rPr>
        <w:t>市</w:t>
      </w:r>
      <w:r>
        <w:rPr>
          <w:rFonts w:hint="eastAsia"/>
          <w:sz w:val="24"/>
          <w:lang w:val="en-US" w:eastAsia="zh-CN"/>
        </w:rPr>
        <w:t>一般管控区</w:t>
      </w:r>
      <w:r>
        <w:rPr>
          <w:rFonts w:hint="eastAsia"/>
          <w:sz w:val="24"/>
        </w:rPr>
        <w:t>，不属于限制开发区和禁止开发区</w:t>
      </w:r>
      <w:r>
        <w:rPr>
          <w:rFonts w:hint="eastAsia"/>
          <w:sz w:val="24"/>
          <w:highlight w:val="none"/>
        </w:rPr>
        <w:t>，满足规划中规定要求。</w:t>
      </w:r>
    </w:p>
    <w:p w14:paraId="74EE22CC">
      <w:pPr>
        <w:pStyle w:val="133"/>
      </w:pPr>
      <w:r>
        <w:t>1.6.4.</w:t>
      </w:r>
      <w:r>
        <w:rPr>
          <w:rFonts w:hint="eastAsia"/>
          <w:lang w:eastAsia="zh-CN"/>
        </w:rPr>
        <w:t>3</w:t>
      </w:r>
      <w:r>
        <w:t xml:space="preserve"> 与</w:t>
      </w:r>
      <w:r>
        <w:rPr>
          <w:rFonts w:hint="eastAsia"/>
          <w:lang w:eastAsia="zh-CN"/>
        </w:rPr>
        <w:t>《本溪市国土空间总体规划（2021-2035年）》</w:t>
      </w:r>
      <w:r>
        <w:t>符合性分析</w:t>
      </w:r>
    </w:p>
    <w:p w14:paraId="50560BA8">
      <w:pPr>
        <w:pStyle w:val="19"/>
        <w:spacing w:line="500" w:lineRule="exact"/>
        <w:ind w:firstLine="480"/>
        <w:jc w:val="both"/>
        <w:rPr>
          <w:rFonts w:hint="eastAsia" w:ascii="Times New Roman" w:hAnsi="Times New Roman" w:eastAsia="宋体" w:cs="Times New Roman"/>
          <w:sz w:val="24"/>
        </w:rPr>
      </w:pPr>
      <w:r>
        <w:rPr>
          <w:rFonts w:hint="eastAsia" w:ascii="Times New Roman" w:hAnsi="Times New Roman" w:eastAsia="宋体" w:cs="Times New Roman"/>
          <w:sz w:val="24"/>
        </w:rPr>
        <w:t>为贯彻落实《中共中央 国务院关于建立国土空间规划体系并监督实施的若干意见》《中共辽宁省委 辽宁省人民政府关于建立全省国土空间规划体系并监督实施的意见》《全国国土空间规划纲要（2021-2035 年）》《辽宁省国土空间规划（2021-2035 年）》，科学布局本溪市生产空间、生活空间、生态空间，促进本溪市自然资源可持续利用和社会经济可持续发展，助力辽宁打好打赢新时代东北振兴、辽宁振兴的“辽沈战役”，特编制《本溪市国土空间总体规划（2021-2035年）》。</w:t>
      </w:r>
    </w:p>
    <w:p w14:paraId="2BD8125D">
      <w:pPr>
        <w:pStyle w:val="19"/>
        <w:spacing w:line="500" w:lineRule="exact"/>
        <w:ind w:firstLine="480"/>
        <w:jc w:val="both"/>
        <w:rPr>
          <w:rFonts w:hint="eastAsia" w:ascii="Times New Roman" w:hAnsi="Times New Roman" w:eastAsia="宋体" w:cs="Times New Roman"/>
          <w:sz w:val="24"/>
        </w:rPr>
      </w:pPr>
      <w:r>
        <w:rPr>
          <w:rFonts w:ascii="宋体" w:hAnsi="宋体" w:eastAsia="宋体" w:cs="宋体"/>
          <w:sz w:val="24"/>
          <w:szCs w:val="24"/>
        </w:rPr>
        <w:t>第20条 城市性质和核心功能定位 本溪市是国家钢铁及精深加工和生物医药产业基地，全国生态文明示范市，美丽辽宁高品质山水旅游名城。国家钢铁及精深加工和生物医药产业基地 。依托国家级能源资源基地和规划矿区，抓住鞍本联合机遇全力打造成国家钢铁及精深加工产业基地。立足本溪资源禀赋，推动沈阳、本溪 在生物医药产业方面的深度合作，促进形成药材种植、药品制造、医药流通、医药科研等完善的医药产业链，做大做强国家级生物医药产业基地。</w:t>
      </w:r>
    </w:p>
    <w:p w14:paraId="75B554FE">
      <w:pPr>
        <w:pStyle w:val="19"/>
        <w:spacing w:line="500" w:lineRule="exact"/>
        <w:ind w:firstLine="480"/>
        <w:jc w:val="both"/>
        <w:rPr>
          <w:rFonts w:hint="eastAsia" w:ascii="Times New Roman" w:hAnsi="Times New Roman" w:eastAsia="宋体" w:cs="Times New Roman"/>
          <w:sz w:val="24"/>
        </w:rPr>
      </w:pPr>
      <w:r>
        <w:rPr>
          <w:rFonts w:ascii="宋体" w:hAnsi="宋体" w:eastAsia="宋体" w:cs="宋体"/>
          <w:sz w:val="24"/>
          <w:szCs w:val="24"/>
        </w:rPr>
        <w:t>第28条 细化主体功能区布局 落实辽宁省国土空间规划主体功能区战略要求，综合评估乡镇（街道）空间本底特征和社会经济基础，细化乡镇（街道） 主体功能定位。国家级重点生态功能区。 包括本溪满族自治县草河口镇、 连山关镇、草河城镇、草河掌镇、高官镇、碱厂镇、田师付镇、 南甸子镇、清河城镇、东营坊乡和桓仁满族自治县雅河朝鲜族 乡、华来镇、古城镇、北甸子乡、沙尖子镇、五里甸子镇、八里甸子镇、普乐堡镇、二棚甸子镇、向阳乡、黑沟乡21个乡 镇。注重生态系统维护，推进生态系统治理，筑牢生态安全屏障，提高生态产品供给能力，促进“两山”转化。</w:t>
      </w:r>
    </w:p>
    <w:p w14:paraId="2E7ACE94">
      <w:pPr>
        <w:pStyle w:val="19"/>
        <w:spacing w:line="500" w:lineRule="exact"/>
        <w:ind w:firstLine="560"/>
        <w:jc w:val="both"/>
        <w:rPr>
          <w:rFonts w:hint="eastAsia"/>
          <w:b/>
          <w:bCs/>
        </w:rPr>
      </w:pPr>
      <w:r>
        <w:rPr>
          <w:rFonts w:hint="eastAsia" w:ascii="宋体" w:hAnsi="宋体" w:eastAsia="宋体" w:cs="宋体"/>
          <w:b/>
          <w:bCs/>
          <w:sz w:val="24"/>
          <w:szCs w:val="24"/>
        </w:rPr>
        <w:t>本项目位于本溪玉麒麟新材料有限公司位于辽宁省本溪市本溪满族自治县草河口镇祁家堡村</w:t>
      </w:r>
      <w:r>
        <w:rPr>
          <w:rFonts w:hint="eastAsia" w:ascii="宋体" w:hAnsi="宋体" w:eastAsia="宋体" w:cs="宋体"/>
          <w:b/>
          <w:bCs/>
          <w:sz w:val="24"/>
          <w:szCs w:val="24"/>
          <w:lang w:eastAsia="zh-CN"/>
        </w:rPr>
        <w:t>，</w:t>
      </w:r>
      <w:r>
        <w:rPr>
          <w:rFonts w:hint="eastAsia" w:ascii="宋体" w:hAnsi="宋体" w:eastAsia="宋体" w:cs="宋体"/>
          <w:b/>
          <w:bCs/>
          <w:sz w:val="24"/>
          <w:szCs w:val="24"/>
          <w:lang w:val="en-US" w:eastAsia="zh-CN"/>
        </w:rPr>
        <w:t>本项目在</w:t>
      </w:r>
      <w:r>
        <w:rPr>
          <w:rFonts w:hint="eastAsia" w:ascii="宋体" w:hAnsi="宋体" w:eastAsia="宋体" w:cs="宋体"/>
          <w:b/>
          <w:bCs/>
          <w:sz w:val="24"/>
          <w:szCs w:val="24"/>
        </w:rPr>
        <w:t>现有厂区范围内，不新增用地，厂区所在地属于工业用地</w:t>
      </w:r>
      <w:r>
        <w:rPr>
          <w:rFonts w:hint="eastAsia"/>
          <w:b/>
          <w:bCs/>
        </w:rPr>
        <w:t>。</w:t>
      </w:r>
    </w:p>
    <w:p w14:paraId="3A20E85F">
      <w:pPr>
        <w:pStyle w:val="19"/>
        <w:numPr>
          <w:ilvl w:val="0"/>
          <w:numId w:val="27"/>
        </w:numPr>
        <w:spacing w:line="500" w:lineRule="exact"/>
        <w:ind w:firstLine="560"/>
        <w:jc w:val="both"/>
        <w:rPr>
          <w:rFonts w:ascii="宋体" w:hAnsi="宋体" w:eastAsia="宋体" w:cs="宋体"/>
          <w:sz w:val="24"/>
          <w:szCs w:val="24"/>
        </w:rPr>
      </w:pPr>
      <w:r>
        <w:rPr>
          <w:rFonts w:ascii="宋体" w:hAnsi="宋体" w:eastAsia="宋体" w:cs="宋体"/>
          <w:sz w:val="24"/>
          <w:szCs w:val="24"/>
        </w:rPr>
        <w:t>减少碳排总量 优化能源结构。 严格按照国家和辽宁省制定的能源消费总 量和强度双控目标做好节能降耗工作。合理控制石化能源消费总量，提高石化能源利用效率，推进天然气等清洁能源替代传统能源，合理布局风、光、水、生物质等清洁能源项目。</w:t>
      </w:r>
    </w:p>
    <w:p w14:paraId="7C7EB72A">
      <w:pPr>
        <w:pStyle w:val="19"/>
        <w:numPr>
          <w:ilvl w:val="0"/>
          <w:numId w:val="0"/>
        </w:numPr>
        <w:spacing w:line="500" w:lineRule="exact"/>
        <w:ind w:firstLine="482" w:firstLineChars="200"/>
        <w:jc w:val="both"/>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本项目烧结及球团竖炉，均利用高炉产生的煤气，提高能源利用率。</w:t>
      </w:r>
    </w:p>
    <w:p w14:paraId="026D4B91">
      <w:pPr>
        <w:pStyle w:val="19"/>
        <w:numPr>
          <w:ilvl w:val="0"/>
          <w:numId w:val="0"/>
        </w:numPr>
        <w:spacing w:line="500" w:lineRule="exact"/>
        <w:ind w:firstLine="482" w:firstLineChars="200"/>
        <w:jc w:val="both"/>
        <w:rPr>
          <w:rFonts w:hint="default" w:ascii="宋体" w:hAnsi="宋体" w:eastAsia="宋体" w:cs="宋体"/>
          <w:b/>
          <w:bCs/>
          <w:sz w:val="24"/>
          <w:szCs w:val="24"/>
          <w:lang w:val="en-US" w:eastAsia="zh-CN"/>
        </w:rPr>
        <w:sectPr>
          <w:pgSz w:w="11907" w:h="16840"/>
          <w:pgMar w:top="1701" w:right="1701" w:bottom="1701" w:left="1701" w:header="851" w:footer="1077" w:gutter="0"/>
          <w:pgBorders w:offsetFrom="page">
            <w:top w:val="none" w:sz="0" w:space="0"/>
            <w:left w:val="none" w:sz="0" w:space="0"/>
            <w:bottom w:val="none" w:sz="0" w:space="0"/>
            <w:right w:val="none" w:sz="0" w:space="0"/>
          </w:pgBorders>
          <w:pgNumType w:fmt="decimal"/>
          <w:cols w:space="720" w:num="1"/>
          <w:docGrid w:type="lines" w:linePitch="479" w:charSpace="0"/>
        </w:sectPr>
      </w:pPr>
      <w:r>
        <w:rPr>
          <w:rFonts w:hint="eastAsia" w:ascii="宋体" w:hAnsi="宋体" w:eastAsia="宋体" w:cs="宋体"/>
          <w:b/>
          <w:bCs/>
          <w:sz w:val="24"/>
          <w:szCs w:val="24"/>
          <w:lang w:val="en-US" w:eastAsia="zh-CN"/>
        </w:rPr>
        <w:t>本项目位于本溪满族自治县草河口镇国土空间总体规划村庄建设用地；</w:t>
      </w:r>
    </w:p>
    <w:p w14:paraId="158960A7">
      <w:pPr>
        <w:adjustRightInd w:val="0"/>
        <w:snapToGrid w:val="0"/>
        <w:jc w:val="center"/>
      </w:pPr>
      <w:r>
        <w:rPr>
          <w:sz w:val="24"/>
        </w:rPr>
        <mc:AlternateContent>
          <mc:Choice Requires="wps">
            <w:drawing>
              <wp:anchor distT="0" distB="0" distL="114300" distR="114300" simplePos="0" relativeHeight="251718656" behindDoc="0" locked="0" layoutInCell="1" allowOverlap="1">
                <wp:simplePos x="0" y="0"/>
                <wp:positionH relativeFrom="column">
                  <wp:posOffset>3006725</wp:posOffset>
                </wp:positionH>
                <wp:positionV relativeFrom="paragraph">
                  <wp:posOffset>1356360</wp:posOffset>
                </wp:positionV>
                <wp:extent cx="1038860" cy="407035"/>
                <wp:effectExtent l="40640" t="6350" r="6350" b="215265"/>
                <wp:wrapNone/>
                <wp:docPr id="170" name="矩形标注 170"/>
                <wp:cNvGraphicFramePr/>
                <a:graphic xmlns:a="http://schemas.openxmlformats.org/drawingml/2006/main">
                  <a:graphicData uri="http://schemas.microsoft.com/office/word/2010/wordprocessingShape">
                    <wps:wsp>
                      <wps:cNvSpPr/>
                      <wps:spPr>
                        <a:xfrm>
                          <a:off x="4086860" y="2583815"/>
                          <a:ext cx="1038860" cy="407035"/>
                        </a:xfrm>
                        <a:prstGeom prst="wedgeRectCallout">
                          <a:avLst>
                            <a:gd name="adj1" fmla="val -53300"/>
                            <a:gd name="adj2" fmla="val 99453"/>
                          </a:avLst>
                        </a:prstGeom>
                        <a:solidFill>
                          <a:schemeClr val="bg1"/>
                        </a:solidFill>
                        <a:ln w="12700">
                          <a:solidFill>
                            <a:schemeClr val="tx1"/>
                          </a:solidFill>
                        </a:ln>
                      </wps:spPr>
                      <wps:style>
                        <a:lnRef idx="2">
                          <a:schemeClr val="accent1">
                            <a:lumMod val="75000"/>
                          </a:schemeClr>
                        </a:lnRef>
                        <a:fillRef idx="1">
                          <a:schemeClr val="accent1"/>
                        </a:fillRef>
                        <a:effectRef idx="0">
                          <a:srgbClr val="FFFFFF"/>
                        </a:effectRef>
                        <a:fontRef idx="minor">
                          <a:schemeClr val="lt1"/>
                        </a:fontRef>
                      </wps:style>
                      <wps:txbx>
                        <w:txbxContent>
                          <w:p w14:paraId="633179C1">
                            <w:pPr>
                              <w:jc w:val="both"/>
                              <w:rPr>
                                <w:rFonts w:hint="default" w:eastAsia="宋体"/>
                                <w:color w:val="000000" w:themeColor="text1"/>
                                <w:sz w:val="21"/>
                                <w:szCs w:val="21"/>
                                <w:lang w:val="en-US" w:eastAsia="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本项目所在地</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61" type="#_x0000_t61" style="position:absolute;left:0pt;margin-left:236.75pt;margin-top:106.8pt;height:32.05pt;width:81.8pt;z-index:251718656;v-text-anchor:middle;mso-width-relative:page;mso-height-relative:page;" fillcolor="#FFFFFF [3212]" filled="t" stroked="t" coordsize="21600,21600" o:gfxdata="UEsDBAoAAAAAAIdO4kAAAAAAAAAAAAAAAAAEAAAAZHJzL1BLAwQUAAAACACHTuJAyPWAYNoAAAAL&#10;AQAADwAAAGRycy9kb3ducmV2LnhtbE2PTU/DMAyG70j8h8hI3FjalbVQmu6A4DJx2QcS3LLGtB2N&#10;UyVZN/79zAmOth+9ft5qebaDmNCH3pGCdJaAQGqc6alVsNu+3j2ACFGT0YMjVPCDAZb19VWlS+NO&#10;tMZpE1vBIRRKraCLcSylDE2HVoeZG5H49uW81ZFH30rj9YnD7SDnSZJLq3viD50e8bnD5ntztArW&#10;sV+FabX9OHziy+OB3t92vglK3d6kyROIiOf4B8OvPqtDzU57dyQTxKDgvsgWjCqYp1kOgok8K1IQ&#10;e94URQGyruT/DvUFUEsDBBQAAAAIAIdO4kDJ3dKLrgIAAFwFAAAOAAAAZHJzL2Uyb0RvYy54bWyt&#10;VM1u1DAQviPxDpbvbbJ/7XbVbLXa1SKkilYUxNnrOJsgxza2d7PlBXgMECc4c+ZxKK/BZydtt6UH&#10;DuTgzMRfvpn5xuPTs10tyVZYV2mV0d5hSolQXOeVWmf07ZvlwZgS55nKmdRKZPRaOHo2ff7stDET&#10;0dellrmwBCTKTRqT0dJ7M0kSx0tRM3eojVDYLLStmYdr10luWQP2Wib9ND1KGm1zYzUXzuHrot2k&#10;HaP9F0JdFBUXC803tVC+ZbVCMo+SXFkZR6cx26IQ3F8UhROeyIyiUh9XBIG9CmsyPWWTtWWmrHiX&#10;AvuXFB7VVLNKIegd1YJ5Rja2+ouqrrjVThf+kOs6aQuJiqCKXvpIm6uSGRFrgdTO3Inu/h8tf7W9&#10;tKTKcRKOoYliNVr++/P3Xz+/3nz5dPPjGwnfoVJj3ATgK3NpO8/BDCXvCluHN4ohu4wO0/HR+Ahc&#10;1xntj8aDcW/Uqix2nnAAeulgHAEciGF6nA4iILlnMtb5F0LXJBgZbUS+Fq/RyjmTUm98FJptz52P&#10;iudd1ix/36OkqCUauGWSHIwGg/S2w3ug/j7o5GQ4GoT8EL6jhHWbQOB3Wlb5spIyOna9mktLwJ/R&#10;ZXy6nx/ApCINCu0fIz7hDFNS4HTCrA2UdmpNCZNrjB/3Nlbz4G+3HySNz1NBQpIL5so2mcjQwaRC&#10;PaFhbYuC5XerXde3lc6v0XOr22Fwhi8rUJ0z5y+ZhXjIGfeDv8BSSI1CdGdRUmr78anvAY9DiV1K&#10;GkwTivywYVZQIl8qHNeT3nAIWh+d4ei4D8fu76z2d9SmnmsIjHYiu2gGvJe3ZmF1/Q7XyCxExRZT&#10;HLFbOTtn7tspx0XExWwWYRg5w/y5ujI8kIeGKj3beF1UPhyBIFSrTudg6OLJ6C6IMNX7fkTdX4rT&#10;P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CEF&#10;AABbQ29udGVudF9UeXBlc10ueG1sUEsBAhQACgAAAAAAh07iQAAAAAAAAAAAAAAAAAYAAAAAAAAA&#10;AAAQAAAAAwQAAF9yZWxzL1BLAQIUABQAAAAIAIdO4kCKFGY80QAAAJQBAAALAAAAAAAAAAEAIAAA&#10;ACcEAABfcmVscy8ucmVsc1BLAQIUAAoAAAAAAIdO4kAAAAAAAAAAAAAAAAAEAAAAAAAAAAAAEAAA&#10;AAAAAABkcnMvUEsBAhQAFAAAAAgAh07iQMj1gGDaAAAACwEAAA8AAAAAAAAAAQAgAAAAIgAAAGRy&#10;cy9kb3ducmV2LnhtbFBLAQIUABQAAAAIAIdO4kDJ3dKLrgIAAFwFAAAOAAAAAAAAAAEAIAAAACkB&#10;AABkcnMvZTJvRG9jLnhtbFBLBQYAAAAABgAGAFkBAABJBgAAAAA=&#10;" adj="-713,32282">
                <v:fill on="t" focussize="0,0"/>
                <v:stroke weight="1pt" color="#000000 [3213]" joinstyle="round"/>
                <v:imagedata o:title=""/>
                <o:lock v:ext="edit" aspectratio="f"/>
                <v:textbox>
                  <w:txbxContent>
                    <w:p w14:paraId="633179C1">
                      <w:pPr>
                        <w:jc w:val="both"/>
                        <w:rPr>
                          <w:rFonts w:hint="default" w:eastAsia="宋体"/>
                          <w:color w:val="000000" w:themeColor="text1"/>
                          <w:sz w:val="21"/>
                          <w:szCs w:val="21"/>
                          <w:lang w:val="en-US" w:eastAsia="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本项目所在地</w:t>
                      </w:r>
                    </w:p>
                  </w:txbxContent>
                </v:textbox>
              </v:shape>
            </w:pict>
          </mc:Fallback>
        </mc:AlternateContent>
      </w:r>
      <w:r>
        <mc:AlternateContent>
          <mc:Choice Requires="wps">
            <w:drawing>
              <wp:anchor distT="0" distB="0" distL="114300" distR="114300" simplePos="0" relativeHeight="251715584" behindDoc="0" locked="0" layoutInCell="1" allowOverlap="1">
                <wp:simplePos x="0" y="0"/>
                <wp:positionH relativeFrom="column">
                  <wp:posOffset>5407660</wp:posOffset>
                </wp:positionH>
                <wp:positionV relativeFrom="paragraph">
                  <wp:posOffset>-1884680</wp:posOffset>
                </wp:positionV>
                <wp:extent cx="618490" cy="256540"/>
                <wp:effectExtent l="240665" t="598170" r="17145" b="21590"/>
                <wp:wrapNone/>
                <wp:docPr id="67" name="自选图形 4586"/>
                <wp:cNvGraphicFramePr/>
                <a:graphic xmlns:a="http://schemas.openxmlformats.org/drawingml/2006/main">
                  <a:graphicData uri="http://schemas.microsoft.com/office/word/2010/wordprocessingShape">
                    <wps:wsp>
                      <wps:cNvSpPr/>
                      <wps:spPr>
                        <a:xfrm>
                          <a:off x="0" y="0"/>
                          <a:ext cx="618490" cy="256540"/>
                        </a:xfrm>
                        <a:prstGeom prst="wedgeRectCallout">
                          <a:avLst>
                            <a:gd name="adj1" fmla="val -85218"/>
                            <a:gd name="adj2" fmla="val -270792"/>
                          </a:avLst>
                        </a:prstGeom>
                        <a:noFill/>
                        <a:ln w="9525" cap="flat" cmpd="sng">
                          <a:solidFill>
                            <a:srgbClr val="0000FF"/>
                          </a:solidFill>
                          <a:prstDash val="solid"/>
                          <a:miter/>
                          <a:headEnd type="none" w="med" len="med"/>
                          <a:tailEnd type="none" w="med" len="med"/>
                        </a:ln>
                      </wps:spPr>
                      <wps:txbx>
                        <w:txbxContent>
                          <w:p w14:paraId="0B3E744D">
                            <w:pPr>
                              <w:adjustRightInd w:val="0"/>
                              <w:snapToGrid w:val="0"/>
                              <w:jc w:val="center"/>
                              <w:rPr>
                                <w:color w:val="0000FF"/>
                                <w:sz w:val="21"/>
                                <w:szCs w:val="21"/>
                              </w:rPr>
                            </w:pPr>
                            <w:r>
                              <w:rPr>
                                <w:rFonts w:hint="eastAsia"/>
                                <w:color w:val="0000FF"/>
                                <w:sz w:val="21"/>
                                <w:szCs w:val="21"/>
                              </w:rPr>
                              <w:t>本项目</w:t>
                            </w:r>
                          </w:p>
                        </w:txbxContent>
                      </wps:txbx>
                      <wps:bodyPr wrap="square" upright="1"/>
                    </wps:wsp>
                  </a:graphicData>
                </a:graphic>
              </wp:anchor>
            </w:drawing>
          </mc:Choice>
          <mc:Fallback>
            <w:pict>
              <v:shape id="自选图形 4586" o:spid="_x0000_s1026" o:spt="61" type="#_x0000_t61" style="position:absolute;left:0pt;margin-left:425.8pt;margin-top:-148.4pt;height:20.2pt;width:48.7pt;z-index:251715584;mso-width-relative:page;mso-height-relative:page;" filled="f" stroked="t" coordsize="21600,21600" o:gfxdata="UEsDBAoAAAAAAIdO4kAAAAAAAAAAAAAAAAAEAAAAZHJzL1BLAwQUAAAACACHTuJAlui2GtwAAAAN&#10;AQAADwAAAGRycy9kb3ducmV2LnhtbE2PQU7DMBBF90jcwRokNqh1UpooCXG6QHTBAiQKB3Bj46TY&#10;4xC7aejpma5gOTNPf96vN7OzbNJj6D0KSJcJMI2tVz0aAR/v20UBLESJSlqPWsCPDrBprq9qWSl/&#10;wjc97aJhFIKhkgK6GIeK89B22smw9INGun360clI42i4GuWJwp3lqyTJuZM90odODvqx0+3X7ugE&#10;SHOfbednc3Dfh6fC3r2e+fRyFuL2Jk0egEU9xz8YLvqkDg057f0RVWBWQJGlOaECFqsypxKElOuS&#10;6u0vqyxfA29q/r9F8wtQSwMEFAAAAAgAh07iQPz0Sy9EAgAAdwQAAA4AAABkcnMvZTJvRG9jLnht&#10;bK1US5LTMBDdU8UdVNpPHLviTJKKM4sJYUPBFAMHUCTZFqUfkhInO3YUZ2DHkjvAbaYKbkFLNpkP&#10;myzIwmlZrdfvvW55eXVQEu2588LoCuejMUZcU8OEbir8/t3mYoaRD0QzIo3mFT5yj69Wz58tO7vg&#10;hWmNZNwhANF+0dkKtyHYRZZ52nJF/MhYrmGzNk6RAEvXZMyRDtCVzIrxeJp1xjHrDOXew9t1v4kH&#10;RHcOoKlrQfna0J3iOvSojksSQJJvhfV4ldjWNafhTV17HpCsMCgN6QlFIN7GZ7ZakkXjiG0FHSiQ&#10;cyg80aSI0FD0BLUmgaCdE/9AKUGd8aYOI2pU1gtJjoCKfPzEm9uWWJ60gNXenkz3/w+Wvt7fOCRY&#10;haeXGGmioOO/Pn///enL3defdz++oUk5m0aXOusXkHxrb9yw8hBGyYfaqfgPYtAhOXs8OcsPAVF4&#10;Oc1nkzl4TmGrKKflJDmf3R+2zoeX3CgUgwp3nDX8LXTvmkhpdiF5S/avfEgms4EpYR9yjGoloWd7&#10;ItHFrCzy2dDUB0nFo6Ticnw5L2IWEBhAIfpLIVbQZiOkTMMhNeoqPC+LEugTGPgaBg1CZcE0r5tE&#10;zRspWDwSD3vXbK+lQ8AIjIDfZjMUe5QW662Jb/u8tNUzVyJwl2q3nLAXmqFwtNAXDfcRRzKKM4wk&#10;h+sbo5QZiJDnZIJOqUF4bGffwBiFw/YAMDHcGnaEiejgSoC8jzvioObOOtG00Jc8CYl5MI/Jv+Hu&#10;xIF/uE4l7r8Xqz9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5BAAAW0NvbnRlbnRfVHlwZXNdLnhtbFBLAQIUAAoAAAAAAIdO4kAAAAAAAAAAAAAA&#10;AAAGAAAAAAAAAAAAEAAAAJsDAABfcmVscy9QSwECFAAUAAAACACHTuJAihRmPNEAAACUAQAACwAA&#10;AAAAAAABACAAAAC/AwAAX3JlbHMvLnJlbHNQSwECFAAKAAAAAACHTuJAAAAAAAAAAAAAAAAABAAA&#10;AAAAAAAAABAAAAAAAAAAZHJzL1BLAQIUABQAAAAIAIdO4kCW6LYa3AAAAA0BAAAPAAAAAAAAAAEA&#10;IAAAACIAAABkcnMvZG93bnJldi54bWxQSwECFAAUAAAACACHTuJA/PRLL0QCAAB3BAAADgAAAAAA&#10;AAABACAAAAArAQAAZHJzL2Uyb0RvYy54bWxQSwUGAAAAAAYABgBZAQAA4QUAAAAA&#10;" adj="-7607,-47691">
                <v:fill on="f" focussize="0,0"/>
                <v:stroke color="#0000FF" joinstyle="miter"/>
                <v:imagedata o:title=""/>
                <o:lock v:ext="edit" aspectratio="f"/>
                <v:textbox>
                  <w:txbxContent>
                    <w:p w14:paraId="0B3E744D">
                      <w:pPr>
                        <w:adjustRightInd w:val="0"/>
                        <w:snapToGrid w:val="0"/>
                        <w:jc w:val="center"/>
                        <w:rPr>
                          <w:color w:val="0000FF"/>
                          <w:sz w:val="21"/>
                          <w:szCs w:val="21"/>
                        </w:rPr>
                      </w:pPr>
                      <w:r>
                        <w:rPr>
                          <w:rFonts w:hint="eastAsia"/>
                          <w:color w:val="0000FF"/>
                          <w:sz w:val="21"/>
                          <w:szCs w:val="21"/>
                        </w:rPr>
                        <w:t>本项目</w:t>
                      </w:r>
                    </w:p>
                  </w:txbxContent>
                </v:textbox>
              </v:shape>
            </w:pict>
          </mc:Fallback>
        </mc:AlternateContent>
      </w:r>
      <w:r>
        <mc:AlternateContent>
          <mc:Choice Requires="wps">
            <w:drawing>
              <wp:anchor distT="0" distB="0" distL="114300" distR="114300" simplePos="0" relativeHeight="251714560" behindDoc="0" locked="0" layoutInCell="1" allowOverlap="1">
                <wp:simplePos x="0" y="0"/>
                <wp:positionH relativeFrom="column">
                  <wp:posOffset>5086985</wp:posOffset>
                </wp:positionH>
                <wp:positionV relativeFrom="paragraph">
                  <wp:posOffset>-2492375</wp:posOffset>
                </wp:positionV>
                <wp:extent cx="170815" cy="106680"/>
                <wp:effectExtent l="21590" t="44450" r="36195" b="58420"/>
                <wp:wrapNone/>
                <wp:docPr id="66" name="矩形 4585"/>
                <wp:cNvGraphicFramePr/>
                <a:graphic xmlns:a="http://schemas.openxmlformats.org/drawingml/2006/main">
                  <a:graphicData uri="http://schemas.microsoft.com/office/word/2010/wordprocessingShape">
                    <wps:wsp>
                      <wps:cNvSpPr/>
                      <wps:spPr>
                        <a:xfrm rot="1955555">
                          <a:off x="0" y="0"/>
                          <a:ext cx="170815" cy="106680"/>
                        </a:xfrm>
                        <a:prstGeom prst="rect">
                          <a:avLst/>
                        </a:prstGeom>
                        <a:noFill/>
                        <a:ln w="9525" cap="flat" cmpd="sng">
                          <a:solidFill>
                            <a:srgbClr val="0000FF"/>
                          </a:solidFill>
                          <a:prstDash val="solid"/>
                          <a:miter/>
                          <a:headEnd type="none" w="med" len="med"/>
                          <a:tailEnd type="none" w="med" len="med"/>
                        </a:ln>
                      </wps:spPr>
                      <wps:bodyPr wrap="square" upright="1"/>
                    </wps:wsp>
                  </a:graphicData>
                </a:graphic>
              </wp:anchor>
            </w:drawing>
          </mc:Choice>
          <mc:Fallback>
            <w:pict>
              <v:rect id="矩形 4585" o:spid="_x0000_s1026" o:spt="1" style="position:absolute;left:0pt;margin-left:400.55pt;margin-top:-196.25pt;height:8.4pt;width:13.45pt;rotation:2135988f;z-index:251714560;mso-width-relative:page;mso-height-relative:page;" filled="f" stroked="t" coordsize="21600,21600" o:gfxdata="UEsDBAoAAAAAAIdO4kAAAAAAAAAAAAAAAAAEAAAAZHJzL1BLAwQUAAAACACHTuJAlfhMJdoAAAAN&#10;AQAADwAAAGRycy9kb3ducmV2LnhtbE2PwW7CMAyG75P2DpEn7YIgSRFrV5qiCWmnaYfBdjdNaCsS&#10;p2pCgbdfOG1H259+f3+1uTrLJjOG3pMCuRDADDVe99Qq+N6/zwtgISJptJ6MgpsJsKkfHyostb/Q&#10;l5l2sWUphEKJCroYh5Lz0HTGYVj4wVC6Hf3oMKZxbLke8ZLCneWZEC/cYU/pQ4eD2XamOe3OTkH+&#10;88a3t9lA8mN2kpndf05L1Eo9P0mxBhbNNf7BcNdP6lAnp4M/kw7MKiiElAlVMF++ZitgCSmyItU7&#10;3Ff5KgdeV/x/i/oXUEsDBBQAAAAIAIdO4kCq5tvaDAIAABQEAAAOAAAAZHJzL2Uyb0RvYy54bWyt&#10;U82O0zAQviPxDpbvNElFSzfadA+UckGw0i4P4DpOYsl/zLhN+zRI3HgIHgfxGoydUmC59IAP1jj+&#10;8s1834xv747WsIMC1N41vJqVnCknfatd3/CPj9sXK84wCtcK451q+Ekhv1s/f3Y7hlrN/eBNq4AR&#10;icN6DA0fYgx1UaAclBU480E5uuw8WBHpCH3RghiJ3ZpiXpbLYvTQBvBSIdLXzXTJz4xwDaHvOi3V&#10;xsu9VS5OrKCMiCQJBx2Qr3O1Xadk/NB1qCIzDSelMe+UhOJd2ov1rah7EGHQ8lyCuKaEJ5qs0I6S&#10;Xqg2Igq2B/0PldUSPPouzqS3xSQkO0IqqvKJNw+DCCprIasxXEzH/0cr3x/ugem24cslZ05Y6viP&#10;z1+/f/vCXi5Wi+TPGLAm2EO4h/MJKUxijx1YBp5MrW4WaWULSBQ7ZodPF4fVMTJJH6tX5apacCbp&#10;qiqXy1XuQDFRJcoAGN8qb1kKGg7UwEwqDu8wUnqC/oIkuPNbbUxuonFsbPjNYp7oBQ1mRwNBoQ0k&#10;Dl2fadAb3aZf0s8I/e61AXYQaThobbdJL6X4C5bybQQOEy5fTWNjdVTJElEPSrRvXMviKZB/jt4N&#10;T8VY1XJmFD2zFGVkFNpcg6QijKNakvmT3Sna+fZE7RppXknTp70ASrQPoPshNSFXn3A0LFnHebDT&#10;NP55zry/H/P6J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H8EAABbQ29udGVudF9UeXBlc10ueG1sUEsBAhQACgAAAAAAh07iQAAAAAAAAAAAAAAA&#10;AAYAAAAAAAAAAAAQAAAAYQMAAF9yZWxzL1BLAQIUABQAAAAIAIdO4kCKFGY80QAAAJQBAAALAAAA&#10;AAAAAAEAIAAAAIUDAABfcmVscy8ucmVsc1BLAQIUAAoAAAAAAIdO4kAAAAAAAAAAAAAAAAAEAAAA&#10;AAAAAAAAEAAAAAAAAABkcnMvUEsBAhQAFAAAAAgAh07iQJX4TCXaAAAADQEAAA8AAAAAAAAAAQAg&#10;AAAAIgAAAGRycy9kb3ducmV2LnhtbFBLAQIUABQAAAAIAIdO4kCq5tvaDAIAABQEAAAOAAAAAAAA&#10;AAEAIAAAACkBAABkcnMvZTJvRG9jLnhtbFBLBQYAAAAABgAGAFkBAACnBQAAAAA=&#10;">
                <v:fill on="f" focussize="0,0"/>
                <v:stroke color="#0000FF" joinstyle="miter"/>
                <v:imagedata o:title=""/>
                <o:lock v:ext="edit" aspectratio="f"/>
              </v:rect>
            </w:pict>
          </mc:Fallback>
        </mc:AlternateContent>
      </w:r>
      <w:r>
        <w:drawing>
          <wp:inline distT="0" distB="0" distL="114300" distR="114300">
            <wp:extent cx="6950710" cy="4954905"/>
            <wp:effectExtent l="0" t="0" r="2540" b="17145"/>
            <wp:docPr id="169"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 name="图片 13"/>
                    <pic:cNvPicPr>
                      <a:picLocks noChangeAspect="1"/>
                    </pic:cNvPicPr>
                  </pic:nvPicPr>
                  <pic:blipFill>
                    <a:blip r:embed="rId34"/>
                    <a:stretch>
                      <a:fillRect/>
                    </a:stretch>
                  </pic:blipFill>
                  <pic:spPr>
                    <a:xfrm>
                      <a:off x="0" y="0"/>
                      <a:ext cx="6950710" cy="4954905"/>
                    </a:xfrm>
                    <a:prstGeom prst="rect">
                      <a:avLst/>
                    </a:prstGeom>
                    <a:noFill/>
                    <a:ln>
                      <a:noFill/>
                    </a:ln>
                  </pic:spPr>
                </pic:pic>
              </a:graphicData>
            </a:graphic>
          </wp:inline>
        </w:drawing>
      </w:r>
    </w:p>
    <w:p w14:paraId="1E7F79AC">
      <w:pPr>
        <w:adjustRightInd w:val="0"/>
        <w:snapToGrid w:val="0"/>
        <w:jc w:val="center"/>
      </w:pPr>
      <w:r>
        <w:rPr>
          <w:rFonts w:ascii="Times New Roman" w:hAnsi="Times New Roman" w:eastAsia="黑体" w:cs="Times New Roman"/>
        </w:rPr>
        <w:t xml:space="preserve">图1.6-1  </w:t>
      </w:r>
      <w:r>
        <w:rPr>
          <w:rFonts w:hint="eastAsia" w:ascii="Times New Roman" w:hAnsi="Times New Roman" w:eastAsia="黑体" w:cs="Times New Roman"/>
          <w:lang w:val="en-US" w:eastAsia="zh-CN"/>
        </w:rPr>
        <w:t>草河口</w:t>
      </w:r>
      <w:r>
        <w:rPr>
          <w:rFonts w:hint="eastAsia" w:ascii="Times New Roman" w:hAnsi="Times New Roman" w:eastAsia="黑体" w:cs="Times New Roman"/>
        </w:rPr>
        <w:t>镇</w:t>
      </w:r>
      <w:r>
        <w:rPr>
          <w:rFonts w:ascii="Times New Roman" w:hAnsi="Times New Roman" w:eastAsia="黑体" w:cs="Times New Roman"/>
        </w:rPr>
        <w:t>总体规划图</w:t>
      </w:r>
      <w:r>
        <w:rPr>
          <w:rFonts w:ascii="Times New Roman" w:hAnsi="Times New Roman" w:eastAsia="黑体" w:cs="Times New Roman"/>
        </w:rPr>
        <w:br w:type="page"/>
      </w:r>
      <w:r>
        <mc:AlternateContent>
          <mc:Choice Requires="wps">
            <w:drawing>
              <wp:anchor distT="0" distB="0" distL="114300" distR="114300" simplePos="0" relativeHeight="251712512" behindDoc="0" locked="0" layoutInCell="1" allowOverlap="1">
                <wp:simplePos x="0" y="0"/>
                <wp:positionH relativeFrom="column">
                  <wp:posOffset>6408420</wp:posOffset>
                </wp:positionH>
                <wp:positionV relativeFrom="paragraph">
                  <wp:posOffset>-4034155</wp:posOffset>
                </wp:positionV>
                <wp:extent cx="618490" cy="256540"/>
                <wp:effectExtent l="4445" t="4445" r="5715" b="767715"/>
                <wp:wrapNone/>
                <wp:docPr id="63" name="自选图形 4579"/>
                <wp:cNvGraphicFramePr/>
                <a:graphic xmlns:a="http://schemas.openxmlformats.org/drawingml/2006/main">
                  <a:graphicData uri="http://schemas.microsoft.com/office/word/2010/wordprocessingShape">
                    <wps:wsp>
                      <wps:cNvSpPr/>
                      <wps:spPr>
                        <a:xfrm>
                          <a:off x="0" y="0"/>
                          <a:ext cx="618490" cy="256540"/>
                        </a:xfrm>
                        <a:prstGeom prst="wedgeRectCallout">
                          <a:avLst>
                            <a:gd name="adj1" fmla="val 23921"/>
                            <a:gd name="adj2" fmla="val 333912"/>
                          </a:avLst>
                        </a:prstGeom>
                        <a:noFill/>
                        <a:ln w="9525" cap="flat" cmpd="sng">
                          <a:solidFill>
                            <a:srgbClr val="0000FF"/>
                          </a:solidFill>
                          <a:prstDash val="solid"/>
                          <a:miter/>
                          <a:headEnd type="none" w="med" len="med"/>
                          <a:tailEnd type="none" w="med" len="med"/>
                        </a:ln>
                      </wps:spPr>
                      <wps:txbx>
                        <w:txbxContent>
                          <w:p w14:paraId="026D35CF">
                            <w:pPr>
                              <w:adjustRightInd w:val="0"/>
                              <w:snapToGrid w:val="0"/>
                              <w:jc w:val="center"/>
                              <w:rPr>
                                <w:color w:val="0000FF"/>
                                <w:sz w:val="21"/>
                                <w:szCs w:val="21"/>
                              </w:rPr>
                            </w:pPr>
                            <w:r>
                              <w:rPr>
                                <w:rFonts w:hint="eastAsia"/>
                                <w:color w:val="0000FF"/>
                                <w:sz w:val="21"/>
                                <w:szCs w:val="21"/>
                              </w:rPr>
                              <w:t>本项目</w:t>
                            </w:r>
                          </w:p>
                        </w:txbxContent>
                      </wps:txbx>
                      <wps:bodyPr wrap="square" upright="1"/>
                    </wps:wsp>
                  </a:graphicData>
                </a:graphic>
              </wp:anchor>
            </w:drawing>
          </mc:Choice>
          <mc:Fallback>
            <w:pict>
              <v:shape id="自选图形 4579" o:spid="_x0000_s1026" o:spt="61" type="#_x0000_t61" style="position:absolute;left:0pt;margin-left:504.6pt;margin-top:-317.65pt;height:20.2pt;width:48.7pt;z-index:251712512;mso-width-relative:page;mso-height-relative:page;" filled="f" stroked="t" coordsize="21600,21600" o:gfxdata="UEsDBAoAAAAAAIdO4kAAAAAAAAAAAAAAAAAEAAAAZHJzL1BLAwQUAAAACACHTuJAAaJMeNwAAAAP&#10;AQAADwAAAGRycy9kb3ducmV2LnhtbE2PQW6DMBBF95V6B2sqdZfYhIACxWTRqlIqdVPCAQxMABWP&#10;ke2EpKevs2qXf+bpz5tif9UTu6B1oyEJ0VoAQ2pNN1IvoT6+r3bAnFfUqckQSrihg335+FCovDML&#10;feGl8j0LJeRyJWHwfs45d+2AWrm1mZHC7mSsVj5E2/POqiWU64lvhEi5ViOFC4Oa8XXA9rs6awnx&#10;AT+PP8kpW24f3B62Vf3mmlrK56dIvADzePV/MNz1gzqUwakxZ+ocm0IWItsEVsIqjZMY2J2JRJoC&#10;a8IsybYZ8LLg//8ofwFQSwMEFAAAAAgAh07iQA++TG9DAgAAdQQAAA4AAABkcnMvZTJvRG9jLnht&#10;bK1US5LTMBDdU8UdVNoTx86HSSrOLCaEDQVTDBxAkWRblH5ISuzs2FGcgd0suQPcZqrgFrRkkxmG&#10;TRZk4bSs1uv3Xre8uuyURAfuvDC6xPlojBHX1DCh6xK/f7d9doGRD0QzIo3mJT5yjy/XT5+sWrvk&#10;hWmMZNwhANF+2doSNyHYZZZ52nBF/MhYrmGzMk6RAEtXZ8yRFtCVzIrxeJ61xjHrDOXew9tNv4kH&#10;RHcOoKkqQfnG0L3iOvSojksSQJJvhPV4ndhWFafhTVV5HpAsMSgN6QlFIN7FZ7ZekWXtiG0EHSiQ&#10;cyg80qSI0FD0BLUhgaC9E/9AKUGd8aYKI2pU1gtJjoCKfPzIm5uGWJ60gNXenkz3/w+Wvj5cOyRY&#10;iecTjDRR0PGfn7/9+vTl7uuPu++3aDp7vogutdYvIfnGXrth5SGMkrvKqfgPYlCXnD2enOVdQBRe&#10;zvOL6QI8p7BVzOazaXI+uz9snQ8vuVEoBiVuOav5W+jeFZHS7EPylhxe+ZBMZgNTwj7kGFVKQs8O&#10;RKJisijyoacPcoqHOZPJZJEXMQnKD5AQ/SEQ8bXZCinTaEiN2hIvZsUMyBMY9wrGDEJlwTKv60TM&#10;GylYPBIPe1fvrqRDwAdsgN92OxT7Ky3W2xDf9HlpqyeuROAu1W44YS80Q+FooSsabiOOZBRnGEkO&#10;lzdGKTMQIc/JBJ1Sg/DYzL59MQrdrgOYGO4MO8I8tHAhQN7HPXFQc2+dqBvoSrI2HYZpTP4NNyeO&#10;+8N1KnH/tVj/Bl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LgEAABbQ29udGVudF9UeXBlc10ueG1sUEsBAhQACgAAAAAAh07iQAAAAAAAAAAAAAAA&#10;AAYAAAAAAAAAAAAQAAAAmgMAAF9yZWxzL1BLAQIUABQAAAAIAIdO4kCKFGY80QAAAJQBAAALAAAA&#10;AAAAAAEAIAAAAL4DAABfcmVscy8ucmVsc1BLAQIUAAoAAAAAAIdO4kAAAAAAAAAAAAAAAAAEAAAA&#10;AAAAAAAAEAAAAAAAAABkcnMvUEsBAhQAFAAAAAgAh07iQAGiTHjcAAAADwEAAA8AAAAAAAAAAQAg&#10;AAAAIgAAAGRycy9kb3ducmV2LnhtbFBLAQIUABQAAAAIAIdO4kAPvkxvQwIAAHUEAAAOAAAAAAAA&#10;AAEAIAAAACsBAABkcnMvZTJvRG9jLnhtbFBLBQYAAAAABgAGAFkBAADgBQAAAAA=&#10;" adj="15967,82925">
                <v:fill on="f" focussize="0,0"/>
                <v:stroke color="#0000FF" joinstyle="miter"/>
                <v:imagedata o:title=""/>
                <o:lock v:ext="edit" aspectratio="f"/>
                <v:textbox>
                  <w:txbxContent>
                    <w:p w14:paraId="026D35CF">
                      <w:pPr>
                        <w:adjustRightInd w:val="0"/>
                        <w:snapToGrid w:val="0"/>
                        <w:jc w:val="center"/>
                        <w:rPr>
                          <w:color w:val="0000FF"/>
                          <w:sz w:val="21"/>
                          <w:szCs w:val="21"/>
                        </w:rPr>
                      </w:pPr>
                      <w:r>
                        <w:rPr>
                          <w:rFonts w:hint="eastAsia"/>
                          <w:color w:val="0000FF"/>
                          <w:sz w:val="21"/>
                          <w:szCs w:val="21"/>
                        </w:rPr>
                        <w:t>本项目</w:t>
                      </w:r>
                    </w:p>
                  </w:txbxContent>
                </v:textbox>
              </v:shape>
            </w:pict>
          </mc:Fallback>
        </mc:AlternateContent>
      </w:r>
      <w:r>
        <mc:AlternateContent>
          <mc:Choice Requires="wps">
            <w:drawing>
              <wp:anchor distT="0" distB="0" distL="114300" distR="114300" simplePos="0" relativeHeight="251713536" behindDoc="0" locked="0" layoutInCell="1" allowOverlap="1">
                <wp:simplePos x="0" y="0"/>
                <wp:positionH relativeFrom="column">
                  <wp:posOffset>6824345</wp:posOffset>
                </wp:positionH>
                <wp:positionV relativeFrom="paragraph">
                  <wp:posOffset>-3055620</wp:posOffset>
                </wp:positionV>
                <wp:extent cx="111760" cy="68580"/>
                <wp:effectExtent l="16510" t="31115" r="24130" b="33655"/>
                <wp:wrapNone/>
                <wp:docPr id="64" name="矩形 4580"/>
                <wp:cNvGraphicFramePr/>
                <a:graphic xmlns:a="http://schemas.openxmlformats.org/drawingml/2006/main">
                  <a:graphicData uri="http://schemas.microsoft.com/office/word/2010/wordprocessingShape">
                    <wps:wsp>
                      <wps:cNvSpPr/>
                      <wps:spPr>
                        <a:xfrm rot="1955555">
                          <a:off x="0" y="0"/>
                          <a:ext cx="111760" cy="68580"/>
                        </a:xfrm>
                        <a:prstGeom prst="rect">
                          <a:avLst/>
                        </a:prstGeom>
                        <a:noFill/>
                        <a:ln w="9525" cap="flat" cmpd="sng">
                          <a:solidFill>
                            <a:srgbClr val="0000FF"/>
                          </a:solidFill>
                          <a:prstDash val="solid"/>
                          <a:miter/>
                          <a:headEnd type="none" w="med" len="med"/>
                          <a:tailEnd type="none" w="med" len="med"/>
                        </a:ln>
                      </wps:spPr>
                      <wps:bodyPr wrap="square" upright="1"/>
                    </wps:wsp>
                  </a:graphicData>
                </a:graphic>
              </wp:anchor>
            </w:drawing>
          </mc:Choice>
          <mc:Fallback>
            <w:pict>
              <v:rect id="矩形 4580" o:spid="_x0000_s1026" o:spt="1" style="position:absolute;left:0pt;margin-left:537.35pt;margin-top:-240.6pt;height:5.4pt;width:8.8pt;rotation:2135988f;z-index:251713536;mso-width-relative:page;mso-height-relative:page;" filled="f" stroked="t" coordsize="21600,21600" o:gfxdata="UEsDBAoAAAAAAIdO4kAAAAAAAAAAAAAAAAAEAAAAZHJzL1BLAwQUAAAACACHTuJAcvZG4NoAAAAP&#10;AQAADwAAAGRycy9kb3ducmV2LnhtbE2PwU7DMAyG70i8Q2QkLtOWpKvoKE0nNIkT4sAG96wxbbXE&#10;qZqs296e9ATH3/70+3O1vTrLJhxD70mBXAlgSI03PbUKvg5vyw2wEDUZbT2hghsG2Nb3d5Uujb/Q&#10;J0772LJUQqHUCroYh5Lz0HTodFj5ASntfvzodExxbLkZ9SWVO8szIZ640z2lC50ecNdhc9qfnYLi&#10;+5XvbouB5PviJDN7+JjW2ij1+CDFC7CI1/gHw6yf1KFOTkd/JhOYTVkUeZFYBct8IzNgMyOeszWw&#10;4zwrRA68rvj/P+pfUEsDBBQAAAAIAIdO4kDSInnHCgIAABMEAAAOAAAAZHJzL2Uyb0RvYy54bWyt&#10;U82O0zAQviPxDpbvNE21Ld2o6R4o5YJgpV0ewHWcxJL/mHGb9mmQuPEQPA7iNRg7pQvLpQd8sMbx&#10;l2/m+2a8ujtaww4KUHtX83Iy5Uw56Rvtupp/ety+WnKGUbhGGO9UzU8K+d365YvVECo18703jQJG&#10;JA6rIdS8jzFURYGyV1bgxAfl6LL1YEWkI3RFA2IgdmuK2XS6KAYPTQAvFSJ93YyX/MwI1xD6ttVS&#10;bbzcW+XiyArKiEiSsNcB+TpX27ZKxo9tiyoyU3NSGvNOSSjepb1Yr0TVgQi9lucSxDUlPNNkhXaU&#10;9EK1EVGwPeh/qKyW4NG3cSK9LUYh2RFSUU6fefPQi6CyFrIaw8V0/H+08sPhHphuar644cwJSx3/&#10;+eXbj+9f2c18mf0ZAlYEewj3QG6lE1KYxB5bsAw8mVreztPKFpAodswOny4Oq2Nkkj6WZfl6Qd5L&#10;uloszwmKkSkxBsD4TnnLUlBzoP5lTnF4j5GyE/Q3JMGd32pjcg+NY0PNb+ezObELmsuW5oFCG0gb&#10;ui7ToDe6Sb+knxG63RsD7CDSbNDabtM4UIq/YCnfRmA/4vLVODVWR5UcEVWvRPPWNSyeAtnn6Nnw&#10;VIxVDWdG0StLUUZGoc01SCrCOKrlye0U7Xxzom4NNK6k6fNeACXaB9Bdn3qQq084mpWs4zzXaRj/&#10;PGfep7e8/gV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By9kbg2gAAAA8BAAAPAAAAAAAAAAEAIAAA&#10;ACIAAABkcnMvZG93bnJldi54bWxQSwECFAAUAAAACACHTuJA0iJ5xwoCAAATBAAADgAAAAAAAAAB&#10;ACAAAAApAQAAZHJzL2Uyb0RvYy54bWxQSwUGAAAAAAYABgBZAQAApQUAAAAA&#10;">
                <v:fill on="f" focussize="0,0"/>
                <v:stroke color="#0000FF" joinstyle="miter"/>
                <v:imagedata o:title=""/>
                <o:lock v:ext="edit" aspectratio="f"/>
              </v:rect>
            </w:pict>
          </mc:Fallback>
        </mc:AlternateContent>
      </w:r>
      <w:r>
        <w:rPr>
          <w:sz w:val="24"/>
        </w:rPr>
        <mc:AlternateContent>
          <mc:Choice Requires="wps">
            <w:drawing>
              <wp:anchor distT="0" distB="0" distL="114300" distR="114300" simplePos="0" relativeHeight="251719680" behindDoc="0" locked="0" layoutInCell="1" allowOverlap="1">
                <wp:simplePos x="0" y="0"/>
                <wp:positionH relativeFrom="column">
                  <wp:posOffset>3006725</wp:posOffset>
                </wp:positionH>
                <wp:positionV relativeFrom="paragraph">
                  <wp:posOffset>1356360</wp:posOffset>
                </wp:positionV>
                <wp:extent cx="1038860" cy="407035"/>
                <wp:effectExtent l="40640" t="6350" r="6350" b="215265"/>
                <wp:wrapNone/>
                <wp:docPr id="172" name="矩形标注 172"/>
                <wp:cNvGraphicFramePr/>
                <a:graphic xmlns:a="http://schemas.openxmlformats.org/drawingml/2006/main">
                  <a:graphicData uri="http://schemas.microsoft.com/office/word/2010/wordprocessingShape">
                    <wps:wsp>
                      <wps:cNvSpPr/>
                      <wps:spPr>
                        <a:xfrm>
                          <a:off x="0" y="0"/>
                          <a:ext cx="1038860" cy="407035"/>
                        </a:xfrm>
                        <a:prstGeom prst="wedgeRectCallout">
                          <a:avLst>
                            <a:gd name="adj1" fmla="val -53300"/>
                            <a:gd name="adj2" fmla="val 99453"/>
                          </a:avLst>
                        </a:prstGeom>
                        <a:solidFill>
                          <a:schemeClr val="bg1"/>
                        </a:solidFill>
                        <a:ln w="12700">
                          <a:solidFill>
                            <a:schemeClr val="tx1"/>
                          </a:solidFill>
                        </a:ln>
                      </wps:spPr>
                      <wps:style>
                        <a:lnRef idx="2">
                          <a:schemeClr val="accent1">
                            <a:lumMod val="75000"/>
                          </a:schemeClr>
                        </a:lnRef>
                        <a:fillRef idx="1">
                          <a:schemeClr val="accent1"/>
                        </a:fillRef>
                        <a:effectRef idx="0">
                          <a:srgbClr val="FFFFFF"/>
                        </a:effectRef>
                        <a:fontRef idx="minor">
                          <a:schemeClr val="lt1"/>
                        </a:fontRef>
                      </wps:style>
                      <wps:txbx>
                        <w:txbxContent>
                          <w:p w14:paraId="18800D42">
                            <w:pPr>
                              <w:jc w:val="both"/>
                              <w:rPr>
                                <w:rFonts w:hint="default" w:eastAsia="宋体"/>
                                <w:color w:val="000000" w:themeColor="text1"/>
                                <w:sz w:val="21"/>
                                <w:szCs w:val="21"/>
                                <w:lang w:val="en-US" w:eastAsia="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本项目所在地</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61" type="#_x0000_t61" style="position:absolute;left:0pt;margin-left:236.75pt;margin-top:106.8pt;height:32.05pt;width:81.8pt;z-index:251719680;v-text-anchor:middle;mso-width-relative:page;mso-height-relative:page;" fillcolor="#FFFFFF [3212]" filled="t" stroked="t" coordsize="21600,21600" o:gfxdata="UEsDBAoAAAAAAIdO4kAAAAAAAAAAAAAAAAAEAAAAZHJzL1BLAwQUAAAACACHTuJAyPWAYNoAAAAL&#10;AQAADwAAAGRycy9kb3ducmV2LnhtbE2PTU/DMAyG70j8h8hI3FjalbVQmu6A4DJx2QcS3LLGtB2N&#10;UyVZN/79zAmOth+9ft5qebaDmNCH3pGCdJaAQGqc6alVsNu+3j2ACFGT0YMjVPCDAZb19VWlS+NO&#10;tMZpE1vBIRRKraCLcSylDE2HVoeZG5H49uW81ZFH30rj9YnD7SDnSZJLq3viD50e8bnD5ntztArW&#10;sV+FabX9OHziy+OB3t92vglK3d6kyROIiOf4B8OvPqtDzU57dyQTxKDgvsgWjCqYp1kOgok8K1IQ&#10;e94URQGyruT/DvUFUEsDBBQAAAAIAIdO4kAx39XVpAIAAFAFAAAOAAAAZHJzL2Uyb0RvYy54bWyt&#10;VM1uEzEQviPxDpbv7W7+mjbqpooSBSFVtKIgzo7Xm13ktY3tZFNegMcAcYIzZx6H8hp89m7btPTA&#10;gT14Zzzjb2a+8fj0bFdLshXWVVpltHeYUiIU13ml1hl9+2Z5cEyJ80zlTGolMnotHD2bPn922piJ&#10;6OtSy1xYAhDlJo3JaOm9mSSJ46WomTvURigYC21r5qHadZJb1gC9lkk/TY+SRtvcWM2Fc9hdtEba&#10;Idp/AdRFUXGx0HxTC+VbVCsk8yjJlZVxdBqzLQrB/UVROOGJzCgq9XFFEMirsCbTUzZZW2bKincp&#10;sH9J4VFNNasUgt5BLZhnZGOrv6DqilvtdOEPua6TtpDICKropY+4uSqZEbEWUO3MHenu/8HyV9tL&#10;S6ocN2Hcp0SxGi3//fn7r59fb758uvnxjYR9sNQYN4Hzlbm0neYghpJ3ha3DH8WQXWT2+o5ZsfOE&#10;Y7OXDo6Pj0A6h22YjtPBKIAm96eNdf6F0DUJQkYbka/Fa7RvzqTUGx/JZdtz5yPLeZcpy9/3KClq&#10;iaZtmSQHo8Egve3qnhNKu3c6ORmOBl34DhKJ3CYQ8J2WVb6spIyKXa/m0hLgZ3QZv+7wAzepSINC&#10;+2PEJ5xhMgrcSIi1AbtOrSlhco2R497Gah6cdvtB0vg9FSQkuWCubJOJCJ2bVKAzNKltS5D8brXr&#10;erXS+TX6bHU7AM7wZQWoc+b8JbMgDznjTfAXWAqpUYjuJEpKbT8+tR/8cRFhpaTBBKHIDxtmBSXy&#10;pcIVPekNh4D1URmOxn0odt+y2reoTT3XIBjtRHZRDP5e3oqF1fU7PB2zEBUmpjhit3R2yty3k43H&#10;h4vZLLphzAzz5+rK8AAeGqr0bON1UflwAwNRLTudgkGLF7N7FMIk7+vR6/4hnP4B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FwUAAFtDb250ZW50&#10;X1R5cGVzXS54bWxQSwECFAAKAAAAAACHTuJAAAAAAAAAAAAAAAAABgAAAAAAAAAAABAAAAD5AwAA&#10;X3JlbHMvUEsBAhQAFAAAAAgAh07iQIoUZjzRAAAAlAEAAAsAAAAAAAAAAQAgAAAAHQQAAF9yZWxz&#10;Ly5yZWxzUEsBAhQACgAAAAAAh07iQAAAAAAAAAAAAAAAAAQAAAAAAAAAAAAQAAAAAAAAAGRycy9Q&#10;SwECFAAUAAAACACHTuJAyPWAYNoAAAALAQAADwAAAAAAAAABACAAAAAiAAAAZHJzL2Rvd25yZXYu&#10;eG1sUEsBAhQAFAAAAAgAh07iQDHf1dWkAgAAUAUAAA4AAAAAAAAAAQAgAAAAKQEAAGRycy9lMm9E&#10;b2MueG1sUEsFBgAAAAAGAAYAWQEAAD8GAAAAAA==&#10;" adj="-713,32282">
                <v:fill on="t" focussize="0,0"/>
                <v:stroke weight="1pt" color="#000000 [3213]" joinstyle="round"/>
                <v:imagedata o:title=""/>
                <o:lock v:ext="edit" aspectratio="f"/>
                <v:textbox>
                  <w:txbxContent>
                    <w:p w14:paraId="18800D42">
                      <w:pPr>
                        <w:jc w:val="both"/>
                        <w:rPr>
                          <w:rFonts w:hint="default" w:eastAsia="宋体"/>
                          <w:color w:val="000000" w:themeColor="text1"/>
                          <w:sz w:val="21"/>
                          <w:szCs w:val="21"/>
                          <w:lang w:val="en-US" w:eastAsia="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本项目所在地</w:t>
                      </w:r>
                    </w:p>
                  </w:txbxContent>
                </v:textbox>
              </v:shape>
            </w:pict>
          </mc:Fallback>
        </mc:AlternateContent>
      </w:r>
      <w:r>
        <w:drawing>
          <wp:inline distT="0" distB="0" distL="114300" distR="114300">
            <wp:extent cx="7099300" cy="5038090"/>
            <wp:effectExtent l="0" t="0" r="6350" b="10160"/>
            <wp:docPr id="171"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 name="图片 14"/>
                    <pic:cNvPicPr>
                      <a:picLocks noChangeAspect="1"/>
                    </pic:cNvPicPr>
                  </pic:nvPicPr>
                  <pic:blipFill>
                    <a:blip r:embed="rId35"/>
                    <a:stretch>
                      <a:fillRect/>
                    </a:stretch>
                  </pic:blipFill>
                  <pic:spPr>
                    <a:xfrm>
                      <a:off x="0" y="0"/>
                      <a:ext cx="7099300" cy="5038090"/>
                    </a:xfrm>
                    <a:prstGeom prst="rect">
                      <a:avLst/>
                    </a:prstGeom>
                    <a:noFill/>
                    <a:ln>
                      <a:noFill/>
                    </a:ln>
                  </pic:spPr>
                </pic:pic>
              </a:graphicData>
            </a:graphic>
          </wp:inline>
        </w:drawing>
      </w:r>
    </w:p>
    <w:p w14:paraId="5B319AB0">
      <w:pPr>
        <w:adjustRightInd w:val="0"/>
        <w:snapToGrid w:val="0"/>
        <w:jc w:val="center"/>
        <w:rPr>
          <w:rFonts w:ascii="Times New Roman" w:hAnsi="Times New Roman" w:eastAsia="黑体" w:cs="Times New Roman"/>
        </w:rPr>
      </w:pPr>
      <w:r>
        <w:rPr>
          <w:rFonts w:ascii="Times New Roman" w:hAnsi="Times New Roman" w:eastAsia="黑体" w:cs="Times New Roman"/>
        </w:rPr>
        <w:t xml:space="preserve">图1.6-2  </w:t>
      </w:r>
      <w:r>
        <w:rPr>
          <w:rFonts w:hint="eastAsia" w:ascii="Times New Roman" w:hAnsi="Times New Roman" w:eastAsia="黑体" w:cs="Times New Roman"/>
          <w:lang w:val="en-US" w:eastAsia="zh-CN"/>
        </w:rPr>
        <w:t>草河口</w:t>
      </w:r>
      <w:r>
        <w:rPr>
          <w:rFonts w:hint="eastAsia" w:ascii="Times New Roman" w:hAnsi="Times New Roman" w:eastAsia="黑体" w:cs="Times New Roman"/>
        </w:rPr>
        <w:t>镇</w:t>
      </w:r>
      <w:r>
        <w:rPr>
          <w:rFonts w:ascii="Times New Roman" w:hAnsi="Times New Roman" w:eastAsia="黑体" w:cs="Times New Roman"/>
        </w:rPr>
        <w:t>总体规划图</w:t>
      </w:r>
    </w:p>
    <w:p w14:paraId="4E97AAF7">
      <w:pPr>
        <w:adjustRightInd w:val="0"/>
        <w:snapToGrid w:val="0"/>
        <w:jc w:val="center"/>
        <w:rPr>
          <w:rFonts w:ascii="Times New Roman" w:hAnsi="Times New Roman" w:eastAsia="黑体" w:cs="Times New Roman"/>
        </w:rPr>
        <w:sectPr>
          <w:pgSz w:w="16840" w:h="11907" w:orient="landscape"/>
          <w:pgMar w:top="1701" w:right="1701" w:bottom="1701" w:left="1701" w:header="851" w:footer="1077" w:gutter="0"/>
          <w:pgBorders w:offsetFrom="page">
            <w:top w:val="none" w:sz="0" w:space="0"/>
            <w:left w:val="none" w:sz="0" w:space="0"/>
            <w:bottom w:val="none" w:sz="0" w:space="0"/>
            <w:right w:val="none" w:sz="0" w:space="0"/>
          </w:pgBorders>
          <w:pgNumType w:fmt="decimal"/>
          <w:cols w:space="720" w:num="1"/>
          <w:docGrid w:type="lines" w:linePitch="479" w:charSpace="0"/>
        </w:sectPr>
      </w:pPr>
    </w:p>
    <w:p w14:paraId="52939B29">
      <w:pPr>
        <w:pStyle w:val="7"/>
      </w:pPr>
      <w:bookmarkStart w:id="146" w:name="_Toc151276133"/>
      <w:bookmarkStart w:id="147" w:name="_Toc151200085"/>
      <w:bookmarkStart w:id="148" w:name="_Toc151200245"/>
      <w:bookmarkStart w:id="149" w:name="_Toc151258714"/>
      <w:bookmarkStart w:id="150" w:name="_Toc90026206"/>
      <w:bookmarkStart w:id="151" w:name="_Toc3338"/>
      <w:r>
        <w:t xml:space="preserve">1.6.5 </w:t>
      </w:r>
      <w:bookmarkEnd w:id="146"/>
      <w:bookmarkEnd w:id="147"/>
      <w:bookmarkEnd w:id="148"/>
      <w:bookmarkEnd w:id="149"/>
      <w:r>
        <w:t>环保管理政策符合性分析</w:t>
      </w:r>
      <w:bookmarkEnd w:id="150"/>
      <w:bookmarkEnd w:id="151"/>
    </w:p>
    <w:p w14:paraId="360D369B">
      <w:pPr>
        <w:pStyle w:val="133"/>
      </w:pPr>
      <w:r>
        <w:t>1.6.5.1 打好污染防治攻坚战符合性分析</w:t>
      </w:r>
    </w:p>
    <w:p w14:paraId="2B0DE080">
      <w:pPr>
        <w:spacing w:line="500" w:lineRule="exact"/>
        <w:ind w:firstLine="480" w:firstLineChars="200"/>
        <w:rPr>
          <w:rFonts w:ascii="Times New Roman" w:hAnsi="Times New Roman" w:cs="Times New Roman"/>
        </w:rPr>
      </w:pPr>
      <w:r>
        <w:rPr>
          <w:rFonts w:ascii="Times New Roman" w:hAnsi="Times New Roman" w:cs="Times New Roman"/>
        </w:rPr>
        <w:t>本项目符合国家、地方“打好污染防治攻坚战”的相关要求，符合性分析见表1.6-</w:t>
      </w:r>
      <w:r>
        <w:rPr>
          <w:rFonts w:hint="eastAsia" w:ascii="Times New Roman" w:hAnsi="Times New Roman" w:cs="Times New Roman"/>
        </w:rPr>
        <w:t>3</w:t>
      </w:r>
      <w:r>
        <w:rPr>
          <w:rFonts w:ascii="Times New Roman" w:hAnsi="Times New Roman" w:cs="Times New Roman"/>
        </w:rPr>
        <w:t>。</w:t>
      </w:r>
    </w:p>
    <w:p w14:paraId="0E472D88">
      <w:pPr>
        <w:pStyle w:val="133"/>
      </w:pPr>
      <w:r>
        <w:t>1.6.5.</w:t>
      </w:r>
      <w:r>
        <w:rPr>
          <w:rFonts w:hint="eastAsia"/>
          <w:lang w:val="en-US" w:eastAsia="zh-CN"/>
        </w:rPr>
        <w:t>2</w:t>
      </w:r>
      <w:r>
        <w:t xml:space="preserve"> 与“三线一单”符合性分析</w:t>
      </w:r>
    </w:p>
    <w:p w14:paraId="007C1B28">
      <w:pPr>
        <w:spacing w:line="500" w:lineRule="exact"/>
        <w:ind w:firstLine="480" w:firstLineChars="200"/>
        <w:rPr>
          <w:rFonts w:ascii="Times New Roman" w:hAnsi="Times New Roman" w:cs="Times New Roman"/>
          <w:highlight w:val="yellow"/>
        </w:rPr>
      </w:pPr>
      <w:r>
        <w:rPr>
          <w:rFonts w:hint="eastAsia" w:eastAsia="宋体"/>
        </w:rPr>
        <w:t>《关于&lt;本溪市生态环境分区管控成果动态更新&gt;的通知》已经市政府常务会第80次同意通过（2024年12月11日），根据文件，本溪市将环境管控单元划分为优先保护单元、重点管控单元和一般管控单元三类</w:t>
      </w:r>
      <w:r>
        <w:rPr>
          <w:rFonts w:hint="eastAsia" w:eastAsia="宋体"/>
          <w:highlight w:val="none"/>
        </w:rPr>
        <w:t>。根据查询，本项目所在位置属于本溪满族</w:t>
      </w:r>
      <w:r>
        <w:rPr>
          <w:rFonts w:hint="eastAsia" w:eastAsia="宋体"/>
          <w:highlight w:val="none"/>
          <w:lang w:val="en-US" w:eastAsia="zh-CN"/>
        </w:rPr>
        <w:t>自治县</w:t>
      </w:r>
      <w:r>
        <w:rPr>
          <w:rFonts w:hint="eastAsia" w:eastAsia="宋体"/>
          <w:highlight w:val="none"/>
        </w:rPr>
        <w:t>一般</w:t>
      </w:r>
      <w:r>
        <w:rPr>
          <w:rFonts w:hint="eastAsia" w:eastAsia="宋体"/>
          <w:highlight w:val="none"/>
          <w:lang w:val="en-US" w:eastAsia="zh-CN"/>
        </w:rPr>
        <w:t>管控</w:t>
      </w:r>
      <w:r>
        <w:rPr>
          <w:rFonts w:hint="eastAsia" w:eastAsia="宋体"/>
          <w:highlight w:val="none"/>
        </w:rPr>
        <w:t>单元（ZH21052130050）。</w:t>
      </w:r>
      <w:r>
        <w:rPr>
          <w:rFonts w:ascii="Times New Roman" w:hAnsi="Times New Roman" w:cs="Times New Roman"/>
          <w:highlight w:val="none"/>
        </w:rPr>
        <w:t>本项目建设符合</w:t>
      </w:r>
      <w:r>
        <w:rPr>
          <w:rFonts w:hint="eastAsia" w:ascii="Times New Roman" w:hAnsi="Times New Roman" w:cs="Times New Roman"/>
          <w:highlight w:val="none"/>
          <w:lang w:val="en-US" w:eastAsia="zh-CN"/>
        </w:rPr>
        <w:t>本溪</w:t>
      </w:r>
      <w:r>
        <w:rPr>
          <w:rFonts w:ascii="Times New Roman" w:hAnsi="Times New Roman" w:cs="Times New Roman"/>
          <w:highlight w:val="none"/>
        </w:rPr>
        <w:t>市生态环境准入清单要求，具体分析见表1.6-</w:t>
      </w:r>
      <w:r>
        <w:rPr>
          <w:rFonts w:hint="eastAsia" w:ascii="Times New Roman" w:hAnsi="Times New Roman" w:cs="Times New Roman"/>
          <w:highlight w:val="none"/>
          <w:lang w:val="en-US" w:eastAsia="zh-CN"/>
        </w:rPr>
        <w:t>2</w:t>
      </w:r>
      <w:r>
        <w:rPr>
          <w:rFonts w:ascii="Times New Roman" w:hAnsi="Times New Roman" w:cs="Times New Roman"/>
          <w:highlight w:val="none"/>
        </w:rPr>
        <w:t>。</w:t>
      </w:r>
    </w:p>
    <w:p w14:paraId="461615A7">
      <w:pPr>
        <w:pStyle w:val="3"/>
        <w:numPr>
          <w:ilvl w:val="0"/>
          <w:numId w:val="0"/>
        </w:numPr>
        <w:ind w:leftChars="100" w:right="0" w:rightChars="0"/>
        <w:jc w:val="center"/>
      </w:pPr>
      <w:r>
        <w:rPr>
          <w:rFonts w:hint="eastAsia"/>
        </w:rPr>
        <w:t>表</w:t>
      </w:r>
      <w:r>
        <w:rPr>
          <w:rFonts w:ascii="Times New Roman" w:hAnsi="Times New Roman" w:cs="Times New Roman"/>
          <w:highlight w:val="none"/>
        </w:rPr>
        <w:t>1.6-</w:t>
      </w:r>
      <w:r>
        <w:rPr>
          <w:rFonts w:hint="eastAsia" w:hAnsi="Times New Roman" w:cs="Times New Roman"/>
          <w:highlight w:val="none"/>
          <w:lang w:val="en-US" w:eastAsia="zh-CN"/>
        </w:rPr>
        <w:t>2</w:t>
      </w:r>
      <w:r>
        <w:rPr>
          <w:rFonts w:hint="eastAsia"/>
        </w:rPr>
        <w:t xml:space="preserve"> </w:t>
      </w:r>
      <w:r>
        <w:t xml:space="preserve">  </w:t>
      </w:r>
      <w:r>
        <w:rPr>
          <w:rFonts w:hint="eastAsia"/>
        </w:rPr>
        <w:t xml:space="preserve"> 项目情况与管控单元具体要求符合性分析一览表</w:t>
      </w:r>
    </w:p>
    <w:tbl>
      <w:tblPr>
        <w:tblStyle w:val="57"/>
        <w:tblW w:w="4996" w:type="pct"/>
        <w:tblInd w:w="0" w:type="dxa"/>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23"/>
        <w:gridCol w:w="985"/>
        <w:gridCol w:w="3304"/>
        <w:gridCol w:w="2999"/>
        <w:gridCol w:w="903"/>
      </w:tblGrid>
      <w:tr w14:paraId="01ECC1AE">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00" w:type="pct"/>
            <w:tcBorders>
              <w:top w:val="single" w:color="000000" w:sz="12" w:space="0"/>
              <w:left w:val="nil"/>
              <w:tl2br w:val="nil"/>
            </w:tcBorders>
            <w:shd w:val="clear" w:color="auto" w:fill="FFFFFF"/>
            <w:vAlign w:val="center"/>
          </w:tcPr>
          <w:p w14:paraId="584970CC">
            <w:pPr>
              <w:widowControl w:val="0"/>
              <w:overflowPunct w:val="0"/>
              <w:spacing w:line="240" w:lineRule="auto"/>
              <w:ind w:firstLine="0" w:firstLineChars="0"/>
              <w:jc w:val="center"/>
              <w:rPr>
                <w:rFonts w:eastAsia="宋体" w:cs="宋体"/>
                <w:snapToGrid w:val="0"/>
                <w:color w:val="000000" w:themeColor="text1"/>
                <w:spacing w:val="-3"/>
                <w:kern w:val="0"/>
                <w:sz w:val="21"/>
                <w14:textFill>
                  <w14:solidFill>
                    <w14:schemeClr w14:val="tx1"/>
                  </w14:solidFill>
                </w14:textFill>
              </w:rPr>
            </w:pPr>
            <w:r>
              <w:rPr>
                <w:rFonts w:eastAsia="宋体" w:cs="宋体"/>
                <w:color w:val="000000" w:themeColor="text1"/>
                <w:spacing w:val="-3"/>
                <w:sz w:val="21"/>
                <w14:textFill>
                  <w14:solidFill>
                    <w14:schemeClr w14:val="tx1"/>
                  </w14:solidFill>
                </w14:textFill>
              </w:rPr>
              <w:t>序号</w:t>
            </w:r>
          </w:p>
        </w:tc>
        <w:tc>
          <w:tcPr>
            <w:tcW w:w="565" w:type="pct"/>
            <w:tcBorders>
              <w:top w:val="single" w:color="000000" w:sz="12" w:space="0"/>
            </w:tcBorders>
            <w:shd w:val="clear" w:color="auto" w:fill="FFFFFF"/>
            <w:vAlign w:val="center"/>
          </w:tcPr>
          <w:p w14:paraId="14793235">
            <w:pPr>
              <w:widowControl w:val="0"/>
              <w:overflowPunct w:val="0"/>
              <w:spacing w:line="240" w:lineRule="auto"/>
              <w:ind w:firstLine="0" w:firstLineChars="0"/>
              <w:jc w:val="center"/>
              <w:rPr>
                <w:rFonts w:eastAsia="宋体" w:cs="宋体"/>
                <w:snapToGrid w:val="0"/>
                <w:color w:val="000000" w:themeColor="text1"/>
                <w:spacing w:val="-3"/>
                <w:kern w:val="0"/>
                <w:sz w:val="21"/>
                <w14:textFill>
                  <w14:solidFill>
                    <w14:schemeClr w14:val="tx1"/>
                  </w14:solidFill>
                </w14:textFill>
              </w:rPr>
            </w:pPr>
            <w:r>
              <w:rPr>
                <w:rFonts w:eastAsia="宋体" w:cs="宋体"/>
                <w:color w:val="000000" w:themeColor="text1"/>
                <w:spacing w:val="-3"/>
                <w:sz w:val="21"/>
                <w14:textFill>
                  <w14:solidFill>
                    <w14:schemeClr w14:val="tx1"/>
                  </w14:solidFill>
                </w14:textFill>
              </w:rPr>
              <w:t>管控类别</w:t>
            </w:r>
          </w:p>
        </w:tc>
        <w:tc>
          <w:tcPr>
            <w:tcW w:w="1895" w:type="pct"/>
            <w:tcBorders>
              <w:top w:val="single" w:color="000000" w:sz="12" w:space="0"/>
            </w:tcBorders>
            <w:shd w:val="clear" w:color="auto" w:fill="FFFFFF"/>
            <w:vAlign w:val="center"/>
          </w:tcPr>
          <w:p w14:paraId="0887C48B">
            <w:pPr>
              <w:widowControl w:val="0"/>
              <w:overflowPunct w:val="0"/>
              <w:spacing w:line="240" w:lineRule="auto"/>
              <w:ind w:firstLine="0" w:firstLineChars="0"/>
              <w:jc w:val="center"/>
              <w:rPr>
                <w:rFonts w:eastAsia="宋体" w:cs="宋体"/>
                <w:snapToGrid w:val="0"/>
                <w:color w:val="000000" w:themeColor="text1"/>
                <w:spacing w:val="-3"/>
                <w:kern w:val="0"/>
                <w:sz w:val="21"/>
                <w14:textFill>
                  <w14:solidFill>
                    <w14:schemeClr w14:val="tx1"/>
                  </w14:solidFill>
                </w14:textFill>
              </w:rPr>
            </w:pPr>
            <w:r>
              <w:rPr>
                <w:rFonts w:eastAsia="宋体" w:cs="宋体"/>
                <w:color w:val="000000" w:themeColor="text1"/>
                <w:spacing w:val="-3"/>
                <w:sz w:val="21"/>
                <w14:textFill>
                  <w14:solidFill>
                    <w14:schemeClr w14:val="tx1"/>
                  </w14:solidFill>
                </w14:textFill>
              </w:rPr>
              <w:t>内容</w:t>
            </w:r>
          </w:p>
        </w:tc>
        <w:tc>
          <w:tcPr>
            <w:tcW w:w="1720" w:type="pct"/>
            <w:tcBorders>
              <w:top w:val="single" w:color="000000" w:sz="12" w:space="0"/>
            </w:tcBorders>
            <w:shd w:val="clear" w:color="auto" w:fill="FFFFFF"/>
            <w:vAlign w:val="center"/>
          </w:tcPr>
          <w:p w14:paraId="5B8BBF31">
            <w:pPr>
              <w:widowControl w:val="0"/>
              <w:overflowPunct w:val="0"/>
              <w:spacing w:line="240" w:lineRule="auto"/>
              <w:ind w:firstLine="0" w:firstLineChars="0"/>
              <w:jc w:val="center"/>
              <w:rPr>
                <w:rFonts w:eastAsia="宋体" w:cs="宋体"/>
                <w:snapToGrid w:val="0"/>
                <w:color w:val="000000" w:themeColor="text1"/>
                <w:spacing w:val="-3"/>
                <w:kern w:val="0"/>
                <w:sz w:val="21"/>
                <w14:textFill>
                  <w14:solidFill>
                    <w14:schemeClr w14:val="tx1"/>
                  </w14:solidFill>
                </w14:textFill>
              </w:rPr>
            </w:pPr>
            <w:r>
              <w:rPr>
                <w:rFonts w:eastAsia="宋体" w:cs="宋体"/>
                <w:color w:val="000000" w:themeColor="text1"/>
                <w:spacing w:val="-3"/>
                <w:sz w:val="21"/>
                <w14:textFill>
                  <w14:solidFill>
                    <w14:schemeClr w14:val="tx1"/>
                  </w14:solidFill>
                </w14:textFill>
              </w:rPr>
              <w:t>项目情况</w:t>
            </w:r>
          </w:p>
        </w:tc>
        <w:tc>
          <w:tcPr>
            <w:tcW w:w="518" w:type="pct"/>
            <w:tcBorders>
              <w:top w:val="single" w:color="000000" w:sz="12" w:space="0"/>
              <w:right w:val="nil"/>
            </w:tcBorders>
            <w:shd w:val="clear" w:color="auto" w:fill="FFFFFF"/>
            <w:vAlign w:val="center"/>
          </w:tcPr>
          <w:p w14:paraId="1B32AB92">
            <w:pPr>
              <w:widowControl w:val="0"/>
              <w:overflowPunct w:val="0"/>
              <w:spacing w:line="240" w:lineRule="auto"/>
              <w:ind w:firstLine="0" w:firstLineChars="0"/>
              <w:jc w:val="center"/>
              <w:rPr>
                <w:rFonts w:eastAsia="宋体" w:cs="宋体"/>
                <w:snapToGrid w:val="0"/>
                <w:color w:val="000000" w:themeColor="text1"/>
                <w:spacing w:val="-3"/>
                <w:kern w:val="0"/>
                <w:sz w:val="21"/>
                <w14:textFill>
                  <w14:solidFill>
                    <w14:schemeClr w14:val="tx1"/>
                  </w14:solidFill>
                </w14:textFill>
              </w:rPr>
            </w:pPr>
            <w:r>
              <w:rPr>
                <w:rFonts w:eastAsia="宋体" w:cs="宋体"/>
                <w:color w:val="000000" w:themeColor="text1"/>
                <w:spacing w:val="-3"/>
                <w:sz w:val="21"/>
                <w14:textFill>
                  <w14:solidFill>
                    <w14:schemeClr w14:val="tx1"/>
                  </w14:solidFill>
                </w14:textFill>
              </w:rPr>
              <w:t>符合情况</w:t>
            </w:r>
          </w:p>
        </w:tc>
      </w:tr>
      <w:tr w14:paraId="77822BC7">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00" w:type="pct"/>
            <w:tcBorders>
              <w:left w:val="nil"/>
            </w:tcBorders>
            <w:shd w:val="clear" w:color="auto" w:fill="FFFFFF"/>
            <w:vAlign w:val="center"/>
          </w:tcPr>
          <w:p w14:paraId="72CEE82E">
            <w:pPr>
              <w:widowControl w:val="0"/>
              <w:overflowPunct w:val="0"/>
              <w:spacing w:line="240" w:lineRule="auto"/>
              <w:ind w:firstLine="0" w:firstLineChars="0"/>
              <w:jc w:val="center"/>
              <w:rPr>
                <w:rFonts w:eastAsia="宋体" w:cs="宋体"/>
                <w:snapToGrid w:val="0"/>
                <w:color w:val="000000" w:themeColor="text1"/>
                <w:spacing w:val="-3"/>
                <w:kern w:val="0"/>
                <w:sz w:val="21"/>
                <w14:textFill>
                  <w14:solidFill>
                    <w14:schemeClr w14:val="tx1"/>
                  </w14:solidFill>
                </w14:textFill>
              </w:rPr>
            </w:pPr>
            <w:r>
              <w:rPr>
                <w:rFonts w:eastAsia="宋体" w:cs="宋体"/>
                <w:color w:val="000000" w:themeColor="text1"/>
                <w:spacing w:val="-3"/>
                <w:sz w:val="21"/>
                <w14:textFill>
                  <w14:solidFill>
                    <w14:schemeClr w14:val="tx1"/>
                  </w14:solidFill>
                </w14:textFill>
              </w:rPr>
              <w:t>1</w:t>
            </w:r>
          </w:p>
        </w:tc>
        <w:tc>
          <w:tcPr>
            <w:tcW w:w="565" w:type="pct"/>
            <w:shd w:val="clear" w:color="auto" w:fill="FFFFFF"/>
            <w:vAlign w:val="center"/>
          </w:tcPr>
          <w:p w14:paraId="06AE20DB">
            <w:pPr>
              <w:widowControl w:val="0"/>
              <w:overflowPunct w:val="0"/>
              <w:spacing w:line="240" w:lineRule="auto"/>
              <w:ind w:firstLine="0" w:firstLineChars="0"/>
              <w:jc w:val="center"/>
              <w:rPr>
                <w:rFonts w:eastAsia="宋体" w:cs="宋体"/>
                <w:snapToGrid w:val="0"/>
                <w:color w:val="000000" w:themeColor="text1"/>
                <w:spacing w:val="-3"/>
                <w:kern w:val="0"/>
                <w:sz w:val="21"/>
                <w14:textFill>
                  <w14:solidFill>
                    <w14:schemeClr w14:val="tx1"/>
                  </w14:solidFill>
                </w14:textFill>
              </w:rPr>
            </w:pPr>
            <w:r>
              <w:rPr>
                <w:rFonts w:eastAsia="宋体" w:cs="宋体"/>
                <w:color w:val="000000" w:themeColor="text1"/>
                <w:spacing w:val="-3"/>
                <w:sz w:val="21"/>
                <w14:textFill>
                  <w14:solidFill>
                    <w14:schemeClr w14:val="tx1"/>
                  </w14:solidFill>
                </w14:textFill>
              </w:rPr>
              <w:t>空间布局约束</w:t>
            </w:r>
          </w:p>
        </w:tc>
        <w:tc>
          <w:tcPr>
            <w:tcW w:w="1895" w:type="pct"/>
            <w:shd w:val="clear" w:color="auto" w:fill="FFFFFF"/>
            <w:vAlign w:val="center"/>
          </w:tcPr>
          <w:p w14:paraId="612F2A94">
            <w:pPr>
              <w:widowControl w:val="0"/>
              <w:overflowPunct w:val="0"/>
              <w:spacing w:line="240" w:lineRule="auto"/>
              <w:ind w:firstLine="0" w:firstLineChars="0"/>
              <w:jc w:val="center"/>
              <w:rPr>
                <w:rFonts w:hint="eastAsia" w:eastAsia="宋体" w:cs="宋体"/>
                <w:snapToGrid w:val="0"/>
                <w:color w:val="000000" w:themeColor="text1"/>
                <w:spacing w:val="-3"/>
                <w:kern w:val="0"/>
                <w:sz w:val="21"/>
                <w:lang w:eastAsia="zh-CN"/>
                <w14:textFill>
                  <w14:solidFill>
                    <w14:schemeClr w14:val="tx1"/>
                  </w14:solidFill>
                </w14:textFill>
              </w:rPr>
            </w:pPr>
            <w:r>
              <w:rPr>
                <w:rFonts w:hint="eastAsia" w:eastAsia="宋体" w:cs="宋体"/>
                <w:snapToGrid w:val="0"/>
                <w:color w:val="000000" w:themeColor="text1"/>
                <w:spacing w:val="-3"/>
                <w:kern w:val="0"/>
                <w:sz w:val="21"/>
                <w:lang w:val="en-US" w:eastAsia="zh-CN"/>
                <w14:textFill>
                  <w14:solidFill>
                    <w14:schemeClr w14:val="tx1"/>
                  </w14:solidFill>
                </w14:textFill>
              </w:rPr>
              <w:t>/</w:t>
            </w:r>
          </w:p>
        </w:tc>
        <w:tc>
          <w:tcPr>
            <w:tcW w:w="2999" w:type="dxa"/>
            <w:shd w:val="clear" w:color="auto" w:fill="FFFFFF"/>
            <w:vAlign w:val="center"/>
          </w:tcPr>
          <w:p w14:paraId="6981525E">
            <w:pPr>
              <w:widowControl w:val="0"/>
              <w:overflowPunct w:val="0"/>
              <w:spacing w:line="240" w:lineRule="auto"/>
              <w:ind w:firstLine="0" w:firstLineChars="0"/>
              <w:jc w:val="center"/>
              <w:rPr>
                <w:rFonts w:hint="default" w:eastAsia="宋体" w:cs="宋体"/>
                <w:snapToGrid w:val="0"/>
                <w:color w:val="000000" w:themeColor="text1"/>
                <w:spacing w:val="-3"/>
                <w:kern w:val="0"/>
                <w:sz w:val="21"/>
                <w:lang w:val="en-US" w:eastAsia="zh-CN"/>
                <w14:textFill>
                  <w14:solidFill>
                    <w14:schemeClr w14:val="tx1"/>
                  </w14:solidFill>
                </w14:textFill>
              </w:rPr>
            </w:pPr>
            <w:r>
              <w:rPr>
                <w:rFonts w:hint="eastAsia" w:eastAsia="宋体" w:cs="宋体"/>
                <w:snapToGrid w:val="0"/>
                <w:color w:val="000000" w:themeColor="text1"/>
                <w:spacing w:val="-3"/>
                <w:kern w:val="0"/>
                <w:sz w:val="21"/>
                <w:lang w:val="en-US" w:eastAsia="zh-CN"/>
                <w14:textFill>
                  <w14:solidFill>
                    <w14:schemeClr w14:val="tx1"/>
                  </w14:solidFill>
                </w14:textFill>
              </w:rPr>
              <w:t>/</w:t>
            </w:r>
          </w:p>
        </w:tc>
        <w:tc>
          <w:tcPr>
            <w:tcW w:w="903" w:type="dxa"/>
            <w:tcBorders>
              <w:right w:val="nil"/>
            </w:tcBorders>
            <w:shd w:val="clear" w:color="auto" w:fill="FFFFFF"/>
            <w:vAlign w:val="center"/>
          </w:tcPr>
          <w:p w14:paraId="2141E1DA">
            <w:pPr>
              <w:widowControl w:val="0"/>
              <w:overflowPunct w:val="0"/>
              <w:spacing w:line="240" w:lineRule="auto"/>
              <w:ind w:firstLine="0" w:firstLineChars="0"/>
              <w:jc w:val="center"/>
              <w:rPr>
                <w:rFonts w:eastAsia="宋体" w:cs="宋体"/>
                <w:snapToGrid w:val="0"/>
                <w:color w:val="000000" w:themeColor="text1"/>
                <w:spacing w:val="-3"/>
                <w:kern w:val="0"/>
                <w:sz w:val="21"/>
                <w14:textFill>
                  <w14:solidFill>
                    <w14:schemeClr w14:val="tx1"/>
                  </w14:solidFill>
                </w14:textFill>
              </w:rPr>
            </w:pPr>
            <w:r>
              <w:rPr>
                <w:rFonts w:hint="eastAsia" w:eastAsia="宋体" w:cs="宋体"/>
                <w:snapToGrid w:val="0"/>
                <w:color w:val="000000" w:themeColor="text1"/>
                <w:spacing w:val="-3"/>
                <w:kern w:val="0"/>
                <w:sz w:val="21"/>
                <w:lang w:val="en-US" w:eastAsia="zh-CN"/>
                <w14:textFill>
                  <w14:solidFill>
                    <w14:schemeClr w14:val="tx1"/>
                  </w14:solidFill>
                </w14:textFill>
              </w:rPr>
              <w:t>/</w:t>
            </w:r>
          </w:p>
        </w:tc>
      </w:tr>
      <w:tr w14:paraId="63709490">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00" w:type="pct"/>
            <w:tcBorders>
              <w:left w:val="nil"/>
            </w:tcBorders>
            <w:shd w:val="clear" w:color="auto" w:fill="FFFFFF"/>
            <w:vAlign w:val="center"/>
          </w:tcPr>
          <w:p w14:paraId="57D66B5A">
            <w:pPr>
              <w:widowControl w:val="0"/>
              <w:overflowPunct w:val="0"/>
              <w:spacing w:line="240" w:lineRule="auto"/>
              <w:ind w:firstLine="0" w:firstLineChars="0"/>
              <w:jc w:val="center"/>
              <w:rPr>
                <w:rFonts w:eastAsia="宋体" w:cs="宋体"/>
                <w:snapToGrid w:val="0"/>
                <w:color w:val="000000" w:themeColor="text1"/>
                <w:spacing w:val="-3"/>
                <w:kern w:val="0"/>
                <w:sz w:val="21"/>
                <w14:textFill>
                  <w14:solidFill>
                    <w14:schemeClr w14:val="tx1"/>
                  </w14:solidFill>
                </w14:textFill>
              </w:rPr>
            </w:pPr>
            <w:r>
              <w:rPr>
                <w:rFonts w:eastAsia="宋体" w:cs="宋体"/>
                <w:color w:val="000000" w:themeColor="text1"/>
                <w:spacing w:val="-3"/>
                <w:sz w:val="21"/>
                <w14:textFill>
                  <w14:solidFill>
                    <w14:schemeClr w14:val="tx1"/>
                  </w14:solidFill>
                </w14:textFill>
              </w:rPr>
              <w:t>2</w:t>
            </w:r>
          </w:p>
        </w:tc>
        <w:tc>
          <w:tcPr>
            <w:tcW w:w="565" w:type="pct"/>
            <w:shd w:val="clear" w:color="auto" w:fill="FFFFFF"/>
            <w:vAlign w:val="center"/>
          </w:tcPr>
          <w:p w14:paraId="57E1317D">
            <w:pPr>
              <w:widowControl w:val="0"/>
              <w:overflowPunct w:val="0"/>
              <w:spacing w:line="240" w:lineRule="auto"/>
              <w:ind w:firstLine="0" w:firstLineChars="0"/>
              <w:jc w:val="center"/>
              <w:rPr>
                <w:rFonts w:eastAsia="宋体" w:cs="宋体"/>
                <w:snapToGrid w:val="0"/>
                <w:color w:val="000000" w:themeColor="text1"/>
                <w:spacing w:val="-3"/>
                <w:kern w:val="0"/>
                <w:sz w:val="21"/>
                <w14:textFill>
                  <w14:solidFill>
                    <w14:schemeClr w14:val="tx1"/>
                  </w14:solidFill>
                </w14:textFill>
              </w:rPr>
            </w:pPr>
            <w:r>
              <w:rPr>
                <w:rFonts w:eastAsia="宋体" w:cs="宋体"/>
                <w:color w:val="000000" w:themeColor="text1"/>
                <w:spacing w:val="-3"/>
                <w:sz w:val="21"/>
                <w14:textFill>
                  <w14:solidFill>
                    <w14:schemeClr w14:val="tx1"/>
                  </w14:solidFill>
                </w14:textFill>
              </w:rPr>
              <w:t>污染物排放管控</w:t>
            </w:r>
          </w:p>
        </w:tc>
        <w:tc>
          <w:tcPr>
            <w:tcW w:w="1895" w:type="pct"/>
            <w:shd w:val="clear" w:color="auto" w:fill="FFFFFF"/>
            <w:vAlign w:val="center"/>
          </w:tcPr>
          <w:p w14:paraId="7534616C">
            <w:pPr>
              <w:widowControl w:val="0"/>
              <w:overflowPunct w:val="0"/>
              <w:spacing w:line="240" w:lineRule="auto"/>
              <w:ind w:firstLine="0" w:firstLineChars="0"/>
              <w:jc w:val="center"/>
              <w:rPr>
                <w:rFonts w:hint="eastAsia" w:eastAsia="宋体" w:cs="宋体"/>
                <w:snapToGrid w:val="0"/>
                <w:color w:val="000000" w:themeColor="text1"/>
                <w:spacing w:val="-3"/>
                <w:kern w:val="0"/>
                <w:sz w:val="21"/>
                <w:lang w:eastAsia="zh-CN"/>
                <w14:textFill>
                  <w14:solidFill>
                    <w14:schemeClr w14:val="tx1"/>
                  </w14:solidFill>
                </w14:textFill>
              </w:rPr>
            </w:pPr>
            <w:r>
              <w:rPr>
                <w:rFonts w:hint="eastAsia" w:eastAsia="宋体" w:cs="宋体"/>
                <w:snapToGrid w:val="0"/>
                <w:color w:val="000000" w:themeColor="text1"/>
                <w:spacing w:val="-3"/>
                <w:kern w:val="0"/>
                <w:sz w:val="21"/>
                <w:lang w:val="en-US" w:eastAsia="zh-CN"/>
                <w14:textFill>
                  <w14:solidFill>
                    <w14:schemeClr w14:val="tx1"/>
                  </w14:solidFill>
                </w14:textFill>
              </w:rPr>
              <w:t>/</w:t>
            </w:r>
          </w:p>
        </w:tc>
        <w:tc>
          <w:tcPr>
            <w:tcW w:w="2999" w:type="dxa"/>
            <w:shd w:val="clear" w:color="auto" w:fill="FFFFFF"/>
            <w:vAlign w:val="center"/>
          </w:tcPr>
          <w:p w14:paraId="758A6457">
            <w:pPr>
              <w:widowControl w:val="0"/>
              <w:overflowPunct w:val="0"/>
              <w:spacing w:line="240" w:lineRule="auto"/>
              <w:ind w:firstLine="0" w:firstLineChars="0"/>
              <w:jc w:val="center"/>
              <w:rPr>
                <w:rFonts w:hint="default" w:eastAsia="宋体" w:cs="宋体"/>
                <w:snapToGrid w:val="0"/>
                <w:color w:val="000000" w:themeColor="text1"/>
                <w:spacing w:val="-3"/>
                <w:kern w:val="0"/>
                <w:sz w:val="21"/>
                <w:lang w:val="en-US" w:eastAsia="zh-CN"/>
                <w14:textFill>
                  <w14:solidFill>
                    <w14:schemeClr w14:val="tx1"/>
                  </w14:solidFill>
                </w14:textFill>
              </w:rPr>
            </w:pPr>
            <w:r>
              <w:rPr>
                <w:rFonts w:hint="eastAsia" w:eastAsia="宋体" w:cs="宋体"/>
                <w:snapToGrid w:val="0"/>
                <w:color w:val="000000" w:themeColor="text1"/>
                <w:spacing w:val="-3"/>
                <w:kern w:val="0"/>
                <w:sz w:val="21"/>
                <w:lang w:val="en-US" w:eastAsia="zh-CN"/>
                <w14:textFill>
                  <w14:solidFill>
                    <w14:schemeClr w14:val="tx1"/>
                  </w14:solidFill>
                </w14:textFill>
              </w:rPr>
              <w:t>/</w:t>
            </w:r>
          </w:p>
        </w:tc>
        <w:tc>
          <w:tcPr>
            <w:tcW w:w="903" w:type="dxa"/>
            <w:tcBorders>
              <w:right w:val="nil"/>
            </w:tcBorders>
            <w:shd w:val="clear" w:color="auto" w:fill="FFFFFF"/>
            <w:vAlign w:val="center"/>
          </w:tcPr>
          <w:p w14:paraId="59386466">
            <w:pPr>
              <w:widowControl w:val="0"/>
              <w:overflowPunct w:val="0"/>
              <w:spacing w:line="240" w:lineRule="auto"/>
              <w:ind w:firstLine="0" w:firstLineChars="0"/>
              <w:jc w:val="center"/>
              <w:rPr>
                <w:rFonts w:eastAsia="宋体" w:cs="宋体"/>
                <w:snapToGrid w:val="0"/>
                <w:color w:val="000000" w:themeColor="text1"/>
                <w:spacing w:val="-3"/>
                <w:kern w:val="0"/>
                <w:sz w:val="21"/>
                <w14:textFill>
                  <w14:solidFill>
                    <w14:schemeClr w14:val="tx1"/>
                  </w14:solidFill>
                </w14:textFill>
              </w:rPr>
            </w:pPr>
            <w:r>
              <w:rPr>
                <w:rFonts w:hint="eastAsia" w:eastAsia="宋体" w:cs="宋体"/>
                <w:snapToGrid w:val="0"/>
                <w:color w:val="000000" w:themeColor="text1"/>
                <w:spacing w:val="-3"/>
                <w:kern w:val="0"/>
                <w:sz w:val="21"/>
                <w:lang w:val="en-US" w:eastAsia="zh-CN"/>
                <w14:textFill>
                  <w14:solidFill>
                    <w14:schemeClr w14:val="tx1"/>
                  </w14:solidFill>
                </w14:textFill>
              </w:rPr>
              <w:t>/</w:t>
            </w:r>
          </w:p>
        </w:tc>
      </w:tr>
      <w:tr w14:paraId="6AC741F9">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00" w:type="pct"/>
            <w:tcBorders>
              <w:left w:val="nil"/>
            </w:tcBorders>
            <w:shd w:val="clear" w:color="auto" w:fill="FFFFFF"/>
            <w:vAlign w:val="center"/>
          </w:tcPr>
          <w:p w14:paraId="71004DA6">
            <w:pPr>
              <w:widowControl w:val="0"/>
              <w:overflowPunct w:val="0"/>
              <w:spacing w:line="240" w:lineRule="auto"/>
              <w:ind w:firstLine="0" w:firstLineChars="0"/>
              <w:jc w:val="center"/>
              <w:rPr>
                <w:rFonts w:eastAsia="宋体" w:cs="宋体"/>
                <w:color w:val="000000" w:themeColor="text1"/>
                <w:spacing w:val="-3"/>
                <w:sz w:val="21"/>
                <w14:textFill>
                  <w14:solidFill>
                    <w14:schemeClr w14:val="tx1"/>
                  </w14:solidFill>
                </w14:textFill>
              </w:rPr>
            </w:pPr>
            <w:r>
              <w:rPr>
                <w:rFonts w:eastAsia="宋体" w:cs="宋体"/>
                <w:color w:val="000000" w:themeColor="text1"/>
                <w:spacing w:val="-3"/>
                <w:sz w:val="21"/>
                <w14:textFill>
                  <w14:solidFill>
                    <w14:schemeClr w14:val="tx1"/>
                  </w14:solidFill>
                </w14:textFill>
              </w:rPr>
              <w:t>3</w:t>
            </w:r>
          </w:p>
        </w:tc>
        <w:tc>
          <w:tcPr>
            <w:tcW w:w="565" w:type="pct"/>
            <w:shd w:val="clear" w:color="auto" w:fill="FFFFFF"/>
            <w:vAlign w:val="center"/>
          </w:tcPr>
          <w:p w14:paraId="33AFC461">
            <w:pPr>
              <w:widowControl w:val="0"/>
              <w:overflowPunct w:val="0"/>
              <w:spacing w:line="240" w:lineRule="auto"/>
              <w:ind w:firstLine="0" w:firstLineChars="0"/>
              <w:jc w:val="center"/>
              <w:rPr>
                <w:rFonts w:eastAsia="宋体" w:cs="宋体"/>
                <w:color w:val="000000" w:themeColor="text1"/>
                <w:spacing w:val="-3"/>
                <w:sz w:val="21"/>
                <w14:textFill>
                  <w14:solidFill>
                    <w14:schemeClr w14:val="tx1"/>
                  </w14:solidFill>
                </w14:textFill>
              </w:rPr>
            </w:pPr>
            <w:r>
              <w:rPr>
                <w:rFonts w:eastAsia="宋体" w:cs="宋体"/>
                <w:color w:val="000000" w:themeColor="text1"/>
                <w:spacing w:val="-3"/>
                <w:sz w:val="21"/>
                <w14:textFill>
                  <w14:solidFill>
                    <w14:schemeClr w14:val="tx1"/>
                  </w14:solidFill>
                </w14:textFill>
              </w:rPr>
              <w:t>环境风险防控</w:t>
            </w:r>
          </w:p>
        </w:tc>
        <w:tc>
          <w:tcPr>
            <w:tcW w:w="1895" w:type="pct"/>
            <w:shd w:val="clear" w:color="auto" w:fill="FFFFFF"/>
            <w:vAlign w:val="center"/>
          </w:tcPr>
          <w:p w14:paraId="73862921">
            <w:pPr>
              <w:widowControl w:val="0"/>
              <w:overflowPunct w:val="0"/>
              <w:spacing w:line="240" w:lineRule="auto"/>
              <w:ind w:firstLine="0" w:firstLineChars="0"/>
              <w:jc w:val="center"/>
              <w:rPr>
                <w:rFonts w:hint="eastAsia" w:eastAsia="宋体" w:cs="宋体"/>
                <w:color w:val="000000" w:themeColor="text1"/>
                <w:spacing w:val="-3"/>
                <w:sz w:val="21"/>
                <w:lang w:eastAsia="zh-CN"/>
                <w14:textFill>
                  <w14:solidFill>
                    <w14:schemeClr w14:val="tx1"/>
                  </w14:solidFill>
                </w14:textFill>
              </w:rPr>
            </w:pPr>
            <w:r>
              <w:rPr>
                <w:rFonts w:hint="eastAsia" w:eastAsia="宋体" w:cs="宋体"/>
                <w:color w:val="000000" w:themeColor="text1"/>
                <w:spacing w:val="-3"/>
                <w:sz w:val="21"/>
                <w:lang w:val="en-US" w:eastAsia="zh-CN"/>
                <w14:textFill>
                  <w14:solidFill>
                    <w14:schemeClr w14:val="tx1"/>
                  </w14:solidFill>
                </w14:textFill>
              </w:rPr>
              <w:t>/</w:t>
            </w:r>
          </w:p>
        </w:tc>
        <w:tc>
          <w:tcPr>
            <w:tcW w:w="2999" w:type="dxa"/>
            <w:shd w:val="clear" w:color="auto" w:fill="FFFFFF"/>
            <w:vAlign w:val="center"/>
          </w:tcPr>
          <w:p w14:paraId="16EB88A7">
            <w:pPr>
              <w:widowControl w:val="0"/>
              <w:overflowPunct w:val="0"/>
              <w:spacing w:line="240" w:lineRule="auto"/>
              <w:ind w:firstLine="0" w:firstLineChars="0"/>
              <w:jc w:val="center"/>
              <w:rPr>
                <w:rFonts w:hint="default" w:eastAsia="宋体" w:cs="宋体"/>
                <w:color w:val="000000" w:themeColor="text1"/>
                <w:spacing w:val="-3"/>
                <w:sz w:val="21"/>
                <w:lang w:val="en-US" w:eastAsia="zh-CN"/>
                <w14:textFill>
                  <w14:solidFill>
                    <w14:schemeClr w14:val="tx1"/>
                  </w14:solidFill>
                </w14:textFill>
              </w:rPr>
            </w:pPr>
            <w:r>
              <w:rPr>
                <w:rFonts w:hint="eastAsia" w:eastAsia="宋体" w:cs="宋体"/>
                <w:color w:val="000000" w:themeColor="text1"/>
                <w:spacing w:val="-3"/>
                <w:sz w:val="21"/>
                <w:lang w:val="en-US" w:eastAsia="zh-CN"/>
                <w14:textFill>
                  <w14:solidFill>
                    <w14:schemeClr w14:val="tx1"/>
                  </w14:solidFill>
                </w14:textFill>
              </w:rPr>
              <w:t>/</w:t>
            </w:r>
          </w:p>
        </w:tc>
        <w:tc>
          <w:tcPr>
            <w:tcW w:w="903" w:type="dxa"/>
            <w:tcBorders>
              <w:right w:val="nil"/>
            </w:tcBorders>
            <w:shd w:val="clear" w:color="auto" w:fill="FFFFFF"/>
            <w:vAlign w:val="center"/>
          </w:tcPr>
          <w:p w14:paraId="64E61BD9">
            <w:pPr>
              <w:widowControl w:val="0"/>
              <w:overflowPunct w:val="0"/>
              <w:spacing w:line="240" w:lineRule="auto"/>
              <w:ind w:firstLine="0" w:firstLineChars="0"/>
              <w:jc w:val="center"/>
              <w:rPr>
                <w:rFonts w:eastAsia="宋体" w:cs="宋体"/>
                <w:color w:val="000000" w:themeColor="text1"/>
                <w:spacing w:val="-3"/>
                <w:sz w:val="21"/>
                <w14:textFill>
                  <w14:solidFill>
                    <w14:schemeClr w14:val="tx1"/>
                  </w14:solidFill>
                </w14:textFill>
              </w:rPr>
            </w:pPr>
            <w:r>
              <w:rPr>
                <w:rFonts w:hint="eastAsia" w:eastAsia="宋体" w:cs="宋体"/>
                <w:color w:val="000000" w:themeColor="text1"/>
                <w:spacing w:val="-3"/>
                <w:sz w:val="21"/>
                <w:lang w:val="en-US" w:eastAsia="zh-CN"/>
                <w14:textFill>
                  <w14:solidFill>
                    <w14:schemeClr w14:val="tx1"/>
                  </w14:solidFill>
                </w14:textFill>
              </w:rPr>
              <w:t>/</w:t>
            </w:r>
          </w:p>
        </w:tc>
      </w:tr>
      <w:tr w14:paraId="0DA2CF7A">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00" w:type="pct"/>
            <w:tcBorders>
              <w:left w:val="nil"/>
              <w:bottom w:val="single" w:color="000000" w:sz="12" w:space="0"/>
            </w:tcBorders>
            <w:shd w:val="clear" w:color="auto" w:fill="FFFFFF"/>
            <w:vAlign w:val="center"/>
          </w:tcPr>
          <w:p w14:paraId="793AEE1B">
            <w:pPr>
              <w:widowControl w:val="0"/>
              <w:overflowPunct w:val="0"/>
              <w:spacing w:line="240" w:lineRule="auto"/>
              <w:ind w:firstLine="0" w:firstLineChars="0"/>
              <w:jc w:val="center"/>
              <w:rPr>
                <w:rFonts w:eastAsia="宋体" w:cs="宋体"/>
                <w:color w:val="000000" w:themeColor="text1"/>
                <w:spacing w:val="-3"/>
                <w:sz w:val="21"/>
                <w14:textFill>
                  <w14:solidFill>
                    <w14:schemeClr w14:val="tx1"/>
                  </w14:solidFill>
                </w14:textFill>
              </w:rPr>
            </w:pPr>
            <w:r>
              <w:rPr>
                <w:rFonts w:eastAsia="宋体" w:cs="宋体"/>
                <w:color w:val="000000" w:themeColor="text1"/>
                <w:spacing w:val="-3"/>
                <w:sz w:val="21"/>
                <w14:textFill>
                  <w14:solidFill>
                    <w14:schemeClr w14:val="tx1"/>
                  </w14:solidFill>
                </w14:textFill>
              </w:rPr>
              <w:t>4</w:t>
            </w:r>
          </w:p>
        </w:tc>
        <w:tc>
          <w:tcPr>
            <w:tcW w:w="565" w:type="pct"/>
            <w:tcBorders>
              <w:bottom w:val="single" w:color="000000" w:sz="12" w:space="0"/>
            </w:tcBorders>
            <w:shd w:val="clear" w:color="auto" w:fill="FFFFFF"/>
            <w:vAlign w:val="center"/>
          </w:tcPr>
          <w:p w14:paraId="64CD7D5D">
            <w:pPr>
              <w:widowControl w:val="0"/>
              <w:overflowPunct w:val="0"/>
              <w:spacing w:line="240" w:lineRule="auto"/>
              <w:ind w:firstLine="0" w:firstLineChars="0"/>
              <w:jc w:val="center"/>
              <w:rPr>
                <w:rFonts w:eastAsia="宋体" w:cs="宋体"/>
                <w:color w:val="000000" w:themeColor="text1"/>
                <w:spacing w:val="-3"/>
                <w:sz w:val="21"/>
                <w14:textFill>
                  <w14:solidFill>
                    <w14:schemeClr w14:val="tx1"/>
                  </w14:solidFill>
                </w14:textFill>
              </w:rPr>
            </w:pPr>
            <w:r>
              <w:rPr>
                <w:rFonts w:eastAsia="宋体" w:cs="宋体"/>
                <w:color w:val="000000" w:themeColor="text1"/>
                <w:spacing w:val="-3"/>
                <w:sz w:val="21"/>
                <w14:textFill>
                  <w14:solidFill>
                    <w14:schemeClr w14:val="tx1"/>
                  </w14:solidFill>
                </w14:textFill>
              </w:rPr>
              <w:t>资源开发效率要求</w:t>
            </w:r>
          </w:p>
        </w:tc>
        <w:tc>
          <w:tcPr>
            <w:tcW w:w="1895" w:type="pct"/>
            <w:tcBorders>
              <w:bottom w:val="single" w:color="000000" w:sz="12" w:space="0"/>
            </w:tcBorders>
            <w:shd w:val="clear" w:color="auto" w:fill="FFFFFF"/>
            <w:vAlign w:val="center"/>
          </w:tcPr>
          <w:p w14:paraId="3A4F46DB">
            <w:pPr>
              <w:widowControl w:val="0"/>
              <w:overflowPunct w:val="0"/>
              <w:spacing w:line="240" w:lineRule="auto"/>
              <w:ind w:firstLine="0" w:firstLineChars="0"/>
              <w:jc w:val="center"/>
              <w:rPr>
                <w:rFonts w:eastAsia="宋体" w:cs="宋体"/>
                <w:color w:val="000000" w:themeColor="text1"/>
                <w:spacing w:val="-3"/>
                <w:sz w:val="21"/>
                <w14:textFill>
                  <w14:solidFill>
                    <w14:schemeClr w14:val="tx1"/>
                  </w14:solidFill>
                </w14:textFill>
              </w:rPr>
            </w:pPr>
            <w:r>
              <w:rPr>
                <w:rFonts w:hint="eastAsia" w:eastAsia="宋体" w:cs="宋体"/>
                <w:color w:val="000000" w:themeColor="text1"/>
                <w:spacing w:val="-3"/>
                <w:sz w:val="21"/>
                <w14:textFill>
                  <w14:solidFill>
                    <w14:schemeClr w14:val="tx1"/>
                  </w14:solidFill>
                </w14:textFill>
              </w:rPr>
              <w:t>/</w:t>
            </w:r>
          </w:p>
        </w:tc>
        <w:tc>
          <w:tcPr>
            <w:tcW w:w="2999" w:type="dxa"/>
            <w:tcBorders>
              <w:bottom w:val="single" w:color="000000" w:sz="12" w:space="0"/>
            </w:tcBorders>
            <w:shd w:val="clear" w:color="auto" w:fill="FFFFFF"/>
            <w:vAlign w:val="center"/>
          </w:tcPr>
          <w:p w14:paraId="0E5E12E2">
            <w:pPr>
              <w:widowControl w:val="0"/>
              <w:overflowPunct w:val="0"/>
              <w:spacing w:line="240" w:lineRule="auto"/>
              <w:ind w:firstLine="0" w:firstLineChars="0"/>
              <w:jc w:val="center"/>
              <w:rPr>
                <w:rFonts w:eastAsia="宋体" w:cs="宋体"/>
                <w:color w:val="000000" w:themeColor="text1"/>
                <w:spacing w:val="-3"/>
                <w:sz w:val="21"/>
                <w14:textFill>
                  <w14:solidFill>
                    <w14:schemeClr w14:val="tx1"/>
                  </w14:solidFill>
                </w14:textFill>
              </w:rPr>
            </w:pPr>
            <w:r>
              <w:rPr>
                <w:rFonts w:hint="eastAsia" w:eastAsia="宋体" w:cs="宋体"/>
                <w:color w:val="000000" w:themeColor="text1"/>
                <w:spacing w:val="-3"/>
                <w:sz w:val="21"/>
                <w14:textFill>
                  <w14:solidFill>
                    <w14:schemeClr w14:val="tx1"/>
                  </w14:solidFill>
                </w14:textFill>
              </w:rPr>
              <w:t>/</w:t>
            </w:r>
          </w:p>
        </w:tc>
        <w:tc>
          <w:tcPr>
            <w:tcW w:w="903" w:type="dxa"/>
            <w:tcBorders>
              <w:bottom w:val="single" w:color="000000" w:sz="12" w:space="0"/>
              <w:right w:val="nil"/>
            </w:tcBorders>
            <w:shd w:val="clear" w:color="auto" w:fill="FFFFFF"/>
            <w:vAlign w:val="center"/>
          </w:tcPr>
          <w:p w14:paraId="4A071AFA">
            <w:pPr>
              <w:widowControl w:val="0"/>
              <w:overflowPunct w:val="0"/>
              <w:spacing w:line="240" w:lineRule="auto"/>
              <w:ind w:firstLine="0" w:firstLineChars="0"/>
              <w:jc w:val="center"/>
              <w:rPr>
                <w:rFonts w:eastAsia="宋体" w:cs="宋体"/>
                <w:color w:val="000000" w:themeColor="text1"/>
                <w:spacing w:val="-3"/>
                <w:sz w:val="21"/>
                <w14:textFill>
                  <w14:solidFill>
                    <w14:schemeClr w14:val="tx1"/>
                  </w14:solidFill>
                </w14:textFill>
              </w:rPr>
            </w:pPr>
            <w:r>
              <w:rPr>
                <w:rFonts w:hint="eastAsia" w:eastAsia="宋体" w:cs="宋体"/>
                <w:color w:val="000000" w:themeColor="text1"/>
                <w:spacing w:val="-3"/>
                <w:sz w:val="21"/>
                <w14:textFill>
                  <w14:solidFill>
                    <w14:schemeClr w14:val="tx1"/>
                  </w14:solidFill>
                </w14:textFill>
              </w:rPr>
              <w:t>/</w:t>
            </w:r>
          </w:p>
        </w:tc>
      </w:tr>
    </w:tbl>
    <w:p w14:paraId="76A77482"/>
    <w:p w14:paraId="0CB85B78">
      <w:pPr>
        <w:pStyle w:val="133"/>
      </w:pPr>
      <w:r>
        <w:t>1.6.5.</w:t>
      </w:r>
      <w:r>
        <w:rPr>
          <w:rFonts w:hint="eastAsia"/>
          <w:lang w:val="en-US" w:eastAsia="zh-CN"/>
        </w:rPr>
        <w:t>3</w:t>
      </w:r>
      <w:r>
        <w:t xml:space="preserve"> </w:t>
      </w:r>
      <w:r>
        <w:rPr>
          <w:rFonts w:hint="eastAsia"/>
        </w:rPr>
        <w:t>与《钢铁建设项目环境影响评价文件审批原则（试行）》</w:t>
      </w:r>
      <w:r>
        <w:t>符合性分析</w:t>
      </w:r>
    </w:p>
    <w:p w14:paraId="13F234EF">
      <w:pPr>
        <w:spacing w:line="500" w:lineRule="exact"/>
        <w:ind w:firstLine="480" w:firstLineChars="200"/>
        <w:rPr>
          <w:rFonts w:ascii="Times New Roman" w:hAnsi="Times New Roman" w:cs="Times New Roman"/>
        </w:rPr>
      </w:pPr>
      <w:r>
        <w:rPr>
          <w:rFonts w:hint="eastAsia" w:ascii="Times New Roman" w:hAnsi="Times New Roman" w:cs="Times New Roman"/>
        </w:rPr>
        <w:t>本项目符合《关于规范火电等七个行业建设项目环境影响评价文件审批的通知》（环办【2015】112号）的</w:t>
      </w:r>
      <w:r>
        <w:rPr>
          <w:rFonts w:ascii="Times New Roman" w:hAnsi="Times New Roman" w:cs="Times New Roman"/>
        </w:rPr>
        <w:t>相关要求，符合性分析见表1.6-</w:t>
      </w:r>
      <w:r>
        <w:rPr>
          <w:rFonts w:hint="eastAsia" w:ascii="Times New Roman" w:hAnsi="Times New Roman" w:cs="Times New Roman"/>
          <w:lang w:val="en-US" w:eastAsia="zh-CN"/>
        </w:rPr>
        <w:t>3</w:t>
      </w:r>
      <w:r>
        <w:rPr>
          <w:rFonts w:ascii="Times New Roman" w:hAnsi="Times New Roman" w:cs="Times New Roman"/>
        </w:rPr>
        <w:t>。</w:t>
      </w:r>
    </w:p>
    <w:p w14:paraId="6320E025">
      <w:pPr>
        <w:pStyle w:val="133"/>
      </w:pPr>
      <w:r>
        <w:t>1.6.5.</w:t>
      </w:r>
      <w:r>
        <w:rPr>
          <w:rFonts w:hint="eastAsia"/>
          <w:lang w:val="en-US" w:eastAsia="zh-CN"/>
        </w:rPr>
        <w:t>4</w:t>
      </w:r>
      <w:r>
        <w:t xml:space="preserve"> </w:t>
      </w:r>
      <w:r>
        <w:rPr>
          <w:rFonts w:hint="eastAsia"/>
        </w:rPr>
        <w:t>与“水十条”</w:t>
      </w:r>
      <w:r>
        <w:t>符合性分析</w:t>
      </w:r>
    </w:p>
    <w:p w14:paraId="606EE9EE">
      <w:pPr>
        <w:spacing w:line="500" w:lineRule="exact"/>
        <w:ind w:firstLine="480" w:firstLineChars="200"/>
        <w:rPr>
          <w:rFonts w:hint="eastAsia" w:ascii="Times New Roman" w:hAnsi="Times New Roman" w:cs="Times New Roman"/>
        </w:rPr>
      </w:pPr>
      <w:r>
        <w:rPr>
          <w:rFonts w:hint="eastAsia"/>
        </w:rPr>
        <w:t>本项目符合国家、地方“水十条”的相关要求，符合性分析</w:t>
      </w:r>
      <w:r>
        <w:rPr>
          <w:rFonts w:ascii="Times New Roman" w:hAnsi="Times New Roman" w:cs="Times New Roman"/>
        </w:rPr>
        <w:t>见表1.6-</w:t>
      </w:r>
      <w:r>
        <w:rPr>
          <w:rFonts w:hint="eastAsia" w:ascii="Times New Roman" w:hAnsi="Times New Roman" w:cs="Times New Roman"/>
          <w:lang w:val="en-US" w:eastAsia="zh-CN"/>
        </w:rPr>
        <w:t>4</w:t>
      </w:r>
      <w:r>
        <w:rPr>
          <w:rFonts w:ascii="Times New Roman" w:hAnsi="Times New Roman" w:cs="Times New Roman"/>
        </w:rPr>
        <w:t>。</w:t>
      </w:r>
    </w:p>
    <w:p w14:paraId="3653A35B">
      <w:pPr>
        <w:pStyle w:val="133"/>
      </w:pPr>
      <w:r>
        <w:t>1.6.5.</w:t>
      </w:r>
      <w:r>
        <w:rPr>
          <w:rFonts w:hint="eastAsia"/>
          <w:lang w:val="en-US" w:eastAsia="zh-CN"/>
        </w:rPr>
        <w:t>5</w:t>
      </w:r>
      <w:r>
        <w:t xml:space="preserve"> </w:t>
      </w:r>
      <w:r>
        <w:rPr>
          <w:rFonts w:hint="eastAsia"/>
        </w:rPr>
        <w:t>与</w:t>
      </w:r>
      <w:r>
        <w:rPr>
          <w:rFonts w:hint="eastAsia"/>
          <w:lang w:val="en-US"/>
        </w:rPr>
        <w:t>“土十条”</w:t>
      </w:r>
      <w:r>
        <w:t>符合性分析</w:t>
      </w:r>
    </w:p>
    <w:p w14:paraId="38F9EAF0">
      <w:pPr>
        <w:spacing w:line="500" w:lineRule="exact"/>
        <w:ind w:firstLine="480" w:firstLineChars="200"/>
        <w:rPr>
          <w:rFonts w:hint="eastAsia" w:ascii="Times New Roman" w:hAnsi="Times New Roman" w:cs="Times New Roman"/>
        </w:rPr>
      </w:pPr>
      <w:r>
        <w:rPr>
          <w:rFonts w:hint="eastAsia"/>
        </w:rPr>
        <w:t>本项目符合国家、地方“土十条”的相关要求，符合性分析</w:t>
      </w:r>
      <w:r>
        <w:rPr>
          <w:rFonts w:ascii="Times New Roman" w:hAnsi="Times New Roman" w:cs="Times New Roman"/>
        </w:rPr>
        <w:t>见表1.6-</w:t>
      </w:r>
      <w:r>
        <w:rPr>
          <w:rFonts w:hint="eastAsia" w:ascii="Times New Roman" w:hAnsi="Times New Roman" w:cs="Times New Roman"/>
          <w:lang w:val="en-US" w:eastAsia="zh-CN"/>
        </w:rPr>
        <w:t>5</w:t>
      </w:r>
      <w:r>
        <w:rPr>
          <w:rFonts w:ascii="Times New Roman" w:hAnsi="Times New Roman" w:cs="Times New Roman"/>
        </w:rPr>
        <w:t>。</w:t>
      </w:r>
    </w:p>
    <w:p w14:paraId="10C4524C">
      <w:pPr>
        <w:pStyle w:val="133"/>
      </w:pPr>
      <w:r>
        <w:t>1.6.5.</w:t>
      </w:r>
      <w:r>
        <w:rPr>
          <w:rFonts w:hint="eastAsia"/>
          <w:lang w:val="en-US" w:eastAsia="zh-CN"/>
        </w:rPr>
        <w:t>6</w:t>
      </w:r>
      <w:r>
        <w:t xml:space="preserve"> </w:t>
      </w:r>
      <w:r>
        <w:rPr>
          <w:rFonts w:hint="eastAsia"/>
        </w:rPr>
        <w:t>与《</w:t>
      </w:r>
      <w:r>
        <w:rPr>
          <w:lang w:eastAsia="zh-CN"/>
        </w:rPr>
        <w:t>工业炉窑大气污染综合治理方案</w:t>
      </w:r>
      <w:r>
        <w:rPr>
          <w:rFonts w:hint="eastAsia"/>
        </w:rPr>
        <w:t>》</w:t>
      </w:r>
      <w:r>
        <w:t>符合性分析</w:t>
      </w:r>
    </w:p>
    <w:p w14:paraId="0C38FEAC">
      <w:pPr>
        <w:spacing w:line="460" w:lineRule="exact"/>
        <w:ind w:firstLine="480" w:firstLineChars="200"/>
        <w:jc w:val="both"/>
        <w:rPr>
          <w:rFonts w:hint="eastAsia" w:ascii="Times New Roman" w:hAnsi="Times New Roman" w:cs="Times New Roman"/>
        </w:rPr>
      </w:pPr>
      <w:r>
        <w:rPr>
          <w:rFonts w:ascii="Times New Roman" w:hAnsi="Times New Roman" w:cs="Times New Roman"/>
        </w:rPr>
        <w:t>通过对照环大气[2019]56号文《关于印发&lt;工业炉窑大气污染综合治理方案&gt;的通知》和辽环函[2020]29号文《关于印发&lt;辽宁省工业炉窑大气污染综合治理实施方案&gt;的函》</w:t>
      </w:r>
      <w:r>
        <w:rPr>
          <w:rFonts w:hint="eastAsia" w:ascii="Times New Roman" w:hAnsi="Times New Roman" w:cs="Times New Roman"/>
        </w:rPr>
        <w:t>等</w:t>
      </w:r>
      <w:r>
        <w:rPr>
          <w:rFonts w:ascii="Times New Roman" w:hAnsi="Times New Roman" w:cs="Times New Roman"/>
        </w:rPr>
        <w:t>，本项目符合工业炉窑环境管理要求，具体见表1.6-</w:t>
      </w:r>
      <w:r>
        <w:rPr>
          <w:rFonts w:hint="eastAsia" w:ascii="Times New Roman" w:hAnsi="Times New Roman" w:cs="Times New Roman"/>
          <w:lang w:val="en-US" w:eastAsia="zh-CN"/>
        </w:rPr>
        <w:t>6</w:t>
      </w:r>
      <w:r>
        <w:rPr>
          <w:rFonts w:ascii="Times New Roman" w:hAnsi="Times New Roman" w:cs="Times New Roman"/>
        </w:rPr>
        <w:t>。</w:t>
      </w:r>
    </w:p>
    <w:p w14:paraId="06AE4D58">
      <w:pPr>
        <w:pStyle w:val="133"/>
      </w:pPr>
      <w:r>
        <w:t>1.6.5.</w:t>
      </w:r>
      <w:r>
        <w:rPr>
          <w:rFonts w:hint="eastAsia"/>
          <w:lang w:val="en-US" w:eastAsia="zh-CN"/>
        </w:rPr>
        <w:t>7</w:t>
      </w:r>
      <w:r>
        <w:t xml:space="preserve"> </w:t>
      </w:r>
      <w:r>
        <w:rPr>
          <w:rFonts w:hint="eastAsia"/>
        </w:rPr>
        <w:t>与“</w:t>
      </w:r>
      <w:r>
        <w:rPr>
          <w:rFonts w:hint="eastAsia"/>
          <w:lang w:eastAsia="zh-CN"/>
        </w:rPr>
        <w:t>两高</w:t>
      </w:r>
      <w:r>
        <w:rPr>
          <w:rFonts w:hint="eastAsia"/>
        </w:rPr>
        <w:t>”</w:t>
      </w:r>
      <w:r>
        <w:rPr>
          <w:rFonts w:hint="eastAsia"/>
          <w:lang w:eastAsia="zh-CN"/>
        </w:rPr>
        <w:t xml:space="preserve"> 文件</w:t>
      </w:r>
      <w:r>
        <w:t>符合性分析</w:t>
      </w:r>
    </w:p>
    <w:p w14:paraId="0D4E722C">
      <w:pPr>
        <w:spacing w:line="500" w:lineRule="exact"/>
        <w:ind w:firstLine="480" w:firstLineChars="200"/>
        <w:rPr>
          <w:rFonts w:hint="eastAsia" w:ascii="Times New Roman" w:hAnsi="Times New Roman" w:cs="Times New Roman"/>
        </w:rPr>
      </w:pPr>
      <w:r>
        <w:rPr>
          <w:rFonts w:hint="eastAsia"/>
        </w:rPr>
        <w:t>本项目符合国家、地方“两高”文件的相关要求，符合性分析</w:t>
      </w:r>
      <w:r>
        <w:rPr>
          <w:rFonts w:ascii="Times New Roman" w:hAnsi="Times New Roman" w:cs="Times New Roman"/>
        </w:rPr>
        <w:t>见表1.6-</w:t>
      </w:r>
      <w:r>
        <w:rPr>
          <w:rFonts w:hint="eastAsia" w:ascii="Times New Roman" w:hAnsi="Times New Roman" w:cs="Times New Roman"/>
          <w:lang w:val="en-US" w:eastAsia="zh-CN"/>
        </w:rPr>
        <w:t>7</w:t>
      </w:r>
      <w:r>
        <w:rPr>
          <w:rFonts w:ascii="Times New Roman" w:hAnsi="Times New Roman" w:cs="Times New Roman"/>
        </w:rPr>
        <w:t>。</w:t>
      </w:r>
    </w:p>
    <w:p w14:paraId="101C1536">
      <w:pPr>
        <w:spacing w:line="460" w:lineRule="exact"/>
        <w:ind w:firstLine="480" w:firstLineChars="200"/>
        <w:jc w:val="both"/>
        <w:rPr>
          <w:rFonts w:hint="eastAsia" w:ascii="Times New Roman" w:hAnsi="Times New Roman" w:cs="Times New Roman"/>
        </w:rPr>
      </w:pPr>
    </w:p>
    <w:p w14:paraId="01898589">
      <w:pPr>
        <w:spacing w:line="460" w:lineRule="exact"/>
        <w:ind w:firstLine="480" w:firstLineChars="200"/>
        <w:jc w:val="both"/>
        <w:rPr>
          <w:rFonts w:hint="eastAsia" w:ascii="Times New Roman" w:hAnsi="Times New Roman" w:cs="Times New Roman"/>
        </w:rPr>
      </w:pPr>
    </w:p>
    <w:p w14:paraId="23C61B50">
      <w:pPr>
        <w:spacing w:line="460" w:lineRule="exact"/>
        <w:ind w:firstLine="480" w:firstLineChars="200"/>
        <w:jc w:val="both"/>
        <w:rPr>
          <w:rFonts w:hint="eastAsia" w:ascii="Times New Roman" w:hAnsi="Times New Roman" w:cs="Times New Roman"/>
        </w:rPr>
      </w:pPr>
    </w:p>
    <w:p w14:paraId="1B12F86C">
      <w:pPr>
        <w:spacing w:line="460" w:lineRule="exact"/>
        <w:ind w:firstLine="480" w:firstLineChars="200"/>
        <w:jc w:val="both"/>
        <w:rPr>
          <w:rFonts w:hint="eastAsia" w:ascii="Times New Roman" w:hAnsi="Times New Roman" w:cs="Times New Roman"/>
        </w:rPr>
      </w:pPr>
    </w:p>
    <w:p w14:paraId="186F640A">
      <w:pPr>
        <w:spacing w:line="460" w:lineRule="exact"/>
        <w:ind w:firstLine="480" w:firstLineChars="200"/>
        <w:rPr>
          <w:rFonts w:hint="eastAsia" w:ascii="Times New Roman" w:hAnsi="Times New Roman" w:cs="Times New Roman"/>
        </w:rPr>
        <w:sectPr>
          <w:pgSz w:w="11907" w:h="16840"/>
          <w:pgMar w:top="1701" w:right="1701" w:bottom="1701" w:left="1701" w:header="851" w:footer="1077" w:gutter="0"/>
          <w:pgBorders w:offsetFrom="page">
            <w:top w:val="none" w:sz="0" w:space="0"/>
            <w:left w:val="none" w:sz="0" w:space="0"/>
            <w:bottom w:val="none" w:sz="0" w:space="0"/>
            <w:right w:val="none" w:sz="0" w:space="0"/>
          </w:pgBorders>
          <w:pgNumType w:fmt="decimal"/>
          <w:cols w:space="720" w:num="1"/>
          <w:docGrid w:type="lines" w:linePitch="479" w:charSpace="0"/>
        </w:sectPr>
      </w:pPr>
    </w:p>
    <w:p w14:paraId="1693C1FF">
      <w:pPr>
        <w:pStyle w:val="112"/>
        <w:snapToGrid/>
        <w:rPr>
          <w:rFonts w:hint="eastAsia" w:eastAsia="黑体"/>
          <w:lang w:eastAsia="zh-CN"/>
        </w:rPr>
      </w:pPr>
      <w:r>
        <w:rPr>
          <w:sz w:val="24"/>
        </w:rPr>
        <mc:AlternateContent>
          <mc:Choice Requires="wps">
            <w:drawing>
              <wp:anchor distT="0" distB="0" distL="114300" distR="114300" simplePos="0" relativeHeight="251720704" behindDoc="0" locked="0" layoutInCell="1" allowOverlap="1">
                <wp:simplePos x="0" y="0"/>
                <wp:positionH relativeFrom="column">
                  <wp:posOffset>1261745</wp:posOffset>
                </wp:positionH>
                <wp:positionV relativeFrom="paragraph">
                  <wp:posOffset>2984500</wp:posOffset>
                </wp:positionV>
                <wp:extent cx="820420" cy="311785"/>
                <wp:effectExtent l="88900" t="6350" r="24130" b="329565"/>
                <wp:wrapNone/>
                <wp:docPr id="59" name="矩形标注 59"/>
                <wp:cNvGraphicFramePr/>
                <a:graphic xmlns:a="http://schemas.openxmlformats.org/drawingml/2006/main">
                  <a:graphicData uri="http://schemas.microsoft.com/office/word/2010/wordprocessingShape">
                    <wps:wsp>
                      <wps:cNvSpPr/>
                      <wps:spPr>
                        <a:xfrm>
                          <a:off x="2341880" y="4099560"/>
                          <a:ext cx="820420" cy="311785"/>
                        </a:xfrm>
                        <a:prstGeom prst="wedgeRectCallout">
                          <a:avLst>
                            <a:gd name="adj1" fmla="val -60061"/>
                            <a:gd name="adj2" fmla="val 153054"/>
                          </a:avLst>
                        </a:prstGeom>
                        <a:solidFill>
                          <a:schemeClr val="bg1"/>
                        </a:solidFill>
                        <a:ln w="12700">
                          <a:solidFill>
                            <a:schemeClr val="tx1"/>
                          </a:solidFill>
                        </a:ln>
                      </wps:spPr>
                      <wps:style>
                        <a:lnRef idx="2">
                          <a:schemeClr val="accent1">
                            <a:lumMod val="75000"/>
                          </a:schemeClr>
                        </a:lnRef>
                        <a:fillRef idx="1">
                          <a:schemeClr val="accent1"/>
                        </a:fillRef>
                        <a:effectRef idx="0">
                          <a:srgbClr val="FFFFFF"/>
                        </a:effectRef>
                        <a:fontRef idx="minor">
                          <a:schemeClr val="lt1"/>
                        </a:fontRef>
                      </wps:style>
                      <wps:txbx>
                        <w:txbxContent>
                          <w:p w14:paraId="6A85EEEF">
                            <w:pPr>
                              <w:keepNext w:val="0"/>
                              <w:keepLines w:val="0"/>
                              <w:pageBreakBefore w:val="0"/>
                              <w:widowControl/>
                              <w:kinsoku/>
                              <w:wordWrap/>
                              <w:overflowPunct/>
                              <w:topLinePunct w:val="0"/>
                              <w:bidi w:val="0"/>
                              <w:adjustRightInd/>
                              <w:snapToGrid/>
                              <w:spacing w:line="120" w:lineRule="auto"/>
                              <w:jc w:val="both"/>
                              <w:textAlignment w:val="auto"/>
                              <w:rPr>
                                <w:rFonts w:hint="default" w:eastAsia="宋体"/>
                                <w:color w:val="000000" w:themeColor="text1"/>
                                <w:sz w:val="18"/>
                                <w:szCs w:val="18"/>
                                <w:lang w:val="en-US" w:eastAsia="zh-CN"/>
                                <w14:textFill>
                                  <w14:solidFill>
                                    <w14:schemeClr w14:val="tx1"/>
                                  </w14:solidFill>
                                </w14:textFill>
                              </w:rPr>
                            </w:pPr>
                            <w:r>
                              <w:rPr>
                                <w:rFonts w:hint="eastAsia"/>
                                <w:color w:val="000000" w:themeColor="text1"/>
                                <w:sz w:val="18"/>
                                <w:szCs w:val="18"/>
                                <w:lang w:val="en-US" w:eastAsia="zh-CN"/>
                                <w14:textFill>
                                  <w14:solidFill>
                                    <w14:schemeClr w14:val="tx1"/>
                                  </w14:solidFill>
                                </w14:textFill>
                              </w:rPr>
                              <w:t>项目所在地</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61" type="#_x0000_t61" style="position:absolute;left:0pt;margin-left:99.35pt;margin-top:235pt;height:24.55pt;width:64.6pt;z-index:251720704;v-text-anchor:middle;mso-width-relative:page;mso-height-relative:page;" fillcolor="#FFFFFF [3212]" filled="t" stroked="t" coordsize="21600,21600" o:gfxdata="UEsDBAoAAAAAAIdO4kAAAAAAAAAAAAAAAAAEAAAAZHJzL1BLAwQUAAAACACHTuJADODoLtsAAAAL&#10;AQAADwAAAGRycy9kb3ducmV2LnhtbE2PW0vEMBCF3wX/QxjBNzdpvXRbmy5asIoIshfY12yTbYvN&#10;JDTZi//e8UkfD/Nx5jvl4mxHdjRTGBxKSGYCmMHW6QE7CZv1y80cWIgKtRodGgnfJsCiurwoVaHd&#10;CZfmuIodoxIMhZLQx+gLzkPbG6vCzHmDdNu7yapIceq4ntSJyu3IUyEeuFUD0odeeVP3pv1aHayE&#10;9/pjuX19em7Sxu/Xb03NtU8/pby+SsQjsGjO8Q+GX31Sh4qcdu6AOrCRcj7PCJVwlwkaRcRtmuXA&#10;dhLukzwBXpX8/4bqB1BLAwQUAAAACACHTuJAUSo7Rq4CAABaBQAADgAAAGRycy9lMm9Eb2MueG1s&#10;rVTNbhMxEL4j8Q6W7+3+dNMmUTdVlCgIqaIVBXF2vN4f5D9sJ5vyAjwGiBOcOfM4lNdg7HXbtPTA&#10;gT14Z3Zmv5n5ZsanZzvB0ZYZ2ylZ4uwwxYhJqqpONiV++2Z1MMbIOiIrwpVkJb5mFp/Nnj877fWU&#10;5apVvGIGAYi0016XuHVOT5PE0pYJYg+VZhKMtTKCOFBNk1SG9IAueJKn6XHSK1NpoyizFr4uByOO&#10;iOZfAFVdd5QtFd0IJt2AahgnDkqybactnoVs65pRd1HXljnESwyVunBCEJDX/kxmp2TaGKLbjsYU&#10;yL+k8KgmQToJQe+glsQRtDHdX1Cio0ZZVbtDqkQyFBIYgSqy9BE3Vy3RLNQCVFt9R7r9f7D01fbS&#10;oK4q8WiCkSQCOv778/dfP7/efPl08+Mbgs/AUa/tFFyv9KWJmgXRF7yrjfBvKAXtSpwfFdl4DOxe&#10;l7hIJ5PRceSY7Ryi4DDO0yIHOwWHoyw7GY88fnIPpI11L5gSyAsl7lnVsNfQxwXhXG1cYJlsz60L&#10;dFcxZ1K9zzCqBYfubQlHB8cwalls755Tvu+UjY7SURHjR0zI5DYDH8Aq3lWrjvOgmGa94AZBgBKv&#10;whN/fuDGJephs/KT1NdJYEdqmE0QhQaerWwwIryB5aPOhHIe/G33g6TheSqIT3JJbDskExCiG5fA&#10;p2/Y0CIvud16F/u2VtU1dNyoYRWspqsOoM6JdZfEAHuQM9wO7gKOmisoREUJo1aZj0999/4wkmDF&#10;qIddgiI/bIhhGPGXEoZ1khUFwLqgFKMT33+zb1nvW+RGLBQQDP2E7ILo/R2/FWujxDu4ROY+KpiI&#10;pBB7oDMqCzfsOFxDlM3nwQ0WThN3Lq809eC+oVLNN07VnfMj6Ika2IkKrFyYzHg9+J3e14PX/ZU4&#10;+wN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i&#10;BQAAW0NvbnRlbnRfVHlwZXNdLnhtbFBLAQIUAAoAAAAAAIdO4kAAAAAAAAAAAAAAAAAGAAAAAAAA&#10;AAAAEAAAAAQEAABfcmVscy9QSwECFAAUAAAACACHTuJAihRmPNEAAACUAQAACwAAAAAAAAABACAA&#10;AAAoBAAAX3JlbHMvLnJlbHNQSwECFAAKAAAAAACHTuJAAAAAAAAAAAAAAAAABAAAAAAAAAAAABAA&#10;AAAAAAAAZHJzL1BLAQIUABQAAAAIAIdO4kAM4Ogu2wAAAAsBAAAPAAAAAAAAAAEAIAAAACIAAABk&#10;cnMvZG93bnJldi54bWxQSwECFAAUAAAACACHTuJAUSo7Rq4CAABaBQAADgAAAAAAAAABACAAAAAq&#10;AQAAZHJzL2Uyb0RvYy54bWxQSwUGAAAAAAYABgBZAQAASgYAAAAA&#10;" adj="-2173,43860">
                <v:fill on="t" focussize="0,0"/>
                <v:stroke weight="1pt" color="#000000 [3213]" joinstyle="round"/>
                <v:imagedata o:title=""/>
                <o:lock v:ext="edit" aspectratio="f"/>
                <v:textbox>
                  <w:txbxContent>
                    <w:p w14:paraId="6A85EEEF">
                      <w:pPr>
                        <w:keepNext w:val="0"/>
                        <w:keepLines w:val="0"/>
                        <w:pageBreakBefore w:val="0"/>
                        <w:widowControl/>
                        <w:kinsoku/>
                        <w:wordWrap/>
                        <w:overflowPunct/>
                        <w:topLinePunct w:val="0"/>
                        <w:bidi w:val="0"/>
                        <w:adjustRightInd/>
                        <w:snapToGrid/>
                        <w:spacing w:line="120" w:lineRule="auto"/>
                        <w:jc w:val="both"/>
                        <w:textAlignment w:val="auto"/>
                        <w:rPr>
                          <w:rFonts w:hint="default" w:eastAsia="宋体"/>
                          <w:color w:val="000000" w:themeColor="text1"/>
                          <w:sz w:val="18"/>
                          <w:szCs w:val="18"/>
                          <w:lang w:val="en-US" w:eastAsia="zh-CN"/>
                          <w14:textFill>
                            <w14:solidFill>
                              <w14:schemeClr w14:val="tx1"/>
                            </w14:solidFill>
                          </w14:textFill>
                        </w:rPr>
                      </w:pPr>
                      <w:r>
                        <w:rPr>
                          <w:rFonts w:hint="eastAsia"/>
                          <w:color w:val="000000" w:themeColor="text1"/>
                          <w:sz w:val="18"/>
                          <w:szCs w:val="18"/>
                          <w:lang w:val="en-US" w:eastAsia="zh-CN"/>
                          <w14:textFill>
                            <w14:solidFill>
                              <w14:schemeClr w14:val="tx1"/>
                            </w14:solidFill>
                          </w14:textFill>
                        </w:rPr>
                        <w:t>项目所在地</w:t>
                      </w:r>
                    </w:p>
                  </w:txbxContent>
                </v:textbox>
              </v:shape>
            </w:pict>
          </mc:Fallback>
        </mc:AlternateContent>
      </w:r>
      <w:r>
        <w:rPr>
          <w:rFonts w:hint="eastAsia" w:eastAsia="黑体"/>
          <w:lang w:eastAsia="zh-CN"/>
        </w:rPr>
        <w:drawing>
          <wp:inline distT="0" distB="0" distL="114300" distR="114300">
            <wp:extent cx="7981950" cy="4816475"/>
            <wp:effectExtent l="0" t="0" r="0" b="3175"/>
            <wp:docPr id="57" name="图片 57" descr="84e43a6dda36975435c0ca93742854b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图片 57" descr="84e43a6dda36975435c0ca93742854bc"/>
                    <pic:cNvPicPr>
                      <a:picLocks noChangeAspect="1"/>
                    </pic:cNvPicPr>
                  </pic:nvPicPr>
                  <pic:blipFill>
                    <a:blip r:embed="rId36"/>
                    <a:stretch>
                      <a:fillRect/>
                    </a:stretch>
                  </pic:blipFill>
                  <pic:spPr>
                    <a:xfrm>
                      <a:off x="0" y="0"/>
                      <a:ext cx="7981950" cy="4816475"/>
                    </a:xfrm>
                    <a:prstGeom prst="rect">
                      <a:avLst/>
                    </a:prstGeom>
                  </pic:spPr>
                </pic:pic>
              </a:graphicData>
            </a:graphic>
          </wp:inline>
        </w:drawing>
      </w:r>
    </w:p>
    <w:p w14:paraId="48FE35BC">
      <w:pPr>
        <w:pStyle w:val="112"/>
        <w:snapToGrid/>
        <w:rPr>
          <w:rFonts w:hint="eastAsia"/>
        </w:rPr>
      </w:pPr>
      <w:r>
        <w:t>图</w:t>
      </w:r>
      <w:r>
        <w:rPr>
          <w:rFonts w:hint="eastAsia"/>
        </w:rPr>
        <w:t>1.6-1</w:t>
      </w:r>
      <w:r>
        <w:t xml:space="preserve">  </w:t>
      </w:r>
      <w:r>
        <w:rPr>
          <w:rFonts w:hint="eastAsia"/>
          <w:lang w:val="en-US" w:eastAsia="zh-CN"/>
        </w:rPr>
        <w:t>本溪</w:t>
      </w:r>
      <w:r>
        <w:rPr>
          <w:rFonts w:hint="eastAsia"/>
        </w:rPr>
        <w:t>市环境管控单元分布</w:t>
      </w:r>
      <w:r>
        <w:t>图</w:t>
      </w:r>
    </w:p>
    <w:p w14:paraId="49A03908">
      <w:pPr>
        <w:snapToGrid w:val="0"/>
        <w:rPr>
          <w:rFonts w:ascii="Times New Roman" w:hAnsi="Times New Roman" w:cs="Times New Roman"/>
        </w:rPr>
        <w:sectPr>
          <w:pgSz w:w="16840" w:h="11907" w:orient="landscape"/>
          <w:pgMar w:top="1701" w:right="1701" w:bottom="1701" w:left="1701" w:header="851" w:footer="1077" w:gutter="0"/>
          <w:pgBorders w:offsetFrom="page">
            <w:top w:val="none" w:sz="0" w:space="0"/>
            <w:left w:val="none" w:sz="0" w:space="0"/>
            <w:bottom w:val="none" w:sz="0" w:space="0"/>
            <w:right w:val="none" w:sz="0" w:space="0"/>
          </w:pgBorders>
          <w:pgNumType w:fmt="decimal"/>
          <w:cols w:space="720" w:num="1"/>
          <w:docGrid w:type="lines" w:linePitch="479" w:charSpace="0"/>
        </w:sectPr>
      </w:pPr>
    </w:p>
    <w:p w14:paraId="2CBC3065">
      <w:pPr>
        <w:pStyle w:val="112"/>
        <w:snapToGrid/>
        <w:rPr>
          <w:rFonts w:hint="eastAsia" w:eastAsia="黑体"/>
          <w:lang w:eastAsia="zh-CN"/>
        </w:rPr>
      </w:pPr>
      <w:r>
        <w:rPr>
          <w:sz w:val="24"/>
        </w:rPr>
        <mc:AlternateContent>
          <mc:Choice Requires="wps">
            <w:drawing>
              <wp:anchor distT="0" distB="0" distL="114300" distR="114300" simplePos="0" relativeHeight="251721728" behindDoc="0" locked="0" layoutInCell="1" allowOverlap="1">
                <wp:simplePos x="0" y="0"/>
                <wp:positionH relativeFrom="column">
                  <wp:posOffset>1821180</wp:posOffset>
                </wp:positionH>
                <wp:positionV relativeFrom="paragraph">
                  <wp:posOffset>2703195</wp:posOffset>
                </wp:positionV>
                <wp:extent cx="852170" cy="363220"/>
                <wp:effectExtent l="116840" t="6350" r="21590" b="278130"/>
                <wp:wrapNone/>
                <wp:docPr id="62" name="矩形标注 62"/>
                <wp:cNvGraphicFramePr/>
                <a:graphic xmlns:a="http://schemas.openxmlformats.org/drawingml/2006/main">
                  <a:graphicData uri="http://schemas.microsoft.com/office/word/2010/wordprocessingShape">
                    <wps:wsp>
                      <wps:cNvSpPr/>
                      <wps:spPr>
                        <a:xfrm>
                          <a:off x="2901315" y="3902075"/>
                          <a:ext cx="852170" cy="363220"/>
                        </a:xfrm>
                        <a:prstGeom prst="wedgeRectCallout">
                          <a:avLst>
                            <a:gd name="adj1" fmla="val -62965"/>
                            <a:gd name="adj2" fmla="val 122902"/>
                          </a:avLst>
                        </a:prstGeom>
                        <a:solidFill>
                          <a:schemeClr val="bg1"/>
                        </a:solidFill>
                        <a:ln w="12700">
                          <a:solidFill>
                            <a:schemeClr val="tx1"/>
                          </a:solidFill>
                        </a:ln>
                      </wps:spPr>
                      <wps:style>
                        <a:lnRef idx="2">
                          <a:schemeClr val="accent1">
                            <a:lumMod val="75000"/>
                          </a:schemeClr>
                        </a:lnRef>
                        <a:fillRef idx="1">
                          <a:schemeClr val="accent1"/>
                        </a:fillRef>
                        <a:effectRef idx="0">
                          <a:srgbClr val="FFFFFF"/>
                        </a:effectRef>
                        <a:fontRef idx="minor">
                          <a:schemeClr val="lt1"/>
                        </a:fontRef>
                      </wps:style>
                      <wps:txbx>
                        <w:txbxContent>
                          <w:p w14:paraId="467BD271">
                            <w:pPr>
                              <w:jc w:val="both"/>
                              <w:rPr>
                                <w:rFonts w:hint="eastAsia" w:eastAsia="宋体"/>
                                <w:color w:val="000000" w:themeColor="text1"/>
                                <w:sz w:val="18"/>
                                <w:szCs w:val="18"/>
                                <w:lang w:val="en-US" w:eastAsia="zh-CN"/>
                                <w14:textFill>
                                  <w14:solidFill>
                                    <w14:schemeClr w14:val="tx1"/>
                                  </w14:solidFill>
                                </w14:textFill>
                              </w:rPr>
                            </w:pPr>
                            <w:r>
                              <w:rPr>
                                <w:rFonts w:hint="eastAsia"/>
                                <w:color w:val="000000" w:themeColor="text1"/>
                                <w:sz w:val="18"/>
                                <w:szCs w:val="18"/>
                                <w:lang w:val="en-US" w:eastAsia="zh-CN"/>
                                <w14:textFill>
                                  <w14:solidFill>
                                    <w14:schemeClr w14:val="tx1"/>
                                  </w14:solidFill>
                                </w14:textFill>
                              </w:rPr>
                              <w:t>项目所在地</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61" type="#_x0000_t61" style="position:absolute;left:0pt;margin-left:143.4pt;margin-top:212.85pt;height:28.6pt;width:67.1pt;z-index:251721728;v-text-anchor:middle;mso-width-relative:page;mso-height-relative:page;" fillcolor="#FFFFFF [3212]" filled="t" stroked="t" coordsize="21600,21600" o:gfxdata="UEsDBAoAAAAAAIdO4kAAAAAAAAAAAAAAAAAEAAAAZHJzL1BLAwQUAAAACACHTuJAMgLPZNoAAAAL&#10;AQAADwAAAGRycy9kb3ducmV2LnhtbE2PzU7DMBCE70i8g7VI3KiTqKRpiFOVCi5IPTRAz268xBHx&#10;OsTuD2/PcoLbrGY0+021urhBnHAKvScF6SwBgdR601On4O31+a4AEaImowdPqOAbA6zq66tKl8af&#10;aYenJnaCSyiUWoGNcSylDK1Fp8PMj0jsffjJ6cjn1Ekz6TOXu0FmSZJLp3viD1aPuLHYfjZHp8Cs&#10;t5vHL9M82fdFoV/y7Rr3rlPq9iZNHkBEvMS/MPziMzrUzHTwRzJBDAqyImf0qGCe3S9AcGKepbzu&#10;wKLIliDrSv7fUP8AUEsDBBQAAAAIAIdO4kB1ugamsAIAAFoFAAAOAAAAZHJzL2Uyb0RvYy54bWyt&#10;VM1uEzEQviPxDpbv7f60SZqomypKFIRU0YiCODtee3eR/7CdbMoL8BhFnODMmcehvAZj77ZNSw89&#10;sAfvzHr2m/m+8fj0bCcF2jLrGq0KnB2mGDFFddmoqsDv3y0PTjBynqiSCK1Yga+Yw2fTly9OWzNh&#10;ua61KJlFAKLcpDUFrr03kyRxtGaSuENtmIJNrq0kHlxbJaUlLaBLkeRpOkxabUtjNWXOwddFt4l7&#10;RPscQM15Q9lC041kyneolgnigZKrG+PwNFbLOaP+gnPHPBIFBqY+rpAE7HVYk+kpmVSWmLqhfQnk&#10;OSU84iRJoyDpHdSCeII2tvkHSjbUaqe5P6RaJh2RqAiwyNJH2lzWxLDIBaR25k509/9g6ZvtyqKm&#10;LPAwx0gRCR3/c/3j969vN1+/3Pz8juAzaNQaN4HQS7OyvefADIR33MrwBipoV+B8nGZH2QCjqwIf&#10;jdM8HQ06jdnOIwoBJ4M8G4H6NAQMj/I89iC5BzLW+VdMSxSMAresrNhb6OOcCKE3PqpMtufOR7nL&#10;vmZSfsww4lJA97ZEoINhPh72qau9ICB5H5TlUG7kB/l7TLBuKwgJnBZNuWyEiI6t1nNhESQo8DI+&#10;gRz88iBMKNTCZOWjNPAkMCMcziaY0oDOTlUYEVHB8FFvI50Hf7v9JGl8nkoSilwQV3fFRIQ+TCgo&#10;KTSsa1Gw/G696/u21uUVdNzqbhScocsGoM6J8ytiQT2oGW4HfwELFxqI6N7CqNb281PfQzwcSdjF&#10;qIVZApKfNsQyjMRrBYd1nB0fA6yPzvFgBD1Hdn9nvb+jNnKuQWDoJ1QXzRDvxa3JrZYf4BKZhayw&#10;RRSF3J2cvTP33YzDNUTZbBbDYOAM8efq0tAAHhqq9GzjNW986GIQqlOnd2DkYnP76yHM9L4fo+6v&#10;xOlf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IwUAAFtDb250ZW50X1R5cGVzXS54bWxQSwECFAAKAAAAAACHTuJAAAAAAAAAAAAAAAAABgAAAAAA&#10;AAAAABAAAAAFBAAAX3JlbHMvUEsBAhQAFAAAAAgAh07iQIoUZjzRAAAAlAEAAAsAAAAAAAAAAQAg&#10;AAAAKQQAAF9yZWxzLy5yZWxzUEsBAhQACgAAAAAAh07iQAAAAAAAAAAAAAAAAAQAAAAAAAAAAAAQ&#10;AAAAAAAAAGRycy9QSwECFAAUAAAACACHTuJAMgLPZNoAAAALAQAADwAAAAAAAAABACAAAAAiAAAA&#10;ZHJzL2Rvd25yZXYueG1sUEsBAhQAFAAAAAgAh07iQHW6BqawAgAAWgUAAA4AAAAAAAAAAQAgAAAA&#10;KQEAAGRycy9lMm9Eb2MueG1sUEsFBgAAAAAGAAYAWQEAAEsGAAAAAA==&#10;" adj="-2800,37347">
                <v:fill on="t" focussize="0,0"/>
                <v:stroke weight="1pt" color="#000000 [3213]" joinstyle="round"/>
                <v:imagedata o:title=""/>
                <o:lock v:ext="edit" aspectratio="f"/>
                <v:textbox>
                  <w:txbxContent>
                    <w:p w14:paraId="467BD271">
                      <w:pPr>
                        <w:jc w:val="both"/>
                        <w:rPr>
                          <w:rFonts w:hint="eastAsia" w:eastAsia="宋体"/>
                          <w:color w:val="000000" w:themeColor="text1"/>
                          <w:sz w:val="18"/>
                          <w:szCs w:val="18"/>
                          <w:lang w:val="en-US" w:eastAsia="zh-CN"/>
                          <w14:textFill>
                            <w14:solidFill>
                              <w14:schemeClr w14:val="tx1"/>
                            </w14:solidFill>
                          </w14:textFill>
                        </w:rPr>
                      </w:pPr>
                      <w:r>
                        <w:rPr>
                          <w:rFonts w:hint="eastAsia"/>
                          <w:color w:val="000000" w:themeColor="text1"/>
                          <w:sz w:val="18"/>
                          <w:szCs w:val="18"/>
                          <w:lang w:val="en-US" w:eastAsia="zh-CN"/>
                          <w14:textFill>
                            <w14:solidFill>
                              <w14:schemeClr w14:val="tx1"/>
                            </w14:solidFill>
                          </w14:textFill>
                        </w:rPr>
                        <w:t>项目所在地</w:t>
                      </w:r>
                    </w:p>
                  </w:txbxContent>
                </v:textbox>
              </v:shape>
            </w:pict>
          </mc:Fallback>
        </mc:AlternateContent>
      </w:r>
      <w:r>
        <w:rPr>
          <w:rFonts w:hint="eastAsia" w:eastAsia="黑体"/>
          <w:lang w:eastAsia="zh-CN"/>
        </w:rPr>
        <w:drawing>
          <wp:inline distT="0" distB="0" distL="114300" distR="114300">
            <wp:extent cx="7156450" cy="4852670"/>
            <wp:effectExtent l="0" t="0" r="6350" b="5080"/>
            <wp:docPr id="60" name="图片 60" descr="bd0cb14d3906ae566a4b6053291ec53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图片 60" descr="bd0cb14d3906ae566a4b6053291ec53c"/>
                    <pic:cNvPicPr>
                      <a:picLocks noChangeAspect="1"/>
                    </pic:cNvPicPr>
                  </pic:nvPicPr>
                  <pic:blipFill>
                    <a:blip r:embed="rId37"/>
                    <a:stretch>
                      <a:fillRect/>
                    </a:stretch>
                  </pic:blipFill>
                  <pic:spPr>
                    <a:xfrm>
                      <a:off x="0" y="0"/>
                      <a:ext cx="7156450" cy="4852670"/>
                    </a:xfrm>
                    <a:prstGeom prst="rect">
                      <a:avLst/>
                    </a:prstGeom>
                  </pic:spPr>
                </pic:pic>
              </a:graphicData>
            </a:graphic>
          </wp:inline>
        </w:drawing>
      </w:r>
    </w:p>
    <w:p w14:paraId="5925915E">
      <w:pPr>
        <w:pStyle w:val="112"/>
        <w:snapToGrid/>
        <w:rPr>
          <w:rFonts w:hint="eastAsia"/>
        </w:rPr>
      </w:pPr>
      <w:r>
        <w:t>图</w:t>
      </w:r>
      <w:r>
        <w:rPr>
          <w:rFonts w:hint="eastAsia"/>
        </w:rPr>
        <w:t>1.6-2</w:t>
      </w:r>
      <w:r>
        <w:t xml:space="preserve">  </w:t>
      </w:r>
      <w:r>
        <w:rPr>
          <w:rFonts w:hint="eastAsia"/>
          <w:lang w:val="en-US" w:eastAsia="zh-CN"/>
        </w:rPr>
        <w:t>本溪</w:t>
      </w:r>
      <w:r>
        <w:t>市生态红线范围类型图</w:t>
      </w:r>
    </w:p>
    <w:p w14:paraId="3EFA50FE">
      <w:pPr>
        <w:snapToGrid w:val="0"/>
        <w:rPr>
          <w:rFonts w:ascii="Times New Roman" w:hAnsi="Times New Roman" w:cs="Times New Roman"/>
        </w:rPr>
        <w:sectPr>
          <w:pgSz w:w="16840" w:h="11907" w:orient="landscape"/>
          <w:pgMar w:top="1701" w:right="1701" w:bottom="1701" w:left="1701" w:header="851" w:footer="1077" w:gutter="0"/>
          <w:pgBorders w:offsetFrom="page">
            <w:top w:val="none" w:sz="0" w:space="0"/>
            <w:left w:val="none" w:sz="0" w:space="0"/>
            <w:bottom w:val="none" w:sz="0" w:space="0"/>
            <w:right w:val="none" w:sz="0" w:space="0"/>
          </w:pgBorders>
          <w:pgNumType w:fmt="decimal"/>
          <w:cols w:space="720" w:num="1"/>
          <w:docGrid w:type="lines" w:linePitch="479" w:charSpace="0"/>
        </w:sectPr>
      </w:pPr>
    </w:p>
    <w:p w14:paraId="25ACCDCA">
      <w:pPr>
        <w:adjustRightInd w:val="0"/>
        <w:snapToGrid w:val="0"/>
        <w:spacing w:line="288" w:lineRule="auto"/>
        <w:jc w:val="center"/>
        <w:rPr>
          <w:rFonts w:ascii="Times New Roman" w:hAnsi="Times New Roman" w:eastAsia="黑体" w:cs="Times New Roman"/>
        </w:rPr>
      </w:pPr>
      <w:r>
        <w:rPr>
          <w:rFonts w:ascii="Times New Roman" w:hAnsi="Times New Roman" w:eastAsia="黑体" w:cs="Times New Roman"/>
        </w:rPr>
        <w:t>表1.6-</w:t>
      </w:r>
      <w:r>
        <w:rPr>
          <w:rFonts w:hint="eastAsia" w:ascii="Times New Roman" w:hAnsi="Times New Roman" w:eastAsia="黑体" w:cs="Times New Roman"/>
          <w:lang w:val="en-US" w:eastAsia="zh-CN"/>
        </w:rPr>
        <w:t>3</w:t>
      </w:r>
      <w:r>
        <w:rPr>
          <w:rFonts w:ascii="Times New Roman" w:hAnsi="Times New Roman" w:eastAsia="黑体" w:cs="Times New Roman"/>
        </w:rPr>
        <w:t xml:space="preserve">  本项目与</w:t>
      </w:r>
      <w:r>
        <w:rPr>
          <w:rFonts w:hint="eastAsia" w:hAnsi="黑体" w:eastAsia="黑体"/>
          <w:bCs/>
        </w:rPr>
        <w:t>《钢铁建设项目环境影响评价文件审批原则（试行）》</w:t>
      </w:r>
      <w:r>
        <w:rPr>
          <w:rFonts w:ascii="Times New Roman" w:hAnsi="Times New Roman" w:eastAsia="黑体" w:cs="Times New Roman"/>
        </w:rPr>
        <w:t>符合性分析表</w:t>
      </w:r>
    </w:p>
    <w:tbl>
      <w:tblPr>
        <w:tblStyle w:val="56"/>
        <w:tblW w:w="0" w:type="auto"/>
        <w:tblInd w:w="0" w:type="dxa"/>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7181"/>
        <w:gridCol w:w="5345"/>
        <w:gridCol w:w="1128"/>
      </w:tblGrid>
      <w:tr w14:paraId="77075CB1">
        <w:tblPrEx>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blHeader/>
        </w:trPr>
        <w:tc>
          <w:tcPr>
            <w:tcW w:w="7181" w:type="dxa"/>
            <w:shd w:val="clear" w:color="auto" w:fill="D9D9D9"/>
            <w:noWrap w:val="0"/>
            <w:vAlign w:val="center"/>
          </w:tcPr>
          <w:p w14:paraId="6F51FDD8">
            <w:pPr>
              <w:adjustRightInd w:val="0"/>
              <w:snapToGrid w:val="0"/>
              <w:jc w:val="center"/>
              <w:rPr>
                <w:rFonts w:ascii="Times New Roman" w:hAnsi="Times New Roman" w:cs="Times New Roman"/>
                <w:bCs/>
                <w:sz w:val="21"/>
                <w:szCs w:val="21"/>
              </w:rPr>
            </w:pPr>
            <w:r>
              <w:rPr>
                <w:rFonts w:hint="eastAsia" w:ascii="Times New Roman" w:hAnsi="Times New Roman" w:cs="Times New Roman"/>
                <w:bCs/>
                <w:sz w:val="21"/>
                <w:szCs w:val="21"/>
              </w:rPr>
              <w:t>环办【2015】112号</w:t>
            </w:r>
            <w:r>
              <w:rPr>
                <w:rFonts w:ascii="Times New Roman" w:hAnsi="Times New Roman" w:cs="Times New Roman"/>
                <w:bCs/>
                <w:sz w:val="21"/>
                <w:szCs w:val="21"/>
              </w:rPr>
              <w:t>文件要求</w:t>
            </w:r>
          </w:p>
        </w:tc>
        <w:tc>
          <w:tcPr>
            <w:tcW w:w="5345" w:type="dxa"/>
            <w:shd w:val="clear" w:color="auto" w:fill="D9D9D9"/>
            <w:noWrap w:val="0"/>
            <w:vAlign w:val="center"/>
          </w:tcPr>
          <w:p w14:paraId="618B432D">
            <w:pPr>
              <w:adjustRightInd w:val="0"/>
              <w:snapToGrid w:val="0"/>
              <w:jc w:val="center"/>
              <w:rPr>
                <w:rFonts w:ascii="Times New Roman" w:hAnsi="Times New Roman" w:cs="Times New Roman"/>
                <w:bCs/>
                <w:sz w:val="21"/>
                <w:szCs w:val="21"/>
              </w:rPr>
            </w:pPr>
            <w:r>
              <w:rPr>
                <w:rFonts w:ascii="Times New Roman" w:hAnsi="Times New Roman" w:cs="Times New Roman"/>
                <w:bCs/>
                <w:sz w:val="21"/>
                <w:szCs w:val="21"/>
              </w:rPr>
              <w:t>本项目情况</w:t>
            </w:r>
          </w:p>
        </w:tc>
        <w:tc>
          <w:tcPr>
            <w:tcW w:w="1128" w:type="dxa"/>
            <w:shd w:val="clear" w:color="auto" w:fill="D9D9D9"/>
            <w:noWrap w:val="0"/>
            <w:vAlign w:val="center"/>
          </w:tcPr>
          <w:p w14:paraId="1A2967BB">
            <w:pPr>
              <w:adjustRightInd w:val="0"/>
              <w:snapToGrid w:val="0"/>
              <w:jc w:val="center"/>
              <w:rPr>
                <w:rFonts w:ascii="Times New Roman" w:hAnsi="Times New Roman" w:cs="Times New Roman"/>
                <w:bCs/>
                <w:sz w:val="21"/>
                <w:szCs w:val="21"/>
              </w:rPr>
            </w:pPr>
            <w:r>
              <w:rPr>
                <w:rFonts w:ascii="Times New Roman" w:hAnsi="Times New Roman" w:cs="Times New Roman"/>
                <w:bCs/>
                <w:sz w:val="21"/>
                <w:szCs w:val="21"/>
              </w:rPr>
              <w:t>符合性</w:t>
            </w:r>
          </w:p>
        </w:tc>
      </w:tr>
      <w:tr w14:paraId="4592E255">
        <w:tblPrEx>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181" w:type="dxa"/>
            <w:noWrap w:val="0"/>
            <w:vAlign w:val="center"/>
          </w:tcPr>
          <w:p w14:paraId="50D9AA56">
            <w:pPr>
              <w:adjustRightInd w:val="0"/>
              <w:snapToGrid w:val="0"/>
              <w:rPr>
                <w:rFonts w:ascii="Times New Roman" w:hAnsi="Times New Roman" w:cs="Times New Roman"/>
                <w:bCs/>
                <w:sz w:val="21"/>
                <w:szCs w:val="21"/>
              </w:rPr>
            </w:pPr>
            <w:r>
              <w:rPr>
                <w:rFonts w:hint="eastAsia" w:ascii="Times New Roman" w:hAnsi="Times New Roman" w:cs="Times New Roman"/>
                <w:bCs/>
                <w:sz w:val="21"/>
                <w:szCs w:val="21"/>
              </w:rPr>
              <w:t>第二条 项目建设符合国家和地方环境保护的相关法律法规，符合落后产能淘汰的相关要求。实行铁、钢产能等量或减量置换，其中辽宁、河北、上海、天津、江苏、山东等省（市）实行省内铁、钢产能等量或减量置换。不予批准未按期完成淘汰任务地区的项目。</w:t>
            </w:r>
          </w:p>
        </w:tc>
        <w:tc>
          <w:tcPr>
            <w:tcW w:w="5345" w:type="dxa"/>
            <w:noWrap w:val="0"/>
            <w:vAlign w:val="center"/>
          </w:tcPr>
          <w:p w14:paraId="383961DC">
            <w:pPr>
              <w:adjustRightInd w:val="0"/>
              <w:snapToGrid w:val="0"/>
              <w:rPr>
                <w:rFonts w:ascii="Times New Roman" w:hAnsi="Times New Roman" w:cs="Times New Roman"/>
                <w:bCs/>
                <w:sz w:val="21"/>
                <w:szCs w:val="21"/>
              </w:rPr>
            </w:pPr>
            <w:r>
              <w:rPr>
                <w:rFonts w:hint="eastAsia" w:ascii="Times New Roman" w:hAnsi="Times New Roman" w:cs="Times New Roman"/>
                <w:bCs/>
                <w:sz w:val="21"/>
                <w:szCs w:val="21"/>
              </w:rPr>
              <w:t>项目建设符合国家和地方环境保护的相关法律法规，符合落后产能淘汰的相关要求。</w:t>
            </w:r>
            <w:r>
              <w:rPr>
                <w:rFonts w:hint="eastAsia" w:ascii="Times New Roman" w:hAnsi="Times New Roman" w:cs="Times New Roman"/>
                <w:kern w:val="2"/>
                <w:sz w:val="21"/>
                <w:szCs w:val="21"/>
              </w:rPr>
              <w:t>本项目</w:t>
            </w:r>
            <w:r>
              <w:rPr>
                <w:rFonts w:hint="eastAsia" w:ascii="Times New Roman" w:hAnsi="Times New Roman" w:cs="Times New Roman"/>
                <w:bCs/>
                <w:sz w:val="21"/>
                <w:szCs w:val="21"/>
              </w:rPr>
              <w:t>不新增产能，不需进行</w:t>
            </w:r>
            <w:r>
              <w:rPr>
                <w:rFonts w:ascii="Times New Roman" w:hAnsi="Times New Roman" w:cs="Times New Roman"/>
                <w:bCs/>
                <w:sz w:val="21"/>
                <w:szCs w:val="21"/>
              </w:rPr>
              <w:t>产能置换</w:t>
            </w:r>
            <w:r>
              <w:rPr>
                <w:rFonts w:hint="eastAsia" w:ascii="Times New Roman" w:hAnsi="Times New Roman" w:cs="Times New Roman"/>
                <w:bCs/>
                <w:sz w:val="21"/>
                <w:szCs w:val="21"/>
              </w:rPr>
              <w:t>。</w:t>
            </w:r>
          </w:p>
        </w:tc>
        <w:tc>
          <w:tcPr>
            <w:tcW w:w="1128" w:type="dxa"/>
            <w:noWrap w:val="0"/>
            <w:vAlign w:val="center"/>
          </w:tcPr>
          <w:p w14:paraId="0F7C603A">
            <w:pPr>
              <w:adjustRightInd w:val="0"/>
              <w:snapToGrid w:val="0"/>
              <w:jc w:val="center"/>
              <w:rPr>
                <w:rFonts w:ascii="Times New Roman" w:hAnsi="Times New Roman" w:cs="Times New Roman"/>
                <w:bCs/>
                <w:sz w:val="21"/>
                <w:szCs w:val="21"/>
              </w:rPr>
            </w:pPr>
            <w:r>
              <w:rPr>
                <w:rFonts w:ascii="Times New Roman" w:hAnsi="Times New Roman" w:cs="Times New Roman"/>
                <w:bCs/>
                <w:sz w:val="21"/>
                <w:szCs w:val="21"/>
              </w:rPr>
              <w:t>符合</w:t>
            </w:r>
          </w:p>
        </w:tc>
      </w:tr>
      <w:tr w14:paraId="293AD07C">
        <w:tblPrEx>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181" w:type="dxa"/>
            <w:noWrap w:val="0"/>
            <w:vAlign w:val="center"/>
          </w:tcPr>
          <w:p w14:paraId="68C90FA8">
            <w:pPr>
              <w:adjustRightInd w:val="0"/>
              <w:snapToGrid w:val="0"/>
              <w:rPr>
                <w:rFonts w:ascii="Times New Roman" w:hAnsi="Times New Roman" w:cs="Times New Roman"/>
                <w:bCs/>
                <w:sz w:val="21"/>
                <w:szCs w:val="21"/>
              </w:rPr>
            </w:pPr>
            <w:r>
              <w:rPr>
                <w:rFonts w:hint="eastAsia" w:ascii="Times New Roman" w:hAnsi="Times New Roman" w:cs="Times New Roman"/>
                <w:bCs/>
                <w:sz w:val="21"/>
                <w:szCs w:val="21"/>
              </w:rPr>
              <w:t>第三条 项目符合国家和地方的主体功能区规划、环境保护规划、城市总体规划、环境功能区划及其他相关规划要求，符合区域规划环评和产业规划环评要求。</w:t>
            </w:r>
          </w:p>
          <w:p w14:paraId="498EE90B">
            <w:pPr>
              <w:adjustRightInd w:val="0"/>
              <w:snapToGrid w:val="0"/>
              <w:rPr>
                <w:rFonts w:ascii="Times New Roman" w:hAnsi="Times New Roman" w:cs="Times New Roman"/>
                <w:bCs/>
                <w:sz w:val="21"/>
                <w:szCs w:val="21"/>
              </w:rPr>
            </w:pPr>
            <w:r>
              <w:rPr>
                <w:rFonts w:hint="eastAsia" w:ascii="Times New Roman" w:hAnsi="Times New Roman" w:cs="Times New Roman"/>
                <w:bCs/>
                <w:sz w:val="21"/>
                <w:szCs w:val="21"/>
              </w:rPr>
              <w:t>不予批准选址在自然保护区、风景名胜区、饮用水水源保护区和永久基本农田内的项目，不予批准选址在城市建成区、地级及以上城市市辖区内的新建、扩建项目。</w:t>
            </w:r>
          </w:p>
        </w:tc>
        <w:tc>
          <w:tcPr>
            <w:tcW w:w="5345" w:type="dxa"/>
            <w:noWrap w:val="0"/>
            <w:vAlign w:val="center"/>
          </w:tcPr>
          <w:p w14:paraId="3E7D929E">
            <w:pPr>
              <w:adjustRightInd w:val="0"/>
              <w:snapToGrid w:val="0"/>
              <w:rPr>
                <w:rFonts w:ascii="Times New Roman" w:hAnsi="Times New Roman" w:cs="Times New Roman"/>
                <w:bCs/>
                <w:sz w:val="21"/>
                <w:szCs w:val="21"/>
              </w:rPr>
            </w:pPr>
            <w:r>
              <w:rPr>
                <w:rFonts w:hint="eastAsia" w:ascii="Times New Roman" w:hAnsi="Times New Roman" w:cs="Times New Roman"/>
                <w:bCs/>
                <w:sz w:val="21"/>
                <w:szCs w:val="21"/>
              </w:rPr>
              <w:t>项目符合国家和辽宁省主体</w:t>
            </w:r>
            <w:r>
              <w:rPr>
                <w:rFonts w:hint="eastAsia" w:ascii="Times New Roman" w:hAnsi="Times New Roman" w:cs="Times New Roman"/>
                <w:bCs/>
                <w:sz w:val="21"/>
                <w:szCs w:val="21"/>
                <w:highlight w:val="none"/>
              </w:rPr>
              <w:t>功能区规划、环境保护规划、本溪满族自治县草河口镇总体规划、环境</w:t>
            </w:r>
            <w:r>
              <w:rPr>
                <w:rFonts w:hint="eastAsia" w:ascii="Times New Roman" w:hAnsi="Times New Roman" w:cs="Times New Roman"/>
                <w:bCs/>
                <w:sz w:val="21"/>
                <w:szCs w:val="21"/>
              </w:rPr>
              <w:t>功能区划要求。</w:t>
            </w:r>
            <w:r>
              <w:rPr>
                <w:rFonts w:ascii="Times New Roman" w:hAnsi="Times New Roman" w:cs="Times New Roman"/>
                <w:sz w:val="21"/>
                <w:szCs w:val="21"/>
              </w:rPr>
              <w:t>所在区域</w:t>
            </w:r>
            <w:r>
              <w:rPr>
                <w:rFonts w:hint="eastAsia" w:ascii="Times New Roman" w:hAnsi="Times New Roman" w:cs="Times New Roman"/>
                <w:sz w:val="21"/>
                <w:szCs w:val="21"/>
              </w:rPr>
              <w:t>为</w:t>
            </w:r>
            <w:r>
              <w:rPr>
                <w:rFonts w:hint="eastAsia" w:ascii="Times New Roman" w:hAnsi="Times New Roman" w:cs="Times New Roman"/>
                <w:sz w:val="21"/>
                <w:szCs w:val="21"/>
                <w:lang w:val="en-US" w:eastAsia="zh-CN"/>
              </w:rPr>
              <w:t>工业用地</w:t>
            </w:r>
            <w:r>
              <w:rPr>
                <w:rFonts w:hint="eastAsia" w:ascii="Times New Roman" w:hAnsi="Times New Roman" w:cs="Times New Roman"/>
                <w:sz w:val="21"/>
                <w:szCs w:val="21"/>
              </w:rPr>
              <w:t>，</w:t>
            </w:r>
            <w:r>
              <w:rPr>
                <w:rFonts w:hint="eastAsia" w:ascii="Times New Roman" w:hAnsi="Times New Roman" w:cs="Times New Roman"/>
                <w:bCs/>
                <w:sz w:val="21"/>
                <w:szCs w:val="21"/>
              </w:rPr>
              <w:t>本项目厂址不涉及自然保护区、风景名胜区、饮用水水源保护区和永久基本农田，不在城市建成区、地级及以上城市市辖区内。</w:t>
            </w:r>
          </w:p>
        </w:tc>
        <w:tc>
          <w:tcPr>
            <w:tcW w:w="1128" w:type="dxa"/>
            <w:noWrap w:val="0"/>
            <w:vAlign w:val="center"/>
          </w:tcPr>
          <w:p w14:paraId="6418FBE6">
            <w:pPr>
              <w:adjustRightInd w:val="0"/>
              <w:snapToGrid w:val="0"/>
              <w:jc w:val="center"/>
              <w:rPr>
                <w:rFonts w:ascii="Times New Roman" w:hAnsi="Times New Roman" w:cs="Times New Roman"/>
                <w:bCs/>
                <w:sz w:val="21"/>
                <w:szCs w:val="21"/>
              </w:rPr>
            </w:pPr>
            <w:r>
              <w:rPr>
                <w:rFonts w:ascii="Times New Roman" w:hAnsi="Times New Roman" w:cs="Times New Roman"/>
                <w:bCs/>
                <w:sz w:val="21"/>
                <w:szCs w:val="21"/>
              </w:rPr>
              <w:t>符合</w:t>
            </w:r>
          </w:p>
        </w:tc>
      </w:tr>
      <w:tr w14:paraId="50E24D64">
        <w:tblPrEx>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181" w:type="dxa"/>
            <w:noWrap w:val="0"/>
            <w:vAlign w:val="center"/>
          </w:tcPr>
          <w:p w14:paraId="452AFC7C">
            <w:pPr>
              <w:adjustRightInd w:val="0"/>
              <w:snapToGrid w:val="0"/>
              <w:rPr>
                <w:rFonts w:ascii="Times New Roman" w:hAnsi="Times New Roman" w:cs="Times New Roman"/>
                <w:bCs/>
                <w:sz w:val="21"/>
                <w:szCs w:val="21"/>
              </w:rPr>
            </w:pPr>
            <w:r>
              <w:rPr>
                <w:rFonts w:hint="eastAsia" w:ascii="Times New Roman" w:hAnsi="Times New Roman" w:cs="Times New Roman"/>
                <w:bCs/>
                <w:sz w:val="21"/>
                <w:szCs w:val="21"/>
              </w:rPr>
              <w:t>第五条 污染物排放总量满足国家和地方的相关控制指标要求，有明确的总量来源和具体的平衡方案。</w:t>
            </w:r>
          </w:p>
          <w:p w14:paraId="5A5284B2">
            <w:pPr>
              <w:adjustRightInd w:val="0"/>
              <w:snapToGrid w:val="0"/>
              <w:rPr>
                <w:rFonts w:ascii="Times New Roman" w:hAnsi="Times New Roman" w:cs="Times New Roman"/>
                <w:bCs/>
                <w:sz w:val="21"/>
                <w:szCs w:val="21"/>
              </w:rPr>
            </w:pPr>
            <w:r>
              <w:rPr>
                <w:rFonts w:hint="eastAsia" w:ascii="Times New Roman" w:hAnsi="Times New Roman" w:cs="Times New Roman"/>
                <w:bCs/>
                <w:sz w:val="21"/>
                <w:szCs w:val="21"/>
              </w:rPr>
              <w:t>不予批准超过污染物排放总量控制指标或未完成环境质量改善目标地区新增污染物排放的项目。</w:t>
            </w:r>
          </w:p>
        </w:tc>
        <w:tc>
          <w:tcPr>
            <w:tcW w:w="5345" w:type="dxa"/>
            <w:noWrap w:val="0"/>
            <w:vAlign w:val="center"/>
          </w:tcPr>
          <w:p w14:paraId="4A310E29">
            <w:pPr>
              <w:adjustRightInd w:val="0"/>
              <w:snapToGrid w:val="0"/>
              <w:rPr>
                <w:rFonts w:ascii="Times New Roman" w:hAnsi="Times New Roman" w:cs="Times New Roman"/>
                <w:bCs/>
                <w:sz w:val="21"/>
                <w:szCs w:val="21"/>
              </w:rPr>
            </w:pPr>
            <w:r>
              <w:rPr>
                <w:rFonts w:hint="eastAsia" w:ascii="Times New Roman" w:hAnsi="Times New Roman" w:cs="Times New Roman"/>
                <w:kern w:val="2"/>
                <w:sz w:val="21"/>
                <w:szCs w:val="21"/>
              </w:rPr>
              <w:t>本项目为无新增生活污水，</w:t>
            </w:r>
            <w:r>
              <w:rPr>
                <w:rFonts w:hint="eastAsia" w:ascii="Times New Roman" w:hAnsi="Times New Roman" w:cs="Times New Roman"/>
                <w:bCs/>
                <w:sz w:val="21"/>
                <w:szCs w:val="21"/>
              </w:rPr>
              <w:t>生产废水全部回用不外排，项目实施后废气污染物排放量得到削减，不新增排放总量。</w:t>
            </w:r>
          </w:p>
        </w:tc>
        <w:tc>
          <w:tcPr>
            <w:tcW w:w="1128" w:type="dxa"/>
            <w:noWrap w:val="0"/>
            <w:vAlign w:val="center"/>
          </w:tcPr>
          <w:p w14:paraId="45707FCA">
            <w:pPr>
              <w:adjustRightInd w:val="0"/>
              <w:snapToGrid w:val="0"/>
              <w:jc w:val="center"/>
              <w:rPr>
                <w:rFonts w:ascii="Times New Roman" w:hAnsi="Times New Roman" w:cs="Times New Roman"/>
                <w:bCs/>
                <w:sz w:val="21"/>
                <w:szCs w:val="21"/>
              </w:rPr>
            </w:pPr>
            <w:r>
              <w:rPr>
                <w:rFonts w:ascii="Times New Roman" w:hAnsi="Times New Roman" w:cs="Times New Roman"/>
                <w:bCs/>
                <w:sz w:val="21"/>
                <w:szCs w:val="21"/>
              </w:rPr>
              <w:t>符合</w:t>
            </w:r>
          </w:p>
        </w:tc>
      </w:tr>
      <w:tr w14:paraId="3B3963DE">
        <w:tblPrEx>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181" w:type="dxa"/>
            <w:noWrap w:val="0"/>
            <w:vAlign w:val="center"/>
          </w:tcPr>
          <w:p w14:paraId="2A69EC97">
            <w:pPr>
              <w:adjustRightInd w:val="0"/>
              <w:snapToGrid w:val="0"/>
              <w:rPr>
                <w:rFonts w:ascii="Times New Roman" w:hAnsi="Times New Roman" w:cs="Times New Roman"/>
                <w:bCs/>
                <w:sz w:val="21"/>
                <w:szCs w:val="21"/>
              </w:rPr>
            </w:pPr>
            <w:r>
              <w:rPr>
                <w:rFonts w:hint="eastAsia" w:ascii="Times New Roman" w:hAnsi="Times New Roman" w:cs="Times New Roman"/>
                <w:bCs/>
                <w:sz w:val="21"/>
                <w:szCs w:val="21"/>
              </w:rPr>
              <w:t>第六条 对有组织、无组织废气进行收集、控制与治理。料场、料堆采取防风抑尘措施，城市钢厂及位于沿海、大气污染防治重点控制区的项目采用密闭料场或筒仓，大宗物料采取封闭式皮带运输。烧结（球团）焙烧烟气全部收集并同步建设先进高效的脱硫、除尘和必要的脱硝设施。烧结、电炉工序采取必要的二噁英控制措施。高炉、焦炉和转炉煤气净化回收利用，其它废气及电炉冶炼烟气进行收集并采取高效除尘措施。焦炉烟气必要时配设硫化物和氮氧化物治理设施，轧钢加热炉和热处理炉采用低氮燃烧技术，冷轧酸雾、油雾和有机废气采取净化措施。</w:t>
            </w:r>
          </w:p>
        </w:tc>
        <w:tc>
          <w:tcPr>
            <w:tcW w:w="5345" w:type="dxa"/>
            <w:noWrap w:val="0"/>
            <w:vAlign w:val="center"/>
          </w:tcPr>
          <w:p w14:paraId="22B76BA5">
            <w:pPr>
              <w:adjustRightInd w:val="0"/>
              <w:snapToGrid w:val="0"/>
              <w:rPr>
                <w:rFonts w:ascii="Times New Roman" w:hAnsi="Times New Roman" w:cs="Times New Roman"/>
                <w:bCs/>
                <w:sz w:val="21"/>
                <w:szCs w:val="21"/>
              </w:rPr>
            </w:pPr>
            <w:r>
              <w:rPr>
                <w:rFonts w:hint="eastAsia" w:ascii="Times New Roman" w:hAnsi="Times New Roman" w:cs="Times New Roman"/>
                <w:bCs/>
                <w:sz w:val="21"/>
                <w:szCs w:val="21"/>
                <w:lang w:val="en-US" w:eastAsia="zh-CN"/>
              </w:rPr>
              <w:t>烧结机、球团竖炉均设</w:t>
            </w:r>
            <w:r>
              <w:rPr>
                <w:rFonts w:hint="eastAsia" w:ascii="Times New Roman" w:hAnsi="Times New Roman" w:cs="Times New Roman"/>
                <w:bCs/>
                <w:sz w:val="21"/>
                <w:szCs w:val="21"/>
              </w:rPr>
              <w:t>密闭罩和屋顶罩对烟气进行收集，并采取</w:t>
            </w:r>
            <w:r>
              <w:rPr>
                <w:rFonts w:hint="eastAsia" w:ascii="Times New Roman" w:hAnsi="Times New Roman" w:cs="Times New Roman"/>
                <w:bCs/>
                <w:sz w:val="21"/>
                <w:szCs w:val="21"/>
                <w:lang w:val="en-US" w:eastAsia="zh-CN"/>
              </w:rPr>
              <w:t>湿电</w:t>
            </w:r>
            <w:r>
              <w:rPr>
                <w:rFonts w:hint="eastAsia" w:ascii="Times New Roman" w:hAnsi="Times New Roman" w:cs="Times New Roman"/>
                <w:bCs/>
                <w:sz w:val="21"/>
                <w:szCs w:val="21"/>
              </w:rPr>
              <w:t>除尘</w:t>
            </w:r>
            <w:r>
              <w:rPr>
                <w:rFonts w:hint="eastAsia" w:ascii="Times New Roman" w:hAnsi="Times New Roman" w:cs="Times New Roman"/>
                <w:bCs/>
                <w:sz w:val="21"/>
                <w:szCs w:val="21"/>
                <w:lang w:val="en-US" w:eastAsia="zh-CN"/>
              </w:rPr>
              <w:t>+石灰石-石膏湿式脱硫+SCR</w:t>
            </w:r>
            <w:r>
              <w:rPr>
                <w:rFonts w:hint="eastAsia" w:ascii="Times New Roman" w:hAnsi="Times New Roman" w:cs="Times New Roman"/>
                <w:bCs/>
                <w:sz w:val="21"/>
                <w:szCs w:val="21"/>
              </w:rPr>
              <w:t>措施；</w:t>
            </w:r>
            <w:r>
              <w:rPr>
                <w:rFonts w:hint="eastAsia" w:ascii="Times New Roman" w:hAnsi="Times New Roman" w:cs="Times New Roman"/>
                <w:bCs/>
                <w:sz w:val="21"/>
                <w:szCs w:val="21"/>
                <w:lang w:val="en-US" w:eastAsia="zh-CN"/>
              </w:rPr>
              <w:t>各产尘工序均设收尘及除尘设备</w:t>
            </w:r>
            <w:r>
              <w:rPr>
                <w:rFonts w:hint="eastAsia" w:ascii="Times New Roman" w:hAnsi="Times New Roman" w:cs="Times New Roman"/>
                <w:bCs/>
                <w:sz w:val="21"/>
                <w:szCs w:val="21"/>
              </w:rPr>
              <w:t>。各生产车间为封闭厂房，</w:t>
            </w:r>
            <w:r>
              <w:rPr>
                <w:rFonts w:ascii="Times New Roman" w:hAnsi="Times New Roman" w:cs="Times New Roman"/>
                <w:bCs/>
                <w:sz w:val="21"/>
                <w:szCs w:val="21"/>
              </w:rPr>
              <w:t>散装料采用封闭料场；除尘灰加湿转运，并对运输车辆进行苫盖，</w:t>
            </w:r>
            <w:r>
              <w:rPr>
                <w:rFonts w:hint="eastAsia" w:ascii="Times New Roman" w:hAnsi="Times New Roman" w:cs="Times New Roman"/>
                <w:bCs/>
                <w:sz w:val="21"/>
                <w:szCs w:val="21"/>
              </w:rPr>
              <w:t>有效控制无组织废气排放</w:t>
            </w:r>
            <w:r>
              <w:rPr>
                <w:rFonts w:ascii="Times New Roman" w:hAnsi="Times New Roman" w:cs="Times New Roman"/>
                <w:bCs/>
                <w:sz w:val="21"/>
                <w:szCs w:val="21"/>
              </w:rPr>
              <w:t>。</w:t>
            </w:r>
          </w:p>
        </w:tc>
        <w:tc>
          <w:tcPr>
            <w:tcW w:w="1128" w:type="dxa"/>
            <w:noWrap w:val="0"/>
            <w:vAlign w:val="center"/>
          </w:tcPr>
          <w:p w14:paraId="1641D680">
            <w:pPr>
              <w:adjustRightInd w:val="0"/>
              <w:snapToGrid w:val="0"/>
              <w:jc w:val="center"/>
              <w:rPr>
                <w:rFonts w:ascii="Times New Roman" w:hAnsi="Times New Roman" w:cs="Times New Roman"/>
                <w:bCs/>
                <w:sz w:val="21"/>
                <w:szCs w:val="21"/>
              </w:rPr>
            </w:pPr>
            <w:r>
              <w:rPr>
                <w:rFonts w:ascii="Times New Roman" w:hAnsi="Times New Roman" w:cs="Times New Roman"/>
                <w:bCs/>
                <w:sz w:val="21"/>
                <w:szCs w:val="21"/>
              </w:rPr>
              <w:t>符合</w:t>
            </w:r>
          </w:p>
        </w:tc>
      </w:tr>
      <w:tr w14:paraId="381FE6F2">
        <w:tblPrEx>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181" w:type="dxa"/>
            <w:noWrap w:val="0"/>
            <w:vAlign w:val="center"/>
          </w:tcPr>
          <w:p w14:paraId="6E0CC0E7">
            <w:pPr>
              <w:adjustRightInd w:val="0"/>
              <w:snapToGrid w:val="0"/>
              <w:rPr>
                <w:rFonts w:ascii="Times New Roman" w:hAnsi="Times New Roman" w:cs="Times New Roman"/>
                <w:bCs/>
                <w:sz w:val="21"/>
                <w:szCs w:val="21"/>
              </w:rPr>
            </w:pPr>
            <w:r>
              <w:rPr>
                <w:rFonts w:hint="eastAsia" w:ascii="Times New Roman" w:hAnsi="Times New Roman" w:cs="Times New Roman"/>
                <w:bCs/>
                <w:sz w:val="21"/>
                <w:szCs w:val="21"/>
              </w:rPr>
              <w:t>第七条 具备条件的地区，利用城市污水处理厂的中水、海水淡化水。取用地表水不得挤占生态用水、生活用水和农业用水。严格控制取用地下水。</w:t>
            </w:r>
          </w:p>
          <w:p w14:paraId="0B6D9DF9">
            <w:pPr>
              <w:adjustRightInd w:val="0"/>
              <w:snapToGrid w:val="0"/>
              <w:rPr>
                <w:rFonts w:ascii="Times New Roman" w:hAnsi="Times New Roman" w:cs="Times New Roman"/>
                <w:bCs/>
                <w:sz w:val="21"/>
                <w:szCs w:val="21"/>
              </w:rPr>
            </w:pPr>
            <w:r>
              <w:rPr>
                <w:rFonts w:hint="eastAsia" w:ascii="Times New Roman" w:hAnsi="Times New Roman" w:cs="Times New Roman"/>
                <w:bCs/>
                <w:sz w:val="21"/>
                <w:szCs w:val="21"/>
              </w:rPr>
              <w:t>按照“清污分流、分质处理、梯级利用”原则，设立完善的废水收集、处理、回用系统。焦化酚氰废水、含油废水、乳化液废水、酸碱废水和含铬废水单独收集处理，酚氰废水不得外排。配套建设净环、浊环废水处理系统和全厂废水处理站。</w:t>
            </w:r>
          </w:p>
          <w:p w14:paraId="01D62C6D">
            <w:pPr>
              <w:adjustRightInd w:val="0"/>
              <w:snapToGrid w:val="0"/>
              <w:rPr>
                <w:rFonts w:ascii="Times New Roman" w:hAnsi="Times New Roman" w:cs="Times New Roman"/>
                <w:bCs/>
                <w:sz w:val="21"/>
                <w:szCs w:val="21"/>
              </w:rPr>
            </w:pPr>
            <w:r>
              <w:rPr>
                <w:rFonts w:hint="eastAsia" w:ascii="Times New Roman" w:hAnsi="Times New Roman" w:cs="Times New Roman"/>
                <w:bCs/>
                <w:sz w:val="21"/>
                <w:szCs w:val="21"/>
              </w:rPr>
              <w:t>按照环境保护目标的敏感程度、水文地质条件采取分区防渗措施，提出有效的地下水监控方案。</w:t>
            </w:r>
          </w:p>
        </w:tc>
        <w:tc>
          <w:tcPr>
            <w:tcW w:w="5345" w:type="dxa"/>
            <w:noWrap w:val="0"/>
            <w:vAlign w:val="center"/>
          </w:tcPr>
          <w:p w14:paraId="78E952D1">
            <w:pPr>
              <w:adjustRightInd w:val="0"/>
              <w:snapToGrid w:val="0"/>
              <w:rPr>
                <w:rFonts w:ascii="Times New Roman" w:hAnsi="Times New Roman" w:cs="Times New Roman"/>
                <w:bCs/>
                <w:sz w:val="21"/>
                <w:szCs w:val="21"/>
              </w:rPr>
            </w:pPr>
            <w:r>
              <w:rPr>
                <w:rFonts w:hint="eastAsia" w:ascii="Times New Roman" w:hAnsi="Times New Roman" w:cs="Times New Roman"/>
                <w:bCs/>
                <w:sz w:val="21"/>
                <w:szCs w:val="21"/>
              </w:rPr>
              <w:t>所在区域暂不具备利用城市污水处理厂的中水、海水淡化水的条件。厂区用水主要来自</w:t>
            </w:r>
            <w:r>
              <w:rPr>
                <w:rFonts w:hint="eastAsia" w:ascii="Times New Roman" w:hAnsi="Times New Roman" w:cs="Times New Roman"/>
                <w:bCs/>
                <w:sz w:val="21"/>
                <w:szCs w:val="21"/>
                <w:lang w:val="en-US" w:eastAsia="zh-CN"/>
              </w:rPr>
              <w:t>地下水，本次技改项目仅增加湿式除尘用水，用水量较少，企业已取得取水证，取水证见附件</w:t>
            </w:r>
            <w:r>
              <w:rPr>
                <w:rFonts w:hint="eastAsia" w:ascii="Times New Roman" w:hAnsi="Times New Roman" w:cs="Times New Roman"/>
                <w:bCs/>
                <w:sz w:val="21"/>
                <w:szCs w:val="21"/>
              </w:rPr>
              <w:t>。</w:t>
            </w:r>
          </w:p>
          <w:p w14:paraId="676D2D40">
            <w:pPr>
              <w:adjustRightInd w:val="0"/>
              <w:snapToGrid w:val="0"/>
              <w:rPr>
                <w:rFonts w:ascii="Times New Roman" w:hAnsi="Times New Roman" w:cs="Times New Roman"/>
                <w:bCs/>
                <w:sz w:val="21"/>
                <w:szCs w:val="21"/>
              </w:rPr>
            </w:pPr>
            <w:r>
              <w:rPr>
                <w:rFonts w:hint="eastAsia" w:ascii="Times New Roman" w:hAnsi="Times New Roman" w:cs="Times New Roman"/>
                <w:bCs/>
                <w:sz w:val="21"/>
                <w:szCs w:val="21"/>
              </w:rPr>
              <w:t>按照“清污分流、分质处理、梯级利用”的原则，设置了完善的废污水收集、处理、回用系统，生产废水全部回用。</w:t>
            </w:r>
          </w:p>
          <w:p w14:paraId="7851E684">
            <w:pPr>
              <w:adjustRightInd w:val="0"/>
              <w:snapToGrid w:val="0"/>
              <w:rPr>
                <w:rFonts w:ascii="Times New Roman" w:hAnsi="Times New Roman" w:cs="Times New Roman"/>
                <w:bCs/>
                <w:sz w:val="21"/>
                <w:szCs w:val="21"/>
              </w:rPr>
            </w:pPr>
            <w:r>
              <w:rPr>
                <w:rFonts w:hint="eastAsia" w:ascii="Times New Roman" w:hAnsi="Times New Roman" w:cs="Times New Roman"/>
                <w:bCs/>
                <w:sz w:val="21"/>
                <w:szCs w:val="21"/>
              </w:rPr>
              <w:t>厂区按照环境保护目标的敏感程度、水文地质条件采取了分区防渗措施。</w:t>
            </w:r>
          </w:p>
        </w:tc>
        <w:tc>
          <w:tcPr>
            <w:tcW w:w="1128" w:type="dxa"/>
            <w:noWrap w:val="0"/>
            <w:vAlign w:val="center"/>
          </w:tcPr>
          <w:p w14:paraId="7301C5D6">
            <w:pPr>
              <w:adjustRightInd w:val="0"/>
              <w:snapToGrid w:val="0"/>
              <w:jc w:val="center"/>
              <w:rPr>
                <w:rFonts w:ascii="Times New Roman" w:hAnsi="Times New Roman" w:cs="Times New Roman"/>
                <w:bCs/>
                <w:sz w:val="21"/>
                <w:szCs w:val="21"/>
              </w:rPr>
            </w:pPr>
            <w:r>
              <w:rPr>
                <w:rFonts w:ascii="Times New Roman" w:hAnsi="Times New Roman" w:cs="Times New Roman"/>
                <w:bCs/>
                <w:sz w:val="21"/>
                <w:szCs w:val="21"/>
              </w:rPr>
              <w:t>符合</w:t>
            </w:r>
          </w:p>
        </w:tc>
      </w:tr>
      <w:tr w14:paraId="5353A866">
        <w:tblPrEx>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181" w:type="dxa"/>
            <w:noWrap w:val="0"/>
            <w:vAlign w:val="center"/>
          </w:tcPr>
          <w:p w14:paraId="57EFAD08">
            <w:pPr>
              <w:adjustRightInd w:val="0"/>
              <w:snapToGrid w:val="0"/>
              <w:rPr>
                <w:rFonts w:ascii="Times New Roman" w:hAnsi="Times New Roman" w:cs="Times New Roman"/>
                <w:bCs/>
                <w:sz w:val="21"/>
                <w:szCs w:val="21"/>
              </w:rPr>
            </w:pPr>
            <w:r>
              <w:rPr>
                <w:rFonts w:hint="eastAsia" w:ascii="Times New Roman" w:hAnsi="Times New Roman" w:cs="Times New Roman"/>
                <w:bCs/>
                <w:sz w:val="21"/>
                <w:szCs w:val="21"/>
              </w:rPr>
              <w:t>第八条 遵照“资源化、减量化、无害化”原则，对固体废物进行处理处置，采取有效措施提高综合利用率。危险废物的贮存和处理处置符合相关管理要求，焦油渣、沥青渣、生化污泥和处理后的焦化脱硫废液采用回配炼焦煤等措施综合利用，回用过程不落地。烧结（球团）脱硫渣、高炉渣和预处理后的钢渣立足综合利用，做到妥善处置。</w:t>
            </w:r>
          </w:p>
        </w:tc>
        <w:tc>
          <w:tcPr>
            <w:tcW w:w="5345" w:type="dxa"/>
            <w:noWrap w:val="0"/>
            <w:vAlign w:val="center"/>
          </w:tcPr>
          <w:p w14:paraId="5034254D">
            <w:pPr>
              <w:adjustRightInd w:val="0"/>
              <w:snapToGrid w:val="0"/>
              <w:rPr>
                <w:rFonts w:ascii="Times New Roman" w:hAnsi="Times New Roman" w:cs="Times New Roman"/>
                <w:bCs/>
                <w:sz w:val="21"/>
                <w:szCs w:val="21"/>
              </w:rPr>
            </w:pPr>
            <w:r>
              <w:rPr>
                <w:rFonts w:hint="eastAsia" w:ascii="Times New Roman" w:hAnsi="Times New Roman" w:cs="Times New Roman"/>
                <w:bCs/>
                <w:sz w:val="21"/>
                <w:szCs w:val="21"/>
              </w:rPr>
              <w:t>遵照“资源化、减量化、无害化”原则，对固体废物进行处理处置，采取有效措施提高综合利用率，产生的固体废物均得到了妥善处置和利用。按照规范要求设置危险废物</w:t>
            </w:r>
            <w:r>
              <w:rPr>
                <w:rFonts w:hint="eastAsia" w:ascii="Times New Roman" w:hAnsi="Times New Roman" w:cs="Times New Roman"/>
                <w:bCs/>
                <w:sz w:val="21"/>
                <w:szCs w:val="21"/>
                <w:lang w:val="en-US" w:eastAsia="zh-CN"/>
              </w:rPr>
              <w:t>贮存点</w:t>
            </w:r>
            <w:r>
              <w:rPr>
                <w:rFonts w:hint="eastAsia" w:ascii="Times New Roman" w:hAnsi="Times New Roman" w:cs="Times New Roman"/>
                <w:bCs/>
                <w:sz w:val="21"/>
                <w:szCs w:val="21"/>
              </w:rPr>
              <w:t>。</w:t>
            </w:r>
          </w:p>
        </w:tc>
        <w:tc>
          <w:tcPr>
            <w:tcW w:w="1128" w:type="dxa"/>
            <w:noWrap w:val="0"/>
            <w:vAlign w:val="center"/>
          </w:tcPr>
          <w:p w14:paraId="40173699">
            <w:pPr>
              <w:adjustRightInd w:val="0"/>
              <w:snapToGrid w:val="0"/>
              <w:jc w:val="center"/>
              <w:rPr>
                <w:rFonts w:ascii="Times New Roman" w:hAnsi="Times New Roman" w:cs="Times New Roman"/>
                <w:bCs/>
                <w:sz w:val="21"/>
                <w:szCs w:val="21"/>
              </w:rPr>
            </w:pPr>
            <w:r>
              <w:rPr>
                <w:rFonts w:ascii="Times New Roman" w:hAnsi="Times New Roman" w:cs="Times New Roman"/>
                <w:bCs/>
                <w:sz w:val="21"/>
                <w:szCs w:val="21"/>
              </w:rPr>
              <w:t>符合</w:t>
            </w:r>
          </w:p>
        </w:tc>
      </w:tr>
      <w:tr w14:paraId="220BA85A">
        <w:tblPrEx>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181" w:type="dxa"/>
            <w:noWrap w:val="0"/>
            <w:vAlign w:val="center"/>
          </w:tcPr>
          <w:p w14:paraId="4117968B">
            <w:pPr>
              <w:adjustRightInd w:val="0"/>
              <w:snapToGrid w:val="0"/>
              <w:rPr>
                <w:rFonts w:ascii="Times New Roman" w:hAnsi="Times New Roman" w:cs="Times New Roman"/>
                <w:bCs/>
                <w:sz w:val="21"/>
                <w:szCs w:val="21"/>
              </w:rPr>
            </w:pPr>
            <w:r>
              <w:rPr>
                <w:rFonts w:hint="eastAsia" w:ascii="Times New Roman" w:hAnsi="Times New Roman" w:cs="Times New Roman"/>
                <w:bCs/>
                <w:sz w:val="21"/>
                <w:szCs w:val="21"/>
              </w:rPr>
              <w:t>第九条 选用低噪声工艺和设备，采取隔声、消声、减振和优化总平面布置等措施有效控制噪声污染。</w:t>
            </w:r>
          </w:p>
        </w:tc>
        <w:tc>
          <w:tcPr>
            <w:tcW w:w="5345" w:type="dxa"/>
            <w:noWrap w:val="0"/>
            <w:vAlign w:val="center"/>
          </w:tcPr>
          <w:p w14:paraId="6AADFD3E">
            <w:pPr>
              <w:adjustRightInd w:val="0"/>
              <w:snapToGrid w:val="0"/>
              <w:rPr>
                <w:rFonts w:ascii="Times New Roman" w:hAnsi="Times New Roman" w:cs="Times New Roman"/>
                <w:bCs/>
                <w:sz w:val="21"/>
                <w:szCs w:val="21"/>
              </w:rPr>
            </w:pPr>
            <w:r>
              <w:rPr>
                <w:rFonts w:hint="eastAsia" w:ascii="Times New Roman" w:hAnsi="Times New Roman" w:cs="Times New Roman"/>
                <w:bCs/>
                <w:sz w:val="21"/>
                <w:szCs w:val="21"/>
              </w:rPr>
              <w:t>本项目通过选用低噪声工艺和设备，采取隔声、消声、减振和优化总平面布置等措施有效控制了噪声污染。</w:t>
            </w:r>
          </w:p>
        </w:tc>
        <w:tc>
          <w:tcPr>
            <w:tcW w:w="1128" w:type="dxa"/>
            <w:noWrap w:val="0"/>
            <w:vAlign w:val="center"/>
          </w:tcPr>
          <w:p w14:paraId="55FFE9DF">
            <w:pPr>
              <w:adjustRightInd w:val="0"/>
              <w:snapToGrid w:val="0"/>
              <w:jc w:val="center"/>
              <w:rPr>
                <w:rFonts w:ascii="Times New Roman" w:hAnsi="Times New Roman" w:cs="Times New Roman"/>
                <w:bCs/>
                <w:sz w:val="21"/>
                <w:szCs w:val="21"/>
              </w:rPr>
            </w:pPr>
            <w:r>
              <w:rPr>
                <w:rFonts w:ascii="Times New Roman" w:hAnsi="Times New Roman" w:cs="Times New Roman"/>
                <w:bCs/>
                <w:sz w:val="21"/>
                <w:szCs w:val="21"/>
              </w:rPr>
              <w:t>符合</w:t>
            </w:r>
          </w:p>
        </w:tc>
      </w:tr>
      <w:tr w14:paraId="16274897">
        <w:tblPrEx>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181" w:type="dxa"/>
            <w:noWrap w:val="0"/>
            <w:vAlign w:val="center"/>
          </w:tcPr>
          <w:p w14:paraId="00A76293">
            <w:pPr>
              <w:adjustRightInd w:val="0"/>
              <w:snapToGrid w:val="0"/>
              <w:rPr>
                <w:rFonts w:ascii="Times New Roman" w:hAnsi="Times New Roman" w:cs="Times New Roman"/>
                <w:bCs/>
                <w:sz w:val="21"/>
                <w:szCs w:val="21"/>
              </w:rPr>
            </w:pPr>
            <w:r>
              <w:rPr>
                <w:rFonts w:hint="eastAsia" w:ascii="Times New Roman" w:hAnsi="Times New Roman" w:cs="Times New Roman"/>
                <w:bCs/>
                <w:sz w:val="21"/>
                <w:szCs w:val="21"/>
              </w:rPr>
              <w:t>第十条 提出合理的环境风险应急预案编制要求和有效的环境风险防范及应急措施，纳入区域环境风险应急联动机制。</w:t>
            </w:r>
          </w:p>
          <w:p w14:paraId="184D40E7">
            <w:pPr>
              <w:adjustRightInd w:val="0"/>
              <w:snapToGrid w:val="0"/>
              <w:rPr>
                <w:rFonts w:ascii="Times New Roman" w:hAnsi="Times New Roman" w:cs="Times New Roman"/>
                <w:bCs/>
                <w:sz w:val="21"/>
                <w:szCs w:val="21"/>
              </w:rPr>
            </w:pPr>
            <w:r>
              <w:rPr>
                <w:rFonts w:hint="eastAsia" w:ascii="Times New Roman" w:hAnsi="Times New Roman" w:cs="Times New Roman"/>
                <w:bCs/>
                <w:sz w:val="21"/>
                <w:szCs w:val="21"/>
              </w:rPr>
              <w:t>重点关注煤气、酸、碱、苯等风险物质储运和使用环节的环境风险管控。焦化装置配套建设事故储槽（池）。</w:t>
            </w:r>
          </w:p>
        </w:tc>
        <w:tc>
          <w:tcPr>
            <w:tcW w:w="5345" w:type="dxa"/>
            <w:noWrap w:val="0"/>
            <w:vAlign w:val="center"/>
          </w:tcPr>
          <w:p w14:paraId="21CD3024">
            <w:pPr>
              <w:adjustRightInd w:val="0"/>
              <w:snapToGrid w:val="0"/>
              <w:rPr>
                <w:rFonts w:ascii="Times New Roman" w:hAnsi="Times New Roman" w:cs="Times New Roman"/>
                <w:bCs/>
                <w:sz w:val="21"/>
                <w:szCs w:val="21"/>
              </w:rPr>
            </w:pPr>
            <w:r>
              <w:rPr>
                <w:rFonts w:hint="eastAsia" w:ascii="Times New Roman" w:hAnsi="Times New Roman" w:cs="Times New Roman"/>
                <w:bCs/>
                <w:sz w:val="21"/>
                <w:szCs w:val="21"/>
              </w:rPr>
              <w:t>本项目不涉及酸、碱、苯等风险物质。本次评价提出了有效的环境风险防范及应急措施、合理的环境风险应急预案编制要求。</w:t>
            </w:r>
          </w:p>
        </w:tc>
        <w:tc>
          <w:tcPr>
            <w:tcW w:w="1128" w:type="dxa"/>
            <w:noWrap w:val="0"/>
            <w:vAlign w:val="center"/>
          </w:tcPr>
          <w:p w14:paraId="15B918FC">
            <w:pPr>
              <w:adjustRightInd w:val="0"/>
              <w:snapToGrid w:val="0"/>
              <w:jc w:val="center"/>
              <w:rPr>
                <w:rFonts w:ascii="Times New Roman" w:hAnsi="Times New Roman" w:cs="Times New Roman"/>
                <w:bCs/>
                <w:sz w:val="21"/>
                <w:szCs w:val="21"/>
              </w:rPr>
            </w:pPr>
            <w:r>
              <w:rPr>
                <w:rFonts w:ascii="Times New Roman" w:hAnsi="Times New Roman" w:cs="Times New Roman"/>
                <w:bCs/>
                <w:sz w:val="21"/>
                <w:szCs w:val="21"/>
              </w:rPr>
              <w:t>符合</w:t>
            </w:r>
          </w:p>
        </w:tc>
      </w:tr>
      <w:tr w14:paraId="3D21E1AC">
        <w:tblPrEx>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181" w:type="dxa"/>
            <w:noWrap w:val="0"/>
            <w:vAlign w:val="center"/>
          </w:tcPr>
          <w:p w14:paraId="71BC1410">
            <w:pPr>
              <w:adjustRightInd w:val="0"/>
              <w:snapToGrid w:val="0"/>
              <w:rPr>
                <w:rFonts w:ascii="Times New Roman" w:hAnsi="Times New Roman" w:cs="Times New Roman"/>
                <w:bCs/>
                <w:sz w:val="21"/>
                <w:szCs w:val="21"/>
              </w:rPr>
            </w:pPr>
            <w:r>
              <w:rPr>
                <w:rFonts w:hint="eastAsia" w:ascii="Times New Roman" w:hAnsi="Times New Roman" w:cs="Times New Roman"/>
                <w:bCs/>
                <w:sz w:val="21"/>
                <w:szCs w:val="21"/>
              </w:rPr>
              <w:t>第十一条 废气、废水排放满足《炼钢工业大气污染物排放标准》（GB28664）,《轧钢工业大气污染物排放标准》（GB28665）和《钢铁工业水污染物排放标准》（GB13456）要求。厂界噪声满足《工业企业厂界环境噪声排放标准》（GB12348）要求。固体废物贮存、处置设施、场所满足《一般工业固体废物贮存、处置场污染控制标准》（GB18599）、《危险废物贮存污染控制标准》（GB18597）及其修改单要求。大气污染防治重点控制区的项目，满足特别排放限值要求。地方另有严格要求的按其规定执行。</w:t>
            </w:r>
          </w:p>
        </w:tc>
        <w:tc>
          <w:tcPr>
            <w:tcW w:w="5345" w:type="dxa"/>
            <w:noWrap w:val="0"/>
            <w:vAlign w:val="center"/>
          </w:tcPr>
          <w:p w14:paraId="340D72E7">
            <w:pPr>
              <w:snapToGrid w:val="0"/>
              <w:rPr>
                <w:rFonts w:ascii="Times New Roman" w:hAnsi="Times New Roman" w:cs="Times New Roman"/>
                <w:bCs/>
                <w:sz w:val="21"/>
                <w:szCs w:val="21"/>
              </w:rPr>
            </w:pPr>
            <w:r>
              <w:rPr>
                <w:rFonts w:ascii="Times New Roman" w:hAnsi="Times New Roman" w:cs="Times New Roman"/>
                <w:bCs/>
                <w:sz w:val="21"/>
                <w:szCs w:val="21"/>
              </w:rPr>
              <w:t>本项目大气污染物排放符合</w:t>
            </w:r>
            <w:r>
              <w:rPr>
                <w:rFonts w:hint="eastAsia" w:ascii="Times New Roman" w:hAnsi="Times New Roman" w:cs="Times New Roman"/>
                <w:bCs/>
                <w:sz w:val="21"/>
                <w:szCs w:val="21"/>
              </w:rPr>
              <w:t>《钢铁工业大气污染物排放标准》（DB21/ 4119—2025）表1</w:t>
            </w:r>
            <w:r>
              <w:rPr>
                <w:rFonts w:ascii="Times New Roman" w:hAnsi="Times New Roman" w:cs="Times New Roman"/>
                <w:bCs/>
                <w:sz w:val="21"/>
                <w:szCs w:val="21"/>
              </w:rPr>
              <w:t>排放限值要求</w:t>
            </w:r>
            <w:r>
              <w:rPr>
                <w:rFonts w:hint="eastAsia" w:ascii="Times New Roman" w:hAnsi="Times New Roman" w:cs="Times New Roman"/>
                <w:sz w:val="21"/>
                <w:szCs w:val="21"/>
              </w:rPr>
              <w:t>及《关于推进实施钢铁行业超低排放的意见》（环大气</w:t>
            </w:r>
            <w:r>
              <w:rPr>
                <w:rFonts w:ascii="Times New Roman" w:hAnsi="Times New Roman" w:cs="Times New Roman"/>
                <w:sz w:val="21"/>
                <w:szCs w:val="21"/>
              </w:rPr>
              <w:t>[2019]35号文）超低排放限值。</w:t>
            </w:r>
            <w:r>
              <w:rPr>
                <w:rFonts w:hint="eastAsia" w:ascii="Times New Roman" w:hAnsi="Times New Roman" w:cs="Times New Roman"/>
                <w:bCs/>
                <w:sz w:val="21"/>
                <w:szCs w:val="21"/>
              </w:rPr>
              <w:t>生产</w:t>
            </w:r>
            <w:r>
              <w:rPr>
                <w:rFonts w:ascii="Times New Roman" w:hAnsi="Times New Roman" w:cs="Times New Roman"/>
                <w:bCs/>
                <w:sz w:val="21"/>
                <w:szCs w:val="21"/>
              </w:rPr>
              <w:t>废水处理后全部回用不排放。固体废物污染控制符合《一般工业固体废物贮存</w:t>
            </w:r>
            <w:r>
              <w:rPr>
                <w:rFonts w:hint="eastAsia" w:ascii="Times New Roman" w:hAnsi="Times New Roman" w:cs="Times New Roman"/>
                <w:bCs/>
                <w:sz w:val="21"/>
                <w:szCs w:val="21"/>
              </w:rPr>
              <w:t>和填埋</w:t>
            </w:r>
            <w:r>
              <w:rPr>
                <w:rFonts w:ascii="Times New Roman" w:hAnsi="Times New Roman" w:cs="Times New Roman"/>
                <w:bCs/>
                <w:sz w:val="21"/>
                <w:szCs w:val="21"/>
              </w:rPr>
              <w:t>污染控制标准》（GB18599-20</w:t>
            </w:r>
            <w:r>
              <w:rPr>
                <w:rFonts w:hint="eastAsia" w:ascii="Times New Roman" w:hAnsi="Times New Roman" w:cs="Times New Roman"/>
                <w:bCs/>
                <w:sz w:val="21"/>
                <w:szCs w:val="21"/>
              </w:rPr>
              <w:t>20</w:t>
            </w:r>
            <w:r>
              <w:rPr>
                <w:rFonts w:ascii="Times New Roman" w:hAnsi="Times New Roman" w:cs="Times New Roman"/>
                <w:bCs/>
                <w:sz w:val="21"/>
                <w:szCs w:val="21"/>
              </w:rPr>
              <w:t>）</w:t>
            </w:r>
            <w:r>
              <w:rPr>
                <w:rFonts w:hint="eastAsia" w:ascii="Times New Roman" w:hAnsi="Times New Roman" w:cs="Times New Roman"/>
                <w:bCs/>
                <w:sz w:val="21"/>
                <w:szCs w:val="21"/>
              </w:rPr>
              <w:t>，</w:t>
            </w:r>
            <w:r>
              <w:rPr>
                <w:rFonts w:ascii="Times New Roman" w:hAnsi="Times New Roman" w:cs="Times New Roman"/>
                <w:bCs/>
                <w:sz w:val="21"/>
                <w:szCs w:val="21"/>
                <w:highlight w:val="none"/>
              </w:rPr>
              <w:t>危险废物污染控制符合《危险废物贮存污染控制标准》（GB18597-20</w:t>
            </w:r>
            <w:r>
              <w:rPr>
                <w:rFonts w:hint="eastAsia" w:ascii="Times New Roman" w:hAnsi="Times New Roman" w:cs="Times New Roman"/>
                <w:bCs/>
                <w:sz w:val="21"/>
                <w:szCs w:val="21"/>
                <w:highlight w:val="none"/>
                <w:lang w:val="en-US" w:eastAsia="zh-CN"/>
              </w:rPr>
              <w:t>23</w:t>
            </w:r>
            <w:r>
              <w:rPr>
                <w:rFonts w:ascii="Times New Roman" w:hAnsi="Times New Roman" w:cs="Times New Roman"/>
                <w:bCs/>
                <w:sz w:val="21"/>
                <w:szCs w:val="21"/>
                <w:highlight w:val="none"/>
              </w:rPr>
              <w:t>）</w:t>
            </w:r>
            <w:r>
              <w:rPr>
                <w:rFonts w:hint="eastAsia" w:ascii="Times New Roman" w:hAnsi="Times New Roman" w:cs="Times New Roman"/>
                <w:bCs/>
                <w:sz w:val="21"/>
                <w:szCs w:val="21"/>
                <w:highlight w:val="none"/>
              </w:rPr>
              <w:t>，</w:t>
            </w:r>
            <w:r>
              <w:rPr>
                <w:rFonts w:ascii="Times New Roman" w:hAnsi="Times New Roman" w:cs="Times New Roman"/>
                <w:bCs/>
                <w:sz w:val="21"/>
                <w:szCs w:val="21"/>
              </w:rPr>
              <w:t>噪声排放符合《工业企业厂界环境噪声排放标准》（GB12348）的规定。</w:t>
            </w:r>
          </w:p>
        </w:tc>
        <w:tc>
          <w:tcPr>
            <w:tcW w:w="1128" w:type="dxa"/>
            <w:noWrap w:val="0"/>
            <w:vAlign w:val="center"/>
          </w:tcPr>
          <w:p w14:paraId="12942642">
            <w:pPr>
              <w:adjustRightInd w:val="0"/>
              <w:snapToGrid w:val="0"/>
              <w:jc w:val="center"/>
              <w:rPr>
                <w:rFonts w:ascii="Times New Roman" w:hAnsi="Times New Roman" w:cs="Times New Roman"/>
                <w:bCs/>
                <w:sz w:val="21"/>
                <w:szCs w:val="21"/>
              </w:rPr>
            </w:pPr>
            <w:r>
              <w:rPr>
                <w:rFonts w:ascii="Times New Roman" w:hAnsi="Times New Roman" w:cs="Times New Roman"/>
                <w:bCs/>
                <w:sz w:val="21"/>
                <w:szCs w:val="21"/>
              </w:rPr>
              <w:t>符合</w:t>
            </w:r>
          </w:p>
        </w:tc>
      </w:tr>
      <w:tr w14:paraId="67B9CE97">
        <w:tblPrEx>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181" w:type="dxa"/>
            <w:noWrap w:val="0"/>
            <w:vAlign w:val="center"/>
          </w:tcPr>
          <w:p w14:paraId="1D8C774A">
            <w:pPr>
              <w:adjustRightInd w:val="0"/>
              <w:snapToGrid w:val="0"/>
              <w:rPr>
                <w:rFonts w:ascii="Times New Roman" w:hAnsi="Times New Roman" w:cs="Times New Roman"/>
                <w:bCs/>
                <w:sz w:val="21"/>
                <w:szCs w:val="21"/>
              </w:rPr>
            </w:pPr>
            <w:r>
              <w:rPr>
                <w:rFonts w:hint="eastAsia" w:ascii="Times New Roman" w:hAnsi="Times New Roman" w:cs="Times New Roman"/>
                <w:bCs/>
                <w:sz w:val="21"/>
                <w:szCs w:val="21"/>
              </w:rPr>
              <w:t>第十二条 改、扩建项目全面梳理现有工程的环保问题，提出“以新带老”整改方案。</w:t>
            </w:r>
          </w:p>
        </w:tc>
        <w:tc>
          <w:tcPr>
            <w:tcW w:w="5345" w:type="dxa"/>
            <w:noWrap w:val="0"/>
            <w:vAlign w:val="center"/>
          </w:tcPr>
          <w:p w14:paraId="79DAAC06">
            <w:pPr>
              <w:adjustRightInd w:val="0"/>
              <w:snapToGrid w:val="0"/>
              <w:rPr>
                <w:rFonts w:ascii="Times New Roman" w:hAnsi="Times New Roman" w:cs="Times New Roman"/>
                <w:bCs/>
                <w:sz w:val="21"/>
                <w:szCs w:val="21"/>
              </w:rPr>
            </w:pPr>
            <w:r>
              <w:rPr>
                <w:rFonts w:hint="eastAsia" w:ascii="Times New Roman" w:hAnsi="Times New Roman" w:cs="Times New Roman"/>
                <w:bCs/>
                <w:sz w:val="21"/>
                <w:szCs w:val="21"/>
              </w:rPr>
              <w:t>本次环评全面梳理了现有工程的环保问题，提出了“以新带老”整改方案。</w:t>
            </w:r>
          </w:p>
        </w:tc>
        <w:tc>
          <w:tcPr>
            <w:tcW w:w="1128" w:type="dxa"/>
            <w:noWrap w:val="0"/>
            <w:vAlign w:val="center"/>
          </w:tcPr>
          <w:p w14:paraId="351F48EC">
            <w:pPr>
              <w:adjustRightInd w:val="0"/>
              <w:snapToGrid w:val="0"/>
              <w:jc w:val="center"/>
              <w:rPr>
                <w:rFonts w:ascii="Times New Roman" w:hAnsi="Times New Roman" w:cs="Times New Roman"/>
                <w:bCs/>
                <w:sz w:val="21"/>
                <w:szCs w:val="21"/>
              </w:rPr>
            </w:pPr>
            <w:r>
              <w:rPr>
                <w:rFonts w:ascii="Times New Roman" w:hAnsi="Times New Roman" w:cs="Times New Roman"/>
                <w:bCs/>
                <w:sz w:val="21"/>
                <w:szCs w:val="21"/>
              </w:rPr>
              <w:t>符合</w:t>
            </w:r>
          </w:p>
        </w:tc>
      </w:tr>
      <w:tr w14:paraId="2978E4C6">
        <w:tblPrEx>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181" w:type="dxa"/>
            <w:noWrap w:val="0"/>
            <w:vAlign w:val="center"/>
          </w:tcPr>
          <w:p w14:paraId="403D0B7E">
            <w:pPr>
              <w:adjustRightInd w:val="0"/>
              <w:snapToGrid w:val="0"/>
              <w:rPr>
                <w:rFonts w:ascii="Times New Roman" w:hAnsi="Times New Roman" w:cs="Times New Roman"/>
                <w:bCs/>
                <w:sz w:val="21"/>
                <w:szCs w:val="21"/>
              </w:rPr>
            </w:pPr>
            <w:r>
              <w:rPr>
                <w:rFonts w:hint="eastAsia" w:ascii="Times New Roman" w:hAnsi="Times New Roman" w:cs="Times New Roman"/>
                <w:bCs/>
                <w:sz w:val="21"/>
                <w:szCs w:val="21"/>
              </w:rPr>
              <w:t>第十三条 关注苯并芘、二噁英、细颗粒物及其主要前体物的环境影响，关注特征污染物的累积环境影响，结合环境质量要求设定环境防护距离，提出环境防护距离内禁止布局新居民点的规划控制要求。环境防护距离内已有居民集中区、学校、医院等环境敏感目标的，提出可行的处置方案。</w:t>
            </w:r>
          </w:p>
          <w:p w14:paraId="4E00249A">
            <w:pPr>
              <w:adjustRightInd w:val="0"/>
              <w:snapToGrid w:val="0"/>
              <w:rPr>
                <w:rFonts w:ascii="Times New Roman" w:hAnsi="Times New Roman" w:cs="Times New Roman"/>
                <w:bCs/>
                <w:sz w:val="21"/>
                <w:szCs w:val="21"/>
              </w:rPr>
            </w:pPr>
            <w:r>
              <w:rPr>
                <w:rFonts w:hint="eastAsia" w:ascii="Times New Roman" w:hAnsi="Times New Roman" w:cs="Times New Roman"/>
                <w:bCs/>
                <w:sz w:val="21"/>
                <w:szCs w:val="21"/>
              </w:rPr>
              <w:t>有环境容量的地区，新建项目建设运行后，环境质量仍满足相应功能区要求。环境质量不达标区域，强化项目污染防治措施，并提出有效的区域污染物减排方案，改善环境质量。大气污染防治重点控制区和大气环境质量超标的城市，落实区域内现役源2倍削减替代，一般控制区1.5倍削减替代。</w:t>
            </w:r>
          </w:p>
        </w:tc>
        <w:tc>
          <w:tcPr>
            <w:tcW w:w="5345" w:type="dxa"/>
            <w:noWrap w:val="0"/>
            <w:vAlign w:val="center"/>
          </w:tcPr>
          <w:p w14:paraId="5AE6EFA2">
            <w:pPr>
              <w:adjustRightInd w:val="0"/>
              <w:snapToGrid w:val="0"/>
              <w:rPr>
                <w:rFonts w:ascii="Times New Roman" w:hAnsi="Times New Roman" w:cs="Times New Roman"/>
                <w:bCs/>
                <w:sz w:val="21"/>
                <w:szCs w:val="21"/>
              </w:rPr>
            </w:pPr>
            <w:r>
              <w:rPr>
                <w:rFonts w:hint="eastAsia" w:ascii="Times New Roman" w:hAnsi="Times New Roman" w:cs="Times New Roman"/>
                <w:bCs/>
                <w:sz w:val="21"/>
                <w:szCs w:val="21"/>
              </w:rPr>
              <w:t>本项目涉及二噁英，本次评价过程关注了二噁英</w:t>
            </w:r>
            <w:r>
              <w:rPr>
                <w:rFonts w:hint="eastAsia" w:ascii="Times New Roman" w:hAnsi="Times New Roman" w:cs="Times New Roman"/>
                <w:bCs/>
                <w:sz w:val="21"/>
                <w:szCs w:val="21"/>
                <w:lang w:eastAsia="zh-CN"/>
              </w:rPr>
              <w:t>、</w:t>
            </w:r>
            <w:r>
              <w:rPr>
                <w:rFonts w:hint="eastAsia" w:ascii="Times New Roman" w:hAnsi="Times New Roman" w:cs="Times New Roman"/>
                <w:bCs/>
                <w:sz w:val="21"/>
                <w:szCs w:val="21"/>
              </w:rPr>
              <w:t>颗粒物的环境影响。</w:t>
            </w:r>
            <w:r>
              <w:rPr>
                <w:rFonts w:hint="eastAsia" w:ascii="Times New Roman" w:hAnsi="Times New Roman" w:cs="Times New Roman"/>
                <w:bCs/>
                <w:sz w:val="21"/>
                <w:szCs w:val="21"/>
                <w:highlight w:val="none"/>
              </w:rPr>
              <w:t>本项目属于技改项目，不属于新建项目，其排放总量均在原有工程已批复总量控制指标范围内，无需新增总量。且能够实现削减。</w:t>
            </w:r>
          </w:p>
        </w:tc>
        <w:tc>
          <w:tcPr>
            <w:tcW w:w="1128" w:type="dxa"/>
            <w:noWrap w:val="0"/>
            <w:vAlign w:val="center"/>
          </w:tcPr>
          <w:p w14:paraId="071C2149">
            <w:pPr>
              <w:adjustRightInd w:val="0"/>
              <w:snapToGrid w:val="0"/>
              <w:jc w:val="center"/>
              <w:rPr>
                <w:rFonts w:ascii="Times New Roman" w:hAnsi="Times New Roman" w:cs="Times New Roman"/>
                <w:bCs/>
                <w:sz w:val="21"/>
                <w:szCs w:val="21"/>
              </w:rPr>
            </w:pPr>
            <w:r>
              <w:rPr>
                <w:rFonts w:ascii="Times New Roman" w:hAnsi="Times New Roman" w:cs="Times New Roman"/>
                <w:bCs/>
                <w:sz w:val="21"/>
                <w:szCs w:val="21"/>
              </w:rPr>
              <w:t>符合</w:t>
            </w:r>
          </w:p>
        </w:tc>
      </w:tr>
      <w:tr w14:paraId="3EA45F02">
        <w:tblPrEx>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181" w:type="dxa"/>
            <w:noWrap w:val="0"/>
            <w:vAlign w:val="center"/>
          </w:tcPr>
          <w:p w14:paraId="01518D2D">
            <w:pPr>
              <w:adjustRightInd w:val="0"/>
              <w:snapToGrid w:val="0"/>
              <w:jc w:val="both"/>
              <w:rPr>
                <w:rFonts w:ascii="Times New Roman" w:hAnsi="Times New Roman" w:cs="Times New Roman"/>
                <w:bCs/>
                <w:sz w:val="21"/>
                <w:szCs w:val="21"/>
              </w:rPr>
            </w:pPr>
            <w:r>
              <w:rPr>
                <w:rFonts w:hint="eastAsia" w:ascii="Times New Roman" w:hAnsi="Times New Roman" w:cs="Times New Roman"/>
                <w:bCs/>
                <w:sz w:val="21"/>
                <w:szCs w:val="21"/>
              </w:rPr>
              <w:t>第十四条 按照国家和地方相关规定，提出项目实施后的环境监测计划和环境管理要求。提出污染物排放自动监控并与环保主管部门联网的要求。按照环境监测管理规定和技术规范要求设计永久采样口、采样测试平台和排污口标志。</w:t>
            </w:r>
          </w:p>
        </w:tc>
        <w:tc>
          <w:tcPr>
            <w:tcW w:w="5345" w:type="dxa"/>
            <w:noWrap w:val="0"/>
            <w:vAlign w:val="center"/>
          </w:tcPr>
          <w:p w14:paraId="3129D171">
            <w:pPr>
              <w:adjustRightInd w:val="0"/>
              <w:snapToGrid w:val="0"/>
              <w:jc w:val="both"/>
              <w:rPr>
                <w:rFonts w:ascii="Times New Roman" w:hAnsi="Times New Roman" w:cs="Times New Roman"/>
                <w:bCs/>
                <w:sz w:val="21"/>
                <w:szCs w:val="21"/>
              </w:rPr>
            </w:pPr>
            <w:r>
              <w:rPr>
                <w:rFonts w:hint="eastAsia" w:ascii="Times New Roman" w:hAnsi="Times New Roman" w:cs="Times New Roman"/>
                <w:bCs/>
                <w:sz w:val="21"/>
                <w:szCs w:val="21"/>
              </w:rPr>
              <w:t>本评价按照国家和地方相关规定，提出了项目实施后的环境监测计划和环境管理要求。提出了污染物排放自动监控并与环保主管部门联网的要求。按照《排污口规范化整治技术要求（试行）》（环监【1996】470号）要求设置永久采样口、采样测试平台和排污口标志。</w:t>
            </w:r>
          </w:p>
        </w:tc>
        <w:tc>
          <w:tcPr>
            <w:tcW w:w="1128" w:type="dxa"/>
            <w:noWrap w:val="0"/>
            <w:vAlign w:val="center"/>
          </w:tcPr>
          <w:p w14:paraId="1CD60327">
            <w:pPr>
              <w:adjustRightInd w:val="0"/>
              <w:snapToGrid w:val="0"/>
              <w:jc w:val="center"/>
              <w:rPr>
                <w:rFonts w:ascii="Times New Roman" w:hAnsi="Times New Roman" w:cs="Times New Roman"/>
                <w:bCs/>
                <w:sz w:val="21"/>
                <w:szCs w:val="21"/>
              </w:rPr>
            </w:pPr>
            <w:r>
              <w:rPr>
                <w:rFonts w:ascii="Times New Roman" w:hAnsi="Times New Roman" w:cs="Times New Roman"/>
                <w:bCs/>
                <w:sz w:val="21"/>
                <w:szCs w:val="21"/>
              </w:rPr>
              <w:t>符合</w:t>
            </w:r>
          </w:p>
        </w:tc>
      </w:tr>
      <w:tr w14:paraId="59F4B8F9">
        <w:tblPrEx>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181" w:type="dxa"/>
            <w:noWrap w:val="0"/>
            <w:vAlign w:val="center"/>
          </w:tcPr>
          <w:p w14:paraId="1B159391">
            <w:pPr>
              <w:adjustRightInd w:val="0"/>
              <w:snapToGrid w:val="0"/>
              <w:jc w:val="both"/>
              <w:rPr>
                <w:rFonts w:ascii="Times New Roman" w:hAnsi="Times New Roman" w:cs="Times New Roman"/>
                <w:bCs/>
                <w:sz w:val="21"/>
                <w:szCs w:val="21"/>
              </w:rPr>
            </w:pPr>
            <w:r>
              <w:rPr>
                <w:rFonts w:hint="eastAsia" w:ascii="Times New Roman" w:hAnsi="Times New Roman" w:cs="Times New Roman"/>
                <w:bCs/>
                <w:sz w:val="21"/>
                <w:szCs w:val="21"/>
              </w:rPr>
              <w:t>第十五条 按相关规定开展信息公开和公众参与。</w:t>
            </w:r>
          </w:p>
        </w:tc>
        <w:tc>
          <w:tcPr>
            <w:tcW w:w="5345" w:type="dxa"/>
            <w:noWrap w:val="0"/>
            <w:vAlign w:val="center"/>
          </w:tcPr>
          <w:p w14:paraId="3E9CF05E">
            <w:pPr>
              <w:adjustRightInd w:val="0"/>
              <w:snapToGrid w:val="0"/>
              <w:jc w:val="both"/>
              <w:rPr>
                <w:rFonts w:ascii="Times New Roman" w:hAnsi="Times New Roman" w:cs="Times New Roman"/>
                <w:bCs/>
                <w:sz w:val="21"/>
                <w:szCs w:val="21"/>
              </w:rPr>
            </w:pPr>
            <w:r>
              <w:rPr>
                <w:rFonts w:hint="eastAsia" w:ascii="Times New Roman" w:hAnsi="Times New Roman" w:cs="Times New Roman"/>
                <w:bCs/>
                <w:sz w:val="21"/>
                <w:szCs w:val="21"/>
              </w:rPr>
              <w:t>本项目环境影响评价过程中，建设单位按照相关规定开展了信息公开和公众参与。</w:t>
            </w:r>
          </w:p>
        </w:tc>
        <w:tc>
          <w:tcPr>
            <w:tcW w:w="1128" w:type="dxa"/>
            <w:noWrap w:val="0"/>
            <w:vAlign w:val="center"/>
          </w:tcPr>
          <w:p w14:paraId="133A30C8">
            <w:pPr>
              <w:adjustRightInd w:val="0"/>
              <w:snapToGrid w:val="0"/>
              <w:jc w:val="center"/>
              <w:rPr>
                <w:rFonts w:ascii="Times New Roman" w:hAnsi="Times New Roman" w:cs="Times New Roman"/>
                <w:bCs/>
                <w:sz w:val="21"/>
                <w:szCs w:val="21"/>
              </w:rPr>
            </w:pPr>
            <w:r>
              <w:rPr>
                <w:rFonts w:ascii="Times New Roman" w:hAnsi="Times New Roman" w:cs="Times New Roman"/>
                <w:bCs/>
                <w:sz w:val="21"/>
                <w:szCs w:val="21"/>
              </w:rPr>
              <w:t>符合</w:t>
            </w:r>
          </w:p>
        </w:tc>
      </w:tr>
    </w:tbl>
    <w:p w14:paraId="5D9CB180">
      <w:pPr>
        <w:spacing w:line="460" w:lineRule="exact"/>
        <w:jc w:val="center"/>
        <w:rPr>
          <w:rFonts w:hint="eastAsia" w:ascii="Times New Roman" w:hAnsi="Times New Roman" w:eastAsia="黑体" w:cs="Times New Roman"/>
        </w:rPr>
      </w:pPr>
      <w:r>
        <w:rPr>
          <w:rFonts w:ascii="Times New Roman" w:hAnsi="Times New Roman" w:eastAsia="黑体" w:cs="Times New Roman"/>
        </w:rPr>
        <w:t>表1.6-</w:t>
      </w:r>
      <w:r>
        <w:rPr>
          <w:rFonts w:hint="eastAsia" w:ascii="Times New Roman" w:hAnsi="Times New Roman" w:eastAsia="黑体" w:cs="Times New Roman"/>
          <w:lang w:val="en-US" w:eastAsia="zh-CN"/>
        </w:rPr>
        <w:t>4</w:t>
      </w:r>
      <w:r>
        <w:rPr>
          <w:rFonts w:ascii="Times New Roman" w:hAnsi="Times New Roman" w:eastAsia="黑体" w:cs="Times New Roman"/>
        </w:rPr>
        <w:t xml:space="preserve">  本项目与</w:t>
      </w:r>
      <w:r>
        <w:rPr>
          <w:rFonts w:hint="eastAsia" w:hAnsi="黑体" w:eastAsia="黑体"/>
          <w:bCs/>
        </w:rPr>
        <w:t>“水十条”</w:t>
      </w:r>
      <w:r>
        <w:rPr>
          <w:rFonts w:ascii="Times New Roman" w:hAnsi="Times New Roman" w:eastAsia="黑体" w:cs="Times New Roman"/>
        </w:rPr>
        <w:t>符合性分析表</w:t>
      </w:r>
    </w:p>
    <w:tbl>
      <w:tblPr>
        <w:tblStyle w:val="56"/>
        <w:tblW w:w="5000" w:type="pct"/>
        <w:jc w:val="center"/>
        <w:tblBorders>
          <w:top w:val="thinThickSmallGap" w:color="auto" w:sz="12" w:space="0"/>
          <w:left w:val="none" w:color="auto" w:sz="0" w:space="0"/>
          <w:bottom w:val="thickThinSmallGap" w:color="auto" w:sz="12" w:space="0"/>
          <w:right w:val="none" w:color="auto" w:sz="0" w:space="0"/>
          <w:insideH w:val="single" w:color="auto" w:sz="6" w:space="0"/>
          <w:insideV w:val="single" w:color="auto" w:sz="6" w:space="0"/>
        </w:tblBorders>
        <w:tblLayout w:type="autofit"/>
        <w:tblCellMar>
          <w:top w:w="0" w:type="dxa"/>
          <w:left w:w="108" w:type="dxa"/>
          <w:bottom w:w="0" w:type="dxa"/>
          <w:right w:w="108" w:type="dxa"/>
        </w:tblCellMar>
      </w:tblPr>
      <w:tblGrid>
        <w:gridCol w:w="535"/>
        <w:gridCol w:w="2835"/>
        <w:gridCol w:w="3119"/>
        <w:gridCol w:w="3258"/>
        <w:gridCol w:w="2979"/>
        <w:gridCol w:w="928"/>
      </w:tblGrid>
      <w:tr w14:paraId="2437D028">
        <w:tblPrEx>
          <w:tblBorders>
            <w:top w:val="thinThickSmallGap" w:color="auto" w:sz="12" w:space="0"/>
            <w:left w:val="none" w:color="auto" w:sz="0" w:space="0"/>
            <w:bottom w:val="thickThinSmallGap"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96" w:type="pct"/>
            <w:shd w:val="clear" w:color="auto" w:fill="DDDDDD"/>
            <w:noWrap w:val="0"/>
            <w:vAlign w:val="center"/>
          </w:tcPr>
          <w:p w14:paraId="6438F31E">
            <w:pPr>
              <w:adjustRightInd w:val="0"/>
              <w:snapToGrid w:val="0"/>
              <w:jc w:val="center"/>
              <w:rPr>
                <w:rFonts w:ascii="Times New Roman" w:hAnsi="Times New Roman" w:cs="Times New Roman"/>
                <w:bCs/>
                <w:sz w:val="21"/>
                <w:szCs w:val="21"/>
              </w:rPr>
            </w:pPr>
            <w:r>
              <w:rPr>
                <w:rFonts w:hint="eastAsia" w:ascii="Times New Roman" w:hAnsi="Times New Roman" w:cs="Times New Roman"/>
                <w:bCs/>
                <w:sz w:val="21"/>
                <w:szCs w:val="21"/>
              </w:rPr>
              <w:t>序号</w:t>
            </w:r>
          </w:p>
        </w:tc>
        <w:tc>
          <w:tcPr>
            <w:tcW w:w="1038" w:type="pct"/>
            <w:shd w:val="clear" w:color="auto" w:fill="DDDDDD"/>
            <w:noWrap w:val="0"/>
            <w:vAlign w:val="center"/>
          </w:tcPr>
          <w:p w14:paraId="0EFC15CC">
            <w:pPr>
              <w:adjustRightInd w:val="0"/>
              <w:snapToGrid w:val="0"/>
              <w:jc w:val="center"/>
              <w:rPr>
                <w:rFonts w:hint="eastAsia" w:ascii="Times New Roman" w:hAnsi="Times New Roman" w:cs="Times New Roman"/>
                <w:bCs/>
                <w:sz w:val="21"/>
                <w:szCs w:val="21"/>
              </w:rPr>
            </w:pPr>
            <w:r>
              <w:rPr>
                <w:rFonts w:hint="eastAsia" w:ascii="Times New Roman" w:hAnsi="Times New Roman" w:cs="Times New Roman"/>
                <w:bCs/>
                <w:sz w:val="21"/>
                <w:szCs w:val="21"/>
              </w:rPr>
              <w:t>《国务院关于印发水污染防治行动计划的通知》（国发[2015]17号）</w:t>
            </w:r>
          </w:p>
        </w:tc>
        <w:tc>
          <w:tcPr>
            <w:tcW w:w="1142" w:type="pct"/>
            <w:shd w:val="clear" w:color="auto" w:fill="DDDDDD"/>
            <w:noWrap w:val="0"/>
            <w:vAlign w:val="center"/>
          </w:tcPr>
          <w:p w14:paraId="3A23AEDB">
            <w:pPr>
              <w:adjustRightInd w:val="0"/>
              <w:snapToGrid w:val="0"/>
              <w:jc w:val="center"/>
              <w:rPr>
                <w:rFonts w:ascii="Times New Roman" w:hAnsi="Times New Roman" w:cs="Times New Roman"/>
                <w:bCs/>
                <w:sz w:val="21"/>
                <w:szCs w:val="21"/>
              </w:rPr>
            </w:pPr>
            <w:r>
              <w:rPr>
                <w:rFonts w:hint="eastAsia" w:ascii="Times New Roman" w:hAnsi="Times New Roman" w:cs="Times New Roman"/>
                <w:bCs/>
                <w:sz w:val="21"/>
                <w:szCs w:val="21"/>
              </w:rPr>
              <w:t>《辽宁省人民政府关于印发辽宁省水污染防治工作方案的通知》（辽政发[</w:t>
            </w:r>
            <w:r>
              <w:rPr>
                <w:rFonts w:ascii="Times New Roman" w:hAnsi="Times New Roman" w:cs="Times New Roman"/>
                <w:bCs/>
                <w:sz w:val="21"/>
                <w:szCs w:val="21"/>
              </w:rPr>
              <w:t>2015</w:t>
            </w:r>
            <w:r>
              <w:rPr>
                <w:rFonts w:hint="eastAsia" w:ascii="Times New Roman" w:hAnsi="Times New Roman" w:cs="Times New Roman"/>
                <w:bCs/>
                <w:sz w:val="21"/>
                <w:szCs w:val="21"/>
              </w:rPr>
              <w:t>]</w:t>
            </w:r>
            <w:r>
              <w:rPr>
                <w:rFonts w:ascii="Times New Roman" w:hAnsi="Times New Roman" w:cs="Times New Roman"/>
                <w:bCs/>
                <w:sz w:val="21"/>
                <w:szCs w:val="21"/>
              </w:rPr>
              <w:t>79</w:t>
            </w:r>
            <w:r>
              <w:rPr>
                <w:rFonts w:hint="eastAsia" w:ascii="Times New Roman" w:hAnsi="Times New Roman" w:cs="Times New Roman"/>
                <w:bCs/>
                <w:sz w:val="21"/>
                <w:szCs w:val="21"/>
              </w:rPr>
              <w:t>号）</w:t>
            </w:r>
          </w:p>
        </w:tc>
        <w:tc>
          <w:tcPr>
            <w:tcW w:w="1193" w:type="pct"/>
            <w:shd w:val="clear" w:color="auto" w:fill="DDDDDD"/>
            <w:noWrap w:val="0"/>
            <w:vAlign w:val="center"/>
          </w:tcPr>
          <w:p w14:paraId="1D8973A1">
            <w:pPr>
              <w:adjustRightInd w:val="0"/>
              <w:snapToGrid w:val="0"/>
              <w:jc w:val="center"/>
              <w:rPr>
                <w:rFonts w:hint="eastAsia" w:ascii="Times New Roman" w:hAnsi="Times New Roman" w:cs="Times New Roman"/>
                <w:bCs/>
                <w:sz w:val="21"/>
                <w:szCs w:val="21"/>
              </w:rPr>
            </w:pPr>
            <w:r>
              <w:rPr>
                <w:rFonts w:hint="eastAsia" w:ascii="Times New Roman" w:hAnsi="Times New Roman" w:cs="Times New Roman"/>
                <w:bCs/>
                <w:sz w:val="21"/>
                <w:szCs w:val="21"/>
                <w:highlight w:val="none"/>
              </w:rPr>
              <w:t>《本溪市人民政府关于印发本溪市水污染防治工作方案的通知》（本政发〔2016〕7号）</w:t>
            </w:r>
          </w:p>
        </w:tc>
        <w:tc>
          <w:tcPr>
            <w:tcW w:w="1091" w:type="pct"/>
            <w:shd w:val="clear" w:color="auto" w:fill="DDDDDD"/>
            <w:noWrap w:val="0"/>
            <w:vAlign w:val="center"/>
          </w:tcPr>
          <w:p w14:paraId="1B6D5877">
            <w:pPr>
              <w:adjustRightInd w:val="0"/>
              <w:snapToGrid w:val="0"/>
              <w:jc w:val="center"/>
              <w:rPr>
                <w:rFonts w:hint="eastAsia" w:ascii="Times New Roman" w:hAnsi="Times New Roman" w:cs="Times New Roman"/>
                <w:bCs/>
                <w:sz w:val="21"/>
                <w:szCs w:val="21"/>
              </w:rPr>
            </w:pPr>
            <w:r>
              <w:rPr>
                <w:rFonts w:hint="eastAsia" w:ascii="Times New Roman" w:hAnsi="Times New Roman" w:cs="Times New Roman"/>
                <w:bCs/>
                <w:sz w:val="21"/>
                <w:szCs w:val="21"/>
              </w:rPr>
              <w:t>本项目</w:t>
            </w:r>
          </w:p>
        </w:tc>
        <w:tc>
          <w:tcPr>
            <w:tcW w:w="340" w:type="pct"/>
            <w:shd w:val="clear" w:color="auto" w:fill="DDDDDD"/>
            <w:noWrap w:val="0"/>
            <w:vAlign w:val="center"/>
          </w:tcPr>
          <w:p w14:paraId="2DBCF110">
            <w:pPr>
              <w:adjustRightInd w:val="0"/>
              <w:snapToGrid w:val="0"/>
              <w:jc w:val="center"/>
              <w:rPr>
                <w:rFonts w:hint="eastAsia" w:ascii="Times New Roman" w:hAnsi="Times New Roman" w:cs="Times New Roman"/>
                <w:bCs/>
                <w:sz w:val="21"/>
                <w:szCs w:val="21"/>
              </w:rPr>
            </w:pPr>
            <w:r>
              <w:rPr>
                <w:rFonts w:hint="eastAsia" w:ascii="Times New Roman" w:hAnsi="Times New Roman" w:cs="Times New Roman"/>
                <w:bCs/>
                <w:sz w:val="21"/>
                <w:szCs w:val="21"/>
              </w:rPr>
              <w:t>符合性</w:t>
            </w:r>
          </w:p>
        </w:tc>
      </w:tr>
      <w:tr w14:paraId="1B0243AE">
        <w:tblPrEx>
          <w:tblBorders>
            <w:top w:val="thinThickSmallGap" w:color="auto" w:sz="12" w:space="0"/>
            <w:left w:val="none" w:color="auto" w:sz="0" w:space="0"/>
            <w:bottom w:val="thickThinSmallGap"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96" w:type="pct"/>
            <w:noWrap w:val="0"/>
            <w:vAlign w:val="center"/>
          </w:tcPr>
          <w:p w14:paraId="0986621B">
            <w:pPr>
              <w:adjustRightInd w:val="0"/>
              <w:snapToGrid w:val="0"/>
              <w:jc w:val="both"/>
              <w:rPr>
                <w:rFonts w:hint="eastAsia" w:ascii="Times New Roman" w:hAnsi="Times New Roman" w:cs="Times New Roman"/>
                <w:bCs/>
                <w:sz w:val="21"/>
                <w:szCs w:val="21"/>
              </w:rPr>
            </w:pPr>
            <w:r>
              <w:rPr>
                <w:rFonts w:hint="eastAsia" w:ascii="Times New Roman" w:hAnsi="Times New Roman" w:cs="Times New Roman"/>
                <w:bCs/>
                <w:sz w:val="21"/>
                <w:szCs w:val="21"/>
              </w:rPr>
              <w:t>1</w:t>
            </w:r>
          </w:p>
        </w:tc>
        <w:tc>
          <w:tcPr>
            <w:tcW w:w="1038" w:type="pct"/>
            <w:noWrap w:val="0"/>
            <w:vAlign w:val="center"/>
          </w:tcPr>
          <w:p w14:paraId="25484375">
            <w:pPr>
              <w:adjustRightInd w:val="0"/>
              <w:snapToGrid w:val="0"/>
              <w:jc w:val="both"/>
              <w:rPr>
                <w:rFonts w:ascii="Times New Roman" w:hAnsi="Times New Roman" w:cs="Times New Roman"/>
                <w:bCs/>
                <w:sz w:val="21"/>
                <w:szCs w:val="21"/>
              </w:rPr>
            </w:pPr>
            <w:r>
              <w:rPr>
                <w:rFonts w:hint="eastAsia" w:ascii="Times New Roman" w:hAnsi="Times New Roman" w:cs="Times New Roman"/>
                <w:bCs/>
                <w:sz w:val="21"/>
                <w:szCs w:val="21"/>
              </w:rPr>
              <w:t>取缔“十小”企业。全部取缔不符合国家产业政策的小型造纸、制革、印染、染料、炼焦、炼硫、炼砷、炼油、电镀、农药等严重污染水环境的生产项目。</w:t>
            </w:r>
          </w:p>
        </w:tc>
        <w:tc>
          <w:tcPr>
            <w:tcW w:w="1142" w:type="pct"/>
            <w:noWrap w:val="0"/>
            <w:vAlign w:val="center"/>
          </w:tcPr>
          <w:p w14:paraId="5F58D617">
            <w:pPr>
              <w:adjustRightInd w:val="0"/>
              <w:snapToGrid w:val="0"/>
              <w:jc w:val="both"/>
              <w:rPr>
                <w:rFonts w:ascii="Times New Roman" w:hAnsi="Times New Roman" w:cs="Times New Roman"/>
                <w:bCs/>
                <w:sz w:val="21"/>
                <w:szCs w:val="21"/>
              </w:rPr>
            </w:pPr>
            <w:r>
              <w:rPr>
                <w:rFonts w:hint="eastAsia" w:ascii="Times New Roman" w:hAnsi="Times New Roman" w:cs="Times New Roman"/>
                <w:bCs/>
                <w:sz w:val="21"/>
                <w:szCs w:val="21"/>
              </w:rPr>
              <w:t>取缔不符合国家产业政策和行业准入条件的小型造纸、制革、印染、染料、炼焦、炼硫、炼砷、炼油、电镀、农药等严重污染水环境的生产项目。</w:t>
            </w:r>
          </w:p>
        </w:tc>
        <w:tc>
          <w:tcPr>
            <w:tcW w:w="1193" w:type="pct"/>
            <w:noWrap w:val="0"/>
            <w:vAlign w:val="center"/>
          </w:tcPr>
          <w:p w14:paraId="0ED30C08">
            <w:pPr>
              <w:adjustRightInd w:val="0"/>
              <w:snapToGrid w:val="0"/>
              <w:jc w:val="both"/>
              <w:rPr>
                <w:rFonts w:ascii="Times New Roman" w:hAnsi="Times New Roman" w:cs="Times New Roman"/>
                <w:bCs/>
                <w:sz w:val="21"/>
                <w:szCs w:val="21"/>
              </w:rPr>
            </w:pPr>
            <w:r>
              <w:rPr>
                <w:rFonts w:hint="eastAsia" w:ascii="Times New Roman" w:hAnsi="Times New Roman" w:cs="Times New Roman"/>
                <w:bCs/>
                <w:sz w:val="21"/>
                <w:szCs w:val="21"/>
              </w:rPr>
              <w:t>全面取缔不符合国家产业政策和行业准入条件的小型造纸、制革、印染、染料、炼焦、炼硫、炼砷、炼油、电镀、农药等严重污染水环境的生产项目。</w:t>
            </w:r>
          </w:p>
        </w:tc>
        <w:tc>
          <w:tcPr>
            <w:tcW w:w="1091" w:type="pct"/>
            <w:noWrap w:val="0"/>
            <w:vAlign w:val="center"/>
          </w:tcPr>
          <w:p w14:paraId="63ACCDA5">
            <w:pPr>
              <w:adjustRightInd w:val="0"/>
              <w:snapToGrid w:val="0"/>
              <w:jc w:val="both"/>
              <w:rPr>
                <w:rFonts w:ascii="Times New Roman" w:hAnsi="Times New Roman" w:cs="Times New Roman"/>
                <w:bCs/>
                <w:sz w:val="21"/>
                <w:szCs w:val="21"/>
              </w:rPr>
            </w:pPr>
            <w:r>
              <w:rPr>
                <w:rFonts w:hint="eastAsia" w:ascii="Times New Roman" w:hAnsi="Times New Roman" w:cs="Times New Roman"/>
                <w:bCs/>
                <w:sz w:val="21"/>
                <w:szCs w:val="21"/>
              </w:rPr>
              <w:t>本项目不属于“十小”。</w:t>
            </w:r>
          </w:p>
        </w:tc>
        <w:tc>
          <w:tcPr>
            <w:tcW w:w="340" w:type="pct"/>
            <w:noWrap w:val="0"/>
            <w:vAlign w:val="center"/>
          </w:tcPr>
          <w:p w14:paraId="3EBA9109">
            <w:pPr>
              <w:adjustRightInd w:val="0"/>
              <w:snapToGrid w:val="0"/>
              <w:jc w:val="both"/>
              <w:rPr>
                <w:rFonts w:ascii="Times New Roman" w:hAnsi="Times New Roman" w:cs="Times New Roman"/>
                <w:bCs/>
                <w:sz w:val="21"/>
                <w:szCs w:val="21"/>
              </w:rPr>
            </w:pPr>
            <w:r>
              <w:rPr>
                <w:rFonts w:hint="eastAsia" w:ascii="Times New Roman" w:hAnsi="Times New Roman" w:cs="Times New Roman"/>
                <w:bCs/>
                <w:sz w:val="21"/>
                <w:szCs w:val="21"/>
              </w:rPr>
              <w:t>符合</w:t>
            </w:r>
          </w:p>
        </w:tc>
      </w:tr>
      <w:tr w14:paraId="0D7FAF3C">
        <w:tblPrEx>
          <w:tblBorders>
            <w:top w:val="thinThickSmallGap" w:color="auto" w:sz="12" w:space="0"/>
            <w:left w:val="none" w:color="auto" w:sz="0" w:space="0"/>
            <w:bottom w:val="thickThinSmallGap"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96" w:type="pct"/>
            <w:noWrap w:val="0"/>
            <w:vAlign w:val="center"/>
          </w:tcPr>
          <w:p w14:paraId="0DD8A690">
            <w:pPr>
              <w:adjustRightInd w:val="0"/>
              <w:snapToGrid w:val="0"/>
              <w:jc w:val="both"/>
              <w:rPr>
                <w:rFonts w:hint="eastAsia" w:ascii="Times New Roman" w:hAnsi="Times New Roman" w:cs="Times New Roman"/>
                <w:bCs/>
                <w:sz w:val="21"/>
                <w:szCs w:val="21"/>
              </w:rPr>
            </w:pPr>
            <w:r>
              <w:rPr>
                <w:rFonts w:hint="eastAsia" w:ascii="Times New Roman" w:hAnsi="Times New Roman" w:cs="Times New Roman"/>
                <w:bCs/>
                <w:sz w:val="21"/>
                <w:szCs w:val="21"/>
              </w:rPr>
              <w:t>2</w:t>
            </w:r>
          </w:p>
        </w:tc>
        <w:tc>
          <w:tcPr>
            <w:tcW w:w="1038" w:type="pct"/>
            <w:noWrap w:val="0"/>
            <w:vAlign w:val="center"/>
          </w:tcPr>
          <w:p w14:paraId="68C254DD">
            <w:pPr>
              <w:adjustRightInd w:val="0"/>
              <w:snapToGrid w:val="0"/>
              <w:jc w:val="both"/>
              <w:rPr>
                <w:rFonts w:hint="eastAsia" w:ascii="Times New Roman" w:hAnsi="Times New Roman" w:cs="Times New Roman"/>
                <w:bCs/>
                <w:sz w:val="21"/>
                <w:szCs w:val="21"/>
              </w:rPr>
            </w:pPr>
            <w:r>
              <w:rPr>
                <w:rFonts w:hint="eastAsia" w:ascii="Times New Roman" w:hAnsi="Times New Roman" w:cs="Times New Roman"/>
                <w:bCs/>
                <w:sz w:val="21"/>
                <w:szCs w:val="21"/>
              </w:rPr>
              <w:t>专项整治十大重点行业，制定造纸、焦化、氮肥、有色金属、印染、农副食品加工、原料药制造、制革、农药、电镀等行业专项治理方案，实施清洁化改造。新建、改建、扩建上述行业建设项目实行主要污染物排放等量或减量置换。</w:t>
            </w:r>
          </w:p>
        </w:tc>
        <w:tc>
          <w:tcPr>
            <w:tcW w:w="1142" w:type="pct"/>
            <w:noWrap w:val="0"/>
            <w:vAlign w:val="center"/>
          </w:tcPr>
          <w:p w14:paraId="593A1F4C">
            <w:pPr>
              <w:adjustRightInd w:val="0"/>
              <w:snapToGrid w:val="0"/>
              <w:jc w:val="both"/>
              <w:rPr>
                <w:rFonts w:hint="eastAsia" w:ascii="Times New Roman" w:hAnsi="Times New Roman" w:cs="Times New Roman"/>
                <w:bCs/>
                <w:sz w:val="21"/>
                <w:szCs w:val="21"/>
              </w:rPr>
            </w:pPr>
            <w:r>
              <w:rPr>
                <w:rFonts w:hint="eastAsia" w:ascii="Times New Roman" w:hAnsi="Times New Roman" w:cs="Times New Roman"/>
                <w:bCs/>
                <w:sz w:val="21"/>
                <w:szCs w:val="21"/>
              </w:rPr>
              <w:t>专项整治水污染重点行业。2016年底前，研究制定造纸、焦化、氮肥、有色金属、印染、农副食品加工、原料药制造、制革、农药、电镀等行业专项治理方案，实施清洁化改造，新建、改建、扩建项目实行主要污染物排放等量或减量置换。</w:t>
            </w:r>
          </w:p>
        </w:tc>
        <w:tc>
          <w:tcPr>
            <w:tcW w:w="1193" w:type="pct"/>
            <w:noWrap w:val="0"/>
            <w:vAlign w:val="center"/>
          </w:tcPr>
          <w:p w14:paraId="2D8A4AB9">
            <w:pPr>
              <w:adjustRightInd w:val="0"/>
              <w:snapToGrid w:val="0"/>
              <w:jc w:val="both"/>
              <w:rPr>
                <w:rFonts w:hint="eastAsia" w:ascii="Times New Roman" w:hAnsi="Times New Roman" w:cs="Times New Roman"/>
                <w:bCs/>
                <w:sz w:val="21"/>
                <w:szCs w:val="21"/>
              </w:rPr>
            </w:pPr>
            <w:r>
              <w:rPr>
                <w:rFonts w:hint="eastAsia" w:ascii="Times New Roman" w:hAnsi="Times New Roman" w:cs="Times New Roman"/>
                <w:bCs/>
                <w:sz w:val="21"/>
                <w:szCs w:val="21"/>
              </w:rPr>
              <w:t>专项整治水污染重点行业，对辽宁省“十大”行业研究制定造纸、焦化、氮肥、有色金属、印染、农副食品加工、原料药制造、制革、农药、电镀等行业专项治理方案。新建、改建、扩建项目实行主要污染物排放等量或减量置换。</w:t>
            </w:r>
          </w:p>
        </w:tc>
        <w:tc>
          <w:tcPr>
            <w:tcW w:w="1091" w:type="pct"/>
            <w:noWrap w:val="0"/>
            <w:vAlign w:val="center"/>
          </w:tcPr>
          <w:p w14:paraId="307AC195">
            <w:pPr>
              <w:adjustRightInd w:val="0"/>
              <w:snapToGrid w:val="0"/>
              <w:jc w:val="both"/>
              <w:rPr>
                <w:rFonts w:hint="eastAsia" w:ascii="Times New Roman" w:hAnsi="Times New Roman" w:cs="Times New Roman"/>
                <w:bCs/>
                <w:sz w:val="21"/>
                <w:szCs w:val="21"/>
              </w:rPr>
            </w:pPr>
            <w:r>
              <w:rPr>
                <w:rFonts w:hint="eastAsia" w:ascii="Times New Roman" w:hAnsi="Times New Roman" w:cs="Times New Roman"/>
                <w:bCs/>
                <w:sz w:val="21"/>
                <w:szCs w:val="21"/>
              </w:rPr>
              <w:t>本项目不属于“十大”水污染重点行业。</w:t>
            </w:r>
          </w:p>
        </w:tc>
        <w:tc>
          <w:tcPr>
            <w:tcW w:w="340" w:type="pct"/>
            <w:noWrap w:val="0"/>
            <w:vAlign w:val="center"/>
          </w:tcPr>
          <w:p w14:paraId="3307A364">
            <w:pPr>
              <w:adjustRightInd w:val="0"/>
              <w:snapToGrid w:val="0"/>
              <w:jc w:val="both"/>
              <w:rPr>
                <w:rFonts w:hint="eastAsia" w:ascii="Times New Roman" w:hAnsi="Times New Roman" w:cs="Times New Roman"/>
                <w:bCs/>
                <w:sz w:val="21"/>
                <w:szCs w:val="21"/>
              </w:rPr>
            </w:pPr>
            <w:r>
              <w:rPr>
                <w:rFonts w:hint="eastAsia" w:ascii="Times New Roman" w:hAnsi="Times New Roman" w:cs="Times New Roman"/>
                <w:bCs/>
                <w:sz w:val="21"/>
                <w:szCs w:val="21"/>
              </w:rPr>
              <w:t>符合</w:t>
            </w:r>
          </w:p>
        </w:tc>
      </w:tr>
      <w:tr w14:paraId="3FD32917">
        <w:tblPrEx>
          <w:tblBorders>
            <w:top w:val="thinThickSmallGap" w:color="auto" w:sz="12" w:space="0"/>
            <w:left w:val="none" w:color="auto" w:sz="0" w:space="0"/>
            <w:bottom w:val="thickThinSmallGap"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96" w:type="pct"/>
            <w:noWrap w:val="0"/>
            <w:vAlign w:val="center"/>
          </w:tcPr>
          <w:p w14:paraId="5B07741C">
            <w:pPr>
              <w:adjustRightInd w:val="0"/>
              <w:snapToGrid w:val="0"/>
              <w:jc w:val="both"/>
              <w:rPr>
                <w:rFonts w:hint="eastAsia" w:ascii="Times New Roman" w:hAnsi="Times New Roman" w:cs="Times New Roman"/>
                <w:bCs/>
                <w:sz w:val="21"/>
                <w:szCs w:val="21"/>
              </w:rPr>
            </w:pPr>
            <w:r>
              <w:rPr>
                <w:rFonts w:hint="eastAsia" w:ascii="Times New Roman" w:hAnsi="Times New Roman" w:cs="Times New Roman"/>
                <w:bCs/>
                <w:sz w:val="21"/>
                <w:szCs w:val="21"/>
              </w:rPr>
              <w:t>3</w:t>
            </w:r>
          </w:p>
        </w:tc>
        <w:tc>
          <w:tcPr>
            <w:tcW w:w="1038" w:type="pct"/>
            <w:noWrap w:val="0"/>
            <w:vAlign w:val="center"/>
          </w:tcPr>
          <w:p w14:paraId="512AC762">
            <w:pPr>
              <w:adjustRightInd w:val="0"/>
              <w:snapToGrid w:val="0"/>
              <w:jc w:val="both"/>
              <w:rPr>
                <w:rFonts w:hint="eastAsia" w:ascii="Times New Roman" w:hAnsi="Times New Roman" w:cs="Times New Roman"/>
                <w:bCs/>
                <w:sz w:val="21"/>
                <w:szCs w:val="21"/>
              </w:rPr>
            </w:pPr>
            <w:r>
              <w:rPr>
                <w:rFonts w:hint="eastAsia" w:ascii="Times New Roman" w:hAnsi="Times New Roman" w:cs="Times New Roman"/>
                <w:bCs/>
                <w:sz w:val="21"/>
                <w:szCs w:val="21"/>
              </w:rPr>
              <w:t>集中治理工业集聚区水污染。强化经济技术开发区、高新技术产业开发区、出口加工区等工业集聚区污染治理。集聚区内工业废水必须经预处理达到集中处理要求，方可进入污水集中处理设施。</w:t>
            </w:r>
          </w:p>
        </w:tc>
        <w:tc>
          <w:tcPr>
            <w:tcW w:w="1142" w:type="pct"/>
            <w:noWrap w:val="0"/>
            <w:vAlign w:val="center"/>
          </w:tcPr>
          <w:p w14:paraId="18677A8F">
            <w:pPr>
              <w:adjustRightInd w:val="0"/>
              <w:snapToGrid w:val="0"/>
              <w:jc w:val="both"/>
              <w:rPr>
                <w:rFonts w:hint="eastAsia" w:ascii="Times New Roman" w:hAnsi="Times New Roman" w:cs="Times New Roman"/>
                <w:bCs/>
                <w:sz w:val="21"/>
                <w:szCs w:val="21"/>
              </w:rPr>
            </w:pPr>
            <w:r>
              <w:rPr>
                <w:rFonts w:hint="eastAsia" w:ascii="Times New Roman" w:hAnsi="Times New Roman" w:cs="Times New Roman"/>
                <w:bCs/>
                <w:sz w:val="21"/>
                <w:szCs w:val="21"/>
              </w:rPr>
              <w:t>集中治理工业集聚区水污染。集聚区内工业废水必须经预处理达到集中处理要求，方可进入污水集中处理设施。</w:t>
            </w:r>
          </w:p>
        </w:tc>
        <w:tc>
          <w:tcPr>
            <w:tcW w:w="1193" w:type="pct"/>
            <w:noWrap w:val="0"/>
            <w:vAlign w:val="center"/>
          </w:tcPr>
          <w:p w14:paraId="66AF30FC">
            <w:pPr>
              <w:adjustRightInd w:val="0"/>
              <w:snapToGrid w:val="0"/>
              <w:jc w:val="both"/>
              <w:rPr>
                <w:rFonts w:hint="eastAsia" w:ascii="Times New Roman" w:hAnsi="Times New Roman" w:cs="Times New Roman"/>
                <w:bCs/>
                <w:sz w:val="21"/>
                <w:szCs w:val="21"/>
              </w:rPr>
            </w:pPr>
            <w:r>
              <w:rPr>
                <w:rFonts w:hint="eastAsia" w:ascii="Times New Roman" w:hAnsi="Times New Roman" w:cs="Times New Roman"/>
                <w:bCs/>
                <w:sz w:val="21"/>
                <w:szCs w:val="21"/>
              </w:rPr>
              <w:t>集中治理工业集聚区水污染。集聚区内工业废水必须经预处理达到集中处理要求，方可进入污水集中处理设施。</w:t>
            </w:r>
          </w:p>
        </w:tc>
        <w:tc>
          <w:tcPr>
            <w:tcW w:w="1091" w:type="pct"/>
            <w:noWrap w:val="0"/>
            <w:vAlign w:val="center"/>
          </w:tcPr>
          <w:p w14:paraId="456A4C22">
            <w:pPr>
              <w:adjustRightInd w:val="0"/>
              <w:snapToGrid w:val="0"/>
              <w:jc w:val="both"/>
              <w:rPr>
                <w:rFonts w:hint="eastAsia" w:ascii="Times New Roman" w:hAnsi="Times New Roman" w:cs="Times New Roman"/>
                <w:bCs/>
                <w:sz w:val="21"/>
                <w:szCs w:val="21"/>
              </w:rPr>
            </w:pPr>
            <w:r>
              <w:rPr>
                <w:rFonts w:hint="eastAsia" w:ascii="Times New Roman" w:hAnsi="Times New Roman" w:cs="Times New Roman"/>
                <w:bCs/>
                <w:sz w:val="21"/>
                <w:szCs w:val="21"/>
              </w:rPr>
              <w:t>本项目无新增废水外排。</w:t>
            </w:r>
          </w:p>
        </w:tc>
        <w:tc>
          <w:tcPr>
            <w:tcW w:w="340" w:type="pct"/>
            <w:noWrap w:val="0"/>
            <w:vAlign w:val="center"/>
          </w:tcPr>
          <w:p w14:paraId="4C9482EE">
            <w:pPr>
              <w:adjustRightInd w:val="0"/>
              <w:snapToGrid w:val="0"/>
              <w:jc w:val="both"/>
              <w:rPr>
                <w:rFonts w:hint="eastAsia" w:ascii="Times New Roman" w:hAnsi="Times New Roman" w:cs="Times New Roman"/>
                <w:bCs/>
                <w:sz w:val="21"/>
                <w:szCs w:val="21"/>
              </w:rPr>
            </w:pPr>
            <w:r>
              <w:rPr>
                <w:rFonts w:hint="eastAsia" w:ascii="Times New Roman" w:hAnsi="Times New Roman" w:cs="Times New Roman"/>
                <w:bCs/>
                <w:sz w:val="21"/>
                <w:szCs w:val="21"/>
              </w:rPr>
              <w:t>符合</w:t>
            </w:r>
          </w:p>
        </w:tc>
      </w:tr>
      <w:tr w14:paraId="565D0F4F">
        <w:tblPrEx>
          <w:tblBorders>
            <w:top w:val="thinThickSmallGap" w:color="auto" w:sz="12" w:space="0"/>
            <w:left w:val="none" w:color="auto" w:sz="0" w:space="0"/>
            <w:bottom w:val="thickThinSmallGap"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96" w:type="pct"/>
            <w:noWrap w:val="0"/>
            <w:vAlign w:val="center"/>
          </w:tcPr>
          <w:p w14:paraId="760C931A">
            <w:pPr>
              <w:adjustRightInd w:val="0"/>
              <w:snapToGrid w:val="0"/>
              <w:jc w:val="both"/>
              <w:rPr>
                <w:rFonts w:hint="eastAsia" w:ascii="Times New Roman" w:hAnsi="Times New Roman" w:cs="Times New Roman"/>
                <w:bCs/>
                <w:sz w:val="21"/>
                <w:szCs w:val="21"/>
              </w:rPr>
            </w:pPr>
            <w:r>
              <w:rPr>
                <w:rFonts w:hint="eastAsia" w:ascii="Times New Roman" w:hAnsi="Times New Roman" w:cs="Times New Roman"/>
                <w:bCs/>
                <w:sz w:val="21"/>
                <w:szCs w:val="21"/>
              </w:rPr>
              <w:t>4</w:t>
            </w:r>
          </w:p>
        </w:tc>
        <w:tc>
          <w:tcPr>
            <w:tcW w:w="1038" w:type="pct"/>
            <w:noWrap w:val="0"/>
            <w:vAlign w:val="center"/>
          </w:tcPr>
          <w:p w14:paraId="794496AA">
            <w:pPr>
              <w:adjustRightInd w:val="0"/>
              <w:snapToGrid w:val="0"/>
              <w:jc w:val="both"/>
              <w:rPr>
                <w:rFonts w:ascii="Times New Roman" w:hAnsi="Times New Roman" w:cs="Times New Roman"/>
                <w:bCs/>
                <w:sz w:val="21"/>
                <w:szCs w:val="21"/>
              </w:rPr>
            </w:pPr>
            <w:r>
              <w:rPr>
                <w:rFonts w:ascii="Times New Roman" w:hAnsi="Times New Roman" w:cs="Times New Roman"/>
                <w:bCs/>
                <w:sz w:val="21"/>
                <w:szCs w:val="21"/>
              </w:rPr>
              <w:t>加强工业水循环利用。</w:t>
            </w:r>
          </w:p>
        </w:tc>
        <w:tc>
          <w:tcPr>
            <w:tcW w:w="1142" w:type="pct"/>
            <w:noWrap w:val="0"/>
            <w:vAlign w:val="center"/>
          </w:tcPr>
          <w:p w14:paraId="7B2E8DEF">
            <w:pPr>
              <w:adjustRightInd w:val="0"/>
              <w:snapToGrid w:val="0"/>
              <w:jc w:val="both"/>
              <w:rPr>
                <w:rFonts w:ascii="Times New Roman" w:hAnsi="Times New Roman" w:cs="Times New Roman"/>
                <w:bCs/>
                <w:sz w:val="21"/>
                <w:szCs w:val="21"/>
              </w:rPr>
            </w:pPr>
            <w:r>
              <w:rPr>
                <w:rFonts w:ascii="Times New Roman" w:hAnsi="Times New Roman" w:cs="Times New Roman"/>
                <w:bCs/>
                <w:sz w:val="21"/>
                <w:szCs w:val="21"/>
              </w:rPr>
              <w:t>加强工业水循环利用。</w:t>
            </w:r>
          </w:p>
        </w:tc>
        <w:tc>
          <w:tcPr>
            <w:tcW w:w="1193" w:type="pct"/>
            <w:noWrap w:val="0"/>
            <w:vAlign w:val="center"/>
          </w:tcPr>
          <w:p w14:paraId="0F2802F0">
            <w:pPr>
              <w:adjustRightInd w:val="0"/>
              <w:snapToGrid w:val="0"/>
              <w:jc w:val="both"/>
              <w:rPr>
                <w:rFonts w:hint="eastAsia" w:ascii="Times New Roman" w:hAnsi="Times New Roman" w:cs="Times New Roman"/>
                <w:bCs/>
                <w:sz w:val="21"/>
                <w:szCs w:val="21"/>
              </w:rPr>
            </w:pPr>
            <w:r>
              <w:rPr>
                <w:rFonts w:ascii="Times New Roman" w:hAnsi="Times New Roman" w:cs="Times New Roman"/>
                <w:bCs/>
                <w:sz w:val="21"/>
                <w:szCs w:val="21"/>
              </w:rPr>
              <w:t>加强工业水循环利用</w:t>
            </w:r>
            <w:r>
              <w:rPr>
                <w:rFonts w:hint="eastAsia" w:ascii="Times New Roman" w:hAnsi="Times New Roman" w:cs="Times New Roman"/>
                <w:bCs/>
                <w:sz w:val="21"/>
                <w:szCs w:val="21"/>
              </w:rPr>
              <w:t>，重点调查化工等行业的水资源利用情况，评估其工业水循环利用水平。</w:t>
            </w:r>
          </w:p>
        </w:tc>
        <w:tc>
          <w:tcPr>
            <w:tcW w:w="1091" w:type="pct"/>
            <w:noWrap w:val="0"/>
            <w:vAlign w:val="center"/>
          </w:tcPr>
          <w:p w14:paraId="7BDFBBF2">
            <w:pPr>
              <w:adjustRightInd w:val="0"/>
              <w:snapToGrid w:val="0"/>
              <w:jc w:val="both"/>
              <w:rPr>
                <w:rFonts w:hint="eastAsia" w:ascii="Times New Roman" w:hAnsi="Times New Roman" w:cs="Times New Roman"/>
                <w:bCs/>
                <w:sz w:val="21"/>
                <w:szCs w:val="21"/>
              </w:rPr>
            </w:pPr>
            <w:r>
              <w:rPr>
                <w:rFonts w:hint="eastAsia" w:ascii="Times New Roman" w:hAnsi="Times New Roman" w:cs="Times New Roman"/>
                <w:bCs/>
                <w:sz w:val="21"/>
                <w:szCs w:val="21"/>
              </w:rPr>
              <w:t>本项目废水主要为</w:t>
            </w:r>
            <w:r>
              <w:rPr>
                <w:rFonts w:hint="eastAsia" w:ascii="Times New Roman" w:hAnsi="Times New Roman" w:cs="Times New Roman"/>
                <w:bCs/>
                <w:sz w:val="21"/>
                <w:szCs w:val="21"/>
                <w:lang w:val="en-US" w:eastAsia="zh-CN"/>
              </w:rPr>
              <w:t>冷却用水</w:t>
            </w:r>
            <w:r>
              <w:rPr>
                <w:rFonts w:ascii="Times New Roman" w:hAnsi="Times New Roman" w:cs="Times New Roman"/>
                <w:bCs/>
                <w:sz w:val="21"/>
                <w:szCs w:val="21"/>
              </w:rPr>
              <w:t>，</w:t>
            </w:r>
            <w:r>
              <w:rPr>
                <w:rFonts w:hint="eastAsia" w:ascii="Times New Roman" w:hAnsi="Times New Roman" w:cs="Times New Roman"/>
                <w:bCs/>
                <w:sz w:val="21"/>
                <w:szCs w:val="21"/>
                <w:lang w:val="en-US" w:eastAsia="zh-CN"/>
              </w:rPr>
              <w:t>循环使用</w:t>
            </w:r>
            <w:r>
              <w:rPr>
                <w:rFonts w:ascii="Times New Roman" w:hAnsi="Times New Roman" w:cs="Times New Roman"/>
                <w:bCs/>
                <w:sz w:val="21"/>
                <w:szCs w:val="21"/>
              </w:rPr>
              <w:t>不外排；</w:t>
            </w:r>
          </w:p>
        </w:tc>
        <w:tc>
          <w:tcPr>
            <w:tcW w:w="340" w:type="pct"/>
            <w:noWrap w:val="0"/>
            <w:vAlign w:val="center"/>
          </w:tcPr>
          <w:p w14:paraId="292C05F1">
            <w:pPr>
              <w:adjustRightInd w:val="0"/>
              <w:snapToGrid w:val="0"/>
              <w:jc w:val="both"/>
              <w:rPr>
                <w:rFonts w:hint="eastAsia" w:ascii="Times New Roman" w:hAnsi="Times New Roman" w:cs="Times New Roman"/>
                <w:bCs/>
                <w:sz w:val="21"/>
                <w:szCs w:val="21"/>
              </w:rPr>
            </w:pPr>
            <w:r>
              <w:rPr>
                <w:rFonts w:hint="eastAsia" w:ascii="Times New Roman" w:hAnsi="Times New Roman" w:cs="Times New Roman"/>
                <w:bCs/>
                <w:sz w:val="21"/>
                <w:szCs w:val="21"/>
              </w:rPr>
              <w:t>符合</w:t>
            </w:r>
          </w:p>
        </w:tc>
      </w:tr>
    </w:tbl>
    <w:p w14:paraId="353B8AEC">
      <w:pPr>
        <w:spacing w:line="460" w:lineRule="exact"/>
        <w:jc w:val="center"/>
        <w:rPr>
          <w:rFonts w:hint="eastAsia" w:ascii="Times New Roman" w:hAnsi="Times New Roman" w:eastAsia="黑体" w:cs="Times New Roman"/>
        </w:rPr>
      </w:pPr>
      <w:r>
        <w:rPr>
          <w:rFonts w:ascii="Times New Roman" w:hAnsi="Times New Roman" w:eastAsia="黑体" w:cs="Times New Roman"/>
        </w:rPr>
        <w:t>表1.6-</w:t>
      </w:r>
      <w:r>
        <w:rPr>
          <w:rFonts w:hint="eastAsia" w:ascii="Times New Roman" w:hAnsi="Times New Roman" w:eastAsia="黑体" w:cs="Times New Roman"/>
          <w:lang w:val="en-US" w:eastAsia="zh-CN"/>
        </w:rPr>
        <w:t>5</w:t>
      </w:r>
      <w:r>
        <w:rPr>
          <w:rFonts w:ascii="Times New Roman" w:hAnsi="Times New Roman" w:eastAsia="黑体" w:cs="Times New Roman"/>
        </w:rPr>
        <w:t xml:space="preserve">  本项目与</w:t>
      </w:r>
      <w:r>
        <w:rPr>
          <w:rFonts w:hint="eastAsia" w:hAnsi="黑体" w:eastAsia="黑体"/>
          <w:bCs/>
        </w:rPr>
        <w:t>“土十条”</w:t>
      </w:r>
      <w:r>
        <w:rPr>
          <w:rFonts w:ascii="Times New Roman" w:hAnsi="Times New Roman" w:eastAsia="黑体" w:cs="Times New Roman"/>
        </w:rPr>
        <w:t>符合性分析表</w:t>
      </w:r>
    </w:p>
    <w:tbl>
      <w:tblPr>
        <w:tblStyle w:val="56"/>
        <w:tblW w:w="5000" w:type="pct"/>
        <w:jc w:val="center"/>
        <w:tblBorders>
          <w:top w:val="thinThickSmallGap" w:color="auto" w:sz="12" w:space="0"/>
          <w:left w:val="none" w:color="auto" w:sz="0" w:space="0"/>
          <w:bottom w:val="thickThinSmallGap" w:color="auto" w:sz="12" w:space="0"/>
          <w:right w:val="none" w:color="auto" w:sz="0" w:space="0"/>
          <w:insideH w:val="single" w:color="auto" w:sz="6" w:space="0"/>
          <w:insideV w:val="single" w:color="auto" w:sz="6" w:space="0"/>
        </w:tblBorders>
        <w:tblLayout w:type="autofit"/>
        <w:tblCellMar>
          <w:top w:w="0" w:type="dxa"/>
          <w:left w:w="108" w:type="dxa"/>
          <w:bottom w:w="0" w:type="dxa"/>
          <w:right w:w="108" w:type="dxa"/>
        </w:tblCellMar>
      </w:tblPr>
      <w:tblGrid>
        <w:gridCol w:w="748"/>
        <w:gridCol w:w="4331"/>
        <w:gridCol w:w="4339"/>
        <w:gridCol w:w="3181"/>
        <w:gridCol w:w="1055"/>
      </w:tblGrid>
      <w:tr w14:paraId="353311AC">
        <w:tblPrEx>
          <w:tblBorders>
            <w:top w:val="thinThickSmallGap" w:color="auto" w:sz="12" w:space="0"/>
            <w:left w:val="none" w:color="auto" w:sz="0" w:space="0"/>
            <w:bottom w:val="thickThinSmallGap"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274" w:type="pct"/>
            <w:shd w:val="clear" w:color="auto" w:fill="DDDDDD"/>
            <w:noWrap w:val="0"/>
            <w:vAlign w:val="center"/>
          </w:tcPr>
          <w:p w14:paraId="1DE8478E">
            <w:pPr>
              <w:adjustRightInd w:val="0"/>
              <w:snapToGrid w:val="0"/>
              <w:jc w:val="center"/>
              <w:rPr>
                <w:rFonts w:ascii="Times New Roman" w:hAnsi="Times New Roman" w:cs="Times New Roman"/>
                <w:bCs/>
                <w:sz w:val="21"/>
                <w:szCs w:val="21"/>
              </w:rPr>
            </w:pPr>
            <w:r>
              <w:rPr>
                <w:rFonts w:hint="eastAsia" w:ascii="Times New Roman" w:hAnsi="Times New Roman" w:cs="Times New Roman"/>
                <w:bCs/>
                <w:sz w:val="21"/>
                <w:szCs w:val="21"/>
              </w:rPr>
              <w:t>序号</w:t>
            </w:r>
          </w:p>
        </w:tc>
        <w:tc>
          <w:tcPr>
            <w:tcW w:w="1585" w:type="pct"/>
            <w:shd w:val="clear" w:color="auto" w:fill="DDDDDD"/>
            <w:noWrap w:val="0"/>
            <w:vAlign w:val="center"/>
          </w:tcPr>
          <w:p w14:paraId="3FAE9C70">
            <w:pPr>
              <w:adjustRightInd w:val="0"/>
              <w:snapToGrid w:val="0"/>
              <w:jc w:val="center"/>
              <w:rPr>
                <w:rFonts w:hint="eastAsia" w:ascii="Times New Roman" w:hAnsi="Times New Roman" w:cs="Times New Roman"/>
                <w:bCs/>
                <w:sz w:val="21"/>
                <w:szCs w:val="21"/>
              </w:rPr>
            </w:pPr>
            <w:r>
              <w:rPr>
                <w:rFonts w:hint="eastAsia" w:ascii="Times New Roman" w:hAnsi="Times New Roman" w:cs="Times New Roman"/>
                <w:bCs/>
                <w:sz w:val="21"/>
                <w:szCs w:val="21"/>
              </w:rPr>
              <w:t>《国务院关于印发土壤污染防治行动计划的通知》（国发[2016]31号）</w:t>
            </w:r>
          </w:p>
        </w:tc>
        <w:tc>
          <w:tcPr>
            <w:tcW w:w="1588" w:type="pct"/>
            <w:shd w:val="clear" w:color="auto" w:fill="DDDDDD"/>
            <w:noWrap w:val="0"/>
            <w:vAlign w:val="center"/>
          </w:tcPr>
          <w:p w14:paraId="6FAC8274">
            <w:pPr>
              <w:adjustRightInd w:val="0"/>
              <w:snapToGrid w:val="0"/>
              <w:jc w:val="center"/>
              <w:rPr>
                <w:rFonts w:ascii="Times New Roman" w:hAnsi="Times New Roman" w:cs="Times New Roman"/>
                <w:bCs/>
                <w:sz w:val="21"/>
                <w:szCs w:val="21"/>
              </w:rPr>
            </w:pPr>
            <w:r>
              <w:rPr>
                <w:rFonts w:hint="eastAsia" w:ascii="Times New Roman" w:hAnsi="Times New Roman" w:cs="Times New Roman"/>
                <w:bCs/>
                <w:sz w:val="21"/>
                <w:szCs w:val="21"/>
              </w:rPr>
              <w:t>《辽宁省人民政府关于印发辽宁省土壤污染防治工作方案的通知》（辽政发[2016]58号）</w:t>
            </w:r>
          </w:p>
        </w:tc>
        <w:tc>
          <w:tcPr>
            <w:tcW w:w="1164" w:type="pct"/>
            <w:shd w:val="clear" w:color="auto" w:fill="DDDDDD"/>
            <w:noWrap w:val="0"/>
            <w:vAlign w:val="center"/>
          </w:tcPr>
          <w:p w14:paraId="3B6876C0">
            <w:pPr>
              <w:adjustRightInd w:val="0"/>
              <w:snapToGrid w:val="0"/>
              <w:jc w:val="center"/>
              <w:rPr>
                <w:rFonts w:hint="eastAsia" w:ascii="Times New Roman" w:hAnsi="Times New Roman" w:cs="Times New Roman"/>
                <w:bCs/>
                <w:sz w:val="21"/>
                <w:szCs w:val="21"/>
              </w:rPr>
            </w:pPr>
            <w:r>
              <w:rPr>
                <w:rFonts w:hint="eastAsia" w:ascii="Times New Roman" w:hAnsi="Times New Roman" w:cs="Times New Roman"/>
                <w:bCs/>
                <w:sz w:val="21"/>
                <w:szCs w:val="21"/>
              </w:rPr>
              <w:t>本项目</w:t>
            </w:r>
          </w:p>
        </w:tc>
        <w:tc>
          <w:tcPr>
            <w:tcW w:w="386" w:type="pct"/>
            <w:shd w:val="clear" w:color="auto" w:fill="DDDDDD"/>
            <w:noWrap w:val="0"/>
            <w:vAlign w:val="center"/>
          </w:tcPr>
          <w:p w14:paraId="7C4EDA60">
            <w:pPr>
              <w:adjustRightInd w:val="0"/>
              <w:snapToGrid w:val="0"/>
              <w:jc w:val="center"/>
              <w:rPr>
                <w:rFonts w:hint="eastAsia" w:ascii="Times New Roman" w:hAnsi="Times New Roman" w:cs="Times New Roman"/>
                <w:bCs/>
                <w:sz w:val="21"/>
                <w:szCs w:val="21"/>
              </w:rPr>
            </w:pPr>
            <w:r>
              <w:rPr>
                <w:rFonts w:hint="eastAsia" w:ascii="Times New Roman" w:hAnsi="Times New Roman" w:cs="Times New Roman"/>
                <w:bCs/>
                <w:sz w:val="21"/>
                <w:szCs w:val="21"/>
              </w:rPr>
              <w:t>符合性</w:t>
            </w:r>
          </w:p>
        </w:tc>
      </w:tr>
      <w:tr w14:paraId="79AA8FF7">
        <w:tblPrEx>
          <w:tblBorders>
            <w:top w:val="thinThickSmallGap" w:color="auto" w:sz="12" w:space="0"/>
            <w:left w:val="none" w:color="auto" w:sz="0" w:space="0"/>
            <w:bottom w:val="thickThinSmallGap"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274" w:type="pct"/>
            <w:noWrap w:val="0"/>
            <w:vAlign w:val="center"/>
          </w:tcPr>
          <w:p w14:paraId="78A6F1CA">
            <w:pPr>
              <w:adjustRightInd w:val="0"/>
              <w:snapToGrid w:val="0"/>
              <w:jc w:val="center"/>
              <w:rPr>
                <w:rFonts w:hint="eastAsia" w:ascii="Times New Roman" w:hAnsi="Times New Roman" w:cs="Times New Roman"/>
                <w:bCs/>
                <w:sz w:val="21"/>
                <w:szCs w:val="21"/>
              </w:rPr>
            </w:pPr>
            <w:r>
              <w:rPr>
                <w:rFonts w:hint="eastAsia" w:ascii="Times New Roman" w:hAnsi="Times New Roman" w:cs="Times New Roman"/>
                <w:bCs/>
                <w:sz w:val="21"/>
                <w:szCs w:val="21"/>
              </w:rPr>
              <w:t>1</w:t>
            </w:r>
          </w:p>
        </w:tc>
        <w:tc>
          <w:tcPr>
            <w:tcW w:w="1585" w:type="pct"/>
            <w:noWrap w:val="0"/>
            <w:vAlign w:val="center"/>
          </w:tcPr>
          <w:p w14:paraId="24E16809">
            <w:pPr>
              <w:adjustRightInd w:val="0"/>
              <w:snapToGrid w:val="0"/>
              <w:jc w:val="center"/>
              <w:rPr>
                <w:rFonts w:ascii="Times New Roman" w:hAnsi="Times New Roman" w:cs="Times New Roman"/>
                <w:bCs/>
                <w:sz w:val="21"/>
                <w:szCs w:val="21"/>
              </w:rPr>
            </w:pPr>
            <w:r>
              <w:rPr>
                <w:rFonts w:hint="eastAsia" w:ascii="Times New Roman" w:hAnsi="Times New Roman" w:cs="Times New Roman"/>
                <w:bCs/>
                <w:sz w:val="21"/>
                <w:szCs w:val="21"/>
              </w:rPr>
              <w:t>全面强化监管执法。明确监管重点。重点监测土壤中镉、汞、砷、铅、铬等重金属和多环芳烃、石油烃等有机污染物，重点监管有色金属矿采选、有色金属冶炼、石油开采、石油加工、化工、焦化、电镀、制革等行业，以及产粮（油）大县、地级以上城市建成区等区域。</w:t>
            </w:r>
          </w:p>
        </w:tc>
        <w:tc>
          <w:tcPr>
            <w:tcW w:w="1588" w:type="pct"/>
            <w:noWrap w:val="0"/>
            <w:vAlign w:val="center"/>
          </w:tcPr>
          <w:p w14:paraId="46829B11">
            <w:pPr>
              <w:adjustRightInd w:val="0"/>
              <w:snapToGrid w:val="0"/>
              <w:jc w:val="center"/>
              <w:rPr>
                <w:rFonts w:ascii="Times New Roman" w:hAnsi="Times New Roman" w:cs="Times New Roman"/>
                <w:bCs/>
                <w:sz w:val="21"/>
                <w:szCs w:val="21"/>
              </w:rPr>
            </w:pPr>
            <w:r>
              <w:rPr>
                <w:rFonts w:hint="eastAsia" w:ascii="Times New Roman" w:hAnsi="Times New Roman" w:cs="Times New Roman"/>
                <w:bCs/>
                <w:sz w:val="21"/>
                <w:szCs w:val="21"/>
              </w:rPr>
              <w:t>全面强化监管执法。重点监测土壤中镉、汞、砷、铅、铬等重金属和多环芳烃、石油烃等有机污染物，重点监管有色金属矿采选、有色金属冶炼、石油开采、石油加工、化工、焦化、电镀、制革等行业以及产粮（油）大县、地级以上城市建成区等区域。</w:t>
            </w:r>
          </w:p>
        </w:tc>
        <w:tc>
          <w:tcPr>
            <w:tcW w:w="1164" w:type="pct"/>
            <w:noWrap w:val="0"/>
            <w:vAlign w:val="center"/>
          </w:tcPr>
          <w:p w14:paraId="7F766D47">
            <w:pPr>
              <w:adjustRightInd w:val="0"/>
              <w:snapToGrid w:val="0"/>
              <w:jc w:val="center"/>
              <w:rPr>
                <w:rFonts w:ascii="Times New Roman" w:hAnsi="Times New Roman" w:cs="Times New Roman"/>
                <w:bCs/>
                <w:sz w:val="21"/>
                <w:szCs w:val="21"/>
              </w:rPr>
            </w:pPr>
            <w:r>
              <w:rPr>
                <w:rFonts w:hint="eastAsia" w:ascii="Times New Roman" w:hAnsi="Times New Roman" w:cs="Times New Roman"/>
                <w:bCs/>
                <w:sz w:val="21"/>
                <w:szCs w:val="21"/>
              </w:rPr>
              <w:t>本项目不涉及镉、汞、砷、铅、铬等重金属和多环芳烃、石油烃等有机污染物，本次评价进行了土壤环境现状调查，根据调查测结果，上述污染物均满足控制标准。</w:t>
            </w:r>
          </w:p>
        </w:tc>
        <w:tc>
          <w:tcPr>
            <w:tcW w:w="386" w:type="pct"/>
            <w:noWrap w:val="0"/>
            <w:vAlign w:val="center"/>
          </w:tcPr>
          <w:p w14:paraId="1C4FF57B">
            <w:pPr>
              <w:adjustRightInd w:val="0"/>
              <w:snapToGrid w:val="0"/>
              <w:jc w:val="center"/>
              <w:rPr>
                <w:rFonts w:ascii="Times New Roman" w:hAnsi="Times New Roman" w:cs="Times New Roman"/>
                <w:bCs/>
                <w:sz w:val="21"/>
                <w:szCs w:val="21"/>
              </w:rPr>
            </w:pPr>
            <w:r>
              <w:rPr>
                <w:rFonts w:hint="eastAsia" w:ascii="Times New Roman" w:hAnsi="Times New Roman" w:cs="Times New Roman"/>
                <w:bCs/>
                <w:sz w:val="21"/>
                <w:szCs w:val="21"/>
              </w:rPr>
              <w:t>符合</w:t>
            </w:r>
          </w:p>
        </w:tc>
      </w:tr>
      <w:tr w14:paraId="02B04EE9">
        <w:tblPrEx>
          <w:tblBorders>
            <w:top w:val="thinThickSmallGap" w:color="auto" w:sz="12" w:space="0"/>
            <w:left w:val="none" w:color="auto" w:sz="0" w:space="0"/>
            <w:bottom w:val="thickThinSmallGap"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274" w:type="pct"/>
            <w:noWrap w:val="0"/>
            <w:vAlign w:val="center"/>
          </w:tcPr>
          <w:p w14:paraId="0104733F">
            <w:pPr>
              <w:adjustRightInd w:val="0"/>
              <w:snapToGrid w:val="0"/>
              <w:jc w:val="center"/>
              <w:rPr>
                <w:rFonts w:hint="eastAsia" w:ascii="Times New Roman" w:hAnsi="Times New Roman" w:cs="Times New Roman"/>
                <w:bCs/>
                <w:sz w:val="21"/>
                <w:szCs w:val="21"/>
              </w:rPr>
            </w:pPr>
            <w:r>
              <w:rPr>
                <w:rFonts w:hint="eastAsia" w:ascii="Times New Roman" w:hAnsi="Times New Roman" w:cs="Times New Roman"/>
                <w:bCs/>
                <w:sz w:val="21"/>
                <w:szCs w:val="21"/>
              </w:rPr>
              <w:t>2</w:t>
            </w:r>
          </w:p>
        </w:tc>
        <w:tc>
          <w:tcPr>
            <w:tcW w:w="1585" w:type="pct"/>
            <w:noWrap w:val="0"/>
            <w:vAlign w:val="center"/>
          </w:tcPr>
          <w:p w14:paraId="68F35A52">
            <w:pPr>
              <w:adjustRightInd w:val="0"/>
              <w:snapToGrid w:val="0"/>
              <w:jc w:val="center"/>
              <w:rPr>
                <w:rFonts w:hint="eastAsia" w:ascii="Times New Roman" w:hAnsi="Times New Roman" w:cs="Times New Roman"/>
                <w:bCs/>
                <w:sz w:val="21"/>
                <w:szCs w:val="21"/>
              </w:rPr>
            </w:pPr>
            <w:r>
              <w:rPr>
                <w:rFonts w:hint="eastAsia" w:ascii="Times New Roman" w:hAnsi="Times New Roman" w:cs="Times New Roman"/>
                <w:bCs/>
                <w:sz w:val="21"/>
                <w:szCs w:val="21"/>
              </w:rPr>
              <w:t>切实加大保护力度。各地要将符合条件的优先保护类耕地划为永久基本农田，实行严格保护，确保其面积不减少、土壤环境质量不下降，除法律规定的重点建设项目选址确实无法避让外，其他任何建设不得占用。严格控制在优先保护类耕地集中区域新建有色金属冶炼、石油加工、化工、焦化、电镀、制革等行业企业。</w:t>
            </w:r>
          </w:p>
        </w:tc>
        <w:tc>
          <w:tcPr>
            <w:tcW w:w="1588" w:type="pct"/>
            <w:noWrap w:val="0"/>
            <w:vAlign w:val="center"/>
          </w:tcPr>
          <w:p w14:paraId="5A7A0CEB">
            <w:pPr>
              <w:adjustRightInd w:val="0"/>
              <w:snapToGrid w:val="0"/>
              <w:jc w:val="center"/>
              <w:rPr>
                <w:rFonts w:hint="eastAsia" w:ascii="Times New Roman" w:hAnsi="Times New Roman" w:cs="Times New Roman"/>
                <w:bCs/>
                <w:sz w:val="21"/>
                <w:szCs w:val="21"/>
              </w:rPr>
            </w:pPr>
            <w:r>
              <w:rPr>
                <w:rFonts w:hint="eastAsia" w:ascii="Times New Roman" w:hAnsi="Times New Roman" w:cs="Times New Roman"/>
                <w:bCs/>
                <w:sz w:val="21"/>
                <w:szCs w:val="21"/>
              </w:rPr>
              <w:t>各地区要将符合条件的优先保护类耕地划为永久基本农田，实行严格保护，确保其面积不减少、土壤环境质量不下降，除法律规定的重点建设项目选址确实无法避让外，其他任何建设项目不得占用。严格控制在优先保护类耕地集中区域新建有色金属冶炼、石油加工、化工、焦化、电镀、制革等行业企业。</w:t>
            </w:r>
          </w:p>
        </w:tc>
        <w:tc>
          <w:tcPr>
            <w:tcW w:w="1164" w:type="pct"/>
            <w:noWrap w:val="0"/>
            <w:vAlign w:val="center"/>
          </w:tcPr>
          <w:p w14:paraId="6C2A13E5">
            <w:pPr>
              <w:adjustRightInd w:val="0"/>
              <w:snapToGrid w:val="0"/>
              <w:jc w:val="center"/>
              <w:rPr>
                <w:rFonts w:hint="eastAsia" w:ascii="Times New Roman" w:hAnsi="Times New Roman" w:cs="Times New Roman"/>
                <w:bCs/>
                <w:sz w:val="21"/>
                <w:szCs w:val="21"/>
              </w:rPr>
            </w:pPr>
            <w:r>
              <w:rPr>
                <w:rFonts w:hint="eastAsia" w:ascii="Times New Roman" w:hAnsi="Times New Roman" w:cs="Times New Roman"/>
                <w:bCs/>
                <w:sz w:val="21"/>
                <w:szCs w:val="21"/>
              </w:rPr>
              <w:t>本项目在</w:t>
            </w:r>
            <w:r>
              <w:rPr>
                <w:rFonts w:hint="eastAsia" w:ascii="Times New Roman" w:hAnsi="Times New Roman" w:cs="Times New Roman"/>
                <w:bCs/>
                <w:sz w:val="21"/>
                <w:szCs w:val="21"/>
                <w:lang w:eastAsia="zh-CN"/>
              </w:rPr>
              <w:t>本溪玉麒麟新材料有限公司</w:t>
            </w:r>
            <w:r>
              <w:rPr>
                <w:rFonts w:hint="eastAsia" w:ascii="Times New Roman" w:hAnsi="Times New Roman" w:cs="Times New Roman"/>
                <w:bCs/>
                <w:sz w:val="21"/>
                <w:szCs w:val="21"/>
              </w:rPr>
              <w:t>现有厂区内建设，</w:t>
            </w:r>
            <w:r>
              <w:rPr>
                <w:sz w:val="21"/>
                <w:szCs w:val="21"/>
              </w:rPr>
              <w:t>项目用地性质为工业用地，</w:t>
            </w:r>
            <w:r>
              <w:rPr>
                <w:rFonts w:hint="eastAsia" w:ascii="Times New Roman" w:hAnsi="Times New Roman" w:cs="Times New Roman"/>
                <w:bCs/>
                <w:sz w:val="21"/>
                <w:szCs w:val="21"/>
              </w:rPr>
              <w:t>用地类型为工业用地，不占用基本农田</w:t>
            </w:r>
          </w:p>
        </w:tc>
        <w:tc>
          <w:tcPr>
            <w:tcW w:w="386" w:type="pct"/>
            <w:noWrap w:val="0"/>
            <w:vAlign w:val="center"/>
          </w:tcPr>
          <w:p w14:paraId="34EA4E73">
            <w:pPr>
              <w:adjustRightInd w:val="0"/>
              <w:snapToGrid w:val="0"/>
              <w:jc w:val="center"/>
              <w:rPr>
                <w:rFonts w:hint="eastAsia" w:ascii="Times New Roman" w:hAnsi="Times New Roman" w:cs="Times New Roman"/>
                <w:bCs/>
                <w:sz w:val="21"/>
                <w:szCs w:val="21"/>
              </w:rPr>
            </w:pPr>
            <w:r>
              <w:rPr>
                <w:rFonts w:hint="eastAsia" w:ascii="Times New Roman" w:hAnsi="Times New Roman" w:cs="Times New Roman"/>
                <w:bCs/>
                <w:sz w:val="21"/>
                <w:szCs w:val="21"/>
              </w:rPr>
              <w:t>符合</w:t>
            </w:r>
          </w:p>
        </w:tc>
      </w:tr>
      <w:tr w14:paraId="57A18F42">
        <w:tblPrEx>
          <w:tblBorders>
            <w:top w:val="thinThickSmallGap" w:color="auto" w:sz="12" w:space="0"/>
            <w:left w:val="none" w:color="auto" w:sz="0" w:space="0"/>
            <w:bottom w:val="thickThinSmallGap"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274" w:type="pct"/>
            <w:noWrap w:val="0"/>
            <w:vAlign w:val="center"/>
          </w:tcPr>
          <w:p w14:paraId="44BA0381">
            <w:pPr>
              <w:adjustRightInd w:val="0"/>
              <w:snapToGrid w:val="0"/>
              <w:jc w:val="center"/>
              <w:rPr>
                <w:rFonts w:hint="eastAsia" w:ascii="Times New Roman" w:hAnsi="Times New Roman" w:cs="Times New Roman"/>
                <w:bCs/>
                <w:sz w:val="21"/>
                <w:szCs w:val="21"/>
              </w:rPr>
            </w:pPr>
            <w:r>
              <w:rPr>
                <w:rFonts w:hint="eastAsia" w:ascii="Times New Roman" w:hAnsi="Times New Roman" w:cs="Times New Roman"/>
                <w:bCs/>
                <w:sz w:val="21"/>
                <w:szCs w:val="21"/>
              </w:rPr>
              <w:t>3</w:t>
            </w:r>
          </w:p>
        </w:tc>
        <w:tc>
          <w:tcPr>
            <w:tcW w:w="1585" w:type="pct"/>
            <w:noWrap w:val="0"/>
            <w:vAlign w:val="center"/>
          </w:tcPr>
          <w:p w14:paraId="1046639F">
            <w:pPr>
              <w:adjustRightInd w:val="0"/>
              <w:snapToGrid w:val="0"/>
              <w:jc w:val="center"/>
              <w:rPr>
                <w:rFonts w:hint="eastAsia" w:ascii="Times New Roman" w:hAnsi="Times New Roman" w:cs="Times New Roman"/>
                <w:bCs/>
                <w:sz w:val="21"/>
                <w:szCs w:val="21"/>
              </w:rPr>
            </w:pPr>
            <w:r>
              <w:rPr>
                <w:rFonts w:hint="eastAsia" w:ascii="Times New Roman" w:hAnsi="Times New Roman" w:cs="Times New Roman"/>
                <w:bCs/>
                <w:sz w:val="21"/>
                <w:szCs w:val="21"/>
              </w:rPr>
              <w:t>加强涉重金属行业污染防控。继续淘汰涉重金属重点行业落后产能，完善重金属相关行业准入条件，禁止新建落后产能或产能严重过剩行业的建设项目。</w:t>
            </w:r>
          </w:p>
        </w:tc>
        <w:tc>
          <w:tcPr>
            <w:tcW w:w="1588" w:type="pct"/>
            <w:noWrap w:val="0"/>
            <w:vAlign w:val="center"/>
          </w:tcPr>
          <w:p w14:paraId="0306F449">
            <w:pPr>
              <w:adjustRightInd w:val="0"/>
              <w:snapToGrid w:val="0"/>
              <w:jc w:val="center"/>
              <w:rPr>
                <w:rFonts w:hint="eastAsia" w:ascii="Times New Roman" w:hAnsi="Times New Roman" w:cs="Times New Roman"/>
                <w:bCs/>
                <w:sz w:val="21"/>
                <w:szCs w:val="21"/>
              </w:rPr>
            </w:pPr>
            <w:r>
              <w:rPr>
                <w:rFonts w:hint="eastAsia" w:ascii="Times New Roman" w:hAnsi="Times New Roman" w:cs="Times New Roman"/>
                <w:bCs/>
                <w:sz w:val="21"/>
                <w:szCs w:val="21"/>
              </w:rPr>
              <w:t>加强涉重金属行业污染防控。严格执行重金属污染物排放标准并落实相关总量控制指，继续淘汰涉重金属重点行业落后产能，禁止新建落后产能或产能严重过剩行业项目。</w:t>
            </w:r>
          </w:p>
        </w:tc>
        <w:tc>
          <w:tcPr>
            <w:tcW w:w="1164" w:type="pct"/>
            <w:noWrap w:val="0"/>
            <w:vAlign w:val="center"/>
          </w:tcPr>
          <w:p w14:paraId="72E27313">
            <w:pPr>
              <w:adjustRightInd w:val="0"/>
              <w:snapToGrid w:val="0"/>
              <w:jc w:val="center"/>
              <w:rPr>
                <w:rFonts w:hint="eastAsia" w:ascii="Times New Roman" w:hAnsi="Times New Roman" w:cs="Times New Roman"/>
                <w:bCs/>
                <w:sz w:val="21"/>
                <w:szCs w:val="21"/>
              </w:rPr>
            </w:pPr>
            <w:r>
              <w:rPr>
                <w:rFonts w:hint="eastAsia" w:ascii="Times New Roman" w:hAnsi="Times New Roman" w:cs="Times New Roman"/>
                <w:bCs/>
                <w:sz w:val="21"/>
                <w:szCs w:val="21"/>
              </w:rPr>
              <w:t>本项目不属于涉重金属重点行业，也不属于落后产能。</w:t>
            </w:r>
          </w:p>
        </w:tc>
        <w:tc>
          <w:tcPr>
            <w:tcW w:w="386" w:type="pct"/>
            <w:noWrap w:val="0"/>
            <w:vAlign w:val="center"/>
          </w:tcPr>
          <w:p w14:paraId="12996948">
            <w:pPr>
              <w:adjustRightInd w:val="0"/>
              <w:snapToGrid w:val="0"/>
              <w:jc w:val="center"/>
              <w:rPr>
                <w:rFonts w:hint="eastAsia" w:ascii="Times New Roman" w:hAnsi="Times New Roman" w:cs="Times New Roman"/>
                <w:bCs/>
                <w:sz w:val="21"/>
                <w:szCs w:val="21"/>
              </w:rPr>
            </w:pPr>
            <w:r>
              <w:rPr>
                <w:rFonts w:hint="eastAsia" w:ascii="Times New Roman" w:hAnsi="Times New Roman" w:cs="Times New Roman"/>
                <w:bCs/>
                <w:sz w:val="21"/>
                <w:szCs w:val="21"/>
              </w:rPr>
              <w:t>符合</w:t>
            </w:r>
          </w:p>
        </w:tc>
      </w:tr>
      <w:tr w14:paraId="165C1253">
        <w:tblPrEx>
          <w:tblBorders>
            <w:top w:val="thinThickSmallGap" w:color="auto" w:sz="12" w:space="0"/>
            <w:left w:val="none" w:color="auto" w:sz="0" w:space="0"/>
            <w:bottom w:val="thickThinSmallGap"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274" w:type="pct"/>
            <w:noWrap w:val="0"/>
            <w:vAlign w:val="center"/>
          </w:tcPr>
          <w:p w14:paraId="1CB3A862">
            <w:pPr>
              <w:adjustRightInd w:val="0"/>
              <w:snapToGrid w:val="0"/>
              <w:jc w:val="center"/>
              <w:rPr>
                <w:rFonts w:hint="eastAsia" w:ascii="Times New Roman" w:hAnsi="Times New Roman" w:cs="Times New Roman"/>
                <w:bCs/>
                <w:sz w:val="21"/>
                <w:szCs w:val="21"/>
              </w:rPr>
            </w:pPr>
            <w:r>
              <w:rPr>
                <w:rFonts w:hint="eastAsia" w:ascii="Times New Roman" w:hAnsi="Times New Roman" w:cs="Times New Roman"/>
                <w:bCs/>
                <w:sz w:val="21"/>
                <w:szCs w:val="21"/>
              </w:rPr>
              <w:t>4</w:t>
            </w:r>
          </w:p>
        </w:tc>
        <w:tc>
          <w:tcPr>
            <w:tcW w:w="1585" w:type="pct"/>
            <w:noWrap w:val="0"/>
            <w:vAlign w:val="center"/>
          </w:tcPr>
          <w:p w14:paraId="35A09E6A">
            <w:pPr>
              <w:adjustRightInd w:val="0"/>
              <w:snapToGrid w:val="0"/>
              <w:jc w:val="center"/>
              <w:rPr>
                <w:rFonts w:hint="eastAsia" w:ascii="Times New Roman" w:hAnsi="Times New Roman" w:cs="Times New Roman"/>
                <w:bCs/>
                <w:sz w:val="21"/>
                <w:szCs w:val="21"/>
              </w:rPr>
            </w:pPr>
            <w:r>
              <w:rPr>
                <w:rFonts w:hint="eastAsia" w:ascii="Times New Roman" w:hAnsi="Times New Roman" w:cs="Times New Roman"/>
                <w:bCs/>
                <w:sz w:val="21"/>
                <w:szCs w:val="21"/>
              </w:rPr>
              <w:t>加强工业废物处理处置。全面整治尾矿、煤矸石、工业副产石膏、粉煤灰、赤泥、冶炼渣、电石渣、铬渣、砷渣以及脱硫、脱硝、除尘产生固体废物的堆存场所，完善防扬散、防流失、防渗漏等设施，制定整治方案并有序实施。加强工业固体废物综合利用。</w:t>
            </w:r>
          </w:p>
        </w:tc>
        <w:tc>
          <w:tcPr>
            <w:tcW w:w="1588" w:type="pct"/>
            <w:noWrap w:val="0"/>
            <w:vAlign w:val="center"/>
          </w:tcPr>
          <w:p w14:paraId="70CE9B5C">
            <w:pPr>
              <w:adjustRightInd w:val="0"/>
              <w:snapToGrid w:val="0"/>
              <w:jc w:val="center"/>
              <w:rPr>
                <w:rFonts w:hint="eastAsia" w:ascii="Times New Roman" w:hAnsi="Times New Roman" w:cs="Times New Roman"/>
                <w:bCs/>
                <w:sz w:val="21"/>
                <w:szCs w:val="21"/>
              </w:rPr>
            </w:pPr>
            <w:r>
              <w:rPr>
                <w:rFonts w:hint="eastAsia" w:ascii="Times New Roman" w:hAnsi="Times New Roman" w:cs="Times New Roman"/>
                <w:bCs/>
                <w:sz w:val="21"/>
                <w:szCs w:val="21"/>
              </w:rPr>
              <w:t>加强工业废物处理处置。全面整治尾矿、煤矸石、工业副产石膏、粉煤灰、冶炼渣、电石渣、铬渣、砷渣以及脱硫、脱硝、除尘产生固体废物的堆存场所，完善防扬散、防流失、防渗漏等设施，制定整治方案并有序实施。</w:t>
            </w:r>
          </w:p>
        </w:tc>
        <w:tc>
          <w:tcPr>
            <w:tcW w:w="1164" w:type="pct"/>
            <w:noWrap w:val="0"/>
            <w:vAlign w:val="center"/>
          </w:tcPr>
          <w:p w14:paraId="3B4B98D6">
            <w:pPr>
              <w:adjustRightInd w:val="0"/>
              <w:snapToGrid w:val="0"/>
              <w:jc w:val="center"/>
              <w:rPr>
                <w:rFonts w:hint="eastAsia" w:ascii="Times New Roman" w:hAnsi="Times New Roman" w:cs="Times New Roman"/>
                <w:bCs/>
                <w:sz w:val="21"/>
                <w:szCs w:val="21"/>
              </w:rPr>
            </w:pPr>
            <w:r>
              <w:rPr>
                <w:rFonts w:hint="eastAsia" w:ascii="Times New Roman" w:hAnsi="Times New Roman" w:cs="Times New Roman"/>
                <w:bCs/>
                <w:sz w:val="21"/>
                <w:szCs w:val="21"/>
              </w:rPr>
              <w:t>本项目产生的工业废物均在封闭的场所暂存。</w:t>
            </w:r>
          </w:p>
        </w:tc>
        <w:tc>
          <w:tcPr>
            <w:tcW w:w="386" w:type="pct"/>
            <w:noWrap w:val="0"/>
            <w:vAlign w:val="center"/>
          </w:tcPr>
          <w:p w14:paraId="4EAE6D6E">
            <w:pPr>
              <w:adjustRightInd w:val="0"/>
              <w:snapToGrid w:val="0"/>
              <w:jc w:val="center"/>
              <w:rPr>
                <w:rFonts w:hint="eastAsia" w:ascii="Times New Roman" w:hAnsi="Times New Roman" w:cs="Times New Roman"/>
                <w:bCs/>
                <w:sz w:val="21"/>
                <w:szCs w:val="21"/>
              </w:rPr>
            </w:pPr>
            <w:r>
              <w:rPr>
                <w:rFonts w:hint="eastAsia" w:ascii="Times New Roman" w:hAnsi="Times New Roman" w:cs="Times New Roman"/>
                <w:bCs/>
                <w:sz w:val="21"/>
                <w:szCs w:val="21"/>
              </w:rPr>
              <w:t>符合</w:t>
            </w:r>
          </w:p>
        </w:tc>
      </w:tr>
    </w:tbl>
    <w:p w14:paraId="53701203">
      <w:pPr>
        <w:adjustRightInd w:val="0"/>
        <w:snapToGrid w:val="0"/>
        <w:spacing w:line="288" w:lineRule="auto"/>
        <w:jc w:val="center"/>
        <w:rPr>
          <w:rFonts w:ascii="Times New Roman" w:hAnsi="Times New Roman" w:eastAsia="黑体" w:cs="Times New Roman"/>
        </w:rPr>
      </w:pPr>
      <w:r>
        <w:rPr>
          <w:rFonts w:ascii="Times New Roman" w:hAnsi="Times New Roman" w:eastAsia="黑体" w:cs="Times New Roman"/>
        </w:rPr>
        <w:t>表1.6-</w:t>
      </w:r>
      <w:r>
        <w:rPr>
          <w:rFonts w:hint="eastAsia" w:ascii="Times New Roman" w:hAnsi="Times New Roman" w:eastAsia="黑体" w:cs="Times New Roman"/>
          <w:lang w:val="en-US" w:eastAsia="zh-CN"/>
        </w:rPr>
        <w:t xml:space="preserve">6 </w:t>
      </w:r>
      <w:r>
        <w:rPr>
          <w:rFonts w:ascii="Times New Roman" w:hAnsi="Times New Roman" w:eastAsia="黑体" w:cs="Times New Roman"/>
        </w:rPr>
        <w:t>本项目与工业炉窑大气污染综合治理方案符合性分析表</w:t>
      </w:r>
    </w:p>
    <w:tbl>
      <w:tblPr>
        <w:tblStyle w:val="56"/>
        <w:tblW w:w="5000" w:type="pct"/>
        <w:jc w:val="center"/>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5071"/>
        <w:gridCol w:w="4675"/>
        <w:gridCol w:w="2794"/>
        <w:gridCol w:w="1114"/>
      </w:tblGrid>
      <w:tr w14:paraId="58616C99">
        <w:tblPrEx>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51" w:hRule="atLeast"/>
          <w:tblHeader/>
          <w:jc w:val="center"/>
        </w:trPr>
        <w:tc>
          <w:tcPr>
            <w:tcW w:w="1857" w:type="pct"/>
            <w:tcBorders>
              <w:top w:val="thinThickSmallGap" w:color="auto" w:sz="12" w:space="0"/>
              <w:bottom w:val="single" w:color="auto" w:sz="4" w:space="0"/>
            </w:tcBorders>
            <w:shd w:val="clear" w:color="auto" w:fill="DDDDDD"/>
            <w:noWrap w:val="0"/>
            <w:vAlign w:val="center"/>
          </w:tcPr>
          <w:p w14:paraId="2BA54BF0">
            <w:pPr>
              <w:ind w:left="-113" w:leftChars="-47" w:right="-108" w:rightChars="-45"/>
              <w:jc w:val="center"/>
              <w:rPr>
                <w:rFonts w:ascii="Times New Roman" w:hAnsi="Times New Roman" w:cs="Times New Roman"/>
                <w:bCs/>
                <w:sz w:val="21"/>
                <w:szCs w:val="21"/>
              </w:rPr>
            </w:pPr>
            <w:r>
              <w:rPr>
                <w:rFonts w:ascii="Times New Roman" w:hAnsi="Times New Roman" w:cs="Times New Roman"/>
                <w:bCs/>
                <w:sz w:val="21"/>
                <w:szCs w:val="21"/>
              </w:rPr>
              <w:t>环大气[2019]56号文件要求</w:t>
            </w:r>
          </w:p>
        </w:tc>
        <w:tc>
          <w:tcPr>
            <w:tcW w:w="1712" w:type="pct"/>
            <w:tcBorders>
              <w:top w:val="thinThickSmallGap" w:color="auto" w:sz="12" w:space="0"/>
              <w:bottom w:val="single" w:color="auto" w:sz="4" w:space="0"/>
            </w:tcBorders>
            <w:shd w:val="clear" w:color="auto" w:fill="DDDDDD"/>
            <w:noWrap w:val="0"/>
            <w:vAlign w:val="center"/>
          </w:tcPr>
          <w:p w14:paraId="601C3E85">
            <w:pPr>
              <w:ind w:left="-113" w:leftChars="-47" w:right="-108" w:rightChars="-45"/>
              <w:jc w:val="center"/>
              <w:rPr>
                <w:rFonts w:ascii="Times New Roman" w:hAnsi="Times New Roman" w:cs="Times New Roman"/>
                <w:bCs/>
                <w:sz w:val="21"/>
                <w:szCs w:val="21"/>
              </w:rPr>
            </w:pPr>
            <w:r>
              <w:rPr>
                <w:rFonts w:ascii="Times New Roman" w:hAnsi="Times New Roman" w:cs="Times New Roman"/>
                <w:bCs/>
                <w:sz w:val="21"/>
                <w:szCs w:val="21"/>
              </w:rPr>
              <w:t>辽环函[2020]29号文件要求</w:t>
            </w:r>
          </w:p>
        </w:tc>
        <w:tc>
          <w:tcPr>
            <w:tcW w:w="1023" w:type="pct"/>
            <w:tcBorders>
              <w:top w:val="thinThickSmallGap" w:color="auto" w:sz="12" w:space="0"/>
              <w:bottom w:val="single" w:color="auto" w:sz="4" w:space="0"/>
            </w:tcBorders>
            <w:shd w:val="clear" w:color="auto" w:fill="DDDDDD"/>
            <w:noWrap w:val="0"/>
            <w:vAlign w:val="center"/>
          </w:tcPr>
          <w:p w14:paraId="43F91D07">
            <w:pPr>
              <w:ind w:left="-113" w:leftChars="-47" w:right="-108" w:rightChars="-45"/>
              <w:jc w:val="center"/>
              <w:rPr>
                <w:rFonts w:ascii="Times New Roman" w:hAnsi="Times New Roman" w:cs="Times New Roman"/>
                <w:bCs/>
                <w:sz w:val="21"/>
                <w:szCs w:val="21"/>
              </w:rPr>
            </w:pPr>
            <w:r>
              <w:rPr>
                <w:rFonts w:ascii="Times New Roman" w:hAnsi="Times New Roman" w:cs="Times New Roman"/>
                <w:bCs/>
                <w:sz w:val="21"/>
                <w:szCs w:val="21"/>
              </w:rPr>
              <w:t>项目情况</w:t>
            </w:r>
          </w:p>
        </w:tc>
        <w:tc>
          <w:tcPr>
            <w:tcW w:w="408" w:type="pct"/>
            <w:tcBorders>
              <w:top w:val="thinThickSmallGap" w:color="auto" w:sz="12" w:space="0"/>
              <w:bottom w:val="single" w:color="auto" w:sz="4" w:space="0"/>
            </w:tcBorders>
            <w:shd w:val="clear" w:color="auto" w:fill="DDDDDD"/>
            <w:noWrap w:val="0"/>
            <w:vAlign w:val="center"/>
          </w:tcPr>
          <w:p w14:paraId="7B901E82">
            <w:pPr>
              <w:ind w:left="-113" w:leftChars="-47" w:right="-108" w:rightChars="-45"/>
              <w:jc w:val="center"/>
              <w:rPr>
                <w:rFonts w:ascii="Times New Roman" w:hAnsi="Times New Roman" w:cs="Times New Roman"/>
                <w:bCs/>
                <w:sz w:val="21"/>
                <w:szCs w:val="21"/>
              </w:rPr>
            </w:pPr>
            <w:r>
              <w:rPr>
                <w:rFonts w:ascii="Times New Roman" w:hAnsi="Times New Roman" w:cs="Times New Roman"/>
                <w:bCs/>
                <w:sz w:val="21"/>
                <w:szCs w:val="21"/>
              </w:rPr>
              <w:t>符合情况</w:t>
            </w:r>
          </w:p>
        </w:tc>
      </w:tr>
      <w:tr w14:paraId="72CAEDFB">
        <w:tblPrEx>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51" w:hRule="atLeast"/>
          <w:jc w:val="center"/>
        </w:trPr>
        <w:tc>
          <w:tcPr>
            <w:tcW w:w="1857" w:type="pct"/>
            <w:tcBorders>
              <w:top w:val="single" w:color="auto" w:sz="4" w:space="0"/>
            </w:tcBorders>
            <w:noWrap w:val="0"/>
            <w:vAlign w:val="center"/>
          </w:tcPr>
          <w:p w14:paraId="5461E01B">
            <w:pPr>
              <w:adjustRightInd w:val="0"/>
              <w:snapToGrid w:val="0"/>
              <w:jc w:val="both"/>
              <w:rPr>
                <w:rFonts w:ascii="Times New Roman" w:hAnsi="Times New Roman" w:cs="Times New Roman"/>
                <w:sz w:val="21"/>
                <w:szCs w:val="21"/>
              </w:rPr>
            </w:pPr>
            <w:r>
              <w:rPr>
                <w:rFonts w:ascii="Times New Roman" w:hAnsi="Times New Roman" w:cs="Times New Roman"/>
                <w:sz w:val="21"/>
                <w:szCs w:val="21"/>
              </w:rPr>
              <w:t>加大产业结构调整力度。严格建设项目环境准入。新建涉工业炉窑的建设项目，原则上要入园区，配套建设高效环保治理设施。重点区域严格控制涉工业炉窑建设项目，严禁新增钢铁、焦化、电解铝、铸造、水泥和平板玻璃等产能；严格执行钢铁、水泥、平板玻璃等行业产能置换实施办法；原则上禁止新建燃料类煤气发生炉（园区现有企业统一建设的清洁煤制气中心除外）。</w:t>
            </w:r>
          </w:p>
        </w:tc>
        <w:tc>
          <w:tcPr>
            <w:tcW w:w="1712" w:type="pct"/>
            <w:tcBorders>
              <w:top w:val="single" w:color="auto" w:sz="4" w:space="0"/>
            </w:tcBorders>
            <w:noWrap w:val="0"/>
            <w:vAlign w:val="center"/>
          </w:tcPr>
          <w:p w14:paraId="5FA7FB7C">
            <w:pPr>
              <w:ind w:left="-113" w:leftChars="-47" w:right="-108" w:rightChars="-45"/>
              <w:jc w:val="both"/>
              <w:rPr>
                <w:rFonts w:ascii="Times New Roman" w:hAnsi="Times New Roman" w:cs="Times New Roman"/>
                <w:bCs/>
                <w:sz w:val="21"/>
                <w:szCs w:val="21"/>
              </w:rPr>
            </w:pPr>
            <w:r>
              <w:rPr>
                <w:rFonts w:ascii="Times New Roman" w:hAnsi="Times New Roman" w:cs="Times New Roman"/>
                <w:bCs/>
                <w:sz w:val="21"/>
                <w:szCs w:val="21"/>
              </w:rPr>
              <w:t>严格建设项目环境准入。新建涉工业炉窑的建设项目，原则上要入园区，配套建设高效环保治理设施。新（改、扩）建工业炉窑以及工业炉窑搬迁改造项目在满足产业政策的前提下，按照相应行业排放标准的特别排放限值和污染治理要求，同步设计、安装污染治理设施。</w:t>
            </w:r>
          </w:p>
        </w:tc>
        <w:tc>
          <w:tcPr>
            <w:tcW w:w="1023" w:type="pct"/>
            <w:tcBorders>
              <w:top w:val="single" w:color="auto" w:sz="4" w:space="0"/>
            </w:tcBorders>
            <w:noWrap w:val="0"/>
            <w:vAlign w:val="center"/>
          </w:tcPr>
          <w:p w14:paraId="7A994ACC">
            <w:pPr>
              <w:adjustRightInd w:val="0"/>
              <w:snapToGrid w:val="0"/>
              <w:jc w:val="center"/>
              <w:rPr>
                <w:rFonts w:ascii="Times New Roman" w:hAnsi="Times New Roman" w:cs="Times New Roman"/>
                <w:sz w:val="21"/>
                <w:szCs w:val="21"/>
              </w:rPr>
            </w:pPr>
            <w:r>
              <w:rPr>
                <w:rFonts w:hint="eastAsia" w:ascii="Times New Roman" w:hAnsi="Times New Roman" w:cs="Times New Roman"/>
                <w:sz w:val="21"/>
                <w:szCs w:val="21"/>
              </w:rPr>
              <w:t>本项目为技改项目，位于</w:t>
            </w:r>
            <w:r>
              <w:rPr>
                <w:rFonts w:hint="eastAsia" w:ascii="Times New Roman" w:hAnsi="Times New Roman" w:cs="Times New Roman"/>
                <w:sz w:val="21"/>
                <w:szCs w:val="21"/>
                <w:lang w:eastAsia="zh-CN"/>
              </w:rPr>
              <w:t>本溪玉麒麟新材料有限公司</w:t>
            </w:r>
            <w:r>
              <w:rPr>
                <w:rFonts w:hint="eastAsia" w:ascii="Times New Roman" w:hAnsi="Times New Roman" w:cs="Times New Roman"/>
                <w:sz w:val="21"/>
                <w:szCs w:val="21"/>
              </w:rPr>
              <w:t>现有厂区内。本项目配套建设高效环保治理设施，可以满足行业排放标准的特别排放限值。</w:t>
            </w:r>
          </w:p>
        </w:tc>
        <w:tc>
          <w:tcPr>
            <w:tcW w:w="408" w:type="pct"/>
            <w:tcBorders>
              <w:top w:val="single" w:color="auto" w:sz="4" w:space="0"/>
            </w:tcBorders>
            <w:noWrap w:val="0"/>
            <w:vAlign w:val="center"/>
          </w:tcPr>
          <w:p w14:paraId="1BAECE78">
            <w:pPr>
              <w:ind w:left="-113" w:leftChars="-47" w:right="-108" w:rightChars="-45"/>
              <w:jc w:val="center"/>
              <w:rPr>
                <w:rFonts w:ascii="Times New Roman" w:hAnsi="Times New Roman" w:cs="Times New Roman"/>
                <w:sz w:val="21"/>
                <w:szCs w:val="21"/>
              </w:rPr>
            </w:pPr>
            <w:r>
              <w:rPr>
                <w:rFonts w:ascii="Times New Roman" w:hAnsi="Times New Roman" w:cs="Times New Roman"/>
                <w:sz w:val="21"/>
                <w:szCs w:val="21"/>
              </w:rPr>
              <w:t>符合</w:t>
            </w:r>
          </w:p>
        </w:tc>
      </w:tr>
      <w:tr w14:paraId="6243B6EE">
        <w:tblPrEx>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51" w:hRule="atLeast"/>
          <w:jc w:val="center"/>
        </w:trPr>
        <w:tc>
          <w:tcPr>
            <w:tcW w:w="1857" w:type="pct"/>
            <w:noWrap w:val="0"/>
            <w:vAlign w:val="center"/>
          </w:tcPr>
          <w:p w14:paraId="534673D2">
            <w:pPr>
              <w:adjustRightInd w:val="0"/>
              <w:snapToGrid w:val="0"/>
              <w:jc w:val="both"/>
              <w:rPr>
                <w:rFonts w:ascii="Times New Roman" w:hAnsi="Times New Roman" w:cs="Times New Roman"/>
                <w:sz w:val="21"/>
                <w:szCs w:val="21"/>
              </w:rPr>
            </w:pPr>
            <w:r>
              <w:rPr>
                <w:rFonts w:ascii="Times New Roman" w:hAnsi="Times New Roman" w:cs="Times New Roman"/>
                <w:sz w:val="21"/>
                <w:szCs w:val="21"/>
              </w:rPr>
              <w:t>加大落后产能和不达标工业炉窑淘汰力度。分行业清理《产业结构调整指导目录》淘汰类工业炉窑。天津、河北、山西、江苏、山东等地要按时完成各地已出台的钢铁、焦化、化工等行业产业结构调整任务。鼓励各地制定更加严格的环保标准，进一步促进产业结构调整。对热效率低下、敞开未封闭，装备简易落后、自动化程度低，无组织排放突出，以及无治理设施或治理设施工艺落后等严重污染环境的工业炉窑，依法责令停业关闭。</w:t>
            </w:r>
          </w:p>
        </w:tc>
        <w:tc>
          <w:tcPr>
            <w:tcW w:w="1712" w:type="pct"/>
            <w:noWrap w:val="0"/>
            <w:vAlign w:val="center"/>
          </w:tcPr>
          <w:p w14:paraId="5736EC7A">
            <w:pPr>
              <w:adjustRightInd w:val="0"/>
              <w:snapToGrid w:val="0"/>
              <w:jc w:val="both"/>
              <w:rPr>
                <w:rFonts w:ascii="Times New Roman" w:hAnsi="Times New Roman" w:cs="Times New Roman"/>
                <w:sz w:val="21"/>
                <w:szCs w:val="21"/>
              </w:rPr>
            </w:pPr>
            <w:r>
              <w:rPr>
                <w:rFonts w:ascii="Times New Roman" w:hAnsi="Times New Roman" w:cs="Times New Roman"/>
                <w:sz w:val="21"/>
                <w:szCs w:val="21"/>
              </w:rPr>
              <w:t>加大落后产能和不达标工业炉窑淘汰力度。结合第二次全国污染源普查，分行业清理《产业结构调整指导目录》（2019年本）淘汰类工业炉窑。以建材、有色等行业为重点，对照行业标准，对热效率低下、敞开未封闭，装备简易落后、自动化程度低，无组织排放突出，以及无治理设施或治理设施工艺落后等严重污染环境的工业炉窑，依法责令停业、关闭。</w:t>
            </w:r>
          </w:p>
        </w:tc>
        <w:tc>
          <w:tcPr>
            <w:tcW w:w="1023" w:type="pct"/>
            <w:noWrap w:val="0"/>
            <w:vAlign w:val="center"/>
          </w:tcPr>
          <w:p w14:paraId="0BE1EBCB">
            <w:pPr>
              <w:adjustRightInd w:val="0"/>
              <w:snapToGrid w:val="0"/>
              <w:jc w:val="center"/>
              <w:rPr>
                <w:rFonts w:ascii="Times New Roman" w:hAnsi="Times New Roman" w:cs="Times New Roman"/>
                <w:sz w:val="21"/>
                <w:szCs w:val="21"/>
              </w:rPr>
            </w:pPr>
            <w:r>
              <w:rPr>
                <w:rFonts w:ascii="Times New Roman" w:hAnsi="Times New Roman" w:cs="Times New Roman"/>
                <w:sz w:val="21"/>
                <w:szCs w:val="21"/>
              </w:rPr>
              <w:t>根据《产业结构调整指导目录（20</w:t>
            </w:r>
            <w:r>
              <w:rPr>
                <w:rFonts w:hint="eastAsia" w:ascii="Times New Roman" w:hAnsi="Times New Roman" w:cs="Times New Roman"/>
                <w:sz w:val="21"/>
                <w:szCs w:val="21"/>
                <w:lang w:val="en-US" w:eastAsia="zh-CN"/>
              </w:rPr>
              <w:t>24</w:t>
            </w:r>
            <w:r>
              <w:rPr>
                <w:rFonts w:ascii="Times New Roman" w:hAnsi="Times New Roman" w:cs="Times New Roman"/>
                <w:sz w:val="21"/>
                <w:szCs w:val="21"/>
              </w:rPr>
              <w:t>年本）》，本项目不涉及淘汰类工业炉窑。且无热效率低下、敞开未封闭，装备简易落后、自动化程度低，无组织排放突出，以及无治理设施或治理设施工艺落后的严重污染环境的工业炉窑。</w:t>
            </w:r>
          </w:p>
        </w:tc>
        <w:tc>
          <w:tcPr>
            <w:tcW w:w="408" w:type="pct"/>
            <w:noWrap w:val="0"/>
            <w:vAlign w:val="center"/>
          </w:tcPr>
          <w:p w14:paraId="3CE16841">
            <w:pPr>
              <w:ind w:left="-113" w:leftChars="-47" w:right="-108" w:rightChars="-45"/>
              <w:jc w:val="center"/>
              <w:rPr>
                <w:rFonts w:ascii="Times New Roman" w:hAnsi="Times New Roman" w:cs="Times New Roman"/>
                <w:bCs/>
                <w:sz w:val="21"/>
                <w:szCs w:val="21"/>
              </w:rPr>
            </w:pPr>
            <w:r>
              <w:rPr>
                <w:rFonts w:ascii="Times New Roman" w:hAnsi="Times New Roman" w:cs="Times New Roman"/>
                <w:bCs/>
                <w:sz w:val="21"/>
                <w:szCs w:val="21"/>
              </w:rPr>
              <w:t>符合</w:t>
            </w:r>
          </w:p>
        </w:tc>
      </w:tr>
      <w:tr w14:paraId="484CFE9E">
        <w:tblPrEx>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51" w:hRule="atLeast"/>
          <w:jc w:val="center"/>
        </w:trPr>
        <w:tc>
          <w:tcPr>
            <w:tcW w:w="1857" w:type="pct"/>
            <w:noWrap w:val="0"/>
            <w:vAlign w:val="center"/>
          </w:tcPr>
          <w:p w14:paraId="6B0B41D0">
            <w:pPr>
              <w:adjustRightInd w:val="0"/>
              <w:snapToGrid w:val="0"/>
              <w:jc w:val="both"/>
              <w:rPr>
                <w:rFonts w:ascii="Times New Roman" w:hAnsi="Times New Roman" w:cs="Times New Roman"/>
                <w:sz w:val="21"/>
                <w:szCs w:val="21"/>
              </w:rPr>
            </w:pPr>
            <w:r>
              <w:rPr>
                <w:rFonts w:ascii="Times New Roman" w:hAnsi="Times New Roman" w:cs="Times New Roman"/>
                <w:sz w:val="21"/>
                <w:szCs w:val="21"/>
              </w:rPr>
              <w:t>加快燃料清洁低碳化替代。对以煤、石油焦、渣油、重油等为燃料的工业炉窑，加快使用清洁低碳能源以及利用工厂余热、电厂热力等进行替代。重点区域禁止掺烧高硫石油焦（硫含量大于3%）。玻璃行业全面禁止掺烧高硫石油焦。</w:t>
            </w:r>
          </w:p>
          <w:p w14:paraId="6A8EA30B">
            <w:pPr>
              <w:adjustRightInd w:val="0"/>
              <w:snapToGrid w:val="0"/>
              <w:jc w:val="both"/>
              <w:rPr>
                <w:rFonts w:ascii="Times New Roman" w:hAnsi="Times New Roman" w:cs="Times New Roman"/>
                <w:sz w:val="21"/>
                <w:szCs w:val="21"/>
              </w:rPr>
            </w:pPr>
            <w:r>
              <w:rPr>
                <w:rFonts w:ascii="Times New Roman" w:hAnsi="Times New Roman" w:cs="Times New Roman"/>
                <w:sz w:val="21"/>
                <w:szCs w:val="21"/>
              </w:rPr>
              <w:t>加大煤气发生炉淘汰力度。2020年年底前，重点区域淘汰炉膛直径3米以下燃料类煤气发生炉；集中使用煤气发生炉的工业园区，暂不具备改用天然气条件的，原则上应建设统一的清洁煤制气中心。</w:t>
            </w:r>
          </w:p>
          <w:p w14:paraId="4A436E45">
            <w:pPr>
              <w:adjustRightInd w:val="0"/>
              <w:snapToGrid w:val="0"/>
              <w:jc w:val="both"/>
              <w:rPr>
                <w:rFonts w:ascii="Times New Roman" w:hAnsi="Times New Roman" w:cs="Times New Roman"/>
                <w:sz w:val="21"/>
                <w:szCs w:val="21"/>
              </w:rPr>
            </w:pPr>
            <w:r>
              <w:rPr>
                <w:rFonts w:ascii="Times New Roman" w:hAnsi="Times New Roman" w:cs="Times New Roman"/>
                <w:sz w:val="21"/>
                <w:szCs w:val="21"/>
              </w:rPr>
              <w:t>加快淘汰燃煤工业炉窑。重点区域取缔燃煤热风炉，基本淘汰热电联产供热管网覆盖范围内的燃煤加热、烘干炉（窑）。加快推动铸造（10吨/小时及以下）、岩棉等行业冲天炉改为电炉。</w:t>
            </w:r>
          </w:p>
        </w:tc>
        <w:tc>
          <w:tcPr>
            <w:tcW w:w="1712" w:type="pct"/>
            <w:noWrap w:val="0"/>
            <w:vAlign w:val="center"/>
          </w:tcPr>
          <w:p w14:paraId="55DCC34B">
            <w:pPr>
              <w:adjustRightInd w:val="0"/>
              <w:snapToGrid w:val="0"/>
              <w:jc w:val="both"/>
              <w:rPr>
                <w:rFonts w:ascii="Times New Roman" w:hAnsi="Times New Roman" w:cs="Times New Roman"/>
                <w:sz w:val="21"/>
                <w:szCs w:val="21"/>
              </w:rPr>
            </w:pPr>
            <w:r>
              <w:rPr>
                <w:rFonts w:ascii="Times New Roman" w:hAnsi="Times New Roman" w:cs="Times New Roman"/>
                <w:sz w:val="21"/>
                <w:szCs w:val="21"/>
              </w:rPr>
              <w:t>对以煤、重油、石油焦、渣油等为燃料的工业炉窑，加快使用清洁低碳能源以及利用工厂余热、电厂热力等进行替代。禁止掺烧高硫石油焦（硫含量大于3%）。玻璃行业全面禁止掺烧高硫石油焦。</w:t>
            </w:r>
          </w:p>
          <w:p w14:paraId="0B862689">
            <w:pPr>
              <w:adjustRightInd w:val="0"/>
              <w:snapToGrid w:val="0"/>
              <w:jc w:val="both"/>
              <w:rPr>
                <w:rFonts w:ascii="Times New Roman" w:hAnsi="Times New Roman" w:cs="Times New Roman"/>
                <w:sz w:val="21"/>
                <w:szCs w:val="21"/>
              </w:rPr>
            </w:pPr>
            <w:r>
              <w:rPr>
                <w:rFonts w:ascii="Times New Roman" w:hAnsi="Times New Roman" w:cs="Times New Roman"/>
                <w:sz w:val="21"/>
                <w:szCs w:val="21"/>
              </w:rPr>
              <w:t>加大煤气发生炉淘汰力度。支持菱镁、陶瓷等等重点行业加快退出煤气发生炉。依法依规推进炉膛直径3米以下燃料类煤气发生炉有序退出。集中使用煤气发生炉的工业园区，暂不具备改用天然气条件的，原则上应建设统一的清洁煤制气中心。加快淘汰燃煤工业炉窑。鼓励菱镁行业直燃煤煅烧炉窑改烧天然气等清洁燃料；鼓励热电联产供热管网覆盖范围内的燃煤加热、烘干炉（窑）由周边热电厂供热；加快推动铸造行业（10吨/小时及以下）冲天炉改为电炉。</w:t>
            </w:r>
          </w:p>
        </w:tc>
        <w:tc>
          <w:tcPr>
            <w:tcW w:w="1023" w:type="pct"/>
            <w:noWrap w:val="0"/>
            <w:vAlign w:val="center"/>
          </w:tcPr>
          <w:p w14:paraId="259AFCF0">
            <w:pPr>
              <w:adjustRightInd w:val="0"/>
              <w:snapToGrid w:val="0"/>
              <w:jc w:val="center"/>
              <w:rPr>
                <w:rFonts w:ascii="Times New Roman" w:hAnsi="Times New Roman" w:cs="Times New Roman"/>
                <w:sz w:val="21"/>
                <w:szCs w:val="21"/>
              </w:rPr>
            </w:pPr>
            <w:r>
              <w:rPr>
                <w:rFonts w:hint="eastAsia" w:ascii="Times New Roman" w:hAnsi="Times New Roman" w:cs="Times New Roman"/>
                <w:sz w:val="21"/>
                <w:szCs w:val="21"/>
              </w:rPr>
              <w:t>本项目</w:t>
            </w:r>
            <w:r>
              <w:rPr>
                <w:rFonts w:hint="eastAsia" w:ascii="Times New Roman" w:hAnsi="Times New Roman" w:cs="Times New Roman"/>
                <w:sz w:val="21"/>
                <w:szCs w:val="21"/>
                <w:lang w:val="en-US" w:eastAsia="zh-CN"/>
              </w:rPr>
              <w:t>烧结机、球团竖炉</w:t>
            </w:r>
            <w:r>
              <w:rPr>
                <w:rFonts w:hint="eastAsia" w:ascii="Times New Roman" w:hAnsi="Times New Roman" w:cs="Times New Roman"/>
                <w:sz w:val="21"/>
                <w:szCs w:val="21"/>
              </w:rPr>
              <w:t>使用</w:t>
            </w:r>
            <w:r>
              <w:rPr>
                <w:rFonts w:hint="eastAsia" w:ascii="Times New Roman" w:hAnsi="Times New Roman" w:cs="Times New Roman"/>
                <w:sz w:val="21"/>
                <w:szCs w:val="21"/>
                <w:lang w:val="en-US" w:eastAsia="zh-CN"/>
              </w:rPr>
              <w:t>高炉煤气</w:t>
            </w:r>
            <w:r>
              <w:rPr>
                <w:rFonts w:hint="eastAsia" w:ascii="Times New Roman" w:hAnsi="Times New Roman" w:cs="Times New Roman"/>
                <w:sz w:val="21"/>
                <w:szCs w:val="21"/>
              </w:rPr>
              <w:t>。</w:t>
            </w:r>
          </w:p>
        </w:tc>
        <w:tc>
          <w:tcPr>
            <w:tcW w:w="408" w:type="pct"/>
            <w:noWrap w:val="0"/>
            <w:vAlign w:val="center"/>
          </w:tcPr>
          <w:p w14:paraId="524BE7D1">
            <w:pPr>
              <w:ind w:left="-113" w:leftChars="-47" w:right="-108" w:rightChars="-45"/>
              <w:jc w:val="center"/>
              <w:rPr>
                <w:rFonts w:ascii="Times New Roman" w:hAnsi="Times New Roman" w:cs="Times New Roman"/>
                <w:bCs/>
                <w:sz w:val="21"/>
                <w:szCs w:val="21"/>
              </w:rPr>
            </w:pPr>
            <w:r>
              <w:rPr>
                <w:rFonts w:ascii="Times New Roman" w:hAnsi="Times New Roman" w:cs="Times New Roman"/>
                <w:bCs/>
                <w:sz w:val="21"/>
                <w:szCs w:val="21"/>
              </w:rPr>
              <w:t>符合</w:t>
            </w:r>
          </w:p>
        </w:tc>
      </w:tr>
      <w:tr w14:paraId="2FD58C51">
        <w:tblPrEx>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51" w:hRule="atLeast"/>
          <w:jc w:val="center"/>
        </w:trPr>
        <w:tc>
          <w:tcPr>
            <w:tcW w:w="1857" w:type="pct"/>
            <w:noWrap w:val="0"/>
            <w:vAlign w:val="center"/>
          </w:tcPr>
          <w:p w14:paraId="45994371">
            <w:pPr>
              <w:adjustRightInd w:val="0"/>
              <w:snapToGrid w:val="0"/>
              <w:jc w:val="both"/>
              <w:rPr>
                <w:rFonts w:ascii="Times New Roman" w:hAnsi="Times New Roman" w:cs="Times New Roman"/>
                <w:sz w:val="21"/>
                <w:szCs w:val="21"/>
              </w:rPr>
            </w:pPr>
            <w:r>
              <w:rPr>
                <w:rFonts w:ascii="Times New Roman" w:hAnsi="Times New Roman" w:cs="Times New Roman"/>
                <w:sz w:val="21"/>
                <w:szCs w:val="21"/>
              </w:rPr>
              <w:t>实施污染深度治理。推进工业炉窑全面达标排放。已有行业排放标准的工业炉窑，严格执行行业排放标准相关规定，配套建设高效脱硫脱硝除尘设施，确保稳定达标排放。已制定更严格地方排放标准的，按地方标准执行。重点区域钢铁、水泥、焦化、石化、化工、有色等行业，二氧化硫、氮氧化物、颗粒物、挥发性有机物（VOCs）排放全面执行大气污染物特别排放限值。已核发排污许可证的，应严格执行许可要求。</w:t>
            </w:r>
          </w:p>
          <w:p w14:paraId="37BFCF05">
            <w:pPr>
              <w:adjustRightInd w:val="0"/>
              <w:snapToGrid w:val="0"/>
              <w:jc w:val="both"/>
              <w:rPr>
                <w:rFonts w:ascii="Times New Roman" w:hAnsi="Times New Roman" w:cs="Times New Roman"/>
                <w:sz w:val="21"/>
                <w:szCs w:val="21"/>
              </w:rPr>
            </w:pPr>
            <w:r>
              <w:rPr>
                <w:rFonts w:ascii="Times New Roman" w:hAnsi="Times New Roman" w:cs="Times New Roman"/>
                <w:sz w:val="21"/>
                <w:szCs w:val="21"/>
              </w:rPr>
              <w:t>暂未制订行业排放标准的工业炉窑，包括铸造，日用玻璃，玻璃纤维、耐火材料、石灰、矿物棉等建材行业，钨、工业硅、金属冶炼废渣（灰）二次提取等有色金属行业，氮肥、电石、无机磷、活性炭等化工行业，应参照相关行业已出台的标准，全面加大污染治理力度，铸造行业烧结、高炉工序污染排放控制按照钢铁行业相关标准要求执行；重点区域原则上按照颗粒物、二氧化硫、氮氧化物排放限值分别不高于30、200、300毫克/立方米实施改造，其中，日用玻璃、玻璃棉氮氧化物排放限值不高于400毫克/立方米；已制定更严格地方排放标准的地区，执行地方排放标准。</w:t>
            </w:r>
          </w:p>
        </w:tc>
        <w:tc>
          <w:tcPr>
            <w:tcW w:w="1712" w:type="pct"/>
            <w:noWrap w:val="0"/>
            <w:vAlign w:val="center"/>
          </w:tcPr>
          <w:p w14:paraId="0EFA88E1">
            <w:pPr>
              <w:adjustRightInd w:val="0"/>
              <w:snapToGrid w:val="0"/>
              <w:jc w:val="both"/>
              <w:rPr>
                <w:rFonts w:ascii="Times New Roman" w:hAnsi="Times New Roman" w:cs="Times New Roman"/>
                <w:sz w:val="21"/>
                <w:szCs w:val="21"/>
              </w:rPr>
            </w:pPr>
            <w:r>
              <w:rPr>
                <w:rFonts w:ascii="Times New Roman" w:hAnsi="Times New Roman" w:cs="Times New Roman"/>
                <w:sz w:val="21"/>
                <w:szCs w:val="21"/>
              </w:rPr>
              <w:t>根据国家和我省已颁布的行业排放标准，实施工业炉窑深度治理，重点推进建材、有色、钢铁、化工、机械制造、石化等重点行业，积极推进电解铝、平板玻璃、水泥、焦化等行业，配套建设高效脱硫脱硝除尘设施，推进工业炉窑全面达标排放。钢铁行业工业炉窑按照《辽宁省钢铁行业超低排放改造的实施方案》时限要求实施超低排放改造。</w:t>
            </w:r>
          </w:p>
        </w:tc>
        <w:tc>
          <w:tcPr>
            <w:tcW w:w="1023" w:type="pct"/>
            <w:noWrap w:val="0"/>
            <w:vAlign w:val="center"/>
          </w:tcPr>
          <w:p w14:paraId="60037661">
            <w:pPr>
              <w:adjustRightInd w:val="0"/>
              <w:snapToGrid w:val="0"/>
              <w:jc w:val="center"/>
              <w:rPr>
                <w:rFonts w:ascii="Times New Roman" w:hAnsi="Times New Roman" w:cs="Times New Roman"/>
                <w:sz w:val="21"/>
                <w:szCs w:val="21"/>
              </w:rPr>
            </w:pPr>
            <w:r>
              <w:rPr>
                <w:rFonts w:hint="eastAsia" w:ascii="Times New Roman" w:hAnsi="Times New Roman" w:cs="Times New Roman"/>
                <w:sz w:val="21"/>
                <w:szCs w:val="21"/>
                <w:highlight w:val="none"/>
              </w:rPr>
              <w:t>本项目</w:t>
            </w:r>
            <w:r>
              <w:rPr>
                <w:rFonts w:hint="eastAsia" w:ascii="Times New Roman" w:hAnsi="Times New Roman" w:cs="Times New Roman"/>
                <w:sz w:val="21"/>
                <w:szCs w:val="21"/>
                <w:highlight w:val="none"/>
                <w:lang w:val="en-US" w:eastAsia="zh-CN"/>
              </w:rPr>
              <w:t>烧结</w:t>
            </w:r>
            <w:r>
              <w:rPr>
                <w:rFonts w:hint="eastAsia" w:ascii="Times New Roman" w:hAnsi="Times New Roman" w:cs="Times New Roman"/>
                <w:sz w:val="21"/>
                <w:szCs w:val="21"/>
                <w:highlight w:val="none"/>
              </w:rPr>
              <w:t>烟气</w:t>
            </w:r>
            <w:r>
              <w:rPr>
                <w:rFonts w:hint="eastAsia" w:ascii="Times New Roman" w:hAnsi="Times New Roman" w:cs="Times New Roman"/>
                <w:sz w:val="21"/>
                <w:szCs w:val="21"/>
                <w:highlight w:val="none"/>
                <w:lang w:eastAsia="zh-CN"/>
              </w:rPr>
              <w:t>、</w:t>
            </w:r>
            <w:r>
              <w:rPr>
                <w:rFonts w:hint="eastAsia" w:ascii="Times New Roman" w:hAnsi="Times New Roman" w:cs="Times New Roman"/>
                <w:sz w:val="21"/>
                <w:szCs w:val="21"/>
                <w:highlight w:val="none"/>
                <w:lang w:val="en-US" w:eastAsia="zh-CN"/>
              </w:rPr>
              <w:t>球团烟气</w:t>
            </w:r>
            <w:r>
              <w:rPr>
                <w:rFonts w:hint="eastAsia" w:ascii="Times New Roman" w:hAnsi="Times New Roman" w:cs="Times New Roman"/>
                <w:sz w:val="21"/>
                <w:szCs w:val="21"/>
                <w:highlight w:val="none"/>
              </w:rPr>
              <w:t>采用</w:t>
            </w:r>
            <w:r>
              <w:rPr>
                <w:rFonts w:hint="eastAsia" w:ascii="Times New Roman" w:hAnsi="Times New Roman" w:cs="Times New Roman"/>
                <w:sz w:val="21"/>
                <w:szCs w:val="21"/>
                <w:highlight w:val="none"/>
                <w:lang w:val="en-US" w:eastAsia="zh-CN"/>
              </w:rPr>
              <w:t>湿电</w:t>
            </w:r>
            <w:r>
              <w:rPr>
                <w:rFonts w:hint="eastAsia" w:ascii="Times New Roman" w:hAnsi="Times New Roman" w:cs="Times New Roman"/>
                <w:sz w:val="21"/>
                <w:szCs w:val="21"/>
                <w:highlight w:val="none"/>
              </w:rPr>
              <w:t>除尘</w:t>
            </w:r>
            <w:r>
              <w:rPr>
                <w:rFonts w:hint="eastAsia" w:ascii="Times New Roman" w:hAnsi="Times New Roman" w:cs="Times New Roman"/>
                <w:sz w:val="21"/>
                <w:szCs w:val="21"/>
                <w:highlight w:val="none"/>
                <w:lang w:val="en-US" w:eastAsia="zh-CN"/>
              </w:rPr>
              <w:t>+石灰石-石膏法脱硫+SCR</w:t>
            </w:r>
            <w:r>
              <w:rPr>
                <w:rFonts w:hint="eastAsia" w:ascii="Times New Roman" w:hAnsi="Times New Roman" w:cs="Times New Roman"/>
                <w:sz w:val="21"/>
                <w:szCs w:val="21"/>
                <w:highlight w:val="none"/>
              </w:rPr>
              <w:t>治理措施，污染物达标排放。</w:t>
            </w:r>
            <w:r>
              <w:rPr>
                <w:rFonts w:hint="eastAsia" w:ascii="Times New Roman" w:hAnsi="Times New Roman" w:cs="Times New Roman"/>
                <w:sz w:val="21"/>
                <w:szCs w:val="21"/>
                <w:highlight w:val="none"/>
                <w:lang w:val="en-US" w:eastAsia="zh-CN"/>
              </w:rPr>
              <w:t>各</w:t>
            </w:r>
            <w:r>
              <w:rPr>
                <w:rFonts w:hint="eastAsia" w:ascii="Times New Roman" w:hAnsi="Times New Roman" w:cs="Times New Roman"/>
                <w:sz w:val="21"/>
                <w:szCs w:val="21"/>
                <w:highlight w:val="none"/>
              </w:rPr>
              <w:t>污染物排放满足</w:t>
            </w:r>
            <w:r>
              <w:rPr>
                <w:rFonts w:ascii="Times New Roman" w:hAnsi="Times New Roman" w:cs="Times New Roman"/>
                <w:sz w:val="21"/>
                <w:szCs w:val="21"/>
                <w:highlight w:val="none"/>
              </w:rPr>
              <w:t>超低排放要求。</w:t>
            </w:r>
          </w:p>
        </w:tc>
        <w:tc>
          <w:tcPr>
            <w:tcW w:w="408" w:type="pct"/>
            <w:noWrap w:val="0"/>
            <w:vAlign w:val="center"/>
          </w:tcPr>
          <w:p w14:paraId="3094CE5A">
            <w:pPr>
              <w:ind w:left="-113" w:leftChars="-47" w:right="-108" w:rightChars="-45"/>
              <w:jc w:val="center"/>
              <w:rPr>
                <w:rFonts w:ascii="Times New Roman" w:hAnsi="Times New Roman" w:cs="Times New Roman"/>
                <w:bCs/>
                <w:sz w:val="21"/>
                <w:szCs w:val="21"/>
              </w:rPr>
            </w:pPr>
            <w:r>
              <w:rPr>
                <w:rFonts w:ascii="Times New Roman" w:hAnsi="Times New Roman" w:cs="Times New Roman"/>
                <w:bCs/>
                <w:sz w:val="21"/>
                <w:szCs w:val="21"/>
              </w:rPr>
              <w:t>符合</w:t>
            </w:r>
          </w:p>
        </w:tc>
      </w:tr>
      <w:tr w14:paraId="02DBC073">
        <w:tblPrEx>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51" w:hRule="atLeast"/>
          <w:jc w:val="center"/>
        </w:trPr>
        <w:tc>
          <w:tcPr>
            <w:tcW w:w="1857" w:type="pct"/>
            <w:noWrap w:val="0"/>
            <w:vAlign w:val="center"/>
          </w:tcPr>
          <w:p w14:paraId="45B9B62D">
            <w:pPr>
              <w:adjustRightInd w:val="0"/>
              <w:snapToGrid w:val="0"/>
              <w:jc w:val="both"/>
              <w:rPr>
                <w:rFonts w:ascii="Times New Roman" w:hAnsi="Times New Roman" w:cs="Times New Roman"/>
                <w:sz w:val="21"/>
                <w:szCs w:val="21"/>
              </w:rPr>
            </w:pPr>
            <w:r>
              <w:rPr>
                <w:rFonts w:ascii="Times New Roman" w:hAnsi="Times New Roman" w:cs="Times New Roman"/>
                <w:sz w:val="21"/>
                <w:szCs w:val="21"/>
              </w:rPr>
              <w:t>全面加强无组织排放管理。严格控制工业炉窑生产工艺过程及相关物料储存、输送等无组织排放，在保障生产安全的前提下，采取密闭、封闭等有效措施，有效提高废气收集率，产尘点及车间不得有可见烟粉尘外逸。生产工艺产尘点（装置）应采取密闭、封闭或设置集气罩等措施。煤粉、粉煤灰、石灰、除尘灰、脱硫灰等粉状物料应密闭或封闭储存，采用密闭皮带、封闭通廊、管状带式输送机或密闭车厢、真空罐车、气力输送等方式输送。粒状、块状物料应采用入棚入仓或建设防风抑尘网等方式进行储存，粒状物料采用密闭、封闭等方式输送。物料输送过程中产尘点应采取有效抑尘措施。</w:t>
            </w:r>
          </w:p>
        </w:tc>
        <w:tc>
          <w:tcPr>
            <w:tcW w:w="1712" w:type="pct"/>
            <w:noWrap w:val="0"/>
            <w:vAlign w:val="center"/>
          </w:tcPr>
          <w:p w14:paraId="6E355E2F">
            <w:pPr>
              <w:adjustRightInd w:val="0"/>
              <w:snapToGrid w:val="0"/>
              <w:jc w:val="both"/>
              <w:rPr>
                <w:rFonts w:ascii="Times New Roman" w:hAnsi="Times New Roman" w:cs="Times New Roman"/>
                <w:sz w:val="21"/>
                <w:szCs w:val="21"/>
              </w:rPr>
            </w:pPr>
            <w:r>
              <w:rPr>
                <w:rFonts w:ascii="Times New Roman" w:hAnsi="Times New Roman" w:cs="Times New Roman"/>
                <w:sz w:val="21"/>
                <w:szCs w:val="21"/>
              </w:rPr>
              <w:t>全面加强无组织排放管理，以建材、有色、石化、化工、机械制造等行业为重点，严格控制工业炉窑生产工艺过程及相关物料储存、输送等无组织排放，在保障生产安全的前提下，采取密闭、封闭等有效措施，有效提高废气收集率，产尘点及车间不得有可见烟粉尘外逸。生产工艺产尘点（装置）应采取密闭、封闭或设置集气罩等措施。煤粉、粉煤灰、石灰、除尘灰、脱硫灰等粉状物料应密闭或封闭储存，采用密闭皮带、封闭通廊、管状带式输送机或密闭车厢、真空罐车、气力输送等方式输送。粒状、块状物料应采用入棚入仓或建设防风抑尘网等方式进行储存，粒状物料采用密闭、封闭等方式输送。物料输送过程中产尘点应采取有效抑尘措施。</w:t>
            </w:r>
          </w:p>
        </w:tc>
        <w:tc>
          <w:tcPr>
            <w:tcW w:w="1023" w:type="pct"/>
            <w:noWrap w:val="0"/>
            <w:vAlign w:val="center"/>
          </w:tcPr>
          <w:p w14:paraId="0312C986">
            <w:pPr>
              <w:adjustRightInd w:val="0"/>
              <w:snapToGrid w:val="0"/>
              <w:jc w:val="center"/>
              <w:rPr>
                <w:rFonts w:ascii="Times New Roman" w:hAnsi="Times New Roman" w:cs="Times New Roman"/>
                <w:sz w:val="21"/>
                <w:szCs w:val="21"/>
              </w:rPr>
            </w:pPr>
            <w:r>
              <w:rPr>
                <w:rFonts w:hint="eastAsia" w:ascii="Times New Roman" w:hAnsi="Times New Roman" w:cs="Times New Roman"/>
                <w:sz w:val="21"/>
                <w:szCs w:val="21"/>
              </w:rPr>
              <w:t>企业</w:t>
            </w:r>
            <w:r>
              <w:rPr>
                <w:rFonts w:ascii="Times New Roman" w:hAnsi="Times New Roman" w:cs="Times New Roman"/>
                <w:sz w:val="21"/>
                <w:szCs w:val="21"/>
              </w:rPr>
              <w:t>相关物料储存、输送等无组织排放，采取厂房封闭、封闭皮带通廊、粉状物料采用密闭罐车输送等有效措施，生产工艺中各产尘点设置密闭罩或</w:t>
            </w:r>
            <w:r>
              <w:rPr>
                <w:rFonts w:hint="eastAsia" w:ascii="Times New Roman" w:hAnsi="Times New Roman" w:cs="Times New Roman"/>
                <w:sz w:val="21"/>
                <w:szCs w:val="21"/>
              </w:rPr>
              <w:t>屋顶</w:t>
            </w:r>
            <w:r>
              <w:rPr>
                <w:rFonts w:ascii="Times New Roman" w:hAnsi="Times New Roman" w:cs="Times New Roman"/>
                <w:sz w:val="21"/>
                <w:szCs w:val="21"/>
              </w:rPr>
              <w:t>罩，可确保无可见烟粉尘外逸。</w:t>
            </w:r>
          </w:p>
        </w:tc>
        <w:tc>
          <w:tcPr>
            <w:tcW w:w="408" w:type="pct"/>
            <w:noWrap w:val="0"/>
            <w:vAlign w:val="center"/>
          </w:tcPr>
          <w:p w14:paraId="52D4D573">
            <w:pPr>
              <w:ind w:left="-113" w:leftChars="-47" w:right="-108" w:rightChars="-45"/>
              <w:jc w:val="center"/>
              <w:rPr>
                <w:rFonts w:ascii="Times New Roman" w:hAnsi="Times New Roman" w:cs="Times New Roman"/>
                <w:bCs/>
                <w:sz w:val="21"/>
                <w:szCs w:val="21"/>
              </w:rPr>
            </w:pPr>
            <w:r>
              <w:rPr>
                <w:rFonts w:ascii="Times New Roman" w:hAnsi="Times New Roman" w:cs="Times New Roman"/>
                <w:bCs/>
                <w:sz w:val="21"/>
                <w:szCs w:val="21"/>
              </w:rPr>
              <w:t>符合</w:t>
            </w:r>
          </w:p>
        </w:tc>
      </w:tr>
      <w:tr w14:paraId="073F9BCA">
        <w:tblPrEx>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51" w:hRule="atLeast"/>
          <w:jc w:val="center"/>
        </w:trPr>
        <w:tc>
          <w:tcPr>
            <w:tcW w:w="1857" w:type="pct"/>
            <w:noWrap w:val="0"/>
            <w:vAlign w:val="center"/>
          </w:tcPr>
          <w:p w14:paraId="4BF9BD97">
            <w:pPr>
              <w:adjustRightInd w:val="0"/>
              <w:snapToGrid w:val="0"/>
              <w:jc w:val="both"/>
              <w:rPr>
                <w:rFonts w:ascii="Times New Roman" w:hAnsi="Times New Roman" w:cs="Times New Roman"/>
                <w:sz w:val="21"/>
                <w:szCs w:val="21"/>
              </w:rPr>
            </w:pPr>
            <w:r>
              <w:rPr>
                <w:rFonts w:ascii="Times New Roman" w:hAnsi="Times New Roman" w:cs="Times New Roman"/>
                <w:sz w:val="21"/>
                <w:szCs w:val="21"/>
              </w:rPr>
              <w:t>开展工业园区和产业集群综合整治。各地要加大涉工业炉窑类工业园区和产业集群的综合整治力度，结合“三线一单”（生态保护红线、环境质量底线、资源利用上线和生态环境准入清单）、规划环评等要求，进一步梳理确定园区和产业发展定位、规模及结构等。制定综合整治方案，对标先进企业，从生产工艺、产能规模、燃料类型、污染治理等方面提出明确要求，提升产业发展质量和环保治理水平。按照统一标准、统一时间表的要求，同步推进区域环境综合整治和企业升级改造。加强工业园区能源替代利用与资源共享，积极推广集中供汽供热或建设清洁低碳能源中心等，替代工业炉窑燃料用煤；充分利用园区内工厂余热、焦炉煤气等清洁低碳能源，加强分质与梯级利用，提高能源利用效率，促进形成清洁低碳高效产业链。</w:t>
            </w:r>
          </w:p>
          <w:p w14:paraId="250AC0BA">
            <w:pPr>
              <w:adjustRightInd w:val="0"/>
              <w:snapToGrid w:val="0"/>
              <w:jc w:val="both"/>
              <w:rPr>
                <w:rFonts w:ascii="Times New Roman" w:hAnsi="Times New Roman" w:cs="Times New Roman"/>
                <w:sz w:val="21"/>
                <w:szCs w:val="21"/>
              </w:rPr>
            </w:pPr>
            <w:r>
              <w:rPr>
                <w:rFonts w:ascii="Times New Roman" w:hAnsi="Times New Roman" w:cs="Times New Roman"/>
                <w:sz w:val="21"/>
                <w:szCs w:val="21"/>
              </w:rPr>
              <w:t>涉工业炉窑类产业集群主要包括陶瓷、玻璃、砖瓦、耐火材料、石灰、矿物棉、铸造、独立轧钢、铁合金、再生有色金属、炭素、化工等行业。各地应结合当地产业发展特征等自行确定。</w:t>
            </w:r>
          </w:p>
        </w:tc>
        <w:tc>
          <w:tcPr>
            <w:tcW w:w="1712" w:type="pct"/>
            <w:noWrap w:val="0"/>
            <w:vAlign w:val="center"/>
          </w:tcPr>
          <w:p w14:paraId="362A88A3">
            <w:pPr>
              <w:adjustRightInd w:val="0"/>
              <w:snapToGrid w:val="0"/>
              <w:jc w:val="both"/>
              <w:rPr>
                <w:rFonts w:ascii="Times New Roman" w:hAnsi="Times New Roman" w:cs="Times New Roman"/>
                <w:sz w:val="21"/>
                <w:szCs w:val="21"/>
              </w:rPr>
            </w:pPr>
            <w:r>
              <w:rPr>
                <w:rFonts w:ascii="Times New Roman" w:hAnsi="Times New Roman" w:cs="Times New Roman"/>
                <w:sz w:val="21"/>
                <w:szCs w:val="21"/>
              </w:rPr>
              <w:t>加大涉工业炉窑类工业园区和产业集群的综合整治力度，结合“三线一单”（生态保护红线、环境质量底线、资源利用上线和生态环境准入清单）、规划环评等要求，结合第二次全国污染源普查，进一步梳理确定其发展定位、规模和结构等。制定大气污染综合整治方案，对标先进企业，从生产工艺、产能规模、燃料类型、污染治理等方面提出明确要求，提升产业发展质量和环保治理水平。按照统一标准、统一时间表的要求，同步推进区域环境综合整治和企业升级改造。对于涉工业炉窑类工业园区，加强能源替代与资源共享；积极推广集中供气供热或建设清洁低碳能源中心等，替代工业炉窑燃料用煤；充分利用分质与梯级利用，提高能源利用效率，促进形成清洁低碳高效产业链。</w:t>
            </w:r>
          </w:p>
        </w:tc>
        <w:tc>
          <w:tcPr>
            <w:tcW w:w="1023" w:type="pct"/>
            <w:noWrap w:val="0"/>
            <w:vAlign w:val="center"/>
          </w:tcPr>
          <w:p w14:paraId="2CB3DD3F">
            <w:pPr>
              <w:adjustRightInd w:val="0"/>
              <w:snapToGrid w:val="0"/>
              <w:jc w:val="center"/>
              <w:rPr>
                <w:rFonts w:ascii="Times New Roman" w:hAnsi="Times New Roman" w:cs="Times New Roman"/>
                <w:sz w:val="21"/>
                <w:szCs w:val="21"/>
              </w:rPr>
            </w:pPr>
            <w:r>
              <w:rPr>
                <w:rFonts w:ascii="Times New Roman" w:hAnsi="Times New Roman" w:cs="Times New Roman"/>
                <w:sz w:val="21"/>
                <w:szCs w:val="21"/>
              </w:rPr>
              <w:t>根据1.6.5.3节分析，对照环环评[2016]150号文《关于以改善环境质量为核心加强环境影响评价管理的通知》，本项目符合现行环境管理要求，符合“三线一单”、规划环评等要求。</w:t>
            </w:r>
            <w:r>
              <w:rPr>
                <w:rFonts w:hint="eastAsia" w:ascii="Times New Roman" w:hAnsi="Times New Roman" w:cs="Times New Roman"/>
                <w:sz w:val="21"/>
                <w:szCs w:val="21"/>
              </w:rPr>
              <w:t>本项目</w:t>
            </w:r>
            <w:r>
              <w:rPr>
                <w:rFonts w:hint="eastAsia" w:ascii="Times New Roman" w:hAnsi="Times New Roman" w:cs="Times New Roman"/>
                <w:sz w:val="21"/>
                <w:szCs w:val="21"/>
                <w:lang w:val="en-US" w:eastAsia="zh-CN"/>
              </w:rPr>
              <w:t>烧结机、球团竖炉</w:t>
            </w:r>
            <w:r>
              <w:rPr>
                <w:rFonts w:hint="eastAsia" w:ascii="Times New Roman" w:hAnsi="Times New Roman" w:cs="Times New Roman"/>
                <w:sz w:val="21"/>
                <w:szCs w:val="21"/>
              </w:rPr>
              <w:t>使用</w:t>
            </w:r>
            <w:r>
              <w:rPr>
                <w:rFonts w:hint="eastAsia" w:ascii="Times New Roman" w:hAnsi="Times New Roman" w:cs="Times New Roman"/>
                <w:sz w:val="21"/>
                <w:szCs w:val="21"/>
                <w:lang w:val="en-US" w:eastAsia="zh-CN"/>
              </w:rPr>
              <w:t>高炉煤气</w:t>
            </w:r>
            <w:r>
              <w:rPr>
                <w:rFonts w:hint="eastAsia" w:ascii="Times New Roman" w:hAnsi="Times New Roman" w:cs="Times New Roman"/>
                <w:sz w:val="21"/>
                <w:szCs w:val="21"/>
              </w:rPr>
              <w:t>。</w:t>
            </w:r>
          </w:p>
        </w:tc>
        <w:tc>
          <w:tcPr>
            <w:tcW w:w="408" w:type="pct"/>
            <w:noWrap w:val="0"/>
            <w:vAlign w:val="center"/>
          </w:tcPr>
          <w:p w14:paraId="71627EB2">
            <w:pPr>
              <w:adjustRightInd w:val="0"/>
              <w:snapToGrid w:val="0"/>
              <w:jc w:val="center"/>
              <w:rPr>
                <w:rFonts w:ascii="Times New Roman" w:hAnsi="Times New Roman" w:cs="Times New Roman"/>
                <w:sz w:val="21"/>
                <w:szCs w:val="21"/>
              </w:rPr>
            </w:pPr>
            <w:r>
              <w:rPr>
                <w:rFonts w:ascii="Times New Roman" w:hAnsi="Times New Roman" w:cs="Times New Roman"/>
                <w:sz w:val="21"/>
                <w:szCs w:val="21"/>
              </w:rPr>
              <w:t>符合</w:t>
            </w:r>
          </w:p>
        </w:tc>
      </w:tr>
      <w:tr w14:paraId="69359196">
        <w:tblPrEx>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51" w:hRule="atLeast"/>
          <w:jc w:val="center"/>
        </w:trPr>
        <w:tc>
          <w:tcPr>
            <w:tcW w:w="1857" w:type="pct"/>
            <w:noWrap w:val="0"/>
            <w:vAlign w:val="center"/>
          </w:tcPr>
          <w:p w14:paraId="76B0A6DD">
            <w:pPr>
              <w:adjustRightInd w:val="0"/>
              <w:snapToGrid w:val="0"/>
              <w:jc w:val="both"/>
              <w:rPr>
                <w:rFonts w:ascii="Times New Roman" w:hAnsi="Times New Roman" w:cs="Times New Roman"/>
                <w:sz w:val="21"/>
                <w:szCs w:val="21"/>
              </w:rPr>
            </w:pPr>
            <w:r>
              <w:rPr>
                <w:rFonts w:ascii="Times New Roman" w:hAnsi="Times New Roman" w:cs="Times New Roman"/>
                <w:sz w:val="21"/>
                <w:szCs w:val="21"/>
              </w:rPr>
              <w:t>--</w:t>
            </w:r>
          </w:p>
        </w:tc>
        <w:tc>
          <w:tcPr>
            <w:tcW w:w="1712" w:type="pct"/>
            <w:noWrap w:val="0"/>
            <w:vAlign w:val="center"/>
          </w:tcPr>
          <w:p w14:paraId="195673E0">
            <w:pPr>
              <w:adjustRightInd w:val="0"/>
              <w:snapToGrid w:val="0"/>
              <w:jc w:val="both"/>
              <w:rPr>
                <w:rFonts w:ascii="Times New Roman" w:hAnsi="Times New Roman" w:cs="Times New Roman"/>
                <w:sz w:val="21"/>
                <w:szCs w:val="21"/>
              </w:rPr>
            </w:pPr>
            <w:r>
              <w:rPr>
                <w:rFonts w:ascii="Times New Roman" w:hAnsi="Times New Roman" w:cs="Times New Roman"/>
                <w:sz w:val="21"/>
                <w:szCs w:val="21"/>
              </w:rPr>
              <w:t>加强重点污染源自动监控体系建设。建材、有色、钢铁、化工、机械制造、石化等重点行业，严格按照排污许可管理规定安装和运行自动监控设施。排气口高度超过45米的高架源，纳入重点排污单位名录；符合产业结构调整指导目录的冲天炉、玻璃熔窑、以煤和煤矸石为燃料的砖瓦烧结窑、耐火材料焙烧窑（电窑除外）、炭素焙（煅）烧炉（窑）、石灰窑、铬盐焙烧窑、磷化工焙烧窑、铁合金矿热炉和精炼炉等，原则上应纳入重点排污单位名录，2020年安装自动监控设施，并与生态环境部门联网。自动监控、分布式控制系统（DCS）监控等数据至少要保存一年，视频监控数据至少要保存三个月。</w:t>
            </w:r>
          </w:p>
          <w:p w14:paraId="48B40224">
            <w:pPr>
              <w:adjustRightInd w:val="0"/>
              <w:snapToGrid w:val="0"/>
              <w:jc w:val="both"/>
              <w:rPr>
                <w:rFonts w:ascii="Times New Roman" w:hAnsi="Times New Roman" w:cs="Times New Roman"/>
                <w:sz w:val="21"/>
                <w:szCs w:val="21"/>
              </w:rPr>
            </w:pPr>
            <w:r>
              <w:rPr>
                <w:rFonts w:ascii="Times New Roman" w:hAnsi="Times New Roman" w:cs="Times New Roman"/>
                <w:sz w:val="21"/>
                <w:szCs w:val="21"/>
              </w:rPr>
              <w:t>强化监测数据质量控制。自动监控设施应与生态环境主管部门联网。加强自动监控设施运营维护，数据传输有效率达到90%。企业在正常生产以及限产、停产、检修等非正常工况下，均应保证自动监控设施正常运行并联网传输数据。各地对出现数据缺失、长时间掉线等异常情况，要及时进行核实和调查处理。严厉打击篡改、伪造监测数据等行为，对监测机构运行维护不到位及篡改、伪造、干扰监测数据的，排污单位弄虚作假的，依法严格处罚，追究责任。</w:t>
            </w:r>
          </w:p>
        </w:tc>
        <w:tc>
          <w:tcPr>
            <w:tcW w:w="1023" w:type="pct"/>
            <w:noWrap w:val="0"/>
            <w:vAlign w:val="center"/>
          </w:tcPr>
          <w:p w14:paraId="27E6343A">
            <w:pPr>
              <w:adjustRightInd w:val="0"/>
              <w:snapToGrid w:val="0"/>
              <w:jc w:val="center"/>
              <w:rPr>
                <w:rFonts w:ascii="Times New Roman" w:hAnsi="Times New Roman" w:cs="Times New Roman"/>
                <w:sz w:val="21"/>
                <w:szCs w:val="21"/>
              </w:rPr>
            </w:pPr>
            <w:r>
              <w:rPr>
                <w:rFonts w:hint="eastAsia" w:ascii="Times New Roman" w:hAnsi="Times New Roman" w:cs="Times New Roman"/>
                <w:sz w:val="21"/>
                <w:szCs w:val="21"/>
              </w:rPr>
              <w:t>建设单位</w:t>
            </w:r>
            <w:r>
              <w:rPr>
                <w:rFonts w:hint="eastAsia" w:ascii="Times New Roman" w:hAnsi="Times New Roman" w:cs="Times New Roman"/>
                <w:sz w:val="21"/>
                <w:szCs w:val="21"/>
                <w:lang w:val="en-US" w:eastAsia="zh-CN"/>
              </w:rPr>
              <w:t>烧结机、球团竖炉</w:t>
            </w:r>
            <w:r>
              <w:rPr>
                <w:rFonts w:ascii="Times New Roman" w:hAnsi="Times New Roman" w:cs="Times New Roman"/>
                <w:sz w:val="21"/>
                <w:szCs w:val="21"/>
              </w:rPr>
              <w:t>排气筒</w:t>
            </w:r>
            <w:r>
              <w:rPr>
                <w:rFonts w:hint="eastAsia" w:ascii="Times New Roman" w:hAnsi="Times New Roman" w:cs="Times New Roman"/>
                <w:sz w:val="21"/>
                <w:szCs w:val="21"/>
              </w:rPr>
              <w:t>已</w:t>
            </w:r>
            <w:r>
              <w:rPr>
                <w:rFonts w:ascii="Times New Roman" w:hAnsi="Times New Roman" w:cs="Times New Roman"/>
                <w:sz w:val="21"/>
                <w:szCs w:val="21"/>
              </w:rPr>
              <w:t>安装在线监测装置</w:t>
            </w:r>
            <w:r>
              <w:rPr>
                <w:rFonts w:hint="eastAsia" w:ascii="Times New Roman" w:hAnsi="Times New Roman" w:cs="Times New Roman"/>
                <w:sz w:val="21"/>
                <w:szCs w:val="21"/>
              </w:rPr>
              <w:t>，</w:t>
            </w:r>
            <w:r>
              <w:rPr>
                <w:rFonts w:ascii="Times New Roman" w:hAnsi="Times New Roman" w:cs="Times New Roman"/>
                <w:sz w:val="21"/>
                <w:szCs w:val="21"/>
              </w:rPr>
              <w:t>对颗粒物、SO</w:t>
            </w:r>
            <w:r>
              <w:rPr>
                <w:rFonts w:ascii="Times New Roman" w:hAnsi="Times New Roman" w:cs="Times New Roman"/>
                <w:sz w:val="21"/>
                <w:szCs w:val="21"/>
                <w:vertAlign w:val="subscript"/>
              </w:rPr>
              <w:t>2</w:t>
            </w:r>
            <w:r>
              <w:rPr>
                <w:rFonts w:ascii="Times New Roman" w:hAnsi="Times New Roman" w:cs="Times New Roman"/>
                <w:sz w:val="21"/>
                <w:szCs w:val="21"/>
              </w:rPr>
              <w:t>和NO</w:t>
            </w:r>
            <w:r>
              <w:rPr>
                <w:rFonts w:ascii="Times New Roman" w:hAnsi="Times New Roman" w:cs="Times New Roman"/>
                <w:sz w:val="21"/>
                <w:szCs w:val="21"/>
                <w:vertAlign w:val="subscript"/>
              </w:rPr>
              <w:t>2</w:t>
            </w:r>
            <w:r>
              <w:rPr>
                <w:rFonts w:ascii="Times New Roman" w:hAnsi="Times New Roman" w:cs="Times New Roman"/>
                <w:sz w:val="21"/>
                <w:szCs w:val="21"/>
              </w:rPr>
              <w:t>进行在线监测并与生态环境主管部门联网，废气治理设施配套DCS。所有数据保存一年。</w:t>
            </w:r>
          </w:p>
        </w:tc>
        <w:tc>
          <w:tcPr>
            <w:tcW w:w="408" w:type="pct"/>
            <w:noWrap w:val="0"/>
            <w:vAlign w:val="center"/>
          </w:tcPr>
          <w:p w14:paraId="2710E591">
            <w:pPr>
              <w:adjustRightInd w:val="0"/>
              <w:snapToGrid w:val="0"/>
              <w:jc w:val="center"/>
              <w:rPr>
                <w:rFonts w:ascii="Times New Roman" w:hAnsi="Times New Roman" w:cs="Times New Roman"/>
                <w:sz w:val="21"/>
                <w:szCs w:val="21"/>
              </w:rPr>
            </w:pPr>
            <w:r>
              <w:rPr>
                <w:rFonts w:ascii="Times New Roman" w:hAnsi="Times New Roman" w:cs="Times New Roman"/>
                <w:sz w:val="21"/>
                <w:szCs w:val="21"/>
              </w:rPr>
              <w:t>符合</w:t>
            </w:r>
          </w:p>
        </w:tc>
      </w:tr>
    </w:tbl>
    <w:p w14:paraId="77D76133">
      <w:pPr>
        <w:adjustRightInd w:val="0"/>
        <w:snapToGrid w:val="0"/>
        <w:spacing w:line="288" w:lineRule="auto"/>
        <w:jc w:val="center"/>
        <w:rPr>
          <w:rFonts w:ascii="Times New Roman" w:hAnsi="Times New Roman" w:eastAsia="黑体" w:cs="Times New Roman"/>
        </w:rPr>
      </w:pPr>
      <w:r>
        <w:rPr>
          <w:rFonts w:ascii="Times New Roman" w:hAnsi="Times New Roman" w:eastAsia="黑体" w:cs="Times New Roman"/>
        </w:rPr>
        <w:t>表1.6-</w:t>
      </w:r>
      <w:r>
        <w:rPr>
          <w:rFonts w:hint="eastAsia" w:ascii="Times New Roman" w:hAnsi="Times New Roman" w:eastAsia="黑体" w:cs="Times New Roman"/>
          <w:lang w:val="en-US" w:eastAsia="zh-CN"/>
        </w:rPr>
        <w:t>7</w:t>
      </w:r>
      <w:r>
        <w:rPr>
          <w:rFonts w:ascii="Times New Roman" w:hAnsi="Times New Roman" w:eastAsia="黑体" w:cs="Times New Roman"/>
        </w:rPr>
        <w:t xml:space="preserve">  本项目与“</w:t>
      </w:r>
      <w:r>
        <w:rPr>
          <w:rFonts w:hint="eastAsia" w:ascii="Times New Roman" w:hAnsi="Times New Roman" w:eastAsia="黑体" w:cs="Times New Roman"/>
        </w:rPr>
        <w:t>两高</w:t>
      </w:r>
      <w:r>
        <w:rPr>
          <w:rFonts w:ascii="Times New Roman" w:hAnsi="Times New Roman" w:eastAsia="黑体" w:cs="Times New Roman"/>
        </w:rPr>
        <w:t>”</w:t>
      </w:r>
      <w:r>
        <w:rPr>
          <w:rFonts w:hint="eastAsia" w:ascii="Times New Roman" w:hAnsi="Times New Roman" w:eastAsia="黑体" w:cs="Times New Roman"/>
        </w:rPr>
        <w:t>文件</w:t>
      </w:r>
      <w:r>
        <w:rPr>
          <w:rFonts w:ascii="Times New Roman" w:hAnsi="Times New Roman" w:eastAsia="黑体" w:cs="Times New Roman"/>
        </w:rPr>
        <w:t>符合性分析表</w:t>
      </w:r>
    </w:p>
    <w:tbl>
      <w:tblPr>
        <w:tblStyle w:val="56"/>
        <w:tblW w:w="5000" w:type="pct"/>
        <w:jc w:val="center"/>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4645"/>
        <w:gridCol w:w="4536"/>
        <w:gridCol w:w="3359"/>
        <w:gridCol w:w="1114"/>
      </w:tblGrid>
      <w:tr w14:paraId="3BC1B02D">
        <w:tblPrEx>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PrEx>
        <w:trPr>
          <w:trHeight w:val="351" w:hRule="atLeast"/>
          <w:tblHeader/>
          <w:jc w:val="center"/>
        </w:trPr>
        <w:tc>
          <w:tcPr>
            <w:tcW w:w="1701" w:type="pct"/>
            <w:shd w:val="clear" w:color="auto" w:fill="DDDDDD"/>
            <w:noWrap w:val="0"/>
            <w:vAlign w:val="center"/>
          </w:tcPr>
          <w:p w14:paraId="69181F63">
            <w:pPr>
              <w:ind w:left="-113" w:leftChars="-47" w:right="-108" w:rightChars="-45"/>
              <w:jc w:val="center"/>
              <w:rPr>
                <w:rFonts w:ascii="Times New Roman" w:hAnsi="Times New Roman" w:cs="Times New Roman"/>
                <w:bCs/>
                <w:sz w:val="21"/>
                <w:szCs w:val="21"/>
              </w:rPr>
            </w:pPr>
            <w:r>
              <w:rPr>
                <w:rFonts w:hint="eastAsia" w:ascii="Times New Roman" w:hAnsi="Times New Roman" w:cs="Times New Roman"/>
                <w:sz w:val="21"/>
                <w:szCs w:val="21"/>
              </w:rPr>
              <w:t>《关于加强高耗能、高排放建设项目生态环境源头防控的指导意见》（环环评</w:t>
            </w:r>
            <w:r>
              <w:rPr>
                <w:rFonts w:ascii="Times New Roman" w:hAnsi="Times New Roman" w:cs="Times New Roman"/>
                <w:sz w:val="21"/>
                <w:szCs w:val="21"/>
              </w:rPr>
              <w:t>[2021]45号）</w:t>
            </w:r>
          </w:p>
        </w:tc>
        <w:tc>
          <w:tcPr>
            <w:tcW w:w="1661" w:type="pct"/>
            <w:shd w:val="clear" w:color="auto" w:fill="DDDDDD"/>
            <w:noWrap w:val="0"/>
            <w:vAlign w:val="center"/>
          </w:tcPr>
          <w:p w14:paraId="412567B5">
            <w:pPr>
              <w:ind w:left="-113" w:leftChars="-47" w:right="-108" w:rightChars="-45"/>
              <w:jc w:val="center"/>
              <w:rPr>
                <w:rFonts w:ascii="Times New Roman" w:hAnsi="Times New Roman" w:cs="Times New Roman"/>
                <w:bCs/>
                <w:sz w:val="21"/>
                <w:szCs w:val="21"/>
              </w:rPr>
            </w:pPr>
            <w:r>
              <w:rPr>
                <w:rFonts w:hint="eastAsia" w:ascii="Times New Roman" w:hAnsi="Times New Roman" w:cs="Times New Roman"/>
                <w:sz w:val="21"/>
                <w:szCs w:val="21"/>
              </w:rPr>
              <w:t>《辽宁省人民政府办公厅关于加强全省高能耗、高排放项目准入管理的意见》（辽政办发</w:t>
            </w:r>
            <w:r>
              <w:rPr>
                <w:rFonts w:ascii="Times New Roman" w:hAnsi="Times New Roman" w:cs="Times New Roman"/>
                <w:sz w:val="21"/>
                <w:szCs w:val="21"/>
              </w:rPr>
              <w:t>[2021]6号）</w:t>
            </w:r>
          </w:p>
        </w:tc>
        <w:tc>
          <w:tcPr>
            <w:tcW w:w="1230" w:type="pct"/>
            <w:shd w:val="clear" w:color="auto" w:fill="DDDDDD"/>
            <w:noWrap w:val="0"/>
            <w:vAlign w:val="center"/>
          </w:tcPr>
          <w:p w14:paraId="11CD0141">
            <w:pPr>
              <w:ind w:left="-113" w:leftChars="-47" w:right="-108" w:rightChars="-45"/>
              <w:jc w:val="center"/>
              <w:rPr>
                <w:rFonts w:ascii="Times New Roman" w:hAnsi="Times New Roman" w:cs="Times New Roman"/>
                <w:bCs/>
                <w:sz w:val="21"/>
                <w:szCs w:val="21"/>
              </w:rPr>
            </w:pPr>
            <w:r>
              <w:rPr>
                <w:rFonts w:ascii="Times New Roman" w:hAnsi="Times New Roman" w:cs="Times New Roman"/>
                <w:bCs/>
                <w:sz w:val="21"/>
                <w:szCs w:val="21"/>
              </w:rPr>
              <w:t>项目情况</w:t>
            </w:r>
          </w:p>
        </w:tc>
        <w:tc>
          <w:tcPr>
            <w:tcW w:w="408" w:type="pct"/>
            <w:shd w:val="clear" w:color="auto" w:fill="DDDDDD"/>
            <w:noWrap w:val="0"/>
            <w:vAlign w:val="center"/>
          </w:tcPr>
          <w:p w14:paraId="595FB9DB">
            <w:pPr>
              <w:ind w:left="-113" w:leftChars="-47" w:right="-108" w:rightChars="-45"/>
              <w:jc w:val="center"/>
              <w:rPr>
                <w:rFonts w:ascii="Times New Roman" w:hAnsi="Times New Roman" w:cs="Times New Roman"/>
                <w:bCs/>
                <w:sz w:val="21"/>
                <w:szCs w:val="21"/>
              </w:rPr>
            </w:pPr>
            <w:r>
              <w:rPr>
                <w:rFonts w:ascii="Times New Roman" w:hAnsi="Times New Roman" w:cs="Times New Roman"/>
                <w:bCs/>
                <w:sz w:val="21"/>
                <w:szCs w:val="21"/>
              </w:rPr>
              <w:t>符合情况</w:t>
            </w:r>
          </w:p>
        </w:tc>
      </w:tr>
      <w:tr w14:paraId="0104E2F6">
        <w:tblPrEx>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51" w:hRule="atLeast"/>
          <w:jc w:val="center"/>
        </w:trPr>
        <w:tc>
          <w:tcPr>
            <w:tcW w:w="1701" w:type="pct"/>
            <w:noWrap w:val="0"/>
            <w:vAlign w:val="center"/>
          </w:tcPr>
          <w:p w14:paraId="4B1A31B9">
            <w:pPr>
              <w:rPr>
                <w:rFonts w:hint="eastAsia"/>
                <w:sz w:val="21"/>
                <w:szCs w:val="21"/>
              </w:rPr>
            </w:pPr>
            <w:r>
              <w:rPr>
                <w:rFonts w:hint="eastAsia"/>
                <w:sz w:val="21"/>
                <w:szCs w:val="21"/>
              </w:rPr>
              <w:t>（三）严把建设项目环境准入关。新建、改建、扩建“两高”项目须符合生态环境保护法律法规和相关法定规划，满足重点污染物排放总量控制、碳排放达峰目标、生态环境准入清单、相关规划环评和相应行业建设项目环境准入条件、环评文件审批原则要求。新建、扩建石化、化工、焦化、有色金属冶炼、平板玻璃项目应布设在依法合规设立并经规划环评的产业园区。</w:t>
            </w:r>
          </w:p>
        </w:tc>
        <w:tc>
          <w:tcPr>
            <w:tcW w:w="1661" w:type="pct"/>
            <w:noWrap w:val="0"/>
            <w:vAlign w:val="center"/>
          </w:tcPr>
          <w:p w14:paraId="4AA885E8">
            <w:pPr>
              <w:ind w:left="-113" w:leftChars="-47" w:right="-108" w:rightChars="-45"/>
              <w:jc w:val="both"/>
              <w:rPr>
                <w:rFonts w:ascii="Times New Roman" w:hAnsi="Times New Roman" w:cs="Times New Roman"/>
                <w:bCs/>
                <w:sz w:val="21"/>
                <w:szCs w:val="21"/>
              </w:rPr>
            </w:pPr>
            <w:r>
              <w:rPr>
                <w:rFonts w:hint="eastAsia" w:ascii="Times New Roman" w:hAnsi="Times New Roman" w:cs="Times New Roman"/>
                <w:bCs/>
                <w:sz w:val="21"/>
                <w:szCs w:val="21"/>
              </w:rPr>
              <w:t>（二）严格“两高”项目投资准入。</w:t>
            </w:r>
            <w:r>
              <w:rPr>
                <w:rFonts w:ascii="Times New Roman" w:hAnsi="Times New Roman" w:cs="Times New Roman"/>
                <w:bCs/>
                <w:sz w:val="21"/>
                <w:szCs w:val="21"/>
              </w:rPr>
              <w:t>新上“两高”项目必须符合国家产业政策且能效达到行业先进水平，属于限制类和淘汰类的新建项目，一律不予审批、核准；属于限制类技术改造的“两高”项目，确保耗能量、排放量只减不增。</w:t>
            </w:r>
          </w:p>
        </w:tc>
        <w:tc>
          <w:tcPr>
            <w:tcW w:w="1230" w:type="pct"/>
            <w:noWrap w:val="0"/>
            <w:vAlign w:val="center"/>
          </w:tcPr>
          <w:p w14:paraId="1951ED5E">
            <w:pPr>
              <w:adjustRightInd w:val="0"/>
              <w:snapToGrid w:val="0"/>
              <w:jc w:val="center"/>
              <w:rPr>
                <w:rFonts w:ascii="Times New Roman" w:hAnsi="Times New Roman" w:cs="Times New Roman"/>
                <w:sz w:val="21"/>
                <w:szCs w:val="21"/>
              </w:rPr>
            </w:pPr>
            <w:r>
              <w:rPr>
                <w:rFonts w:hint="eastAsia" w:ascii="Times New Roman" w:hAnsi="Times New Roman" w:cs="Times New Roman"/>
                <w:sz w:val="21"/>
                <w:szCs w:val="21"/>
              </w:rPr>
              <w:t>本项目符合生态环境保护法律法规和相关法定规划要求，满足“三线一单”、《钢铁行业规范条件》等要求；本项目符合国家产业政策，不属于</w:t>
            </w:r>
            <w:r>
              <w:rPr>
                <w:rFonts w:ascii="Times New Roman" w:hAnsi="Times New Roman" w:cs="Times New Roman"/>
                <w:bCs/>
                <w:sz w:val="21"/>
                <w:szCs w:val="21"/>
              </w:rPr>
              <w:t>限制类和淘汰类</w:t>
            </w:r>
            <w:r>
              <w:rPr>
                <w:rFonts w:hint="eastAsia" w:ascii="Times New Roman" w:hAnsi="Times New Roman" w:cs="Times New Roman"/>
                <w:bCs/>
                <w:sz w:val="21"/>
                <w:szCs w:val="21"/>
              </w:rPr>
              <w:t>项目</w:t>
            </w:r>
            <w:r>
              <w:rPr>
                <w:rFonts w:hint="eastAsia" w:ascii="Times New Roman" w:hAnsi="Times New Roman" w:cs="Times New Roman"/>
                <w:sz w:val="21"/>
                <w:szCs w:val="21"/>
              </w:rPr>
              <w:t>；项目实施后全厂污染物排放总量未超过环保部门核定的总量控制指标。</w:t>
            </w:r>
          </w:p>
        </w:tc>
        <w:tc>
          <w:tcPr>
            <w:tcW w:w="408" w:type="pct"/>
            <w:noWrap w:val="0"/>
            <w:vAlign w:val="center"/>
          </w:tcPr>
          <w:p w14:paraId="0B85AF50">
            <w:pPr>
              <w:ind w:left="-113" w:leftChars="-47" w:right="-108" w:rightChars="-45"/>
              <w:jc w:val="center"/>
              <w:rPr>
                <w:rFonts w:ascii="Times New Roman" w:hAnsi="Times New Roman" w:cs="Times New Roman"/>
                <w:sz w:val="21"/>
                <w:szCs w:val="21"/>
              </w:rPr>
            </w:pPr>
            <w:r>
              <w:rPr>
                <w:rFonts w:ascii="Times New Roman" w:hAnsi="Times New Roman" w:cs="Times New Roman"/>
                <w:sz w:val="21"/>
                <w:szCs w:val="21"/>
              </w:rPr>
              <w:t>符合</w:t>
            </w:r>
          </w:p>
        </w:tc>
      </w:tr>
      <w:tr w14:paraId="1DDC6F12">
        <w:tblPrEx>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51" w:hRule="atLeast"/>
          <w:jc w:val="center"/>
        </w:trPr>
        <w:tc>
          <w:tcPr>
            <w:tcW w:w="1701" w:type="pct"/>
            <w:noWrap w:val="0"/>
            <w:vAlign w:val="center"/>
          </w:tcPr>
          <w:p w14:paraId="48EA2B31">
            <w:pPr>
              <w:rPr>
                <w:rFonts w:hint="eastAsia"/>
                <w:sz w:val="21"/>
                <w:szCs w:val="21"/>
              </w:rPr>
            </w:pPr>
            <w:r>
              <w:rPr>
                <w:rFonts w:hint="eastAsia"/>
                <w:sz w:val="21"/>
                <w:szCs w:val="21"/>
              </w:rPr>
              <w:t>（四）落实区域削减要求。新建“两高”项目应按照《关于加强重点行业建设项目区域削减措施监督管理的通知》要求，依据区域环境质量改善目标，制定配套区域污染物削减方案，采取有效的污染物区域削减措施，腾出足够的环境容量。国家大气污染防治重点区域内新建耗煤项目还应严格按规定采取煤炭消费减量替代措施，不得使用高污染燃料作为煤炭减量替代措施，</w:t>
            </w:r>
          </w:p>
        </w:tc>
        <w:tc>
          <w:tcPr>
            <w:tcW w:w="1661" w:type="pct"/>
            <w:noWrap w:val="0"/>
            <w:vAlign w:val="center"/>
          </w:tcPr>
          <w:p w14:paraId="63EFCD30">
            <w:pPr>
              <w:ind w:left="-113" w:leftChars="-47" w:right="-108" w:rightChars="-45"/>
              <w:jc w:val="center"/>
              <w:rPr>
                <w:rFonts w:ascii="Times New Roman" w:hAnsi="Times New Roman" w:cs="Times New Roman"/>
                <w:bCs/>
                <w:sz w:val="21"/>
                <w:szCs w:val="21"/>
              </w:rPr>
            </w:pPr>
            <w:r>
              <w:rPr>
                <w:rFonts w:ascii="Times New Roman" w:hAnsi="Times New Roman" w:cs="Times New Roman"/>
                <w:bCs/>
                <w:sz w:val="21"/>
                <w:szCs w:val="21"/>
              </w:rPr>
              <w:t>--</w:t>
            </w:r>
          </w:p>
        </w:tc>
        <w:tc>
          <w:tcPr>
            <w:tcW w:w="1230" w:type="pct"/>
            <w:noWrap w:val="0"/>
            <w:vAlign w:val="center"/>
          </w:tcPr>
          <w:p w14:paraId="0A539823">
            <w:pPr>
              <w:adjustRightInd w:val="0"/>
              <w:snapToGrid w:val="0"/>
              <w:jc w:val="center"/>
              <w:rPr>
                <w:rFonts w:ascii="Times New Roman" w:hAnsi="Times New Roman" w:cs="Times New Roman"/>
                <w:sz w:val="21"/>
                <w:szCs w:val="21"/>
              </w:rPr>
            </w:pPr>
            <w:r>
              <w:rPr>
                <w:rFonts w:hint="eastAsia" w:ascii="Times New Roman" w:hAnsi="Times New Roman" w:cs="Times New Roman"/>
                <w:sz w:val="21"/>
                <w:szCs w:val="21"/>
                <w:highlight w:val="none"/>
              </w:rPr>
              <w:t>本项目实施后通过现役源削减及以新带老措施，</w:t>
            </w:r>
            <w:r>
              <w:rPr>
                <w:rFonts w:ascii="Times New Roman" w:hAnsi="Times New Roman" w:cs="Times New Roman"/>
                <w:sz w:val="21"/>
                <w:szCs w:val="21"/>
                <w:highlight w:val="none"/>
              </w:rPr>
              <w:t>污染物排放指标得到削减，可实现区域现役源2倍削减</w:t>
            </w:r>
            <w:r>
              <w:rPr>
                <w:rFonts w:hint="eastAsia" w:ascii="Times New Roman" w:hAnsi="Times New Roman" w:cs="Times New Roman"/>
                <w:sz w:val="21"/>
                <w:szCs w:val="21"/>
                <w:highlight w:val="none"/>
              </w:rPr>
              <w:t>，区域环境质量将有所改善。</w:t>
            </w:r>
          </w:p>
        </w:tc>
        <w:tc>
          <w:tcPr>
            <w:tcW w:w="408" w:type="pct"/>
            <w:noWrap w:val="0"/>
            <w:vAlign w:val="center"/>
          </w:tcPr>
          <w:p w14:paraId="266202C9">
            <w:pPr>
              <w:ind w:left="-113" w:leftChars="-47" w:right="-108" w:rightChars="-45"/>
              <w:jc w:val="center"/>
              <w:rPr>
                <w:rFonts w:ascii="Times New Roman" w:hAnsi="Times New Roman" w:cs="Times New Roman"/>
                <w:sz w:val="21"/>
                <w:szCs w:val="21"/>
              </w:rPr>
            </w:pPr>
            <w:r>
              <w:rPr>
                <w:rFonts w:ascii="Times New Roman" w:hAnsi="Times New Roman" w:cs="Times New Roman"/>
                <w:sz w:val="21"/>
                <w:szCs w:val="21"/>
              </w:rPr>
              <w:t>符合</w:t>
            </w:r>
          </w:p>
        </w:tc>
      </w:tr>
      <w:tr w14:paraId="5212452D">
        <w:tblPrEx>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51" w:hRule="atLeast"/>
          <w:jc w:val="center"/>
        </w:trPr>
        <w:tc>
          <w:tcPr>
            <w:tcW w:w="1701" w:type="pct"/>
            <w:noWrap w:val="0"/>
            <w:vAlign w:val="center"/>
          </w:tcPr>
          <w:p w14:paraId="415C313A">
            <w:pPr>
              <w:autoSpaceDE w:val="0"/>
              <w:autoSpaceDN w:val="0"/>
              <w:adjustRightInd w:val="0"/>
              <w:rPr>
                <w:rFonts w:hint="eastAsia"/>
                <w:sz w:val="21"/>
                <w:szCs w:val="21"/>
              </w:rPr>
            </w:pPr>
            <w:r>
              <w:rPr>
                <w:rFonts w:hint="eastAsia"/>
                <w:sz w:val="21"/>
                <w:szCs w:val="21"/>
              </w:rPr>
              <w:t>（六）推进“两高”行业减污降碳协同控制。提升清洁生产和污染防治水平。新建、扩建“两高”项目应采用先进适用的工业技术和装备，单位产品物耗、能耗、水耗等达到清洁生产先进水平。国家或地方已出台超低排放要求的“两高”行业建设项目应满足超低排放要求。大宗物料优先采用铁路、管道或水路运输，短途接驳优先使用新能源车辆运输。</w:t>
            </w:r>
          </w:p>
        </w:tc>
        <w:tc>
          <w:tcPr>
            <w:tcW w:w="1661" w:type="pct"/>
            <w:noWrap w:val="0"/>
            <w:vAlign w:val="center"/>
          </w:tcPr>
          <w:p w14:paraId="24DF526A">
            <w:pPr>
              <w:ind w:left="-113" w:leftChars="-47" w:right="-108" w:rightChars="-45"/>
              <w:jc w:val="both"/>
              <w:rPr>
                <w:rFonts w:ascii="Times New Roman" w:hAnsi="Times New Roman" w:cs="Times New Roman"/>
                <w:bCs/>
                <w:sz w:val="21"/>
                <w:szCs w:val="21"/>
              </w:rPr>
            </w:pPr>
            <w:r>
              <w:rPr>
                <w:rFonts w:hint="eastAsia" w:ascii="Times New Roman" w:hAnsi="Times New Roman" w:cs="Times New Roman"/>
                <w:bCs/>
                <w:sz w:val="21"/>
                <w:szCs w:val="21"/>
              </w:rPr>
              <w:t>（四）强化“两高”项目能耗双控管理。完善能耗双控目标引领倒逼机制，重点控制以煤炭为主的化石能源消费，着力发展可再生能源。在完成能耗双控目标前提下，优先保障国家战略布局项目、居民生活、现代服务业、高技术产业和先进制造业用能需求。对能耗强度下降目标形势严峻、用能空间不足的地区高耗能项目，按规定实行缓批限批。完善项目用能决策管理机制，对未能通过节能审查的“两高”项目，建设单位不得开工建设。</w:t>
            </w:r>
          </w:p>
        </w:tc>
        <w:tc>
          <w:tcPr>
            <w:tcW w:w="1230" w:type="pct"/>
            <w:noWrap w:val="0"/>
            <w:vAlign w:val="center"/>
          </w:tcPr>
          <w:p w14:paraId="2CF69CF4">
            <w:pPr>
              <w:adjustRightInd w:val="0"/>
              <w:snapToGrid w:val="0"/>
              <w:jc w:val="center"/>
              <w:rPr>
                <w:rFonts w:ascii="Times New Roman" w:hAnsi="Times New Roman" w:cs="Times New Roman"/>
                <w:sz w:val="21"/>
                <w:szCs w:val="21"/>
              </w:rPr>
            </w:pPr>
            <w:r>
              <w:rPr>
                <w:rFonts w:hint="eastAsia" w:ascii="Times New Roman" w:hAnsi="Times New Roman" w:cs="Times New Roman"/>
                <w:sz w:val="21"/>
                <w:szCs w:val="21"/>
              </w:rPr>
              <w:t>本项目水耗、能耗均满足国家有关要求；废水全部回用于生产，资源消耗得到充分有效利用。本项目</w:t>
            </w:r>
            <w:r>
              <w:rPr>
                <w:rFonts w:hint="eastAsia" w:ascii="Times New Roman" w:hAnsi="Times New Roman" w:cs="Times New Roman"/>
                <w:sz w:val="21"/>
                <w:szCs w:val="21"/>
                <w:lang w:val="en-US" w:eastAsia="zh-CN"/>
              </w:rPr>
              <w:t>烧结机、球团竖炉</w:t>
            </w:r>
            <w:r>
              <w:rPr>
                <w:rFonts w:hint="eastAsia" w:ascii="Times New Roman" w:hAnsi="Times New Roman" w:cs="Times New Roman"/>
                <w:sz w:val="21"/>
                <w:szCs w:val="21"/>
              </w:rPr>
              <w:t>污染物排放可以满足</w:t>
            </w:r>
            <w:r>
              <w:rPr>
                <w:rFonts w:ascii="Times New Roman" w:hAnsi="Times New Roman" w:cs="Times New Roman"/>
                <w:sz w:val="21"/>
                <w:szCs w:val="21"/>
              </w:rPr>
              <w:t>超低排放</w:t>
            </w:r>
            <w:r>
              <w:rPr>
                <w:rFonts w:hint="eastAsia" w:ascii="Times New Roman" w:hAnsi="Times New Roman" w:cs="Times New Roman"/>
                <w:sz w:val="21"/>
                <w:szCs w:val="21"/>
              </w:rPr>
              <w:t>限值要求</w:t>
            </w:r>
            <w:r>
              <w:rPr>
                <w:rFonts w:ascii="Times New Roman" w:hAnsi="Times New Roman" w:cs="Times New Roman"/>
                <w:sz w:val="21"/>
                <w:szCs w:val="21"/>
              </w:rPr>
              <w:t>。</w:t>
            </w:r>
            <w:r>
              <w:rPr>
                <w:rFonts w:hint="eastAsia" w:ascii="Times New Roman" w:hAnsi="Times New Roman" w:cs="Times New Roman"/>
                <w:sz w:val="21"/>
                <w:szCs w:val="21"/>
              </w:rPr>
              <w:t>本项目不涉及大宗物料运输。</w:t>
            </w:r>
          </w:p>
        </w:tc>
        <w:tc>
          <w:tcPr>
            <w:tcW w:w="408" w:type="pct"/>
            <w:noWrap w:val="0"/>
            <w:vAlign w:val="center"/>
          </w:tcPr>
          <w:p w14:paraId="423EDB6D">
            <w:pPr>
              <w:ind w:left="-113" w:leftChars="-47" w:right="-108" w:rightChars="-45"/>
              <w:jc w:val="center"/>
              <w:rPr>
                <w:rFonts w:ascii="Times New Roman" w:hAnsi="Times New Roman" w:cs="Times New Roman"/>
                <w:sz w:val="21"/>
                <w:szCs w:val="21"/>
              </w:rPr>
            </w:pPr>
            <w:r>
              <w:rPr>
                <w:rFonts w:ascii="Times New Roman" w:hAnsi="Times New Roman" w:cs="Times New Roman"/>
                <w:sz w:val="21"/>
                <w:szCs w:val="21"/>
              </w:rPr>
              <w:t>符合</w:t>
            </w:r>
          </w:p>
        </w:tc>
      </w:tr>
      <w:tr w14:paraId="5F28C830">
        <w:tblPrEx>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51" w:hRule="atLeast"/>
          <w:jc w:val="center"/>
        </w:trPr>
        <w:tc>
          <w:tcPr>
            <w:tcW w:w="1701" w:type="pct"/>
            <w:noWrap w:val="0"/>
            <w:vAlign w:val="center"/>
          </w:tcPr>
          <w:p w14:paraId="26D097A7">
            <w:pPr>
              <w:autoSpaceDE w:val="0"/>
              <w:autoSpaceDN w:val="0"/>
              <w:adjustRightInd w:val="0"/>
              <w:rPr>
                <w:rFonts w:hint="eastAsia"/>
                <w:sz w:val="21"/>
                <w:szCs w:val="21"/>
              </w:rPr>
            </w:pPr>
            <w:r>
              <w:rPr>
                <w:rFonts w:hint="eastAsia"/>
                <w:sz w:val="21"/>
                <w:szCs w:val="21"/>
              </w:rPr>
              <w:t>（七）将碳排放影响评价纳入环境影响评价体系。在环评工作中，统筹开展污染物和碳排放的源项识别、源强核算、减污降碳措施可行性论证及方案比选，提出协同控制最优方案。鼓励有条件的地区、企业探索实施减污降碳协同治理和碳捕集、封存、综合利用工程试点、示范。</w:t>
            </w:r>
          </w:p>
        </w:tc>
        <w:tc>
          <w:tcPr>
            <w:tcW w:w="1661" w:type="pct"/>
            <w:noWrap w:val="0"/>
            <w:vAlign w:val="center"/>
          </w:tcPr>
          <w:p w14:paraId="773FC067">
            <w:pPr>
              <w:ind w:left="-113" w:leftChars="-47" w:right="-108" w:rightChars="-45"/>
              <w:jc w:val="center"/>
              <w:rPr>
                <w:rFonts w:ascii="Times New Roman" w:hAnsi="Times New Roman" w:cs="Times New Roman"/>
                <w:bCs/>
                <w:sz w:val="21"/>
                <w:szCs w:val="21"/>
              </w:rPr>
            </w:pPr>
            <w:r>
              <w:rPr>
                <w:rFonts w:ascii="Times New Roman" w:hAnsi="Times New Roman" w:cs="Times New Roman"/>
                <w:bCs/>
                <w:sz w:val="21"/>
                <w:szCs w:val="21"/>
              </w:rPr>
              <w:t>--</w:t>
            </w:r>
          </w:p>
        </w:tc>
        <w:tc>
          <w:tcPr>
            <w:tcW w:w="1230" w:type="pct"/>
            <w:noWrap w:val="0"/>
            <w:vAlign w:val="center"/>
          </w:tcPr>
          <w:p w14:paraId="2CA5ACF2">
            <w:pPr>
              <w:adjustRightInd w:val="0"/>
              <w:snapToGrid w:val="0"/>
              <w:jc w:val="center"/>
              <w:rPr>
                <w:rFonts w:ascii="Times New Roman" w:hAnsi="Times New Roman" w:cs="Times New Roman"/>
                <w:sz w:val="21"/>
                <w:szCs w:val="21"/>
              </w:rPr>
            </w:pPr>
            <w:r>
              <w:rPr>
                <w:rFonts w:hint="eastAsia" w:ascii="Times New Roman" w:hAnsi="Times New Roman" w:cs="Times New Roman"/>
                <w:sz w:val="21"/>
                <w:szCs w:val="21"/>
              </w:rPr>
              <w:t>本项目遵循了国家和地方有关节能的法律法规及设计规范，没有选用国家地方公布淘汰的用能设备及限制或禁止的工艺，采取了较完善的减污降碳措施。</w:t>
            </w:r>
          </w:p>
        </w:tc>
        <w:tc>
          <w:tcPr>
            <w:tcW w:w="408" w:type="pct"/>
            <w:noWrap w:val="0"/>
            <w:vAlign w:val="center"/>
          </w:tcPr>
          <w:p w14:paraId="19576DA4">
            <w:pPr>
              <w:ind w:left="-113" w:leftChars="-47" w:right="-108" w:rightChars="-45"/>
              <w:jc w:val="center"/>
              <w:rPr>
                <w:rFonts w:ascii="Times New Roman" w:hAnsi="Times New Roman" w:cs="Times New Roman"/>
                <w:sz w:val="21"/>
                <w:szCs w:val="21"/>
              </w:rPr>
            </w:pPr>
            <w:r>
              <w:rPr>
                <w:rFonts w:ascii="Times New Roman" w:hAnsi="Times New Roman" w:cs="Times New Roman"/>
                <w:sz w:val="21"/>
                <w:szCs w:val="21"/>
              </w:rPr>
              <w:t>符合</w:t>
            </w:r>
          </w:p>
        </w:tc>
      </w:tr>
    </w:tbl>
    <w:p w14:paraId="794610C2">
      <w:pPr>
        <w:adjustRightInd w:val="0"/>
        <w:snapToGrid w:val="0"/>
        <w:rPr>
          <w:rFonts w:ascii="Times New Roman" w:hAnsi="Times New Roman" w:cs="Times New Roman"/>
          <w:sz w:val="21"/>
          <w:szCs w:val="21"/>
        </w:rPr>
      </w:pPr>
    </w:p>
    <w:p w14:paraId="06B2A760">
      <w:pPr>
        <w:spacing w:line="460" w:lineRule="exact"/>
        <w:jc w:val="center"/>
        <w:rPr>
          <w:rFonts w:ascii="Times New Roman" w:hAnsi="Times New Roman" w:cs="Times New Roman"/>
        </w:rPr>
        <w:sectPr>
          <w:pgSz w:w="16840" w:h="11907" w:orient="landscape"/>
          <w:pgMar w:top="1701" w:right="1701" w:bottom="1701" w:left="1701" w:header="851" w:footer="1077" w:gutter="0"/>
          <w:pgBorders w:offsetFrom="page">
            <w:top w:val="none" w:sz="0" w:space="0"/>
            <w:left w:val="none" w:sz="0" w:space="0"/>
            <w:bottom w:val="none" w:sz="0" w:space="0"/>
            <w:right w:val="none" w:sz="0" w:space="0"/>
          </w:pgBorders>
          <w:pgNumType w:fmt="decimal"/>
          <w:cols w:space="720" w:num="1"/>
          <w:docGrid w:type="lines" w:linePitch="479" w:charSpace="0"/>
        </w:sectPr>
      </w:pPr>
    </w:p>
    <w:p w14:paraId="2EDE3BF1">
      <w:pPr>
        <w:pStyle w:val="6"/>
        <w:spacing w:before="239"/>
      </w:pPr>
      <w:bookmarkStart w:id="152" w:name="_Toc151200246"/>
      <w:bookmarkStart w:id="153" w:name="_Toc175714244"/>
      <w:bookmarkStart w:id="154" w:name="_Toc166464716"/>
      <w:bookmarkStart w:id="155" w:name="_Toc90026108"/>
      <w:bookmarkStart w:id="156" w:name="_Toc151278908"/>
      <w:bookmarkStart w:id="157" w:name="_Toc151200086"/>
      <w:bookmarkStart w:id="158" w:name="_Toc175711411"/>
      <w:bookmarkStart w:id="159" w:name="_Toc154569847"/>
      <w:bookmarkStart w:id="160" w:name="_Toc151276134"/>
      <w:bookmarkStart w:id="161" w:name="_Toc153007107"/>
      <w:bookmarkStart w:id="162" w:name="_Toc154570234"/>
      <w:bookmarkStart w:id="163" w:name="_Toc158523396"/>
      <w:bookmarkStart w:id="164" w:name="_Toc6430"/>
      <w:bookmarkStart w:id="165" w:name="_Toc153878443"/>
      <w:r>
        <w:t>1.7 主要环境保护目标</w:t>
      </w:r>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p>
    <w:p w14:paraId="1C06130B">
      <w:pPr>
        <w:pStyle w:val="7"/>
      </w:pPr>
      <w:bookmarkStart w:id="166" w:name="_Toc90026208"/>
      <w:bookmarkStart w:id="167" w:name="_Toc24758"/>
      <w:r>
        <w:t>1.7.1 周围环境概况</w:t>
      </w:r>
      <w:bookmarkEnd w:id="166"/>
      <w:bookmarkEnd w:id="167"/>
    </w:p>
    <w:p w14:paraId="353BCC15">
      <w:pPr>
        <w:spacing w:line="500" w:lineRule="exact"/>
        <w:ind w:firstLine="480" w:firstLineChars="200"/>
        <w:rPr>
          <w:rFonts w:ascii="Times New Roman" w:hAnsi="Times New Roman" w:cs="Times New Roman"/>
        </w:rPr>
      </w:pPr>
      <w:r>
        <w:rPr>
          <w:rFonts w:ascii="Times New Roman" w:hAnsi="Times New Roman" w:cs="Times New Roman"/>
        </w:rPr>
        <w:t>本项目位于辽宁省</w:t>
      </w:r>
      <w:r>
        <w:rPr>
          <w:rFonts w:hint="eastAsia" w:ascii="Times New Roman" w:hAnsi="Times New Roman" w:cs="Times New Roman"/>
          <w:lang w:eastAsia="zh-CN"/>
        </w:rPr>
        <w:t>本溪市本溪满族自治县草河口镇祁家堡村本溪玉麒麟新材料有限公司</w:t>
      </w:r>
      <w:r>
        <w:rPr>
          <w:rFonts w:hint="eastAsia" w:ascii="Times New Roman" w:hAnsi="Times New Roman" w:cs="Times New Roman"/>
        </w:rPr>
        <w:t>厂区内</w:t>
      </w:r>
      <w:r>
        <w:rPr>
          <w:rFonts w:ascii="Times New Roman" w:hAnsi="Times New Roman" w:cs="Times New Roman"/>
        </w:rPr>
        <w:t>，</w:t>
      </w:r>
      <w:r>
        <w:rPr>
          <w:rFonts w:hint="eastAsia" w:ascii="Times New Roman" w:hAnsi="Times New Roman" w:cs="Times New Roman"/>
        </w:rPr>
        <w:t>公司北侧</w:t>
      </w:r>
      <w:r>
        <w:rPr>
          <w:rFonts w:hint="eastAsia" w:ascii="Times New Roman" w:hAnsi="Times New Roman" w:cs="Times New Roman"/>
          <w:lang w:eastAsia="zh-CN"/>
        </w:rPr>
        <w:t>、</w:t>
      </w:r>
      <w:r>
        <w:rPr>
          <w:rFonts w:hint="eastAsia" w:ascii="Times New Roman" w:hAnsi="Times New Roman" w:cs="Times New Roman"/>
          <w:lang w:val="en-US" w:eastAsia="zh-CN"/>
        </w:rPr>
        <w:t>西侧</w:t>
      </w:r>
      <w:r>
        <w:rPr>
          <w:rFonts w:hint="eastAsia" w:ascii="Times New Roman" w:hAnsi="Times New Roman" w:cs="Times New Roman"/>
        </w:rPr>
        <w:t>为</w:t>
      </w:r>
      <w:r>
        <w:rPr>
          <w:rFonts w:hint="eastAsia" w:ascii="Times New Roman" w:hAnsi="Times New Roman" w:cs="Times New Roman"/>
          <w:lang w:val="en-US" w:eastAsia="zh-CN"/>
        </w:rPr>
        <w:t>祁家堡村</w:t>
      </w:r>
      <w:r>
        <w:rPr>
          <w:rFonts w:hint="eastAsia" w:ascii="Times New Roman" w:hAnsi="Times New Roman" w:cs="Times New Roman"/>
        </w:rPr>
        <w:t>，厂区东侧</w:t>
      </w:r>
      <w:r>
        <w:rPr>
          <w:rFonts w:hint="eastAsia" w:ascii="Times New Roman" w:hAnsi="Times New Roman" w:cs="Times New Roman"/>
          <w:lang w:val="en-US" w:eastAsia="zh-CN"/>
        </w:rPr>
        <w:t>为农田</w:t>
      </w:r>
      <w:r>
        <w:rPr>
          <w:rFonts w:hint="eastAsia" w:ascii="Times New Roman" w:hAnsi="Times New Roman" w:cs="Times New Roman"/>
        </w:rPr>
        <w:t>，厂区南侧</w:t>
      </w:r>
      <w:r>
        <w:rPr>
          <w:rFonts w:hint="eastAsia" w:ascii="Times New Roman" w:hAnsi="Times New Roman" w:cs="Times New Roman"/>
          <w:lang w:val="en-US" w:eastAsia="zh-CN"/>
        </w:rPr>
        <w:t>为丹霍线</w:t>
      </w:r>
      <w:r>
        <w:rPr>
          <w:rFonts w:ascii="Times New Roman" w:hAnsi="Times New Roman" w:cs="Times New Roman"/>
        </w:rPr>
        <w:t>。本项目周围环境见图1.7-1。</w:t>
      </w:r>
    </w:p>
    <w:p w14:paraId="6D20AD38">
      <w:pPr>
        <w:pStyle w:val="7"/>
      </w:pPr>
      <w:bookmarkStart w:id="168" w:name="_Toc31142"/>
      <w:bookmarkStart w:id="169" w:name="_Toc90026209"/>
      <w:bookmarkStart w:id="170" w:name="_Toc153007109"/>
      <w:bookmarkStart w:id="171" w:name="_Toc151278910"/>
      <w:bookmarkStart w:id="172" w:name="_Toc153878445"/>
      <w:bookmarkStart w:id="173" w:name="_Toc151200088"/>
      <w:bookmarkStart w:id="174" w:name="_Toc175711421"/>
      <w:bookmarkStart w:id="175" w:name="_Toc154570236"/>
      <w:bookmarkStart w:id="176" w:name="_Toc154569849"/>
      <w:bookmarkStart w:id="177" w:name="_Toc166464718"/>
      <w:bookmarkStart w:id="178" w:name="_Toc151276136"/>
      <w:bookmarkStart w:id="179" w:name="_Toc158523398"/>
      <w:bookmarkStart w:id="180" w:name="_Toc175714254"/>
      <w:bookmarkStart w:id="181" w:name="_Toc151200248"/>
      <w:r>
        <w:t>1.7.2 主要环境保护目标</w:t>
      </w:r>
      <w:bookmarkEnd w:id="168"/>
      <w:bookmarkEnd w:id="169"/>
    </w:p>
    <w:p w14:paraId="6CDF7A06">
      <w:pPr>
        <w:pStyle w:val="310"/>
        <w:spacing w:line="500" w:lineRule="exact"/>
        <w:rPr>
          <w:rFonts w:hint="eastAsia"/>
          <w:lang w:eastAsia="zh-CN"/>
        </w:rPr>
      </w:pPr>
      <w:r>
        <w:rPr>
          <w:lang w:eastAsia="zh-CN"/>
        </w:rPr>
        <w:t>本</w:t>
      </w:r>
      <w:r>
        <w:t>项目</w:t>
      </w:r>
      <w:r>
        <w:rPr>
          <w:lang w:eastAsia="zh-CN"/>
        </w:rPr>
        <w:t>建设用地内</w:t>
      </w:r>
      <w:r>
        <w:t>无重点文物保护单位、生态功能保护区、自然保护区、风景名胜区等需要特殊保护的区域以及珍稀、濒危物种</w:t>
      </w:r>
      <w:r>
        <w:rPr>
          <w:lang w:eastAsia="zh-CN"/>
        </w:rPr>
        <w:t>，不占用生态红线。</w:t>
      </w:r>
    </w:p>
    <w:p w14:paraId="0DB9435F">
      <w:pPr>
        <w:pStyle w:val="310"/>
        <w:spacing w:line="500" w:lineRule="exact"/>
        <w:rPr>
          <w:lang w:eastAsia="zh-CN"/>
        </w:rPr>
      </w:pPr>
      <w:r>
        <w:t>根据</w:t>
      </w:r>
      <w:r>
        <w:rPr>
          <w:lang w:eastAsia="zh-CN"/>
        </w:rPr>
        <w:t>本项目</w:t>
      </w:r>
      <w:r>
        <w:t>周围环境特点确定</w:t>
      </w:r>
      <w:r>
        <w:rPr>
          <w:lang w:eastAsia="zh-CN"/>
        </w:rPr>
        <w:t>本次评价的环保目标和保护要素见表1.7-1，环保目标分布情况见图1.</w:t>
      </w:r>
      <w:r>
        <w:rPr>
          <w:rFonts w:hint="eastAsia"/>
          <w:lang w:val="en-US" w:eastAsia="zh-CN"/>
        </w:rPr>
        <w:t>7</w:t>
      </w:r>
      <w:r>
        <w:rPr>
          <w:lang w:eastAsia="zh-CN"/>
        </w:rPr>
        <w:t>-</w:t>
      </w:r>
      <w:r>
        <w:rPr>
          <w:rFonts w:hint="eastAsia"/>
          <w:lang w:val="en-US" w:eastAsia="zh-CN"/>
        </w:rPr>
        <w:t>1</w:t>
      </w:r>
      <w:r>
        <w:rPr>
          <w:lang w:eastAsia="zh-CN"/>
        </w:rPr>
        <w:t>。</w:t>
      </w:r>
    </w:p>
    <w:p w14:paraId="25C319F4">
      <w:pPr>
        <w:pStyle w:val="310"/>
        <w:spacing w:line="500" w:lineRule="exact"/>
        <w:rPr>
          <w:rFonts w:hint="eastAsia"/>
          <w:lang w:eastAsia="zh-CN"/>
        </w:rPr>
      </w:pPr>
    </w:p>
    <w:p w14:paraId="296D19C6">
      <w:pPr>
        <w:pStyle w:val="310"/>
        <w:spacing w:line="500" w:lineRule="exact"/>
        <w:rPr>
          <w:lang w:eastAsia="zh-CN"/>
        </w:rPr>
        <w:sectPr>
          <w:pgSz w:w="11907" w:h="16840"/>
          <w:pgMar w:top="1701" w:right="1701" w:bottom="1701" w:left="1701" w:header="851" w:footer="1077" w:gutter="0"/>
          <w:pgBorders w:offsetFrom="page">
            <w:top w:val="none" w:sz="0" w:space="0"/>
            <w:left w:val="none" w:sz="0" w:space="0"/>
            <w:bottom w:val="none" w:sz="0" w:space="0"/>
            <w:right w:val="none" w:sz="0" w:space="0"/>
          </w:pgBorders>
          <w:pgNumType w:fmt="decimal"/>
          <w:cols w:space="720" w:num="1"/>
          <w:docGrid w:type="lines" w:linePitch="479" w:charSpace="0"/>
        </w:sectPr>
      </w:pPr>
    </w:p>
    <w:p w14:paraId="6F84B3EF">
      <w:pPr>
        <w:pStyle w:val="112"/>
        <w:snapToGrid/>
      </w:pPr>
      <w:r>
        <w:drawing>
          <wp:inline distT="0" distB="0" distL="114300" distR="114300">
            <wp:extent cx="6802120" cy="4769485"/>
            <wp:effectExtent l="0" t="0" r="17780" b="12065"/>
            <wp:docPr id="173"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 name="图片 15"/>
                    <pic:cNvPicPr>
                      <a:picLocks noChangeAspect="1"/>
                    </pic:cNvPicPr>
                  </pic:nvPicPr>
                  <pic:blipFill>
                    <a:blip r:embed="rId38"/>
                    <a:stretch>
                      <a:fillRect/>
                    </a:stretch>
                  </pic:blipFill>
                  <pic:spPr>
                    <a:xfrm>
                      <a:off x="0" y="0"/>
                      <a:ext cx="6802120" cy="4769485"/>
                    </a:xfrm>
                    <a:prstGeom prst="rect">
                      <a:avLst/>
                    </a:prstGeom>
                    <a:noFill/>
                    <a:ln>
                      <a:noFill/>
                    </a:ln>
                  </pic:spPr>
                </pic:pic>
              </a:graphicData>
            </a:graphic>
          </wp:inline>
        </w:drawing>
      </w:r>
    </w:p>
    <w:p w14:paraId="4FD6B8CA">
      <w:pPr>
        <w:pStyle w:val="112"/>
        <w:snapToGrid/>
      </w:pPr>
      <w:r>
        <w:rPr>
          <w:rFonts w:hint="eastAsia"/>
        </w:rPr>
        <w:t>图</w:t>
      </w:r>
      <w:r>
        <w:t xml:space="preserve">1.7-1  </w:t>
      </w:r>
      <w:r>
        <w:rPr>
          <w:rFonts w:hint="eastAsia"/>
        </w:rPr>
        <w:t>本项目周边关系图</w:t>
      </w:r>
    </w:p>
    <w:p w14:paraId="7FFF5159">
      <w:pPr>
        <w:pStyle w:val="112"/>
        <w:snapToGrid/>
        <w:rPr>
          <w:rFonts w:hint="eastAsia"/>
        </w:rPr>
      </w:pPr>
      <w:r>
        <w:t>表1.7-1  主要环境保护目标一览表</w:t>
      </w:r>
    </w:p>
    <w:tbl>
      <w:tblPr>
        <w:tblStyle w:val="56"/>
        <w:tblW w:w="14000" w:type="dxa"/>
        <w:tblInd w:w="0" w:type="dxa"/>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1356"/>
        <w:gridCol w:w="1777"/>
        <w:gridCol w:w="1553"/>
        <w:gridCol w:w="1556"/>
        <w:gridCol w:w="1035"/>
        <w:gridCol w:w="1556"/>
        <w:gridCol w:w="1548"/>
        <w:gridCol w:w="1493"/>
        <w:gridCol w:w="2126"/>
      </w:tblGrid>
      <w:tr w14:paraId="439DF2E8">
        <w:tblPrEx>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2" w:hRule="atLeast"/>
          <w:tblHeader/>
        </w:trPr>
        <w:tc>
          <w:tcPr>
            <w:tcW w:w="1356" w:type="dxa"/>
            <w:vMerge w:val="restart"/>
            <w:tcBorders>
              <w:top w:val="thinThickSmallGap" w:color="auto" w:sz="12" w:space="0"/>
            </w:tcBorders>
            <w:shd w:val="clear" w:color="auto" w:fill="E0E0E0"/>
            <w:noWrap w:val="0"/>
            <w:vAlign w:val="center"/>
          </w:tcPr>
          <w:p w14:paraId="17C73678">
            <w:pPr>
              <w:spacing w:line="300" w:lineRule="exact"/>
              <w:jc w:val="center"/>
              <w:rPr>
                <w:rFonts w:ascii="Times New Roman" w:hAnsi="Times New Roman" w:cs="Times New Roman"/>
                <w:sz w:val="21"/>
                <w:szCs w:val="21"/>
              </w:rPr>
            </w:pPr>
            <w:r>
              <w:rPr>
                <w:rFonts w:ascii="Times New Roman" w:hAnsi="Times New Roman" w:cs="Times New Roman"/>
                <w:sz w:val="21"/>
                <w:szCs w:val="21"/>
              </w:rPr>
              <w:t>环境</w:t>
            </w:r>
          </w:p>
          <w:p w14:paraId="637C7C7D">
            <w:pPr>
              <w:spacing w:line="300" w:lineRule="exact"/>
              <w:jc w:val="center"/>
              <w:rPr>
                <w:rFonts w:ascii="Times New Roman" w:hAnsi="Times New Roman" w:cs="Times New Roman"/>
                <w:sz w:val="21"/>
                <w:szCs w:val="21"/>
              </w:rPr>
            </w:pPr>
            <w:r>
              <w:rPr>
                <w:rFonts w:ascii="Times New Roman" w:hAnsi="Times New Roman" w:cs="Times New Roman"/>
                <w:sz w:val="21"/>
                <w:szCs w:val="21"/>
              </w:rPr>
              <w:t>要素</w:t>
            </w:r>
          </w:p>
        </w:tc>
        <w:tc>
          <w:tcPr>
            <w:tcW w:w="9025" w:type="dxa"/>
            <w:gridSpan w:val="6"/>
            <w:tcBorders>
              <w:top w:val="thinThickSmallGap" w:color="auto" w:sz="12" w:space="0"/>
              <w:bottom w:val="single" w:color="auto" w:sz="4" w:space="0"/>
            </w:tcBorders>
            <w:shd w:val="clear" w:color="auto" w:fill="E0E0E0"/>
            <w:noWrap w:val="0"/>
            <w:vAlign w:val="top"/>
          </w:tcPr>
          <w:p w14:paraId="0DF4AB09">
            <w:pPr>
              <w:spacing w:line="300" w:lineRule="exact"/>
              <w:jc w:val="center"/>
              <w:rPr>
                <w:rFonts w:ascii="Times New Roman" w:hAnsi="Times New Roman" w:cs="Times New Roman"/>
                <w:sz w:val="21"/>
                <w:szCs w:val="21"/>
              </w:rPr>
            </w:pPr>
            <w:r>
              <w:rPr>
                <w:rFonts w:ascii="Times New Roman" w:hAnsi="Times New Roman" w:cs="Times New Roman"/>
                <w:sz w:val="21"/>
                <w:szCs w:val="21"/>
              </w:rPr>
              <w:t>环境保护目标</w:t>
            </w:r>
          </w:p>
        </w:tc>
        <w:tc>
          <w:tcPr>
            <w:tcW w:w="1493" w:type="dxa"/>
            <w:vMerge w:val="restart"/>
            <w:tcBorders>
              <w:top w:val="thinThickSmallGap" w:color="auto" w:sz="12" w:space="0"/>
            </w:tcBorders>
            <w:shd w:val="clear" w:color="auto" w:fill="E0E0E0"/>
            <w:noWrap w:val="0"/>
            <w:vAlign w:val="center"/>
          </w:tcPr>
          <w:p w14:paraId="4F421CF0">
            <w:pPr>
              <w:spacing w:line="300" w:lineRule="exact"/>
              <w:jc w:val="center"/>
              <w:rPr>
                <w:rFonts w:ascii="Times New Roman" w:hAnsi="Times New Roman" w:cs="Times New Roman"/>
                <w:sz w:val="21"/>
                <w:szCs w:val="21"/>
              </w:rPr>
            </w:pPr>
            <w:r>
              <w:rPr>
                <w:rFonts w:ascii="Times New Roman" w:hAnsi="Times New Roman" w:cs="Times New Roman"/>
                <w:sz w:val="21"/>
                <w:szCs w:val="21"/>
              </w:rPr>
              <w:t>保护对象</w:t>
            </w:r>
          </w:p>
        </w:tc>
        <w:tc>
          <w:tcPr>
            <w:tcW w:w="2126" w:type="dxa"/>
            <w:vMerge w:val="restart"/>
            <w:tcBorders>
              <w:top w:val="thinThickSmallGap" w:color="auto" w:sz="12" w:space="0"/>
            </w:tcBorders>
            <w:shd w:val="clear" w:color="auto" w:fill="E0E0E0"/>
            <w:noWrap w:val="0"/>
            <w:vAlign w:val="center"/>
          </w:tcPr>
          <w:p w14:paraId="3A2DC986">
            <w:pPr>
              <w:spacing w:line="300" w:lineRule="exact"/>
              <w:jc w:val="center"/>
              <w:rPr>
                <w:rFonts w:ascii="Times New Roman" w:hAnsi="Times New Roman" w:cs="Times New Roman"/>
                <w:sz w:val="21"/>
                <w:szCs w:val="21"/>
              </w:rPr>
            </w:pPr>
            <w:r>
              <w:rPr>
                <w:rFonts w:ascii="Times New Roman" w:hAnsi="Times New Roman" w:cs="Times New Roman"/>
                <w:sz w:val="21"/>
                <w:szCs w:val="21"/>
              </w:rPr>
              <w:t>保护目标</w:t>
            </w:r>
          </w:p>
        </w:tc>
      </w:tr>
      <w:tr w14:paraId="629AA539">
        <w:tblPrEx>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76" w:hRule="atLeast"/>
          <w:tblHeader/>
        </w:trPr>
        <w:tc>
          <w:tcPr>
            <w:tcW w:w="1356" w:type="dxa"/>
            <w:vMerge w:val="continue"/>
            <w:shd w:val="clear" w:color="auto" w:fill="E0E0E0"/>
            <w:noWrap w:val="0"/>
            <w:vAlign w:val="center"/>
          </w:tcPr>
          <w:p w14:paraId="19980572">
            <w:pPr>
              <w:rPr>
                <w:rFonts w:ascii="Times New Roman" w:hAnsi="Times New Roman" w:cs="Times New Roman"/>
                <w:sz w:val="21"/>
                <w:szCs w:val="21"/>
              </w:rPr>
            </w:pPr>
          </w:p>
        </w:tc>
        <w:tc>
          <w:tcPr>
            <w:tcW w:w="1777" w:type="dxa"/>
            <w:vMerge w:val="restart"/>
            <w:tcBorders>
              <w:top w:val="single" w:color="auto" w:sz="4" w:space="0"/>
            </w:tcBorders>
            <w:shd w:val="clear" w:color="auto" w:fill="E0E0E0"/>
            <w:noWrap w:val="0"/>
            <w:vAlign w:val="center"/>
          </w:tcPr>
          <w:p w14:paraId="5B23A14F">
            <w:pPr>
              <w:jc w:val="center"/>
              <w:rPr>
                <w:rFonts w:ascii="Times New Roman" w:hAnsi="Times New Roman" w:cs="Times New Roman"/>
                <w:sz w:val="21"/>
                <w:szCs w:val="21"/>
              </w:rPr>
            </w:pPr>
            <w:r>
              <w:rPr>
                <w:rFonts w:ascii="Times New Roman" w:hAnsi="Times New Roman" w:cs="Times New Roman"/>
                <w:sz w:val="21"/>
                <w:szCs w:val="21"/>
              </w:rPr>
              <w:t>名称</w:t>
            </w:r>
          </w:p>
        </w:tc>
        <w:tc>
          <w:tcPr>
            <w:tcW w:w="3109" w:type="dxa"/>
            <w:gridSpan w:val="2"/>
            <w:tcBorders>
              <w:top w:val="single" w:color="auto" w:sz="4" w:space="0"/>
              <w:bottom w:val="single" w:color="auto" w:sz="4" w:space="0"/>
            </w:tcBorders>
            <w:shd w:val="clear" w:color="auto" w:fill="E0E0E0"/>
            <w:noWrap w:val="0"/>
            <w:vAlign w:val="center"/>
          </w:tcPr>
          <w:p w14:paraId="24092190">
            <w:pPr>
              <w:spacing w:line="300" w:lineRule="exact"/>
              <w:jc w:val="center"/>
              <w:rPr>
                <w:rFonts w:ascii="Times New Roman" w:hAnsi="Times New Roman" w:cs="Times New Roman"/>
                <w:sz w:val="21"/>
                <w:szCs w:val="21"/>
              </w:rPr>
            </w:pPr>
            <w:r>
              <w:rPr>
                <w:rFonts w:ascii="Times New Roman" w:hAnsi="Times New Roman" w:cs="Times New Roman"/>
                <w:sz w:val="21"/>
                <w:szCs w:val="21"/>
              </w:rPr>
              <w:t>坐标</w:t>
            </w:r>
          </w:p>
        </w:tc>
        <w:tc>
          <w:tcPr>
            <w:tcW w:w="1035" w:type="dxa"/>
            <w:vMerge w:val="restart"/>
            <w:tcBorders>
              <w:top w:val="single" w:color="auto" w:sz="4" w:space="0"/>
            </w:tcBorders>
            <w:shd w:val="clear" w:color="auto" w:fill="E0E0E0"/>
            <w:noWrap w:val="0"/>
            <w:vAlign w:val="center"/>
          </w:tcPr>
          <w:p w14:paraId="4D0B4F48">
            <w:pPr>
              <w:spacing w:line="300" w:lineRule="exact"/>
              <w:jc w:val="center"/>
              <w:rPr>
                <w:rFonts w:ascii="Times New Roman" w:hAnsi="Times New Roman" w:cs="Times New Roman"/>
                <w:sz w:val="21"/>
                <w:szCs w:val="21"/>
              </w:rPr>
            </w:pPr>
            <w:r>
              <w:rPr>
                <w:rFonts w:ascii="Times New Roman" w:hAnsi="Times New Roman" w:cs="Times New Roman"/>
                <w:sz w:val="21"/>
                <w:szCs w:val="21"/>
              </w:rPr>
              <w:t>相对</w:t>
            </w:r>
            <w:r>
              <w:rPr>
                <w:rFonts w:hint="eastAsia" w:ascii="Times New Roman" w:hAnsi="Times New Roman" w:cs="Times New Roman"/>
                <w:sz w:val="21"/>
                <w:szCs w:val="21"/>
              </w:rPr>
              <w:t>厂</w:t>
            </w:r>
            <w:r>
              <w:rPr>
                <w:rFonts w:ascii="Times New Roman" w:hAnsi="Times New Roman" w:cs="Times New Roman"/>
                <w:sz w:val="21"/>
                <w:szCs w:val="21"/>
              </w:rPr>
              <w:t>址方位</w:t>
            </w:r>
          </w:p>
        </w:tc>
        <w:tc>
          <w:tcPr>
            <w:tcW w:w="1556" w:type="dxa"/>
            <w:vMerge w:val="restart"/>
            <w:tcBorders>
              <w:top w:val="single" w:color="auto" w:sz="4" w:space="0"/>
            </w:tcBorders>
            <w:shd w:val="clear" w:color="auto" w:fill="E0E0E0"/>
            <w:noWrap w:val="0"/>
            <w:vAlign w:val="center"/>
          </w:tcPr>
          <w:p w14:paraId="5EB60FB4">
            <w:pPr>
              <w:spacing w:line="300" w:lineRule="exact"/>
              <w:jc w:val="center"/>
              <w:rPr>
                <w:rFonts w:ascii="Times New Roman" w:hAnsi="Times New Roman" w:cs="Times New Roman"/>
                <w:sz w:val="21"/>
                <w:szCs w:val="21"/>
              </w:rPr>
            </w:pPr>
            <w:r>
              <w:rPr>
                <w:rFonts w:ascii="Times New Roman" w:hAnsi="Times New Roman" w:cs="Times New Roman"/>
                <w:sz w:val="21"/>
                <w:szCs w:val="21"/>
              </w:rPr>
              <w:t>相对本项目</w:t>
            </w:r>
            <w:r>
              <w:rPr>
                <w:rFonts w:hint="eastAsia" w:ascii="Times New Roman" w:hAnsi="Times New Roman" w:cs="Times New Roman"/>
                <w:sz w:val="21"/>
                <w:szCs w:val="21"/>
              </w:rPr>
              <w:t>厂</w:t>
            </w:r>
            <w:r>
              <w:rPr>
                <w:rFonts w:ascii="Times New Roman" w:hAnsi="Times New Roman" w:cs="Times New Roman"/>
                <w:sz w:val="21"/>
                <w:szCs w:val="21"/>
              </w:rPr>
              <w:t>界距离（m）</w:t>
            </w:r>
          </w:p>
        </w:tc>
        <w:tc>
          <w:tcPr>
            <w:tcW w:w="1548" w:type="dxa"/>
            <w:vMerge w:val="restart"/>
            <w:tcBorders>
              <w:top w:val="single" w:color="auto" w:sz="4" w:space="0"/>
            </w:tcBorders>
            <w:shd w:val="clear" w:color="auto" w:fill="E0E0E0"/>
            <w:noWrap w:val="0"/>
            <w:vAlign w:val="center"/>
          </w:tcPr>
          <w:p w14:paraId="64E3DCAA">
            <w:pPr>
              <w:spacing w:line="300" w:lineRule="exact"/>
              <w:jc w:val="center"/>
              <w:rPr>
                <w:rFonts w:ascii="Times New Roman" w:hAnsi="Times New Roman" w:cs="Times New Roman"/>
                <w:sz w:val="21"/>
                <w:szCs w:val="21"/>
              </w:rPr>
            </w:pPr>
            <w:r>
              <w:rPr>
                <w:rFonts w:ascii="Times New Roman" w:hAnsi="Times New Roman" w:cs="Times New Roman"/>
                <w:sz w:val="21"/>
                <w:szCs w:val="21"/>
              </w:rPr>
              <w:t>规模</w:t>
            </w:r>
          </w:p>
        </w:tc>
        <w:tc>
          <w:tcPr>
            <w:tcW w:w="1493" w:type="dxa"/>
            <w:vMerge w:val="continue"/>
            <w:shd w:val="clear" w:color="auto" w:fill="E0E0E0"/>
            <w:noWrap w:val="0"/>
            <w:vAlign w:val="center"/>
          </w:tcPr>
          <w:p w14:paraId="6379FEF9">
            <w:pPr>
              <w:jc w:val="center"/>
              <w:rPr>
                <w:rFonts w:ascii="Times New Roman" w:hAnsi="Times New Roman" w:cs="Times New Roman"/>
                <w:sz w:val="21"/>
                <w:szCs w:val="21"/>
              </w:rPr>
            </w:pPr>
          </w:p>
        </w:tc>
        <w:tc>
          <w:tcPr>
            <w:tcW w:w="2126" w:type="dxa"/>
            <w:vMerge w:val="continue"/>
            <w:shd w:val="clear" w:color="auto" w:fill="E0E0E0"/>
            <w:noWrap w:val="0"/>
            <w:vAlign w:val="center"/>
          </w:tcPr>
          <w:p w14:paraId="22D0067D">
            <w:pPr>
              <w:jc w:val="center"/>
              <w:rPr>
                <w:rFonts w:ascii="Times New Roman" w:hAnsi="Times New Roman" w:cs="Times New Roman"/>
                <w:sz w:val="21"/>
                <w:szCs w:val="21"/>
              </w:rPr>
            </w:pPr>
          </w:p>
        </w:tc>
      </w:tr>
      <w:tr w14:paraId="4A995FEA">
        <w:tblPrEx>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75" w:hRule="atLeast"/>
          <w:tblHeader/>
        </w:trPr>
        <w:tc>
          <w:tcPr>
            <w:tcW w:w="1356" w:type="dxa"/>
            <w:vMerge w:val="continue"/>
            <w:tcBorders>
              <w:bottom w:val="single" w:color="auto" w:sz="4" w:space="0"/>
            </w:tcBorders>
            <w:shd w:val="clear" w:color="auto" w:fill="E0E0E0"/>
            <w:noWrap w:val="0"/>
            <w:vAlign w:val="center"/>
          </w:tcPr>
          <w:p w14:paraId="7D17B181">
            <w:pPr>
              <w:rPr>
                <w:rFonts w:ascii="Times New Roman" w:hAnsi="Times New Roman" w:cs="Times New Roman"/>
                <w:sz w:val="21"/>
                <w:szCs w:val="21"/>
              </w:rPr>
            </w:pPr>
          </w:p>
        </w:tc>
        <w:tc>
          <w:tcPr>
            <w:tcW w:w="1777" w:type="dxa"/>
            <w:vMerge w:val="continue"/>
            <w:tcBorders>
              <w:bottom w:val="single" w:color="auto" w:sz="4" w:space="0"/>
            </w:tcBorders>
            <w:shd w:val="clear" w:color="auto" w:fill="E0E0E0"/>
            <w:noWrap w:val="0"/>
            <w:vAlign w:val="center"/>
          </w:tcPr>
          <w:p w14:paraId="2575702A">
            <w:pPr>
              <w:jc w:val="center"/>
              <w:rPr>
                <w:rFonts w:ascii="Times New Roman" w:hAnsi="Times New Roman" w:cs="Times New Roman"/>
                <w:sz w:val="21"/>
                <w:szCs w:val="21"/>
              </w:rPr>
            </w:pPr>
          </w:p>
        </w:tc>
        <w:tc>
          <w:tcPr>
            <w:tcW w:w="1553" w:type="dxa"/>
            <w:tcBorders>
              <w:top w:val="single" w:color="auto" w:sz="4" w:space="0"/>
              <w:bottom w:val="single" w:color="auto" w:sz="4" w:space="0"/>
            </w:tcBorders>
            <w:shd w:val="clear" w:color="auto" w:fill="E0E0E0"/>
            <w:noWrap w:val="0"/>
            <w:vAlign w:val="center"/>
          </w:tcPr>
          <w:p w14:paraId="2317434C">
            <w:pPr>
              <w:spacing w:line="300" w:lineRule="exact"/>
              <w:jc w:val="center"/>
              <w:rPr>
                <w:rFonts w:ascii="Times New Roman" w:hAnsi="Times New Roman" w:cs="Times New Roman"/>
                <w:sz w:val="21"/>
                <w:szCs w:val="21"/>
              </w:rPr>
            </w:pPr>
            <w:r>
              <w:rPr>
                <w:rFonts w:ascii="Times New Roman" w:hAnsi="Times New Roman" w:cs="Times New Roman"/>
                <w:sz w:val="21"/>
                <w:szCs w:val="21"/>
              </w:rPr>
              <w:t>纬度</w:t>
            </w:r>
          </w:p>
        </w:tc>
        <w:tc>
          <w:tcPr>
            <w:tcW w:w="1556" w:type="dxa"/>
            <w:tcBorders>
              <w:bottom w:val="single" w:color="auto" w:sz="4" w:space="0"/>
            </w:tcBorders>
            <w:shd w:val="clear" w:color="auto" w:fill="E0E0E0"/>
            <w:noWrap w:val="0"/>
            <w:vAlign w:val="center"/>
          </w:tcPr>
          <w:p w14:paraId="664305AA">
            <w:pPr>
              <w:spacing w:line="300" w:lineRule="exact"/>
              <w:jc w:val="center"/>
              <w:rPr>
                <w:rFonts w:ascii="Times New Roman" w:hAnsi="Times New Roman" w:cs="Times New Roman"/>
                <w:sz w:val="21"/>
                <w:szCs w:val="21"/>
              </w:rPr>
            </w:pPr>
            <w:r>
              <w:rPr>
                <w:rFonts w:ascii="Times New Roman" w:hAnsi="Times New Roman" w:cs="Times New Roman"/>
                <w:sz w:val="21"/>
                <w:szCs w:val="21"/>
              </w:rPr>
              <w:t>经度</w:t>
            </w:r>
          </w:p>
        </w:tc>
        <w:tc>
          <w:tcPr>
            <w:tcW w:w="1035" w:type="dxa"/>
            <w:vMerge w:val="continue"/>
            <w:tcBorders>
              <w:bottom w:val="single" w:color="auto" w:sz="4" w:space="0"/>
            </w:tcBorders>
            <w:shd w:val="clear" w:color="auto" w:fill="E0E0E0"/>
            <w:noWrap w:val="0"/>
            <w:vAlign w:val="center"/>
          </w:tcPr>
          <w:p w14:paraId="07EEE801">
            <w:pPr>
              <w:spacing w:line="300" w:lineRule="exact"/>
              <w:jc w:val="center"/>
              <w:rPr>
                <w:rFonts w:ascii="Times New Roman" w:hAnsi="Times New Roman" w:cs="Times New Roman"/>
                <w:sz w:val="21"/>
                <w:szCs w:val="21"/>
              </w:rPr>
            </w:pPr>
          </w:p>
        </w:tc>
        <w:tc>
          <w:tcPr>
            <w:tcW w:w="1556" w:type="dxa"/>
            <w:vMerge w:val="continue"/>
            <w:tcBorders>
              <w:bottom w:val="single" w:color="auto" w:sz="4" w:space="0"/>
            </w:tcBorders>
            <w:shd w:val="clear" w:color="auto" w:fill="E0E0E0"/>
            <w:noWrap w:val="0"/>
            <w:vAlign w:val="center"/>
          </w:tcPr>
          <w:p w14:paraId="66B6F957">
            <w:pPr>
              <w:spacing w:line="300" w:lineRule="exact"/>
              <w:jc w:val="center"/>
              <w:rPr>
                <w:rFonts w:ascii="Times New Roman" w:hAnsi="Times New Roman" w:cs="Times New Roman"/>
                <w:sz w:val="21"/>
                <w:szCs w:val="21"/>
              </w:rPr>
            </w:pPr>
          </w:p>
        </w:tc>
        <w:tc>
          <w:tcPr>
            <w:tcW w:w="1548" w:type="dxa"/>
            <w:vMerge w:val="continue"/>
            <w:tcBorders>
              <w:bottom w:val="single" w:color="auto" w:sz="4" w:space="0"/>
            </w:tcBorders>
            <w:shd w:val="clear" w:color="auto" w:fill="E0E0E0"/>
            <w:noWrap w:val="0"/>
            <w:vAlign w:val="center"/>
          </w:tcPr>
          <w:p w14:paraId="1D47847D">
            <w:pPr>
              <w:spacing w:line="300" w:lineRule="exact"/>
              <w:jc w:val="center"/>
              <w:rPr>
                <w:rFonts w:ascii="Times New Roman" w:hAnsi="Times New Roman" w:cs="Times New Roman"/>
                <w:sz w:val="21"/>
                <w:szCs w:val="21"/>
              </w:rPr>
            </w:pPr>
          </w:p>
        </w:tc>
        <w:tc>
          <w:tcPr>
            <w:tcW w:w="1493" w:type="dxa"/>
            <w:vMerge w:val="continue"/>
            <w:tcBorders>
              <w:bottom w:val="single" w:color="auto" w:sz="4" w:space="0"/>
            </w:tcBorders>
            <w:shd w:val="clear" w:color="auto" w:fill="E0E0E0"/>
            <w:noWrap w:val="0"/>
            <w:vAlign w:val="center"/>
          </w:tcPr>
          <w:p w14:paraId="56D8EF5F">
            <w:pPr>
              <w:rPr>
                <w:rFonts w:ascii="Times New Roman" w:hAnsi="Times New Roman" w:cs="Times New Roman"/>
                <w:sz w:val="21"/>
                <w:szCs w:val="21"/>
              </w:rPr>
            </w:pPr>
          </w:p>
        </w:tc>
        <w:tc>
          <w:tcPr>
            <w:tcW w:w="2126" w:type="dxa"/>
            <w:vMerge w:val="continue"/>
            <w:tcBorders>
              <w:bottom w:val="single" w:color="auto" w:sz="4" w:space="0"/>
            </w:tcBorders>
            <w:shd w:val="clear" w:color="auto" w:fill="E0E0E0"/>
            <w:noWrap w:val="0"/>
            <w:vAlign w:val="center"/>
          </w:tcPr>
          <w:p w14:paraId="0535E301">
            <w:pPr>
              <w:rPr>
                <w:rFonts w:ascii="Times New Roman" w:hAnsi="Times New Roman" w:cs="Times New Roman"/>
                <w:sz w:val="21"/>
                <w:szCs w:val="21"/>
              </w:rPr>
            </w:pPr>
          </w:p>
        </w:tc>
      </w:tr>
      <w:tr w14:paraId="26D32A9D">
        <w:tblPrEx>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12" w:hRule="atLeast"/>
        </w:trPr>
        <w:tc>
          <w:tcPr>
            <w:tcW w:w="1356" w:type="dxa"/>
            <w:vMerge w:val="restart"/>
            <w:tcBorders>
              <w:top w:val="single" w:color="auto" w:sz="4" w:space="0"/>
            </w:tcBorders>
            <w:noWrap w:val="0"/>
            <w:vAlign w:val="center"/>
          </w:tcPr>
          <w:p w14:paraId="230FDFF9">
            <w:pPr>
              <w:spacing w:line="300" w:lineRule="exact"/>
              <w:jc w:val="center"/>
              <w:rPr>
                <w:rFonts w:hint="eastAsia" w:ascii="Times New Roman" w:hAnsi="Times New Roman" w:cs="Times New Roman"/>
                <w:sz w:val="21"/>
                <w:szCs w:val="21"/>
              </w:rPr>
            </w:pPr>
            <w:r>
              <w:rPr>
                <w:rFonts w:ascii="Times New Roman" w:hAnsi="Times New Roman" w:cs="Times New Roman"/>
                <w:sz w:val="21"/>
                <w:szCs w:val="21"/>
              </w:rPr>
              <w:t>环境空气</w:t>
            </w:r>
          </w:p>
        </w:tc>
        <w:tc>
          <w:tcPr>
            <w:tcW w:w="1777" w:type="dxa"/>
            <w:tcBorders>
              <w:top w:val="single" w:color="auto" w:sz="4" w:space="0"/>
            </w:tcBorders>
            <w:noWrap w:val="0"/>
            <w:vAlign w:val="center"/>
          </w:tcPr>
          <w:p w14:paraId="7FBBF9BF">
            <w:pPr>
              <w:jc w:val="center"/>
              <w:rPr>
                <w:rFonts w:hint="default" w:ascii="Times New Roman" w:hAnsi="Times New Roman" w:eastAsia="宋体" w:cs="Times New Roman"/>
                <w:sz w:val="21"/>
                <w:szCs w:val="21"/>
                <w:lang w:val="en-US" w:eastAsia="zh-CN"/>
              </w:rPr>
            </w:pPr>
            <w:r>
              <w:rPr>
                <w:rFonts w:hint="eastAsia" w:ascii="Times New Roman" w:hAnsi="Times New Roman" w:cs="Times New Roman"/>
                <w:sz w:val="21"/>
                <w:szCs w:val="21"/>
                <w:lang w:val="en-US" w:eastAsia="zh-CN"/>
              </w:rPr>
              <w:t>祁家堡村散户居民</w:t>
            </w:r>
          </w:p>
        </w:tc>
        <w:tc>
          <w:tcPr>
            <w:tcW w:w="1553" w:type="dxa"/>
            <w:tcBorders>
              <w:top w:val="single" w:color="auto" w:sz="4" w:space="0"/>
            </w:tcBorders>
            <w:noWrap w:val="0"/>
            <w:vAlign w:val="center"/>
          </w:tcPr>
          <w:p w14:paraId="0473490F">
            <w:pPr>
              <w:jc w:val="center"/>
              <w:rPr>
                <w:rFonts w:ascii="Times New Roman" w:hAnsi="Times New Roman" w:cs="Times New Roman"/>
                <w:sz w:val="21"/>
                <w:szCs w:val="21"/>
              </w:rPr>
            </w:pPr>
            <w:r>
              <w:rPr>
                <w:rFonts w:hint="eastAsia"/>
              </w:rPr>
              <w:t>123.83771138</w:t>
            </w:r>
          </w:p>
        </w:tc>
        <w:tc>
          <w:tcPr>
            <w:tcW w:w="1556" w:type="dxa"/>
            <w:tcBorders>
              <w:top w:val="single" w:color="auto" w:sz="4" w:space="0"/>
            </w:tcBorders>
            <w:noWrap w:val="0"/>
            <w:vAlign w:val="center"/>
          </w:tcPr>
          <w:p w14:paraId="5990A746">
            <w:pPr>
              <w:jc w:val="center"/>
              <w:rPr>
                <w:rFonts w:ascii="Times New Roman" w:hAnsi="Times New Roman" w:cs="Times New Roman"/>
                <w:sz w:val="21"/>
                <w:szCs w:val="21"/>
              </w:rPr>
            </w:pPr>
            <w:r>
              <w:rPr>
                <w:rFonts w:hint="eastAsia"/>
              </w:rPr>
              <w:t>40.93327892</w:t>
            </w:r>
          </w:p>
        </w:tc>
        <w:tc>
          <w:tcPr>
            <w:tcW w:w="1035" w:type="dxa"/>
            <w:tcBorders>
              <w:top w:val="single" w:color="auto" w:sz="4" w:space="0"/>
            </w:tcBorders>
            <w:noWrap w:val="0"/>
            <w:vAlign w:val="center"/>
          </w:tcPr>
          <w:p w14:paraId="4F963827">
            <w:pPr>
              <w:jc w:val="center"/>
              <w:rPr>
                <w:rFonts w:ascii="Times New Roman" w:hAnsi="Times New Roman" w:cs="Times New Roman"/>
                <w:sz w:val="21"/>
                <w:szCs w:val="21"/>
              </w:rPr>
            </w:pPr>
            <w:r>
              <w:rPr>
                <w:rFonts w:ascii="Times New Roman" w:hAnsi="Times New Roman" w:cs="Times New Roman"/>
                <w:sz w:val="21"/>
                <w:szCs w:val="21"/>
              </w:rPr>
              <w:t>E</w:t>
            </w:r>
          </w:p>
        </w:tc>
        <w:tc>
          <w:tcPr>
            <w:tcW w:w="1556" w:type="dxa"/>
            <w:tcBorders>
              <w:top w:val="single" w:color="auto" w:sz="4" w:space="0"/>
            </w:tcBorders>
            <w:noWrap w:val="0"/>
            <w:vAlign w:val="center"/>
          </w:tcPr>
          <w:p w14:paraId="79C9FFBE">
            <w:pPr>
              <w:jc w:val="center"/>
              <w:rPr>
                <w:rFonts w:ascii="Times New Roman" w:hAnsi="Times New Roman" w:cs="Times New Roman"/>
                <w:sz w:val="21"/>
                <w:szCs w:val="21"/>
              </w:rPr>
            </w:pPr>
            <w:r>
              <w:rPr>
                <w:rFonts w:hint="eastAsia" w:ascii="Times New Roman" w:hAnsi="Times New Roman" w:cs="Times New Roman"/>
                <w:sz w:val="21"/>
                <w:szCs w:val="21"/>
              </w:rPr>
              <w:t>170</w:t>
            </w:r>
          </w:p>
        </w:tc>
        <w:tc>
          <w:tcPr>
            <w:tcW w:w="1548" w:type="dxa"/>
            <w:tcBorders>
              <w:top w:val="single" w:color="auto" w:sz="4" w:space="0"/>
            </w:tcBorders>
            <w:noWrap w:val="0"/>
            <w:vAlign w:val="center"/>
          </w:tcPr>
          <w:p w14:paraId="6DD494DC">
            <w:pPr>
              <w:jc w:val="center"/>
              <w:rPr>
                <w:rFonts w:ascii="Times New Roman" w:hAnsi="Times New Roman" w:cs="Times New Roman"/>
                <w:sz w:val="21"/>
                <w:szCs w:val="21"/>
              </w:rPr>
            </w:pPr>
            <w:r>
              <w:rPr>
                <w:rFonts w:hint="eastAsia" w:ascii="Times New Roman" w:hAnsi="Times New Roman" w:cs="Times New Roman"/>
                <w:sz w:val="21"/>
                <w:szCs w:val="21"/>
                <w:lang w:val="en-US" w:eastAsia="zh-CN"/>
              </w:rPr>
              <w:t>200</w:t>
            </w:r>
            <w:r>
              <w:rPr>
                <w:rFonts w:ascii="Times New Roman" w:hAnsi="Times New Roman" w:cs="Times New Roman"/>
                <w:sz w:val="21"/>
                <w:szCs w:val="21"/>
              </w:rPr>
              <w:t>人</w:t>
            </w:r>
          </w:p>
        </w:tc>
        <w:tc>
          <w:tcPr>
            <w:tcW w:w="1493" w:type="dxa"/>
            <w:vMerge w:val="restart"/>
            <w:tcBorders>
              <w:top w:val="single" w:color="auto" w:sz="4" w:space="0"/>
            </w:tcBorders>
            <w:noWrap w:val="0"/>
            <w:vAlign w:val="center"/>
          </w:tcPr>
          <w:p w14:paraId="4920432C">
            <w:pPr>
              <w:spacing w:line="300" w:lineRule="exact"/>
              <w:jc w:val="center"/>
              <w:rPr>
                <w:rFonts w:ascii="Times New Roman" w:hAnsi="Times New Roman" w:cs="Times New Roman"/>
                <w:sz w:val="21"/>
                <w:szCs w:val="21"/>
              </w:rPr>
            </w:pPr>
            <w:r>
              <w:rPr>
                <w:rFonts w:ascii="Times New Roman" w:hAnsi="Times New Roman" w:cs="Times New Roman"/>
                <w:sz w:val="21"/>
                <w:szCs w:val="21"/>
              </w:rPr>
              <w:t>居民聚集区</w:t>
            </w:r>
          </w:p>
        </w:tc>
        <w:tc>
          <w:tcPr>
            <w:tcW w:w="2126" w:type="dxa"/>
            <w:vMerge w:val="restart"/>
            <w:tcBorders>
              <w:top w:val="single" w:color="auto" w:sz="4" w:space="0"/>
            </w:tcBorders>
            <w:noWrap w:val="0"/>
            <w:vAlign w:val="center"/>
          </w:tcPr>
          <w:p w14:paraId="1FBD497E">
            <w:pPr>
              <w:spacing w:line="300" w:lineRule="exact"/>
              <w:jc w:val="center"/>
              <w:rPr>
                <w:rFonts w:ascii="Times New Roman" w:hAnsi="Times New Roman" w:cs="Times New Roman"/>
                <w:sz w:val="21"/>
                <w:szCs w:val="21"/>
              </w:rPr>
            </w:pPr>
            <w:r>
              <w:rPr>
                <w:rFonts w:ascii="Times New Roman" w:hAnsi="Times New Roman" w:cs="Times New Roman"/>
                <w:sz w:val="21"/>
                <w:szCs w:val="21"/>
              </w:rPr>
              <w:t>《环境空气质量标准》（GB3095-2012）二级标准</w:t>
            </w:r>
          </w:p>
        </w:tc>
      </w:tr>
      <w:tr w14:paraId="2D22FEF1">
        <w:tblPrEx>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2" w:hRule="atLeast"/>
        </w:trPr>
        <w:tc>
          <w:tcPr>
            <w:tcW w:w="1356" w:type="dxa"/>
            <w:vMerge w:val="continue"/>
            <w:noWrap w:val="0"/>
            <w:vAlign w:val="center"/>
          </w:tcPr>
          <w:p w14:paraId="7AA40AC1">
            <w:pPr>
              <w:spacing w:line="300" w:lineRule="exact"/>
              <w:jc w:val="center"/>
              <w:rPr>
                <w:rFonts w:ascii="Times New Roman" w:hAnsi="Times New Roman" w:cs="Times New Roman"/>
                <w:sz w:val="21"/>
                <w:szCs w:val="21"/>
              </w:rPr>
            </w:pPr>
          </w:p>
        </w:tc>
        <w:tc>
          <w:tcPr>
            <w:tcW w:w="1777" w:type="dxa"/>
            <w:tcBorders>
              <w:top w:val="single" w:color="auto" w:sz="4" w:space="0"/>
            </w:tcBorders>
            <w:noWrap w:val="0"/>
            <w:vAlign w:val="center"/>
          </w:tcPr>
          <w:p w14:paraId="3141158E">
            <w:pPr>
              <w:jc w:val="center"/>
              <w:rPr>
                <w:rFonts w:ascii="Times New Roman" w:hAnsi="Times New Roman" w:cs="Times New Roman"/>
                <w:sz w:val="21"/>
                <w:szCs w:val="21"/>
              </w:rPr>
            </w:pPr>
            <w:r>
              <w:rPr>
                <w:rFonts w:hint="eastAsia" w:ascii="Times New Roman" w:hAnsi="Times New Roman" w:cs="Times New Roman"/>
                <w:sz w:val="21"/>
                <w:szCs w:val="21"/>
              </w:rPr>
              <w:t>部队训练场</w:t>
            </w:r>
          </w:p>
        </w:tc>
        <w:tc>
          <w:tcPr>
            <w:tcW w:w="1553" w:type="dxa"/>
            <w:tcBorders>
              <w:top w:val="single" w:color="auto" w:sz="4" w:space="0"/>
            </w:tcBorders>
            <w:noWrap w:val="0"/>
            <w:vAlign w:val="center"/>
          </w:tcPr>
          <w:p w14:paraId="1CD9E3A0">
            <w:pPr>
              <w:jc w:val="center"/>
              <w:rPr>
                <w:rFonts w:ascii="Times New Roman" w:hAnsi="Times New Roman" w:cs="Times New Roman"/>
                <w:sz w:val="21"/>
                <w:szCs w:val="21"/>
              </w:rPr>
            </w:pPr>
            <w:r>
              <w:rPr>
                <w:rFonts w:hint="eastAsia"/>
              </w:rPr>
              <w:t>123.83122669</w:t>
            </w:r>
          </w:p>
        </w:tc>
        <w:tc>
          <w:tcPr>
            <w:tcW w:w="1556" w:type="dxa"/>
            <w:tcBorders>
              <w:top w:val="single" w:color="auto" w:sz="4" w:space="0"/>
            </w:tcBorders>
            <w:noWrap w:val="0"/>
            <w:vAlign w:val="center"/>
          </w:tcPr>
          <w:p w14:paraId="6F6ED38B">
            <w:pPr>
              <w:jc w:val="center"/>
              <w:rPr>
                <w:rFonts w:ascii="Times New Roman" w:hAnsi="Times New Roman" w:cs="Times New Roman"/>
                <w:sz w:val="21"/>
                <w:szCs w:val="21"/>
              </w:rPr>
            </w:pPr>
            <w:r>
              <w:rPr>
                <w:rFonts w:hint="eastAsia"/>
              </w:rPr>
              <w:t>40.93004602</w:t>
            </w:r>
          </w:p>
        </w:tc>
        <w:tc>
          <w:tcPr>
            <w:tcW w:w="1035" w:type="dxa"/>
            <w:tcBorders>
              <w:top w:val="single" w:color="auto" w:sz="4" w:space="0"/>
            </w:tcBorders>
            <w:noWrap w:val="0"/>
            <w:vAlign w:val="center"/>
          </w:tcPr>
          <w:p w14:paraId="2DE75494">
            <w:pPr>
              <w:jc w:val="center"/>
              <w:rPr>
                <w:rFonts w:ascii="Times New Roman" w:hAnsi="Times New Roman" w:cs="Times New Roman"/>
                <w:sz w:val="21"/>
                <w:szCs w:val="21"/>
              </w:rPr>
            </w:pPr>
            <w:r>
              <w:rPr>
                <w:rFonts w:ascii="Times New Roman" w:hAnsi="Times New Roman" w:cs="Times New Roman"/>
                <w:sz w:val="21"/>
                <w:szCs w:val="21"/>
              </w:rPr>
              <w:t>NW</w:t>
            </w:r>
          </w:p>
        </w:tc>
        <w:tc>
          <w:tcPr>
            <w:tcW w:w="1556" w:type="dxa"/>
            <w:tcBorders>
              <w:top w:val="single" w:color="auto" w:sz="4" w:space="0"/>
            </w:tcBorders>
            <w:noWrap w:val="0"/>
            <w:vAlign w:val="center"/>
          </w:tcPr>
          <w:p w14:paraId="3B5E57E4">
            <w:pPr>
              <w:jc w:val="center"/>
              <w:rPr>
                <w:rFonts w:ascii="Times New Roman" w:hAnsi="Times New Roman" w:cs="Times New Roman"/>
                <w:sz w:val="21"/>
                <w:szCs w:val="21"/>
              </w:rPr>
            </w:pPr>
            <w:r>
              <w:rPr>
                <w:rFonts w:hint="eastAsia" w:ascii="Times New Roman" w:hAnsi="Times New Roman" w:cs="Times New Roman"/>
                <w:sz w:val="21"/>
                <w:szCs w:val="21"/>
              </w:rPr>
              <w:t>960</w:t>
            </w:r>
          </w:p>
        </w:tc>
        <w:tc>
          <w:tcPr>
            <w:tcW w:w="1548" w:type="dxa"/>
            <w:tcBorders>
              <w:top w:val="single" w:color="auto" w:sz="4" w:space="0"/>
            </w:tcBorders>
            <w:noWrap w:val="0"/>
            <w:vAlign w:val="center"/>
          </w:tcPr>
          <w:p w14:paraId="085066E2">
            <w:pPr>
              <w:jc w:val="center"/>
              <w:rPr>
                <w:rFonts w:ascii="Times New Roman" w:hAnsi="Times New Roman" w:cs="Times New Roman"/>
                <w:sz w:val="21"/>
                <w:szCs w:val="21"/>
              </w:rPr>
            </w:pPr>
            <w:r>
              <w:rPr>
                <w:rFonts w:hint="eastAsia" w:ascii="Times New Roman" w:hAnsi="Times New Roman" w:cs="Times New Roman"/>
                <w:sz w:val="21"/>
                <w:szCs w:val="21"/>
                <w:lang w:val="en-US" w:eastAsia="zh-CN"/>
              </w:rPr>
              <w:t>10</w:t>
            </w:r>
            <w:r>
              <w:rPr>
                <w:rFonts w:ascii="Times New Roman" w:hAnsi="Times New Roman" w:cs="Times New Roman"/>
                <w:sz w:val="21"/>
                <w:szCs w:val="21"/>
              </w:rPr>
              <w:t>人</w:t>
            </w:r>
          </w:p>
        </w:tc>
        <w:tc>
          <w:tcPr>
            <w:tcW w:w="1493" w:type="dxa"/>
            <w:vMerge w:val="continue"/>
            <w:noWrap w:val="0"/>
            <w:vAlign w:val="center"/>
          </w:tcPr>
          <w:p w14:paraId="1386D367">
            <w:pPr>
              <w:spacing w:line="300" w:lineRule="exact"/>
              <w:jc w:val="center"/>
              <w:rPr>
                <w:rFonts w:ascii="Times New Roman" w:hAnsi="Times New Roman" w:cs="Times New Roman"/>
                <w:sz w:val="21"/>
                <w:szCs w:val="21"/>
              </w:rPr>
            </w:pPr>
          </w:p>
        </w:tc>
        <w:tc>
          <w:tcPr>
            <w:tcW w:w="2126" w:type="dxa"/>
            <w:vMerge w:val="continue"/>
            <w:tcBorders>
              <w:top w:val="single" w:color="auto" w:sz="4" w:space="0"/>
            </w:tcBorders>
            <w:noWrap w:val="0"/>
            <w:vAlign w:val="center"/>
          </w:tcPr>
          <w:p w14:paraId="5E14C7F9">
            <w:pPr>
              <w:spacing w:line="300" w:lineRule="exact"/>
              <w:jc w:val="center"/>
              <w:rPr>
                <w:rFonts w:ascii="Times New Roman" w:hAnsi="Times New Roman" w:cs="Times New Roman"/>
                <w:sz w:val="21"/>
                <w:szCs w:val="21"/>
              </w:rPr>
            </w:pPr>
          </w:p>
        </w:tc>
      </w:tr>
      <w:tr w14:paraId="151AD490">
        <w:tblPrEx>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2" w:hRule="atLeast"/>
        </w:trPr>
        <w:tc>
          <w:tcPr>
            <w:tcW w:w="1356" w:type="dxa"/>
            <w:vMerge w:val="continue"/>
            <w:noWrap w:val="0"/>
            <w:vAlign w:val="center"/>
          </w:tcPr>
          <w:p w14:paraId="25048E04">
            <w:pPr>
              <w:spacing w:line="300" w:lineRule="exact"/>
              <w:jc w:val="center"/>
              <w:rPr>
                <w:rFonts w:ascii="Times New Roman" w:hAnsi="Times New Roman" w:cs="Times New Roman"/>
                <w:sz w:val="21"/>
                <w:szCs w:val="21"/>
              </w:rPr>
            </w:pPr>
          </w:p>
        </w:tc>
        <w:tc>
          <w:tcPr>
            <w:tcW w:w="1777" w:type="dxa"/>
            <w:tcBorders>
              <w:top w:val="single" w:color="auto" w:sz="4" w:space="0"/>
            </w:tcBorders>
            <w:noWrap w:val="0"/>
            <w:vAlign w:val="center"/>
          </w:tcPr>
          <w:p w14:paraId="6C38DEF4">
            <w:pPr>
              <w:jc w:val="center"/>
              <w:rPr>
                <w:rFonts w:ascii="Times New Roman" w:hAnsi="Times New Roman" w:cs="Times New Roman"/>
                <w:sz w:val="21"/>
                <w:szCs w:val="21"/>
              </w:rPr>
            </w:pPr>
            <w:r>
              <w:rPr>
                <w:rFonts w:hint="eastAsia" w:ascii="Times New Roman" w:hAnsi="Times New Roman" w:cs="Times New Roman"/>
                <w:sz w:val="21"/>
                <w:szCs w:val="21"/>
              </w:rPr>
              <w:t>部队</w:t>
            </w:r>
          </w:p>
        </w:tc>
        <w:tc>
          <w:tcPr>
            <w:tcW w:w="1553" w:type="dxa"/>
            <w:tcBorders>
              <w:top w:val="single" w:color="auto" w:sz="4" w:space="0"/>
            </w:tcBorders>
            <w:noWrap w:val="0"/>
            <w:vAlign w:val="center"/>
          </w:tcPr>
          <w:p w14:paraId="11A4224C">
            <w:pPr>
              <w:jc w:val="center"/>
              <w:rPr>
                <w:rFonts w:ascii="Times New Roman" w:hAnsi="Times New Roman" w:cs="Times New Roman"/>
                <w:sz w:val="21"/>
                <w:szCs w:val="21"/>
              </w:rPr>
            </w:pPr>
            <w:r>
              <w:rPr>
                <w:rFonts w:hint="eastAsia"/>
              </w:rPr>
              <w:t>123.84177800</w:t>
            </w:r>
          </w:p>
        </w:tc>
        <w:tc>
          <w:tcPr>
            <w:tcW w:w="1556" w:type="dxa"/>
            <w:tcBorders>
              <w:top w:val="single" w:color="auto" w:sz="4" w:space="0"/>
            </w:tcBorders>
            <w:noWrap w:val="0"/>
            <w:vAlign w:val="center"/>
          </w:tcPr>
          <w:p w14:paraId="0467C534">
            <w:pPr>
              <w:jc w:val="center"/>
              <w:rPr>
                <w:rFonts w:ascii="Times New Roman" w:hAnsi="Times New Roman" w:cs="Times New Roman"/>
                <w:sz w:val="21"/>
                <w:szCs w:val="21"/>
              </w:rPr>
            </w:pPr>
            <w:r>
              <w:rPr>
                <w:rFonts w:hint="eastAsia"/>
              </w:rPr>
              <w:t>40.93731123</w:t>
            </w:r>
          </w:p>
        </w:tc>
        <w:tc>
          <w:tcPr>
            <w:tcW w:w="1035" w:type="dxa"/>
            <w:tcBorders>
              <w:top w:val="single" w:color="auto" w:sz="4" w:space="0"/>
            </w:tcBorders>
            <w:noWrap w:val="0"/>
            <w:vAlign w:val="center"/>
          </w:tcPr>
          <w:p w14:paraId="189CAEBA">
            <w:pPr>
              <w:jc w:val="center"/>
              <w:rPr>
                <w:rFonts w:ascii="Times New Roman" w:hAnsi="Times New Roman" w:cs="Times New Roman"/>
                <w:sz w:val="21"/>
                <w:szCs w:val="21"/>
              </w:rPr>
            </w:pPr>
            <w:r>
              <w:rPr>
                <w:rFonts w:ascii="Times New Roman" w:hAnsi="Times New Roman" w:cs="Times New Roman"/>
                <w:sz w:val="21"/>
                <w:szCs w:val="21"/>
              </w:rPr>
              <w:t>NE</w:t>
            </w:r>
          </w:p>
        </w:tc>
        <w:tc>
          <w:tcPr>
            <w:tcW w:w="1556" w:type="dxa"/>
            <w:tcBorders>
              <w:top w:val="single" w:color="auto" w:sz="4" w:space="0"/>
            </w:tcBorders>
            <w:noWrap w:val="0"/>
            <w:vAlign w:val="center"/>
          </w:tcPr>
          <w:p w14:paraId="479E5511">
            <w:pPr>
              <w:jc w:val="center"/>
              <w:rPr>
                <w:rFonts w:ascii="Times New Roman" w:hAnsi="Times New Roman" w:cs="Times New Roman"/>
                <w:sz w:val="21"/>
                <w:szCs w:val="21"/>
              </w:rPr>
            </w:pPr>
            <w:r>
              <w:rPr>
                <w:rFonts w:hint="eastAsia" w:ascii="Times New Roman" w:hAnsi="Times New Roman" w:cs="Times New Roman"/>
                <w:sz w:val="21"/>
                <w:szCs w:val="21"/>
              </w:rPr>
              <w:t>1550</w:t>
            </w:r>
          </w:p>
        </w:tc>
        <w:tc>
          <w:tcPr>
            <w:tcW w:w="1548" w:type="dxa"/>
            <w:tcBorders>
              <w:top w:val="single" w:color="auto" w:sz="4" w:space="0"/>
            </w:tcBorders>
            <w:noWrap w:val="0"/>
            <w:vAlign w:val="center"/>
          </w:tcPr>
          <w:p w14:paraId="19F06799">
            <w:pPr>
              <w:jc w:val="center"/>
              <w:rPr>
                <w:rFonts w:ascii="Times New Roman" w:hAnsi="Times New Roman" w:cs="Times New Roman"/>
                <w:sz w:val="21"/>
                <w:szCs w:val="21"/>
              </w:rPr>
            </w:pPr>
            <w:r>
              <w:rPr>
                <w:rFonts w:hint="eastAsia" w:ascii="Times New Roman" w:hAnsi="Times New Roman" w:cs="Times New Roman"/>
                <w:sz w:val="21"/>
                <w:szCs w:val="21"/>
                <w:lang w:val="en-US" w:eastAsia="zh-CN"/>
              </w:rPr>
              <w:t>10</w:t>
            </w:r>
            <w:r>
              <w:rPr>
                <w:rFonts w:ascii="Times New Roman" w:hAnsi="Times New Roman" w:cs="Times New Roman"/>
                <w:sz w:val="21"/>
                <w:szCs w:val="21"/>
              </w:rPr>
              <w:t>人</w:t>
            </w:r>
          </w:p>
        </w:tc>
        <w:tc>
          <w:tcPr>
            <w:tcW w:w="1493" w:type="dxa"/>
            <w:vMerge w:val="continue"/>
            <w:noWrap w:val="0"/>
            <w:vAlign w:val="center"/>
          </w:tcPr>
          <w:p w14:paraId="76A0DCF3">
            <w:pPr>
              <w:spacing w:line="300" w:lineRule="exact"/>
              <w:jc w:val="center"/>
              <w:rPr>
                <w:rFonts w:ascii="Times New Roman" w:hAnsi="Times New Roman" w:cs="Times New Roman"/>
                <w:sz w:val="21"/>
                <w:szCs w:val="21"/>
              </w:rPr>
            </w:pPr>
          </w:p>
        </w:tc>
        <w:tc>
          <w:tcPr>
            <w:tcW w:w="2126" w:type="dxa"/>
            <w:vMerge w:val="continue"/>
            <w:tcBorders>
              <w:top w:val="single" w:color="auto" w:sz="4" w:space="0"/>
            </w:tcBorders>
            <w:noWrap w:val="0"/>
            <w:vAlign w:val="center"/>
          </w:tcPr>
          <w:p w14:paraId="269FC7E4">
            <w:pPr>
              <w:spacing w:line="300" w:lineRule="exact"/>
              <w:jc w:val="center"/>
              <w:rPr>
                <w:rFonts w:ascii="Times New Roman" w:hAnsi="Times New Roman" w:cs="Times New Roman"/>
                <w:sz w:val="21"/>
                <w:szCs w:val="21"/>
              </w:rPr>
            </w:pPr>
          </w:p>
        </w:tc>
      </w:tr>
      <w:tr w14:paraId="51D48BFF">
        <w:tblPrEx>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2" w:hRule="atLeast"/>
        </w:trPr>
        <w:tc>
          <w:tcPr>
            <w:tcW w:w="1356" w:type="dxa"/>
            <w:vMerge w:val="continue"/>
            <w:noWrap w:val="0"/>
            <w:vAlign w:val="center"/>
          </w:tcPr>
          <w:p w14:paraId="12767176">
            <w:pPr>
              <w:spacing w:line="300" w:lineRule="exact"/>
              <w:jc w:val="center"/>
              <w:rPr>
                <w:rFonts w:ascii="Times New Roman" w:hAnsi="Times New Roman" w:cs="Times New Roman"/>
                <w:sz w:val="21"/>
                <w:szCs w:val="21"/>
              </w:rPr>
            </w:pPr>
          </w:p>
        </w:tc>
        <w:tc>
          <w:tcPr>
            <w:tcW w:w="1777" w:type="dxa"/>
            <w:tcBorders>
              <w:top w:val="single" w:color="auto" w:sz="4" w:space="0"/>
            </w:tcBorders>
            <w:noWrap w:val="0"/>
            <w:vAlign w:val="center"/>
          </w:tcPr>
          <w:p w14:paraId="465D3F33">
            <w:pPr>
              <w:jc w:val="center"/>
              <w:rPr>
                <w:rFonts w:hint="eastAsia" w:ascii="Times New Roman" w:hAnsi="Times New Roman" w:cs="Times New Roman"/>
                <w:sz w:val="21"/>
                <w:szCs w:val="21"/>
              </w:rPr>
            </w:pPr>
            <w:r>
              <w:rPr>
                <w:rFonts w:hint="eastAsia" w:ascii="Times New Roman" w:hAnsi="Times New Roman" w:cs="Times New Roman"/>
                <w:sz w:val="21"/>
                <w:szCs w:val="21"/>
                <w:lang w:val="en-US" w:eastAsia="zh-CN"/>
              </w:rPr>
              <w:t>祁家堡村</w:t>
            </w:r>
          </w:p>
        </w:tc>
        <w:tc>
          <w:tcPr>
            <w:tcW w:w="1553" w:type="dxa"/>
            <w:tcBorders>
              <w:top w:val="single" w:color="auto" w:sz="4" w:space="0"/>
            </w:tcBorders>
            <w:noWrap w:val="0"/>
            <w:vAlign w:val="center"/>
          </w:tcPr>
          <w:p w14:paraId="3E93A68E">
            <w:pPr>
              <w:jc w:val="center"/>
              <w:rPr>
                <w:rFonts w:ascii="Times New Roman" w:hAnsi="Times New Roman" w:cs="Times New Roman"/>
                <w:sz w:val="21"/>
                <w:szCs w:val="21"/>
              </w:rPr>
            </w:pPr>
            <w:r>
              <w:rPr>
                <w:rFonts w:hint="eastAsia"/>
              </w:rPr>
              <w:t>123.82273011</w:t>
            </w:r>
          </w:p>
        </w:tc>
        <w:tc>
          <w:tcPr>
            <w:tcW w:w="1556" w:type="dxa"/>
            <w:tcBorders>
              <w:top w:val="single" w:color="auto" w:sz="4" w:space="0"/>
            </w:tcBorders>
            <w:noWrap w:val="0"/>
            <w:vAlign w:val="center"/>
          </w:tcPr>
          <w:p w14:paraId="76494F9F">
            <w:pPr>
              <w:jc w:val="center"/>
              <w:rPr>
                <w:rFonts w:ascii="Times New Roman" w:hAnsi="Times New Roman" w:cs="Times New Roman"/>
                <w:sz w:val="21"/>
                <w:szCs w:val="21"/>
              </w:rPr>
            </w:pPr>
            <w:r>
              <w:rPr>
                <w:rFonts w:hint="eastAsia"/>
              </w:rPr>
              <w:t>40.92694639</w:t>
            </w:r>
          </w:p>
        </w:tc>
        <w:tc>
          <w:tcPr>
            <w:tcW w:w="1035" w:type="dxa"/>
            <w:tcBorders>
              <w:top w:val="single" w:color="auto" w:sz="4" w:space="0"/>
            </w:tcBorders>
            <w:noWrap w:val="0"/>
            <w:vAlign w:val="center"/>
          </w:tcPr>
          <w:p w14:paraId="602A2E1B">
            <w:pPr>
              <w:jc w:val="center"/>
              <w:rPr>
                <w:rFonts w:hint="default" w:ascii="Times New Roman" w:hAnsi="Times New Roman" w:eastAsia="宋体" w:cs="Times New Roman"/>
                <w:sz w:val="21"/>
                <w:szCs w:val="21"/>
                <w:lang w:val="en-US" w:eastAsia="zh-CN"/>
              </w:rPr>
            </w:pPr>
            <w:r>
              <w:rPr>
                <w:rFonts w:hint="eastAsia" w:ascii="Times New Roman" w:hAnsi="Times New Roman" w:cs="Times New Roman"/>
                <w:sz w:val="21"/>
                <w:szCs w:val="21"/>
                <w:lang w:val="en-US" w:eastAsia="zh-CN"/>
              </w:rPr>
              <w:t>SW</w:t>
            </w:r>
          </w:p>
        </w:tc>
        <w:tc>
          <w:tcPr>
            <w:tcW w:w="1556" w:type="dxa"/>
            <w:tcBorders>
              <w:top w:val="single" w:color="auto" w:sz="4" w:space="0"/>
            </w:tcBorders>
            <w:noWrap w:val="0"/>
            <w:vAlign w:val="center"/>
          </w:tcPr>
          <w:p w14:paraId="565F70B8">
            <w:pPr>
              <w:jc w:val="center"/>
              <w:rPr>
                <w:rFonts w:hint="default" w:ascii="Times New Roman" w:hAnsi="Times New Roman" w:eastAsia="宋体" w:cs="Times New Roman"/>
                <w:sz w:val="21"/>
                <w:szCs w:val="21"/>
                <w:lang w:val="en-US" w:eastAsia="zh-CN"/>
              </w:rPr>
            </w:pPr>
            <w:r>
              <w:rPr>
                <w:rFonts w:hint="eastAsia" w:ascii="Times New Roman" w:hAnsi="Times New Roman" w:cs="Times New Roman"/>
                <w:sz w:val="21"/>
                <w:szCs w:val="21"/>
                <w:lang w:val="en-US" w:eastAsia="zh-CN"/>
              </w:rPr>
              <w:t>542</w:t>
            </w:r>
          </w:p>
        </w:tc>
        <w:tc>
          <w:tcPr>
            <w:tcW w:w="1548" w:type="dxa"/>
            <w:tcBorders>
              <w:top w:val="single" w:color="auto" w:sz="4" w:space="0"/>
            </w:tcBorders>
            <w:noWrap w:val="0"/>
            <w:vAlign w:val="center"/>
          </w:tcPr>
          <w:p w14:paraId="3C647AEA">
            <w:pPr>
              <w:jc w:val="center"/>
              <w:rPr>
                <w:rFonts w:hint="default" w:ascii="Times New Roman" w:hAnsi="Times New Roman" w:eastAsia="宋体" w:cs="Times New Roman"/>
                <w:sz w:val="21"/>
                <w:szCs w:val="21"/>
                <w:lang w:val="en-US" w:eastAsia="zh-CN"/>
              </w:rPr>
            </w:pPr>
            <w:r>
              <w:rPr>
                <w:rFonts w:hint="eastAsia" w:ascii="Times New Roman" w:hAnsi="Times New Roman" w:cs="Times New Roman"/>
                <w:sz w:val="21"/>
                <w:szCs w:val="21"/>
                <w:lang w:val="en-US" w:eastAsia="zh-CN"/>
              </w:rPr>
              <w:t>1200</w:t>
            </w:r>
            <w:r>
              <w:rPr>
                <w:rFonts w:ascii="Times New Roman" w:hAnsi="Times New Roman" w:cs="Times New Roman"/>
                <w:sz w:val="21"/>
                <w:szCs w:val="21"/>
              </w:rPr>
              <w:t>人</w:t>
            </w:r>
          </w:p>
        </w:tc>
        <w:tc>
          <w:tcPr>
            <w:tcW w:w="1493" w:type="dxa"/>
            <w:vMerge w:val="continue"/>
            <w:noWrap w:val="0"/>
            <w:vAlign w:val="center"/>
          </w:tcPr>
          <w:p w14:paraId="1CEC79CE">
            <w:pPr>
              <w:spacing w:line="300" w:lineRule="exact"/>
              <w:jc w:val="center"/>
              <w:rPr>
                <w:rFonts w:ascii="Times New Roman" w:hAnsi="Times New Roman" w:cs="Times New Roman"/>
                <w:sz w:val="21"/>
                <w:szCs w:val="21"/>
              </w:rPr>
            </w:pPr>
          </w:p>
        </w:tc>
        <w:tc>
          <w:tcPr>
            <w:tcW w:w="2126" w:type="dxa"/>
            <w:vMerge w:val="continue"/>
            <w:tcBorders>
              <w:top w:val="single" w:color="auto" w:sz="4" w:space="0"/>
            </w:tcBorders>
            <w:noWrap w:val="0"/>
            <w:vAlign w:val="center"/>
          </w:tcPr>
          <w:p w14:paraId="32D883BF">
            <w:pPr>
              <w:spacing w:line="300" w:lineRule="exact"/>
              <w:jc w:val="center"/>
              <w:rPr>
                <w:rFonts w:ascii="Times New Roman" w:hAnsi="Times New Roman" w:cs="Times New Roman"/>
                <w:sz w:val="21"/>
                <w:szCs w:val="21"/>
              </w:rPr>
            </w:pPr>
          </w:p>
        </w:tc>
      </w:tr>
      <w:tr w14:paraId="437465A7">
        <w:tblPrEx>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2" w:hRule="atLeast"/>
        </w:trPr>
        <w:tc>
          <w:tcPr>
            <w:tcW w:w="1356" w:type="dxa"/>
            <w:vMerge w:val="continue"/>
            <w:noWrap w:val="0"/>
            <w:vAlign w:val="center"/>
          </w:tcPr>
          <w:p w14:paraId="489D6F1A">
            <w:pPr>
              <w:spacing w:line="300" w:lineRule="exact"/>
              <w:jc w:val="center"/>
              <w:rPr>
                <w:rFonts w:ascii="Times New Roman" w:hAnsi="Times New Roman" w:cs="Times New Roman"/>
                <w:sz w:val="21"/>
                <w:szCs w:val="21"/>
              </w:rPr>
            </w:pPr>
          </w:p>
        </w:tc>
        <w:tc>
          <w:tcPr>
            <w:tcW w:w="1777" w:type="dxa"/>
            <w:tcBorders>
              <w:top w:val="single" w:color="auto" w:sz="4" w:space="0"/>
            </w:tcBorders>
            <w:noWrap w:val="0"/>
            <w:vAlign w:val="center"/>
          </w:tcPr>
          <w:p w14:paraId="55282A14">
            <w:pPr>
              <w:jc w:val="center"/>
              <w:rPr>
                <w:rFonts w:hint="eastAsia" w:ascii="Times New Roman" w:hAnsi="Times New Roman" w:cs="Times New Roman"/>
                <w:sz w:val="21"/>
                <w:szCs w:val="21"/>
              </w:rPr>
            </w:pPr>
            <w:r>
              <w:rPr>
                <w:rFonts w:hint="eastAsia" w:ascii="Times New Roman" w:hAnsi="Times New Roman" w:cs="Times New Roman"/>
                <w:sz w:val="21"/>
                <w:szCs w:val="21"/>
              </w:rPr>
              <w:t>四道河子</w:t>
            </w:r>
          </w:p>
        </w:tc>
        <w:tc>
          <w:tcPr>
            <w:tcW w:w="1553" w:type="dxa"/>
            <w:tcBorders>
              <w:top w:val="single" w:color="auto" w:sz="4" w:space="0"/>
            </w:tcBorders>
            <w:noWrap w:val="0"/>
            <w:vAlign w:val="center"/>
          </w:tcPr>
          <w:p w14:paraId="738A4F9A">
            <w:pPr>
              <w:jc w:val="center"/>
              <w:rPr>
                <w:rFonts w:hint="eastAsia"/>
              </w:rPr>
            </w:pPr>
            <w:r>
              <w:rPr>
                <w:rFonts w:hint="eastAsia"/>
              </w:rPr>
              <w:t>123.84248472</w:t>
            </w:r>
          </w:p>
        </w:tc>
        <w:tc>
          <w:tcPr>
            <w:tcW w:w="1556" w:type="dxa"/>
            <w:tcBorders>
              <w:top w:val="single" w:color="auto" w:sz="4" w:space="0"/>
            </w:tcBorders>
            <w:noWrap w:val="0"/>
            <w:vAlign w:val="center"/>
          </w:tcPr>
          <w:p w14:paraId="0C1C5BD6">
            <w:pPr>
              <w:jc w:val="center"/>
              <w:rPr>
                <w:rFonts w:hint="eastAsia"/>
              </w:rPr>
            </w:pPr>
            <w:r>
              <w:rPr>
                <w:rFonts w:hint="eastAsia"/>
              </w:rPr>
              <w:t>40.94104133</w:t>
            </w:r>
          </w:p>
        </w:tc>
        <w:tc>
          <w:tcPr>
            <w:tcW w:w="1035" w:type="dxa"/>
            <w:tcBorders>
              <w:top w:val="single" w:color="auto" w:sz="4" w:space="0"/>
            </w:tcBorders>
            <w:noWrap w:val="0"/>
            <w:vAlign w:val="center"/>
          </w:tcPr>
          <w:p w14:paraId="43401EB9">
            <w:pPr>
              <w:jc w:val="center"/>
              <w:rPr>
                <w:rFonts w:ascii="Times New Roman" w:hAnsi="Times New Roman" w:cs="Times New Roman"/>
                <w:sz w:val="21"/>
                <w:szCs w:val="21"/>
              </w:rPr>
            </w:pPr>
            <w:r>
              <w:rPr>
                <w:rFonts w:ascii="Times New Roman" w:hAnsi="Times New Roman" w:cs="Times New Roman"/>
                <w:sz w:val="21"/>
                <w:szCs w:val="21"/>
              </w:rPr>
              <w:t>NE</w:t>
            </w:r>
          </w:p>
        </w:tc>
        <w:tc>
          <w:tcPr>
            <w:tcW w:w="1556" w:type="dxa"/>
            <w:tcBorders>
              <w:top w:val="single" w:color="auto" w:sz="4" w:space="0"/>
            </w:tcBorders>
            <w:noWrap w:val="0"/>
            <w:vAlign w:val="center"/>
          </w:tcPr>
          <w:p w14:paraId="4E92C363">
            <w:pPr>
              <w:jc w:val="center"/>
              <w:rPr>
                <w:rFonts w:hint="default" w:ascii="Times New Roman" w:hAnsi="Times New Roman" w:eastAsia="宋体" w:cs="Times New Roman"/>
                <w:sz w:val="21"/>
                <w:szCs w:val="21"/>
                <w:lang w:val="en-US" w:eastAsia="zh-CN"/>
              </w:rPr>
            </w:pPr>
            <w:r>
              <w:rPr>
                <w:rFonts w:hint="eastAsia" w:ascii="Times New Roman" w:hAnsi="Times New Roman" w:cs="Times New Roman"/>
                <w:sz w:val="21"/>
                <w:szCs w:val="21"/>
                <w:lang w:val="en-US" w:eastAsia="zh-CN"/>
              </w:rPr>
              <w:t>883</w:t>
            </w:r>
          </w:p>
        </w:tc>
        <w:tc>
          <w:tcPr>
            <w:tcW w:w="1548" w:type="dxa"/>
            <w:tcBorders>
              <w:top w:val="single" w:color="auto" w:sz="4" w:space="0"/>
            </w:tcBorders>
            <w:noWrap w:val="0"/>
            <w:vAlign w:val="center"/>
          </w:tcPr>
          <w:p w14:paraId="1E970992">
            <w:pPr>
              <w:jc w:val="center"/>
              <w:rPr>
                <w:rFonts w:hint="default" w:ascii="Times New Roman" w:hAnsi="Times New Roman" w:eastAsia="宋体" w:cs="Times New Roman"/>
                <w:sz w:val="21"/>
                <w:szCs w:val="21"/>
                <w:lang w:val="en-US" w:eastAsia="zh-CN"/>
              </w:rPr>
            </w:pPr>
            <w:r>
              <w:rPr>
                <w:rFonts w:hint="eastAsia" w:ascii="Times New Roman" w:hAnsi="Times New Roman" w:cs="Times New Roman"/>
                <w:sz w:val="21"/>
                <w:szCs w:val="21"/>
                <w:lang w:val="en-US" w:eastAsia="zh-CN"/>
              </w:rPr>
              <w:t>60</w:t>
            </w:r>
            <w:r>
              <w:rPr>
                <w:rFonts w:ascii="Times New Roman" w:hAnsi="Times New Roman" w:cs="Times New Roman"/>
                <w:sz w:val="21"/>
                <w:szCs w:val="21"/>
              </w:rPr>
              <w:t>人</w:t>
            </w:r>
          </w:p>
        </w:tc>
        <w:tc>
          <w:tcPr>
            <w:tcW w:w="1493" w:type="dxa"/>
            <w:vMerge w:val="continue"/>
            <w:noWrap w:val="0"/>
            <w:vAlign w:val="center"/>
          </w:tcPr>
          <w:p w14:paraId="4A082C61">
            <w:pPr>
              <w:spacing w:line="300" w:lineRule="exact"/>
              <w:jc w:val="center"/>
              <w:rPr>
                <w:rFonts w:ascii="Times New Roman" w:hAnsi="Times New Roman" w:cs="Times New Roman"/>
                <w:sz w:val="21"/>
                <w:szCs w:val="21"/>
              </w:rPr>
            </w:pPr>
          </w:p>
        </w:tc>
        <w:tc>
          <w:tcPr>
            <w:tcW w:w="2126" w:type="dxa"/>
            <w:vMerge w:val="continue"/>
            <w:tcBorders>
              <w:top w:val="single" w:color="auto" w:sz="4" w:space="0"/>
            </w:tcBorders>
            <w:noWrap w:val="0"/>
            <w:vAlign w:val="center"/>
          </w:tcPr>
          <w:p w14:paraId="342AA018">
            <w:pPr>
              <w:spacing w:line="300" w:lineRule="exact"/>
              <w:jc w:val="center"/>
              <w:rPr>
                <w:rFonts w:ascii="Times New Roman" w:hAnsi="Times New Roman" w:cs="Times New Roman"/>
                <w:sz w:val="21"/>
                <w:szCs w:val="21"/>
              </w:rPr>
            </w:pPr>
          </w:p>
        </w:tc>
      </w:tr>
      <w:tr w14:paraId="2C2004BB">
        <w:tblPrEx>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2" w:hRule="atLeast"/>
        </w:trPr>
        <w:tc>
          <w:tcPr>
            <w:tcW w:w="1356" w:type="dxa"/>
            <w:vMerge w:val="continue"/>
            <w:noWrap w:val="0"/>
            <w:vAlign w:val="center"/>
          </w:tcPr>
          <w:p w14:paraId="54436918">
            <w:pPr>
              <w:spacing w:line="300" w:lineRule="exact"/>
              <w:jc w:val="center"/>
              <w:rPr>
                <w:rFonts w:ascii="Times New Roman" w:hAnsi="Times New Roman" w:cs="Times New Roman"/>
                <w:sz w:val="21"/>
                <w:szCs w:val="21"/>
              </w:rPr>
            </w:pPr>
          </w:p>
        </w:tc>
        <w:tc>
          <w:tcPr>
            <w:tcW w:w="1777" w:type="dxa"/>
            <w:tcBorders>
              <w:top w:val="single" w:color="auto" w:sz="4" w:space="0"/>
            </w:tcBorders>
            <w:noWrap w:val="0"/>
            <w:vAlign w:val="center"/>
          </w:tcPr>
          <w:p w14:paraId="635CBBCF">
            <w:pPr>
              <w:jc w:val="center"/>
              <w:rPr>
                <w:rFonts w:ascii="Times New Roman" w:hAnsi="Times New Roman" w:cs="Times New Roman"/>
                <w:sz w:val="21"/>
                <w:szCs w:val="21"/>
              </w:rPr>
            </w:pPr>
            <w:r>
              <w:rPr>
                <w:rFonts w:hint="eastAsia" w:ascii="Times New Roman" w:hAnsi="Times New Roman" w:cs="Times New Roman"/>
                <w:sz w:val="21"/>
                <w:szCs w:val="21"/>
              </w:rPr>
              <w:t>五道沟</w:t>
            </w:r>
          </w:p>
        </w:tc>
        <w:tc>
          <w:tcPr>
            <w:tcW w:w="1553" w:type="dxa"/>
            <w:tcBorders>
              <w:top w:val="single" w:color="auto" w:sz="4" w:space="0"/>
            </w:tcBorders>
            <w:noWrap w:val="0"/>
            <w:vAlign w:val="center"/>
          </w:tcPr>
          <w:p w14:paraId="5B4D088E">
            <w:pPr>
              <w:jc w:val="center"/>
              <w:rPr>
                <w:rFonts w:ascii="Times New Roman" w:hAnsi="Times New Roman" w:cs="Times New Roman"/>
                <w:sz w:val="21"/>
                <w:szCs w:val="21"/>
              </w:rPr>
            </w:pPr>
            <w:r>
              <w:rPr>
                <w:rFonts w:hint="eastAsia"/>
              </w:rPr>
              <w:t>123.84650877</w:t>
            </w:r>
          </w:p>
        </w:tc>
        <w:tc>
          <w:tcPr>
            <w:tcW w:w="1556" w:type="dxa"/>
            <w:tcBorders>
              <w:top w:val="single" w:color="auto" w:sz="4" w:space="0"/>
            </w:tcBorders>
            <w:noWrap w:val="0"/>
            <w:vAlign w:val="center"/>
          </w:tcPr>
          <w:p w14:paraId="0C6E6F38">
            <w:pPr>
              <w:jc w:val="center"/>
              <w:rPr>
                <w:rFonts w:ascii="Times New Roman" w:hAnsi="Times New Roman" w:cs="Times New Roman"/>
                <w:sz w:val="21"/>
                <w:szCs w:val="21"/>
              </w:rPr>
            </w:pPr>
            <w:r>
              <w:rPr>
                <w:rFonts w:hint="eastAsia"/>
              </w:rPr>
              <w:t>40.94573847</w:t>
            </w:r>
          </w:p>
        </w:tc>
        <w:tc>
          <w:tcPr>
            <w:tcW w:w="1035" w:type="dxa"/>
            <w:tcBorders>
              <w:top w:val="single" w:color="auto" w:sz="4" w:space="0"/>
            </w:tcBorders>
            <w:noWrap w:val="0"/>
            <w:vAlign w:val="center"/>
          </w:tcPr>
          <w:p w14:paraId="0C03BA60">
            <w:pPr>
              <w:jc w:val="center"/>
              <w:rPr>
                <w:rFonts w:ascii="Times New Roman" w:hAnsi="Times New Roman" w:cs="Times New Roman"/>
                <w:sz w:val="21"/>
                <w:szCs w:val="21"/>
              </w:rPr>
            </w:pPr>
            <w:r>
              <w:rPr>
                <w:rFonts w:ascii="Times New Roman" w:hAnsi="Times New Roman" w:cs="Times New Roman"/>
                <w:sz w:val="21"/>
                <w:szCs w:val="21"/>
              </w:rPr>
              <w:t>SE</w:t>
            </w:r>
          </w:p>
        </w:tc>
        <w:tc>
          <w:tcPr>
            <w:tcW w:w="1556" w:type="dxa"/>
            <w:tcBorders>
              <w:top w:val="single" w:color="auto" w:sz="4" w:space="0"/>
            </w:tcBorders>
            <w:noWrap w:val="0"/>
            <w:vAlign w:val="center"/>
          </w:tcPr>
          <w:p w14:paraId="66EC4A44">
            <w:pPr>
              <w:jc w:val="center"/>
              <w:rPr>
                <w:rFonts w:ascii="Times New Roman" w:hAnsi="Times New Roman" w:cs="Times New Roman"/>
                <w:sz w:val="21"/>
                <w:szCs w:val="21"/>
              </w:rPr>
            </w:pPr>
            <w:r>
              <w:rPr>
                <w:rFonts w:hint="eastAsia" w:ascii="Times New Roman" w:hAnsi="Times New Roman" w:cs="Times New Roman"/>
                <w:sz w:val="21"/>
                <w:szCs w:val="21"/>
              </w:rPr>
              <w:t>1300</w:t>
            </w:r>
          </w:p>
        </w:tc>
        <w:tc>
          <w:tcPr>
            <w:tcW w:w="1548" w:type="dxa"/>
            <w:tcBorders>
              <w:top w:val="single" w:color="auto" w:sz="4" w:space="0"/>
            </w:tcBorders>
            <w:noWrap w:val="0"/>
            <w:vAlign w:val="center"/>
          </w:tcPr>
          <w:p w14:paraId="38828BD2">
            <w:pPr>
              <w:jc w:val="center"/>
              <w:rPr>
                <w:rFonts w:ascii="Times New Roman" w:hAnsi="Times New Roman" w:cs="Times New Roman"/>
                <w:sz w:val="21"/>
                <w:szCs w:val="21"/>
              </w:rPr>
            </w:pPr>
            <w:r>
              <w:rPr>
                <w:rFonts w:hint="eastAsia" w:ascii="Times New Roman" w:hAnsi="Times New Roman" w:cs="Times New Roman"/>
                <w:sz w:val="21"/>
                <w:szCs w:val="21"/>
                <w:lang w:val="en-US" w:eastAsia="zh-CN"/>
              </w:rPr>
              <w:t>4</w:t>
            </w:r>
            <w:r>
              <w:rPr>
                <w:rFonts w:hint="eastAsia" w:ascii="Times New Roman" w:hAnsi="Times New Roman" w:cs="Times New Roman"/>
                <w:sz w:val="21"/>
                <w:szCs w:val="21"/>
              </w:rPr>
              <w:t>0</w:t>
            </w:r>
            <w:r>
              <w:rPr>
                <w:rFonts w:ascii="Times New Roman" w:hAnsi="Times New Roman" w:cs="Times New Roman"/>
                <w:sz w:val="21"/>
                <w:szCs w:val="21"/>
              </w:rPr>
              <w:t>人</w:t>
            </w:r>
          </w:p>
        </w:tc>
        <w:tc>
          <w:tcPr>
            <w:tcW w:w="1493" w:type="dxa"/>
            <w:vMerge w:val="continue"/>
            <w:noWrap w:val="0"/>
            <w:vAlign w:val="center"/>
          </w:tcPr>
          <w:p w14:paraId="50B55A2E">
            <w:pPr>
              <w:spacing w:line="300" w:lineRule="exact"/>
              <w:jc w:val="center"/>
              <w:rPr>
                <w:rFonts w:ascii="Times New Roman" w:hAnsi="Times New Roman" w:cs="Times New Roman"/>
                <w:sz w:val="21"/>
                <w:szCs w:val="21"/>
              </w:rPr>
            </w:pPr>
          </w:p>
        </w:tc>
        <w:tc>
          <w:tcPr>
            <w:tcW w:w="2126" w:type="dxa"/>
            <w:vMerge w:val="continue"/>
            <w:tcBorders>
              <w:top w:val="single" w:color="auto" w:sz="4" w:space="0"/>
            </w:tcBorders>
            <w:noWrap w:val="0"/>
            <w:vAlign w:val="center"/>
          </w:tcPr>
          <w:p w14:paraId="7B8BE60C">
            <w:pPr>
              <w:spacing w:line="300" w:lineRule="exact"/>
              <w:jc w:val="center"/>
              <w:rPr>
                <w:rFonts w:ascii="Times New Roman" w:hAnsi="Times New Roman" w:cs="Times New Roman"/>
                <w:sz w:val="21"/>
                <w:szCs w:val="21"/>
              </w:rPr>
            </w:pPr>
          </w:p>
        </w:tc>
      </w:tr>
      <w:tr w14:paraId="53520C69">
        <w:tblPrEx>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2" w:hRule="atLeast"/>
        </w:trPr>
        <w:tc>
          <w:tcPr>
            <w:tcW w:w="1356" w:type="dxa"/>
            <w:vMerge w:val="continue"/>
            <w:noWrap w:val="0"/>
            <w:vAlign w:val="center"/>
          </w:tcPr>
          <w:p w14:paraId="76E1F4A9">
            <w:pPr>
              <w:spacing w:line="300" w:lineRule="exact"/>
              <w:jc w:val="center"/>
              <w:rPr>
                <w:rFonts w:ascii="Times New Roman" w:hAnsi="Times New Roman" w:cs="Times New Roman"/>
                <w:sz w:val="21"/>
                <w:szCs w:val="21"/>
              </w:rPr>
            </w:pPr>
          </w:p>
        </w:tc>
        <w:tc>
          <w:tcPr>
            <w:tcW w:w="1777" w:type="dxa"/>
            <w:tcBorders>
              <w:top w:val="single" w:color="auto" w:sz="4" w:space="0"/>
            </w:tcBorders>
            <w:noWrap w:val="0"/>
            <w:vAlign w:val="center"/>
          </w:tcPr>
          <w:p w14:paraId="70FE96AE">
            <w:pPr>
              <w:jc w:val="center"/>
              <w:rPr>
                <w:rFonts w:hint="eastAsia" w:ascii="Times New Roman" w:hAnsi="Times New Roman" w:cs="Times New Roman"/>
                <w:sz w:val="21"/>
                <w:szCs w:val="21"/>
              </w:rPr>
            </w:pPr>
            <w:r>
              <w:rPr>
                <w:rFonts w:hint="eastAsia" w:ascii="Times New Roman" w:hAnsi="Times New Roman" w:cs="Times New Roman"/>
                <w:sz w:val="21"/>
                <w:szCs w:val="21"/>
              </w:rPr>
              <w:t>杨家堡村</w:t>
            </w:r>
          </w:p>
        </w:tc>
        <w:tc>
          <w:tcPr>
            <w:tcW w:w="1553" w:type="dxa"/>
            <w:tcBorders>
              <w:top w:val="single" w:color="auto" w:sz="4" w:space="0"/>
            </w:tcBorders>
            <w:noWrap w:val="0"/>
            <w:vAlign w:val="center"/>
          </w:tcPr>
          <w:p w14:paraId="7A647FFE">
            <w:pPr>
              <w:jc w:val="center"/>
              <w:rPr>
                <w:rFonts w:ascii="Times New Roman" w:hAnsi="Times New Roman" w:cs="Times New Roman"/>
                <w:sz w:val="21"/>
                <w:szCs w:val="21"/>
              </w:rPr>
            </w:pPr>
            <w:r>
              <w:rPr>
                <w:rFonts w:ascii="Times New Roman" w:hAnsi="Times New Roman" w:cs="Times New Roman"/>
                <w:sz w:val="21"/>
                <w:szCs w:val="21"/>
              </w:rPr>
              <w:t>41.086662</w:t>
            </w:r>
          </w:p>
        </w:tc>
        <w:tc>
          <w:tcPr>
            <w:tcW w:w="1556" w:type="dxa"/>
            <w:tcBorders>
              <w:top w:val="single" w:color="auto" w:sz="4" w:space="0"/>
            </w:tcBorders>
            <w:noWrap w:val="0"/>
            <w:vAlign w:val="center"/>
          </w:tcPr>
          <w:p w14:paraId="4279D072">
            <w:pPr>
              <w:jc w:val="center"/>
              <w:rPr>
                <w:rFonts w:ascii="Times New Roman" w:hAnsi="Times New Roman" w:cs="Times New Roman"/>
                <w:sz w:val="21"/>
                <w:szCs w:val="21"/>
              </w:rPr>
            </w:pPr>
            <w:r>
              <w:rPr>
                <w:rFonts w:ascii="Times New Roman" w:hAnsi="Times New Roman" w:cs="Times New Roman"/>
                <w:sz w:val="21"/>
                <w:szCs w:val="21"/>
              </w:rPr>
              <w:t>122.846117</w:t>
            </w:r>
          </w:p>
        </w:tc>
        <w:tc>
          <w:tcPr>
            <w:tcW w:w="1035" w:type="dxa"/>
            <w:tcBorders>
              <w:top w:val="single" w:color="auto" w:sz="4" w:space="0"/>
            </w:tcBorders>
            <w:noWrap w:val="0"/>
            <w:vAlign w:val="center"/>
          </w:tcPr>
          <w:p w14:paraId="1915336D">
            <w:pPr>
              <w:jc w:val="center"/>
              <w:rPr>
                <w:rFonts w:ascii="Times New Roman" w:hAnsi="Times New Roman" w:cs="Times New Roman"/>
                <w:sz w:val="21"/>
                <w:szCs w:val="21"/>
              </w:rPr>
            </w:pPr>
            <w:r>
              <w:rPr>
                <w:rFonts w:ascii="Times New Roman" w:hAnsi="Times New Roman" w:cs="Times New Roman"/>
                <w:sz w:val="21"/>
                <w:szCs w:val="21"/>
              </w:rPr>
              <w:t>NW</w:t>
            </w:r>
          </w:p>
        </w:tc>
        <w:tc>
          <w:tcPr>
            <w:tcW w:w="1556" w:type="dxa"/>
            <w:tcBorders>
              <w:top w:val="single" w:color="auto" w:sz="4" w:space="0"/>
            </w:tcBorders>
            <w:noWrap w:val="0"/>
            <w:vAlign w:val="center"/>
          </w:tcPr>
          <w:p w14:paraId="1E8F71BF">
            <w:pPr>
              <w:jc w:val="center"/>
              <w:rPr>
                <w:rFonts w:ascii="Times New Roman" w:hAnsi="Times New Roman" w:cs="Times New Roman"/>
                <w:sz w:val="21"/>
                <w:szCs w:val="21"/>
              </w:rPr>
            </w:pPr>
            <w:r>
              <w:rPr>
                <w:rFonts w:hint="eastAsia" w:ascii="Times New Roman" w:hAnsi="Times New Roman" w:cs="Times New Roman"/>
                <w:sz w:val="21"/>
                <w:szCs w:val="21"/>
              </w:rPr>
              <w:t>1530</w:t>
            </w:r>
          </w:p>
        </w:tc>
        <w:tc>
          <w:tcPr>
            <w:tcW w:w="1548" w:type="dxa"/>
            <w:tcBorders>
              <w:top w:val="single" w:color="auto" w:sz="4" w:space="0"/>
            </w:tcBorders>
            <w:noWrap w:val="0"/>
            <w:vAlign w:val="center"/>
          </w:tcPr>
          <w:p w14:paraId="296FEB99">
            <w:pPr>
              <w:jc w:val="center"/>
              <w:rPr>
                <w:rFonts w:ascii="Times New Roman" w:hAnsi="Times New Roman" w:cs="Times New Roman"/>
                <w:sz w:val="21"/>
                <w:szCs w:val="21"/>
              </w:rPr>
            </w:pPr>
            <w:r>
              <w:rPr>
                <w:rFonts w:hint="eastAsia" w:ascii="Times New Roman" w:hAnsi="Times New Roman" w:cs="Times New Roman"/>
                <w:sz w:val="21"/>
                <w:szCs w:val="21"/>
                <w:lang w:val="en-US" w:eastAsia="zh-CN"/>
              </w:rPr>
              <w:t>2</w:t>
            </w:r>
            <w:r>
              <w:rPr>
                <w:rFonts w:hint="eastAsia" w:ascii="Times New Roman" w:hAnsi="Times New Roman" w:cs="Times New Roman"/>
                <w:sz w:val="21"/>
                <w:szCs w:val="21"/>
              </w:rPr>
              <w:t>0</w:t>
            </w:r>
            <w:r>
              <w:rPr>
                <w:rFonts w:ascii="Times New Roman" w:hAnsi="Times New Roman" w:cs="Times New Roman"/>
                <w:sz w:val="21"/>
                <w:szCs w:val="21"/>
              </w:rPr>
              <w:t>人</w:t>
            </w:r>
          </w:p>
        </w:tc>
        <w:tc>
          <w:tcPr>
            <w:tcW w:w="1493" w:type="dxa"/>
            <w:vMerge w:val="continue"/>
            <w:noWrap w:val="0"/>
            <w:vAlign w:val="center"/>
          </w:tcPr>
          <w:p w14:paraId="79A91782">
            <w:pPr>
              <w:spacing w:line="300" w:lineRule="exact"/>
              <w:jc w:val="center"/>
              <w:rPr>
                <w:rFonts w:ascii="Times New Roman" w:hAnsi="Times New Roman" w:cs="Times New Roman"/>
                <w:sz w:val="21"/>
                <w:szCs w:val="21"/>
              </w:rPr>
            </w:pPr>
          </w:p>
        </w:tc>
        <w:tc>
          <w:tcPr>
            <w:tcW w:w="2126" w:type="dxa"/>
            <w:vMerge w:val="continue"/>
            <w:tcBorders>
              <w:top w:val="single" w:color="auto" w:sz="4" w:space="0"/>
            </w:tcBorders>
            <w:noWrap w:val="0"/>
            <w:vAlign w:val="center"/>
          </w:tcPr>
          <w:p w14:paraId="761A7F1F">
            <w:pPr>
              <w:spacing w:line="300" w:lineRule="exact"/>
              <w:jc w:val="center"/>
              <w:rPr>
                <w:rFonts w:ascii="Times New Roman" w:hAnsi="Times New Roman" w:cs="Times New Roman"/>
                <w:sz w:val="21"/>
                <w:szCs w:val="21"/>
              </w:rPr>
            </w:pPr>
          </w:p>
        </w:tc>
      </w:tr>
      <w:tr w14:paraId="493E48AB">
        <w:tblPrEx>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2" w:hRule="atLeast"/>
        </w:trPr>
        <w:tc>
          <w:tcPr>
            <w:tcW w:w="1356" w:type="dxa"/>
            <w:vMerge w:val="continue"/>
            <w:noWrap w:val="0"/>
            <w:vAlign w:val="center"/>
          </w:tcPr>
          <w:p w14:paraId="02FC9553">
            <w:pPr>
              <w:spacing w:line="300" w:lineRule="exact"/>
              <w:jc w:val="center"/>
              <w:rPr>
                <w:rFonts w:ascii="Times New Roman" w:hAnsi="Times New Roman" w:cs="Times New Roman"/>
                <w:sz w:val="21"/>
                <w:szCs w:val="21"/>
              </w:rPr>
            </w:pPr>
          </w:p>
        </w:tc>
        <w:tc>
          <w:tcPr>
            <w:tcW w:w="1777" w:type="dxa"/>
            <w:tcBorders>
              <w:top w:val="single" w:color="auto" w:sz="4" w:space="0"/>
            </w:tcBorders>
            <w:noWrap w:val="0"/>
            <w:vAlign w:val="center"/>
          </w:tcPr>
          <w:p w14:paraId="07B205F5">
            <w:pPr>
              <w:jc w:val="center"/>
              <w:rPr>
                <w:rFonts w:hint="eastAsia" w:ascii="Times New Roman" w:hAnsi="Times New Roman" w:cs="Times New Roman"/>
                <w:sz w:val="21"/>
                <w:szCs w:val="21"/>
              </w:rPr>
            </w:pPr>
            <w:r>
              <w:rPr>
                <w:rFonts w:hint="eastAsia" w:ascii="Times New Roman" w:hAnsi="Times New Roman" w:cs="Times New Roman"/>
                <w:sz w:val="21"/>
                <w:szCs w:val="21"/>
              </w:rPr>
              <w:t>老虎沟</w:t>
            </w:r>
          </w:p>
        </w:tc>
        <w:tc>
          <w:tcPr>
            <w:tcW w:w="1553" w:type="dxa"/>
            <w:tcBorders>
              <w:top w:val="single" w:color="auto" w:sz="4" w:space="0"/>
            </w:tcBorders>
            <w:noWrap w:val="0"/>
            <w:vAlign w:val="center"/>
          </w:tcPr>
          <w:p w14:paraId="4B2ED824">
            <w:pPr>
              <w:jc w:val="center"/>
              <w:rPr>
                <w:rFonts w:ascii="Times New Roman" w:hAnsi="Times New Roman" w:cs="Times New Roman"/>
                <w:sz w:val="21"/>
                <w:szCs w:val="21"/>
              </w:rPr>
            </w:pPr>
            <w:r>
              <w:rPr>
                <w:rFonts w:ascii="Times New Roman" w:hAnsi="Times New Roman" w:cs="Times New Roman"/>
                <w:sz w:val="21"/>
                <w:szCs w:val="21"/>
              </w:rPr>
              <w:t>41.086144</w:t>
            </w:r>
          </w:p>
        </w:tc>
        <w:tc>
          <w:tcPr>
            <w:tcW w:w="1556" w:type="dxa"/>
            <w:tcBorders>
              <w:top w:val="single" w:color="auto" w:sz="4" w:space="0"/>
            </w:tcBorders>
            <w:noWrap w:val="0"/>
            <w:vAlign w:val="center"/>
          </w:tcPr>
          <w:p w14:paraId="0B9C1CC0">
            <w:pPr>
              <w:jc w:val="center"/>
              <w:rPr>
                <w:rFonts w:ascii="Times New Roman" w:hAnsi="Times New Roman" w:cs="Times New Roman"/>
                <w:sz w:val="21"/>
                <w:szCs w:val="21"/>
              </w:rPr>
            </w:pPr>
            <w:r>
              <w:rPr>
                <w:rFonts w:ascii="Times New Roman" w:hAnsi="Times New Roman" w:cs="Times New Roman"/>
                <w:sz w:val="21"/>
                <w:szCs w:val="21"/>
              </w:rPr>
              <w:t>122.831869</w:t>
            </w:r>
          </w:p>
        </w:tc>
        <w:tc>
          <w:tcPr>
            <w:tcW w:w="1035" w:type="dxa"/>
            <w:tcBorders>
              <w:top w:val="single" w:color="auto" w:sz="4" w:space="0"/>
            </w:tcBorders>
            <w:noWrap w:val="0"/>
            <w:vAlign w:val="center"/>
          </w:tcPr>
          <w:p w14:paraId="6B30B49D">
            <w:pPr>
              <w:jc w:val="center"/>
              <w:rPr>
                <w:rFonts w:ascii="Times New Roman" w:hAnsi="Times New Roman" w:cs="Times New Roman"/>
                <w:sz w:val="21"/>
                <w:szCs w:val="21"/>
              </w:rPr>
            </w:pPr>
            <w:r>
              <w:rPr>
                <w:rFonts w:ascii="Times New Roman" w:hAnsi="Times New Roman" w:cs="Times New Roman"/>
                <w:sz w:val="21"/>
                <w:szCs w:val="21"/>
              </w:rPr>
              <w:t>NW</w:t>
            </w:r>
          </w:p>
        </w:tc>
        <w:tc>
          <w:tcPr>
            <w:tcW w:w="1556" w:type="dxa"/>
            <w:tcBorders>
              <w:top w:val="single" w:color="auto" w:sz="4" w:space="0"/>
            </w:tcBorders>
            <w:noWrap w:val="0"/>
            <w:vAlign w:val="center"/>
          </w:tcPr>
          <w:p w14:paraId="1863274E">
            <w:pPr>
              <w:jc w:val="center"/>
              <w:rPr>
                <w:rFonts w:hint="eastAsia" w:ascii="Times New Roman" w:hAnsi="Times New Roman" w:cs="Times New Roman"/>
                <w:sz w:val="21"/>
                <w:szCs w:val="21"/>
              </w:rPr>
            </w:pPr>
            <w:r>
              <w:rPr>
                <w:rFonts w:hint="eastAsia" w:ascii="Times New Roman" w:hAnsi="Times New Roman" w:cs="Times New Roman"/>
                <w:sz w:val="21"/>
                <w:szCs w:val="21"/>
              </w:rPr>
              <w:t>2330</w:t>
            </w:r>
          </w:p>
        </w:tc>
        <w:tc>
          <w:tcPr>
            <w:tcW w:w="1548" w:type="dxa"/>
            <w:tcBorders>
              <w:top w:val="single" w:color="auto" w:sz="4" w:space="0"/>
            </w:tcBorders>
            <w:noWrap w:val="0"/>
            <w:vAlign w:val="center"/>
          </w:tcPr>
          <w:p w14:paraId="570D9802">
            <w:pPr>
              <w:jc w:val="center"/>
              <w:rPr>
                <w:rFonts w:hint="eastAsia" w:ascii="Times New Roman" w:hAnsi="Times New Roman" w:cs="Times New Roman"/>
                <w:sz w:val="21"/>
                <w:szCs w:val="21"/>
              </w:rPr>
            </w:pPr>
            <w:r>
              <w:rPr>
                <w:rFonts w:hint="eastAsia" w:ascii="Times New Roman" w:hAnsi="Times New Roman" w:cs="Times New Roman"/>
                <w:sz w:val="21"/>
                <w:szCs w:val="21"/>
                <w:lang w:val="en-US" w:eastAsia="zh-CN"/>
              </w:rPr>
              <w:t>4</w:t>
            </w:r>
            <w:r>
              <w:rPr>
                <w:rFonts w:hint="eastAsia" w:ascii="Times New Roman" w:hAnsi="Times New Roman" w:cs="Times New Roman"/>
                <w:sz w:val="21"/>
                <w:szCs w:val="21"/>
              </w:rPr>
              <w:t>0</w:t>
            </w:r>
            <w:r>
              <w:rPr>
                <w:rFonts w:ascii="Times New Roman" w:hAnsi="Times New Roman" w:cs="Times New Roman"/>
                <w:sz w:val="21"/>
                <w:szCs w:val="21"/>
              </w:rPr>
              <w:t>人</w:t>
            </w:r>
          </w:p>
        </w:tc>
        <w:tc>
          <w:tcPr>
            <w:tcW w:w="1493" w:type="dxa"/>
            <w:vMerge w:val="continue"/>
            <w:noWrap w:val="0"/>
            <w:vAlign w:val="center"/>
          </w:tcPr>
          <w:p w14:paraId="2C4DD076">
            <w:pPr>
              <w:spacing w:line="300" w:lineRule="exact"/>
              <w:jc w:val="center"/>
              <w:rPr>
                <w:rFonts w:ascii="Times New Roman" w:hAnsi="Times New Roman" w:cs="Times New Roman"/>
                <w:sz w:val="21"/>
                <w:szCs w:val="21"/>
              </w:rPr>
            </w:pPr>
          </w:p>
        </w:tc>
        <w:tc>
          <w:tcPr>
            <w:tcW w:w="2126" w:type="dxa"/>
            <w:vMerge w:val="continue"/>
            <w:tcBorders>
              <w:top w:val="single" w:color="auto" w:sz="4" w:space="0"/>
            </w:tcBorders>
            <w:noWrap w:val="0"/>
            <w:vAlign w:val="center"/>
          </w:tcPr>
          <w:p w14:paraId="49A62218">
            <w:pPr>
              <w:spacing w:line="300" w:lineRule="exact"/>
              <w:jc w:val="center"/>
              <w:rPr>
                <w:rFonts w:ascii="Times New Roman" w:hAnsi="Times New Roman" w:cs="Times New Roman"/>
                <w:sz w:val="21"/>
                <w:szCs w:val="21"/>
              </w:rPr>
            </w:pPr>
          </w:p>
        </w:tc>
      </w:tr>
      <w:tr w14:paraId="3100ABC1">
        <w:tblPrEx>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2" w:hRule="atLeast"/>
        </w:trPr>
        <w:tc>
          <w:tcPr>
            <w:tcW w:w="1356" w:type="dxa"/>
            <w:vMerge w:val="continue"/>
            <w:noWrap w:val="0"/>
            <w:vAlign w:val="center"/>
          </w:tcPr>
          <w:p w14:paraId="7A7E701C">
            <w:pPr>
              <w:spacing w:line="300" w:lineRule="exact"/>
              <w:jc w:val="center"/>
              <w:rPr>
                <w:rFonts w:ascii="Times New Roman" w:hAnsi="Times New Roman" w:cs="Times New Roman"/>
                <w:sz w:val="21"/>
                <w:szCs w:val="21"/>
              </w:rPr>
            </w:pPr>
          </w:p>
        </w:tc>
        <w:tc>
          <w:tcPr>
            <w:tcW w:w="1777" w:type="dxa"/>
            <w:tcBorders>
              <w:top w:val="single" w:color="auto" w:sz="4" w:space="0"/>
            </w:tcBorders>
            <w:noWrap w:val="0"/>
            <w:vAlign w:val="center"/>
          </w:tcPr>
          <w:p w14:paraId="14AAEF3F">
            <w:pPr>
              <w:jc w:val="center"/>
              <w:rPr>
                <w:rFonts w:hint="eastAsia" w:ascii="Times New Roman" w:hAnsi="Times New Roman" w:cs="Times New Roman"/>
                <w:sz w:val="21"/>
                <w:szCs w:val="21"/>
              </w:rPr>
            </w:pPr>
            <w:r>
              <w:rPr>
                <w:rFonts w:hint="eastAsia" w:ascii="Times New Roman" w:hAnsi="Times New Roman" w:cs="Times New Roman"/>
                <w:sz w:val="21"/>
                <w:szCs w:val="21"/>
              </w:rPr>
              <w:t>三道沟</w:t>
            </w:r>
          </w:p>
        </w:tc>
        <w:tc>
          <w:tcPr>
            <w:tcW w:w="1553" w:type="dxa"/>
            <w:tcBorders>
              <w:top w:val="single" w:color="auto" w:sz="4" w:space="0"/>
            </w:tcBorders>
            <w:noWrap w:val="0"/>
            <w:vAlign w:val="center"/>
          </w:tcPr>
          <w:p w14:paraId="6FC22612">
            <w:pPr>
              <w:jc w:val="center"/>
              <w:rPr>
                <w:rFonts w:ascii="Times New Roman" w:hAnsi="Times New Roman" w:cs="Times New Roman"/>
                <w:sz w:val="21"/>
                <w:szCs w:val="21"/>
              </w:rPr>
            </w:pPr>
            <w:r>
              <w:rPr>
                <w:rFonts w:ascii="Times New Roman" w:hAnsi="Times New Roman" w:cs="Times New Roman"/>
                <w:sz w:val="21"/>
                <w:szCs w:val="21"/>
              </w:rPr>
              <w:t>41.083362</w:t>
            </w:r>
          </w:p>
        </w:tc>
        <w:tc>
          <w:tcPr>
            <w:tcW w:w="1556" w:type="dxa"/>
            <w:tcBorders>
              <w:top w:val="single" w:color="auto" w:sz="4" w:space="0"/>
            </w:tcBorders>
            <w:noWrap w:val="0"/>
            <w:vAlign w:val="center"/>
          </w:tcPr>
          <w:p w14:paraId="63234B79">
            <w:pPr>
              <w:jc w:val="center"/>
              <w:rPr>
                <w:rFonts w:ascii="Times New Roman" w:hAnsi="Times New Roman" w:cs="Times New Roman"/>
                <w:sz w:val="21"/>
                <w:szCs w:val="21"/>
              </w:rPr>
            </w:pPr>
            <w:r>
              <w:rPr>
                <w:rFonts w:ascii="Times New Roman" w:hAnsi="Times New Roman" w:cs="Times New Roman"/>
                <w:sz w:val="21"/>
                <w:szCs w:val="21"/>
              </w:rPr>
              <w:t>122.878733</w:t>
            </w:r>
          </w:p>
        </w:tc>
        <w:tc>
          <w:tcPr>
            <w:tcW w:w="1035" w:type="dxa"/>
            <w:tcBorders>
              <w:top w:val="single" w:color="auto" w:sz="4" w:space="0"/>
            </w:tcBorders>
            <w:noWrap w:val="0"/>
            <w:vAlign w:val="center"/>
          </w:tcPr>
          <w:p w14:paraId="4AB32748">
            <w:pPr>
              <w:jc w:val="center"/>
              <w:rPr>
                <w:rFonts w:ascii="Times New Roman" w:hAnsi="Times New Roman" w:cs="Times New Roman"/>
                <w:sz w:val="21"/>
                <w:szCs w:val="21"/>
              </w:rPr>
            </w:pPr>
            <w:r>
              <w:rPr>
                <w:rFonts w:ascii="Times New Roman" w:hAnsi="Times New Roman" w:cs="Times New Roman"/>
                <w:sz w:val="21"/>
                <w:szCs w:val="21"/>
              </w:rPr>
              <w:t>NE</w:t>
            </w:r>
          </w:p>
        </w:tc>
        <w:tc>
          <w:tcPr>
            <w:tcW w:w="1556" w:type="dxa"/>
            <w:tcBorders>
              <w:top w:val="single" w:color="auto" w:sz="4" w:space="0"/>
            </w:tcBorders>
            <w:noWrap w:val="0"/>
            <w:vAlign w:val="center"/>
          </w:tcPr>
          <w:p w14:paraId="7C265CC7">
            <w:pPr>
              <w:jc w:val="center"/>
              <w:rPr>
                <w:rFonts w:hint="eastAsia" w:ascii="Times New Roman" w:hAnsi="Times New Roman" w:cs="Times New Roman"/>
                <w:sz w:val="21"/>
                <w:szCs w:val="21"/>
              </w:rPr>
            </w:pPr>
            <w:r>
              <w:rPr>
                <w:rFonts w:hint="eastAsia" w:ascii="Times New Roman" w:hAnsi="Times New Roman" w:cs="Times New Roman"/>
                <w:sz w:val="21"/>
                <w:szCs w:val="21"/>
              </w:rPr>
              <w:t>2370</w:t>
            </w:r>
          </w:p>
        </w:tc>
        <w:tc>
          <w:tcPr>
            <w:tcW w:w="1548" w:type="dxa"/>
            <w:tcBorders>
              <w:top w:val="single" w:color="auto" w:sz="4" w:space="0"/>
            </w:tcBorders>
            <w:noWrap w:val="0"/>
            <w:vAlign w:val="center"/>
          </w:tcPr>
          <w:p w14:paraId="6D987E9A">
            <w:pPr>
              <w:jc w:val="center"/>
              <w:rPr>
                <w:rFonts w:hint="eastAsia" w:ascii="Times New Roman" w:hAnsi="Times New Roman" w:cs="Times New Roman"/>
                <w:sz w:val="21"/>
                <w:szCs w:val="21"/>
              </w:rPr>
            </w:pPr>
            <w:r>
              <w:rPr>
                <w:rFonts w:hint="eastAsia" w:ascii="Times New Roman" w:hAnsi="Times New Roman" w:cs="Times New Roman"/>
                <w:sz w:val="21"/>
                <w:szCs w:val="21"/>
                <w:lang w:val="en-US" w:eastAsia="zh-CN"/>
              </w:rPr>
              <w:t>30</w:t>
            </w:r>
            <w:r>
              <w:rPr>
                <w:rFonts w:ascii="Times New Roman" w:hAnsi="Times New Roman" w:cs="Times New Roman"/>
                <w:sz w:val="21"/>
                <w:szCs w:val="21"/>
              </w:rPr>
              <w:t>人</w:t>
            </w:r>
          </w:p>
        </w:tc>
        <w:tc>
          <w:tcPr>
            <w:tcW w:w="1493" w:type="dxa"/>
            <w:vMerge w:val="continue"/>
            <w:noWrap w:val="0"/>
            <w:vAlign w:val="center"/>
          </w:tcPr>
          <w:p w14:paraId="705FCF0B">
            <w:pPr>
              <w:spacing w:line="300" w:lineRule="exact"/>
              <w:jc w:val="center"/>
              <w:rPr>
                <w:rFonts w:ascii="Times New Roman" w:hAnsi="Times New Roman" w:cs="Times New Roman"/>
                <w:sz w:val="21"/>
                <w:szCs w:val="21"/>
              </w:rPr>
            </w:pPr>
          </w:p>
        </w:tc>
        <w:tc>
          <w:tcPr>
            <w:tcW w:w="2126" w:type="dxa"/>
            <w:vMerge w:val="continue"/>
            <w:tcBorders>
              <w:top w:val="single" w:color="auto" w:sz="4" w:space="0"/>
            </w:tcBorders>
            <w:noWrap w:val="0"/>
            <w:vAlign w:val="center"/>
          </w:tcPr>
          <w:p w14:paraId="3E081655">
            <w:pPr>
              <w:spacing w:line="300" w:lineRule="exact"/>
              <w:jc w:val="center"/>
              <w:rPr>
                <w:rFonts w:ascii="Times New Roman" w:hAnsi="Times New Roman" w:cs="Times New Roman"/>
                <w:sz w:val="21"/>
                <w:szCs w:val="21"/>
              </w:rPr>
            </w:pPr>
          </w:p>
        </w:tc>
      </w:tr>
      <w:tr w14:paraId="47CB28E3">
        <w:tblPrEx>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2" w:hRule="atLeast"/>
        </w:trPr>
        <w:tc>
          <w:tcPr>
            <w:tcW w:w="1356" w:type="dxa"/>
            <w:vMerge w:val="continue"/>
            <w:noWrap w:val="0"/>
            <w:vAlign w:val="center"/>
          </w:tcPr>
          <w:p w14:paraId="20728878">
            <w:pPr>
              <w:spacing w:line="300" w:lineRule="exact"/>
              <w:jc w:val="center"/>
              <w:rPr>
                <w:rFonts w:ascii="Times New Roman" w:hAnsi="Times New Roman" w:cs="Times New Roman"/>
                <w:sz w:val="21"/>
                <w:szCs w:val="21"/>
              </w:rPr>
            </w:pPr>
          </w:p>
        </w:tc>
        <w:tc>
          <w:tcPr>
            <w:tcW w:w="1777" w:type="dxa"/>
            <w:tcBorders>
              <w:top w:val="single" w:color="auto" w:sz="4" w:space="0"/>
            </w:tcBorders>
            <w:noWrap w:val="0"/>
            <w:vAlign w:val="center"/>
          </w:tcPr>
          <w:p w14:paraId="326FFBCB">
            <w:pPr>
              <w:jc w:val="center"/>
              <w:rPr>
                <w:rFonts w:hint="eastAsia" w:ascii="Times New Roman" w:hAnsi="Times New Roman" w:cs="Times New Roman"/>
                <w:sz w:val="21"/>
                <w:szCs w:val="21"/>
              </w:rPr>
            </w:pPr>
            <w:r>
              <w:rPr>
                <w:rFonts w:hint="eastAsia" w:ascii="Times New Roman" w:hAnsi="Times New Roman" w:cs="Times New Roman"/>
                <w:sz w:val="21"/>
                <w:szCs w:val="21"/>
              </w:rPr>
              <w:t>横道子</w:t>
            </w:r>
          </w:p>
        </w:tc>
        <w:tc>
          <w:tcPr>
            <w:tcW w:w="1553" w:type="dxa"/>
            <w:tcBorders>
              <w:top w:val="single" w:color="auto" w:sz="4" w:space="0"/>
            </w:tcBorders>
            <w:noWrap w:val="0"/>
            <w:vAlign w:val="center"/>
          </w:tcPr>
          <w:p w14:paraId="7DFBB971">
            <w:pPr>
              <w:jc w:val="center"/>
              <w:rPr>
                <w:rFonts w:ascii="Times New Roman" w:hAnsi="Times New Roman" w:cs="Times New Roman"/>
                <w:sz w:val="21"/>
                <w:szCs w:val="21"/>
              </w:rPr>
            </w:pPr>
            <w:r>
              <w:rPr>
                <w:rFonts w:ascii="Times New Roman" w:hAnsi="Times New Roman" w:cs="Times New Roman"/>
                <w:sz w:val="21"/>
                <w:szCs w:val="21"/>
              </w:rPr>
              <w:t>41.082586</w:t>
            </w:r>
          </w:p>
        </w:tc>
        <w:tc>
          <w:tcPr>
            <w:tcW w:w="1556" w:type="dxa"/>
            <w:tcBorders>
              <w:top w:val="single" w:color="auto" w:sz="4" w:space="0"/>
            </w:tcBorders>
            <w:noWrap w:val="0"/>
            <w:vAlign w:val="center"/>
          </w:tcPr>
          <w:p w14:paraId="3DBAA2D3">
            <w:pPr>
              <w:jc w:val="center"/>
              <w:rPr>
                <w:rFonts w:ascii="Times New Roman" w:hAnsi="Times New Roman" w:cs="Times New Roman"/>
                <w:sz w:val="21"/>
                <w:szCs w:val="21"/>
              </w:rPr>
            </w:pPr>
            <w:r>
              <w:rPr>
                <w:rFonts w:ascii="Times New Roman" w:hAnsi="Times New Roman" w:cs="Times New Roman"/>
                <w:sz w:val="21"/>
                <w:szCs w:val="21"/>
              </w:rPr>
              <w:t>122.885513</w:t>
            </w:r>
          </w:p>
        </w:tc>
        <w:tc>
          <w:tcPr>
            <w:tcW w:w="1035" w:type="dxa"/>
            <w:tcBorders>
              <w:top w:val="single" w:color="auto" w:sz="4" w:space="0"/>
            </w:tcBorders>
            <w:noWrap w:val="0"/>
            <w:vAlign w:val="center"/>
          </w:tcPr>
          <w:p w14:paraId="6DEEF110">
            <w:pPr>
              <w:jc w:val="center"/>
              <w:rPr>
                <w:rFonts w:ascii="Times New Roman" w:hAnsi="Times New Roman" w:cs="Times New Roman"/>
                <w:sz w:val="21"/>
                <w:szCs w:val="21"/>
              </w:rPr>
            </w:pPr>
            <w:r>
              <w:rPr>
                <w:rFonts w:ascii="Times New Roman" w:hAnsi="Times New Roman" w:cs="Times New Roman"/>
                <w:sz w:val="21"/>
                <w:szCs w:val="21"/>
              </w:rPr>
              <w:t>NE</w:t>
            </w:r>
          </w:p>
        </w:tc>
        <w:tc>
          <w:tcPr>
            <w:tcW w:w="1556" w:type="dxa"/>
            <w:tcBorders>
              <w:top w:val="single" w:color="auto" w:sz="4" w:space="0"/>
            </w:tcBorders>
            <w:noWrap w:val="0"/>
            <w:vAlign w:val="center"/>
          </w:tcPr>
          <w:p w14:paraId="00C5DAFF">
            <w:pPr>
              <w:jc w:val="center"/>
              <w:rPr>
                <w:rFonts w:hint="eastAsia" w:ascii="Times New Roman" w:hAnsi="Times New Roman" w:cs="Times New Roman"/>
                <w:sz w:val="21"/>
                <w:szCs w:val="21"/>
              </w:rPr>
            </w:pPr>
            <w:r>
              <w:rPr>
                <w:rFonts w:hint="eastAsia" w:ascii="Times New Roman" w:hAnsi="Times New Roman" w:cs="Times New Roman"/>
                <w:sz w:val="21"/>
                <w:szCs w:val="21"/>
              </w:rPr>
              <w:t>2830</w:t>
            </w:r>
          </w:p>
        </w:tc>
        <w:tc>
          <w:tcPr>
            <w:tcW w:w="1548" w:type="dxa"/>
            <w:tcBorders>
              <w:top w:val="single" w:color="auto" w:sz="4" w:space="0"/>
            </w:tcBorders>
            <w:noWrap w:val="0"/>
            <w:vAlign w:val="center"/>
          </w:tcPr>
          <w:p w14:paraId="793D5627">
            <w:pPr>
              <w:jc w:val="center"/>
              <w:rPr>
                <w:rFonts w:hint="eastAsia" w:ascii="Times New Roman" w:hAnsi="Times New Roman" w:cs="Times New Roman"/>
                <w:sz w:val="21"/>
                <w:szCs w:val="21"/>
              </w:rPr>
            </w:pPr>
            <w:r>
              <w:rPr>
                <w:rFonts w:hint="eastAsia" w:ascii="Times New Roman" w:hAnsi="Times New Roman" w:cs="Times New Roman"/>
                <w:sz w:val="21"/>
                <w:szCs w:val="21"/>
                <w:lang w:val="en-US" w:eastAsia="zh-CN"/>
              </w:rPr>
              <w:t>2</w:t>
            </w:r>
            <w:r>
              <w:rPr>
                <w:rFonts w:hint="eastAsia" w:ascii="Times New Roman" w:hAnsi="Times New Roman" w:cs="Times New Roman"/>
                <w:sz w:val="21"/>
                <w:szCs w:val="21"/>
              </w:rPr>
              <w:t>0人</w:t>
            </w:r>
          </w:p>
        </w:tc>
        <w:tc>
          <w:tcPr>
            <w:tcW w:w="1493" w:type="dxa"/>
            <w:vMerge w:val="continue"/>
            <w:noWrap w:val="0"/>
            <w:vAlign w:val="center"/>
          </w:tcPr>
          <w:p w14:paraId="2F35FB38">
            <w:pPr>
              <w:spacing w:line="300" w:lineRule="exact"/>
              <w:jc w:val="center"/>
              <w:rPr>
                <w:rFonts w:ascii="Times New Roman" w:hAnsi="Times New Roman" w:cs="Times New Roman"/>
                <w:sz w:val="21"/>
                <w:szCs w:val="21"/>
              </w:rPr>
            </w:pPr>
          </w:p>
        </w:tc>
        <w:tc>
          <w:tcPr>
            <w:tcW w:w="2126" w:type="dxa"/>
            <w:vMerge w:val="continue"/>
            <w:tcBorders>
              <w:top w:val="single" w:color="auto" w:sz="4" w:space="0"/>
            </w:tcBorders>
            <w:noWrap w:val="0"/>
            <w:vAlign w:val="center"/>
          </w:tcPr>
          <w:p w14:paraId="22F061A3">
            <w:pPr>
              <w:spacing w:line="300" w:lineRule="exact"/>
              <w:jc w:val="center"/>
              <w:rPr>
                <w:rFonts w:ascii="Times New Roman" w:hAnsi="Times New Roman" w:cs="Times New Roman"/>
                <w:sz w:val="21"/>
                <w:szCs w:val="21"/>
              </w:rPr>
            </w:pPr>
          </w:p>
        </w:tc>
      </w:tr>
      <w:tr w14:paraId="3F2E37D6">
        <w:tblPrEx>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88" w:hRule="atLeast"/>
        </w:trPr>
        <w:tc>
          <w:tcPr>
            <w:tcW w:w="1356" w:type="dxa"/>
            <w:vMerge w:val="restart"/>
            <w:noWrap w:val="0"/>
            <w:vAlign w:val="center"/>
          </w:tcPr>
          <w:p w14:paraId="792C73B2">
            <w:pPr>
              <w:spacing w:line="300" w:lineRule="exact"/>
              <w:jc w:val="center"/>
              <w:rPr>
                <w:rFonts w:ascii="Times New Roman" w:hAnsi="Times New Roman" w:cs="Times New Roman"/>
                <w:sz w:val="21"/>
                <w:szCs w:val="21"/>
              </w:rPr>
            </w:pPr>
            <w:r>
              <w:rPr>
                <w:rFonts w:ascii="Times New Roman" w:hAnsi="Times New Roman" w:cs="Times New Roman"/>
                <w:sz w:val="21"/>
                <w:szCs w:val="21"/>
              </w:rPr>
              <w:t>声环境</w:t>
            </w:r>
          </w:p>
        </w:tc>
        <w:tc>
          <w:tcPr>
            <w:tcW w:w="1777" w:type="dxa"/>
            <w:noWrap w:val="0"/>
            <w:vAlign w:val="center"/>
          </w:tcPr>
          <w:p w14:paraId="1E7ECA79">
            <w:pPr>
              <w:spacing w:line="300" w:lineRule="exact"/>
              <w:jc w:val="center"/>
              <w:rPr>
                <w:rFonts w:ascii="Times New Roman" w:hAnsi="Times New Roman" w:cs="Times New Roman"/>
                <w:sz w:val="21"/>
              </w:rPr>
            </w:pPr>
            <w:r>
              <w:rPr>
                <w:rFonts w:ascii="Times New Roman" w:hAnsi="Times New Roman" w:cs="Times New Roman"/>
                <w:sz w:val="21"/>
              </w:rPr>
              <w:t>厂界</w:t>
            </w:r>
          </w:p>
        </w:tc>
        <w:tc>
          <w:tcPr>
            <w:tcW w:w="3109" w:type="dxa"/>
            <w:gridSpan w:val="2"/>
            <w:noWrap w:val="0"/>
            <w:vAlign w:val="center"/>
          </w:tcPr>
          <w:p w14:paraId="24754ADD">
            <w:pPr>
              <w:spacing w:line="300" w:lineRule="exact"/>
              <w:jc w:val="center"/>
              <w:rPr>
                <w:rFonts w:ascii="Times New Roman" w:hAnsi="Times New Roman" w:cs="Times New Roman"/>
                <w:sz w:val="21"/>
                <w:szCs w:val="21"/>
              </w:rPr>
            </w:pPr>
            <w:r>
              <w:rPr>
                <w:rFonts w:ascii="Times New Roman" w:hAnsi="Times New Roman" w:cs="Times New Roman"/>
                <w:sz w:val="21"/>
                <w:szCs w:val="21"/>
              </w:rPr>
              <w:t>四周</w:t>
            </w:r>
          </w:p>
        </w:tc>
        <w:tc>
          <w:tcPr>
            <w:tcW w:w="1035" w:type="dxa"/>
            <w:noWrap w:val="0"/>
            <w:vAlign w:val="center"/>
          </w:tcPr>
          <w:p w14:paraId="62940106">
            <w:pPr>
              <w:spacing w:line="300" w:lineRule="exact"/>
              <w:jc w:val="center"/>
              <w:rPr>
                <w:rFonts w:ascii="Times New Roman" w:hAnsi="Times New Roman" w:cs="Times New Roman"/>
                <w:sz w:val="21"/>
                <w:szCs w:val="21"/>
              </w:rPr>
            </w:pPr>
            <w:r>
              <w:rPr>
                <w:rFonts w:ascii="Times New Roman" w:hAnsi="Times New Roman" w:cs="Times New Roman"/>
                <w:sz w:val="21"/>
                <w:szCs w:val="21"/>
              </w:rPr>
              <w:t>/</w:t>
            </w:r>
          </w:p>
        </w:tc>
        <w:tc>
          <w:tcPr>
            <w:tcW w:w="1556" w:type="dxa"/>
            <w:noWrap w:val="0"/>
            <w:vAlign w:val="center"/>
          </w:tcPr>
          <w:p w14:paraId="2E3ACC49">
            <w:pPr>
              <w:spacing w:line="300" w:lineRule="exact"/>
              <w:jc w:val="center"/>
              <w:rPr>
                <w:rFonts w:ascii="Times New Roman" w:hAnsi="Times New Roman" w:cs="Times New Roman"/>
                <w:sz w:val="21"/>
                <w:szCs w:val="21"/>
              </w:rPr>
            </w:pPr>
            <w:r>
              <w:rPr>
                <w:rFonts w:ascii="Times New Roman" w:hAnsi="Times New Roman" w:cs="Times New Roman"/>
                <w:sz w:val="21"/>
                <w:szCs w:val="21"/>
              </w:rPr>
              <w:t>/</w:t>
            </w:r>
          </w:p>
        </w:tc>
        <w:tc>
          <w:tcPr>
            <w:tcW w:w="1548" w:type="dxa"/>
            <w:noWrap w:val="0"/>
            <w:vAlign w:val="center"/>
          </w:tcPr>
          <w:p w14:paraId="20050639">
            <w:pPr>
              <w:spacing w:line="300" w:lineRule="exact"/>
              <w:jc w:val="center"/>
              <w:rPr>
                <w:rFonts w:ascii="Times New Roman" w:hAnsi="Times New Roman" w:cs="Times New Roman"/>
                <w:sz w:val="21"/>
                <w:szCs w:val="21"/>
              </w:rPr>
            </w:pPr>
            <w:r>
              <w:rPr>
                <w:rFonts w:ascii="Times New Roman" w:hAnsi="Times New Roman" w:cs="Times New Roman"/>
                <w:sz w:val="21"/>
                <w:szCs w:val="21"/>
              </w:rPr>
              <w:t>/</w:t>
            </w:r>
          </w:p>
        </w:tc>
        <w:tc>
          <w:tcPr>
            <w:tcW w:w="1493" w:type="dxa"/>
            <w:noWrap w:val="0"/>
            <w:vAlign w:val="center"/>
          </w:tcPr>
          <w:p w14:paraId="4CF85086">
            <w:pPr>
              <w:spacing w:line="300" w:lineRule="exact"/>
              <w:jc w:val="center"/>
              <w:rPr>
                <w:rFonts w:ascii="Times New Roman" w:hAnsi="Times New Roman" w:cs="Times New Roman"/>
                <w:sz w:val="21"/>
                <w:szCs w:val="21"/>
              </w:rPr>
            </w:pPr>
            <w:r>
              <w:rPr>
                <w:rFonts w:ascii="Times New Roman" w:hAnsi="Times New Roman" w:cs="Times New Roman"/>
                <w:sz w:val="21"/>
                <w:szCs w:val="21"/>
              </w:rPr>
              <w:t>声环境</w:t>
            </w:r>
          </w:p>
        </w:tc>
        <w:tc>
          <w:tcPr>
            <w:tcW w:w="2126" w:type="dxa"/>
            <w:noWrap w:val="0"/>
            <w:vAlign w:val="center"/>
          </w:tcPr>
          <w:p w14:paraId="2F0A257C">
            <w:pPr>
              <w:spacing w:line="300" w:lineRule="exact"/>
              <w:rPr>
                <w:rFonts w:ascii="Times New Roman" w:hAnsi="Times New Roman" w:cs="Times New Roman"/>
                <w:sz w:val="21"/>
                <w:szCs w:val="21"/>
              </w:rPr>
            </w:pPr>
            <w:r>
              <w:rPr>
                <w:rFonts w:ascii="Times New Roman" w:hAnsi="Times New Roman" w:cs="Times New Roman"/>
                <w:sz w:val="21"/>
                <w:szCs w:val="21"/>
              </w:rPr>
              <w:t>《声环境质量标准》（GB3096-2008）3类区标准</w:t>
            </w:r>
          </w:p>
        </w:tc>
      </w:tr>
      <w:tr w14:paraId="2BCE3682">
        <w:tblPrEx>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88" w:hRule="atLeast"/>
        </w:trPr>
        <w:tc>
          <w:tcPr>
            <w:tcW w:w="1356" w:type="dxa"/>
            <w:vMerge w:val="continue"/>
            <w:noWrap w:val="0"/>
            <w:vAlign w:val="center"/>
          </w:tcPr>
          <w:p w14:paraId="07D96293">
            <w:pPr>
              <w:spacing w:line="300" w:lineRule="exact"/>
              <w:jc w:val="center"/>
              <w:rPr>
                <w:rFonts w:ascii="Times New Roman" w:hAnsi="Times New Roman" w:cs="Times New Roman"/>
                <w:sz w:val="21"/>
                <w:szCs w:val="21"/>
              </w:rPr>
            </w:pPr>
          </w:p>
        </w:tc>
        <w:tc>
          <w:tcPr>
            <w:tcW w:w="1777" w:type="dxa"/>
            <w:noWrap w:val="0"/>
            <w:vAlign w:val="center"/>
          </w:tcPr>
          <w:p w14:paraId="12D9D7AF">
            <w:pPr>
              <w:spacing w:line="300" w:lineRule="exact"/>
              <w:jc w:val="center"/>
              <w:rPr>
                <w:rFonts w:ascii="Times New Roman" w:hAnsi="Times New Roman" w:cs="Times New Roman"/>
                <w:sz w:val="21"/>
              </w:rPr>
            </w:pPr>
            <w:r>
              <w:rPr>
                <w:rFonts w:hint="eastAsia" w:ascii="Times New Roman" w:hAnsi="Times New Roman" w:cs="Times New Roman"/>
                <w:sz w:val="21"/>
                <w:szCs w:val="21"/>
                <w:lang w:val="en-US" w:eastAsia="zh-CN"/>
              </w:rPr>
              <w:t>祁家堡村散户居民</w:t>
            </w:r>
          </w:p>
        </w:tc>
        <w:tc>
          <w:tcPr>
            <w:tcW w:w="3109" w:type="dxa"/>
            <w:gridSpan w:val="2"/>
            <w:noWrap w:val="0"/>
            <w:vAlign w:val="center"/>
          </w:tcPr>
          <w:p w14:paraId="564B7601">
            <w:pPr>
              <w:spacing w:line="300" w:lineRule="exact"/>
              <w:jc w:val="center"/>
              <w:rPr>
                <w:rFonts w:ascii="Times New Roman" w:hAnsi="Times New Roman" w:cs="Times New Roman"/>
                <w:sz w:val="21"/>
                <w:szCs w:val="21"/>
              </w:rPr>
            </w:pPr>
            <w:r>
              <w:rPr>
                <w:rFonts w:ascii="Times New Roman" w:hAnsi="Times New Roman" w:cs="Times New Roman"/>
                <w:sz w:val="21"/>
                <w:szCs w:val="21"/>
              </w:rPr>
              <w:t>/</w:t>
            </w:r>
          </w:p>
        </w:tc>
        <w:tc>
          <w:tcPr>
            <w:tcW w:w="1035" w:type="dxa"/>
            <w:noWrap w:val="0"/>
            <w:vAlign w:val="center"/>
          </w:tcPr>
          <w:p w14:paraId="092FC5A5">
            <w:pPr>
              <w:spacing w:line="300" w:lineRule="exact"/>
              <w:jc w:val="center"/>
              <w:rPr>
                <w:rFonts w:ascii="Times New Roman" w:hAnsi="Times New Roman" w:cs="Times New Roman"/>
                <w:sz w:val="21"/>
                <w:szCs w:val="21"/>
              </w:rPr>
            </w:pPr>
          </w:p>
        </w:tc>
        <w:tc>
          <w:tcPr>
            <w:tcW w:w="1556" w:type="dxa"/>
            <w:noWrap w:val="0"/>
            <w:vAlign w:val="center"/>
          </w:tcPr>
          <w:p w14:paraId="0B0244A6">
            <w:pPr>
              <w:spacing w:line="300" w:lineRule="exact"/>
              <w:jc w:val="center"/>
              <w:rPr>
                <w:rFonts w:ascii="Times New Roman" w:hAnsi="Times New Roman" w:cs="Times New Roman"/>
                <w:sz w:val="21"/>
                <w:szCs w:val="21"/>
              </w:rPr>
            </w:pPr>
          </w:p>
        </w:tc>
        <w:tc>
          <w:tcPr>
            <w:tcW w:w="1548" w:type="dxa"/>
            <w:noWrap w:val="0"/>
            <w:vAlign w:val="center"/>
          </w:tcPr>
          <w:p w14:paraId="100A85FB">
            <w:pPr>
              <w:spacing w:line="300" w:lineRule="exact"/>
              <w:jc w:val="center"/>
              <w:rPr>
                <w:rFonts w:ascii="Times New Roman" w:hAnsi="Times New Roman" w:cs="Times New Roman"/>
                <w:sz w:val="21"/>
                <w:szCs w:val="21"/>
              </w:rPr>
            </w:pPr>
          </w:p>
        </w:tc>
        <w:tc>
          <w:tcPr>
            <w:tcW w:w="1493" w:type="dxa"/>
            <w:noWrap w:val="0"/>
            <w:vAlign w:val="center"/>
          </w:tcPr>
          <w:p w14:paraId="3AE9604D">
            <w:pPr>
              <w:spacing w:line="300" w:lineRule="exact"/>
              <w:jc w:val="center"/>
              <w:rPr>
                <w:rFonts w:ascii="Times New Roman" w:hAnsi="Times New Roman" w:cs="Times New Roman"/>
                <w:sz w:val="21"/>
                <w:szCs w:val="21"/>
              </w:rPr>
            </w:pPr>
          </w:p>
        </w:tc>
        <w:tc>
          <w:tcPr>
            <w:tcW w:w="2126" w:type="dxa"/>
            <w:noWrap w:val="0"/>
            <w:vAlign w:val="center"/>
          </w:tcPr>
          <w:p w14:paraId="3172CABA">
            <w:pPr>
              <w:spacing w:line="300" w:lineRule="exact"/>
              <w:rPr>
                <w:rFonts w:ascii="Times New Roman" w:hAnsi="Times New Roman" w:cs="Times New Roman"/>
                <w:sz w:val="21"/>
                <w:szCs w:val="21"/>
              </w:rPr>
            </w:pPr>
          </w:p>
        </w:tc>
      </w:tr>
      <w:tr w14:paraId="5DBB527A">
        <w:tblPrEx>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540" w:hRule="atLeast"/>
        </w:trPr>
        <w:tc>
          <w:tcPr>
            <w:tcW w:w="1356" w:type="dxa"/>
            <w:vMerge w:val="restart"/>
            <w:noWrap w:val="0"/>
            <w:vAlign w:val="center"/>
          </w:tcPr>
          <w:p w14:paraId="0630C582">
            <w:pPr>
              <w:spacing w:line="300" w:lineRule="exact"/>
              <w:jc w:val="center"/>
              <w:rPr>
                <w:rFonts w:ascii="Times New Roman" w:hAnsi="Times New Roman" w:cs="Times New Roman"/>
                <w:sz w:val="21"/>
                <w:szCs w:val="21"/>
              </w:rPr>
            </w:pPr>
            <w:r>
              <w:rPr>
                <w:rFonts w:ascii="Times New Roman" w:hAnsi="Times New Roman" w:cs="Times New Roman"/>
                <w:sz w:val="21"/>
                <w:szCs w:val="21"/>
              </w:rPr>
              <w:t>土壤环境</w:t>
            </w:r>
          </w:p>
        </w:tc>
        <w:tc>
          <w:tcPr>
            <w:tcW w:w="1777" w:type="dxa"/>
            <w:noWrap w:val="0"/>
            <w:vAlign w:val="center"/>
          </w:tcPr>
          <w:p w14:paraId="35F74ACD">
            <w:pPr>
              <w:spacing w:line="300" w:lineRule="exact"/>
              <w:jc w:val="center"/>
              <w:rPr>
                <w:rFonts w:ascii="Times New Roman" w:hAnsi="Times New Roman" w:cs="Times New Roman"/>
                <w:sz w:val="21"/>
              </w:rPr>
            </w:pPr>
            <w:r>
              <w:rPr>
                <w:rFonts w:ascii="Times New Roman" w:hAnsi="Times New Roman" w:cs="Times New Roman"/>
                <w:sz w:val="21"/>
              </w:rPr>
              <w:t>周边农田</w:t>
            </w:r>
          </w:p>
        </w:tc>
        <w:tc>
          <w:tcPr>
            <w:tcW w:w="1553" w:type="dxa"/>
            <w:noWrap w:val="0"/>
            <w:vAlign w:val="center"/>
          </w:tcPr>
          <w:p w14:paraId="05D96D2B">
            <w:pPr>
              <w:spacing w:line="300" w:lineRule="exact"/>
              <w:jc w:val="center"/>
              <w:rPr>
                <w:rFonts w:ascii="Times New Roman" w:hAnsi="Times New Roman" w:cs="Times New Roman"/>
                <w:sz w:val="21"/>
                <w:szCs w:val="21"/>
              </w:rPr>
            </w:pPr>
            <w:r>
              <w:rPr>
                <w:rFonts w:ascii="Times New Roman" w:hAnsi="Times New Roman" w:cs="Times New Roman"/>
                <w:sz w:val="21"/>
                <w:szCs w:val="21"/>
              </w:rPr>
              <w:t>/</w:t>
            </w:r>
          </w:p>
        </w:tc>
        <w:tc>
          <w:tcPr>
            <w:tcW w:w="1556" w:type="dxa"/>
            <w:noWrap w:val="0"/>
            <w:vAlign w:val="center"/>
          </w:tcPr>
          <w:p w14:paraId="7451E5C0">
            <w:pPr>
              <w:spacing w:line="300" w:lineRule="exact"/>
              <w:jc w:val="center"/>
              <w:rPr>
                <w:rFonts w:ascii="Times New Roman" w:hAnsi="Times New Roman" w:cs="Times New Roman"/>
                <w:sz w:val="21"/>
                <w:szCs w:val="21"/>
              </w:rPr>
            </w:pPr>
            <w:r>
              <w:rPr>
                <w:rFonts w:ascii="Times New Roman" w:hAnsi="Times New Roman" w:cs="Times New Roman"/>
                <w:sz w:val="21"/>
                <w:szCs w:val="21"/>
              </w:rPr>
              <w:t>/</w:t>
            </w:r>
          </w:p>
        </w:tc>
        <w:tc>
          <w:tcPr>
            <w:tcW w:w="1035" w:type="dxa"/>
            <w:noWrap w:val="0"/>
            <w:vAlign w:val="center"/>
          </w:tcPr>
          <w:p w14:paraId="695DFFFB">
            <w:pPr>
              <w:spacing w:line="300" w:lineRule="exact"/>
              <w:jc w:val="center"/>
              <w:rPr>
                <w:rFonts w:ascii="Times New Roman" w:hAnsi="Times New Roman" w:cs="Times New Roman"/>
                <w:sz w:val="21"/>
                <w:szCs w:val="21"/>
              </w:rPr>
            </w:pPr>
            <w:r>
              <w:rPr>
                <w:rFonts w:ascii="Times New Roman" w:hAnsi="Times New Roman" w:cs="Times New Roman"/>
                <w:sz w:val="21"/>
                <w:szCs w:val="21"/>
              </w:rPr>
              <w:t>S</w:t>
            </w:r>
          </w:p>
        </w:tc>
        <w:tc>
          <w:tcPr>
            <w:tcW w:w="1556" w:type="dxa"/>
            <w:noWrap w:val="0"/>
            <w:vAlign w:val="center"/>
          </w:tcPr>
          <w:p w14:paraId="254C5CD2">
            <w:pPr>
              <w:spacing w:line="300" w:lineRule="exact"/>
              <w:jc w:val="center"/>
              <w:rPr>
                <w:rFonts w:ascii="Times New Roman" w:hAnsi="Times New Roman" w:cs="Times New Roman"/>
                <w:sz w:val="21"/>
                <w:szCs w:val="21"/>
              </w:rPr>
            </w:pPr>
            <w:r>
              <w:rPr>
                <w:rFonts w:hint="eastAsia" w:ascii="Times New Roman" w:hAnsi="Times New Roman" w:cs="Times New Roman"/>
                <w:sz w:val="21"/>
                <w:szCs w:val="21"/>
              </w:rPr>
              <w:t>厂区外</w:t>
            </w:r>
          </w:p>
        </w:tc>
        <w:tc>
          <w:tcPr>
            <w:tcW w:w="1548" w:type="dxa"/>
            <w:noWrap w:val="0"/>
            <w:vAlign w:val="center"/>
          </w:tcPr>
          <w:p w14:paraId="2D87D6B3">
            <w:pPr>
              <w:spacing w:line="300" w:lineRule="exact"/>
              <w:jc w:val="center"/>
              <w:rPr>
                <w:rFonts w:ascii="Times New Roman" w:hAnsi="Times New Roman" w:cs="Times New Roman"/>
                <w:sz w:val="21"/>
                <w:szCs w:val="21"/>
              </w:rPr>
            </w:pPr>
            <w:r>
              <w:rPr>
                <w:rFonts w:ascii="Times New Roman" w:hAnsi="Times New Roman" w:cs="Times New Roman"/>
                <w:sz w:val="21"/>
                <w:szCs w:val="21"/>
              </w:rPr>
              <w:t>/</w:t>
            </w:r>
          </w:p>
        </w:tc>
        <w:tc>
          <w:tcPr>
            <w:tcW w:w="1493" w:type="dxa"/>
            <w:vMerge w:val="restart"/>
            <w:noWrap w:val="0"/>
            <w:vAlign w:val="center"/>
          </w:tcPr>
          <w:p w14:paraId="2F230926">
            <w:pPr>
              <w:spacing w:line="300" w:lineRule="exact"/>
              <w:jc w:val="center"/>
              <w:rPr>
                <w:rFonts w:ascii="Times New Roman" w:hAnsi="Times New Roman" w:cs="Times New Roman"/>
                <w:sz w:val="21"/>
                <w:szCs w:val="21"/>
              </w:rPr>
            </w:pPr>
            <w:r>
              <w:rPr>
                <w:rFonts w:ascii="Times New Roman" w:hAnsi="Times New Roman" w:cs="Times New Roman"/>
                <w:sz w:val="21"/>
                <w:szCs w:val="21"/>
              </w:rPr>
              <w:t>土壤环境</w:t>
            </w:r>
          </w:p>
        </w:tc>
        <w:tc>
          <w:tcPr>
            <w:tcW w:w="2126" w:type="dxa"/>
            <w:noWrap w:val="0"/>
            <w:vAlign w:val="center"/>
          </w:tcPr>
          <w:p w14:paraId="2A9943A1">
            <w:pPr>
              <w:spacing w:line="300" w:lineRule="exact"/>
              <w:jc w:val="center"/>
              <w:rPr>
                <w:rFonts w:ascii="Times New Roman" w:hAnsi="Times New Roman" w:cs="Times New Roman"/>
                <w:sz w:val="21"/>
                <w:szCs w:val="21"/>
              </w:rPr>
            </w:pPr>
            <w:r>
              <w:rPr>
                <w:rFonts w:ascii="Times New Roman" w:hAnsi="Times New Roman" w:cs="Times New Roman"/>
                <w:sz w:val="21"/>
                <w:szCs w:val="21"/>
              </w:rPr>
              <w:t>《土壤环境质量 农用地土壤污染风险管控标准（试行）》(GB15618-2018)</w:t>
            </w:r>
          </w:p>
        </w:tc>
      </w:tr>
      <w:tr w14:paraId="0283DE3B">
        <w:tblPrEx>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88" w:hRule="atLeast"/>
        </w:trPr>
        <w:tc>
          <w:tcPr>
            <w:tcW w:w="1356" w:type="dxa"/>
            <w:vMerge w:val="continue"/>
            <w:noWrap w:val="0"/>
            <w:vAlign w:val="center"/>
          </w:tcPr>
          <w:p w14:paraId="255B7331">
            <w:pPr>
              <w:spacing w:line="300" w:lineRule="exact"/>
              <w:jc w:val="center"/>
              <w:rPr>
                <w:rFonts w:ascii="Times New Roman" w:hAnsi="Times New Roman" w:cs="Times New Roman"/>
                <w:sz w:val="21"/>
                <w:szCs w:val="21"/>
              </w:rPr>
            </w:pPr>
          </w:p>
        </w:tc>
        <w:tc>
          <w:tcPr>
            <w:tcW w:w="1777" w:type="dxa"/>
            <w:noWrap w:val="0"/>
            <w:vAlign w:val="center"/>
          </w:tcPr>
          <w:p w14:paraId="5F05C764">
            <w:pPr>
              <w:jc w:val="center"/>
              <w:rPr>
                <w:rFonts w:ascii="Times New Roman" w:hAnsi="Times New Roman" w:cs="Times New Roman"/>
                <w:sz w:val="21"/>
                <w:szCs w:val="21"/>
              </w:rPr>
            </w:pPr>
            <w:r>
              <w:rPr>
                <w:rFonts w:hint="eastAsia" w:ascii="Times New Roman" w:hAnsi="Times New Roman" w:cs="Times New Roman"/>
                <w:sz w:val="21"/>
                <w:szCs w:val="21"/>
                <w:lang w:val="en-US" w:eastAsia="zh-CN"/>
              </w:rPr>
              <w:t>祁家堡村</w:t>
            </w:r>
          </w:p>
        </w:tc>
        <w:tc>
          <w:tcPr>
            <w:tcW w:w="1553" w:type="dxa"/>
            <w:noWrap w:val="0"/>
            <w:vAlign w:val="center"/>
          </w:tcPr>
          <w:p w14:paraId="1519727C">
            <w:pPr>
              <w:spacing w:line="300" w:lineRule="exact"/>
              <w:jc w:val="center"/>
              <w:rPr>
                <w:rFonts w:ascii="Times New Roman" w:hAnsi="Times New Roman" w:cs="Times New Roman"/>
                <w:sz w:val="21"/>
                <w:szCs w:val="21"/>
              </w:rPr>
            </w:pPr>
            <w:r>
              <w:rPr>
                <w:rFonts w:ascii="Times New Roman" w:hAnsi="Times New Roman" w:cs="Times New Roman"/>
                <w:sz w:val="21"/>
                <w:szCs w:val="21"/>
              </w:rPr>
              <w:t>/</w:t>
            </w:r>
          </w:p>
        </w:tc>
        <w:tc>
          <w:tcPr>
            <w:tcW w:w="1556" w:type="dxa"/>
            <w:noWrap w:val="0"/>
            <w:vAlign w:val="center"/>
          </w:tcPr>
          <w:p w14:paraId="384EDF5D">
            <w:pPr>
              <w:spacing w:line="300" w:lineRule="exact"/>
              <w:jc w:val="center"/>
              <w:rPr>
                <w:rFonts w:ascii="Times New Roman" w:hAnsi="Times New Roman" w:cs="Times New Roman"/>
                <w:sz w:val="21"/>
                <w:szCs w:val="21"/>
              </w:rPr>
            </w:pPr>
            <w:r>
              <w:rPr>
                <w:rFonts w:ascii="Times New Roman" w:hAnsi="Times New Roman" w:cs="Times New Roman"/>
                <w:sz w:val="21"/>
                <w:szCs w:val="21"/>
              </w:rPr>
              <w:t>/</w:t>
            </w:r>
          </w:p>
        </w:tc>
        <w:tc>
          <w:tcPr>
            <w:tcW w:w="1035" w:type="dxa"/>
            <w:noWrap w:val="0"/>
            <w:vAlign w:val="center"/>
          </w:tcPr>
          <w:p w14:paraId="1EF54558">
            <w:pPr>
              <w:spacing w:line="300" w:lineRule="exact"/>
              <w:jc w:val="center"/>
              <w:rPr>
                <w:rFonts w:hint="eastAsia" w:ascii="Times New Roman" w:hAnsi="Times New Roman" w:eastAsia="宋体" w:cs="Times New Roman"/>
                <w:sz w:val="21"/>
                <w:szCs w:val="21"/>
                <w:lang w:eastAsia="zh-CN"/>
              </w:rPr>
            </w:pPr>
            <w:r>
              <w:rPr>
                <w:rFonts w:hint="eastAsia" w:ascii="Times New Roman" w:hAnsi="Times New Roman" w:cs="Times New Roman"/>
                <w:sz w:val="21"/>
                <w:szCs w:val="21"/>
                <w:lang w:val="en-US" w:eastAsia="zh-CN"/>
              </w:rPr>
              <w:t>N</w:t>
            </w:r>
          </w:p>
        </w:tc>
        <w:tc>
          <w:tcPr>
            <w:tcW w:w="1556" w:type="dxa"/>
            <w:noWrap w:val="0"/>
            <w:vAlign w:val="center"/>
          </w:tcPr>
          <w:p w14:paraId="3871EE9D">
            <w:pPr>
              <w:spacing w:line="300" w:lineRule="exact"/>
              <w:jc w:val="center"/>
              <w:rPr>
                <w:rFonts w:hint="default" w:ascii="Times New Roman" w:hAnsi="Times New Roman" w:eastAsia="宋体" w:cs="Times New Roman"/>
                <w:sz w:val="21"/>
                <w:szCs w:val="21"/>
                <w:lang w:val="en-US" w:eastAsia="zh-CN"/>
              </w:rPr>
            </w:pPr>
            <w:r>
              <w:rPr>
                <w:rFonts w:hint="eastAsia" w:ascii="Times New Roman" w:hAnsi="Times New Roman" w:cs="Times New Roman"/>
                <w:sz w:val="21"/>
                <w:szCs w:val="21"/>
                <w:lang w:val="en-US" w:eastAsia="zh-CN"/>
              </w:rPr>
              <w:t>24</w:t>
            </w:r>
          </w:p>
        </w:tc>
        <w:tc>
          <w:tcPr>
            <w:tcW w:w="1548" w:type="dxa"/>
            <w:noWrap w:val="0"/>
            <w:vAlign w:val="center"/>
          </w:tcPr>
          <w:p w14:paraId="5EA165F1">
            <w:pPr>
              <w:jc w:val="center"/>
              <w:rPr>
                <w:rFonts w:ascii="Times New Roman" w:hAnsi="Times New Roman" w:cs="Times New Roman"/>
                <w:sz w:val="21"/>
                <w:szCs w:val="21"/>
              </w:rPr>
            </w:pPr>
            <w:r>
              <w:rPr>
                <w:rFonts w:ascii="Times New Roman" w:hAnsi="Times New Roman" w:cs="Times New Roman"/>
                <w:sz w:val="21"/>
                <w:szCs w:val="21"/>
              </w:rPr>
              <w:t>/</w:t>
            </w:r>
          </w:p>
        </w:tc>
        <w:tc>
          <w:tcPr>
            <w:tcW w:w="1493" w:type="dxa"/>
            <w:vMerge w:val="continue"/>
            <w:noWrap w:val="0"/>
            <w:vAlign w:val="center"/>
          </w:tcPr>
          <w:p w14:paraId="0BC05201">
            <w:pPr>
              <w:spacing w:line="300" w:lineRule="exact"/>
              <w:jc w:val="center"/>
              <w:rPr>
                <w:rFonts w:ascii="Times New Roman" w:hAnsi="Times New Roman" w:cs="Times New Roman"/>
                <w:sz w:val="21"/>
                <w:szCs w:val="21"/>
              </w:rPr>
            </w:pPr>
          </w:p>
        </w:tc>
        <w:tc>
          <w:tcPr>
            <w:tcW w:w="2126" w:type="dxa"/>
            <w:noWrap w:val="0"/>
            <w:vAlign w:val="center"/>
          </w:tcPr>
          <w:p w14:paraId="4E8C46B0">
            <w:pPr>
              <w:spacing w:line="300" w:lineRule="exact"/>
              <w:jc w:val="center"/>
              <w:rPr>
                <w:rFonts w:ascii="Times New Roman" w:hAnsi="Times New Roman" w:cs="Times New Roman"/>
                <w:sz w:val="21"/>
                <w:szCs w:val="21"/>
              </w:rPr>
            </w:pPr>
            <w:r>
              <w:rPr>
                <w:rFonts w:ascii="Times New Roman" w:hAnsi="Times New Roman" w:cs="Times New Roman"/>
                <w:sz w:val="21"/>
                <w:szCs w:val="21"/>
              </w:rPr>
              <w:t>《土壤环境质量 建设用地土壤污染风险管控标准（试行）》（GB36600-2018）中第</w:t>
            </w:r>
            <w:r>
              <w:rPr>
                <w:rFonts w:hint="eastAsia" w:ascii="Times New Roman" w:hAnsi="Times New Roman" w:cs="Times New Roman"/>
                <w:sz w:val="21"/>
                <w:szCs w:val="21"/>
              </w:rPr>
              <w:t>一</w:t>
            </w:r>
            <w:r>
              <w:rPr>
                <w:rFonts w:ascii="Times New Roman" w:hAnsi="Times New Roman" w:cs="Times New Roman"/>
                <w:sz w:val="21"/>
                <w:szCs w:val="21"/>
              </w:rPr>
              <w:t>类用地的筛选值</w:t>
            </w:r>
          </w:p>
        </w:tc>
      </w:tr>
    </w:tbl>
    <w:p w14:paraId="605DE0FE">
      <w:pPr>
        <w:adjustRightInd w:val="0"/>
        <w:jc w:val="center"/>
        <w:rPr>
          <w:rFonts w:ascii="Times New Roman" w:hAnsi="Times New Roman" w:eastAsia="黑体" w:cs="Times New Roman"/>
        </w:rPr>
      </w:pPr>
    </w:p>
    <w:p w14:paraId="3B90A5C8">
      <w:pPr>
        <w:pStyle w:val="310"/>
        <w:spacing w:line="500" w:lineRule="exact"/>
        <w:ind w:firstLine="0" w:firstLineChars="0"/>
        <w:rPr>
          <w:lang w:eastAsia="zh-CN"/>
        </w:rPr>
        <w:sectPr>
          <w:pgSz w:w="16840" w:h="11907" w:orient="landscape"/>
          <w:pgMar w:top="1701" w:right="1701" w:bottom="1701" w:left="1701" w:header="851" w:footer="1077" w:gutter="0"/>
          <w:pgBorders w:offsetFrom="page">
            <w:top w:val="none" w:sz="0" w:space="0"/>
            <w:left w:val="none" w:sz="0" w:space="0"/>
            <w:bottom w:val="none" w:sz="0" w:space="0"/>
            <w:right w:val="none" w:sz="0" w:space="0"/>
          </w:pgBorders>
          <w:pgNumType w:fmt="decimal"/>
          <w:cols w:space="720" w:num="1"/>
          <w:docGrid w:type="lines" w:linePitch="479" w:charSpace="0"/>
        </w:sectPr>
      </w:pPr>
    </w:p>
    <w:p w14:paraId="2E294DD5">
      <w:pPr>
        <w:pStyle w:val="5"/>
      </w:pPr>
      <w:bookmarkStart w:id="182" w:name="_Toc175714247"/>
      <w:bookmarkStart w:id="183" w:name="_Toc175711414"/>
      <w:bookmarkStart w:id="184" w:name="_Toc1568"/>
      <w:bookmarkStart w:id="185" w:name="_Toc90026109"/>
      <w:bookmarkStart w:id="186" w:name="_Toc166464731"/>
      <w:r>
        <w:rPr>
          <w:lang w:eastAsia="zh-CN"/>
        </w:rPr>
        <w:t>2</w:t>
      </w:r>
      <w:r>
        <w:t xml:space="preserve">. </w:t>
      </w:r>
      <w:bookmarkEnd w:id="182"/>
      <w:bookmarkEnd w:id="183"/>
      <w:r>
        <w:rPr>
          <w:rFonts w:hint="eastAsia"/>
          <w:lang w:eastAsia="zh-CN"/>
        </w:rPr>
        <w:t>现有工程回顾性评价</w:t>
      </w:r>
      <w:bookmarkEnd w:id="184"/>
      <w:bookmarkEnd w:id="185"/>
    </w:p>
    <w:bookmarkEnd w:id="186"/>
    <w:p w14:paraId="4A27D848">
      <w:pPr>
        <w:pStyle w:val="6"/>
        <w:spacing w:before="156"/>
      </w:pPr>
      <w:bookmarkStart w:id="187" w:name="_Toc90026110"/>
      <w:bookmarkStart w:id="188" w:name="_Toc10113"/>
      <w:r>
        <w:t>2.1</w:t>
      </w:r>
      <w:bookmarkEnd w:id="170"/>
      <w:bookmarkEnd w:id="171"/>
      <w:bookmarkEnd w:id="172"/>
      <w:bookmarkEnd w:id="173"/>
      <w:bookmarkEnd w:id="174"/>
      <w:bookmarkEnd w:id="175"/>
      <w:bookmarkEnd w:id="176"/>
      <w:bookmarkEnd w:id="177"/>
      <w:bookmarkEnd w:id="178"/>
      <w:bookmarkEnd w:id="179"/>
      <w:bookmarkEnd w:id="180"/>
      <w:bookmarkEnd w:id="181"/>
      <w:r>
        <w:rPr>
          <w:rFonts w:hint="eastAsia"/>
        </w:rPr>
        <w:t xml:space="preserve"> 环保手续回顾及运营现状</w:t>
      </w:r>
      <w:bookmarkEnd w:id="187"/>
      <w:bookmarkEnd w:id="188"/>
    </w:p>
    <w:p w14:paraId="3DCBB594">
      <w:pPr>
        <w:pStyle w:val="7"/>
      </w:pPr>
      <w:bookmarkStart w:id="189" w:name="_Toc18660"/>
      <w:bookmarkStart w:id="190" w:name="_Toc90026212"/>
      <w:r>
        <w:t>2.1.</w:t>
      </w:r>
      <w:r>
        <w:rPr>
          <w:rFonts w:hint="eastAsia"/>
        </w:rPr>
        <w:t>1</w:t>
      </w:r>
      <w:r>
        <w:t xml:space="preserve"> </w:t>
      </w:r>
      <w:r>
        <w:rPr>
          <w:rFonts w:hint="eastAsia"/>
        </w:rPr>
        <w:t>环保手续回顾及运营现状</w:t>
      </w:r>
      <w:bookmarkEnd w:id="189"/>
      <w:bookmarkEnd w:id="190"/>
    </w:p>
    <w:p w14:paraId="3407509D">
      <w:pPr>
        <w:spacing w:line="500" w:lineRule="exact"/>
        <w:ind w:right="6" w:firstLine="480" w:firstLineChars="200"/>
        <w:jc w:val="both"/>
        <w:rPr>
          <w:rFonts w:hint="eastAsia" w:ascii="Times New Roman" w:hAnsi="Times New Roman" w:cs="Times New Roman"/>
          <w:lang w:eastAsia="zh-CN"/>
        </w:rPr>
      </w:pPr>
      <w:r>
        <w:rPr>
          <w:rFonts w:hint="eastAsia" w:ascii="Times New Roman" w:hAnsi="Times New Roman" w:cs="Times New Roman"/>
          <w:lang w:eastAsia="zh-CN"/>
        </w:rPr>
        <w:t>本溪玉麒麟新材料有限公司位于本溪市本溪满族自治县草河口镇祁家堡村，并于2019年2月收购了本溪市北方炼铁厂和本溪连铸曲轴有限公司，本溪玉麒麟新材料有限公司于2019年3月29日取得《关于同意本溪玉麒麟新材料有限公司适用本溪市北方炼铁厂和本溪连铸曲轴有限公司环评文件及批复的函》(本县环函[2019]7号)。公司设炼铁车间、烧结车间、竖炉车间和石灰窑车间等，以生产球墨铸造用生铁为主导产品。公司收购的“本溪市北方炼铁厂”于2011年取得《关于本溪市北方炼铁厂205m3炼铁高炉异地扩建改造项目环境影响报告书的批复》(本环建字[2011]18号)；2021年8年完成自主验收。公司收购的“本溪连铸曲轴有限公司”于2012年取得《关于本溪连铸曲轴有限公司烧结机改造及新上脱硫工艺项目环境影响报告书的批复》(本环建字[2012]26号)；2021年8年完成自主验收。本溪玉麒麟新材料有限公司于2020年，将厂区北侧现有白灰竖窑拆除，在厂区东侧新建1座200m</w:t>
      </w:r>
      <w:r>
        <w:rPr>
          <w:rFonts w:hint="eastAsia" w:ascii="Times New Roman" w:hAnsi="Times New Roman" w:cs="Times New Roman"/>
          <w:vertAlign w:val="superscript"/>
          <w:lang w:eastAsia="zh-CN"/>
        </w:rPr>
        <w:t>3</w:t>
      </w:r>
      <w:r>
        <w:rPr>
          <w:rFonts w:hint="eastAsia" w:ascii="Times New Roman" w:hAnsi="Times New Roman" w:cs="Times New Roman"/>
          <w:lang w:eastAsia="zh-CN"/>
        </w:rPr>
        <w:t>煤气节能环保白灰竖窑(以下简称“本项目”)，年产生石灰4.5万t。于2020年10月27日取得《关于本溪玉麒麟新材料有限公司煤气节能环保石灰窑项目环境影响评价报告表的批复》（本环建字[2020]30号）；2021年8年完成自主验收。2019年11月08日首次申请排污许可证，排污许可证编号：91210521MA0YALYT39001R。</w:t>
      </w:r>
    </w:p>
    <w:p w14:paraId="7C45F57D">
      <w:pPr>
        <w:spacing w:line="500" w:lineRule="exact"/>
        <w:ind w:right="6" w:firstLine="480" w:firstLineChars="200"/>
        <w:jc w:val="both"/>
        <w:rPr>
          <w:rFonts w:ascii="Times New Roman" w:hAnsi="Times New Roman" w:cs="Times New Roman"/>
        </w:rPr>
      </w:pPr>
      <w:r>
        <w:rPr>
          <w:rFonts w:hint="eastAsia" w:ascii="Times New Roman" w:hAnsi="Times New Roman" w:cs="Times New Roman"/>
          <w:lang w:eastAsia="zh-CN"/>
        </w:rPr>
        <w:t>本溪玉麒麟新材料有限公司现有90m</w:t>
      </w:r>
      <w:r>
        <w:rPr>
          <w:rFonts w:hint="eastAsia" w:ascii="Times New Roman" w:hAnsi="Times New Roman" w:cs="Times New Roman"/>
          <w:vertAlign w:val="superscript"/>
          <w:lang w:eastAsia="zh-CN"/>
        </w:rPr>
        <w:t>2</w:t>
      </w:r>
      <w:r>
        <w:rPr>
          <w:rFonts w:hint="eastAsia" w:ascii="Times New Roman" w:hAnsi="Times New Roman" w:cs="Times New Roman"/>
          <w:lang w:eastAsia="zh-CN"/>
        </w:rPr>
        <w:t>步进式烧结机1台，年产烧结矿66万吨；6m</w:t>
      </w:r>
      <w:r>
        <w:rPr>
          <w:rFonts w:hint="eastAsia" w:ascii="Times New Roman" w:hAnsi="Times New Roman" w:cs="Times New Roman"/>
          <w:vertAlign w:val="superscript"/>
          <w:lang w:eastAsia="zh-CN"/>
        </w:rPr>
        <w:t>2</w:t>
      </w:r>
      <w:r>
        <w:rPr>
          <w:rFonts w:hint="eastAsia" w:ascii="Times New Roman" w:hAnsi="Times New Roman" w:cs="Times New Roman"/>
          <w:lang w:eastAsia="zh-CN"/>
        </w:rPr>
        <w:t>环形竖炉3台，年产球团矿14.02万吨；205m</w:t>
      </w:r>
      <w:r>
        <w:rPr>
          <w:rFonts w:hint="eastAsia" w:ascii="Times New Roman" w:hAnsi="Times New Roman" w:cs="Times New Roman"/>
          <w:vertAlign w:val="superscript"/>
          <w:lang w:eastAsia="zh-CN"/>
        </w:rPr>
        <w:t>3</w:t>
      </w:r>
      <w:r>
        <w:rPr>
          <w:rFonts w:hint="eastAsia" w:ascii="Times New Roman" w:hAnsi="Times New Roman" w:cs="Times New Roman"/>
          <w:lang w:eastAsia="zh-CN"/>
        </w:rPr>
        <w:t>高炉1台，年产铸铁26万吨，铁水38.8万吨；石灰窑1座，年产生石灰5.1万吨</w:t>
      </w:r>
      <w:r>
        <w:rPr>
          <w:rFonts w:hint="eastAsia" w:ascii="Times New Roman" w:hAnsi="Times New Roman" w:cs="Times New Roman"/>
        </w:rPr>
        <w:t>。</w:t>
      </w:r>
    </w:p>
    <w:p w14:paraId="26CB8CD7">
      <w:pPr>
        <w:spacing w:line="500" w:lineRule="exact"/>
        <w:ind w:right="6" w:firstLine="480" w:firstLineChars="200"/>
        <w:jc w:val="both"/>
        <w:rPr>
          <w:rFonts w:hint="eastAsia" w:ascii="Times New Roman" w:hAnsi="Times New Roman" w:cs="Times New Roman"/>
          <w:snapToGrid w:val="0"/>
        </w:rPr>
      </w:pPr>
      <w:r>
        <w:rPr>
          <w:rFonts w:hint="eastAsia" w:ascii="Times New Roman" w:hAnsi="Times New Roman" w:cs="Times New Roman"/>
        </w:rPr>
        <w:t>上述</w:t>
      </w:r>
      <w:r>
        <w:rPr>
          <w:rFonts w:ascii="Times New Roman" w:hAnsi="Times New Roman" w:cs="Times New Roman"/>
          <w:snapToGrid w:val="0"/>
        </w:rPr>
        <w:t>项目运行情况及环保手续履行情况见表2.</w:t>
      </w:r>
      <w:r>
        <w:rPr>
          <w:rFonts w:hint="eastAsia" w:ascii="Times New Roman" w:hAnsi="Times New Roman" w:cs="Times New Roman"/>
          <w:snapToGrid w:val="0"/>
        </w:rPr>
        <w:t>1</w:t>
      </w:r>
      <w:r>
        <w:rPr>
          <w:rFonts w:ascii="Times New Roman" w:hAnsi="Times New Roman" w:cs="Times New Roman"/>
          <w:snapToGrid w:val="0"/>
        </w:rPr>
        <w:t>-1</w:t>
      </w:r>
      <w:r>
        <w:rPr>
          <w:rFonts w:hint="eastAsia" w:ascii="Times New Roman" w:hAnsi="Times New Roman" w:cs="Times New Roman"/>
          <w:snapToGrid w:val="0"/>
        </w:rPr>
        <w:t>。</w:t>
      </w:r>
    </w:p>
    <w:p w14:paraId="64F02B5C">
      <w:pPr>
        <w:adjustRightInd w:val="0"/>
        <w:snapToGrid w:val="0"/>
        <w:spacing w:before="93" w:beforeLines="30" w:line="360" w:lineRule="auto"/>
        <w:jc w:val="center"/>
        <w:rPr>
          <w:rFonts w:ascii="Times New Roman" w:hAnsi="Times New Roman" w:eastAsia="黑体" w:cs="Times New Roman"/>
        </w:rPr>
      </w:pPr>
      <w:r>
        <w:rPr>
          <w:rFonts w:ascii="Times New Roman" w:hAnsi="Times New Roman" w:eastAsia="黑体" w:cs="Times New Roman"/>
        </w:rPr>
        <w:t>表</w:t>
      </w:r>
      <w:r>
        <w:rPr>
          <w:rFonts w:hint="eastAsia" w:ascii="Times New Roman" w:hAnsi="Times New Roman" w:eastAsia="黑体" w:cs="Times New Roman"/>
        </w:rPr>
        <w:t>2</w:t>
      </w:r>
      <w:r>
        <w:rPr>
          <w:rFonts w:ascii="Times New Roman" w:hAnsi="Times New Roman" w:eastAsia="黑体" w:cs="Times New Roman"/>
        </w:rPr>
        <w:t>.</w:t>
      </w:r>
      <w:r>
        <w:rPr>
          <w:rFonts w:hint="eastAsia" w:ascii="Times New Roman" w:hAnsi="Times New Roman" w:eastAsia="黑体" w:cs="Times New Roman"/>
        </w:rPr>
        <w:t>1</w:t>
      </w:r>
      <w:r>
        <w:rPr>
          <w:rFonts w:ascii="Times New Roman" w:hAnsi="Times New Roman" w:eastAsia="黑体" w:cs="Times New Roman"/>
        </w:rPr>
        <w:t>-1  现有项目运行情况及环保手续一览表</w:t>
      </w:r>
    </w:p>
    <w:tbl>
      <w:tblPr>
        <w:tblStyle w:val="56"/>
        <w:tblW w:w="5000" w:type="pct"/>
        <w:tblInd w:w="0" w:type="dxa"/>
        <w:tblBorders>
          <w:top w:val="thinThickMediumGap" w:color="auto" w:sz="12" w:space="0"/>
          <w:left w:val="none" w:color="auto" w:sz="0" w:space="0"/>
          <w:bottom w:val="thickThinMediumGap"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556"/>
        <w:gridCol w:w="1270"/>
        <w:gridCol w:w="2034"/>
        <w:gridCol w:w="1521"/>
        <w:gridCol w:w="1622"/>
        <w:gridCol w:w="1717"/>
      </w:tblGrid>
      <w:tr w14:paraId="46510CDA">
        <w:tblPrEx>
          <w:tblBorders>
            <w:top w:val="thinThickMediumGap" w:color="auto" w:sz="12" w:space="0"/>
            <w:left w:val="none" w:color="auto" w:sz="0" w:space="0"/>
            <w:bottom w:val="thickThinMedium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blHeader/>
        </w:trPr>
        <w:tc>
          <w:tcPr>
            <w:tcW w:w="1047" w:type="pct"/>
            <w:gridSpan w:val="2"/>
            <w:shd w:val="clear" w:color="auto" w:fill="D9D9D9"/>
            <w:noWrap w:val="0"/>
            <w:vAlign w:val="center"/>
          </w:tcPr>
          <w:p w14:paraId="15411FDA">
            <w:pPr>
              <w:adjustRightInd w:val="0"/>
              <w:snapToGrid w:val="0"/>
              <w:jc w:val="center"/>
              <w:rPr>
                <w:rFonts w:ascii="Times New Roman" w:hAnsi="Times New Roman" w:cs="Times New Roman"/>
                <w:b/>
                <w:snapToGrid w:val="0"/>
                <w:sz w:val="21"/>
                <w:szCs w:val="21"/>
              </w:rPr>
            </w:pPr>
            <w:r>
              <w:rPr>
                <w:rFonts w:hint="eastAsia" w:ascii="Times New Roman" w:hAnsi="Times New Roman" w:cs="Times New Roman"/>
                <w:b/>
                <w:snapToGrid w:val="0"/>
                <w:sz w:val="21"/>
                <w:szCs w:val="21"/>
                <w:lang w:val="en-US" w:eastAsia="zh-CN"/>
              </w:rPr>
              <w:t>项目</w:t>
            </w:r>
            <w:r>
              <w:rPr>
                <w:rFonts w:ascii="Times New Roman" w:hAnsi="Times New Roman" w:cs="Times New Roman"/>
                <w:b/>
                <w:snapToGrid w:val="0"/>
                <w:sz w:val="21"/>
                <w:szCs w:val="21"/>
              </w:rPr>
              <w:t>名称</w:t>
            </w:r>
          </w:p>
        </w:tc>
        <w:tc>
          <w:tcPr>
            <w:tcW w:w="1166" w:type="pct"/>
            <w:shd w:val="clear" w:color="auto" w:fill="D9D9D9"/>
            <w:noWrap w:val="0"/>
            <w:vAlign w:val="center"/>
          </w:tcPr>
          <w:p w14:paraId="722113D5">
            <w:pPr>
              <w:adjustRightInd w:val="0"/>
              <w:snapToGrid w:val="0"/>
              <w:jc w:val="center"/>
              <w:rPr>
                <w:rFonts w:ascii="Times New Roman" w:hAnsi="Times New Roman" w:cs="Times New Roman"/>
                <w:b/>
                <w:snapToGrid w:val="0"/>
                <w:sz w:val="21"/>
                <w:szCs w:val="21"/>
              </w:rPr>
            </w:pPr>
            <w:r>
              <w:rPr>
                <w:rFonts w:hint="eastAsia" w:ascii="Times New Roman" w:hAnsi="Times New Roman" w:cs="Times New Roman"/>
                <w:b/>
                <w:snapToGrid w:val="0"/>
                <w:sz w:val="21"/>
                <w:szCs w:val="21"/>
              </w:rPr>
              <w:t>主要</w:t>
            </w:r>
            <w:r>
              <w:rPr>
                <w:rFonts w:ascii="Times New Roman" w:hAnsi="Times New Roman" w:cs="Times New Roman"/>
                <w:b/>
                <w:snapToGrid w:val="0"/>
                <w:sz w:val="21"/>
                <w:szCs w:val="21"/>
              </w:rPr>
              <w:t>装置</w:t>
            </w:r>
          </w:p>
        </w:tc>
        <w:tc>
          <w:tcPr>
            <w:tcW w:w="872" w:type="pct"/>
            <w:shd w:val="clear" w:color="auto" w:fill="D9D9D9"/>
            <w:noWrap w:val="0"/>
            <w:vAlign w:val="center"/>
          </w:tcPr>
          <w:p w14:paraId="55AB9635">
            <w:pPr>
              <w:adjustRightInd w:val="0"/>
              <w:snapToGrid w:val="0"/>
              <w:jc w:val="center"/>
              <w:rPr>
                <w:rFonts w:ascii="Times New Roman" w:hAnsi="Times New Roman" w:cs="Times New Roman"/>
                <w:b/>
                <w:snapToGrid w:val="0"/>
                <w:sz w:val="21"/>
                <w:szCs w:val="21"/>
              </w:rPr>
            </w:pPr>
            <w:r>
              <w:rPr>
                <w:rFonts w:ascii="Times New Roman" w:hAnsi="Times New Roman" w:cs="Times New Roman"/>
                <w:b/>
                <w:snapToGrid w:val="0"/>
                <w:sz w:val="21"/>
                <w:szCs w:val="21"/>
              </w:rPr>
              <w:t>运行情况</w:t>
            </w:r>
          </w:p>
        </w:tc>
        <w:tc>
          <w:tcPr>
            <w:tcW w:w="930" w:type="pct"/>
            <w:shd w:val="clear" w:color="auto" w:fill="D9D9D9"/>
            <w:noWrap w:val="0"/>
            <w:vAlign w:val="center"/>
          </w:tcPr>
          <w:p w14:paraId="096E915D">
            <w:pPr>
              <w:adjustRightInd w:val="0"/>
              <w:snapToGrid w:val="0"/>
              <w:jc w:val="center"/>
              <w:rPr>
                <w:rFonts w:ascii="Times New Roman" w:hAnsi="Times New Roman" w:cs="Times New Roman"/>
                <w:b/>
                <w:snapToGrid w:val="0"/>
                <w:sz w:val="21"/>
                <w:szCs w:val="21"/>
              </w:rPr>
            </w:pPr>
            <w:r>
              <w:rPr>
                <w:rFonts w:ascii="Times New Roman" w:hAnsi="Times New Roman" w:cs="Times New Roman"/>
                <w:b/>
                <w:snapToGrid w:val="0"/>
                <w:sz w:val="21"/>
                <w:szCs w:val="21"/>
              </w:rPr>
              <w:t>环评批复</w:t>
            </w:r>
          </w:p>
          <w:p w14:paraId="0316E719">
            <w:pPr>
              <w:adjustRightInd w:val="0"/>
              <w:snapToGrid w:val="0"/>
              <w:jc w:val="center"/>
              <w:rPr>
                <w:rFonts w:ascii="Times New Roman" w:hAnsi="Times New Roman" w:cs="Times New Roman"/>
                <w:b/>
                <w:snapToGrid w:val="0"/>
                <w:sz w:val="21"/>
                <w:szCs w:val="21"/>
              </w:rPr>
            </w:pPr>
            <w:r>
              <w:rPr>
                <w:rFonts w:ascii="Times New Roman" w:hAnsi="Times New Roman" w:cs="Times New Roman"/>
                <w:b/>
                <w:snapToGrid w:val="0"/>
                <w:sz w:val="21"/>
                <w:szCs w:val="21"/>
              </w:rPr>
              <w:t>情况</w:t>
            </w:r>
          </w:p>
        </w:tc>
        <w:tc>
          <w:tcPr>
            <w:tcW w:w="983" w:type="pct"/>
            <w:shd w:val="clear" w:color="auto" w:fill="D9D9D9"/>
            <w:noWrap w:val="0"/>
            <w:vAlign w:val="center"/>
          </w:tcPr>
          <w:p w14:paraId="359894A1">
            <w:pPr>
              <w:adjustRightInd w:val="0"/>
              <w:snapToGrid w:val="0"/>
              <w:jc w:val="center"/>
              <w:rPr>
                <w:rFonts w:ascii="Times New Roman" w:hAnsi="Times New Roman" w:cs="Times New Roman"/>
                <w:b/>
                <w:snapToGrid w:val="0"/>
                <w:sz w:val="21"/>
                <w:szCs w:val="21"/>
              </w:rPr>
            </w:pPr>
            <w:r>
              <w:rPr>
                <w:rFonts w:ascii="Times New Roman" w:hAnsi="Times New Roman" w:cs="Times New Roman"/>
                <w:b/>
                <w:snapToGrid w:val="0"/>
                <w:sz w:val="21"/>
                <w:szCs w:val="21"/>
              </w:rPr>
              <w:t>项目验收</w:t>
            </w:r>
          </w:p>
          <w:p w14:paraId="6907C55E">
            <w:pPr>
              <w:adjustRightInd w:val="0"/>
              <w:snapToGrid w:val="0"/>
              <w:jc w:val="center"/>
              <w:rPr>
                <w:rFonts w:ascii="Times New Roman" w:hAnsi="Times New Roman" w:cs="Times New Roman"/>
                <w:b/>
                <w:snapToGrid w:val="0"/>
                <w:sz w:val="21"/>
                <w:szCs w:val="21"/>
              </w:rPr>
            </w:pPr>
            <w:r>
              <w:rPr>
                <w:rFonts w:ascii="Times New Roman" w:hAnsi="Times New Roman" w:cs="Times New Roman"/>
                <w:b/>
                <w:snapToGrid w:val="0"/>
                <w:sz w:val="21"/>
                <w:szCs w:val="21"/>
              </w:rPr>
              <w:t>情况</w:t>
            </w:r>
          </w:p>
        </w:tc>
      </w:tr>
      <w:tr w14:paraId="052A895B">
        <w:tblPrEx>
          <w:tblBorders>
            <w:top w:val="thinThickMediumGap" w:color="auto" w:sz="12" w:space="0"/>
            <w:left w:val="none" w:color="auto" w:sz="0" w:space="0"/>
            <w:bottom w:val="thickThinMedium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319" w:type="pct"/>
            <w:noWrap w:val="0"/>
            <w:vAlign w:val="center"/>
          </w:tcPr>
          <w:p w14:paraId="08FF2170">
            <w:pPr>
              <w:adjustRightInd w:val="0"/>
              <w:snapToGrid w:val="0"/>
              <w:jc w:val="center"/>
              <w:rPr>
                <w:rFonts w:ascii="Times New Roman" w:hAnsi="Times New Roman" w:cs="Times New Roman"/>
                <w:snapToGrid w:val="0"/>
                <w:sz w:val="21"/>
                <w:szCs w:val="21"/>
              </w:rPr>
            </w:pPr>
            <w:r>
              <w:rPr>
                <w:rFonts w:ascii="Times New Roman" w:hAnsi="Times New Roman" w:cs="Times New Roman"/>
                <w:snapToGrid w:val="0"/>
                <w:sz w:val="21"/>
                <w:szCs w:val="21"/>
              </w:rPr>
              <w:t>1</w:t>
            </w:r>
          </w:p>
        </w:tc>
        <w:tc>
          <w:tcPr>
            <w:tcW w:w="727" w:type="pct"/>
            <w:noWrap w:val="0"/>
            <w:vAlign w:val="center"/>
          </w:tcPr>
          <w:p w14:paraId="2E79C89C">
            <w:pPr>
              <w:adjustRightInd w:val="0"/>
              <w:snapToGrid w:val="0"/>
              <w:jc w:val="center"/>
              <w:rPr>
                <w:rFonts w:hint="default" w:ascii="Times New Roman" w:hAnsi="Times New Roman" w:cs="Times New Roman"/>
                <w:snapToGrid w:val="0"/>
                <w:sz w:val="21"/>
                <w:szCs w:val="21"/>
                <w:vertAlign w:val="baseline"/>
                <w:lang w:val="en-US"/>
              </w:rPr>
            </w:pPr>
            <w:r>
              <w:rPr>
                <w:rFonts w:hint="eastAsia" w:ascii="Times New Roman" w:hAnsi="Times New Roman" w:cs="Times New Roman"/>
                <w:snapToGrid w:val="0"/>
                <w:sz w:val="21"/>
                <w:szCs w:val="21"/>
                <w:lang w:val="en-US" w:eastAsia="zh-CN"/>
              </w:rPr>
              <w:t>本溪市北方炼铁厂205m</w:t>
            </w:r>
            <w:r>
              <w:rPr>
                <w:rFonts w:hint="eastAsia" w:ascii="Times New Roman" w:hAnsi="Times New Roman" w:cs="Times New Roman"/>
                <w:snapToGrid w:val="0"/>
                <w:sz w:val="21"/>
                <w:szCs w:val="21"/>
                <w:vertAlign w:val="superscript"/>
                <w:lang w:val="en-US" w:eastAsia="zh-CN"/>
              </w:rPr>
              <w:t>3</w:t>
            </w:r>
            <w:r>
              <w:rPr>
                <w:rFonts w:hint="eastAsia" w:ascii="Times New Roman" w:hAnsi="Times New Roman" w:cs="Times New Roman"/>
                <w:snapToGrid w:val="0"/>
                <w:sz w:val="21"/>
                <w:szCs w:val="21"/>
                <w:vertAlign w:val="baseline"/>
                <w:lang w:val="en-US" w:eastAsia="zh-CN"/>
              </w:rPr>
              <w:t>炼铁高炉异地扩建改造项目</w:t>
            </w:r>
          </w:p>
        </w:tc>
        <w:tc>
          <w:tcPr>
            <w:tcW w:w="1166" w:type="pct"/>
            <w:noWrap w:val="0"/>
            <w:vAlign w:val="center"/>
          </w:tcPr>
          <w:p w14:paraId="3479D1F9">
            <w:pPr>
              <w:adjustRightInd w:val="0"/>
              <w:snapToGrid w:val="0"/>
              <w:jc w:val="center"/>
              <w:rPr>
                <w:rFonts w:ascii="Times New Roman" w:hAnsi="Times New Roman" w:cs="Times New Roman"/>
                <w:snapToGrid w:val="0"/>
                <w:sz w:val="21"/>
                <w:szCs w:val="21"/>
              </w:rPr>
            </w:pPr>
            <w:r>
              <w:rPr>
                <w:rFonts w:hint="eastAsia" w:ascii="Times New Roman" w:hAnsi="Times New Roman" w:cs="Times New Roman"/>
                <w:snapToGrid w:val="0"/>
                <w:sz w:val="21"/>
                <w:szCs w:val="21"/>
                <w:lang w:val="en-US" w:eastAsia="zh-CN"/>
              </w:rPr>
              <w:t>箱式</w:t>
            </w:r>
            <w:r>
              <w:rPr>
                <w:rFonts w:hint="eastAsia" w:ascii="Times New Roman" w:hAnsi="Times New Roman" w:cs="Times New Roman"/>
                <w:snapToGrid w:val="0"/>
                <w:sz w:val="21"/>
                <w:szCs w:val="21"/>
              </w:rPr>
              <w:t>烧结机1台，年产烧结矿66万吨；6m</w:t>
            </w:r>
            <w:r>
              <w:rPr>
                <w:rFonts w:hint="eastAsia" w:ascii="Times New Roman" w:hAnsi="Times New Roman" w:cs="Times New Roman"/>
                <w:snapToGrid w:val="0"/>
                <w:sz w:val="21"/>
                <w:szCs w:val="21"/>
                <w:vertAlign w:val="superscript"/>
              </w:rPr>
              <w:t>2</w:t>
            </w:r>
            <w:r>
              <w:rPr>
                <w:rFonts w:hint="eastAsia" w:ascii="Times New Roman" w:hAnsi="Times New Roman" w:cs="Times New Roman"/>
                <w:snapToGrid w:val="0"/>
                <w:sz w:val="21"/>
                <w:szCs w:val="21"/>
              </w:rPr>
              <w:t>环形竖炉3台，年产球团矿14.02万吨；205m</w:t>
            </w:r>
            <w:r>
              <w:rPr>
                <w:rFonts w:hint="eastAsia" w:ascii="Times New Roman" w:hAnsi="Times New Roman" w:cs="Times New Roman"/>
                <w:snapToGrid w:val="0"/>
                <w:sz w:val="21"/>
                <w:szCs w:val="21"/>
                <w:vertAlign w:val="superscript"/>
              </w:rPr>
              <w:t>3</w:t>
            </w:r>
            <w:r>
              <w:rPr>
                <w:rFonts w:hint="eastAsia" w:ascii="Times New Roman" w:hAnsi="Times New Roman" w:cs="Times New Roman"/>
                <w:snapToGrid w:val="0"/>
                <w:sz w:val="21"/>
                <w:szCs w:val="21"/>
              </w:rPr>
              <w:t>高炉1台，年产铸铁26万吨，铁水38.8万吨；石灰窑1座，年产生石灰5.1万吨。</w:t>
            </w:r>
          </w:p>
        </w:tc>
        <w:tc>
          <w:tcPr>
            <w:tcW w:w="872" w:type="pct"/>
            <w:noWrap w:val="0"/>
            <w:vAlign w:val="center"/>
          </w:tcPr>
          <w:p w14:paraId="0EF61C98">
            <w:pPr>
              <w:adjustRightInd w:val="0"/>
              <w:snapToGrid w:val="0"/>
              <w:jc w:val="center"/>
              <w:rPr>
                <w:rFonts w:hint="default" w:ascii="Times New Roman" w:hAnsi="Times New Roman" w:eastAsia="宋体" w:cs="Times New Roman"/>
                <w:snapToGrid w:val="0"/>
                <w:sz w:val="21"/>
                <w:szCs w:val="21"/>
                <w:lang w:val="en-US" w:eastAsia="zh-CN"/>
              </w:rPr>
            </w:pPr>
            <w:r>
              <w:rPr>
                <w:rFonts w:hint="eastAsia" w:ascii="Times New Roman" w:hAnsi="Times New Roman" w:cs="Times New Roman"/>
                <w:snapToGrid w:val="0"/>
                <w:sz w:val="21"/>
                <w:szCs w:val="21"/>
              </w:rPr>
              <w:t>正常运行</w:t>
            </w:r>
            <w:r>
              <w:rPr>
                <w:rFonts w:hint="eastAsia" w:ascii="Times New Roman" w:hAnsi="Times New Roman" w:cs="Times New Roman"/>
                <w:snapToGrid w:val="0"/>
                <w:sz w:val="21"/>
                <w:szCs w:val="21"/>
                <w:lang w:eastAsia="zh-CN"/>
              </w:rPr>
              <w:t>，</w:t>
            </w:r>
            <w:r>
              <w:rPr>
                <w:rFonts w:hint="eastAsia" w:ascii="Times New Roman" w:hAnsi="Times New Roman" w:cs="Times New Roman"/>
                <w:snapToGrid w:val="0"/>
                <w:sz w:val="21"/>
                <w:szCs w:val="21"/>
                <w:lang w:val="en-US" w:eastAsia="zh-CN"/>
              </w:rPr>
              <w:t>箱式</w:t>
            </w:r>
            <w:r>
              <w:rPr>
                <w:rFonts w:hint="eastAsia" w:ascii="Times New Roman" w:hAnsi="Times New Roman" w:cs="Times New Roman"/>
                <w:snapToGrid w:val="0"/>
                <w:sz w:val="21"/>
                <w:szCs w:val="21"/>
              </w:rPr>
              <w:t>烧结机1台</w:t>
            </w:r>
            <w:r>
              <w:rPr>
                <w:rFonts w:hint="eastAsia" w:ascii="Times New Roman" w:hAnsi="Times New Roman" w:cs="Times New Roman"/>
                <w:snapToGrid w:val="0"/>
                <w:sz w:val="21"/>
                <w:szCs w:val="21"/>
                <w:lang w:val="en-US" w:eastAsia="zh-CN"/>
              </w:rPr>
              <w:t>淘汰，石灰窑后续改造</w:t>
            </w:r>
          </w:p>
        </w:tc>
        <w:tc>
          <w:tcPr>
            <w:tcW w:w="930" w:type="pct"/>
            <w:noWrap w:val="0"/>
            <w:vAlign w:val="center"/>
          </w:tcPr>
          <w:p w14:paraId="4F6ADB7D">
            <w:pPr>
              <w:adjustRightInd w:val="0"/>
              <w:snapToGrid w:val="0"/>
              <w:jc w:val="center"/>
              <w:rPr>
                <w:rFonts w:hint="default" w:ascii="Times New Roman" w:hAnsi="Times New Roman" w:eastAsia="宋体" w:cs="Times New Roman"/>
                <w:snapToGrid w:val="0"/>
                <w:sz w:val="21"/>
                <w:szCs w:val="21"/>
                <w:lang w:val="en-US" w:eastAsia="zh-CN"/>
              </w:rPr>
            </w:pPr>
            <w:r>
              <w:rPr>
                <w:rFonts w:hint="eastAsia" w:ascii="Times New Roman" w:hAnsi="Times New Roman" w:cs="Times New Roman"/>
                <w:snapToGrid w:val="0"/>
                <w:sz w:val="21"/>
                <w:szCs w:val="21"/>
                <w:lang w:val="en-US" w:eastAsia="zh-CN"/>
              </w:rPr>
              <w:t>本环建字[2011]18号</w:t>
            </w:r>
          </w:p>
        </w:tc>
        <w:tc>
          <w:tcPr>
            <w:tcW w:w="983" w:type="pct"/>
            <w:noWrap w:val="0"/>
            <w:vAlign w:val="center"/>
          </w:tcPr>
          <w:p w14:paraId="496A1F6B">
            <w:pPr>
              <w:adjustRightInd w:val="0"/>
              <w:snapToGrid w:val="0"/>
              <w:jc w:val="center"/>
              <w:rPr>
                <w:rFonts w:hint="default" w:ascii="Times New Roman" w:hAnsi="Times New Roman" w:eastAsia="宋体" w:cs="Times New Roman"/>
                <w:snapToGrid w:val="0"/>
                <w:sz w:val="21"/>
                <w:szCs w:val="21"/>
                <w:lang w:val="en-US" w:eastAsia="zh-CN"/>
              </w:rPr>
            </w:pPr>
            <w:r>
              <w:rPr>
                <w:rFonts w:hint="eastAsia" w:ascii="Times New Roman" w:hAnsi="Times New Roman" w:cs="Times New Roman"/>
                <w:snapToGrid w:val="0"/>
                <w:sz w:val="21"/>
                <w:szCs w:val="21"/>
                <w:lang w:val="en-US" w:eastAsia="zh-CN"/>
              </w:rPr>
              <w:t>2021年8月自主验收</w:t>
            </w:r>
          </w:p>
        </w:tc>
      </w:tr>
      <w:tr w14:paraId="62D05E97">
        <w:tblPrEx>
          <w:tblBorders>
            <w:top w:val="thinThickMediumGap" w:color="auto" w:sz="12" w:space="0"/>
            <w:left w:val="none" w:color="auto" w:sz="0" w:space="0"/>
            <w:bottom w:val="thickThinMedium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319" w:type="pct"/>
            <w:noWrap w:val="0"/>
            <w:vAlign w:val="center"/>
          </w:tcPr>
          <w:p w14:paraId="505681BC">
            <w:pPr>
              <w:adjustRightInd w:val="0"/>
              <w:snapToGrid w:val="0"/>
              <w:jc w:val="center"/>
              <w:rPr>
                <w:rFonts w:ascii="Times New Roman" w:hAnsi="Times New Roman" w:cs="Times New Roman"/>
                <w:snapToGrid w:val="0"/>
                <w:sz w:val="21"/>
                <w:szCs w:val="21"/>
              </w:rPr>
            </w:pPr>
            <w:r>
              <w:rPr>
                <w:rFonts w:ascii="Times New Roman" w:hAnsi="Times New Roman" w:cs="Times New Roman"/>
                <w:snapToGrid w:val="0"/>
                <w:sz w:val="21"/>
                <w:szCs w:val="21"/>
              </w:rPr>
              <w:t>2</w:t>
            </w:r>
          </w:p>
        </w:tc>
        <w:tc>
          <w:tcPr>
            <w:tcW w:w="727" w:type="pct"/>
            <w:noWrap w:val="0"/>
            <w:vAlign w:val="center"/>
          </w:tcPr>
          <w:p w14:paraId="2434C440">
            <w:pPr>
              <w:adjustRightInd w:val="0"/>
              <w:snapToGrid w:val="0"/>
              <w:jc w:val="center"/>
              <w:rPr>
                <w:rFonts w:hint="default" w:ascii="Times New Roman" w:hAnsi="Times New Roman" w:cs="Times New Roman"/>
                <w:snapToGrid w:val="0"/>
                <w:sz w:val="21"/>
                <w:szCs w:val="21"/>
                <w:lang w:val="en-US"/>
              </w:rPr>
            </w:pPr>
            <w:r>
              <w:rPr>
                <w:rFonts w:hint="eastAsia" w:ascii="Times New Roman" w:hAnsi="Times New Roman" w:cs="Times New Roman"/>
                <w:snapToGrid w:val="0"/>
                <w:sz w:val="21"/>
                <w:szCs w:val="21"/>
                <w:lang w:val="en-US" w:eastAsia="zh-CN"/>
              </w:rPr>
              <w:t>本溪连铸曲轴有限公司烧结机改造及新上脱硫工艺项目</w:t>
            </w:r>
          </w:p>
        </w:tc>
        <w:tc>
          <w:tcPr>
            <w:tcW w:w="1166" w:type="pct"/>
            <w:noWrap w:val="0"/>
            <w:vAlign w:val="center"/>
          </w:tcPr>
          <w:p w14:paraId="1781844F">
            <w:pPr>
              <w:adjustRightInd w:val="0"/>
              <w:snapToGrid w:val="0"/>
              <w:jc w:val="center"/>
              <w:rPr>
                <w:rFonts w:ascii="Times New Roman" w:hAnsi="Times New Roman" w:cs="Times New Roman"/>
                <w:snapToGrid w:val="0"/>
                <w:sz w:val="21"/>
                <w:szCs w:val="21"/>
              </w:rPr>
            </w:pPr>
            <w:r>
              <w:rPr>
                <w:rFonts w:hint="eastAsia" w:ascii="Times New Roman" w:hAnsi="Times New Roman" w:cs="Times New Roman"/>
                <w:snapToGrid w:val="0"/>
                <w:sz w:val="21"/>
                <w:szCs w:val="21"/>
              </w:rPr>
              <w:t>90m</w:t>
            </w:r>
            <w:r>
              <w:rPr>
                <w:rFonts w:hint="eastAsia" w:ascii="Times New Roman" w:hAnsi="Times New Roman" w:cs="Times New Roman"/>
                <w:snapToGrid w:val="0"/>
                <w:sz w:val="21"/>
                <w:szCs w:val="21"/>
                <w:vertAlign w:val="superscript"/>
              </w:rPr>
              <w:t>2</w:t>
            </w:r>
            <w:r>
              <w:rPr>
                <w:rFonts w:hint="eastAsia" w:ascii="Times New Roman" w:hAnsi="Times New Roman" w:cs="Times New Roman"/>
                <w:snapToGrid w:val="0"/>
                <w:sz w:val="21"/>
                <w:szCs w:val="21"/>
              </w:rPr>
              <w:t>步进式烧结机1台</w:t>
            </w:r>
          </w:p>
        </w:tc>
        <w:tc>
          <w:tcPr>
            <w:tcW w:w="872" w:type="pct"/>
            <w:noWrap w:val="0"/>
            <w:vAlign w:val="center"/>
          </w:tcPr>
          <w:p w14:paraId="5DCB1525">
            <w:pPr>
              <w:adjustRightInd w:val="0"/>
              <w:snapToGrid w:val="0"/>
              <w:jc w:val="center"/>
              <w:rPr>
                <w:rFonts w:hint="eastAsia" w:ascii="Times New Roman" w:hAnsi="Times New Roman" w:eastAsia="宋体" w:cs="Times New Roman"/>
                <w:snapToGrid w:val="0"/>
                <w:sz w:val="21"/>
                <w:szCs w:val="21"/>
                <w:lang w:eastAsia="zh-CN"/>
              </w:rPr>
            </w:pPr>
            <w:r>
              <w:rPr>
                <w:rFonts w:hint="eastAsia" w:ascii="Times New Roman" w:hAnsi="Times New Roman" w:cs="Times New Roman"/>
                <w:snapToGrid w:val="0"/>
                <w:sz w:val="21"/>
                <w:szCs w:val="21"/>
              </w:rPr>
              <w:t>正常</w:t>
            </w:r>
            <w:r>
              <w:rPr>
                <w:rFonts w:hint="eastAsia" w:ascii="Times New Roman" w:hAnsi="Times New Roman" w:cs="Times New Roman"/>
                <w:snapToGrid w:val="0"/>
                <w:sz w:val="21"/>
                <w:szCs w:val="21"/>
                <w:lang w:val="en-US" w:eastAsia="zh-CN"/>
              </w:rPr>
              <w:t>运行</w:t>
            </w:r>
          </w:p>
        </w:tc>
        <w:tc>
          <w:tcPr>
            <w:tcW w:w="1622" w:type="dxa"/>
            <w:noWrap w:val="0"/>
            <w:vAlign w:val="center"/>
          </w:tcPr>
          <w:p w14:paraId="40DD9BC1">
            <w:pPr>
              <w:adjustRightInd w:val="0"/>
              <w:snapToGrid w:val="0"/>
              <w:jc w:val="center"/>
              <w:rPr>
                <w:rFonts w:ascii="Times New Roman" w:hAnsi="Times New Roman" w:cs="Times New Roman"/>
                <w:snapToGrid w:val="0"/>
                <w:sz w:val="21"/>
                <w:szCs w:val="21"/>
              </w:rPr>
            </w:pPr>
            <w:r>
              <w:rPr>
                <w:rFonts w:hint="eastAsia" w:ascii="Times New Roman" w:hAnsi="Times New Roman" w:cs="Times New Roman"/>
                <w:snapToGrid w:val="0"/>
                <w:sz w:val="21"/>
                <w:szCs w:val="21"/>
                <w:lang w:val="en-US" w:eastAsia="zh-CN"/>
              </w:rPr>
              <w:t>本县环函[2019]7号</w:t>
            </w:r>
          </w:p>
        </w:tc>
        <w:tc>
          <w:tcPr>
            <w:tcW w:w="1717" w:type="dxa"/>
            <w:noWrap w:val="0"/>
            <w:vAlign w:val="center"/>
          </w:tcPr>
          <w:p w14:paraId="6924A18D">
            <w:pPr>
              <w:adjustRightInd w:val="0"/>
              <w:snapToGrid w:val="0"/>
              <w:jc w:val="center"/>
              <w:rPr>
                <w:rFonts w:ascii="Times New Roman" w:hAnsi="Times New Roman" w:cs="Times New Roman"/>
                <w:snapToGrid w:val="0"/>
                <w:sz w:val="21"/>
                <w:szCs w:val="21"/>
              </w:rPr>
            </w:pPr>
            <w:r>
              <w:rPr>
                <w:rFonts w:hint="eastAsia" w:ascii="Times New Roman" w:hAnsi="Times New Roman" w:cs="Times New Roman"/>
                <w:snapToGrid w:val="0"/>
                <w:sz w:val="21"/>
                <w:szCs w:val="21"/>
                <w:lang w:val="en-US" w:eastAsia="zh-CN"/>
              </w:rPr>
              <w:t>2021年8月自主验收</w:t>
            </w:r>
          </w:p>
        </w:tc>
      </w:tr>
      <w:tr w14:paraId="2411E7A2">
        <w:tblPrEx>
          <w:tblBorders>
            <w:top w:val="thinThickMediumGap" w:color="auto" w:sz="12" w:space="0"/>
            <w:left w:val="none" w:color="auto" w:sz="0" w:space="0"/>
            <w:bottom w:val="thickThinMedium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319" w:type="pct"/>
            <w:noWrap w:val="0"/>
            <w:vAlign w:val="center"/>
          </w:tcPr>
          <w:p w14:paraId="4EDB1A2F">
            <w:pPr>
              <w:adjustRightInd w:val="0"/>
              <w:snapToGrid w:val="0"/>
              <w:jc w:val="center"/>
              <w:rPr>
                <w:rFonts w:hint="eastAsia" w:ascii="Times New Roman" w:hAnsi="Times New Roman" w:eastAsia="宋体" w:cs="Times New Roman"/>
                <w:snapToGrid w:val="0"/>
                <w:sz w:val="21"/>
                <w:szCs w:val="21"/>
                <w:lang w:val="en-US" w:eastAsia="zh-CN"/>
              </w:rPr>
            </w:pPr>
            <w:r>
              <w:rPr>
                <w:rFonts w:hint="eastAsia" w:ascii="Times New Roman" w:hAnsi="Times New Roman" w:cs="Times New Roman"/>
                <w:snapToGrid w:val="0"/>
                <w:sz w:val="21"/>
                <w:szCs w:val="21"/>
                <w:lang w:val="en-US" w:eastAsia="zh-CN"/>
              </w:rPr>
              <w:t>3</w:t>
            </w:r>
          </w:p>
        </w:tc>
        <w:tc>
          <w:tcPr>
            <w:tcW w:w="727" w:type="pct"/>
            <w:noWrap w:val="0"/>
            <w:vAlign w:val="center"/>
          </w:tcPr>
          <w:p w14:paraId="39EEE4A4">
            <w:pPr>
              <w:adjustRightInd w:val="0"/>
              <w:snapToGrid w:val="0"/>
              <w:jc w:val="center"/>
              <w:rPr>
                <w:rFonts w:hint="default" w:ascii="Times New Roman" w:hAnsi="Times New Roman" w:cs="Times New Roman"/>
                <w:snapToGrid w:val="0"/>
                <w:sz w:val="21"/>
                <w:szCs w:val="21"/>
                <w:lang w:val="en-US" w:eastAsia="zh-CN"/>
              </w:rPr>
            </w:pPr>
            <w:r>
              <w:rPr>
                <w:rFonts w:hint="eastAsia" w:ascii="Times New Roman" w:hAnsi="Times New Roman" w:cs="Times New Roman"/>
                <w:snapToGrid w:val="0"/>
                <w:sz w:val="21"/>
                <w:szCs w:val="21"/>
                <w:lang w:val="en-US" w:eastAsia="zh-CN"/>
              </w:rPr>
              <w:t>本溪玉麒麟新材料有限公司煤气节能环保石灰窑项目</w:t>
            </w:r>
          </w:p>
        </w:tc>
        <w:tc>
          <w:tcPr>
            <w:tcW w:w="1166" w:type="pct"/>
            <w:noWrap w:val="0"/>
            <w:vAlign w:val="center"/>
          </w:tcPr>
          <w:p w14:paraId="26730D0E">
            <w:pPr>
              <w:adjustRightInd w:val="0"/>
              <w:snapToGrid w:val="0"/>
              <w:jc w:val="center"/>
              <w:rPr>
                <w:rFonts w:hint="eastAsia" w:ascii="Times New Roman" w:hAnsi="Times New Roman" w:cs="Times New Roman"/>
                <w:snapToGrid w:val="0"/>
                <w:sz w:val="21"/>
                <w:szCs w:val="21"/>
              </w:rPr>
            </w:pPr>
            <w:r>
              <w:rPr>
                <w:rFonts w:hint="eastAsia" w:ascii="Times New Roman" w:hAnsi="Times New Roman" w:cs="Times New Roman"/>
                <w:snapToGrid w:val="0"/>
                <w:sz w:val="21"/>
                <w:szCs w:val="21"/>
              </w:rPr>
              <w:t>石灰窑1座</w:t>
            </w:r>
            <w:r>
              <w:rPr>
                <w:rFonts w:hint="eastAsia" w:ascii="Times New Roman" w:hAnsi="Times New Roman" w:cs="Times New Roman"/>
                <w:snapToGrid w:val="0"/>
                <w:sz w:val="21"/>
                <w:szCs w:val="21"/>
                <w:lang w:val="en-US" w:eastAsia="zh-CN"/>
              </w:rPr>
              <w:t>改建</w:t>
            </w:r>
            <w:r>
              <w:rPr>
                <w:rFonts w:hint="eastAsia" w:ascii="Times New Roman" w:hAnsi="Times New Roman" w:cs="Times New Roman"/>
                <w:snapToGrid w:val="0"/>
                <w:sz w:val="21"/>
                <w:szCs w:val="21"/>
              </w:rPr>
              <w:t>，年产生石灰</w:t>
            </w:r>
            <w:r>
              <w:rPr>
                <w:rFonts w:hint="eastAsia" w:ascii="Times New Roman" w:hAnsi="Times New Roman" w:cs="Times New Roman"/>
                <w:snapToGrid w:val="0"/>
                <w:sz w:val="21"/>
                <w:szCs w:val="21"/>
                <w:lang w:val="en-US" w:eastAsia="zh-CN"/>
              </w:rPr>
              <w:t>4.5</w:t>
            </w:r>
            <w:r>
              <w:rPr>
                <w:rFonts w:hint="eastAsia" w:ascii="Times New Roman" w:hAnsi="Times New Roman" w:cs="Times New Roman"/>
                <w:snapToGrid w:val="0"/>
                <w:sz w:val="21"/>
                <w:szCs w:val="21"/>
              </w:rPr>
              <w:t>万吨。</w:t>
            </w:r>
          </w:p>
        </w:tc>
        <w:tc>
          <w:tcPr>
            <w:tcW w:w="872" w:type="pct"/>
            <w:noWrap w:val="0"/>
            <w:vAlign w:val="center"/>
          </w:tcPr>
          <w:p w14:paraId="77CC8464">
            <w:pPr>
              <w:adjustRightInd w:val="0"/>
              <w:snapToGrid w:val="0"/>
              <w:jc w:val="center"/>
              <w:rPr>
                <w:rFonts w:hint="eastAsia" w:ascii="Times New Roman" w:hAnsi="Times New Roman" w:cs="Times New Roman"/>
                <w:snapToGrid w:val="0"/>
                <w:sz w:val="21"/>
                <w:szCs w:val="21"/>
              </w:rPr>
            </w:pPr>
            <w:r>
              <w:rPr>
                <w:rFonts w:hint="eastAsia" w:ascii="Times New Roman" w:hAnsi="Times New Roman" w:cs="Times New Roman"/>
                <w:snapToGrid w:val="0"/>
                <w:sz w:val="21"/>
                <w:szCs w:val="21"/>
              </w:rPr>
              <w:t>正常</w:t>
            </w:r>
            <w:r>
              <w:rPr>
                <w:rFonts w:hint="eastAsia" w:ascii="Times New Roman" w:hAnsi="Times New Roman" w:cs="Times New Roman"/>
                <w:snapToGrid w:val="0"/>
                <w:sz w:val="21"/>
                <w:szCs w:val="21"/>
                <w:lang w:val="en-US" w:eastAsia="zh-CN"/>
              </w:rPr>
              <w:t>运行</w:t>
            </w:r>
          </w:p>
        </w:tc>
        <w:tc>
          <w:tcPr>
            <w:tcW w:w="930" w:type="pct"/>
            <w:noWrap w:val="0"/>
            <w:vAlign w:val="center"/>
          </w:tcPr>
          <w:p w14:paraId="6446F502">
            <w:pPr>
              <w:adjustRightInd w:val="0"/>
              <w:snapToGrid w:val="0"/>
              <w:jc w:val="center"/>
              <w:rPr>
                <w:rFonts w:hint="eastAsia" w:ascii="Times New Roman" w:hAnsi="Times New Roman" w:cs="Times New Roman"/>
                <w:snapToGrid w:val="0"/>
                <w:sz w:val="21"/>
                <w:szCs w:val="21"/>
              </w:rPr>
            </w:pPr>
            <w:r>
              <w:rPr>
                <w:rFonts w:hint="eastAsia" w:ascii="Times New Roman" w:hAnsi="Times New Roman" w:cs="Times New Roman"/>
                <w:snapToGrid w:val="0"/>
                <w:sz w:val="21"/>
                <w:szCs w:val="21"/>
                <w:lang w:val="en-US" w:eastAsia="zh-CN"/>
              </w:rPr>
              <w:t>本环建字[2020]30号</w:t>
            </w:r>
          </w:p>
        </w:tc>
        <w:tc>
          <w:tcPr>
            <w:tcW w:w="983" w:type="pct"/>
            <w:noWrap w:val="0"/>
            <w:vAlign w:val="center"/>
          </w:tcPr>
          <w:p w14:paraId="48BD66C6">
            <w:pPr>
              <w:adjustRightInd w:val="0"/>
              <w:snapToGrid w:val="0"/>
              <w:jc w:val="center"/>
              <w:rPr>
                <w:rFonts w:hint="eastAsia" w:ascii="Times New Roman" w:hAnsi="Times New Roman" w:cs="Times New Roman"/>
                <w:snapToGrid w:val="0"/>
                <w:sz w:val="21"/>
                <w:szCs w:val="21"/>
              </w:rPr>
            </w:pPr>
            <w:r>
              <w:rPr>
                <w:rFonts w:hint="eastAsia" w:ascii="Times New Roman" w:hAnsi="Times New Roman" w:cs="Times New Roman"/>
                <w:snapToGrid w:val="0"/>
                <w:sz w:val="21"/>
                <w:szCs w:val="21"/>
                <w:lang w:val="en-US" w:eastAsia="zh-CN"/>
              </w:rPr>
              <w:t>2021年8月自主验收</w:t>
            </w:r>
          </w:p>
        </w:tc>
      </w:tr>
      <w:tr w14:paraId="1BECEDFB">
        <w:tblPrEx>
          <w:tblBorders>
            <w:top w:val="thinThickMediumGap" w:color="auto" w:sz="12" w:space="0"/>
            <w:left w:val="none" w:color="auto" w:sz="0" w:space="0"/>
            <w:bottom w:val="thickThinMedium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19" w:type="pct"/>
            <w:noWrap w:val="0"/>
            <w:vAlign w:val="center"/>
          </w:tcPr>
          <w:p w14:paraId="13A6193F">
            <w:pPr>
              <w:adjustRightInd w:val="0"/>
              <w:snapToGrid w:val="0"/>
              <w:jc w:val="center"/>
              <w:rPr>
                <w:rFonts w:hint="eastAsia" w:ascii="Times New Roman" w:hAnsi="Times New Roman" w:eastAsia="宋体" w:cs="Times New Roman"/>
                <w:snapToGrid w:val="0"/>
                <w:sz w:val="21"/>
                <w:szCs w:val="21"/>
                <w:lang w:eastAsia="zh-CN"/>
              </w:rPr>
            </w:pPr>
            <w:r>
              <w:rPr>
                <w:rFonts w:hint="eastAsia" w:ascii="Times New Roman" w:hAnsi="Times New Roman" w:cs="Times New Roman"/>
                <w:snapToGrid w:val="0"/>
                <w:sz w:val="21"/>
                <w:szCs w:val="21"/>
                <w:lang w:val="en-US" w:eastAsia="zh-CN"/>
              </w:rPr>
              <w:t>4</w:t>
            </w:r>
          </w:p>
        </w:tc>
        <w:tc>
          <w:tcPr>
            <w:tcW w:w="727" w:type="pct"/>
            <w:noWrap w:val="0"/>
            <w:vAlign w:val="center"/>
          </w:tcPr>
          <w:p w14:paraId="416AC4A4">
            <w:pPr>
              <w:adjustRightInd w:val="0"/>
              <w:snapToGrid w:val="0"/>
              <w:jc w:val="center"/>
              <w:rPr>
                <w:rFonts w:hint="default" w:ascii="Times New Roman" w:hAnsi="Times New Roman" w:eastAsia="宋体" w:cs="Times New Roman"/>
                <w:snapToGrid w:val="0"/>
                <w:sz w:val="21"/>
                <w:szCs w:val="21"/>
                <w:lang w:val="en-US" w:eastAsia="zh-CN"/>
              </w:rPr>
            </w:pPr>
            <w:r>
              <w:rPr>
                <w:rFonts w:hint="eastAsia" w:ascii="Times New Roman" w:hAnsi="Times New Roman" w:cs="Times New Roman"/>
                <w:snapToGrid w:val="0"/>
                <w:sz w:val="21"/>
                <w:szCs w:val="21"/>
                <w:lang w:val="en-US" w:eastAsia="zh-CN"/>
              </w:rPr>
              <w:t>烧结下料</w:t>
            </w:r>
          </w:p>
        </w:tc>
        <w:tc>
          <w:tcPr>
            <w:tcW w:w="3952" w:type="pct"/>
            <w:gridSpan w:val="4"/>
            <w:noWrap w:val="0"/>
            <w:vAlign w:val="center"/>
          </w:tcPr>
          <w:p w14:paraId="665F76AE">
            <w:pPr>
              <w:adjustRightInd w:val="0"/>
              <w:snapToGrid w:val="0"/>
              <w:jc w:val="both"/>
              <w:rPr>
                <w:rFonts w:hint="eastAsia" w:ascii="Times New Roman" w:hAnsi="Times New Roman" w:cs="Times New Roman"/>
                <w:snapToGrid w:val="0"/>
                <w:sz w:val="21"/>
                <w:szCs w:val="21"/>
              </w:rPr>
            </w:pPr>
            <w:r>
              <w:rPr>
                <w:rFonts w:hint="eastAsia" w:ascii="Times New Roman" w:hAnsi="Times New Roman" w:cs="Times New Roman"/>
                <w:snapToGrid w:val="0"/>
                <w:sz w:val="21"/>
                <w:szCs w:val="21"/>
              </w:rPr>
              <w:t>建设项目环境影响登记表备案号：</w:t>
            </w:r>
            <w:r>
              <w:rPr>
                <w:rFonts w:ascii="Times New Roman" w:hAnsi="Times New Roman" w:cs="Times New Roman"/>
                <w:snapToGrid w:val="0"/>
                <w:sz w:val="21"/>
                <w:szCs w:val="21"/>
                <w:highlight w:val="yellow"/>
              </w:rPr>
              <w:t>202021038100000300</w:t>
            </w:r>
          </w:p>
        </w:tc>
      </w:tr>
    </w:tbl>
    <w:p w14:paraId="303E3D98">
      <w:pPr>
        <w:pStyle w:val="7"/>
        <w:spacing w:before="120"/>
      </w:pPr>
      <w:bookmarkStart w:id="191" w:name="_Toc1622"/>
      <w:bookmarkStart w:id="192" w:name="_Toc90026213"/>
      <w:r>
        <w:rPr>
          <w:rFonts w:hint="eastAsia"/>
        </w:rPr>
        <w:t>2.1.2 排污许可证执行情况</w:t>
      </w:r>
      <w:bookmarkEnd w:id="191"/>
      <w:bookmarkEnd w:id="192"/>
    </w:p>
    <w:p w14:paraId="7C799F1B">
      <w:pPr>
        <w:spacing w:line="500" w:lineRule="exact"/>
        <w:ind w:right="6" w:firstLine="480" w:firstLineChars="200"/>
        <w:jc w:val="both"/>
        <w:rPr>
          <w:rFonts w:hint="eastAsia" w:ascii="Times New Roman" w:hAnsi="Times New Roman" w:cs="Times New Roman"/>
        </w:rPr>
      </w:pPr>
      <w:r>
        <w:rPr>
          <w:rFonts w:hint="eastAsia" w:ascii="Times New Roman" w:hAnsi="Times New Roman" w:cs="Times New Roman"/>
          <w:lang w:eastAsia="zh-CN"/>
        </w:rPr>
        <w:t>本溪玉麒麟新材料有限公司</w:t>
      </w:r>
      <w:r>
        <w:rPr>
          <w:rFonts w:hint="eastAsia" w:ascii="Times New Roman" w:hAnsi="Times New Roman" w:cs="Times New Roman"/>
        </w:rPr>
        <w:t>于2019</w:t>
      </w:r>
      <w:r>
        <w:rPr>
          <w:rFonts w:hint="eastAsia" w:ascii="Times New Roman" w:hAnsi="Times New Roman" w:cs="Times New Roman"/>
          <w:lang w:val="en-US" w:eastAsia="zh-CN"/>
        </w:rPr>
        <w:t>年</w:t>
      </w:r>
      <w:r>
        <w:rPr>
          <w:rFonts w:hint="eastAsia" w:ascii="Times New Roman" w:hAnsi="Times New Roman" w:cs="Times New Roman"/>
        </w:rPr>
        <w:t>11</w:t>
      </w:r>
      <w:r>
        <w:rPr>
          <w:rFonts w:hint="eastAsia" w:ascii="Times New Roman" w:hAnsi="Times New Roman" w:cs="Times New Roman"/>
          <w:lang w:val="en-US" w:eastAsia="zh-CN"/>
        </w:rPr>
        <w:t>月</w:t>
      </w:r>
      <w:r>
        <w:rPr>
          <w:rFonts w:hint="eastAsia" w:ascii="Times New Roman" w:hAnsi="Times New Roman" w:cs="Times New Roman"/>
        </w:rPr>
        <w:t>08</w:t>
      </w:r>
      <w:r>
        <w:rPr>
          <w:rFonts w:hint="eastAsia" w:ascii="Times New Roman" w:hAnsi="Times New Roman" w:cs="Times New Roman"/>
          <w:lang w:val="en-US" w:eastAsia="zh-CN"/>
        </w:rPr>
        <w:t>日</w:t>
      </w:r>
      <w:r>
        <w:rPr>
          <w:rFonts w:hint="eastAsia" w:ascii="Times New Roman" w:hAnsi="Times New Roman" w:cs="Times New Roman"/>
        </w:rPr>
        <w:t>取得了本溪市生态环境局颁发的排污许可证，证书编号：91210521MA0YALYT39001R，</w:t>
      </w:r>
      <w:r>
        <w:rPr>
          <w:rFonts w:hint="eastAsia" w:ascii="Times New Roman" w:hAnsi="Times New Roman" w:cs="Times New Roman"/>
          <w:lang w:val="en-US" w:eastAsia="zh-CN"/>
        </w:rPr>
        <w:t>目前</w:t>
      </w:r>
      <w:r>
        <w:rPr>
          <w:rFonts w:hint="eastAsia" w:ascii="Times New Roman" w:hAnsi="Times New Roman" w:cs="Times New Roman"/>
        </w:rPr>
        <w:t>有效期限：自2025</w:t>
      </w:r>
      <w:r>
        <w:rPr>
          <w:rFonts w:hint="eastAsia" w:ascii="Times New Roman" w:hAnsi="Times New Roman" w:cs="Times New Roman"/>
          <w:lang w:val="en-US" w:eastAsia="zh-CN"/>
        </w:rPr>
        <w:t>年</w:t>
      </w:r>
      <w:r>
        <w:rPr>
          <w:rFonts w:hint="eastAsia" w:ascii="Times New Roman" w:hAnsi="Times New Roman" w:cs="Times New Roman"/>
        </w:rPr>
        <w:t>12</w:t>
      </w:r>
      <w:r>
        <w:rPr>
          <w:rFonts w:hint="eastAsia" w:ascii="Times New Roman" w:hAnsi="Times New Roman" w:cs="Times New Roman"/>
          <w:lang w:val="en-US" w:eastAsia="zh-CN"/>
        </w:rPr>
        <w:t>月</w:t>
      </w:r>
      <w:r>
        <w:rPr>
          <w:rFonts w:hint="eastAsia" w:ascii="Times New Roman" w:hAnsi="Times New Roman" w:cs="Times New Roman"/>
        </w:rPr>
        <w:t>31</w:t>
      </w:r>
      <w:r>
        <w:rPr>
          <w:rFonts w:hint="eastAsia" w:ascii="Times New Roman" w:hAnsi="Times New Roman" w:cs="Times New Roman"/>
          <w:lang w:val="en-US" w:eastAsia="zh-CN"/>
        </w:rPr>
        <w:t>日</w:t>
      </w:r>
      <w:r>
        <w:rPr>
          <w:rFonts w:hint="eastAsia" w:ascii="Times New Roman" w:hAnsi="Times New Roman" w:cs="Times New Roman"/>
        </w:rPr>
        <w:t>至2030</w:t>
      </w:r>
      <w:r>
        <w:rPr>
          <w:rFonts w:hint="eastAsia" w:ascii="Times New Roman" w:hAnsi="Times New Roman" w:cs="Times New Roman"/>
          <w:lang w:val="en-US" w:eastAsia="zh-CN"/>
        </w:rPr>
        <w:t>年</w:t>
      </w:r>
      <w:r>
        <w:rPr>
          <w:rFonts w:hint="eastAsia" w:ascii="Times New Roman" w:hAnsi="Times New Roman" w:cs="Times New Roman"/>
        </w:rPr>
        <w:t>12</w:t>
      </w:r>
      <w:r>
        <w:rPr>
          <w:rFonts w:hint="eastAsia" w:ascii="Times New Roman" w:hAnsi="Times New Roman" w:cs="Times New Roman"/>
          <w:lang w:val="en-US" w:eastAsia="zh-CN"/>
        </w:rPr>
        <w:t>月</w:t>
      </w:r>
      <w:r>
        <w:rPr>
          <w:rFonts w:hint="eastAsia" w:ascii="Times New Roman" w:hAnsi="Times New Roman" w:cs="Times New Roman"/>
        </w:rPr>
        <w:t>30</w:t>
      </w:r>
      <w:r>
        <w:rPr>
          <w:rFonts w:hint="eastAsia" w:ascii="Times New Roman" w:hAnsi="Times New Roman" w:cs="Times New Roman"/>
          <w:lang w:val="en-US" w:eastAsia="zh-CN"/>
        </w:rPr>
        <w:t>日</w:t>
      </w:r>
      <w:r>
        <w:rPr>
          <w:rFonts w:hint="eastAsia" w:ascii="Times New Roman" w:hAnsi="Times New Roman" w:cs="Times New Roman"/>
        </w:rPr>
        <w:t>止。该排污许可证涵盖了现有</w:t>
      </w:r>
      <w:r>
        <w:rPr>
          <w:rFonts w:hint="eastAsia" w:ascii="Times New Roman" w:hAnsi="Times New Roman" w:cs="Times New Roman"/>
          <w:lang w:val="en-US" w:eastAsia="zh-CN"/>
        </w:rPr>
        <w:t>烧结车间、球团车间、白灰窑及高炉炼铁</w:t>
      </w:r>
      <w:r>
        <w:rPr>
          <w:rFonts w:hint="eastAsia" w:ascii="Times New Roman" w:hAnsi="Times New Roman" w:cs="Times New Roman"/>
        </w:rPr>
        <w:t>。</w:t>
      </w:r>
    </w:p>
    <w:p w14:paraId="2989D03D">
      <w:pPr>
        <w:pStyle w:val="6"/>
        <w:spacing w:before="156"/>
      </w:pPr>
      <w:bookmarkStart w:id="193" w:name="_Toc90026111"/>
      <w:bookmarkStart w:id="194" w:name="_Toc4765"/>
      <w:r>
        <w:t>2.2</w:t>
      </w:r>
      <w:r>
        <w:rPr>
          <w:rFonts w:hint="eastAsia"/>
        </w:rPr>
        <w:t xml:space="preserve"> 已建工程基本情况</w:t>
      </w:r>
      <w:bookmarkEnd w:id="193"/>
      <w:bookmarkEnd w:id="194"/>
    </w:p>
    <w:p w14:paraId="16C36A7E">
      <w:pPr>
        <w:pStyle w:val="7"/>
      </w:pPr>
      <w:bookmarkStart w:id="195" w:name="_Toc90026216"/>
      <w:bookmarkStart w:id="196" w:name="_Toc25506"/>
      <w:r>
        <w:t>2.2.</w:t>
      </w:r>
      <w:r>
        <w:rPr>
          <w:rFonts w:hint="eastAsia"/>
        </w:rPr>
        <w:t>1工程组成</w:t>
      </w:r>
      <w:bookmarkEnd w:id="195"/>
      <w:bookmarkEnd w:id="196"/>
    </w:p>
    <w:p w14:paraId="03738215">
      <w:pPr>
        <w:spacing w:line="360" w:lineRule="auto"/>
        <w:ind w:firstLine="480" w:firstLineChars="200"/>
        <w:jc w:val="both"/>
        <w:rPr>
          <w:rFonts w:hint="eastAsia" w:ascii="Times New Roman" w:hAnsi="Times New Roman" w:cs="Times New Roman"/>
        </w:rPr>
      </w:pPr>
      <w:r>
        <w:rPr>
          <w:rFonts w:hint="eastAsia" w:ascii="Times New Roman" w:hAnsi="Times New Roman" w:cs="Times New Roman"/>
        </w:rPr>
        <w:t>已建工程组成</w:t>
      </w:r>
      <w:r>
        <w:rPr>
          <w:rFonts w:ascii="Times New Roman" w:hAnsi="Times New Roman" w:cs="Times New Roman"/>
        </w:rPr>
        <w:t>内容见表2.2-</w:t>
      </w:r>
      <w:r>
        <w:rPr>
          <w:rFonts w:hint="eastAsia" w:ascii="Times New Roman" w:hAnsi="Times New Roman" w:cs="Times New Roman"/>
        </w:rPr>
        <w:t>1</w:t>
      </w:r>
      <w:r>
        <w:rPr>
          <w:rFonts w:ascii="Times New Roman" w:hAnsi="Times New Roman" w:cs="Times New Roman"/>
        </w:rPr>
        <w:t>。</w:t>
      </w:r>
    </w:p>
    <w:p w14:paraId="7CBE7CD8">
      <w:pPr>
        <w:adjustRightInd w:val="0"/>
        <w:snapToGrid w:val="0"/>
        <w:spacing w:before="93" w:beforeLines="30" w:line="360" w:lineRule="auto"/>
        <w:jc w:val="center"/>
        <w:rPr>
          <w:rFonts w:ascii="Times New Roman" w:hAnsi="Times New Roman" w:eastAsia="黑体" w:cs="Times New Roman"/>
        </w:rPr>
      </w:pPr>
      <w:r>
        <w:rPr>
          <w:rFonts w:ascii="Times New Roman" w:hAnsi="Times New Roman" w:eastAsia="黑体" w:cs="Times New Roman"/>
        </w:rPr>
        <w:t>表2.2-</w:t>
      </w:r>
      <w:r>
        <w:rPr>
          <w:rFonts w:hint="eastAsia" w:ascii="Times New Roman" w:hAnsi="Times New Roman" w:eastAsia="黑体" w:cs="Times New Roman"/>
        </w:rPr>
        <w:t>1</w:t>
      </w:r>
      <w:r>
        <w:rPr>
          <w:rFonts w:ascii="Times New Roman" w:hAnsi="Times New Roman" w:eastAsia="黑体" w:cs="Times New Roman"/>
        </w:rPr>
        <w:t xml:space="preserve">  </w:t>
      </w:r>
      <w:r>
        <w:rPr>
          <w:rFonts w:hint="eastAsia" w:ascii="Times New Roman" w:hAnsi="Times New Roman" w:eastAsia="黑体" w:cs="Times New Roman"/>
        </w:rPr>
        <w:t>已建工程组成</w:t>
      </w:r>
      <w:r>
        <w:rPr>
          <w:rFonts w:ascii="Times New Roman" w:hAnsi="Times New Roman" w:eastAsia="黑体" w:cs="Times New Roman"/>
        </w:rPr>
        <w:t>内容一览表</w:t>
      </w:r>
    </w:p>
    <w:tbl>
      <w:tblPr>
        <w:tblStyle w:val="56"/>
        <w:tblW w:w="5000" w:type="pct"/>
        <w:jc w:val="center"/>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675"/>
        <w:gridCol w:w="1558"/>
        <w:gridCol w:w="6487"/>
      </w:tblGrid>
      <w:tr w14:paraId="53F5518A">
        <w:tblPrEx>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blHeader/>
          <w:jc w:val="center"/>
        </w:trPr>
        <w:tc>
          <w:tcPr>
            <w:tcW w:w="387" w:type="pct"/>
            <w:tcBorders>
              <w:top w:val="thinThickSmallGap" w:color="auto" w:sz="12" w:space="0"/>
              <w:bottom w:val="single" w:color="auto" w:sz="4" w:space="0"/>
            </w:tcBorders>
            <w:shd w:val="clear" w:color="auto" w:fill="DDDDDD"/>
            <w:noWrap w:val="0"/>
            <w:vAlign w:val="center"/>
          </w:tcPr>
          <w:p w14:paraId="0A5F3FD9">
            <w:pPr>
              <w:jc w:val="center"/>
              <w:rPr>
                <w:rFonts w:ascii="Times New Roman" w:hAnsi="Times New Roman" w:cs="Times New Roman"/>
                <w:sz w:val="21"/>
                <w:szCs w:val="21"/>
              </w:rPr>
            </w:pPr>
            <w:r>
              <w:rPr>
                <w:rFonts w:ascii="Times New Roman" w:hAnsi="Times New Roman" w:cs="Times New Roman"/>
                <w:sz w:val="21"/>
                <w:szCs w:val="21"/>
              </w:rPr>
              <w:t>类别</w:t>
            </w:r>
          </w:p>
        </w:tc>
        <w:tc>
          <w:tcPr>
            <w:tcW w:w="893" w:type="pct"/>
            <w:tcBorders>
              <w:top w:val="thinThickSmallGap" w:color="auto" w:sz="12" w:space="0"/>
              <w:bottom w:val="single" w:color="auto" w:sz="4" w:space="0"/>
            </w:tcBorders>
            <w:shd w:val="clear" w:color="auto" w:fill="DDDDDD"/>
            <w:noWrap w:val="0"/>
            <w:vAlign w:val="center"/>
          </w:tcPr>
          <w:p w14:paraId="754D86FE">
            <w:pPr>
              <w:jc w:val="center"/>
              <w:rPr>
                <w:rFonts w:ascii="Times New Roman" w:hAnsi="Times New Roman" w:cs="Times New Roman"/>
                <w:sz w:val="21"/>
                <w:szCs w:val="21"/>
              </w:rPr>
            </w:pPr>
            <w:r>
              <w:rPr>
                <w:rFonts w:ascii="Times New Roman" w:hAnsi="Times New Roman" w:cs="Times New Roman"/>
                <w:sz w:val="21"/>
                <w:szCs w:val="21"/>
              </w:rPr>
              <w:t>项目</w:t>
            </w:r>
          </w:p>
        </w:tc>
        <w:tc>
          <w:tcPr>
            <w:tcW w:w="3719" w:type="pct"/>
            <w:tcBorders>
              <w:top w:val="thinThickSmallGap" w:color="auto" w:sz="12" w:space="0"/>
              <w:bottom w:val="single" w:color="auto" w:sz="4" w:space="0"/>
            </w:tcBorders>
            <w:shd w:val="clear" w:color="auto" w:fill="DDDDDD"/>
            <w:noWrap w:val="0"/>
            <w:vAlign w:val="center"/>
          </w:tcPr>
          <w:p w14:paraId="6D612E46">
            <w:pPr>
              <w:jc w:val="center"/>
              <w:rPr>
                <w:rFonts w:ascii="Times New Roman" w:hAnsi="Times New Roman" w:cs="Times New Roman"/>
                <w:sz w:val="21"/>
                <w:szCs w:val="21"/>
              </w:rPr>
            </w:pPr>
            <w:r>
              <w:rPr>
                <w:rFonts w:hint="eastAsia" w:ascii="Times New Roman" w:hAnsi="Times New Roman" w:cs="Times New Roman"/>
                <w:sz w:val="21"/>
                <w:szCs w:val="21"/>
              </w:rPr>
              <w:t>工程</w:t>
            </w:r>
            <w:r>
              <w:rPr>
                <w:rFonts w:ascii="Times New Roman" w:hAnsi="Times New Roman" w:cs="Times New Roman"/>
                <w:sz w:val="21"/>
                <w:szCs w:val="21"/>
              </w:rPr>
              <w:t>内容</w:t>
            </w:r>
          </w:p>
        </w:tc>
      </w:tr>
      <w:tr w14:paraId="5F7C7390">
        <w:tblPrEx>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87" w:type="pct"/>
            <w:vMerge w:val="restart"/>
            <w:noWrap w:val="0"/>
            <w:vAlign w:val="center"/>
          </w:tcPr>
          <w:p w14:paraId="6B964632">
            <w:pPr>
              <w:jc w:val="center"/>
              <w:rPr>
                <w:rFonts w:ascii="Times New Roman" w:hAnsi="Times New Roman" w:cs="Times New Roman"/>
                <w:sz w:val="21"/>
                <w:szCs w:val="21"/>
              </w:rPr>
            </w:pPr>
            <w:r>
              <w:rPr>
                <w:rFonts w:hint="eastAsia" w:ascii="Times New Roman" w:hAnsi="Times New Roman" w:cs="Times New Roman"/>
                <w:sz w:val="21"/>
                <w:szCs w:val="21"/>
              </w:rPr>
              <w:t>主体工程</w:t>
            </w:r>
          </w:p>
        </w:tc>
        <w:tc>
          <w:tcPr>
            <w:tcW w:w="893" w:type="pct"/>
            <w:noWrap w:val="0"/>
            <w:vAlign w:val="center"/>
          </w:tcPr>
          <w:p w14:paraId="5B7D4333">
            <w:pPr>
              <w:snapToGrid w:val="0"/>
              <w:jc w:val="center"/>
              <w:rPr>
                <w:rFonts w:ascii="Times New Roman" w:hAnsi="Times New Roman" w:cs="Times New Roman"/>
                <w:sz w:val="21"/>
                <w:szCs w:val="21"/>
              </w:rPr>
            </w:pPr>
            <w:r>
              <w:rPr>
                <w:rFonts w:hint="eastAsia" w:ascii="Times New Roman" w:hAnsi="Times New Roman" w:cs="Times New Roman"/>
                <w:sz w:val="21"/>
                <w:szCs w:val="21"/>
                <w:lang w:val="en-US" w:eastAsia="zh-CN"/>
              </w:rPr>
              <w:t>烧结</w:t>
            </w:r>
          </w:p>
        </w:tc>
        <w:tc>
          <w:tcPr>
            <w:tcW w:w="3719" w:type="pct"/>
            <w:noWrap w:val="0"/>
            <w:vAlign w:val="center"/>
          </w:tcPr>
          <w:p w14:paraId="229C8B9C">
            <w:pPr>
              <w:snapToGrid w:val="0"/>
              <w:jc w:val="center"/>
              <w:rPr>
                <w:rFonts w:ascii="Times New Roman" w:hAnsi="Times New Roman" w:cs="Times New Roman"/>
                <w:sz w:val="21"/>
                <w:szCs w:val="21"/>
              </w:rPr>
            </w:pPr>
            <w:r>
              <w:rPr>
                <w:rFonts w:hint="eastAsia" w:ascii="Times New Roman" w:hAnsi="Times New Roman" w:cs="Times New Roman"/>
                <w:sz w:val="21"/>
                <w:szCs w:val="21"/>
                <w:lang w:val="en-US" w:eastAsia="zh-CN"/>
              </w:rPr>
              <w:t>烧结车间1座，建筑面积6490m</w:t>
            </w:r>
            <w:r>
              <w:rPr>
                <w:rFonts w:hint="eastAsia" w:ascii="Times New Roman" w:hAnsi="Times New Roman" w:cs="Times New Roman"/>
                <w:sz w:val="21"/>
                <w:szCs w:val="21"/>
                <w:vertAlign w:val="superscript"/>
                <w:lang w:val="en-US" w:eastAsia="zh-CN"/>
              </w:rPr>
              <w:t>2</w:t>
            </w:r>
            <w:r>
              <w:rPr>
                <w:rFonts w:hint="eastAsia" w:ascii="Times New Roman" w:hAnsi="Times New Roman" w:cs="Times New Roman"/>
                <w:sz w:val="21"/>
                <w:szCs w:val="21"/>
                <w:vertAlign w:val="baseline"/>
                <w:lang w:val="en-US" w:eastAsia="zh-CN"/>
              </w:rPr>
              <w:t>，</w:t>
            </w:r>
            <w:r>
              <w:rPr>
                <w:rFonts w:hint="eastAsia" w:ascii="Times New Roman" w:hAnsi="Times New Roman" w:cs="Times New Roman"/>
                <w:sz w:val="21"/>
                <w:szCs w:val="21"/>
                <w:lang w:val="en-US" w:eastAsia="zh-CN"/>
              </w:rPr>
              <w:t>1</w:t>
            </w:r>
            <w:r>
              <w:rPr>
                <w:rFonts w:hint="eastAsia" w:ascii="Times New Roman" w:hAnsi="Times New Roman" w:cs="Times New Roman"/>
                <w:sz w:val="21"/>
                <w:szCs w:val="21"/>
              </w:rPr>
              <w:t>台步进式烧结机。</w:t>
            </w:r>
          </w:p>
        </w:tc>
      </w:tr>
      <w:tr w14:paraId="71FB29CE">
        <w:tblPrEx>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87" w:type="pct"/>
            <w:vMerge w:val="continue"/>
            <w:noWrap w:val="0"/>
            <w:vAlign w:val="center"/>
          </w:tcPr>
          <w:p w14:paraId="15B34DA6">
            <w:pPr>
              <w:jc w:val="center"/>
              <w:rPr>
                <w:rFonts w:ascii="Times New Roman" w:hAnsi="Times New Roman" w:cs="Times New Roman"/>
                <w:sz w:val="21"/>
                <w:szCs w:val="21"/>
              </w:rPr>
            </w:pPr>
          </w:p>
        </w:tc>
        <w:tc>
          <w:tcPr>
            <w:tcW w:w="893" w:type="pct"/>
            <w:noWrap w:val="0"/>
            <w:vAlign w:val="center"/>
          </w:tcPr>
          <w:p w14:paraId="69EDCB52">
            <w:pPr>
              <w:snapToGrid w:val="0"/>
              <w:jc w:val="center"/>
              <w:rPr>
                <w:rFonts w:hint="default" w:ascii="Times New Roman" w:hAnsi="Times New Roman" w:eastAsia="宋体" w:cs="Times New Roman"/>
                <w:sz w:val="21"/>
                <w:szCs w:val="21"/>
                <w:lang w:val="en-US" w:eastAsia="zh-CN"/>
              </w:rPr>
            </w:pPr>
            <w:r>
              <w:rPr>
                <w:rFonts w:hint="eastAsia" w:ascii="Times New Roman" w:hAnsi="Times New Roman" w:cs="Times New Roman"/>
                <w:sz w:val="21"/>
                <w:szCs w:val="21"/>
                <w:lang w:val="en-US" w:eastAsia="zh-CN"/>
              </w:rPr>
              <w:t>球团</w:t>
            </w:r>
          </w:p>
        </w:tc>
        <w:tc>
          <w:tcPr>
            <w:tcW w:w="3719" w:type="pct"/>
            <w:noWrap w:val="0"/>
            <w:vAlign w:val="center"/>
          </w:tcPr>
          <w:p w14:paraId="0897D3A0">
            <w:pPr>
              <w:snapToGrid w:val="0"/>
              <w:jc w:val="center"/>
              <w:rPr>
                <w:rFonts w:ascii="Times New Roman" w:hAnsi="Times New Roman" w:cs="Times New Roman"/>
                <w:sz w:val="21"/>
                <w:szCs w:val="21"/>
              </w:rPr>
            </w:pPr>
            <w:r>
              <w:rPr>
                <w:rFonts w:hint="eastAsia" w:ascii="Times New Roman" w:hAnsi="Times New Roman" w:cs="Times New Roman"/>
                <w:sz w:val="21"/>
                <w:szCs w:val="21"/>
                <w:lang w:val="en-US" w:eastAsia="zh-CN"/>
              </w:rPr>
              <w:t>球团车间1座，建筑面积3200m</w:t>
            </w:r>
            <w:r>
              <w:rPr>
                <w:rFonts w:hint="eastAsia" w:ascii="Times New Roman" w:hAnsi="Times New Roman" w:cs="Times New Roman"/>
                <w:sz w:val="21"/>
                <w:szCs w:val="21"/>
                <w:vertAlign w:val="superscript"/>
                <w:lang w:val="en-US" w:eastAsia="zh-CN"/>
              </w:rPr>
              <w:t>2</w:t>
            </w:r>
            <w:r>
              <w:rPr>
                <w:rFonts w:hint="eastAsia" w:ascii="Times New Roman" w:hAnsi="Times New Roman" w:cs="Times New Roman"/>
                <w:sz w:val="21"/>
                <w:szCs w:val="21"/>
                <w:vertAlign w:val="baseline"/>
                <w:lang w:val="en-US" w:eastAsia="zh-CN"/>
              </w:rPr>
              <w:t>，</w:t>
            </w:r>
            <w:r>
              <w:rPr>
                <w:rFonts w:hint="eastAsia" w:ascii="Times New Roman" w:hAnsi="Times New Roman" w:cs="Times New Roman"/>
                <w:sz w:val="21"/>
                <w:szCs w:val="21"/>
                <w:lang w:val="en-US" w:eastAsia="zh-CN"/>
              </w:rPr>
              <w:t>3台环形竖炉6m</w:t>
            </w:r>
            <w:r>
              <w:rPr>
                <w:rFonts w:hint="eastAsia" w:ascii="Times New Roman" w:hAnsi="Times New Roman" w:cs="Times New Roman"/>
                <w:sz w:val="21"/>
                <w:szCs w:val="21"/>
                <w:vertAlign w:val="superscript"/>
                <w:lang w:val="en-US" w:eastAsia="zh-CN"/>
              </w:rPr>
              <w:t>2</w:t>
            </w:r>
            <w:r>
              <w:rPr>
                <w:rFonts w:hint="eastAsia" w:ascii="Times New Roman" w:hAnsi="Times New Roman" w:cs="Times New Roman"/>
                <w:sz w:val="21"/>
                <w:szCs w:val="21"/>
              </w:rPr>
              <w:t>。</w:t>
            </w:r>
          </w:p>
        </w:tc>
      </w:tr>
      <w:tr w14:paraId="4BD8B922">
        <w:tblPrEx>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87" w:type="pct"/>
            <w:vMerge w:val="continue"/>
            <w:noWrap w:val="0"/>
            <w:vAlign w:val="center"/>
          </w:tcPr>
          <w:p w14:paraId="28F65F00">
            <w:pPr>
              <w:jc w:val="center"/>
              <w:rPr>
                <w:rFonts w:ascii="Times New Roman" w:hAnsi="Times New Roman" w:cs="Times New Roman"/>
                <w:sz w:val="21"/>
                <w:szCs w:val="21"/>
              </w:rPr>
            </w:pPr>
          </w:p>
        </w:tc>
        <w:tc>
          <w:tcPr>
            <w:tcW w:w="893" w:type="pct"/>
            <w:noWrap w:val="0"/>
            <w:vAlign w:val="center"/>
          </w:tcPr>
          <w:p w14:paraId="1E874B7E">
            <w:pPr>
              <w:snapToGrid w:val="0"/>
              <w:jc w:val="center"/>
              <w:rPr>
                <w:rFonts w:hint="eastAsia" w:ascii="Times New Roman" w:hAnsi="Times New Roman" w:eastAsia="宋体" w:cs="Times New Roman"/>
                <w:sz w:val="21"/>
                <w:szCs w:val="21"/>
                <w:lang w:eastAsia="zh-CN"/>
              </w:rPr>
            </w:pPr>
            <w:r>
              <w:rPr>
                <w:rFonts w:hint="eastAsia" w:ascii="Times New Roman" w:hAnsi="Times New Roman" w:cs="Times New Roman"/>
                <w:sz w:val="21"/>
                <w:szCs w:val="21"/>
                <w:lang w:val="en-US" w:eastAsia="zh-CN"/>
              </w:rPr>
              <w:t>石灰窑</w:t>
            </w:r>
          </w:p>
        </w:tc>
        <w:tc>
          <w:tcPr>
            <w:tcW w:w="3719" w:type="pct"/>
            <w:noWrap w:val="0"/>
            <w:vAlign w:val="center"/>
          </w:tcPr>
          <w:p w14:paraId="6D93EC5A">
            <w:pPr>
              <w:snapToGrid w:val="0"/>
              <w:jc w:val="center"/>
              <w:rPr>
                <w:rFonts w:hint="eastAsia" w:ascii="Times New Roman" w:hAnsi="Times New Roman" w:eastAsia="宋体" w:cs="Times New Roman"/>
                <w:sz w:val="21"/>
                <w:szCs w:val="21"/>
                <w:lang w:eastAsia="zh-CN"/>
              </w:rPr>
            </w:pPr>
            <w:r>
              <w:rPr>
                <w:rFonts w:hint="eastAsia" w:ascii="Times New Roman" w:hAnsi="Times New Roman" w:cs="Times New Roman"/>
                <w:sz w:val="21"/>
                <w:szCs w:val="21"/>
                <w:lang w:val="en-US" w:eastAsia="zh-CN"/>
              </w:rPr>
              <w:t>白灰竖窑1台，容积200m</w:t>
            </w:r>
            <w:r>
              <w:rPr>
                <w:rFonts w:hint="eastAsia" w:ascii="Times New Roman" w:hAnsi="Times New Roman" w:cs="Times New Roman"/>
                <w:sz w:val="21"/>
                <w:szCs w:val="21"/>
                <w:vertAlign w:val="superscript"/>
                <w:lang w:val="en-US" w:eastAsia="zh-CN"/>
              </w:rPr>
              <w:t>3</w:t>
            </w:r>
            <w:r>
              <w:rPr>
                <w:rFonts w:hint="eastAsia" w:ascii="Times New Roman" w:hAnsi="Times New Roman" w:cs="Times New Roman"/>
                <w:sz w:val="21"/>
                <w:szCs w:val="21"/>
                <w:vertAlign w:val="baseline"/>
                <w:lang w:val="en-US" w:eastAsia="zh-CN"/>
              </w:rPr>
              <w:t>，年产4.5万t生石灰</w:t>
            </w:r>
          </w:p>
        </w:tc>
      </w:tr>
      <w:tr w14:paraId="7A82F3D6">
        <w:tblPrEx>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87" w:type="pct"/>
            <w:vMerge w:val="continue"/>
            <w:noWrap w:val="0"/>
            <w:vAlign w:val="center"/>
          </w:tcPr>
          <w:p w14:paraId="4CE13873">
            <w:pPr>
              <w:jc w:val="center"/>
              <w:rPr>
                <w:rFonts w:ascii="Times New Roman" w:hAnsi="Times New Roman" w:cs="Times New Roman"/>
                <w:sz w:val="21"/>
                <w:szCs w:val="21"/>
              </w:rPr>
            </w:pPr>
          </w:p>
        </w:tc>
        <w:tc>
          <w:tcPr>
            <w:tcW w:w="893" w:type="pct"/>
            <w:noWrap w:val="0"/>
            <w:vAlign w:val="center"/>
          </w:tcPr>
          <w:p w14:paraId="00AFDDAB">
            <w:pPr>
              <w:snapToGrid w:val="0"/>
              <w:jc w:val="center"/>
              <w:rPr>
                <w:rFonts w:hint="default" w:ascii="Times New Roman" w:hAnsi="Times New Roman" w:eastAsia="宋体" w:cs="Times New Roman"/>
                <w:sz w:val="21"/>
                <w:szCs w:val="21"/>
                <w:lang w:val="en-US" w:eastAsia="zh-CN"/>
              </w:rPr>
            </w:pPr>
            <w:r>
              <w:rPr>
                <w:rFonts w:hint="eastAsia" w:ascii="Times New Roman" w:hAnsi="Times New Roman" w:cs="Times New Roman"/>
                <w:sz w:val="21"/>
                <w:szCs w:val="21"/>
                <w:lang w:val="en-US" w:eastAsia="zh-CN"/>
              </w:rPr>
              <w:t>高炉炼铁</w:t>
            </w:r>
          </w:p>
        </w:tc>
        <w:tc>
          <w:tcPr>
            <w:tcW w:w="3719" w:type="pct"/>
            <w:noWrap w:val="0"/>
            <w:vAlign w:val="center"/>
          </w:tcPr>
          <w:p w14:paraId="085BF22E">
            <w:pPr>
              <w:snapToGrid w:val="0"/>
              <w:jc w:val="center"/>
              <w:rPr>
                <w:rFonts w:hint="eastAsia" w:ascii="Times New Roman" w:hAnsi="Times New Roman" w:cs="Times New Roman"/>
                <w:sz w:val="21"/>
                <w:szCs w:val="21"/>
              </w:rPr>
            </w:pPr>
            <w:r>
              <w:rPr>
                <w:rFonts w:hint="eastAsia" w:ascii="Times New Roman" w:hAnsi="Times New Roman" w:cs="Times New Roman"/>
                <w:sz w:val="21"/>
                <w:szCs w:val="21"/>
                <w:lang w:val="en-US" w:eastAsia="zh-CN"/>
              </w:rPr>
              <w:t>205m</w:t>
            </w:r>
            <w:r>
              <w:rPr>
                <w:rFonts w:hint="eastAsia" w:ascii="Times New Roman" w:hAnsi="Times New Roman" w:cs="Times New Roman"/>
                <w:sz w:val="21"/>
                <w:szCs w:val="21"/>
                <w:vertAlign w:val="superscript"/>
                <w:lang w:val="en-US" w:eastAsia="zh-CN"/>
              </w:rPr>
              <w:t>3</w:t>
            </w:r>
            <w:r>
              <w:rPr>
                <w:rFonts w:hint="eastAsia" w:ascii="Times New Roman" w:hAnsi="Times New Roman" w:cs="Times New Roman"/>
                <w:sz w:val="21"/>
                <w:szCs w:val="21"/>
                <w:lang w:val="en-US" w:eastAsia="zh-CN"/>
              </w:rPr>
              <w:t>高炉1座，高炉煤气回收系统1套，热风炉4座，煤粉制备设施1套</w:t>
            </w:r>
          </w:p>
        </w:tc>
      </w:tr>
      <w:tr w14:paraId="2DBF2354">
        <w:tblPrEx>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87" w:type="pct"/>
            <w:vMerge w:val="restart"/>
            <w:noWrap w:val="0"/>
            <w:vAlign w:val="center"/>
          </w:tcPr>
          <w:p w14:paraId="455B01F0">
            <w:pPr>
              <w:jc w:val="center"/>
              <w:rPr>
                <w:rFonts w:ascii="Times New Roman" w:hAnsi="Times New Roman" w:cs="Times New Roman"/>
                <w:sz w:val="21"/>
                <w:szCs w:val="21"/>
              </w:rPr>
            </w:pPr>
            <w:r>
              <w:rPr>
                <w:rFonts w:hint="eastAsia" w:ascii="Times New Roman" w:hAnsi="Times New Roman" w:cs="Times New Roman"/>
                <w:sz w:val="21"/>
                <w:szCs w:val="21"/>
              </w:rPr>
              <w:t>辅助</w:t>
            </w:r>
            <w:r>
              <w:rPr>
                <w:rFonts w:ascii="Times New Roman" w:hAnsi="Times New Roman" w:cs="Times New Roman"/>
                <w:sz w:val="21"/>
                <w:szCs w:val="21"/>
              </w:rPr>
              <w:t>工程</w:t>
            </w:r>
          </w:p>
        </w:tc>
        <w:tc>
          <w:tcPr>
            <w:tcW w:w="893" w:type="pct"/>
            <w:noWrap w:val="0"/>
            <w:vAlign w:val="center"/>
          </w:tcPr>
          <w:p w14:paraId="5F758351">
            <w:pPr>
              <w:snapToGrid w:val="0"/>
              <w:jc w:val="center"/>
              <w:rPr>
                <w:rFonts w:hint="eastAsia" w:ascii="Times New Roman" w:hAnsi="Times New Roman" w:cs="Times New Roman"/>
                <w:sz w:val="21"/>
                <w:szCs w:val="21"/>
                <w:lang w:val="en-US" w:eastAsia="zh-CN"/>
              </w:rPr>
            </w:pPr>
            <w:r>
              <w:rPr>
                <w:rFonts w:hint="eastAsia" w:ascii="Times New Roman" w:hAnsi="Times New Roman" w:cs="Times New Roman"/>
                <w:sz w:val="21"/>
                <w:szCs w:val="21"/>
                <w:lang w:val="en-US" w:eastAsia="zh-CN"/>
              </w:rPr>
              <w:t>配电室</w:t>
            </w:r>
          </w:p>
        </w:tc>
        <w:tc>
          <w:tcPr>
            <w:tcW w:w="3719" w:type="pct"/>
            <w:noWrap w:val="0"/>
            <w:vAlign w:val="center"/>
          </w:tcPr>
          <w:p w14:paraId="5F413084">
            <w:pPr>
              <w:snapToGrid w:val="0"/>
              <w:jc w:val="center"/>
              <w:rPr>
                <w:rFonts w:hint="eastAsia" w:ascii="Times New Roman" w:hAnsi="Times New Roman" w:cs="Times New Roman"/>
                <w:sz w:val="21"/>
                <w:szCs w:val="21"/>
                <w:lang w:val="en-US" w:eastAsia="zh-CN"/>
              </w:rPr>
            </w:pPr>
            <w:r>
              <w:rPr>
                <w:rFonts w:hint="eastAsia" w:ascii="Times New Roman" w:hAnsi="Times New Roman" w:cs="Times New Roman"/>
                <w:sz w:val="21"/>
                <w:szCs w:val="21"/>
                <w:lang w:val="en-US" w:eastAsia="zh-CN"/>
              </w:rPr>
              <w:t>建筑面积120m</w:t>
            </w:r>
            <w:r>
              <w:rPr>
                <w:rFonts w:hint="eastAsia" w:ascii="Times New Roman" w:hAnsi="Times New Roman" w:cs="Times New Roman"/>
                <w:sz w:val="21"/>
                <w:szCs w:val="21"/>
                <w:vertAlign w:val="superscript"/>
                <w:lang w:val="en-US" w:eastAsia="zh-CN"/>
              </w:rPr>
              <w:t>2</w:t>
            </w:r>
            <w:r>
              <w:rPr>
                <w:rFonts w:ascii="Times New Roman" w:hAnsi="Times New Roman" w:cs="Times New Roman"/>
                <w:sz w:val="21"/>
                <w:szCs w:val="21"/>
              </w:rPr>
              <w:t>。</w:t>
            </w:r>
          </w:p>
        </w:tc>
      </w:tr>
      <w:tr w14:paraId="6B09ED3E">
        <w:tblPrEx>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87" w:type="pct"/>
            <w:vMerge w:val="continue"/>
            <w:noWrap w:val="0"/>
            <w:vAlign w:val="center"/>
          </w:tcPr>
          <w:p w14:paraId="5C1C8028">
            <w:pPr>
              <w:jc w:val="center"/>
              <w:rPr>
                <w:rFonts w:ascii="Times New Roman" w:hAnsi="Times New Roman" w:cs="Times New Roman"/>
                <w:sz w:val="21"/>
                <w:szCs w:val="21"/>
              </w:rPr>
            </w:pPr>
          </w:p>
        </w:tc>
        <w:tc>
          <w:tcPr>
            <w:tcW w:w="893" w:type="pct"/>
            <w:noWrap w:val="0"/>
            <w:vAlign w:val="center"/>
          </w:tcPr>
          <w:p w14:paraId="2C87B6B2">
            <w:pPr>
              <w:snapToGrid w:val="0"/>
              <w:jc w:val="center"/>
              <w:rPr>
                <w:rFonts w:hint="eastAsia" w:ascii="Times New Roman" w:hAnsi="Times New Roman" w:cs="Times New Roman"/>
                <w:sz w:val="21"/>
                <w:szCs w:val="21"/>
                <w:lang w:val="en-US" w:eastAsia="zh-CN"/>
              </w:rPr>
            </w:pPr>
            <w:r>
              <w:rPr>
                <w:rFonts w:hint="eastAsia" w:ascii="Times New Roman" w:hAnsi="Times New Roman" w:cs="Times New Roman"/>
                <w:sz w:val="21"/>
                <w:szCs w:val="21"/>
                <w:lang w:val="en-US" w:eastAsia="zh-CN"/>
              </w:rPr>
              <w:t>风机房</w:t>
            </w:r>
          </w:p>
        </w:tc>
        <w:tc>
          <w:tcPr>
            <w:tcW w:w="3719" w:type="pct"/>
            <w:noWrap w:val="0"/>
            <w:vAlign w:val="center"/>
          </w:tcPr>
          <w:p w14:paraId="32D2D3ED">
            <w:pPr>
              <w:snapToGrid w:val="0"/>
              <w:jc w:val="center"/>
              <w:rPr>
                <w:rFonts w:hint="eastAsia" w:ascii="Times New Roman" w:hAnsi="Times New Roman" w:cs="Times New Roman"/>
                <w:sz w:val="21"/>
                <w:szCs w:val="21"/>
                <w:lang w:val="en-US" w:eastAsia="zh-CN"/>
              </w:rPr>
            </w:pPr>
            <w:r>
              <w:rPr>
                <w:rFonts w:hint="eastAsia" w:ascii="Times New Roman" w:hAnsi="Times New Roman" w:cs="Times New Roman"/>
                <w:sz w:val="21"/>
                <w:szCs w:val="21"/>
                <w:lang w:val="en-US" w:eastAsia="zh-CN"/>
              </w:rPr>
              <w:t>建筑面积150m</w:t>
            </w:r>
            <w:r>
              <w:rPr>
                <w:rFonts w:hint="eastAsia" w:ascii="Times New Roman" w:hAnsi="Times New Roman" w:cs="Times New Roman"/>
                <w:sz w:val="21"/>
                <w:szCs w:val="21"/>
                <w:vertAlign w:val="superscript"/>
                <w:lang w:val="en-US" w:eastAsia="zh-CN"/>
              </w:rPr>
              <w:t>2</w:t>
            </w:r>
            <w:r>
              <w:rPr>
                <w:rFonts w:ascii="Times New Roman" w:hAnsi="Times New Roman" w:cs="Times New Roman"/>
                <w:sz w:val="21"/>
                <w:szCs w:val="21"/>
              </w:rPr>
              <w:t>。</w:t>
            </w:r>
          </w:p>
        </w:tc>
      </w:tr>
      <w:tr w14:paraId="2546468D">
        <w:tblPrEx>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87" w:type="pct"/>
            <w:vMerge w:val="continue"/>
            <w:noWrap w:val="0"/>
            <w:vAlign w:val="center"/>
          </w:tcPr>
          <w:p w14:paraId="456DABC4">
            <w:pPr>
              <w:jc w:val="center"/>
              <w:rPr>
                <w:rFonts w:ascii="Times New Roman" w:hAnsi="Times New Roman" w:cs="Times New Roman"/>
                <w:sz w:val="21"/>
                <w:szCs w:val="21"/>
              </w:rPr>
            </w:pPr>
          </w:p>
        </w:tc>
        <w:tc>
          <w:tcPr>
            <w:tcW w:w="893" w:type="pct"/>
            <w:noWrap w:val="0"/>
            <w:vAlign w:val="center"/>
          </w:tcPr>
          <w:p w14:paraId="7239B756">
            <w:pPr>
              <w:snapToGrid w:val="0"/>
              <w:jc w:val="center"/>
              <w:rPr>
                <w:rFonts w:hint="eastAsia" w:ascii="Times New Roman" w:hAnsi="Times New Roman" w:cs="Times New Roman"/>
                <w:sz w:val="21"/>
                <w:szCs w:val="21"/>
                <w:lang w:val="en-US" w:eastAsia="zh-CN"/>
              </w:rPr>
            </w:pPr>
            <w:r>
              <w:rPr>
                <w:rFonts w:hint="eastAsia" w:ascii="Times New Roman" w:hAnsi="Times New Roman" w:cs="Times New Roman"/>
                <w:sz w:val="21"/>
                <w:szCs w:val="21"/>
                <w:lang w:val="en-US" w:eastAsia="zh-CN"/>
              </w:rPr>
              <w:t>水泵房</w:t>
            </w:r>
          </w:p>
        </w:tc>
        <w:tc>
          <w:tcPr>
            <w:tcW w:w="3719" w:type="pct"/>
            <w:noWrap w:val="0"/>
            <w:vAlign w:val="center"/>
          </w:tcPr>
          <w:p w14:paraId="747C9B13">
            <w:pPr>
              <w:snapToGrid w:val="0"/>
              <w:jc w:val="center"/>
              <w:rPr>
                <w:rFonts w:hint="eastAsia" w:ascii="Times New Roman" w:hAnsi="Times New Roman" w:cs="Times New Roman"/>
                <w:sz w:val="21"/>
                <w:szCs w:val="21"/>
                <w:lang w:val="en-US" w:eastAsia="zh-CN"/>
              </w:rPr>
            </w:pPr>
            <w:r>
              <w:rPr>
                <w:rFonts w:hint="eastAsia" w:ascii="Times New Roman" w:hAnsi="Times New Roman" w:cs="Times New Roman"/>
                <w:sz w:val="21"/>
                <w:szCs w:val="21"/>
                <w:lang w:val="en-US" w:eastAsia="zh-CN"/>
              </w:rPr>
              <w:t>建筑面积150m</w:t>
            </w:r>
            <w:r>
              <w:rPr>
                <w:rFonts w:hint="eastAsia" w:ascii="Times New Roman" w:hAnsi="Times New Roman" w:cs="Times New Roman"/>
                <w:sz w:val="21"/>
                <w:szCs w:val="21"/>
                <w:vertAlign w:val="superscript"/>
                <w:lang w:val="en-US" w:eastAsia="zh-CN"/>
              </w:rPr>
              <w:t>2</w:t>
            </w:r>
            <w:r>
              <w:rPr>
                <w:rFonts w:ascii="Times New Roman" w:hAnsi="Times New Roman" w:cs="Times New Roman"/>
                <w:sz w:val="21"/>
                <w:szCs w:val="21"/>
              </w:rPr>
              <w:t>。</w:t>
            </w:r>
          </w:p>
        </w:tc>
      </w:tr>
      <w:tr w14:paraId="416D1FE2">
        <w:tblPrEx>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87" w:type="pct"/>
            <w:vMerge w:val="continue"/>
            <w:noWrap w:val="0"/>
            <w:vAlign w:val="center"/>
          </w:tcPr>
          <w:p w14:paraId="3792CF2B">
            <w:pPr>
              <w:jc w:val="center"/>
              <w:rPr>
                <w:rFonts w:ascii="Times New Roman" w:hAnsi="Times New Roman" w:cs="Times New Roman"/>
                <w:sz w:val="21"/>
                <w:szCs w:val="21"/>
              </w:rPr>
            </w:pPr>
          </w:p>
        </w:tc>
        <w:tc>
          <w:tcPr>
            <w:tcW w:w="893" w:type="pct"/>
            <w:noWrap w:val="0"/>
            <w:vAlign w:val="center"/>
          </w:tcPr>
          <w:p w14:paraId="5D2E3C83">
            <w:pPr>
              <w:snapToGrid w:val="0"/>
              <w:jc w:val="center"/>
              <w:rPr>
                <w:rFonts w:hint="eastAsia" w:ascii="Times New Roman" w:hAnsi="Times New Roman" w:cs="Times New Roman"/>
                <w:sz w:val="21"/>
                <w:szCs w:val="21"/>
                <w:lang w:val="en-US" w:eastAsia="zh-CN"/>
              </w:rPr>
            </w:pPr>
            <w:r>
              <w:rPr>
                <w:rFonts w:hint="eastAsia" w:ascii="Times New Roman" w:hAnsi="Times New Roman" w:cs="Times New Roman"/>
                <w:sz w:val="21"/>
                <w:szCs w:val="21"/>
                <w:lang w:val="en-US" w:eastAsia="zh-CN"/>
              </w:rPr>
              <w:t>办公区</w:t>
            </w:r>
          </w:p>
        </w:tc>
        <w:tc>
          <w:tcPr>
            <w:tcW w:w="3719" w:type="pct"/>
            <w:noWrap w:val="0"/>
            <w:vAlign w:val="center"/>
          </w:tcPr>
          <w:p w14:paraId="77B3503A">
            <w:pPr>
              <w:snapToGrid w:val="0"/>
              <w:jc w:val="center"/>
              <w:rPr>
                <w:rFonts w:hint="eastAsia" w:ascii="Times New Roman" w:hAnsi="Times New Roman" w:cs="Times New Roman"/>
                <w:sz w:val="21"/>
                <w:szCs w:val="21"/>
                <w:lang w:val="en-US" w:eastAsia="zh-CN"/>
              </w:rPr>
            </w:pPr>
            <w:r>
              <w:rPr>
                <w:rFonts w:hint="eastAsia" w:ascii="Times New Roman" w:hAnsi="Times New Roman" w:cs="Times New Roman"/>
                <w:sz w:val="21"/>
                <w:szCs w:val="21"/>
                <w:lang w:val="en-US" w:eastAsia="zh-CN"/>
              </w:rPr>
              <w:t>建筑面积1470m</w:t>
            </w:r>
            <w:r>
              <w:rPr>
                <w:rFonts w:hint="eastAsia" w:ascii="Times New Roman" w:hAnsi="Times New Roman" w:cs="Times New Roman"/>
                <w:sz w:val="21"/>
                <w:szCs w:val="21"/>
                <w:vertAlign w:val="superscript"/>
                <w:lang w:val="en-US" w:eastAsia="zh-CN"/>
              </w:rPr>
              <w:t>2</w:t>
            </w:r>
            <w:r>
              <w:rPr>
                <w:rFonts w:ascii="Times New Roman" w:hAnsi="Times New Roman" w:cs="Times New Roman"/>
                <w:sz w:val="21"/>
                <w:szCs w:val="21"/>
              </w:rPr>
              <w:t>。</w:t>
            </w:r>
          </w:p>
        </w:tc>
      </w:tr>
      <w:tr w14:paraId="070C013E">
        <w:tblPrEx>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87" w:type="pct"/>
            <w:vMerge w:val="restart"/>
            <w:noWrap w:val="0"/>
            <w:vAlign w:val="center"/>
          </w:tcPr>
          <w:p w14:paraId="48F5E212">
            <w:pPr>
              <w:jc w:val="center"/>
              <w:rPr>
                <w:rFonts w:ascii="Times New Roman" w:hAnsi="Times New Roman" w:cs="Times New Roman"/>
                <w:sz w:val="21"/>
                <w:szCs w:val="21"/>
              </w:rPr>
            </w:pPr>
            <w:r>
              <w:rPr>
                <w:rFonts w:ascii="Times New Roman" w:hAnsi="Times New Roman" w:cs="Times New Roman"/>
                <w:sz w:val="21"/>
                <w:szCs w:val="21"/>
              </w:rPr>
              <w:t>储运工程</w:t>
            </w:r>
          </w:p>
        </w:tc>
        <w:tc>
          <w:tcPr>
            <w:tcW w:w="893" w:type="pct"/>
            <w:noWrap w:val="0"/>
            <w:vAlign w:val="center"/>
          </w:tcPr>
          <w:p w14:paraId="48B403D1">
            <w:pPr>
              <w:snapToGrid w:val="0"/>
              <w:jc w:val="center"/>
              <w:rPr>
                <w:rFonts w:hint="eastAsia" w:ascii="Times New Roman" w:hAnsi="Times New Roman" w:cs="Times New Roman"/>
                <w:sz w:val="21"/>
                <w:szCs w:val="21"/>
              </w:rPr>
            </w:pPr>
            <w:r>
              <w:rPr>
                <w:rFonts w:hint="eastAsia" w:ascii="Times New Roman" w:hAnsi="Times New Roman" w:cs="Times New Roman"/>
                <w:sz w:val="21"/>
                <w:szCs w:val="21"/>
                <w:lang w:val="en-US" w:eastAsia="zh-CN"/>
              </w:rPr>
              <w:t>生铁库</w:t>
            </w:r>
          </w:p>
        </w:tc>
        <w:tc>
          <w:tcPr>
            <w:tcW w:w="3719" w:type="pct"/>
            <w:noWrap w:val="0"/>
            <w:vAlign w:val="center"/>
          </w:tcPr>
          <w:p w14:paraId="3761086E">
            <w:pPr>
              <w:snapToGrid w:val="0"/>
              <w:jc w:val="center"/>
              <w:rPr>
                <w:rFonts w:ascii="Times New Roman" w:hAnsi="Times New Roman" w:cs="Times New Roman"/>
                <w:sz w:val="21"/>
                <w:szCs w:val="21"/>
              </w:rPr>
            </w:pPr>
            <w:r>
              <w:rPr>
                <w:rFonts w:hint="eastAsia" w:ascii="Times New Roman" w:hAnsi="Times New Roman" w:cs="Times New Roman"/>
                <w:sz w:val="21"/>
                <w:szCs w:val="21"/>
                <w:lang w:val="en-US" w:eastAsia="zh-CN"/>
              </w:rPr>
              <w:t>建筑面积3250m</w:t>
            </w:r>
            <w:r>
              <w:rPr>
                <w:rFonts w:hint="eastAsia" w:ascii="Times New Roman" w:hAnsi="Times New Roman" w:cs="Times New Roman"/>
                <w:sz w:val="21"/>
                <w:szCs w:val="21"/>
                <w:vertAlign w:val="superscript"/>
                <w:lang w:val="en-US" w:eastAsia="zh-CN"/>
              </w:rPr>
              <w:t>2</w:t>
            </w:r>
          </w:p>
        </w:tc>
      </w:tr>
      <w:tr w14:paraId="78FBFF01">
        <w:tblPrEx>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87" w:type="pct"/>
            <w:vMerge w:val="continue"/>
            <w:noWrap w:val="0"/>
            <w:vAlign w:val="center"/>
          </w:tcPr>
          <w:p w14:paraId="6D1C1D00">
            <w:pPr>
              <w:jc w:val="center"/>
              <w:rPr>
                <w:rFonts w:ascii="Times New Roman" w:hAnsi="Times New Roman" w:cs="Times New Roman"/>
                <w:sz w:val="21"/>
                <w:szCs w:val="21"/>
              </w:rPr>
            </w:pPr>
          </w:p>
        </w:tc>
        <w:tc>
          <w:tcPr>
            <w:tcW w:w="893" w:type="pct"/>
            <w:noWrap w:val="0"/>
            <w:vAlign w:val="center"/>
          </w:tcPr>
          <w:p w14:paraId="057E8D81">
            <w:pPr>
              <w:snapToGrid w:val="0"/>
              <w:jc w:val="center"/>
              <w:rPr>
                <w:rFonts w:ascii="Times New Roman" w:hAnsi="Times New Roman" w:cs="Times New Roman"/>
                <w:sz w:val="21"/>
                <w:szCs w:val="21"/>
              </w:rPr>
            </w:pPr>
            <w:r>
              <w:rPr>
                <w:rFonts w:hint="eastAsia" w:ascii="Times New Roman" w:hAnsi="Times New Roman" w:cs="Times New Roman"/>
                <w:sz w:val="21"/>
                <w:szCs w:val="21"/>
                <w:lang w:val="en-US" w:eastAsia="zh-CN"/>
              </w:rPr>
              <w:t>矿粉库</w:t>
            </w:r>
          </w:p>
        </w:tc>
        <w:tc>
          <w:tcPr>
            <w:tcW w:w="3719" w:type="pct"/>
            <w:noWrap w:val="0"/>
            <w:vAlign w:val="center"/>
          </w:tcPr>
          <w:p w14:paraId="4A5ACCA4">
            <w:pPr>
              <w:snapToGrid w:val="0"/>
              <w:jc w:val="center"/>
              <w:rPr>
                <w:rFonts w:ascii="Times New Roman" w:hAnsi="Times New Roman" w:cs="Times New Roman"/>
                <w:sz w:val="21"/>
                <w:szCs w:val="21"/>
              </w:rPr>
            </w:pPr>
            <w:r>
              <w:rPr>
                <w:rFonts w:hint="eastAsia" w:ascii="Times New Roman" w:hAnsi="Times New Roman" w:cs="Times New Roman"/>
                <w:sz w:val="21"/>
                <w:szCs w:val="21"/>
                <w:lang w:val="en-US" w:eastAsia="zh-CN"/>
              </w:rPr>
              <w:t>建筑面积2672m</w:t>
            </w:r>
            <w:r>
              <w:rPr>
                <w:rFonts w:hint="eastAsia" w:ascii="Times New Roman" w:hAnsi="Times New Roman" w:cs="Times New Roman"/>
                <w:sz w:val="21"/>
                <w:szCs w:val="21"/>
                <w:vertAlign w:val="superscript"/>
                <w:lang w:val="en-US" w:eastAsia="zh-CN"/>
              </w:rPr>
              <w:t>2</w:t>
            </w:r>
          </w:p>
        </w:tc>
      </w:tr>
      <w:tr w14:paraId="7620AB9A">
        <w:tblPrEx>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87" w:type="pct"/>
            <w:vMerge w:val="continue"/>
            <w:noWrap w:val="0"/>
            <w:vAlign w:val="center"/>
          </w:tcPr>
          <w:p w14:paraId="125190A6">
            <w:pPr>
              <w:jc w:val="center"/>
              <w:rPr>
                <w:rFonts w:ascii="Times New Roman" w:hAnsi="Times New Roman" w:cs="Times New Roman"/>
                <w:sz w:val="21"/>
                <w:szCs w:val="21"/>
              </w:rPr>
            </w:pPr>
          </w:p>
        </w:tc>
        <w:tc>
          <w:tcPr>
            <w:tcW w:w="893" w:type="pct"/>
            <w:noWrap w:val="0"/>
            <w:vAlign w:val="center"/>
          </w:tcPr>
          <w:p w14:paraId="15AC88D5">
            <w:pPr>
              <w:snapToGrid w:val="0"/>
              <w:jc w:val="center"/>
              <w:rPr>
                <w:rFonts w:ascii="Times New Roman" w:hAnsi="Times New Roman" w:cs="Times New Roman"/>
                <w:sz w:val="21"/>
                <w:szCs w:val="21"/>
              </w:rPr>
            </w:pPr>
            <w:r>
              <w:rPr>
                <w:rFonts w:hint="eastAsia" w:ascii="Times New Roman" w:hAnsi="Times New Roman" w:cs="Times New Roman"/>
                <w:sz w:val="21"/>
                <w:szCs w:val="21"/>
                <w:lang w:val="en-US" w:eastAsia="zh-CN"/>
              </w:rPr>
              <w:t>成品库房</w:t>
            </w:r>
          </w:p>
        </w:tc>
        <w:tc>
          <w:tcPr>
            <w:tcW w:w="3719" w:type="pct"/>
            <w:noWrap w:val="0"/>
            <w:vAlign w:val="center"/>
          </w:tcPr>
          <w:p w14:paraId="723FEB20">
            <w:pPr>
              <w:snapToGrid w:val="0"/>
              <w:jc w:val="center"/>
              <w:rPr>
                <w:rFonts w:ascii="Times New Roman" w:hAnsi="Times New Roman" w:cs="Times New Roman"/>
                <w:sz w:val="21"/>
                <w:szCs w:val="21"/>
              </w:rPr>
            </w:pPr>
            <w:r>
              <w:rPr>
                <w:rFonts w:hint="eastAsia" w:ascii="Times New Roman" w:hAnsi="Times New Roman" w:cs="Times New Roman"/>
                <w:sz w:val="21"/>
                <w:szCs w:val="21"/>
                <w:lang w:val="en-US" w:eastAsia="zh-CN"/>
              </w:rPr>
              <w:t>建筑面积2740m</w:t>
            </w:r>
            <w:r>
              <w:rPr>
                <w:rFonts w:hint="eastAsia" w:ascii="Times New Roman" w:hAnsi="Times New Roman" w:cs="Times New Roman"/>
                <w:sz w:val="21"/>
                <w:szCs w:val="21"/>
                <w:vertAlign w:val="superscript"/>
                <w:lang w:val="en-US" w:eastAsia="zh-CN"/>
              </w:rPr>
              <w:t>2</w:t>
            </w:r>
          </w:p>
        </w:tc>
      </w:tr>
      <w:tr w14:paraId="627E101B">
        <w:tblPrEx>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84" w:hRule="atLeast"/>
          <w:jc w:val="center"/>
        </w:trPr>
        <w:tc>
          <w:tcPr>
            <w:tcW w:w="387" w:type="pct"/>
            <w:vMerge w:val="restart"/>
            <w:noWrap w:val="0"/>
            <w:vAlign w:val="center"/>
          </w:tcPr>
          <w:p w14:paraId="418946E3">
            <w:pPr>
              <w:jc w:val="center"/>
              <w:rPr>
                <w:rFonts w:ascii="Times New Roman" w:hAnsi="Times New Roman" w:cs="Times New Roman"/>
                <w:sz w:val="21"/>
                <w:szCs w:val="21"/>
              </w:rPr>
            </w:pPr>
            <w:r>
              <w:rPr>
                <w:rFonts w:hint="eastAsia" w:ascii="Times New Roman" w:hAnsi="Times New Roman" w:cs="Times New Roman"/>
                <w:sz w:val="21"/>
                <w:szCs w:val="21"/>
              </w:rPr>
              <w:t>公用工程</w:t>
            </w:r>
          </w:p>
        </w:tc>
        <w:tc>
          <w:tcPr>
            <w:tcW w:w="893" w:type="pct"/>
            <w:noWrap w:val="0"/>
            <w:vAlign w:val="center"/>
          </w:tcPr>
          <w:p w14:paraId="6938E304">
            <w:pPr>
              <w:snapToGrid w:val="0"/>
              <w:jc w:val="center"/>
              <w:rPr>
                <w:rFonts w:ascii="Times New Roman" w:hAnsi="Times New Roman" w:cs="Times New Roman"/>
                <w:sz w:val="21"/>
                <w:szCs w:val="21"/>
              </w:rPr>
            </w:pPr>
            <w:r>
              <w:rPr>
                <w:rFonts w:ascii="Times New Roman" w:hAnsi="Times New Roman" w:cs="Times New Roman"/>
                <w:sz w:val="21"/>
                <w:szCs w:val="21"/>
              </w:rPr>
              <w:t>给水</w:t>
            </w:r>
          </w:p>
        </w:tc>
        <w:tc>
          <w:tcPr>
            <w:tcW w:w="3719" w:type="pct"/>
            <w:noWrap w:val="0"/>
            <w:vAlign w:val="center"/>
          </w:tcPr>
          <w:p w14:paraId="3D8A7AE2">
            <w:pPr>
              <w:snapToGrid w:val="0"/>
              <w:jc w:val="center"/>
              <w:rPr>
                <w:rFonts w:ascii="Times New Roman" w:hAnsi="Times New Roman" w:cs="Times New Roman"/>
                <w:sz w:val="21"/>
                <w:szCs w:val="21"/>
              </w:rPr>
            </w:pPr>
            <w:r>
              <w:rPr>
                <w:rFonts w:hint="eastAsia" w:ascii="Times New Roman" w:hAnsi="Times New Roman" w:cs="Times New Roman"/>
                <w:sz w:val="21"/>
                <w:szCs w:val="21"/>
                <w:lang w:val="en-US" w:eastAsia="zh-CN"/>
              </w:rPr>
              <w:t>取自厂区自备井</w:t>
            </w:r>
            <w:r>
              <w:rPr>
                <w:rFonts w:ascii="Times New Roman" w:hAnsi="Times New Roman" w:cs="Times New Roman"/>
                <w:sz w:val="21"/>
                <w:szCs w:val="21"/>
              </w:rPr>
              <w:t>。</w:t>
            </w:r>
          </w:p>
        </w:tc>
      </w:tr>
      <w:tr w14:paraId="1E432D22">
        <w:tblPrEx>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84" w:hRule="atLeast"/>
          <w:jc w:val="center"/>
        </w:trPr>
        <w:tc>
          <w:tcPr>
            <w:tcW w:w="387" w:type="pct"/>
            <w:vMerge w:val="continue"/>
            <w:noWrap w:val="0"/>
            <w:vAlign w:val="center"/>
          </w:tcPr>
          <w:p w14:paraId="2F20C68B">
            <w:pPr>
              <w:jc w:val="center"/>
              <w:rPr>
                <w:rFonts w:ascii="Times New Roman" w:hAnsi="Times New Roman" w:cs="Times New Roman"/>
                <w:sz w:val="21"/>
                <w:szCs w:val="21"/>
              </w:rPr>
            </w:pPr>
          </w:p>
        </w:tc>
        <w:tc>
          <w:tcPr>
            <w:tcW w:w="893" w:type="pct"/>
            <w:noWrap w:val="0"/>
            <w:vAlign w:val="center"/>
          </w:tcPr>
          <w:p w14:paraId="04DB5C89">
            <w:pPr>
              <w:snapToGrid w:val="0"/>
              <w:jc w:val="center"/>
              <w:rPr>
                <w:rFonts w:ascii="Times New Roman" w:hAnsi="Times New Roman" w:cs="Times New Roman"/>
                <w:sz w:val="21"/>
                <w:szCs w:val="21"/>
              </w:rPr>
            </w:pPr>
            <w:r>
              <w:rPr>
                <w:rFonts w:ascii="Times New Roman" w:hAnsi="Times New Roman" w:cs="Times New Roman"/>
                <w:sz w:val="21"/>
                <w:szCs w:val="21"/>
              </w:rPr>
              <w:t>排水</w:t>
            </w:r>
          </w:p>
        </w:tc>
        <w:tc>
          <w:tcPr>
            <w:tcW w:w="3719" w:type="pct"/>
            <w:noWrap w:val="0"/>
            <w:vAlign w:val="center"/>
          </w:tcPr>
          <w:p w14:paraId="77EB79E9">
            <w:pPr>
              <w:jc w:val="center"/>
              <w:rPr>
                <w:rFonts w:ascii="Times New Roman" w:hAnsi="Times New Roman" w:cs="Times New Roman"/>
                <w:sz w:val="21"/>
                <w:szCs w:val="21"/>
              </w:rPr>
            </w:pPr>
            <w:r>
              <w:rPr>
                <w:rFonts w:ascii="Times New Roman" w:hAnsi="Times New Roman" w:cs="Times New Roman"/>
                <w:sz w:val="21"/>
                <w:szCs w:val="21"/>
              </w:rPr>
              <w:t>雨污分流制。</w:t>
            </w:r>
          </w:p>
          <w:p w14:paraId="008916D1">
            <w:pPr>
              <w:jc w:val="center"/>
              <w:rPr>
                <w:rFonts w:ascii="Times New Roman" w:hAnsi="Times New Roman" w:cs="Times New Roman"/>
                <w:sz w:val="21"/>
                <w:szCs w:val="21"/>
              </w:rPr>
            </w:pPr>
            <w:r>
              <w:rPr>
                <w:rFonts w:ascii="Times New Roman" w:hAnsi="Times New Roman" w:cs="Times New Roman"/>
                <w:sz w:val="21"/>
                <w:szCs w:val="21"/>
              </w:rPr>
              <w:t>雨水经雨水收集口就近流入</w:t>
            </w:r>
            <w:r>
              <w:rPr>
                <w:rFonts w:hint="eastAsia" w:ascii="Times New Roman" w:hAnsi="Times New Roman" w:cs="Times New Roman"/>
                <w:sz w:val="21"/>
                <w:szCs w:val="21"/>
                <w:lang w:val="en-US" w:eastAsia="zh-CN"/>
              </w:rPr>
              <w:t>细河</w:t>
            </w:r>
            <w:r>
              <w:rPr>
                <w:rFonts w:ascii="Times New Roman" w:hAnsi="Times New Roman" w:cs="Times New Roman"/>
                <w:sz w:val="21"/>
                <w:szCs w:val="21"/>
              </w:rPr>
              <w:t>。</w:t>
            </w:r>
          </w:p>
          <w:p w14:paraId="42046EB2">
            <w:pPr>
              <w:snapToGrid w:val="0"/>
              <w:jc w:val="center"/>
              <w:rPr>
                <w:rFonts w:ascii="Times New Roman" w:hAnsi="Times New Roman" w:cs="Times New Roman"/>
                <w:sz w:val="21"/>
                <w:szCs w:val="21"/>
              </w:rPr>
            </w:pPr>
            <w:r>
              <w:rPr>
                <w:rFonts w:hint="eastAsia" w:ascii="Times New Roman" w:hAnsi="Times New Roman" w:cs="Times New Roman"/>
                <w:sz w:val="21"/>
                <w:szCs w:val="21"/>
              </w:rPr>
              <w:t>生产废水全部回用，不外排；</w:t>
            </w:r>
            <w:r>
              <w:rPr>
                <w:rFonts w:ascii="Times New Roman" w:hAnsi="Times New Roman" w:cs="Times New Roman"/>
                <w:sz w:val="21"/>
                <w:szCs w:val="21"/>
              </w:rPr>
              <w:t>生活污水均汇入化粪池，</w:t>
            </w:r>
            <w:r>
              <w:rPr>
                <w:rFonts w:hint="eastAsia" w:ascii="Times New Roman" w:hAnsi="Times New Roman" w:cs="Times New Roman"/>
                <w:sz w:val="21"/>
                <w:szCs w:val="21"/>
                <w:lang w:val="en-US" w:eastAsia="zh-CN"/>
              </w:rPr>
              <w:t>定期清掏</w:t>
            </w:r>
            <w:r>
              <w:rPr>
                <w:rFonts w:hint="eastAsia" w:ascii="Times New Roman" w:hAnsi="Times New Roman" w:cs="Times New Roman"/>
                <w:sz w:val="21"/>
                <w:szCs w:val="21"/>
              </w:rPr>
              <w:t>。</w:t>
            </w:r>
          </w:p>
        </w:tc>
      </w:tr>
      <w:tr w14:paraId="50264109">
        <w:tblPrEx>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84" w:hRule="atLeast"/>
          <w:jc w:val="center"/>
        </w:trPr>
        <w:tc>
          <w:tcPr>
            <w:tcW w:w="387" w:type="pct"/>
            <w:vMerge w:val="continue"/>
            <w:noWrap w:val="0"/>
            <w:vAlign w:val="center"/>
          </w:tcPr>
          <w:p w14:paraId="52CADD38">
            <w:pPr>
              <w:jc w:val="center"/>
              <w:rPr>
                <w:rFonts w:ascii="Times New Roman" w:hAnsi="Times New Roman" w:cs="Times New Roman"/>
                <w:sz w:val="21"/>
                <w:szCs w:val="21"/>
              </w:rPr>
            </w:pPr>
          </w:p>
        </w:tc>
        <w:tc>
          <w:tcPr>
            <w:tcW w:w="893" w:type="pct"/>
            <w:noWrap w:val="0"/>
            <w:vAlign w:val="center"/>
          </w:tcPr>
          <w:p w14:paraId="485447E1">
            <w:pPr>
              <w:snapToGrid w:val="0"/>
              <w:jc w:val="center"/>
              <w:rPr>
                <w:rFonts w:hint="eastAsia" w:ascii="Times New Roman" w:hAnsi="Times New Roman" w:cs="Times New Roman"/>
                <w:sz w:val="21"/>
                <w:szCs w:val="21"/>
              </w:rPr>
            </w:pPr>
            <w:r>
              <w:rPr>
                <w:rFonts w:ascii="Times New Roman" w:hAnsi="Times New Roman" w:cs="Times New Roman"/>
                <w:sz w:val="21"/>
                <w:szCs w:val="21"/>
              </w:rPr>
              <w:t>供热</w:t>
            </w:r>
          </w:p>
        </w:tc>
        <w:tc>
          <w:tcPr>
            <w:tcW w:w="3719" w:type="pct"/>
            <w:noWrap w:val="0"/>
            <w:vAlign w:val="center"/>
          </w:tcPr>
          <w:p w14:paraId="76B1ED8F">
            <w:pPr>
              <w:snapToGrid w:val="0"/>
              <w:jc w:val="center"/>
              <w:rPr>
                <w:rFonts w:hint="eastAsia" w:ascii="Times New Roman" w:hAnsi="Times New Roman" w:cs="Times New Roman"/>
                <w:sz w:val="21"/>
                <w:szCs w:val="21"/>
              </w:rPr>
            </w:pPr>
            <w:r>
              <w:rPr>
                <w:rFonts w:hint="eastAsia" w:ascii="Times New Roman" w:hAnsi="Times New Roman" w:cs="Times New Roman"/>
                <w:sz w:val="21"/>
                <w:szCs w:val="21"/>
              </w:rPr>
              <w:t>生产车间不采暖，办公楼冬季</w:t>
            </w:r>
            <w:r>
              <w:rPr>
                <w:rFonts w:hint="eastAsia" w:ascii="Times New Roman" w:hAnsi="Times New Roman" w:cs="Times New Roman"/>
                <w:sz w:val="21"/>
                <w:szCs w:val="21"/>
                <w:lang w:val="en-US" w:eastAsia="zh-CN"/>
              </w:rPr>
              <w:t>使用电供暖</w:t>
            </w:r>
            <w:r>
              <w:rPr>
                <w:rFonts w:hint="eastAsia" w:ascii="Times New Roman" w:hAnsi="Times New Roman" w:cs="Times New Roman"/>
                <w:sz w:val="21"/>
                <w:szCs w:val="21"/>
              </w:rPr>
              <w:t>。</w:t>
            </w:r>
          </w:p>
        </w:tc>
      </w:tr>
      <w:tr w14:paraId="027E6C7A">
        <w:tblPrEx>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84" w:hRule="atLeast"/>
          <w:jc w:val="center"/>
        </w:trPr>
        <w:tc>
          <w:tcPr>
            <w:tcW w:w="387" w:type="pct"/>
            <w:vMerge w:val="continue"/>
            <w:noWrap w:val="0"/>
            <w:vAlign w:val="center"/>
          </w:tcPr>
          <w:p w14:paraId="6EC7C02A">
            <w:pPr>
              <w:jc w:val="center"/>
              <w:rPr>
                <w:rFonts w:ascii="Times New Roman" w:hAnsi="Times New Roman" w:cs="Times New Roman"/>
                <w:sz w:val="21"/>
                <w:szCs w:val="21"/>
              </w:rPr>
            </w:pPr>
          </w:p>
        </w:tc>
        <w:tc>
          <w:tcPr>
            <w:tcW w:w="893" w:type="pct"/>
            <w:noWrap w:val="0"/>
            <w:vAlign w:val="center"/>
          </w:tcPr>
          <w:p w14:paraId="02CFB140">
            <w:pPr>
              <w:snapToGrid w:val="0"/>
              <w:jc w:val="center"/>
              <w:rPr>
                <w:rFonts w:ascii="Times New Roman" w:hAnsi="Times New Roman" w:cs="Times New Roman"/>
                <w:sz w:val="21"/>
                <w:szCs w:val="21"/>
              </w:rPr>
            </w:pPr>
            <w:r>
              <w:rPr>
                <w:rFonts w:ascii="Times New Roman" w:hAnsi="Times New Roman" w:cs="Times New Roman"/>
                <w:sz w:val="21"/>
                <w:szCs w:val="21"/>
              </w:rPr>
              <w:t>供电</w:t>
            </w:r>
          </w:p>
        </w:tc>
        <w:tc>
          <w:tcPr>
            <w:tcW w:w="3719" w:type="pct"/>
            <w:noWrap w:val="0"/>
            <w:vAlign w:val="center"/>
          </w:tcPr>
          <w:p w14:paraId="604F006E">
            <w:pPr>
              <w:snapToGrid w:val="0"/>
              <w:jc w:val="center"/>
              <w:rPr>
                <w:rFonts w:hint="eastAsia" w:ascii="Times New Roman" w:hAnsi="Times New Roman" w:cs="Times New Roman"/>
                <w:sz w:val="21"/>
                <w:szCs w:val="21"/>
              </w:rPr>
            </w:pPr>
            <w:r>
              <w:rPr>
                <w:rFonts w:ascii="Times New Roman" w:hAnsi="Times New Roman" w:cs="Times New Roman"/>
                <w:sz w:val="21"/>
                <w:szCs w:val="21"/>
              </w:rPr>
              <w:t>电源来自市政电网。</w:t>
            </w:r>
          </w:p>
        </w:tc>
      </w:tr>
      <w:tr w14:paraId="6A44C5B8">
        <w:tblPrEx>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063" w:hRule="atLeast"/>
          <w:jc w:val="center"/>
        </w:trPr>
        <w:tc>
          <w:tcPr>
            <w:tcW w:w="387" w:type="pct"/>
            <w:vMerge w:val="restart"/>
            <w:noWrap w:val="0"/>
            <w:vAlign w:val="center"/>
          </w:tcPr>
          <w:p w14:paraId="1D86CB61">
            <w:pPr>
              <w:jc w:val="center"/>
              <w:rPr>
                <w:rFonts w:ascii="Times New Roman" w:hAnsi="Times New Roman" w:cs="Times New Roman"/>
                <w:sz w:val="21"/>
                <w:szCs w:val="21"/>
              </w:rPr>
            </w:pPr>
            <w:r>
              <w:rPr>
                <w:rFonts w:ascii="Times New Roman" w:hAnsi="Times New Roman" w:cs="Times New Roman"/>
                <w:sz w:val="21"/>
                <w:szCs w:val="21"/>
              </w:rPr>
              <w:t>环保工程</w:t>
            </w:r>
          </w:p>
        </w:tc>
        <w:tc>
          <w:tcPr>
            <w:tcW w:w="893" w:type="pct"/>
            <w:noWrap w:val="0"/>
            <w:vAlign w:val="center"/>
          </w:tcPr>
          <w:p w14:paraId="5C5EB20E">
            <w:pPr>
              <w:ind w:right="22"/>
              <w:jc w:val="center"/>
              <w:rPr>
                <w:rFonts w:ascii="Times New Roman" w:hAnsi="Times New Roman" w:cs="Times New Roman"/>
                <w:sz w:val="21"/>
                <w:szCs w:val="21"/>
              </w:rPr>
            </w:pPr>
            <w:r>
              <w:rPr>
                <w:rFonts w:ascii="Times New Roman" w:hAnsi="Times New Roman" w:cs="Times New Roman"/>
                <w:sz w:val="21"/>
                <w:szCs w:val="21"/>
              </w:rPr>
              <w:t>废气</w:t>
            </w:r>
          </w:p>
        </w:tc>
        <w:tc>
          <w:tcPr>
            <w:tcW w:w="3719" w:type="pct"/>
            <w:noWrap w:val="0"/>
            <w:vAlign w:val="center"/>
          </w:tcPr>
          <w:p w14:paraId="00089C7A">
            <w:pPr>
              <w:jc w:val="both"/>
              <w:rPr>
                <w:rFonts w:hint="eastAsia" w:ascii="Times New Roman" w:hAnsi="Times New Roman" w:cs="Times New Roman"/>
                <w:b/>
                <w:sz w:val="21"/>
                <w:szCs w:val="21"/>
              </w:rPr>
            </w:pPr>
            <w:r>
              <w:rPr>
                <w:rFonts w:hint="eastAsia" w:ascii="Times New Roman" w:hAnsi="Times New Roman" w:cs="Times New Roman"/>
                <w:b/>
                <w:bCs/>
                <w:sz w:val="21"/>
                <w:szCs w:val="21"/>
                <w:lang w:val="en-US" w:eastAsia="zh-CN"/>
              </w:rPr>
              <w:t>烧结</w:t>
            </w:r>
            <w:r>
              <w:rPr>
                <w:rFonts w:hint="eastAsia" w:ascii="Times New Roman" w:hAnsi="Times New Roman" w:cs="Times New Roman"/>
                <w:b/>
                <w:sz w:val="21"/>
                <w:szCs w:val="21"/>
              </w:rPr>
              <w:t>：</w:t>
            </w:r>
          </w:p>
          <w:p w14:paraId="0407DB89">
            <w:pPr>
              <w:jc w:val="both"/>
              <w:rPr>
                <w:rFonts w:hint="eastAsia" w:ascii="Times New Roman" w:hAnsi="Times New Roman" w:cs="Times New Roman"/>
                <w:bCs/>
                <w:sz w:val="21"/>
                <w:szCs w:val="21"/>
              </w:rPr>
            </w:pPr>
            <w:r>
              <w:rPr>
                <w:rFonts w:hint="eastAsia" w:cs="Times New Roman"/>
                <w:bCs/>
                <w:sz w:val="21"/>
                <w:szCs w:val="21"/>
              </w:rPr>
              <w:t>①</w:t>
            </w:r>
            <w:r>
              <w:rPr>
                <w:rFonts w:hint="eastAsia" w:ascii="Times New Roman" w:hAnsi="Times New Roman" w:cs="Times New Roman"/>
                <w:bCs/>
                <w:sz w:val="21"/>
                <w:szCs w:val="21"/>
                <w:lang w:val="en-US" w:eastAsia="zh-CN"/>
              </w:rPr>
              <w:t>烧结原料和配料系统粉尘经脉冲布袋除尘器处理后通过15m排气筒排放</w:t>
            </w:r>
            <w:r>
              <w:rPr>
                <w:rFonts w:ascii="Times New Roman" w:hAnsi="Times New Roman" w:cs="Times New Roman"/>
                <w:bCs/>
                <w:sz w:val="21"/>
                <w:szCs w:val="21"/>
              </w:rPr>
              <w:t>。</w:t>
            </w:r>
          </w:p>
          <w:p w14:paraId="341F72BF">
            <w:pPr>
              <w:jc w:val="both"/>
              <w:rPr>
                <w:rFonts w:hint="eastAsia" w:ascii="Times New Roman" w:hAnsi="Times New Roman" w:cs="Times New Roman"/>
                <w:bCs/>
                <w:sz w:val="21"/>
                <w:szCs w:val="21"/>
              </w:rPr>
            </w:pPr>
            <w:r>
              <w:rPr>
                <w:rFonts w:hint="eastAsia" w:cs="Times New Roman"/>
                <w:bCs/>
                <w:sz w:val="21"/>
                <w:szCs w:val="21"/>
              </w:rPr>
              <w:t>②</w:t>
            </w:r>
            <w:r>
              <w:rPr>
                <w:rFonts w:hint="eastAsia" w:ascii="Times New Roman" w:hAnsi="Times New Roman" w:cs="Times New Roman"/>
                <w:bCs/>
                <w:sz w:val="21"/>
                <w:szCs w:val="21"/>
              </w:rPr>
              <w:t xml:space="preserve"> </w:t>
            </w:r>
            <w:r>
              <w:rPr>
                <w:rFonts w:hint="eastAsia" w:ascii="Times New Roman" w:hAnsi="Times New Roman" w:cs="Times New Roman"/>
                <w:bCs/>
                <w:sz w:val="21"/>
                <w:szCs w:val="21"/>
                <w:lang w:val="en-US" w:eastAsia="zh-CN"/>
              </w:rPr>
              <w:t>烧结机废气经陶瓷多管除尘器和湿式脱硫装置处理后通过42m排气筒排放</w:t>
            </w:r>
            <w:r>
              <w:rPr>
                <w:rFonts w:ascii="Times New Roman" w:hAnsi="Times New Roman" w:cs="Times New Roman"/>
                <w:bCs/>
                <w:sz w:val="21"/>
                <w:szCs w:val="21"/>
              </w:rPr>
              <w:t>。</w:t>
            </w:r>
          </w:p>
          <w:p w14:paraId="430FC250">
            <w:pPr>
              <w:jc w:val="both"/>
              <w:rPr>
                <w:rFonts w:ascii="Times New Roman" w:hAnsi="Times New Roman" w:cs="Times New Roman"/>
                <w:bCs/>
                <w:sz w:val="21"/>
                <w:szCs w:val="21"/>
              </w:rPr>
            </w:pPr>
            <w:r>
              <w:rPr>
                <w:rFonts w:hint="eastAsia" w:cs="Times New Roman"/>
                <w:bCs/>
                <w:sz w:val="21"/>
                <w:szCs w:val="21"/>
              </w:rPr>
              <w:t>③</w:t>
            </w:r>
            <w:r>
              <w:rPr>
                <w:rFonts w:hint="eastAsia" w:ascii="Times New Roman" w:hAnsi="Times New Roman" w:cs="Times New Roman"/>
                <w:bCs/>
                <w:sz w:val="21"/>
                <w:szCs w:val="21"/>
              </w:rPr>
              <w:t xml:space="preserve"> </w:t>
            </w:r>
            <w:r>
              <w:rPr>
                <w:rFonts w:hint="eastAsia" w:ascii="Times New Roman" w:hAnsi="Times New Roman" w:cs="Times New Roman"/>
                <w:bCs/>
                <w:sz w:val="21"/>
                <w:szCs w:val="21"/>
                <w:lang w:val="en-US" w:eastAsia="zh-CN"/>
              </w:rPr>
              <w:t>烧结机尾气经布袋除尘器处理后再通过15m排气筒排放</w:t>
            </w:r>
            <w:r>
              <w:rPr>
                <w:rFonts w:hint="eastAsia" w:ascii="Times New Roman" w:hAnsi="Times New Roman" w:cs="Times New Roman"/>
                <w:bCs/>
                <w:sz w:val="21"/>
                <w:szCs w:val="21"/>
              </w:rPr>
              <w:t>。</w:t>
            </w:r>
          </w:p>
          <w:p w14:paraId="57F37EF0">
            <w:pPr>
              <w:jc w:val="both"/>
              <w:rPr>
                <w:rFonts w:ascii="Times New Roman" w:hAnsi="Times New Roman" w:cs="Times New Roman"/>
                <w:bCs/>
                <w:sz w:val="21"/>
                <w:szCs w:val="21"/>
              </w:rPr>
            </w:pPr>
            <w:r>
              <w:rPr>
                <w:rFonts w:hint="eastAsia" w:ascii="Times New Roman" w:hAnsi="Times New Roman" w:cs="Times New Roman"/>
                <w:b/>
                <w:bCs/>
                <w:sz w:val="21"/>
                <w:szCs w:val="21"/>
                <w:lang w:val="en-US" w:eastAsia="zh-CN"/>
              </w:rPr>
              <w:t>球团</w:t>
            </w:r>
            <w:r>
              <w:rPr>
                <w:rFonts w:hint="eastAsia" w:ascii="Times New Roman" w:hAnsi="Times New Roman" w:cs="Times New Roman"/>
                <w:b/>
                <w:bCs/>
                <w:sz w:val="21"/>
                <w:szCs w:val="21"/>
              </w:rPr>
              <w:t>：</w:t>
            </w:r>
            <w:r>
              <w:rPr>
                <w:rFonts w:hint="eastAsia" w:ascii="Times New Roman" w:hAnsi="Times New Roman" w:cs="Times New Roman"/>
                <w:bCs/>
                <w:sz w:val="21"/>
                <w:szCs w:val="21"/>
                <w:lang w:val="en-US" w:eastAsia="zh-CN"/>
              </w:rPr>
              <w:t>球团焙烧废气经3台布袋除尘器处理后，再由湿电脱硫塔处理后经1根15m排气筒排放</w:t>
            </w:r>
            <w:r>
              <w:rPr>
                <w:rFonts w:ascii="Times New Roman" w:hAnsi="Times New Roman" w:cs="Times New Roman"/>
                <w:bCs/>
                <w:sz w:val="21"/>
                <w:szCs w:val="21"/>
              </w:rPr>
              <w:t>。</w:t>
            </w:r>
          </w:p>
          <w:p w14:paraId="0DC84A1E">
            <w:pPr>
              <w:jc w:val="both"/>
              <w:rPr>
                <w:rFonts w:ascii="Times New Roman" w:hAnsi="Times New Roman" w:cs="Times New Roman"/>
                <w:bCs/>
                <w:sz w:val="21"/>
                <w:szCs w:val="21"/>
              </w:rPr>
            </w:pPr>
            <w:r>
              <w:rPr>
                <w:rFonts w:hint="eastAsia" w:ascii="Times New Roman" w:hAnsi="Times New Roman" w:cs="Times New Roman"/>
                <w:b/>
                <w:bCs/>
                <w:sz w:val="21"/>
                <w:szCs w:val="21"/>
                <w:lang w:val="en-US" w:eastAsia="zh-CN"/>
              </w:rPr>
              <w:t>白灰窑</w:t>
            </w:r>
            <w:r>
              <w:rPr>
                <w:rFonts w:hint="eastAsia" w:ascii="Times New Roman" w:hAnsi="Times New Roman" w:cs="Times New Roman"/>
                <w:b/>
                <w:bCs/>
                <w:sz w:val="21"/>
                <w:szCs w:val="21"/>
              </w:rPr>
              <w:t>：</w:t>
            </w:r>
            <w:r>
              <w:rPr>
                <w:rFonts w:hint="eastAsia" w:ascii="Times New Roman" w:hAnsi="Times New Roman" w:cs="Times New Roman"/>
                <w:b w:val="0"/>
                <w:bCs w:val="0"/>
                <w:sz w:val="21"/>
                <w:szCs w:val="21"/>
                <w:lang w:val="en-US" w:eastAsia="zh-CN"/>
              </w:rPr>
              <w:t>白灰窑废气经布袋除尘器处理后经15m排气筒排放。</w:t>
            </w:r>
          </w:p>
          <w:p w14:paraId="052B1A25">
            <w:pPr>
              <w:jc w:val="both"/>
              <w:rPr>
                <w:rFonts w:hint="eastAsia" w:ascii="Times New Roman" w:hAnsi="Times New Roman" w:cs="Times New Roman"/>
                <w:bCs/>
                <w:sz w:val="21"/>
                <w:szCs w:val="21"/>
                <w:lang w:eastAsia="zh-CN"/>
              </w:rPr>
            </w:pPr>
            <w:r>
              <w:rPr>
                <w:rFonts w:hint="eastAsia" w:ascii="Times New Roman" w:hAnsi="Times New Roman" w:cs="Times New Roman"/>
                <w:b/>
                <w:bCs w:val="0"/>
                <w:sz w:val="21"/>
                <w:szCs w:val="21"/>
                <w:lang w:val="en-US" w:eastAsia="zh-CN"/>
              </w:rPr>
              <w:t>高炉炼铁</w:t>
            </w:r>
            <w:r>
              <w:rPr>
                <w:rFonts w:hint="eastAsia" w:ascii="Times New Roman" w:hAnsi="Times New Roman" w:cs="Times New Roman"/>
                <w:b/>
                <w:bCs w:val="0"/>
                <w:sz w:val="21"/>
                <w:szCs w:val="21"/>
              </w:rPr>
              <w:t>：</w:t>
            </w:r>
            <w:r>
              <w:rPr>
                <w:rFonts w:hint="eastAsia" w:ascii="Times New Roman" w:hAnsi="Times New Roman" w:cs="Times New Roman"/>
                <w:bCs/>
                <w:sz w:val="21"/>
                <w:szCs w:val="21"/>
              </w:rPr>
              <w:t>矿焦槽上、槽下系统废气经集尘罩收集后再通过布袋除尘器处理再通过30m排气筒排放</w:t>
            </w:r>
            <w:r>
              <w:rPr>
                <w:rFonts w:hint="eastAsia" w:ascii="Times New Roman" w:hAnsi="Times New Roman" w:cs="Times New Roman"/>
                <w:bCs/>
                <w:sz w:val="21"/>
                <w:szCs w:val="21"/>
                <w:lang w:eastAsia="zh-CN"/>
              </w:rPr>
              <w:t>。</w:t>
            </w:r>
          </w:p>
          <w:p w14:paraId="4D6261F0">
            <w:pPr>
              <w:jc w:val="both"/>
              <w:rPr>
                <w:rFonts w:hint="default" w:ascii="Times New Roman" w:hAnsi="Times New Roman" w:cs="Times New Roman"/>
                <w:bCs/>
                <w:sz w:val="21"/>
                <w:szCs w:val="21"/>
                <w:lang w:val="en-US" w:eastAsia="zh-CN"/>
              </w:rPr>
            </w:pPr>
            <w:r>
              <w:rPr>
                <w:rFonts w:hint="eastAsia" w:ascii="Times New Roman" w:hAnsi="Times New Roman" w:cs="Times New Roman"/>
                <w:bCs/>
                <w:sz w:val="21"/>
                <w:szCs w:val="21"/>
                <w:lang w:val="en-US" w:eastAsia="zh-CN"/>
              </w:rPr>
              <w:t>煤粉制备粉尘经布袋除尘器处理后</w:t>
            </w:r>
            <w:r>
              <w:rPr>
                <w:rFonts w:hint="eastAsia" w:ascii="Times New Roman" w:hAnsi="Times New Roman" w:cs="Times New Roman"/>
                <w:b w:val="0"/>
                <w:bCs w:val="0"/>
                <w:sz w:val="21"/>
                <w:szCs w:val="21"/>
                <w:lang w:val="en-US" w:eastAsia="zh-CN"/>
              </w:rPr>
              <w:t>经15m排气筒排放。</w:t>
            </w:r>
          </w:p>
          <w:p w14:paraId="6E30023A">
            <w:pPr>
              <w:jc w:val="both"/>
              <w:rPr>
                <w:rFonts w:hint="eastAsia" w:ascii="Times New Roman" w:hAnsi="Times New Roman" w:eastAsia="宋体" w:cs="Times New Roman"/>
                <w:bCs/>
                <w:sz w:val="21"/>
                <w:szCs w:val="21"/>
                <w:lang w:eastAsia="zh-CN"/>
              </w:rPr>
            </w:pPr>
            <w:r>
              <w:rPr>
                <w:rFonts w:hint="eastAsia" w:ascii="Times New Roman" w:hAnsi="Times New Roman" w:cs="Times New Roman"/>
                <w:bCs/>
                <w:sz w:val="21"/>
                <w:szCs w:val="21"/>
              </w:rPr>
              <w:t>出铁场颗粒物经布袋除尘器处理后再通过30m高排气筒排放</w:t>
            </w:r>
            <w:r>
              <w:rPr>
                <w:rFonts w:hint="eastAsia" w:ascii="Times New Roman" w:hAnsi="Times New Roman" w:cs="Times New Roman"/>
                <w:bCs/>
                <w:sz w:val="21"/>
                <w:szCs w:val="21"/>
                <w:lang w:eastAsia="zh-CN"/>
              </w:rPr>
              <w:t>。</w:t>
            </w:r>
          </w:p>
          <w:p w14:paraId="5916ECAB">
            <w:pPr>
              <w:jc w:val="both"/>
              <w:rPr>
                <w:rFonts w:hint="eastAsia" w:ascii="Times New Roman" w:hAnsi="Times New Roman" w:eastAsia="宋体" w:cs="Times New Roman"/>
                <w:bCs/>
                <w:sz w:val="21"/>
                <w:szCs w:val="21"/>
                <w:lang w:eastAsia="zh-CN"/>
              </w:rPr>
            </w:pPr>
            <w:r>
              <w:rPr>
                <w:rFonts w:hint="eastAsia" w:ascii="Times New Roman" w:hAnsi="Times New Roman" w:cs="Times New Roman"/>
                <w:bCs/>
                <w:sz w:val="21"/>
                <w:szCs w:val="21"/>
              </w:rPr>
              <w:t>高炉炉顶经旋风除尘、高炉煤气经重力除尘和14台并联布袋除尘器处理后再通过15m高排气筒排放</w:t>
            </w:r>
            <w:r>
              <w:rPr>
                <w:rFonts w:hint="eastAsia" w:ascii="Times New Roman" w:hAnsi="Times New Roman" w:cs="Times New Roman"/>
                <w:bCs/>
                <w:sz w:val="21"/>
                <w:szCs w:val="21"/>
                <w:lang w:eastAsia="zh-CN"/>
              </w:rPr>
              <w:t>。</w:t>
            </w:r>
          </w:p>
          <w:p w14:paraId="16C33445">
            <w:pPr>
              <w:jc w:val="both"/>
              <w:rPr>
                <w:rFonts w:hint="eastAsia" w:ascii="Times New Roman" w:hAnsi="Times New Roman" w:cs="Times New Roman"/>
                <w:b/>
                <w:bCs/>
                <w:sz w:val="21"/>
                <w:szCs w:val="21"/>
              </w:rPr>
            </w:pPr>
            <w:r>
              <w:rPr>
                <w:rFonts w:hint="eastAsia" w:ascii="Times New Roman" w:hAnsi="Times New Roman" w:cs="Times New Roman"/>
                <w:bCs/>
                <w:sz w:val="21"/>
                <w:szCs w:val="21"/>
              </w:rPr>
              <w:t>热风炉废气经42m高排气筒排放</w:t>
            </w:r>
            <w:r>
              <w:rPr>
                <w:rFonts w:ascii="Times New Roman" w:hAnsi="Times New Roman" w:cs="Times New Roman"/>
                <w:bCs/>
                <w:sz w:val="21"/>
                <w:szCs w:val="21"/>
              </w:rPr>
              <w:t>。</w:t>
            </w:r>
          </w:p>
        </w:tc>
      </w:tr>
      <w:tr w14:paraId="4335A63F">
        <w:tblPrEx>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87" w:type="pct"/>
            <w:vMerge w:val="continue"/>
            <w:noWrap w:val="0"/>
            <w:vAlign w:val="center"/>
          </w:tcPr>
          <w:p w14:paraId="0F51A74D">
            <w:pPr>
              <w:jc w:val="center"/>
              <w:rPr>
                <w:rFonts w:ascii="Times New Roman" w:hAnsi="Times New Roman" w:cs="Times New Roman"/>
                <w:sz w:val="21"/>
                <w:szCs w:val="21"/>
              </w:rPr>
            </w:pPr>
          </w:p>
        </w:tc>
        <w:tc>
          <w:tcPr>
            <w:tcW w:w="893" w:type="pct"/>
            <w:noWrap w:val="0"/>
            <w:vAlign w:val="center"/>
          </w:tcPr>
          <w:p w14:paraId="3046112B">
            <w:pPr>
              <w:jc w:val="center"/>
              <w:rPr>
                <w:rFonts w:ascii="Times New Roman" w:hAnsi="Times New Roman" w:cs="Times New Roman"/>
                <w:sz w:val="21"/>
                <w:szCs w:val="21"/>
              </w:rPr>
            </w:pPr>
            <w:r>
              <w:rPr>
                <w:rFonts w:ascii="Times New Roman" w:hAnsi="Times New Roman" w:cs="Times New Roman"/>
                <w:sz w:val="21"/>
                <w:szCs w:val="21"/>
              </w:rPr>
              <w:t>废水</w:t>
            </w:r>
          </w:p>
        </w:tc>
        <w:tc>
          <w:tcPr>
            <w:tcW w:w="3719" w:type="pct"/>
            <w:noWrap w:val="0"/>
            <w:vAlign w:val="center"/>
          </w:tcPr>
          <w:p w14:paraId="61E40D5D">
            <w:pPr>
              <w:jc w:val="center"/>
              <w:rPr>
                <w:rFonts w:ascii="Times New Roman" w:hAnsi="Times New Roman" w:cs="Times New Roman"/>
                <w:sz w:val="21"/>
                <w:szCs w:val="21"/>
              </w:rPr>
            </w:pPr>
            <w:r>
              <w:rPr>
                <w:rFonts w:ascii="Times New Roman" w:hAnsi="Times New Roman" w:cs="Times New Roman"/>
                <w:sz w:val="21"/>
                <w:szCs w:val="21"/>
              </w:rPr>
              <w:t>雨污分流制。</w:t>
            </w:r>
          </w:p>
          <w:p w14:paraId="2D0972AC">
            <w:pPr>
              <w:jc w:val="center"/>
              <w:rPr>
                <w:rFonts w:ascii="Times New Roman" w:hAnsi="Times New Roman" w:cs="Times New Roman"/>
                <w:sz w:val="21"/>
                <w:szCs w:val="21"/>
              </w:rPr>
            </w:pPr>
            <w:r>
              <w:rPr>
                <w:rFonts w:ascii="Times New Roman" w:hAnsi="Times New Roman" w:cs="Times New Roman"/>
                <w:sz w:val="21"/>
                <w:szCs w:val="21"/>
              </w:rPr>
              <w:t>雨水经雨水收集口就近流入</w:t>
            </w:r>
            <w:r>
              <w:rPr>
                <w:rFonts w:hint="eastAsia" w:ascii="Times New Roman" w:hAnsi="Times New Roman" w:cs="Times New Roman"/>
                <w:sz w:val="21"/>
                <w:szCs w:val="21"/>
                <w:lang w:val="en-US" w:eastAsia="zh-CN"/>
              </w:rPr>
              <w:t>细河</w:t>
            </w:r>
            <w:r>
              <w:rPr>
                <w:rFonts w:ascii="Times New Roman" w:hAnsi="Times New Roman" w:cs="Times New Roman"/>
                <w:sz w:val="21"/>
                <w:szCs w:val="21"/>
              </w:rPr>
              <w:t>。</w:t>
            </w:r>
          </w:p>
          <w:p w14:paraId="1A5FFA96">
            <w:pPr>
              <w:rPr>
                <w:rFonts w:hint="eastAsia" w:ascii="Times New Roman" w:hAnsi="Times New Roman" w:cs="Times New Roman"/>
                <w:sz w:val="21"/>
                <w:szCs w:val="21"/>
              </w:rPr>
            </w:pPr>
            <w:r>
              <w:rPr>
                <w:rFonts w:hint="eastAsia" w:ascii="Times New Roman" w:hAnsi="Times New Roman" w:cs="Times New Roman"/>
                <w:sz w:val="21"/>
                <w:szCs w:val="21"/>
              </w:rPr>
              <w:t>生产废水全部回用，不外排；</w:t>
            </w:r>
            <w:r>
              <w:rPr>
                <w:rFonts w:ascii="Times New Roman" w:hAnsi="Times New Roman" w:cs="Times New Roman"/>
                <w:sz w:val="21"/>
                <w:szCs w:val="21"/>
              </w:rPr>
              <w:t>生活污水均汇入化粪池，</w:t>
            </w:r>
            <w:r>
              <w:rPr>
                <w:rFonts w:hint="eastAsia" w:ascii="Times New Roman" w:hAnsi="Times New Roman" w:cs="Times New Roman"/>
                <w:sz w:val="21"/>
                <w:szCs w:val="21"/>
                <w:lang w:val="en-US" w:eastAsia="zh-CN"/>
              </w:rPr>
              <w:t>定期清掏</w:t>
            </w:r>
            <w:r>
              <w:rPr>
                <w:rFonts w:hint="eastAsia" w:ascii="Times New Roman" w:hAnsi="Times New Roman" w:cs="Times New Roman"/>
                <w:sz w:val="21"/>
                <w:szCs w:val="21"/>
              </w:rPr>
              <w:t>。</w:t>
            </w:r>
          </w:p>
        </w:tc>
      </w:tr>
      <w:tr w14:paraId="510F927B">
        <w:tblPrEx>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87" w:type="pct"/>
            <w:vMerge w:val="continue"/>
            <w:noWrap w:val="0"/>
            <w:vAlign w:val="center"/>
          </w:tcPr>
          <w:p w14:paraId="0E0D6BFE">
            <w:pPr>
              <w:jc w:val="center"/>
              <w:rPr>
                <w:rFonts w:ascii="Times New Roman" w:hAnsi="Times New Roman" w:cs="Times New Roman"/>
                <w:sz w:val="21"/>
                <w:szCs w:val="21"/>
              </w:rPr>
            </w:pPr>
          </w:p>
        </w:tc>
        <w:tc>
          <w:tcPr>
            <w:tcW w:w="893" w:type="pct"/>
            <w:noWrap w:val="0"/>
            <w:vAlign w:val="center"/>
          </w:tcPr>
          <w:p w14:paraId="27A74DDA">
            <w:pPr>
              <w:ind w:right="22"/>
              <w:jc w:val="center"/>
              <w:rPr>
                <w:rFonts w:ascii="Times New Roman" w:hAnsi="Times New Roman" w:cs="Times New Roman"/>
                <w:sz w:val="21"/>
                <w:szCs w:val="21"/>
              </w:rPr>
            </w:pPr>
            <w:r>
              <w:rPr>
                <w:rFonts w:ascii="Times New Roman" w:hAnsi="Times New Roman" w:cs="Times New Roman"/>
                <w:sz w:val="21"/>
                <w:szCs w:val="21"/>
              </w:rPr>
              <w:t>固体废物</w:t>
            </w:r>
          </w:p>
        </w:tc>
        <w:tc>
          <w:tcPr>
            <w:tcW w:w="3719" w:type="pct"/>
            <w:noWrap w:val="0"/>
            <w:vAlign w:val="center"/>
          </w:tcPr>
          <w:p w14:paraId="6A2A17A0">
            <w:pPr>
              <w:rPr>
                <w:rFonts w:hint="eastAsia" w:ascii="Times New Roman" w:hAnsi="Times New Roman" w:eastAsia="宋体" w:cs="Times New Roman"/>
                <w:sz w:val="21"/>
                <w:szCs w:val="21"/>
                <w:lang w:eastAsia="zh-CN"/>
              </w:rPr>
            </w:pPr>
            <w:r>
              <w:rPr>
                <w:rFonts w:hint="eastAsia" w:ascii="Times New Roman" w:hAnsi="Times New Roman" w:cs="Times New Roman"/>
                <w:sz w:val="21"/>
                <w:szCs w:val="21"/>
              </w:rPr>
              <w:t>高炉除尘器收尘、其他除尘系统收尘、出铁场固体残渣及铁水罐的内衬废料，回收作为原料再利用高炉渣出售水泥厂</w:t>
            </w:r>
            <w:r>
              <w:rPr>
                <w:rFonts w:hint="eastAsia" w:ascii="Times New Roman" w:hAnsi="Times New Roman" w:cs="Times New Roman"/>
                <w:sz w:val="21"/>
                <w:szCs w:val="21"/>
                <w:lang w:eastAsia="zh-CN"/>
              </w:rPr>
              <w:t>。</w:t>
            </w:r>
          </w:p>
          <w:p w14:paraId="14F06247">
            <w:pPr>
              <w:rPr>
                <w:rFonts w:hint="eastAsia" w:ascii="Times New Roman" w:hAnsi="Times New Roman" w:eastAsia="宋体" w:cs="Times New Roman"/>
                <w:sz w:val="21"/>
                <w:szCs w:val="21"/>
                <w:lang w:eastAsia="zh-CN"/>
              </w:rPr>
            </w:pPr>
            <w:r>
              <w:rPr>
                <w:rFonts w:hint="eastAsia" w:ascii="Times New Roman" w:hAnsi="Times New Roman" w:cs="Times New Roman"/>
                <w:sz w:val="21"/>
                <w:szCs w:val="21"/>
              </w:rPr>
              <w:t>脱硫渣定期出售</w:t>
            </w:r>
            <w:r>
              <w:rPr>
                <w:rFonts w:hint="eastAsia" w:ascii="Times New Roman" w:hAnsi="Times New Roman" w:cs="Times New Roman"/>
                <w:sz w:val="21"/>
                <w:szCs w:val="21"/>
                <w:lang w:eastAsia="zh-CN"/>
              </w:rPr>
              <w:t>。</w:t>
            </w:r>
          </w:p>
        </w:tc>
      </w:tr>
      <w:tr w14:paraId="1FB605D6">
        <w:tblPrEx>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87" w:type="pct"/>
            <w:vMerge w:val="continue"/>
            <w:noWrap w:val="0"/>
            <w:vAlign w:val="center"/>
          </w:tcPr>
          <w:p w14:paraId="0AA8AC78">
            <w:pPr>
              <w:jc w:val="center"/>
              <w:rPr>
                <w:rFonts w:ascii="Times New Roman" w:hAnsi="Times New Roman" w:cs="Times New Roman"/>
                <w:sz w:val="21"/>
                <w:szCs w:val="21"/>
              </w:rPr>
            </w:pPr>
          </w:p>
        </w:tc>
        <w:tc>
          <w:tcPr>
            <w:tcW w:w="893" w:type="pct"/>
            <w:noWrap w:val="0"/>
            <w:vAlign w:val="center"/>
          </w:tcPr>
          <w:p w14:paraId="3663A664">
            <w:pPr>
              <w:ind w:right="22"/>
              <w:jc w:val="center"/>
              <w:rPr>
                <w:rFonts w:ascii="Times New Roman" w:hAnsi="Times New Roman" w:cs="Times New Roman"/>
                <w:sz w:val="21"/>
                <w:szCs w:val="21"/>
              </w:rPr>
            </w:pPr>
            <w:r>
              <w:rPr>
                <w:rFonts w:ascii="Times New Roman" w:hAnsi="Times New Roman" w:cs="Times New Roman"/>
                <w:sz w:val="21"/>
                <w:szCs w:val="21"/>
              </w:rPr>
              <w:t>噪声</w:t>
            </w:r>
          </w:p>
        </w:tc>
        <w:tc>
          <w:tcPr>
            <w:tcW w:w="3719" w:type="pct"/>
            <w:noWrap w:val="0"/>
            <w:vAlign w:val="center"/>
          </w:tcPr>
          <w:p w14:paraId="07D68F13">
            <w:pPr>
              <w:rPr>
                <w:rFonts w:ascii="Times New Roman" w:hAnsi="Times New Roman" w:cs="Times New Roman"/>
                <w:sz w:val="21"/>
                <w:szCs w:val="21"/>
              </w:rPr>
            </w:pPr>
            <w:r>
              <w:rPr>
                <w:rFonts w:ascii="Times New Roman" w:hAnsi="Times New Roman" w:cs="Times New Roman"/>
                <w:sz w:val="21"/>
                <w:szCs w:val="21"/>
              </w:rPr>
              <w:t>设备选型选用同类产品中低噪声设备，采取建筑隔声、加装消声器、减振基础等治理措施。</w:t>
            </w:r>
          </w:p>
        </w:tc>
      </w:tr>
    </w:tbl>
    <w:p w14:paraId="440AA93E">
      <w:pPr>
        <w:pStyle w:val="7"/>
      </w:pPr>
      <w:bookmarkStart w:id="197" w:name="_Toc90026217"/>
      <w:bookmarkStart w:id="198" w:name="_Toc1016"/>
      <w:r>
        <w:rPr>
          <w:rFonts w:hint="eastAsia"/>
        </w:rPr>
        <w:t>2</w:t>
      </w:r>
      <w:r>
        <w:t>.</w:t>
      </w:r>
      <w:r>
        <w:rPr>
          <w:rFonts w:hint="eastAsia"/>
        </w:rPr>
        <w:t>2</w:t>
      </w:r>
      <w:r>
        <w:t xml:space="preserve">.2 </w:t>
      </w:r>
      <w:r>
        <w:rPr>
          <w:rFonts w:hint="eastAsia"/>
        </w:rPr>
        <w:t>主要生产设备</w:t>
      </w:r>
      <w:bookmarkEnd w:id="197"/>
      <w:bookmarkEnd w:id="198"/>
    </w:p>
    <w:p w14:paraId="7FBB6416">
      <w:pPr>
        <w:spacing w:line="500" w:lineRule="exact"/>
        <w:ind w:right="6" w:firstLine="480" w:firstLineChars="200"/>
        <w:jc w:val="both"/>
        <w:rPr>
          <w:rFonts w:ascii="Times New Roman" w:hAnsi="Times New Roman" w:cs="Times New Roman"/>
        </w:rPr>
      </w:pPr>
      <w:r>
        <w:rPr>
          <w:rFonts w:hint="eastAsia" w:ascii="Times New Roman" w:hAnsi="Times New Roman" w:cs="Times New Roman"/>
        </w:rPr>
        <w:t>已建工程主要生产设备</w:t>
      </w:r>
      <w:r>
        <w:rPr>
          <w:rFonts w:ascii="Times New Roman" w:hAnsi="Times New Roman" w:cs="Times New Roman"/>
        </w:rPr>
        <w:t>见表2.2-</w:t>
      </w:r>
      <w:r>
        <w:rPr>
          <w:rFonts w:hint="eastAsia" w:ascii="Times New Roman" w:hAnsi="Times New Roman" w:cs="Times New Roman"/>
        </w:rPr>
        <w:t>2</w:t>
      </w:r>
      <w:r>
        <w:rPr>
          <w:rFonts w:ascii="Times New Roman" w:hAnsi="Times New Roman" w:cs="Times New Roman"/>
        </w:rPr>
        <w:t>。</w:t>
      </w:r>
    </w:p>
    <w:p w14:paraId="221C01A2">
      <w:pPr>
        <w:adjustRightInd w:val="0"/>
        <w:snapToGrid w:val="0"/>
        <w:spacing w:before="93" w:beforeLines="30" w:line="360" w:lineRule="auto"/>
        <w:jc w:val="center"/>
        <w:rPr>
          <w:rFonts w:ascii="Times New Roman" w:hAnsi="Times New Roman" w:eastAsia="黑体" w:cs="Times New Roman"/>
        </w:rPr>
      </w:pPr>
      <w:r>
        <w:rPr>
          <w:rFonts w:ascii="Times New Roman" w:hAnsi="Times New Roman" w:eastAsia="黑体" w:cs="Times New Roman"/>
        </w:rPr>
        <w:t>表2.2-</w:t>
      </w:r>
      <w:r>
        <w:rPr>
          <w:rFonts w:hint="eastAsia" w:ascii="Times New Roman" w:hAnsi="Times New Roman" w:eastAsia="黑体" w:cs="Times New Roman"/>
        </w:rPr>
        <w:t>2</w:t>
      </w:r>
      <w:r>
        <w:rPr>
          <w:rFonts w:ascii="Times New Roman" w:hAnsi="Times New Roman" w:eastAsia="黑体" w:cs="Times New Roman"/>
        </w:rPr>
        <w:t xml:space="preserve">  </w:t>
      </w:r>
      <w:r>
        <w:rPr>
          <w:rFonts w:hint="eastAsia" w:ascii="Times New Roman" w:hAnsi="Times New Roman" w:eastAsia="黑体" w:cs="Times New Roman"/>
        </w:rPr>
        <w:t>已建工程主要生产设备</w:t>
      </w:r>
    </w:p>
    <w:tbl>
      <w:tblPr>
        <w:tblStyle w:val="56"/>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70"/>
        <w:gridCol w:w="2264"/>
        <w:gridCol w:w="3020"/>
        <w:gridCol w:w="1380"/>
        <w:gridCol w:w="1386"/>
      </w:tblGrid>
      <w:tr w14:paraId="32EF4D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blHeader/>
          <w:jc w:val="center"/>
        </w:trPr>
        <w:tc>
          <w:tcPr>
            <w:tcW w:w="384" w:type="pct"/>
            <w:tcBorders>
              <w:top w:val="thinThickSmallGap" w:color="auto" w:sz="12" w:space="0"/>
              <w:left w:val="nil"/>
              <w:bottom w:val="single" w:color="000000" w:sz="6" w:space="0"/>
              <w:right w:val="single" w:color="000000" w:sz="6" w:space="0"/>
            </w:tcBorders>
            <w:shd w:val="clear" w:color="auto" w:fill="E6E6E6"/>
            <w:noWrap w:val="0"/>
            <w:vAlign w:val="center"/>
          </w:tcPr>
          <w:p w14:paraId="6EFAB294">
            <w:pPr>
              <w:pStyle w:val="503"/>
              <w:ind w:left="-120" w:leftChars="-50" w:right="-120" w:rightChars="-50"/>
              <w:contextualSpacing/>
              <w:jc w:val="center"/>
              <w:rPr>
                <w:rFonts w:ascii="Times New Roman"/>
                <w:b/>
                <w:color w:val="auto"/>
                <w:kern w:val="0"/>
                <w:sz w:val="21"/>
                <w:szCs w:val="21"/>
              </w:rPr>
            </w:pPr>
            <w:r>
              <w:rPr>
                <w:rFonts w:ascii="Times New Roman"/>
                <w:b/>
                <w:color w:val="auto"/>
                <w:kern w:val="0"/>
                <w:sz w:val="21"/>
                <w:szCs w:val="21"/>
              </w:rPr>
              <w:t>序</w:t>
            </w:r>
            <w:r>
              <w:rPr>
                <w:rFonts w:hint="eastAsia" w:ascii="Times New Roman"/>
                <w:b/>
                <w:color w:val="auto"/>
                <w:kern w:val="0"/>
                <w:sz w:val="21"/>
                <w:szCs w:val="21"/>
                <w:lang w:eastAsia="zh-CN"/>
              </w:rPr>
              <w:t>号</w:t>
            </w:r>
          </w:p>
        </w:tc>
        <w:tc>
          <w:tcPr>
            <w:tcW w:w="1298" w:type="pct"/>
            <w:tcBorders>
              <w:top w:val="thinThickSmallGap" w:color="auto" w:sz="12" w:space="0"/>
              <w:bottom w:val="single" w:color="auto" w:sz="4" w:space="0"/>
            </w:tcBorders>
            <w:shd w:val="clear" w:color="auto" w:fill="E6E6E6"/>
            <w:noWrap w:val="0"/>
            <w:vAlign w:val="center"/>
          </w:tcPr>
          <w:p w14:paraId="22F8D3DF">
            <w:pPr>
              <w:pStyle w:val="503"/>
              <w:ind w:left="-120" w:leftChars="-50" w:right="-120" w:rightChars="-50"/>
              <w:contextualSpacing/>
              <w:jc w:val="center"/>
              <w:rPr>
                <w:rFonts w:ascii="Times New Roman"/>
                <w:b/>
                <w:color w:val="auto"/>
                <w:kern w:val="0"/>
                <w:sz w:val="21"/>
                <w:szCs w:val="21"/>
              </w:rPr>
            </w:pPr>
            <w:r>
              <w:rPr>
                <w:rFonts w:ascii="Times New Roman"/>
                <w:b/>
                <w:color w:val="auto"/>
                <w:kern w:val="0"/>
                <w:sz w:val="21"/>
                <w:szCs w:val="21"/>
              </w:rPr>
              <w:t>名称</w:t>
            </w:r>
          </w:p>
        </w:tc>
        <w:tc>
          <w:tcPr>
            <w:tcW w:w="1731" w:type="pct"/>
            <w:tcBorders>
              <w:top w:val="thinThickSmallGap" w:color="auto" w:sz="12" w:space="0"/>
              <w:bottom w:val="single" w:color="auto" w:sz="4" w:space="0"/>
            </w:tcBorders>
            <w:shd w:val="clear" w:color="auto" w:fill="E6E6E6"/>
            <w:noWrap w:val="0"/>
            <w:vAlign w:val="center"/>
          </w:tcPr>
          <w:p w14:paraId="3C3FC0E9">
            <w:pPr>
              <w:pStyle w:val="503"/>
              <w:ind w:left="-120" w:leftChars="-50" w:right="-120" w:rightChars="-50"/>
              <w:contextualSpacing/>
              <w:jc w:val="center"/>
              <w:rPr>
                <w:rFonts w:ascii="Times New Roman"/>
                <w:b/>
                <w:color w:val="auto"/>
                <w:kern w:val="0"/>
                <w:sz w:val="21"/>
                <w:szCs w:val="21"/>
              </w:rPr>
            </w:pPr>
            <w:r>
              <w:rPr>
                <w:rFonts w:ascii="Times New Roman"/>
                <w:b/>
                <w:color w:val="auto"/>
                <w:kern w:val="0"/>
                <w:sz w:val="21"/>
                <w:szCs w:val="21"/>
              </w:rPr>
              <w:t>规模型号</w:t>
            </w:r>
          </w:p>
        </w:tc>
        <w:tc>
          <w:tcPr>
            <w:tcW w:w="791" w:type="pct"/>
            <w:tcBorders>
              <w:top w:val="thinThickSmallGap" w:color="auto" w:sz="12" w:space="0"/>
              <w:bottom w:val="single" w:color="auto" w:sz="4" w:space="0"/>
            </w:tcBorders>
            <w:shd w:val="clear" w:color="auto" w:fill="E6E6E6"/>
            <w:noWrap w:val="0"/>
            <w:vAlign w:val="center"/>
          </w:tcPr>
          <w:p w14:paraId="18EC022A">
            <w:pPr>
              <w:pStyle w:val="503"/>
              <w:ind w:left="-120" w:leftChars="-50" w:right="-120" w:rightChars="-50"/>
              <w:contextualSpacing/>
              <w:jc w:val="center"/>
              <w:rPr>
                <w:rFonts w:hint="eastAsia" w:ascii="Times New Roman" w:eastAsia="宋体"/>
                <w:b/>
                <w:color w:val="auto"/>
                <w:kern w:val="0"/>
                <w:sz w:val="21"/>
                <w:szCs w:val="21"/>
                <w:lang w:eastAsia="zh-CN"/>
              </w:rPr>
            </w:pPr>
            <w:r>
              <w:rPr>
                <w:rFonts w:hint="eastAsia" w:ascii="Times New Roman"/>
                <w:b/>
                <w:color w:val="auto"/>
                <w:kern w:val="0"/>
                <w:sz w:val="21"/>
                <w:szCs w:val="21"/>
                <w:lang w:val="en-US" w:eastAsia="zh-CN"/>
              </w:rPr>
              <w:t>单位</w:t>
            </w:r>
          </w:p>
        </w:tc>
        <w:tc>
          <w:tcPr>
            <w:tcW w:w="794" w:type="pct"/>
            <w:tcBorders>
              <w:top w:val="thinThickSmallGap" w:color="auto" w:sz="12" w:space="0"/>
              <w:bottom w:val="single" w:color="auto" w:sz="4" w:space="0"/>
              <w:right w:val="nil"/>
            </w:tcBorders>
            <w:shd w:val="clear" w:color="auto" w:fill="E6E6E6"/>
            <w:noWrap w:val="0"/>
            <w:vAlign w:val="center"/>
          </w:tcPr>
          <w:p w14:paraId="00977C41">
            <w:pPr>
              <w:pStyle w:val="503"/>
              <w:ind w:left="-120" w:leftChars="-50" w:right="-120" w:rightChars="-50"/>
              <w:contextualSpacing/>
              <w:jc w:val="center"/>
              <w:rPr>
                <w:rFonts w:ascii="Times New Roman"/>
                <w:b/>
                <w:color w:val="auto"/>
                <w:kern w:val="0"/>
                <w:sz w:val="21"/>
                <w:szCs w:val="21"/>
              </w:rPr>
            </w:pPr>
            <w:r>
              <w:rPr>
                <w:rFonts w:hint="eastAsia" w:ascii="Times New Roman"/>
                <w:b/>
                <w:color w:val="auto"/>
                <w:kern w:val="0"/>
                <w:sz w:val="21"/>
                <w:szCs w:val="21"/>
                <w:lang w:val="en-US" w:eastAsia="zh-CN"/>
              </w:rPr>
              <w:t>数量</w:t>
            </w:r>
          </w:p>
        </w:tc>
      </w:tr>
      <w:tr w14:paraId="61A4F4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84" w:type="pct"/>
            <w:tcBorders>
              <w:left w:val="nil"/>
            </w:tcBorders>
            <w:noWrap w:val="0"/>
            <w:vAlign w:val="center"/>
          </w:tcPr>
          <w:p w14:paraId="36191A92">
            <w:pPr>
              <w:pStyle w:val="203"/>
              <w:widowControl w:val="0"/>
              <w:spacing w:line="240" w:lineRule="atLeast"/>
              <w:ind w:left="-120" w:leftChars="-50" w:right="-120" w:rightChars="-50"/>
              <w:jc w:val="center"/>
              <w:rPr>
                <w:rFonts w:ascii="Times New Roman"/>
                <w:color w:val="auto"/>
                <w:sz w:val="21"/>
                <w:szCs w:val="21"/>
              </w:rPr>
            </w:pPr>
            <w:r>
              <w:rPr>
                <w:rFonts w:ascii="Times New Roman"/>
                <w:color w:val="auto"/>
                <w:sz w:val="21"/>
                <w:szCs w:val="21"/>
              </w:rPr>
              <w:t>1</w:t>
            </w:r>
          </w:p>
        </w:tc>
        <w:tc>
          <w:tcPr>
            <w:tcW w:w="1298" w:type="pct"/>
            <w:noWrap w:val="0"/>
            <w:vAlign w:val="center"/>
          </w:tcPr>
          <w:p w14:paraId="48339D98">
            <w:pPr>
              <w:jc w:val="center"/>
              <w:rPr>
                <w:rFonts w:ascii="宋体" w:hAnsi="宋体" w:cs="宋体"/>
                <w:sz w:val="21"/>
                <w:szCs w:val="21"/>
                <w:lang w:val="en-US" w:eastAsia="zh-CN" w:bidi="ar-SA"/>
              </w:rPr>
            </w:pPr>
            <w:r>
              <w:rPr>
                <w:sz w:val="21"/>
                <w:szCs w:val="21"/>
              </w:rPr>
              <w:t>高炉设备</w:t>
            </w:r>
          </w:p>
        </w:tc>
        <w:tc>
          <w:tcPr>
            <w:tcW w:w="1731" w:type="pct"/>
            <w:noWrap w:val="0"/>
            <w:vAlign w:val="center"/>
          </w:tcPr>
          <w:p w14:paraId="6BBDD859">
            <w:pPr>
              <w:jc w:val="center"/>
              <w:rPr>
                <w:rFonts w:ascii="宋体" w:hAnsi="宋体" w:cs="宋体"/>
                <w:sz w:val="21"/>
                <w:szCs w:val="21"/>
                <w:lang w:val="en-US" w:eastAsia="zh-CN" w:bidi="ar-SA"/>
              </w:rPr>
            </w:pPr>
            <w:r>
              <w:rPr>
                <w:sz w:val="21"/>
                <w:szCs w:val="21"/>
              </w:rPr>
              <w:t>205m³</w:t>
            </w:r>
          </w:p>
        </w:tc>
        <w:tc>
          <w:tcPr>
            <w:tcW w:w="791" w:type="pct"/>
            <w:noWrap w:val="0"/>
            <w:vAlign w:val="center"/>
          </w:tcPr>
          <w:p w14:paraId="5C138CAF">
            <w:pPr>
              <w:jc w:val="center"/>
              <w:rPr>
                <w:rFonts w:ascii="宋体" w:hAnsi="宋体" w:cs="宋体"/>
                <w:sz w:val="21"/>
                <w:szCs w:val="21"/>
                <w:lang w:val="en-US" w:eastAsia="zh-CN" w:bidi="ar-SA"/>
              </w:rPr>
            </w:pPr>
            <w:r>
              <w:rPr>
                <w:sz w:val="21"/>
                <w:szCs w:val="21"/>
              </w:rPr>
              <w:t>座</w:t>
            </w:r>
          </w:p>
        </w:tc>
        <w:tc>
          <w:tcPr>
            <w:tcW w:w="794" w:type="pct"/>
            <w:tcBorders>
              <w:right w:val="nil"/>
            </w:tcBorders>
            <w:noWrap w:val="0"/>
            <w:vAlign w:val="center"/>
          </w:tcPr>
          <w:p w14:paraId="4DA9BCFA">
            <w:pPr>
              <w:jc w:val="center"/>
              <w:rPr>
                <w:rFonts w:hint="eastAsia" w:ascii="宋体" w:hAnsi="宋体" w:cs="宋体"/>
                <w:sz w:val="21"/>
                <w:szCs w:val="21"/>
                <w:lang w:val="en-US" w:eastAsia="zh-CN" w:bidi="ar-SA"/>
              </w:rPr>
            </w:pPr>
            <w:r>
              <w:rPr>
                <w:sz w:val="21"/>
                <w:szCs w:val="21"/>
              </w:rPr>
              <w:t>1</w:t>
            </w:r>
          </w:p>
        </w:tc>
      </w:tr>
      <w:tr w14:paraId="7D7B69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84" w:type="pct"/>
            <w:tcBorders>
              <w:left w:val="nil"/>
            </w:tcBorders>
            <w:noWrap w:val="0"/>
            <w:vAlign w:val="center"/>
          </w:tcPr>
          <w:p w14:paraId="5CDE546E">
            <w:pPr>
              <w:pStyle w:val="203"/>
              <w:widowControl w:val="0"/>
              <w:spacing w:line="240" w:lineRule="atLeast"/>
              <w:ind w:left="-120" w:leftChars="-50" w:right="-120" w:rightChars="-50"/>
              <w:jc w:val="center"/>
              <w:rPr>
                <w:rFonts w:ascii="Times New Roman"/>
                <w:color w:val="auto"/>
                <w:sz w:val="21"/>
                <w:szCs w:val="21"/>
              </w:rPr>
            </w:pPr>
            <w:r>
              <w:rPr>
                <w:rFonts w:ascii="Times New Roman"/>
                <w:color w:val="auto"/>
                <w:sz w:val="21"/>
                <w:szCs w:val="21"/>
              </w:rPr>
              <w:t>2</w:t>
            </w:r>
          </w:p>
        </w:tc>
        <w:tc>
          <w:tcPr>
            <w:tcW w:w="1298" w:type="pct"/>
            <w:noWrap w:val="0"/>
            <w:vAlign w:val="center"/>
          </w:tcPr>
          <w:p w14:paraId="132FBFD4">
            <w:pPr>
              <w:jc w:val="center"/>
              <w:rPr>
                <w:rFonts w:ascii="宋体" w:hAnsi="宋体" w:cs="宋体"/>
                <w:sz w:val="21"/>
                <w:szCs w:val="21"/>
                <w:lang w:val="en-US" w:eastAsia="zh-CN" w:bidi="ar-SA"/>
              </w:rPr>
            </w:pPr>
            <w:r>
              <w:rPr>
                <w:sz w:val="21"/>
                <w:szCs w:val="21"/>
              </w:rPr>
              <w:t>高炉煤气回收系统</w:t>
            </w:r>
          </w:p>
        </w:tc>
        <w:tc>
          <w:tcPr>
            <w:tcW w:w="1731" w:type="pct"/>
            <w:noWrap w:val="0"/>
            <w:vAlign w:val="center"/>
          </w:tcPr>
          <w:p w14:paraId="3CFDE48C">
            <w:pPr>
              <w:jc w:val="center"/>
              <w:rPr>
                <w:rFonts w:ascii="宋体" w:hAnsi="宋体" w:cs="宋体"/>
                <w:sz w:val="21"/>
                <w:szCs w:val="21"/>
                <w:lang w:val="en-US" w:eastAsia="zh-CN" w:bidi="ar-SA"/>
              </w:rPr>
            </w:pPr>
          </w:p>
        </w:tc>
        <w:tc>
          <w:tcPr>
            <w:tcW w:w="791" w:type="pct"/>
            <w:noWrap w:val="0"/>
            <w:vAlign w:val="center"/>
          </w:tcPr>
          <w:p w14:paraId="687FBAFA">
            <w:pPr>
              <w:jc w:val="center"/>
              <w:rPr>
                <w:rFonts w:ascii="宋体" w:hAnsi="宋体" w:cs="宋体"/>
                <w:sz w:val="21"/>
                <w:szCs w:val="21"/>
                <w:lang w:val="en-US" w:eastAsia="zh-CN" w:bidi="ar-SA"/>
              </w:rPr>
            </w:pPr>
            <w:r>
              <w:rPr>
                <w:sz w:val="21"/>
                <w:szCs w:val="21"/>
              </w:rPr>
              <w:t>套</w:t>
            </w:r>
          </w:p>
        </w:tc>
        <w:tc>
          <w:tcPr>
            <w:tcW w:w="794" w:type="pct"/>
            <w:tcBorders>
              <w:right w:val="nil"/>
            </w:tcBorders>
            <w:noWrap w:val="0"/>
            <w:vAlign w:val="center"/>
          </w:tcPr>
          <w:p w14:paraId="604CE016">
            <w:pPr>
              <w:jc w:val="center"/>
              <w:rPr>
                <w:rFonts w:ascii="宋体" w:hAnsi="宋体" w:cs="宋体"/>
                <w:sz w:val="21"/>
                <w:szCs w:val="21"/>
                <w:lang w:val="en-US" w:eastAsia="zh-CN" w:bidi="ar-SA"/>
              </w:rPr>
            </w:pPr>
            <w:r>
              <w:rPr>
                <w:sz w:val="21"/>
                <w:szCs w:val="21"/>
              </w:rPr>
              <w:t>1</w:t>
            </w:r>
          </w:p>
        </w:tc>
      </w:tr>
      <w:tr w14:paraId="0D0A58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84" w:type="pct"/>
            <w:tcBorders>
              <w:left w:val="nil"/>
            </w:tcBorders>
            <w:noWrap w:val="0"/>
            <w:vAlign w:val="center"/>
          </w:tcPr>
          <w:p w14:paraId="1A318500">
            <w:pPr>
              <w:pStyle w:val="203"/>
              <w:widowControl w:val="0"/>
              <w:spacing w:line="240" w:lineRule="atLeast"/>
              <w:ind w:left="-120" w:leftChars="-50" w:right="-120" w:rightChars="-50"/>
              <w:jc w:val="center"/>
              <w:rPr>
                <w:rFonts w:ascii="Times New Roman"/>
                <w:color w:val="auto"/>
                <w:sz w:val="21"/>
                <w:szCs w:val="21"/>
              </w:rPr>
            </w:pPr>
            <w:r>
              <w:rPr>
                <w:rFonts w:ascii="Times New Roman"/>
                <w:color w:val="auto"/>
                <w:sz w:val="21"/>
                <w:szCs w:val="21"/>
              </w:rPr>
              <w:t>3</w:t>
            </w:r>
          </w:p>
        </w:tc>
        <w:tc>
          <w:tcPr>
            <w:tcW w:w="1298" w:type="pct"/>
            <w:noWrap w:val="0"/>
            <w:vAlign w:val="center"/>
          </w:tcPr>
          <w:p w14:paraId="61DF88E0">
            <w:pPr>
              <w:jc w:val="center"/>
              <w:rPr>
                <w:rFonts w:ascii="宋体" w:hAnsi="宋体" w:cs="宋体"/>
                <w:sz w:val="21"/>
                <w:szCs w:val="21"/>
                <w:lang w:val="en-US" w:eastAsia="zh-CN" w:bidi="ar-SA"/>
              </w:rPr>
            </w:pPr>
            <w:r>
              <w:rPr>
                <w:sz w:val="21"/>
                <w:szCs w:val="21"/>
              </w:rPr>
              <w:t>喷煤及制粉设施</w:t>
            </w:r>
          </w:p>
        </w:tc>
        <w:tc>
          <w:tcPr>
            <w:tcW w:w="1731" w:type="pct"/>
            <w:noWrap w:val="0"/>
            <w:vAlign w:val="center"/>
          </w:tcPr>
          <w:p w14:paraId="61328433">
            <w:pPr>
              <w:jc w:val="center"/>
              <w:rPr>
                <w:rFonts w:ascii="宋体" w:hAnsi="宋体" w:cs="宋体"/>
                <w:sz w:val="21"/>
                <w:szCs w:val="21"/>
                <w:lang w:val="en-US" w:eastAsia="zh-CN" w:bidi="ar-SA"/>
              </w:rPr>
            </w:pPr>
          </w:p>
        </w:tc>
        <w:tc>
          <w:tcPr>
            <w:tcW w:w="791" w:type="pct"/>
            <w:noWrap w:val="0"/>
            <w:vAlign w:val="center"/>
          </w:tcPr>
          <w:p w14:paraId="53610BFE">
            <w:pPr>
              <w:jc w:val="center"/>
              <w:rPr>
                <w:rFonts w:ascii="宋体" w:hAnsi="宋体" w:cs="宋体"/>
                <w:sz w:val="21"/>
                <w:szCs w:val="21"/>
                <w:lang w:val="en-US" w:eastAsia="zh-CN" w:bidi="ar-SA"/>
              </w:rPr>
            </w:pPr>
            <w:r>
              <w:rPr>
                <w:sz w:val="21"/>
                <w:szCs w:val="21"/>
              </w:rPr>
              <w:t>套</w:t>
            </w:r>
          </w:p>
        </w:tc>
        <w:tc>
          <w:tcPr>
            <w:tcW w:w="794" w:type="pct"/>
            <w:tcBorders>
              <w:right w:val="nil"/>
            </w:tcBorders>
            <w:noWrap w:val="0"/>
            <w:vAlign w:val="center"/>
          </w:tcPr>
          <w:p w14:paraId="5DEFB3E7">
            <w:pPr>
              <w:jc w:val="center"/>
              <w:rPr>
                <w:rFonts w:ascii="宋体" w:hAnsi="宋体" w:cs="宋体"/>
                <w:sz w:val="21"/>
                <w:szCs w:val="21"/>
                <w:lang w:val="en-US" w:eastAsia="zh-CN" w:bidi="ar-SA"/>
              </w:rPr>
            </w:pPr>
            <w:r>
              <w:rPr>
                <w:sz w:val="21"/>
                <w:szCs w:val="21"/>
              </w:rPr>
              <w:t>1</w:t>
            </w:r>
          </w:p>
        </w:tc>
      </w:tr>
      <w:tr w14:paraId="71E6A3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84" w:type="pct"/>
            <w:tcBorders>
              <w:left w:val="nil"/>
            </w:tcBorders>
            <w:noWrap w:val="0"/>
            <w:vAlign w:val="center"/>
          </w:tcPr>
          <w:p w14:paraId="2C05C9BD">
            <w:pPr>
              <w:pStyle w:val="203"/>
              <w:widowControl w:val="0"/>
              <w:spacing w:line="240" w:lineRule="atLeast"/>
              <w:ind w:left="-120" w:leftChars="-50" w:right="-120" w:rightChars="-50"/>
              <w:jc w:val="center"/>
              <w:rPr>
                <w:rFonts w:ascii="Times New Roman"/>
                <w:color w:val="auto"/>
                <w:sz w:val="21"/>
                <w:szCs w:val="21"/>
              </w:rPr>
            </w:pPr>
            <w:r>
              <w:rPr>
                <w:rFonts w:hint="eastAsia" w:ascii="Times New Roman"/>
                <w:color w:val="auto"/>
                <w:sz w:val="21"/>
                <w:szCs w:val="21"/>
                <w:lang w:eastAsia="zh-CN"/>
              </w:rPr>
              <w:t>4</w:t>
            </w:r>
          </w:p>
        </w:tc>
        <w:tc>
          <w:tcPr>
            <w:tcW w:w="1298" w:type="pct"/>
            <w:noWrap w:val="0"/>
            <w:vAlign w:val="center"/>
          </w:tcPr>
          <w:p w14:paraId="079E118F">
            <w:pPr>
              <w:jc w:val="center"/>
              <w:rPr>
                <w:rFonts w:ascii="宋体" w:hAnsi="宋体" w:cs="宋体"/>
                <w:sz w:val="21"/>
                <w:szCs w:val="21"/>
                <w:lang w:val="en-US" w:eastAsia="zh-CN" w:bidi="ar-SA"/>
              </w:rPr>
            </w:pPr>
            <w:r>
              <w:rPr>
                <w:sz w:val="21"/>
                <w:szCs w:val="21"/>
              </w:rPr>
              <w:t>铸铁机</w:t>
            </w:r>
          </w:p>
        </w:tc>
        <w:tc>
          <w:tcPr>
            <w:tcW w:w="1731" w:type="pct"/>
            <w:noWrap w:val="0"/>
            <w:vAlign w:val="center"/>
          </w:tcPr>
          <w:p w14:paraId="2DFEE30F">
            <w:pPr>
              <w:jc w:val="center"/>
              <w:rPr>
                <w:rFonts w:ascii="宋体" w:hAnsi="宋体" w:cs="宋体"/>
                <w:sz w:val="21"/>
                <w:szCs w:val="21"/>
                <w:lang w:val="en-US" w:eastAsia="zh-CN" w:bidi="ar-SA"/>
              </w:rPr>
            </w:pPr>
          </w:p>
        </w:tc>
        <w:tc>
          <w:tcPr>
            <w:tcW w:w="791" w:type="pct"/>
            <w:noWrap w:val="0"/>
            <w:vAlign w:val="center"/>
          </w:tcPr>
          <w:p w14:paraId="7DBE3D29">
            <w:pPr>
              <w:jc w:val="center"/>
              <w:rPr>
                <w:rFonts w:ascii="宋体" w:hAnsi="宋体" w:cs="宋体"/>
                <w:sz w:val="21"/>
                <w:szCs w:val="21"/>
                <w:lang w:val="en-US" w:eastAsia="zh-CN" w:bidi="ar-SA"/>
              </w:rPr>
            </w:pPr>
            <w:r>
              <w:rPr>
                <w:sz w:val="21"/>
                <w:szCs w:val="21"/>
              </w:rPr>
              <w:t>套</w:t>
            </w:r>
          </w:p>
        </w:tc>
        <w:tc>
          <w:tcPr>
            <w:tcW w:w="794" w:type="pct"/>
            <w:tcBorders>
              <w:right w:val="nil"/>
            </w:tcBorders>
            <w:noWrap w:val="0"/>
            <w:vAlign w:val="center"/>
          </w:tcPr>
          <w:p w14:paraId="37338DC2">
            <w:pPr>
              <w:jc w:val="center"/>
              <w:rPr>
                <w:rFonts w:hint="eastAsia" w:ascii="宋体" w:hAnsi="宋体" w:cs="宋体"/>
                <w:sz w:val="21"/>
                <w:szCs w:val="21"/>
                <w:lang w:val="en-US" w:eastAsia="zh-CN" w:bidi="ar-SA"/>
              </w:rPr>
            </w:pPr>
            <w:r>
              <w:rPr>
                <w:sz w:val="21"/>
                <w:szCs w:val="21"/>
              </w:rPr>
              <w:t>2</w:t>
            </w:r>
          </w:p>
        </w:tc>
      </w:tr>
      <w:tr w14:paraId="26283A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84" w:type="pct"/>
            <w:tcBorders>
              <w:left w:val="nil"/>
            </w:tcBorders>
            <w:noWrap w:val="0"/>
            <w:vAlign w:val="center"/>
          </w:tcPr>
          <w:p w14:paraId="0B3A7B0B">
            <w:pPr>
              <w:pStyle w:val="203"/>
              <w:widowControl w:val="0"/>
              <w:spacing w:line="240" w:lineRule="atLeast"/>
              <w:ind w:left="-120" w:leftChars="-50" w:right="-120" w:rightChars="-50"/>
              <w:jc w:val="center"/>
              <w:rPr>
                <w:rFonts w:ascii="Times New Roman"/>
                <w:color w:val="auto"/>
                <w:sz w:val="21"/>
                <w:szCs w:val="21"/>
              </w:rPr>
            </w:pPr>
            <w:r>
              <w:rPr>
                <w:rFonts w:hint="eastAsia" w:ascii="Times New Roman"/>
                <w:color w:val="auto"/>
                <w:sz w:val="21"/>
                <w:szCs w:val="21"/>
                <w:lang w:eastAsia="zh-CN"/>
              </w:rPr>
              <w:t>5</w:t>
            </w:r>
          </w:p>
        </w:tc>
        <w:tc>
          <w:tcPr>
            <w:tcW w:w="1298" w:type="pct"/>
            <w:noWrap w:val="0"/>
            <w:vAlign w:val="center"/>
          </w:tcPr>
          <w:p w14:paraId="11D27BE6">
            <w:pPr>
              <w:jc w:val="center"/>
              <w:rPr>
                <w:rFonts w:ascii="宋体" w:hAnsi="宋体" w:cs="宋体"/>
                <w:sz w:val="21"/>
                <w:szCs w:val="21"/>
                <w:lang w:val="en-US" w:eastAsia="zh-CN" w:bidi="ar-SA"/>
              </w:rPr>
            </w:pPr>
            <w:r>
              <w:rPr>
                <w:sz w:val="21"/>
                <w:szCs w:val="21"/>
              </w:rPr>
              <w:t>进步式烧结机</w:t>
            </w:r>
          </w:p>
        </w:tc>
        <w:tc>
          <w:tcPr>
            <w:tcW w:w="1731" w:type="pct"/>
            <w:noWrap w:val="0"/>
            <w:vAlign w:val="center"/>
          </w:tcPr>
          <w:p w14:paraId="572BBBD1">
            <w:pPr>
              <w:jc w:val="center"/>
              <w:rPr>
                <w:rFonts w:ascii="宋体" w:hAnsi="宋体" w:cs="宋体"/>
                <w:sz w:val="21"/>
                <w:szCs w:val="21"/>
                <w:lang w:val="en-US" w:eastAsia="zh-CN" w:bidi="ar-SA"/>
              </w:rPr>
            </w:pPr>
          </w:p>
        </w:tc>
        <w:tc>
          <w:tcPr>
            <w:tcW w:w="791" w:type="pct"/>
            <w:noWrap w:val="0"/>
            <w:vAlign w:val="center"/>
          </w:tcPr>
          <w:p w14:paraId="7EA7ADE0">
            <w:pPr>
              <w:jc w:val="center"/>
              <w:rPr>
                <w:rFonts w:ascii="宋体" w:hAnsi="宋体" w:cs="宋体"/>
                <w:sz w:val="21"/>
                <w:szCs w:val="21"/>
                <w:lang w:val="en-US" w:eastAsia="zh-CN" w:bidi="ar-SA"/>
              </w:rPr>
            </w:pPr>
            <w:r>
              <w:rPr>
                <w:sz w:val="21"/>
                <w:szCs w:val="21"/>
              </w:rPr>
              <w:t>套</w:t>
            </w:r>
          </w:p>
        </w:tc>
        <w:tc>
          <w:tcPr>
            <w:tcW w:w="794" w:type="pct"/>
            <w:tcBorders>
              <w:right w:val="nil"/>
            </w:tcBorders>
            <w:noWrap w:val="0"/>
            <w:vAlign w:val="center"/>
          </w:tcPr>
          <w:p w14:paraId="3D5E7716">
            <w:pPr>
              <w:jc w:val="center"/>
              <w:rPr>
                <w:rFonts w:ascii="宋体" w:hAnsi="宋体" w:cs="宋体"/>
                <w:sz w:val="21"/>
                <w:szCs w:val="21"/>
                <w:lang w:val="en-US" w:eastAsia="zh-CN" w:bidi="ar-SA"/>
              </w:rPr>
            </w:pPr>
            <w:r>
              <w:rPr>
                <w:sz w:val="21"/>
                <w:szCs w:val="21"/>
              </w:rPr>
              <w:t>1</w:t>
            </w:r>
          </w:p>
        </w:tc>
      </w:tr>
      <w:tr w14:paraId="67B3B3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84" w:type="pct"/>
            <w:tcBorders>
              <w:left w:val="nil"/>
            </w:tcBorders>
            <w:noWrap w:val="0"/>
            <w:vAlign w:val="center"/>
          </w:tcPr>
          <w:p w14:paraId="56CCF182">
            <w:pPr>
              <w:pStyle w:val="203"/>
              <w:widowControl w:val="0"/>
              <w:spacing w:line="240" w:lineRule="atLeast"/>
              <w:ind w:left="-120" w:leftChars="-50" w:right="-120" w:rightChars="-50"/>
              <w:jc w:val="center"/>
              <w:rPr>
                <w:rFonts w:hint="eastAsia" w:ascii="Times New Roman"/>
                <w:color w:val="auto"/>
                <w:sz w:val="21"/>
                <w:szCs w:val="21"/>
                <w:lang w:eastAsia="zh-CN"/>
              </w:rPr>
            </w:pPr>
            <w:r>
              <w:rPr>
                <w:rFonts w:hint="eastAsia" w:ascii="Times New Roman"/>
                <w:color w:val="auto"/>
                <w:sz w:val="21"/>
                <w:szCs w:val="21"/>
                <w:lang w:eastAsia="zh-CN"/>
              </w:rPr>
              <w:t>6</w:t>
            </w:r>
          </w:p>
        </w:tc>
        <w:tc>
          <w:tcPr>
            <w:tcW w:w="1298" w:type="pct"/>
            <w:tcBorders>
              <w:bottom w:val="single" w:color="auto" w:sz="4" w:space="0"/>
            </w:tcBorders>
            <w:noWrap w:val="0"/>
            <w:vAlign w:val="center"/>
          </w:tcPr>
          <w:p w14:paraId="5A5B3984">
            <w:pPr>
              <w:jc w:val="center"/>
              <w:rPr>
                <w:rFonts w:ascii="宋体" w:hAnsi="宋体" w:cs="宋体"/>
                <w:sz w:val="21"/>
                <w:szCs w:val="21"/>
                <w:lang w:val="en-US" w:eastAsia="zh-CN" w:bidi="ar-SA"/>
              </w:rPr>
            </w:pPr>
            <w:r>
              <w:rPr>
                <w:sz w:val="21"/>
                <w:szCs w:val="21"/>
              </w:rPr>
              <w:t>环形竖炉</w:t>
            </w:r>
          </w:p>
        </w:tc>
        <w:tc>
          <w:tcPr>
            <w:tcW w:w="1731" w:type="pct"/>
            <w:tcBorders>
              <w:bottom w:val="single" w:color="auto" w:sz="4" w:space="0"/>
            </w:tcBorders>
            <w:noWrap w:val="0"/>
            <w:vAlign w:val="center"/>
          </w:tcPr>
          <w:p w14:paraId="6C4A100E">
            <w:pPr>
              <w:jc w:val="center"/>
              <w:rPr>
                <w:rFonts w:ascii="宋体" w:hAnsi="宋体" w:cs="宋体"/>
                <w:sz w:val="21"/>
                <w:szCs w:val="21"/>
                <w:lang w:val="en-US" w:eastAsia="zh-CN" w:bidi="ar-SA"/>
              </w:rPr>
            </w:pPr>
            <w:r>
              <w:rPr>
                <w:sz w:val="21"/>
                <w:szCs w:val="21"/>
              </w:rPr>
              <w:t>6m²</w:t>
            </w:r>
          </w:p>
        </w:tc>
        <w:tc>
          <w:tcPr>
            <w:tcW w:w="791" w:type="pct"/>
            <w:tcBorders>
              <w:bottom w:val="single" w:color="auto" w:sz="4" w:space="0"/>
            </w:tcBorders>
            <w:noWrap w:val="0"/>
            <w:vAlign w:val="center"/>
          </w:tcPr>
          <w:p w14:paraId="308376D6">
            <w:pPr>
              <w:jc w:val="center"/>
              <w:rPr>
                <w:rFonts w:ascii="宋体" w:hAnsi="宋体" w:cs="宋体"/>
                <w:sz w:val="21"/>
                <w:szCs w:val="21"/>
                <w:lang w:val="en-US" w:eastAsia="zh-CN" w:bidi="ar-SA"/>
              </w:rPr>
            </w:pPr>
            <w:r>
              <w:rPr>
                <w:sz w:val="21"/>
                <w:szCs w:val="21"/>
              </w:rPr>
              <w:t>座</w:t>
            </w:r>
          </w:p>
        </w:tc>
        <w:tc>
          <w:tcPr>
            <w:tcW w:w="794" w:type="pct"/>
            <w:tcBorders>
              <w:bottom w:val="single" w:color="auto" w:sz="4" w:space="0"/>
              <w:right w:val="nil"/>
            </w:tcBorders>
            <w:noWrap w:val="0"/>
            <w:vAlign w:val="center"/>
          </w:tcPr>
          <w:p w14:paraId="68ABC098">
            <w:pPr>
              <w:jc w:val="center"/>
              <w:rPr>
                <w:rFonts w:ascii="宋体" w:hAnsi="宋体" w:cs="宋体"/>
                <w:sz w:val="21"/>
                <w:szCs w:val="21"/>
                <w:lang w:val="en-US" w:eastAsia="zh-CN" w:bidi="ar-SA"/>
              </w:rPr>
            </w:pPr>
            <w:r>
              <w:rPr>
                <w:sz w:val="21"/>
                <w:szCs w:val="21"/>
              </w:rPr>
              <w:t>3</w:t>
            </w:r>
          </w:p>
        </w:tc>
      </w:tr>
      <w:tr w14:paraId="0B76BB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84" w:type="pct"/>
            <w:tcBorders>
              <w:left w:val="nil"/>
            </w:tcBorders>
            <w:noWrap w:val="0"/>
            <w:vAlign w:val="center"/>
          </w:tcPr>
          <w:p w14:paraId="04F7DB5F">
            <w:pPr>
              <w:pStyle w:val="203"/>
              <w:widowControl w:val="0"/>
              <w:spacing w:line="240" w:lineRule="atLeast"/>
              <w:ind w:left="-120" w:leftChars="-50" w:right="-120" w:rightChars="-50"/>
              <w:jc w:val="center"/>
              <w:rPr>
                <w:rFonts w:hint="eastAsia" w:ascii="Times New Roman"/>
                <w:color w:val="auto"/>
                <w:sz w:val="21"/>
                <w:szCs w:val="21"/>
                <w:lang w:eastAsia="zh-CN"/>
              </w:rPr>
            </w:pPr>
            <w:r>
              <w:rPr>
                <w:rFonts w:ascii="Times New Roman"/>
                <w:color w:val="auto"/>
                <w:sz w:val="21"/>
                <w:szCs w:val="21"/>
              </w:rPr>
              <w:t>7</w:t>
            </w:r>
          </w:p>
        </w:tc>
        <w:tc>
          <w:tcPr>
            <w:tcW w:w="1298" w:type="pct"/>
            <w:tcBorders>
              <w:bottom w:val="single" w:color="auto" w:sz="4" w:space="0"/>
            </w:tcBorders>
            <w:noWrap w:val="0"/>
            <w:vAlign w:val="center"/>
          </w:tcPr>
          <w:p w14:paraId="3571CE58">
            <w:pPr>
              <w:jc w:val="center"/>
              <w:rPr>
                <w:rFonts w:ascii="宋体" w:hAnsi="宋体" w:cs="宋体"/>
                <w:sz w:val="21"/>
                <w:szCs w:val="21"/>
                <w:lang w:val="en-US" w:eastAsia="zh-CN" w:bidi="ar-SA"/>
              </w:rPr>
            </w:pPr>
            <w:r>
              <w:rPr>
                <w:sz w:val="21"/>
                <w:szCs w:val="21"/>
              </w:rPr>
              <w:t>脱硫设备</w:t>
            </w:r>
          </w:p>
        </w:tc>
        <w:tc>
          <w:tcPr>
            <w:tcW w:w="1731" w:type="pct"/>
            <w:tcBorders>
              <w:bottom w:val="single" w:color="auto" w:sz="4" w:space="0"/>
            </w:tcBorders>
            <w:noWrap w:val="0"/>
            <w:vAlign w:val="center"/>
          </w:tcPr>
          <w:p w14:paraId="592EC57A">
            <w:pPr>
              <w:jc w:val="center"/>
              <w:rPr>
                <w:rFonts w:ascii="宋体" w:hAnsi="宋体" w:cs="宋体"/>
                <w:sz w:val="21"/>
                <w:szCs w:val="21"/>
                <w:lang w:val="en-US" w:eastAsia="zh-CN" w:bidi="ar-SA"/>
              </w:rPr>
            </w:pPr>
            <w:r>
              <w:rPr>
                <w:sz w:val="21"/>
                <w:szCs w:val="21"/>
              </w:rPr>
              <w:t>H20m×φ8m</w:t>
            </w:r>
          </w:p>
        </w:tc>
        <w:tc>
          <w:tcPr>
            <w:tcW w:w="791" w:type="pct"/>
            <w:tcBorders>
              <w:bottom w:val="single" w:color="auto" w:sz="4" w:space="0"/>
            </w:tcBorders>
            <w:noWrap w:val="0"/>
            <w:vAlign w:val="center"/>
          </w:tcPr>
          <w:p w14:paraId="1746D9E1">
            <w:pPr>
              <w:jc w:val="center"/>
              <w:rPr>
                <w:rFonts w:ascii="宋体" w:hAnsi="宋体" w:cs="宋体"/>
                <w:sz w:val="21"/>
                <w:szCs w:val="21"/>
                <w:lang w:val="en-US" w:eastAsia="zh-CN" w:bidi="ar-SA"/>
              </w:rPr>
            </w:pPr>
            <w:r>
              <w:rPr>
                <w:sz w:val="21"/>
                <w:szCs w:val="21"/>
              </w:rPr>
              <w:t>套</w:t>
            </w:r>
          </w:p>
        </w:tc>
        <w:tc>
          <w:tcPr>
            <w:tcW w:w="794" w:type="pct"/>
            <w:tcBorders>
              <w:bottom w:val="single" w:color="auto" w:sz="4" w:space="0"/>
              <w:right w:val="nil"/>
            </w:tcBorders>
            <w:noWrap w:val="0"/>
            <w:vAlign w:val="center"/>
          </w:tcPr>
          <w:p w14:paraId="62C3C009">
            <w:pPr>
              <w:jc w:val="center"/>
              <w:rPr>
                <w:rFonts w:ascii="宋体" w:hAnsi="宋体" w:cs="宋体"/>
                <w:sz w:val="21"/>
                <w:szCs w:val="21"/>
                <w:lang w:val="en-US" w:eastAsia="zh-CN" w:bidi="ar-SA"/>
              </w:rPr>
            </w:pPr>
            <w:r>
              <w:rPr>
                <w:sz w:val="21"/>
                <w:szCs w:val="21"/>
              </w:rPr>
              <w:t>1</w:t>
            </w:r>
          </w:p>
        </w:tc>
      </w:tr>
      <w:tr w14:paraId="3A278D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84" w:type="pct"/>
            <w:tcBorders>
              <w:left w:val="nil"/>
            </w:tcBorders>
            <w:noWrap w:val="0"/>
            <w:vAlign w:val="center"/>
          </w:tcPr>
          <w:p w14:paraId="191D3B73">
            <w:pPr>
              <w:pStyle w:val="203"/>
              <w:widowControl w:val="0"/>
              <w:spacing w:line="240" w:lineRule="atLeast"/>
              <w:ind w:left="-120" w:leftChars="-50" w:right="-120" w:rightChars="-50"/>
              <w:jc w:val="center"/>
              <w:rPr>
                <w:rFonts w:hint="eastAsia" w:ascii="Times New Roman"/>
                <w:color w:val="auto"/>
                <w:sz w:val="21"/>
                <w:szCs w:val="21"/>
                <w:lang w:eastAsia="zh-CN"/>
              </w:rPr>
            </w:pPr>
            <w:r>
              <w:rPr>
                <w:rFonts w:ascii="Times New Roman"/>
                <w:color w:val="auto"/>
                <w:sz w:val="21"/>
                <w:szCs w:val="21"/>
              </w:rPr>
              <w:t>8</w:t>
            </w:r>
          </w:p>
        </w:tc>
        <w:tc>
          <w:tcPr>
            <w:tcW w:w="1298" w:type="pct"/>
            <w:tcBorders>
              <w:bottom w:val="single" w:color="auto" w:sz="4" w:space="0"/>
            </w:tcBorders>
            <w:noWrap w:val="0"/>
            <w:vAlign w:val="center"/>
          </w:tcPr>
          <w:p w14:paraId="6A31A1D7">
            <w:pPr>
              <w:jc w:val="center"/>
              <w:rPr>
                <w:rFonts w:ascii="宋体" w:hAnsi="宋体" w:cs="宋体"/>
                <w:sz w:val="21"/>
                <w:szCs w:val="21"/>
                <w:lang w:val="en-US" w:eastAsia="zh-CN" w:bidi="ar-SA"/>
              </w:rPr>
            </w:pPr>
            <w:r>
              <w:rPr>
                <w:sz w:val="21"/>
                <w:szCs w:val="21"/>
              </w:rPr>
              <w:t>烧结风机</w:t>
            </w:r>
          </w:p>
        </w:tc>
        <w:tc>
          <w:tcPr>
            <w:tcW w:w="1731" w:type="pct"/>
            <w:tcBorders>
              <w:bottom w:val="single" w:color="auto" w:sz="4" w:space="0"/>
            </w:tcBorders>
            <w:noWrap w:val="0"/>
            <w:vAlign w:val="center"/>
          </w:tcPr>
          <w:p w14:paraId="1D2CF7A4">
            <w:pPr>
              <w:jc w:val="center"/>
              <w:rPr>
                <w:rFonts w:ascii="宋体" w:hAnsi="宋体" w:cs="宋体"/>
                <w:sz w:val="21"/>
                <w:szCs w:val="21"/>
                <w:lang w:val="en-US" w:eastAsia="zh-CN" w:bidi="ar-SA"/>
              </w:rPr>
            </w:pPr>
            <w:r>
              <w:rPr>
                <w:sz w:val="21"/>
                <w:szCs w:val="21"/>
              </w:rPr>
              <w:t>SJ10500</w:t>
            </w:r>
          </w:p>
        </w:tc>
        <w:tc>
          <w:tcPr>
            <w:tcW w:w="791" w:type="pct"/>
            <w:tcBorders>
              <w:bottom w:val="single" w:color="auto" w:sz="4" w:space="0"/>
            </w:tcBorders>
            <w:noWrap w:val="0"/>
            <w:vAlign w:val="center"/>
          </w:tcPr>
          <w:p w14:paraId="01CC8E34">
            <w:pPr>
              <w:jc w:val="center"/>
              <w:rPr>
                <w:rFonts w:ascii="宋体" w:hAnsi="宋体" w:cs="宋体"/>
                <w:sz w:val="21"/>
                <w:szCs w:val="21"/>
                <w:lang w:val="en-US" w:eastAsia="zh-CN" w:bidi="ar-SA"/>
              </w:rPr>
            </w:pPr>
            <w:r>
              <w:rPr>
                <w:sz w:val="21"/>
                <w:szCs w:val="21"/>
              </w:rPr>
              <w:t>台</w:t>
            </w:r>
          </w:p>
        </w:tc>
        <w:tc>
          <w:tcPr>
            <w:tcW w:w="794" w:type="pct"/>
            <w:tcBorders>
              <w:bottom w:val="single" w:color="auto" w:sz="4" w:space="0"/>
              <w:right w:val="nil"/>
            </w:tcBorders>
            <w:noWrap w:val="0"/>
            <w:vAlign w:val="center"/>
          </w:tcPr>
          <w:p w14:paraId="17DA34D5">
            <w:pPr>
              <w:jc w:val="center"/>
              <w:rPr>
                <w:rFonts w:ascii="宋体" w:hAnsi="宋体" w:cs="宋体"/>
                <w:sz w:val="21"/>
                <w:szCs w:val="21"/>
                <w:lang w:val="en-US" w:eastAsia="zh-CN" w:bidi="ar-SA"/>
              </w:rPr>
            </w:pPr>
            <w:r>
              <w:rPr>
                <w:sz w:val="21"/>
                <w:szCs w:val="21"/>
              </w:rPr>
              <w:t>1</w:t>
            </w:r>
          </w:p>
        </w:tc>
      </w:tr>
      <w:tr w14:paraId="1CFC19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84" w:type="pct"/>
            <w:tcBorders>
              <w:left w:val="nil"/>
            </w:tcBorders>
            <w:noWrap w:val="0"/>
            <w:vAlign w:val="center"/>
          </w:tcPr>
          <w:p w14:paraId="287AA23A">
            <w:pPr>
              <w:pStyle w:val="203"/>
              <w:widowControl w:val="0"/>
              <w:spacing w:line="240" w:lineRule="atLeast"/>
              <w:ind w:left="-120" w:leftChars="-50" w:right="-120" w:rightChars="-50"/>
              <w:jc w:val="center"/>
              <w:rPr>
                <w:rFonts w:hint="eastAsia" w:ascii="Times New Roman"/>
                <w:color w:val="auto"/>
                <w:sz w:val="21"/>
                <w:szCs w:val="21"/>
                <w:lang w:eastAsia="zh-CN"/>
              </w:rPr>
            </w:pPr>
            <w:r>
              <w:rPr>
                <w:rFonts w:ascii="Times New Roman"/>
                <w:bCs/>
                <w:color w:val="auto"/>
                <w:sz w:val="21"/>
                <w:szCs w:val="21"/>
              </w:rPr>
              <w:t>9</w:t>
            </w:r>
          </w:p>
        </w:tc>
        <w:tc>
          <w:tcPr>
            <w:tcW w:w="1298" w:type="pct"/>
            <w:tcBorders>
              <w:bottom w:val="single" w:color="auto" w:sz="4" w:space="0"/>
            </w:tcBorders>
            <w:noWrap w:val="0"/>
            <w:vAlign w:val="center"/>
          </w:tcPr>
          <w:p w14:paraId="4087F9D8">
            <w:pPr>
              <w:jc w:val="center"/>
              <w:rPr>
                <w:rFonts w:ascii="宋体" w:hAnsi="宋体" w:cs="宋体"/>
                <w:sz w:val="21"/>
                <w:szCs w:val="21"/>
                <w:lang w:val="en-US" w:eastAsia="zh-CN" w:bidi="ar-SA"/>
              </w:rPr>
            </w:pPr>
            <w:r>
              <w:rPr>
                <w:sz w:val="21"/>
                <w:szCs w:val="21"/>
              </w:rPr>
              <w:t>高压电机</w:t>
            </w:r>
          </w:p>
        </w:tc>
        <w:tc>
          <w:tcPr>
            <w:tcW w:w="1731" w:type="pct"/>
            <w:tcBorders>
              <w:bottom w:val="single" w:color="auto" w:sz="4" w:space="0"/>
            </w:tcBorders>
            <w:noWrap w:val="0"/>
            <w:vAlign w:val="center"/>
          </w:tcPr>
          <w:p w14:paraId="33EB9351">
            <w:pPr>
              <w:jc w:val="center"/>
              <w:rPr>
                <w:rFonts w:ascii="宋体" w:hAnsi="宋体" w:cs="宋体"/>
                <w:sz w:val="21"/>
                <w:szCs w:val="21"/>
                <w:lang w:val="en-US" w:eastAsia="zh-CN" w:bidi="ar-SA"/>
              </w:rPr>
            </w:pPr>
          </w:p>
        </w:tc>
        <w:tc>
          <w:tcPr>
            <w:tcW w:w="791" w:type="pct"/>
            <w:tcBorders>
              <w:bottom w:val="single" w:color="auto" w:sz="4" w:space="0"/>
            </w:tcBorders>
            <w:noWrap w:val="0"/>
            <w:vAlign w:val="center"/>
          </w:tcPr>
          <w:p w14:paraId="4E0E7AB4">
            <w:pPr>
              <w:jc w:val="center"/>
              <w:rPr>
                <w:rFonts w:ascii="宋体" w:hAnsi="宋体" w:cs="宋体"/>
                <w:sz w:val="21"/>
                <w:szCs w:val="21"/>
                <w:lang w:val="en-US" w:eastAsia="zh-CN" w:bidi="ar-SA"/>
              </w:rPr>
            </w:pPr>
            <w:r>
              <w:rPr>
                <w:sz w:val="21"/>
                <w:szCs w:val="21"/>
              </w:rPr>
              <w:t>台</w:t>
            </w:r>
          </w:p>
        </w:tc>
        <w:tc>
          <w:tcPr>
            <w:tcW w:w="794" w:type="pct"/>
            <w:tcBorders>
              <w:bottom w:val="single" w:color="auto" w:sz="4" w:space="0"/>
              <w:right w:val="nil"/>
            </w:tcBorders>
            <w:noWrap w:val="0"/>
            <w:vAlign w:val="center"/>
          </w:tcPr>
          <w:p w14:paraId="5CA4A715">
            <w:pPr>
              <w:jc w:val="center"/>
              <w:rPr>
                <w:rFonts w:ascii="宋体" w:hAnsi="宋体" w:cs="宋体"/>
                <w:sz w:val="21"/>
                <w:szCs w:val="21"/>
                <w:lang w:val="en-US" w:eastAsia="zh-CN" w:bidi="ar-SA"/>
              </w:rPr>
            </w:pPr>
            <w:r>
              <w:rPr>
                <w:sz w:val="21"/>
                <w:szCs w:val="21"/>
              </w:rPr>
              <w:t>1</w:t>
            </w:r>
          </w:p>
        </w:tc>
      </w:tr>
      <w:tr w14:paraId="036F54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84" w:type="pct"/>
            <w:tcBorders>
              <w:left w:val="nil"/>
            </w:tcBorders>
            <w:noWrap w:val="0"/>
            <w:vAlign w:val="center"/>
          </w:tcPr>
          <w:p w14:paraId="78E521A7">
            <w:pPr>
              <w:pStyle w:val="203"/>
              <w:widowControl w:val="0"/>
              <w:spacing w:line="240" w:lineRule="atLeast"/>
              <w:ind w:left="-120" w:leftChars="-50" w:right="-120" w:rightChars="-50"/>
              <w:jc w:val="center"/>
              <w:rPr>
                <w:rFonts w:hint="eastAsia" w:ascii="Times New Roman"/>
                <w:color w:val="auto"/>
                <w:sz w:val="21"/>
                <w:szCs w:val="21"/>
                <w:lang w:eastAsia="zh-CN"/>
              </w:rPr>
            </w:pPr>
            <w:r>
              <w:rPr>
                <w:rFonts w:ascii="Times New Roman"/>
                <w:color w:val="auto"/>
                <w:sz w:val="21"/>
                <w:szCs w:val="21"/>
                <w:lang w:eastAsia="zh-CN"/>
              </w:rPr>
              <w:t>10</w:t>
            </w:r>
          </w:p>
        </w:tc>
        <w:tc>
          <w:tcPr>
            <w:tcW w:w="1298" w:type="pct"/>
            <w:tcBorders>
              <w:bottom w:val="single" w:color="auto" w:sz="4" w:space="0"/>
            </w:tcBorders>
            <w:noWrap w:val="0"/>
            <w:vAlign w:val="center"/>
          </w:tcPr>
          <w:p w14:paraId="16C3DD23">
            <w:pPr>
              <w:jc w:val="center"/>
              <w:rPr>
                <w:rFonts w:ascii="宋体" w:hAnsi="宋体" w:cs="宋体"/>
                <w:sz w:val="21"/>
                <w:szCs w:val="21"/>
                <w:lang w:val="en-US" w:eastAsia="zh-CN" w:bidi="ar-SA"/>
              </w:rPr>
            </w:pPr>
            <w:r>
              <w:rPr>
                <w:sz w:val="21"/>
                <w:szCs w:val="21"/>
              </w:rPr>
              <w:t>振动筛</w:t>
            </w:r>
          </w:p>
        </w:tc>
        <w:tc>
          <w:tcPr>
            <w:tcW w:w="1731" w:type="pct"/>
            <w:tcBorders>
              <w:bottom w:val="single" w:color="auto" w:sz="4" w:space="0"/>
            </w:tcBorders>
            <w:noWrap w:val="0"/>
            <w:vAlign w:val="center"/>
          </w:tcPr>
          <w:p w14:paraId="5789493A">
            <w:pPr>
              <w:jc w:val="center"/>
              <w:rPr>
                <w:rFonts w:ascii="宋体" w:hAnsi="宋体" w:cs="宋体"/>
                <w:sz w:val="21"/>
                <w:szCs w:val="21"/>
                <w:lang w:val="en-US" w:eastAsia="zh-CN" w:bidi="ar-SA"/>
              </w:rPr>
            </w:pPr>
          </w:p>
        </w:tc>
        <w:tc>
          <w:tcPr>
            <w:tcW w:w="791" w:type="pct"/>
            <w:tcBorders>
              <w:bottom w:val="single" w:color="auto" w:sz="4" w:space="0"/>
            </w:tcBorders>
            <w:noWrap w:val="0"/>
            <w:vAlign w:val="center"/>
          </w:tcPr>
          <w:p w14:paraId="43610375">
            <w:pPr>
              <w:jc w:val="center"/>
              <w:rPr>
                <w:rFonts w:ascii="宋体" w:hAnsi="宋体" w:cs="宋体"/>
                <w:sz w:val="21"/>
                <w:szCs w:val="21"/>
                <w:lang w:val="en-US" w:eastAsia="zh-CN" w:bidi="ar-SA"/>
              </w:rPr>
            </w:pPr>
            <w:r>
              <w:rPr>
                <w:sz w:val="21"/>
                <w:szCs w:val="21"/>
              </w:rPr>
              <w:t>台</w:t>
            </w:r>
          </w:p>
        </w:tc>
        <w:tc>
          <w:tcPr>
            <w:tcW w:w="794" w:type="pct"/>
            <w:tcBorders>
              <w:bottom w:val="single" w:color="auto" w:sz="4" w:space="0"/>
              <w:right w:val="nil"/>
            </w:tcBorders>
            <w:noWrap w:val="0"/>
            <w:vAlign w:val="center"/>
          </w:tcPr>
          <w:p w14:paraId="7C752C07">
            <w:pPr>
              <w:jc w:val="center"/>
              <w:rPr>
                <w:rFonts w:ascii="宋体" w:hAnsi="宋体" w:cs="宋体"/>
                <w:sz w:val="21"/>
                <w:szCs w:val="21"/>
                <w:lang w:val="en-US" w:eastAsia="zh-CN" w:bidi="ar-SA"/>
              </w:rPr>
            </w:pPr>
            <w:r>
              <w:rPr>
                <w:sz w:val="21"/>
                <w:szCs w:val="21"/>
              </w:rPr>
              <w:t>3</w:t>
            </w:r>
          </w:p>
        </w:tc>
      </w:tr>
      <w:tr w14:paraId="78A865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84" w:type="pct"/>
            <w:tcBorders>
              <w:left w:val="nil"/>
            </w:tcBorders>
            <w:noWrap w:val="0"/>
            <w:vAlign w:val="center"/>
          </w:tcPr>
          <w:p w14:paraId="1D8C339C">
            <w:pPr>
              <w:pStyle w:val="203"/>
              <w:widowControl w:val="0"/>
              <w:spacing w:line="240" w:lineRule="atLeast"/>
              <w:ind w:left="-120" w:leftChars="-50" w:right="-120" w:rightChars="-50"/>
              <w:jc w:val="center"/>
              <w:rPr>
                <w:rFonts w:hint="eastAsia" w:ascii="Times New Roman"/>
                <w:color w:val="auto"/>
                <w:sz w:val="21"/>
                <w:szCs w:val="21"/>
                <w:lang w:eastAsia="zh-CN"/>
              </w:rPr>
            </w:pPr>
            <w:r>
              <w:rPr>
                <w:rFonts w:hint="eastAsia" w:ascii="Times New Roman"/>
                <w:color w:val="auto"/>
                <w:sz w:val="21"/>
                <w:szCs w:val="21"/>
                <w:lang w:eastAsia="zh-CN"/>
              </w:rPr>
              <w:t>11</w:t>
            </w:r>
          </w:p>
        </w:tc>
        <w:tc>
          <w:tcPr>
            <w:tcW w:w="1298" w:type="pct"/>
            <w:tcBorders>
              <w:bottom w:val="single" w:color="auto" w:sz="4" w:space="0"/>
            </w:tcBorders>
            <w:noWrap w:val="0"/>
            <w:vAlign w:val="center"/>
          </w:tcPr>
          <w:p w14:paraId="2AC808AE">
            <w:pPr>
              <w:jc w:val="center"/>
              <w:rPr>
                <w:rFonts w:hint="eastAsia" w:ascii="宋体" w:hAnsi="宋体" w:cs="宋体"/>
                <w:sz w:val="21"/>
                <w:szCs w:val="21"/>
                <w:lang w:val="en-US" w:eastAsia="zh-CN" w:bidi="ar-SA"/>
              </w:rPr>
            </w:pPr>
            <w:r>
              <w:rPr>
                <w:sz w:val="21"/>
                <w:szCs w:val="21"/>
              </w:rPr>
              <w:t>主排油烟机</w:t>
            </w:r>
          </w:p>
        </w:tc>
        <w:tc>
          <w:tcPr>
            <w:tcW w:w="1731" w:type="pct"/>
            <w:tcBorders>
              <w:bottom w:val="single" w:color="auto" w:sz="4" w:space="0"/>
            </w:tcBorders>
            <w:noWrap w:val="0"/>
            <w:vAlign w:val="center"/>
          </w:tcPr>
          <w:p w14:paraId="12AD336C">
            <w:pPr>
              <w:jc w:val="center"/>
              <w:rPr>
                <w:rFonts w:hint="eastAsia" w:ascii="宋体" w:hAnsi="宋体" w:cs="宋体"/>
                <w:sz w:val="21"/>
                <w:szCs w:val="21"/>
                <w:lang w:val="en-US" w:eastAsia="zh-CN" w:bidi="ar-SA"/>
              </w:rPr>
            </w:pPr>
          </w:p>
        </w:tc>
        <w:tc>
          <w:tcPr>
            <w:tcW w:w="791" w:type="pct"/>
            <w:tcBorders>
              <w:bottom w:val="single" w:color="auto" w:sz="4" w:space="0"/>
            </w:tcBorders>
            <w:noWrap w:val="0"/>
            <w:vAlign w:val="center"/>
          </w:tcPr>
          <w:p w14:paraId="07F165A9">
            <w:pPr>
              <w:jc w:val="center"/>
              <w:rPr>
                <w:rFonts w:ascii="宋体" w:hAnsi="宋体" w:cs="宋体"/>
                <w:sz w:val="21"/>
                <w:szCs w:val="21"/>
                <w:lang w:val="en-US" w:eastAsia="zh-CN" w:bidi="ar-SA"/>
              </w:rPr>
            </w:pPr>
            <w:r>
              <w:rPr>
                <w:sz w:val="21"/>
                <w:szCs w:val="21"/>
              </w:rPr>
              <w:t>台</w:t>
            </w:r>
          </w:p>
        </w:tc>
        <w:tc>
          <w:tcPr>
            <w:tcW w:w="794" w:type="pct"/>
            <w:tcBorders>
              <w:bottom w:val="single" w:color="auto" w:sz="4" w:space="0"/>
              <w:right w:val="nil"/>
            </w:tcBorders>
            <w:noWrap w:val="0"/>
            <w:vAlign w:val="center"/>
          </w:tcPr>
          <w:p w14:paraId="752443FE">
            <w:pPr>
              <w:jc w:val="center"/>
              <w:rPr>
                <w:rFonts w:hint="eastAsia" w:ascii="宋体" w:hAnsi="宋体" w:cs="宋体"/>
                <w:sz w:val="21"/>
                <w:szCs w:val="21"/>
                <w:lang w:val="en-US" w:eastAsia="zh-CN" w:bidi="ar-SA"/>
              </w:rPr>
            </w:pPr>
            <w:r>
              <w:rPr>
                <w:sz w:val="21"/>
                <w:szCs w:val="21"/>
              </w:rPr>
              <w:t>1</w:t>
            </w:r>
          </w:p>
        </w:tc>
      </w:tr>
      <w:tr w14:paraId="0750EC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84" w:type="pct"/>
            <w:tcBorders>
              <w:left w:val="nil"/>
            </w:tcBorders>
            <w:noWrap w:val="0"/>
            <w:vAlign w:val="center"/>
          </w:tcPr>
          <w:p w14:paraId="473776A6">
            <w:pPr>
              <w:pStyle w:val="203"/>
              <w:widowControl w:val="0"/>
              <w:spacing w:line="240" w:lineRule="atLeast"/>
              <w:ind w:left="-120" w:leftChars="-50" w:right="-120" w:rightChars="-50"/>
              <w:jc w:val="center"/>
              <w:rPr>
                <w:rFonts w:hint="eastAsia" w:ascii="Times New Roman"/>
                <w:color w:val="auto"/>
                <w:sz w:val="21"/>
                <w:szCs w:val="21"/>
                <w:lang w:eastAsia="zh-CN"/>
              </w:rPr>
            </w:pPr>
            <w:r>
              <w:rPr>
                <w:rFonts w:hint="eastAsia" w:ascii="Times New Roman"/>
                <w:color w:val="auto"/>
                <w:sz w:val="21"/>
                <w:szCs w:val="21"/>
                <w:lang w:eastAsia="zh-CN"/>
              </w:rPr>
              <w:t>12</w:t>
            </w:r>
          </w:p>
        </w:tc>
        <w:tc>
          <w:tcPr>
            <w:tcW w:w="1298" w:type="pct"/>
            <w:tcBorders>
              <w:bottom w:val="single" w:color="auto" w:sz="4" w:space="0"/>
            </w:tcBorders>
            <w:noWrap w:val="0"/>
            <w:vAlign w:val="center"/>
          </w:tcPr>
          <w:p w14:paraId="58E4350C">
            <w:pPr>
              <w:jc w:val="center"/>
              <w:rPr>
                <w:rFonts w:hint="eastAsia" w:ascii="宋体" w:hAnsi="宋体" w:cs="宋体"/>
                <w:sz w:val="21"/>
                <w:szCs w:val="21"/>
                <w:lang w:val="en-US" w:eastAsia="zh-CN" w:bidi="ar-SA"/>
              </w:rPr>
            </w:pPr>
            <w:r>
              <w:rPr>
                <w:sz w:val="21"/>
                <w:szCs w:val="21"/>
              </w:rPr>
              <w:t>对击破碎机</w:t>
            </w:r>
          </w:p>
        </w:tc>
        <w:tc>
          <w:tcPr>
            <w:tcW w:w="1731" w:type="pct"/>
            <w:tcBorders>
              <w:bottom w:val="single" w:color="auto" w:sz="4" w:space="0"/>
            </w:tcBorders>
            <w:noWrap w:val="0"/>
            <w:vAlign w:val="center"/>
          </w:tcPr>
          <w:p w14:paraId="45BB859D">
            <w:pPr>
              <w:jc w:val="center"/>
              <w:rPr>
                <w:rFonts w:hint="eastAsia" w:ascii="宋体" w:hAnsi="宋体" w:cs="宋体"/>
                <w:sz w:val="21"/>
                <w:szCs w:val="21"/>
                <w:lang w:val="en-US" w:eastAsia="zh-CN" w:bidi="ar-SA"/>
              </w:rPr>
            </w:pPr>
          </w:p>
        </w:tc>
        <w:tc>
          <w:tcPr>
            <w:tcW w:w="791" w:type="pct"/>
            <w:tcBorders>
              <w:bottom w:val="single" w:color="auto" w:sz="4" w:space="0"/>
            </w:tcBorders>
            <w:noWrap w:val="0"/>
            <w:vAlign w:val="center"/>
          </w:tcPr>
          <w:p w14:paraId="4F95F7E4">
            <w:pPr>
              <w:jc w:val="center"/>
              <w:rPr>
                <w:rFonts w:ascii="宋体" w:hAnsi="宋体" w:cs="宋体"/>
                <w:sz w:val="21"/>
                <w:szCs w:val="21"/>
                <w:lang w:val="en-US" w:eastAsia="zh-CN" w:bidi="ar-SA"/>
              </w:rPr>
            </w:pPr>
            <w:r>
              <w:rPr>
                <w:sz w:val="21"/>
                <w:szCs w:val="21"/>
              </w:rPr>
              <w:t>台</w:t>
            </w:r>
          </w:p>
        </w:tc>
        <w:tc>
          <w:tcPr>
            <w:tcW w:w="794" w:type="pct"/>
            <w:tcBorders>
              <w:bottom w:val="single" w:color="auto" w:sz="4" w:space="0"/>
              <w:right w:val="nil"/>
            </w:tcBorders>
            <w:noWrap w:val="0"/>
            <w:vAlign w:val="center"/>
          </w:tcPr>
          <w:p w14:paraId="7E3518C6">
            <w:pPr>
              <w:jc w:val="center"/>
              <w:rPr>
                <w:rFonts w:hint="eastAsia" w:ascii="宋体" w:hAnsi="宋体" w:cs="宋体"/>
                <w:sz w:val="21"/>
                <w:szCs w:val="21"/>
                <w:lang w:val="en-US" w:eastAsia="zh-CN" w:bidi="ar-SA"/>
              </w:rPr>
            </w:pPr>
            <w:r>
              <w:rPr>
                <w:sz w:val="21"/>
                <w:szCs w:val="21"/>
              </w:rPr>
              <w:t>1</w:t>
            </w:r>
          </w:p>
        </w:tc>
      </w:tr>
      <w:tr w14:paraId="171988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84" w:type="pct"/>
            <w:tcBorders>
              <w:left w:val="nil"/>
            </w:tcBorders>
            <w:noWrap w:val="0"/>
            <w:vAlign w:val="center"/>
          </w:tcPr>
          <w:p w14:paraId="2014E6F1">
            <w:pPr>
              <w:pStyle w:val="203"/>
              <w:widowControl w:val="0"/>
              <w:spacing w:line="240" w:lineRule="atLeast"/>
              <w:ind w:left="-120" w:leftChars="-50" w:right="-120" w:rightChars="-50"/>
              <w:jc w:val="center"/>
              <w:rPr>
                <w:rFonts w:hint="eastAsia" w:ascii="Times New Roman"/>
                <w:color w:val="auto"/>
                <w:sz w:val="21"/>
                <w:szCs w:val="21"/>
                <w:lang w:eastAsia="zh-CN"/>
              </w:rPr>
            </w:pPr>
            <w:r>
              <w:rPr>
                <w:rFonts w:hint="eastAsia" w:ascii="Times New Roman"/>
                <w:color w:val="auto"/>
                <w:sz w:val="21"/>
                <w:szCs w:val="21"/>
                <w:lang w:eastAsia="zh-CN"/>
              </w:rPr>
              <w:t>13</w:t>
            </w:r>
          </w:p>
        </w:tc>
        <w:tc>
          <w:tcPr>
            <w:tcW w:w="1298" w:type="pct"/>
            <w:tcBorders>
              <w:bottom w:val="single" w:color="auto" w:sz="4" w:space="0"/>
            </w:tcBorders>
            <w:noWrap w:val="0"/>
            <w:vAlign w:val="center"/>
          </w:tcPr>
          <w:p w14:paraId="70379E70">
            <w:pPr>
              <w:jc w:val="center"/>
              <w:rPr>
                <w:rFonts w:hint="eastAsia" w:ascii="宋体" w:hAnsi="宋体" w:cs="宋体"/>
                <w:sz w:val="21"/>
                <w:szCs w:val="21"/>
                <w:lang w:val="en-US" w:eastAsia="zh-CN" w:bidi="ar-SA"/>
              </w:rPr>
            </w:pPr>
            <w:r>
              <w:rPr>
                <w:sz w:val="21"/>
                <w:szCs w:val="21"/>
              </w:rPr>
              <w:t>生石灰消化器</w:t>
            </w:r>
          </w:p>
        </w:tc>
        <w:tc>
          <w:tcPr>
            <w:tcW w:w="1731" w:type="pct"/>
            <w:tcBorders>
              <w:bottom w:val="single" w:color="auto" w:sz="4" w:space="0"/>
            </w:tcBorders>
            <w:noWrap w:val="0"/>
            <w:vAlign w:val="center"/>
          </w:tcPr>
          <w:p w14:paraId="427FF216">
            <w:pPr>
              <w:jc w:val="center"/>
              <w:rPr>
                <w:rFonts w:hint="eastAsia" w:ascii="宋体" w:hAnsi="宋体" w:cs="宋体"/>
                <w:sz w:val="21"/>
                <w:szCs w:val="21"/>
                <w:lang w:val="en-US" w:eastAsia="zh-CN" w:bidi="ar-SA"/>
              </w:rPr>
            </w:pPr>
          </w:p>
        </w:tc>
        <w:tc>
          <w:tcPr>
            <w:tcW w:w="791" w:type="pct"/>
            <w:tcBorders>
              <w:bottom w:val="single" w:color="auto" w:sz="4" w:space="0"/>
            </w:tcBorders>
            <w:noWrap w:val="0"/>
            <w:vAlign w:val="center"/>
          </w:tcPr>
          <w:p w14:paraId="05247DCF">
            <w:pPr>
              <w:jc w:val="center"/>
              <w:rPr>
                <w:rFonts w:ascii="宋体" w:hAnsi="宋体" w:cs="宋体"/>
                <w:sz w:val="21"/>
                <w:szCs w:val="21"/>
                <w:lang w:val="en-US" w:eastAsia="zh-CN" w:bidi="ar-SA"/>
              </w:rPr>
            </w:pPr>
            <w:r>
              <w:rPr>
                <w:sz w:val="21"/>
                <w:szCs w:val="21"/>
              </w:rPr>
              <w:t>套</w:t>
            </w:r>
          </w:p>
        </w:tc>
        <w:tc>
          <w:tcPr>
            <w:tcW w:w="794" w:type="pct"/>
            <w:tcBorders>
              <w:bottom w:val="single" w:color="auto" w:sz="4" w:space="0"/>
              <w:right w:val="nil"/>
            </w:tcBorders>
            <w:noWrap w:val="0"/>
            <w:vAlign w:val="center"/>
          </w:tcPr>
          <w:p w14:paraId="397A4D1C">
            <w:pPr>
              <w:jc w:val="center"/>
              <w:rPr>
                <w:rFonts w:hint="eastAsia" w:ascii="宋体" w:hAnsi="宋体" w:cs="宋体"/>
                <w:sz w:val="21"/>
                <w:szCs w:val="21"/>
                <w:lang w:val="en-US" w:eastAsia="zh-CN" w:bidi="ar-SA"/>
              </w:rPr>
            </w:pPr>
            <w:r>
              <w:rPr>
                <w:sz w:val="21"/>
                <w:szCs w:val="21"/>
              </w:rPr>
              <w:t>1</w:t>
            </w:r>
          </w:p>
        </w:tc>
      </w:tr>
      <w:tr w14:paraId="61010A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84" w:type="pct"/>
            <w:tcBorders>
              <w:left w:val="nil"/>
            </w:tcBorders>
            <w:noWrap w:val="0"/>
            <w:vAlign w:val="center"/>
          </w:tcPr>
          <w:p w14:paraId="50D45CAD">
            <w:pPr>
              <w:pStyle w:val="203"/>
              <w:widowControl w:val="0"/>
              <w:spacing w:line="240" w:lineRule="atLeast"/>
              <w:ind w:left="-120" w:leftChars="-50" w:right="-120" w:rightChars="-50"/>
              <w:jc w:val="center"/>
              <w:rPr>
                <w:rFonts w:hint="eastAsia" w:ascii="Times New Roman"/>
                <w:color w:val="auto"/>
                <w:sz w:val="21"/>
                <w:szCs w:val="21"/>
                <w:lang w:eastAsia="zh-CN"/>
              </w:rPr>
            </w:pPr>
            <w:r>
              <w:rPr>
                <w:rFonts w:hint="eastAsia" w:ascii="Times New Roman"/>
                <w:color w:val="auto"/>
                <w:sz w:val="21"/>
                <w:szCs w:val="21"/>
                <w:lang w:eastAsia="zh-CN"/>
              </w:rPr>
              <w:t>14</w:t>
            </w:r>
          </w:p>
        </w:tc>
        <w:tc>
          <w:tcPr>
            <w:tcW w:w="1298" w:type="pct"/>
            <w:tcBorders>
              <w:bottom w:val="single" w:color="auto" w:sz="4" w:space="0"/>
            </w:tcBorders>
            <w:noWrap w:val="0"/>
            <w:vAlign w:val="center"/>
          </w:tcPr>
          <w:p w14:paraId="40462BCA">
            <w:pPr>
              <w:jc w:val="center"/>
              <w:rPr>
                <w:rFonts w:hint="eastAsia" w:ascii="宋体" w:hAnsi="宋体" w:cs="宋体"/>
                <w:sz w:val="21"/>
                <w:szCs w:val="21"/>
                <w:lang w:val="en-US" w:eastAsia="zh-CN" w:bidi="ar-SA"/>
              </w:rPr>
            </w:pPr>
            <w:r>
              <w:rPr>
                <w:sz w:val="21"/>
                <w:szCs w:val="21"/>
              </w:rPr>
              <w:t>双层卸灰阀</w:t>
            </w:r>
          </w:p>
        </w:tc>
        <w:tc>
          <w:tcPr>
            <w:tcW w:w="1731" w:type="pct"/>
            <w:tcBorders>
              <w:bottom w:val="single" w:color="auto" w:sz="4" w:space="0"/>
            </w:tcBorders>
            <w:noWrap w:val="0"/>
            <w:vAlign w:val="center"/>
          </w:tcPr>
          <w:p w14:paraId="1A89F4E6">
            <w:pPr>
              <w:jc w:val="center"/>
              <w:rPr>
                <w:rFonts w:hint="eastAsia" w:ascii="宋体" w:hAnsi="宋体" w:cs="宋体"/>
                <w:sz w:val="21"/>
                <w:szCs w:val="21"/>
                <w:lang w:val="en-US" w:eastAsia="zh-CN" w:bidi="ar-SA"/>
              </w:rPr>
            </w:pPr>
          </w:p>
        </w:tc>
        <w:tc>
          <w:tcPr>
            <w:tcW w:w="791" w:type="pct"/>
            <w:tcBorders>
              <w:bottom w:val="single" w:color="auto" w:sz="4" w:space="0"/>
            </w:tcBorders>
            <w:noWrap w:val="0"/>
            <w:vAlign w:val="center"/>
          </w:tcPr>
          <w:p w14:paraId="2D9197A7">
            <w:pPr>
              <w:jc w:val="center"/>
              <w:rPr>
                <w:rFonts w:ascii="宋体" w:hAnsi="宋体" w:cs="宋体"/>
                <w:sz w:val="21"/>
                <w:szCs w:val="21"/>
                <w:lang w:val="en-US" w:eastAsia="zh-CN" w:bidi="ar-SA"/>
              </w:rPr>
            </w:pPr>
            <w:r>
              <w:rPr>
                <w:sz w:val="21"/>
                <w:szCs w:val="21"/>
              </w:rPr>
              <w:t>台</w:t>
            </w:r>
          </w:p>
        </w:tc>
        <w:tc>
          <w:tcPr>
            <w:tcW w:w="794" w:type="pct"/>
            <w:tcBorders>
              <w:bottom w:val="single" w:color="auto" w:sz="4" w:space="0"/>
              <w:right w:val="nil"/>
            </w:tcBorders>
            <w:noWrap w:val="0"/>
            <w:vAlign w:val="center"/>
          </w:tcPr>
          <w:p w14:paraId="0E731706">
            <w:pPr>
              <w:jc w:val="center"/>
              <w:rPr>
                <w:rFonts w:hint="eastAsia" w:ascii="宋体" w:hAnsi="宋体" w:cs="宋体"/>
                <w:sz w:val="21"/>
                <w:szCs w:val="21"/>
                <w:lang w:val="en-US" w:eastAsia="zh-CN" w:bidi="ar-SA"/>
              </w:rPr>
            </w:pPr>
            <w:r>
              <w:rPr>
                <w:sz w:val="21"/>
                <w:szCs w:val="21"/>
              </w:rPr>
              <w:t>15</w:t>
            </w:r>
          </w:p>
        </w:tc>
      </w:tr>
      <w:tr w14:paraId="588C17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84" w:type="pct"/>
            <w:tcBorders>
              <w:left w:val="nil"/>
            </w:tcBorders>
            <w:noWrap w:val="0"/>
            <w:vAlign w:val="center"/>
          </w:tcPr>
          <w:p w14:paraId="43F11954">
            <w:pPr>
              <w:pStyle w:val="203"/>
              <w:widowControl w:val="0"/>
              <w:spacing w:line="240" w:lineRule="atLeast"/>
              <w:ind w:left="-120" w:leftChars="-50" w:right="-120" w:rightChars="-50"/>
              <w:jc w:val="center"/>
              <w:rPr>
                <w:rFonts w:hint="eastAsia" w:ascii="Times New Roman"/>
                <w:color w:val="auto"/>
                <w:sz w:val="21"/>
                <w:szCs w:val="21"/>
                <w:lang w:eastAsia="zh-CN"/>
              </w:rPr>
            </w:pPr>
            <w:r>
              <w:rPr>
                <w:rFonts w:hint="eastAsia" w:ascii="Times New Roman"/>
                <w:color w:val="auto"/>
                <w:sz w:val="21"/>
                <w:szCs w:val="21"/>
                <w:lang w:eastAsia="zh-CN"/>
              </w:rPr>
              <w:t>15</w:t>
            </w:r>
          </w:p>
        </w:tc>
        <w:tc>
          <w:tcPr>
            <w:tcW w:w="1298" w:type="pct"/>
            <w:tcBorders>
              <w:bottom w:val="single" w:color="auto" w:sz="4" w:space="0"/>
            </w:tcBorders>
            <w:noWrap w:val="0"/>
            <w:vAlign w:val="center"/>
          </w:tcPr>
          <w:p w14:paraId="39229FBE">
            <w:pPr>
              <w:jc w:val="center"/>
              <w:rPr>
                <w:rFonts w:hint="eastAsia" w:ascii="宋体" w:hAnsi="宋体" w:cs="宋体"/>
                <w:sz w:val="21"/>
                <w:szCs w:val="21"/>
                <w:lang w:val="en-US" w:eastAsia="zh-CN" w:bidi="ar-SA"/>
              </w:rPr>
            </w:pPr>
            <w:r>
              <w:rPr>
                <w:sz w:val="21"/>
                <w:szCs w:val="21"/>
              </w:rPr>
              <w:t>单辊破碎机</w:t>
            </w:r>
          </w:p>
        </w:tc>
        <w:tc>
          <w:tcPr>
            <w:tcW w:w="1731" w:type="pct"/>
            <w:tcBorders>
              <w:bottom w:val="single" w:color="auto" w:sz="4" w:space="0"/>
            </w:tcBorders>
            <w:noWrap w:val="0"/>
            <w:vAlign w:val="center"/>
          </w:tcPr>
          <w:p w14:paraId="3A9C5E70">
            <w:pPr>
              <w:jc w:val="center"/>
              <w:rPr>
                <w:rFonts w:hint="eastAsia" w:ascii="宋体" w:hAnsi="宋体" w:cs="宋体"/>
                <w:sz w:val="21"/>
                <w:szCs w:val="21"/>
                <w:lang w:val="en-US" w:eastAsia="zh-CN" w:bidi="ar-SA"/>
              </w:rPr>
            </w:pPr>
          </w:p>
        </w:tc>
        <w:tc>
          <w:tcPr>
            <w:tcW w:w="791" w:type="pct"/>
            <w:tcBorders>
              <w:bottom w:val="single" w:color="auto" w:sz="4" w:space="0"/>
            </w:tcBorders>
            <w:noWrap w:val="0"/>
            <w:vAlign w:val="center"/>
          </w:tcPr>
          <w:p w14:paraId="6FB6FEFC">
            <w:pPr>
              <w:jc w:val="center"/>
              <w:rPr>
                <w:rFonts w:ascii="宋体" w:hAnsi="宋体" w:cs="宋体"/>
                <w:sz w:val="21"/>
                <w:szCs w:val="21"/>
                <w:lang w:val="en-US" w:eastAsia="zh-CN" w:bidi="ar-SA"/>
              </w:rPr>
            </w:pPr>
            <w:r>
              <w:rPr>
                <w:sz w:val="21"/>
                <w:szCs w:val="21"/>
              </w:rPr>
              <w:t>台</w:t>
            </w:r>
          </w:p>
        </w:tc>
        <w:tc>
          <w:tcPr>
            <w:tcW w:w="794" w:type="pct"/>
            <w:tcBorders>
              <w:bottom w:val="single" w:color="auto" w:sz="4" w:space="0"/>
              <w:right w:val="nil"/>
            </w:tcBorders>
            <w:noWrap w:val="0"/>
            <w:vAlign w:val="center"/>
          </w:tcPr>
          <w:p w14:paraId="35143337">
            <w:pPr>
              <w:jc w:val="center"/>
              <w:rPr>
                <w:rFonts w:hint="eastAsia" w:ascii="宋体" w:hAnsi="宋体" w:cs="宋体"/>
                <w:sz w:val="21"/>
                <w:szCs w:val="21"/>
                <w:lang w:val="en-US" w:eastAsia="zh-CN" w:bidi="ar-SA"/>
              </w:rPr>
            </w:pPr>
            <w:r>
              <w:rPr>
                <w:sz w:val="21"/>
                <w:szCs w:val="21"/>
              </w:rPr>
              <w:t>1</w:t>
            </w:r>
          </w:p>
        </w:tc>
      </w:tr>
      <w:tr w14:paraId="00F128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84" w:type="pct"/>
            <w:tcBorders>
              <w:left w:val="nil"/>
            </w:tcBorders>
            <w:noWrap w:val="0"/>
            <w:vAlign w:val="center"/>
          </w:tcPr>
          <w:p w14:paraId="5DAC7CDC">
            <w:pPr>
              <w:pStyle w:val="203"/>
              <w:widowControl w:val="0"/>
              <w:spacing w:line="240" w:lineRule="atLeast"/>
              <w:ind w:left="-120" w:leftChars="-50" w:right="-120" w:rightChars="-50"/>
              <w:jc w:val="center"/>
              <w:rPr>
                <w:rFonts w:hint="eastAsia" w:ascii="Times New Roman"/>
                <w:color w:val="auto"/>
                <w:sz w:val="21"/>
                <w:szCs w:val="21"/>
                <w:lang w:eastAsia="zh-CN"/>
              </w:rPr>
            </w:pPr>
            <w:r>
              <w:rPr>
                <w:rFonts w:hint="eastAsia" w:ascii="Times New Roman"/>
                <w:color w:val="auto"/>
                <w:sz w:val="21"/>
                <w:szCs w:val="21"/>
                <w:lang w:eastAsia="zh-CN"/>
              </w:rPr>
              <w:t>16</w:t>
            </w:r>
          </w:p>
        </w:tc>
        <w:tc>
          <w:tcPr>
            <w:tcW w:w="1298" w:type="pct"/>
            <w:tcBorders>
              <w:bottom w:val="single" w:color="auto" w:sz="4" w:space="0"/>
            </w:tcBorders>
            <w:noWrap w:val="0"/>
            <w:vAlign w:val="center"/>
          </w:tcPr>
          <w:p w14:paraId="0DF5C274">
            <w:pPr>
              <w:jc w:val="center"/>
              <w:rPr>
                <w:rFonts w:hint="eastAsia" w:ascii="宋体" w:hAnsi="宋体" w:cs="宋体"/>
                <w:sz w:val="21"/>
                <w:szCs w:val="21"/>
                <w:lang w:val="en-US" w:eastAsia="zh-CN" w:bidi="ar-SA"/>
              </w:rPr>
            </w:pPr>
            <w:r>
              <w:rPr>
                <w:sz w:val="21"/>
                <w:szCs w:val="21"/>
              </w:rPr>
              <w:t>布袋除尘器</w:t>
            </w:r>
          </w:p>
        </w:tc>
        <w:tc>
          <w:tcPr>
            <w:tcW w:w="1731" w:type="pct"/>
            <w:tcBorders>
              <w:bottom w:val="single" w:color="auto" w:sz="4" w:space="0"/>
            </w:tcBorders>
            <w:noWrap w:val="0"/>
            <w:vAlign w:val="center"/>
          </w:tcPr>
          <w:p w14:paraId="3206A82F">
            <w:pPr>
              <w:jc w:val="center"/>
              <w:rPr>
                <w:rFonts w:hint="eastAsia" w:ascii="宋体" w:hAnsi="宋体" w:cs="宋体"/>
                <w:sz w:val="21"/>
                <w:szCs w:val="21"/>
                <w:lang w:val="en-US" w:eastAsia="zh-CN" w:bidi="ar-SA"/>
              </w:rPr>
            </w:pPr>
          </w:p>
        </w:tc>
        <w:tc>
          <w:tcPr>
            <w:tcW w:w="791" w:type="pct"/>
            <w:tcBorders>
              <w:bottom w:val="single" w:color="auto" w:sz="4" w:space="0"/>
            </w:tcBorders>
            <w:noWrap w:val="0"/>
            <w:vAlign w:val="center"/>
          </w:tcPr>
          <w:p w14:paraId="4532C028">
            <w:pPr>
              <w:jc w:val="center"/>
              <w:rPr>
                <w:rFonts w:ascii="宋体" w:hAnsi="宋体" w:cs="宋体"/>
                <w:sz w:val="21"/>
                <w:szCs w:val="21"/>
                <w:lang w:val="en-US" w:eastAsia="zh-CN" w:bidi="ar-SA"/>
              </w:rPr>
            </w:pPr>
            <w:r>
              <w:rPr>
                <w:sz w:val="21"/>
                <w:szCs w:val="21"/>
              </w:rPr>
              <w:t>套</w:t>
            </w:r>
          </w:p>
        </w:tc>
        <w:tc>
          <w:tcPr>
            <w:tcW w:w="794" w:type="pct"/>
            <w:tcBorders>
              <w:bottom w:val="single" w:color="auto" w:sz="4" w:space="0"/>
              <w:right w:val="nil"/>
            </w:tcBorders>
            <w:noWrap w:val="0"/>
            <w:vAlign w:val="center"/>
          </w:tcPr>
          <w:p w14:paraId="44E2DB7E">
            <w:pPr>
              <w:jc w:val="center"/>
              <w:rPr>
                <w:rFonts w:hint="eastAsia" w:ascii="宋体" w:hAnsi="宋体" w:cs="宋体"/>
                <w:sz w:val="21"/>
                <w:szCs w:val="21"/>
                <w:lang w:val="en-US" w:eastAsia="zh-CN" w:bidi="ar-SA"/>
              </w:rPr>
            </w:pPr>
            <w:r>
              <w:rPr>
                <w:sz w:val="21"/>
                <w:szCs w:val="21"/>
              </w:rPr>
              <w:t>3</w:t>
            </w:r>
          </w:p>
        </w:tc>
      </w:tr>
      <w:tr w14:paraId="3258DB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84" w:type="pct"/>
            <w:tcBorders>
              <w:left w:val="nil"/>
            </w:tcBorders>
            <w:noWrap w:val="0"/>
            <w:vAlign w:val="center"/>
          </w:tcPr>
          <w:p w14:paraId="79930ECF">
            <w:pPr>
              <w:pStyle w:val="203"/>
              <w:widowControl w:val="0"/>
              <w:spacing w:line="240" w:lineRule="atLeast"/>
              <w:ind w:left="-120" w:leftChars="-50" w:right="-120" w:rightChars="-50"/>
              <w:jc w:val="center"/>
              <w:rPr>
                <w:rFonts w:hint="eastAsia" w:ascii="Times New Roman"/>
                <w:color w:val="auto"/>
                <w:sz w:val="21"/>
                <w:szCs w:val="21"/>
                <w:lang w:eastAsia="zh-CN"/>
              </w:rPr>
            </w:pPr>
            <w:r>
              <w:rPr>
                <w:rFonts w:hint="eastAsia" w:ascii="Times New Roman"/>
                <w:color w:val="auto"/>
                <w:sz w:val="21"/>
                <w:szCs w:val="21"/>
                <w:lang w:eastAsia="zh-CN"/>
              </w:rPr>
              <w:t>17</w:t>
            </w:r>
          </w:p>
        </w:tc>
        <w:tc>
          <w:tcPr>
            <w:tcW w:w="1298" w:type="pct"/>
            <w:tcBorders>
              <w:bottom w:val="single" w:color="auto" w:sz="4" w:space="0"/>
            </w:tcBorders>
            <w:noWrap w:val="0"/>
            <w:vAlign w:val="center"/>
          </w:tcPr>
          <w:p w14:paraId="50181F5E">
            <w:pPr>
              <w:jc w:val="center"/>
              <w:rPr>
                <w:rFonts w:hint="eastAsia" w:ascii="宋体" w:hAnsi="宋体" w:cs="宋体"/>
                <w:sz w:val="21"/>
                <w:szCs w:val="21"/>
                <w:lang w:val="en-US" w:eastAsia="zh-CN" w:bidi="ar-SA"/>
              </w:rPr>
            </w:pPr>
            <w:r>
              <w:rPr>
                <w:sz w:val="21"/>
                <w:szCs w:val="21"/>
              </w:rPr>
              <w:t>立式空气单预热炉</w:t>
            </w:r>
          </w:p>
        </w:tc>
        <w:tc>
          <w:tcPr>
            <w:tcW w:w="1731" w:type="pct"/>
            <w:tcBorders>
              <w:bottom w:val="single" w:color="auto" w:sz="4" w:space="0"/>
            </w:tcBorders>
            <w:noWrap w:val="0"/>
            <w:vAlign w:val="center"/>
          </w:tcPr>
          <w:p w14:paraId="25D84EAF">
            <w:pPr>
              <w:jc w:val="center"/>
              <w:rPr>
                <w:rFonts w:hint="eastAsia" w:ascii="宋体" w:hAnsi="宋体" w:cs="宋体"/>
                <w:sz w:val="21"/>
                <w:szCs w:val="21"/>
                <w:lang w:val="en-US" w:eastAsia="zh-CN" w:bidi="ar-SA"/>
              </w:rPr>
            </w:pPr>
          </w:p>
        </w:tc>
        <w:tc>
          <w:tcPr>
            <w:tcW w:w="791" w:type="pct"/>
            <w:tcBorders>
              <w:bottom w:val="single" w:color="auto" w:sz="4" w:space="0"/>
            </w:tcBorders>
            <w:noWrap w:val="0"/>
            <w:vAlign w:val="center"/>
          </w:tcPr>
          <w:p w14:paraId="510F49DB">
            <w:pPr>
              <w:jc w:val="center"/>
              <w:rPr>
                <w:rFonts w:ascii="宋体" w:hAnsi="宋体" w:cs="宋体"/>
                <w:sz w:val="21"/>
                <w:szCs w:val="21"/>
                <w:lang w:val="en-US" w:eastAsia="zh-CN" w:bidi="ar-SA"/>
              </w:rPr>
            </w:pPr>
            <w:r>
              <w:rPr>
                <w:sz w:val="21"/>
                <w:szCs w:val="21"/>
              </w:rPr>
              <w:t>台</w:t>
            </w:r>
          </w:p>
        </w:tc>
        <w:tc>
          <w:tcPr>
            <w:tcW w:w="794" w:type="pct"/>
            <w:tcBorders>
              <w:bottom w:val="single" w:color="auto" w:sz="4" w:space="0"/>
              <w:right w:val="nil"/>
            </w:tcBorders>
            <w:noWrap w:val="0"/>
            <w:vAlign w:val="center"/>
          </w:tcPr>
          <w:p w14:paraId="2577094A">
            <w:pPr>
              <w:jc w:val="center"/>
              <w:rPr>
                <w:rFonts w:hint="eastAsia" w:ascii="宋体" w:hAnsi="宋体" w:cs="宋体"/>
                <w:sz w:val="21"/>
                <w:szCs w:val="21"/>
                <w:lang w:val="en-US" w:eastAsia="zh-CN" w:bidi="ar-SA"/>
              </w:rPr>
            </w:pPr>
            <w:r>
              <w:rPr>
                <w:sz w:val="21"/>
                <w:szCs w:val="21"/>
              </w:rPr>
              <w:t>1</w:t>
            </w:r>
          </w:p>
        </w:tc>
      </w:tr>
      <w:tr w14:paraId="158E08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84" w:type="pct"/>
            <w:tcBorders>
              <w:left w:val="nil"/>
            </w:tcBorders>
            <w:noWrap w:val="0"/>
            <w:vAlign w:val="center"/>
          </w:tcPr>
          <w:p w14:paraId="2E57AB2E">
            <w:pPr>
              <w:pStyle w:val="203"/>
              <w:widowControl w:val="0"/>
              <w:spacing w:line="240" w:lineRule="atLeast"/>
              <w:ind w:left="-120" w:leftChars="-50" w:right="-120" w:rightChars="-50"/>
              <w:jc w:val="center"/>
              <w:rPr>
                <w:rFonts w:hint="eastAsia" w:ascii="Times New Roman"/>
                <w:color w:val="auto"/>
                <w:sz w:val="21"/>
                <w:szCs w:val="21"/>
                <w:lang w:eastAsia="zh-CN"/>
              </w:rPr>
            </w:pPr>
            <w:r>
              <w:rPr>
                <w:rFonts w:hint="eastAsia" w:ascii="Times New Roman"/>
                <w:color w:val="auto"/>
                <w:sz w:val="21"/>
                <w:szCs w:val="21"/>
                <w:lang w:eastAsia="zh-CN"/>
              </w:rPr>
              <w:t>18</w:t>
            </w:r>
          </w:p>
        </w:tc>
        <w:tc>
          <w:tcPr>
            <w:tcW w:w="1298" w:type="pct"/>
            <w:tcBorders>
              <w:bottom w:val="single" w:color="auto" w:sz="4" w:space="0"/>
            </w:tcBorders>
            <w:noWrap w:val="0"/>
            <w:vAlign w:val="center"/>
          </w:tcPr>
          <w:p w14:paraId="4E5D4D9D">
            <w:pPr>
              <w:jc w:val="center"/>
              <w:rPr>
                <w:rFonts w:hint="eastAsia" w:ascii="宋体" w:hAnsi="宋体" w:cs="宋体"/>
                <w:sz w:val="21"/>
                <w:szCs w:val="21"/>
                <w:lang w:val="en-US" w:eastAsia="zh-CN" w:bidi="ar-SA"/>
              </w:rPr>
            </w:pPr>
            <w:r>
              <w:rPr>
                <w:sz w:val="21"/>
                <w:szCs w:val="21"/>
              </w:rPr>
              <w:t>鼓风机</w:t>
            </w:r>
          </w:p>
        </w:tc>
        <w:tc>
          <w:tcPr>
            <w:tcW w:w="1731" w:type="pct"/>
            <w:tcBorders>
              <w:bottom w:val="single" w:color="auto" w:sz="4" w:space="0"/>
            </w:tcBorders>
            <w:noWrap w:val="0"/>
            <w:vAlign w:val="center"/>
          </w:tcPr>
          <w:p w14:paraId="44C5D433">
            <w:pPr>
              <w:jc w:val="center"/>
              <w:rPr>
                <w:rFonts w:hint="eastAsia" w:ascii="宋体" w:hAnsi="宋体" w:cs="宋体"/>
                <w:sz w:val="21"/>
                <w:szCs w:val="21"/>
                <w:lang w:val="en-US" w:eastAsia="zh-CN" w:bidi="ar-SA"/>
              </w:rPr>
            </w:pPr>
          </w:p>
        </w:tc>
        <w:tc>
          <w:tcPr>
            <w:tcW w:w="791" w:type="pct"/>
            <w:tcBorders>
              <w:bottom w:val="single" w:color="auto" w:sz="4" w:space="0"/>
            </w:tcBorders>
            <w:noWrap w:val="0"/>
            <w:vAlign w:val="center"/>
          </w:tcPr>
          <w:p w14:paraId="28ADF1B5">
            <w:pPr>
              <w:jc w:val="center"/>
              <w:rPr>
                <w:rFonts w:ascii="宋体" w:hAnsi="宋体" w:cs="宋体"/>
                <w:sz w:val="21"/>
                <w:szCs w:val="21"/>
                <w:lang w:val="en-US" w:eastAsia="zh-CN" w:bidi="ar-SA"/>
              </w:rPr>
            </w:pPr>
            <w:r>
              <w:rPr>
                <w:sz w:val="21"/>
                <w:szCs w:val="21"/>
              </w:rPr>
              <w:t>台</w:t>
            </w:r>
          </w:p>
        </w:tc>
        <w:tc>
          <w:tcPr>
            <w:tcW w:w="794" w:type="pct"/>
            <w:tcBorders>
              <w:bottom w:val="single" w:color="auto" w:sz="4" w:space="0"/>
              <w:right w:val="nil"/>
            </w:tcBorders>
            <w:noWrap w:val="0"/>
            <w:vAlign w:val="center"/>
          </w:tcPr>
          <w:p w14:paraId="7A0BEA37">
            <w:pPr>
              <w:jc w:val="center"/>
              <w:rPr>
                <w:rFonts w:hint="eastAsia" w:ascii="宋体" w:hAnsi="宋体" w:cs="宋体"/>
                <w:sz w:val="21"/>
                <w:szCs w:val="21"/>
                <w:lang w:val="en-US" w:eastAsia="zh-CN" w:bidi="ar-SA"/>
              </w:rPr>
            </w:pPr>
            <w:r>
              <w:rPr>
                <w:sz w:val="21"/>
                <w:szCs w:val="21"/>
              </w:rPr>
              <w:t>3</w:t>
            </w:r>
          </w:p>
        </w:tc>
      </w:tr>
      <w:tr w14:paraId="2A1D78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84" w:type="pct"/>
            <w:tcBorders>
              <w:left w:val="nil"/>
            </w:tcBorders>
            <w:noWrap w:val="0"/>
            <w:vAlign w:val="center"/>
          </w:tcPr>
          <w:p w14:paraId="49420349">
            <w:pPr>
              <w:pStyle w:val="203"/>
              <w:widowControl w:val="0"/>
              <w:spacing w:line="240" w:lineRule="atLeast"/>
              <w:ind w:left="-120" w:leftChars="-50" w:right="-120" w:rightChars="-50"/>
              <w:jc w:val="center"/>
              <w:rPr>
                <w:rFonts w:hint="eastAsia" w:ascii="Times New Roman"/>
                <w:color w:val="auto"/>
                <w:sz w:val="21"/>
                <w:szCs w:val="21"/>
                <w:lang w:eastAsia="zh-CN"/>
              </w:rPr>
            </w:pPr>
            <w:r>
              <w:rPr>
                <w:rFonts w:hint="eastAsia" w:ascii="Times New Roman"/>
                <w:color w:val="auto"/>
                <w:sz w:val="21"/>
                <w:szCs w:val="21"/>
                <w:lang w:eastAsia="zh-CN"/>
              </w:rPr>
              <w:t>19</w:t>
            </w:r>
          </w:p>
        </w:tc>
        <w:tc>
          <w:tcPr>
            <w:tcW w:w="1298" w:type="pct"/>
            <w:tcBorders>
              <w:bottom w:val="single" w:color="auto" w:sz="4" w:space="0"/>
            </w:tcBorders>
            <w:noWrap w:val="0"/>
            <w:vAlign w:val="center"/>
          </w:tcPr>
          <w:p w14:paraId="63A90146">
            <w:pPr>
              <w:jc w:val="center"/>
              <w:rPr>
                <w:rFonts w:hint="eastAsia" w:ascii="宋体" w:hAnsi="宋体" w:cs="宋体"/>
                <w:sz w:val="21"/>
                <w:szCs w:val="21"/>
                <w:lang w:val="en-US" w:eastAsia="zh-CN" w:bidi="ar-SA"/>
              </w:rPr>
            </w:pPr>
            <w:r>
              <w:rPr>
                <w:sz w:val="21"/>
                <w:szCs w:val="21"/>
              </w:rPr>
              <w:t>环式冷却机</w:t>
            </w:r>
          </w:p>
        </w:tc>
        <w:tc>
          <w:tcPr>
            <w:tcW w:w="1731" w:type="pct"/>
            <w:tcBorders>
              <w:bottom w:val="single" w:color="auto" w:sz="4" w:space="0"/>
            </w:tcBorders>
            <w:noWrap w:val="0"/>
            <w:vAlign w:val="center"/>
          </w:tcPr>
          <w:p w14:paraId="779282E4">
            <w:pPr>
              <w:jc w:val="center"/>
              <w:rPr>
                <w:rFonts w:hint="eastAsia" w:ascii="宋体" w:hAnsi="宋体" w:cs="宋体"/>
                <w:sz w:val="21"/>
                <w:szCs w:val="21"/>
                <w:lang w:val="en-US" w:eastAsia="zh-CN" w:bidi="ar-SA"/>
              </w:rPr>
            </w:pPr>
          </w:p>
        </w:tc>
        <w:tc>
          <w:tcPr>
            <w:tcW w:w="791" w:type="pct"/>
            <w:tcBorders>
              <w:bottom w:val="single" w:color="auto" w:sz="4" w:space="0"/>
            </w:tcBorders>
            <w:noWrap w:val="0"/>
            <w:vAlign w:val="center"/>
          </w:tcPr>
          <w:p w14:paraId="1778BA9E">
            <w:pPr>
              <w:jc w:val="center"/>
              <w:rPr>
                <w:rFonts w:ascii="宋体" w:hAnsi="宋体" w:cs="宋体"/>
                <w:sz w:val="21"/>
                <w:szCs w:val="21"/>
                <w:lang w:val="en-US" w:eastAsia="zh-CN" w:bidi="ar-SA"/>
              </w:rPr>
            </w:pPr>
            <w:r>
              <w:rPr>
                <w:sz w:val="21"/>
                <w:szCs w:val="21"/>
              </w:rPr>
              <w:t>套</w:t>
            </w:r>
          </w:p>
        </w:tc>
        <w:tc>
          <w:tcPr>
            <w:tcW w:w="794" w:type="pct"/>
            <w:tcBorders>
              <w:bottom w:val="single" w:color="auto" w:sz="4" w:space="0"/>
              <w:right w:val="nil"/>
            </w:tcBorders>
            <w:noWrap w:val="0"/>
            <w:vAlign w:val="center"/>
          </w:tcPr>
          <w:p w14:paraId="2E2790FA">
            <w:pPr>
              <w:jc w:val="center"/>
              <w:rPr>
                <w:rFonts w:hint="eastAsia" w:ascii="宋体" w:hAnsi="宋体" w:cs="宋体"/>
                <w:sz w:val="21"/>
                <w:szCs w:val="21"/>
                <w:lang w:val="en-US" w:eastAsia="zh-CN" w:bidi="ar-SA"/>
              </w:rPr>
            </w:pPr>
            <w:r>
              <w:rPr>
                <w:sz w:val="21"/>
                <w:szCs w:val="21"/>
              </w:rPr>
              <w:t>1</w:t>
            </w:r>
          </w:p>
        </w:tc>
      </w:tr>
      <w:tr w14:paraId="45076C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84" w:type="pct"/>
            <w:tcBorders>
              <w:left w:val="nil"/>
            </w:tcBorders>
            <w:noWrap w:val="0"/>
            <w:vAlign w:val="center"/>
          </w:tcPr>
          <w:p w14:paraId="4755F0F2">
            <w:pPr>
              <w:pStyle w:val="203"/>
              <w:widowControl w:val="0"/>
              <w:spacing w:line="240" w:lineRule="atLeast"/>
              <w:ind w:left="-120" w:leftChars="-50" w:right="-120" w:rightChars="-50"/>
              <w:jc w:val="center"/>
              <w:rPr>
                <w:rFonts w:hint="eastAsia" w:ascii="Times New Roman"/>
                <w:color w:val="auto"/>
                <w:sz w:val="21"/>
                <w:szCs w:val="21"/>
                <w:lang w:eastAsia="zh-CN"/>
              </w:rPr>
            </w:pPr>
            <w:r>
              <w:rPr>
                <w:rFonts w:hint="eastAsia" w:ascii="Times New Roman"/>
                <w:color w:val="auto"/>
                <w:sz w:val="21"/>
                <w:szCs w:val="21"/>
                <w:lang w:eastAsia="zh-CN"/>
              </w:rPr>
              <w:t>20</w:t>
            </w:r>
          </w:p>
        </w:tc>
        <w:tc>
          <w:tcPr>
            <w:tcW w:w="1298" w:type="pct"/>
            <w:tcBorders>
              <w:bottom w:val="single" w:color="auto" w:sz="4" w:space="0"/>
            </w:tcBorders>
            <w:noWrap w:val="0"/>
            <w:vAlign w:val="center"/>
          </w:tcPr>
          <w:p w14:paraId="77A0DBDD">
            <w:pPr>
              <w:jc w:val="center"/>
              <w:rPr>
                <w:rFonts w:hint="eastAsia" w:ascii="宋体" w:hAnsi="宋体" w:cs="宋体"/>
                <w:sz w:val="21"/>
                <w:szCs w:val="21"/>
                <w:lang w:val="en-US" w:eastAsia="zh-CN" w:bidi="ar-SA"/>
              </w:rPr>
            </w:pPr>
            <w:r>
              <w:rPr>
                <w:sz w:val="21"/>
                <w:szCs w:val="21"/>
              </w:rPr>
              <w:t>点火炉</w:t>
            </w:r>
          </w:p>
        </w:tc>
        <w:tc>
          <w:tcPr>
            <w:tcW w:w="1731" w:type="pct"/>
            <w:tcBorders>
              <w:bottom w:val="single" w:color="auto" w:sz="4" w:space="0"/>
            </w:tcBorders>
            <w:noWrap w:val="0"/>
            <w:vAlign w:val="center"/>
          </w:tcPr>
          <w:p w14:paraId="1D98049B">
            <w:pPr>
              <w:jc w:val="center"/>
              <w:rPr>
                <w:rFonts w:hint="eastAsia" w:ascii="宋体" w:hAnsi="宋体" w:cs="宋体"/>
                <w:sz w:val="21"/>
                <w:szCs w:val="21"/>
                <w:lang w:val="en-US" w:eastAsia="zh-CN" w:bidi="ar-SA"/>
              </w:rPr>
            </w:pPr>
          </w:p>
        </w:tc>
        <w:tc>
          <w:tcPr>
            <w:tcW w:w="791" w:type="pct"/>
            <w:tcBorders>
              <w:bottom w:val="single" w:color="auto" w:sz="4" w:space="0"/>
            </w:tcBorders>
            <w:noWrap w:val="0"/>
            <w:vAlign w:val="center"/>
          </w:tcPr>
          <w:p w14:paraId="6230E982">
            <w:pPr>
              <w:jc w:val="center"/>
              <w:rPr>
                <w:rFonts w:hint="eastAsia" w:ascii="宋体" w:hAnsi="宋体" w:cs="宋体"/>
                <w:sz w:val="21"/>
                <w:szCs w:val="21"/>
                <w:lang w:val="en-US" w:eastAsia="zh-CN" w:bidi="ar-SA"/>
              </w:rPr>
            </w:pPr>
            <w:r>
              <w:rPr>
                <w:sz w:val="21"/>
                <w:szCs w:val="21"/>
              </w:rPr>
              <w:t>台</w:t>
            </w:r>
          </w:p>
        </w:tc>
        <w:tc>
          <w:tcPr>
            <w:tcW w:w="794" w:type="pct"/>
            <w:tcBorders>
              <w:bottom w:val="single" w:color="auto" w:sz="4" w:space="0"/>
              <w:right w:val="nil"/>
            </w:tcBorders>
            <w:noWrap w:val="0"/>
            <w:vAlign w:val="center"/>
          </w:tcPr>
          <w:p w14:paraId="52718767">
            <w:pPr>
              <w:jc w:val="center"/>
              <w:rPr>
                <w:rFonts w:hint="eastAsia" w:ascii="宋体" w:hAnsi="宋体" w:cs="宋体"/>
                <w:sz w:val="21"/>
                <w:szCs w:val="21"/>
                <w:lang w:val="en-US" w:eastAsia="zh-CN" w:bidi="ar-SA"/>
              </w:rPr>
            </w:pPr>
            <w:r>
              <w:rPr>
                <w:sz w:val="21"/>
                <w:szCs w:val="21"/>
              </w:rPr>
              <w:t>1</w:t>
            </w:r>
          </w:p>
        </w:tc>
      </w:tr>
      <w:tr w14:paraId="04BE7F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84" w:type="pct"/>
            <w:tcBorders>
              <w:left w:val="nil"/>
            </w:tcBorders>
            <w:noWrap w:val="0"/>
            <w:vAlign w:val="center"/>
          </w:tcPr>
          <w:p w14:paraId="71A31FB4">
            <w:pPr>
              <w:pStyle w:val="203"/>
              <w:widowControl w:val="0"/>
              <w:spacing w:line="240" w:lineRule="atLeast"/>
              <w:ind w:left="-120" w:leftChars="-50" w:right="-120" w:rightChars="-50"/>
              <w:jc w:val="center"/>
              <w:rPr>
                <w:rFonts w:hint="eastAsia" w:ascii="Times New Roman"/>
                <w:color w:val="auto"/>
                <w:sz w:val="21"/>
                <w:szCs w:val="21"/>
                <w:lang w:eastAsia="zh-CN"/>
              </w:rPr>
            </w:pPr>
            <w:r>
              <w:rPr>
                <w:rFonts w:hint="eastAsia" w:ascii="Times New Roman"/>
                <w:color w:val="auto"/>
                <w:sz w:val="21"/>
                <w:szCs w:val="21"/>
                <w:lang w:eastAsia="zh-CN"/>
              </w:rPr>
              <w:t>21</w:t>
            </w:r>
          </w:p>
        </w:tc>
        <w:tc>
          <w:tcPr>
            <w:tcW w:w="1298" w:type="pct"/>
            <w:tcBorders>
              <w:bottom w:val="single" w:color="auto" w:sz="4" w:space="0"/>
            </w:tcBorders>
            <w:noWrap w:val="0"/>
            <w:vAlign w:val="center"/>
          </w:tcPr>
          <w:p w14:paraId="41BDAC84">
            <w:pPr>
              <w:jc w:val="center"/>
              <w:rPr>
                <w:rFonts w:hint="eastAsia" w:ascii="宋体" w:hAnsi="宋体" w:cs="宋体"/>
                <w:sz w:val="21"/>
                <w:szCs w:val="21"/>
                <w:lang w:val="en-US" w:eastAsia="zh-CN" w:bidi="ar-SA"/>
              </w:rPr>
            </w:pPr>
            <w:r>
              <w:rPr>
                <w:sz w:val="21"/>
                <w:szCs w:val="21"/>
              </w:rPr>
              <w:t>陶瓷多管除尘</w:t>
            </w:r>
          </w:p>
        </w:tc>
        <w:tc>
          <w:tcPr>
            <w:tcW w:w="1731" w:type="pct"/>
            <w:tcBorders>
              <w:bottom w:val="single" w:color="auto" w:sz="4" w:space="0"/>
            </w:tcBorders>
            <w:noWrap w:val="0"/>
            <w:vAlign w:val="center"/>
          </w:tcPr>
          <w:p w14:paraId="1DA21BAC">
            <w:pPr>
              <w:jc w:val="center"/>
              <w:rPr>
                <w:rFonts w:hint="eastAsia" w:ascii="宋体" w:hAnsi="宋体" w:cs="宋体"/>
                <w:sz w:val="21"/>
                <w:szCs w:val="21"/>
                <w:lang w:val="en-US" w:eastAsia="zh-CN" w:bidi="ar-SA"/>
              </w:rPr>
            </w:pPr>
          </w:p>
        </w:tc>
        <w:tc>
          <w:tcPr>
            <w:tcW w:w="791" w:type="pct"/>
            <w:tcBorders>
              <w:bottom w:val="single" w:color="auto" w:sz="4" w:space="0"/>
            </w:tcBorders>
            <w:noWrap w:val="0"/>
            <w:vAlign w:val="center"/>
          </w:tcPr>
          <w:p w14:paraId="25434A05">
            <w:pPr>
              <w:jc w:val="center"/>
              <w:rPr>
                <w:rFonts w:hint="eastAsia" w:ascii="宋体" w:hAnsi="宋体" w:cs="宋体"/>
                <w:sz w:val="21"/>
                <w:szCs w:val="21"/>
                <w:lang w:val="en-US" w:eastAsia="zh-CN" w:bidi="ar-SA"/>
              </w:rPr>
            </w:pPr>
            <w:r>
              <w:rPr>
                <w:sz w:val="21"/>
                <w:szCs w:val="21"/>
              </w:rPr>
              <w:t>台</w:t>
            </w:r>
          </w:p>
        </w:tc>
        <w:tc>
          <w:tcPr>
            <w:tcW w:w="794" w:type="pct"/>
            <w:tcBorders>
              <w:bottom w:val="single" w:color="auto" w:sz="4" w:space="0"/>
              <w:right w:val="nil"/>
            </w:tcBorders>
            <w:noWrap w:val="0"/>
            <w:vAlign w:val="center"/>
          </w:tcPr>
          <w:p w14:paraId="09B229C0">
            <w:pPr>
              <w:jc w:val="center"/>
              <w:rPr>
                <w:rFonts w:hint="eastAsia" w:ascii="宋体" w:hAnsi="宋体" w:cs="宋体"/>
                <w:sz w:val="21"/>
                <w:szCs w:val="21"/>
                <w:lang w:val="en-US" w:eastAsia="zh-CN" w:bidi="ar-SA"/>
              </w:rPr>
            </w:pPr>
            <w:r>
              <w:rPr>
                <w:sz w:val="21"/>
                <w:szCs w:val="21"/>
              </w:rPr>
              <w:t>1</w:t>
            </w:r>
          </w:p>
        </w:tc>
      </w:tr>
      <w:tr w14:paraId="04B22C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84" w:type="pct"/>
            <w:tcBorders>
              <w:left w:val="nil"/>
            </w:tcBorders>
            <w:noWrap w:val="0"/>
            <w:vAlign w:val="center"/>
          </w:tcPr>
          <w:p w14:paraId="26A52423">
            <w:pPr>
              <w:pStyle w:val="203"/>
              <w:widowControl w:val="0"/>
              <w:spacing w:line="240" w:lineRule="atLeast"/>
              <w:ind w:left="-120" w:leftChars="-50" w:right="-120" w:rightChars="-50"/>
              <w:jc w:val="center"/>
              <w:rPr>
                <w:rFonts w:hint="eastAsia" w:ascii="Times New Roman"/>
                <w:color w:val="auto"/>
                <w:sz w:val="21"/>
                <w:szCs w:val="21"/>
                <w:lang w:eastAsia="zh-CN"/>
              </w:rPr>
            </w:pPr>
            <w:r>
              <w:rPr>
                <w:rFonts w:hint="eastAsia" w:ascii="Times New Roman"/>
                <w:color w:val="auto"/>
                <w:sz w:val="21"/>
                <w:szCs w:val="21"/>
                <w:lang w:eastAsia="zh-CN"/>
              </w:rPr>
              <w:t>22</w:t>
            </w:r>
          </w:p>
        </w:tc>
        <w:tc>
          <w:tcPr>
            <w:tcW w:w="1298" w:type="pct"/>
            <w:tcBorders>
              <w:bottom w:val="single" w:color="auto" w:sz="4" w:space="0"/>
            </w:tcBorders>
            <w:noWrap w:val="0"/>
            <w:vAlign w:val="center"/>
          </w:tcPr>
          <w:p w14:paraId="76AC3755">
            <w:pPr>
              <w:jc w:val="center"/>
              <w:rPr>
                <w:rFonts w:hint="eastAsia" w:ascii="Times New Roman"/>
                <w:color w:val="auto"/>
                <w:sz w:val="21"/>
                <w:szCs w:val="21"/>
                <w:lang w:eastAsia="zh-CN"/>
              </w:rPr>
            </w:pPr>
            <w:r>
              <w:rPr>
                <w:sz w:val="21"/>
                <w:szCs w:val="21"/>
              </w:rPr>
              <w:t>上料仓给料机</w:t>
            </w:r>
          </w:p>
        </w:tc>
        <w:tc>
          <w:tcPr>
            <w:tcW w:w="1731" w:type="pct"/>
            <w:tcBorders>
              <w:bottom w:val="single" w:color="auto" w:sz="4" w:space="0"/>
            </w:tcBorders>
            <w:noWrap w:val="0"/>
            <w:vAlign w:val="center"/>
          </w:tcPr>
          <w:p w14:paraId="11ECD4E2">
            <w:pPr>
              <w:jc w:val="center"/>
              <w:rPr>
                <w:rFonts w:hint="eastAsia" w:ascii="Times New Roman"/>
                <w:color w:val="auto"/>
                <w:sz w:val="21"/>
                <w:szCs w:val="21"/>
                <w:lang w:eastAsia="zh-CN"/>
              </w:rPr>
            </w:pPr>
            <w:r>
              <w:rPr>
                <w:sz w:val="21"/>
                <w:szCs w:val="21"/>
              </w:rPr>
              <w:t>800*2500，2kw</w:t>
            </w:r>
          </w:p>
        </w:tc>
        <w:tc>
          <w:tcPr>
            <w:tcW w:w="791" w:type="pct"/>
            <w:tcBorders>
              <w:bottom w:val="single" w:color="auto" w:sz="4" w:space="0"/>
            </w:tcBorders>
            <w:noWrap w:val="0"/>
            <w:vAlign w:val="center"/>
          </w:tcPr>
          <w:p w14:paraId="23DC56F3">
            <w:pPr>
              <w:jc w:val="center"/>
              <w:rPr>
                <w:rFonts w:hint="eastAsia" w:ascii="Times New Roman"/>
                <w:color w:val="auto"/>
                <w:sz w:val="21"/>
                <w:szCs w:val="21"/>
              </w:rPr>
            </w:pPr>
            <w:r>
              <w:rPr>
                <w:sz w:val="21"/>
                <w:szCs w:val="21"/>
              </w:rPr>
              <w:t>1</w:t>
            </w:r>
          </w:p>
        </w:tc>
        <w:tc>
          <w:tcPr>
            <w:tcW w:w="794" w:type="pct"/>
            <w:tcBorders>
              <w:bottom w:val="single" w:color="auto" w:sz="4" w:space="0"/>
              <w:right w:val="nil"/>
            </w:tcBorders>
            <w:noWrap w:val="0"/>
            <w:vAlign w:val="center"/>
          </w:tcPr>
          <w:p w14:paraId="2A08C14B">
            <w:pPr>
              <w:jc w:val="center"/>
              <w:rPr>
                <w:rFonts w:hint="eastAsia" w:ascii="Times New Roman"/>
                <w:color w:val="auto"/>
                <w:sz w:val="21"/>
                <w:szCs w:val="21"/>
                <w:lang w:eastAsia="zh-CN"/>
              </w:rPr>
            </w:pPr>
            <w:r>
              <w:rPr>
                <w:sz w:val="21"/>
                <w:szCs w:val="21"/>
              </w:rPr>
              <w:t>台</w:t>
            </w:r>
          </w:p>
        </w:tc>
      </w:tr>
      <w:tr w14:paraId="6C23CF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84" w:type="pct"/>
            <w:tcBorders>
              <w:left w:val="nil"/>
            </w:tcBorders>
            <w:noWrap w:val="0"/>
            <w:vAlign w:val="center"/>
          </w:tcPr>
          <w:p w14:paraId="4C333086">
            <w:pPr>
              <w:pStyle w:val="203"/>
              <w:widowControl w:val="0"/>
              <w:spacing w:line="240" w:lineRule="atLeast"/>
              <w:ind w:left="-120" w:leftChars="-50" w:right="-120" w:rightChars="-50"/>
              <w:jc w:val="center"/>
              <w:rPr>
                <w:rFonts w:ascii="Times New Roman"/>
                <w:color w:val="auto"/>
                <w:sz w:val="21"/>
                <w:szCs w:val="21"/>
              </w:rPr>
            </w:pPr>
            <w:r>
              <w:rPr>
                <w:rFonts w:hint="eastAsia" w:ascii="Times New Roman"/>
                <w:color w:val="auto"/>
                <w:sz w:val="21"/>
                <w:szCs w:val="21"/>
                <w:lang w:eastAsia="zh-CN"/>
              </w:rPr>
              <w:t>23</w:t>
            </w:r>
          </w:p>
        </w:tc>
        <w:tc>
          <w:tcPr>
            <w:tcW w:w="1298" w:type="pct"/>
            <w:noWrap w:val="0"/>
            <w:vAlign w:val="center"/>
          </w:tcPr>
          <w:p w14:paraId="324D5A0F">
            <w:pPr>
              <w:jc w:val="center"/>
              <w:rPr>
                <w:rFonts w:ascii="Times New Roman"/>
                <w:color w:val="auto"/>
                <w:sz w:val="21"/>
                <w:szCs w:val="21"/>
              </w:rPr>
            </w:pPr>
            <w:r>
              <w:rPr>
                <w:sz w:val="21"/>
                <w:szCs w:val="21"/>
              </w:rPr>
              <w:t>上料皮带机</w:t>
            </w:r>
          </w:p>
        </w:tc>
        <w:tc>
          <w:tcPr>
            <w:tcW w:w="1731" w:type="pct"/>
            <w:noWrap w:val="0"/>
            <w:vAlign w:val="center"/>
          </w:tcPr>
          <w:p w14:paraId="6FAB3818">
            <w:pPr>
              <w:jc w:val="center"/>
              <w:rPr>
                <w:rFonts w:ascii="Times New Roman"/>
                <w:color w:val="auto"/>
                <w:sz w:val="21"/>
                <w:szCs w:val="21"/>
              </w:rPr>
            </w:pPr>
            <w:r>
              <w:rPr>
                <w:sz w:val="21"/>
                <w:szCs w:val="21"/>
              </w:rPr>
              <w:t>B=650，23°，输送距离13.2m，输送高度5.6m</w:t>
            </w:r>
          </w:p>
        </w:tc>
        <w:tc>
          <w:tcPr>
            <w:tcW w:w="791" w:type="pct"/>
            <w:noWrap w:val="0"/>
            <w:vAlign w:val="center"/>
          </w:tcPr>
          <w:p w14:paraId="28ADFC24">
            <w:pPr>
              <w:jc w:val="center"/>
              <w:rPr>
                <w:rFonts w:ascii="Times New Roman"/>
                <w:color w:val="auto"/>
                <w:sz w:val="21"/>
                <w:szCs w:val="21"/>
              </w:rPr>
            </w:pPr>
            <w:r>
              <w:rPr>
                <w:sz w:val="21"/>
                <w:szCs w:val="21"/>
              </w:rPr>
              <w:t>1</w:t>
            </w:r>
          </w:p>
        </w:tc>
        <w:tc>
          <w:tcPr>
            <w:tcW w:w="794" w:type="pct"/>
            <w:tcBorders>
              <w:right w:val="nil"/>
            </w:tcBorders>
            <w:noWrap w:val="0"/>
            <w:vAlign w:val="center"/>
          </w:tcPr>
          <w:p w14:paraId="440152A1">
            <w:pPr>
              <w:jc w:val="center"/>
              <w:rPr>
                <w:rFonts w:ascii="Times New Roman"/>
                <w:bCs/>
                <w:color w:val="auto"/>
                <w:sz w:val="21"/>
                <w:szCs w:val="21"/>
              </w:rPr>
            </w:pPr>
            <w:r>
              <w:rPr>
                <w:sz w:val="21"/>
                <w:szCs w:val="21"/>
              </w:rPr>
              <w:t>条</w:t>
            </w:r>
          </w:p>
        </w:tc>
      </w:tr>
      <w:tr w14:paraId="1DE7FF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84" w:type="pct"/>
            <w:tcBorders>
              <w:left w:val="nil"/>
            </w:tcBorders>
            <w:noWrap w:val="0"/>
            <w:vAlign w:val="center"/>
          </w:tcPr>
          <w:p w14:paraId="2AC86157">
            <w:pPr>
              <w:pStyle w:val="203"/>
              <w:widowControl w:val="0"/>
              <w:spacing w:line="240" w:lineRule="atLeast"/>
              <w:ind w:left="-120" w:leftChars="-50" w:right="-120" w:rightChars="-50"/>
              <w:jc w:val="center"/>
              <w:rPr>
                <w:rFonts w:ascii="Times New Roman"/>
                <w:color w:val="auto"/>
                <w:sz w:val="21"/>
                <w:szCs w:val="21"/>
              </w:rPr>
            </w:pPr>
            <w:r>
              <w:rPr>
                <w:rFonts w:hint="eastAsia" w:ascii="Times New Roman"/>
                <w:color w:val="auto"/>
                <w:sz w:val="21"/>
                <w:szCs w:val="21"/>
                <w:lang w:eastAsia="zh-CN"/>
              </w:rPr>
              <w:t>24</w:t>
            </w:r>
          </w:p>
        </w:tc>
        <w:tc>
          <w:tcPr>
            <w:tcW w:w="1298" w:type="pct"/>
            <w:noWrap w:val="0"/>
            <w:vAlign w:val="center"/>
          </w:tcPr>
          <w:p w14:paraId="44C37E3C">
            <w:pPr>
              <w:jc w:val="center"/>
              <w:rPr>
                <w:rFonts w:ascii="Times New Roman"/>
                <w:color w:val="auto"/>
                <w:sz w:val="21"/>
                <w:szCs w:val="21"/>
              </w:rPr>
            </w:pPr>
            <w:r>
              <w:rPr>
                <w:sz w:val="21"/>
                <w:szCs w:val="21"/>
              </w:rPr>
              <w:t>振筛</w:t>
            </w:r>
          </w:p>
        </w:tc>
        <w:tc>
          <w:tcPr>
            <w:tcW w:w="1731" w:type="pct"/>
            <w:noWrap w:val="0"/>
            <w:vAlign w:val="center"/>
          </w:tcPr>
          <w:p w14:paraId="229C60CD">
            <w:pPr>
              <w:jc w:val="center"/>
              <w:rPr>
                <w:rFonts w:ascii="Times New Roman"/>
                <w:color w:val="auto"/>
                <w:sz w:val="21"/>
                <w:szCs w:val="21"/>
              </w:rPr>
            </w:pPr>
            <w:r>
              <w:rPr>
                <w:sz w:val="21"/>
                <w:szCs w:val="21"/>
              </w:rPr>
              <w:t>1300*3000，4kw</w:t>
            </w:r>
          </w:p>
        </w:tc>
        <w:tc>
          <w:tcPr>
            <w:tcW w:w="791" w:type="pct"/>
            <w:noWrap w:val="0"/>
            <w:vAlign w:val="center"/>
          </w:tcPr>
          <w:p w14:paraId="6C047448">
            <w:pPr>
              <w:jc w:val="center"/>
              <w:rPr>
                <w:rFonts w:ascii="Times New Roman"/>
                <w:color w:val="auto"/>
                <w:sz w:val="21"/>
                <w:szCs w:val="21"/>
              </w:rPr>
            </w:pPr>
            <w:r>
              <w:rPr>
                <w:sz w:val="21"/>
                <w:szCs w:val="21"/>
              </w:rPr>
              <w:t>1</w:t>
            </w:r>
          </w:p>
        </w:tc>
        <w:tc>
          <w:tcPr>
            <w:tcW w:w="794" w:type="pct"/>
            <w:tcBorders>
              <w:right w:val="nil"/>
            </w:tcBorders>
            <w:noWrap w:val="0"/>
            <w:vAlign w:val="center"/>
          </w:tcPr>
          <w:p w14:paraId="696175E1">
            <w:pPr>
              <w:jc w:val="center"/>
              <w:rPr>
                <w:rFonts w:ascii="Times New Roman"/>
                <w:bCs/>
                <w:color w:val="auto"/>
                <w:sz w:val="21"/>
                <w:szCs w:val="21"/>
              </w:rPr>
            </w:pPr>
            <w:r>
              <w:rPr>
                <w:sz w:val="21"/>
                <w:szCs w:val="21"/>
              </w:rPr>
              <w:t>台</w:t>
            </w:r>
          </w:p>
        </w:tc>
      </w:tr>
      <w:tr w14:paraId="57241C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84" w:type="pct"/>
            <w:tcBorders>
              <w:left w:val="nil"/>
            </w:tcBorders>
            <w:noWrap w:val="0"/>
            <w:vAlign w:val="center"/>
          </w:tcPr>
          <w:p w14:paraId="2602C133">
            <w:pPr>
              <w:pStyle w:val="203"/>
              <w:widowControl w:val="0"/>
              <w:spacing w:line="240" w:lineRule="atLeast"/>
              <w:ind w:left="-120" w:leftChars="-50" w:right="-120" w:rightChars="-50"/>
              <w:jc w:val="center"/>
              <w:rPr>
                <w:rFonts w:ascii="Times New Roman"/>
                <w:color w:val="auto"/>
                <w:sz w:val="21"/>
                <w:szCs w:val="21"/>
              </w:rPr>
            </w:pPr>
            <w:r>
              <w:rPr>
                <w:rFonts w:hint="eastAsia" w:ascii="Times New Roman"/>
                <w:color w:val="auto"/>
                <w:sz w:val="21"/>
                <w:szCs w:val="21"/>
                <w:lang w:eastAsia="zh-CN"/>
              </w:rPr>
              <w:t>25</w:t>
            </w:r>
          </w:p>
        </w:tc>
        <w:tc>
          <w:tcPr>
            <w:tcW w:w="1298" w:type="pct"/>
            <w:noWrap w:val="0"/>
            <w:vAlign w:val="center"/>
          </w:tcPr>
          <w:p w14:paraId="7238E6C3">
            <w:pPr>
              <w:jc w:val="center"/>
              <w:rPr>
                <w:rFonts w:ascii="Times New Roman"/>
                <w:color w:val="auto"/>
                <w:sz w:val="21"/>
                <w:szCs w:val="21"/>
              </w:rPr>
            </w:pPr>
            <w:r>
              <w:rPr>
                <w:sz w:val="21"/>
                <w:szCs w:val="21"/>
              </w:rPr>
              <w:t>窑前料仓振动给料机</w:t>
            </w:r>
          </w:p>
        </w:tc>
        <w:tc>
          <w:tcPr>
            <w:tcW w:w="1731" w:type="pct"/>
            <w:noWrap w:val="0"/>
            <w:vAlign w:val="center"/>
          </w:tcPr>
          <w:p w14:paraId="4377BE63">
            <w:pPr>
              <w:jc w:val="center"/>
              <w:rPr>
                <w:rFonts w:ascii="Times New Roman"/>
                <w:color w:val="auto"/>
                <w:sz w:val="21"/>
                <w:szCs w:val="21"/>
              </w:rPr>
            </w:pPr>
            <w:r>
              <w:rPr>
                <w:sz w:val="21"/>
                <w:szCs w:val="21"/>
              </w:rPr>
              <w:t>800*2500，2kw</w:t>
            </w:r>
          </w:p>
        </w:tc>
        <w:tc>
          <w:tcPr>
            <w:tcW w:w="791" w:type="pct"/>
            <w:noWrap w:val="0"/>
            <w:vAlign w:val="center"/>
          </w:tcPr>
          <w:p w14:paraId="09B254C2">
            <w:pPr>
              <w:jc w:val="center"/>
              <w:rPr>
                <w:rFonts w:ascii="Times New Roman"/>
                <w:bCs/>
                <w:color w:val="auto"/>
                <w:sz w:val="21"/>
                <w:szCs w:val="21"/>
              </w:rPr>
            </w:pPr>
            <w:r>
              <w:rPr>
                <w:sz w:val="21"/>
                <w:szCs w:val="21"/>
              </w:rPr>
              <w:t>1</w:t>
            </w:r>
          </w:p>
        </w:tc>
        <w:tc>
          <w:tcPr>
            <w:tcW w:w="794" w:type="pct"/>
            <w:tcBorders>
              <w:right w:val="nil"/>
            </w:tcBorders>
            <w:noWrap w:val="0"/>
            <w:vAlign w:val="center"/>
          </w:tcPr>
          <w:p w14:paraId="6169623B">
            <w:pPr>
              <w:jc w:val="center"/>
              <w:rPr>
                <w:rFonts w:ascii="Times New Roman"/>
                <w:b/>
                <w:bCs/>
                <w:color w:val="auto"/>
                <w:sz w:val="21"/>
                <w:szCs w:val="21"/>
                <w:lang w:eastAsia="zh-CN"/>
              </w:rPr>
            </w:pPr>
            <w:r>
              <w:rPr>
                <w:sz w:val="21"/>
                <w:szCs w:val="21"/>
              </w:rPr>
              <w:t>台</w:t>
            </w:r>
          </w:p>
        </w:tc>
      </w:tr>
      <w:tr w14:paraId="55BA7A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84" w:type="pct"/>
            <w:tcBorders>
              <w:left w:val="nil"/>
            </w:tcBorders>
            <w:noWrap w:val="0"/>
            <w:vAlign w:val="center"/>
          </w:tcPr>
          <w:p w14:paraId="30DD2B45">
            <w:pPr>
              <w:pStyle w:val="203"/>
              <w:widowControl w:val="0"/>
              <w:spacing w:line="240" w:lineRule="atLeast"/>
              <w:ind w:left="-120" w:leftChars="-50" w:right="-120" w:rightChars="-50"/>
              <w:jc w:val="center"/>
              <w:rPr>
                <w:rFonts w:ascii="Times New Roman"/>
                <w:color w:val="auto"/>
                <w:sz w:val="21"/>
                <w:szCs w:val="21"/>
              </w:rPr>
            </w:pPr>
            <w:r>
              <w:rPr>
                <w:rFonts w:hint="eastAsia" w:ascii="Times New Roman"/>
                <w:color w:val="auto"/>
                <w:sz w:val="21"/>
                <w:szCs w:val="21"/>
                <w:lang w:eastAsia="zh-CN"/>
              </w:rPr>
              <w:t>26</w:t>
            </w:r>
          </w:p>
        </w:tc>
        <w:tc>
          <w:tcPr>
            <w:tcW w:w="1298" w:type="pct"/>
            <w:noWrap w:val="0"/>
            <w:vAlign w:val="center"/>
          </w:tcPr>
          <w:p w14:paraId="32BFF524">
            <w:pPr>
              <w:jc w:val="center"/>
              <w:rPr>
                <w:rFonts w:ascii="Times New Roman"/>
                <w:color w:val="auto"/>
                <w:sz w:val="21"/>
                <w:szCs w:val="21"/>
              </w:rPr>
            </w:pPr>
            <w:r>
              <w:rPr>
                <w:sz w:val="21"/>
                <w:szCs w:val="21"/>
              </w:rPr>
              <w:t>上料卷扬机</w:t>
            </w:r>
          </w:p>
        </w:tc>
        <w:tc>
          <w:tcPr>
            <w:tcW w:w="1731" w:type="pct"/>
            <w:noWrap w:val="0"/>
            <w:vAlign w:val="center"/>
          </w:tcPr>
          <w:p w14:paraId="63691C17">
            <w:pPr>
              <w:jc w:val="center"/>
              <w:rPr>
                <w:rFonts w:ascii="Times New Roman"/>
                <w:color w:val="auto"/>
                <w:sz w:val="21"/>
                <w:szCs w:val="21"/>
              </w:rPr>
            </w:pPr>
            <w:r>
              <w:rPr>
                <w:sz w:val="21"/>
                <w:szCs w:val="21"/>
              </w:rPr>
              <w:t>JK-5T 绳长100米、37KW滚筒直径500，带主令控制</w:t>
            </w:r>
          </w:p>
        </w:tc>
        <w:tc>
          <w:tcPr>
            <w:tcW w:w="791" w:type="pct"/>
            <w:noWrap w:val="0"/>
            <w:vAlign w:val="center"/>
          </w:tcPr>
          <w:p w14:paraId="28ECE93D">
            <w:pPr>
              <w:jc w:val="center"/>
              <w:rPr>
                <w:rFonts w:ascii="Times New Roman"/>
                <w:bCs/>
                <w:color w:val="auto"/>
                <w:sz w:val="21"/>
                <w:szCs w:val="21"/>
              </w:rPr>
            </w:pPr>
            <w:r>
              <w:rPr>
                <w:sz w:val="21"/>
                <w:szCs w:val="21"/>
              </w:rPr>
              <w:t>1</w:t>
            </w:r>
          </w:p>
        </w:tc>
        <w:tc>
          <w:tcPr>
            <w:tcW w:w="794" w:type="pct"/>
            <w:tcBorders>
              <w:right w:val="nil"/>
            </w:tcBorders>
            <w:noWrap w:val="0"/>
            <w:vAlign w:val="center"/>
          </w:tcPr>
          <w:p w14:paraId="1AA043BF">
            <w:pPr>
              <w:jc w:val="center"/>
              <w:rPr>
                <w:rFonts w:ascii="Times New Roman"/>
                <w:bCs/>
                <w:color w:val="auto"/>
                <w:sz w:val="21"/>
                <w:szCs w:val="21"/>
              </w:rPr>
            </w:pPr>
            <w:r>
              <w:rPr>
                <w:sz w:val="21"/>
                <w:szCs w:val="21"/>
              </w:rPr>
              <w:t>套</w:t>
            </w:r>
          </w:p>
        </w:tc>
      </w:tr>
      <w:tr w14:paraId="37296B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84" w:type="pct"/>
            <w:tcBorders>
              <w:left w:val="nil"/>
            </w:tcBorders>
            <w:noWrap w:val="0"/>
            <w:vAlign w:val="center"/>
          </w:tcPr>
          <w:p w14:paraId="5E68AD7D">
            <w:pPr>
              <w:pStyle w:val="203"/>
              <w:widowControl w:val="0"/>
              <w:spacing w:line="240" w:lineRule="atLeast"/>
              <w:ind w:left="-120" w:leftChars="-50" w:right="-120" w:rightChars="-50"/>
              <w:jc w:val="center"/>
              <w:rPr>
                <w:rFonts w:hint="eastAsia" w:ascii="Times New Roman"/>
                <w:color w:val="auto"/>
                <w:sz w:val="21"/>
                <w:szCs w:val="21"/>
                <w:lang w:eastAsia="zh-CN"/>
              </w:rPr>
            </w:pPr>
            <w:r>
              <w:rPr>
                <w:rFonts w:hint="eastAsia" w:ascii="Times New Roman"/>
                <w:color w:val="auto"/>
                <w:sz w:val="21"/>
                <w:szCs w:val="21"/>
                <w:lang w:eastAsia="zh-CN"/>
              </w:rPr>
              <w:t>27</w:t>
            </w:r>
          </w:p>
        </w:tc>
        <w:tc>
          <w:tcPr>
            <w:tcW w:w="1298" w:type="pct"/>
            <w:noWrap w:val="0"/>
            <w:vAlign w:val="center"/>
          </w:tcPr>
          <w:p w14:paraId="04A99CAC">
            <w:pPr>
              <w:jc w:val="center"/>
              <w:rPr>
                <w:rFonts w:ascii="Times New Roman"/>
                <w:color w:val="auto"/>
                <w:sz w:val="21"/>
                <w:szCs w:val="21"/>
              </w:rPr>
            </w:pPr>
            <w:r>
              <w:rPr>
                <w:sz w:val="21"/>
                <w:szCs w:val="21"/>
              </w:rPr>
              <w:t>助燃风机</w:t>
            </w:r>
          </w:p>
        </w:tc>
        <w:tc>
          <w:tcPr>
            <w:tcW w:w="1731" w:type="pct"/>
            <w:noWrap w:val="0"/>
            <w:vAlign w:val="center"/>
          </w:tcPr>
          <w:p w14:paraId="16E48202">
            <w:pPr>
              <w:jc w:val="center"/>
              <w:rPr>
                <w:rFonts w:ascii="Times New Roman"/>
                <w:color w:val="auto"/>
                <w:sz w:val="21"/>
                <w:szCs w:val="21"/>
              </w:rPr>
            </w:pPr>
            <w:r>
              <w:rPr>
                <w:sz w:val="21"/>
                <w:szCs w:val="21"/>
              </w:rPr>
              <w:t>SHC150-1.21-90KW</w:t>
            </w:r>
          </w:p>
        </w:tc>
        <w:tc>
          <w:tcPr>
            <w:tcW w:w="791" w:type="pct"/>
            <w:noWrap w:val="0"/>
            <w:vAlign w:val="center"/>
          </w:tcPr>
          <w:p w14:paraId="735F6877">
            <w:pPr>
              <w:jc w:val="center"/>
              <w:rPr>
                <w:rFonts w:ascii="Times New Roman"/>
                <w:bCs/>
                <w:color w:val="auto"/>
                <w:sz w:val="21"/>
                <w:szCs w:val="21"/>
              </w:rPr>
            </w:pPr>
            <w:r>
              <w:rPr>
                <w:sz w:val="21"/>
                <w:szCs w:val="21"/>
              </w:rPr>
              <w:t>1</w:t>
            </w:r>
          </w:p>
        </w:tc>
        <w:tc>
          <w:tcPr>
            <w:tcW w:w="794" w:type="pct"/>
            <w:tcBorders>
              <w:right w:val="nil"/>
            </w:tcBorders>
            <w:noWrap w:val="0"/>
            <w:vAlign w:val="center"/>
          </w:tcPr>
          <w:p w14:paraId="5B319B05">
            <w:pPr>
              <w:jc w:val="center"/>
              <w:rPr>
                <w:rFonts w:ascii="Times New Roman"/>
                <w:bCs/>
                <w:color w:val="auto"/>
                <w:sz w:val="21"/>
                <w:szCs w:val="21"/>
              </w:rPr>
            </w:pPr>
            <w:r>
              <w:rPr>
                <w:sz w:val="21"/>
                <w:szCs w:val="21"/>
              </w:rPr>
              <w:t>台</w:t>
            </w:r>
          </w:p>
        </w:tc>
      </w:tr>
      <w:tr w14:paraId="352CDF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84" w:type="pct"/>
            <w:tcBorders>
              <w:left w:val="nil"/>
            </w:tcBorders>
            <w:noWrap w:val="0"/>
            <w:vAlign w:val="center"/>
          </w:tcPr>
          <w:p w14:paraId="482CC32D">
            <w:pPr>
              <w:pStyle w:val="203"/>
              <w:widowControl w:val="0"/>
              <w:spacing w:line="240" w:lineRule="atLeast"/>
              <w:ind w:left="-120" w:leftChars="-50" w:right="-120" w:rightChars="-50"/>
              <w:jc w:val="center"/>
              <w:rPr>
                <w:rFonts w:hint="eastAsia" w:ascii="Times New Roman"/>
                <w:color w:val="auto"/>
                <w:sz w:val="21"/>
                <w:szCs w:val="21"/>
                <w:lang w:eastAsia="zh-CN"/>
              </w:rPr>
            </w:pPr>
            <w:r>
              <w:rPr>
                <w:rFonts w:hint="eastAsia" w:ascii="Times New Roman"/>
                <w:color w:val="auto"/>
                <w:sz w:val="21"/>
                <w:szCs w:val="21"/>
                <w:lang w:eastAsia="zh-CN"/>
              </w:rPr>
              <w:t>28</w:t>
            </w:r>
          </w:p>
        </w:tc>
        <w:tc>
          <w:tcPr>
            <w:tcW w:w="1298" w:type="pct"/>
            <w:noWrap w:val="0"/>
            <w:vAlign w:val="center"/>
          </w:tcPr>
          <w:p w14:paraId="726571C3">
            <w:pPr>
              <w:jc w:val="center"/>
              <w:rPr>
                <w:rFonts w:ascii="Times New Roman"/>
                <w:color w:val="auto"/>
                <w:sz w:val="21"/>
                <w:szCs w:val="21"/>
              </w:rPr>
            </w:pPr>
            <w:r>
              <w:rPr>
                <w:sz w:val="21"/>
                <w:szCs w:val="21"/>
              </w:rPr>
              <w:t>冷却风机</w:t>
            </w:r>
          </w:p>
        </w:tc>
        <w:tc>
          <w:tcPr>
            <w:tcW w:w="1731" w:type="pct"/>
            <w:noWrap w:val="0"/>
            <w:vAlign w:val="center"/>
          </w:tcPr>
          <w:p w14:paraId="3D46D64D">
            <w:pPr>
              <w:jc w:val="center"/>
              <w:rPr>
                <w:rFonts w:ascii="Times New Roman"/>
                <w:color w:val="auto"/>
                <w:sz w:val="21"/>
                <w:szCs w:val="21"/>
              </w:rPr>
            </w:pPr>
            <w:r>
              <w:rPr>
                <w:sz w:val="21"/>
                <w:szCs w:val="21"/>
              </w:rPr>
              <w:t>SHC150-1.21-90KW</w:t>
            </w:r>
          </w:p>
        </w:tc>
        <w:tc>
          <w:tcPr>
            <w:tcW w:w="791" w:type="pct"/>
            <w:noWrap w:val="0"/>
            <w:vAlign w:val="center"/>
          </w:tcPr>
          <w:p w14:paraId="17692EEB">
            <w:pPr>
              <w:jc w:val="center"/>
              <w:rPr>
                <w:rFonts w:ascii="Times New Roman"/>
                <w:bCs/>
                <w:color w:val="auto"/>
                <w:sz w:val="21"/>
                <w:szCs w:val="21"/>
              </w:rPr>
            </w:pPr>
            <w:r>
              <w:rPr>
                <w:sz w:val="21"/>
                <w:szCs w:val="21"/>
              </w:rPr>
              <w:t>1</w:t>
            </w:r>
          </w:p>
        </w:tc>
        <w:tc>
          <w:tcPr>
            <w:tcW w:w="794" w:type="pct"/>
            <w:tcBorders>
              <w:right w:val="nil"/>
            </w:tcBorders>
            <w:noWrap w:val="0"/>
            <w:vAlign w:val="center"/>
          </w:tcPr>
          <w:p w14:paraId="2AE00A76">
            <w:pPr>
              <w:jc w:val="center"/>
              <w:rPr>
                <w:rFonts w:ascii="Times New Roman"/>
                <w:bCs/>
                <w:color w:val="auto"/>
                <w:sz w:val="21"/>
                <w:szCs w:val="21"/>
              </w:rPr>
            </w:pPr>
            <w:r>
              <w:rPr>
                <w:sz w:val="21"/>
                <w:szCs w:val="21"/>
              </w:rPr>
              <w:t>台</w:t>
            </w:r>
          </w:p>
        </w:tc>
      </w:tr>
      <w:tr w14:paraId="73E9C0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84" w:type="pct"/>
            <w:tcBorders>
              <w:left w:val="nil"/>
            </w:tcBorders>
            <w:noWrap w:val="0"/>
            <w:vAlign w:val="center"/>
          </w:tcPr>
          <w:p w14:paraId="5389411A">
            <w:pPr>
              <w:pStyle w:val="203"/>
              <w:widowControl w:val="0"/>
              <w:spacing w:line="240" w:lineRule="atLeast"/>
              <w:ind w:left="-120" w:leftChars="-50" w:right="-120" w:rightChars="-50"/>
              <w:jc w:val="center"/>
              <w:rPr>
                <w:rFonts w:hint="eastAsia" w:ascii="Times New Roman"/>
                <w:color w:val="auto"/>
                <w:sz w:val="21"/>
                <w:szCs w:val="21"/>
                <w:lang w:eastAsia="zh-CN"/>
              </w:rPr>
            </w:pPr>
            <w:r>
              <w:rPr>
                <w:rFonts w:hint="eastAsia" w:ascii="Times New Roman"/>
                <w:color w:val="auto"/>
                <w:sz w:val="21"/>
                <w:szCs w:val="21"/>
                <w:lang w:eastAsia="zh-CN"/>
              </w:rPr>
              <w:t>29</w:t>
            </w:r>
          </w:p>
        </w:tc>
        <w:tc>
          <w:tcPr>
            <w:tcW w:w="1298" w:type="pct"/>
            <w:noWrap w:val="0"/>
            <w:vAlign w:val="center"/>
          </w:tcPr>
          <w:p w14:paraId="4F7B6F3D">
            <w:pPr>
              <w:jc w:val="center"/>
              <w:rPr>
                <w:rFonts w:ascii="Times New Roman"/>
                <w:color w:val="auto"/>
                <w:sz w:val="21"/>
                <w:szCs w:val="21"/>
              </w:rPr>
            </w:pPr>
            <w:r>
              <w:rPr>
                <w:sz w:val="21"/>
                <w:szCs w:val="21"/>
              </w:rPr>
              <w:t>液压插板阀</w:t>
            </w:r>
          </w:p>
        </w:tc>
        <w:tc>
          <w:tcPr>
            <w:tcW w:w="1731" w:type="pct"/>
            <w:noWrap w:val="0"/>
            <w:vAlign w:val="center"/>
          </w:tcPr>
          <w:p w14:paraId="295043E3">
            <w:pPr>
              <w:jc w:val="center"/>
              <w:rPr>
                <w:rFonts w:ascii="Times New Roman"/>
                <w:color w:val="auto"/>
                <w:sz w:val="21"/>
                <w:szCs w:val="21"/>
              </w:rPr>
            </w:pPr>
            <w:r>
              <w:rPr>
                <w:sz w:val="21"/>
                <w:szCs w:val="21"/>
              </w:rPr>
              <w:t>500*500</w:t>
            </w:r>
          </w:p>
        </w:tc>
        <w:tc>
          <w:tcPr>
            <w:tcW w:w="791" w:type="pct"/>
            <w:noWrap w:val="0"/>
            <w:vAlign w:val="center"/>
          </w:tcPr>
          <w:p w14:paraId="19602BE2">
            <w:pPr>
              <w:jc w:val="center"/>
              <w:rPr>
                <w:rFonts w:ascii="Times New Roman"/>
                <w:color w:val="auto"/>
                <w:sz w:val="21"/>
                <w:szCs w:val="21"/>
              </w:rPr>
            </w:pPr>
            <w:r>
              <w:rPr>
                <w:sz w:val="21"/>
                <w:szCs w:val="21"/>
              </w:rPr>
              <w:t>2</w:t>
            </w:r>
          </w:p>
        </w:tc>
        <w:tc>
          <w:tcPr>
            <w:tcW w:w="794" w:type="pct"/>
            <w:tcBorders>
              <w:right w:val="nil"/>
            </w:tcBorders>
            <w:noWrap w:val="0"/>
            <w:vAlign w:val="center"/>
          </w:tcPr>
          <w:p w14:paraId="78B5551C">
            <w:pPr>
              <w:jc w:val="center"/>
              <w:rPr>
                <w:rFonts w:hint="eastAsia" w:ascii="Times New Roman"/>
                <w:color w:val="auto"/>
                <w:sz w:val="21"/>
                <w:szCs w:val="21"/>
                <w:lang w:eastAsia="zh-CN"/>
              </w:rPr>
            </w:pPr>
            <w:r>
              <w:rPr>
                <w:sz w:val="21"/>
                <w:szCs w:val="21"/>
              </w:rPr>
              <w:t>台</w:t>
            </w:r>
          </w:p>
        </w:tc>
      </w:tr>
      <w:tr w14:paraId="3AAE75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84" w:type="pct"/>
            <w:tcBorders>
              <w:left w:val="nil"/>
            </w:tcBorders>
            <w:noWrap w:val="0"/>
            <w:vAlign w:val="center"/>
          </w:tcPr>
          <w:p w14:paraId="05E1B26A">
            <w:pPr>
              <w:pStyle w:val="203"/>
              <w:widowControl w:val="0"/>
              <w:spacing w:line="240" w:lineRule="atLeast"/>
              <w:ind w:left="-120" w:leftChars="-50" w:right="-120" w:rightChars="-50"/>
              <w:jc w:val="center"/>
              <w:rPr>
                <w:rFonts w:hint="eastAsia" w:ascii="Times New Roman"/>
                <w:color w:val="auto"/>
                <w:sz w:val="21"/>
                <w:szCs w:val="21"/>
                <w:lang w:eastAsia="zh-CN"/>
              </w:rPr>
            </w:pPr>
            <w:r>
              <w:rPr>
                <w:rFonts w:hint="eastAsia" w:ascii="Times New Roman"/>
                <w:color w:val="auto"/>
                <w:sz w:val="21"/>
                <w:szCs w:val="21"/>
                <w:lang w:eastAsia="zh-CN"/>
              </w:rPr>
              <w:t>30</w:t>
            </w:r>
          </w:p>
        </w:tc>
        <w:tc>
          <w:tcPr>
            <w:tcW w:w="1298" w:type="pct"/>
            <w:noWrap w:val="0"/>
            <w:vAlign w:val="center"/>
          </w:tcPr>
          <w:p w14:paraId="3EED1F83">
            <w:pPr>
              <w:jc w:val="center"/>
              <w:rPr>
                <w:rFonts w:ascii="Times New Roman"/>
                <w:color w:val="auto"/>
                <w:sz w:val="21"/>
                <w:szCs w:val="21"/>
              </w:rPr>
            </w:pPr>
            <w:r>
              <w:rPr>
                <w:sz w:val="21"/>
                <w:szCs w:val="21"/>
              </w:rPr>
              <w:t>耐热出灰皮带机</w:t>
            </w:r>
          </w:p>
        </w:tc>
        <w:tc>
          <w:tcPr>
            <w:tcW w:w="1731" w:type="pct"/>
            <w:noWrap w:val="0"/>
            <w:vAlign w:val="center"/>
          </w:tcPr>
          <w:p w14:paraId="07595579">
            <w:pPr>
              <w:jc w:val="center"/>
              <w:rPr>
                <w:rFonts w:ascii="Times New Roman"/>
                <w:color w:val="auto"/>
                <w:sz w:val="21"/>
                <w:szCs w:val="21"/>
              </w:rPr>
            </w:pPr>
            <w:r>
              <w:rPr>
                <w:sz w:val="21"/>
                <w:szCs w:val="21"/>
              </w:rPr>
              <w:t>B=800，12度，输送距离27.6m，输送高度5.8m，耐高温280度</w:t>
            </w:r>
          </w:p>
        </w:tc>
        <w:tc>
          <w:tcPr>
            <w:tcW w:w="791" w:type="pct"/>
            <w:noWrap w:val="0"/>
            <w:vAlign w:val="center"/>
          </w:tcPr>
          <w:p w14:paraId="595AC237">
            <w:pPr>
              <w:jc w:val="center"/>
              <w:rPr>
                <w:rFonts w:ascii="Times New Roman"/>
                <w:color w:val="auto"/>
                <w:sz w:val="21"/>
                <w:szCs w:val="21"/>
              </w:rPr>
            </w:pPr>
            <w:r>
              <w:rPr>
                <w:sz w:val="21"/>
                <w:szCs w:val="21"/>
              </w:rPr>
              <w:t>1</w:t>
            </w:r>
          </w:p>
        </w:tc>
        <w:tc>
          <w:tcPr>
            <w:tcW w:w="794" w:type="pct"/>
            <w:tcBorders>
              <w:right w:val="nil"/>
            </w:tcBorders>
            <w:noWrap w:val="0"/>
            <w:vAlign w:val="center"/>
          </w:tcPr>
          <w:p w14:paraId="447F757A">
            <w:pPr>
              <w:jc w:val="center"/>
              <w:rPr>
                <w:rFonts w:hint="eastAsia" w:ascii="Times New Roman"/>
                <w:color w:val="auto"/>
                <w:sz w:val="21"/>
                <w:szCs w:val="21"/>
                <w:lang w:eastAsia="zh-CN"/>
              </w:rPr>
            </w:pPr>
            <w:r>
              <w:rPr>
                <w:sz w:val="21"/>
                <w:szCs w:val="21"/>
              </w:rPr>
              <w:t>台</w:t>
            </w:r>
          </w:p>
        </w:tc>
      </w:tr>
      <w:tr w14:paraId="79E2AE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84" w:type="pct"/>
            <w:tcBorders>
              <w:left w:val="nil"/>
              <w:bottom w:val="single" w:color="auto" w:sz="4" w:space="0"/>
            </w:tcBorders>
            <w:noWrap w:val="0"/>
            <w:vAlign w:val="center"/>
          </w:tcPr>
          <w:p w14:paraId="2B4B2B7F">
            <w:pPr>
              <w:pStyle w:val="203"/>
              <w:widowControl w:val="0"/>
              <w:spacing w:line="240" w:lineRule="atLeast"/>
              <w:ind w:left="-120" w:leftChars="-50" w:right="-120" w:rightChars="-50"/>
              <w:jc w:val="center"/>
              <w:rPr>
                <w:rFonts w:hint="eastAsia" w:ascii="Times New Roman"/>
                <w:color w:val="auto"/>
                <w:sz w:val="21"/>
                <w:szCs w:val="21"/>
                <w:lang w:eastAsia="zh-CN"/>
              </w:rPr>
            </w:pPr>
            <w:r>
              <w:rPr>
                <w:rFonts w:hint="eastAsia" w:ascii="Times New Roman"/>
                <w:color w:val="auto"/>
                <w:sz w:val="21"/>
                <w:szCs w:val="21"/>
                <w:lang w:eastAsia="zh-CN"/>
              </w:rPr>
              <w:t>31</w:t>
            </w:r>
          </w:p>
        </w:tc>
        <w:tc>
          <w:tcPr>
            <w:tcW w:w="1298" w:type="pct"/>
            <w:tcBorders>
              <w:bottom w:val="single" w:color="auto" w:sz="4" w:space="0"/>
            </w:tcBorders>
            <w:noWrap w:val="0"/>
            <w:vAlign w:val="center"/>
          </w:tcPr>
          <w:p w14:paraId="2B69FF0B">
            <w:pPr>
              <w:jc w:val="center"/>
              <w:rPr>
                <w:rFonts w:ascii="Times New Roman"/>
                <w:color w:val="auto"/>
                <w:sz w:val="21"/>
                <w:szCs w:val="21"/>
              </w:rPr>
            </w:pPr>
            <w:r>
              <w:rPr>
                <w:sz w:val="21"/>
                <w:szCs w:val="21"/>
              </w:rPr>
              <w:t>破碎机喂料皮带机</w:t>
            </w:r>
          </w:p>
        </w:tc>
        <w:tc>
          <w:tcPr>
            <w:tcW w:w="1731" w:type="pct"/>
            <w:tcBorders>
              <w:bottom w:val="single" w:color="auto" w:sz="4" w:space="0"/>
            </w:tcBorders>
            <w:noWrap w:val="0"/>
            <w:vAlign w:val="center"/>
          </w:tcPr>
          <w:p w14:paraId="0CC69E7E">
            <w:pPr>
              <w:jc w:val="center"/>
              <w:rPr>
                <w:rFonts w:ascii="Times New Roman"/>
                <w:color w:val="auto"/>
                <w:sz w:val="21"/>
                <w:szCs w:val="21"/>
              </w:rPr>
            </w:pPr>
            <w:r>
              <w:rPr>
                <w:sz w:val="21"/>
                <w:szCs w:val="21"/>
              </w:rPr>
              <w:t>B=650，0°，输送距离3.9m，输送高度0m</w:t>
            </w:r>
          </w:p>
        </w:tc>
        <w:tc>
          <w:tcPr>
            <w:tcW w:w="791" w:type="pct"/>
            <w:tcBorders>
              <w:bottom w:val="single" w:color="auto" w:sz="4" w:space="0"/>
            </w:tcBorders>
            <w:noWrap w:val="0"/>
            <w:vAlign w:val="center"/>
          </w:tcPr>
          <w:p w14:paraId="2055DEE4">
            <w:pPr>
              <w:jc w:val="center"/>
              <w:rPr>
                <w:rFonts w:ascii="Times New Roman"/>
                <w:color w:val="auto"/>
                <w:sz w:val="21"/>
                <w:szCs w:val="21"/>
              </w:rPr>
            </w:pPr>
            <w:r>
              <w:rPr>
                <w:sz w:val="21"/>
                <w:szCs w:val="21"/>
              </w:rPr>
              <w:t>1</w:t>
            </w:r>
          </w:p>
        </w:tc>
        <w:tc>
          <w:tcPr>
            <w:tcW w:w="794" w:type="pct"/>
            <w:tcBorders>
              <w:bottom w:val="single" w:color="auto" w:sz="4" w:space="0"/>
              <w:right w:val="nil"/>
            </w:tcBorders>
            <w:noWrap w:val="0"/>
            <w:vAlign w:val="center"/>
          </w:tcPr>
          <w:p w14:paraId="7D3AAE49">
            <w:pPr>
              <w:jc w:val="center"/>
              <w:rPr>
                <w:rFonts w:hint="eastAsia" w:ascii="Times New Roman"/>
                <w:color w:val="auto"/>
                <w:sz w:val="21"/>
                <w:szCs w:val="21"/>
                <w:lang w:eastAsia="zh-CN"/>
              </w:rPr>
            </w:pPr>
            <w:r>
              <w:rPr>
                <w:sz w:val="21"/>
                <w:szCs w:val="21"/>
              </w:rPr>
              <w:t>台</w:t>
            </w:r>
          </w:p>
        </w:tc>
      </w:tr>
      <w:tr w14:paraId="08576D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84" w:type="pct"/>
            <w:tcBorders>
              <w:left w:val="nil"/>
              <w:bottom w:val="single" w:color="auto" w:sz="4" w:space="0"/>
            </w:tcBorders>
            <w:noWrap w:val="0"/>
            <w:vAlign w:val="center"/>
          </w:tcPr>
          <w:p w14:paraId="591E252D">
            <w:pPr>
              <w:pStyle w:val="203"/>
              <w:widowControl w:val="0"/>
              <w:spacing w:line="240" w:lineRule="atLeast"/>
              <w:ind w:left="-120" w:leftChars="-50" w:right="-120" w:rightChars="-50"/>
              <w:jc w:val="center"/>
              <w:rPr>
                <w:rFonts w:hint="eastAsia" w:ascii="Times New Roman"/>
                <w:color w:val="auto"/>
                <w:sz w:val="21"/>
                <w:szCs w:val="21"/>
                <w:lang w:eastAsia="zh-CN"/>
              </w:rPr>
            </w:pPr>
            <w:r>
              <w:rPr>
                <w:rFonts w:hint="eastAsia" w:ascii="Times New Roman"/>
                <w:color w:val="auto"/>
                <w:sz w:val="21"/>
                <w:szCs w:val="21"/>
                <w:lang w:eastAsia="zh-CN"/>
              </w:rPr>
              <w:t>32</w:t>
            </w:r>
          </w:p>
        </w:tc>
        <w:tc>
          <w:tcPr>
            <w:tcW w:w="1298" w:type="pct"/>
            <w:tcBorders>
              <w:bottom w:val="single" w:color="auto" w:sz="4" w:space="0"/>
            </w:tcBorders>
            <w:noWrap w:val="0"/>
            <w:vAlign w:val="center"/>
          </w:tcPr>
          <w:p w14:paraId="0CB31979">
            <w:pPr>
              <w:jc w:val="center"/>
              <w:rPr>
                <w:rFonts w:hint="eastAsia" w:ascii="Times New Roman"/>
                <w:color w:val="auto"/>
                <w:sz w:val="21"/>
                <w:szCs w:val="21"/>
                <w:lang w:eastAsia="zh-CN"/>
              </w:rPr>
            </w:pPr>
            <w:r>
              <w:rPr>
                <w:sz w:val="21"/>
                <w:szCs w:val="21"/>
              </w:rPr>
              <w:t>破碎机</w:t>
            </w:r>
          </w:p>
        </w:tc>
        <w:tc>
          <w:tcPr>
            <w:tcW w:w="1731" w:type="pct"/>
            <w:tcBorders>
              <w:bottom w:val="single" w:color="auto" w:sz="4" w:space="0"/>
            </w:tcBorders>
            <w:noWrap w:val="0"/>
            <w:vAlign w:val="center"/>
          </w:tcPr>
          <w:p w14:paraId="1560A6B1">
            <w:pPr>
              <w:jc w:val="center"/>
              <w:rPr>
                <w:rFonts w:hint="eastAsia" w:ascii="Times New Roman"/>
                <w:color w:val="auto"/>
                <w:sz w:val="21"/>
                <w:szCs w:val="21"/>
                <w:highlight w:val="yellow"/>
                <w:lang w:eastAsia="zh-CN"/>
              </w:rPr>
            </w:pPr>
            <w:r>
              <w:rPr>
                <w:sz w:val="21"/>
                <w:szCs w:val="21"/>
              </w:rPr>
              <w:t>HYFCW90，30-40吨/小时，进料粒度150，破碎粒度≤5mm，电机型号55kw4级。</w:t>
            </w:r>
          </w:p>
        </w:tc>
        <w:tc>
          <w:tcPr>
            <w:tcW w:w="791" w:type="pct"/>
            <w:tcBorders>
              <w:bottom w:val="single" w:color="auto" w:sz="4" w:space="0"/>
            </w:tcBorders>
            <w:noWrap w:val="0"/>
            <w:vAlign w:val="center"/>
          </w:tcPr>
          <w:p w14:paraId="6B6D4342">
            <w:pPr>
              <w:jc w:val="center"/>
              <w:rPr>
                <w:rFonts w:hint="eastAsia" w:ascii="Times New Roman"/>
                <w:color w:val="auto"/>
                <w:sz w:val="21"/>
                <w:szCs w:val="21"/>
              </w:rPr>
            </w:pPr>
            <w:r>
              <w:rPr>
                <w:sz w:val="21"/>
                <w:szCs w:val="21"/>
              </w:rPr>
              <w:t>1</w:t>
            </w:r>
          </w:p>
        </w:tc>
        <w:tc>
          <w:tcPr>
            <w:tcW w:w="794" w:type="pct"/>
            <w:tcBorders>
              <w:bottom w:val="single" w:color="auto" w:sz="4" w:space="0"/>
              <w:right w:val="nil"/>
            </w:tcBorders>
            <w:noWrap w:val="0"/>
            <w:vAlign w:val="center"/>
          </w:tcPr>
          <w:p w14:paraId="61BDEE85">
            <w:pPr>
              <w:jc w:val="center"/>
              <w:rPr>
                <w:rFonts w:hint="eastAsia" w:ascii="Times New Roman"/>
                <w:color w:val="auto"/>
                <w:sz w:val="21"/>
                <w:szCs w:val="21"/>
                <w:lang w:eastAsia="zh-CN"/>
              </w:rPr>
            </w:pPr>
            <w:r>
              <w:rPr>
                <w:sz w:val="21"/>
                <w:szCs w:val="21"/>
              </w:rPr>
              <w:t>台</w:t>
            </w:r>
          </w:p>
        </w:tc>
      </w:tr>
      <w:tr w14:paraId="59044D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84" w:type="pct"/>
            <w:tcBorders>
              <w:left w:val="nil"/>
            </w:tcBorders>
            <w:noWrap w:val="0"/>
            <w:vAlign w:val="center"/>
          </w:tcPr>
          <w:p w14:paraId="6A0AFA48">
            <w:pPr>
              <w:pStyle w:val="203"/>
              <w:widowControl w:val="0"/>
              <w:spacing w:line="240" w:lineRule="atLeast"/>
              <w:ind w:left="-120" w:leftChars="-50" w:right="-120" w:rightChars="-50"/>
              <w:jc w:val="center"/>
              <w:rPr>
                <w:rFonts w:ascii="Times New Roman"/>
                <w:color w:val="auto"/>
                <w:sz w:val="21"/>
                <w:szCs w:val="21"/>
                <w:lang w:eastAsia="zh-CN"/>
              </w:rPr>
            </w:pPr>
            <w:r>
              <w:rPr>
                <w:rFonts w:hint="eastAsia" w:ascii="Times New Roman"/>
                <w:color w:val="auto"/>
                <w:sz w:val="21"/>
                <w:szCs w:val="21"/>
                <w:lang w:eastAsia="zh-CN"/>
              </w:rPr>
              <w:t>33</w:t>
            </w:r>
          </w:p>
        </w:tc>
        <w:tc>
          <w:tcPr>
            <w:tcW w:w="1298" w:type="pct"/>
            <w:noWrap w:val="0"/>
            <w:vAlign w:val="center"/>
          </w:tcPr>
          <w:p w14:paraId="3822204D">
            <w:pPr>
              <w:jc w:val="center"/>
              <w:rPr>
                <w:rFonts w:ascii="Times New Roman"/>
                <w:color w:val="auto"/>
                <w:sz w:val="21"/>
                <w:szCs w:val="21"/>
              </w:rPr>
            </w:pPr>
            <w:r>
              <w:rPr>
                <w:sz w:val="21"/>
                <w:szCs w:val="21"/>
              </w:rPr>
              <w:t>斗提</w:t>
            </w:r>
          </w:p>
        </w:tc>
        <w:tc>
          <w:tcPr>
            <w:tcW w:w="1731" w:type="pct"/>
            <w:noWrap w:val="0"/>
            <w:vAlign w:val="center"/>
          </w:tcPr>
          <w:p w14:paraId="06BD9414">
            <w:pPr>
              <w:jc w:val="center"/>
              <w:rPr>
                <w:rFonts w:ascii="Times New Roman"/>
                <w:color w:val="auto"/>
                <w:sz w:val="21"/>
                <w:szCs w:val="21"/>
              </w:rPr>
            </w:pPr>
            <w:r>
              <w:rPr>
                <w:sz w:val="21"/>
                <w:szCs w:val="21"/>
              </w:rPr>
              <w:t>NE50，提升高度21m</w:t>
            </w:r>
          </w:p>
        </w:tc>
        <w:tc>
          <w:tcPr>
            <w:tcW w:w="791" w:type="pct"/>
            <w:noWrap w:val="0"/>
            <w:vAlign w:val="center"/>
          </w:tcPr>
          <w:p w14:paraId="314C160C">
            <w:pPr>
              <w:jc w:val="center"/>
              <w:rPr>
                <w:rFonts w:ascii="Times New Roman"/>
                <w:color w:val="auto"/>
                <w:sz w:val="21"/>
                <w:szCs w:val="21"/>
              </w:rPr>
            </w:pPr>
            <w:r>
              <w:rPr>
                <w:sz w:val="21"/>
                <w:szCs w:val="21"/>
              </w:rPr>
              <w:t>1</w:t>
            </w:r>
          </w:p>
        </w:tc>
        <w:tc>
          <w:tcPr>
            <w:tcW w:w="794" w:type="pct"/>
            <w:tcBorders>
              <w:right w:val="nil"/>
            </w:tcBorders>
            <w:noWrap w:val="0"/>
            <w:vAlign w:val="center"/>
          </w:tcPr>
          <w:p w14:paraId="0923E164">
            <w:pPr>
              <w:jc w:val="center"/>
              <w:rPr>
                <w:rFonts w:ascii="Times New Roman"/>
                <w:bCs/>
                <w:color w:val="auto"/>
                <w:sz w:val="21"/>
                <w:szCs w:val="21"/>
              </w:rPr>
            </w:pPr>
            <w:r>
              <w:rPr>
                <w:sz w:val="21"/>
                <w:szCs w:val="21"/>
              </w:rPr>
              <w:t>台</w:t>
            </w:r>
          </w:p>
        </w:tc>
      </w:tr>
      <w:tr w14:paraId="0C7FB5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84" w:type="pct"/>
            <w:tcBorders>
              <w:left w:val="nil"/>
            </w:tcBorders>
            <w:noWrap w:val="0"/>
            <w:vAlign w:val="center"/>
          </w:tcPr>
          <w:p w14:paraId="28CD662E">
            <w:pPr>
              <w:pStyle w:val="203"/>
              <w:widowControl w:val="0"/>
              <w:spacing w:line="240" w:lineRule="atLeast"/>
              <w:ind w:left="-120" w:leftChars="-50" w:right="-120" w:rightChars="-50"/>
              <w:jc w:val="center"/>
              <w:rPr>
                <w:rFonts w:ascii="Times New Roman"/>
                <w:color w:val="auto"/>
                <w:sz w:val="21"/>
                <w:szCs w:val="21"/>
                <w:lang w:eastAsia="zh-CN"/>
              </w:rPr>
            </w:pPr>
            <w:r>
              <w:rPr>
                <w:rFonts w:hint="eastAsia" w:ascii="Times New Roman"/>
                <w:bCs/>
                <w:color w:val="auto"/>
                <w:sz w:val="21"/>
                <w:szCs w:val="21"/>
                <w:lang w:eastAsia="zh-CN"/>
              </w:rPr>
              <w:t>34</w:t>
            </w:r>
          </w:p>
        </w:tc>
        <w:tc>
          <w:tcPr>
            <w:tcW w:w="1298" w:type="pct"/>
            <w:noWrap w:val="0"/>
            <w:vAlign w:val="center"/>
          </w:tcPr>
          <w:p w14:paraId="5C9D08F2">
            <w:pPr>
              <w:jc w:val="center"/>
              <w:rPr>
                <w:rFonts w:ascii="Times New Roman"/>
                <w:color w:val="auto"/>
                <w:sz w:val="21"/>
                <w:szCs w:val="21"/>
              </w:rPr>
            </w:pPr>
            <w:r>
              <w:rPr>
                <w:sz w:val="21"/>
                <w:szCs w:val="21"/>
              </w:rPr>
              <w:t>除尘风机</w:t>
            </w:r>
          </w:p>
        </w:tc>
        <w:tc>
          <w:tcPr>
            <w:tcW w:w="1731" w:type="pct"/>
            <w:noWrap w:val="0"/>
            <w:vAlign w:val="center"/>
          </w:tcPr>
          <w:p w14:paraId="2D44F3DD">
            <w:pPr>
              <w:jc w:val="center"/>
              <w:rPr>
                <w:rFonts w:ascii="Times New Roman"/>
                <w:color w:val="auto"/>
                <w:sz w:val="21"/>
                <w:szCs w:val="21"/>
              </w:rPr>
            </w:pPr>
            <w:r>
              <w:rPr>
                <w:sz w:val="21"/>
                <w:szCs w:val="21"/>
              </w:rPr>
              <w:t>LTY4-1 NO 13.2D 右旋0°，配套电机：YE2-315L-4-200KW-380V，流量100000m3/h，全压：4500Pa，转速：1450r/min，介质温度：80℃</w:t>
            </w:r>
          </w:p>
        </w:tc>
        <w:tc>
          <w:tcPr>
            <w:tcW w:w="791" w:type="pct"/>
            <w:noWrap w:val="0"/>
            <w:vAlign w:val="center"/>
          </w:tcPr>
          <w:p w14:paraId="70A977EB">
            <w:pPr>
              <w:jc w:val="center"/>
              <w:rPr>
                <w:rFonts w:ascii="Times New Roman"/>
                <w:color w:val="auto"/>
                <w:sz w:val="21"/>
                <w:szCs w:val="21"/>
              </w:rPr>
            </w:pPr>
            <w:r>
              <w:rPr>
                <w:sz w:val="21"/>
                <w:szCs w:val="21"/>
              </w:rPr>
              <w:t>1</w:t>
            </w:r>
          </w:p>
        </w:tc>
        <w:tc>
          <w:tcPr>
            <w:tcW w:w="794" w:type="pct"/>
            <w:tcBorders>
              <w:right w:val="nil"/>
            </w:tcBorders>
            <w:noWrap w:val="0"/>
            <w:vAlign w:val="center"/>
          </w:tcPr>
          <w:p w14:paraId="3DFB9E0A">
            <w:pPr>
              <w:jc w:val="center"/>
              <w:rPr>
                <w:rFonts w:ascii="Times New Roman"/>
                <w:bCs/>
                <w:color w:val="auto"/>
                <w:sz w:val="21"/>
                <w:szCs w:val="21"/>
              </w:rPr>
            </w:pPr>
            <w:r>
              <w:rPr>
                <w:sz w:val="21"/>
                <w:szCs w:val="21"/>
              </w:rPr>
              <w:t>台</w:t>
            </w:r>
          </w:p>
        </w:tc>
      </w:tr>
      <w:tr w14:paraId="589725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84" w:type="pct"/>
            <w:tcBorders>
              <w:left w:val="nil"/>
            </w:tcBorders>
            <w:noWrap w:val="0"/>
            <w:vAlign w:val="center"/>
          </w:tcPr>
          <w:p w14:paraId="61298339">
            <w:pPr>
              <w:pStyle w:val="203"/>
              <w:widowControl w:val="0"/>
              <w:spacing w:line="240" w:lineRule="atLeast"/>
              <w:ind w:left="-120" w:leftChars="-50" w:right="-120" w:rightChars="-50"/>
              <w:jc w:val="center"/>
              <w:rPr>
                <w:rFonts w:ascii="Times New Roman"/>
                <w:color w:val="auto"/>
                <w:sz w:val="21"/>
                <w:szCs w:val="21"/>
                <w:lang w:eastAsia="zh-CN"/>
              </w:rPr>
            </w:pPr>
            <w:r>
              <w:rPr>
                <w:rFonts w:hint="eastAsia" w:ascii="Times New Roman"/>
                <w:color w:val="auto"/>
                <w:sz w:val="21"/>
                <w:szCs w:val="21"/>
                <w:lang w:eastAsia="zh-CN"/>
              </w:rPr>
              <w:t>35</w:t>
            </w:r>
          </w:p>
        </w:tc>
        <w:tc>
          <w:tcPr>
            <w:tcW w:w="1298" w:type="pct"/>
            <w:noWrap w:val="0"/>
            <w:vAlign w:val="center"/>
          </w:tcPr>
          <w:p w14:paraId="1871835F">
            <w:pPr>
              <w:jc w:val="center"/>
              <w:rPr>
                <w:rFonts w:ascii="Times New Roman"/>
                <w:color w:val="auto"/>
                <w:sz w:val="21"/>
                <w:szCs w:val="21"/>
              </w:rPr>
            </w:pPr>
            <w:r>
              <w:rPr>
                <w:sz w:val="21"/>
                <w:szCs w:val="21"/>
              </w:rPr>
              <w:t>仓壁振动器</w:t>
            </w:r>
          </w:p>
        </w:tc>
        <w:tc>
          <w:tcPr>
            <w:tcW w:w="1731" w:type="pct"/>
            <w:noWrap w:val="0"/>
            <w:vAlign w:val="center"/>
          </w:tcPr>
          <w:p w14:paraId="2EC946F8">
            <w:pPr>
              <w:jc w:val="center"/>
              <w:rPr>
                <w:rFonts w:ascii="Times New Roman"/>
                <w:color w:val="auto"/>
                <w:sz w:val="21"/>
                <w:szCs w:val="21"/>
              </w:rPr>
            </w:pPr>
            <w:r>
              <w:rPr>
                <w:sz w:val="21"/>
                <w:szCs w:val="21"/>
              </w:rPr>
              <w:t>0.55kw</w:t>
            </w:r>
          </w:p>
        </w:tc>
        <w:tc>
          <w:tcPr>
            <w:tcW w:w="791" w:type="pct"/>
            <w:noWrap w:val="0"/>
            <w:vAlign w:val="center"/>
          </w:tcPr>
          <w:p w14:paraId="4365E251">
            <w:pPr>
              <w:jc w:val="center"/>
              <w:rPr>
                <w:rFonts w:ascii="Times New Roman"/>
                <w:color w:val="auto"/>
                <w:sz w:val="21"/>
                <w:szCs w:val="21"/>
              </w:rPr>
            </w:pPr>
            <w:r>
              <w:rPr>
                <w:sz w:val="21"/>
                <w:szCs w:val="21"/>
              </w:rPr>
              <w:t>4</w:t>
            </w:r>
          </w:p>
        </w:tc>
        <w:tc>
          <w:tcPr>
            <w:tcW w:w="794" w:type="pct"/>
            <w:tcBorders>
              <w:right w:val="nil"/>
            </w:tcBorders>
            <w:noWrap w:val="0"/>
            <w:vAlign w:val="center"/>
          </w:tcPr>
          <w:p w14:paraId="4A756DC2">
            <w:pPr>
              <w:jc w:val="center"/>
              <w:rPr>
                <w:rFonts w:ascii="Times New Roman"/>
                <w:bCs/>
                <w:color w:val="auto"/>
                <w:sz w:val="21"/>
                <w:szCs w:val="21"/>
              </w:rPr>
            </w:pPr>
            <w:r>
              <w:rPr>
                <w:sz w:val="21"/>
                <w:szCs w:val="21"/>
              </w:rPr>
              <w:t>台</w:t>
            </w:r>
          </w:p>
        </w:tc>
      </w:tr>
      <w:tr w14:paraId="3414C1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84" w:type="pct"/>
            <w:tcBorders>
              <w:left w:val="nil"/>
            </w:tcBorders>
            <w:noWrap w:val="0"/>
            <w:vAlign w:val="center"/>
          </w:tcPr>
          <w:p w14:paraId="109FF492">
            <w:pPr>
              <w:pStyle w:val="203"/>
              <w:widowControl w:val="0"/>
              <w:spacing w:line="240" w:lineRule="atLeast"/>
              <w:ind w:left="-120" w:leftChars="-50" w:right="-120" w:rightChars="-50"/>
              <w:jc w:val="center"/>
              <w:rPr>
                <w:rFonts w:ascii="Times New Roman"/>
                <w:color w:val="auto"/>
                <w:sz w:val="21"/>
                <w:szCs w:val="21"/>
                <w:lang w:eastAsia="zh-CN"/>
              </w:rPr>
            </w:pPr>
            <w:r>
              <w:rPr>
                <w:rFonts w:hint="eastAsia" w:ascii="Times New Roman"/>
                <w:color w:val="auto"/>
                <w:sz w:val="21"/>
                <w:szCs w:val="21"/>
                <w:lang w:eastAsia="zh-CN"/>
              </w:rPr>
              <w:t>36</w:t>
            </w:r>
          </w:p>
        </w:tc>
        <w:tc>
          <w:tcPr>
            <w:tcW w:w="1298" w:type="pct"/>
            <w:noWrap w:val="0"/>
            <w:vAlign w:val="center"/>
          </w:tcPr>
          <w:p w14:paraId="040C3F65">
            <w:pPr>
              <w:jc w:val="center"/>
              <w:rPr>
                <w:rFonts w:ascii="Times New Roman"/>
                <w:color w:val="auto"/>
                <w:sz w:val="21"/>
                <w:szCs w:val="21"/>
              </w:rPr>
            </w:pPr>
            <w:r>
              <w:rPr>
                <w:sz w:val="21"/>
                <w:szCs w:val="21"/>
              </w:rPr>
              <w:t>手动插板阀</w:t>
            </w:r>
          </w:p>
        </w:tc>
        <w:tc>
          <w:tcPr>
            <w:tcW w:w="1731" w:type="pct"/>
            <w:noWrap w:val="0"/>
            <w:vAlign w:val="center"/>
          </w:tcPr>
          <w:p w14:paraId="371A2E02">
            <w:pPr>
              <w:jc w:val="center"/>
              <w:rPr>
                <w:rFonts w:ascii="Times New Roman"/>
                <w:color w:val="auto"/>
                <w:sz w:val="21"/>
                <w:szCs w:val="21"/>
              </w:rPr>
            </w:pPr>
            <w:r>
              <w:rPr>
                <w:sz w:val="21"/>
                <w:szCs w:val="21"/>
              </w:rPr>
              <w:t>300*300</w:t>
            </w:r>
          </w:p>
        </w:tc>
        <w:tc>
          <w:tcPr>
            <w:tcW w:w="791" w:type="pct"/>
            <w:noWrap w:val="0"/>
            <w:vAlign w:val="center"/>
          </w:tcPr>
          <w:p w14:paraId="53716F27">
            <w:pPr>
              <w:jc w:val="center"/>
              <w:rPr>
                <w:rFonts w:ascii="Times New Roman"/>
                <w:color w:val="auto"/>
                <w:sz w:val="21"/>
                <w:szCs w:val="21"/>
              </w:rPr>
            </w:pPr>
            <w:r>
              <w:rPr>
                <w:sz w:val="21"/>
                <w:szCs w:val="21"/>
              </w:rPr>
              <w:t>4</w:t>
            </w:r>
          </w:p>
        </w:tc>
        <w:tc>
          <w:tcPr>
            <w:tcW w:w="794" w:type="pct"/>
            <w:tcBorders>
              <w:right w:val="nil"/>
            </w:tcBorders>
            <w:noWrap w:val="0"/>
            <w:vAlign w:val="center"/>
          </w:tcPr>
          <w:p w14:paraId="5C4FC375">
            <w:pPr>
              <w:jc w:val="center"/>
              <w:rPr>
                <w:rFonts w:ascii="Times New Roman"/>
                <w:bCs/>
                <w:color w:val="auto"/>
                <w:sz w:val="21"/>
                <w:szCs w:val="21"/>
              </w:rPr>
            </w:pPr>
            <w:r>
              <w:rPr>
                <w:sz w:val="21"/>
                <w:szCs w:val="21"/>
              </w:rPr>
              <w:t>台</w:t>
            </w:r>
          </w:p>
        </w:tc>
      </w:tr>
      <w:tr w14:paraId="72D2D7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84" w:type="pct"/>
            <w:tcBorders>
              <w:left w:val="nil"/>
            </w:tcBorders>
            <w:noWrap w:val="0"/>
            <w:vAlign w:val="center"/>
          </w:tcPr>
          <w:p w14:paraId="2E5E2B64">
            <w:pPr>
              <w:pStyle w:val="203"/>
              <w:widowControl w:val="0"/>
              <w:spacing w:line="240" w:lineRule="atLeast"/>
              <w:ind w:left="-120" w:leftChars="-50" w:right="-120" w:rightChars="-50"/>
              <w:jc w:val="center"/>
              <w:rPr>
                <w:rFonts w:ascii="Times New Roman"/>
                <w:color w:val="auto"/>
                <w:sz w:val="21"/>
                <w:szCs w:val="21"/>
                <w:lang w:eastAsia="zh-CN"/>
              </w:rPr>
            </w:pPr>
            <w:r>
              <w:rPr>
                <w:rFonts w:hint="eastAsia" w:ascii="Times New Roman"/>
                <w:color w:val="auto"/>
                <w:sz w:val="21"/>
                <w:szCs w:val="21"/>
                <w:lang w:eastAsia="zh-CN"/>
              </w:rPr>
              <w:t>37</w:t>
            </w:r>
          </w:p>
        </w:tc>
        <w:tc>
          <w:tcPr>
            <w:tcW w:w="1298" w:type="pct"/>
            <w:noWrap w:val="0"/>
            <w:vAlign w:val="center"/>
          </w:tcPr>
          <w:p w14:paraId="2ED637DF">
            <w:pPr>
              <w:jc w:val="center"/>
              <w:rPr>
                <w:rFonts w:ascii="Times New Roman"/>
                <w:color w:val="auto"/>
                <w:sz w:val="21"/>
                <w:szCs w:val="21"/>
              </w:rPr>
            </w:pPr>
            <w:r>
              <w:rPr>
                <w:sz w:val="21"/>
                <w:szCs w:val="21"/>
              </w:rPr>
              <w:t>除尘灰星型卸灰阀</w:t>
            </w:r>
          </w:p>
        </w:tc>
        <w:tc>
          <w:tcPr>
            <w:tcW w:w="1731" w:type="pct"/>
            <w:noWrap w:val="0"/>
            <w:vAlign w:val="center"/>
          </w:tcPr>
          <w:p w14:paraId="3EDC6D53">
            <w:pPr>
              <w:jc w:val="center"/>
              <w:rPr>
                <w:rFonts w:ascii="Times New Roman"/>
                <w:color w:val="auto"/>
                <w:sz w:val="21"/>
                <w:szCs w:val="21"/>
              </w:rPr>
            </w:pPr>
            <w:r>
              <w:rPr>
                <w:sz w:val="21"/>
                <w:szCs w:val="21"/>
              </w:rPr>
              <w:t>YJD16A，1.5kw</w:t>
            </w:r>
          </w:p>
        </w:tc>
        <w:tc>
          <w:tcPr>
            <w:tcW w:w="791" w:type="pct"/>
            <w:noWrap w:val="0"/>
            <w:vAlign w:val="center"/>
          </w:tcPr>
          <w:p w14:paraId="4855CD46">
            <w:pPr>
              <w:jc w:val="center"/>
              <w:rPr>
                <w:rFonts w:ascii="Times New Roman"/>
                <w:color w:val="auto"/>
                <w:sz w:val="21"/>
                <w:szCs w:val="21"/>
              </w:rPr>
            </w:pPr>
            <w:r>
              <w:rPr>
                <w:sz w:val="21"/>
                <w:szCs w:val="21"/>
              </w:rPr>
              <w:t>4</w:t>
            </w:r>
          </w:p>
        </w:tc>
        <w:tc>
          <w:tcPr>
            <w:tcW w:w="794" w:type="pct"/>
            <w:tcBorders>
              <w:right w:val="nil"/>
            </w:tcBorders>
            <w:noWrap w:val="0"/>
            <w:vAlign w:val="center"/>
          </w:tcPr>
          <w:p w14:paraId="24A6F010">
            <w:pPr>
              <w:jc w:val="center"/>
              <w:rPr>
                <w:rFonts w:ascii="Times New Roman"/>
                <w:bCs/>
                <w:color w:val="auto"/>
                <w:sz w:val="21"/>
                <w:szCs w:val="21"/>
              </w:rPr>
            </w:pPr>
            <w:r>
              <w:rPr>
                <w:sz w:val="21"/>
                <w:szCs w:val="21"/>
              </w:rPr>
              <w:t>台</w:t>
            </w:r>
          </w:p>
        </w:tc>
      </w:tr>
      <w:tr w14:paraId="765DEC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84" w:type="pct"/>
            <w:tcBorders>
              <w:left w:val="nil"/>
            </w:tcBorders>
            <w:noWrap w:val="0"/>
            <w:vAlign w:val="center"/>
          </w:tcPr>
          <w:p w14:paraId="2A824BCD">
            <w:pPr>
              <w:pStyle w:val="203"/>
              <w:widowControl w:val="0"/>
              <w:spacing w:line="240" w:lineRule="atLeast"/>
              <w:ind w:left="-120" w:leftChars="-50" w:right="-120" w:rightChars="-50"/>
              <w:jc w:val="center"/>
              <w:rPr>
                <w:rFonts w:ascii="Times New Roman"/>
                <w:color w:val="auto"/>
                <w:sz w:val="21"/>
                <w:szCs w:val="21"/>
                <w:lang w:eastAsia="zh-CN"/>
              </w:rPr>
            </w:pPr>
            <w:r>
              <w:rPr>
                <w:rFonts w:hint="eastAsia" w:ascii="Times New Roman"/>
                <w:bCs/>
                <w:color w:val="auto"/>
                <w:sz w:val="21"/>
                <w:szCs w:val="21"/>
                <w:lang w:eastAsia="zh-CN"/>
              </w:rPr>
              <w:t>38</w:t>
            </w:r>
          </w:p>
        </w:tc>
        <w:tc>
          <w:tcPr>
            <w:tcW w:w="1298" w:type="pct"/>
            <w:noWrap w:val="0"/>
            <w:vAlign w:val="center"/>
          </w:tcPr>
          <w:p w14:paraId="4A930C6F">
            <w:pPr>
              <w:jc w:val="center"/>
              <w:rPr>
                <w:rFonts w:ascii="Times New Roman"/>
                <w:color w:val="auto"/>
                <w:sz w:val="21"/>
                <w:szCs w:val="21"/>
              </w:rPr>
            </w:pPr>
            <w:r>
              <w:rPr>
                <w:sz w:val="21"/>
                <w:szCs w:val="21"/>
              </w:rPr>
              <w:t>除尘灰螺旋输送机</w:t>
            </w:r>
          </w:p>
        </w:tc>
        <w:tc>
          <w:tcPr>
            <w:tcW w:w="1731" w:type="pct"/>
            <w:noWrap w:val="0"/>
            <w:vAlign w:val="center"/>
          </w:tcPr>
          <w:p w14:paraId="1161DAED">
            <w:pPr>
              <w:jc w:val="center"/>
              <w:rPr>
                <w:rFonts w:ascii="Times New Roman"/>
                <w:color w:val="auto"/>
                <w:sz w:val="21"/>
                <w:szCs w:val="21"/>
              </w:rPr>
            </w:pPr>
            <w:r>
              <w:rPr>
                <w:sz w:val="21"/>
                <w:szCs w:val="21"/>
              </w:rPr>
              <w:t>LS300，3kw</w:t>
            </w:r>
          </w:p>
        </w:tc>
        <w:tc>
          <w:tcPr>
            <w:tcW w:w="791" w:type="pct"/>
            <w:noWrap w:val="0"/>
            <w:vAlign w:val="center"/>
          </w:tcPr>
          <w:p w14:paraId="324B60CB">
            <w:pPr>
              <w:jc w:val="center"/>
              <w:rPr>
                <w:rFonts w:ascii="Times New Roman"/>
                <w:color w:val="auto"/>
                <w:sz w:val="21"/>
                <w:szCs w:val="21"/>
              </w:rPr>
            </w:pPr>
            <w:r>
              <w:rPr>
                <w:sz w:val="21"/>
                <w:szCs w:val="21"/>
              </w:rPr>
              <w:t>2</w:t>
            </w:r>
          </w:p>
        </w:tc>
        <w:tc>
          <w:tcPr>
            <w:tcW w:w="794" w:type="pct"/>
            <w:tcBorders>
              <w:right w:val="nil"/>
            </w:tcBorders>
            <w:noWrap w:val="0"/>
            <w:vAlign w:val="center"/>
          </w:tcPr>
          <w:p w14:paraId="401278BF">
            <w:pPr>
              <w:jc w:val="center"/>
              <w:rPr>
                <w:rFonts w:ascii="Times New Roman"/>
                <w:bCs/>
                <w:color w:val="auto"/>
                <w:sz w:val="21"/>
                <w:szCs w:val="21"/>
              </w:rPr>
            </w:pPr>
            <w:r>
              <w:rPr>
                <w:sz w:val="21"/>
                <w:szCs w:val="21"/>
              </w:rPr>
              <w:t>台</w:t>
            </w:r>
          </w:p>
        </w:tc>
      </w:tr>
    </w:tbl>
    <w:p w14:paraId="1E3A1200">
      <w:pPr>
        <w:rPr>
          <w:rFonts w:hint="eastAsia"/>
          <w:lang w:eastAsia="zh-CN"/>
        </w:rPr>
      </w:pPr>
      <w:bookmarkStart w:id="199" w:name="_Toc90026218"/>
    </w:p>
    <w:p w14:paraId="0319E2FB">
      <w:pPr>
        <w:pStyle w:val="7"/>
      </w:pPr>
      <w:bookmarkStart w:id="200" w:name="_Toc18932"/>
      <w:r>
        <w:t>2.2.</w:t>
      </w:r>
      <w:r>
        <w:rPr>
          <w:rFonts w:hint="eastAsia"/>
        </w:rPr>
        <w:t>3</w:t>
      </w:r>
      <w:r>
        <w:rPr>
          <w:rFonts w:hint="eastAsia"/>
          <w:lang w:eastAsia="zh-CN"/>
        </w:rPr>
        <w:t xml:space="preserve"> </w:t>
      </w:r>
      <w:r>
        <w:rPr>
          <w:rFonts w:hint="eastAsia"/>
        </w:rPr>
        <w:t>产品方案</w:t>
      </w:r>
      <w:bookmarkEnd w:id="199"/>
      <w:bookmarkEnd w:id="200"/>
    </w:p>
    <w:p w14:paraId="40220486">
      <w:pPr>
        <w:spacing w:line="500" w:lineRule="exact"/>
        <w:ind w:right="6" w:firstLine="480" w:firstLineChars="200"/>
        <w:jc w:val="both"/>
        <w:rPr>
          <w:rFonts w:hint="eastAsia" w:ascii="Times New Roman" w:hAnsi="Times New Roman" w:cs="Times New Roman"/>
        </w:rPr>
      </w:pPr>
      <w:r>
        <w:rPr>
          <w:rFonts w:hint="eastAsia" w:ascii="Times New Roman" w:hAnsi="Times New Roman" w:cs="Times New Roman"/>
        </w:rPr>
        <w:t>目前，年产烧结矿66万吨；年产球团矿14万吨；年产铸铁26万吨，铁水38.8万吨；年产生石灰4.5万吨。</w:t>
      </w:r>
    </w:p>
    <w:p w14:paraId="468106AB">
      <w:pPr>
        <w:spacing w:line="500" w:lineRule="exact"/>
        <w:ind w:right="6" w:firstLine="480" w:firstLineChars="200"/>
        <w:jc w:val="both"/>
        <w:rPr>
          <w:rFonts w:ascii="Times New Roman" w:hAnsi="Times New Roman" w:cs="Times New Roman"/>
        </w:rPr>
      </w:pPr>
      <w:r>
        <w:rPr>
          <w:rFonts w:hint="eastAsia" w:ascii="Times New Roman" w:hAnsi="Times New Roman" w:cs="Times New Roman"/>
        </w:rPr>
        <w:t>已建工程</w:t>
      </w:r>
      <w:r>
        <w:rPr>
          <w:rFonts w:ascii="Times New Roman" w:hAnsi="Times New Roman" w:cs="Times New Roman"/>
        </w:rPr>
        <w:t>产品方案见表2.2-</w:t>
      </w:r>
      <w:r>
        <w:rPr>
          <w:rFonts w:hint="eastAsia" w:ascii="Times New Roman" w:hAnsi="Times New Roman" w:cs="Times New Roman"/>
        </w:rPr>
        <w:t>3</w:t>
      </w:r>
      <w:r>
        <w:rPr>
          <w:rFonts w:ascii="Times New Roman" w:hAnsi="Times New Roman" w:cs="Times New Roman"/>
        </w:rPr>
        <w:t>。</w:t>
      </w:r>
    </w:p>
    <w:p w14:paraId="0C53AB03">
      <w:pPr>
        <w:adjustRightInd w:val="0"/>
        <w:snapToGrid w:val="0"/>
        <w:spacing w:before="93" w:beforeLines="30" w:line="360" w:lineRule="auto"/>
        <w:jc w:val="center"/>
        <w:rPr>
          <w:rFonts w:ascii="Times New Roman" w:hAnsi="Times New Roman" w:eastAsia="黑体" w:cs="Times New Roman"/>
        </w:rPr>
      </w:pPr>
      <w:r>
        <w:rPr>
          <w:rFonts w:ascii="Times New Roman" w:hAnsi="Times New Roman" w:eastAsia="黑体" w:cs="Times New Roman"/>
        </w:rPr>
        <w:t>表2.2-</w:t>
      </w:r>
      <w:r>
        <w:rPr>
          <w:rFonts w:hint="eastAsia" w:ascii="Times New Roman" w:hAnsi="Times New Roman" w:eastAsia="黑体" w:cs="Times New Roman"/>
        </w:rPr>
        <w:t>3</w:t>
      </w:r>
      <w:r>
        <w:rPr>
          <w:rFonts w:ascii="Times New Roman" w:hAnsi="Times New Roman" w:eastAsia="黑体" w:cs="Times New Roman"/>
        </w:rPr>
        <w:t xml:space="preserve">  </w:t>
      </w:r>
      <w:r>
        <w:rPr>
          <w:rFonts w:hint="eastAsia" w:ascii="Times New Roman" w:hAnsi="Times New Roman" w:eastAsia="黑体" w:cs="Times New Roman"/>
        </w:rPr>
        <w:t>已建工程</w:t>
      </w:r>
      <w:r>
        <w:rPr>
          <w:rFonts w:ascii="Times New Roman" w:hAnsi="Times New Roman" w:eastAsia="黑体" w:cs="Times New Roman"/>
        </w:rPr>
        <w:t>产品方案一览表</w:t>
      </w:r>
    </w:p>
    <w:tbl>
      <w:tblPr>
        <w:tblStyle w:val="56"/>
        <w:tblW w:w="5000" w:type="pct"/>
        <w:jc w:val="center"/>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1289"/>
        <w:gridCol w:w="2320"/>
        <w:gridCol w:w="1495"/>
        <w:gridCol w:w="3616"/>
      </w:tblGrid>
      <w:tr w14:paraId="74F369AF">
        <w:tblPrEx>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74" w:hRule="atLeast"/>
          <w:tblHeader/>
          <w:jc w:val="center"/>
        </w:trPr>
        <w:tc>
          <w:tcPr>
            <w:tcW w:w="739" w:type="pct"/>
            <w:shd w:val="clear" w:color="auto" w:fill="E0E0E0"/>
            <w:noWrap w:val="0"/>
            <w:vAlign w:val="center"/>
          </w:tcPr>
          <w:p w14:paraId="61FC5BC7">
            <w:pPr>
              <w:jc w:val="center"/>
              <w:rPr>
                <w:rFonts w:ascii="Times New Roman" w:hAnsi="Times New Roman" w:cs="Times New Roman"/>
                <w:sz w:val="21"/>
                <w:szCs w:val="21"/>
              </w:rPr>
            </w:pPr>
            <w:r>
              <w:rPr>
                <w:rFonts w:ascii="Times New Roman" w:hAnsi="Times New Roman" w:cs="Times New Roman"/>
                <w:sz w:val="21"/>
                <w:szCs w:val="21"/>
              </w:rPr>
              <w:t>类别</w:t>
            </w:r>
          </w:p>
        </w:tc>
        <w:tc>
          <w:tcPr>
            <w:tcW w:w="1330" w:type="pct"/>
            <w:shd w:val="clear" w:color="auto" w:fill="E0E0E0"/>
            <w:noWrap w:val="0"/>
            <w:vAlign w:val="center"/>
          </w:tcPr>
          <w:p w14:paraId="27B8B88F">
            <w:pPr>
              <w:jc w:val="center"/>
              <w:rPr>
                <w:rFonts w:ascii="Times New Roman" w:hAnsi="Times New Roman" w:cs="Times New Roman"/>
                <w:sz w:val="21"/>
                <w:szCs w:val="21"/>
              </w:rPr>
            </w:pPr>
            <w:r>
              <w:rPr>
                <w:rFonts w:ascii="Times New Roman" w:hAnsi="Times New Roman" w:cs="Times New Roman"/>
                <w:sz w:val="21"/>
                <w:szCs w:val="21"/>
              </w:rPr>
              <w:t>名称</w:t>
            </w:r>
          </w:p>
        </w:tc>
        <w:tc>
          <w:tcPr>
            <w:tcW w:w="857" w:type="pct"/>
            <w:shd w:val="clear" w:color="auto" w:fill="E0E0E0"/>
            <w:noWrap w:val="0"/>
            <w:vAlign w:val="center"/>
          </w:tcPr>
          <w:p w14:paraId="1622CDE6">
            <w:pPr>
              <w:jc w:val="center"/>
              <w:rPr>
                <w:rFonts w:hint="eastAsia" w:ascii="Times New Roman" w:hAnsi="Times New Roman" w:cs="Times New Roman"/>
                <w:sz w:val="21"/>
                <w:szCs w:val="21"/>
              </w:rPr>
            </w:pPr>
            <w:r>
              <w:rPr>
                <w:rFonts w:ascii="Times New Roman" w:hAnsi="Times New Roman" w:cs="Times New Roman"/>
                <w:sz w:val="21"/>
                <w:szCs w:val="21"/>
              </w:rPr>
              <w:t>产量（</w:t>
            </w:r>
            <w:r>
              <w:rPr>
                <w:rFonts w:hint="eastAsia" w:ascii="Times New Roman" w:hAnsi="Times New Roman" w:cs="Times New Roman"/>
                <w:sz w:val="21"/>
                <w:szCs w:val="21"/>
              </w:rPr>
              <w:t>万</w:t>
            </w:r>
            <w:r>
              <w:rPr>
                <w:rFonts w:ascii="Times New Roman" w:hAnsi="Times New Roman" w:cs="Times New Roman"/>
                <w:sz w:val="21"/>
                <w:szCs w:val="21"/>
              </w:rPr>
              <w:t>t/a）</w:t>
            </w:r>
          </w:p>
        </w:tc>
        <w:tc>
          <w:tcPr>
            <w:tcW w:w="2072" w:type="pct"/>
            <w:shd w:val="clear" w:color="auto" w:fill="E0E0E0"/>
            <w:noWrap w:val="0"/>
            <w:vAlign w:val="center"/>
          </w:tcPr>
          <w:p w14:paraId="6E53CBDD">
            <w:pPr>
              <w:jc w:val="center"/>
              <w:rPr>
                <w:rFonts w:ascii="Times New Roman" w:hAnsi="Times New Roman" w:cs="Times New Roman"/>
                <w:sz w:val="21"/>
                <w:szCs w:val="21"/>
              </w:rPr>
            </w:pPr>
            <w:r>
              <w:rPr>
                <w:rFonts w:hint="eastAsia" w:ascii="Times New Roman" w:hAnsi="Times New Roman" w:cs="Times New Roman"/>
                <w:sz w:val="21"/>
                <w:szCs w:val="21"/>
              </w:rPr>
              <w:t>变化情况</w:t>
            </w:r>
          </w:p>
        </w:tc>
      </w:tr>
      <w:tr w14:paraId="045763E0">
        <w:tblPrEx>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74" w:hRule="atLeast"/>
          <w:jc w:val="center"/>
        </w:trPr>
        <w:tc>
          <w:tcPr>
            <w:tcW w:w="739" w:type="pct"/>
            <w:noWrap w:val="0"/>
            <w:vAlign w:val="center"/>
          </w:tcPr>
          <w:p w14:paraId="5195E584">
            <w:pPr>
              <w:jc w:val="center"/>
              <w:rPr>
                <w:rFonts w:ascii="Times New Roman" w:hAnsi="Times New Roman" w:cs="Times New Roman"/>
                <w:sz w:val="21"/>
                <w:szCs w:val="21"/>
              </w:rPr>
            </w:pPr>
            <w:r>
              <w:rPr>
                <w:rFonts w:ascii="Times New Roman" w:hAnsi="Times New Roman" w:cs="Times New Roman"/>
                <w:sz w:val="21"/>
                <w:szCs w:val="21"/>
              </w:rPr>
              <w:t>产品</w:t>
            </w:r>
          </w:p>
        </w:tc>
        <w:tc>
          <w:tcPr>
            <w:tcW w:w="1330" w:type="pct"/>
            <w:noWrap w:val="0"/>
            <w:vAlign w:val="center"/>
          </w:tcPr>
          <w:p w14:paraId="14A89B40">
            <w:pPr>
              <w:jc w:val="center"/>
              <w:rPr>
                <w:rFonts w:ascii="Times New Roman" w:hAnsi="Times New Roman" w:eastAsia="宋体" w:cs="Times New Roman"/>
                <w:sz w:val="21"/>
                <w:szCs w:val="21"/>
              </w:rPr>
            </w:pPr>
            <w:r>
              <w:rPr>
                <w:rFonts w:hint="eastAsia" w:ascii="Times New Roman" w:hAnsi="Times New Roman" w:eastAsia="宋体" w:cs="Times New Roman"/>
                <w:sz w:val="21"/>
                <w:szCs w:val="21"/>
                <w:lang w:val="en-US" w:eastAsia="zh-CN"/>
              </w:rPr>
              <w:t>生铁</w:t>
            </w:r>
          </w:p>
        </w:tc>
        <w:tc>
          <w:tcPr>
            <w:tcW w:w="857" w:type="pct"/>
            <w:noWrap w:val="0"/>
            <w:vAlign w:val="center"/>
          </w:tcPr>
          <w:p w14:paraId="53DE3F4E">
            <w:pPr>
              <w:jc w:val="center"/>
              <w:rPr>
                <w:rFonts w:ascii="Times New Roman" w:hAnsi="Times New Roman" w:cs="Times New Roman"/>
                <w:sz w:val="21"/>
                <w:szCs w:val="21"/>
              </w:rPr>
            </w:pPr>
            <w:r>
              <w:rPr>
                <w:rFonts w:hint="eastAsia" w:ascii="Times New Roman" w:hAnsi="Times New Roman" w:cs="Times New Roman"/>
                <w:sz w:val="21"/>
                <w:szCs w:val="21"/>
                <w:lang w:val="en-US" w:eastAsia="zh-CN"/>
              </w:rPr>
              <w:t>26</w:t>
            </w:r>
          </w:p>
        </w:tc>
        <w:tc>
          <w:tcPr>
            <w:tcW w:w="2072" w:type="pct"/>
            <w:noWrap w:val="0"/>
            <w:vAlign w:val="center"/>
          </w:tcPr>
          <w:p w14:paraId="2F8E6B84">
            <w:pPr>
              <w:jc w:val="center"/>
              <w:rPr>
                <w:rFonts w:ascii="Times New Roman" w:hAnsi="Times New Roman" w:cs="Times New Roman"/>
                <w:i/>
                <w:sz w:val="21"/>
                <w:szCs w:val="21"/>
              </w:rPr>
            </w:pPr>
            <w:r>
              <w:rPr>
                <w:rFonts w:hint="eastAsia" w:ascii="Times New Roman" w:hAnsi="Times New Roman" w:cs="Times New Roman"/>
                <w:sz w:val="21"/>
                <w:szCs w:val="21"/>
              </w:rPr>
              <w:t>无变化</w:t>
            </w:r>
          </w:p>
        </w:tc>
      </w:tr>
      <w:tr w14:paraId="161FCE72">
        <w:tblPrEx>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74" w:hRule="atLeast"/>
          <w:jc w:val="center"/>
        </w:trPr>
        <w:tc>
          <w:tcPr>
            <w:tcW w:w="739" w:type="pct"/>
            <w:vMerge w:val="restart"/>
            <w:noWrap w:val="0"/>
            <w:vAlign w:val="center"/>
          </w:tcPr>
          <w:p w14:paraId="7EB3D3B1">
            <w:pPr>
              <w:jc w:val="center"/>
              <w:rPr>
                <w:rFonts w:ascii="Times New Roman" w:hAnsi="Times New Roman" w:cs="Times New Roman"/>
                <w:sz w:val="21"/>
                <w:szCs w:val="21"/>
              </w:rPr>
            </w:pPr>
            <w:r>
              <w:rPr>
                <w:rFonts w:ascii="Times New Roman" w:hAnsi="Times New Roman" w:cs="Times New Roman"/>
                <w:sz w:val="21"/>
                <w:szCs w:val="21"/>
              </w:rPr>
              <w:t>中间产品</w:t>
            </w:r>
          </w:p>
        </w:tc>
        <w:tc>
          <w:tcPr>
            <w:tcW w:w="1330" w:type="pct"/>
            <w:noWrap w:val="0"/>
            <w:vAlign w:val="center"/>
          </w:tcPr>
          <w:p w14:paraId="0FC8E286">
            <w:pPr>
              <w:jc w:val="center"/>
              <w:rPr>
                <w:rFonts w:ascii="Times New Roman" w:hAnsi="Times New Roman" w:eastAsia="宋体" w:cs="Times New Roman"/>
                <w:sz w:val="21"/>
                <w:szCs w:val="21"/>
              </w:rPr>
            </w:pPr>
            <w:r>
              <w:rPr>
                <w:rFonts w:hint="eastAsia" w:ascii="Times New Roman" w:hAnsi="Times New Roman" w:eastAsia="宋体" w:cs="Times New Roman"/>
                <w:sz w:val="21"/>
                <w:szCs w:val="21"/>
                <w:lang w:val="en-US" w:eastAsia="zh-CN"/>
              </w:rPr>
              <w:t>烧结矿</w:t>
            </w:r>
          </w:p>
        </w:tc>
        <w:tc>
          <w:tcPr>
            <w:tcW w:w="857" w:type="pct"/>
            <w:noWrap w:val="0"/>
            <w:vAlign w:val="center"/>
          </w:tcPr>
          <w:p w14:paraId="3650D35B">
            <w:pPr>
              <w:jc w:val="center"/>
              <w:rPr>
                <w:rFonts w:hint="eastAsia" w:ascii="Times New Roman" w:hAnsi="Times New Roman" w:cs="Times New Roman"/>
                <w:sz w:val="21"/>
                <w:szCs w:val="21"/>
              </w:rPr>
            </w:pPr>
            <w:r>
              <w:rPr>
                <w:rFonts w:hint="eastAsia" w:ascii="Times New Roman" w:hAnsi="Times New Roman" w:cs="Times New Roman"/>
                <w:sz w:val="21"/>
                <w:szCs w:val="21"/>
                <w:lang w:val="en-US" w:eastAsia="zh-CN"/>
              </w:rPr>
              <w:t>66</w:t>
            </w:r>
          </w:p>
        </w:tc>
        <w:tc>
          <w:tcPr>
            <w:tcW w:w="2072" w:type="pct"/>
            <w:noWrap w:val="0"/>
            <w:vAlign w:val="center"/>
          </w:tcPr>
          <w:p w14:paraId="4F5EE9A0">
            <w:pPr>
              <w:jc w:val="center"/>
              <w:rPr>
                <w:rFonts w:ascii="Times New Roman" w:hAnsi="Times New Roman" w:cs="Times New Roman"/>
                <w:sz w:val="21"/>
                <w:szCs w:val="21"/>
              </w:rPr>
            </w:pPr>
            <w:r>
              <w:rPr>
                <w:rFonts w:hint="eastAsia" w:ascii="Times New Roman" w:hAnsi="Times New Roman" w:cs="Times New Roman"/>
                <w:sz w:val="21"/>
                <w:szCs w:val="21"/>
              </w:rPr>
              <w:t>无变化</w:t>
            </w:r>
          </w:p>
        </w:tc>
      </w:tr>
      <w:tr w14:paraId="1A82574F">
        <w:tblPrEx>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74" w:hRule="atLeast"/>
          <w:jc w:val="center"/>
        </w:trPr>
        <w:tc>
          <w:tcPr>
            <w:tcW w:w="739" w:type="pct"/>
            <w:vMerge w:val="continue"/>
            <w:noWrap w:val="0"/>
            <w:vAlign w:val="center"/>
          </w:tcPr>
          <w:p w14:paraId="2F6E20B1">
            <w:pPr>
              <w:jc w:val="center"/>
              <w:rPr>
                <w:rFonts w:ascii="Times New Roman" w:hAnsi="Times New Roman" w:cs="Times New Roman"/>
                <w:sz w:val="21"/>
                <w:szCs w:val="21"/>
              </w:rPr>
            </w:pPr>
          </w:p>
        </w:tc>
        <w:tc>
          <w:tcPr>
            <w:tcW w:w="1330" w:type="pct"/>
            <w:noWrap w:val="0"/>
            <w:vAlign w:val="center"/>
          </w:tcPr>
          <w:p w14:paraId="6EE51EA8">
            <w:pPr>
              <w:jc w:val="center"/>
              <w:rPr>
                <w:rFonts w:hint="eastAsia" w:ascii="Times New Roman" w:hAnsi="Times New Roman" w:eastAsia="宋体" w:cs="Times New Roman"/>
                <w:sz w:val="21"/>
                <w:szCs w:val="21"/>
              </w:rPr>
            </w:pPr>
            <w:r>
              <w:rPr>
                <w:rFonts w:hint="eastAsia" w:ascii="Times New Roman" w:hAnsi="Times New Roman" w:eastAsia="宋体" w:cs="Times New Roman"/>
                <w:sz w:val="21"/>
                <w:szCs w:val="21"/>
                <w:lang w:val="en-US" w:eastAsia="zh-CN"/>
              </w:rPr>
              <w:t>球团矿</w:t>
            </w:r>
          </w:p>
        </w:tc>
        <w:tc>
          <w:tcPr>
            <w:tcW w:w="857" w:type="pct"/>
            <w:noWrap w:val="0"/>
            <w:vAlign w:val="center"/>
          </w:tcPr>
          <w:p w14:paraId="472EB3BF">
            <w:pPr>
              <w:jc w:val="center"/>
              <w:rPr>
                <w:rFonts w:hint="eastAsia" w:ascii="Times New Roman" w:hAnsi="Times New Roman" w:cs="Times New Roman"/>
                <w:sz w:val="21"/>
                <w:szCs w:val="21"/>
              </w:rPr>
            </w:pPr>
            <w:r>
              <w:rPr>
                <w:rFonts w:hint="eastAsia" w:ascii="Times New Roman" w:hAnsi="Times New Roman" w:cs="Times New Roman"/>
                <w:sz w:val="21"/>
                <w:szCs w:val="21"/>
                <w:lang w:val="en-US" w:eastAsia="zh-CN"/>
              </w:rPr>
              <w:t>14</w:t>
            </w:r>
          </w:p>
        </w:tc>
        <w:tc>
          <w:tcPr>
            <w:tcW w:w="2072" w:type="pct"/>
            <w:noWrap w:val="0"/>
            <w:vAlign w:val="center"/>
          </w:tcPr>
          <w:p w14:paraId="1721ACF2">
            <w:pPr>
              <w:jc w:val="center"/>
              <w:rPr>
                <w:rFonts w:hint="eastAsia" w:ascii="Times New Roman" w:hAnsi="Times New Roman" w:cs="Times New Roman"/>
                <w:sz w:val="21"/>
                <w:szCs w:val="21"/>
              </w:rPr>
            </w:pPr>
            <w:r>
              <w:rPr>
                <w:rFonts w:hint="eastAsia" w:ascii="Times New Roman" w:hAnsi="Times New Roman" w:cs="Times New Roman"/>
                <w:sz w:val="21"/>
                <w:szCs w:val="21"/>
              </w:rPr>
              <w:t>无变化</w:t>
            </w:r>
          </w:p>
        </w:tc>
      </w:tr>
      <w:tr w14:paraId="03E07325">
        <w:tblPrEx>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74" w:hRule="atLeast"/>
          <w:jc w:val="center"/>
        </w:trPr>
        <w:tc>
          <w:tcPr>
            <w:tcW w:w="739" w:type="pct"/>
            <w:vMerge w:val="continue"/>
            <w:noWrap w:val="0"/>
            <w:vAlign w:val="center"/>
          </w:tcPr>
          <w:p w14:paraId="13166FC2">
            <w:pPr>
              <w:jc w:val="center"/>
              <w:rPr>
                <w:rFonts w:ascii="Times New Roman" w:hAnsi="Times New Roman" w:cs="Times New Roman"/>
                <w:sz w:val="21"/>
                <w:szCs w:val="21"/>
              </w:rPr>
            </w:pPr>
          </w:p>
        </w:tc>
        <w:tc>
          <w:tcPr>
            <w:tcW w:w="1330" w:type="pct"/>
            <w:noWrap w:val="0"/>
            <w:vAlign w:val="center"/>
          </w:tcPr>
          <w:p w14:paraId="4889FB9E">
            <w:pPr>
              <w:jc w:val="center"/>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生石灰</w:t>
            </w:r>
          </w:p>
        </w:tc>
        <w:tc>
          <w:tcPr>
            <w:tcW w:w="857" w:type="pct"/>
            <w:noWrap w:val="0"/>
            <w:vAlign w:val="center"/>
          </w:tcPr>
          <w:p w14:paraId="2B59E62E">
            <w:pPr>
              <w:jc w:val="center"/>
              <w:rPr>
                <w:rFonts w:hint="default" w:ascii="Times New Roman" w:hAnsi="Times New Roman" w:cs="Times New Roman"/>
                <w:sz w:val="21"/>
                <w:szCs w:val="21"/>
                <w:lang w:val="en-US"/>
              </w:rPr>
            </w:pPr>
            <w:r>
              <w:rPr>
                <w:rFonts w:hint="eastAsia" w:ascii="Times New Roman" w:hAnsi="Times New Roman" w:cs="Times New Roman"/>
                <w:sz w:val="21"/>
                <w:szCs w:val="21"/>
                <w:lang w:val="en-US" w:eastAsia="zh-CN"/>
              </w:rPr>
              <w:t>4.5</w:t>
            </w:r>
          </w:p>
        </w:tc>
        <w:tc>
          <w:tcPr>
            <w:tcW w:w="2072" w:type="pct"/>
            <w:noWrap w:val="0"/>
            <w:vAlign w:val="center"/>
          </w:tcPr>
          <w:p w14:paraId="55D48EB3">
            <w:pPr>
              <w:jc w:val="center"/>
              <w:rPr>
                <w:rFonts w:hint="eastAsia" w:ascii="Times New Roman" w:hAnsi="Times New Roman" w:cs="Times New Roman"/>
                <w:sz w:val="21"/>
                <w:szCs w:val="21"/>
              </w:rPr>
            </w:pPr>
            <w:r>
              <w:rPr>
                <w:rFonts w:hint="eastAsia" w:ascii="Times New Roman" w:hAnsi="Times New Roman" w:cs="Times New Roman"/>
                <w:sz w:val="21"/>
                <w:szCs w:val="21"/>
              </w:rPr>
              <w:t>无变化</w:t>
            </w:r>
          </w:p>
        </w:tc>
      </w:tr>
    </w:tbl>
    <w:p w14:paraId="6AAD403D">
      <w:pPr>
        <w:pStyle w:val="7"/>
      </w:pPr>
      <w:bookmarkStart w:id="201" w:name="_Toc90026219"/>
      <w:bookmarkStart w:id="202" w:name="_Toc8059"/>
      <w:r>
        <w:rPr>
          <w:rFonts w:hint="eastAsia"/>
        </w:rPr>
        <w:t>2</w:t>
      </w:r>
      <w:r>
        <w:t>.</w:t>
      </w:r>
      <w:r>
        <w:rPr>
          <w:rFonts w:hint="eastAsia"/>
        </w:rPr>
        <w:t>2</w:t>
      </w:r>
      <w:r>
        <w:t>.4</w:t>
      </w:r>
      <w:r>
        <w:rPr>
          <w:rFonts w:hint="eastAsia"/>
          <w:lang w:eastAsia="zh-CN"/>
        </w:rPr>
        <w:t xml:space="preserve"> </w:t>
      </w:r>
      <w:r>
        <w:rPr>
          <w:rFonts w:hint="eastAsia"/>
        </w:rPr>
        <w:t>工艺流程</w:t>
      </w:r>
      <w:r>
        <w:rPr>
          <w:rFonts w:hint="eastAsia"/>
          <w:lang w:eastAsia="zh-CN"/>
        </w:rPr>
        <w:t>及产排污节点分析</w:t>
      </w:r>
      <w:bookmarkEnd w:id="201"/>
      <w:bookmarkEnd w:id="202"/>
    </w:p>
    <w:p w14:paraId="2C39E2C4">
      <w:pPr>
        <w:pStyle w:val="133"/>
        <w:spacing w:after="100" w:afterAutospacing="1"/>
        <w:rPr>
          <w:rFonts w:hint="eastAsia" w:eastAsia="宋体"/>
          <w:lang w:eastAsia="zh-CN"/>
        </w:rPr>
      </w:pPr>
      <w:r>
        <w:rPr>
          <w:rFonts w:hint="eastAsia"/>
        </w:rPr>
        <w:t>2</w:t>
      </w:r>
      <w:r>
        <w:t>.</w:t>
      </w:r>
      <w:r>
        <w:rPr>
          <w:rFonts w:hint="eastAsia"/>
        </w:rPr>
        <w:t>2</w:t>
      </w:r>
      <w:r>
        <w:t>.</w:t>
      </w:r>
      <w:r>
        <w:rPr>
          <w:rFonts w:hint="eastAsia"/>
          <w:lang w:eastAsia="zh-CN"/>
        </w:rPr>
        <w:t>4</w:t>
      </w:r>
      <w:r>
        <w:t>.</w:t>
      </w:r>
      <w:r>
        <w:rPr>
          <w:rFonts w:hint="eastAsia"/>
          <w:lang w:eastAsia="zh-CN"/>
        </w:rPr>
        <w:t xml:space="preserve">1 </w:t>
      </w:r>
      <w:r>
        <w:rPr>
          <w:rFonts w:hint="eastAsia"/>
          <w:lang w:val="en-US" w:eastAsia="zh-CN"/>
        </w:rPr>
        <w:t>烧结</w:t>
      </w:r>
    </w:p>
    <w:p w14:paraId="2F01A75F">
      <w:pPr>
        <w:spacing w:line="500" w:lineRule="exact"/>
        <w:ind w:right="6" w:firstLine="480" w:firstLineChars="200"/>
        <w:jc w:val="both"/>
        <w:rPr>
          <w:rFonts w:ascii="Times New Roman" w:hAnsi="Times New Roman" w:cs="Times New Roman"/>
        </w:rPr>
      </w:pPr>
      <w:r>
        <w:rPr>
          <w:rFonts w:hint="eastAsia" w:ascii="Times New Roman" w:hAnsi="Times New Roman" w:cs="Times New Roman"/>
        </w:rPr>
        <w:t>采用地下配料室、人工配料</w:t>
      </w:r>
      <w:r>
        <w:rPr>
          <w:rFonts w:hint="eastAsia" w:ascii="Times New Roman" w:hAnsi="Times New Roman" w:cs="Times New Roman"/>
          <w:lang w:eastAsia="zh-CN"/>
        </w:rPr>
        <w:t>；</w:t>
      </w:r>
      <w:r>
        <w:rPr>
          <w:rFonts w:hint="eastAsia" w:ascii="Times New Roman" w:hAnsi="Times New Roman" w:cs="Times New Roman"/>
        </w:rPr>
        <w:t>两段混合，提高混匀效果</w:t>
      </w:r>
      <w:r>
        <w:rPr>
          <w:rFonts w:hint="eastAsia" w:ascii="Times New Roman" w:hAnsi="Times New Roman" w:cs="Times New Roman"/>
          <w:lang w:eastAsia="zh-CN"/>
        </w:rPr>
        <w:t>；</w:t>
      </w:r>
      <w:r>
        <w:rPr>
          <w:rFonts w:hint="eastAsia" w:ascii="Times New Roman" w:hAnsi="Times New Roman" w:cs="Times New Roman"/>
        </w:rPr>
        <w:t>采用带式烧结机，用高炉煤气点火，保证点火温度，烧结矿卸到地面自然冷却</w:t>
      </w:r>
      <w:r>
        <w:rPr>
          <w:rFonts w:hint="eastAsia" w:ascii="Times New Roman" w:hAnsi="Times New Roman" w:cs="Times New Roman"/>
          <w:lang w:eastAsia="zh-CN"/>
        </w:rPr>
        <w:t>；</w:t>
      </w:r>
      <w:r>
        <w:rPr>
          <w:rFonts w:hint="eastAsia" w:ascii="Times New Roman" w:hAnsi="Times New Roman" w:cs="Times New Roman"/>
        </w:rPr>
        <w:t>烧结废气采用一个陶瓷多管除尘器和湿式脱硫装置处理后通过42m排气筒排放</w:t>
      </w:r>
      <w:r>
        <w:rPr>
          <w:rFonts w:hint="eastAsia" w:ascii="Times New Roman" w:hAnsi="Times New Roman" w:cs="Times New Roman"/>
          <w:lang w:eastAsia="zh-CN"/>
        </w:rPr>
        <w:t>；</w:t>
      </w:r>
      <w:r>
        <w:rPr>
          <w:rFonts w:hint="eastAsia" w:ascii="Times New Roman" w:hAnsi="Times New Roman" w:cs="Times New Roman"/>
        </w:rPr>
        <w:t>为减少烧结矿入炉粉末，采用一台圆筒筛进行筛分，</w:t>
      </w:r>
      <w:r>
        <w:rPr>
          <w:rFonts w:hint="eastAsia" w:ascii="Times New Roman" w:hAnsi="Times New Roman" w:cs="Times New Roman"/>
          <w:lang w:val="en-US" w:eastAsia="zh-CN"/>
        </w:rPr>
        <w:t>0</w:t>
      </w:r>
      <w:r>
        <w:rPr>
          <w:rFonts w:hint="eastAsia" w:ascii="Times New Roman" w:hAnsi="Times New Roman" w:cs="Times New Roman"/>
        </w:rPr>
        <w:t>~5mm返矿送配料，大于5mm部分送高炉。机尾卸矿端用一台布袋除尘器进行除尘，收集颗粒物送至配料室。</w:t>
      </w:r>
    </w:p>
    <w:p w14:paraId="601ABE17">
      <w:pPr>
        <w:spacing w:line="500" w:lineRule="exact"/>
        <w:ind w:right="6" w:firstLine="482" w:firstLineChars="200"/>
        <w:jc w:val="both"/>
        <w:rPr>
          <w:rFonts w:hint="eastAsia" w:ascii="Times New Roman" w:hAnsi="Times New Roman" w:cs="Times New Roman"/>
          <w:b/>
        </w:rPr>
      </w:pPr>
      <w:r>
        <w:rPr>
          <w:rFonts w:hint="eastAsia" w:ascii="Times New Roman" w:hAnsi="Times New Roman" w:cs="Times New Roman"/>
          <w:b/>
        </w:rPr>
        <w:t>产污节点分析：</w:t>
      </w:r>
    </w:p>
    <w:p w14:paraId="06FDD68A">
      <w:pPr>
        <w:spacing w:line="500" w:lineRule="exact"/>
        <w:ind w:right="6" w:firstLine="480" w:firstLineChars="200"/>
        <w:jc w:val="both"/>
        <w:rPr>
          <w:rFonts w:hint="eastAsia" w:ascii="Times New Roman" w:hAnsi="Times New Roman" w:cs="Times New Roman"/>
        </w:rPr>
      </w:pPr>
      <w:r>
        <w:rPr>
          <w:rFonts w:hint="eastAsia" w:ascii="Times New Roman" w:hAnsi="Times New Roman" w:cs="Times New Roman"/>
        </w:rPr>
        <w:t>（1）废气</w:t>
      </w:r>
    </w:p>
    <w:p w14:paraId="7F1D2ADC">
      <w:pPr>
        <w:spacing w:line="500" w:lineRule="exact"/>
        <w:ind w:right="6" w:firstLine="480" w:firstLineChars="200"/>
        <w:jc w:val="both"/>
        <w:rPr>
          <w:rFonts w:hint="eastAsia" w:ascii="Times New Roman" w:hAnsi="Times New Roman" w:cs="Times New Roman"/>
        </w:rPr>
      </w:pPr>
      <w:r>
        <w:rPr>
          <w:rFonts w:hint="eastAsia" w:ascii="Times New Roman" w:hAnsi="Times New Roman" w:cs="Times New Roman"/>
        </w:rPr>
        <w:t>①烧结原料和配料系统粉尘经脉冲布袋除尘器处理后通过15m排气筒排放。</w:t>
      </w:r>
    </w:p>
    <w:p w14:paraId="25732193">
      <w:pPr>
        <w:spacing w:line="500" w:lineRule="exact"/>
        <w:ind w:right="6" w:firstLine="480" w:firstLineChars="200"/>
        <w:jc w:val="both"/>
        <w:rPr>
          <w:rFonts w:hint="eastAsia" w:ascii="Times New Roman" w:hAnsi="Times New Roman" w:cs="Times New Roman"/>
        </w:rPr>
      </w:pPr>
      <w:r>
        <w:rPr>
          <w:rFonts w:hint="eastAsia" w:ascii="Times New Roman" w:hAnsi="Times New Roman" w:cs="Times New Roman"/>
        </w:rPr>
        <w:t>② 烧结机废气经陶瓷多管除尘器和湿式脱硫装置处理后通过42m排气筒排放。</w:t>
      </w:r>
    </w:p>
    <w:p w14:paraId="57A7EE76">
      <w:pPr>
        <w:spacing w:line="500" w:lineRule="exact"/>
        <w:ind w:right="6" w:firstLine="480" w:firstLineChars="200"/>
        <w:jc w:val="both"/>
        <w:rPr>
          <w:rFonts w:hint="eastAsia" w:ascii="Times New Roman" w:hAnsi="Times New Roman" w:cs="Times New Roman"/>
        </w:rPr>
      </w:pPr>
      <w:r>
        <w:rPr>
          <w:rFonts w:hint="eastAsia" w:ascii="Times New Roman" w:hAnsi="Times New Roman" w:cs="Times New Roman"/>
        </w:rPr>
        <w:t>③ 烧结机尾气经布袋除尘器处理后再通过15m排气筒排放。</w:t>
      </w:r>
    </w:p>
    <w:p w14:paraId="4C8DACAE">
      <w:pPr>
        <w:spacing w:line="500" w:lineRule="exact"/>
        <w:ind w:right="6" w:firstLine="480" w:firstLineChars="200"/>
        <w:jc w:val="both"/>
        <w:rPr>
          <w:rFonts w:ascii="Times New Roman" w:hAnsi="Times New Roman" w:cs="Times New Roman"/>
        </w:rPr>
      </w:pPr>
      <w:r>
        <w:rPr>
          <w:rFonts w:hint="eastAsia" w:ascii="Times New Roman" w:hAnsi="Times New Roman" w:cs="Times New Roman"/>
        </w:rPr>
        <w:t>（2）废水</w:t>
      </w:r>
    </w:p>
    <w:p w14:paraId="6E74D19E">
      <w:pPr>
        <w:pStyle w:val="310"/>
        <w:snapToGrid/>
        <w:spacing w:line="500" w:lineRule="exact"/>
        <w:jc w:val="both"/>
        <w:rPr>
          <w:rFonts w:ascii="Times New Roman" w:hAnsi="Times New Roman" w:cs="Times New Roman"/>
        </w:rPr>
      </w:pPr>
      <w:r>
        <w:rPr>
          <w:rFonts w:hint="eastAsia"/>
          <w:lang w:eastAsia="zh-CN"/>
        </w:rPr>
        <w:t>现有工程生产废水全部循环使用不外排，主要为</w:t>
      </w:r>
      <w:r>
        <w:rPr>
          <w:rFonts w:hint="eastAsia"/>
        </w:rPr>
        <w:t>设备间接冷却</w:t>
      </w:r>
      <w:r>
        <w:rPr>
          <w:rFonts w:hint="eastAsia"/>
          <w:lang w:eastAsia="zh-CN"/>
        </w:rPr>
        <w:t>净循环水，</w:t>
      </w:r>
      <w:r>
        <w:rPr>
          <w:rFonts w:hint="eastAsia"/>
        </w:rPr>
        <w:t>冷却</w:t>
      </w:r>
      <w:r>
        <w:rPr>
          <w:rFonts w:hint="eastAsia"/>
          <w:lang w:eastAsia="zh-CN"/>
        </w:rPr>
        <w:t>净循环水属于清净下水，</w:t>
      </w:r>
      <w:r>
        <w:rPr>
          <w:rFonts w:hint="eastAsia"/>
          <w:lang w:val="en-US" w:eastAsia="zh-CN"/>
        </w:rPr>
        <w:t>循环使用</w:t>
      </w:r>
      <w:r>
        <w:rPr>
          <w:rFonts w:hint="eastAsia"/>
          <w:lang w:eastAsia="zh-CN"/>
        </w:rPr>
        <w:t>，不外排。</w:t>
      </w:r>
      <w:r>
        <w:rPr>
          <w:rFonts w:ascii="Times New Roman" w:hAnsi="Times New Roman" w:cs="Times New Roman"/>
        </w:rPr>
        <w:t>生活污水收集于厂内化粪池</w:t>
      </w:r>
      <w:r>
        <w:rPr>
          <w:rFonts w:hint="eastAsia" w:ascii="Times New Roman" w:hAnsi="Times New Roman" w:cs="Times New Roman"/>
        </w:rPr>
        <w:t>，</w:t>
      </w:r>
      <w:r>
        <w:rPr>
          <w:rFonts w:hint="eastAsia" w:ascii="Times New Roman" w:hAnsi="Times New Roman" w:cs="Times New Roman"/>
          <w:lang w:val="en-US" w:eastAsia="zh-CN"/>
        </w:rPr>
        <w:t>定期清掏</w:t>
      </w:r>
      <w:r>
        <w:rPr>
          <w:rFonts w:ascii="Times New Roman" w:hAnsi="Times New Roman" w:cs="Times New Roman"/>
        </w:rPr>
        <w:t>。</w:t>
      </w:r>
    </w:p>
    <w:p w14:paraId="179D8D5F">
      <w:pPr>
        <w:spacing w:line="500" w:lineRule="exact"/>
        <w:ind w:right="6" w:firstLine="480" w:firstLineChars="200"/>
        <w:jc w:val="both"/>
        <w:rPr>
          <w:rFonts w:hint="eastAsia" w:ascii="Times New Roman" w:cs="Times New Roman"/>
        </w:rPr>
      </w:pPr>
      <w:r>
        <w:rPr>
          <w:rFonts w:hint="eastAsia" w:ascii="Times New Roman" w:cs="Times New Roman"/>
        </w:rPr>
        <w:t>（3）固体废物</w:t>
      </w:r>
    </w:p>
    <w:p w14:paraId="75F03115">
      <w:pPr>
        <w:spacing w:line="500" w:lineRule="exact"/>
        <w:ind w:right="6" w:firstLine="480" w:firstLineChars="200"/>
        <w:jc w:val="both"/>
        <w:rPr>
          <w:rFonts w:hint="eastAsia" w:ascii="Times New Roman" w:cs="Times New Roman"/>
        </w:rPr>
      </w:pPr>
      <w:r>
        <w:rPr>
          <w:rFonts w:hint="eastAsia" w:ascii="Times New Roman" w:cs="Times New Roman"/>
        </w:rPr>
        <w:t>固体废物主要为除尘系统收尘回收作为原料再利用</w:t>
      </w:r>
      <w:r>
        <w:rPr>
          <w:rFonts w:hint="eastAsia" w:ascii="Times New Roman" w:cs="Times New Roman"/>
          <w:lang w:eastAsia="zh-CN"/>
        </w:rPr>
        <w:t>；</w:t>
      </w:r>
      <w:r>
        <w:rPr>
          <w:rFonts w:hint="eastAsia" w:ascii="Times New Roman" w:cs="Times New Roman"/>
        </w:rPr>
        <w:t>脱硫渣暂存炉渣堆场定期出售</w:t>
      </w:r>
      <w:r>
        <w:rPr>
          <w:rFonts w:hint="eastAsia" w:ascii="Times New Roman" w:cs="Times New Roman"/>
          <w:lang w:eastAsia="zh-CN"/>
        </w:rPr>
        <w:t>；</w:t>
      </w:r>
      <w:r>
        <w:rPr>
          <w:rFonts w:hint="eastAsia" w:ascii="Times New Roman" w:cs="Times New Roman"/>
        </w:rPr>
        <w:t>生活垃圾均由环卫部门清运处置。</w:t>
      </w:r>
    </w:p>
    <w:p w14:paraId="2DC34B9C">
      <w:pPr>
        <w:spacing w:line="500" w:lineRule="exact"/>
        <w:ind w:right="6" w:firstLine="480" w:firstLineChars="200"/>
        <w:jc w:val="both"/>
        <w:rPr>
          <w:rFonts w:hint="eastAsia" w:ascii="Times New Roman" w:cs="Times New Roman"/>
        </w:rPr>
      </w:pPr>
      <w:r>
        <w:rPr>
          <w:rFonts w:hint="eastAsia" w:ascii="Times New Roman" w:cs="Times New Roman"/>
        </w:rPr>
        <w:t>（4）噪声</w:t>
      </w:r>
    </w:p>
    <w:p w14:paraId="48F130EB">
      <w:pPr>
        <w:spacing w:line="500" w:lineRule="exact"/>
        <w:ind w:right="6" w:firstLine="480" w:firstLineChars="200"/>
        <w:jc w:val="both"/>
        <w:rPr>
          <w:rFonts w:hint="eastAsia"/>
        </w:rPr>
      </w:pPr>
      <w:r>
        <w:rPr>
          <w:rFonts w:hint="eastAsia"/>
        </w:rPr>
        <w:t>项目噪声主要为轴流鼓风机、冷风放散阀、除尘风机及水泵等，噪声值75~105dB(A)。</w:t>
      </w:r>
    </w:p>
    <w:p w14:paraId="0777FDD1">
      <w:pPr>
        <w:spacing w:line="500" w:lineRule="exact"/>
        <w:ind w:right="6" w:firstLine="480" w:firstLineChars="200"/>
        <w:jc w:val="both"/>
        <w:rPr>
          <w:rFonts w:hint="eastAsia" w:ascii="Times New Roman" w:hAnsi="Times New Roman" w:cs="Times New Roman"/>
        </w:rPr>
      </w:pPr>
      <w:r>
        <w:rPr>
          <w:rFonts w:hint="eastAsia"/>
        </w:rPr>
        <w:t>工艺流程及产污节点图</w:t>
      </w:r>
      <w:r>
        <w:rPr>
          <w:rFonts w:ascii="Times New Roman" w:hAnsi="Times New Roman" w:cs="Times New Roman"/>
        </w:rPr>
        <w:t>见图2.2-</w:t>
      </w:r>
      <w:r>
        <w:rPr>
          <w:rFonts w:hint="eastAsia" w:ascii="Times New Roman" w:hAnsi="Times New Roman" w:cs="Times New Roman"/>
        </w:rPr>
        <w:t>1</w:t>
      </w:r>
      <w:r>
        <w:rPr>
          <w:rFonts w:ascii="Times New Roman" w:hAnsi="Times New Roman" w:cs="Times New Roman"/>
        </w:rPr>
        <w:t>。</w:t>
      </w:r>
    </w:p>
    <w:p w14:paraId="3B1CA117">
      <w:pPr>
        <w:spacing w:line="360" w:lineRule="auto"/>
        <w:ind w:right="6"/>
        <w:jc w:val="center"/>
        <w:rPr>
          <w:rFonts w:hint="eastAsia" w:ascii="Times New Roman" w:hAnsi="Times New Roman" w:eastAsia="黑体" w:cs="Times New Roman"/>
          <w:lang w:eastAsia="zh-CN"/>
        </w:rPr>
      </w:pPr>
      <w:r>
        <w:rPr>
          <w:rFonts w:hint="eastAsia" w:ascii="Times New Roman" w:hAnsi="Times New Roman" w:eastAsia="黑体" w:cs="Times New Roman"/>
          <w:lang w:eastAsia="zh-CN"/>
        </w:rPr>
        <w:drawing>
          <wp:inline distT="0" distB="0" distL="114300" distR="114300">
            <wp:extent cx="5127625" cy="4907915"/>
            <wp:effectExtent l="0" t="0" r="15875" b="6985"/>
            <wp:docPr id="84" name="图片 146" descr="7f71281e2341fc7dc6b9df5dd4836e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图片 146" descr="7f71281e2341fc7dc6b9df5dd4836e43"/>
                    <pic:cNvPicPr>
                      <a:picLocks noChangeAspect="1"/>
                    </pic:cNvPicPr>
                  </pic:nvPicPr>
                  <pic:blipFill>
                    <a:blip r:embed="rId39">
                      <a:grayscl/>
                      <a:lum bright="23999" contrast="66000"/>
                    </a:blip>
                    <a:srcRect l="11992" t="37778" r="11333" b="20940"/>
                    <a:stretch>
                      <a:fillRect/>
                    </a:stretch>
                  </pic:blipFill>
                  <pic:spPr>
                    <a:xfrm>
                      <a:off x="0" y="0"/>
                      <a:ext cx="5127625" cy="4907915"/>
                    </a:xfrm>
                    <a:prstGeom prst="rect">
                      <a:avLst/>
                    </a:prstGeom>
                    <a:noFill/>
                    <a:ln>
                      <a:noFill/>
                    </a:ln>
                  </pic:spPr>
                </pic:pic>
              </a:graphicData>
            </a:graphic>
          </wp:inline>
        </w:drawing>
      </w:r>
    </w:p>
    <w:p w14:paraId="528C5246">
      <w:pPr>
        <w:spacing w:line="360" w:lineRule="auto"/>
        <w:ind w:right="6"/>
        <w:jc w:val="center"/>
        <w:rPr>
          <w:rFonts w:hint="eastAsia" w:ascii="Times New Roman" w:hAnsi="Times New Roman" w:eastAsia="黑体" w:cs="Times New Roman"/>
        </w:rPr>
      </w:pPr>
      <w:r>
        <w:rPr>
          <w:rFonts w:ascii="Times New Roman" w:hAnsi="Times New Roman" w:eastAsia="黑体" w:cs="Times New Roman"/>
        </w:rPr>
        <w:t xml:space="preserve">图2.2-1  </w:t>
      </w:r>
      <w:r>
        <w:rPr>
          <w:rFonts w:hint="eastAsia" w:ascii="Times New Roman" w:hAnsi="Times New Roman" w:eastAsia="黑体" w:cs="Times New Roman"/>
        </w:rPr>
        <w:t>已建工程</w:t>
      </w:r>
      <w:r>
        <w:rPr>
          <w:rFonts w:hint="eastAsia" w:ascii="Times New Roman" w:hAnsi="Times New Roman" w:eastAsia="黑体" w:cs="Times New Roman"/>
          <w:lang w:val="en-US" w:eastAsia="zh-CN"/>
        </w:rPr>
        <w:t>烧结</w:t>
      </w:r>
      <w:r>
        <w:rPr>
          <w:rFonts w:ascii="Times New Roman" w:hAnsi="Times New Roman" w:eastAsia="黑体" w:cs="Times New Roman"/>
        </w:rPr>
        <w:t>生产工艺及产污节点</w:t>
      </w:r>
    </w:p>
    <w:p w14:paraId="1FDCF9AE">
      <w:pPr>
        <w:spacing w:line="360" w:lineRule="auto"/>
        <w:ind w:right="6"/>
        <w:jc w:val="center"/>
        <w:rPr>
          <w:rFonts w:ascii="Times New Roman" w:hAnsi="Times New Roman" w:eastAsia="黑体" w:cs="Times New Roman"/>
        </w:rPr>
        <w:sectPr>
          <w:pgSz w:w="11906" w:h="16838"/>
          <w:pgMar w:top="1701" w:right="1701" w:bottom="1701" w:left="1701" w:header="851" w:footer="992" w:gutter="0"/>
          <w:pgBorders w:offsetFrom="page">
            <w:top w:val="none" w:sz="0" w:space="0"/>
            <w:left w:val="none" w:sz="0" w:space="0"/>
            <w:bottom w:val="none" w:sz="0" w:space="0"/>
            <w:right w:val="none" w:sz="0" w:space="0"/>
          </w:pgBorders>
          <w:pgNumType w:fmt="decimal"/>
          <w:cols w:space="720" w:num="1"/>
          <w:docGrid w:type="lines" w:linePitch="312" w:charSpace="0"/>
        </w:sectPr>
      </w:pPr>
    </w:p>
    <w:p w14:paraId="48BF9C41">
      <w:pPr>
        <w:pStyle w:val="133"/>
        <w:spacing w:after="100" w:afterAutospacing="1"/>
        <w:rPr>
          <w:rFonts w:hint="eastAsia" w:eastAsia="宋体"/>
          <w:lang w:eastAsia="zh-CN"/>
        </w:rPr>
      </w:pPr>
      <w:r>
        <w:t>2.2.4.2</w:t>
      </w:r>
      <w:r>
        <w:rPr>
          <w:rFonts w:hint="eastAsia"/>
          <w:lang w:eastAsia="zh-CN"/>
        </w:rPr>
        <w:t xml:space="preserve"> </w:t>
      </w:r>
      <w:r>
        <w:rPr>
          <w:rFonts w:hint="eastAsia"/>
          <w:lang w:val="en-US" w:eastAsia="zh-CN"/>
        </w:rPr>
        <w:t>球团竖炉</w:t>
      </w:r>
    </w:p>
    <w:p w14:paraId="122D9BDE">
      <w:pPr>
        <w:spacing w:line="500" w:lineRule="exact"/>
        <w:ind w:right="6" w:firstLine="480" w:firstLineChars="200"/>
        <w:jc w:val="both"/>
        <w:rPr>
          <w:rFonts w:ascii="Times New Roman" w:hAnsi="Times New Roman" w:cs="Times New Roman"/>
        </w:rPr>
      </w:pPr>
      <w:r>
        <w:rPr>
          <w:rFonts w:hint="eastAsia"/>
        </w:rPr>
        <w:t>精矿水分控制在9%以上，膨润土配入量为2%，人工配料</w:t>
      </w:r>
      <w:r>
        <w:rPr>
          <w:rFonts w:hint="eastAsia"/>
          <w:lang w:eastAsia="zh-CN"/>
        </w:rPr>
        <w:t>；</w:t>
      </w:r>
      <w:r>
        <w:rPr>
          <w:rFonts w:hint="eastAsia"/>
        </w:rPr>
        <w:t>采用一台双轴搅拌机作为混合设备</w:t>
      </w:r>
      <w:r>
        <w:rPr>
          <w:rFonts w:hint="eastAsia"/>
          <w:lang w:eastAsia="zh-CN"/>
        </w:rPr>
        <w:t>；</w:t>
      </w:r>
      <w:r>
        <w:rPr>
          <w:rFonts w:hint="eastAsia"/>
        </w:rPr>
        <w:t>每座竖炉配用一台圆盘造球机及一台圆辊式筛分机，筛出0~-5mm粉末，后者再送回造球机重新造球</w:t>
      </w:r>
      <w:r>
        <w:rPr>
          <w:rFonts w:hint="eastAsia"/>
          <w:lang w:eastAsia="zh-CN"/>
        </w:rPr>
        <w:t>；</w:t>
      </w:r>
      <w:r>
        <w:rPr>
          <w:rFonts w:hint="eastAsia"/>
        </w:rPr>
        <w:t>竖炉焙烧带呈圆环形，中心为废气通道，焙烧带外侧设有环型燃烧室，12个煤气烧咀沿圆周均匀分布，每座竖炉配有1台助燃风机及1台冷却风机</w:t>
      </w:r>
      <w:r>
        <w:rPr>
          <w:rFonts w:hint="eastAsia"/>
          <w:lang w:eastAsia="zh-CN"/>
        </w:rPr>
        <w:t>：</w:t>
      </w:r>
      <w:r>
        <w:rPr>
          <w:rFonts w:hint="eastAsia"/>
        </w:rPr>
        <w:t>冷却后的球团落地排出炉外，机械出料，振动筛进行筛分，0~-5mm返矿，大于5mm送至高炉</w:t>
      </w:r>
      <w:r>
        <w:rPr>
          <w:rFonts w:hint="eastAsia"/>
          <w:lang w:eastAsia="zh-CN"/>
        </w:rPr>
        <w:t>；</w:t>
      </w:r>
      <w:r>
        <w:rPr>
          <w:rFonts w:hint="eastAsia"/>
        </w:rPr>
        <w:t>从环形竖炉中心通道引出的废气，经地下水平烟道降尘，通过引风机由烟囱排至大气。</w:t>
      </w:r>
    </w:p>
    <w:p w14:paraId="40438CB9">
      <w:pPr>
        <w:spacing w:line="500" w:lineRule="exact"/>
        <w:ind w:right="6" w:firstLine="482" w:firstLineChars="200"/>
        <w:jc w:val="both"/>
        <w:rPr>
          <w:rFonts w:hint="eastAsia" w:ascii="Times New Roman" w:hAnsi="Times New Roman" w:cs="Times New Roman"/>
          <w:b/>
        </w:rPr>
      </w:pPr>
      <w:r>
        <w:rPr>
          <w:rFonts w:hint="eastAsia" w:ascii="Times New Roman" w:hAnsi="Times New Roman" w:cs="Times New Roman"/>
          <w:b/>
        </w:rPr>
        <w:t>产污节点分析：</w:t>
      </w:r>
    </w:p>
    <w:p w14:paraId="04039B49">
      <w:pPr>
        <w:spacing w:line="500" w:lineRule="exact"/>
        <w:ind w:right="6" w:firstLine="480" w:firstLineChars="200"/>
        <w:jc w:val="both"/>
        <w:rPr>
          <w:rFonts w:hint="eastAsia" w:ascii="Times New Roman" w:hAnsi="Times New Roman" w:cs="Times New Roman"/>
        </w:rPr>
      </w:pPr>
      <w:r>
        <w:rPr>
          <w:rFonts w:hint="eastAsia" w:ascii="Times New Roman" w:hAnsi="Times New Roman" w:cs="Times New Roman"/>
        </w:rPr>
        <w:t>（1）废气</w:t>
      </w:r>
    </w:p>
    <w:p w14:paraId="5DD7A313">
      <w:pPr>
        <w:spacing w:line="500" w:lineRule="exact"/>
        <w:ind w:right="6" w:firstLine="480" w:firstLineChars="200"/>
        <w:jc w:val="both"/>
        <w:rPr>
          <w:rFonts w:ascii="Times New Roman" w:hAnsi="Times New Roman" w:cs="Times New Roman"/>
        </w:rPr>
      </w:pPr>
      <w:r>
        <w:rPr>
          <w:rFonts w:hint="eastAsia" w:ascii="Times New Roman" w:hAnsi="Times New Roman" w:cs="Times New Roman"/>
        </w:rPr>
        <w:t>球团焙烧废气经3台布袋除尘器处理后，再由湿电脱硫塔处理后经1根15m排气筒排放。</w:t>
      </w:r>
    </w:p>
    <w:p w14:paraId="1CAB34FF">
      <w:pPr>
        <w:spacing w:line="500" w:lineRule="exact"/>
        <w:ind w:right="6" w:firstLine="480" w:firstLineChars="200"/>
        <w:jc w:val="both"/>
        <w:rPr>
          <w:rFonts w:ascii="Times New Roman" w:hAnsi="Times New Roman" w:cs="Times New Roman"/>
        </w:rPr>
      </w:pPr>
      <w:r>
        <w:rPr>
          <w:rFonts w:hint="eastAsia" w:ascii="Times New Roman" w:hAnsi="Times New Roman" w:cs="Times New Roman"/>
        </w:rPr>
        <w:t>（2）废水</w:t>
      </w:r>
    </w:p>
    <w:p w14:paraId="75868E50">
      <w:pPr>
        <w:spacing w:line="500" w:lineRule="exact"/>
        <w:ind w:right="6" w:firstLine="480" w:firstLineChars="200"/>
        <w:jc w:val="both"/>
        <w:rPr>
          <w:rFonts w:ascii="Times New Roman" w:hAnsi="Times New Roman" w:cs="Times New Roman"/>
        </w:rPr>
      </w:pPr>
      <w:r>
        <w:rPr>
          <w:rFonts w:hint="eastAsia"/>
          <w:lang w:eastAsia="zh-CN"/>
        </w:rPr>
        <w:t>现有工程生产废水全部循环使用不外排，主要为</w:t>
      </w:r>
      <w:r>
        <w:rPr>
          <w:rFonts w:hint="eastAsia"/>
        </w:rPr>
        <w:t>设备间接冷却</w:t>
      </w:r>
      <w:r>
        <w:rPr>
          <w:rFonts w:hint="eastAsia"/>
          <w:lang w:eastAsia="zh-CN"/>
        </w:rPr>
        <w:t>净循环水，</w:t>
      </w:r>
      <w:r>
        <w:rPr>
          <w:rFonts w:hint="eastAsia"/>
        </w:rPr>
        <w:t>冷却</w:t>
      </w:r>
      <w:r>
        <w:rPr>
          <w:rFonts w:hint="eastAsia"/>
          <w:lang w:eastAsia="zh-CN"/>
        </w:rPr>
        <w:t>净循环水属于清净下水，</w:t>
      </w:r>
      <w:r>
        <w:rPr>
          <w:rFonts w:hint="eastAsia"/>
          <w:lang w:val="en-US" w:eastAsia="zh-CN"/>
        </w:rPr>
        <w:t>循环使用</w:t>
      </w:r>
      <w:r>
        <w:rPr>
          <w:rFonts w:hint="eastAsia"/>
          <w:lang w:eastAsia="zh-CN"/>
        </w:rPr>
        <w:t>，不外排。</w:t>
      </w:r>
      <w:r>
        <w:rPr>
          <w:rFonts w:ascii="Times New Roman" w:hAnsi="Times New Roman" w:cs="Times New Roman"/>
        </w:rPr>
        <w:t>生活污水收集于厂内化粪池</w:t>
      </w:r>
      <w:r>
        <w:rPr>
          <w:rFonts w:hint="eastAsia" w:ascii="Times New Roman" w:hAnsi="Times New Roman" w:cs="Times New Roman"/>
        </w:rPr>
        <w:t>，</w:t>
      </w:r>
      <w:r>
        <w:rPr>
          <w:rFonts w:hint="eastAsia" w:ascii="Times New Roman" w:hAnsi="Times New Roman" w:cs="Times New Roman"/>
          <w:lang w:val="en-US" w:eastAsia="zh-CN"/>
        </w:rPr>
        <w:t>定期清掏</w:t>
      </w:r>
      <w:r>
        <w:rPr>
          <w:rFonts w:hint="eastAsia" w:ascii="Times New Roman" w:cs="Times New Roman"/>
        </w:rPr>
        <w:t>。</w:t>
      </w:r>
    </w:p>
    <w:p w14:paraId="33A9A37A">
      <w:pPr>
        <w:spacing w:line="500" w:lineRule="exact"/>
        <w:ind w:right="6" w:firstLine="480" w:firstLineChars="200"/>
        <w:jc w:val="both"/>
        <w:rPr>
          <w:rFonts w:hint="eastAsia" w:ascii="Times New Roman" w:cs="Times New Roman"/>
        </w:rPr>
      </w:pPr>
      <w:r>
        <w:rPr>
          <w:rFonts w:hint="eastAsia" w:ascii="Times New Roman" w:cs="Times New Roman"/>
        </w:rPr>
        <w:t>（3）固体废物</w:t>
      </w:r>
    </w:p>
    <w:p w14:paraId="73395F40">
      <w:pPr>
        <w:spacing w:line="500" w:lineRule="exact"/>
        <w:ind w:right="6" w:firstLine="480" w:firstLineChars="200"/>
        <w:jc w:val="both"/>
        <w:rPr>
          <w:rFonts w:hint="eastAsia" w:ascii="Times New Roman" w:cs="Times New Roman"/>
        </w:rPr>
      </w:pPr>
      <w:r>
        <w:rPr>
          <w:rFonts w:hint="eastAsia" w:ascii="Times New Roman" w:cs="Times New Roman"/>
        </w:rPr>
        <w:t>固体废物主要为除尘系统收尘回收作为原料再利用</w:t>
      </w:r>
      <w:r>
        <w:rPr>
          <w:rFonts w:hint="eastAsia" w:ascii="Times New Roman" w:cs="Times New Roman"/>
          <w:lang w:eastAsia="zh-CN"/>
        </w:rPr>
        <w:t>；</w:t>
      </w:r>
      <w:r>
        <w:rPr>
          <w:rFonts w:hint="eastAsia" w:ascii="Times New Roman" w:cs="Times New Roman"/>
        </w:rPr>
        <w:t>脱硫渣暂存炉渣堆场定期出售</w:t>
      </w:r>
      <w:r>
        <w:rPr>
          <w:rFonts w:hint="eastAsia" w:ascii="Times New Roman" w:cs="Times New Roman"/>
          <w:lang w:eastAsia="zh-CN"/>
        </w:rPr>
        <w:t>；</w:t>
      </w:r>
      <w:r>
        <w:rPr>
          <w:rFonts w:hint="eastAsia" w:ascii="Times New Roman" w:cs="Times New Roman"/>
        </w:rPr>
        <w:t>生活垃圾均由环卫部门清运处置。</w:t>
      </w:r>
    </w:p>
    <w:p w14:paraId="24EF6851">
      <w:pPr>
        <w:spacing w:line="500" w:lineRule="exact"/>
        <w:ind w:right="6" w:firstLine="480" w:firstLineChars="200"/>
        <w:jc w:val="both"/>
        <w:rPr>
          <w:rFonts w:hint="eastAsia" w:ascii="Times New Roman" w:cs="Times New Roman"/>
        </w:rPr>
      </w:pPr>
      <w:r>
        <w:rPr>
          <w:rFonts w:hint="eastAsia" w:ascii="Times New Roman" w:cs="Times New Roman"/>
        </w:rPr>
        <w:t>（4）噪声</w:t>
      </w:r>
    </w:p>
    <w:p w14:paraId="2B0998AD">
      <w:pPr>
        <w:spacing w:line="500" w:lineRule="exact"/>
        <w:ind w:right="6" w:firstLine="480" w:firstLineChars="200"/>
        <w:jc w:val="both"/>
        <w:rPr>
          <w:rFonts w:hint="eastAsia"/>
        </w:rPr>
      </w:pPr>
      <w:r>
        <w:rPr>
          <w:rFonts w:hint="eastAsia"/>
        </w:rPr>
        <w:t>项目噪声主要为轴流鼓风机、冷风放散阀、除尘风机及水泵等，噪声值75~105dB(A)。</w:t>
      </w:r>
    </w:p>
    <w:p w14:paraId="5E477868">
      <w:pPr>
        <w:spacing w:line="500" w:lineRule="exact"/>
        <w:ind w:right="6" w:firstLine="480" w:firstLineChars="200"/>
        <w:jc w:val="both"/>
        <w:rPr>
          <w:rFonts w:hint="eastAsia" w:ascii="Times New Roman" w:hAnsi="Times New Roman" w:cs="Times New Roman"/>
        </w:rPr>
      </w:pPr>
      <w:r>
        <w:rPr>
          <w:rFonts w:hint="eastAsia"/>
        </w:rPr>
        <w:t>已建工程</w:t>
      </w:r>
      <w:r>
        <w:rPr>
          <w:rFonts w:hint="eastAsia"/>
          <w:lang w:val="en-US" w:eastAsia="zh-CN"/>
        </w:rPr>
        <w:t>球团</w:t>
      </w:r>
      <w:r>
        <w:rPr>
          <w:rFonts w:hint="eastAsia"/>
        </w:rPr>
        <w:t>生产工艺流程及产污节点图</w:t>
      </w:r>
      <w:r>
        <w:rPr>
          <w:rFonts w:ascii="Times New Roman" w:hAnsi="Times New Roman" w:cs="Times New Roman"/>
        </w:rPr>
        <w:t>见图2.2-</w:t>
      </w:r>
      <w:r>
        <w:rPr>
          <w:rFonts w:hint="eastAsia" w:ascii="Times New Roman" w:hAnsi="Times New Roman" w:cs="Times New Roman"/>
        </w:rPr>
        <w:t>2。</w:t>
      </w:r>
    </w:p>
    <w:p w14:paraId="0ABD9243">
      <w:pPr>
        <w:spacing w:line="500" w:lineRule="exact"/>
        <w:ind w:right="6" w:firstLine="480" w:firstLineChars="200"/>
        <w:jc w:val="both"/>
        <w:rPr>
          <w:rFonts w:hint="eastAsia" w:ascii="Times New Roman" w:hAnsi="Times New Roman" w:cs="Times New Roman"/>
        </w:rPr>
      </w:pPr>
    </w:p>
    <w:p w14:paraId="7DCE12F2">
      <w:pPr>
        <w:rPr>
          <w:rFonts w:hint="eastAsia"/>
          <w:lang w:eastAsia="zh-CN"/>
        </w:rPr>
      </w:pPr>
      <w:r>
        <w:rPr>
          <w:rFonts w:hint="eastAsia"/>
          <w:lang w:eastAsia="zh-CN"/>
        </w:rPr>
        <w:drawing>
          <wp:inline distT="0" distB="0" distL="114300" distR="114300">
            <wp:extent cx="5013325" cy="6330950"/>
            <wp:effectExtent l="0" t="0" r="15875" b="12700"/>
            <wp:docPr id="85" name="图片 148" descr="9f9a174794f924547fd32544729f0e9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图片 148" descr="9f9a174794f924547fd32544729f0e9d"/>
                    <pic:cNvPicPr>
                      <a:picLocks noChangeAspect="1"/>
                    </pic:cNvPicPr>
                  </pic:nvPicPr>
                  <pic:blipFill>
                    <a:blip r:embed="rId40">
                      <a:grayscl/>
                      <a:lum bright="35999" contrast="54000"/>
                    </a:blip>
                    <a:srcRect l="10484" t="35419" r="23170" b="17455"/>
                    <a:stretch>
                      <a:fillRect/>
                    </a:stretch>
                  </pic:blipFill>
                  <pic:spPr>
                    <a:xfrm>
                      <a:off x="0" y="0"/>
                      <a:ext cx="5013325" cy="6330950"/>
                    </a:xfrm>
                    <a:prstGeom prst="rect">
                      <a:avLst/>
                    </a:prstGeom>
                    <a:noFill/>
                    <a:ln>
                      <a:noFill/>
                    </a:ln>
                  </pic:spPr>
                </pic:pic>
              </a:graphicData>
            </a:graphic>
          </wp:inline>
        </w:drawing>
      </w:r>
    </w:p>
    <w:p w14:paraId="0A7DE8CC">
      <w:pPr>
        <w:jc w:val="center"/>
        <w:rPr>
          <w:rFonts w:hint="eastAsia"/>
          <w:lang w:eastAsia="zh-CN"/>
        </w:rPr>
        <w:sectPr>
          <w:pgSz w:w="11906" w:h="16838"/>
          <w:pgMar w:top="1701" w:right="1701" w:bottom="1701" w:left="1701" w:header="851" w:footer="992" w:gutter="0"/>
          <w:pgBorders w:offsetFrom="page">
            <w:top w:val="none" w:sz="0" w:space="0"/>
            <w:left w:val="none" w:sz="0" w:space="0"/>
            <w:bottom w:val="none" w:sz="0" w:space="0"/>
            <w:right w:val="none" w:sz="0" w:space="0"/>
          </w:pgBorders>
          <w:pgNumType w:fmt="decimal"/>
          <w:cols w:space="720" w:num="1"/>
          <w:docGrid w:type="lines" w:linePitch="312" w:charSpace="0"/>
        </w:sectPr>
      </w:pPr>
      <w:r>
        <w:rPr>
          <w:rFonts w:ascii="Times New Roman" w:hAnsi="Times New Roman" w:eastAsia="黑体" w:cs="Times New Roman"/>
        </w:rPr>
        <w:t>图2.2-</w:t>
      </w:r>
      <w:r>
        <w:rPr>
          <w:rFonts w:hint="eastAsia" w:ascii="Times New Roman" w:hAnsi="Times New Roman" w:eastAsia="黑体" w:cs="Times New Roman"/>
        </w:rPr>
        <w:t>2</w:t>
      </w:r>
      <w:r>
        <w:rPr>
          <w:rFonts w:ascii="Times New Roman" w:hAnsi="Times New Roman" w:eastAsia="黑体" w:cs="Times New Roman"/>
        </w:rPr>
        <w:t xml:space="preserve">  </w:t>
      </w:r>
      <w:r>
        <w:rPr>
          <w:rFonts w:hint="eastAsia" w:ascii="Times New Roman" w:hAnsi="Times New Roman" w:eastAsia="黑体" w:cs="Times New Roman"/>
        </w:rPr>
        <w:t>已建工程</w:t>
      </w:r>
      <w:r>
        <w:rPr>
          <w:rFonts w:hint="eastAsia" w:ascii="Times New Roman" w:hAnsi="Times New Roman" w:eastAsia="黑体" w:cs="Times New Roman"/>
          <w:lang w:val="en-US" w:eastAsia="zh-CN"/>
        </w:rPr>
        <w:t>球团</w:t>
      </w:r>
      <w:r>
        <w:rPr>
          <w:rFonts w:ascii="Times New Roman" w:hAnsi="Times New Roman" w:eastAsia="黑体" w:cs="Times New Roman"/>
        </w:rPr>
        <w:t>生产工艺及产污节点</w:t>
      </w:r>
    </w:p>
    <w:p w14:paraId="50698FC7">
      <w:pPr>
        <w:pStyle w:val="133"/>
        <w:spacing w:after="100" w:afterAutospacing="1"/>
        <w:rPr>
          <w:rFonts w:hint="default"/>
          <w:lang w:val="en-US"/>
        </w:rPr>
      </w:pPr>
      <w:r>
        <w:t>2.2.4.</w:t>
      </w:r>
      <w:r>
        <w:rPr>
          <w:rFonts w:hint="eastAsia"/>
          <w:lang w:eastAsia="zh-CN"/>
        </w:rPr>
        <w:t xml:space="preserve">3 </w:t>
      </w:r>
      <w:r>
        <w:rPr>
          <w:rFonts w:hint="eastAsia"/>
          <w:lang w:val="en-US" w:eastAsia="zh-CN"/>
        </w:rPr>
        <w:t>白灰窑</w:t>
      </w:r>
    </w:p>
    <w:p w14:paraId="4F8B5410">
      <w:pPr>
        <w:adjustRightInd w:val="0"/>
        <w:snapToGrid w:val="0"/>
        <w:spacing w:line="500" w:lineRule="exact"/>
        <w:ind w:firstLine="480" w:firstLineChars="200"/>
        <w:jc w:val="both"/>
        <w:rPr>
          <w:rFonts w:hint="eastAsia" w:ascii="Times New Roman" w:hAnsi="Times New Roman" w:cs="Times New Roman"/>
        </w:rPr>
      </w:pPr>
      <w:r>
        <w:rPr>
          <w:rFonts w:hint="eastAsia" w:ascii="Times New Roman" w:hAnsi="Times New Roman" w:cs="Times New Roman"/>
        </w:rPr>
        <w:t>(1)上料过程</w:t>
      </w:r>
    </w:p>
    <w:p w14:paraId="101ED00E">
      <w:pPr>
        <w:adjustRightInd w:val="0"/>
        <w:snapToGrid w:val="0"/>
        <w:spacing w:line="500" w:lineRule="exact"/>
        <w:ind w:firstLine="480" w:firstLineChars="200"/>
        <w:jc w:val="both"/>
        <w:rPr>
          <w:rFonts w:hint="eastAsia" w:ascii="Times New Roman" w:hAnsi="Times New Roman" w:cs="Times New Roman"/>
        </w:rPr>
      </w:pPr>
      <w:r>
        <w:rPr>
          <w:rFonts w:hint="eastAsia" w:ascii="Times New Roman" w:hAnsi="Times New Roman" w:cs="Times New Roman"/>
        </w:rPr>
        <w:t>合格粒度的石灰石由汽车运至车间原料场，原料场的石灰石由铲车至上料仓，上料仓内经上料皮带、振动筛筛分后，大于25mm筛上石灰石经上料卷扬机及物料皮带机进入窑顶受料装置入石灰竖窑，上料后闸板自动落下关闭;筛下料小于25mm石灰石经由汽车运至烧结车间使用</w:t>
      </w:r>
    </w:p>
    <w:p w14:paraId="6952BA19">
      <w:pPr>
        <w:adjustRightInd w:val="0"/>
        <w:snapToGrid w:val="0"/>
        <w:spacing w:line="500" w:lineRule="exact"/>
        <w:ind w:firstLine="480" w:firstLineChars="200"/>
        <w:jc w:val="both"/>
        <w:rPr>
          <w:rFonts w:hint="eastAsia" w:ascii="Times New Roman" w:hAnsi="Times New Roman" w:cs="Times New Roman"/>
        </w:rPr>
      </w:pPr>
      <w:r>
        <w:rPr>
          <w:rFonts w:hint="eastAsia" w:ascii="Times New Roman" w:hAnsi="Times New Roman" w:cs="Times New Roman"/>
        </w:rPr>
        <w:t>(2)煅烧过程</w:t>
      </w:r>
    </w:p>
    <w:p w14:paraId="64A96EAF">
      <w:pPr>
        <w:adjustRightInd w:val="0"/>
        <w:snapToGrid w:val="0"/>
        <w:spacing w:line="500" w:lineRule="exact"/>
        <w:ind w:firstLine="480" w:firstLineChars="200"/>
        <w:jc w:val="both"/>
        <w:rPr>
          <w:rFonts w:hint="eastAsia" w:ascii="Times New Roman" w:hAnsi="Times New Roman" w:cs="Times New Roman"/>
        </w:rPr>
      </w:pPr>
      <w:r>
        <w:rPr>
          <w:rFonts w:hint="eastAsia" w:ascii="Times New Roman" w:hAnsi="Times New Roman" w:cs="Times New Roman"/>
        </w:rPr>
        <w:t>进入窑内上部的石灰石随着石灰的排出而下降，经上部顶热带预热后，在900~1200°C的煅烧带煅烧，石灰石的主要成分CaCO3受热分解，得到成品生石灰，成品生石灰在下移的过程中经过下部的冷却带，受到从窑底鼓入的冷风冷却、煅烧过程结束。</w:t>
      </w:r>
    </w:p>
    <w:p w14:paraId="066736BA">
      <w:pPr>
        <w:adjustRightInd w:val="0"/>
        <w:snapToGrid w:val="0"/>
        <w:spacing w:line="500" w:lineRule="exact"/>
        <w:ind w:firstLine="480" w:firstLineChars="200"/>
        <w:jc w:val="both"/>
        <w:rPr>
          <w:rFonts w:hint="eastAsia" w:ascii="Times New Roman" w:hAnsi="Times New Roman" w:cs="Times New Roman"/>
        </w:rPr>
      </w:pPr>
      <w:r>
        <w:rPr>
          <w:rFonts w:hint="eastAsia" w:ascii="Times New Roman" w:hAnsi="Times New Roman" w:cs="Times New Roman"/>
        </w:rPr>
        <w:t>石灰石煅烧工序的化学反应式如下:</w:t>
      </w:r>
    </w:p>
    <w:p w14:paraId="765EAA96">
      <w:pPr>
        <w:adjustRightInd w:val="0"/>
        <w:snapToGrid w:val="0"/>
        <w:spacing w:line="500" w:lineRule="exact"/>
        <w:ind w:firstLine="480" w:firstLineChars="200"/>
        <w:jc w:val="both"/>
        <w:rPr>
          <w:rFonts w:hint="eastAsia" w:ascii="Times New Roman" w:hAnsi="Times New Roman" w:cs="Times New Roman"/>
        </w:rPr>
      </w:pPr>
      <w:r>
        <w:rPr>
          <w:rFonts w:hint="eastAsia" w:ascii="Times New Roman" w:hAnsi="Times New Roman" w:cs="Times New Roman"/>
        </w:rPr>
        <w:t>CaCO</w:t>
      </w:r>
      <w:r>
        <w:rPr>
          <w:rFonts w:hint="eastAsia" w:ascii="Times New Roman" w:hAnsi="Times New Roman" w:cs="Times New Roman"/>
          <w:vertAlign w:val="subscript"/>
        </w:rPr>
        <w:t>3</w:t>
      </w:r>
      <w:r>
        <w:rPr>
          <w:rFonts w:hint="eastAsia" w:ascii="Times New Roman" w:hAnsi="Times New Roman" w:cs="Times New Roman"/>
        </w:rPr>
        <w:t>- Ca</w:t>
      </w:r>
      <w:r>
        <w:rPr>
          <w:rFonts w:hint="eastAsia" w:ascii="Times New Roman" w:hAnsi="Times New Roman" w:cs="Times New Roman"/>
          <w:lang w:val="en-US" w:eastAsia="zh-CN"/>
        </w:rPr>
        <w:t>O</w:t>
      </w:r>
      <w:r>
        <w:rPr>
          <w:rFonts w:hint="eastAsia" w:ascii="Times New Roman" w:hAnsi="Times New Roman" w:cs="Times New Roman"/>
        </w:rPr>
        <w:t>+CO</w:t>
      </w:r>
      <w:r>
        <w:rPr>
          <w:rFonts w:hint="eastAsia" w:ascii="Times New Roman" w:hAnsi="Times New Roman" w:cs="Times New Roman"/>
          <w:vertAlign w:val="subscript"/>
        </w:rPr>
        <w:t>2</w:t>
      </w:r>
    </w:p>
    <w:p w14:paraId="149C451E">
      <w:pPr>
        <w:adjustRightInd w:val="0"/>
        <w:snapToGrid w:val="0"/>
        <w:spacing w:line="500" w:lineRule="exact"/>
        <w:ind w:firstLine="480" w:firstLineChars="200"/>
        <w:jc w:val="both"/>
        <w:rPr>
          <w:rFonts w:hint="eastAsia" w:ascii="Times New Roman" w:hAnsi="Times New Roman" w:cs="Times New Roman"/>
        </w:rPr>
      </w:pPr>
      <w:r>
        <w:rPr>
          <w:rFonts w:hint="eastAsia" w:ascii="Times New Roman" w:hAnsi="Times New Roman" w:cs="Times New Roman"/>
        </w:rPr>
        <w:t>窑内热量来自于从窑身侧面进入的煤气燃烧，进入窑内的空气分为冷风和助燃风，分别由独立的风机供给。窑顶排出的废气，经管式换热器为冷风供热，完成热交换，煅烧废气经布袋除尘器处理后由风机排出。</w:t>
      </w:r>
    </w:p>
    <w:p w14:paraId="63C816F5">
      <w:pPr>
        <w:adjustRightInd w:val="0"/>
        <w:snapToGrid w:val="0"/>
        <w:spacing w:line="500" w:lineRule="exact"/>
        <w:ind w:firstLine="480" w:firstLineChars="200"/>
        <w:jc w:val="both"/>
        <w:rPr>
          <w:rFonts w:hint="eastAsia" w:ascii="Times New Roman" w:hAnsi="Times New Roman" w:cs="Times New Roman"/>
        </w:rPr>
      </w:pPr>
      <w:r>
        <w:rPr>
          <w:rFonts w:hint="eastAsia" w:ascii="Times New Roman" w:hAnsi="Times New Roman" w:cs="Times New Roman"/>
        </w:rPr>
        <w:t>窑内各工作带均温度检测，根据煅烧带的变化，调节煤气、空气用量，根据煤气用量配比调节冷风、助燃风量，以稳定炉膛温度。</w:t>
      </w:r>
    </w:p>
    <w:p w14:paraId="66EECB5A">
      <w:pPr>
        <w:adjustRightInd w:val="0"/>
        <w:snapToGrid w:val="0"/>
        <w:spacing w:line="500" w:lineRule="exact"/>
        <w:ind w:firstLine="480" w:firstLineChars="200"/>
        <w:jc w:val="both"/>
        <w:rPr>
          <w:rFonts w:hint="eastAsia" w:ascii="Times New Roman" w:hAnsi="Times New Roman" w:cs="Times New Roman"/>
        </w:rPr>
      </w:pPr>
      <w:r>
        <w:rPr>
          <w:rFonts w:hint="eastAsia" w:ascii="Times New Roman" w:hAnsi="Times New Roman" w:cs="Times New Roman"/>
        </w:rPr>
        <w:t>(3)出灰过程</w:t>
      </w:r>
    </w:p>
    <w:p w14:paraId="72E7468B">
      <w:pPr>
        <w:adjustRightInd w:val="0"/>
        <w:snapToGrid w:val="0"/>
        <w:spacing w:line="500" w:lineRule="exact"/>
        <w:ind w:firstLine="480" w:firstLineChars="200"/>
        <w:jc w:val="both"/>
        <w:rPr>
          <w:rFonts w:hint="eastAsia" w:ascii="Times New Roman" w:hAnsi="Times New Roman" w:cs="Times New Roman"/>
        </w:rPr>
      </w:pPr>
      <w:r>
        <w:rPr>
          <w:rFonts w:hint="eastAsia" w:ascii="Times New Roman" w:hAnsi="Times New Roman" w:cs="Times New Roman"/>
        </w:rPr>
        <w:t>冷却后的成品灰经出料皮带机进入破碎机进行破碎，破碎后的生石灰再进入振动筛进行筛分，筛分粒径小于8mm 为成品生石灰粉，直接通过密闭的皮带输送机进入现有的烧结车间原料库。本项目石灰窑车间距离烧结车间原料库2m，故可以通过皮带输送机进行物料输送。</w:t>
      </w:r>
    </w:p>
    <w:p w14:paraId="38F80CDD">
      <w:pPr>
        <w:spacing w:line="500" w:lineRule="exact"/>
        <w:ind w:right="6" w:firstLine="482" w:firstLineChars="200"/>
        <w:jc w:val="both"/>
        <w:rPr>
          <w:rFonts w:hint="eastAsia" w:ascii="Times New Roman" w:hAnsi="Times New Roman" w:cs="Times New Roman"/>
          <w:b/>
        </w:rPr>
      </w:pPr>
      <w:r>
        <w:rPr>
          <w:rFonts w:hint="eastAsia" w:ascii="Times New Roman" w:hAnsi="Times New Roman" w:cs="Times New Roman"/>
          <w:b/>
        </w:rPr>
        <w:t>产污节点分析：</w:t>
      </w:r>
    </w:p>
    <w:p w14:paraId="476E100B">
      <w:pPr>
        <w:adjustRightInd w:val="0"/>
        <w:snapToGrid w:val="0"/>
        <w:spacing w:line="500" w:lineRule="exact"/>
        <w:ind w:firstLine="480" w:firstLineChars="200"/>
        <w:jc w:val="both"/>
        <w:rPr>
          <w:rFonts w:hint="eastAsia" w:ascii="Times New Roman" w:hAnsi="Times New Roman" w:cs="Times New Roman"/>
          <w:lang w:val="en-US" w:eastAsia="zh-CN"/>
        </w:rPr>
      </w:pPr>
      <w:r>
        <w:rPr>
          <w:rFonts w:hint="eastAsia" w:ascii="Times New Roman" w:hAnsi="Times New Roman" w:cs="Times New Roman"/>
          <w:lang w:val="en-US" w:eastAsia="zh-CN"/>
        </w:rPr>
        <w:t>废气：</w:t>
      </w:r>
    </w:p>
    <w:p w14:paraId="6F724E06">
      <w:pPr>
        <w:adjustRightInd w:val="0"/>
        <w:snapToGrid w:val="0"/>
        <w:spacing w:line="500" w:lineRule="exact"/>
        <w:ind w:firstLine="480" w:firstLineChars="200"/>
        <w:jc w:val="both"/>
        <w:rPr>
          <w:rFonts w:hint="eastAsia" w:ascii="Times New Roman" w:hAnsi="Times New Roman" w:cs="Times New Roman"/>
        </w:rPr>
      </w:pPr>
      <w:r>
        <w:rPr>
          <w:rFonts w:hint="eastAsia" w:ascii="Times New Roman" w:hAnsi="Times New Roman" w:cs="Times New Roman"/>
        </w:rPr>
        <w:t>上料仓和上料皮带机，将产生无组织排放颗粒物，周围定期洒水抑尘</w:t>
      </w:r>
      <w:r>
        <w:rPr>
          <w:rFonts w:hint="eastAsia" w:ascii="Times New Roman" w:hAnsi="Times New Roman" w:cs="Times New Roman"/>
          <w:lang w:eastAsia="zh-CN"/>
        </w:rPr>
        <w:t>；</w:t>
      </w:r>
      <w:r>
        <w:rPr>
          <w:rFonts w:hint="eastAsia" w:ascii="Times New Roman" w:hAnsi="Times New Roman" w:cs="Times New Roman"/>
        </w:rPr>
        <w:t>上料振动筛筛分产生的颗粒物，经集尘罩收集后引至新建脉冲布袋除尘器处理排放，为有组织排放</w:t>
      </w:r>
      <w:r>
        <w:rPr>
          <w:rFonts w:hint="eastAsia" w:ascii="Times New Roman" w:hAnsi="Times New Roman" w:cs="Times New Roman"/>
          <w:lang w:eastAsia="zh-CN"/>
        </w:rPr>
        <w:t>；</w:t>
      </w:r>
    </w:p>
    <w:p w14:paraId="0FA5D85B">
      <w:pPr>
        <w:adjustRightInd w:val="0"/>
        <w:snapToGrid w:val="0"/>
        <w:spacing w:line="500" w:lineRule="exact"/>
        <w:ind w:firstLine="480" w:firstLineChars="200"/>
        <w:jc w:val="both"/>
        <w:rPr>
          <w:rFonts w:hint="eastAsia" w:ascii="Times New Roman" w:hAnsi="Times New Roman" w:cs="Times New Roman"/>
        </w:rPr>
      </w:pPr>
      <w:r>
        <w:rPr>
          <w:rFonts w:hint="eastAsia" w:ascii="Times New Roman" w:hAnsi="Times New Roman" w:cs="Times New Roman"/>
        </w:rPr>
        <w:t>上料卷扬机产生的颗粒物为无组织排放，周围定期洒水抑尘;</w:t>
      </w:r>
    </w:p>
    <w:p w14:paraId="764550B7">
      <w:pPr>
        <w:adjustRightInd w:val="0"/>
        <w:snapToGrid w:val="0"/>
        <w:spacing w:line="500" w:lineRule="exact"/>
        <w:ind w:firstLine="480" w:firstLineChars="200"/>
        <w:jc w:val="both"/>
        <w:rPr>
          <w:rFonts w:hint="eastAsia" w:ascii="Times New Roman" w:hAnsi="Times New Roman" w:eastAsia="宋体" w:cs="Times New Roman"/>
          <w:lang w:eastAsia="zh-CN"/>
        </w:rPr>
      </w:pPr>
      <w:r>
        <w:rPr>
          <w:rFonts w:hint="eastAsia" w:ascii="Times New Roman" w:hAnsi="Times New Roman" w:cs="Times New Roman"/>
        </w:rPr>
        <w:t>石灰窑窑顶将产生颗粒物、烟尘、SO2和NOx，经新建脉冲布袋除尘器处理后排放，为有组织排放</w:t>
      </w:r>
      <w:r>
        <w:rPr>
          <w:rFonts w:hint="eastAsia" w:ascii="Times New Roman" w:hAnsi="Times New Roman" w:cs="Times New Roman"/>
          <w:lang w:eastAsia="zh-CN"/>
        </w:rPr>
        <w:t>；</w:t>
      </w:r>
    </w:p>
    <w:p w14:paraId="60E17E49">
      <w:pPr>
        <w:adjustRightInd w:val="0"/>
        <w:snapToGrid w:val="0"/>
        <w:spacing w:line="500" w:lineRule="exact"/>
        <w:ind w:firstLine="480" w:firstLineChars="200"/>
        <w:jc w:val="both"/>
        <w:rPr>
          <w:rFonts w:hint="eastAsia" w:ascii="Times New Roman" w:hAnsi="Times New Roman" w:eastAsia="宋体" w:cs="Times New Roman"/>
          <w:lang w:eastAsia="zh-CN"/>
        </w:rPr>
      </w:pPr>
      <w:r>
        <w:rPr>
          <w:rFonts w:hint="eastAsia" w:ascii="Times New Roman" w:hAnsi="Times New Roman" w:cs="Times New Roman"/>
        </w:rPr>
        <w:t>出料皮带机，将产生无组织排放颗粒物，周围定期洒水抑尘</w:t>
      </w:r>
      <w:r>
        <w:rPr>
          <w:rFonts w:hint="eastAsia" w:ascii="Times New Roman" w:hAnsi="Times New Roman" w:cs="Times New Roman"/>
          <w:lang w:eastAsia="zh-CN"/>
        </w:rPr>
        <w:t>；</w:t>
      </w:r>
    </w:p>
    <w:p w14:paraId="3B305C65">
      <w:pPr>
        <w:adjustRightInd w:val="0"/>
        <w:snapToGrid w:val="0"/>
        <w:spacing w:line="500" w:lineRule="exact"/>
        <w:ind w:firstLine="480" w:firstLineChars="200"/>
        <w:jc w:val="both"/>
        <w:rPr>
          <w:rFonts w:hint="eastAsia" w:ascii="Times New Roman" w:hAnsi="Times New Roman" w:eastAsia="宋体" w:cs="Times New Roman"/>
          <w:lang w:eastAsia="zh-CN"/>
        </w:rPr>
      </w:pPr>
      <w:r>
        <w:rPr>
          <w:rFonts w:hint="eastAsia" w:ascii="Times New Roman" w:hAnsi="Times New Roman" w:cs="Times New Roman"/>
        </w:rPr>
        <w:t>破碎机和振动筛筛分产生的颗粒物经集尘罩收集进入新建脉冲布袋除尘器处理，为有组织排放</w:t>
      </w:r>
      <w:r>
        <w:rPr>
          <w:rFonts w:hint="eastAsia" w:ascii="Times New Roman" w:hAnsi="Times New Roman" w:cs="Times New Roman"/>
          <w:lang w:eastAsia="zh-CN"/>
        </w:rPr>
        <w:t>。</w:t>
      </w:r>
    </w:p>
    <w:p w14:paraId="183A4521">
      <w:pPr>
        <w:spacing w:line="500" w:lineRule="exact"/>
        <w:ind w:right="6" w:firstLine="480" w:firstLineChars="200"/>
        <w:jc w:val="both"/>
        <w:rPr>
          <w:rFonts w:hint="eastAsia" w:ascii="Times New Roman" w:cs="Times New Roman"/>
          <w:lang w:val="en-US" w:eastAsia="zh-CN"/>
        </w:rPr>
      </w:pPr>
      <w:r>
        <w:rPr>
          <w:rFonts w:hint="eastAsia" w:ascii="Times New Roman" w:cs="Times New Roman"/>
          <w:lang w:val="en-US" w:eastAsia="zh-CN"/>
        </w:rPr>
        <w:t>废水：</w:t>
      </w:r>
      <w:r>
        <w:rPr>
          <w:rFonts w:hint="eastAsia"/>
          <w:lang w:eastAsia="zh-CN"/>
        </w:rPr>
        <w:t>现有工程生产废水全部循环使用不外排，主要为</w:t>
      </w:r>
      <w:r>
        <w:rPr>
          <w:rFonts w:hint="eastAsia"/>
        </w:rPr>
        <w:t>设备间接冷却</w:t>
      </w:r>
      <w:r>
        <w:rPr>
          <w:rFonts w:hint="eastAsia"/>
          <w:lang w:eastAsia="zh-CN"/>
        </w:rPr>
        <w:t>净循环水，</w:t>
      </w:r>
      <w:r>
        <w:rPr>
          <w:rFonts w:hint="eastAsia"/>
        </w:rPr>
        <w:t>冷却</w:t>
      </w:r>
      <w:r>
        <w:rPr>
          <w:rFonts w:hint="eastAsia"/>
          <w:lang w:eastAsia="zh-CN"/>
        </w:rPr>
        <w:t>净循环水属于清净下水，</w:t>
      </w:r>
      <w:r>
        <w:rPr>
          <w:rFonts w:hint="eastAsia"/>
          <w:lang w:val="en-US" w:eastAsia="zh-CN"/>
        </w:rPr>
        <w:t>循环使用</w:t>
      </w:r>
      <w:r>
        <w:rPr>
          <w:rFonts w:hint="eastAsia"/>
          <w:lang w:eastAsia="zh-CN"/>
        </w:rPr>
        <w:t>，不外排。</w:t>
      </w:r>
      <w:r>
        <w:rPr>
          <w:rFonts w:ascii="Times New Roman" w:hAnsi="Times New Roman" w:cs="Times New Roman"/>
        </w:rPr>
        <w:t>生活污水收集于厂内化粪池</w:t>
      </w:r>
      <w:r>
        <w:rPr>
          <w:rFonts w:hint="eastAsia" w:ascii="Times New Roman" w:hAnsi="Times New Roman" w:cs="Times New Roman"/>
        </w:rPr>
        <w:t>，</w:t>
      </w:r>
      <w:r>
        <w:rPr>
          <w:rFonts w:hint="eastAsia" w:ascii="Times New Roman" w:hAnsi="Times New Roman" w:cs="Times New Roman"/>
          <w:lang w:val="en-US" w:eastAsia="zh-CN"/>
        </w:rPr>
        <w:t>定期清掏</w:t>
      </w:r>
      <w:r>
        <w:rPr>
          <w:rFonts w:hint="eastAsia" w:ascii="Times New Roman" w:cs="Times New Roman"/>
        </w:rPr>
        <w:t>。</w:t>
      </w:r>
    </w:p>
    <w:p w14:paraId="06D4D65A">
      <w:pPr>
        <w:adjustRightInd w:val="0"/>
        <w:snapToGrid w:val="0"/>
        <w:spacing w:line="500" w:lineRule="exact"/>
        <w:ind w:firstLine="480" w:firstLineChars="200"/>
        <w:jc w:val="both"/>
        <w:rPr>
          <w:rFonts w:hint="eastAsia" w:ascii="Times New Roman" w:hAnsi="Times New Roman" w:eastAsia="宋体" w:cs="Times New Roman"/>
          <w:lang w:eastAsia="zh-CN"/>
        </w:rPr>
      </w:pPr>
      <w:r>
        <w:rPr>
          <w:rFonts w:hint="eastAsia" w:ascii="Times New Roman" w:cs="Times New Roman"/>
          <w:lang w:val="en-US" w:eastAsia="zh-CN"/>
        </w:rPr>
        <w:t>固废：</w:t>
      </w:r>
      <w:r>
        <w:rPr>
          <w:rFonts w:hint="eastAsia" w:ascii="Times New Roman" w:hAnsi="Times New Roman" w:cs="Times New Roman"/>
        </w:rPr>
        <w:t>收尘灰收集后送至烧结车间堆存使用;振动筛下小于25mm的石灰石经由推车运至烧结车间使用</w:t>
      </w:r>
      <w:r>
        <w:rPr>
          <w:rFonts w:hint="eastAsia" w:ascii="Times New Roman" w:hAnsi="Times New Roman" w:cs="Times New Roman"/>
          <w:lang w:eastAsia="zh-CN"/>
        </w:rPr>
        <w:t>。</w:t>
      </w:r>
    </w:p>
    <w:p w14:paraId="2123C6C5">
      <w:pPr>
        <w:spacing w:line="500" w:lineRule="exact"/>
        <w:ind w:right="6" w:firstLine="480" w:firstLineChars="200"/>
        <w:jc w:val="both"/>
        <w:rPr>
          <w:rFonts w:hint="eastAsia" w:ascii="Times New Roman" w:cs="Times New Roman"/>
        </w:rPr>
      </w:pPr>
      <w:r>
        <w:rPr>
          <w:rFonts w:hint="eastAsia" w:ascii="Times New Roman" w:cs="Times New Roman"/>
          <w:lang w:val="en-US" w:eastAsia="zh-CN"/>
        </w:rPr>
        <w:t>噪声：</w:t>
      </w:r>
      <w:r>
        <w:rPr>
          <w:rFonts w:hint="eastAsia" w:ascii="Times New Roman" w:hAnsi="Times New Roman" w:cs="Times New Roman"/>
        </w:rPr>
        <w:t>冷风机、石灰窑风机</w:t>
      </w:r>
      <w:r>
        <w:rPr>
          <w:rFonts w:hint="eastAsia" w:ascii="Times New Roman" w:hAnsi="Times New Roman" w:cs="Times New Roman"/>
          <w:lang w:eastAsia="zh-CN"/>
        </w:rPr>
        <w:t>、</w:t>
      </w:r>
      <w:r>
        <w:rPr>
          <w:rFonts w:hint="eastAsia" w:ascii="Times New Roman" w:hAnsi="Times New Roman" w:cs="Times New Roman"/>
        </w:rPr>
        <w:t>破碎机和振动筛噪声设置基础减震措施。</w:t>
      </w:r>
    </w:p>
    <w:p w14:paraId="366E67B8">
      <w:pPr>
        <w:rPr>
          <w:rFonts w:hint="eastAsia"/>
          <w:lang w:eastAsia="zh-CN"/>
        </w:rPr>
      </w:pPr>
      <w:r>
        <w:rPr>
          <w:rFonts w:hint="eastAsia"/>
          <w:lang w:eastAsia="zh-CN"/>
        </w:rPr>
        <w:drawing>
          <wp:inline distT="0" distB="0" distL="114300" distR="114300">
            <wp:extent cx="4631690" cy="7100570"/>
            <wp:effectExtent l="0" t="0" r="16510" b="5080"/>
            <wp:docPr id="86" name="图片 149" descr="4f5096dd25c158597e5f329c02edea7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图片 149" descr="4f5096dd25c158597e5f329c02edea7d"/>
                    <pic:cNvPicPr>
                      <a:picLocks noChangeAspect="1"/>
                    </pic:cNvPicPr>
                  </pic:nvPicPr>
                  <pic:blipFill>
                    <a:blip r:embed="rId41">
                      <a:grayscl/>
                      <a:lum bright="29999" contrast="60000"/>
                    </a:blip>
                    <a:srcRect l="14513" t="22749" r="12888" b="14644"/>
                    <a:stretch>
                      <a:fillRect/>
                    </a:stretch>
                  </pic:blipFill>
                  <pic:spPr>
                    <a:xfrm>
                      <a:off x="0" y="0"/>
                      <a:ext cx="4631690" cy="7100570"/>
                    </a:xfrm>
                    <a:prstGeom prst="rect">
                      <a:avLst/>
                    </a:prstGeom>
                    <a:noFill/>
                    <a:ln>
                      <a:noFill/>
                    </a:ln>
                  </pic:spPr>
                </pic:pic>
              </a:graphicData>
            </a:graphic>
          </wp:inline>
        </w:drawing>
      </w:r>
    </w:p>
    <w:p w14:paraId="128262F4">
      <w:pPr>
        <w:jc w:val="center"/>
        <w:rPr>
          <w:rFonts w:hint="eastAsia"/>
          <w:lang w:eastAsia="zh-CN"/>
        </w:rPr>
        <w:sectPr>
          <w:headerReference r:id="rId16" w:type="default"/>
          <w:footerReference r:id="rId17" w:type="default"/>
          <w:pgSz w:w="11906" w:h="16838"/>
          <w:pgMar w:top="1701" w:right="1701" w:bottom="1701" w:left="1701" w:header="851" w:footer="992" w:gutter="0"/>
          <w:pgBorders w:offsetFrom="page">
            <w:top w:val="none" w:sz="0" w:space="0"/>
            <w:left w:val="none" w:sz="0" w:space="0"/>
            <w:bottom w:val="none" w:sz="0" w:space="0"/>
            <w:right w:val="none" w:sz="0" w:space="0"/>
          </w:pgBorders>
          <w:pgNumType w:fmt="decimal"/>
          <w:cols w:space="720" w:num="1"/>
          <w:docGrid w:type="lines" w:linePitch="312" w:charSpace="0"/>
        </w:sectPr>
      </w:pPr>
      <w:r>
        <w:rPr>
          <w:rFonts w:ascii="Times New Roman" w:hAnsi="Times New Roman" w:eastAsia="黑体" w:cs="Times New Roman"/>
        </w:rPr>
        <w:t>图2.2-</w:t>
      </w:r>
      <w:r>
        <w:rPr>
          <w:rFonts w:hint="eastAsia" w:ascii="Times New Roman" w:hAnsi="Times New Roman" w:eastAsia="黑体" w:cs="Times New Roman"/>
          <w:lang w:val="en-US" w:eastAsia="zh-CN"/>
        </w:rPr>
        <w:t>3</w:t>
      </w:r>
      <w:r>
        <w:rPr>
          <w:rFonts w:ascii="Times New Roman" w:hAnsi="Times New Roman" w:eastAsia="黑体" w:cs="Times New Roman"/>
        </w:rPr>
        <w:t xml:space="preserve">  </w:t>
      </w:r>
      <w:r>
        <w:rPr>
          <w:rFonts w:hint="eastAsia" w:ascii="Times New Roman" w:hAnsi="Times New Roman" w:eastAsia="黑体" w:cs="Times New Roman"/>
        </w:rPr>
        <w:t>已建工程</w:t>
      </w:r>
      <w:r>
        <w:rPr>
          <w:rFonts w:hint="eastAsia" w:ascii="Times New Roman" w:hAnsi="Times New Roman" w:eastAsia="黑体" w:cs="Times New Roman"/>
          <w:lang w:val="en-US" w:eastAsia="zh-CN"/>
        </w:rPr>
        <w:t>白灰窑</w:t>
      </w:r>
      <w:r>
        <w:rPr>
          <w:rFonts w:ascii="Times New Roman" w:hAnsi="Times New Roman" w:eastAsia="黑体" w:cs="Times New Roman"/>
        </w:rPr>
        <w:t>生产工艺及产污节点</w:t>
      </w:r>
    </w:p>
    <w:p w14:paraId="0ECA1410">
      <w:pPr>
        <w:rPr>
          <w:rFonts w:hint="eastAsia"/>
          <w:lang w:eastAsia="zh-CN"/>
        </w:rPr>
      </w:pPr>
    </w:p>
    <w:p w14:paraId="2CD6FBE3">
      <w:pPr>
        <w:pStyle w:val="133"/>
        <w:spacing w:after="100" w:afterAutospacing="1"/>
        <w:rPr>
          <w:rFonts w:hint="eastAsia"/>
          <w:lang w:val="en-US" w:eastAsia="zh-CN"/>
        </w:rPr>
      </w:pPr>
      <w:r>
        <w:t>2.2.4.</w:t>
      </w:r>
      <w:r>
        <w:rPr>
          <w:rFonts w:hint="eastAsia"/>
          <w:lang w:eastAsia="zh-CN"/>
        </w:rPr>
        <w:t xml:space="preserve">4 </w:t>
      </w:r>
      <w:r>
        <w:rPr>
          <w:rFonts w:hint="eastAsia"/>
          <w:lang w:val="en-US" w:eastAsia="zh-CN"/>
        </w:rPr>
        <w:t>炼铁</w:t>
      </w:r>
    </w:p>
    <w:p w14:paraId="513F4D98">
      <w:pPr>
        <w:adjustRightInd w:val="0"/>
        <w:spacing w:line="360" w:lineRule="auto"/>
        <w:ind w:right="6" w:firstLine="480" w:firstLineChars="200"/>
        <w:jc w:val="both"/>
        <w:rPr>
          <w:rFonts w:hint="default" w:ascii="Times New Roman" w:hAnsi="Times New Roman" w:eastAsia="宋体" w:cs="Times New Roman"/>
          <w:lang w:val="en-US" w:eastAsia="zh-CN"/>
        </w:rPr>
      </w:pPr>
      <w:r>
        <w:rPr>
          <w:rFonts w:hint="default" w:ascii="Times New Roman" w:hAnsi="Times New Roman" w:eastAsia="宋体" w:cs="Times New Roman"/>
          <w:lang w:val="en-US" w:eastAsia="zh-CN"/>
        </w:rPr>
        <w:t>炼铁的主要原料为烧结矿和球团矿，以石灰石作熔剂，焦碳作燃料(也是还原剂)。这些原、辅料和燃料经配料、称量后，由斜桥料罐上料，经高炉炉顶送入高炉炉内进行冶炼，冶炼过程中由热风炉向高炉炉膛鼓入热风助焦碳燃烧，同时向炉内吹氧和喷吹煤粉。焦碳燃烧后生成煤气，炽热的煤气在上升过程中把热量传递给炉料，原、辅料随着冶炼过程的进行而下降。在炉料下降和煤气上升过程中，先后发生传热、还原、熔化、渗碳等过程使铁矿还原生成铁水。同时烧结矿等原料中的杂质与加入炉内的熔剂(石灰石)相结合而生成炉渣。高炉炼铁是连续生产，生成的铁水和炉渣不断地积存在炉缸底部，到一定时间后打开高炉出铁口，出铁出渣。从出铁口出来的铁水通过高炉出铁场的铁沟、撇渣器、摆动流咀等流入铁水罐车的铁水罐内，热装送往炼钢厂炼钢。当铁水用于炼钢有富余时，则将部分铁水送铸铁机浇注冷却成铸铁块。冶金渣由出铁场的渣沟流出，采用炉前水冲渣法处理。高炉冶炼时产生的高炉煤气为炼铁厂的副产品，经重力除尘器和布袋除尘器两级除尘后供内部用户作为燃料使用</w:t>
      </w:r>
      <w:r>
        <w:rPr>
          <w:rFonts w:hint="eastAsia" w:ascii="Times New Roman" w:hAnsi="Times New Roman" w:eastAsia="宋体" w:cs="Times New Roman"/>
          <w:lang w:val="en-US" w:eastAsia="zh-CN"/>
        </w:rPr>
        <w:t>。</w:t>
      </w:r>
    </w:p>
    <w:p w14:paraId="15872483">
      <w:pPr>
        <w:pStyle w:val="133"/>
        <w:spacing w:after="100" w:afterAutospacing="1"/>
        <w:rPr>
          <w:rFonts w:hint="eastAsia"/>
          <w:lang w:eastAsia="zh-CN"/>
        </w:rPr>
      </w:pPr>
      <w:r>
        <w:rPr>
          <w:rFonts w:hint="eastAsia"/>
          <w:lang w:eastAsia="zh-CN"/>
        </w:rPr>
        <w:drawing>
          <wp:inline distT="0" distB="0" distL="114300" distR="114300">
            <wp:extent cx="5972175" cy="3712845"/>
            <wp:effectExtent l="0" t="0" r="9525" b="1905"/>
            <wp:docPr id="87" name="图片 150" descr="e96801277e57208b733f73650eccc7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图片 150" descr="e96801277e57208b733f73650eccc701"/>
                    <pic:cNvPicPr>
                      <a:picLocks noChangeAspect="1"/>
                    </pic:cNvPicPr>
                  </pic:nvPicPr>
                  <pic:blipFill>
                    <a:blip r:embed="rId42">
                      <a:grayscl/>
                      <a:lum bright="29999" contrast="60000"/>
                    </a:blip>
                    <a:srcRect l="10178" t="48871" r="14655" b="24843"/>
                    <a:stretch>
                      <a:fillRect/>
                    </a:stretch>
                  </pic:blipFill>
                  <pic:spPr>
                    <a:xfrm>
                      <a:off x="0" y="0"/>
                      <a:ext cx="5972175" cy="3712845"/>
                    </a:xfrm>
                    <a:prstGeom prst="rect">
                      <a:avLst/>
                    </a:prstGeom>
                    <a:noFill/>
                    <a:ln>
                      <a:noFill/>
                    </a:ln>
                  </pic:spPr>
                </pic:pic>
              </a:graphicData>
            </a:graphic>
          </wp:inline>
        </w:drawing>
      </w:r>
    </w:p>
    <w:p w14:paraId="434E9A78">
      <w:pPr>
        <w:jc w:val="center"/>
        <w:rPr>
          <w:rFonts w:ascii="Times New Roman" w:hAnsi="Times New Roman" w:eastAsia="黑体" w:cs="Times New Roman"/>
        </w:rPr>
      </w:pPr>
      <w:r>
        <w:rPr>
          <w:rFonts w:ascii="Times New Roman" w:hAnsi="Times New Roman" w:eastAsia="黑体" w:cs="Times New Roman"/>
        </w:rPr>
        <w:t>图2.2-</w:t>
      </w:r>
      <w:r>
        <w:rPr>
          <w:rFonts w:hint="eastAsia" w:ascii="Times New Roman" w:hAnsi="Times New Roman" w:eastAsia="黑体" w:cs="Times New Roman"/>
          <w:lang w:val="en-US" w:eastAsia="zh-CN"/>
        </w:rPr>
        <w:t>4</w:t>
      </w:r>
      <w:r>
        <w:rPr>
          <w:rFonts w:ascii="Times New Roman" w:hAnsi="Times New Roman" w:eastAsia="黑体" w:cs="Times New Roman"/>
        </w:rPr>
        <w:t xml:space="preserve">  </w:t>
      </w:r>
      <w:r>
        <w:rPr>
          <w:rFonts w:hint="eastAsia" w:ascii="Times New Roman" w:hAnsi="Times New Roman" w:eastAsia="黑体" w:cs="Times New Roman"/>
        </w:rPr>
        <w:t>已建工程</w:t>
      </w:r>
      <w:r>
        <w:rPr>
          <w:rFonts w:hint="eastAsia" w:ascii="Times New Roman" w:hAnsi="Times New Roman" w:eastAsia="黑体" w:cs="Times New Roman"/>
          <w:lang w:val="en-US" w:eastAsia="zh-CN"/>
        </w:rPr>
        <w:t>炼铁</w:t>
      </w:r>
      <w:r>
        <w:rPr>
          <w:rFonts w:ascii="Times New Roman" w:hAnsi="Times New Roman" w:eastAsia="黑体" w:cs="Times New Roman"/>
        </w:rPr>
        <w:t>生产工艺及产污节点</w:t>
      </w:r>
    </w:p>
    <w:p w14:paraId="5B2F2477">
      <w:pPr>
        <w:pStyle w:val="133"/>
        <w:spacing w:after="100" w:afterAutospacing="1"/>
      </w:pPr>
      <w:r>
        <w:rPr>
          <w:rFonts w:hint="eastAsia"/>
          <w:lang w:val="en-US" w:eastAsia="zh-CN"/>
        </w:rPr>
        <w:t>2.2.4.5</w:t>
      </w:r>
      <w:r>
        <w:rPr>
          <w:rFonts w:hint="eastAsia"/>
          <w:lang w:eastAsia="zh-CN"/>
        </w:rPr>
        <w:t>小结</w:t>
      </w:r>
    </w:p>
    <w:p w14:paraId="4F7A1912">
      <w:pPr>
        <w:spacing w:line="500" w:lineRule="exact"/>
        <w:ind w:right="6" w:firstLine="480" w:firstLineChars="200"/>
        <w:jc w:val="both"/>
        <w:rPr>
          <w:rFonts w:ascii="Times New Roman" w:hAnsi="Times New Roman" w:cs="Times New Roman"/>
        </w:rPr>
      </w:pPr>
      <w:r>
        <w:rPr>
          <w:rFonts w:ascii="Times New Roman" w:hAnsi="Times New Roman" w:cs="Times New Roman"/>
        </w:rPr>
        <w:t>综上分析，将</w:t>
      </w:r>
      <w:r>
        <w:rPr>
          <w:rFonts w:hint="eastAsia" w:ascii="Times New Roman" w:hAnsi="Times New Roman" w:cs="Times New Roman"/>
        </w:rPr>
        <w:t>现有</w:t>
      </w:r>
      <w:r>
        <w:rPr>
          <w:rFonts w:ascii="Times New Roman" w:hAnsi="Times New Roman" w:cs="Times New Roman"/>
        </w:rPr>
        <w:t>已建工程的产污节点汇总于表2.2-</w:t>
      </w:r>
      <w:r>
        <w:rPr>
          <w:rFonts w:hint="eastAsia" w:ascii="Times New Roman" w:hAnsi="Times New Roman" w:cs="Times New Roman"/>
        </w:rPr>
        <w:t>4</w:t>
      </w:r>
      <w:r>
        <w:rPr>
          <w:rFonts w:ascii="Times New Roman" w:hAnsi="Times New Roman" w:cs="Times New Roman"/>
        </w:rPr>
        <w:t>。</w:t>
      </w:r>
    </w:p>
    <w:p w14:paraId="6CEAA380">
      <w:pPr>
        <w:adjustRightInd w:val="0"/>
        <w:snapToGrid w:val="0"/>
        <w:spacing w:before="97" w:beforeLines="30" w:line="360" w:lineRule="auto"/>
        <w:jc w:val="center"/>
        <w:rPr>
          <w:rFonts w:ascii="Times New Roman" w:hAnsi="Times New Roman" w:eastAsia="黑体" w:cs="Times New Roman"/>
        </w:rPr>
      </w:pPr>
      <w:r>
        <w:rPr>
          <w:rFonts w:ascii="Times New Roman" w:hAnsi="Times New Roman" w:eastAsia="黑体" w:cs="Times New Roman"/>
        </w:rPr>
        <w:t>表2.2-</w:t>
      </w:r>
      <w:r>
        <w:rPr>
          <w:rFonts w:hint="eastAsia" w:ascii="Times New Roman" w:hAnsi="Times New Roman" w:eastAsia="黑体" w:cs="Times New Roman"/>
        </w:rPr>
        <w:t>4</w:t>
      </w:r>
      <w:r>
        <w:rPr>
          <w:rFonts w:ascii="Times New Roman" w:hAnsi="Times New Roman" w:eastAsia="黑体" w:cs="Times New Roman"/>
        </w:rPr>
        <w:t xml:space="preserve">  </w:t>
      </w:r>
      <w:r>
        <w:rPr>
          <w:rFonts w:hint="eastAsia" w:ascii="Times New Roman" w:hAnsi="Times New Roman" w:eastAsia="黑体" w:cs="Times New Roman"/>
        </w:rPr>
        <w:t>现有已建工程产污节点及环保设施</w:t>
      </w:r>
      <w:r>
        <w:rPr>
          <w:rFonts w:ascii="Times New Roman" w:hAnsi="Times New Roman" w:eastAsia="黑体" w:cs="Times New Roman"/>
        </w:rPr>
        <w:t>一览表</w:t>
      </w:r>
    </w:p>
    <w:tbl>
      <w:tblPr>
        <w:tblStyle w:val="56"/>
        <w:tblW w:w="5000" w:type="pct"/>
        <w:jc w:val="center"/>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495"/>
        <w:gridCol w:w="605"/>
        <w:gridCol w:w="1432"/>
        <w:gridCol w:w="1096"/>
        <w:gridCol w:w="1380"/>
        <w:gridCol w:w="2796"/>
        <w:gridCol w:w="916"/>
      </w:tblGrid>
      <w:tr w14:paraId="4938582B">
        <w:tblPrEx>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blHeader/>
          <w:jc w:val="center"/>
        </w:trPr>
        <w:tc>
          <w:tcPr>
            <w:tcW w:w="283" w:type="pct"/>
            <w:tcBorders>
              <w:top w:val="thinThickSmallGap" w:color="auto" w:sz="12" w:space="0"/>
              <w:bottom w:val="single" w:color="auto" w:sz="4" w:space="0"/>
            </w:tcBorders>
            <w:shd w:val="clear" w:color="auto" w:fill="DDDDDD"/>
            <w:noWrap w:val="0"/>
            <w:vAlign w:val="center"/>
          </w:tcPr>
          <w:p w14:paraId="143B657E">
            <w:pPr>
              <w:jc w:val="center"/>
              <w:rPr>
                <w:rFonts w:ascii="Times New Roman" w:hAnsi="Times New Roman" w:cs="Times New Roman"/>
                <w:sz w:val="21"/>
                <w:szCs w:val="21"/>
              </w:rPr>
            </w:pPr>
            <w:r>
              <w:rPr>
                <w:rFonts w:ascii="Times New Roman" w:hAnsi="Times New Roman" w:cs="Times New Roman"/>
                <w:sz w:val="21"/>
                <w:szCs w:val="21"/>
              </w:rPr>
              <w:t>类别</w:t>
            </w:r>
          </w:p>
        </w:tc>
        <w:tc>
          <w:tcPr>
            <w:tcW w:w="1167" w:type="pct"/>
            <w:gridSpan w:val="2"/>
            <w:tcBorders>
              <w:top w:val="thinThickSmallGap" w:color="auto" w:sz="12" w:space="0"/>
              <w:bottom w:val="single" w:color="auto" w:sz="4" w:space="0"/>
            </w:tcBorders>
            <w:shd w:val="clear" w:color="auto" w:fill="DDDDDD"/>
            <w:noWrap w:val="0"/>
            <w:vAlign w:val="center"/>
          </w:tcPr>
          <w:p w14:paraId="01A20FD1">
            <w:pPr>
              <w:jc w:val="center"/>
              <w:rPr>
                <w:rFonts w:ascii="Times New Roman" w:hAnsi="Times New Roman" w:cs="Times New Roman"/>
                <w:sz w:val="21"/>
                <w:szCs w:val="21"/>
              </w:rPr>
            </w:pPr>
            <w:r>
              <w:rPr>
                <w:rFonts w:hint="eastAsia" w:ascii="Times New Roman" w:hAnsi="Times New Roman" w:cs="Times New Roman"/>
                <w:sz w:val="21"/>
                <w:szCs w:val="21"/>
              </w:rPr>
              <w:t>污染源</w:t>
            </w:r>
          </w:p>
        </w:tc>
        <w:tc>
          <w:tcPr>
            <w:tcW w:w="628" w:type="pct"/>
            <w:tcBorders>
              <w:top w:val="thinThickSmallGap" w:color="auto" w:sz="12" w:space="0"/>
              <w:bottom w:val="single" w:color="auto" w:sz="4" w:space="0"/>
            </w:tcBorders>
            <w:shd w:val="clear" w:color="auto" w:fill="DDDDDD"/>
            <w:noWrap w:val="0"/>
            <w:vAlign w:val="center"/>
          </w:tcPr>
          <w:p w14:paraId="1F870D20">
            <w:pPr>
              <w:jc w:val="center"/>
              <w:rPr>
                <w:rFonts w:ascii="Times New Roman" w:hAnsi="Times New Roman" w:cs="Times New Roman"/>
                <w:sz w:val="21"/>
                <w:szCs w:val="21"/>
              </w:rPr>
            </w:pPr>
            <w:r>
              <w:rPr>
                <w:rFonts w:hint="eastAsia" w:ascii="Times New Roman" w:hAnsi="Times New Roman" w:cs="Times New Roman"/>
                <w:sz w:val="21"/>
                <w:szCs w:val="21"/>
              </w:rPr>
              <w:t>编号</w:t>
            </w:r>
          </w:p>
        </w:tc>
        <w:tc>
          <w:tcPr>
            <w:tcW w:w="791" w:type="pct"/>
            <w:tcBorders>
              <w:top w:val="thinThickSmallGap" w:color="auto" w:sz="12" w:space="0"/>
              <w:bottom w:val="single" w:color="auto" w:sz="4" w:space="0"/>
            </w:tcBorders>
            <w:shd w:val="clear" w:color="auto" w:fill="DDDDDD"/>
            <w:noWrap w:val="0"/>
            <w:vAlign w:val="center"/>
          </w:tcPr>
          <w:p w14:paraId="71EF292F">
            <w:pPr>
              <w:jc w:val="center"/>
              <w:rPr>
                <w:rFonts w:ascii="Times New Roman" w:hAnsi="Times New Roman" w:cs="Times New Roman"/>
                <w:sz w:val="21"/>
                <w:szCs w:val="21"/>
              </w:rPr>
            </w:pPr>
            <w:r>
              <w:rPr>
                <w:rFonts w:hint="eastAsia" w:ascii="Times New Roman" w:hAnsi="Times New Roman" w:cs="Times New Roman"/>
                <w:sz w:val="21"/>
                <w:szCs w:val="21"/>
              </w:rPr>
              <w:t>污染物</w:t>
            </w:r>
          </w:p>
        </w:tc>
        <w:tc>
          <w:tcPr>
            <w:tcW w:w="1603" w:type="pct"/>
            <w:tcBorders>
              <w:top w:val="thinThickSmallGap" w:color="auto" w:sz="12" w:space="0"/>
              <w:bottom w:val="single" w:color="auto" w:sz="4" w:space="0"/>
            </w:tcBorders>
            <w:shd w:val="clear" w:color="auto" w:fill="DDDDDD"/>
            <w:noWrap w:val="0"/>
            <w:vAlign w:val="center"/>
          </w:tcPr>
          <w:p w14:paraId="0854C2EC">
            <w:pPr>
              <w:jc w:val="center"/>
              <w:rPr>
                <w:rFonts w:ascii="Times New Roman" w:hAnsi="Times New Roman" w:cs="Times New Roman"/>
                <w:sz w:val="21"/>
                <w:szCs w:val="21"/>
              </w:rPr>
            </w:pPr>
            <w:r>
              <w:rPr>
                <w:rFonts w:hint="eastAsia" w:ascii="Times New Roman" w:hAnsi="Times New Roman" w:cs="Times New Roman"/>
                <w:sz w:val="21"/>
                <w:szCs w:val="21"/>
              </w:rPr>
              <w:t>环保设施或去向</w:t>
            </w:r>
          </w:p>
        </w:tc>
        <w:tc>
          <w:tcPr>
            <w:tcW w:w="525" w:type="pct"/>
            <w:tcBorders>
              <w:top w:val="thinThickSmallGap" w:color="auto" w:sz="12" w:space="0"/>
              <w:bottom w:val="single" w:color="auto" w:sz="4" w:space="0"/>
            </w:tcBorders>
            <w:shd w:val="clear" w:color="auto" w:fill="DDDDDD"/>
            <w:noWrap w:val="0"/>
            <w:vAlign w:val="center"/>
          </w:tcPr>
          <w:p w14:paraId="52982727">
            <w:pPr>
              <w:jc w:val="center"/>
              <w:rPr>
                <w:rFonts w:hint="eastAsia" w:ascii="Times New Roman" w:hAnsi="Times New Roman" w:cs="Times New Roman"/>
                <w:sz w:val="21"/>
                <w:szCs w:val="21"/>
              </w:rPr>
            </w:pPr>
            <w:r>
              <w:rPr>
                <w:rFonts w:hint="eastAsia" w:ascii="Times New Roman" w:hAnsi="Times New Roman" w:cs="Times New Roman"/>
                <w:sz w:val="21"/>
                <w:szCs w:val="21"/>
              </w:rPr>
              <w:t>排放</w:t>
            </w:r>
          </w:p>
          <w:p w14:paraId="4C22A9CB">
            <w:pPr>
              <w:jc w:val="center"/>
              <w:rPr>
                <w:rFonts w:ascii="Times New Roman" w:hAnsi="Times New Roman" w:cs="Times New Roman"/>
                <w:sz w:val="21"/>
                <w:szCs w:val="21"/>
              </w:rPr>
            </w:pPr>
            <w:r>
              <w:rPr>
                <w:rFonts w:hint="eastAsia" w:ascii="Times New Roman" w:hAnsi="Times New Roman" w:cs="Times New Roman"/>
                <w:sz w:val="21"/>
                <w:szCs w:val="21"/>
              </w:rPr>
              <w:t>类型</w:t>
            </w:r>
          </w:p>
        </w:tc>
      </w:tr>
      <w:tr w14:paraId="5ECCDD71">
        <w:tblPrEx>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83" w:type="pct"/>
            <w:vMerge w:val="restart"/>
            <w:noWrap w:val="0"/>
            <w:vAlign w:val="center"/>
          </w:tcPr>
          <w:p w14:paraId="32897D5F">
            <w:pPr>
              <w:jc w:val="center"/>
              <w:rPr>
                <w:rFonts w:ascii="Times New Roman" w:hAnsi="Times New Roman" w:cs="Times New Roman"/>
                <w:sz w:val="21"/>
                <w:szCs w:val="21"/>
              </w:rPr>
            </w:pPr>
            <w:r>
              <w:rPr>
                <w:rFonts w:hint="eastAsia" w:ascii="Times New Roman" w:hAnsi="Times New Roman" w:cs="Times New Roman"/>
                <w:sz w:val="21"/>
                <w:szCs w:val="21"/>
              </w:rPr>
              <w:t>废气</w:t>
            </w:r>
          </w:p>
        </w:tc>
        <w:tc>
          <w:tcPr>
            <w:tcW w:w="1167" w:type="pct"/>
            <w:gridSpan w:val="2"/>
            <w:noWrap w:val="0"/>
            <w:vAlign w:val="center"/>
          </w:tcPr>
          <w:p w14:paraId="4E950722">
            <w:pPr>
              <w:jc w:val="center"/>
              <w:rPr>
                <w:rFonts w:ascii="Times New Roman" w:hAnsi="Times New Roman" w:cs="Times New Roman"/>
                <w:sz w:val="21"/>
                <w:szCs w:val="21"/>
              </w:rPr>
            </w:pPr>
            <w:r>
              <w:rPr>
                <w:rFonts w:hint="eastAsia" w:ascii="Times New Roman" w:hAnsi="Times New Roman" w:cs="Times New Roman"/>
                <w:bCs/>
                <w:sz w:val="21"/>
                <w:szCs w:val="21"/>
                <w:lang w:val="en-US" w:eastAsia="zh-CN"/>
              </w:rPr>
              <w:t>烧结原料和配料系统粉尘</w:t>
            </w:r>
          </w:p>
        </w:tc>
        <w:tc>
          <w:tcPr>
            <w:tcW w:w="628" w:type="pct"/>
            <w:noWrap w:val="0"/>
            <w:vAlign w:val="center"/>
          </w:tcPr>
          <w:p w14:paraId="07092F4D">
            <w:pPr>
              <w:jc w:val="center"/>
              <w:rPr>
                <w:rFonts w:ascii="Times New Roman" w:hAnsi="Times New Roman" w:cs="Times New Roman"/>
                <w:sz w:val="21"/>
                <w:szCs w:val="21"/>
              </w:rPr>
            </w:pPr>
            <w:r>
              <w:rPr>
                <w:rFonts w:ascii="Times New Roman" w:hAnsi="Times New Roman" w:cs="Times New Roman"/>
                <w:sz w:val="21"/>
                <w:szCs w:val="21"/>
              </w:rPr>
              <w:t>G1</w:t>
            </w:r>
          </w:p>
        </w:tc>
        <w:tc>
          <w:tcPr>
            <w:tcW w:w="791" w:type="pct"/>
            <w:noWrap w:val="0"/>
            <w:vAlign w:val="center"/>
          </w:tcPr>
          <w:p w14:paraId="1F391903">
            <w:pPr>
              <w:jc w:val="center"/>
              <w:rPr>
                <w:rFonts w:ascii="Times New Roman" w:hAnsi="Times New Roman" w:cs="Times New Roman"/>
                <w:sz w:val="21"/>
                <w:szCs w:val="21"/>
              </w:rPr>
            </w:pPr>
            <w:r>
              <w:rPr>
                <w:rFonts w:hint="eastAsia" w:ascii="Times New Roman" w:hAnsi="Times New Roman" w:cs="Times New Roman"/>
                <w:sz w:val="21"/>
                <w:szCs w:val="21"/>
              </w:rPr>
              <w:t>颗粒物</w:t>
            </w:r>
          </w:p>
        </w:tc>
        <w:tc>
          <w:tcPr>
            <w:tcW w:w="1603" w:type="pct"/>
            <w:noWrap w:val="0"/>
            <w:vAlign w:val="center"/>
          </w:tcPr>
          <w:p w14:paraId="6A3B33B7">
            <w:pPr>
              <w:jc w:val="both"/>
              <w:rPr>
                <w:rFonts w:ascii="Times New Roman" w:hAnsi="Times New Roman" w:cs="Times New Roman"/>
                <w:sz w:val="21"/>
                <w:szCs w:val="21"/>
              </w:rPr>
            </w:pPr>
            <w:r>
              <w:rPr>
                <w:rFonts w:hint="eastAsia" w:ascii="Times New Roman" w:hAnsi="Times New Roman" w:cs="Times New Roman"/>
                <w:bCs/>
                <w:sz w:val="21"/>
                <w:szCs w:val="21"/>
                <w:lang w:val="en-US" w:eastAsia="zh-CN"/>
              </w:rPr>
              <w:t>经脉冲布袋除尘器处理后通过15m排气筒排放</w:t>
            </w:r>
            <w:r>
              <w:rPr>
                <w:rFonts w:ascii="Times New Roman" w:hAnsi="Times New Roman" w:cs="Times New Roman"/>
                <w:bCs/>
                <w:sz w:val="21"/>
                <w:szCs w:val="21"/>
              </w:rPr>
              <w:t>。</w:t>
            </w:r>
          </w:p>
        </w:tc>
        <w:tc>
          <w:tcPr>
            <w:tcW w:w="525" w:type="pct"/>
            <w:noWrap w:val="0"/>
            <w:vAlign w:val="center"/>
          </w:tcPr>
          <w:p w14:paraId="42AC399D">
            <w:pPr>
              <w:jc w:val="center"/>
              <w:rPr>
                <w:rFonts w:ascii="Times New Roman" w:hAnsi="Times New Roman" w:cs="Times New Roman"/>
                <w:sz w:val="21"/>
                <w:szCs w:val="21"/>
              </w:rPr>
            </w:pPr>
            <w:r>
              <w:rPr>
                <w:rFonts w:hint="eastAsia" w:ascii="Times New Roman" w:hAnsi="Times New Roman" w:cs="Times New Roman"/>
                <w:sz w:val="21"/>
                <w:szCs w:val="21"/>
              </w:rPr>
              <w:t>有组织</w:t>
            </w:r>
          </w:p>
        </w:tc>
      </w:tr>
      <w:tr w14:paraId="392DA1DD">
        <w:tblPrEx>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83" w:type="pct"/>
            <w:vMerge w:val="continue"/>
            <w:noWrap w:val="0"/>
            <w:vAlign w:val="center"/>
          </w:tcPr>
          <w:p w14:paraId="71232514">
            <w:pPr>
              <w:jc w:val="center"/>
              <w:rPr>
                <w:rFonts w:ascii="Times New Roman" w:hAnsi="Times New Roman" w:cs="Times New Roman"/>
                <w:sz w:val="21"/>
                <w:szCs w:val="21"/>
              </w:rPr>
            </w:pPr>
          </w:p>
        </w:tc>
        <w:tc>
          <w:tcPr>
            <w:tcW w:w="1167" w:type="pct"/>
            <w:gridSpan w:val="2"/>
            <w:noWrap w:val="0"/>
            <w:vAlign w:val="center"/>
          </w:tcPr>
          <w:p w14:paraId="064F273C">
            <w:pPr>
              <w:jc w:val="center"/>
              <w:rPr>
                <w:rFonts w:ascii="Times New Roman" w:hAnsi="Times New Roman" w:cs="Times New Roman"/>
                <w:sz w:val="21"/>
                <w:szCs w:val="21"/>
              </w:rPr>
            </w:pPr>
            <w:r>
              <w:rPr>
                <w:rFonts w:hint="eastAsia" w:ascii="Times New Roman" w:hAnsi="Times New Roman" w:cs="Times New Roman"/>
                <w:bCs/>
                <w:sz w:val="21"/>
                <w:szCs w:val="21"/>
                <w:lang w:val="en-US" w:eastAsia="zh-CN"/>
              </w:rPr>
              <w:t>烧结机废气</w:t>
            </w:r>
          </w:p>
        </w:tc>
        <w:tc>
          <w:tcPr>
            <w:tcW w:w="628" w:type="pct"/>
            <w:noWrap w:val="0"/>
            <w:vAlign w:val="center"/>
          </w:tcPr>
          <w:p w14:paraId="570A3ABE">
            <w:pPr>
              <w:jc w:val="center"/>
              <w:rPr>
                <w:rFonts w:hint="eastAsia" w:ascii="Times New Roman" w:hAnsi="Times New Roman" w:eastAsia="宋体" w:cs="Times New Roman"/>
                <w:sz w:val="21"/>
                <w:szCs w:val="21"/>
                <w:lang w:eastAsia="zh-CN"/>
              </w:rPr>
            </w:pPr>
            <w:r>
              <w:rPr>
                <w:rFonts w:ascii="Times New Roman" w:hAnsi="Times New Roman" w:cs="Times New Roman"/>
                <w:sz w:val="21"/>
                <w:szCs w:val="21"/>
              </w:rPr>
              <w:t>G</w:t>
            </w:r>
            <w:r>
              <w:rPr>
                <w:rFonts w:hint="eastAsia" w:ascii="Times New Roman" w:hAnsi="Times New Roman" w:cs="Times New Roman"/>
                <w:sz w:val="21"/>
                <w:szCs w:val="21"/>
                <w:lang w:val="en-US" w:eastAsia="zh-CN"/>
              </w:rPr>
              <w:t>2</w:t>
            </w:r>
          </w:p>
        </w:tc>
        <w:tc>
          <w:tcPr>
            <w:tcW w:w="791" w:type="pct"/>
            <w:noWrap w:val="0"/>
            <w:vAlign w:val="center"/>
          </w:tcPr>
          <w:p w14:paraId="05CC966D">
            <w:pPr>
              <w:jc w:val="center"/>
              <w:rPr>
                <w:rFonts w:ascii="Times New Roman" w:hAnsi="Times New Roman" w:cs="Times New Roman"/>
                <w:sz w:val="21"/>
                <w:szCs w:val="21"/>
              </w:rPr>
            </w:pPr>
            <w:r>
              <w:rPr>
                <w:rFonts w:hint="eastAsia" w:ascii="Times New Roman" w:hAnsi="Times New Roman" w:cs="Times New Roman"/>
                <w:sz w:val="21"/>
                <w:szCs w:val="21"/>
              </w:rPr>
              <w:t>颗粒物、SO</w:t>
            </w:r>
            <w:r>
              <w:rPr>
                <w:rFonts w:hint="eastAsia" w:ascii="Times New Roman" w:hAnsi="Times New Roman" w:cs="Times New Roman"/>
                <w:sz w:val="21"/>
                <w:szCs w:val="21"/>
                <w:vertAlign w:val="subscript"/>
              </w:rPr>
              <w:t>2</w:t>
            </w:r>
            <w:r>
              <w:rPr>
                <w:rFonts w:hint="eastAsia" w:ascii="Times New Roman" w:hAnsi="Times New Roman" w:cs="Times New Roman"/>
                <w:sz w:val="21"/>
                <w:szCs w:val="21"/>
              </w:rPr>
              <w:t>、NO</w:t>
            </w:r>
            <w:r>
              <w:rPr>
                <w:rFonts w:hint="eastAsia" w:ascii="Times New Roman" w:hAnsi="Times New Roman" w:cs="Times New Roman"/>
                <w:sz w:val="21"/>
                <w:szCs w:val="21"/>
                <w:vertAlign w:val="subscript"/>
                <w:lang w:val="en-US" w:eastAsia="zh-CN"/>
              </w:rPr>
              <w:t>x</w:t>
            </w:r>
            <w:r>
              <w:rPr>
                <w:rFonts w:hint="eastAsia" w:ascii="Times New Roman" w:hAnsi="Times New Roman" w:cs="Times New Roman"/>
                <w:sz w:val="21"/>
                <w:szCs w:val="21"/>
                <w:vertAlign w:val="baseline"/>
                <w:lang w:eastAsia="zh-CN"/>
              </w:rPr>
              <w:t>、</w:t>
            </w:r>
            <w:r>
              <w:rPr>
                <w:rFonts w:hint="eastAsia" w:ascii="Times New Roman" w:hAnsi="Times New Roman" w:cs="Times New Roman"/>
                <w:sz w:val="21"/>
                <w:szCs w:val="21"/>
              </w:rPr>
              <w:t>氟化物、二噁英</w:t>
            </w:r>
          </w:p>
        </w:tc>
        <w:tc>
          <w:tcPr>
            <w:tcW w:w="1603" w:type="pct"/>
            <w:noWrap w:val="0"/>
            <w:vAlign w:val="center"/>
          </w:tcPr>
          <w:p w14:paraId="6AA55154">
            <w:pPr>
              <w:jc w:val="both"/>
              <w:rPr>
                <w:rFonts w:ascii="Times New Roman" w:hAnsi="Times New Roman" w:cs="Times New Roman"/>
                <w:sz w:val="21"/>
                <w:szCs w:val="21"/>
              </w:rPr>
            </w:pPr>
            <w:r>
              <w:rPr>
                <w:rFonts w:hint="eastAsia" w:ascii="Times New Roman" w:hAnsi="Times New Roman" w:cs="Times New Roman"/>
                <w:bCs/>
                <w:sz w:val="21"/>
                <w:szCs w:val="21"/>
                <w:lang w:val="en-US" w:eastAsia="zh-CN"/>
              </w:rPr>
              <w:t>经陶瓷多管除尘器和湿式脱硫装置处理后通过42m排气筒排放</w:t>
            </w:r>
            <w:r>
              <w:rPr>
                <w:rFonts w:ascii="Times New Roman" w:hAnsi="Times New Roman" w:cs="Times New Roman"/>
                <w:bCs/>
                <w:sz w:val="21"/>
                <w:szCs w:val="21"/>
              </w:rPr>
              <w:t>。</w:t>
            </w:r>
          </w:p>
        </w:tc>
        <w:tc>
          <w:tcPr>
            <w:tcW w:w="525" w:type="pct"/>
            <w:noWrap w:val="0"/>
            <w:vAlign w:val="center"/>
          </w:tcPr>
          <w:p w14:paraId="2A9A0193">
            <w:pPr>
              <w:jc w:val="center"/>
              <w:rPr>
                <w:rFonts w:ascii="Times New Roman" w:hAnsi="Times New Roman" w:cs="Times New Roman"/>
                <w:sz w:val="21"/>
                <w:szCs w:val="21"/>
              </w:rPr>
            </w:pPr>
            <w:r>
              <w:rPr>
                <w:rFonts w:hint="eastAsia" w:ascii="Times New Roman" w:hAnsi="Times New Roman" w:cs="Times New Roman"/>
                <w:sz w:val="21"/>
                <w:szCs w:val="21"/>
              </w:rPr>
              <w:t>有组织</w:t>
            </w:r>
          </w:p>
        </w:tc>
      </w:tr>
      <w:tr w14:paraId="61165B3B">
        <w:tblPrEx>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83" w:type="pct"/>
            <w:vMerge w:val="continue"/>
            <w:noWrap w:val="0"/>
            <w:vAlign w:val="center"/>
          </w:tcPr>
          <w:p w14:paraId="204B11AD">
            <w:pPr>
              <w:jc w:val="center"/>
              <w:rPr>
                <w:rFonts w:ascii="Times New Roman" w:hAnsi="Times New Roman" w:cs="Times New Roman"/>
                <w:sz w:val="21"/>
                <w:szCs w:val="21"/>
              </w:rPr>
            </w:pPr>
          </w:p>
        </w:tc>
        <w:tc>
          <w:tcPr>
            <w:tcW w:w="1167" w:type="pct"/>
            <w:gridSpan w:val="2"/>
            <w:noWrap w:val="0"/>
            <w:vAlign w:val="center"/>
          </w:tcPr>
          <w:p w14:paraId="0F6A4433">
            <w:pPr>
              <w:jc w:val="center"/>
              <w:rPr>
                <w:rFonts w:ascii="Times New Roman" w:hAnsi="Times New Roman" w:cs="Times New Roman"/>
                <w:sz w:val="21"/>
                <w:szCs w:val="21"/>
              </w:rPr>
            </w:pPr>
            <w:r>
              <w:rPr>
                <w:rFonts w:hint="eastAsia" w:ascii="Times New Roman" w:hAnsi="Times New Roman" w:cs="Times New Roman"/>
                <w:bCs/>
                <w:sz w:val="21"/>
                <w:szCs w:val="21"/>
                <w:lang w:val="en-US" w:eastAsia="zh-CN"/>
              </w:rPr>
              <w:t>烧结机尾气</w:t>
            </w:r>
          </w:p>
        </w:tc>
        <w:tc>
          <w:tcPr>
            <w:tcW w:w="628" w:type="pct"/>
            <w:noWrap w:val="0"/>
            <w:vAlign w:val="center"/>
          </w:tcPr>
          <w:p w14:paraId="7A38C184">
            <w:pPr>
              <w:jc w:val="center"/>
              <w:rPr>
                <w:rFonts w:hint="eastAsia" w:ascii="Times New Roman" w:hAnsi="Times New Roman" w:eastAsia="宋体" w:cs="Times New Roman"/>
                <w:sz w:val="21"/>
                <w:szCs w:val="21"/>
                <w:lang w:eastAsia="zh-CN"/>
              </w:rPr>
            </w:pPr>
            <w:r>
              <w:rPr>
                <w:rFonts w:ascii="Times New Roman" w:hAnsi="Times New Roman" w:cs="Times New Roman"/>
                <w:sz w:val="21"/>
                <w:szCs w:val="21"/>
              </w:rPr>
              <w:t>G</w:t>
            </w:r>
            <w:r>
              <w:rPr>
                <w:rFonts w:hint="eastAsia" w:ascii="Times New Roman" w:hAnsi="Times New Roman" w:cs="Times New Roman"/>
                <w:sz w:val="21"/>
                <w:szCs w:val="21"/>
                <w:lang w:val="en-US" w:eastAsia="zh-CN"/>
              </w:rPr>
              <w:t>3</w:t>
            </w:r>
          </w:p>
        </w:tc>
        <w:tc>
          <w:tcPr>
            <w:tcW w:w="791" w:type="pct"/>
            <w:noWrap w:val="0"/>
            <w:vAlign w:val="center"/>
          </w:tcPr>
          <w:p w14:paraId="5D3A2F91">
            <w:pPr>
              <w:jc w:val="center"/>
              <w:rPr>
                <w:rFonts w:ascii="Times New Roman" w:hAnsi="Times New Roman" w:cs="Times New Roman"/>
                <w:sz w:val="21"/>
                <w:szCs w:val="21"/>
              </w:rPr>
            </w:pPr>
            <w:r>
              <w:rPr>
                <w:rFonts w:hint="eastAsia" w:ascii="Times New Roman" w:hAnsi="Times New Roman" w:cs="Times New Roman"/>
                <w:sz w:val="21"/>
                <w:szCs w:val="21"/>
              </w:rPr>
              <w:t>颗粒物</w:t>
            </w:r>
          </w:p>
        </w:tc>
        <w:tc>
          <w:tcPr>
            <w:tcW w:w="1603" w:type="pct"/>
            <w:noWrap w:val="0"/>
            <w:vAlign w:val="center"/>
          </w:tcPr>
          <w:p w14:paraId="2B931D1F">
            <w:pPr>
              <w:jc w:val="both"/>
              <w:rPr>
                <w:rFonts w:ascii="Times New Roman" w:hAnsi="Times New Roman" w:cs="Times New Roman"/>
                <w:sz w:val="21"/>
                <w:szCs w:val="21"/>
              </w:rPr>
            </w:pPr>
            <w:r>
              <w:rPr>
                <w:rFonts w:hint="eastAsia" w:ascii="Times New Roman" w:hAnsi="Times New Roman" w:cs="Times New Roman"/>
                <w:bCs/>
                <w:sz w:val="21"/>
                <w:szCs w:val="21"/>
                <w:lang w:val="en-US" w:eastAsia="zh-CN"/>
              </w:rPr>
              <w:t>经布袋除尘器处理后再通过15m排气筒排放</w:t>
            </w:r>
            <w:r>
              <w:rPr>
                <w:rFonts w:hint="eastAsia" w:ascii="Times New Roman" w:hAnsi="Times New Roman" w:cs="Times New Roman"/>
                <w:bCs/>
                <w:sz w:val="21"/>
                <w:szCs w:val="21"/>
              </w:rPr>
              <w:t>。</w:t>
            </w:r>
          </w:p>
        </w:tc>
        <w:tc>
          <w:tcPr>
            <w:tcW w:w="525" w:type="pct"/>
            <w:noWrap w:val="0"/>
            <w:vAlign w:val="center"/>
          </w:tcPr>
          <w:p w14:paraId="2CE649B0">
            <w:pPr>
              <w:jc w:val="center"/>
              <w:rPr>
                <w:rFonts w:ascii="Times New Roman" w:hAnsi="Times New Roman" w:cs="Times New Roman"/>
                <w:sz w:val="21"/>
                <w:szCs w:val="21"/>
              </w:rPr>
            </w:pPr>
            <w:r>
              <w:rPr>
                <w:rFonts w:hint="eastAsia" w:ascii="Times New Roman" w:hAnsi="Times New Roman" w:cs="Times New Roman"/>
                <w:sz w:val="21"/>
                <w:szCs w:val="21"/>
              </w:rPr>
              <w:t>有组织</w:t>
            </w:r>
          </w:p>
        </w:tc>
      </w:tr>
      <w:tr w14:paraId="4040F070">
        <w:tblPrEx>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83" w:type="pct"/>
            <w:vMerge w:val="continue"/>
            <w:noWrap w:val="0"/>
            <w:vAlign w:val="center"/>
          </w:tcPr>
          <w:p w14:paraId="79115D06">
            <w:pPr>
              <w:jc w:val="center"/>
              <w:rPr>
                <w:rFonts w:ascii="Times New Roman" w:hAnsi="Times New Roman" w:cs="Times New Roman"/>
                <w:sz w:val="21"/>
                <w:szCs w:val="21"/>
              </w:rPr>
            </w:pPr>
          </w:p>
        </w:tc>
        <w:tc>
          <w:tcPr>
            <w:tcW w:w="1167" w:type="pct"/>
            <w:gridSpan w:val="2"/>
            <w:noWrap w:val="0"/>
            <w:vAlign w:val="center"/>
          </w:tcPr>
          <w:p w14:paraId="150988A1">
            <w:pPr>
              <w:jc w:val="center"/>
              <w:rPr>
                <w:rFonts w:ascii="Times New Roman" w:hAnsi="Times New Roman" w:cs="Times New Roman"/>
                <w:sz w:val="21"/>
                <w:szCs w:val="21"/>
              </w:rPr>
            </w:pPr>
            <w:r>
              <w:rPr>
                <w:rFonts w:hint="eastAsia" w:ascii="Times New Roman" w:hAnsi="Times New Roman" w:cs="Times New Roman"/>
                <w:bCs/>
                <w:sz w:val="21"/>
                <w:szCs w:val="21"/>
                <w:lang w:val="en-US" w:eastAsia="zh-CN"/>
              </w:rPr>
              <w:t>球团焙烧废气</w:t>
            </w:r>
          </w:p>
        </w:tc>
        <w:tc>
          <w:tcPr>
            <w:tcW w:w="628" w:type="pct"/>
            <w:noWrap w:val="0"/>
            <w:vAlign w:val="center"/>
          </w:tcPr>
          <w:p w14:paraId="31B78CD5">
            <w:pPr>
              <w:jc w:val="center"/>
              <w:rPr>
                <w:rFonts w:hint="eastAsia" w:ascii="Times New Roman" w:hAnsi="Times New Roman" w:eastAsia="宋体" w:cs="Times New Roman"/>
                <w:sz w:val="21"/>
                <w:szCs w:val="21"/>
                <w:lang w:eastAsia="zh-CN"/>
              </w:rPr>
            </w:pPr>
            <w:r>
              <w:rPr>
                <w:rFonts w:ascii="Times New Roman" w:hAnsi="Times New Roman" w:cs="Times New Roman"/>
                <w:sz w:val="21"/>
                <w:szCs w:val="21"/>
              </w:rPr>
              <w:t>G</w:t>
            </w:r>
            <w:r>
              <w:rPr>
                <w:rFonts w:hint="eastAsia" w:ascii="Times New Roman" w:hAnsi="Times New Roman" w:cs="Times New Roman"/>
                <w:sz w:val="21"/>
                <w:szCs w:val="21"/>
                <w:lang w:val="en-US" w:eastAsia="zh-CN"/>
              </w:rPr>
              <w:t>4</w:t>
            </w:r>
          </w:p>
        </w:tc>
        <w:tc>
          <w:tcPr>
            <w:tcW w:w="791" w:type="pct"/>
            <w:noWrap w:val="0"/>
            <w:vAlign w:val="center"/>
          </w:tcPr>
          <w:p w14:paraId="257E5E39">
            <w:pPr>
              <w:jc w:val="center"/>
              <w:rPr>
                <w:rFonts w:ascii="Times New Roman" w:hAnsi="Times New Roman" w:cs="Times New Roman"/>
                <w:sz w:val="21"/>
                <w:szCs w:val="21"/>
              </w:rPr>
            </w:pPr>
            <w:r>
              <w:rPr>
                <w:rFonts w:hint="eastAsia" w:ascii="Times New Roman" w:hAnsi="Times New Roman" w:cs="Times New Roman"/>
                <w:sz w:val="21"/>
                <w:szCs w:val="21"/>
              </w:rPr>
              <w:t>颗粒物、SO</w:t>
            </w:r>
            <w:r>
              <w:rPr>
                <w:rFonts w:hint="eastAsia" w:ascii="Times New Roman" w:hAnsi="Times New Roman" w:cs="Times New Roman"/>
                <w:sz w:val="21"/>
                <w:szCs w:val="21"/>
                <w:vertAlign w:val="subscript"/>
              </w:rPr>
              <w:t>2</w:t>
            </w:r>
            <w:r>
              <w:rPr>
                <w:rFonts w:hint="eastAsia" w:ascii="Times New Roman" w:hAnsi="Times New Roman" w:cs="Times New Roman"/>
                <w:sz w:val="21"/>
                <w:szCs w:val="21"/>
              </w:rPr>
              <w:t>、NO</w:t>
            </w:r>
            <w:r>
              <w:rPr>
                <w:rFonts w:hint="eastAsia" w:ascii="Times New Roman" w:hAnsi="Times New Roman" w:cs="Times New Roman"/>
                <w:sz w:val="21"/>
                <w:szCs w:val="21"/>
                <w:vertAlign w:val="subscript"/>
                <w:lang w:val="en-US" w:eastAsia="zh-CN"/>
              </w:rPr>
              <w:t>x</w:t>
            </w:r>
            <w:r>
              <w:rPr>
                <w:rFonts w:hint="eastAsia" w:ascii="Times New Roman" w:hAnsi="Times New Roman" w:cs="Times New Roman"/>
                <w:sz w:val="21"/>
                <w:szCs w:val="21"/>
                <w:vertAlign w:val="baseline"/>
                <w:lang w:eastAsia="zh-CN"/>
              </w:rPr>
              <w:t>、</w:t>
            </w:r>
            <w:r>
              <w:rPr>
                <w:rFonts w:hint="eastAsia" w:ascii="Times New Roman" w:hAnsi="Times New Roman" w:cs="Times New Roman"/>
                <w:sz w:val="21"/>
                <w:szCs w:val="21"/>
              </w:rPr>
              <w:t>氟化物、二噁英</w:t>
            </w:r>
          </w:p>
        </w:tc>
        <w:tc>
          <w:tcPr>
            <w:tcW w:w="1603" w:type="pct"/>
            <w:noWrap w:val="0"/>
            <w:vAlign w:val="center"/>
          </w:tcPr>
          <w:p w14:paraId="57EF6D28">
            <w:pPr>
              <w:jc w:val="both"/>
              <w:rPr>
                <w:rFonts w:ascii="Times New Roman" w:hAnsi="Times New Roman" w:cs="Times New Roman"/>
                <w:sz w:val="21"/>
                <w:szCs w:val="21"/>
              </w:rPr>
            </w:pPr>
            <w:r>
              <w:rPr>
                <w:rFonts w:hint="eastAsia" w:ascii="Times New Roman" w:hAnsi="Times New Roman" w:cs="Times New Roman"/>
                <w:bCs/>
                <w:sz w:val="21"/>
                <w:szCs w:val="21"/>
                <w:lang w:val="en-US" w:eastAsia="zh-CN"/>
              </w:rPr>
              <w:t>经3台布袋除尘器处理后，再由湿电脱硫塔处理后经1根15m排气筒排放</w:t>
            </w:r>
            <w:r>
              <w:rPr>
                <w:rFonts w:ascii="Times New Roman" w:hAnsi="Times New Roman" w:cs="Times New Roman"/>
                <w:bCs/>
                <w:sz w:val="21"/>
                <w:szCs w:val="21"/>
              </w:rPr>
              <w:t>。</w:t>
            </w:r>
          </w:p>
        </w:tc>
        <w:tc>
          <w:tcPr>
            <w:tcW w:w="525" w:type="pct"/>
            <w:noWrap w:val="0"/>
            <w:vAlign w:val="center"/>
          </w:tcPr>
          <w:p w14:paraId="2C8755A4">
            <w:pPr>
              <w:jc w:val="center"/>
              <w:rPr>
                <w:rFonts w:ascii="Times New Roman" w:hAnsi="Times New Roman" w:cs="Times New Roman"/>
                <w:sz w:val="21"/>
                <w:szCs w:val="21"/>
              </w:rPr>
            </w:pPr>
            <w:r>
              <w:rPr>
                <w:rFonts w:hint="eastAsia" w:ascii="Times New Roman" w:hAnsi="Times New Roman" w:cs="Times New Roman"/>
                <w:sz w:val="21"/>
                <w:szCs w:val="21"/>
              </w:rPr>
              <w:t>有组织</w:t>
            </w:r>
          </w:p>
        </w:tc>
      </w:tr>
      <w:tr w14:paraId="097CB1A3">
        <w:tblPrEx>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83" w:type="pct"/>
            <w:vMerge w:val="continue"/>
            <w:noWrap w:val="0"/>
            <w:vAlign w:val="center"/>
          </w:tcPr>
          <w:p w14:paraId="54F9DFA9">
            <w:pPr>
              <w:jc w:val="center"/>
              <w:rPr>
                <w:rFonts w:ascii="Times New Roman" w:hAnsi="Times New Roman" w:cs="Times New Roman"/>
                <w:sz w:val="21"/>
                <w:szCs w:val="21"/>
              </w:rPr>
            </w:pPr>
          </w:p>
        </w:tc>
        <w:tc>
          <w:tcPr>
            <w:tcW w:w="1167" w:type="pct"/>
            <w:gridSpan w:val="2"/>
            <w:noWrap w:val="0"/>
            <w:vAlign w:val="center"/>
          </w:tcPr>
          <w:p w14:paraId="23A1994C">
            <w:pPr>
              <w:jc w:val="center"/>
              <w:rPr>
                <w:rFonts w:ascii="Times New Roman" w:hAnsi="Times New Roman" w:cs="Times New Roman"/>
                <w:sz w:val="21"/>
                <w:szCs w:val="21"/>
              </w:rPr>
            </w:pPr>
            <w:r>
              <w:rPr>
                <w:rFonts w:hint="eastAsia" w:ascii="Times New Roman" w:hAnsi="Times New Roman" w:cs="Times New Roman"/>
                <w:b w:val="0"/>
                <w:bCs w:val="0"/>
                <w:sz w:val="21"/>
                <w:szCs w:val="21"/>
                <w:lang w:val="en-US" w:eastAsia="zh-CN"/>
              </w:rPr>
              <w:t>白灰窑废气</w:t>
            </w:r>
          </w:p>
        </w:tc>
        <w:tc>
          <w:tcPr>
            <w:tcW w:w="628" w:type="pct"/>
            <w:noWrap w:val="0"/>
            <w:vAlign w:val="center"/>
          </w:tcPr>
          <w:p w14:paraId="3203DC05">
            <w:pPr>
              <w:jc w:val="center"/>
              <w:rPr>
                <w:rFonts w:hint="eastAsia" w:ascii="Times New Roman" w:hAnsi="Times New Roman" w:eastAsia="宋体" w:cs="Times New Roman"/>
                <w:sz w:val="21"/>
                <w:szCs w:val="21"/>
                <w:lang w:eastAsia="zh-CN"/>
              </w:rPr>
            </w:pPr>
            <w:r>
              <w:rPr>
                <w:rFonts w:ascii="Times New Roman" w:hAnsi="Times New Roman" w:cs="Times New Roman"/>
                <w:sz w:val="21"/>
                <w:szCs w:val="21"/>
              </w:rPr>
              <w:t>G</w:t>
            </w:r>
            <w:r>
              <w:rPr>
                <w:rFonts w:hint="eastAsia" w:ascii="Times New Roman" w:hAnsi="Times New Roman" w:cs="Times New Roman"/>
                <w:sz w:val="21"/>
                <w:szCs w:val="21"/>
                <w:lang w:val="en-US" w:eastAsia="zh-CN"/>
              </w:rPr>
              <w:t>5</w:t>
            </w:r>
          </w:p>
        </w:tc>
        <w:tc>
          <w:tcPr>
            <w:tcW w:w="791" w:type="pct"/>
            <w:noWrap w:val="0"/>
            <w:vAlign w:val="center"/>
          </w:tcPr>
          <w:p w14:paraId="5A06D728">
            <w:pPr>
              <w:jc w:val="center"/>
              <w:rPr>
                <w:rFonts w:ascii="Times New Roman" w:hAnsi="Times New Roman" w:cs="Times New Roman"/>
                <w:sz w:val="21"/>
                <w:szCs w:val="21"/>
              </w:rPr>
            </w:pPr>
            <w:r>
              <w:rPr>
                <w:rFonts w:hint="eastAsia" w:ascii="Times New Roman" w:hAnsi="Times New Roman" w:cs="Times New Roman"/>
                <w:sz w:val="21"/>
                <w:szCs w:val="21"/>
              </w:rPr>
              <w:t>颗粒物</w:t>
            </w:r>
          </w:p>
        </w:tc>
        <w:tc>
          <w:tcPr>
            <w:tcW w:w="1603" w:type="pct"/>
            <w:noWrap w:val="0"/>
            <w:vAlign w:val="center"/>
          </w:tcPr>
          <w:p w14:paraId="2A283A5A">
            <w:pPr>
              <w:jc w:val="both"/>
              <w:rPr>
                <w:rFonts w:ascii="Times New Roman" w:hAnsi="Times New Roman" w:cs="Times New Roman"/>
                <w:sz w:val="21"/>
                <w:szCs w:val="21"/>
              </w:rPr>
            </w:pPr>
            <w:r>
              <w:rPr>
                <w:rFonts w:hint="eastAsia" w:ascii="Times New Roman" w:hAnsi="Times New Roman" w:cs="Times New Roman"/>
                <w:b w:val="0"/>
                <w:bCs w:val="0"/>
                <w:sz w:val="21"/>
                <w:szCs w:val="21"/>
                <w:lang w:val="en-US" w:eastAsia="zh-CN"/>
              </w:rPr>
              <w:t>经布袋除尘器处理后经15m排气筒排放。</w:t>
            </w:r>
          </w:p>
        </w:tc>
        <w:tc>
          <w:tcPr>
            <w:tcW w:w="525" w:type="pct"/>
            <w:noWrap w:val="0"/>
            <w:vAlign w:val="center"/>
          </w:tcPr>
          <w:p w14:paraId="644F77CF">
            <w:pPr>
              <w:jc w:val="center"/>
              <w:rPr>
                <w:rFonts w:ascii="Times New Roman" w:hAnsi="Times New Roman" w:cs="Times New Roman"/>
                <w:sz w:val="21"/>
                <w:szCs w:val="21"/>
              </w:rPr>
            </w:pPr>
            <w:r>
              <w:rPr>
                <w:rFonts w:hint="eastAsia" w:ascii="Times New Roman" w:hAnsi="Times New Roman" w:cs="Times New Roman"/>
                <w:sz w:val="21"/>
                <w:szCs w:val="21"/>
              </w:rPr>
              <w:t>无组织</w:t>
            </w:r>
          </w:p>
        </w:tc>
      </w:tr>
      <w:tr w14:paraId="7AEB94B0">
        <w:tblPrEx>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83" w:type="pct"/>
            <w:vMerge w:val="continue"/>
            <w:noWrap w:val="0"/>
            <w:vAlign w:val="center"/>
          </w:tcPr>
          <w:p w14:paraId="64FF7F16">
            <w:pPr>
              <w:jc w:val="center"/>
              <w:rPr>
                <w:rFonts w:ascii="Times New Roman" w:hAnsi="Times New Roman" w:cs="Times New Roman"/>
                <w:sz w:val="21"/>
                <w:szCs w:val="21"/>
              </w:rPr>
            </w:pPr>
          </w:p>
        </w:tc>
        <w:tc>
          <w:tcPr>
            <w:tcW w:w="1167" w:type="pct"/>
            <w:gridSpan w:val="2"/>
            <w:noWrap w:val="0"/>
            <w:vAlign w:val="center"/>
          </w:tcPr>
          <w:p w14:paraId="2E897D13">
            <w:pPr>
              <w:jc w:val="center"/>
              <w:rPr>
                <w:rFonts w:hint="eastAsia" w:ascii="Times New Roman" w:hAnsi="Times New Roman" w:cs="Times New Roman"/>
                <w:sz w:val="21"/>
                <w:szCs w:val="21"/>
              </w:rPr>
            </w:pPr>
            <w:r>
              <w:rPr>
                <w:rFonts w:hint="eastAsia" w:ascii="Times New Roman" w:hAnsi="Times New Roman" w:cs="Times New Roman"/>
                <w:bCs/>
                <w:sz w:val="21"/>
                <w:szCs w:val="21"/>
              </w:rPr>
              <w:t>矿焦槽上、槽下系统废气</w:t>
            </w:r>
          </w:p>
        </w:tc>
        <w:tc>
          <w:tcPr>
            <w:tcW w:w="628" w:type="pct"/>
            <w:noWrap w:val="0"/>
            <w:vAlign w:val="center"/>
          </w:tcPr>
          <w:p w14:paraId="65A19EA6">
            <w:pPr>
              <w:jc w:val="center"/>
              <w:rPr>
                <w:rFonts w:hint="eastAsia" w:ascii="Times New Roman" w:hAnsi="Times New Roman" w:eastAsia="宋体" w:cs="Times New Roman"/>
                <w:sz w:val="21"/>
                <w:szCs w:val="21"/>
                <w:lang w:eastAsia="zh-CN"/>
              </w:rPr>
            </w:pPr>
            <w:r>
              <w:rPr>
                <w:rFonts w:ascii="Times New Roman" w:hAnsi="Times New Roman" w:cs="Times New Roman"/>
                <w:sz w:val="21"/>
                <w:szCs w:val="21"/>
              </w:rPr>
              <w:t>G</w:t>
            </w:r>
            <w:r>
              <w:rPr>
                <w:rFonts w:hint="eastAsia" w:ascii="Times New Roman" w:hAnsi="Times New Roman" w:cs="Times New Roman"/>
                <w:sz w:val="21"/>
                <w:szCs w:val="21"/>
                <w:lang w:val="en-US" w:eastAsia="zh-CN"/>
              </w:rPr>
              <w:t>6</w:t>
            </w:r>
          </w:p>
        </w:tc>
        <w:tc>
          <w:tcPr>
            <w:tcW w:w="791" w:type="pct"/>
            <w:noWrap w:val="0"/>
            <w:vAlign w:val="center"/>
          </w:tcPr>
          <w:p w14:paraId="14E13CE0">
            <w:pPr>
              <w:jc w:val="center"/>
              <w:rPr>
                <w:rFonts w:hint="eastAsia" w:ascii="Times New Roman" w:hAnsi="Times New Roman" w:cs="Times New Roman"/>
                <w:sz w:val="21"/>
                <w:szCs w:val="21"/>
              </w:rPr>
            </w:pPr>
            <w:r>
              <w:rPr>
                <w:rFonts w:hint="eastAsia" w:ascii="Times New Roman" w:hAnsi="Times New Roman" w:cs="Times New Roman"/>
                <w:sz w:val="21"/>
                <w:szCs w:val="21"/>
              </w:rPr>
              <w:t>颗粒物</w:t>
            </w:r>
          </w:p>
        </w:tc>
        <w:tc>
          <w:tcPr>
            <w:tcW w:w="1603" w:type="pct"/>
            <w:noWrap w:val="0"/>
            <w:vAlign w:val="center"/>
          </w:tcPr>
          <w:p w14:paraId="68ECC8D9">
            <w:pPr>
              <w:jc w:val="both"/>
              <w:rPr>
                <w:rFonts w:hint="eastAsia" w:ascii="Times New Roman" w:hAnsi="Times New Roman" w:cs="Times New Roman"/>
                <w:sz w:val="21"/>
                <w:szCs w:val="21"/>
              </w:rPr>
            </w:pPr>
            <w:r>
              <w:rPr>
                <w:rFonts w:hint="eastAsia" w:ascii="Times New Roman" w:hAnsi="Times New Roman" w:cs="Times New Roman"/>
                <w:bCs/>
                <w:sz w:val="21"/>
                <w:szCs w:val="21"/>
              </w:rPr>
              <w:t>经集尘罩收集后再通过布袋除尘器处理再通过30m排气筒排放</w:t>
            </w:r>
            <w:r>
              <w:rPr>
                <w:rFonts w:hint="eastAsia" w:ascii="Times New Roman" w:hAnsi="Times New Roman" w:cs="Times New Roman"/>
                <w:bCs/>
                <w:sz w:val="21"/>
                <w:szCs w:val="21"/>
                <w:lang w:eastAsia="zh-CN"/>
              </w:rPr>
              <w:t>。</w:t>
            </w:r>
          </w:p>
        </w:tc>
        <w:tc>
          <w:tcPr>
            <w:tcW w:w="525" w:type="pct"/>
            <w:noWrap w:val="0"/>
            <w:vAlign w:val="center"/>
          </w:tcPr>
          <w:p w14:paraId="4A3E2C38">
            <w:pPr>
              <w:jc w:val="center"/>
              <w:rPr>
                <w:rFonts w:hint="eastAsia" w:ascii="Times New Roman" w:hAnsi="Times New Roman" w:cs="Times New Roman"/>
                <w:sz w:val="21"/>
                <w:szCs w:val="21"/>
              </w:rPr>
            </w:pPr>
            <w:r>
              <w:rPr>
                <w:rFonts w:hint="eastAsia" w:ascii="Times New Roman" w:hAnsi="Times New Roman" w:cs="Times New Roman"/>
                <w:sz w:val="21"/>
                <w:szCs w:val="21"/>
              </w:rPr>
              <w:t>无组织</w:t>
            </w:r>
          </w:p>
        </w:tc>
      </w:tr>
      <w:tr w14:paraId="5C8072E9">
        <w:tblPrEx>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83" w:type="pct"/>
            <w:vMerge w:val="continue"/>
            <w:noWrap w:val="0"/>
            <w:vAlign w:val="center"/>
          </w:tcPr>
          <w:p w14:paraId="719BECB5">
            <w:pPr>
              <w:jc w:val="center"/>
              <w:rPr>
                <w:rFonts w:ascii="Times New Roman" w:hAnsi="Times New Roman" w:cs="Times New Roman"/>
                <w:sz w:val="21"/>
                <w:szCs w:val="21"/>
              </w:rPr>
            </w:pPr>
          </w:p>
        </w:tc>
        <w:tc>
          <w:tcPr>
            <w:tcW w:w="1167" w:type="pct"/>
            <w:gridSpan w:val="2"/>
            <w:noWrap w:val="0"/>
            <w:vAlign w:val="center"/>
          </w:tcPr>
          <w:p w14:paraId="6664D46A">
            <w:pPr>
              <w:jc w:val="center"/>
              <w:rPr>
                <w:rFonts w:ascii="Times New Roman" w:hAnsi="Times New Roman" w:cs="Times New Roman"/>
                <w:sz w:val="21"/>
                <w:szCs w:val="21"/>
              </w:rPr>
            </w:pPr>
            <w:r>
              <w:rPr>
                <w:rFonts w:hint="eastAsia" w:ascii="Times New Roman" w:hAnsi="Times New Roman" w:cs="Times New Roman"/>
                <w:bCs/>
                <w:sz w:val="21"/>
                <w:szCs w:val="21"/>
                <w:lang w:val="en-US" w:eastAsia="zh-CN"/>
              </w:rPr>
              <w:t>煤粉制备粉尘</w:t>
            </w:r>
          </w:p>
        </w:tc>
        <w:tc>
          <w:tcPr>
            <w:tcW w:w="628" w:type="pct"/>
            <w:noWrap w:val="0"/>
            <w:vAlign w:val="center"/>
          </w:tcPr>
          <w:p w14:paraId="1B432DC4">
            <w:pPr>
              <w:jc w:val="center"/>
              <w:rPr>
                <w:rFonts w:hint="eastAsia" w:ascii="Times New Roman" w:hAnsi="Times New Roman" w:eastAsia="宋体" w:cs="Times New Roman"/>
                <w:sz w:val="21"/>
                <w:szCs w:val="21"/>
                <w:lang w:eastAsia="zh-CN"/>
              </w:rPr>
            </w:pPr>
            <w:r>
              <w:rPr>
                <w:rFonts w:ascii="Times New Roman" w:hAnsi="Times New Roman" w:cs="Times New Roman"/>
                <w:sz w:val="21"/>
                <w:szCs w:val="21"/>
              </w:rPr>
              <w:t>G</w:t>
            </w:r>
            <w:r>
              <w:rPr>
                <w:rFonts w:hint="eastAsia" w:ascii="Times New Roman" w:hAnsi="Times New Roman" w:cs="Times New Roman"/>
                <w:sz w:val="21"/>
                <w:szCs w:val="21"/>
                <w:lang w:val="en-US" w:eastAsia="zh-CN"/>
              </w:rPr>
              <w:t>7</w:t>
            </w:r>
          </w:p>
        </w:tc>
        <w:tc>
          <w:tcPr>
            <w:tcW w:w="791" w:type="pct"/>
            <w:noWrap w:val="0"/>
            <w:vAlign w:val="center"/>
          </w:tcPr>
          <w:p w14:paraId="2AAE7E59">
            <w:pPr>
              <w:jc w:val="center"/>
              <w:rPr>
                <w:rFonts w:ascii="Times New Roman" w:hAnsi="Times New Roman" w:cs="Times New Roman"/>
                <w:sz w:val="21"/>
                <w:szCs w:val="21"/>
              </w:rPr>
            </w:pPr>
            <w:r>
              <w:rPr>
                <w:rFonts w:hint="eastAsia" w:ascii="Times New Roman" w:hAnsi="Times New Roman" w:cs="Times New Roman"/>
                <w:sz w:val="21"/>
                <w:szCs w:val="21"/>
              </w:rPr>
              <w:t>颗粒物</w:t>
            </w:r>
          </w:p>
        </w:tc>
        <w:tc>
          <w:tcPr>
            <w:tcW w:w="1603" w:type="pct"/>
            <w:noWrap w:val="0"/>
            <w:vAlign w:val="center"/>
          </w:tcPr>
          <w:p w14:paraId="336CCB20">
            <w:pPr>
              <w:jc w:val="both"/>
              <w:rPr>
                <w:rFonts w:ascii="Times New Roman" w:hAnsi="Times New Roman" w:cs="Times New Roman"/>
                <w:sz w:val="21"/>
                <w:szCs w:val="21"/>
              </w:rPr>
            </w:pPr>
            <w:r>
              <w:rPr>
                <w:rFonts w:hint="eastAsia" w:ascii="Times New Roman" w:hAnsi="Times New Roman" w:cs="Times New Roman"/>
                <w:bCs/>
                <w:sz w:val="21"/>
                <w:szCs w:val="21"/>
                <w:lang w:val="en-US" w:eastAsia="zh-CN"/>
              </w:rPr>
              <w:t>经布袋除尘器处理后</w:t>
            </w:r>
            <w:r>
              <w:rPr>
                <w:rFonts w:hint="eastAsia" w:ascii="Times New Roman" w:hAnsi="Times New Roman" w:cs="Times New Roman"/>
                <w:b w:val="0"/>
                <w:bCs w:val="0"/>
                <w:sz w:val="21"/>
                <w:szCs w:val="21"/>
                <w:lang w:val="en-US" w:eastAsia="zh-CN"/>
              </w:rPr>
              <w:t>经15m排气筒排放。</w:t>
            </w:r>
          </w:p>
        </w:tc>
        <w:tc>
          <w:tcPr>
            <w:tcW w:w="525" w:type="pct"/>
            <w:noWrap w:val="0"/>
            <w:vAlign w:val="center"/>
          </w:tcPr>
          <w:p w14:paraId="6838D45A">
            <w:pPr>
              <w:jc w:val="center"/>
              <w:rPr>
                <w:rFonts w:ascii="Times New Roman" w:hAnsi="Times New Roman" w:cs="Times New Roman"/>
                <w:sz w:val="21"/>
                <w:szCs w:val="21"/>
              </w:rPr>
            </w:pPr>
            <w:r>
              <w:rPr>
                <w:rFonts w:hint="eastAsia" w:ascii="Times New Roman" w:hAnsi="Times New Roman" w:cs="Times New Roman"/>
                <w:sz w:val="21"/>
                <w:szCs w:val="21"/>
              </w:rPr>
              <w:t>无组织</w:t>
            </w:r>
          </w:p>
        </w:tc>
      </w:tr>
      <w:tr w14:paraId="0B05A3CA">
        <w:tblPrEx>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83" w:type="pct"/>
            <w:vMerge w:val="continue"/>
            <w:noWrap w:val="0"/>
            <w:vAlign w:val="center"/>
          </w:tcPr>
          <w:p w14:paraId="318EF784">
            <w:pPr>
              <w:jc w:val="center"/>
              <w:rPr>
                <w:rFonts w:ascii="Times New Roman" w:hAnsi="Times New Roman" w:cs="Times New Roman"/>
                <w:sz w:val="21"/>
                <w:szCs w:val="21"/>
              </w:rPr>
            </w:pPr>
          </w:p>
        </w:tc>
        <w:tc>
          <w:tcPr>
            <w:tcW w:w="1167" w:type="pct"/>
            <w:gridSpan w:val="2"/>
            <w:noWrap w:val="0"/>
            <w:vAlign w:val="center"/>
          </w:tcPr>
          <w:p w14:paraId="5E28F189">
            <w:pPr>
              <w:jc w:val="center"/>
              <w:rPr>
                <w:rFonts w:hint="eastAsia" w:ascii="Times New Roman" w:hAnsi="Times New Roman" w:eastAsia="宋体" w:cs="Times New Roman"/>
                <w:sz w:val="21"/>
                <w:szCs w:val="21"/>
                <w:lang w:eastAsia="zh-CN"/>
              </w:rPr>
            </w:pPr>
            <w:r>
              <w:rPr>
                <w:rFonts w:hint="eastAsia" w:ascii="Times New Roman" w:hAnsi="Times New Roman" w:cs="Times New Roman"/>
                <w:bCs/>
                <w:sz w:val="21"/>
                <w:szCs w:val="21"/>
              </w:rPr>
              <w:t>出铁场</w:t>
            </w:r>
            <w:r>
              <w:rPr>
                <w:rFonts w:hint="eastAsia" w:ascii="Times New Roman" w:hAnsi="Times New Roman" w:cs="Times New Roman"/>
                <w:sz w:val="21"/>
                <w:szCs w:val="21"/>
                <w:lang w:val="en-US" w:eastAsia="zh-CN"/>
              </w:rPr>
              <w:t>废气</w:t>
            </w:r>
          </w:p>
        </w:tc>
        <w:tc>
          <w:tcPr>
            <w:tcW w:w="628" w:type="pct"/>
            <w:noWrap w:val="0"/>
            <w:vAlign w:val="center"/>
          </w:tcPr>
          <w:p w14:paraId="2B189F69">
            <w:pPr>
              <w:jc w:val="center"/>
              <w:rPr>
                <w:rFonts w:hint="eastAsia" w:ascii="Times New Roman" w:hAnsi="Times New Roman" w:eastAsia="宋体" w:cs="Times New Roman"/>
                <w:sz w:val="21"/>
                <w:szCs w:val="21"/>
                <w:lang w:eastAsia="zh-CN"/>
              </w:rPr>
            </w:pPr>
            <w:r>
              <w:rPr>
                <w:rFonts w:ascii="Times New Roman" w:hAnsi="Times New Roman" w:cs="Times New Roman"/>
                <w:sz w:val="21"/>
                <w:szCs w:val="21"/>
              </w:rPr>
              <w:t>G</w:t>
            </w:r>
            <w:r>
              <w:rPr>
                <w:rFonts w:hint="eastAsia" w:ascii="Times New Roman" w:hAnsi="Times New Roman" w:cs="Times New Roman"/>
                <w:sz w:val="21"/>
                <w:szCs w:val="21"/>
                <w:lang w:val="en-US" w:eastAsia="zh-CN"/>
              </w:rPr>
              <w:t>8</w:t>
            </w:r>
          </w:p>
        </w:tc>
        <w:tc>
          <w:tcPr>
            <w:tcW w:w="791" w:type="pct"/>
            <w:noWrap w:val="0"/>
            <w:vAlign w:val="center"/>
          </w:tcPr>
          <w:p w14:paraId="6659E7F5">
            <w:pPr>
              <w:jc w:val="center"/>
              <w:rPr>
                <w:rFonts w:ascii="Times New Roman" w:hAnsi="Times New Roman" w:cs="Times New Roman"/>
                <w:sz w:val="21"/>
                <w:szCs w:val="21"/>
              </w:rPr>
            </w:pPr>
            <w:r>
              <w:rPr>
                <w:rFonts w:hint="eastAsia" w:ascii="Times New Roman" w:hAnsi="Times New Roman" w:cs="Times New Roman"/>
                <w:sz w:val="21"/>
                <w:szCs w:val="21"/>
              </w:rPr>
              <w:t>颗粒物</w:t>
            </w:r>
          </w:p>
        </w:tc>
        <w:tc>
          <w:tcPr>
            <w:tcW w:w="1603" w:type="pct"/>
            <w:noWrap w:val="0"/>
            <w:vAlign w:val="center"/>
          </w:tcPr>
          <w:p w14:paraId="41C1A82E">
            <w:pPr>
              <w:jc w:val="both"/>
              <w:rPr>
                <w:rFonts w:ascii="Times New Roman" w:hAnsi="Times New Roman" w:cs="Times New Roman"/>
                <w:sz w:val="21"/>
                <w:szCs w:val="21"/>
              </w:rPr>
            </w:pPr>
            <w:r>
              <w:rPr>
                <w:rFonts w:hint="eastAsia" w:ascii="Times New Roman" w:hAnsi="Times New Roman" w:cs="Times New Roman"/>
                <w:bCs/>
                <w:sz w:val="21"/>
                <w:szCs w:val="21"/>
              </w:rPr>
              <w:t>经布袋除尘器处理后再通过30m高排气筒排放</w:t>
            </w:r>
            <w:r>
              <w:rPr>
                <w:rFonts w:hint="eastAsia" w:ascii="Times New Roman" w:hAnsi="Times New Roman" w:cs="Times New Roman"/>
                <w:bCs/>
                <w:sz w:val="21"/>
                <w:szCs w:val="21"/>
                <w:lang w:eastAsia="zh-CN"/>
              </w:rPr>
              <w:t>。</w:t>
            </w:r>
          </w:p>
        </w:tc>
        <w:tc>
          <w:tcPr>
            <w:tcW w:w="525" w:type="pct"/>
            <w:noWrap w:val="0"/>
            <w:vAlign w:val="center"/>
          </w:tcPr>
          <w:p w14:paraId="1A1436C1">
            <w:pPr>
              <w:jc w:val="center"/>
              <w:rPr>
                <w:rFonts w:ascii="Times New Roman" w:hAnsi="Times New Roman" w:cs="Times New Roman"/>
                <w:sz w:val="21"/>
                <w:szCs w:val="21"/>
              </w:rPr>
            </w:pPr>
            <w:r>
              <w:rPr>
                <w:rFonts w:hint="eastAsia" w:ascii="Times New Roman" w:hAnsi="Times New Roman" w:cs="Times New Roman"/>
                <w:sz w:val="21"/>
                <w:szCs w:val="21"/>
              </w:rPr>
              <w:t>无组织</w:t>
            </w:r>
          </w:p>
        </w:tc>
      </w:tr>
      <w:tr w14:paraId="5605E6C7">
        <w:tblPrEx>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83" w:type="pct"/>
            <w:vMerge w:val="continue"/>
            <w:noWrap w:val="0"/>
            <w:vAlign w:val="center"/>
          </w:tcPr>
          <w:p w14:paraId="091629F3">
            <w:pPr>
              <w:jc w:val="center"/>
              <w:rPr>
                <w:rFonts w:ascii="Times New Roman" w:hAnsi="Times New Roman" w:cs="Times New Roman"/>
                <w:sz w:val="21"/>
                <w:szCs w:val="21"/>
              </w:rPr>
            </w:pPr>
          </w:p>
        </w:tc>
        <w:tc>
          <w:tcPr>
            <w:tcW w:w="1167" w:type="pct"/>
            <w:gridSpan w:val="2"/>
            <w:noWrap w:val="0"/>
            <w:vAlign w:val="center"/>
          </w:tcPr>
          <w:p w14:paraId="0ADBBC2F">
            <w:pPr>
              <w:jc w:val="center"/>
              <w:rPr>
                <w:rFonts w:hint="eastAsia" w:ascii="Times New Roman" w:hAnsi="Times New Roman" w:eastAsia="宋体" w:cs="Times New Roman"/>
                <w:sz w:val="21"/>
                <w:szCs w:val="21"/>
                <w:lang w:val="en-US" w:eastAsia="zh-CN"/>
              </w:rPr>
            </w:pPr>
            <w:r>
              <w:rPr>
                <w:rFonts w:hint="eastAsia" w:ascii="Times New Roman" w:hAnsi="Times New Roman" w:cs="Times New Roman"/>
                <w:bCs/>
                <w:sz w:val="21"/>
                <w:szCs w:val="21"/>
              </w:rPr>
              <w:t>高炉炉顶</w:t>
            </w:r>
            <w:r>
              <w:rPr>
                <w:rFonts w:hint="eastAsia" w:ascii="Times New Roman" w:hAnsi="Times New Roman" w:cs="Times New Roman"/>
                <w:bCs/>
                <w:sz w:val="21"/>
                <w:szCs w:val="21"/>
                <w:lang w:val="en-US" w:eastAsia="zh-CN"/>
              </w:rPr>
              <w:t>废气</w:t>
            </w:r>
          </w:p>
        </w:tc>
        <w:tc>
          <w:tcPr>
            <w:tcW w:w="628" w:type="pct"/>
            <w:noWrap w:val="0"/>
            <w:vAlign w:val="center"/>
          </w:tcPr>
          <w:p w14:paraId="14BA2B57">
            <w:pPr>
              <w:jc w:val="center"/>
              <w:rPr>
                <w:rFonts w:ascii="Times New Roman" w:hAnsi="Times New Roman" w:cs="Times New Roman"/>
                <w:sz w:val="21"/>
                <w:szCs w:val="21"/>
              </w:rPr>
            </w:pPr>
            <w:r>
              <w:rPr>
                <w:rFonts w:ascii="Times New Roman" w:hAnsi="Times New Roman" w:cs="Times New Roman"/>
                <w:sz w:val="21"/>
                <w:szCs w:val="21"/>
              </w:rPr>
              <w:t>G</w:t>
            </w:r>
            <w:r>
              <w:rPr>
                <w:rFonts w:hint="eastAsia" w:ascii="Times New Roman" w:hAnsi="Times New Roman" w:cs="Times New Roman"/>
                <w:sz w:val="21"/>
                <w:szCs w:val="21"/>
                <w:lang w:val="en-US" w:eastAsia="zh-CN"/>
              </w:rPr>
              <w:t>9</w:t>
            </w:r>
          </w:p>
        </w:tc>
        <w:tc>
          <w:tcPr>
            <w:tcW w:w="791" w:type="pct"/>
            <w:noWrap w:val="0"/>
            <w:vAlign w:val="center"/>
          </w:tcPr>
          <w:p w14:paraId="1F284F9E">
            <w:pPr>
              <w:jc w:val="center"/>
              <w:rPr>
                <w:rFonts w:hint="eastAsia" w:ascii="Times New Roman" w:hAnsi="Times New Roman" w:cs="Times New Roman"/>
                <w:sz w:val="21"/>
                <w:szCs w:val="21"/>
              </w:rPr>
            </w:pPr>
            <w:r>
              <w:rPr>
                <w:rFonts w:hint="eastAsia" w:ascii="Times New Roman" w:hAnsi="Times New Roman" w:cs="Times New Roman"/>
                <w:sz w:val="21"/>
                <w:szCs w:val="21"/>
              </w:rPr>
              <w:t>颗粒物</w:t>
            </w:r>
          </w:p>
        </w:tc>
        <w:tc>
          <w:tcPr>
            <w:tcW w:w="1603" w:type="pct"/>
            <w:noWrap w:val="0"/>
            <w:vAlign w:val="center"/>
          </w:tcPr>
          <w:p w14:paraId="26ACC206">
            <w:pPr>
              <w:jc w:val="both"/>
              <w:rPr>
                <w:rFonts w:hint="eastAsia" w:ascii="Times New Roman" w:hAnsi="Times New Roman" w:cs="Times New Roman"/>
                <w:bCs/>
                <w:sz w:val="21"/>
                <w:szCs w:val="21"/>
              </w:rPr>
            </w:pPr>
            <w:r>
              <w:rPr>
                <w:rFonts w:hint="eastAsia" w:ascii="Times New Roman" w:hAnsi="Times New Roman" w:cs="Times New Roman"/>
                <w:bCs/>
                <w:sz w:val="21"/>
                <w:szCs w:val="21"/>
              </w:rPr>
              <w:t>经旋风除尘、高炉煤气经重力除尘和14台并联布袋除尘器处理后再通过15m高排气筒排放</w:t>
            </w:r>
            <w:r>
              <w:rPr>
                <w:rFonts w:hint="eastAsia" w:ascii="Times New Roman" w:hAnsi="Times New Roman" w:cs="Times New Roman"/>
                <w:bCs/>
                <w:sz w:val="21"/>
                <w:szCs w:val="21"/>
                <w:lang w:eastAsia="zh-CN"/>
              </w:rPr>
              <w:t>。</w:t>
            </w:r>
          </w:p>
        </w:tc>
        <w:tc>
          <w:tcPr>
            <w:tcW w:w="525" w:type="pct"/>
            <w:noWrap w:val="0"/>
            <w:vAlign w:val="center"/>
          </w:tcPr>
          <w:p w14:paraId="5BE7134E">
            <w:pPr>
              <w:jc w:val="center"/>
              <w:rPr>
                <w:rFonts w:hint="eastAsia" w:ascii="Times New Roman" w:hAnsi="Times New Roman" w:cs="Times New Roman"/>
                <w:sz w:val="21"/>
                <w:szCs w:val="21"/>
              </w:rPr>
            </w:pPr>
          </w:p>
        </w:tc>
      </w:tr>
      <w:tr w14:paraId="7DA58E49">
        <w:tblPrEx>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83" w:type="pct"/>
            <w:vMerge w:val="continue"/>
            <w:noWrap w:val="0"/>
            <w:vAlign w:val="center"/>
          </w:tcPr>
          <w:p w14:paraId="198D4D8C">
            <w:pPr>
              <w:jc w:val="center"/>
              <w:rPr>
                <w:rFonts w:ascii="Times New Roman" w:hAnsi="Times New Roman" w:cs="Times New Roman"/>
                <w:sz w:val="21"/>
                <w:szCs w:val="21"/>
              </w:rPr>
            </w:pPr>
          </w:p>
        </w:tc>
        <w:tc>
          <w:tcPr>
            <w:tcW w:w="1167" w:type="pct"/>
            <w:gridSpan w:val="2"/>
            <w:noWrap w:val="0"/>
            <w:vAlign w:val="center"/>
          </w:tcPr>
          <w:p w14:paraId="6C1D51CF">
            <w:pPr>
              <w:jc w:val="center"/>
              <w:rPr>
                <w:rFonts w:hint="eastAsia" w:ascii="Times New Roman" w:hAnsi="Times New Roman" w:cs="Times New Roman"/>
                <w:sz w:val="21"/>
                <w:szCs w:val="21"/>
              </w:rPr>
            </w:pPr>
            <w:r>
              <w:rPr>
                <w:rFonts w:hint="eastAsia" w:ascii="Times New Roman" w:hAnsi="Times New Roman" w:cs="Times New Roman"/>
                <w:bCs/>
                <w:sz w:val="21"/>
                <w:szCs w:val="21"/>
              </w:rPr>
              <w:t>热风炉废气</w:t>
            </w:r>
          </w:p>
        </w:tc>
        <w:tc>
          <w:tcPr>
            <w:tcW w:w="628" w:type="pct"/>
            <w:noWrap w:val="0"/>
            <w:vAlign w:val="center"/>
          </w:tcPr>
          <w:p w14:paraId="3CB8FABC">
            <w:pPr>
              <w:jc w:val="center"/>
              <w:rPr>
                <w:rFonts w:hint="default" w:ascii="Times New Roman" w:hAnsi="Times New Roman" w:cs="Times New Roman"/>
                <w:sz w:val="21"/>
                <w:szCs w:val="21"/>
                <w:lang w:val="en-US"/>
              </w:rPr>
            </w:pPr>
            <w:r>
              <w:rPr>
                <w:rFonts w:ascii="Times New Roman" w:hAnsi="Times New Roman" w:cs="Times New Roman"/>
                <w:sz w:val="21"/>
                <w:szCs w:val="21"/>
              </w:rPr>
              <w:t>G</w:t>
            </w:r>
            <w:r>
              <w:rPr>
                <w:rFonts w:hint="eastAsia" w:ascii="Times New Roman" w:hAnsi="Times New Roman" w:cs="Times New Roman"/>
                <w:sz w:val="21"/>
                <w:szCs w:val="21"/>
                <w:lang w:val="en-US" w:eastAsia="zh-CN"/>
              </w:rPr>
              <w:t>10</w:t>
            </w:r>
          </w:p>
        </w:tc>
        <w:tc>
          <w:tcPr>
            <w:tcW w:w="791" w:type="pct"/>
            <w:noWrap w:val="0"/>
            <w:vAlign w:val="center"/>
          </w:tcPr>
          <w:p w14:paraId="1CCCD85F">
            <w:pPr>
              <w:jc w:val="center"/>
              <w:rPr>
                <w:rFonts w:hint="eastAsia" w:ascii="Times New Roman" w:hAnsi="Times New Roman" w:eastAsia="宋体" w:cs="Times New Roman"/>
                <w:sz w:val="21"/>
                <w:szCs w:val="21"/>
                <w:lang w:eastAsia="zh-CN"/>
              </w:rPr>
            </w:pPr>
            <w:r>
              <w:rPr>
                <w:rFonts w:hint="eastAsia" w:ascii="Times New Roman" w:hAnsi="Times New Roman" w:cs="Times New Roman"/>
                <w:sz w:val="21"/>
                <w:szCs w:val="21"/>
              </w:rPr>
              <w:t>颗粒物、SO</w:t>
            </w:r>
            <w:r>
              <w:rPr>
                <w:rFonts w:hint="eastAsia" w:ascii="Times New Roman" w:hAnsi="Times New Roman" w:cs="Times New Roman"/>
                <w:sz w:val="21"/>
                <w:szCs w:val="21"/>
                <w:vertAlign w:val="subscript"/>
              </w:rPr>
              <w:t>2</w:t>
            </w:r>
            <w:r>
              <w:rPr>
                <w:rFonts w:hint="eastAsia" w:ascii="Times New Roman" w:hAnsi="Times New Roman" w:cs="Times New Roman"/>
                <w:sz w:val="21"/>
                <w:szCs w:val="21"/>
              </w:rPr>
              <w:t>、NO</w:t>
            </w:r>
            <w:r>
              <w:rPr>
                <w:rFonts w:hint="eastAsia" w:ascii="Times New Roman" w:hAnsi="Times New Roman" w:cs="Times New Roman"/>
                <w:sz w:val="21"/>
                <w:szCs w:val="21"/>
                <w:vertAlign w:val="subscript"/>
                <w:lang w:val="en-US" w:eastAsia="zh-CN"/>
              </w:rPr>
              <w:t>x</w:t>
            </w:r>
          </w:p>
        </w:tc>
        <w:tc>
          <w:tcPr>
            <w:tcW w:w="1603" w:type="pct"/>
            <w:noWrap w:val="0"/>
            <w:vAlign w:val="center"/>
          </w:tcPr>
          <w:p w14:paraId="18E38F70">
            <w:pPr>
              <w:jc w:val="both"/>
              <w:rPr>
                <w:rFonts w:hint="eastAsia" w:ascii="Times New Roman" w:hAnsi="Times New Roman" w:cs="Times New Roman"/>
                <w:bCs/>
                <w:sz w:val="21"/>
                <w:szCs w:val="21"/>
              </w:rPr>
            </w:pPr>
            <w:r>
              <w:rPr>
                <w:rFonts w:hint="eastAsia" w:ascii="Times New Roman" w:hAnsi="Times New Roman" w:cs="Times New Roman"/>
                <w:bCs/>
                <w:sz w:val="21"/>
                <w:szCs w:val="21"/>
              </w:rPr>
              <w:t>经42m高排气筒排放</w:t>
            </w:r>
            <w:r>
              <w:rPr>
                <w:rFonts w:ascii="Times New Roman" w:hAnsi="Times New Roman" w:cs="Times New Roman"/>
                <w:bCs/>
                <w:sz w:val="21"/>
                <w:szCs w:val="21"/>
              </w:rPr>
              <w:t>。</w:t>
            </w:r>
          </w:p>
        </w:tc>
        <w:tc>
          <w:tcPr>
            <w:tcW w:w="525" w:type="pct"/>
            <w:noWrap w:val="0"/>
            <w:vAlign w:val="center"/>
          </w:tcPr>
          <w:p w14:paraId="6AC0E9D9">
            <w:pPr>
              <w:jc w:val="center"/>
              <w:rPr>
                <w:rFonts w:hint="eastAsia" w:ascii="Times New Roman" w:hAnsi="Times New Roman" w:cs="Times New Roman"/>
                <w:sz w:val="21"/>
                <w:szCs w:val="21"/>
              </w:rPr>
            </w:pPr>
          </w:p>
        </w:tc>
      </w:tr>
      <w:tr w14:paraId="0007A569">
        <w:tblPrEx>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83" w:type="pct"/>
            <w:vMerge w:val="restart"/>
            <w:noWrap w:val="0"/>
            <w:vAlign w:val="center"/>
          </w:tcPr>
          <w:p w14:paraId="04C48A98">
            <w:pPr>
              <w:jc w:val="center"/>
              <w:rPr>
                <w:rFonts w:ascii="Times New Roman" w:hAnsi="Times New Roman" w:cs="Times New Roman"/>
                <w:sz w:val="21"/>
                <w:szCs w:val="21"/>
              </w:rPr>
            </w:pPr>
            <w:r>
              <w:rPr>
                <w:rFonts w:hint="eastAsia" w:ascii="Times New Roman" w:hAnsi="Times New Roman" w:cs="Times New Roman"/>
                <w:sz w:val="21"/>
                <w:szCs w:val="21"/>
              </w:rPr>
              <w:t>废水</w:t>
            </w:r>
          </w:p>
        </w:tc>
        <w:tc>
          <w:tcPr>
            <w:tcW w:w="1167" w:type="pct"/>
            <w:gridSpan w:val="2"/>
            <w:noWrap w:val="0"/>
            <w:vAlign w:val="center"/>
          </w:tcPr>
          <w:p w14:paraId="12CBC3C4">
            <w:pPr>
              <w:jc w:val="center"/>
              <w:rPr>
                <w:rFonts w:ascii="Times New Roman" w:hAnsi="Times New Roman" w:cs="Times New Roman"/>
                <w:sz w:val="21"/>
                <w:szCs w:val="21"/>
              </w:rPr>
            </w:pPr>
            <w:r>
              <w:rPr>
                <w:rFonts w:hint="eastAsia" w:ascii="Times New Roman" w:hAnsi="Times New Roman" w:cs="Times New Roman"/>
                <w:sz w:val="21"/>
                <w:szCs w:val="21"/>
              </w:rPr>
              <w:t>间接冷却水排污水</w:t>
            </w:r>
          </w:p>
        </w:tc>
        <w:tc>
          <w:tcPr>
            <w:tcW w:w="628" w:type="pct"/>
            <w:noWrap w:val="0"/>
            <w:vAlign w:val="center"/>
          </w:tcPr>
          <w:p w14:paraId="1301E071">
            <w:pPr>
              <w:jc w:val="center"/>
              <w:rPr>
                <w:rFonts w:ascii="Times New Roman" w:hAnsi="Times New Roman" w:cs="Times New Roman"/>
                <w:sz w:val="21"/>
                <w:szCs w:val="21"/>
              </w:rPr>
            </w:pPr>
            <w:r>
              <w:rPr>
                <w:rFonts w:ascii="Times New Roman" w:hAnsi="Times New Roman" w:cs="Times New Roman"/>
                <w:sz w:val="21"/>
                <w:szCs w:val="21"/>
              </w:rPr>
              <w:t>W1</w:t>
            </w:r>
          </w:p>
        </w:tc>
        <w:tc>
          <w:tcPr>
            <w:tcW w:w="791" w:type="pct"/>
            <w:noWrap w:val="0"/>
            <w:vAlign w:val="center"/>
          </w:tcPr>
          <w:p w14:paraId="65A6F841">
            <w:pPr>
              <w:jc w:val="center"/>
              <w:rPr>
                <w:rFonts w:ascii="Times New Roman" w:hAnsi="Times New Roman" w:cs="Times New Roman"/>
                <w:sz w:val="21"/>
                <w:szCs w:val="21"/>
              </w:rPr>
            </w:pPr>
            <w:r>
              <w:rPr>
                <w:rFonts w:hint="eastAsia" w:ascii="Times New Roman" w:hAnsi="Times New Roman" w:cs="Times New Roman"/>
                <w:sz w:val="21"/>
                <w:szCs w:val="21"/>
              </w:rPr>
              <w:t>SS</w:t>
            </w:r>
          </w:p>
        </w:tc>
        <w:tc>
          <w:tcPr>
            <w:tcW w:w="1603" w:type="pct"/>
            <w:noWrap w:val="0"/>
            <w:vAlign w:val="center"/>
          </w:tcPr>
          <w:p w14:paraId="40285BDD">
            <w:pPr>
              <w:jc w:val="center"/>
              <w:rPr>
                <w:rFonts w:hint="eastAsia" w:ascii="Times New Roman" w:hAnsi="Times New Roman" w:eastAsia="宋体" w:cs="Times New Roman"/>
                <w:sz w:val="21"/>
                <w:szCs w:val="21"/>
                <w:lang w:eastAsia="zh-CN"/>
              </w:rPr>
            </w:pPr>
            <w:r>
              <w:rPr>
                <w:rFonts w:hint="eastAsia" w:ascii="Times New Roman" w:hAnsi="Times New Roman" w:cs="Times New Roman"/>
                <w:sz w:val="21"/>
                <w:szCs w:val="21"/>
              </w:rPr>
              <w:t>循环</w:t>
            </w:r>
            <w:r>
              <w:rPr>
                <w:rFonts w:hint="eastAsia" w:ascii="Times New Roman" w:hAnsi="Times New Roman" w:cs="Times New Roman"/>
                <w:sz w:val="21"/>
                <w:szCs w:val="21"/>
                <w:lang w:val="en-US" w:eastAsia="zh-CN"/>
              </w:rPr>
              <w:t>使用</w:t>
            </w:r>
          </w:p>
        </w:tc>
        <w:tc>
          <w:tcPr>
            <w:tcW w:w="525" w:type="pct"/>
            <w:noWrap w:val="0"/>
            <w:vAlign w:val="center"/>
          </w:tcPr>
          <w:p w14:paraId="5AD4A3D6">
            <w:pPr>
              <w:jc w:val="center"/>
              <w:rPr>
                <w:rFonts w:ascii="Times New Roman" w:hAnsi="Times New Roman" w:cs="Times New Roman"/>
                <w:sz w:val="21"/>
                <w:szCs w:val="21"/>
              </w:rPr>
            </w:pPr>
            <w:r>
              <w:rPr>
                <w:rFonts w:hint="eastAsia" w:ascii="Times New Roman" w:hAnsi="Times New Roman" w:cs="Times New Roman"/>
                <w:sz w:val="21"/>
                <w:szCs w:val="21"/>
              </w:rPr>
              <w:t>不外排</w:t>
            </w:r>
          </w:p>
        </w:tc>
      </w:tr>
      <w:tr w14:paraId="5E0A50DB">
        <w:tblPrEx>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83" w:type="pct"/>
            <w:vMerge w:val="continue"/>
            <w:noWrap w:val="0"/>
            <w:vAlign w:val="center"/>
          </w:tcPr>
          <w:p w14:paraId="35EB3A3D">
            <w:pPr>
              <w:jc w:val="center"/>
              <w:rPr>
                <w:rFonts w:ascii="Times New Roman" w:hAnsi="Times New Roman" w:cs="Times New Roman"/>
                <w:sz w:val="21"/>
                <w:szCs w:val="21"/>
              </w:rPr>
            </w:pPr>
          </w:p>
        </w:tc>
        <w:tc>
          <w:tcPr>
            <w:tcW w:w="1167" w:type="pct"/>
            <w:gridSpan w:val="2"/>
            <w:noWrap w:val="0"/>
            <w:vAlign w:val="center"/>
          </w:tcPr>
          <w:p w14:paraId="2D9EC491">
            <w:pPr>
              <w:jc w:val="center"/>
              <w:rPr>
                <w:rFonts w:ascii="Times New Roman" w:hAnsi="Times New Roman" w:cs="Times New Roman"/>
                <w:sz w:val="21"/>
                <w:szCs w:val="21"/>
              </w:rPr>
            </w:pPr>
            <w:r>
              <w:rPr>
                <w:rFonts w:hint="eastAsia" w:ascii="Times New Roman" w:hAnsi="Times New Roman" w:cs="Times New Roman"/>
                <w:sz w:val="21"/>
                <w:szCs w:val="21"/>
              </w:rPr>
              <w:t>生活污水</w:t>
            </w:r>
          </w:p>
        </w:tc>
        <w:tc>
          <w:tcPr>
            <w:tcW w:w="628" w:type="pct"/>
            <w:noWrap w:val="0"/>
            <w:vAlign w:val="center"/>
          </w:tcPr>
          <w:p w14:paraId="252385C9">
            <w:pPr>
              <w:jc w:val="center"/>
              <w:rPr>
                <w:rFonts w:ascii="Times New Roman" w:hAnsi="Times New Roman" w:cs="Times New Roman"/>
                <w:sz w:val="21"/>
                <w:szCs w:val="21"/>
              </w:rPr>
            </w:pPr>
            <w:r>
              <w:rPr>
                <w:rFonts w:ascii="Times New Roman" w:hAnsi="Times New Roman" w:cs="Times New Roman"/>
                <w:sz w:val="21"/>
                <w:szCs w:val="21"/>
              </w:rPr>
              <w:t>--</w:t>
            </w:r>
          </w:p>
        </w:tc>
        <w:tc>
          <w:tcPr>
            <w:tcW w:w="791" w:type="pct"/>
            <w:noWrap w:val="0"/>
            <w:vAlign w:val="center"/>
          </w:tcPr>
          <w:p w14:paraId="05B3E0A7">
            <w:pPr>
              <w:jc w:val="center"/>
              <w:rPr>
                <w:rFonts w:ascii="Times New Roman" w:hAnsi="Times New Roman" w:cs="Times New Roman"/>
                <w:sz w:val="21"/>
                <w:szCs w:val="21"/>
              </w:rPr>
            </w:pPr>
            <w:r>
              <w:rPr>
                <w:rFonts w:ascii="Times New Roman" w:hAnsi="Times New Roman" w:cs="Times New Roman"/>
                <w:sz w:val="21"/>
                <w:szCs w:val="21"/>
              </w:rPr>
              <w:t>pH</w:t>
            </w:r>
            <w:r>
              <w:rPr>
                <w:rFonts w:hint="eastAsia" w:ascii="Times New Roman" w:hAnsi="Times New Roman" w:cs="Times New Roman"/>
                <w:sz w:val="21"/>
                <w:szCs w:val="21"/>
              </w:rPr>
              <w:t>、</w:t>
            </w:r>
            <w:r>
              <w:rPr>
                <w:rFonts w:ascii="Times New Roman" w:hAnsi="Times New Roman" w:cs="Times New Roman"/>
                <w:sz w:val="21"/>
                <w:szCs w:val="21"/>
              </w:rPr>
              <w:t>COD、SS</w:t>
            </w:r>
            <w:r>
              <w:rPr>
                <w:rFonts w:hint="eastAsia" w:ascii="Times New Roman" w:hAnsi="Times New Roman" w:cs="Times New Roman"/>
                <w:sz w:val="21"/>
                <w:szCs w:val="21"/>
              </w:rPr>
              <w:t>、</w:t>
            </w:r>
            <w:r>
              <w:rPr>
                <w:rFonts w:ascii="Times New Roman" w:hAnsi="Times New Roman" w:cs="Times New Roman"/>
                <w:sz w:val="21"/>
                <w:szCs w:val="21"/>
              </w:rPr>
              <w:t>NH</w:t>
            </w:r>
            <w:r>
              <w:rPr>
                <w:rFonts w:ascii="Times New Roman" w:hAnsi="Times New Roman" w:cs="Times New Roman"/>
                <w:sz w:val="21"/>
                <w:szCs w:val="21"/>
                <w:vertAlign w:val="subscript"/>
              </w:rPr>
              <w:t>3</w:t>
            </w:r>
            <w:r>
              <w:rPr>
                <w:rFonts w:ascii="Times New Roman" w:hAnsi="Times New Roman" w:cs="Times New Roman"/>
                <w:sz w:val="21"/>
                <w:szCs w:val="21"/>
              </w:rPr>
              <w:t>-N</w:t>
            </w:r>
            <w:r>
              <w:rPr>
                <w:rFonts w:hint="eastAsia" w:ascii="Times New Roman" w:hAnsi="Times New Roman" w:cs="Times New Roman"/>
                <w:sz w:val="21"/>
                <w:szCs w:val="21"/>
              </w:rPr>
              <w:t>、动植物油、</w:t>
            </w:r>
            <w:r>
              <w:rPr>
                <w:rFonts w:ascii="Times New Roman" w:hAnsi="Times New Roman" w:cs="Times New Roman"/>
                <w:sz w:val="21"/>
                <w:szCs w:val="21"/>
              </w:rPr>
              <w:t>BOD</w:t>
            </w:r>
            <w:r>
              <w:rPr>
                <w:rFonts w:ascii="Times New Roman" w:hAnsi="Times New Roman" w:cs="Times New Roman"/>
                <w:sz w:val="21"/>
                <w:szCs w:val="21"/>
                <w:vertAlign w:val="subscript"/>
              </w:rPr>
              <w:t>5</w:t>
            </w:r>
          </w:p>
        </w:tc>
        <w:tc>
          <w:tcPr>
            <w:tcW w:w="1603" w:type="pct"/>
            <w:noWrap w:val="0"/>
            <w:vAlign w:val="center"/>
          </w:tcPr>
          <w:p w14:paraId="29609E41">
            <w:pPr>
              <w:jc w:val="center"/>
              <w:rPr>
                <w:rFonts w:hint="eastAsia" w:ascii="Times New Roman" w:hAnsi="Times New Roman" w:eastAsia="宋体" w:cs="Times New Roman"/>
                <w:sz w:val="21"/>
                <w:szCs w:val="21"/>
                <w:lang w:eastAsia="zh-CN"/>
              </w:rPr>
            </w:pPr>
            <w:r>
              <w:rPr>
                <w:rFonts w:hint="eastAsia" w:ascii="Times New Roman" w:hAnsi="Times New Roman" w:cs="Times New Roman"/>
                <w:sz w:val="21"/>
                <w:szCs w:val="21"/>
              </w:rPr>
              <w:t>生活污水汇入化粪池，</w:t>
            </w:r>
            <w:r>
              <w:rPr>
                <w:rFonts w:hint="eastAsia" w:ascii="Times New Roman" w:hAnsi="Times New Roman" w:cs="Times New Roman"/>
                <w:sz w:val="21"/>
                <w:szCs w:val="21"/>
                <w:lang w:val="en-US" w:eastAsia="zh-CN"/>
              </w:rPr>
              <w:t>定期清掏</w:t>
            </w:r>
          </w:p>
        </w:tc>
        <w:tc>
          <w:tcPr>
            <w:tcW w:w="525" w:type="pct"/>
            <w:noWrap w:val="0"/>
            <w:vAlign w:val="center"/>
          </w:tcPr>
          <w:p w14:paraId="40762298">
            <w:pPr>
              <w:jc w:val="center"/>
              <w:rPr>
                <w:rFonts w:ascii="Times New Roman" w:hAnsi="Times New Roman" w:cs="Times New Roman"/>
                <w:sz w:val="21"/>
                <w:szCs w:val="21"/>
              </w:rPr>
            </w:pPr>
            <w:r>
              <w:rPr>
                <w:rFonts w:hint="eastAsia" w:ascii="Times New Roman" w:hAnsi="Times New Roman" w:cs="Times New Roman"/>
                <w:sz w:val="21"/>
                <w:szCs w:val="21"/>
              </w:rPr>
              <w:t>不外排</w:t>
            </w:r>
          </w:p>
        </w:tc>
      </w:tr>
      <w:tr w14:paraId="0CDAF5DA">
        <w:tblPrEx>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83" w:type="pct"/>
            <w:vMerge w:val="restart"/>
            <w:noWrap w:val="0"/>
            <w:vAlign w:val="center"/>
          </w:tcPr>
          <w:p w14:paraId="4D833B8E">
            <w:pPr>
              <w:jc w:val="center"/>
              <w:rPr>
                <w:rFonts w:ascii="Times New Roman" w:hAnsi="Times New Roman" w:cs="Times New Roman"/>
                <w:sz w:val="21"/>
                <w:szCs w:val="21"/>
              </w:rPr>
            </w:pPr>
            <w:r>
              <w:rPr>
                <w:rFonts w:hint="eastAsia" w:ascii="Times New Roman" w:hAnsi="Times New Roman" w:cs="Times New Roman"/>
                <w:sz w:val="21"/>
                <w:szCs w:val="21"/>
              </w:rPr>
              <w:t>固体废物</w:t>
            </w:r>
          </w:p>
        </w:tc>
        <w:tc>
          <w:tcPr>
            <w:tcW w:w="346" w:type="pct"/>
            <w:vMerge w:val="restart"/>
            <w:noWrap w:val="0"/>
            <w:vAlign w:val="center"/>
          </w:tcPr>
          <w:p w14:paraId="06DCF608">
            <w:pPr>
              <w:jc w:val="center"/>
              <w:rPr>
                <w:rFonts w:hint="eastAsia" w:ascii="Times New Roman" w:hAnsi="Times New Roman" w:cs="Times New Roman"/>
                <w:sz w:val="21"/>
                <w:szCs w:val="21"/>
              </w:rPr>
            </w:pPr>
            <w:r>
              <w:rPr>
                <w:rFonts w:hint="eastAsia" w:ascii="Times New Roman" w:hAnsi="Times New Roman" w:cs="Times New Roman"/>
                <w:sz w:val="21"/>
                <w:szCs w:val="21"/>
              </w:rPr>
              <w:t>一般工业固体废物</w:t>
            </w:r>
          </w:p>
        </w:tc>
        <w:tc>
          <w:tcPr>
            <w:tcW w:w="821" w:type="pct"/>
            <w:noWrap w:val="0"/>
            <w:vAlign w:val="center"/>
          </w:tcPr>
          <w:p w14:paraId="0336F226">
            <w:pPr>
              <w:jc w:val="center"/>
              <w:rPr>
                <w:rFonts w:ascii="Times New Roman" w:hAnsi="Times New Roman" w:cs="Times New Roman"/>
                <w:sz w:val="21"/>
                <w:szCs w:val="21"/>
              </w:rPr>
            </w:pPr>
            <w:r>
              <w:rPr>
                <w:rFonts w:hint="eastAsia" w:ascii="Times New Roman" w:hAnsi="Times New Roman" w:cs="Times New Roman"/>
                <w:sz w:val="21"/>
                <w:szCs w:val="21"/>
              </w:rPr>
              <w:t>布袋除尘灰</w:t>
            </w:r>
          </w:p>
        </w:tc>
        <w:tc>
          <w:tcPr>
            <w:tcW w:w="628" w:type="pct"/>
            <w:noWrap w:val="0"/>
            <w:vAlign w:val="center"/>
          </w:tcPr>
          <w:p w14:paraId="75EFB083">
            <w:pPr>
              <w:jc w:val="center"/>
              <w:rPr>
                <w:rFonts w:ascii="Times New Roman" w:hAnsi="Times New Roman" w:cs="Times New Roman"/>
                <w:sz w:val="21"/>
                <w:szCs w:val="21"/>
              </w:rPr>
            </w:pPr>
            <w:r>
              <w:rPr>
                <w:rFonts w:ascii="Times New Roman" w:hAnsi="Times New Roman" w:cs="Times New Roman"/>
                <w:sz w:val="21"/>
                <w:szCs w:val="21"/>
              </w:rPr>
              <w:t>S1</w:t>
            </w:r>
          </w:p>
        </w:tc>
        <w:tc>
          <w:tcPr>
            <w:tcW w:w="791" w:type="pct"/>
            <w:noWrap w:val="0"/>
            <w:vAlign w:val="center"/>
          </w:tcPr>
          <w:p w14:paraId="2BAFED76">
            <w:pPr>
              <w:jc w:val="center"/>
              <w:rPr>
                <w:rFonts w:ascii="Times New Roman" w:hAnsi="Times New Roman" w:cs="Times New Roman"/>
                <w:sz w:val="21"/>
                <w:szCs w:val="21"/>
              </w:rPr>
            </w:pPr>
            <w:r>
              <w:rPr>
                <w:rFonts w:ascii="Times New Roman" w:hAnsi="Times New Roman" w:cs="Times New Roman"/>
                <w:sz w:val="21"/>
                <w:szCs w:val="21"/>
              </w:rPr>
              <w:t>900-999-66</w:t>
            </w:r>
          </w:p>
        </w:tc>
        <w:tc>
          <w:tcPr>
            <w:tcW w:w="1603" w:type="pct"/>
            <w:noWrap w:val="0"/>
            <w:vAlign w:val="center"/>
          </w:tcPr>
          <w:p w14:paraId="554F89B5">
            <w:pPr>
              <w:jc w:val="center"/>
              <w:rPr>
                <w:rFonts w:hint="eastAsia" w:ascii="Times New Roman" w:hAnsi="Times New Roman" w:cs="Times New Roman"/>
                <w:sz w:val="21"/>
                <w:szCs w:val="21"/>
              </w:rPr>
            </w:pPr>
            <w:r>
              <w:rPr>
                <w:rFonts w:hint="eastAsia" w:ascii="Times New Roman" w:hAnsi="Times New Roman" w:cs="Times New Roman"/>
                <w:sz w:val="21"/>
                <w:szCs w:val="21"/>
              </w:rPr>
              <w:t>作为冶炼原料外售</w:t>
            </w:r>
          </w:p>
        </w:tc>
        <w:tc>
          <w:tcPr>
            <w:tcW w:w="525" w:type="pct"/>
            <w:noWrap w:val="0"/>
            <w:vAlign w:val="center"/>
          </w:tcPr>
          <w:p w14:paraId="699B5B89">
            <w:pPr>
              <w:jc w:val="center"/>
              <w:rPr>
                <w:rFonts w:hint="eastAsia" w:ascii="Times New Roman" w:hAnsi="Times New Roman" w:cs="Times New Roman"/>
                <w:sz w:val="21"/>
                <w:szCs w:val="21"/>
              </w:rPr>
            </w:pPr>
            <w:r>
              <w:rPr>
                <w:rFonts w:hint="eastAsia" w:ascii="Times New Roman" w:hAnsi="Times New Roman" w:cs="Times New Roman"/>
                <w:sz w:val="21"/>
                <w:szCs w:val="21"/>
              </w:rPr>
              <w:t>不外排</w:t>
            </w:r>
          </w:p>
        </w:tc>
      </w:tr>
      <w:tr w14:paraId="3551E6FE">
        <w:tblPrEx>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83" w:type="pct"/>
            <w:vMerge w:val="continue"/>
            <w:noWrap w:val="0"/>
            <w:vAlign w:val="center"/>
          </w:tcPr>
          <w:p w14:paraId="4D45CAA8">
            <w:pPr>
              <w:jc w:val="center"/>
              <w:rPr>
                <w:rFonts w:ascii="Times New Roman" w:hAnsi="Times New Roman" w:cs="Times New Roman"/>
                <w:sz w:val="21"/>
                <w:szCs w:val="21"/>
              </w:rPr>
            </w:pPr>
          </w:p>
        </w:tc>
        <w:tc>
          <w:tcPr>
            <w:tcW w:w="346" w:type="pct"/>
            <w:vMerge w:val="continue"/>
            <w:noWrap w:val="0"/>
            <w:vAlign w:val="center"/>
          </w:tcPr>
          <w:p w14:paraId="68B14DE5">
            <w:pPr>
              <w:jc w:val="center"/>
              <w:rPr>
                <w:rFonts w:hint="eastAsia" w:ascii="Times New Roman" w:hAnsi="Times New Roman" w:cs="Times New Roman"/>
                <w:sz w:val="21"/>
                <w:szCs w:val="21"/>
              </w:rPr>
            </w:pPr>
          </w:p>
        </w:tc>
        <w:tc>
          <w:tcPr>
            <w:tcW w:w="821" w:type="pct"/>
            <w:noWrap w:val="0"/>
            <w:vAlign w:val="center"/>
          </w:tcPr>
          <w:p w14:paraId="44B36DE8">
            <w:pPr>
              <w:jc w:val="center"/>
              <w:rPr>
                <w:rFonts w:ascii="Times New Roman" w:hAnsi="Times New Roman" w:cs="Times New Roman"/>
                <w:sz w:val="21"/>
                <w:szCs w:val="21"/>
              </w:rPr>
            </w:pPr>
            <w:r>
              <w:rPr>
                <w:rFonts w:hint="eastAsia" w:ascii="Times New Roman" w:hAnsi="Times New Roman" w:cs="Times New Roman"/>
                <w:sz w:val="21"/>
                <w:szCs w:val="21"/>
              </w:rPr>
              <w:t>出铁场固体残渣</w:t>
            </w:r>
          </w:p>
        </w:tc>
        <w:tc>
          <w:tcPr>
            <w:tcW w:w="628" w:type="pct"/>
            <w:noWrap w:val="0"/>
            <w:vAlign w:val="center"/>
          </w:tcPr>
          <w:p w14:paraId="66A035F3">
            <w:pPr>
              <w:jc w:val="center"/>
              <w:rPr>
                <w:rFonts w:hint="eastAsia" w:ascii="Times New Roman" w:hAnsi="Times New Roman" w:eastAsia="宋体" w:cs="Times New Roman"/>
                <w:sz w:val="21"/>
                <w:szCs w:val="21"/>
                <w:lang w:eastAsia="zh-CN"/>
              </w:rPr>
            </w:pPr>
            <w:r>
              <w:rPr>
                <w:rFonts w:ascii="Times New Roman" w:hAnsi="Times New Roman" w:cs="Times New Roman"/>
                <w:sz w:val="21"/>
                <w:szCs w:val="21"/>
              </w:rPr>
              <w:t>S</w:t>
            </w:r>
            <w:r>
              <w:rPr>
                <w:rFonts w:hint="eastAsia" w:ascii="Times New Roman" w:hAnsi="Times New Roman" w:cs="Times New Roman"/>
                <w:sz w:val="21"/>
                <w:szCs w:val="21"/>
                <w:lang w:val="en-US" w:eastAsia="zh-CN"/>
              </w:rPr>
              <w:t>2</w:t>
            </w:r>
          </w:p>
        </w:tc>
        <w:tc>
          <w:tcPr>
            <w:tcW w:w="791" w:type="pct"/>
            <w:noWrap w:val="0"/>
            <w:vAlign w:val="center"/>
          </w:tcPr>
          <w:p w14:paraId="7DF29268">
            <w:pPr>
              <w:jc w:val="center"/>
              <w:rPr>
                <w:rFonts w:ascii="Times New Roman" w:hAnsi="Times New Roman" w:cs="Times New Roman"/>
                <w:sz w:val="21"/>
                <w:szCs w:val="21"/>
              </w:rPr>
            </w:pPr>
            <w:r>
              <w:rPr>
                <w:rFonts w:ascii="Times New Roman" w:hAnsi="Times New Roman" w:cs="Times New Roman"/>
                <w:sz w:val="21"/>
                <w:szCs w:val="21"/>
              </w:rPr>
              <w:t>900-999-99</w:t>
            </w:r>
          </w:p>
        </w:tc>
        <w:tc>
          <w:tcPr>
            <w:tcW w:w="1603" w:type="pct"/>
            <w:noWrap w:val="0"/>
            <w:vAlign w:val="center"/>
          </w:tcPr>
          <w:p w14:paraId="3316AAE0">
            <w:pPr>
              <w:jc w:val="center"/>
              <w:rPr>
                <w:rFonts w:hint="eastAsia" w:ascii="Times New Roman" w:hAnsi="Times New Roman" w:cs="Times New Roman"/>
                <w:sz w:val="21"/>
                <w:szCs w:val="21"/>
              </w:rPr>
            </w:pPr>
            <w:r>
              <w:rPr>
                <w:rFonts w:hint="eastAsia" w:ascii="Times New Roman" w:hAnsi="Times New Roman" w:cs="Times New Roman"/>
                <w:sz w:val="21"/>
                <w:szCs w:val="21"/>
              </w:rPr>
              <w:t>回收作为原料再利用</w:t>
            </w:r>
          </w:p>
        </w:tc>
        <w:tc>
          <w:tcPr>
            <w:tcW w:w="525" w:type="pct"/>
            <w:noWrap w:val="0"/>
            <w:vAlign w:val="center"/>
          </w:tcPr>
          <w:p w14:paraId="00BD2053">
            <w:pPr>
              <w:jc w:val="center"/>
              <w:rPr>
                <w:rFonts w:hint="eastAsia" w:ascii="Times New Roman" w:hAnsi="Times New Roman" w:cs="Times New Roman"/>
                <w:sz w:val="21"/>
                <w:szCs w:val="21"/>
              </w:rPr>
            </w:pPr>
            <w:r>
              <w:rPr>
                <w:rFonts w:hint="eastAsia" w:ascii="Times New Roman" w:hAnsi="Times New Roman" w:cs="Times New Roman"/>
                <w:sz w:val="21"/>
                <w:szCs w:val="21"/>
              </w:rPr>
              <w:t>不外排</w:t>
            </w:r>
          </w:p>
        </w:tc>
      </w:tr>
      <w:tr w14:paraId="5D091C49">
        <w:tblPrEx>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83" w:type="pct"/>
            <w:vMerge w:val="continue"/>
            <w:noWrap w:val="0"/>
            <w:vAlign w:val="center"/>
          </w:tcPr>
          <w:p w14:paraId="5395A353">
            <w:pPr>
              <w:jc w:val="center"/>
              <w:rPr>
                <w:rFonts w:ascii="Times New Roman" w:hAnsi="Times New Roman" w:cs="Times New Roman"/>
                <w:sz w:val="21"/>
                <w:szCs w:val="21"/>
              </w:rPr>
            </w:pPr>
          </w:p>
        </w:tc>
        <w:tc>
          <w:tcPr>
            <w:tcW w:w="346" w:type="pct"/>
            <w:vMerge w:val="continue"/>
            <w:noWrap w:val="0"/>
            <w:vAlign w:val="center"/>
          </w:tcPr>
          <w:p w14:paraId="5712102B">
            <w:pPr>
              <w:jc w:val="center"/>
              <w:rPr>
                <w:rFonts w:hint="eastAsia" w:ascii="Times New Roman" w:hAnsi="Times New Roman" w:cs="Times New Roman"/>
                <w:sz w:val="21"/>
                <w:szCs w:val="21"/>
              </w:rPr>
            </w:pPr>
          </w:p>
        </w:tc>
        <w:tc>
          <w:tcPr>
            <w:tcW w:w="821" w:type="pct"/>
            <w:noWrap w:val="0"/>
            <w:vAlign w:val="center"/>
          </w:tcPr>
          <w:p w14:paraId="2AA5D66B">
            <w:pPr>
              <w:jc w:val="center"/>
              <w:rPr>
                <w:rFonts w:ascii="Times New Roman" w:hAnsi="Times New Roman" w:cs="Times New Roman"/>
                <w:sz w:val="21"/>
                <w:szCs w:val="21"/>
              </w:rPr>
            </w:pPr>
            <w:r>
              <w:rPr>
                <w:rFonts w:hint="eastAsia" w:ascii="Times New Roman" w:hAnsi="Times New Roman" w:cs="Times New Roman"/>
                <w:sz w:val="21"/>
                <w:szCs w:val="21"/>
              </w:rPr>
              <w:t>高炉渣</w:t>
            </w:r>
          </w:p>
        </w:tc>
        <w:tc>
          <w:tcPr>
            <w:tcW w:w="628" w:type="pct"/>
            <w:noWrap w:val="0"/>
            <w:vAlign w:val="center"/>
          </w:tcPr>
          <w:p w14:paraId="3B0701FD">
            <w:pPr>
              <w:jc w:val="center"/>
              <w:rPr>
                <w:rFonts w:hint="default" w:ascii="Times New Roman" w:hAnsi="Times New Roman" w:eastAsia="宋体" w:cs="Times New Roman"/>
                <w:sz w:val="21"/>
                <w:szCs w:val="21"/>
                <w:lang w:val="en-US" w:eastAsia="zh-CN"/>
              </w:rPr>
            </w:pPr>
            <w:r>
              <w:rPr>
                <w:rFonts w:hint="eastAsia" w:ascii="Times New Roman" w:hAnsi="Times New Roman" w:cs="Times New Roman"/>
                <w:sz w:val="21"/>
                <w:szCs w:val="21"/>
                <w:lang w:val="en-US" w:eastAsia="zh-CN"/>
              </w:rPr>
              <w:t>S3</w:t>
            </w:r>
          </w:p>
        </w:tc>
        <w:tc>
          <w:tcPr>
            <w:tcW w:w="791" w:type="pct"/>
            <w:noWrap w:val="0"/>
            <w:vAlign w:val="center"/>
          </w:tcPr>
          <w:p w14:paraId="684E2AA3">
            <w:pPr>
              <w:jc w:val="center"/>
              <w:rPr>
                <w:rFonts w:ascii="Times New Roman" w:hAnsi="Times New Roman" w:cs="Times New Roman"/>
                <w:sz w:val="21"/>
                <w:szCs w:val="21"/>
              </w:rPr>
            </w:pPr>
          </w:p>
        </w:tc>
        <w:tc>
          <w:tcPr>
            <w:tcW w:w="1603" w:type="pct"/>
            <w:noWrap w:val="0"/>
            <w:vAlign w:val="center"/>
          </w:tcPr>
          <w:p w14:paraId="20C7544D">
            <w:pPr>
              <w:jc w:val="center"/>
              <w:rPr>
                <w:rFonts w:hint="eastAsia" w:ascii="Times New Roman" w:hAnsi="Times New Roman" w:cs="Times New Roman"/>
                <w:sz w:val="21"/>
                <w:szCs w:val="21"/>
              </w:rPr>
            </w:pPr>
            <w:r>
              <w:rPr>
                <w:rFonts w:hint="eastAsia" w:ascii="Times New Roman" w:hAnsi="Times New Roman" w:cs="Times New Roman"/>
                <w:sz w:val="21"/>
                <w:szCs w:val="21"/>
              </w:rPr>
              <w:t>出售水泥厂</w:t>
            </w:r>
          </w:p>
        </w:tc>
        <w:tc>
          <w:tcPr>
            <w:tcW w:w="525" w:type="pct"/>
            <w:noWrap w:val="0"/>
            <w:vAlign w:val="center"/>
          </w:tcPr>
          <w:p w14:paraId="43DA5462">
            <w:pPr>
              <w:jc w:val="center"/>
              <w:rPr>
                <w:rFonts w:hint="eastAsia" w:ascii="Times New Roman" w:hAnsi="Times New Roman" w:cs="Times New Roman"/>
                <w:sz w:val="21"/>
                <w:szCs w:val="21"/>
              </w:rPr>
            </w:pPr>
            <w:r>
              <w:rPr>
                <w:rFonts w:hint="eastAsia" w:ascii="Times New Roman" w:hAnsi="Times New Roman" w:cs="Times New Roman"/>
                <w:sz w:val="21"/>
                <w:szCs w:val="21"/>
              </w:rPr>
              <w:t>不外排</w:t>
            </w:r>
          </w:p>
        </w:tc>
      </w:tr>
      <w:tr w14:paraId="6747AFC2">
        <w:tblPrEx>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83" w:type="pct"/>
            <w:vMerge w:val="continue"/>
            <w:noWrap w:val="0"/>
            <w:vAlign w:val="center"/>
          </w:tcPr>
          <w:p w14:paraId="7AE973EE">
            <w:pPr>
              <w:jc w:val="center"/>
              <w:rPr>
                <w:rFonts w:ascii="Times New Roman" w:hAnsi="Times New Roman" w:cs="Times New Roman"/>
                <w:sz w:val="21"/>
                <w:szCs w:val="21"/>
              </w:rPr>
            </w:pPr>
          </w:p>
        </w:tc>
        <w:tc>
          <w:tcPr>
            <w:tcW w:w="346" w:type="pct"/>
            <w:vMerge w:val="continue"/>
            <w:noWrap w:val="0"/>
            <w:vAlign w:val="center"/>
          </w:tcPr>
          <w:p w14:paraId="06D5962C">
            <w:pPr>
              <w:jc w:val="center"/>
              <w:rPr>
                <w:rFonts w:hint="eastAsia" w:ascii="Times New Roman" w:hAnsi="Times New Roman" w:cs="Times New Roman"/>
                <w:sz w:val="21"/>
                <w:szCs w:val="21"/>
              </w:rPr>
            </w:pPr>
          </w:p>
        </w:tc>
        <w:tc>
          <w:tcPr>
            <w:tcW w:w="821" w:type="pct"/>
            <w:noWrap w:val="0"/>
            <w:vAlign w:val="center"/>
          </w:tcPr>
          <w:p w14:paraId="01E03477">
            <w:pPr>
              <w:jc w:val="center"/>
              <w:rPr>
                <w:rFonts w:ascii="Times New Roman" w:hAnsi="Times New Roman" w:cs="Times New Roman"/>
                <w:sz w:val="21"/>
                <w:szCs w:val="21"/>
              </w:rPr>
            </w:pPr>
            <w:r>
              <w:rPr>
                <w:rFonts w:hint="eastAsia" w:ascii="Times New Roman" w:hAnsi="Times New Roman" w:cs="Times New Roman"/>
                <w:sz w:val="21"/>
                <w:szCs w:val="21"/>
              </w:rPr>
              <w:t>脱硫渣</w:t>
            </w:r>
          </w:p>
        </w:tc>
        <w:tc>
          <w:tcPr>
            <w:tcW w:w="628" w:type="pct"/>
            <w:noWrap w:val="0"/>
            <w:vAlign w:val="center"/>
          </w:tcPr>
          <w:p w14:paraId="2F5A3F84">
            <w:pPr>
              <w:jc w:val="center"/>
              <w:rPr>
                <w:rFonts w:hint="eastAsia" w:ascii="Times New Roman" w:hAnsi="Times New Roman" w:eastAsia="宋体" w:cs="Times New Roman"/>
                <w:sz w:val="21"/>
                <w:szCs w:val="21"/>
                <w:lang w:eastAsia="zh-CN"/>
              </w:rPr>
            </w:pPr>
            <w:r>
              <w:rPr>
                <w:rFonts w:ascii="Times New Roman" w:hAnsi="Times New Roman" w:cs="Times New Roman"/>
                <w:sz w:val="21"/>
                <w:szCs w:val="21"/>
              </w:rPr>
              <w:t>S</w:t>
            </w:r>
            <w:r>
              <w:rPr>
                <w:rFonts w:hint="eastAsia" w:ascii="Times New Roman" w:hAnsi="Times New Roman" w:cs="Times New Roman"/>
                <w:sz w:val="21"/>
                <w:szCs w:val="21"/>
                <w:lang w:val="en-US" w:eastAsia="zh-CN"/>
              </w:rPr>
              <w:t>4</w:t>
            </w:r>
          </w:p>
        </w:tc>
        <w:tc>
          <w:tcPr>
            <w:tcW w:w="791" w:type="pct"/>
            <w:noWrap w:val="0"/>
            <w:vAlign w:val="center"/>
          </w:tcPr>
          <w:p w14:paraId="1DC1CB3D">
            <w:pPr>
              <w:jc w:val="center"/>
              <w:rPr>
                <w:rFonts w:ascii="Times New Roman" w:hAnsi="Times New Roman" w:cs="Times New Roman"/>
                <w:sz w:val="21"/>
                <w:szCs w:val="21"/>
              </w:rPr>
            </w:pPr>
            <w:r>
              <w:rPr>
                <w:rFonts w:ascii="Times New Roman" w:hAnsi="Times New Roman" w:cs="Times New Roman"/>
                <w:sz w:val="21"/>
                <w:szCs w:val="21"/>
              </w:rPr>
              <w:t>900-999-99</w:t>
            </w:r>
          </w:p>
        </w:tc>
        <w:tc>
          <w:tcPr>
            <w:tcW w:w="1603" w:type="pct"/>
            <w:noWrap w:val="0"/>
            <w:vAlign w:val="center"/>
          </w:tcPr>
          <w:p w14:paraId="64E4DB00">
            <w:pPr>
              <w:jc w:val="center"/>
              <w:rPr>
                <w:rFonts w:hint="eastAsia" w:ascii="Times New Roman" w:hAnsi="Times New Roman" w:cs="Times New Roman"/>
                <w:sz w:val="21"/>
                <w:szCs w:val="21"/>
              </w:rPr>
            </w:pPr>
            <w:r>
              <w:rPr>
                <w:rFonts w:hint="eastAsia" w:ascii="Times New Roman" w:hAnsi="Times New Roman" w:cs="Times New Roman"/>
                <w:sz w:val="21"/>
                <w:szCs w:val="21"/>
              </w:rPr>
              <w:t>定期出售</w:t>
            </w:r>
          </w:p>
        </w:tc>
        <w:tc>
          <w:tcPr>
            <w:tcW w:w="525" w:type="pct"/>
            <w:noWrap w:val="0"/>
            <w:vAlign w:val="center"/>
          </w:tcPr>
          <w:p w14:paraId="1579989F">
            <w:pPr>
              <w:jc w:val="center"/>
              <w:rPr>
                <w:rFonts w:hint="eastAsia" w:ascii="Times New Roman" w:hAnsi="Times New Roman" w:cs="Times New Roman"/>
                <w:sz w:val="21"/>
                <w:szCs w:val="21"/>
              </w:rPr>
            </w:pPr>
            <w:r>
              <w:rPr>
                <w:rFonts w:hint="eastAsia" w:ascii="Times New Roman" w:hAnsi="Times New Roman" w:cs="Times New Roman"/>
                <w:sz w:val="21"/>
                <w:szCs w:val="21"/>
              </w:rPr>
              <w:t>不外排</w:t>
            </w:r>
          </w:p>
        </w:tc>
      </w:tr>
      <w:tr w14:paraId="15715396">
        <w:tblPrEx>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83" w:type="pct"/>
            <w:vMerge w:val="continue"/>
            <w:noWrap w:val="0"/>
            <w:vAlign w:val="center"/>
          </w:tcPr>
          <w:p w14:paraId="7F05458B">
            <w:pPr>
              <w:jc w:val="center"/>
              <w:rPr>
                <w:rFonts w:ascii="Times New Roman" w:hAnsi="Times New Roman" w:cs="Times New Roman"/>
                <w:sz w:val="21"/>
                <w:szCs w:val="21"/>
              </w:rPr>
            </w:pPr>
          </w:p>
        </w:tc>
        <w:tc>
          <w:tcPr>
            <w:tcW w:w="346" w:type="pct"/>
            <w:vMerge w:val="restart"/>
            <w:noWrap w:val="0"/>
            <w:vAlign w:val="center"/>
          </w:tcPr>
          <w:p w14:paraId="4D15FC8C">
            <w:pPr>
              <w:jc w:val="center"/>
              <w:rPr>
                <w:rFonts w:hint="eastAsia" w:ascii="Times New Roman" w:hAnsi="Times New Roman" w:cs="Times New Roman"/>
                <w:sz w:val="21"/>
                <w:szCs w:val="21"/>
              </w:rPr>
            </w:pPr>
            <w:r>
              <w:rPr>
                <w:rFonts w:hint="eastAsia" w:ascii="Times New Roman" w:hAnsi="Times New Roman" w:cs="Times New Roman"/>
                <w:sz w:val="21"/>
                <w:szCs w:val="21"/>
              </w:rPr>
              <w:t>危险废物</w:t>
            </w:r>
          </w:p>
        </w:tc>
        <w:tc>
          <w:tcPr>
            <w:tcW w:w="821" w:type="pct"/>
            <w:noWrap w:val="0"/>
            <w:vAlign w:val="center"/>
          </w:tcPr>
          <w:p w14:paraId="628D98AB">
            <w:pPr>
              <w:jc w:val="center"/>
              <w:rPr>
                <w:rFonts w:hint="eastAsia" w:ascii="Times New Roman" w:hAnsi="Times New Roman" w:cs="Times New Roman"/>
                <w:sz w:val="21"/>
                <w:szCs w:val="21"/>
              </w:rPr>
            </w:pPr>
            <w:r>
              <w:rPr>
                <w:rFonts w:hint="eastAsia" w:ascii="Times New Roman" w:hAnsi="Times New Roman" w:cs="Times New Roman"/>
                <w:sz w:val="21"/>
                <w:szCs w:val="21"/>
              </w:rPr>
              <w:t>废润滑油</w:t>
            </w:r>
          </w:p>
        </w:tc>
        <w:tc>
          <w:tcPr>
            <w:tcW w:w="628" w:type="pct"/>
            <w:noWrap w:val="0"/>
            <w:vAlign w:val="center"/>
          </w:tcPr>
          <w:p w14:paraId="12B58D45">
            <w:pPr>
              <w:jc w:val="center"/>
              <w:rPr>
                <w:rFonts w:hint="eastAsia" w:ascii="Times New Roman" w:hAnsi="Times New Roman" w:eastAsia="宋体" w:cs="Times New Roman"/>
                <w:sz w:val="21"/>
                <w:szCs w:val="21"/>
                <w:lang w:eastAsia="zh-CN"/>
              </w:rPr>
            </w:pPr>
            <w:r>
              <w:rPr>
                <w:rFonts w:ascii="Times New Roman" w:hAnsi="Times New Roman" w:cs="Times New Roman"/>
                <w:sz w:val="21"/>
                <w:szCs w:val="21"/>
              </w:rPr>
              <w:t>S</w:t>
            </w:r>
            <w:r>
              <w:rPr>
                <w:rFonts w:hint="eastAsia" w:ascii="Times New Roman" w:hAnsi="Times New Roman" w:cs="Times New Roman"/>
                <w:sz w:val="21"/>
                <w:szCs w:val="21"/>
                <w:lang w:val="en-US" w:eastAsia="zh-CN"/>
              </w:rPr>
              <w:t>5</w:t>
            </w:r>
          </w:p>
        </w:tc>
        <w:tc>
          <w:tcPr>
            <w:tcW w:w="791" w:type="pct"/>
            <w:noWrap w:val="0"/>
            <w:vAlign w:val="center"/>
          </w:tcPr>
          <w:p w14:paraId="19B3EFF5">
            <w:pPr>
              <w:jc w:val="center"/>
              <w:rPr>
                <w:rFonts w:ascii="Times New Roman" w:hAnsi="Times New Roman" w:cs="Times New Roman"/>
                <w:sz w:val="21"/>
                <w:szCs w:val="21"/>
              </w:rPr>
            </w:pPr>
            <w:r>
              <w:rPr>
                <w:rFonts w:ascii="Times New Roman" w:hAnsi="Times New Roman" w:cs="Times New Roman"/>
                <w:sz w:val="21"/>
                <w:szCs w:val="21"/>
              </w:rPr>
              <w:t>HW08</w:t>
            </w:r>
          </w:p>
          <w:p w14:paraId="4DE2C079">
            <w:pPr>
              <w:jc w:val="center"/>
              <w:rPr>
                <w:rFonts w:ascii="Times New Roman" w:hAnsi="Times New Roman" w:cs="Times New Roman"/>
                <w:sz w:val="21"/>
                <w:szCs w:val="21"/>
              </w:rPr>
            </w:pPr>
            <w:r>
              <w:rPr>
                <w:rFonts w:ascii="Times New Roman" w:hAnsi="Times New Roman" w:cs="Times New Roman"/>
                <w:sz w:val="21"/>
                <w:szCs w:val="21"/>
              </w:rPr>
              <w:t>900-217-08</w:t>
            </w:r>
          </w:p>
        </w:tc>
        <w:tc>
          <w:tcPr>
            <w:tcW w:w="1603" w:type="pct"/>
            <w:vMerge w:val="restart"/>
            <w:noWrap w:val="0"/>
            <w:vAlign w:val="center"/>
          </w:tcPr>
          <w:p w14:paraId="116CB273">
            <w:pPr>
              <w:jc w:val="center"/>
              <w:rPr>
                <w:rFonts w:hint="eastAsia" w:ascii="Times New Roman" w:hAnsi="Times New Roman" w:cs="Times New Roman"/>
                <w:sz w:val="21"/>
                <w:szCs w:val="21"/>
              </w:rPr>
            </w:pPr>
            <w:r>
              <w:rPr>
                <w:rFonts w:hint="eastAsia" w:ascii="Times New Roman" w:hAnsi="Times New Roman" w:cs="Times New Roman"/>
                <w:sz w:val="21"/>
                <w:szCs w:val="21"/>
              </w:rPr>
              <w:t>危废间暂存，定期委托有资质单位妥善处置</w:t>
            </w:r>
          </w:p>
        </w:tc>
        <w:tc>
          <w:tcPr>
            <w:tcW w:w="525" w:type="pct"/>
            <w:vMerge w:val="restart"/>
            <w:noWrap w:val="0"/>
            <w:vAlign w:val="center"/>
          </w:tcPr>
          <w:p w14:paraId="5D983EC5">
            <w:pPr>
              <w:jc w:val="center"/>
              <w:rPr>
                <w:rFonts w:hint="eastAsia" w:ascii="Times New Roman" w:hAnsi="Times New Roman" w:cs="Times New Roman"/>
                <w:sz w:val="21"/>
                <w:szCs w:val="21"/>
              </w:rPr>
            </w:pPr>
            <w:r>
              <w:rPr>
                <w:rFonts w:hint="eastAsia" w:ascii="Times New Roman" w:hAnsi="Times New Roman" w:cs="Times New Roman"/>
                <w:sz w:val="21"/>
                <w:szCs w:val="21"/>
              </w:rPr>
              <w:t>不外排</w:t>
            </w:r>
          </w:p>
        </w:tc>
      </w:tr>
      <w:tr w14:paraId="7B10004E">
        <w:tblPrEx>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83" w:type="pct"/>
            <w:vMerge w:val="continue"/>
            <w:noWrap w:val="0"/>
            <w:vAlign w:val="center"/>
          </w:tcPr>
          <w:p w14:paraId="212DC866">
            <w:pPr>
              <w:jc w:val="center"/>
              <w:rPr>
                <w:rFonts w:ascii="Times New Roman" w:hAnsi="Times New Roman" w:cs="Times New Roman"/>
                <w:sz w:val="21"/>
                <w:szCs w:val="21"/>
              </w:rPr>
            </w:pPr>
          </w:p>
        </w:tc>
        <w:tc>
          <w:tcPr>
            <w:tcW w:w="346" w:type="pct"/>
            <w:vMerge w:val="continue"/>
            <w:noWrap w:val="0"/>
            <w:vAlign w:val="center"/>
          </w:tcPr>
          <w:p w14:paraId="1FA4B9D7">
            <w:pPr>
              <w:jc w:val="center"/>
              <w:rPr>
                <w:rFonts w:hint="eastAsia" w:ascii="Times New Roman" w:hAnsi="Times New Roman" w:cs="Times New Roman"/>
                <w:sz w:val="21"/>
                <w:szCs w:val="21"/>
              </w:rPr>
            </w:pPr>
          </w:p>
        </w:tc>
        <w:tc>
          <w:tcPr>
            <w:tcW w:w="821" w:type="pct"/>
            <w:noWrap w:val="0"/>
            <w:vAlign w:val="center"/>
          </w:tcPr>
          <w:p w14:paraId="3C421F5C">
            <w:pPr>
              <w:jc w:val="center"/>
              <w:rPr>
                <w:rFonts w:hint="eastAsia" w:ascii="Times New Roman" w:hAnsi="Times New Roman" w:eastAsia="宋体" w:cs="Times New Roman"/>
                <w:sz w:val="21"/>
                <w:szCs w:val="21"/>
                <w:lang w:val="en-US" w:eastAsia="zh-CN"/>
              </w:rPr>
            </w:pPr>
            <w:r>
              <w:rPr>
                <w:rFonts w:hint="eastAsia" w:ascii="Times New Roman" w:hAnsi="Times New Roman" w:cs="Times New Roman"/>
                <w:sz w:val="21"/>
                <w:szCs w:val="21"/>
                <w:lang w:val="en-US" w:eastAsia="zh-CN"/>
              </w:rPr>
              <w:t>废润滑油桶</w:t>
            </w:r>
          </w:p>
        </w:tc>
        <w:tc>
          <w:tcPr>
            <w:tcW w:w="628" w:type="pct"/>
            <w:noWrap w:val="0"/>
            <w:vAlign w:val="center"/>
          </w:tcPr>
          <w:p w14:paraId="6A8FFDB6">
            <w:pPr>
              <w:jc w:val="center"/>
              <w:rPr>
                <w:rFonts w:hint="default" w:ascii="Times New Roman" w:hAnsi="Times New Roman" w:eastAsia="宋体" w:cs="Times New Roman"/>
                <w:sz w:val="21"/>
                <w:szCs w:val="21"/>
                <w:lang w:val="en-US" w:eastAsia="zh-CN"/>
              </w:rPr>
            </w:pPr>
            <w:r>
              <w:rPr>
                <w:rFonts w:hint="eastAsia" w:ascii="Times New Roman" w:hAnsi="Times New Roman" w:cs="Times New Roman"/>
                <w:sz w:val="21"/>
                <w:szCs w:val="21"/>
                <w:lang w:val="en-US" w:eastAsia="zh-CN"/>
              </w:rPr>
              <w:t>S6</w:t>
            </w:r>
          </w:p>
        </w:tc>
        <w:tc>
          <w:tcPr>
            <w:tcW w:w="791" w:type="pct"/>
            <w:noWrap w:val="0"/>
            <w:vAlign w:val="center"/>
          </w:tcPr>
          <w:p w14:paraId="22710595">
            <w:pPr>
              <w:jc w:val="center"/>
              <w:rPr>
                <w:rFonts w:ascii="Times New Roman" w:hAnsi="Times New Roman" w:cs="Times New Roman"/>
                <w:sz w:val="21"/>
                <w:szCs w:val="21"/>
              </w:rPr>
            </w:pPr>
          </w:p>
        </w:tc>
        <w:tc>
          <w:tcPr>
            <w:tcW w:w="1603" w:type="pct"/>
            <w:vMerge w:val="continue"/>
            <w:noWrap w:val="0"/>
            <w:vAlign w:val="center"/>
          </w:tcPr>
          <w:p w14:paraId="24881CE1">
            <w:pPr>
              <w:jc w:val="center"/>
              <w:rPr>
                <w:rFonts w:hint="eastAsia" w:ascii="Times New Roman" w:hAnsi="Times New Roman" w:cs="Times New Roman"/>
                <w:sz w:val="21"/>
                <w:szCs w:val="21"/>
              </w:rPr>
            </w:pPr>
          </w:p>
        </w:tc>
        <w:tc>
          <w:tcPr>
            <w:tcW w:w="525" w:type="pct"/>
            <w:vMerge w:val="continue"/>
            <w:noWrap w:val="0"/>
            <w:vAlign w:val="center"/>
          </w:tcPr>
          <w:p w14:paraId="2A6C6E90">
            <w:pPr>
              <w:jc w:val="center"/>
              <w:rPr>
                <w:rFonts w:hint="eastAsia" w:ascii="Times New Roman" w:hAnsi="Times New Roman" w:cs="Times New Roman"/>
                <w:sz w:val="21"/>
                <w:szCs w:val="21"/>
              </w:rPr>
            </w:pPr>
          </w:p>
        </w:tc>
      </w:tr>
      <w:tr w14:paraId="26587179">
        <w:tblPrEx>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83" w:type="pct"/>
            <w:vMerge w:val="continue"/>
            <w:noWrap w:val="0"/>
            <w:vAlign w:val="center"/>
          </w:tcPr>
          <w:p w14:paraId="5440F4B8">
            <w:pPr>
              <w:jc w:val="center"/>
              <w:rPr>
                <w:rFonts w:ascii="Times New Roman" w:hAnsi="Times New Roman" w:cs="Times New Roman"/>
                <w:sz w:val="21"/>
                <w:szCs w:val="21"/>
              </w:rPr>
            </w:pPr>
          </w:p>
        </w:tc>
        <w:tc>
          <w:tcPr>
            <w:tcW w:w="1167" w:type="pct"/>
            <w:gridSpan w:val="2"/>
            <w:noWrap w:val="0"/>
            <w:vAlign w:val="center"/>
          </w:tcPr>
          <w:p w14:paraId="56574B8C">
            <w:pPr>
              <w:jc w:val="center"/>
              <w:rPr>
                <w:rFonts w:hint="eastAsia" w:ascii="Times New Roman" w:hAnsi="Times New Roman" w:cs="Times New Roman"/>
                <w:sz w:val="21"/>
                <w:szCs w:val="21"/>
              </w:rPr>
            </w:pPr>
            <w:r>
              <w:rPr>
                <w:rFonts w:hint="eastAsia" w:ascii="Times New Roman" w:hAnsi="Times New Roman" w:cs="Times New Roman"/>
                <w:sz w:val="21"/>
                <w:szCs w:val="21"/>
              </w:rPr>
              <w:t>生活垃圾</w:t>
            </w:r>
          </w:p>
        </w:tc>
        <w:tc>
          <w:tcPr>
            <w:tcW w:w="628" w:type="pct"/>
            <w:noWrap w:val="0"/>
            <w:vAlign w:val="center"/>
          </w:tcPr>
          <w:p w14:paraId="0DF62632">
            <w:pPr>
              <w:jc w:val="center"/>
              <w:rPr>
                <w:rFonts w:hint="default" w:ascii="Times New Roman" w:hAnsi="Times New Roman" w:eastAsia="宋体" w:cs="Times New Roman"/>
                <w:sz w:val="21"/>
                <w:szCs w:val="21"/>
                <w:lang w:val="en-US" w:eastAsia="zh-CN"/>
              </w:rPr>
            </w:pPr>
            <w:r>
              <w:rPr>
                <w:rFonts w:hint="eastAsia" w:ascii="Times New Roman" w:hAnsi="Times New Roman" w:cs="Times New Roman"/>
                <w:sz w:val="21"/>
                <w:szCs w:val="21"/>
                <w:lang w:val="en-US" w:eastAsia="zh-CN"/>
              </w:rPr>
              <w:t>S7</w:t>
            </w:r>
          </w:p>
        </w:tc>
        <w:tc>
          <w:tcPr>
            <w:tcW w:w="791" w:type="pct"/>
            <w:noWrap w:val="0"/>
            <w:vAlign w:val="center"/>
          </w:tcPr>
          <w:p w14:paraId="639C4936">
            <w:pPr>
              <w:jc w:val="center"/>
              <w:rPr>
                <w:rFonts w:ascii="Times New Roman" w:hAnsi="Times New Roman" w:cs="Times New Roman"/>
                <w:sz w:val="21"/>
                <w:szCs w:val="21"/>
              </w:rPr>
            </w:pPr>
            <w:r>
              <w:rPr>
                <w:rFonts w:ascii="Times New Roman" w:hAnsi="Times New Roman" w:cs="Times New Roman"/>
                <w:sz w:val="21"/>
                <w:szCs w:val="21"/>
              </w:rPr>
              <w:t>--</w:t>
            </w:r>
          </w:p>
        </w:tc>
        <w:tc>
          <w:tcPr>
            <w:tcW w:w="1603" w:type="pct"/>
            <w:noWrap w:val="0"/>
            <w:vAlign w:val="center"/>
          </w:tcPr>
          <w:p w14:paraId="455710D0">
            <w:pPr>
              <w:jc w:val="center"/>
              <w:rPr>
                <w:rFonts w:hint="eastAsia" w:ascii="Times New Roman" w:hAnsi="Times New Roman" w:cs="Times New Roman"/>
                <w:sz w:val="21"/>
                <w:szCs w:val="21"/>
              </w:rPr>
            </w:pPr>
            <w:r>
              <w:rPr>
                <w:rFonts w:hint="eastAsia" w:ascii="Times New Roman" w:hAnsi="Times New Roman" w:cs="Times New Roman"/>
                <w:sz w:val="21"/>
                <w:szCs w:val="21"/>
              </w:rPr>
              <w:t>环卫清运</w:t>
            </w:r>
          </w:p>
        </w:tc>
        <w:tc>
          <w:tcPr>
            <w:tcW w:w="525" w:type="pct"/>
            <w:noWrap w:val="0"/>
            <w:vAlign w:val="center"/>
          </w:tcPr>
          <w:p w14:paraId="4FD9FA3A">
            <w:pPr>
              <w:jc w:val="center"/>
              <w:rPr>
                <w:rFonts w:hint="eastAsia" w:ascii="Times New Roman" w:hAnsi="Times New Roman" w:cs="Times New Roman"/>
                <w:sz w:val="21"/>
                <w:szCs w:val="21"/>
              </w:rPr>
            </w:pPr>
            <w:r>
              <w:rPr>
                <w:rFonts w:hint="eastAsia" w:ascii="Times New Roman" w:hAnsi="Times New Roman" w:cs="Times New Roman"/>
                <w:sz w:val="21"/>
                <w:szCs w:val="21"/>
              </w:rPr>
              <w:t>不外排</w:t>
            </w:r>
          </w:p>
        </w:tc>
      </w:tr>
      <w:tr w14:paraId="6E09DF47">
        <w:tblPrEx>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83" w:type="pct"/>
            <w:noWrap w:val="0"/>
            <w:vAlign w:val="center"/>
          </w:tcPr>
          <w:p w14:paraId="105AF992">
            <w:pPr>
              <w:jc w:val="center"/>
              <w:rPr>
                <w:rFonts w:ascii="Times New Roman" w:hAnsi="Times New Roman" w:cs="Times New Roman"/>
                <w:sz w:val="21"/>
                <w:szCs w:val="21"/>
              </w:rPr>
            </w:pPr>
            <w:r>
              <w:rPr>
                <w:rFonts w:hint="eastAsia" w:ascii="Times New Roman" w:hAnsi="Times New Roman" w:cs="Times New Roman"/>
                <w:sz w:val="21"/>
                <w:szCs w:val="21"/>
              </w:rPr>
              <w:t>噪声</w:t>
            </w:r>
          </w:p>
        </w:tc>
        <w:tc>
          <w:tcPr>
            <w:tcW w:w="1167" w:type="pct"/>
            <w:gridSpan w:val="2"/>
            <w:noWrap w:val="0"/>
            <w:vAlign w:val="center"/>
          </w:tcPr>
          <w:p w14:paraId="7E1281BB">
            <w:pPr>
              <w:jc w:val="center"/>
              <w:rPr>
                <w:rFonts w:hint="default" w:ascii="Times New Roman" w:hAnsi="Times New Roman" w:eastAsia="宋体" w:cs="Times New Roman"/>
                <w:sz w:val="21"/>
                <w:szCs w:val="21"/>
                <w:lang w:val="en-US" w:eastAsia="zh-CN"/>
              </w:rPr>
            </w:pPr>
            <w:r>
              <w:rPr>
                <w:rFonts w:hint="eastAsia" w:ascii="Times New Roman" w:hAnsi="Times New Roman" w:cs="Times New Roman"/>
                <w:sz w:val="21"/>
                <w:szCs w:val="21"/>
                <w:lang w:val="en-US" w:eastAsia="zh-CN"/>
              </w:rPr>
              <w:t>生产设备及风机、水泵</w:t>
            </w:r>
          </w:p>
        </w:tc>
        <w:tc>
          <w:tcPr>
            <w:tcW w:w="628" w:type="pct"/>
            <w:noWrap w:val="0"/>
            <w:vAlign w:val="center"/>
          </w:tcPr>
          <w:p w14:paraId="161E1227">
            <w:pPr>
              <w:jc w:val="center"/>
              <w:rPr>
                <w:rFonts w:ascii="Times New Roman" w:hAnsi="Times New Roman" w:cs="Times New Roman"/>
                <w:sz w:val="21"/>
                <w:szCs w:val="21"/>
              </w:rPr>
            </w:pPr>
            <w:r>
              <w:rPr>
                <w:rFonts w:ascii="Times New Roman" w:hAnsi="Times New Roman" w:cs="Times New Roman"/>
                <w:sz w:val="21"/>
                <w:szCs w:val="21"/>
              </w:rPr>
              <w:t>N</w:t>
            </w:r>
          </w:p>
        </w:tc>
        <w:tc>
          <w:tcPr>
            <w:tcW w:w="791" w:type="pct"/>
            <w:noWrap w:val="0"/>
            <w:vAlign w:val="center"/>
          </w:tcPr>
          <w:p w14:paraId="426DF954">
            <w:pPr>
              <w:jc w:val="center"/>
              <w:rPr>
                <w:rFonts w:ascii="Times New Roman" w:hAnsi="Times New Roman" w:cs="Times New Roman"/>
                <w:sz w:val="21"/>
                <w:szCs w:val="21"/>
              </w:rPr>
            </w:pPr>
            <w:r>
              <w:rPr>
                <w:rFonts w:ascii="Times New Roman" w:hAnsi="Times New Roman" w:cs="Times New Roman"/>
                <w:sz w:val="21"/>
                <w:szCs w:val="21"/>
              </w:rPr>
              <w:t>Leq</w:t>
            </w:r>
          </w:p>
        </w:tc>
        <w:tc>
          <w:tcPr>
            <w:tcW w:w="1603" w:type="pct"/>
            <w:noWrap w:val="0"/>
            <w:vAlign w:val="center"/>
          </w:tcPr>
          <w:p w14:paraId="3DA92A33">
            <w:pPr>
              <w:jc w:val="center"/>
              <w:rPr>
                <w:rFonts w:ascii="Times New Roman" w:hAnsi="Times New Roman" w:cs="Times New Roman"/>
                <w:sz w:val="21"/>
                <w:szCs w:val="21"/>
              </w:rPr>
            </w:pPr>
            <w:r>
              <w:rPr>
                <w:rFonts w:ascii="Times New Roman" w:hAnsi="Times New Roman" w:cs="Times New Roman"/>
                <w:sz w:val="21"/>
                <w:szCs w:val="21"/>
              </w:rPr>
              <w:t>设备选型选用同类产品中低噪声设备，采取建筑隔声、加装消声器、减振基础等治理措施。</w:t>
            </w:r>
          </w:p>
        </w:tc>
        <w:tc>
          <w:tcPr>
            <w:tcW w:w="525" w:type="pct"/>
            <w:noWrap w:val="0"/>
            <w:vAlign w:val="center"/>
          </w:tcPr>
          <w:p w14:paraId="24BA787B">
            <w:pPr>
              <w:jc w:val="center"/>
              <w:rPr>
                <w:rFonts w:ascii="Times New Roman" w:hAnsi="Times New Roman" w:cs="Times New Roman"/>
                <w:sz w:val="21"/>
                <w:szCs w:val="21"/>
              </w:rPr>
            </w:pPr>
            <w:r>
              <w:rPr>
                <w:rFonts w:hint="eastAsia" w:ascii="Times New Roman" w:hAnsi="Times New Roman" w:cs="Times New Roman"/>
                <w:sz w:val="21"/>
                <w:szCs w:val="21"/>
              </w:rPr>
              <w:t>连续</w:t>
            </w:r>
          </w:p>
        </w:tc>
      </w:tr>
    </w:tbl>
    <w:p w14:paraId="33E4FA9B">
      <w:pPr>
        <w:spacing w:line="500" w:lineRule="exact"/>
        <w:ind w:right="6" w:firstLine="480" w:firstLineChars="200"/>
        <w:jc w:val="both"/>
        <w:rPr>
          <w:rFonts w:hint="eastAsia"/>
        </w:rPr>
      </w:pPr>
    </w:p>
    <w:p w14:paraId="73CA635C">
      <w:pPr>
        <w:pStyle w:val="6"/>
        <w:spacing w:before="163"/>
      </w:pPr>
      <w:bookmarkStart w:id="203" w:name="_Toc90026113"/>
      <w:r>
        <w:br w:type="page"/>
      </w:r>
      <w:bookmarkStart w:id="204" w:name="_Toc4901"/>
      <w:r>
        <w:t xml:space="preserve">2. </w:t>
      </w:r>
      <w:r>
        <w:rPr>
          <w:rFonts w:hint="eastAsia"/>
          <w:lang w:val="en-US" w:eastAsia="zh-CN"/>
        </w:rPr>
        <w:t>3</w:t>
      </w:r>
      <w:r>
        <w:rPr>
          <w:rFonts w:hint="eastAsia"/>
        </w:rPr>
        <w:t xml:space="preserve"> 现有工程</w:t>
      </w:r>
      <w:r>
        <w:t>主要原辅材料</w:t>
      </w:r>
      <w:bookmarkEnd w:id="203"/>
      <w:bookmarkEnd w:id="204"/>
    </w:p>
    <w:p w14:paraId="12D3DC95">
      <w:pPr>
        <w:pStyle w:val="7"/>
      </w:pPr>
      <w:bookmarkStart w:id="205" w:name="_Toc23386"/>
      <w:bookmarkStart w:id="206" w:name="_Toc90026225"/>
      <w:r>
        <w:rPr>
          <w:rFonts w:hint="eastAsia"/>
        </w:rPr>
        <w:t>2</w:t>
      </w:r>
      <w:r>
        <w:t>.</w:t>
      </w:r>
      <w:r>
        <w:rPr>
          <w:rFonts w:hint="eastAsia"/>
          <w:lang w:val="en-US" w:eastAsia="zh-CN"/>
        </w:rPr>
        <w:t>3</w:t>
      </w:r>
      <w:r>
        <w:t xml:space="preserve">.1 </w:t>
      </w:r>
      <w:r>
        <w:rPr>
          <w:rFonts w:hint="eastAsia"/>
        </w:rPr>
        <w:t>原辅材料消耗量</w:t>
      </w:r>
      <w:bookmarkEnd w:id="205"/>
      <w:bookmarkEnd w:id="206"/>
    </w:p>
    <w:p w14:paraId="37A74B2A">
      <w:pPr>
        <w:adjustRightInd w:val="0"/>
        <w:snapToGrid w:val="0"/>
        <w:spacing w:line="360" w:lineRule="auto"/>
        <w:ind w:right="6" w:firstLine="480" w:firstLineChars="200"/>
        <w:jc w:val="both"/>
        <w:rPr>
          <w:rFonts w:ascii="Times New Roman" w:hAnsi="Times New Roman" w:cs="Times New Roman"/>
        </w:rPr>
      </w:pPr>
      <w:r>
        <w:rPr>
          <w:rFonts w:hint="eastAsia" w:ascii="Times New Roman" w:hAnsi="Times New Roman" w:cs="Times New Roman"/>
        </w:rPr>
        <w:t>现有工程主要原辅材料</w:t>
      </w:r>
      <w:r>
        <w:rPr>
          <w:rFonts w:ascii="Times New Roman" w:hAnsi="Times New Roman" w:cs="Times New Roman"/>
        </w:rPr>
        <w:t>见表2.</w:t>
      </w:r>
      <w:r>
        <w:rPr>
          <w:rFonts w:hint="eastAsia" w:ascii="Times New Roman" w:hAnsi="Times New Roman" w:cs="Times New Roman"/>
          <w:lang w:val="en-US" w:eastAsia="zh-CN"/>
        </w:rPr>
        <w:t>3</w:t>
      </w:r>
      <w:r>
        <w:rPr>
          <w:rFonts w:ascii="Times New Roman" w:hAnsi="Times New Roman" w:cs="Times New Roman"/>
        </w:rPr>
        <w:t>-</w:t>
      </w:r>
      <w:r>
        <w:rPr>
          <w:rFonts w:hint="eastAsia" w:ascii="Times New Roman" w:hAnsi="Times New Roman" w:cs="Times New Roman"/>
        </w:rPr>
        <w:t>1</w:t>
      </w:r>
      <w:r>
        <w:rPr>
          <w:rFonts w:ascii="Times New Roman" w:hAnsi="Times New Roman" w:cs="Times New Roman"/>
        </w:rPr>
        <w:t>。</w:t>
      </w:r>
    </w:p>
    <w:p w14:paraId="2430E6EB">
      <w:pPr>
        <w:adjustRightInd w:val="0"/>
        <w:snapToGrid w:val="0"/>
        <w:spacing w:line="360" w:lineRule="auto"/>
        <w:jc w:val="center"/>
        <w:rPr>
          <w:rFonts w:ascii="Times New Roman" w:hAnsi="Times New Roman" w:eastAsia="黑体" w:cs="Times New Roman"/>
        </w:rPr>
      </w:pPr>
      <w:r>
        <w:rPr>
          <w:rFonts w:ascii="Times New Roman" w:hAnsi="Times New Roman" w:eastAsia="黑体" w:cs="Times New Roman"/>
        </w:rPr>
        <w:t>表2.</w:t>
      </w:r>
      <w:r>
        <w:rPr>
          <w:rFonts w:hint="eastAsia" w:ascii="Times New Roman" w:hAnsi="Times New Roman" w:eastAsia="黑体" w:cs="Times New Roman"/>
          <w:lang w:val="en-US" w:eastAsia="zh-CN"/>
        </w:rPr>
        <w:t>3</w:t>
      </w:r>
      <w:r>
        <w:rPr>
          <w:rFonts w:ascii="Times New Roman" w:hAnsi="Times New Roman" w:eastAsia="黑体" w:cs="Times New Roman"/>
        </w:rPr>
        <w:t>-</w:t>
      </w:r>
      <w:r>
        <w:rPr>
          <w:rFonts w:hint="eastAsia" w:ascii="Times New Roman" w:hAnsi="Times New Roman" w:eastAsia="黑体" w:cs="Times New Roman"/>
        </w:rPr>
        <w:t>1</w:t>
      </w:r>
      <w:r>
        <w:rPr>
          <w:rFonts w:ascii="Times New Roman" w:hAnsi="Times New Roman" w:eastAsia="黑体" w:cs="Times New Roman"/>
        </w:rPr>
        <w:t xml:space="preserve">  </w:t>
      </w:r>
      <w:r>
        <w:rPr>
          <w:rFonts w:hint="eastAsia" w:ascii="Times New Roman" w:hAnsi="Times New Roman" w:eastAsia="黑体" w:cs="Times New Roman"/>
        </w:rPr>
        <w:t>现有工程主要原辅材料消耗</w:t>
      </w:r>
    </w:p>
    <w:tbl>
      <w:tblPr>
        <w:tblStyle w:val="56"/>
        <w:tblW w:w="5000" w:type="pct"/>
        <w:jc w:val="center"/>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1084"/>
        <w:gridCol w:w="1124"/>
        <w:gridCol w:w="1134"/>
        <w:gridCol w:w="2299"/>
        <w:gridCol w:w="1017"/>
        <w:gridCol w:w="1202"/>
        <w:gridCol w:w="860"/>
      </w:tblGrid>
      <w:tr w14:paraId="289EDB5E">
        <w:tblPrEx>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blHeader/>
          <w:jc w:val="center"/>
        </w:trPr>
        <w:tc>
          <w:tcPr>
            <w:tcW w:w="622" w:type="pct"/>
            <w:shd w:val="clear" w:color="auto" w:fill="E0E0E0"/>
            <w:noWrap w:val="0"/>
            <w:vAlign w:val="center"/>
          </w:tcPr>
          <w:p w14:paraId="1FA672CA">
            <w:pPr>
              <w:jc w:val="center"/>
              <w:rPr>
                <w:rFonts w:hint="eastAsia" w:ascii="Times New Roman" w:hAnsi="Times New Roman" w:cs="Times New Roman"/>
                <w:sz w:val="21"/>
                <w:szCs w:val="21"/>
              </w:rPr>
            </w:pPr>
            <w:bookmarkStart w:id="207" w:name="_Toc90026226"/>
            <w:r>
              <w:rPr>
                <w:rFonts w:hint="eastAsia" w:ascii="Times New Roman" w:hAnsi="Times New Roman" w:cs="Times New Roman"/>
                <w:sz w:val="21"/>
                <w:szCs w:val="21"/>
              </w:rPr>
              <w:t>名称</w:t>
            </w:r>
          </w:p>
        </w:tc>
        <w:tc>
          <w:tcPr>
            <w:tcW w:w="645" w:type="pct"/>
            <w:shd w:val="clear" w:color="auto" w:fill="E0E0E0"/>
            <w:noWrap w:val="0"/>
            <w:vAlign w:val="center"/>
          </w:tcPr>
          <w:p w14:paraId="040B2E17">
            <w:pPr>
              <w:jc w:val="center"/>
              <w:rPr>
                <w:rFonts w:ascii="Times New Roman" w:hAnsi="Times New Roman" w:cs="Times New Roman"/>
                <w:sz w:val="21"/>
                <w:szCs w:val="21"/>
              </w:rPr>
            </w:pPr>
            <w:r>
              <w:rPr>
                <w:rFonts w:hint="eastAsia" w:ascii="Times New Roman" w:hAnsi="Times New Roman" w:cs="Times New Roman"/>
                <w:sz w:val="21"/>
                <w:szCs w:val="21"/>
              </w:rPr>
              <w:t>消耗</w:t>
            </w:r>
            <w:r>
              <w:rPr>
                <w:rFonts w:ascii="Times New Roman" w:hAnsi="Times New Roman" w:cs="Times New Roman"/>
                <w:sz w:val="21"/>
                <w:szCs w:val="21"/>
              </w:rPr>
              <w:t>量（t/a）</w:t>
            </w:r>
          </w:p>
        </w:tc>
        <w:tc>
          <w:tcPr>
            <w:tcW w:w="650" w:type="pct"/>
            <w:shd w:val="clear" w:color="auto" w:fill="E0E0E0"/>
            <w:noWrap w:val="0"/>
            <w:vAlign w:val="center"/>
          </w:tcPr>
          <w:p w14:paraId="0D54A43E">
            <w:pPr>
              <w:jc w:val="center"/>
              <w:rPr>
                <w:rFonts w:ascii="Times New Roman" w:hAnsi="Times New Roman" w:cs="Times New Roman"/>
                <w:sz w:val="21"/>
                <w:szCs w:val="21"/>
              </w:rPr>
            </w:pPr>
            <w:r>
              <w:rPr>
                <w:rFonts w:hint="eastAsia" w:ascii="Times New Roman" w:hAnsi="Times New Roman" w:cs="Times New Roman"/>
                <w:sz w:val="21"/>
                <w:szCs w:val="21"/>
              </w:rPr>
              <w:t>单耗</w:t>
            </w:r>
          </w:p>
          <w:p w14:paraId="7C5F96D1">
            <w:pPr>
              <w:jc w:val="center"/>
              <w:rPr>
                <w:rFonts w:ascii="Times New Roman" w:hAnsi="Times New Roman" w:cs="Times New Roman"/>
                <w:sz w:val="21"/>
                <w:szCs w:val="21"/>
              </w:rPr>
            </w:pPr>
            <w:r>
              <w:rPr>
                <w:rFonts w:hint="eastAsia" w:ascii="Times New Roman" w:hAnsi="Times New Roman" w:cs="Times New Roman"/>
                <w:sz w:val="21"/>
                <w:szCs w:val="21"/>
              </w:rPr>
              <w:t>(</w:t>
            </w:r>
            <w:r>
              <w:rPr>
                <w:rFonts w:hint="eastAsia" w:ascii="Times New Roman" w:hAnsi="Times New Roman" w:cs="Times New Roman"/>
                <w:sz w:val="21"/>
                <w:szCs w:val="21"/>
                <w:lang w:val="en-US" w:eastAsia="zh-CN"/>
              </w:rPr>
              <w:t>t</w:t>
            </w:r>
            <w:r>
              <w:rPr>
                <w:rFonts w:ascii="Times New Roman" w:hAnsi="Times New Roman" w:cs="Times New Roman"/>
                <w:sz w:val="21"/>
                <w:szCs w:val="21"/>
              </w:rPr>
              <w:t>/</w:t>
            </w:r>
            <w:r>
              <w:rPr>
                <w:rFonts w:hint="eastAsia" w:ascii="Times New Roman" w:hAnsi="Times New Roman" w:cs="Times New Roman"/>
                <w:sz w:val="21"/>
                <w:szCs w:val="21"/>
              </w:rPr>
              <w:t>t产品)</w:t>
            </w:r>
          </w:p>
        </w:tc>
        <w:tc>
          <w:tcPr>
            <w:tcW w:w="1318" w:type="pct"/>
            <w:shd w:val="clear" w:color="auto" w:fill="E0E0E0"/>
            <w:noWrap w:val="0"/>
            <w:vAlign w:val="center"/>
          </w:tcPr>
          <w:p w14:paraId="462C7F0A">
            <w:pPr>
              <w:jc w:val="center"/>
              <w:rPr>
                <w:rFonts w:ascii="Times New Roman" w:hAnsi="Times New Roman" w:cs="Times New Roman"/>
                <w:sz w:val="21"/>
                <w:szCs w:val="21"/>
              </w:rPr>
            </w:pPr>
            <w:r>
              <w:rPr>
                <w:rFonts w:hint="eastAsia" w:ascii="Times New Roman" w:hAnsi="Times New Roman" w:cs="Times New Roman"/>
                <w:sz w:val="21"/>
                <w:szCs w:val="21"/>
              </w:rPr>
              <w:t>规格</w:t>
            </w:r>
          </w:p>
        </w:tc>
        <w:tc>
          <w:tcPr>
            <w:tcW w:w="583" w:type="pct"/>
            <w:shd w:val="clear" w:color="auto" w:fill="E0E0E0"/>
            <w:noWrap w:val="0"/>
            <w:vAlign w:val="center"/>
          </w:tcPr>
          <w:p w14:paraId="10CDB630">
            <w:pPr>
              <w:jc w:val="center"/>
              <w:rPr>
                <w:rFonts w:hint="eastAsia" w:ascii="Times New Roman" w:hAnsi="Times New Roman" w:cs="Times New Roman"/>
                <w:sz w:val="21"/>
                <w:szCs w:val="21"/>
              </w:rPr>
            </w:pPr>
            <w:r>
              <w:rPr>
                <w:rFonts w:ascii="Times New Roman" w:hAnsi="Times New Roman" w:cs="Times New Roman"/>
                <w:sz w:val="21"/>
                <w:szCs w:val="21"/>
              </w:rPr>
              <w:t>物料状态与包装形式</w:t>
            </w:r>
          </w:p>
        </w:tc>
        <w:tc>
          <w:tcPr>
            <w:tcW w:w="689" w:type="pct"/>
            <w:shd w:val="clear" w:color="auto" w:fill="E0E0E0"/>
            <w:noWrap w:val="0"/>
            <w:vAlign w:val="center"/>
          </w:tcPr>
          <w:p w14:paraId="5AE0379E">
            <w:pPr>
              <w:jc w:val="center"/>
              <w:rPr>
                <w:rFonts w:hint="eastAsia" w:ascii="Times New Roman" w:hAnsi="Times New Roman" w:cs="Times New Roman"/>
                <w:sz w:val="21"/>
                <w:szCs w:val="21"/>
              </w:rPr>
            </w:pPr>
            <w:r>
              <w:rPr>
                <w:rFonts w:ascii="Times New Roman" w:hAnsi="Times New Roman" w:cs="Times New Roman"/>
                <w:sz w:val="21"/>
                <w:szCs w:val="21"/>
              </w:rPr>
              <w:t>储存位置</w:t>
            </w:r>
          </w:p>
        </w:tc>
        <w:tc>
          <w:tcPr>
            <w:tcW w:w="490" w:type="pct"/>
            <w:shd w:val="clear" w:color="auto" w:fill="E0E0E0"/>
            <w:noWrap w:val="0"/>
            <w:vAlign w:val="center"/>
          </w:tcPr>
          <w:p w14:paraId="20B66759">
            <w:pPr>
              <w:jc w:val="center"/>
              <w:rPr>
                <w:rFonts w:ascii="Times New Roman" w:hAnsi="Times New Roman" w:cs="Times New Roman"/>
                <w:sz w:val="21"/>
                <w:szCs w:val="21"/>
              </w:rPr>
            </w:pPr>
            <w:r>
              <w:rPr>
                <w:rFonts w:hint="eastAsia" w:ascii="Times New Roman" w:hAnsi="Times New Roman" w:cs="Times New Roman"/>
                <w:sz w:val="21"/>
                <w:szCs w:val="21"/>
              </w:rPr>
              <w:t>来源</w:t>
            </w:r>
          </w:p>
        </w:tc>
      </w:tr>
      <w:tr w14:paraId="375ACAFF">
        <w:tblPrEx>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000" w:type="pct"/>
            <w:gridSpan w:val="7"/>
            <w:noWrap w:val="0"/>
            <w:vAlign w:val="center"/>
          </w:tcPr>
          <w:p w14:paraId="2DC94C47">
            <w:pPr>
              <w:jc w:val="center"/>
              <w:rPr>
                <w:rFonts w:hint="eastAsia" w:ascii="Times New Roman" w:hAnsi="Times New Roman" w:eastAsia="宋体" w:cs="Times New Roman"/>
                <w:sz w:val="21"/>
                <w:szCs w:val="21"/>
                <w:lang w:val="en-US" w:eastAsia="zh-CN"/>
              </w:rPr>
            </w:pPr>
            <w:r>
              <w:rPr>
                <w:rFonts w:hint="eastAsia" w:ascii="Times New Roman" w:hAnsi="Times New Roman" w:cs="Times New Roman"/>
                <w:sz w:val="21"/>
                <w:szCs w:val="21"/>
                <w:lang w:val="en-US" w:eastAsia="zh-CN"/>
              </w:rPr>
              <w:t>烧结</w:t>
            </w:r>
          </w:p>
        </w:tc>
      </w:tr>
      <w:tr w14:paraId="5FD61555">
        <w:tblPrEx>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22" w:type="pct"/>
            <w:noWrap w:val="0"/>
            <w:vAlign w:val="center"/>
          </w:tcPr>
          <w:p w14:paraId="1659F9BC">
            <w:pPr>
              <w:jc w:val="center"/>
              <w:rPr>
                <w:rFonts w:hint="eastAsia" w:ascii="Times New Roman" w:hAnsi="Times New Roman" w:eastAsia="宋体" w:cs="Times New Roman"/>
                <w:sz w:val="21"/>
                <w:szCs w:val="18"/>
                <w:lang w:eastAsia="zh-CN"/>
              </w:rPr>
            </w:pPr>
            <w:r>
              <w:rPr>
                <w:rFonts w:hint="eastAsia" w:ascii="Times New Roman" w:hAnsi="Times New Roman" w:cs="Times New Roman"/>
                <w:sz w:val="21"/>
                <w:szCs w:val="18"/>
                <w:lang w:val="en-US" w:eastAsia="zh-CN"/>
              </w:rPr>
              <w:t>铁精矿</w:t>
            </w:r>
          </w:p>
        </w:tc>
        <w:tc>
          <w:tcPr>
            <w:tcW w:w="645" w:type="pct"/>
            <w:noWrap w:val="0"/>
            <w:vAlign w:val="center"/>
          </w:tcPr>
          <w:p w14:paraId="72AD8606">
            <w:pPr>
              <w:jc w:val="center"/>
              <w:rPr>
                <w:rFonts w:hint="default" w:ascii="Times New Roman" w:hAnsi="Times New Roman" w:eastAsia="宋体" w:cs="Times New Roman"/>
                <w:sz w:val="21"/>
                <w:szCs w:val="21"/>
                <w:lang w:val="en-US" w:eastAsia="zh-CN"/>
              </w:rPr>
            </w:pPr>
            <w:r>
              <w:rPr>
                <w:rFonts w:hint="eastAsia" w:ascii="Times New Roman" w:hAnsi="Times New Roman" w:cs="Times New Roman"/>
                <w:sz w:val="21"/>
                <w:szCs w:val="21"/>
                <w:lang w:val="en-US" w:eastAsia="zh-CN"/>
              </w:rPr>
              <w:t>268410</w:t>
            </w:r>
          </w:p>
        </w:tc>
        <w:tc>
          <w:tcPr>
            <w:tcW w:w="650" w:type="pct"/>
            <w:noWrap w:val="0"/>
            <w:vAlign w:val="center"/>
          </w:tcPr>
          <w:p w14:paraId="3DDCD0F3">
            <w:pPr>
              <w:jc w:val="center"/>
              <w:rPr>
                <w:rFonts w:hint="default" w:ascii="Times New Roman" w:hAnsi="Times New Roman" w:eastAsia="宋体" w:cs="Times New Roman"/>
                <w:sz w:val="21"/>
                <w:szCs w:val="21"/>
                <w:lang w:val="en-US" w:eastAsia="zh-CN"/>
              </w:rPr>
            </w:pPr>
            <w:r>
              <w:rPr>
                <w:rFonts w:hint="eastAsia" w:ascii="Times New Roman" w:hAnsi="Times New Roman" w:cs="Times New Roman"/>
                <w:sz w:val="21"/>
                <w:szCs w:val="21"/>
                <w:lang w:val="en-US" w:eastAsia="zh-CN"/>
              </w:rPr>
              <w:t>0.41</w:t>
            </w:r>
          </w:p>
        </w:tc>
        <w:tc>
          <w:tcPr>
            <w:tcW w:w="1318" w:type="pct"/>
            <w:noWrap w:val="0"/>
            <w:vAlign w:val="center"/>
          </w:tcPr>
          <w:p w14:paraId="51A679FA">
            <w:pPr>
              <w:jc w:val="center"/>
              <w:rPr>
                <w:rFonts w:ascii="Times New Roman" w:hAnsi="Times New Roman" w:cs="Times New Roman"/>
                <w:sz w:val="21"/>
                <w:szCs w:val="21"/>
              </w:rPr>
            </w:pPr>
            <w:r>
              <w:rPr>
                <w:rFonts w:ascii="Times New Roman" w:hAnsi="Times New Roman" w:cs="Times New Roman"/>
                <w:sz w:val="21"/>
                <w:szCs w:val="21"/>
              </w:rPr>
              <w:t>外观呈块状，粒度为10～50mm</w:t>
            </w:r>
          </w:p>
        </w:tc>
        <w:tc>
          <w:tcPr>
            <w:tcW w:w="583" w:type="pct"/>
            <w:noWrap w:val="0"/>
            <w:vAlign w:val="center"/>
          </w:tcPr>
          <w:p w14:paraId="33B4BAC9">
            <w:pPr>
              <w:jc w:val="center"/>
              <w:rPr>
                <w:rFonts w:hint="eastAsia" w:ascii="Times New Roman" w:hAnsi="Times New Roman" w:cs="Times New Roman"/>
                <w:sz w:val="21"/>
                <w:szCs w:val="21"/>
              </w:rPr>
            </w:pPr>
            <w:r>
              <w:rPr>
                <w:rFonts w:hint="eastAsia" w:ascii="Times New Roman" w:hAnsi="Times New Roman" w:cs="Times New Roman"/>
                <w:sz w:val="21"/>
                <w:szCs w:val="21"/>
              </w:rPr>
              <w:t>袋装</w:t>
            </w:r>
          </w:p>
        </w:tc>
        <w:tc>
          <w:tcPr>
            <w:tcW w:w="689" w:type="pct"/>
            <w:noWrap w:val="0"/>
            <w:vAlign w:val="center"/>
          </w:tcPr>
          <w:p w14:paraId="610A27AB">
            <w:pPr>
              <w:jc w:val="center"/>
              <w:rPr>
                <w:rFonts w:hint="eastAsia" w:ascii="Times New Roman" w:hAnsi="Times New Roman" w:cs="Times New Roman"/>
                <w:sz w:val="21"/>
                <w:szCs w:val="21"/>
              </w:rPr>
            </w:pPr>
            <w:r>
              <w:rPr>
                <w:rFonts w:hint="eastAsia" w:ascii="Times New Roman" w:hAnsi="Times New Roman" w:cs="Times New Roman"/>
                <w:sz w:val="21"/>
                <w:szCs w:val="21"/>
              </w:rPr>
              <w:t>辅料库</w:t>
            </w:r>
          </w:p>
        </w:tc>
        <w:tc>
          <w:tcPr>
            <w:tcW w:w="490" w:type="pct"/>
            <w:noWrap w:val="0"/>
            <w:vAlign w:val="center"/>
          </w:tcPr>
          <w:p w14:paraId="59E794C1">
            <w:pPr>
              <w:jc w:val="center"/>
              <w:rPr>
                <w:rFonts w:ascii="Times New Roman" w:hAnsi="Times New Roman" w:cs="Times New Roman"/>
                <w:sz w:val="21"/>
                <w:szCs w:val="21"/>
              </w:rPr>
            </w:pPr>
            <w:r>
              <w:rPr>
                <w:rFonts w:hint="eastAsia" w:ascii="Times New Roman" w:hAnsi="Times New Roman" w:cs="Times New Roman"/>
                <w:sz w:val="21"/>
                <w:szCs w:val="21"/>
              </w:rPr>
              <w:t>外购</w:t>
            </w:r>
          </w:p>
        </w:tc>
      </w:tr>
      <w:tr w14:paraId="1C6CF959">
        <w:tblPrEx>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22" w:type="pct"/>
            <w:noWrap w:val="0"/>
            <w:vAlign w:val="center"/>
          </w:tcPr>
          <w:p w14:paraId="324100DD">
            <w:pPr>
              <w:jc w:val="center"/>
              <w:rPr>
                <w:rFonts w:hint="eastAsia" w:ascii="Times New Roman" w:hAnsi="Times New Roman" w:eastAsia="宋体" w:cs="Times New Roman"/>
                <w:sz w:val="21"/>
                <w:szCs w:val="21"/>
                <w:lang w:eastAsia="zh-CN"/>
              </w:rPr>
            </w:pPr>
            <w:r>
              <w:rPr>
                <w:rFonts w:hint="eastAsia" w:ascii="Times New Roman" w:hAnsi="Times New Roman" w:cs="Times New Roman"/>
                <w:sz w:val="21"/>
                <w:szCs w:val="21"/>
                <w:lang w:val="en-US" w:eastAsia="zh-CN"/>
              </w:rPr>
              <w:t>生石灰</w:t>
            </w:r>
          </w:p>
        </w:tc>
        <w:tc>
          <w:tcPr>
            <w:tcW w:w="645" w:type="pct"/>
            <w:noWrap w:val="0"/>
            <w:vAlign w:val="center"/>
          </w:tcPr>
          <w:p w14:paraId="7079A126">
            <w:pPr>
              <w:jc w:val="center"/>
              <w:rPr>
                <w:rFonts w:hint="default" w:ascii="Times New Roman" w:hAnsi="Times New Roman" w:eastAsia="宋体" w:cs="Times New Roman"/>
                <w:sz w:val="21"/>
                <w:szCs w:val="21"/>
                <w:lang w:val="en-US" w:eastAsia="zh-CN"/>
              </w:rPr>
            </w:pPr>
            <w:r>
              <w:rPr>
                <w:rFonts w:hint="eastAsia" w:ascii="Times New Roman" w:hAnsi="Times New Roman" w:cs="Times New Roman"/>
                <w:sz w:val="21"/>
                <w:szCs w:val="21"/>
                <w:lang w:val="en-US" w:eastAsia="zh-CN"/>
              </w:rPr>
              <w:t>47160</w:t>
            </w:r>
          </w:p>
        </w:tc>
        <w:tc>
          <w:tcPr>
            <w:tcW w:w="650" w:type="pct"/>
            <w:noWrap w:val="0"/>
            <w:vAlign w:val="center"/>
          </w:tcPr>
          <w:p w14:paraId="04A3C147">
            <w:pPr>
              <w:jc w:val="center"/>
              <w:rPr>
                <w:rFonts w:hint="default" w:ascii="Times New Roman" w:hAnsi="Times New Roman" w:eastAsia="宋体" w:cs="Times New Roman"/>
                <w:sz w:val="21"/>
                <w:szCs w:val="21"/>
                <w:lang w:val="en-US" w:eastAsia="zh-CN"/>
              </w:rPr>
            </w:pPr>
            <w:r>
              <w:rPr>
                <w:rFonts w:hint="eastAsia" w:ascii="Times New Roman" w:hAnsi="Times New Roman" w:cs="Times New Roman"/>
                <w:sz w:val="21"/>
                <w:szCs w:val="21"/>
                <w:lang w:val="en-US" w:eastAsia="zh-CN"/>
              </w:rPr>
              <w:t>0.07</w:t>
            </w:r>
          </w:p>
        </w:tc>
        <w:tc>
          <w:tcPr>
            <w:tcW w:w="1318" w:type="pct"/>
            <w:noWrap w:val="0"/>
            <w:vAlign w:val="center"/>
          </w:tcPr>
          <w:p w14:paraId="0A5B392A">
            <w:pPr>
              <w:jc w:val="center"/>
              <w:rPr>
                <w:rFonts w:ascii="Times New Roman" w:hAnsi="Times New Roman" w:cs="Times New Roman"/>
                <w:sz w:val="21"/>
                <w:szCs w:val="21"/>
              </w:rPr>
            </w:pPr>
            <w:r>
              <w:rPr>
                <w:rFonts w:ascii="Times New Roman" w:hAnsi="Times New Roman" w:cs="Times New Roman"/>
                <w:sz w:val="21"/>
                <w:szCs w:val="21"/>
              </w:rPr>
              <w:t>CaO≥90%、活性度≥350ml、粒度为5~40mm</w:t>
            </w:r>
          </w:p>
        </w:tc>
        <w:tc>
          <w:tcPr>
            <w:tcW w:w="583" w:type="pct"/>
            <w:noWrap w:val="0"/>
            <w:vAlign w:val="center"/>
          </w:tcPr>
          <w:p w14:paraId="1A420187">
            <w:pPr>
              <w:jc w:val="center"/>
              <w:rPr>
                <w:rFonts w:hint="eastAsia" w:ascii="Times New Roman" w:hAnsi="Times New Roman" w:cs="Times New Roman"/>
                <w:sz w:val="21"/>
                <w:szCs w:val="21"/>
              </w:rPr>
            </w:pPr>
            <w:r>
              <w:rPr>
                <w:rFonts w:hint="eastAsia" w:ascii="Times New Roman" w:hAnsi="Times New Roman" w:cs="Times New Roman"/>
                <w:sz w:val="21"/>
                <w:szCs w:val="21"/>
              </w:rPr>
              <w:t>料仓</w:t>
            </w:r>
          </w:p>
        </w:tc>
        <w:tc>
          <w:tcPr>
            <w:tcW w:w="689" w:type="pct"/>
            <w:noWrap w:val="0"/>
            <w:vAlign w:val="center"/>
          </w:tcPr>
          <w:p w14:paraId="01E5D9C5">
            <w:pPr>
              <w:jc w:val="center"/>
              <w:rPr>
                <w:rFonts w:hint="eastAsia" w:ascii="Times New Roman" w:hAnsi="Times New Roman" w:cs="Times New Roman"/>
                <w:sz w:val="21"/>
                <w:szCs w:val="21"/>
              </w:rPr>
            </w:pPr>
            <w:r>
              <w:rPr>
                <w:rFonts w:hint="eastAsia" w:ascii="Times New Roman" w:hAnsi="Times New Roman" w:cs="Times New Roman"/>
                <w:sz w:val="21"/>
                <w:szCs w:val="21"/>
              </w:rPr>
              <w:t>辅料库</w:t>
            </w:r>
          </w:p>
        </w:tc>
        <w:tc>
          <w:tcPr>
            <w:tcW w:w="490" w:type="pct"/>
            <w:noWrap w:val="0"/>
            <w:vAlign w:val="center"/>
          </w:tcPr>
          <w:p w14:paraId="6DFF3CE1">
            <w:pPr>
              <w:jc w:val="center"/>
              <w:rPr>
                <w:rFonts w:ascii="Times New Roman" w:hAnsi="Times New Roman" w:cs="Times New Roman"/>
                <w:sz w:val="21"/>
                <w:szCs w:val="21"/>
              </w:rPr>
            </w:pPr>
            <w:r>
              <w:rPr>
                <w:rFonts w:hint="eastAsia" w:ascii="Times New Roman" w:hAnsi="Times New Roman" w:cs="Times New Roman"/>
                <w:sz w:val="21"/>
                <w:szCs w:val="21"/>
              </w:rPr>
              <w:t>外购</w:t>
            </w:r>
          </w:p>
        </w:tc>
      </w:tr>
      <w:tr w14:paraId="6813B459">
        <w:tblPrEx>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22" w:type="pct"/>
            <w:noWrap w:val="0"/>
            <w:vAlign w:val="center"/>
          </w:tcPr>
          <w:p w14:paraId="7EA30660">
            <w:pPr>
              <w:jc w:val="center"/>
              <w:rPr>
                <w:rFonts w:hint="eastAsia" w:ascii="Times New Roman" w:hAnsi="Times New Roman" w:eastAsia="宋体" w:cs="Times New Roman"/>
                <w:sz w:val="21"/>
                <w:szCs w:val="21"/>
                <w:lang w:eastAsia="zh-CN"/>
              </w:rPr>
            </w:pPr>
            <w:r>
              <w:rPr>
                <w:rFonts w:hint="eastAsia" w:ascii="Times New Roman" w:hAnsi="Times New Roman" w:cs="Times New Roman"/>
                <w:sz w:val="21"/>
                <w:szCs w:val="21"/>
                <w:lang w:val="en-US" w:eastAsia="zh-CN"/>
              </w:rPr>
              <w:t>煤粉</w:t>
            </w:r>
          </w:p>
        </w:tc>
        <w:tc>
          <w:tcPr>
            <w:tcW w:w="645" w:type="pct"/>
            <w:noWrap w:val="0"/>
            <w:vAlign w:val="center"/>
          </w:tcPr>
          <w:p w14:paraId="18386AD1">
            <w:pPr>
              <w:jc w:val="center"/>
              <w:rPr>
                <w:rFonts w:hint="default" w:ascii="Times New Roman" w:hAnsi="Times New Roman" w:eastAsia="宋体" w:cs="Times New Roman"/>
                <w:sz w:val="21"/>
                <w:szCs w:val="21"/>
                <w:lang w:val="en-US" w:eastAsia="zh-CN"/>
              </w:rPr>
            </w:pPr>
            <w:r>
              <w:rPr>
                <w:rFonts w:hint="eastAsia" w:ascii="Times New Roman" w:hAnsi="Times New Roman" w:cs="Times New Roman"/>
                <w:sz w:val="21"/>
                <w:szCs w:val="21"/>
                <w:lang w:val="en-US" w:eastAsia="zh-CN"/>
              </w:rPr>
              <w:t>12750</w:t>
            </w:r>
          </w:p>
        </w:tc>
        <w:tc>
          <w:tcPr>
            <w:tcW w:w="650" w:type="pct"/>
            <w:noWrap w:val="0"/>
            <w:vAlign w:val="center"/>
          </w:tcPr>
          <w:p w14:paraId="54CD5372">
            <w:pPr>
              <w:jc w:val="center"/>
              <w:rPr>
                <w:rFonts w:hint="eastAsia" w:ascii="Times New Roman" w:hAnsi="Times New Roman" w:cs="Times New Roman"/>
                <w:sz w:val="21"/>
                <w:szCs w:val="21"/>
              </w:rPr>
            </w:pPr>
            <w:r>
              <w:rPr>
                <w:rFonts w:hint="eastAsia" w:ascii="Times New Roman" w:hAnsi="Times New Roman" w:cs="Times New Roman"/>
                <w:sz w:val="21"/>
                <w:szCs w:val="21"/>
              </w:rPr>
              <w:t>2</w:t>
            </w:r>
          </w:p>
        </w:tc>
        <w:tc>
          <w:tcPr>
            <w:tcW w:w="1318" w:type="pct"/>
            <w:noWrap w:val="0"/>
            <w:vAlign w:val="center"/>
          </w:tcPr>
          <w:p w14:paraId="6E2B1B4E">
            <w:pPr>
              <w:jc w:val="center"/>
              <w:rPr>
                <w:rFonts w:ascii="Times New Roman" w:hAnsi="Times New Roman" w:cs="Times New Roman"/>
                <w:sz w:val="21"/>
                <w:szCs w:val="21"/>
              </w:rPr>
            </w:pPr>
            <w:r>
              <w:rPr>
                <w:rFonts w:hint="eastAsia" w:ascii="Times New Roman" w:hAnsi="Times New Roman" w:cs="Times New Roman"/>
                <w:sz w:val="21"/>
                <w:szCs w:val="21"/>
              </w:rPr>
              <w:t>主要规格为</w:t>
            </w:r>
            <w:r>
              <w:rPr>
                <w:rFonts w:ascii="Times New Roman" w:hAnsi="Times New Roman" w:cs="Times New Roman"/>
                <w:sz w:val="21"/>
                <w:szCs w:val="21"/>
              </w:rPr>
              <w:t>Φ</w:t>
            </w:r>
            <w:r>
              <w:rPr>
                <w:rFonts w:hint="eastAsia" w:ascii="Times New Roman" w:hAnsi="Times New Roman" w:cs="Times New Roman"/>
                <w:sz w:val="21"/>
                <w:szCs w:val="21"/>
              </w:rPr>
              <w:t>10、</w:t>
            </w:r>
            <w:r>
              <w:rPr>
                <w:rFonts w:ascii="Times New Roman" w:hAnsi="Times New Roman" w:cs="Times New Roman"/>
                <w:sz w:val="21"/>
                <w:szCs w:val="21"/>
              </w:rPr>
              <w:t>Φ</w:t>
            </w:r>
            <w:r>
              <w:rPr>
                <w:rFonts w:hint="eastAsia" w:ascii="Times New Roman" w:hAnsi="Times New Roman" w:cs="Times New Roman"/>
                <w:sz w:val="21"/>
                <w:szCs w:val="21"/>
              </w:rPr>
              <w:t>12</w:t>
            </w:r>
          </w:p>
        </w:tc>
        <w:tc>
          <w:tcPr>
            <w:tcW w:w="583" w:type="pct"/>
            <w:noWrap w:val="0"/>
            <w:vAlign w:val="center"/>
          </w:tcPr>
          <w:p w14:paraId="0A4BCD51">
            <w:pPr>
              <w:jc w:val="center"/>
              <w:rPr>
                <w:rFonts w:hint="eastAsia" w:ascii="Times New Roman" w:hAnsi="Times New Roman" w:cs="Times New Roman"/>
                <w:sz w:val="21"/>
                <w:szCs w:val="21"/>
              </w:rPr>
            </w:pPr>
            <w:r>
              <w:rPr>
                <w:rFonts w:hint="eastAsia" w:ascii="Times New Roman" w:hAnsi="Times New Roman" w:cs="Times New Roman"/>
                <w:sz w:val="21"/>
                <w:szCs w:val="21"/>
              </w:rPr>
              <w:t>袋装</w:t>
            </w:r>
          </w:p>
        </w:tc>
        <w:tc>
          <w:tcPr>
            <w:tcW w:w="689" w:type="pct"/>
            <w:noWrap w:val="0"/>
            <w:vAlign w:val="center"/>
          </w:tcPr>
          <w:p w14:paraId="32B5BB19">
            <w:pPr>
              <w:jc w:val="center"/>
              <w:rPr>
                <w:rFonts w:hint="eastAsia" w:ascii="Times New Roman" w:hAnsi="Times New Roman" w:cs="Times New Roman"/>
                <w:sz w:val="21"/>
                <w:szCs w:val="21"/>
              </w:rPr>
            </w:pPr>
            <w:r>
              <w:rPr>
                <w:rFonts w:hint="eastAsia" w:ascii="Times New Roman" w:hAnsi="Times New Roman" w:cs="Times New Roman"/>
                <w:sz w:val="21"/>
                <w:szCs w:val="21"/>
              </w:rPr>
              <w:t>辅料库</w:t>
            </w:r>
          </w:p>
        </w:tc>
        <w:tc>
          <w:tcPr>
            <w:tcW w:w="490" w:type="pct"/>
            <w:noWrap w:val="0"/>
            <w:vAlign w:val="center"/>
          </w:tcPr>
          <w:p w14:paraId="594D5229">
            <w:pPr>
              <w:jc w:val="center"/>
              <w:rPr>
                <w:rFonts w:ascii="Times New Roman" w:hAnsi="Times New Roman" w:cs="Times New Roman"/>
                <w:sz w:val="21"/>
                <w:szCs w:val="21"/>
              </w:rPr>
            </w:pPr>
            <w:r>
              <w:rPr>
                <w:rFonts w:hint="eastAsia" w:ascii="Times New Roman" w:hAnsi="Times New Roman" w:cs="Times New Roman"/>
                <w:sz w:val="21"/>
                <w:szCs w:val="21"/>
              </w:rPr>
              <w:t>外购</w:t>
            </w:r>
          </w:p>
        </w:tc>
      </w:tr>
      <w:tr w14:paraId="5B59C62F">
        <w:tblPrEx>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22" w:type="pct"/>
            <w:noWrap w:val="0"/>
            <w:vAlign w:val="center"/>
          </w:tcPr>
          <w:p w14:paraId="21AA2940">
            <w:pPr>
              <w:jc w:val="center"/>
              <w:rPr>
                <w:rFonts w:hint="eastAsia" w:ascii="Times New Roman" w:hAnsi="Times New Roman" w:eastAsia="宋体" w:cs="Times New Roman"/>
                <w:sz w:val="21"/>
                <w:szCs w:val="21"/>
                <w:lang w:eastAsia="zh-CN"/>
              </w:rPr>
            </w:pPr>
            <w:r>
              <w:rPr>
                <w:rFonts w:hint="eastAsia" w:ascii="Times New Roman" w:hAnsi="Times New Roman" w:cs="Times New Roman"/>
                <w:sz w:val="21"/>
                <w:szCs w:val="21"/>
                <w:lang w:val="en-US" w:eastAsia="zh-CN"/>
              </w:rPr>
              <w:t>焦粉</w:t>
            </w:r>
          </w:p>
        </w:tc>
        <w:tc>
          <w:tcPr>
            <w:tcW w:w="645" w:type="pct"/>
            <w:noWrap w:val="0"/>
            <w:vAlign w:val="center"/>
          </w:tcPr>
          <w:p w14:paraId="101B420A">
            <w:pPr>
              <w:jc w:val="center"/>
              <w:rPr>
                <w:rFonts w:hint="default" w:ascii="Times New Roman" w:hAnsi="Times New Roman" w:eastAsia="宋体" w:cs="Times New Roman"/>
                <w:sz w:val="21"/>
                <w:szCs w:val="21"/>
                <w:lang w:val="en-US" w:eastAsia="zh-CN"/>
              </w:rPr>
            </w:pPr>
            <w:r>
              <w:rPr>
                <w:rFonts w:hint="eastAsia" w:ascii="Times New Roman" w:hAnsi="Times New Roman" w:cs="Times New Roman"/>
                <w:sz w:val="21"/>
                <w:szCs w:val="21"/>
                <w:lang w:val="en-US" w:eastAsia="zh-CN"/>
              </w:rPr>
              <w:t>5960</w:t>
            </w:r>
          </w:p>
        </w:tc>
        <w:tc>
          <w:tcPr>
            <w:tcW w:w="650" w:type="pct"/>
            <w:noWrap w:val="0"/>
            <w:vAlign w:val="center"/>
          </w:tcPr>
          <w:p w14:paraId="0457B52D">
            <w:pPr>
              <w:jc w:val="center"/>
              <w:rPr>
                <w:rFonts w:hint="eastAsia" w:ascii="Times New Roman" w:hAnsi="Times New Roman" w:cs="Times New Roman"/>
                <w:sz w:val="21"/>
                <w:szCs w:val="21"/>
              </w:rPr>
            </w:pPr>
            <w:r>
              <w:rPr>
                <w:rFonts w:hint="eastAsia" w:ascii="Times New Roman" w:hAnsi="Times New Roman" w:cs="Times New Roman"/>
                <w:sz w:val="21"/>
                <w:szCs w:val="21"/>
              </w:rPr>
              <w:t>1</w:t>
            </w:r>
          </w:p>
        </w:tc>
        <w:tc>
          <w:tcPr>
            <w:tcW w:w="1318" w:type="pct"/>
            <w:noWrap w:val="0"/>
            <w:vAlign w:val="center"/>
          </w:tcPr>
          <w:p w14:paraId="7E25AA5F">
            <w:pPr>
              <w:jc w:val="center"/>
              <w:rPr>
                <w:rFonts w:ascii="Times New Roman" w:hAnsi="Times New Roman" w:cs="Times New Roman"/>
                <w:sz w:val="21"/>
                <w:szCs w:val="21"/>
              </w:rPr>
            </w:pPr>
            <w:r>
              <w:rPr>
                <w:rFonts w:ascii="Times New Roman" w:hAnsi="Times New Roman" w:cs="Times New Roman"/>
                <w:sz w:val="21"/>
                <w:szCs w:val="21"/>
              </w:rPr>
              <w:t>0.8</w:t>
            </w:r>
            <w:r>
              <w:rPr>
                <w:rFonts w:hint="eastAsia" w:ascii="Times New Roman" w:hAnsi="Times New Roman" w:cs="Times New Roman"/>
                <w:sz w:val="21"/>
                <w:szCs w:val="21"/>
              </w:rPr>
              <w:t>kg/m</w:t>
            </w:r>
          </w:p>
        </w:tc>
        <w:tc>
          <w:tcPr>
            <w:tcW w:w="583" w:type="pct"/>
            <w:noWrap w:val="0"/>
            <w:vAlign w:val="center"/>
          </w:tcPr>
          <w:p w14:paraId="2060B563">
            <w:pPr>
              <w:jc w:val="center"/>
              <w:rPr>
                <w:rFonts w:hint="eastAsia" w:ascii="Times New Roman" w:hAnsi="Times New Roman" w:cs="Times New Roman"/>
                <w:sz w:val="21"/>
                <w:szCs w:val="21"/>
              </w:rPr>
            </w:pPr>
            <w:r>
              <w:rPr>
                <w:rFonts w:hint="eastAsia" w:ascii="Times New Roman" w:hAnsi="Times New Roman" w:cs="Times New Roman"/>
                <w:sz w:val="21"/>
                <w:szCs w:val="21"/>
              </w:rPr>
              <w:t>袋装</w:t>
            </w:r>
          </w:p>
        </w:tc>
        <w:tc>
          <w:tcPr>
            <w:tcW w:w="689" w:type="pct"/>
            <w:noWrap w:val="0"/>
            <w:vAlign w:val="center"/>
          </w:tcPr>
          <w:p w14:paraId="161A20B6">
            <w:pPr>
              <w:jc w:val="center"/>
              <w:rPr>
                <w:rFonts w:hint="eastAsia" w:ascii="Times New Roman" w:hAnsi="Times New Roman" w:cs="Times New Roman"/>
                <w:sz w:val="21"/>
                <w:szCs w:val="21"/>
              </w:rPr>
            </w:pPr>
            <w:r>
              <w:rPr>
                <w:rFonts w:hint="eastAsia" w:ascii="Times New Roman" w:hAnsi="Times New Roman" w:cs="Times New Roman"/>
                <w:sz w:val="21"/>
                <w:szCs w:val="21"/>
              </w:rPr>
              <w:t>辅料库</w:t>
            </w:r>
          </w:p>
        </w:tc>
        <w:tc>
          <w:tcPr>
            <w:tcW w:w="490" w:type="pct"/>
            <w:noWrap w:val="0"/>
            <w:vAlign w:val="center"/>
          </w:tcPr>
          <w:p w14:paraId="7DD195F7">
            <w:pPr>
              <w:jc w:val="center"/>
              <w:rPr>
                <w:rFonts w:ascii="Times New Roman" w:hAnsi="Times New Roman" w:cs="Times New Roman"/>
                <w:sz w:val="21"/>
                <w:szCs w:val="21"/>
              </w:rPr>
            </w:pPr>
            <w:r>
              <w:rPr>
                <w:rFonts w:hint="eastAsia" w:ascii="Times New Roman" w:hAnsi="Times New Roman" w:cs="Times New Roman"/>
                <w:sz w:val="21"/>
                <w:szCs w:val="21"/>
              </w:rPr>
              <w:t>外购</w:t>
            </w:r>
          </w:p>
        </w:tc>
      </w:tr>
      <w:tr w14:paraId="601FF3AC">
        <w:tblPrEx>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30" w:hRule="atLeast"/>
          <w:jc w:val="center"/>
        </w:trPr>
        <w:tc>
          <w:tcPr>
            <w:tcW w:w="5000" w:type="pct"/>
            <w:gridSpan w:val="7"/>
            <w:noWrap w:val="0"/>
            <w:vAlign w:val="center"/>
          </w:tcPr>
          <w:p w14:paraId="77A0F084">
            <w:pPr>
              <w:jc w:val="center"/>
              <w:rPr>
                <w:rFonts w:hint="eastAsia" w:ascii="Times New Roman" w:hAnsi="Times New Roman" w:eastAsia="宋体" w:cs="Times New Roman"/>
                <w:sz w:val="21"/>
                <w:szCs w:val="21"/>
                <w:lang w:val="en-US" w:eastAsia="zh-CN"/>
              </w:rPr>
            </w:pPr>
            <w:r>
              <w:rPr>
                <w:rFonts w:hint="eastAsia" w:ascii="Times New Roman" w:hAnsi="Times New Roman" w:cs="Times New Roman"/>
                <w:sz w:val="21"/>
                <w:szCs w:val="21"/>
                <w:lang w:val="en-US" w:eastAsia="zh-CN"/>
              </w:rPr>
              <w:t>球团</w:t>
            </w:r>
          </w:p>
        </w:tc>
      </w:tr>
      <w:tr w14:paraId="05D55424">
        <w:tblPrEx>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22" w:type="pct"/>
            <w:noWrap w:val="0"/>
            <w:vAlign w:val="center"/>
          </w:tcPr>
          <w:p w14:paraId="16FF7A05">
            <w:pPr>
              <w:jc w:val="center"/>
              <w:rPr>
                <w:rFonts w:hint="eastAsia" w:ascii="Times New Roman" w:hAnsi="Times New Roman" w:eastAsia="宋体" w:cs="Times New Roman"/>
                <w:sz w:val="21"/>
                <w:szCs w:val="21"/>
                <w:lang w:val="en-US" w:eastAsia="zh-CN"/>
              </w:rPr>
            </w:pPr>
            <w:r>
              <w:rPr>
                <w:rFonts w:hint="eastAsia" w:ascii="Times New Roman" w:hAnsi="Times New Roman" w:cs="Times New Roman"/>
                <w:sz w:val="21"/>
                <w:szCs w:val="21"/>
                <w:lang w:val="en-US" w:eastAsia="zh-CN"/>
              </w:rPr>
              <w:t>铁精矿</w:t>
            </w:r>
          </w:p>
        </w:tc>
        <w:tc>
          <w:tcPr>
            <w:tcW w:w="645" w:type="pct"/>
            <w:noWrap w:val="0"/>
            <w:vAlign w:val="center"/>
          </w:tcPr>
          <w:p w14:paraId="70206F40">
            <w:pPr>
              <w:jc w:val="center"/>
              <w:rPr>
                <w:rFonts w:hint="default" w:ascii="Times New Roman" w:hAnsi="Times New Roman" w:eastAsia="宋体" w:cs="Times New Roman"/>
                <w:sz w:val="21"/>
                <w:szCs w:val="21"/>
                <w:lang w:val="en-US" w:eastAsia="zh-CN"/>
              </w:rPr>
            </w:pPr>
            <w:r>
              <w:rPr>
                <w:rFonts w:hint="eastAsia" w:ascii="Times New Roman" w:hAnsi="Times New Roman" w:cs="Times New Roman"/>
                <w:sz w:val="21"/>
                <w:szCs w:val="21"/>
                <w:lang w:val="en-US" w:eastAsia="zh-CN"/>
              </w:rPr>
              <w:t>147100</w:t>
            </w:r>
          </w:p>
        </w:tc>
        <w:tc>
          <w:tcPr>
            <w:tcW w:w="650" w:type="pct"/>
            <w:noWrap w:val="0"/>
            <w:vAlign w:val="center"/>
          </w:tcPr>
          <w:p w14:paraId="74CFA267">
            <w:pPr>
              <w:jc w:val="center"/>
              <w:rPr>
                <w:rFonts w:hint="default" w:ascii="Times New Roman" w:hAnsi="Times New Roman" w:eastAsia="宋体" w:cs="Times New Roman"/>
                <w:sz w:val="21"/>
                <w:szCs w:val="21"/>
                <w:lang w:val="en-US" w:eastAsia="zh-CN"/>
              </w:rPr>
            </w:pPr>
            <w:r>
              <w:rPr>
                <w:rFonts w:hint="eastAsia" w:ascii="Times New Roman" w:hAnsi="Times New Roman" w:cs="Times New Roman"/>
                <w:sz w:val="21"/>
                <w:szCs w:val="21"/>
                <w:lang w:val="en-US" w:eastAsia="zh-CN"/>
              </w:rPr>
              <w:t>1.05</w:t>
            </w:r>
          </w:p>
        </w:tc>
        <w:tc>
          <w:tcPr>
            <w:tcW w:w="1318" w:type="pct"/>
            <w:noWrap w:val="0"/>
            <w:vAlign w:val="center"/>
          </w:tcPr>
          <w:p w14:paraId="1527EFE1">
            <w:pPr>
              <w:jc w:val="center"/>
              <w:rPr>
                <w:rFonts w:hint="default" w:ascii="Times New Roman" w:hAnsi="Times New Roman" w:eastAsia="宋体" w:cs="Times New Roman"/>
                <w:sz w:val="21"/>
                <w:szCs w:val="21"/>
                <w:lang w:val="en-US" w:eastAsia="zh-CN"/>
              </w:rPr>
            </w:pPr>
            <w:r>
              <w:rPr>
                <w:rFonts w:hint="eastAsia" w:ascii="Times New Roman" w:hAnsi="Times New Roman" w:cs="Times New Roman"/>
                <w:sz w:val="21"/>
                <w:szCs w:val="21"/>
                <w:lang w:val="en-US" w:eastAsia="zh-CN"/>
              </w:rPr>
              <w:t>Fe</w:t>
            </w:r>
            <w:r>
              <w:rPr>
                <w:rFonts w:ascii="Times New Roman" w:hAnsi="Times New Roman" w:cs="Times New Roman"/>
                <w:sz w:val="21"/>
                <w:szCs w:val="21"/>
              </w:rPr>
              <w:t>≥</w:t>
            </w:r>
            <w:r>
              <w:rPr>
                <w:rFonts w:hint="eastAsia" w:ascii="Times New Roman" w:hAnsi="Times New Roman" w:cs="Times New Roman"/>
                <w:sz w:val="21"/>
                <w:szCs w:val="21"/>
                <w:lang w:val="en-US" w:eastAsia="zh-CN"/>
              </w:rPr>
              <w:t>60%，水分＜12%</w:t>
            </w:r>
          </w:p>
        </w:tc>
        <w:tc>
          <w:tcPr>
            <w:tcW w:w="583" w:type="pct"/>
            <w:noWrap w:val="0"/>
            <w:vAlign w:val="center"/>
          </w:tcPr>
          <w:p w14:paraId="657B73D0">
            <w:pPr>
              <w:jc w:val="center"/>
              <w:rPr>
                <w:rFonts w:hint="eastAsia" w:ascii="Times New Roman" w:hAnsi="Times New Roman" w:cs="Times New Roman"/>
                <w:sz w:val="21"/>
                <w:szCs w:val="21"/>
              </w:rPr>
            </w:pPr>
            <w:r>
              <w:rPr>
                <w:rFonts w:hint="eastAsia" w:ascii="Times New Roman" w:hAnsi="Times New Roman" w:cs="Times New Roman"/>
                <w:sz w:val="21"/>
                <w:szCs w:val="21"/>
              </w:rPr>
              <w:t>袋装</w:t>
            </w:r>
          </w:p>
        </w:tc>
        <w:tc>
          <w:tcPr>
            <w:tcW w:w="689" w:type="pct"/>
            <w:noWrap w:val="0"/>
            <w:vAlign w:val="center"/>
          </w:tcPr>
          <w:p w14:paraId="3FB50D0D">
            <w:pPr>
              <w:jc w:val="center"/>
              <w:rPr>
                <w:rFonts w:hint="eastAsia" w:ascii="Times New Roman" w:hAnsi="Times New Roman" w:cs="Times New Roman"/>
                <w:sz w:val="21"/>
                <w:szCs w:val="21"/>
              </w:rPr>
            </w:pPr>
            <w:r>
              <w:rPr>
                <w:rFonts w:hint="eastAsia" w:ascii="Times New Roman" w:hAnsi="Times New Roman" w:cs="Times New Roman"/>
                <w:sz w:val="21"/>
                <w:szCs w:val="21"/>
              </w:rPr>
              <w:t>辅料库</w:t>
            </w:r>
          </w:p>
        </w:tc>
        <w:tc>
          <w:tcPr>
            <w:tcW w:w="490" w:type="pct"/>
            <w:noWrap w:val="0"/>
            <w:vAlign w:val="center"/>
          </w:tcPr>
          <w:p w14:paraId="0B7B58A6">
            <w:pPr>
              <w:jc w:val="center"/>
              <w:rPr>
                <w:rFonts w:hint="eastAsia" w:ascii="Times New Roman" w:hAnsi="Times New Roman" w:cs="Times New Roman"/>
                <w:sz w:val="21"/>
                <w:szCs w:val="21"/>
              </w:rPr>
            </w:pPr>
            <w:r>
              <w:rPr>
                <w:rFonts w:hint="eastAsia" w:ascii="Times New Roman" w:hAnsi="Times New Roman" w:cs="Times New Roman"/>
                <w:sz w:val="21"/>
                <w:szCs w:val="21"/>
              </w:rPr>
              <w:t>外购</w:t>
            </w:r>
          </w:p>
        </w:tc>
      </w:tr>
      <w:tr w14:paraId="3D0B7716">
        <w:tblPrEx>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22" w:type="pct"/>
            <w:noWrap w:val="0"/>
            <w:vAlign w:val="center"/>
          </w:tcPr>
          <w:p w14:paraId="53506BA6">
            <w:pPr>
              <w:jc w:val="center"/>
              <w:rPr>
                <w:rFonts w:hint="eastAsia" w:ascii="Times New Roman" w:hAnsi="Times New Roman" w:eastAsia="宋体" w:cs="Times New Roman"/>
                <w:sz w:val="21"/>
                <w:szCs w:val="21"/>
                <w:lang w:val="en-US" w:eastAsia="zh-CN"/>
              </w:rPr>
            </w:pPr>
            <w:r>
              <w:rPr>
                <w:rFonts w:hint="eastAsia" w:ascii="Times New Roman" w:hAnsi="Times New Roman" w:cs="Times New Roman"/>
                <w:sz w:val="21"/>
                <w:szCs w:val="21"/>
                <w:lang w:val="en-US" w:eastAsia="zh-CN"/>
              </w:rPr>
              <w:t>膨胀土</w:t>
            </w:r>
          </w:p>
        </w:tc>
        <w:tc>
          <w:tcPr>
            <w:tcW w:w="645" w:type="pct"/>
            <w:noWrap w:val="0"/>
            <w:vAlign w:val="center"/>
          </w:tcPr>
          <w:p w14:paraId="6EE171DB">
            <w:pPr>
              <w:jc w:val="center"/>
              <w:rPr>
                <w:rFonts w:hint="default" w:ascii="Times New Roman" w:hAnsi="Times New Roman" w:eastAsia="宋体" w:cs="Times New Roman"/>
                <w:sz w:val="21"/>
                <w:szCs w:val="21"/>
                <w:lang w:val="en-US" w:eastAsia="zh-CN"/>
              </w:rPr>
            </w:pPr>
            <w:r>
              <w:rPr>
                <w:rFonts w:hint="eastAsia" w:ascii="Times New Roman" w:hAnsi="Times New Roman" w:cs="Times New Roman"/>
                <w:sz w:val="21"/>
                <w:szCs w:val="21"/>
                <w:lang w:val="en-US" w:eastAsia="zh-CN"/>
              </w:rPr>
              <w:t>1860</w:t>
            </w:r>
          </w:p>
        </w:tc>
        <w:tc>
          <w:tcPr>
            <w:tcW w:w="650" w:type="pct"/>
            <w:noWrap w:val="0"/>
            <w:vAlign w:val="center"/>
          </w:tcPr>
          <w:p w14:paraId="3227310D">
            <w:pPr>
              <w:jc w:val="center"/>
              <w:rPr>
                <w:rFonts w:hint="default" w:ascii="Times New Roman" w:hAnsi="Times New Roman" w:eastAsia="宋体" w:cs="Times New Roman"/>
                <w:sz w:val="21"/>
                <w:szCs w:val="21"/>
                <w:lang w:val="en-US" w:eastAsia="zh-CN"/>
              </w:rPr>
            </w:pPr>
            <w:r>
              <w:rPr>
                <w:rFonts w:hint="eastAsia" w:ascii="Times New Roman" w:hAnsi="Times New Roman" w:cs="Times New Roman"/>
                <w:sz w:val="21"/>
                <w:szCs w:val="21"/>
                <w:lang w:val="en-US" w:eastAsia="zh-CN"/>
              </w:rPr>
              <w:t>0.013</w:t>
            </w:r>
          </w:p>
        </w:tc>
        <w:tc>
          <w:tcPr>
            <w:tcW w:w="1318" w:type="pct"/>
            <w:noWrap w:val="0"/>
            <w:vAlign w:val="center"/>
          </w:tcPr>
          <w:p w14:paraId="64B59F7C">
            <w:pPr>
              <w:jc w:val="center"/>
              <w:rPr>
                <w:rFonts w:ascii="Times New Roman" w:hAnsi="Times New Roman" w:cs="Times New Roman"/>
                <w:sz w:val="21"/>
                <w:szCs w:val="21"/>
              </w:rPr>
            </w:pPr>
            <w:r>
              <w:rPr>
                <w:rFonts w:hint="eastAsia" w:ascii="Times New Roman" w:hAnsi="Times New Roman" w:cs="Times New Roman"/>
                <w:sz w:val="21"/>
                <w:szCs w:val="21"/>
              </w:rPr>
              <w:t>吸蓝量24-32 g/100g，膨胀容&gt;45 ml/15g，胶质价&gt;450 ml/15g，吸水倍300，细度(-200目)&gt;98%</w:t>
            </w:r>
          </w:p>
        </w:tc>
        <w:tc>
          <w:tcPr>
            <w:tcW w:w="583" w:type="pct"/>
            <w:noWrap w:val="0"/>
            <w:vAlign w:val="center"/>
          </w:tcPr>
          <w:p w14:paraId="22D99016">
            <w:pPr>
              <w:jc w:val="center"/>
              <w:rPr>
                <w:rFonts w:hint="eastAsia" w:ascii="Times New Roman" w:hAnsi="Times New Roman" w:cs="Times New Roman"/>
                <w:sz w:val="21"/>
                <w:szCs w:val="21"/>
              </w:rPr>
            </w:pPr>
            <w:r>
              <w:rPr>
                <w:rFonts w:hint="eastAsia" w:ascii="Times New Roman" w:hAnsi="Times New Roman" w:cs="Times New Roman"/>
                <w:sz w:val="21"/>
                <w:szCs w:val="21"/>
              </w:rPr>
              <w:t>袋装</w:t>
            </w:r>
          </w:p>
        </w:tc>
        <w:tc>
          <w:tcPr>
            <w:tcW w:w="689" w:type="pct"/>
            <w:noWrap w:val="0"/>
            <w:vAlign w:val="center"/>
          </w:tcPr>
          <w:p w14:paraId="7DCDDC27">
            <w:pPr>
              <w:jc w:val="center"/>
              <w:rPr>
                <w:rFonts w:hint="eastAsia" w:ascii="Times New Roman" w:hAnsi="Times New Roman" w:cs="Times New Roman"/>
                <w:sz w:val="21"/>
                <w:szCs w:val="21"/>
              </w:rPr>
            </w:pPr>
            <w:r>
              <w:rPr>
                <w:rFonts w:hint="eastAsia" w:ascii="Times New Roman" w:hAnsi="Times New Roman" w:cs="Times New Roman"/>
                <w:sz w:val="21"/>
                <w:szCs w:val="21"/>
              </w:rPr>
              <w:t>辅料库</w:t>
            </w:r>
          </w:p>
        </w:tc>
        <w:tc>
          <w:tcPr>
            <w:tcW w:w="490" w:type="pct"/>
            <w:noWrap w:val="0"/>
            <w:vAlign w:val="center"/>
          </w:tcPr>
          <w:p w14:paraId="7F5464DA">
            <w:pPr>
              <w:jc w:val="center"/>
              <w:rPr>
                <w:rFonts w:hint="eastAsia" w:ascii="Times New Roman" w:hAnsi="Times New Roman" w:cs="Times New Roman"/>
                <w:sz w:val="21"/>
                <w:szCs w:val="21"/>
              </w:rPr>
            </w:pPr>
            <w:r>
              <w:rPr>
                <w:rFonts w:hint="eastAsia" w:ascii="Times New Roman" w:hAnsi="Times New Roman" w:cs="Times New Roman"/>
                <w:sz w:val="21"/>
                <w:szCs w:val="21"/>
              </w:rPr>
              <w:t>外购</w:t>
            </w:r>
          </w:p>
        </w:tc>
      </w:tr>
      <w:tr w14:paraId="41E3F533">
        <w:tblPrEx>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000" w:type="pct"/>
            <w:gridSpan w:val="7"/>
            <w:noWrap w:val="0"/>
            <w:vAlign w:val="center"/>
          </w:tcPr>
          <w:p w14:paraId="1B880076">
            <w:pPr>
              <w:jc w:val="center"/>
              <w:rPr>
                <w:rFonts w:hint="eastAsia" w:ascii="Times New Roman" w:hAnsi="Times New Roman" w:eastAsia="宋体" w:cs="Times New Roman"/>
                <w:sz w:val="21"/>
                <w:szCs w:val="21"/>
                <w:lang w:val="en-US" w:eastAsia="zh-CN"/>
              </w:rPr>
            </w:pPr>
            <w:r>
              <w:rPr>
                <w:rFonts w:hint="eastAsia" w:ascii="Times New Roman" w:hAnsi="Times New Roman" w:cs="Times New Roman"/>
                <w:sz w:val="21"/>
                <w:szCs w:val="21"/>
                <w:lang w:val="en-US" w:eastAsia="zh-CN"/>
              </w:rPr>
              <w:t>石灰窑</w:t>
            </w:r>
          </w:p>
        </w:tc>
      </w:tr>
      <w:tr w14:paraId="2044527F">
        <w:tblPrEx>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22" w:type="pct"/>
            <w:noWrap w:val="0"/>
            <w:vAlign w:val="center"/>
          </w:tcPr>
          <w:p w14:paraId="49983355">
            <w:pPr>
              <w:jc w:val="center"/>
              <w:rPr>
                <w:rFonts w:hint="eastAsia" w:ascii="Times New Roman" w:hAnsi="Times New Roman" w:eastAsia="宋体" w:cs="Times New Roman"/>
                <w:sz w:val="21"/>
                <w:szCs w:val="21"/>
                <w:lang w:val="en-US" w:eastAsia="zh-CN"/>
              </w:rPr>
            </w:pPr>
            <w:r>
              <w:rPr>
                <w:rFonts w:hint="eastAsia" w:ascii="Times New Roman" w:hAnsi="Times New Roman" w:cs="Times New Roman"/>
                <w:sz w:val="21"/>
                <w:szCs w:val="21"/>
                <w:lang w:val="en-US" w:eastAsia="zh-CN"/>
              </w:rPr>
              <w:t>石灰石</w:t>
            </w:r>
          </w:p>
        </w:tc>
        <w:tc>
          <w:tcPr>
            <w:tcW w:w="645" w:type="pct"/>
            <w:noWrap w:val="0"/>
            <w:vAlign w:val="center"/>
          </w:tcPr>
          <w:p w14:paraId="2416E22B">
            <w:pPr>
              <w:jc w:val="center"/>
              <w:rPr>
                <w:rFonts w:hint="default" w:ascii="Times New Roman" w:hAnsi="Times New Roman" w:eastAsia="宋体" w:cs="Times New Roman"/>
                <w:sz w:val="21"/>
                <w:szCs w:val="21"/>
                <w:lang w:val="en-US" w:eastAsia="zh-CN"/>
              </w:rPr>
            </w:pPr>
            <w:r>
              <w:rPr>
                <w:rFonts w:hint="eastAsia" w:ascii="Times New Roman" w:hAnsi="Times New Roman" w:cs="Times New Roman"/>
                <w:sz w:val="21"/>
                <w:szCs w:val="21"/>
                <w:lang w:val="en-US" w:eastAsia="zh-CN"/>
              </w:rPr>
              <w:t>47160</w:t>
            </w:r>
          </w:p>
        </w:tc>
        <w:tc>
          <w:tcPr>
            <w:tcW w:w="650" w:type="pct"/>
            <w:noWrap w:val="0"/>
            <w:vAlign w:val="center"/>
          </w:tcPr>
          <w:p w14:paraId="5DB9C2E5">
            <w:pPr>
              <w:jc w:val="center"/>
              <w:rPr>
                <w:rFonts w:hint="default" w:ascii="Times New Roman" w:hAnsi="Times New Roman" w:eastAsia="宋体" w:cs="Times New Roman"/>
                <w:sz w:val="21"/>
                <w:szCs w:val="21"/>
                <w:lang w:val="en-US" w:eastAsia="zh-CN"/>
              </w:rPr>
            </w:pPr>
            <w:r>
              <w:rPr>
                <w:rFonts w:hint="eastAsia" w:ascii="Times New Roman" w:hAnsi="Times New Roman" w:cs="Times New Roman"/>
                <w:sz w:val="21"/>
                <w:szCs w:val="21"/>
                <w:lang w:val="en-US" w:eastAsia="zh-CN"/>
              </w:rPr>
              <w:t>1.048</w:t>
            </w:r>
          </w:p>
        </w:tc>
        <w:tc>
          <w:tcPr>
            <w:tcW w:w="1318" w:type="pct"/>
            <w:noWrap w:val="0"/>
            <w:vAlign w:val="center"/>
          </w:tcPr>
          <w:p w14:paraId="677AC8BE">
            <w:pPr>
              <w:jc w:val="center"/>
              <w:rPr>
                <w:rFonts w:hint="default" w:ascii="Times New Roman" w:hAnsi="Times New Roman" w:eastAsia="宋体" w:cs="Times New Roman"/>
                <w:sz w:val="21"/>
                <w:szCs w:val="21"/>
                <w:lang w:val="en-US" w:eastAsia="zh-CN"/>
              </w:rPr>
            </w:pPr>
            <w:r>
              <w:rPr>
                <w:rFonts w:hint="eastAsia" w:ascii="Times New Roman" w:hAnsi="Times New Roman" w:cs="Times New Roman"/>
                <w:sz w:val="21"/>
                <w:szCs w:val="21"/>
                <w:lang w:val="en-US" w:eastAsia="zh-CN"/>
              </w:rPr>
              <w:t>CaO+MgO≥90%</w:t>
            </w:r>
          </w:p>
        </w:tc>
        <w:tc>
          <w:tcPr>
            <w:tcW w:w="583" w:type="pct"/>
            <w:noWrap w:val="0"/>
            <w:vAlign w:val="center"/>
          </w:tcPr>
          <w:p w14:paraId="43B44FFE">
            <w:pPr>
              <w:jc w:val="center"/>
              <w:rPr>
                <w:rFonts w:hint="eastAsia" w:ascii="Times New Roman" w:hAnsi="Times New Roman" w:cs="Times New Roman"/>
                <w:sz w:val="21"/>
                <w:szCs w:val="21"/>
              </w:rPr>
            </w:pPr>
            <w:r>
              <w:rPr>
                <w:rFonts w:hint="eastAsia" w:ascii="Times New Roman" w:hAnsi="Times New Roman" w:cs="Times New Roman"/>
                <w:sz w:val="21"/>
                <w:szCs w:val="21"/>
              </w:rPr>
              <w:t>袋装</w:t>
            </w:r>
          </w:p>
        </w:tc>
        <w:tc>
          <w:tcPr>
            <w:tcW w:w="689" w:type="pct"/>
            <w:noWrap w:val="0"/>
            <w:vAlign w:val="center"/>
          </w:tcPr>
          <w:p w14:paraId="4D536EA7">
            <w:pPr>
              <w:jc w:val="center"/>
              <w:rPr>
                <w:rFonts w:hint="eastAsia" w:ascii="Times New Roman" w:hAnsi="Times New Roman" w:cs="Times New Roman"/>
                <w:sz w:val="21"/>
                <w:szCs w:val="21"/>
              </w:rPr>
            </w:pPr>
            <w:r>
              <w:rPr>
                <w:rFonts w:hint="eastAsia" w:ascii="Times New Roman" w:hAnsi="Times New Roman" w:cs="Times New Roman"/>
                <w:sz w:val="21"/>
                <w:szCs w:val="21"/>
              </w:rPr>
              <w:t>辅料库</w:t>
            </w:r>
          </w:p>
        </w:tc>
        <w:tc>
          <w:tcPr>
            <w:tcW w:w="490" w:type="pct"/>
            <w:noWrap w:val="0"/>
            <w:vAlign w:val="center"/>
          </w:tcPr>
          <w:p w14:paraId="53AC24F7">
            <w:pPr>
              <w:jc w:val="center"/>
              <w:rPr>
                <w:rFonts w:hint="eastAsia" w:ascii="Times New Roman" w:hAnsi="Times New Roman" w:cs="Times New Roman"/>
                <w:sz w:val="21"/>
                <w:szCs w:val="21"/>
              </w:rPr>
            </w:pPr>
            <w:r>
              <w:rPr>
                <w:rFonts w:hint="eastAsia" w:ascii="Times New Roman" w:hAnsi="Times New Roman" w:cs="Times New Roman"/>
                <w:sz w:val="21"/>
                <w:szCs w:val="21"/>
              </w:rPr>
              <w:t>外购</w:t>
            </w:r>
          </w:p>
        </w:tc>
      </w:tr>
      <w:tr w14:paraId="607131A7">
        <w:tblPrEx>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000" w:type="pct"/>
            <w:gridSpan w:val="7"/>
            <w:noWrap w:val="0"/>
            <w:vAlign w:val="center"/>
          </w:tcPr>
          <w:p w14:paraId="0445857D">
            <w:pPr>
              <w:jc w:val="center"/>
              <w:rPr>
                <w:rFonts w:hint="eastAsia" w:ascii="Times New Roman" w:hAnsi="Times New Roman" w:eastAsia="宋体" w:cs="Times New Roman"/>
                <w:sz w:val="21"/>
                <w:szCs w:val="21"/>
                <w:lang w:val="en-US" w:eastAsia="zh-CN"/>
              </w:rPr>
            </w:pPr>
            <w:r>
              <w:rPr>
                <w:rFonts w:hint="eastAsia" w:ascii="Times New Roman" w:hAnsi="Times New Roman" w:cs="Times New Roman"/>
                <w:sz w:val="21"/>
                <w:szCs w:val="21"/>
                <w:lang w:val="en-US" w:eastAsia="zh-CN"/>
              </w:rPr>
              <w:t xml:space="preserve"> 能源</w:t>
            </w:r>
          </w:p>
        </w:tc>
      </w:tr>
      <w:tr w14:paraId="2385089F">
        <w:tblPrEx>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22" w:type="pct"/>
            <w:noWrap w:val="0"/>
            <w:vAlign w:val="center"/>
          </w:tcPr>
          <w:p w14:paraId="5A544AE4">
            <w:pPr>
              <w:jc w:val="center"/>
              <w:rPr>
                <w:rFonts w:hint="eastAsia" w:ascii="Times New Roman" w:hAnsi="Times New Roman" w:cs="Times New Roman"/>
                <w:sz w:val="21"/>
                <w:szCs w:val="21"/>
              </w:rPr>
            </w:pPr>
            <w:r>
              <w:rPr>
                <w:rFonts w:hint="eastAsia" w:ascii="Times New Roman" w:hAnsi="Times New Roman" w:cs="Times New Roman"/>
                <w:sz w:val="21"/>
                <w:szCs w:val="21"/>
              </w:rPr>
              <w:t>新鲜水</w:t>
            </w:r>
          </w:p>
        </w:tc>
        <w:tc>
          <w:tcPr>
            <w:tcW w:w="645" w:type="pct"/>
            <w:noWrap w:val="0"/>
            <w:vAlign w:val="center"/>
          </w:tcPr>
          <w:p w14:paraId="7AB30CEA">
            <w:pPr>
              <w:jc w:val="center"/>
              <w:rPr>
                <w:rFonts w:hint="eastAsia" w:ascii="Times New Roman" w:hAnsi="Times New Roman" w:cs="Times New Roman"/>
                <w:sz w:val="21"/>
                <w:szCs w:val="21"/>
              </w:rPr>
            </w:pPr>
            <w:r>
              <w:rPr>
                <w:rFonts w:hint="eastAsia" w:ascii="Times New Roman" w:hAnsi="Times New Roman" w:cs="Times New Roman"/>
                <w:sz w:val="21"/>
                <w:szCs w:val="21"/>
                <w:lang w:val="en-US" w:eastAsia="zh-CN"/>
              </w:rPr>
              <w:t>70.88万</w:t>
            </w:r>
            <w:r>
              <w:rPr>
                <w:rFonts w:hint="eastAsia" w:ascii="Times New Roman" w:hAnsi="Times New Roman" w:cs="Times New Roman"/>
                <w:sz w:val="21"/>
                <w:szCs w:val="21"/>
              </w:rPr>
              <w:t>m</w:t>
            </w:r>
            <w:r>
              <w:rPr>
                <w:rFonts w:hint="eastAsia" w:ascii="Times New Roman" w:hAnsi="Times New Roman" w:cs="Times New Roman"/>
                <w:sz w:val="21"/>
                <w:szCs w:val="21"/>
                <w:vertAlign w:val="superscript"/>
              </w:rPr>
              <w:t>3</w:t>
            </w:r>
          </w:p>
        </w:tc>
        <w:tc>
          <w:tcPr>
            <w:tcW w:w="650" w:type="pct"/>
            <w:noWrap w:val="0"/>
            <w:vAlign w:val="center"/>
          </w:tcPr>
          <w:p w14:paraId="7801C1BC">
            <w:pPr>
              <w:jc w:val="center"/>
              <w:rPr>
                <w:rFonts w:hint="eastAsia" w:ascii="Times New Roman" w:hAnsi="Times New Roman" w:eastAsia="宋体" w:cs="Times New Roman"/>
                <w:sz w:val="21"/>
                <w:szCs w:val="21"/>
                <w:lang w:eastAsia="zh-CN"/>
              </w:rPr>
            </w:pPr>
            <w:r>
              <w:rPr>
                <w:rFonts w:hint="eastAsia" w:ascii="Times New Roman" w:hAnsi="Times New Roman" w:cs="Times New Roman"/>
                <w:sz w:val="21"/>
                <w:szCs w:val="21"/>
                <w:lang w:val="en-US" w:eastAsia="zh-CN"/>
              </w:rPr>
              <w:t>/</w:t>
            </w:r>
          </w:p>
        </w:tc>
        <w:tc>
          <w:tcPr>
            <w:tcW w:w="1318" w:type="pct"/>
            <w:noWrap w:val="0"/>
            <w:vAlign w:val="center"/>
          </w:tcPr>
          <w:p w14:paraId="552EF2B9">
            <w:pPr>
              <w:jc w:val="center"/>
              <w:rPr>
                <w:rFonts w:ascii="Times New Roman" w:hAnsi="Times New Roman" w:cs="Times New Roman"/>
                <w:sz w:val="21"/>
                <w:szCs w:val="21"/>
              </w:rPr>
            </w:pPr>
            <w:r>
              <w:rPr>
                <w:rFonts w:ascii="Times New Roman" w:hAnsi="Times New Roman" w:cs="Times New Roman"/>
                <w:sz w:val="21"/>
                <w:szCs w:val="21"/>
              </w:rPr>
              <w:t>--</w:t>
            </w:r>
          </w:p>
        </w:tc>
        <w:tc>
          <w:tcPr>
            <w:tcW w:w="583" w:type="pct"/>
            <w:noWrap w:val="0"/>
            <w:vAlign w:val="center"/>
          </w:tcPr>
          <w:p w14:paraId="7137E675">
            <w:pPr>
              <w:jc w:val="center"/>
              <w:rPr>
                <w:rFonts w:hint="eastAsia" w:ascii="Times New Roman" w:hAnsi="Times New Roman" w:cs="Times New Roman"/>
                <w:sz w:val="21"/>
                <w:szCs w:val="21"/>
              </w:rPr>
            </w:pPr>
            <w:r>
              <w:rPr>
                <w:rFonts w:hint="eastAsia" w:ascii="Times New Roman" w:hAnsi="Times New Roman" w:cs="Times New Roman"/>
                <w:sz w:val="21"/>
                <w:szCs w:val="21"/>
              </w:rPr>
              <w:t>--</w:t>
            </w:r>
          </w:p>
        </w:tc>
        <w:tc>
          <w:tcPr>
            <w:tcW w:w="689" w:type="pct"/>
            <w:noWrap w:val="0"/>
            <w:vAlign w:val="center"/>
          </w:tcPr>
          <w:p w14:paraId="3346BC05">
            <w:pPr>
              <w:jc w:val="center"/>
              <w:rPr>
                <w:rFonts w:hint="eastAsia" w:ascii="Times New Roman" w:hAnsi="Times New Roman" w:cs="Times New Roman"/>
                <w:sz w:val="21"/>
                <w:szCs w:val="21"/>
              </w:rPr>
            </w:pPr>
            <w:r>
              <w:rPr>
                <w:rFonts w:hint="eastAsia" w:ascii="Times New Roman" w:hAnsi="Times New Roman" w:cs="Times New Roman"/>
                <w:sz w:val="21"/>
                <w:szCs w:val="21"/>
              </w:rPr>
              <w:t>--</w:t>
            </w:r>
          </w:p>
        </w:tc>
        <w:tc>
          <w:tcPr>
            <w:tcW w:w="490" w:type="pct"/>
            <w:noWrap w:val="0"/>
            <w:vAlign w:val="center"/>
          </w:tcPr>
          <w:p w14:paraId="0007AA4C">
            <w:pPr>
              <w:jc w:val="center"/>
              <w:rPr>
                <w:rFonts w:hint="eastAsia" w:ascii="Times New Roman" w:hAnsi="Times New Roman" w:eastAsia="宋体" w:cs="Times New Roman"/>
                <w:sz w:val="21"/>
                <w:szCs w:val="21"/>
                <w:lang w:eastAsia="zh-CN"/>
              </w:rPr>
            </w:pPr>
            <w:r>
              <w:rPr>
                <w:rFonts w:hint="eastAsia" w:ascii="Times New Roman" w:hAnsi="Times New Roman" w:cs="Times New Roman"/>
                <w:sz w:val="21"/>
                <w:szCs w:val="21"/>
                <w:lang w:val="en-US" w:eastAsia="zh-CN"/>
              </w:rPr>
              <w:t>地下水</w:t>
            </w:r>
          </w:p>
        </w:tc>
      </w:tr>
      <w:tr w14:paraId="3A29A79B">
        <w:tblPrEx>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22" w:type="pct"/>
            <w:noWrap w:val="0"/>
            <w:vAlign w:val="center"/>
          </w:tcPr>
          <w:p w14:paraId="58353979">
            <w:pPr>
              <w:jc w:val="center"/>
              <w:rPr>
                <w:rFonts w:hint="eastAsia" w:ascii="Times New Roman" w:hAnsi="Times New Roman" w:cs="Times New Roman"/>
                <w:sz w:val="21"/>
                <w:szCs w:val="21"/>
              </w:rPr>
            </w:pPr>
            <w:r>
              <w:rPr>
                <w:rFonts w:hint="eastAsia" w:ascii="Times New Roman" w:hAnsi="Times New Roman" w:cs="Times New Roman"/>
                <w:sz w:val="21"/>
                <w:szCs w:val="21"/>
              </w:rPr>
              <w:t>电</w:t>
            </w:r>
          </w:p>
        </w:tc>
        <w:tc>
          <w:tcPr>
            <w:tcW w:w="645" w:type="pct"/>
            <w:noWrap w:val="0"/>
            <w:vAlign w:val="center"/>
          </w:tcPr>
          <w:p w14:paraId="2479E03C">
            <w:pPr>
              <w:jc w:val="center"/>
              <w:rPr>
                <w:rFonts w:hint="eastAsia" w:ascii="Times New Roman" w:hAnsi="Times New Roman" w:cs="Times New Roman"/>
                <w:sz w:val="21"/>
                <w:szCs w:val="21"/>
              </w:rPr>
            </w:pPr>
            <w:r>
              <w:rPr>
                <w:rFonts w:hint="eastAsia" w:ascii="Times New Roman" w:hAnsi="Times New Roman" w:cs="Times New Roman"/>
                <w:sz w:val="21"/>
                <w:szCs w:val="21"/>
                <w:lang w:val="en-US" w:eastAsia="zh-CN"/>
              </w:rPr>
              <w:t>2759.64</w:t>
            </w:r>
            <w:r>
              <w:rPr>
                <w:rFonts w:hint="eastAsia" w:ascii="Times New Roman" w:hAnsi="Times New Roman" w:cs="Times New Roman"/>
                <w:sz w:val="21"/>
                <w:szCs w:val="21"/>
              </w:rPr>
              <w:t>万kw</w:t>
            </w:r>
            <w:r>
              <w:rPr>
                <w:rFonts w:hint="eastAsia" w:ascii="Times New Roman" w:hAnsi="Times New Roman" w:cs="Times New Roman"/>
                <w:sz w:val="18"/>
                <w:szCs w:val="18"/>
              </w:rPr>
              <w:sym w:font="Wingdings" w:char="F0A0"/>
            </w:r>
            <w:r>
              <w:rPr>
                <w:rFonts w:hint="eastAsia" w:ascii="Times New Roman" w:hAnsi="Times New Roman" w:cs="Times New Roman"/>
                <w:sz w:val="21"/>
                <w:szCs w:val="21"/>
              </w:rPr>
              <w:t>h</w:t>
            </w:r>
          </w:p>
        </w:tc>
        <w:tc>
          <w:tcPr>
            <w:tcW w:w="650" w:type="pct"/>
            <w:noWrap w:val="0"/>
            <w:vAlign w:val="center"/>
          </w:tcPr>
          <w:p w14:paraId="79567EFC">
            <w:pPr>
              <w:jc w:val="center"/>
              <w:rPr>
                <w:rFonts w:hint="eastAsia" w:ascii="Times New Roman" w:hAnsi="Times New Roman" w:cs="Times New Roman"/>
                <w:sz w:val="21"/>
                <w:szCs w:val="21"/>
              </w:rPr>
            </w:pPr>
            <w:r>
              <w:rPr>
                <w:rFonts w:hint="eastAsia" w:ascii="Times New Roman" w:hAnsi="Times New Roman" w:cs="Times New Roman"/>
                <w:sz w:val="21"/>
                <w:szCs w:val="21"/>
                <w:lang w:val="en-US" w:eastAsia="zh-CN"/>
              </w:rPr>
              <w:t>/</w:t>
            </w:r>
          </w:p>
        </w:tc>
        <w:tc>
          <w:tcPr>
            <w:tcW w:w="1318" w:type="pct"/>
            <w:noWrap w:val="0"/>
            <w:vAlign w:val="center"/>
          </w:tcPr>
          <w:p w14:paraId="2D3A9F63">
            <w:pPr>
              <w:jc w:val="center"/>
              <w:rPr>
                <w:rFonts w:ascii="Times New Roman" w:hAnsi="Times New Roman" w:cs="Times New Roman"/>
                <w:sz w:val="21"/>
                <w:szCs w:val="21"/>
              </w:rPr>
            </w:pPr>
            <w:r>
              <w:rPr>
                <w:rFonts w:ascii="Times New Roman" w:hAnsi="Times New Roman" w:cs="Times New Roman"/>
                <w:sz w:val="21"/>
                <w:szCs w:val="21"/>
              </w:rPr>
              <w:t>--</w:t>
            </w:r>
          </w:p>
        </w:tc>
        <w:tc>
          <w:tcPr>
            <w:tcW w:w="583" w:type="pct"/>
            <w:noWrap w:val="0"/>
            <w:vAlign w:val="center"/>
          </w:tcPr>
          <w:p w14:paraId="1B884F04">
            <w:pPr>
              <w:jc w:val="center"/>
              <w:rPr>
                <w:rFonts w:hint="eastAsia" w:ascii="Times New Roman" w:hAnsi="Times New Roman" w:cs="Times New Roman"/>
                <w:sz w:val="21"/>
                <w:szCs w:val="21"/>
              </w:rPr>
            </w:pPr>
            <w:r>
              <w:rPr>
                <w:rFonts w:hint="eastAsia" w:ascii="Times New Roman" w:hAnsi="Times New Roman" w:cs="Times New Roman"/>
                <w:sz w:val="21"/>
                <w:szCs w:val="21"/>
              </w:rPr>
              <w:t>--</w:t>
            </w:r>
          </w:p>
        </w:tc>
        <w:tc>
          <w:tcPr>
            <w:tcW w:w="689" w:type="pct"/>
            <w:noWrap w:val="0"/>
            <w:vAlign w:val="center"/>
          </w:tcPr>
          <w:p w14:paraId="669DF280">
            <w:pPr>
              <w:jc w:val="center"/>
              <w:rPr>
                <w:rFonts w:hint="eastAsia" w:ascii="Times New Roman" w:hAnsi="Times New Roman" w:cs="Times New Roman"/>
                <w:sz w:val="21"/>
                <w:szCs w:val="21"/>
              </w:rPr>
            </w:pPr>
            <w:r>
              <w:rPr>
                <w:rFonts w:hint="eastAsia" w:ascii="Times New Roman" w:hAnsi="Times New Roman" w:cs="Times New Roman"/>
                <w:sz w:val="21"/>
                <w:szCs w:val="21"/>
              </w:rPr>
              <w:t>--</w:t>
            </w:r>
          </w:p>
        </w:tc>
        <w:tc>
          <w:tcPr>
            <w:tcW w:w="490" w:type="pct"/>
            <w:noWrap w:val="0"/>
            <w:vAlign w:val="center"/>
          </w:tcPr>
          <w:p w14:paraId="7593E251">
            <w:pPr>
              <w:jc w:val="center"/>
              <w:rPr>
                <w:rFonts w:ascii="Times New Roman" w:hAnsi="Times New Roman" w:cs="Times New Roman"/>
                <w:sz w:val="21"/>
                <w:szCs w:val="21"/>
              </w:rPr>
            </w:pPr>
            <w:r>
              <w:rPr>
                <w:rFonts w:hint="eastAsia" w:ascii="Times New Roman" w:hAnsi="Times New Roman" w:cs="Times New Roman"/>
                <w:sz w:val="21"/>
                <w:szCs w:val="21"/>
              </w:rPr>
              <w:t>国家电网</w:t>
            </w:r>
          </w:p>
        </w:tc>
      </w:tr>
    </w:tbl>
    <w:p w14:paraId="48879E16">
      <w:pPr>
        <w:pStyle w:val="7"/>
        <w:rPr>
          <w:rFonts w:hint="eastAsia"/>
        </w:rPr>
      </w:pPr>
    </w:p>
    <w:p w14:paraId="3C38BD0D">
      <w:pPr>
        <w:pStyle w:val="7"/>
      </w:pPr>
      <w:bookmarkStart w:id="208" w:name="_Toc22867"/>
      <w:r>
        <w:rPr>
          <w:rFonts w:hint="eastAsia"/>
        </w:rPr>
        <w:t>2</w:t>
      </w:r>
      <w:r>
        <w:t>.</w:t>
      </w:r>
      <w:r>
        <w:rPr>
          <w:rFonts w:hint="eastAsia"/>
          <w:lang w:val="en-US" w:eastAsia="zh-CN"/>
        </w:rPr>
        <w:t>3</w:t>
      </w:r>
      <w:r>
        <w:t>.</w:t>
      </w:r>
      <w:r>
        <w:rPr>
          <w:rFonts w:hint="eastAsia"/>
        </w:rPr>
        <w:t>2</w:t>
      </w:r>
      <w:r>
        <w:t xml:space="preserve"> </w:t>
      </w:r>
      <w:r>
        <w:rPr>
          <w:rFonts w:hint="eastAsia"/>
        </w:rPr>
        <w:t>原辅材料性质及运输方式</w:t>
      </w:r>
      <w:bookmarkEnd w:id="207"/>
      <w:bookmarkEnd w:id="208"/>
    </w:p>
    <w:p w14:paraId="2D28A65B">
      <w:pPr>
        <w:spacing w:line="360" w:lineRule="auto"/>
        <w:ind w:right="6" w:firstLine="482" w:firstLineChars="200"/>
        <w:jc w:val="both"/>
        <w:rPr>
          <w:rFonts w:hint="eastAsia" w:ascii="Times New Roman" w:hAnsi="Times New Roman" w:eastAsia="宋体" w:cs="Times New Roman"/>
          <w:b/>
          <w:bCs/>
        </w:rPr>
      </w:pPr>
      <w:r>
        <w:rPr>
          <w:rFonts w:hint="eastAsia" w:ascii="Times New Roman" w:hAnsi="Times New Roman" w:eastAsia="宋体" w:cs="Times New Roman"/>
          <w:b/>
          <w:bCs/>
        </w:rPr>
        <w:t>① 铁精矿</w:t>
      </w:r>
    </w:p>
    <w:p w14:paraId="1C98D11D">
      <w:pPr>
        <w:spacing w:line="360" w:lineRule="auto"/>
        <w:ind w:right="6" w:firstLine="480" w:firstLineChars="200"/>
        <w:jc w:val="both"/>
        <w:rPr>
          <w:rFonts w:hint="eastAsia" w:ascii="Times New Roman" w:hAnsi="Times New Roman" w:eastAsia="宋体" w:cs="Times New Roman"/>
        </w:rPr>
      </w:pPr>
      <w:r>
        <w:rPr>
          <w:rFonts w:hint="eastAsia" w:ascii="Times New Roman" w:hAnsi="Times New Roman" w:eastAsia="宋体" w:cs="Times New Roman"/>
        </w:rPr>
        <w:t>铁精矿的含铁量高，在60%以上，且含铁量的波动应小于±0.5%。水分低于12%，以确保良好的存储、运输和混匀性能，以及高效造球。粒度方面，用于生产球团矿的铁精矿中，小于0.074mm的粒级占70%以上，以促进有效的球团形成，比表面积应在1200～2000cm2 /g，有利于提高球团的质量和强度。硫、磷、铅、砷、锌、铜等有害元素的含量低，要求s≤0.10%～0.19%，P≤0.05%～0.09%，Pb≤0.1%，As≤0.04%～0.07%，Zn≤0.1%～0.2%，Cu≤0.1%～0.2%。</w:t>
      </w:r>
    </w:p>
    <w:p w14:paraId="5889F615">
      <w:pPr>
        <w:spacing w:line="360" w:lineRule="auto"/>
        <w:ind w:right="6" w:firstLine="482" w:firstLineChars="200"/>
        <w:jc w:val="both"/>
        <w:rPr>
          <w:rFonts w:hint="eastAsia" w:ascii="Times New Roman" w:hAnsi="Times New Roman" w:eastAsia="宋体" w:cs="Times New Roman"/>
          <w:b/>
          <w:bCs/>
        </w:rPr>
      </w:pPr>
      <w:r>
        <w:rPr>
          <w:rFonts w:hint="eastAsia" w:ascii="Times New Roman" w:hAnsi="Times New Roman" w:eastAsia="宋体" w:cs="Times New Roman"/>
          <w:b/>
          <w:bCs/>
        </w:rPr>
        <w:t>② 生石灰</w:t>
      </w:r>
    </w:p>
    <w:p w14:paraId="542A3551">
      <w:pPr>
        <w:spacing w:line="360" w:lineRule="auto"/>
        <w:ind w:right="6" w:firstLine="480" w:firstLineChars="200"/>
        <w:jc w:val="both"/>
        <w:rPr>
          <w:rFonts w:hint="eastAsia" w:ascii="Times New Roman" w:hAnsi="Times New Roman" w:eastAsia="宋体" w:cs="Times New Roman"/>
        </w:rPr>
      </w:pPr>
      <w:r>
        <w:rPr>
          <w:rFonts w:hint="eastAsia" w:ascii="Times New Roman" w:hAnsi="Times New Roman" w:eastAsia="宋体" w:cs="Times New Roman"/>
        </w:rPr>
        <w:t>氧化钙为碱性氧化物，对湿敏感。易从空气中吸收二氧化碳及水分。与水反应生成氢氧化钙（Ca(OH)</w:t>
      </w:r>
      <w:r>
        <w:rPr>
          <w:rFonts w:hint="eastAsia" w:ascii="Times New Roman" w:hAnsi="Times New Roman" w:eastAsia="宋体" w:cs="Times New Roman"/>
          <w:vertAlign w:val="subscript"/>
        </w:rPr>
        <w:t>2</w:t>
      </w:r>
      <w:r>
        <w:rPr>
          <w:rFonts w:hint="eastAsia" w:ascii="Times New Roman" w:hAnsi="Times New Roman" w:eastAsia="宋体" w:cs="Times New Roman"/>
        </w:rPr>
        <w:t>）并产生大量热，有腐蚀性。生石灰具有粒度细,分散度大,比表面积大,粘性强等特点,烧结中使用生石灰可以强化造球,使造好的球在水分高时也不失去松散性和透气性,其二,能提高小球强度及热稳定性,因为生石灰中的胶体结构持有水分能力强,水分蒸发时不猛烈,所以球的热稳定性好。其三,消化 后生成的Ca(OH)</w:t>
      </w:r>
      <w:r>
        <w:rPr>
          <w:rFonts w:hint="eastAsia" w:ascii="Times New Roman" w:hAnsi="Times New Roman" w:eastAsia="宋体" w:cs="Times New Roman"/>
          <w:vertAlign w:val="subscript"/>
        </w:rPr>
        <w:t>2</w:t>
      </w:r>
      <w:r>
        <w:rPr>
          <w:rFonts w:hint="eastAsia" w:ascii="Times New Roman" w:hAnsi="Times New Roman" w:eastAsia="宋体" w:cs="Times New Roman"/>
        </w:rPr>
        <w:t>颗粒比石灰石颗粒更容易生成熔点低流动性好的液相。其四,生石灰消化时放出热量,可以提高混合料温度。</w:t>
      </w:r>
    </w:p>
    <w:p w14:paraId="0195586E">
      <w:pPr>
        <w:spacing w:line="360" w:lineRule="auto"/>
        <w:ind w:right="6" w:firstLine="480" w:firstLineChars="200"/>
        <w:jc w:val="both"/>
        <w:rPr>
          <w:rFonts w:hint="eastAsia" w:ascii="Times New Roman" w:hAnsi="Times New Roman" w:eastAsia="宋体" w:cs="Times New Roman"/>
        </w:rPr>
      </w:pPr>
      <w:r>
        <w:rPr>
          <w:rFonts w:hint="eastAsia" w:ascii="Times New Roman" w:hAnsi="Times New Roman" w:eastAsia="宋体" w:cs="Times New Roman"/>
        </w:rPr>
        <w:t>本项目</w:t>
      </w:r>
      <w:r>
        <w:rPr>
          <w:rFonts w:ascii="Times New Roman" w:hAnsi="Times New Roman" w:eastAsia="宋体" w:cs="Times New Roman"/>
        </w:rPr>
        <w:t>所需</w:t>
      </w:r>
      <w:r>
        <w:rPr>
          <w:rFonts w:hint="eastAsia" w:ascii="Times New Roman" w:hAnsi="Times New Roman" w:eastAsia="宋体" w:cs="Times New Roman"/>
        </w:rPr>
        <w:t>活性石灰均为</w:t>
      </w:r>
      <w:r>
        <w:rPr>
          <w:rFonts w:ascii="Times New Roman" w:hAnsi="Times New Roman" w:eastAsia="宋体" w:cs="Times New Roman"/>
        </w:rPr>
        <w:t>外购，</w:t>
      </w:r>
      <w:r>
        <w:rPr>
          <w:rFonts w:hint="eastAsia" w:ascii="Times New Roman" w:hAnsi="Times New Roman" w:eastAsia="宋体" w:cs="Times New Roman"/>
        </w:rPr>
        <w:t>通过车辆运输至辅料库。</w:t>
      </w:r>
    </w:p>
    <w:p w14:paraId="5FF01353">
      <w:pPr>
        <w:spacing w:line="360" w:lineRule="auto"/>
        <w:ind w:right="6" w:firstLine="480" w:firstLineChars="200"/>
        <w:jc w:val="both"/>
        <w:rPr>
          <w:rFonts w:hint="eastAsia" w:ascii="Times New Roman" w:hAnsi="Times New Roman" w:eastAsia="宋体" w:cs="Times New Roman"/>
        </w:rPr>
      </w:pPr>
      <w:r>
        <w:rPr>
          <w:rFonts w:hint="eastAsia" w:ascii="Times New Roman" w:hAnsi="Times New Roman" w:eastAsia="宋体" w:cs="Times New Roman"/>
        </w:rPr>
        <w:t>③ 焦粉</w:t>
      </w:r>
    </w:p>
    <w:p w14:paraId="4D9D27B6">
      <w:pPr>
        <w:spacing w:line="360" w:lineRule="auto"/>
        <w:ind w:right="6" w:firstLine="480" w:firstLineChars="200"/>
        <w:jc w:val="both"/>
        <w:rPr>
          <w:rFonts w:hint="eastAsia" w:ascii="Times New Roman" w:hAnsi="Times New Roman" w:eastAsia="宋体" w:cs="Times New Roman"/>
        </w:rPr>
      </w:pPr>
      <w:r>
        <w:rPr>
          <w:rFonts w:ascii="Times New Roman" w:hAnsi="Times New Roman" w:eastAsia="宋体" w:cs="Times New Roman"/>
        </w:rPr>
        <w:t>焦粉在烧结过程中起着至关重要的作用。首先，焦粉是一种优质的燃料，能够提供烧结反应所需的热量。在精粉减量的情况下，焦粉的加入可以弥补因精粉减少而导致的热量不足，确保烧结反应能够顺利进行。其次，焦粉的加入还可以改善烧结矿的还原性，提高烧结矿的质量</w:t>
      </w:r>
      <w:r>
        <w:rPr>
          <w:rFonts w:hint="eastAsia" w:ascii="Times New Roman" w:hAnsi="Times New Roman" w:eastAsia="宋体" w:cs="Times New Roman"/>
        </w:rPr>
        <w:t>。</w:t>
      </w:r>
    </w:p>
    <w:p w14:paraId="5910429A">
      <w:pPr>
        <w:spacing w:line="360" w:lineRule="auto"/>
        <w:ind w:right="6" w:firstLine="480" w:firstLineChars="200"/>
        <w:jc w:val="both"/>
        <w:rPr>
          <w:rFonts w:hint="eastAsia" w:ascii="Times New Roman" w:hAnsi="Times New Roman" w:eastAsia="宋体" w:cs="Times New Roman"/>
        </w:rPr>
      </w:pPr>
      <w:r>
        <w:rPr>
          <w:rFonts w:hint="eastAsia" w:ascii="Times New Roman" w:hAnsi="Times New Roman" w:eastAsia="宋体" w:cs="Times New Roman"/>
        </w:rPr>
        <w:t>④ 膨胀土</w:t>
      </w:r>
    </w:p>
    <w:p w14:paraId="46F291DE">
      <w:pPr>
        <w:spacing w:line="360" w:lineRule="auto"/>
        <w:ind w:right="6" w:firstLine="480" w:firstLineChars="200"/>
        <w:jc w:val="both"/>
        <w:rPr>
          <w:rFonts w:hint="eastAsia" w:ascii="Times New Roman" w:hAnsi="Times New Roman" w:eastAsia="宋体" w:cs="Times New Roman"/>
        </w:rPr>
      </w:pPr>
      <w:r>
        <w:rPr>
          <w:rFonts w:hint="eastAsia" w:ascii="Times New Roman" w:hAnsi="Times New Roman" w:eastAsia="宋体" w:cs="Times New Roman"/>
        </w:rPr>
        <w:t>冶金球团膨润土是铁矿球团粘结剂，具有粘结性强、高温稳定性高等特性，应用于铁精矿粉造粒工序，可降低球团矿膨润土配比并实现节能降耗。膨润土是以蒙脱石为主要矿物成分的非金属矿产，作为球团粘结剂具有粘结性强、高温稳定性高等特性。</w:t>
      </w:r>
    </w:p>
    <w:p w14:paraId="444A7470">
      <w:pPr>
        <w:spacing w:line="360" w:lineRule="auto"/>
        <w:ind w:right="6" w:firstLine="480" w:firstLineChars="200"/>
        <w:jc w:val="both"/>
        <w:rPr>
          <w:rFonts w:hint="eastAsia" w:ascii="Times New Roman" w:hAnsi="Times New Roman" w:eastAsia="宋体" w:cs="Times New Roman"/>
        </w:rPr>
      </w:pPr>
      <w:r>
        <w:rPr>
          <w:rFonts w:hint="eastAsia" w:ascii="Times New Roman" w:hAnsi="Times New Roman" w:eastAsia="宋体" w:cs="Times New Roman"/>
        </w:rPr>
        <w:t>⑤ 石灰石</w:t>
      </w:r>
    </w:p>
    <w:p w14:paraId="73F9F5A5">
      <w:pPr>
        <w:spacing w:line="360" w:lineRule="auto"/>
        <w:ind w:right="6" w:firstLine="480" w:firstLineChars="200"/>
        <w:jc w:val="both"/>
        <w:rPr>
          <w:rFonts w:hint="eastAsia" w:ascii="Times New Roman" w:hAnsi="Times New Roman" w:eastAsia="宋体" w:cs="Times New Roman"/>
        </w:rPr>
      </w:pPr>
      <w:r>
        <w:rPr>
          <w:rFonts w:hint="eastAsia" w:ascii="Times New Roman" w:hAnsi="Times New Roman" w:eastAsia="宋体" w:cs="Times New Roman"/>
        </w:rPr>
        <w:t>在炼铁过程中，石灰石作为助熔剂加入，其主要作用是去除铁矿石中的杂质。</w:t>
      </w:r>
    </w:p>
    <w:p w14:paraId="79744334">
      <w:pPr>
        <w:pStyle w:val="6"/>
        <w:spacing w:before="163"/>
      </w:pPr>
      <w:bookmarkStart w:id="209" w:name="_Toc23308"/>
      <w:bookmarkStart w:id="210" w:name="_Toc90026114"/>
      <w:r>
        <w:t>2.</w:t>
      </w:r>
      <w:r>
        <w:rPr>
          <w:rFonts w:hint="eastAsia"/>
          <w:lang w:val="en-US" w:eastAsia="zh-CN"/>
        </w:rPr>
        <w:t>4</w:t>
      </w:r>
      <w:r>
        <w:rPr>
          <w:rFonts w:hint="eastAsia"/>
        </w:rPr>
        <w:t xml:space="preserve"> 现有工程储运工程</w:t>
      </w:r>
      <w:bookmarkEnd w:id="209"/>
      <w:bookmarkEnd w:id="210"/>
    </w:p>
    <w:p w14:paraId="63D0B770">
      <w:pPr>
        <w:spacing w:line="360" w:lineRule="auto"/>
        <w:ind w:right="6" w:firstLine="480" w:firstLineChars="200"/>
        <w:jc w:val="both"/>
        <w:rPr>
          <w:rFonts w:ascii="Times New Roman" w:hAnsi="Times New Roman" w:cs="Times New Roman"/>
        </w:rPr>
      </w:pPr>
      <w:r>
        <w:rPr>
          <w:rFonts w:ascii="Times New Roman" w:hAnsi="Times New Roman" w:cs="Times New Roman"/>
        </w:rPr>
        <w:t>外部运输采用国五以上汽车，</w:t>
      </w:r>
      <w:r>
        <w:rPr>
          <w:rFonts w:hint="eastAsia" w:ascii="Times New Roman" w:hAnsi="Times New Roman" w:cs="Times New Roman"/>
        </w:rPr>
        <w:t>原料均为块状固体或吨袋包装，无散装粉料，</w:t>
      </w:r>
      <w:r>
        <w:rPr>
          <w:rFonts w:ascii="Times New Roman" w:hAnsi="Times New Roman" w:cs="Times New Roman"/>
        </w:rPr>
        <w:t>汽车</w:t>
      </w:r>
      <w:r>
        <w:rPr>
          <w:rFonts w:hint="eastAsia" w:ascii="Times New Roman" w:hAnsi="Times New Roman" w:cs="Times New Roman"/>
        </w:rPr>
        <w:t>运输</w:t>
      </w:r>
      <w:r>
        <w:rPr>
          <w:rFonts w:ascii="Times New Roman" w:hAnsi="Times New Roman" w:cs="Times New Roman"/>
        </w:rPr>
        <w:t>入厂</w:t>
      </w:r>
      <w:r>
        <w:rPr>
          <w:rFonts w:hint="eastAsia" w:ascii="Times New Roman" w:hAnsi="Times New Roman" w:cs="Times New Roman"/>
        </w:rPr>
        <w:t>后直接卸入生产车间内原料库</w:t>
      </w:r>
      <w:r>
        <w:rPr>
          <w:rFonts w:ascii="Times New Roman" w:hAnsi="Times New Roman" w:cs="Times New Roman"/>
        </w:rPr>
        <w:t>。厂内运输车辆均为国五以上，厂内道路路面硬化，并采取洒水抑尘措施。储运工程相关情况见表</w:t>
      </w:r>
      <w:r>
        <w:rPr>
          <w:rFonts w:hint="eastAsia" w:ascii="Times New Roman" w:hAnsi="Times New Roman" w:cs="Times New Roman"/>
        </w:rPr>
        <w:t>2.</w:t>
      </w:r>
      <w:r>
        <w:rPr>
          <w:rFonts w:hint="eastAsia" w:ascii="Times New Roman" w:hAnsi="Times New Roman" w:cs="Times New Roman"/>
          <w:lang w:val="en-US" w:eastAsia="zh-CN"/>
        </w:rPr>
        <w:t>4</w:t>
      </w:r>
      <w:r>
        <w:rPr>
          <w:rFonts w:hint="eastAsia" w:ascii="Times New Roman" w:hAnsi="Times New Roman" w:cs="Times New Roman"/>
        </w:rPr>
        <w:t>-1</w:t>
      </w:r>
      <w:r>
        <w:rPr>
          <w:rFonts w:ascii="Times New Roman" w:hAnsi="Times New Roman" w:cs="Times New Roman"/>
        </w:rPr>
        <w:t>。</w:t>
      </w:r>
    </w:p>
    <w:p w14:paraId="4B480F78">
      <w:pPr>
        <w:adjustRightInd w:val="0"/>
        <w:spacing w:line="360" w:lineRule="auto"/>
        <w:jc w:val="center"/>
        <w:rPr>
          <w:rFonts w:ascii="Times New Roman" w:hAnsi="Times New Roman" w:eastAsia="黑体" w:cs="Times New Roman"/>
        </w:rPr>
      </w:pPr>
      <w:r>
        <w:rPr>
          <w:rFonts w:ascii="Times New Roman" w:hAnsi="Times New Roman" w:eastAsia="黑体" w:cs="Times New Roman"/>
        </w:rPr>
        <w:t>表</w:t>
      </w:r>
      <w:r>
        <w:rPr>
          <w:rFonts w:hint="eastAsia" w:ascii="Times New Roman" w:hAnsi="Times New Roman" w:eastAsia="黑体" w:cs="Times New Roman"/>
        </w:rPr>
        <w:t>2.</w:t>
      </w:r>
      <w:r>
        <w:rPr>
          <w:rFonts w:hint="eastAsia" w:ascii="Times New Roman" w:hAnsi="Times New Roman" w:eastAsia="黑体" w:cs="Times New Roman"/>
          <w:lang w:val="en-US" w:eastAsia="zh-CN"/>
        </w:rPr>
        <w:t>4</w:t>
      </w:r>
      <w:r>
        <w:rPr>
          <w:rFonts w:hint="eastAsia" w:ascii="Times New Roman" w:hAnsi="Times New Roman" w:eastAsia="黑体" w:cs="Times New Roman"/>
        </w:rPr>
        <w:t>-1</w:t>
      </w:r>
      <w:r>
        <w:rPr>
          <w:rFonts w:ascii="Times New Roman" w:hAnsi="Times New Roman" w:eastAsia="黑体" w:cs="Times New Roman"/>
        </w:rPr>
        <w:t xml:space="preserve">  储运工程贮料情况一览表</w:t>
      </w:r>
    </w:p>
    <w:tbl>
      <w:tblPr>
        <w:tblStyle w:val="56"/>
        <w:tblW w:w="5000" w:type="pct"/>
        <w:jc w:val="center"/>
        <w:tblBorders>
          <w:top w:val="thinThickSmallGap" w:color="auto" w:sz="12" w:space="0"/>
          <w:left w:val="none" w:color="auto" w:sz="0" w:space="0"/>
          <w:bottom w:val="thickThinSmallGap" w:color="auto" w:sz="12" w:space="0"/>
          <w:right w:val="none" w:color="auto" w:sz="0" w:space="0"/>
          <w:insideH w:val="single" w:color="auto" w:sz="2" w:space="0"/>
          <w:insideV w:val="single" w:color="auto" w:sz="2" w:space="0"/>
        </w:tblBorders>
        <w:tblLayout w:type="autofit"/>
        <w:tblCellMar>
          <w:top w:w="0" w:type="dxa"/>
          <w:left w:w="108" w:type="dxa"/>
          <w:bottom w:w="0" w:type="dxa"/>
          <w:right w:w="108" w:type="dxa"/>
        </w:tblCellMar>
      </w:tblPr>
      <w:tblGrid>
        <w:gridCol w:w="1675"/>
        <w:gridCol w:w="998"/>
        <w:gridCol w:w="1231"/>
        <w:gridCol w:w="1231"/>
        <w:gridCol w:w="1233"/>
        <w:gridCol w:w="1116"/>
        <w:gridCol w:w="1236"/>
      </w:tblGrid>
      <w:tr w14:paraId="0774DB37">
        <w:tblPrEx>
          <w:tblBorders>
            <w:top w:val="thinThickSmallGap" w:color="auto" w:sz="12" w:space="0"/>
            <w:left w:val="none" w:color="auto" w:sz="0" w:space="0"/>
            <w:bottom w:val="thickThinSmallGap" w:color="auto" w:sz="12"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445" w:hRule="atLeast"/>
          <w:tblHeader/>
          <w:jc w:val="center"/>
        </w:trPr>
        <w:tc>
          <w:tcPr>
            <w:tcW w:w="960" w:type="pct"/>
            <w:shd w:val="clear" w:color="auto" w:fill="E0E0E0"/>
            <w:noWrap w:val="0"/>
            <w:vAlign w:val="center"/>
          </w:tcPr>
          <w:p w14:paraId="78883021">
            <w:pPr>
              <w:ind w:right="22"/>
              <w:jc w:val="center"/>
              <w:rPr>
                <w:rFonts w:ascii="Times New Roman" w:hAnsi="Times New Roman" w:cs="Times New Roman"/>
                <w:sz w:val="21"/>
                <w:szCs w:val="21"/>
              </w:rPr>
            </w:pPr>
            <w:bookmarkStart w:id="211" w:name="_Toc90026115"/>
            <w:r>
              <w:rPr>
                <w:rFonts w:ascii="Times New Roman" w:hAnsi="Times New Roman" w:cs="Times New Roman"/>
                <w:sz w:val="21"/>
                <w:szCs w:val="21"/>
              </w:rPr>
              <w:t>储运工程</w:t>
            </w:r>
          </w:p>
          <w:p w14:paraId="4EE56061">
            <w:pPr>
              <w:ind w:right="22"/>
              <w:jc w:val="center"/>
              <w:rPr>
                <w:rFonts w:ascii="Times New Roman" w:hAnsi="Times New Roman" w:cs="Times New Roman"/>
                <w:sz w:val="21"/>
                <w:szCs w:val="21"/>
              </w:rPr>
            </w:pPr>
            <w:r>
              <w:rPr>
                <w:rFonts w:ascii="Times New Roman" w:hAnsi="Times New Roman" w:cs="Times New Roman"/>
                <w:sz w:val="21"/>
                <w:szCs w:val="21"/>
              </w:rPr>
              <w:t>名称</w:t>
            </w:r>
          </w:p>
        </w:tc>
        <w:tc>
          <w:tcPr>
            <w:tcW w:w="572" w:type="pct"/>
            <w:shd w:val="clear" w:color="auto" w:fill="E0E0E0"/>
            <w:noWrap w:val="0"/>
            <w:vAlign w:val="center"/>
          </w:tcPr>
          <w:p w14:paraId="3BE0E14B">
            <w:pPr>
              <w:ind w:right="22"/>
              <w:jc w:val="center"/>
              <w:rPr>
                <w:rFonts w:ascii="Times New Roman" w:hAnsi="Times New Roman" w:cs="Times New Roman"/>
                <w:sz w:val="21"/>
                <w:szCs w:val="21"/>
              </w:rPr>
            </w:pPr>
            <w:r>
              <w:rPr>
                <w:rFonts w:ascii="Times New Roman" w:hAnsi="Times New Roman" w:cs="Times New Roman"/>
                <w:sz w:val="21"/>
                <w:szCs w:val="21"/>
              </w:rPr>
              <w:t>储存面积（m</w:t>
            </w:r>
            <w:r>
              <w:rPr>
                <w:rFonts w:ascii="Times New Roman" w:hAnsi="Times New Roman" w:cs="Times New Roman"/>
                <w:sz w:val="21"/>
                <w:szCs w:val="21"/>
                <w:vertAlign w:val="superscript"/>
              </w:rPr>
              <w:t>2</w:t>
            </w:r>
            <w:r>
              <w:rPr>
                <w:rFonts w:ascii="Times New Roman" w:hAnsi="Times New Roman" w:cs="Times New Roman"/>
                <w:sz w:val="21"/>
                <w:szCs w:val="21"/>
              </w:rPr>
              <w:t>）</w:t>
            </w:r>
          </w:p>
        </w:tc>
        <w:tc>
          <w:tcPr>
            <w:tcW w:w="705" w:type="pct"/>
            <w:shd w:val="clear" w:color="auto" w:fill="E0E0E0"/>
            <w:noWrap w:val="0"/>
            <w:vAlign w:val="center"/>
          </w:tcPr>
          <w:p w14:paraId="68DA239D">
            <w:pPr>
              <w:ind w:right="22"/>
              <w:jc w:val="center"/>
              <w:rPr>
                <w:rFonts w:ascii="Times New Roman" w:hAnsi="Times New Roman" w:cs="Times New Roman"/>
                <w:sz w:val="21"/>
                <w:szCs w:val="21"/>
              </w:rPr>
            </w:pPr>
            <w:r>
              <w:rPr>
                <w:rFonts w:ascii="Times New Roman" w:hAnsi="Times New Roman" w:cs="Times New Roman"/>
                <w:sz w:val="21"/>
                <w:szCs w:val="21"/>
              </w:rPr>
              <w:t>物料名称</w:t>
            </w:r>
          </w:p>
        </w:tc>
        <w:tc>
          <w:tcPr>
            <w:tcW w:w="705" w:type="pct"/>
            <w:shd w:val="clear" w:color="auto" w:fill="E0E0E0"/>
            <w:noWrap w:val="0"/>
            <w:vAlign w:val="center"/>
          </w:tcPr>
          <w:p w14:paraId="6DFAEAF6">
            <w:pPr>
              <w:ind w:right="22"/>
              <w:jc w:val="center"/>
              <w:rPr>
                <w:rFonts w:ascii="Times New Roman" w:hAnsi="Times New Roman" w:cs="Times New Roman"/>
                <w:sz w:val="21"/>
                <w:szCs w:val="21"/>
              </w:rPr>
            </w:pPr>
            <w:r>
              <w:rPr>
                <w:rFonts w:ascii="Times New Roman" w:hAnsi="Times New Roman" w:cs="Times New Roman"/>
                <w:sz w:val="21"/>
                <w:szCs w:val="21"/>
              </w:rPr>
              <w:t>储存形式</w:t>
            </w:r>
          </w:p>
        </w:tc>
        <w:tc>
          <w:tcPr>
            <w:tcW w:w="706" w:type="pct"/>
            <w:shd w:val="clear" w:color="auto" w:fill="E0E0E0"/>
            <w:noWrap w:val="0"/>
            <w:vAlign w:val="center"/>
          </w:tcPr>
          <w:p w14:paraId="5518D263">
            <w:pPr>
              <w:ind w:right="22"/>
              <w:jc w:val="center"/>
              <w:rPr>
                <w:rFonts w:ascii="Times New Roman" w:hAnsi="Times New Roman" w:cs="Times New Roman"/>
                <w:sz w:val="21"/>
                <w:szCs w:val="21"/>
              </w:rPr>
            </w:pPr>
            <w:r>
              <w:rPr>
                <w:rFonts w:ascii="Times New Roman" w:hAnsi="Times New Roman" w:cs="Times New Roman"/>
                <w:sz w:val="21"/>
                <w:szCs w:val="21"/>
              </w:rPr>
              <w:t>年用量（t/a）</w:t>
            </w:r>
          </w:p>
        </w:tc>
        <w:tc>
          <w:tcPr>
            <w:tcW w:w="639" w:type="pct"/>
            <w:shd w:val="clear" w:color="auto" w:fill="E0E0E0"/>
            <w:noWrap w:val="0"/>
            <w:vAlign w:val="center"/>
          </w:tcPr>
          <w:p w14:paraId="7E76E195">
            <w:pPr>
              <w:ind w:right="22"/>
              <w:jc w:val="center"/>
              <w:rPr>
                <w:rFonts w:ascii="Times New Roman" w:hAnsi="Times New Roman" w:cs="Times New Roman"/>
                <w:sz w:val="21"/>
                <w:szCs w:val="21"/>
              </w:rPr>
            </w:pPr>
            <w:r>
              <w:rPr>
                <w:rFonts w:ascii="Times New Roman" w:hAnsi="Times New Roman" w:cs="Times New Roman"/>
                <w:sz w:val="21"/>
                <w:szCs w:val="21"/>
              </w:rPr>
              <w:t>日用量（t/d）</w:t>
            </w:r>
          </w:p>
        </w:tc>
        <w:tc>
          <w:tcPr>
            <w:tcW w:w="708" w:type="pct"/>
            <w:shd w:val="clear" w:color="auto" w:fill="E0E0E0"/>
            <w:noWrap w:val="0"/>
            <w:vAlign w:val="center"/>
          </w:tcPr>
          <w:p w14:paraId="7E7E7ADC">
            <w:pPr>
              <w:ind w:right="22"/>
              <w:jc w:val="center"/>
              <w:rPr>
                <w:rFonts w:ascii="Times New Roman" w:hAnsi="Times New Roman" w:cs="Times New Roman"/>
                <w:sz w:val="21"/>
                <w:szCs w:val="21"/>
              </w:rPr>
            </w:pPr>
            <w:r>
              <w:rPr>
                <w:rFonts w:ascii="Times New Roman" w:hAnsi="Times New Roman" w:cs="Times New Roman"/>
                <w:sz w:val="21"/>
                <w:szCs w:val="21"/>
              </w:rPr>
              <w:t>储存天数</w:t>
            </w:r>
          </w:p>
          <w:p w14:paraId="64C96791">
            <w:pPr>
              <w:ind w:right="22"/>
              <w:jc w:val="center"/>
              <w:rPr>
                <w:rFonts w:ascii="Times New Roman" w:hAnsi="Times New Roman" w:cs="Times New Roman"/>
                <w:sz w:val="21"/>
                <w:szCs w:val="21"/>
              </w:rPr>
            </w:pPr>
            <w:r>
              <w:rPr>
                <w:rFonts w:ascii="Times New Roman" w:hAnsi="Times New Roman" w:cs="Times New Roman"/>
                <w:sz w:val="21"/>
                <w:szCs w:val="21"/>
              </w:rPr>
              <w:t>（d）</w:t>
            </w:r>
          </w:p>
        </w:tc>
      </w:tr>
      <w:tr w14:paraId="2F6EF92D">
        <w:tblPrEx>
          <w:tblBorders>
            <w:top w:val="thinThickSmallGap" w:color="auto" w:sz="12" w:space="0"/>
            <w:left w:val="none" w:color="auto" w:sz="0" w:space="0"/>
            <w:bottom w:val="thickThinSmallGap" w:color="auto" w:sz="12"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88" w:hRule="atLeast"/>
          <w:jc w:val="center"/>
        </w:trPr>
        <w:tc>
          <w:tcPr>
            <w:tcW w:w="960" w:type="pct"/>
            <w:vMerge w:val="restart"/>
            <w:noWrap w:val="0"/>
            <w:vAlign w:val="center"/>
          </w:tcPr>
          <w:p w14:paraId="08782571">
            <w:pPr>
              <w:ind w:right="22"/>
              <w:jc w:val="center"/>
              <w:rPr>
                <w:rFonts w:hint="eastAsia" w:ascii="Times New Roman" w:hAnsi="Times New Roman" w:cs="Times New Roman"/>
                <w:sz w:val="21"/>
                <w:szCs w:val="21"/>
              </w:rPr>
            </w:pPr>
            <w:r>
              <w:rPr>
                <w:rFonts w:hint="eastAsia" w:ascii="Times New Roman" w:hAnsi="Times New Roman" w:cs="Times New Roman"/>
                <w:sz w:val="21"/>
                <w:szCs w:val="21"/>
              </w:rPr>
              <w:t>辅料库</w:t>
            </w:r>
          </w:p>
        </w:tc>
        <w:tc>
          <w:tcPr>
            <w:tcW w:w="572" w:type="pct"/>
            <w:vMerge w:val="restart"/>
            <w:noWrap w:val="0"/>
            <w:vAlign w:val="center"/>
          </w:tcPr>
          <w:p w14:paraId="6FF2F1F2">
            <w:pPr>
              <w:ind w:right="22"/>
              <w:jc w:val="center"/>
              <w:rPr>
                <w:rFonts w:ascii="Times New Roman" w:hAnsi="Times New Roman" w:cs="Times New Roman"/>
                <w:sz w:val="21"/>
                <w:szCs w:val="21"/>
              </w:rPr>
            </w:pPr>
          </w:p>
        </w:tc>
        <w:tc>
          <w:tcPr>
            <w:tcW w:w="705" w:type="pct"/>
            <w:shd w:val="clear" w:color="auto" w:fill="auto"/>
            <w:noWrap w:val="0"/>
            <w:vAlign w:val="center"/>
          </w:tcPr>
          <w:p w14:paraId="1FA2F40C">
            <w:pPr>
              <w:jc w:val="center"/>
              <w:rPr>
                <w:rFonts w:hint="eastAsia" w:ascii="Times New Roman" w:hAnsi="Times New Roman" w:eastAsia="宋体" w:cs="Times New Roman"/>
                <w:sz w:val="21"/>
                <w:szCs w:val="18"/>
                <w:lang w:val="en-US" w:eastAsia="zh-CN" w:bidi="ar-SA"/>
              </w:rPr>
            </w:pPr>
            <w:r>
              <w:rPr>
                <w:rFonts w:hint="eastAsia" w:ascii="Times New Roman" w:hAnsi="Times New Roman" w:cs="Times New Roman"/>
                <w:sz w:val="21"/>
                <w:szCs w:val="18"/>
                <w:lang w:val="en-US" w:eastAsia="zh-CN"/>
              </w:rPr>
              <w:t>铁精矿</w:t>
            </w:r>
          </w:p>
        </w:tc>
        <w:tc>
          <w:tcPr>
            <w:tcW w:w="705" w:type="pct"/>
            <w:noWrap w:val="0"/>
            <w:vAlign w:val="center"/>
          </w:tcPr>
          <w:p w14:paraId="75639B5E">
            <w:pPr>
              <w:jc w:val="center"/>
              <w:rPr>
                <w:rFonts w:hint="eastAsia" w:ascii="Times New Roman" w:hAnsi="Times New Roman" w:cs="Times New Roman"/>
                <w:sz w:val="21"/>
                <w:szCs w:val="21"/>
              </w:rPr>
            </w:pPr>
            <w:r>
              <w:rPr>
                <w:rFonts w:hint="eastAsia" w:ascii="Times New Roman" w:hAnsi="Times New Roman" w:cs="Times New Roman"/>
                <w:sz w:val="21"/>
                <w:szCs w:val="21"/>
              </w:rPr>
              <w:t>袋装</w:t>
            </w:r>
          </w:p>
        </w:tc>
        <w:tc>
          <w:tcPr>
            <w:tcW w:w="706" w:type="pct"/>
            <w:shd w:val="clear" w:color="auto" w:fill="auto"/>
            <w:noWrap w:val="0"/>
            <w:vAlign w:val="center"/>
          </w:tcPr>
          <w:p w14:paraId="1581778E">
            <w:pPr>
              <w:jc w:val="center"/>
              <w:rPr>
                <w:rFonts w:hint="default" w:ascii="Times New Roman" w:hAnsi="Times New Roman" w:eastAsia="宋体" w:cs="Times New Roman"/>
                <w:sz w:val="21"/>
                <w:szCs w:val="21"/>
                <w:lang w:val="en-US" w:eastAsia="zh-CN" w:bidi="ar-SA"/>
              </w:rPr>
            </w:pPr>
            <w:r>
              <w:rPr>
                <w:rFonts w:hint="eastAsia" w:ascii="Times New Roman" w:hAnsi="Times New Roman" w:cs="Times New Roman"/>
                <w:sz w:val="21"/>
                <w:szCs w:val="21"/>
                <w:lang w:val="en-US" w:eastAsia="zh-CN"/>
              </w:rPr>
              <w:t>415510</w:t>
            </w:r>
          </w:p>
        </w:tc>
        <w:tc>
          <w:tcPr>
            <w:tcW w:w="639" w:type="pct"/>
            <w:noWrap w:val="0"/>
            <w:vAlign w:val="center"/>
          </w:tcPr>
          <w:p w14:paraId="77F80AE0">
            <w:pPr>
              <w:ind w:right="22" w:rightChars="0"/>
              <w:jc w:val="center"/>
              <w:rPr>
                <w:rFonts w:hint="default" w:ascii="Times New Roman" w:hAnsi="Times New Roman" w:eastAsia="宋体" w:cs="Times New Roman"/>
                <w:sz w:val="21"/>
                <w:szCs w:val="21"/>
                <w:lang w:val="en-US" w:eastAsia="zh-CN"/>
              </w:rPr>
            </w:pPr>
            <w:r>
              <w:rPr>
                <w:rFonts w:hint="eastAsia" w:ascii="Times New Roman" w:hAnsi="Times New Roman" w:cs="Times New Roman"/>
                <w:sz w:val="21"/>
                <w:szCs w:val="21"/>
                <w:lang w:val="en-US" w:eastAsia="zh-CN"/>
              </w:rPr>
              <w:t>1260</w:t>
            </w:r>
          </w:p>
        </w:tc>
        <w:tc>
          <w:tcPr>
            <w:tcW w:w="708" w:type="pct"/>
            <w:noWrap w:val="0"/>
            <w:vAlign w:val="center"/>
          </w:tcPr>
          <w:p w14:paraId="4FB22CFF">
            <w:pPr>
              <w:ind w:right="22"/>
              <w:jc w:val="center"/>
              <w:rPr>
                <w:rFonts w:ascii="Times New Roman" w:hAnsi="Times New Roman" w:cs="Times New Roman"/>
                <w:sz w:val="21"/>
                <w:szCs w:val="21"/>
              </w:rPr>
            </w:pPr>
            <w:r>
              <w:rPr>
                <w:rFonts w:hint="eastAsia" w:ascii="Times New Roman" w:hAnsi="Times New Roman" w:cs="Times New Roman"/>
                <w:sz w:val="21"/>
                <w:szCs w:val="21"/>
              </w:rPr>
              <w:t>30</w:t>
            </w:r>
          </w:p>
        </w:tc>
      </w:tr>
      <w:tr w14:paraId="4C462110">
        <w:tblPrEx>
          <w:tblBorders>
            <w:top w:val="thinThickSmallGap" w:color="auto" w:sz="12" w:space="0"/>
            <w:left w:val="none" w:color="auto" w:sz="0" w:space="0"/>
            <w:bottom w:val="thickThinSmallGap" w:color="auto" w:sz="12"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88" w:hRule="atLeast"/>
          <w:jc w:val="center"/>
        </w:trPr>
        <w:tc>
          <w:tcPr>
            <w:tcW w:w="960" w:type="pct"/>
            <w:vMerge w:val="continue"/>
            <w:noWrap w:val="0"/>
            <w:vAlign w:val="center"/>
          </w:tcPr>
          <w:p w14:paraId="3813CD7A">
            <w:pPr>
              <w:ind w:right="22"/>
              <w:jc w:val="center"/>
              <w:rPr>
                <w:rFonts w:hint="eastAsia" w:ascii="Times New Roman" w:hAnsi="Times New Roman" w:cs="Times New Roman"/>
                <w:sz w:val="21"/>
                <w:szCs w:val="21"/>
              </w:rPr>
            </w:pPr>
          </w:p>
        </w:tc>
        <w:tc>
          <w:tcPr>
            <w:tcW w:w="572" w:type="pct"/>
            <w:vMerge w:val="continue"/>
            <w:noWrap w:val="0"/>
            <w:vAlign w:val="center"/>
          </w:tcPr>
          <w:p w14:paraId="6F264E8F">
            <w:pPr>
              <w:ind w:right="22"/>
              <w:jc w:val="center"/>
              <w:rPr>
                <w:rFonts w:ascii="Times New Roman" w:hAnsi="Times New Roman" w:cs="Times New Roman"/>
                <w:sz w:val="21"/>
                <w:szCs w:val="21"/>
              </w:rPr>
            </w:pPr>
          </w:p>
        </w:tc>
        <w:tc>
          <w:tcPr>
            <w:tcW w:w="705" w:type="pct"/>
            <w:shd w:val="clear" w:color="auto" w:fill="auto"/>
            <w:noWrap w:val="0"/>
            <w:vAlign w:val="center"/>
          </w:tcPr>
          <w:p w14:paraId="4E1129AD">
            <w:pPr>
              <w:jc w:val="center"/>
              <w:rPr>
                <w:rFonts w:hint="eastAsia" w:ascii="Times New Roman" w:hAnsi="Times New Roman" w:eastAsia="宋体" w:cs="Times New Roman"/>
                <w:sz w:val="21"/>
                <w:szCs w:val="21"/>
                <w:lang w:val="en-US" w:eastAsia="zh-CN" w:bidi="ar-SA"/>
              </w:rPr>
            </w:pPr>
            <w:r>
              <w:rPr>
                <w:rFonts w:hint="eastAsia" w:ascii="Times New Roman" w:hAnsi="Times New Roman" w:cs="Times New Roman"/>
                <w:sz w:val="21"/>
                <w:szCs w:val="21"/>
                <w:lang w:val="en-US" w:eastAsia="zh-CN"/>
              </w:rPr>
              <w:t>生石灰</w:t>
            </w:r>
          </w:p>
        </w:tc>
        <w:tc>
          <w:tcPr>
            <w:tcW w:w="705" w:type="pct"/>
            <w:noWrap w:val="0"/>
            <w:vAlign w:val="center"/>
          </w:tcPr>
          <w:p w14:paraId="362BAA70">
            <w:pPr>
              <w:jc w:val="center"/>
              <w:rPr>
                <w:rFonts w:hint="eastAsia" w:ascii="Times New Roman" w:hAnsi="Times New Roman" w:cs="Times New Roman"/>
                <w:sz w:val="21"/>
                <w:szCs w:val="21"/>
              </w:rPr>
            </w:pPr>
            <w:r>
              <w:rPr>
                <w:rFonts w:hint="eastAsia" w:ascii="Times New Roman" w:hAnsi="Times New Roman" w:cs="Times New Roman"/>
                <w:sz w:val="21"/>
                <w:szCs w:val="21"/>
              </w:rPr>
              <w:t>袋装</w:t>
            </w:r>
          </w:p>
        </w:tc>
        <w:tc>
          <w:tcPr>
            <w:tcW w:w="706" w:type="pct"/>
            <w:shd w:val="clear" w:color="auto" w:fill="auto"/>
            <w:noWrap w:val="0"/>
            <w:vAlign w:val="center"/>
          </w:tcPr>
          <w:p w14:paraId="53BD27FD">
            <w:pPr>
              <w:jc w:val="center"/>
              <w:rPr>
                <w:rFonts w:hint="default" w:ascii="Times New Roman" w:hAnsi="Times New Roman" w:eastAsia="宋体" w:cs="Times New Roman"/>
                <w:sz w:val="21"/>
                <w:szCs w:val="21"/>
                <w:lang w:val="en-US" w:eastAsia="zh-CN" w:bidi="ar-SA"/>
              </w:rPr>
            </w:pPr>
            <w:r>
              <w:rPr>
                <w:rFonts w:hint="eastAsia" w:ascii="Times New Roman" w:hAnsi="Times New Roman" w:cs="Times New Roman"/>
                <w:sz w:val="21"/>
                <w:szCs w:val="21"/>
                <w:lang w:val="en-US" w:eastAsia="zh-CN"/>
              </w:rPr>
              <w:t>47160</w:t>
            </w:r>
          </w:p>
        </w:tc>
        <w:tc>
          <w:tcPr>
            <w:tcW w:w="639" w:type="pct"/>
            <w:noWrap w:val="0"/>
            <w:vAlign w:val="center"/>
          </w:tcPr>
          <w:p w14:paraId="56565971">
            <w:pPr>
              <w:ind w:right="22" w:rightChars="0"/>
              <w:jc w:val="center"/>
              <w:rPr>
                <w:rFonts w:hint="default" w:ascii="Times New Roman" w:hAnsi="Times New Roman" w:eastAsia="宋体" w:cs="Times New Roman"/>
                <w:sz w:val="21"/>
                <w:szCs w:val="21"/>
                <w:lang w:val="en-US" w:eastAsia="zh-CN"/>
              </w:rPr>
            </w:pPr>
            <w:r>
              <w:rPr>
                <w:rFonts w:hint="eastAsia" w:ascii="Times New Roman" w:hAnsi="Times New Roman" w:cs="Times New Roman"/>
                <w:sz w:val="21"/>
                <w:szCs w:val="21"/>
                <w:lang w:val="en-US" w:eastAsia="zh-CN"/>
              </w:rPr>
              <w:t>143</w:t>
            </w:r>
          </w:p>
        </w:tc>
        <w:tc>
          <w:tcPr>
            <w:tcW w:w="708" w:type="pct"/>
            <w:noWrap w:val="0"/>
            <w:vAlign w:val="center"/>
          </w:tcPr>
          <w:p w14:paraId="1254FB10">
            <w:pPr>
              <w:ind w:right="22"/>
              <w:jc w:val="center"/>
              <w:rPr>
                <w:rFonts w:ascii="Times New Roman" w:hAnsi="Times New Roman" w:cs="Times New Roman"/>
                <w:sz w:val="21"/>
                <w:szCs w:val="21"/>
              </w:rPr>
            </w:pPr>
            <w:r>
              <w:rPr>
                <w:rFonts w:hint="eastAsia" w:ascii="Times New Roman" w:hAnsi="Times New Roman" w:cs="Times New Roman"/>
                <w:sz w:val="21"/>
                <w:szCs w:val="21"/>
              </w:rPr>
              <w:t>30</w:t>
            </w:r>
          </w:p>
        </w:tc>
      </w:tr>
      <w:tr w14:paraId="59B06BC4">
        <w:tblPrEx>
          <w:tblBorders>
            <w:top w:val="thinThickSmallGap" w:color="auto" w:sz="12" w:space="0"/>
            <w:left w:val="none" w:color="auto" w:sz="0" w:space="0"/>
            <w:bottom w:val="thickThinSmallGap" w:color="auto" w:sz="12"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88" w:hRule="atLeast"/>
          <w:jc w:val="center"/>
        </w:trPr>
        <w:tc>
          <w:tcPr>
            <w:tcW w:w="960" w:type="pct"/>
            <w:vMerge w:val="continue"/>
            <w:noWrap w:val="0"/>
            <w:vAlign w:val="center"/>
          </w:tcPr>
          <w:p w14:paraId="288B66F1">
            <w:pPr>
              <w:ind w:right="22"/>
              <w:jc w:val="center"/>
              <w:rPr>
                <w:rFonts w:hint="eastAsia" w:ascii="Times New Roman" w:hAnsi="Times New Roman" w:cs="Times New Roman"/>
                <w:sz w:val="21"/>
                <w:szCs w:val="21"/>
              </w:rPr>
            </w:pPr>
          </w:p>
        </w:tc>
        <w:tc>
          <w:tcPr>
            <w:tcW w:w="572" w:type="pct"/>
            <w:vMerge w:val="continue"/>
            <w:noWrap w:val="0"/>
            <w:vAlign w:val="center"/>
          </w:tcPr>
          <w:p w14:paraId="610AE03F">
            <w:pPr>
              <w:ind w:right="22"/>
              <w:jc w:val="center"/>
              <w:rPr>
                <w:rFonts w:ascii="Times New Roman" w:hAnsi="Times New Roman" w:cs="Times New Roman"/>
                <w:sz w:val="21"/>
                <w:szCs w:val="21"/>
              </w:rPr>
            </w:pPr>
          </w:p>
        </w:tc>
        <w:tc>
          <w:tcPr>
            <w:tcW w:w="705" w:type="pct"/>
            <w:shd w:val="clear" w:color="auto" w:fill="auto"/>
            <w:noWrap w:val="0"/>
            <w:vAlign w:val="center"/>
          </w:tcPr>
          <w:p w14:paraId="170BCBFE">
            <w:pPr>
              <w:jc w:val="center"/>
              <w:rPr>
                <w:rFonts w:hint="eastAsia" w:ascii="Times New Roman" w:hAnsi="Times New Roman" w:eastAsia="宋体" w:cs="Times New Roman"/>
                <w:sz w:val="21"/>
                <w:szCs w:val="21"/>
                <w:lang w:val="en-US" w:eastAsia="zh-CN" w:bidi="ar-SA"/>
              </w:rPr>
            </w:pPr>
            <w:r>
              <w:rPr>
                <w:rFonts w:hint="eastAsia" w:ascii="Times New Roman" w:hAnsi="Times New Roman" w:cs="Times New Roman"/>
                <w:sz w:val="21"/>
                <w:szCs w:val="21"/>
                <w:lang w:val="en-US" w:eastAsia="zh-CN"/>
              </w:rPr>
              <w:t>煤粉</w:t>
            </w:r>
          </w:p>
        </w:tc>
        <w:tc>
          <w:tcPr>
            <w:tcW w:w="705" w:type="pct"/>
            <w:noWrap w:val="0"/>
            <w:vAlign w:val="center"/>
          </w:tcPr>
          <w:p w14:paraId="3A3DD812">
            <w:pPr>
              <w:jc w:val="center"/>
              <w:rPr>
                <w:rFonts w:hint="eastAsia" w:ascii="Times New Roman" w:hAnsi="Times New Roman" w:cs="Times New Roman"/>
                <w:sz w:val="21"/>
                <w:szCs w:val="21"/>
              </w:rPr>
            </w:pPr>
            <w:r>
              <w:rPr>
                <w:rFonts w:hint="eastAsia" w:ascii="Times New Roman" w:hAnsi="Times New Roman" w:cs="Times New Roman"/>
                <w:sz w:val="21"/>
                <w:szCs w:val="21"/>
              </w:rPr>
              <w:t>袋装</w:t>
            </w:r>
          </w:p>
        </w:tc>
        <w:tc>
          <w:tcPr>
            <w:tcW w:w="706" w:type="pct"/>
            <w:shd w:val="clear" w:color="auto" w:fill="auto"/>
            <w:noWrap w:val="0"/>
            <w:vAlign w:val="center"/>
          </w:tcPr>
          <w:p w14:paraId="01A0EBEA">
            <w:pPr>
              <w:jc w:val="center"/>
              <w:rPr>
                <w:rFonts w:hint="eastAsia" w:ascii="Times New Roman" w:hAnsi="Times New Roman" w:eastAsia="宋体" w:cs="Times New Roman"/>
                <w:sz w:val="21"/>
                <w:szCs w:val="21"/>
                <w:lang w:val="en-US" w:eastAsia="zh-CN" w:bidi="ar-SA"/>
              </w:rPr>
            </w:pPr>
            <w:r>
              <w:rPr>
                <w:rFonts w:hint="eastAsia" w:ascii="Times New Roman" w:hAnsi="Times New Roman" w:cs="Times New Roman"/>
                <w:sz w:val="21"/>
                <w:szCs w:val="21"/>
                <w:lang w:val="en-US" w:eastAsia="zh-CN"/>
              </w:rPr>
              <w:t>12750</w:t>
            </w:r>
          </w:p>
        </w:tc>
        <w:tc>
          <w:tcPr>
            <w:tcW w:w="639" w:type="pct"/>
            <w:noWrap w:val="0"/>
            <w:vAlign w:val="center"/>
          </w:tcPr>
          <w:p w14:paraId="77895FB9">
            <w:pPr>
              <w:ind w:right="22" w:rightChars="0"/>
              <w:jc w:val="center"/>
              <w:rPr>
                <w:rFonts w:hint="default" w:ascii="Times New Roman" w:hAnsi="Times New Roman" w:eastAsia="宋体" w:cs="Times New Roman"/>
                <w:sz w:val="21"/>
                <w:szCs w:val="21"/>
                <w:lang w:val="en-US" w:eastAsia="zh-CN"/>
              </w:rPr>
            </w:pPr>
            <w:r>
              <w:rPr>
                <w:rFonts w:hint="eastAsia" w:ascii="Times New Roman" w:hAnsi="Times New Roman" w:cs="Times New Roman"/>
                <w:sz w:val="21"/>
                <w:szCs w:val="21"/>
                <w:lang w:val="en-US" w:eastAsia="zh-CN"/>
              </w:rPr>
              <w:t>38.7</w:t>
            </w:r>
          </w:p>
        </w:tc>
        <w:tc>
          <w:tcPr>
            <w:tcW w:w="708" w:type="pct"/>
            <w:noWrap w:val="0"/>
            <w:vAlign w:val="center"/>
          </w:tcPr>
          <w:p w14:paraId="34CC93CE">
            <w:pPr>
              <w:ind w:right="22"/>
              <w:jc w:val="center"/>
              <w:rPr>
                <w:rFonts w:ascii="Times New Roman" w:hAnsi="Times New Roman" w:cs="Times New Roman"/>
                <w:sz w:val="21"/>
                <w:szCs w:val="21"/>
              </w:rPr>
            </w:pPr>
            <w:r>
              <w:rPr>
                <w:rFonts w:hint="eastAsia" w:ascii="Times New Roman" w:hAnsi="Times New Roman" w:cs="Times New Roman"/>
                <w:sz w:val="21"/>
                <w:szCs w:val="21"/>
              </w:rPr>
              <w:t>30</w:t>
            </w:r>
          </w:p>
        </w:tc>
      </w:tr>
      <w:tr w14:paraId="4BFD607B">
        <w:tblPrEx>
          <w:tblBorders>
            <w:top w:val="thinThickSmallGap" w:color="auto" w:sz="12" w:space="0"/>
            <w:left w:val="none" w:color="auto" w:sz="0" w:space="0"/>
            <w:bottom w:val="thickThinSmallGap" w:color="auto" w:sz="12"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88" w:hRule="atLeast"/>
          <w:jc w:val="center"/>
        </w:trPr>
        <w:tc>
          <w:tcPr>
            <w:tcW w:w="960" w:type="pct"/>
            <w:vMerge w:val="continue"/>
            <w:noWrap w:val="0"/>
            <w:vAlign w:val="center"/>
          </w:tcPr>
          <w:p w14:paraId="5EE4B198">
            <w:pPr>
              <w:ind w:right="22"/>
              <w:jc w:val="center"/>
              <w:rPr>
                <w:rFonts w:hint="eastAsia" w:ascii="Times New Roman" w:hAnsi="Times New Roman" w:cs="Times New Roman"/>
                <w:sz w:val="21"/>
                <w:szCs w:val="21"/>
              </w:rPr>
            </w:pPr>
          </w:p>
        </w:tc>
        <w:tc>
          <w:tcPr>
            <w:tcW w:w="572" w:type="pct"/>
            <w:vMerge w:val="continue"/>
            <w:noWrap w:val="0"/>
            <w:vAlign w:val="center"/>
          </w:tcPr>
          <w:p w14:paraId="11E45169">
            <w:pPr>
              <w:ind w:right="22"/>
              <w:jc w:val="center"/>
              <w:rPr>
                <w:rFonts w:ascii="Times New Roman" w:hAnsi="Times New Roman" w:cs="Times New Roman"/>
                <w:sz w:val="21"/>
                <w:szCs w:val="21"/>
              </w:rPr>
            </w:pPr>
          </w:p>
        </w:tc>
        <w:tc>
          <w:tcPr>
            <w:tcW w:w="705" w:type="pct"/>
            <w:shd w:val="clear" w:color="auto" w:fill="auto"/>
            <w:noWrap w:val="0"/>
            <w:vAlign w:val="center"/>
          </w:tcPr>
          <w:p w14:paraId="5AEA631A">
            <w:pPr>
              <w:jc w:val="center"/>
              <w:rPr>
                <w:rFonts w:hint="eastAsia" w:ascii="Times New Roman" w:hAnsi="Times New Roman" w:eastAsia="宋体" w:cs="Times New Roman"/>
                <w:sz w:val="21"/>
                <w:szCs w:val="21"/>
                <w:lang w:val="en-US" w:eastAsia="zh-CN" w:bidi="ar-SA"/>
              </w:rPr>
            </w:pPr>
            <w:r>
              <w:rPr>
                <w:rFonts w:hint="eastAsia" w:ascii="Times New Roman" w:hAnsi="Times New Roman" w:cs="Times New Roman"/>
                <w:sz w:val="21"/>
                <w:szCs w:val="21"/>
                <w:lang w:val="en-US" w:eastAsia="zh-CN"/>
              </w:rPr>
              <w:t>焦粉</w:t>
            </w:r>
          </w:p>
        </w:tc>
        <w:tc>
          <w:tcPr>
            <w:tcW w:w="705" w:type="pct"/>
            <w:noWrap w:val="0"/>
            <w:vAlign w:val="center"/>
          </w:tcPr>
          <w:p w14:paraId="3BCB6E9F">
            <w:pPr>
              <w:jc w:val="center"/>
              <w:rPr>
                <w:rFonts w:hint="eastAsia" w:ascii="Times New Roman" w:hAnsi="Times New Roman" w:cs="Times New Roman"/>
                <w:sz w:val="21"/>
                <w:szCs w:val="21"/>
              </w:rPr>
            </w:pPr>
            <w:r>
              <w:rPr>
                <w:rFonts w:hint="eastAsia" w:ascii="Times New Roman" w:hAnsi="Times New Roman" w:cs="Times New Roman"/>
                <w:sz w:val="21"/>
                <w:szCs w:val="21"/>
              </w:rPr>
              <w:t>袋装</w:t>
            </w:r>
          </w:p>
        </w:tc>
        <w:tc>
          <w:tcPr>
            <w:tcW w:w="706" w:type="pct"/>
            <w:shd w:val="clear" w:color="auto" w:fill="auto"/>
            <w:noWrap w:val="0"/>
            <w:vAlign w:val="center"/>
          </w:tcPr>
          <w:p w14:paraId="74BAB1D1">
            <w:pPr>
              <w:jc w:val="center"/>
              <w:rPr>
                <w:rFonts w:hint="eastAsia" w:ascii="Times New Roman" w:hAnsi="Times New Roman" w:eastAsia="宋体" w:cs="Times New Roman"/>
                <w:sz w:val="21"/>
                <w:szCs w:val="21"/>
                <w:lang w:val="en-US" w:eastAsia="zh-CN" w:bidi="ar-SA"/>
              </w:rPr>
            </w:pPr>
            <w:r>
              <w:rPr>
                <w:rFonts w:hint="eastAsia" w:ascii="Times New Roman" w:hAnsi="Times New Roman" w:cs="Times New Roman"/>
                <w:sz w:val="21"/>
                <w:szCs w:val="21"/>
                <w:lang w:val="en-US" w:eastAsia="zh-CN"/>
              </w:rPr>
              <w:t>5960</w:t>
            </w:r>
          </w:p>
        </w:tc>
        <w:tc>
          <w:tcPr>
            <w:tcW w:w="639" w:type="pct"/>
            <w:noWrap w:val="0"/>
            <w:vAlign w:val="center"/>
          </w:tcPr>
          <w:p w14:paraId="6E03012F">
            <w:pPr>
              <w:ind w:right="22" w:rightChars="0"/>
              <w:jc w:val="center"/>
              <w:rPr>
                <w:rFonts w:hint="default" w:ascii="Times New Roman" w:hAnsi="Times New Roman" w:eastAsia="宋体" w:cs="Times New Roman"/>
                <w:sz w:val="21"/>
                <w:szCs w:val="21"/>
                <w:lang w:val="en-US" w:eastAsia="zh-CN"/>
              </w:rPr>
            </w:pPr>
            <w:r>
              <w:rPr>
                <w:rFonts w:hint="eastAsia" w:ascii="Times New Roman" w:hAnsi="Times New Roman" w:cs="Times New Roman"/>
                <w:sz w:val="21"/>
                <w:szCs w:val="21"/>
                <w:lang w:val="en-US" w:eastAsia="zh-CN"/>
              </w:rPr>
              <w:t>18.1</w:t>
            </w:r>
          </w:p>
        </w:tc>
        <w:tc>
          <w:tcPr>
            <w:tcW w:w="708" w:type="pct"/>
            <w:noWrap w:val="0"/>
            <w:vAlign w:val="center"/>
          </w:tcPr>
          <w:p w14:paraId="4A8E3340">
            <w:pPr>
              <w:ind w:right="22"/>
              <w:jc w:val="center"/>
              <w:rPr>
                <w:rFonts w:ascii="Times New Roman" w:hAnsi="Times New Roman" w:cs="Times New Roman"/>
                <w:sz w:val="21"/>
                <w:szCs w:val="21"/>
              </w:rPr>
            </w:pPr>
            <w:r>
              <w:rPr>
                <w:rFonts w:hint="eastAsia" w:ascii="Times New Roman" w:hAnsi="Times New Roman" w:cs="Times New Roman"/>
                <w:sz w:val="21"/>
                <w:szCs w:val="21"/>
              </w:rPr>
              <w:t>30</w:t>
            </w:r>
          </w:p>
        </w:tc>
      </w:tr>
      <w:tr w14:paraId="53E88868">
        <w:tblPrEx>
          <w:tblBorders>
            <w:top w:val="thinThickSmallGap" w:color="auto" w:sz="12" w:space="0"/>
            <w:left w:val="none" w:color="auto" w:sz="0" w:space="0"/>
            <w:bottom w:val="thickThinSmallGap" w:color="auto" w:sz="12"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88" w:hRule="atLeast"/>
          <w:jc w:val="center"/>
        </w:trPr>
        <w:tc>
          <w:tcPr>
            <w:tcW w:w="960" w:type="pct"/>
            <w:vMerge w:val="continue"/>
            <w:noWrap w:val="0"/>
            <w:vAlign w:val="center"/>
          </w:tcPr>
          <w:p w14:paraId="12F4D241">
            <w:pPr>
              <w:ind w:right="22"/>
              <w:jc w:val="center"/>
              <w:rPr>
                <w:rFonts w:hint="eastAsia" w:ascii="Times New Roman" w:hAnsi="Times New Roman" w:cs="Times New Roman"/>
                <w:sz w:val="21"/>
                <w:szCs w:val="21"/>
              </w:rPr>
            </w:pPr>
          </w:p>
        </w:tc>
        <w:tc>
          <w:tcPr>
            <w:tcW w:w="572" w:type="pct"/>
            <w:vMerge w:val="continue"/>
            <w:noWrap w:val="0"/>
            <w:vAlign w:val="center"/>
          </w:tcPr>
          <w:p w14:paraId="352362A0">
            <w:pPr>
              <w:ind w:right="22"/>
              <w:jc w:val="center"/>
              <w:rPr>
                <w:rFonts w:ascii="Times New Roman" w:hAnsi="Times New Roman" w:cs="Times New Roman"/>
                <w:sz w:val="21"/>
                <w:szCs w:val="21"/>
              </w:rPr>
            </w:pPr>
          </w:p>
        </w:tc>
        <w:tc>
          <w:tcPr>
            <w:tcW w:w="705" w:type="pct"/>
            <w:noWrap w:val="0"/>
            <w:vAlign w:val="center"/>
          </w:tcPr>
          <w:p w14:paraId="5BC676AC">
            <w:pPr>
              <w:jc w:val="center"/>
              <w:rPr>
                <w:rFonts w:hint="eastAsia" w:ascii="Times New Roman" w:hAnsi="Times New Roman" w:cs="Times New Roman"/>
                <w:sz w:val="21"/>
                <w:szCs w:val="21"/>
              </w:rPr>
            </w:pPr>
            <w:r>
              <w:rPr>
                <w:rFonts w:hint="eastAsia" w:ascii="Times New Roman" w:hAnsi="Times New Roman" w:cs="Times New Roman"/>
                <w:sz w:val="21"/>
                <w:szCs w:val="21"/>
                <w:lang w:val="en-US" w:eastAsia="zh-CN"/>
              </w:rPr>
              <w:t>膨胀土</w:t>
            </w:r>
          </w:p>
        </w:tc>
        <w:tc>
          <w:tcPr>
            <w:tcW w:w="705" w:type="pct"/>
            <w:noWrap w:val="0"/>
            <w:vAlign w:val="center"/>
          </w:tcPr>
          <w:p w14:paraId="6A8DA780">
            <w:pPr>
              <w:jc w:val="center"/>
              <w:rPr>
                <w:rFonts w:hint="eastAsia" w:ascii="Times New Roman" w:hAnsi="Times New Roman" w:cs="Times New Roman"/>
                <w:sz w:val="21"/>
                <w:szCs w:val="21"/>
              </w:rPr>
            </w:pPr>
            <w:r>
              <w:rPr>
                <w:rFonts w:hint="eastAsia" w:ascii="Times New Roman" w:hAnsi="Times New Roman" w:cs="Times New Roman"/>
                <w:sz w:val="21"/>
                <w:szCs w:val="21"/>
              </w:rPr>
              <w:t>袋装</w:t>
            </w:r>
          </w:p>
        </w:tc>
        <w:tc>
          <w:tcPr>
            <w:tcW w:w="706" w:type="pct"/>
            <w:noWrap w:val="0"/>
            <w:vAlign w:val="center"/>
          </w:tcPr>
          <w:p w14:paraId="536EF777">
            <w:pPr>
              <w:jc w:val="center"/>
              <w:rPr>
                <w:rFonts w:hint="eastAsia" w:ascii="Times New Roman" w:hAnsi="Times New Roman" w:cs="Times New Roman"/>
                <w:sz w:val="21"/>
                <w:szCs w:val="21"/>
              </w:rPr>
            </w:pPr>
            <w:r>
              <w:rPr>
                <w:rFonts w:hint="eastAsia" w:ascii="Times New Roman" w:hAnsi="Times New Roman" w:cs="Times New Roman"/>
                <w:sz w:val="21"/>
                <w:szCs w:val="21"/>
              </w:rPr>
              <w:t>500</w:t>
            </w:r>
          </w:p>
        </w:tc>
        <w:tc>
          <w:tcPr>
            <w:tcW w:w="639" w:type="pct"/>
            <w:noWrap w:val="0"/>
            <w:vAlign w:val="center"/>
          </w:tcPr>
          <w:p w14:paraId="4F6961EF">
            <w:pPr>
              <w:ind w:right="22" w:rightChars="0"/>
              <w:jc w:val="center"/>
              <w:rPr>
                <w:rFonts w:hint="default" w:ascii="Times New Roman" w:hAnsi="Times New Roman" w:eastAsia="宋体" w:cs="Times New Roman"/>
                <w:sz w:val="21"/>
                <w:szCs w:val="21"/>
                <w:lang w:val="en-US" w:eastAsia="zh-CN"/>
              </w:rPr>
            </w:pPr>
            <w:r>
              <w:rPr>
                <w:rFonts w:hint="eastAsia" w:ascii="Times New Roman" w:hAnsi="Times New Roman" w:cs="Times New Roman"/>
                <w:sz w:val="21"/>
                <w:szCs w:val="21"/>
                <w:lang w:val="en-US" w:eastAsia="zh-CN"/>
              </w:rPr>
              <w:t>1.52</w:t>
            </w:r>
          </w:p>
        </w:tc>
        <w:tc>
          <w:tcPr>
            <w:tcW w:w="708" w:type="pct"/>
            <w:noWrap w:val="0"/>
            <w:vAlign w:val="center"/>
          </w:tcPr>
          <w:p w14:paraId="0A2B379D">
            <w:pPr>
              <w:ind w:right="22"/>
              <w:jc w:val="center"/>
              <w:rPr>
                <w:rFonts w:ascii="Times New Roman" w:hAnsi="Times New Roman" w:cs="Times New Roman"/>
                <w:sz w:val="21"/>
                <w:szCs w:val="21"/>
              </w:rPr>
            </w:pPr>
            <w:r>
              <w:rPr>
                <w:rFonts w:hint="eastAsia" w:ascii="Times New Roman" w:hAnsi="Times New Roman" w:cs="Times New Roman"/>
                <w:sz w:val="21"/>
                <w:szCs w:val="21"/>
              </w:rPr>
              <w:t>30</w:t>
            </w:r>
          </w:p>
        </w:tc>
      </w:tr>
      <w:tr w14:paraId="1208DD9B">
        <w:tblPrEx>
          <w:tblBorders>
            <w:top w:val="thinThickSmallGap" w:color="auto" w:sz="12" w:space="0"/>
            <w:left w:val="none" w:color="auto" w:sz="0" w:space="0"/>
            <w:bottom w:val="thickThinSmallGap" w:color="auto" w:sz="12"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88" w:hRule="atLeast"/>
          <w:jc w:val="center"/>
        </w:trPr>
        <w:tc>
          <w:tcPr>
            <w:tcW w:w="960" w:type="pct"/>
            <w:vMerge w:val="continue"/>
            <w:noWrap w:val="0"/>
            <w:vAlign w:val="center"/>
          </w:tcPr>
          <w:p w14:paraId="125A61B9">
            <w:pPr>
              <w:ind w:right="22"/>
              <w:jc w:val="center"/>
              <w:rPr>
                <w:rFonts w:hint="eastAsia" w:ascii="Times New Roman" w:hAnsi="Times New Roman" w:cs="Times New Roman"/>
                <w:sz w:val="21"/>
                <w:szCs w:val="21"/>
              </w:rPr>
            </w:pPr>
          </w:p>
        </w:tc>
        <w:tc>
          <w:tcPr>
            <w:tcW w:w="572" w:type="pct"/>
            <w:vMerge w:val="continue"/>
            <w:noWrap w:val="0"/>
            <w:vAlign w:val="center"/>
          </w:tcPr>
          <w:p w14:paraId="038A504F">
            <w:pPr>
              <w:ind w:right="22"/>
              <w:jc w:val="center"/>
              <w:rPr>
                <w:rFonts w:ascii="Times New Roman" w:hAnsi="Times New Roman" w:cs="Times New Roman"/>
                <w:sz w:val="21"/>
                <w:szCs w:val="21"/>
              </w:rPr>
            </w:pPr>
          </w:p>
        </w:tc>
        <w:tc>
          <w:tcPr>
            <w:tcW w:w="705" w:type="pct"/>
            <w:noWrap w:val="0"/>
            <w:vAlign w:val="center"/>
          </w:tcPr>
          <w:p w14:paraId="3D35C38E">
            <w:pPr>
              <w:jc w:val="center"/>
              <w:rPr>
                <w:rFonts w:hint="eastAsia" w:ascii="Times New Roman" w:hAnsi="Times New Roman" w:cs="Times New Roman"/>
                <w:sz w:val="21"/>
                <w:szCs w:val="21"/>
              </w:rPr>
            </w:pPr>
            <w:r>
              <w:rPr>
                <w:rFonts w:hint="eastAsia" w:ascii="Times New Roman" w:hAnsi="Times New Roman" w:cs="Times New Roman"/>
                <w:sz w:val="21"/>
                <w:szCs w:val="21"/>
                <w:lang w:val="en-US" w:eastAsia="zh-CN"/>
              </w:rPr>
              <w:t>石灰石</w:t>
            </w:r>
          </w:p>
        </w:tc>
        <w:tc>
          <w:tcPr>
            <w:tcW w:w="705" w:type="pct"/>
            <w:noWrap w:val="0"/>
            <w:vAlign w:val="center"/>
          </w:tcPr>
          <w:p w14:paraId="0621860D">
            <w:pPr>
              <w:jc w:val="center"/>
              <w:rPr>
                <w:rFonts w:hint="eastAsia" w:ascii="Times New Roman" w:hAnsi="Times New Roman" w:cs="Times New Roman"/>
                <w:sz w:val="21"/>
                <w:szCs w:val="21"/>
              </w:rPr>
            </w:pPr>
            <w:r>
              <w:rPr>
                <w:rFonts w:hint="eastAsia" w:ascii="Times New Roman" w:hAnsi="Times New Roman" w:cs="Times New Roman"/>
                <w:sz w:val="21"/>
                <w:szCs w:val="21"/>
              </w:rPr>
              <w:t>袋装</w:t>
            </w:r>
          </w:p>
        </w:tc>
        <w:tc>
          <w:tcPr>
            <w:tcW w:w="706" w:type="pct"/>
            <w:noWrap w:val="0"/>
            <w:vAlign w:val="center"/>
          </w:tcPr>
          <w:p w14:paraId="0369D9C2">
            <w:pPr>
              <w:jc w:val="center"/>
              <w:rPr>
                <w:rFonts w:hint="default" w:ascii="Times New Roman" w:hAnsi="Times New Roman" w:eastAsia="宋体" w:cs="Times New Roman"/>
                <w:sz w:val="21"/>
                <w:szCs w:val="21"/>
                <w:lang w:val="en-US" w:eastAsia="zh-CN"/>
              </w:rPr>
            </w:pPr>
            <w:r>
              <w:rPr>
                <w:rFonts w:hint="eastAsia" w:ascii="Times New Roman" w:hAnsi="Times New Roman" w:cs="Times New Roman"/>
                <w:sz w:val="21"/>
                <w:szCs w:val="21"/>
                <w:lang w:val="en-US" w:eastAsia="zh-CN"/>
              </w:rPr>
              <w:t>47480</w:t>
            </w:r>
          </w:p>
        </w:tc>
        <w:tc>
          <w:tcPr>
            <w:tcW w:w="639" w:type="pct"/>
            <w:noWrap w:val="0"/>
            <w:vAlign w:val="center"/>
          </w:tcPr>
          <w:p w14:paraId="19CD1342">
            <w:pPr>
              <w:ind w:right="22"/>
              <w:jc w:val="center"/>
              <w:rPr>
                <w:rFonts w:hint="default" w:ascii="Times New Roman" w:hAnsi="Times New Roman" w:eastAsia="宋体" w:cs="Times New Roman"/>
                <w:sz w:val="21"/>
                <w:szCs w:val="21"/>
                <w:lang w:val="en-US" w:eastAsia="zh-CN"/>
              </w:rPr>
            </w:pPr>
            <w:r>
              <w:rPr>
                <w:rFonts w:hint="eastAsia" w:ascii="Times New Roman" w:hAnsi="Times New Roman" w:cs="Times New Roman"/>
                <w:sz w:val="21"/>
                <w:szCs w:val="21"/>
                <w:lang w:val="en-US" w:eastAsia="zh-CN"/>
              </w:rPr>
              <w:t>144</w:t>
            </w:r>
          </w:p>
        </w:tc>
        <w:tc>
          <w:tcPr>
            <w:tcW w:w="708" w:type="pct"/>
            <w:noWrap w:val="0"/>
            <w:vAlign w:val="center"/>
          </w:tcPr>
          <w:p w14:paraId="137E801F">
            <w:pPr>
              <w:ind w:right="22"/>
              <w:jc w:val="center"/>
              <w:rPr>
                <w:rFonts w:hint="default" w:ascii="Times New Roman" w:hAnsi="Times New Roman" w:eastAsia="宋体" w:cs="Times New Roman"/>
                <w:sz w:val="21"/>
                <w:szCs w:val="21"/>
                <w:lang w:val="en-US" w:eastAsia="zh-CN"/>
              </w:rPr>
            </w:pPr>
            <w:r>
              <w:rPr>
                <w:rFonts w:hint="eastAsia" w:ascii="Times New Roman" w:hAnsi="Times New Roman" w:cs="Times New Roman"/>
                <w:sz w:val="21"/>
                <w:szCs w:val="21"/>
                <w:lang w:val="en-US" w:eastAsia="zh-CN"/>
              </w:rPr>
              <w:t>30</w:t>
            </w:r>
          </w:p>
        </w:tc>
      </w:tr>
    </w:tbl>
    <w:p w14:paraId="27EEB7B2">
      <w:pPr>
        <w:pStyle w:val="6"/>
        <w:spacing w:before="163"/>
      </w:pPr>
    </w:p>
    <w:p w14:paraId="25FFE35D">
      <w:pPr>
        <w:pStyle w:val="6"/>
        <w:spacing w:before="163"/>
      </w:pPr>
      <w:bookmarkStart w:id="212" w:name="_Toc9380"/>
      <w:r>
        <w:t>2.</w:t>
      </w:r>
      <w:r>
        <w:rPr>
          <w:rFonts w:hint="eastAsia"/>
          <w:lang w:val="en-US" w:eastAsia="zh-CN"/>
        </w:rPr>
        <w:t>5</w:t>
      </w:r>
      <w:r>
        <w:rPr>
          <w:rFonts w:hint="eastAsia"/>
        </w:rPr>
        <w:t xml:space="preserve"> 现有工程公辅工程</w:t>
      </w:r>
      <w:bookmarkEnd w:id="211"/>
      <w:bookmarkEnd w:id="212"/>
    </w:p>
    <w:p w14:paraId="6BD812F1">
      <w:pPr>
        <w:adjustRightInd w:val="0"/>
        <w:snapToGrid w:val="0"/>
        <w:spacing w:before="240" w:line="360" w:lineRule="auto"/>
        <w:ind w:firstLine="482" w:firstLineChars="200"/>
        <w:rPr>
          <w:rFonts w:ascii="Times New Roman" w:hAnsi="Times New Roman" w:cs="Times New Roman"/>
          <w:b/>
        </w:rPr>
      </w:pPr>
      <w:r>
        <w:rPr>
          <w:rFonts w:ascii="Times New Roman" w:hAnsi="Times New Roman" w:cs="Times New Roman"/>
          <w:b/>
        </w:rPr>
        <w:t>（1）给</w:t>
      </w:r>
      <w:r>
        <w:rPr>
          <w:rFonts w:hint="eastAsia" w:ascii="Times New Roman" w:hAnsi="Times New Roman" w:cs="Times New Roman"/>
          <w:b/>
          <w:lang w:val="en-US" w:eastAsia="zh-CN"/>
        </w:rPr>
        <w:t>排</w:t>
      </w:r>
      <w:r>
        <w:rPr>
          <w:rFonts w:ascii="Times New Roman" w:hAnsi="Times New Roman" w:cs="Times New Roman"/>
          <w:b/>
        </w:rPr>
        <w:t>水</w:t>
      </w:r>
    </w:p>
    <w:p w14:paraId="673B5EE1">
      <w:pPr>
        <w:pStyle w:val="310"/>
        <w:snapToGrid/>
        <w:spacing w:line="500" w:lineRule="exact"/>
        <w:jc w:val="both"/>
        <w:rPr>
          <w:lang w:eastAsia="zh-CN"/>
        </w:rPr>
      </w:pPr>
      <w:r>
        <w:rPr>
          <w:rFonts w:hint="eastAsia"/>
          <w:lang w:eastAsia="zh-CN"/>
        </w:rPr>
        <w:t>现有工程生产废水全部循环使用不外排，主要为</w:t>
      </w:r>
      <w:r>
        <w:rPr>
          <w:rFonts w:hint="eastAsia"/>
        </w:rPr>
        <w:t>设备间接冷却</w:t>
      </w:r>
      <w:r>
        <w:rPr>
          <w:rFonts w:hint="eastAsia"/>
          <w:lang w:eastAsia="zh-CN"/>
        </w:rPr>
        <w:t>净循环水，</w:t>
      </w:r>
      <w:r>
        <w:rPr>
          <w:rFonts w:hint="eastAsia"/>
        </w:rPr>
        <w:t>冷却</w:t>
      </w:r>
      <w:r>
        <w:rPr>
          <w:rFonts w:hint="eastAsia"/>
          <w:lang w:eastAsia="zh-CN"/>
        </w:rPr>
        <w:t>净循环水属于清净下水，</w:t>
      </w:r>
      <w:r>
        <w:rPr>
          <w:rFonts w:hint="eastAsia"/>
          <w:lang w:val="en-US" w:eastAsia="zh-CN"/>
        </w:rPr>
        <w:t>循环使用</w:t>
      </w:r>
      <w:r>
        <w:rPr>
          <w:rFonts w:hint="eastAsia"/>
          <w:lang w:eastAsia="zh-CN"/>
        </w:rPr>
        <w:t>，不外排。</w:t>
      </w:r>
    </w:p>
    <w:p w14:paraId="6F7DCEC5">
      <w:pPr>
        <w:spacing w:line="500" w:lineRule="exact"/>
        <w:ind w:right="6" w:firstLine="480" w:firstLineChars="200"/>
        <w:jc w:val="both"/>
        <w:rPr>
          <w:rFonts w:hint="eastAsia" w:ascii="Times New Roman" w:hAnsi="Times New Roman" w:cs="Times New Roman"/>
        </w:rPr>
      </w:pPr>
    </w:p>
    <w:p w14:paraId="13FCED2B">
      <w:pPr>
        <w:adjustRightInd w:val="0"/>
        <w:spacing w:before="100" w:beforeAutospacing="1"/>
        <w:jc w:val="center"/>
        <w:rPr>
          <w:rFonts w:ascii="Times New Roman" w:hAnsi="Times New Roman" w:eastAsia="黑体" w:cs="Times New Roman"/>
          <w:sz w:val="21"/>
          <w:szCs w:val="21"/>
        </w:rPr>
      </w:pPr>
      <w:r>
        <w:rPr>
          <w:rFonts w:ascii="Times New Roman" w:hAnsi="Times New Roman" w:eastAsia="黑体" w:cs="Times New Roman"/>
        </w:rPr>
        <w:t>表</w:t>
      </w:r>
      <w:r>
        <w:rPr>
          <w:rFonts w:ascii="Times New Roman" w:hAnsi="Times New Roman" w:cs="Times New Roman"/>
          <w:szCs w:val="18"/>
        </w:rPr>
        <w:t>2.</w:t>
      </w:r>
      <w:r>
        <w:rPr>
          <w:rFonts w:hint="eastAsia" w:ascii="Times New Roman" w:hAnsi="Times New Roman" w:cs="Times New Roman"/>
          <w:szCs w:val="18"/>
          <w:lang w:val="en-US" w:eastAsia="zh-CN"/>
        </w:rPr>
        <w:t>5</w:t>
      </w:r>
      <w:r>
        <w:rPr>
          <w:rFonts w:ascii="Times New Roman" w:hAnsi="Times New Roman" w:cs="Times New Roman"/>
          <w:szCs w:val="18"/>
        </w:rPr>
        <w:t>-1</w:t>
      </w:r>
      <w:r>
        <w:rPr>
          <w:rFonts w:ascii="Times New Roman" w:hAnsi="Times New Roman" w:eastAsia="黑体" w:cs="Times New Roman"/>
        </w:rPr>
        <w:t xml:space="preserve">  </w:t>
      </w:r>
      <w:r>
        <w:rPr>
          <w:rFonts w:hint="eastAsia" w:ascii="Times New Roman" w:hAnsi="Times New Roman" w:eastAsia="黑体" w:cs="Times New Roman"/>
        </w:rPr>
        <w:t>现有工程</w:t>
      </w:r>
      <w:r>
        <w:rPr>
          <w:rFonts w:ascii="Times New Roman" w:hAnsi="Times New Roman" w:eastAsia="黑体" w:cs="Times New Roman"/>
        </w:rPr>
        <w:t>水</w:t>
      </w:r>
      <w:r>
        <w:rPr>
          <w:rFonts w:hint="eastAsia" w:ascii="Times New Roman" w:hAnsi="Times New Roman" w:eastAsia="黑体" w:cs="Times New Roman"/>
        </w:rPr>
        <w:t>量</w:t>
      </w:r>
      <w:r>
        <w:rPr>
          <w:rFonts w:ascii="Times New Roman" w:hAnsi="Times New Roman" w:eastAsia="黑体" w:cs="Times New Roman"/>
        </w:rPr>
        <w:t xml:space="preserve">平衡分析一览表    </w:t>
      </w:r>
      <w:r>
        <w:rPr>
          <w:rFonts w:ascii="Times New Roman" w:hAnsi="Times New Roman" w:eastAsia="黑体" w:cs="Times New Roman"/>
          <w:sz w:val="21"/>
          <w:szCs w:val="21"/>
        </w:rPr>
        <w:t>单位：m</w:t>
      </w:r>
      <w:r>
        <w:rPr>
          <w:rFonts w:ascii="Times New Roman" w:hAnsi="Times New Roman" w:eastAsia="黑体" w:cs="Times New Roman"/>
          <w:sz w:val="21"/>
          <w:szCs w:val="21"/>
          <w:vertAlign w:val="superscript"/>
        </w:rPr>
        <w:t>3</w:t>
      </w:r>
      <w:r>
        <w:rPr>
          <w:rFonts w:ascii="Times New Roman" w:hAnsi="Times New Roman" w:eastAsia="黑体" w:cs="Times New Roman"/>
          <w:sz w:val="21"/>
          <w:szCs w:val="21"/>
        </w:rPr>
        <w:t>/h</w:t>
      </w:r>
    </w:p>
    <w:p w14:paraId="7AFF7CD5">
      <w:pPr>
        <w:spacing w:line="500" w:lineRule="exact"/>
        <w:ind w:right="6" w:firstLine="482" w:firstLineChars="200"/>
        <w:rPr>
          <w:rFonts w:ascii="Times New Roman" w:hAnsi="Times New Roman" w:cs="Times New Roman"/>
          <w:b/>
        </w:rPr>
      </w:pPr>
    </w:p>
    <w:p w14:paraId="16E15F79">
      <w:pPr>
        <w:spacing w:line="500" w:lineRule="exact"/>
        <w:ind w:right="6" w:firstLine="482" w:firstLineChars="200"/>
        <w:rPr>
          <w:rFonts w:ascii="Times New Roman" w:hAnsi="Times New Roman" w:cs="Times New Roman"/>
          <w:b/>
        </w:rPr>
      </w:pPr>
      <w:r>
        <w:rPr>
          <w:rFonts w:ascii="Times New Roman" w:hAnsi="Times New Roman" w:cs="Times New Roman"/>
          <w:b/>
        </w:rPr>
        <w:t>（</w:t>
      </w:r>
      <w:r>
        <w:rPr>
          <w:rFonts w:hint="eastAsia" w:ascii="Times New Roman" w:hAnsi="Times New Roman" w:cs="Times New Roman"/>
          <w:b/>
        </w:rPr>
        <w:t>3</w:t>
      </w:r>
      <w:r>
        <w:rPr>
          <w:rFonts w:ascii="Times New Roman" w:hAnsi="Times New Roman" w:cs="Times New Roman"/>
          <w:b/>
        </w:rPr>
        <w:t>）供热工程</w:t>
      </w:r>
    </w:p>
    <w:p w14:paraId="120468E9">
      <w:pPr>
        <w:spacing w:line="500" w:lineRule="exact"/>
        <w:ind w:right="6" w:firstLine="480" w:firstLineChars="200"/>
        <w:rPr>
          <w:rFonts w:ascii="Times New Roman" w:hAnsi="Times New Roman" w:cs="Times New Roman"/>
        </w:rPr>
      </w:pPr>
      <w:r>
        <w:rPr>
          <w:rFonts w:hint="eastAsia" w:ascii="Times New Roman" w:hAnsi="Times New Roman" w:cs="Times New Roman"/>
        </w:rPr>
        <w:t>生产车间不采暖，办公楼冬季</w:t>
      </w:r>
      <w:r>
        <w:rPr>
          <w:rFonts w:hint="eastAsia" w:ascii="Times New Roman" w:hAnsi="Times New Roman" w:cs="Times New Roman"/>
          <w:lang w:val="en-US" w:eastAsia="zh-CN"/>
        </w:rPr>
        <w:t>电</w:t>
      </w:r>
      <w:r>
        <w:rPr>
          <w:rFonts w:hint="eastAsia" w:ascii="Times New Roman" w:hAnsi="Times New Roman" w:cs="Times New Roman"/>
        </w:rPr>
        <w:t>采暖。</w:t>
      </w:r>
    </w:p>
    <w:p w14:paraId="25742D05">
      <w:pPr>
        <w:spacing w:line="500" w:lineRule="exact"/>
        <w:ind w:right="6" w:firstLine="482" w:firstLineChars="200"/>
        <w:rPr>
          <w:rFonts w:ascii="Times New Roman" w:hAnsi="Times New Roman" w:cs="Times New Roman"/>
          <w:b/>
        </w:rPr>
      </w:pPr>
      <w:r>
        <w:rPr>
          <w:rFonts w:ascii="Times New Roman" w:hAnsi="Times New Roman" w:cs="Times New Roman"/>
          <w:b/>
        </w:rPr>
        <w:t>（</w:t>
      </w:r>
      <w:r>
        <w:rPr>
          <w:rFonts w:hint="eastAsia" w:ascii="Times New Roman" w:hAnsi="Times New Roman" w:cs="Times New Roman"/>
          <w:b/>
        </w:rPr>
        <w:t>4</w:t>
      </w:r>
      <w:r>
        <w:rPr>
          <w:rFonts w:ascii="Times New Roman" w:hAnsi="Times New Roman" w:cs="Times New Roman"/>
          <w:b/>
        </w:rPr>
        <w:t>）供电工程</w:t>
      </w:r>
    </w:p>
    <w:p w14:paraId="1EB527A8">
      <w:pPr>
        <w:spacing w:line="500" w:lineRule="exact"/>
        <w:ind w:right="6" w:firstLine="480" w:firstLineChars="200"/>
        <w:jc w:val="both"/>
        <w:rPr>
          <w:rFonts w:hint="eastAsia" w:ascii="Times New Roman" w:hAnsi="Times New Roman" w:cs="Times New Roman"/>
        </w:rPr>
      </w:pPr>
      <w:r>
        <w:rPr>
          <w:rFonts w:hint="eastAsia" w:ascii="Times New Roman" w:hAnsi="Times New Roman" w:cs="Times New Roman"/>
        </w:rPr>
        <w:t>厂区</w:t>
      </w:r>
      <w:r>
        <w:rPr>
          <w:rFonts w:ascii="Times New Roman" w:hAnsi="Times New Roman" w:cs="Times New Roman"/>
        </w:rPr>
        <w:t>电源来自市政电网。</w:t>
      </w:r>
    </w:p>
    <w:p w14:paraId="5F96FB29">
      <w:pPr>
        <w:pStyle w:val="6"/>
        <w:spacing w:before="163"/>
      </w:pPr>
      <w:bookmarkStart w:id="213" w:name="_Toc90026116"/>
      <w:bookmarkStart w:id="214" w:name="_Toc22148"/>
      <w:r>
        <w:t>2.</w:t>
      </w:r>
      <w:r>
        <w:rPr>
          <w:rFonts w:hint="eastAsia"/>
          <w:lang w:val="en-US" w:eastAsia="zh-CN"/>
        </w:rPr>
        <w:t>6</w:t>
      </w:r>
      <w:r>
        <w:rPr>
          <w:rFonts w:hint="eastAsia"/>
        </w:rPr>
        <w:t xml:space="preserve"> </w:t>
      </w:r>
      <w:bookmarkEnd w:id="213"/>
      <w:bookmarkStart w:id="215" w:name="_Toc90026117"/>
      <w:r>
        <w:rPr>
          <w:rFonts w:hint="eastAsia"/>
        </w:rPr>
        <w:t>现有工程劳动定员与工作制度</w:t>
      </w:r>
      <w:bookmarkEnd w:id="214"/>
      <w:bookmarkEnd w:id="215"/>
    </w:p>
    <w:p w14:paraId="01CD078F">
      <w:pPr>
        <w:spacing w:line="500" w:lineRule="exact"/>
        <w:ind w:right="6" w:firstLine="480" w:firstLineChars="200"/>
        <w:jc w:val="both"/>
        <w:rPr>
          <w:rFonts w:hint="eastAsia" w:ascii="Times New Roman" w:hAnsi="Times New Roman" w:cs="Times New Roman"/>
        </w:rPr>
      </w:pPr>
      <w:r>
        <w:rPr>
          <w:rFonts w:hint="eastAsia" w:ascii="Times New Roman" w:hAnsi="Times New Roman" w:cs="Times New Roman"/>
        </w:rPr>
        <w:t>现有工程</w:t>
      </w:r>
      <w:r>
        <w:rPr>
          <w:rFonts w:ascii="Times New Roman" w:hAnsi="Times New Roman" w:cs="Times New Roman"/>
        </w:rPr>
        <w:t>劳动定员</w:t>
      </w:r>
      <w:r>
        <w:rPr>
          <w:rFonts w:hint="eastAsia" w:ascii="Times New Roman" w:hAnsi="Times New Roman" w:cs="Times New Roman"/>
        </w:rPr>
        <w:t>500</w:t>
      </w:r>
      <w:r>
        <w:rPr>
          <w:rFonts w:ascii="Times New Roman" w:hAnsi="Times New Roman" w:cs="Times New Roman"/>
        </w:rPr>
        <w:t>人。年工作3</w:t>
      </w:r>
      <w:r>
        <w:rPr>
          <w:rFonts w:hint="eastAsia" w:ascii="Times New Roman" w:hAnsi="Times New Roman" w:cs="Times New Roman"/>
          <w:lang w:val="en-US" w:eastAsia="zh-CN"/>
        </w:rPr>
        <w:t>3</w:t>
      </w:r>
      <w:r>
        <w:rPr>
          <w:rFonts w:ascii="Times New Roman" w:hAnsi="Times New Roman" w:cs="Times New Roman"/>
        </w:rPr>
        <w:t>0天，工作班制为四班三运转，每班工作8小时。</w:t>
      </w:r>
    </w:p>
    <w:p w14:paraId="30C23EBB">
      <w:pPr>
        <w:spacing w:line="500" w:lineRule="exact"/>
        <w:ind w:right="6" w:firstLine="480" w:firstLineChars="200"/>
        <w:jc w:val="both"/>
        <w:rPr>
          <w:rFonts w:hint="eastAsia" w:ascii="Times New Roman" w:hAnsi="Times New Roman" w:cs="Times New Roman"/>
        </w:rPr>
      </w:pPr>
    </w:p>
    <w:p w14:paraId="35CA28CC">
      <w:pPr>
        <w:adjustRightInd w:val="0"/>
        <w:spacing w:line="360" w:lineRule="auto"/>
        <w:jc w:val="center"/>
        <w:rPr>
          <w:rFonts w:ascii="Times New Roman" w:hAnsi="Times New Roman" w:eastAsia="黑体" w:cs="Times New Roman"/>
        </w:rPr>
      </w:pPr>
    </w:p>
    <w:p w14:paraId="3162EF8A">
      <w:pPr>
        <w:adjustRightInd w:val="0"/>
        <w:spacing w:line="360" w:lineRule="auto"/>
        <w:jc w:val="center"/>
        <w:rPr>
          <w:rFonts w:ascii="Times New Roman" w:hAnsi="Times New Roman" w:eastAsia="黑体" w:cs="Times New Roman"/>
        </w:rPr>
      </w:pPr>
      <w:r>
        <w:rPr>
          <w:rFonts w:ascii="Times New Roman" w:hAnsi="Times New Roman" w:eastAsia="黑体" w:cs="Times New Roman"/>
        </w:rPr>
        <w:t>图</w:t>
      </w:r>
      <w:r>
        <w:rPr>
          <w:rFonts w:hint="eastAsia" w:ascii="Times New Roman" w:hAnsi="Times New Roman" w:eastAsia="黑体" w:cs="Times New Roman"/>
        </w:rPr>
        <w:t>2.6-1</w:t>
      </w:r>
      <w:r>
        <w:rPr>
          <w:rFonts w:ascii="Times New Roman" w:hAnsi="Times New Roman" w:eastAsia="黑体" w:cs="Times New Roman"/>
        </w:rPr>
        <w:t xml:space="preserve">  </w:t>
      </w:r>
      <w:r>
        <w:rPr>
          <w:rFonts w:hint="eastAsia" w:ascii="Times New Roman" w:hAnsi="Times New Roman" w:eastAsia="黑体" w:cs="Times New Roman"/>
        </w:rPr>
        <w:t>现有工程水量</w:t>
      </w:r>
      <w:r>
        <w:rPr>
          <w:rFonts w:ascii="Times New Roman" w:hAnsi="Times New Roman" w:eastAsia="黑体" w:cs="Times New Roman"/>
        </w:rPr>
        <w:t>平衡图</w:t>
      </w:r>
      <w:r>
        <w:rPr>
          <w:rFonts w:hint="eastAsia" w:ascii="Times New Roman" w:hAnsi="Times New Roman" w:eastAsia="黑体" w:cs="Times New Roman"/>
        </w:rPr>
        <w:t>（</w:t>
      </w:r>
      <w:r>
        <w:rPr>
          <w:rFonts w:ascii="Times New Roman" w:hAnsi="Times New Roman" w:eastAsia="黑体" w:cs="Times New Roman"/>
        </w:rPr>
        <w:t>单位：</w:t>
      </w:r>
      <w:r>
        <w:rPr>
          <w:rFonts w:hint="eastAsia" w:ascii="Times New Roman" w:hAnsi="Times New Roman" w:eastAsia="黑体" w:cs="Times New Roman"/>
        </w:rPr>
        <w:t>m</w:t>
      </w:r>
      <w:r>
        <w:rPr>
          <w:rFonts w:ascii="Times New Roman" w:hAnsi="Times New Roman" w:eastAsia="黑体" w:cs="Times New Roman"/>
          <w:vertAlign w:val="superscript"/>
        </w:rPr>
        <w:t>3</w:t>
      </w:r>
      <w:r>
        <w:rPr>
          <w:rFonts w:ascii="Times New Roman" w:hAnsi="Times New Roman" w:eastAsia="黑体" w:cs="Times New Roman"/>
        </w:rPr>
        <w:t>/h</w:t>
      </w:r>
      <w:r>
        <w:rPr>
          <w:rFonts w:hint="eastAsia" w:ascii="Times New Roman" w:hAnsi="Times New Roman" w:eastAsia="黑体" w:cs="Times New Roman"/>
        </w:rPr>
        <w:t>）</w:t>
      </w:r>
    </w:p>
    <w:p w14:paraId="1A70FE26">
      <w:pPr>
        <w:spacing w:line="500" w:lineRule="exact"/>
        <w:ind w:right="6" w:firstLine="480" w:firstLineChars="200"/>
        <w:jc w:val="both"/>
        <w:rPr>
          <w:rFonts w:ascii="Times New Roman" w:hAnsi="Times New Roman" w:cs="Times New Roman"/>
        </w:rPr>
      </w:pPr>
    </w:p>
    <w:p w14:paraId="5BB9D9C1">
      <w:pPr>
        <w:spacing w:line="360" w:lineRule="auto"/>
        <w:ind w:right="6"/>
        <w:jc w:val="center"/>
        <w:rPr>
          <w:rFonts w:hint="eastAsia"/>
        </w:rPr>
      </w:pPr>
    </w:p>
    <w:p w14:paraId="2562636D">
      <w:pPr>
        <w:pStyle w:val="6"/>
        <w:spacing w:before="163"/>
      </w:pPr>
      <w:bookmarkStart w:id="216" w:name="_Toc90026118"/>
      <w:bookmarkStart w:id="217" w:name="_Toc25622"/>
      <w:r>
        <w:t>2.</w:t>
      </w:r>
      <w:r>
        <w:rPr>
          <w:rFonts w:hint="eastAsia"/>
          <w:lang w:val="en-US" w:eastAsia="zh-CN"/>
        </w:rPr>
        <w:t>7</w:t>
      </w:r>
      <w:r>
        <w:rPr>
          <w:rFonts w:hint="eastAsia"/>
        </w:rPr>
        <w:t xml:space="preserve"> 现有工程总平面布置</w:t>
      </w:r>
      <w:bookmarkEnd w:id="216"/>
      <w:bookmarkEnd w:id="217"/>
    </w:p>
    <w:p w14:paraId="6621A609">
      <w:pPr>
        <w:spacing w:line="500" w:lineRule="exact"/>
        <w:ind w:right="6" w:firstLine="480" w:firstLineChars="200"/>
        <w:jc w:val="both"/>
        <w:rPr>
          <w:rFonts w:hint="eastAsia" w:ascii="Times New Roman" w:hAnsi="Times New Roman" w:cs="Times New Roman"/>
        </w:rPr>
      </w:pPr>
      <w:r>
        <w:rPr>
          <w:rFonts w:hint="eastAsia" w:ascii="Times New Roman" w:hAnsi="Times New Roman" w:cs="Times New Roman"/>
        </w:rPr>
        <w:t>现有工程总平面布置见图2.</w:t>
      </w:r>
      <w:r>
        <w:rPr>
          <w:rFonts w:hint="eastAsia" w:ascii="Times New Roman" w:hAnsi="Times New Roman" w:cs="Times New Roman"/>
          <w:lang w:val="en-US" w:eastAsia="zh-CN"/>
        </w:rPr>
        <w:t>7</w:t>
      </w:r>
      <w:r>
        <w:rPr>
          <w:rFonts w:hint="eastAsia" w:ascii="Times New Roman" w:hAnsi="Times New Roman" w:cs="Times New Roman"/>
        </w:rPr>
        <w:t>-1。</w:t>
      </w:r>
    </w:p>
    <w:p w14:paraId="73A64311">
      <w:pPr>
        <w:spacing w:line="500" w:lineRule="exact"/>
        <w:ind w:right="6" w:firstLine="480" w:firstLineChars="200"/>
        <w:jc w:val="both"/>
        <w:rPr>
          <w:rFonts w:hint="eastAsia" w:ascii="Times New Roman" w:hAnsi="Times New Roman" w:eastAsia="黑体" w:cs="Times New Roman"/>
        </w:rPr>
      </w:pPr>
    </w:p>
    <w:p w14:paraId="0F606619">
      <w:pPr>
        <w:spacing w:line="500" w:lineRule="exact"/>
        <w:ind w:right="6" w:firstLine="480" w:firstLineChars="200"/>
        <w:jc w:val="both"/>
        <w:rPr>
          <w:rFonts w:hint="eastAsia" w:ascii="Times New Roman" w:hAnsi="Times New Roman" w:eastAsia="黑体" w:cs="Times New Roman"/>
        </w:rPr>
      </w:pPr>
    </w:p>
    <w:p w14:paraId="1B739E5E">
      <w:pPr>
        <w:spacing w:line="500" w:lineRule="exact"/>
        <w:ind w:right="6" w:firstLine="480" w:firstLineChars="200"/>
        <w:jc w:val="both"/>
        <w:rPr>
          <w:rFonts w:hint="eastAsia" w:ascii="Times New Roman" w:hAnsi="Times New Roman" w:eastAsia="黑体" w:cs="Times New Roman"/>
        </w:rPr>
      </w:pPr>
    </w:p>
    <w:p w14:paraId="20C260BE">
      <w:pPr>
        <w:pStyle w:val="2"/>
        <w:rPr>
          <w:rFonts w:hint="eastAsia" w:ascii="Times New Roman" w:hAnsi="Times New Roman" w:eastAsia="黑体" w:cs="Times New Roman"/>
        </w:rPr>
      </w:pPr>
    </w:p>
    <w:p w14:paraId="1C7ACE5A">
      <w:pPr>
        <w:pStyle w:val="3"/>
        <w:numPr>
          <w:ilvl w:val="0"/>
          <w:numId w:val="0"/>
        </w:numPr>
        <w:spacing w:after="120"/>
        <w:ind w:right="0" w:rightChars="0"/>
        <w:rPr>
          <w:rFonts w:hint="eastAsia" w:ascii="Times New Roman" w:hAnsi="Times New Roman" w:eastAsia="黑体" w:cs="Times New Roman"/>
        </w:rPr>
      </w:pPr>
    </w:p>
    <w:p w14:paraId="526AB5F5">
      <w:pPr>
        <w:pStyle w:val="3"/>
        <w:numPr>
          <w:ilvl w:val="0"/>
          <w:numId w:val="0"/>
        </w:numPr>
        <w:spacing w:after="120"/>
        <w:ind w:right="0" w:rightChars="0"/>
        <w:rPr>
          <w:rFonts w:hint="eastAsia" w:ascii="Times New Roman" w:hAnsi="Times New Roman" w:eastAsia="黑体" w:cs="Times New Roman"/>
        </w:rPr>
      </w:pPr>
    </w:p>
    <w:p w14:paraId="7BE5CC90">
      <w:pPr>
        <w:pStyle w:val="3"/>
        <w:numPr>
          <w:ilvl w:val="0"/>
          <w:numId w:val="0"/>
        </w:numPr>
        <w:spacing w:after="120"/>
        <w:ind w:right="0" w:rightChars="0"/>
        <w:rPr>
          <w:rFonts w:hint="eastAsia" w:ascii="Times New Roman" w:hAnsi="Times New Roman" w:eastAsia="黑体" w:cs="Times New Roman"/>
        </w:rPr>
      </w:pPr>
    </w:p>
    <w:p w14:paraId="2AB90E16">
      <w:pPr>
        <w:pStyle w:val="3"/>
        <w:numPr>
          <w:ilvl w:val="0"/>
          <w:numId w:val="0"/>
        </w:numPr>
        <w:spacing w:after="120"/>
        <w:ind w:right="0" w:rightChars="0"/>
        <w:rPr>
          <w:rFonts w:hint="eastAsia" w:ascii="Times New Roman" w:hAnsi="Times New Roman" w:eastAsia="黑体" w:cs="Times New Roman"/>
        </w:rPr>
      </w:pPr>
    </w:p>
    <w:p w14:paraId="44E5C29C">
      <w:pPr>
        <w:pStyle w:val="3"/>
        <w:numPr>
          <w:ilvl w:val="0"/>
          <w:numId w:val="0"/>
        </w:numPr>
        <w:spacing w:after="120"/>
        <w:ind w:right="0" w:rightChars="0"/>
        <w:rPr>
          <w:rFonts w:hint="eastAsia" w:ascii="Times New Roman" w:hAnsi="Times New Roman" w:eastAsia="黑体" w:cs="Times New Roman"/>
        </w:rPr>
      </w:pPr>
    </w:p>
    <w:p w14:paraId="562FF9B2">
      <w:pPr>
        <w:pStyle w:val="3"/>
        <w:numPr>
          <w:ilvl w:val="0"/>
          <w:numId w:val="0"/>
        </w:numPr>
        <w:spacing w:after="120"/>
        <w:ind w:right="0" w:rightChars="0"/>
        <w:rPr>
          <w:rFonts w:hint="eastAsia" w:ascii="Times New Roman" w:hAnsi="Times New Roman" w:eastAsia="黑体" w:cs="Times New Roman"/>
        </w:rPr>
      </w:pPr>
    </w:p>
    <w:p w14:paraId="06C26C4B">
      <w:pPr>
        <w:spacing w:line="360" w:lineRule="auto"/>
        <w:ind w:right="6"/>
        <w:jc w:val="center"/>
        <w:rPr>
          <w:rFonts w:hint="eastAsia" w:ascii="Times New Roman" w:hAnsi="Times New Roman" w:eastAsia="黑体" w:cs="Times New Roman"/>
        </w:rPr>
      </w:pPr>
      <w:r>
        <w:rPr>
          <w:rFonts w:ascii="Times New Roman" w:hAnsi="Times New Roman" w:eastAsia="黑体" w:cs="Times New Roman"/>
        </w:rPr>
        <w:t>图2.</w:t>
      </w:r>
      <w:r>
        <w:rPr>
          <w:rFonts w:hint="eastAsia" w:ascii="Times New Roman" w:hAnsi="Times New Roman" w:eastAsia="黑体" w:cs="Times New Roman"/>
          <w:lang w:val="en-US" w:eastAsia="zh-CN"/>
        </w:rPr>
        <w:t>7</w:t>
      </w:r>
      <w:r>
        <w:rPr>
          <w:rFonts w:ascii="Times New Roman" w:hAnsi="Times New Roman" w:eastAsia="黑体" w:cs="Times New Roman"/>
        </w:rPr>
        <w:t>-1  现有工程总平面布置图</w:t>
      </w:r>
    </w:p>
    <w:p w14:paraId="3CC9F954">
      <w:pPr>
        <w:spacing w:line="500" w:lineRule="exact"/>
        <w:ind w:right="6" w:firstLine="480" w:firstLineChars="200"/>
        <w:jc w:val="center"/>
        <w:rPr>
          <w:rFonts w:hint="eastAsia" w:ascii="Times New Roman" w:hAnsi="Times New Roman" w:eastAsia="黑体" w:cs="Times New Roman"/>
        </w:rPr>
        <w:sectPr>
          <w:pgSz w:w="11906" w:h="16838"/>
          <w:pgMar w:top="1701" w:right="1701" w:bottom="1701" w:left="1701" w:header="851" w:footer="992" w:gutter="0"/>
          <w:pgBorders w:offsetFrom="page">
            <w:top w:val="none" w:sz="0" w:space="0"/>
            <w:left w:val="none" w:sz="0" w:space="0"/>
            <w:bottom w:val="none" w:sz="0" w:space="0"/>
            <w:right w:val="none" w:sz="0" w:space="0"/>
          </w:pgBorders>
          <w:pgNumType w:fmt="decimal"/>
          <w:cols w:space="720" w:num="1"/>
          <w:docGrid w:type="lines" w:linePitch="326" w:charSpace="0"/>
        </w:sectPr>
      </w:pPr>
    </w:p>
    <w:p w14:paraId="2C7C2DE8">
      <w:pPr>
        <w:pStyle w:val="6"/>
        <w:spacing w:before="156"/>
      </w:pPr>
      <w:bookmarkStart w:id="218" w:name="_Toc9275"/>
      <w:bookmarkStart w:id="219" w:name="_Toc90026119"/>
      <w:r>
        <w:t>2.</w:t>
      </w:r>
      <w:r>
        <w:rPr>
          <w:rFonts w:hint="eastAsia"/>
          <w:lang w:val="en-US" w:eastAsia="zh-CN"/>
        </w:rPr>
        <w:t>8</w:t>
      </w:r>
      <w:r>
        <w:t xml:space="preserve"> </w:t>
      </w:r>
      <w:r>
        <w:rPr>
          <w:rFonts w:hint="eastAsia"/>
        </w:rPr>
        <w:t>现有工程平衡分析</w:t>
      </w:r>
      <w:bookmarkEnd w:id="218"/>
      <w:bookmarkEnd w:id="219"/>
    </w:p>
    <w:p w14:paraId="775E6755">
      <w:pPr>
        <w:pStyle w:val="7"/>
      </w:pPr>
      <w:bookmarkStart w:id="220" w:name="_Toc90026233"/>
      <w:bookmarkStart w:id="221" w:name="_Toc29164"/>
      <w:r>
        <w:t>2.</w:t>
      </w:r>
      <w:r>
        <w:rPr>
          <w:rFonts w:hint="eastAsia"/>
          <w:lang w:val="en-US" w:eastAsia="zh-CN"/>
        </w:rPr>
        <w:t>8</w:t>
      </w:r>
      <w:r>
        <w:t>.</w:t>
      </w:r>
      <w:r>
        <w:rPr>
          <w:rFonts w:hint="eastAsia"/>
        </w:rPr>
        <w:t>1</w:t>
      </w:r>
      <w:r>
        <w:t xml:space="preserve"> </w:t>
      </w:r>
      <w:r>
        <w:rPr>
          <w:rFonts w:hint="eastAsia"/>
          <w:lang w:eastAsia="zh-CN"/>
        </w:rPr>
        <w:t>物料平衡</w:t>
      </w:r>
      <w:bookmarkEnd w:id="220"/>
      <w:bookmarkEnd w:id="221"/>
    </w:p>
    <w:p w14:paraId="1D935EBE">
      <w:pPr>
        <w:adjustRightInd w:val="0"/>
        <w:spacing w:line="500" w:lineRule="exact"/>
        <w:ind w:firstLine="480" w:firstLineChars="200"/>
        <w:rPr>
          <w:rFonts w:hint="eastAsia" w:ascii="Times New Roman" w:hAnsi="Times New Roman" w:cs="Times New Roman"/>
        </w:rPr>
      </w:pPr>
      <w:r>
        <w:rPr>
          <w:rFonts w:hint="eastAsia" w:ascii="Times New Roman" w:hAnsi="Times New Roman" w:cs="Times New Roman"/>
        </w:rPr>
        <w:t>现有工程</w:t>
      </w:r>
      <w:r>
        <w:rPr>
          <w:rFonts w:ascii="Times New Roman" w:hAnsi="Times New Roman" w:cs="Times New Roman"/>
        </w:rPr>
        <w:t>物料平衡分析见表</w:t>
      </w:r>
      <w:r>
        <w:rPr>
          <w:rFonts w:hint="eastAsia" w:ascii="Times New Roman" w:hAnsi="Times New Roman" w:cs="Times New Roman"/>
        </w:rPr>
        <w:t>2.</w:t>
      </w:r>
      <w:r>
        <w:rPr>
          <w:rFonts w:hint="eastAsia" w:ascii="Times New Roman" w:hAnsi="Times New Roman" w:cs="Times New Roman"/>
          <w:lang w:val="en-US" w:eastAsia="zh-CN"/>
        </w:rPr>
        <w:t>8</w:t>
      </w:r>
      <w:r>
        <w:rPr>
          <w:rFonts w:ascii="Times New Roman" w:hAnsi="Times New Roman" w:cs="Times New Roman"/>
        </w:rPr>
        <w:t>-1。</w:t>
      </w:r>
    </w:p>
    <w:p w14:paraId="2999A6F9">
      <w:pPr>
        <w:pStyle w:val="112"/>
        <w:snapToGrid/>
        <w:spacing w:line="360" w:lineRule="auto"/>
      </w:pPr>
      <w:r>
        <w:t>表</w:t>
      </w:r>
      <w:r>
        <w:rPr>
          <w:rFonts w:hint="eastAsia"/>
        </w:rPr>
        <w:t>2.</w:t>
      </w:r>
      <w:r>
        <w:rPr>
          <w:rFonts w:hint="eastAsia"/>
          <w:lang w:val="en-US" w:eastAsia="zh-CN"/>
        </w:rPr>
        <w:t>8</w:t>
      </w:r>
      <w:r>
        <w:t xml:space="preserve">-1  </w:t>
      </w:r>
      <w:r>
        <w:rPr>
          <w:rFonts w:hint="eastAsia"/>
        </w:rPr>
        <w:t>现有工程</w:t>
      </w:r>
      <w:r>
        <w:t>物料平衡分析表</w:t>
      </w:r>
    </w:p>
    <w:p w14:paraId="734C13CF">
      <w:pPr>
        <w:pStyle w:val="7"/>
      </w:pPr>
      <w:bookmarkStart w:id="222" w:name="_Toc90026234"/>
    </w:p>
    <w:p w14:paraId="17896D95"/>
    <w:p w14:paraId="1BE98586">
      <w:pPr>
        <w:pStyle w:val="2"/>
      </w:pPr>
    </w:p>
    <w:p w14:paraId="5F340435">
      <w:pPr>
        <w:pStyle w:val="3"/>
        <w:numPr>
          <w:ilvl w:val="0"/>
          <w:numId w:val="0"/>
        </w:numPr>
        <w:ind w:leftChars="100" w:right="0" w:rightChars="0"/>
      </w:pPr>
    </w:p>
    <w:p w14:paraId="68E156E0">
      <w:pPr>
        <w:pStyle w:val="7"/>
      </w:pPr>
      <w:bookmarkStart w:id="223" w:name="_Toc17511"/>
      <w:r>
        <w:t>2.</w:t>
      </w:r>
      <w:r>
        <w:rPr>
          <w:rFonts w:hint="eastAsia"/>
          <w:lang w:val="en-US" w:eastAsia="zh-CN"/>
        </w:rPr>
        <w:t>8</w:t>
      </w:r>
      <w:r>
        <w:t>.</w:t>
      </w:r>
      <w:r>
        <w:rPr>
          <w:rFonts w:hint="eastAsia"/>
        </w:rPr>
        <w:t>2</w:t>
      </w:r>
      <w:r>
        <w:t xml:space="preserve"> </w:t>
      </w:r>
      <w:r>
        <w:rPr>
          <w:rFonts w:hint="eastAsia"/>
          <w:lang w:eastAsia="zh-CN"/>
        </w:rPr>
        <w:t>铁元素平衡</w:t>
      </w:r>
      <w:bookmarkEnd w:id="222"/>
      <w:bookmarkEnd w:id="223"/>
    </w:p>
    <w:p w14:paraId="592EEB98">
      <w:pPr>
        <w:adjustRightInd w:val="0"/>
        <w:spacing w:line="500" w:lineRule="exact"/>
        <w:ind w:firstLine="480" w:firstLineChars="200"/>
        <w:rPr>
          <w:rFonts w:hint="eastAsia" w:ascii="Times New Roman" w:hAnsi="Times New Roman" w:cs="Times New Roman"/>
        </w:rPr>
      </w:pPr>
      <w:r>
        <w:rPr>
          <w:rFonts w:hint="eastAsia" w:ascii="Times New Roman" w:hAnsi="Times New Roman" w:cs="Times New Roman"/>
        </w:rPr>
        <w:t>现有工程铁元素</w:t>
      </w:r>
      <w:r>
        <w:rPr>
          <w:rFonts w:ascii="Times New Roman" w:hAnsi="Times New Roman" w:cs="Times New Roman"/>
        </w:rPr>
        <w:t>平衡分析见表</w:t>
      </w:r>
      <w:r>
        <w:rPr>
          <w:rFonts w:hint="eastAsia" w:ascii="Times New Roman" w:hAnsi="Times New Roman" w:cs="Times New Roman"/>
        </w:rPr>
        <w:t>2.</w:t>
      </w:r>
      <w:r>
        <w:rPr>
          <w:rFonts w:hint="eastAsia" w:ascii="Times New Roman" w:hAnsi="Times New Roman" w:cs="Times New Roman"/>
          <w:lang w:val="en-US" w:eastAsia="zh-CN"/>
        </w:rPr>
        <w:t>8</w:t>
      </w:r>
      <w:r>
        <w:rPr>
          <w:rFonts w:ascii="Times New Roman" w:hAnsi="Times New Roman" w:cs="Times New Roman"/>
        </w:rPr>
        <w:t>-</w:t>
      </w:r>
      <w:r>
        <w:rPr>
          <w:rFonts w:hint="eastAsia" w:ascii="Times New Roman" w:hAnsi="Times New Roman" w:cs="Times New Roman"/>
        </w:rPr>
        <w:t>2</w:t>
      </w:r>
      <w:r>
        <w:rPr>
          <w:rFonts w:ascii="Times New Roman" w:hAnsi="Times New Roman" w:cs="Times New Roman"/>
        </w:rPr>
        <w:t>。</w:t>
      </w:r>
    </w:p>
    <w:p w14:paraId="0CD96676">
      <w:pPr>
        <w:pStyle w:val="112"/>
        <w:snapToGrid/>
        <w:spacing w:line="360" w:lineRule="auto"/>
      </w:pPr>
      <w:r>
        <w:t>表</w:t>
      </w:r>
      <w:r>
        <w:rPr>
          <w:rFonts w:hint="eastAsia"/>
        </w:rPr>
        <w:t>2.</w:t>
      </w:r>
      <w:r>
        <w:rPr>
          <w:rFonts w:hint="eastAsia"/>
          <w:lang w:val="en-US" w:eastAsia="zh-CN"/>
        </w:rPr>
        <w:t>8</w:t>
      </w:r>
      <w:r>
        <w:t>-</w:t>
      </w:r>
      <w:r>
        <w:rPr>
          <w:rFonts w:hint="eastAsia"/>
        </w:rPr>
        <w:t>2</w:t>
      </w:r>
      <w:r>
        <w:t xml:space="preserve">  </w:t>
      </w:r>
      <w:r>
        <w:rPr>
          <w:rFonts w:hint="eastAsia"/>
        </w:rPr>
        <w:t>现有工程铁元素</w:t>
      </w:r>
      <w:r>
        <w:t>平衡分析表</w:t>
      </w:r>
    </w:p>
    <w:p w14:paraId="43879631">
      <w:pPr>
        <w:pStyle w:val="6"/>
        <w:spacing w:before="156"/>
      </w:pPr>
      <w:bookmarkStart w:id="224" w:name="_Toc90026120"/>
    </w:p>
    <w:p w14:paraId="42386407"/>
    <w:p w14:paraId="2942AC34">
      <w:pPr>
        <w:pStyle w:val="2"/>
      </w:pPr>
    </w:p>
    <w:p w14:paraId="4346F75E">
      <w:pPr>
        <w:pStyle w:val="6"/>
        <w:spacing w:before="156"/>
      </w:pPr>
      <w:bookmarkStart w:id="225" w:name="_Toc10366"/>
      <w:r>
        <w:t>2.</w:t>
      </w:r>
      <w:r>
        <w:rPr>
          <w:rFonts w:hint="eastAsia"/>
          <w:lang w:val="en-US" w:eastAsia="zh-CN"/>
        </w:rPr>
        <w:t>9</w:t>
      </w:r>
      <w:r>
        <w:t xml:space="preserve"> </w:t>
      </w:r>
      <w:r>
        <w:rPr>
          <w:rFonts w:hint="eastAsia"/>
        </w:rPr>
        <w:t>现有工程污染源治理及达标排放情况</w:t>
      </w:r>
      <w:bookmarkEnd w:id="224"/>
      <w:bookmarkEnd w:id="225"/>
    </w:p>
    <w:p w14:paraId="0BD32AA1">
      <w:pPr>
        <w:pStyle w:val="7"/>
      </w:pPr>
      <w:bookmarkStart w:id="226" w:name="_Toc32534"/>
      <w:bookmarkStart w:id="227" w:name="_Toc90026237"/>
      <w:r>
        <w:t>2.</w:t>
      </w:r>
      <w:r>
        <w:rPr>
          <w:rFonts w:hint="eastAsia"/>
          <w:lang w:val="en-US" w:eastAsia="zh-CN"/>
        </w:rPr>
        <w:t>9</w:t>
      </w:r>
      <w:r>
        <w:t>.</w:t>
      </w:r>
      <w:r>
        <w:rPr>
          <w:rFonts w:hint="eastAsia"/>
        </w:rPr>
        <w:t>1</w:t>
      </w:r>
      <w:r>
        <w:t xml:space="preserve"> </w:t>
      </w:r>
      <w:r>
        <w:rPr>
          <w:rFonts w:hint="eastAsia"/>
        </w:rPr>
        <w:t>废气</w:t>
      </w:r>
      <w:bookmarkEnd w:id="226"/>
      <w:bookmarkEnd w:id="227"/>
    </w:p>
    <w:p w14:paraId="6743CFE6">
      <w:pPr>
        <w:spacing w:line="500" w:lineRule="exact"/>
        <w:ind w:right="6" w:firstLine="482" w:firstLineChars="200"/>
        <w:jc w:val="both"/>
        <w:rPr>
          <w:rFonts w:hint="eastAsia" w:ascii="Times New Roman" w:hAnsi="Times New Roman" w:cs="Times New Roman"/>
          <w:b/>
        </w:rPr>
      </w:pPr>
      <w:r>
        <w:rPr>
          <w:rFonts w:hint="eastAsia" w:ascii="Times New Roman" w:hAnsi="Times New Roman" w:cs="Times New Roman"/>
          <w:b/>
        </w:rPr>
        <w:t>（1）有组织排放废气</w:t>
      </w:r>
    </w:p>
    <w:p w14:paraId="2CA6986B">
      <w:pPr>
        <w:spacing w:line="500" w:lineRule="exact"/>
        <w:ind w:right="6" w:firstLine="480" w:firstLineChars="200"/>
        <w:jc w:val="both"/>
        <w:rPr>
          <w:rFonts w:hint="eastAsia" w:ascii="Times New Roman" w:hAnsi="Times New Roman" w:cs="Times New Roman"/>
        </w:rPr>
      </w:pPr>
      <w:r>
        <w:rPr>
          <w:rFonts w:hint="eastAsia" w:ascii="Times New Roman" w:hAnsi="Times New Roman" w:cs="Times New Roman"/>
        </w:rPr>
        <w:t>现有工程各生产设备及环保设备均正常运行。本次环评结合企业实际生产情况以及在线监测、例行监测等数据，对现有工程污染物治理及达标情况进行分析，现有工程有组织废气污染源各污染物排放及达标情况见表2.11-1。</w:t>
      </w:r>
    </w:p>
    <w:p w14:paraId="32C24AD2">
      <w:pPr>
        <w:spacing w:line="500" w:lineRule="exact"/>
        <w:ind w:right="6" w:firstLine="480" w:firstLineChars="200"/>
        <w:jc w:val="both"/>
        <w:sectPr>
          <w:pgSz w:w="11906" w:h="16838"/>
          <w:pgMar w:top="1701" w:right="1701" w:bottom="1701" w:left="1701" w:header="851" w:footer="992" w:gutter="0"/>
          <w:pgBorders w:offsetFrom="page">
            <w:top w:val="none" w:sz="0" w:space="0"/>
            <w:left w:val="none" w:sz="0" w:space="0"/>
            <w:bottom w:val="none" w:sz="0" w:space="0"/>
            <w:right w:val="none" w:sz="0" w:space="0"/>
          </w:pgBorders>
          <w:pgNumType w:fmt="decimal"/>
          <w:cols w:space="720" w:num="1"/>
          <w:docGrid w:type="lines" w:linePitch="312" w:charSpace="0"/>
        </w:sectPr>
      </w:pPr>
    </w:p>
    <w:p w14:paraId="065FC5EA">
      <w:pPr>
        <w:spacing w:line="360" w:lineRule="auto"/>
        <w:ind w:firstLine="480" w:firstLineChars="200"/>
        <w:jc w:val="center"/>
        <w:rPr>
          <w:rFonts w:eastAsia="黑体"/>
        </w:rPr>
      </w:pPr>
      <w:r>
        <w:rPr>
          <w:rFonts w:eastAsia="黑体"/>
        </w:rPr>
        <w:t>表</w:t>
      </w:r>
      <w:r>
        <w:rPr>
          <w:rFonts w:ascii="Times New Roman" w:hAnsi="Times New Roman" w:eastAsia="黑体" w:cs="Times New Roman"/>
        </w:rPr>
        <w:t>2.</w:t>
      </w:r>
      <w:r>
        <w:rPr>
          <w:rFonts w:hint="eastAsia" w:ascii="Times New Roman" w:hAnsi="Times New Roman" w:eastAsia="黑体" w:cs="Times New Roman"/>
          <w:lang w:val="en-US" w:eastAsia="zh-CN"/>
        </w:rPr>
        <w:t>9</w:t>
      </w:r>
      <w:r>
        <w:rPr>
          <w:rFonts w:ascii="Times New Roman" w:hAnsi="Times New Roman" w:eastAsia="黑体" w:cs="Times New Roman"/>
        </w:rPr>
        <w:t>-1</w:t>
      </w:r>
      <w:r>
        <w:rPr>
          <w:rFonts w:eastAsia="黑体"/>
        </w:rPr>
        <w:t xml:space="preserve">  现有工程有组织废气污染源</w:t>
      </w:r>
      <w:r>
        <w:rPr>
          <w:rFonts w:hint="eastAsia" w:eastAsia="黑体"/>
        </w:rPr>
        <w:t>治理措施及排放达标情况一览表</w:t>
      </w:r>
    </w:p>
    <w:tbl>
      <w:tblPr>
        <w:tblStyle w:val="56"/>
        <w:tblW w:w="5000" w:type="pct"/>
        <w:jc w:val="center"/>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835"/>
        <w:gridCol w:w="852"/>
        <w:gridCol w:w="1136"/>
        <w:gridCol w:w="1320"/>
        <w:gridCol w:w="1230"/>
        <w:gridCol w:w="1167"/>
        <w:gridCol w:w="1528"/>
        <w:gridCol w:w="664"/>
        <w:gridCol w:w="853"/>
        <w:gridCol w:w="801"/>
        <w:gridCol w:w="877"/>
        <w:gridCol w:w="1331"/>
        <w:gridCol w:w="1058"/>
      </w:tblGrid>
      <w:tr w14:paraId="4F14DF05">
        <w:tblPrEx>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05" w:type="pct"/>
            <w:vMerge w:val="restart"/>
            <w:tcBorders>
              <w:tl2br w:val="nil"/>
              <w:tr2bl w:val="nil"/>
            </w:tcBorders>
            <w:shd w:val="clear" w:color="auto" w:fill="D9D9D9"/>
            <w:noWrap w:val="0"/>
            <w:vAlign w:val="center"/>
          </w:tcPr>
          <w:p w14:paraId="6F4038D5">
            <w:pPr>
              <w:jc w:val="center"/>
              <w:rPr>
                <w:rFonts w:ascii="Times New Roman" w:hAnsi="Times New Roman" w:cs="Times New Roman"/>
                <w:sz w:val="21"/>
                <w:szCs w:val="21"/>
              </w:rPr>
            </w:pPr>
            <w:r>
              <w:rPr>
                <w:rFonts w:ascii="Times New Roman" w:hAnsi="Times New Roman" w:cs="Times New Roman"/>
                <w:sz w:val="21"/>
                <w:szCs w:val="21"/>
              </w:rPr>
              <w:t>编号</w:t>
            </w:r>
          </w:p>
        </w:tc>
        <w:tc>
          <w:tcPr>
            <w:tcW w:w="312" w:type="pct"/>
            <w:vMerge w:val="restart"/>
            <w:tcBorders>
              <w:tl2br w:val="nil"/>
              <w:tr2bl w:val="nil"/>
            </w:tcBorders>
            <w:shd w:val="clear" w:color="auto" w:fill="D9D9D9"/>
            <w:noWrap w:val="0"/>
            <w:vAlign w:val="center"/>
          </w:tcPr>
          <w:p w14:paraId="50F7F445">
            <w:pPr>
              <w:jc w:val="center"/>
              <w:rPr>
                <w:rFonts w:ascii="Times New Roman" w:hAnsi="Times New Roman" w:cs="Times New Roman"/>
                <w:sz w:val="21"/>
                <w:szCs w:val="21"/>
              </w:rPr>
            </w:pPr>
            <w:r>
              <w:rPr>
                <w:rFonts w:ascii="Times New Roman" w:hAnsi="Times New Roman" w:cs="Times New Roman"/>
                <w:sz w:val="21"/>
                <w:szCs w:val="21"/>
              </w:rPr>
              <w:t>污染源</w:t>
            </w:r>
          </w:p>
        </w:tc>
        <w:tc>
          <w:tcPr>
            <w:tcW w:w="416" w:type="pct"/>
            <w:vMerge w:val="restart"/>
            <w:tcBorders>
              <w:tl2br w:val="nil"/>
              <w:tr2bl w:val="nil"/>
            </w:tcBorders>
            <w:shd w:val="clear" w:color="auto" w:fill="D9D9D9"/>
            <w:noWrap w:val="0"/>
            <w:vAlign w:val="center"/>
          </w:tcPr>
          <w:p w14:paraId="18D2B98D">
            <w:pPr>
              <w:jc w:val="center"/>
              <w:rPr>
                <w:rFonts w:ascii="Times New Roman" w:hAnsi="Times New Roman" w:cs="Times New Roman"/>
                <w:sz w:val="21"/>
                <w:szCs w:val="21"/>
              </w:rPr>
            </w:pPr>
            <w:r>
              <w:rPr>
                <w:rFonts w:ascii="Times New Roman" w:hAnsi="Times New Roman" w:cs="Times New Roman"/>
                <w:sz w:val="21"/>
                <w:szCs w:val="21"/>
              </w:rPr>
              <w:t>污染物</w:t>
            </w:r>
          </w:p>
        </w:tc>
        <w:tc>
          <w:tcPr>
            <w:tcW w:w="483" w:type="pct"/>
            <w:vMerge w:val="restart"/>
            <w:tcBorders>
              <w:tl2br w:val="nil"/>
              <w:tr2bl w:val="nil"/>
            </w:tcBorders>
            <w:shd w:val="clear" w:color="auto" w:fill="D9D9D9"/>
            <w:noWrap w:val="0"/>
            <w:vAlign w:val="center"/>
          </w:tcPr>
          <w:p w14:paraId="79BA5764">
            <w:pPr>
              <w:jc w:val="center"/>
              <w:rPr>
                <w:rFonts w:ascii="Times New Roman" w:hAnsi="Times New Roman" w:cs="Times New Roman"/>
                <w:sz w:val="21"/>
                <w:szCs w:val="21"/>
              </w:rPr>
            </w:pPr>
            <w:r>
              <w:rPr>
                <w:rFonts w:hint="eastAsia" w:ascii="Times New Roman" w:hAnsi="Times New Roman" w:cs="Times New Roman"/>
                <w:sz w:val="21"/>
                <w:szCs w:val="21"/>
              </w:rPr>
              <w:t>废</w:t>
            </w:r>
            <w:r>
              <w:rPr>
                <w:rFonts w:ascii="Times New Roman" w:hAnsi="Times New Roman" w:cs="Times New Roman"/>
                <w:sz w:val="21"/>
                <w:szCs w:val="21"/>
              </w:rPr>
              <w:t>气量（Nm</w:t>
            </w:r>
            <w:r>
              <w:rPr>
                <w:rFonts w:ascii="Times New Roman" w:hAnsi="Times New Roman" w:cs="Times New Roman"/>
                <w:sz w:val="21"/>
                <w:szCs w:val="21"/>
                <w:vertAlign w:val="superscript"/>
              </w:rPr>
              <w:t>3</w:t>
            </w:r>
            <w:r>
              <w:rPr>
                <w:rFonts w:ascii="Times New Roman" w:hAnsi="Times New Roman" w:cs="Times New Roman"/>
                <w:sz w:val="21"/>
                <w:szCs w:val="21"/>
              </w:rPr>
              <w:t>/h）</w:t>
            </w:r>
          </w:p>
        </w:tc>
        <w:tc>
          <w:tcPr>
            <w:tcW w:w="450" w:type="pct"/>
            <w:vMerge w:val="restart"/>
            <w:tcBorders>
              <w:tl2br w:val="nil"/>
              <w:tr2bl w:val="nil"/>
            </w:tcBorders>
            <w:shd w:val="clear" w:color="auto" w:fill="D9D9D9"/>
            <w:noWrap w:val="0"/>
            <w:vAlign w:val="center"/>
          </w:tcPr>
          <w:p w14:paraId="324C7E4A">
            <w:pPr>
              <w:jc w:val="center"/>
              <w:rPr>
                <w:rFonts w:ascii="Times New Roman" w:hAnsi="Times New Roman" w:cs="Times New Roman"/>
                <w:sz w:val="21"/>
                <w:szCs w:val="21"/>
              </w:rPr>
            </w:pPr>
            <w:r>
              <w:rPr>
                <w:rFonts w:ascii="Times New Roman" w:hAnsi="Times New Roman" w:cs="Times New Roman"/>
                <w:sz w:val="21"/>
                <w:szCs w:val="21"/>
              </w:rPr>
              <w:t>出口浓度</w:t>
            </w:r>
          </w:p>
          <w:p w14:paraId="1EAC3B88">
            <w:pPr>
              <w:jc w:val="center"/>
              <w:rPr>
                <w:rFonts w:ascii="Times New Roman" w:hAnsi="Times New Roman" w:cs="Times New Roman"/>
                <w:sz w:val="21"/>
                <w:szCs w:val="21"/>
              </w:rPr>
            </w:pPr>
            <w:r>
              <w:rPr>
                <w:rFonts w:ascii="Times New Roman" w:hAnsi="Times New Roman" w:cs="Times New Roman"/>
                <w:sz w:val="21"/>
                <w:szCs w:val="21"/>
              </w:rPr>
              <w:t>（mg/m</w:t>
            </w:r>
            <w:r>
              <w:rPr>
                <w:rFonts w:ascii="Times New Roman" w:hAnsi="Times New Roman" w:cs="Times New Roman"/>
                <w:sz w:val="21"/>
                <w:szCs w:val="21"/>
                <w:vertAlign w:val="superscript"/>
              </w:rPr>
              <w:t>3</w:t>
            </w:r>
            <w:r>
              <w:rPr>
                <w:rFonts w:ascii="Times New Roman" w:hAnsi="Times New Roman" w:cs="Times New Roman"/>
                <w:sz w:val="21"/>
                <w:szCs w:val="21"/>
              </w:rPr>
              <w:t>）</w:t>
            </w:r>
          </w:p>
        </w:tc>
        <w:tc>
          <w:tcPr>
            <w:tcW w:w="427" w:type="pct"/>
            <w:vMerge w:val="restart"/>
            <w:tcBorders>
              <w:tl2br w:val="nil"/>
              <w:tr2bl w:val="nil"/>
            </w:tcBorders>
            <w:shd w:val="clear" w:color="auto" w:fill="D9D9D9"/>
            <w:noWrap w:val="0"/>
            <w:vAlign w:val="center"/>
          </w:tcPr>
          <w:p w14:paraId="17F0A175">
            <w:pPr>
              <w:jc w:val="center"/>
              <w:rPr>
                <w:rFonts w:ascii="Times New Roman" w:hAnsi="Times New Roman" w:cs="Times New Roman"/>
                <w:sz w:val="21"/>
                <w:szCs w:val="21"/>
              </w:rPr>
            </w:pPr>
            <w:r>
              <w:rPr>
                <w:rFonts w:ascii="Times New Roman" w:hAnsi="Times New Roman" w:cs="Times New Roman"/>
                <w:sz w:val="21"/>
                <w:szCs w:val="21"/>
              </w:rPr>
              <w:t>排放速率</w:t>
            </w:r>
          </w:p>
          <w:p w14:paraId="19C02069">
            <w:pPr>
              <w:jc w:val="center"/>
              <w:rPr>
                <w:rFonts w:ascii="Times New Roman" w:hAnsi="Times New Roman" w:cs="Times New Roman"/>
                <w:sz w:val="21"/>
                <w:szCs w:val="21"/>
              </w:rPr>
            </w:pPr>
            <w:r>
              <w:rPr>
                <w:rFonts w:ascii="Times New Roman" w:hAnsi="Times New Roman" w:cs="Times New Roman"/>
                <w:sz w:val="21"/>
                <w:szCs w:val="21"/>
              </w:rPr>
              <w:t>（kg/h）</w:t>
            </w:r>
          </w:p>
        </w:tc>
        <w:tc>
          <w:tcPr>
            <w:tcW w:w="559" w:type="pct"/>
            <w:vMerge w:val="restart"/>
            <w:tcBorders>
              <w:tl2br w:val="nil"/>
              <w:tr2bl w:val="nil"/>
            </w:tcBorders>
            <w:shd w:val="clear" w:color="auto" w:fill="D9D9D9"/>
            <w:noWrap w:val="0"/>
            <w:vAlign w:val="center"/>
          </w:tcPr>
          <w:p w14:paraId="13935466">
            <w:pPr>
              <w:jc w:val="center"/>
              <w:rPr>
                <w:rFonts w:ascii="Times New Roman" w:hAnsi="Times New Roman" w:cs="Times New Roman"/>
                <w:sz w:val="21"/>
                <w:szCs w:val="21"/>
              </w:rPr>
            </w:pPr>
            <w:r>
              <w:rPr>
                <w:rFonts w:ascii="Times New Roman" w:hAnsi="Times New Roman" w:cs="Times New Roman"/>
                <w:sz w:val="21"/>
                <w:szCs w:val="21"/>
              </w:rPr>
              <w:t>现行排放标准（mg/m</w:t>
            </w:r>
            <w:r>
              <w:rPr>
                <w:rFonts w:ascii="Times New Roman" w:hAnsi="Times New Roman" w:cs="Times New Roman"/>
                <w:sz w:val="21"/>
                <w:szCs w:val="21"/>
                <w:vertAlign w:val="superscript"/>
              </w:rPr>
              <w:t>3</w:t>
            </w:r>
            <w:r>
              <w:rPr>
                <w:rFonts w:ascii="Times New Roman" w:hAnsi="Times New Roman" w:cs="Times New Roman"/>
                <w:sz w:val="21"/>
                <w:szCs w:val="21"/>
              </w:rPr>
              <w:t>）</w:t>
            </w:r>
          </w:p>
        </w:tc>
        <w:tc>
          <w:tcPr>
            <w:tcW w:w="243" w:type="pct"/>
            <w:vMerge w:val="restart"/>
            <w:tcBorders>
              <w:tl2br w:val="nil"/>
              <w:tr2bl w:val="nil"/>
            </w:tcBorders>
            <w:shd w:val="clear" w:color="auto" w:fill="D9D9D9"/>
            <w:noWrap w:val="0"/>
            <w:vAlign w:val="center"/>
          </w:tcPr>
          <w:p w14:paraId="5055CCA6">
            <w:pPr>
              <w:jc w:val="center"/>
              <w:rPr>
                <w:rFonts w:ascii="Times New Roman" w:hAnsi="Times New Roman" w:cs="Times New Roman"/>
                <w:sz w:val="21"/>
                <w:szCs w:val="21"/>
              </w:rPr>
            </w:pPr>
            <w:r>
              <w:rPr>
                <w:rFonts w:ascii="Times New Roman" w:hAnsi="Times New Roman" w:cs="Times New Roman"/>
                <w:sz w:val="21"/>
                <w:szCs w:val="21"/>
              </w:rPr>
              <w:t>达标</w:t>
            </w:r>
          </w:p>
          <w:p w14:paraId="27DF9E2B">
            <w:pPr>
              <w:jc w:val="center"/>
              <w:rPr>
                <w:rFonts w:ascii="Times New Roman" w:hAnsi="Times New Roman" w:cs="Times New Roman"/>
                <w:sz w:val="21"/>
                <w:szCs w:val="21"/>
              </w:rPr>
            </w:pPr>
            <w:r>
              <w:rPr>
                <w:rFonts w:ascii="Times New Roman" w:hAnsi="Times New Roman" w:cs="Times New Roman"/>
                <w:sz w:val="21"/>
                <w:szCs w:val="21"/>
              </w:rPr>
              <w:t>分析</w:t>
            </w:r>
          </w:p>
        </w:tc>
        <w:tc>
          <w:tcPr>
            <w:tcW w:w="926" w:type="pct"/>
            <w:gridSpan w:val="3"/>
            <w:tcBorders>
              <w:tl2br w:val="nil"/>
              <w:tr2bl w:val="nil"/>
            </w:tcBorders>
            <w:shd w:val="clear" w:color="auto" w:fill="D9D9D9"/>
            <w:noWrap w:val="0"/>
            <w:vAlign w:val="center"/>
          </w:tcPr>
          <w:p w14:paraId="6C0A180C">
            <w:pPr>
              <w:jc w:val="center"/>
              <w:rPr>
                <w:rFonts w:ascii="Times New Roman" w:hAnsi="Times New Roman" w:cs="Times New Roman"/>
                <w:sz w:val="21"/>
                <w:szCs w:val="21"/>
              </w:rPr>
            </w:pPr>
            <w:r>
              <w:rPr>
                <w:rFonts w:ascii="Times New Roman" w:hAnsi="Times New Roman" w:cs="Times New Roman"/>
                <w:sz w:val="21"/>
                <w:szCs w:val="21"/>
              </w:rPr>
              <w:t>排气筒</w:t>
            </w:r>
          </w:p>
        </w:tc>
        <w:tc>
          <w:tcPr>
            <w:tcW w:w="487" w:type="pct"/>
            <w:vMerge w:val="restart"/>
            <w:tcBorders>
              <w:tl2br w:val="nil"/>
              <w:tr2bl w:val="nil"/>
            </w:tcBorders>
            <w:shd w:val="clear" w:color="auto" w:fill="D9D9D9"/>
            <w:noWrap w:val="0"/>
            <w:vAlign w:val="center"/>
          </w:tcPr>
          <w:p w14:paraId="20657C40">
            <w:pPr>
              <w:jc w:val="center"/>
              <w:rPr>
                <w:rFonts w:ascii="Times New Roman" w:hAnsi="Times New Roman" w:cs="Times New Roman"/>
                <w:sz w:val="21"/>
                <w:szCs w:val="21"/>
              </w:rPr>
            </w:pPr>
            <w:r>
              <w:rPr>
                <w:rFonts w:ascii="Times New Roman" w:hAnsi="Times New Roman" w:cs="Times New Roman"/>
                <w:sz w:val="21"/>
                <w:szCs w:val="21"/>
              </w:rPr>
              <w:t>治理措施</w:t>
            </w:r>
          </w:p>
        </w:tc>
        <w:tc>
          <w:tcPr>
            <w:tcW w:w="387" w:type="pct"/>
            <w:vMerge w:val="restart"/>
            <w:tcBorders>
              <w:tl2br w:val="nil"/>
              <w:tr2bl w:val="nil"/>
            </w:tcBorders>
            <w:shd w:val="clear" w:color="auto" w:fill="D9D9D9"/>
            <w:noWrap/>
            <w:vAlign w:val="center"/>
          </w:tcPr>
          <w:p w14:paraId="5DA707B6">
            <w:pPr>
              <w:jc w:val="center"/>
              <w:rPr>
                <w:rFonts w:ascii="Times New Roman" w:hAnsi="Times New Roman" w:cs="Times New Roman"/>
                <w:sz w:val="21"/>
                <w:szCs w:val="21"/>
              </w:rPr>
            </w:pPr>
            <w:r>
              <w:rPr>
                <w:rFonts w:ascii="Times New Roman" w:hAnsi="Times New Roman" w:cs="Times New Roman"/>
                <w:sz w:val="21"/>
                <w:szCs w:val="21"/>
              </w:rPr>
              <w:t>数据来源</w:t>
            </w:r>
          </w:p>
        </w:tc>
      </w:tr>
      <w:tr w14:paraId="2CA398E0">
        <w:tblPrEx>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05" w:type="pct"/>
            <w:vMerge w:val="continue"/>
            <w:tcBorders>
              <w:tl2br w:val="nil"/>
              <w:tr2bl w:val="nil"/>
            </w:tcBorders>
            <w:shd w:val="clear" w:color="auto" w:fill="D9D9D9"/>
            <w:noWrap w:val="0"/>
            <w:vAlign w:val="center"/>
          </w:tcPr>
          <w:p w14:paraId="0B908C0A">
            <w:pPr>
              <w:rPr>
                <w:rFonts w:ascii="Times New Roman" w:hAnsi="Times New Roman" w:cs="Times New Roman"/>
                <w:sz w:val="21"/>
                <w:szCs w:val="21"/>
              </w:rPr>
            </w:pPr>
          </w:p>
        </w:tc>
        <w:tc>
          <w:tcPr>
            <w:tcW w:w="312" w:type="pct"/>
            <w:vMerge w:val="continue"/>
            <w:tcBorders>
              <w:tl2br w:val="nil"/>
              <w:tr2bl w:val="nil"/>
            </w:tcBorders>
            <w:shd w:val="clear" w:color="auto" w:fill="D9D9D9"/>
            <w:noWrap w:val="0"/>
            <w:vAlign w:val="center"/>
          </w:tcPr>
          <w:p w14:paraId="7F06841D">
            <w:pPr>
              <w:rPr>
                <w:rFonts w:ascii="Times New Roman" w:hAnsi="Times New Roman" w:cs="Times New Roman"/>
                <w:sz w:val="21"/>
                <w:szCs w:val="21"/>
              </w:rPr>
            </w:pPr>
          </w:p>
        </w:tc>
        <w:tc>
          <w:tcPr>
            <w:tcW w:w="416" w:type="pct"/>
            <w:vMerge w:val="continue"/>
            <w:tcBorders>
              <w:tl2br w:val="nil"/>
              <w:tr2bl w:val="nil"/>
            </w:tcBorders>
            <w:shd w:val="clear" w:color="auto" w:fill="D9D9D9"/>
            <w:noWrap w:val="0"/>
            <w:vAlign w:val="center"/>
          </w:tcPr>
          <w:p w14:paraId="3DA3984E">
            <w:pPr>
              <w:rPr>
                <w:rFonts w:ascii="Times New Roman" w:hAnsi="Times New Roman" w:cs="Times New Roman"/>
                <w:sz w:val="21"/>
                <w:szCs w:val="21"/>
              </w:rPr>
            </w:pPr>
          </w:p>
        </w:tc>
        <w:tc>
          <w:tcPr>
            <w:tcW w:w="483" w:type="pct"/>
            <w:vMerge w:val="continue"/>
            <w:tcBorders>
              <w:tl2br w:val="nil"/>
              <w:tr2bl w:val="nil"/>
            </w:tcBorders>
            <w:shd w:val="clear" w:color="auto" w:fill="D9D9D9"/>
            <w:noWrap w:val="0"/>
            <w:vAlign w:val="center"/>
          </w:tcPr>
          <w:p w14:paraId="4275F8D2">
            <w:pPr>
              <w:rPr>
                <w:rFonts w:ascii="Times New Roman" w:hAnsi="Times New Roman" w:cs="Times New Roman"/>
                <w:sz w:val="21"/>
                <w:szCs w:val="21"/>
              </w:rPr>
            </w:pPr>
          </w:p>
        </w:tc>
        <w:tc>
          <w:tcPr>
            <w:tcW w:w="450" w:type="pct"/>
            <w:vMerge w:val="continue"/>
            <w:tcBorders>
              <w:tl2br w:val="nil"/>
              <w:tr2bl w:val="nil"/>
            </w:tcBorders>
            <w:shd w:val="clear" w:color="auto" w:fill="D9D9D9"/>
            <w:noWrap w:val="0"/>
            <w:vAlign w:val="center"/>
          </w:tcPr>
          <w:p w14:paraId="75A64FB6">
            <w:pPr>
              <w:rPr>
                <w:rFonts w:ascii="Times New Roman" w:hAnsi="Times New Roman" w:cs="Times New Roman"/>
                <w:sz w:val="21"/>
                <w:szCs w:val="21"/>
              </w:rPr>
            </w:pPr>
          </w:p>
        </w:tc>
        <w:tc>
          <w:tcPr>
            <w:tcW w:w="427" w:type="pct"/>
            <w:vMerge w:val="continue"/>
            <w:tcBorders>
              <w:tl2br w:val="nil"/>
              <w:tr2bl w:val="nil"/>
            </w:tcBorders>
            <w:shd w:val="clear" w:color="auto" w:fill="D9D9D9"/>
            <w:noWrap w:val="0"/>
            <w:vAlign w:val="center"/>
          </w:tcPr>
          <w:p w14:paraId="3D3CB548">
            <w:pPr>
              <w:rPr>
                <w:rFonts w:ascii="Times New Roman" w:hAnsi="Times New Roman" w:cs="Times New Roman"/>
                <w:sz w:val="21"/>
                <w:szCs w:val="21"/>
              </w:rPr>
            </w:pPr>
          </w:p>
        </w:tc>
        <w:tc>
          <w:tcPr>
            <w:tcW w:w="559" w:type="pct"/>
            <w:vMerge w:val="continue"/>
            <w:tcBorders>
              <w:tl2br w:val="nil"/>
              <w:tr2bl w:val="nil"/>
            </w:tcBorders>
            <w:shd w:val="clear" w:color="auto" w:fill="D9D9D9"/>
            <w:noWrap w:val="0"/>
            <w:vAlign w:val="center"/>
          </w:tcPr>
          <w:p w14:paraId="5744CBF6">
            <w:pPr>
              <w:rPr>
                <w:rFonts w:ascii="Times New Roman" w:hAnsi="Times New Roman" w:cs="Times New Roman"/>
                <w:sz w:val="21"/>
                <w:szCs w:val="21"/>
              </w:rPr>
            </w:pPr>
          </w:p>
        </w:tc>
        <w:tc>
          <w:tcPr>
            <w:tcW w:w="243" w:type="pct"/>
            <w:vMerge w:val="continue"/>
            <w:tcBorders>
              <w:tl2br w:val="nil"/>
              <w:tr2bl w:val="nil"/>
            </w:tcBorders>
            <w:shd w:val="clear" w:color="auto" w:fill="D9D9D9"/>
            <w:noWrap w:val="0"/>
            <w:vAlign w:val="center"/>
          </w:tcPr>
          <w:p w14:paraId="47E225BB">
            <w:pPr>
              <w:rPr>
                <w:rFonts w:ascii="Times New Roman" w:hAnsi="Times New Roman" w:cs="Times New Roman"/>
                <w:sz w:val="21"/>
                <w:szCs w:val="21"/>
              </w:rPr>
            </w:pPr>
          </w:p>
        </w:tc>
        <w:tc>
          <w:tcPr>
            <w:tcW w:w="312" w:type="pct"/>
            <w:tcBorders>
              <w:tl2br w:val="nil"/>
              <w:tr2bl w:val="nil"/>
            </w:tcBorders>
            <w:shd w:val="clear" w:color="auto" w:fill="D9D9D9"/>
            <w:noWrap w:val="0"/>
            <w:vAlign w:val="center"/>
          </w:tcPr>
          <w:p w14:paraId="472B200A">
            <w:pPr>
              <w:jc w:val="center"/>
              <w:rPr>
                <w:rFonts w:ascii="Times New Roman" w:hAnsi="Times New Roman" w:cs="Times New Roman"/>
                <w:sz w:val="21"/>
                <w:szCs w:val="21"/>
              </w:rPr>
            </w:pPr>
            <w:r>
              <w:rPr>
                <w:rFonts w:ascii="Times New Roman" w:hAnsi="Times New Roman" w:cs="Times New Roman"/>
                <w:sz w:val="21"/>
                <w:szCs w:val="21"/>
              </w:rPr>
              <w:t>烟温</w:t>
            </w:r>
          </w:p>
          <w:p w14:paraId="04852B4D">
            <w:pPr>
              <w:jc w:val="center"/>
              <w:rPr>
                <w:rFonts w:ascii="Times New Roman" w:hAnsi="Times New Roman" w:cs="Times New Roman"/>
                <w:sz w:val="21"/>
                <w:szCs w:val="21"/>
              </w:rPr>
            </w:pPr>
            <w:r>
              <w:rPr>
                <w:rFonts w:ascii="Times New Roman" w:hAnsi="Times New Roman" w:cs="Times New Roman"/>
                <w:sz w:val="21"/>
                <w:szCs w:val="21"/>
              </w:rPr>
              <w:t>（℃）</w:t>
            </w:r>
          </w:p>
        </w:tc>
        <w:tc>
          <w:tcPr>
            <w:tcW w:w="293" w:type="pct"/>
            <w:tcBorders>
              <w:tl2br w:val="nil"/>
              <w:tr2bl w:val="nil"/>
            </w:tcBorders>
            <w:shd w:val="clear" w:color="auto" w:fill="D9D9D9"/>
            <w:noWrap w:val="0"/>
            <w:vAlign w:val="center"/>
          </w:tcPr>
          <w:p w14:paraId="26C8B832">
            <w:pPr>
              <w:jc w:val="center"/>
              <w:rPr>
                <w:rFonts w:ascii="Times New Roman" w:hAnsi="Times New Roman" w:cs="Times New Roman"/>
                <w:sz w:val="21"/>
                <w:szCs w:val="21"/>
              </w:rPr>
            </w:pPr>
            <w:r>
              <w:rPr>
                <w:rFonts w:ascii="Times New Roman" w:hAnsi="Times New Roman" w:cs="Times New Roman"/>
                <w:sz w:val="21"/>
                <w:szCs w:val="21"/>
              </w:rPr>
              <w:t>高度（m）</w:t>
            </w:r>
          </w:p>
        </w:tc>
        <w:tc>
          <w:tcPr>
            <w:tcW w:w="321" w:type="pct"/>
            <w:tcBorders>
              <w:tl2br w:val="nil"/>
              <w:tr2bl w:val="nil"/>
            </w:tcBorders>
            <w:shd w:val="clear" w:color="auto" w:fill="D9D9D9"/>
            <w:noWrap w:val="0"/>
            <w:vAlign w:val="center"/>
          </w:tcPr>
          <w:p w14:paraId="7F03A8C0">
            <w:pPr>
              <w:jc w:val="center"/>
              <w:rPr>
                <w:rFonts w:ascii="Times New Roman" w:hAnsi="Times New Roman" w:cs="Times New Roman"/>
                <w:sz w:val="21"/>
                <w:szCs w:val="21"/>
              </w:rPr>
            </w:pPr>
            <w:r>
              <w:rPr>
                <w:rFonts w:ascii="Times New Roman" w:hAnsi="Times New Roman" w:cs="Times New Roman"/>
                <w:sz w:val="21"/>
                <w:szCs w:val="21"/>
              </w:rPr>
              <w:t>直径（m）</w:t>
            </w:r>
          </w:p>
        </w:tc>
        <w:tc>
          <w:tcPr>
            <w:tcW w:w="487" w:type="pct"/>
            <w:vMerge w:val="continue"/>
            <w:tcBorders>
              <w:tl2br w:val="nil"/>
              <w:tr2bl w:val="nil"/>
            </w:tcBorders>
            <w:shd w:val="clear" w:color="auto" w:fill="D9D9D9"/>
            <w:noWrap w:val="0"/>
            <w:vAlign w:val="center"/>
          </w:tcPr>
          <w:p w14:paraId="0DC8A718">
            <w:pPr>
              <w:rPr>
                <w:rFonts w:ascii="Times New Roman" w:hAnsi="Times New Roman" w:cs="Times New Roman"/>
                <w:sz w:val="21"/>
                <w:szCs w:val="21"/>
              </w:rPr>
            </w:pPr>
          </w:p>
        </w:tc>
        <w:tc>
          <w:tcPr>
            <w:tcW w:w="387" w:type="pct"/>
            <w:vMerge w:val="continue"/>
            <w:tcBorders>
              <w:tl2br w:val="nil"/>
              <w:tr2bl w:val="nil"/>
            </w:tcBorders>
            <w:shd w:val="clear" w:color="auto" w:fill="D9D9D9"/>
            <w:noWrap w:val="0"/>
            <w:vAlign w:val="center"/>
          </w:tcPr>
          <w:p w14:paraId="778B15F0">
            <w:pPr>
              <w:rPr>
                <w:rFonts w:ascii="Times New Roman" w:hAnsi="Times New Roman" w:cs="Times New Roman"/>
                <w:sz w:val="21"/>
                <w:szCs w:val="21"/>
              </w:rPr>
            </w:pPr>
          </w:p>
        </w:tc>
      </w:tr>
      <w:tr w14:paraId="5FD5497C">
        <w:tblPrEx>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05" w:type="pct"/>
            <w:tcBorders>
              <w:tl2br w:val="nil"/>
              <w:tr2bl w:val="nil"/>
            </w:tcBorders>
            <w:noWrap w:val="0"/>
            <w:vAlign w:val="center"/>
          </w:tcPr>
          <w:p w14:paraId="0DB15348">
            <w:pPr>
              <w:jc w:val="center"/>
              <w:rPr>
                <w:rFonts w:ascii="Times New Roman" w:hAnsi="Times New Roman" w:cs="Times New Roman"/>
                <w:sz w:val="21"/>
                <w:szCs w:val="21"/>
              </w:rPr>
            </w:pPr>
            <w:r>
              <w:rPr>
                <w:rFonts w:hint="eastAsia" w:ascii="Times New Roman" w:hAnsi="Times New Roman" w:cs="Times New Roman"/>
                <w:sz w:val="21"/>
                <w:szCs w:val="21"/>
              </w:rPr>
              <w:t>DA001</w:t>
            </w:r>
          </w:p>
        </w:tc>
        <w:tc>
          <w:tcPr>
            <w:tcW w:w="312" w:type="pct"/>
            <w:tcBorders>
              <w:tl2br w:val="nil"/>
              <w:tr2bl w:val="nil"/>
            </w:tcBorders>
            <w:noWrap w:val="0"/>
            <w:vAlign w:val="center"/>
          </w:tcPr>
          <w:p w14:paraId="31B4EFB9">
            <w:pPr>
              <w:jc w:val="center"/>
              <w:rPr>
                <w:rFonts w:hint="default" w:ascii="Times New Roman" w:hAnsi="Times New Roman" w:eastAsia="宋体" w:cs="Times New Roman"/>
                <w:sz w:val="21"/>
                <w:szCs w:val="21"/>
                <w:lang w:val="en-US" w:eastAsia="zh-CN"/>
              </w:rPr>
            </w:pPr>
            <w:r>
              <w:rPr>
                <w:rFonts w:hint="eastAsia" w:ascii="Times New Roman" w:hAnsi="Times New Roman" w:cs="Times New Roman"/>
                <w:sz w:val="21"/>
                <w:szCs w:val="21"/>
                <w:lang w:val="en-US" w:eastAsia="zh-CN"/>
              </w:rPr>
              <w:t>烧结下料</w:t>
            </w:r>
          </w:p>
        </w:tc>
        <w:tc>
          <w:tcPr>
            <w:tcW w:w="416" w:type="pct"/>
            <w:tcBorders>
              <w:tl2br w:val="nil"/>
              <w:tr2bl w:val="nil"/>
            </w:tcBorders>
            <w:noWrap w:val="0"/>
            <w:vAlign w:val="center"/>
          </w:tcPr>
          <w:p w14:paraId="0AA448B8">
            <w:pPr>
              <w:jc w:val="center"/>
              <w:rPr>
                <w:rFonts w:ascii="Times New Roman" w:hAnsi="Times New Roman" w:cs="Times New Roman"/>
                <w:sz w:val="21"/>
                <w:szCs w:val="21"/>
              </w:rPr>
            </w:pPr>
            <w:r>
              <w:rPr>
                <w:rFonts w:ascii="Times New Roman" w:hAnsi="Times New Roman" w:cs="Times New Roman"/>
                <w:sz w:val="21"/>
                <w:szCs w:val="21"/>
              </w:rPr>
              <w:t>颗粒物</w:t>
            </w:r>
          </w:p>
        </w:tc>
        <w:tc>
          <w:tcPr>
            <w:tcW w:w="483" w:type="pct"/>
            <w:tcBorders>
              <w:tl2br w:val="nil"/>
              <w:tr2bl w:val="nil"/>
            </w:tcBorders>
            <w:noWrap w:val="0"/>
            <w:vAlign w:val="center"/>
          </w:tcPr>
          <w:p w14:paraId="240DACD7">
            <w:pPr>
              <w:jc w:val="center"/>
              <w:rPr>
                <w:rFonts w:hint="default" w:ascii="Times New Roman" w:hAnsi="Times New Roman" w:eastAsia="宋体" w:cs="Times New Roman"/>
                <w:sz w:val="21"/>
                <w:szCs w:val="21"/>
                <w:lang w:val="en-US" w:eastAsia="zh-CN"/>
              </w:rPr>
            </w:pPr>
            <w:r>
              <w:rPr>
                <w:rFonts w:hint="eastAsia" w:ascii="Times New Roman" w:hAnsi="Times New Roman" w:cs="Times New Roman"/>
                <w:sz w:val="21"/>
                <w:szCs w:val="21"/>
                <w:lang w:val="en-US" w:eastAsia="zh-CN"/>
              </w:rPr>
              <w:t>26694</w:t>
            </w:r>
          </w:p>
        </w:tc>
        <w:tc>
          <w:tcPr>
            <w:tcW w:w="450" w:type="pct"/>
            <w:tcBorders>
              <w:tl2br w:val="nil"/>
              <w:tr2bl w:val="nil"/>
            </w:tcBorders>
            <w:noWrap w:val="0"/>
            <w:vAlign w:val="center"/>
          </w:tcPr>
          <w:p w14:paraId="0D4B20DD">
            <w:pPr>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10</w:t>
            </w:r>
          </w:p>
        </w:tc>
        <w:tc>
          <w:tcPr>
            <w:tcW w:w="427" w:type="pct"/>
            <w:tcBorders>
              <w:tl2br w:val="nil"/>
              <w:tr2bl w:val="nil"/>
            </w:tcBorders>
            <w:noWrap w:val="0"/>
            <w:vAlign w:val="center"/>
          </w:tcPr>
          <w:p w14:paraId="1036B550">
            <w:pPr>
              <w:jc w:val="center"/>
              <w:rPr>
                <w:rFonts w:hint="default" w:ascii="Times New Roman" w:hAnsi="Times New Roman" w:eastAsia="宋体" w:cs="Times New Roman"/>
                <w:sz w:val="21"/>
                <w:szCs w:val="21"/>
                <w:lang w:val="en-US" w:eastAsia="zh-CN"/>
              </w:rPr>
            </w:pPr>
            <w:r>
              <w:rPr>
                <w:rFonts w:hint="eastAsia" w:ascii="Times New Roman" w:hAnsi="Times New Roman" w:cs="Times New Roman"/>
                <w:sz w:val="21"/>
                <w:szCs w:val="21"/>
                <w:lang w:val="en-US" w:eastAsia="zh-CN"/>
              </w:rPr>
              <w:t>0.26</w:t>
            </w:r>
          </w:p>
        </w:tc>
        <w:tc>
          <w:tcPr>
            <w:tcW w:w="559" w:type="pct"/>
            <w:tcBorders>
              <w:tl2br w:val="nil"/>
              <w:tr2bl w:val="nil"/>
            </w:tcBorders>
            <w:noWrap w:val="0"/>
            <w:vAlign w:val="center"/>
          </w:tcPr>
          <w:p w14:paraId="2A27B19B">
            <w:pPr>
              <w:jc w:val="center"/>
              <w:rPr>
                <w:rFonts w:hint="default" w:ascii="Times New Roman" w:hAnsi="Times New Roman" w:eastAsia="宋体" w:cs="Times New Roman"/>
                <w:sz w:val="21"/>
                <w:szCs w:val="21"/>
                <w:lang w:val="en-US" w:eastAsia="zh-CN"/>
              </w:rPr>
            </w:pPr>
            <w:r>
              <w:rPr>
                <w:rFonts w:hint="eastAsia" w:ascii="Times New Roman" w:hAnsi="Times New Roman" w:cs="Times New Roman"/>
                <w:sz w:val="21"/>
                <w:szCs w:val="21"/>
                <w:lang w:val="en-US" w:eastAsia="zh-CN"/>
              </w:rPr>
              <w:t>10</w:t>
            </w:r>
          </w:p>
        </w:tc>
        <w:tc>
          <w:tcPr>
            <w:tcW w:w="243" w:type="pct"/>
            <w:tcBorders>
              <w:tl2br w:val="nil"/>
              <w:tr2bl w:val="nil"/>
            </w:tcBorders>
            <w:noWrap w:val="0"/>
            <w:vAlign w:val="center"/>
          </w:tcPr>
          <w:p w14:paraId="4389C2A0">
            <w:pPr>
              <w:jc w:val="center"/>
              <w:rPr>
                <w:rFonts w:ascii="Times New Roman" w:hAnsi="Times New Roman" w:cs="Times New Roman"/>
                <w:sz w:val="21"/>
                <w:szCs w:val="21"/>
              </w:rPr>
            </w:pPr>
            <w:r>
              <w:rPr>
                <w:rFonts w:ascii="Times New Roman" w:hAnsi="Times New Roman" w:cs="Times New Roman"/>
                <w:sz w:val="21"/>
                <w:szCs w:val="21"/>
              </w:rPr>
              <w:t>达标</w:t>
            </w:r>
          </w:p>
        </w:tc>
        <w:tc>
          <w:tcPr>
            <w:tcW w:w="312" w:type="pct"/>
            <w:tcBorders>
              <w:tl2br w:val="nil"/>
              <w:tr2bl w:val="nil"/>
            </w:tcBorders>
            <w:noWrap w:val="0"/>
            <w:vAlign w:val="center"/>
          </w:tcPr>
          <w:p w14:paraId="0170D7BC">
            <w:pPr>
              <w:jc w:val="center"/>
              <w:rPr>
                <w:rFonts w:hint="eastAsia" w:ascii="Times New Roman" w:hAnsi="Times New Roman" w:eastAsia="宋体" w:cs="Times New Roman"/>
                <w:sz w:val="21"/>
                <w:szCs w:val="21"/>
                <w:lang w:eastAsia="zh-CN"/>
              </w:rPr>
            </w:pPr>
            <w:r>
              <w:rPr>
                <w:rFonts w:hint="eastAsia" w:ascii="Times New Roman" w:hAnsi="Times New Roman" w:cs="Times New Roman"/>
                <w:sz w:val="21"/>
                <w:szCs w:val="21"/>
                <w:lang w:val="en-US" w:eastAsia="zh-CN"/>
              </w:rPr>
              <w:t>常温</w:t>
            </w:r>
          </w:p>
        </w:tc>
        <w:tc>
          <w:tcPr>
            <w:tcW w:w="293" w:type="pct"/>
            <w:tcBorders>
              <w:tl2br w:val="nil"/>
              <w:tr2bl w:val="nil"/>
            </w:tcBorders>
            <w:noWrap w:val="0"/>
            <w:vAlign w:val="center"/>
          </w:tcPr>
          <w:p w14:paraId="623470C9">
            <w:pPr>
              <w:pStyle w:val="720"/>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ascii="Times New Roman" w:hAnsi="Times New Roman" w:cs="Times New Roman"/>
                <w:sz w:val="21"/>
                <w:szCs w:val="21"/>
              </w:rPr>
            </w:pPr>
            <w:r>
              <w:rPr>
                <w:rFonts w:hint="eastAsia" w:eastAsia="宋体" w:cs="Times New Roman"/>
                <w:color w:val="auto"/>
                <w:sz w:val="21"/>
                <w:szCs w:val="21"/>
                <w:highlight w:val="none"/>
                <w:lang w:val="en-US" w:eastAsia="zh-CN"/>
              </w:rPr>
              <w:t>15</w:t>
            </w:r>
          </w:p>
        </w:tc>
        <w:tc>
          <w:tcPr>
            <w:tcW w:w="877" w:type="dxa"/>
            <w:tcBorders>
              <w:tl2br w:val="nil"/>
              <w:tr2bl w:val="nil"/>
            </w:tcBorders>
            <w:noWrap w:val="0"/>
            <w:vAlign w:val="center"/>
          </w:tcPr>
          <w:p w14:paraId="46D547A2">
            <w:pPr>
              <w:pStyle w:val="720"/>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ascii="Times New Roman" w:hAnsi="Times New Roman" w:cs="Times New Roman"/>
                <w:sz w:val="21"/>
                <w:szCs w:val="21"/>
              </w:rPr>
            </w:pPr>
            <w:r>
              <w:rPr>
                <w:rFonts w:hint="eastAsia" w:eastAsia="宋体" w:cs="Times New Roman"/>
                <w:sz w:val="21"/>
                <w:szCs w:val="21"/>
                <w:lang w:val="en-US" w:eastAsia="zh-CN"/>
              </w:rPr>
              <w:t>0.8</w:t>
            </w:r>
          </w:p>
        </w:tc>
        <w:tc>
          <w:tcPr>
            <w:tcW w:w="487" w:type="pct"/>
            <w:tcBorders>
              <w:tl2br w:val="nil"/>
              <w:tr2bl w:val="nil"/>
            </w:tcBorders>
            <w:noWrap w:val="0"/>
            <w:vAlign w:val="center"/>
          </w:tcPr>
          <w:p w14:paraId="711BFE0E">
            <w:pPr>
              <w:jc w:val="center"/>
              <w:rPr>
                <w:rFonts w:ascii="Times New Roman" w:hAnsi="Times New Roman" w:cs="Times New Roman"/>
                <w:sz w:val="21"/>
                <w:szCs w:val="21"/>
              </w:rPr>
            </w:pPr>
            <w:r>
              <w:rPr>
                <w:rFonts w:ascii="Times New Roman" w:hAnsi="Times New Roman" w:cs="Times New Roman"/>
                <w:sz w:val="21"/>
                <w:szCs w:val="21"/>
              </w:rPr>
              <w:t>布袋除尘器</w:t>
            </w:r>
          </w:p>
        </w:tc>
        <w:tc>
          <w:tcPr>
            <w:tcW w:w="387" w:type="pct"/>
            <w:tcBorders>
              <w:tl2br w:val="nil"/>
              <w:tr2bl w:val="nil"/>
            </w:tcBorders>
            <w:noWrap/>
            <w:vAlign w:val="center"/>
          </w:tcPr>
          <w:p w14:paraId="208F112E">
            <w:pPr>
              <w:jc w:val="center"/>
              <w:rPr>
                <w:rFonts w:ascii="Times New Roman" w:hAnsi="Times New Roman" w:cs="Times New Roman"/>
                <w:sz w:val="21"/>
                <w:szCs w:val="21"/>
              </w:rPr>
            </w:pPr>
            <w:r>
              <w:rPr>
                <w:rFonts w:ascii="Times New Roman" w:hAnsi="Times New Roman" w:cs="Times New Roman"/>
                <w:sz w:val="21"/>
                <w:szCs w:val="21"/>
              </w:rPr>
              <w:t>手工</w:t>
            </w:r>
          </w:p>
        </w:tc>
      </w:tr>
      <w:tr w14:paraId="6AD6AEB2">
        <w:tblPrEx>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05" w:type="pct"/>
            <w:vMerge w:val="restart"/>
            <w:tcBorders>
              <w:tl2br w:val="nil"/>
              <w:tr2bl w:val="nil"/>
            </w:tcBorders>
            <w:noWrap w:val="0"/>
            <w:vAlign w:val="center"/>
          </w:tcPr>
          <w:p w14:paraId="74D5D8E4">
            <w:pPr>
              <w:jc w:val="center"/>
              <w:rPr>
                <w:rFonts w:ascii="Times New Roman" w:hAnsi="Times New Roman" w:cs="Times New Roman"/>
                <w:sz w:val="21"/>
                <w:szCs w:val="21"/>
              </w:rPr>
            </w:pPr>
            <w:r>
              <w:rPr>
                <w:rFonts w:hint="eastAsia" w:ascii="Times New Roman" w:hAnsi="Times New Roman" w:cs="Times New Roman"/>
                <w:sz w:val="21"/>
                <w:szCs w:val="21"/>
              </w:rPr>
              <w:t>DA002</w:t>
            </w:r>
          </w:p>
        </w:tc>
        <w:tc>
          <w:tcPr>
            <w:tcW w:w="312" w:type="pct"/>
            <w:vMerge w:val="restart"/>
            <w:tcBorders>
              <w:tl2br w:val="nil"/>
              <w:tr2bl w:val="nil"/>
            </w:tcBorders>
            <w:noWrap w:val="0"/>
            <w:vAlign w:val="center"/>
          </w:tcPr>
          <w:p w14:paraId="6A867A68">
            <w:pPr>
              <w:jc w:val="center"/>
              <w:rPr>
                <w:rFonts w:hint="default" w:ascii="Times New Roman" w:hAnsi="Times New Roman" w:eastAsia="宋体" w:cs="Times New Roman"/>
                <w:sz w:val="21"/>
                <w:szCs w:val="21"/>
                <w:lang w:val="en-US" w:eastAsia="zh-CN"/>
              </w:rPr>
            </w:pPr>
            <w:r>
              <w:rPr>
                <w:rFonts w:hint="eastAsia" w:ascii="Times New Roman" w:hAnsi="Times New Roman" w:cs="Times New Roman"/>
                <w:sz w:val="21"/>
                <w:szCs w:val="21"/>
                <w:lang w:val="en-US" w:eastAsia="zh-CN"/>
              </w:rPr>
              <w:t>烧结机头废气</w:t>
            </w:r>
          </w:p>
        </w:tc>
        <w:tc>
          <w:tcPr>
            <w:tcW w:w="416" w:type="pct"/>
            <w:tcBorders>
              <w:tl2br w:val="nil"/>
              <w:tr2bl w:val="nil"/>
            </w:tcBorders>
            <w:noWrap w:val="0"/>
            <w:vAlign w:val="center"/>
          </w:tcPr>
          <w:p w14:paraId="6F509A81">
            <w:pPr>
              <w:jc w:val="center"/>
              <w:rPr>
                <w:rFonts w:ascii="Times New Roman" w:hAnsi="Times New Roman" w:cs="Times New Roman"/>
                <w:sz w:val="21"/>
                <w:szCs w:val="21"/>
              </w:rPr>
            </w:pPr>
            <w:r>
              <w:rPr>
                <w:rFonts w:ascii="Times New Roman" w:hAnsi="Times New Roman" w:cs="Times New Roman"/>
                <w:sz w:val="21"/>
                <w:szCs w:val="21"/>
              </w:rPr>
              <w:t>颗粒物</w:t>
            </w:r>
          </w:p>
        </w:tc>
        <w:tc>
          <w:tcPr>
            <w:tcW w:w="483" w:type="pct"/>
            <w:vMerge w:val="restart"/>
            <w:tcBorders>
              <w:tl2br w:val="nil"/>
              <w:tr2bl w:val="nil"/>
            </w:tcBorders>
            <w:noWrap w:val="0"/>
            <w:vAlign w:val="center"/>
          </w:tcPr>
          <w:p w14:paraId="556DAC61">
            <w:pPr>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1523</w:t>
            </w:r>
            <w:r>
              <w:rPr>
                <w:rFonts w:hint="eastAsia" w:ascii="Times New Roman" w:hAnsi="Times New Roman" w:eastAsia="宋体" w:cs="Times New Roman"/>
                <w:sz w:val="21"/>
                <w:szCs w:val="21"/>
                <w:lang w:val="en-US" w:eastAsia="zh-CN"/>
              </w:rPr>
              <w:t>40</w:t>
            </w:r>
          </w:p>
        </w:tc>
        <w:tc>
          <w:tcPr>
            <w:tcW w:w="450" w:type="pct"/>
            <w:tcBorders>
              <w:tl2br w:val="nil"/>
              <w:tr2bl w:val="nil"/>
            </w:tcBorders>
            <w:noWrap w:val="0"/>
            <w:vAlign w:val="center"/>
          </w:tcPr>
          <w:p w14:paraId="2ED6EE3B">
            <w:pPr>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4.2</w:t>
            </w:r>
          </w:p>
        </w:tc>
        <w:tc>
          <w:tcPr>
            <w:tcW w:w="427" w:type="pct"/>
            <w:tcBorders>
              <w:tl2br w:val="nil"/>
              <w:tr2bl w:val="nil"/>
            </w:tcBorders>
            <w:noWrap w:val="0"/>
            <w:vAlign w:val="center"/>
          </w:tcPr>
          <w:p w14:paraId="57763D89">
            <w:pPr>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0.89</w:t>
            </w:r>
          </w:p>
        </w:tc>
        <w:tc>
          <w:tcPr>
            <w:tcW w:w="559" w:type="pct"/>
            <w:tcBorders>
              <w:tl2br w:val="nil"/>
              <w:tr2bl w:val="nil"/>
            </w:tcBorders>
            <w:noWrap w:val="0"/>
            <w:vAlign w:val="center"/>
          </w:tcPr>
          <w:p w14:paraId="7B1B5D58">
            <w:pPr>
              <w:jc w:val="center"/>
              <w:rPr>
                <w:rFonts w:hint="default" w:ascii="Times New Roman" w:hAnsi="Times New Roman" w:eastAsia="宋体" w:cs="Times New Roman"/>
                <w:sz w:val="21"/>
                <w:szCs w:val="21"/>
                <w:lang w:val="en-US" w:eastAsia="zh-CN"/>
              </w:rPr>
            </w:pPr>
            <w:r>
              <w:rPr>
                <w:rFonts w:hint="eastAsia" w:ascii="Times New Roman" w:hAnsi="Times New Roman" w:cs="Times New Roman"/>
                <w:sz w:val="21"/>
                <w:szCs w:val="21"/>
                <w:lang w:val="en-US" w:eastAsia="zh-CN"/>
              </w:rPr>
              <w:t>10</w:t>
            </w:r>
          </w:p>
        </w:tc>
        <w:tc>
          <w:tcPr>
            <w:tcW w:w="243" w:type="pct"/>
            <w:tcBorders>
              <w:tl2br w:val="nil"/>
              <w:tr2bl w:val="nil"/>
            </w:tcBorders>
            <w:noWrap w:val="0"/>
            <w:vAlign w:val="center"/>
          </w:tcPr>
          <w:p w14:paraId="281E9D75">
            <w:pPr>
              <w:jc w:val="center"/>
              <w:rPr>
                <w:rFonts w:ascii="Times New Roman" w:hAnsi="Times New Roman" w:cs="Times New Roman"/>
                <w:sz w:val="21"/>
                <w:szCs w:val="21"/>
              </w:rPr>
            </w:pPr>
            <w:r>
              <w:rPr>
                <w:rFonts w:ascii="Times New Roman" w:hAnsi="Times New Roman" w:cs="Times New Roman"/>
                <w:sz w:val="21"/>
                <w:szCs w:val="21"/>
              </w:rPr>
              <w:t>达标</w:t>
            </w:r>
          </w:p>
        </w:tc>
        <w:tc>
          <w:tcPr>
            <w:tcW w:w="312" w:type="pct"/>
            <w:vMerge w:val="restart"/>
            <w:tcBorders>
              <w:tl2br w:val="nil"/>
              <w:tr2bl w:val="nil"/>
            </w:tcBorders>
            <w:noWrap w:val="0"/>
            <w:vAlign w:val="center"/>
          </w:tcPr>
          <w:p w14:paraId="30B27913">
            <w:pPr>
              <w:jc w:val="center"/>
              <w:rPr>
                <w:rFonts w:ascii="Times New Roman" w:hAnsi="Times New Roman" w:cs="Times New Roman"/>
                <w:sz w:val="21"/>
                <w:szCs w:val="21"/>
              </w:rPr>
            </w:pPr>
            <w:r>
              <w:rPr>
                <w:rFonts w:hint="eastAsia" w:ascii="Times New Roman" w:hAnsi="Times New Roman" w:cs="Times New Roman"/>
                <w:sz w:val="21"/>
                <w:szCs w:val="21"/>
                <w:lang w:val="en-US" w:eastAsia="zh-CN"/>
              </w:rPr>
              <w:t>12</w:t>
            </w:r>
            <w:r>
              <w:rPr>
                <w:rFonts w:ascii="Times New Roman" w:hAnsi="Times New Roman" w:cs="Times New Roman"/>
                <w:sz w:val="21"/>
                <w:szCs w:val="21"/>
              </w:rPr>
              <w:t>0</w:t>
            </w:r>
          </w:p>
        </w:tc>
        <w:tc>
          <w:tcPr>
            <w:tcW w:w="293" w:type="pct"/>
            <w:vMerge w:val="restart"/>
            <w:tcBorders>
              <w:tl2br w:val="nil"/>
              <w:tr2bl w:val="nil"/>
            </w:tcBorders>
            <w:noWrap w:val="0"/>
            <w:vAlign w:val="center"/>
          </w:tcPr>
          <w:p w14:paraId="02E7E2A3">
            <w:pPr>
              <w:pStyle w:val="720"/>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ascii="Times New Roman" w:hAnsi="Times New Roman" w:cs="Times New Roman"/>
                <w:sz w:val="21"/>
                <w:szCs w:val="21"/>
              </w:rPr>
            </w:pPr>
            <w:r>
              <w:rPr>
                <w:rFonts w:hint="eastAsia" w:eastAsia="宋体" w:cs="Times New Roman"/>
                <w:color w:val="auto"/>
                <w:sz w:val="21"/>
                <w:szCs w:val="21"/>
                <w:highlight w:val="none"/>
                <w:lang w:val="en-US" w:eastAsia="zh-CN"/>
              </w:rPr>
              <w:t>70</w:t>
            </w:r>
          </w:p>
        </w:tc>
        <w:tc>
          <w:tcPr>
            <w:tcW w:w="877" w:type="dxa"/>
            <w:vMerge w:val="restart"/>
            <w:tcBorders>
              <w:tl2br w:val="nil"/>
              <w:tr2bl w:val="nil"/>
            </w:tcBorders>
            <w:noWrap w:val="0"/>
            <w:vAlign w:val="center"/>
          </w:tcPr>
          <w:p w14:paraId="456B0364">
            <w:pPr>
              <w:pStyle w:val="720"/>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ascii="Times New Roman" w:hAnsi="Times New Roman" w:cs="Times New Roman"/>
                <w:sz w:val="21"/>
                <w:szCs w:val="21"/>
              </w:rPr>
            </w:pPr>
            <w:r>
              <w:rPr>
                <w:rFonts w:hint="eastAsia" w:eastAsia="宋体" w:cs="Times New Roman"/>
                <w:sz w:val="21"/>
                <w:szCs w:val="21"/>
                <w:lang w:val="en-US" w:eastAsia="zh-CN"/>
              </w:rPr>
              <w:t>2.4</w:t>
            </w:r>
          </w:p>
        </w:tc>
        <w:tc>
          <w:tcPr>
            <w:tcW w:w="487" w:type="pct"/>
            <w:tcBorders>
              <w:tl2br w:val="nil"/>
              <w:tr2bl w:val="nil"/>
            </w:tcBorders>
            <w:noWrap w:val="0"/>
            <w:vAlign w:val="center"/>
          </w:tcPr>
          <w:p w14:paraId="4887A790">
            <w:pPr>
              <w:jc w:val="center"/>
              <w:rPr>
                <w:rFonts w:ascii="Times New Roman" w:hAnsi="Times New Roman" w:cs="Times New Roman"/>
                <w:sz w:val="21"/>
                <w:szCs w:val="21"/>
              </w:rPr>
            </w:pPr>
            <w:r>
              <w:rPr>
                <w:rFonts w:hint="eastAsia" w:ascii="Times New Roman" w:hAnsi="Times New Roman" w:cs="Times New Roman"/>
                <w:bCs/>
                <w:sz w:val="21"/>
                <w:szCs w:val="21"/>
                <w:lang w:val="en-US" w:eastAsia="zh-CN"/>
              </w:rPr>
              <w:t>陶瓷多管除尘器</w:t>
            </w:r>
          </w:p>
        </w:tc>
        <w:tc>
          <w:tcPr>
            <w:tcW w:w="387" w:type="pct"/>
            <w:tcBorders>
              <w:tl2br w:val="nil"/>
              <w:tr2bl w:val="nil"/>
            </w:tcBorders>
            <w:noWrap/>
            <w:vAlign w:val="center"/>
          </w:tcPr>
          <w:p w14:paraId="5233F3EB">
            <w:pPr>
              <w:jc w:val="center"/>
              <w:rPr>
                <w:rFonts w:hint="eastAsia" w:ascii="Times New Roman" w:hAnsi="Times New Roman" w:eastAsia="宋体" w:cs="Times New Roman"/>
                <w:sz w:val="21"/>
                <w:szCs w:val="21"/>
                <w:lang w:eastAsia="zh-CN"/>
              </w:rPr>
            </w:pPr>
            <w:r>
              <w:rPr>
                <w:rFonts w:hint="eastAsia" w:ascii="Times New Roman" w:hAnsi="Times New Roman" w:cs="Times New Roman"/>
                <w:sz w:val="21"/>
                <w:szCs w:val="21"/>
                <w:lang w:val="en-US" w:eastAsia="zh-CN"/>
              </w:rPr>
              <w:t>在线</w:t>
            </w:r>
          </w:p>
        </w:tc>
      </w:tr>
      <w:tr w14:paraId="7E9F270B">
        <w:tblPrEx>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05" w:type="pct"/>
            <w:vMerge w:val="continue"/>
            <w:tcBorders>
              <w:tl2br w:val="nil"/>
              <w:tr2bl w:val="nil"/>
            </w:tcBorders>
            <w:noWrap w:val="0"/>
            <w:vAlign w:val="center"/>
          </w:tcPr>
          <w:p w14:paraId="125129F0">
            <w:pPr>
              <w:jc w:val="center"/>
              <w:rPr>
                <w:rFonts w:hint="eastAsia" w:ascii="Times New Roman" w:hAnsi="Times New Roman" w:cs="Times New Roman"/>
                <w:sz w:val="21"/>
                <w:szCs w:val="21"/>
              </w:rPr>
            </w:pPr>
          </w:p>
        </w:tc>
        <w:tc>
          <w:tcPr>
            <w:tcW w:w="312" w:type="pct"/>
            <w:vMerge w:val="continue"/>
            <w:tcBorders>
              <w:tl2br w:val="nil"/>
              <w:tr2bl w:val="nil"/>
            </w:tcBorders>
            <w:noWrap w:val="0"/>
            <w:vAlign w:val="center"/>
          </w:tcPr>
          <w:p w14:paraId="10F9D347">
            <w:pPr>
              <w:jc w:val="center"/>
              <w:rPr>
                <w:rFonts w:hint="eastAsia" w:ascii="Times New Roman" w:hAnsi="Times New Roman" w:cs="Times New Roman"/>
                <w:sz w:val="21"/>
                <w:szCs w:val="21"/>
                <w:lang w:val="en-US" w:eastAsia="zh-CN"/>
              </w:rPr>
            </w:pPr>
          </w:p>
        </w:tc>
        <w:tc>
          <w:tcPr>
            <w:tcW w:w="416" w:type="pct"/>
            <w:tcBorders>
              <w:tl2br w:val="nil"/>
              <w:tr2bl w:val="nil"/>
            </w:tcBorders>
            <w:noWrap w:val="0"/>
            <w:vAlign w:val="center"/>
          </w:tcPr>
          <w:p w14:paraId="11316E2D">
            <w:pPr>
              <w:jc w:val="center"/>
              <w:rPr>
                <w:rFonts w:ascii="Times New Roman" w:hAnsi="Times New Roman" w:cs="Times New Roman"/>
                <w:sz w:val="21"/>
                <w:szCs w:val="21"/>
              </w:rPr>
            </w:pPr>
            <w:r>
              <w:rPr>
                <w:rFonts w:hint="eastAsia" w:ascii="Times New Roman" w:hAnsi="Times New Roman" w:cs="Times New Roman"/>
                <w:sz w:val="21"/>
                <w:szCs w:val="21"/>
              </w:rPr>
              <w:t>二氧化硫</w:t>
            </w:r>
          </w:p>
        </w:tc>
        <w:tc>
          <w:tcPr>
            <w:tcW w:w="483" w:type="pct"/>
            <w:vMerge w:val="continue"/>
            <w:tcBorders>
              <w:tl2br w:val="nil"/>
              <w:tr2bl w:val="nil"/>
            </w:tcBorders>
            <w:noWrap w:val="0"/>
            <w:vAlign w:val="center"/>
          </w:tcPr>
          <w:p w14:paraId="6732DE0E">
            <w:pPr>
              <w:jc w:val="center"/>
              <w:rPr>
                <w:rFonts w:hint="eastAsia" w:ascii="Times New Roman" w:hAnsi="Times New Roman" w:eastAsia="宋体" w:cs="Times New Roman"/>
                <w:sz w:val="21"/>
                <w:szCs w:val="21"/>
                <w:lang w:val="en-US" w:eastAsia="zh-CN"/>
              </w:rPr>
            </w:pPr>
          </w:p>
        </w:tc>
        <w:tc>
          <w:tcPr>
            <w:tcW w:w="450" w:type="pct"/>
            <w:tcBorders>
              <w:tl2br w:val="nil"/>
              <w:tr2bl w:val="nil"/>
            </w:tcBorders>
            <w:noWrap w:val="0"/>
            <w:vAlign w:val="center"/>
          </w:tcPr>
          <w:p w14:paraId="68B72667">
            <w:pPr>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9.7</w:t>
            </w:r>
          </w:p>
        </w:tc>
        <w:tc>
          <w:tcPr>
            <w:tcW w:w="427" w:type="pct"/>
            <w:tcBorders>
              <w:tl2br w:val="nil"/>
              <w:tr2bl w:val="nil"/>
            </w:tcBorders>
            <w:noWrap w:val="0"/>
            <w:vAlign w:val="center"/>
          </w:tcPr>
          <w:p w14:paraId="71A16BB7">
            <w:pPr>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1.85</w:t>
            </w:r>
          </w:p>
        </w:tc>
        <w:tc>
          <w:tcPr>
            <w:tcW w:w="559" w:type="pct"/>
            <w:tcBorders>
              <w:tl2br w:val="nil"/>
              <w:tr2bl w:val="nil"/>
            </w:tcBorders>
            <w:noWrap w:val="0"/>
            <w:vAlign w:val="center"/>
          </w:tcPr>
          <w:p w14:paraId="3C266EC1">
            <w:pPr>
              <w:jc w:val="center"/>
              <w:rPr>
                <w:rFonts w:hint="default" w:ascii="Times New Roman" w:hAnsi="Times New Roman" w:eastAsia="宋体" w:cs="Times New Roman"/>
                <w:sz w:val="21"/>
                <w:szCs w:val="21"/>
                <w:lang w:val="en-US" w:eastAsia="zh-CN"/>
              </w:rPr>
            </w:pPr>
            <w:r>
              <w:rPr>
                <w:rFonts w:hint="eastAsia" w:ascii="Times New Roman" w:hAnsi="Times New Roman" w:cs="Times New Roman"/>
                <w:sz w:val="21"/>
                <w:szCs w:val="21"/>
                <w:lang w:val="en-US" w:eastAsia="zh-CN"/>
              </w:rPr>
              <w:t>35</w:t>
            </w:r>
          </w:p>
        </w:tc>
        <w:tc>
          <w:tcPr>
            <w:tcW w:w="243" w:type="pct"/>
            <w:tcBorders>
              <w:tl2br w:val="nil"/>
              <w:tr2bl w:val="nil"/>
            </w:tcBorders>
            <w:noWrap w:val="0"/>
            <w:vAlign w:val="center"/>
          </w:tcPr>
          <w:p w14:paraId="409166FA">
            <w:pPr>
              <w:jc w:val="center"/>
              <w:rPr>
                <w:rFonts w:ascii="Times New Roman" w:hAnsi="Times New Roman" w:cs="Times New Roman"/>
                <w:sz w:val="21"/>
                <w:szCs w:val="21"/>
              </w:rPr>
            </w:pPr>
            <w:r>
              <w:rPr>
                <w:rFonts w:ascii="Times New Roman" w:hAnsi="Times New Roman" w:cs="Times New Roman"/>
                <w:sz w:val="21"/>
                <w:szCs w:val="21"/>
              </w:rPr>
              <w:t>达标</w:t>
            </w:r>
          </w:p>
        </w:tc>
        <w:tc>
          <w:tcPr>
            <w:tcW w:w="312" w:type="pct"/>
            <w:vMerge w:val="continue"/>
            <w:tcBorders>
              <w:tl2br w:val="nil"/>
              <w:tr2bl w:val="nil"/>
            </w:tcBorders>
            <w:noWrap w:val="0"/>
            <w:vAlign w:val="center"/>
          </w:tcPr>
          <w:p w14:paraId="60D2DF8B">
            <w:pPr>
              <w:jc w:val="center"/>
              <w:rPr>
                <w:rFonts w:ascii="Times New Roman" w:hAnsi="Times New Roman" w:cs="Times New Roman"/>
                <w:sz w:val="21"/>
                <w:szCs w:val="21"/>
              </w:rPr>
            </w:pPr>
          </w:p>
        </w:tc>
        <w:tc>
          <w:tcPr>
            <w:tcW w:w="293" w:type="pct"/>
            <w:vMerge w:val="continue"/>
            <w:tcBorders>
              <w:tl2br w:val="nil"/>
              <w:tr2bl w:val="nil"/>
            </w:tcBorders>
            <w:noWrap w:val="0"/>
            <w:vAlign w:val="center"/>
          </w:tcPr>
          <w:p w14:paraId="05234B6A">
            <w:pPr>
              <w:jc w:val="center"/>
              <w:rPr>
                <w:rFonts w:hint="eastAsia" w:ascii="Times New Roman" w:hAnsi="Times New Roman" w:cs="Times New Roman"/>
                <w:sz w:val="21"/>
                <w:szCs w:val="21"/>
              </w:rPr>
            </w:pPr>
          </w:p>
        </w:tc>
        <w:tc>
          <w:tcPr>
            <w:tcW w:w="321" w:type="pct"/>
            <w:vMerge w:val="continue"/>
            <w:tcBorders>
              <w:tl2br w:val="nil"/>
              <w:tr2bl w:val="nil"/>
            </w:tcBorders>
            <w:noWrap w:val="0"/>
            <w:vAlign w:val="center"/>
          </w:tcPr>
          <w:p w14:paraId="607F38D6">
            <w:pPr>
              <w:jc w:val="center"/>
              <w:rPr>
                <w:rFonts w:ascii="Times New Roman" w:hAnsi="Times New Roman" w:cs="Times New Roman"/>
                <w:sz w:val="21"/>
                <w:szCs w:val="21"/>
              </w:rPr>
            </w:pPr>
          </w:p>
        </w:tc>
        <w:tc>
          <w:tcPr>
            <w:tcW w:w="487" w:type="pct"/>
            <w:tcBorders>
              <w:tl2br w:val="nil"/>
              <w:tr2bl w:val="nil"/>
            </w:tcBorders>
            <w:noWrap w:val="0"/>
            <w:vAlign w:val="center"/>
          </w:tcPr>
          <w:p w14:paraId="1FB674E4">
            <w:pPr>
              <w:jc w:val="center"/>
              <w:rPr>
                <w:rFonts w:ascii="Times New Roman" w:hAnsi="Times New Roman" w:cs="Times New Roman"/>
                <w:sz w:val="21"/>
                <w:szCs w:val="21"/>
              </w:rPr>
            </w:pPr>
            <w:r>
              <w:rPr>
                <w:rFonts w:hint="eastAsia" w:ascii="Times New Roman" w:hAnsi="Times New Roman" w:cs="Times New Roman"/>
                <w:bCs/>
                <w:sz w:val="21"/>
                <w:szCs w:val="21"/>
                <w:lang w:val="en-US" w:eastAsia="zh-CN"/>
              </w:rPr>
              <w:t>湿式脱硫</w:t>
            </w:r>
          </w:p>
        </w:tc>
        <w:tc>
          <w:tcPr>
            <w:tcW w:w="387" w:type="pct"/>
            <w:tcBorders>
              <w:tl2br w:val="nil"/>
              <w:tr2bl w:val="nil"/>
            </w:tcBorders>
            <w:noWrap/>
            <w:vAlign w:val="center"/>
          </w:tcPr>
          <w:p w14:paraId="1D0A1B03">
            <w:pPr>
              <w:jc w:val="center"/>
              <w:rPr>
                <w:rFonts w:ascii="Times New Roman" w:hAnsi="Times New Roman" w:cs="Times New Roman"/>
                <w:sz w:val="21"/>
                <w:szCs w:val="21"/>
              </w:rPr>
            </w:pPr>
            <w:r>
              <w:rPr>
                <w:rFonts w:hint="eastAsia" w:ascii="Times New Roman" w:hAnsi="Times New Roman" w:cs="Times New Roman"/>
                <w:sz w:val="21"/>
                <w:szCs w:val="21"/>
                <w:lang w:val="en-US" w:eastAsia="zh-CN"/>
              </w:rPr>
              <w:t>在线</w:t>
            </w:r>
          </w:p>
        </w:tc>
      </w:tr>
      <w:tr w14:paraId="362F6EE4">
        <w:tblPrEx>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05" w:type="pct"/>
            <w:vMerge w:val="continue"/>
            <w:tcBorders>
              <w:tl2br w:val="nil"/>
              <w:tr2bl w:val="nil"/>
            </w:tcBorders>
            <w:noWrap w:val="0"/>
            <w:vAlign w:val="center"/>
          </w:tcPr>
          <w:p w14:paraId="6A0C647C">
            <w:pPr>
              <w:jc w:val="center"/>
              <w:rPr>
                <w:rFonts w:hint="eastAsia" w:ascii="Times New Roman" w:hAnsi="Times New Roman" w:cs="Times New Roman"/>
                <w:sz w:val="21"/>
                <w:szCs w:val="21"/>
              </w:rPr>
            </w:pPr>
          </w:p>
        </w:tc>
        <w:tc>
          <w:tcPr>
            <w:tcW w:w="312" w:type="pct"/>
            <w:vMerge w:val="continue"/>
            <w:tcBorders>
              <w:tl2br w:val="nil"/>
              <w:tr2bl w:val="nil"/>
            </w:tcBorders>
            <w:noWrap w:val="0"/>
            <w:vAlign w:val="center"/>
          </w:tcPr>
          <w:p w14:paraId="62AD3CBE">
            <w:pPr>
              <w:jc w:val="center"/>
              <w:rPr>
                <w:rFonts w:hint="eastAsia" w:ascii="Times New Roman" w:hAnsi="Times New Roman" w:cs="Times New Roman"/>
                <w:sz w:val="21"/>
                <w:szCs w:val="21"/>
                <w:lang w:val="en-US" w:eastAsia="zh-CN"/>
              </w:rPr>
            </w:pPr>
          </w:p>
        </w:tc>
        <w:tc>
          <w:tcPr>
            <w:tcW w:w="416" w:type="pct"/>
            <w:tcBorders>
              <w:tl2br w:val="nil"/>
              <w:tr2bl w:val="nil"/>
            </w:tcBorders>
            <w:noWrap w:val="0"/>
            <w:vAlign w:val="center"/>
          </w:tcPr>
          <w:p w14:paraId="5179D242">
            <w:pPr>
              <w:jc w:val="center"/>
              <w:rPr>
                <w:rFonts w:ascii="Times New Roman" w:hAnsi="Times New Roman" w:cs="Times New Roman"/>
                <w:sz w:val="21"/>
                <w:szCs w:val="21"/>
              </w:rPr>
            </w:pPr>
            <w:r>
              <w:rPr>
                <w:rFonts w:hint="eastAsia" w:ascii="Times New Roman" w:hAnsi="Times New Roman" w:cs="Times New Roman"/>
                <w:sz w:val="21"/>
                <w:szCs w:val="21"/>
              </w:rPr>
              <w:t>氮氧化物</w:t>
            </w:r>
          </w:p>
        </w:tc>
        <w:tc>
          <w:tcPr>
            <w:tcW w:w="483" w:type="pct"/>
            <w:vMerge w:val="continue"/>
            <w:tcBorders>
              <w:tl2br w:val="nil"/>
              <w:tr2bl w:val="nil"/>
            </w:tcBorders>
            <w:noWrap w:val="0"/>
            <w:vAlign w:val="center"/>
          </w:tcPr>
          <w:p w14:paraId="3ECA2464">
            <w:pPr>
              <w:jc w:val="center"/>
              <w:rPr>
                <w:rFonts w:hint="eastAsia" w:ascii="Times New Roman" w:hAnsi="Times New Roman" w:eastAsia="宋体" w:cs="Times New Roman"/>
                <w:sz w:val="21"/>
                <w:szCs w:val="21"/>
                <w:lang w:val="en-US" w:eastAsia="zh-CN"/>
              </w:rPr>
            </w:pPr>
          </w:p>
        </w:tc>
        <w:tc>
          <w:tcPr>
            <w:tcW w:w="450" w:type="pct"/>
            <w:tcBorders>
              <w:tl2br w:val="nil"/>
              <w:tr2bl w:val="nil"/>
            </w:tcBorders>
            <w:noWrap w:val="0"/>
            <w:vAlign w:val="center"/>
          </w:tcPr>
          <w:p w14:paraId="06941B22">
            <w:pPr>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25.9</w:t>
            </w:r>
          </w:p>
        </w:tc>
        <w:tc>
          <w:tcPr>
            <w:tcW w:w="427" w:type="pct"/>
            <w:tcBorders>
              <w:tl2br w:val="nil"/>
              <w:tr2bl w:val="nil"/>
            </w:tcBorders>
            <w:noWrap w:val="0"/>
            <w:vAlign w:val="center"/>
          </w:tcPr>
          <w:p w14:paraId="1587552C">
            <w:pPr>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5.33</w:t>
            </w:r>
          </w:p>
        </w:tc>
        <w:tc>
          <w:tcPr>
            <w:tcW w:w="559" w:type="pct"/>
            <w:tcBorders>
              <w:tl2br w:val="nil"/>
              <w:tr2bl w:val="nil"/>
            </w:tcBorders>
            <w:noWrap w:val="0"/>
            <w:vAlign w:val="center"/>
          </w:tcPr>
          <w:p w14:paraId="1B064048">
            <w:pPr>
              <w:jc w:val="center"/>
              <w:rPr>
                <w:rFonts w:hint="default" w:ascii="Times New Roman" w:hAnsi="Times New Roman" w:eastAsia="宋体" w:cs="Times New Roman"/>
                <w:sz w:val="21"/>
                <w:szCs w:val="21"/>
                <w:lang w:val="en-US" w:eastAsia="zh-CN"/>
              </w:rPr>
            </w:pPr>
            <w:r>
              <w:rPr>
                <w:rFonts w:hint="eastAsia" w:ascii="Times New Roman" w:hAnsi="Times New Roman" w:cs="Times New Roman"/>
                <w:sz w:val="21"/>
                <w:szCs w:val="21"/>
                <w:lang w:val="en-US" w:eastAsia="zh-CN"/>
              </w:rPr>
              <w:t>50</w:t>
            </w:r>
          </w:p>
        </w:tc>
        <w:tc>
          <w:tcPr>
            <w:tcW w:w="243" w:type="pct"/>
            <w:tcBorders>
              <w:tl2br w:val="nil"/>
              <w:tr2bl w:val="nil"/>
            </w:tcBorders>
            <w:noWrap w:val="0"/>
            <w:vAlign w:val="center"/>
          </w:tcPr>
          <w:p w14:paraId="2D076E4E">
            <w:pPr>
              <w:jc w:val="center"/>
              <w:rPr>
                <w:rFonts w:ascii="Times New Roman" w:hAnsi="Times New Roman" w:cs="Times New Roman"/>
                <w:sz w:val="21"/>
                <w:szCs w:val="21"/>
              </w:rPr>
            </w:pPr>
            <w:r>
              <w:rPr>
                <w:rFonts w:ascii="Times New Roman" w:hAnsi="Times New Roman" w:cs="Times New Roman"/>
                <w:sz w:val="21"/>
                <w:szCs w:val="21"/>
              </w:rPr>
              <w:t>达标</w:t>
            </w:r>
          </w:p>
        </w:tc>
        <w:tc>
          <w:tcPr>
            <w:tcW w:w="312" w:type="pct"/>
            <w:vMerge w:val="continue"/>
            <w:tcBorders>
              <w:tl2br w:val="nil"/>
              <w:tr2bl w:val="nil"/>
            </w:tcBorders>
            <w:noWrap w:val="0"/>
            <w:vAlign w:val="center"/>
          </w:tcPr>
          <w:p w14:paraId="72598569">
            <w:pPr>
              <w:jc w:val="center"/>
              <w:rPr>
                <w:rFonts w:ascii="Times New Roman" w:hAnsi="Times New Roman" w:cs="Times New Roman"/>
                <w:sz w:val="21"/>
                <w:szCs w:val="21"/>
              </w:rPr>
            </w:pPr>
          </w:p>
        </w:tc>
        <w:tc>
          <w:tcPr>
            <w:tcW w:w="293" w:type="pct"/>
            <w:vMerge w:val="continue"/>
            <w:tcBorders>
              <w:tl2br w:val="nil"/>
              <w:tr2bl w:val="nil"/>
            </w:tcBorders>
            <w:noWrap w:val="0"/>
            <w:vAlign w:val="center"/>
          </w:tcPr>
          <w:p w14:paraId="2E294AEA">
            <w:pPr>
              <w:jc w:val="center"/>
              <w:rPr>
                <w:rFonts w:hint="eastAsia" w:ascii="Times New Roman" w:hAnsi="Times New Roman" w:cs="Times New Roman"/>
                <w:sz w:val="21"/>
                <w:szCs w:val="21"/>
              </w:rPr>
            </w:pPr>
          </w:p>
        </w:tc>
        <w:tc>
          <w:tcPr>
            <w:tcW w:w="321" w:type="pct"/>
            <w:vMerge w:val="continue"/>
            <w:tcBorders>
              <w:tl2br w:val="nil"/>
              <w:tr2bl w:val="nil"/>
            </w:tcBorders>
            <w:noWrap w:val="0"/>
            <w:vAlign w:val="center"/>
          </w:tcPr>
          <w:p w14:paraId="5372D3EE">
            <w:pPr>
              <w:jc w:val="center"/>
              <w:rPr>
                <w:rFonts w:ascii="Times New Roman" w:hAnsi="Times New Roman" w:cs="Times New Roman"/>
                <w:sz w:val="21"/>
                <w:szCs w:val="21"/>
              </w:rPr>
            </w:pPr>
          </w:p>
        </w:tc>
        <w:tc>
          <w:tcPr>
            <w:tcW w:w="487" w:type="pct"/>
            <w:tcBorders>
              <w:tl2br w:val="nil"/>
              <w:tr2bl w:val="nil"/>
            </w:tcBorders>
            <w:noWrap w:val="0"/>
            <w:vAlign w:val="center"/>
          </w:tcPr>
          <w:p w14:paraId="4D215BF7">
            <w:pPr>
              <w:jc w:val="center"/>
              <w:rPr>
                <w:rFonts w:hint="eastAsia" w:ascii="Times New Roman" w:hAnsi="Times New Roman" w:eastAsia="宋体" w:cs="Times New Roman"/>
                <w:sz w:val="21"/>
                <w:szCs w:val="21"/>
                <w:lang w:val="en-US" w:eastAsia="zh-CN"/>
              </w:rPr>
            </w:pPr>
            <w:r>
              <w:rPr>
                <w:rFonts w:hint="eastAsia" w:ascii="Times New Roman" w:hAnsi="Times New Roman" w:cs="Times New Roman"/>
                <w:sz w:val="21"/>
                <w:szCs w:val="21"/>
                <w:lang w:val="en-US" w:eastAsia="zh-CN"/>
              </w:rPr>
              <w:t>/</w:t>
            </w:r>
          </w:p>
        </w:tc>
        <w:tc>
          <w:tcPr>
            <w:tcW w:w="387" w:type="pct"/>
            <w:tcBorders>
              <w:tl2br w:val="nil"/>
              <w:tr2bl w:val="nil"/>
            </w:tcBorders>
            <w:noWrap/>
            <w:vAlign w:val="center"/>
          </w:tcPr>
          <w:p w14:paraId="2D916243">
            <w:pPr>
              <w:jc w:val="center"/>
              <w:rPr>
                <w:rFonts w:ascii="Times New Roman" w:hAnsi="Times New Roman" w:cs="Times New Roman"/>
                <w:sz w:val="21"/>
                <w:szCs w:val="21"/>
              </w:rPr>
            </w:pPr>
            <w:r>
              <w:rPr>
                <w:rFonts w:hint="eastAsia" w:ascii="Times New Roman" w:hAnsi="Times New Roman" w:cs="Times New Roman"/>
                <w:sz w:val="21"/>
                <w:szCs w:val="21"/>
                <w:lang w:val="en-US" w:eastAsia="zh-CN"/>
              </w:rPr>
              <w:t>在线</w:t>
            </w:r>
          </w:p>
        </w:tc>
      </w:tr>
      <w:tr w14:paraId="75819FAB">
        <w:tblPrEx>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05" w:type="pct"/>
            <w:vMerge w:val="continue"/>
            <w:tcBorders>
              <w:tl2br w:val="nil"/>
              <w:tr2bl w:val="nil"/>
            </w:tcBorders>
            <w:noWrap w:val="0"/>
            <w:vAlign w:val="center"/>
          </w:tcPr>
          <w:p w14:paraId="7E5190E6">
            <w:pPr>
              <w:jc w:val="center"/>
              <w:rPr>
                <w:rFonts w:ascii="Times New Roman" w:hAnsi="Times New Roman" w:cs="Times New Roman"/>
                <w:sz w:val="21"/>
                <w:szCs w:val="21"/>
              </w:rPr>
            </w:pPr>
          </w:p>
        </w:tc>
        <w:tc>
          <w:tcPr>
            <w:tcW w:w="312" w:type="pct"/>
            <w:vMerge w:val="continue"/>
            <w:tcBorders>
              <w:tl2br w:val="nil"/>
              <w:tr2bl w:val="nil"/>
            </w:tcBorders>
            <w:noWrap w:val="0"/>
            <w:vAlign w:val="center"/>
          </w:tcPr>
          <w:p w14:paraId="4F5297F2">
            <w:pPr>
              <w:jc w:val="center"/>
              <w:rPr>
                <w:rFonts w:ascii="Times New Roman" w:hAnsi="Times New Roman" w:cs="Times New Roman"/>
                <w:sz w:val="21"/>
                <w:szCs w:val="21"/>
              </w:rPr>
            </w:pPr>
          </w:p>
        </w:tc>
        <w:tc>
          <w:tcPr>
            <w:tcW w:w="416" w:type="pct"/>
            <w:tcBorders>
              <w:tl2br w:val="nil"/>
              <w:tr2bl w:val="nil"/>
            </w:tcBorders>
            <w:noWrap w:val="0"/>
            <w:vAlign w:val="center"/>
          </w:tcPr>
          <w:p w14:paraId="33DE4B82">
            <w:pPr>
              <w:jc w:val="center"/>
              <w:rPr>
                <w:rFonts w:ascii="Times New Roman" w:hAnsi="Times New Roman" w:cs="Times New Roman"/>
                <w:sz w:val="21"/>
                <w:szCs w:val="21"/>
              </w:rPr>
            </w:pPr>
            <w:r>
              <w:rPr>
                <w:rFonts w:hint="eastAsia" w:ascii="Times New Roman" w:hAnsi="Times New Roman" w:cs="Times New Roman"/>
                <w:sz w:val="21"/>
                <w:szCs w:val="21"/>
              </w:rPr>
              <w:t>氟化物</w:t>
            </w:r>
          </w:p>
        </w:tc>
        <w:tc>
          <w:tcPr>
            <w:tcW w:w="483" w:type="pct"/>
            <w:vMerge w:val="continue"/>
            <w:tcBorders>
              <w:tl2br w:val="nil"/>
              <w:tr2bl w:val="nil"/>
            </w:tcBorders>
            <w:noWrap w:val="0"/>
            <w:vAlign w:val="center"/>
          </w:tcPr>
          <w:p w14:paraId="4DBC585C">
            <w:pPr>
              <w:jc w:val="center"/>
              <w:rPr>
                <w:rFonts w:hint="eastAsia" w:ascii="Times New Roman" w:hAnsi="Times New Roman" w:eastAsia="宋体" w:cs="Times New Roman"/>
                <w:sz w:val="21"/>
                <w:szCs w:val="21"/>
                <w:lang w:val="en-US" w:eastAsia="zh-CN"/>
              </w:rPr>
            </w:pPr>
          </w:p>
        </w:tc>
        <w:tc>
          <w:tcPr>
            <w:tcW w:w="450" w:type="pct"/>
            <w:tcBorders>
              <w:tl2br w:val="nil"/>
              <w:tr2bl w:val="nil"/>
            </w:tcBorders>
            <w:noWrap w:val="0"/>
            <w:vAlign w:val="center"/>
          </w:tcPr>
          <w:p w14:paraId="456480EA">
            <w:pPr>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1.22</w:t>
            </w:r>
          </w:p>
        </w:tc>
        <w:tc>
          <w:tcPr>
            <w:tcW w:w="427" w:type="pct"/>
            <w:tcBorders>
              <w:tl2br w:val="nil"/>
              <w:tr2bl w:val="nil"/>
            </w:tcBorders>
            <w:noWrap w:val="0"/>
            <w:vAlign w:val="center"/>
          </w:tcPr>
          <w:p w14:paraId="3B3700C4">
            <w:pPr>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0.16</w:t>
            </w:r>
          </w:p>
        </w:tc>
        <w:tc>
          <w:tcPr>
            <w:tcW w:w="559" w:type="pct"/>
            <w:tcBorders>
              <w:tl2br w:val="nil"/>
              <w:tr2bl w:val="nil"/>
            </w:tcBorders>
            <w:noWrap w:val="0"/>
            <w:vAlign w:val="center"/>
          </w:tcPr>
          <w:p w14:paraId="6F8D718D">
            <w:pPr>
              <w:jc w:val="center"/>
              <w:rPr>
                <w:rFonts w:hint="default" w:ascii="Times New Roman" w:hAnsi="Times New Roman" w:eastAsia="宋体" w:cs="Times New Roman"/>
                <w:sz w:val="21"/>
                <w:szCs w:val="21"/>
                <w:lang w:val="en-US" w:eastAsia="zh-CN"/>
              </w:rPr>
            </w:pPr>
            <w:r>
              <w:rPr>
                <w:rFonts w:hint="eastAsia" w:ascii="Times New Roman" w:hAnsi="Times New Roman" w:cs="Times New Roman"/>
                <w:sz w:val="21"/>
                <w:szCs w:val="21"/>
                <w:lang w:val="en-US" w:eastAsia="zh-CN"/>
              </w:rPr>
              <w:t>4</w:t>
            </w:r>
          </w:p>
        </w:tc>
        <w:tc>
          <w:tcPr>
            <w:tcW w:w="243" w:type="pct"/>
            <w:tcBorders>
              <w:tl2br w:val="nil"/>
              <w:tr2bl w:val="nil"/>
            </w:tcBorders>
            <w:noWrap w:val="0"/>
            <w:vAlign w:val="center"/>
          </w:tcPr>
          <w:p w14:paraId="60ECD6D3">
            <w:pPr>
              <w:jc w:val="center"/>
              <w:rPr>
                <w:rFonts w:ascii="Times New Roman" w:hAnsi="Times New Roman" w:cs="Times New Roman"/>
                <w:sz w:val="21"/>
                <w:szCs w:val="21"/>
              </w:rPr>
            </w:pPr>
            <w:r>
              <w:rPr>
                <w:rFonts w:ascii="Times New Roman" w:hAnsi="Times New Roman" w:cs="Times New Roman"/>
                <w:sz w:val="21"/>
                <w:szCs w:val="21"/>
              </w:rPr>
              <w:t>达标</w:t>
            </w:r>
          </w:p>
        </w:tc>
        <w:tc>
          <w:tcPr>
            <w:tcW w:w="312" w:type="pct"/>
            <w:vMerge w:val="continue"/>
            <w:tcBorders>
              <w:tl2br w:val="nil"/>
              <w:tr2bl w:val="nil"/>
            </w:tcBorders>
            <w:noWrap w:val="0"/>
            <w:vAlign w:val="center"/>
          </w:tcPr>
          <w:p w14:paraId="5DE9F05E">
            <w:pPr>
              <w:jc w:val="center"/>
              <w:rPr>
                <w:rFonts w:ascii="Times New Roman" w:hAnsi="Times New Roman" w:cs="Times New Roman"/>
                <w:sz w:val="21"/>
                <w:szCs w:val="21"/>
              </w:rPr>
            </w:pPr>
          </w:p>
        </w:tc>
        <w:tc>
          <w:tcPr>
            <w:tcW w:w="293" w:type="pct"/>
            <w:vMerge w:val="continue"/>
            <w:tcBorders>
              <w:tl2br w:val="nil"/>
              <w:tr2bl w:val="nil"/>
            </w:tcBorders>
            <w:noWrap w:val="0"/>
            <w:vAlign w:val="center"/>
          </w:tcPr>
          <w:p w14:paraId="52FD0104">
            <w:pPr>
              <w:jc w:val="center"/>
              <w:rPr>
                <w:rFonts w:ascii="Times New Roman" w:hAnsi="Times New Roman" w:cs="Times New Roman"/>
                <w:sz w:val="21"/>
                <w:szCs w:val="21"/>
              </w:rPr>
            </w:pPr>
          </w:p>
        </w:tc>
        <w:tc>
          <w:tcPr>
            <w:tcW w:w="321" w:type="pct"/>
            <w:vMerge w:val="continue"/>
            <w:tcBorders>
              <w:tl2br w:val="nil"/>
              <w:tr2bl w:val="nil"/>
            </w:tcBorders>
            <w:noWrap w:val="0"/>
            <w:vAlign w:val="center"/>
          </w:tcPr>
          <w:p w14:paraId="0F1DEB7F">
            <w:pPr>
              <w:jc w:val="center"/>
              <w:rPr>
                <w:rFonts w:ascii="Times New Roman" w:hAnsi="Times New Roman" w:cs="Times New Roman"/>
                <w:sz w:val="21"/>
                <w:szCs w:val="21"/>
              </w:rPr>
            </w:pPr>
          </w:p>
        </w:tc>
        <w:tc>
          <w:tcPr>
            <w:tcW w:w="487" w:type="pct"/>
            <w:tcBorders>
              <w:tl2br w:val="nil"/>
              <w:tr2bl w:val="nil"/>
            </w:tcBorders>
            <w:noWrap w:val="0"/>
            <w:vAlign w:val="center"/>
          </w:tcPr>
          <w:p w14:paraId="5DECBF6A">
            <w:pPr>
              <w:jc w:val="center"/>
              <w:rPr>
                <w:rFonts w:hint="eastAsia" w:ascii="Times New Roman" w:hAnsi="Times New Roman" w:eastAsia="宋体" w:cs="Times New Roman"/>
                <w:sz w:val="21"/>
                <w:szCs w:val="21"/>
                <w:lang w:val="en-US" w:eastAsia="zh-CN"/>
              </w:rPr>
            </w:pPr>
            <w:r>
              <w:rPr>
                <w:rFonts w:hint="eastAsia" w:ascii="Times New Roman" w:hAnsi="Times New Roman" w:cs="Times New Roman"/>
                <w:sz w:val="21"/>
                <w:szCs w:val="21"/>
                <w:lang w:val="en-US" w:eastAsia="zh-CN"/>
              </w:rPr>
              <w:t>/</w:t>
            </w:r>
          </w:p>
        </w:tc>
        <w:tc>
          <w:tcPr>
            <w:tcW w:w="387" w:type="pct"/>
            <w:tcBorders>
              <w:tl2br w:val="nil"/>
              <w:tr2bl w:val="nil"/>
            </w:tcBorders>
            <w:noWrap/>
            <w:vAlign w:val="center"/>
          </w:tcPr>
          <w:p w14:paraId="1FC03FDC">
            <w:pPr>
              <w:jc w:val="center"/>
              <w:rPr>
                <w:rFonts w:hint="eastAsia" w:ascii="Times New Roman" w:hAnsi="Times New Roman" w:eastAsia="宋体" w:cs="Times New Roman"/>
                <w:sz w:val="21"/>
                <w:szCs w:val="21"/>
                <w:lang w:val="en-US" w:eastAsia="zh-CN"/>
              </w:rPr>
            </w:pPr>
            <w:r>
              <w:rPr>
                <w:rFonts w:hint="eastAsia" w:ascii="Times New Roman" w:hAnsi="Times New Roman" w:cs="Times New Roman"/>
                <w:sz w:val="21"/>
                <w:szCs w:val="21"/>
                <w:lang w:val="en-US" w:eastAsia="zh-CN"/>
              </w:rPr>
              <w:t>手工</w:t>
            </w:r>
          </w:p>
        </w:tc>
      </w:tr>
      <w:tr w14:paraId="269B29BF">
        <w:tblPrEx>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05" w:type="pct"/>
            <w:tcBorders>
              <w:tl2br w:val="nil"/>
              <w:tr2bl w:val="nil"/>
            </w:tcBorders>
            <w:noWrap w:val="0"/>
            <w:vAlign w:val="center"/>
          </w:tcPr>
          <w:p w14:paraId="14E1B50A">
            <w:pPr>
              <w:jc w:val="center"/>
              <w:rPr>
                <w:rFonts w:ascii="Times New Roman" w:hAnsi="Times New Roman" w:cs="Times New Roman"/>
                <w:sz w:val="21"/>
                <w:szCs w:val="21"/>
              </w:rPr>
            </w:pPr>
            <w:r>
              <w:rPr>
                <w:rFonts w:hint="eastAsia" w:ascii="Times New Roman" w:hAnsi="Times New Roman" w:cs="Times New Roman"/>
                <w:sz w:val="21"/>
                <w:szCs w:val="21"/>
              </w:rPr>
              <w:t>DA003</w:t>
            </w:r>
          </w:p>
        </w:tc>
        <w:tc>
          <w:tcPr>
            <w:tcW w:w="312" w:type="pct"/>
            <w:tcBorders>
              <w:tl2br w:val="nil"/>
              <w:tr2bl w:val="nil"/>
            </w:tcBorders>
            <w:noWrap w:val="0"/>
            <w:vAlign w:val="center"/>
          </w:tcPr>
          <w:p w14:paraId="68D8751E">
            <w:pPr>
              <w:jc w:val="center"/>
              <w:rPr>
                <w:rFonts w:hint="eastAsia" w:ascii="Times New Roman" w:hAnsi="Times New Roman" w:eastAsia="宋体" w:cs="Times New Roman"/>
                <w:sz w:val="21"/>
                <w:szCs w:val="21"/>
                <w:lang w:eastAsia="zh-CN"/>
              </w:rPr>
            </w:pPr>
            <w:r>
              <w:rPr>
                <w:rFonts w:hint="eastAsia" w:ascii="Times New Roman" w:hAnsi="Times New Roman" w:cs="Times New Roman"/>
                <w:sz w:val="21"/>
                <w:szCs w:val="21"/>
                <w:lang w:val="en-US" w:eastAsia="zh-CN"/>
              </w:rPr>
              <w:t>烧结配料</w:t>
            </w:r>
          </w:p>
        </w:tc>
        <w:tc>
          <w:tcPr>
            <w:tcW w:w="416" w:type="pct"/>
            <w:tcBorders>
              <w:tl2br w:val="nil"/>
              <w:tr2bl w:val="nil"/>
            </w:tcBorders>
            <w:noWrap w:val="0"/>
            <w:vAlign w:val="center"/>
          </w:tcPr>
          <w:p w14:paraId="301EF2D1">
            <w:pPr>
              <w:jc w:val="center"/>
              <w:rPr>
                <w:rFonts w:ascii="Times New Roman" w:hAnsi="Times New Roman" w:cs="Times New Roman"/>
                <w:sz w:val="21"/>
                <w:szCs w:val="21"/>
              </w:rPr>
            </w:pPr>
            <w:r>
              <w:rPr>
                <w:rFonts w:ascii="Times New Roman" w:hAnsi="Times New Roman" w:cs="Times New Roman"/>
                <w:sz w:val="21"/>
                <w:szCs w:val="21"/>
              </w:rPr>
              <w:t>颗粒物</w:t>
            </w:r>
          </w:p>
        </w:tc>
        <w:tc>
          <w:tcPr>
            <w:tcW w:w="483" w:type="pct"/>
            <w:tcBorders>
              <w:tl2br w:val="nil"/>
              <w:tr2bl w:val="nil"/>
            </w:tcBorders>
            <w:noWrap w:val="0"/>
            <w:vAlign w:val="center"/>
          </w:tcPr>
          <w:p w14:paraId="075C75CA">
            <w:pPr>
              <w:jc w:val="center"/>
              <w:rPr>
                <w:rFonts w:hint="default" w:ascii="Times New Roman" w:hAnsi="Times New Roman" w:eastAsia="宋体" w:cs="Times New Roman"/>
                <w:sz w:val="21"/>
                <w:szCs w:val="21"/>
                <w:lang w:val="en-US" w:eastAsia="zh-CN"/>
              </w:rPr>
            </w:pPr>
            <w:r>
              <w:rPr>
                <w:rFonts w:hint="eastAsia" w:ascii="Times New Roman" w:hAnsi="Times New Roman" w:cs="Times New Roman"/>
                <w:sz w:val="21"/>
                <w:szCs w:val="21"/>
                <w:lang w:val="en-US" w:eastAsia="zh-CN"/>
              </w:rPr>
              <w:t>29561</w:t>
            </w:r>
          </w:p>
        </w:tc>
        <w:tc>
          <w:tcPr>
            <w:tcW w:w="450" w:type="pct"/>
            <w:tcBorders>
              <w:tl2br w:val="nil"/>
              <w:tr2bl w:val="nil"/>
            </w:tcBorders>
            <w:noWrap w:val="0"/>
            <w:vAlign w:val="center"/>
          </w:tcPr>
          <w:p w14:paraId="340B31D1">
            <w:pPr>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1</w:t>
            </w:r>
            <w:r>
              <w:rPr>
                <w:rFonts w:hint="eastAsia" w:ascii="Times New Roman" w:hAnsi="Times New Roman" w:cs="Times New Roman"/>
                <w:sz w:val="21"/>
                <w:szCs w:val="21"/>
                <w:lang w:val="en-US" w:eastAsia="zh-CN"/>
              </w:rPr>
              <w:t>0</w:t>
            </w:r>
          </w:p>
        </w:tc>
        <w:tc>
          <w:tcPr>
            <w:tcW w:w="427" w:type="pct"/>
            <w:tcBorders>
              <w:tl2br w:val="nil"/>
              <w:tr2bl w:val="nil"/>
            </w:tcBorders>
            <w:noWrap/>
            <w:vAlign w:val="center"/>
          </w:tcPr>
          <w:p w14:paraId="15E11A34">
            <w:pPr>
              <w:jc w:val="center"/>
              <w:rPr>
                <w:rFonts w:hint="default" w:ascii="Times New Roman" w:hAnsi="Times New Roman" w:eastAsia="宋体" w:cs="Times New Roman"/>
                <w:sz w:val="21"/>
                <w:szCs w:val="21"/>
                <w:lang w:val="en-US" w:eastAsia="zh-CN"/>
              </w:rPr>
            </w:pPr>
            <w:r>
              <w:rPr>
                <w:rFonts w:hint="eastAsia" w:ascii="Times New Roman" w:hAnsi="Times New Roman" w:cs="Times New Roman"/>
                <w:sz w:val="21"/>
                <w:szCs w:val="21"/>
                <w:lang w:val="en-US" w:eastAsia="zh-CN"/>
              </w:rPr>
              <w:t>0.29</w:t>
            </w:r>
          </w:p>
        </w:tc>
        <w:tc>
          <w:tcPr>
            <w:tcW w:w="559" w:type="pct"/>
            <w:tcBorders>
              <w:tl2br w:val="nil"/>
              <w:tr2bl w:val="nil"/>
            </w:tcBorders>
            <w:noWrap w:val="0"/>
            <w:vAlign w:val="center"/>
          </w:tcPr>
          <w:p w14:paraId="7C654B7B">
            <w:pPr>
              <w:jc w:val="center"/>
              <w:rPr>
                <w:rFonts w:hint="default" w:ascii="Times New Roman" w:hAnsi="Times New Roman" w:eastAsia="宋体" w:cs="Times New Roman"/>
                <w:sz w:val="21"/>
                <w:szCs w:val="21"/>
                <w:lang w:val="en-US" w:eastAsia="zh-CN"/>
              </w:rPr>
            </w:pPr>
            <w:r>
              <w:rPr>
                <w:rFonts w:hint="eastAsia" w:ascii="Times New Roman" w:hAnsi="Times New Roman" w:cs="Times New Roman"/>
                <w:sz w:val="21"/>
                <w:szCs w:val="21"/>
                <w:lang w:val="en-US" w:eastAsia="zh-CN"/>
              </w:rPr>
              <w:t>10</w:t>
            </w:r>
          </w:p>
        </w:tc>
        <w:tc>
          <w:tcPr>
            <w:tcW w:w="243" w:type="pct"/>
            <w:tcBorders>
              <w:tl2br w:val="nil"/>
              <w:tr2bl w:val="nil"/>
            </w:tcBorders>
            <w:noWrap w:val="0"/>
            <w:vAlign w:val="center"/>
          </w:tcPr>
          <w:p w14:paraId="0370EB92">
            <w:pPr>
              <w:jc w:val="center"/>
              <w:rPr>
                <w:rFonts w:ascii="Times New Roman" w:hAnsi="Times New Roman" w:cs="Times New Roman"/>
                <w:sz w:val="21"/>
                <w:szCs w:val="21"/>
              </w:rPr>
            </w:pPr>
            <w:r>
              <w:rPr>
                <w:rFonts w:ascii="Times New Roman" w:hAnsi="Times New Roman" w:cs="Times New Roman"/>
                <w:sz w:val="21"/>
                <w:szCs w:val="21"/>
              </w:rPr>
              <w:t>达标</w:t>
            </w:r>
          </w:p>
        </w:tc>
        <w:tc>
          <w:tcPr>
            <w:tcW w:w="312" w:type="pct"/>
            <w:tcBorders>
              <w:tl2br w:val="nil"/>
              <w:tr2bl w:val="nil"/>
            </w:tcBorders>
            <w:noWrap w:val="0"/>
            <w:vAlign w:val="center"/>
          </w:tcPr>
          <w:p w14:paraId="65F9727F">
            <w:pPr>
              <w:jc w:val="center"/>
              <w:rPr>
                <w:rFonts w:ascii="Times New Roman" w:hAnsi="Times New Roman" w:cs="Times New Roman"/>
                <w:sz w:val="21"/>
                <w:szCs w:val="21"/>
              </w:rPr>
            </w:pPr>
            <w:r>
              <w:rPr>
                <w:rFonts w:hint="eastAsia" w:ascii="Times New Roman" w:hAnsi="Times New Roman" w:cs="Times New Roman"/>
                <w:sz w:val="21"/>
                <w:szCs w:val="21"/>
                <w:lang w:val="en-US" w:eastAsia="zh-CN"/>
              </w:rPr>
              <w:t>常温</w:t>
            </w:r>
          </w:p>
        </w:tc>
        <w:tc>
          <w:tcPr>
            <w:tcW w:w="293" w:type="pct"/>
            <w:tcBorders>
              <w:tl2br w:val="nil"/>
              <w:tr2bl w:val="nil"/>
            </w:tcBorders>
            <w:noWrap w:val="0"/>
            <w:vAlign w:val="center"/>
          </w:tcPr>
          <w:p w14:paraId="641B22D1">
            <w:pPr>
              <w:pStyle w:val="720"/>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ascii="Times New Roman" w:hAnsi="Times New Roman" w:cs="Times New Roman"/>
                <w:sz w:val="21"/>
                <w:szCs w:val="21"/>
              </w:rPr>
            </w:pPr>
            <w:r>
              <w:rPr>
                <w:rFonts w:hint="eastAsia" w:eastAsia="宋体" w:cs="Times New Roman"/>
                <w:color w:val="auto"/>
                <w:sz w:val="21"/>
                <w:szCs w:val="21"/>
                <w:highlight w:val="none"/>
                <w:lang w:val="en-US" w:eastAsia="zh-CN"/>
              </w:rPr>
              <w:t>16</w:t>
            </w:r>
          </w:p>
        </w:tc>
        <w:tc>
          <w:tcPr>
            <w:tcW w:w="877" w:type="dxa"/>
            <w:tcBorders>
              <w:tl2br w:val="nil"/>
              <w:tr2bl w:val="nil"/>
            </w:tcBorders>
            <w:noWrap w:val="0"/>
            <w:vAlign w:val="center"/>
          </w:tcPr>
          <w:p w14:paraId="184A0635">
            <w:pPr>
              <w:pStyle w:val="720"/>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ascii="Times New Roman" w:hAnsi="Times New Roman" w:cs="Times New Roman"/>
                <w:sz w:val="21"/>
                <w:szCs w:val="21"/>
              </w:rPr>
            </w:pPr>
            <w:r>
              <w:rPr>
                <w:rFonts w:hint="eastAsia" w:eastAsia="宋体" w:cs="Times New Roman"/>
                <w:sz w:val="21"/>
                <w:szCs w:val="21"/>
                <w:lang w:val="en-US" w:eastAsia="zh-CN"/>
              </w:rPr>
              <w:t>0.9</w:t>
            </w:r>
          </w:p>
        </w:tc>
        <w:tc>
          <w:tcPr>
            <w:tcW w:w="487" w:type="pct"/>
            <w:tcBorders>
              <w:tl2br w:val="nil"/>
              <w:tr2bl w:val="nil"/>
            </w:tcBorders>
            <w:noWrap w:val="0"/>
            <w:vAlign w:val="center"/>
          </w:tcPr>
          <w:p w14:paraId="7DD38BFB">
            <w:pPr>
              <w:jc w:val="center"/>
              <w:rPr>
                <w:rFonts w:ascii="Times New Roman" w:hAnsi="Times New Roman" w:cs="Times New Roman"/>
                <w:sz w:val="21"/>
                <w:szCs w:val="21"/>
              </w:rPr>
            </w:pPr>
            <w:r>
              <w:rPr>
                <w:rFonts w:ascii="Times New Roman" w:hAnsi="Times New Roman" w:cs="Times New Roman"/>
                <w:sz w:val="21"/>
                <w:szCs w:val="21"/>
              </w:rPr>
              <w:t>布袋除尘器</w:t>
            </w:r>
          </w:p>
        </w:tc>
        <w:tc>
          <w:tcPr>
            <w:tcW w:w="387" w:type="pct"/>
            <w:tcBorders>
              <w:tl2br w:val="nil"/>
              <w:tr2bl w:val="nil"/>
            </w:tcBorders>
            <w:noWrap/>
            <w:vAlign w:val="center"/>
          </w:tcPr>
          <w:p w14:paraId="37AD7957">
            <w:pPr>
              <w:jc w:val="center"/>
              <w:rPr>
                <w:rFonts w:ascii="Times New Roman" w:hAnsi="Times New Roman" w:cs="Times New Roman"/>
                <w:sz w:val="21"/>
                <w:szCs w:val="21"/>
              </w:rPr>
            </w:pPr>
            <w:r>
              <w:rPr>
                <w:rFonts w:ascii="Times New Roman" w:hAnsi="Times New Roman" w:cs="Times New Roman"/>
                <w:sz w:val="21"/>
                <w:szCs w:val="21"/>
              </w:rPr>
              <w:t>手工</w:t>
            </w:r>
          </w:p>
        </w:tc>
      </w:tr>
      <w:tr w14:paraId="31A0873E">
        <w:tblPrEx>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05" w:type="pct"/>
            <w:tcBorders>
              <w:tl2br w:val="nil"/>
              <w:tr2bl w:val="nil"/>
            </w:tcBorders>
            <w:noWrap w:val="0"/>
            <w:vAlign w:val="center"/>
          </w:tcPr>
          <w:p w14:paraId="1F5F53EC">
            <w:pPr>
              <w:jc w:val="center"/>
              <w:rPr>
                <w:rFonts w:ascii="Times New Roman" w:hAnsi="Times New Roman" w:cs="Times New Roman"/>
                <w:sz w:val="21"/>
                <w:szCs w:val="21"/>
              </w:rPr>
            </w:pPr>
            <w:r>
              <w:rPr>
                <w:rFonts w:hint="eastAsia" w:ascii="Times New Roman" w:hAnsi="Times New Roman" w:cs="Times New Roman"/>
                <w:sz w:val="21"/>
                <w:szCs w:val="21"/>
              </w:rPr>
              <w:t>DA004</w:t>
            </w:r>
          </w:p>
        </w:tc>
        <w:tc>
          <w:tcPr>
            <w:tcW w:w="312" w:type="pct"/>
            <w:tcBorders>
              <w:tl2br w:val="nil"/>
              <w:tr2bl w:val="nil"/>
            </w:tcBorders>
            <w:noWrap w:val="0"/>
            <w:vAlign w:val="center"/>
          </w:tcPr>
          <w:p w14:paraId="60183BE8">
            <w:pPr>
              <w:jc w:val="center"/>
              <w:rPr>
                <w:rFonts w:hint="default" w:ascii="Times New Roman" w:hAnsi="Times New Roman" w:eastAsia="宋体" w:cs="Times New Roman"/>
                <w:sz w:val="21"/>
                <w:szCs w:val="21"/>
                <w:lang w:val="en-US" w:eastAsia="zh-CN"/>
              </w:rPr>
            </w:pPr>
            <w:r>
              <w:rPr>
                <w:rFonts w:hint="eastAsia" w:ascii="Times New Roman" w:hAnsi="Times New Roman" w:cs="Times New Roman"/>
                <w:sz w:val="21"/>
                <w:szCs w:val="21"/>
                <w:lang w:val="en-US" w:eastAsia="zh-CN"/>
              </w:rPr>
              <w:t>烧结破碎废气</w:t>
            </w:r>
          </w:p>
        </w:tc>
        <w:tc>
          <w:tcPr>
            <w:tcW w:w="416" w:type="pct"/>
            <w:tcBorders>
              <w:tl2br w:val="nil"/>
              <w:tr2bl w:val="nil"/>
            </w:tcBorders>
            <w:noWrap w:val="0"/>
            <w:vAlign w:val="center"/>
          </w:tcPr>
          <w:p w14:paraId="62C474F3">
            <w:pPr>
              <w:jc w:val="center"/>
              <w:rPr>
                <w:rFonts w:ascii="Times New Roman" w:hAnsi="Times New Roman" w:cs="Times New Roman"/>
                <w:sz w:val="21"/>
                <w:szCs w:val="21"/>
              </w:rPr>
            </w:pPr>
            <w:r>
              <w:rPr>
                <w:rFonts w:hint="eastAsia" w:ascii="Times New Roman" w:hAnsi="Times New Roman" w:cs="Times New Roman"/>
                <w:sz w:val="21"/>
                <w:szCs w:val="21"/>
              </w:rPr>
              <w:t>颗粒物</w:t>
            </w:r>
          </w:p>
        </w:tc>
        <w:tc>
          <w:tcPr>
            <w:tcW w:w="483" w:type="pct"/>
            <w:tcBorders>
              <w:tl2br w:val="nil"/>
              <w:tr2bl w:val="nil"/>
            </w:tcBorders>
            <w:noWrap w:val="0"/>
            <w:vAlign w:val="center"/>
          </w:tcPr>
          <w:p w14:paraId="0C43C03D">
            <w:pPr>
              <w:jc w:val="center"/>
              <w:rPr>
                <w:rFonts w:hint="default" w:ascii="Times New Roman" w:hAnsi="Times New Roman" w:eastAsia="宋体" w:cs="Times New Roman"/>
                <w:sz w:val="21"/>
                <w:szCs w:val="21"/>
                <w:lang w:val="en-US" w:eastAsia="zh-CN"/>
              </w:rPr>
            </w:pPr>
            <w:r>
              <w:rPr>
                <w:rFonts w:hint="eastAsia" w:ascii="Times New Roman" w:hAnsi="Times New Roman" w:cs="Times New Roman"/>
                <w:sz w:val="21"/>
                <w:szCs w:val="21"/>
                <w:lang w:val="en-US" w:eastAsia="zh-CN"/>
              </w:rPr>
              <w:t>100354</w:t>
            </w:r>
          </w:p>
        </w:tc>
        <w:tc>
          <w:tcPr>
            <w:tcW w:w="450" w:type="pct"/>
            <w:tcBorders>
              <w:tl2br w:val="nil"/>
              <w:tr2bl w:val="nil"/>
            </w:tcBorders>
            <w:noWrap w:val="0"/>
            <w:vAlign w:val="center"/>
          </w:tcPr>
          <w:p w14:paraId="74281855">
            <w:pPr>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9.8</w:t>
            </w:r>
          </w:p>
        </w:tc>
        <w:tc>
          <w:tcPr>
            <w:tcW w:w="427" w:type="pct"/>
            <w:tcBorders>
              <w:tl2br w:val="nil"/>
              <w:tr2bl w:val="nil"/>
            </w:tcBorders>
            <w:noWrap/>
            <w:vAlign w:val="center"/>
          </w:tcPr>
          <w:p w14:paraId="3ED67C93">
            <w:pPr>
              <w:jc w:val="center"/>
              <w:rPr>
                <w:rFonts w:hint="default" w:ascii="Times New Roman" w:hAnsi="Times New Roman" w:eastAsia="宋体" w:cs="Times New Roman"/>
                <w:sz w:val="21"/>
                <w:szCs w:val="21"/>
                <w:lang w:val="en-US" w:eastAsia="zh-CN"/>
              </w:rPr>
            </w:pPr>
            <w:r>
              <w:rPr>
                <w:rFonts w:hint="eastAsia" w:ascii="Times New Roman" w:hAnsi="Times New Roman" w:cs="Times New Roman"/>
                <w:sz w:val="21"/>
                <w:szCs w:val="21"/>
                <w:lang w:val="en-US" w:eastAsia="zh-CN"/>
              </w:rPr>
              <w:t>0.9</w:t>
            </w:r>
          </w:p>
        </w:tc>
        <w:tc>
          <w:tcPr>
            <w:tcW w:w="559" w:type="pct"/>
            <w:tcBorders>
              <w:tl2br w:val="nil"/>
              <w:tr2bl w:val="nil"/>
            </w:tcBorders>
            <w:noWrap w:val="0"/>
            <w:vAlign w:val="center"/>
          </w:tcPr>
          <w:p w14:paraId="398CDF32">
            <w:pPr>
              <w:jc w:val="center"/>
              <w:rPr>
                <w:rFonts w:hint="default" w:ascii="Times New Roman" w:hAnsi="Times New Roman" w:eastAsia="宋体" w:cs="Times New Roman"/>
                <w:sz w:val="21"/>
                <w:szCs w:val="21"/>
                <w:lang w:val="en-US" w:eastAsia="zh-CN"/>
              </w:rPr>
            </w:pPr>
            <w:r>
              <w:rPr>
                <w:rFonts w:hint="eastAsia" w:ascii="Times New Roman" w:hAnsi="Times New Roman" w:cs="Times New Roman"/>
                <w:sz w:val="21"/>
                <w:szCs w:val="21"/>
                <w:lang w:val="en-US" w:eastAsia="zh-CN"/>
              </w:rPr>
              <w:t>10</w:t>
            </w:r>
          </w:p>
        </w:tc>
        <w:tc>
          <w:tcPr>
            <w:tcW w:w="243" w:type="pct"/>
            <w:tcBorders>
              <w:tl2br w:val="nil"/>
              <w:tr2bl w:val="nil"/>
            </w:tcBorders>
            <w:noWrap w:val="0"/>
            <w:vAlign w:val="center"/>
          </w:tcPr>
          <w:p w14:paraId="17D77A90">
            <w:pPr>
              <w:jc w:val="center"/>
              <w:rPr>
                <w:rFonts w:ascii="Times New Roman" w:hAnsi="Times New Roman" w:cs="Times New Roman"/>
                <w:sz w:val="21"/>
                <w:szCs w:val="21"/>
              </w:rPr>
            </w:pPr>
            <w:r>
              <w:rPr>
                <w:rFonts w:ascii="Times New Roman" w:hAnsi="Times New Roman" w:cs="Times New Roman"/>
                <w:sz w:val="21"/>
                <w:szCs w:val="21"/>
              </w:rPr>
              <w:t>达标</w:t>
            </w:r>
          </w:p>
        </w:tc>
        <w:tc>
          <w:tcPr>
            <w:tcW w:w="312" w:type="pct"/>
            <w:tcBorders>
              <w:tl2br w:val="nil"/>
              <w:tr2bl w:val="nil"/>
            </w:tcBorders>
            <w:noWrap w:val="0"/>
            <w:vAlign w:val="center"/>
          </w:tcPr>
          <w:p w14:paraId="1A79C736">
            <w:pPr>
              <w:jc w:val="center"/>
              <w:rPr>
                <w:rFonts w:ascii="Times New Roman" w:hAnsi="Times New Roman" w:cs="Times New Roman"/>
                <w:sz w:val="21"/>
                <w:szCs w:val="21"/>
              </w:rPr>
            </w:pPr>
            <w:r>
              <w:rPr>
                <w:rFonts w:hint="eastAsia" w:ascii="Times New Roman" w:hAnsi="Times New Roman" w:cs="Times New Roman"/>
                <w:sz w:val="21"/>
                <w:szCs w:val="21"/>
                <w:lang w:val="en-US" w:eastAsia="zh-CN"/>
              </w:rPr>
              <w:t>常温</w:t>
            </w:r>
          </w:p>
        </w:tc>
        <w:tc>
          <w:tcPr>
            <w:tcW w:w="293" w:type="pct"/>
            <w:tcBorders>
              <w:tl2br w:val="nil"/>
              <w:tr2bl w:val="nil"/>
            </w:tcBorders>
            <w:noWrap w:val="0"/>
            <w:vAlign w:val="center"/>
          </w:tcPr>
          <w:p w14:paraId="7643A86A">
            <w:pPr>
              <w:pStyle w:val="720"/>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ascii="Times New Roman" w:hAnsi="Times New Roman" w:cs="Times New Roman"/>
                <w:sz w:val="21"/>
                <w:szCs w:val="21"/>
              </w:rPr>
            </w:pPr>
            <w:r>
              <w:rPr>
                <w:rFonts w:hint="eastAsia" w:eastAsia="宋体" w:cs="Times New Roman"/>
                <w:color w:val="auto"/>
                <w:sz w:val="21"/>
                <w:szCs w:val="21"/>
                <w:highlight w:val="none"/>
                <w:lang w:val="en-US" w:eastAsia="zh-CN"/>
              </w:rPr>
              <w:t>20</w:t>
            </w:r>
          </w:p>
        </w:tc>
        <w:tc>
          <w:tcPr>
            <w:tcW w:w="877" w:type="dxa"/>
            <w:tcBorders>
              <w:tl2br w:val="nil"/>
              <w:tr2bl w:val="nil"/>
            </w:tcBorders>
            <w:noWrap w:val="0"/>
            <w:vAlign w:val="center"/>
          </w:tcPr>
          <w:p w14:paraId="08B0716C">
            <w:pPr>
              <w:pStyle w:val="720"/>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ascii="Times New Roman" w:hAnsi="Times New Roman" w:cs="Times New Roman"/>
                <w:sz w:val="21"/>
                <w:szCs w:val="21"/>
              </w:rPr>
            </w:pPr>
            <w:r>
              <w:rPr>
                <w:rFonts w:hint="eastAsia" w:eastAsia="宋体" w:cs="Times New Roman"/>
                <w:sz w:val="21"/>
                <w:szCs w:val="21"/>
                <w:lang w:val="en-US" w:eastAsia="zh-CN"/>
              </w:rPr>
              <w:t>2.2</w:t>
            </w:r>
          </w:p>
        </w:tc>
        <w:tc>
          <w:tcPr>
            <w:tcW w:w="487" w:type="pct"/>
            <w:tcBorders>
              <w:tl2br w:val="nil"/>
              <w:tr2bl w:val="nil"/>
            </w:tcBorders>
            <w:noWrap w:val="0"/>
            <w:vAlign w:val="center"/>
          </w:tcPr>
          <w:p w14:paraId="26ED78C4">
            <w:pPr>
              <w:jc w:val="center"/>
              <w:rPr>
                <w:rFonts w:ascii="Times New Roman" w:hAnsi="Times New Roman" w:cs="Times New Roman"/>
                <w:sz w:val="21"/>
                <w:szCs w:val="21"/>
              </w:rPr>
            </w:pPr>
            <w:r>
              <w:rPr>
                <w:rFonts w:ascii="Times New Roman" w:hAnsi="Times New Roman" w:cs="Times New Roman"/>
                <w:sz w:val="21"/>
                <w:szCs w:val="21"/>
              </w:rPr>
              <w:t>布袋除尘器</w:t>
            </w:r>
          </w:p>
        </w:tc>
        <w:tc>
          <w:tcPr>
            <w:tcW w:w="387" w:type="pct"/>
            <w:tcBorders>
              <w:tl2br w:val="nil"/>
              <w:tr2bl w:val="nil"/>
            </w:tcBorders>
            <w:noWrap/>
            <w:vAlign w:val="center"/>
          </w:tcPr>
          <w:p w14:paraId="67F9DEC3">
            <w:pPr>
              <w:jc w:val="center"/>
              <w:rPr>
                <w:rFonts w:ascii="Times New Roman" w:hAnsi="Times New Roman" w:cs="Times New Roman"/>
                <w:sz w:val="21"/>
                <w:szCs w:val="21"/>
              </w:rPr>
            </w:pPr>
            <w:r>
              <w:rPr>
                <w:rFonts w:hint="eastAsia" w:ascii="Times New Roman" w:hAnsi="Times New Roman" w:cs="Times New Roman"/>
                <w:sz w:val="21"/>
                <w:szCs w:val="21"/>
              </w:rPr>
              <w:t>手工</w:t>
            </w:r>
          </w:p>
        </w:tc>
      </w:tr>
      <w:tr w14:paraId="42472310">
        <w:tblPrEx>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05" w:type="pct"/>
            <w:tcBorders>
              <w:tl2br w:val="nil"/>
              <w:tr2bl w:val="nil"/>
            </w:tcBorders>
            <w:noWrap w:val="0"/>
            <w:vAlign w:val="center"/>
          </w:tcPr>
          <w:p w14:paraId="762C2774">
            <w:pPr>
              <w:jc w:val="center"/>
              <w:rPr>
                <w:rFonts w:hint="default" w:ascii="Times New Roman" w:hAnsi="Times New Roman" w:eastAsia="宋体" w:cs="Times New Roman"/>
                <w:sz w:val="21"/>
                <w:szCs w:val="21"/>
                <w:lang w:val="en-US" w:eastAsia="zh-CN"/>
              </w:rPr>
            </w:pPr>
            <w:r>
              <w:rPr>
                <w:rFonts w:hint="eastAsia" w:ascii="Times New Roman" w:hAnsi="Times New Roman" w:cs="Times New Roman"/>
                <w:sz w:val="21"/>
                <w:szCs w:val="21"/>
                <w:lang w:val="en-US" w:eastAsia="zh-CN"/>
              </w:rPr>
              <w:t>DA005</w:t>
            </w:r>
          </w:p>
        </w:tc>
        <w:tc>
          <w:tcPr>
            <w:tcW w:w="312" w:type="pct"/>
            <w:tcBorders>
              <w:tl2br w:val="nil"/>
              <w:tr2bl w:val="nil"/>
            </w:tcBorders>
            <w:noWrap w:val="0"/>
            <w:vAlign w:val="center"/>
          </w:tcPr>
          <w:p w14:paraId="56A5CCFE">
            <w:pPr>
              <w:jc w:val="center"/>
              <w:rPr>
                <w:rFonts w:hint="default" w:ascii="Times New Roman" w:hAnsi="Times New Roman" w:eastAsia="宋体" w:cs="Times New Roman"/>
                <w:sz w:val="21"/>
                <w:szCs w:val="21"/>
                <w:lang w:val="en-US" w:eastAsia="zh-CN"/>
              </w:rPr>
            </w:pPr>
            <w:r>
              <w:rPr>
                <w:rFonts w:hint="eastAsia" w:ascii="Times New Roman" w:hAnsi="Times New Roman" w:cs="Times New Roman"/>
                <w:sz w:val="21"/>
                <w:szCs w:val="21"/>
                <w:lang w:val="en-US" w:eastAsia="zh-CN"/>
              </w:rPr>
              <w:t>烧结机尾废气</w:t>
            </w:r>
          </w:p>
        </w:tc>
        <w:tc>
          <w:tcPr>
            <w:tcW w:w="416" w:type="pct"/>
            <w:tcBorders>
              <w:tl2br w:val="nil"/>
              <w:tr2bl w:val="nil"/>
            </w:tcBorders>
            <w:noWrap w:val="0"/>
            <w:vAlign w:val="center"/>
          </w:tcPr>
          <w:p w14:paraId="32B99C88">
            <w:pPr>
              <w:jc w:val="center"/>
              <w:rPr>
                <w:rFonts w:hint="eastAsia" w:ascii="Times New Roman" w:hAnsi="Times New Roman" w:cs="Times New Roman"/>
                <w:sz w:val="21"/>
                <w:szCs w:val="21"/>
              </w:rPr>
            </w:pPr>
            <w:r>
              <w:rPr>
                <w:rFonts w:hint="eastAsia" w:ascii="Times New Roman" w:hAnsi="Times New Roman" w:cs="Times New Roman"/>
                <w:sz w:val="21"/>
                <w:szCs w:val="21"/>
              </w:rPr>
              <w:t>颗粒物</w:t>
            </w:r>
          </w:p>
        </w:tc>
        <w:tc>
          <w:tcPr>
            <w:tcW w:w="483" w:type="pct"/>
            <w:tcBorders>
              <w:tl2br w:val="nil"/>
              <w:tr2bl w:val="nil"/>
            </w:tcBorders>
            <w:noWrap w:val="0"/>
            <w:vAlign w:val="center"/>
          </w:tcPr>
          <w:p w14:paraId="51BA2B71">
            <w:pPr>
              <w:jc w:val="center"/>
              <w:rPr>
                <w:rFonts w:hint="eastAsia"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7095</w:t>
            </w:r>
            <w:r>
              <w:rPr>
                <w:rFonts w:hint="eastAsia" w:ascii="Times New Roman" w:hAnsi="Times New Roman" w:eastAsia="宋体" w:cs="Times New Roman"/>
                <w:sz w:val="21"/>
                <w:szCs w:val="21"/>
                <w:lang w:val="en-US" w:eastAsia="zh-CN"/>
              </w:rPr>
              <w:t>5</w:t>
            </w:r>
          </w:p>
        </w:tc>
        <w:tc>
          <w:tcPr>
            <w:tcW w:w="450" w:type="pct"/>
            <w:tcBorders>
              <w:tl2br w:val="nil"/>
              <w:tr2bl w:val="nil"/>
            </w:tcBorders>
            <w:noWrap w:val="0"/>
            <w:vAlign w:val="center"/>
          </w:tcPr>
          <w:p w14:paraId="5C30CA94">
            <w:pPr>
              <w:jc w:val="center"/>
              <w:rPr>
                <w:rFonts w:hint="eastAsia"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8.376</w:t>
            </w:r>
          </w:p>
        </w:tc>
        <w:tc>
          <w:tcPr>
            <w:tcW w:w="427" w:type="pct"/>
            <w:tcBorders>
              <w:tl2br w:val="nil"/>
              <w:tr2bl w:val="nil"/>
            </w:tcBorders>
            <w:noWrap/>
            <w:vAlign w:val="center"/>
          </w:tcPr>
          <w:p w14:paraId="3FF5A52B">
            <w:pPr>
              <w:jc w:val="center"/>
              <w:rPr>
                <w:rFonts w:hint="default" w:ascii="Times New Roman" w:hAnsi="Times New Roman" w:eastAsia="宋体" w:cs="Times New Roman"/>
                <w:sz w:val="21"/>
                <w:szCs w:val="21"/>
                <w:lang w:val="en-US" w:eastAsia="zh-CN"/>
              </w:rPr>
            </w:pPr>
            <w:r>
              <w:rPr>
                <w:rFonts w:hint="eastAsia" w:ascii="Times New Roman" w:hAnsi="Times New Roman" w:cs="Times New Roman"/>
                <w:sz w:val="21"/>
                <w:szCs w:val="21"/>
                <w:lang w:val="en-US" w:eastAsia="zh-CN"/>
              </w:rPr>
              <w:t>0.6</w:t>
            </w:r>
          </w:p>
        </w:tc>
        <w:tc>
          <w:tcPr>
            <w:tcW w:w="559" w:type="pct"/>
            <w:tcBorders>
              <w:tl2br w:val="nil"/>
              <w:tr2bl w:val="nil"/>
            </w:tcBorders>
            <w:noWrap w:val="0"/>
            <w:vAlign w:val="center"/>
          </w:tcPr>
          <w:p w14:paraId="3AE22879">
            <w:pPr>
              <w:jc w:val="center"/>
              <w:rPr>
                <w:rFonts w:hint="default" w:ascii="Times New Roman" w:hAnsi="Times New Roman" w:eastAsia="宋体" w:cs="Times New Roman"/>
                <w:sz w:val="21"/>
                <w:szCs w:val="21"/>
                <w:lang w:val="en-US" w:eastAsia="zh-CN"/>
              </w:rPr>
            </w:pPr>
            <w:r>
              <w:rPr>
                <w:rFonts w:hint="eastAsia" w:ascii="Times New Roman" w:hAnsi="Times New Roman" w:cs="Times New Roman"/>
                <w:sz w:val="21"/>
                <w:szCs w:val="21"/>
                <w:lang w:val="en-US" w:eastAsia="zh-CN"/>
              </w:rPr>
              <w:t>10</w:t>
            </w:r>
          </w:p>
        </w:tc>
        <w:tc>
          <w:tcPr>
            <w:tcW w:w="243" w:type="pct"/>
            <w:tcBorders>
              <w:tl2br w:val="nil"/>
              <w:tr2bl w:val="nil"/>
            </w:tcBorders>
            <w:noWrap w:val="0"/>
            <w:vAlign w:val="center"/>
          </w:tcPr>
          <w:p w14:paraId="7A0F0108">
            <w:pPr>
              <w:jc w:val="center"/>
              <w:rPr>
                <w:rFonts w:hint="eastAsia" w:ascii="Times New Roman" w:hAnsi="Times New Roman" w:cs="Times New Roman"/>
                <w:sz w:val="21"/>
                <w:szCs w:val="21"/>
              </w:rPr>
            </w:pPr>
            <w:r>
              <w:rPr>
                <w:rFonts w:ascii="Times New Roman" w:hAnsi="Times New Roman" w:cs="Times New Roman"/>
                <w:sz w:val="21"/>
                <w:szCs w:val="21"/>
              </w:rPr>
              <w:t>达标</w:t>
            </w:r>
          </w:p>
        </w:tc>
        <w:tc>
          <w:tcPr>
            <w:tcW w:w="312" w:type="pct"/>
            <w:tcBorders>
              <w:tl2br w:val="nil"/>
              <w:tr2bl w:val="nil"/>
            </w:tcBorders>
            <w:noWrap w:val="0"/>
            <w:vAlign w:val="center"/>
          </w:tcPr>
          <w:p w14:paraId="54D09C66">
            <w:pPr>
              <w:jc w:val="center"/>
              <w:rPr>
                <w:sz w:val="20"/>
              </w:rPr>
            </w:pPr>
            <w:r>
              <w:rPr>
                <w:rFonts w:hint="eastAsia" w:ascii="Times New Roman" w:hAnsi="Times New Roman" w:cs="Times New Roman"/>
                <w:sz w:val="21"/>
                <w:szCs w:val="21"/>
                <w:lang w:val="en-US" w:eastAsia="zh-CN"/>
              </w:rPr>
              <w:t>常温</w:t>
            </w:r>
          </w:p>
        </w:tc>
        <w:tc>
          <w:tcPr>
            <w:tcW w:w="293" w:type="pct"/>
            <w:tcBorders>
              <w:tl2br w:val="nil"/>
              <w:tr2bl w:val="nil"/>
            </w:tcBorders>
            <w:noWrap w:val="0"/>
            <w:vAlign w:val="center"/>
          </w:tcPr>
          <w:p w14:paraId="46FAED1C">
            <w:pPr>
              <w:pStyle w:val="720"/>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sz w:val="20"/>
              </w:rPr>
            </w:pPr>
            <w:r>
              <w:rPr>
                <w:rFonts w:hint="eastAsia" w:eastAsia="宋体" w:cs="Times New Roman"/>
                <w:color w:val="auto"/>
                <w:sz w:val="21"/>
                <w:szCs w:val="21"/>
                <w:highlight w:val="none"/>
                <w:lang w:val="en-US" w:eastAsia="zh-CN"/>
              </w:rPr>
              <w:t>19</w:t>
            </w:r>
          </w:p>
        </w:tc>
        <w:tc>
          <w:tcPr>
            <w:tcW w:w="877" w:type="dxa"/>
            <w:tcBorders>
              <w:tl2br w:val="nil"/>
              <w:tr2bl w:val="nil"/>
            </w:tcBorders>
            <w:noWrap w:val="0"/>
            <w:vAlign w:val="center"/>
          </w:tcPr>
          <w:p w14:paraId="3A62687A">
            <w:pPr>
              <w:pStyle w:val="720"/>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sz w:val="20"/>
              </w:rPr>
            </w:pPr>
            <w:r>
              <w:rPr>
                <w:rFonts w:hint="eastAsia" w:eastAsia="宋体" w:cs="Times New Roman"/>
                <w:sz w:val="21"/>
                <w:szCs w:val="21"/>
                <w:lang w:val="en-US" w:eastAsia="zh-CN"/>
              </w:rPr>
              <w:t>2</w:t>
            </w:r>
          </w:p>
        </w:tc>
        <w:tc>
          <w:tcPr>
            <w:tcW w:w="487" w:type="pct"/>
            <w:tcBorders>
              <w:tl2br w:val="nil"/>
              <w:tr2bl w:val="nil"/>
            </w:tcBorders>
            <w:noWrap w:val="0"/>
            <w:vAlign w:val="center"/>
          </w:tcPr>
          <w:p w14:paraId="614D8DCB">
            <w:pPr>
              <w:jc w:val="center"/>
              <w:rPr>
                <w:rFonts w:hint="eastAsia"/>
                <w:sz w:val="20"/>
              </w:rPr>
            </w:pPr>
            <w:r>
              <w:rPr>
                <w:rFonts w:ascii="Times New Roman" w:hAnsi="Times New Roman" w:cs="Times New Roman"/>
                <w:sz w:val="21"/>
                <w:szCs w:val="21"/>
              </w:rPr>
              <w:t>布袋除尘器</w:t>
            </w:r>
          </w:p>
        </w:tc>
        <w:tc>
          <w:tcPr>
            <w:tcW w:w="387" w:type="pct"/>
            <w:tcBorders>
              <w:tl2br w:val="nil"/>
              <w:tr2bl w:val="nil"/>
            </w:tcBorders>
            <w:noWrap/>
            <w:vAlign w:val="center"/>
          </w:tcPr>
          <w:p w14:paraId="01DFD636">
            <w:pPr>
              <w:jc w:val="center"/>
              <w:rPr>
                <w:rFonts w:hint="eastAsia"/>
                <w:sz w:val="20"/>
              </w:rPr>
            </w:pPr>
            <w:r>
              <w:rPr>
                <w:rFonts w:hint="eastAsia" w:ascii="Times New Roman" w:hAnsi="Times New Roman" w:cs="Times New Roman"/>
                <w:sz w:val="21"/>
                <w:szCs w:val="21"/>
                <w:lang w:val="en-US" w:eastAsia="zh-CN"/>
              </w:rPr>
              <w:t>在线</w:t>
            </w:r>
          </w:p>
        </w:tc>
      </w:tr>
      <w:tr w14:paraId="5696FFDE">
        <w:tblPrEx>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05" w:type="pct"/>
            <w:vMerge w:val="restart"/>
            <w:tcBorders>
              <w:tl2br w:val="nil"/>
              <w:tr2bl w:val="nil"/>
            </w:tcBorders>
            <w:noWrap w:val="0"/>
            <w:vAlign w:val="center"/>
          </w:tcPr>
          <w:p w14:paraId="5E73F574">
            <w:pPr>
              <w:jc w:val="center"/>
              <w:rPr>
                <w:rFonts w:hint="default" w:ascii="Times New Roman" w:hAnsi="Times New Roman" w:eastAsia="宋体" w:cs="Times New Roman"/>
                <w:sz w:val="21"/>
                <w:szCs w:val="21"/>
                <w:lang w:val="en-US" w:eastAsia="zh-CN"/>
              </w:rPr>
            </w:pPr>
            <w:r>
              <w:rPr>
                <w:rFonts w:hint="eastAsia" w:ascii="Times New Roman" w:hAnsi="Times New Roman" w:cs="Times New Roman"/>
                <w:sz w:val="21"/>
                <w:szCs w:val="21"/>
                <w:lang w:val="en-US" w:eastAsia="zh-CN"/>
              </w:rPr>
              <w:t>DA006</w:t>
            </w:r>
          </w:p>
        </w:tc>
        <w:tc>
          <w:tcPr>
            <w:tcW w:w="312" w:type="pct"/>
            <w:vMerge w:val="restart"/>
            <w:tcBorders>
              <w:tl2br w:val="nil"/>
              <w:tr2bl w:val="nil"/>
            </w:tcBorders>
            <w:noWrap w:val="0"/>
            <w:vAlign w:val="center"/>
          </w:tcPr>
          <w:p w14:paraId="00EF84A0">
            <w:pPr>
              <w:jc w:val="center"/>
              <w:rPr>
                <w:rFonts w:hint="default" w:ascii="Times New Roman" w:hAnsi="Times New Roman" w:eastAsia="宋体" w:cs="Times New Roman"/>
                <w:sz w:val="21"/>
                <w:szCs w:val="21"/>
                <w:lang w:val="en-US" w:eastAsia="zh-CN"/>
              </w:rPr>
            </w:pPr>
            <w:r>
              <w:rPr>
                <w:rFonts w:hint="eastAsia" w:ascii="Times New Roman" w:hAnsi="Times New Roman" w:cs="Times New Roman"/>
                <w:sz w:val="21"/>
                <w:szCs w:val="21"/>
                <w:lang w:val="en-US" w:eastAsia="zh-CN"/>
              </w:rPr>
              <w:t>白灰窑废气</w:t>
            </w:r>
          </w:p>
        </w:tc>
        <w:tc>
          <w:tcPr>
            <w:tcW w:w="416" w:type="pct"/>
            <w:tcBorders>
              <w:tl2br w:val="nil"/>
              <w:tr2bl w:val="nil"/>
            </w:tcBorders>
            <w:noWrap w:val="0"/>
            <w:vAlign w:val="center"/>
          </w:tcPr>
          <w:p w14:paraId="6D78B4A5">
            <w:pPr>
              <w:jc w:val="center"/>
              <w:rPr>
                <w:rFonts w:hint="eastAsia" w:ascii="Times New Roman" w:hAnsi="Times New Roman" w:eastAsia="宋体" w:cs="Times New Roman"/>
                <w:sz w:val="21"/>
                <w:szCs w:val="21"/>
                <w:lang w:val="en-US" w:eastAsia="zh-CN"/>
              </w:rPr>
            </w:pPr>
            <w:r>
              <w:rPr>
                <w:rFonts w:hint="eastAsia" w:ascii="Times New Roman" w:hAnsi="Times New Roman" w:cs="Times New Roman"/>
                <w:sz w:val="21"/>
                <w:szCs w:val="21"/>
                <w:lang w:val="en-US" w:eastAsia="zh-CN"/>
              </w:rPr>
              <w:t>颗粒物</w:t>
            </w:r>
          </w:p>
        </w:tc>
        <w:tc>
          <w:tcPr>
            <w:tcW w:w="483" w:type="pct"/>
            <w:vMerge w:val="restart"/>
            <w:tcBorders>
              <w:tl2br w:val="nil"/>
              <w:tr2bl w:val="nil"/>
            </w:tcBorders>
            <w:noWrap w:val="0"/>
            <w:vAlign w:val="center"/>
          </w:tcPr>
          <w:p w14:paraId="2A231416">
            <w:pPr>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75687</w:t>
            </w:r>
          </w:p>
        </w:tc>
        <w:tc>
          <w:tcPr>
            <w:tcW w:w="450" w:type="pct"/>
            <w:tcBorders>
              <w:tl2br w:val="nil"/>
              <w:tr2bl w:val="nil"/>
            </w:tcBorders>
            <w:noWrap w:val="0"/>
            <w:vAlign w:val="center"/>
          </w:tcPr>
          <w:p w14:paraId="47C05277">
            <w:pPr>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7.2</w:t>
            </w:r>
          </w:p>
        </w:tc>
        <w:tc>
          <w:tcPr>
            <w:tcW w:w="427" w:type="pct"/>
            <w:tcBorders>
              <w:tl2br w:val="nil"/>
              <w:tr2bl w:val="nil"/>
            </w:tcBorders>
            <w:noWrap/>
            <w:vAlign w:val="center"/>
          </w:tcPr>
          <w:p w14:paraId="55F0651C">
            <w:pPr>
              <w:jc w:val="center"/>
              <w:rPr>
                <w:rFonts w:hint="default" w:ascii="Times New Roman" w:hAnsi="Times New Roman" w:eastAsia="宋体" w:cs="Times New Roman"/>
                <w:sz w:val="21"/>
                <w:szCs w:val="21"/>
                <w:lang w:val="en-US" w:eastAsia="zh-CN"/>
              </w:rPr>
            </w:pPr>
            <w:r>
              <w:rPr>
                <w:rFonts w:hint="eastAsia" w:ascii="Times New Roman" w:hAnsi="Times New Roman" w:cs="Times New Roman"/>
                <w:sz w:val="21"/>
                <w:szCs w:val="21"/>
                <w:lang w:val="en-US" w:eastAsia="zh-CN"/>
              </w:rPr>
              <w:t>0.55</w:t>
            </w:r>
          </w:p>
        </w:tc>
        <w:tc>
          <w:tcPr>
            <w:tcW w:w="559" w:type="pct"/>
            <w:tcBorders>
              <w:tl2br w:val="nil"/>
              <w:tr2bl w:val="nil"/>
            </w:tcBorders>
            <w:noWrap w:val="0"/>
            <w:vAlign w:val="center"/>
          </w:tcPr>
          <w:p w14:paraId="2204114B">
            <w:pPr>
              <w:jc w:val="center"/>
              <w:rPr>
                <w:rFonts w:hint="default" w:ascii="Times New Roman" w:hAnsi="Times New Roman" w:eastAsia="宋体" w:cs="Times New Roman"/>
                <w:sz w:val="21"/>
                <w:szCs w:val="21"/>
                <w:lang w:val="en-US" w:eastAsia="zh-CN"/>
              </w:rPr>
            </w:pPr>
            <w:r>
              <w:rPr>
                <w:rFonts w:hint="eastAsia" w:ascii="Times New Roman" w:hAnsi="Times New Roman" w:cs="Times New Roman"/>
                <w:sz w:val="21"/>
                <w:szCs w:val="21"/>
                <w:lang w:val="en-US" w:eastAsia="zh-CN"/>
              </w:rPr>
              <w:t>10</w:t>
            </w:r>
          </w:p>
        </w:tc>
        <w:tc>
          <w:tcPr>
            <w:tcW w:w="243" w:type="pct"/>
            <w:tcBorders>
              <w:tl2br w:val="nil"/>
              <w:tr2bl w:val="nil"/>
            </w:tcBorders>
            <w:noWrap w:val="0"/>
            <w:vAlign w:val="center"/>
          </w:tcPr>
          <w:p w14:paraId="5CB2FCB7">
            <w:pPr>
              <w:jc w:val="center"/>
              <w:rPr>
                <w:rFonts w:hint="eastAsia" w:ascii="Times New Roman" w:hAnsi="Times New Roman" w:cs="Times New Roman"/>
                <w:sz w:val="21"/>
                <w:szCs w:val="21"/>
              </w:rPr>
            </w:pPr>
            <w:r>
              <w:rPr>
                <w:rFonts w:ascii="Times New Roman" w:hAnsi="Times New Roman" w:cs="Times New Roman"/>
                <w:sz w:val="21"/>
                <w:szCs w:val="21"/>
              </w:rPr>
              <w:t>达标</w:t>
            </w:r>
          </w:p>
        </w:tc>
        <w:tc>
          <w:tcPr>
            <w:tcW w:w="312" w:type="pct"/>
            <w:vMerge w:val="restart"/>
            <w:tcBorders>
              <w:tl2br w:val="nil"/>
              <w:tr2bl w:val="nil"/>
            </w:tcBorders>
            <w:noWrap w:val="0"/>
            <w:vAlign w:val="center"/>
          </w:tcPr>
          <w:p w14:paraId="761C7261">
            <w:pPr>
              <w:jc w:val="center"/>
              <w:rPr>
                <w:rFonts w:hint="default" w:eastAsia="宋体"/>
                <w:sz w:val="20"/>
                <w:lang w:val="en-US" w:eastAsia="zh-CN"/>
              </w:rPr>
            </w:pPr>
            <w:r>
              <w:rPr>
                <w:rFonts w:hint="eastAsia"/>
                <w:sz w:val="20"/>
                <w:lang w:val="en-US" w:eastAsia="zh-CN"/>
              </w:rPr>
              <w:t>100</w:t>
            </w:r>
          </w:p>
        </w:tc>
        <w:tc>
          <w:tcPr>
            <w:tcW w:w="293" w:type="pct"/>
            <w:vMerge w:val="restart"/>
            <w:tcBorders>
              <w:tl2br w:val="nil"/>
              <w:tr2bl w:val="nil"/>
            </w:tcBorders>
            <w:noWrap w:val="0"/>
            <w:vAlign w:val="center"/>
          </w:tcPr>
          <w:p w14:paraId="1FBB335D">
            <w:pPr>
              <w:pStyle w:val="720"/>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sz w:val="20"/>
              </w:rPr>
            </w:pPr>
            <w:r>
              <w:rPr>
                <w:rFonts w:hint="eastAsia" w:eastAsia="宋体" w:cs="Times New Roman"/>
                <w:color w:val="auto"/>
                <w:sz w:val="21"/>
                <w:szCs w:val="21"/>
                <w:highlight w:val="none"/>
                <w:lang w:val="en-US" w:eastAsia="zh-CN"/>
              </w:rPr>
              <w:t>18</w:t>
            </w:r>
          </w:p>
        </w:tc>
        <w:tc>
          <w:tcPr>
            <w:tcW w:w="877" w:type="dxa"/>
            <w:vMerge w:val="restart"/>
            <w:tcBorders>
              <w:tl2br w:val="nil"/>
              <w:tr2bl w:val="nil"/>
            </w:tcBorders>
            <w:noWrap w:val="0"/>
            <w:vAlign w:val="center"/>
          </w:tcPr>
          <w:p w14:paraId="3972ECAA">
            <w:pPr>
              <w:pStyle w:val="720"/>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sz w:val="20"/>
              </w:rPr>
            </w:pPr>
            <w:r>
              <w:rPr>
                <w:rFonts w:hint="eastAsia" w:eastAsia="宋体" w:cs="Times New Roman"/>
                <w:sz w:val="21"/>
                <w:szCs w:val="21"/>
                <w:lang w:val="en-US" w:eastAsia="zh-CN"/>
              </w:rPr>
              <w:t>1.5</w:t>
            </w:r>
          </w:p>
        </w:tc>
        <w:tc>
          <w:tcPr>
            <w:tcW w:w="487" w:type="pct"/>
            <w:tcBorders>
              <w:tl2br w:val="nil"/>
              <w:tr2bl w:val="nil"/>
            </w:tcBorders>
            <w:noWrap w:val="0"/>
            <w:vAlign w:val="center"/>
          </w:tcPr>
          <w:p w14:paraId="692E3647">
            <w:pPr>
              <w:jc w:val="center"/>
              <w:rPr>
                <w:rFonts w:hint="eastAsia"/>
                <w:sz w:val="20"/>
              </w:rPr>
            </w:pPr>
            <w:r>
              <w:rPr>
                <w:rFonts w:ascii="Times New Roman" w:hAnsi="Times New Roman" w:cs="Times New Roman"/>
                <w:sz w:val="21"/>
                <w:szCs w:val="21"/>
              </w:rPr>
              <w:t>布袋除尘器</w:t>
            </w:r>
          </w:p>
        </w:tc>
        <w:tc>
          <w:tcPr>
            <w:tcW w:w="387" w:type="pct"/>
            <w:tcBorders>
              <w:tl2br w:val="nil"/>
              <w:tr2bl w:val="nil"/>
            </w:tcBorders>
            <w:noWrap/>
            <w:vAlign w:val="center"/>
          </w:tcPr>
          <w:p w14:paraId="523F0423">
            <w:pPr>
              <w:jc w:val="center"/>
              <w:rPr>
                <w:rFonts w:hint="eastAsia"/>
                <w:sz w:val="20"/>
              </w:rPr>
            </w:pPr>
            <w:r>
              <w:rPr>
                <w:rFonts w:ascii="Times New Roman" w:hAnsi="Times New Roman" w:cs="Times New Roman"/>
                <w:sz w:val="21"/>
                <w:szCs w:val="21"/>
              </w:rPr>
              <w:t>手工</w:t>
            </w:r>
          </w:p>
        </w:tc>
      </w:tr>
      <w:tr w14:paraId="11F3AD40">
        <w:tblPrEx>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05" w:type="pct"/>
            <w:vMerge w:val="continue"/>
            <w:tcBorders>
              <w:tl2br w:val="nil"/>
              <w:tr2bl w:val="nil"/>
            </w:tcBorders>
            <w:noWrap w:val="0"/>
            <w:vAlign w:val="center"/>
          </w:tcPr>
          <w:p w14:paraId="7866532B">
            <w:pPr>
              <w:jc w:val="center"/>
              <w:rPr>
                <w:rFonts w:hint="eastAsia" w:ascii="Times New Roman" w:hAnsi="Times New Roman" w:cs="Times New Roman"/>
                <w:sz w:val="21"/>
                <w:szCs w:val="21"/>
                <w:lang w:val="en-US" w:eastAsia="zh-CN"/>
              </w:rPr>
            </w:pPr>
          </w:p>
        </w:tc>
        <w:tc>
          <w:tcPr>
            <w:tcW w:w="312" w:type="pct"/>
            <w:vMerge w:val="continue"/>
            <w:tcBorders>
              <w:tl2br w:val="nil"/>
              <w:tr2bl w:val="nil"/>
            </w:tcBorders>
            <w:noWrap w:val="0"/>
            <w:vAlign w:val="center"/>
          </w:tcPr>
          <w:p w14:paraId="27F0968E">
            <w:pPr>
              <w:jc w:val="center"/>
              <w:rPr>
                <w:rFonts w:hint="eastAsia" w:ascii="Times New Roman" w:hAnsi="Times New Roman" w:cs="Times New Roman"/>
                <w:sz w:val="21"/>
                <w:szCs w:val="21"/>
                <w:lang w:val="en-US" w:eastAsia="zh-CN"/>
              </w:rPr>
            </w:pPr>
          </w:p>
        </w:tc>
        <w:tc>
          <w:tcPr>
            <w:tcW w:w="416" w:type="pct"/>
            <w:tcBorders>
              <w:tl2br w:val="nil"/>
              <w:tr2bl w:val="nil"/>
            </w:tcBorders>
            <w:noWrap w:val="0"/>
            <w:vAlign w:val="center"/>
          </w:tcPr>
          <w:p w14:paraId="483D983E">
            <w:pPr>
              <w:jc w:val="center"/>
              <w:rPr>
                <w:rFonts w:hint="eastAsia" w:ascii="Times New Roman" w:hAnsi="Times New Roman" w:cs="Times New Roman"/>
                <w:sz w:val="21"/>
                <w:szCs w:val="21"/>
                <w:lang w:val="en-US" w:eastAsia="zh-CN"/>
              </w:rPr>
            </w:pPr>
            <w:r>
              <w:rPr>
                <w:rFonts w:hint="eastAsia" w:ascii="Times New Roman" w:hAnsi="Times New Roman" w:cs="Times New Roman"/>
                <w:sz w:val="21"/>
                <w:szCs w:val="21"/>
              </w:rPr>
              <w:t>二氧化硫</w:t>
            </w:r>
          </w:p>
        </w:tc>
        <w:tc>
          <w:tcPr>
            <w:tcW w:w="483" w:type="pct"/>
            <w:vMerge w:val="continue"/>
            <w:tcBorders>
              <w:tl2br w:val="nil"/>
              <w:tr2bl w:val="nil"/>
            </w:tcBorders>
            <w:noWrap w:val="0"/>
            <w:vAlign w:val="center"/>
          </w:tcPr>
          <w:p w14:paraId="2F9ADE94">
            <w:pPr>
              <w:jc w:val="center"/>
              <w:rPr>
                <w:rFonts w:hint="eastAsia" w:ascii="Times New Roman" w:hAnsi="Times New Roman" w:eastAsia="宋体" w:cs="Times New Roman"/>
                <w:sz w:val="21"/>
                <w:szCs w:val="21"/>
                <w:lang w:val="en-US" w:eastAsia="zh-CN"/>
              </w:rPr>
            </w:pPr>
          </w:p>
        </w:tc>
        <w:tc>
          <w:tcPr>
            <w:tcW w:w="450" w:type="pct"/>
            <w:tcBorders>
              <w:tl2br w:val="nil"/>
              <w:tr2bl w:val="nil"/>
            </w:tcBorders>
            <w:noWrap w:val="0"/>
            <w:vAlign w:val="center"/>
          </w:tcPr>
          <w:p w14:paraId="1129AB88">
            <w:pPr>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14</w:t>
            </w:r>
          </w:p>
        </w:tc>
        <w:tc>
          <w:tcPr>
            <w:tcW w:w="427" w:type="pct"/>
            <w:tcBorders>
              <w:tl2br w:val="nil"/>
              <w:tr2bl w:val="nil"/>
            </w:tcBorders>
            <w:noWrap/>
            <w:vAlign w:val="center"/>
          </w:tcPr>
          <w:p w14:paraId="18FD6AC4">
            <w:pPr>
              <w:jc w:val="center"/>
              <w:rPr>
                <w:rFonts w:hint="default" w:ascii="Times New Roman" w:hAnsi="Times New Roman" w:eastAsia="宋体" w:cs="Times New Roman"/>
                <w:sz w:val="21"/>
                <w:szCs w:val="21"/>
                <w:lang w:val="en-US" w:eastAsia="zh-CN"/>
              </w:rPr>
            </w:pPr>
            <w:r>
              <w:rPr>
                <w:rFonts w:hint="eastAsia" w:ascii="Times New Roman" w:hAnsi="Times New Roman" w:cs="Times New Roman"/>
                <w:sz w:val="21"/>
                <w:szCs w:val="21"/>
                <w:lang w:val="en-US" w:eastAsia="zh-CN"/>
              </w:rPr>
              <w:t>1.03</w:t>
            </w:r>
          </w:p>
        </w:tc>
        <w:tc>
          <w:tcPr>
            <w:tcW w:w="559" w:type="pct"/>
            <w:tcBorders>
              <w:tl2br w:val="nil"/>
              <w:tr2bl w:val="nil"/>
            </w:tcBorders>
            <w:noWrap w:val="0"/>
            <w:vAlign w:val="center"/>
          </w:tcPr>
          <w:p w14:paraId="194D280E">
            <w:pPr>
              <w:jc w:val="center"/>
              <w:rPr>
                <w:rFonts w:hint="default" w:ascii="Times New Roman" w:hAnsi="Times New Roman" w:eastAsia="宋体" w:cs="Times New Roman"/>
                <w:sz w:val="21"/>
                <w:szCs w:val="21"/>
                <w:lang w:val="en-US" w:eastAsia="zh-CN"/>
              </w:rPr>
            </w:pPr>
            <w:r>
              <w:rPr>
                <w:rFonts w:hint="eastAsia" w:ascii="Times New Roman" w:hAnsi="Times New Roman" w:cs="Times New Roman"/>
                <w:sz w:val="21"/>
                <w:szCs w:val="21"/>
                <w:lang w:val="en-US" w:eastAsia="zh-CN"/>
              </w:rPr>
              <w:t>200</w:t>
            </w:r>
          </w:p>
        </w:tc>
        <w:tc>
          <w:tcPr>
            <w:tcW w:w="243" w:type="pct"/>
            <w:tcBorders>
              <w:tl2br w:val="nil"/>
              <w:tr2bl w:val="nil"/>
            </w:tcBorders>
            <w:noWrap w:val="0"/>
            <w:vAlign w:val="center"/>
          </w:tcPr>
          <w:p w14:paraId="5CA0034B">
            <w:pPr>
              <w:jc w:val="center"/>
              <w:rPr>
                <w:rFonts w:hint="eastAsia" w:ascii="Times New Roman" w:hAnsi="Times New Roman" w:cs="Times New Roman"/>
                <w:sz w:val="21"/>
                <w:szCs w:val="21"/>
              </w:rPr>
            </w:pPr>
            <w:r>
              <w:rPr>
                <w:rFonts w:ascii="Times New Roman" w:hAnsi="Times New Roman" w:cs="Times New Roman"/>
                <w:sz w:val="21"/>
                <w:szCs w:val="21"/>
              </w:rPr>
              <w:t>达标</w:t>
            </w:r>
          </w:p>
        </w:tc>
        <w:tc>
          <w:tcPr>
            <w:tcW w:w="312" w:type="pct"/>
            <w:vMerge w:val="continue"/>
            <w:tcBorders>
              <w:tl2br w:val="nil"/>
              <w:tr2bl w:val="nil"/>
            </w:tcBorders>
            <w:noWrap w:val="0"/>
            <w:vAlign w:val="center"/>
          </w:tcPr>
          <w:p w14:paraId="03970AD3">
            <w:pPr>
              <w:jc w:val="center"/>
              <w:rPr>
                <w:sz w:val="20"/>
              </w:rPr>
            </w:pPr>
          </w:p>
        </w:tc>
        <w:tc>
          <w:tcPr>
            <w:tcW w:w="293" w:type="pct"/>
            <w:vMerge w:val="continue"/>
            <w:tcBorders>
              <w:tl2br w:val="nil"/>
              <w:tr2bl w:val="nil"/>
            </w:tcBorders>
            <w:noWrap w:val="0"/>
            <w:vAlign w:val="center"/>
          </w:tcPr>
          <w:p w14:paraId="4EC76C5C">
            <w:pPr>
              <w:jc w:val="center"/>
              <w:rPr>
                <w:sz w:val="20"/>
              </w:rPr>
            </w:pPr>
          </w:p>
        </w:tc>
        <w:tc>
          <w:tcPr>
            <w:tcW w:w="321" w:type="pct"/>
            <w:vMerge w:val="continue"/>
            <w:tcBorders>
              <w:tl2br w:val="nil"/>
              <w:tr2bl w:val="nil"/>
            </w:tcBorders>
            <w:noWrap w:val="0"/>
            <w:vAlign w:val="center"/>
          </w:tcPr>
          <w:p w14:paraId="41888039">
            <w:pPr>
              <w:jc w:val="center"/>
              <w:rPr>
                <w:sz w:val="20"/>
              </w:rPr>
            </w:pPr>
          </w:p>
        </w:tc>
        <w:tc>
          <w:tcPr>
            <w:tcW w:w="487" w:type="pct"/>
            <w:tcBorders>
              <w:tl2br w:val="nil"/>
              <w:tr2bl w:val="nil"/>
            </w:tcBorders>
            <w:noWrap w:val="0"/>
            <w:vAlign w:val="center"/>
          </w:tcPr>
          <w:p w14:paraId="65FD4B70">
            <w:pPr>
              <w:jc w:val="center"/>
              <w:rPr>
                <w:rFonts w:hint="eastAsia" w:eastAsia="宋体"/>
                <w:sz w:val="20"/>
                <w:lang w:val="en-US" w:eastAsia="zh-CN"/>
              </w:rPr>
            </w:pPr>
            <w:r>
              <w:rPr>
                <w:rFonts w:hint="eastAsia"/>
                <w:sz w:val="20"/>
                <w:lang w:val="en-US" w:eastAsia="zh-CN"/>
              </w:rPr>
              <w:t>/</w:t>
            </w:r>
          </w:p>
        </w:tc>
        <w:tc>
          <w:tcPr>
            <w:tcW w:w="387" w:type="pct"/>
            <w:tcBorders>
              <w:tl2br w:val="nil"/>
              <w:tr2bl w:val="nil"/>
            </w:tcBorders>
            <w:noWrap/>
            <w:vAlign w:val="center"/>
          </w:tcPr>
          <w:p w14:paraId="547E2BF9">
            <w:pPr>
              <w:jc w:val="center"/>
              <w:rPr>
                <w:rFonts w:hint="eastAsia"/>
                <w:sz w:val="20"/>
              </w:rPr>
            </w:pPr>
            <w:r>
              <w:rPr>
                <w:rFonts w:ascii="Times New Roman" w:hAnsi="Times New Roman" w:cs="Times New Roman"/>
                <w:sz w:val="21"/>
                <w:szCs w:val="21"/>
              </w:rPr>
              <w:t>手工</w:t>
            </w:r>
          </w:p>
        </w:tc>
      </w:tr>
      <w:tr w14:paraId="28455AC5">
        <w:tblPrEx>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05" w:type="pct"/>
            <w:vMerge w:val="continue"/>
            <w:tcBorders>
              <w:tl2br w:val="nil"/>
              <w:tr2bl w:val="nil"/>
            </w:tcBorders>
            <w:noWrap w:val="0"/>
            <w:vAlign w:val="center"/>
          </w:tcPr>
          <w:p w14:paraId="5DD73315">
            <w:pPr>
              <w:jc w:val="center"/>
              <w:rPr>
                <w:rFonts w:hint="eastAsia" w:ascii="Times New Roman" w:hAnsi="Times New Roman" w:cs="Times New Roman"/>
                <w:sz w:val="21"/>
                <w:szCs w:val="21"/>
                <w:lang w:val="en-US" w:eastAsia="zh-CN"/>
              </w:rPr>
            </w:pPr>
          </w:p>
        </w:tc>
        <w:tc>
          <w:tcPr>
            <w:tcW w:w="312" w:type="pct"/>
            <w:vMerge w:val="continue"/>
            <w:tcBorders>
              <w:tl2br w:val="nil"/>
              <w:tr2bl w:val="nil"/>
            </w:tcBorders>
            <w:noWrap w:val="0"/>
            <w:vAlign w:val="center"/>
          </w:tcPr>
          <w:p w14:paraId="2967F91E">
            <w:pPr>
              <w:jc w:val="center"/>
              <w:rPr>
                <w:rFonts w:hint="eastAsia" w:ascii="Times New Roman" w:hAnsi="Times New Roman" w:cs="Times New Roman"/>
                <w:sz w:val="21"/>
                <w:szCs w:val="21"/>
                <w:lang w:val="en-US" w:eastAsia="zh-CN"/>
              </w:rPr>
            </w:pPr>
          </w:p>
        </w:tc>
        <w:tc>
          <w:tcPr>
            <w:tcW w:w="416" w:type="pct"/>
            <w:tcBorders>
              <w:tl2br w:val="nil"/>
              <w:tr2bl w:val="nil"/>
            </w:tcBorders>
            <w:noWrap w:val="0"/>
            <w:vAlign w:val="center"/>
          </w:tcPr>
          <w:p w14:paraId="764CBE37">
            <w:pPr>
              <w:jc w:val="center"/>
              <w:rPr>
                <w:rFonts w:hint="eastAsia" w:ascii="Times New Roman" w:hAnsi="Times New Roman" w:cs="Times New Roman"/>
                <w:sz w:val="21"/>
                <w:szCs w:val="21"/>
                <w:lang w:val="en-US" w:eastAsia="zh-CN"/>
              </w:rPr>
            </w:pPr>
            <w:r>
              <w:rPr>
                <w:rFonts w:hint="eastAsia" w:ascii="Times New Roman" w:hAnsi="Times New Roman" w:cs="Times New Roman"/>
                <w:sz w:val="21"/>
                <w:szCs w:val="21"/>
              </w:rPr>
              <w:t>氮氧化物</w:t>
            </w:r>
          </w:p>
        </w:tc>
        <w:tc>
          <w:tcPr>
            <w:tcW w:w="483" w:type="pct"/>
            <w:vMerge w:val="continue"/>
            <w:tcBorders>
              <w:tl2br w:val="nil"/>
              <w:tr2bl w:val="nil"/>
            </w:tcBorders>
            <w:noWrap w:val="0"/>
            <w:vAlign w:val="center"/>
          </w:tcPr>
          <w:p w14:paraId="5FCDF704">
            <w:pPr>
              <w:jc w:val="center"/>
              <w:rPr>
                <w:rFonts w:hint="eastAsia" w:ascii="Times New Roman" w:hAnsi="Times New Roman" w:eastAsia="宋体" w:cs="Times New Roman"/>
                <w:sz w:val="21"/>
                <w:szCs w:val="21"/>
                <w:lang w:val="en-US" w:eastAsia="zh-CN"/>
              </w:rPr>
            </w:pPr>
          </w:p>
        </w:tc>
        <w:tc>
          <w:tcPr>
            <w:tcW w:w="450" w:type="pct"/>
            <w:tcBorders>
              <w:tl2br w:val="nil"/>
              <w:tr2bl w:val="nil"/>
            </w:tcBorders>
            <w:noWrap w:val="0"/>
            <w:vAlign w:val="center"/>
          </w:tcPr>
          <w:p w14:paraId="419EFA1C">
            <w:pPr>
              <w:jc w:val="center"/>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9</w:t>
            </w:r>
          </w:p>
        </w:tc>
        <w:tc>
          <w:tcPr>
            <w:tcW w:w="427" w:type="pct"/>
            <w:tcBorders>
              <w:tl2br w:val="nil"/>
              <w:tr2bl w:val="nil"/>
            </w:tcBorders>
            <w:noWrap/>
            <w:vAlign w:val="center"/>
          </w:tcPr>
          <w:p w14:paraId="7F732EDB">
            <w:pPr>
              <w:jc w:val="center"/>
              <w:rPr>
                <w:rFonts w:hint="default" w:ascii="Times New Roman" w:hAnsi="Times New Roman" w:eastAsia="宋体" w:cs="Times New Roman"/>
                <w:sz w:val="21"/>
                <w:szCs w:val="21"/>
                <w:lang w:val="en-US" w:eastAsia="zh-CN"/>
              </w:rPr>
            </w:pPr>
            <w:r>
              <w:rPr>
                <w:rFonts w:hint="eastAsia" w:ascii="Times New Roman" w:hAnsi="Times New Roman" w:cs="Times New Roman"/>
                <w:sz w:val="21"/>
                <w:szCs w:val="21"/>
                <w:lang w:val="en-US" w:eastAsia="zh-CN"/>
              </w:rPr>
              <w:t>0.68</w:t>
            </w:r>
          </w:p>
        </w:tc>
        <w:tc>
          <w:tcPr>
            <w:tcW w:w="559" w:type="pct"/>
            <w:tcBorders>
              <w:tl2br w:val="nil"/>
              <w:tr2bl w:val="nil"/>
            </w:tcBorders>
            <w:noWrap w:val="0"/>
            <w:vAlign w:val="center"/>
          </w:tcPr>
          <w:p w14:paraId="4703C6DB">
            <w:pPr>
              <w:jc w:val="center"/>
              <w:rPr>
                <w:rFonts w:hint="default" w:ascii="Times New Roman" w:hAnsi="Times New Roman" w:eastAsia="宋体" w:cs="Times New Roman"/>
                <w:sz w:val="21"/>
                <w:szCs w:val="21"/>
                <w:lang w:val="en-US" w:eastAsia="zh-CN"/>
              </w:rPr>
            </w:pPr>
            <w:r>
              <w:rPr>
                <w:rFonts w:hint="eastAsia" w:ascii="Times New Roman" w:hAnsi="Times New Roman" w:cs="Times New Roman"/>
                <w:sz w:val="21"/>
                <w:szCs w:val="21"/>
                <w:lang w:val="en-US" w:eastAsia="zh-CN"/>
              </w:rPr>
              <w:t>300</w:t>
            </w:r>
          </w:p>
        </w:tc>
        <w:tc>
          <w:tcPr>
            <w:tcW w:w="243" w:type="pct"/>
            <w:tcBorders>
              <w:tl2br w:val="nil"/>
              <w:tr2bl w:val="nil"/>
            </w:tcBorders>
            <w:noWrap w:val="0"/>
            <w:vAlign w:val="center"/>
          </w:tcPr>
          <w:p w14:paraId="3C368357">
            <w:pPr>
              <w:jc w:val="center"/>
              <w:rPr>
                <w:rFonts w:hint="eastAsia" w:ascii="Times New Roman" w:hAnsi="Times New Roman" w:cs="Times New Roman"/>
                <w:sz w:val="21"/>
                <w:szCs w:val="21"/>
              </w:rPr>
            </w:pPr>
            <w:r>
              <w:rPr>
                <w:rFonts w:ascii="Times New Roman" w:hAnsi="Times New Roman" w:cs="Times New Roman"/>
                <w:sz w:val="21"/>
                <w:szCs w:val="21"/>
              </w:rPr>
              <w:t>达标</w:t>
            </w:r>
          </w:p>
        </w:tc>
        <w:tc>
          <w:tcPr>
            <w:tcW w:w="312" w:type="pct"/>
            <w:vMerge w:val="continue"/>
            <w:tcBorders>
              <w:tl2br w:val="nil"/>
              <w:tr2bl w:val="nil"/>
            </w:tcBorders>
            <w:noWrap w:val="0"/>
            <w:vAlign w:val="center"/>
          </w:tcPr>
          <w:p w14:paraId="06C384CD">
            <w:pPr>
              <w:jc w:val="center"/>
              <w:rPr>
                <w:sz w:val="20"/>
              </w:rPr>
            </w:pPr>
          </w:p>
        </w:tc>
        <w:tc>
          <w:tcPr>
            <w:tcW w:w="293" w:type="pct"/>
            <w:vMerge w:val="continue"/>
            <w:tcBorders>
              <w:tl2br w:val="nil"/>
              <w:tr2bl w:val="nil"/>
            </w:tcBorders>
            <w:noWrap w:val="0"/>
            <w:vAlign w:val="center"/>
          </w:tcPr>
          <w:p w14:paraId="17A3A58E">
            <w:pPr>
              <w:jc w:val="center"/>
              <w:rPr>
                <w:sz w:val="20"/>
              </w:rPr>
            </w:pPr>
          </w:p>
        </w:tc>
        <w:tc>
          <w:tcPr>
            <w:tcW w:w="321" w:type="pct"/>
            <w:vMerge w:val="continue"/>
            <w:tcBorders>
              <w:tl2br w:val="nil"/>
              <w:tr2bl w:val="nil"/>
            </w:tcBorders>
            <w:noWrap w:val="0"/>
            <w:vAlign w:val="center"/>
          </w:tcPr>
          <w:p w14:paraId="4D1E4742">
            <w:pPr>
              <w:jc w:val="center"/>
              <w:rPr>
                <w:sz w:val="20"/>
              </w:rPr>
            </w:pPr>
          </w:p>
        </w:tc>
        <w:tc>
          <w:tcPr>
            <w:tcW w:w="487" w:type="pct"/>
            <w:tcBorders>
              <w:tl2br w:val="nil"/>
              <w:tr2bl w:val="nil"/>
            </w:tcBorders>
            <w:noWrap w:val="0"/>
            <w:vAlign w:val="center"/>
          </w:tcPr>
          <w:p w14:paraId="54A787F9">
            <w:pPr>
              <w:jc w:val="center"/>
              <w:rPr>
                <w:rFonts w:hint="eastAsia" w:eastAsia="宋体"/>
                <w:sz w:val="20"/>
                <w:lang w:val="en-US" w:eastAsia="zh-CN"/>
              </w:rPr>
            </w:pPr>
            <w:r>
              <w:rPr>
                <w:rFonts w:hint="eastAsia"/>
                <w:sz w:val="20"/>
                <w:lang w:val="en-US" w:eastAsia="zh-CN"/>
              </w:rPr>
              <w:t>/</w:t>
            </w:r>
          </w:p>
        </w:tc>
        <w:tc>
          <w:tcPr>
            <w:tcW w:w="387" w:type="pct"/>
            <w:tcBorders>
              <w:tl2br w:val="nil"/>
              <w:tr2bl w:val="nil"/>
            </w:tcBorders>
            <w:noWrap/>
            <w:vAlign w:val="center"/>
          </w:tcPr>
          <w:p w14:paraId="162B51F8">
            <w:pPr>
              <w:jc w:val="center"/>
              <w:rPr>
                <w:rFonts w:hint="eastAsia"/>
                <w:sz w:val="20"/>
              </w:rPr>
            </w:pPr>
            <w:r>
              <w:rPr>
                <w:rFonts w:ascii="Times New Roman" w:hAnsi="Times New Roman" w:cs="Times New Roman"/>
                <w:sz w:val="21"/>
                <w:szCs w:val="21"/>
              </w:rPr>
              <w:t>手工</w:t>
            </w:r>
          </w:p>
        </w:tc>
      </w:tr>
      <w:tr w14:paraId="76B08236">
        <w:tblPrEx>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05" w:type="pct"/>
            <w:tcBorders>
              <w:tl2br w:val="nil"/>
              <w:tr2bl w:val="nil"/>
            </w:tcBorders>
            <w:noWrap w:val="0"/>
            <w:vAlign w:val="center"/>
          </w:tcPr>
          <w:p w14:paraId="2A05BBE7">
            <w:pPr>
              <w:jc w:val="center"/>
              <w:rPr>
                <w:rFonts w:hint="default" w:ascii="Times New Roman" w:hAnsi="Times New Roman" w:eastAsia="宋体" w:cs="Times New Roman"/>
                <w:sz w:val="21"/>
                <w:szCs w:val="21"/>
                <w:lang w:val="en-US" w:eastAsia="zh-CN"/>
              </w:rPr>
            </w:pPr>
            <w:r>
              <w:rPr>
                <w:rFonts w:hint="eastAsia" w:ascii="Times New Roman" w:hAnsi="Times New Roman" w:cs="Times New Roman"/>
                <w:sz w:val="21"/>
                <w:szCs w:val="21"/>
                <w:lang w:val="en-US" w:eastAsia="zh-CN"/>
              </w:rPr>
              <w:t>DA007</w:t>
            </w:r>
          </w:p>
        </w:tc>
        <w:tc>
          <w:tcPr>
            <w:tcW w:w="312" w:type="pct"/>
            <w:tcBorders>
              <w:tl2br w:val="nil"/>
              <w:tr2bl w:val="nil"/>
            </w:tcBorders>
            <w:noWrap w:val="0"/>
            <w:vAlign w:val="center"/>
          </w:tcPr>
          <w:p w14:paraId="20B15FF2">
            <w:pPr>
              <w:jc w:val="center"/>
              <w:rPr>
                <w:rFonts w:hint="eastAsia" w:ascii="Times New Roman" w:hAnsi="Times New Roman" w:eastAsia="宋体" w:cs="Times New Roman"/>
                <w:sz w:val="21"/>
                <w:szCs w:val="21"/>
                <w:lang w:val="en-US" w:eastAsia="zh-CN"/>
              </w:rPr>
            </w:pPr>
            <w:r>
              <w:rPr>
                <w:rFonts w:hint="eastAsia" w:ascii="Times New Roman" w:hAnsi="Times New Roman" w:cs="Times New Roman"/>
                <w:sz w:val="21"/>
                <w:szCs w:val="21"/>
                <w:lang w:val="en-US" w:eastAsia="zh-CN"/>
              </w:rPr>
              <w:t>高炉矿槽</w:t>
            </w:r>
          </w:p>
        </w:tc>
        <w:tc>
          <w:tcPr>
            <w:tcW w:w="416" w:type="pct"/>
            <w:tcBorders>
              <w:tl2br w:val="nil"/>
              <w:tr2bl w:val="nil"/>
            </w:tcBorders>
            <w:noWrap w:val="0"/>
            <w:vAlign w:val="center"/>
          </w:tcPr>
          <w:p w14:paraId="1793C18F">
            <w:pPr>
              <w:jc w:val="center"/>
              <w:rPr>
                <w:rFonts w:hint="eastAsia" w:ascii="Times New Roman" w:hAnsi="Times New Roman" w:cs="Times New Roman"/>
                <w:sz w:val="21"/>
                <w:szCs w:val="21"/>
              </w:rPr>
            </w:pPr>
            <w:r>
              <w:rPr>
                <w:rFonts w:hint="eastAsia" w:ascii="Times New Roman" w:hAnsi="Times New Roman" w:cs="Times New Roman"/>
                <w:sz w:val="21"/>
                <w:szCs w:val="21"/>
                <w:lang w:val="en-US" w:eastAsia="zh-CN"/>
              </w:rPr>
              <w:t>颗粒物</w:t>
            </w:r>
          </w:p>
        </w:tc>
        <w:tc>
          <w:tcPr>
            <w:tcW w:w="483" w:type="pct"/>
            <w:tcBorders>
              <w:tl2br w:val="nil"/>
              <w:tr2bl w:val="nil"/>
            </w:tcBorders>
            <w:noWrap w:val="0"/>
            <w:vAlign w:val="center"/>
          </w:tcPr>
          <w:p w14:paraId="333BF58F">
            <w:pPr>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1056</w:t>
            </w:r>
            <w:r>
              <w:rPr>
                <w:rFonts w:hint="eastAsia" w:ascii="Times New Roman" w:hAnsi="Times New Roman" w:eastAsia="宋体" w:cs="Times New Roman"/>
                <w:sz w:val="21"/>
                <w:szCs w:val="21"/>
                <w:lang w:val="en-US" w:eastAsia="zh-CN"/>
              </w:rPr>
              <w:t>40</w:t>
            </w:r>
          </w:p>
        </w:tc>
        <w:tc>
          <w:tcPr>
            <w:tcW w:w="450" w:type="pct"/>
            <w:tcBorders>
              <w:tl2br w:val="nil"/>
              <w:tr2bl w:val="nil"/>
            </w:tcBorders>
            <w:noWrap w:val="0"/>
            <w:vAlign w:val="center"/>
          </w:tcPr>
          <w:p w14:paraId="647AFF22">
            <w:pPr>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3.7</w:t>
            </w:r>
          </w:p>
        </w:tc>
        <w:tc>
          <w:tcPr>
            <w:tcW w:w="427" w:type="pct"/>
            <w:tcBorders>
              <w:tl2br w:val="nil"/>
              <w:tr2bl w:val="nil"/>
            </w:tcBorders>
            <w:noWrap/>
            <w:vAlign w:val="center"/>
          </w:tcPr>
          <w:p w14:paraId="71ACDB2C">
            <w:pPr>
              <w:jc w:val="center"/>
              <w:rPr>
                <w:rFonts w:hint="default" w:ascii="Times New Roman" w:hAnsi="Times New Roman" w:eastAsia="宋体" w:cs="Times New Roman"/>
                <w:sz w:val="21"/>
                <w:szCs w:val="21"/>
                <w:lang w:val="en-US" w:eastAsia="zh-CN"/>
              </w:rPr>
            </w:pPr>
            <w:r>
              <w:rPr>
                <w:rFonts w:hint="eastAsia" w:ascii="Times New Roman" w:hAnsi="Times New Roman" w:cs="Times New Roman"/>
                <w:sz w:val="21"/>
                <w:szCs w:val="21"/>
                <w:lang w:val="en-US" w:eastAsia="zh-CN"/>
              </w:rPr>
              <w:t>0.38</w:t>
            </w:r>
          </w:p>
        </w:tc>
        <w:tc>
          <w:tcPr>
            <w:tcW w:w="559" w:type="pct"/>
            <w:tcBorders>
              <w:tl2br w:val="nil"/>
              <w:tr2bl w:val="nil"/>
            </w:tcBorders>
            <w:noWrap w:val="0"/>
            <w:vAlign w:val="center"/>
          </w:tcPr>
          <w:p w14:paraId="0E7E64F2">
            <w:pPr>
              <w:jc w:val="center"/>
              <w:rPr>
                <w:rFonts w:hint="default" w:ascii="Times New Roman" w:hAnsi="Times New Roman" w:eastAsia="宋体" w:cs="Times New Roman"/>
                <w:sz w:val="21"/>
                <w:szCs w:val="21"/>
                <w:lang w:val="en-US" w:eastAsia="zh-CN"/>
              </w:rPr>
            </w:pPr>
            <w:r>
              <w:rPr>
                <w:rFonts w:hint="eastAsia" w:ascii="Times New Roman" w:hAnsi="Times New Roman" w:cs="Times New Roman"/>
                <w:sz w:val="21"/>
                <w:szCs w:val="21"/>
                <w:lang w:val="en-US" w:eastAsia="zh-CN"/>
              </w:rPr>
              <w:t>10</w:t>
            </w:r>
          </w:p>
        </w:tc>
        <w:tc>
          <w:tcPr>
            <w:tcW w:w="243" w:type="pct"/>
            <w:tcBorders>
              <w:tl2br w:val="nil"/>
              <w:tr2bl w:val="nil"/>
            </w:tcBorders>
            <w:noWrap w:val="0"/>
            <w:vAlign w:val="center"/>
          </w:tcPr>
          <w:p w14:paraId="7402BAE5">
            <w:pPr>
              <w:jc w:val="center"/>
              <w:rPr>
                <w:rFonts w:hint="eastAsia" w:ascii="Times New Roman" w:hAnsi="Times New Roman" w:cs="Times New Roman"/>
                <w:sz w:val="21"/>
                <w:szCs w:val="21"/>
              </w:rPr>
            </w:pPr>
            <w:r>
              <w:rPr>
                <w:rFonts w:ascii="Times New Roman" w:hAnsi="Times New Roman" w:cs="Times New Roman"/>
                <w:sz w:val="21"/>
                <w:szCs w:val="21"/>
              </w:rPr>
              <w:t>达标</w:t>
            </w:r>
          </w:p>
        </w:tc>
        <w:tc>
          <w:tcPr>
            <w:tcW w:w="312" w:type="pct"/>
            <w:tcBorders>
              <w:tl2br w:val="nil"/>
              <w:tr2bl w:val="nil"/>
            </w:tcBorders>
            <w:noWrap w:val="0"/>
            <w:vAlign w:val="center"/>
          </w:tcPr>
          <w:p w14:paraId="45C24811">
            <w:pPr>
              <w:jc w:val="center"/>
              <w:rPr>
                <w:sz w:val="20"/>
              </w:rPr>
            </w:pPr>
            <w:r>
              <w:rPr>
                <w:rFonts w:hint="eastAsia" w:ascii="Times New Roman" w:hAnsi="Times New Roman" w:cs="Times New Roman"/>
                <w:sz w:val="21"/>
                <w:szCs w:val="21"/>
                <w:lang w:val="en-US" w:eastAsia="zh-CN"/>
              </w:rPr>
              <w:t>常温</w:t>
            </w:r>
          </w:p>
        </w:tc>
        <w:tc>
          <w:tcPr>
            <w:tcW w:w="293" w:type="pct"/>
            <w:tcBorders>
              <w:tl2br w:val="nil"/>
              <w:tr2bl w:val="nil"/>
            </w:tcBorders>
            <w:noWrap w:val="0"/>
            <w:vAlign w:val="center"/>
          </w:tcPr>
          <w:p w14:paraId="41BD1B1A">
            <w:pPr>
              <w:pStyle w:val="720"/>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sz w:val="20"/>
              </w:rPr>
            </w:pPr>
            <w:r>
              <w:rPr>
                <w:rFonts w:hint="eastAsia" w:eastAsia="宋体" w:cs="Times New Roman"/>
                <w:color w:val="auto"/>
                <w:sz w:val="21"/>
                <w:szCs w:val="21"/>
                <w:highlight w:val="none"/>
                <w:lang w:val="en-US" w:eastAsia="zh-CN"/>
              </w:rPr>
              <w:t>30</w:t>
            </w:r>
          </w:p>
        </w:tc>
        <w:tc>
          <w:tcPr>
            <w:tcW w:w="877" w:type="dxa"/>
            <w:tcBorders>
              <w:tl2br w:val="nil"/>
              <w:tr2bl w:val="nil"/>
            </w:tcBorders>
            <w:noWrap w:val="0"/>
            <w:vAlign w:val="center"/>
          </w:tcPr>
          <w:p w14:paraId="17529247">
            <w:pPr>
              <w:pStyle w:val="720"/>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sz w:val="20"/>
              </w:rPr>
            </w:pPr>
            <w:r>
              <w:rPr>
                <w:rFonts w:hint="eastAsia" w:eastAsia="宋体" w:cs="Times New Roman"/>
                <w:sz w:val="21"/>
                <w:szCs w:val="21"/>
                <w:lang w:val="en-US" w:eastAsia="zh-CN"/>
              </w:rPr>
              <w:t>2</w:t>
            </w:r>
          </w:p>
        </w:tc>
        <w:tc>
          <w:tcPr>
            <w:tcW w:w="487" w:type="pct"/>
            <w:tcBorders>
              <w:tl2br w:val="nil"/>
              <w:tr2bl w:val="nil"/>
            </w:tcBorders>
            <w:noWrap w:val="0"/>
            <w:vAlign w:val="center"/>
          </w:tcPr>
          <w:p w14:paraId="675091A6">
            <w:pPr>
              <w:jc w:val="center"/>
              <w:rPr>
                <w:rFonts w:hint="eastAsia"/>
                <w:sz w:val="20"/>
              </w:rPr>
            </w:pPr>
            <w:r>
              <w:rPr>
                <w:rFonts w:ascii="Times New Roman" w:hAnsi="Times New Roman" w:cs="Times New Roman"/>
                <w:sz w:val="21"/>
                <w:szCs w:val="21"/>
              </w:rPr>
              <w:t>布袋除尘器</w:t>
            </w:r>
          </w:p>
        </w:tc>
        <w:tc>
          <w:tcPr>
            <w:tcW w:w="387" w:type="pct"/>
            <w:tcBorders>
              <w:tl2br w:val="nil"/>
              <w:tr2bl w:val="nil"/>
            </w:tcBorders>
            <w:noWrap/>
            <w:vAlign w:val="center"/>
          </w:tcPr>
          <w:p w14:paraId="421A0174">
            <w:pPr>
              <w:jc w:val="center"/>
              <w:rPr>
                <w:rFonts w:hint="eastAsia"/>
                <w:sz w:val="20"/>
              </w:rPr>
            </w:pPr>
            <w:r>
              <w:rPr>
                <w:rFonts w:hint="eastAsia" w:ascii="Times New Roman" w:hAnsi="Times New Roman" w:cs="Times New Roman"/>
                <w:sz w:val="21"/>
                <w:szCs w:val="21"/>
                <w:lang w:val="en-US" w:eastAsia="zh-CN"/>
              </w:rPr>
              <w:t>在线</w:t>
            </w:r>
          </w:p>
        </w:tc>
      </w:tr>
      <w:tr w14:paraId="5689EAF1">
        <w:tblPrEx>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05" w:type="pct"/>
            <w:tcBorders>
              <w:tl2br w:val="nil"/>
              <w:tr2bl w:val="nil"/>
            </w:tcBorders>
            <w:noWrap w:val="0"/>
            <w:vAlign w:val="center"/>
          </w:tcPr>
          <w:p w14:paraId="5B8CC41D">
            <w:pPr>
              <w:jc w:val="center"/>
              <w:rPr>
                <w:rFonts w:hint="default" w:ascii="Times New Roman" w:hAnsi="Times New Roman" w:eastAsia="宋体" w:cs="Times New Roman"/>
                <w:sz w:val="21"/>
                <w:szCs w:val="21"/>
                <w:lang w:val="en-US" w:eastAsia="zh-CN"/>
              </w:rPr>
            </w:pPr>
            <w:r>
              <w:rPr>
                <w:rFonts w:hint="eastAsia" w:ascii="Times New Roman" w:hAnsi="Times New Roman" w:cs="Times New Roman"/>
                <w:sz w:val="21"/>
                <w:szCs w:val="21"/>
                <w:lang w:val="en-US" w:eastAsia="zh-CN"/>
              </w:rPr>
              <w:t>DA008</w:t>
            </w:r>
          </w:p>
        </w:tc>
        <w:tc>
          <w:tcPr>
            <w:tcW w:w="312" w:type="pct"/>
            <w:tcBorders>
              <w:tl2br w:val="nil"/>
              <w:tr2bl w:val="nil"/>
            </w:tcBorders>
            <w:noWrap w:val="0"/>
            <w:vAlign w:val="center"/>
          </w:tcPr>
          <w:p w14:paraId="369ACB0E">
            <w:pPr>
              <w:jc w:val="center"/>
              <w:rPr>
                <w:rFonts w:hint="eastAsia" w:ascii="Times New Roman" w:hAnsi="Times New Roman" w:eastAsia="宋体" w:cs="Times New Roman"/>
                <w:sz w:val="21"/>
                <w:szCs w:val="21"/>
                <w:lang w:val="en-US" w:eastAsia="zh-CN"/>
              </w:rPr>
            </w:pPr>
            <w:r>
              <w:rPr>
                <w:rFonts w:hint="eastAsia" w:ascii="Times New Roman" w:hAnsi="Times New Roman" w:cs="Times New Roman"/>
                <w:sz w:val="21"/>
                <w:szCs w:val="21"/>
                <w:lang w:val="en-US" w:eastAsia="zh-CN"/>
              </w:rPr>
              <w:t>高炉煤粉制备</w:t>
            </w:r>
          </w:p>
        </w:tc>
        <w:tc>
          <w:tcPr>
            <w:tcW w:w="416" w:type="pct"/>
            <w:tcBorders>
              <w:tl2br w:val="nil"/>
              <w:tr2bl w:val="nil"/>
            </w:tcBorders>
            <w:noWrap w:val="0"/>
            <w:vAlign w:val="center"/>
          </w:tcPr>
          <w:p w14:paraId="4023E8A8">
            <w:pPr>
              <w:jc w:val="center"/>
              <w:rPr>
                <w:rFonts w:hint="eastAsia" w:ascii="Times New Roman" w:hAnsi="Times New Roman" w:cs="Times New Roman"/>
                <w:sz w:val="21"/>
                <w:szCs w:val="21"/>
              </w:rPr>
            </w:pPr>
            <w:r>
              <w:rPr>
                <w:rFonts w:hint="eastAsia" w:ascii="Times New Roman" w:hAnsi="Times New Roman" w:cs="Times New Roman"/>
                <w:sz w:val="21"/>
                <w:szCs w:val="21"/>
                <w:lang w:val="en-US" w:eastAsia="zh-CN"/>
              </w:rPr>
              <w:t>颗粒物</w:t>
            </w:r>
          </w:p>
        </w:tc>
        <w:tc>
          <w:tcPr>
            <w:tcW w:w="483" w:type="pct"/>
            <w:tcBorders>
              <w:tl2br w:val="nil"/>
              <w:tr2bl w:val="nil"/>
            </w:tcBorders>
            <w:noWrap w:val="0"/>
            <w:vAlign w:val="center"/>
          </w:tcPr>
          <w:p w14:paraId="3BE04104">
            <w:pPr>
              <w:jc w:val="center"/>
              <w:rPr>
                <w:rFonts w:hint="default" w:ascii="Times New Roman" w:hAnsi="Times New Roman" w:eastAsia="宋体" w:cs="Times New Roman"/>
                <w:sz w:val="21"/>
                <w:szCs w:val="21"/>
                <w:lang w:val="en-US" w:eastAsia="zh-CN"/>
              </w:rPr>
            </w:pPr>
            <w:r>
              <w:rPr>
                <w:rFonts w:hint="eastAsia" w:ascii="Times New Roman" w:hAnsi="Times New Roman" w:cs="Times New Roman"/>
                <w:sz w:val="21"/>
                <w:szCs w:val="21"/>
                <w:lang w:val="en-US" w:eastAsia="zh-CN"/>
              </w:rPr>
              <w:t>23645</w:t>
            </w:r>
          </w:p>
        </w:tc>
        <w:tc>
          <w:tcPr>
            <w:tcW w:w="450" w:type="pct"/>
            <w:tcBorders>
              <w:tl2br w:val="nil"/>
              <w:tr2bl w:val="nil"/>
            </w:tcBorders>
            <w:noWrap w:val="0"/>
            <w:vAlign w:val="center"/>
          </w:tcPr>
          <w:p w14:paraId="6FC46E15">
            <w:pPr>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6.2</w:t>
            </w:r>
          </w:p>
        </w:tc>
        <w:tc>
          <w:tcPr>
            <w:tcW w:w="427" w:type="pct"/>
            <w:tcBorders>
              <w:tl2br w:val="nil"/>
              <w:tr2bl w:val="nil"/>
            </w:tcBorders>
            <w:noWrap/>
            <w:vAlign w:val="center"/>
          </w:tcPr>
          <w:p w14:paraId="498FCFFC">
            <w:pPr>
              <w:jc w:val="center"/>
              <w:rPr>
                <w:rFonts w:hint="default" w:ascii="Times New Roman" w:hAnsi="Times New Roman" w:eastAsia="宋体" w:cs="Times New Roman"/>
                <w:sz w:val="21"/>
                <w:szCs w:val="21"/>
                <w:lang w:val="en-US" w:eastAsia="zh-CN"/>
              </w:rPr>
            </w:pPr>
            <w:r>
              <w:rPr>
                <w:rFonts w:hint="eastAsia" w:ascii="Times New Roman" w:hAnsi="Times New Roman" w:cs="Times New Roman"/>
                <w:sz w:val="21"/>
                <w:szCs w:val="21"/>
                <w:lang w:val="en-US" w:eastAsia="zh-CN"/>
              </w:rPr>
              <w:t>0.11</w:t>
            </w:r>
          </w:p>
        </w:tc>
        <w:tc>
          <w:tcPr>
            <w:tcW w:w="559" w:type="pct"/>
            <w:tcBorders>
              <w:tl2br w:val="nil"/>
              <w:tr2bl w:val="nil"/>
            </w:tcBorders>
            <w:noWrap w:val="0"/>
            <w:vAlign w:val="center"/>
          </w:tcPr>
          <w:p w14:paraId="2E05CE94">
            <w:pPr>
              <w:jc w:val="center"/>
              <w:rPr>
                <w:rFonts w:hint="default" w:ascii="Times New Roman" w:hAnsi="Times New Roman" w:eastAsia="宋体" w:cs="Times New Roman"/>
                <w:sz w:val="21"/>
                <w:szCs w:val="21"/>
                <w:lang w:val="en-US" w:eastAsia="zh-CN"/>
              </w:rPr>
            </w:pPr>
            <w:r>
              <w:rPr>
                <w:rFonts w:hint="eastAsia" w:ascii="Times New Roman" w:hAnsi="Times New Roman" w:cs="Times New Roman"/>
                <w:sz w:val="21"/>
                <w:szCs w:val="21"/>
                <w:lang w:val="en-US" w:eastAsia="zh-CN"/>
              </w:rPr>
              <w:t>10</w:t>
            </w:r>
          </w:p>
        </w:tc>
        <w:tc>
          <w:tcPr>
            <w:tcW w:w="243" w:type="pct"/>
            <w:tcBorders>
              <w:tl2br w:val="nil"/>
              <w:tr2bl w:val="nil"/>
            </w:tcBorders>
            <w:noWrap w:val="0"/>
            <w:vAlign w:val="center"/>
          </w:tcPr>
          <w:p w14:paraId="298F9619">
            <w:pPr>
              <w:jc w:val="center"/>
              <w:rPr>
                <w:rFonts w:hint="eastAsia" w:ascii="Times New Roman" w:hAnsi="Times New Roman" w:cs="Times New Roman"/>
                <w:sz w:val="21"/>
                <w:szCs w:val="21"/>
              </w:rPr>
            </w:pPr>
            <w:r>
              <w:rPr>
                <w:rFonts w:ascii="Times New Roman" w:hAnsi="Times New Roman" w:cs="Times New Roman"/>
                <w:sz w:val="21"/>
                <w:szCs w:val="21"/>
              </w:rPr>
              <w:t>达标</w:t>
            </w:r>
          </w:p>
        </w:tc>
        <w:tc>
          <w:tcPr>
            <w:tcW w:w="312" w:type="pct"/>
            <w:tcBorders>
              <w:tl2br w:val="nil"/>
              <w:tr2bl w:val="nil"/>
            </w:tcBorders>
            <w:noWrap w:val="0"/>
            <w:vAlign w:val="center"/>
          </w:tcPr>
          <w:p w14:paraId="7EE24AC5">
            <w:pPr>
              <w:jc w:val="center"/>
              <w:rPr>
                <w:sz w:val="20"/>
              </w:rPr>
            </w:pPr>
            <w:r>
              <w:rPr>
                <w:rFonts w:hint="eastAsia" w:ascii="Times New Roman" w:hAnsi="Times New Roman" w:cs="Times New Roman"/>
                <w:sz w:val="21"/>
                <w:szCs w:val="21"/>
                <w:lang w:val="en-US" w:eastAsia="zh-CN"/>
              </w:rPr>
              <w:t>常温</w:t>
            </w:r>
          </w:p>
        </w:tc>
        <w:tc>
          <w:tcPr>
            <w:tcW w:w="293" w:type="pct"/>
            <w:tcBorders>
              <w:tl2br w:val="nil"/>
              <w:tr2bl w:val="nil"/>
            </w:tcBorders>
            <w:noWrap w:val="0"/>
            <w:vAlign w:val="center"/>
          </w:tcPr>
          <w:p w14:paraId="75A8B183">
            <w:pPr>
              <w:pStyle w:val="720"/>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sz w:val="20"/>
              </w:rPr>
            </w:pPr>
            <w:r>
              <w:rPr>
                <w:rFonts w:hint="eastAsia" w:eastAsia="宋体" w:cs="Times New Roman"/>
                <w:color w:val="auto"/>
                <w:sz w:val="21"/>
                <w:szCs w:val="21"/>
                <w:highlight w:val="none"/>
                <w:lang w:val="en-US" w:eastAsia="zh-CN"/>
              </w:rPr>
              <w:t>35</w:t>
            </w:r>
          </w:p>
        </w:tc>
        <w:tc>
          <w:tcPr>
            <w:tcW w:w="877" w:type="dxa"/>
            <w:tcBorders>
              <w:tl2br w:val="nil"/>
              <w:tr2bl w:val="nil"/>
            </w:tcBorders>
            <w:noWrap w:val="0"/>
            <w:vAlign w:val="center"/>
          </w:tcPr>
          <w:p w14:paraId="15BED843">
            <w:pPr>
              <w:pStyle w:val="720"/>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sz w:val="20"/>
              </w:rPr>
            </w:pPr>
            <w:r>
              <w:rPr>
                <w:rFonts w:hint="eastAsia" w:eastAsia="宋体" w:cs="Times New Roman"/>
                <w:sz w:val="21"/>
                <w:szCs w:val="21"/>
                <w:lang w:val="en-US" w:eastAsia="zh-CN"/>
              </w:rPr>
              <w:t>0.8</w:t>
            </w:r>
          </w:p>
        </w:tc>
        <w:tc>
          <w:tcPr>
            <w:tcW w:w="487" w:type="pct"/>
            <w:tcBorders>
              <w:tl2br w:val="nil"/>
              <w:tr2bl w:val="nil"/>
            </w:tcBorders>
            <w:noWrap w:val="0"/>
            <w:vAlign w:val="center"/>
          </w:tcPr>
          <w:p w14:paraId="183FFBAC">
            <w:pPr>
              <w:jc w:val="center"/>
              <w:rPr>
                <w:rFonts w:hint="eastAsia"/>
                <w:sz w:val="20"/>
              </w:rPr>
            </w:pPr>
            <w:r>
              <w:rPr>
                <w:rFonts w:ascii="Times New Roman" w:hAnsi="Times New Roman" w:cs="Times New Roman"/>
                <w:sz w:val="21"/>
                <w:szCs w:val="21"/>
              </w:rPr>
              <w:t>布袋除尘器</w:t>
            </w:r>
          </w:p>
        </w:tc>
        <w:tc>
          <w:tcPr>
            <w:tcW w:w="387" w:type="pct"/>
            <w:tcBorders>
              <w:tl2br w:val="nil"/>
              <w:tr2bl w:val="nil"/>
            </w:tcBorders>
            <w:noWrap/>
            <w:vAlign w:val="center"/>
          </w:tcPr>
          <w:p w14:paraId="2AE3D52D">
            <w:pPr>
              <w:jc w:val="center"/>
              <w:rPr>
                <w:rFonts w:hint="eastAsia"/>
                <w:sz w:val="20"/>
              </w:rPr>
            </w:pPr>
            <w:r>
              <w:rPr>
                <w:rFonts w:ascii="Times New Roman" w:hAnsi="Times New Roman" w:cs="Times New Roman"/>
                <w:sz w:val="21"/>
                <w:szCs w:val="21"/>
              </w:rPr>
              <w:t>手工</w:t>
            </w:r>
          </w:p>
        </w:tc>
      </w:tr>
      <w:tr w14:paraId="3B47A311">
        <w:tblPrEx>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05" w:type="pct"/>
            <w:tcBorders>
              <w:tl2br w:val="nil"/>
              <w:tr2bl w:val="nil"/>
            </w:tcBorders>
            <w:noWrap w:val="0"/>
            <w:vAlign w:val="center"/>
          </w:tcPr>
          <w:p w14:paraId="1151142F">
            <w:pPr>
              <w:jc w:val="center"/>
              <w:rPr>
                <w:rFonts w:hint="default" w:ascii="Times New Roman" w:hAnsi="Times New Roman" w:eastAsia="宋体" w:cs="Times New Roman"/>
                <w:sz w:val="21"/>
                <w:szCs w:val="21"/>
                <w:lang w:val="en-US" w:eastAsia="zh-CN"/>
              </w:rPr>
            </w:pPr>
            <w:r>
              <w:rPr>
                <w:rFonts w:hint="eastAsia" w:ascii="Times New Roman" w:hAnsi="Times New Roman" w:cs="Times New Roman"/>
                <w:sz w:val="21"/>
                <w:szCs w:val="21"/>
                <w:lang w:val="en-US" w:eastAsia="zh-CN"/>
              </w:rPr>
              <w:t>DA009</w:t>
            </w:r>
          </w:p>
        </w:tc>
        <w:tc>
          <w:tcPr>
            <w:tcW w:w="312" w:type="pct"/>
            <w:tcBorders>
              <w:tl2br w:val="nil"/>
              <w:tr2bl w:val="nil"/>
            </w:tcBorders>
            <w:noWrap w:val="0"/>
            <w:vAlign w:val="center"/>
          </w:tcPr>
          <w:p w14:paraId="4C47BC3B">
            <w:pPr>
              <w:jc w:val="center"/>
              <w:rPr>
                <w:rFonts w:hint="default" w:ascii="Times New Roman" w:hAnsi="Times New Roman" w:eastAsia="宋体" w:cs="Times New Roman"/>
                <w:sz w:val="21"/>
                <w:szCs w:val="21"/>
                <w:lang w:val="en-US" w:eastAsia="zh-CN"/>
              </w:rPr>
            </w:pPr>
            <w:r>
              <w:rPr>
                <w:rFonts w:hint="eastAsia" w:ascii="Times New Roman" w:hAnsi="Times New Roman" w:cs="Times New Roman"/>
                <w:sz w:val="21"/>
                <w:szCs w:val="21"/>
                <w:lang w:val="en-US" w:eastAsia="zh-CN"/>
              </w:rPr>
              <w:t>高炉出铁场</w:t>
            </w:r>
          </w:p>
        </w:tc>
        <w:tc>
          <w:tcPr>
            <w:tcW w:w="416" w:type="pct"/>
            <w:tcBorders>
              <w:tl2br w:val="nil"/>
              <w:tr2bl w:val="nil"/>
            </w:tcBorders>
            <w:noWrap w:val="0"/>
            <w:vAlign w:val="center"/>
          </w:tcPr>
          <w:p w14:paraId="09E89134">
            <w:pPr>
              <w:jc w:val="center"/>
              <w:rPr>
                <w:rFonts w:hint="eastAsia" w:ascii="Times New Roman" w:hAnsi="Times New Roman" w:cs="Times New Roman"/>
                <w:sz w:val="21"/>
                <w:szCs w:val="21"/>
              </w:rPr>
            </w:pPr>
            <w:r>
              <w:rPr>
                <w:rFonts w:hint="eastAsia" w:ascii="Times New Roman" w:hAnsi="Times New Roman" w:cs="Times New Roman"/>
                <w:sz w:val="21"/>
                <w:szCs w:val="21"/>
                <w:lang w:val="en-US" w:eastAsia="zh-CN"/>
              </w:rPr>
              <w:t>颗粒物</w:t>
            </w:r>
          </w:p>
        </w:tc>
        <w:tc>
          <w:tcPr>
            <w:tcW w:w="483" w:type="pct"/>
            <w:tcBorders>
              <w:tl2br w:val="nil"/>
              <w:tr2bl w:val="nil"/>
            </w:tcBorders>
            <w:noWrap w:val="0"/>
            <w:vAlign w:val="center"/>
          </w:tcPr>
          <w:p w14:paraId="0EB7FEC6">
            <w:pPr>
              <w:jc w:val="center"/>
              <w:rPr>
                <w:rFonts w:hint="eastAsia"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94384</w:t>
            </w:r>
          </w:p>
        </w:tc>
        <w:tc>
          <w:tcPr>
            <w:tcW w:w="450" w:type="pct"/>
            <w:tcBorders>
              <w:tl2br w:val="nil"/>
              <w:tr2bl w:val="nil"/>
            </w:tcBorders>
            <w:noWrap w:val="0"/>
            <w:vAlign w:val="center"/>
          </w:tcPr>
          <w:p w14:paraId="2712E46C">
            <w:pPr>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4.9</w:t>
            </w:r>
          </w:p>
        </w:tc>
        <w:tc>
          <w:tcPr>
            <w:tcW w:w="427" w:type="pct"/>
            <w:tcBorders>
              <w:tl2br w:val="nil"/>
              <w:tr2bl w:val="nil"/>
            </w:tcBorders>
            <w:noWrap/>
            <w:vAlign w:val="center"/>
          </w:tcPr>
          <w:p w14:paraId="5DC5AD2B">
            <w:pPr>
              <w:jc w:val="center"/>
              <w:rPr>
                <w:rFonts w:hint="default" w:ascii="Times New Roman" w:hAnsi="Times New Roman" w:eastAsia="宋体" w:cs="Times New Roman"/>
                <w:sz w:val="21"/>
                <w:szCs w:val="21"/>
                <w:lang w:val="en-US" w:eastAsia="zh-CN"/>
              </w:rPr>
            </w:pPr>
            <w:r>
              <w:rPr>
                <w:rFonts w:hint="eastAsia" w:ascii="Times New Roman" w:hAnsi="Times New Roman" w:cs="Times New Roman"/>
                <w:sz w:val="21"/>
                <w:szCs w:val="21"/>
                <w:lang w:val="en-US" w:eastAsia="zh-CN"/>
              </w:rPr>
              <w:t>0.5</w:t>
            </w:r>
          </w:p>
        </w:tc>
        <w:tc>
          <w:tcPr>
            <w:tcW w:w="559" w:type="pct"/>
            <w:tcBorders>
              <w:tl2br w:val="nil"/>
              <w:tr2bl w:val="nil"/>
            </w:tcBorders>
            <w:noWrap w:val="0"/>
            <w:vAlign w:val="center"/>
          </w:tcPr>
          <w:p w14:paraId="15DF17C9">
            <w:pPr>
              <w:jc w:val="center"/>
              <w:rPr>
                <w:rFonts w:hint="default" w:ascii="Times New Roman" w:hAnsi="Times New Roman" w:eastAsia="宋体" w:cs="Times New Roman"/>
                <w:sz w:val="21"/>
                <w:szCs w:val="21"/>
                <w:lang w:val="en-US" w:eastAsia="zh-CN"/>
              </w:rPr>
            </w:pPr>
            <w:r>
              <w:rPr>
                <w:rFonts w:hint="eastAsia" w:ascii="Times New Roman" w:hAnsi="Times New Roman" w:cs="Times New Roman"/>
                <w:sz w:val="21"/>
                <w:szCs w:val="21"/>
                <w:lang w:val="en-US" w:eastAsia="zh-CN"/>
              </w:rPr>
              <w:t>10</w:t>
            </w:r>
          </w:p>
        </w:tc>
        <w:tc>
          <w:tcPr>
            <w:tcW w:w="243" w:type="pct"/>
            <w:tcBorders>
              <w:tl2br w:val="nil"/>
              <w:tr2bl w:val="nil"/>
            </w:tcBorders>
            <w:noWrap w:val="0"/>
            <w:vAlign w:val="center"/>
          </w:tcPr>
          <w:p w14:paraId="4B0C1F8E">
            <w:pPr>
              <w:jc w:val="center"/>
              <w:rPr>
                <w:rFonts w:hint="eastAsia" w:ascii="Times New Roman" w:hAnsi="Times New Roman" w:cs="Times New Roman"/>
                <w:sz w:val="21"/>
                <w:szCs w:val="21"/>
              </w:rPr>
            </w:pPr>
            <w:r>
              <w:rPr>
                <w:rFonts w:ascii="Times New Roman" w:hAnsi="Times New Roman" w:cs="Times New Roman"/>
                <w:sz w:val="21"/>
                <w:szCs w:val="21"/>
              </w:rPr>
              <w:t>达标</w:t>
            </w:r>
          </w:p>
        </w:tc>
        <w:tc>
          <w:tcPr>
            <w:tcW w:w="312" w:type="pct"/>
            <w:tcBorders>
              <w:tl2br w:val="nil"/>
              <w:tr2bl w:val="nil"/>
            </w:tcBorders>
            <w:noWrap w:val="0"/>
            <w:vAlign w:val="center"/>
          </w:tcPr>
          <w:p w14:paraId="40609B03">
            <w:pPr>
              <w:jc w:val="center"/>
              <w:rPr>
                <w:sz w:val="20"/>
              </w:rPr>
            </w:pPr>
            <w:r>
              <w:rPr>
                <w:rFonts w:hint="eastAsia" w:ascii="Times New Roman" w:hAnsi="Times New Roman" w:cs="Times New Roman"/>
                <w:sz w:val="21"/>
                <w:szCs w:val="21"/>
                <w:lang w:val="en-US" w:eastAsia="zh-CN"/>
              </w:rPr>
              <w:t>常温</w:t>
            </w:r>
          </w:p>
        </w:tc>
        <w:tc>
          <w:tcPr>
            <w:tcW w:w="293" w:type="pct"/>
            <w:tcBorders>
              <w:tl2br w:val="nil"/>
              <w:tr2bl w:val="nil"/>
            </w:tcBorders>
            <w:noWrap w:val="0"/>
            <w:vAlign w:val="center"/>
          </w:tcPr>
          <w:p w14:paraId="27F9C7A1">
            <w:pPr>
              <w:pStyle w:val="720"/>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sz w:val="20"/>
              </w:rPr>
            </w:pPr>
            <w:r>
              <w:rPr>
                <w:rFonts w:hint="eastAsia" w:eastAsia="宋体" w:cs="Times New Roman"/>
                <w:color w:val="auto"/>
                <w:sz w:val="21"/>
                <w:szCs w:val="21"/>
                <w:highlight w:val="none"/>
                <w:lang w:val="en-US" w:eastAsia="zh-CN"/>
              </w:rPr>
              <w:t>30</w:t>
            </w:r>
          </w:p>
        </w:tc>
        <w:tc>
          <w:tcPr>
            <w:tcW w:w="877" w:type="dxa"/>
            <w:tcBorders>
              <w:tl2br w:val="nil"/>
              <w:tr2bl w:val="nil"/>
            </w:tcBorders>
            <w:noWrap w:val="0"/>
            <w:vAlign w:val="center"/>
          </w:tcPr>
          <w:p w14:paraId="4FD34A23">
            <w:pPr>
              <w:pStyle w:val="720"/>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sz w:val="20"/>
              </w:rPr>
            </w:pPr>
            <w:r>
              <w:rPr>
                <w:rFonts w:hint="eastAsia" w:eastAsia="宋体" w:cs="Times New Roman"/>
                <w:sz w:val="21"/>
                <w:szCs w:val="21"/>
                <w:lang w:val="en-US" w:eastAsia="zh-CN"/>
              </w:rPr>
              <w:t>2</w:t>
            </w:r>
          </w:p>
        </w:tc>
        <w:tc>
          <w:tcPr>
            <w:tcW w:w="487" w:type="pct"/>
            <w:tcBorders>
              <w:tl2br w:val="nil"/>
              <w:tr2bl w:val="nil"/>
            </w:tcBorders>
            <w:noWrap w:val="0"/>
            <w:vAlign w:val="center"/>
          </w:tcPr>
          <w:p w14:paraId="4AFC2187">
            <w:pPr>
              <w:jc w:val="center"/>
              <w:rPr>
                <w:rFonts w:hint="eastAsia"/>
                <w:sz w:val="20"/>
              </w:rPr>
            </w:pPr>
            <w:r>
              <w:rPr>
                <w:rFonts w:ascii="Times New Roman" w:hAnsi="Times New Roman" w:cs="Times New Roman"/>
                <w:sz w:val="21"/>
                <w:szCs w:val="21"/>
              </w:rPr>
              <w:t>布袋除尘器</w:t>
            </w:r>
          </w:p>
        </w:tc>
        <w:tc>
          <w:tcPr>
            <w:tcW w:w="387" w:type="pct"/>
            <w:tcBorders>
              <w:tl2br w:val="nil"/>
              <w:tr2bl w:val="nil"/>
            </w:tcBorders>
            <w:noWrap/>
            <w:vAlign w:val="center"/>
          </w:tcPr>
          <w:p w14:paraId="7CA2F832">
            <w:pPr>
              <w:jc w:val="center"/>
              <w:rPr>
                <w:rFonts w:hint="eastAsia"/>
                <w:sz w:val="20"/>
              </w:rPr>
            </w:pPr>
            <w:r>
              <w:rPr>
                <w:rFonts w:hint="eastAsia" w:ascii="Times New Roman" w:hAnsi="Times New Roman" w:cs="Times New Roman"/>
                <w:sz w:val="21"/>
                <w:szCs w:val="21"/>
                <w:lang w:val="en-US" w:eastAsia="zh-CN"/>
              </w:rPr>
              <w:t>在线</w:t>
            </w:r>
          </w:p>
        </w:tc>
      </w:tr>
      <w:tr w14:paraId="362E5FD4">
        <w:tblPrEx>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05" w:type="pct"/>
            <w:vMerge w:val="restart"/>
            <w:tcBorders>
              <w:tl2br w:val="nil"/>
              <w:tr2bl w:val="nil"/>
            </w:tcBorders>
            <w:noWrap w:val="0"/>
            <w:vAlign w:val="center"/>
          </w:tcPr>
          <w:p w14:paraId="05860CF7">
            <w:pPr>
              <w:jc w:val="center"/>
              <w:rPr>
                <w:rFonts w:hint="default" w:ascii="Times New Roman" w:hAnsi="Times New Roman" w:eastAsia="宋体" w:cs="Times New Roman"/>
                <w:sz w:val="21"/>
                <w:szCs w:val="21"/>
                <w:lang w:val="en-US" w:eastAsia="zh-CN"/>
              </w:rPr>
            </w:pPr>
            <w:r>
              <w:rPr>
                <w:rFonts w:hint="eastAsia" w:ascii="Times New Roman" w:hAnsi="Times New Roman" w:cs="Times New Roman"/>
                <w:sz w:val="21"/>
                <w:szCs w:val="21"/>
                <w:lang w:val="en-US" w:eastAsia="zh-CN"/>
              </w:rPr>
              <w:t>DA010</w:t>
            </w:r>
          </w:p>
        </w:tc>
        <w:tc>
          <w:tcPr>
            <w:tcW w:w="312" w:type="pct"/>
            <w:vMerge w:val="restart"/>
            <w:tcBorders>
              <w:tl2br w:val="nil"/>
              <w:tr2bl w:val="nil"/>
            </w:tcBorders>
            <w:noWrap w:val="0"/>
            <w:vAlign w:val="center"/>
          </w:tcPr>
          <w:p w14:paraId="3E5B442F">
            <w:pPr>
              <w:jc w:val="center"/>
              <w:rPr>
                <w:rFonts w:hint="eastAsia" w:ascii="Times New Roman" w:hAnsi="Times New Roman" w:eastAsia="宋体" w:cs="Times New Roman"/>
                <w:sz w:val="21"/>
                <w:szCs w:val="21"/>
                <w:lang w:val="en-US" w:eastAsia="zh-CN"/>
              </w:rPr>
            </w:pPr>
            <w:r>
              <w:rPr>
                <w:rFonts w:hint="eastAsia" w:ascii="Times New Roman" w:hAnsi="Times New Roman" w:cs="Times New Roman"/>
                <w:sz w:val="21"/>
                <w:szCs w:val="21"/>
                <w:lang w:val="en-US" w:eastAsia="zh-CN"/>
              </w:rPr>
              <w:t>热风炉</w:t>
            </w:r>
          </w:p>
        </w:tc>
        <w:tc>
          <w:tcPr>
            <w:tcW w:w="416" w:type="pct"/>
            <w:tcBorders>
              <w:tl2br w:val="nil"/>
              <w:tr2bl w:val="nil"/>
            </w:tcBorders>
            <w:noWrap w:val="0"/>
            <w:vAlign w:val="center"/>
          </w:tcPr>
          <w:p w14:paraId="197711CA">
            <w:pPr>
              <w:jc w:val="center"/>
              <w:rPr>
                <w:rFonts w:hint="eastAsia" w:ascii="Times New Roman" w:hAnsi="Times New Roman" w:cs="Times New Roman"/>
                <w:sz w:val="21"/>
                <w:szCs w:val="21"/>
              </w:rPr>
            </w:pPr>
            <w:r>
              <w:rPr>
                <w:rFonts w:ascii="Times New Roman" w:hAnsi="Times New Roman" w:cs="Times New Roman"/>
                <w:sz w:val="21"/>
                <w:szCs w:val="21"/>
              </w:rPr>
              <w:t>颗粒物</w:t>
            </w:r>
          </w:p>
        </w:tc>
        <w:tc>
          <w:tcPr>
            <w:tcW w:w="483" w:type="pct"/>
            <w:vMerge w:val="restart"/>
            <w:tcBorders>
              <w:tl2br w:val="nil"/>
              <w:tr2bl w:val="nil"/>
            </w:tcBorders>
            <w:noWrap w:val="0"/>
            <w:vAlign w:val="center"/>
          </w:tcPr>
          <w:p w14:paraId="056D43D4">
            <w:pPr>
              <w:jc w:val="center"/>
              <w:rPr>
                <w:rFonts w:hint="default" w:ascii="Times New Roman" w:hAnsi="Times New Roman" w:eastAsia="宋体" w:cs="Times New Roman"/>
                <w:sz w:val="21"/>
                <w:szCs w:val="21"/>
                <w:lang w:val="en-US" w:eastAsia="zh-CN"/>
              </w:rPr>
            </w:pPr>
            <w:r>
              <w:rPr>
                <w:rFonts w:hint="eastAsia" w:ascii="Times New Roman" w:hAnsi="Times New Roman" w:cs="Times New Roman"/>
                <w:sz w:val="21"/>
                <w:szCs w:val="21"/>
                <w:lang w:val="en-US" w:eastAsia="zh-CN"/>
              </w:rPr>
              <w:t>67740</w:t>
            </w:r>
          </w:p>
        </w:tc>
        <w:tc>
          <w:tcPr>
            <w:tcW w:w="450" w:type="pct"/>
            <w:tcBorders>
              <w:tl2br w:val="nil"/>
              <w:tr2bl w:val="nil"/>
            </w:tcBorders>
            <w:noWrap w:val="0"/>
            <w:vAlign w:val="center"/>
          </w:tcPr>
          <w:p w14:paraId="4376F9CB">
            <w:pPr>
              <w:jc w:val="center"/>
              <w:rPr>
                <w:rFonts w:hint="default" w:ascii="Times New Roman" w:hAnsi="Times New Roman" w:eastAsia="宋体" w:cs="Times New Roman"/>
                <w:sz w:val="21"/>
                <w:szCs w:val="21"/>
                <w:lang w:val="en-US" w:eastAsia="zh-CN"/>
              </w:rPr>
            </w:pPr>
            <w:r>
              <w:rPr>
                <w:rFonts w:hint="eastAsia" w:ascii="Times New Roman" w:hAnsi="Times New Roman" w:cs="Times New Roman"/>
                <w:sz w:val="21"/>
                <w:szCs w:val="21"/>
                <w:lang w:val="en-US" w:eastAsia="zh-CN"/>
              </w:rPr>
              <w:t>10</w:t>
            </w:r>
          </w:p>
        </w:tc>
        <w:tc>
          <w:tcPr>
            <w:tcW w:w="427" w:type="pct"/>
            <w:tcBorders>
              <w:tl2br w:val="nil"/>
              <w:tr2bl w:val="nil"/>
            </w:tcBorders>
            <w:noWrap/>
            <w:vAlign w:val="center"/>
          </w:tcPr>
          <w:p w14:paraId="5B8B6EA0">
            <w:pPr>
              <w:jc w:val="center"/>
              <w:rPr>
                <w:rFonts w:hint="default" w:ascii="Times New Roman" w:hAnsi="Times New Roman" w:eastAsia="宋体" w:cs="Times New Roman"/>
                <w:sz w:val="21"/>
                <w:szCs w:val="21"/>
                <w:lang w:val="en-US" w:eastAsia="zh-CN"/>
              </w:rPr>
            </w:pPr>
            <w:r>
              <w:rPr>
                <w:rFonts w:hint="eastAsia" w:ascii="Times New Roman" w:hAnsi="Times New Roman" w:cs="Times New Roman"/>
                <w:sz w:val="21"/>
                <w:szCs w:val="21"/>
                <w:lang w:val="en-US" w:eastAsia="zh-CN"/>
              </w:rPr>
              <w:t>0.5</w:t>
            </w:r>
          </w:p>
        </w:tc>
        <w:tc>
          <w:tcPr>
            <w:tcW w:w="559" w:type="pct"/>
            <w:tcBorders>
              <w:tl2br w:val="nil"/>
              <w:tr2bl w:val="nil"/>
            </w:tcBorders>
            <w:noWrap w:val="0"/>
            <w:vAlign w:val="center"/>
          </w:tcPr>
          <w:p w14:paraId="16105586">
            <w:pPr>
              <w:jc w:val="center"/>
              <w:rPr>
                <w:rFonts w:hint="default" w:ascii="Times New Roman" w:hAnsi="Times New Roman" w:eastAsia="宋体" w:cs="Times New Roman"/>
                <w:sz w:val="21"/>
                <w:szCs w:val="21"/>
                <w:lang w:val="en-US" w:eastAsia="zh-CN"/>
              </w:rPr>
            </w:pPr>
            <w:r>
              <w:rPr>
                <w:rFonts w:hint="eastAsia" w:ascii="Times New Roman" w:hAnsi="Times New Roman" w:cs="Times New Roman"/>
                <w:sz w:val="21"/>
                <w:szCs w:val="21"/>
                <w:lang w:val="en-US" w:eastAsia="zh-CN"/>
              </w:rPr>
              <w:t>10</w:t>
            </w:r>
          </w:p>
        </w:tc>
        <w:tc>
          <w:tcPr>
            <w:tcW w:w="243" w:type="pct"/>
            <w:tcBorders>
              <w:tl2br w:val="nil"/>
              <w:tr2bl w:val="nil"/>
            </w:tcBorders>
            <w:noWrap w:val="0"/>
            <w:vAlign w:val="center"/>
          </w:tcPr>
          <w:p w14:paraId="08C76492">
            <w:pPr>
              <w:jc w:val="center"/>
              <w:rPr>
                <w:rFonts w:hint="eastAsia" w:ascii="Times New Roman" w:hAnsi="Times New Roman" w:cs="Times New Roman"/>
                <w:sz w:val="21"/>
                <w:szCs w:val="21"/>
              </w:rPr>
            </w:pPr>
            <w:r>
              <w:rPr>
                <w:rFonts w:ascii="Times New Roman" w:hAnsi="Times New Roman" w:cs="Times New Roman"/>
                <w:sz w:val="21"/>
                <w:szCs w:val="21"/>
              </w:rPr>
              <w:t>达标</w:t>
            </w:r>
          </w:p>
        </w:tc>
        <w:tc>
          <w:tcPr>
            <w:tcW w:w="312" w:type="pct"/>
            <w:vMerge w:val="restart"/>
            <w:tcBorders>
              <w:tl2br w:val="nil"/>
              <w:tr2bl w:val="nil"/>
            </w:tcBorders>
            <w:noWrap w:val="0"/>
            <w:vAlign w:val="center"/>
          </w:tcPr>
          <w:p w14:paraId="1C3D20AB">
            <w:pPr>
              <w:jc w:val="center"/>
              <w:rPr>
                <w:rFonts w:hint="default" w:eastAsia="宋体"/>
                <w:sz w:val="20"/>
                <w:lang w:val="en-US" w:eastAsia="zh-CN"/>
              </w:rPr>
            </w:pPr>
            <w:r>
              <w:rPr>
                <w:rFonts w:hint="eastAsia"/>
                <w:sz w:val="20"/>
                <w:lang w:val="en-US" w:eastAsia="zh-CN"/>
              </w:rPr>
              <w:t>120</w:t>
            </w:r>
          </w:p>
        </w:tc>
        <w:tc>
          <w:tcPr>
            <w:tcW w:w="293" w:type="pct"/>
            <w:vMerge w:val="restart"/>
            <w:tcBorders>
              <w:tl2br w:val="nil"/>
              <w:tr2bl w:val="nil"/>
            </w:tcBorders>
            <w:noWrap w:val="0"/>
            <w:vAlign w:val="center"/>
          </w:tcPr>
          <w:p w14:paraId="5F26FBFB">
            <w:pPr>
              <w:pStyle w:val="720"/>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sz w:val="20"/>
              </w:rPr>
            </w:pPr>
            <w:r>
              <w:rPr>
                <w:rFonts w:hint="eastAsia" w:eastAsia="宋体" w:cs="Times New Roman"/>
                <w:color w:val="auto"/>
                <w:sz w:val="21"/>
                <w:szCs w:val="21"/>
                <w:highlight w:val="none"/>
                <w:lang w:val="en-US" w:eastAsia="zh-CN"/>
              </w:rPr>
              <w:t>42</w:t>
            </w:r>
          </w:p>
        </w:tc>
        <w:tc>
          <w:tcPr>
            <w:tcW w:w="877" w:type="dxa"/>
            <w:vMerge w:val="restart"/>
            <w:tcBorders>
              <w:tl2br w:val="nil"/>
              <w:tr2bl w:val="nil"/>
            </w:tcBorders>
            <w:noWrap w:val="0"/>
            <w:vAlign w:val="center"/>
          </w:tcPr>
          <w:p w14:paraId="0AF84AAC">
            <w:pPr>
              <w:pStyle w:val="720"/>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sz w:val="20"/>
              </w:rPr>
            </w:pPr>
            <w:r>
              <w:rPr>
                <w:rFonts w:hint="eastAsia" w:eastAsia="宋体" w:cs="Times New Roman"/>
                <w:sz w:val="21"/>
                <w:szCs w:val="21"/>
                <w:lang w:val="en-US" w:eastAsia="zh-CN"/>
              </w:rPr>
              <w:t>2.5</w:t>
            </w:r>
          </w:p>
        </w:tc>
        <w:tc>
          <w:tcPr>
            <w:tcW w:w="487" w:type="pct"/>
            <w:tcBorders>
              <w:tl2br w:val="nil"/>
              <w:tr2bl w:val="nil"/>
            </w:tcBorders>
            <w:noWrap w:val="0"/>
            <w:vAlign w:val="center"/>
          </w:tcPr>
          <w:p w14:paraId="24A7419A">
            <w:pPr>
              <w:jc w:val="center"/>
              <w:rPr>
                <w:rFonts w:hint="eastAsia" w:eastAsia="宋体"/>
                <w:sz w:val="20"/>
                <w:lang w:val="en-US" w:eastAsia="zh-CN"/>
              </w:rPr>
            </w:pPr>
            <w:r>
              <w:rPr>
                <w:rFonts w:hint="eastAsia"/>
                <w:sz w:val="20"/>
                <w:lang w:val="en-US" w:eastAsia="zh-CN"/>
              </w:rPr>
              <w:t>/</w:t>
            </w:r>
          </w:p>
        </w:tc>
        <w:tc>
          <w:tcPr>
            <w:tcW w:w="387" w:type="pct"/>
            <w:tcBorders>
              <w:tl2br w:val="nil"/>
              <w:tr2bl w:val="nil"/>
            </w:tcBorders>
            <w:noWrap/>
            <w:vAlign w:val="center"/>
          </w:tcPr>
          <w:p w14:paraId="2FDD89F8">
            <w:pPr>
              <w:jc w:val="center"/>
              <w:rPr>
                <w:rFonts w:hint="eastAsia"/>
                <w:sz w:val="20"/>
              </w:rPr>
            </w:pPr>
            <w:r>
              <w:rPr>
                <w:rFonts w:ascii="Times New Roman" w:hAnsi="Times New Roman" w:cs="Times New Roman"/>
                <w:sz w:val="21"/>
                <w:szCs w:val="21"/>
              </w:rPr>
              <w:t>手工</w:t>
            </w:r>
          </w:p>
        </w:tc>
      </w:tr>
      <w:tr w14:paraId="376E0C14">
        <w:tblPrEx>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05" w:type="pct"/>
            <w:vMerge w:val="continue"/>
            <w:tcBorders>
              <w:tl2br w:val="nil"/>
              <w:tr2bl w:val="nil"/>
            </w:tcBorders>
            <w:noWrap w:val="0"/>
            <w:vAlign w:val="center"/>
          </w:tcPr>
          <w:p w14:paraId="6268B375">
            <w:pPr>
              <w:jc w:val="center"/>
              <w:rPr>
                <w:rFonts w:ascii="Times New Roman" w:hAnsi="Times New Roman" w:cs="Times New Roman"/>
                <w:sz w:val="21"/>
                <w:szCs w:val="21"/>
              </w:rPr>
            </w:pPr>
          </w:p>
        </w:tc>
        <w:tc>
          <w:tcPr>
            <w:tcW w:w="312" w:type="pct"/>
            <w:vMerge w:val="continue"/>
            <w:tcBorders>
              <w:tl2br w:val="nil"/>
              <w:tr2bl w:val="nil"/>
            </w:tcBorders>
            <w:noWrap w:val="0"/>
            <w:vAlign w:val="center"/>
          </w:tcPr>
          <w:p w14:paraId="767BBEE3">
            <w:pPr>
              <w:jc w:val="center"/>
              <w:rPr>
                <w:rFonts w:hint="eastAsia" w:ascii="Times New Roman" w:hAnsi="Times New Roman" w:cs="Times New Roman"/>
                <w:sz w:val="21"/>
                <w:szCs w:val="21"/>
              </w:rPr>
            </w:pPr>
          </w:p>
        </w:tc>
        <w:tc>
          <w:tcPr>
            <w:tcW w:w="416" w:type="pct"/>
            <w:tcBorders>
              <w:tl2br w:val="nil"/>
              <w:tr2bl w:val="nil"/>
            </w:tcBorders>
            <w:noWrap w:val="0"/>
            <w:vAlign w:val="center"/>
          </w:tcPr>
          <w:p w14:paraId="5C1E28EC">
            <w:pPr>
              <w:jc w:val="center"/>
              <w:rPr>
                <w:rFonts w:hint="eastAsia" w:ascii="Times New Roman" w:hAnsi="Times New Roman" w:cs="Times New Roman"/>
                <w:sz w:val="21"/>
                <w:szCs w:val="21"/>
              </w:rPr>
            </w:pPr>
            <w:r>
              <w:rPr>
                <w:rFonts w:hint="eastAsia" w:ascii="Times New Roman" w:hAnsi="Times New Roman" w:cs="Times New Roman"/>
                <w:sz w:val="21"/>
                <w:szCs w:val="21"/>
              </w:rPr>
              <w:t>二氧化硫</w:t>
            </w:r>
          </w:p>
        </w:tc>
        <w:tc>
          <w:tcPr>
            <w:tcW w:w="483" w:type="pct"/>
            <w:vMerge w:val="continue"/>
            <w:tcBorders>
              <w:tl2br w:val="nil"/>
              <w:tr2bl w:val="nil"/>
            </w:tcBorders>
            <w:noWrap w:val="0"/>
            <w:vAlign w:val="center"/>
          </w:tcPr>
          <w:p w14:paraId="5948867B">
            <w:pPr>
              <w:jc w:val="center"/>
              <w:rPr>
                <w:rFonts w:ascii="Times New Roman" w:hAnsi="Times New Roman" w:cs="Times New Roman"/>
                <w:sz w:val="21"/>
                <w:szCs w:val="21"/>
              </w:rPr>
            </w:pPr>
          </w:p>
        </w:tc>
        <w:tc>
          <w:tcPr>
            <w:tcW w:w="450" w:type="pct"/>
            <w:tcBorders>
              <w:tl2br w:val="nil"/>
              <w:tr2bl w:val="nil"/>
            </w:tcBorders>
            <w:noWrap w:val="0"/>
            <w:vAlign w:val="center"/>
          </w:tcPr>
          <w:p w14:paraId="3F333EF9">
            <w:pPr>
              <w:jc w:val="center"/>
              <w:rPr>
                <w:rFonts w:hint="default" w:ascii="Times New Roman" w:hAnsi="Times New Roman" w:eastAsia="宋体" w:cs="Times New Roman"/>
                <w:sz w:val="21"/>
                <w:szCs w:val="21"/>
                <w:lang w:val="en-US" w:eastAsia="zh-CN"/>
              </w:rPr>
            </w:pPr>
            <w:r>
              <w:rPr>
                <w:rFonts w:hint="eastAsia" w:ascii="Times New Roman" w:hAnsi="Times New Roman" w:cs="Times New Roman"/>
                <w:sz w:val="21"/>
                <w:szCs w:val="21"/>
                <w:lang w:val="en-US" w:eastAsia="zh-CN"/>
              </w:rPr>
              <w:t>19</w:t>
            </w:r>
          </w:p>
        </w:tc>
        <w:tc>
          <w:tcPr>
            <w:tcW w:w="427" w:type="pct"/>
            <w:tcBorders>
              <w:tl2br w:val="nil"/>
              <w:tr2bl w:val="nil"/>
            </w:tcBorders>
            <w:noWrap/>
            <w:vAlign w:val="center"/>
          </w:tcPr>
          <w:p w14:paraId="093F9D80">
            <w:pPr>
              <w:jc w:val="center"/>
              <w:rPr>
                <w:rFonts w:hint="default" w:ascii="Times New Roman" w:hAnsi="Times New Roman" w:eastAsia="宋体" w:cs="Times New Roman"/>
                <w:sz w:val="21"/>
                <w:szCs w:val="21"/>
                <w:lang w:val="en-US" w:eastAsia="zh-CN"/>
              </w:rPr>
            </w:pPr>
            <w:r>
              <w:rPr>
                <w:rFonts w:hint="eastAsia" w:ascii="Times New Roman" w:hAnsi="Times New Roman" w:cs="Times New Roman"/>
                <w:sz w:val="21"/>
                <w:szCs w:val="21"/>
                <w:lang w:val="en-US" w:eastAsia="zh-CN"/>
              </w:rPr>
              <w:t>0.86</w:t>
            </w:r>
          </w:p>
        </w:tc>
        <w:tc>
          <w:tcPr>
            <w:tcW w:w="559" w:type="pct"/>
            <w:tcBorders>
              <w:tl2br w:val="nil"/>
              <w:tr2bl w:val="nil"/>
            </w:tcBorders>
            <w:noWrap w:val="0"/>
            <w:vAlign w:val="center"/>
          </w:tcPr>
          <w:p w14:paraId="773D6919">
            <w:pPr>
              <w:jc w:val="center"/>
              <w:rPr>
                <w:rFonts w:hint="default" w:ascii="Times New Roman" w:hAnsi="Times New Roman" w:eastAsia="宋体" w:cs="Times New Roman"/>
                <w:sz w:val="21"/>
                <w:szCs w:val="21"/>
                <w:lang w:val="en-US" w:eastAsia="zh-CN"/>
              </w:rPr>
            </w:pPr>
            <w:r>
              <w:rPr>
                <w:rFonts w:hint="eastAsia" w:ascii="Times New Roman" w:hAnsi="Times New Roman" w:cs="Times New Roman"/>
                <w:sz w:val="21"/>
                <w:szCs w:val="21"/>
                <w:lang w:val="en-US" w:eastAsia="zh-CN"/>
              </w:rPr>
              <w:t>50</w:t>
            </w:r>
          </w:p>
        </w:tc>
        <w:tc>
          <w:tcPr>
            <w:tcW w:w="243" w:type="pct"/>
            <w:tcBorders>
              <w:tl2br w:val="nil"/>
              <w:tr2bl w:val="nil"/>
            </w:tcBorders>
            <w:noWrap w:val="0"/>
            <w:vAlign w:val="center"/>
          </w:tcPr>
          <w:p w14:paraId="68C1933C">
            <w:pPr>
              <w:jc w:val="center"/>
              <w:rPr>
                <w:rFonts w:hint="eastAsia" w:ascii="Times New Roman" w:hAnsi="Times New Roman" w:cs="Times New Roman"/>
                <w:sz w:val="21"/>
                <w:szCs w:val="21"/>
              </w:rPr>
            </w:pPr>
            <w:r>
              <w:rPr>
                <w:rFonts w:ascii="Times New Roman" w:hAnsi="Times New Roman" w:cs="Times New Roman"/>
                <w:sz w:val="21"/>
                <w:szCs w:val="21"/>
              </w:rPr>
              <w:t>达标</w:t>
            </w:r>
          </w:p>
        </w:tc>
        <w:tc>
          <w:tcPr>
            <w:tcW w:w="312" w:type="pct"/>
            <w:vMerge w:val="continue"/>
            <w:tcBorders>
              <w:tl2br w:val="nil"/>
              <w:tr2bl w:val="nil"/>
            </w:tcBorders>
            <w:noWrap w:val="0"/>
            <w:vAlign w:val="center"/>
          </w:tcPr>
          <w:p w14:paraId="16D9AB0F">
            <w:pPr>
              <w:jc w:val="center"/>
              <w:rPr>
                <w:sz w:val="20"/>
              </w:rPr>
            </w:pPr>
          </w:p>
        </w:tc>
        <w:tc>
          <w:tcPr>
            <w:tcW w:w="293" w:type="pct"/>
            <w:vMerge w:val="continue"/>
            <w:tcBorders>
              <w:tl2br w:val="nil"/>
              <w:tr2bl w:val="nil"/>
            </w:tcBorders>
            <w:noWrap w:val="0"/>
            <w:vAlign w:val="center"/>
          </w:tcPr>
          <w:p w14:paraId="79879526">
            <w:pPr>
              <w:jc w:val="center"/>
              <w:rPr>
                <w:sz w:val="20"/>
              </w:rPr>
            </w:pPr>
          </w:p>
        </w:tc>
        <w:tc>
          <w:tcPr>
            <w:tcW w:w="321" w:type="pct"/>
            <w:vMerge w:val="continue"/>
            <w:tcBorders>
              <w:tl2br w:val="nil"/>
              <w:tr2bl w:val="nil"/>
            </w:tcBorders>
            <w:noWrap w:val="0"/>
            <w:vAlign w:val="center"/>
          </w:tcPr>
          <w:p w14:paraId="21017376">
            <w:pPr>
              <w:jc w:val="center"/>
              <w:rPr>
                <w:sz w:val="20"/>
              </w:rPr>
            </w:pPr>
          </w:p>
        </w:tc>
        <w:tc>
          <w:tcPr>
            <w:tcW w:w="487" w:type="pct"/>
            <w:tcBorders>
              <w:tl2br w:val="nil"/>
              <w:tr2bl w:val="nil"/>
            </w:tcBorders>
            <w:noWrap w:val="0"/>
            <w:vAlign w:val="center"/>
          </w:tcPr>
          <w:p w14:paraId="2B6B56D3">
            <w:pPr>
              <w:jc w:val="center"/>
              <w:rPr>
                <w:rFonts w:hint="eastAsia" w:eastAsia="宋体"/>
                <w:sz w:val="20"/>
                <w:lang w:val="en-US" w:eastAsia="zh-CN"/>
              </w:rPr>
            </w:pPr>
            <w:r>
              <w:rPr>
                <w:rFonts w:hint="eastAsia"/>
                <w:sz w:val="20"/>
                <w:lang w:val="en-US" w:eastAsia="zh-CN"/>
              </w:rPr>
              <w:t>/</w:t>
            </w:r>
          </w:p>
        </w:tc>
        <w:tc>
          <w:tcPr>
            <w:tcW w:w="387" w:type="pct"/>
            <w:tcBorders>
              <w:tl2br w:val="nil"/>
              <w:tr2bl w:val="nil"/>
            </w:tcBorders>
            <w:noWrap/>
            <w:vAlign w:val="center"/>
          </w:tcPr>
          <w:p w14:paraId="60F8B7D5">
            <w:pPr>
              <w:jc w:val="center"/>
              <w:rPr>
                <w:rFonts w:hint="eastAsia"/>
                <w:sz w:val="20"/>
              </w:rPr>
            </w:pPr>
            <w:r>
              <w:rPr>
                <w:rFonts w:ascii="Times New Roman" w:hAnsi="Times New Roman" w:cs="Times New Roman"/>
                <w:sz w:val="21"/>
                <w:szCs w:val="21"/>
              </w:rPr>
              <w:t>手工</w:t>
            </w:r>
          </w:p>
        </w:tc>
      </w:tr>
      <w:tr w14:paraId="3BFDE7DB">
        <w:tblPrEx>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05" w:type="pct"/>
            <w:vMerge w:val="continue"/>
            <w:tcBorders>
              <w:tl2br w:val="nil"/>
              <w:tr2bl w:val="nil"/>
            </w:tcBorders>
            <w:noWrap w:val="0"/>
            <w:vAlign w:val="center"/>
          </w:tcPr>
          <w:p w14:paraId="54660D7D">
            <w:pPr>
              <w:jc w:val="center"/>
              <w:rPr>
                <w:rFonts w:ascii="Times New Roman" w:hAnsi="Times New Roman" w:cs="Times New Roman"/>
                <w:sz w:val="21"/>
                <w:szCs w:val="21"/>
              </w:rPr>
            </w:pPr>
          </w:p>
        </w:tc>
        <w:tc>
          <w:tcPr>
            <w:tcW w:w="312" w:type="pct"/>
            <w:vMerge w:val="continue"/>
            <w:tcBorders>
              <w:tl2br w:val="nil"/>
              <w:tr2bl w:val="nil"/>
            </w:tcBorders>
            <w:noWrap w:val="0"/>
            <w:vAlign w:val="center"/>
          </w:tcPr>
          <w:p w14:paraId="35DA51A8">
            <w:pPr>
              <w:jc w:val="center"/>
              <w:rPr>
                <w:rFonts w:hint="eastAsia" w:ascii="Times New Roman" w:hAnsi="Times New Roman" w:cs="Times New Roman"/>
                <w:sz w:val="21"/>
                <w:szCs w:val="21"/>
              </w:rPr>
            </w:pPr>
          </w:p>
        </w:tc>
        <w:tc>
          <w:tcPr>
            <w:tcW w:w="416" w:type="pct"/>
            <w:tcBorders>
              <w:tl2br w:val="nil"/>
              <w:tr2bl w:val="nil"/>
            </w:tcBorders>
            <w:noWrap w:val="0"/>
            <w:vAlign w:val="center"/>
          </w:tcPr>
          <w:p w14:paraId="50B38520">
            <w:pPr>
              <w:jc w:val="center"/>
              <w:rPr>
                <w:rFonts w:hint="eastAsia" w:ascii="Times New Roman" w:hAnsi="Times New Roman" w:cs="Times New Roman"/>
                <w:sz w:val="21"/>
                <w:szCs w:val="21"/>
              </w:rPr>
            </w:pPr>
            <w:r>
              <w:rPr>
                <w:rFonts w:hint="eastAsia" w:ascii="Times New Roman" w:hAnsi="Times New Roman" w:cs="Times New Roman"/>
                <w:sz w:val="21"/>
                <w:szCs w:val="21"/>
              </w:rPr>
              <w:t>氮氧化物</w:t>
            </w:r>
          </w:p>
        </w:tc>
        <w:tc>
          <w:tcPr>
            <w:tcW w:w="483" w:type="pct"/>
            <w:vMerge w:val="continue"/>
            <w:tcBorders>
              <w:tl2br w:val="nil"/>
              <w:tr2bl w:val="nil"/>
            </w:tcBorders>
            <w:noWrap w:val="0"/>
            <w:vAlign w:val="center"/>
          </w:tcPr>
          <w:p w14:paraId="4EF3591E">
            <w:pPr>
              <w:jc w:val="center"/>
              <w:rPr>
                <w:rFonts w:ascii="Times New Roman" w:hAnsi="Times New Roman" w:cs="Times New Roman"/>
                <w:sz w:val="21"/>
                <w:szCs w:val="21"/>
              </w:rPr>
            </w:pPr>
          </w:p>
        </w:tc>
        <w:tc>
          <w:tcPr>
            <w:tcW w:w="450" w:type="pct"/>
            <w:tcBorders>
              <w:tl2br w:val="nil"/>
              <w:tr2bl w:val="nil"/>
            </w:tcBorders>
            <w:noWrap w:val="0"/>
            <w:vAlign w:val="center"/>
          </w:tcPr>
          <w:p w14:paraId="50C7A2F9">
            <w:pPr>
              <w:jc w:val="center"/>
              <w:rPr>
                <w:rFonts w:hint="default" w:ascii="Times New Roman" w:hAnsi="Times New Roman" w:eastAsia="宋体" w:cs="Times New Roman"/>
                <w:sz w:val="21"/>
                <w:szCs w:val="21"/>
                <w:lang w:val="en-US" w:eastAsia="zh-CN"/>
              </w:rPr>
            </w:pPr>
            <w:r>
              <w:rPr>
                <w:rFonts w:hint="eastAsia" w:ascii="Times New Roman" w:hAnsi="Times New Roman" w:cs="Times New Roman"/>
                <w:sz w:val="21"/>
                <w:szCs w:val="21"/>
                <w:lang w:val="en-US" w:eastAsia="zh-CN"/>
              </w:rPr>
              <w:t>68</w:t>
            </w:r>
          </w:p>
        </w:tc>
        <w:tc>
          <w:tcPr>
            <w:tcW w:w="427" w:type="pct"/>
            <w:tcBorders>
              <w:tl2br w:val="nil"/>
              <w:tr2bl w:val="nil"/>
            </w:tcBorders>
            <w:noWrap/>
            <w:vAlign w:val="center"/>
          </w:tcPr>
          <w:p w14:paraId="5F208A10">
            <w:pPr>
              <w:jc w:val="center"/>
              <w:rPr>
                <w:rFonts w:hint="default" w:ascii="Times New Roman" w:hAnsi="Times New Roman" w:eastAsia="宋体" w:cs="Times New Roman"/>
                <w:sz w:val="21"/>
                <w:szCs w:val="21"/>
                <w:lang w:val="en-US" w:eastAsia="zh-CN"/>
              </w:rPr>
            </w:pPr>
            <w:r>
              <w:rPr>
                <w:rFonts w:hint="eastAsia" w:ascii="Times New Roman" w:hAnsi="Times New Roman" w:cs="Times New Roman"/>
                <w:sz w:val="21"/>
                <w:szCs w:val="21"/>
                <w:lang w:val="en-US" w:eastAsia="zh-CN"/>
              </w:rPr>
              <w:t>3.09</w:t>
            </w:r>
          </w:p>
        </w:tc>
        <w:tc>
          <w:tcPr>
            <w:tcW w:w="559" w:type="pct"/>
            <w:tcBorders>
              <w:tl2br w:val="nil"/>
              <w:tr2bl w:val="nil"/>
            </w:tcBorders>
            <w:noWrap w:val="0"/>
            <w:vAlign w:val="center"/>
          </w:tcPr>
          <w:p w14:paraId="59E07D18">
            <w:pPr>
              <w:jc w:val="center"/>
              <w:rPr>
                <w:rFonts w:hint="default" w:ascii="Times New Roman" w:hAnsi="Times New Roman" w:eastAsia="宋体" w:cs="Times New Roman"/>
                <w:sz w:val="21"/>
                <w:szCs w:val="21"/>
                <w:lang w:val="en-US" w:eastAsia="zh-CN"/>
              </w:rPr>
            </w:pPr>
            <w:r>
              <w:rPr>
                <w:rFonts w:hint="eastAsia" w:ascii="Times New Roman" w:hAnsi="Times New Roman" w:cs="Times New Roman"/>
                <w:sz w:val="21"/>
                <w:szCs w:val="21"/>
                <w:lang w:val="en-US" w:eastAsia="zh-CN"/>
              </w:rPr>
              <w:t>200</w:t>
            </w:r>
          </w:p>
        </w:tc>
        <w:tc>
          <w:tcPr>
            <w:tcW w:w="243" w:type="pct"/>
            <w:tcBorders>
              <w:tl2br w:val="nil"/>
              <w:tr2bl w:val="nil"/>
            </w:tcBorders>
            <w:noWrap w:val="0"/>
            <w:vAlign w:val="center"/>
          </w:tcPr>
          <w:p w14:paraId="7F44A71F">
            <w:pPr>
              <w:jc w:val="center"/>
              <w:rPr>
                <w:rFonts w:hint="eastAsia" w:ascii="Times New Roman" w:hAnsi="Times New Roman" w:cs="Times New Roman"/>
                <w:sz w:val="21"/>
                <w:szCs w:val="21"/>
              </w:rPr>
            </w:pPr>
            <w:r>
              <w:rPr>
                <w:rFonts w:ascii="Times New Roman" w:hAnsi="Times New Roman" w:cs="Times New Roman"/>
                <w:sz w:val="21"/>
                <w:szCs w:val="21"/>
              </w:rPr>
              <w:t>达标</w:t>
            </w:r>
          </w:p>
        </w:tc>
        <w:tc>
          <w:tcPr>
            <w:tcW w:w="312" w:type="pct"/>
            <w:vMerge w:val="continue"/>
            <w:tcBorders>
              <w:tl2br w:val="nil"/>
              <w:tr2bl w:val="nil"/>
            </w:tcBorders>
            <w:noWrap w:val="0"/>
            <w:vAlign w:val="center"/>
          </w:tcPr>
          <w:p w14:paraId="5DB2CDFC">
            <w:pPr>
              <w:jc w:val="center"/>
              <w:rPr>
                <w:sz w:val="20"/>
              </w:rPr>
            </w:pPr>
          </w:p>
        </w:tc>
        <w:tc>
          <w:tcPr>
            <w:tcW w:w="293" w:type="pct"/>
            <w:vMerge w:val="continue"/>
            <w:tcBorders>
              <w:tl2br w:val="nil"/>
              <w:tr2bl w:val="nil"/>
            </w:tcBorders>
            <w:noWrap w:val="0"/>
            <w:vAlign w:val="center"/>
          </w:tcPr>
          <w:p w14:paraId="64253EE1">
            <w:pPr>
              <w:jc w:val="center"/>
              <w:rPr>
                <w:sz w:val="20"/>
              </w:rPr>
            </w:pPr>
          </w:p>
        </w:tc>
        <w:tc>
          <w:tcPr>
            <w:tcW w:w="321" w:type="pct"/>
            <w:vMerge w:val="continue"/>
            <w:tcBorders>
              <w:tl2br w:val="nil"/>
              <w:tr2bl w:val="nil"/>
            </w:tcBorders>
            <w:noWrap w:val="0"/>
            <w:vAlign w:val="center"/>
          </w:tcPr>
          <w:p w14:paraId="54C178C1">
            <w:pPr>
              <w:jc w:val="center"/>
              <w:rPr>
                <w:sz w:val="20"/>
              </w:rPr>
            </w:pPr>
          </w:p>
        </w:tc>
        <w:tc>
          <w:tcPr>
            <w:tcW w:w="487" w:type="pct"/>
            <w:tcBorders>
              <w:tl2br w:val="nil"/>
              <w:tr2bl w:val="nil"/>
            </w:tcBorders>
            <w:noWrap w:val="0"/>
            <w:vAlign w:val="center"/>
          </w:tcPr>
          <w:p w14:paraId="042E42E0">
            <w:pPr>
              <w:jc w:val="center"/>
              <w:rPr>
                <w:rFonts w:hint="eastAsia" w:eastAsia="宋体"/>
                <w:sz w:val="20"/>
                <w:lang w:val="en-US" w:eastAsia="zh-CN"/>
              </w:rPr>
            </w:pPr>
            <w:r>
              <w:rPr>
                <w:rFonts w:hint="eastAsia"/>
                <w:sz w:val="20"/>
                <w:lang w:val="en-US" w:eastAsia="zh-CN"/>
              </w:rPr>
              <w:t>/</w:t>
            </w:r>
          </w:p>
        </w:tc>
        <w:tc>
          <w:tcPr>
            <w:tcW w:w="387" w:type="pct"/>
            <w:tcBorders>
              <w:tl2br w:val="nil"/>
              <w:tr2bl w:val="nil"/>
            </w:tcBorders>
            <w:noWrap/>
            <w:vAlign w:val="center"/>
          </w:tcPr>
          <w:p w14:paraId="195FADC8">
            <w:pPr>
              <w:jc w:val="center"/>
              <w:rPr>
                <w:rFonts w:hint="eastAsia"/>
                <w:sz w:val="20"/>
              </w:rPr>
            </w:pPr>
            <w:r>
              <w:rPr>
                <w:rFonts w:ascii="Times New Roman" w:hAnsi="Times New Roman" w:cs="Times New Roman"/>
                <w:sz w:val="21"/>
                <w:szCs w:val="21"/>
              </w:rPr>
              <w:t>手工</w:t>
            </w:r>
          </w:p>
        </w:tc>
      </w:tr>
      <w:tr w14:paraId="5B4942A7">
        <w:tblPrEx>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05" w:type="pct"/>
            <w:vMerge w:val="restart"/>
            <w:tcBorders>
              <w:tl2br w:val="nil"/>
              <w:tr2bl w:val="nil"/>
            </w:tcBorders>
            <w:noWrap w:val="0"/>
            <w:vAlign w:val="center"/>
          </w:tcPr>
          <w:p w14:paraId="6338FCEE">
            <w:pPr>
              <w:jc w:val="center"/>
              <w:rPr>
                <w:rFonts w:hint="default" w:ascii="Times New Roman" w:hAnsi="Times New Roman" w:eastAsia="宋体" w:cs="Times New Roman"/>
                <w:sz w:val="21"/>
                <w:szCs w:val="21"/>
                <w:lang w:val="en-US" w:eastAsia="zh-CN"/>
              </w:rPr>
            </w:pPr>
            <w:r>
              <w:rPr>
                <w:rFonts w:hint="eastAsia" w:ascii="Times New Roman" w:hAnsi="Times New Roman" w:cs="Times New Roman"/>
                <w:sz w:val="21"/>
                <w:szCs w:val="21"/>
                <w:lang w:val="en-US" w:eastAsia="zh-CN"/>
              </w:rPr>
              <w:t>DA011</w:t>
            </w:r>
          </w:p>
        </w:tc>
        <w:tc>
          <w:tcPr>
            <w:tcW w:w="312" w:type="pct"/>
            <w:vMerge w:val="restart"/>
            <w:tcBorders>
              <w:tl2br w:val="nil"/>
              <w:tr2bl w:val="nil"/>
            </w:tcBorders>
            <w:noWrap w:val="0"/>
            <w:vAlign w:val="center"/>
          </w:tcPr>
          <w:p w14:paraId="7E7C7B33">
            <w:pPr>
              <w:jc w:val="center"/>
              <w:rPr>
                <w:rFonts w:hint="eastAsia" w:ascii="Times New Roman" w:hAnsi="Times New Roman" w:cs="Times New Roman"/>
                <w:sz w:val="21"/>
                <w:szCs w:val="21"/>
              </w:rPr>
            </w:pPr>
            <w:r>
              <w:rPr>
                <w:rFonts w:hint="eastAsia" w:ascii="Times New Roman" w:hAnsi="Times New Roman" w:cs="Times New Roman"/>
                <w:sz w:val="21"/>
                <w:szCs w:val="21"/>
                <w:lang w:val="en-US" w:eastAsia="zh-CN"/>
              </w:rPr>
              <w:t>球团竖炉</w:t>
            </w:r>
          </w:p>
        </w:tc>
        <w:tc>
          <w:tcPr>
            <w:tcW w:w="416" w:type="pct"/>
            <w:tcBorders>
              <w:tl2br w:val="nil"/>
              <w:tr2bl w:val="nil"/>
            </w:tcBorders>
            <w:noWrap w:val="0"/>
            <w:vAlign w:val="center"/>
          </w:tcPr>
          <w:p w14:paraId="4F4CEAC0">
            <w:pPr>
              <w:jc w:val="center"/>
              <w:rPr>
                <w:rFonts w:hint="eastAsia" w:ascii="Times New Roman" w:hAnsi="Times New Roman" w:cs="Times New Roman"/>
                <w:sz w:val="21"/>
                <w:szCs w:val="21"/>
                <w:lang w:val="en-US" w:eastAsia="zh-CN" w:bidi="ar-SA"/>
              </w:rPr>
            </w:pPr>
            <w:r>
              <w:rPr>
                <w:rFonts w:ascii="Times New Roman" w:hAnsi="Times New Roman" w:cs="Times New Roman"/>
                <w:sz w:val="21"/>
                <w:szCs w:val="21"/>
              </w:rPr>
              <w:t>颗粒物</w:t>
            </w:r>
          </w:p>
        </w:tc>
        <w:tc>
          <w:tcPr>
            <w:tcW w:w="483" w:type="pct"/>
            <w:vMerge w:val="restart"/>
            <w:tcBorders>
              <w:tl2br w:val="nil"/>
              <w:tr2bl w:val="nil"/>
            </w:tcBorders>
            <w:noWrap w:val="0"/>
            <w:vAlign w:val="center"/>
          </w:tcPr>
          <w:p w14:paraId="72A5D804">
            <w:pPr>
              <w:keepNext w:val="0"/>
              <w:keepLines w:val="0"/>
              <w:widowControl/>
              <w:suppressLineNumbers w:val="0"/>
              <w:jc w:val="center"/>
              <w:textAlignment w:val="bottom"/>
              <w:rPr>
                <w:rFonts w:ascii="Calibri" w:hAnsi="Calibri" w:cs="Calibri"/>
                <w:i w:val="0"/>
                <w:iCs w:val="0"/>
                <w:color w:val="000000"/>
                <w:sz w:val="24"/>
                <w:szCs w:val="24"/>
                <w:u w:val="none"/>
                <w:lang w:val="en-US" w:eastAsia="zh-CN" w:bidi="ar-SA"/>
              </w:rPr>
            </w:pPr>
            <w:r>
              <w:rPr>
                <w:rFonts w:hint="default" w:ascii="Calibri" w:hAnsi="Calibri" w:eastAsia="宋体" w:cs="Calibri"/>
                <w:i w:val="0"/>
                <w:iCs w:val="0"/>
                <w:color w:val="000000"/>
                <w:kern w:val="0"/>
                <w:sz w:val="24"/>
                <w:szCs w:val="24"/>
                <w:u w:val="none"/>
                <w:lang w:val="en-US" w:eastAsia="zh-CN" w:bidi="ar"/>
              </w:rPr>
              <w:t>4251</w:t>
            </w:r>
            <w:r>
              <w:rPr>
                <w:rFonts w:hint="eastAsia" w:ascii="Calibri" w:hAnsi="Calibri" w:eastAsia="宋体" w:cs="Calibri"/>
                <w:i w:val="0"/>
                <w:iCs w:val="0"/>
                <w:color w:val="000000"/>
                <w:kern w:val="0"/>
                <w:sz w:val="24"/>
                <w:szCs w:val="24"/>
                <w:u w:val="none"/>
                <w:lang w:val="en-US" w:eastAsia="zh-CN" w:bidi="ar"/>
              </w:rPr>
              <w:t>6</w:t>
            </w:r>
          </w:p>
        </w:tc>
        <w:tc>
          <w:tcPr>
            <w:tcW w:w="450" w:type="pct"/>
            <w:tcBorders>
              <w:tl2br w:val="nil"/>
              <w:tr2bl w:val="nil"/>
            </w:tcBorders>
            <w:noWrap w:val="0"/>
            <w:vAlign w:val="center"/>
          </w:tcPr>
          <w:p w14:paraId="172959DE">
            <w:pPr>
              <w:keepNext w:val="0"/>
              <w:keepLines w:val="0"/>
              <w:widowControl/>
              <w:suppressLineNumbers w:val="0"/>
              <w:jc w:val="center"/>
              <w:textAlignment w:val="center"/>
              <w:rPr>
                <w:rFonts w:hint="eastAsia" w:ascii="Arial Unicode MS" w:hAnsi="Arial Unicode MS" w:eastAsia="Arial Unicode MS" w:cs="Arial Unicode MS"/>
                <w:i w:val="0"/>
                <w:iCs w:val="0"/>
                <w:color w:val="000000"/>
                <w:sz w:val="20"/>
                <w:szCs w:val="20"/>
                <w:u w:val="none"/>
                <w:lang w:val="en-US" w:eastAsia="zh-CN" w:bidi="ar-SA"/>
              </w:rPr>
            </w:pPr>
            <w:r>
              <w:rPr>
                <w:rFonts w:hint="default" w:ascii="Arial Unicode MS" w:hAnsi="Arial Unicode MS" w:eastAsia="Arial Unicode MS" w:cs="Arial Unicode MS"/>
                <w:i w:val="0"/>
                <w:iCs w:val="0"/>
                <w:color w:val="000000"/>
                <w:kern w:val="0"/>
                <w:sz w:val="20"/>
                <w:szCs w:val="20"/>
                <w:u w:val="none"/>
                <w:lang w:val="en-US" w:eastAsia="zh-CN" w:bidi="ar"/>
              </w:rPr>
              <w:t>10</w:t>
            </w:r>
          </w:p>
        </w:tc>
        <w:tc>
          <w:tcPr>
            <w:tcW w:w="427" w:type="pct"/>
            <w:tcBorders>
              <w:tl2br w:val="nil"/>
              <w:tr2bl w:val="nil"/>
            </w:tcBorders>
            <w:noWrap/>
            <w:vAlign w:val="center"/>
          </w:tcPr>
          <w:p w14:paraId="00FE0360">
            <w:pPr>
              <w:jc w:val="center"/>
              <w:rPr>
                <w:rFonts w:hint="default" w:ascii="Times New Roman" w:hAnsi="Times New Roman" w:eastAsia="宋体" w:cs="Times New Roman"/>
                <w:sz w:val="21"/>
                <w:szCs w:val="21"/>
                <w:lang w:val="en-US" w:eastAsia="zh-CN"/>
              </w:rPr>
            </w:pPr>
            <w:r>
              <w:rPr>
                <w:rFonts w:hint="eastAsia" w:ascii="Times New Roman" w:hAnsi="Times New Roman" w:cs="Times New Roman"/>
                <w:sz w:val="21"/>
                <w:szCs w:val="21"/>
                <w:lang w:val="en-US" w:eastAsia="zh-CN"/>
              </w:rPr>
              <w:t>0.4</w:t>
            </w:r>
          </w:p>
        </w:tc>
        <w:tc>
          <w:tcPr>
            <w:tcW w:w="559" w:type="pct"/>
            <w:tcBorders>
              <w:tl2br w:val="nil"/>
              <w:tr2bl w:val="nil"/>
            </w:tcBorders>
            <w:noWrap w:val="0"/>
            <w:vAlign w:val="center"/>
          </w:tcPr>
          <w:p w14:paraId="53160527">
            <w:pPr>
              <w:jc w:val="center"/>
              <w:rPr>
                <w:rFonts w:hint="eastAsia" w:ascii="Times New Roman" w:hAnsi="Times New Roman" w:cs="Times New Roman"/>
                <w:sz w:val="21"/>
                <w:szCs w:val="21"/>
              </w:rPr>
            </w:pPr>
            <w:r>
              <w:rPr>
                <w:rFonts w:hint="eastAsia" w:ascii="Times New Roman" w:hAnsi="Times New Roman" w:cs="Times New Roman"/>
                <w:sz w:val="21"/>
                <w:szCs w:val="21"/>
                <w:lang w:val="en-US" w:eastAsia="zh-CN"/>
              </w:rPr>
              <w:t>10</w:t>
            </w:r>
          </w:p>
        </w:tc>
        <w:tc>
          <w:tcPr>
            <w:tcW w:w="243" w:type="pct"/>
            <w:tcBorders>
              <w:tl2br w:val="nil"/>
              <w:tr2bl w:val="nil"/>
            </w:tcBorders>
            <w:noWrap w:val="0"/>
            <w:vAlign w:val="center"/>
          </w:tcPr>
          <w:p w14:paraId="76FCAC7C">
            <w:pPr>
              <w:jc w:val="center"/>
              <w:rPr>
                <w:rFonts w:hint="eastAsia" w:ascii="Times New Roman" w:hAnsi="Times New Roman" w:cs="Times New Roman"/>
                <w:sz w:val="21"/>
                <w:szCs w:val="21"/>
              </w:rPr>
            </w:pPr>
            <w:r>
              <w:rPr>
                <w:rFonts w:ascii="Times New Roman" w:hAnsi="Times New Roman" w:cs="Times New Roman"/>
                <w:sz w:val="21"/>
                <w:szCs w:val="21"/>
              </w:rPr>
              <w:t>达标</w:t>
            </w:r>
          </w:p>
        </w:tc>
        <w:tc>
          <w:tcPr>
            <w:tcW w:w="312" w:type="pct"/>
            <w:vMerge w:val="restart"/>
            <w:tcBorders>
              <w:tl2br w:val="nil"/>
              <w:tr2bl w:val="nil"/>
            </w:tcBorders>
            <w:noWrap w:val="0"/>
            <w:vAlign w:val="center"/>
          </w:tcPr>
          <w:p w14:paraId="3CEDD0C9">
            <w:pPr>
              <w:jc w:val="center"/>
              <w:rPr>
                <w:rFonts w:hint="default" w:eastAsia="宋体"/>
                <w:sz w:val="20"/>
                <w:lang w:val="en-US" w:eastAsia="zh-CN"/>
              </w:rPr>
            </w:pPr>
            <w:r>
              <w:rPr>
                <w:rFonts w:hint="eastAsia"/>
                <w:sz w:val="20"/>
                <w:lang w:val="en-US" w:eastAsia="zh-CN"/>
              </w:rPr>
              <w:t>120</w:t>
            </w:r>
          </w:p>
        </w:tc>
        <w:tc>
          <w:tcPr>
            <w:tcW w:w="293" w:type="pct"/>
            <w:vMerge w:val="restart"/>
            <w:tcBorders>
              <w:tl2br w:val="nil"/>
              <w:tr2bl w:val="nil"/>
            </w:tcBorders>
            <w:noWrap w:val="0"/>
            <w:vAlign w:val="center"/>
          </w:tcPr>
          <w:p w14:paraId="69528EC2">
            <w:pPr>
              <w:jc w:val="center"/>
              <w:rPr>
                <w:rFonts w:hint="default" w:eastAsia="宋体"/>
                <w:sz w:val="20"/>
                <w:lang w:val="en-US" w:eastAsia="zh-CN"/>
              </w:rPr>
            </w:pPr>
            <w:r>
              <w:rPr>
                <w:rFonts w:hint="eastAsia"/>
                <w:sz w:val="20"/>
                <w:lang w:val="en-US" w:eastAsia="zh-CN"/>
              </w:rPr>
              <w:t>60</w:t>
            </w:r>
          </w:p>
        </w:tc>
        <w:tc>
          <w:tcPr>
            <w:tcW w:w="877" w:type="dxa"/>
            <w:vMerge w:val="restart"/>
            <w:tcBorders>
              <w:tl2br w:val="nil"/>
              <w:tr2bl w:val="nil"/>
            </w:tcBorders>
            <w:noWrap w:val="0"/>
            <w:vAlign w:val="center"/>
          </w:tcPr>
          <w:p w14:paraId="338E6B6F">
            <w:pPr>
              <w:pStyle w:val="720"/>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sz w:val="20"/>
              </w:rPr>
            </w:pPr>
            <w:r>
              <w:rPr>
                <w:rFonts w:hint="eastAsia" w:eastAsia="宋体" w:cs="Times New Roman"/>
                <w:sz w:val="21"/>
                <w:szCs w:val="21"/>
                <w:lang w:val="en-US" w:eastAsia="zh-CN"/>
              </w:rPr>
              <w:t>1.8</w:t>
            </w:r>
          </w:p>
        </w:tc>
        <w:tc>
          <w:tcPr>
            <w:tcW w:w="1331" w:type="dxa"/>
            <w:tcBorders>
              <w:tl2br w:val="nil"/>
              <w:tr2bl w:val="nil"/>
            </w:tcBorders>
            <w:noWrap w:val="0"/>
            <w:vAlign w:val="center"/>
          </w:tcPr>
          <w:p w14:paraId="7190F6C6">
            <w:pPr>
              <w:jc w:val="center"/>
              <w:rPr>
                <w:rFonts w:hint="eastAsia"/>
                <w:sz w:val="20"/>
              </w:rPr>
            </w:pPr>
            <w:r>
              <w:rPr>
                <w:rFonts w:hint="eastAsia" w:ascii="Times New Roman" w:hAnsi="Times New Roman" w:cs="Times New Roman"/>
                <w:bCs/>
                <w:sz w:val="21"/>
                <w:szCs w:val="21"/>
                <w:lang w:val="en-US" w:eastAsia="zh-CN"/>
              </w:rPr>
              <w:t>布袋除尘器</w:t>
            </w:r>
          </w:p>
        </w:tc>
        <w:tc>
          <w:tcPr>
            <w:tcW w:w="387" w:type="pct"/>
            <w:tcBorders>
              <w:tl2br w:val="nil"/>
              <w:tr2bl w:val="nil"/>
            </w:tcBorders>
            <w:noWrap/>
            <w:vAlign w:val="center"/>
          </w:tcPr>
          <w:p w14:paraId="2DBA8257">
            <w:pPr>
              <w:jc w:val="center"/>
              <w:rPr>
                <w:rFonts w:hint="eastAsia"/>
                <w:sz w:val="20"/>
              </w:rPr>
            </w:pPr>
            <w:r>
              <w:rPr>
                <w:rFonts w:hint="eastAsia" w:ascii="Times New Roman" w:hAnsi="Times New Roman" w:cs="Times New Roman"/>
                <w:sz w:val="21"/>
                <w:szCs w:val="21"/>
                <w:lang w:val="en-US" w:eastAsia="zh-CN"/>
              </w:rPr>
              <w:t>在线</w:t>
            </w:r>
          </w:p>
        </w:tc>
      </w:tr>
      <w:tr w14:paraId="48D68733">
        <w:tblPrEx>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05" w:type="pct"/>
            <w:vMerge w:val="continue"/>
            <w:tcBorders>
              <w:tl2br w:val="nil"/>
              <w:tr2bl w:val="nil"/>
            </w:tcBorders>
            <w:noWrap w:val="0"/>
            <w:vAlign w:val="center"/>
          </w:tcPr>
          <w:p w14:paraId="477A4B01">
            <w:pPr>
              <w:jc w:val="center"/>
              <w:rPr>
                <w:rFonts w:ascii="Times New Roman" w:hAnsi="Times New Roman" w:cs="Times New Roman"/>
                <w:sz w:val="21"/>
                <w:szCs w:val="21"/>
              </w:rPr>
            </w:pPr>
          </w:p>
        </w:tc>
        <w:tc>
          <w:tcPr>
            <w:tcW w:w="312" w:type="pct"/>
            <w:vMerge w:val="continue"/>
            <w:tcBorders>
              <w:tl2br w:val="nil"/>
              <w:tr2bl w:val="nil"/>
            </w:tcBorders>
            <w:noWrap w:val="0"/>
            <w:vAlign w:val="center"/>
          </w:tcPr>
          <w:p w14:paraId="6A166888">
            <w:pPr>
              <w:jc w:val="center"/>
              <w:rPr>
                <w:rFonts w:hint="eastAsia" w:ascii="Times New Roman" w:hAnsi="Times New Roman" w:cs="Times New Roman"/>
                <w:sz w:val="21"/>
                <w:szCs w:val="21"/>
              </w:rPr>
            </w:pPr>
          </w:p>
        </w:tc>
        <w:tc>
          <w:tcPr>
            <w:tcW w:w="416" w:type="pct"/>
            <w:tcBorders>
              <w:tl2br w:val="nil"/>
              <w:tr2bl w:val="nil"/>
            </w:tcBorders>
            <w:noWrap w:val="0"/>
            <w:vAlign w:val="center"/>
          </w:tcPr>
          <w:p w14:paraId="2D8989AA">
            <w:pPr>
              <w:jc w:val="center"/>
              <w:rPr>
                <w:rFonts w:hint="eastAsia" w:ascii="Times New Roman" w:hAnsi="Times New Roman" w:cs="Times New Roman"/>
                <w:sz w:val="21"/>
                <w:szCs w:val="21"/>
                <w:lang w:val="en-US" w:eastAsia="zh-CN" w:bidi="ar-SA"/>
              </w:rPr>
            </w:pPr>
            <w:r>
              <w:rPr>
                <w:rFonts w:hint="eastAsia" w:ascii="Times New Roman" w:hAnsi="Times New Roman" w:cs="Times New Roman"/>
                <w:sz w:val="21"/>
                <w:szCs w:val="21"/>
              </w:rPr>
              <w:t>二氧化硫</w:t>
            </w:r>
          </w:p>
        </w:tc>
        <w:tc>
          <w:tcPr>
            <w:tcW w:w="483" w:type="pct"/>
            <w:vMerge w:val="continue"/>
            <w:tcBorders>
              <w:tl2br w:val="nil"/>
              <w:tr2bl w:val="nil"/>
            </w:tcBorders>
            <w:noWrap w:val="0"/>
            <w:vAlign w:val="center"/>
          </w:tcPr>
          <w:p w14:paraId="51604D0F">
            <w:pPr>
              <w:jc w:val="center"/>
              <w:rPr>
                <w:rFonts w:ascii="Times New Roman" w:hAnsi="Times New Roman" w:cs="Times New Roman"/>
                <w:sz w:val="21"/>
                <w:szCs w:val="21"/>
              </w:rPr>
            </w:pPr>
          </w:p>
        </w:tc>
        <w:tc>
          <w:tcPr>
            <w:tcW w:w="450" w:type="pct"/>
            <w:tcBorders>
              <w:tl2br w:val="nil"/>
              <w:tr2bl w:val="nil"/>
            </w:tcBorders>
            <w:noWrap w:val="0"/>
            <w:vAlign w:val="center"/>
          </w:tcPr>
          <w:p w14:paraId="1FD05FEA">
            <w:pPr>
              <w:keepNext w:val="0"/>
              <w:keepLines w:val="0"/>
              <w:widowControl/>
              <w:suppressLineNumbers w:val="0"/>
              <w:jc w:val="center"/>
              <w:textAlignment w:val="center"/>
              <w:rPr>
                <w:rFonts w:hint="eastAsia" w:ascii="Arial Unicode MS" w:hAnsi="Arial Unicode MS" w:eastAsia="Arial Unicode MS" w:cs="Arial Unicode MS"/>
                <w:i w:val="0"/>
                <w:iCs w:val="0"/>
                <w:color w:val="000000"/>
                <w:sz w:val="20"/>
                <w:szCs w:val="20"/>
                <w:u w:val="none"/>
                <w:lang w:val="en-US" w:eastAsia="zh-CN" w:bidi="ar-SA"/>
              </w:rPr>
            </w:pPr>
            <w:r>
              <w:rPr>
                <w:rFonts w:hint="default" w:ascii="Arial Unicode MS" w:hAnsi="Arial Unicode MS" w:eastAsia="Arial Unicode MS" w:cs="Arial Unicode MS"/>
                <w:i w:val="0"/>
                <w:iCs w:val="0"/>
                <w:color w:val="000000"/>
                <w:kern w:val="0"/>
                <w:sz w:val="20"/>
                <w:szCs w:val="20"/>
                <w:u w:val="none"/>
                <w:lang w:val="en-US" w:eastAsia="zh-CN" w:bidi="ar"/>
              </w:rPr>
              <w:t>5.302</w:t>
            </w:r>
          </w:p>
        </w:tc>
        <w:tc>
          <w:tcPr>
            <w:tcW w:w="427" w:type="pct"/>
            <w:tcBorders>
              <w:tl2br w:val="nil"/>
              <w:tr2bl w:val="nil"/>
            </w:tcBorders>
            <w:noWrap/>
            <w:vAlign w:val="center"/>
          </w:tcPr>
          <w:p w14:paraId="50A07635">
            <w:pPr>
              <w:jc w:val="center"/>
              <w:rPr>
                <w:rFonts w:hint="default" w:ascii="Times New Roman" w:hAnsi="Times New Roman" w:eastAsia="宋体" w:cs="Times New Roman"/>
                <w:sz w:val="21"/>
                <w:szCs w:val="21"/>
                <w:lang w:val="en-US" w:eastAsia="zh-CN"/>
              </w:rPr>
            </w:pPr>
            <w:r>
              <w:rPr>
                <w:rFonts w:hint="eastAsia" w:ascii="Times New Roman" w:hAnsi="Times New Roman" w:cs="Times New Roman"/>
                <w:sz w:val="21"/>
                <w:szCs w:val="21"/>
                <w:lang w:val="en-US" w:eastAsia="zh-CN"/>
              </w:rPr>
              <w:t>0.22</w:t>
            </w:r>
          </w:p>
        </w:tc>
        <w:tc>
          <w:tcPr>
            <w:tcW w:w="559" w:type="pct"/>
            <w:tcBorders>
              <w:tl2br w:val="nil"/>
              <w:tr2bl w:val="nil"/>
            </w:tcBorders>
            <w:noWrap w:val="0"/>
            <w:vAlign w:val="center"/>
          </w:tcPr>
          <w:p w14:paraId="02E88682">
            <w:pPr>
              <w:jc w:val="center"/>
              <w:rPr>
                <w:rFonts w:hint="eastAsia" w:ascii="Times New Roman" w:hAnsi="Times New Roman" w:cs="Times New Roman"/>
                <w:sz w:val="21"/>
                <w:szCs w:val="21"/>
              </w:rPr>
            </w:pPr>
            <w:r>
              <w:rPr>
                <w:rFonts w:hint="eastAsia" w:ascii="Times New Roman" w:hAnsi="Times New Roman" w:cs="Times New Roman"/>
                <w:sz w:val="21"/>
                <w:szCs w:val="21"/>
                <w:lang w:val="en-US" w:eastAsia="zh-CN"/>
              </w:rPr>
              <w:t>35</w:t>
            </w:r>
          </w:p>
        </w:tc>
        <w:tc>
          <w:tcPr>
            <w:tcW w:w="243" w:type="pct"/>
            <w:tcBorders>
              <w:tl2br w:val="nil"/>
              <w:tr2bl w:val="nil"/>
            </w:tcBorders>
            <w:noWrap w:val="0"/>
            <w:vAlign w:val="center"/>
          </w:tcPr>
          <w:p w14:paraId="71E0B45C">
            <w:pPr>
              <w:jc w:val="center"/>
              <w:rPr>
                <w:rFonts w:hint="eastAsia" w:ascii="Times New Roman" w:hAnsi="Times New Roman" w:cs="Times New Roman"/>
                <w:sz w:val="21"/>
                <w:szCs w:val="21"/>
              </w:rPr>
            </w:pPr>
            <w:r>
              <w:rPr>
                <w:rFonts w:ascii="Times New Roman" w:hAnsi="Times New Roman" w:cs="Times New Roman"/>
                <w:sz w:val="21"/>
                <w:szCs w:val="21"/>
              </w:rPr>
              <w:t>达标</w:t>
            </w:r>
          </w:p>
        </w:tc>
        <w:tc>
          <w:tcPr>
            <w:tcW w:w="312" w:type="pct"/>
            <w:vMerge w:val="continue"/>
            <w:tcBorders>
              <w:tl2br w:val="nil"/>
              <w:tr2bl w:val="nil"/>
            </w:tcBorders>
            <w:noWrap w:val="0"/>
            <w:vAlign w:val="center"/>
          </w:tcPr>
          <w:p w14:paraId="23B910D2">
            <w:pPr>
              <w:jc w:val="center"/>
              <w:rPr>
                <w:sz w:val="20"/>
              </w:rPr>
            </w:pPr>
          </w:p>
        </w:tc>
        <w:tc>
          <w:tcPr>
            <w:tcW w:w="293" w:type="pct"/>
            <w:vMerge w:val="continue"/>
            <w:tcBorders>
              <w:tl2br w:val="nil"/>
              <w:tr2bl w:val="nil"/>
            </w:tcBorders>
            <w:noWrap w:val="0"/>
            <w:vAlign w:val="center"/>
          </w:tcPr>
          <w:p w14:paraId="5EF7997F">
            <w:pPr>
              <w:jc w:val="center"/>
              <w:rPr>
                <w:sz w:val="20"/>
              </w:rPr>
            </w:pPr>
          </w:p>
        </w:tc>
        <w:tc>
          <w:tcPr>
            <w:tcW w:w="321" w:type="pct"/>
            <w:vMerge w:val="continue"/>
            <w:tcBorders>
              <w:tl2br w:val="nil"/>
              <w:tr2bl w:val="nil"/>
            </w:tcBorders>
            <w:noWrap w:val="0"/>
            <w:vAlign w:val="center"/>
          </w:tcPr>
          <w:p w14:paraId="0E4BBF17">
            <w:pPr>
              <w:jc w:val="center"/>
              <w:rPr>
                <w:sz w:val="20"/>
              </w:rPr>
            </w:pPr>
          </w:p>
        </w:tc>
        <w:tc>
          <w:tcPr>
            <w:tcW w:w="1331" w:type="dxa"/>
            <w:tcBorders>
              <w:tl2br w:val="nil"/>
              <w:tr2bl w:val="nil"/>
            </w:tcBorders>
            <w:noWrap w:val="0"/>
            <w:vAlign w:val="center"/>
          </w:tcPr>
          <w:p w14:paraId="1830DA9A">
            <w:pPr>
              <w:jc w:val="center"/>
              <w:rPr>
                <w:rFonts w:hint="eastAsia"/>
                <w:sz w:val="20"/>
              </w:rPr>
            </w:pPr>
            <w:r>
              <w:rPr>
                <w:rFonts w:hint="eastAsia" w:ascii="Times New Roman" w:hAnsi="Times New Roman" w:cs="Times New Roman"/>
                <w:bCs/>
                <w:sz w:val="21"/>
                <w:szCs w:val="21"/>
                <w:lang w:val="en-US" w:eastAsia="zh-CN"/>
              </w:rPr>
              <w:t>湿式脱硫</w:t>
            </w:r>
          </w:p>
        </w:tc>
        <w:tc>
          <w:tcPr>
            <w:tcW w:w="387" w:type="pct"/>
            <w:tcBorders>
              <w:tl2br w:val="nil"/>
              <w:tr2bl w:val="nil"/>
            </w:tcBorders>
            <w:noWrap/>
            <w:vAlign w:val="center"/>
          </w:tcPr>
          <w:p w14:paraId="31E34E3F">
            <w:pPr>
              <w:jc w:val="center"/>
              <w:rPr>
                <w:rFonts w:hint="eastAsia"/>
                <w:sz w:val="20"/>
              </w:rPr>
            </w:pPr>
            <w:r>
              <w:rPr>
                <w:rFonts w:hint="eastAsia" w:ascii="Times New Roman" w:hAnsi="Times New Roman" w:cs="Times New Roman"/>
                <w:sz w:val="21"/>
                <w:szCs w:val="21"/>
                <w:lang w:val="en-US" w:eastAsia="zh-CN"/>
              </w:rPr>
              <w:t>在线</w:t>
            </w:r>
          </w:p>
        </w:tc>
      </w:tr>
      <w:tr w14:paraId="44CAF0AE">
        <w:tblPrEx>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05" w:type="pct"/>
            <w:vMerge w:val="continue"/>
            <w:tcBorders>
              <w:tl2br w:val="nil"/>
              <w:tr2bl w:val="nil"/>
            </w:tcBorders>
            <w:noWrap w:val="0"/>
            <w:vAlign w:val="center"/>
          </w:tcPr>
          <w:p w14:paraId="7EEA61B5">
            <w:pPr>
              <w:jc w:val="center"/>
              <w:rPr>
                <w:rFonts w:ascii="Times New Roman" w:hAnsi="Times New Roman" w:cs="Times New Roman"/>
                <w:sz w:val="21"/>
                <w:szCs w:val="21"/>
              </w:rPr>
            </w:pPr>
          </w:p>
        </w:tc>
        <w:tc>
          <w:tcPr>
            <w:tcW w:w="312" w:type="pct"/>
            <w:vMerge w:val="continue"/>
            <w:tcBorders>
              <w:tl2br w:val="nil"/>
              <w:tr2bl w:val="nil"/>
            </w:tcBorders>
            <w:noWrap w:val="0"/>
            <w:vAlign w:val="center"/>
          </w:tcPr>
          <w:p w14:paraId="0842E055">
            <w:pPr>
              <w:jc w:val="center"/>
              <w:rPr>
                <w:rFonts w:hint="eastAsia" w:ascii="Times New Roman" w:hAnsi="Times New Roman" w:cs="Times New Roman"/>
                <w:sz w:val="21"/>
                <w:szCs w:val="21"/>
              </w:rPr>
            </w:pPr>
          </w:p>
        </w:tc>
        <w:tc>
          <w:tcPr>
            <w:tcW w:w="416" w:type="pct"/>
            <w:tcBorders>
              <w:tl2br w:val="nil"/>
              <w:tr2bl w:val="nil"/>
            </w:tcBorders>
            <w:noWrap w:val="0"/>
            <w:vAlign w:val="center"/>
          </w:tcPr>
          <w:p w14:paraId="3D68EC3E">
            <w:pPr>
              <w:jc w:val="center"/>
              <w:rPr>
                <w:rFonts w:hint="eastAsia" w:ascii="Times New Roman" w:hAnsi="Times New Roman" w:cs="Times New Roman"/>
                <w:sz w:val="21"/>
                <w:szCs w:val="21"/>
                <w:lang w:val="en-US" w:eastAsia="zh-CN" w:bidi="ar-SA"/>
              </w:rPr>
            </w:pPr>
            <w:r>
              <w:rPr>
                <w:rFonts w:hint="eastAsia" w:ascii="Times New Roman" w:hAnsi="Times New Roman" w:cs="Times New Roman"/>
                <w:sz w:val="21"/>
                <w:szCs w:val="21"/>
              </w:rPr>
              <w:t>氮氧化物</w:t>
            </w:r>
          </w:p>
        </w:tc>
        <w:tc>
          <w:tcPr>
            <w:tcW w:w="483" w:type="pct"/>
            <w:vMerge w:val="continue"/>
            <w:tcBorders>
              <w:tl2br w:val="nil"/>
              <w:tr2bl w:val="nil"/>
            </w:tcBorders>
            <w:noWrap w:val="0"/>
            <w:vAlign w:val="center"/>
          </w:tcPr>
          <w:p w14:paraId="3369FD91">
            <w:pPr>
              <w:jc w:val="center"/>
              <w:rPr>
                <w:rFonts w:ascii="Times New Roman" w:hAnsi="Times New Roman" w:cs="Times New Roman"/>
                <w:sz w:val="21"/>
                <w:szCs w:val="21"/>
              </w:rPr>
            </w:pPr>
          </w:p>
        </w:tc>
        <w:tc>
          <w:tcPr>
            <w:tcW w:w="450" w:type="pct"/>
            <w:tcBorders>
              <w:tl2br w:val="nil"/>
              <w:tr2bl w:val="nil"/>
            </w:tcBorders>
            <w:noWrap w:val="0"/>
            <w:vAlign w:val="center"/>
          </w:tcPr>
          <w:p w14:paraId="2696BC36">
            <w:pPr>
              <w:keepNext w:val="0"/>
              <w:keepLines w:val="0"/>
              <w:widowControl/>
              <w:suppressLineNumbers w:val="0"/>
              <w:jc w:val="center"/>
              <w:textAlignment w:val="center"/>
              <w:rPr>
                <w:rFonts w:hint="eastAsia" w:ascii="Arial Unicode MS" w:hAnsi="Arial Unicode MS" w:eastAsia="Arial Unicode MS" w:cs="Arial Unicode MS"/>
                <w:i w:val="0"/>
                <w:iCs w:val="0"/>
                <w:color w:val="000000"/>
                <w:sz w:val="20"/>
                <w:szCs w:val="20"/>
                <w:u w:val="none"/>
                <w:lang w:val="en-US" w:eastAsia="zh-CN" w:bidi="ar-SA"/>
              </w:rPr>
            </w:pPr>
            <w:r>
              <w:rPr>
                <w:rFonts w:hint="default" w:ascii="Arial Unicode MS" w:hAnsi="Arial Unicode MS" w:eastAsia="Arial Unicode MS" w:cs="Arial Unicode MS"/>
                <w:i w:val="0"/>
                <w:iCs w:val="0"/>
                <w:color w:val="000000"/>
                <w:kern w:val="0"/>
                <w:sz w:val="20"/>
                <w:szCs w:val="20"/>
                <w:u w:val="none"/>
                <w:lang w:val="en-US" w:eastAsia="zh-CN" w:bidi="ar"/>
              </w:rPr>
              <w:t>3.084</w:t>
            </w:r>
          </w:p>
        </w:tc>
        <w:tc>
          <w:tcPr>
            <w:tcW w:w="427" w:type="pct"/>
            <w:tcBorders>
              <w:tl2br w:val="nil"/>
              <w:tr2bl w:val="nil"/>
            </w:tcBorders>
            <w:noWrap/>
            <w:vAlign w:val="center"/>
          </w:tcPr>
          <w:p w14:paraId="4DAC1865">
            <w:pPr>
              <w:jc w:val="center"/>
              <w:rPr>
                <w:rFonts w:hint="default" w:ascii="Times New Roman" w:hAnsi="Times New Roman" w:eastAsia="宋体" w:cs="Times New Roman"/>
                <w:sz w:val="21"/>
                <w:szCs w:val="21"/>
                <w:lang w:val="en-US" w:eastAsia="zh-CN"/>
              </w:rPr>
            </w:pPr>
            <w:r>
              <w:rPr>
                <w:rFonts w:hint="eastAsia" w:ascii="Times New Roman" w:hAnsi="Times New Roman" w:cs="Times New Roman"/>
                <w:sz w:val="21"/>
                <w:szCs w:val="21"/>
                <w:lang w:val="en-US" w:eastAsia="zh-CN"/>
              </w:rPr>
              <w:t>0.13</w:t>
            </w:r>
          </w:p>
        </w:tc>
        <w:tc>
          <w:tcPr>
            <w:tcW w:w="559" w:type="pct"/>
            <w:tcBorders>
              <w:tl2br w:val="nil"/>
              <w:tr2bl w:val="nil"/>
            </w:tcBorders>
            <w:noWrap w:val="0"/>
            <w:vAlign w:val="center"/>
          </w:tcPr>
          <w:p w14:paraId="3A484F45">
            <w:pPr>
              <w:jc w:val="center"/>
              <w:rPr>
                <w:rFonts w:hint="eastAsia" w:ascii="Times New Roman" w:hAnsi="Times New Roman" w:cs="Times New Roman"/>
                <w:sz w:val="21"/>
                <w:szCs w:val="21"/>
              </w:rPr>
            </w:pPr>
            <w:r>
              <w:rPr>
                <w:rFonts w:hint="eastAsia" w:ascii="Times New Roman" w:hAnsi="Times New Roman" w:cs="Times New Roman"/>
                <w:sz w:val="21"/>
                <w:szCs w:val="21"/>
                <w:lang w:val="en-US" w:eastAsia="zh-CN"/>
              </w:rPr>
              <w:t>50</w:t>
            </w:r>
          </w:p>
        </w:tc>
        <w:tc>
          <w:tcPr>
            <w:tcW w:w="243" w:type="pct"/>
            <w:tcBorders>
              <w:tl2br w:val="nil"/>
              <w:tr2bl w:val="nil"/>
            </w:tcBorders>
            <w:noWrap w:val="0"/>
            <w:vAlign w:val="center"/>
          </w:tcPr>
          <w:p w14:paraId="3300AAD9">
            <w:pPr>
              <w:jc w:val="center"/>
              <w:rPr>
                <w:rFonts w:hint="eastAsia" w:ascii="Times New Roman" w:hAnsi="Times New Roman" w:cs="Times New Roman"/>
                <w:sz w:val="21"/>
                <w:szCs w:val="21"/>
              </w:rPr>
            </w:pPr>
            <w:r>
              <w:rPr>
                <w:rFonts w:ascii="Times New Roman" w:hAnsi="Times New Roman" w:cs="Times New Roman"/>
                <w:sz w:val="21"/>
                <w:szCs w:val="21"/>
              </w:rPr>
              <w:t>达标</w:t>
            </w:r>
          </w:p>
        </w:tc>
        <w:tc>
          <w:tcPr>
            <w:tcW w:w="312" w:type="pct"/>
            <w:vMerge w:val="continue"/>
            <w:tcBorders>
              <w:tl2br w:val="nil"/>
              <w:tr2bl w:val="nil"/>
            </w:tcBorders>
            <w:noWrap w:val="0"/>
            <w:vAlign w:val="center"/>
          </w:tcPr>
          <w:p w14:paraId="27FC7F35">
            <w:pPr>
              <w:jc w:val="center"/>
              <w:rPr>
                <w:sz w:val="20"/>
              </w:rPr>
            </w:pPr>
          </w:p>
        </w:tc>
        <w:tc>
          <w:tcPr>
            <w:tcW w:w="293" w:type="pct"/>
            <w:vMerge w:val="continue"/>
            <w:tcBorders>
              <w:tl2br w:val="nil"/>
              <w:tr2bl w:val="nil"/>
            </w:tcBorders>
            <w:noWrap w:val="0"/>
            <w:vAlign w:val="center"/>
          </w:tcPr>
          <w:p w14:paraId="696F93D9">
            <w:pPr>
              <w:jc w:val="center"/>
              <w:rPr>
                <w:sz w:val="20"/>
              </w:rPr>
            </w:pPr>
          </w:p>
        </w:tc>
        <w:tc>
          <w:tcPr>
            <w:tcW w:w="321" w:type="pct"/>
            <w:vMerge w:val="continue"/>
            <w:tcBorders>
              <w:tl2br w:val="nil"/>
              <w:tr2bl w:val="nil"/>
            </w:tcBorders>
            <w:noWrap w:val="0"/>
            <w:vAlign w:val="center"/>
          </w:tcPr>
          <w:p w14:paraId="69C2F5CE">
            <w:pPr>
              <w:jc w:val="center"/>
              <w:rPr>
                <w:sz w:val="20"/>
              </w:rPr>
            </w:pPr>
          </w:p>
        </w:tc>
        <w:tc>
          <w:tcPr>
            <w:tcW w:w="487" w:type="pct"/>
            <w:tcBorders>
              <w:tl2br w:val="nil"/>
              <w:tr2bl w:val="nil"/>
            </w:tcBorders>
            <w:noWrap w:val="0"/>
            <w:vAlign w:val="center"/>
          </w:tcPr>
          <w:p w14:paraId="7CD41057">
            <w:pPr>
              <w:jc w:val="center"/>
              <w:rPr>
                <w:rFonts w:hint="eastAsia" w:eastAsia="宋体"/>
                <w:sz w:val="20"/>
                <w:lang w:val="en-US" w:eastAsia="zh-CN"/>
              </w:rPr>
            </w:pPr>
            <w:r>
              <w:rPr>
                <w:rFonts w:hint="eastAsia"/>
                <w:sz w:val="20"/>
                <w:lang w:val="en-US" w:eastAsia="zh-CN"/>
              </w:rPr>
              <w:t>/</w:t>
            </w:r>
          </w:p>
        </w:tc>
        <w:tc>
          <w:tcPr>
            <w:tcW w:w="387" w:type="pct"/>
            <w:tcBorders>
              <w:tl2br w:val="nil"/>
              <w:tr2bl w:val="nil"/>
            </w:tcBorders>
            <w:noWrap/>
            <w:vAlign w:val="center"/>
          </w:tcPr>
          <w:p w14:paraId="70CF2723">
            <w:pPr>
              <w:jc w:val="center"/>
              <w:rPr>
                <w:rFonts w:hint="eastAsia"/>
                <w:sz w:val="20"/>
              </w:rPr>
            </w:pPr>
            <w:r>
              <w:rPr>
                <w:rFonts w:hint="eastAsia" w:ascii="Times New Roman" w:hAnsi="Times New Roman" w:cs="Times New Roman"/>
                <w:sz w:val="21"/>
                <w:szCs w:val="21"/>
                <w:lang w:val="en-US" w:eastAsia="zh-CN"/>
              </w:rPr>
              <w:t>在线</w:t>
            </w:r>
          </w:p>
        </w:tc>
      </w:tr>
      <w:tr w14:paraId="29ED3316">
        <w:tblPrEx>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05" w:type="pct"/>
            <w:vMerge w:val="continue"/>
            <w:tcBorders>
              <w:tl2br w:val="nil"/>
              <w:tr2bl w:val="nil"/>
            </w:tcBorders>
            <w:noWrap w:val="0"/>
            <w:vAlign w:val="center"/>
          </w:tcPr>
          <w:p w14:paraId="60151195">
            <w:pPr>
              <w:jc w:val="center"/>
              <w:rPr>
                <w:rFonts w:ascii="Times New Roman" w:hAnsi="Times New Roman" w:cs="Times New Roman"/>
                <w:sz w:val="21"/>
                <w:szCs w:val="21"/>
              </w:rPr>
            </w:pPr>
          </w:p>
        </w:tc>
        <w:tc>
          <w:tcPr>
            <w:tcW w:w="312" w:type="pct"/>
            <w:vMerge w:val="continue"/>
            <w:tcBorders>
              <w:tl2br w:val="nil"/>
              <w:tr2bl w:val="nil"/>
            </w:tcBorders>
            <w:noWrap w:val="0"/>
            <w:vAlign w:val="center"/>
          </w:tcPr>
          <w:p w14:paraId="6B3D9FF9">
            <w:pPr>
              <w:jc w:val="center"/>
              <w:rPr>
                <w:rFonts w:hint="eastAsia" w:ascii="Times New Roman" w:hAnsi="Times New Roman" w:cs="Times New Roman"/>
                <w:sz w:val="21"/>
                <w:szCs w:val="21"/>
              </w:rPr>
            </w:pPr>
          </w:p>
        </w:tc>
        <w:tc>
          <w:tcPr>
            <w:tcW w:w="416" w:type="pct"/>
            <w:tcBorders>
              <w:tl2br w:val="nil"/>
              <w:tr2bl w:val="nil"/>
            </w:tcBorders>
            <w:noWrap w:val="0"/>
            <w:vAlign w:val="center"/>
          </w:tcPr>
          <w:p w14:paraId="4502A255">
            <w:pPr>
              <w:jc w:val="center"/>
              <w:rPr>
                <w:rFonts w:hint="eastAsia" w:ascii="Times New Roman" w:hAnsi="Times New Roman" w:cs="Times New Roman"/>
                <w:sz w:val="21"/>
                <w:szCs w:val="21"/>
                <w:lang w:val="en-US" w:eastAsia="zh-CN" w:bidi="ar-SA"/>
              </w:rPr>
            </w:pPr>
            <w:r>
              <w:rPr>
                <w:rFonts w:hint="eastAsia" w:ascii="Times New Roman" w:hAnsi="Times New Roman" w:cs="Times New Roman"/>
                <w:sz w:val="21"/>
                <w:szCs w:val="21"/>
              </w:rPr>
              <w:t>氟化物</w:t>
            </w:r>
          </w:p>
        </w:tc>
        <w:tc>
          <w:tcPr>
            <w:tcW w:w="483" w:type="pct"/>
            <w:vMerge w:val="continue"/>
            <w:tcBorders>
              <w:tl2br w:val="nil"/>
              <w:tr2bl w:val="nil"/>
            </w:tcBorders>
            <w:noWrap w:val="0"/>
            <w:vAlign w:val="center"/>
          </w:tcPr>
          <w:p w14:paraId="3722EB1E">
            <w:pPr>
              <w:jc w:val="center"/>
              <w:rPr>
                <w:rFonts w:ascii="Times New Roman" w:hAnsi="Times New Roman" w:cs="Times New Roman"/>
                <w:sz w:val="21"/>
                <w:szCs w:val="21"/>
              </w:rPr>
            </w:pPr>
          </w:p>
        </w:tc>
        <w:tc>
          <w:tcPr>
            <w:tcW w:w="450" w:type="pct"/>
            <w:tcBorders>
              <w:tl2br w:val="nil"/>
              <w:tr2bl w:val="nil"/>
            </w:tcBorders>
            <w:noWrap w:val="0"/>
            <w:vAlign w:val="center"/>
          </w:tcPr>
          <w:p w14:paraId="469F2E05">
            <w:pPr>
              <w:jc w:val="center"/>
              <w:rPr>
                <w:rFonts w:hint="default" w:ascii="Times New Roman" w:hAnsi="Times New Roman" w:eastAsia="宋体" w:cs="Times New Roman"/>
                <w:sz w:val="21"/>
                <w:szCs w:val="21"/>
                <w:lang w:val="en-US" w:eastAsia="zh-CN"/>
              </w:rPr>
            </w:pPr>
            <w:r>
              <w:rPr>
                <w:rFonts w:hint="eastAsia" w:ascii="Times New Roman" w:hAnsi="Times New Roman" w:cs="Times New Roman"/>
                <w:sz w:val="21"/>
                <w:szCs w:val="21"/>
                <w:lang w:val="en-US" w:eastAsia="zh-CN"/>
              </w:rPr>
              <w:t>1.09</w:t>
            </w:r>
          </w:p>
        </w:tc>
        <w:tc>
          <w:tcPr>
            <w:tcW w:w="427" w:type="pct"/>
            <w:tcBorders>
              <w:tl2br w:val="nil"/>
              <w:tr2bl w:val="nil"/>
            </w:tcBorders>
            <w:noWrap/>
            <w:vAlign w:val="center"/>
          </w:tcPr>
          <w:p w14:paraId="67B02CF3">
            <w:pPr>
              <w:jc w:val="center"/>
              <w:rPr>
                <w:rFonts w:hint="default" w:ascii="Times New Roman" w:hAnsi="Times New Roman" w:eastAsia="宋体" w:cs="Times New Roman"/>
                <w:sz w:val="21"/>
                <w:szCs w:val="21"/>
                <w:lang w:val="en-US" w:eastAsia="zh-CN"/>
              </w:rPr>
            </w:pPr>
            <w:r>
              <w:rPr>
                <w:rFonts w:hint="eastAsia" w:ascii="Times New Roman" w:hAnsi="Times New Roman" w:cs="Times New Roman"/>
                <w:sz w:val="21"/>
                <w:szCs w:val="21"/>
                <w:lang w:val="en-US" w:eastAsia="zh-CN"/>
              </w:rPr>
              <w:t>0.03</w:t>
            </w:r>
          </w:p>
        </w:tc>
        <w:tc>
          <w:tcPr>
            <w:tcW w:w="559" w:type="pct"/>
            <w:tcBorders>
              <w:tl2br w:val="nil"/>
              <w:tr2bl w:val="nil"/>
            </w:tcBorders>
            <w:noWrap w:val="0"/>
            <w:vAlign w:val="center"/>
          </w:tcPr>
          <w:p w14:paraId="29495963">
            <w:pPr>
              <w:jc w:val="center"/>
              <w:rPr>
                <w:rFonts w:hint="eastAsia" w:ascii="Times New Roman" w:hAnsi="Times New Roman" w:cs="Times New Roman"/>
                <w:sz w:val="21"/>
                <w:szCs w:val="21"/>
              </w:rPr>
            </w:pPr>
            <w:r>
              <w:rPr>
                <w:rFonts w:hint="eastAsia" w:ascii="Times New Roman" w:hAnsi="Times New Roman" w:cs="Times New Roman"/>
                <w:sz w:val="21"/>
                <w:szCs w:val="21"/>
                <w:lang w:val="en-US" w:eastAsia="zh-CN"/>
              </w:rPr>
              <w:t>4</w:t>
            </w:r>
          </w:p>
        </w:tc>
        <w:tc>
          <w:tcPr>
            <w:tcW w:w="243" w:type="pct"/>
            <w:tcBorders>
              <w:tl2br w:val="nil"/>
              <w:tr2bl w:val="nil"/>
            </w:tcBorders>
            <w:noWrap w:val="0"/>
            <w:vAlign w:val="center"/>
          </w:tcPr>
          <w:p w14:paraId="4BB4C147">
            <w:pPr>
              <w:jc w:val="center"/>
              <w:rPr>
                <w:rFonts w:hint="eastAsia" w:ascii="Times New Roman" w:hAnsi="Times New Roman" w:cs="Times New Roman"/>
                <w:sz w:val="21"/>
                <w:szCs w:val="21"/>
              </w:rPr>
            </w:pPr>
            <w:r>
              <w:rPr>
                <w:rFonts w:ascii="Times New Roman" w:hAnsi="Times New Roman" w:cs="Times New Roman"/>
                <w:sz w:val="21"/>
                <w:szCs w:val="21"/>
              </w:rPr>
              <w:t>达标</w:t>
            </w:r>
          </w:p>
        </w:tc>
        <w:tc>
          <w:tcPr>
            <w:tcW w:w="312" w:type="pct"/>
            <w:vMerge w:val="continue"/>
            <w:tcBorders>
              <w:tl2br w:val="nil"/>
              <w:tr2bl w:val="nil"/>
            </w:tcBorders>
            <w:noWrap w:val="0"/>
            <w:vAlign w:val="center"/>
          </w:tcPr>
          <w:p w14:paraId="6D3E75B7">
            <w:pPr>
              <w:jc w:val="center"/>
              <w:rPr>
                <w:sz w:val="20"/>
              </w:rPr>
            </w:pPr>
          </w:p>
        </w:tc>
        <w:tc>
          <w:tcPr>
            <w:tcW w:w="293" w:type="pct"/>
            <w:vMerge w:val="continue"/>
            <w:tcBorders>
              <w:tl2br w:val="nil"/>
              <w:tr2bl w:val="nil"/>
            </w:tcBorders>
            <w:noWrap w:val="0"/>
            <w:vAlign w:val="center"/>
          </w:tcPr>
          <w:p w14:paraId="08D09C05">
            <w:pPr>
              <w:jc w:val="center"/>
              <w:rPr>
                <w:sz w:val="20"/>
              </w:rPr>
            </w:pPr>
          </w:p>
        </w:tc>
        <w:tc>
          <w:tcPr>
            <w:tcW w:w="321" w:type="pct"/>
            <w:vMerge w:val="continue"/>
            <w:tcBorders>
              <w:tl2br w:val="nil"/>
              <w:tr2bl w:val="nil"/>
            </w:tcBorders>
            <w:noWrap w:val="0"/>
            <w:vAlign w:val="center"/>
          </w:tcPr>
          <w:p w14:paraId="393427F3">
            <w:pPr>
              <w:jc w:val="center"/>
              <w:rPr>
                <w:sz w:val="20"/>
              </w:rPr>
            </w:pPr>
          </w:p>
        </w:tc>
        <w:tc>
          <w:tcPr>
            <w:tcW w:w="487" w:type="pct"/>
            <w:tcBorders>
              <w:tl2br w:val="nil"/>
              <w:tr2bl w:val="nil"/>
            </w:tcBorders>
            <w:noWrap w:val="0"/>
            <w:vAlign w:val="center"/>
          </w:tcPr>
          <w:p w14:paraId="0B7E81F6">
            <w:pPr>
              <w:jc w:val="center"/>
              <w:rPr>
                <w:rFonts w:hint="eastAsia" w:eastAsia="宋体"/>
                <w:sz w:val="20"/>
                <w:lang w:val="en-US" w:eastAsia="zh-CN"/>
              </w:rPr>
            </w:pPr>
            <w:r>
              <w:rPr>
                <w:rFonts w:hint="eastAsia"/>
                <w:sz w:val="20"/>
                <w:lang w:val="en-US" w:eastAsia="zh-CN"/>
              </w:rPr>
              <w:t>/</w:t>
            </w:r>
          </w:p>
        </w:tc>
        <w:tc>
          <w:tcPr>
            <w:tcW w:w="387" w:type="pct"/>
            <w:tcBorders>
              <w:tl2br w:val="nil"/>
              <w:tr2bl w:val="nil"/>
            </w:tcBorders>
            <w:noWrap/>
            <w:vAlign w:val="center"/>
          </w:tcPr>
          <w:p w14:paraId="4E57F438">
            <w:pPr>
              <w:jc w:val="center"/>
              <w:rPr>
                <w:rFonts w:hint="eastAsia"/>
                <w:sz w:val="20"/>
              </w:rPr>
            </w:pPr>
            <w:r>
              <w:rPr>
                <w:rFonts w:ascii="Times New Roman" w:hAnsi="Times New Roman" w:cs="Times New Roman"/>
                <w:sz w:val="21"/>
                <w:szCs w:val="21"/>
              </w:rPr>
              <w:t>手工</w:t>
            </w:r>
          </w:p>
        </w:tc>
      </w:tr>
    </w:tbl>
    <w:p w14:paraId="2F0DAAB5">
      <w:pPr>
        <w:spacing w:line="320" w:lineRule="exact"/>
        <w:rPr>
          <w:rFonts w:hint="eastAsia" w:ascii="Times New Roman" w:hAnsi="Times New Roman" w:cs="Times New Roman"/>
          <w:b/>
          <w:sz w:val="21"/>
          <w:szCs w:val="21"/>
        </w:rPr>
      </w:pPr>
      <w:r>
        <w:rPr>
          <w:rFonts w:hint="eastAsia" w:ascii="Times New Roman" w:hAnsi="Times New Roman" w:cs="Times New Roman"/>
          <w:b/>
          <w:sz w:val="21"/>
          <w:szCs w:val="21"/>
        </w:rPr>
        <w:t>注：</w:t>
      </w:r>
      <w:r>
        <w:rPr>
          <w:rFonts w:ascii="Times New Roman" w:hAnsi="Times New Roman" w:cs="Times New Roman"/>
          <w:b/>
          <w:sz w:val="21"/>
          <w:szCs w:val="21"/>
        </w:rPr>
        <w:t>现行排放标准执行</w:t>
      </w:r>
      <w:r>
        <w:rPr>
          <w:rFonts w:hint="eastAsia" w:cs="Times New Roman"/>
          <w:b/>
          <w:sz w:val="21"/>
          <w:szCs w:val="21"/>
        </w:rPr>
        <w:t>①</w:t>
      </w:r>
      <w:r>
        <w:rPr>
          <w:rFonts w:ascii="Times New Roman" w:hAnsi="Times New Roman" w:cs="Times New Roman"/>
          <w:b/>
          <w:sz w:val="21"/>
          <w:szCs w:val="21"/>
        </w:rPr>
        <w:t>*</w:t>
      </w:r>
      <w:r>
        <w:rPr>
          <w:rFonts w:hint="eastAsia" w:ascii="Times New Roman" w:hAnsi="Times New Roman" w:cs="Times New Roman"/>
          <w:b/>
          <w:sz w:val="21"/>
          <w:szCs w:val="21"/>
        </w:rPr>
        <w:t>《钢铁工业大气污染物排放标准》（DB21/ 4119—2025）表1</w:t>
      </w:r>
      <w:r>
        <w:rPr>
          <w:rFonts w:ascii="Times New Roman" w:hAnsi="Times New Roman" w:cs="Times New Roman"/>
          <w:b/>
          <w:sz w:val="21"/>
          <w:szCs w:val="21"/>
        </w:rPr>
        <w:t>排放限值。</w:t>
      </w:r>
    </w:p>
    <w:p w14:paraId="29A8329C">
      <w:pPr>
        <w:spacing w:line="360" w:lineRule="auto"/>
        <w:ind w:firstLine="480" w:firstLineChars="200"/>
      </w:pPr>
      <w:r>
        <w:rPr>
          <w:rFonts w:hint="eastAsia"/>
        </w:rPr>
        <w:t>由上表可知，现有工程有组织废气污染源均能满足现行排放标准，可以做到达标排放。</w:t>
      </w:r>
    </w:p>
    <w:p w14:paraId="0E57447C">
      <w:pPr>
        <w:spacing w:line="500" w:lineRule="exact"/>
        <w:ind w:right="6"/>
        <w:jc w:val="both"/>
        <w:rPr>
          <w:rFonts w:hint="eastAsia" w:ascii="Times New Roman" w:hAnsi="Times New Roman" w:cs="Times New Roman"/>
        </w:rPr>
      </w:pPr>
    </w:p>
    <w:p w14:paraId="10821CCC">
      <w:pPr>
        <w:spacing w:line="500" w:lineRule="exact"/>
        <w:ind w:right="6" w:firstLine="480" w:firstLineChars="200"/>
        <w:jc w:val="both"/>
        <w:rPr>
          <w:rFonts w:hint="eastAsia" w:ascii="Times New Roman" w:hAnsi="Times New Roman" w:cs="Times New Roman"/>
        </w:rPr>
        <w:sectPr>
          <w:pgSz w:w="16838" w:h="11906" w:orient="landscape"/>
          <w:pgMar w:top="1701" w:right="1701" w:bottom="1701" w:left="1701" w:header="851" w:footer="992" w:gutter="0"/>
          <w:pgBorders w:offsetFrom="page">
            <w:top w:val="none" w:sz="0" w:space="0"/>
            <w:left w:val="none" w:sz="0" w:space="0"/>
            <w:bottom w:val="none" w:sz="0" w:space="0"/>
            <w:right w:val="none" w:sz="0" w:space="0"/>
          </w:pgBorders>
          <w:pgNumType w:fmt="decimal"/>
          <w:cols w:space="720" w:num="1"/>
          <w:docGrid w:type="lines" w:linePitch="326" w:charSpace="0"/>
        </w:sectPr>
      </w:pPr>
    </w:p>
    <w:p w14:paraId="3AA96DD3">
      <w:pPr>
        <w:spacing w:line="500" w:lineRule="exact"/>
        <w:ind w:right="6" w:firstLine="482" w:firstLineChars="200"/>
        <w:jc w:val="both"/>
        <w:rPr>
          <w:rFonts w:hint="eastAsia" w:ascii="Times New Roman" w:hAnsi="Times New Roman" w:cs="Times New Roman"/>
          <w:b/>
        </w:rPr>
      </w:pPr>
      <w:r>
        <w:rPr>
          <w:rFonts w:hint="eastAsia" w:ascii="Times New Roman" w:hAnsi="Times New Roman" w:cs="Times New Roman"/>
          <w:b/>
        </w:rPr>
        <w:t>（2）无组织排放废气</w:t>
      </w:r>
    </w:p>
    <w:p w14:paraId="6EFA45B4">
      <w:pPr>
        <w:spacing w:line="500" w:lineRule="exact"/>
        <w:ind w:right="6" w:firstLine="480" w:firstLineChars="200"/>
        <w:jc w:val="both"/>
        <w:rPr>
          <w:rFonts w:hint="eastAsia" w:ascii="Times New Roman" w:hAnsi="Times New Roman" w:cs="Times New Roman"/>
        </w:rPr>
      </w:pPr>
      <w:r>
        <w:rPr>
          <w:rFonts w:hint="eastAsia" w:ascii="Times New Roman" w:hAnsi="Times New Roman" w:cs="Times New Roman"/>
        </w:rPr>
        <w:t>沈阳市绿橙环境监测有限公司于2021年9月28日对</w:t>
      </w:r>
      <w:r>
        <w:rPr>
          <w:rFonts w:hint="eastAsia" w:ascii="Times New Roman" w:hAnsi="Times New Roman" w:cs="Times New Roman"/>
          <w:lang w:eastAsia="zh-CN"/>
        </w:rPr>
        <w:t>本溪玉麒麟新材料有限公司</w:t>
      </w:r>
      <w:r>
        <w:rPr>
          <w:rFonts w:hint="eastAsia" w:ascii="Times New Roman" w:hAnsi="Times New Roman" w:cs="Times New Roman"/>
        </w:rPr>
        <w:t>无组织废气中颗粒物进行了检测，在厂界布设4个点，炼钢车间及轧钢车间外均布设1个点。现有工程无组织废气监测结果见表2.</w:t>
      </w:r>
      <w:r>
        <w:rPr>
          <w:rFonts w:hint="eastAsia" w:ascii="Times New Roman" w:hAnsi="Times New Roman" w:cs="Times New Roman"/>
          <w:lang w:val="en-US" w:eastAsia="zh-CN"/>
        </w:rPr>
        <w:t>9</w:t>
      </w:r>
      <w:r>
        <w:rPr>
          <w:rFonts w:hint="eastAsia" w:ascii="Times New Roman" w:hAnsi="Times New Roman" w:cs="Times New Roman"/>
        </w:rPr>
        <w:t>-</w:t>
      </w:r>
      <w:r>
        <w:rPr>
          <w:rFonts w:hint="eastAsia" w:ascii="Times New Roman" w:hAnsi="Times New Roman" w:cs="Times New Roman"/>
          <w:lang w:val="en-US" w:eastAsia="zh-CN"/>
        </w:rPr>
        <w:t>2</w:t>
      </w:r>
      <w:r>
        <w:rPr>
          <w:rFonts w:hint="eastAsia" w:ascii="Times New Roman" w:hAnsi="Times New Roman" w:cs="Times New Roman"/>
        </w:rPr>
        <w:t>。</w:t>
      </w:r>
    </w:p>
    <w:p w14:paraId="709EE48D">
      <w:pPr>
        <w:ind w:firstLine="480" w:firstLineChars="200"/>
        <w:jc w:val="center"/>
        <w:rPr>
          <w:rFonts w:ascii="Times New Roman" w:hAnsi="Times New Roman" w:eastAsia="黑体" w:cs="Times New Roman"/>
        </w:rPr>
      </w:pPr>
      <w:r>
        <w:rPr>
          <w:rFonts w:ascii="Times New Roman" w:hAnsi="Times New Roman" w:eastAsia="黑体" w:cs="Times New Roman"/>
        </w:rPr>
        <w:t>表2.</w:t>
      </w:r>
      <w:r>
        <w:rPr>
          <w:rFonts w:hint="eastAsia" w:ascii="Times New Roman" w:hAnsi="Times New Roman" w:eastAsia="黑体" w:cs="Times New Roman"/>
          <w:lang w:val="en-US" w:eastAsia="zh-CN"/>
        </w:rPr>
        <w:t>9</w:t>
      </w:r>
      <w:r>
        <w:rPr>
          <w:rFonts w:ascii="Times New Roman" w:hAnsi="Times New Roman" w:eastAsia="黑体" w:cs="Times New Roman"/>
        </w:rPr>
        <w:t>-</w:t>
      </w:r>
      <w:r>
        <w:rPr>
          <w:rFonts w:hint="eastAsia" w:ascii="Times New Roman" w:hAnsi="Times New Roman" w:eastAsia="黑体" w:cs="Times New Roman"/>
          <w:lang w:val="en-US" w:eastAsia="zh-CN"/>
        </w:rPr>
        <w:t>2</w:t>
      </w:r>
      <w:r>
        <w:rPr>
          <w:rFonts w:ascii="Times New Roman" w:hAnsi="Times New Roman" w:eastAsia="黑体" w:cs="Times New Roman"/>
        </w:rPr>
        <w:t xml:space="preserve">  现有工程厂界总悬浮颗粒物检测结果 单位：mg/m</w:t>
      </w:r>
      <w:r>
        <w:rPr>
          <w:rFonts w:ascii="Times New Roman" w:hAnsi="Times New Roman" w:eastAsia="黑体" w:cs="Times New Roman"/>
          <w:vertAlign w:val="superscript"/>
        </w:rPr>
        <w:t>3</w:t>
      </w:r>
    </w:p>
    <w:tbl>
      <w:tblPr>
        <w:tblStyle w:val="56"/>
        <w:tblW w:w="5000" w:type="pct"/>
        <w:tblInd w:w="108" w:type="dxa"/>
        <w:tblBorders>
          <w:top w:val="thinThickSmallGap" w:color="000000" w:sz="12" w:space="0"/>
          <w:left w:val="none" w:color="auto" w:sz="0" w:space="0"/>
          <w:bottom w:val="thickThinSmallGap" w:color="000000" w:sz="12" w:space="0"/>
          <w:right w:val="none" w:color="auto" w:sz="0" w:space="0"/>
          <w:insideH w:val="single" w:color="000000" w:sz="4" w:space="0"/>
          <w:insideV w:val="single" w:color="000000" w:sz="4" w:space="0"/>
        </w:tblBorders>
        <w:tblLayout w:type="autofit"/>
        <w:tblCellMar>
          <w:top w:w="0" w:type="dxa"/>
          <w:left w:w="108" w:type="dxa"/>
          <w:bottom w:w="0" w:type="dxa"/>
          <w:right w:w="108" w:type="dxa"/>
        </w:tblCellMar>
      </w:tblPr>
      <w:tblGrid>
        <w:gridCol w:w="2348"/>
        <w:gridCol w:w="1019"/>
        <w:gridCol w:w="1338"/>
        <w:gridCol w:w="1338"/>
        <w:gridCol w:w="1339"/>
        <w:gridCol w:w="1339"/>
      </w:tblGrid>
      <w:tr w14:paraId="512A3C3D">
        <w:tblPrEx>
          <w:tblCellMar>
            <w:top w:w="0" w:type="dxa"/>
            <w:left w:w="108" w:type="dxa"/>
            <w:bottom w:w="0" w:type="dxa"/>
            <w:right w:w="108" w:type="dxa"/>
          </w:tblCellMar>
        </w:tblPrEx>
        <w:trPr>
          <w:trHeight w:val="784" w:hRule="atLeast"/>
        </w:trPr>
        <w:tc>
          <w:tcPr>
            <w:tcW w:w="0" w:type="auto"/>
            <w:gridSpan w:val="2"/>
            <w:tcBorders>
              <w:tl2br w:val="nil"/>
              <w:tr2bl w:val="nil"/>
            </w:tcBorders>
            <w:noWrap w:val="0"/>
            <w:vAlign w:val="center"/>
            <mc:AlternateContent>
              <mc:Choice Requires="wpsCustomData">
                <wpsCustomData:diagonals>
                  <wpsCustomData:diagonal from="10000" to="30000">
                    <wpsCustomData:border w:val="single" w:color="000000" w:sz="4" w:space="0"/>
                  </wpsCustomData:diagonal>
                </wpsCustomData:diagonals>
              </mc:Choice>
            </mc:AlternateContent>
          </w:tcPr>
          <w:p w14:paraId="145B98A1">
            <w:pPr>
              <w:jc w:val="center"/>
              <w:rPr>
                <w:rFonts w:hint="default" w:ascii="Times New Roman" w:hAnsi="Times New Roman" w:cs="Times New Roman"/>
                <w:b/>
                <w:sz w:val="21"/>
                <w:szCs w:val="21"/>
              </w:rPr>
            </w:pPr>
          </w:p>
          <w:p w14:paraId="1C76FAD7">
            <w:pPr>
              <w:jc w:val="left"/>
              <w:rPr>
                <w:rFonts w:hint="default" w:ascii="Times New Roman" w:hAnsi="Times New Roman" w:cs="Times New Roman"/>
                <w:b/>
                <w:sz w:val="21"/>
                <w:szCs w:val="21"/>
              </w:rPr>
            </w:pPr>
            <w:r>
              <w:rPr>
                <w:rFonts w:hint="default" w:ascii="Times New Roman" w:hAnsi="Times New Roman" w:cs="Times New Roman"/>
                <w:b/>
                <w:sz w:val="21"/>
                <w:szCs w:val="21"/>
              </w:rPr>
              <w:t>检测时间</w:t>
            </w:r>
          </w:p>
          <w:p w14:paraId="40E731A8">
            <w:pPr>
              <w:snapToGrid w:val="0"/>
              <w:spacing w:line="240" w:lineRule="auto"/>
              <w:jc w:val="center"/>
              <mc:AlternateContent>
                <mc:Choice Requires="wpsCustomData">
                  <wpsCustomData:diagonalParaType/>
                </mc:Choice>
              </mc:AlternateContent>
              <w:rPr>
                <w:rFonts w:hint="default" w:ascii="Times New Roman" w:hAnsi="Times New Roman" w:cs="Times New Roman"/>
                <w:b/>
                <w:sz w:val="21"/>
                <w:szCs w:val="21"/>
              </w:rPr>
            </w:pPr>
          </w:p>
          <w:p w14:paraId="0D571B06">
            <w:pPr>
              <w:jc w:val="right"/>
              <w:rPr>
                <w:rFonts w:hint="default" w:ascii="Times New Roman" w:hAnsi="Times New Roman" w:cs="Times New Roman"/>
                <w:b/>
                <w:sz w:val="21"/>
                <w:szCs w:val="21"/>
              </w:rPr>
            </w:pPr>
            <w:r>
              <w:rPr>
                <w:rFonts w:hint="default" w:ascii="Times New Roman" w:hAnsi="Times New Roman" w:cs="Times New Roman"/>
                <w:b/>
                <w:sz w:val="21"/>
                <w:szCs w:val="21"/>
              </w:rPr>
              <w:t>检测点位</w:t>
            </w:r>
          </w:p>
        </w:tc>
        <w:tc>
          <w:tcPr>
            <w:tcW w:w="0" w:type="auto"/>
            <w:tcBorders>
              <w:tl2br w:val="nil"/>
              <w:tr2bl w:val="nil"/>
            </w:tcBorders>
            <w:noWrap w:val="0"/>
            <w:vAlign w:val="center"/>
          </w:tcPr>
          <w:p w14:paraId="7BA15258">
            <w:pPr>
              <w:jc w:val="center"/>
              <w:rPr>
                <w:rFonts w:hint="default" w:ascii="Times New Roman" w:hAnsi="Times New Roman" w:cs="Times New Roman"/>
                <w:b/>
                <w:sz w:val="21"/>
                <w:szCs w:val="21"/>
              </w:rPr>
            </w:pPr>
            <w:r>
              <w:rPr>
                <w:rFonts w:hint="default" w:ascii="Times New Roman" w:hAnsi="Times New Roman" w:cs="Times New Roman"/>
                <w:b/>
                <w:sz w:val="21"/>
                <w:szCs w:val="21"/>
              </w:rPr>
              <w:t>上风向1#</w:t>
            </w:r>
          </w:p>
        </w:tc>
        <w:tc>
          <w:tcPr>
            <w:tcW w:w="0" w:type="auto"/>
            <w:tcBorders>
              <w:tl2br w:val="nil"/>
              <w:tr2bl w:val="nil"/>
            </w:tcBorders>
            <w:noWrap w:val="0"/>
            <w:vAlign w:val="center"/>
          </w:tcPr>
          <w:p w14:paraId="0A3E3E95">
            <w:pPr>
              <w:jc w:val="center"/>
              <w:rPr>
                <w:rFonts w:hint="default" w:ascii="Times New Roman" w:hAnsi="Times New Roman" w:cs="Times New Roman"/>
                <w:b/>
                <w:sz w:val="21"/>
                <w:szCs w:val="21"/>
              </w:rPr>
            </w:pPr>
            <w:r>
              <w:rPr>
                <w:rFonts w:hint="default" w:ascii="Times New Roman" w:hAnsi="Times New Roman" w:cs="Times New Roman"/>
                <w:b/>
                <w:sz w:val="21"/>
                <w:szCs w:val="21"/>
              </w:rPr>
              <w:t>下风向2#</w:t>
            </w:r>
          </w:p>
        </w:tc>
        <w:tc>
          <w:tcPr>
            <w:tcW w:w="0" w:type="auto"/>
            <w:tcBorders>
              <w:tl2br w:val="nil"/>
              <w:tr2bl w:val="nil"/>
            </w:tcBorders>
            <w:noWrap w:val="0"/>
            <w:vAlign w:val="center"/>
          </w:tcPr>
          <w:p w14:paraId="50AD8BF3">
            <w:pPr>
              <w:jc w:val="center"/>
              <w:rPr>
                <w:rFonts w:hint="default" w:ascii="Times New Roman" w:hAnsi="Times New Roman" w:cs="Times New Roman"/>
                <w:b/>
                <w:sz w:val="21"/>
                <w:szCs w:val="21"/>
              </w:rPr>
            </w:pPr>
            <w:r>
              <w:rPr>
                <w:rFonts w:hint="default" w:ascii="Times New Roman" w:hAnsi="Times New Roman" w:cs="Times New Roman"/>
                <w:b/>
                <w:sz w:val="21"/>
                <w:szCs w:val="21"/>
              </w:rPr>
              <w:t>下风向3#</w:t>
            </w:r>
          </w:p>
        </w:tc>
        <w:tc>
          <w:tcPr>
            <w:tcW w:w="0" w:type="auto"/>
            <w:tcBorders>
              <w:tl2br w:val="nil"/>
              <w:tr2bl w:val="nil"/>
            </w:tcBorders>
            <w:noWrap w:val="0"/>
            <w:vAlign w:val="center"/>
          </w:tcPr>
          <w:p w14:paraId="3BEFC839">
            <w:pPr>
              <w:jc w:val="center"/>
              <w:rPr>
                <w:rFonts w:hint="default" w:ascii="Times New Roman" w:hAnsi="Times New Roman" w:cs="Times New Roman"/>
                <w:b/>
                <w:sz w:val="21"/>
                <w:szCs w:val="21"/>
              </w:rPr>
            </w:pPr>
            <w:r>
              <w:rPr>
                <w:rFonts w:hint="default" w:ascii="Times New Roman" w:hAnsi="Times New Roman" w:cs="Times New Roman"/>
                <w:b/>
                <w:sz w:val="21"/>
                <w:szCs w:val="21"/>
              </w:rPr>
              <w:t>下风向4#</w:t>
            </w:r>
          </w:p>
        </w:tc>
      </w:tr>
      <w:tr w14:paraId="10D46649">
        <w:tblPrEx>
          <w:tblBorders>
            <w:top w:val="thinThickSmallGap" w:color="000000" w:sz="12" w:space="0"/>
            <w:left w:val="none" w:color="auto" w:sz="0" w:space="0"/>
            <w:bottom w:val="thickThinSmallGap"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c>
          <w:tcPr>
            <w:tcW w:w="0" w:type="auto"/>
            <w:vMerge w:val="restart"/>
            <w:tcBorders>
              <w:tl2br w:val="nil"/>
              <w:tr2bl w:val="nil"/>
            </w:tcBorders>
            <w:noWrap w:val="0"/>
            <w:vAlign w:val="center"/>
          </w:tcPr>
          <w:p w14:paraId="4D7C586E">
            <w:pPr>
              <w:jc w:val="center"/>
              <w:rPr>
                <w:rFonts w:hint="default" w:ascii="Times New Roman" w:hAnsi="Times New Roman" w:cs="Times New Roman"/>
                <w:sz w:val="21"/>
                <w:szCs w:val="21"/>
              </w:rPr>
            </w:pPr>
            <w:r>
              <w:rPr>
                <w:rFonts w:hint="default" w:ascii="Times New Roman" w:hAnsi="Times New Roman" w:cs="Times New Roman"/>
                <w:sz w:val="21"/>
                <w:szCs w:val="21"/>
              </w:rPr>
              <w:t>2025年11月15日</w:t>
            </w:r>
          </w:p>
        </w:tc>
        <w:tc>
          <w:tcPr>
            <w:tcW w:w="0" w:type="auto"/>
            <w:tcBorders>
              <w:tl2br w:val="nil"/>
              <w:tr2bl w:val="nil"/>
            </w:tcBorders>
            <w:noWrap w:val="0"/>
            <w:vAlign w:val="center"/>
          </w:tcPr>
          <w:p w14:paraId="440DEE3B">
            <w:pPr>
              <w:jc w:val="center"/>
              <w:rPr>
                <w:rFonts w:hint="default" w:ascii="Times New Roman" w:hAnsi="Times New Roman" w:cs="Times New Roman"/>
                <w:sz w:val="21"/>
                <w:szCs w:val="21"/>
              </w:rPr>
            </w:pPr>
            <w:r>
              <w:rPr>
                <w:rFonts w:hint="default" w:ascii="Times New Roman" w:hAnsi="Times New Roman" w:cs="Times New Roman"/>
                <w:sz w:val="21"/>
                <w:szCs w:val="21"/>
              </w:rPr>
              <w:t>第一次</w:t>
            </w:r>
          </w:p>
        </w:tc>
        <w:tc>
          <w:tcPr>
            <w:tcW w:w="0" w:type="auto"/>
            <w:tcBorders>
              <w:tl2br w:val="nil"/>
              <w:tr2bl w:val="nil"/>
            </w:tcBorders>
            <w:noWrap w:val="0"/>
            <w:vAlign w:val="center"/>
          </w:tcPr>
          <w:p w14:paraId="12654D10">
            <w:pPr>
              <w:jc w:val="center"/>
              <w:rPr>
                <w:rFonts w:hint="default" w:ascii="Times New Roman" w:hAnsi="Times New Roman" w:cs="Times New Roman"/>
                <w:sz w:val="21"/>
                <w:szCs w:val="21"/>
              </w:rPr>
            </w:pPr>
            <w:r>
              <w:rPr>
                <w:rFonts w:hint="default" w:ascii="Times New Roman" w:hAnsi="Times New Roman" w:cs="Times New Roman"/>
                <w:sz w:val="21"/>
                <w:szCs w:val="21"/>
              </w:rPr>
              <w:t>0.275</w:t>
            </w:r>
          </w:p>
        </w:tc>
        <w:tc>
          <w:tcPr>
            <w:tcW w:w="0" w:type="auto"/>
            <w:tcBorders>
              <w:tl2br w:val="nil"/>
              <w:tr2bl w:val="nil"/>
            </w:tcBorders>
            <w:noWrap w:val="0"/>
            <w:vAlign w:val="center"/>
          </w:tcPr>
          <w:p w14:paraId="50D921F1">
            <w:pPr>
              <w:jc w:val="center"/>
              <w:rPr>
                <w:rFonts w:hint="default" w:ascii="Times New Roman" w:hAnsi="Times New Roman" w:cs="Times New Roman"/>
                <w:sz w:val="21"/>
                <w:szCs w:val="21"/>
              </w:rPr>
            </w:pPr>
            <w:r>
              <w:rPr>
                <w:rFonts w:hint="default" w:ascii="Times New Roman" w:hAnsi="Times New Roman" w:cs="Times New Roman"/>
                <w:sz w:val="21"/>
                <w:szCs w:val="21"/>
              </w:rPr>
              <w:t>0.335</w:t>
            </w:r>
          </w:p>
        </w:tc>
        <w:tc>
          <w:tcPr>
            <w:tcW w:w="0" w:type="auto"/>
            <w:tcBorders>
              <w:tl2br w:val="nil"/>
              <w:tr2bl w:val="nil"/>
            </w:tcBorders>
            <w:noWrap w:val="0"/>
            <w:vAlign w:val="center"/>
          </w:tcPr>
          <w:p w14:paraId="556945A5">
            <w:pPr>
              <w:jc w:val="center"/>
              <w:rPr>
                <w:rFonts w:hint="default" w:ascii="Times New Roman" w:hAnsi="Times New Roman" w:cs="Times New Roman"/>
                <w:sz w:val="21"/>
                <w:szCs w:val="21"/>
              </w:rPr>
            </w:pPr>
            <w:r>
              <w:rPr>
                <w:rFonts w:hint="default" w:ascii="Times New Roman" w:hAnsi="Times New Roman" w:cs="Times New Roman"/>
                <w:sz w:val="21"/>
                <w:szCs w:val="21"/>
              </w:rPr>
              <w:t>0.355</w:t>
            </w:r>
          </w:p>
        </w:tc>
        <w:tc>
          <w:tcPr>
            <w:tcW w:w="0" w:type="auto"/>
            <w:tcBorders>
              <w:tl2br w:val="nil"/>
              <w:tr2bl w:val="nil"/>
            </w:tcBorders>
            <w:noWrap w:val="0"/>
            <w:vAlign w:val="center"/>
          </w:tcPr>
          <w:p w14:paraId="19D6E9DF">
            <w:pPr>
              <w:jc w:val="center"/>
              <w:rPr>
                <w:rFonts w:hint="default" w:ascii="Times New Roman" w:hAnsi="Times New Roman" w:cs="Times New Roman"/>
                <w:sz w:val="21"/>
                <w:szCs w:val="21"/>
              </w:rPr>
            </w:pPr>
            <w:r>
              <w:rPr>
                <w:rFonts w:hint="default" w:ascii="Times New Roman" w:hAnsi="Times New Roman" w:cs="Times New Roman"/>
                <w:sz w:val="21"/>
                <w:szCs w:val="21"/>
              </w:rPr>
              <w:t>0.332</w:t>
            </w:r>
          </w:p>
        </w:tc>
      </w:tr>
      <w:tr w14:paraId="1CD3BD40">
        <w:tblPrEx>
          <w:tblBorders>
            <w:top w:val="thinThickSmallGap" w:color="000000" w:sz="12" w:space="0"/>
            <w:left w:val="none" w:color="auto" w:sz="0" w:space="0"/>
            <w:bottom w:val="thickThinSmallGap"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c>
          <w:tcPr>
            <w:tcW w:w="0" w:type="auto"/>
            <w:vMerge w:val="continue"/>
            <w:tcBorders>
              <w:tl2br w:val="nil"/>
              <w:tr2bl w:val="nil"/>
            </w:tcBorders>
            <w:noWrap w:val="0"/>
            <w:vAlign w:val="center"/>
          </w:tcPr>
          <w:p w14:paraId="3E53E6FD">
            <w:pPr>
              <w:jc w:val="center"/>
              <w:rPr>
                <w:rFonts w:hint="default" w:ascii="Times New Roman" w:hAnsi="Times New Roman" w:cs="Times New Roman"/>
                <w:sz w:val="21"/>
                <w:szCs w:val="21"/>
              </w:rPr>
            </w:pPr>
          </w:p>
        </w:tc>
        <w:tc>
          <w:tcPr>
            <w:tcW w:w="0" w:type="auto"/>
            <w:tcBorders>
              <w:tl2br w:val="nil"/>
              <w:tr2bl w:val="nil"/>
            </w:tcBorders>
            <w:noWrap w:val="0"/>
            <w:vAlign w:val="center"/>
          </w:tcPr>
          <w:p w14:paraId="53AF3136">
            <w:pPr>
              <w:jc w:val="center"/>
              <w:rPr>
                <w:rFonts w:hint="default" w:ascii="Times New Roman" w:hAnsi="Times New Roman" w:cs="Times New Roman"/>
                <w:sz w:val="21"/>
                <w:szCs w:val="21"/>
              </w:rPr>
            </w:pPr>
            <w:r>
              <w:rPr>
                <w:rFonts w:hint="default" w:ascii="Times New Roman" w:hAnsi="Times New Roman" w:cs="Times New Roman"/>
                <w:sz w:val="21"/>
                <w:szCs w:val="21"/>
              </w:rPr>
              <w:t>第二次</w:t>
            </w:r>
          </w:p>
        </w:tc>
        <w:tc>
          <w:tcPr>
            <w:tcW w:w="0" w:type="auto"/>
            <w:tcBorders>
              <w:tl2br w:val="nil"/>
              <w:tr2bl w:val="nil"/>
            </w:tcBorders>
            <w:noWrap w:val="0"/>
            <w:vAlign w:val="center"/>
          </w:tcPr>
          <w:p w14:paraId="673C41D2">
            <w:pPr>
              <w:jc w:val="center"/>
              <w:rPr>
                <w:rFonts w:hint="default" w:ascii="Times New Roman" w:hAnsi="Times New Roman" w:cs="Times New Roman"/>
                <w:sz w:val="21"/>
                <w:szCs w:val="21"/>
              </w:rPr>
            </w:pPr>
            <w:r>
              <w:rPr>
                <w:rFonts w:hint="default" w:ascii="Times New Roman" w:hAnsi="Times New Roman" w:cs="Times New Roman"/>
                <w:sz w:val="21"/>
                <w:szCs w:val="21"/>
              </w:rPr>
              <w:t>0.312</w:t>
            </w:r>
          </w:p>
        </w:tc>
        <w:tc>
          <w:tcPr>
            <w:tcW w:w="0" w:type="auto"/>
            <w:tcBorders>
              <w:tl2br w:val="nil"/>
              <w:tr2bl w:val="nil"/>
            </w:tcBorders>
            <w:noWrap w:val="0"/>
            <w:vAlign w:val="center"/>
          </w:tcPr>
          <w:p w14:paraId="6B43DB8A">
            <w:pPr>
              <w:jc w:val="center"/>
              <w:rPr>
                <w:rFonts w:hint="default" w:ascii="Times New Roman" w:hAnsi="Times New Roman" w:cs="Times New Roman"/>
                <w:sz w:val="21"/>
                <w:szCs w:val="21"/>
              </w:rPr>
            </w:pPr>
            <w:r>
              <w:rPr>
                <w:rFonts w:hint="default" w:ascii="Times New Roman" w:hAnsi="Times New Roman" w:cs="Times New Roman"/>
                <w:sz w:val="21"/>
                <w:szCs w:val="21"/>
              </w:rPr>
              <w:t>0.352</w:t>
            </w:r>
          </w:p>
        </w:tc>
        <w:tc>
          <w:tcPr>
            <w:tcW w:w="0" w:type="auto"/>
            <w:tcBorders>
              <w:tl2br w:val="nil"/>
              <w:tr2bl w:val="nil"/>
            </w:tcBorders>
            <w:noWrap w:val="0"/>
            <w:vAlign w:val="center"/>
          </w:tcPr>
          <w:p w14:paraId="24813366">
            <w:pPr>
              <w:jc w:val="center"/>
              <w:rPr>
                <w:rFonts w:hint="default" w:ascii="Times New Roman" w:hAnsi="Times New Roman" w:cs="Times New Roman"/>
                <w:sz w:val="21"/>
                <w:szCs w:val="21"/>
              </w:rPr>
            </w:pPr>
            <w:r>
              <w:rPr>
                <w:rFonts w:hint="default" w:ascii="Times New Roman" w:hAnsi="Times New Roman" w:cs="Times New Roman"/>
                <w:sz w:val="21"/>
                <w:szCs w:val="21"/>
              </w:rPr>
              <w:t>0.380</w:t>
            </w:r>
          </w:p>
        </w:tc>
        <w:tc>
          <w:tcPr>
            <w:tcW w:w="0" w:type="auto"/>
            <w:tcBorders>
              <w:tl2br w:val="nil"/>
              <w:tr2bl w:val="nil"/>
            </w:tcBorders>
            <w:noWrap w:val="0"/>
            <w:vAlign w:val="center"/>
          </w:tcPr>
          <w:p w14:paraId="2558DC31">
            <w:pPr>
              <w:jc w:val="center"/>
              <w:rPr>
                <w:rFonts w:hint="default" w:ascii="Times New Roman" w:hAnsi="Times New Roman" w:cs="Times New Roman"/>
                <w:sz w:val="21"/>
                <w:szCs w:val="21"/>
              </w:rPr>
            </w:pPr>
            <w:r>
              <w:rPr>
                <w:rFonts w:hint="default" w:ascii="Times New Roman" w:hAnsi="Times New Roman" w:cs="Times New Roman"/>
                <w:sz w:val="21"/>
                <w:szCs w:val="21"/>
              </w:rPr>
              <w:t>0.357</w:t>
            </w:r>
          </w:p>
        </w:tc>
      </w:tr>
      <w:tr w14:paraId="35A479D3">
        <w:tblPrEx>
          <w:tblBorders>
            <w:top w:val="thinThickSmallGap" w:color="000000" w:sz="12" w:space="0"/>
            <w:left w:val="none" w:color="auto" w:sz="0" w:space="0"/>
            <w:bottom w:val="thickThinSmallGap"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c>
          <w:tcPr>
            <w:tcW w:w="0" w:type="auto"/>
            <w:vMerge w:val="continue"/>
            <w:tcBorders>
              <w:tl2br w:val="nil"/>
              <w:tr2bl w:val="nil"/>
            </w:tcBorders>
            <w:noWrap w:val="0"/>
            <w:vAlign w:val="center"/>
          </w:tcPr>
          <w:p w14:paraId="796AE5D4">
            <w:pPr>
              <w:jc w:val="center"/>
              <w:rPr>
                <w:rFonts w:hint="default" w:ascii="Times New Roman" w:hAnsi="Times New Roman" w:cs="Times New Roman"/>
                <w:sz w:val="21"/>
                <w:szCs w:val="21"/>
              </w:rPr>
            </w:pPr>
          </w:p>
        </w:tc>
        <w:tc>
          <w:tcPr>
            <w:tcW w:w="0" w:type="auto"/>
            <w:tcBorders>
              <w:tl2br w:val="nil"/>
              <w:tr2bl w:val="nil"/>
            </w:tcBorders>
            <w:noWrap w:val="0"/>
            <w:vAlign w:val="center"/>
          </w:tcPr>
          <w:p w14:paraId="414AB9DF">
            <w:pPr>
              <w:jc w:val="center"/>
              <w:rPr>
                <w:rFonts w:hint="default" w:ascii="Times New Roman" w:hAnsi="Times New Roman" w:cs="Times New Roman"/>
                <w:sz w:val="21"/>
                <w:szCs w:val="21"/>
              </w:rPr>
            </w:pPr>
            <w:r>
              <w:rPr>
                <w:rFonts w:hint="default" w:ascii="Times New Roman" w:hAnsi="Times New Roman" w:cs="Times New Roman"/>
                <w:sz w:val="21"/>
                <w:szCs w:val="21"/>
              </w:rPr>
              <w:t>第三次</w:t>
            </w:r>
          </w:p>
        </w:tc>
        <w:tc>
          <w:tcPr>
            <w:tcW w:w="0" w:type="auto"/>
            <w:tcBorders>
              <w:tl2br w:val="nil"/>
              <w:tr2bl w:val="nil"/>
            </w:tcBorders>
            <w:noWrap w:val="0"/>
            <w:vAlign w:val="center"/>
          </w:tcPr>
          <w:p w14:paraId="0AAE5042">
            <w:pPr>
              <w:jc w:val="center"/>
              <w:rPr>
                <w:rFonts w:hint="default" w:ascii="Times New Roman" w:hAnsi="Times New Roman" w:cs="Times New Roman"/>
                <w:sz w:val="21"/>
                <w:szCs w:val="21"/>
              </w:rPr>
            </w:pPr>
            <w:r>
              <w:rPr>
                <w:rFonts w:hint="default" w:ascii="Times New Roman" w:hAnsi="Times New Roman" w:cs="Times New Roman"/>
                <w:sz w:val="21"/>
                <w:szCs w:val="21"/>
              </w:rPr>
              <w:t>0.242</w:t>
            </w:r>
          </w:p>
        </w:tc>
        <w:tc>
          <w:tcPr>
            <w:tcW w:w="0" w:type="auto"/>
            <w:tcBorders>
              <w:tl2br w:val="nil"/>
              <w:tr2bl w:val="nil"/>
            </w:tcBorders>
            <w:noWrap w:val="0"/>
            <w:vAlign w:val="center"/>
          </w:tcPr>
          <w:p w14:paraId="5B90B942">
            <w:pPr>
              <w:jc w:val="center"/>
              <w:rPr>
                <w:rFonts w:hint="default" w:ascii="Times New Roman" w:hAnsi="Times New Roman" w:cs="Times New Roman"/>
                <w:sz w:val="21"/>
                <w:szCs w:val="21"/>
              </w:rPr>
            </w:pPr>
            <w:r>
              <w:rPr>
                <w:rFonts w:hint="default" w:ascii="Times New Roman" w:hAnsi="Times New Roman" w:cs="Times New Roman"/>
                <w:sz w:val="21"/>
                <w:szCs w:val="21"/>
              </w:rPr>
              <w:t>0.322</w:t>
            </w:r>
          </w:p>
        </w:tc>
        <w:tc>
          <w:tcPr>
            <w:tcW w:w="0" w:type="auto"/>
            <w:tcBorders>
              <w:tl2br w:val="nil"/>
              <w:tr2bl w:val="nil"/>
            </w:tcBorders>
            <w:noWrap w:val="0"/>
            <w:vAlign w:val="center"/>
          </w:tcPr>
          <w:p w14:paraId="3388F6BD">
            <w:pPr>
              <w:jc w:val="center"/>
              <w:rPr>
                <w:rFonts w:hint="default" w:ascii="Times New Roman" w:hAnsi="Times New Roman" w:cs="Times New Roman"/>
                <w:sz w:val="21"/>
                <w:szCs w:val="21"/>
              </w:rPr>
            </w:pPr>
            <w:r>
              <w:rPr>
                <w:rFonts w:hint="default" w:ascii="Times New Roman" w:hAnsi="Times New Roman" w:cs="Times New Roman"/>
                <w:sz w:val="21"/>
                <w:szCs w:val="21"/>
              </w:rPr>
              <w:t>0.352</w:t>
            </w:r>
          </w:p>
        </w:tc>
        <w:tc>
          <w:tcPr>
            <w:tcW w:w="0" w:type="auto"/>
            <w:tcBorders>
              <w:tl2br w:val="nil"/>
              <w:tr2bl w:val="nil"/>
            </w:tcBorders>
            <w:noWrap w:val="0"/>
            <w:vAlign w:val="center"/>
          </w:tcPr>
          <w:p w14:paraId="1CABFB5E">
            <w:pPr>
              <w:jc w:val="center"/>
              <w:rPr>
                <w:rFonts w:hint="default" w:ascii="Times New Roman" w:hAnsi="Times New Roman" w:cs="Times New Roman"/>
                <w:sz w:val="21"/>
                <w:szCs w:val="21"/>
              </w:rPr>
            </w:pPr>
            <w:r>
              <w:rPr>
                <w:rFonts w:hint="default" w:ascii="Times New Roman" w:hAnsi="Times New Roman" w:cs="Times New Roman"/>
                <w:sz w:val="21"/>
                <w:szCs w:val="21"/>
              </w:rPr>
              <w:t>0.315</w:t>
            </w:r>
          </w:p>
        </w:tc>
      </w:tr>
      <w:tr w14:paraId="1970222E">
        <w:tblPrEx>
          <w:tblBorders>
            <w:top w:val="thinThickSmallGap" w:color="000000" w:sz="12" w:space="0"/>
            <w:left w:val="none" w:color="auto" w:sz="0" w:space="0"/>
            <w:bottom w:val="thickThinSmallGap"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c>
          <w:tcPr>
            <w:tcW w:w="0" w:type="auto"/>
            <w:vMerge w:val="continue"/>
            <w:tcBorders>
              <w:tl2br w:val="nil"/>
              <w:tr2bl w:val="nil"/>
            </w:tcBorders>
            <w:noWrap w:val="0"/>
            <w:vAlign w:val="center"/>
          </w:tcPr>
          <w:p w14:paraId="606EDDFF">
            <w:pPr>
              <w:jc w:val="center"/>
              <w:rPr>
                <w:rFonts w:hint="default" w:ascii="Times New Roman" w:hAnsi="Times New Roman" w:cs="Times New Roman"/>
                <w:sz w:val="21"/>
                <w:szCs w:val="21"/>
              </w:rPr>
            </w:pPr>
          </w:p>
        </w:tc>
        <w:tc>
          <w:tcPr>
            <w:tcW w:w="0" w:type="auto"/>
            <w:tcBorders>
              <w:tl2br w:val="nil"/>
              <w:tr2bl w:val="nil"/>
            </w:tcBorders>
            <w:noWrap w:val="0"/>
            <w:vAlign w:val="center"/>
          </w:tcPr>
          <w:p w14:paraId="4B294A4F">
            <w:pPr>
              <w:jc w:val="center"/>
              <w:rPr>
                <w:rFonts w:hint="default" w:ascii="Times New Roman" w:hAnsi="Times New Roman" w:cs="Times New Roman"/>
                <w:sz w:val="21"/>
                <w:szCs w:val="21"/>
              </w:rPr>
            </w:pPr>
            <w:r>
              <w:rPr>
                <w:rFonts w:hint="default" w:ascii="Times New Roman" w:hAnsi="Times New Roman" w:cs="Times New Roman"/>
                <w:sz w:val="21"/>
                <w:szCs w:val="21"/>
              </w:rPr>
              <w:t>平均值</w:t>
            </w:r>
          </w:p>
        </w:tc>
        <w:tc>
          <w:tcPr>
            <w:tcW w:w="0" w:type="auto"/>
            <w:tcBorders>
              <w:tl2br w:val="nil"/>
              <w:tr2bl w:val="nil"/>
            </w:tcBorders>
            <w:noWrap w:val="0"/>
            <w:vAlign w:val="center"/>
          </w:tcPr>
          <w:p w14:paraId="135F8DB2">
            <w:pPr>
              <w:jc w:val="center"/>
              <w:rPr>
                <w:rFonts w:hint="default" w:ascii="Times New Roman" w:hAnsi="Times New Roman" w:cs="Times New Roman"/>
                <w:sz w:val="21"/>
                <w:szCs w:val="21"/>
              </w:rPr>
            </w:pPr>
            <w:r>
              <w:rPr>
                <w:rFonts w:hint="default" w:ascii="Times New Roman" w:hAnsi="Times New Roman" w:cs="Times New Roman"/>
                <w:sz w:val="21"/>
                <w:szCs w:val="21"/>
              </w:rPr>
              <w:t>0.276</w:t>
            </w:r>
          </w:p>
        </w:tc>
        <w:tc>
          <w:tcPr>
            <w:tcW w:w="0" w:type="auto"/>
            <w:tcBorders>
              <w:tl2br w:val="nil"/>
              <w:tr2bl w:val="nil"/>
            </w:tcBorders>
            <w:noWrap w:val="0"/>
            <w:vAlign w:val="center"/>
          </w:tcPr>
          <w:p w14:paraId="4CF27BD8">
            <w:pPr>
              <w:jc w:val="center"/>
              <w:rPr>
                <w:rFonts w:hint="default" w:ascii="Times New Roman" w:hAnsi="Times New Roman" w:cs="Times New Roman"/>
                <w:sz w:val="21"/>
                <w:szCs w:val="21"/>
              </w:rPr>
            </w:pPr>
            <w:r>
              <w:rPr>
                <w:rFonts w:hint="default" w:ascii="Times New Roman" w:hAnsi="Times New Roman" w:cs="Times New Roman"/>
                <w:sz w:val="21"/>
                <w:szCs w:val="21"/>
              </w:rPr>
              <w:t>0.336</w:t>
            </w:r>
          </w:p>
        </w:tc>
        <w:tc>
          <w:tcPr>
            <w:tcW w:w="0" w:type="auto"/>
            <w:tcBorders>
              <w:tl2br w:val="nil"/>
              <w:tr2bl w:val="nil"/>
            </w:tcBorders>
            <w:noWrap w:val="0"/>
            <w:vAlign w:val="center"/>
          </w:tcPr>
          <w:p w14:paraId="1799BEA8">
            <w:pPr>
              <w:jc w:val="center"/>
              <w:rPr>
                <w:rFonts w:hint="default" w:ascii="Times New Roman" w:hAnsi="Times New Roman" w:cs="Times New Roman"/>
                <w:sz w:val="21"/>
                <w:szCs w:val="21"/>
              </w:rPr>
            </w:pPr>
            <w:r>
              <w:rPr>
                <w:rFonts w:hint="default" w:ascii="Times New Roman" w:hAnsi="Times New Roman" w:cs="Times New Roman"/>
                <w:sz w:val="21"/>
                <w:szCs w:val="21"/>
              </w:rPr>
              <w:t>0.362</w:t>
            </w:r>
          </w:p>
        </w:tc>
        <w:tc>
          <w:tcPr>
            <w:tcW w:w="0" w:type="auto"/>
            <w:tcBorders>
              <w:tl2br w:val="nil"/>
              <w:tr2bl w:val="nil"/>
            </w:tcBorders>
            <w:noWrap w:val="0"/>
            <w:vAlign w:val="center"/>
          </w:tcPr>
          <w:p w14:paraId="2F8C0678">
            <w:pPr>
              <w:jc w:val="center"/>
              <w:rPr>
                <w:rFonts w:hint="default" w:ascii="Times New Roman" w:hAnsi="Times New Roman" w:cs="Times New Roman"/>
                <w:sz w:val="21"/>
                <w:szCs w:val="21"/>
              </w:rPr>
            </w:pPr>
            <w:r>
              <w:rPr>
                <w:rFonts w:hint="default" w:ascii="Times New Roman" w:hAnsi="Times New Roman" w:cs="Times New Roman"/>
                <w:sz w:val="21"/>
                <w:szCs w:val="21"/>
              </w:rPr>
              <w:t>0.335</w:t>
            </w:r>
          </w:p>
        </w:tc>
      </w:tr>
    </w:tbl>
    <w:p w14:paraId="2B74E43C">
      <w:pPr>
        <w:ind w:firstLine="480" w:firstLineChars="200"/>
        <w:jc w:val="center"/>
        <w:rPr>
          <w:rFonts w:ascii="Times New Roman" w:hAnsi="Times New Roman" w:eastAsia="黑体" w:cs="Times New Roman"/>
        </w:rPr>
      </w:pPr>
      <w:r>
        <w:rPr>
          <w:rFonts w:ascii="Times New Roman" w:hAnsi="Times New Roman" w:eastAsia="黑体" w:cs="Times New Roman"/>
        </w:rPr>
        <w:t>表2.</w:t>
      </w:r>
      <w:r>
        <w:rPr>
          <w:rFonts w:hint="eastAsia" w:ascii="Times New Roman" w:hAnsi="Times New Roman" w:eastAsia="黑体" w:cs="Times New Roman"/>
          <w:lang w:val="en-US" w:eastAsia="zh-CN"/>
        </w:rPr>
        <w:t>9</w:t>
      </w:r>
      <w:r>
        <w:rPr>
          <w:rFonts w:ascii="Times New Roman" w:hAnsi="Times New Roman" w:eastAsia="黑体" w:cs="Times New Roman"/>
        </w:rPr>
        <w:t>-3</w:t>
      </w:r>
      <w:r>
        <w:rPr>
          <w:rFonts w:hint="eastAsia" w:ascii="Times New Roman" w:hAnsi="Times New Roman" w:eastAsia="黑体" w:cs="Times New Roman"/>
          <w:lang w:val="en-US" w:eastAsia="zh-CN"/>
        </w:rPr>
        <w:t xml:space="preserve"> </w:t>
      </w:r>
      <w:r>
        <w:rPr>
          <w:rFonts w:ascii="Times New Roman" w:hAnsi="Times New Roman" w:eastAsia="黑体" w:cs="Times New Roman"/>
        </w:rPr>
        <w:t>炼铁车间四周总悬浮颗粒物检测结果 单位:mg/m</w:t>
      </w:r>
      <w:r>
        <w:rPr>
          <w:rFonts w:ascii="Times New Roman" w:hAnsi="Times New Roman" w:eastAsia="黑体" w:cs="Times New Roman"/>
          <w:vertAlign w:val="superscript"/>
        </w:rPr>
        <w:t>3</w:t>
      </w:r>
    </w:p>
    <w:tbl>
      <w:tblPr>
        <w:tblStyle w:val="56"/>
        <w:tblW w:w="5000" w:type="pct"/>
        <w:tblInd w:w="108" w:type="dxa"/>
        <w:tblBorders>
          <w:top w:val="thinThickSmallGap" w:color="000000" w:sz="12" w:space="0"/>
          <w:left w:val="none" w:color="auto" w:sz="0" w:space="0"/>
          <w:bottom w:val="thickThinSmallGap" w:color="000000" w:sz="12" w:space="0"/>
          <w:right w:val="none" w:color="auto" w:sz="0" w:space="0"/>
          <w:insideH w:val="single" w:color="000000" w:sz="4" w:space="0"/>
          <w:insideV w:val="single" w:color="000000" w:sz="4" w:space="0"/>
        </w:tblBorders>
        <w:tblLayout w:type="autofit"/>
        <w:tblCellMar>
          <w:top w:w="0" w:type="dxa"/>
          <w:left w:w="108" w:type="dxa"/>
          <w:bottom w:w="0" w:type="dxa"/>
          <w:right w:w="108" w:type="dxa"/>
        </w:tblCellMar>
      </w:tblPr>
      <w:tblGrid>
        <w:gridCol w:w="2343"/>
        <w:gridCol w:w="1012"/>
        <w:gridCol w:w="1335"/>
        <w:gridCol w:w="1340"/>
        <w:gridCol w:w="1338"/>
        <w:gridCol w:w="1353"/>
      </w:tblGrid>
      <w:tr w14:paraId="2852EE3E">
        <w:tblPrEx>
          <w:tblBorders>
            <w:top w:val="thinThickSmallGap" w:color="000000" w:sz="12" w:space="0"/>
            <w:left w:val="none" w:color="auto" w:sz="0" w:space="0"/>
            <w:bottom w:val="thickThinSmallGap"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760" w:hRule="atLeast"/>
        </w:trPr>
        <w:tc>
          <w:tcPr>
            <w:tcW w:w="1923" w:type="pct"/>
            <w:gridSpan w:val="2"/>
            <w:tcBorders>
              <w:tl2br w:val="nil"/>
              <w:tr2bl w:val="nil"/>
            </w:tcBorders>
            <w:noWrap w:val="0"/>
            <w:vAlign w:val="center"/>
            <mc:AlternateContent>
              <mc:Choice Requires="wpsCustomData">
                <wpsCustomData:diagonals>
                  <wpsCustomData:diagonal from="10000" to="30000">
                    <wpsCustomData:border w:val="single" w:color="000000" w:sz="4" w:space="0"/>
                  </wpsCustomData:diagonal>
                </wpsCustomData:diagonals>
              </mc:Choice>
            </mc:AlternateContent>
          </w:tcPr>
          <w:p w14:paraId="5F08DBD6">
            <w:pPr>
              <w:snapToGrid w:val="0"/>
              <w:jc w:val="left"/>
              <w:rPr>
                <w:b/>
              </w:rPr>
            </w:pPr>
          </w:p>
          <w:p w14:paraId="5F455AA0">
            <w:pPr>
              <w:snapToGrid w:val="0"/>
              <w:jc w:val="left"/>
              <mc:AlternateContent>
                <mc:Choice Requires="wpsCustomData">
                  <wpsCustomData:diagonalParaType/>
                </mc:Choice>
              </mc:AlternateContent>
              <w:rPr>
                <w:b/>
              </w:rPr>
            </w:pPr>
            <w:r>
              <w:rPr>
                <w:b/>
              </w:rPr>
              <w:t>检测时间</w:t>
            </w:r>
          </w:p>
          <w:p w14:paraId="4BE2DF74">
            <w:pPr>
              <w:snapToGrid w:val="0"/>
              <w:jc w:val="right"/>
              <w:rPr>
                <w:b/>
              </w:rPr>
            </w:pPr>
            <w:r>
              <w:rPr>
                <w:b/>
              </w:rPr>
              <w:t>检测点位</w:t>
            </w:r>
          </w:p>
        </w:tc>
        <w:tc>
          <w:tcPr>
            <w:tcW w:w="765" w:type="pct"/>
            <w:tcBorders>
              <w:tl2br w:val="nil"/>
              <w:tr2bl w:val="nil"/>
            </w:tcBorders>
            <w:noWrap w:val="0"/>
            <w:vAlign w:val="center"/>
          </w:tcPr>
          <w:p w14:paraId="635219F0">
            <w:pPr>
              <w:jc w:val="center"/>
              <w:rPr>
                <w:b/>
              </w:rPr>
            </w:pPr>
            <w:r>
              <w:rPr>
                <w:b/>
              </w:rPr>
              <w:t>东</w:t>
            </w:r>
          </w:p>
        </w:tc>
        <w:tc>
          <w:tcPr>
            <w:tcW w:w="768" w:type="pct"/>
            <w:tcBorders>
              <w:tl2br w:val="nil"/>
              <w:tr2bl w:val="nil"/>
            </w:tcBorders>
            <w:noWrap w:val="0"/>
            <w:vAlign w:val="center"/>
          </w:tcPr>
          <w:p w14:paraId="69860AEA">
            <w:pPr>
              <w:jc w:val="center"/>
              <w:rPr>
                <w:b/>
              </w:rPr>
            </w:pPr>
            <w:r>
              <w:rPr>
                <w:b/>
              </w:rPr>
              <w:t>南</w:t>
            </w:r>
          </w:p>
        </w:tc>
        <w:tc>
          <w:tcPr>
            <w:tcW w:w="767" w:type="pct"/>
            <w:tcBorders>
              <w:tl2br w:val="nil"/>
              <w:tr2bl w:val="nil"/>
            </w:tcBorders>
            <w:noWrap w:val="0"/>
            <w:vAlign w:val="center"/>
          </w:tcPr>
          <w:p w14:paraId="45067545">
            <w:pPr>
              <w:jc w:val="center"/>
              <w:rPr>
                <w:b/>
              </w:rPr>
            </w:pPr>
            <w:r>
              <w:rPr>
                <w:b/>
              </w:rPr>
              <w:t>西</w:t>
            </w:r>
          </w:p>
        </w:tc>
        <w:tc>
          <w:tcPr>
            <w:tcW w:w="775" w:type="pct"/>
            <w:tcBorders>
              <w:tl2br w:val="nil"/>
              <w:tr2bl w:val="nil"/>
            </w:tcBorders>
            <w:noWrap w:val="0"/>
            <w:vAlign w:val="center"/>
          </w:tcPr>
          <w:p w14:paraId="1CEAD41F">
            <w:pPr>
              <w:jc w:val="center"/>
              <w:rPr>
                <w:b/>
              </w:rPr>
            </w:pPr>
            <w:r>
              <w:rPr>
                <w:b/>
              </w:rPr>
              <w:t>北</w:t>
            </w:r>
          </w:p>
        </w:tc>
      </w:tr>
      <w:tr w14:paraId="031260B8">
        <w:tblPrEx>
          <w:tblBorders>
            <w:top w:val="thinThickSmallGap" w:color="000000" w:sz="12" w:space="0"/>
            <w:left w:val="none" w:color="auto" w:sz="0" w:space="0"/>
            <w:bottom w:val="thickThinSmallGap"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c>
          <w:tcPr>
            <w:tcW w:w="1343" w:type="pct"/>
            <w:vMerge w:val="restart"/>
            <w:tcBorders>
              <w:tl2br w:val="nil"/>
              <w:tr2bl w:val="nil"/>
            </w:tcBorders>
            <w:noWrap w:val="0"/>
            <w:vAlign w:val="center"/>
          </w:tcPr>
          <w:p w14:paraId="07AE593C">
            <w:r>
              <w:t>2025年11月15日</w:t>
            </w:r>
          </w:p>
        </w:tc>
        <w:tc>
          <w:tcPr>
            <w:tcW w:w="580" w:type="pct"/>
            <w:tcBorders>
              <w:tl2br w:val="nil"/>
              <w:tr2bl w:val="nil"/>
            </w:tcBorders>
            <w:noWrap w:val="0"/>
            <w:vAlign w:val="center"/>
          </w:tcPr>
          <w:p w14:paraId="5FE25BC9">
            <w:pPr>
              <w:jc w:val="center"/>
            </w:pPr>
            <w:r>
              <w:t>第一次</w:t>
            </w:r>
          </w:p>
        </w:tc>
        <w:tc>
          <w:tcPr>
            <w:tcW w:w="765" w:type="pct"/>
            <w:tcBorders>
              <w:tl2br w:val="nil"/>
              <w:tr2bl w:val="nil"/>
            </w:tcBorders>
            <w:noWrap w:val="0"/>
            <w:vAlign w:val="center"/>
          </w:tcPr>
          <w:p w14:paraId="0C747F6F">
            <w:pPr>
              <w:jc w:val="center"/>
            </w:pPr>
            <w:r>
              <w:t>0.504</w:t>
            </w:r>
          </w:p>
        </w:tc>
        <w:tc>
          <w:tcPr>
            <w:tcW w:w="768" w:type="pct"/>
            <w:tcBorders>
              <w:tl2br w:val="nil"/>
              <w:tr2bl w:val="nil"/>
            </w:tcBorders>
            <w:noWrap w:val="0"/>
            <w:vAlign w:val="center"/>
          </w:tcPr>
          <w:p w14:paraId="44683D9F">
            <w:pPr>
              <w:jc w:val="center"/>
            </w:pPr>
            <w:r>
              <w:t>0.375</w:t>
            </w:r>
          </w:p>
        </w:tc>
        <w:tc>
          <w:tcPr>
            <w:tcW w:w="767" w:type="pct"/>
            <w:tcBorders>
              <w:tl2br w:val="nil"/>
              <w:tr2bl w:val="nil"/>
            </w:tcBorders>
            <w:noWrap w:val="0"/>
            <w:vAlign w:val="center"/>
          </w:tcPr>
          <w:p w14:paraId="6E6D2805">
            <w:pPr>
              <w:jc w:val="center"/>
            </w:pPr>
            <w:r>
              <w:t>0.372</w:t>
            </w:r>
          </w:p>
        </w:tc>
        <w:tc>
          <w:tcPr>
            <w:tcW w:w="775" w:type="pct"/>
            <w:tcBorders>
              <w:tl2br w:val="nil"/>
              <w:tr2bl w:val="nil"/>
            </w:tcBorders>
            <w:noWrap w:val="0"/>
            <w:vAlign w:val="center"/>
          </w:tcPr>
          <w:p w14:paraId="66DABE70">
            <w:pPr>
              <w:jc w:val="center"/>
            </w:pPr>
            <w:r>
              <w:t>0.412</w:t>
            </w:r>
          </w:p>
        </w:tc>
      </w:tr>
      <w:tr w14:paraId="23BEAA29">
        <w:tblPrEx>
          <w:tblBorders>
            <w:top w:val="thinThickSmallGap" w:color="000000" w:sz="12" w:space="0"/>
            <w:left w:val="none" w:color="auto" w:sz="0" w:space="0"/>
            <w:bottom w:val="thickThinSmallGap"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c>
          <w:tcPr>
            <w:tcW w:w="1343" w:type="pct"/>
            <w:vMerge w:val="continue"/>
            <w:tcBorders>
              <w:tl2br w:val="nil"/>
              <w:tr2bl w:val="nil"/>
            </w:tcBorders>
            <w:noWrap w:val="0"/>
            <w:vAlign w:val="center"/>
          </w:tcPr>
          <w:p w14:paraId="178F2BC5"/>
        </w:tc>
        <w:tc>
          <w:tcPr>
            <w:tcW w:w="580" w:type="pct"/>
            <w:tcBorders>
              <w:tl2br w:val="nil"/>
              <w:tr2bl w:val="nil"/>
            </w:tcBorders>
            <w:noWrap w:val="0"/>
            <w:vAlign w:val="center"/>
          </w:tcPr>
          <w:p w14:paraId="2EDB5022">
            <w:pPr>
              <w:jc w:val="center"/>
            </w:pPr>
            <w:r>
              <w:t>第二次</w:t>
            </w:r>
          </w:p>
        </w:tc>
        <w:tc>
          <w:tcPr>
            <w:tcW w:w="765" w:type="pct"/>
            <w:tcBorders>
              <w:tl2br w:val="nil"/>
              <w:tr2bl w:val="nil"/>
            </w:tcBorders>
            <w:noWrap w:val="0"/>
            <w:vAlign w:val="center"/>
          </w:tcPr>
          <w:p w14:paraId="196F38E4">
            <w:pPr>
              <w:jc w:val="center"/>
            </w:pPr>
            <w:r>
              <w:t>0.447</w:t>
            </w:r>
          </w:p>
        </w:tc>
        <w:tc>
          <w:tcPr>
            <w:tcW w:w="768" w:type="pct"/>
            <w:tcBorders>
              <w:tl2br w:val="nil"/>
              <w:tr2bl w:val="nil"/>
            </w:tcBorders>
            <w:noWrap w:val="0"/>
            <w:vAlign w:val="center"/>
          </w:tcPr>
          <w:p w14:paraId="4AD21C50">
            <w:pPr>
              <w:jc w:val="center"/>
            </w:pPr>
            <w:r>
              <w:t>0.352</w:t>
            </w:r>
          </w:p>
        </w:tc>
        <w:tc>
          <w:tcPr>
            <w:tcW w:w="767" w:type="pct"/>
            <w:tcBorders>
              <w:tl2br w:val="nil"/>
              <w:tr2bl w:val="nil"/>
            </w:tcBorders>
            <w:noWrap w:val="0"/>
            <w:vAlign w:val="center"/>
          </w:tcPr>
          <w:p w14:paraId="2607E3FB">
            <w:pPr>
              <w:jc w:val="center"/>
            </w:pPr>
            <w:r>
              <w:t>0.422</w:t>
            </w:r>
          </w:p>
        </w:tc>
        <w:tc>
          <w:tcPr>
            <w:tcW w:w="775" w:type="pct"/>
            <w:tcBorders>
              <w:tl2br w:val="nil"/>
              <w:tr2bl w:val="nil"/>
            </w:tcBorders>
            <w:noWrap w:val="0"/>
            <w:vAlign w:val="center"/>
          </w:tcPr>
          <w:p w14:paraId="2EBFC905">
            <w:pPr>
              <w:jc w:val="center"/>
            </w:pPr>
            <w:r>
              <w:t>0.512</w:t>
            </w:r>
          </w:p>
        </w:tc>
      </w:tr>
      <w:tr w14:paraId="2E077F2F">
        <w:tblPrEx>
          <w:tblBorders>
            <w:top w:val="thinThickSmallGap" w:color="000000" w:sz="12" w:space="0"/>
            <w:left w:val="none" w:color="auto" w:sz="0" w:space="0"/>
            <w:bottom w:val="thickThinSmallGap"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c>
          <w:tcPr>
            <w:tcW w:w="1343" w:type="pct"/>
            <w:vMerge w:val="continue"/>
            <w:tcBorders>
              <w:tl2br w:val="nil"/>
              <w:tr2bl w:val="nil"/>
            </w:tcBorders>
            <w:noWrap w:val="0"/>
            <w:vAlign w:val="center"/>
          </w:tcPr>
          <w:p w14:paraId="3AB0B27B"/>
        </w:tc>
        <w:tc>
          <w:tcPr>
            <w:tcW w:w="580" w:type="pct"/>
            <w:tcBorders>
              <w:tl2br w:val="nil"/>
              <w:tr2bl w:val="nil"/>
            </w:tcBorders>
            <w:noWrap w:val="0"/>
            <w:vAlign w:val="center"/>
          </w:tcPr>
          <w:p w14:paraId="6F5277B0">
            <w:pPr>
              <w:jc w:val="center"/>
            </w:pPr>
            <w:r>
              <w:t>第三次</w:t>
            </w:r>
          </w:p>
        </w:tc>
        <w:tc>
          <w:tcPr>
            <w:tcW w:w="765" w:type="pct"/>
            <w:tcBorders>
              <w:tl2br w:val="nil"/>
              <w:tr2bl w:val="nil"/>
            </w:tcBorders>
            <w:noWrap w:val="0"/>
            <w:vAlign w:val="center"/>
          </w:tcPr>
          <w:p w14:paraId="534C671C">
            <w:pPr>
              <w:jc w:val="center"/>
            </w:pPr>
            <w:r>
              <w:t>0.519</w:t>
            </w:r>
          </w:p>
        </w:tc>
        <w:tc>
          <w:tcPr>
            <w:tcW w:w="768" w:type="pct"/>
            <w:tcBorders>
              <w:tl2br w:val="nil"/>
              <w:tr2bl w:val="nil"/>
            </w:tcBorders>
            <w:noWrap w:val="0"/>
            <w:vAlign w:val="center"/>
          </w:tcPr>
          <w:p w14:paraId="439F27FD">
            <w:pPr>
              <w:jc w:val="center"/>
            </w:pPr>
            <w:r>
              <w:t>0.455</w:t>
            </w:r>
          </w:p>
        </w:tc>
        <w:tc>
          <w:tcPr>
            <w:tcW w:w="767" w:type="pct"/>
            <w:tcBorders>
              <w:tl2br w:val="nil"/>
              <w:tr2bl w:val="nil"/>
            </w:tcBorders>
            <w:noWrap w:val="0"/>
            <w:vAlign w:val="center"/>
          </w:tcPr>
          <w:p w14:paraId="35761B0C">
            <w:pPr>
              <w:jc w:val="center"/>
            </w:pPr>
            <w:r>
              <w:t>0.359</w:t>
            </w:r>
          </w:p>
        </w:tc>
        <w:tc>
          <w:tcPr>
            <w:tcW w:w="775" w:type="pct"/>
            <w:tcBorders>
              <w:tl2br w:val="nil"/>
              <w:tr2bl w:val="nil"/>
            </w:tcBorders>
            <w:noWrap w:val="0"/>
            <w:vAlign w:val="center"/>
          </w:tcPr>
          <w:p w14:paraId="5A854A44">
            <w:pPr>
              <w:jc w:val="center"/>
            </w:pPr>
            <w:r>
              <w:t>0.393</w:t>
            </w:r>
          </w:p>
        </w:tc>
      </w:tr>
      <w:tr w14:paraId="651E59C3">
        <w:tblPrEx>
          <w:tblBorders>
            <w:top w:val="thinThickSmallGap" w:color="000000" w:sz="12" w:space="0"/>
            <w:left w:val="none" w:color="auto" w:sz="0" w:space="0"/>
            <w:bottom w:val="thickThinSmallGap"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c>
          <w:tcPr>
            <w:tcW w:w="1343" w:type="pct"/>
            <w:vMerge w:val="continue"/>
            <w:tcBorders>
              <w:tl2br w:val="nil"/>
              <w:tr2bl w:val="nil"/>
            </w:tcBorders>
            <w:noWrap w:val="0"/>
            <w:vAlign w:val="center"/>
          </w:tcPr>
          <w:p w14:paraId="43683591"/>
        </w:tc>
        <w:tc>
          <w:tcPr>
            <w:tcW w:w="580" w:type="pct"/>
            <w:tcBorders>
              <w:tl2br w:val="nil"/>
              <w:tr2bl w:val="nil"/>
            </w:tcBorders>
            <w:noWrap w:val="0"/>
            <w:vAlign w:val="center"/>
          </w:tcPr>
          <w:p w14:paraId="67C41C89">
            <w:pPr>
              <w:jc w:val="center"/>
            </w:pPr>
            <w:r>
              <w:t>平均值</w:t>
            </w:r>
          </w:p>
        </w:tc>
        <w:tc>
          <w:tcPr>
            <w:tcW w:w="765" w:type="pct"/>
            <w:tcBorders>
              <w:tl2br w:val="nil"/>
              <w:tr2bl w:val="nil"/>
            </w:tcBorders>
            <w:noWrap w:val="0"/>
            <w:vAlign w:val="center"/>
          </w:tcPr>
          <w:p w14:paraId="56E16598">
            <w:pPr>
              <w:jc w:val="center"/>
            </w:pPr>
            <w:r>
              <w:t>0.490</w:t>
            </w:r>
          </w:p>
        </w:tc>
        <w:tc>
          <w:tcPr>
            <w:tcW w:w="768" w:type="pct"/>
            <w:tcBorders>
              <w:tl2br w:val="nil"/>
              <w:tr2bl w:val="nil"/>
            </w:tcBorders>
            <w:noWrap w:val="0"/>
            <w:vAlign w:val="center"/>
          </w:tcPr>
          <w:p w14:paraId="305614E5">
            <w:pPr>
              <w:jc w:val="center"/>
            </w:pPr>
            <w:r>
              <w:t>0.394</w:t>
            </w:r>
          </w:p>
        </w:tc>
        <w:tc>
          <w:tcPr>
            <w:tcW w:w="767" w:type="pct"/>
            <w:tcBorders>
              <w:tl2br w:val="nil"/>
              <w:tr2bl w:val="nil"/>
            </w:tcBorders>
            <w:noWrap w:val="0"/>
            <w:vAlign w:val="center"/>
          </w:tcPr>
          <w:p w14:paraId="1DF06A66">
            <w:pPr>
              <w:jc w:val="center"/>
            </w:pPr>
            <w:r>
              <w:t>0.384</w:t>
            </w:r>
          </w:p>
        </w:tc>
        <w:tc>
          <w:tcPr>
            <w:tcW w:w="775" w:type="pct"/>
            <w:tcBorders>
              <w:tl2br w:val="nil"/>
              <w:tr2bl w:val="nil"/>
            </w:tcBorders>
            <w:noWrap w:val="0"/>
            <w:vAlign w:val="center"/>
          </w:tcPr>
          <w:p w14:paraId="35B79B3F">
            <w:pPr>
              <w:jc w:val="center"/>
            </w:pPr>
            <w:r>
              <w:t>0.439</w:t>
            </w:r>
          </w:p>
        </w:tc>
      </w:tr>
    </w:tbl>
    <w:p w14:paraId="470468C6">
      <w:pPr>
        <w:ind w:firstLine="480" w:firstLineChars="200"/>
        <w:jc w:val="center"/>
      </w:pPr>
      <w:r>
        <w:rPr>
          <w:rFonts w:ascii="Times New Roman" w:hAnsi="Times New Roman" w:eastAsia="黑体" w:cs="Times New Roman"/>
        </w:rPr>
        <w:t>表2.</w:t>
      </w:r>
      <w:r>
        <w:rPr>
          <w:rFonts w:hint="eastAsia" w:ascii="Times New Roman" w:hAnsi="Times New Roman" w:eastAsia="黑体" w:cs="Times New Roman"/>
          <w:lang w:val="en-US" w:eastAsia="zh-CN"/>
        </w:rPr>
        <w:t>9</w:t>
      </w:r>
      <w:r>
        <w:rPr>
          <w:rFonts w:ascii="Times New Roman" w:hAnsi="Times New Roman" w:eastAsia="黑体" w:cs="Times New Roman"/>
        </w:rPr>
        <w:t>-</w:t>
      </w:r>
      <w:r>
        <w:rPr>
          <w:rFonts w:hint="eastAsia" w:ascii="Times New Roman" w:hAnsi="Times New Roman" w:eastAsia="黑体" w:cs="Times New Roman"/>
          <w:lang w:val="en-US" w:eastAsia="zh-CN"/>
        </w:rPr>
        <w:t xml:space="preserve">4 </w:t>
      </w:r>
      <w:r>
        <w:t>球团车间四周总悬浮颗粒物检测结果 单位：mg/m</w:t>
      </w:r>
      <w:r>
        <w:rPr>
          <w:vertAlign w:val="superscript"/>
        </w:rPr>
        <w:t>3</w:t>
      </w:r>
    </w:p>
    <w:tbl>
      <w:tblPr>
        <w:tblStyle w:val="56"/>
        <w:tblW w:w="5000" w:type="pct"/>
        <w:tblInd w:w="108" w:type="dxa"/>
        <w:tblBorders>
          <w:top w:val="thinThickSmallGap" w:color="000000" w:sz="12" w:space="0"/>
          <w:left w:val="none" w:color="auto" w:sz="0" w:space="0"/>
          <w:bottom w:val="thickThinSmallGap" w:color="000000" w:sz="12" w:space="0"/>
          <w:right w:val="none" w:color="auto" w:sz="0" w:space="0"/>
          <w:insideH w:val="single" w:color="000000" w:sz="4" w:space="0"/>
          <w:insideV w:val="single" w:color="000000" w:sz="4" w:space="0"/>
        </w:tblBorders>
        <w:tblLayout w:type="autofit"/>
        <w:tblCellMar>
          <w:top w:w="0" w:type="dxa"/>
          <w:left w:w="108" w:type="dxa"/>
          <w:bottom w:w="0" w:type="dxa"/>
          <w:right w:w="108" w:type="dxa"/>
        </w:tblCellMar>
      </w:tblPr>
      <w:tblGrid>
        <w:gridCol w:w="2321"/>
        <w:gridCol w:w="1050"/>
        <w:gridCol w:w="1359"/>
        <w:gridCol w:w="1298"/>
        <w:gridCol w:w="1354"/>
        <w:gridCol w:w="1339"/>
      </w:tblGrid>
      <w:tr w14:paraId="4CE44C2B">
        <w:tblPrEx>
          <w:tblBorders>
            <w:top w:val="thinThickSmallGap" w:color="000000" w:sz="12" w:space="0"/>
            <w:left w:val="none" w:color="auto" w:sz="0" w:space="0"/>
            <w:bottom w:val="thickThinSmallGap"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715" w:hRule="atLeast"/>
        </w:trPr>
        <w:tc>
          <w:tcPr>
            <w:tcW w:w="1932" w:type="pct"/>
            <w:gridSpan w:val="2"/>
            <w:tcBorders>
              <w:tl2br w:val="nil"/>
              <w:tr2bl w:val="nil"/>
            </w:tcBorders>
            <w:noWrap w:val="0"/>
            <w:vAlign w:val="center"/>
            <mc:AlternateContent>
              <mc:Choice Requires="wpsCustomData">
                <wpsCustomData:diagonals>
                  <wpsCustomData:diagonal from="10000" to="30000">
                    <wpsCustomData:border w:val="single" w:color="000000" w:sz="4" w:space="0"/>
                  </wpsCustomData:diagonal>
                </wpsCustomData:diagonals>
              </mc:Choice>
            </mc:AlternateContent>
          </w:tcPr>
          <w:p w14:paraId="5702BE5F">
            <w:pPr>
              <w:snapToGrid w:val="0"/>
              <w:jc w:val="both"/>
              <w:rPr>
                <w:b/>
                <w:bCs/>
              </w:rPr>
            </w:pPr>
          </w:p>
          <w:p w14:paraId="589CE815">
            <w:pPr>
              <w:snapToGrid w:val="0"/>
              <w:jc w:val="left"/>
              <mc:AlternateContent>
                <mc:Choice Requires="wpsCustomData">
                  <wpsCustomData:diagonalParaType/>
                </mc:Choice>
              </mc:AlternateContent>
              <w:rPr>
                <w:b/>
                <w:bCs/>
              </w:rPr>
            </w:pPr>
            <w:r>
              <w:rPr>
                <w:b/>
                <w:bCs/>
              </w:rPr>
              <w:t>检测时间</w:t>
            </w:r>
          </w:p>
          <w:p w14:paraId="06C3A1DC">
            <w:pPr>
              <w:snapToGrid w:val="0"/>
              <w:jc w:val="right"/>
              <w:rPr>
                <w:b/>
                <w:bCs/>
              </w:rPr>
            </w:pPr>
            <w:r>
              <w:rPr>
                <w:b/>
                <w:bCs/>
              </w:rPr>
              <w:t>检测点位</w:t>
            </w:r>
          </w:p>
        </w:tc>
        <w:tc>
          <w:tcPr>
            <w:tcW w:w="779" w:type="pct"/>
            <w:tcBorders>
              <w:tl2br w:val="nil"/>
              <w:tr2bl w:val="nil"/>
            </w:tcBorders>
            <w:noWrap w:val="0"/>
            <w:vAlign w:val="center"/>
          </w:tcPr>
          <w:p w14:paraId="63980909">
            <w:pPr>
              <w:jc w:val="center"/>
              <w:rPr>
                <w:b/>
                <w:bCs/>
              </w:rPr>
            </w:pPr>
            <w:r>
              <w:rPr>
                <w:b/>
                <w:bCs/>
              </w:rPr>
              <w:t>东</w:t>
            </w:r>
          </w:p>
        </w:tc>
        <w:tc>
          <w:tcPr>
            <w:tcW w:w="744" w:type="pct"/>
            <w:tcBorders>
              <w:tl2br w:val="nil"/>
              <w:tr2bl w:val="nil"/>
            </w:tcBorders>
            <w:noWrap w:val="0"/>
            <w:vAlign w:val="center"/>
          </w:tcPr>
          <w:p w14:paraId="72F8B45C">
            <w:pPr>
              <w:jc w:val="center"/>
              <w:rPr>
                <w:b/>
                <w:bCs/>
              </w:rPr>
            </w:pPr>
            <w:r>
              <w:rPr>
                <w:b/>
                <w:bCs/>
              </w:rPr>
              <w:t>南</w:t>
            </w:r>
          </w:p>
        </w:tc>
        <w:tc>
          <w:tcPr>
            <w:tcW w:w="776" w:type="pct"/>
            <w:tcBorders>
              <w:tl2br w:val="nil"/>
              <w:tr2bl w:val="nil"/>
            </w:tcBorders>
            <w:noWrap w:val="0"/>
            <w:vAlign w:val="center"/>
          </w:tcPr>
          <w:p w14:paraId="6613AD8E">
            <w:pPr>
              <w:jc w:val="center"/>
              <w:rPr>
                <w:b/>
                <w:bCs/>
              </w:rPr>
            </w:pPr>
            <w:r>
              <w:rPr>
                <w:b/>
                <w:bCs/>
              </w:rPr>
              <w:t>西</w:t>
            </w:r>
          </w:p>
        </w:tc>
        <w:tc>
          <w:tcPr>
            <w:tcW w:w="767" w:type="pct"/>
            <w:tcBorders>
              <w:tl2br w:val="nil"/>
              <w:tr2bl w:val="nil"/>
            </w:tcBorders>
            <w:noWrap w:val="0"/>
            <w:vAlign w:val="center"/>
          </w:tcPr>
          <w:p w14:paraId="0423D154">
            <w:pPr>
              <w:jc w:val="center"/>
              <w:rPr>
                <w:b/>
                <w:bCs/>
              </w:rPr>
            </w:pPr>
            <w:r>
              <w:rPr>
                <w:b/>
                <w:bCs/>
              </w:rPr>
              <w:t>北</w:t>
            </w:r>
          </w:p>
        </w:tc>
      </w:tr>
      <w:tr w14:paraId="78C498E9">
        <w:tblPrEx>
          <w:tblBorders>
            <w:top w:val="thinThickSmallGap" w:color="000000" w:sz="12" w:space="0"/>
            <w:left w:val="none" w:color="auto" w:sz="0" w:space="0"/>
            <w:bottom w:val="thickThinSmallGap"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c>
          <w:tcPr>
            <w:tcW w:w="1330" w:type="pct"/>
            <w:vMerge w:val="restart"/>
            <w:tcBorders>
              <w:tl2br w:val="nil"/>
              <w:tr2bl w:val="nil"/>
            </w:tcBorders>
            <w:noWrap w:val="0"/>
            <w:vAlign w:val="center"/>
          </w:tcPr>
          <w:p w14:paraId="0B01DD40">
            <w:r>
              <w:t>2025年11月16日</w:t>
            </w:r>
          </w:p>
        </w:tc>
        <w:tc>
          <w:tcPr>
            <w:tcW w:w="601" w:type="pct"/>
            <w:tcBorders>
              <w:tl2br w:val="nil"/>
              <w:tr2bl w:val="nil"/>
            </w:tcBorders>
            <w:noWrap w:val="0"/>
            <w:vAlign w:val="center"/>
          </w:tcPr>
          <w:p w14:paraId="769A6749">
            <w:r>
              <w:t>第一次</w:t>
            </w:r>
          </w:p>
        </w:tc>
        <w:tc>
          <w:tcPr>
            <w:tcW w:w="779" w:type="pct"/>
            <w:tcBorders>
              <w:tl2br w:val="nil"/>
              <w:tr2bl w:val="nil"/>
            </w:tcBorders>
            <w:noWrap w:val="0"/>
            <w:vAlign w:val="center"/>
          </w:tcPr>
          <w:p w14:paraId="2BAB7476">
            <w:r>
              <w:t>0.424</w:t>
            </w:r>
          </w:p>
        </w:tc>
        <w:tc>
          <w:tcPr>
            <w:tcW w:w="744" w:type="pct"/>
            <w:tcBorders>
              <w:tl2br w:val="nil"/>
              <w:tr2bl w:val="nil"/>
            </w:tcBorders>
            <w:noWrap w:val="0"/>
            <w:vAlign w:val="center"/>
          </w:tcPr>
          <w:p w14:paraId="2C41A156">
            <w:r>
              <w:t>0.537</w:t>
            </w:r>
          </w:p>
        </w:tc>
        <w:tc>
          <w:tcPr>
            <w:tcW w:w="776" w:type="pct"/>
            <w:tcBorders>
              <w:tl2br w:val="nil"/>
              <w:tr2bl w:val="nil"/>
            </w:tcBorders>
            <w:noWrap w:val="0"/>
            <w:vAlign w:val="center"/>
          </w:tcPr>
          <w:p w14:paraId="7907AD95">
            <w:r>
              <w:t>0.398</w:t>
            </w:r>
          </w:p>
        </w:tc>
        <w:tc>
          <w:tcPr>
            <w:tcW w:w="767" w:type="pct"/>
            <w:tcBorders>
              <w:tl2br w:val="nil"/>
              <w:tr2bl w:val="nil"/>
            </w:tcBorders>
            <w:noWrap w:val="0"/>
            <w:vAlign w:val="center"/>
          </w:tcPr>
          <w:p w14:paraId="74DF98BA">
            <w:r>
              <w:t>0.352</w:t>
            </w:r>
          </w:p>
        </w:tc>
      </w:tr>
      <w:tr w14:paraId="766A9330">
        <w:tblPrEx>
          <w:tblBorders>
            <w:top w:val="thinThickSmallGap" w:color="000000" w:sz="12" w:space="0"/>
            <w:left w:val="none" w:color="auto" w:sz="0" w:space="0"/>
            <w:bottom w:val="thickThinSmallGap"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c>
          <w:tcPr>
            <w:tcW w:w="1330" w:type="pct"/>
            <w:vMerge w:val="continue"/>
            <w:tcBorders>
              <w:tl2br w:val="nil"/>
              <w:tr2bl w:val="nil"/>
            </w:tcBorders>
            <w:noWrap w:val="0"/>
            <w:vAlign w:val="center"/>
          </w:tcPr>
          <w:p w14:paraId="67565719"/>
        </w:tc>
        <w:tc>
          <w:tcPr>
            <w:tcW w:w="601" w:type="pct"/>
            <w:tcBorders>
              <w:tl2br w:val="nil"/>
              <w:tr2bl w:val="nil"/>
            </w:tcBorders>
            <w:noWrap w:val="0"/>
            <w:vAlign w:val="center"/>
          </w:tcPr>
          <w:p w14:paraId="0FAF6D50">
            <w:r>
              <w:t>第二次</w:t>
            </w:r>
          </w:p>
        </w:tc>
        <w:tc>
          <w:tcPr>
            <w:tcW w:w="779" w:type="pct"/>
            <w:tcBorders>
              <w:tl2br w:val="nil"/>
              <w:tr2bl w:val="nil"/>
            </w:tcBorders>
            <w:noWrap w:val="0"/>
            <w:vAlign w:val="center"/>
          </w:tcPr>
          <w:p w14:paraId="023AE344">
            <w:r>
              <w:t>0.397</w:t>
            </w:r>
          </w:p>
        </w:tc>
        <w:tc>
          <w:tcPr>
            <w:tcW w:w="744" w:type="pct"/>
            <w:tcBorders>
              <w:tl2br w:val="nil"/>
              <w:tr2bl w:val="nil"/>
            </w:tcBorders>
            <w:noWrap w:val="0"/>
            <w:vAlign w:val="center"/>
          </w:tcPr>
          <w:p w14:paraId="4363DFCD">
            <w:r>
              <w:t>0.447</w:t>
            </w:r>
          </w:p>
        </w:tc>
        <w:tc>
          <w:tcPr>
            <w:tcW w:w="776" w:type="pct"/>
            <w:tcBorders>
              <w:tl2br w:val="nil"/>
              <w:tr2bl w:val="nil"/>
            </w:tcBorders>
            <w:noWrap w:val="0"/>
            <w:vAlign w:val="center"/>
          </w:tcPr>
          <w:p w14:paraId="0839F28C">
            <w:r>
              <w:t>0.378</w:t>
            </w:r>
          </w:p>
        </w:tc>
        <w:tc>
          <w:tcPr>
            <w:tcW w:w="767" w:type="pct"/>
            <w:tcBorders>
              <w:tl2br w:val="nil"/>
              <w:tr2bl w:val="nil"/>
            </w:tcBorders>
            <w:noWrap w:val="0"/>
            <w:vAlign w:val="center"/>
          </w:tcPr>
          <w:p w14:paraId="64B76C8A">
            <w:r>
              <w:t>0.375</w:t>
            </w:r>
          </w:p>
        </w:tc>
      </w:tr>
      <w:tr w14:paraId="3A4F069B">
        <w:tblPrEx>
          <w:tblBorders>
            <w:top w:val="thinThickSmallGap" w:color="000000" w:sz="12" w:space="0"/>
            <w:left w:val="none" w:color="auto" w:sz="0" w:space="0"/>
            <w:bottom w:val="thickThinSmallGap"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c>
          <w:tcPr>
            <w:tcW w:w="1330" w:type="pct"/>
            <w:vMerge w:val="continue"/>
            <w:tcBorders>
              <w:tl2br w:val="nil"/>
              <w:tr2bl w:val="nil"/>
            </w:tcBorders>
            <w:noWrap w:val="0"/>
            <w:vAlign w:val="center"/>
          </w:tcPr>
          <w:p w14:paraId="4DE40B40"/>
        </w:tc>
        <w:tc>
          <w:tcPr>
            <w:tcW w:w="601" w:type="pct"/>
            <w:tcBorders>
              <w:tl2br w:val="nil"/>
              <w:tr2bl w:val="nil"/>
            </w:tcBorders>
            <w:noWrap w:val="0"/>
            <w:vAlign w:val="center"/>
          </w:tcPr>
          <w:p w14:paraId="48A94EBE">
            <w:r>
              <w:t>第三次</w:t>
            </w:r>
          </w:p>
        </w:tc>
        <w:tc>
          <w:tcPr>
            <w:tcW w:w="779" w:type="pct"/>
            <w:tcBorders>
              <w:tl2br w:val="nil"/>
              <w:tr2bl w:val="nil"/>
            </w:tcBorders>
            <w:noWrap w:val="0"/>
            <w:vAlign w:val="center"/>
          </w:tcPr>
          <w:p w14:paraId="28F354C8">
            <w:r>
              <w:t>0.395</w:t>
            </w:r>
          </w:p>
        </w:tc>
        <w:tc>
          <w:tcPr>
            <w:tcW w:w="744" w:type="pct"/>
            <w:tcBorders>
              <w:tl2br w:val="nil"/>
              <w:tr2bl w:val="nil"/>
            </w:tcBorders>
            <w:noWrap w:val="0"/>
            <w:vAlign w:val="center"/>
          </w:tcPr>
          <w:p w14:paraId="1C7DCCC9">
            <w:r>
              <w:t>0.477</w:t>
            </w:r>
          </w:p>
        </w:tc>
        <w:tc>
          <w:tcPr>
            <w:tcW w:w="776" w:type="pct"/>
            <w:tcBorders>
              <w:tl2br w:val="nil"/>
              <w:tr2bl w:val="nil"/>
            </w:tcBorders>
            <w:noWrap w:val="0"/>
            <w:vAlign w:val="center"/>
          </w:tcPr>
          <w:p w14:paraId="7B56AFE1">
            <w:r>
              <w:t>0.418</w:t>
            </w:r>
          </w:p>
        </w:tc>
        <w:tc>
          <w:tcPr>
            <w:tcW w:w="767" w:type="pct"/>
            <w:tcBorders>
              <w:tl2br w:val="nil"/>
              <w:tr2bl w:val="nil"/>
            </w:tcBorders>
            <w:noWrap w:val="0"/>
            <w:vAlign w:val="center"/>
          </w:tcPr>
          <w:p w14:paraId="74C672CF">
            <w:r>
              <w:t>0.342</w:t>
            </w:r>
          </w:p>
        </w:tc>
      </w:tr>
      <w:tr w14:paraId="513154AB">
        <w:tblPrEx>
          <w:tblBorders>
            <w:top w:val="thinThickSmallGap" w:color="000000" w:sz="12" w:space="0"/>
            <w:left w:val="none" w:color="auto" w:sz="0" w:space="0"/>
            <w:bottom w:val="thickThinSmallGap"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c>
          <w:tcPr>
            <w:tcW w:w="1330" w:type="pct"/>
            <w:vMerge w:val="continue"/>
            <w:tcBorders>
              <w:tl2br w:val="nil"/>
              <w:tr2bl w:val="nil"/>
            </w:tcBorders>
            <w:noWrap w:val="0"/>
            <w:vAlign w:val="center"/>
          </w:tcPr>
          <w:p w14:paraId="470A5F73"/>
        </w:tc>
        <w:tc>
          <w:tcPr>
            <w:tcW w:w="601" w:type="pct"/>
            <w:tcBorders>
              <w:tl2br w:val="nil"/>
              <w:tr2bl w:val="nil"/>
            </w:tcBorders>
            <w:noWrap w:val="0"/>
            <w:vAlign w:val="center"/>
          </w:tcPr>
          <w:p w14:paraId="68564251">
            <w:r>
              <w:t>平均值</w:t>
            </w:r>
          </w:p>
        </w:tc>
        <w:tc>
          <w:tcPr>
            <w:tcW w:w="779" w:type="pct"/>
            <w:tcBorders>
              <w:tl2br w:val="nil"/>
              <w:tr2bl w:val="nil"/>
            </w:tcBorders>
            <w:noWrap w:val="0"/>
            <w:vAlign w:val="center"/>
          </w:tcPr>
          <w:p w14:paraId="73499BB7">
            <w:r>
              <w:t>0.405</w:t>
            </w:r>
          </w:p>
        </w:tc>
        <w:tc>
          <w:tcPr>
            <w:tcW w:w="744" w:type="pct"/>
            <w:tcBorders>
              <w:tl2br w:val="nil"/>
              <w:tr2bl w:val="nil"/>
            </w:tcBorders>
            <w:noWrap w:val="0"/>
            <w:vAlign w:val="center"/>
          </w:tcPr>
          <w:p w14:paraId="4496C767">
            <w:r>
              <w:t>0.487</w:t>
            </w:r>
          </w:p>
        </w:tc>
        <w:tc>
          <w:tcPr>
            <w:tcW w:w="776" w:type="pct"/>
            <w:tcBorders>
              <w:tl2br w:val="nil"/>
              <w:tr2bl w:val="nil"/>
            </w:tcBorders>
            <w:noWrap w:val="0"/>
            <w:vAlign w:val="center"/>
          </w:tcPr>
          <w:p w14:paraId="744B90CF">
            <w:r>
              <w:t>0.398</w:t>
            </w:r>
          </w:p>
        </w:tc>
        <w:tc>
          <w:tcPr>
            <w:tcW w:w="767" w:type="pct"/>
            <w:tcBorders>
              <w:tl2br w:val="nil"/>
              <w:tr2bl w:val="nil"/>
            </w:tcBorders>
            <w:noWrap w:val="0"/>
            <w:vAlign w:val="center"/>
          </w:tcPr>
          <w:p w14:paraId="46195F10">
            <w:r>
              <w:t>0.356</w:t>
            </w:r>
          </w:p>
        </w:tc>
      </w:tr>
    </w:tbl>
    <w:p w14:paraId="061BD65C">
      <w:pPr>
        <w:ind w:firstLine="480" w:firstLineChars="200"/>
        <w:jc w:val="center"/>
        <w:rPr>
          <w:rFonts w:ascii="Times New Roman" w:hAnsi="Times New Roman" w:eastAsia="黑体" w:cs="Times New Roman"/>
        </w:rPr>
      </w:pPr>
      <w:r>
        <w:rPr>
          <w:rFonts w:ascii="Times New Roman" w:hAnsi="Times New Roman" w:eastAsia="黑体" w:cs="Times New Roman"/>
        </w:rPr>
        <w:t>表2.</w:t>
      </w:r>
      <w:r>
        <w:rPr>
          <w:rFonts w:hint="eastAsia" w:ascii="Times New Roman" w:hAnsi="Times New Roman" w:eastAsia="黑体" w:cs="Times New Roman"/>
          <w:lang w:val="en-US" w:eastAsia="zh-CN"/>
        </w:rPr>
        <w:t>9</w:t>
      </w:r>
      <w:r>
        <w:rPr>
          <w:rFonts w:ascii="Times New Roman" w:hAnsi="Times New Roman" w:eastAsia="黑体" w:cs="Times New Roman"/>
        </w:rPr>
        <w:t>-</w:t>
      </w:r>
      <w:r>
        <w:rPr>
          <w:rFonts w:hint="eastAsia" w:ascii="Times New Roman" w:hAnsi="Times New Roman" w:eastAsia="黑体" w:cs="Times New Roman"/>
          <w:lang w:val="en-US" w:eastAsia="zh-CN"/>
        </w:rPr>
        <w:t xml:space="preserve">5 </w:t>
      </w:r>
      <w:r>
        <w:t>烧结车间四周总悬浮颗粒物检测结果 单位：mg/m</w:t>
      </w:r>
      <w:r>
        <w:rPr>
          <w:vertAlign w:val="superscript"/>
        </w:rPr>
        <w:t>3</w:t>
      </w:r>
    </w:p>
    <w:tbl>
      <w:tblPr>
        <w:tblStyle w:val="56"/>
        <w:tblW w:w="5000" w:type="pct"/>
        <w:tblInd w:w="108" w:type="dxa"/>
        <w:tblBorders>
          <w:top w:val="thinThickSmallGap" w:color="000000" w:sz="12" w:space="0"/>
          <w:left w:val="none" w:color="auto" w:sz="0" w:space="0"/>
          <w:bottom w:val="thickThinSmallGap" w:color="000000" w:sz="12" w:space="0"/>
          <w:right w:val="none" w:color="auto" w:sz="0" w:space="0"/>
          <w:insideH w:val="single" w:color="000000" w:sz="4" w:space="0"/>
          <w:insideV w:val="single" w:color="000000" w:sz="4" w:space="0"/>
        </w:tblBorders>
        <w:tblLayout w:type="autofit"/>
        <w:tblCellMar>
          <w:top w:w="0" w:type="dxa"/>
          <w:left w:w="108" w:type="dxa"/>
          <w:bottom w:w="0" w:type="dxa"/>
          <w:right w:w="108" w:type="dxa"/>
        </w:tblCellMar>
      </w:tblPr>
      <w:tblGrid>
        <w:gridCol w:w="2556"/>
        <w:gridCol w:w="1472"/>
        <w:gridCol w:w="1354"/>
        <w:gridCol w:w="1113"/>
        <w:gridCol w:w="1113"/>
        <w:gridCol w:w="1113"/>
      </w:tblGrid>
      <w:tr w14:paraId="08A85374">
        <w:tblPrEx>
          <w:tblBorders>
            <w:top w:val="thinThickSmallGap" w:color="000000" w:sz="12" w:space="0"/>
            <w:left w:val="none" w:color="auto" w:sz="0" w:space="0"/>
            <w:bottom w:val="thickThinSmallGap"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865" w:hRule="atLeast"/>
        </w:trPr>
        <w:tc>
          <w:tcPr>
            <w:tcW w:w="2309" w:type="pct"/>
            <w:gridSpan w:val="2"/>
            <w:tcBorders>
              <w:tl2br w:val="nil"/>
              <w:tr2bl w:val="nil"/>
            </w:tcBorders>
            <w:noWrap w:val="0"/>
            <w:vAlign w:val="center"/>
            <mc:AlternateContent>
              <mc:Choice Requires="wpsCustomData">
                <wpsCustomData:diagonals>
                  <wpsCustomData:diagonal from="10000" to="30000">
                    <wpsCustomData:border w:val="single" w:color="000000" w:sz="4" w:space="0"/>
                  </wpsCustomData:diagonal>
                </wpsCustomData:diagonals>
              </mc:Choice>
            </mc:AlternateContent>
          </w:tcPr>
          <w:p w14:paraId="362DAD55">
            <w:pPr>
              <w:snapToGrid w:val="0"/>
              <w:jc w:val="center"/>
            </w:pPr>
          </w:p>
          <w:p w14:paraId="523C7C31">
            <w:pPr>
              <w:snapToGrid w:val="0"/>
              <w:jc w:val="left"/>
              <mc:AlternateContent>
                <mc:Choice Requires="wpsCustomData">
                  <wpsCustomData:diagonalParaType/>
                </mc:Choice>
              </mc:AlternateContent>
            </w:pPr>
            <w:r>
              <w:t>检测时间</w:t>
            </w:r>
          </w:p>
          <w:p w14:paraId="24F27C0D">
            <w:pPr>
              <w:snapToGrid w:val="0"/>
              <w:jc w:val="right"/>
            </w:pPr>
            <w:r>
              <w:t>检测点位</w:t>
            </w:r>
          </w:p>
        </w:tc>
        <w:tc>
          <w:tcPr>
            <w:tcW w:w="776" w:type="pct"/>
            <w:tcBorders>
              <w:tl2br w:val="nil"/>
              <w:tr2bl w:val="nil"/>
            </w:tcBorders>
            <w:noWrap w:val="0"/>
            <w:vAlign w:val="center"/>
          </w:tcPr>
          <w:p w14:paraId="7037F9F9">
            <w:pPr>
              <w:jc w:val="center"/>
            </w:pPr>
            <w:r>
              <w:t>东</w:t>
            </w:r>
          </w:p>
        </w:tc>
        <w:tc>
          <w:tcPr>
            <w:tcW w:w="0" w:type="auto"/>
            <w:tcBorders>
              <w:tl2br w:val="nil"/>
              <w:tr2bl w:val="nil"/>
            </w:tcBorders>
            <w:noWrap w:val="0"/>
            <w:vAlign w:val="center"/>
          </w:tcPr>
          <w:p w14:paraId="4D8ADEE8">
            <w:pPr>
              <w:jc w:val="center"/>
            </w:pPr>
            <w:r>
              <w:t>南</w:t>
            </w:r>
          </w:p>
        </w:tc>
        <w:tc>
          <w:tcPr>
            <w:tcW w:w="0" w:type="auto"/>
            <w:tcBorders>
              <w:tl2br w:val="nil"/>
              <w:tr2bl w:val="nil"/>
            </w:tcBorders>
            <w:noWrap w:val="0"/>
            <w:vAlign w:val="center"/>
          </w:tcPr>
          <w:p w14:paraId="72505F64">
            <w:pPr>
              <w:jc w:val="center"/>
            </w:pPr>
            <w:r>
              <w:t>西</w:t>
            </w:r>
          </w:p>
        </w:tc>
        <w:tc>
          <w:tcPr>
            <w:tcW w:w="0" w:type="auto"/>
            <w:tcBorders>
              <w:tl2br w:val="nil"/>
              <w:tr2bl w:val="nil"/>
            </w:tcBorders>
            <w:noWrap w:val="0"/>
            <w:vAlign w:val="center"/>
          </w:tcPr>
          <w:p w14:paraId="000DEB40">
            <w:pPr>
              <w:jc w:val="center"/>
            </w:pPr>
            <w:r>
              <w:t>北</w:t>
            </w:r>
          </w:p>
        </w:tc>
      </w:tr>
      <w:tr w14:paraId="737D2306">
        <w:tblPrEx>
          <w:tblBorders>
            <w:top w:val="thinThickSmallGap" w:color="000000" w:sz="12" w:space="0"/>
            <w:left w:val="none" w:color="auto" w:sz="0" w:space="0"/>
            <w:bottom w:val="thickThinSmallGap"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c>
          <w:tcPr>
            <w:tcW w:w="1465" w:type="pct"/>
            <w:vMerge w:val="restart"/>
            <w:tcBorders>
              <w:tl2br w:val="nil"/>
              <w:tr2bl w:val="nil"/>
            </w:tcBorders>
            <w:noWrap w:val="0"/>
            <w:vAlign w:val="center"/>
          </w:tcPr>
          <w:p w14:paraId="1CBE46F0">
            <w:r>
              <w:t>2025年11月16日</w:t>
            </w:r>
          </w:p>
        </w:tc>
        <w:tc>
          <w:tcPr>
            <w:tcW w:w="843" w:type="pct"/>
            <w:tcBorders>
              <w:tl2br w:val="nil"/>
              <w:tr2bl w:val="nil"/>
            </w:tcBorders>
            <w:noWrap w:val="0"/>
            <w:vAlign w:val="center"/>
          </w:tcPr>
          <w:p w14:paraId="53826D08">
            <w:r>
              <w:t>第一次</w:t>
            </w:r>
          </w:p>
        </w:tc>
        <w:tc>
          <w:tcPr>
            <w:tcW w:w="776" w:type="pct"/>
            <w:tcBorders>
              <w:tl2br w:val="nil"/>
              <w:tr2bl w:val="nil"/>
            </w:tcBorders>
            <w:noWrap w:val="0"/>
            <w:vAlign w:val="center"/>
          </w:tcPr>
          <w:p w14:paraId="6E8CCDA5">
            <w:r>
              <w:t>0.385</w:t>
            </w:r>
          </w:p>
        </w:tc>
        <w:tc>
          <w:tcPr>
            <w:tcW w:w="0" w:type="auto"/>
            <w:tcBorders>
              <w:tl2br w:val="nil"/>
              <w:tr2bl w:val="nil"/>
            </w:tcBorders>
            <w:noWrap w:val="0"/>
            <w:vAlign w:val="center"/>
          </w:tcPr>
          <w:p w14:paraId="7BD7167C">
            <w:r>
              <w:t>0.509</w:t>
            </w:r>
          </w:p>
        </w:tc>
        <w:tc>
          <w:tcPr>
            <w:tcW w:w="0" w:type="auto"/>
            <w:tcBorders>
              <w:tl2br w:val="nil"/>
              <w:tr2bl w:val="nil"/>
            </w:tcBorders>
            <w:noWrap w:val="0"/>
            <w:vAlign w:val="center"/>
          </w:tcPr>
          <w:p w14:paraId="25D1ADA1">
            <w:r>
              <w:t>0.365</w:t>
            </w:r>
          </w:p>
        </w:tc>
        <w:tc>
          <w:tcPr>
            <w:tcW w:w="0" w:type="auto"/>
            <w:tcBorders>
              <w:tl2br w:val="nil"/>
              <w:tr2bl w:val="nil"/>
            </w:tcBorders>
            <w:noWrap w:val="0"/>
            <w:vAlign w:val="center"/>
          </w:tcPr>
          <w:p w14:paraId="4664A1F1">
            <w:r>
              <w:t>0.402</w:t>
            </w:r>
          </w:p>
        </w:tc>
      </w:tr>
      <w:tr w14:paraId="432DC71C">
        <w:tblPrEx>
          <w:tblBorders>
            <w:top w:val="thinThickSmallGap" w:color="000000" w:sz="12" w:space="0"/>
            <w:left w:val="none" w:color="auto" w:sz="0" w:space="0"/>
            <w:bottom w:val="thickThinSmallGap"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c>
          <w:tcPr>
            <w:tcW w:w="1465" w:type="pct"/>
            <w:vMerge w:val="continue"/>
            <w:tcBorders>
              <w:tl2br w:val="nil"/>
              <w:tr2bl w:val="nil"/>
            </w:tcBorders>
            <w:noWrap w:val="0"/>
            <w:vAlign w:val="center"/>
          </w:tcPr>
          <w:p w14:paraId="5F0A9160"/>
        </w:tc>
        <w:tc>
          <w:tcPr>
            <w:tcW w:w="843" w:type="pct"/>
            <w:tcBorders>
              <w:tl2br w:val="nil"/>
              <w:tr2bl w:val="nil"/>
            </w:tcBorders>
            <w:noWrap w:val="0"/>
            <w:vAlign w:val="center"/>
          </w:tcPr>
          <w:p w14:paraId="07D59BC1">
            <w:r>
              <w:t>第二次</w:t>
            </w:r>
          </w:p>
        </w:tc>
        <w:tc>
          <w:tcPr>
            <w:tcW w:w="776" w:type="pct"/>
            <w:tcBorders>
              <w:tl2br w:val="nil"/>
              <w:tr2bl w:val="nil"/>
            </w:tcBorders>
            <w:noWrap w:val="0"/>
            <w:vAlign w:val="center"/>
          </w:tcPr>
          <w:p w14:paraId="23B4609F">
            <w:r>
              <w:t>0.457</w:t>
            </w:r>
          </w:p>
        </w:tc>
        <w:tc>
          <w:tcPr>
            <w:tcW w:w="0" w:type="auto"/>
            <w:tcBorders>
              <w:tl2br w:val="nil"/>
              <w:tr2bl w:val="nil"/>
            </w:tcBorders>
            <w:noWrap w:val="0"/>
            <w:vAlign w:val="center"/>
          </w:tcPr>
          <w:p w14:paraId="162F99AE">
            <w:r>
              <w:t>0.535</w:t>
            </w:r>
          </w:p>
        </w:tc>
        <w:tc>
          <w:tcPr>
            <w:tcW w:w="0" w:type="auto"/>
            <w:tcBorders>
              <w:tl2br w:val="nil"/>
              <w:tr2bl w:val="nil"/>
            </w:tcBorders>
            <w:noWrap w:val="0"/>
            <w:vAlign w:val="center"/>
          </w:tcPr>
          <w:p w14:paraId="27CFD6CB">
            <w:r>
              <w:t>0.412</w:t>
            </w:r>
          </w:p>
        </w:tc>
        <w:tc>
          <w:tcPr>
            <w:tcW w:w="0" w:type="auto"/>
            <w:tcBorders>
              <w:tl2br w:val="nil"/>
              <w:tr2bl w:val="nil"/>
            </w:tcBorders>
            <w:noWrap w:val="0"/>
            <w:vAlign w:val="center"/>
          </w:tcPr>
          <w:p w14:paraId="6BEBF140">
            <w:r>
              <w:t>0.343</w:t>
            </w:r>
          </w:p>
        </w:tc>
      </w:tr>
      <w:tr w14:paraId="7562F999">
        <w:tblPrEx>
          <w:tblBorders>
            <w:top w:val="thinThickSmallGap" w:color="000000" w:sz="12" w:space="0"/>
            <w:left w:val="none" w:color="auto" w:sz="0" w:space="0"/>
            <w:bottom w:val="thickThinSmallGap"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c>
          <w:tcPr>
            <w:tcW w:w="1465" w:type="pct"/>
            <w:vMerge w:val="continue"/>
            <w:tcBorders>
              <w:tl2br w:val="nil"/>
              <w:tr2bl w:val="nil"/>
            </w:tcBorders>
            <w:noWrap w:val="0"/>
            <w:vAlign w:val="center"/>
          </w:tcPr>
          <w:p w14:paraId="61BB4E1A"/>
        </w:tc>
        <w:tc>
          <w:tcPr>
            <w:tcW w:w="843" w:type="pct"/>
            <w:tcBorders>
              <w:tl2br w:val="nil"/>
              <w:tr2bl w:val="nil"/>
            </w:tcBorders>
            <w:noWrap w:val="0"/>
            <w:vAlign w:val="center"/>
          </w:tcPr>
          <w:p w14:paraId="27B4F7DB">
            <w:r>
              <w:t>第三次</w:t>
            </w:r>
          </w:p>
        </w:tc>
        <w:tc>
          <w:tcPr>
            <w:tcW w:w="776" w:type="pct"/>
            <w:tcBorders>
              <w:tl2br w:val="nil"/>
              <w:tr2bl w:val="nil"/>
            </w:tcBorders>
            <w:noWrap w:val="0"/>
            <w:vAlign w:val="center"/>
          </w:tcPr>
          <w:p w14:paraId="480D8678">
            <w:r>
              <w:t>0.340</w:t>
            </w:r>
          </w:p>
        </w:tc>
        <w:tc>
          <w:tcPr>
            <w:tcW w:w="0" w:type="auto"/>
            <w:tcBorders>
              <w:tl2br w:val="nil"/>
              <w:tr2bl w:val="nil"/>
            </w:tcBorders>
            <w:noWrap w:val="0"/>
            <w:vAlign w:val="center"/>
          </w:tcPr>
          <w:p w14:paraId="10182A42">
            <w:r>
              <w:t>0.475</w:t>
            </w:r>
          </w:p>
        </w:tc>
        <w:tc>
          <w:tcPr>
            <w:tcW w:w="0" w:type="auto"/>
            <w:tcBorders>
              <w:tl2br w:val="nil"/>
              <w:tr2bl w:val="nil"/>
            </w:tcBorders>
            <w:noWrap w:val="0"/>
            <w:vAlign w:val="center"/>
          </w:tcPr>
          <w:p w14:paraId="624DDB46">
            <w:r>
              <w:t>0.422</w:t>
            </w:r>
          </w:p>
        </w:tc>
        <w:tc>
          <w:tcPr>
            <w:tcW w:w="0" w:type="auto"/>
            <w:tcBorders>
              <w:tl2br w:val="nil"/>
              <w:tr2bl w:val="nil"/>
            </w:tcBorders>
            <w:noWrap w:val="0"/>
            <w:vAlign w:val="center"/>
          </w:tcPr>
          <w:p w14:paraId="3199AEC3">
            <w:r>
              <w:t>0.379</w:t>
            </w:r>
          </w:p>
        </w:tc>
      </w:tr>
      <w:tr w14:paraId="09097C52">
        <w:tblPrEx>
          <w:tblBorders>
            <w:top w:val="thinThickSmallGap" w:color="000000" w:sz="12" w:space="0"/>
            <w:left w:val="none" w:color="auto" w:sz="0" w:space="0"/>
            <w:bottom w:val="thickThinSmallGap"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c>
          <w:tcPr>
            <w:tcW w:w="1465" w:type="pct"/>
            <w:vMerge w:val="continue"/>
            <w:tcBorders>
              <w:tl2br w:val="nil"/>
              <w:tr2bl w:val="nil"/>
            </w:tcBorders>
            <w:noWrap w:val="0"/>
            <w:vAlign w:val="center"/>
          </w:tcPr>
          <w:p w14:paraId="249D3ED8"/>
        </w:tc>
        <w:tc>
          <w:tcPr>
            <w:tcW w:w="843" w:type="pct"/>
            <w:tcBorders>
              <w:tl2br w:val="nil"/>
              <w:tr2bl w:val="nil"/>
            </w:tcBorders>
            <w:noWrap w:val="0"/>
            <w:vAlign w:val="center"/>
          </w:tcPr>
          <w:p w14:paraId="385D5296">
            <w:r>
              <w:t>平均值</w:t>
            </w:r>
          </w:p>
        </w:tc>
        <w:tc>
          <w:tcPr>
            <w:tcW w:w="776" w:type="pct"/>
            <w:tcBorders>
              <w:tl2br w:val="nil"/>
              <w:tr2bl w:val="nil"/>
            </w:tcBorders>
            <w:noWrap w:val="0"/>
            <w:vAlign w:val="center"/>
          </w:tcPr>
          <w:p w14:paraId="125078CF">
            <w:r>
              <w:t>0.394</w:t>
            </w:r>
          </w:p>
        </w:tc>
        <w:tc>
          <w:tcPr>
            <w:tcW w:w="0" w:type="auto"/>
            <w:tcBorders>
              <w:tl2br w:val="nil"/>
              <w:tr2bl w:val="nil"/>
            </w:tcBorders>
            <w:noWrap w:val="0"/>
            <w:vAlign w:val="center"/>
          </w:tcPr>
          <w:p w14:paraId="72292A21">
            <w:r>
              <w:t>0.506</w:t>
            </w:r>
          </w:p>
        </w:tc>
        <w:tc>
          <w:tcPr>
            <w:tcW w:w="0" w:type="auto"/>
            <w:tcBorders>
              <w:tl2br w:val="nil"/>
              <w:tr2bl w:val="nil"/>
            </w:tcBorders>
            <w:noWrap w:val="0"/>
            <w:vAlign w:val="center"/>
          </w:tcPr>
          <w:p w14:paraId="5CC6B8CB">
            <w:r>
              <w:t>0.400</w:t>
            </w:r>
          </w:p>
        </w:tc>
        <w:tc>
          <w:tcPr>
            <w:tcW w:w="0" w:type="auto"/>
            <w:tcBorders>
              <w:tl2br w:val="nil"/>
              <w:tr2bl w:val="nil"/>
            </w:tcBorders>
            <w:noWrap w:val="0"/>
            <w:vAlign w:val="center"/>
          </w:tcPr>
          <w:p w14:paraId="4688B6B4">
            <w:r>
              <w:t>0.375</w:t>
            </w:r>
          </w:p>
        </w:tc>
      </w:tr>
    </w:tbl>
    <w:p w14:paraId="0E260F66">
      <w:pPr>
        <w:spacing w:line="320" w:lineRule="exact"/>
        <w:rPr>
          <w:rFonts w:hint="eastAsia" w:ascii="Times New Roman" w:hAnsi="Times New Roman" w:cs="Times New Roman"/>
          <w:b/>
          <w:sz w:val="21"/>
          <w:szCs w:val="21"/>
        </w:rPr>
      </w:pPr>
      <w:r>
        <w:rPr>
          <w:rFonts w:hint="eastAsia" w:ascii="Times New Roman" w:hAnsi="Times New Roman" w:cs="Times New Roman"/>
          <w:b/>
          <w:sz w:val="21"/>
          <w:szCs w:val="21"/>
        </w:rPr>
        <w:t>注：</w:t>
      </w:r>
      <w:r>
        <w:rPr>
          <w:rFonts w:ascii="Times New Roman" w:hAnsi="Times New Roman" w:cs="Times New Roman"/>
          <w:b/>
          <w:sz w:val="21"/>
          <w:szCs w:val="21"/>
        </w:rPr>
        <w:t>现行排放标准</w:t>
      </w:r>
      <w:r>
        <w:rPr>
          <w:rFonts w:hint="eastAsia" w:cs="Times New Roman"/>
          <w:b/>
          <w:sz w:val="21"/>
          <w:szCs w:val="21"/>
        </w:rPr>
        <w:t>①</w:t>
      </w:r>
      <w:r>
        <w:rPr>
          <w:rFonts w:hint="eastAsia" w:ascii="Times New Roman" w:hAnsi="Times New Roman" w:cs="Times New Roman"/>
          <w:b/>
          <w:sz w:val="21"/>
          <w:szCs w:val="21"/>
        </w:rPr>
        <w:t xml:space="preserve"> </w:t>
      </w:r>
      <w:r>
        <w:rPr>
          <w:rFonts w:ascii="Times New Roman" w:hAnsi="Times New Roman" w:cs="Times New Roman"/>
          <w:b/>
          <w:sz w:val="21"/>
          <w:szCs w:val="21"/>
        </w:rPr>
        <w:t>*</w:t>
      </w:r>
      <w:r>
        <w:rPr>
          <w:rFonts w:hint="eastAsia" w:ascii="Times New Roman" w:hAnsi="Times New Roman" w:cs="Times New Roman"/>
          <w:b/>
          <w:sz w:val="21"/>
          <w:szCs w:val="21"/>
        </w:rPr>
        <w:t>《大气污染物综合排放标准》（</w:t>
      </w:r>
      <w:r>
        <w:rPr>
          <w:rFonts w:ascii="Times New Roman" w:hAnsi="Times New Roman" w:cs="Times New Roman"/>
          <w:b/>
          <w:sz w:val="21"/>
          <w:szCs w:val="21"/>
        </w:rPr>
        <w:t>GB16297-1996）表2，</w:t>
      </w:r>
      <w:r>
        <w:rPr>
          <w:rFonts w:hint="eastAsia" w:cs="Times New Roman"/>
          <w:b/>
          <w:sz w:val="21"/>
          <w:szCs w:val="21"/>
        </w:rPr>
        <w:t>②</w:t>
      </w:r>
      <w:r>
        <w:rPr>
          <w:rFonts w:hint="eastAsia" w:ascii="Times New Roman" w:hAnsi="Times New Roman" w:cs="Times New Roman"/>
          <w:b/>
          <w:sz w:val="21"/>
          <w:szCs w:val="21"/>
        </w:rPr>
        <w:t xml:space="preserve"> </w:t>
      </w:r>
      <w:r>
        <w:rPr>
          <w:rFonts w:ascii="Times New Roman" w:hAnsi="Times New Roman" w:cs="Times New Roman"/>
          <w:b/>
          <w:sz w:val="21"/>
          <w:szCs w:val="21"/>
        </w:rPr>
        <w:t>**</w:t>
      </w:r>
      <w:r>
        <w:rPr>
          <w:rFonts w:hint="eastAsia" w:ascii="Times New Roman" w:hAnsi="Times New Roman" w:cs="Times New Roman"/>
          <w:b/>
          <w:sz w:val="21"/>
          <w:szCs w:val="21"/>
        </w:rPr>
        <w:t>《钢铁工业大气污染物排放标准》（DB21/ 4119—2025）表1</w:t>
      </w:r>
      <w:r>
        <w:rPr>
          <w:rFonts w:ascii="Times New Roman" w:hAnsi="Times New Roman" w:cs="Times New Roman"/>
          <w:b/>
          <w:sz w:val="21"/>
          <w:szCs w:val="21"/>
        </w:rPr>
        <w:t>排放限值。</w:t>
      </w:r>
    </w:p>
    <w:p w14:paraId="1592498A">
      <w:pPr>
        <w:ind w:firstLine="480" w:firstLineChars="200"/>
        <w:rPr>
          <w:rFonts w:hint="eastAsia"/>
        </w:rPr>
      </w:pPr>
      <w:r>
        <w:rPr>
          <w:rFonts w:hint="eastAsia"/>
        </w:rPr>
        <w:t>根据监测结果，现有工程无组织排放措施符合相关要求，厂界、炼钢车间、轧钢车间无组织排放颗粒物监测数据达标。</w:t>
      </w:r>
    </w:p>
    <w:p w14:paraId="680CA685">
      <w:pPr>
        <w:pStyle w:val="7"/>
      </w:pPr>
      <w:bookmarkStart w:id="228" w:name="_Toc90026238"/>
      <w:bookmarkStart w:id="229" w:name="_Toc29290"/>
      <w:r>
        <w:t>2.</w:t>
      </w:r>
      <w:r>
        <w:rPr>
          <w:rFonts w:hint="eastAsia"/>
          <w:lang w:val="en-US" w:eastAsia="zh-CN"/>
        </w:rPr>
        <w:t>9</w:t>
      </w:r>
      <w:r>
        <w:t>.</w:t>
      </w:r>
      <w:r>
        <w:rPr>
          <w:rFonts w:hint="eastAsia"/>
        </w:rPr>
        <w:t>2</w:t>
      </w:r>
      <w:r>
        <w:t xml:space="preserve"> </w:t>
      </w:r>
      <w:r>
        <w:rPr>
          <w:rFonts w:hint="eastAsia"/>
        </w:rPr>
        <w:t>废水</w:t>
      </w:r>
      <w:bookmarkEnd w:id="228"/>
      <w:bookmarkEnd w:id="229"/>
    </w:p>
    <w:p w14:paraId="71C0DBDB">
      <w:pPr>
        <w:pStyle w:val="310"/>
        <w:snapToGrid/>
        <w:spacing w:line="500" w:lineRule="exact"/>
        <w:jc w:val="both"/>
        <w:rPr>
          <w:lang w:eastAsia="zh-CN"/>
        </w:rPr>
      </w:pPr>
      <w:r>
        <w:rPr>
          <w:rFonts w:hint="eastAsia"/>
          <w:lang w:eastAsia="zh-CN"/>
        </w:rPr>
        <w:t>现有工程生产废水全部循环使用不外排，主要为</w:t>
      </w:r>
      <w:r>
        <w:rPr>
          <w:rFonts w:hint="eastAsia"/>
        </w:rPr>
        <w:t>间接冷却</w:t>
      </w:r>
      <w:r>
        <w:rPr>
          <w:rFonts w:hint="eastAsia"/>
          <w:lang w:eastAsia="zh-CN"/>
        </w:rPr>
        <w:t>净循环水，</w:t>
      </w:r>
      <w:r>
        <w:rPr>
          <w:rFonts w:hint="eastAsia"/>
        </w:rPr>
        <w:t>冷却</w:t>
      </w:r>
      <w:r>
        <w:rPr>
          <w:rFonts w:hint="eastAsia"/>
          <w:lang w:eastAsia="zh-CN"/>
        </w:rPr>
        <w:t>净循环水属于清净下水，</w:t>
      </w:r>
      <w:r>
        <w:rPr>
          <w:rFonts w:hint="eastAsia"/>
          <w:lang w:val="en-US" w:eastAsia="zh-CN"/>
        </w:rPr>
        <w:t>循环使用</w:t>
      </w:r>
      <w:r>
        <w:rPr>
          <w:rFonts w:hint="eastAsia"/>
          <w:lang w:eastAsia="zh-CN"/>
        </w:rPr>
        <w:t>，不外排。</w:t>
      </w:r>
    </w:p>
    <w:p w14:paraId="66037614">
      <w:pPr>
        <w:spacing w:line="500" w:lineRule="exact"/>
        <w:ind w:firstLine="480" w:firstLineChars="200"/>
        <w:jc w:val="both"/>
        <w:rPr>
          <w:rFonts w:ascii="Times New Roman" w:hAnsi="Times New Roman" w:cs="Times New Roman"/>
        </w:rPr>
      </w:pPr>
      <w:r>
        <w:rPr>
          <w:rFonts w:ascii="Times New Roman" w:hAnsi="Times New Roman" w:cs="Times New Roman"/>
        </w:rPr>
        <w:t>生活污水收集于厂内化粪池</w:t>
      </w:r>
      <w:r>
        <w:rPr>
          <w:rFonts w:hint="eastAsia" w:ascii="Times New Roman" w:hAnsi="Times New Roman" w:cs="Times New Roman"/>
        </w:rPr>
        <w:t>，</w:t>
      </w:r>
      <w:r>
        <w:rPr>
          <w:rFonts w:hint="eastAsia" w:ascii="Times New Roman" w:hAnsi="Times New Roman" w:cs="Times New Roman"/>
          <w:lang w:val="en-US" w:eastAsia="zh-CN"/>
        </w:rPr>
        <w:t>定期清掏</w:t>
      </w:r>
      <w:r>
        <w:rPr>
          <w:rFonts w:ascii="Times New Roman" w:hAnsi="Times New Roman" w:cs="Times New Roman"/>
        </w:rPr>
        <w:t>。</w:t>
      </w:r>
    </w:p>
    <w:p w14:paraId="24F49E87">
      <w:pPr>
        <w:pStyle w:val="7"/>
      </w:pPr>
      <w:bookmarkStart w:id="230" w:name="_Toc90026239"/>
      <w:bookmarkStart w:id="231" w:name="_Toc29706"/>
      <w:r>
        <w:t>2.</w:t>
      </w:r>
      <w:r>
        <w:rPr>
          <w:rFonts w:hint="eastAsia"/>
          <w:lang w:val="en-US" w:eastAsia="zh-CN"/>
        </w:rPr>
        <w:t>9</w:t>
      </w:r>
      <w:r>
        <w:t>.</w:t>
      </w:r>
      <w:r>
        <w:rPr>
          <w:rFonts w:hint="eastAsia"/>
        </w:rPr>
        <w:t>3</w:t>
      </w:r>
      <w:r>
        <w:t xml:space="preserve"> </w:t>
      </w:r>
      <w:r>
        <w:rPr>
          <w:rFonts w:hint="eastAsia"/>
        </w:rPr>
        <w:t>噪声</w:t>
      </w:r>
      <w:bookmarkEnd w:id="230"/>
      <w:bookmarkEnd w:id="231"/>
    </w:p>
    <w:p w14:paraId="5F6908A2">
      <w:pPr>
        <w:spacing w:line="500" w:lineRule="exact"/>
        <w:ind w:firstLine="480" w:firstLineChars="200"/>
        <w:jc w:val="both"/>
        <w:rPr>
          <w:rFonts w:hint="eastAsia" w:ascii="Times New Roman" w:hAnsi="Times New Roman" w:cs="Times New Roman"/>
        </w:rPr>
      </w:pPr>
      <w:r>
        <w:rPr>
          <w:rFonts w:hint="eastAsia" w:ascii="Times New Roman" w:hAnsi="Times New Roman" w:cs="Times New Roman"/>
        </w:rPr>
        <w:t>辽宁卓大环境检测有限公司于202</w:t>
      </w:r>
      <w:r>
        <w:rPr>
          <w:rFonts w:hint="eastAsia" w:ascii="Times New Roman" w:hAnsi="Times New Roman" w:cs="Times New Roman"/>
          <w:lang w:val="en-US" w:eastAsia="zh-CN"/>
        </w:rPr>
        <w:t>6</w:t>
      </w:r>
      <w:r>
        <w:rPr>
          <w:rFonts w:hint="eastAsia" w:ascii="Times New Roman" w:hAnsi="Times New Roman" w:cs="Times New Roman"/>
        </w:rPr>
        <w:t>年05月</w:t>
      </w:r>
      <w:r>
        <w:rPr>
          <w:rFonts w:hint="eastAsia" w:ascii="Times New Roman" w:hAnsi="Times New Roman" w:cs="Times New Roman"/>
          <w:lang w:val="en-US" w:eastAsia="zh-CN"/>
        </w:rPr>
        <w:t>02</w:t>
      </w:r>
      <w:r>
        <w:rPr>
          <w:rFonts w:hint="eastAsia" w:ascii="Times New Roman" w:hAnsi="Times New Roman" w:cs="Times New Roman"/>
        </w:rPr>
        <w:t>日对现有工程厂区噪声进行检测，结果见表</w:t>
      </w:r>
      <w:r>
        <w:rPr>
          <w:rFonts w:ascii="Times New Roman" w:hAnsi="Times New Roman" w:cs="Times New Roman"/>
        </w:rPr>
        <w:t>2.</w:t>
      </w:r>
      <w:r>
        <w:rPr>
          <w:rFonts w:hint="eastAsia" w:ascii="Times New Roman" w:hAnsi="Times New Roman" w:cs="Times New Roman"/>
          <w:lang w:val="en-US" w:eastAsia="zh-CN"/>
        </w:rPr>
        <w:t>9</w:t>
      </w:r>
      <w:r>
        <w:rPr>
          <w:rFonts w:ascii="Times New Roman" w:hAnsi="Times New Roman" w:cs="Times New Roman"/>
        </w:rPr>
        <w:t>-</w:t>
      </w:r>
      <w:r>
        <w:rPr>
          <w:rFonts w:hint="eastAsia" w:ascii="Times New Roman" w:hAnsi="Times New Roman" w:cs="Times New Roman"/>
          <w:lang w:val="en-US" w:eastAsia="zh-CN"/>
        </w:rPr>
        <w:t>6</w:t>
      </w:r>
      <w:r>
        <w:rPr>
          <w:rFonts w:hint="eastAsia" w:ascii="Times New Roman" w:hAnsi="Times New Roman" w:cs="Times New Roman"/>
        </w:rPr>
        <w:t>。</w:t>
      </w:r>
    </w:p>
    <w:p w14:paraId="54D7A510">
      <w:pPr>
        <w:adjustRightInd w:val="0"/>
        <w:jc w:val="center"/>
        <w:rPr>
          <w:rFonts w:eastAsia="黑体"/>
          <w:kern w:val="2"/>
        </w:rPr>
      </w:pPr>
      <w:r>
        <w:rPr>
          <w:rFonts w:ascii="Times New Roman" w:hAnsi="Times New Roman" w:eastAsia="黑体" w:cs="Times New Roman"/>
          <w:kern w:val="2"/>
        </w:rPr>
        <w:t>表2.</w:t>
      </w:r>
      <w:r>
        <w:rPr>
          <w:rFonts w:hint="eastAsia" w:ascii="Times New Roman" w:hAnsi="Times New Roman" w:eastAsia="黑体" w:cs="Times New Roman"/>
          <w:kern w:val="2"/>
          <w:lang w:val="en-US" w:eastAsia="zh-CN"/>
        </w:rPr>
        <w:t>9</w:t>
      </w:r>
      <w:r>
        <w:rPr>
          <w:rFonts w:ascii="Times New Roman" w:hAnsi="Times New Roman" w:eastAsia="黑体" w:cs="Times New Roman"/>
          <w:kern w:val="2"/>
        </w:rPr>
        <w:t>-</w:t>
      </w:r>
      <w:r>
        <w:rPr>
          <w:rFonts w:hint="eastAsia" w:ascii="Times New Roman" w:hAnsi="Times New Roman" w:eastAsia="黑体" w:cs="Times New Roman"/>
          <w:kern w:val="2"/>
          <w:lang w:val="en-US" w:eastAsia="zh-CN"/>
        </w:rPr>
        <w:t>6</w:t>
      </w:r>
      <w:r>
        <w:rPr>
          <w:rFonts w:ascii="Times New Roman" w:hAnsi="Times New Roman" w:eastAsia="黑体" w:cs="Times New Roman"/>
          <w:kern w:val="2"/>
        </w:rPr>
        <w:t xml:space="preserve">  现</w:t>
      </w:r>
      <w:r>
        <w:rPr>
          <w:rFonts w:eastAsia="黑体"/>
          <w:kern w:val="2"/>
        </w:rPr>
        <w:t>有工程</w:t>
      </w:r>
      <w:r>
        <w:rPr>
          <w:rFonts w:hint="eastAsia" w:eastAsia="黑体"/>
          <w:kern w:val="2"/>
        </w:rPr>
        <w:t>噪声检</w:t>
      </w:r>
      <w:r>
        <w:rPr>
          <w:rFonts w:eastAsia="黑体"/>
          <w:kern w:val="2"/>
        </w:rPr>
        <w:t>测结果一览表</w:t>
      </w:r>
    </w:p>
    <w:tbl>
      <w:tblPr>
        <w:tblStyle w:val="56"/>
        <w:tblW w:w="5000" w:type="pct"/>
        <w:jc w:val="center"/>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1637"/>
        <w:gridCol w:w="1591"/>
        <w:gridCol w:w="1701"/>
        <w:gridCol w:w="1277"/>
        <w:gridCol w:w="1277"/>
        <w:gridCol w:w="1238"/>
      </w:tblGrid>
      <w:tr w14:paraId="4C8812EF">
        <w:tblPrEx>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1" w:hRule="atLeast"/>
          <w:tblHeader/>
          <w:jc w:val="center"/>
        </w:trPr>
        <w:tc>
          <w:tcPr>
            <w:tcW w:w="939" w:type="pct"/>
            <w:vMerge w:val="restart"/>
            <w:shd w:val="clear" w:color="auto" w:fill="E0E0E0"/>
            <w:noWrap w:val="0"/>
            <w:vAlign w:val="center"/>
          </w:tcPr>
          <w:p w14:paraId="468F5326">
            <w:pPr>
              <w:jc w:val="center"/>
              <w:rPr>
                <w:rFonts w:hint="eastAsia" w:ascii="Times New Roman" w:hAnsi="Times New Roman" w:cs="Times New Roman"/>
                <w:sz w:val="21"/>
                <w:szCs w:val="21"/>
              </w:rPr>
            </w:pPr>
            <w:r>
              <w:rPr>
                <w:rFonts w:hint="eastAsia" w:ascii="Times New Roman" w:hAnsi="Times New Roman" w:cs="Times New Roman"/>
                <w:sz w:val="21"/>
                <w:szCs w:val="21"/>
              </w:rPr>
              <w:t>检测因子</w:t>
            </w:r>
          </w:p>
        </w:tc>
        <w:tc>
          <w:tcPr>
            <w:tcW w:w="912" w:type="pct"/>
            <w:vMerge w:val="restart"/>
            <w:shd w:val="clear" w:color="auto" w:fill="E0E0E0"/>
            <w:noWrap w:val="0"/>
            <w:vAlign w:val="center"/>
          </w:tcPr>
          <w:p w14:paraId="2FCA952C">
            <w:pPr>
              <w:jc w:val="center"/>
              <w:rPr>
                <w:rFonts w:ascii="Times New Roman" w:hAnsi="Times New Roman" w:cs="Times New Roman"/>
                <w:sz w:val="21"/>
                <w:szCs w:val="21"/>
              </w:rPr>
            </w:pPr>
            <w:r>
              <w:rPr>
                <w:rFonts w:hint="eastAsia" w:ascii="Times New Roman" w:hAnsi="Times New Roman" w:cs="Times New Roman"/>
                <w:sz w:val="21"/>
                <w:szCs w:val="21"/>
              </w:rPr>
              <w:t>检测日期</w:t>
            </w:r>
          </w:p>
        </w:tc>
        <w:tc>
          <w:tcPr>
            <w:tcW w:w="975" w:type="pct"/>
            <w:vMerge w:val="restart"/>
            <w:shd w:val="clear" w:color="auto" w:fill="E0E0E0"/>
            <w:noWrap w:val="0"/>
            <w:vAlign w:val="center"/>
          </w:tcPr>
          <w:p w14:paraId="6C64F445">
            <w:pPr>
              <w:jc w:val="center"/>
              <w:rPr>
                <w:rFonts w:hint="eastAsia" w:ascii="Times New Roman" w:hAnsi="Times New Roman" w:cs="Times New Roman"/>
                <w:sz w:val="21"/>
                <w:szCs w:val="21"/>
              </w:rPr>
            </w:pPr>
            <w:r>
              <w:rPr>
                <w:rFonts w:hint="eastAsia" w:ascii="Times New Roman" w:hAnsi="Times New Roman" w:cs="Times New Roman"/>
                <w:sz w:val="21"/>
                <w:szCs w:val="21"/>
              </w:rPr>
              <w:t>检测位置</w:t>
            </w:r>
          </w:p>
        </w:tc>
        <w:tc>
          <w:tcPr>
            <w:tcW w:w="1464" w:type="pct"/>
            <w:gridSpan w:val="2"/>
            <w:shd w:val="clear" w:color="auto" w:fill="E0E0E0"/>
            <w:noWrap w:val="0"/>
            <w:vAlign w:val="center"/>
          </w:tcPr>
          <w:p w14:paraId="42079A6E">
            <w:pPr>
              <w:jc w:val="center"/>
              <w:rPr>
                <w:rFonts w:hint="eastAsia" w:ascii="Times New Roman" w:hAnsi="Times New Roman" w:cs="Times New Roman"/>
                <w:sz w:val="21"/>
                <w:szCs w:val="21"/>
              </w:rPr>
            </w:pPr>
            <w:r>
              <w:rPr>
                <w:rFonts w:hint="eastAsia" w:ascii="Times New Roman" w:hAnsi="Times New Roman" w:cs="Times New Roman"/>
                <w:sz w:val="21"/>
                <w:szCs w:val="21"/>
              </w:rPr>
              <w:t>检测结果（L</w:t>
            </w:r>
            <w:r>
              <w:rPr>
                <w:rFonts w:ascii="Times New Roman" w:hAnsi="Times New Roman" w:cs="Times New Roman"/>
                <w:sz w:val="21"/>
                <w:szCs w:val="21"/>
              </w:rPr>
              <w:t>eq</w:t>
            </w:r>
            <w:r>
              <w:rPr>
                <w:rFonts w:hint="eastAsia" w:ascii="Times New Roman" w:hAnsi="Times New Roman" w:cs="Times New Roman"/>
                <w:sz w:val="21"/>
                <w:szCs w:val="21"/>
              </w:rPr>
              <w:t>值，d</w:t>
            </w:r>
            <w:r>
              <w:rPr>
                <w:rFonts w:ascii="Times New Roman" w:hAnsi="Times New Roman" w:cs="Times New Roman"/>
                <w:sz w:val="21"/>
                <w:szCs w:val="21"/>
              </w:rPr>
              <w:t>B(A)</w:t>
            </w:r>
            <w:r>
              <w:rPr>
                <w:rFonts w:hint="eastAsia" w:ascii="Times New Roman" w:hAnsi="Times New Roman" w:cs="Times New Roman"/>
                <w:sz w:val="21"/>
                <w:szCs w:val="21"/>
              </w:rPr>
              <w:t>）</w:t>
            </w:r>
          </w:p>
        </w:tc>
        <w:tc>
          <w:tcPr>
            <w:tcW w:w="710" w:type="pct"/>
            <w:vMerge w:val="restart"/>
            <w:shd w:val="clear" w:color="auto" w:fill="E0E0E0"/>
            <w:noWrap w:val="0"/>
            <w:vAlign w:val="center"/>
          </w:tcPr>
          <w:p w14:paraId="0F13DA24">
            <w:pPr>
              <w:jc w:val="center"/>
              <w:rPr>
                <w:rFonts w:hint="eastAsia" w:ascii="Times New Roman" w:hAnsi="Times New Roman" w:cs="Times New Roman"/>
                <w:sz w:val="21"/>
                <w:szCs w:val="21"/>
              </w:rPr>
            </w:pPr>
            <w:r>
              <w:rPr>
                <w:rFonts w:hint="eastAsia" w:ascii="Times New Roman" w:hAnsi="Times New Roman" w:cs="Times New Roman"/>
                <w:sz w:val="21"/>
                <w:szCs w:val="21"/>
              </w:rPr>
              <w:t>达标情况</w:t>
            </w:r>
          </w:p>
        </w:tc>
      </w:tr>
      <w:tr w14:paraId="768346BF">
        <w:tblPrEx>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1" w:hRule="atLeast"/>
          <w:tblHeader/>
          <w:jc w:val="center"/>
        </w:trPr>
        <w:tc>
          <w:tcPr>
            <w:tcW w:w="939" w:type="pct"/>
            <w:vMerge w:val="continue"/>
            <w:shd w:val="clear" w:color="auto" w:fill="E0E0E0"/>
            <w:noWrap w:val="0"/>
            <w:vAlign w:val="center"/>
          </w:tcPr>
          <w:p w14:paraId="18A32E43">
            <w:pPr>
              <w:jc w:val="center"/>
              <w:rPr>
                <w:rFonts w:hint="eastAsia" w:ascii="Times New Roman" w:hAnsi="Times New Roman" w:cs="Times New Roman"/>
                <w:sz w:val="21"/>
                <w:szCs w:val="21"/>
              </w:rPr>
            </w:pPr>
          </w:p>
        </w:tc>
        <w:tc>
          <w:tcPr>
            <w:tcW w:w="912" w:type="pct"/>
            <w:vMerge w:val="continue"/>
            <w:shd w:val="clear" w:color="auto" w:fill="E0E0E0"/>
            <w:noWrap w:val="0"/>
            <w:vAlign w:val="center"/>
          </w:tcPr>
          <w:p w14:paraId="46094485">
            <w:pPr>
              <w:jc w:val="center"/>
              <w:rPr>
                <w:rFonts w:hint="eastAsia" w:ascii="Times New Roman" w:hAnsi="Times New Roman" w:cs="Times New Roman"/>
                <w:sz w:val="21"/>
                <w:szCs w:val="21"/>
              </w:rPr>
            </w:pPr>
          </w:p>
        </w:tc>
        <w:tc>
          <w:tcPr>
            <w:tcW w:w="975" w:type="pct"/>
            <w:vMerge w:val="continue"/>
            <w:shd w:val="clear" w:color="auto" w:fill="E0E0E0"/>
            <w:noWrap w:val="0"/>
            <w:vAlign w:val="center"/>
          </w:tcPr>
          <w:p w14:paraId="3F15FFA3">
            <w:pPr>
              <w:jc w:val="center"/>
              <w:rPr>
                <w:rFonts w:hint="eastAsia" w:ascii="Times New Roman" w:hAnsi="Times New Roman" w:cs="Times New Roman"/>
                <w:sz w:val="21"/>
                <w:szCs w:val="21"/>
              </w:rPr>
            </w:pPr>
          </w:p>
        </w:tc>
        <w:tc>
          <w:tcPr>
            <w:tcW w:w="732" w:type="pct"/>
            <w:shd w:val="clear" w:color="auto" w:fill="E0E0E0"/>
            <w:noWrap w:val="0"/>
            <w:vAlign w:val="center"/>
          </w:tcPr>
          <w:p w14:paraId="24E09EF9">
            <w:pPr>
              <w:jc w:val="center"/>
              <w:rPr>
                <w:rFonts w:hint="eastAsia" w:ascii="Times New Roman" w:hAnsi="Times New Roman" w:cs="Times New Roman"/>
                <w:sz w:val="21"/>
                <w:szCs w:val="21"/>
              </w:rPr>
            </w:pPr>
            <w:r>
              <w:rPr>
                <w:rFonts w:hint="eastAsia" w:ascii="Times New Roman" w:hAnsi="Times New Roman" w:cs="Times New Roman"/>
                <w:sz w:val="21"/>
                <w:szCs w:val="21"/>
              </w:rPr>
              <w:t>昼间</w:t>
            </w:r>
          </w:p>
        </w:tc>
        <w:tc>
          <w:tcPr>
            <w:tcW w:w="732" w:type="pct"/>
            <w:shd w:val="clear" w:color="auto" w:fill="E0E0E0"/>
            <w:noWrap w:val="0"/>
            <w:vAlign w:val="center"/>
          </w:tcPr>
          <w:p w14:paraId="77554C74">
            <w:pPr>
              <w:jc w:val="center"/>
              <w:rPr>
                <w:rFonts w:hint="eastAsia" w:ascii="Times New Roman" w:hAnsi="Times New Roman" w:cs="Times New Roman"/>
                <w:sz w:val="21"/>
                <w:szCs w:val="21"/>
              </w:rPr>
            </w:pPr>
            <w:r>
              <w:rPr>
                <w:rFonts w:hint="eastAsia" w:ascii="Times New Roman" w:hAnsi="Times New Roman" w:cs="Times New Roman"/>
                <w:sz w:val="21"/>
                <w:szCs w:val="21"/>
              </w:rPr>
              <w:t>夜间</w:t>
            </w:r>
          </w:p>
        </w:tc>
        <w:tc>
          <w:tcPr>
            <w:tcW w:w="710" w:type="pct"/>
            <w:vMerge w:val="continue"/>
            <w:shd w:val="clear" w:color="auto" w:fill="E0E0E0"/>
            <w:noWrap w:val="0"/>
            <w:vAlign w:val="center"/>
          </w:tcPr>
          <w:p w14:paraId="6C2587B0">
            <w:pPr>
              <w:jc w:val="center"/>
              <w:rPr>
                <w:rFonts w:hint="eastAsia" w:ascii="Times New Roman" w:hAnsi="Times New Roman" w:cs="Times New Roman"/>
                <w:sz w:val="21"/>
                <w:szCs w:val="21"/>
              </w:rPr>
            </w:pPr>
          </w:p>
        </w:tc>
      </w:tr>
      <w:tr w14:paraId="0F045D76">
        <w:tblPrEx>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72" w:hRule="atLeast"/>
          <w:jc w:val="center"/>
        </w:trPr>
        <w:tc>
          <w:tcPr>
            <w:tcW w:w="939" w:type="pct"/>
            <w:vMerge w:val="restart"/>
            <w:noWrap w:val="0"/>
            <w:vAlign w:val="center"/>
          </w:tcPr>
          <w:p w14:paraId="0B4AE91B">
            <w:pPr>
              <w:jc w:val="center"/>
              <w:rPr>
                <w:rFonts w:ascii="Times New Roman" w:hAnsi="Times New Roman" w:cs="Times New Roman"/>
                <w:sz w:val="21"/>
                <w:szCs w:val="21"/>
              </w:rPr>
            </w:pPr>
            <w:r>
              <w:rPr>
                <w:rFonts w:hint="eastAsia" w:ascii="Times New Roman" w:hAnsi="Times New Roman" w:cs="Times New Roman"/>
                <w:sz w:val="21"/>
                <w:szCs w:val="21"/>
              </w:rPr>
              <w:t>厂界噪声</w:t>
            </w:r>
          </w:p>
        </w:tc>
        <w:tc>
          <w:tcPr>
            <w:tcW w:w="912" w:type="pct"/>
            <w:vMerge w:val="restart"/>
            <w:noWrap w:val="0"/>
            <w:vAlign w:val="center"/>
          </w:tcPr>
          <w:p w14:paraId="2FCFDD96">
            <w:pPr>
              <w:jc w:val="center"/>
              <w:rPr>
                <w:rFonts w:ascii="Times New Roman" w:hAnsi="Times New Roman" w:cs="Times New Roman"/>
                <w:sz w:val="21"/>
                <w:szCs w:val="21"/>
              </w:rPr>
            </w:pPr>
            <w:r>
              <w:rPr>
                <w:rFonts w:hint="eastAsia" w:ascii="Times New Roman" w:hAnsi="Times New Roman" w:cs="Times New Roman"/>
                <w:sz w:val="21"/>
                <w:szCs w:val="21"/>
              </w:rPr>
              <w:t>2026.05.02</w:t>
            </w:r>
          </w:p>
        </w:tc>
        <w:tc>
          <w:tcPr>
            <w:tcW w:w="975" w:type="pct"/>
            <w:noWrap w:val="0"/>
            <w:vAlign w:val="center"/>
          </w:tcPr>
          <w:p w14:paraId="0D426EC8">
            <w:pPr>
              <w:jc w:val="center"/>
              <w:rPr>
                <w:rFonts w:hint="eastAsia" w:ascii="Times New Roman" w:hAnsi="Times New Roman" w:cs="Times New Roman"/>
                <w:sz w:val="21"/>
                <w:szCs w:val="21"/>
              </w:rPr>
            </w:pPr>
            <w:r>
              <w:rPr>
                <w:rFonts w:hint="eastAsia" w:ascii="Times New Roman" w:hAnsi="Times New Roman" w:cs="Times New Roman"/>
                <w:sz w:val="21"/>
                <w:szCs w:val="21"/>
              </w:rPr>
              <w:t>东厂界外1m处</w:t>
            </w:r>
          </w:p>
        </w:tc>
        <w:tc>
          <w:tcPr>
            <w:tcW w:w="1277" w:type="dxa"/>
            <w:noWrap w:val="0"/>
            <w:vAlign w:val="center"/>
          </w:tcPr>
          <w:p w14:paraId="18B3BA6E">
            <w:pPr>
              <w:keepNext w:val="0"/>
              <w:keepLines w:val="0"/>
              <w:widowControl/>
              <w:suppressLineNumbers w:val="0"/>
              <w:jc w:val="center"/>
              <w:textAlignment w:val="center"/>
              <w:rPr>
                <w:rFonts w:hint="eastAsia" w:ascii="Times New Roman" w:hAnsi="Times New Roman" w:cs="Times New Roman"/>
                <w:sz w:val="21"/>
                <w:szCs w:val="21"/>
              </w:rPr>
            </w:pPr>
            <w:r>
              <w:rPr>
                <w:rFonts w:hint="default" w:ascii="Times New Roman" w:hAnsi="Times New Roman" w:eastAsia="微软雅黑" w:cs="Times New Roman"/>
                <w:i w:val="0"/>
                <w:iCs w:val="0"/>
                <w:color w:val="000000"/>
                <w:kern w:val="0"/>
                <w:sz w:val="21"/>
                <w:szCs w:val="21"/>
                <w:u w:val="none"/>
                <w:lang w:val="en-US" w:eastAsia="zh-CN" w:bidi="ar"/>
              </w:rPr>
              <w:t>56</w:t>
            </w:r>
          </w:p>
        </w:tc>
        <w:tc>
          <w:tcPr>
            <w:tcW w:w="1277" w:type="dxa"/>
            <w:noWrap w:val="0"/>
            <w:vAlign w:val="center"/>
          </w:tcPr>
          <w:p w14:paraId="5A8FD9A3">
            <w:pPr>
              <w:keepNext w:val="0"/>
              <w:keepLines w:val="0"/>
              <w:widowControl/>
              <w:suppressLineNumbers w:val="0"/>
              <w:jc w:val="center"/>
              <w:textAlignment w:val="center"/>
              <w:rPr>
                <w:rFonts w:hint="eastAsia" w:ascii="Times New Roman" w:hAnsi="Times New Roman" w:cs="Times New Roman"/>
                <w:sz w:val="21"/>
                <w:szCs w:val="21"/>
              </w:rPr>
            </w:pPr>
            <w:r>
              <w:rPr>
                <w:rFonts w:hint="default" w:ascii="Times New Roman" w:hAnsi="Times New Roman" w:eastAsia="微软雅黑" w:cs="Times New Roman"/>
                <w:i w:val="0"/>
                <w:iCs w:val="0"/>
                <w:color w:val="000000"/>
                <w:kern w:val="0"/>
                <w:sz w:val="21"/>
                <w:szCs w:val="21"/>
                <w:u w:val="none"/>
                <w:lang w:val="en-US" w:eastAsia="zh-CN" w:bidi="ar"/>
              </w:rPr>
              <w:t>45</w:t>
            </w:r>
          </w:p>
        </w:tc>
        <w:tc>
          <w:tcPr>
            <w:tcW w:w="710" w:type="pct"/>
            <w:noWrap w:val="0"/>
            <w:vAlign w:val="center"/>
          </w:tcPr>
          <w:p w14:paraId="681EEF0D">
            <w:pPr>
              <w:jc w:val="center"/>
              <w:rPr>
                <w:rFonts w:hint="eastAsia" w:ascii="Times New Roman" w:hAnsi="Times New Roman" w:cs="Times New Roman"/>
                <w:sz w:val="21"/>
                <w:szCs w:val="21"/>
              </w:rPr>
            </w:pPr>
            <w:r>
              <w:rPr>
                <w:rFonts w:hint="eastAsia" w:ascii="Times New Roman" w:hAnsi="Times New Roman" w:cs="Times New Roman"/>
                <w:sz w:val="21"/>
                <w:szCs w:val="21"/>
              </w:rPr>
              <w:t>达标</w:t>
            </w:r>
          </w:p>
        </w:tc>
      </w:tr>
      <w:tr w14:paraId="4FF46480">
        <w:tblPrEx>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72" w:hRule="atLeast"/>
          <w:jc w:val="center"/>
        </w:trPr>
        <w:tc>
          <w:tcPr>
            <w:tcW w:w="939" w:type="pct"/>
            <w:vMerge w:val="continue"/>
            <w:noWrap w:val="0"/>
            <w:vAlign w:val="center"/>
          </w:tcPr>
          <w:p w14:paraId="3E5A389A">
            <w:pPr>
              <w:jc w:val="center"/>
              <w:rPr>
                <w:rFonts w:ascii="Times New Roman" w:hAnsi="Times New Roman" w:cs="Times New Roman"/>
                <w:sz w:val="21"/>
                <w:szCs w:val="21"/>
              </w:rPr>
            </w:pPr>
          </w:p>
        </w:tc>
        <w:tc>
          <w:tcPr>
            <w:tcW w:w="912" w:type="pct"/>
            <w:vMerge w:val="continue"/>
            <w:noWrap w:val="0"/>
            <w:vAlign w:val="center"/>
          </w:tcPr>
          <w:p w14:paraId="2143F4A9">
            <w:pPr>
              <w:jc w:val="center"/>
              <w:rPr>
                <w:rFonts w:ascii="Times New Roman" w:hAnsi="Times New Roman" w:cs="Times New Roman"/>
                <w:sz w:val="21"/>
                <w:szCs w:val="21"/>
              </w:rPr>
            </w:pPr>
          </w:p>
        </w:tc>
        <w:tc>
          <w:tcPr>
            <w:tcW w:w="975" w:type="pct"/>
            <w:noWrap w:val="0"/>
            <w:vAlign w:val="center"/>
          </w:tcPr>
          <w:p w14:paraId="4A43F3F8">
            <w:pPr>
              <w:jc w:val="center"/>
              <w:rPr>
                <w:rFonts w:hint="eastAsia" w:ascii="Times New Roman" w:hAnsi="Times New Roman" w:cs="Times New Roman"/>
                <w:sz w:val="21"/>
                <w:szCs w:val="21"/>
              </w:rPr>
            </w:pPr>
            <w:r>
              <w:rPr>
                <w:rFonts w:hint="eastAsia" w:ascii="Times New Roman" w:hAnsi="Times New Roman" w:cs="Times New Roman"/>
                <w:sz w:val="21"/>
                <w:szCs w:val="21"/>
              </w:rPr>
              <w:t>南厂界外1m处</w:t>
            </w:r>
          </w:p>
        </w:tc>
        <w:tc>
          <w:tcPr>
            <w:tcW w:w="1277" w:type="dxa"/>
            <w:noWrap w:val="0"/>
            <w:vAlign w:val="center"/>
          </w:tcPr>
          <w:p w14:paraId="1CBBB687">
            <w:pPr>
              <w:keepNext w:val="0"/>
              <w:keepLines w:val="0"/>
              <w:widowControl/>
              <w:suppressLineNumbers w:val="0"/>
              <w:jc w:val="center"/>
              <w:textAlignment w:val="center"/>
              <w:rPr>
                <w:rFonts w:hint="eastAsia" w:ascii="Times New Roman" w:hAnsi="Times New Roman" w:cs="Times New Roman"/>
                <w:sz w:val="21"/>
                <w:szCs w:val="21"/>
              </w:rPr>
            </w:pPr>
            <w:r>
              <w:rPr>
                <w:rFonts w:hint="default" w:ascii="Times New Roman" w:hAnsi="Times New Roman" w:eastAsia="微软雅黑" w:cs="Times New Roman"/>
                <w:i w:val="0"/>
                <w:iCs w:val="0"/>
                <w:color w:val="000000"/>
                <w:kern w:val="0"/>
                <w:sz w:val="21"/>
                <w:szCs w:val="21"/>
                <w:u w:val="none"/>
                <w:lang w:val="en-US" w:eastAsia="zh-CN" w:bidi="ar"/>
              </w:rPr>
              <w:t>62</w:t>
            </w:r>
          </w:p>
        </w:tc>
        <w:tc>
          <w:tcPr>
            <w:tcW w:w="1277" w:type="dxa"/>
            <w:noWrap w:val="0"/>
            <w:vAlign w:val="center"/>
          </w:tcPr>
          <w:p w14:paraId="6734DA65">
            <w:pPr>
              <w:keepNext w:val="0"/>
              <w:keepLines w:val="0"/>
              <w:widowControl/>
              <w:suppressLineNumbers w:val="0"/>
              <w:jc w:val="center"/>
              <w:textAlignment w:val="center"/>
              <w:rPr>
                <w:rFonts w:hint="eastAsia" w:ascii="Times New Roman" w:hAnsi="Times New Roman" w:cs="Times New Roman"/>
                <w:sz w:val="21"/>
                <w:szCs w:val="21"/>
              </w:rPr>
            </w:pPr>
            <w:r>
              <w:rPr>
                <w:rFonts w:hint="default" w:ascii="Times New Roman" w:hAnsi="Times New Roman" w:eastAsia="微软雅黑" w:cs="Times New Roman"/>
                <w:i w:val="0"/>
                <w:iCs w:val="0"/>
                <w:color w:val="000000"/>
                <w:kern w:val="0"/>
                <w:sz w:val="21"/>
                <w:szCs w:val="21"/>
                <w:u w:val="none"/>
                <w:lang w:val="en-US" w:eastAsia="zh-CN" w:bidi="ar"/>
              </w:rPr>
              <w:t>48</w:t>
            </w:r>
          </w:p>
        </w:tc>
        <w:tc>
          <w:tcPr>
            <w:tcW w:w="710" w:type="pct"/>
            <w:noWrap w:val="0"/>
            <w:vAlign w:val="center"/>
          </w:tcPr>
          <w:p w14:paraId="7D984613">
            <w:pPr>
              <w:jc w:val="center"/>
              <w:rPr>
                <w:rFonts w:hint="eastAsia" w:ascii="Times New Roman" w:hAnsi="Times New Roman" w:cs="Times New Roman"/>
                <w:sz w:val="21"/>
                <w:szCs w:val="21"/>
              </w:rPr>
            </w:pPr>
            <w:r>
              <w:rPr>
                <w:rFonts w:hint="eastAsia" w:ascii="Times New Roman" w:hAnsi="Times New Roman" w:cs="Times New Roman"/>
                <w:sz w:val="21"/>
                <w:szCs w:val="21"/>
              </w:rPr>
              <w:t>达标</w:t>
            </w:r>
          </w:p>
        </w:tc>
      </w:tr>
      <w:tr w14:paraId="050B0B40">
        <w:tblPrEx>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72" w:hRule="atLeast"/>
          <w:jc w:val="center"/>
        </w:trPr>
        <w:tc>
          <w:tcPr>
            <w:tcW w:w="939" w:type="pct"/>
            <w:vMerge w:val="continue"/>
            <w:noWrap w:val="0"/>
            <w:vAlign w:val="center"/>
          </w:tcPr>
          <w:p w14:paraId="4290298A">
            <w:pPr>
              <w:jc w:val="center"/>
              <w:rPr>
                <w:rFonts w:ascii="Times New Roman" w:hAnsi="Times New Roman" w:cs="Times New Roman"/>
                <w:sz w:val="21"/>
                <w:szCs w:val="21"/>
              </w:rPr>
            </w:pPr>
          </w:p>
        </w:tc>
        <w:tc>
          <w:tcPr>
            <w:tcW w:w="912" w:type="pct"/>
            <w:vMerge w:val="continue"/>
            <w:noWrap w:val="0"/>
            <w:vAlign w:val="center"/>
          </w:tcPr>
          <w:p w14:paraId="1141510A">
            <w:pPr>
              <w:jc w:val="center"/>
              <w:rPr>
                <w:rFonts w:ascii="Times New Roman" w:hAnsi="Times New Roman" w:cs="Times New Roman"/>
                <w:sz w:val="21"/>
                <w:szCs w:val="21"/>
              </w:rPr>
            </w:pPr>
          </w:p>
        </w:tc>
        <w:tc>
          <w:tcPr>
            <w:tcW w:w="975" w:type="pct"/>
            <w:noWrap w:val="0"/>
            <w:vAlign w:val="center"/>
          </w:tcPr>
          <w:p w14:paraId="1B4C41E8">
            <w:pPr>
              <w:jc w:val="center"/>
              <w:rPr>
                <w:rFonts w:hint="eastAsia" w:ascii="Times New Roman" w:hAnsi="Times New Roman" w:cs="Times New Roman"/>
                <w:sz w:val="21"/>
                <w:szCs w:val="21"/>
              </w:rPr>
            </w:pPr>
            <w:r>
              <w:rPr>
                <w:rFonts w:hint="eastAsia" w:ascii="Times New Roman" w:hAnsi="Times New Roman" w:cs="Times New Roman"/>
                <w:sz w:val="21"/>
                <w:szCs w:val="21"/>
              </w:rPr>
              <w:t>西厂界外1m处</w:t>
            </w:r>
          </w:p>
        </w:tc>
        <w:tc>
          <w:tcPr>
            <w:tcW w:w="1277" w:type="dxa"/>
            <w:noWrap w:val="0"/>
            <w:vAlign w:val="center"/>
          </w:tcPr>
          <w:p w14:paraId="59971E43">
            <w:pPr>
              <w:keepNext w:val="0"/>
              <w:keepLines w:val="0"/>
              <w:widowControl/>
              <w:suppressLineNumbers w:val="0"/>
              <w:jc w:val="center"/>
              <w:textAlignment w:val="center"/>
              <w:rPr>
                <w:rFonts w:hint="eastAsia" w:ascii="Times New Roman" w:hAnsi="Times New Roman" w:cs="Times New Roman"/>
                <w:sz w:val="21"/>
                <w:szCs w:val="21"/>
              </w:rPr>
            </w:pPr>
            <w:r>
              <w:rPr>
                <w:rFonts w:hint="default" w:ascii="Times New Roman" w:hAnsi="Times New Roman" w:eastAsia="微软雅黑" w:cs="Times New Roman"/>
                <w:i w:val="0"/>
                <w:iCs w:val="0"/>
                <w:color w:val="000000"/>
                <w:kern w:val="0"/>
                <w:sz w:val="21"/>
                <w:szCs w:val="21"/>
                <w:u w:val="none"/>
                <w:lang w:val="en-US" w:eastAsia="zh-CN" w:bidi="ar"/>
              </w:rPr>
              <w:t>57</w:t>
            </w:r>
          </w:p>
        </w:tc>
        <w:tc>
          <w:tcPr>
            <w:tcW w:w="1277" w:type="dxa"/>
            <w:noWrap w:val="0"/>
            <w:vAlign w:val="center"/>
          </w:tcPr>
          <w:p w14:paraId="590E3097">
            <w:pPr>
              <w:keepNext w:val="0"/>
              <w:keepLines w:val="0"/>
              <w:widowControl/>
              <w:suppressLineNumbers w:val="0"/>
              <w:jc w:val="center"/>
              <w:textAlignment w:val="center"/>
              <w:rPr>
                <w:rFonts w:hint="eastAsia" w:ascii="Times New Roman" w:hAnsi="Times New Roman" w:cs="Times New Roman"/>
                <w:sz w:val="21"/>
                <w:szCs w:val="21"/>
              </w:rPr>
            </w:pPr>
            <w:r>
              <w:rPr>
                <w:rFonts w:hint="default" w:ascii="Times New Roman" w:hAnsi="Times New Roman" w:eastAsia="微软雅黑" w:cs="Times New Roman"/>
                <w:i w:val="0"/>
                <w:iCs w:val="0"/>
                <w:color w:val="000000"/>
                <w:kern w:val="0"/>
                <w:sz w:val="21"/>
                <w:szCs w:val="21"/>
                <w:u w:val="none"/>
                <w:lang w:val="en-US" w:eastAsia="zh-CN" w:bidi="ar"/>
              </w:rPr>
              <w:t>46</w:t>
            </w:r>
          </w:p>
        </w:tc>
        <w:tc>
          <w:tcPr>
            <w:tcW w:w="710" w:type="pct"/>
            <w:noWrap w:val="0"/>
            <w:vAlign w:val="center"/>
          </w:tcPr>
          <w:p w14:paraId="0AB83CDD">
            <w:pPr>
              <w:jc w:val="center"/>
              <w:rPr>
                <w:rFonts w:hint="eastAsia" w:ascii="Times New Roman" w:hAnsi="Times New Roman" w:cs="Times New Roman"/>
                <w:sz w:val="21"/>
                <w:szCs w:val="21"/>
              </w:rPr>
            </w:pPr>
            <w:r>
              <w:rPr>
                <w:rFonts w:hint="eastAsia" w:ascii="Times New Roman" w:hAnsi="Times New Roman" w:cs="Times New Roman"/>
                <w:sz w:val="21"/>
                <w:szCs w:val="21"/>
              </w:rPr>
              <w:t>达标</w:t>
            </w:r>
          </w:p>
        </w:tc>
      </w:tr>
      <w:tr w14:paraId="6B56004C">
        <w:tblPrEx>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72" w:hRule="atLeast"/>
          <w:jc w:val="center"/>
        </w:trPr>
        <w:tc>
          <w:tcPr>
            <w:tcW w:w="939" w:type="pct"/>
            <w:vMerge w:val="continue"/>
            <w:noWrap w:val="0"/>
            <w:vAlign w:val="center"/>
          </w:tcPr>
          <w:p w14:paraId="126AF099">
            <w:pPr>
              <w:jc w:val="center"/>
              <w:rPr>
                <w:rFonts w:ascii="Times New Roman" w:hAnsi="Times New Roman" w:cs="Times New Roman"/>
                <w:sz w:val="21"/>
                <w:szCs w:val="21"/>
              </w:rPr>
            </w:pPr>
          </w:p>
        </w:tc>
        <w:tc>
          <w:tcPr>
            <w:tcW w:w="912" w:type="pct"/>
            <w:vMerge w:val="continue"/>
            <w:noWrap w:val="0"/>
            <w:vAlign w:val="center"/>
          </w:tcPr>
          <w:p w14:paraId="5310A495">
            <w:pPr>
              <w:jc w:val="center"/>
              <w:rPr>
                <w:rFonts w:ascii="Times New Roman" w:hAnsi="Times New Roman" w:cs="Times New Roman"/>
                <w:sz w:val="21"/>
                <w:szCs w:val="21"/>
              </w:rPr>
            </w:pPr>
          </w:p>
        </w:tc>
        <w:tc>
          <w:tcPr>
            <w:tcW w:w="975" w:type="pct"/>
            <w:noWrap w:val="0"/>
            <w:vAlign w:val="center"/>
          </w:tcPr>
          <w:p w14:paraId="2CF10495">
            <w:pPr>
              <w:jc w:val="center"/>
              <w:rPr>
                <w:rFonts w:hint="eastAsia" w:ascii="Times New Roman" w:hAnsi="Times New Roman" w:cs="Times New Roman"/>
                <w:sz w:val="21"/>
                <w:szCs w:val="21"/>
              </w:rPr>
            </w:pPr>
            <w:r>
              <w:rPr>
                <w:rFonts w:hint="eastAsia" w:ascii="Times New Roman" w:hAnsi="Times New Roman" w:cs="Times New Roman"/>
                <w:sz w:val="21"/>
                <w:szCs w:val="21"/>
              </w:rPr>
              <w:t>北厂界外1m处</w:t>
            </w:r>
          </w:p>
        </w:tc>
        <w:tc>
          <w:tcPr>
            <w:tcW w:w="1277" w:type="dxa"/>
            <w:noWrap w:val="0"/>
            <w:vAlign w:val="center"/>
          </w:tcPr>
          <w:p w14:paraId="7002C92F">
            <w:pPr>
              <w:keepNext w:val="0"/>
              <w:keepLines w:val="0"/>
              <w:widowControl/>
              <w:suppressLineNumbers w:val="0"/>
              <w:jc w:val="center"/>
              <w:textAlignment w:val="center"/>
              <w:rPr>
                <w:rFonts w:hint="eastAsia" w:ascii="Times New Roman" w:hAnsi="Times New Roman" w:cs="Times New Roman"/>
                <w:sz w:val="21"/>
                <w:szCs w:val="21"/>
              </w:rPr>
            </w:pPr>
            <w:r>
              <w:rPr>
                <w:rFonts w:hint="default" w:ascii="Times New Roman" w:hAnsi="Times New Roman" w:eastAsia="微软雅黑" w:cs="Times New Roman"/>
                <w:i w:val="0"/>
                <w:iCs w:val="0"/>
                <w:color w:val="000000"/>
                <w:kern w:val="0"/>
                <w:sz w:val="21"/>
                <w:szCs w:val="21"/>
                <w:u w:val="none"/>
                <w:lang w:val="en-US" w:eastAsia="zh-CN" w:bidi="ar"/>
              </w:rPr>
              <w:t>55</w:t>
            </w:r>
          </w:p>
        </w:tc>
        <w:tc>
          <w:tcPr>
            <w:tcW w:w="1277" w:type="dxa"/>
            <w:noWrap w:val="0"/>
            <w:vAlign w:val="center"/>
          </w:tcPr>
          <w:p w14:paraId="46E440D4">
            <w:pPr>
              <w:keepNext w:val="0"/>
              <w:keepLines w:val="0"/>
              <w:widowControl/>
              <w:suppressLineNumbers w:val="0"/>
              <w:jc w:val="center"/>
              <w:textAlignment w:val="center"/>
              <w:rPr>
                <w:rFonts w:hint="eastAsia" w:ascii="Times New Roman" w:hAnsi="Times New Roman" w:cs="Times New Roman"/>
                <w:sz w:val="21"/>
                <w:szCs w:val="21"/>
              </w:rPr>
            </w:pPr>
            <w:r>
              <w:rPr>
                <w:rFonts w:hint="default" w:ascii="Times New Roman" w:hAnsi="Times New Roman" w:eastAsia="微软雅黑" w:cs="Times New Roman"/>
                <w:i w:val="0"/>
                <w:iCs w:val="0"/>
                <w:color w:val="000000"/>
                <w:kern w:val="0"/>
                <w:sz w:val="21"/>
                <w:szCs w:val="21"/>
                <w:u w:val="none"/>
                <w:lang w:val="en-US" w:eastAsia="zh-CN" w:bidi="ar"/>
              </w:rPr>
              <w:t>44</w:t>
            </w:r>
          </w:p>
        </w:tc>
        <w:tc>
          <w:tcPr>
            <w:tcW w:w="710" w:type="pct"/>
            <w:noWrap w:val="0"/>
            <w:vAlign w:val="center"/>
          </w:tcPr>
          <w:p w14:paraId="401826B1">
            <w:pPr>
              <w:jc w:val="center"/>
              <w:rPr>
                <w:rFonts w:hint="eastAsia" w:ascii="Times New Roman" w:hAnsi="Times New Roman" w:cs="Times New Roman"/>
                <w:sz w:val="21"/>
                <w:szCs w:val="21"/>
              </w:rPr>
            </w:pPr>
            <w:r>
              <w:rPr>
                <w:rFonts w:hint="eastAsia" w:ascii="Times New Roman" w:hAnsi="Times New Roman" w:cs="Times New Roman"/>
                <w:sz w:val="21"/>
                <w:szCs w:val="21"/>
              </w:rPr>
              <w:t>达标</w:t>
            </w:r>
          </w:p>
        </w:tc>
      </w:tr>
    </w:tbl>
    <w:p w14:paraId="4047C18A">
      <w:pPr>
        <w:ind w:firstLine="480" w:firstLineChars="200"/>
        <w:rPr>
          <w:rFonts w:hint="eastAsia"/>
        </w:rPr>
      </w:pPr>
      <w:r>
        <w:rPr>
          <w:rFonts w:hint="eastAsia"/>
        </w:rPr>
        <w:t>根据监测结果，现有工程厂界噪声满足标准要求。</w:t>
      </w:r>
    </w:p>
    <w:p w14:paraId="079C5995">
      <w:pPr>
        <w:pStyle w:val="7"/>
      </w:pPr>
      <w:bookmarkStart w:id="232" w:name="_Toc90026240"/>
      <w:bookmarkStart w:id="233" w:name="_Toc22912"/>
      <w:r>
        <w:t>2.</w:t>
      </w:r>
      <w:r>
        <w:rPr>
          <w:rFonts w:hint="eastAsia"/>
          <w:lang w:val="en-US" w:eastAsia="zh-CN"/>
        </w:rPr>
        <w:t>9</w:t>
      </w:r>
      <w:r>
        <w:t>.</w:t>
      </w:r>
      <w:r>
        <w:rPr>
          <w:rFonts w:hint="eastAsia"/>
        </w:rPr>
        <w:t>4</w:t>
      </w:r>
      <w:r>
        <w:t xml:space="preserve"> </w:t>
      </w:r>
      <w:r>
        <w:rPr>
          <w:rFonts w:hint="eastAsia"/>
        </w:rPr>
        <w:t>固体废物</w:t>
      </w:r>
      <w:bookmarkEnd w:id="232"/>
      <w:bookmarkEnd w:id="233"/>
    </w:p>
    <w:p w14:paraId="6BA34A76">
      <w:pPr>
        <w:ind w:firstLine="480" w:firstLineChars="200"/>
        <w:jc w:val="both"/>
        <w:rPr>
          <w:rFonts w:hint="eastAsia" w:ascii="Times New Roman" w:hAnsi="Times New Roman" w:cs="Times New Roman"/>
        </w:rPr>
      </w:pPr>
      <w:r>
        <w:rPr>
          <w:rFonts w:ascii="Times New Roman" w:hAnsi="Times New Roman" w:cs="Times New Roman"/>
        </w:rPr>
        <w:t>根据已批复的环评文件并结合企业202</w:t>
      </w:r>
      <w:r>
        <w:rPr>
          <w:rFonts w:hint="eastAsia" w:ascii="Times New Roman" w:hAnsi="Times New Roman" w:cs="Times New Roman"/>
          <w:lang w:val="en-US" w:eastAsia="zh-CN"/>
        </w:rPr>
        <w:t>5</w:t>
      </w:r>
      <w:r>
        <w:rPr>
          <w:rFonts w:ascii="Times New Roman" w:hAnsi="Times New Roman" w:cs="Times New Roman"/>
        </w:rPr>
        <w:t>年实际统计数据，现有工程固体废物产生及排放情况如表2.</w:t>
      </w:r>
      <w:r>
        <w:rPr>
          <w:rFonts w:hint="eastAsia" w:ascii="Times New Roman" w:hAnsi="Times New Roman" w:cs="Times New Roman"/>
          <w:lang w:val="en-US" w:eastAsia="zh-CN"/>
        </w:rPr>
        <w:t>9</w:t>
      </w:r>
      <w:r>
        <w:rPr>
          <w:rFonts w:ascii="Times New Roman" w:hAnsi="Times New Roman" w:cs="Times New Roman"/>
        </w:rPr>
        <w:t>-</w:t>
      </w:r>
      <w:r>
        <w:rPr>
          <w:rFonts w:hint="eastAsia" w:ascii="Times New Roman" w:hAnsi="Times New Roman" w:cs="Times New Roman"/>
          <w:lang w:val="en-US" w:eastAsia="zh-CN"/>
        </w:rPr>
        <w:t>7</w:t>
      </w:r>
      <w:r>
        <w:rPr>
          <w:rFonts w:ascii="Times New Roman" w:hAnsi="Times New Roman" w:cs="Times New Roman"/>
        </w:rPr>
        <w:t>所示。</w:t>
      </w:r>
    </w:p>
    <w:p w14:paraId="08B08290">
      <w:pPr>
        <w:jc w:val="center"/>
        <w:rPr>
          <w:rFonts w:hint="eastAsia" w:eastAsia="黑体"/>
          <w:kern w:val="2"/>
          <w:highlight w:val="yellow"/>
        </w:rPr>
      </w:pPr>
      <w:r>
        <w:rPr>
          <w:rFonts w:ascii="Times New Roman" w:hAnsi="Times New Roman" w:eastAsia="黑体" w:cs="Times New Roman"/>
          <w:kern w:val="2"/>
          <w:highlight w:val="yellow"/>
        </w:rPr>
        <w:t>表2.</w:t>
      </w:r>
      <w:r>
        <w:rPr>
          <w:rFonts w:hint="eastAsia" w:ascii="Times New Roman" w:hAnsi="Times New Roman" w:eastAsia="黑体" w:cs="Times New Roman"/>
          <w:kern w:val="2"/>
          <w:highlight w:val="yellow"/>
          <w:lang w:val="en-US" w:eastAsia="zh-CN"/>
        </w:rPr>
        <w:t>9</w:t>
      </w:r>
      <w:r>
        <w:rPr>
          <w:rFonts w:ascii="Times New Roman" w:hAnsi="Times New Roman" w:eastAsia="黑体" w:cs="Times New Roman"/>
          <w:kern w:val="2"/>
          <w:highlight w:val="yellow"/>
        </w:rPr>
        <w:t>-</w:t>
      </w:r>
      <w:r>
        <w:rPr>
          <w:rFonts w:hint="eastAsia" w:ascii="Times New Roman" w:hAnsi="Times New Roman" w:eastAsia="黑体" w:cs="Times New Roman"/>
          <w:kern w:val="2"/>
          <w:highlight w:val="yellow"/>
          <w:lang w:val="en-US" w:eastAsia="zh-CN"/>
        </w:rPr>
        <w:t>7</w:t>
      </w:r>
      <w:r>
        <w:rPr>
          <w:rFonts w:ascii="Times New Roman" w:hAnsi="Times New Roman" w:eastAsia="黑体" w:cs="Times New Roman"/>
          <w:kern w:val="2"/>
          <w:highlight w:val="yellow"/>
        </w:rPr>
        <w:t xml:space="preserve">  现有</w:t>
      </w:r>
      <w:r>
        <w:rPr>
          <w:rFonts w:hint="eastAsia" w:eastAsia="黑体"/>
          <w:kern w:val="2"/>
          <w:highlight w:val="yellow"/>
        </w:rPr>
        <w:t>工程</w:t>
      </w:r>
      <w:r>
        <w:rPr>
          <w:rFonts w:eastAsia="黑体"/>
          <w:kern w:val="2"/>
          <w:highlight w:val="yellow"/>
        </w:rPr>
        <w:t>固体废物</w:t>
      </w:r>
      <w:r>
        <w:rPr>
          <w:rFonts w:hint="eastAsia" w:eastAsia="黑体"/>
          <w:kern w:val="2"/>
          <w:highlight w:val="yellow"/>
        </w:rPr>
        <w:t>产排情况</w:t>
      </w:r>
    </w:p>
    <w:tbl>
      <w:tblPr>
        <w:tblStyle w:val="56"/>
        <w:tblW w:w="5000" w:type="pct"/>
        <w:jc w:val="center"/>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661"/>
        <w:gridCol w:w="1701"/>
        <w:gridCol w:w="1424"/>
        <w:gridCol w:w="1415"/>
        <w:gridCol w:w="2123"/>
        <w:gridCol w:w="1397"/>
      </w:tblGrid>
      <w:tr w14:paraId="5A35F1F7">
        <w:tblPrEx>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79" w:type="pct"/>
            <w:tcBorders>
              <w:top w:val="thinThickSmallGap" w:color="auto" w:sz="12" w:space="0"/>
              <w:bottom w:val="single" w:color="auto" w:sz="4" w:space="0"/>
            </w:tcBorders>
            <w:shd w:val="clear" w:color="auto" w:fill="D9D9D9"/>
            <w:noWrap w:val="0"/>
            <w:vAlign w:val="center"/>
          </w:tcPr>
          <w:p w14:paraId="33F9AAC5">
            <w:pPr>
              <w:jc w:val="center"/>
              <w:rPr>
                <w:rFonts w:hint="eastAsia" w:ascii="Times New Roman" w:hAnsi="Times New Roman" w:cs="Times New Roman"/>
                <w:sz w:val="21"/>
                <w:szCs w:val="21"/>
              </w:rPr>
            </w:pPr>
            <w:r>
              <w:rPr>
                <w:rFonts w:hint="eastAsia" w:ascii="Times New Roman" w:hAnsi="Times New Roman" w:cs="Times New Roman"/>
                <w:sz w:val="21"/>
                <w:szCs w:val="21"/>
              </w:rPr>
              <w:t>类别</w:t>
            </w:r>
          </w:p>
        </w:tc>
        <w:tc>
          <w:tcPr>
            <w:tcW w:w="975" w:type="pct"/>
            <w:tcBorders>
              <w:top w:val="thinThickSmallGap" w:color="auto" w:sz="12" w:space="0"/>
              <w:bottom w:val="single" w:color="auto" w:sz="4" w:space="0"/>
            </w:tcBorders>
            <w:shd w:val="clear" w:color="auto" w:fill="D9D9D9"/>
            <w:noWrap w:val="0"/>
            <w:vAlign w:val="center"/>
          </w:tcPr>
          <w:p w14:paraId="7B21CD17">
            <w:pPr>
              <w:jc w:val="center"/>
              <w:rPr>
                <w:rFonts w:ascii="Times New Roman" w:hAnsi="Times New Roman" w:cs="Times New Roman"/>
                <w:sz w:val="21"/>
                <w:szCs w:val="21"/>
              </w:rPr>
            </w:pPr>
            <w:r>
              <w:rPr>
                <w:rFonts w:hint="eastAsia" w:ascii="Times New Roman" w:hAnsi="Times New Roman" w:cs="Times New Roman"/>
                <w:sz w:val="21"/>
                <w:szCs w:val="21"/>
              </w:rPr>
              <w:t>固废名称</w:t>
            </w:r>
          </w:p>
        </w:tc>
        <w:tc>
          <w:tcPr>
            <w:tcW w:w="815" w:type="pct"/>
            <w:tcBorders>
              <w:top w:val="thinThickSmallGap" w:color="auto" w:sz="12" w:space="0"/>
              <w:bottom w:val="single" w:color="auto" w:sz="4" w:space="0"/>
            </w:tcBorders>
            <w:shd w:val="clear" w:color="auto" w:fill="D9D9D9"/>
            <w:noWrap w:val="0"/>
            <w:vAlign w:val="center"/>
          </w:tcPr>
          <w:p w14:paraId="65501336">
            <w:pPr>
              <w:jc w:val="center"/>
              <w:rPr>
                <w:rFonts w:ascii="Times New Roman" w:hAnsi="Times New Roman" w:cs="Times New Roman"/>
                <w:sz w:val="21"/>
                <w:szCs w:val="21"/>
              </w:rPr>
            </w:pPr>
            <w:r>
              <w:rPr>
                <w:rFonts w:hint="eastAsia" w:ascii="Times New Roman" w:hAnsi="Times New Roman" w:cs="Times New Roman"/>
                <w:kern w:val="2"/>
                <w:sz w:val="21"/>
                <w:szCs w:val="21"/>
              </w:rPr>
              <w:t>编号代码</w:t>
            </w:r>
          </w:p>
        </w:tc>
        <w:tc>
          <w:tcPr>
            <w:tcW w:w="811" w:type="pct"/>
            <w:tcBorders>
              <w:top w:val="thinThickSmallGap" w:color="auto" w:sz="12" w:space="0"/>
              <w:bottom w:val="single" w:color="auto" w:sz="4" w:space="0"/>
            </w:tcBorders>
            <w:shd w:val="clear" w:color="auto" w:fill="D9D9D9"/>
            <w:noWrap w:val="0"/>
            <w:vAlign w:val="center"/>
          </w:tcPr>
          <w:p w14:paraId="52F3AC39">
            <w:pPr>
              <w:jc w:val="center"/>
              <w:rPr>
                <w:rFonts w:hint="eastAsia" w:ascii="Times New Roman" w:hAnsi="Times New Roman" w:cs="Times New Roman"/>
                <w:sz w:val="21"/>
                <w:szCs w:val="21"/>
              </w:rPr>
            </w:pPr>
            <w:r>
              <w:rPr>
                <w:rFonts w:hint="eastAsia" w:ascii="Times New Roman" w:hAnsi="Times New Roman" w:cs="Times New Roman"/>
                <w:sz w:val="21"/>
                <w:szCs w:val="21"/>
              </w:rPr>
              <w:t>产生量（t/a）</w:t>
            </w:r>
          </w:p>
        </w:tc>
        <w:tc>
          <w:tcPr>
            <w:tcW w:w="1217" w:type="pct"/>
            <w:tcBorders>
              <w:top w:val="thinThickSmallGap" w:color="auto" w:sz="12" w:space="0"/>
              <w:bottom w:val="single" w:color="auto" w:sz="4" w:space="0"/>
            </w:tcBorders>
            <w:shd w:val="clear" w:color="auto" w:fill="D9D9D9"/>
            <w:noWrap w:val="0"/>
            <w:vAlign w:val="center"/>
          </w:tcPr>
          <w:p w14:paraId="670543D2">
            <w:pPr>
              <w:jc w:val="center"/>
              <w:rPr>
                <w:rFonts w:ascii="Times New Roman" w:hAnsi="Times New Roman" w:cs="Times New Roman"/>
                <w:kern w:val="2"/>
                <w:sz w:val="21"/>
                <w:szCs w:val="21"/>
              </w:rPr>
            </w:pPr>
            <w:r>
              <w:rPr>
                <w:rFonts w:hint="eastAsia" w:ascii="Times New Roman" w:hAnsi="Times New Roman" w:cs="Times New Roman"/>
                <w:kern w:val="2"/>
                <w:sz w:val="21"/>
                <w:szCs w:val="21"/>
              </w:rPr>
              <w:t>处理</w:t>
            </w:r>
            <w:r>
              <w:rPr>
                <w:rFonts w:ascii="Times New Roman" w:hAnsi="Times New Roman" w:cs="Times New Roman"/>
                <w:kern w:val="2"/>
                <w:sz w:val="21"/>
                <w:szCs w:val="21"/>
              </w:rPr>
              <w:t>去向</w:t>
            </w:r>
          </w:p>
        </w:tc>
        <w:tc>
          <w:tcPr>
            <w:tcW w:w="800" w:type="pct"/>
            <w:tcBorders>
              <w:top w:val="thinThickSmallGap" w:color="auto" w:sz="12" w:space="0"/>
              <w:bottom w:val="single" w:color="auto" w:sz="4" w:space="0"/>
            </w:tcBorders>
            <w:shd w:val="clear" w:color="auto" w:fill="D9D9D9"/>
            <w:noWrap w:val="0"/>
            <w:vAlign w:val="center"/>
          </w:tcPr>
          <w:p w14:paraId="0FFD444F">
            <w:pPr>
              <w:jc w:val="center"/>
              <w:rPr>
                <w:rFonts w:ascii="Times New Roman" w:hAnsi="Times New Roman" w:cs="Times New Roman"/>
                <w:kern w:val="2"/>
                <w:sz w:val="21"/>
                <w:szCs w:val="21"/>
              </w:rPr>
            </w:pPr>
            <w:r>
              <w:rPr>
                <w:rFonts w:ascii="Times New Roman" w:hAnsi="Times New Roman" w:cs="Times New Roman"/>
                <w:kern w:val="2"/>
                <w:sz w:val="21"/>
                <w:szCs w:val="21"/>
              </w:rPr>
              <w:t>排放量</w:t>
            </w:r>
          </w:p>
        </w:tc>
      </w:tr>
      <w:tr w14:paraId="404197E7">
        <w:tblPrEx>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79" w:type="pct"/>
            <w:tcBorders>
              <w:top w:val="single" w:color="auto" w:sz="4" w:space="0"/>
            </w:tcBorders>
            <w:noWrap w:val="0"/>
            <w:vAlign w:val="center"/>
          </w:tcPr>
          <w:p w14:paraId="2B39C07A">
            <w:pPr>
              <w:jc w:val="center"/>
              <w:rPr>
                <w:rFonts w:hint="eastAsia" w:ascii="Times New Roman" w:hAnsi="Times New Roman" w:cs="Times New Roman"/>
                <w:sz w:val="21"/>
                <w:szCs w:val="21"/>
              </w:rPr>
            </w:pPr>
            <w:r>
              <w:rPr>
                <w:rFonts w:hint="eastAsia" w:ascii="Times New Roman" w:hAnsi="Times New Roman" w:cs="Times New Roman"/>
                <w:sz w:val="21"/>
                <w:szCs w:val="21"/>
              </w:rPr>
              <w:t>一般工业固体废物</w:t>
            </w:r>
          </w:p>
        </w:tc>
        <w:tc>
          <w:tcPr>
            <w:tcW w:w="975" w:type="pct"/>
            <w:tcBorders>
              <w:top w:val="single" w:color="auto" w:sz="4" w:space="0"/>
            </w:tcBorders>
            <w:noWrap w:val="0"/>
            <w:vAlign w:val="center"/>
          </w:tcPr>
          <w:p w14:paraId="15FA86BF">
            <w:pPr>
              <w:jc w:val="center"/>
              <w:rPr>
                <w:rFonts w:ascii="Times New Roman" w:hAnsi="Times New Roman" w:cs="Times New Roman"/>
                <w:sz w:val="21"/>
                <w:szCs w:val="21"/>
              </w:rPr>
            </w:pPr>
            <w:r>
              <w:rPr>
                <w:rFonts w:hint="eastAsia" w:ascii="Times New Roman" w:hAnsi="Times New Roman" w:cs="Times New Roman"/>
                <w:sz w:val="21"/>
                <w:szCs w:val="21"/>
              </w:rPr>
              <w:t>布袋除尘灰</w:t>
            </w:r>
          </w:p>
        </w:tc>
        <w:tc>
          <w:tcPr>
            <w:tcW w:w="815" w:type="pct"/>
            <w:tcBorders>
              <w:top w:val="single" w:color="auto" w:sz="4" w:space="0"/>
            </w:tcBorders>
            <w:noWrap w:val="0"/>
            <w:vAlign w:val="center"/>
          </w:tcPr>
          <w:p w14:paraId="2AEC1256">
            <w:pPr>
              <w:jc w:val="center"/>
              <w:rPr>
                <w:rFonts w:ascii="Times New Roman" w:hAnsi="Times New Roman" w:cs="Times New Roman"/>
                <w:sz w:val="21"/>
                <w:szCs w:val="21"/>
              </w:rPr>
            </w:pPr>
            <w:r>
              <w:rPr>
                <w:rFonts w:ascii="Times New Roman" w:hAnsi="Times New Roman" w:cs="Times New Roman"/>
                <w:sz w:val="21"/>
                <w:szCs w:val="21"/>
              </w:rPr>
              <w:t>900-999-66</w:t>
            </w:r>
          </w:p>
        </w:tc>
        <w:tc>
          <w:tcPr>
            <w:tcW w:w="811" w:type="pct"/>
            <w:tcBorders>
              <w:top w:val="single" w:color="auto" w:sz="4" w:space="0"/>
            </w:tcBorders>
            <w:noWrap w:val="0"/>
            <w:vAlign w:val="center"/>
          </w:tcPr>
          <w:p w14:paraId="6A5C67CA">
            <w:pPr>
              <w:jc w:val="center"/>
              <w:rPr>
                <w:rFonts w:hint="eastAsia" w:ascii="Times New Roman" w:hAnsi="Times New Roman" w:cs="Times New Roman"/>
                <w:sz w:val="21"/>
                <w:szCs w:val="21"/>
              </w:rPr>
            </w:pPr>
            <w:r>
              <w:rPr>
                <w:rFonts w:hint="eastAsia" w:ascii="Times New Roman" w:hAnsi="Times New Roman" w:cs="Times New Roman"/>
                <w:kern w:val="2"/>
                <w:sz w:val="21"/>
                <w:szCs w:val="21"/>
              </w:rPr>
              <w:t>14507.1</w:t>
            </w:r>
          </w:p>
        </w:tc>
        <w:tc>
          <w:tcPr>
            <w:tcW w:w="1217" w:type="pct"/>
            <w:tcBorders>
              <w:top w:val="single" w:color="auto" w:sz="4" w:space="0"/>
            </w:tcBorders>
            <w:noWrap w:val="0"/>
            <w:vAlign w:val="center"/>
          </w:tcPr>
          <w:p w14:paraId="072F7BE4">
            <w:pPr>
              <w:jc w:val="center"/>
              <w:rPr>
                <w:rFonts w:hint="eastAsia" w:ascii="Times New Roman" w:hAnsi="Times New Roman" w:cs="Times New Roman"/>
                <w:sz w:val="21"/>
                <w:szCs w:val="21"/>
              </w:rPr>
            </w:pPr>
            <w:r>
              <w:rPr>
                <w:rFonts w:hint="eastAsia" w:ascii="Times New Roman" w:hAnsi="Times New Roman" w:cs="Times New Roman"/>
                <w:sz w:val="21"/>
                <w:szCs w:val="21"/>
              </w:rPr>
              <w:t>作为冶炼原料外售</w:t>
            </w:r>
          </w:p>
        </w:tc>
        <w:tc>
          <w:tcPr>
            <w:tcW w:w="800" w:type="pct"/>
            <w:tcBorders>
              <w:top w:val="single" w:color="auto" w:sz="4" w:space="0"/>
            </w:tcBorders>
            <w:noWrap w:val="0"/>
            <w:vAlign w:val="center"/>
          </w:tcPr>
          <w:p w14:paraId="3027F38E">
            <w:pPr>
              <w:jc w:val="center"/>
              <w:rPr>
                <w:rFonts w:hint="eastAsia" w:ascii="Times New Roman" w:hAnsi="Times New Roman" w:cs="Times New Roman"/>
                <w:sz w:val="21"/>
                <w:szCs w:val="21"/>
              </w:rPr>
            </w:pPr>
            <w:r>
              <w:rPr>
                <w:rFonts w:hint="eastAsia" w:ascii="Times New Roman" w:hAnsi="Times New Roman" w:cs="Times New Roman"/>
                <w:sz w:val="21"/>
                <w:szCs w:val="21"/>
              </w:rPr>
              <w:t>0</w:t>
            </w:r>
          </w:p>
        </w:tc>
      </w:tr>
      <w:tr w14:paraId="0164E762">
        <w:tblPrEx>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170" w:type="pct"/>
            <w:gridSpan w:val="3"/>
            <w:noWrap w:val="0"/>
            <w:vAlign w:val="center"/>
          </w:tcPr>
          <w:p w14:paraId="65187389">
            <w:pPr>
              <w:jc w:val="center"/>
              <w:rPr>
                <w:rFonts w:ascii="Times New Roman" w:hAnsi="Times New Roman" w:cs="Times New Roman"/>
                <w:b/>
                <w:sz w:val="21"/>
                <w:szCs w:val="21"/>
              </w:rPr>
            </w:pPr>
            <w:r>
              <w:rPr>
                <w:rFonts w:hint="eastAsia" w:ascii="Times New Roman" w:hAnsi="Times New Roman" w:cs="Times New Roman"/>
                <w:b/>
                <w:sz w:val="21"/>
                <w:szCs w:val="21"/>
              </w:rPr>
              <w:t>合计</w:t>
            </w:r>
          </w:p>
        </w:tc>
        <w:tc>
          <w:tcPr>
            <w:tcW w:w="811" w:type="pct"/>
            <w:noWrap w:val="0"/>
            <w:vAlign w:val="center"/>
          </w:tcPr>
          <w:p w14:paraId="42645B4B">
            <w:pPr>
              <w:jc w:val="center"/>
              <w:rPr>
                <w:rFonts w:hint="eastAsia" w:ascii="Times New Roman" w:hAnsi="Times New Roman" w:cs="Times New Roman"/>
                <w:b/>
                <w:sz w:val="21"/>
                <w:szCs w:val="21"/>
              </w:rPr>
            </w:pPr>
            <w:r>
              <w:rPr>
                <w:rFonts w:hint="eastAsia" w:ascii="Times New Roman" w:hAnsi="Times New Roman" w:cs="Times New Roman"/>
                <w:b/>
                <w:sz w:val="21"/>
                <w:szCs w:val="21"/>
              </w:rPr>
              <w:t>181404.56</w:t>
            </w:r>
          </w:p>
        </w:tc>
        <w:tc>
          <w:tcPr>
            <w:tcW w:w="1217" w:type="pct"/>
            <w:noWrap w:val="0"/>
            <w:vAlign w:val="center"/>
          </w:tcPr>
          <w:p w14:paraId="6E525587">
            <w:pPr>
              <w:jc w:val="center"/>
              <w:rPr>
                <w:rFonts w:hint="eastAsia" w:ascii="Times New Roman" w:hAnsi="Times New Roman" w:cs="Times New Roman"/>
                <w:b/>
                <w:sz w:val="21"/>
                <w:szCs w:val="21"/>
              </w:rPr>
            </w:pPr>
            <w:r>
              <w:rPr>
                <w:rFonts w:hint="eastAsia" w:ascii="Times New Roman" w:hAnsi="Times New Roman" w:cs="Times New Roman"/>
                <w:b/>
                <w:sz w:val="21"/>
                <w:szCs w:val="21"/>
              </w:rPr>
              <w:t>--</w:t>
            </w:r>
          </w:p>
        </w:tc>
        <w:tc>
          <w:tcPr>
            <w:tcW w:w="800" w:type="pct"/>
            <w:noWrap w:val="0"/>
            <w:vAlign w:val="center"/>
          </w:tcPr>
          <w:p w14:paraId="4671E717">
            <w:pPr>
              <w:jc w:val="center"/>
              <w:rPr>
                <w:rFonts w:hint="eastAsia" w:ascii="Times New Roman" w:hAnsi="Times New Roman" w:cs="Times New Roman"/>
                <w:b/>
                <w:sz w:val="21"/>
                <w:szCs w:val="21"/>
              </w:rPr>
            </w:pPr>
            <w:r>
              <w:rPr>
                <w:rFonts w:hint="eastAsia" w:ascii="Times New Roman" w:hAnsi="Times New Roman" w:cs="Times New Roman"/>
                <w:b/>
                <w:sz w:val="21"/>
                <w:szCs w:val="21"/>
              </w:rPr>
              <w:t>0</w:t>
            </w:r>
          </w:p>
        </w:tc>
      </w:tr>
      <w:tr w14:paraId="4DE39270">
        <w:tblPrEx>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79" w:type="pct"/>
            <w:vMerge w:val="restart"/>
            <w:noWrap w:val="0"/>
            <w:vAlign w:val="center"/>
          </w:tcPr>
          <w:p w14:paraId="476676B9">
            <w:pPr>
              <w:jc w:val="center"/>
              <w:rPr>
                <w:rFonts w:hint="eastAsia" w:ascii="Times New Roman" w:hAnsi="Times New Roman" w:cs="Times New Roman"/>
                <w:sz w:val="21"/>
                <w:szCs w:val="21"/>
              </w:rPr>
            </w:pPr>
            <w:r>
              <w:rPr>
                <w:rFonts w:hint="eastAsia" w:ascii="Times New Roman" w:hAnsi="Times New Roman" w:cs="Times New Roman"/>
                <w:sz w:val="21"/>
                <w:szCs w:val="21"/>
              </w:rPr>
              <w:t>危险废物</w:t>
            </w:r>
          </w:p>
        </w:tc>
        <w:tc>
          <w:tcPr>
            <w:tcW w:w="975" w:type="pct"/>
            <w:noWrap w:val="0"/>
            <w:vAlign w:val="center"/>
          </w:tcPr>
          <w:p w14:paraId="6AD28536">
            <w:pPr>
              <w:jc w:val="center"/>
              <w:rPr>
                <w:rFonts w:hint="eastAsia" w:ascii="Times New Roman" w:hAnsi="Times New Roman" w:eastAsia="宋体" w:cs="Times New Roman"/>
                <w:sz w:val="21"/>
                <w:szCs w:val="21"/>
                <w:lang w:val="en-US" w:eastAsia="zh-CN"/>
              </w:rPr>
            </w:pPr>
            <w:r>
              <w:rPr>
                <w:rFonts w:hint="eastAsia" w:ascii="Times New Roman" w:hAnsi="Times New Roman" w:cs="Times New Roman"/>
                <w:sz w:val="21"/>
                <w:szCs w:val="21"/>
              </w:rPr>
              <w:t>废</w:t>
            </w:r>
            <w:r>
              <w:rPr>
                <w:rFonts w:hint="eastAsia" w:ascii="Times New Roman" w:hAnsi="Times New Roman" w:cs="Times New Roman"/>
                <w:sz w:val="21"/>
                <w:szCs w:val="21"/>
                <w:lang w:val="en-US" w:eastAsia="zh-CN"/>
              </w:rPr>
              <w:t>机</w:t>
            </w:r>
            <w:r>
              <w:rPr>
                <w:rFonts w:hint="eastAsia" w:ascii="Times New Roman" w:hAnsi="Times New Roman" w:cs="Times New Roman"/>
                <w:sz w:val="21"/>
                <w:szCs w:val="21"/>
              </w:rPr>
              <w:t>油</w:t>
            </w:r>
            <w:r>
              <w:rPr>
                <w:rFonts w:hint="eastAsia" w:ascii="Times New Roman" w:hAnsi="Times New Roman" w:cs="Times New Roman"/>
                <w:sz w:val="21"/>
                <w:szCs w:val="21"/>
                <w:lang w:val="en-US" w:eastAsia="zh-CN"/>
              </w:rPr>
              <w:t>桶</w:t>
            </w:r>
          </w:p>
        </w:tc>
        <w:tc>
          <w:tcPr>
            <w:tcW w:w="815" w:type="pct"/>
            <w:noWrap w:val="0"/>
            <w:vAlign w:val="center"/>
          </w:tcPr>
          <w:p w14:paraId="1B4F66C0">
            <w:pPr>
              <w:jc w:val="center"/>
              <w:rPr>
                <w:rFonts w:ascii="Times New Roman" w:hAnsi="Times New Roman" w:cs="Times New Roman"/>
                <w:sz w:val="21"/>
                <w:szCs w:val="21"/>
              </w:rPr>
            </w:pPr>
            <w:r>
              <w:rPr>
                <w:rFonts w:ascii="Times New Roman" w:hAnsi="Times New Roman" w:cs="Times New Roman"/>
                <w:sz w:val="21"/>
                <w:szCs w:val="21"/>
              </w:rPr>
              <w:t>HW08</w:t>
            </w:r>
          </w:p>
          <w:p w14:paraId="08A0709D">
            <w:pPr>
              <w:jc w:val="center"/>
              <w:rPr>
                <w:rFonts w:ascii="Times New Roman" w:hAnsi="Times New Roman" w:cs="Times New Roman"/>
                <w:sz w:val="21"/>
                <w:szCs w:val="21"/>
              </w:rPr>
            </w:pPr>
            <w:r>
              <w:rPr>
                <w:rFonts w:ascii="Times New Roman" w:hAnsi="Times New Roman" w:cs="Times New Roman"/>
                <w:sz w:val="21"/>
                <w:szCs w:val="21"/>
              </w:rPr>
              <w:t>900-218-08</w:t>
            </w:r>
          </w:p>
        </w:tc>
        <w:tc>
          <w:tcPr>
            <w:tcW w:w="811" w:type="pct"/>
            <w:noWrap w:val="0"/>
            <w:vAlign w:val="center"/>
          </w:tcPr>
          <w:p w14:paraId="5803AD98">
            <w:pPr>
              <w:jc w:val="center"/>
              <w:rPr>
                <w:rFonts w:ascii="Times New Roman" w:hAnsi="Times New Roman" w:cs="Times New Roman"/>
                <w:kern w:val="2"/>
                <w:sz w:val="21"/>
                <w:szCs w:val="21"/>
              </w:rPr>
            </w:pPr>
            <w:r>
              <w:rPr>
                <w:rFonts w:ascii="Times New Roman" w:hAnsi="Times New Roman" w:cs="Times New Roman"/>
                <w:kern w:val="2"/>
                <w:sz w:val="21"/>
                <w:szCs w:val="21"/>
              </w:rPr>
              <w:t>4</w:t>
            </w:r>
          </w:p>
        </w:tc>
        <w:tc>
          <w:tcPr>
            <w:tcW w:w="1217" w:type="pct"/>
            <w:vMerge w:val="restart"/>
            <w:noWrap w:val="0"/>
            <w:vAlign w:val="center"/>
          </w:tcPr>
          <w:p w14:paraId="17F2613F">
            <w:pPr>
              <w:jc w:val="center"/>
              <w:rPr>
                <w:rFonts w:hint="eastAsia" w:ascii="Times New Roman" w:hAnsi="Times New Roman" w:cs="Times New Roman"/>
                <w:sz w:val="21"/>
                <w:szCs w:val="21"/>
              </w:rPr>
            </w:pPr>
            <w:r>
              <w:rPr>
                <w:rFonts w:hint="eastAsia" w:ascii="Times New Roman" w:hAnsi="Times New Roman" w:cs="Times New Roman"/>
                <w:sz w:val="21"/>
                <w:szCs w:val="21"/>
              </w:rPr>
              <w:t>危废间暂存，定期委托有资质单位妥善处置</w:t>
            </w:r>
          </w:p>
        </w:tc>
        <w:tc>
          <w:tcPr>
            <w:tcW w:w="800" w:type="pct"/>
            <w:noWrap w:val="0"/>
            <w:vAlign w:val="center"/>
          </w:tcPr>
          <w:p w14:paraId="5D438A46">
            <w:pPr>
              <w:jc w:val="center"/>
              <w:rPr>
                <w:rFonts w:hint="eastAsia" w:ascii="Times New Roman" w:hAnsi="Times New Roman" w:cs="Times New Roman"/>
                <w:sz w:val="21"/>
                <w:szCs w:val="21"/>
              </w:rPr>
            </w:pPr>
            <w:r>
              <w:rPr>
                <w:rFonts w:hint="eastAsia" w:ascii="Times New Roman" w:hAnsi="Times New Roman" w:cs="Times New Roman"/>
                <w:sz w:val="21"/>
                <w:szCs w:val="21"/>
              </w:rPr>
              <w:t>0</w:t>
            </w:r>
          </w:p>
        </w:tc>
      </w:tr>
      <w:tr w14:paraId="7D56AA19">
        <w:tblPrEx>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79" w:type="pct"/>
            <w:vMerge w:val="continue"/>
            <w:noWrap w:val="0"/>
            <w:vAlign w:val="center"/>
          </w:tcPr>
          <w:p w14:paraId="57ADEAB2">
            <w:pPr>
              <w:jc w:val="center"/>
              <w:rPr>
                <w:rFonts w:hint="eastAsia" w:ascii="Times New Roman" w:hAnsi="Times New Roman" w:cs="Times New Roman"/>
                <w:sz w:val="21"/>
                <w:szCs w:val="21"/>
              </w:rPr>
            </w:pPr>
          </w:p>
        </w:tc>
        <w:tc>
          <w:tcPr>
            <w:tcW w:w="975" w:type="pct"/>
            <w:noWrap w:val="0"/>
            <w:vAlign w:val="center"/>
          </w:tcPr>
          <w:p w14:paraId="750D373F">
            <w:pPr>
              <w:jc w:val="center"/>
              <w:rPr>
                <w:rFonts w:hint="eastAsia" w:ascii="Times New Roman" w:hAnsi="Times New Roman" w:cs="Times New Roman"/>
                <w:sz w:val="21"/>
                <w:szCs w:val="21"/>
              </w:rPr>
            </w:pPr>
            <w:r>
              <w:rPr>
                <w:rFonts w:hint="eastAsia" w:ascii="Times New Roman" w:hAnsi="Times New Roman" w:cs="Times New Roman"/>
                <w:sz w:val="21"/>
                <w:szCs w:val="21"/>
              </w:rPr>
              <w:t>废</w:t>
            </w:r>
            <w:r>
              <w:rPr>
                <w:rFonts w:hint="eastAsia" w:ascii="Times New Roman" w:hAnsi="Times New Roman" w:cs="Times New Roman"/>
                <w:sz w:val="21"/>
                <w:szCs w:val="21"/>
                <w:lang w:val="en-US" w:eastAsia="zh-CN"/>
              </w:rPr>
              <w:t>机</w:t>
            </w:r>
            <w:r>
              <w:rPr>
                <w:rFonts w:hint="eastAsia" w:ascii="Times New Roman" w:hAnsi="Times New Roman" w:cs="Times New Roman"/>
                <w:sz w:val="21"/>
                <w:szCs w:val="21"/>
              </w:rPr>
              <w:t>油</w:t>
            </w:r>
          </w:p>
        </w:tc>
        <w:tc>
          <w:tcPr>
            <w:tcW w:w="815" w:type="pct"/>
            <w:noWrap w:val="0"/>
            <w:vAlign w:val="center"/>
          </w:tcPr>
          <w:p w14:paraId="07DDC4A2">
            <w:pPr>
              <w:jc w:val="center"/>
              <w:rPr>
                <w:rFonts w:ascii="Times New Roman" w:hAnsi="Times New Roman" w:cs="Times New Roman"/>
                <w:sz w:val="21"/>
                <w:szCs w:val="21"/>
              </w:rPr>
            </w:pPr>
            <w:r>
              <w:rPr>
                <w:rFonts w:ascii="Times New Roman" w:hAnsi="Times New Roman" w:cs="Times New Roman"/>
                <w:sz w:val="21"/>
                <w:szCs w:val="21"/>
              </w:rPr>
              <w:t>HW08</w:t>
            </w:r>
          </w:p>
          <w:p w14:paraId="1C82CE48">
            <w:pPr>
              <w:jc w:val="center"/>
              <w:rPr>
                <w:rFonts w:ascii="Times New Roman" w:hAnsi="Times New Roman" w:cs="Times New Roman"/>
                <w:sz w:val="21"/>
                <w:szCs w:val="21"/>
              </w:rPr>
            </w:pPr>
            <w:r>
              <w:rPr>
                <w:rFonts w:ascii="Times New Roman" w:hAnsi="Times New Roman" w:cs="Times New Roman"/>
                <w:sz w:val="21"/>
                <w:szCs w:val="21"/>
              </w:rPr>
              <w:t>900-217-08</w:t>
            </w:r>
          </w:p>
        </w:tc>
        <w:tc>
          <w:tcPr>
            <w:tcW w:w="811" w:type="pct"/>
            <w:noWrap w:val="0"/>
            <w:vAlign w:val="center"/>
          </w:tcPr>
          <w:p w14:paraId="731C5EC0">
            <w:pPr>
              <w:jc w:val="center"/>
              <w:rPr>
                <w:rFonts w:ascii="Times New Roman" w:hAnsi="Times New Roman" w:cs="Times New Roman"/>
                <w:kern w:val="2"/>
                <w:sz w:val="21"/>
                <w:szCs w:val="21"/>
              </w:rPr>
            </w:pPr>
            <w:r>
              <w:rPr>
                <w:rFonts w:ascii="Times New Roman" w:hAnsi="Times New Roman" w:cs="Times New Roman"/>
                <w:kern w:val="2"/>
                <w:sz w:val="21"/>
                <w:szCs w:val="21"/>
              </w:rPr>
              <w:t>1.8</w:t>
            </w:r>
          </w:p>
        </w:tc>
        <w:tc>
          <w:tcPr>
            <w:tcW w:w="1217" w:type="pct"/>
            <w:vMerge w:val="continue"/>
            <w:noWrap w:val="0"/>
            <w:vAlign w:val="center"/>
          </w:tcPr>
          <w:p w14:paraId="3F0EE56F">
            <w:pPr>
              <w:jc w:val="center"/>
              <w:rPr>
                <w:rFonts w:hint="eastAsia" w:ascii="Times New Roman" w:hAnsi="Times New Roman" w:cs="Times New Roman"/>
                <w:sz w:val="21"/>
                <w:szCs w:val="21"/>
              </w:rPr>
            </w:pPr>
          </w:p>
        </w:tc>
        <w:tc>
          <w:tcPr>
            <w:tcW w:w="800" w:type="pct"/>
            <w:noWrap w:val="0"/>
            <w:vAlign w:val="center"/>
          </w:tcPr>
          <w:p w14:paraId="67DDD5AA">
            <w:pPr>
              <w:jc w:val="center"/>
              <w:rPr>
                <w:rFonts w:hint="eastAsia" w:ascii="Times New Roman" w:hAnsi="Times New Roman" w:cs="Times New Roman"/>
                <w:sz w:val="21"/>
                <w:szCs w:val="21"/>
              </w:rPr>
            </w:pPr>
            <w:r>
              <w:rPr>
                <w:rFonts w:hint="eastAsia" w:ascii="Times New Roman" w:hAnsi="Times New Roman" w:cs="Times New Roman"/>
                <w:sz w:val="21"/>
                <w:szCs w:val="21"/>
              </w:rPr>
              <w:t>0</w:t>
            </w:r>
          </w:p>
        </w:tc>
      </w:tr>
      <w:tr w14:paraId="2D55D379">
        <w:tblPrEx>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170" w:type="pct"/>
            <w:gridSpan w:val="3"/>
            <w:noWrap w:val="0"/>
            <w:vAlign w:val="center"/>
          </w:tcPr>
          <w:p w14:paraId="13DAF5F9">
            <w:pPr>
              <w:jc w:val="center"/>
              <w:rPr>
                <w:rFonts w:ascii="Times New Roman" w:hAnsi="Times New Roman" w:cs="Times New Roman"/>
                <w:sz w:val="21"/>
                <w:szCs w:val="21"/>
              </w:rPr>
            </w:pPr>
            <w:r>
              <w:rPr>
                <w:rFonts w:hint="eastAsia" w:ascii="Times New Roman" w:hAnsi="Times New Roman" w:cs="Times New Roman"/>
                <w:b/>
                <w:sz w:val="21"/>
                <w:szCs w:val="21"/>
              </w:rPr>
              <w:t>合计</w:t>
            </w:r>
          </w:p>
        </w:tc>
        <w:tc>
          <w:tcPr>
            <w:tcW w:w="811" w:type="pct"/>
            <w:noWrap w:val="0"/>
            <w:vAlign w:val="center"/>
          </w:tcPr>
          <w:p w14:paraId="6C615C28">
            <w:pPr>
              <w:jc w:val="center"/>
              <w:rPr>
                <w:rFonts w:ascii="Times New Roman" w:hAnsi="Times New Roman" w:cs="Times New Roman"/>
                <w:kern w:val="2"/>
                <w:sz w:val="21"/>
                <w:szCs w:val="21"/>
              </w:rPr>
            </w:pPr>
            <w:r>
              <w:rPr>
                <w:rFonts w:ascii="Times New Roman" w:hAnsi="Times New Roman" w:cs="Times New Roman"/>
                <w:kern w:val="2"/>
                <w:sz w:val="21"/>
                <w:szCs w:val="21"/>
              </w:rPr>
              <w:t>12.9</w:t>
            </w:r>
            <w:r>
              <w:rPr>
                <w:rFonts w:hint="eastAsia" w:ascii="Times New Roman" w:hAnsi="Times New Roman" w:cs="Times New Roman"/>
                <w:kern w:val="2"/>
                <w:sz w:val="21"/>
                <w:szCs w:val="21"/>
              </w:rPr>
              <w:t>44</w:t>
            </w:r>
          </w:p>
        </w:tc>
        <w:tc>
          <w:tcPr>
            <w:tcW w:w="1217" w:type="pct"/>
            <w:noWrap w:val="0"/>
            <w:vAlign w:val="center"/>
          </w:tcPr>
          <w:p w14:paraId="77052294">
            <w:pPr>
              <w:jc w:val="center"/>
              <w:rPr>
                <w:rFonts w:hint="eastAsia" w:ascii="Times New Roman" w:hAnsi="Times New Roman" w:cs="Times New Roman"/>
                <w:sz w:val="21"/>
                <w:szCs w:val="21"/>
              </w:rPr>
            </w:pPr>
            <w:r>
              <w:rPr>
                <w:rFonts w:hint="eastAsia" w:ascii="Times New Roman" w:hAnsi="Times New Roman" w:cs="Times New Roman"/>
                <w:sz w:val="21"/>
                <w:szCs w:val="21"/>
              </w:rPr>
              <w:t>--</w:t>
            </w:r>
          </w:p>
        </w:tc>
        <w:tc>
          <w:tcPr>
            <w:tcW w:w="800" w:type="pct"/>
            <w:noWrap w:val="0"/>
            <w:vAlign w:val="center"/>
          </w:tcPr>
          <w:p w14:paraId="5EAE885D">
            <w:pPr>
              <w:jc w:val="center"/>
              <w:rPr>
                <w:rFonts w:hint="eastAsia" w:ascii="Times New Roman" w:hAnsi="Times New Roman" w:cs="Times New Roman"/>
                <w:sz w:val="21"/>
                <w:szCs w:val="21"/>
              </w:rPr>
            </w:pPr>
            <w:r>
              <w:rPr>
                <w:rFonts w:hint="eastAsia" w:ascii="Times New Roman" w:hAnsi="Times New Roman" w:cs="Times New Roman"/>
                <w:b/>
                <w:sz w:val="21"/>
                <w:szCs w:val="21"/>
              </w:rPr>
              <w:t>0</w:t>
            </w:r>
          </w:p>
        </w:tc>
      </w:tr>
      <w:tr w14:paraId="415E395B">
        <w:tblPrEx>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170" w:type="pct"/>
            <w:gridSpan w:val="3"/>
            <w:noWrap w:val="0"/>
            <w:vAlign w:val="center"/>
          </w:tcPr>
          <w:p w14:paraId="1566FB6F">
            <w:pPr>
              <w:jc w:val="center"/>
              <w:rPr>
                <w:rFonts w:ascii="Times New Roman" w:hAnsi="Times New Roman" w:cs="Times New Roman"/>
                <w:sz w:val="21"/>
                <w:szCs w:val="21"/>
              </w:rPr>
            </w:pPr>
            <w:r>
              <w:rPr>
                <w:rFonts w:hint="eastAsia" w:ascii="Times New Roman" w:hAnsi="Times New Roman" w:cs="Times New Roman"/>
                <w:sz w:val="21"/>
                <w:szCs w:val="21"/>
              </w:rPr>
              <w:t>生活垃圾</w:t>
            </w:r>
          </w:p>
        </w:tc>
        <w:tc>
          <w:tcPr>
            <w:tcW w:w="811" w:type="pct"/>
            <w:noWrap w:val="0"/>
            <w:vAlign w:val="center"/>
          </w:tcPr>
          <w:p w14:paraId="387B5DBC">
            <w:pPr>
              <w:jc w:val="center"/>
              <w:rPr>
                <w:rFonts w:hint="eastAsia" w:ascii="Times New Roman" w:hAnsi="Times New Roman" w:cs="Times New Roman"/>
                <w:sz w:val="21"/>
                <w:szCs w:val="21"/>
              </w:rPr>
            </w:pPr>
            <w:r>
              <w:rPr>
                <w:rFonts w:hint="eastAsia" w:ascii="Times New Roman" w:hAnsi="Times New Roman" w:cs="Times New Roman"/>
                <w:sz w:val="21"/>
                <w:szCs w:val="21"/>
              </w:rPr>
              <w:t>36</w:t>
            </w:r>
          </w:p>
        </w:tc>
        <w:tc>
          <w:tcPr>
            <w:tcW w:w="1217" w:type="pct"/>
            <w:noWrap w:val="0"/>
            <w:vAlign w:val="center"/>
          </w:tcPr>
          <w:p w14:paraId="481179D4">
            <w:pPr>
              <w:jc w:val="center"/>
              <w:rPr>
                <w:rFonts w:hint="eastAsia" w:ascii="Times New Roman" w:hAnsi="Times New Roman" w:cs="Times New Roman"/>
                <w:sz w:val="21"/>
                <w:szCs w:val="21"/>
              </w:rPr>
            </w:pPr>
            <w:r>
              <w:rPr>
                <w:rFonts w:hint="eastAsia" w:ascii="Times New Roman" w:hAnsi="Times New Roman" w:cs="Times New Roman"/>
                <w:sz w:val="21"/>
                <w:szCs w:val="21"/>
              </w:rPr>
              <w:t>环卫清运</w:t>
            </w:r>
          </w:p>
        </w:tc>
        <w:tc>
          <w:tcPr>
            <w:tcW w:w="800" w:type="pct"/>
            <w:noWrap w:val="0"/>
            <w:vAlign w:val="center"/>
          </w:tcPr>
          <w:p w14:paraId="57AC5D03">
            <w:pPr>
              <w:jc w:val="center"/>
              <w:rPr>
                <w:rFonts w:hint="eastAsia" w:ascii="Times New Roman" w:hAnsi="Times New Roman" w:cs="Times New Roman"/>
                <w:sz w:val="21"/>
                <w:szCs w:val="21"/>
              </w:rPr>
            </w:pPr>
            <w:r>
              <w:rPr>
                <w:rFonts w:hint="eastAsia" w:ascii="Times New Roman" w:hAnsi="Times New Roman" w:cs="Times New Roman"/>
                <w:sz w:val="21"/>
                <w:szCs w:val="21"/>
              </w:rPr>
              <w:t>0</w:t>
            </w:r>
          </w:p>
        </w:tc>
      </w:tr>
    </w:tbl>
    <w:p w14:paraId="5E433B0F">
      <w:pPr>
        <w:spacing w:line="500" w:lineRule="exact"/>
        <w:ind w:right="6" w:firstLine="480" w:firstLineChars="200"/>
        <w:jc w:val="both"/>
        <w:rPr>
          <w:rFonts w:hint="eastAsia" w:ascii="Times New Roman" w:hAnsi="Times New Roman" w:cs="Times New Roman"/>
        </w:rPr>
      </w:pPr>
      <w:r>
        <w:rPr>
          <w:rFonts w:ascii="Times New Roman" w:hAnsi="Times New Roman" w:cs="Times New Roman"/>
        </w:rPr>
        <w:t>企业厂内建有1座危险废物暂存库，占地面积约30m</w:t>
      </w:r>
      <w:r>
        <w:rPr>
          <w:rFonts w:ascii="Times New Roman" w:hAnsi="Times New Roman" w:cs="Times New Roman"/>
          <w:vertAlign w:val="superscript"/>
        </w:rPr>
        <w:t>2</w:t>
      </w:r>
      <w:r>
        <w:rPr>
          <w:rFonts w:ascii="Times New Roman" w:hAnsi="Times New Roman" w:cs="Times New Roman"/>
        </w:rPr>
        <w:t>，经现场调查，该库采用混凝土防渗地面，封闭结构，危险废物能够做到分类贮存，并贴有标识。企业全厂产生的危险废物全部送该暂存库内短期贮存后，定期委托有相应危险废物处置资质的单位处置，具备危废委托处理合同</w:t>
      </w:r>
      <w:r>
        <w:rPr>
          <w:rFonts w:hint="eastAsia" w:ascii="Times New Roman" w:hAnsi="Times New Roman" w:cs="Times New Roman"/>
        </w:rPr>
        <w:t>及危废转运联单，详见附件</w:t>
      </w:r>
      <w:r>
        <w:rPr>
          <w:rFonts w:ascii="Times New Roman" w:hAnsi="Times New Roman" w:cs="Times New Roman"/>
        </w:rPr>
        <w:t>。</w:t>
      </w:r>
    </w:p>
    <w:p w14:paraId="5BC3771D">
      <w:pPr>
        <w:pStyle w:val="6"/>
        <w:spacing w:before="239"/>
      </w:pPr>
      <w:bookmarkStart w:id="234" w:name="_Toc90026121"/>
      <w:bookmarkStart w:id="235" w:name="_Toc12937"/>
      <w:r>
        <w:t>2.</w:t>
      </w:r>
      <w:r>
        <w:rPr>
          <w:rFonts w:hint="eastAsia"/>
        </w:rPr>
        <w:t>1</w:t>
      </w:r>
      <w:r>
        <w:rPr>
          <w:rFonts w:hint="eastAsia"/>
          <w:lang w:val="en-US" w:eastAsia="zh-CN"/>
        </w:rPr>
        <w:t>0</w:t>
      </w:r>
      <w:r>
        <w:t xml:space="preserve"> </w:t>
      </w:r>
      <w:r>
        <w:rPr>
          <w:rFonts w:hint="eastAsia"/>
        </w:rPr>
        <w:t>现有工程污染物排放量汇总</w:t>
      </w:r>
      <w:bookmarkEnd w:id="234"/>
      <w:bookmarkEnd w:id="235"/>
    </w:p>
    <w:p w14:paraId="0B077D6C">
      <w:pPr>
        <w:pStyle w:val="7"/>
      </w:pPr>
      <w:bookmarkStart w:id="236" w:name="_Toc90026242"/>
      <w:bookmarkStart w:id="237" w:name="_Toc29152"/>
      <w:r>
        <w:t>2.</w:t>
      </w:r>
      <w:r>
        <w:rPr>
          <w:rFonts w:hint="eastAsia"/>
        </w:rPr>
        <w:t>1</w:t>
      </w:r>
      <w:r>
        <w:rPr>
          <w:rFonts w:hint="eastAsia"/>
          <w:lang w:val="en-US" w:eastAsia="zh-CN"/>
        </w:rPr>
        <w:t>0</w:t>
      </w:r>
      <w:r>
        <w:t>.</w:t>
      </w:r>
      <w:r>
        <w:rPr>
          <w:rFonts w:hint="eastAsia"/>
        </w:rPr>
        <w:t>1</w:t>
      </w:r>
      <w:r>
        <w:t xml:space="preserve"> </w:t>
      </w:r>
      <w:r>
        <w:rPr>
          <w:rFonts w:hint="eastAsia"/>
        </w:rPr>
        <w:t>污染物排放量</w:t>
      </w:r>
      <w:bookmarkEnd w:id="236"/>
      <w:bookmarkEnd w:id="237"/>
    </w:p>
    <w:p w14:paraId="1E8C8CD7">
      <w:pPr>
        <w:pStyle w:val="133"/>
      </w:pPr>
      <w:r>
        <w:rPr>
          <w:rFonts w:hint="eastAsia"/>
          <w:lang w:eastAsia="zh-CN"/>
        </w:rPr>
        <w:t>2</w:t>
      </w:r>
      <w:r>
        <w:t>.</w:t>
      </w:r>
      <w:r>
        <w:rPr>
          <w:rFonts w:hint="eastAsia"/>
          <w:lang w:eastAsia="zh-CN"/>
        </w:rPr>
        <w:t>1</w:t>
      </w:r>
      <w:r>
        <w:rPr>
          <w:rFonts w:hint="eastAsia"/>
          <w:lang w:val="en-US" w:eastAsia="zh-CN"/>
        </w:rPr>
        <w:t>0</w:t>
      </w:r>
      <w:r>
        <w:t>.</w:t>
      </w:r>
      <w:r>
        <w:rPr>
          <w:rFonts w:hint="eastAsia"/>
          <w:lang w:eastAsia="zh-CN"/>
        </w:rPr>
        <w:t>1</w:t>
      </w:r>
      <w:r>
        <w:t xml:space="preserve">.1 </w:t>
      </w:r>
      <w:r>
        <w:rPr>
          <w:rFonts w:hint="eastAsia"/>
          <w:lang w:eastAsia="zh-CN"/>
        </w:rPr>
        <w:t>废气</w:t>
      </w:r>
    </w:p>
    <w:p w14:paraId="5E6A3C7B">
      <w:pPr>
        <w:spacing w:line="500" w:lineRule="exact"/>
        <w:ind w:right="6" w:firstLine="482" w:firstLineChars="200"/>
        <w:jc w:val="both"/>
        <w:rPr>
          <w:rFonts w:ascii="Times New Roman" w:hAnsi="Times New Roman" w:cs="Times New Roman"/>
          <w:b/>
        </w:rPr>
      </w:pPr>
      <w:r>
        <w:rPr>
          <w:rFonts w:ascii="Times New Roman" w:hAnsi="Times New Roman" w:cs="Times New Roman"/>
          <w:b/>
        </w:rPr>
        <w:t>（1）已建工程</w:t>
      </w:r>
    </w:p>
    <w:p w14:paraId="58D9AE68">
      <w:pPr>
        <w:spacing w:line="500" w:lineRule="exact"/>
        <w:ind w:right="6" w:firstLine="480" w:firstLineChars="200"/>
        <w:jc w:val="both"/>
        <w:rPr>
          <w:rFonts w:ascii="Times New Roman" w:hAnsi="Times New Roman" w:cs="Times New Roman"/>
        </w:rPr>
      </w:pPr>
      <w:r>
        <w:rPr>
          <w:rFonts w:ascii="Times New Roman" w:hAnsi="Times New Roman" w:cs="Times New Roman"/>
        </w:rPr>
        <w:t>根据企业前期环评、企业</w:t>
      </w:r>
      <w:r>
        <w:rPr>
          <w:rFonts w:hint="eastAsia" w:ascii="Times New Roman" w:hAnsi="Times New Roman" w:cs="Times New Roman"/>
          <w:lang w:val="en-US" w:eastAsia="zh-CN"/>
        </w:rPr>
        <w:t>在线数据、</w:t>
      </w:r>
      <w:r>
        <w:rPr>
          <w:rFonts w:ascii="Times New Roman" w:hAnsi="Times New Roman" w:cs="Times New Roman"/>
        </w:rPr>
        <w:t>排污许可执行报告及监测数据，主要污染物排放量见表2.1</w:t>
      </w:r>
      <w:r>
        <w:rPr>
          <w:rFonts w:hint="eastAsia" w:ascii="Times New Roman" w:hAnsi="Times New Roman" w:cs="Times New Roman"/>
          <w:lang w:val="en-US" w:eastAsia="zh-CN"/>
        </w:rPr>
        <w:t>0</w:t>
      </w:r>
      <w:r>
        <w:rPr>
          <w:rFonts w:ascii="Times New Roman" w:hAnsi="Times New Roman" w:cs="Times New Roman"/>
        </w:rPr>
        <w:t>-1。</w:t>
      </w:r>
    </w:p>
    <w:p w14:paraId="4E093273">
      <w:pPr>
        <w:spacing w:line="500" w:lineRule="exact"/>
        <w:ind w:right="6"/>
        <w:jc w:val="center"/>
        <w:rPr>
          <w:rFonts w:ascii="Times New Roman" w:hAnsi="Times New Roman" w:eastAsia="黑体" w:cs="Times New Roman"/>
        </w:rPr>
      </w:pPr>
      <w:r>
        <w:rPr>
          <w:rFonts w:ascii="Times New Roman" w:hAnsi="Times New Roman" w:eastAsia="黑体" w:cs="Times New Roman"/>
        </w:rPr>
        <w:t>表2.</w:t>
      </w:r>
      <w:r>
        <w:rPr>
          <w:rFonts w:hint="eastAsia" w:ascii="Times New Roman" w:hAnsi="Times New Roman" w:eastAsia="黑体" w:cs="Times New Roman"/>
        </w:rPr>
        <w:t>1</w:t>
      </w:r>
      <w:r>
        <w:rPr>
          <w:rFonts w:hint="eastAsia" w:ascii="Times New Roman" w:hAnsi="Times New Roman" w:eastAsia="黑体" w:cs="Times New Roman"/>
          <w:lang w:val="en-US" w:eastAsia="zh-CN"/>
        </w:rPr>
        <w:t>0</w:t>
      </w:r>
      <w:r>
        <w:rPr>
          <w:rFonts w:ascii="Times New Roman" w:hAnsi="Times New Roman" w:eastAsia="黑体" w:cs="Times New Roman"/>
        </w:rPr>
        <w:t>-</w:t>
      </w:r>
      <w:r>
        <w:rPr>
          <w:rFonts w:hint="eastAsia" w:ascii="Times New Roman" w:hAnsi="Times New Roman" w:eastAsia="黑体" w:cs="Times New Roman"/>
        </w:rPr>
        <w:t>1</w:t>
      </w:r>
      <w:r>
        <w:rPr>
          <w:rFonts w:ascii="Times New Roman" w:hAnsi="Times New Roman" w:eastAsia="黑体" w:cs="Times New Roman"/>
        </w:rPr>
        <w:t xml:space="preserve">  </w:t>
      </w:r>
      <w:r>
        <w:rPr>
          <w:rFonts w:hint="eastAsia" w:ascii="Times New Roman" w:hAnsi="Times New Roman" w:eastAsia="黑体" w:cs="Times New Roman"/>
        </w:rPr>
        <w:t>已建工程污染物排放量统计</w:t>
      </w:r>
      <w:r>
        <w:rPr>
          <w:rFonts w:ascii="Times New Roman" w:hAnsi="Times New Roman" w:eastAsia="黑体" w:cs="Times New Roman"/>
        </w:rPr>
        <w:t>表</w:t>
      </w:r>
    </w:p>
    <w:tbl>
      <w:tblPr>
        <w:tblStyle w:val="56"/>
        <w:tblW w:w="5000" w:type="pct"/>
        <w:tblInd w:w="0" w:type="dxa"/>
        <w:tblBorders>
          <w:top w:val="thinThickSmallGap" w:color="auto" w:sz="12" w:space="0"/>
          <w:left w:val="none" w:color="auto" w:sz="0" w:space="0"/>
          <w:bottom w:val="thickThinSmallGap" w:color="auto" w:sz="12" w:space="0"/>
          <w:right w:val="none" w:color="auto" w:sz="0" w:space="0"/>
          <w:insideH w:val="single" w:color="auto" w:sz="2" w:space="0"/>
          <w:insideV w:val="single" w:color="auto" w:sz="2" w:space="0"/>
        </w:tblBorders>
        <w:tblLayout w:type="autofit"/>
        <w:tblCellMar>
          <w:top w:w="0" w:type="dxa"/>
          <w:left w:w="108" w:type="dxa"/>
          <w:bottom w:w="0" w:type="dxa"/>
          <w:right w:w="108" w:type="dxa"/>
        </w:tblCellMar>
      </w:tblPr>
      <w:tblGrid>
        <w:gridCol w:w="1551"/>
        <w:gridCol w:w="1274"/>
        <w:gridCol w:w="1965"/>
        <w:gridCol w:w="1965"/>
        <w:gridCol w:w="1966"/>
      </w:tblGrid>
      <w:tr w14:paraId="02745897">
        <w:tblPrEx>
          <w:tblBorders>
            <w:top w:val="thinThickSmallGap" w:color="auto" w:sz="12" w:space="0"/>
            <w:left w:val="none" w:color="auto" w:sz="0" w:space="0"/>
            <w:bottom w:val="thickThinSmallGap" w:color="auto" w:sz="12"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97" w:hRule="atLeast"/>
          <w:tblHeader/>
        </w:trPr>
        <w:tc>
          <w:tcPr>
            <w:tcW w:w="889" w:type="pct"/>
            <w:shd w:val="clear" w:color="auto" w:fill="E0E0E0"/>
            <w:noWrap w:val="0"/>
            <w:vAlign w:val="center"/>
          </w:tcPr>
          <w:p w14:paraId="4EFCF47F">
            <w:pPr>
              <w:pStyle w:val="506"/>
              <w:spacing w:line="240" w:lineRule="auto"/>
              <w:rPr>
                <w:szCs w:val="21"/>
                <w:lang w:val="en-US" w:eastAsia="zh-CN"/>
              </w:rPr>
            </w:pPr>
            <w:r>
              <w:rPr>
                <w:rFonts w:hint="eastAsia"/>
                <w:szCs w:val="21"/>
                <w:lang w:val="en-US" w:eastAsia="zh-CN"/>
              </w:rPr>
              <w:t>排放口</w:t>
            </w:r>
          </w:p>
        </w:tc>
        <w:tc>
          <w:tcPr>
            <w:tcW w:w="730" w:type="pct"/>
            <w:shd w:val="clear" w:color="auto" w:fill="E0E0E0"/>
            <w:noWrap w:val="0"/>
            <w:vAlign w:val="center"/>
          </w:tcPr>
          <w:p w14:paraId="67BC43B8">
            <w:pPr>
              <w:pStyle w:val="506"/>
              <w:spacing w:line="240" w:lineRule="auto"/>
              <w:rPr>
                <w:szCs w:val="21"/>
                <w:lang w:val="en-US" w:eastAsia="zh-CN"/>
              </w:rPr>
            </w:pPr>
            <w:r>
              <w:rPr>
                <w:szCs w:val="21"/>
                <w:lang w:val="en-US" w:eastAsia="zh-CN"/>
              </w:rPr>
              <w:t>污染物</w:t>
            </w:r>
          </w:p>
        </w:tc>
        <w:tc>
          <w:tcPr>
            <w:tcW w:w="1126" w:type="pct"/>
            <w:shd w:val="clear" w:color="auto" w:fill="E0E0E0"/>
            <w:noWrap w:val="0"/>
            <w:vAlign w:val="center"/>
          </w:tcPr>
          <w:p w14:paraId="0E6B959E">
            <w:pPr>
              <w:pStyle w:val="506"/>
              <w:spacing w:line="240" w:lineRule="auto"/>
              <w:rPr>
                <w:szCs w:val="21"/>
                <w:lang w:val="en-US" w:eastAsia="zh-CN"/>
              </w:rPr>
            </w:pPr>
            <w:r>
              <w:rPr>
                <w:rFonts w:hint="eastAsia"/>
                <w:szCs w:val="21"/>
                <w:lang w:val="en-US" w:eastAsia="zh-CN"/>
              </w:rPr>
              <w:t>有组织</w:t>
            </w:r>
            <w:r>
              <w:rPr>
                <w:szCs w:val="21"/>
                <w:lang w:val="en-US" w:eastAsia="zh-CN"/>
              </w:rPr>
              <w:t>排放量（t/a）</w:t>
            </w:r>
          </w:p>
        </w:tc>
        <w:tc>
          <w:tcPr>
            <w:tcW w:w="1126" w:type="pct"/>
            <w:shd w:val="clear" w:color="auto" w:fill="E0E0E0"/>
            <w:noWrap w:val="0"/>
            <w:vAlign w:val="center"/>
          </w:tcPr>
          <w:p w14:paraId="5A843409">
            <w:pPr>
              <w:pStyle w:val="506"/>
              <w:spacing w:line="240" w:lineRule="auto"/>
              <w:rPr>
                <w:szCs w:val="21"/>
                <w:lang w:val="en-US" w:eastAsia="zh-CN"/>
              </w:rPr>
            </w:pPr>
            <w:r>
              <w:rPr>
                <w:rFonts w:hint="eastAsia"/>
                <w:szCs w:val="21"/>
                <w:lang w:val="en-US" w:eastAsia="zh-CN"/>
              </w:rPr>
              <w:t>无组织</w:t>
            </w:r>
            <w:r>
              <w:rPr>
                <w:szCs w:val="21"/>
                <w:lang w:val="en-US" w:eastAsia="zh-CN"/>
              </w:rPr>
              <w:t>排放量（t/a）</w:t>
            </w:r>
          </w:p>
        </w:tc>
        <w:tc>
          <w:tcPr>
            <w:tcW w:w="1127" w:type="pct"/>
            <w:shd w:val="clear" w:color="auto" w:fill="E0E0E0"/>
            <w:noWrap w:val="0"/>
            <w:vAlign w:val="center"/>
          </w:tcPr>
          <w:p w14:paraId="16D48D54">
            <w:pPr>
              <w:pStyle w:val="506"/>
              <w:spacing w:line="240" w:lineRule="auto"/>
              <w:rPr>
                <w:szCs w:val="21"/>
                <w:lang w:val="en-US" w:eastAsia="zh-CN"/>
              </w:rPr>
            </w:pPr>
            <w:r>
              <w:rPr>
                <w:rFonts w:hint="eastAsia"/>
                <w:szCs w:val="21"/>
                <w:lang w:val="en-US" w:eastAsia="zh-CN"/>
              </w:rPr>
              <w:t>小计</w:t>
            </w:r>
            <w:r>
              <w:rPr>
                <w:szCs w:val="21"/>
                <w:lang w:val="en-US" w:eastAsia="zh-CN"/>
              </w:rPr>
              <w:t>（t/a）</w:t>
            </w:r>
          </w:p>
        </w:tc>
      </w:tr>
      <w:tr w14:paraId="1297FDBB">
        <w:tblPrEx>
          <w:tblBorders>
            <w:top w:val="thinThickSmallGap" w:color="auto" w:sz="12" w:space="0"/>
            <w:left w:val="none" w:color="auto" w:sz="0" w:space="0"/>
            <w:bottom w:val="thickThinSmallGap" w:color="auto" w:sz="12"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97" w:hRule="atLeast"/>
        </w:trPr>
        <w:tc>
          <w:tcPr>
            <w:tcW w:w="889" w:type="pct"/>
            <w:shd w:val="clear" w:color="auto" w:fill="auto"/>
            <w:noWrap w:val="0"/>
            <w:vAlign w:val="center"/>
          </w:tcPr>
          <w:p w14:paraId="5926139B">
            <w:pPr>
              <w:ind w:left="0" w:leftChars="0" w:firstLine="0" w:firstLineChars="0"/>
              <w:jc w:val="both"/>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cs="Times New Roman"/>
                <w:sz w:val="21"/>
                <w:szCs w:val="21"/>
                <w:highlight w:val="none"/>
              </w:rPr>
              <w:t>DA001</w:t>
            </w:r>
          </w:p>
        </w:tc>
        <w:tc>
          <w:tcPr>
            <w:tcW w:w="730" w:type="pct"/>
            <w:noWrap w:val="0"/>
            <w:vAlign w:val="center"/>
          </w:tcPr>
          <w:p w14:paraId="6EEF69D8">
            <w:pPr>
              <w:pStyle w:val="506"/>
              <w:spacing w:line="240" w:lineRule="auto"/>
              <w:rPr>
                <w:rFonts w:hint="eastAsia"/>
                <w:szCs w:val="21"/>
              </w:rPr>
            </w:pPr>
            <w:r>
              <w:rPr>
                <w:rFonts w:hint="eastAsia"/>
                <w:szCs w:val="21"/>
              </w:rPr>
              <w:t>颗粒物</w:t>
            </w:r>
          </w:p>
        </w:tc>
        <w:tc>
          <w:tcPr>
            <w:tcW w:w="1126" w:type="pct"/>
            <w:noWrap w:val="0"/>
            <w:vAlign w:val="center"/>
          </w:tcPr>
          <w:p w14:paraId="71018BE6">
            <w:pPr>
              <w:jc w:val="center"/>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2.0592</w:t>
            </w:r>
          </w:p>
        </w:tc>
        <w:tc>
          <w:tcPr>
            <w:tcW w:w="1126" w:type="pct"/>
            <w:noWrap w:val="0"/>
            <w:vAlign w:val="center"/>
          </w:tcPr>
          <w:p w14:paraId="4D568400">
            <w:pPr>
              <w:jc w:val="center"/>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0</w:t>
            </w:r>
          </w:p>
        </w:tc>
        <w:tc>
          <w:tcPr>
            <w:tcW w:w="1127" w:type="pct"/>
            <w:noWrap w:val="0"/>
            <w:vAlign w:val="center"/>
          </w:tcPr>
          <w:p w14:paraId="3EB04CA9">
            <w:pPr>
              <w:jc w:val="center"/>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2.0592</w:t>
            </w:r>
          </w:p>
        </w:tc>
      </w:tr>
      <w:tr w14:paraId="41968980">
        <w:tblPrEx>
          <w:tblBorders>
            <w:top w:val="thinThickSmallGap" w:color="auto" w:sz="12" w:space="0"/>
            <w:left w:val="none" w:color="auto" w:sz="0" w:space="0"/>
            <w:bottom w:val="thickThinSmallGap" w:color="auto" w:sz="12"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97" w:hRule="atLeast"/>
        </w:trPr>
        <w:tc>
          <w:tcPr>
            <w:tcW w:w="889" w:type="pct"/>
            <w:vMerge w:val="restart"/>
            <w:shd w:val="clear" w:color="auto" w:fill="auto"/>
            <w:noWrap w:val="0"/>
            <w:vAlign w:val="center"/>
          </w:tcPr>
          <w:p w14:paraId="7548E7BE">
            <w:pPr>
              <w:ind w:left="0" w:leftChars="0" w:firstLine="0" w:firstLineChars="0"/>
              <w:jc w:val="both"/>
              <w:rPr>
                <w:szCs w:val="21"/>
                <w:lang w:val="en-US" w:eastAsia="zh-CN"/>
              </w:rPr>
            </w:pPr>
            <w:r>
              <w:rPr>
                <w:rFonts w:hint="eastAsia" w:ascii="Times New Roman" w:hAnsi="Times New Roman" w:cs="Times New Roman"/>
                <w:sz w:val="21"/>
                <w:szCs w:val="21"/>
                <w:highlight w:val="none"/>
              </w:rPr>
              <w:t>DA002</w:t>
            </w:r>
          </w:p>
        </w:tc>
        <w:tc>
          <w:tcPr>
            <w:tcW w:w="730" w:type="pct"/>
            <w:noWrap w:val="0"/>
            <w:vAlign w:val="center"/>
          </w:tcPr>
          <w:p w14:paraId="670EE94C">
            <w:pPr>
              <w:pStyle w:val="506"/>
              <w:spacing w:line="240" w:lineRule="auto"/>
              <w:rPr>
                <w:szCs w:val="21"/>
                <w:lang w:val="en-US"/>
              </w:rPr>
            </w:pPr>
            <w:r>
              <w:rPr>
                <w:rFonts w:hint="eastAsia"/>
                <w:szCs w:val="21"/>
              </w:rPr>
              <w:t>颗粒物</w:t>
            </w:r>
          </w:p>
        </w:tc>
        <w:tc>
          <w:tcPr>
            <w:tcW w:w="1126" w:type="pct"/>
            <w:noWrap w:val="0"/>
            <w:vAlign w:val="center"/>
          </w:tcPr>
          <w:p w14:paraId="4DCD855D">
            <w:pPr>
              <w:jc w:val="center"/>
              <w:rPr>
                <w:rFonts w:ascii="Times New Roman" w:hAnsi="Times New Roman" w:eastAsia="宋体" w:cs="Times New Roman"/>
                <w:sz w:val="21"/>
                <w:szCs w:val="21"/>
              </w:rPr>
            </w:pPr>
            <w:r>
              <w:rPr>
                <w:rFonts w:hint="eastAsia" w:ascii="Times New Roman" w:hAnsi="Times New Roman" w:eastAsia="宋体" w:cs="Times New Roman"/>
                <w:sz w:val="21"/>
                <w:szCs w:val="21"/>
                <w:lang w:val="en-US" w:eastAsia="zh-CN"/>
              </w:rPr>
              <w:t>7.0488</w:t>
            </w:r>
          </w:p>
        </w:tc>
        <w:tc>
          <w:tcPr>
            <w:tcW w:w="1126" w:type="pct"/>
            <w:noWrap w:val="0"/>
            <w:vAlign w:val="center"/>
          </w:tcPr>
          <w:p w14:paraId="0293FBF5">
            <w:pPr>
              <w:jc w:val="center"/>
              <w:rPr>
                <w:rFonts w:ascii="Times New Roman" w:hAnsi="Times New Roman" w:cs="Times New Roman"/>
                <w:sz w:val="21"/>
                <w:szCs w:val="21"/>
              </w:rPr>
            </w:pPr>
            <w:r>
              <w:rPr>
                <w:rFonts w:ascii="Times New Roman" w:hAnsi="Times New Roman" w:cs="Times New Roman"/>
                <w:sz w:val="21"/>
                <w:szCs w:val="21"/>
              </w:rPr>
              <w:t>0</w:t>
            </w:r>
          </w:p>
        </w:tc>
        <w:tc>
          <w:tcPr>
            <w:tcW w:w="1966" w:type="dxa"/>
            <w:noWrap w:val="0"/>
            <w:vAlign w:val="center"/>
          </w:tcPr>
          <w:p w14:paraId="7DC6AD2C">
            <w:pPr>
              <w:jc w:val="center"/>
              <w:rPr>
                <w:rFonts w:ascii="Times New Roman" w:hAnsi="Times New Roman" w:cs="Times New Roman"/>
                <w:sz w:val="21"/>
                <w:szCs w:val="21"/>
              </w:rPr>
            </w:pPr>
            <w:r>
              <w:rPr>
                <w:rFonts w:hint="eastAsia" w:ascii="Times New Roman" w:hAnsi="Times New Roman" w:eastAsia="宋体" w:cs="Times New Roman"/>
                <w:sz w:val="21"/>
                <w:szCs w:val="21"/>
                <w:lang w:val="en-US" w:eastAsia="zh-CN"/>
              </w:rPr>
              <w:t>7.0488</w:t>
            </w:r>
          </w:p>
        </w:tc>
      </w:tr>
      <w:tr w14:paraId="6F897CAA">
        <w:tblPrEx>
          <w:tblBorders>
            <w:top w:val="thinThickSmallGap" w:color="auto" w:sz="12" w:space="0"/>
            <w:left w:val="none" w:color="auto" w:sz="0" w:space="0"/>
            <w:bottom w:val="thickThinSmallGap" w:color="auto" w:sz="12"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97" w:hRule="atLeast"/>
        </w:trPr>
        <w:tc>
          <w:tcPr>
            <w:tcW w:w="889" w:type="pct"/>
            <w:vMerge w:val="continue"/>
            <w:shd w:val="clear" w:color="auto" w:fill="auto"/>
            <w:noWrap w:val="0"/>
            <w:vAlign w:val="center"/>
          </w:tcPr>
          <w:p w14:paraId="6A0AB54D">
            <w:pPr>
              <w:pStyle w:val="506"/>
              <w:spacing w:line="240" w:lineRule="auto"/>
              <w:rPr>
                <w:szCs w:val="21"/>
                <w:lang w:val="en-US" w:eastAsia="zh-CN"/>
              </w:rPr>
            </w:pPr>
          </w:p>
        </w:tc>
        <w:tc>
          <w:tcPr>
            <w:tcW w:w="730" w:type="pct"/>
            <w:noWrap w:val="0"/>
            <w:vAlign w:val="center"/>
          </w:tcPr>
          <w:p w14:paraId="7095F8B8">
            <w:pPr>
              <w:pStyle w:val="506"/>
              <w:spacing w:line="240" w:lineRule="auto"/>
              <w:rPr>
                <w:szCs w:val="21"/>
                <w:lang w:val="en-US"/>
              </w:rPr>
            </w:pPr>
            <w:r>
              <w:rPr>
                <w:rFonts w:hint="eastAsia"/>
                <w:szCs w:val="21"/>
                <w:lang w:eastAsia="zh-CN"/>
              </w:rPr>
              <w:t>SO</w:t>
            </w:r>
            <w:r>
              <w:rPr>
                <w:rFonts w:hint="eastAsia"/>
                <w:szCs w:val="21"/>
                <w:vertAlign w:val="subscript"/>
                <w:lang w:eastAsia="zh-CN"/>
              </w:rPr>
              <w:t>2</w:t>
            </w:r>
          </w:p>
        </w:tc>
        <w:tc>
          <w:tcPr>
            <w:tcW w:w="1126" w:type="pct"/>
            <w:shd w:val="clear" w:color="auto" w:fill="auto"/>
            <w:noWrap w:val="0"/>
            <w:vAlign w:val="center"/>
          </w:tcPr>
          <w:p w14:paraId="65DE62B9">
            <w:pPr>
              <w:jc w:val="center"/>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14.652</w:t>
            </w:r>
          </w:p>
        </w:tc>
        <w:tc>
          <w:tcPr>
            <w:tcW w:w="1126" w:type="pct"/>
            <w:noWrap w:val="0"/>
            <w:vAlign w:val="center"/>
          </w:tcPr>
          <w:p w14:paraId="08C3409D">
            <w:pPr>
              <w:jc w:val="center"/>
              <w:rPr>
                <w:rFonts w:ascii="Times New Roman" w:hAnsi="Times New Roman" w:cs="Times New Roman"/>
                <w:sz w:val="21"/>
                <w:szCs w:val="21"/>
              </w:rPr>
            </w:pPr>
            <w:r>
              <w:rPr>
                <w:rFonts w:ascii="Times New Roman" w:hAnsi="Times New Roman" w:cs="Times New Roman"/>
                <w:sz w:val="21"/>
                <w:szCs w:val="21"/>
              </w:rPr>
              <w:t>0</w:t>
            </w:r>
          </w:p>
        </w:tc>
        <w:tc>
          <w:tcPr>
            <w:tcW w:w="1966" w:type="dxa"/>
            <w:noWrap w:val="0"/>
            <w:vAlign w:val="center"/>
          </w:tcPr>
          <w:p w14:paraId="2E6E514F">
            <w:pPr>
              <w:jc w:val="center"/>
              <w:rPr>
                <w:rFonts w:ascii="Times New Roman" w:hAnsi="Times New Roman" w:cs="Times New Roman"/>
                <w:sz w:val="21"/>
                <w:szCs w:val="21"/>
              </w:rPr>
            </w:pPr>
            <w:r>
              <w:rPr>
                <w:rFonts w:hint="eastAsia" w:ascii="Times New Roman" w:hAnsi="Times New Roman" w:eastAsia="宋体" w:cs="Times New Roman"/>
                <w:sz w:val="21"/>
                <w:szCs w:val="21"/>
                <w:lang w:val="en-US" w:eastAsia="zh-CN"/>
              </w:rPr>
              <w:t>14.652</w:t>
            </w:r>
          </w:p>
        </w:tc>
      </w:tr>
      <w:tr w14:paraId="22EFF995">
        <w:tblPrEx>
          <w:tblBorders>
            <w:top w:val="thinThickSmallGap" w:color="auto" w:sz="12" w:space="0"/>
            <w:left w:val="none" w:color="auto" w:sz="0" w:space="0"/>
            <w:bottom w:val="thickThinSmallGap" w:color="auto" w:sz="12"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97" w:hRule="atLeast"/>
        </w:trPr>
        <w:tc>
          <w:tcPr>
            <w:tcW w:w="889" w:type="pct"/>
            <w:vMerge w:val="continue"/>
            <w:shd w:val="clear" w:color="auto" w:fill="auto"/>
            <w:noWrap w:val="0"/>
            <w:vAlign w:val="center"/>
          </w:tcPr>
          <w:p w14:paraId="5AAAE178">
            <w:pPr>
              <w:ind w:left="0" w:leftChars="0" w:firstLine="0" w:firstLineChars="0"/>
              <w:jc w:val="both"/>
              <w:rPr>
                <w:rFonts w:hint="eastAsia" w:eastAsia="宋体" w:cs="Times New Roman" w:asciiTheme="minorHAnsi" w:hAnsiTheme="minorHAnsi"/>
                <w:color w:val="auto"/>
                <w:kern w:val="2"/>
                <w:sz w:val="21"/>
                <w:szCs w:val="21"/>
                <w:highlight w:val="none"/>
                <w:lang w:val="en-US" w:eastAsia="zh-CN" w:bidi="ar-SA"/>
              </w:rPr>
            </w:pPr>
          </w:p>
        </w:tc>
        <w:tc>
          <w:tcPr>
            <w:tcW w:w="730" w:type="pct"/>
            <w:noWrap w:val="0"/>
            <w:vAlign w:val="center"/>
          </w:tcPr>
          <w:p w14:paraId="62E14062">
            <w:pPr>
              <w:pStyle w:val="506"/>
              <w:spacing w:line="240" w:lineRule="auto"/>
              <w:rPr>
                <w:szCs w:val="21"/>
                <w:lang w:val="en-US"/>
              </w:rPr>
            </w:pPr>
            <w:r>
              <w:rPr>
                <w:rFonts w:hint="eastAsia"/>
                <w:szCs w:val="21"/>
                <w:lang w:eastAsia="zh-CN"/>
              </w:rPr>
              <w:t>NO</w:t>
            </w:r>
            <w:r>
              <w:rPr>
                <w:rFonts w:hint="eastAsia"/>
                <w:szCs w:val="21"/>
                <w:vertAlign w:val="subscript"/>
                <w:lang w:val="en-US" w:eastAsia="zh-CN"/>
              </w:rPr>
              <w:t>x</w:t>
            </w:r>
          </w:p>
        </w:tc>
        <w:tc>
          <w:tcPr>
            <w:tcW w:w="1126" w:type="pct"/>
            <w:shd w:val="clear" w:color="auto" w:fill="auto"/>
            <w:noWrap w:val="0"/>
            <w:vAlign w:val="center"/>
          </w:tcPr>
          <w:p w14:paraId="6821790B">
            <w:pPr>
              <w:jc w:val="center"/>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42.2136</w:t>
            </w:r>
          </w:p>
        </w:tc>
        <w:tc>
          <w:tcPr>
            <w:tcW w:w="1126" w:type="pct"/>
            <w:noWrap w:val="0"/>
            <w:vAlign w:val="center"/>
          </w:tcPr>
          <w:p w14:paraId="5E8B0B59">
            <w:pPr>
              <w:jc w:val="center"/>
              <w:rPr>
                <w:rFonts w:ascii="Times New Roman" w:hAnsi="Times New Roman" w:cs="Times New Roman"/>
                <w:sz w:val="21"/>
                <w:szCs w:val="21"/>
              </w:rPr>
            </w:pPr>
            <w:r>
              <w:rPr>
                <w:rFonts w:ascii="Times New Roman" w:hAnsi="Times New Roman" w:cs="Times New Roman"/>
                <w:sz w:val="21"/>
                <w:szCs w:val="21"/>
              </w:rPr>
              <w:t>0</w:t>
            </w:r>
          </w:p>
        </w:tc>
        <w:tc>
          <w:tcPr>
            <w:tcW w:w="1966" w:type="dxa"/>
            <w:noWrap w:val="0"/>
            <w:vAlign w:val="center"/>
          </w:tcPr>
          <w:p w14:paraId="10D73FC5">
            <w:pPr>
              <w:jc w:val="center"/>
              <w:rPr>
                <w:rFonts w:ascii="Times New Roman" w:hAnsi="Times New Roman" w:cs="Times New Roman"/>
                <w:sz w:val="21"/>
                <w:szCs w:val="21"/>
              </w:rPr>
            </w:pPr>
            <w:r>
              <w:rPr>
                <w:rFonts w:hint="eastAsia" w:ascii="Times New Roman" w:hAnsi="Times New Roman" w:eastAsia="宋体" w:cs="Times New Roman"/>
                <w:sz w:val="21"/>
                <w:szCs w:val="21"/>
                <w:lang w:val="en-US" w:eastAsia="zh-CN"/>
              </w:rPr>
              <w:t>42.2136</w:t>
            </w:r>
          </w:p>
        </w:tc>
      </w:tr>
      <w:tr w14:paraId="064AEE4E">
        <w:tblPrEx>
          <w:tblBorders>
            <w:top w:val="thinThickSmallGap" w:color="auto" w:sz="12" w:space="0"/>
            <w:left w:val="none" w:color="auto" w:sz="0" w:space="0"/>
            <w:bottom w:val="thickThinSmallGap" w:color="auto" w:sz="12"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97" w:hRule="atLeast"/>
        </w:trPr>
        <w:tc>
          <w:tcPr>
            <w:tcW w:w="889" w:type="pct"/>
            <w:shd w:val="clear" w:color="auto" w:fill="auto"/>
            <w:noWrap w:val="0"/>
            <w:vAlign w:val="center"/>
          </w:tcPr>
          <w:p w14:paraId="691C6AB4">
            <w:pPr>
              <w:ind w:left="0" w:leftChars="0" w:firstLine="0" w:firstLineChars="0"/>
              <w:jc w:val="both"/>
              <w:rPr>
                <w:rFonts w:hint="eastAsia" w:eastAsia="宋体" w:cs="Times New Roman" w:asciiTheme="minorHAnsi" w:hAnsiTheme="minorHAnsi"/>
                <w:color w:val="auto"/>
                <w:kern w:val="2"/>
                <w:sz w:val="21"/>
                <w:szCs w:val="21"/>
                <w:highlight w:val="none"/>
                <w:lang w:val="en-US" w:eastAsia="zh-CN" w:bidi="ar-SA"/>
              </w:rPr>
            </w:pPr>
            <w:r>
              <w:rPr>
                <w:rFonts w:hint="eastAsia" w:ascii="Times New Roman" w:hAnsi="Times New Roman" w:cs="Times New Roman"/>
                <w:sz w:val="21"/>
                <w:szCs w:val="21"/>
                <w:highlight w:val="none"/>
              </w:rPr>
              <w:t>DA003</w:t>
            </w:r>
          </w:p>
        </w:tc>
        <w:tc>
          <w:tcPr>
            <w:tcW w:w="730" w:type="pct"/>
            <w:noWrap w:val="0"/>
            <w:vAlign w:val="center"/>
          </w:tcPr>
          <w:p w14:paraId="2D65CBA8">
            <w:pPr>
              <w:pStyle w:val="506"/>
              <w:spacing w:line="240" w:lineRule="auto"/>
              <w:rPr>
                <w:rFonts w:hint="eastAsia"/>
                <w:szCs w:val="21"/>
              </w:rPr>
            </w:pPr>
            <w:r>
              <w:rPr>
                <w:rFonts w:hint="eastAsia"/>
                <w:szCs w:val="21"/>
              </w:rPr>
              <w:t>颗粒物</w:t>
            </w:r>
          </w:p>
        </w:tc>
        <w:tc>
          <w:tcPr>
            <w:tcW w:w="1126" w:type="pct"/>
            <w:shd w:val="clear" w:color="auto" w:fill="auto"/>
            <w:noWrap w:val="0"/>
            <w:vAlign w:val="center"/>
          </w:tcPr>
          <w:p w14:paraId="1F98EF85">
            <w:pPr>
              <w:jc w:val="center"/>
              <w:rPr>
                <w:rFonts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2.2968</w:t>
            </w:r>
          </w:p>
        </w:tc>
        <w:tc>
          <w:tcPr>
            <w:tcW w:w="1126" w:type="pct"/>
            <w:noWrap w:val="0"/>
            <w:vAlign w:val="center"/>
          </w:tcPr>
          <w:p w14:paraId="2C8E7BBB">
            <w:pPr>
              <w:jc w:val="center"/>
              <w:rPr>
                <w:rFonts w:ascii="Times New Roman" w:hAnsi="Times New Roman" w:cs="Times New Roman"/>
                <w:sz w:val="21"/>
                <w:szCs w:val="21"/>
              </w:rPr>
            </w:pPr>
            <w:r>
              <w:rPr>
                <w:rFonts w:ascii="Times New Roman" w:hAnsi="Times New Roman" w:cs="Times New Roman"/>
                <w:sz w:val="21"/>
                <w:szCs w:val="21"/>
              </w:rPr>
              <w:t>0</w:t>
            </w:r>
          </w:p>
        </w:tc>
        <w:tc>
          <w:tcPr>
            <w:tcW w:w="1966" w:type="dxa"/>
            <w:noWrap w:val="0"/>
            <w:vAlign w:val="center"/>
          </w:tcPr>
          <w:p w14:paraId="644F3447">
            <w:pPr>
              <w:jc w:val="center"/>
              <w:rPr>
                <w:rFonts w:ascii="Times New Roman" w:hAnsi="Times New Roman" w:cs="Times New Roman"/>
                <w:sz w:val="21"/>
                <w:szCs w:val="21"/>
              </w:rPr>
            </w:pPr>
            <w:r>
              <w:rPr>
                <w:rFonts w:hint="eastAsia" w:ascii="Times New Roman" w:hAnsi="Times New Roman" w:eastAsia="宋体" w:cs="Times New Roman"/>
                <w:sz w:val="21"/>
                <w:szCs w:val="21"/>
                <w:lang w:val="en-US" w:eastAsia="zh-CN"/>
              </w:rPr>
              <w:t>2.2968</w:t>
            </w:r>
          </w:p>
        </w:tc>
      </w:tr>
      <w:tr w14:paraId="763DC2E4">
        <w:tblPrEx>
          <w:tblBorders>
            <w:top w:val="thinThickSmallGap" w:color="auto" w:sz="12" w:space="0"/>
            <w:left w:val="none" w:color="auto" w:sz="0" w:space="0"/>
            <w:bottom w:val="thickThinSmallGap" w:color="auto" w:sz="12"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97" w:hRule="atLeast"/>
        </w:trPr>
        <w:tc>
          <w:tcPr>
            <w:tcW w:w="889" w:type="pct"/>
            <w:shd w:val="clear" w:color="auto" w:fill="auto"/>
            <w:noWrap w:val="0"/>
            <w:vAlign w:val="center"/>
          </w:tcPr>
          <w:p w14:paraId="4565231A">
            <w:pPr>
              <w:ind w:left="0" w:leftChars="0" w:firstLine="0" w:firstLineChars="0"/>
              <w:jc w:val="both"/>
              <w:rPr>
                <w:rFonts w:hint="default" w:ascii="Times New Roman" w:hAnsi="Times New Roman" w:eastAsia="宋体" w:cs="Times New Roman"/>
                <w:sz w:val="21"/>
                <w:szCs w:val="21"/>
                <w:lang w:val="en-US" w:eastAsia="zh-CN" w:bidi="ar-SA"/>
              </w:rPr>
            </w:pPr>
            <w:r>
              <w:rPr>
                <w:rFonts w:hint="eastAsia" w:ascii="Times New Roman" w:hAnsi="Times New Roman" w:cs="Times New Roman"/>
                <w:sz w:val="21"/>
                <w:szCs w:val="21"/>
                <w:highlight w:val="none"/>
              </w:rPr>
              <w:t>DA004</w:t>
            </w:r>
          </w:p>
        </w:tc>
        <w:tc>
          <w:tcPr>
            <w:tcW w:w="730" w:type="pct"/>
            <w:noWrap w:val="0"/>
            <w:vAlign w:val="center"/>
          </w:tcPr>
          <w:p w14:paraId="29866360">
            <w:pPr>
              <w:ind w:left="0" w:leftChars="0" w:firstLine="0" w:firstLineChars="0"/>
              <w:jc w:val="center"/>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颗粒物</w:t>
            </w:r>
          </w:p>
        </w:tc>
        <w:tc>
          <w:tcPr>
            <w:tcW w:w="1126" w:type="pct"/>
            <w:shd w:val="clear" w:color="auto" w:fill="auto"/>
            <w:noWrap w:val="0"/>
            <w:vAlign w:val="center"/>
          </w:tcPr>
          <w:p w14:paraId="6ED0E013">
            <w:pPr>
              <w:jc w:val="center"/>
              <w:rPr>
                <w:rFonts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7.128</w:t>
            </w:r>
          </w:p>
        </w:tc>
        <w:tc>
          <w:tcPr>
            <w:tcW w:w="1126" w:type="pct"/>
            <w:noWrap w:val="0"/>
            <w:vAlign w:val="center"/>
          </w:tcPr>
          <w:p w14:paraId="3FCCCC43">
            <w:pPr>
              <w:jc w:val="center"/>
              <w:rPr>
                <w:rFonts w:ascii="Times New Roman" w:hAnsi="Times New Roman" w:cs="Times New Roman"/>
                <w:sz w:val="21"/>
                <w:szCs w:val="21"/>
              </w:rPr>
            </w:pPr>
            <w:r>
              <w:rPr>
                <w:rFonts w:ascii="Times New Roman" w:hAnsi="Times New Roman" w:cs="Times New Roman"/>
                <w:sz w:val="21"/>
                <w:szCs w:val="21"/>
              </w:rPr>
              <w:t>0</w:t>
            </w:r>
          </w:p>
        </w:tc>
        <w:tc>
          <w:tcPr>
            <w:tcW w:w="1966" w:type="dxa"/>
            <w:noWrap w:val="0"/>
            <w:vAlign w:val="center"/>
          </w:tcPr>
          <w:p w14:paraId="6077A6E4">
            <w:pPr>
              <w:jc w:val="center"/>
              <w:rPr>
                <w:rFonts w:ascii="Times New Roman" w:hAnsi="Times New Roman" w:cs="Times New Roman"/>
                <w:sz w:val="21"/>
                <w:szCs w:val="21"/>
              </w:rPr>
            </w:pPr>
            <w:r>
              <w:rPr>
                <w:rFonts w:hint="eastAsia" w:ascii="Times New Roman" w:hAnsi="Times New Roman" w:eastAsia="宋体" w:cs="Times New Roman"/>
                <w:sz w:val="21"/>
                <w:szCs w:val="21"/>
                <w:lang w:val="en-US" w:eastAsia="zh-CN"/>
              </w:rPr>
              <w:t>7.128</w:t>
            </w:r>
          </w:p>
        </w:tc>
      </w:tr>
      <w:tr w14:paraId="7330F54F">
        <w:tblPrEx>
          <w:tblBorders>
            <w:top w:val="thinThickSmallGap" w:color="auto" w:sz="12" w:space="0"/>
            <w:left w:val="none" w:color="auto" w:sz="0" w:space="0"/>
            <w:bottom w:val="thickThinSmallGap" w:color="auto" w:sz="12"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97" w:hRule="atLeast"/>
        </w:trPr>
        <w:tc>
          <w:tcPr>
            <w:tcW w:w="889" w:type="pct"/>
            <w:shd w:val="clear" w:color="auto" w:fill="auto"/>
            <w:noWrap w:val="0"/>
            <w:vAlign w:val="center"/>
          </w:tcPr>
          <w:p w14:paraId="5CCAE922">
            <w:pPr>
              <w:ind w:left="0" w:leftChars="0" w:firstLine="0" w:firstLineChars="0"/>
              <w:jc w:val="both"/>
              <w:rPr>
                <w:rFonts w:hint="default" w:eastAsia="宋体" w:cs="Times New Roman" w:asciiTheme="minorHAnsi" w:hAnsiTheme="minorHAnsi"/>
                <w:color w:val="auto"/>
                <w:kern w:val="2"/>
                <w:sz w:val="21"/>
                <w:szCs w:val="21"/>
                <w:highlight w:val="none"/>
                <w:lang w:val="en-US" w:eastAsia="zh-CN" w:bidi="ar-SA"/>
              </w:rPr>
            </w:pPr>
            <w:r>
              <w:rPr>
                <w:rFonts w:hint="eastAsia" w:ascii="Times New Roman" w:hAnsi="Times New Roman" w:cs="Times New Roman"/>
                <w:sz w:val="21"/>
                <w:szCs w:val="21"/>
                <w:highlight w:val="none"/>
                <w:lang w:val="en-US" w:eastAsia="zh-CN"/>
              </w:rPr>
              <w:t>DA005</w:t>
            </w:r>
          </w:p>
        </w:tc>
        <w:tc>
          <w:tcPr>
            <w:tcW w:w="730" w:type="pct"/>
            <w:noWrap w:val="0"/>
            <w:vAlign w:val="center"/>
          </w:tcPr>
          <w:p w14:paraId="2A27200E">
            <w:pPr>
              <w:ind w:left="0" w:leftChars="0" w:firstLine="0" w:firstLineChars="0"/>
              <w:jc w:val="center"/>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颗粒物</w:t>
            </w:r>
          </w:p>
        </w:tc>
        <w:tc>
          <w:tcPr>
            <w:tcW w:w="1126" w:type="pct"/>
            <w:shd w:val="clear" w:color="auto" w:fill="auto"/>
            <w:noWrap w:val="0"/>
            <w:vAlign w:val="center"/>
          </w:tcPr>
          <w:p w14:paraId="3B734189">
            <w:pPr>
              <w:jc w:val="center"/>
              <w:rPr>
                <w:rFonts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4.752</w:t>
            </w:r>
          </w:p>
        </w:tc>
        <w:tc>
          <w:tcPr>
            <w:tcW w:w="1126" w:type="pct"/>
            <w:noWrap w:val="0"/>
            <w:vAlign w:val="center"/>
          </w:tcPr>
          <w:p w14:paraId="737606FB">
            <w:pPr>
              <w:jc w:val="center"/>
              <w:rPr>
                <w:rFonts w:ascii="Times New Roman" w:hAnsi="Times New Roman" w:cs="Times New Roman"/>
                <w:sz w:val="21"/>
                <w:szCs w:val="21"/>
              </w:rPr>
            </w:pPr>
            <w:r>
              <w:rPr>
                <w:rFonts w:ascii="Times New Roman" w:hAnsi="Times New Roman" w:cs="Times New Roman"/>
                <w:sz w:val="21"/>
                <w:szCs w:val="21"/>
              </w:rPr>
              <w:t>0</w:t>
            </w:r>
          </w:p>
        </w:tc>
        <w:tc>
          <w:tcPr>
            <w:tcW w:w="1966" w:type="dxa"/>
            <w:noWrap w:val="0"/>
            <w:vAlign w:val="center"/>
          </w:tcPr>
          <w:p w14:paraId="188451A4">
            <w:pPr>
              <w:jc w:val="center"/>
              <w:rPr>
                <w:rFonts w:ascii="Times New Roman" w:hAnsi="Times New Roman" w:cs="Times New Roman"/>
                <w:sz w:val="21"/>
                <w:szCs w:val="21"/>
              </w:rPr>
            </w:pPr>
            <w:r>
              <w:rPr>
                <w:rFonts w:hint="eastAsia" w:ascii="Times New Roman" w:hAnsi="Times New Roman" w:eastAsia="宋体" w:cs="Times New Roman"/>
                <w:sz w:val="21"/>
                <w:szCs w:val="21"/>
                <w:lang w:val="en-US" w:eastAsia="zh-CN"/>
              </w:rPr>
              <w:t>4.752</w:t>
            </w:r>
          </w:p>
        </w:tc>
      </w:tr>
      <w:tr w14:paraId="58B22A2C">
        <w:tblPrEx>
          <w:tblBorders>
            <w:top w:val="thinThickSmallGap" w:color="auto" w:sz="12" w:space="0"/>
            <w:left w:val="none" w:color="auto" w:sz="0" w:space="0"/>
            <w:bottom w:val="thickThinSmallGap" w:color="auto" w:sz="12"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97" w:hRule="atLeast"/>
        </w:trPr>
        <w:tc>
          <w:tcPr>
            <w:tcW w:w="889" w:type="pct"/>
            <w:vMerge w:val="restart"/>
            <w:shd w:val="clear" w:color="auto" w:fill="auto"/>
            <w:noWrap w:val="0"/>
            <w:vAlign w:val="center"/>
          </w:tcPr>
          <w:p w14:paraId="08A2EA3D">
            <w:pPr>
              <w:ind w:left="0" w:leftChars="0" w:firstLine="0" w:firstLineChars="0"/>
              <w:jc w:val="both"/>
              <w:rPr>
                <w:rFonts w:hint="default" w:ascii="Times New Roman" w:hAnsi="Times New Roman" w:eastAsia="宋体" w:cs="Times New Roman"/>
                <w:sz w:val="21"/>
                <w:szCs w:val="21"/>
                <w:lang w:val="en-US" w:eastAsia="zh-CN" w:bidi="ar-SA"/>
              </w:rPr>
            </w:pPr>
            <w:r>
              <w:rPr>
                <w:rFonts w:hint="eastAsia" w:ascii="Times New Roman" w:hAnsi="Times New Roman" w:cs="Times New Roman"/>
                <w:sz w:val="21"/>
                <w:szCs w:val="21"/>
                <w:lang w:val="en-US" w:eastAsia="zh-CN"/>
              </w:rPr>
              <w:t>DA006</w:t>
            </w:r>
          </w:p>
        </w:tc>
        <w:tc>
          <w:tcPr>
            <w:tcW w:w="730" w:type="pct"/>
            <w:noWrap w:val="0"/>
            <w:vAlign w:val="center"/>
          </w:tcPr>
          <w:p w14:paraId="316C66A8">
            <w:pPr>
              <w:ind w:left="0" w:leftChars="0" w:firstLine="0" w:firstLineChars="0"/>
              <w:jc w:val="center"/>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颗粒物</w:t>
            </w:r>
          </w:p>
        </w:tc>
        <w:tc>
          <w:tcPr>
            <w:tcW w:w="1126" w:type="pct"/>
            <w:shd w:val="clear" w:color="auto" w:fill="auto"/>
            <w:noWrap w:val="0"/>
            <w:vAlign w:val="center"/>
          </w:tcPr>
          <w:p w14:paraId="7D2EB8EB">
            <w:pPr>
              <w:jc w:val="center"/>
              <w:rPr>
                <w:rFonts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4.356</w:t>
            </w:r>
          </w:p>
        </w:tc>
        <w:tc>
          <w:tcPr>
            <w:tcW w:w="1126" w:type="pct"/>
            <w:noWrap w:val="0"/>
            <w:vAlign w:val="center"/>
          </w:tcPr>
          <w:p w14:paraId="262F7ECA">
            <w:pPr>
              <w:jc w:val="center"/>
              <w:rPr>
                <w:rFonts w:ascii="Times New Roman" w:hAnsi="Times New Roman" w:cs="Times New Roman"/>
                <w:sz w:val="21"/>
                <w:szCs w:val="21"/>
              </w:rPr>
            </w:pPr>
            <w:r>
              <w:rPr>
                <w:rFonts w:ascii="Times New Roman" w:hAnsi="Times New Roman" w:cs="Times New Roman"/>
                <w:sz w:val="21"/>
                <w:szCs w:val="21"/>
              </w:rPr>
              <w:t>0</w:t>
            </w:r>
          </w:p>
        </w:tc>
        <w:tc>
          <w:tcPr>
            <w:tcW w:w="1966" w:type="dxa"/>
            <w:noWrap w:val="0"/>
            <w:vAlign w:val="center"/>
          </w:tcPr>
          <w:p w14:paraId="174C524C">
            <w:pPr>
              <w:jc w:val="center"/>
              <w:rPr>
                <w:rFonts w:ascii="Times New Roman" w:hAnsi="Times New Roman" w:cs="Times New Roman"/>
                <w:sz w:val="21"/>
                <w:szCs w:val="21"/>
              </w:rPr>
            </w:pPr>
            <w:r>
              <w:rPr>
                <w:rFonts w:hint="eastAsia" w:ascii="Times New Roman" w:hAnsi="Times New Roman" w:eastAsia="宋体" w:cs="Times New Roman"/>
                <w:sz w:val="21"/>
                <w:szCs w:val="21"/>
                <w:lang w:val="en-US" w:eastAsia="zh-CN"/>
              </w:rPr>
              <w:t>4.356</w:t>
            </w:r>
          </w:p>
        </w:tc>
      </w:tr>
      <w:tr w14:paraId="6373A974">
        <w:tblPrEx>
          <w:tblBorders>
            <w:top w:val="thinThickSmallGap" w:color="auto" w:sz="12" w:space="0"/>
            <w:left w:val="none" w:color="auto" w:sz="0" w:space="0"/>
            <w:bottom w:val="thickThinSmallGap" w:color="auto" w:sz="12"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97" w:hRule="atLeast"/>
        </w:trPr>
        <w:tc>
          <w:tcPr>
            <w:tcW w:w="889" w:type="pct"/>
            <w:vMerge w:val="continue"/>
            <w:shd w:val="clear" w:color="auto" w:fill="auto"/>
            <w:noWrap w:val="0"/>
            <w:vAlign w:val="center"/>
          </w:tcPr>
          <w:p w14:paraId="0B0CAA6A">
            <w:pPr>
              <w:ind w:left="0" w:leftChars="0" w:firstLine="0" w:firstLineChars="0"/>
              <w:jc w:val="both"/>
              <w:rPr>
                <w:rFonts w:hint="eastAsia" w:ascii="Times New Roman" w:hAnsi="Times New Roman" w:cs="Times New Roman"/>
                <w:sz w:val="21"/>
                <w:szCs w:val="21"/>
                <w:lang w:val="en-US" w:eastAsia="zh-CN"/>
              </w:rPr>
            </w:pPr>
          </w:p>
        </w:tc>
        <w:tc>
          <w:tcPr>
            <w:tcW w:w="730" w:type="pct"/>
            <w:noWrap w:val="0"/>
            <w:vAlign w:val="center"/>
          </w:tcPr>
          <w:p w14:paraId="00DF563B">
            <w:pPr>
              <w:pStyle w:val="506"/>
              <w:spacing w:line="240" w:lineRule="auto"/>
              <w:rPr>
                <w:rFonts w:hint="eastAsia"/>
                <w:szCs w:val="21"/>
              </w:rPr>
            </w:pPr>
            <w:r>
              <w:rPr>
                <w:rFonts w:hint="eastAsia"/>
                <w:szCs w:val="21"/>
                <w:lang w:eastAsia="zh-CN"/>
              </w:rPr>
              <w:t>SO</w:t>
            </w:r>
            <w:r>
              <w:rPr>
                <w:rFonts w:hint="eastAsia"/>
                <w:szCs w:val="21"/>
                <w:vertAlign w:val="subscript"/>
                <w:lang w:eastAsia="zh-CN"/>
              </w:rPr>
              <w:t>2</w:t>
            </w:r>
          </w:p>
        </w:tc>
        <w:tc>
          <w:tcPr>
            <w:tcW w:w="1126" w:type="pct"/>
            <w:shd w:val="clear" w:color="auto" w:fill="auto"/>
            <w:noWrap w:val="0"/>
            <w:vAlign w:val="center"/>
          </w:tcPr>
          <w:p w14:paraId="59A12AC0">
            <w:pPr>
              <w:jc w:val="center"/>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8.1576</w:t>
            </w:r>
          </w:p>
        </w:tc>
        <w:tc>
          <w:tcPr>
            <w:tcW w:w="1126" w:type="pct"/>
            <w:noWrap w:val="0"/>
            <w:vAlign w:val="center"/>
          </w:tcPr>
          <w:p w14:paraId="257CE6FF">
            <w:pPr>
              <w:jc w:val="center"/>
              <w:rPr>
                <w:rFonts w:ascii="Times New Roman" w:hAnsi="Times New Roman" w:cs="Times New Roman"/>
                <w:sz w:val="21"/>
                <w:szCs w:val="21"/>
              </w:rPr>
            </w:pPr>
            <w:r>
              <w:rPr>
                <w:rFonts w:ascii="Times New Roman" w:hAnsi="Times New Roman" w:cs="Times New Roman"/>
                <w:sz w:val="21"/>
                <w:szCs w:val="21"/>
              </w:rPr>
              <w:t>0</w:t>
            </w:r>
          </w:p>
        </w:tc>
        <w:tc>
          <w:tcPr>
            <w:tcW w:w="1966" w:type="dxa"/>
            <w:noWrap w:val="0"/>
            <w:vAlign w:val="center"/>
          </w:tcPr>
          <w:p w14:paraId="55C0DE66">
            <w:pPr>
              <w:jc w:val="center"/>
              <w:rPr>
                <w:rFonts w:ascii="Times New Roman" w:hAnsi="Times New Roman" w:cs="Times New Roman"/>
                <w:sz w:val="21"/>
                <w:szCs w:val="21"/>
              </w:rPr>
            </w:pPr>
            <w:r>
              <w:rPr>
                <w:rFonts w:hint="eastAsia" w:ascii="Times New Roman" w:hAnsi="Times New Roman" w:eastAsia="宋体" w:cs="Times New Roman"/>
                <w:sz w:val="21"/>
                <w:szCs w:val="21"/>
                <w:lang w:val="en-US" w:eastAsia="zh-CN"/>
              </w:rPr>
              <w:t>8.1576</w:t>
            </w:r>
          </w:p>
        </w:tc>
      </w:tr>
      <w:tr w14:paraId="4102950E">
        <w:tblPrEx>
          <w:tblBorders>
            <w:top w:val="thinThickSmallGap" w:color="auto" w:sz="12" w:space="0"/>
            <w:left w:val="none" w:color="auto" w:sz="0" w:space="0"/>
            <w:bottom w:val="thickThinSmallGap" w:color="auto" w:sz="12"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97" w:hRule="atLeast"/>
        </w:trPr>
        <w:tc>
          <w:tcPr>
            <w:tcW w:w="889" w:type="pct"/>
            <w:vMerge w:val="continue"/>
            <w:shd w:val="clear" w:color="auto" w:fill="auto"/>
            <w:noWrap w:val="0"/>
            <w:vAlign w:val="center"/>
          </w:tcPr>
          <w:p w14:paraId="733B6651">
            <w:pPr>
              <w:ind w:left="0" w:leftChars="0" w:firstLine="0" w:firstLineChars="0"/>
              <w:jc w:val="both"/>
              <w:rPr>
                <w:rFonts w:hint="eastAsia" w:ascii="Times New Roman" w:hAnsi="Times New Roman" w:cs="Times New Roman"/>
                <w:sz w:val="21"/>
                <w:szCs w:val="21"/>
                <w:lang w:val="en-US" w:eastAsia="zh-CN"/>
              </w:rPr>
            </w:pPr>
          </w:p>
        </w:tc>
        <w:tc>
          <w:tcPr>
            <w:tcW w:w="730" w:type="pct"/>
            <w:noWrap w:val="0"/>
            <w:vAlign w:val="center"/>
          </w:tcPr>
          <w:p w14:paraId="0F8E56C1">
            <w:pPr>
              <w:pStyle w:val="506"/>
              <w:spacing w:line="240" w:lineRule="auto"/>
              <w:rPr>
                <w:rFonts w:hint="eastAsia"/>
                <w:szCs w:val="21"/>
              </w:rPr>
            </w:pPr>
            <w:r>
              <w:rPr>
                <w:rFonts w:hint="eastAsia"/>
                <w:szCs w:val="21"/>
                <w:lang w:eastAsia="zh-CN"/>
              </w:rPr>
              <w:t>NO</w:t>
            </w:r>
            <w:r>
              <w:rPr>
                <w:rFonts w:hint="eastAsia"/>
                <w:szCs w:val="21"/>
                <w:vertAlign w:val="subscript"/>
                <w:lang w:val="en-US" w:eastAsia="zh-CN"/>
              </w:rPr>
              <w:t>x</w:t>
            </w:r>
          </w:p>
        </w:tc>
        <w:tc>
          <w:tcPr>
            <w:tcW w:w="1126" w:type="pct"/>
            <w:shd w:val="clear" w:color="auto" w:fill="auto"/>
            <w:noWrap w:val="0"/>
            <w:vAlign w:val="center"/>
          </w:tcPr>
          <w:p w14:paraId="71F67646">
            <w:pPr>
              <w:jc w:val="center"/>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5.3856</w:t>
            </w:r>
          </w:p>
        </w:tc>
        <w:tc>
          <w:tcPr>
            <w:tcW w:w="1126" w:type="pct"/>
            <w:noWrap w:val="0"/>
            <w:vAlign w:val="center"/>
          </w:tcPr>
          <w:p w14:paraId="421004F2">
            <w:pPr>
              <w:jc w:val="center"/>
              <w:rPr>
                <w:rFonts w:ascii="Times New Roman" w:hAnsi="Times New Roman" w:cs="Times New Roman"/>
                <w:sz w:val="21"/>
                <w:szCs w:val="21"/>
              </w:rPr>
            </w:pPr>
            <w:r>
              <w:rPr>
                <w:rFonts w:ascii="Times New Roman" w:hAnsi="Times New Roman" w:cs="Times New Roman"/>
                <w:sz w:val="21"/>
                <w:szCs w:val="21"/>
              </w:rPr>
              <w:t>0</w:t>
            </w:r>
          </w:p>
        </w:tc>
        <w:tc>
          <w:tcPr>
            <w:tcW w:w="1966" w:type="dxa"/>
            <w:noWrap w:val="0"/>
            <w:vAlign w:val="center"/>
          </w:tcPr>
          <w:p w14:paraId="45597466">
            <w:pPr>
              <w:jc w:val="center"/>
              <w:rPr>
                <w:rFonts w:ascii="Times New Roman" w:hAnsi="Times New Roman" w:cs="Times New Roman"/>
                <w:sz w:val="21"/>
                <w:szCs w:val="21"/>
              </w:rPr>
            </w:pPr>
            <w:r>
              <w:rPr>
                <w:rFonts w:hint="eastAsia" w:ascii="Times New Roman" w:hAnsi="Times New Roman" w:eastAsia="宋体" w:cs="Times New Roman"/>
                <w:sz w:val="21"/>
                <w:szCs w:val="21"/>
                <w:lang w:val="en-US" w:eastAsia="zh-CN"/>
              </w:rPr>
              <w:t>5.3856</w:t>
            </w:r>
          </w:p>
        </w:tc>
      </w:tr>
      <w:tr w14:paraId="4B998359">
        <w:tblPrEx>
          <w:tblBorders>
            <w:top w:val="thinThickSmallGap" w:color="auto" w:sz="12" w:space="0"/>
            <w:left w:val="none" w:color="auto" w:sz="0" w:space="0"/>
            <w:bottom w:val="thickThinSmallGap" w:color="auto" w:sz="12"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97" w:hRule="atLeast"/>
        </w:trPr>
        <w:tc>
          <w:tcPr>
            <w:tcW w:w="889" w:type="pct"/>
            <w:shd w:val="clear" w:color="auto" w:fill="auto"/>
            <w:noWrap w:val="0"/>
            <w:vAlign w:val="center"/>
          </w:tcPr>
          <w:p w14:paraId="4199BF87">
            <w:pPr>
              <w:ind w:left="0" w:leftChars="0" w:firstLine="0" w:firstLineChars="0"/>
              <w:jc w:val="both"/>
              <w:rPr>
                <w:rFonts w:hint="default" w:ascii="Times New Roman" w:hAnsi="Times New Roman" w:eastAsia="宋体" w:cs="Times New Roman"/>
                <w:sz w:val="21"/>
                <w:szCs w:val="21"/>
                <w:lang w:val="en-US" w:eastAsia="zh-CN" w:bidi="ar-SA"/>
              </w:rPr>
            </w:pPr>
            <w:r>
              <w:rPr>
                <w:rFonts w:hint="eastAsia" w:ascii="Times New Roman" w:hAnsi="Times New Roman" w:cs="Times New Roman"/>
                <w:sz w:val="21"/>
                <w:szCs w:val="21"/>
                <w:lang w:val="en-US" w:eastAsia="zh-CN"/>
              </w:rPr>
              <w:t>DA007</w:t>
            </w:r>
          </w:p>
        </w:tc>
        <w:tc>
          <w:tcPr>
            <w:tcW w:w="730" w:type="pct"/>
            <w:noWrap w:val="0"/>
            <w:vAlign w:val="center"/>
          </w:tcPr>
          <w:p w14:paraId="66A4F584">
            <w:pPr>
              <w:pStyle w:val="506"/>
              <w:spacing w:line="240" w:lineRule="auto"/>
              <w:rPr>
                <w:rFonts w:hint="eastAsia"/>
                <w:szCs w:val="21"/>
              </w:rPr>
            </w:pPr>
            <w:r>
              <w:rPr>
                <w:rFonts w:hint="eastAsia"/>
                <w:szCs w:val="21"/>
              </w:rPr>
              <w:t>颗粒物</w:t>
            </w:r>
          </w:p>
        </w:tc>
        <w:tc>
          <w:tcPr>
            <w:tcW w:w="1126" w:type="pct"/>
            <w:shd w:val="clear" w:color="auto" w:fill="auto"/>
            <w:noWrap w:val="0"/>
            <w:vAlign w:val="center"/>
          </w:tcPr>
          <w:p w14:paraId="0C4EEBC2">
            <w:pPr>
              <w:jc w:val="center"/>
              <w:rPr>
                <w:rFonts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3.0096</w:t>
            </w:r>
          </w:p>
        </w:tc>
        <w:tc>
          <w:tcPr>
            <w:tcW w:w="1126" w:type="pct"/>
            <w:noWrap w:val="0"/>
            <w:vAlign w:val="center"/>
          </w:tcPr>
          <w:p w14:paraId="6926E187">
            <w:pPr>
              <w:jc w:val="center"/>
              <w:rPr>
                <w:rFonts w:ascii="Times New Roman" w:hAnsi="Times New Roman" w:cs="Times New Roman"/>
                <w:sz w:val="21"/>
                <w:szCs w:val="21"/>
              </w:rPr>
            </w:pPr>
            <w:r>
              <w:rPr>
                <w:rFonts w:ascii="Times New Roman" w:hAnsi="Times New Roman" w:cs="Times New Roman"/>
                <w:sz w:val="21"/>
                <w:szCs w:val="21"/>
              </w:rPr>
              <w:t>0</w:t>
            </w:r>
          </w:p>
        </w:tc>
        <w:tc>
          <w:tcPr>
            <w:tcW w:w="1966" w:type="dxa"/>
            <w:noWrap w:val="0"/>
            <w:vAlign w:val="center"/>
          </w:tcPr>
          <w:p w14:paraId="144F3744">
            <w:pPr>
              <w:jc w:val="center"/>
              <w:rPr>
                <w:rFonts w:ascii="Times New Roman" w:hAnsi="Times New Roman" w:cs="Times New Roman"/>
                <w:sz w:val="21"/>
                <w:szCs w:val="21"/>
              </w:rPr>
            </w:pPr>
            <w:r>
              <w:rPr>
                <w:rFonts w:hint="eastAsia" w:ascii="Times New Roman" w:hAnsi="Times New Roman" w:eastAsia="宋体" w:cs="Times New Roman"/>
                <w:sz w:val="21"/>
                <w:szCs w:val="21"/>
                <w:lang w:val="en-US" w:eastAsia="zh-CN"/>
              </w:rPr>
              <w:t>3.0096</w:t>
            </w:r>
          </w:p>
        </w:tc>
      </w:tr>
      <w:tr w14:paraId="1E1EBFC4">
        <w:tblPrEx>
          <w:tblBorders>
            <w:top w:val="thinThickSmallGap" w:color="auto" w:sz="12" w:space="0"/>
            <w:left w:val="none" w:color="auto" w:sz="0" w:space="0"/>
            <w:bottom w:val="thickThinSmallGap" w:color="auto" w:sz="12"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97" w:hRule="atLeast"/>
        </w:trPr>
        <w:tc>
          <w:tcPr>
            <w:tcW w:w="889" w:type="pct"/>
            <w:shd w:val="clear" w:color="auto" w:fill="auto"/>
            <w:noWrap w:val="0"/>
            <w:vAlign w:val="center"/>
          </w:tcPr>
          <w:p w14:paraId="4A6155B9">
            <w:pPr>
              <w:ind w:left="0" w:leftChars="0" w:firstLine="0" w:firstLineChars="0"/>
              <w:jc w:val="both"/>
              <w:rPr>
                <w:rFonts w:hint="eastAsia" w:ascii="Times New Roman" w:hAnsi="Times New Roman" w:eastAsia="宋体" w:cs="Times New Roman"/>
                <w:sz w:val="21"/>
                <w:szCs w:val="21"/>
                <w:lang w:val="en-US" w:eastAsia="zh-CN" w:bidi="ar-SA"/>
              </w:rPr>
            </w:pPr>
            <w:r>
              <w:rPr>
                <w:rFonts w:hint="eastAsia" w:ascii="Times New Roman" w:hAnsi="Times New Roman" w:cs="Times New Roman"/>
                <w:sz w:val="21"/>
                <w:szCs w:val="21"/>
                <w:lang w:val="en-US" w:eastAsia="zh-CN"/>
              </w:rPr>
              <w:t>DA008</w:t>
            </w:r>
          </w:p>
        </w:tc>
        <w:tc>
          <w:tcPr>
            <w:tcW w:w="730" w:type="pct"/>
            <w:noWrap w:val="0"/>
            <w:vAlign w:val="center"/>
          </w:tcPr>
          <w:p w14:paraId="4007B3A0">
            <w:pPr>
              <w:ind w:left="0" w:leftChars="0" w:firstLine="0" w:firstLineChars="0"/>
              <w:jc w:val="center"/>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颗粒物</w:t>
            </w:r>
          </w:p>
        </w:tc>
        <w:tc>
          <w:tcPr>
            <w:tcW w:w="1126" w:type="pct"/>
            <w:shd w:val="clear" w:color="auto" w:fill="auto"/>
            <w:noWrap w:val="0"/>
            <w:vAlign w:val="center"/>
          </w:tcPr>
          <w:p w14:paraId="757EE18F">
            <w:pPr>
              <w:jc w:val="center"/>
              <w:rPr>
                <w:rFonts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0.8712</w:t>
            </w:r>
          </w:p>
        </w:tc>
        <w:tc>
          <w:tcPr>
            <w:tcW w:w="1126" w:type="pct"/>
            <w:noWrap w:val="0"/>
            <w:vAlign w:val="center"/>
          </w:tcPr>
          <w:p w14:paraId="4892E3BD">
            <w:pPr>
              <w:jc w:val="center"/>
              <w:rPr>
                <w:rFonts w:ascii="Times New Roman" w:hAnsi="Times New Roman" w:cs="Times New Roman"/>
                <w:sz w:val="21"/>
                <w:szCs w:val="21"/>
              </w:rPr>
            </w:pPr>
            <w:r>
              <w:rPr>
                <w:rFonts w:ascii="Times New Roman" w:hAnsi="Times New Roman" w:cs="Times New Roman"/>
                <w:sz w:val="21"/>
                <w:szCs w:val="21"/>
              </w:rPr>
              <w:t>0</w:t>
            </w:r>
          </w:p>
        </w:tc>
        <w:tc>
          <w:tcPr>
            <w:tcW w:w="1966" w:type="dxa"/>
            <w:noWrap w:val="0"/>
            <w:vAlign w:val="center"/>
          </w:tcPr>
          <w:p w14:paraId="348A37D1">
            <w:pPr>
              <w:jc w:val="center"/>
              <w:rPr>
                <w:rFonts w:ascii="Times New Roman" w:hAnsi="Times New Roman" w:cs="Times New Roman"/>
                <w:sz w:val="21"/>
                <w:szCs w:val="21"/>
              </w:rPr>
            </w:pPr>
            <w:r>
              <w:rPr>
                <w:rFonts w:hint="eastAsia" w:ascii="Times New Roman" w:hAnsi="Times New Roman" w:eastAsia="宋体" w:cs="Times New Roman"/>
                <w:sz w:val="21"/>
                <w:szCs w:val="21"/>
                <w:lang w:val="en-US" w:eastAsia="zh-CN"/>
              </w:rPr>
              <w:t>0.8712</w:t>
            </w:r>
          </w:p>
        </w:tc>
      </w:tr>
      <w:tr w14:paraId="79AEFA6F">
        <w:tblPrEx>
          <w:tblBorders>
            <w:top w:val="thinThickSmallGap" w:color="auto" w:sz="12" w:space="0"/>
            <w:left w:val="none" w:color="auto" w:sz="0" w:space="0"/>
            <w:bottom w:val="thickThinSmallGap" w:color="auto" w:sz="12"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97" w:hRule="atLeast"/>
        </w:trPr>
        <w:tc>
          <w:tcPr>
            <w:tcW w:w="889" w:type="pct"/>
            <w:shd w:val="clear" w:color="auto" w:fill="auto"/>
            <w:noWrap w:val="0"/>
            <w:vAlign w:val="center"/>
          </w:tcPr>
          <w:p w14:paraId="27F95C80">
            <w:pPr>
              <w:ind w:left="0" w:leftChars="0" w:firstLine="0" w:firstLineChars="0"/>
              <w:jc w:val="both"/>
              <w:rPr>
                <w:rFonts w:hint="eastAsia" w:ascii="Times New Roman" w:hAnsi="Times New Roman" w:eastAsia="宋体" w:cs="Times New Roman"/>
                <w:sz w:val="21"/>
                <w:szCs w:val="21"/>
                <w:lang w:val="en-US" w:eastAsia="zh-CN" w:bidi="ar-SA"/>
              </w:rPr>
            </w:pPr>
            <w:r>
              <w:rPr>
                <w:rFonts w:hint="eastAsia" w:ascii="Times New Roman" w:hAnsi="Times New Roman" w:cs="Times New Roman"/>
                <w:sz w:val="21"/>
                <w:szCs w:val="21"/>
                <w:lang w:val="en-US" w:eastAsia="zh-CN"/>
              </w:rPr>
              <w:t>DA009</w:t>
            </w:r>
          </w:p>
        </w:tc>
        <w:tc>
          <w:tcPr>
            <w:tcW w:w="730" w:type="pct"/>
            <w:noWrap w:val="0"/>
            <w:vAlign w:val="center"/>
          </w:tcPr>
          <w:p w14:paraId="30ECA6C7">
            <w:pPr>
              <w:ind w:left="0" w:leftChars="0" w:firstLine="0" w:firstLineChars="0"/>
              <w:jc w:val="center"/>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颗粒物</w:t>
            </w:r>
          </w:p>
        </w:tc>
        <w:tc>
          <w:tcPr>
            <w:tcW w:w="1126" w:type="pct"/>
            <w:shd w:val="clear" w:color="auto" w:fill="auto"/>
            <w:noWrap w:val="0"/>
            <w:vAlign w:val="center"/>
          </w:tcPr>
          <w:p w14:paraId="588D8542">
            <w:pPr>
              <w:jc w:val="center"/>
              <w:rPr>
                <w:rFonts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3.96</w:t>
            </w:r>
          </w:p>
        </w:tc>
        <w:tc>
          <w:tcPr>
            <w:tcW w:w="1126" w:type="pct"/>
            <w:noWrap w:val="0"/>
            <w:vAlign w:val="center"/>
          </w:tcPr>
          <w:p w14:paraId="7C3A852E">
            <w:pPr>
              <w:jc w:val="center"/>
              <w:rPr>
                <w:rFonts w:ascii="Times New Roman" w:hAnsi="Times New Roman" w:cs="Times New Roman"/>
                <w:sz w:val="21"/>
                <w:szCs w:val="21"/>
              </w:rPr>
            </w:pPr>
            <w:r>
              <w:rPr>
                <w:rFonts w:ascii="Times New Roman" w:hAnsi="Times New Roman" w:cs="Times New Roman"/>
                <w:sz w:val="21"/>
                <w:szCs w:val="21"/>
              </w:rPr>
              <w:t>0</w:t>
            </w:r>
          </w:p>
        </w:tc>
        <w:tc>
          <w:tcPr>
            <w:tcW w:w="1966" w:type="dxa"/>
            <w:noWrap w:val="0"/>
            <w:vAlign w:val="center"/>
          </w:tcPr>
          <w:p w14:paraId="25969F9A">
            <w:pPr>
              <w:jc w:val="center"/>
              <w:rPr>
                <w:rFonts w:ascii="Times New Roman" w:hAnsi="Times New Roman" w:cs="Times New Roman"/>
                <w:sz w:val="21"/>
                <w:szCs w:val="21"/>
              </w:rPr>
            </w:pPr>
            <w:r>
              <w:rPr>
                <w:rFonts w:hint="eastAsia" w:ascii="Times New Roman" w:hAnsi="Times New Roman" w:eastAsia="宋体" w:cs="Times New Roman"/>
                <w:sz w:val="21"/>
                <w:szCs w:val="21"/>
                <w:lang w:val="en-US" w:eastAsia="zh-CN"/>
              </w:rPr>
              <w:t>3.96</w:t>
            </w:r>
          </w:p>
        </w:tc>
      </w:tr>
      <w:tr w14:paraId="30288001">
        <w:tblPrEx>
          <w:tblBorders>
            <w:top w:val="thinThickSmallGap" w:color="auto" w:sz="12" w:space="0"/>
            <w:left w:val="none" w:color="auto" w:sz="0" w:space="0"/>
            <w:bottom w:val="thickThinSmallGap" w:color="auto" w:sz="12"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97" w:hRule="atLeast"/>
        </w:trPr>
        <w:tc>
          <w:tcPr>
            <w:tcW w:w="889" w:type="pct"/>
            <w:vMerge w:val="restart"/>
            <w:shd w:val="clear" w:color="auto" w:fill="auto"/>
            <w:noWrap w:val="0"/>
            <w:vAlign w:val="center"/>
          </w:tcPr>
          <w:p w14:paraId="62D31487">
            <w:pPr>
              <w:ind w:left="0" w:leftChars="0" w:firstLine="0" w:firstLineChars="0"/>
              <w:jc w:val="both"/>
              <w:rPr>
                <w:rFonts w:hint="eastAsia" w:ascii="Times New Roman" w:hAnsi="Times New Roman" w:eastAsia="宋体" w:cs="Times New Roman"/>
                <w:sz w:val="21"/>
                <w:szCs w:val="21"/>
                <w:lang w:val="en-US" w:eastAsia="zh-CN" w:bidi="ar-SA"/>
              </w:rPr>
            </w:pPr>
            <w:r>
              <w:rPr>
                <w:rFonts w:hint="eastAsia" w:ascii="Times New Roman" w:hAnsi="Times New Roman" w:cs="Times New Roman"/>
                <w:sz w:val="21"/>
                <w:szCs w:val="21"/>
                <w:lang w:val="en-US" w:eastAsia="zh-CN"/>
              </w:rPr>
              <w:t>DA010</w:t>
            </w:r>
          </w:p>
        </w:tc>
        <w:tc>
          <w:tcPr>
            <w:tcW w:w="730" w:type="pct"/>
            <w:noWrap w:val="0"/>
            <w:vAlign w:val="center"/>
          </w:tcPr>
          <w:p w14:paraId="587C8624">
            <w:pPr>
              <w:pStyle w:val="506"/>
              <w:spacing w:line="240" w:lineRule="auto"/>
              <w:rPr>
                <w:rFonts w:hint="eastAsia"/>
                <w:szCs w:val="21"/>
              </w:rPr>
            </w:pPr>
            <w:r>
              <w:rPr>
                <w:rFonts w:hint="eastAsia"/>
                <w:szCs w:val="21"/>
              </w:rPr>
              <w:t>颗粒物</w:t>
            </w:r>
          </w:p>
        </w:tc>
        <w:tc>
          <w:tcPr>
            <w:tcW w:w="1126" w:type="pct"/>
            <w:shd w:val="clear" w:color="auto" w:fill="auto"/>
            <w:noWrap w:val="0"/>
            <w:vAlign w:val="center"/>
          </w:tcPr>
          <w:p w14:paraId="7D93F9C4">
            <w:pPr>
              <w:jc w:val="center"/>
              <w:rPr>
                <w:rFonts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3.96</w:t>
            </w:r>
          </w:p>
        </w:tc>
        <w:tc>
          <w:tcPr>
            <w:tcW w:w="1126" w:type="pct"/>
            <w:noWrap w:val="0"/>
            <w:vAlign w:val="center"/>
          </w:tcPr>
          <w:p w14:paraId="4660BCCC">
            <w:pPr>
              <w:jc w:val="center"/>
              <w:rPr>
                <w:rFonts w:ascii="Times New Roman" w:hAnsi="Times New Roman" w:cs="Times New Roman"/>
                <w:sz w:val="21"/>
                <w:szCs w:val="21"/>
              </w:rPr>
            </w:pPr>
            <w:r>
              <w:rPr>
                <w:rFonts w:ascii="Times New Roman" w:hAnsi="Times New Roman" w:cs="Times New Roman"/>
                <w:sz w:val="21"/>
                <w:szCs w:val="21"/>
              </w:rPr>
              <w:t>0</w:t>
            </w:r>
          </w:p>
        </w:tc>
        <w:tc>
          <w:tcPr>
            <w:tcW w:w="1966" w:type="dxa"/>
            <w:noWrap w:val="0"/>
            <w:vAlign w:val="center"/>
          </w:tcPr>
          <w:p w14:paraId="2632D606">
            <w:pPr>
              <w:jc w:val="center"/>
              <w:rPr>
                <w:rFonts w:ascii="Times New Roman" w:hAnsi="Times New Roman" w:cs="Times New Roman"/>
                <w:sz w:val="21"/>
                <w:szCs w:val="21"/>
              </w:rPr>
            </w:pPr>
            <w:r>
              <w:rPr>
                <w:rFonts w:hint="eastAsia" w:ascii="Times New Roman" w:hAnsi="Times New Roman" w:eastAsia="宋体" w:cs="Times New Roman"/>
                <w:sz w:val="21"/>
                <w:szCs w:val="21"/>
                <w:lang w:val="en-US" w:eastAsia="zh-CN"/>
              </w:rPr>
              <w:t>3.96</w:t>
            </w:r>
          </w:p>
        </w:tc>
      </w:tr>
      <w:tr w14:paraId="66486755">
        <w:tblPrEx>
          <w:tblBorders>
            <w:top w:val="thinThickSmallGap" w:color="auto" w:sz="12" w:space="0"/>
            <w:left w:val="none" w:color="auto" w:sz="0" w:space="0"/>
            <w:bottom w:val="thickThinSmallGap" w:color="auto" w:sz="12"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97" w:hRule="atLeast"/>
        </w:trPr>
        <w:tc>
          <w:tcPr>
            <w:tcW w:w="889" w:type="pct"/>
            <w:vMerge w:val="continue"/>
            <w:shd w:val="clear" w:color="auto" w:fill="auto"/>
            <w:noWrap w:val="0"/>
            <w:vAlign w:val="center"/>
          </w:tcPr>
          <w:p w14:paraId="486E350D">
            <w:pPr>
              <w:ind w:left="0" w:leftChars="0" w:firstLine="0" w:firstLineChars="0"/>
              <w:jc w:val="both"/>
              <w:rPr>
                <w:rFonts w:hint="eastAsia" w:ascii="Times New Roman" w:hAnsi="Times New Roman" w:cs="Times New Roman"/>
                <w:sz w:val="21"/>
                <w:szCs w:val="21"/>
                <w:lang w:val="en-US" w:eastAsia="zh-CN"/>
              </w:rPr>
            </w:pPr>
          </w:p>
        </w:tc>
        <w:tc>
          <w:tcPr>
            <w:tcW w:w="730" w:type="pct"/>
            <w:noWrap w:val="0"/>
            <w:vAlign w:val="center"/>
          </w:tcPr>
          <w:p w14:paraId="7D83C4FE">
            <w:pPr>
              <w:pStyle w:val="506"/>
              <w:spacing w:line="240" w:lineRule="auto"/>
              <w:rPr>
                <w:rFonts w:hint="eastAsia"/>
                <w:szCs w:val="21"/>
              </w:rPr>
            </w:pPr>
            <w:r>
              <w:rPr>
                <w:rFonts w:hint="eastAsia"/>
                <w:szCs w:val="21"/>
                <w:lang w:eastAsia="zh-CN"/>
              </w:rPr>
              <w:t>SO</w:t>
            </w:r>
            <w:r>
              <w:rPr>
                <w:rFonts w:hint="eastAsia"/>
                <w:szCs w:val="21"/>
                <w:vertAlign w:val="subscript"/>
                <w:lang w:val="en-US" w:eastAsia="zh-CN"/>
              </w:rPr>
              <w:t>x</w:t>
            </w:r>
          </w:p>
        </w:tc>
        <w:tc>
          <w:tcPr>
            <w:tcW w:w="1126" w:type="pct"/>
            <w:shd w:val="clear" w:color="auto" w:fill="auto"/>
            <w:noWrap w:val="0"/>
            <w:vAlign w:val="center"/>
          </w:tcPr>
          <w:p w14:paraId="6D447194">
            <w:pPr>
              <w:jc w:val="center"/>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6.8112</w:t>
            </w:r>
          </w:p>
        </w:tc>
        <w:tc>
          <w:tcPr>
            <w:tcW w:w="1126" w:type="pct"/>
            <w:noWrap w:val="0"/>
            <w:vAlign w:val="center"/>
          </w:tcPr>
          <w:p w14:paraId="7EA49D93">
            <w:pPr>
              <w:jc w:val="center"/>
              <w:rPr>
                <w:rFonts w:ascii="Times New Roman" w:hAnsi="Times New Roman" w:cs="Times New Roman"/>
                <w:sz w:val="21"/>
                <w:szCs w:val="21"/>
              </w:rPr>
            </w:pPr>
            <w:r>
              <w:rPr>
                <w:rFonts w:ascii="Times New Roman" w:hAnsi="Times New Roman" w:cs="Times New Roman"/>
                <w:sz w:val="21"/>
                <w:szCs w:val="21"/>
              </w:rPr>
              <w:t>0</w:t>
            </w:r>
          </w:p>
        </w:tc>
        <w:tc>
          <w:tcPr>
            <w:tcW w:w="1966" w:type="dxa"/>
            <w:noWrap w:val="0"/>
            <w:vAlign w:val="center"/>
          </w:tcPr>
          <w:p w14:paraId="5A568FAA">
            <w:pPr>
              <w:jc w:val="center"/>
              <w:rPr>
                <w:rFonts w:ascii="Times New Roman" w:hAnsi="Times New Roman" w:cs="Times New Roman"/>
                <w:sz w:val="21"/>
                <w:szCs w:val="21"/>
              </w:rPr>
            </w:pPr>
            <w:r>
              <w:rPr>
                <w:rFonts w:hint="eastAsia" w:ascii="Times New Roman" w:hAnsi="Times New Roman" w:eastAsia="宋体" w:cs="Times New Roman"/>
                <w:sz w:val="21"/>
                <w:szCs w:val="21"/>
                <w:lang w:val="en-US" w:eastAsia="zh-CN"/>
              </w:rPr>
              <w:t>6.8112</w:t>
            </w:r>
          </w:p>
        </w:tc>
      </w:tr>
      <w:tr w14:paraId="22E0588D">
        <w:tblPrEx>
          <w:tblBorders>
            <w:top w:val="thinThickSmallGap" w:color="auto" w:sz="12" w:space="0"/>
            <w:left w:val="none" w:color="auto" w:sz="0" w:space="0"/>
            <w:bottom w:val="thickThinSmallGap" w:color="auto" w:sz="12"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97" w:hRule="atLeast"/>
        </w:trPr>
        <w:tc>
          <w:tcPr>
            <w:tcW w:w="889" w:type="pct"/>
            <w:vMerge w:val="continue"/>
            <w:shd w:val="clear" w:color="auto" w:fill="auto"/>
            <w:noWrap w:val="0"/>
            <w:vAlign w:val="center"/>
          </w:tcPr>
          <w:p w14:paraId="51020BCD">
            <w:pPr>
              <w:ind w:left="0" w:leftChars="0" w:firstLine="0" w:firstLineChars="0"/>
              <w:jc w:val="both"/>
              <w:rPr>
                <w:rFonts w:hint="eastAsia" w:ascii="Times New Roman" w:hAnsi="Times New Roman" w:cs="Times New Roman"/>
                <w:sz w:val="21"/>
                <w:szCs w:val="21"/>
                <w:lang w:val="en-US" w:eastAsia="zh-CN"/>
              </w:rPr>
            </w:pPr>
          </w:p>
        </w:tc>
        <w:tc>
          <w:tcPr>
            <w:tcW w:w="730" w:type="pct"/>
            <w:noWrap w:val="0"/>
            <w:vAlign w:val="center"/>
          </w:tcPr>
          <w:p w14:paraId="595AFA4E">
            <w:pPr>
              <w:pStyle w:val="506"/>
              <w:spacing w:line="240" w:lineRule="auto"/>
              <w:rPr>
                <w:rFonts w:hint="eastAsia"/>
                <w:szCs w:val="21"/>
              </w:rPr>
            </w:pPr>
            <w:r>
              <w:rPr>
                <w:rFonts w:hint="eastAsia"/>
                <w:szCs w:val="21"/>
                <w:lang w:eastAsia="zh-CN"/>
              </w:rPr>
              <w:t>NO</w:t>
            </w:r>
            <w:r>
              <w:rPr>
                <w:rFonts w:hint="eastAsia"/>
                <w:szCs w:val="21"/>
                <w:vertAlign w:val="subscript"/>
                <w:lang w:eastAsia="zh-CN"/>
              </w:rPr>
              <w:t>2</w:t>
            </w:r>
          </w:p>
        </w:tc>
        <w:tc>
          <w:tcPr>
            <w:tcW w:w="1126" w:type="pct"/>
            <w:shd w:val="clear" w:color="auto" w:fill="auto"/>
            <w:noWrap w:val="0"/>
            <w:vAlign w:val="center"/>
          </w:tcPr>
          <w:p w14:paraId="04CF9BCD">
            <w:pPr>
              <w:jc w:val="center"/>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24.4728</w:t>
            </w:r>
          </w:p>
        </w:tc>
        <w:tc>
          <w:tcPr>
            <w:tcW w:w="1126" w:type="pct"/>
            <w:noWrap w:val="0"/>
            <w:vAlign w:val="center"/>
          </w:tcPr>
          <w:p w14:paraId="50F2EF53">
            <w:pPr>
              <w:jc w:val="center"/>
              <w:rPr>
                <w:rFonts w:ascii="Times New Roman" w:hAnsi="Times New Roman" w:cs="Times New Roman"/>
                <w:sz w:val="21"/>
                <w:szCs w:val="21"/>
              </w:rPr>
            </w:pPr>
            <w:r>
              <w:rPr>
                <w:rFonts w:ascii="Times New Roman" w:hAnsi="Times New Roman" w:cs="Times New Roman"/>
                <w:sz w:val="21"/>
                <w:szCs w:val="21"/>
              </w:rPr>
              <w:t>0</w:t>
            </w:r>
          </w:p>
        </w:tc>
        <w:tc>
          <w:tcPr>
            <w:tcW w:w="1966" w:type="dxa"/>
            <w:noWrap w:val="0"/>
            <w:vAlign w:val="center"/>
          </w:tcPr>
          <w:p w14:paraId="4354B885">
            <w:pPr>
              <w:jc w:val="center"/>
              <w:rPr>
                <w:rFonts w:ascii="Times New Roman" w:hAnsi="Times New Roman" w:cs="Times New Roman"/>
                <w:sz w:val="21"/>
                <w:szCs w:val="21"/>
              </w:rPr>
            </w:pPr>
            <w:r>
              <w:rPr>
                <w:rFonts w:hint="eastAsia" w:ascii="Times New Roman" w:hAnsi="Times New Roman" w:eastAsia="宋体" w:cs="Times New Roman"/>
                <w:sz w:val="21"/>
                <w:szCs w:val="21"/>
                <w:lang w:val="en-US" w:eastAsia="zh-CN"/>
              </w:rPr>
              <w:t>24.4728</w:t>
            </w:r>
          </w:p>
        </w:tc>
      </w:tr>
      <w:tr w14:paraId="1D2F10C2">
        <w:tblPrEx>
          <w:tblBorders>
            <w:top w:val="thinThickSmallGap" w:color="auto" w:sz="12" w:space="0"/>
            <w:left w:val="none" w:color="auto" w:sz="0" w:space="0"/>
            <w:bottom w:val="thickThinSmallGap" w:color="auto" w:sz="12"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97" w:hRule="atLeast"/>
        </w:trPr>
        <w:tc>
          <w:tcPr>
            <w:tcW w:w="889" w:type="pct"/>
            <w:vMerge w:val="restart"/>
            <w:shd w:val="clear" w:color="auto" w:fill="auto"/>
            <w:noWrap w:val="0"/>
            <w:vAlign w:val="center"/>
          </w:tcPr>
          <w:p w14:paraId="2F88C68D">
            <w:pPr>
              <w:pStyle w:val="720"/>
              <w:keepNext w:val="0"/>
              <w:keepLines w:val="0"/>
              <w:pageBreakBefore w:val="0"/>
              <w:widowControl w:val="0"/>
              <w:kinsoku/>
              <w:wordWrap/>
              <w:overflowPunct/>
              <w:topLinePunct w:val="0"/>
              <w:autoSpaceDE/>
              <w:autoSpaceDN/>
              <w:bidi w:val="0"/>
              <w:adjustRightInd w:val="0"/>
              <w:snapToGrid w:val="0"/>
              <w:ind w:firstLine="0" w:firstLineChars="0"/>
              <w:jc w:val="both"/>
              <w:textAlignment w:val="auto"/>
              <w:rPr>
                <w:rFonts w:hint="eastAsia" w:ascii="Times New Roman" w:hAnsi="Times New Roman" w:eastAsia="宋体" w:cs="Times New Roman"/>
                <w:color w:val="auto"/>
                <w:sz w:val="21"/>
                <w:szCs w:val="21"/>
                <w:highlight w:val="none"/>
                <w:lang w:val="en-US" w:eastAsia="zh-CN" w:bidi="ar-SA"/>
              </w:rPr>
            </w:pPr>
            <w:r>
              <w:rPr>
                <w:rFonts w:hint="eastAsia" w:ascii="Times New Roman" w:hAnsi="Times New Roman" w:cs="Times New Roman"/>
                <w:sz w:val="21"/>
                <w:szCs w:val="21"/>
                <w:highlight w:val="none"/>
                <w:lang w:val="en-US" w:eastAsia="zh-CN"/>
              </w:rPr>
              <w:t>DA011</w:t>
            </w:r>
          </w:p>
        </w:tc>
        <w:tc>
          <w:tcPr>
            <w:tcW w:w="730" w:type="pct"/>
            <w:noWrap w:val="0"/>
            <w:vAlign w:val="center"/>
          </w:tcPr>
          <w:p w14:paraId="220C4469">
            <w:pPr>
              <w:pStyle w:val="506"/>
              <w:spacing w:line="240" w:lineRule="auto"/>
              <w:rPr>
                <w:rFonts w:hint="eastAsia"/>
                <w:szCs w:val="21"/>
              </w:rPr>
            </w:pPr>
            <w:r>
              <w:rPr>
                <w:rFonts w:hint="eastAsia"/>
                <w:szCs w:val="21"/>
              </w:rPr>
              <w:t>颗粒物</w:t>
            </w:r>
          </w:p>
        </w:tc>
        <w:tc>
          <w:tcPr>
            <w:tcW w:w="1126" w:type="pct"/>
            <w:noWrap w:val="0"/>
            <w:vAlign w:val="center"/>
          </w:tcPr>
          <w:p w14:paraId="3BAB3E14">
            <w:pPr>
              <w:jc w:val="center"/>
              <w:rPr>
                <w:rFonts w:ascii="Times New Roman" w:hAnsi="Times New Roman" w:eastAsia="宋体" w:cs="Times New Roman"/>
                <w:sz w:val="21"/>
                <w:szCs w:val="21"/>
              </w:rPr>
            </w:pPr>
            <w:r>
              <w:rPr>
                <w:rFonts w:hint="eastAsia" w:ascii="Times New Roman" w:hAnsi="Times New Roman" w:eastAsia="宋体" w:cs="Times New Roman"/>
                <w:sz w:val="21"/>
                <w:szCs w:val="21"/>
                <w:lang w:val="en-US" w:eastAsia="zh-CN"/>
              </w:rPr>
              <w:t>3.168</w:t>
            </w:r>
          </w:p>
        </w:tc>
        <w:tc>
          <w:tcPr>
            <w:tcW w:w="1126" w:type="pct"/>
            <w:noWrap w:val="0"/>
            <w:vAlign w:val="center"/>
          </w:tcPr>
          <w:p w14:paraId="35B414C1">
            <w:pPr>
              <w:jc w:val="center"/>
              <w:rPr>
                <w:rFonts w:ascii="Times New Roman" w:hAnsi="Times New Roman" w:cs="Times New Roman"/>
                <w:sz w:val="21"/>
                <w:szCs w:val="21"/>
              </w:rPr>
            </w:pPr>
            <w:r>
              <w:rPr>
                <w:rFonts w:ascii="Times New Roman" w:hAnsi="Times New Roman" w:cs="Times New Roman"/>
                <w:sz w:val="21"/>
                <w:szCs w:val="21"/>
              </w:rPr>
              <w:t>0</w:t>
            </w:r>
          </w:p>
        </w:tc>
        <w:tc>
          <w:tcPr>
            <w:tcW w:w="1966" w:type="dxa"/>
            <w:noWrap w:val="0"/>
            <w:vAlign w:val="center"/>
          </w:tcPr>
          <w:p w14:paraId="465D1151">
            <w:pPr>
              <w:jc w:val="center"/>
              <w:rPr>
                <w:rFonts w:ascii="Times New Roman" w:hAnsi="Times New Roman" w:cs="Times New Roman"/>
                <w:sz w:val="21"/>
                <w:szCs w:val="21"/>
              </w:rPr>
            </w:pPr>
            <w:r>
              <w:rPr>
                <w:rFonts w:hint="eastAsia" w:ascii="Times New Roman" w:hAnsi="Times New Roman" w:eastAsia="宋体" w:cs="Times New Roman"/>
                <w:sz w:val="21"/>
                <w:szCs w:val="21"/>
                <w:lang w:val="en-US" w:eastAsia="zh-CN"/>
              </w:rPr>
              <w:t>3.168</w:t>
            </w:r>
          </w:p>
        </w:tc>
      </w:tr>
      <w:tr w14:paraId="4B89B07D">
        <w:tblPrEx>
          <w:tblBorders>
            <w:top w:val="thinThickSmallGap" w:color="auto" w:sz="12" w:space="0"/>
            <w:left w:val="none" w:color="auto" w:sz="0" w:space="0"/>
            <w:bottom w:val="thickThinSmallGap" w:color="auto" w:sz="12"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97" w:hRule="atLeast"/>
        </w:trPr>
        <w:tc>
          <w:tcPr>
            <w:tcW w:w="889" w:type="pct"/>
            <w:vMerge w:val="continue"/>
            <w:noWrap w:val="0"/>
            <w:vAlign w:val="center"/>
          </w:tcPr>
          <w:p w14:paraId="7C20FAAC">
            <w:pPr>
              <w:pStyle w:val="506"/>
              <w:spacing w:line="240" w:lineRule="auto"/>
              <w:rPr>
                <w:rFonts w:hint="eastAsia"/>
                <w:szCs w:val="21"/>
                <w:lang w:val="en-US" w:eastAsia="zh-CN"/>
              </w:rPr>
            </w:pPr>
          </w:p>
        </w:tc>
        <w:tc>
          <w:tcPr>
            <w:tcW w:w="730" w:type="pct"/>
            <w:noWrap w:val="0"/>
            <w:vAlign w:val="center"/>
          </w:tcPr>
          <w:p w14:paraId="6C0C5BCE">
            <w:pPr>
              <w:pStyle w:val="506"/>
              <w:spacing w:line="240" w:lineRule="auto"/>
              <w:rPr>
                <w:rFonts w:hint="eastAsia"/>
                <w:szCs w:val="21"/>
              </w:rPr>
            </w:pPr>
            <w:r>
              <w:rPr>
                <w:rFonts w:hint="eastAsia"/>
                <w:szCs w:val="21"/>
                <w:lang w:eastAsia="zh-CN"/>
              </w:rPr>
              <w:t>SO</w:t>
            </w:r>
            <w:r>
              <w:rPr>
                <w:rFonts w:hint="eastAsia"/>
                <w:szCs w:val="21"/>
                <w:vertAlign w:val="subscript"/>
                <w:lang w:eastAsia="zh-CN"/>
              </w:rPr>
              <w:t>2</w:t>
            </w:r>
          </w:p>
        </w:tc>
        <w:tc>
          <w:tcPr>
            <w:tcW w:w="1126" w:type="pct"/>
            <w:shd w:val="clear" w:color="auto" w:fill="auto"/>
            <w:noWrap w:val="0"/>
            <w:vAlign w:val="center"/>
          </w:tcPr>
          <w:p w14:paraId="66D49136">
            <w:pPr>
              <w:jc w:val="center"/>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1.7424</w:t>
            </w:r>
          </w:p>
        </w:tc>
        <w:tc>
          <w:tcPr>
            <w:tcW w:w="1126" w:type="pct"/>
            <w:noWrap w:val="0"/>
            <w:vAlign w:val="center"/>
          </w:tcPr>
          <w:p w14:paraId="0D1C1C90">
            <w:pPr>
              <w:jc w:val="center"/>
              <w:rPr>
                <w:rFonts w:ascii="Times New Roman" w:hAnsi="Times New Roman" w:cs="Times New Roman"/>
                <w:sz w:val="21"/>
                <w:szCs w:val="21"/>
              </w:rPr>
            </w:pPr>
            <w:r>
              <w:rPr>
                <w:rFonts w:ascii="Times New Roman" w:hAnsi="Times New Roman" w:cs="Times New Roman"/>
                <w:sz w:val="21"/>
                <w:szCs w:val="21"/>
              </w:rPr>
              <w:t>0</w:t>
            </w:r>
          </w:p>
        </w:tc>
        <w:tc>
          <w:tcPr>
            <w:tcW w:w="1966" w:type="dxa"/>
            <w:noWrap w:val="0"/>
            <w:vAlign w:val="center"/>
          </w:tcPr>
          <w:p w14:paraId="431B4039">
            <w:pPr>
              <w:jc w:val="center"/>
              <w:rPr>
                <w:rFonts w:ascii="Times New Roman" w:hAnsi="Times New Roman" w:cs="Times New Roman"/>
                <w:sz w:val="21"/>
                <w:szCs w:val="21"/>
              </w:rPr>
            </w:pPr>
            <w:r>
              <w:rPr>
                <w:rFonts w:hint="eastAsia" w:ascii="Times New Roman" w:hAnsi="Times New Roman" w:eastAsia="宋体" w:cs="Times New Roman"/>
                <w:sz w:val="21"/>
                <w:szCs w:val="21"/>
                <w:lang w:val="en-US" w:eastAsia="zh-CN"/>
              </w:rPr>
              <w:t>1.7424</w:t>
            </w:r>
          </w:p>
        </w:tc>
      </w:tr>
      <w:tr w14:paraId="39388A70">
        <w:tblPrEx>
          <w:tblBorders>
            <w:top w:val="thinThickSmallGap" w:color="auto" w:sz="12" w:space="0"/>
            <w:left w:val="none" w:color="auto" w:sz="0" w:space="0"/>
            <w:bottom w:val="thickThinSmallGap" w:color="auto" w:sz="12"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97" w:hRule="atLeast"/>
        </w:trPr>
        <w:tc>
          <w:tcPr>
            <w:tcW w:w="889" w:type="pct"/>
            <w:vMerge w:val="continue"/>
            <w:noWrap w:val="0"/>
            <w:vAlign w:val="center"/>
          </w:tcPr>
          <w:p w14:paraId="6EB4F292">
            <w:pPr>
              <w:pStyle w:val="506"/>
              <w:spacing w:line="240" w:lineRule="auto"/>
              <w:rPr>
                <w:rFonts w:hint="eastAsia"/>
                <w:szCs w:val="21"/>
                <w:lang w:val="en-US" w:eastAsia="zh-CN"/>
              </w:rPr>
            </w:pPr>
          </w:p>
        </w:tc>
        <w:tc>
          <w:tcPr>
            <w:tcW w:w="730" w:type="pct"/>
            <w:noWrap w:val="0"/>
            <w:vAlign w:val="center"/>
          </w:tcPr>
          <w:p w14:paraId="1CDF44D0">
            <w:pPr>
              <w:pStyle w:val="506"/>
              <w:spacing w:line="240" w:lineRule="auto"/>
              <w:rPr>
                <w:rFonts w:hint="eastAsia"/>
                <w:szCs w:val="21"/>
              </w:rPr>
            </w:pPr>
            <w:r>
              <w:rPr>
                <w:rFonts w:hint="eastAsia"/>
                <w:szCs w:val="21"/>
                <w:lang w:eastAsia="zh-CN"/>
              </w:rPr>
              <w:t>NO</w:t>
            </w:r>
            <w:r>
              <w:rPr>
                <w:rFonts w:hint="eastAsia"/>
                <w:szCs w:val="21"/>
                <w:vertAlign w:val="subscript"/>
                <w:lang w:val="en-US" w:eastAsia="zh-CN"/>
              </w:rPr>
              <w:t>x</w:t>
            </w:r>
          </w:p>
        </w:tc>
        <w:tc>
          <w:tcPr>
            <w:tcW w:w="1126" w:type="pct"/>
            <w:shd w:val="clear" w:color="auto" w:fill="auto"/>
            <w:noWrap w:val="0"/>
            <w:vAlign w:val="center"/>
          </w:tcPr>
          <w:p w14:paraId="34AF9726">
            <w:pPr>
              <w:jc w:val="center"/>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1.0296</w:t>
            </w:r>
          </w:p>
        </w:tc>
        <w:tc>
          <w:tcPr>
            <w:tcW w:w="1126" w:type="pct"/>
            <w:noWrap w:val="0"/>
            <w:vAlign w:val="center"/>
          </w:tcPr>
          <w:p w14:paraId="56F5BA96">
            <w:pPr>
              <w:jc w:val="center"/>
              <w:rPr>
                <w:rFonts w:ascii="Times New Roman" w:hAnsi="Times New Roman" w:cs="Times New Roman"/>
                <w:sz w:val="21"/>
                <w:szCs w:val="21"/>
              </w:rPr>
            </w:pPr>
            <w:r>
              <w:rPr>
                <w:rFonts w:ascii="Times New Roman" w:hAnsi="Times New Roman" w:cs="Times New Roman"/>
                <w:sz w:val="21"/>
                <w:szCs w:val="21"/>
              </w:rPr>
              <w:t>0</w:t>
            </w:r>
          </w:p>
        </w:tc>
        <w:tc>
          <w:tcPr>
            <w:tcW w:w="1966" w:type="dxa"/>
            <w:noWrap w:val="0"/>
            <w:vAlign w:val="center"/>
          </w:tcPr>
          <w:p w14:paraId="693E3778">
            <w:pPr>
              <w:jc w:val="center"/>
              <w:rPr>
                <w:rFonts w:ascii="Times New Roman" w:hAnsi="Times New Roman" w:cs="Times New Roman"/>
                <w:sz w:val="21"/>
                <w:szCs w:val="21"/>
              </w:rPr>
            </w:pPr>
            <w:r>
              <w:rPr>
                <w:rFonts w:hint="eastAsia" w:ascii="Times New Roman" w:hAnsi="Times New Roman" w:eastAsia="宋体" w:cs="Times New Roman"/>
                <w:sz w:val="21"/>
                <w:szCs w:val="21"/>
                <w:lang w:val="en-US" w:eastAsia="zh-CN"/>
              </w:rPr>
              <w:t>1.0296</w:t>
            </w:r>
          </w:p>
        </w:tc>
      </w:tr>
      <w:tr w14:paraId="49EB5614">
        <w:tblPrEx>
          <w:tblBorders>
            <w:top w:val="thinThickSmallGap" w:color="auto" w:sz="12" w:space="0"/>
            <w:left w:val="none" w:color="auto" w:sz="0" w:space="0"/>
            <w:bottom w:val="thickThinSmallGap" w:color="auto" w:sz="12"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97" w:hRule="atLeast"/>
        </w:trPr>
        <w:tc>
          <w:tcPr>
            <w:tcW w:w="889" w:type="pct"/>
            <w:vMerge w:val="restart"/>
            <w:noWrap w:val="0"/>
            <w:vAlign w:val="center"/>
          </w:tcPr>
          <w:p w14:paraId="6169B912">
            <w:pPr>
              <w:pStyle w:val="506"/>
              <w:spacing w:line="240" w:lineRule="auto"/>
              <w:rPr>
                <w:rFonts w:hint="eastAsia"/>
                <w:b/>
                <w:szCs w:val="21"/>
                <w:lang w:val="en-US" w:eastAsia="zh-CN"/>
              </w:rPr>
            </w:pPr>
            <w:r>
              <w:rPr>
                <w:rFonts w:hint="eastAsia"/>
                <w:b/>
                <w:szCs w:val="21"/>
                <w:lang w:val="en-US" w:eastAsia="zh-CN"/>
              </w:rPr>
              <w:t>合计</w:t>
            </w:r>
          </w:p>
        </w:tc>
        <w:tc>
          <w:tcPr>
            <w:tcW w:w="730" w:type="pct"/>
            <w:noWrap w:val="0"/>
            <w:vAlign w:val="center"/>
          </w:tcPr>
          <w:p w14:paraId="7807AC16">
            <w:pPr>
              <w:pStyle w:val="506"/>
              <w:spacing w:line="240" w:lineRule="auto"/>
              <w:rPr>
                <w:b/>
                <w:szCs w:val="21"/>
                <w:lang w:val="en-US"/>
              </w:rPr>
            </w:pPr>
            <w:r>
              <w:rPr>
                <w:b/>
                <w:szCs w:val="21"/>
              </w:rPr>
              <w:t>颗粒物</w:t>
            </w:r>
          </w:p>
        </w:tc>
        <w:tc>
          <w:tcPr>
            <w:tcW w:w="1126" w:type="pct"/>
            <w:shd w:val="clear" w:color="auto" w:fill="auto"/>
            <w:noWrap w:val="0"/>
            <w:vAlign w:val="center"/>
          </w:tcPr>
          <w:p w14:paraId="08C7C1DF">
            <w:pPr>
              <w:jc w:val="center"/>
              <w:rPr>
                <w:rFonts w:hint="eastAsia" w:ascii="Times New Roman" w:hAnsi="Times New Roman" w:eastAsia="宋体" w:cs="Times New Roman"/>
                <w:b/>
                <w:sz w:val="21"/>
                <w:szCs w:val="21"/>
                <w:lang w:val="en-US" w:eastAsia="zh-CN"/>
              </w:rPr>
            </w:pPr>
            <w:r>
              <w:rPr>
                <w:rFonts w:hint="eastAsia" w:ascii="Times New Roman" w:hAnsi="Times New Roman" w:eastAsia="宋体" w:cs="Times New Roman"/>
                <w:b/>
                <w:sz w:val="21"/>
                <w:szCs w:val="21"/>
                <w:lang w:val="en-US" w:eastAsia="zh-CN"/>
              </w:rPr>
              <w:t>42.6096</w:t>
            </w:r>
          </w:p>
        </w:tc>
        <w:tc>
          <w:tcPr>
            <w:tcW w:w="1126" w:type="pct"/>
            <w:noWrap w:val="0"/>
            <w:vAlign w:val="center"/>
          </w:tcPr>
          <w:p w14:paraId="01812DA8">
            <w:pPr>
              <w:jc w:val="center"/>
              <w:rPr>
                <w:rFonts w:hint="eastAsia" w:ascii="Times New Roman" w:hAnsi="Times New Roman" w:eastAsia="宋体" w:cs="Times New Roman"/>
                <w:b/>
                <w:bCs/>
                <w:sz w:val="21"/>
                <w:szCs w:val="21"/>
                <w:lang w:eastAsia="zh-CN"/>
              </w:rPr>
            </w:pPr>
            <w:r>
              <w:rPr>
                <w:rFonts w:hint="eastAsia" w:ascii="Times New Roman" w:hAnsi="Times New Roman" w:cs="Times New Roman"/>
                <w:b/>
                <w:bCs/>
                <w:sz w:val="21"/>
                <w:szCs w:val="21"/>
                <w:lang w:val="en-US" w:eastAsia="zh-CN"/>
              </w:rPr>
              <w:t>0</w:t>
            </w:r>
          </w:p>
        </w:tc>
        <w:tc>
          <w:tcPr>
            <w:tcW w:w="1966" w:type="dxa"/>
            <w:noWrap w:val="0"/>
            <w:vAlign w:val="center"/>
          </w:tcPr>
          <w:p w14:paraId="6FBC8F74">
            <w:pPr>
              <w:jc w:val="center"/>
              <w:rPr>
                <w:rFonts w:ascii="Times New Roman" w:hAnsi="Times New Roman" w:cs="Times New Roman"/>
                <w:b/>
                <w:sz w:val="21"/>
                <w:szCs w:val="21"/>
              </w:rPr>
            </w:pPr>
            <w:r>
              <w:rPr>
                <w:rFonts w:hint="eastAsia" w:ascii="Times New Roman" w:hAnsi="Times New Roman" w:eastAsia="宋体" w:cs="Times New Roman"/>
                <w:b/>
                <w:sz w:val="21"/>
                <w:szCs w:val="21"/>
                <w:lang w:val="en-US" w:eastAsia="zh-CN"/>
              </w:rPr>
              <w:t>42.6096</w:t>
            </w:r>
          </w:p>
        </w:tc>
      </w:tr>
      <w:tr w14:paraId="6CB1F7F9">
        <w:tblPrEx>
          <w:tblBorders>
            <w:top w:val="thinThickSmallGap" w:color="auto" w:sz="12" w:space="0"/>
            <w:left w:val="none" w:color="auto" w:sz="0" w:space="0"/>
            <w:bottom w:val="thickThinSmallGap" w:color="auto" w:sz="12"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97" w:hRule="atLeast"/>
        </w:trPr>
        <w:tc>
          <w:tcPr>
            <w:tcW w:w="889" w:type="pct"/>
            <w:vMerge w:val="continue"/>
            <w:noWrap w:val="0"/>
            <w:vAlign w:val="center"/>
          </w:tcPr>
          <w:p w14:paraId="084A5A4C">
            <w:pPr>
              <w:pStyle w:val="506"/>
              <w:spacing w:line="240" w:lineRule="auto"/>
              <w:rPr>
                <w:rFonts w:hint="eastAsia"/>
                <w:b/>
                <w:szCs w:val="21"/>
                <w:lang w:val="en-US" w:eastAsia="zh-CN"/>
              </w:rPr>
            </w:pPr>
          </w:p>
        </w:tc>
        <w:tc>
          <w:tcPr>
            <w:tcW w:w="730" w:type="pct"/>
            <w:noWrap w:val="0"/>
            <w:vAlign w:val="center"/>
          </w:tcPr>
          <w:p w14:paraId="277AF976">
            <w:pPr>
              <w:pStyle w:val="506"/>
              <w:spacing w:line="240" w:lineRule="auto"/>
              <w:rPr>
                <w:b/>
                <w:szCs w:val="21"/>
                <w:lang w:val="en-US"/>
              </w:rPr>
            </w:pPr>
            <w:r>
              <w:rPr>
                <w:rFonts w:hint="eastAsia"/>
                <w:szCs w:val="21"/>
                <w:lang w:eastAsia="zh-CN"/>
              </w:rPr>
              <w:t>SO</w:t>
            </w:r>
            <w:r>
              <w:rPr>
                <w:rFonts w:hint="eastAsia"/>
                <w:szCs w:val="21"/>
                <w:vertAlign w:val="subscript"/>
                <w:lang w:val="en-US" w:eastAsia="zh-CN"/>
              </w:rPr>
              <w:t>x</w:t>
            </w:r>
          </w:p>
        </w:tc>
        <w:tc>
          <w:tcPr>
            <w:tcW w:w="1965" w:type="dxa"/>
            <w:noWrap w:val="0"/>
            <w:vAlign w:val="center"/>
          </w:tcPr>
          <w:p w14:paraId="0535ADB7">
            <w:pPr>
              <w:jc w:val="center"/>
              <w:rPr>
                <w:rFonts w:ascii="Times New Roman" w:hAnsi="Times New Roman" w:eastAsia="宋体" w:cs="Times New Roman"/>
                <w:b/>
                <w:sz w:val="21"/>
                <w:szCs w:val="21"/>
              </w:rPr>
            </w:pPr>
            <w:r>
              <w:rPr>
                <w:rFonts w:hint="eastAsia" w:ascii="Times New Roman" w:hAnsi="Times New Roman" w:eastAsia="宋体" w:cs="Times New Roman"/>
                <w:b/>
                <w:sz w:val="21"/>
                <w:szCs w:val="21"/>
                <w:lang w:val="en-US" w:eastAsia="zh-CN"/>
              </w:rPr>
              <w:t>31.3632</w:t>
            </w:r>
          </w:p>
        </w:tc>
        <w:tc>
          <w:tcPr>
            <w:tcW w:w="1126" w:type="pct"/>
            <w:noWrap w:val="0"/>
            <w:vAlign w:val="center"/>
          </w:tcPr>
          <w:p w14:paraId="0B002495">
            <w:pPr>
              <w:jc w:val="center"/>
              <w:rPr>
                <w:rFonts w:ascii="Times New Roman" w:hAnsi="Times New Roman" w:cs="Times New Roman"/>
                <w:b/>
                <w:sz w:val="21"/>
                <w:szCs w:val="21"/>
              </w:rPr>
            </w:pPr>
            <w:r>
              <w:rPr>
                <w:rFonts w:ascii="Times New Roman" w:hAnsi="Times New Roman" w:cs="Times New Roman"/>
                <w:b/>
                <w:sz w:val="21"/>
                <w:szCs w:val="21"/>
              </w:rPr>
              <w:t>0</w:t>
            </w:r>
          </w:p>
        </w:tc>
        <w:tc>
          <w:tcPr>
            <w:tcW w:w="1966" w:type="dxa"/>
            <w:noWrap w:val="0"/>
            <w:vAlign w:val="center"/>
          </w:tcPr>
          <w:p w14:paraId="69C893E3">
            <w:pPr>
              <w:jc w:val="center"/>
              <w:rPr>
                <w:rFonts w:ascii="Times New Roman" w:hAnsi="Times New Roman" w:cs="Times New Roman"/>
                <w:b/>
                <w:sz w:val="21"/>
                <w:szCs w:val="21"/>
              </w:rPr>
            </w:pPr>
            <w:r>
              <w:rPr>
                <w:rFonts w:hint="eastAsia" w:ascii="Times New Roman" w:hAnsi="Times New Roman" w:eastAsia="宋体" w:cs="Times New Roman"/>
                <w:b/>
                <w:sz w:val="21"/>
                <w:szCs w:val="21"/>
                <w:lang w:val="en-US" w:eastAsia="zh-CN"/>
              </w:rPr>
              <w:t>31.3632</w:t>
            </w:r>
          </w:p>
        </w:tc>
      </w:tr>
      <w:tr w14:paraId="7C19072B">
        <w:tblPrEx>
          <w:tblBorders>
            <w:top w:val="thinThickSmallGap" w:color="auto" w:sz="12" w:space="0"/>
            <w:left w:val="none" w:color="auto" w:sz="0" w:space="0"/>
            <w:bottom w:val="thickThinSmallGap" w:color="auto" w:sz="12"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97" w:hRule="atLeast"/>
        </w:trPr>
        <w:tc>
          <w:tcPr>
            <w:tcW w:w="889" w:type="pct"/>
            <w:vMerge w:val="continue"/>
            <w:noWrap w:val="0"/>
            <w:vAlign w:val="center"/>
          </w:tcPr>
          <w:p w14:paraId="1BC3FB05">
            <w:pPr>
              <w:pStyle w:val="506"/>
              <w:spacing w:line="240" w:lineRule="auto"/>
              <w:rPr>
                <w:rFonts w:hint="eastAsia"/>
                <w:b/>
                <w:szCs w:val="21"/>
                <w:lang w:val="en-US" w:eastAsia="zh-CN"/>
              </w:rPr>
            </w:pPr>
          </w:p>
        </w:tc>
        <w:tc>
          <w:tcPr>
            <w:tcW w:w="730" w:type="pct"/>
            <w:noWrap w:val="0"/>
            <w:vAlign w:val="center"/>
          </w:tcPr>
          <w:p w14:paraId="7738FDEC">
            <w:pPr>
              <w:pStyle w:val="506"/>
              <w:spacing w:line="240" w:lineRule="auto"/>
              <w:rPr>
                <w:b/>
                <w:szCs w:val="21"/>
                <w:lang w:val="en-US"/>
              </w:rPr>
            </w:pPr>
            <w:r>
              <w:rPr>
                <w:rFonts w:hint="eastAsia"/>
                <w:szCs w:val="21"/>
                <w:lang w:eastAsia="zh-CN"/>
              </w:rPr>
              <w:t>NO</w:t>
            </w:r>
            <w:r>
              <w:rPr>
                <w:rFonts w:hint="eastAsia"/>
                <w:szCs w:val="21"/>
                <w:vertAlign w:val="subscript"/>
                <w:lang w:eastAsia="zh-CN"/>
              </w:rPr>
              <w:t>2</w:t>
            </w:r>
          </w:p>
        </w:tc>
        <w:tc>
          <w:tcPr>
            <w:tcW w:w="1965" w:type="dxa"/>
            <w:noWrap w:val="0"/>
            <w:vAlign w:val="center"/>
          </w:tcPr>
          <w:p w14:paraId="45E85BCB">
            <w:pPr>
              <w:jc w:val="center"/>
              <w:rPr>
                <w:rFonts w:hint="eastAsia" w:ascii="Times New Roman" w:hAnsi="Times New Roman" w:eastAsia="宋体" w:cs="Times New Roman"/>
                <w:b/>
                <w:sz w:val="21"/>
                <w:szCs w:val="21"/>
                <w:lang w:val="en-US" w:eastAsia="zh-CN"/>
              </w:rPr>
            </w:pPr>
            <w:r>
              <w:rPr>
                <w:rFonts w:hint="eastAsia" w:ascii="Times New Roman" w:hAnsi="Times New Roman" w:eastAsia="宋体" w:cs="Times New Roman"/>
                <w:b/>
                <w:sz w:val="21"/>
                <w:szCs w:val="21"/>
                <w:lang w:val="en-US" w:eastAsia="zh-CN"/>
              </w:rPr>
              <w:t>73.1016</w:t>
            </w:r>
          </w:p>
        </w:tc>
        <w:tc>
          <w:tcPr>
            <w:tcW w:w="1126" w:type="pct"/>
            <w:noWrap w:val="0"/>
            <w:vAlign w:val="center"/>
          </w:tcPr>
          <w:p w14:paraId="0999A24F">
            <w:pPr>
              <w:jc w:val="center"/>
              <w:rPr>
                <w:rFonts w:hint="eastAsia" w:ascii="Times New Roman" w:hAnsi="Times New Roman" w:eastAsia="宋体" w:cs="Times New Roman"/>
                <w:b/>
                <w:sz w:val="21"/>
                <w:szCs w:val="21"/>
                <w:lang w:val="en-US" w:eastAsia="zh-CN"/>
              </w:rPr>
            </w:pPr>
            <w:r>
              <w:rPr>
                <w:rFonts w:hint="eastAsia" w:ascii="Times New Roman" w:hAnsi="Times New Roman" w:eastAsia="宋体" w:cs="Times New Roman"/>
                <w:b/>
                <w:sz w:val="21"/>
                <w:szCs w:val="21"/>
                <w:lang w:val="en-US" w:eastAsia="zh-CN"/>
              </w:rPr>
              <w:t>0</w:t>
            </w:r>
          </w:p>
        </w:tc>
        <w:tc>
          <w:tcPr>
            <w:tcW w:w="1966" w:type="dxa"/>
            <w:noWrap w:val="0"/>
            <w:vAlign w:val="center"/>
          </w:tcPr>
          <w:p w14:paraId="0DD435E0">
            <w:pPr>
              <w:jc w:val="center"/>
              <w:rPr>
                <w:rFonts w:ascii="Times New Roman" w:hAnsi="Times New Roman" w:cs="Times New Roman"/>
                <w:b/>
                <w:sz w:val="21"/>
                <w:szCs w:val="21"/>
              </w:rPr>
            </w:pPr>
            <w:r>
              <w:rPr>
                <w:rFonts w:hint="eastAsia" w:ascii="Times New Roman" w:hAnsi="Times New Roman" w:eastAsia="宋体" w:cs="Times New Roman"/>
                <w:b/>
                <w:sz w:val="21"/>
                <w:szCs w:val="21"/>
                <w:lang w:val="en-US" w:eastAsia="zh-CN"/>
              </w:rPr>
              <w:t>73.1016</w:t>
            </w:r>
          </w:p>
        </w:tc>
      </w:tr>
    </w:tbl>
    <w:p w14:paraId="0D9155BB">
      <w:pPr>
        <w:pStyle w:val="133"/>
      </w:pPr>
      <w:r>
        <w:rPr>
          <w:rFonts w:hint="eastAsia"/>
        </w:rPr>
        <w:t>2</w:t>
      </w:r>
      <w:r>
        <w:t>.</w:t>
      </w:r>
      <w:r>
        <w:rPr>
          <w:rFonts w:hint="eastAsia"/>
        </w:rPr>
        <w:t>1</w:t>
      </w:r>
      <w:r>
        <w:rPr>
          <w:rFonts w:hint="eastAsia"/>
          <w:lang w:val="en-US" w:eastAsia="zh-CN"/>
        </w:rPr>
        <w:t>0</w:t>
      </w:r>
      <w:r>
        <w:t>.</w:t>
      </w:r>
      <w:r>
        <w:rPr>
          <w:rFonts w:hint="eastAsia"/>
        </w:rPr>
        <w:t>1</w:t>
      </w:r>
      <w:r>
        <w:t>.</w:t>
      </w:r>
      <w:r>
        <w:rPr>
          <w:rFonts w:hint="eastAsia"/>
        </w:rPr>
        <w:t>2</w:t>
      </w:r>
      <w:r>
        <w:t xml:space="preserve"> </w:t>
      </w:r>
      <w:r>
        <w:rPr>
          <w:rFonts w:hint="eastAsia"/>
        </w:rPr>
        <w:t>废水</w:t>
      </w:r>
    </w:p>
    <w:p w14:paraId="3DF08EBB">
      <w:pPr>
        <w:pStyle w:val="310"/>
        <w:snapToGrid/>
        <w:spacing w:line="500" w:lineRule="exact"/>
        <w:jc w:val="both"/>
        <w:rPr>
          <w:rFonts w:hint="eastAsia"/>
          <w:lang w:eastAsia="zh-CN"/>
        </w:rPr>
      </w:pPr>
      <w:r>
        <w:rPr>
          <w:rFonts w:hint="eastAsia"/>
          <w:lang w:eastAsia="zh-CN"/>
        </w:rPr>
        <w:t>现有工程生产废水全部循环使用，不外排。</w:t>
      </w:r>
      <w:r>
        <w:t>生活污水收集于厂内化粪池</w:t>
      </w:r>
      <w:r>
        <w:rPr>
          <w:lang w:eastAsia="zh-CN"/>
        </w:rPr>
        <w:t>，</w:t>
      </w:r>
      <w:r>
        <w:rPr>
          <w:rFonts w:hint="eastAsia"/>
          <w:lang w:val="en-US" w:eastAsia="zh-CN"/>
        </w:rPr>
        <w:t>定期清掏不外排。</w:t>
      </w:r>
      <w:r>
        <w:rPr>
          <w:rFonts w:hint="eastAsia"/>
          <w:lang w:eastAsia="zh-CN"/>
        </w:rPr>
        <w:t>本溪玉麒麟新材料有限公司生活</w:t>
      </w:r>
      <w:r>
        <w:rPr>
          <w:lang w:eastAsia="zh-CN"/>
        </w:rPr>
        <w:t>水量为40</w:t>
      </w:r>
      <w:r>
        <w:t>m</w:t>
      </w:r>
      <w:r>
        <w:rPr>
          <w:vertAlign w:val="superscript"/>
        </w:rPr>
        <w:t>3</w:t>
      </w:r>
      <w:r>
        <w:t>/d</w:t>
      </w:r>
      <w:r>
        <w:rPr>
          <w:lang w:eastAsia="zh-CN"/>
        </w:rPr>
        <w:t>，按出水水质核算全厂废水及污染物排放总量见表2.1</w:t>
      </w:r>
      <w:r>
        <w:rPr>
          <w:rFonts w:hint="eastAsia"/>
          <w:lang w:val="en-US" w:eastAsia="zh-CN"/>
        </w:rPr>
        <w:t>0</w:t>
      </w:r>
      <w:r>
        <w:rPr>
          <w:lang w:eastAsia="zh-CN"/>
        </w:rPr>
        <w:t>-</w:t>
      </w:r>
      <w:r>
        <w:rPr>
          <w:rFonts w:hint="eastAsia"/>
          <w:lang w:val="en-US" w:eastAsia="zh-CN"/>
        </w:rPr>
        <w:t>2</w:t>
      </w:r>
      <w:r>
        <w:rPr>
          <w:lang w:eastAsia="zh-CN"/>
        </w:rPr>
        <w:t>。</w:t>
      </w:r>
    </w:p>
    <w:p w14:paraId="30BA0B43">
      <w:pPr>
        <w:pStyle w:val="112"/>
        <w:snapToGrid/>
        <w:rPr>
          <w:rFonts w:hint="eastAsia"/>
        </w:rPr>
      </w:pPr>
      <w:r>
        <w:t>表</w:t>
      </w:r>
      <w:r>
        <w:rPr>
          <w:rFonts w:hint="eastAsia"/>
        </w:rPr>
        <w:t>2.1</w:t>
      </w:r>
      <w:r>
        <w:rPr>
          <w:rFonts w:hint="eastAsia"/>
          <w:lang w:val="en-US" w:eastAsia="zh-CN"/>
        </w:rPr>
        <w:t>0</w:t>
      </w:r>
      <w:r>
        <w:rPr>
          <w:rFonts w:hint="eastAsia"/>
        </w:rPr>
        <w:t>-</w:t>
      </w:r>
      <w:r>
        <w:rPr>
          <w:rFonts w:hint="eastAsia"/>
          <w:lang w:val="en-US" w:eastAsia="zh-CN"/>
        </w:rPr>
        <w:t>2</w:t>
      </w:r>
      <w:r>
        <w:t xml:space="preserve">  </w:t>
      </w:r>
      <w:r>
        <w:rPr>
          <w:rFonts w:hint="eastAsia"/>
        </w:rPr>
        <w:t>废水污染物排放总量统计表</w:t>
      </w:r>
    </w:p>
    <w:tbl>
      <w:tblPr>
        <w:tblStyle w:val="56"/>
        <w:tblW w:w="5000" w:type="pct"/>
        <w:jc w:val="center"/>
        <w:tblBorders>
          <w:top w:val="thinThickSmallGap" w:color="auto" w:sz="12" w:space="0"/>
          <w:left w:val="none" w:color="auto" w:sz="0" w:space="0"/>
          <w:bottom w:val="thickThinSmallGap" w:color="auto" w:sz="12" w:space="0"/>
          <w:right w:val="none" w:color="auto" w:sz="0" w:space="0"/>
          <w:insideH w:val="single" w:color="auto" w:sz="6" w:space="0"/>
          <w:insideV w:val="single" w:color="auto" w:sz="6" w:space="0"/>
        </w:tblBorders>
        <w:tblLayout w:type="autofit"/>
        <w:tblCellMar>
          <w:top w:w="0" w:type="dxa"/>
          <w:left w:w="108" w:type="dxa"/>
          <w:bottom w:w="0" w:type="dxa"/>
          <w:right w:w="108" w:type="dxa"/>
        </w:tblCellMar>
      </w:tblPr>
      <w:tblGrid>
        <w:gridCol w:w="1646"/>
        <w:gridCol w:w="2498"/>
        <w:gridCol w:w="2498"/>
        <w:gridCol w:w="2079"/>
      </w:tblGrid>
      <w:tr w14:paraId="26693422">
        <w:tblPrEx>
          <w:tblBorders>
            <w:top w:val="thinThickSmallGap" w:color="auto" w:sz="12" w:space="0"/>
            <w:left w:val="none" w:color="auto" w:sz="0" w:space="0"/>
            <w:bottom w:val="thickThinSmallGap"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66" w:hRule="atLeast"/>
          <w:tblHeader/>
          <w:jc w:val="center"/>
        </w:trPr>
        <w:tc>
          <w:tcPr>
            <w:tcW w:w="944" w:type="pct"/>
            <w:shd w:val="clear" w:color="auto" w:fill="E0E0E0"/>
            <w:noWrap w:val="0"/>
            <w:vAlign w:val="center"/>
          </w:tcPr>
          <w:p w14:paraId="7C7758A4">
            <w:pPr>
              <w:ind w:right="-62"/>
              <w:jc w:val="center"/>
              <w:rPr>
                <w:rFonts w:ascii="Times New Roman" w:hAnsi="Times New Roman" w:cs="Times New Roman"/>
                <w:sz w:val="21"/>
                <w:szCs w:val="21"/>
              </w:rPr>
            </w:pPr>
            <w:r>
              <w:rPr>
                <w:rFonts w:ascii="Times New Roman" w:hAnsi="Times New Roman" w:cs="Times New Roman"/>
                <w:sz w:val="21"/>
                <w:szCs w:val="21"/>
              </w:rPr>
              <w:t>污染物项目</w:t>
            </w:r>
          </w:p>
        </w:tc>
        <w:tc>
          <w:tcPr>
            <w:tcW w:w="1432" w:type="pct"/>
            <w:shd w:val="clear" w:color="auto" w:fill="E0E0E0"/>
            <w:noWrap w:val="0"/>
            <w:vAlign w:val="center"/>
          </w:tcPr>
          <w:p w14:paraId="26D14757">
            <w:pPr>
              <w:ind w:right="-62"/>
              <w:jc w:val="center"/>
              <w:rPr>
                <w:rFonts w:ascii="Times New Roman" w:hAnsi="Times New Roman" w:cs="Times New Roman"/>
                <w:sz w:val="21"/>
                <w:szCs w:val="21"/>
              </w:rPr>
            </w:pPr>
            <w:r>
              <w:rPr>
                <w:rFonts w:ascii="Times New Roman" w:hAnsi="Times New Roman" w:cs="Times New Roman"/>
                <w:sz w:val="21"/>
                <w:szCs w:val="21"/>
              </w:rPr>
              <w:t>废水排放量（m</w:t>
            </w:r>
            <w:r>
              <w:rPr>
                <w:rFonts w:ascii="Times New Roman" w:hAnsi="Times New Roman" w:cs="Times New Roman"/>
                <w:sz w:val="21"/>
                <w:szCs w:val="21"/>
                <w:vertAlign w:val="superscript"/>
              </w:rPr>
              <w:t>3</w:t>
            </w:r>
            <w:r>
              <w:rPr>
                <w:rFonts w:ascii="Times New Roman" w:hAnsi="Times New Roman" w:cs="Times New Roman"/>
                <w:sz w:val="21"/>
                <w:szCs w:val="21"/>
              </w:rPr>
              <w:t>/a）</w:t>
            </w:r>
          </w:p>
        </w:tc>
        <w:tc>
          <w:tcPr>
            <w:tcW w:w="1432" w:type="pct"/>
            <w:shd w:val="clear" w:color="auto" w:fill="E0E0E0"/>
            <w:noWrap w:val="0"/>
            <w:vAlign w:val="center"/>
          </w:tcPr>
          <w:p w14:paraId="7DAEC1A9">
            <w:pPr>
              <w:ind w:right="-62"/>
              <w:jc w:val="center"/>
              <w:rPr>
                <w:rFonts w:ascii="Times New Roman" w:hAnsi="Times New Roman" w:cs="Times New Roman"/>
                <w:sz w:val="21"/>
                <w:szCs w:val="21"/>
              </w:rPr>
            </w:pPr>
            <w:r>
              <w:rPr>
                <w:rFonts w:ascii="Times New Roman" w:hAnsi="Times New Roman" w:cs="Times New Roman"/>
                <w:sz w:val="21"/>
                <w:szCs w:val="21"/>
              </w:rPr>
              <w:t>污染物浓度（mg/l）</w:t>
            </w:r>
          </w:p>
        </w:tc>
        <w:tc>
          <w:tcPr>
            <w:tcW w:w="1192" w:type="pct"/>
            <w:shd w:val="clear" w:color="auto" w:fill="E0E0E0"/>
            <w:noWrap w:val="0"/>
            <w:vAlign w:val="center"/>
          </w:tcPr>
          <w:p w14:paraId="26C53FB3">
            <w:pPr>
              <w:ind w:right="-62"/>
              <w:jc w:val="center"/>
              <w:rPr>
                <w:rFonts w:ascii="Times New Roman" w:hAnsi="Times New Roman" w:cs="Times New Roman"/>
                <w:sz w:val="21"/>
                <w:szCs w:val="21"/>
              </w:rPr>
            </w:pPr>
            <w:r>
              <w:rPr>
                <w:rFonts w:ascii="Times New Roman" w:hAnsi="Times New Roman" w:cs="Times New Roman"/>
                <w:sz w:val="21"/>
                <w:szCs w:val="21"/>
              </w:rPr>
              <w:t>污染物排放量（t/a）</w:t>
            </w:r>
          </w:p>
        </w:tc>
      </w:tr>
      <w:tr w14:paraId="072BFE78">
        <w:tblPrEx>
          <w:tblBorders>
            <w:top w:val="thinThickSmallGap" w:color="auto" w:sz="12" w:space="0"/>
            <w:left w:val="none" w:color="auto" w:sz="0" w:space="0"/>
            <w:bottom w:val="thickThinSmallGap"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66" w:hRule="atLeast"/>
          <w:jc w:val="center"/>
        </w:trPr>
        <w:tc>
          <w:tcPr>
            <w:tcW w:w="944" w:type="pct"/>
            <w:noWrap w:val="0"/>
            <w:vAlign w:val="center"/>
          </w:tcPr>
          <w:p w14:paraId="321B5526">
            <w:pPr>
              <w:ind w:right="-62"/>
              <w:jc w:val="center"/>
              <w:rPr>
                <w:rFonts w:ascii="Times New Roman" w:hAnsi="Times New Roman" w:cs="Times New Roman"/>
                <w:sz w:val="21"/>
                <w:szCs w:val="21"/>
              </w:rPr>
            </w:pPr>
            <w:r>
              <w:rPr>
                <w:rFonts w:ascii="Times New Roman" w:hAnsi="Times New Roman" w:cs="Times New Roman"/>
                <w:sz w:val="21"/>
                <w:szCs w:val="21"/>
              </w:rPr>
              <w:t>COD</w:t>
            </w:r>
          </w:p>
        </w:tc>
        <w:tc>
          <w:tcPr>
            <w:tcW w:w="1432" w:type="pct"/>
            <w:vMerge w:val="restart"/>
            <w:noWrap w:val="0"/>
            <w:vAlign w:val="center"/>
          </w:tcPr>
          <w:p w14:paraId="6BF980EE">
            <w:pPr>
              <w:ind w:right="-62"/>
              <w:jc w:val="center"/>
              <w:rPr>
                <w:rFonts w:ascii="Times New Roman" w:hAnsi="Times New Roman" w:cs="Times New Roman"/>
                <w:sz w:val="21"/>
                <w:szCs w:val="21"/>
              </w:rPr>
            </w:pPr>
            <w:r>
              <w:rPr>
                <w:rFonts w:ascii="Times New Roman" w:hAnsi="Times New Roman" w:cs="Times New Roman"/>
                <w:sz w:val="21"/>
                <w:szCs w:val="21"/>
              </w:rPr>
              <w:t>14400</w:t>
            </w:r>
          </w:p>
        </w:tc>
        <w:tc>
          <w:tcPr>
            <w:tcW w:w="1432" w:type="pct"/>
            <w:noWrap w:val="0"/>
            <w:vAlign w:val="center"/>
          </w:tcPr>
          <w:p w14:paraId="1F61BC54">
            <w:pPr>
              <w:ind w:right="-62"/>
              <w:jc w:val="center"/>
              <w:rPr>
                <w:rFonts w:ascii="Times New Roman" w:hAnsi="Times New Roman" w:cs="Times New Roman"/>
                <w:sz w:val="21"/>
                <w:szCs w:val="21"/>
              </w:rPr>
            </w:pPr>
            <w:r>
              <w:rPr>
                <w:rFonts w:ascii="Times New Roman" w:hAnsi="Times New Roman" w:cs="Times New Roman"/>
                <w:sz w:val="21"/>
                <w:szCs w:val="21"/>
              </w:rPr>
              <w:t>300</w:t>
            </w:r>
          </w:p>
        </w:tc>
        <w:tc>
          <w:tcPr>
            <w:tcW w:w="1192" w:type="pct"/>
            <w:noWrap w:val="0"/>
            <w:vAlign w:val="center"/>
          </w:tcPr>
          <w:p w14:paraId="1628C75E">
            <w:pPr>
              <w:ind w:right="-62"/>
              <w:jc w:val="center"/>
              <w:rPr>
                <w:rFonts w:ascii="Times New Roman" w:hAnsi="Times New Roman" w:cs="Times New Roman"/>
                <w:sz w:val="21"/>
                <w:szCs w:val="21"/>
              </w:rPr>
            </w:pPr>
            <w:r>
              <w:rPr>
                <w:rFonts w:ascii="Times New Roman" w:hAnsi="Times New Roman" w:cs="Times New Roman"/>
                <w:sz w:val="21"/>
                <w:szCs w:val="21"/>
              </w:rPr>
              <w:t>4.32</w:t>
            </w:r>
          </w:p>
        </w:tc>
      </w:tr>
      <w:tr w14:paraId="36A6E4E8">
        <w:tblPrEx>
          <w:tblBorders>
            <w:top w:val="thinThickSmallGap" w:color="auto" w:sz="12" w:space="0"/>
            <w:left w:val="none" w:color="auto" w:sz="0" w:space="0"/>
            <w:bottom w:val="thickThinSmallGap"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66" w:hRule="atLeast"/>
          <w:jc w:val="center"/>
        </w:trPr>
        <w:tc>
          <w:tcPr>
            <w:tcW w:w="944" w:type="pct"/>
            <w:noWrap w:val="0"/>
            <w:vAlign w:val="center"/>
          </w:tcPr>
          <w:p w14:paraId="3EAEB56C">
            <w:pPr>
              <w:ind w:right="-62"/>
              <w:jc w:val="center"/>
              <w:rPr>
                <w:rFonts w:ascii="Times New Roman" w:hAnsi="Times New Roman" w:cs="Times New Roman"/>
                <w:sz w:val="21"/>
                <w:szCs w:val="21"/>
              </w:rPr>
            </w:pPr>
            <w:r>
              <w:rPr>
                <w:rFonts w:ascii="Times New Roman" w:hAnsi="Times New Roman" w:cs="Times New Roman"/>
                <w:sz w:val="21"/>
                <w:szCs w:val="21"/>
              </w:rPr>
              <w:t>SS</w:t>
            </w:r>
          </w:p>
        </w:tc>
        <w:tc>
          <w:tcPr>
            <w:tcW w:w="1432" w:type="pct"/>
            <w:vMerge w:val="continue"/>
            <w:noWrap w:val="0"/>
            <w:vAlign w:val="center"/>
          </w:tcPr>
          <w:p w14:paraId="2D395E22">
            <w:pPr>
              <w:ind w:right="-62"/>
              <w:jc w:val="center"/>
              <w:rPr>
                <w:rFonts w:ascii="Times New Roman" w:hAnsi="Times New Roman" w:cs="Times New Roman"/>
                <w:sz w:val="21"/>
                <w:szCs w:val="21"/>
              </w:rPr>
            </w:pPr>
          </w:p>
        </w:tc>
        <w:tc>
          <w:tcPr>
            <w:tcW w:w="1432" w:type="pct"/>
            <w:noWrap w:val="0"/>
            <w:vAlign w:val="center"/>
          </w:tcPr>
          <w:p w14:paraId="188390A6">
            <w:pPr>
              <w:ind w:right="-62"/>
              <w:jc w:val="center"/>
              <w:rPr>
                <w:rFonts w:ascii="Times New Roman" w:hAnsi="Times New Roman" w:cs="Times New Roman"/>
                <w:sz w:val="21"/>
                <w:szCs w:val="21"/>
              </w:rPr>
            </w:pPr>
            <w:r>
              <w:rPr>
                <w:rFonts w:ascii="Times New Roman" w:hAnsi="Times New Roman" w:cs="Times New Roman"/>
                <w:sz w:val="21"/>
                <w:szCs w:val="21"/>
              </w:rPr>
              <w:t>300</w:t>
            </w:r>
          </w:p>
        </w:tc>
        <w:tc>
          <w:tcPr>
            <w:tcW w:w="1192" w:type="pct"/>
            <w:noWrap w:val="0"/>
            <w:vAlign w:val="center"/>
          </w:tcPr>
          <w:p w14:paraId="3CBA55C8">
            <w:pPr>
              <w:ind w:right="-62"/>
              <w:jc w:val="center"/>
              <w:rPr>
                <w:rFonts w:ascii="Times New Roman" w:hAnsi="Times New Roman" w:cs="Times New Roman"/>
                <w:sz w:val="21"/>
                <w:szCs w:val="21"/>
              </w:rPr>
            </w:pPr>
            <w:r>
              <w:rPr>
                <w:rFonts w:ascii="Times New Roman" w:hAnsi="Times New Roman" w:cs="Times New Roman"/>
                <w:sz w:val="21"/>
                <w:szCs w:val="21"/>
              </w:rPr>
              <w:t>4.32</w:t>
            </w:r>
          </w:p>
        </w:tc>
      </w:tr>
      <w:tr w14:paraId="1223815B">
        <w:tblPrEx>
          <w:tblBorders>
            <w:top w:val="thinThickSmallGap" w:color="auto" w:sz="12" w:space="0"/>
            <w:left w:val="none" w:color="auto" w:sz="0" w:space="0"/>
            <w:bottom w:val="thickThinSmallGap"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66" w:hRule="atLeast"/>
          <w:jc w:val="center"/>
        </w:trPr>
        <w:tc>
          <w:tcPr>
            <w:tcW w:w="944" w:type="pct"/>
            <w:noWrap w:val="0"/>
            <w:vAlign w:val="center"/>
          </w:tcPr>
          <w:p w14:paraId="29854C2E">
            <w:pPr>
              <w:ind w:right="-62"/>
              <w:jc w:val="center"/>
              <w:rPr>
                <w:rFonts w:ascii="Times New Roman" w:hAnsi="Times New Roman" w:cs="Times New Roman"/>
                <w:sz w:val="21"/>
                <w:szCs w:val="21"/>
              </w:rPr>
            </w:pPr>
            <w:r>
              <w:rPr>
                <w:rFonts w:ascii="Times New Roman" w:hAnsi="Times New Roman" w:cs="Times New Roman"/>
                <w:sz w:val="21"/>
                <w:szCs w:val="21"/>
              </w:rPr>
              <w:t>氨氮</w:t>
            </w:r>
          </w:p>
        </w:tc>
        <w:tc>
          <w:tcPr>
            <w:tcW w:w="1432" w:type="pct"/>
            <w:vMerge w:val="continue"/>
            <w:noWrap w:val="0"/>
            <w:vAlign w:val="center"/>
          </w:tcPr>
          <w:p w14:paraId="23B9FECC">
            <w:pPr>
              <w:ind w:right="-62"/>
              <w:jc w:val="center"/>
              <w:rPr>
                <w:rFonts w:ascii="Times New Roman" w:hAnsi="Times New Roman" w:cs="Times New Roman"/>
                <w:sz w:val="21"/>
                <w:szCs w:val="21"/>
              </w:rPr>
            </w:pPr>
          </w:p>
        </w:tc>
        <w:tc>
          <w:tcPr>
            <w:tcW w:w="1432" w:type="pct"/>
            <w:noWrap w:val="0"/>
            <w:vAlign w:val="center"/>
          </w:tcPr>
          <w:p w14:paraId="719B967F">
            <w:pPr>
              <w:ind w:right="-62"/>
              <w:jc w:val="center"/>
              <w:rPr>
                <w:rFonts w:ascii="Times New Roman" w:hAnsi="Times New Roman" w:cs="Times New Roman"/>
                <w:sz w:val="21"/>
                <w:szCs w:val="21"/>
              </w:rPr>
            </w:pPr>
            <w:r>
              <w:rPr>
                <w:rFonts w:ascii="Times New Roman" w:hAnsi="Times New Roman" w:cs="Times New Roman"/>
                <w:sz w:val="21"/>
                <w:szCs w:val="21"/>
              </w:rPr>
              <w:t>30</w:t>
            </w:r>
          </w:p>
        </w:tc>
        <w:tc>
          <w:tcPr>
            <w:tcW w:w="1192" w:type="pct"/>
            <w:noWrap w:val="0"/>
            <w:vAlign w:val="center"/>
          </w:tcPr>
          <w:p w14:paraId="6B7BED09">
            <w:pPr>
              <w:ind w:right="-62"/>
              <w:jc w:val="center"/>
              <w:rPr>
                <w:rFonts w:ascii="Times New Roman" w:hAnsi="Times New Roman" w:cs="Times New Roman"/>
                <w:sz w:val="21"/>
                <w:szCs w:val="21"/>
              </w:rPr>
            </w:pPr>
            <w:r>
              <w:rPr>
                <w:rFonts w:ascii="Times New Roman" w:hAnsi="Times New Roman" w:cs="Times New Roman"/>
                <w:sz w:val="21"/>
                <w:szCs w:val="21"/>
              </w:rPr>
              <w:t>0.43</w:t>
            </w:r>
          </w:p>
        </w:tc>
      </w:tr>
    </w:tbl>
    <w:p w14:paraId="27DE9215">
      <w:pPr>
        <w:pStyle w:val="133"/>
      </w:pPr>
      <w:r>
        <w:rPr>
          <w:rFonts w:hint="eastAsia"/>
        </w:rPr>
        <w:t>2</w:t>
      </w:r>
      <w:r>
        <w:t>.</w:t>
      </w:r>
      <w:r>
        <w:rPr>
          <w:rFonts w:hint="eastAsia"/>
        </w:rPr>
        <w:t>1</w:t>
      </w:r>
      <w:r>
        <w:rPr>
          <w:rFonts w:hint="eastAsia"/>
          <w:lang w:val="en-US" w:eastAsia="zh-CN"/>
        </w:rPr>
        <w:t>0</w:t>
      </w:r>
      <w:r>
        <w:t>.</w:t>
      </w:r>
      <w:r>
        <w:rPr>
          <w:rFonts w:hint="eastAsia"/>
        </w:rPr>
        <w:t>1</w:t>
      </w:r>
      <w:r>
        <w:t>.</w:t>
      </w:r>
      <w:r>
        <w:rPr>
          <w:rFonts w:hint="eastAsia"/>
        </w:rPr>
        <w:t>3</w:t>
      </w:r>
      <w:r>
        <w:t xml:space="preserve"> </w:t>
      </w:r>
      <w:r>
        <w:rPr>
          <w:rFonts w:hint="eastAsia"/>
        </w:rPr>
        <w:t>固体废物</w:t>
      </w:r>
    </w:p>
    <w:p w14:paraId="506C5FE1">
      <w:pPr>
        <w:ind w:firstLine="480" w:firstLineChars="200"/>
        <w:jc w:val="both"/>
        <w:rPr>
          <w:rFonts w:hint="eastAsia"/>
        </w:rPr>
      </w:pPr>
      <w:r>
        <w:rPr>
          <w:rFonts w:ascii="Times New Roman" w:hAnsi="Times New Roman" w:cs="Times New Roman"/>
        </w:rPr>
        <w:t>现有工程固体废物产生及排放情况如表2.</w:t>
      </w:r>
      <w:r>
        <w:rPr>
          <w:rFonts w:hint="eastAsia" w:ascii="Times New Roman" w:hAnsi="Times New Roman" w:cs="Times New Roman"/>
          <w:lang w:val="en-US" w:eastAsia="zh-CN"/>
        </w:rPr>
        <w:t>9</w:t>
      </w:r>
      <w:r>
        <w:rPr>
          <w:rFonts w:ascii="Times New Roman" w:hAnsi="Times New Roman" w:cs="Times New Roman"/>
        </w:rPr>
        <w:t>-</w:t>
      </w:r>
      <w:r>
        <w:rPr>
          <w:rFonts w:hint="eastAsia" w:ascii="Times New Roman" w:hAnsi="Times New Roman" w:cs="Times New Roman"/>
          <w:lang w:val="en-US" w:eastAsia="zh-CN"/>
        </w:rPr>
        <w:t>7</w:t>
      </w:r>
      <w:r>
        <w:rPr>
          <w:rFonts w:ascii="Times New Roman" w:hAnsi="Times New Roman" w:cs="Times New Roman"/>
        </w:rPr>
        <w:t>所示。</w:t>
      </w:r>
      <w:r>
        <w:rPr>
          <w:rFonts w:hint="eastAsia"/>
        </w:rPr>
        <w:t>生产中产生的一般工业固体废物均外售、回用于生产或返回厂家重复利用，危险废物均委托有资质的专业处理公司进行无害化处理，生活垃圾均由环卫清运处理，因此固体废物均妥善处置，不外排。</w:t>
      </w:r>
    </w:p>
    <w:p w14:paraId="7D12F6E8">
      <w:pPr>
        <w:pStyle w:val="7"/>
      </w:pPr>
      <w:bookmarkStart w:id="238" w:name="_Toc24693"/>
      <w:bookmarkStart w:id="239" w:name="_Toc90026243"/>
      <w:r>
        <w:t>2.</w:t>
      </w:r>
      <w:r>
        <w:rPr>
          <w:rFonts w:hint="eastAsia"/>
        </w:rPr>
        <w:t>1</w:t>
      </w:r>
      <w:r>
        <w:rPr>
          <w:rFonts w:hint="eastAsia"/>
          <w:lang w:val="en-US" w:eastAsia="zh-CN"/>
        </w:rPr>
        <w:t>0</w:t>
      </w:r>
      <w:r>
        <w:t>.</w:t>
      </w:r>
      <w:r>
        <w:rPr>
          <w:rFonts w:hint="eastAsia"/>
        </w:rPr>
        <w:t>2</w:t>
      </w:r>
      <w:r>
        <w:t xml:space="preserve"> </w:t>
      </w:r>
      <w:r>
        <w:rPr>
          <w:rFonts w:hint="eastAsia"/>
        </w:rPr>
        <w:t>排污许可量</w:t>
      </w:r>
      <w:bookmarkEnd w:id="238"/>
      <w:bookmarkEnd w:id="239"/>
    </w:p>
    <w:p w14:paraId="533B33CF">
      <w:pPr>
        <w:pStyle w:val="307"/>
        <w:spacing w:line="500" w:lineRule="exact"/>
        <w:rPr>
          <w:lang w:val="en-US"/>
        </w:rPr>
      </w:pPr>
      <w:r>
        <w:rPr>
          <w:rFonts w:hint="eastAsia"/>
          <w:lang w:eastAsia="zh-CN"/>
        </w:rPr>
        <w:t>根据企业排污许可证，全厂许可排放量为：颗粒物：159.54t/a（有组织106.43t/a、无组织53.11t/a）、SO</w:t>
      </w:r>
      <w:r>
        <w:rPr>
          <w:rFonts w:hint="eastAsia"/>
          <w:vertAlign w:val="subscript"/>
          <w:lang w:eastAsia="zh-CN"/>
        </w:rPr>
        <w:t>2</w:t>
      </w:r>
      <w:r>
        <w:rPr>
          <w:lang w:eastAsia="zh-CN"/>
        </w:rPr>
        <w:t>：</w:t>
      </w:r>
      <w:r>
        <w:rPr>
          <w:rFonts w:hint="eastAsia"/>
          <w:lang w:eastAsia="zh-CN"/>
        </w:rPr>
        <w:t>111.298t/a、NO</w:t>
      </w:r>
      <w:r>
        <w:rPr>
          <w:rFonts w:hint="eastAsia"/>
          <w:vertAlign w:val="subscript"/>
          <w:lang w:eastAsia="zh-CN"/>
        </w:rPr>
        <w:t>2</w:t>
      </w:r>
      <w:r>
        <w:rPr>
          <w:lang w:eastAsia="zh-CN"/>
        </w:rPr>
        <w:t>：</w:t>
      </w:r>
      <w:r>
        <w:rPr>
          <w:rFonts w:hint="eastAsia"/>
          <w:lang w:eastAsia="zh-CN"/>
        </w:rPr>
        <w:t>212.15t/a</w:t>
      </w:r>
      <w:r>
        <w:rPr>
          <w:rFonts w:hint="eastAsia"/>
          <w:lang w:val="en-US"/>
        </w:rPr>
        <w:t>。</w:t>
      </w:r>
      <w:r>
        <w:rPr>
          <w:rFonts w:hint="eastAsia"/>
          <w:lang w:eastAsia="zh-CN"/>
        </w:rPr>
        <w:t>通过对比，现有工程各主要污染物排放总量均未超过排污许可量，详见表2.1</w:t>
      </w:r>
      <w:r>
        <w:rPr>
          <w:rFonts w:hint="eastAsia"/>
          <w:lang w:val="en-US" w:eastAsia="zh-CN"/>
        </w:rPr>
        <w:t>0</w:t>
      </w:r>
      <w:r>
        <w:rPr>
          <w:rFonts w:hint="eastAsia"/>
          <w:lang w:eastAsia="zh-CN"/>
        </w:rPr>
        <w:t>-</w:t>
      </w:r>
      <w:r>
        <w:rPr>
          <w:rFonts w:hint="eastAsia"/>
          <w:lang w:val="en-US" w:eastAsia="zh-CN"/>
        </w:rPr>
        <w:t>3</w:t>
      </w:r>
      <w:r>
        <w:rPr>
          <w:rFonts w:hint="eastAsia"/>
          <w:lang w:eastAsia="zh-CN"/>
        </w:rPr>
        <w:t>。</w:t>
      </w:r>
    </w:p>
    <w:p w14:paraId="195465C9">
      <w:pPr>
        <w:pStyle w:val="112"/>
        <w:snapToGrid/>
        <w:rPr>
          <w:rFonts w:hint="eastAsia"/>
        </w:rPr>
      </w:pPr>
      <w:r>
        <w:t>表</w:t>
      </w:r>
      <w:r>
        <w:rPr>
          <w:rFonts w:hint="eastAsia"/>
        </w:rPr>
        <w:t>2.1</w:t>
      </w:r>
      <w:r>
        <w:rPr>
          <w:rFonts w:hint="eastAsia"/>
          <w:lang w:val="en-US" w:eastAsia="zh-CN"/>
        </w:rPr>
        <w:t>0</w:t>
      </w:r>
      <w:r>
        <w:rPr>
          <w:rFonts w:hint="eastAsia"/>
        </w:rPr>
        <w:t>-</w:t>
      </w:r>
      <w:r>
        <w:rPr>
          <w:rFonts w:hint="eastAsia"/>
          <w:lang w:val="en-US" w:eastAsia="zh-CN"/>
        </w:rPr>
        <w:t>3</w:t>
      </w:r>
      <w:r>
        <w:t xml:space="preserve">  </w:t>
      </w:r>
      <w:r>
        <w:rPr>
          <w:rFonts w:hint="eastAsia"/>
        </w:rPr>
        <w:t>现有工程污染物排放量与排污许可量对照分析表</w:t>
      </w:r>
    </w:p>
    <w:tbl>
      <w:tblPr>
        <w:tblStyle w:val="56"/>
        <w:tblW w:w="8291" w:type="dxa"/>
        <w:jc w:val="center"/>
        <w:tblBorders>
          <w:top w:val="thinThickSmallGap" w:color="auto" w:sz="12" w:space="0"/>
          <w:left w:val="none" w:color="auto" w:sz="0" w:space="0"/>
          <w:bottom w:val="thickThinSmallGap" w:color="auto" w:sz="12" w:space="0"/>
          <w:right w:val="none" w:color="auto" w:sz="0" w:space="0"/>
          <w:insideH w:val="single" w:color="auto" w:sz="6" w:space="0"/>
          <w:insideV w:val="single" w:color="auto" w:sz="6" w:space="0"/>
        </w:tblBorders>
        <w:tblLayout w:type="autofit"/>
        <w:tblCellMar>
          <w:top w:w="0" w:type="dxa"/>
          <w:left w:w="108" w:type="dxa"/>
          <w:bottom w:w="0" w:type="dxa"/>
          <w:right w:w="108" w:type="dxa"/>
        </w:tblCellMar>
      </w:tblPr>
      <w:tblGrid>
        <w:gridCol w:w="1679"/>
        <w:gridCol w:w="1091"/>
        <w:gridCol w:w="1092"/>
        <w:gridCol w:w="1985"/>
        <w:gridCol w:w="2444"/>
      </w:tblGrid>
      <w:tr w14:paraId="32097AB1">
        <w:tblPrEx>
          <w:tblBorders>
            <w:top w:val="thinThickSmallGap" w:color="auto" w:sz="12" w:space="0"/>
            <w:left w:val="none" w:color="auto" w:sz="0" w:space="0"/>
            <w:bottom w:val="thickThinSmallGap"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66" w:hRule="atLeast"/>
          <w:tblHeader/>
          <w:jc w:val="center"/>
        </w:trPr>
        <w:tc>
          <w:tcPr>
            <w:tcW w:w="1679" w:type="dxa"/>
            <w:shd w:val="clear" w:color="auto" w:fill="E0E0E0"/>
            <w:noWrap w:val="0"/>
            <w:vAlign w:val="center"/>
          </w:tcPr>
          <w:p w14:paraId="168BB876">
            <w:pPr>
              <w:jc w:val="center"/>
              <w:rPr>
                <w:rFonts w:ascii="Times New Roman" w:hAnsi="Times New Roman" w:cs="Times New Roman"/>
                <w:sz w:val="21"/>
                <w:szCs w:val="21"/>
              </w:rPr>
            </w:pPr>
            <w:r>
              <w:rPr>
                <w:rFonts w:ascii="Times New Roman" w:hAnsi="Times New Roman" w:cs="Times New Roman"/>
                <w:sz w:val="21"/>
                <w:szCs w:val="21"/>
              </w:rPr>
              <w:t>污染物名称</w:t>
            </w:r>
          </w:p>
        </w:tc>
        <w:tc>
          <w:tcPr>
            <w:tcW w:w="2183" w:type="dxa"/>
            <w:gridSpan w:val="2"/>
            <w:shd w:val="clear" w:color="auto" w:fill="E0E0E0"/>
            <w:noWrap w:val="0"/>
            <w:vAlign w:val="center"/>
          </w:tcPr>
          <w:p w14:paraId="0F90F27B">
            <w:pPr>
              <w:jc w:val="center"/>
              <w:rPr>
                <w:rFonts w:ascii="Times New Roman" w:hAnsi="Times New Roman" w:cs="Times New Roman"/>
                <w:sz w:val="21"/>
                <w:szCs w:val="21"/>
              </w:rPr>
            </w:pPr>
            <w:r>
              <w:rPr>
                <w:rFonts w:ascii="Times New Roman" w:hAnsi="Times New Roman" w:cs="Times New Roman"/>
                <w:sz w:val="21"/>
                <w:szCs w:val="21"/>
              </w:rPr>
              <w:t>现有工程排放量（t/a）</w:t>
            </w:r>
          </w:p>
        </w:tc>
        <w:tc>
          <w:tcPr>
            <w:tcW w:w="1985" w:type="dxa"/>
            <w:shd w:val="clear" w:color="auto" w:fill="E0E0E0"/>
            <w:noWrap w:val="0"/>
            <w:vAlign w:val="center"/>
          </w:tcPr>
          <w:p w14:paraId="6273AE65">
            <w:pPr>
              <w:jc w:val="center"/>
              <w:rPr>
                <w:rFonts w:ascii="Times New Roman" w:hAnsi="Times New Roman" w:cs="Times New Roman"/>
                <w:sz w:val="21"/>
                <w:szCs w:val="21"/>
              </w:rPr>
            </w:pPr>
            <w:r>
              <w:rPr>
                <w:rFonts w:ascii="Times New Roman" w:hAnsi="Times New Roman" w:cs="Times New Roman"/>
                <w:sz w:val="21"/>
                <w:szCs w:val="21"/>
              </w:rPr>
              <w:t>排污许可量（t/a）</w:t>
            </w:r>
          </w:p>
        </w:tc>
        <w:tc>
          <w:tcPr>
            <w:tcW w:w="2444" w:type="dxa"/>
            <w:shd w:val="clear" w:color="auto" w:fill="E0E0E0"/>
            <w:noWrap w:val="0"/>
            <w:vAlign w:val="center"/>
          </w:tcPr>
          <w:p w14:paraId="688B14A1">
            <w:pPr>
              <w:jc w:val="center"/>
              <w:rPr>
                <w:rFonts w:ascii="Times New Roman" w:hAnsi="Times New Roman" w:cs="Times New Roman"/>
                <w:sz w:val="21"/>
                <w:szCs w:val="21"/>
              </w:rPr>
            </w:pPr>
            <w:r>
              <w:rPr>
                <w:rFonts w:ascii="Times New Roman" w:hAnsi="Times New Roman" w:cs="Times New Roman"/>
                <w:sz w:val="21"/>
                <w:szCs w:val="21"/>
              </w:rPr>
              <w:t>差距分析（t/a）</w:t>
            </w:r>
          </w:p>
        </w:tc>
      </w:tr>
      <w:tr w14:paraId="6A879194">
        <w:tblPrEx>
          <w:tblBorders>
            <w:top w:val="thinThickSmallGap" w:color="auto" w:sz="12" w:space="0"/>
            <w:left w:val="none" w:color="auto" w:sz="0" w:space="0"/>
            <w:bottom w:val="thickThinSmallGap"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66" w:hRule="atLeast"/>
          <w:jc w:val="center"/>
        </w:trPr>
        <w:tc>
          <w:tcPr>
            <w:tcW w:w="1679" w:type="dxa"/>
            <w:vMerge w:val="restart"/>
            <w:noWrap w:val="0"/>
            <w:vAlign w:val="center"/>
          </w:tcPr>
          <w:p w14:paraId="26C84428">
            <w:pPr>
              <w:jc w:val="center"/>
              <w:rPr>
                <w:rFonts w:ascii="Times New Roman" w:hAnsi="Times New Roman" w:cs="Times New Roman"/>
                <w:sz w:val="21"/>
                <w:szCs w:val="21"/>
              </w:rPr>
            </w:pPr>
            <w:r>
              <w:rPr>
                <w:rFonts w:ascii="Times New Roman" w:hAnsi="Times New Roman" w:cs="Times New Roman"/>
                <w:sz w:val="21"/>
                <w:szCs w:val="21"/>
              </w:rPr>
              <w:t>颗粒物</w:t>
            </w:r>
          </w:p>
        </w:tc>
        <w:tc>
          <w:tcPr>
            <w:tcW w:w="1091" w:type="dxa"/>
            <w:noWrap w:val="0"/>
            <w:vAlign w:val="center"/>
          </w:tcPr>
          <w:p w14:paraId="31F4BF79">
            <w:pPr>
              <w:jc w:val="center"/>
              <w:rPr>
                <w:rFonts w:ascii="Times New Roman" w:hAnsi="Times New Roman" w:cs="Times New Roman"/>
                <w:sz w:val="21"/>
                <w:szCs w:val="21"/>
              </w:rPr>
            </w:pPr>
            <w:r>
              <w:rPr>
                <w:rFonts w:ascii="Times New Roman" w:hAnsi="Times New Roman" w:cs="Times New Roman"/>
                <w:sz w:val="21"/>
                <w:szCs w:val="21"/>
              </w:rPr>
              <w:t>有组织</w:t>
            </w:r>
          </w:p>
        </w:tc>
        <w:tc>
          <w:tcPr>
            <w:tcW w:w="1092" w:type="dxa"/>
            <w:shd w:val="clear" w:color="auto" w:fill="auto"/>
            <w:noWrap w:val="0"/>
            <w:vAlign w:val="center"/>
          </w:tcPr>
          <w:p w14:paraId="3B7D69EF">
            <w:pPr>
              <w:jc w:val="center"/>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42.6096</w:t>
            </w:r>
          </w:p>
        </w:tc>
        <w:tc>
          <w:tcPr>
            <w:tcW w:w="1985" w:type="dxa"/>
            <w:noWrap w:val="0"/>
            <w:vAlign w:val="center"/>
          </w:tcPr>
          <w:p w14:paraId="2F41F12E">
            <w:pPr>
              <w:jc w:val="center"/>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106.43</w:t>
            </w:r>
          </w:p>
        </w:tc>
        <w:tc>
          <w:tcPr>
            <w:tcW w:w="2444" w:type="dxa"/>
            <w:noWrap w:val="0"/>
            <w:vAlign w:val="center"/>
          </w:tcPr>
          <w:p w14:paraId="6F3AE1B3">
            <w:pPr>
              <w:jc w:val="center"/>
              <w:rPr>
                <w:rFonts w:ascii="Times New Roman" w:hAnsi="Times New Roman" w:cs="Times New Roman"/>
                <w:sz w:val="21"/>
                <w:szCs w:val="21"/>
              </w:rPr>
            </w:pPr>
            <w:r>
              <w:rPr>
                <w:rFonts w:ascii="Times New Roman" w:hAnsi="Times New Roman" w:cs="Times New Roman"/>
                <w:sz w:val="21"/>
                <w:szCs w:val="21"/>
              </w:rPr>
              <w:t>-</w:t>
            </w:r>
            <w:r>
              <w:rPr>
                <w:rFonts w:hint="eastAsia" w:ascii="Times New Roman" w:hAnsi="Times New Roman" w:cs="Times New Roman"/>
                <w:sz w:val="21"/>
                <w:szCs w:val="21"/>
              </w:rPr>
              <w:t>24.05</w:t>
            </w:r>
          </w:p>
        </w:tc>
      </w:tr>
      <w:tr w14:paraId="6D06B727">
        <w:tblPrEx>
          <w:tblBorders>
            <w:top w:val="thinThickSmallGap" w:color="auto" w:sz="12" w:space="0"/>
            <w:left w:val="none" w:color="auto" w:sz="0" w:space="0"/>
            <w:bottom w:val="thickThinSmallGap"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66" w:hRule="atLeast"/>
          <w:jc w:val="center"/>
        </w:trPr>
        <w:tc>
          <w:tcPr>
            <w:tcW w:w="1679" w:type="dxa"/>
            <w:vMerge w:val="continue"/>
            <w:noWrap w:val="0"/>
            <w:vAlign w:val="center"/>
          </w:tcPr>
          <w:p w14:paraId="1159605A">
            <w:pPr>
              <w:jc w:val="center"/>
              <w:rPr>
                <w:rFonts w:ascii="Times New Roman" w:hAnsi="Times New Roman" w:cs="Times New Roman"/>
                <w:sz w:val="21"/>
                <w:szCs w:val="21"/>
              </w:rPr>
            </w:pPr>
          </w:p>
        </w:tc>
        <w:tc>
          <w:tcPr>
            <w:tcW w:w="1091" w:type="dxa"/>
            <w:noWrap w:val="0"/>
            <w:vAlign w:val="center"/>
          </w:tcPr>
          <w:p w14:paraId="4A3CF56F">
            <w:pPr>
              <w:jc w:val="center"/>
              <w:rPr>
                <w:rFonts w:ascii="Times New Roman" w:hAnsi="Times New Roman" w:cs="Times New Roman"/>
                <w:sz w:val="21"/>
                <w:szCs w:val="21"/>
              </w:rPr>
            </w:pPr>
            <w:r>
              <w:rPr>
                <w:rFonts w:ascii="Times New Roman" w:hAnsi="Times New Roman" w:cs="Times New Roman"/>
                <w:sz w:val="21"/>
                <w:szCs w:val="21"/>
              </w:rPr>
              <w:t>无组织</w:t>
            </w:r>
          </w:p>
        </w:tc>
        <w:tc>
          <w:tcPr>
            <w:tcW w:w="1092" w:type="dxa"/>
            <w:noWrap w:val="0"/>
            <w:vAlign w:val="center"/>
          </w:tcPr>
          <w:p w14:paraId="633CA4A3">
            <w:pPr>
              <w:jc w:val="center"/>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w:t>
            </w:r>
          </w:p>
        </w:tc>
        <w:tc>
          <w:tcPr>
            <w:tcW w:w="1985" w:type="dxa"/>
            <w:noWrap w:val="0"/>
            <w:vAlign w:val="center"/>
          </w:tcPr>
          <w:p w14:paraId="5D4CFFD6">
            <w:pPr>
              <w:jc w:val="center"/>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53.11</w:t>
            </w:r>
          </w:p>
        </w:tc>
        <w:tc>
          <w:tcPr>
            <w:tcW w:w="2444" w:type="dxa"/>
            <w:noWrap w:val="0"/>
            <w:vAlign w:val="center"/>
          </w:tcPr>
          <w:p w14:paraId="340689BA">
            <w:pPr>
              <w:jc w:val="center"/>
              <w:rPr>
                <w:rFonts w:hint="eastAsia" w:ascii="Times New Roman" w:hAnsi="Times New Roman" w:eastAsia="宋体" w:cs="Times New Roman"/>
                <w:sz w:val="21"/>
                <w:szCs w:val="21"/>
                <w:lang w:eastAsia="zh-CN"/>
              </w:rPr>
            </w:pPr>
            <w:r>
              <w:rPr>
                <w:rFonts w:hint="eastAsia" w:ascii="Times New Roman" w:hAnsi="Times New Roman" w:cs="Times New Roman"/>
                <w:sz w:val="21"/>
                <w:szCs w:val="21"/>
                <w:lang w:val="en-US" w:eastAsia="zh-CN"/>
              </w:rPr>
              <w:t>/</w:t>
            </w:r>
          </w:p>
        </w:tc>
      </w:tr>
      <w:tr w14:paraId="7846DE56">
        <w:tblPrEx>
          <w:tblBorders>
            <w:top w:val="thinThickSmallGap" w:color="auto" w:sz="12" w:space="0"/>
            <w:left w:val="none" w:color="auto" w:sz="0" w:space="0"/>
            <w:bottom w:val="thickThinSmallGap"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66" w:hRule="atLeast"/>
          <w:jc w:val="center"/>
        </w:trPr>
        <w:tc>
          <w:tcPr>
            <w:tcW w:w="1679" w:type="dxa"/>
            <w:vMerge w:val="continue"/>
            <w:noWrap w:val="0"/>
            <w:vAlign w:val="center"/>
          </w:tcPr>
          <w:p w14:paraId="745AF157">
            <w:pPr>
              <w:jc w:val="center"/>
              <w:rPr>
                <w:rFonts w:ascii="Times New Roman" w:hAnsi="Times New Roman" w:cs="Times New Roman"/>
                <w:sz w:val="21"/>
                <w:szCs w:val="21"/>
              </w:rPr>
            </w:pPr>
          </w:p>
        </w:tc>
        <w:tc>
          <w:tcPr>
            <w:tcW w:w="1091" w:type="dxa"/>
            <w:noWrap w:val="0"/>
            <w:vAlign w:val="center"/>
          </w:tcPr>
          <w:p w14:paraId="2DB1093B">
            <w:pPr>
              <w:jc w:val="center"/>
              <w:rPr>
                <w:rFonts w:ascii="Times New Roman" w:hAnsi="Times New Roman" w:cs="Times New Roman"/>
                <w:b/>
                <w:sz w:val="21"/>
                <w:szCs w:val="21"/>
              </w:rPr>
            </w:pPr>
            <w:r>
              <w:rPr>
                <w:rFonts w:ascii="Times New Roman" w:hAnsi="Times New Roman" w:cs="Times New Roman"/>
                <w:b/>
                <w:sz w:val="21"/>
                <w:szCs w:val="21"/>
              </w:rPr>
              <w:t>合计</w:t>
            </w:r>
          </w:p>
        </w:tc>
        <w:tc>
          <w:tcPr>
            <w:tcW w:w="1092" w:type="dxa"/>
            <w:noWrap w:val="0"/>
            <w:vAlign w:val="center"/>
          </w:tcPr>
          <w:p w14:paraId="3FD5D03D">
            <w:pPr>
              <w:jc w:val="center"/>
              <w:rPr>
                <w:rFonts w:hint="eastAsia" w:ascii="Times New Roman" w:hAnsi="Times New Roman" w:eastAsia="宋体" w:cs="Times New Roman"/>
                <w:sz w:val="21"/>
                <w:szCs w:val="21"/>
                <w:lang w:val="en-US" w:eastAsia="zh-CN"/>
              </w:rPr>
            </w:pPr>
            <w:r>
              <w:rPr>
                <w:rFonts w:hint="eastAsia" w:ascii="Times New Roman" w:hAnsi="Times New Roman" w:cs="Times New Roman"/>
                <w:sz w:val="21"/>
                <w:szCs w:val="21"/>
                <w:lang w:val="en-US" w:eastAsia="zh-CN"/>
              </w:rPr>
              <w:t>/</w:t>
            </w:r>
          </w:p>
        </w:tc>
        <w:tc>
          <w:tcPr>
            <w:tcW w:w="1985" w:type="dxa"/>
            <w:noWrap w:val="0"/>
            <w:vAlign w:val="center"/>
          </w:tcPr>
          <w:p w14:paraId="0D5F4836">
            <w:pPr>
              <w:jc w:val="center"/>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159.54</w:t>
            </w:r>
          </w:p>
        </w:tc>
        <w:tc>
          <w:tcPr>
            <w:tcW w:w="2444" w:type="dxa"/>
            <w:noWrap w:val="0"/>
            <w:vAlign w:val="center"/>
          </w:tcPr>
          <w:p w14:paraId="2AB330D0">
            <w:pPr>
              <w:jc w:val="center"/>
              <w:rPr>
                <w:rFonts w:hint="eastAsia" w:ascii="Times New Roman" w:hAnsi="Times New Roman" w:eastAsia="宋体" w:cs="Times New Roman"/>
                <w:sz w:val="21"/>
                <w:szCs w:val="21"/>
                <w:lang w:eastAsia="zh-CN"/>
              </w:rPr>
            </w:pPr>
            <w:r>
              <w:rPr>
                <w:rFonts w:hint="eastAsia" w:ascii="Times New Roman" w:hAnsi="Times New Roman" w:cs="Times New Roman"/>
                <w:sz w:val="21"/>
                <w:szCs w:val="21"/>
                <w:lang w:val="en-US" w:eastAsia="zh-CN"/>
              </w:rPr>
              <w:t>/</w:t>
            </w:r>
          </w:p>
        </w:tc>
      </w:tr>
      <w:tr w14:paraId="549D3610">
        <w:tblPrEx>
          <w:tblBorders>
            <w:top w:val="thinThickSmallGap" w:color="auto" w:sz="12" w:space="0"/>
            <w:left w:val="none" w:color="auto" w:sz="0" w:space="0"/>
            <w:bottom w:val="thickThinSmallGap"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66" w:hRule="atLeast"/>
          <w:jc w:val="center"/>
        </w:trPr>
        <w:tc>
          <w:tcPr>
            <w:tcW w:w="1679" w:type="dxa"/>
            <w:noWrap w:val="0"/>
            <w:vAlign w:val="center"/>
          </w:tcPr>
          <w:p w14:paraId="6F81984F">
            <w:pPr>
              <w:jc w:val="center"/>
              <w:rPr>
                <w:rFonts w:ascii="Times New Roman" w:hAnsi="Times New Roman" w:cs="Times New Roman"/>
                <w:sz w:val="21"/>
                <w:szCs w:val="21"/>
              </w:rPr>
            </w:pPr>
            <w:r>
              <w:rPr>
                <w:rFonts w:ascii="Times New Roman" w:hAnsi="Times New Roman" w:cs="Times New Roman"/>
                <w:sz w:val="21"/>
                <w:szCs w:val="21"/>
              </w:rPr>
              <w:t>SO</w:t>
            </w:r>
            <w:r>
              <w:rPr>
                <w:rFonts w:ascii="Times New Roman" w:hAnsi="Times New Roman" w:cs="Times New Roman"/>
                <w:sz w:val="21"/>
                <w:szCs w:val="21"/>
                <w:vertAlign w:val="subscript"/>
              </w:rPr>
              <w:t>2</w:t>
            </w:r>
          </w:p>
        </w:tc>
        <w:tc>
          <w:tcPr>
            <w:tcW w:w="2183" w:type="dxa"/>
            <w:gridSpan w:val="2"/>
            <w:shd w:val="clear" w:color="auto" w:fill="auto"/>
            <w:noWrap w:val="0"/>
            <w:vAlign w:val="center"/>
          </w:tcPr>
          <w:p w14:paraId="6633CCFA">
            <w:pPr>
              <w:jc w:val="center"/>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31.3632</w:t>
            </w:r>
          </w:p>
        </w:tc>
        <w:tc>
          <w:tcPr>
            <w:tcW w:w="1985" w:type="dxa"/>
            <w:noWrap w:val="0"/>
            <w:vAlign w:val="center"/>
          </w:tcPr>
          <w:p w14:paraId="2381DB7F">
            <w:pPr>
              <w:jc w:val="center"/>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111.298</w:t>
            </w:r>
          </w:p>
        </w:tc>
        <w:tc>
          <w:tcPr>
            <w:tcW w:w="2444" w:type="dxa"/>
            <w:noWrap w:val="0"/>
            <w:vAlign w:val="center"/>
          </w:tcPr>
          <w:p w14:paraId="0A63FA93">
            <w:pPr>
              <w:jc w:val="center"/>
              <w:rPr>
                <w:rFonts w:ascii="Times New Roman" w:hAnsi="Times New Roman" w:cs="Times New Roman"/>
                <w:sz w:val="21"/>
                <w:szCs w:val="21"/>
              </w:rPr>
            </w:pPr>
            <w:r>
              <w:rPr>
                <w:rFonts w:ascii="Times New Roman" w:hAnsi="Times New Roman" w:cs="Times New Roman"/>
                <w:sz w:val="21"/>
                <w:szCs w:val="21"/>
              </w:rPr>
              <w:t>-37.6</w:t>
            </w:r>
          </w:p>
        </w:tc>
      </w:tr>
      <w:tr w14:paraId="016C26E3">
        <w:tblPrEx>
          <w:tblBorders>
            <w:top w:val="thinThickSmallGap" w:color="auto" w:sz="12" w:space="0"/>
            <w:left w:val="none" w:color="auto" w:sz="0" w:space="0"/>
            <w:bottom w:val="thickThinSmallGap"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66" w:hRule="atLeast"/>
          <w:jc w:val="center"/>
        </w:trPr>
        <w:tc>
          <w:tcPr>
            <w:tcW w:w="1679" w:type="dxa"/>
            <w:noWrap w:val="0"/>
            <w:vAlign w:val="center"/>
          </w:tcPr>
          <w:p w14:paraId="30976CB7">
            <w:pPr>
              <w:jc w:val="center"/>
              <w:rPr>
                <w:rFonts w:ascii="Times New Roman" w:hAnsi="Times New Roman" w:cs="Times New Roman"/>
                <w:sz w:val="21"/>
                <w:szCs w:val="21"/>
              </w:rPr>
            </w:pPr>
            <w:r>
              <w:rPr>
                <w:rFonts w:ascii="Times New Roman" w:hAnsi="Times New Roman" w:cs="Times New Roman"/>
                <w:sz w:val="21"/>
                <w:szCs w:val="21"/>
              </w:rPr>
              <w:t>NO</w:t>
            </w:r>
            <w:r>
              <w:rPr>
                <w:rFonts w:ascii="Times New Roman" w:hAnsi="Times New Roman" w:cs="Times New Roman"/>
                <w:sz w:val="21"/>
                <w:szCs w:val="21"/>
                <w:vertAlign w:val="subscript"/>
              </w:rPr>
              <w:t>2</w:t>
            </w:r>
          </w:p>
        </w:tc>
        <w:tc>
          <w:tcPr>
            <w:tcW w:w="2183" w:type="dxa"/>
            <w:gridSpan w:val="2"/>
            <w:shd w:val="clear" w:color="auto" w:fill="auto"/>
            <w:noWrap w:val="0"/>
            <w:vAlign w:val="center"/>
          </w:tcPr>
          <w:p w14:paraId="7EA72567">
            <w:pPr>
              <w:jc w:val="center"/>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73.1016</w:t>
            </w:r>
          </w:p>
        </w:tc>
        <w:tc>
          <w:tcPr>
            <w:tcW w:w="1985" w:type="dxa"/>
            <w:noWrap w:val="0"/>
            <w:vAlign w:val="center"/>
          </w:tcPr>
          <w:p w14:paraId="5A7833D9">
            <w:pPr>
              <w:jc w:val="center"/>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212.15</w:t>
            </w:r>
          </w:p>
        </w:tc>
        <w:tc>
          <w:tcPr>
            <w:tcW w:w="2444" w:type="dxa"/>
            <w:noWrap w:val="0"/>
            <w:vAlign w:val="center"/>
          </w:tcPr>
          <w:p w14:paraId="1B1F17A3">
            <w:pPr>
              <w:jc w:val="center"/>
              <w:rPr>
                <w:rFonts w:ascii="Times New Roman" w:hAnsi="Times New Roman" w:cs="Times New Roman"/>
                <w:sz w:val="21"/>
                <w:szCs w:val="21"/>
              </w:rPr>
            </w:pPr>
            <w:r>
              <w:rPr>
                <w:rFonts w:ascii="Times New Roman" w:hAnsi="Times New Roman" w:cs="Times New Roman"/>
                <w:sz w:val="21"/>
                <w:szCs w:val="21"/>
              </w:rPr>
              <w:t>-60.21</w:t>
            </w:r>
          </w:p>
        </w:tc>
      </w:tr>
    </w:tbl>
    <w:p w14:paraId="36B2C35B">
      <w:pPr>
        <w:pStyle w:val="6"/>
        <w:spacing w:before="239"/>
      </w:pPr>
      <w:bookmarkStart w:id="240" w:name="_Toc90026122"/>
      <w:bookmarkStart w:id="241" w:name="_Toc11035"/>
      <w:r>
        <w:t>2.</w:t>
      </w:r>
      <w:r>
        <w:rPr>
          <w:rFonts w:hint="eastAsia"/>
        </w:rPr>
        <w:t>1</w:t>
      </w:r>
      <w:r>
        <w:rPr>
          <w:rFonts w:hint="eastAsia"/>
          <w:lang w:val="en-US" w:eastAsia="zh-CN"/>
        </w:rPr>
        <w:t>1</w:t>
      </w:r>
      <w:r>
        <w:t xml:space="preserve"> </w:t>
      </w:r>
      <w:r>
        <w:rPr>
          <w:rFonts w:hint="eastAsia"/>
        </w:rPr>
        <w:t>现有环保问题及“以新带老”整改措施</w:t>
      </w:r>
      <w:bookmarkEnd w:id="240"/>
      <w:bookmarkEnd w:id="241"/>
    </w:p>
    <w:p w14:paraId="390AFEFE">
      <w:pPr>
        <w:spacing w:line="500" w:lineRule="exact"/>
        <w:ind w:right="6" w:firstLine="480" w:firstLineChars="200"/>
        <w:rPr>
          <w:rFonts w:hint="eastAsia" w:cs="Times New Roman"/>
          <w:highlight w:val="none"/>
        </w:rPr>
      </w:pPr>
      <w:r>
        <w:rPr>
          <w:rFonts w:hint="eastAsia"/>
          <w:highlight w:val="none"/>
        </w:rPr>
        <w:t>根据现场踏勘调查，企业</w:t>
      </w:r>
      <w:r>
        <w:rPr>
          <w:rFonts w:hint="eastAsia" w:cs="Times New Roman"/>
          <w:highlight w:val="none"/>
          <w:lang w:val="en-US" w:eastAsia="zh-CN"/>
        </w:rPr>
        <w:t>竖炉颗粒物</w:t>
      </w:r>
      <w:r>
        <w:rPr>
          <w:rFonts w:hint="eastAsia" w:cs="Times New Roman"/>
          <w:highlight w:val="none"/>
        </w:rPr>
        <w:t>排放浓度较高。</w:t>
      </w:r>
    </w:p>
    <w:p w14:paraId="38E731D2">
      <w:pPr>
        <w:spacing w:line="500" w:lineRule="exact"/>
        <w:ind w:right="6" w:firstLine="480" w:firstLineChars="200"/>
        <w:rPr>
          <w:rFonts w:hint="eastAsia" w:ascii="Times New Roman" w:hAnsi="Times New Roman" w:cs="Times New Roman"/>
          <w:highlight w:val="none"/>
        </w:rPr>
      </w:pPr>
      <w:r>
        <w:rPr>
          <w:rFonts w:hint="eastAsia" w:cs="Times New Roman"/>
          <w:highlight w:val="none"/>
        </w:rPr>
        <w:t>根据《关于印发辽宁省钢铁企业超低排放改造实施方案的通知》</w:t>
      </w:r>
      <w:r>
        <w:rPr>
          <w:rFonts w:ascii="Times New Roman" w:hAnsi="Times New Roman" w:cs="Times New Roman"/>
          <w:highlight w:val="none"/>
        </w:rPr>
        <w:t>（辽环综函[2019]212号）</w:t>
      </w:r>
      <w:r>
        <w:rPr>
          <w:rFonts w:hint="eastAsia" w:ascii="Times New Roman" w:hAnsi="Times New Roman" w:cs="Times New Roman"/>
          <w:highlight w:val="none"/>
        </w:rPr>
        <w:t>要求，钢铁企业要</w:t>
      </w:r>
      <w:r>
        <w:rPr>
          <w:rFonts w:ascii="Times New Roman" w:hAnsi="Times New Roman" w:cs="Times New Roman"/>
          <w:highlight w:val="none"/>
        </w:rPr>
        <w:t>加强源头控制，</w:t>
      </w:r>
      <w:r>
        <w:rPr>
          <w:rFonts w:hint="eastAsia" w:ascii="Times New Roman" w:hAnsi="Times New Roman" w:cs="Times New Roman"/>
          <w:highlight w:val="none"/>
          <w:lang w:val="en-US" w:eastAsia="zh-CN"/>
        </w:rPr>
        <w:t>球团竖炉改为湿电除尘器</w:t>
      </w:r>
      <w:r>
        <w:rPr>
          <w:rFonts w:hint="eastAsia" w:ascii="Times New Roman" w:hAnsi="Times New Roman" w:cs="Times New Roman"/>
          <w:highlight w:val="none"/>
        </w:rPr>
        <w:t>，进一步减少</w:t>
      </w:r>
      <w:r>
        <w:rPr>
          <w:rFonts w:hint="eastAsia" w:ascii="Times New Roman" w:hAnsi="Times New Roman" w:cs="Times New Roman"/>
          <w:highlight w:val="none"/>
          <w:lang w:val="en-US" w:eastAsia="zh-CN"/>
        </w:rPr>
        <w:t>颗粒物</w:t>
      </w:r>
      <w:r>
        <w:rPr>
          <w:rFonts w:hint="eastAsia" w:ascii="Times New Roman" w:hAnsi="Times New Roman" w:cs="Times New Roman"/>
          <w:highlight w:val="none"/>
        </w:rPr>
        <w:t>排放。</w:t>
      </w:r>
    </w:p>
    <w:p w14:paraId="47ECA004">
      <w:pPr>
        <w:spacing w:line="500" w:lineRule="exact"/>
        <w:ind w:right="6" w:firstLine="480" w:firstLineChars="200"/>
        <w:rPr>
          <w:rFonts w:ascii="Times New Roman" w:hAnsi="Times New Roman" w:cs="Times New Roman"/>
        </w:rPr>
        <w:sectPr>
          <w:headerReference r:id="rId18" w:type="default"/>
          <w:pgSz w:w="11907" w:h="16840"/>
          <w:pgMar w:top="1701" w:right="1701" w:bottom="1701" w:left="1701" w:header="851" w:footer="1077" w:gutter="0"/>
          <w:pgBorders w:offsetFrom="page">
            <w:top w:val="none" w:sz="0" w:space="0"/>
            <w:left w:val="none" w:sz="0" w:space="0"/>
            <w:bottom w:val="none" w:sz="0" w:space="0"/>
            <w:right w:val="none" w:sz="0" w:space="0"/>
          </w:pgBorders>
          <w:pgNumType w:fmt="decimal"/>
          <w:cols w:space="720" w:num="1"/>
          <w:docGrid w:type="lines" w:linePitch="479" w:charSpace="0"/>
        </w:sectPr>
      </w:pPr>
    </w:p>
    <w:p w14:paraId="3C99B3C3">
      <w:pPr>
        <w:pStyle w:val="5"/>
        <w:spacing w:before="240" w:after="240"/>
        <w:rPr>
          <w:rFonts w:hint="eastAsia"/>
        </w:rPr>
      </w:pPr>
      <w:bookmarkStart w:id="242" w:name="_Toc90026123"/>
      <w:bookmarkStart w:id="243" w:name="_Toc29548"/>
      <w:r>
        <w:rPr>
          <w:rFonts w:hint="eastAsia"/>
          <w:lang w:eastAsia="zh-CN"/>
        </w:rPr>
        <w:t>3</w:t>
      </w:r>
      <w:r>
        <w:t xml:space="preserve">. </w:t>
      </w:r>
      <w:r>
        <w:rPr>
          <w:rFonts w:hint="eastAsia"/>
          <w:lang w:eastAsia="zh-CN"/>
        </w:rPr>
        <w:t>本项目工程分析</w:t>
      </w:r>
      <w:bookmarkEnd w:id="242"/>
      <w:bookmarkEnd w:id="243"/>
    </w:p>
    <w:p w14:paraId="7FD59FEC">
      <w:pPr>
        <w:pStyle w:val="6"/>
        <w:spacing w:before="239"/>
      </w:pPr>
      <w:bookmarkStart w:id="244" w:name="_Toc90026124"/>
      <w:bookmarkStart w:id="245" w:name="_Toc8028"/>
      <w:r>
        <w:rPr>
          <w:rFonts w:hint="eastAsia"/>
        </w:rPr>
        <w:t>3</w:t>
      </w:r>
      <w:r>
        <w:t>.</w:t>
      </w:r>
      <w:r>
        <w:rPr>
          <w:rFonts w:hint="eastAsia"/>
        </w:rPr>
        <w:t>1</w:t>
      </w:r>
      <w:r>
        <w:t xml:space="preserve"> 项目概况</w:t>
      </w:r>
      <w:bookmarkEnd w:id="244"/>
      <w:bookmarkEnd w:id="245"/>
    </w:p>
    <w:p w14:paraId="7AEE252F">
      <w:pPr>
        <w:pStyle w:val="7"/>
      </w:pPr>
      <w:bookmarkStart w:id="246" w:name="_Toc21453"/>
      <w:bookmarkStart w:id="247" w:name="_Toc90026247"/>
      <w:r>
        <w:rPr>
          <w:rFonts w:hint="eastAsia"/>
          <w:lang w:eastAsia="zh-CN"/>
        </w:rPr>
        <w:t>3</w:t>
      </w:r>
      <w:r>
        <w:t>.</w:t>
      </w:r>
      <w:r>
        <w:rPr>
          <w:rFonts w:hint="eastAsia"/>
          <w:lang w:eastAsia="zh-CN"/>
        </w:rPr>
        <w:t>1</w:t>
      </w:r>
      <w:r>
        <w:t>.1 工程概况</w:t>
      </w:r>
      <w:bookmarkEnd w:id="246"/>
      <w:bookmarkEnd w:id="247"/>
    </w:p>
    <w:p w14:paraId="36ACE9E4">
      <w:pPr>
        <w:spacing w:line="500" w:lineRule="exact"/>
        <w:ind w:right="6" w:firstLine="482" w:firstLineChars="200"/>
        <w:rPr>
          <w:rFonts w:ascii="Times New Roman" w:hAnsi="Times New Roman" w:cs="Times New Roman"/>
          <w:b/>
        </w:rPr>
      </w:pPr>
      <w:r>
        <w:rPr>
          <w:rFonts w:ascii="Times New Roman" w:hAnsi="Times New Roman" w:cs="Times New Roman"/>
          <w:b/>
        </w:rPr>
        <w:t>（1）项目名称</w:t>
      </w:r>
    </w:p>
    <w:p w14:paraId="7935BB9C">
      <w:pPr>
        <w:spacing w:line="500" w:lineRule="exact"/>
        <w:ind w:right="6" w:firstLine="480" w:firstLineChars="200"/>
        <w:rPr>
          <w:rFonts w:hint="eastAsia" w:ascii="Times New Roman" w:hAnsi="Times New Roman" w:eastAsia="宋体" w:cs="Times New Roman"/>
          <w:lang w:eastAsia="zh-CN"/>
        </w:rPr>
      </w:pPr>
      <w:r>
        <w:rPr>
          <w:rFonts w:hint="eastAsia" w:ascii="Times New Roman" w:hAnsi="Times New Roman" w:cs="Times New Roman"/>
          <w:lang w:eastAsia="zh-CN"/>
        </w:rPr>
        <w:t>本溪玉麒麟新材料有限公司超低排放技改项目</w:t>
      </w:r>
    </w:p>
    <w:p w14:paraId="2357C354">
      <w:pPr>
        <w:spacing w:line="500" w:lineRule="exact"/>
        <w:ind w:right="6" w:firstLine="482" w:firstLineChars="200"/>
        <w:rPr>
          <w:rFonts w:ascii="Times New Roman" w:hAnsi="Times New Roman" w:cs="Times New Roman"/>
          <w:b/>
        </w:rPr>
      </w:pPr>
      <w:r>
        <w:rPr>
          <w:rFonts w:ascii="Times New Roman" w:hAnsi="Times New Roman" w:cs="Times New Roman"/>
          <w:b/>
        </w:rPr>
        <w:t>（2）建设单位</w:t>
      </w:r>
    </w:p>
    <w:p w14:paraId="474C1E95">
      <w:pPr>
        <w:spacing w:line="500" w:lineRule="exact"/>
        <w:ind w:right="6" w:firstLine="480" w:firstLineChars="200"/>
        <w:rPr>
          <w:rFonts w:hint="eastAsia" w:ascii="Times New Roman" w:hAnsi="Times New Roman" w:eastAsia="宋体" w:cs="Times New Roman"/>
          <w:lang w:eastAsia="zh-CN"/>
        </w:rPr>
      </w:pPr>
      <w:r>
        <w:rPr>
          <w:rFonts w:hint="eastAsia" w:ascii="Times New Roman" w:hAnsi="Times New Roman" w:cs="Times New Roman"/>
          <w:lang w:eastAsia="zh-CN"/>
        </w:rPr>
        <w:t>本溪玉麒麟新材料有限公司</w:t>
      </w:r>
    </w:p>
    <w:p w14:paraId="563B775F">
      <w:pPr>
        <w:spacing w:line="500" w:lineRule="exact"/>
        <w:ind w:right="6" w:firstLine="482" w:firstLineChars="200"/>
        <w:rPr>
          <w:rFonts w:ascii="Times New Roman" w:hAnsi="Times New Roman" w:cs="Times New Roman"/>
          <w:b/>
        </w:rPr>
      </w:pPr>
      <w:r>
        <w:rPr>
          <w:rFonts w:ascii="Times New Roman" w:hAnsi="Times New Roman" w:cs="Times New Roman"/>
          <w:b/>
        </w:rPr>
        <w:t>（3）项目性质</w:t>
      </w:r>
    </w:p>
    <w:p w14:paraId="3EEBE005">
      <w:pPr>
        <w:spacing w:line="500" w:lineRule="exact"/>
        <w:ind w:right="6" w:firstLine="480" w:firstLineChars="200"/>
        <w:rPr>
          <w:rFonts w:hint="eastAsia" w:ascii="Times New Roman" w:hAnsi="Times New Roman" w:cs="Times New Roman"/>
        </w:rPr>
      </w:pPr>
      <w:r>
        <w:rPr>
          <w:rFonts w:hint="eastAsia" w:ascii="Times New Roman" w:hAnsi="Times New Roman" w:cs="Times New Roman"/>
        </w:rPr>
        <w:t>技术改造</w:t>
      </w:r>
    </w:p>
    <w:p w14:paraId="2D3A31D7">
      <w:pPr>
        <w:spacing w:line="500" w:lineRule="exact"/>
        <w:ind w:right="6" w:firstLine="482" w:firstLineChars="200"/>
        <w:rPr>
          <w:rFonts w:ascii="Times New Roman" w:hAnsi="Times New Roman" w:cs="Times New Roman"/>
          <w:b/>
        </w:rPr>
      </w:pPr>
      <w:r>
        <w:rPr>
          <w:rFonts w:ascii="Times New Roman" w:hAnsi="Times New Roman" w:cs="Times New Roman"/>
          <w:b/>
        </w:rPr>
        <w:t>（4）建设位置</w:t>
      </w:r>
    </w:p>
    <w:p w14:paraId="2E424B38">
      <w:pPr>
        <w:pStyle w:val="19"/>
        <w:spacing w:line="500" w:lineRule="exact"/>
        <w:ind w:firstLine="480"/>
        <w:rPr>
          <w:sz w:val="24"/>
        </w:rPr>
      </w:pPr>
      <w:r>
        <w:rPr>
          <w:sz w:val="24"/>
        </w:rPr>
        <w:t>辽宁省</w:t>
      </w:r>
      <w:r>
        <w:rPr>
          <w:rFonts w:hint="eastAsia"/>
          <w:sz w:val="24"/>
          <w:lang w:eastAsia="zh-CN"/>
        </w:rPr>
        <w:t>本溪市本溪满族自治县草河口镇祁家堡村</w:t>
      </w:r>
      <w:r>
        <w:rPr>
          <w:sz w:val="24"/>
        </w:rPr>
        <w:t>、</w:t>
      </w:r>
      <w:r>
        <w:rPr>
          <w:rFonts w:hint="eastAsia"/>
          <w:sz w:val="24"/>
          <w:lang w:eastAsia="zh-CN"/>
        </w:rPr>
        <w:t>本溪玉麒麟新材料有限公司</w:t>
      </w:r>
      <w:r>
        <w:rPr>
          <w:sz w:val="24"/>
        </w:rPr>
        <w:t>现有厂区内</w:t>
      </w:r>
      <w:r>
        <w:rPr>
          <w:rFonts w:hint="eastAsia"/>
          <w:sz w:val="24"/>
        </w:rPr>
        <w:t>，项目地理位置中心点坐标E</w:t>
      </w:r>
      <w:r>
        <w:rPr>
          <w:sz w:val="24"/>
        </w:rPr>
        <w:t>:</w:t>
      </w:r>
      <w:r>
        <w:rPr>
          <w:rFonts w:hint="eastAsia"/>
          <w:sz w:val="24"/>
        </w:rPr>
        <w:t>123.83735789,N</w:t>
      </w:r>
      <w:r>
        <w:rPr>
          <w:sz w:val="24"/>
        </w:rPr>
        <w:t>:</w:t>
      </w:r>
      <w:r>
        <w:rPr>
          <w:rFonts w:hint="eastAsia"/>
          <w:sz w:val="24"/>
        </w:rPr>
        <w:t>40.93034281°。</w:t>
      </w:r>
    </w:p>
    <w:p w14:paraId="6325E093">
      <w:pPr>
        <w:spacing w:line="500" w:lineRule="exact"/>
        <w:ind w:right="6" w:firstLine="482" w:firstLineChars="200"/>
        <w:rPr>
          <w:rFonts w:ascii="Times New Roman" w:hAnsi="Times New Roman" w:cs="Times New Roman"/>
          <w:b/>
        </w:rPr>
      </w:pPr>
      <w:r>
        <w:rPr>
          <w:rFonts w:ascii="Times New Roman" w:hAnsi="Times New Roman" w:cs="Times New Roman"/>
          <w:b/>
        </w:rPr>
        <w:t>（5）投资总额及环保投资</w:t>
      </w:r>
    </w:p>
    <w:p w14:paraId="1347F826">
      <w:pPr>
        <w:spacing w:line="500" w:lineRule="exact"/>
        <w:ind w:right="6" w:firstLine="480" w:firstLineChars="200"/>
        <w:rPr>
          <w:rFonts w:ascii="Times New Roman" w:hAnsi="Times New Roman" w:cs="Times New Roman"/>
        </w:rPr>
      </w:pPr>
      <w:r>
        <w:rPr>
          <w:rFonts w:ascii="Times New Roman" w:hAnsi="Times New Roman" w:cs="Times New Roman"/>
          <w:highlight w:val="none"/>
        </w:rPr>
        <w:t>本项目投资总额为</w:t>
      </w:r>
      <w:r>
        <w:rPr>
          <w:rFonts w:hint="eastAsia" w:ascii="Times New Roman" w:hAnsi="Times New Roman" w:cs="Times New Roman"/>
          <w:highlight w:val="none"/>
        </w:rPr>
        <w:t>8337</w:t>
      </w:r>
      <w:r>
        <w:rPr>
          <w:rFonts w:ascii="Times New Roman" w:hAnsi="Times New Roman" w:cs="Times New Roman"/>
          <w:highlight w:val="none"/>
        </w:rPr>
        <w:t>万元人民币，</w:t>
      </w:r>
      <w:r>
        <w:rPr>
          <w:rFonts w:ascii="Times New Roman" w:hAnsi="Times New Roman" w:cs="Times New Roman"/>
          <w:highlight w:val="yellow"/>
        </w:rPr>
        <w:t>其中环保投资</w:t>
      </w:r>
      <w:r>
        <w:rPr>
          <w:rFonts w:hint="eastAsia" w:ascii="Times New Roman" w:hAnsi="Times New Roman" w:cs="Times New Roman"/>
          <w:highlight w:val="yellow"/>
          <w:lang w:val="en-US" w:eastAsia="zh-CN"/>
        </w:rPr>
        <w:t>500</w:t>
      </w:r>
      <w:r>
        <w:rPr>
          <w:rFonts w:ascii="Times New Roman" w:hAnsi="Times New Roman" w:cs="Times New Roman"/>
          <w:highlight w:val="yellow"/>
        </w:rPr>
        <w:t>万元，约占投资总额的</w:t>
      </w:r>
      <w:r>
        <w:rPr>
          <w:rFonts w:hint="eastAsia" w:ascii="Times New Roman" w:hAnsi="Times New Roman" w:cs="Times New Roman"/>
          <w:highlight w:val="yellow"/>
          <w:lang w:val="en-US" w:eastAsia="zh-CN"/>
        </w:rPr>
        <w:t>6</w:t>
      </w:r>
      <w:r>
        <w:rPr>
          <w:rFonts w:ascii="Times New Roman" w:hAnsi="Times New Roman" w:cs="Times New Roman"/>
          <w:highlight w:val="yellow"/>
        </w:rPr>
        <w:t>%。</w:t>
      </w:r>
    </w:p>
    <w:p w14:paraId="72D61F99">
      <w:pPr>
        <w:spacing w:line="500" w:lineRule="exact"/>
        <w:ind w:right="6" w:firstLine="482" w:firstLineChars="200"/>
        <w:rPr>
          <w:rFonts w:ascii="Times New Roman" w:hAnsi="Times New Roman" w:cs="Times New Roman"/>
          <w:b/>
        </w:rPr>
      </w:pPr>
      <w:r>
        <w:rPr>
          <w:rFonts w:ascii="Times New Roman" w:hAnsi="Times New Roman" w:cs="Times New Roman"/>
          <w:b/>
        </w:rPr>
        <w:t>（6）劳动定员及班制</w:t>
      </w:r>
    </w:p>
    <w:p w14:paraId="462C5052">
      <w:pPr>
        <w:spacing w:line="500" w:lineRule="exact"/>
        <w:ind w:right="6" w:firstLine="480" w:firstLineChars="200"/>
        <w:rPr>
          <w:rFonts w:ascii="Times New Roman" w:hAnsi="Times New Roman" w:cs="Times New Roman"/>
        </w:rPr>
      </w:pPr>
      <w:r>
        <w:rPr>
          <w:rFonts w:ascii="Times New Roman" w:hAnsi="Times New Roman" w:cs="Times New Roman"/>
        </w:rPr>
        <w:t>本项目</w:t>
      </w:r>
      <w:r>
        <w:rPr>
          <w:rFonts w:hint="eastAsia" w:ascii="Times New Roman" w:hAnsi="Times New Roman" w:cs="Times New Roman"/>
        </w:rPr>
        <w:t>不新增</w:t>
      </w:r>
      <w:r>
        <w:rPr>
          <w:rFonts w:ascii="Times New Roman" w:hAnsi="Times New Roman" w:cs="Times New Roman"/>
        </w:rPr>
        <w:t>劳动定员</w:t>
      </w:r>
      <w:r>
        <w:rPr>
          <w:rFonts w:hint="eastAsia" w:ascii="Times New Roman" w:hAnsi="Times New Roman" w:cs="Times New Roman"/>
        </w:rPr>
        <w:t>，</w:t>
      </w:r>
      <w:r>
        <w:rPr>
          <w:rFonts w:hint="eastAsia" w:ascii="Times New Roman" w:hAnsi="Times New Roman" w:cs="Times New Roman"/>
          <w:lang w:eastAsia="zh-CN"/>
        </w:rPr>
        <w:t>本溪玉麒麟新材料有限公司</w:t>
      </w:r>
      <w:r>
        <w:rPr>
          <w:rFonts w:hint="eastAsia" w:ascii="Times New Roman" w:hAnsi="Times New Roman" w:cs="Times New Roman"/>
        </w:rPr>
        <w:t>劳动定员仍为</w:t>
      </w:r>
      <w:r>
        <w:rPr>
          <w:rFonts w:hint="eastAsia" w:ascii="Times New Roman" w:hAnsi="Times New Roman" w:cs="Times New Roman"/>
          <w:lang w:val="en-US" w:eastAsia="zh-CN"/>
        </w:rPr>
        <w:t>430</w:t>
      </w:r>
      <w:r>
        <w:rPr>
          <w:rFonts w:ascii="Times New Roman" w:hAnsi="Times New Roman" w:cs="Times New Roman"/>
        </w:rPr>
        <w:t>人。</w:t>
      </w:r>
      <w:r>
        <w:rPr>
          <w:rFonts w:hint="eastAsia" w:ascii="Times New Roman" w:hAnsi="Times New Roman" w:cs="Times New Roman"/>
        </w:rPr>
        <w:t>工作制度不变，仍为</w:t>
      </w:r>
      <w:r>
        <w:rPr>
          <w:rFonts w:ascii="Times New Roman" w:hAnsi="Times New Roman" w:cs="Times New Roman"/>
        </w:rPr>
        <w:t>年工作3</w:t>
      </w:r>
      <w:r>
        <w:rPr>
          <w:rFonts w:hint="eastAsia" w:ascii="Times New Roman" w:hAnsi="Times New Roman" w:cs="Times New Roman"/>
          <w:lang w:val="en-US" w:eastAsia="zh-CN"/>
        </w:rPr>
        <w:t>3</w:t>
      </w:r>
      <w:r>
        <w:rPr>
          <w:rFonts w:ascii="Times New Roman" w:hAnsi="Times New Roman" w:cs="Times New Roman"/>
        </w:rPr>
        <w:t>0天，</w:t>
      </w:r>
      <w:r>
        <w:rPr>
          <w:rFonts w:hint="eastAsia" w:ascii="Times New Roman" w:hAnsi="Times New Roman" w:cs="Times New Roman"/>
          <w:lang w:val="en-US" w:eastAsia="zh-CN"/>
        </w:rPr>
        <w:t>三班制</w:t>
      </w:r>
      <w:r>
        <w:rPr>
          <w:rFonts w:ascii="Times New Roman" w:hAnsi="Times New Roman" w:cs="Times New Roman"/>
        </w:rPr>
        <w:t>，每班8小时。</w:t>
      </w:r>
    </w:p>
    <w:p w14:paraId="02DAB9AA">
      <w:pPr>
        <w:spacing w:line="500" w:lineRule="exact"/>
        <w:ind w:right="6" w:firstLine="482" w:firstLineChars="200"/>
        <w:rPr>
          <w:rFonts w:ascii="Times New Roman" w:hAnsi="Times New Roman" w:cs="Times New Roman"/>
          <w:b/>
        </w:rPr>
      </w:pPr>
      <w:r>
        <w:rPr>
          <w:rFonts w:ascii="Times New Roman" w:hAnsi="Times New Roman" w:cs="Times New Roman"/>
          <w:b/>
        </w:rPr>
        <w:t>（7）建设周期</w:t>
      </w:r>
    </w:p>
    <w:p w14:paraId="32F69116">
      <w:pPr>
        <w:spacing w:line="500" w:lineRule="exact"/>
        <w:ind w:firstLine="480" w:firstLineChars="200"/>
        <w:jc w:val="both"/>
        <w:rPr>
          <w:rFonts w:hint="eastAsia" w:ascii="Times New Roman" w:hAnsi="Times New Roman" w:cs="Times New Roman"/>
        </w:rPr>
      </w:pPr>
      <w:r>
        <w:rPr>
          <w:rFonts w:hint="eastAsia" w:ascii="Times New Roman" w:hAnsi="Times New Roman" w:cs="Times New Roman"/>
        </w:rPr>
        <w:t>202</w:t>
      </w:r>
      <w:r>
        <w:rPr>
          <w:rFonts w:hint="eastAsia" w:ascii="Times New Roman" w:hAnsi="Times New Roman" w:cs="Times New Roman"/>
          <w:lang w:val="en-US" w:eastAsia="zh-CN"/>
        </w:rPr>
        <w:t>6</w:t>
      </w:r>
      <w:r>
        <w:rPr>
          <w:rFonts w:hint="eastAsia" w:ascii="Times New Roman" w:hAnsi="Times New Roman" w:cs="Times New Roman"/>
        </w:rPr>
        <w:t>年</w:t>
      </w:r>
      <w:r>
        <w:rPr>
          <w:rFonts w:hint="eastAsia" w:ascii="Times New Roman" w:hAnsi="Times New Roman" w:cs="Times New Roman"/>
          <w:lang w:val="en-US" w:eastAsia="zh-CN"/>
        </w:rPr>
        <w:t>3</w:t>
      </w:r>
      <w:r>
        <w:rPr>
          <w:rFonts w:hint="eastAsia" w:ascii="Times New Roman" w:hAnsi="Times New Roman" w:cs="Times New Roman"/>
        </w:rPr>
        <w:t>月</w:t>
      </w:r>
      <w:r>
        <w:rPr>
          <w:rFonts w:hint="eastAsia" w:ascii="Times New Roman" w:hAnsi="Times New Roman" w:cs="Times New Roman"/>
          <w:lang w:val="en-US" w:eastAsia="zh-CN"/>
        </w:rPr>
        <w:t>13</w:t>
      </w:r>
      <w:r>
        <w:rPr>
          <w:rFonts w:hint="eastAsia" w:ascii="Times New Roman" w:hAnsi="Times New Roman" w:cs="Times New Roman"/>
        </w:rPr>
        <w:t>日，</w:t>
      </w:r>
      <w:r>
        <w:rPr>
          <w:rFonts w:hint="eastAsia" w:ascii="Times New Roman" w:hAnsi="Times New Roman" w:cs="Times New Roman"/>
          <w:lang w:eastAsia="zh-CN"/>
        </w:rPr>
        <w:t>本溪玉麒麟新材料有限公司</w:t>
      </w:r>
      <w:r>
        <w:rPr>
          <w:rFonts w:hint="eastAsia" w:ascii="Times New Roman" w:hAnsi="Times New Roman" w:cs="Times New Roman"/>
        </w:rPr>
        <w:t>取得本溪满族自治县工业和信息化局出具的关于《</w:t>
      </w:r>
      <w:r>
        <w:rPr>
          <w:rFonts w:hint="eastAsia" w:ascii="Times New Roman" w:hAnsi="Times New Roman" w:cs="Times New Roman"/>
          <w:lang w:eastAsia="zh-CN"/>
        </w:rPr>
        <w:t>本溪玉麒麟新材料有限公司</w:t>
      </w:r>
      <w:r>
        <w:rPr>
          <w:rFonts w:hint="eastAsia" w:ascii="Times New Roman" w:hAnsi="Times New Roman" w:cs="Times New Roman"/>
        </w:rPr>
        <w:t>《本溪玉麒麟新材料有限公司超低排放技改项目》项目备案证明（本投备字</w:t>
      </w:r>
      <w:r>
        <w:rPr>
          <w:rFonts w:hint="eastAsia" w:ascii="Times New Roman" w:hAnsi="Times New Roman" w:cs="Times New Roman"/>
          <w:lang w:val="en-US" w:eastAsia="zh-CN"/>
        </w:rPr>
        <w:t>[</w:t>
      </w:r>
      <w:r>
        <w:rPr>
          <w:rFonts w:hint="eastAsia" w:ascii="Times New Roman" w:hAnsi="Times New Roman" w:cs="Times New Roman"/>
        </w:rPr>
        <w:t>2026</w:t>
      </w:r>
      <w:r>
        <w:rPr>
          <w:rFonts w:hint="eastAsia" w:ascii="Times New Roman" w:hAnsi="Times New Roman" w:cs="Times New Roman"/>
          <w:lang w:val="en-US" w:eastAsia="zh-CN"/>
        </w:rPr>
        <w:t>]</w:t>
      </w:r>
      <w:r>
        <w:rPr>
          <w:rFonts w:hint="eastAsia" w:ascii="Times New Roman" w:hAnsi="Times New Roman" w:cs="Times New Roman"/>
        </w:rPr>
        <w:t>1号）</w:t>
      </w:r>
      <w:r>
        <w:rPr>
          <w:rFonts w:ascii="Times New Roman" w:hAnsi="Times New Roman" w:cs="Times New Roman"/>
        </w:rPr>
        <w:t>。</w:t>
      </w:r>
    </w:p>
    <w:p w14:paraId="599477BD">
      <w:pPr>
        <w:spacing w:line="500" w:lineRule="exact"/>
        <w:ind w:firstLine="480" w:firstLineChars="200"/>
        <w:jc w:val="both"/>
        <w:rPr>
          <w:rFonts w:hint="eastAsia" w:ascii="Times New Roman" w:hAnsi="Times New Roman" w:cs="Times New Roman"/>
        </w:rPr>
      </w:pPr>
      <w:r>
        <w:rPr>
          <w:rFonts w:ascii="Times New Roman" w:hAnsi="Times New Roman" w:cs="Times New Roman"/>
        </w:rPr>
        <w:t>本项目建设周期为1</w:t>
      </w:r>
      <w:r>
        <w:rPr>
          <w:rFonts w:hint="eastAsia" w:ascii="Times New Roman" w:hAnsi="Times New Roman" w:cs="Times New Roman"/>
        </w:rPr>
        <w:t>个月，主要包括设备的安装与调试</w:t>
      </w:r>
      <w:r>
        <w:rPr>
          <w:rFonts w:ascii="Times New Roman" w:hAnsi="Times New Roman" w:cs="Times New Roman"/>
        </w:rPr>
        <w:t>。</w:t>
      </w:r>
    </w:p>
    <w:p w14:paraId="50E21EE6">
      <w:pPr>
        <w:pStyle w:val="7"/>
      </w:pPr>
      <w:bookmarkStart w:id="248" w:name="_Toc90026248"/>
      <w:bookmarkStart w:id="249" w:name="_Toc30952"/>
      <w:r>
        <w:rPr>
          <w:rFonts w:hint="eastAsia"/>
        </w:rPr>
        <w:t>3</w:t>
      </w:r>
      <w:r>
        <w:t>.</w:t>
      </w:r>
      <w:r>
        <w:rPr>
          <w:rFonts w:hint="eastAsia"/>
        </w:rPr>
        <w:t>1</w:t>
      </w:r>
      <w:r>
        <w:t>.2 建设内容</w:t>
      </w:r>
      <w:bookmarkEnd w:id="248"/>
      <w:bookmarkEnd w:id="249"/>
    </w:p>
    <w:p w14:paraId="4D01F219">
      <w:pPr>
        <w:spacing w:line="500" w:lineRule="exact"/>
        <w:ind w:right="6" w:firstLine="480" w:firstLineChars="200"/>
        <w:jc w:val="both"/>
        <w:rPr>
          <w:rFonts w:hint="eastAsia" w:ascii="Times New Roman" w:hAnsi="Times New Roman" w:cs="Times New Roman"/>
        </w:rPr>
      </w:pPr>
      <w:bookmarkStart w:id="250" w:name="_Hlk62024811"/>
      <w:r>
        <w:rPr>
          <w:rFonts w:hint="eastAsia" w:ascii="Times New Roman" w:hAnsi="Times New Roman" w:cs="Times New Roman"/>
        </w:rPr>
        <w:t>本项目为烧结机升级改造，竖炉及配套</w:t>
      </w:r>
      <w:r>
        <w:rPr>
          <w:rFonts w:hint="eastAsia" w:ascii="Times New Roman" w:hAnsi="Times New Roman" w:cs="Times New Roman"/>
          <w:lang w:val="en-US" w:eastAsia="zh-CN"/>
        </w:rPr>
        <w:t>设备</w:t>
      </w:r>
      <w:r>
        <w:rPr>
          <w:rFonts w:hint="eastAsia" w:ascii="Times New Roman" w:hAnsi="Times New Roman" w:cs="Times New Roman"/>
        </w:rPr>
        <w:t>升级</w:t>
      </w:r>
      <w:r>
        <w:rPr>
          <w:rFonts w:hint="eastAsia" w:ascii="Times New Roman" w:hAnsi="Times New Roman" w:cs="Times New Roman"/>
          <w:lang w:val="en-US" w:eastAsia="zh-CN"/>
        </w:rPr>
        <w:t>改造，配套</w:t>
      </w:r>
      <w:r>
        <w:rPr>
          <w:rFonts w:hint="eastAsia" w:ascii="Times New Roman" w:hAnsi="Times New Roman" w:cs="Times New Roman"/>
        </w:rPr>
        <w:t>烟气治理工程</w:t>
      </w:r>
      <w:r>
        <w:rPr>
          <w:rFonts w:hint="eastAsia" w:ascii="Times New Roman" w:hAnsi="Times New Roman" w:cs="Times New Roman"/>
          <w:lang w:val="en-US" w:eastAsia="zh-CN"/>
        </w:rPr>
        <w:t>升级</w:t>
      </w:r>
      <w:r>
        <w:rPr>
          <w:rFonts w:hint="eastAsia" w:ascii="Times New Roman" w:hAnsi="Times New Roman" w:cs="Times New Roman"/>
        </w:rPr>
        <w:t>，本次技改总产能不增加。本次技改内容主要包括主体工程、环保工程和依托工程，其他工程内容及产能等均不发生变化，本工程项目组成见表3.1-1，技改前后项目组成变化情况见表3.1-2。</w:t>
      </w:r>
    </w:p>
    <w:p w14:paraId="72109B58">
      <w:pPr>
        <w:adjustRightInd w:val="0"/>
        <w:jc w:val="center"/>
        <w:rPr>
          <w:rFonts w:ascii="Times New Roman" w:hAnsi="Times New Roman" w:cs="Times New Roman"/>
        </w:rPr>
      </w:pPr>
      <w:r>
        <w:rPr>
          <w:rFonts w:ascii="Times New Roman" w:hAnsi="Times New Roman" w:eastAsia="黑体" w:cs="Times New Roman"/>
        </w:rPr>
        <w:t>表</w:t>
      </w:r>
      <w:r>
        <w:rPr>
          <w:rFonts w:hint="eastAsia" w:ascii="Times New Roman" w:hAnsi="Times New Roman" w:eastAsia="黑体" w:cs="Times New Roman"/>
        </w:rPr>
        <w:t>3</w:t>
      </w:r>
      <w:r>
        <w:rPr>
          <w:rFonts w:ascii="Times New Roman" w:hAnsi="Times New Roman" w:eastAsia="黑体" w:cs="Times New Roman"/>
        </w:rPr>
        <w:t>.1-</w:t>
      </w:r>
      <w:r>
        <w:rPr>
          <w:rFonts w:hint="eastAsia" w:ascii="Times New Roman" w:hAnsi="Times New Roman" w:eastAsia="黑体" w:cs="Times New Roman"/>
        </w:rPr>
        <w:t>1</w:t>
      </w:r>
      <w:r>
        <w:rPr>
          <w:rFonts w:ascii="Times New Roman" w:hAnsi="Times New Roman" w:eastAsia="黑体" w:cs="Times New Roman"/>
        </w:rPr>
        <w:t xml:space="preserve">  </w:t>
      </w:r>
      <w:r>
        <w:rPr>
          <w:rFonts w:hint="eastAsia" w:ascii="Times New Roman" w:hAnsi="Times New Roman" w:eastAsia="黑体" w:cs="Times New Roman"/>
        </w:rPr>
        <w:t>本工程项目组成</w:t>
      </w:r>
      <w:r>
        <w:rPr>
          <w:rFonts w:ascii="Times New Roman" w:hAnsi="Times New Roman" w:eastAsia="黑体" w:cs="Times New Roman"/>
        </w:rPr>
        <w:t>一览表</w:t>
      </w:r>
    </w:p>
    <w:tbl>
      <w:tblPr>
        <w:tblStyle w:val="56"/>
        <w:tblW w:w="5000" w:type="pct"/>
        <w:jc w:val="center"/>
        <w:tblBorders>
          <w:top w:val="thinThickLargeGap" w:color="auto" w:sz="12" w:space="0"/>
          <w:left w:val="none" w:color="auto" w:sz="0" w:space="0"/>
          <w:bottom w:val="thickThinLargeGap"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1244"/>
        <w:gridCol w:w="7477"/>
      </w:tblGrid>
      <w:tr w14:paraId="1C6CD47B">
        <w:tblPrEx>
          <w:tblBorders>
            <w:top w:val="thinThickLargeGap" w:color="auto" w:sz="12" w:space="0"/>
            <w:left w:val="none" w:color="auto" w:sz="0" w:space="0"/>
            <w:bottom w:val="thickThinLarge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blHeader/>
          <w:jc w:val="center"/>
        </w:trPr>
        <w:tc>
          <w:tcPr>
            <w:tcW w:w="713" w:type="pct"/>
            <w:shd w:val="clear" w:color="auto" w:fill="D9D9D9"/>
            <w:noWrap w:val="0"/>
            <w:vAlign w:val="center"/>
          </w:tcPr>
          <w:p w14:paraId="2A676D42">
            <w:pPr>
              <w:snapToGrid w:val="0"/>
              <w:jc w:val="center"/>
              <w:rPr>
                <w:rFonts w:ascii="Times New Roman" w:hAnsi="Times New Roman" w:cs="Times New Roman"/>
                <w:sz w:val="21"/>
                <w:szCs w:val="21"/>
              </w:rPr>
            </w:pPr>
            <w:r>
              <w:rPr>
                <w:rFonts w:ascii="Times New Roman" w:hAnsi="Times New Roman" w:cs="Times New Roman"/>
                <w:sz w:val="21"/>
                <w:szCs w:val="21"/>
              </w:rPr>
              <w:t>项目组成</w:t>
            </w:r>
          </w:p>
        </w:tc>
        <w:tc>
          <w:tcPr>
            <w:tcW w:w="4286" w:type="pct"/>
            <w:shd w:val="clear" w:color="auto" w:fill="D9D9D9"/>
            <w:noWrap w:val="0"/>
            <w:vAlign w:val="center"/>
          </w:tcPr>
          <w:p w14:paraId="3C6564AF">
            <w:pPr>
              <w:snapToGrid w:val="0"/>
              <w:jc w:val="center"/>
              <w:rPr>
                <w:rFonts w:ascii="Times New Roman" w:hAnsi="Times New Roman" w:cs="Times New Roman"/>
                <w:sz w:val="21"/>
                <w:szCs w:val="21"/>
              </w:rPr>
            </w:pPr>
            <w:r>
              <w:rPr>
                <w:rFonts w:hint="eastAsia" w:ascii="Times New Roman" w:hAnsi="Times New Roman" w:cs="Times New Roman"/>
                <w:sz w:val="21"/>
                <w:szCs w:val="21"/>
              </w:rPr>
              <w:t>项目组成</w:t>
            </w:r>
          </w:p>
        </w:tc>
      </w:tr>
      <w:tr w14:paraId="717B2644">
        <w:tblPrEx>
          <w:tblBorders>
            <w:top w:val="thinThickLargeGap" w:color="auto" w:sz="12" w:space="0"/>
            <w:left w:val="none" w:color="auto" w:sz="0" w:space="0"/>
            <w:bottom w:val="thickThinLarge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13" w:type="pct"/>
            <w:vMerge w:val="restart"/>
            <w:noWrap w:val="0"/>
            <w:vAlign w:val="center"/>
          </w:tcPr>
          <w:p w14:paraId="42246C0B">
            <w:pPr>
              <w:snapToGrid w:val="0"/>
              <w:jc w:val="center"/>
              <w:rPr>
                <w:rFonts w:ascii="Times New Roman" w:hAnsi="Times New Roman" w:cs="Times New Roman"/>
                <w:sz w:val="21"/>
                <w:szCs w:val="21"/>
              </w:rPr>
            </w:pPr>
            <w:r>
              <w:rPr>
                <w:rFonts w:ascii="Times New Roman" w:hAnsi="Times New Roman" w:cs="Times New Roman"/>
                <w:sz w:val="21"/>
                <w:szCs w:val="21"/>
              </w:rPr>
              <w:t>主体工程</w:t>
            </w:r>
          </w:p>
        </w:tc>
        <w:tc>
          <w:tcPr>
            <w:tcW w:w="4286" w:type="pct"/>
            <w:noWrap w:val="0"/>
            <w:vAlign w:val="center"/>
          </w:tcPr>
          <w:p w14:paraId="722E9A0C">
            <w:pPr>
              <w:snapToGrid w:val="0"/>
              <w:jc w:val="center"/>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拆除原步进式烧结机，改建为1台带式烧结机</w:t>
            </w:r>
          </w:p>
        </w:tc>
      </w:tr>
      <w:tr w14:paraId="2572750E">
        <w:tblPrEx>
          <w:tblBorders>
            <w:top w:val="thinThickLargeGap" w:color="auto" w:sz="12" w:space="0"/>
            <w:left w:val="none" w:color="auto" w:sz="0" w:space="0"/>
            <w:bottom w:val="thickThinLarge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13" w:type="pct"/>
            <w:vMerge w:val="continue"/>
            <w:noWrap w:val="0"/>
            <w:vAlign w:val="center"/>
          </w:tcPr>
          <w:p w14:paraId="777D0FC9">
            <w:pPr>
              <w:snapToGrid w:val="0"/>
              <w:jc w:val="center"/>
              <w:rPr>
                <w:rFonts w:ascii="Times New Roman" w:hAnsi="Times New Roman" w:cs="Times New Roman"/>
                <w:sz w:val="21"/>
                <w:szCs w:val="21"/>
              </w:rPr>
            </w:pPr>
          </w:p>
        </w:tc>
        <w:tc>
          <w:tcPr>
            <w:tcW w:w="4286" w:type="pct"/>
            <w:noWrap w:val="0"/>
            <w:vAlign w:val="center"/>
          </w:tcPr>
          <w:p w14:paraId="6276A592">
            <w:pPr>
              <w:snapToGrid w:val="0"/>
              <w:jc w:val="center"/>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拆除6.3平3座圆形竖炉，技改新建12平方米圆形竖炉及配套竖冷器、链篦机</w:t>
            </w:r>
          </w:p>
        </w:tc>
      </w:tr>
      <w:tr w14:paraId="0F897ABB">
        <w:tblPrEx>
          <w:tblBorders>
            <w:top w:val="thinThickLargeGap" w:color="auto" w:sz="12" w:space="0"/>
            <w:left w:val="none" w:color="auto" w:sz="0" w:space="0"/>
            <w:bottom w:val="thickThinLarge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13" w:type="pct"/>
            <w:vMerge w:val="restart"/>
            <w:noWrap w:val="0"/>
            <w:vAlign w:val="center"/>
          </w:tcPr>
          <w:p w14:paraId="1CAB5F10">
            <w:pPr>
              <w:snapToGrid w:val="0"/>
              <w:jc w:val="center"/>
              <w:rPr>
                <w:rFonts w:hint="eastAsia" w:ascii="Times New Roman" w:hAnsi="Times New Roman" w:eastAsia="宋体" w:cs="Times New Roman"/>
                <w:sz w:val="21"/>
                <w:szCs w:val="21"/>
                <w:lang w:val="en-US" w:eastAsia="zh-CN"/>
              </w:rPr>
            </w:pPr>
            <w:r>
              <w:rPr>
                <w:rFonts w:hint="eastAsia" w:ascii="Times New Roman" w:hAnsi="Times New Roman" w:cs="Times New Roman"/>
                <w:sz w:val="21"/>
                <w:szCs w:val="21"/>
                <w:lang w:val="en-US" w:eastAsia="zh-CN"/>
              </w:rPr>
              <w:t>储运工程</w:t>
            </w:r>
          </w:p>
        </w:tc>
        <w:tc>
          <w:tcPr>
            <w:tcW w:w="4286" w:type="pct"/>
            <w:noWrap w:val="0"/>
            <w:vAlign w:val="center"/>
          </w:tcPr>
          <w:p w14:paraId="3EF29151">
            <w:pPr>
              <w:snapToGrid w:val="0"/>
              <w:jc w:val="center"/>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新建2个球团成品矿仓</w:t>
            </w:r>
          </w:p>
        </w:tc>
      </w:tr>
      <w:tr w14:paraId="7024E9A8">
        <w:tblPrEx>
          <w:tblBorders>
            <w:top w:val="thinThickLargeGap" w:color="auto" w:sz="12" w:space="0"/>
            <w:left w:val="none" w:color="auto" w:sz="0" w:space="0"/>
            <w:bottom w:val="thickThinLarge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13" w:type="pct"/>
            <w:vMerge w:val="continue"/>
            <w:noWrap w:val="0"/>
            <w:vAlign w:val="center"/>
          </w:tcPr>
          <w:p w14:paraId="6149A8A2">
            <w:pPr>
              <w:snapToGrid w:val="0"/>
              <w:jc w:val="center"/>
              <w:rPr>
                <w:rFonts w:hint="eastAsia" w:ascii="Times New Roman" w:hAnsi="Times New Roman" w:cs="Times New Roman"/>
                <w:sz w:val="21"/>
                <w:szCs w:val="21"/>
                <w:lang w:val="en-US" w:eastAsia="zh-CN"/>
              </w:rPr>
            </w:pPr>
          </w:p>
        </w:tc>
        <w:tc>
          <w:tcPr>
            <w:tcW w:w="4286" w:type="pct"/>
            <w:noWrap w:val="0"/>
            <w:vAlign w:val="center"/>
          </w:tcPr>
          <w:p w14:paraId="2221C7AF">
            <w:pPr>
              <w:snapToGrid w:val="0"/>
              <w:jc w:val="center"/>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新建焦炭上料系统</w:t>
            </w:r>
          </w:p>
        </w:tc>
      </w:tr>
      <w:tr w14:paraId="1A285AB5">
        <w:tblPrEx>
          <w:tblBorders>
            <w:top w:val="thinThickLargeGap" w:color="auto" w:sz="12" w:space="0"/>
            <w:left w:val="none" w:color="auto" w:sz="0" w:space="0"/>
            <w:bottom w:val="thickThinLarge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13" w:type="pct"/>
            <w:vMerge w:val="restart"/>
            <w:noWrap w:val="0"/>
            <w:vAlign w:val="center"/>
          </w:tcPr>
          <w:p w14:paraId="17740158">
            <w:pPr>
              <w:snapToGrid w:val="0"/>
              <w:jc w:val="center"/>
              <w:rPr>
                <w:rFonts w:ascii="Times New Roman" w:hAnsi="Times New Roman" w:cs="Times New Roman"/>
                <w:sz w:val="21"/>
                <w:szCs w:val="21"/>
              </w:rPr>
            </w:pPr>
            <w:r>
              <w:rPr>
                <w:rFonts w:hint="eastAsia" w:ascii="Times New Roman" w:hAnsi="Times New Roman" w:cs="Times New Roman"/>
                <w:sz w:val="21"/>
                <w:szCs w:val="21"/>
              </w:rPr>
              <w:t>环保工程</w:t>
            </w:r>
          </w:p>
        </w:tc>
        <w:tc>
          <w:tcPr>
            <w:tcW w:w="4286" w:type="pct"/>
            <w:noWrap w:val="0"/>
            <w:vAlign w:val="center"/>
          </w:tcPr>
          <w:p w14:paraId="0C082759">
            <w:pPr>
              <w:snapToGrid w:val="0"/>
              <w:jc w:val="center"/>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烧结机机尾废气新建电除尘器、SCR脱硝系统，脱硫改造</w:t>
            </w:r>
          </w:p>
        </w:tc>
      </w:tr>
      <w:tr w14:paraId="7370F5A6">
        <w:tblPrEx>
          <w:tblBorders>
            <w:top w:val="thinThickLargeGap" w:color="auto" w:sz="12" w:space="0"/>
            <w:left w:val="none" w:color="auto" w:sz="0" w:space="0"/>
            <w:bottom w:val="thickThinLarge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13" w:type="pct"/>
            <w:vMerge w:val="continue"/>
            <w:noWrap w:val="0"/>
            <w:vAlign w:val="center"/>
          </w:tcPr>
          <w:p w14:paraId="649293A7">
            <w:pPr>
              <w:snapToGrid w:val="0"/>
              <w:jc w:val="center"/>
              <w:rPr>
                <w:rFonts w:hint="eastAsia" w:ascii="Times New Roman" w:hAnsi="Times New Roman" w:cs="Times New Roman"/>
                <w:sz w:val="21"/>
                <w:szCs w:val="21"/>
              </w:rPr>
            </w:pPr>
          </w:p>
        </w:tc>
        <w:tc>
          <w:tcPr>
            <w:tcW w:w="4286" w:type="pct"/>
            <w:noWrap w:val="0"/>
            <w:vAlign w:val="center"/>
          </w:tcPr>
          <w:p w14:paraId="0B5451DF">
            <w:pPr>
              <w:snapToGrid w:val="0"/>
              <w:jc w:val="center"/>
              <w:rPr>
                <w:rFonts w:hint="default" w:ascii="Times New Roman" w:hAnsi="Times New Roman" w:eastAsia="宋体" w:cs="Times New Roman"/>
                <w:sz w:val="21"/>
                <w:szCs w:val="21"/>
                <w:lang w:val="en-US" w:eastAsia="zh-CN"/>
              </w:rPr>
            </w:pPr>
            <w:r>
              <w:rPr>
                <w:rFonts w:hint="eastAsia" w:ascii="Times New Roman" w:hAnsi="Times New Roman" w:cs="Times New Roman"/>
                <w:sz w:val="21"/>
                <w:szCs w:val="21"/>
                <w:lang w:val="en-US" w:eastAsia="zh-CN"/>
              </w:rPr>
              <w:t>球团竖炉废气新建湿电除尘、脱硫系统、SCR脱硝</w:t>
            </w:r>
          </w:p>
        </w:tc>
      </w:tr>
      <w:tr w14:paraId="00339D5C">
        <w:tblPrEx>
          <w:tblBorders>
            <w:top w:val="thinThickLargeGap" w:color="auto" w:sz="12" w:space="0"/>
            <w:left w:val="none" w:color="auto" w:sz="0" w:space="0"/>
            <w:bottom w:val="thickThinLarge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13" w:type="pct"/>
            <w:vMerge w:val="continue"/>
            <w:noWrap w:val="0"/>
            <w:vAlign w:val="center"/>
          </w:tcPr>
          <w:p w14:paraId="10B31085">
            <w:pPr>
              <w:snapToGrid w:val="0"/>
              <w:jc w:val="center"/>
              <w:rPr>
                <w:rFonts w:hint="eastAsia" w:ascii="Times New Roman" w:hAnsi="Times New Roman" w:cs="Times New Roman"/>
                <w:sz w:val="21"/>
                <w:szCs w:val="21"/>
              </w:rPr>
            </w:pPr>
          </w:p>
        </w:tc>
        <w:tc>
          <w:tcPr>
            <w:tcW w:w="4286" w:type="pct"/>
            <w:noWrap w:val="0"/>
            <w:vAlign w:val="center"/>
          </w:tcPr>
          <w:p w14:paraId="7A80D01F">
            <w:pPr>
              <w:snapToGrid w:val="0"/>
              <w:jc w:val="center"/>
              <w:rPr>
                <w:rFonts w:hint="default" w:ascii="Times New Roman" w:hAnsi="Times New Roman" w:cs="Times New Roman"/>
                <w:sz w:val="21"/>
                <w:szCs w:val="21"/>
                <w:lang w:val="en-US" w:eastAsia="zh-CN"/>
              </w:rPr>
            </w:pPr>
            <w:r>
              <w:rPr>
                <w:rFonts w:hint="eastAsia" w:ascii="Times New Roman" w:hAnsi="Times New Roman" w:cs="Times New Roman"/>
                <w:sz w:val="21"/>
                <w:szCs w:val="21"/>
                <w:lang w:val="en-US" w:eastAsia="zh-CN"/>
              </w:rPr>
              <w:t>球团产尘工序增加覆膜式布袋除尘器</w:t>
            </w:r>
          </w:p>
        </w:tc>
      </w:tr>
      <w:tr w14:paraId="45C2D8B4">
        <w:tblPrEx>
          <w:tblBorders>
            <w:top w:val="thinThickLargeGap" w:color="auto" w:sz="12" w:space="0"/>
            <w:left w:val="none" w:color="auto" w:sz="0" w:space="0"/>
            <w:bottom w:val="thickThinLarge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13" w:type="pct"/>
            <w:vMerge w:val="continue"/>
            <w:noWrap w:val="0"/>
            <w:vAlign w:val="center"/>
          </w:tcPr>
          <w:p w14:paraId="2C5D5075">
            <w:pPr>
              <w:snapToGrid w:val="0"/>
              <w:jc w:val="center"/>
              <w:rPr>
                <w:rFonts w:hint="eastAsia" w:ascii="Times New Roman" w:hAnsi="Times New Roman" w:cs="Times New Roman"/>
                <w:sz w:val="21"/>
                <w:szCs w:val="21"/>
              </w:rPr>
            </w:pPr>
          </w:p>
        </w:tc>
        <w:tc>
          <w:tcPr>
            <w:tcW w:w="4286" w:type="pct"/>
            <w:noWrap w:val="0"/>
            <w:vAlign w:val="center"/>
          </w:tcPr>
          <w:p w14:paraId="6A6DC470">
            <w:pPr>
              <w:snapToGrid w:val="0"/>
              <w:jc w:val="center"/>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白灰窑新增安装湿法除尘器</w:t>
            </w:r>
          </w:p>
        </w:tc>
      </w:tr>
      <w:tr w14:paraId="4E36ACA9">
        <w:tblPrEx>
          <w:tblBorders>
            <w:top w:val="thinThickLargeGap" w:color="auto" w:sz="12" w:space="0"/>
            <w:left w:val="none" w:color="auto" w:sz="0" w:space="0"/>
            <w:bottom w:val="thickThinLarge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13" w:type="pct"/>
            <w:vMerge w:val="restart"/>
            <w:noWrap w:val="0"/>
            <w:vAlign w:val="center"/>
          </w:tcPr>
          <w:p w14:paraId="2A071803">
            <w:pPr>
              <w:snapToGrid w:val="0"/>
              <w:jc w:val="center"/>
              <w:rPr>
                <w:rFonts w:ascii="Times New Roman" w:hAnsi="Times New Roman" w:cs="Times New Roman"/>
                <w:sz w:val="21"/>
                <w:szCs w:val="21"/>
              </w:rPr>
            </w:pPr>
            <w:r>
              <w:rPr>
                <w:rFonts w:hint="eastAsia" w:ascii="Times New Roman" w:hAnsi="Times New Roman" w:cs="Times New Roman"/>
                <w:sz w:val="21"/>
                <w:szCs w:val="21"/>
              </w:rPr>
              <w:t>依托工程</w:t>
            </w:r>
          </w:p>
        </w:tc>
        <w:tc>
          <w:tcPr>
            <w:tcW w:w="4286" w:type="pct"/>
            <w:noWrap w:val="0"/>
            <w:vAlign w:val="center"/>
          </w:tcPr>
          <w:p w14:paraId="044DD654">
            <w:pPr>
              <w:snapToGrid w:val="0"/>
              <w:jc w:val="center"/>
              <w:rPr>
                <w:rFonts w:hint="default" w:ascii="Times New Roman" w:hAnsi="Times New Roman" w:eastAsia="宋体" w:cs="Times New Roman"/>
                <w:sz w:val="21"/>
                <w:szCs w:val="21"/>
                <w:highlight w:val="yellow"/>
                <w:lang w:val="en-US" w:eastAsia="zh-CN"/>
              </w:rPr>
            </w:pPr>
            <w:r>
              <w:rPr>
                <w:rFonts w:hint="eastAsia" w:ascii="Times New Roman" w:hAnsi="Times New Roman" w:cs="Times New Roman"/>
                <w:sz w:val="21"/>
                <w:szCs w:val="21"/>
                <w:highlight w:val="none"/>
                <w:lang w:val="en-US" w:eastAsia="zh-CN"/>
              </w:rPr>
              <w:t>烧结上料系统、烧结原料混料系统、烧结下料系统及配套环保设备</w:t>
            </w:r>
          </w:p>
        </w:tc>
      </w:tr>
      <w:tr w14:paraId="57E4C6D5">
        <w:tblPrEx>
          <w:tblBorders>
            <w:top w:val="thinThickLargeGap" w:color="auto" w:sz="12" w:space="0"/>
            <w:left w:val="none" w:color="auto" w:sz="0" w:space="0"/>
            <w:bottom w:val="thickThinLarge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13" w:type="pct"/>
            <w:vMerge w:val="continue"/>
            <w:noWrap w:val="0"/>
            <w:vAlign w:val="center"/>
          </w:tcPr>
          <w:p w14:paraId="21201004">
            <w:pPr>
              <w:snapToGrid w:val="0"/>
              <w:jc w:val="center"/>
              <w:rPr>
                <w:rFonts w:ascii="Times New Roman" w:hAnsi="Times New Roman" w:cs="Times New Roman"/>
                <w:sz w:val="21"/>
                <w:szCs w:val="21"/>
              </w:rPr>
            </w:pPr>
          </w:p>
        </w:tc>
        <w:tc>
          <w:tcPr>
            <w:tcW w:w="4286" w:type="pct"/>
            <w:noWrap w:val="0"/>
            <w:vAlign w:val="center"/>
          </w:tcPr>
          <w:p w14:paraId="1796603B">
            <w:pPr>
              <w:snapToGrid w:val="0"/>
              <w:jc w:val="center"/>
              <w:rPr>
                <w:rFonts w:hint="eastAsia" w:ascii="Times New Roman" w:hAnsi="Times New Roman" w:cs="Times New Roman"/>
                <w:sz w:val="21"/>
                <w:szCs w:val="21"/>
                <w:highlight w:val="yellow"/>
              </w:rPr>
            </w:pPr>
            <w:r>
              <w:rPr>
                <w:rFonts w:hint="eastAsia" w:ascii="Times New Roman" w:hAnsi="Times New Roman" w:cs="Times New Roman"/>
                <w:sz w:val="21"/>
                <w:szCs w:val="21"/>
                <w:highlight w:val="none"/>
                <w:lang w:val="en-US" w:eastAsia="zh-CN"/>
              </w:rPr>
              <w:t>球团竖炉上料、造球系统及配套设备</w:t>
            </w:r>
            <w:r>
              <w:rPr>
                <w:rFonts w:ascii="Times New Roman" w:hAnsi="Times New Roman" w:cs="Times New Roman"/>
                <w:sz w:val="21"/>
                <w:szCs w:val="21"/>
                <w:highlight w:val="none"/>
              </w:rPr>
              <w:t>。</w:t>
            </w:r>
          </w:p>
        </w:tc>
      </w:tr>
      <w:tr w14:paraId="2F510B03">
        <w:tblPrEx>
          <w:tblBorders>
            <w:top w:val="thinThickLargeGap" w:color="auto" w:sz="12" w:space="0"/>
            <w:left w:val="none" w:color="auto" w:sz="0" w:space="0"/>
            <w:bottom w:val="thickThinLarge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13" w:type="pct"/>
            <w:vMerge w:val="continue"/>
            <w:noWrap w:val="0"/>
            <w:vAlign w:val="center"/>
          </w:tcPr>
          <w:p w14:paraId="56F3DB86">
            <w:pPr>
              <w:snapToGrid w:val="0"/>
              <w:jc w:val="center"/>
              <w:rPr>
                <w:rFonts w:ascii="Times New Roman" w:hAnsi="Times New Roman" w:cs="Times New Roman"/>
                <w:sz w:val="21"/>
                <w:szCs w:val="21"/>
              </w:rPr>
            </w:pPr>
          </w:p>
        </w:tc>
        <w:tc>
          <w:tcPr>
            <w:tcW w:w="4286" w:type="pct"/>
            <w:noWrap w:val="0"/>
            <w:vAlign w:val="center"/>
          </w:tcPr>
          <w:p w14:paraId="6966B6F9">
            <w:pPr>
              <w:snapToGrid w:val="0"/>
              <w:jc w:val="center"/>
              <w:rPr>
                <w:rFonts w:hint="default" w:ascii="Times New Roman" w:hAnsi="Times New Roman" w:cs="Times New Roman"/>
                <w:sz w:val="21"/>
                <w:szCs w:val="21"/>
                <w:highlight w:val="none"/>
                <w:lang w:val="en-US" w:eastAsia="zh-CN"/>
              </w:rPr>
            </w:pPr>
            <w:r>
              <w:rPr>
                <w:rFonts w:hint="eastAsia" w:ascii="Times New Roman" w:hAnsi="Times New Roman" w:cs="Times New Roman"/>
                <w:sz w:val="21"/>
                <w:szCs w:val="21"/>
                <w:highlight w:val="none"/>
                <w:lang w:val="en-US" w:eastAsia="zh-CN"/>
              </w:rPr>
              <w:t>一般固体废物库、危废贮存点</w:t>
            </w:r>
          </w:p>
        </w:tc>
      </w:tr>
    </w:tbl>
    <w:p w14:paraId="575DBBFA">
      <w:pPr>
        <w:adjustRightInd w:val="0"/>
        <w:jc w:val="center"/>
        <w:rPr>
          <w:rFonts w:ascii="Times New Roman" w:hAnsi="Times New Roman" w:cs="Times New Roman"/>
        </w:rPr>
      </w:pPr>
      <w:r>
        <w:rPr>
          <w:rFonts w:ascii="Times New Roman" w:hAnsi="Times New Roman" w:eastAsia="黑体" w:cs="Times New Roman"/>
        </w:rPr>
        <w:t>表</w:t>
      </w:r>
      <w:r>
        <w:rPr>
          <w:rFonts w:hint="eastAsia" w:ascii="Times New Roman" w:hAnsi="Times New Roman" w:eastAsia="黑体" w:cs="Times New Roman"/>
        </w:rPr>
        <w:t>3</w:t>
      </w:r>
      <w:r>
        <w:rPr>
          <w:rFonts w:ascii="Times New Roman" w:hAnsi="Times New Roman" w:eastAsia="黑体" w:cs="Times New Roman"/>
        </w:rPr>
        <w:t>.1-</w:t>
      </w:r>
      <w:r>
        <w:rPr>
          <w:rFonts w:hint="eastAsia" w:ascii="Times New Roman" w:hAnsi="Times New Roman" w:eastAsia="黑体" w:cs="Times New Roman"/>
        </w:rPr>
        <w:t>2</w:t>
      </w:r>
      <w:r>
        <w:rPr>
          <w:rFonts w:ascii="Times New Roman" w:hAnsi="Times New Roman" w:eastAsia="黑体" w:cs="Times New Roman"/>
        </w:rPr>
        <w:t xml:space="preserve">  </w:t>
      </w:r>
      <w:r>
        <w:rPr>
          <w:rFonts w:hint="eastAsia" w:ascii="Times New Roman" w:hAnsi="Times New Roman" w:eastAsia="黑体" w:cs="Times New Roman"/>
        </w:rPr>
        <w:t>技改前后项目组成变化</w:t>
      </w:r>
      <w:r>
        <w:rPr>
          <w:rFonts w:ascii="Times New Roman" w:hAnsi="Times New Roman" w:eastAsia="黑体" w:cs="Times New Roman"/>
        </w:rPr>
        <w:t>内容一览表</w:t>
      </w:r>
    </w:p>
    <w:tbl>
      <w:tblPr>
        <w:tblStyle w:val="56"/>
        <w:tblW w:w="5000" w:type="pct"/>
        <w:jc w:val="center"/>
        <w:tblBorders>
          <w:top w:val="thinThickLargeGap" w:color="auto" w:sz="12" w:space="0"/>
          <w:left w:val="none" w:color="auto" w:sz="0" w:space="0"/>
          <w:bottom w:val="thickThinLargeGap"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480"/>
        <w:gridCol w:w="790"/>
        <w:gridCol w:w="2439"/>
        <w:gridCol w:w="2506"/>
        <w:gridCol w:w="2506"/>
      </w:tblGrid>
      <w:tr w14:paraId="10DA9FC2">
        <w:tblPrEx>
          <w:tblBorders>
            <w:top w:val="thinThickLargeGap" w:color="auto" w:sz="12" w:space="0"/>
            <w:left w:val="none" w:color="auto" w:sz="0" w:space="0"/>
            <w:bottom w:val="thickThinLarge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blHeader/>
          <w:jc w:val="center"/>
        </w:trPr>
        <w:tc>
          <w:tcPr>
            <w:tcW w:w="728" w:type="pct"/>
            <w:gridSpan w:val="2"/>
            <w:shd w:val="clear" w:color="auto" w:fill="D9D9D9"/>
            <w:noWrap w:val="0"/>
            <w:vAlign w:val="center"/>
          </w:tcPr>
          <w:p w14:paraId="6CB23B2E">
            <w:pPr>
              <w:snapToGrid w:val="0"/>
              <w:jc w:val="center"/>
              <w:rPr>
                <w:rFonts w:ascii="Times New Roman" w:hAnsi="Times New Roman" w:cs="Times New Roman"/>
                <w:sz w:val="21"/>
                <w:szCs w:val="21"/>
              </w:rPr>
            </w:pPr>
            <w:r>
              <w:rPr>
                <w:rFonts w:ascii="Times New Roman" w:hAnsi="Times New Roman" w:cs="Times New Roman"/>
                <w:sz w:val="21"/>
                <w:szCs w:val="21"/>
              </w:rPr>
              <w:t>项目组成</w:t>
            </w:r>
          </w:p>
        </w:tc>
        <w:tc>
          <w:tcPr>
            <w:tcW w:w="1398" w:type="pct"/>
            <w:shd w:val="clear" w:color="auto" w:fill="D9D9D9"/>
            <w:noWrap w:val="0"/>
            <w:vAlign w:val="center"/>
          </w:tcPr>
          <w:p w14:paraId="40749E80">
            <w:pPr>
              <w:snapToGrid w:val="0"/>
              <w:jc w:val="center"/>
              <w:rPr>
                <w:rFonts w:ascii="Times New Roman" w:hAnsi="Times New Roman" w:cs="Times New Roman"/>
                <w:sz w:val="21"/>
                <w:szCs w:val="21"/>
              </w:rPr>
            </w:pPr>
            <w:r>
              <w:rPr>
                <w:rFonts w:ascii="Times New Roman" w:hAnsi="Times New Roman" w:cs="Times New Roman"/>
                <w:sz w:val="21"/>
                <w:szCs w:val="21"/>
              </w:rPr>
              <w:t>技改前</w:t>
            </w:r>
          </w:p>
        </w:tc>
        <w:tc>
          <w:tcPr>
            <w:tcW w:w="1436" w:type="pct"/>
            <w:shd w:val="clear" w:color="auto" w:fill="D9D9D9"/>
            <w:noWrap w:val="0"/>
            <w:vAlign w:val="center"/>
          </w:tcPr>
          <w:p w14:paraId="6DF07BAB">
            <w:pPr>
              <w:snapToGrid w:val="0"/>
              <w:jc w:val="center"/>
              <w:rPr>
                <w:rFonts w:ascii="Times New Roman" w:hAnsi="Times New Roman" w:cs="Times New Roman"/>
                <w:sz w:val="21"/>
                <w:szCs w:val="21"/>
              </w:rPr>
            </w:pPr>
            <w:r>
              <w:rPr>
                <w:rFonts w:ascii="Times New Roman" w:hAnsi="Times New Roman" w:cs="Times New Roman"/>
                <w:sz w:val="21"/>
                <w:szCs w:val="21"/>
              </w:rPr>
              <w:t>技改后</w:t>
            </w:r>
          </w:p>
        </w:tc>
        <w:tc>
          <w:tcPr>
            <w:tcW w:w="1436" w:type="pct"/>
            <w:shd w:val="clear" w:color="auto" w:fill="D9D9D9"/>
            <w:noWrap w:val="0"/>
            <w:vAlign w:val="center"/>
          </w:tcPr>
          <w:p w14:paraId="3A6338A0">
            <w:pPr>
              <w:snapToGrid w:val="0"/>
              <w:jc w:val="center"/>
              <w:rPr>
                <w:rFonts w:ascii="Times New Roman" w:hAnsi="Times New Roman" w:cs="Times New Roman"/>
                <w:sz w:val="21"/>
                <w:szCs w:val="21"/>
              </w:rPr>
            </w:pPr>
            <w:r>
              <w:rPr>
                <w:rFonts w:hint="eastAsia" w:ascii="Times New Roman" w:hAnsi="Times New Roman" w:cs="Times New Roman"/>
                <w:sz w:val="21"/>
                <w:szCs w:val="21"/>
              </w:rPr>
              <w:t>变化情况</w:t>
            </w:r>
          </w:p>
        </w:tc>
      </w:tr>
      <w:tr w14:paraId="39A133DB">
        <w:tblPrEx>
          <w:tblBorders>
            <w:top w:val="thinThickLargeGap" w:color="auto" w:sz="12" w:space="0"/>
            <w:left w:val="none" w:color="auto" w:sz="0" w:space="0"/>
            <w:bottom w:val="thickThinLarge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75" w:type="pct"/>
            <w:vMerge w:val="restart"/>
            <w:noWrap w:val="0"/>
            <w:vAlign w:val="center"/>
          </w:tcPr>
          <w:p w14:paraId="5589D824">
            <w:pPr>
              <w:snapToGrid w:val="0"/>
              <w:jc w:val="center"/>
              <w:rPr>
                <w:rFonts w:ascii="Times New Roman" w:hAnsi="Times New Roman" w:cs="Times New Roman"/>
                <w:sz w:val="21"/>
                <w:szCs w:val="21"/>
              </w:rPr>
            </w:pPr>
            <w:r>
              <w:rPr>
                <w:rFonts w:ascii="Times New Roman" w:hAnsi="Times New Roman" w:cs="Times New Roman"/>
                <w:sz w:val="21"/>
                <w:szCs w:val="21"/>
              </w:rPr>
              <w:t>主体工程</w:t>
            </w:r>
          </w:p>
        </w:tc>
        <w:tc>
          <w:tcPr>
            <w:tcW w:w="452" w:type="pct"/>
            <w:noWrap w:val="0"/>
            <w:vAlign w:val="center"/>
          </w:tcPr>
          <w:p w14:paraId="1B95DB45">
            <w:pPr>
              <w:snapToGrid w:val="0"/>
              <w:jc w:val="center"/>
              <w:rPr>
                <w:rFonts w:hint="eastAsia" w:ascii="Times New Roman" w:hAnsi="Times New Roman" w:eastAsia="宋体" w:cs="Times New Roman"/>
                <w:sz w:val="21"/>
                <w:szCs w:val="21"/>
                <w:lang w:eastAsia="zh-CN"/>
              </w:rPr>
            </w:pPr>
            <w:r>
              <w:rPr>
                <w:rFonts w:hint="eastAsia" w:ascii="Times New Roman" w:hAnsi="Times New Roman" w:cs="Times New Roman"/>
                <w:sz w:val="21"/>
                <w:szCs w:val="21"/>
                <w:lang w:val="en-US" w:eastAsia="zh-CN"/>
              </w:rPr>
              <w:t>烧结</w:t>
            </w:r>
          </w:p>
        </w:tc>
        <w:tc>
          <w:tcPr>
            <w:tcW w:w="1398" w:type="pct"/>
            <w:noWrap w:val="0"/>
            <w:vAlign w:val="center"/>
          </w:tcPr>
          <w:p w14:paraId="0AEAD46A">
            <w:pPr>
              <w:snapToGrid w:val="0"/>
              <w:jc w:val="center"/>
              <w:rPr>
                <w:rFonts w:ascii="Times New Roman" w:hAnsi="Times New Roman" w:cs="Times New Roman"/>
                <w:sz w:val="21"/>
                <w:szCs w:val="21"/>
              </w:rPr>
            </w:pPr>
            <w:r>
              <w:rPr>
                <w:rFonts w:hint="eastAsia" w:ascii="Times New Roman" w:hAnsi="Times New Roman" w:cs="Times New Roman"/>
                <w:sz w:val="21"/>
                <w:szCs w:val="21"/>
                <w:lang w:val="en-US" w:eastAsia="zh-CN"/>
              </w:rPr>
              <w:t>烧结车间1座，建筑面积6490m</w:t>
            </w:r>
            <w:r>
              <w:rPr>
                <w:rFonts w:hint="eastAsia" w:ascii="Times New Roman" w:hAnsi="Times New Roman" w:cs="Times New Roman"/>
                <w:sz w:val="21"/>
                <w:szCs w:val="21"/>
                <w:vertAlign w:val="superscript"/>
                <w:lang w:val="en-US" w:eastAsia="zh-CN"/>
              </w:rPr>
              <w:t>2</w:t>
            </w:r>
            <w:r>
              <w:rPr>
                <w:rFonts w:hint="eastAsia" w:ascii="Times New Roman" w:hAnsi="Times New Roman" w:cs="Times New Roman"/>
                <w:sz w:val="21"/>
                <w:szCs w:val="21"/>
                <w:vertAlign w:val="baseline"/>
                <w:lang w:val="en-US" w:eastAsia="zh-CN"/>
              </w:rPr>
              <w:t>，</w:t>
            </w:r>
            <w:r>
              <w:rPr>
                <w:rFonts w:hint="eastAsia" w:ascii="Times New Roman" w:hAnsi="Times New Roman" w:cs="Times New Roman"/>
                <w:sz w:val="21"/>
                <w:szCs w:val="21"/>
                <w:lang w:val="en-US" w:eastAsia="zh-CN"/>
              </w:rPr>
              <w:t>1</w:t>
            </w:r>
            <w:r>
              <w:rPr>
                <w:rFonts w:hint="eastAsia" w:ascii="Times New Roman" w:hAnsi="Times New Roman" w:cs="Times New Roman"/>
                <w:sz w:val="21"/>
                <w:szCs w:val="21"/>
              </w:rPr>
              <w:t>台步进式烧结机。</w:t>
            </w:r>
          </w:p>
        </w:tc>
        <w:tc>
          <w:tcPr>
            <w:tcW w:w="1436" w:type="pct"/>
            <w:noWrap w:val="0"/>
            <w:vAlign w:val="center"/>
          </w:tcPr>
          <w:p w14:paraId="2B257E99">
            <w:pPr>
              <w:snapToGrid w:val="0"/>
              <w:jc w:val="center"/>
              <w:rPr>
                <w:rFonts w:ascii="Times New Roman" w:hAnsi="Times New Roman" w:cs="Times New Roman"/>
                <w:sz w:val="21"/>
                <w:szCs w:val="21"/>
              </w:rPr>
            </w:pPr>
            <w:r>
              <w:rPr>
                <w:rFonts w:hint="eastAsia" w:ascii="Times New Roman" w:hAnsi="Times New Roman" w:cs="Times New Roman"/>
                <w:sz w:val="21"/>
                <w:szCs w:val="21"/>
              </w:rPr>
              <w:t>改建为1台带式烧结机。</w:t>
            </w:r>
          </w:p>
        </w:tc>
        <w:tc>
          <w:tcPr>
            <w:tcW w:w="1436" w:type="pct"/>
            <w:noWrap w:val="0"/>
            <w:vAlign w:val="center"/>
          </w:tcPr>
          <w:p w14:paraId="17D531CF">
            <w:pPr>
              <w:snapToGrid w:val="0"/>
              <w:jc w:val="center"/>
              <w:rPr>
                <w:rFonts w:hint="eastAsia" w:ascii="Times New Roman" w:hAnsi="Times New Roman" w:cs="Times New Roman"/>
                <w:sz w:val="21"/>
                <w:szCs w:val="21"/>
              </w:rPr>
            </w:pPr>
            <w:r>
              <w:rPr>
                <w:rFonts w:hint="eastAsia" w:ascii="Times New Roman" w:hAnsi="Times New Roman" w:cs="Times New Roman"/>
                <w:sz w:val="21"/>
                <w:szCs w:val="21"/>
              </w:rPr>
              <w:t>拆除原步进式烧结机，改建为1台带式烧结机</w:t>
            </w:r>
          </w:p>
        </w:tc>
      </w:tr>
      <w:tr w14:paraId="5726E15B">
        <w:tblPrEx>
          <w:tblBorders>
            <w:top w:val="thinThickLargeGap" w:color="auto" w:sz="12" w:space="0"/>
            <w:left w:val="none" w:color="auto" w:sz="0" w:space="0"/>
            <w:bottom w:val="thickThinLarge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75" w:type="pct"/>
            <w:vMerge w:val="continue"/>
            <w:noWrap w:val="0"/>
            <w:vAlign w:val="center"/>
          </w:tcPr>
          <w:p w14:paraId="32BE13BD">
            <w:pPr>
              <w:snapToGrid w:val="0"/>
              <w:jc w:val="center"/>
              <w:rPr>
                <w:rFonts w:ascii="Times New Roman" w:hAnsi="Times New Roman" w:cs="Times New Roman"/>
                <w:sz w:val="21"/>
                <w:szCs w:val="21"/>
              </w:rPr>
            </w:pPr>
          </w:p>
        </w:tc>
        <w:tc>
          <w:tcPr>
            <w:tcW w:w="452" w:type="pct"/>
            <w:noWrap w:val="0"/>
            <w:vAlign w:val="center"/>
          </w:tcPr>
          <w:p w14:paraId="487469DA">
            <w:pPr>
              <w:snapToGrid w:val="0"/>
              <w:jc w:val="center"/>
              <w:rPr>
                <w:rFonts w:hint="eastAsia" w:ascii="Times New Roman" w:hAnsi="Times New Roman" w:eastAsia="宋体" w:cs="Times New Roman"/>
                <w:sz w:val="21"/>
                <w:szCs w:val="21"/>
                <w:lang w:eastAsia="zh-CN"/>
              </w:rPr>
            </w:pPr>
            <w:r>
              <w:rPr>
                <w:rFonts w:hint="eastAsia" w:ascii="Times New Roman" w:hAnsi="Times New Roman" w:cs="Times New Roman"/>
                <w:sz w:val="21"/>
                <w:szCs w:val="21"/>
                <w:lang w:val="en-US" w:eastAsia="zh-CN"/>
              </w:rPr>
              <w:t>球团</w:t>
            </w:r>
          </w:p>
        </w:tc>
        <w:tc>
          <w:tcPr>
            <w:tcW w:w="1398" w:type="pct"/>
            <w:noWrap w:val="0"/>
            <w:vAlign w:val="center"/>
          </w:tcPr>
          <w:p w14:paraId="78C863FC">
            <w:pPr>
              <w:snapToGrid w:val="0"/>
              <w:jc w:val="center"/>
              <w:rPr>
                <w:rFonts w:ascii="Times New Roman" w:hAnsi="Times New Roman" w:cs="Times New Roman"/>
                <w:sz w:val="21"/>
                <w:szCs w:val="21"/>
              </w:rPr>
            </w:pPr>
            <w:r>
              <w:rPr>
                <w:rFonts w:hint="eastAsia" w:ascii="Times New Roman" w:hAnsi="Times New Roman" w:cs="Times New Roman"/>
                <w:sz w:val="21"/>
                <w:szCs w:val="21"/>
                <w:lang w:val="en-US" w:eastAsia="zh-CN"/>
              </w:rPr>
              <w:t>球团车间1座，建筑面积3200m</w:t>
            </w:r>
            <w:r>
              <w:rPr>
                <w:rFonts w:hint="eastAsia" w:ascii="Times New Roman" w:hAnsi="Times New Roman" w:cs="Times New Roman"/>
                <w:sz w:val="21"/>
                <w:szCs w:val="21"/>
                <w:vertAlign w:val="superscript"/>
                <w:lang w:val="en-US" w:eastAsia="zh-CN"/>
              </w:rPr>
              <w:t>2</w:t>
            </w:r>
            <w:r>
              <w:rPr>
                <w:rFonts w:hint="eastAsia" w:ascii="Times New Roman" w:hAnsi="Times New Roman" w:cs="Times New Roman"/>
                <w:sz w:val="21"/>
                <w:szCs w:val="21"/>
                <w:vertAlign w:val="baseline"/>
                <w:lang w:val="en-US" w:eastAsia="zh-CN"/>
              </w:rPr>
              <w:t>，</w:t>
            </w:r>
            <w:r>
              <w:rPr>
                <w:rFonts w:hint="eastAsia" w:ascii="Times New Roman" w:hAnsi="Times New Roman" w:cs="Times New Roman"/>
                <w:sz w:val="21"/>
                <w:szCs w:val="21"/>
                <w:lang w:val="en-US" w:eastAsia="zh-CN"/>
              </w:rPr>
              <w:t>3台环形竖炉6m</w:t>
            </w:r>
            <w:r>
              <w:rPr>
                <w:rFonts w:hint="eastAsia" w:ascii="Times New Roman" w:hAnsi="Times New Roman" w:cs="Times New Roman"/>
                <w:sz w:val="21"/>
                <w:szCs w:val="21"/>
                <w:vertAlign w:val="superscript"/>
                <w:lang w:val="en-US" w:eastAsia="zh-CN"/>
              </w:rPr>
              <w:t>2</w:t>
            </w:r>
            <w:r>
              <w:rPr>
                <w:rFonts w:hint="eastAsia" w:ascii="Times New Roman" w:hAnsi="Times New Roman" w:cs="Times New Roman"/>
                <w:sz w:val="21"/>
                <w:szCs w:val="21"/>
              </w:rPr>
              <w:t>。</w:t>
            </w:r>
          </w:p>
        </w:tc>
        <w:tc>
          <w:tcPr>
            <w:tcW w:w="1436" w:type="pct"/>
            <w:noWrap w:val="0"/>
            <w:vAlign w:val="center"/>
          </w:tcPr>
          <w:p w14:paraId="19EF551B">
            <w:pPr>
              <w:snapToGrid w:val="0"/>
              <w:jc w:val="center"/>
              <w:rPr>
                <w:rFonts w:ascii="Times New Roman" w:hAnsi="Times New Roman" w:cs="Times New Roman"/>
                <w:sz w:val="21"/>
                <w:szCs w:val="21"/>
              </w:rPr>
            </w:pPr>
            <w:r>
              <w:rPr>
                <w:rFonts w:hint="eastAsia" w:ascii="Times New Roman" w:hAnsi="Times New Roman" w:cs="Times New Roman"/>
                <w:sz w:val="21"/>
                <w:szCs w:val="21"/>
              </w:rPr>
              <w:t>改建为</w:t>
            </w:r>
            <w:r>
              <w:rPr>
                <w:rFonts w:hint="eastAsia" w:ascii="Times New Roman" w:hAnsi="Times New Roman" w:eastAsia="宋体" w:cs="Times New Roman"/>
                <w:sz w:val="21"/>
                <w:szCs w:val="21"/>
                <w:lang w:val="en-US" w:eastAsia="zh-CN"/>
              </w:rPr>
              <w:t>12平方米圆形竖炉</w:t>
            </w:r>
          </w:p>
        </w:tc>
        <w:tc>
          <w:tcPr>
            <w:tcW w:w="1436" w:type="pct"/>
            <w:noWrap w:val="0"/>
            <w:vAlign w:val="center"/>
          </w:tcPr>
          <w:p w14:paraId="2649F155">
            <w:pPr>
              <w:snapToGrid w:val="0"/>
              <w:jc w:val="center"/>
              <w:rPr>
                <w:rFonts w:hint="eastAsia" w:ascii="Times New Roman" w:hAnsi="Times New Roman" w:cs="Times New Roman"/>
                <w:sz w:val="21"/>
                <w:szCs w:val="21"/>
              </w:rPr>
            </w:pPr>
            <w:r>
              <w:rPr>
                <w:rFonts w:hint="eastAsia" w:ascii="Times New Roman" w:hAnsi="Times New Roman" w:eastAsia="宋体" w:cs="Times New Roman"/>
                <w:sz w:val="21"/>
                <w:szCs w:val="21"/>
                <w:lang w:val="en-US" w:eastAsia="zh-CN"/>
              </w:rPr>
              <w:t>拆除6.3平3座圆形竖炉，技改新建12平方米圆形竖炉及配套竖冷器、链篦机</w:t>
            </w:r>
          </w:p>
        </w:tc>
      </w:tr>
      <w:tr w14:paraId="55D0B6B1">
        <w:tblPrEx>
          <w:tblBorders>
            <w:top w:val="thinThickLargeGap" w:color="auto" w:sz="12" w:space="0"/>
            <w:left w:val="none" w:color="auto" w:sz="0" w:space="0"/>
            <w:bottom w:val="thickThinLarge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75" w:type="pct"/>
            <w:vMerge w:val="continue"/>
            <w:noWrap w:val="0"/>
            <w:vAlign w:val="center"/>
          </w:tcPr>
          <w:p w14:paraId="671DEB9A">
            <w:pPr>
              <w:snapToGrid w:val="0"/>
              <w:jc w:val="center"/>
              <w:rPr>
                <w:rFonts w:ascii="Times New Roman" w:hAnsi="Times New Roman" w:cs="Times New Roman"/>
                <w:sz w:val="21"/>
                <w:szCs w:val="21"/>
              </w:rPr>
            </w:pPr>
          </w:p>
        </w:tc>
        <w:tc>
          <w:tcPr>
            <w:tcW w:w="452" w:type="pct"/>
            <w:noWrap w:val="0"/>
            <w:vAlign w:val="center"/>
          </w:tcPr>
          <w:p w14:paraId="36D7D9DA">
            <w:pPr>
              <w:snapToGrid w:val="0"/>
              <w:jc w:val="center"/>
              <w:rPr>
                <w:rFonts w:hint="eastAsia" w:ascii="Times New Roman" w:hAnsi="Times New Roman" w:eastAsia="宋体" w:cs="Times New Roman"/>
                <w:sz w:val="21"/>
                <w:szCs w:val="21"/>
                <w:lang w:eastAsia="zh-CN"/>
              </w:rPr>
            </w:pPr>
            <w:r>
              <w:rPr>
                <w:rFonts w:hint="eastAsia" w:ascii="Times New Roman" w:hAnsi="Times New Roman" w:cs="Times New Roman"/>
                <w:sz w:val="21"/>
                <w:szCs w:val="21"/>
                <w:lang w:val="en-US" w:eastAsia="zh-CN"/>
              </w:rPr>
              <w:t>石灰窑</w:t>
            </w:r>
          </w:p>
        </w:tc>
        <w:tc>
          <w:tcPr>
            <w:tcW w:w="1398" w:type="pct"/>
            <w:noWrap w:val="0"/>
            <w:vAlign w:val="center"/>
          </w:tcPr>
          <w:p w14:paraId="21591EDC">
            <w:pPr>
              <w:snapToGrid w:val="0"/>
              <w:jc w:val="center"/>
              <w:rPr>
                <w:rFonts w:hint="default" w:ascii="Times New Roman" w:hAnsi="Times New Roman" w:eastAsia="宋体" w:cs="Times New Roman"/>
                <w:sz w:val="21"/>
                <w:szCs w:val="21"/>
                <w:vertAlign w:val="baseline"/>
                <w:lang w:val="en-US" w:eastAsia="zh-CN"/>
              </w:rPr>
            </w:pPr>
            <w:r>
              <w:rPr>
                <w:rFonts w:hint="eastAsia" w:ascii="Times New Roman" w:hAnsi="Times New Roman" w:cs="Times New Roman"/>
                <w:sz w:val="21"/>
                <w:szCs w:val="21"/>
                <w:lang w:val="en-US" w:eastAsia="zh-CN"/>
              </w:rPr>
              <w:t>白灰竖窑1台，容积200m</w:t>
            </w:r>
            <w:r>
              <w:rPr>
                <w:rFonts w:hint="eastAsia" w:ascii="Times New Roman" w:hAnsi="Times New Roman" w:cs="Times New Roman"/>
                <w:sz w:val="21"/>
                <w:szCs w:val="21"/>
                <w:vertAlign w:val="superscript"/>
                <w:lang w:val="en-US" w:eastAsia="zh-CN"/>
              </w:rPr>
              <w:t>3</w:t>
            </w:r>
            <w:r>
              <w:rPr>
                <w:rFonts w:hint="eastAsia" w:ascii="Times New Roman" w:hAnsi="Times New Roman" w:cs="Times New Roman"/>
                <w:sz w:val="21"/>
                <w:szCs w:val="21"/>
                <w:vertAlign w:val="baseline"/>
                <w:lang w:val="en-US" w:eastAsia="zh-CN"/>
              </w:rPr>
              <w:t>，年产4.5万t生石灰</w:t>
            </w:r>
          </w:p>
        </w:tc>
        <w:tc>
          <w:tcPr>
            <w:tcW w:w="1436" w:type="pct"/>
            <w:noWrap w:val="0"/>
            <w:vAlign w:val="center"/>
          </w:tcPr>
          <w:p w14:paraId="6DF8C21F">
            <w:pPr>
              <w:snapToGrid w:val="0"/>
              <w:jc w:val="center"/>
              <w:rPr>
                <w:rFonts w:ascii="Times New Roman" w:hAnsi="Times New Roman" w:cs="Times New Roman"/>
                <w:sz w:val="21"/>
                <w:szCs w:val="21"/>
              </w:rPr>
            </w:pPr>
            <w:r>
              <w:rPr>
                <w:rFonts w:hint="eastAsia" w:ascii="Times New Roman" w:hAnsi="Times New Roman" w:cs="Times New Roman"/>
                <w:sz w:val="21"/>
                <w:szCs w:val="21"/>
                <w:lang w:val="en-US" w:eastAsia="zh-CN"/>
              </w:rPr>
              <w:t>白灰竖窑1台，容积200m</w:t>
            </w:r>
            <w:r>
              <w:rPr>
                <w:rFonts w:hint="eastAsia" w:ascii="Times New Roman" w:hAnsi="Times New Roman" w:cs="Times New Roman"/>
                <w:sz w:val="21"/>
                <w:szCs w:val="21"/>
                <w:vertAlign w:val="superscript"/>
                <w:lang w:val="en-US" w:eastAsia="zh-CN"/>
              </w:rPr>
              <w:t>3</w:t>
            </w:r>
            <w:r>
              <w:rPr>
                <w:rFonts w:hint="eastAsia" w:ascii="Times New Roman" w:hAnsi="Times New Roman" w:cs="Times New Roman"/>
                <w:sz w:val="21"/>
                <w:szCs w:val="21"/>
                <w:vertAlign w:val="baseline"/>
                <w:lang w:val="en-US" w:eastAsia="zh-CN"/>
              </w:rPr>
              <w:t>，年产4.5万t生石灰</w:t>
            </w:r>
          </w:p>
        </w:tc>
        <w:tc>
          <w:tcPr>
            <w:tcW w:w="1436" w:type="pct"/>
            <w:noWrap w:val="0"/>
            <w:vAlign w:val="center"/>
          </w:tcPr>
          <w:p w14:paraId="3DF1211A">
            <w:pPr>
              <w:snapToGrid w:val="0"/>
              <w:jc w:val="center"/>
              <w:rPr>
                <w:rFonts w:hint="eastAsia" w:ascii="Times New Roman" w:hAnsi="Times New Roman" w:eastAsia="宋体" w:cs="Times New Roman"/>
                <w:sz w:val="21"/>
                <w:szCs w:val="21"/>
                <w:lang w:eastAsia="zh-CN"/>
              </w:rPr>
            </w:pPr>
            <w:r>
              <w:rPr>
                <w:rFonts w:hint="eastAsia" w:ascii="Times New Roman" w:hAnsi="Times New Roman" w:cs="Times New Roman"/>
                <w:sz w:val="21"/>
                <w:szCs w:val="21"/>
                <w:lang w:val="en-US" w:eastAsia="zh-CN"/>
              </w:rPr>
              <w:t>无变化</w:t>
            </w:r>
          </w:p>
        </w:tc>
      </w:tr>
      <w:tr w14:paraId="453A85F2">
        <w:tblPrEx>
          <w:tblBorders>
            <w:top w:val="thinThickLargeGap" w:color="auto" w:sz="12" w:space="0"/>
            <w:left w:val="none" w:color="auto" w:sz="0" w:space="0"/>
            <w:bottom w:val="thickThinLarge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75" w:type="pct"/>
            <w:vMerge w:val="continue"/>
            <w:noWrap w:val="0"/>
            <w:vAlign w:val="center"/>
          </w:tcPr>
          <w:p w14:paraId="510DD245">
            <w:pPr>
              <w:snapToGrid w:val="0"/>
              <w:jc w:val="center"/>
              <w:rPr>
                <w:rFonts w:ascii="Times New Roman" w:hAnsi="Times New Roman" w:cs="Times New Roman"/>
                <w:sz w:val="21"/>
                <w:szCs w:val="21"/>
              </w:rPr>
            </w:pPr>
          </w:p>
        </w:tc>
        <w:tc>
          <w:tcPr>
            <w:tcW w:w="452" w:type="pct"/>
            <w:noWrap w:val="0"/>
            <w:vAlign w:val="center"/>
          </w:tcPr>
          <w:p w14:paraId="70FFF4B3">
            <w:pPr>
              <w:snapToGrid w:val="0"/>
              <w:jc w:val="center"/>
              <w:rPr>
                <w:rFonts w:hint="default" w:ascii="Times New Roman" w:hAnsi="Times New Roman" w:eastAsia="宋体" w:cs="Times New Roman"/>
                <w:sz w:val="21"/>
                <w:szCs w:val="21"/>
                <w:lang w:val="en-US" w:eastAsia="zh-CN"/>
              </w:rPr>
            </w:pPr>
            <w:r>
              <w:rPr>
                <w:rFonts w:hint="eastAsia" w:ascii="Times New Roman" w:hAnsi="Times New Roman" w:cs="Times New Roman"/>
                <w:sz w:val="21"/>
                <w:szCs w:val="21"/>
                <w:lang w:val="en-US" w:eastAsia="zh-CN"/>
              </w:rPr>
              <w:t>高炉炼铁</w:t>
            </w:r>
          </w:p>
        </w:tc>
        <w:tc>
          <w:tcPr>
            <w:tcW w:w="1398" w:type="pct"/>
            <w:noWrap w:val="0"/>
            <w:vAlign w:val="center"/>
          </w:tcPr>
          <w:p w14:paraId="54AD7E7C">
            <w:pPr>
              <w:snapToGrid w:val="0"/>
              <w:jc w:val="center"/>
              <w:rPr>
                <w:rFonts w:hint="default" w:ascii="Times New Roman" w:hAnsi="Times New Roman" w:eastAsia="宋体" w:cs="Times New Roman"/>
                <w:sz w:val="21"/>
                <w:szCs w:val="21"/>
                <w:lang w:val="en-US" w:eastAsia="zh-CN"/>
              </w:rPr>
            </w:pPr>
            <w:r>
              <w:rPr>
                <w:rFonts w:hint="eastAsia" w:ascii="Times New Roman" w:hAnsi="Times New Roman" w:cs="Times New Roman"/>
                <w:sz w:val="21"/>
                <w:szCs w:val="21"/>
                <w:lang w:val="en-US" w:eastAsia="zh-CN"/>
              </w:rPr>
              <w:t>205m</w:t>
            </w:r>
            <w:r>
              <w:rPr>
                <w:rFonts w:hint="eastAsia" w:ascii="Times New Roman" w:hAnsi="Times New Roman" w:cs="Times New Roman"/>
                <w:sz w:val="21"/>
                <w:szCs w:val="21"/>
                <w:vertAlign w:val="superscript"/>
                <w:lang w:val="en-US" w:eastAsia="zh-CN"/>
              </w:rPr>
              <w:t>3</w:t>
            </w:r>
            <w:r>
              <w:rPr>
                <w:rFonts w:hint="eastAsia" w:ascii="Times New Roman" w:hAnsi="Times New Roman" w:cs="Times New Roman"/>
                <w:sz w:val="21"/>
                <w:szCs w:val="21"/>
                <w:lang w:val="en-US" w:eastAsia="zh-CN"/>
              </w:rPr>
              <w:t>高炉1座，高炉煤气回收系统1套，热风炉4座，煤粉制备设施1套</w:t>
            </w:r>
          </w:p>
        </w:tc>
        <w:tc>
          <w:tcPr>
            <w:tcW w:w="1436" w:type="pct"/>
            <w:noWrap w:val="0"/>
            <w:vAlign w:val="center"/>
          </w:tcPr>
          <w:p w14:paraId="4B797461">
            <w:pPr>
              <w:snapToGrid w:val="0"/>
              <w:jc w:val="center"/>
              <w:rPr>
                <w:rFonts w:hint="eastAsia" w:ascii="Times New Roman" w:hAnsi="Times New Roman" w:cs="Times New Roman"/>
                <w:sz w:val="21"/>
                <w:szCs w:val="21"/>
              </w:rPr>
            </w:pPr>
            <w:r>
              <w:rPr>
                <w:rFonts w:hint="eastAsia" w:ascii="Times New Roman" w:hAnsi="Times New Roman" w:cs="Times New Roman"/>
                <w:sz w:val="21"/>
                <w:szCs w:val="21"/>
                <w:lang w:val="en-US" w:eastAsia="zh-CN"/>
              </w:rPr>
              <w:t>205m</w:t>
            </w:r>
            <w:r>
              <w:rPr>
                <w:rFonts w:hint="eastAsia" w:ascii="Times New Roman" w:hAnsi="Times New Roman" w:cs="Times New Roman"/>
                <w:sz w:val="21"/>
                <w:szCs w:val="21"/>
                <w:vertAlign w:val="superscript"/>
                <w:lang w:val="en-US" w:eastAsia="zh-CN"/>
              </w:rPr>
              <w:t>3</w:t>
            </w:r>
            <w:r>
              <w:rPr>
                <w:rFonts w:hint="eastAsia" w:ascii="Times New Roman" w:hAnsi="Times New Roman" w:cs="Times New Roman"/>
                <w:sz w:val="21"/>
                <w:szCs w:val="21"/>
                <w:lang w:val="en-US" w:eastAsia="zh-CN"/>
              </w:rPr>
              <w:t>高炉1座，高炉煤气回收系统1套，热风炉4座，煤粉制备设施1套</w:t>
            </w:r>
          </w:p>
        </w:tc>
        <w:tc>
          <w:tcPr>
            <w:tcW w:w="1436" w:type="pct"/>
            <w:noWrap w:val="0"/>
            <w:vAlign w:val="center"/>
          </w:tcPr>
          <w:p w14:paraId="4F43EED9">
            <w:pPr>
              <w:snapToGrid w:val="0"/>
              <w:jc w:val="center"/>
              <w:rPr>
                <w:rFonts w:hint="eastAsia" w:ascii="Times New Roman" w:hAnsi="Times New Roman" w:cs="Times New Roman"/>
                <w:sz w:val="21"/>
                <w:szCs w:val="21"/>
              </w:rPr>
            </w:pPr>
            <w:r>
              <w:rPr>
                <w:rFonts w:hint="eastAsia" w:ascii="Times New Roman" w:hAnsi="Times New Roman" w:cs="Times New Roman"/>
                <w:sz w:val="21"/>
                <w:szCs w:val="21"/>
                <w:lang w:val="en-US" w:eastAsia="zh-CN"/>
              </w:rPr>
              <w:t>无变化</w:t>
            </w:r>
          </w:p>
        </w:tc>
      </w:tr>
      <w:tr w14:paraId="6E7C7FD1">
        <w:tblPrEx>
          <w:tblBorders>
            <w:top w:val="thinThickLargeGap" w:color="auto" w:sz="12" w:space="0"/>
            <w:left w:val="none" w:color="auto" w:sz="0" w:space="0"/>
            <w:bottom w:val="thickThinLarge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75" w:type="pct"/>
            <w:vMerge w:val="restart"/>
            <w:noWrap w:val="0"/>
            <w:vAlign w:val="center"/>
          </w:tcPr>
          <w:p w14:paraId="3A642A68">
            <w:pPr>
              <w:snapToGrid w:val="0"/>
              <w:jc w:val="center"/>
              <w:rPr>
                <w:rFonts w:ascii="Times New Roman" w:hAnsi="Times New Roman" w:cs="Times New Roman"/>
                <w:sz w:val="21"/>
                <w:szCs w:val="21"/>
              </w:rPr>
            </w:pPr>
            <w:r>
              <w:rPr>
                <w:rFonts w:ascii="Times New Roman" w:hAnsi="Times New Roman" w:cs="Times New Roman"/>
                <w:sz w:val="21"/>
                <w:szCs w:val="21"/>
              </w:rPr>
              <w:t>辅助工程</w:t>
            </w:r>
          </w:p>
        </w:tc>
        <w:tc>
          <w:tcPr>
            <w:tcW w:w="452" w:type="pct"/>
            <w:noWrap w:val="0"/>
            <w:vAlign w:val="center"/>
          </w:tcPr>
          <w:p w14:paraId="53433F46">
            <w:pPr>
              <w:snapToGrid w:val="0"/>
              <w:jc w:val="center"/>
              <w:rPr>
                <w:rFonts w:hint="eastAsia" w:ascii="Times New Roman" w:hAnsi="Times New Roman" w:eastAsia="宋体" w:cs="Times New Roman"/>
                <w:sz w:val="21"/>
                <w:szCs w:val="21"/>
                <w:lang w:eastAsia="zh-CN"/>
              </w:rPr>
            </w:pPr>
            <w:r>
              <w:rPr>
                <w:rFonts w:hint="eastAsia" w:ascii="Times New Roman" w:hAnsi="Times New Roman" w:cs="Times New Roman"/>
                <w:sz w:val="21"/>
                <w:szCs w:val="21"/>
                <w:lang w:val="en-US" w:eastAsia="zh-CN"/>
              </w:rPr>
              <w:t>配电室</w:t>
            </w:r>
          </w:p>
        </w:tc>
        <w:tc>
          <w:tcPr>
            <w:tcW w:w="1398" w:type="pct"/>
            <w:noWrap w:val="0"/>
            <w:vAlign w:val="center"/>
          </w:tcPr>
          <w:p w14:paraId="02434CD6">
            <w:pPr>
              <w:snapToGrid w:val="0"/>
              <w:jc w:val="center"/>
              <w:rPr>
                <w:rFonts w:ascii="Times New Roman" w:hAnsi="Times New Roman" w:cs="Times New Roman"/>
                <w:sz w:val="21"/>
                <w:szCs w:val="21"/>
              </w:rPr>
            </w:pPr>
            <w:r>
              <w:rPr>
                <w:rFonts w:hint="eastAsia" w:ascii="Times New Roman" w:hAnsi="Times New Roman" w:cs="Times New Roman"/>
                <w:sz w:val="21"/>
                <w:szCs w:val="21"/>
                <w:lang w:val="en-US" w:eastAsia="zh-CN"/>
              </w:rPr>
              <w:t>建筑面积120m</w:t>
            </w:r>
            <w:r>
              <w:rPr>
                <w:rFonts w:hint="eastAsia" w:ascii="Times New Roman" w:hAnsi="Times New Roman" w:cs="Times New Roman"/>
                <w:sz w:val="21"/>
                <w:szCs w:val="21"/>
                <w:vertAlign w:val="superscript"/>
                <w:lang w:val="en-US" w:eastAsia="zh-CN"/>
              </w:rPr>
              <w:t>2</w:t>
            </w:r>
            <w:r>
              <w:rPr>
                <w:rFonts w:ascii="Times New Roman" w:hAnsi="Times New Roman" w:cs="Times New Roman"/>
                <w:sz w:val="21"/>
                <w:szCs w:val="21"/>
              </w:rPr>
              <w:t>。</w:t>
            </w:r>
          </w:p>
        </w:tc>
        <w:tc>
          <w:tcPr>
            <w:tcW w:w="1436" w:type="pct"/>
            <w:noWrap w:val="0"/>
            <w:vAlign w:val="center"/>
          </w:tcPr>
          <w:p w14:paraId="6FE51F0F">
            <w:pPr>
              <w:snapToGrid w:val="0"/>
              <w:jc w:val="center"/>
              <w:rPr>
                <w:rFonts w:ascii="Times New Roman" w:hAnsi="Times New Roman" w:cs="Times New Roman"/>
                <w:sz w:val="21"/>
                <w:szCs w:val="21"/>
              </w:rPr>
            </w:pPr>
            <w:r>
              <w:rPr>
                <w:rFonts w:hint="eastAsia" w:ascii="Times New Roman" w:hAnsi="Times New Roman" w:cs="Times New Roman"/>
                <w:sz w:val="21"/>
                <w:szCs w:val="21"/>
                <w:lang w:val="en-US" w:eastAsia="zh-CN"/>
              </w:rPr>
              <w:t>建筑面积120m</w:t>
            </w:r>
            <w:r>
              <w:rPr>
                <w:rFonts w:hint="eastAsia" w:ascii="Times New Roman" w:hAnsi="Times New Roman" w:cs="Times New Roman"/>
                <w:sz w:val="21"/>
                <w:szCs w:val="21"/>
                <w:vertAlign w:val="superscript"/>
                <w:lang w:val="en-US" w:eastAsia="zh-CN"/>
              </w:rPr>
              <w:t>2</w:t>
            </w:r>
            <w:r>
              <w:rPr>
                <w:rFonts w:ascii="Times New Roman" w:hAnsi="Times New Roman" w:cs="Times New Roman"/>
                <w:sz w:val="21"/>
                <w:szCs w:val="21"/>
              </w:rPr>
              <w:t>。</w:t>
            </w:r>
          </w:p>
        </w:tc>
        <w:tc>
          <w:tcPr>
            <w:tcW w:w="1436" w:type="pct"/>
            <w:noWrap w:val="0"/>
            <w:vAlign w:val="center"/>
          </w:tcPr>
          <w:p w14:paraId="7CAA0516">
            <w:pPr>
              <w:snapToGrid w:val="0"/>
              <w:jc w:val="center"/>
              <w:rPr>
                <w:rFonts w:ascii="Times New Roman" w:hAnsi="Times New Roman" w:cs="Times New Roman"/>
                <w:sz w:val="21"/>
                <w:szCs w:val="21"/>
              </w:rPr>
            </w:pPr>
            <w:r>
              <w:rPr>
                <w:rFonts w:hint="eastAsia" w:ascii="Times New Roman" w:hAnsi="Times New Roman" w:cs="Times New Roman"/>
                <w:sz w:val="21"/>
                <w:szCs w:val="21"/>
              </w:rPr>
              <w:t>无变化</w:t>
            </w:r>
          </w:p>
        </w:tc>
      </w:tr>
      <w:tr w14:paraId="2BB1F7CC">
        <w:tblPrEx>
          <w:tblBorders>
            <w:top w:val="thinThickLargeGap" w:color="auto" w:sz="12" w:space="0"/>
            <w:left w:val="none" w:color="auto" w:sz="0" w:space="0"/>
            <w:bottom w:val="thickThinLarge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75" w:type="pct"/>
            <w:vMerge w:val="continue"/>
            <w:noWrap w:val="0"/>
            <w:vAlign w:val="center"/>
          </w:tcPr>
          <w:p w14:paraId="1DF4E15C">
            <w:pPr>
              <w:snapToGrid w:val="0"/>
              <w:jc w:val="center"/>
              <w:rPr>
                <w:rFonts w:ascii="Times New Roman" w:hAnsi="Times New Roman" w:cs="Times New Roman"/>
                <w:sz w:val="21"/>
                <w:szCs w:val="21"/>
              </w:rPr>
            </w:pPr>
          </w:p>
        </w:tc>
        <w:tc>
          <w:tcPr>
            <w:tcW w:w="452" w:type="pct"/>
            <w:noWrap w:val="0"/>
            <w:vAlign w:val="center"/>
          </w:tcPr>
          <w:p w14:paraId="4DD2B583">
            <w:pPr>
              <w:snapToGrid w:val="0"/>
              <w:jc w:val="center"/>
              <w:rPr>
                <w:rFonts w:hint="default" w:ascii="Times New Roman" w:hAnsi="Times New Roman" w:eastAsia="宋体" w:cs="Times New Roman"/>
                <w:sz w:val="21"/>
                <w:szCs w:val="21"/>
                <w:lang w:val="en-US" w:eastAsia="zh-CN"/>
              </w:rPr>
            </w:pPr>
            <w:r>
              <w:rPr>
                <w:rFonts w:hint="eastAsia" w:ascii="Times New Roman" w:hAnsi="Times New Roman" w:cs="Times New Roman"/>
                <w:sz w:val="21"/>
                <w:szCs w:val="21"/>
                <w:lang w:val="en-US" w:eastAsia="zh-CN"/>
              </w:rPr>
              <w:t>风机房</w:t>
            </w:r>
          </w:p>
        </w:tc>
        <w:tc>
          <w:tcPr>
            <w:tcW w:w="1398" w:type="pct"/>
            <w:noWrap w:val="0"/>
            <w:vAlign w:val="center"/>
          </w:tcPr>
          <w:p w14:paraId="614D69C8">
            <w:pPr>
              <w:snapToGrid w:val="0"/>
              <w:jc w:val="center"/>
              <w:rPr>
                <w:rFonts w:ascii="Times New Roman" w:hAnsi="Times New Roman" w:cs="Times New Roman"/>
                <w:sz w:val="21"/>
                <w:szCs w:val="21"/>
              </w:rPr>
            </w:pPr>
            <w:r>
              <w:rPr>
                <w:rFonts w:hint="eastAsia" w:ascii="Times New Roman" w:hAnsi="Times New Roman" w:cs="Times New Roman"/>
                <w:sz w:val="21"/>
                <w:szCs w:val="21"/>
                <w:lang w:val="en-US" w:eastAsia="zh-CN"/>
              </w:rPr>
              <w:t>建筑面积150m</w:t>
            </w:r>
            <w:r>
              <w:rPr>
                <w:rFonts w:hint="eastAsia" w:ascii="Times New Roman" w:hAnsi="Times New Roman" w:cs="Times New Roman"/>
                <w:sz w:val="21"/>
                <w:szCs w:val="21"/>
                <w:vertAlign w:val="superscript"/>
                <w:lang w:val="en-US" w:eastAsia="zh-CN"/>
              </w:rPr>
              <w:t>2</w:t>
            </w:r>
            <w:r>
              <w:rPr>
                <w:rFonts w:ascii="Times New Roman" w:hAnsi="Times New Roman" w:cs="Times New Roman"/>
                <w:sz w:val="21"/>
                <w:szCs w:val="21"/>
              </w:rPr>
              <w:t>。</w:t>
            </w:r>
          </w:p>
        </w:tc>
        <w:tc>
          <w:tcPr>
            <w:tcW w:w="1436" w:type="pct"/>
            <w:noWrap w:val="0"/>
            <w:vAlign w:val="center"/>
          </w:tcPr>
          <w:p w14:paraId="50656FAE">
            <w:pPr>
              <w:snapToGrid w:val="0"/>
              <w:jc w:val="center"/>
              <w:rPr>
                <w:rFonts w:ascii="Times New Roman" w:hAnsi="Times New Roman" w:cs="Times New Roman"/>
                <w:sz w:val="21"/>
                <w:szCs w:val="21"/>
              </w:rPr>
            </w:pPr>
            <w:r>
              <w:rPr>
                <w:rFonts w:hint="eastAsia" w:ascii="Times New Roman" w:hAnsi="Times New Roman" w:cs="Times New Roman"/>
                <w:sz w:val="21"/>
                <w:szCs w:val="21"/>
                <w:lang w:val="en-US" w:eastAsia="zh-CN"/>
              </w:rPr>
              <w:t>建筑面积150m</w:t>
            </w:r>
            <w:r>
              <w:rPr>
                <w:rFonts w:hint="eastAsia" w:ascii="Times New Roman" w:hAnsi="Times New Roman" w:cs="Times New Roman"/>
                <w:sz w:val="21"/>
                <w:szCs w:val="21"/>
                <w:vertAlign w:val="superscript"/>
                <w:lang w:val="en-US" w:eastAsia="zh-CN"/>
              </w:rPr>
              <w:t>2</w:t>
            </w:r>
            <w:r>
              <w:rPr>
                <w:rFonts w:ascii="Times New Roman" w:hAnsi="Times New Roman" w:cs="Times New Roman"/>
                <w:sz w:val="21"/>
                <w:szCs w:val="21"/>
              </w:rPr>
              <w:t>。</w:t>
            </w:r>
          </w:p>
        </w:tc>
        <w:tc>
          <w:tcPr>
            <w:tcW w:w="1436" w:type="pct"/>
            <w:noWrap w:val="0"/>
            <w:vAlign w:val="center"/>
          </w:tcPr>
          <w:p w14:paraId="65F660EF">
            <w:pPr>
              <w:snapToGrid w:val="0"/>
              <w:jc w:val="center"/>
              <w:rPr>
                <w:rFonts w:hint="eastAsia" w:ascii="Times New Roman" w:hAnsi="Times New Roman" w:cs="Times New Roman"/>
                <w:sz w:val="21"/>
                <w:szCs w:val="21"/>
              </w:rPr>
            </w:pPr>
            <w:r>
              <w:rPr>
                <w:rFonts w:hint="eastAsia" w:ascii="Times New Roman" w:hAnsi="Times New Roman" w:cs="Times New Roman"/>
                <w:sz w:val="21"/>
                <w:szCs w:val="21"/>
              </w:rPr>
              <w:t>无变化</w:t>
            </w:r>
          </w:p>
        </w:tc>
      </w:tr>
      <w:tr w14:paraId="179545B6">
        <w:tblPrEx>
          <w:tblBorders>
            <w:top w:val="thinThickLargeGap" w:color="auto" w:sz="12" w:space="0"/>
            <w:left w:val="none" w:color="auto" w:sz="0" w:space="0"/>
            <w:bottom w:val="thickThinLarge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75" w:type="pct"/>
            <w:vMerge w:val="continue"/>
            <w:noWrap w:val="0"/>
            <w:vAlign w:val="center"/>
          </w:tcPr>
          <w:p w14:paraId="201F9AFD">
            <w:pPr>
              <w:snapToGrid w:val="0"/>
              <w:jc w:val="center"/>
              <w:rPr>
                <w:rFonts w:ascii="Times New Roman" w:hAnsi="Times New Roman" w:cs="Times New Roman"/>
                <w:sz w:val="21"/>
                <w:szCs w:val="21"/>
              </w:rPr>
            </w:pPr>
          </w:p>
        </w:tc>
        <w:tc>
          <w:tcPr>
            <w:tcW w:w="452" w:type="pct"/>
            <w:noWrap w:val="0"/>
            <w:vAlign w:val="center"/>
          </w:tcPr>
          <w:p w14:paraId="20617751">
            <w:pPr>
              <w:snapToGrid w:val="0"/>
              <w:jc w:val="center"/>
              <w:rPr>
                <w:rFonts w:hint="eastAsia" w:ascii="Times New Roman" w:hAnsi="Times New Roman" w:eastAsia="宋体" w:cs="Times New Roman"/>
                <w:sz w:val="21"/>
                <w:szCs w:val="21"/>
                <w:lang w:eastAsia="zh-CN"/>
              </w:rPr>
            </w:pPr>
            <w:r>
              <w:rPr>
                <w:rFonts w:hint="eastAsia" w:ascii="Times New Roman" w:hAnsi="Times New Roman" w:cs="Times New Roman"/>
                <w:sz w:val="21"/>
                <w:szCs w:val="21"/>
                <w:lang w:val="en-US" w:eastAsia="zh-CN"/>
              </w:rPr>
              <w:t>水泵房</w:t>
            </w:r>
          </w:p>
        </w:tc>
        <w:tc>
          <w:tcPr>
            <w:tcW w:w="1398" w:type="pct"/>
            <w:noWrap w:val="0"/>
            <w:vAlign w:val="center"/>
          </w:tcPr>
          <w:p w14:paraId="313EA851">
            <w:pPr>
              <w:snapToGrid w:val="0"/>
              <w:jc w:val="center"/>
              <w:rPr>
                <w:rFonts w:hint="eastAsia" w:ascii="Times New Roman" w:hAnsi="Times New Roman" w:cs="Times New Roman"/>
                <w:sz w:val="21"/>
                <w:szCs w:val="21"/>
              </w:rPr>
            </w:pPr>
            <w:r>
              <w:rPr>
                <w:rFonts w:hint="eastAsia" w:ascii="Times New Roman" w:hAnsi="Times New Roman" w:cs="Times New Roman"/>
                <w:sz w:val="21"/>
                <w:szCs w:val="21"/>
                <w:lang w:val="en-US" w:eastAsia="zh-CN"/>
              </w:rPr>
              <w:t>建筑面积150m</w:t>
            </w:r>
            <w:r>
              <w:rPr>
                <w:rFonts w:hint="eastAsia" w:ascii="Times New Roman" w:hAnsi="Times New Roman" w:cs="Times New Roman"/>
                <w:sz w:val="21"/>
                <w:szCs w:val="21"/>
                <w:vertAlign w:val="superscript"/>
                <w:lang w:val="en-US" w:eastAsia="zh-CN"/>
              </w:rPr>
              <w:t>2</w:t>
            </w:r>
            <w:r>
              <w:rPr>
                <w:rFonts w:ascii="Times New Roman" w:hAnsi="Times New Roman" w:cs="Times New Roman"/>
                <w:sz w:val="21"/>
                <w:szCs w:val="21"/>
              </w:rPr>
              <w:t>。</w:t>
            </w:r>
          </w:p>
        </w:tc>
        <w:tc>
          <w:tcPr>
            <w:tcW w:w="1436" w:type="pct"/>
            <w:noWrap w:val="0"/>
            <w:vAlign w:val="center"/>
          </w:tcPr>
          <w:p w14:paraId="3E44A2ED">
            <w:pPr>
              <w:snapToGrid w:val="0"/>
              <w:jc w:val="center"/>
              <w:rPr>
                <w:rFonts w:hint="eastAsia" w:ascii="Times New Roman" w:hAnsi="Times New Roman" w:cs="Times New Roman"/>
                <w:sz w:val="21"/>
                <w:szCs w:val="21"/>
              </w:rPr>
            </w:pPr>
            <w:r>
              <w:rPr>
                <w:rFonts w:hint="eastAsia" w:ascii="Times New Roman" w:hAnsi="Times New Roman" w:cs="Times New Roman"/>
                <w:sz w:val="21"/>
                <w:szCs w:val="21"/>
                <w:lang w:val="en-US" w:eastAsia="zh-CN"/>
              </w:rPr>
              <w:t>建筑面积150m</w:t>
            </w:r>
            <w:r>
              <w:rPr>
                <w:rFonts w:hint="eastAsia" w:ascii="Times New Roman" w:hAnsi="Times New Roman" w:cs="Times New Roman"/>
                <w:sz w:val="21"/>
                <w:szCs w:val="21"/>
                <w:vertAlign w:val="superscript"/>
                <w:lang w:val="en-US" w:eastAsia="zh-CN"/>
              </w:rPr>
              <w:t>2</w:t>
            </w:r>
            <w:r>
              <w:rPr>
                <w:rFonts w:ascii="Times New Roman" w:hAnsi="Times New Roman" w:cs="Times New Roman"/>
                <w:sz w:val="21"/>
                <w:szCs w:val="21"/>
              </w:rPr>
              <w:t>。</w:t>
            </w:r>
          </w:p>
        </w:tc>
        <w:tc>
          <w:tcPr>
            <w:tcW w:w="1436" w:type="pct"/>
            <w:noWrap w:val="0"/>
            <w:vAlign w:val="center"/>
          </w:tcPr>
          <w:p w14:paraId="09E00F86">
            <w:pPr>
              <w:snapToGrid w:val="0"/>
              <w:jc w:val="center"/>
              <w:rPr>
                <w:rFonts w:hint="eastAsia" w:ascii="Times New Roman" w:hAnsi="Times New Roman" w:cs="Times New Roman"/>
                <w:sz w:val="21"/>
                <w:szCs w:val="21"/>
              </w:rPr>
            </w:pPr>
            <w:r>
              <w:rPr>
                <w:rFonts w:hint="eastAsia" w:ascii="Times New Roman" w:hAnsi="Times New Roman" w:cs="Times New Roman"/>
                <w:sz w:val="21"/>
                <w:szCs w:val="21"/>
              </w:rPr>
              <w:t>无变化</w:t>
            </w:r>
          </w:p>
        </w:tc>
      </w:tr>
      <w:tr w14:paraId="5DE31CD5">
        <w:tblPrEx>
          <w:tblBorders>
            <w:top w:val="thinThickLargeGap" w:color="auto" w:sz="12" w:space="0"/>
            <w:left w:val="none" w:color="auto" w:sz="0" w:space="0"/>
            <w:bottom w:val="thickThinLarge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860" w:hRule="atLeast"/>
          <w:jc w:val="center"/>
        </w:trPr>
        <w:tc>
          <w:tcPr>
            <w:tcW w:w="275" w:type="pct"/>
            <w:vMerge w:val="continue"/>
            <w:noWrap w:val="0"/>
            <w:vAlign w:val="center"/>
          </w:tcPr>
          <w:p w14:paraId="37CAC74E">
            <w:pPr>
              <w:snapToGrid w:val="0"/>
              <w:jc w:val="center"/>
              <w:rPr>
                <w:rFonts w:ascii="Times New Roman" w:hAnsi="Times New Roman" w:cs="Times New Roman"/>
                <w:sz w:val="21"/>
                <w:szCs w:val="21"/>
              </w:rPr>
            </w:pPr>
          </w:p>
        </w:tc>
        <w:tc>
          <w:tcPr>
            <w:tcW w:w="452" w:type="pct"/>
            <w:noWrap w:val="0"/>
            <w:vAlign w:val="center"/>
          </w:tcPr>
          <w:p w14:paraId="09EA988F">
            <w:pPr>
              <w:snapToGrid w:val="0"/>
              <w:jc w:val="center"/>
              <w:rPr>
                <w:rFonts w:hint="eastAsia" w:ascii="Times New Roman" w:hAnsi="Times New Roman" w:eastAsia="宋体" w:cs="Times New Roman"/>
                <w:sz w:val="21"/>
                <w:szCs w:val="21"/>
                <w:lang w:eastAsia="zh-CN"/>
              </w:rPr>
            </w:pPr>
            <w:r>
              <w:rPr>
                <w:rFonts w:hint="eastAsia" w:ascii="Times New Roman" w:hAnsi="Times New Roman" w:cs="Times New Roman"/>
                <w:sz w:val="21"/>
                <w:szCs w:val="21"/>
                <w:lang w:val="en-US" w:eastAsia="zh-CN"/>
              </w:rPr>
              <w:t>办公区</w:t>
            </w:r>
          </w:p>
        </w:tc>
        <w:tc>
          <w:tcPr>
            <w:tcW w:w="1398" w:type="pct"/>
            <w:noWrap w:val="0"/>
            <w:vAlign w:val="center"/>
          </w:tcPr>
          <w:p w14:paraId="1255C5B8">
            <w:pPr>
              <w:snapToGrid w:val="0"/>
              <w:jc w:val="center"/>
              <w:rPr>
                <w:rFonts w:hint="eastAsia" w:ascii="Times New Roman" w:hAnsi="Times New Roman" w:cs="Times New Roman"/>
                <w:sz w:val="21"/>
                <w:szCs w:val="21"/>
              </w:rPr>
            </w:pPr>
            <w:r>
              <w:rPr>
                <w:rFonts w:hint="eastAsia" w:ascii="Times New Roman" w:hAnsi="Times New Roman" w:cs="Times New Roman"/>
                <w:sz w:val="21"/>
                <w:szCs w:val="21"/>
                <w:lang w:val="en-US" w:eastAsia="zh-CN"/>
              </w:rPr>
              <w:t>建筑面积1470m</w:t>
            </w:r>
            <w:r>
              <w:rPr>
                <w:rFonts w:hint="eastAsia" w:ascii="Times New Roman" w:hAnsi="Times New Roman" w:cs="Times New Roman"/>
                <w:sz w:val="21"/>
                <w:szCs w:val="21"/>
                <w:vertAlign w:val="superscript"/>
                <w:lang w:val="en-US" w:eastAsia="zh-CN"/>
              </w:rPr>
              <w:t>2</w:t>
            </w:r>
            <w:r>
              <w:rPr>
                <w:rFonts w:ascii="Times New Roman" w:hAnsi="Times New Roman" w:cs="Times New Roman"/>
                <w:sz w:val="21"/>
                <w:szCs w:val="21"/>
              </w:rPr>
              <w:t>。</w:t>
            </w:r>
          </w:p>
        </w:tc>
        <w:tc>
          <w:tcPr>
            <w:tcW w:w="1436" w:type="pct"/>
            <w:noWrap w:val="0"/>
            <w:vAlign w:val="center"/>
          </w:tcPr>
          <w:p w14:paraId="75BAC662">
            <w:pPr>
              <w:snapToGrid w:val="0"/>
              <w:jc w:val="center"/>
              <w:rPr>
                <w:rFonts w:hint="eastAsia" w:ascii="Times New Roman" w:hAnsi="Times New Roman" w:cs="Times New Roman"/>
                <w:sz w:val="21"/>
                <w:szCs w:val="21"/>
              </w:rPr>
            </w:pPr>
            <w:r>
              <w:rPr>
                <w:rFonts w:hint="eastAsia" w:ascii="Times New Roman" w:hAnsi="Times New Roman" w:cs="Times New Roman"/>
                <w:sz w:val="21"/>
                <w:szCs w:val="21"/>
                <w:lang w:val="en-US" w:eastAsia="zh-CN"/>
              </w:rPr>
              <w:t>建筑面积1470m</w:t>
            </w:r>
            <w:r>
              <w:rPr>
                <w:rFonts w:hint="eastAsia" w:ascii="Times New Roman" w:hAnsi="Times New Roman" w:cs="Times New Roman"/>
                <w:sz w:val="21"/>
                <w:szCs w:val="21"/>
                <w:vertAlign w:val="superscript"/>
                <w:lang w:val="en-US" w:eastAsia="zh-CN"/>
              </w:rPr>
              <w:t>2</w:t>
            </w:r>
            <w:r>
              <w:rPr>
                <w:rFonts w:ascii="Times New Roman" w:hAnsi="Times New Roman" w:cs="Times New Roman"/>
                <w:sz w:val="21"/>
                <w:szCs w:val="21"/>
              </w:rPr>
              <w:t>。</w:t>
            </w:r>
          </w:p>
        </w:tc>
        <w:tc>
          <w:tcPr>
            <w:tcW w:w="1436" w:type="pct"/>
            <w:noWrap w:val="0"/>
            <w:vAlign w:val="center"/>
          </w:tcPr>
          <w:p w14:paraId="509D6BC4">
            <w:pPr>
              <w:snapToGrid w:val="0"/>
              <w:jc w:val="center"/>
              <w:rPr>
                <w:rFonts w:hint="eastAsia" w:ascii="Times New Roman" w:hAnsi="Times New Roman" w:cs="Times New Roman"/>
                <w:sz w:val="21"/>
                <w:szCs w:val="21"/>
              </w:rPr>
            </w:pPr>
            <w:r>
              <w:rPr>
                <w:rFonts w:hint="eastAsia" w:ascii="Times New Roman" w:hAnsi="Times New Roman" w:cs="Times New Roman"/>
                <w:sz w:val="21"/>
                <w:szCs w:val="21"/>
              </w:rPr>
              <w:t>无变化</w:t>
            </w:r>
          </w:p>
        </w:tc>
      </w:tr>
      <w:tr w14:paraId="5C854053">
        <w:tblPrEx>
          <w:tblBorders>
            <w:top w:val="thinThickLargeGap" w:color="auto" w:sz="12" w:space="0"/>
            <w:left w:val="none" w:color="auto" w:sz="0" w:space="0"/>
            <w:bottom w:val="thickThinLarge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75" w:type="pct"/>
            <w:vMerge w:val="restart"/>
            <w:noWrap w:val="0"/>
            <w:vAlign w:val="center"/>
          </w:tcPr>
          <w:p w14:paraId="74FA4A69">
            <w:pPr>
              <w:snapToGrid w:val="0"/>
              <w:jc w:val="center"/>
              <w:rPr>
                <w:rFonts w:hint="eastAsia" w:ascii="Times New Roman" w:hAnsi="Times New Roman" w:eastAsia="宋体" w:cs="Times New Roman"/>
                <w:sz w:val="21"/>
                <w:szCs w:val="21"/>
                <w:lang w:val="en-US" w:eastAsia="zh-CN"/>
              </w:rPr>
            </w:pPr>
            <w:r>
              <w:rPr>
                <w:rFonts w:hint="eastAsia" w:ascii="Times New Roman" w:hAnsi="Times New Roman" w:cs="Times New Roman"/>
                <w:sz w:val="21"/>
                <w:szCs w:val="21"/>
                <w:lang w:val="en-US" w:eastAsia="zh-CN"/>
              </w:rPr>
              <w:t>储运工程</w:t>
            </w:r>
          </w:p>
        </w:tc>
        <w:tc>
          <w:tcPr>
            <w:tcW w:w="452" w:type="pct"/>
            <w:noWrap w:val="0"/>
            <w:vAlign w:val="center"/>
          </w:tcPr>
          <w:p w14:paraId="4519721A">
            <w:pPr>
              <w:snapToGrid w:val="0"/>
              <w:jc w:val="center"/>
              <w:rPr>
                <w:rFonts w:hint="eastAsia" w:ascii="Times New Roman" w:hAnsi="Times New Roman" w:eastAsia="宋体" w:cs="Times New Roman"/>
                <w:sz w:val="21"/>
                <w:szCs w:val="21"/>
                <w:lang w:val="en-US" w:eastAsia="zh-CN"/>
              </w:rPr>
            </w:pPr>
            <w:r>
              <w:rPr>
                <w:rFonts w:hint="eastAsia" w:ascii="Times New Roman" w:hAnsi="Times New Roman" w:cs="Times New Roman"/>
                <w:sz w:val="21"/>
                <w:szCs w:val="21"/>
                <w:lang w:val="en-US" w:eastAsia="zh-CN"/>
              </w:rPr>
              <w:t>生铁库</w:t>
            </w:r>
          </w:p>
        </w:tc>
        <w:tc>
          <w:tcPr>
            <w:tcW w:w="1398" w:type="pct"/>
            <w:noWrap w:val="0"/>
            <w:vAlign w:val="center"/>
          </w:tcPr>
          <w:p w14:paraId="05DB91E1">
            <w:pPr>
              <w:snapToGrid w:val="0"/>
              <w:jc w:val="center"/>
              <w:rPr>
                <w:rFonts w:hint="default" w:ascii="Times New Roman" w:hAnsi="Times New Roman" w:eastAsia="宋体" w:cs="Times New Roman"/>
                <w:sz w:val="21"/>
                <w:szCs w:val="21"/>
                <w:lang w:val="en-US" w:eastAsia="zh-CN"/>
              </w:rPr>
            </w:pPr>
            <w:r>
              <w:rPr>
                <w:rFonts w:hint="eastAsia" w:ascii="Times New Roman" w:hAnsi="Times New Roman" w:cs="Times New Roman"/>
                <w:sz w:val="21"/>
                <w:szCs w:val="21"/>
                <w:lang w:val="en-US" w:eastAsia="zh-CN"/>
              </w:rPr>
              <w:t>建筑面积3250m</w:t>
            </w:r>
            <w:r>
              <w:rPr>
                <w:rFonts w:hint="eastAsia" w:ascii="Times New Roman" w:hAnsi="Times New Roman" w:cs="Times New Roman"/>
                <w:sz w:val="21"/>
                <w:szCs w:val="21"/>
                <w:vertAlign w:val="superscript"/>
                <w:lang w:val="en-US" w:eastAsia="zh-CN"/>
              </w:rPr>
              <w:t>2</w:t>
            </w:r>
          </w:p>
        </w:tc>
        <w:tc>
          <w:tcPr>
            <w:tcW w:w="1436" w:type="pct"/>
            <w:noWrap w:val="0"/>
            <w:vAlign w:val="center"/>
          </w:tcPr>
          <w:p w14:paraId="35AB9A1B">
            <w:pPr>
              <w:snapToGrid w:val="0"/>
              <w:jc w:val="center"/>
              <w:rPr>
                <w:rFonts w:hint="eastAsia" w:ascii="Times New Roman" w:hAnsi="Times New Roman" w:cs="Times New Roman"/>
                <w:sz w:val="21"/>
                <w:szCs w:val="21"/>
              </w:rPr>
            </w:pPr>
            <w:r>
              <w:rPr>
                <w:rFonts w:hint="eastAsia" w:ascii="Times New Roman" w:hAnsi="Times New Roman" w:cs="Times New Roman"/>
                <w:sz w:val="21"/>
                <w:szCs w:val="21"/>
                <w:lang w:val="en-US" w:eastAsia="zh-CN"/>
              </w:rPr>
              <w:t>建筑面积3250m</w:t>
            </w:r>
            <w:r>
              <w:rPr>
                <w:rFonts w:hint="eastAsia" w:ascii="Times New Roman" w:hAnsi="Times New Roman" w:cs="Times New Roman"/>
                <w:sz w:val="21"/>
                <w:szCs w:val="21"/>
                <w:vertAlign w:val="superscript"/>
                <w:lang w:val="en-US" w:eastAsia="zh-CN"/>
              </w:rPr>
              <w:t>2</w:t>
            </w:r>
          </w:p>
        </w:tc>
        <w:tc>
          <w:tcPr>
            <w:tcW w:w="1436" w:type="pct"/>
            <w:noWrap w:val="0"/>
            <w:vAlign w:val="center"/>
          </w:tcPr>
          <w:p w14:paraId="6A108A79">
            <w:pPr>
              <w:snapToGrid w:val="0"/>
              <w:jc w:val="center"/>
              <w:rPr>
                <w:rFonts w:hint="eastAsia" w:ascii="Times New Roman" w:hAnsi="Times New Roman" w:cs="Times New Roman"/>
                <w:sz w:val="21"/>
                <w:szCs w:val="21"/>
              </w:rPr>
            </w:pPr>
            <w:r>
              <w:rPr>
                <w:rFonts w:hint="eastAsia" w:ascii="Times New Roman" w:hAnsi="Times New Roman" w:cs="Times New Roman"/>
                <w:sz w:val="21"/>
                <w:szCs w:val="21"/>
              </w:rPr>
              <w:t>无变化</w:t>
            </w:r>
          </w:p>
        </w:tc>
      </w:tr>
      <w:tr w14:paraId="02754E1B">
        <w:tblPrEx>
          <w:tblBorders>
            <w:top w:val="thinThickLargeGap" w:color="auto" w:sz="12" w:space="0"/>
            <w:left w:val="none" w:color="auto" w:sz="0" w:space="0"/>
            <w:bottom w:val="thickThinLarge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75" w:type="pct"/>
            <w:vMerge w:val="continue"/>
            <w:noWrap w:val="0"/>
            <w:vAlign w:val="center"/>
          </w:tcPr>
          <w:p w14:paraId="0024575B">
            <w:pPr>
              <w:snapToGrid w:val="0"/>
              <w:jc w:val="center"/>
              <w:rPr>
                <w:rFonts w:hint="eastAsia" w:ascii="Times New Roman" w:hAnsi="Times New Roman" w:cs="Times New Roman"/>
                <w:sz w:val="21"/>
                <w:szCs w:val="21"/>
                <w:lang w:val="en-US" w:eastAsia="zh-CN"/>
              </w:rPr>
            </w:pPr>
          </w:p>
        </w:tc>
        <w:tc>
          <w:tcPr>
            <w:tcW w:w="452" w:type="pct"/>
            <w:noWrap w:val="0"/>
            <w:vAlign w:val="center"/>
          </w:tcPr>
          <w:p w14:paraId="2D177132">
            <w:pPr>
              <w:snapToGrid w:val="0"/>
              <w:jc w:val="center"/>
              <w:rPr>
                <w:rFonts w:hint="default" w:ascii="Times New Roman" w:hAnsi="Times New Roman" w:eastAsia="宋体" w:cs="Times New Roman"/>
                <w:sz w:val="21"/>
                <w:szCs w:val="21"/>
                <w:lang w:val="en-US" w:eastAsia="zh-CN"/>
              </w:rPr>
            </w:pPr>
            <w:r>
              <w:rPr>
                <w:rFonts w:hint="eastAsia" w:ascii="Times New Roman" w:hAnsi="Times New Roman" w:cs="Times New Roman"/>
                <w:sz w:val="21"/>
                <w:szCs w:val="21"/>
                <w:lang w:val="en-US" w:eastAsia="zh-CN"/>
              </w:rPr>
              <w:t>矿粉库</w:t>
            </w:r>
          </w:p>
        </w:tc>
        <w:tc>
          <w:tcPr>
            <w:tcW w:w="1398" w:type="pct"/>
            <w:noWrap w:val="0"/>
            <w:vAlign w:val="center"/>
          </w:tcPr>
          <w:p w14:paraId="02DFE736">
            <w:pPr>
              <w:snapToGrid w:val="0"/>
              <w:jc w:val="center"/>
              <w:rPr>
                <w:rFonts w:hint="eastAsia" w:ascii="Times New Roman" w:hAnsi="Times New Roman" w:cs="Times New Roman"/>
                <w:sz w:val="21"/>
                <w:szCs w:val="21"/>
              </w:rPr>
            </w:pPr>
            <w:r>
              <w:rPr>
                <w:rFonts w:hint="eastAsia" w:ascii="Times New Roman" w:hAnsi="Times New Roman" w:cs="Times New Roman"/>
                <w:sz w:val="21"/>
                <w:szCs w:val="21"/>
                <w:lang w:val="en-US" w:eastAsia="zh-CN"/>
              </w:rPr>
              <w:t>建筑面积2672m</w:t>
            </w:r>
            <w:r>
              <w:rPr>
                <w:rFonts w:hint="eastAsia" w:ascii="Times New Roman" w:hAnsi="Times New Roman" w:cs="Times New Roman"/>
                <w:sz w:val="21"/>
                <w:szCs w:val="21"/>
                <w:vertAlign w:val="superscript"/>
                <w:lang w:val="en-US" w:eastAsia="zh-CN"/>
              </w:rPr>
              <w:t>2</w:t>
            </w:r>
          </w:p>
        </w:tc>
        <w:tc>
          <w:tcPr>
            <w:tcW w:w="1436" w:type="pct"/>
            <w:noWrap w:val="0"/>
            <w:vAlign w:val="center"/>
          </w:tcPr>
          <w:p w14:paraId="1F94E70E">
            <w:pPr>
              <w:snapToGrid w:val="0"/>
              <w:jc w:val="center"/>
              <w:rPr>
                <w:rFonts w:hint="eastAsia" w:ascii="Times New Roman" w:hAnsi="Times New Roman" w:cs="Times New Roman"/>
                <w:sz w:val="21"/>
                <w:szCs w:val="21"/>
              </w:rPr>
            </w:pPr>
            <w:r>
              <w:rPr>
                <w:rFonts w:hint="eastAsia" w:ascii="Times New Roman" w:hAnsi="Times New Roman" w:cs="Times New Roman"/>
                <w:sz w:val="21"/>
                <w:szCs w:val="21"/>
                <w:lang w:val="en-US" w:eastAsia="zh-CN"/>
              </w:rPr>
              <w:t>建筑面积2672m</w:t>
            </w:r>
            <w:r>
              <w:rPr>
                <w:rFonts w:hint="eastAsia" w:ascii="Times New Roman" w:hAnsi="Times New Roman" w:cs="Times New Roman"/>
                <w:sz w:val="21"/>
                <w:szCs w:val="21"/>
                <w:vertAlign w:val="superscript"/>
                <w:lang w:val="en-US" w:eastAsia="zh-CN"/>
              </w:rPr>
              <w:t>2</w:t>
            </w:r>
          </w:p>
        </w:tc>
        <w:tc>
          <w:tcPr>
            <w:tcW w:w="1436" w:type="pct"/>
            <w:noWrap w:val="0"/>
            <w:vAlign w:val="center"/>
          </w:tcPr>
          <w:p w14:paraId="293241C6">
            <w:pPr>
              <w:snapToGrid w:val="0"/>
              <w:jc w:val="center"/>
              <w:rPr>
                <w:rFonts w:hint="eastAsia" w:ascii="Times New Roman" w:hAnsi="Times New Roman" w:cs="Times New Roman"/>
                <w:sz w:val="21"/>
                <w:szCs w:val="21"/>
              </w:rPr>
            </w:pPr>
            <w:r>
              <w:rPr>
                <w:rFonts w:hint="eastAsia" w:ascii="Times New Roman" w:hAnsi="Times New Roman" w:cs="Times New Roman"/>
                <w:sz w:val="21"/>
                <w:szCs w:val="21"/>
              </w:rPr>
              <w:t>无变化</w:t>
            </w:r>
          </w:p>
        </w:tc>
      </w:tr>
      <w:tr w14:paraId="11A84331">
        <w:tblPrEx>
          <w:tblBorders>
            <w:top w:val="thinThickLargeGap" w:color="auto" w:sz="12" w:space="0"/>
            <w:left w:val="none" w:color="auto" w:sz="0" w:space="0"/>
            <w:bottom w:val="thickThinLarge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75" w:type="pct"/>
            <w:vMerge w:val="continue"/>
            <w:noWrap w:val="0"/>
            <w:vAlign w:val="center"/>
          </w:tcPr>
          <w:p w14:paraId="2266EF61">
            <w:pPr>
              <w:snapToGrid w:val="0"/>
              <w:jc w:val="center"/>
              <w:rPr>
                <w:rFonts w:hint="eastAsia" w:ascii="Times New Roman" w:hAnsi="Times New Roman" w:cs="Times New Roman"/>
                <w:sz w:val="21"/>
                <w:szCs w:val="21"/>
                <w:lang w:val="en-US" w:eastAsia="zh-CN"/>
              </w:rPr>
            </w:pPr>
          </w:p>
        </w:tc>
        <w:tc>
          <w:tcPr>
            <w:tcW w:w="452" w:type="pct"/>
            <w:noWrap w:val="0"/>
            <w:vAlign w:val="center"/>
          </w:tcPr>
          <w:p w14:paraId="1EA2BBE4">
            <w:pPr>
              <w:snapToGrid w:val="0"/>
              <w:jc w:val="center"/>
              <w:rPr>
                <w:rFonts w:hint="default" w:ascii="Times New Roman" w:hAnsi="Times New Roman" w:cs="Times New Roman"/>
                <w:sz w:val="21"/>
                <w:szCs w:val="21"/>
                <w:lang w:val="en-US" w:eastAsia="zh-CN"/>
              </w:rPr>
            </w:pPr>
            <w:r>
              <w:rPr>
                <w:rFonts w:hint="eastAsia" w:ascii="Times New Roman" w:hAnsi="Times New Roman" w:cs="Times New Roman"/>
                <w:sz w:val="21"/>
                <w:szCs w:val="21"/>
                <w:lang w:val="en-US" w:eastAsia="zh-CN"/>
              </w:rPr>
              <w:t>成品库房</w:t>
            </w:r>
          </w:p>
        </w:tc>
        <w:tc>
          <w:tcPr>
            <w:tcW w:w="1398" w:type="pct"/>
            <w:noWrap w:val="0"/>
            <w:vAlign w:val="center"/>
          </w:tcPr>
          <w:p w14:paraId="12B98DDB">
            <w:pPr>
              <w:snapToGrid w:val="0"/>
              <w:jc w:val="center"/>
              <w:rPr>
                <w:rFonts w:hint="eastAsia" w:ascii="Times New Roman" w:hAnsi="Times New Roman" w:cs="Times New Roman"/>
                <w:sz w:val="21"/>
                <w:szCs w:val="21"/>
              </w:rPr>
            </w:pPr>
            <w:r>
              <w:rPr>
                <w:rFonts w:hint="eastAsia" w:ascii="Times New Roman" w:hAnsi="Times New Roman" w:cs="Times New Roman"/>
                <w:sz w:val="21"/>
                <w:szCs w:val="21"/>
                <w:lang w:val="en-US" w:eastAsia="zh-CN"/>
              </w:rPr>
              <w:t>建筑面积2740m</w:t>
            </w:r>
            <w:r>
              <w:rPr>
                <w:rFonts w:hint="eastAsia" w:ascii="Times New Roman" w:hAnsi="Times New Roman" w:cs="Times New Roman"/>
                <w:sz w:val="21"/>
                <w:szCs w:val="21"/>
                <w:vertAlign w:val="superscript"/>
                <w:lang w:val="en-US" w:eastAsia="zh-CN"/>
              </w:rPr>
              <w:t>2</w:t>
            </w:r>
          </w:p>
        </w:tc>
        <w:tc>
          <w:tcPr>
            <w:tcW w:w="1436" w:type="pct"/>
            <w:noWrap w:val="0"/>
            <w:vAlign w:val="center"/>
          </w:tcPr>
          <w:p w14:paraId="1221A5DE">
            <w:pPr>
              <w:snapToGrid w:val="0"/>
              <w:jc w:val="center"/>
              <w:rPr>
                <w:rFonts w:hint="eastAsia" w:ascii="Times New Roman" w:hAnsi="Times New Roman" w:cs="Times New Roman"/>
                <w:sz w:val="21"/>
                <w:szCs w:val="21"/>
              </w:rPr>
            </w:pPr>
            <w:r>
              <w:rPr>
                <w:rFonts w:hint="eastAsia" w:ascii="Times New Roman" w:hAnsi="Times New Roman" w:cs="Times New Roman"/>
                <w:sz w:val="21"/>
                <w:szCs w:val="21"/>
                <w:lang w:val="en-US" w:eastAsia="zh-CN"/>
              </w:rPr>
              <w:t>建筑面积2740m</w:t>
            </w:r>
            <w:r>
              <w:rPr>
                <w:rFonts w:hint="eastAsia" w:ascii="Times New Roman" w:hAnsi="Times New Roman" w:cs="Times New Roman"/>
                <w:sz w:val="21"/>
                <w:szCs w:val="21"/>
                <w:vertAlign w:val="superscript"/>
                <w:lang w:val="en-US" w:eastAsia="zh-CN"/>
              </w:rPr>
              <w:t>2</w:t>
            </w:r>
          </w:p>
        </w:tc>
        <w:tc>
          <w:tcPr>
            <w:tcW w:w="1436" w:type="pct"/>
            <w:noWrap w:val="0"/>
            <w:vAlign w:val="center"/>
          </w:tcPr>
          <w:p w14:paraId="336B1D60">
            <w:pPr>
              <w:snapToGrid w:val="0"/>
              <w:jc w:val="center"/>
              <w:rPr>
                <w:rFonts w:hint="eastAsia" w:ascii="Times New Roman" w:hAnsi="Times New Roman" w:cs="Times New Roman"/>
                <w:sz w:val="21"/>
                <w:szCs w:val="21"/>
              </w:rPr>
            </w:pPr>
            <w:r>
              <w:rPr>
                <w:rFonts w:hint="eastAsia" w:ascii="Times New Roman" w:hAnsi="Times New Roman" w:cs="Times New Roman"/>
                <w:sz w:val="21"/>
                <w:szCs w:val="21"/>
              </w:rPr>
              <w:t>无变化</w:t>
            </w:r>
          </w:p>
        </w:tc>
      </w:tr>
      <w:tr w14:paraId="77E5580F">
        <w:tblPrEx>
          <w:tblBorders>
            <w:top w:val="thinThickLargeGap" w:color="auto" w:sz="12" w:space="0"/>
            <w:left w:val="none" w:color="auto" w:sz="0" w:space="0"/>
            <w:bottom w:val="thickThinLarge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75" w:type="pct"/>
            <w:vMerge w:val="restart"/>
            <w:noWrap w:val="0"/>
            <w:vAlign w:val="center"/>
          </w:tcPr>
          <w:p w14:paraId="02999347">
            <w:pPr>
              <w:snapToGrid w:val="0"/>
              <w:jc w:val="center"/>
              <w:rPr>
                <w:rFonts w:ascii="Times New Roman" w:hAnsi="Times New Roman" w:cs="Times New Roman"/>
                <w:sz w:val="21"/>
                <w:szCs w:val="21"/>
              </w:rPr>
            </w:pPr>
            <w:r>
              <w:rPr>
                <w:rFonts w:hint="eastAsia" w:ascii="Times New Roman" w:hAnsi="Times New Roman" w:cs="Times New Roman"/>
                <w:sz w:val="21"/>
                <w:szCs w:val="21"/>
              </w:rPr>
              <w:t>公用工程</w:t>
            </w:r>
          </w:p>
        </w:tc>
        <w:tc>
          <w:tcPr>
            <w:tcW w:w="452" w:type="pct"/>
            <w:noWrap w:val="0"/>
            <w:vAlign w:val="center"/>
          </w:tcPr>
          <w:p w14:paraId="0BEF294C">
            <w:pPr>
              <w:snapToGrid w:val="0"/>
              <w:jc w:val="center"/>
              <w:rPr>
                <w:rFonts w:hint="eastAsia" w:ascii="Times New Roman" w:hAnsi="Times New Roman" w:cs="Times New Roman"/>
                <w:sz w:val="21"/>
                <w:szCs w:val="21"/>
              </w:rPr>
            </w:pPr>
            <w:r>
              <w:rPr>
                <w:rFonts w:ascii="Times New Roman" w:hAnsi="Times New Roman" w:cs="Times New Roman"/>
                <w:sz w:val="21"/>
                <w:szCs w:val="21"/>
              </w:rPr>
              <w:t>给水</w:t>
            </w:r>
          </w:p>
        </w:tc>
        <w:tc>
          <w:tcPr>
            <w:tcW w:w="1398" w:type="pct"/>
            <w:noWrap w:val="0"/>
            <w:vAlign w:val="center"/>
          </w:tcPr>
          <w:p w14:paraId="1934256A">
            <w:pPr>
              <w:snapToGrid w:val="0"/>
              <w:jc w:val="center"/>
              <w:rPr>
                <w:rFonts w:hint="eastAsia" w:ascii="Times New Roman" w:hAnsi="Times New Roman" w:cs="Times New Roman"/>
                <w:sz w:val="21"/>
                <w:szCs w:val="21"/>
              </w:rPr>
            </w:pPr>
            <w:r>
              <w:rPr>
                <w:rFonts w:hint="eastAsia" w:ascii="Times New Roman" w:hAnsi="Times New Roman" w:cs="Times New Roman"/>
                <w:sz w:val="21"/>
                <w:szCs w:val="21"/>
                <w:lang w:val="en-US" w:eastAsia="zh-CN"/>
              </w:rPr>
              <w:t>取自厂区自备井</w:t>
            </w:r>
            <w:r>
              <w:rPr>
                <w:rFonts w:ascii="Times New Roman" w:hAnsi="Times New Roman" w:cs="Times New Roman"/>
                <w:sz w:val="21"/>
                <w:szCs w:val="21"/>
              </w:rPr>
              <w:t>。</w:t>
            </w:r>
          </w:p>
        </w:tc>
        <w:tc>
          <w:tcPr>
            <w:tcW w:w="1436" w:type="pct"/>
            <w:noWrap w:val="0"/>
            <w:vAlign w:val="center"/>
          </w:tcPr>
          <w:p w14:paraId="1783EF76">
            <w:pPr>
              <w:snapToGrid w:val="0"/>
              <w:jc w:val="center"/>
              <w:rPr>
                <w:rFonts w:hint="eastAsia" w:ascii="Times New Roman" w:hAnsi="Times New Roman" w:cs="Times New Roman"/>
                <w:sz w:val="21"/>
                <w:szCs w:val="21"/>
              </w:rPr>
            </w:pPr>
            <w:r>
              <w:rPr>
                <w:rFonts w:hint="eastAsia" w:ascii="Times New Roman" w:hAnsi="Times New Roman" w:cs="Times New Roman"/>
                <w:sz w:val="21"/>
                <w:szCs w:val="21"/>
                <w:lang w:val="en-US" w:eastAsia="zh-CN"/>
              </w:rPr>
              <w:t>取自厂区自备井</w:t>
            </w:r>
            <w:r>
              <w:rPr>
                <w:rFonts w:ascii="Times New Roman" w:hAnsi="Times New Roman" w:cs="Times New Roman"/>
                <w:sz w:val="21"/>
                <w:szCs w:val="21"/>
              </w:rPr>
              <w:t>。</w:t>
            </w:r>
          </w:p>
        </w:tc>
        <w:tc>
          <w:tcPr>
            <w:tcW w:w="1436" w:type="pct"/>
            <w:noWrap w:val="0"/>
            <w:vAlign w:val="center"/>
          </w:tcPr>
          <w:p w14:paraId="70B29F5C">
            <w:pPr>
              <w:snapToGrid w:val="0"/>
              <w:jc w:val="center"/>
              <w:rPr>
                <w:rFonts w:hint="eastAsia" w:ascii="Times New Roman" w:hAnsi="Times New Roman" w:cs="Times New Roman"/>
                <w:sz w:val="21"/>
                <w:szCs w:val="21"/>
              </w:rPr>
            </w:pPr>
            <w:r>
              <w:rPr>
                <w:rFonts w:hint="eastAsia" w:ascii="Times New Roman" w:hAnsi="Times New Roman" w:cs="Times New Roman"/>
                <w:sz w:val="21"/>
                <w:szCs w:val="21"/>
              </w:rPr>
              <w:t>无变化</w:t>
            </w:r>
          </w:p>
        </w:tc>
      </w:tr>
      <w:tr w14:paraId="3DEA114D">
        <w:tblPrEx>
          <w:tblBorders>
            <w:top w:val="thinThickLargeGap" w:color="auto" w:sz="12" w:space="0"/>
            <w:left w:val="none" w:color="auto" w:sz="0" w:space="0"/>
            <w:bottom w:val="thickThinLarge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75" w:type="pct"/>
            <w:vMerge w:val="continue"/>
            <w:noWrap w:val="0"/>
            <w:vAlign w:val="center"/>
          </w:tcPr>
          <w:p w14:paraId="28B5FA08">
            <w:pPr>
              <w:snapToGrid w:val="0"/>
              <w:jc w:val="center"/>
              <w:rPr>
                <w:rFonts w:ascii="Times New Roman" w:hAnsi="Times New Roman" w:cs="Times New Roman"/>
                <w:sz w:val="21"/>
                <w:szCs w:val="21"/>
              </w:rPr>
            </w:pPr>
          </w:p>
        </w:tc>
        <w:tc>
          <w:tcPr>
            <w:tcW w:w="452" w:type="pct"/>
            <w:noWrap w:val="0"/>
            <w:vAlign w:val="center"/>
          </w:tcPr>
          <w:p w14:paraId="05459D5A">
            <w:pPr>
              <w:snapToGrid w:val="0"/>
              <w:jc w:val="center"/>
              <w:rPr>
                <w:rFonts w:hint="eastAsia" w:ascii="Times New Roman" w:hAnsi="Times New Roman" w:cs="Times New Roman"/>
                <w:sz w:val="21"/>
                <w:szCs w:val="21"/>
              </w:rPr>
            </w:pPr>
            <w:r>
              <w:rPr>
                <w:rFonts w:ascii="Times New Roman" w:hAnsi="Times New Roman" w:cs="Times New Roman"/>
                <w:sz w:val="21"/>
                <w:szCs w:val="21"/>
              </w:rPr>
              <w:t>排水</w:t>
            </w:r>
          </w:p>
        </w:tc>
        <w:tc>
          <w:tcPr>
            <w:tcW w:w="1398" w:type="pct"/>
            <w:noWrap w:val="0"/>
            <w:vAlign w:val="center"/>
          </w:tcPr>
          <w:p w14:paraId="3E5F3DFE">
            <w:pPr>
              <w:rPr>
                <w:rFonts w:ascii="Times New Roman" w:hAnsi="Times New Roman" w:cs="Times New Roman"/>
                <w:sz w:val="21"/>
                <w:szCs w:val="21"/>
              </w:rPr>
            </w:pPr>
            <w:r>
              <w:rPr>
                <w:rFonts w:ascii="Times New Roman" w:hAnsi="Times New Roman" w:cs="Times New Roman"/>
                <w:sz w:val="21"/>
                <w:szCs w:val="21"/>
              </w:rPr>
              <w:t>雨污分流制。</w:t>
            </w:r>
          </w:p>
          <w:p w14:paraId="3A670872">
            <w:pPr>
              <w:rPr>
                <w:rFonts w:ascii="Times New Roman" w:hAnsi="Times New Roman" w:cs="Times New Roman"/>
                <w:sz w:val="21"/>
                <w:szCs w:val="21"/>
              </w:rPr>
            </w:pPr>
            <w:r>
              <w:rPr>
                <w:rFonts w:ascii="Times New Roman" w:hAnsi="Times New Roman" w:cs="Times New Roman"/>
                <w:sz w:val="21"/>
                <w:szCs w:val="21"/>
              </w:rPr>
              <w:t>雨水经雨水收集口就近流入</w:t>
            </w:r>
            <w:r>
              <w:rPr>
                <w:rFonts w:hint="eastAsia" w:ascii="Times New Roman" w:hAnsi="Times New Roman" w:cs="Times New Roman"/>
                <w:sz w:val="21"/>
                <w:szCs w:val="21"/>
                <w:lang w:val="en-US" w:eastAsia="zh-CN"/>
              </w:rPr>
              <w:t>细河</w:t>
            </w:r>
            <w:r>
              <w:rPr>
                <w:rFonts w:ascii="Times New Roman" w:hAnsi="Times New Roman" w:cs="Times New Roman"/>
                <w:sz w:val="21"/>
                <w:szCs w:val="21"/>
              </w:rPr>
              <w:t>。</w:t>
            </w:r>
          </w:p>
          <w:p w14:paraId="28034187">
            <w:pPr>
              <w:snapToGrid w:val="0"/>
              <w:jc w:val="both"/>
              <w:rPr>
                <w:rFonts w:hint="eastAsia" w:ascii="Times New Roman" w:hAnsi="Times New Roman" w:cs="Times New Roman"/>
                <w:sz w:val="21"/>
                <w:szCs w:val="21"/>
              </w:rPr>
            </w:pPr>
            <w:r>
              <w:rPr>
                <w:rFonts w:hint="eastAsia" w:ascii="Times New Roman" w:hAnsi="Times New Roman" w:cs="Times New Roman"/>
                <w:sz w:val="21"/>
                <w:szCs w:val="21"/>
              </w:rPr>
              <w:t>生产废水全部回用，不外排；</w:t>
            </w:r>
            <w:r>
              <w:rPr>
                <w:rFonts w:ascii="Times New Roman" w:hAnsi="Times New Roman" w:cs="Times New Roman"/>
                <w:sz w:val="21"/>
                <w:szCs w:val="21"/>
              </w:rPr>
              <w:t>生活污水均汇入化粪池，</w:t>
            </w:r>
            <w:r>
              <w:rPr>
                <w:rFonts w:hint="eastAsia" w:ascii="Times New Roman" w:hAnsi="Times New Roman" w:cs="Times New Roman"/>
                <w:sz w:val="21"/>
                <w:szCs w:val="21"/>
                <w:lang w:val="en-US" w:eastAsia="zh-CN"/>
              </w:rPr>
              <w:t>定期清掏</w:t>
            </w:r>
            <w:r>
              <w:rPr>
                <w:rFonts w:hint="eastAsia" w:ascii="Times New Roman" w:hAnsi="Times New Roman" w:cs="Times New Roman"/>
                <w:sz w:val="21"/>
                <w:szCs w:val="21"/>
              </w:rPr>
              <w:t>。</w:t>
            </w:r>
          </w:p>
        </w:tc>
        <w:tc>
          <w:tcPr>
            <w:tcW w:w="1436" w:type="pct"/>
            <w:noWrap w:val="0"/>
            <w:vAlign w:val="center"/>
          </w:tcPr>
          <w:p w14:paraId="43DFB691">
            <w:pPr>
              <w:rPr>
                <w:rFonts w:ascii="Times New Roman" w:hAnsi="Times New Roman" w:cs="Times New Roman"/>
                <w:sz w:val="21"/>
                <w:szCs w:val="21"/>
              </w:rPr>
            </w:pPr>
            <w:r>
              <w:rPr>
                <w:rFonts w:ascii="Times New Roman" w:hAnsi="Times New Roman" w:cs="Times New Roman"/>
                <w:sz w:val="21"/>
                <w:szCs w:val="21"/>
              </w:rPr>
              <w:t>雨污分流制。</w:t>
            </w:r>
          </w:p>
          <w:p w14:paraId="07F1363C">
            <w:pPr>
              <w:rPr>
                <w:rFonts w:ascii="Times New Roman" w:hAnsi="Times New Roman" w:cs="Times New Roman"/>
                <w:sz w:val="21"/>
                <w:szCs w:val="21"/>
              </w:rPr>
            </w:pPr>
            <w:r>
              <w:rPr>
                <w:rFonts w:ascii="Times New Roman" w:hAnsi="Times New Roman" w:cs="Times New Roman"/>
                <w:sz w:val="21"/>
                <w:szCs w:val="21"/>
              </w:rPr>
              <w:t>雨水经雨水收集口就近流入</w:t>
            </w:r>
            <w:r>
              <w:rPr>
                <w:rFonts w:hint="eastAsia" w:ascii="Times New Roman" w:hAnsi="Times New Roman" w:cs="Times New Roman"/>
                <w:sz w:val="21"/>
                <w:szCs w:val="21"/>
                <w:lang w:val="en-US" w:eastAsia="zh-CN"/>
              </w:rPr>
              <w:t>细河</w:t>
            </w:r>
            <w:r>
              <w:rPr>
                <w:rFonts w:ascii="Times New Roman" w:hAnsi="Times New Roman" w:cs="Times New Roman"/>
                <w:sz w:val="21"/>
                <w:szCs w:val="21"/>
              </w:rPr>
              <w:t>。</w:t>
            </w:r>
          </w:p>
          <w:p w14:paraId="05FA3D97">
            <w:pPr>
              <w:snapToGrid w:val="0"/>
              <w:jc w:val="center"/>
              <w:rPr>
                <w:rFonts w:hint="eastAsia" w:ascii="Times New Roman" w:hAnsi="Times New Roman" w:cs="Times New Roman"/>
                <w:sz w:val="21"/>
                <w:szCs w:val="21"/>
              </w:rPr>
            </w:pPr>
            <w:r>
              <w:rPr>
                <w:rFonts w:hint="eastAsia" w:ascii="Times New Roman" w:hAnsi="Times New Roman" w:cs="Times New Roman"/>
                <w:sz w:val="21"/>
                <w:szCs w:val="21"/>
              </w:rPr>
              <w:t>生产废水全部回用，不外排；</w:t>
            </w:r>
            <w:r>
              <w:rPr>
                <w:rFonts w:ascii="Times New Roman" w:hAnsi="Times New Roman" w:cs="Times New Roman"/>
                <w:sz w:val="21"/>
                <w:szCs w:val="21"/>
              </w:rPr>
              <w:t>生活污水均汇入化粪池，</w:t>
            </w:r>
            <w:r>
              <w:rPr>
                <w:rFonts w:hint="eastAsia" w:ascii="Times New Roman" w:hAnsi="Times New Roman" w:cs="Times New Roman"/>
                <w:sz w:val="21"/>
                <w:szCs w:val="21"/>
                <w:lang w:val="en-US" w:eastAsia="zh-CN"/>
              </w:rPr>
              <w:t>定期清掏</w:t>
            </w:r>
            <w:r>
              <w:rPr>
                <w:rFonts w:hint="eastAsia" w:ascii="Times New Roman" w:hAnsi="Times New Roman" w:cs="Times New Roman"/>
                <w:sz w:val="21"/>
                <w:szCs w:val="21"/>
              </w:rPr>
              <w:t>。</w:t>
            </w:r>
          </w:p>
        </w:tc>
        <w:tc>
          <w:tcPr>
            <w:tcW w:w="1436" w:type="pct"/>
            <w:noWrap w:val="0"/>
            <w:vAlign w:val="center"/>
          </w:tcPr>
          <w:p w14:paraId="0EE13AF3">
            <w:pPr>
              <w:snapToGrid w:val="0"/>
              <w:jc w:val="center"/>
              <w:rPr>
                <w:rFonts w:hint="eastAsia" w:ascii="Times New Roman" w:hAnsi="Times New Roman" w:cs="Times New Roman"/>
                <w:sz w:val="21"/>
                <w:szCs w:val="21"/>
              </w:rPr>
            </w:pPr>
            <w:r>
              <w:rPr>
                <w:rFonts w:hint="eastAsia" w:ascii="Times New Roman" w:hAnsi="Times New Roman" w:cs="Times New Roman"/>
                <w:sz w:val="21"/>
                <w:szCs w:val="21"/>
              </w:rPr>
              <w:t>无变化</w:t>
            </w:r>
          </w:p>
        </w:tc>
      </w:tr>
      <w:tr w14:paraId="77F84DE1">
        <w:tblPrEx>
          <w:tblBorders>
            <w:top w:val="thinThickLargeGap" w:color="auto" w:sz="12" w:space="0"/>
            <w:left w:val="none" w:color="auto" w:sz="0" w:space="0"/>
            <w:bottom w:val="thickThinLarge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75" w:type="pct"/>
            <w:vMerge w:val="continue"/>
            <w:noWrap w:val="0"/>
            <w:vAlign w:val="center"/>
          </w:tcPr>
          <w:p w14:paraId="4DD3EF0C">
            <w:pPr>
              <w:snapToGrid w:val="0"/>
              <w:jc w:val="center"/>
              <w:rPr>
                <w:rFonts w:ascii="Times New Roman" w:hAnsi="Times New Roman" w:cs="Times New Roman"/>
                <w:sz w:val="21"/>
                <w:szCs w:val="21"/>
              </w:rPr>
            </w:pPr>
          </w:p>
        </w:tc>
        <w:tc>
          <w:tcPr>
            <w:tcW w:w="452" w:type="pct"/>
            <w:noWrap w:val="0"/>
            <w:vAlign w:val="center"/>
          </w:tcPr>
          <w:p w14:paraId="41DD76BF">
            <w:pPr>
              <w:snapToGrid w:val="0"/>
              <w:jc w:val="center"/>
              <w:rPr>
                <w:rFonts w:hint="eastAsia" w:ascii="Times New Roman" w:hAnsi="Times New Roman" w:cs="Times New Roman"/>
                <w:sz w:val="21"/>
                <w:szCs w:val="21"/>
              </w:rPr>
            </w:pPr>
            <w:r>
              <w:rPr>
                <w:rFonts w:ascii="Times New Roman" w:hAnsi="Times New Roman" w:cs="Times New Roman"/>
                <w:sz w:val="21"/>
                <w:szCs w:val="21"/>
              </w:rPr>
              <w:t>供热</w:t>
            </w:r>
          </w:p>
        </w:tc>
        <w:tc>
          <w:tcPr>
            <w:tcW w:w="1398" w:type="pct"/>
            <w:noWrap w:val="0"/>
            <w:vAlign w:val="center"/>
          </w:tcPr>
          <w:p w14:paraId="0F20CD09">
            <w:pPr>
              <w:snapToGrid w:val="0"/>
              <w:jc w:val="center"/>
              <w:rPr>
                <w:rFonts w:hint="eastAsia" w:ascii="Times New Roman" w:hAnsi="Times New Roman" w:cs="Times New Roman"/>
                <w:sz w:val="21"/>
                <w:szCs w:val="21"/>
              </w:rPr>
            </w:pPr>
            <w:r>
              <w:rPr>
                <w:rFonts w:hint="eastAsia" w:ascii="Times New Roman" w:hAnsi="Times New Roman" w:cs="Times New Roman"/>
                <w:sz w:val="21"/>
                <w:szCs w:val="21"/>
              </w:rPr>
              <w:t>生产车间不采暖，办公楼冬季</w:t>
            </w:r>
            <w:r>
              <w:rPr>
                <w:rFonts w:hint="eastAsia" w:ascii="Times New Roman" w:hAnsi="Times New Roman" w:cs="Times New Roman"/>
                <w:sz w:val="21"/>
                <w:szCs w:val="21"/>
                <w:lang w:val="en-US" w:eastAsia="zh-CN"/>
              </w:rPr>
              <w:t>使用电供暖</w:t>
            </w:r>
            <w:r>
              <w:rPr>
                <w:rFonts w:hint="eastAsia" w:ascii="Times New Roman" w:hAnsi="Times New Roman" w:cs="Times New Roman"/>
                <w:sz w:val="21"/>
                <w:szCs w:val="21"/>
              </w:rPr>
              <w:t>。</w:t>
            </w:r>
          </w:p>
        </w:tc>
        <w:tc>
          <w:tcPr>
            <w:tcW w:w="1436" w:type="pct"/>
            <w:noWrap w:val="0"/>
            <w:vAlign w:val="center"/>
          </w:tcPr>
          <w:p w14:paraId="5EA3E13B">
            <w:pPr>
              <w:snapToGrid w:val="0"/>
              <w:jc w:val="center"/>
              <w:rPr>
                <w:rFonts w:hint="eastAsia" w:ascii="Times New Roman" w:hAnsi="Times New Roman" w:cs="Times New Roman"/>
                <w:sz w:val="21"/>
                <w:szCs w:val="21"/>
              </w:rPr>
            </w:pPr>
            <w:r>
              <w:rPr>
                <w:rFonts w:hint="eastAsia" w:ascii="Times New Roman" w:hAnsi="Times New Roman" w:cs="Times New Roman"/>
                <w:sz w:val="21"/>
                <w:szCs w:val="21"/>
              </w:rPr>
              <w:t>生产车间不采暖，办公楼冬季</w:t>
            </w:r>
            <w:r>
              <w:rPr>
                <w:rFonts w:hint="eastAsia" w:ascii="Times New Roman" w:hAnsi="Times New Roman" w:cs="Times New Roman"/>
                <w:sz w:val="21"/>
                <w:szCs w:val="21"/>
                <w:lang w:val="en-US" w:eastAsia="zh-CN"/>
              </w:rPr>
              <w:t>使用电供暖</w:t>
            </w:r>
            <w:r>
              <w:rPr>
                <w:rFonts w:hint="eastAsia" w:ascii="Times New Roman" w:hAnsi="Times New Roman" w:cs="Times New Roman"/>
                <w:sz w:val="21"/>
                <w:szCs w:val="21"/>
              </w:rPr>
              <w:t>。</w:t>
            </w:r>
          </w:p>
        </w:tc>
        <w:tc>
          <w:tcPr>
            <w:tcW w:w="1436" w:type="pct"/>
            <w:noWrap w:val="0"/>
            <w:vAlign w:val="center"/>
          </w:tcPr>
          <w:p w14:paraId="4DC5C32E">
            <w:pPr>
              <w:snapToGrid w:val="0"/>
              <w:jc w:val="center"/>
              <w:rPr>
                <w:rFonts w:hint="eastAsia" w:ascii="Times New Roman" w:hAnsi="Times New Roman" w:cs="Times New Roman"/>
                <w:sz w:val="21"/>
                <w:szCs w:val="21"/>
              </w:rPr>
            </w:pPr>
            <w:r>
              <w:rPr>
                <w:rFonts w:hint="eastAsia" w:ascii="Times New Roman" w:hAnsi="Times New Roman" w:cs="Times New Roman"/>
                <w:sz w:val="21"/>
                <w:szCs w:val="21"/>
              </w:rPr>
              <w:t>无变化</w:t>
            </w:r>
          </w:p>
        </w:tc>
      </w:tr>
      <w:tr w14:paraId="4D29A2D0">
        <w:tblPrEx>
          <w:tblBorders>
            <w:top w:val="thinThickLargeGap" w:color="auto" w:sz="12" w:space="0"/>
            <w:left w:val="none" w:color="auto" w:sz="0" w:space="0"/>
            <w:bottom w:val="thickThinLarge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75" w:type="pct"/>
            <w:vMerge w:val="continue"/>
            <w:noWrap w:val="0"/>
            <w:vAlign w:val="center"/>
          </w:tcPr>
          <w:p w14:paraId="3BBF79CB">
            <w:pPr>
              <w:snapToGrid w:val="0"/>
              <w:jc w:val="center"/>
              <w:rPr>
                <w:rFonts w:ascii="Times New Roman" w:hAnsi="Times New Roman" w:cs="Times New Roman"/>
                <w:sz w:val="21"/>
                <w:szCs w:val="21"/>
              </w:rPr>
            </w:pPr>
          </w:p>
        </w:tc>
        <w:tc>
          <w:tcPr>
            <w:tcW w:w="452" w:type="pct"/>
            <w:noWrap w:val="0"/>
            <w:vAlign w:val="center"/>
          </w:tcPr>
          <w:p w14:paraId="7D9103FF">
            <w:pPr>
              <w:snapToGrid w:val="0"/>
              <w:jc w:val="center"/>
              <w:rPr>
                <w:rFonts w:hint="eastAsia" w:ascii="Times New Roman" w:hAnsi="Times New Roman" w:cs="Times New Roman"/>
                <w:sz w:val="21"/>
                <w:szCs w:val="21"/>
              </w:rPr>
            </w:pPr>
            <w:r>
              <w:rPr>
                <w:rFonts w:ascii="Times New Roman" w:hAnsi="Times New Roman" w:cs="Times New Roman"/>
                <w:sz w:val="21"/>
                <w:szCs w:val="21"/>
              </w:rPr>
              <w:t>供电</w:t>
            </w:r>
          </w:p>
        </w:tc>
        <w:tc>
          <w:tcPr>
            <w:tcW w:w="1398" w:type="pct"/>
            <w:noWrap w:val="0"/>
            <w:vAlign w:val="center"/>
          </w:tcPr>
          <w:p w14:paraId="04B977DB">
            <w:pPr>
              <w:snapToGrid w:val="0"/>
              <w:jc w:val="center"/>
              <w:rPr>
                <w:rFonts w:hint="eastAsia" w:ascii="Times New Roman" w:hAnsi="Times New Roman" w:cs="Times New Roman"/>
                <w:sz w:val="21"/>
                <w:szCs w:val="21"/>
              </w:rPr>
            </w:pPr>
            <w:r>
              <w:rPr>
                <w:rFonts w:ascii="Times New Roman" w:hAnsi="Times New Roman" w:cs="Times New Roman"/>
                <w:sz w:val="21"/>
                <w:szCs w:val="21"/>
              </w:rPr>
              <w:t>电源来自市政电网。</w:t>
            </w:r>
          </w:p>
        </w:tc>
        <w:tc>
          <w:tcPr>
            <w:tcW w:w="1436" w:type="pct"/>
            <w:noWrap w:val="0"/>
            <w:vAlign w:val="center"/>
          </w:tcPr>
          <w:p w14:paraId="7F59EA6C">
            <w:pPr>
              <w:snapToGrid w:val="0"/>
              <w:jc w:val="center"/>
              <w:rPr>
                <w:rFonts w:hint="eastAsia" w:ascii="Times New Roman" w:hAnsi="Times New Roman" w:cs="Times New Roman"/>
                <w:sz w:val="21"/>
                <w:szCs w:val="21"/>
              </w:rPr>
            </w:pPr>
            <w:r>
              <w:rPr>
                <w:rFonts w:ascii="Times New Roman" w:hAnsi="Times New Roman" w:cs="Times New Roman"/>
                <w:sz w:val="21"/>
                <w:szCs w:val="21"/>
              </w:rPr>
              <w:t>电源来自市政电网。</w:t>
            </w:r>
          </w:p>
        </w:tc>
        <w:tc>
          <w:tcPr>
            <w:tcW w:w="1436" w:type="pct"/>
            <w:noWrap w:val="0"/>
            <w:vAlign w:val="center"/>
          </w:tcPr>
          <w:p w14:paraId="56C69011">
            <w:pPr>
              <w:snapToGrid w:val="0"/>
              <w:jc w:val="center"/>
              <w:rPr>
                <w:rFonts w:hint="eastAsia" w:ascii="Times New Roman" w:hAnsi="Times New Roman" w:cs="Times New Roman"/>
                <w:sz w:val="21"/>
                <w:szCs w:val="21"/>
              </w:rPr>
            </w:pPr>
            <w:r>
              <w:rPr>
                <w:rFonts w:hint="eastAsia" w:ascii="Times New Roman" w:hAnsi="Times New Roman" w:cs="Times New Roman"/>
                <w:sz w:val="21"/>
                <w:szCs w:val="21"/>
              </w:rPr>
              <w:t>无变化</w:t>
            </w:r>
          </w:p>
        </w:tc>
      </w:tr>
      <w:tr w14:paraId="2B88B961">
        <w:tblPrEx>
          <w:tblBorders>
            <w:top w:val="thinThickLargeGap" w:color="auto" w:sz="12" w:space="0"/>
            <w:left w:val="none" w:color="auto" w:sz="0" w:space="0"/>
            <w:bottom w:val="thickThinLarge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75" w:type="pct"/>
            <w:vMerge w:val="restart"/>
            <w:noWrap w:val="0"/>
            <w:vAlign w:val="center"/>
          </w:tcPr>
          <w:p w14:paraId="0E1AFC21">
            <w:pPr>
              <w:snapToGrid w:val="0"/>
              <w:jc w:val="center"/>
              <w:rPr>
                <w:rFonts w:ascii="Times New Roman" w:hAnsi="Times New Roman" w:cs="Times New Roman"/>
                <w:sz w:val="21"/>
                <w:szCs w:val="21"/>
              </w:rPr>
            </w:pPr>
            <w:r>
              <w:rPr>
                <w:rFonts w:ascii="Times New Roman" w:hAnsi="Times New Roman" w:cs="Times New Roman"/>
                <w:sz w:val="21"/>
                <w:szCs w:val="21"/>
              </w:rPr>
              <w:t>环保工程</w:t>
            </w:r>
          </w:p>
        </w:tc>
        <w:tc>
          <w:tcPr>
            <w:tcW w:w="452" w:type="pct"/>
            <w:vMerge w:val="restart"/>
            <w:noWrap w:val="0"/>
            <w:vAlign w:val="center"/>
          </w:tcPr>
          <w:p w14:paraId="466ECB42">
            <w:pPr>
              <w:snapToGrid w:val="0"/>
              <w:jc w:val="center"/>
              <w:rPr>
                <w:rFonts w:ascii="Times New Roman" w:hAnsi="Times New Roman" w:cs="Times New Roman"/>
                <w:sz w:val="21"/>
                <w:szCs w:val="21"/>
              </w:rPr>
            </w:pPr>
            <w:r>
              <w:rPr>
                <w:rFonts w:ascii="Times New Roman" w:hAnsi="Times New Roman" w:cs="Times New Roman"/>
                <w:sz w:val="21"/>
                <w:szCs w:val="21"/>
              </w:rPr>
              <w:t>废气控制</w:t>
            </w:r>
          </w:p>
        </w:tc>
        <w:tc>
          <w:tcPr>
            <w:tcW w:w="1398" w:type="pct"/>
            <w:noWrap w:val="0"/>
            <w:vAlign w:val="center"/>
          </w:tcPr>
          <w:p w14:paraId="2FD1CE5E">
            <w:pPr>
              <w:adjustRightInd w:val="0"/>
              <w:snapToGrid w:val="0"/>
              <w:ind w:right="-62"/>
              <w:jc w:val="center"/>
              <w:textAlignment w:val="baseline"/>
              <w:rPr>
                <w:rFonts w:hint="eastAsia" w:ascii="Times New Roman" w:hAnsi="Times New Roman" w:eastAsia="宋体" w:cs="Times New Roman"/>
                <w:sz w:val="21"/>
                <w:szCs w:val="21"/>
                <w:lang w:val="en-US" w:eastAsia="zh-CN"/>
              </w:rPr>
            </w:pPr>
            <w:r>
              <w:rPr>
                <w:rFonts w:hint="eastAsia" w:ascii="Times New Roman" w:hAnsi="Times New Roman" w:cs="Times New Roman"/>
                <w:bCs/>
                <w:sz w:val="21"/>
                <w:szCs w:val="21"/>
                <w:lang w:val="en-US" w:eastAsia="zh-CN"/>
              </w:rPr>
              <w:t>烧结机机头废气</w:t>
            </w:r>
            <w:r>
              <w:rPr>
                <w:rFonts w:hint="eastAsia" w:ascii="Times New Roman" w:hAnsi="Times New Roman" w:cs="Times New Roman"/>
                <w:bCs/>
                <w:sz w:val="21"/>
                <w:szCs w:val="21"/>
              </w:rPr>
              <w:t>：</w:t>
            </w:r>
            <w:r>
              <w:rPr>
                <w:rFonts w:hint="eastAsia" w:ascii="Times New Roman" w:hAnsi="Times New Roman" w:cs="Times New Roman"/>
                <w:sz w:val="21"/>
                <w:szCs w:val="21"/>
              </w:rPr>
              <w:t>采用</w:t>
            </w:r>
            <w:r>
              <w:rPr>
                <w:rFonts w:hint="eastAsia" w:ascii="Times New Roman" w:hAnsi="Times New Roman" w:cs="Times New Roman"/>
                <w:sz w:val="21"/>
                <w:szCs w:val="21"/>
                <w:lang w:val="en-US" w:eastAsia="zh-CN"/>
              </w:rPr>
              <w:t>陶瓷多管除尘+双碱法脱硫处理后</w:t>
            </w:r>
            <w:r>
              <w:rPr>
                <w:rFonts w:ascii="Times New Roman" w:hAnsi="Times New Roman" w:cs="Times New Roman"/>
                <w:sz w:val="21"/>
                <w:szCs w:val="21"/>
              </w:rPr>
              <w:t>，由4</w:t>
            </w:r>
            <w:r>
              <w:rPr>
                <w:rFonts w:hint="eastAsia" w:ascii="Times New Roman" w:hAnsi="Times New Roman" w:cs="Times New Roman"/>
                <w:sz w:val="21"/>
                <w:szCs w:val="21"/>
                <w:lang w:val="en-US" w:eastAsia="zh-CN"/>
              </w:rPr>
              <w:t>2</w:t>
            </w:r>
            <w:r>
              <w:rPr>
                <w:rFonts w:ascii="Times New Roman" w:hAnsi="Times New Roman" w:cs="Times New Roman"/>
                <w:sz w:val="21"/>
                <w:szCs w:val="21"/>
              </w:rPr>
              <w:t>m高排气筒DA00</w:t>
            </w:r>
            <w:r>
              <w:rPr>
                <w:rFonts w:hint="eastAsia" w:ascii="Times New Roman" w:hAnsi="Times New Roman" w:cs="Times New Roman"/>
                <w:sz w:val="21"/>
                <w:szCs w:val="21"/>
                <w:lang w:val="en-US" w:eastAsia="zh-CN"/>
              </w:rPr>
              <w:t>2</w:t>
            </w:r>
            <w:r>
              <w:rPr>
                <w:rFonts w:ascii="Times New Roman" w:hAnsi="Times New Roman" w:cs="Times New Roman"/>
                <w:sz w:val="21"/>
                <w:szCs w:val="21"/>
              </w:rPr>
              <w:t>有组织排放</w:t>
            </w:r>
            <w:r>
              <w:rPr>
                <w:rFonts w:ascii="Times New Roman" w:hAnsi="Times New Roman" w:cs="Times New Roman"/>
                <w:bCs/>
                <w:sz w:val="21"/>
                <w:szCs w:val="21"/>
              </w:rPr>
              <w:t>，安装CEMS。</w:t>
            </w:r>
          </w:p>
        </w:tc>
        <w:tc>
          <w:tcPr>
            <w:tcW w:w="1436" w:type="pct"/>
            <w:noWrap w:val="0"/>
            <w:vAlign w:val="center"/>
          </w:tcPr>
          <w:p w14:paraId="69DED3B3">
            <w:pPr>
              <w:adjustRightInd w:val="0"/>
              <w:snapToGrid w:val="0"/>
              <w:ind w:right="-62" w:rightChars="0"/>
              <w:jc w:val="center"/>
              <w:textAlignment w:val="baseline"/>
              <w:rPr>
                <w:rFonts w:ascii="Times New Roman" w:hAnsi="Times New Roman" w:cs="Times New Roman"/>
                <w:sz w:val="21"/>
                <w:szCs w:val="21"/>
              </w:rPr>
            </w:pPr>
            <w:r>
              <w:rPr>
                <w:rFonts w:hint="eastAsia" w:ascii="Times New Roman" w:hAnsi="Times New Roman" w:cs="Times New Roman"/>
                <w:bCs/>
                <w:sz w:val="21"/>
                <w:szCs w:val="21"/>
                <w:lang w:val="en-US" w:eastAsia="zh-CN"/>
              </w:rPr>
              <w:t>烧结机机头废气</w:t>
            </w:r>
            <w:r>
              <w:rPr>
                <w:rFonts w:hint="eastAsia" w:ascii="Times New Roman" w:hAnsi="Times New Roman" w:cs="Times New Roman"/>
                <w:bCs/>
                <w:sz w:val="21"/>
                <w:szCs w:val="21"/>
              </w:rPr>
              <w:t>：</w:t>
            </w:r>
            <w:r>
              <w:rPr>
                <w:rFonts w:hint="eastAsia" w:ascii="Times New Roman" w:hAnsi="Times New Roman" w:cs="Times New Roman"/>
                <w:sz w:val="21"/>
                <w:szCs w:val="21"/>
              </w:rPr>
              <w:t>采用</w:t>
            </w:r>
            <w:r>
              <w:rPr>
                <w:rFonts w:hint="eastAsia" w:ascii="Times New Roman" w:hAnsi="Times New Roman" w:cs="Times New Roman"/>
                <w:sz w:val="21"/>
                <w:szCs w:val="21"/>
                <w:lang w:val="en-US" w:eastAsia="zh-CN"/>
              </w:rPr>
              <w:t>湿电除尘+石灰石-石膏法脱硫处理后</w:t>
            </w:r>
            <w:r>
              <w:rPr>
                <w:rFonts w:ascii="Times New Roman" w:hAnsi="Times New Roman" w:cs="Times New Roman"/>
                <w:sz w:val="21"/>
                <w:szCs w:val="21"/>
              </w:rPr>
              <w:t>，由4</w:t>
            </w:r>
            <w:r>
              <w:rPr>
                <w:rFonts w:hint="eastAsia" w:ascii="Times New Roman" w:hAnsi="Times New Roman" w:cs="Times New Roman"/>
                <w:sz w:val="21"/>
                <w:szCs w:val="21"/>
                <w:lang w:val="en-US" w:eastAsia="zh-CN"/>
              </w:rPr>
              <w:t>2</w:t>
            </w:r>
            <w:r>
              <w:rPr>
                <w:rFonts w:ascii="Times New Roman" w:hAnsi="Times New Roman" w:cs="Times New Roman"/>
                <w:sz w:val="21"/>
                <w:szCs w:val="21"/>
              </w:rPr>
              <w:t>m高排气筒DA00</w:t>
            </w:r>
            <w:r>
              <w:rPr>
                <w:rFonts w:hint="eastAsia" w:ascii="Times New Roman" w:hAnsi="Times New Roman" w:cs="Times New Roman"/>
                <w:sz w:val="21"/>
                <w:szCs w:val="21"/>
                <w:lang w:val="en-US" w:eastAsia="zh-CN"/>
              </w:rPr>
              <w:t>2</w:t>
            </w:r>
            <w:r>
              <w:rPr>
                <w:rFonts w:ascii="Times New Roman" w:hAnsi="Times New Roman" w:cs="Times New Roman"/>
                <w:sz w:val="21"/>
                <w:szCs w:val="21"/>
              </w:rPr>
              <w:t>有组织排放</w:t>
            </w:r>
            <w:r>
              <w:rPr>
                <w:rFonts w:ascii="Times New Roman" w:hAnsi="Times New Roman" w:cs="Times New Roman"/>
                <w:bCs/>
                <w:sz w:val="21"/>
                <w:szCs w:val="21"/>
              </w:rPr>
              <w:t>，安装CEMS。</w:t>
            </w:r>
          </w:p>
        </w:tc>
        <w:tc>
          <w:tcPr>
            <w:tcW w:w="1436" w:type="pct"/>
            <w:noWrap w:val="0"/>
            <w:vAlign w:val="center"/>
          </w:tcPr>
          <w:p w14:paraId="542AA7BD">
            <w:pPr>
              <w:jc w:val="center"/>
              <w:rPr>
                <w:rFonts w:hint="eastAsia" w:ascii="Times New Roman" w:hAnsi="Times New Roman" w:cs="Times New Roman"/>
                <w:sz w:val="21"/>
                <w:szCs w:val="21"/>
              </w:rPr>
            </w:pPr>
            <w:r>
              <w:rPr>
                <w:rFonts w:hint="eastAsia" w:ascii="Times New Roman" w:hAnsi="Times New Roman" w:cs="Times New Roman"/>
                <w:sz w:val="21"/>
                <w:szCs w:val="21"/>
              </w:rPr>
              <w:t>无变化</w:t>
            </w:r>
          </w:p>
        </w:tc>
      </w:tr>
      <w:tr w14:paraId="5C431BBC">
        <w:tblPrEx>
          <w:tblBorders>
            <w:top w:val="thinThickLargeGap" w:color="auto" w:sz="12" w:space="0"/>
            <w:left w:val="none" w:color="auto" w:sz="0" w:space="0"/>
            <w:bottom w:val="thickThinLarge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75" w:type="pct"/>
            <w:vMerge w:val="continue"/>
            <w:noWrap w:val="0"/>
            <w:vAlign w:val="center"/>
          </w:tcPr>
          <w:p w14:paraId="083515BB">
            <w:pPr>
              <w:snapToGrid w:val="0"/>
              <w:jc w:val="center"/>
              <w:rPr>
                <w:rFonts w:ascii="Times New Roman" w:hAnsi="Times New Roman" w:cs="Times New Roman"/>
                <w:sz w:val="21"/>
                <w:szCs w:val="21"/>
              </w:rPr>
            </w:pPr>
          </w:p>
        </w:tc>
        <w:tc>
          <w:tcPr>
            <w:tcW w:w="452" w:type="pct"/>
            <w:vMerge w:val="continue"/>
            <w:noWrap w:val="0"/>
            <w:vAlign w:val="center"/>
          </w:tcPr>
          <w:p w14:paraId="5D231DDC">
            <w:pPr>
              <w:snapToGrid w:val="0"/>
              <w:jc w:val="center"/>
              <w:rPr>
                <w:rFonts w:ascii="Times New Roman" w:hAnsi="Times New Roman" w:cs="Times New Roman"/>
                <w:sz w:val="21"/>
                <w:szCs w:val="21"/>
              </w:rPr>
            </w:pPr>
          </w:p>
        </w:tc>
        <w:tc>
          <w:tcPr>
            <w:tcW w:w="1398" w:type="pct"/>
            <w:noWrap w:val="0"/>
            <w:vAlign w:val="center"/>
          </w:tcPr>
          <w:p w14:paraId="2412D258">
            <w:pPr>
              <w:adjustRightInd w:val="0"/>
              <w:snapToGrid w:val="0"/>
              <w:ind w:right="-62"/>
              <w:jc w:val="center"/>
              <w:textAlignment w:val="baseline"/>
              <w:rPr>
                <w:rFonts w:hint="eastAsia" w:ascii="Times New Roman" w:hAnsi="Times New Roman" w:cs="Times New Roman"/>
                <w:bCs/>
                <w:sz w:val="21"/>
                <w:szCs w:val="21"/>
              </w:rPr>
            </w:pPr>
            <w:r>
              <w:rPr>
                <w:rFonts w:hint="eastAsia" w:ascii="Times New Roman" w:hAnsi="Times New Roman" w:cs="Times New Roman"/>
                <w:bCs/>
                <w:sz w:val="21"/>
                <w:szCs w:val="21"/>
                <w:lang w:val="en-US" w:eastAsia="zh-CN"/>
              </w:rPr>
              <w:t>烧结机机尾废气</w:t>
            </w:r>
            <w:r>
              <w:rPr>
                <w:rFonts w:hint="eastAsia" w:ascii="Times New Roman" w:hAnsi="Times New Roman" w:cs="Times New Roman"/>
                <w:bCs/>
                <w:sz w:val="21"/>
                <w:szCs w:val="21"/>
              </w:rPr>
              <w:t>：</w:t>
            </w:r>
            <w:r>
              <w:rPr>
                <w:rFonts w:hint="eastAsia" w:ascii="Times New Roman" w:hAnsi="Times New Roman" w:cs="Times New Roman"/>
                <w:sz w:val="21"/>
                <w:szCs w:val="21"/>
              </w:rPr>
              <w:t>采用</w:t>
            </w:r>
            <w:r>
              <w:rPr>
                <w:rFonts w:ascii="Times New Roman" w:hAnsi="Times New Roman" w:cs="Times New Roman"/>
                <w:sz w:val="21"/>
                <w:szCs w:val="21"/>
              </w:rPr>
              <w:t>布袋除尘器净化处理后，由</w:t>
            </w:r>
            <w:r>
              <w:rPr>
                <w:rFonts w:hint="eastAsia" w:ascii="Times New Roman" w:hAnsi="Times New Roman" w:cs="Times New Roman"/>
                <w:sz w:val="21"/>
                <w:szCs w:val="21"/>
                <w:lang w:val="en-US" w:eastAsia="zh-CN"/>
              </w:rPr>
              <w:t>15</w:t>
            </w:r>
            <w:r>
              <w:rPr>
                <w:rFonts w:ascii="Times New Roman" w:hAnsi="Times New Roman" w:cs="Times New Roman"/>
                <w:sz w:val="21"/>
                <w:szCs w:val="21"/>
              </w:rPr>
              <w:t>m高排气筒DA00</w:t>
            </w:r>
            <w:r>
              <w:rPr>
                <w:rFonts w:hint="eastAsia" w:ascii="Times New Roman" w:hAnsi="Times New Roman" w:cs="Times New Roman"/>
                <w:sz w:val="21"/>
                <w:szCs w:val="21"/>
                <w:lang w:val="en-US" w:eastAsia="zh-CN"/>
              </w:rPr>
              <w:t>5</w:t>
            </w:r>
            <w:r>
              <w:rPr>
                <w:rFonts w:ascii="Times New Roman" w:hAnsi="Times New Roman" w:cs="Times New Roman"/>
                <w:sz w:val="21"/>
                <w:szCs w:val="21"/>
              </w:rPr>
              <w:t>有组织排放</w:t>
            </w:r>
            <w:r>
              <w:rPr>
                <w:rFonts w:ascii="Times New Roman" w:hAnsi="Times New Roman" w:cs="Times New Roman"/>
                <w:bCs/>
                <w:sz w:val="21"/>
                <w:szCs w:val="21"/>
              </w:rPr>
              <w:t>，</w:t>
            </w:r>
            <w:r>
              <w:rPr>
                <w:rFonts w:ascii="Times New Roman" w:hAnsi="Times New Roman" w:cs="Times New Roman"/>
                <w:bCs/>
                <w:sz w:val="21"/>
                <w:szCs w:val="21"/>
                <w:highlight w:val="yellow"/>
              </w:rPr>
              <w:t>安装CEMS。</w:t>
            </w:r>
          </w:p>
        </w:tc>
        <w:tc>
          <w:tcPr>
            <w:tcW w:w="1436" w:type="pct"/>
            <w:noWrap w:val="0"/>
            <w:vAlign w:val="center"/>
          </w:tcPr>
          <w:p w14:paraId="60CF4A5A">
            <w:pPr>
              <w:adjustRightInd w:val="0"/>
              <w:snapToGrid w:val="0"/>
              <w:ind w:right="-62" w:rightChars="0"/>
              <w:jc w:val="center"/>
              <w:textAlignment w:val="baseline"/>
              <w:rPr>
                <w:rFonts w:hint="eastAsia" w:ascii="Times New Roman" w:hAnsi="Times New Roman" w:cs="Times New Roman"/>
                <w:bCs/>
                <w:sz w:val="21"/>
                <w:szCs w:val="21"/>
              </w:rPr>
            </w:pPr>
            <w:r>
              <w:rPr>
                <w:rFonts w:hint="eastAsia" w:ascii="Times New Roman" w:hAnsi="Times New Roman" w:cs="Times New Roman"/>
                <w:bCs/>
                <w:sz w:val="21"/>
                <w:szCs w:val="21"/>
                <w:lang w:val="en-US" w:eastAsia="zh-CN"/>
              </w:rPr>
              <w:t>烧结机机尾废气</w:t>
            </w:r>
            <w:r>
              <w:rPr>
                <w:rFonts w:hint="eastAsia" w:ascii="Times New Roman" w:hAnsi="Times New Roman" w:cs="Times New Roman"/>
                <w:bCs/>
                <w:sz w:val="21"/>
                <w:szCs w:val="21"/>
              </w:rPr>
              <w:t>：</w:t>
            </w:r>
            <w:r>
              <w:rPr>
                <w:rFonts w:hint="eastAsia" w:ascii="Times New Roman" w:hAnsi="Times New Roman" w:cs="Times New Roman"/>
                <w:sz w:val="21"/>
                <w:szCs w:val="21"/>
              </w:rPr>
              <w:t>采用</w:t>
            </w:r>
            <w:r>
              <w:rPr>
                <w:rFonts w:ascii="Times New Roman" w:hAnsi="Times New Roman" w:cs="Times New Roman"/>
                <w:sz w:val="21"/>
                <w:szCs w:val="21"/>
              </w:rPr>
              <w:t>布袋除尘器净化处理后，由</w:t>
            </w:r>
            <w:r>
              <w:rPr>
                <w:rFonts w:hint="eastAsia" w:ascii="Times New Roman" w:hAnsi="Times New Roman" w:cs="Times New Roman"/>
                <w:sz w:val="21"/>
                <w:szCs w:val="21"/>
                <w:lang w:val="en-US" w:eastAsia="zh-CN"/>
              </w:rPr>
              <w:t>15</w:t>
            </w:r>
            <w:r>
              <w:rPr>
                <w:rFonts w:ascii="Times New Roman" w:hAnsi="Times New Roman" w:cs="Times New Roman"/>
                <w:sz w:val="21"/>
                <w:szCs w:val="21"/>
              </w:rPr>
              <w:t>m高排气筒DA00</w:t>
            </w:r>
            <w:r>
              <w:rPr>
                <w:rFonts w:hint="eastAsia" w:ascii="Times New Roman" w:hAnsi="Times New Roman" w:cs="Times New Roman"/>
                <w:sz w:val="21"/>
                <w:szCs w:val="21"/>
                <w:lang w:val="en-US" w:eastAsia="zh-CN"/>
              </w:rPr>
              <w:t>5</w:t>
            </w:r>
            <w:r>
              <w:rPr>
                <w:rFonts w:ascii="Times New Roman" w:hAnsi="Times New Roman" w:cs="Times New Roman"/>
                <w:sz w:val="21"/>
                <w:szCs w:val="21"/>
              </w:rPr>
              <w:t>有组织排放</w:t>
            </w:r>
            <w:r>
              <w:rPr>
                <w:rFonts w:ascii="Times New Roman" w:hAnsi="Times New Roman" w:cs="Times New Roman"/>
                <w:bCs/>
                <w:sz w:val="21"/>
                <w:szCs w:val="21"/>
              </w:rPr>
              <w:t>，</w:t>
            </w:r>
            <w:r>
              <w:rPr>
                <w:rFonts w:ascii="Times New Roman" w:hAnsi="Times New Roman" w:cs="Times New Roman"/>
                <w:bCs/>
                <w:sz w:val="21"/>
                <w:szCs w:val="21"/>
                <w:highlight w:val="yellow"/>
              </w:rPr>
              <w:t>安装CEMS。</w:t>
            </w:r>
          </w:p>
        </w:tc>
        <w:tc>
          <w:tcPr>
            <w:tcW w:w="1436" w:type="pct"/>
            <w:noWrap w:val="0"/>
            <w:vAlign w:val="center"/>
          </w:tcPr>
          <w:p w14:paraId="583EAEE1">
            <w:pPr>
              <w:jc w:val="center"/>
              <w:rPr>
                <w:rFonts w:hint="eastAsia" w:ascii="Times New Roman" w:hAnsi="Times New Roman" w:cs="Times New Roman"/>
                <w:sz w:val="21"/>
                <w:szCs w:val="21"/>
              </w:rPr>
            </w:pPr>
            <w:r>
              <w:rPr>
                <w:rFonts w:hint="eastAsia" w:ascii="Times New Roman" w:hAnsi="Times New Roman" w:cs="Times New Roman"/>
                <w:sz w:val="21"/>
                <w:szCs w:val="21"/>
              </w:rPr>
              <w:t>无变化</w:t>
            </w:r>
          </w:p>
        </w:tc>
      </w:tr>
      <w:tr w14:paraId="2AF84EFE">
        <w:tblPrEx>
          <w:tblBorders>
            <w:top w:val="thinThickLargeGap" w:color="auto" w:sz="12" w:space="0"/>
            <w:left w:val="none" w:color="auto" w:sz="0" w:space="0"/>
            <w:bottom w:val="thickThinLarge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75" w:type="pct"/>
            <w:vMerge w:val="continue"/>
            <w:noWrap w:val="0"/>
            <w:vAlign w:val="center"/>
          </w:tcPr>
          <w:p w14:paraId="55DD8C12">
            <w:pPr>
              <w:snapToGrid w:val="0"/>
              <w:jc w:val="center"/>
              <w:rPr>
                <w:rFonts w:ascii="Times New Roman" w:hAnsi="Times New Roman" w:cs="Times New Roman"/>
                <w:sz w:val="21"/>
                <w:szCs w:val="21"/>
              </w:rPr>
            </w:pPr>
          </w:p>
        </w:tc>
        <w:tc>
          <w:tcPr>
            <w:tcW w:w="452" w:type="pct"/>
            <w:vMerge w:val="continue"/>
            <w:noWrap w:val="0"/>
            <w:vAlign w:val="center"/>
          </w:tcPr>
          <w:p w14:paraId="36FC712A">
            <w:pPr>
              <w:snapToGrid w:val="0"/>
              <w:jc w:val="center"/>
              <w:rPr>
                <w:rFonts w:ascii="Times New Roman" w:hAnsi="Times New Roman" w:cs="Times New Roman"/>
                <w:sz w:val="21"/>
                <w:szCs w:val="21"/>
              </w:rPr>
            </w:pPr>
          </w:p>
        </w:tc>
        <w:tc>
          <w:tcPr>
            <w:tcW w:w="1398" w:type="pct"/>
            <w:noWrap w:val="0"/>
            <w:vAlign w:val="center"/>
          </w:tcPr>
          <w:p w14:paraId="01DD6FA4">
            <w:pPr>
              <w:adjustRightInd w:val="0"/>
              <w:snapToGrid w:val="0"/>
              <w:ind w:right="-62"/>
              <w:jc w:val="center"/>
              <w:textAlignment w:val="baseline"/>
              <w:rPr>
                <w:rFonts w:hint="eastAsia" w:ascii="Times New Roman" w:hAnsi="Times New Roman" w:cs="Times New Roman"/>
                <w:bCs/>
                <w:sz w:val="21"/>
                <w:szCs w:val="21"/>
              </w:rPr>
            </w:pPr>
            <w:r>
              <w:rPr>
                <w:rFonts w:hint="eastAsia" w:ascii="Times New Roman" w:hAnsi="Times New Roman" w:cs="Times New Roman"/>
                <w:bCs/>
                <w:sz w:val="21"/>
                <w:szCs w:val="21"/>
                <w:lang w:val="en-US" w:eastAsia="zh-CN"/>
              </w:rPr>
              <w:t>球团竖炉废气</w:t>
            </w:r>
            <w:r>
              <w:rPr>
                <w:rFonts w:hint="eastAsia" w:ascii="Times New Roman" w:hAnsi="Times New Roman" w:cs="Times New Roman"/>
                <w:bCs/>
                <w:sz w:val="21"/>
                <w:szCs w:val="21"/>
              </w:rPr>
              <w:t>：废气经</w:t>
            </w:r>
            <w:r>
              <w:rPr>
                <w:rFonts w:hint="eastAsia" w:ascii="Times New Roman" w:hAnsi="Times New Roman" w:cs="Times New Roman"/>
                <w:bCs/>
                <w:sz w:val="21"/>
                <w:szCs w:val="21"/>
                <w:lang w:val="en-US" w:eastAsia="zh-CN"/>
              </w:rPr>
              <w:t>地下水平烟道降尘</w:t>
            </w:r>
            <w:r>
              <w:rPr>
                <w:rFonts w:hint="eastAsia" w:ascii="Times New Roman" w:hAnsi="Times New Roman" w:cs="Times New Roman"/>
                <w:bCs/>
                <w:sz w:val="21"/>
                <w:szCs w:val="21"/>
              </w:rPr>
              <w:t>，由</w:t>
            </w:r>
            <w:r>
              <w:rPr>
                <w:rFonts w:ascii="Times New Roman" w:hAnsi="Times New Roman" w:cs="Times New Roman"/>
                <w:bCs/>
                <w:sz w:val="21"/>
                <w:szCs w:val="21"/>
              </w:rPr>
              <w:t>1</w:t>
            </w:r>
            <w:r>
              <w:rPr>
                <w:rFonts w:hint="eastAsia" w:ascii="Times New Roman" w:hAnsi="Times New Roman" w:cs="Times New Roman"/>
                <w:bCs/>
                <w:sz w:val="21"/>
                <w:szCs w:val="21"/>
                <w:lang w:val="en-US" w:eastAsia="zh-CN"/>
              </w:rPr>
              <w:t>5</w:t>
            </w:r>
            <w:r>
              <w:rPr>
                <w:rFonts w:ascii="Times New Roman" w:hAnsi="Times New Roman" w:cs="Times New Roman"/>
                <w:bCs/>
                <w:sz w:val="21"/>
                <w:szCs w:val="21"/>
              </w:rPr>
              <w:t>m高排气筒</w:t>
            </w:r>
            <w:r>
              <w:rPr>
                <w:rFonts w:hint="eastAsia" w:ascii="Times New Roman" w:hAnsi="Times New Roman" w:cs="Times New Roman"/>
                <w:bCs/>
                <w:sz w:val="21"/>
                <w:szCs w:val="21"/>
              </w:rPr>
              <w:t>DA00</w:t>
            </w:r>
            <w:r>
              <w:rPr>
                <w:rFonts w:hint="eastAsia" w:ascii="Times New Roman" w:hAnsi="Times New Roman" w:cs="Times New Roman"/>
                <w:bCs/>
                <w:sz w:val="21"/>
                <w:szCs w:val="21"/>
                <w:lang w:val="en-US" w:eastAsia="zh-CN"/>
              </w:rPr>
              <w:t>11</w:t>
            </w:r>
            <w:r>
              <w:rPr>
                <w:rFonts w:ascii="Times New Roman" w:hAnsi="Times New Roman" w:cs="Times New Roman"/>
                <w:bCs/>
                <w:sz w:val="21"/>
                <w:szCs w:val="21"/>
              </w:rPr>
              <w:t>排放，安装CEMS</w:t>
            </w:r>
            <w:r>
              <w:rPr>
                <w:rFonts w:hint="eastAsia" w:ascii="Times New Roman" w:hAnsi="Times New Roman" w:cs="Times New Roman"/>
                <w:bCs/>
                <w:sz w:val="21"/>
                <w:szCs w:val="21"/>
              </w:rPr>
              <w:t>。</w:t>
            </w:r>
          </w:p>
        </w:tc>
        <w:tc>
          <w:tcPr>
            <w:tcW w:w="1436" w:type="pct"/>
            <w:noWrap w:val="0"/>
            <w:vAlign w:val="center"/>
          </w:tcPr>
          <w:p w14:paraId="2B0B591D">
            <w:pPr>
              <w:jc w:val="center"/>
              <w:rPr>
                <w:rFonts w:hint="eastAsia" w:ascii="Times New Roman" w:hAnsi="Times New Roman" w:cs="Times New Roman"/>
                <w:bCs/>
                <w:sz w:val="21"/>
                <w:szCs w:val="21"/>
              </w:rPr>
            </w:pPr>
            <w:r>
              <w:rPr>
                <w:rFonts w:hint="eastAsia" w:ascii="Times New Roman" w:hAnsi="Times New Roman" w:cs="Times New Roman"/>
                <w:bCs/>
                <w:sz w:val="21"/>
                <w:szCs w:val="21"/>
                <w:lang w:val="en-US" w:eastAsia="zh-CN"/>
              </w:rPr>
              <w:t>球团竖炉废气</w:t>
            </w:r>
            <w:r>
              <w:rPr>
                <w:rFonts w:hint="eastAsia" w:ascii="Times New Roman" w:hAnsi="Times New Roman" w:cs="Times New Roman"/>
                <w:bCs/>
                <w:sz w:val="21"/>
                <w:szCs w:val="21"/>
              </w:rPr>
              <w:t>：废气</w:t>
            </w:r>
            <w:r>
              <w:rPr>
                <w:rFonts w:hint="eastAsia" w:ascii="Times New Roman" w:hAnsi="Times New Roman" w:cs="Times New Roman"/>
                <w:sz w:val="21"/>
                <w:szCs w:val="21"/>
              </w:rPr>
              <w:t>采用</w:t>
            </w:r>
            <w:r>
              <w:rPr>
                <w:rFonts w:hint="eastAsia" w:ascii="Times New Roman" w:hAnsi="Times New Roman" w:cs="Times New Roman"/>
                <w:sz w:val="21"/>
                <w:szCs w:val="21"/>
                <w:lang w:val="en-US" w:eastAsia="zh-CN"/>
              </w:rPr>
              <w:t>湿电除尘+石灰石-石膏法脱硫处理后</w:t>
            </w:r>
            <w:r>
              <w:rPr>
                <w:rFonts w:hint="eastAsia" w:ascii="Times New Roman" w:hAnsi="Times New Roman" w:cs="Times New Roman"/>
                <w:bCs/>
                <w:sz w:val="21"/>
                <w:szCs w:val="21"/>
              </w:rPr>
              <w:t>，由</w:t>
            </w:r>
            <w:r>
              <w:rPr>
                <w:rFonts w:ascii="Times New Roman" w:hAnsi="Times New Roman" w:cs="Times New Roman"/>
                <w:bCs/>
                <w:sz w:val="21"/>
                <w:szCs w:val="21"/>
              </w:rPr>
              <w:t>1</w:t>
            </w:r>
            <w:r>
              <w:rPr>
                <w:rFonts w:hint="eastAsia" w:ascii="Times New Roman" w:hAnsi="Times New Roman" w:cs="Times New Roman"/>
                <w:bCs/>
                <w:sz w:val="21"/>
                <w:szCs w:val="21"/>
                <w:lang w:val="en-US" w:eastAsia="zh-CN"/>
              </w:rPr>
              <w:t>5</w:t>
            </w:r>
            <w:r>
              <w:rPr>
                <w:rFonts w:ascii="Times New Roman" w:hAnsi="Times New Roman" w:cs="Times New Roman"/>
                <w:bCs/>
                <w:sz w:val="21"/>
                <w:szCs w:val="21"/>
              </w:rPr>
              <w:t>m高排气筒</w:t>
            </w:r>
            <w:r>
              <w:rPr>
                <w:rFonts w:hint="eastAsia" w:ascii="Times New Roman" w:hAnsi="Times New Roman" w:cs="Times New Roman"/>
                <w:bCs/>
                <w:sz w:val="21"/>
                <w:szCs w:val="21"/>
              </w:rPr>
              <w:t>DA00</w:t>
            </w:r>
            <w:r>
              <w:rPr>
                <w:rFonts w:hint="eastAsia" w:ascii="Times New Roman" w:hAnsi="Times New Roman" w:cs="Times New Roman"/>
                <w:bCs/>
                <w:sz w:val="21"/>
                <w:szCs w:val="21"/>
                <w:lang w:val="en-US" w:eastAsia="zh-CN"/>
              </w:rPr>
              <w:t>11</w:t>
            </w:r>
            <w:r>
              <w:rPr>
                <w:rFonts w:ascii="Times New Roman" w:hAnsi="Times New Roman" w:cs="Times New Roman"/>
                <w:bCs/>
                <w:sz w:val="21"/>
                <w:szCs w:val="21"/>
              </w:rPr>
              <w:t>排放，安装CEMS</w:t>
            </w:r>
            <w:r>
              <w:rPr>
                <w:rFonts w:hint="eastAsia" w:ascii="Times New Roman" w:hAnsi="Times New Roman" w:cs="Times New Roman"/>
                <w:bCs/>
                <w:sz w:val="21"/>
                <w:szCs w:val="21"/>
              </w:rPr>
              <w:t>。</w:t>
            </w:r>
          </w:p>
        </w:tc>
        <w:tc>
          <w:tcPr>
            <w:tcW w:w="1436" w:type="pct"/>
            <w:noWrap w:val="0"/>
            <w:vAlign w:val="center"/>
          </w:tcPr>
          <w:p w14:paraId="06FA05BD">
            <w:pPr>
              <w:jc w:val="center"/>
              <w:rPr>
                <w:rFonts w:hint="eastAsia" w:ascii="Times New Roman" w:hAnsi="Times New Roman" w:cs="Times New Roman"/>
                <w:sz w:val="21"/>
                <w:szCs w:val="21"/>
              </w:rPr>
            </w:pPr>
            <w:r>
              <w:rPr>
                <w:rFonts w:hint="eastAsia" w:ascii="Times New Roman" w:hAnsi="Times New Roman" w:cs="Times New Roman"/>
                <w:sz w:val="21"/>
                <w:szCs w:val="21"/>
                <w:lang w:val="en-US" w:eastAsia="zh-CN"/>
              </w:rPr>
              <w:t>增加除尘、脱硫、脱硝设备</w:t>
            </w:r>
            <w:r>
              <w:rPr>
                <w:rFonts w:ascii="Times New Roman" w:hAnsi="Times New Roman" w:cs="Times New Roman"/>
                <w:sz w:val="21"/>
                <w:szCs w:val="21"/>
              </w:rPr>
              <w:t>。</w:t>
            </w:r>
          </w:p>
        </w:tc>
      </w:tr>
      <w:tr w14:paraId="30A2F3AE">
        <w:tblPrEx>
          <w:tblBorders>
            <w:top w:val="thinThickLargeGap" w:color="auto" w:sz="12" w:space="0"/>
            <w:left w:val="none" w:color="auto" w:sz="0" w:space="0"/>
            <w:bottom w:val="thickThinLarge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75" w:type="pct"/>
            <w:vMerge w:val="continue"/>
            <w:noWrap w:val="0"/>
            <w:vAlign w:val="center"/>
          </w:tcPr>
          <w:p w14:paraId="51A7DD04">
            <w:pPr>
              <w:snapToGrid w:val="0"/>
              <w:jc w:val="center"/>
              <w:rPr>
                <w:rFonts w:ascii="Times New Roman" w:hAnsi="Times New Roman" w:cs="Times New Roman"/>
                <w:sz w:val="21"/>
                <w:szCs w:val="21"/>
              </w:rPr>
            </w:pPr>
          </w:p>
        </w:tc>
        <w:tc>
          <w:tcPr>
            <w:tcW w:w="452" w:type="pct"/>
            <w:vMerge w:val="continue"/>
            <w:noWrap w:val="0"/>
            <w:vAlign w:val="center"/>
          </w:tcPr>
          <w:p w14:paraId="1F717513">
            <w:pPr>
              <w:snapToGrid w:val="0"/>
              <w:jc w:val="center"/>
              <w:rPr>
                <w:rFonts w:ascii="Times New Roman" w:hAnsi="Times New Roman" w:cs="Times New Roman"/>
                <w:sz w:val="21"/>
                <w:szCs w:val="21"/>
              </w:rPr>
            </w:pPr>
          </w:p>
        </w:tc>
        <w:tc>
          <w:tcPr>
            <w:tcW w:w="1398" w:type="pct"/>
            <w:noWrap w:val="0"/>
            <w:vAlign w:val="center"/>
          </w:tcPr>
          <w:p w14:paraId="17C5D9F4">
            <w:pPr>
              <w:adjustRightInd w:val="0"/>
              <w:snapToGrid w:val="0"/>
              <w:ind w:right="-62"/>
              <w:jc w:val="center"/>
              <w:textAlignment w:val="baseline"/>
              <w:rPr>
                <w:rFonts w:hint="default" w:ascii="Times New Roman" w:hAnsi="Times New Roman" w:eastAsia="宋体" w:cs="Times New Roman"/>
                <w:bCs/>
                <w:sz w:val="21"/>
                <w:szCs w:val="21"/>
                <w:lang w:val="en-US" w:eastAsia="zh-CN"/>
              </w:rPr>
            </w:pPr>
            <w:r>
              <w:rPr>
                <w:rFonts w:hint="eastAsia" w:ascii="Times New Roman" w:hAnsi="Times New Roman" w:cs="Times New Roman"/>
                <w:bCs/>
                <w:sz w:val="21"/>
                <w:szCs w:val="21"/>
                <w:lang w:val="en-US" w:eastAsia="zh-CN"/>
              </w:rPr>
              <w:t>白灰窑废气：上料振动筛废气、石灰窑窑头废气、出料破碎、筛分废气经布袋除尘器处理后，15m高DA006排气筒有组织排放</w:t>
            </w:r>
          </w:p>
        </w:tc>
        <w:tc>
          <w:tcPr>
            <w:tcW w:w="1436" w:type="pct"/>
            <w:noWrap w:val="0"/>
            <w:vAlign w:val="center"/>
          </w:tcPr>
          <w:p w14:paraId="3F23855D">
            <w:pPr>
              <w:jc w:val="center"/>
              <w:rPr>
                <w:rFonts w:hint="eastAsia" w:ascii="Times New Roman" w:hAnsi="Times New Roman" w:cs="Times New Roman"/>
                <w:bCs/>
                <w:sz w:val="21"/>
                <w:szCs w:val="21"/>
              </w:rPr>
            </w:pPr>
            <w:r>
              <w:rPr>
                <w:rFonts w:hint="eastAsia" w:ascii="Times New Roman" w:hAnsi="Times New Roman" w:cs="Times New Roman"/>
                <w:bCs/>
                <w:sz w:val="21"/>
                <w:szCs w:val="21"/>
                <w:lang w:val="en-US" w:eastAsia="zh-CN"/>
              </w:rPr>
              <w:t>白灰窑废气：上料振动筛废气、石灰窑窑头废气、经布袋除尘器处理后，</w:t>
            </w:r>
            <w:r>
              <w:rPr>
                <w:rFonts w:ascii="Times New Roman" w:hAnsi="Times New Roman" w:cs="Times New Roman"/>
                <w:bCs/>
                <w:sz w:val="21"/>
                <w:szCs w:val="21"/>
              </w:rPr>
              <w:t>19.5m高排气筒</w:t>
            </w:r>
            <w:r>
              <w:rPr>
                <w:rFonts w:hint="eastAsia" w:ascii="Times New Roman" w:hAnsi="Times New Roman" w:cs="Times New Roman"/>
                <w:bCs/>
                <w:sz w:val="21"/>
                <w:szCs w:val="21"/>
              </w:rPr>
              <w:t>DA003</w:t>
            </w:r>
            <w:r>
              <w:rPr>
                <w:rFonts w:ascii="Times New Roman" w:hAnsi="Times New Roman" w:cs="Times New Roman"/>
                <w:bCs/>
                <w:sz w:val="21"/>
                <w:szCs w:val="21"/>
              </w:rPr>
              <w:t>排放，安装CEMS</w:t>
            </w:r>
            <w:r>
              <w:rPr>
                <w:rFonts w:hint="eastAsia" w:ascii="Times New Roman" w:hAnsi="Times New Roman" w:cs="Times New Roman"/>
                <w:bCs/>
                <w:sz w:val="21"/>
                <w:szCs w:val="21"/>
              </w:rPr>
              <w:t>。</w:t>
            </w:r>
            <w:r>
              <w:rPr>
                <w:rFonts w:hint="eastAsia" w:ascii="Times New Roman" w:hAnsi="Times New Roman" w:cs="Times New Roman"/>
                <w:bCs/>
                <w:sz w:val="21"/>
                <w:szCs w:val="21"/>
                <w:lang w:val="en-US" w:eastAsia="zh-CN"/>
              </w:rPr>
              <w:t>出料破碎、筛分废气经湿式除尘器处理后，15</w:t>
            </w:r>
            <w:r>
              <w:rPr>
                <w:rFonts w:ascii="Times New Roman" w:hAnsi="Times New Roman" w:cs="Times New Roman"/>
                <w:bCs/>
                <w:sz w:val="21"/>
                <w:szCs w:val="21"/>
              </w:rPr>
              <w:t>m高排气筒</w:t>
            </w:r>
            <w:r>
              <w:rPr>
                <w:rFonts w:hint="eastAsia" w:ascii="Times New Roman" w:hAnsi="Times New Roman" w:cs="Times New Roman"/>
                <w:bCs/>
                <w:sz w:val="21"/>
                <w:szCs w:val="21"/>
              </w:rPr>
              <w:t>DA0</w:t>
            </w:r>
            <w:r>
              <w:rPr>
                <w:rFonts w:hint="eastAsia" w:ascii="Times New Roman" w:hAnsi="Times New Roman" w:cs="Times New Roman"/>
                <w:bCs/>
                <w:sz w:val="21"/>
                <w:szCs w:val="21"/>
                <w:lang w:val="en-US" w:eastAsia="zh-CN"/>
              </w:rPr>
              <w:t>15</w:t>
            </w:r>
            <w:r>
              <w:rPr>
                <w:rFonts w:ascii="Times New Roman" w:hAnsi="Times New Roman" w:cs="Times New Roman"/>
                <w:bCs/>
                <w:sz w:val="21"/>
                <w:szCs w:val="21"/>
              </w:rPr>
              <w:t>排放</w:t>
            </w:r>
          </w:p>
        </w:tc>
        <w:tc>
          <w:tcPr>
            <w:tcW w:w="1436" w:type="pct"/>
            <w:noWrap w:val="0"/>
            <w:vAlign w:val="center"/>
          </w:tcPr>
          <w:p w14:paraId="11E3A58F">
            <w:pPr>
              <w:jc w:val="center"/>
              <w:rPr>
                <w:rFonts w:hint="default" w:ascii="Times New Roman" w:hAnsi="Times New Roman" w:eastAsia="宋体" w:cs="Times New Roman"/>
                <w:sz w:val="21"/>
                <w:szCs w:val="21"/>
                <w:lang w:val="en-US" w:eastAsia="zh-CN"/>
              </w:rPr>
            </w:pPr>
            <w:r>
              <w:rPr>
                <w:rFonts w:hint="eastAsia" w:ascii="Times New Roman" w:hAnsi="Times New Roman" w:cs="Times New Roman"/>
                <w:sz w:val="21"/>
                <w:szCs w:val="21"/>
                <w:lang w:val="en-US" w:eastAsia="zh-CN"/>
              </w:rPr>
              <w:t>生产线增加1套湿式除尘，并配备排气筒DA015排放。</w:t>
            </w:r>
          </w:p>
        </w:tc>
      </w:tr>
      <w:tr w14:paraId="4DFF55E9">
        <w:tblPrEx>
          <w:tblBorders>
            <w:top w:val="thinThickLargeGap" w:color="auto" w:sz="12" w:space="0"/>
            <w:left w:val="none" w:color="auto" w:sz="0" w:space="0"/>
            <w:bottom w:val="thickThinLarge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75" w:type="pct"/>
            <w:vMerge w:val="continue"/>
            <w:noWrap w:val="0"/>
            <w:vAlign w:val="center"/>
          </w:tcPr>
          <w:p w14:paraId="54EBD360">
            <w:pPr>
              <w:snapToGrid w:val="0"/>
              <w:jc w:val="center"/>
              <w:rPr>
                <w:rFonts w:ascii="Times New Roman" w:hAnsi="Times New Roman" w:cs="Times New Roman"/>
                <w:sz w:val="21"/>
                <w:szCs w:val="21"/>
              </w:rPr>
            </w:pPr>
          </w:p>
        </w:tc>
        <w:tc>
          <w:tcPr>
            <w:tcW w:w="452" w:type="pct"/>
            <w:vMerge w:val="continue"/>
            <w:noWrap w:val="0"/>
            <w:vAlign w:val="center"/>
          </w:tcPr>
          <w:p w14:paraId="091E0292">
            <w:pPr>
              <w:snapToGrid w:val="0"/>
              <w:jc w:val="center"/>
              <w:rPr>
                <w:rFonts w:ascii="Times New Roman" w:hAnsi="Times New Roman" w:cs="Times New Roman"/>
                <w:sz w:val="21"/>
                <w:szCs w:val="21"/>
              </w:rPr>
            </w:pPr>
          </w:p>
        </w:tc>
        <w:tc>
          <w:tcPr>
            <w:tcW w:w="1398" w:type="pct"/>
            <w:noWrap w:val="0"/>
            <w:vAlign w:val="center"/>
          </w:tcPr>
          <w:p w14:paraId="27451A65">
            <w:pPr>
              <w:adjustRightInd w:val="0"/>
              <w:snapToGrid w:val="0"/>
              <w:ind w:right="-62"/>
              <w:jc w:val="center"/>
              <w:textAlignment w:val="baseline"/>
              <w:rPr>
                <w:rFonts w:hint="eastAsia" w:ascii="Times New Roman" w:hAnsi="Times New Roman" w:cs="Times New Roman"/>
                <w:sz w:val="21"/>
                <w:szCs w:val="21"/>
                <w:highlight w:val="yellow"/>
              </w:rPr>
            </w:pPr>
            <w:r>
              <w:rPr>
                <w:rFonts w:hint="eastAsia" w:ascii="Times New Roman" w:hAnsi="Times New Roman" w:cs="Times New Roman"/>
                <w:sz w:val="21"/>
                <w:szCs w:val="21"/>
                <w:highlight w:val="none"/>
                <w:lang w:val="en-US" w:eastAsia="zh-CN"/>
              </w:rPr>
              <w:t>高炉</w:t>
            </w:r>
            <w:r>
              <w:rPr>
                <w:rFonts w:hint="eastAsia" w:ascii="Times New Roman" w:hAnsi="Times New Roman" w:cs="Times New Roman"/>
                <w:bCs/>
                <w:sz w:val="21"/>
                <w:szCs w:val="21"/>
                <w:highlight w:val="none"/>
              </w:rPr>
              <w:t>：</w:t>
            </w:r>
            <w:r>
              <w:rPr>
                <w:rFonts w:hint="eastAsia" w:ascii="Times New Roman" w:hAnsi="Times New Roman" w:cs="Times New Roman"/>
                <w:sz w:val="21"/>
                <w:szCs w:val="21"/>
                <w:highlight w:val="none"/>
              </w:rPr>
              <w:t>废气由</w:t>
            </w:r>
            <w:r>
              <w:rPr>
                <w:rFonts w:ascii="Times New Roman" w:hAnsi="Times New Roman" w:cs="Times New Roman"/>
                <w:bCs/>
                <w:sz w:val="21"/>
                <w:szCs w:val="21"/>
                <w:highlight w:val="none"/>
              </w:rPr>
              <w:t>Φ</w:t>
            </w:r>
            <w:r>
              <w:rPr>
                <w:rFonts w:hint="eastAsia" w:ascii="Times New Roman" w:hAnsi="Times New Roman" w:cs="Times New Roman"/>
                <w:bCs/>
                <w:sz w:val="21"/>
                <w:szCs w:val="21"/>
                <w:highlight w:val="none"/>
              </w:rPr>
              <w:t>1.8</w:t>
            </w:r>
            <w:r>
              <w:rPr>
                <w:rFonts w:ascii="Times New Roman" w:hAnsi="Times New Roman" w:cs="Times New Roman"/>
                <w:bCs/>
                <w:sz w:val="21"/>
                <w:szCs w:val="21"/>
                <w:highlight w:val="none"/>
              </w:rPr>
              <w:t>m、</w:t>
            </w:r>
            <w:r>
              <w:rPr>
                <w:rFonts w:ascii="Times New Roman" w:hAnsi="Times New Roman" w:cs="Times New Roman"/>
                <w:sz w:val="21"/>
                <w:szCs w:val="21"/>
                <w:highlight w:val="none"/>
              </w:rPr>
              <w:t>2</w:t>
            </w:r>
            <w:r>
              <w:rPr>
                <w:rFonts w:hint="eastAsia" w:ascii="Times New Roman" w:hAnsi="Times New Roman" w:cs="Times New Roman"/>
                <w:sz w:val="21"/>
                <w:szCs w:val="21"/>
                <w:highlight w:val="none"/>
              </w:rPr>
              <w:t>2</w:t>
            </w:r>
            <w:r>
              <w:rPr>
                <w:rFonts w:ascii="Times New Roman" w:hAnsi="Times New Roman" w:cs="Times New Roman"/>
                <w:sz w:val="21"/>
                <w:szCs w:val="21"/>
                <w:highlight w:val="none"/>
              </w:rPr>
              <w:t>m高</w:t>
            </w:r>
            <w:r>
              <w:rPr>
                <w:rFonts w:hint="eastAsia" w:ascii="Times New Roman" w:hAnsi="Times New Roman" w:cs="Times New Roman"/>
                <w:sz w:val="21"/>
                <w:szCs w:val="21"/>
                <w:highlight w:val="none"/>
              </w:rPr>
              <w:t>排气筒</w:t>
            </w:r>
            <w:r>
              <w:rPr>
                <w:rFonts w:ascii="Times New Roman" w:hAnsi="Times New Roman" w:cs="Times New Roman"/>
                <w:sz w:val="21"/>
                <w:szCs w:val="21"/>
                <w:highlight w:val="none"/>
              </w:rPr>
              <w:t>DA00</w:t>
            </w:r>
            <w:r>
              <w:rPr>
                <w:rFonts w:hint="eastAsia" w:ascii="Times New Roman" w:hAnsi="Times New Roman" w:cs="Times New Roman"/>
                <w:sz w:val="21"/>
                <w:szCs w:val="21"/>
                <w:highlight w:val="none"/>
              </w:rPr>
              <w:t>4</w:t>
            </w:r>
            <w:r>
              <w:rPr>
                <w:rFonts w:ascii="Times New Roman" w:hAnsi="Times New Roman" w:cs="Times New Roman"/>
                <w:sz w:val="21"/>
                <w:szCs w:val="21"/>
                <w:highlight w:val="none"/>
              </w:rPr>
              <w:t>有组织排放。</w:t>
            </w:r>
          </w:p>
        </w:tc>
        <w:tc>
          <w:tcPr>
            <w:tcW w:w="1436" w:type="pct"/>
            <w:noWrap w:val="0"/>
            <w:vAlign w:val="center"/>
          </w:tcPr>
          <w:p w14:paraId="7715AD82">
            <w:pPr>
              <w:jc w:val="center"/>
              <w:rPr>
                <w:rFonts w:ascii="Times New Roman" w:hAnsi="Times New Roman" w:cs="Times New Roman"/>
                <w:sz w:val="21"/>
                <w:szCs w:val="21"/>
                <w:highlight w:val="yellow"/>
              </w:rPr>
            </w:pPr>
            <w:r>
              <w:rPr>
                <w:rFonts w:hint="eastAsia" w:ascii="Times New Roman" w:hAnsi="Times New Roman" w:cs="Times New Roman"/>
                <w:sz w:val="21"/>
                <w:szCs w:val="21"/>
                <w:highlight w:val="none"/>
                <w:lang w:val="en-US" w:eastAsia="zh-CN"/>
              </w:rPr>
              <w:t>高炉</w:t>
            </w:r>
            <w:r>
              <w:rPr>
                <w:rFonts w:hint="eastAsia" w:ascii="Times New Roman" w:hAnsi="Times New Roman" w:cs="Times New Roman"/>
                <w:bCs/>
                <w:sz w:val="21"/>
                <w:szCs w:val="21"/>
                <w:highlight w:val="none"/>
              </w:rPr>
              <w:t>：</w:t>
            </w:r>
            <w:r>
              <w:rPr>
                <w:rFonts w:hint="eastAsia" w:ascii="Times New Roman" w:hAnsi="Times New Roman" w:cs="Times New Roman"/>
                <w:sz w:val="21"/>
                <w:szCs w:val="21"/>
                <w:highlight w:val="none"/>
              </w:rPr>
              <w:t>废气由</w:t>
            </w:r>
            <w:r>
              <w:rPr>
                <w:rFonts w:ascii="Times New Roman" w:hAnsi="Times New Roman" w:cs="Times New Roman"/>
                <w:bCs/>
                <w:sz w:val="21"/>
                <w:szCs w:val="21"/>
                <w:highlight w:val="none"/>
              </w:rPr>
              <w:t>Φ</w:t>
            </w:r>
            <w:r>
              <w:rPr>
                <w:rFonts w:hint="eastAsia" w:ascii="Times New Roman" w:hAnsi="Times New Roman" w:cs="Times New Roman"/>
                <w:bCs/>
                <w:sz w:val="21"/>
                <w:szCs w:val="21"/>
                <w:highlight w:val="none"/>
              </w:rPr>
              <w:t>1.8</w:t>
            </w:r>
            <w:r>
              <w:rPr>
                <w:rFonts w:ascii="Times New Roman" w:hAnsi="Times New Roman" w:cs="Times New Roman"/>
                <w:bCs/>
                <w:sz w:val="21"/>
                <w:szCs w:val="21"/>
                <w:highlight w:val="none"/>
              </w:rPr>
              <w:t>m、</w:t>
            </w:r>
            <w:r>
              <w:rPr>
                <w:rFonts w:ascii="Times New Roman" w:hAnsi="Times New Roman" w:cs="Times New Roman"/>
                <w:sz w:val="21"/>
                <w:szCs w:val="21"/>
                <w:highlight w:val="none"/>
              </w:rPr>
              <w:t>2</w:t>
            </w:r>
            <w:r>
              <w:rPr>
                <w:rFonts w:hint="eastAsia" w:ascii="Times New Roman" w:hAnsi="Times New Roman" w:cs="Times New Roman"/>
                <w:sz w:val="21"/>
                <w:szCs w:val="21"/>
                <w:highlight w:val="none"/>
              </w:rPr>
              <w:t>2</w:t>
            </w:r>
            <w:r>
              <w:rPr>
                <w:rFonts w:ascii="Times New Roman" w:hAnsi="Times New Roman" w:cs="Times New Roman"/>
                <w:sz w:val="21"/>
                <w:szCs w:val="21"/>
                <w:highlight w:val="none"/>
              </w:rPr>
              <w:t>m高</w:t>
            </w:r>
            <w:r>
              <w:rPr>
                <w:rFonts w:hint="eastAsia" w:ascii="Times New Roman" w:hAnsi="Times New Roman" w:cs="Times New Roman"/>
                <w:sz w:val="21"/>
                <w:szCs w:val="21"/>
                <w:highlight w:val="none"/>
              </w:rPr>
              <w:t>排气筒</w:t>
            </w:r>
            <w:r>
              <w:rPr>
                <w:rFonts w:ascii="Times New Roman" w:hAnsi="Times New Roman" w:cs="Times New Roman"/>
                <w:sz w:val="21"/>
                <w:szCs w:val="21"/>
                <w:highlight w:val="none"/>
              </w:rPr>
              <w:t>DA00</w:t>
            </w:r>
            <w:r>
              <w:rPr>
                <w:rFonts w:hint="eastAsia" w:ascii="Times New Roman" w:hAnsi="Times New Roman" w:cs="Times New Roman"/>
                <w:sz w:val="21"/>
                <w:szCs w:val="21"/>
                <w:highlight w:val="none"/>
              </w:rPr>
              <w:t>4</w:t>
            </w:r>
            <w:r>
              <w:rPr>
                <w:rFonts w:ascii="Times New Roman" w:hAnsi="Times New Roman" w:cs="Times New Roman"/>
                <w:sz w:val="21"/>
                <w:szCs w:val="21"/>
                <w:highlight w:val="none"/>
              </w:rPr>
              <w:t>有组织排放。</w:t>
            </w:r>
          </w:p>
        </w:tc>
        <w:tc>
          <w:tcPr>
            <w:tcW w:w="1436" w:type="pct"/>
            <w:noWrap w:val="0"/>
            <w:vAlign w:val="center"/>
          </w:tcPr>
          <w:p w14:paraId="20FEEB4F">
            <w:pPr>
              <w:jc w:val="center"/>
              <w:rPr>
                <w:rFonts w:hint="eastAsia" w:ascii="Times New Roman" w:hAnsi="Times New Roman" w:cs="Times New Roman"/>
                <w:sz w:val="21"/>
                <w:szCs w:val="21"/>
              </w:rPr>
            </w:pPr>
            <w:r>
              <w:rPr>
                <w:rFonts w:hint="eastAsia" w:ascii="Times New Roman" w:hAnsi="Times New Roman" w:cs="Times New Roman"/>
                <w:sz w:val="21"/>
                <w:szCs w:val="21"/>
              </w:rPr>
              <w:t>无变化</w:t>
            </w:r>
          </w:p>
        </w:tc>
      </w:tr>
      <w:tr w14:paraId="0ACD2067">
        <w:tblPrEx>
          <w:tblBorders>
            <w:top w:val="thinThickLargeGap" w:color="auto" w:sz="12" w:space="0"/>
            <w:left w:val="none" w:color="auto" w:sz="0" w:space="0"/>
            <w:bottom w:val="thickThinLarge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75" w:type="pct"/>
            <w:vMerge w:val="continue"/>
            <w:noWrap w:val="0"/>
            <w:vAlign w:val="center"/>
          </w:tcPr>
          <w:p w14:paraId="17F420B8">
            <w:pPr>
              <w:snapToGrid w:val="0"/>
              <w:jc w:val="center"/>
              <w:rPr>
                <w:rFonts w:ascii="Times New Roman" w:hAnsi="Times New Roman" w:cs="Times New Roman"/>
                <w:sz w:val="21"/>
                <w:szCs w:val="21"/>
              </w:rPr>
            </w:pPr>
          </w:p>
        </w:tc>
        <w:tc>
          <w:tcPr>
            <w:tcW w:w="452" w:type="pct"/>
            <w:noWrap w:val="0"/>
            <w:vAlign w:val="center"/>
          </w:tcPr>
          <w:p w14:paraId="5256A3B6">
            <w:pPr>
              <w:snapToGrid w:val="0"/>
              <w:jc w:val="center"/>
              <w:rPr>
                <w:rFonts w:ascii="Times New Roman" w:hAnsi="Times New Roman" w:cs="Times New Roman"/>
                <w:sz w:val="21"/>
                <w:szCs w:val="21"/>
              </w:rPr>
            </w:pPr>
            <w:r>
              <w:rPr>
                <w:rFonts w:ascii="Times New Roman" w:hAnsi="Times New Roman" w:cs="Times New Roman"/>
                <w:sz w:val="21"/>
                <w:szCs w:val="21"/>
              </w:rPr>
              <w:t>废水</w:t>
            </w:r>
            <w:r>
              <w:rPr>
                <w:rFonts w:hint="eastAsia" w:ascii="Times New Roman" w:hAnsi="Times New Roman" w:cs="Times New Roman"/>
                <w:sz w:val="21"/>
                <w:szCs w:val="21"/>
              </w:rPr>
              <w:t>控制</w:t>
            </w:r>
          </w:p>
        </w:tc>
        <w:tc>
          <w:tcPr>
            <w:tcW w:w="1398" w:type="pct"/>
            <w:noWrap w:val="0"/>
            <w:vAlign w:val="center"/>
          </w:tcPr>
          <w:p w14:paraId="4FF91929">
            <w:pPr>
              <w:rPr>
                <w:rFonts w:ascii="Times New Roman" w:hAnsi="Times New Roman" w:cs="Times New Roman"/>
                <w:bCs/>
                <w:sz w:val="21"/>
                <w:szCs w:val="21"/>
              </w:rPr>
            </w:pPr>
            <w:r>
              <w:rPr>
                <w:rFonts w:hint="eastAsia" w:ascii="Times New Roman" w:hAnsi="Times New Roman" w:cs="Times New Roman"/>
                <w:sz w:val="21"/>
                <w:szCs w:val="21"/>
              </w:rPr>
              <w:t>生产废水全部回用，不外排；</w:t>
            </w:r>
            <w:r>
              <w:rPr>
                <w:rFonts w:ascii="Times New Roman" w:hAnsi="Times New Roman" w:cs="Times New Roman"/>
                <w:sz w:val="21"/>
                <w:szCs w:val="21"/>
              </w:rPr>
              <w:t>生活污水均汇入化粪池，</w:t>
            </w:r>
            <w:r>
              <w:rPr>
                <w:rFonts w:hint="eastAsia" w:ascii="Times New Roman" w:hAnsi="Times New Roman" w:cs="Times New Roman"/>
                <w:sz w:val="21"/>
                <w:szCs w:val="21"/>
                <w:lang w:val="en-US" w:eastAsia="zh-CN"/>
              </w:rPr>
              <w:t>定期清掏</w:t>
            </w:r>
            <w:r>
              <w:rPr>
                <w:rFonts w:hint="eastAsia" w:ascii="Times New Roman" w:hAnsi="Times New Roman" w:cs="Times New Roman"/>
                <w:sz w:val="21"/>
                <w:szCs w:val="21"/>
              </w:rPr>
              <w:t>。</w:t>
            </w:r>
          </w:p>
          <w:p w14:paraId="78254176">
            <w:pPr>
              <w:adjustRightInd w:val="0"/>
              <w:snapToGrid w:val="0"/>
              <w:ind w:right="-62"/>
              <w:jc w:val="center"/>
              <w:textAlignment w:val="baseline"/>
              <w:rPr>
                <w:rFonts w:hint="eastAsia" w:ascii="Times New Roman" w:hAnsi="Times New Roman" w:cs="Times New Roman"/>
                <w:sz w:val="21"/>
                <w:szCs w:val="21"/>
              </w:rPr>
            </w:pPr>
            <w:r>
              <w:rPr>
                <w:rFonts w:ascii="Times New Roman" w:hAnsi="Times New Roman" w:cs="Times New Roman"/>
                <w:bCs/>
                <w:sz w:val="21"/>
                <w:szCs w:val="21"/>
              </w:rPr>
              <w:t>生活污水均汇入化粪池，</w:t>
            </w:r>
            <w:r>
              <w:rPr>
                <w:rFonts w:hint="eastAsia" w:ascii="Times New Roman" w:hAnsi="Times New Roman" w:cs="Times New Roman"/>
                <w:bCs/>
                <w:sz w:val="21"/>
                <w:szCs w:val="21"/>
                <w:lang w:val="en-US" w:eastAsia="zh-CN"/>
              </w:rPr>
              <w:t>定期清掏</w:t>
            </w:r>
            <w:r>
              <w:rPr>
                <w:rFonts w:hint="eastAsia" w:ascii="Times New Roman" w:hAnsi="Times New Roman" w:cs="Times New Roman"/>
                <w:bCs/>
                <w:sz w:val="21"/>
                <w:szCs w:val="21"/>
              </w:rPr>
              <w:t>。</w:t>
            </w:r>
          </w:p>
        </w:tc>
        <w:tc>
          <w:tcPr>
            <w:tcW w:w="1436" w:type="pct"/>
            <w:noWrap w:val="0"/>
            <w:vAlign w:val="center"/>
          </w:tcPr>
          <w:p w14:paraId="41CF1ED2">
            <w:pPr>
              <w:rPr>
                <w:rFonts w:ascii="Times New Roman" w:hAnsi="Times New Roman" w:cs="Times New Roman"/>
                <w:bCs/>
                <w:sz w:val="21"/>
                <w:szCs w:val="21"/>
              </w:rPr>
            </w:pPr>
            <w:r>
              <w:rPr>
                <w:rFonts w:hint="eastAsia" w:ascii="Times New Roman" w:hAnsi="Times New Roman" w:cs="Times New Roman"/>
                <w:sz w:val="21"/>
                <w:szCs w:val="21"/>
              </w:rPr>
              <w:t>生产废水全部回用，不外排；</w:t>
            </w:r>
            <w:r>
              <w:rPr>
                <w:rFonts w:ascii="Times New Roman" w:hAnsi="Times New Roman" w:cs="Times New Roman"/>
                <w:sz w:val="21"/>
                <w:szCs w:val="21"/>
              </w:rPr>
              <w:t>生活污水均汇入化粪池，</w:t>
            </w:r>
            <w:r>
              <w:rPr>
                <w:rFonts w:hint="eastAsia" w:ascii="Times New Roman" w:hAnsi="Times New Roman" w:cs="Times New Roman"/>
                <w:sz w:val="21"/>
                <w:szCs w:val="21"/>
                <w:lang w:val="en-US" w:eastAsia="zh-CN"/>
              </w:rPr>
              <w:t>定期清掏</w:t>
            </w:r>
            <w:r>
              <w:rPr>
                <w:rFonts w:hint="eastAsia" w:ascii="Times New Roman" w:hAnsi="Times New Roman" w:cs="Times New Roman"/>
                <w:sz w:val="21"/>
                <w:szCs w:val="21"/>
              </w:rPr>
              <w:t>。</w:t>
            </w:r>
          </w:p>
          <w:p w14:paraId="635EFA11">
            <w:pPr>
              <w:rPr>
                <w:rFonts w:hint="eastAsia" w:ascii="Times New Roman" w:hAnsi="Times New Roman" w:cs="Times New Roman"/>
                <w:sz w:val="21"/>
                <w:szCs w:val="21"/>
              </w:rPr>
            </w:pPr>
            <w:r>
              <w:rPr>
                <w:rFonts w:ascii="Times New Roman" w:hAnsi="Times New Roman" w:cs="Times New Roman"/>
                <w:bCs/>
                <w:sz w:val="21"/>
                <w:szCs w:val="21"/>
              </w:rPr>
              <w:t>生活污水均汇入化粪池，</w:t>
            </w:r>
            <w:r>
              <w:rPr>
                <w:rFonts w:hint="eastAsia" w:ascii="Times New Roman" w:hAnsi="Times New Roman" w:cs="Times New Roman"/>
                <w:bCs/>
                <w:sz w:val="21"/>
                <w:szCs w:val="21"/>
                <w:lang w:val="en-US" w:eastAsia="zh-CN"/>
              </w:rPr>
              <w:t>定期清掏</w:t>
            </w:r>
            <w:r>
              <w:rPr>
                <w:rFonts w:hint="eastAsia" w:ascii="Times New Roman" w:hAnsi="Times New Roman" w:cs="Times New Roman"/>
                <w:bCs/>
                <w:sz w:val="21"/>
                <w:szCs w:val="21"/>
              </w:rPr>
              <w:t>。</w:t>
            </w:r>
          </w:p>
        </w:tc>
        <w:tc>
          <w:tcPr>
            <w:tcW w:w="1436" w:type="pct"/>
            <w:noWrap w:val="0"/>
            <w:vAlign w:val="center"/>
          </w:tcPr>
          <w:p w14:paraId="1A1A2ECE">
            <w:pPr>
              <w:jc w:val="center"/>
              <w:rPr>
                <w:rFonts w:hint="eastAsia" w:ascii="Times New Roman" w:hAnsi="Times New Roman" w:cs="Times New Roman"/>
                <w:sz w:val="21"/>
                <w:szCs w:val="21"/>
              </w:rPr>
            </w:pPr>
            <w:r>
              <w:rPr>
                <w:rFonts w:hint="eastAsia" w:ascii="Times New Roman" w:hAnsi="Times New Roman" w:cs="Times New Roman"/>
                <w:sz w:val="21"/>
                <w:szCs w:val="21"/>
              </w:rPr>
              <w:t>无变化</w:t>
            </w:r>
          </w:p>
        </w:tc>
      </w:tr>
      <w:tr w14:paraId="2F231614">
        <w:tblPrEx>
          <w:tblBorders>
            <w:top w:val="thinThickLargeGap" w:color="auto" w:sz="12" w:space="0"/>
            <w:left w:val="none" w:color="auto" w:sz="0" w:space="0"/>
            <w:bottom w:val="thickThinLarge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75" w:type="pct"/>
            <w:vMerge w:val="continue"/>
            <w:noWrap w:val="0"/>
            <w:vAlign w:val="center"/>
          </w:tcPr>
          <w:p w14:paraId="32F45EF7">
            <w:pPr>
              <w:snapToGrid w:val="0"/>
              <w:jc w:val="center"/>
              <w:rPr>
                <w:rFonts w:ascii="Times New Roman" w:hAnsi="Times New Roman" w:cs="Times New Roman"/>
                <w:sz w:val="21"/>
                <w:szCs w:val="21"/>
              </w:rPr>
            </w:pPr>
          </w:p>
        </w:tc>
        <w:tc>
          <w:tcPr>
            <w:tcW w:w="452" w:type="pct"/>
            <w:noWrap w:val="0"/>
            <w:vAlign w:val="center"/>
          </w:tcPr>
          <w:p w14:paraId="096A50F9">
            <w:pPr>
              <w:snapToGrid w:val="0"/>
              <w:jc w:val="center"/>
              <w:rPr>
                <w:rFonts w:ascii="Times New Roman" w:hAnsi="Times New Roman" w:cs="Times New Roman"/>
                <w:sz w:val="21"/>
                <w:szCs w:val="21"/>
              </w:rPr>
            </w:pPr>
            <w:r>
              <w:rPr>
                <w:rFonts w:ascii="Times New Roman" w:hAnsi="Times New Roman" w:cs="Times New Roman"/>
                <w:sz w:val="21"/>
                <w:szCs w:val="21"/>
              </w:rPr>
              <w:t>固体废物</w:t>
            </w:r>
          </w:p>
        </w:tc>
        <w:tc>
          <w:tcPr>
            <w:tcW w:w="1398" w:type="pct"/>
            <w:noWrap w:val="0"/>
            <w:vAlign w:val="center"/>
          </w:tcPr>
          <w:p w14:paraId="5F15F9B3">
            <w:pPr>
              <w:adjustRightInd w:val="0"/>
              <w:snapToGrid w:val="0"/>
              <w:ind w:right="-62"/>
              <w:jc w:val="center"/>
              <w:textAlignment w:val="baseline"/>
              <w:rPr>
                <w:rFonts w:hint="eastAsia" w:ascii="Times New Roman" w:hAnsi="Times New Roman" w:cs="Times New Roman"/>
                <w:sz w:val="21"/>
                <w:szCs w:val="21"/>
                <w:highlight w:val="none"/>
              </w:rPr>
            </w:pPr>
            <w:r>
              <w:rPr>
                <w:rFonts w:ascii="Times New Roman" w:hAnsi="Times New Roman" w:cs="Times New Roman"/>
                <w:sz w:val="21"/>
                <w:szCs w:val="21"/>
                <w:highlight w:val="none"/>
              </w:rPr>
              <w:t>厂内设1座</w:t>
            </w:r>
            <w:r>
              <w:rPr>
                <w:rFonts w:hint="eastAsia" w:ascii="Times New Roman" w:hAnsi="Times New Roman" w:cs="Times New Roman"/>
                <w:sz w:val="21"/>
                <w:szCs w:val="21"/>
                <w:highlight w:val="none"/>
                <w:lang w:val="en-US" w:eastAsia="zh-CN"/>
              </w:rPr>
              <w:t>一般固体废物库</w:t>
            </w:r>
            <w:r>
              <w:rPr>
                <w:rFonts w:ascii="Times New Roman" w:hAnsi="Times New Roman" w:cs="Times New Roman"/>
                <w:sz w:val="21"/>
                <w:szCs w:val="21"/>
                <w:highlight w:val="none"/>
              </w:rPr>
              <w:t>，面积</w:t>
            </w:r>
            <w:r>
              <w:rPr>
                <w:rFonts w:hint="eastAsia" w:ascii="Times New Roman" w:hAnsi="Times New Roman" w:cs="Times New Roman"/>
                <w:sz w:val="21"/>
                <w:szCs w:val="21"/>
                <w:highlight w:val="none"/>
                <w:lang w:val="en-US" w:eastAsia="zh-CN"/>
              </w:rPr>
              <w:t>200</w:t>
            </w:r>
            <w:r>
              <w:rPr>
                <w:rFonts w:ascii="Times New Roman" w:hAnsi="Times New Roman" w:cs="Times New Roman"/>
                <w:sz w:val="21"/>
                <w:szCs w:val="21"/>
                <w:highlight w:val="none"/>
              </w:rPr>
              <w:t>m</w:t>
            </w:r>
            <w:r>
              <w:rPr>
                <w:rFonts w:ascii="Times New Roman" w:hAnsi="Times New Roman" w:cs="Times New Roman"/>
                <w:sz w:val="21"/>
                <w:szCs w:val="21"/>
                <w:highlight w:val="none"/>
                <w:vertAlign w:val="superscript"/>
              </w:rPr>
              <w:t>2</w:t>
            </w:r>
            <w:r>
              <w:rPr>
                <w:rFonts w:ascii="Times New Roman" w:hAnsi="Times New Roman" w:cs="Times New Roman"/>
                <w:sz w:val="21"/>
                <w:szCs w:val="21"/>
                <w:highlight w:val="none"/>
              </w:rPr>
              <w:t>；设1座</w:t>
            </w:r>
            <w:r>
              <w:rPr>
                <w:rFonts w:hint="eastAsia" w:ascii="Times New Roman" w:hAnsi="Times New Roman" w:cs="Times New Roman"/>
                <w:sz w:val="21"/>
                <w:szCs w:val="21"/>
                <w:highlight w:val="none"/>
              </w:rPr>
              <w:t>危废</w:t>
            </w:r>
            <w:r>
              <w:rPr>
                <w:rFonts w:hint="eastAsia" w:ascii="Times New Roman" w:hAnsi="Times New Roman" w:cs="Times New Roman"/>
                <w:sz w:val="21"/>
                <w:szCs w:val="21"/>
                <w:highlight w:val="none"/>
                <w:lang w:val="en-US" w:eastAsia="zh-CN"/>
              </w:rPr>
              <w:t>贮存点</w:t>
            </w:r>
            <w:r>
              <w:rPr>
                <w:rFonts w:ascii="Times New Roman" w:hAnsi="Times New Roman" w:cs="Times New Roman"/>
                <w:sz w:val="21"/>
                <w:szCs w:val="21"/>
                <w:highlight w:val="none"/>
              </w:rPr>
              <w:t>，面积</w:t>
            </w:r>
            <w:r>
              <w:rPr>
                <w:rFonts w:hint="eastAsia" w:ascii="Times New Roman" w:hAnsi="Times New Roman" w:cs="Times New Roman"/>
                <w:sz w:val="21"/>
                <w:szCs w:val="21"/>
                <w:highlight w:val="none"/>
              </w:rPr>
              <w:t>约</w:t>
            </w:r>
            <w:r>
              <w:rPr>
                <w:rFonts w:ascii="Times New Roman" w:hAnsi="Times New Roman" w:cs="Times New Roman"/>
                <w:sz w:val="21"/>
                <w:szCs w:val="21"/>
                <w:highlight w:val="none"/>
              </w:rPr>
              <w:t>30m</w:t>
            </w:r>
            <w:r>
              <w:rPr>
                <w:rFonts w:ascii="Times New Roman" w:hAnsi="Times New Roman" w:cs="Times New Roman"/>
                <w:sz w:val="21"/>
                <w:szCs w:val="21"/>
                <w:highlight w:val="none"/>
                <w:vertAlign w:val="superscript"/>
              </w:rPr>
              <w:t>2</w:t>
            </w:r>
            <w:r>
              <w:rPr>
                <w:rFonts w:hint="eastAsia" w:ascii="Times New Roman" w:hAnsi="Times New Roman" w:cs="Times New Roman"/>
                <w:sz w:val="21"/>
                <w:szCs w:val="21"/>
                <w:highlight w:val="none"/>
              </w:rPr>
              <w:t>；</w:t>
            </w:r>
            <w:r>
              <w:rPr>
                <w:rFonts w:ascii="Times New Roman" w:hAnsi="Times New Roman" w:cs="Times New Roman"/>
                <w:sz w:val="21"/>
                <w:szCs w:val="21"/>
                <w:highlight w:val="none"/>
              </w:rPr>
              <w:t>生活垃圾由环卫清运。</w:t>
            </w:r>
          </w:p>
        </w:tc>
        <w:tc>
          <w:tcPr>
            <w:tcW w:w="1436" w:type="pct"/>
            <w:noWrap w:val="0"/>
            <w:vAlign w:val="center"/>
          </w:tcPr>
          <w:p w14:paraId="09CB713C">
            <w:pPr>
              <w:rPr>
                <w:rFonts w:hint="eastAsia" w:ascii="Times New Roman" w:hAnsi="Times New Roman" w:cs="Times New Roman"/>
                <w:sz w:val="21"/>
                <w:szCs w:val="21"/>
                <w:highlight w:val="none"/>
              </w:rPr>
            </w:pPr>
            <w:r>
              <w:rPr>
                <w:rFonts w:ascii="Times New Roman" w:hAnsi="Times New Roman" w:cs="Times New Roman"/>
                <w:sz w:val="21"/>
                <w:szCs w:val="21"/>
                <w:highlight w:val="none"/>
              </w:rPr>
              <w:t>厂内设1座</w:t>
            </w:r>
            <w:r>
              <w:rPr>
                <w:rFonts w:hint="eastAsia" w:ascii="Times New Roman" w:hAnsi="Times New Roman" w:cs="Times New Roman"/>
                <w:sz w:val="21"/>
                <w:szCs w:val="21"/>
                <w:highlight w:val="none"/>
                <w:lang w:val="en-US" w:eastAsia="zh-CN"/>
              </w:rPr>
              <w:t>一般固体废物库</w:t>
            </w:r>
            <w:r>
              <w:rPr>
                <w:rFonts w:ascii="Times New Roman" w:hAnsi="Times New Roman" w:cs="Times New Roman"/>
                <w:sz w:val="21"/>
                <w:szCs w:val="21"/>
                <w:highlight w:val="none"/>
              </w:rPr>
              <w:t>，面积</w:t>
            </w:r>
            <w:r>
              <w:rPr>
                <w:rFonts w:hint="eastAsia" w:ascii="Times New Roman" w:hAnsi="Times New Roman" w:cs="Times New Roman"/>
                <w:sz w:val="21"/>
                <w:szCs w:val="21"/>
                <w:highlight w:val="none"/>
                <w:lang w:val="en-US" w:eastAsia="zh-CN"/>
              </w:rPr>
              <w:t>200</w:t>
            </w:r>
            <w:r>
              <w:rPr>
                <w:rFonts w:ascii="Times New Roman" w:hAnsi="Times New Roman" w:cs="Times New Roman"/>
                <w:sz w:val="21"/>
                <w:szCs w:val="21"/>
                <w:highlight w:val="none"/>
              </w:rPr>
              <w:t>m</w:t>
            </w:r>
            <w:r>
              <w:rPr>
                <w:rFonts w:ascii="Times New Roman" w:hAnsi="Times New Roman" w:cs="Times New Roman"/>
                <w:sz w:val="21"/>
                <w:szCs w:val="21"/>
                <w:highlight w:val="none"/>
                <w:vertAlign w:val="superscript"/>
              </w:rPr>
              <w:t>2</w:t>
            </w:r>
            <w:r>
              <w:rPr>
                <w:rFonts w:ascii="Times New Roman" w:hAnsi="Times New Roman" w:cs="Times New Roman"/>
                <w:sz w:val="21"/>
                <w:szCs w:val="21"/>
                <w:highlight w:val="none"/>
              </w:rPr>
              <w:t>；设1座</w:t>
            </w:r>
            <w:r>
              <w:rPr>
                <w:rFonts w:hint="eastAsia" w:ascii="Times New Roman" w:hAnsi="Times New Roman" w:cs="Times New Roman"/>
                <w:sz w:val="21"/>
                <w:szCs w:val="21"/>
                <w:highlight w:val="none"/>
              </w:rPr>
              <w:t>危废</w:t>
            </w:r>
            <w:r>
              <w:rPr>
                <w:rFonts w:hint="eastAsia" w:ascii="Times New Roman" w:hAnsi="Times New Roman" w:cs="Times New Roman"/>
                <w:sz w:val="21"/>
                <w:szCs w:val="21"/>
                <w:highlight w:val="none"/>
                <w:lang w:val="en-US" w:eastAsia="zh-CN"/>
              </w:rPr>
              <w:t>贮存点</w:t>
            </w:r>
            <w:r>
              <w:rPr>
                <w:rFonts w:ascii="Times New Roman" w:hAnsi="Times New Roman" w:cs="Times New Roman"/>
                <w:sz w:val="21"/>
                <w:szCs w:val="21"/>
                <w:highlight w:val="none"/>
              </w:rPr>
              <w:t>，面积</w:t>
            </w:r>
            <w:r>
              <w:rPr>
                <w:rFonts w:hint="eastAsia" w:ascii="Times New Roman" w:hAnsi="Times New Roman" w:cs="Times New Roman"/>
                <w:sz w:val="21"/>
                <w:szCs w:val="21"/>
                <w:highlight w:val="none"/>
              </w:rPr>
              <w:t>约</w:t>
            </w:r>
            <w:r>
              <w:rPr>
                <w:rFonts w:ascii="Times New Roman" w:hAnsi="Times New Roman" w:cs="Times New Roman"/>
                <w:sz w:val="21"/>
                <w:szCs w:val="21"/>
                <w:highlight w:val="none"/>
              </w:rPr>
              <w:t>30m</w:t>
            </w:r>
            <w:r>
              <w:rPr>
                <w:rFonts w:ascii="Times New Roman" w:hAnsi="Times New Roman" w:cs="Times New Roman"/>
                <w:sz w:val="21"/>
                <w:szCs w:val="21"/>
                <w:highlight w:val="none"/>
                <w:vertAlign w:val="superscript"/>
              </w:rPr>
              <w:t>2</w:t>
            </w:r>
            <w:r>
              <w:rPr>
                <w:rFonts w:hint="eastAsia" w:ascii="Times New Roman" w:hAnsi="Times New Roman" w:cs="Times New Roman"/>
                <w:sz w:val="21"/>
                <w:szCs w:val="21"/>
                <w:highlight w:val="none"/>
              </w:rPr>
              <w:t>；</w:t>
            </w:r>
            <w:r>
              <w:rPr>
                <w:rFonts w:ascii="Times New Roman" w:hAnsi="Times New Roman" w:cs="Times New Roman"/>
                <w:sz w:val="21"/>
                <w:szCs w:val="21"/>
                <w:highlight w:val="none"/>
              </w:rPr>
              <w:t>生活垃圾由环卫清运。</w:t>
            </w:r>
          </w:p>
        </w:tc>
        <w:tc>
          <w:tcPr>
            <w:tcW w:w="1436" w:type="pct"/>
            <w:noWrap w:val="0"/>
            <w:vAlign w:val="center"/>
          </w:tcPr>
          <w:p w14:paraId="4A00EACE">
            <w:pPr>
              <w:jc w:val="center"/>
              <w:rPr>
                <w:rFonts w:hint="eastAsia" w:ascii="Times New Roman" w:hAnsi="Times New Roman" w:cs="Times New Roman"/>
                <w:sz w:val="21"/>
                <w:szCs w:val="21"/>
                <w:highlight w:val="yellow"/>
              </w:rPr>
            </w:pPr>
            <w:r>
              <w:rPr>
                <w:rFonts w:hint="eastAsia" w:ascii="Times New Roman" w:hAnsi="Times New Roman" w:cs="Times New Roman"/>
                <w:sz w:val="21"/>
                <w:szCs w:val="21"/>
                <w:highlight w:val="yellow"/>
              </w:rPr>
              <w:t>无变化</w:t>
            </w:r>
          </w:p>
        </w:tc>
      </w:tr>
      <w:tr w14:paraId="0FE61AD7">
        <w:tblPrEx>
          <w:tblBorders>
            <w:top w:val="thinThickLargeGap" w:color="auto" w:sz="12" w:space="0"/>
            <w:left w:val="none" w:color="auto" w:sz="0" w:space="0"/>
            <w:bottom w:val="thickThinLarge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75" w:type="pct"/>
            <w:vMerge w:val="continue"/>
            <w:noWrap w:val="0"/>
            <w:vAlign w:val="center"/>
          </w:tcPr>
          <w:p w14:paraId="65187425">
            <w:pPr>
              <w:snapToGrid w:val="0"/>
              <w:jc w:val="center"/>
              <w:rPr>
                <w:rFonts w:ascii="Times New Roman" w:hAnsi="Times New Roman" w:cs="Times New Roman"/>
                <w:sz w:val="21"/>
                <w:szCs w:val="21"/>
              </w:rPr>
            </w:pPr>
          </w:p>
        </w:tc>
        <w:tc>
          <w:tcPr>
            <w:tcW w:w="452" w:type="pct"/>
            <w:noWrap w:val="0"/>
            <w:vAlign w:val="center"/>
          </w:tcPr>
          <w:p w14:paraId="7734275F">
            <w:pPr>
              <w:snapToGrid w:val="0"/>
              <w:jc w:val="center"/>
              <w:rPr>
                <w:rFonts w:ascii="Times New Roman" w:hAnsi="Times New Roman" w:cs="Times New Roman"/>
                <w:sz w:val="21"/>
                <w:szCs w:val="21"/>
              </w:rPr>
            </w:pPr>
            <w:r>
              <w:rPr>
                <w:rFonts w:ascii="Times New Roman" w:hAnsi="Times New Roman" w:cs="Times New Roman"/>
                <w:sz w:val="21"/>
                <w:szCs w:val="21"/>
              </w:rPr>
              <w:t>噪声</w:t>
            </w:r>
            <w:r>
              <w:rPr>
                <w:rFonts w:hint="eastAsia" w:ascii="Times New Roman" w:hAnsi="Times New Roman" w:cs="Times New Roman"/>
                <w:sz w:val="21"/>
                <w:szCs w:val="21"/>
              </w:rPr>
              <w:t>控制</w:t>
            </w:r>
          </w:p>
        </w:tc>
        <w:tc>
          <w:tcPr>
            <w:tcW w:w="1398" w:type="pct"/>
            <w:noWrap w:val="0"/>
            <w:vAlign w:val="center"/>
          </w:tcPr>
          <w:p w14:paraId="7BA1BA99">
            <w:pPr>
              <w:adjustRightInd w:val="0"/>
              <w:snapToGrid w:val="0"/>
              <w:ind w:right="-62"/>
              <w:jc w:val="center"/>
              <w:textAlignment w:val="baseline"/>
              <w:rPr>
                <w:rFonts w:hint="eastAsia" w:ascii="Times New Roman" w:hAnsi="Times New Roman" w:cs="Times New Roman"/>
                <w:sz w:val="21"/>
                <w:szCs w:val="21"/>
              </w:rPr>
            </w:pPr>
            <w:r>
              <w:rPr>
                <w:rFonts w:ascii="Times New Roman" w:hAnsi="Times New Roman" w:cs="Times New Roman"/>
                <w:sz w:val="21"/>
                <w:szCs w:val="21"/>
              </w:rPr>
              <w:t>设备选型选用同类产品中低噪声设备，采取建筑隔声、加装消声器、减振基础等治理措施。</w:t>
            </w:r>
          </w:p>
        </w:tc>
        <w:tc>
          <w:tcPr>
            <w:tcW w:w="1436" w:type="pct"/>
            <w:noWrap w:val="0"/>
            <w:vAlign w:val="center"/>
          </w:tcPr>
          <w:p w14:paraId="2040DB74">
            <w:pPr>
              <w:rPr>
                <w:rFonts w:hint="eastAsia" w:ascii="Times New Roman" w:hAnsi="Times New Roman" w:cs="Times New Roman"/>
                <w:sz w:val="21"/>
                <w:szCs w:val="21"/>
              </w:rPr>
            </w:pPr>
            <w:r>
              <w:rPr>
                <w:rFonts w:ascii="Times New Roman" w:hAnsi="Times New Roman" w:cs="Times New Roman"/>
                <w:sz w:val="21"/>
                <w:szCs w:val="21"/>
              </w:rPr>
              <w:t>设备选型选用同类产品中低噪声设备，采取建筑隔声、加装消声器、减振基础等治理措施。</w:t>
            </w:r>
          </w:p>
        </w:tc>
        <w:tc>
          <w:tcPr>
            <w:tcW w:w="1436" w:type="pct"/>
            <w:noWrap w:val="0"/>
            <w:vAlign w:val="center"/>
          </w:tcPr>
          <w:p w14:paraId="61FB10B3">
            <w:pPr>
              <w:jc w:val="center"/>
              <w:rPr>
                <w:rFonts w:hint="eastAsia" w:ascii="Times New Roman" w:hAnsi="Times New Roman" w:cs="Times New Roman"/>
                <w:sz w:val="21"/>
                <w:szCs w:val="21"/>
              </w:rPr>
            </w:pPr>
            <w:r>
              <w:rPr>
                <w:rFonts w:hint="eastAsia" w:ascii="Times New Roman" w:hAnsi="Times New Roman" w:cs="Times New Roman"/>
                <w:sz w:val="21"/>
                <w:szCs w:val="21"/>
              </w:rPr>
              <w:t>无变化</w:t>
            </w:r>
          </w:p>
        </w:tc>
      </w:tr>
      <w:bookmarkEnd w:id="250"/>
    </w:tbl>
    <w:p w14:paraId="2208189C">
      <w:pPr>
        <w:pStyle w:val="7"/>
      </w:pPr>
      <w:bookmarkStart w:id="251" w:name="_Toc16577"/>
      <w:bookmarkStart w:id="252" w:name="_Toc90026249"/>
      <w:r>
        <w:rPr>
          <w:rFonts w:hint="eastAsia"/>
          <w:lang w:eastAsia="zh-CN"/>
        </w:rPr>
        <w:t>3</w:t>
      </w:r>
      <w:r>
        <w:t>.</w:t>
      </w:r>
      <w:r>
        <w:rPr>
          <w:rFonts w:hint="eastAsia"/>
          <w:lang w:eastAsia="zh-CN"/>
        </w:rPr>
        <w:t>1</w:t>
      </w:r>
      <w:r>
        <w:t>.3 产品</w:t>
      </w:r>
      <w:r>
        <w:rPr>
          <w:rFonts w:hint="eastAsia"/>
          <w:lang w:eastAsia="zh-CN"/>
        </w:rPr>
        <w:t>方案</w:t>
      </w:r>
      <w:bookmarkEnd w:id="251"/>
      <w:bookmarkEnd w:id="252"/>
    </w:p>
    <w:p w14:paraId="5C4A4AFF">
      <w:pPr>
        <w:spacing w:line="500" w:lineRule="exact"/>
        <w:ind w:right="6" w:firstLine="480" w:firstLineChars="200"/>
        <w:jc w:val="both"/>
        <w:rPr>
          <w:rFonts w:hint="eastAsia" w:ascii="Times New Roman" w:hAnsi="Times New Roman" w:cs="Times New Roman"/>
        </w:rPr>
      </w:pPr>
      <w:r>
        <w:rPr>
          <w:rFonts w:hint="eastAsia" w:ascii="Times New Roman" w:hAnsi="Times New Roman" w:cs="Times New Roman"/>
        </w:rPr>
        <w:t>本项目烧结机升级改造，竖炉及配套</w:t>
      </w:r>
      <w:r>
        <w:rPr>
          <w:rFonts w:hint="eastAsia" w:ascii="Times New Roman" w:hAnsi="Times New Roman" w:cs="Times New Roman"/>
          <w:lang w:val="en-US" w:eastAsia="zh-CN"/>
        </w:rPr>
        <w:t>设备</w:t>
      </w:r>
      <w:r>
        <w:rPr>
          <w:rFonts w:hint="eastAsia" w:ascii="Times New Roman" w:hAnsi="Times New Roman" w:cs="Times New Roman"/>
        </w:rPr>
        <w:t>升级</w:t>
      </w:r>
      <w:r>
        <w:rPr>
          <w:rFonts w:hint="eastAsia" w:ascii="Times New Roman" w:hAnsi="Times New Roman" w:cs="Times New Roman"/>
          <w:lang w:val="en-US" w:eastAsia="zh-CN"/>
        </w:rPr>
        <w:t>改造，配套</w:t>
      </w:r>
      <w:r>
        <w:rPr>
          <w:rFonts w:hint="eastAsia" w:ascii="Times New Roman" w:hAnsi="Times New Roman" w:cs="Times New Roman"/>
        </w:rPr>
        <w:t>烟气治理工程</w:t>
      </w:r>
      <w:r>
        <w:rPr>
          <w:rFonts w:hint="eastAsia" w:ascii="Times New Roman" w:hAnsi="Times New Roman" w:cs="Times New Roman"/>
          <w:lang w:val="en-US" w:eastAsia="zh-CN"/>
        </w:rPr>
        <w:t>升级</w:t>
      </w:r>
      <w:r>
        <w:rPr>
          <w:rFonts w:hint="eastAsia" w:ascii="Times New Roman" w:hAnsi="Times New Roman" w:cs="Times New Roman"/>
        </w:rPr>
        <w:t>，本次技改总产能不增加。目前，</w:t>
      </w:r>
      <w:r>
        <w:rPr>
          <w:rFonts w:hint="eastAsia" w:ascii="Times New Roman" w:hAnsi="Times New Roman" w:cs="Times New Roman"/>
          <w:lang w:val="en-US" w:eastAsia="zh-CN"/>
        </w:rPr>
        <w:t>年产烧结矿66万吨；</w:t>
      </w:r>
      <w:r>
        <w:rPr>
          <w:rFonts w:hint="eastAsia" w:ascii="Times New Roman" w:hAnsi="Times New Roman" w:cs="Times New Roman"/>
          <w:vertAlign w:val="baseline"/>
          <w:lang w:val="en-US" w:eastAsia="zh-CN"/>
        </w:rPr>
        <w:t>年产球团矿14万吨；年产铸铁26万吨，铁水38.8万吨；年产生石灰4.5万吨。</w:t>
      </w:r>
      <w:r>
        <w:rPr>
          <w:rFonts w:hint="eastAsia" w:ascii="Times New Roman" w:hAnsi="Times New Roman" w:cs="Times New Roman"/>
        </w:rPr>
        <w:t>本项目实施后产品方案发生变化，生产能力未发生变化。</w:t>
      </w:r>
    </w:p>
    <w:p w14:paraId="7C82B099">
      <w:pPr>
        <w:spacing w:line="500" w:lineRule="exact"/>
        <w:ind w:right="6" w:firstLine="480" w:firstLineChars="200"/>
        <w:jc w:val="both"/>
        <w:rPr>
          <w:rFonts w:hint="eastAsia" w:ascii="Times New Roman" w:hAnsi="Times New Roman" w:cs="Times New Roman"/>
        </w:rPr>
      </w:pPr>
      <w:r>
        <w:rPr>
          <w:rFonts w:hint="eastAsia" w:ascii="Times New Roman" w:hAnsi="Times New Roman" w:cs="Times New Roman"/>
        </w:rPr>
        <w:t>技改前后全厂产品方案对比见表3.1-3。</w:t>
      </w:r>
    </w:p>
    <w:p w14:paraId="3FA57B39">
      <w:pPr>
        <w:adjustRightInd w:val="0"/>
        <w:snapToGrid w:val="0"/>
        <w:spacing w:before="143" w:beforeLines="30" w:line="360" w:lineRule="auto"/>
        <w:jc w:val="center"/>
        <w:rPr>
          <w:rFonts w:ascii="Times New Roman" w:hAnsi="Times New Roman" w:eastAsia="黑体" w:cs="Times New Roman"/>
        </w:rPr>
      </w:pPr>
      <w:r>
        <w:rPr>
          <w:rFonts w:ascii="Times New Roman" w:hAnsi="Times New Roman" w:eastAsia="黑体" w:cs="Times New Roman"/>
        </w:rPr>
        <w:t xml:space="preserve">表3.1-3  </w:t>
      </w:r>
      <w:r>
        <w:rPr>
          <w:rFonts w:hint="eastAsia" w:ascii="Times New Roman" w:hAnsi="Times New Roman" w:eastAsia="黑体" w:cs="Times New Roman"/>
        </w:rPr>
        <w:t>技改前后全厂</w:t>
      </w:r>
      <w:r>
        <w:rPr>
          <w:rFonts w:ascii="Times New Roman" w:hAnsi="Times New Roman" w:eastAsia="黑体" w:cs="Times New Roman"/>
        </w:rPr>
        <w:t>产品方案</w:t>
      </w:r>
      <w:r>
        <w:rPr>
          <w:rFonts w:hint="eastAsia" w:ascii="Times New Roman" w:hAnsi="Times New Roman" w:eastAsia="黑体" w:cs="Times New Roman"/>
        </w:rPr>
        <w:t>对比</w:t>
      </w:r>
      <w:r>
        <w:rPr>
          <w:rFonts w:ascii="Times New Roman" w:hAnsi="Times New Roman" w:eastAsia="黑体" w:cs="Times New Roman"/>
        </w:rPr>
        <w:t>一览表</w:t>
      </w:r>
    </w:p>
    <w:tbl>
      <w:tblPr>
        <w:tblStyle w:val="56"/>
        <w:tblW w:w="5000" w:type="pct"/>
        <w:jc w:val="center"/>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1101"/>
        <w:gridCol w:w="1982"/>
        <w:gridCol w:w="1274"/>
        <w:gridCol w:w="1277"/>
        <w:gridCol w:w="3087"/>
      </w:tblGrid>
      <w:tr w14:paraId="53213C50">
        <w:tblPrEx>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72" w:hRule="atLeast"/>
          <w:tblHeader/>
          <w:jc w:val="center"/>
        </w:trPr>
        <w:tc>
          <w:tcPr>
            <w:tcW w:w="631" w:type="pct"/>
            <w:shd w:val="clear" w:color="auto" w:fill="E0E0E0"/>
            <w:noWrap w:val="0"/>
            <w:vAlign w:val="center"/>
          </w:tcPr>
          <w:p w14:paraId="21C343C6">
            <w:pPr>
              <w:jc w:val="center"/>
              <w:rPr>
                <w:rFonts w:ascii="Times New Roman" w:hAnsi="Times New Roman" w:cs="Times New Roman"/>
                <w:sz w:val="21"/>
                <w:szCs w:val="21"/>
              </w:rPr>
            </w:pPr>
            <w:r>
              <w:rPr>
                <w:rFonts w:ascii="Times New Roman" w:hAnsi="Times New Roman" w:cs="Times New Roman"/>
                <w:sz w:val="21"/>
                <w:szCs w:val="21"/>
              </w:rPr>
              <w:t>类别</w:t>
            </w:r>
          </w:p>
        </w:tc>
        <w:tc>
          <w:tcPr>
            <w:tcW w:w="1136" w:type="pct"/>
            <w:shd w:val="clear" w:color="auto" w:fill="E0E0E0"/>
            <w:noWrap w:val="0"/>
            <w:vAlign w:val="center"/>
          </w:tcPr>
          <w:p w14:paraId="167AA5DC">
            <w:pPr>
              <w:jc w:val="center"/>
              <w:rPr>
                <w:rFonts w:ascii="Times New Roman" w:hAnsi="Times New Roman" w:cs="Times New Roman"/>
                <w:sz w:val="21"/>
                <w:szCs w:val="21"/>
              </w:rPr>
            </w:pPr>
            <w:r>
              <w:rPr>
                <w:rFonts w:ascii="Times New Roman" w:hAnsi="Times New Roman" w:cs="Times New Roman"/>
                <w:sz w:val="21"/>
                <w:szCs w:val="21"/>
              </w:rPr>
              <w:t>名称</w:t>
            </w:r>
          </w:p>
        </w:tc>
        <w:tc>
          <w:tcPr>
            <w:tcW w:w="730" w:type="pct"/>
            <w:shd w:val="clear" w:color="auto" w:fill="E0E0E0"/>
            <w:noWrap w:val="0"/>
            <w:vAlign w:val="center"/>
          </w:tcPr>
          <w:p w14:paraId="0FE8811E">
            <w:pPr>
              <w:jc w:val="center"/>
              <w:rPr>
                <w:rFonts w:ascii="Times New Roman" w:hAnsi="Times New Roman" w:cs="Times New Roman"/>
                <w:sz w:val="21"/>
                <w:szCs w:val="21"/>
              </w:rPr>
            </w:pPr>
            <w:r>
              <w:rPr>
                <w:rFonts w:hint="eastAsia" w:ascii="Times New Roman" w:hAnsi="Times New Roman" w:cs="Times New Roman"/>
                <w:sz w:val="21"/>
                <w:szCs w:val="21"/>
              </w:rPr>
              <w:t>技改前</w:t>
            </w:r>
            <w:r>
              <w:rPr>
                <w:rFonts w:ascii="Times New Roman" w:hAnsi="Times New Roman" w:cs="Times New Roman"/>
                <w:sz w:val="21"/>
                <w:szCs w:val="21"/>
              </w:rPr>
              <w:t>产量（</w:t>
            </w:r>
            <w:r>
              <w:rPr>
                <w:rFonts w:hint="eastAsia" w:ascii="Times New Roman" w:hAnsi="Times New Roman" w:cs="Times New Roman"/>
                <w:sz w:val="21"/>
                <w:szCs w:val="21"/>
              </w:rPr>
              <w:t>万</w:t>
            </w:r>
            <w:r>
              <w:rPr>
                <w:rFonts w:ascii="Times New Roman" w:hAnsi="Times New Roman" w:cs="Times New Roman"/>
                <w:sz w:val="21"/>
                <w:szCs w:val="21"/>
              </w:rPr>
              <w:t>t/a）</w:t>
            </w:r>
          </w:p>
        </w:tc>
        <w:tc>
          <w:tcPr>
            <w:tcW w:w="732" w:type="pct"/>
            <w:shd w:val="clear" w:color="auto" w:fill="E0E0E0"/>
            <w:noWrap w:val="0"/>
            <w:vAlign w:val="center"/>
          </w:tcPr>
          <w:p w14:paraId="344CA546">
            <w:pPr>
              <w:jc w:val="center"/>
              <w:rPr>
                <w:rFonts w:hint="eastAsia" w:ascii="Times New Roman" w:hAnsi="Times New Roman" w:cs="Times New Roman"/>
                <w:sz w:val="21"/>
                <w:szCs w:val="21"/>
              </w:rPr>
            </w:pPr>
            <w:r>
              <w:rPr>
                <w:rFonts w:hint="eastAsia" w:ascii="Times New Roman" w:hAnsi="Times New Roman" w:cs="Times New Roman"/>
                <w:sz w:val="21"/>
                <w:szCs w:val="21"/>
              </w:rPr>
              <w:t>技改后</w:t>
            </w:r>
            <w:r>
              <w:rPr>
                <w:rFonts w:ascii="Times New Roman" w:hAnsi="Times New Roman" w:cs="Times New Roman"/>
                <w:sz w:val="21"/>
                <w:szCs w:val="21"/>
              </w:rPr>
              <w:t>产量（</w:t>
            </w:r>
            <w:r>
              <w:rPr>
                <w:rFonts w:hint="eastAsia" w:ascii="Times New Roman" w:hAnsi="Times New Roman" w:cs="Times New Roman"/>
                <w:sz w:val="21"/>
                <w:szCs w:val="21"/>
              </w:rPr>
              <w:t>万</w:t>
            </w:r>
            <w:r>
              <w:rPr>
                <w:rFonts w:ascii="Times New Roman" w:hAnsi="Times New Roman" w:cs="Times New Roman"/>
                <w:sz w:val="21"/>
                <w:szCs w:val="21"/>
              </w:rPr>
              <w:t>t/a）</w:t>
            </w:r>
          </w:p>
        </w:tc>
        <w:tc>
          <w:tcPr>
            <w:tcW w:w="1769" w:type="pct"/>
            <w:shd w:val="clear" w:color="auto" w:fill="E0E0E0"/>
            <w:noWrap w:val="0"/>
            <w:vAlign w:val="center"/>
          </w:tcPr>
          <w:p w14:paraId="6F3FFB52">
            <w:pPr>
              <w:jc w:val="center"/>
              <w:rPr>
                <w:rFonts w:ascii="Times New Roman" w:hAnsi="Times New Roman" w:cs="Times New Roman"/>
                <w:sz w:val="21"/>
                <w:szCs w:val="21"/>
              </w:rPr>
            </w:pPr>
            <w:r>
              <w:rPr>
                <w:rFonts w:hint="eastAsia" w:ascii="Times New Roman" w:hAnsi="Times New Roman" w:cs="Times New Roman"/>
                <w:sz w:val="21"/>
                <w:szCs w:val="21"/>
              </w:rPr>
              <w:t>变化情况</w:t>
            </w:r>
          </w:p>
        </w:tc>
      </w:tr>
      <w:tr w14:paraId="0F6BBCA9">
        <w:tblPrEx>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72" w:hRule="atLeast"/>
          <w:jc w:val="center"/>
        </w:trPr>
        <w:tc>
          <w:tcPr>
            <w:tcW w:w="631" w:type="pct"/>
            <w:noWrap w:val="0"/>
            <w:vAlign w:val="center"/>
          </w:tcPr>
          <w:p w14:paraId="165E3145">
            <w:pPr>
              <w:jc w:val="center"/>
              <w:rPr>
                <w:rFonts w:ascii="Times New Roman" w:hAnsi="Times New Roman" w:cs="Times New Roman"/>
                <w:sz w:val="21"/>
                <w:szCs w:val="21"/>
              </w:rPr>
            </w:pPr>
            <w:r>
              <w:rPr>
                <w:rFonts w:ascii="Times New Roman" w:hAnsi="Times New Roman" w:cs="Times New Roman"/>
                <w:sz w:val="21"/>
                <w:szCs w:val="21"/>
              </w:rPr>
              <w:t>产品</w:t>
            </w:r>
          </w:p>
        </w:tc>
        <w:tc>
          <w:tcPr>
            <w:tcW w:w="1136" w:type="pct"/>
            <w:noWrap w:val="0"/>
            <w:vAlign w:val="center"/>
          </w:tcPr>
          <w:p w14:paraId="61E0F460">
            <w:pPr>
              <w:jc w:val="center"/>
              <w:rPr>
                <w:rFonts w:ascii="Times New Roman" w:hAnsi="Times New Roman" w:eastAsia="宋体" w:cs="Times New Roman"/>
                <w:sz w:val="21"/>
                <w:szCs w:val="21"/>
              </w:rPr>
            </w:pPr>
            <w:r>
              <w:rPr>
                <w:rFonts w:hint="eastAsia" w:ascii="Times New Roman" w:hAnsi="Times New Roman" w:eastAsia="宋体" w:cs="Times New Roman"/>
                <w:sz w:val="21"/>
                <w:szCs w:val="21"/>
                <w:lang w:val="en-US" w:eastAsia="zh-CN"/>
              </w:rPr>
              <w:t>生铁</w:t>
            </w:r>
          </w:p>
        </w:tc>
        <w:tc>
          <w:tcPr>
            <w:tcW w:w="730" w:type="pct"/>
            <w:noWrap w:val="0"/>
            <w:vAlign w:val="center"/>
          </w:tcPr>
          <w:p w14:paraId="070AF4D8">
            <w:pPr>
              <w:jc w:val="center"/>
              <w:rPr>
                <w:rFonts w:hint="default" w:ascii="Times New Roman" w:hAnsi="Times New Roman" w:eastAsia="宋体" w:cs="Times New Roman"/>
                <w:sz w:val="21"/>
                <w:szCs w:val="21"/>
                <w:lang w:val="en-US" w:eastAsia="zh-CN"/>
              </w:rPr>
            </w:pPr>
            <w:r>
              <w:rPr>
                <w:rFonts w:hint="eastAsia" w:ascii="Times New Roman" w:hAnsi="Times New Roman" w:cs="Times New Roman"/>
                <w:sz w:val="21"/>
                <w:szCs w:val="21"/>
                <w:lang w:val="en-US" w:eastAsia="zh-CN"/>
              </w:rPr>
              <w:t>26</w:t>
            </w:r>
          </w:p>
        </w:tc>
        <w:tc>
          <w:tcPr>
            <w:tcW w:w="732" w:type="pct"/>
            <w:noWrap w:val="0"/>
            <w:vAlign w:val="center"/>
          </w:tcPr>
          <w:p w14:paraId="128AEDEC">
            <w:pPr>
              <w:jc w:val="center"/>
              <w:rPr>
                <w:rFonts w:ascii="Times New Roman" w:hAnsi="Times New Roman" w:cs="Times New Roman"/>
                <w:sz w:val="21"/>
                <w:szCs w:val="21"/>
              </w:rPr>
            </w:pPr>
            <w:r>
              <w:rPr>
                <w:rFonts w:hint="eastAsia" w:ascii="Times New Roman" w:hAnsi="Times New Roman" w:cs="Times New Roman"/>
                <w:sz w:val="21"/>
                <w:szCs w:val="21"/>
                <w:lang w:val="en-US" w:eastAsia="zh-CN"/>
              </w:rPr>
              <w:t>26</w:t>
            </w:r>
          </w:p>
        </w:tc>
        <w:tc>
          <w:tcPr>
            <w:tcW w:w="1769" w:type="pct"/>
            <w:noWrap w:val="0"/>
            <w:vAlign w:val="center"/>
          </w:tcPr>
          <w:p w14:paraId="7FA22EF8">
            <w:pPr>
              <w:jc w:val="center"/>
              <w:rPr>
                <w:rFonts w:ascii="Times New Roman" w:hAnsi="Times New Roman" w:cs="Times New Roman"/>
                <w:i/>
                <w:sz w:val="21"/>
                <w:szCs w:val="21"/>
              </w:rPr>
            </w:pPr>
            <w:r>
              <w:rPr>
                <w:rFonts w:hint="eastAsia" w:ascii="Times New Roman" w:hAnsi="Times New Roman" w:cs="Times New Roman"/>
                <w:sz w:val="21"/>
                <w:szCs w:val="21"/>
              </w:rPr>
              <w:t>无变化</w:t>
            </w:r>
          </w:p>
        </w:tc>
      </w:tr>
      <w:tr w14:paraId="38B74F20">
        <w:tblPrEx>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72" w:hRule="atLeast"/>
          <w:jc w:val="center"/>
        </w:trPr>
        <w:tc>
          <w:tcPr>
            <w:tcW w:w="631" w:type="pct"/>
            <w:vMerge w:val="restart"/>
            <w:noWrap w:val="0"/>
            <w:vAlign w:val="center"/>
          </w:tcPr>
          <w:p w14:paraId="724AD5CB">
            <w:pPr>
              <w:jc w:val="center"/>
              <w:rPr>
                <w:rFonts w:ascii="Times New Roman" w:hAnsi="Times New Roman" w:cs="Times New Roman"/>
                <w:sz w:val="21"/>
                <w:szCs w:val="21"/>
              </w:rPr>
            </w:pPr>
            <w:r>
              <w:rPr>
                <w:rFonts w:ascii="Times New Roman" w:hAnsi="Times New Roman" w:cs="Times New Roman"/>
                <w:sz w:val="21"/>
                <w:szCs w:val="21"/>
              </w:rPr>
              <w:t>中间产品</w:t>
            </w:r>
          </w:p>
        </w:tc>
        <w:tc>
          <w:tcPr>
            <w:tcW w:w="1136" w:type="pct"/>
            <w:noWrap w:val="0"/>
            <w:vAlign w:val="center"/>
          </w:tcPr>
          <w:p w14:paraId="4866F843">
            <w:pPr>
              <w:jc w:val="center"/>
              <w:rPr>
                <w:rFonts w:ascii="Times New Roman" w:hAnsi="Times New Roman" w:eastAsia="宋体" w:cs="Times New Roman"/>
                <w:sz w:val="21"/>
                <w:szCs w:val="21"/>
              </w:rPr>
            </w:pPr>
            <w:r>
              <w:rPr>
                <w:rFonts w:hint="eastAsia" w:ascii="Times New Roman" w:hAnsi="Times New Roman" w:eastAsia="宋体" w:cs="Times New Roman"/>
                <w:sz w:val="21"/>
                <w:szCs w:val="21"/>
                <w:lang w:val="en-US" w:eastAsia="zh-CN"/>
              </w:rPr>
              <w:t>烧结矿</w:t>
            </w:r>
          </w:p>
        </w:tc>
        <w:tc>
          <w:tcPr>
            <w:tcW w:w="730" w:type="pct"/>
            <w:noWrap w:val="0"/>
            <w:vAlign w:val="center"/>
          </w:tcPr>
          <w:p w14:paraId="52044993">
            <w:pPr>
              <w:jc w:val="center"/>
              <w:rPr>
                <w:rFonts w:hint="default" w:ascii="Times New Roman" w:hAnsi="Times New Roman" w:eastAsia="宋体" w:cs="Times New Roman"/>
                <w:sz w:val="21"/>
                <w:szCs w:val="21"/>
                <w:lang w:val="en-US" w:eastAsia="zh-CN"/>
              </w:rPr>
            </w:pPr>
            <w:r>
              <w:rPr>
                <w:rFonts w:hint="eastAsia" w:ascii="Times New Roman" w:hAnsi="Times New Roman" w:cs="Times New Roman"/>
                <w:sz w:val="21"/>
                <w:szCs w:val="21"/>
                <w:lang w:val="en-US" w:eastAsia="zh-CN"/>
              </w:rPr>
              <w:t>66</w:t>
            </w:r>
          </w:p>
        </w:tc>
        <w:tc>
          <w:tcPr>
            <w:tcW w:w="1277" w:type="dxa"/>
            <w:noWrap w:val="0"/>
            <w:vAlign w:val="center"/>
          </w:tcPr>
          <w:p w14:paraId="6B8A929E">
            <w:pPr>
              <w:jc w:val="center"/>
              <w:rPr>
                <w:rFonts w:hint="eastAsia" w:ascii="Times New Roman" w:hAnsi="Times New Roman" w:cs="Times New Roman"/>
                <w:sz w:val="21"/>
                <w:szCs w:val="21"/>
              </w:rPr>
            </w:pPr>
            <w:r>
              <w:rPr>
                <w:rFonts w:hint="eastAsia" w:ascii="Times New Roman" w:hAnsi="Times New Roman" w:cs="Times New Roman"/>
                <w:sz w:val="21"/>
                <w:szCs w:val="21"/>
                <w:lang w:val="en-US" w:eastAsia="zh-CN"/>
              </w:rPr>
              <w:t>66</w:t>
            </w:r>
          </w:p>
        </w:tc>
        <w:tc>
          <w:tcPr>
            <w:tcW w:w="1769" w:type="pct"/>
            <w:noWrap w:val="0"/>
            <w:vAlign w:val="center"/>
          </w:tcPr>
          <w:p w14:paraId="00B386DF">
            <w:pPr>
              <w:jc w:val="center"/>
              <w:rPr>
                <w:rFonts w:ascii="Times New Roman" w:hAnsi="Times New Roman" w:cs="Times New Roman"/>
                <w:sz w:val="21"/>
                <w:szCs w:val="21"/>
              </w:rPr>
            </w:pPr>
            <w:r>
              <w:rPr>
                <w:rFonts w:hint="eastAsia" w:ascii="Times New Roman" w:hAnsi="Times New Roman" w:cs="Times New Roman"/>
                <w:sz w:val="21"/>
                <w:szCs w:val="21"/>
              </w:rPr>
              <w:t>无变化</w:t>
            </w:r>
          </w:p>
        </w:tc>
      </w:tr>
      <w:tr w14:paraId="159B1383">
        <w:tblPrEx>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72" w:hRule="atLeast"/>
          <w:jc w:val="center"/>
        </w:trPr>
        <w:tc>
          <w:tcPr>
            <w:tcW w:w="631" w:type="pct"/>
            <w:vMerge w:val="continue"/>
            <w:noWrap w:val="0"/>
            <w:vAlign w:val="center"/>
          </w:tcPr>
          <w:p w14:paraId="763A5035">
            <w:pPr>
              <w:jc w:val="center"/>
              <w:rPr>
                <w:rFonts w:ascii="Times New Roman" w:hAnsi="Times New Roman" w:cs="Times New Roman"/>
                <w:sz w:val="21"/>
                <w:szCs w:val="21"/>
              </w:rPr>
            </w:pPr>
          </w:p>
        </w:tc>
        <w:tc>
          <w:tcPr>
            <w:tcW w:w="1136" w:type="pct"/>
            <w:noWrap w:val="0"/>
            <w:vAlign w:val="center"/>
          </w:tcPr>
          <w:p w14:paraId="262E36B8">
            <w:pPr>
              <w:jc w:val="center"/>
              <w:rPr>
                <w:rFonts w:hint="eastAsia" w:ascii="Times New Roman" w:hAnsi="Times New Roman" w:eastAsia="宋体" w:cs="Times New Roman"/>
                <w:sz w:val="21"/>
                <w:szCs w:val="21"/>
              </w:rPr>
            </w:pPr>
            <w:r>
              <w:rPr>
                <w:rFonts w:hint="eastAsia" w:ascii="Times New Roman" w:hAnsi="Times New Roman" w:eastAsia="宋体" w:cs="Times New Roman"/>
                <w:sz w:val="21"/>
                <w:szCs w:val="21"/>
                <w:lang w:val="en-US" w:eastAsia="zh-CN"/>
              </w:rPr>
              <w:t>球团矿</w:t>
            </w:r>
          </w:p>
        </w:tc>
        <w:tc>
          <w:tcPr>
            <w:tcW w:w="730" w:type="pct"/>
            <w:noWrap w:val="0"/>
            <w:vAlign w:val="center"/>
          </w:tcPr>
          <w:p w14:paraId="1BC7BE0C">
            <w:pPr>
              <w:jc w:val="center"/>
              <w:rPr>
                <w:rFonts w:hint="default" w:ascii="Times New Roman" w:hAnsi="Times New Roman" w:eastAsia="宋体" w:cs="Times New Roman"/>
                <w:sz w:val="21"/>
                <w:szCs w:val="21"/>
                <w:lang w:val="en-US" w:eastAsia="zh-CN"/>
              </w:rPr>
            </w:pPr>
            <w:r>
              <w:rPr>
                <w:rFonts w:hint="eastAsia" w:ascii="Times New Roman" w:hAnsi="Times New Roman" w:cs="Times New Roman"/>
                <w:sz w:val="21"/>
                <w:szCs w:val="21"/>
                <w:lang w:val="en-US" w:eastAsia="zh-CN"/>
              </w:rPr>
              <w:t>14</w:t>
            </w:r>
          </w:p>
        </w:tc>
        <w:tc>
          <w:tcPr>
            <w:tcW w:w="1277" w:type="dxa"/>
            <w:noWrap w:val="0"/>
            <w:vAlign w:val="center"/>
          </w:tcPr>
          <w:p w14:paraId="3D2F0DFC">
            <w:pPr>
              <w:jc w:val="center"/>
              <w:rPr>
                <w:rFonts w:hint="eastAsia" w:ascii="Times New Roman" w:hAnsi="Times New Roman" w:cs="Times New Roman"/>
                <w:sz w:val="21"/>
                <w:szCs w:val="21"/>
              </w:rPr>
            </w:pPr>
            <w:r>
              <w:rPr>
                <w:rFonts w:hint="eastAsia" w:ascii="Times New Roman" w:hAnsi="Times New Roman" w:cs="Times New Roman"/>
                <w:sz w:val="21"/>
                <w:szCs w:val="21"/>
                <w:lang w:val="en-US" w:eastAsia="zh-CN"/>
              </w:rPr>
              <w:t>14</w:t>
            </w:r>
          </w:p>
        </w:tc>
        <w:tc>
          <w:tcPr>
            <w:tcW w:w="1769" w:type="pct"/>
            <w:noWrap w:val="0"/>
            <w:vAlign w:val="center"/>
          </w:tcPr>
          <w:p w14:paraId="72F3D62D">
            <w:pPr>
              <w:jc w:val="center"/>
              <w:rPr>
                <w:rFonts w:hint="eastAsia" w:ascii="Times New Roman" w:hAnsi="Times New Roman" w:cs="Times New Roman"/>
                <w:sz w:val="21"/>
                <w:szCs w:val="21"/>
              </w:rPr>
            </w:pPr>
            <w:r>
              <w:rPr>
                <w:rFonts w:hint="eastAsia" w:ascii="Times New Roman" w:hAnsi="Times New Roman" w:cs="Times New Roman"/>
                <w:sz w:val="21"/>
                <w:szCs w:val="21"/>
              </w:rPr>
              <w:t>无变化</w:t>
            </w:r>
          </w:p>
        </w:tc>
      </w:tr>
      <w:tr w14:paraId="13BD448C">
        <w:tblPrEx>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72" w:hRule="atLeast"/>
          <w:jc w:val="center"/>
        </w:trPr>
        <w:tc>
          <w:tcPr>
            <w:tcW w:w="631" w:type="pct"/>
            <w:vMerge w:val="continue"/>
            <w:noWrap w:val="0"/>
            <w:vAlign w:val="center"/>
          </w:tcPr>
          <w:p w14:paraId="2F2F125E">
            <w:pPr>
              <w:jc w:val="center"/>
              <w:rPr>
                <w:rFonts w:ascii="Times New Roman" w:hAnsi="Times New Roman" w:cs="Times New Roman"/>
                <w:sz w:val="21"/>
                <w:szCs w:val="21"/>
              </w:rPr>
            </w:pPr>
          </w:p>
        </w:tc>
        <w:tc>
          <w:tcPr>
            <w:tcW w:w="1136" w:type="pct"/>
            <w:noWrap w:val="0"/>
            <w:vAlign w:val="center"/>
          </w:tcPr>
          <w:p w14:paraId="4EE924BC">
            <w:pPr>
              <w:jc w:val="center"/>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生石灰</w:t>
            </w:r>
          </w:p>
        </w:tc>
        <w:tc>
          <w:tcPr>
            <w:tcW w:w="730" w:type="pct"/>
            <w:noWrap w:val="0"/>
            <w:vAlign w:val="center"/>
          </w:tcPr>
          <w:p w14:paraId="27C68F73">
            <w:pPr>
              <w:jc w:val="center"/>
              <w:rPr>
                <w:rFonts w:hint="default" w:ascii="Times New Roman" w:hAnsi="Times New Roman" w:eastAsia="宋体" w:cs="Times New Roman"/>
                <w:sz w:val="21"/>
                <w:szCs w:val="21"/>
                <w:lang w:val="en-US" w:eastAsia="zh-CN"/>
              </w:rPr>
            </w:pPr>
            <w:r>
              <w:rPr>
                <w:rFonts w:hint="eastAsia" w:ascii="Times New Roman" w:hAnsi="Times New Roman" w:cs="Times New Roman"/>
                <w:sz w:val="21"/>
                <w:szCs w:val="21"/>
                <w:lang w:val="en-US" w:eastAsia="zh-CN"/>
              </w:rPr>
              <w:t>4.5</w:t>
            </w:r>
          </w:p>
        </w:tc>
        <w:tc>
          <w:tcPr>
            <w:tcW w:w="1277" w:type="dxa"/>
            <w:noWrap w:val="0"/>
            <w:vAlign w:val="center"/>
          </w:tcPr>
          <w:p w14:paraId="4A5DBEC2">
            <w:pPr>
              <w:jc w:val="center"/>
              <w:rPr>
                <w:rFonts w:hint="default" w:ascii="Times New Roman" w:hAnsi="Times New Roman" w:cs="Times New Roman"/>
                <w:sz w:val="21"/>
                <w:szCs w:val="21"/>
                <w:lang w:val="en-US"/>
              </w:rPr>
            </w:pPr>
            <w:r>
              <w:rPr>
                <w:rFonts w:hint="eastAsia" w:ascii="Times New Roman" w:hAnsi="Times New Roman" w:cs="Times New Roman"/>
                <w:sz w:val="21"/>
                <w:szCs w:val="21"/>
                <w:lang w:val="en-US" w:eastAsia="zh-CN"/>
              </w:rPr>
              <w:t>4.5</w:t>
            </w:r>
          </w:p>
        </w:tc>
        <w:tc>
          <w:tcPr>
            <w:tcW w:w="1769" w:type="pct"/>
            <w:noWrap w:val="0"/>
            <w:vAlign w:val="center"/>
          </w:tcPr>
          <w:p w14:paraId="50CDCD62">
            <w:pPr>
              <w:jc w:val="center"/>
              <w:rPr>
                <w:rFonts w:hint="eastAsia" w:ascii="Times New Roman" w:hAnsi="Times New Roman" w:cs="Times New Roman"/>
                <w:sz w:val="21"/>
                <w:szCs w:val="21"/>
              </w:rPr>
            </w:pPr>
            <w:r>
              <w:rPr>
                <w:rFonts w:hint="eastAsia" w:ascii="Times New Roman" w:hAnsi="Times New Roman" w:cs="Times New Roman"/>
                <w:sz w:val="21"/>
                <w:szCs w:val="21"/>
              </w:rPr>
              <w:t>无变化</w:t>
            </w:r>
          </w:p>
        </w:tc>
      </w:tr>
    </w:tbl>
    <w:p w14:paraId="0134514B">
      <w:pPr>
        <w:spacing w:line="500" w:lineRule="exact"/>
        <w:ind w:right="6" w:firstLine="480" w:firstLineChars="200"/>
        <w:jc w:val="both"/>
        <w:rPr>
          <w:rFonts w:hint="eastAsia" w:ascii="Times New Roman" w:hAnsi="Times New Roman" w:cs="Times New Roman"/>
        </w:rPr>
      </w:pPr>
      <w:r>
        <w:rPr>
          <w:rFonts w:hint="eastAsia" w:ascii="Times New Roman" w:hAnsi="Times New Roman" w:cs="Times New Roman"/>
        </w:rPr>
        <w:t>本项目产品规格：</w:t>
      </w:r>
    </w:p>
    <w:p w14:paraId="74B752DF">
      <w:pPr>
        <w:keepNext w:val="0"/>
        <w:keepLines w:val="0"/>
        <w:widowControl/>
        <w:suppressLineNumbers w:val="0"/>
        <w:ind w:firstLine="480" w:firstLineChars="200"/>
        <w:jc w:val="left"/>
      </w:pPr>
      <w:r>
        <w:rPr>
          <w:rFonts w:hint="eastAsia" w:ascii="宋体" w:hAnsi="宋体" w:eastAsia="宋体" w:cs="宋体"/>
          <w:color w:val="000000"/>
          <w:kern w:val="0"/>
          <w:sz w:val="24"/>
          <w:szCs w:val="24"/>
          <w:lang w:val="en-US" w:eastAsia="zh-CN" w:bidi="ar"/>
        </w:rPr>
        <w:t xml:space="preserve">本项目成品球团矿粒度为 </w:t>
      </w:r>
      <w:r>
        <w:rPr>
          <w:rFonts w:hint="default" w:ascii="Times New Roman" w:hAnsi="Times New Roman" w:eastAsia="宋体" w:cs="Times New Roman"/>
          <w:color w:val="000000"/>
          <w:kern w:val="0"/>
          <w:sz w:val="24"/>
          <w:szCs w:val="24"/>
          <w:lang w:val="en-US" w:eastAsia="zh-CN" w:bidi="ar"/>
        </w:rPr>
        <w:t>8</w:t>
      </w:r>
      <w:r>
        <w:rPr>
          <w:rFonts w:hint="eastAsia" w:ascii="宋体" w:hAnsi="宋体" w:eastAsia="宋体" w:cs="宋体"/>
          <w:color w:val="000000"/>
          <w:kern w:val="0"/>
          <w:sz w:val="24"/>
          <w:szCs w:val="24"/>
          <w:lang w:val="en-US" w:eastAsia="zh-CN" w:bidi="ar"/>
        </w:rPr>
        <w:t>～</w:t>
      </w:r>
      <w:r>
        <w:rPr>
          <w:rFonts w:hint="default" w:ascii="Times New Roman" w:hAnsi="Times New Roman" w:eastAsia="宋体" w:cs="Times New Roman"/>
          <w:color w:val="000000"/>
          <w:kern w:val="0"/>
          <w:sz w:val="24"/>
          <w:szCs w:val="24"/>
          <w:lang w:val="en-US" w:eastAsia="zh-CN" w:bidi="ar"/>
        </w:rPr>
        <w:t>16mm</w:t>
      </w:r>
      <w:r>
        <w:rPr>
          <w:rFonts w:hint="eastAsia" w:ascii="宋体" w:hAnsi="宋体" w:eastAsia="宋体" w:cs="宋体"/>
          <w:color w:val="000000"/>
          <w:kern w:val="0"/>
          <w:sz w:val="24"/>
          <w:szCs w:val="24"/>
          <w:lang w:val="en-US" w:eastAsia="zh-CN" w:bidi="ar"/>
        </w:rPr>
        <w:t xml:space="preserve">，球团质量标准见表 </w:t>
      </w:r>
      <w:r>
        <w:rPr>
          <w:rFonts w:hint="default" w:ascii="Times New Roman" w:hAnsi="Times New Roman" w:eastAsia="宋体" w:cs="Times New Roman"/>
          <w:color w:val="000000"/>
          <w:kern w:val="0"/>
          <w:sz w:val="24"/>
          <w:szCs w:val="24"/>
          <w:lang w:val="en-US" w:eastAsia="zh-CN" w:bidi="ar"/>
        </w:rPr>
        <w:t>3.1-</w:t>
      </w:r>
      <w:r>
        <w:rPr>
          <w:rFonts w:hint="eastAsia" w:ascii="Times New Roman" w:hAnsi="Times New Roman" w:cs="Times New Roman"/>
          <w:color w:val="000000"/>
          <w:kern w:val="0"/>
          <w:sz w:val="24"/>
          <w:szCs w:val="24"/>
          <w:lang w:val="en-US" w:eastAsia="zh-CN" w:bidi="ar"/>
        </w:rPr>
        <w:t>4</w:t>
      </w:r>
      <w:r>
        <w:rPr>
          <w:rFonts w:hint="eastAsia" w:ascii="宋体" w:hAnsi="宋体" w:eastAsia="宋体" w:cs="宋体"/>
          <w:color w:val="000000"/>
          <w:kern w:val="0"/>
          <w:sz w:val="24"/>
          <w:szCs w:val="24"/>
          <w:lang w:val="en-US" w:eastAsia="zh-CN" w:bidi="ar"/>
        </w:rPr>
        <w:t>。</w:t>
      </w:r>
    </w:p>
    <w:p w14:paraId="657C4999">
      <w:pPr>
        <w:adjustRightInd w:val="0"/>
        <w:snapToGrid w:val="0"/>
        <w:spacing w:before="143" w:beforeLines="30" w:line="360" w:lineRule="auto"/>
        <w:jc w:val="center"/>
        <w:rPr>
          <w:rFonts w:ascii="Times New Roman" w:hAnsi="Times New Roman" w:eastAsia="黑体" w:cs="Times New Roman"/>
        </w:rPr>
      </w:pPr>
      <w:r>
        <w:rPr>
          <w:rFonts w:ascii="Times New Roman" w:hAnsi="Times New Roman" w:eastAsia="黑体" w:cs="Times New Roman"/>
        </w:rPr>
        <w:t>表</w:t>
      </w:r>
      <w:r>
        <w:rPr>
          <w:rFonts w:hint="eastAsia" w:ascii="Times New Roman" w:hAnsi="Times New Roman" w:eastAsia="黑体" w:cs="Times New Roman"/>
          <w:lang w:val="en-US" w:eastAsia="zh-CN"/>
        </w:rPr>
        <w:t>3.1</w:t>
      </w:r>
      <w:r>
        <w:rPr>
          <w:rFonts w:ascii="Times New Roman" w:hAnsi="Times New Roman" w:eastAsia="黑体" w:cs="Times New Roman"/>
        </w:rPr>
        <w:t>-</w:t>
      </w:r>
      <w:r>
        <w:rPr>
          <w:rFonts w:hint="eastAsia" w:ascii="Times New Roman" w:hAnsi="Times New Roman" w:eastAsia="黑体" w:cs="Times New Roman"/>
          <w:lang w:val="en-US" w:eastAsia="zh-CN"/>
        </w:rPr>
        <w:t>4</w:t>
      </w:r>
      <w:r>
        <w:rPr>
          <w:rFonts w:ascii="Times New Roman" w:hAnsi="Times New Roman" w:eastAsia="黑体" w:cs="Times New Roman"/>
        </w:rPr>
        <w:t xml:space="preserve"> 球团矿的质量标准</w:t>
      </w:r>
    </w:p>
    <w:tbl>
      <w:tblPr>
        <w:tblStyle w:val="56"/>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1251"/>
        <w:gridCol w:w="928"/>
        <w:gridCol w:w="2315"/>
        <w:gridCol w:w="1380"/>
        <w:gridCol w:w="2847"/>
      </w:tblGrid>
      <w:tr w14:paraId="0AC8BB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0" w:type="auto"/>
            <w:gridSpan w:val="5"/>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328D5014">
            <w:pPr>
              <w:jc w:val="center"/>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化学成分（%）</w:t>
            </w:r>
          </w:p>
        </w:tc>
      </w:tr>
      <w:tr w14:paraId="23A306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0" w:type="auto"/>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3D1B6FB7">
            <w:pPr>
              <w:jc w:val="center"/>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TFe</w:t>
            </w:r>
          </w:p>
        </w:tc>
        <w:tc>
          <w:tcPr>
            <w:tcW w:w="0" w:type="auto"/>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2109E240">
            <w:pPr>
              <w:jc w:val="center"/>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FeO</w:t>
            </w:r>
          </w:p>
        </w:tc>
        <w:tc>
          <w:tcPr>
            <w:tcW w:w="0" w:type="auto"/>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1DC0F7FA">
            <w:pPr>
              <w:jc w:val="center"/>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P</w:t>
            </w:r>
          </w:p>
        </w:tc>
        <w:tc>
          <w:tcPr>
            <w:tcW w:w="0" w:type="auto"/>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52C233F9">
            <w:pPr>
              <w:jc w:val="center"/>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S</w:t>
            </w:r>
          </w:p>
        </w:tc>
        <w:tc>
          <w:tcPr>
            <w:tcW w:w="0" w:type="auto"/>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4D1EDC5E">
            <w:pPr>
              <w:jc w:val="center"/>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碱度（R）</w:t>
            </w:r>
          </w:p>
        </w:tc>
      </w:tr>
      <w:tr w14:paraId="608142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0" w:type="auto"/>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34D07686">
            <w:pPr>
              <w:jc w:val="center"/>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≥63+0.5</w:t>
            </w:r>
          </w:p>
        </w:tc>
        <w:tc>
          <w:tcPr>
            <w:tcW w:w="0" w:type="auto"/>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20BCC14F">
            <w:pPr>
              <w:jc w:val="center"/>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≤1</w:t>
            </w:r>
          </w:p>
        </w:tc>
        <w:tc>
          <w:tcPr>
            <w:tcW w:w="0" w:type="auto"/>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59F4E3E3">
            <w:pPr>
              <w:jc w:val="center"/>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≤0.03</w:t>
            </w:r>
          </w:p>
        </w:tc>
        <w:tc>
          <w:tcPr>
            <w:tcW w:w="0" w:type="auto"/>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61EAFE06">
            <w:pPr>
              <w:jc w:val="center"/>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≤0.02</w:t>
            </w:r>
          </w:p>
        </w:tc>
        <w:tc>
          <w:tcPr>
            <w:tcW w:w="0" w:type="auto"/>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715CD5BB">
            <w:pPr>
              <w:jc w:val="center"/>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＜0.3 或≥0.8+0.025</w:t>
            </w:r>
          </w:p>
        </w:tc>
      </w:tr>
      <w:tr w14:paraId="2E11E9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0" w:type="auto"/>
            <w:gridSpan w:val="5"/>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3D981144">
            <w:pPr>
              <w:jc w:val="center"/>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粒度组成、物理性能（%）</w:t>
            </w:r>
          </w:p>
        </w:tc>
      </w:tr>
      <w:tr w14:paraId="12E1B3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0" w:type="auto"/>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3823AAD8">
            <w:pPr>
              <w:jc w:val="center"/>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8－l6mm</w:t>
            </w:r>
          </w:p>
        </w:tc>
        <w:tc>
          <w:tcPr>
            <w:tcW w:w="0" w:type="auto"/>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7D3B5C0E">
            <w:pPr>
              <w:jc w:val="center"/>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-5mm</w:t>
            </w:r>
          </w:p>
        </w:tc>
        <w:tc>
          <w:tcPr>
            <w:tcW w:w="0" w:type="auto"/>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7AF9345C">
            <w:pPr>
              <w:jc w:val="center"/>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转鼓强度（+6.3mm）（%）</w:t>
            </w:r>
          </w:p>
        </w:tc>
        <w:tc>
          <w:tcPr>
            <w:tcW w:w="0" w:type="auto"/>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613F4D9C">
            <w:pPr>
              <w:jc w:val="center"/>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耐磨指数（%）</w:t>
            </w:r>
          </w:p>
        </w:tc>
        <w:tc>
          <w:tcPr>
            <w:tcW w:w="0" w:type="auto"/>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2081C05A">
            <w:pPr>
              <w:jc w:val="center"/>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抗压强度（ N/p）</w:t>
            </w:r>
          </w:p>
        </w:tc>
      </w:tr>
      <w:tr w14:paraId="7E911C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0" w:type="auto"/>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02FD900B">
            <w:pPr>
              <w:jc w:val="center"/>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≥90</w:t>
            </w:r>
          </w:p>
        </w:tc>
        <w:tc>
          <w:tcPr>
            <w:tcW w:w="0" w:type="auto"/>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651B05D2">
            <w:pPr>
              <w:jc w:val="center"/>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≤3</w:t>
            </w:r>
          </w:p>
        </w:tc>
        <w:tc>
          <w:tcPr>
            <w:tcW w:w="0" w:type="auto"/>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6E153AA5">
            <w:pPr>
              <w:jc w:val="center"/>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≥86</w:t>
            </w:r>
          </w:p>
        </w:tc>
        <w:tc>
          <w:tcPr>
            <w:tcW w:w="0" w:type="auto"/>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3B16886D">
            <w:pPr>
              <w:jc w:val="center"/>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≤4－5</w:t>
            </w:r>
          </w:p>
        </w:tc>
        <w:tc>
          <w:tcPr>
            <w:tcW w:w="0" w:type="auto"/>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590E4C8B">
            <w:pPr>
              <w:jc w:val="center"/>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≥2500</w:t>
            </w:r>
          </w:p>
        </w:tc>
      </w:tr>
      <w:tr w14:paraId="6C7DD4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0" w:type="auto"/>
            <w:gridSpan w:val="5"/>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58C4B3F6">
            <w:pPr>
              <w:jc w:val="center"/>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冶金性能</w:t>
            </w:r>
          </w:p>
        </w:tc>
      </w:tr>
      <w:tr w14:paraId="051645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0" w:type="auto"/>
            <w:gridSpan w:val="2"/>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4BDABDC9">
            <w:pPr>
              <w:jc w:val="center"/>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还原度指数（RI）（%）</w:t>
            </w:r>
          </w:p>
        </w:tc>
        <w:tc>
          <w:tcPr>
            <w:tcW w:w="0" w:type="auto"/>
            <w:gridSpan w:val="2"/>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5581546B">
            <w:pPr>
              <w:jc w:val="center"/>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还原膨胀指数（RSI）（%）</w:t>
            </w:r>
          </w:p>
        </w:tc>
        <w:tc>
          <w:tcPr>
            <w:tcW w:w="0" w:type="auto"/>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65229075">
            <w:pPr>
              <w:jc w:val="center"/>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低温还原粉化率（+3.15mm）（%）</w:t>
            </w:r>
          </w:p>
        </w:tc>
      </w:tr>
      <w:tr w14:paraId="722866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0" w:type="auto"/>
            <w:gridSpan w:val="2"/>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06395BC4">
            <w:pPr>
              <w:jc w:val="center"/>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≥65</w:t>
            </w:r>
          </w:p>
        </w:tc>
        <w:tc>
          <w:tcPr>
            <w:tcW w:w="0" w:type="auto"/>
            <w:gridSpan w:val="2"/>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753F906B">
            <w:pPr>
              <w:jc w:val="center"/>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≤15</w:t>
            </w:r>
          </w:p>
        </w:tc>
        <w:tc>
          <w:tcPr>
            <w:tcW w:w="0" w:type="auto"/>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28ADCC01">
            <w:pPr>
              <w:jc w:val="center"/>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≥80</w:t>
            </w:r>
          </w:p>
        </w:tc>
      </w:tr>
    </w:tbl>
    <w:p w14:paraId="1376C25F">
      <w:pPr>
        <w:adjustRightInd w:val="0"/>
        <w:snapToGrid w:val="0"/>
        <w:spacing w:before="143" w:beforeLines="30" w:line="360" w:lineRule="auto"/>
        <w:jc w:val="center"/>
        <w:rPr>
          <w:rFonts w:ascii="Times New Roman" w:hAnsi="Times New Roman" w:eastAsia="黑体" w:cs="Times New Roman"/>
        </w:rPr>
      </w:pPr>
      <w:r>
        <w:rPr>
          <w:rFonts w:ascii="Times New Roman" w:hAnsi="Times New Roman" w:eastAsia="黑体" w:cs="Times New Roman"/>
        </w:rPr>
        <w:t>表</w:t>
      </w:r>
      <w:r>
        <w:rPr>
          <w:rFonts w:hint="eastAsia" w:ascii="Times New Roman" w:hAnsi="Times New Roman" w:eastAsia="黑体" w:cs="Times New Roman"/>
          <w:lang w:val="en-US" w:eastAsia="zh-CN"/>
        </w:rPr>
        <w:t>3</w:t>
      </w:r>
      <w:r>
        <w:rPr>
          <w:rFonts w:ascii="Times New Roman" w:hAnsi="Times New Roman" w:eastAsia="黑体" w:cs="Times New Roman"/>
        </w:rPr>
        <w:t>.1-</w:t>
      </w:r>
      <w:r>
        <w:rPr>
          <w:rFonts w:hint="eastAsia" w:ascii="Times New Roman" w:hAnsi="Times New Roman" w:eastAsia="黑体" w:cs="Times New Roman"/>
          <w:lang w:val="en-US" w:eastAsia="zh-CN"/>
        </w:rPr>
        <w:t>5</w:t>
      </w:r>
      <w:r>
        <w:rPr>
          <w:rFonts w:ascii="Times New Roman" w:hAnsi="Times New Roman" w:eastAsia="黑体" w:cs="Times New Roman"/>
        </w:rPr>
        <w:t xml:space="preserve"> 烧结矿化学成分一览表</w:t>
      </w:r>
    </w:p>
    <w:tbl>
      <w:tblPr>
        <w:tblStyle w:val="56"/>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1839"/>
        <w:gridCol w:w="1992"/>
        <w:gridCol w:w="1738"/>
        <w:gridCol w:w="1767"/>
        <w:gridCol w:w="1385"/>
      </w:tblGrid>
      <w:tr w14:paraId="263E28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0" w:type="auto"/>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45D05FAE">
            <w:pPr>
              <w:jc w:val="center"/>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成分</w:t>
            </w:r>
          </w:p>
        </w:tc>
        <w:tc>
          <w:tcPr>
            <w:tcW w:w="0" w:type="auto"/>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609271B8">
            <w:pPr>
              <w:jc w:val="center"/>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TFe</w:t>
            </w:r>
          </w:p>
        </w:tc>
        <w:tc>
          <w:tcPr>
            <w:tcW w:w="0" w:type="auto"/>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2BF6FBDB">
            <w:pPr>
              <w:jc w:val="center"/>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CaO</w:t>
            </w:r>
          </w:p>
        </w:tc>
        <w:tc>
          <w:tcPr>
            <w:tcW w:w="0" w:type="auto"/>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6C4CBAEE">
            <w:pPr>
              <w:jc w:val="center"/>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SiO</w:t>
            </w:r>
            <w:r>
              <w:rPr>
                <w:rFonts w:hint="eastAsia" w:ascii="Times New Roman" w:hAnsi="Times New Roman" w:eastAsia="宋体" w:cs="Times New Roman"/>
                <w:sz w:val="21"/>
                <w:szCs w:val="21"/>
                <w:vertAlign w:val="subscript"/>
                <w:lang w:val="en-US" w:eastAsia="zh-CN"/>
              </w:rPr>
              <w:t>2</w:t>
            </w:r>
          </w:p>
        </w:tc>
        <w:tc>
          <w:tcPr>
            <w:tcW w:w="0" w:type="auto"/>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562CB6CA">
            <w:pPr>
              <w:jc w:val="center"/>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R</w:t>
            </w:r>
          </w:p>
        </w:tc>
      </w:tr>
      <w:tr w14:paraId="47E568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62" w:hRule="atLeast"/>
        </w:trPr>
        <w:tc>
          <w:tcPr>
            <w:tcW w:w="0" w:type="auto"/>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254110BF">
            <w:pPr>
              <w:jc w:val="center"/>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w:t>
            </w:r>
          </w:p>
        </w:tc>
        <w:tc>
          <w:tcPr>
            <w:tcW w:w="0" w:type="auto"/>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398F5E8E">
            <w:pPr>
              <w:jc w:val="center"/>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59.54</w:t>
            </w:r>
          </w:p>
        </w:tc>
        <w:tc>
          <w:tcPr>
            <w:tcW w:w="0" w:type="auto"/>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49302186">
            <w:pPr>
              <w:jc w:val="center"/>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9.78</w:t>
            </w:r>
          </w:p>
        </w:tc>
        <w:tc>
          <w:tcPr>
            <w:tcW w:w="0" w:type="auto"/>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76E05ED8">
            <w:pPr>
              <w:jc w:val="center"/>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5.44</w:t>
            </w:r>
          </w:p>
        </w:tc>
        <w:tc>
          <w:tcPr>
            <w:tcW w:w="0" w:type="auto"/>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33786C7F">
            <w:pPr>
              <w:jc w:val="center"/>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1.8</w:t>
            </w:r>
          </w:p>
        </w:tc>
      </w:tr>
    </w:tbl>
    <w:p w14:paraId="7621AD5D">
      <w:pPr>
        <w:adjustRightInd w:val="0"/>
        <w:snapToGrid w:val="0"/>
        <w:spacing w:before="143" w:beforeLines="30" w:line="360" w:lineRule="auto"/>
        <w:jc w:val="center"/>
        <w:rPr>
          <w:rFonts w:hint="eastAsia" w:ascii="Times New Roman" w:hAnsi="Times New Roman" w:eastAsia="黑体" w:cs="Times New Roman"/>
          <w:lang w:val="en-US" w:eastAsia="zh-CN"/>
        </w:rPr>
      </w:pPr>
      <w:r>
        <w:rPr>
          <w:rFonts w:hint="eastAsia" w:ascii="Times New Roman" w:hAnsi="Times New Roman" w:eastAsia="黑体" w:cs="Times New Roman"/>
          <w:lang w:val="en-US" w:eastAsia="zh-CN"/>
        </w:rPr>
        <w:t>表3.1-6 生石灰化学成分一览表</w:t>
      </w:r>
    </w:p>
    <w:tbl>
      <w:tblPr>
        <w:tblStyle w:val="5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80"/>
        <w:gridCol w:w="2180"/>
        <w:gridCol w:w="2180"/>
        <w:gridCol w:w="2181"/>
      </w:tblGrid>
      <w:tr w14:paraId="61F65F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80" w:type="dxa"/>
            <w:noWrap w:val="0"/>
            <w:vAlign w:val="top"/>
          </w:tcPr>
          <w:p w14:paraId="764C9AA6">
            <w:pPr>
              <w:widowControl w:val="0"/>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CaO+MgO</w:t>
            </w:r>
          </w:p>
        </w:tc>
        <w:tc>
          <w:tcPr>
            <w:tcW w:w="2180" w:type="dxa"/>
            <w:noWrap w:val="0"/>
            <w:vAlign w:val="top"/>
          </w:tcPr>
          <w:p w14:paraId="65159898">
            <w:pPr>
              <w:widowControl w:val="0"/>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SO</w:t>
            </w:r>
            <w:r>
              <w:rPr>
                <w:rFonts w:hint="eastAsia" w:ascii="Times New Roman" w:hAnsi="Times New Roman" w:eastAsia="宋体" w:cs="Times New Roman"/>
                <w:sz w:val="21"/>
                <w:szCs w:val="21"/>
                <w:vertAlign w:val="subscript"/>
                <w:lang w:val="en-US" w:eastAsia="zh-CN"/>
              </w:rPr>
              <w:t>2</w:t>
            </w:r>
          </w:p>
        </w:tc>
        <w:tc>
          <w:tcPr>
            <w:tcW w:w="2180" w:type="dxa"/>
            <w:noWrap w:val="0"/>
            <w:vAlign w:val="top"/>
          </w:tcPr>
          <w:p w14:paraId="451F4F8B">
            <w:pPr>
              <w:widowControl w:val="0"/>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CO</w:t>
            </w:r>
            <w:r>
              <w:rPr>
                <w:rFonts w:hint="eastAsia" w:ascii="Times New Roman" w:hAnsi="Times New Roman" w:eastAsia="宋体" w:cs="Times New Roman"/>
                <w:sz w:val="21"/>
                <w:szCs w:val="21"/>
                <w:vertAlign w:val="subscript"/>
                <w:lang w:val="en-US" w:eastAsia="zh-CN"/>
              </w:rPr>
              <w:t>2</w:t>
            </w:r>
          </w:p>
        </w:tc>
        <w:tc>
          <w:tcPr>
            <w:tcW w:w="2181" w:type="dxa"/>
            <w:noWrap w:val="0"/>
            <w:vAlign w:val="top"/>
          </w:tcPr>
          <w:p w14:paraId="14127A08">
            <w:pPr>
              <w:widowControl w:val="0"/>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MgO</w:t>
            </w:r>
          </w:p>
        </w:tc>
      </w:tr>
      <w:tr w14:paraId="42CBA6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80" w:type="dxa"/>
            <w:noWrap w:val="0"/>
            <w:vAlign w:val="top"/>
          </w:tcPr>
          <w:p w14:paraId="0756259B">
            <w:pPr>
              <w:widowControl w:val="0"/>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≥90%</w:t>
            </w:r>
          </w:p>
        </w:tc>
        <w:tc>
          <w:tcPr>
            <w:tcW w:w="2180" w:type="dxa"/>
            <w:noWrap w:val="0"/>
            <w:vAlign w:val="top"/>
          </w:tcPr>
          <w:p w14:paraId="40488572">
            <w:pPr>
              <w:widowControl w:val="0"/>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≤2%</w:t>
            </w:r>
          </w:p>
        </w:tc>
        <w:tc>
          <w:tcPr>
            <w:tcW w:w="2180" w:type="dxa"/>
            <w:noWrap w:val="0"/>
            <w:vAlign w:val="top"/>
          </w:tcPr>
          <w:p w14:paraId="2ACC42DA">
            <w:pPr>
              <w:widowControl w:val="0"/>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≤4%</w:t>
            </w:r>
          </w:p>
        </w:tc>
        <w:tc>
          <w:tcPr>
            <w:tcW w:w="2181" w:type="dxa"/>
            <w:noWrap w:val="0"/>
            <w:vAlign w:val="top"/>
          </w:tcPr>
          <w:p w14:paraId="13220B41">
            <w:pPr>
              <w:widowControl w:val="0"/>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≤4%</w:t>
            </w:r>
          </w:p>
        </w:tc>
      </w:tr>
    </w:tbl>
    <w:p w14:paraId="6A564CB3">
      <w:pPr>
        <w:pStyle w:val="7"/>
      </w:pPr>
      <w:bookmarkStart w:id="253" w:name="_Toc2155"/>
      <w:bookmarkStart w:id="254" w:name="_Toc90026250"/>
      <w:r>
        <w:rPr>
          <w:rFonts w:hint="eastAsia"/>
          <w:lang w:eastAsia="zh-CN"/>
        </w:rPr>
        <w:t>3</w:t>
      </w:r>
      <w:r>
        <w:t>.</w:t>
      </w:r>
      <w:r>
        <w:rPr>
          <w:rFonts w:hint="eastAsia"/>
          <w:lang w:eastAsia="zh-CN"/>
        </w:rPr>
        <w:t>1</w:t>
      </w:r>
      <w:r>
        <w:t>.4 主要原辅材料</w:t>
      </w:r>
      <w:r>
        <w:rPr>
          <w:rFonts w:hint="eastAsia"/>
          <w:lang w:eastAsia="zh-CN"/>
        </w:rPr>
        <w:t>及能源</w:t>
      </w:r>
      <w:r>
        <w:t>用量</w:t>
      </w:r>
      <w:bookmarkEnd w:id="253"/>
      <w:bookmarkEnd w:id="254"/>
    </w:p>
    <w:p w14:paraId="285345D3">
      <w:pPr>
        <w:spacing w:line="500" w:lineRule="exact"/>
        <w:ind w:right="6" w:firstLine="482" w:firstLineChars="200"/>
        <w:jc w:val="both"/>
        <w:rPr>
          <w:rFonts w:hint="eastAsia" w:ascii="Times New Roman" w:hAnsi="Times New Roman" w:cs="Times New Roman"/>
          <w:b/>
        </w:rPr>
      </w:pPr>
      <w:r>
        <w:rPr>
          <w:rFonts w:hint="eastAsia" w:ascii="Times New Roman" w:hAnsi="Times New Roman" w:cs="Times New Roman"/>
          <w:b/>
        </w:rPr>
        <w:t>（1）原辅材料及能源用量</w:t>
      </w:r>
    </w:p>
    <w:p w14:paraId="5818D623">
      <w:pPr>
        <w:spacing w:line="500" w:lineRule="exact"/>
        <w:ind w:right="6" w:firstLine="480" w:firstLineChars="200"/>
        <w:jc w:val="both"/>
        <w:rPr>
          <w:rFonts w:hint="eastAsia" w:ascii="Times New Roman" w:hAnsi="Times New Roman" w:cs="Times New Roman"/>
        </w:rPr>
      </w:pPr>
      <w:r>
        <w:rPr>
          <w:rFonts w:hint="eastAsia" w:ascii="Times New Roman" w:hAnsi="Times New Roman" w:cs="Times New Roman"/>
        </w:rPr>
        <w:t>本项目原辅材料用量情况见表3.1-</w:t>
      </w:r>
      <w:r>
        <w:rPr>
          <w:rFonts w:hint="eastAsia" w:ascii="Times New Roman" w:hAnsi="Times New Roman" w:cs="Times New Roman"/>
          <w:lang w:val="en-US" w:eastAsia="zh-CN"/>
        </w:rPr>
        <w:t>7</w:t>
      </w:r>
      <w:r>
        <w:rPr>
          <w:rFonts w:hint="eastAsia" w:ascii="Times New Roman" w:hAnsi="Times New Roman" w:cs="Times New Roman"/>
        </w:rPr>
        <w:t>。</w:t>
      </w:r>
    </w:p>
    <w:p w14:paraId="3475A806">
      <w:pPr>
        <w:adjustRightInd w:val="0"/>
        <w:jc w:val="center"/>
        <w:rPr>
          <w:rFonts w:hint="eastAsia" w:ascii="Times New Roman" w:hAnsi="Times New Roman" w:eastAsia="黑体" w:cs="Times New Roman"/>
        </w:rPr>
      </w:pPr>
      <w:r>
        <w:rPr>
          <w:rFonts w:ascii="Times New Roman" w:hAnsi="Times New Roman" w:eastAsia="黑体" w:cs="Times New Roman"/>
        </w:rPr>
        <w:t>表</w:t>
      </w:r>
      <w:r>
        <w:rPr>
          <w:rFonts w:hint="eastAsia" w:ascii="Times New Roman" w:hAnsi="Times New Roman" w:eastAsia="黑体" w:cs="Times New Roman"/>
        </w:rPr>
        <w:t>3.1-</w:t>
      </w:r>
      <w:r>
        <w:rPr>
          <w:rFonts w:hint="eastAsia" w:ascii="Times New Roman" w:hAnsi="Times New Roman" w:eastAsia="黑体" w:cs="Times New Roman"/>
          <w:lang w:val="en-US" w:eastAsia="zh-CN"/>
        </w:rPr>
        <w:t>7</w:t>
      </w:r>
      <w:r>
        <w:rPr>
          <w:rFonts w:ascii="Times New Roman" w:hAnsi="Times New Roman" w:eastAsia="黑体" w:cs="Times New Roman"/>
        </w:rPr>
        <w:t xml:space="preserve">  </w:t>
      </w:r>
      <w:r>
        <w:rPr>
          <w:rFonts w:hint="eastAsia" w:ascii="Times New Roman" w:hAnsi="Times New Roman" w:eastAsia="黑体" w:cs="Times New Roman"/>
        </w:rPr>
        <w:t>本项目</w:t>
      </w:r>
      <w:r>
        <w:rPr>
          <w:rFonts w:ascii="Times New Roman" w:hAnsi="Times New Roman" w:eastAsia="黑体" w:cs="Times New Roman"/>
        </w:rPr>
        <w:t>原辅材料</w:t>
      </w:r>
      <w:r>
        <w:rPr>
          <w:rFonts w:hint="eastAsia" w:ascii="Times New Roman" w:hAnsi="Times New Roman" w:eastAsia="黑体" w:cs="Times New Roman"/>
        </w:rPr>
        <w:t>及能源</w:t>
      </w:r>
      <w:r>
        <w:rPr>
          <w:rFonts w:ascii="Times New Roman" w:hAnsi="Times New Roman" w:eastAsia="黑体" w:cs="Times New Roman"/>
        </w:rPr>
        <w:t>用量</w:t>
      </w:r>
      <w:r>
        <w:rPr>
          <w:rFonts w:hint="eastAsia" w:ascii="Times New Roman" w:hAnsi="Times New Roman" w:eastAsia="黑体" w:cs="Times New Roman"/>
        </w:rPr>
        <w:t>表</w:t>
      </w:r>
    </w:p>
    <w:tbl>
      <w:tblPr>
        <w:tblStyle w:val="56"/>
        <w:tblW w:w="5000" w:type="pct"/>
        <w:jc w:val="center"/>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1084"/>
        <w:gridCol w:w="1125"/>
        <w:gridCol w:w="1134"/>
        <w:gridCol w:w="2301"/>
        <w:gridCol w:w="1019"/>
        <w:gridCol w:w="1202"/>
        <w:gridCol w:w="856"/>
      </w:tblGrid>
      <w:tr w14:paraId="1E620E72">
        <w:tblPrEx>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blHeader/>
          <w:jc w:val="center"/>
        </w:trPr>
        <w:tc>
          <w:tcPr>
            <w:tcW w:w="622" w:type="pct"/>
            <w:shd w:val="clear" w:color="auto" w:fill="E0E0E0"/>
            <w:noWrap w:val="0"/>
            <w:vAlign w:val="center"/>
          </w:tcPr>
          <w:p w14:paraId="3BEC411C">
            <w:pPr>
              <w:jc w:val="center"/>
              <w:rPr>
                <w:rFonts w:hint="eastAsia" w:ascii="Times New Roman" w:hAnsi="Times New Roman" w:cs="Times New Roman"/>
                <w:sz w:val="21"/>
                <w:szCs w:val="21"/>
              </w:rPr>
            </w:pPr>
            <w:r>
              <w:rPr>
                <w:rFonts w:hint="eastAsia" w:ascii="Times New Roman" w:hAnsi="Times New Roman" w:cs="Times New Roman"/>
                <w:sz w:val="21"/>
                <w:szCs w:val="21"/>
              </w:rPr>
              <w:t>名称</w:t>
            </w:r>
          </w:p>
        </w:tc>
        <w:tc>
          <w:tcPr>
            <w:tcW w:w="645" w:type="pct"/>
            <w:shd w:val="clear" w:color="auto" w:fill="E0E0E0"/>
            <w:noWrap w:val="0"/>
            <w:vAlign w:val="center"/>
          </w:tcPr>
          <w:p w14:paraId="02391BB7">
            <w:pPr>
              <w:jc w:val="center"/>
              <w:rPr>
                <w:rFonts w:ascii="Times New Roman" w:hAnsi="Times New Roman" w:cs="Times New Roman"/>
                <w:sz w:val="21"/>
                <w:szCs w:val="21"/>
              </w:rPr>
            </w:pPr>
            <w:r>
              <w:rPr>
                <w:rFonts w:hint="eastAsia" w:ascii="Times New Roman" w:hAnsi="Times New Roman" w:cs="Times New Roman"/>
                <w:sz w:val="21"/>
                <w:szCs w:val="21"/>
              </w:rPr>
              <w:t>消耗</w:t>
            </w:r>
            <w:r>
              <w:rPr>
                <w:rFonts w:ascii="Times New Roman" w:hAnsi="Times New Roman" w:cs="Times New Roman"/>
                <w:sz w:val="21"/>
                <w:szCs w:val="21"/>
              </w:rPr>
              <w:t>量（t/a）</w:t>
            </w:r>
          </w:p>
        </w:tc>
        <w:tc>
          <w:tcPr>
            <w:tcW w:w="650" w:type="pct"/>
            <w:shd w:val="clear" w:color="auto" w:fill="E0E0E0"/>
            <w:noWrap w:val="0"/>
            <w:vAlign w:val="center"/>
          </w:tcPr>
          <w:p w14:paraId="28904575">
            <w:pPr>
              <w:jc w:val="center"/>
              <w:rPr>
                <w:rFonts w:ascii="Times New Roman" w:hAnsi="Times New Roman" w:cs="Times New Roman"/>
                <w:sz w:val="21"/>
                <w:szCs w:val="21"/>
              </w:rPr>
            </w:pPr>
            <w:r>
              <w:rPr>
                <w:rFonts w:hint="eastAsia" w:ascii="Times New Roman" w:hAnsi="Times New Roman" w:cs="Times New Roman"/>
                <w:sz w:val="21"/>
                <w:szCs w:val="21"/>
              </w:rPr>
              <w:t>单耗</w:t>
            </w:r>
          </w:p>
          <w:p w14:paraId="688FDC9D">
            <w:pPr>
              <w:jc w:val="center"/>
              <w:rPr>
                <w:rFonts w:ascii="Times New Roman" w:hAnsi="Times New Roman" w:cs="Times New Roman"/>
                <w:sz w:val="21"/>
                <w:szCs w:val="21"/>
              </w:rPr>
            </w:pPr>
            <w:r>
              <w:rPr>
                <w:rFonts w:hint="eastAsia" w:ascii="Times New Roman" w:hAnsi="Times New Roman" w:cs="Times New Roman"/>
                <w:sz w:val="21"/>
                <w:szCs w:val="21"/>
              </w:rPr>
              <w:t>(</w:t>
            </w:r>
            <w:r>
              <w:rPr>
                <w:rFonts w:hint="eastAsia" w:ascii="Times New Roman" w:hAnsi="Times New Roman" w:cs="Times New Roman"/>
                <w:sz w:val="21"/>
                <w:szCs w:val="21"/>
                <w:lang w:val="en-US" w:eastAsia="zh-CN"/>
              </w:rPr>
              <w:t>t</w:t>
            </w:r>
            <w:r>
              <w:rPr>
                <w:rFonts w:ascii="Times New Roman" w:hAnsi="Times New Roman" w:cs="Times New Roman"/>
                <w:sz w:val="21"/>
                <w:szCs w:val="21"/>
              </w:rPr>
              <w:t>/</w:t>
            </w:r>
            <w:r>
              <w:rPr>
                <w:rFonts w:hint="eastAsia" w:ascii="Times New Roman" w:hAnsi="Times New Roman" w:cs="Times New Roman"/>
                <w:sz w:val="21"/>
                <w:szCs w:val="21"/>
              </w:rPr>
              <w:t>t产品)</w:t>
            </w:r>
          </w:p>
        </w:tc>
        <w:tc>
          <w:tcPr>
            <w:tcW w:w="1319" w:type="pct"/>
            <w:shd w:val="clear" w:color="auto" w:fill="E0E0E0"/>
            <w:noWrap w:val="0"/>
            <w:vAlign w:val="center"/>
          </w:tcPr>
          <w:p w14:paraId="2FD6CF70">
            <w:pPr>
              <w:jc w:val="center"/>
              <w:rPr>
                <w:rFonts w:ascii="Times New Roman" w:hAnsi="Times New Roman" w:cs="Times New Roman"/>
                <w:sz w:val="21"/>
                <w:szCs w:val="21"/>
              </w:rPr>
            </w:pPr>
            <w:r>
              <w:rPr>
                <w:rFonts w:hint="eastAsia" w:ascii="Times New Roman" w:hAnsi="Times New Roman" w:cs="Times New Roman"/>
                <w:sz w:val="21"/>
                <w:szCs w:val="21"/>
              </w:rPr>
              <w:t>规格</w:t>
            </w:r>
          </w:p>
        </w:tc>
        <w:tc>
          <w:tcPr>
            <w:tcW w:w="584" w:type="pct"/>
            <w:shd w:val="clear" w:color="auto" w:fill="E0E0E0"/>
            <w:noWrap w:val="0"/>
            <w:vAlign w:val="center"/>
          </w:tcPr>
          <w:p w14:paraId="3FA1733F">
            <w:pPr>
              <w:jc w:val="center"/>
              <w:rPr>
                <w:rFonts w:hint="eastAsia" w:ascii="Times New Roman" w:hAnsi="Times New Roman" w:cs="Times New Roman"/>
                <w:sz w:val="21"/>
                <w:szCs w:val="21"/>
              </w:rPr>
            </w:pPr>
            <w:r>
              <w:rPr>
                <w:rFonts w:ascii="Times New Roman" w:hAnsi="Times New Roman" w:cs="Times New Roman"/>
                <w:sz w:val="21"/>
                <w:szCs w:val="21"/>
              </w:rPr>
              <w:t>物料状态与包装形式</w:t>
            </w:r>
          </w:p>
        </w:tc>
        <w:tc>
          <w:tcPr>
            <w:tcW w:w="689" w:type="pct"/>
            <w:shd w:val="clear" w:color="auto" w:fill="E0E0E0"/>
            <w:noWrap w:val="0"/>
            <w:vAlign w:val="center"/>
          </w:tcPr>
          <w:p w14:paraId="3D3870A7">
            <w:pPr>
              <w:jc w:val="center"/>
              <w:rPr>
                <w:rFonts w:hint="eastAsia" w:ascii="Times New Roman" w:hAnsi="Times New Roman" w:cs="Times New Roman"/>
                <w:sz w:val="21"/>
                <w:szCs w:val="21"/>
              </w:rPr>
            </w:pPr>
            <w:r>
              <w:rPr>
                <w:rFonts w:ascii="Times New Roman" w:hAnsi="Times New Roman" w:cs="Times New Roman"/>
                <w:sz w:val="21"/>
                <w:szCs w:val="21"/>
              </w:rPr>
              <w:t>储存位置</w:t>
            </w:r>
          </w:p>
        </w:tc>
        <w:tc>
          <w:tcPr>
            <w:tcW w:w="489" w:type="pct"/>
            <w:shd w:val="clear" w:color="auto" w:fill="E0E0E0"/>
            <w:noWrap w:val="0"/>
            <w:vAlign w:val="center"/>
          </w:tcPr>
          <w:p w14:paraId="11031691">
            <w:pPr>
              <w:jc w:val="center"/>
              <w:rPr>
                <w:rFonts w:ascii="Times New Roman" w:hAnsi="Times New Roman" w:cs="Times New Roman"/>
                <w:sz w:val="21"/>
                <w:szCs w:val="21"/>
              </w:rPr>
            </w:pPr>
            <w:r>
              <w:rPr>
                <w:rFonts w:hint="eastAsia" w:ascii="Times New Roman" w:hAnsi="Times New Roman" w:cs="Times New Roman"/>
                <w:sz w:val="21"/>
                <w:szCs w:val="21"/>
              </w:rPr>
              <w:t>来源</w:t>
            </w:r>
          </w:p>
        </w:tc>
      </w:tr>
      <w:tr w14:paraId="31BA464C">
        <w:tblPrEx>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000" w:type="pct"/>
            <w:gridSpan w:val="7"/>
            <w:noWrap w:val="0"/>
            <w:vAlign w:val="center"/>
          </w:tcPr>
          <w:p w14:paraId="59B136FB">
            <w:pPr>
              <w:jc w:val="center"/>
              <w:rPr>
                <w:rFonts w:hint="eastAsia" w:ascii="Times New Roman" w:hAnsi="Times New Roman" w:eastAsia="宋体" w:cs="Times New Roman"/>
                <w:sz w:val="21"/>
                <w:szCs w:val="21"/>
                <w:lang w:val="en-US" w:eastAsia="zh-CN"/>
              </w:rPr>
            </w:pPr>
            <w:r>
              <w:rPr>
                <w:rFonts w:hint="eastAsia" w:ascii="Times New Roman" w:hAnsi="Times New Roman" w:cs="Times New Roman"/>
                <w:sz w:val="21"/>
                <w:szCs w:val="21"/>
                <w:lang w:val="en-US" w:eastAsia="zh-CN"/>
              </w:rPr>
              <w:t>烧结</w:t>
            </w:r>
          </w:p>
        </w:tc>
      </w:tr>
      <w:tr w14:paraId="6D9D1320">
        <w:tblPrEx>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22" w:type="pct"/>
            <w:noWrap w:val="0"/>
            <w:vAlign w:val="center"/>
          </w:tcPr>
          <w:p w14:paraId="55160B55">
            <w:pPr>
              <w:jc w:val="center"/>
              <w:rPr>
                <w:rFonts w:hint="eastAsia" w:ascii="Times New Roman" w:hAnsi="Times New Roman" w:eastAsia="宋体" w:cs="Times New Roman"/>
                <w:sz w:val="21"/>
                <w:szCs w:val="18"/>
                <w:lang w:eastAsia="zh-CN"/>
              </w:rPr>
            </w:pPr>
            <w:r>
              <w:rPr>
                <w:rFonts w:hint="eastAsia" w:ascii="Times New Roman" w:hAnsi="Times New Roman" w:cs="Times New Roman"/>
                <w:sz w:val="21"/>
                <w:szCs w:val="18"/>
                <w:lang w:val="en-US" w:eastAsia="zh-CN"/>
              </w:rPr>
              <w:t>铁精矿</w:t>
            </w:r>
          </w:p>
        </w:tc>
        <w:tc>
          <w:tcPr>
            <w:tcW w:w="645" w:type="pct"/>
            <w:noWrap w:val="0"/>
            <w:vAlign w:val="center"/>
          </w:tcPr>
          <w:p w14:paraId="7C11EED6">
            <w:pPr>
              <w:jc w:val="center"/>
              <w:rPr>
                <w:rFonts w:hint="default" w:ascii="Times New Roman" w:hAnsi="Times New Roman" w:eastAsia="宋体" w:cs="Times New Roman"/>
                <w:sz w:val="21"/>
                <w:szCs w:val="21"/>
                <w:lang w:val="en-US" w:eastAsia="zh-CN"/>
              </w:rPr>
            </w:pPr>
            <w:r>
              <w:rPr>
                <w:rFonts w:hint="eastAsia" w:ascii="Times New Roman" w:hAnsi="Times New Roman" w:cs="Times New Roman"/>
                <w:sz w:val="21"/>
                <w:szCs w:val="21"/>
                <w:lang w:val="en-US" w:eastAsia="zh-CN"/>
              </w:rPr>
              <w:t>268410</w:t>
            </w:r>
          </w:p>
        </w:tc>
        <w:tc>
          <w:tcPr>
            <w:tcW w:w="650" w:type="pct"/>
            <w:noWrap w:val="0"/>
            <w:vAlign w:val="center"/>
          </w:tcPr>
          <w:p w14:paraId="144206A0">
            <w:pPr>
              <w:jc w:val="center"/>
              <w:rPr>
                <w:rFonts w:hint="default" w:ascii="Times New Roman" w:hAnsi="Times New Roman" w:eastAsia="宋体" w:cs="Times New Roman"/>
                <w:sz w:val="21"/>
                <w:szCs w:val="21"/>
                <w:lang w:val="en-US" w:eastAsia="zh-CN"/>
              </w:rPr>
            </w:pPr>
            <w:r>
              <w:rPr>
                <w:rFonts w:hint="eastAsia" w:ascii="Times New Roman" w:hAnsi="Times New Roman" w:cs="Times New Roman"/>
                <w:sz w:val="21"/>
                <w:szCs w:val="21"/>
                <w:lang w:val="en-US" w:eastAsia="zh-CN"/>
              </w:rPr>
              <w:t>0.41</w:t>
            </w:r>
          </w:p>
        </w:tc>
        <w:tc>
          <w:tcPr>
            <w:tcW w:w="1319" w:type="pct"/>
            <w:noWrap w:val="0"/>
            <w:vAlign w:val="center"/>
          </w:tcPr>
          <w:p w14:paraId="50956D86">
            <w:pPr>
              <w:jc w:val="center"/>
              <w:rPr>
                <w:rFonts w:ascii="Times New Roman" w:hAnsi="Times New Roman" w:cs="Times New Roman"/>
                <w:sz w:val="21"/>
                <w:szCs w:val="21"/>
              </w:rPr>
            </w:pPr>
            <w:r>
              <w:rPr>
                <w:rFonts w:ascii="Times New Roman" w:hAnsi="Times New Roman" w:cs="Times New Roman"/>
                <w:sz w:val="21"/>
                <w:szCs w:val="21"/>
              </w:rPr>
              <w:t>外观呈块状，粒度为10～50mm</w:t>
            </w:r>
          </w:p>
        </w:tc>
        <w:tc>
          <w:tcPr>
            <w:tcW w:w="584" w:type="pct"/>
            <w:noWrap w:val="0"/>
            <w:vAlign w:val="center"/>
          </w:tcPr>
          <w:p w14:paraId="04685BFC">
            <w:pPr>
              <w:jc w:val="center"/>
              <w:rPr>
                <w:rFonts w:hint="eastAsia" w:ascii="Times New Roman" w:hAnsi="Times New Roman" w:cs="Times New Roman"/>
                <w:sz w:val="21"/>
                <w:szCs w:val="21"/>
              </w:rPr>
            </w:pPr>
            <w:r>
              <w:rPr>
                <w:rFonts w:hint="eastAsia" w:ascii="Times New Roman" w:hAnsi="Times New Roman" w:cs="Times New Roman"/>
                <w:sz w:val="21"/>
                <w:szCs w:val="21"/>
              </w:rPr>
              <w:t>袋装</w:t>
            </w:r>
          </w:p>
        </w:tc>
        <w:tc>
          <w:tcPr>
            <w:tcW w:w="689" w:type="pct"/>
            <w:noWrap w:val="0"/>
            <w:vAlign w:val="center"/>
          </w:tcPr>
          <w:p w14:paraId="3081534F">
            <w:pPr>
              <w:jc w:val="center"/>
              <w:rPr>
                <w:rFonts w:hint="eastAsia" w:ascii="Times New Roman" w:hAnsi="Times New Roman" w:cs="Times New Roman"/>
                <w:sz w:val="21"/>
                <w:szCs w:val="21"/>
              </w:rPr>
            </w:pPr>
            <w:r>
              <w:rPr>
                <w:rFonts w:hint="eastAsia" w:ascii="Times New Roman" w:hAnsi="Times New Roman" w:cs="Times New Roman"/>
                <w:sz w:val="21"/>
                <w:szCs w:val="21"/>
              </w:rPr>
              <w:t>辅料库</w:t>
            </w:r>
          </w:p>
        </w:tc>
        <w:tc>
          <w:tcPr>
            <w:tcW w:w="489" w:type="pct"/>
            <w:noWrap w:val="0"/>
            <w:vAlign w:val="center"/>
          </w:tcPr>
          <w:p w14:paraId="5551A236">
            <w:pPr>
              <w:jc w:val="center"/>
              <w:rPr>
                <w:rFonts w:ascii="Times New Roman" w:hAnsi="Times New Roman" w:cs="Times New Roman"/>
                <w:sz w:val="21"/>
                <w:szCs w:val="21"/>
              </w:rPr>
            </w:pPr>
            <w:r>
              <w:rPr>
                <w:rFonts w:hint="eastAsia" w:ascii="Times New Roman" w:hAnsi="Times New Roman" w:cs="Times New Roman"/>
                <w:sz w:val="21"/>
                <w:szCs w:val="21"/>
              </w:rPr>
              <w:t>外购</w:t>
            </w:r>
          </w:p>
        </w:tc>
      </w:tr>
      <w:tr w14:paraId="482BC91A">
        <w:tblPrEx>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22" w:type="pct"/>
            <w:noWrap w:val="0"/>
            <w:vAlign w:val="center"/>
          </w:tcPr>
          <w:p w14:paraId="054761EF">
            <w:pPr>
              <w:jc w:val="center"/>
              <w:rPr>
                <w:rFonts w:hint="eastAsia" w:ascii="Times New Roman" w:hAnsi="Times New Roman" w:eastAsia="宋体" w:cs="Times New Roman"/>
                <w:sz w:val="21"/>
                <w:szCs w:val="21"/>
                <w:lang w:eastAsia="zh-CN"/>
              </w:rPr>
            </w:pPr>
            <w:r>
              <w:rPr>
                <w:rFonts w:hint="eastAsia" w:ascii="Times New Roman" w:hAnsi="Times New Roman" w:cs="Times New Roman"/>
                <w:sz w:val="21"/>
                <w:szCs w:val="21"/>
                <w:lang w:val="en-US" w:eastAsia="zh-CN"/>
              </w:rPr>
              <w:t>生石灰</w:t>
            </w:r>
          </w:p>
        </w:tc>
        <w:tc>
          <w:tcPr>
            <w:tcW w:w="645" w:type="pct"/>
            <w:noWrap w:val="0"/>
            <w:vAlign w:val="center"/>
          </w:tcPr>
          <w:p w14:paraId="43992976">
            <w:pPr>
              <w:jc w:val="center"/>
              <w:rPr>
                <w:rFonts w:hint="default" w:ascii="Times New Roman" w:hAnsi="Times New Roman" w:eastAsia="宋体" w:cs="Times New Roman"/>
                <w:sz w:val="21"/>
                <w:szCs w:val="21"/>
                <w:lang w:val="en-US" w:eastAsia="zh-CN"/>
              </w:rPr>
            </w:pPr>
            <w:r>
              <w:rPr>
                <w:rFonts w:hint="eastAsia" w:ascii="Times New Roman" w:hAnsi="Times New Roman" w:cs="Times New Roman"/>
                <w:sz w:val="21"/>
                <w:szCs w:val="21"/>
                <w:lang w:val="en-US" w:eastAsia="zh-CN"/>
              </w:rPr>
              <w:t>47160</w:t>
            </w:r>
          </w:p>
        </w:tc>
        <w:tc>
          <w:tcPr>
            <w:tcW w:w="650" w:type="pct"/>
            <w:noWrap w:val="0"/>
            <w:vAlign w:val="center"/>
          </w:tcPr>
          <w:p w14:paraId="3E1FA610">
            <w:pPr>
              <w:jc w:val="center"/>
              <w:rPr>
                <w:rFonts w:hint="default" w:ascii="Times New Roman" w:hAnsi="Times New Roman" w:eastAsia="宋体" w:cs="Times New Roman"/>
                <w:sz w:val="21"/>
                <w:szCs w:val="21"/>
                <w:lang w:val="en-US" w:eastAsia="zh-CN"/>
              </w:rPr>
            </w:pPr>
            <w:r>
              <w:rPr>
                <w:rFonts w:hint="eastAsia" w:ascii="Times New Roman" w:hAnsi="Times New Roman" w:cs="Times New Roman"/>
                <w:sz w:val="21"/>
                <w:szCs w:val="21"/>
                <w:lang w:val="en-US" w:eastAsia="zh-CN"/>
              </w:rPr>
              <w:t>0.07</w:t>
            </w:r>
          </w:p>
        </w:tc>
        <w:tc>
          <w:tcPr>
            <w:tcW w:w="1319" w:type="pct"/>
            <w:noWrap w:val="0"/>
            <w:vAlign w:val="center"/>
          </w:tcPr>
          <w:p w14:paraId="6DA84040">
            <w:pPr>
              <w:jc w:val="center"/>
              <w:rPr>
                <w:rFonts w:ascii="Times New Roman" w:hAnsi="Times New Roman" w:cs="Times New Roman"/>
                <w:sz w:val="21"/>
                <w:szCs w:val="21"/>
              </w:rPr>
            </w:pPr>
            <w:r>
              <w:rPr>
                <w:rFonts w:ascii="Times New Roman" w:hAnsi="Times New Roman" w:cs="Times New Roman"/>
                <w:sz w:val="21"/>
                <w:szCs w:val="21"/>
              </w:rPr>
              <w:t>CaO≥90%、活性度≥350ml、粒度为5~40mm</w:t>
            </w:r>
          </w:p>
        </w:tc>
        <w:tc>
          <w:tcPr>
            <w:tcW w:w="584" w:type="pct"/>
            <w:noWrap w:val="0"/>
            <w:vAlign w:val="center"/>
          </w:tcPr>
          <w:p w14:paraId="6A265BDD">
            <w:pPr>
              <w:jc w:val="center"/>
              <w:rPr>
                <w:rFonts w:hint="eastAsia" w:ascii="Times New Roman" w:hAnsi="Times New Roman" w:cs="Times New Roman"/>
                <w:sz w:val="21"/>
                <w:szCs w:val="21"/>
              </w:rPr>
            </w:pPr>
            <w:r>
              <w:rPr>
                <w:rFonts w:hint="eastAsia" w:ascii="Times New Roman" w:hAnsi="Times New Roman" w:cs="Times New Roman"/>
                <w:sz w:val="21"/>
                <w:szCs w:val="21"/>
              </w:rPr>
              <w:t>料仓</w:t>
            </w:r>
          </w:p>
        </w:tc>
        <w:tc>
          <w:tcPr>
            <w:tcW w:w="689" w:type="pct"/>
            <w:noWrap w:val="0"/>
            <w:vAlign w:val="center"/>
          </w:tcPr>
          <w:p w14:paraId="3868B2C8">
            <w:pPr>
              <w:jc w:val="center"/>
              <w:rPr>
                <w:rFonts w:hint="eastAsia" w:ascii="Times New Roman" w:hAnsi="Times New Roman" w:cs="Times New Roman"/>
                <w:sz w:val="21"/>
                <w:szCs w:val="21"/>
              </w:rPr>
            </w:pPr>
            <w:r>
              <w:rPr>
                <w:rFonts w:hint="eastAsia" w:ascii="Times New Roman" w:hAnsi="Times New Roman" w:cs="Times New Roman"/>
                <w:sz w:val="21"/>
                <w:szCs w:val="21"/>
              </w:rPr>
              <w:t>辅料库</w:t>
            </w:r>
          </w:p>
        </w:tc>
        <w:tc>
          <w:tcPr>
            <w:tcW w:w="489" w:type="pct"/>
            <w:noWrap w:val="0"/>
            <w:vAlign w:val="center"/>
          </w:tcPr>
          <w:p w14:paraId="3B882D4B">
            <w:pPr>
              <w:jc w:val="center"/>
              <w:rPr>
                <w:rFonts w:ascii="Times New Roman" w:hAnsi="Times New Roman" w:cs="Times New Roman"/>
                <w:sz w:val="21"/>
                <w:szCs w:val="21"/>
              </w:rPr>
            </w:pPr>
            <w:r>
              <w:rPr>
                <w:rFonts w:hint="eastAsia" w:ascii="Times New Roman" w:hAnsi="Times New Roman" w:cs="Times New Roman"/>
                <w:sz w:val="21"/>
                <w:szCs w:val="21"/>
              </w:rPr>
              <w:t>外购</w:t>
            </w:r>
          </w:p>
        </w:tc>
      </w:tr>
      <w:tr w14:paraId="6E77C096">
        <w:tblPrEx>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22" w:type="pct"/>
            <w:noWrap w:val="0"/>
            <w:vAlign w:val="center"/>
          </w:tcPr>
          <w:p w14:paraId="42F1AF6B">
            <w:pPr>
              <w:jc w:val="center"/>
              <w:rPr>
                <w:rFonts w:hint="eastAsia" w:ascii="Times New Roman" w:hAnsi="Times New Roman" w:eastAsia="宋体" w:cs="Times New Roman"/>
                <w:sz w:val="21"/>
                <w:szCs w:val="21"/>
                <w:lang w:eastAsia="zh-CN"/>
              </w:rPr>
            </w:pPr>
            <w:r>
              <w:rPr>
                <w:rFonts w:hint="eastAsia" w:ascii="Times New Roman" w:hAnsi="Times New Roman" w:cs="Times New Roman"/>
                <w:sz w:val="21"/>
                <w:szCs w:val="21"/>
                <w:lang w:val="en-US" w:eastAsia="zh-CN"/>
              </w:rPr>
              <w:t>煤粉</w:t>
            </w:r>
          </w:p>
        </w:tc>
        <w:tc>
          <w:tcPr>
            <w:tcW w:w="645" w:type="pct"/>
            <w:noWrap w:val="0"/>
            <w:vAlign w:val="center"/>
          </w:tcPr>
          <w:p w14:paraId="2561454C">
            <w:pPr>
              <w:jc w:val="center"/>
              <w:rPr>
                <w:rFonts w:hint="default" w:ascii="Times New Roman" w:hAnsi="Times New Roman" w:eastAsia="宋体" w:cs="Times New Roman"/>
                <w:sz w:val="21"/>
                <w:szCs w:val="21"/>
                <w:lang w:val="en-US" w:eastAsia="zh-CN"/>
              </w:rPr>
            </w:pPr>
            <w:r>
              <w:rPr>
                <w:rFonts w:hint="eastAsia" w:ascii="Times New Roman" w:hAnsi="Times New Roman" w:cs="Times New Roman"/>
                <w:sz w:val="21"/>
                <w:szCs w:val="21"/>
                <w:lang w:val="en-US" w:eastAsia="zh-CN"/>
              </w:rPr>
              <w:t>12750</w:t>
            </w:r>
          </w:p>
        </w:tc>
        <w:tc>
          <w:tcPr>
            <w:tcW w:w="650" w:type="pct"/>
            <w:noWrap w:val="0"/>
            <w:vAlign w:val="center"/>
          </w:tcPr>
          <w:p w14:paraId="10DE7DDC">
            <w:pPr>
              <w:jc w:val="center"/>
              <w:rPr>
                <w:rFonts w:hint="eastAsia" w:ascii="Times New Roman" w:hAnsi="Times New Roman" w:cs="Times New Roman"/>
                <w:sz w:val="21"/>
                <w:szCs w:val="21"/>
              </w:rPr>
            </w:pPr>
            <w:r>
              <w:rPr>
                <w:rFonts w:hint="eastAsia" w:ascii="Times New Roman" w:hAnsi="Times New Roman" w:cs="Times New Roman"/>
                <w:sz w:val="21"/>
                <w:szCs w:val="21"/>
              </w:rPr>
              <w:t>2</w:t>
            </w:r>
          </w:p>
        </w:tc>
        <w:tc>
          <w:tcPr>
            <w:tcW w:w="1319" w:type="pct"/>
            <w:noWrap w:val="0"/>
            <w:vAlign w:val="center"/>
          </w:tcPr>
          <w:p w14:paraId="256FD06F">
            <w:pPr>
              <w:jc w:val="center"/>
              <w:rPr>
                <w:rFonts w:ascii="Times New Roman" w:hAnsi="Times New Roman" w:cs="Times New Roman"/>
                <w:sz w:val="21"/>
                <w:szCs w:val="21"/>
              </w:rPr>
            </w:pPr>
            <w:r>
              <w:rPr>
                <w:rFonts w:hint="eastAsia" w:ascii="Times New Roman" w:hAnsi="Times New Roman" w:cs="Times New Roman"/>
                <w:sz w:val="21"/>
                <w:szCs w:val="21"/>
              </w:rPr>
              <w:t>主要规格为</w:t>
            </w:r>
            <w:r>
              <w:rPr>
                <w:rFonts w:ascii="Times New Roman" w:hAnsi="Times New Roman" w:cs="Times New Roman"/>
                <w:sz w:val="21"/>
                <w:szCs w:val="21"/>
              </w:rPr>
              <w:t>Φ</w:t>
            </w:r>
            <w:r>
              <w:rPr>
                <w:rFonts w:hint="eastAsia" w:ascii="Times New Roman" w:hAnsi="Times New Roman" w:cs="Times New Roman"/>
                <w:sz w:val="21"/>
                <w:szCs w:val="21"/>
              </w:rPr>
              <w:t>10、</w:t>
            </w:r>
            <w:r>
              <w:rPr>
                <w:rFonts w:ascii="Times New Roman" w:hAnsi="Times New Roman" w:cs="Times New Roman"/>
                <w:sz w:val="21"/>
                <w:szCs w:val="21"/>
              </w:rPr>
              <w:t>Φ</w:t>
            </w:r>
            <w:r>
              <w:rPr>
                <w:rFonts w:hint="eastAsia" w:ascii="Times New Roman" w:hAnsi="Times New Roman" w:cs="Times New Roman"/>
                <w:sz w:val="21"/>
                <w:szCs w:val="21"/>
              </w:rPr>
              <w:t>12</w:t>
            </w:r>
          </w:p>
        </w:tc>
        <w:tc>
          <w:tcPr>
            <w:tcW w:w="584" w:type="pct"/>
            <w:noWrap w:val="0"/>
            <w:vAlign w:val="center"/>
          </w:tcPr>
          <w:p w14:paraId="1BA44D8D">
            <w:pPr>
              <w:jc w:val="center"/>
              <w:rPr>
                <w:rFonts w:hint="eastAsia" w:ascii="Times New Roman" w:hAnsi="Times New Roman" w:cs="Times New Roman"/>
                <w:sz w:val="21"/>
                <w:szCs w:val="21"/>
              </w:rPr>
            </w:pPr>
            <w:r>
              <w:rPr>
                <w:rFonts w:hint="eastAsia" w:ascii="Times New Roman" w:hAnsi="Times New Roman" w:cs="Times New Roman"/>
                <w:sz w:val="21"/>
                <w:szCs w:val="21"/>
              </w:rPr>
              <w:t>袋装</w:t>
            </w:r>
          </w:p>
        </w:tc>
        <w:tc>
          <w:tcPr>
            <w:tcW w:w="689" w:type="pct"/>
            <w:noWrap w:val="0"/>
            <w:vAlign w:val="center"/>
          </w:tcPr>
          <w:p w14:paraId="3B909392">
            <w:pPr>
              <w:jc w:val="center"/>
              <w:rPr>
                <w:rFonts w:hint="eastAsia" w:ascii="Times New Roman" w:hAnsi="Times New Roman" w:cs="Times New Roman"/>
                <w:sz w:val="21"/>
                <w:szCs w:val="21"/>
              </w:rPr>
            </w:pPr>
            <w:r>
              <w:rPr>
                <w:rFonts w:hint="eastAsia" w:ascii="Times New Roman" w:hAnsi="Times New Roman" w:cs="Times New Roman"/>
                <w:sz w:val="21"/>
                <w:szCs w:val="21"/>
              </w:rPr>
              <w:t>辅料库</w:t>
            </w:r>
          </w:p>
        </w:tc>
        <w:tc>
          <w:tcPr>
            <w:tcW w:w="489" w:type="pct"/>
            <w:noWrap w:val="0"/>
            <w:vAlign w:val="center"/>
          </w:tcPr>
          <w:p w14:paraId="076C55D0">
            <w:pPr>
              <w:jc w:val="center"/>
              <w:rPr>
                <w:rFonts w:ascii="Times New Roman" w:hAnsi="Times New Roman" w:cs="Times New Roman"/>
                <w:sz w:val="21"/>
                <w:szCs w:val="21"/>
              </w:rPr>
            </w:pPr>
            <w:r>
              <w:rPr>
                <w:rFonts w:hint="eastAsia" w:ascii="Times New Roman" w:hAnsi="Times New Roman" w:cs="Times New Roman"/>
                <w:sz w:val="21"/>
                <w:szCs w:val="21"/>
              </w:rPr>
              <w:t>外购</w:t>
            </w:r>
          </w:p>
        </w:tc>
      </w:tr>
      <w:tr w14:paraId="0217DA45">
        <w:tblPrEx>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22" w:type="pct"/>
            <w:noWrap w:val="0"/>
            <w:vAlign w:val="center"/>
          </w:tcPr>
          <w:p w14:paraId="2AF03780">
            <w:pPr>
              <w:jc w:val="center"/>
              <w:rPr>
                <w:rFonts w:hint="eastAsia" w:ascii="Times New Roman" w:hAnsi="Times New Roman" w:eastAsia="宋体" w:cs="Times New Roman"/>
                <w:sz w:val="21"/>
                <w:szCs w:val="21"/>
                <w:lang w:eastAsia="zh-CN"/>
              </w:rPr>
            </w:pPr>
            <w:r>
              <w:rPr>
                <w:rFonts w:hint="eastAsia" w:ascii="Times New Roman" w:hAnsi="Times New Roman" w:cs="Times New Roman"/>
                <w:sz w:val="21"/>
                <w:szCs w:val="21"/>
                <w:lang w:val="en-US" w:eastAsia="zh-CN"/>
              </w:rPr>
              <w:t>焦粉</w:t>
            </w:r>
          </w:p>
        </w:tc>
        <w:tc>
          <w:tcPr>
            <w:tcW w:w="645" w:type="pct"/>
            <w:noWrap w:val="0"/>
            <w:vAlign w:val="center"/>
          </w:tcPr>
          <w:p w14:paraId="38616A98">
            <w:pPr>
              <w:jc w:val="center"/>
              <w:rPr>
                <w:rFonts w:hint="default" w:ascii="Times New Roman" w:hAnsi="Times New Roman" w:eastAsia="宋体" w:cs="Times New Roman"/>
                <w:sz w:val="21"/>
                <w:szCs w:val="21"/>
                <w:lang w:val="en-US" w:eastAsia="zh-CN"/>
              </w:rPr>
            </w:pPr>
            <w:r>
              <w:rPr>
                <w:rFonts w:hint="eastAsia" w:ascii="Times New Roman" w:hAnsi="Times New Roman" w:cs="Times New Roman"/>
                <w:sz w:val="21"/>
                <w:szCs w:val="21"/>
                <w:lang w:val="en-US" w:eastAsia="zh-CN"/>
              </w:rPr>
              <w:t>5960</w:t>
            </w:r>
          </w:p>
        </w:tc>
        <w:tc>
          <w:tcPr>
            <w:tcW w:w="650" w:type="pct"/>
            <w:noWrap w:val="0"/>
            <w:vAlign w:val="center"/>
          </w:tcPr>
          <w:p w14:paraId="0B838177">
            <w:pPr>
              <w:jc w:val="center"/>
              <w:rPr>
                <w:rFonts w:hint="eastAsia" w:ascii="Times New Roman" w:hAnsi="Times New Roman" w:cs="Times New Roman"/>
                <w:sz w:val="21"/>
                <w:szCs w:val="21"/>
              </w:rPr>
            </w:pPr>
            <w:r>
              <w:rPr>
                <w:rFonts w:hint="eastAsia" w:ascii="Times New Roman" w:hAnsi="Times New Roman" w:cs="Times New Roman"/>
                <w:sz w:val="21"/>
                <w:szCs w:val="21"/>
              </w:rPr>
              <w:t>1</w:t>
            </w:r>
          </w:p>
        </w:tc>
        <w:tc>
          <w:tcPr>
            <w:tcW w:w="1319" w:type="pct"/>
            <w:noWrap w:val="0"/>
            <w:vAlign w:val="center"/>
          </w:tcPr>
          <w:p w14:paraId="717DC5BA">
            <w:pPr>
              <w:jc w:val="center"/>
              <w:rPr>
                <w:rFonts w:ascii="Times New Roman" w:hAnsi="Times New Roman" w:cs="Times New Roman"/>
                <w:sz w:val="21"/>
                <w:szCs w:val="21"/>
              </w:rPr>
            </w:pPr>
            <w:r>
              <w:rPr>
                <w:rFonts w:ascii="Times New Roman" w:hAnsi="Times New Roman" w:cs="Times New Roman"/>
                <w:sz w:val="21"/>
                <w:szCs w:val="21"/>
              </w:rPr>
              <w:t>0.8</w:t>
            </w:r>
            <w:r>
              <w:rPr>
                <w:rFonts w:hint="eastAsia" w:ascii="Times New Roman" w:hAnsi="Times New Roman" w:cs="Times New Roman"/>
                <w:sz w:val="21"/>
                <w:szCs w:val="21"/>
              </w:rPr>
              <w:t>kg/m</w:t>
            </w:r>
          </w:p>
        </w:tc>
        <w:tc>
          <w:tcPr>
            <w:tcW w:w="584" w:type="pct"/>
            <w:noWrap w:val="0"/>
            <w:vAlign w:val="center"/>
          </w:tcPr>
          <w:p w14:paraId="7B399761">
            <w:pPr>
              <w:jc w:val="center"/>
              <w:rPr>
                <w:rFonts w:hint="eastAsia" w:ascii="Times New Roman" w:hAnsi="Times New Roman" w:cs="Times New Roman"/>
                <w:sz w:val="21"/>
                <w:szCs w:val="21"/>
              </w:rPr>
            </w:pPr>
            <w:r>
              <w:rPr>
                <w:rFonts w:hint="eastAsia" w:ascii="Times New Roman" w:hAnsi="Times New Roman" w:cs="Times New Roman"/>
                <w:sz w:val="21"/>
                <w:szCs w:val="21"/>
              </w:rPr>
              <w:t>袋装</w:t>
            </w:r>
          </w:p>
        </w:tc>
        <w:tc>
          <w:tcPr>
            <w:tcW w:w="689" w:type="pct"/>
            <w:noWrap w:val="0"/>
            <w:vAlign w:val="center"/>
          </w:tcPr>
          <w:p w14:paraId="07864A4E">
            <w:pPr>
              <w:jc w:val="center"/>
              <w:rPr>
                <w:rFonts w:hint="eastAsia" w:ascii="Times New Roman" w:hAnsi="Times New Roman" w:cs="Times New Roman"/>
                <w:sz w:val="21"/>
                <w:szCs w:val="21"/>
              </w:rPr>
            </w:pPr>
            <w:r>
              <w:rPr>
                <w:rFonts w:hint="eastAsia" w:ascii="Times New Roman" w:hAnsi="Times New Roman" w:cs="Times New Roman"/>
                <w:sz w:val="21"/>
                <w:szCs w:val="21"/>
              </w:rPr>
              <w:t>辅料库</w:t>
            </w:r>
          </w:p>
        </w:tc>
        <w:tc>
          <w:tcPr>
            <w:tcW w:w="489" w:type="pct"/>
            <w:noWrap w:val="0"/>
            <w:vAlign w:val="center"/>
          </w:tcPr>
          <w:p w14:paraId="4B88CFA7">
            <w:pPr>
              <w:jc w:val="center"/>
              <w:rPr>
                <w:rFonts w:ascii="Times New Roman" w:hAnsi="Times New Roman" w:cs="Times New Roman"/>
                <w:sz w:val="21"/>
                <w:szCs w:val="21"/>
              </w:rPr>
            </w:pPr>
            <w:r>
              <w:rPr>
                <w:rFonts w:hint="eastAsia" w:ascii="Times New Roman" w:hAnsi="Times New Roman" w:cs="Times New Roman"/>
                <w:sz w:val="21"/>
                <w:szCs w:val="21"/>
              </w:rPr>
              <w:t>外购</w:t>
            </w:r>
          </w:p>
        </w:tc>
      </w:tr>
      <w:tr w14:paraId="0A5EF43D">
        <w:tblPrEx>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30" w:hRule="atLeast"/>
          <w:jc w:val="center"/>
        </w:trPr>
        <w:tc>
          <w:tcPr>
            <w:tcW w:w="5000" w:type="pct"/>
            <w:gridSpan w:val="7"/>
            <w:noWrap w:val="0"/>
            <w:vAlign w:val="center"/>
          </w:tcPr>
          <w:p w14:paraId="0CB5D818">
            <w:pPr>
              <w:jc w:val="center"/>
              <w:rPr>
                <w:rFonts w:hint="eastAsia" w:ascii="Times New Roman" w:hAnsi="Times New Roman" w:eastAsia="宋体" w:cs="Times New Roman"/>
                <w:sz w:val="21"/>
                <w:szCs w:val="21"/>
                <w:lang w:val="en-US" w:eastAsia="zh-CN"/>
              </w:rPr>
            </w:pPr>
            <w:r>
              <w:rPr>
                <w:rFonts w:hint="eastAsia" w:ascii="Times New Roman" w:hAnsi="Times New Roman" w:cs="Times New Roman"/>
                <w:sz w:val="21"/>
                <w:szCs w:val="21"/>
                <w:lang w:val="en-US" w:eastAsia="zh-CN"/>
              </w:rPr>
              <w:t>球团</w:t>
            </w:r>
          </w:p>
        </w:tc>
      </w:tr>
      <w:tr w14:paraId="59F29881">
        <w:tblPrEx>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22" w:type="pct"/>
            <w:noWrap w:val="0"/>
            <w:vAlign w:val="center"/>
          </w:tcPr>
          <w:p w14:paraId="4798D604">
            <w:pPr>
              <w:jc w:val="center"/>
              <w:rPr>
                <w:rFonts w:hint="eastAsia" w:ascii="Times New Roman" w:hAnsi="Times New Roman" w:eastAsia="宋体" w:cs="Times New Roman"/>
                <w:sz w:val="21"/>
                <w:szCs w:val="21"/>
                <w:lang w:val="en-US" w:eastAsia="zh-CN"/>
              </w:rPr>
            </w:pPr>
            <w:r>
              <w:rPr>
                <w:rFonts w:hint="eastAsia" w:ascii="Times New Roman" w:hAnsi="Times New Roman" w:cs="Times New Roman"/>
                <w:sz w:val="21"/>
                <w:szCs w:val="21"/>
                <w:lang w:val="en-US" w:eastAsia="zh-CN"/>
              </w:rPr>
              <w:t>铁精矿</w:t>
            </w:r>
          </w:p>
        </w:tc>
        <w:tc>
          <w:tcPr>
            <w:tcW w:w="645" w:type="pct"/>
            <w:noWrap w:val="0"/>
            <w:vAlign w:val="center"/>
          </w:tcPr>
          <w:p w14:paraId="1F3DE4AF">
            <w:pPr>
              <w:jc w:val="center"/>
              <w:rPr>
                <w:rFonts w:hint="default" w:ascii="Times New Roman" w:hAnsi="Times New Roman" w:eastAsia="宋体" w:cs="Times New Roman"/>
                <w:sz w:val="21"/>
                <w:szCs w:val="21"/>
                <w:lang w:val="en-US" w:eastAsia="zh-CN"/>
              </w:rPr>
            </w:pPr>
            <w:r>
              <w:rPr>
                <w:rFonts w:hint="eastAsia" w:ascii="Times New Roman" w:hAnsi="Times New Roman" w:cs="Times New Roman"/>
                <w:sz w:val="21"/>
                <w:szCs w:val="21"/>
                <w:lang w:val="en-US" w:eastAsia="zh-CN"/>
              </w:rPr>
              <w:t>147100</w:t>
            </w:r>
          </w:p>
        </w:tc>
        <w:tc>
          <w:tcPr>
            <w:tcW w:w="650" w:type="pct"/>
            <w:noWrap w:val="0"/>
            <w:vAlign w:val="center"/>
          </w:tcPr>
          <w:p w14:paraId="118CB3F8">
            <w:pPr>
              <w:jc w:val="center"/>
              <w:rPr>
                <w:rFonts w:hint="default" w:ascii="Times New Roman" w:hAnsi="Times New Roman" w:eastAsia="宋体" w:cs="Times New Roman"/>
                <w:sz w:val="21"/>
                <w:szCs w:val="21"/>
                <w:lang w:val="en-US" w:eastAsia="zh-CN"/>
              </w:rPr>
            </w:pPr>
            <w:r>
              <w:rPr>
                <w:rFonts w:hint="eastAsia" w:ascii="Times New Roman" w:hAnsi="Times New Roman" w:cs="Times New Roman"/>
                <w:sz w:val="21"/>
                <w:szCs w:val="21"/>
                <w:lang w:val="en-US" w:eastAsia="zh-CN"/>
              </w:rPr>
              <w:t>1.05</w:t>
            </w:r>
          </w:p>
        </w:tc>
        <w:tc>
          <w:tcPr>
            <w:tcW w:w="1319" w:type="pct"/>
            <w:noWrap w:val="0"/>
            <w:vAlign w:val="center"/>
          </w:tcPr>
          <w:p w14:paraId="49A26944">
            <w:pPr>
              <w:jc w:val="center"/>
              <w:rPr>
                <w:rFonts w:hint="default" w:ascii="Times New Roman" w:hAnsi="Times New Roman" w:eastAsia="宋体" w:cs="Times New Roman"/>
                <w:sz w:val="21"/>
                <w:szCs w:val="21"/>
                <w:lang w:val="en-US" w:eastAsia="zh-CN"/>
              </w:rPr>
            </w:pPr>
            <w:r>
              <w:rPr>
                <w:rFonts w:hint="eastAsia" w:ascii="Times New Roman" w:hAnsi="Times New Roman" w:cs="Times New Roman"/>
                <w:sz w:val="21"/>
                <w:szCs w:val="21"/>
                <w:lang w:val="en-US" w:eastAsia="zh-CN"/>
              </w:rPr>
              <w:t>Fe</w:t>
            </w:r>
            <w:r>
              <w:rPr>
                <w:rFonts w:ascii="Times New Roman" w:hAnsi="Times New Roman" w:cs="Times New Roman"/>
                <w:sz w:val="21"/>
                <w:szCs w:val="21"/>
              </w:rPr>
              <w:t>≥</w:t>
            </w:r>
            <w:r>
              <w:rPr>
                <w:rFonts w:hint="eastAsia" w:ascii="Times New Roman" w:hAnsi="Times New Roman" w:cs="Times New Roman"/>
                <w:sz w:val="21"/>
                <w:szCs w:val="21"/>
                <w:lang w:val="en-US" w:eastAsia="zh-CN"/>
              </w:rPr>
              <w:t>60%，水分＜12%</w:t>
            </w:r>
          </w:p>
        </w:tc>
        <w:tc>
          <w:tcPr>
            <w:tcW w:w="584" w:type="pct"/>
            <w:noWrap w:val="0"/>
            <w:vAlign w:val="center"/>
          </w:tcPr>
          <w:p w14:paraId="00FFFFA5">
            <w:pPr>
              <w:jc w:val="center"/>
              <w:rPr>
                <w:rFonts w:hint="eastAsia" w:ascii="Times New Roman" w:hAnsi="Times New Roman" w:cs="Times New Roman"/>
                <w:sz w:val="21"/>
                <w:szCs w:val="21"/>
              </w:rPr>
            </w:pPr>
            <w:r>
              <w:rPr>
                <w:rFonts w:hint="eastAsia" w:ascii="Times New Roman" w:hAnsi="Times New Roman" w:cs="Times New Roman"/>
                <w:sz w:val="21"/>
                <w:szCs w:val="21"/>
              </w:rPr>
              <w:t>袋装</w:t>
            </w:r>
          </w:p>
        </w:tc>
        <w:tc>
          <w:tcPr>
            <w:tcW w:w="1202" w:type="dxa"/>
            <w:noWrap w:val="0"/>
            <w:vAlign w:val="center"/>
          </w:tcPr>
          <w:p w14:paraId="0A7383C0">
            <w:pPr>
              <w:jc w:val="center"/>
              <w:rPr>
                <w:rFonts w:hint="eastAsia" w:ascii="Times New Roman" w:hAnsi="Times New Roman" w:cs="Times New Roman"/>
                <w:sz w:val="21"/>
                <w:szCs w:val="21"/>
              </w:rPr>
            </w:pPr>
            <w:r>
              <w:rPr>
                <w:rFonts w:hint="eastAsia" w:ascii="Times New Roman" w:hAnsi="Times New Roman" w:cs="Times New Roman"/>
                <w:sz w:val="21"/>
                <w:szCs w:val="21"/>
              </w:rPr>
              <w:t>辅料库</w:t>
            </w:r>
          </w:p>
        </w:tc>
        <w:tc>
          <w:tcPr>
            <w:tcW w:w="856" w:type="dxa"/>
            <w:noWrap w:val="0"/>
            <w:vAlign w:val="center"/>
          </w:tcPr>
          <w:p w14:paraId="105A47CD">
            <w:pPr>
              <w:jc w:val="center"/>
              <w:rPr>
                <w:rFonts w:hint="eastAsia" w:ascii="Times New Roman" w:hAnsi="Times New Roman" w:cs="Times New Roman"/>
                <w:sz w:val="21"/>
                <w:szCs w:val="21"/>
              </w:rPr>
            </w:pPr>
            <w:r>
              <w:rPr>
                <w:rFonts w:hint="eastAsia" w:ascii="Times New Roman" w:hAnsi="Times New Roman" w:cs="Times New Roman"/>
                <w:sz w:val="21"/>
                <w:szCs w:val="21"/>
              </w:rPr>
              <w:t>外购</w:t>
            </w:r>
          </w:p>
        </w:tc>
      </w:tr>
      <w:tr w14:paraId="28FEEBBC">
        <w:tblPrEx>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22" w:type="pct"/>
            <w:noWrap w:val="0"/>
            <w:vAlign w:val="center"/>
          </w:tcPr>
          <w:p w14:paraId="47D08A9E">
            <w:pPr>
              <w:jc w:val="center"/>
              <w:rPr>
                <w:rFonts w:hint="eastAsia" w:ascii="Times New Roman" w:hAnsi="Times New Roman" w:eastAsia="宋体" w:cs="Times New Roman"/>
                <w:sz w:val="21"/>
                <w:szCs w:val="21"/>
                <w:lang w:val="en-US" w:eastAsia="zh-CN"/>
              </w:rPr>
            </w:pPr>
            <w:r>
              <w:rPr>
                <w:rFonts w:hint="eastAsia" w:ascii="Times New Roman" w:hAnsi="Times New Roman" w:cs="Times New Roman"/>
                <w:sz w:val="21"/>
                <w:szCs w:val="21"/>
                <w:lang w:val="en-US" w:eastAsia="zh-CN"/>
              </w:rPr>
              <w:t>膨胀土</w:t>
            </w:r>
          </w:p>
        </w:tc>
        <w:tc>
          <w:tcPr>
            <w:tcW w:w="645" w:type="pct"/>
            <w:noWrap w:val="0"/>
            <w:vAlign w:val="center"/>
          </w:tcPr>
          <w:p w14:paraId="0D518D10">
            <w:pPr>
              <w:jc w:val="center"/>
              <w:rPr>
                <w:rFonts w:hint="default" w:ascii="Times New Roman" w:hAnsi="Times New Roman" w:eastAsia="宋体" w:cs="Times New Roman"/>
                <w:sz w:val="21"/>
                <w:szCs w:val="21"/>
                <w:lang w:val="en-US" w:eastAsia="zh-CN"/>
              </w:rPr>
            </w:pPr>
            <w:r>
              <w:rPr>
                <w:rFonts w:hint="eastAsia" w:ascii="Times New Roman" w:hAnsi="Times New Roman" w:cs="Times New Roman"/>
                <w:sz w:val="21"/>
                <w:szCs w:val="21"/>
                <w:lang w:val="en-US" w:eastAsia="zh-CN"/>
              </w:rPr>
              <w:t>1860</w:t>
            </w:r>
          </w:p>
        </w:tc>
        <w:tc>
          <w:tcPr>
            <w:tcW w:w="650" w:type="pct"/>
            <w:noWrap w:val="0"/>
            <w:vAlign w:val="center"/>
          </w:tcPr>
          <w:p w14:paraId="7CDC5DD9">
            <w:pPr>
              <w:jc w:val="center"/>
              <w:rPr>
                <w:rFonts w:hint="default" w:ascii="Times New Roman" w:hAnsi="Times New Roman" w:eastAsia="宋体" w:cs="Times New Roman"/>
                <w:sz w:val="21"/>
                <w:szCs w:val="21"/>
                <w:lang w:val="en-US" w:eastAsia="zh-CN"/>
              </w:rPr>
            </w:pPr>
            <w:r>
              <w:rPr>
                <w:rFonts w:hint="eastAsia" w:ascii="Times New Roman" w:hAnsi="Times New Roman" w:cs="Times New Roman"/>
                <w:sz w:val="21"/>
                <w:szCs w:val="21"/>
                <w:lang w:val="en-US" w:eastAsia="zh-CN"/>
              </w:rPr>
              <w:t>0.013</w:t>
            </w:r>
          </w:p>
        </w:tc>
        <w:tc>
          <w:tcPr>
            <w:tcW w:w="1319" w:type="pct"/>
            <w:noWrap w:val="0"/>
            <w:vAlign w:val="center"/>
          </w:tcPr>
          <w:p w14:paraId="141A2E4A">
            <w:pPr>
              <w:jc w:val="center"/>
              <w:rPr>
                <w:rFonts w:ascii="Times New Roman" w:hAnsi="Times New Roman" w:cs="Times New Roman"/>
                <w:sz w:val="21"/>
                <w:szCs w:val="21"/>
              </w:rPr>
            </w:pPr>
            <w:r>
              <w:rPr>
                <w:rFonts w:hint="eastAsia" w:ascii="Times New Roman" w:hAnsi="Times New Roman" w:cs="Times New Roman"/>
                <w:sz w:val="21"/>
                <w:szCs w:val="21"/>
              </w:rPr>
              <w:t>吸蓝量24-32 g/100g，膨胀容&gt;45 ml/15g，胶质价&gt;450 ml/15g，吸水倍300，细度(-200目)&gt;98%</w:t>
            </w:r>
          </w:p>
        </w:tc>
        <w:tc>
          <w:tcPr>
            <w:tcW w:w="584" w:type="pct"/>
            <w:noWrap w:val="0"/>
            <w:vAlign w:val="center"/>
          </w:tcPr>
          <w:p w14:paraId="1D2948CF">
            <w:pPr>
              <w:jc w:val="center"/>
              <w:rPr>
                <w:rFonts w:hint="eastAsia" w:ascii="Times New Roman" w:hAnsi="Times New Roman" w:cs="Times New Roman"/>
                <w:sz w:val="21"/>
                <w:szCs w:val="21"/>
              </w:rPr>
            </w:pPr>
            <w:r>
              <w:rPr>
                <w:rFonts w:hint="eastAsia" w:ascii="Times New Roman" w:hAnsi="Times New Roman" w:cs="Times New Roman"/>
                <w:sz w:val="21"/>
                <w:szCs w:val="21"/>
              </w:rPr>
              <w:t>袋装</w:t>
            </w:r>
          </w:p>
        </w:tc>
        <w:tc>
          <w:tcPr>
            <w:tcW w:w="1202" w:type="dxa"/>
            <w:noWrap w:val="0"/>
            <w:vAlign w:val="center"/>
          </w:tcPr>
          <w:p w14:paraId="64CB2369">
            <w:pPr>
              <w:jc w:val="center"/>
              <w:rPr>
                <w:rFonts w:hint="eastAsia" w:ascii="Times New Roman" w:hAnsi="Times New Roman" w:cs="Times New Roman"/>
                <w:sz w:val="21"/>
                <w:szCs w:val="21"/>
              </w:rPr>
            </w:pPr>
            <w:r>
              <w:rPr>
                <w:rFonts w:hint="eastAsia" w:ascii="Times New Roman" w:hAnsi="Times New Roman" w:cs="Times New Roman"/>
                <w:sz w:val="21"/>
                <w:szCs w:val="21"/>
              </w:rPr>
              <w:t>辅料库</w:t>
            </w:r>
          </w:p>
        </w:tc>
        <w:tc>
          <w:tcPr>
            <w:tcW w:w="856" w:type="dxa"/>
            <w:noWrap w:val="0"/>
            <w:vAlign w:val="center"/>
          </w:tcPr>
          <w:p w14:paraId="624FA4E6">
            <w:pPr>
              <w:jc w:val="center"/>
              <w:rPr>
                <w:rFonts w:hint="eastAsia" w:ascii="Times New Roman" w:hAnsi="Times New Roman" w:cs="Times New Roman"/>
                <w:sz w:val="21"/>
                <w:szCs w:val="21"/>
              </w:rPr>
            </w:pPr>
            <w:r>
              <w:rPr>
                <w:rFonts w:hint="eastAsia" w:ascii="Times New Roman" w:hAnsi="Times New Roman" w:cs="Times New Roman"/>
                <w:sz w:val="21"/>
                <w:szCs w:val="21"/>
              </w:rPr>
              <w:t>外购</w:t>
            </w:r>
          </w:p>
        </w:tc>
      </w:tr>
      <w:tr w14:paraId="7824F2E3">
        <w:tblPrEx>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000" w:type="pct"/>
            <w:gridSpan w:val="7"/>
            <w:noWrap w:val="0"/>
            <w:vAlign w:val="center"/>
          </w:tcPr>
          <w:p w14:paraId="6C6BEAF2">
            <w:pPr>
              <w:jc w:val="center"/>
              <w:rPr>
                <w:rFonts w:hint="eastAsia" w:ascii="Times New Roman" w:hAnsi="Times New Roman" w:eastAsia="宋体" w:cs="Times New Roman"/>
                <w:sz w:val="21"/>
                <w:szCs w:val="21"/>
                <w:lang w:val="en-US" w:eastAsia="zh-CN"/>
              </w:rPr>
            </w:pPr>
            <w:r>
              <w:rPr>
                <w:rFonts w:hint="eastAsia" w:ascii="Times New Roman" w:hAnsi="Times New Roman" w:cs="Times New Roman"/>
                <w:sz w:val="21"/>
                <w:szCs w:val="21"/>
                <w:lang w:val="en-US" w:eastAsia="zh-CN"/>
              </w:rPr>
              <w:t>石灰窑</w:t>
            </w:r>
          </w:p>
        </w:tc>
      </w:tr>
      <w:tr w14:paraId="22E4C648">
        <w:tblPrEx>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22" w:type="pct"/>
            <w:noWrap w:val="0"/>
            <w:vAlign w:val="center"/>
          </w:tcPr>
          <w:p w14:paraId="37C5BEC9">
            <w:pPr>
              <w:jc w:val="center"/>
              <w:rPr>
                <w:rFonts w:hint="eastAsia" w:ascii="Times New Roman" w:hAnsi="Times New Roman" w:eastAsia="宋体" w:cs="Times New Roman"/>
                <w:sz w:val="21"/>
                <w:szCs w:val="21"/>
                <w:lang w:val="en-US" w:eastAsia="zh-CN"/>
              </w:rPr>
            </w:pPr>
            <w:r>
              <w:rPr>
                <w:rFonts w:hint="eastAsia" w:ascii="Times New Roman" w:hAnsi="Times New Roman" w:cs="Times New Roman"/>
                <w:sz w:val="21"/>
                <w:szCs w:val="21"/>
                <w:lang w:val="en-US" w:eastAsia="zh-CN"/>
              </w:rPr>
              <w:t>石灰石</w:t>
            </w:r>
          </w:p>
        </w:tc>
        <w:tc>
          <w:tcPr>
            <w:tcW w:w="645" w:type="pct"/>
            <w:noWrap w:val="0"/>
            <w:vAlign w:val="center"/>
          </w:tcPr>
          <w:p w14:paraId="4131F618">
            <w:pPr>
              <w:jc w:val="center"/>
              <w:rPr>
                <w:rFonts w:hint="default" w:ascii="Times New Roman" w:hAnsi="Times New Roman" w:eastAsia="宋体" w:cs="Times New Roman"/>
                <w:sz w:val="21"/>
                <w:szCs w:val="21"/>
                <w:lang w:val="en-US" w:eastAsia="zh-CN"/>
              </w:rPr>
            </w:pPr>
            <w:r>
              <w:rPr>
                <w:rFonts w:hint="eastAsia" w:ascii="Times New Roman" w:hAnsi="Times New Roman" w:cs="Times New Roman"/>
                <w:sz w:val="21"/>
                <w:szCs w:val="21"/>
                <w:lang w:val="en-US" w:eastAsia="zh-CN"/>
              </w:rPr>
              <w:t>47160</w:t>
            </w:r>
          </w:p>
        </w:tc>
        <w:tc>
          <w:tcPr>
            <w:tcW w:w="650" w:type="pct"/>
            <w:noWrap w:val="0"/>
            <w:vAlign w:val="center"/>
          </w:tcPr>
          <w:p w14:paraId="1E26D4CA">
            <w:pPr>
              <w:jc w:val="center"/>
              <w:rPr>
                <w:rFonts w:hint="default" w:ascii="Times New Roman" w:hAnsi="Times New Roman" w:eastAsia="宋体" w:cs="Times New Roman"/>
                <w:sz w:val="21"/>
                <w:szCs w:val="21"/>
                <w:lang w:val="en-US" w:eastAsia="zh-CN"/>
              </w:rPr>
            </w:pPr>
            <w:r>
              <w:rPr>
                <w:rFonts w:hint="eastAsia" w:ascii="Times New Roman" w:hAnsi="Times New Roman" w:cs="Times New Roman"/>
                <w:sz w:val="21"/>
                <w:szCs w:val="21"/>
                <w:lang w:val="en-US" w:eastAsia="zh-CN"/>
              </w:rPr>
              <w:t>1.048</w:t>
            </w:r>
          </w:p>
        </w:tc>
        <w:tc>
          <w:tcPr>
            <w:tcW w:w="1319" w:type="pct"/>
            <w:noWrap w:val="0"/>
            <w:vAlign w:val="center"/>
          </w:tcPr>
          <w:p w14:paraId="08AD85D0">
            <w:pPr>
              <w:jc w:val="center"/>
              <w:rPr>
                <w:rFonts w:hint="default" w:ascii="Times New Roman" w:hAnsi="Times New Roman" w:eastAsia="宋体" w:cs="Times New Roman"/>
                <w:sz w:val="21"/>
                <w:szCs w:val="21"/>
                <w:lang w:val="en-US" w:eastAsia="zh-CN"/>
              </w:rPr>
            </w:pPr>
            <w:r>
              <w:rPr>
                <w:rFonts w:hint="eastAsia" w:ascii="Times New Roman" w:hAnsi="Times New Roman" w:cs="Times New Roman"/>
                <w:sz w:val="21"/>
                <w:szCs w:val="21"/>
                <w:lang w:val="en-US" w:eastAsia="zh-CN"/>
              </w:rPr>
              <w:t>CaO+MgO≥90%</w:t>
            </w:r>
          </w:p>
        </w:tc>
        <w:tc>
          <w:tcPr>
            <w:tcW w:w="1019" w:type="dxa"/>
            <w:noWrap w:val="0"/>
            <w:vAlign w:val="center"/>
          </w:tcPr>
          <w:p w14:paraId="74CDC44D">
            <w:pPr>
              <w:jc w:val="center"/>
              <w:rPr>
                <w:rFonts w:hint="eastAsia" w:ascii="Times New Roman" w:hAnsi="Times New Roman" w:cs="Times New Roman"/>
                <w:sz w:val="21"/>
                <w:szCs w:val="21"/>
              </w:rPr>
            </w:pPr>
            <w:r>
              <w:rPr>
                <w:rFonts w:hint="eastAsia" w:ascii="Times New Roman" w:hAnsi="Times New Roman" w:cs="Times New Roman"/>
                <w:sz w:val="21"/>
                <w:szCs w:val="21"/>
              </w:rPr>
              <w:t>袋装</w:t>
            </w:r>
          </w:p>
        </w:tc>
        <w:tc>
          <w:tcPr>
            <w:tcW w:w="1202" w:type="dxa"/>
            <w:noWrap w:val="0"/>
            <w:vAlign w:val="center"/>
          </w:tcPr>
          <w:p w14:paraId="3CF4595E">
            <w:pPr>
              <w:jc w:val="center"/>
              <w:rPr>
                <w:rFonts w:hint="eastAsia" w:ascii="Times New Roman" w:hAnsi="Times New Roman" w:cs="Times New Roman"/>
                <w:sz w:val="21"/>
                <w:szCs w:val="21"/>
              </w:rPr>
            </w:pPr>
            <w:r>
              <w:rPr>
                <w:rFonts w:hint="eastAsia" w:ascii="Times New Roman" w:hAnsi="Times New Roman" w:cs="Times New Roman"/>
                <w:sz w:val="21"/>
                <w:szCs w:val="21"/>
              </w:rPr>
              <w:t>辅料库</w:t>
            </w:r>
          </w:p>
        </w:tc>
        <w:tc>
          <w:tcPr>
            <w:tcW w:w="856" w:type="dxa"/>
            <w:noWrap w:val="0"/>
            <w:vAlign w:val="center"/>
          </w:tcPr>
          <w:p w14:paraId="5D29DE43">
            <w:pPr>
              <w:jc w:val="center"/>
              <w:rPr>
                <w:rFonts w:hint="eastAsia" w:ascii="Times New Roman" w:hAnsi="Times New Roman" w:cs="Times New Roman"/>
                <w:sz w:val="21"/>
                <w:szCs w:val="21"/>
              </w:rPr>
            </w:pPr>
            <w:r>
              <w:rPr>
                <w:rFonts w:hint="eastAsia" w:ascii="Times New Roman" w:hAnsi="Times New Roman" w:cs="Times New Roman"/>
                <w:sz w:val="21"/>
                <w:szCs w:val="21"/>
              </w:rPr>
              <w:t>外购</w:t>
            </w:r>
          </w:p>
        </w:tc>
      </w:tr>
      <w:tr w14:paraId="3AD23EA0">
        <w:tblPrEx>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000" w:type="pct"/>
            <w:gridSpan w:val="7"/>
            <w:noWrap w:val="0"/>
            <w:vAlign w:val="center"/>
          </w:tcPr>
          <w:p w14:paraId="3A00D170">
            <w:pPr>
              <w:jc w:val="center"/>
              <w:rPr>
                <w:rFonts w:hint="default" w:ascii="Times New Roman" w:hAnsi="Times New Roman" w:eastAsia="宋体" w:cs="Times New Roman"/>
                <w:sz w:val="21"/>
                <w:szCs w:val="21"/>
                <w:lang w:val="en-US" w:eastAsia="zh-CN"/>
              </w:rPr>
            </w:pPr>
            <w:r>
              <w:rPr>
                <w:rFonts w:hint="eastAsia" w:ascii="Times New Roman" w:hAnsi="Times New Roman" w:cs="Times New Roman"/>
                <w:sz w:val="21"/>
                <w:szCs w:val="21"/>
                <w:lang w:val="en-US" w:eastAsia="zh-CN"/>
              </w:rPr>
              <w:t>环保工程</w:t>
            </w:r>
          </w:p>
        </w:tc>
      </w:tr>
      <w:tr w14:paraId="27B3DB76">
        <w:tblPrEx>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22" w:type="pct"/>
            <w:noWrap w:val="0"/>
            <w:vAlign w:val="center"/>
          </w:tcPr>
          <w:p w14:paraId="2EC1B267">
            <w:pPr>
              <w:jc w:val="center"/>
              <w:rPr>
                <w:rFonts w:hint="default" w:ascii="Times New Roman" w:hAnsi="Times New Roman" w:cs="Times New Roman"/>
                <w:sz w:val="21"/>
                <w:szCs w:val="21"/>
                <w:lang w:val="en-US" w:eastAsia="zh-CN"/>
              </w:rPr>
            </w:pPr>
            <w:r>
              <w:rPr>
                <w:rFonts w:hint="eastAsia" w:ascii="Times New Roman" w:hAnsi="Times New Roman" w:cs="Times New Roman"/>
                <w:sz w:val="21"/>
                <w:szCs w:val="21"/>
                <w:lang w:val="en-US" w:eastAsia="zh-CN"/>
              </w:rPr>
              <w:t>氨水</w:t>
            </w:r>
          </w:p>
        </w:tc>
        <w:tc>
          <w:tcPr>
            <w:tcW w:w="645" w:type="pct"/>
            <w:noWrap w:val="0"/>
            <w:vAlign w:val="center"/>
          </w:tcPr>
          <w:p w14:paraId="26E5240A">
            <w:pPr>
              <w:jc w:val="center"/>
              <w:rPr>
                <w:rFonts w:hint="default" w:ascii="Times New Roman" w:hAnsi="Times New Roman" w:cs="Times New Roman"/>
                <w:sz w:val="21"/>
                <w:szCs w:val="21"/>
                <w:lang w:val="en-US" w:eastAsia="zh-CN"/>
              </w:rPr>
            </w:pPr>
            <w:r>
              <w:rPr>
                <w:rFonts w:hint="eastAsia" w:ascii="Times New Roman" w:hAnsi="Times New Roman" w:cs="Times New Roman"/>
                <w:sz w:val="21"/>
                <w:szCs w:val="21"/>
                <w:lang w:val="en-US" w:eastAsia="zh-CN"/>
              </w:rPr>
              <w:t>150</w:t>
            </w:r>
          </w:p>
        </w:tc>
        <w:tc>
          <w:tcPr>
            <w:tcW w:w="650" w:type="pct"/>
            <w:noWrap w:val="0"/>
            <w:vAlign w:val="center"/>
          </w:tcPr>
          <w:p w14:paraId="5637A907">
            <w:pPr>
              <w:jc w:val="center"/>
              <w:rPr>
                <w:rFonts w:hint="eastAsia" w:ascii="Times New Roman" w:hAnsi="Times New Roman" w:eastAsia="宋体" w:cs="Times New Roman"/>
                <w:sz w:val="21"/>
                <w:szCs w:val="21"/>
                <w:lang w:val="en-US" w:eastAsia="zh-CN"/>
              </w:rPr>
            </w:pPr>
            <w:r>
              <w:rPr>
                <w:rFonts w:hint="eastAsia" w:ascii="Times New Roman" w:hAnsi="Times New Roman" w:cs="Times New Roman"/>
                <w:sz w:val="21"/>
                <w:szCs w:val="21"/>
                <w:lang w:val="en-US" w:eastAsia="zh-CN"/>
              </w:rPr>
              <w:t>/</w:t>
            </w:r>
          </w:p>
        </w:tc>
        <w:tc>
          <w:tcPr>
            <w:tcW w:w="1319" w:type="pct"/>
            <w:noWrap w:val="0"/>
            <w:vAlign w:val="center"/>
          </w:tcPr>
          <w:p w14:paraId="4D32470C">
            <w:pPr>
              <w:jc w:val="center"/>
              <w:rPr>
                <w:rFonts w:ascii="Times New Roman" w:hAnsi="Times New Roman" w:cs="Times New Roman"/>
                <w:sz w:val="21"/>
                <w:szCs w:val="21"/>
              </w:rPr>
            </w:pPr>
            <w:r>
              <w:rPr>
                <w:rFonts w:hint="eastAsia" w:ascii="Times New Roman" w:hAnsi="Times New Roman" w:cs="Times New Roman"/>
                <w:sz w:val="21"/>
                <w:szCs w:val="21"/>
                <w:lang w:val="en-US" w:eastAsia="zh-CN"/>
              </w:rPr>
              <w:t>氨水20%</w:t>
            </w:r>
          </w:p>
        </w:tc>
        <w:tc>
          <w:tcPr>
            <w:tcW w:w="584" w:type="pct"/>
            <w:noWrap w:val="0"/>
            <w:vAlign w:val="center"/>
          </w:tcPr>
          <w:p w14:paraId="0C4495C4">
            <w:pPr>
              <w:jc w:val="center"/>
              <w:rPr>
                <w:rFonts w:hint="default" w:ascii="Times New Roman" w:hAnsi="Times New Roman" w:eastAsia="宋体" w:cs="Times New Roman"/>
                <w:sz w:val="21"/>
                <w:szCs w:val="21"/>
                <w:lang w:val="en-US" w:eastAsia="zh-CN"/>
              </w:rPr>
            </w:pPr>
            <w:r>
              <w:rPr>
                <w:rFonts w:hint="eastAsia" w:ascii="Times New Roman" w:hAnsi="Times New Roman" w:cs="Times New Roman"/>
                <w:sz w:val="21"/>
                <w:szCs w:val="21"/>
                <w:lang w:val="en-US" w:eastAsia="zh-CN"/>
              </w:rPr>
              <w:t>罐装</w:t>
            </w:r>
          </w:p>
        </w:tc>
        <w:tc>
          <w:tcPr>
            <w:tcW w:w="689" w:type="pct"/>
            <w:noWrap w:val="0"/>
            <w:vAlign w:val="center"/>
          </w:tcPr>
          <w:p w14:paraId="3EEF29A9">
            <w:pPr>
              <w:jc w:val="center"/>
              <w:rPr>
                <w:rFonts w:hint="eastAsia" w:ascii="Times New Roman" w:hAnsi="Times New Roman" w:eastAsia="宋体" w:cs="Times New Roman"/>
                <w:sz w:val="21"/>
                <w:szCs w:val="21"/>
                <w:lang w:val="en-US" w:eastAsia="zh-CN"/>
              </w:rPr>
            </w:pPr>
            <w:r>
              <w:rPr>
                <w:rFonts w:hint="eastAsia" w:ascii="Times New Roman" w:hAnsi="Times New Roman" w:cs="Times New Roman"/>
                <w:sz w:val="21"/>
                <w:szCs w:val="21"/>
                <w:lang w:val="en-US" w:eastAsia="zh-CN"/>
              </w:rPr>
              <w:t>储罐区</w:t>
            </w:r>
          </w:p>
        </w:tc>
        <w:tc>
          <w:tcPr>
            <w:tcW w:w="489" w:type="pct"/>
            <w:noWrap w:val="0"/>
            <w:vAlign w:val="center"/>
          </w:tcPr>
          <w:p w14:paraId="75B1394C">
            <w:pPr>
              <w:jc w:val="center"/>
              <w:rPr>
                <w:rFonts w:hint="eastAsia" w:ascii="Times New Roman" w:hAnsi="Times New Roman" w:cs="Times New Roman"/>
                <w:sz w:val="21"/>
                <w:szCs w:val="21"/>
              </w:rPr>
            </w:pPr>
            <w:r>
              <w:rPr>
                <w:rFonts w:hint="eastAsia" w:ascii="Times New Roman" w:hAnsi="Times New Roman" w:cs="Times New Roman"/>
                <w:sz w:val="21"/>
                <w:szCs w:val="21"/>
              </w:rPr>
              <w:t>外购</w:t>
            </w:r>
          </w:p>
        </w:tc>
      </w:tr>
      <w:tr w14:paraId="653D4F9A">
        <w:tblPrEx>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22" w:type="pct"/>
            <w:noWrap w:val="0"/>
            <w:vAlign w:val="center"/>
          </w:tcPr>
          <w:p w14:paraId="38675C27">
            <w:pPr>
              <w:jc w:val="center"/>
              <w:rPr>
                <w:rFonts w:hint="default" w:ascii="Times New Roman" w:hAnsi="Times New Roman" w:cs="Times New Roman"/>
                <w:sz w:val="21"/>
                <w:szCs w:val="21"/>
                <w:lang w:val="en-US" w:eastAsia="zh-CN"/>
              </w:rPr>
            </w:pPr>
            <w:r>
              <w:rPr>
                <w:rFonts w:hint="eastAsia" w:ascii="Times New Roman" w:hAnsi="Times New Roman" w:cs="Times New Roman"/>
                <w:sz w:val="21"/>
                <w:szCs w:val="21"/>
                <w:lang w:val="en-US" w:eastAsia="zh-CN"/>
              </w:rPr>
              <w:t>石灰石</w:t>
            </w:r>
          </w:p>
        </w:tc>
        <w:tc>
          <w:tcPr>
            <w:tcW w:w="645" w:type="pct"/>
            <w:noWrap w:val="0"/>
            <w:vAlign w:val="center"/>
          </w:tcPr>
          <w:p w14:paraId="45C04AE6">
            <w:pPr>
              <w:jc w:val="center"/>
              <w:rPr>
                <w:rFonts w:hint="default" w:ascii="Times New Roman" w:hAnsi="Times New Roman" w:cs="Times New Roman"/>
                <w:sz w:val="21"/>
                <w:szCs w:val="21"/>
                <w:lang w:val="en-US" w:eastAsia="zh-CN"/>
              </w:rPr>
            </w:pPr>
            <w:r>
              <w:rPr>
                <w:rFonts w:hint="eastAsia" w:ascii="Times New Roman" w:hAnsi="Times New Roman" w:cs="Times New Roman"/>
                <w:sz w:val="21"/>
                <w:szCs w:val="21"/>
                <w:lang w:val="en-US" w:eastAsia="zh-CN"/>
              </w:rPr>
              <w:t>320</w:t>
            </w:r>
          </w:p>
        </w:tc>
        <w:tc>
          <w:tcPr>
            <w:tcW w:w="650" w:type="pct"/>
            <w:noWrap w:val="0"/>
            <w:vAlign w:val="center"/>
          </w:tcPr>
          <w:p w14:paraId="0257BD42">
            <w:pPr>
              <w:jc w:val="center"/>
              <w:rPr>
                <w:rFonts w:hint="eastAsia" w:ascii="Times New Roman" w:hAnsi="Times New Roman" w:eastAsia="宋体" w:cs="Times New Roman"/>
                <w:sz w:val="21"/>
                <w:szCs w:val="21"/>
                <w:lang w:val="en-US" w:eastAsia="zh-CN"/>
              </w:rPr>
            </w:pPr>
            <w:r>
              <w:rPr>
                <w:rFonts w:hint="eastAsia" w:ascii="Times New Roman" w:hAnsi="Times New Roman" w:cs="Times New Roman"/>
                <w:sz w:val="21"/>
                <w:szCs w:val="21"/>
                <w:lang w:val="en-US" w:eastAsia="zh-CN"/>
              </w:rPr>
              <w:t>/</w:t>
            </w:r>
          </w:p>
        </w:tc>
        <w:tc>
          <w:tcPr>
            <w:tcW w:w="1319" w:type="pct"/>
            <w:noWrap w:val="0"/>
            <w:vAlign w:val="center"/>
          </w:tcPr>
          <w:p w14:paraId="405B29B1">
            <w:pPr>
              <w:jc w:val="center"/>
              <w:rPr>
                <w:rFonts w:ascii="Times New Roman" w:hAnsi="Times New Roman" w:cs="Times New Roman"/>
                <w:sz w:val="21"/>
                <w:szCs w:val="21"/>
              </w:rPr>
            </w:pPr>
            <w:r>
              <w:rPr>
                <w:rFonts w:hint="eastAsia" w:ascii="Times New Roman" w:hAnsi="Times New Roman" w:cs="Times New Roman"/>
                <w:sz w:val="21"/>
                <w:szCs w:val="21"/>
              </w:rPr>
              <w:t>石灰品质CaO含量≥80%,细度至少满足200目90%过筛率</w:t>
            </w:r>
          </w:p>
        </w:tc>
        <w:tc>
          <w:tcPr>
            <w:tcW w:w="1019" w:type="dxa"/>
            <w:noWrap w:val="0"/>
            <w:vAlign w:val="center"/>
          </w:tcPr>
          <w:p w14:paraId="03EFB5B8">
            <w:pPr>
              <w:jc w:val="center"/>
              <w:rPr>
                <w:rFonts w:hint="eastAsia" w:ascii="Times New Roman" w:hAnsi="Times New Roman" w:cs="Times New Roman"/>
                <w:sz w:val="21"/>
                <w:szCs w:val="21"/>
              </w:rPr>
            </w:pPr>
            <w:r>
              <w:rPr>
                <w:rFonts w:hint="eastAsia" w:ascii="Times New Roman" w:hAnsi="Times New Roman" w:cs="Times New Roman"/>
                <w:sz w:val="21"/>
                <w:szCs w:val="21"/>
              </w:rPr>
              <w:t>袋装</w:t>
            </w:r>
          </w:p>
        </w:tc>
        <w:tc>
          <w:tcPr>
            <w:tcW w:w="1202" w:type="dxa"/>
            <w:noWrap w:val="0"/>
            <w:vAlign w:val="center"/>
          </w:tcPr>
          <w:p w14:paraId="4D25A494">
            <w:pPr>
              <w:jc w:val="center"/>
              <w:rPr>
                <w:rFonts w:hint="eastAsia" w:ascii="Times New Roman" w:hAnsi="Times New Roman" w:cs="Times New Roman"/>
                <w:sz w:val="21"/>
                <w:szCs w:val="21"/>
              </w:rPr>
            </w:pPr>
            <w:r>
              <w:rPr>
                <w:rFonts w:hint="eastAsia" w:ascii="Times New Roman" w:hAnsi="Times New Roman" w:cs="Times New Roman"/>
                <w:sz w:val="21"/>
                <w:szCs w:val="21"/>
              </w:rPr>
              <w:t>辅料库</w:t>
            </w:r>
          </w:p>
        </w:tc>
        <w:tc>
          <w:tcPr>
            <w:tcW w:w="856" w:type="dxa"/>
            <w:noWrap w:val="0"/>
            <w:vAlign w:val="center"/>
          </w:tcPr>
          <w:p w14:paraId="5C7BC0AC">
            <w:pPr>
              <w:jc w:val="center"/>
              <w:rPr>
                <w:rFonts w:hint="eastAsia" w:ascii="Times New Roman" w:hAnsi="Times New Roman" w:cs="Times New Roman"/>
                <w:sz w:val="21"/>
                <w:szCs w:val="21"/>
              </w:rPr>
            </w:pPr>
            <w:r>
              <w:rPr>
                <w:rFonts w:hint="eastAsia" w:ascii="Times New Roman" w:hAnsi="Times New Roman" w:cs="Times New Roman"/>
                <w:sz w:val="21"/>
                <w:szCs w:val="21"/>
              </w:rPr>
              <w:t>外购</w:t>
            </w:r>
          </w:p>
        </w:tc>
      </w:tr>
      <w:tr w14:paraId="2CC2EA1F">
        <w:tblPrEx>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000" w:type="pct"/>
            <w:gridSpan w:val="7"/>
            <w:noWrap w:val="0"/>
            <w:vAlign w:val="center"/>
          </w:tcPr>
          <w:p w14:paraId="2A29DB58">
            <w:pPr>
              <w:jc w:val="center"/>
              <w:rPr>
                <w:rFonts w:hint="eastAsia" w:ascii="Times New Roman" w:hAnsi="Times New Roman" w:eastAsia="宋体" w:cs="Times New Roman"/>
                <w:sz w:val="21"/>
                <w:szCs w:val="21"/>
                <w:lang w:val="en-US" w:eastAsia="zh-CN"/>
              </w:rPr>
            </w:pPr>
            <w:r>
              <w:rPr>
                <w:rFonts w:hint="eastAsia" w:ascii="Times New Roman" w:hAnsi="Times New Roman" w:cs="Times New Roman"/>
                <w:sz w:val="21"/>
                <w:szCs w:val="21"/>
                <w:lang w:val="en-US" w:eastAsia="zh-CN"/>
              </w:rPr>
              <w:t>能源</w:t>
            </w:r>
          </w:p>
        </w:tc>
      </w:tr>
      <w:tr w14:paraId="3BDE6B5D">
        <w:tblPrEx>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22" w:type="pct"/>
            <w:noWrap w:val="0"/>
            <w:vAlign w:val="center"/>
          </w:tcPr>
          <w:p w14:paraId="57830C26">
            <w:pPr>
              <w:jc w:val="center"/>
              <w:rPr>
                <w:rFonts w:hint="eastAsia" w:ascii="Times New Roman" w:hAnsi="Times New Roman" w:cs="Times New Roman"/>
                <w:sz w:val="21"/>
                <w:szCs w:val="21"/>
              </w:rPr>
            </w:pPr>
            <w:r>
              <w:rPr>
                <w:rFonts w:hint="eastAsia" w:ascii="Times New Roman" w:hAnsi="Times New Roman" w:cs="Times New Roman"/>
                <w:sz w:val="21"/>
                <w:szCs w:val="21"/>
              </w:rPr>
              <w:t>新鲜水</w:t>
            </w:r>
          </w:p>
        </w:tc>
        <w:tc>
          <w:tcPr>
            <w:tcW w:w="645" w:type="pct"/>
            <w:noWrap w:val="0"/>
            <w:vAlign w:val="center"/>
          </w:tcPr>
          <w:p w14:paraId="2030953C">
            <w:pPr>
              <w:jc w:val="center"/>
              <w:rPr>
                <w:rFonts w:hint="eastAsia" w:ascii="Times New Roman" w:hAnsi="Times New Roman" w:cs="Times New Roman"/>
                <w:sz w:val="21"/>
                <w:szCs w:val="21"/>
              </w:rPr>
            </w:pPr>
            <w:r>
              <w:rPr>
                <w:rFonts w:hint="eastAsia" w:ascii="Times New Roman" w:hAnsi="Times New Roman" w:cs="Times New Roman"/>
                <w:sz w:val="21"/>
                <w:szCs w:val="21"/>
                <w:lang w:val="en-US" w:eastAsia="zh-CN"/>
              </w:rPr>
              <w:t>26</w:t>
            </w:r>
            <w:r>
              <w:rPr>
                <w:rFonts w:hint="eastAsia" w:ascii="Times New Roman" w:hAnsi="Times New Roman" w:cs="Times New Roman"/>
                <w:sz w:val="21"/>
                <w:szCs w:val="21"/>
              </w:rPr>
              <w:t>0m</w:t>
            </w:r>
            <w:r>
              <w:rPr>
                <w:rFonts w:hint="eastAsia" w:ascii="Times New Roman" w:hAnsi="Times New Roman" w:cs="Times New Roman"/>
                <w:sz w:val="21"/>
                <w:szCs w:val="21"/>
                <w:vertAlign w:val="superscript"/>
              </w:rPr>
              <w:t>3</w:t>
            </w:r>
          </w:p>
        </w:tc>
        <w:tc>
          <w:tcPr>
            <w:tcW w:w="650" w:type="pct"/>
            <w:noWrap w:val="0"/>
            <w:vAlign w:val="center"/>
          </w:tcPr>
          <w:p w14:paraId="08B117E7">
            <w:pPr>
              <w:jc w:val="center"/>
              <w:rPr>
                <w:rFonts w:hint="eastAsia" w:ascii="Times New Roman" w:hAnsi="Times New Roman" w:eastAsia="宋体" w:cs="Times New Roman"/>
                <w:sz w:val="21"/>
                <w:szCs w:val="21"/>
                <w:lang w:eastAsia="zh-CN"/>
              </w:rPr>
            </w:pPr>
            <w:r>
              <w:rPr>
                <w:rFonts w:hint="eastAsia" w:ascii="Times New Roman" w:hAnsi="Times New Roman" w:cs="Times New Roman"/>
                <w:sz w:val="21"/>
                <w:szCs w:val="21"/>
                <w:lang w:val="en-US" w:eastAsia="zh-CN"/>
              </w:rPr>
              <w:t>/</w:t>
            </w:r>
          </w:p>
        </w:tc>
        <w:tc>
          <w:tcPr>
            <w:tcW w:w="1319" w:type="pct"/>
            <w:noWrap w:val="0"/>
            <w:vAlign w:val="center"/>
          </w:tcPr>
          <w:p w14:paraId="2DE67A67">
            <w:pPr>
              <w:jc w:val="center"/>
              <w:rPr>
                <w:rFonts w:ascii="Times New Roman" w:hAnsi="Times New Roman" w:cs="Times New Roman"/>
                <w:sz w:val="21"/>
                <w:szCs w:val="21"/>
              </w:rPr>
            </w:pPr>
            <w:r>
              <w:rPr>
                <w:rFonts w:ascii="Times New Roman" w:hAnsi="Times New Roman" w:cs="Times New Roman"/>
                <w:sz w:val="21"/>
                <w:szCs w:val="21"/>
              </w:rPr>
              <w:t>--</w:t>
            </w:r>
          </w:p>
        </w:tc>
        <w:tc>
          <w:tcPr>
            <w:tcW w:w="584" w:type="pct"/>
            <w:noWrap w:val="0"/>
            <w:vAlign w:val="center"/>
          </w:tcPr>
          <w:p w14:paraId="3F479510">
            <w:pPr>
              <w:jc w:val="center"/>
              <w:rPr>
                <w:rFonts w:hint="eastAsia" w:ascii="Times New Roman" w:hAnsi="Times New Roman" w:cs="Times New Roman"/>
                <w:sz w:val="21"/>
                <w:szCs w:val="21"/>
              </w:rPr>
            </w:pPr>
            <w:r>
              <w:rPr>
                <w:rFonts w:hint="eastAsia" w:ascii="Times New Roman" w:hAnsi="Times New Roman" w:cs="Times New Roman"/>
                <w:sz w:val="21"/>
                <w:szCs w:val="21"/>
              </w:rPr>
              <w:t>--</w:t>
            </w:r>
          </w:p>
        </w:tc>
        <w:tc>
          <w:tcPr>
            <w:tcW w:w="689" w:type="pct"/>
            <w:noWrap w:val="0"/>
            <w:vAlign w:val="center"/>
          </w:tcPr>
          <w:p w14:paraId="773F7469">
            <w:pPr>
              <w:jc w:val="center"/>
              <w:rPr>
                <w:rFonts w:hint="eastAsia" w:ascii="Times New Roman" w:hAnsi="Times New Roman" w:cs="Times New Roman"/>
                <w:sz w:val="21"/>
                <w:szCs w:val="21"/>
              </w:rPr>
            </w:pPr>
            <w:r>
              <w:rPr>
                <w:rFonts w:hint="eastAsia" w:ascii="Times New Roman" w:hAnsi="Times New Roman" w:cs="Times New Roman"/>
                <w:sz w:val="21"/>
                <w:szCs w:val="21"/>
              </w:rPr>
              <w:t>--</w:t>
            </w:r>
          </w:p>
        </w:tc>
        <w:tc>
          <w:tcPr>
            <w:tcW w:w="489" w:type="pct"/>
            <w:noWrap w:val="0"/>
            <w:vAlign w:val="center"/>
          </w:tcPr>
          <w:p w14:paraId="6A713AC0">
            <w:pPr>
              <w:jc w:val="center"/>
              <w:rPr>
                <w:rFonts w:hint="eastAsia" w:ascii="Times New Roman" w:hAnsi="Times New Roman" w:eastAsia="宋体" w:cs="Times New Roman"/>
                <w:sz w:val="21"/>
                <w:szCs w:val="21"/>
                <w:lang w:eastAsia="zh-CN"/>
              </w:rPr>
            </w:pPr>
            <w:r>
              <w:rPr>
                <w:rFonts w:hint="eastAsia" w:ascii="Times New Roman" w:hAnsi="Times New Roman" w:cs="Times New Roman"/>
                <w:sz w:val="21"/>
                <w:szCs w:val="21"/>
                <w:lang w:val="en-US" w:eastAsia="zh-CN"/>
              </w:rPr>
              <w:t>地下水</w:t>
            </w:r>
          </w:p>
        </w:tc>
      </w:tr>
      <w:tr w14:paraId="57AF6E5D">
        <w:tblPrEx>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22" w:type="pct"/>
            <w:noWrap w:val="0"/>
            <w:vAlign w:val="center"/>
          </w:tcPr>
          <w:p w14:paraId="751C9013">
            <w:pPr>
              <w:jc w:val="center"/>
              <w:rPr>
                <w:rFonts w:hint="eastAsia" w:ascii="Times New Roman" w:hAnsi="Times New Roman" w:cs="Times New Roman"/>
                <w:sz w:val="21"/>
                <w:szCs w:val="21"/>
              </w:rPr>
            </w:pPr>
            <w:r>
              <w:rPr>
                <w:rFonts w:hint="eastAsia" w:ascii="Times New Roman" w:hAnsi="Times New Roman" w:cs="Times New Roman"/>
                <w:sz w:val="21"/>
                <w:szCs w:val="21"/>
              </w:rPr>
              <w:t>电</w:t>
            </w:r>
          </w:p>
        </w:tc>
        <w:tc>
          <w:tcPr>
            <w:tcW w:w="645" w:type="pct"/>
            <w:noWrap w:val="0"/>
            <w:vAlign w:val="center"/>
          </w:tcPr>
          <w:p w14:paraId="52DE2699">
            <w:pPr>
              <w:jc w:val="center"/>
              <w:rPr>
                <w:rFonts w:hint="eastAsia" w:ascii="Times New Roman" w:hAnsi="Times New Roman" w:cs="Times New Roman"/>
                <w:sz w:val="21"/>
                <w:szCs w:val="21"/>
              </w:rPr>
            </w:pPr>
            <w:r>
              <w:rPr>
                <w:rFonts w:hint="eastAsia" w:ascii="Times New Roman" w:hAnsi="Times New Roman" w:cs="Times New Roman"/>
                <w:sz w:val="21"/>
                <w:szCs w:val="21"/>
                <w:lang w:val="en-US" w:eastAsia="zh-CN"/>
              </w:rPr>
              <w:t>1</w:t>
            </w:r>
            <w:r>
              <w:rPr>
                <w:rFonts w:hint="eastAsia" w:ascii="Times New Roman" w:hAnsi="Times New Roman" w:cs="Times New Roman"/>
                <w:sz w:val="21"/>
                <w:szCs w:val="21"/>
              </w:rPr>
              <w:t>00万kw</w:t>
            </w:r>
            <w:r>
              <w:rPr>
                <w:rFonts w:hint="eastAsia" w:ascii="Times New Roman" w:hAnsi="Times New Roman" w:cs="Times New Roman"/>
                <w:sz w:val="18"/>
                <w:szCs w:val="18"/>
              </w:rPr>
              <w:sym w:font="Wingdings" w:char="F0A0"/>
            </w:r>
            <w:r>
              <w:rPr>
                <w:rFonts w:hint="eastAsia" w:ascii="Times New Roman" w:hAnsi="Times New Roman" w:cs="Times New Roman"/>
                <w:sz w:val="21"/>
                <w:szCs w:val="21"/>
              </w:rPr>
              <w:t>h</w:t>
            </w:r>
          </w:p>
        </w:tc>
        <w:tc>
          <w:tcPr>
            <w:tcW w:w="650" w:type="pct"/>
            <w:noWrap w:val="0"/>
            <w:vAlign w:val="center"/>
          </w:tcPr>
          <w:p w14:paraId="58C0F452">
            <w:pPr>
              <w:jc w:val="center"/>
              <w:rPr>
                <w:rFonts w:hint="eastAsia" w:ascii="Times New Roman" w:hAnsi="Times New Roman" w:cs="Times New Roman"/>
                <w:sz w:val="21"/>
                <w:szCs w:val="21"/>
              </w:rPr>
            </w:pPr>
            <w:r>
              <w:rPr>
                <w:rFonts w:hint="eastAsia" w:ascii="Times New Roman" w:hAnsi="Times New Roman" w:cs="Times New Roman"/>
                <w:sz w:val="21"/>
                <w:szCs w:val="21"/>
                <w:lang w:val="en-US" w:eastAsia="zh-CN"/>
              </w:rPr>
              <w:t>/</w:t>
            </w:r>
          </w:p>
        </w:tc>
        <w:tc>
          <w:tcPr>
            <w:tcW w:w="1319" w:type="pct"/>
            <w:noWrap w:val="0"/>
            <w:vAlign w:val="center"/>
          </w:tcPr>
          <w:p w14:paraId="466B39DF">
            <w:pPr>
              <w:jc w:val="center"/>
              <w:rPr>
                <w:rFonts w:ascii="Times New Roman" w:hAnsi="Times New Roman" w:cs="Times New Roman"/>
                <w:sz w:val="21"/>
                <w:szCs w:val="21"/>
              </w:rPr>
            </w:pPr>
            <w:r>
              <w:rPr>
                <w:rFonts w:ascii="Times New Roman" w:hAnsi="Times New Roman" w:cs="Times New Roman"/>
                <w:sz w:val="21"/>
                <w:szCs w:val="21"/>
              </w:rPr>
              <w:t>--</w:t>
            </w:r>
          </w:p>
        </w:tc>
        <w:tc>
          <w:tcPr>
            <w:tcW w:w="584" w:type="pct"/>
            <w:noWrap w:val="0"/>
            <w:vAlign w:val="center"/>
          </w:tcPr>
          <w:p w14:paraId="5A1342B9">
            <w:pPr>
              <w:jc w:val="center"/>
              <w:rPr>
                <w:rFonts w:hint="eastAsia" w:ascii="Times New Roman" w:hAnsi="Times New Roman" w:cs="Times New Roman"/>
                <w:sz w:val="21"/>
                <w:szCs w:val="21"/>
              </w:rPr>
            </w:pPr>
            <w:r>
              <w:rPr>
                <w:rFonts w:hint="eastAsia" w:ascii="Times New Roman" w:hAnsi="Times New Roman" w:cs="Times New Roman"/>
                <w:sz w:val="21"/>
                <w:szCs w:val="21"/>
              </w:rPr>
              <w:t>--</w:t>
            </w:r>
          </w:p>
        </w:tc>
        <w:tc>
          <w:tcPr>
            <w:tcW w:w="689" w:type="pct"/>
            <w:noWrap w:val="0"/>
            <w:vAlign w:val="center"/>
          </w:tcPr>
          <w:p w14:paraId="5BC9719C">
            <w:pPr>
              <w:jc w:val="center"/>
              <w:rPr>
                <w:rFonts w:hint="eastAsia" w:ascii="Times New Roman" w:hAnsi="Times New Roman" w:cs="Times New Roman"/>
                <w:sz w:val="21"/>
                <w:szCs w:val="21"/>
              </w:rPr>
            </w:pPr>
            <w:r>
              <w:rPr>
                <w:rFonts w:hint="eastAsia" w:ascii="Times New Roman" w:hAnsi="Times New Roman" w:cs="Times New Roman"/>
                <w:sz w:val="21"/>
                <w:szCs w:val="21"/>
              </w:rPr>
              <w:t>--</w:t>
            </w:r>
          </w:p>
        </w:tc>
        <w:tc>
          <w:tcPr>
            <w:tcW w:w="489" w:type="pct"/>
            <w:noWrap w:val="0"/>
            <w:vAlign w:val="center"/>
          </w:tcPr>
          <w:p w14:paraId="7A72BC28">
            <w:pPr>
              <w:jc w:val="center"/>
              <w:rPr>
                <w:rFonts w:ascii="Times New Roman" w:hAnsi="Times New Roman" w:cs="Times New Roman"/>
                <w:sz w:val="21"/>
                <w:szCs w:val="21"/>
              </w:rPr>
            </w:pPr>
            <w:r>
              <w:rPr>
                <w:rFonts w:hint="eastAsia" w:ascii="Times New Roman" w:hAnsi="Times New Roman" w:cs="Times New Roman"/>
                <w:sz w:val="21"/>
                <w:szCs w:val="21"/>
              </w:rPr>
              <w:t>国家电网</w:t>
            </w:r>
          </w:p>
        </w:tc>
      </w:tr>
    </w:tbl>
    <w:p w14:paraId="3E2F1F87">
      <w:pPr>
        <w:spacing w:line="500" w:lineRule="exact"/>
        <w:ind w:right="6" w:firstLine="482" w:firstLineChars="200"/>
        <w:jc w:val="both"/>
        <w:rPr>
          <w:rFonts w:hint="eastAsia" w:ascii="Times New Roman" w:hAnsi="Times New Roman" w:cs="Times New Roman"/>
          <w:b/>
        </w:rPr>
      </w:pPr>
      <w:r>
        <w:rPr>
          <w:rFonts w:hint="eastAsia" w:ascii="Times New Roman" w:hAnsi="Times New Roman" w:cs="Times New Roman"/>
          <w:b/>
        </w:rPr>
        <w:t>（2）原辅材料性质</w:t>
      </w:r>
    </w:p>
    <w:p w14:paraId="102C3072">
      <w:pPr>
        <w:spacing w:line="500" w:lineRule="exact"/>
        <w:ind w:right="6" w:firstLine="482" w:firstLineChars="200"/>
        <w:jc w:val="both"/>
        <w:rPr>
          <w:rFonts w:hint="eastAsia" w:ascii="Times New Roman" w:hAnsi="Times New Roman" w:cs="Times New Roman"/>
          <w:b/>
        </w:rPr>
      </w:pPr>
      <w:r>
        <w:rPr>
          <w:rFonts w:hint="eastAsia" w:ascii="Times New Roman" w:hAnsi="Times New Roman" w:cs="Times New Roman"/>
          <w:b/>
        </w:rPr>
        <w:t>① 铁精矿</w:t>
      </w:r>
    </w:p>
    <w:p w14:paraId="39D79B71">
      <w:pPr>
        <w:adjustRightInd w:val="0"/>
        <w:ind w:right="6" w:firstLine="480" w:firstLineChars="200"/>
        <w:jc w:val="both"/>
        <w:rPr>
          <w:rFonts w:hint="eastAsia" w:ascii="Times New Roman" w:hAnsi="Times New Roman" w:eastAsia="宋体" w:cs="Times New Roman"/>
        </w:rPr>
      </w:pPr>
      <w:r>
        <w:rPr>
          <w:rFonts w:hint="eastAsia" w:ascii="Times New Roman" w:hAnsi="Times New Roman" w:eastAsia="宋体" w:cs="Times New Roman"/>
        </w:rPr>
        <w:t>铁精矿的含铁量高，在60%以上，且含铁量的波动应小于±0.5%。水分低于12%，以确保良好的存储、运输和混匀性能，以及高效造球。粒度方面，用于生产球团矿的铁精矿中，小于0.074mm的粒级占70%以上，以促进有效的球团形成，比表面积应在1200～2000cm</w:t>
      </w:r>
      <w:r>
        <w:rPr>
          <w:rFonts w:hint="eastAsia" w:ascii="Times New Roman" w:hAnsi="Times New Roman" w:eastAsia="宋体" w:cs="Times New Roman"/>
          <w:vertAlign w:val="superscript"/>
        </w:rPr>
        <w:t>2</w:t>
      </w:r>
      <w:r>
        <w:rPr>
          <w:rFonts w:hint="eastAsia" w:ascii="Times New Roman" w:hAnsi="Times New Roman" w:eastAsia="宋体" w:cs="Times New Roman"/>
        </w:rPr>
        <w:t xml:space="preserve"> /g，有利于提高球团的质量和强度。硫、磷、铅、砷、锌、铜等有害元素的含量低，要求s≤0.10%～0.19%，P≤0.05%～0.09%，Pb≤0.1%，As≤0.04%～0.07%，Zn≤0.1%～0.2%，Cu≤0.1%～0.2%。</w:t>
      </w:r>
    </w:p>
    <w:p w14:paraId="44976DB0">
      <w:pPr>
        <w:spacing w:line="500" w:lineRule="exact"/>
        <w:ind w:right="6" w:firstLine="482" w:firstLineChars="200"/>
        <w:jc w:val="both"/>
        <w:rPr>
          <w:rFonts w:hint="eastAsia" w:ascii="Times New Roman" w:hAnsi="Times New Roman" w:cs="Times New Roman"/>
          <w:b/>
        </w:rPr>
      </w:pPr>
      <w:r>
        <w:rPr>
          <w:rFonts w:hint="eastAsia" w:cs="Times New Roman"/>
          <w:b/>
        </w:rPr>
        <w:t>②</w:t>
      </w:r>
      <w:r>
        <w:rPr>
          <w:rFonts w:hint="eastAsia" w:ascii="Times New Roman" w:hAnsi="Times New Roman" w:cs="Times New Roman"/>
          <w:b/>
        </w:rPr>
        <w:t xml:space="preserve"> 生石灰</w:t>
      </w:r>
    </w:p>
    <w:p w14:paraId="1BB28A54">
      <w:pPr>
        <w:adjustRightInd w:val="0"/>
        <w:ind w:right="6" w:firstLine="480" w:firstLineChars="200"/>
        <w:jc w:val="both"/>
        <w:rPr>
          <w:rFonts w:hint="eastAsia" w:ascii="Times New Roman" w:hAnsi="Times New Roman" w:cs="Times New Roman"/>
        </w:rPr>
      </w:pPr>
      <w:r>
        <w:rPr>
          <w:rFonts w:hint="eastAsia" w:ascii="Times New Roman" w:hAnsi="Times New Roman" w:cs="Times New Roman"/>
        </w:rPr>
        <w:t>氧化钙为碱性氧化物，对湿敏感。易从空气中吸收二氧化碳及水分。与水反应生成氢氧化钙（Ca(OH)</w:t>
      </w:r>
      <w:r>
        <w:rPr>
          <w:rFonts w:hint="eastAsia" w:ascii="Times New Roman" w:hAnsi="Times New Roman" w:cs="Times New Roman"/>
          <w:vertAlign w:val="subscript"/>
        </w:rPr>
        <w:t>2</w:t>
      </w:r>
      <w:r>
        <w:rPr>
          <w:rFonts w:hint="eastAsia" w:ascii="Times New Roman" w:hAnsi="Times New Roman" w:cs="Times New Roman"/>
        </w:rPr>
        <w:t>）并产生大量热，有腐蚀性。生石灰具有粒度细,分散度大,比表面积大,粘性强等特点,烧结中使用生石灰可以强化造球,使造好的球在水分高时也不失去松散性和透气性,其二,能提高小球强度及热稳定性,因为生石灰中的胶体结构持有水分能力强,水分蒸发时不猛烈,所以球的热稳定性好。其三,消化 后生成的Ca(OH)</w:t>
      </w:r>
      <w:r>
        <w:rPr>
          <w:rFonts w:hint="eastAsia" w:ascii="Times New Roman" w:hAnsi="Times New Roman" w:cs="Times New Roman"/>
          <w:vertAlign w:val="subscript"/>
        </w:rPr>
        <w:t>2</w:t>
      </w:r>
      <w:r>
        <w:rPr>
          <w:rFonts w:hint="eastAsia" w:ascii="Times New Roman" w:hAnsi="Times New Roman" w:cs="Times New Roman"/>
        </w:rPr>
        <w:t>颗粒比石灰石颗粒更容易生成熔点低流动性好的液相。其四,生石灰消化时放出热量,可以提高混合料温度。</w:t>
      </w:r>
    </w:p>
    <w:p w14:paraId="29D53E50">
      <w:pPr>
        <w:spacing w:line="500" w:lineRule="exact"/>
        <w:ind w:right="6" w:firstLine="480" w:firstLineChars="200"/>
        <w:jc w:val="both"/>
        <w:rPr>
          <w:rFonts w:hint="eastAsia" w:ascii="Times New Roman" w:hAnsi="Times New Roman" w:cs="Times New Roman"/>
        </w:rPr>
      </w:pPr>
      <w:r>
        <w:rPr>
          <w:rFonts w:hint="eastAsia" w:ascii="Times New Roman" w:hAnsi="Times New Roman" w:cs="Times New Roman"/>
        </w:rPr>
        <w:t>本项目</w:t>
      </w:r>
      <w:r>
        <w:rPr>
          <w:rFonts w:ascii="Times New Roman" w:hAnsi="Times New Roman" w:cs="Times New Roman"/>
        </w:rPr>
        <w:t>所需</w:t>
      </w:r>
      <w:r>
        <w:rPr>
          <w:rFonts w:hint="eastAsia" w:ascii="Times New Roman" w:hAnsi="Times New Roman" w:cs="Times New Roman"/>
        </w:rPr>
        <w:t>活性石灰均为</w:t>
      </w:r>
      <w:r>
        <w:rPr>
          <w:rFonts w:ascii="Times New Roman" w:hAnsi="Times New Roman" w:cs="Times New Roman"/>
        </w:rPr>
        <w:t>外购，</w:t>
      </w:r>
      <w:r>
        <w:rPr>
          <w:rFonts w:hint="eastAsia" w:ascii="Times New Roman" w:hAnsi="Times New Roman" w:cs="Times New Roman"/>
        </w:rPr>
        <w:t>通过车辆运输至辅料库。</w:t>
      </w:r>
    </w:p>
    <w:p w14:paraId="3CC940B8">
      <w:pPr>
        <w:spacing w:line="500" w:lineRule="exact"/>
        <w:ind w:right="6" w:firstLine="482" w:firstLineChars="200"/>
        <w:jc w:val="both"/>
        <w:rPr>
          <w:rFonts w:hint="eastAsia" w:ascii="Times New Roman" w:hAnsi="Times New Roman" w:cs="Times New Roman"/>
          <w:b/>
        </w:rPr>
      </w:pPr>
      <w:r>
        <w:rPr>
          <w:rFonts w:hint="eastAsia" w:cs="Times New Roman"/>
          <w:b/>
        </w:rPr>
        <w:t>③</w:t>
      </w:r>
      <w:r>
        <w:rPr>
          <w:rFonts w:hint="eastAsia" w:ascii="Times New Roman" w:hAnsi="Times New Roman" w:cs="Times New Roman"/>
          <w:b/>
        </w:rPr>
        <w:t xml:space="preserve"> 焦粉</w:t>
      </w:r>
    </w:p>
    <w:p w14:paraId="3796C7B0">
      <w:pPr>
        <w:spacing w:line="500" w:lineRule="exact"/>
        <w:ind w:right="6" w:firstLine="480" w:firstLineChars="200"/>
        <w:jc w:val="both"/>
        <w:rPr>
          <w:rFonts w:hint="eastAsia" w:ascii="Times New Roman" w:hAnsi="Times New Roman" w:cs="Times New Roman"/>
          <w:szCs w:val="21"/>
        </w:rPr>
      </w:pPr>
      <w:r>
        <w:rPr>
          <w:rFonts w:ascii="Arial" w:hAnsi="Arial" w:eastAsia="宋体" w:cs="Arial"/>
          <w:i w:val="0"/>
          <w:iCs w:val="0"/>
          <w:caps w:val="0"/>
          <w:color w:val="000311"/>
          <w:spacing w:val="0"/>
          <w:sz w:val="24"/>
          <w:szCs w:val="24"/>
          <w:shd w:val="clear" w:fill="FFFFFF"/>
        </w:rPr>
        <w:t>焦粉在烧结过程中起着至关重要的作用。首先，焦粉是一种优质的燃料，能够提供烧结反应所需的热量。在精粉减量的情况下，焦粉的加入可以弥补因精粉减少而导致的热量不足，确保烧结反应能够顺利进行。其次，焦粉的加入还可以改善烧结矿的还原性，提高烧结矿的质量</w:t>
      </w:r>
      <w:r>
        <w:rPr>
          <w:rFonts w:hint="eastAsia" w:ascii="Times New Roman" w:hAnsi="Times New Roman" w:cs="Times New Roman"/>
          <w:szCs w:val="21"/>
        </w:rPr>
        <w:t>。</w:t>
      </w:r>
    </w:p>
    <w:p w14:paraId="0242C620">
      <w:pPr>
        <w:ind w:right="6" w:firstLine="482" w:firstLineChars="200"/>
        <w:jc w:val="both"/>
        <w:rPr>
          <w:rFonts w:hint="eastAsia" w:ascii="Times New Roman" w:hAnsi="Times New Roman" w:cs="Times New Roman"/>
          <w:b/>
          <w:szCs w:val="21"/>
        </w:rPr>
      </w:pPr>
      <w:r>
        <w:rPr>
          <w:rFonts w:hint="eastAsia" w:cs="Times New Roman"/>
          <w:b/>
          <w:szCs w:val="21"/>
        </w:rPr>
        <w:t>④</w:t>
      </w:r>
      <w:r>
        <w:rPr>
          <w:rFonts w:hint="eastAsia" w:ascii="Times New Roman" w:hAnsi="Times New Roman" w:cs="Times New Roman"/>
          <w:b/>
          <w:szCs w:val="21"/>
        </w:rPr>
        <w:t xml:space="preserve"> 膨胀土</w:t>
      </w:r>
    </w:p>
    <w:p w14:paraId="47808DB6">
      <w:pPr>
        <w:ind w:right="6" w:firstLine="480" w:firstLineChars="200"/>
        <w:jc w:val="both"/>
        <w:rPr>
          <w:rFonts w:hint="eastAsia" w:ascii="Times New Roman" w:hAnsi="Times New Roman" w:eastAsia="宋体" w:cs="Times New Roman"/>
        </w:rPr>
      </w:pPr>
      <w:r>
        <w:rPr>
          <w:rFonts w:hint="eastAsia" w:ascii="Times New Roman" w:hAnsi="Times New Roman" w:cs="Times New Roman"/>
        </w:rPr>
        <w:t>冶金球团膨润土是铁矿球团粘结剂，具有粘结性强、高温稳定性高等特性，应用于铁精矿粉造粒工序，可降低球团矿膨润土配比并实现节能降耗。</w:t>
      </w:r>
      <w:r>
        <w:rPr>
          <w:rFonts w:hint="eastAsia" w:ascii="Times New Roman" w:hAnsi="Times New Roman" w:eastAsia="宋体" w:cs="Times New Roman"/>
        </w:rPr>
        <w:t>膨润土是以蒙脱石为主要矿物成分的非金属矿产，作为球团粘结剂具有粘结性强、高温稳定性高等特性。</w:t>
      </w:r>
    </w:p>
    <w:p w14:paraId="780823F2">
      <w:pPr>
        <w:ind w:right="6" w:firstLine="482" w:firstLineChars="200"/>
        <w:jc w:val="both"/>
        <w:rPr>
          <w:rFonts w:hint="eastAsia" w:ascii="Times New Roman" w:hAnsi="Times New Roman" w:cs="Times New Roman"/>
          <w:b/>
        </w:rPr>
      </w:pPr>
      <w:r>
        <w:rPr>
          <w:rFonts w:hint="eastAsia" w:cs="Times New Roman"/>
          <w:b/>
        </w:rPr>
        <w:t>⑤</w:t>
      </w:r>
      <w:r>
        <w:rPr>
          <w:rFonts w:hint="eastAsia" w:ascii="Times New Roman" w:hAnsi="Times New Roman" w:cs="Times New Roman"/>
          <w:b/>
        </w:rPr>
        <w:t xml:space="preserve"> 石灰石</w:t>
      </w:r>
    </w:p>
    <w:p w14:paraId="2CF4E7E6">
      <w:pPr>
        <w:ind w:right="6" w:firstLine="480" w:firstLineChars="200"/>
        <w:jc w:val="both"/>
        <w:rPr>
          <w:rFonts w:hint="eastAsia" w:ascii="Times New Roman" w:hAnsi="Times New Roman" w:cs="Times New Roman"/>
        </w:rPr>
      </w:pPr>
      <w:r>
        <w:rPr>
          <w:rFonts w:hint="eastAsia" w:ascii="Times New Roman" w:hAnsi="Times New Roman" w:cs="Times New Roman"/>
        </w:rPr>
        <w:t>在炼铁过程中，石灰石作为助熔剂加入，其主要作用是去除铁矿石中的杂质。</w:t>
      </w:r>
    </w:p>
    <w:p w14:paraId="20E9DC44">
      <w:pPr>
        <w:pStyle w:val="7"/>
      </w:pPr>
      <w:bookmarkStart w:id="255" w:name="_Toc90026251"/>
      <w:bookmarkStart w:id="256" w:name="_Toc17856"/>
      <w:r>
        <w:rPr>
          <w:rFonts w:hint="eastAsia"/>
          <w:lang w:eastAsia="zh-CN"/>
        </w:rPr>
        <w:t>3</w:t>
      </w:r>
      <w:r>
        <w:t>.</w:t>
      </w:r>
      <w:r>
        <w:rPr>
          <w:rFonts w:hint="eastAsia"/>
          <w:lang w:eastAsia="zh-CN"/>
        </w:rPr>
        <w:t>1</w:t>
      </w:r>
      <w:r>
        <w:t>.5 主要设备（设施）明细</w:t>
      </w:r>
      <w:bookmarkEnd w:id="255"/>
      <w:bookmarkEnd w:id="256"/>
    </w:p>
    <w:p w14:paraId="0C9A574F">
      <w:pPr>
        <w:spacing w:line="500" w:lineRule="exact"/>
        <w:ind w:right="6" w:firstLine="480" w:firstLineChars="200"/>
        <w:jc w:val="both"/>
        <w:rPr>
          <w:rFonts w:hint="eastAsia" w:ascii="Times New Roman" w:hAnsi="Times New Roman" w:cs="Times New Roman"/>
        </w:rPr>
      </w:pPr>
      <w:r>
        <w:rPr>
          <w:rFonts w:hint="eastAsia" w:ascii="Times New Roman" w:hAnsi="Times New Roman" w:cs="Times New Roman"/>
        </w:rPr>
        <w:t>本项目主要生产设备见下表。</w:t>
      </w:r>
    </w:p>
    <w:p w14:paraId="00D8B4F7">
      <w:pPr>
        <w:adjustRightInd w:val="0"/>
        <w:spacing w:before="100" w:beforeAutospacing="1"/>
        <w:jc w:val="center"/>
        <w:rPr>
          <w:rFonts w:ascii="Times New Roman" w:hAnsi="Times New Roman" w:eastAsia="黑体" w:cs="Times New Roman"/>
        </w:rPr>
      </w:pPr>
      <w:r>
        <w:rPr>
          <w:rFonts w:ascii="Times New Roman" w:hAnsi="Times New Roman" w:eastAsia="黑体" w:cs="Times New Roman"/>
        </w:rPr>
        <w:t>表</w:t>
      </w:r>
      <w:r>
        <w:rPr>
          <w:rFonts w:hint="eastAsia" w:ascii="Times New Roman" w:hAnsi="Times New Roman" w:eastAsia="黑体" w:cs="Times New Roman"/>
        </w:rPr>
        <w:t>3.1-</w:t>
      </w:r>
      <w:r>
        <w:rPr>
          <w:rFonts w:hint="eastAsia" w:ascii="Times New Roman" w:hAnsi="Times New Roman" w:eastAsia="黑体" w:cs="Times New Roman"/>
          <w:lang w:val="en-US" w:eastAsia="zh-CN"/>
        </w:rPr>
        <w:t>8</w:t>
      </w:r>
      <w:r>
        <w:rPr>
          <w:rFonts w:ascii="Times New Roman" w:hAnsi="Times New Roman" w:eastAsia="黑体" w:cs="Times New Roman"/>
        </w:rPr>
        <w:t xml:space="preserve">  本项目主要</w:t>
      </w:r>
      <w:r>
        <w:rPr>
          <w:rFonts w:hint="eastAsia" w:ascii="Times New Roman" w:hAnsi="Times New Roman" w:eastAsia="黑体" w:cs="Times New Roman"/>
        </w:rPr>
        <w:t>生产</w:t>
      </w:r>
      <w:r>
        <w:rPr>
          <w:rFonts w:ascii="Times New Roman" w:hAnsi="Times New Roman" w:eastAsia="黑体" w:cs="Times New Roman"/>
        </w:rPr>
        <w:t>设备一览表</w:t>
      </w:r>
    </w:p>
    <w:tbl>
      <w:tblPr>
        <w:tblStyle w:val="56"/>
        <w:tblW w:w="5000" w:type="pct"/>
        <w:tblInd w:w="0" w:type="dxa"/>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690"/>
        <w:gridCol w:w="2332"/>
        <w:gridCol w:w="3351"/>
        <w:gridCol w:w="1169"/>
        <w:gridCol w:w="1179"/>
      </w:tblGrid>
      <w:tr w14:paraId="2CEC13C8">
        <w:tblPrEx>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blHeader/>
        </w:trPr>
        <w:tc>
          <w:tcPr>
            <w:tcW w:w="396" w:type="pct"/>
            <w:shd w:val="clear" w:color="auto" w:fill="E6E6E6"/>
            <w:noWrap w:val="0"/>
            <w:vAlign w:val="center"/>
          </w:tcPr>
          <w:p w14:paraId="7E714F0C">
            <w:pPr>
              <w:pStyle w:val="503"/>
              <w:ind w:left="-120" w:leftChars="-50" w:right="-120" w:rightChars="-50"/>
              <w:contextualSpacing/>
              <w:rPr>
                <w:rFonts w:ascii="Times New Roman"/>
                <w:b/>
                <w:color w:val="auto"/>
                <w:kern w:val="0"/>
                <w:sz w:val="21"/>
                <w:szCs w:val="21"/>
              </w:rPr>
            </w:pPr>
            <w:r>
              <w:rPr>
                <w:rFonts w:ascii="Times New Roman"/>
                <w:b/>
                <w:color w:val="auto"/>
                <w:kern w:val="0"/>
                <w:sz w:val="21"/>
                <w:szCs w:val="21"/>
              </w:rPr>
              <w:t>序</w:t>
            </w:r>
            <w:r>
              <w:rPr>
                <w:rFonts w:hint="eastAsia" w:ascii="Times New Roman"/>
                <w:b/>
                <w:color w:val="auto"/>
                <w:kern w:val="0"/>
                <w:sz w:val="21"/>
                <w:szCs w:val="21"/>
                <w:lang w:eastAsia="zh-CN"/>
              </w:rPr>
              <w:t>号</w:t>
            </w:r>
          </w:p>
        </w:tc>
        <w:tc>
          <w:tcPr>
            <w:tcW w:w="1337" w:type="pct"/>
            <w:shd w:val="clear" w:color="auto" w:fill="E6E6E6"/>
            <w:noWrap w:val="0"/>
            <w:vAlign w:val="center"/>
          </w:tcPr>
          <w:p w14:paraId="4BED9062">
            <w:pPr>
              <w:pStyle w:val="503"/>
              <w:ind w:left="-120" w:leftChars="-50" w:right="-120" w:rightChars="-50"/>
              <w:contextualSpacing/>
              <w:rPr>
                <w:rFonts w:ascii="Times New Roman"/>
                <w:b/>
                <w:color w:val="auto"/>
                <w:kern w:val="0"/>
                <w:sz w:val="21"/>
                <w:szCs w:val="21"/>
              </w:rPr>
            </w:pPr>
            <w:r>
              <w:rPr>
                <w:rFonts w:ascii="Times New Roman"/>
                <w:b/>
                <w:color w:val="auto"/>
                <w:kern w:val="0"/>
                <w:sz w:val="21"/>
                <w:szCs w:val="21"/>
              </w:rPr>
              <w:t>名称</w:t>
            </w:r>
          </w:p>
        </w:tc>
        <w:tc>
          <w:tcPr>
            <w:tcW w:w="1921" w:type="pct"/>
            <w:shd w:val="clear" w:color="auto" w:fill="E6E6E6"/>
            <w:noWrap w:val="0"/>
            <w:vAlign w:val="center"/>
          </w:tcPr>
          <w:p w14:paraId="3891196E">
            <w:pPr>
              <w:pStyle w:val="503"/>
              <w:ind w:left="-120" w:leftChars="-50" w:right="-120" w:rightChars="-50"/>
              <w:contextualSpacing/>
              <w:rPr>
                <w:rFonts w:ascii="Times New Roman"/>
                <w:b/>
                <w:color w:val="auto"/>
                <w:kern w:val="0"/>
                <w:sz w:val="21"/>
                <w:szCs w:val="21"/>
              </w:rPr>
            </w:pPr>
            <w:r>
              <w:rPr>
                <w:rFonts w:ascii="Times New Roman"/>
                <w:b/>
                <w:color w:val="auto"/>
                <w:kern w:val="0"/>
                <w:sz w:val="21"/>
                <w:szCs w:val="21"/>
              </w:rPr>
              <w:t>规</w:t>
            </w:r>
            <w:r>
              <w:rPr>
                <w:rFonts w:hint="eastAsia" w:ascii="Times New Roman"/>
                <w:b/>
                <w:color w:val="auto"/>
                <w:kern w:val="0"/>
                <w:sz w:val="21"/>
                <w:szCs w:val="21"/>
                <w:lang w:eastAsia="zh-CN"/>
              </w:rPr>
              <w:t>格</w:t>
            </w:r>
            <w:r>
              <w:rPr>
                <w:rFonts w:ascii="Times New Roman"/>
                <w:b/>
                <w:color w:val="auto"/>
                <w:kern w:val="0"/>
                <w:sz w:val="21"/>
                <w:szCs w:val="21"/>
              </w:rPr>
              <w:t>型号</w:t>
            </w:r>
          </w:p>
        </w:tc>
        <w:tc>
          <w:tcPr>
            <w:tcW w:w="670" w:type="pct"/>
            <w:shd w:val="clear" w:color="auto" w:fill="E6E6E6"/>
            <w:noWrap w:val="0"/>
            <w:vAlign w:val="center"/>
          </w:tcPr>
          <w:p w14:paraId="2E1E519F">
            <w:pPr>
              <w:pStyle w:val="503"/>
              <w:ind w:left="-120" w:leftChars="-50" w:right="-120" w:rightChars="-50"/>
              <w:contextualSpacing/>
              <w:rPr>
                <w:rFonts w:ascii="Times New Roman"/>
                <w:b/>
                <w:color w:val="auto"/>
                <w:kern w:val="0"/>
                <w:sz w:val="21"/>
                <w:szCs w:val="21"/>
              </w:rPr>
            </w:pPr>
            <w:r>
              <w:rPr>
                <w:rFonts w:ascii="Times New Roman"/>
                <w:b/>
                <w:color w:val="auto"/>
                <w:kern w:val="0"/>
                <w:sz w:val="21"/>
                <w:szCs w:val="21"/>
              </w:rPr>
              <w:t>数量</w:t>
            </w:r>
          </w:p>
        </w:tc>
        <w:tc>
          <w:tcPr>
            <w:tcW w:w="674" w:type="pct"/>
            <w:shd w:val="clear" w:color="auto" w:fill="E6E6E6"/>
            <w:noWrap w:val="0"/>
            <w:vAlign w:val="top"/>
          </w:tcPr>
          <w:p w14:paraId="534A3858">
            <w:pPr>
              <w:pStyle w:val="503"/>
              <w:ind w:left="-120" w:leftChars="-50" w:right="-120" w:rightChars="-50"/>
              <w:contextualSpacing/>
              <w:rPr>
                <w:rFonts w:ascii="Times New Roman"/>
                <w:b/>
                <w:color w:val="auto"/>
                <w:kern w:val="0"/>
                <w:sz w:val="21"/>
                <w:szCs w:val="21"/>
              </w:rPr>
            </w:pPr>
            <w:r>
              <w:rPr>
                <w:rFonts w:hint="eastAsia" w:ascii="Times New Roman"/>
                <w:b/>
                <w:color w:val="auto"/>
                <w:kern w:val="0"/>
                <w:sz w:val="21"/>
                <w:szCs w:val="21"/>
                <w:lang w:eastAsia="zh-CN"/>
              </w:rPr>
              <w:t>变化情况</w:t>
            </w:r>
          </w:p>
        </w:tc>
      </w:tr>
      <w:tr w14:paraId="74E08C07">
        <w:tblPrEx>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5000" w:type="pct"/>
            <w:gridSpan w:val="5"/>
            <w:noWrap w:val="0"/>
            <w:vAlign w:val="center"/>
          </w:tcPr>
          <w:p w14:paraId="3B8B4350">
            <w:pPr>
              <w:pStyle w:val="203"/>
              <w:widowControl w:val="0"/>
              <w:spacing w:line="240" w:lineRule="atLeast"/>
              <w:ind w:left="-120" w:leftChars="-50" w:right="-120" w:rightChars="-50"/>
              <w:rPr>
                <w:rFonts w:hint="default" w:ascii="Times New Roman"/>
                <w:color w:val="auto"/>
                <w:szCs w:val="21"/>
                <w:lang w:val="en-US" w:eastAsia="zh-CN"/>
              </w:rPr>
            </w:pPr>
            <w:r>
              <w:rPr>
                <w:rFonts w:hint="eastAsia" w:ascii="Times New Roman"/>
                <w:color w:val="auto"/>
                <w:szCs w:val="21"/>
                <w:lang w:val="en-US" w:eastAsia="zh-CN"/>
              </w:rPr>
              <w:t>烧结</w:t>
            </w:r>
          </w:p>
        </w:tc>
      </w:tr>
      <w:tr w14:paraId="5DB64FE9">
        <w:tblPrEx>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96" w:type="pct"/>
            <w:noWrap w:val="0"/>
            <w:vAlign w:val="center"/>
          </w:tcPr>
          <w:p w14:paraId="31C7811A">
            <w:pPr>
              <w:pStyle w:val="203"/>
              <w:widowControl w:val="0"/>
              <w:spacing w:line="240" w:lineRule="atLeast"/>
              <w:ind w:left="-120" w:leftChars="-50" w:right="-120" w:rightChars="-50"/>
              <w:rPr>
                <w:rFonts w:ascii="Times New Roman"/>
                <w:color w:val="auto"/>
                <w:szCs w:val="21"/>
              </w:rPr>
            </w:pPr>
            <w:r>
              <w:rPr>
                <w:rFonts w:ascii="Times New Roman"/>
                <w:color w:val="auto"/>
                <w:szCs w:val="21"/>
              </w:rPr>
              <w:t>1</w:t>
            </w:r>
          </w:p>
        </w:tc>
        <w:tc>
          <w:tcPr>
            <w:tcW w:w="1337" w:type="pct"/>
            <w:noWrap w:val="0"/>
            <w:vAlign w:val="center"/>
          </w:tcPr>
          <w:p w14:paraId="5800B1B2">
            <w:pPr>
              <w:pStyle w:val="203"/>
              <w:widowControl w:val="0"/>
              <w:spacing w:line="240" w:lineRule="atLeast"/>
              <w:ind w:left="-120" w:leftChars="-50" w:right="-120" w:rightChars="-50"/>
              <w:rPr>
                <w:rFonts w:hint="eastAsia" w:ascii="Times New Roman" w:hAnsi="Times New Roman" w:eastAsia="宋体" w:cs="Times New Roman"/>
                <w:color w:val="auto"/>
                <w:szCs w:val="21"/>
                <w:lang w:eastAsia="zh-CN"/>
              </w:rPr>
            </w:pPr>
            <w:r>
              <w:rPr>
                <w:rFonts w:hint="eastAsia" w:ascii="Times New Roman" w:hAnsi="Times New Roman" w:eastAsia="宋体" w:cs="Times New Roman"/>
                <w:color w:val="auto"/>
                <w:szCs w:val="21"/>
                <w:lang w:val="en-US" w:eastAsia="zh-CN"/>
              </w:rPr>
              <w:t>带式烧结机</w:t>
            </w:r>
          </w:p>
        </w:tc>
        <w:tc>
          <w:tcPr>
            <w:tcW w:w="1921" w:type="pct"/>
            <w:noWrap w:val="0"/>
            <w:vAlign w:val="center"/>
          </w:tcPr>
          <w:p w14:paraId="32B3521F">
            <w:pPr>
              <w:pStyle w:val="203"/>
              <w:widowControl w:val="0"/>
              <w:spacing w:line="240" w:lineRule="atLeast"/>
              <w:ind w:left="-120" w:leftChars="-50" w:right="-120" w:rightChars="-50"/>
              <w:rPr>
                <w:rFonts w:hint="default" w:ascii="Times New Roman" w:eastAsia="宋体"/>
                <w:color w:val="auto"/>
                <w:szCs w:val="21"/>
                <w:vertAlign w:val="superscript"/>
                <w:lang w:val="en-US" w:eastAsia="zh-CN"/>
              </w:rPr>
            </w:pPr>
            <w:r>
              <w:rPr>
                <w:rFonts w:hint="eastAsia" w:ascii="Times New Roman"/>
                <w:color w:val="auto"/>
                <w:szCs w:val="21"/>
                <w:lang w:val="en-US" w:eastAsia="zh-CN"/>
              </w:rPr>
              <w:t>50m</w:t>
            </w:r>
            <w:r>
              <w:rPr>
                <w:rFonts w:hint="eastAsia" w:ascii="Times New Roman"/>
                <w:color w:val="auto"/>
                <w:szCs w:val="21"/>
                <w:vertAlign w:val="superscript"/>
                <w:lang w:val="en-US" w:eastAsia="zh-CN"/>
              </w:rPr>
              <w:t>2</w:t>
            </w:r>
          </w:p>
        </w:tc>
        <w:tc>
          <w:tcPr>
            <w:tcW w:w="670" w:type="pct"/>
            <w:noWrap w:val="0"/>
            <w:vAlign w:val="center"/>
          </w:tcPr>
          <w:p w14:paraId="1BEED0D1">
            <w:pPr>
              <w:pStyle w:val="203"/>
              <w:widowControl w:val="0"/>
              <w:spacing w:line="240" w:lineRule="atLeast"/>
              <w:ind w:left="-120" w:leftChars="-50" w:right="-120" w:rightChars="-50"/>
              <w:rPr>
                <w:rFonts w:ascii="Times New Roman"/>
                <w:color w:val="auto"/>
                <w:szCs w:val="21"/>
              </w:rPr>
            </w:pPr>
            <w:r>
              <w:rPr>
                <w:rFonts w:hint="eastAsia" w:ascii="Times New Roman"/>
                <w:color w:val="auto"/>
                <w:szCs w:val="21"/>
                <w:lang w:eastAsia="zh-CN"/>
              </w:rPr>
              <w:t>1座</w:t>
            </w:r>
          </w:p>
        </w:tc>
        <w:tc>
          <w:tcPr>
            <w:tcW w:w="674" w:type="pct"/>
            <w:noWrap w:val="0"/>
            <w:vAlign w:val="top"/>
          </w:tcPr>
          <w:p w14:paraId="4E10E5BF">
            <w:pPr>
              <w:pStyle w:val="203"/>
              <w:widowControl w:val="0"/>
              <w:spacing w:line="240" w:lineRule="atLeast"/>
              <w:ind w:left="-120" w:leftChars="-50" w:right="-120" w:rightChars="-50"/>
              <w:rPr>
                <w:rFonts w:hint="eastAsia" w:ascii="Times New Roman"/>
                <w:color w:val="auto"/>
                <w:szCs w:val="21"/>
                <w:lang w:eastAsia="zh-CN"/>
              </w:rPr>
            </w:pPr>
            <w:r>
              <w:rPr>
                <w:rFonts w:hint="eastAsia" w:ascii="Times New Roman"/>
                <w:color w:val="auto"/>
                <w:szCs w:val="21"/>
                <w:lang w:eastAsia="zh-CN"/>
              </w:rPr>
              <w:t>新增</w:t>
            </w:r>
          </w:p>
        </w:tc>
      </w:tr>
      <w:tr w14:paraId="7CDD1019">
        <w:tblPrEx>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96" w:type="pct"/>
            <w:noWrap w:val="0"/>
            <w:vAlign w:val="center"/>
          </w:tcPr>
          <w:p w14:paraId="096D6CCD">
            <w:pPr>
              <w:pStyle w:val="203"/>
              <w:widowControl w:val="0"/>
              <w:spacing w:line="240" w:lineRule="atLeast"/>
              <w:ind w:left="-120" w:leftChars="-50" w:right="-120" w:rightChars="-50"/>
              <w:rPr>
                <w:rFonts w:ascii="Times New Roman"/>
                <w:color w:val="auto"/>
                <w:szCs w:val="21"/>
              </w:rPr>
            </w:pPr>
            <w:r>
              <w:rPr>
                <w:rFonts w:ascii="Times New Roman"/>
                <w:color w:val="auto"/>
                <w:szCs w:val="21"/>
              </w:rPr>
              <w:t>2</w:t>
            </w:r>
          </w:p>
        </w:tc>
        <w:tc>
          <w:tcPr>
            <w:tcW w:w="1337" w:type="pct"/>
            <w:shd w:val="clear" w:color="auto" w:fill="auto"/>
            <w:noWrap w:val="0"/>
            <w:vAlign w:val="top"/>
          </w:tcPr>
          <w:p w14:paraId="73C281DE">
            <w:pPr>
              <w:pStyle w:val="203"/>
              <w:widowControl w:val="0"/>
              <w:spacing w:line="240" w:lineRule="atLeast"/>
              <w:ind w:left="-120" w:leftChars="-50" w:right="-120" w:rightChars="-50"/>
              <w:rPr>
                <w:rFonts w:hint="eastAsia" w:ascii="Times New Roman" w:hAnsi="Times New Roman" w:eastAsia="宋体" w:cs="Times New Roman"/>
                <w:color w:val="auto"/>
                <w:szCs w:val="21"/>
                <w:lang w:val="en-US" w:eastAsia="zh-CN"/>
              </w:rPr>
            </w:pPr>
            <w:r>
              <w:rPr>
                <w:rFonts w:hint="eastAsia" w:ascii="Times New Roman" w:hAnsi="Times New Roman" w:eastAsia="宋体" w:cs="Times New Roman"/>
                <w:color w:val="auto"/>
                <w:szCs w:val="21"/>
              </w:rPr>
              <w:t>单辊破碎</w:t>
            </w:r>
          </w:p>
        </w:tc>
        <w:tc>
          <w:tcPr>
            <w:tcW w:w="1921" w:type="pct"/>
            <w:shd w:val="clear" w:color="auto" w:fill="auto"/>
            <w:noWrap w:val="0"/>
            <w:vAlign w:val="top"/>
          </w:tcPr>
          <w:p w14:paraId="73B5407E">
            <w:pPr>
              <w:pStyle w:val="203"/>
              <w:widowControl w:val="0"/>
              <w:spacing w:line="240" w:lineRule="atLeast"/>
              <w:ind w:left="-120" w:leftChars="-50" w:right="-120" w:rightChars="-50"/>
              <w:rPr>
                <w:rFonts w:hint="eastAsia" w:ascii="Times New Roman" w:hAnsi="Times New Roman" w:eastAsia="宋体" w:cs="Times New Roman"/>
                <w:color w:val="auto"/>
                <w:szCs w:val="21"/>
                <w:lang w:val="en-US" w:eastAsia="zh-CN"/>
              </w:rPr>
            </w:pPr>
            <w:r>
              <w:rPr>
                <w:rFonts w:hint="eastAsia" w:ascii="Times New Roman" w:hAnsi="Times New Roman" w:eastAsia="宋体" w:cs="Times New Roman"/>
                <w:color w:val="auto"/>
                <w:szCs w:val="21"/>
              </w:rPr>
              <w:t>55KW</w:t>
            </w:r>
          </w:p>
        </w:tc>
        <w:tc>
          <w:tcPr>
            <w:tcW w:w="670" w:type="pct"/>
            <w:shd w:val="clear" w:color="auto" w:fill="auto"/>
            <w:noWrap w:val="0"/>
            <w:vAlign w:val="top"/>
          </w:tcPr>
          <w:p w14:paraId="7EE31506">
            <w:pPr>
              <w:pStyle w:val="203"/>
              <w:widowControl w:val="0"/>
              <w:spacing w:line="240" w:lineRule="atLeast"/>
              <w:ind w:left="-120" w:leftChars="-50" w:right="-120" w:rightChars="-50"/>
              <w:rPr>
                <w:rFonts w:hint="eastAsia" w:ascii="Times New Roman" w:hAnsi="Times New Roman" w:eastAsia="宋体" w:cs="Times New Roman"/>
                <w:color w:val="auto"/>
                <w:szCs w:val="21"/>
                <w:lang w:val="en-US" w:eastAsia="zh-CN"/>
              </w:rPr>
            </w:pPr>
            <w:r>
              <w:rPr>
                <w:rFonts w:hint="eastAsia" w:ascii="Times New Roman" w:hAnsi="Times New Roman" w:eastAsia="宋体" w:cs="Times New Roman"/>
                <w:color w:val="auto"/>
                <w:szCs w:val="21"/>
              </w:rPr>
              <w:t>1</w:t>
            </w:r>
            <w:r>
              <w:rPr>
                <w:rFonts w:hint="eastAsia" w:ascii="Times New Roman"/>
                <w:color w:val="auto"/>
                <w:szCs w:val="21"/>
                <w:lang w:eastAsia="zh-CN"/>
              </w:rPr>
              <w:t>台</w:t>
            </w:r>
          </w:p>
        </w:tc>
        <w:tc>
          <w:tcPr>
            <w:tcW w:w="674" w:type="pct"/>
            <w:noWrap w:val="0"/>
            <w:vAlign w:val="top"/>
          </w:tcPr>
          <w:p w14:paraId="1D639096">
            <w:pPr>
              <w:pStyle w:val="203"/>
              <w:widowControl w:val="0"/>
              <w:spacing w:line="240" w:lineRule="atLeast"/>
              <w:ind w:left="-120" w:leftChars="-50" w:right="-120" w:rightChars="-50"/>
              <w:rPr>
                <w:rFonts w:ascii="Times New Roman"/>
                <w:color w:val="auto"/>
                <w:szCs w:val="21"/>
              </w:rPr>
            </w:pPr>
            <w:r>
              <w:rPr>
                <w:rFonts w:hint="eastAsia" w:ascii="Times New Roman"/>
                <w:color w:val="auto"/>
                <w:szCs w:val="21"/>
                <w:lang w:eastAsia="zh-CN"/>
              </w:rPr>
              <w:t>新增</w:t>
            </w:r>
          </w:p>
        </w:tc>
      </w:tr>
      <w:tr w14:paraId="32AA8319">
        <w:tblPrEx>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96" w:type="pct"/>
            <w:noWrap w:val="0"/>
            <w:vAlign w:val="center"/>
          </w:tcPr>
          <w:p w14:paraId="17FB26E0">
            <w:pPr>
              <w:pStyle w:val="203"/>
              <w:widowControl w:val="0"/>
              <w:spacing w:line="240" w:lineRule="atLeast"/>
              <w:ind w:left="-120" w:leftChars="-50" w:right="-120" w:rightChars="-50"/>
              <w:rPr>
                <w:rFonts w:ascii="Times New Roman"/>
                <w:color w:val="auto"/>
                <w:szCs w:val="21"/>
              </w:rPr>
            </w:pPr>
            <w:r>
              <w:rPr>
                <w:rFonts w:ascii="Times New Roman"/>
                <w:color w:val="auto"/>
                <w:szCs w:val="21"/>
              </w:rPr>
              <w:t>3</w:t>
            </w:r>
          </w:p>
        </w:tc>
        <w:tc>
          <w:tcPr>
            <w:tcW w:w="1337" w:type="pct"/>
            <w:shd w:val="clear" w:color="auto" w:fill="auto"/>
            <w:noWrap w:val="0"/>
            <w:vAlign w:val="top"/>
          </w:tcPr>
          <w:p w14:paraId="046CCC51">
            <w:pPr>
              <w:pStyle w:val="203"/>
              <w:widowControl w:val="0"/>
              <w:spacing w:line="240" w:lineRule="atLeast"/>
              <w:ind w:left="-120" w:leftChars="-50" w:right="-120" w:rightChars="-50"/>
              <w:rPr>
                <w:rFonts w:hint="eastAsia" w:ascii="Times New Roman" w:hAnsi="Times New Roman" w:eastAsia="宋体" w:cs="Times New Roman"/>
                <w:color w:val="auto"/>
                <w:szCs w:val="21"/>
                <w:lang w:val="en-US" w:eastAsia="zh-CN"/>
              </w:rPr>
            </w:pPr>
            <w:r>
              <w:rPr>
                <w:rFonts w:hint="eastAsia" w:ascii="Times New Roman" w:hAnsi="Times New Roman" w:eastAsia="宋体" w:cs="Times New Roman"/>
                <w:color w:val="auto"/>
                <w:szCs w:val="21"/>
              </w:rPr>
              <w:t>电动润滑</w:t>
            </w:r>
          </w:p>
        </w:tc>
        <w:tc>
          <w:tcPr>
            <w:tcW w:w="1921" w:type="pct"/>
            <w:shd w:val="clear" w:color="auto" w:fill="auto"/>
            <w:noWrap w:val="0"/>
            <w:vAlign w:val="top"/>
          </w:tcPr>
          <w:p w14:paraId="6278260F">
            <w:pPr>
              <w:pStyle w:val="203"/>
              <w:widowControl w:val="0"/>
              <w:spacing w:line="240" w:lineRule="atLeast"/>
              <w:ind w:left="-120" w:leftChars="-50" w:right="-120" w:rightChars="-50"/>
              <w:rPr>
                <w:rFonts w:hint="eastAsia" w:ascii="Times New Roman" w:hAnsi="Times New Roman" w:eastAsia="宋体" w:cs="Times New Roman"/>
                <w:color w:val="auto"/>
                <w:szCs w:val="21"/>
                <w:lang w:val="en-US" w:eastAsia="zh-CN"/>
              </w:rPr>
            </w:pPr>
            <w:r>
              <w:rPr>
                <w:rFonts w:hint="eastAsia" w:ascii="Times New Roman" w:hAnsi="Times New Roman" w:eastAsia="宋体" w:cs="Times New Roman"/>
                <w:color w:val="auto"/>
                <w:szCs w:val="21"/>
              </w:rPr>
              <w:t>4 KW</w:t>
            </w:r>
          </w:p>
        </w:tc>
        <w:tc>
          <w:tcPr>
            <w:tcW w:w="670" w:type="pct"/>
            <w:shd w:val="clear" w:color="auto" w:fill="auto"/>
            <w:noWrap w:val="0"/>
            <w:vAlign w:val="top"/>
          </w:tcPr>
          <w:p w14:paraId="5C366F94">
            <w:pPr>
              <w:pStyle w:val="203"/>
              <w:widowControl w:val="0"/>
              <w:spacing w:line="240" w:lineRule="atLeast"/>
              <w:ind w:left="-120" w:leftChars="-50" w:right="-120" w:rightChars="-50"/>
              <w:rPr>
                <w:rFonts w:hint="eastAsia" w:ascii="Times New Roman" w:hAnsi="Times New Roman" w:eastAsia="宋体" w:cs="Times New Roman"/>
                <w:color w:val="auto"/>
                <w:szCs w:val="21"/>
                <w:lang w:val="en-US" w:eastAsia="zh-CN"/>
              </w:rPr>
            </w:pPr>
            <w:r>
              <w:rPr>
                <w:rFonts w:hint="eastAsia" w:ascii="Times New Roman" w:hAnsi="Times New Roman" w:eastAsia="宋体" w:cs="Times New Roman"/>
                <w:color w:val="auto"/>
                <w:szCs w:val="21"/>
              </w:rPr>
              <w:t>1</w:t>
            </w:r>
            <w:r>
              <w:rPr>
                <w:rFonts w:hint="eastAsia" w:ascii="Times New Roman"/>
                <w:color w:val="auto"/>
                <w:szCs w:val="21"/>
                <w:lang w:eastAsia="zh-CN"/>
              </w:rPr>
              <w:t>台</w:t>
            </w:r>
          </w:p>
        </w:tc>
        <w:tc>
          <w:tcPr>
            <w:tcW w:w="674" w:type="pct"/>
            <w:noWrap w:val="0"/>
            <w:vAlign w:val="top"/>
          </w:tcPr>
          <w:p w14:paraId="016998B9">
            <w:pPr>
              <w:pStyle w:val="203"/>
              <w:widowControl w:val="0"/>
              <w:spacing w:line="240" w:lineRule="atLeast"/>
              <w:ind w:left="-120" w:leftChars="-50" w:right="-120" w:rightChars="-50"/>
              <w:rPr>
                <w:rFonts w:ascii="Times New Roman"/>
                <w:color w:val="auto"/>
                <w:szCs w:val="21"/>
              </w:rPr>
            </w:pPr>
            <w:r>
              <w:rPr>
                <w:rFonts w:hint="eastAsia" w:ascii="Times New Roman"/>
                <w:color w:val="auto"/>
                <w:szCs w:val="21"/>
                <w:lang w:eastAsia="zh-CN"/>
              </w:rPr>
              <w:t>新增</w:t>
            </w:r>
          </w:p>
        </w:tc>
      </w:tr>
      <w:tr w14:paraId="28277994">
        <w:tblPrEx>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96" w:type="pct"/>
            <w:noWrap w:val="0"/>
            <w:vAlign w:val="center"/>
          </w:tcPr>
          <w:p w14:paraId="30579F46">
            <w:pPr>
              <w:pStyle w:val="203"/>
              <w:widowControl w:val="0"/>
              <w:spacing w:line="240" w:lineRule="atLeast"/>
              <w:ind w:left="-120" w:leftChars="-50" w:right="-120" w:rightChars="-50"/>
              <w:rPr>
                <w:rFonts w:ascii="Times New Roman"/>
                <w:color w:val="auto"/>
                <w:szCs w:val="21"/>
              </w:rPr>
            </w:pPr>
            <w:r>
              <w:rPr>
                <w:rFonts w:ascii="Times New Roman"/>
                <w:color w:val="auto"/>
                <w:szCs w:val="21"/>
              </w:rPr>
              <w:t>4</w:t>
            </w:r>
          </w:p>
        </w:tc>
        <w:tc>
          <w:tcPr>
            <w:tcW w:w="1337" w:type="pct"/>
            <w:shd w:val="clear" w:color="auto" w:fill="auto"/>
            <w:noWrap w:val="0"/>
            <w:vAlign w:val="top"/>
          </w:tcPr>
          <w:p w14:paraId="066D577F">
            <w:pPr>
              <w:pStyle w:val="203"/>
              <w:widowControl w:val="0"/>
              <w:spacing w:line="240" w:lineRule="atLeast"/>
              <w:ind w:left="-120" w:leftChars="-50" w:right="-120" w:rightChars="-50"/>
              <w:rPr>
                <w:rFonts w:hint="eastAsia" w:ascii="Times New Roman" w:hAnsi="Times New Roman" w:eastAsia="宋体" w:cs="Times New Roman"/>
                <w:color w:val="auto"/>
                <w:szCs w:val="21"/>
                <w:lang w:val="en-US" w:eastAsia="zh-CN"/>
              </w:rPr>
            </w:pPr>
            <w:r>
              <w:rPr>
                <w:rFonts w:hint="eastAsia" w:ascii="Times New Roman" w:hAnsi="Times New Roman" w:eastAsia="宋体" w:cs="Times New Roman"/>
                <w:color w:val="auto"/>
                <w:szCs w:val="21"/>
              </w:rPr>
              <w:t>助燃风机</w:t>
            </w:r>
          </w:p>
        </w:tc>
        <w:tc>
          <w:tcPr>
            <w:tcW w:w="1921" w:type="pct"/>
            <w:shd w:val="clear" w:color="auto" w:fill="auto"/>
            <w:noWrap w:val="0"/>
            <w:vAlign w:val="top"/>
          </w:tcPr>
          <w:p w14:paraId="327A68AD">
            <w:pPr>
              <w:pStyle w:val="203"/>
              <w:widowControl w:val="0"/>
              <w:spacing w:line="240" w:lineRule="atLeast"/>
              <w:ind w:left="-120" w:leftChars="-50" w:right="-120" w:rightChars="-50"/>
              <w:rPr>
                <w:rFonts w:hint="eastAsia" w:ascii="Times New Roman" w:hAnsi="Times New Roman" w:eastAsia="宋体" w:cs="Times New Roman"/>
                <w:color w:val="auto"/>
                <w:szCs w:val="21"/>
                <w:lang w:val="en-US" w:eastAsia="zh-CN"/>
              </w:rPr>
            </w:pPr>
            <w:r>
              <w:rPr>
                <w:rFonts w:hint="eastAsia" w:ascii="Times New Roman" w:hAnsi="Times New Roman" w:eastAsia="宋体" w:cs="Times New Roman"/>
                <w:color w:val="auto"/>
                <w:szCs w:val="21"/>
              </w:rPr>
              <w:t>15 KW （一用一备）</w:t>
            </w:r>
          </w:p>
        </w:tc>
        <w:tc>
          <w:tcPr>
            <w:tcW w:w="670" w:type="pct"/>
            <w:shd w:val="clear" w:color="auto" w:fill="auto"/>
            <w:noWrap w:val="0"/>
            <w:vAlign w:val="top"/>
          </w:tcPr>
          <w:p w14:paraId="515B7BAD">
            <w:pPr>
              <w:pStyle w:val="203"/>
              <w:widowControl w:val="0"/>
              <w:spacing w:line="240" w:lineRule="atLeast"/>
              <w:ind w:left="-120" w:leftChars="-50" w:right="-120" w:rightChars="-50"/>
              <w:rPr>
                <w:rFonts w:hint="eastAsia" w:ascii="Times New Roman" w:hAnsi="Times New Roman" w:eastAsia="宋体" w:cs="Times New Roman"/>
                <w:color w:val="auto"/>
                <w:szCs w:val="21"/>
                <w:lang w:val="en-US" w:eastAsia="zh-CN"/>
              </w:rPr>
            </w:pPr>
            <w:r>
              <w:rPr>
                <w:rFonts w:hint="eastAsia" w:ascii="Times New Roman" w:hAnsi="Times New Roman" w:eastAsia="宋体" w:cs="Times New Roman"/>
                <w:color w:val="auto"/>
                <w:szCs w:val="21"/>
              </w:rPr>
              <w:t>2</w:t>
            </w:r>
            <w:r>
              <w:rPr>
                <w:rFonts w:hint="eastAsia" w:ascii="Times New Roman"/>
                <w:color w:val="auto"/>
                <w:szCs w:val="21"/>
                <w:lang w:eastAsia="zh-CN"/>
              </w:rPr>
              <w:t>台</w:t>
            </w:r>
          </w:p>
        </w:tc>
        <w:tc>
          <w:tcPr>
            <w:tcW w:w="674" w:type="pct"/>
            <w:noWrap w:val="0"/>
            <w:vAlign w:val="top"/>
          </w:tcPr>
          <w:p w14:paraId="438EC5CA">
            <w:pPr>
              <w:pStyle w:val="203"/>
              <w:widowControl w:val="0"/>
              <w:spacing w:line="240" w:lineRule="atLeast"/>
              <w:ind w:left="-120" w:leftChars="-50" w:right="-120" w:rightChars="-50"/>
              <w:rPr>
                <w:rFonts w:ascii="Times New Roman"/>
                <w:color w:val="auto"/>
                <w:szCs w:val="21"/>
              </w:rPr>
            </w:pPr>
            <w:r>
              <w:rPr>
                <w:rFonts w:hint="eastAsia" w:ascii="Times New Roman"/>
                <w:color w:val="auto"/>
                <w:szCs w:val="21"/>
                <w:lang w:eastAsia="zh-CN"/>
              </w:rPr>
              <w:t>新增</w:t>
            </w:r>
          </w:p>
        </w:tc>
      </w:tr>
      <w:tr w14:paraId="2D99E746">
        <w:tblPrEx>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96" w:type="pct"/>
            <w:noWrap w:val="0"/>
            <w:vAlign w:val="center"/>
          </w:tcPr>
          <w:p w14:paraId="2F1F5C87">
            <w:pPr>
              <w:pStyle w:val="203"/>
              <w:widowControl w:val="0"/>
              <w:spacing w:line="240" w:lineRule="atLeast"/>
              <w:ind w:left="-120" w:leftChars="-50" w:right="-120" w:rightChars="-50"/>
              <w:rPr>
                <w:rFonts w:ascii="Times New Roman"/>
                <w:color w:val="auto"/>
                <w:szCs w:val="21"/>
              </w:rPr>
            </w:pPr>
            <w:r>
              <w:rPr>
                <w:rFonts w:ascii="Times New Roman"/>
                <w:color w:val="auto"/>
                <w:szCs w:val="21"/>
              </w:rPr>
              <w:t>5</w:t>
            </w:r>
          </w:p>
        </w:tc>
        <w:tc>
          <w:tcPr>
            <w:tcW w:w="1337" w:type="pct"/>
            <w:shd w:val="clear" w:color="auto" w:fill="auto"/>
            <w:noWrap w:val="0"/>
            <w:vAlign w:val="top"/>
          </w:tcPr>
          <w:p w14:paraId="63950F64">
            <w:pPr>
              <w:pStyle w:val="203"/>
              <w:widowControl w:val="0"/>
              <w:spacing w:line="240" w:lineRule="atLeast"/>
              <w:ind w:left="-120" w:leftChars="-50" w:right="-120" w:rightChars="-50"/>
              <w:rPr>
                <w:rFonts w:hint="eastAsia" w:ascii="Times New Roman" w:hAnsi="Times New Roman" w:eastAsia="宋体" w:cs="Times New Roman"/>
                <w:color w:val="auto"/>
                <w:szCs w:val="21"/>
                <w:lang w:val="en-US" w:eastAsia="zh-CN"/>
              </w:rPr>
            </w:pPr>
            <w:r>
              <w:rPr>
                <w:rFonts w:hint="eastAsia" w:ascii="Times New Roman" w:hAnsi="Times New Roman" w:eastAsia="宋体" w:cs="Times New Roman"/>
                <w:color w:val="auto"/>
                <w:szCs w:val="21"/>
              </w:rPr>
              <w:t>泥辊</w:t>
            </w:r>
          </w:p>
        </w:tc>
        <w:tc>
          <w:tcPr>
            <w:tcW w:w="1921" w:type="pct"/>
            <w:shd w:val="clear" w:color="auto" w:fill="auto"/>
            <w:noWrap w:val="0"/>
            <w:vAlign w:val="top"/>
          </w:tcPr>
          <w:p w14:paraId="4ED393B7">
            <w:pPr>
              <w:pStyle w:val="203"/>
              <w:widowControl w:val="0"/>
              <w:spacing w:line="240" w:lineRule="atLeast"/>
              <w:ind w:left="-120" w:leftChars="-50" w:right="-120" w:rightChars="-50"/>
              <w:rPr>
                <w:rFonts w:hint="eastAsia" w:ascii="Times New Roman" w:hAnsi="Times New Roman" w:eastAsia="宋体" w:cs="Times New Roman"/>
                <w:color w:val="auto"/>
                <w:szCs w:val="21"/>
                <w:lang w:val="en-US" w:eastAsia="zh-CN"/>
              </w:rPr>
            </w:pPr>
            <w:r>
              <w:rPr>
                <w:rFonts w:hint="eastAsia" w:ascii="Times New Roman" w:hAnsi="Times New Roman" w:eastAsia="宋体" w:cs="Times New Roman"/>
                <w:color w:val="auto"/>
                <w:szCs w:val="21"/>
              </w:rPr>
              <w:t>18 KW</w:t>
            </w:r>
          </w:p>
        </w:tc>
        <w:tc>
          <w:tcPr>
            <w:tcW w:w="670" w:type="pct"/>
            <w:shd w:val="clear" w:color="auto" w:fill="auto"/>
            <w:noWrap w:val="0"/>
            <w:vAlign w:val="top"/>
          </w:tcPr>
          <w:p w14:paraId="31243540">
            <w:pPr>
              <w:pStyle w:val="203"/>
              <w:widowControl w:val="0"/>
              <w:spacing w:line="240" w:lineRule="atLeast"/>
              <w:ind w:left="-120" w:leftChars="-50" w:right="-120" w:rightChars="-50"/>
              <w:rPr>
                <w:rFonts w:hint="eastAsia" w:ascii="Times New Roman" w:hAnsi="Times New Roman" w:eastAsia="宋体" w:cs="Times New Roman"/>
                <w:color w:val="auto"/>
                <w:szCs w:val="21"/>
                <w:lang w:val="en-US" w:eastAsia="zh-CN"/>
              </w:rPr>
            </w:pPr>
            <w:r>
              <w:rPr>
                <w:rFonts w:hint="eastAsia" w:ascii="Times New Roman" w:hAnsi="Times New Roman" w:eastAsia="宋体" w:cs="Times New Roman"/>
                <w:color w:val="auto"/>
                <w:szCs w:val="21"/>
              </w:rPr>
              <w:t>1</w:t>
            </w:r>
            <w:r>
              <w:rPr>
                <w:rFonts w:hint="eastAsia" w:ascii="Times New Roman"/>
                <w:color w:val="auto"/>
                <w:szCs w:val="21"/>
                <w:lang w:eastAsia="zh-CN"/>
              </w:rPr>
              <w:t>台</w:t>
            </w:r>
          </w:p>
        </w:tc>
        <w:tc>
          <w:tcPr>
            <w:tcW w:w="674" w:type="pct"/>
            <w:noWrap w:val="0"/>
            <w:vAlign w:val="top"/>
          </w:tcPr>
          <w:p w14:paraId="5F091FB3">
            <w:pPr>
              <w:pStyle w:val="203"/>
              <w:widowControl w:val="0"/>
              <w:spacing w:line="240" w:lineRule="atLeast"/>
              <w:ind w:left="-120" w:leftChars="-50" w:right="-120" w:rightChars="-50"/>
              <w:rPr>
                <w:rFonts w:ascii="Times New Roman"/>
                <w:color w:val="auto"/>
                <w:szCs w:val="21"/>
              </w:rPr>
            </w:pPr>
            <w:r>
              <w:rPr>
                <w:rFonts w:hint="eastAsia" w:ascii="Times New Roman"/>
                <w:color w:val="auto"/>
                <w:szCs w:val="21"/>
                <w:lang w:eastAsia="zh-CN"/>
              </w:rPr>
              <w:t>新增</w:t>
            </w:r>
          </w:p>
        </w:tc>
      </w:tr>
      <w:tr w14:paraId="31E68B0F">
        <w:tblPrEx>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96" w:type="pct"/>
            <w:noWrap w:val="0"/>
            <w:vAlign w:val="center"/>
          </w:tcPr>
          <w:p w14:paraId="1B7DBEAC">
            <w:pPr>
              <w:pStyle w:val="203"/>
              <w:widowControl w:val="0"/>
              <w:spacing w:line="240" w:lineRule="atLeast"/>
              <w:ind w:left="-120" w:leftChars="-50" w:right="-120" w:rightChars="-50"/>
              <w:rPr>
                <w:rFonts w:ascii="Times New Roman"/>
                <w:color w:val="auto"/>
                <w:szCs w:val="21"/>
              </w:rPr>
            </w:pPr>
            <w:r>
              <w:rPr>
                <w:rFonts w:ascii="Times New Roman"/>
                <w:color w:val="auto"/>
                <w:szCs w:val="21"/>
              </w:rPr>
              <w:t>6</w:t>
            </w:r>
          </w:p>
        </w:tc>
        <w:tc>
          <w:tcPr>
            <w:tcW w:w="1337" w:type="pct"/>
            <w:shd w:val="clear" w:color="auto" w:fill="auto"/>
            <w:noWrap w:val="0"/>
            <w:vAlign w:val="top"/>
          </w:tcPr>
          <w:p w14:paraId="44A960A3">
            <w:pPr>
              <w:pStyle w:val="203"/>
              <w:widowControl w:val="0"/>
              <w:spacing w:line="240" w:lineRule="atLeast"/>
              <w:ind w:left="-120" w:leftChars="-50" w:right="-120" w:rightChars="-50"/>
              <w:rPr>
                <w:rFonts w:hint="eastAsia" w:ascii="Times New Roman" w:hAnsi="Times New Roman" w:eastAsia="宋体" w:cs="Times New Roman"/>
                <w:color w:val="auto"/>
                <w:szCs w:val="21"/>
                <w:lang w:val="en-US" w:eastAsia="zh-CN"/>
              </w:rPr>
            </w:pPr>
            <w:r>
              <w:rPr>
                <w:rFonts w:hint="eastAsia" w:ascii="Times New Roman" w:hAnsi="Times New Roman" w:eastAsia="宋体" w:cs="Times New Roman"/>
                <w:color w:val="auto"/>
                <w:szCs w:val="21"/>
              </w:rPr>
              <w:t>7辊</w:t>
            </w:r>
          </w:p>
        </w:tc>
        <w:tc>
          <w:tcPr>
            <w:tcW w:w="1921" w:type="pct"/>
            <w:shd w:val="clear" w:color="auto" w:fill="auto"/>
            <w:noWrap w:val="0"/>
            <w:vAlign w:val="top"/>
          </w:tcPr>
          <w:p w14:paraId="58DD2A73">
            <w:pPr>
              <w:pStyle w:val="203"/>
              <w:widowControl w:val="0"/>
              <w:spacing w:line="240" w:lineRule="atLeast"/>
              <w:ind w:left="-120" w:leftChars="-50" w:right="-120" w:rightChars="-50"/>
              <w:rPr>
                <w:rFonts w:hint="eastAsia" w:ascii="Times New Roman" w:hAnsi="Times New Roman" w:eastAsia="宋体" w:cs="Times New Roman"/>
                <w:color w:val="auto"/>
                <w:szCs w:val="21"/>
                <w:lang w:val="en-US" w:eastAsia="zh-CN"/>
              </w:rPr>
            </w:pPr>
            <w:r>
              <w:rPr>
                <w:rFonts w:hint="eastAsia" w:ascii="Times New Roman" w:hAnsi="Times New Roman" w:eastAsia="宋体" w:cs="Times New Roman"/>
                <w:color w:val="auto"/>
                <w:szCs w:val="21"/>
              </w:rPr>
              <w:t>7.5 KW</w:t>
            </w:r>
          </w:p>
        </w:tc>
        <w:tc>
          <w:tcPr>
            <w:tcW w:w="670" w:type="pct"/>
            <w:shd w:val="clear" w:color="auto" w:fill="auto"/>
            <w:noWrap w:val="0"/>
            <w:vAlign w:val="top"/>
          </w:tcPr>
          <w:p w14:paraId="75D9E8E1">
            <w:pPr>
              <w:pStyle w:val="203"/>
              <w:widowControl w:val="0"/>
              <w:spacing w:line="240" w:lineRule="atLeast"/>
              <w:ind w:left="-120" w:leftChars="-50" w:right="-120" w:rightChars="-50"/>
              <w:rPr>
                <w:rFonts w:hint="eastAsia" w:ascii="Times New Roman" w:hAnsi="Times New Roman" w:eastAsia="宋体" w:cs="Times New Roman"/>
                <w:color w:val="auto"/>
                <w:szCs w:val="21"/>
                <w:lang w:val="en-US" w:eastAsia="zh-CN"/>
              </w:rPr>
            </w:pPr>
            <w:r>
              <w:rPr>
                <w:rFonts w:hint="eastAsia" w:ascii="Times New Roman" w:hAnsi="Times New Roman" w:eastAsia="宋体" w:cs="Times New Roman"/>
                <w:color w:val="auto"/>
                <w:szCs w:val="21"/>
              </w:rPr>
              <w:t>1</w:t>
            </w:r>
            <w:r>
              <w:rPr>
                <w:rFonts w:hint="eastAsia" w:ascii="Times New Roman"/>
                <w:color w:val="auto"/>
                <w:szCs w:val="21"/>
                <w:lang w:eastAsia="zh-CN"/>
              </w:rPr>
              <w:t>台</w:t>
            </w:r>
          </w:p>
        </w:tc>
        <w:tc>
          <w:tcPr>
            <w:tcW w:w="674" w:type="pct"/>
            <w:noWrap w:val="0"/>
            <w:vAlign w:val="top"/>
          </w:tcPr>
          <w:p w14:paraId="5362DE3E">
            <w:pPr>
              <w:pStyle w:val="203"/>
              <w:widowControl w:val="0"/>
              <w:ind w:left="-120" w:leftChars="-50" w:right="-120" w:rightChars="-50"/>
              <w:rPr>
                <w:rFonts w:ascii="Times New Roman"/>
                <w:color w:val="auto"/>
                <w:szCs w:val="21"/>
              </w:rPr>
            </w:pPr>
            <w:r>
              <w:rPr>
                <w:rFonts w:hint="eastAsia" w:ascii="Times New Roman"/>
                <w:color w:val="auto"/>
                <w:szCs w:val="21"/>
                <w:lang w:eastAsia="zh-CN"/>
              </w:rPr>
              <w:t>新增</w:t>
            </w:r>
          </w:p>
        </w:tc>
      </w:tr>
      <w:tr w14:paraId="3C19D46D">
        <w:tblPrEx>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96" w:type="pct"/>
            <w:noWrap w:val="0"/>
            <w:vAlign w:val="center"/>
          </w:tcPr>
          <w:p w14:paraId="23FB854C">
            <w:pPr>
              <w:pStyle w:val="203"/>
              <w:widowControl w:val="0"/>
              <w:spacing w:line="240" w:lineRule="atLeast"/>
              <w:ind w:left="-120" w:leftChars="-50" w:right="-120" w:rightChars="-50"/>
              <w:rPr>
                <w:rFonts w:ascii="Times New Roman"/>
                <w:color w:val="auto"/>
                <w:szCs w:val="21"/>
              </w:rPr>
            </w:pPr>
            <w:r>
              <w:rPr>
                <w:rFonts w:ascii="Times New Roman"/>
                <w:color w:val="auto"/>
                <w:szCs w:val="21"/>
              </w:rPr>
              <w:t>7</w:t>
            </w:r>
          </w:p>
        </w:tc>
        <w:tc>
          <w:tcPr>
            <w:tcW w:w="1337" w:type="pct"/>
            <w:shd w:val="clear" w:color="auto" w:fill="auto"/>
            <w:noWrap w:val="0"/>
            <w:vAlign w:val="top"/>
          </w:tcPr>
          <w:p w14:paraId="1E212CE2">
            <w:pPr>
              <w:pStyle w:val="203"/>
              <w:widowControl w:val="0"/>
              <w:spacing w:line="240" w:lineRule="atLeast"/>
              <w:ind w:left="-120" w:leftChars="-50" w:right="-120" w:rightChars="-50"/>
              <w:rPr>
                <w:rFonts w:hint="eastAsia" w:ascii="Times New Roman" w:hAnsi="Times New Roman" w:eastAsia="宋体" w:cs="Times New Roman"/>
                <w:color w:val="auto"/>
                <w:szCs w:val="21"/>
                <w:lang w:val="en-US" w:eastAsia="zh-CN"/>
              </w:rPr>
            </w:pPr>
            <w:r>
              <w:rPr>
                <w:rFonts w:hint="eastAsia" w:ascii="Times New Roman" w:hAnsi="Times New Roman" w:eastAsia="宋体" w:cs="Times New Roman"/>
                <w:color w:val="auto"/>
                <w:szCs w:val="21"/>
              </w:rPr>
              <w:t>葫芦吊</w:t>
            </w:r>
          </w:p>
        </w:tc>
        <w:tc>
          <w:tcPr>
            <w:tcW w:w="1921" w:type="pct"/>
            <w:shd w:val="clear" w:color="auto" w:fill="auto"/>
            <w:noWrap w:val="0"/>
            <w:vAlign w:val="top"/>
          </w:tcPr>
          <w:p w14:paraId="66C2EEC5">
            <w:pPr>
              <w:pStyle w:val="203"/>
              <w:widowControl w:val="0"/>
              <w:spacing w:line="240" w:lineRule="atLeast"/>
              <w:ind w:left="-120" w:leftChars="-50" w:right="-120" w:rightChars="-50"/>
              <w:rPr>
                <w:rFonts w:hint="eastAsia" w:ascii="Times New Roman" w:hAnsi="Times New Roman" w:eastAsia="宋体" w:cs="Times New Roman"/>
                <w:color w:val="auto"/>
                <w:szCs w:val="21"/>
                <w:lang w:val="en-US" w:eastAsia="zh-CN"/>
              </w:rPr>
            </w:pPr>
            <w:r>
              <w:rPr>
                <w:rFonts w:hint="eastAsia" w:ascii="Times New Roman" w:hAnsi="Times New Roman" w:eastAsia="宋体" w:cs="Times New Roman"/>
                <w:color w:val="auto"/>
                <w:szCs w:val="21"/>
              </w:rPr>
              <w:t>22 KW（5T一台 16T一台）</w:t>
            </w:r>
          </w:p>
        </w:tc>
        <w:tc>
          <w:tcPr>
            <w:tcW w:w="670" w:type="pct"/>
            <w:shd w:val="clear" w:color="auto" w:fill="auto"/>
            <w:noWrap w:val="0"/>
            <w:vAlign w:val="top"/>
          </w:tcPr>
          <w:p w14:paraId="0A801B90">
            <w:pPr>
              <w:pStyle w:val="203"/>
              <w:widowControl w:val="0"/>
              <w:spacing w:line="240" w:lineRule="atLeast"/>
              <w:ind w:left="-120" w:leftChars="-50" w:right="-120" w:rightChars="-50"/>
              <w:rPr>
                <w:rFonts w:hint="eastAsia" w:ascii="Times New Roman" w:hAnsi="Times New Roman" w:eastAsia="宋体" w:cs="Times New Roman"/>
                <w:color w:val="auto"/>
                <w:szCs w:val="21"/>
                <w:lang w:val="en-US" w:eastAsia="zh-CN"/>
              </w:rPr>
            </w:pPr>
            <w:r>
              <w:rPr>
                <w:rFonts w:hint="eastAsia" w:ascii="Times New Roman" w:hAnsi="Times New Roman" w:eastAsia="宋体" w:cs="Times New Roman"/>
                <w:color w:val="auto"/>
                <w:szCs w:val="21"/>
              </w:rPr>
              <w:t>2</w:t>
            </w:r>
            <w:r>
              <w:rPr>
                <w:rFonts w:hint="eastAsia" w:ascii="Times New Roman"/>
                <w:color w:val="auto"/>
                <w:szCs w:val="21"/>
                <w:lang w:eastAsia="zh-CN"/>
              </w:rPr>
              <w:t>台</w:t>
            </w:r>
          </w:p>
        </w:tc>
        <w:tc>
          <w:tcPr>
            <w:tcW w:w="674" w:type="pct"/>
            <w:noWrap w:val="0"/>
            <w:vAlign w:val="top"/>
          </w:tcPr>
          <w:p w14:paraId="21A286E3">
            <w:pPr>
              <w:pStyle w:val="203"/>
              <w:widowControl w:val="0"/>
              <w:ind w:left="-120" w:leftChars="-50" w:right="-120" w:rightChars="-50"/>
              <w:rPr>
                <w:rFonts w:ascii="Times New Roman"/>
                <w:color w:val="auto"/>
                <w:szCs w:val="21"/>
              </w:rPr>
            </w:pPr>
            <w:r>
              <w:rPr>
                <w:rFonts w:hint="eastAsia" w:ascii="Times New Roman"/>
                <w:color w:val="auto"/>
                <w:szCs w:val="21"/>
                <w:lang w:eastAsia="zh-CN"/>
              </w:rPr>
              <w:t>新增</w:t>
            </w:r>
          </w:p>
        </w:tc>
      </w:tr>
      <w:tr w14:paraId="6FC30EF5">
        <w:tblPrEx>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96" w:type="pct"/>
            <w:noWrap w:val="0"/>
            <w:vAlign w:val="center"/>
          </w:tcPr>
          <w:p w14:paraId="0F964B0D">
            <w:pPr>
              <w:pStyle w:val="203"/>
              <w:widowControl w:val="0"/>
              <w:spacing w:line="240" w:lineRule="atLeast"/>
              <w:ind w:left="-120" w:leftChars="-50" w:right="-120" w:rightChars="-50"/>
              <w:rPr>
                <w:rFonts w:ascii="Times New Roman"/>
                <w:color w:val="auto"/>
                <w:szCs w:val="21"/>
              </w:rPr>
            </w:pPr>
            <w:r>
              <w:rPr>
                <w:rFonts w:ascii="Times New Roman"/>
                <w:color w:val="auto"/>
                <w:szCs w:val="21"/>
              </w:rPr>
              <w:t>8</w:t>
            </w:r>
          </w:p>
        </w:tc>
        <w:tc>
          <w:tcPr>
            <w:tcW w:w="1337" w:type="pct"/>
            <w:shd w:val="clear" w:color="auto" w:fill="auto"/>
            <w:noWrap w:val="0"/>
            <w:vAlign w:val="top"/>
          </w:tcPr>
          <w:p w14:paraId="4FFE18AB">
            <w:pPr>
              <w:pStyle w:val="203"/>
              <w:widowControl w:val="0"/>
              <w:spacing w:line="240" w:lineRule="atLeast"/>
              <w:ind w:left="-120" w:leftChars="-50" w:right="-120" w:rightChars="-50"/>
              <w:rPr>
                <w:rFonts w:hint="eastAsia" w:ascii="Times New Roman" w:hAnsi="Times New Roman" w:eastAsia="宋体" w:cs="Times New Roman"/>
                <w:color w:val="auto"/>
                <w:szCs w:val="21"/>
                <w:lang w:val="en-US" w:eastAsia="zh-CN"/>
              </w:rPr>
            </w:pPr>
            <w:r>
              <w:rPr>
                <w:rFonts w:hint="eastAsia" w:ascii="Times New Roman" w:hAnsi="Times New Roman" w:eastAsia="宋体" w:cs="Times New Roman"/>
                <w:color w:val="auto"/>
                <w:szCs w:val="21"/>
              </w:rPr>
              <w:t>布料机</w:t>
            </w:r>
          </w:p>
        </w:tc>
        <w:tc>
          <w:tcPr>
            <w:tcW w:w="1921" w:type="pct"/>
            <w:shd w:val="clear" w:color="auto" w:fill="auto"/>
            <w:noWrap w:val="0"/>
            <w:vAlign w:val="top"/>
          </w:tcPr>
          <w:p w14:paraId="42FE1F3A">
            <w:pPr>
              <w:pStyle w:val="203"/>
              <w:widowControl w:val="0"/>
              <w:spacing w:line="240" w:lineRule="atLeast"/>
              <w:ind w:left="-120" w:leftChars="-50" w:right="-120" w:rightChars="-50"/>
              <w:rPr>
                <w:rFonts w:hint="eastAsia" w:ascii="Times New Roman" w:hAnsi="Times New Roman" w:eastAsia="宋体" w:cs="Times New Roman"/>
                <w:color w:val="auto"/>
                <w:szCs w:val="21"/>
                <w:lang w:val="en-US" w:eastAsia="zh-CN"/>
              </w:rPr>
            </w:pPr>
            <w:r>
              <w:rPr>
                <w:rFonts w:hint="eastAsia" w:ascii="Times New Roman" w:hAnsi="Times New Roman" w:eastAsia="宋体" w:cs="Times New Roman"/>
                <w:color w:val="auto"/>
                <w:szCs w:val="21"/>
              </w:rPr>
              <w:t>11.5 KW</w:t>
            </w:r>
          </w:p>
        </w:tc>
        <w:tc>
          <w:tcPr>
            <w:tcW w:w="670" w:type="pct"/>
            <w:shd w:val="clear" w:color="auto" w:fill="auto"/>
            <w:noWrap w:val="0"/>
            <w:vAlign w:val="top"/>
          </w:tcPr>
          <w:p w14:paraId="426A2772">
            <w:pPr>
              <w:pStyle w:val="203"/>
              <w:widowControl w:val="0"/>
              <w:spacing w:line="240" w:lineRule="atLeast"/>
              <w:ind w:left="-120" w:leftChars="-50" w:right="-120" w:rightChars="-50"/>
              <w:rPr>
                <w:rFonts w:hint="eastAsia" w:ascii="Times New Roman" w:hAnsi="Times New Roman" w:eastAsia="宋体" w:cs="Times New Roman"/>
                <w:color w:val="auto"/>
                <w:szCs w:val="21"/>
                <w:lang w:val="en-US" w:eastAsia="zh-CN"/>
              </w:rPr>
            </w:pPr>
            <w:r>
              <w:rPr>
                <w:rFonts w:hint="eastAsia" w:ascii="Times New Roman" w:hAnsi="Times New Roman" w:eastAsia="宋体" w:cs="Times New Roman"/>
                <w:color w:val="auto"/>
                <w:szCs w:val="21"/>
              </w:rPr>
              <w:t>1</w:t>
            </w:r>
            <w:r>
              <w:rPr>
                <w:rFonts w:hint="eastAsia" w:ascii="Times New Roman"/>
                <w:color w:val="auto"/>
                <w:szCs w:val="21"/>
                <w:lang w:eastAsia="zh-CN"/>
              </w:rPr>
              <w:t>台</w:t>
            </w:r>
          </w:p>
        </w:tc>
        <w:tc>
          <w:tcPr>
            <w:tcW w:w="674" w:type="pct"/>
            <w:noWrap w:val="0"/>
            <w:vAlign w:val="top"/>
          </w:tcPr>
          <w:p w14:paraId="63F408B5">
            <w:pPr>
              <w:pStyle w:val="203"/>
              <w:widowControl w:val="0"/>
              <w:spacing w:line="240" w:lineRule="atLeast"/>
              <w:ind w:left="-120" w:leftChars="-50" w:right="-120" w:rightChars="-50"/>
              <w:rPr>
                <w:rFonts w:ascii="Times New Roman"/>
                <w:color w:val="auto"/>
                <w:szCs w:val="21"/>
              </w:rPr>
            </w:pPr>
            <w:r>
              <w:rPr>
                <w:rFonts w:hint="eastAsia" w:ascii="Times New Roman"/>
                <w:color w:val="auto"/>
                <w:szCs w:val="21"/>
                <w:lang w:eastAsia="zh-CN"/>
              </w:rPr>
              <w:t>新增</w:t>
            </w:r>
          </w:p>
        </w:tc>
      </w:tr>
      <w:tr w14:paraId="1C24FA4B">
        <w:tblPrEx>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5000" w:type="pct"/>
            <w:gridSpan w:val="5"/>
            <w:noWrap w:val="0"/>
            <w:vAlign w:val="center"/>
          </w:tcPr>
          <w:p w14:paraId="03F15FDD">
            <w:pPr>
              <w:pStyle w:val="203"/>
              <w:widowControl w:val="0"/>
              <w:spacing w:line="240" w:lineRule="atLeast"/>
              <w:ind w:left="-120" w:leftChars="-50" w:right="-120" w:rightChars="-50"/>
              <w:rPr>
                <w:rFonts w:hint="eastAsia" w:ascii="Times New Roman" w:eastAsia="宋体"/>
                <w:color w:val="auto"/>
                <w:szCs w:val="21"/>
                <w:lang w:val="en-US" w:eastAsia="zh-CN"/>
              </w:rPr>
            </w:pPr>
            <w:r>
              <w:rPr>
                <w:rFonts w:hint="eastAsia" w:ascii="Times New Roman"/>
                <w:color w:val="auto"/>
                <w:szCs w:val="21"/>
                <w:lang w:val="en-US" w:eastAsia="zh-CN"/>
              </w:rPr>
              <w:t>球团竖炉</w:t>
            </w:r>
          </w:p>
        </w:tc>
      </w:tr>
      <w:tr w14:paraId="5098A952">
        <w:tblPrEx>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96" w:type="pct"/>
            <w:noWrap w:val="0"/>
            <w:vAlign w:val="center"/>
          </w:tcPr>
          <w:p w14:paraId="06F7AAAE">
            <w:pPr>
              <w:pStyle w:val="203"/>
              <w:widowControl w:val="0"/>
              <w:spacing w:line="240" w:lineRule="atLeast"/>
              <w:ind w:left="-120" w:leftChars="-50" w:right="-120" w:rightChars="-50"/>
              <w:rPr>
                <w:rFonts w:hint="eastAsia" w:ascii="Times New Roman" w:eastAsia="宋体"/>
                <w:color w:val="auto"/>
                <w:szCs w:val="21"/>
                <w:lang w:eastAsia="zh-CN"/>
              </w:rPr>
            </w:pPr>
            <w:r>
              <w:rPr>
                <w:rFonts w:hint="eastAsia" w:ascii="Times New Roman"/>
                <w:color w:val="auto"/>
                <w:szCs w:val="21"/>
                <w:lang w:val="en-US" w:eastAsia="zh-CN"/>
              </w:rPr>
              <w:t>9</w:t>
            </w:r>
          </w:p>
        </w:tc>
        <w:tc>
          <w:tcPr>
            <w:tcW w:w="1337" w:type="pct"/>
            <w:shd w:val="clear" w:color="auto" w:fill="auto"/>
            <w:noWrap w:val="0"/>
            <w:vAlign w:val="top"/>
          </w:tcPr>
          <w:p w14:paraId="15BF7035">
            <w:pPr>
              <w:pStyle w:val="203"/>
              <w:widowControl w:val="0"/>
              <w:spacing w:line="240" w:lineRule="atLeast"/>
              <w:ind w:left="-120" w:leftChars="-50" w:right="-120" w:rightChars="-50"/>
              <w:rPr>
                <w:rFonts w:hint="eastAsia" w:ascii="Times New Roman" w:hAnsi="Times New Roman" w:eastAsia="宋体" w:cs="Times New Roman"/>
                <w:color w:val="auto"/>
                <w:szCs w:val="21"/>
                <w:lang w:val="en-US" w:eastAsia="zh-CN"/>
              </w:rPr>
            </w:pPr>
            <w:r>
              <w:rPr>
                <w:rFonts w:hint="eastAsia" w:ascii="Times New Roman" w:hAnsi="Times New Roman" w:eastAsia="宋体" w:cs="Times New Roman"/>
                <w:color w:val="auto"/>
                <w:szCs w:val="21"/>
              </w:rPr>
              <w:t>圆盘给料机</w:t>
            </w:r>
          </w:p>
        </w:tc>
        <w:tc>
          <w:tcPr>
            <w:tcW w:w="1921" w:type="pct"/>
            <w:shd w:val="clear" w:color="auto" w:fill="auto"/>
            <w:noWrap w:val="0"/>
            <w:vAlign w:val="top"/>
          </w:tcPr>
          <w:p w14:paraId="0D4C9589">
            <w:pPr>
              <w:pStyle w:val="203"/>
              <w:widowControl w:val="0"/>
              <w:spacing w:line="240" w:lineRule="atLeast"/>
              <w:ind w:left="-120" w:leftChars="-50" w:right="-120" w:rightChars="-50"/>
              <w:rPr>
                <w:rFonts w:hint="eastAsia" w:ascii="Times New Roman" w:hAnsi="Times New Roman" w:eastAsia="宋体" w:cs="Times New Roman"/>
                <w:color w:val="auto"/>
                <w:szCs w:val="21"/>
                <w:lang w:val="en-US" w:eastAsia="zh-CN"/>
              </w:rPr>
            </w:pPr>
            <w:r>
              <w:rPr>
                <w:rFonts w:hint="eastAsia" w:ascii="Times New Roman" w:hAnsi="Times New Roman" w:eastAsia="宋体" w:cs="Times New Roman"/>
                <w:color w:val="auto"/>
                <w:szCs w:val="21"/>
              </w:rPr>
              <w:t xml:space="preserve"> 37.5KW</w:t>
            </w:r>
          </w:p>
        </w:tc>
        <w:tc>
          <w:tcPr>
            <w:tcW w:w="670" w:type="pct"/>
            <w:shd w:val="clear" w:color="auto" w:fill="auto"/>
            <w:noWrap w:val="0"/>
            <w:vAlign w:val="top"/>
          </w:tcPr>
          <w:p w14:paraId="6C2F2569">
            <w:pPr>
              <w:pStyle w:val="203"/>
              <w:widowControl w:val="0"/>
              <w:spacing w:line="240" w:lineRule="atLeast"/>
              <w:ind w:left="-120" w:leftChars="-50" w:right="-120" w:rightChars="-50"/>
              <w:rPr>
                <w:rFonts w:hint="eastAsia" w:ascii="Times New Roman" w:hAnsi="Times New Roman" w:eastAsia="宋体" w:cs="Times New Roman"/>
                <w:color w:val="auto"/>
                <w:szCs w:val="21"/>
                <w:lang w:val="en-US" w:eastAsia="zh-CN"/>
              </w:rPr>
            </w:pPr>
            <w:r>
              <w:rPr>
                <w:rFonts w:hint="eastAsia" w:ascii="Times New Roman" w:hAnsi="Times New Roman" w:eastAsia="宋体" w:cs="Times New Roman"/>
                <w:color w:val="auto"/>
                <w:szCs w:val="21"/>
              </w:rPr>
              <w:t>5</w:t>
            </w:r>
          </w:p>
        </w:tc>
        <w:tc>
          <w:tcPr>
            <w:tcW w:w="674" w:type="pct"/>
            <w:noWrap w:val="0"/>
            <w:vAlign w:val="top"/>
          </w:tcPr>
          <w:p w14:paraId="38846C1D">
            <w:pPr>
              <w:pStyle w:val="203"/>
              <w:widowControl w:val="0"/>
              <w:spacing w:line="240" w:lineRule="atLeast"/>
              <w:ind w:left="-120" w:leftChars="-50" w:right="-120" w:rightChars="-50"/>
              <w:rPr>
                <w:rFonts w:ascii="Times New Roman"/>
                <w:color w:val="auto"/>
                <w:szCs w:val="21"/>
              </w:rPr>
            </w:pPr>
            <w:r>
              <w:rPr>
                <w:rFonts w:hint="eastAsia" w:ascii="Times New Roman"/>
                <w:color w:val="auto"/>
                <w:szCs w:val="21"/>
                <w:lang w:eastAsia="zh-CN"/>
              </w:rPr>
              <w:t>新增</w:t>
            </w:r>
          </w:p>
        </w:tc>
      </w:tr>
      <w:tr w14:paraId="0425B829">
        <w:tblPrEx>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96" w:type="pct"/>
            <w:noWrap w:val="0"/>
            <w:vAlign w:val="center"/>
          </w:tcPr>
          <w:p w14:paraId="0FA51A0F">
            <w:pPr>
              <w:pStyle w:val="203"/>
              <w:widowControl w:val="0"/>
              <w:spacing w:line="240" w:lineRule="atLeast"/>
              <w:ind w:left="-120" w:leftChars="-50" w:right="-120" w:rightChars="-50"/>
              <w:rPr>
                <w:rFonts w:hint="default" w:ascii="Times New Roman" w:eastAsia="宋体"/>
                <w:color w:val="auto"/>
                <w:szCs w:val="21"/>
                <w:lang w:val="en-US" w:eastAsia="zh-CN"/>
              </w:rPr>
            </w:pPr>
            <w:bookmarkStart w:id="257" w:name="_Toc90026252"/>
            <w:r>
              <w:rPr>
                <w:rFonts w:hint="eastAsia" w:ascii="Times New Roman"/>
                <w:color w:val="auto"/>
                <w:szCs w:val="21"/>
                <w:lang w:val="en-US" w:eastAsia="zh-CN"/>
              </w:rPr>
              <w:t>10</w:t>
            </w:r>
          </w:p>
        </w:tc>
        <w:tc>
          <w:tcPr>
            <w:tcW w:w="1337" w:type="pct"/>
            <w:shd w:val="clear" w:color="auto" w:fill="auto"/>
            <w:noWrap w:val="0"/>
            <w:vAlign w:val="top"/>
          </w:tcPr>
          <w:p w14:paraId="1B4C6B93">
            <w:pPr>
              <w:pStyle w:val="203"/>
              <w:widowControl w:val="0"/>
              <w:spacing w:line="240" w:lineRule="atLeast"/>
              <w:ind w:left="-120" w:leftChars="-50" w:right="-120" w:rightChars="-50"/>
              <w:rPr>
                <w:rFonts w:hint="eastAsia" w:ascii="Times New Roman" w:hAnsi="Times New Roman" w:eastAsia="宋体" w:cs="Times New Roman"/>
                <w:color w:val="auto"/>
                <w:szCs w:val="21"/>
                <w:lang w:val="en-US" w:eastAsia="zh-CN"/>
              </w:rPr>
            </w:pPr>
            <w:r>
              <w:rPr>
                <w:rFonts w:hint="eastAsia" w:ascii="Times New Roman" w:hAnsi="Times New Roman" w:eastAsia="宋体" w:cs="Times New Roman"/>
                <w:color w:val="auto"/>
                <w:szCs w:val="21"/>
              </w:rPr>
              <w:t>电子皮带秤</w:t>
            </w:r>
          </w:p>
        </w:tc>
        <w:tc>
          <w:tcPr>
            <w:tcW w:w="1921" w:type="pct"/>
            <w:shd w:val="clear" w:color="auto" w:fill="auto"/>
            <w:noWrap w:val="0"/>
            <w:vAlign w:val="top"/>
          </w:tcPr>
          <w:p w14:paraId="10F0AC95">
            <w:pPr>
              <w:pStyle w:val="203"/>
              <w:widowControl w:val="0"/>
              <w:spacing w:line="240" w:lineRule="atLeast"/>
              <w:ind w:left="-120" w:leftChars="-50" w:right="-120" w:rightChars="-50"/>
              <w:rPr>
                <w:rFonts w:hint="eastAsia" w:ascii="Times New Roman" w:hAnsi="Times New Roman" w:eastAsia="宋体" w:cs="Times New Roman"/>
                <w:color w:val="auto"/>
                <w:szCs w:val="21"/>
                <w:lang w:val="en-US" w:eastAsia="zh-CN"/>
              </w:rPr>
            </w:pPr>
            <w:r>
              <w:rPr>
                <w:rFonts w:hint="eastAsia" w:ascii="Times New Roman" w:hAnsi="Times New Roman" w:eastAsia="宋体" w:cs="Times New Roman"/>
                <w:color w:val="auto"/>
                <w:szCs w:val="21"/>
              </w:rPr>
              <w:t xml:space="preserve"> 9KW</w:t>
            </w:r>
          </w:p>
        </w:tc>
        <w:tc>
          <w:tcPr>
            <w:tcW w:w="670" w:type="pct"/>
            <w:shd w:val="clear" w:color="auto" w:fill="auto"/>
            <w:noWrap w:val="0"/>
            <w:vAlign w:val="top"/>
          </w:tcPr>
          <w:p w14:paraId="5CD8FB44">
            <w:pPr>
              <w:pStyle w:val="203"/>
              <w:widowControl w:val="0"/>
              <w:spacing w:line="240" w:lineRule="atLeast"/>
              <w:ind w:left="-120" w:leftChars="-50" w:right="-120" w:rightChars="-50"/>
              <w:rPr>
                <w:rFonts w:hint="eastAsia" w:ascii="Times New Roman" w:hAnsi="Times New Roman" w:eastAsia="宋体" w:cs="Times New Roman"/>
                <w:color w:val="auto"/>
                <w:szCs w:val="21"/>
                <w:lang w:val="en-US" w:eastAsia="zh-CN"/>
              </w:rPr>
            </w:pPr>
            <w:r>
              <w:rPr>
                <w:rFonts w:hint="eastAsia" w:ascii="Times New Roman" w:hAnsi="Times New Roman" w:eastAsia="宋体" w:cs="Times New Roman"/>
                <w:color w:val="auto"/>
                <w:szCs w:val="21"/>
              </w:rPr>
              <w:t>3</w:t>
            </w:r>
          </w:p>
        </w:tc>
        <w:tc>
          <w:tcPr>
            <w:tcW w:w="674" w:type="pct"/>
            <w:noWrap w:val="0"/>
            <w:vAlign w:val="top"/>
          </w:tcPr>
          <w:p w14:paraId="0345CBA7">
            <w:pPr>
              <w:pStyle w:val="203"/>
              <w:widowControl w:val="0"/>
              <w:spacing w:line="240" w:lineRule="atLeast"/>
              <w:ind w:left="-120" w:leftChars="-50" w:right="-120" w:rightChars="-50"/>
              <w:rPr>
                <w:rFonts w:hint="eastAsia" w:ascii="Times New Roman" w:hAnsi="Times New Roman" w:eastAsia="宋体" w:cs="Times New Roman"/>
                <w:color w:val="auto"/>
                <w:szCs w:val="21"/>
                <w:lang w:eastAsia="zh-CN"/>
              </w:rPr>
            </w:pPr>
            <w:r>
              <w:rPr>
                <w:rFonts w:hint="eastAsia" w:ascii="Times New Roman" w:hAnsi="Times New Roman" w:eastAsia="宋体" w:cs="Times New Roman"/>
                <w:color w:val="auto"/>
                <w:szCs w:val="21"/>
                <w:lang w:eastAsia="zh-CN"/>
              </w:rPr>
              <w:t>新增</w:t>
            </w:r>
          </w:p>
        </w:tc>
      </w:tr>
      <w:tr w14:paraId="7649EDF9">
        <w:tblPrEx>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96" w:type="pct"/>
            <w:noWrap w:val="0"/>
            <w:vAlign w:val="center"/>
          </w:tcPr>
          <w:p w14:paraId="5E8C7326">
            <w:pPr>
              <w:pStyle w:val="203"/>
              <w:widowControl w:val="0"/>
              <w:spacing w:line="240" w:lineRule="atLeast"/>
              <w:ind w:left="-120" w:leftChars="-50" w:right="-120" w:rightChars="-50"/>
              <w:rPr>
                <w:rFonts w:hint="default" w:ascii="Times New Roman" w:eastAsia="宋体"/>
                <w:color w:val="auto"/>
                <w:szCs w:val="21"/>
                <w:lang w:val="en-US" w:eastAsia="zh-CN"/>
              </w:rPr>
            </w:pPr>
            <w:r>
              <w:rPr>
                <w:rFonts w:hint="eastAsia" w:ascii="Times New Roman"/>
                <w:color w:val="auto"/>
                <w:szCs w:val="21"/>
                <w:lang w:val="en-US" w:eastAsia="zh-CN"/>
              </w:rPr>
              <w:t>11</w:t>
            </w:r>
          </w:p>
        </w:tc>
        <w:tc>
          <w:tcPr>
            <w:tcW w:w="1337" w:type="pct"/>
            <w:shd w:val="clear" w:color="auto" w:fill="auto"/>
            <w:noWrap w:val="0"/>
            <w:vAlign w:val="top"/>
          </w:tcPr>
          <w:p w14:paraId="366F172B">
            <w:pPr>
              <w:pStyle w:val="203"/>
              <w:widowControl w:val="0"/>
              <w:spacing w:line="240" w:lineRule="atLeast"/>
              <w:ind w:left="-120" w:leftChars="-50" w:right="-120" w:rightChars="-50"/>
              <w:rPr>
                <w:rFonts w:hint="eastAsia" w:ascii="Times New Roman" w:hAnsi="Times New Roman" w:eastAsia="宋体" w:cs="Times New Roman"/>
                <w:color w:val="auto"/>
                <w:szCs w:val="21"/>
                <w:lang w:val="en-US" w:eastAsia="zh-CN"/>
              </w:rPr>
            </w:pPr>
            <w:r>
              <w:rPr>
                <w:rFonts w:hint="eastAsia" w:ascii="Times New Roman" w:hAnsi="Times New Roman" w:eastAsia="宋体" w:cs="Times New Roman"/>
                <w:color w:val="auto"/>
                <w:szCs w:val="21"/>
              </w:rPr>
              <w:t>皮带机</w:t>
            </w:r>
          </w:p>
        </w:tc>
        <w:tc>
          <w:tcPr>
            <w:tcW w:w="1921" w:type="pct"/>
            <w:shd w:val="clear" w:color="auto" w:fill="auto"/>
            <w:noWrap w:val="0"/>
            <w:vAlign w:val="top"/>
          </w:tcPr>
          <w:p w14:paraId="18A02CD7">
            <w:pPr>
              <w:pStyle w:val="203"/>
              <w:widowControl w:val="0"/>
              <w:spacing w:line="240" w:lineRule="atLeast"/>
              <w:ind w:left="-120" w:leftChars="-50" w:right="-120" w:rightChars="-50"/>
              <w:rPr>
                <w:rFonts w:hint="eastAsia" w:ascii="Times New Roman" w:hAnsi="Times New Roman" w:eastAsia="宋体" w:cs="Times New Roman"/>
                <w:color w:val="auto"/>
                <w:szCs w:val="21"/>
                <w:lang w:val="en-US" w:eastAsia="zh-CN"/>
              </w:rPr>
            </w:pPr>
            <w:r>
              <w:rPr>
                <w:rFonts w:hint="eastAsia" w:ascii="Times New Roman" w:hAnsi="Times New Roman" w:eastAsia="宋体" w:cs="Times New Roman"/>
                <w:color w:val="auto"/>
                <w:szCs w:val="21"/>
              </w:rPr>
              <w:t xml:space="preserve"> 80KW</w:t>
            </w:r>
          </w:p>
        </w:tc>
        <w:tc>
          <w:tcPr>
            <w:tcW w:w="670" w:type="pct"/>
            <w:shd w:val="clear" w:color="auto" w:fill="auto"/>
            <w:noWrap w:val="0"/>
            <w:vAlign w:val="top"/>
          </w:tcPr>
          <w:p w14:paraId="61285405">
            <w:pPr>
              <w:pStyle w:val="203"/>
              <w:widowControl w:val="0"/>
              <w:spacing w:line="240" w:lineRule="atLeast"/>
              <w:ind w:left="-120" w:leftChars="-50" w:right="-120" w:rightChars="-50"/>
              <w:rPr>
                <w:rFonts w:hint="eastAsia" w:ascii="Times New Roman" w:hAnsi="Times New Roman" w:eastAsia="宋体" w:cs="Times New Roman"/>
                <w:color w:val="auto"/>
                <w:szCs w:val="21"/>
                <w:lang w:val="en-US" w:eastAsia="zh-CN"/>
              </w:rPr>
            </w:pPr>
            <w:r>
              <w:rPr>
                <w:rFonts w:hint="eastAsia" w:ascii="Times New Roman" w:hAnsi="Times New Roman" w:eastAsia="宋体" w:cs="Times New Roman"/>
                <w:color w:val="auto"/>
                <w:szCs w:val="21"/>
              </w:rPr>
              <w:t>9</w:t>
            </w:r>
          </w:p>
        </w:tc>
        <w:tc>
          <w:tcPr>
            <w:tcW w:w="674" w:type="pct"/>
            <w:noWrap w:val="0"/>
            <w:vAlign w:val="top"/>
          </w:tcPr>
          <w:p w14:paraId="3C010ECF">
            <w:pPr>
              <w:pStyle w:val="203"/>
              <w:widowControl w:val="0"/>
              <w:spacing w:line="240" w:lineRule="atLeast"/>
              <w:ind w:left="-120" w:leftChars="-50" w:right="-120" w:rightChars="-50"/>
              <w:rPr>
                <w:rFonts w:hint="eastAsia" w:ascii="Times New Roman" w:hAnsi="Times New Roman" w:eastAsia="宋体" w:cs="Times New Roman"/>
                <w:color w:val="auto"/>
                <w:szCs w:val="21"/>
                <w:lang w:eastAsia="zh-CN"/>
              </w:rPr>
            </w:pPr>
            <w:r>
              <w:rPr>
                <w:rFonts w:hint="eastAsia" w:ascii="Times New Roman" w:hAnsi="Times New Roman" w:eastAsia="宋体" w:cs="Times New Roman"/>
                <w:color w:val="auto"/>
                <w:szCs w:val="21"/>
                <w:lang w:eastAsia="zh-CN"/>
              </w:rPr>
              <w:t>新增</w:t>
            </w:r>
          </w:p>
        </w:tc>
      </w:tr>
      <w:tr w14:paraId="5C161FB5">
        <w:tblPrEx>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96" w:type="pct"/>
            <w:noWrap w:val="0"/>
            <w:vAlign w:val="center"/>
          </w:tcPr>
          <w:p w14:paraId="77EC8893">
            <w:pPr>
              <w:pStyle w:val="203"/>
              <w:widowControl w:val="0"/>
              <w:spacing w:line="240" w:lineRule="atLeast"/>
              <w:ind w:left="-120" w:leftChars="-50" w:right="-120" w:rightChars="-50"/>
              <w:rPr>
                <w:rFonts w:hint="default" w:ascii="Times New Roman" w:eastAsia="宋体"/>
                <w:color w:val="auto"/>
                <w:szCs w:val="21"/>
                <w:lang w:val="en-US" w:eastAsia="zh-CN"/>
              </w:rPr>
            </w:pPr>
            <w:r>
              <w:rPr>
                <w:rFonts w:hint="eastAsia" w:ascii="Times New Roman"/>
                <w:color w:val="auto"/>
                <w:szCs w:val="21"/>
                <w:lang w:val="en-US" w:eastAsia="zh-CN"/>
              </w:rPr>
              <w:t>12</w:t>
            </w:r>
          </w:p>
        </w:tc>
        <w:tc>
          <w:tcPr>
            <w:tcW w:w="1337" w:type="pct"/>
            <w:shd w:val="clear" w:color="auto" w:fill="auto"/>
            <w:noWrap w:val="0"/>
            <w:vAlign w:val="top"/>
          </w:tcPr>
          <w:p w14:paraId="7EDA4ECE">
            <w:pPr>
              <w:pStyle w:val="203"/>
              <w:widowControl w:val="0"/>
              <w:spacing w:line="240" w:lineRule="atLeast"/>
              <w:ind w:left="-120" w:leftChars="-50" w:right="-120" w:rightChars="-50"/>
              <w:rPr>
                <w:rFonts w:hint="eastAsia" w:ascii="Times New Roman" w:hAnsi="Times New Roman" w:eastAsia="宋体" w:cs="Times New Roman"/>
                <w:color w:val="auto"/>
                <w:szCs w:val="21"/>
                <w:lang w:val="en-US" w:eastAsia="zh-CN"/>
              </w:rPr>
            </w:pPr>
            <w:r>
              <w:rPr>
                <w:rFonts w:hint="eastAsia" w:ascii="Times New Roman" w:hAnsi="Times New Roman" w:eastAsia="宋体" w:cs="Times New Roman"/>
                <w:color w:val="auto"/>
                <w:szCs w:val="21"/>
              </w:rPr>
              <w:t>造球盘</w:t>
            </w:r>
          </w:p>
        </w:tc>
        <w:tc>
          <w:tcPr>
            <w:tcW w:w="1921" w:type="pct"/>
            <w:shd w:val="clear" w:color="auto" w:fill="auto"/>
            <w:noWrap w:val="0"/>
            <w:vAlign w:val="top"/>
          </w:tcPr>
          <w:p w14:paraId="1151F55E">
            <w:pPr>
              <w:pStyle w:val="203"/>
              <w:widowControl w:val="0"/>
              <w:spacing w:line="240" w:lineRule="atLeast"/>
              <w:ind w:left="-120" w:leftChars="-50" w:right="-120" w:rightChars="-50"/>
              <w:rPr>
                <w:rFonts w:hint="eastAsia" w:ascii="Times New Roman" w:hAnsi="Times New Roman" w:eastAsia="宋体" w:cs="Times New Roman"/>
                <w:color w:val="auto"/>
                <w:szCs w:val="21"/>
                <w:lang w:val="en-US" w:eastAsia="zh-CN"/>
              </w:rPr>
            </w:pPr>
            <w:r>
              <w:rPr>
                <w:rFonts w:hint="eastAsia" w:ascii="Times New Roman" w:hAnsi="Times New Roman" w:eastAsia="宋体" w:cs="Times New Roman"/>
                <w:color w:val="auto"/>
                <w:szCs w:val="21"/>
              </w:rPr>
              <w:t xml:space="preserve"> 60KW</w:t>
            </w:r>
          </w:p>
        </w:tc>
        <w:tc>
          <w:tcPr>
            <w:tcW w:w="670" w:type="pct"/>
            <w:shd w:val="clear" w:color="auto" w:fill="auto"/>
            <w:noWrap w:val="0"/>
            <w:vAlign w:val="top"/>
          </w:tcPr>
          <w:p w14:paraId="48F73E04">
            <w:pPr>
              <w:pStyle w:val="203"/>
              <w:widowControl w:val="0"/>
              <w:spacing w:line="240" w:lineRule="atLeast"/>
              <w:ind w:left="-120" w:leftChars="-50" w:right="-120" w:rightChars="-50"/>
              <w:rPr>
                <w:rFonts w:hint="eastAsia" w:ascii="Times New Roman" w:hAnsi="Times New Roman" w:eastAsia="宋体" w:cs="Times New Roman"/>
                <w:color w:val="auto"/>
                <w:szCs w:val="21"/>
                <w:lang w:val="en-US" w:eastAsia="zh-CN"/>
              </w:rPr>
            </w:pPr>
            <w:r>
              <w:rPr>
                <w:rFonts w:hint="eastAsia" w:ascii="Times New Roman" w:hAnsi="Times New Roman" w:eastAsia="宋体" w:cs="Times New Roman"/>
                <w:color w:val="auto"/>
                <w:szCs w:val="21"/>
              </w:rPr>
              <w:t>2</w:t>
            </w:r>
          </w:p>
        </w:tc>
        <w:tc>
          <w:tcPr>
            <w:tcW w:w="674" w:type="pct"/>
            <w:noWrap w:val="0"/>
            <w:vAlign w:val="top"/>
          </w:tcPr>
          <w:p w14:paraId="5E6C91CB">
            <w:pPr>
              <w:pStyle w:val="203"/>
              <w:widowControl w:val="0"/>
              <w:spacing w:line="240" w:lineRule="atLeast"/>
              <w:ind w:left="-120" w:leftChars="-50" w:right="-120" w:rightChars="-50"/>
              <w:rPr>
                <w:rFonts w:hint="eastAsia" w:ascii="Times New Roman" w:hAnsi="Times New Roman" w:eastAsia="宋体" w:cs="Times New Roman"/>
                <w:color w:val="auto"/>
                <w:szCs w:val="21"/>
                <w:lang w:eastAsia="zh-CN"/>
              </w:rPr>
            </w:pPr>
            <w:r>
              <w:rPr>
                <w:rFonts w:hint="eastAsia" w:ascii="Times New Roman" w:hAnsi="Times New Roman" w:eastAsia="宋体" w:cs="Times New Roman"/>
                <w:color w:val="auto"/>
                <w:szCs w:val="21"/>
                <w:lang w:eastAsia="zh-CN"/>
              </w:rPr>
              <w:t>新增</w:t>
            </w:r>
          </w:p>
        </w:tc>
      </w:tr>
      <w:tr w14:paraId="7E650D71">
        <w:tblPrEx>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96" w:type="pct"/>
            <w:noWrap w:val="0"/>
            <w:vAlign w:val="center"/>
          </w:tcPr>
          <w:p w14:paraId="6B639F21">
            <w:pPr>
              <w:pStyle w:val="203"/>
              <w:widowControl w:val="0"/>
              <w:spacing w:line="240" w:lineRule="atLeast"/>
              <w:ind w:left="-120" w:leftChars="-50" w:right="-120" w:rightChars="-50"/>
              <w:rPr>
                <w:rFonts w:hint="default" w:ascii="Times New Roman" w:eastAsia="宋体"/>
                <w:color w:val="auto"/>
                <w:szCs w:val="21"/>
                <w:lang w:val="en-US" w:eastAsia="zh-CN"/>
              </w:rPr>
            </w:pPr>
            <w:r>
              <w:rPr>
                <w:rFonts w:hint="eastAsia" w:ascii="Times New Roman"/>
                <w:color w:val="auto"/>
                <w:szCs w:val="21"/>
                <w:lang w:val="en-US" w:eastAsia="zh-CN"/>
              </w:rPr>
              <w:t>13</w:t>
            </w:r>
          </w:p>
        </w:tc>
        <w:tc>
          <w:tcPr>
            <w:tcW w:w="1337" w:type="pct"/>
            <w:shd w:val="clear" w:color="auto" w:fill="auto"/>
            <w:noWrap w:val="0"/>
            <w:vAlign w:val="top"/>
          </w:tcPr>
          <w:p w14:paraId="73B0E1F0">
            <w:pPr>
              <w:pStyle w:val="203"/>
              <w:widowControl w:val="0"/>
              <w:spacing w:line="240" w:lineRule="atLeast"/>
              <w:ind w:left="-120" w:leftChars="-50" w:right="-120" w:rightChars="-50"/>
              <w:rPr>
                <w:rFonts w:hint="eastAsia" w:ascii="Times New Roman" w:hAnsi="Times New Roman" w:eastAsia="宋体" w:cs="Times New Roman"/>
                <w:color w:val="auto"/>
                <w:szCs w:val="21"/>
                <w:lang w:val="en-US" w:eastAsia="zh-CN"/>
              </w:rPr>
            </w:pPr>
            <w:r>
              <w:rPr>
                <w:rFonts w:hint="eastAsia" w:ascii="Times New Roman" w:hAnsi="Times New Roman" w:eastAsia="宋体" w:cs="Times New Roman"/>
                <w:color w:val="auto"/>
                <w:szCs w:val="21"/>
              </w:rPr>
              <w:t>生筛</w:t>
            </w:r>
          </w:p>
        </w:tc>
        <w:tc>
          <w:tcPr>
            <w:tcW w:w="1921" w:type="pct"/>
            <w:shd w:val="clear" w:color="auto" w:fill="auto"/>
            <w:noWrap w:val="0"/>
            <w:vAlign w:val="top"/>
          </w:tcPr>
          <w:p w14:paraId="2F3F7880">
            <w:pPr>
              <w:pStyle w:val="203"/>
              <w:widowControl w:val="0"/>
              <w:spacing w:line="240" w:lineRule="atLeast"/>
              <w:ind w:left="-120" w:leftChars="-50" w:right="-120" w:rightChars="-50"/>
              <w:rPr>
                <w:rFonts w:hint="eastAsia" w:ascii="Times New Roman" w:hAnsi="Times New Roman" w:eastAsia="宋体" w:cs="Times New Roman"/>
                <w:color w:val="auto"/>
                <w:szCs w:val="21"/>
                <w:lang w:val="en-US" w:eastAsia="zh-CN"/>
              </w:rPr>
            </w:pPr>
            <w:r>
              <w:rPr>
                <w:rFonts w:hint="eastAsia" w:ascii="Times New Roman" w:hAnsi="Times New Roman" w:eastAsia="宋体" w:cs="Times New Roman"/>
                <w:color w:val="auto"/>
                <w:szCs w:val="21"/>
              </w:rPr>
              <w:t xml:space="preserve"> 15KW变频</w:t>
            </w:r>
          </w:p>
        </w:tc>
        <w:tc>
          <w:tcPr>
            <w:tcW w:w="670" w:type="pct"/>
            <w:shd w:val="clear" w:color="auto" w:fill="auto"/>
            <w:noWrap w:val="0"/>
            <w:vAlign w:val="top"/>
          </w:tcPr>
          <w:p w14:paraId="221E0B0A">
            <w:pPr>
              <w:pStyle w:val="203"/>
              <w:widowControl w:val="0"/>
              <w:spacing w:line="240" w:lineRule="atLeast"/>
              <w:ind w:left="-120" w:leftChars="-50" w:right="-120" w:rightChars="-50"/>
              <w:rPr>
                <w:rFonts w:hint="eastAsia" w:ascii="Times New Roman" w:hAnsi="Times New Roman" w:eastAsia="宋体" w:cs="Times New Roman"/>
                <w:color w:val="auto"/>
                <w:szCs w:val="21"/>
                <w:lang w:val="en-US" w:eastAsia="zh-CN"/>
              </w:rPr>
            </w:pPr>
            <w:r>
              <w:rPr>
                <w:rFonts w:hint="eastAsia" w:ascii="Times New Roman" w:hAnsi="Times New Roman" w:eastAsia="宋体" w:cs="Times New Roman"/>
                <w:color w:val="auto"/>
                <w:szCs w:val="21"/>
              </w:rPr>
              <w:t>1</w:t>
            </w:r>
          </w:p>
        </w:tc>
        <w:tc>
          <w:tcPr>
            <w:tcW w:w="674" w:type="pct"/>
            <w:noWrap w:val="0"/>
            <w:vAlign w:val="top"/>
          </w:tcPr>
          <w:p w14:paraId="2BB49B74">
            <w:pPr>
              <w:pStyle w:val="203"/>
              <w:widowControl w:val="0"/>
              <w:spacing w:line="240" w:lineRule="atLeast"/>
              <w:ind w:left="-120" w:leftChars="-50" w:right="-120" w:rightChars="-50"/>
              <w:rPr>
                <w:rFonts w:hint="eastAsia" w:ascii="Times New Roman" w:hAnsi="Times New Roman" w:eastAsia="宋体" w:cs="Times New Roman"/>
                <w:color w:val="auto"/>
                <w:szCs w:val="21"/>
                <w:lang w:eastAsia="zh-CN"/>
              </w:rPr>
            </w:pPr>
            <w:r>
              <w:rPr>
                <w:rFonts w:hint="eastAsia" w:ascii="Times New Roman" w:hAnsi="Times New Roman" w:eastAsia="宋体" w:cs="Times New Roman"/>
                <w:color w:val="auto"/>
                <w:szCs w:val="21"/>
                <w:lang w:eastAsia="zh-CN"/>
              </w:rPr>
              <w:t>新增</w:t>
            </w:r>
          </w:p>
        </w:tc>
      </w:tr>
      <w:tr w14:paraId="7DE1D0DD">
        <w:tblPrEx>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96" w:type="pct"/>
            <w:noWrap w:val="0"/>
            <w:vAlign w:val="center"/>
          </w:tcPr>
          <w:p w14:paraId="39D77F11">
            <w:pPr>
              <w:pStyle w:val="203"/>
              <w:widowControl w:val="0"/>
              <w:spacing w:line="240" w:lineRule="atLeast"/>
              <w:ind w:left="-120" w:leftChars="-50" w:right="-120" w:rightChars="-50"/>
              <w:rPr>
                <w:rFonts w:hint="default" w:ascii="Times New Roman" w:eastAsia="宋体"/>
                <w:color w:val="auto"/>
                <w:szCs w:val="21"/>
                <w:lang w:val="en-US" w:eastAsia="zh-CN"/>
              </w:rPr>
            </w:pPr>
            <w:r>
              <w:rPr>
                <w:rFonts w:hint="eastAsia" w:ascii="Times New Roman"/>
                <w:color w:val="auto"/>
                <w:szCs w:val="21"/>
                <w:lang w:val="en-US" w:eastAsia="zh-CN"/>
              </w:rPr>
              <w:t>14</w:t>
            </w:r>
          </w:p>
        </w:tc>
        <w:tc>
          <w:tcPr>
            <w:tcW w:w="1337" w:type="pct"/>
            <w:shd w:val="clear" w:color="auto" w:fill="auto"/>
            <w:noWrap w:val="0"/>
            <w:vAlign w:val="top"/>
          </w:tcPr>
          <w:p w14:paraId="685A1223">
            <w:pPr>
              <w:pStyle w:val="203"/>
              <w:widowControl w:val="0"/>
              <w:spacing w:line="240" w:lineRule="atLeast"/>
              <w:ind w:left="-120" w:leftChars="-50" w:right="-120" w:rightChars="-50"/>
              <w:rPr>
                <w:rFonts w:hint="eastAsia" w:ascii="Times New Roman" w:hAnsi="Times New Roman" w:eastAsia="宋体" w:cs="Times New Roman"/>
                <w:color w:val="auto"/>
                <w:szCs w:val="21"/>
                <w:lang w:val="en-US" w:eastAsia="zh-CN"/>
              </w:rPr>
            </w:pPr>
            <w:r>
              <w:rPr>
                <w:rFonts w:hint="eastAsia" w:ascii="Times New Roman" w:hAnsi="Times New Roman" w:eastAsia="宋体" w:cs="Times New Roman"/>
                <w:color w:val="auto"/>
                <w:szCs w:val="21"/>
              </w:rPr>
              <w:t>炉顶布料机</w:t>
            </w:r>
          </w:p>
        </w:tc>
        <w:tc>
          <w:tcPr>
            <w:tcW w:w="1921" w:type="pct"/>
            <w:shd w:val="clear" w:color="auto" w:fill="auto"/>
            <w:noWrap w:val="0"/>
            <w:vAlign w:val="top"/>
          </w:tcPr>
          <w:p w14:paraId="151FF42C">
            <w:pPr>
              <w:pStyle w:val="203"/>
              <w:widowControl w:val="0"/>
              <w:spacing w:line="240" w:lineRule="atLeast"/>
              <w:ind w:left="-120" w:leftChars="-50" w:right="-120" w:rightChars="-50"/>
              <w:rPr>
                <w:rFonts w:hint="eastAsia" w:ascii="Times New Roman" w:hAnsi="Times New Roman" w:eastAsia="宋体" w:cs="Times New Roman"/>
                <w:color w:val="auto"/>
                <w:szCs w:val="21"/>
                <w:lang w:val="en-US" w:eastAsia="zh-CN"/>
              </w:rPr>
            </w:pPr>
            <w:r>
              <w:rPr>
                <w:rFonts w:hint="eastAsia" w:ascii="Times New Roman" w:hAnsi="Times New Roman" w:eastAsia="宋体" w:cs="Times New Roman"/>
                <w:color w:val="auto"/>
                <w:szCs w:val="21"/>
              </w:rPr>
              <w:t xml:space="preserve"> 7.5KW</w:t>
            </w:r>
          </w:p>
        </w:tc>
        <w:tc>
          <w:tcPr>
            <w:tcW w:w="670" w:type="pct"/>
            <w:shd w:val="clear" w:color="auto" w:fill="auto"/>
            <w:noWrap w:val="0"/>
            <w:vAlign w:val="top"/>
          </w:tcPr>
          <w:p w14:paraId="2B119EE5">
            <w:pPr>
              <w:pStyle w:val="203"/>
              <w:widowControl w:val="0"/>
              <w:spacing w:line="240" w:lineRule="atLeast"/>
              <w:ind w:left="-120" w:leftChars="-50" w:right="-120" w:rightChars="-50"/>
              <w:rPr>
                <w:rFonts w:hint="eastAsia" w:ascii="Times New Roman" w:hAnsi="Times New Roman" w:eastAsia="宋体" w:cs="Times New Roman"/>
                <w:color w:val="auto"/>
                <w:szCs w:val="21"/>
                <w:lang w:val="en-US" w:eastAsia="zh-CN"/>
              </w:rPr>
            </w:pPr>
            <w:r>
              <w:rPr>
                <w:rFonts w:hint="eastAsia" w:ascii="Times New Roman" w:hAnsi="Times New Roman" w:eastAsia="宋体" w:cs="Times New Roman"/>
                <w:color w:val="auto"/>
                <w:szCs w:val="21"/>
              </w:rPr>
              <w:t>1</w:t>
            </w:r>
          </w:p>
        </w:tc>
        <w:tc>
          <w:tcPr>
            <w:tcW w:w="674" w:type="pct"/>
            <w:noWrap w:val="0"/>
            <w:vAlign w:val="top"/>
          </w:tcPr>
          <w:p w14:paraId="4BB276C3">
            <w:pPr>
              <w:pStyle w:val="203"/>
              <w:widowControl w:val="0"/>
              <w:spacing w:line="240" w:lineRule="atLeast"/>
              <w:ind w:left="-120" w:leftChars="-50" w:right="-120" w:rightChars="-50"/>
              <w:rPr>
                <w:rFonts w:hint="eastAsia" w:ascii="Times New Roman" w:hAnsi="Times New Roman" w:eastAsia="宋体" w:cs="Times New Roman"/>
                <w:color w:val="auto"/>
                <w:szCs w:val="21"/>
                <w:lang w:eastAsia="zh-CN"/>
              </w:rPr>
            </w:pPr>
            <w:r>
              <w:rPr>
                <w:rFonts w:hint="eastAsia" w:ascii="Times New Roman" w:hAnsi="Times New Roman" w:eastAsia="宋体" w:cs="Times New Roman"/>
                <w:color w:val="auto"/>
                <w:szCs w:val="21"/>
                <w:lang w:eastAsia="zh-CN"/>
              </w:rPr>
              <w:t>新增</w:t>
            </w:r>
          </w:p>
        </w:tc>
      </w:tr>
      <w:tr w14:paraId="6D9E6662">
        <w:tblPrEx>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96" w:type="pct"/>
            <w:noWrap w:val="0"/>
            <w:vAlign w:val="center"/>
          </w:tcPr>
          <w:p w14:paraId="233660CF">
            <w:pPr>
              <w:pStyle w:val="203"/>
              <w:widowControl w:val="0"/>
              <w:spacing w:line="240" w:lineRule="atLeast"/>
              <w:ind w:left="-120" w:leftChars="-50" w:right="-120" w:rightChars="-50"/>
              <w:rPr>
                <w:rFonts w:hint="default" w:ascii="Times New Roman" w:eastAsia="宋体"/>
                <w:color w:val="auto"/>
                <w:szCs w:val="21"/>
                <w:lang w:val="en-US" w:eastAsia="zh-CN"/>
              </w:rPr>
            </w:pPr>
            <w:r>
              <w:rPr>
                <w:rFonts w:hint="eastAsia" w:ascii="Times New Roman"/>
                <w:color w:val="auto"/>
                <w:szCs w:val="21"/>
                <w:lang w:val="en-US" w:eastAsia="zh-CN"/>
              </w:rPr>
              <w:t>15</w:t>
            </w:r>
          </w:p>
        </w:tc>
        <w:tc>
          <w:tcPr>
            <w:tcW w:w="1337" w:type="pct"/>
            <w:shd w:val="clear" w:color="auto" w:fill="auto"/>
            <w:noWrap w:val="0"/>
            <w:vAlign w:val="top"/>
          </w:tcPr>
          <w:p w14:paraId="60A4537F">
            <w:pPr>
              <w:pStyle w:val="203"/>
              <w:widowControl w:val="0"/>
              <w:spacing w:line="240" w:lineRule="atLeast"/>
              <w:ind w:left="-120" w:leftChars="-50" w:right="-120" w:rightChars="-50"/>
              <w:rPr>
                <w:rFonts w:hint="eastAsia" w:ascii="Times New Roman" w:hAnsi="Times New Roman" w:eastAsia="宋体" w:cs="Times New Roman"/>
                <w:color w:val="auto"/>
                <w:szCs w:val="21"/>
                <w:lang w:val="en-US" w:eastAsia="zh-CN"/>
              </w:rPr>
            </w:pPr>
            <w:r>
              <w:rPr>
                <w:rFonts w:hint="eastAsia" w:ascii="Times New Roman" w:hAnsi="Times New Roman" w:eastAsia="宋体" w:cs="Times New Roman"/>
                <w:color w:val="auto"/>
                <w:szCs w:val="21"/>
              </w:rPr>
              <w:t>竖炉排料</w:t>
            </w:r>
          </w:p>
        </w:tc>
        <w:tc>
          <w:tcPr>
            <w:tcW w:w="1921" w:type="pct"/>
            <w:shd w:val="clear" w:color="auto" w:fill="auto"/>
            <w:noWrap w:val="0"/>
            <w:vAlign w:val="top"/>
          </w:tcPr>
          <w:p w14:paraId="17823AC0">
            <w:pPr>
              <w:pStyle w:val="203"/>
              <w:widowControl w:val="0"/>
              <w:spacing w:line="240" w:lineRule="atLeast"/>
              <w:ind w:left="-120" w:leftChars="-50" w:right="-120" w:rightChars="-50"/>
              <w:rPr>
                <w:rFonts w:hint="eastAsia" w:ascii="Times New Roman" w:hAnsi="Times New Roman" w:eastAsia="宋体" w:cs="Times New Roman"/>
                <w:color w:val="auto"/>
                <w:szCs w:val="21"/>
                <w:lang w:val="en-US" w:eastAsia="zh-CN"/>
              </w:rPr>
            </w:pPr>
            <w:r>
              <w:rPr>
                <w:rFonts w:hint="eastAsia" w:ascii="Times New Roman" w:hAnsi="Times New Roman" w:eastAsia="宋体" w:cs="Times New Roman"/>
                <w:color w:val="auto"/>
                <w:szCs w:val="21"/>
              </w:rPr>
              <w:t>22.5KW</w:t>
            </w:r>
          </w:p>
        </w:tc>
        <w:tc>
          <w:tcPr>
            <w:tcW w:w="670" w:type="pct"/>
            <w:shd w:val="clear" w:color="auto" w:fill="auto"/>
            <w:noWrap w:val="0"/>
            <w:vAlign w:val="top"/>
          </w:tcPr>
          <w:p w14:paraId="6A030A1C">
            <w:pPr>
              <w:pStyle w:val="203"/>
              <w:widowControl w:val="0"/>
              <w:spacing w:line="240" w:lineRule="atLeast"/>
              <w:ind w:left="-120" w:leftChars="-50" w:right="-120" w:rightChars="-50"/>
              <w:rPr>
                <w:rFonts w:hint="eastAsia" w:ascii="Times New Roman" w:hAnsi="Times New Roman" w:eastAsia="宋体" w:cs="Times New Roman"/>
                <w:color w:val="auto"/>
                <w:szCs w:val="21"/>
                <w:lang w:val="en-US" w:eastAsia="zh-CN"/>
              </w:rPr>
            </w:pPr>
            <w:r>
              <w:rPr>
                <w:rFonts w:hint="eastAsia" w:ascii="Times New Roman" w:hAnsi="Times New Roman" w:eastAsia="宋体" w:cs="Times New Roman"/>
                <w:color w:val="auto"/>
                <w:szCs w:val="21"/>
              </w:rPr>
              <w:t>1</w:t>
            </w:r>
          </w:p>
        </w:tc>
        <w:tc>
          <w:tcPr>
            <w:tcW w:w="674" w:type="pct"/>
            <w:noWrap w:val="0"/>
            <w:vAlign w:val="top"/>
          </w:tcPr>
          <w:p w14:paraId="5C869FD7">
            <w:pPr>
              <w:pStyle w:val="203"/>
              <w:widowControl w:val="0"/>
              <w:spacing w:line="240" w:lineRule="atLeast"/>
              <w:ind w:left="-120" w:leftChars="-50" w:right="-120" w:rightChars="-50"/>
              <w:rPr>
                <w:rFonts w:hint="eastAsia" w:ascii="Times New Roman" w:hAnsi="Times New Roman" w:eastAsia="宋体" w:cs="Times New Roman"/>
                <w:color w:val="auto"/>
                <w:szCs w:val="21"/>
                <w:lang w:eastAsia="zh-CN"/>
              </w:rPr>
            </w:pPr>
            <w:r>
              <w:rPr>
                <w:rFonts w:hint="eastAsia" w:ascii="Times New Roman" w:hAnsi="Times New Roman" w:eastAsia="宋体" w:cs="Times New Roman"/>
                <w:color w:val="auto"/>
                <w:szCs w:val="21"/>
                <w:lang w:eastAsia="zh-CN"/>
              </w:rPr>
              <w:t>新增</w:t>
            </w:r>
          </w:p>
        </w:tc>
      </w:tr>
      <w:tr w14:paraId="7F4FD623">
        <w:tblPrEx>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96" w:type="pct"/>
            <w:noWrap w:val="0"/>
            <w:vAlign w:val="center"/>
          </w:tcPr>
          <w:p w14:paraId="5493B0FB">
            <w:pPr>
              <w:pStyle w:val="203"/>
              <w:widowControl w:val="0"/>
              <w:spacing w:line="240" w:lineRule="atLeast"/>
              <w:ind w:left="-120" w:leftChars="-50" w:right="-120" w:rightChars="-50"/>
              <w:rPr>
                <w:rFonts w:hint="default" w:ascii="Times New Roman" w:eastAsia="宋体"/>
                <w:color w:val="auto"/>
                <w:szCs w:val="21"/>
                <w:lang w:val="en-US" w:eastAsia="zh-CN"/>
              </w:rPr>
            </w:pPr>
            <w:r>
              <w:rPr>
                <w:rFonts w:hint="eastAsia" w:ascii="Times New Roman"/>
                <w:color w:val="auto"/>
                <w:szCs w:val="21"/>
                <w:lang w:val="en-US" w:eastAsia="zh-CN"/>
              </w:rPr>
              <w:t>16</w:t>
            </w:r>
          </w:p>
        </w:tc>
        <w:tc>
          <w:tcPr>
            <w:tcW w:w="1337" w:type="pct"/>
            <w:shd w:val="clear" w:color="auto" w:fill="auto"/>
            <w:noWrap w:val="0"/>
            <w:vAlign w:val="top"/>
          </w:tcPr>
          <w:p w14:paraId="1A6D5EEC">
            <w:pPr>
              <w:pStyle w:val="203"/>
              <w:widowControl w:val="0"/>
              <w:spacing w:line="240" w:lineRule="atLeast"/>
              <w:ind w:left="-120" w:leftChars="-50" w:right="-120" w:rightChars="-50"/>
              <w:rPr>
                <w:rFonts w:hint="eastAsia" w:ascii="Times New Roman" w:hAnsi="Times New Roman" w:eastAsia="宋体" w:cs="Times New Roman"/>
                <w:color w:val="auto"/>
                <w:szCs w:val="21"/>
                <w:lang w:val="en-US" w:eastAsia="zh-CN"/>
              </w:rPr>
            </w:pPr>
            <w:r>
              <w:rPr>
                <w:rFonts w:hint="eastAsia" w:ascii="Times New Roman" w:hAnsi="Times New Roman" w:eastAsia="宋体" w:cs="Times New Roman"/>
                <w:color w:val="auto"/>
                <w:szCs w:val="21"/>
              </w:rPr>
              <w:t>竖炉助燃风机</w:t>
            </w:r>
          </w:p>
        </w:tc>
        <w:tc>
          <w:tcPr>
            <w:tcW w:w="1921" w:type="pct"/>
            <w:shd w:val="clear" w:color="auto" w:fill="auto"/>
            <w:noWrap w:val="0"/>
            <w:vAlign w:val="top"/>
          </w:tcPr>
          <w:p w14:paraId="46674703">
            <w:pPr>
              <w:pStyle w:val="203"/>
              <w:widowControl w:val="0"/>
              <w:spacing w:line="240" w:lineRule="atLeast"/>
              <w:ind w:left="-120" w:leftChars="-50" w:right="-120" w:rightChars="-50"/>
              <w:rPr>
                <w:rFonts w:hint="eastAsia" w:ascii="Times New Roman" w:hAnsi="Times New Roman" w:eastAsia="宋体" w:cs="Times New Roman"/>
                <w:color w:val="auto"/>
                <w:szCs w:val="21"/>
                <w:lang w:val="en-US" w:eastAsia="zh-CN"/>
              </w:rPr>
            </w:pPr>
            <w:r>
              <w:rPr>
                <w:rFonts w:hint="eastAsia" w:ascii="Times New Roman" w:hAnsi="Times New Roman" w:eastAsia="宋体" w:cs="Times New Roman"/>
                <w:color w:val="auto"/>
                <w:szCs w:val="21"/>
              </w:rPr>
              <w:t>37KW</w:t>
            </w:r>
          </w:p>
        </w:tc>
        <w:tc>
          <w:tcPr>
            <w:tcW w:w="670" w:type="pct"/>
            <w:shd w:val="clear" w:color="auto" w:fill="auto"/>
            <w:noWrap w:val="0"/>
            <w:vAlign w:val="top"/>
          </w:tcPr>
          <w:p w14:paraId="3B9B9074">
            <w:pPr>
              <w:pStyle w:val="203"/>
              <w:widowControl w:val="0"/>
              <w:spacing w:line="240" w:lineRule="atLeast"/>
              <w:ind w:left="-120" w:leftChars="-50" w:right="-120" w:rightChars="-50"/>
              <w:rPr>
                <w:rFonts w:hint="eastAsia" w:ascii="Times New Roman" w:hAnsi="Times New Roman" w:eastAsia="宋体" w:cs="Times New Roman"/>
                <w:color w:val="auto"/>
                <w:szCs w:val="21"/>
                <w:lang w:val="en-US" w:eastAsia="zh-CN"/>
              </w:rPr>
            </w:pPr>
            <w:r>
              <w:rPr>
                <w:rFonts w:hint="eastAsia" w:ascii="Times New Roman" w:hAnsi="Times New Roman" w:eastAsia="宋体" w:cs="Times New Roman"/>
                <w:color w:val="auto"/>
                <w:szCs w:val="21"/>
              </w:rPr>
              <w:t>1</w:t>
            </w:r>
          </w:p>
        </w:tc>
        <w:tc>
          <w:tcPr>
            <w:tcW w:w="674" w:type="pct"/>
            <w:noWrap w:val="0"/>
            <w:vAlign w:val="top"/>
          </w:tcPr>
          <w:p w14:paraId="10E6814A">
            <w:pPr>
              <w:pStyle w:val="203"/>
              <w:widowControl w:val="0"/>
              <w:spacing w:line="240" w:lineRule="atLeast"/>
              <w:ind w:left="-120" w:leftChars="-50" w:right="-120" w:rightChars="-50"/>
              <w:rPr>
                <w:rFonts w:hint="eastAsia" w:ascii="Times New Roman" w:hAnsi="Times New Roman" w:eastAsia="宋体" w:cs="Times New Roman"/>
                <w:color w:val="auto"/>
                <w:szCs w:val="21"/>
                <w:lang w:eastAsia="zh-CN"/>
              </w:rPr>
            </w:pPr>
            <w:r>
              <w:rPr>
                <w:rFonts w:hint="eastAsia" w:ascii="Times New Roman" w:hAnsi="Times New Roman" w:eastAsia="宋体" w:cs="Times New Roman"/>
                <w:color w:val="auto"/>
                <w:szCs w:val="21"/>
                <w:lang w:eastAsia="zh-CN"/>
              </w:rPr>
              <w:t>新增</w:t>
            </w:r>
          </w:p>
        </w:tc>
      </w:tr>
      <w:tr w14:paraId="224F13BC">
        <w:tblPrEx>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96" w:type="pct"/>
            <w:noWrap w:val="0"/>
            <w:vAlign w:val="center"/>
          </w:tcPr>
          <w:p w14:paraId="4786199B">
            <w:pPr>
              <w:pStyle w:val="203"/>
              <w:widowControl w:val="0"/>
              <w:spacing w:line="240" w:lineRule="atLeast"/>
              <w:ind w:left="-120" w:leftChars="-50" w:right="-120" w:rightChars="-50"/>
              <w:rPr>
                <w:rFonts w:hint="default" w:ascii="Times New Roman" w:eastAsia="宋体"/>
                <w:color w:val="auto"/>
                <w:szCs w:val="21"/>
                <w:lang w:val="en-US" w:eastAsia="zh-CN"/>
              </w:rPr>
            </w:pPr>
            <w:r>
              <w:rPr>
                <w:rFonts w:hint="eastAsia" w:ascii="Times New Roman"/>
                <w:color w:val="auto"/>
                <w:szCs w:val="21"/>
                <w:lang w:val="en-US" w:eastAsia="zh-CN"/>
              </w:rPr>
              <w:t>17</w:t>
            </w:r>
          </w:p>
        </w:tc>
        <w:tc>
          <w:tcPr>
            <w:tcW w:w="1337" w:type="pct"/>
            <w:shd w:val="clear" w:color="auto" w:fill="auto"/>
            <w:noWrap w:val="0"/>
            <w:vAlign w:val="top"/>
          </w:tcPr>
          <w:p w14:paraId="7C0E094A">
            <w:pPr>
              <w:pStyle w:val="203"/>
              <w:widowControl w:val="0"/>
              <w:spacing w:line="240" w:lineRule="atLeast"/>
              <w:ind w:left="-120" w:leftChars="-50" w:right="-120" w:rightChars="-50"/>
              <w:rPr>
                <w:rFonts w:hint="eastAsia" w:ascii="Times New Roman" w:hAnsi="Times New Roman" w:eastAsia="宋体" w:cs="Times New Roman"/>
                <w:color w:val="auto"/>
                <w:szCs w:val="21"/>
                <w:lang w:val="en-US" w:eastAsia="zh-CN"/>
              </w:rPr>
            </w:pPr>
            <w:r>
              <w:rPr>
                <w:rFonts w:hint="eastAsia" w:ascii="Times New Roman" w:hAnsi="Times New Roman" w:eastAsia="宋体" w:cs="Times New Roman"/>
                <w:color w:val="auto"/>
                <w:szCs w:val="21"/>
              </w:rPr>
              <w:t>竖炉窑上料机</w:t>
            </w:r>
          </w:p>
        </w:tc>
        <w:tc>
          <w:tcPr>
            <w:tcW w:w="1921" w:type="pct"/>
            <w:shd w:val="clear" w:color="auto" w:fill="auto"/>
            <w:noWrap w:val="0"/>
            <w:vAlign w:val="top"/>
          </w:tcPr>
          <w:p w14:paraId="7989D180">
            <w:pPr>
              <w:pStyle w:val="203"/>
              <w:widowControl w:val="0"/>
              <w:spacing w:line="240" w:lineRule="atLeast"/>
              <w:ind w:left="-120" w:leftChars="-50" w:right="-120" w:rightChars="-50"/>
              <w:rPr>
                <w:rFonts w:hint="eastAsia" w:ascii="Times New Roman" w:hAnsi="Times New Roman" w:eastAsia="宋体" w:cs="Times New Roman"/>
                <w:color w:val="auto"/>
                <w:szCs w:val="21"/>
                <w:lang w:val="en-US" w:eastAsia="zh-CN"/>
              </w:rPr>
            </w:pPr>
            <w:r>
              <w:rPr>
                <w:rFonts w:hint="eastAsia" w:ascii="Times New Roman" w:hAnsi="Times New Roman" w:eastAsia="宋体" w:cs="Times New Roman"/>
                <w:color w:val="auto"/>
                <w:szCs w:val="21"/>
              </w:rPr>
              <w:t>30KW</w:t>
            </w:r>
          </w:p>
        </w:tc>
        <w:tc>
          <w:tcPr>
            <w:tcW w:w="670" w:type="pct"/>
            <w:shd w:val="clear" w:color="auto" w:fill="auto"/>
            <w:noWrap w:val="0"/>
            <w:vAlign w:val="top"/>
          </w:tcPr>
          <w:p w14:paraId="16E2112C">
            <w:pPr>
              <w:pStyle w:val="203"/>
              <w:widowControl w:val="0"/>
              <w:spacing w:line="240" w:lineRule="atLeast"/>
              <w:ind w:left="-120" w:leftChars="-50" w:right="-120" w:rightChars="-50"/>
              <w:rPr>
                <w:rFonts w:hint="eastAsia" w:ascii="Times New Roman" w:hAnsi="Times New Roman" w:eastAsia="宋体" w:cs="Times New Roman"/>
                <w:color w:val="auto"/>
                <w:szCs w:val="21"/>
                <w:lang w:val="en-US" w:eastAsia="zh-CN"/>
              </w:rPr>
            </w:pPr>
            <w:r>
              <w:rPr>
                <w:rFonts w:hint="eastAsia" w:ascii="Times New Roman" w:hAnsi="Times New Roman" w:eastAsia="宋体" w:cs="Times New Roman"/>
                <w:color w:val="auto"/>
                <w:szCs w:val="21"/>
              </w:rPr>
              <w:t>1</w:t>
            </w:r>
          </w:p>
        </w:tc>
        <w:tc>
          <w:tcPr>
            <w:tcW w:w="674" w:type="pct"/>
            <w:noWrap w:val="0"/>
            <w:vAlign w:val="top"/>
          </w:tcPr>
          <w:p w14:paraId="21F723E0">
            <w:pPr>
              <w:pStyle w:val="203"/>
              <w:widowControl w:val="0"/>
              <w:spacing w:line="240" w:lineRule="atLeast"/>
              <w:ind w:left="-120" w:leftChars="-50" w:right="-120" w:rightChars="-50"/>
              <w:rPr>
                <w:rFonts w:hint="eastAsia" w:ascii="Times New Roman" w:hAnsi="Times New Roman" w:eastAsia="宋体" w:cs="Times New Roman"/>
                <w:color w:val="auto"/>
                <w:szCs w:val="21"/>
                <w:lang w:eastAsia="zh-CN"/>
              </w:rPr>
            </w:pPr>
            <w:r>
              <w:rPr>
                <w:rFonts w:hint="eastAsia" w:ascii="Times New Roman" w:hAnsi="Times New Roman" w:eastAsia="宋体" w:cs="Times New Roman"/>
                <w:color w:val="auto"/>
                <w:szCs w:val="21"/>
                <w:lang w:eastAsia="zh-CN"/>
              </w:rPr>
              <w:t>新增</w:t>
            </w:r>
          </w:p>
        </w:tc>
      </w:tr>
      <w:tr w14:paraId="62CBB375">
        <w:tblPrEx>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96" w:type="pct"/>
            <w:noWrap w:val="0"/>
            <w:vAlign w:val="center"/>
          </w:tcPr>
          <w:p w14:paraId="4B80E356">
            <w:pPr>
              <w:pStyle w:val="203"/>
              <w:widowControl w:val="0"/>
              <w:spacing w:line="240" w:lineRule="atLeast"/>
              <w:ind w:left="-120" w:leftChars="-50" w:right="-120" w:rightChars="-50"/>
              <w:rPr>
                <w:rFonts w:hint="default" w:ascii="Times New Roman" w:eastAsia="宋体"/>
                <w:color w:val="auto"/>
                <w:szCs w:val="21"/>
                <w:lang w:val="en-US" w:eastAsia="zh-CN"/>
              </w:rPr>
            </w:pPr>
            <w:r>
              <w:rPr>
                <w:rFonts w:hint="eastAsia" w:ascii="Times New Roman"/>
                <w:color w:val="auto"/>
                <w:szCs w:val="21"/>
                <w:lang w:val="en-US" w:eastAsia="zh-CN"/>
              </w:rPr>
              <w:t>18</w:t>
            </w:r>
          </w:p>
        </w:tc>
        <w:tc>
          <w:tcPr>
            <w:tcW w:w="1337" w:type="pct"/>
            <w:shd w:val="clear" w:color="auto" w:fill="auto"/>
            <w:noWrap w:val="0"/>
            <w:vAlign w:val="top"/>
          </w:tcPr>
          <w:p w14:paraId="43F15527">
            <w:pPr>
              <w:pStyle w:val="203"/>
              <w:widowControl w:val="0"/>
              <w:spacing w:line="240" w:lineRule="atLeast"/>
              <w:ind w:left="-120" w:leftChars="-50" w:right="-120" w:rightChars="-50"/>
              <w:rPr>
                <w:rFonts w:hint="eastAsia" w:ascii="Times New Roman" w:hAnsi="Times New Roman" w:eastAsia="宋体" w:cs="Times New Roman"/>
                <w:color w:val="auto"/>
                <w:szCs w:val="21"/>
                <w:lang w:val="en-US" w:eastAsia="zh-CN"/>
              </w:rPr>
            </w:pPr>
            <w:r>
              <w:rPr>
                <w:rFonts w:hint="eastAsia" w:ascii="Times New Roman" w:hAnsi="Times New Roman" w:eastAsia="宋体" w:cs="Times New Roman"/>
                <w:color w:val="auto"/>
                <w:szCs w:val="21"/>
              </w:rPr>
              <w:t>振动给料机</w:t>
            </w:r>
          </w:p>
        </w:tc>
        <w:tc>
          <w:tcPr>
            <w:tcW w:w="1921" w:type="pct"/>
            <w:shd w:val="clear" w:color="auto" w:fill="auto"/>
            <w:noWrap w:val="0"/>
            <w:vAlign w:val="top"/>
          </w:tcPr>
          <w:p w14:paraId="6979BFF9">
            <w:pPr>
              <w:pStyle w:val="203"/>
              <w:widowControl w:val="0"/>
              <w:spacing w:line="240" w:lineRule="atLeast"/>
              <w:ind w:left="-120" w:leftChars="-50" w:right="-120" w:rightChars="-50"/>
              <w:rPr>
                <w:rFonts w:hint="eastAsia" w:ascii="Times New Roman" w:hAnsi="Times New Roman" w:eastAsia="宋体" w:cs="Times New Roman"/>
                <w:color w:val="auto"/>
                <w:szCs w:val="21"/>
                <w:lang w:val="en-US" w:eastAsia="zh-CN"/>
              </w:rPr>
            </w:pPr>
            <w:r>
              <w:rPr>
                <w:rFonts w:hint="eastAsia" w:ascii="Times New Roman" w:hAnsi="Times New Roman" w:eastAsia="宋体" w:cs="Times New Roman"/>
                <w:color w:val="auto"/>
                <w:szCs w:val="21"/>
              </w:rPr>
              <w:t>7.5KW</w:t>
            </w:r>
          </w:p>
        </w:tc>
        <w:tc>
          <w:tcPr>
            <w:tcW w:w="670" w:type="pct"/>
            <w:shd w:val="clear" w:color="auto" w:fill="auto"/>
            <w:noWrap w:val="0"/>
            <w:vAlign w:val="top"/>
          </w:tcPr>
          <w:p w14:paraId="7511F343">
            <w:pPr>
              <w:pStyle w:val="203"/>
              <w:widowControl w:val="0"/>
              <w:spacing w:line="240" w:lineRule="atLeast"/>
              <w:ind w:left="-120" w:leftChars="-50" w:right="-120" w:rightChars="-50"/>
              <w:rPr>
                <w:rFonts w:hint="eastAsia" w:ascii="Times New Roman" w:hAnsi="Times New Roman" w:eastAsia="宋体" w:cs="Times New Roman"/>
                <w:color w:val="auto"/>
                <w:szCs w:val="21"/>
                <w:lang w:val="en-US" w:eastAsia="zh-CN"/>
              </w:rPr>
            </w:pPr>
            <w:r>
              <w:rPr>
                <w:rFonts w:hint="eastAsia" w:ascii="Times New Roman" w:hAnsi="Times New Roman" w:eastAsia="宋体" w:cs="Times New Roman"/>
                <w:color w:val="auto"/>
                <w:szCs w:val="21"/>
              </w:rPr>
              <w:t>1</w:t>
            </w:r>
          </w:p>
        </w:tc>
        <w:tc>
          <w:tcPr>
            <w:tcW w:w="674" w:type="pct"/>
            <w:noWrap w:val="0"/>
            <w:vAlign w:val="top"/>
          </w:tcPr>
          <w:p w14:paraId="534D0C27">
            <w:pPr>
              <w:pStyle w:val="203"/>
              <w:widowControl w:val="0"/>
              <w:spacing w:line="240" w:lineRule="atLeast"/>
              <w:ind w:left="-120" w:leftChars="-50" w:right="-120" w:rightChars="-50"/>
              <w:rPr>
                <w:rFonts w:hint="eastAsia" w:ascii="Times New Roman" w:hAnsi="Times New Roman" w:eastAsia="宋体" w:cs="Times New Roman"/>
                <w:color w:val="auto"/>
                <w:szCs w:val="21"/>
                <w:lang w:eastAsia="zh-CN"/>
              </w:rPr>
            </w:pPr>
            <w:r>
              <w:rPr>
                <w:rFonts w:hint="eastAsia" w:ascii="Times New Roman" w:hAnsi="Times New Roman" w:eastAsia="宋体" w:cs="Times New Roman"/>
                <w:color w:val="auto"/>
                <w:szCs w:val="21"/>
                <w:lang w:eastAsia="zh-CN"/>
              </w:rPr>
              <w:t>新增</w:t>
            </w:r>
          </w:p>
        </w:tc>
      </w:tr>
      <w:tr w14:paraId="7E7A7A7A">
        <w:tblPrEx>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96" w:type="pct"/>
            <w:noWrap w:val="0"/>
            <w:vAlign w:val="center"/>
          </w:tcPr>
          <w:p w14:paraId="0C27E84F">
            <w:pPr>
              <w:pStyle w:val="203"/>
              <w:widowControl w:val="0"/>
              <w:spacing w:line="240" w:lineRule="atLeast"/>
              <w:ind w:left="-120" w:leftChars="-50" w:right="-120" w:rightChars="-50"/>
              <w:rPr>
                <w:rFonts w:hint="default" w:ascii="Times New Roman" w:eastAsia="宋体"/>
                <w:color w:val="auto"/>
                <w:szCs w:val="21"/>
                <w:lang w:val="en-US" w:eastAsia="zh-CN"/>
              </w:rPr>
            </w:pPr>
            <w:r>
              <w:rPr>
                <w:rFonts w:hint="eastAsia" w:ascii="Times New Roman"/>
                <w:color w:val="auto"/>
                <w:szCs w:val="21"/>
                <w:lang w:val="en-US" w:eastAsia="zh-CN"/>
              </w:rPr>
              <w:t>19</w:t>
            </w:r>
          </w:p>
        </w:tc>
        <w:tc>
          <w:tcPr>
            <w:tcW w:w="1337" w:type="pct"/>
            <w:shd w:val="clear" w:color="auto" w:fill="auto"/>
            <w:noWrap w:val="0"/>
            <w:vAlign w:val="top"/>
          </w:tcPr>
          <w:p w14:paraId="18317123">
            <w:pPr>
              <w:pStyle w:val="203"/>
              <w:widowControl w:val="0"/>
              <w:spacing w:line="240" w:lineRule="atLeast"/>
              <w:ind w:left="-120" w:leftChars="-50" w:right="-120" w:rightChars="-50"/>
              <w:rPr>
                <w:rFonts w:hint="eastAsia" w:ascii="Times New Roman" w:hAnsi="Times New Roman" w:eastAsia="宋体" w:cs="Times New Roman"/>
                <w:color w:val="auto"/>
                <w:szCs w:val="21"/>
                <w:lang w:val="en-US" w:eastAsia="zh-CN"/>
              </w:rPr>
            </w:pPr>
            <w:r>
              <w:rPr>
                <w:rFonts w:hint="eastAsia" w:ascii="Times New Roman" w:hAnsi="Times New Roman" w:eastAsia="宋体" w:cs="Times New Roman"/>
                <w:color w:val="auto"/>
                <w:szCs w:val="21"/>
              </w:rPr>
              <w:t>大倾角皮带机</w:t>
            </w:r>
          </w:p>
        </w:tc>
        <w:tc>
          <w:tcPr>
            <w:tcW w:w="1921" w:type="pct"/>
            <w:shd w:val="clear" w:color="auto" w:fill="auto"/>
            <w:noWrap w:val="0"/>
            <w:vAlign w:val="top"/>
          </w:tcPr>
          <w:p w14:paraId="64D52FE1">
            <w:pPr>
              <w:pStyle w:val="203"/>
              <w:widowControl w:val="0"/>
              <w:spacing w:line="240" w:lineRule="atLeast"/>
              <w:ind w:left="-120" w:leftChars="-50" w:right="-120" w:rightChars="-50"/>
              <w:rPr>
                <w:rFonts w:hint="eastAsia" w:ascii="Times New Roman" w:hAnsi="Times New Roman" w:eastAsia="宋体" w:cs="Times New Roman"/>
                <w:color w:val="auto"/>
                <w:szCs w:val="21"/>
                <w:lang w:val="en-US" w:eastAsia="zh-CN"/>
              </w:rPr>
            </w:pPr>
            <w:r>
              <w:rPr>
                <w:rFonts w:hint="eastAsia" w:ascii="Times New Roman" w:hAnsi="Times New Roman" w:eastAsia="宋体" w:cs="Times New Roman"/>
                <w:color w:val="auto"/>
                <w:szCs w:val="21"/>
              </w:rPr>
              <w:t>15KW</w:t>
            </w:r>
          </w:p>
        </w:tc>
        <w:tc>
          <w:tcPr>
            <w:tcW w:w="670" w:type="pct"/>
            <w:shd w:val="clear" w:color="auto" w:fill="auto"/>
            <w:noWrap w:val="0"/>
            <w:vAlign w:val="top"/>
          </w:tcPr>
          <w:p w14:paraId="093D8512">
            <w:pPr>
              <w:pStyle w:val="203"/>
              <w:widowControl w:val="0"/>
              <w:spacing w:line="240" w:lineRule="atLeast"/>
              <w:ind w:left="-120" w:leftChars="-50" w:right="-120" w:rightChars="-50"/>
              <w:rPr>
                <w:rFonts w:hint="eastAsia" w:ascii="Times New Roman" w:hAnsi="Times New Roman" w:eastAsia="宋体" w:cs="Times New Roman"/>
                <w:color w:val="auto"/>
                <w:szCs w:val="21"/>
                <w:lang w:val="en-US" w:eastAsia="zh-CN"/>
              </w:rPr>
            </w:pPr>
            <w:r>
              <w:rPr>
                <w:rFonts w:hint="eastAsia" w:ascii="Times New Roman" w:hAnsi="Times New Roman" w:eastAsia="宋体" w:cs="Times New Roman"/>
                <w:color w:val="auto"/>
                <w:szCs w:val="21"/>
              </w:rPr>
              <w:t>1</w:t>
            </w:r>
          </w:p>
        </w:tc>
        <w:tc>
          <w:tcPr>
            <w:tcW w:w="674" w:type="pct"/>
            <w:noWrap w:val="0"/>
            <w:vAlign w:val="top"/>
          </w:tcPr>
          <w:p w14:paraId="68A1CB92">
            <w:pPr>
              <w:pStyle w:val="203"/>
              <w:widowControl w:val="0"/>
              <w:spacing w:line="240" w:lineRule="atLeast"/>
              <w:ind w:left="-120" w:leftChars="-50" w:right="-120" w:rightChars="-50"/>
              <w:rPr>
                <w:rFonts w:hint="eastAsia" w:ascii="Times New Roman" w:hAnsi="Times New Roman" w:eastAsia="宋体" w:cs="Times New Roman"/>
                <w:color w:val="auto"/>
                <w:szCs w:val="21"/>
                <w:lang w:eastAsia="zh-CN"/>
              </w:rPr>
            </w:pPr>
            <w:r>
              <w:rPr>
                <w:rFonts w:hint="eastAsia" w:ascii="Times New Roman" w:hAnsi="Times New Roman" w:eastAsia="宋体" w:cs="Times New Roman"/>
                <w:color w:val="auto"/>
                <w:szCs w:val="21"/>
                <w:lang w:eastAsia="zh-CN"/>
              </w:rPr>
              <w:t>新增</w:t>
            </w:r>
          </w:p>
        </w:tc>
      </w:tr>
      <w:tr w14:paraId="758963C1">
        <w:tblPrEx>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96" w:type="pct"/>
            <w:noWrap w:val="0"/>
            <w:vAlign w:val="center"/>
          </w:tcPr>
          <w:p w14:paraId="1D83430D">
            <w:pPr>
              <w:pStyle w:val="203"/>
              <w:widowControl w:val="0"/>
              <w:spacing w:line="240" w:lineRule="atLeast"/>
              <w:ind w:left="-120" w:leftChars="-50" w:right="-120" w:rightChars="-50"/>
              <w:rPr>
                <w:rFonts w:hint="default" w:ascii="Times New Roman" w:eastAsia="宋体"/>
                <w:color w:val="auto"/>
                <w:szCs w:val="21"/>
                <w:lang w:val="en-US" w:eastAsia="zh-CN"/>
              </w:rPr>
            </w:pPr>
            <w:r>
              <w:rPr>
                <w:rFonts w:hint="eastAsia" w:ascii="Times New Roman"/>
                <w:color w:val="auto"/>
                <w:szCs w:val="21"/>
                <w:lang w:val="en-US" w:eastAsia="zh-CN"/>
              </w:rPr>
              <w:t>20</w:t>
            </w:r>
          </w:p>
        </w:tc>
        <w:tc>
          <w:tcPr>
            <w:tcW w:w="1337" w:type="pct"/>
            <w:shd w:val="clear" w:color="auto" w:fill="auto"/>
            <w:noWrap w:val="0"/>
            <w:vAlign w:val="top"/>
          </w:tcPr>
          <w:p w14:paraId="1969B5C4">
            <w:pPr>
              <w:pStyle w:val="203"/>
              <w:widowControl w:val="0"/>
              <w:spacing w:line="240" w:lineRule="atLeast"/>
              <w:ind w:left="-120" w:leftChars="-50" w:right="-120" w:rightChars="-50"/>
              <w:rPr>
                <w:rFonts w:hint="eastAsia" w:ascii="Times New Roman" w:hAnsi="Times New Roman" w:eastAsia="宋体" w:cs="Times New Roman"/>
                <w:color w:val="auto"/>
                <w:szCs w:val="21"/>
                <w:lang w:val="en-US" w:eastAsia="zh-CN"/>
              </w:rPr>
            </w:pPr>
            <w:r>
              <w:rPr>
                <w:rFonts w:hint="eastAsia" w:ascii="Times New Roman" w:hAnsi="Times New Roman" w:eastAsia="宋体" w:cs="Times New Roman"/>
                <w:color w:val="auto"/>
                <w:szCs w:val="21"/>
              </w:rPr>
              <w:t>板链提升机</w:t>
            </w:r>
          </w:p>
        </w:tc>
        <w:tc>
          <w:tcPr>
            <w:tcW w:w="1921" w:type="pct"/>
            <w:shd w:val="clear" w:color="auto" w:fill="auto"/>
            <w:noWrap w:val="0"/>
            <w:vAlign w:val="top"/>
          </w:tcPr>
          <w:p w14:paraId="778567CB">
            <w:pPr>
              <w:pStyle w:val="203"/>
              <w:widowControl w:val="0"/>
              <w:spacing w:line="240" w:lineRule="atLeast"/>
              <w:ind w:left="-120" w:leftChars="-50" w:right="-120" w:rightChars="-50"/>
              <w:rPr>
                <w:rFonts w:hint="eastAsia" w:ascii="Times New Roman" w:hAnsi="Times New Roman" w:eastAsia="宋体" w:cs="Times New Roman"/>
                <w:color w:val="auto"/>
                <w:szCs w:val="21"/>
                <w:lang w:val="en-US" w:eastAsia="zh-CN"/>
              </w:rPr>
            </w:pPr>
            <w:r>
              <w:rPr>
                <w:rFonts w:hint="eastAsia" w:ascii="Times New Roman" w:hAnsi="Times New Roman" w:eastAsia="宋体" w:cs="Times New Roman"/>
                <w:color w:val="auto"/>
                <w:szCs w:val="21"/>
              </w:rPr>
              <w:t>22KW</w:t>
            </w:r>
          </w:p>
        </w:tc>
        <w:tc>
          <w:tcPr>
            <w:tcW w:w="670" w:type="pct"/>
            <w:shd w:val="clear" w:color="auto" w:fill="auto"/>
            <w:noWrap w:val="0"/>
            <w:vAlign w:val="top"/>
          </w:tcPr>
          <w:p w14:paraId="18785080">
            <w:pPr>
              <w:pStyle w:val="203"/>
              <w:widowControl w:val="0"/>
              <w:spacing w:line="240" w:lineRule="atLeast"/>
              <w:ind w:left="-120" w:leftChars="-50" w:right="-120" w:rightChars="-50"/>
              <w:rPr>
                <w:rFonts w:hint="eastAsia" w:ascii="Times New Roman" w:hAnsi="Times New Roman" w:eastAsia="宋体" w:cs="Times New Roman"/>
                <w:color w:val="auto"/>
                <w:szCs w:val="21"/>
                <w:lang w:val="en-US" w:eastAsia="zh-CN"/>
              </w:rPr>
            </w:pPr>
            <w:r>
              <w:rPr>
                <w:rFonts w:hint="eastAsia" w:ascii="Times New Roman" w:hAnsi="Times New Roman" w:eastAsia="宋体" w:cs="Times New Roman"/>
                <w:color w:val="auto"/>
                <w:szCs w:val="21"/>
              </w:rPr>
              <w:t>1</w:t>
            </w:r>
          </w:p>
        </w:tc>
        <w:tc>
          <w:tcPr>
            <w:tcW w:w="674" w:type="pct"/>
            <w:noWrap w:val="0"/>
            <w:vAlign w:val="top"/>
          </w:tcPr>
          <w:p w14:paraId="05C4E4A3">
            <w:pPr>
              <w:pStyle w:val="203"/>
              <w:widowControl w:val="0"/>
              <w:spacing w:line="240" w:lineRule="atLeast"/>
              <w:ind w:left="-120" w:leftChars="-50" w:right="-120" w:rightChars="-50"/>
              <w:rPr>
                <w:rFonts w:hint="eastAsia" w:ascii="Times New Roman" w:hAnsi="Times New Roman" w:eastAsia="宋体" w:cs="Times New Roman"/>
                <w:color w:val="auto"/>
                <w:szCs w:val="21"/>
                <w:lang w:eastAsia="zh-CN"/>
              </w:rPr>
            </w:pPr>
            <w:r>
              <w:rPr>
                <w:rFonts w:hint="eastAsia" w:ascii="Times New Roman" w:hAnsi="Times New Roman" w:eastAsia="宋体" w:cs="Times New Roman"/>
                <w:color w:val="auto"/>
                <w:szCs w:val="21"/>
                <w:lang w:eastAsia="zh-CN"/>
              </w:rPr>
              <w:t>新增</w:t>
            </w:r>
          </w:p>
        </w:tc>
      </w:tr>
      <w:tr w14:paraId="6B69C371">
        <w:tblPrEx>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96" w:type="pct"/>
            <w:noWrap w:val="0"/>
            <w:vAlign w:val="center"/>
          </w:tcPr>
          <w:p w14:paraId="2D8B1D86">
            <w:pPr>
              <w:pStyle w:val="203"/>
              <w:widowControl w:val="0"/>
              <w:spacing w:line="240" w:lineRule="atLeast"/>
              <w:ind w:left="-120" w:leftChars="-50" w:right="-120" w:rightChars="-50"/>
              <w:rPr>
                <w:rFonts w:hint="default" w:ascii="Times New Roman" w:eastAsia="宋体"/>
                <w:color w:val="auto"/>
                <w:szCs w:val="21"/>
                <w:lang w:val="en-US" w:eastAsia="zh-CN"/>
              </w:rPr>
            </w:pPr>
            <w:r>
              <w:rPr>
                <w:rFonts w:hint="eastAsia" w:ascii="Times New Roman"/>
                <w:color w:val="auto"/>
                <w:szCs w:val="21"/>
                <w:lang w:val="en-US" w:eastAsia="zh-CN"/>
              </w:rPr>
              <w:t>21</w:t>
            </w:r>
          </w:p>
        </w:tc>
        <w:tc>
          <w:tcPr>
            <w:tcW w:w="1337" w:type="pct"/>
            <w:shd w:val="clear" w:color="auto" w:fill="auto"/>
            <w:noWrap w:val="0"/>
            <w:vAlign w:val="top"/>
          </w:tcPr>
          <w:p w14:paraId="1B841CFB">
            <w:pPr>
              <w:pStyle w:val="203"/>
              <w:widowControl w:val="0"/>
              <w:spacing w:line="240" w:lineRule="atLeast"/>
              <w:ind w:left="-120" w:leftChars="-50" w:right="-120" w:rightChars="-50"/>
              <w:rPr>
                <w:rFonts w:hint="eastAsia" w:ascii="Times New Roman" w:hAnsi="Times New Roman" w:eastAsia="宋体" w:cs="Times New Roman"/>
                <w:color w:val="auto"/>
                <w:szCs w:val="21"/>
                <w:lang w:val="en-US" w:eastAsia="zh-CN"/>
              </w:rPr>
            </w:pPr>
            <w:r>
              <w:rPr>
                <w:rFonts w:hint="eastAsia" w:ascii="Times New Roman" w:hAnsi="Times New Roman" w:eastAsia="宋体" w:cs="Times New Roman"/>
                <w:color w:val="auto"/>
                <w:szCs w:val="21"/>
              </w:rPr>
              <w:t>振动筛</w:t>
            </w:r>
          </w:p>
        </w:tc>
        <w:tc>
          <w:tcPr>
            <w:tcW w:w="1921" w:type="pct"/>
            <w:shd w:val="clear" w:color="auto" w:fill="auto"/>
            <w:noWrap w:val="0"/>
            <w:vAlign w:val="top"/>
          </w:tcPr>
          <w:p w14:paraId="3A962DEA">
            <w:pPr>
              <w:pStyle w:val="203"/>
              <w:widowControl w:val="0"/>
              <w:spacing w:line="240" w:lineRule="atLeast"/>
              <w:ind w:left="-120" w:leftChars="-50" w:right="-120" w:rightChars="-50"/>
              <w:rPr>
                <w:rFonts w:hint="eastAsia" w:ascii="Times New Roman" w:hAnsi="Times New Roman" w:eastAsia="宋体" w:cs="Times New Roman"/>
                <w:color w:val="auto"/>
                <w:szCs w:val="21"/>
                <w:lang w:val="en-US" w:eastAsia="zh-CN"/>
              </w:rPr>
            </w:pPr>
            <w:r>
              <w:rPr>
                <w:rFonts w:hint="eastAsia" w:ascii="Times New Roman" w:hAnsi="Times New Roman" w:eastAsia="宋体" w:cs="Times New Roman"/>
                <w:color w:val="auto"/>
                <w:szCs w:val="21"/>
              </w:rPr>
              <w:t>15KW</w:t>
            </w:r>
          </w:p>
        </w:tc>
        <w:tc>
          <w:tcPr>
            <w:tcW w:w="670" w:type="pct"/>
            <w:shd w:val="clear" w:color="auto" w:fill="auto"/>
            <w:noWrap w:val="0"/>
            <w:vAlign w:val="top"/>
          </w:tcPr>
          <w:p w14:paraId="66F03E2F">
            <w:pPr>
              <w:pStyle w:val="203"/>
              <w:widowControl w:val="0"/>
              <w:spacing w:line="240" w:lineRule="atLeast"/>
              <w:ind w:left="-120" w:leftChars="-50" w:right="-120" w:rightChars="-50"/>
              <w:rPr>
                <w:rFonts w:hint="eastAsia" w:ascii="Times New Roman" w:hAnsi="Times New Roman" w:eastAsia="宋体" w:cs="Times New Roman"/>
                <w:color w:val="auto"/>
                <w:szCs w:val="21"/>
                <w:lang w:val="en-US" w:eastAsia="zh-CN"/>
              </w:rPr>
            </w:pPr>
            <w:r>
              <w:rPr>
                <w:rFonts w:hint="eastAsia" w:ascii="Times New Roman" w:hAnsi="Times New Roman" w:eastAsia="宋体" w:cs="Times New Roman"/>
                <w:color w:val="auto"/>
                <w:szCs w:val="21"/>
              </w:rPr>
              <w:t>1</w:t>
            </w:r>
          </w:p>
        </w:tc>
        <w:tc>
          <w:tcPr>
            <w:tcW w:w="674" w:type="pct"/>
            <w:noWrap w:val="0"/>
            <w:vAlign w:val="top"/>
          </w:tcPr>
          <w:p w14:paraId="79242661">
            <w:pPr>
              <w:pStyle w:val="203"/>
              <w:widowControl w:val="0"/>
              <w:spacing w:line="240" w:lineRule="atLeast"/>
              <w:ind w:left="-120" w:leftChars="-50" w:right="-120" w:rightChars="-50"/>
              <w:rPr>
                <w:rFonts w:hint="eastAsia" w:ascii="Times New Roman" w:hAnsi="Times New Roman" w:eastAsia="宋体" w:cs="Times New Roman"/>
                <w:color w:val="auto"/>
                <w:szCs w:val="21"/>
                <w:lang w:eastAsia="zh-CN"/>
              </w:rPr>
            </w:pPr>
            <w:r>
              <w:rPr>
                <w:rFonts w:hint="eastAsia" w:ascii="Times New Roman" w:hAnsi="Times New Roman" w:eastAsia="宋体" w:cs="Times New Roman"/>
                <w:color w:val="auto"/>
                <w:szCs w:val="21"/>
                <w:lang w:eastAsia="zh-CN"/>
              </w:rPr>
              <w:t>新增</w:t>
            </w:r>
          </w:p>
        </w:tc>
      </w:tr>
      <w:tr w14:paraId="43BEEAC4">
        <w:tblPrEx>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96" w:type="pct"/>
            <w:noWrap w:val="0"/>
            <w:vAlign w:val="center"/>
          </w:tcPr>
          <w:p w14:paraId="50505752">
            <w:pPr>
              <w:pStyle w:val="203"/>
              <w:widowControl w:val="0"/>
              <w:spacing w:line="240" w:lineRule="atLeast"/>
              <w:ind w:left="-120" w:leftChars="-50" w:right="-120" w:rightChars="-50"/>
              <w:rPr>
                <w:rFonts w:hint="default" w:ascii="Times New Roman" w:eastAsia="宋体"/>
                <w:color w:val="auto"/>
                <w:szCs w:val="21"/>
                <w:lang w:val="en-US" w:eastAsia="zh-CN"/>
              </w:rPr>
            </w:pPr>
            <w:r>
              <w:rPr>
                <w:rFonts w:hint="eastAsia" w:ascii="Times New Roman"/>
                <w:color w:val="auto"/>
                <w:szCs w:val="21"/>
                <w:lang w:val="en-US" w:eastAsia="zh-CN"/>
              </w:rPr>
              <w:t>22</w:t>
            </w:r>
          </w:p>
        </w:tc>
        <w:tc>
          <w:tcPr>
            <w:tcW w:w="1337" w:type="pct"/>
            <w:shd w:val="clear" w:color="auto" w:fill="auto"/>
            <w:noWrap w:val="0"/>
            <w:vAlign w:val="top"/>
          </w:tcPr>
          <w:p w14:paraId="40611444">
            <w:pPr>
              <w:pStyle w:val="203"/>
              <w:widowControl w:val="0"/>
              <w:spacing w:line="240" w:lineRule="atLeast"/>
              <w:ind w:left="-120" w:leftChars="-50" w:right="-120" w:rightChars="-50"/>
              <w:rPr>
                <w:rFonts w:hint="eastAsia" w:ascii="Times New Roman" w:hAnsi="Times New Roman" w:eastAsia="宋体" w:cs="Times New Roman"/>
                <w:color w:val="auto"/>
                <w:szCs w:val="21"/>
                <w:lang w:val="en-US" w:eastAsia="zh-CN"/>
              </w:rPr>
            </w:pPr>
            <w:r>
              <w:rPr>
                <w:rFonts w:hint="eastAsia" w:ascii="Times New Roman" w:hAnsi="Times New Roman" w:eastAsia="宋体" w:cs="Times New Roman"/>
                <w:color w:val="auto"/>
                <w:szCs w:val="21"/>
              </w:rPr>
              <w:t>成品球上料皮带</w:t>
            </w:r>
          </w:p>
        </w:tc>
        <w:tc>
          <w:tcPr>
            <w:tcW w:w="1921" w:type="pct"/>
            <w:shd w:val="clear" w:color="auto" w:fill="auto"/>
            <w:noWrap w:val="0"/>
            <w:vAlign w:val="top"/>
          </w:tcPr>
          <w:p w14:paraId="37A6F7C4">
            <w:pPr>
              <w:pStyle w:val="203"/>
              <w:widowControl w:val="0"/>
              <w:spacing w:line="240" w:lineRule="atLeast"/>
              <w:ind w:left="-120" w:leftChars="-50" w:right="-120" w:rightChars="-50"/>
              <w:rPr>
                <w:rFonts w:hint="eastAsia" w:ascii="Times New Roman" w:hAnsi="Times New Roman" w:eastAsia="宋体" w:cs="Times New Roman"/>
                <w:color w:val="auto"/>
                <w:szCs w:val="21"/>
                <w:lang w:val="en-US" w:eastAsia="zh-CN"/>
              </w:rPr>
            </w:pPr>
            <w:r>
              <w:rPr>
                <w:rFonts w:hint="eastAsia" w:ascii="Times New Roman" w:hAnsi="Times New Roman" w:eastAsia="宋体" w:cs="Times New Roman"/>
                <w:color w:val="auto"/>
                <w:szCs w:val="21"/>
              </w:rPr>
              <w:t>20KW</w:t>
            </w:r>
          </w:p>
        </w:tc>
        <w:tc>
          <w:tcPr>
            <w:tcW w:w="670" w:type="pct"/>
            <w:shd w:val="clear" w:color="auto" w:fill="auto"/>
            <w:noWrap w:val="0"/>
            <w:vAlign w:val="top"/>
          </w:tcPr>
          <w:p w14:paraId="7C7B7385">
            <w:pPr>
              <w:pStyle w:val="203"/>
              <w:widowControl w:val="0"/>
              <w:spacing w:line="240" w:lineRule="atLeast"/>
              <w:ind w:left="-120" w:leftChars="-50" w:right="-120" w:rightChars="-50"/>
              <w:rPr>
                <w:rFonts w:hint="eastAsia" w:ascii="Times New Roman" w:hAnsi="Times New Roman" w:eastAsia="宋体" w:cs="Times New Roman"/>
                <w:color w:val="auto"/>
                <w:szCs w:val="21"/>
                <w:lang w:val="en-US" w:eastAsia="zh-CN"/>
              </w:rPr>
            </w:pPr>
            <w:r>
              <w:rPr>
                <w:rFonts w:hint="eastAsia" w:ascii="Times New Roman" w:hAnsi="Times New Roman" w:eastAsia="宋体" w:cs="Times New Roman"/>
                <w:color w:val="auto"/>
                <w:szCs w:val="21"/>
              </w:rPr>
              <w:t>2</w:t>
            </w:r>
          </w:p>
        </w:tc>
        <w:tc>
          <w:tcPr>
            <w:tcW w:w="674" w:type="pct"/>
            <w:noWrap w:val="0"/>
            <w:vAlign w:val="top"/>
          </w:tcPr>
          <w:p w14:paraId="2C81959C">
            <w:pPr>
              <w:pStyle w:val="203"/>
              <w:widowControl w:val="0"/>
              <w:spacing w:line="240" w:lineRule="atLeast"/>
              <w:ind w:left="-120" w:leftChars="-50" w:right="-120" w:rightChars="-50"/>
              <w:rPr>
                <w:rFonts w:hint="eastAsia" w:ascii="Times New Roman" w:hAnsi="Times New Roman" w:eastAsia="宋体" w:cs="Times New Roman"/>
                <w:color w:val="auto"/>
                <w:szCs w:val="21"/>
                <w:lang w:eastAsia="zh-CN"/>
              </w:rPr>
            </w:pPr>
            <w:r>
              <w:rPr>
                <w:rFonts w:hint="eastAsia" w:ascii="Times New Roman" w:hAnsi="Times New Roman" w:eastAsia="宋体" w:cs="Times New Roman"/>
                <w:color w:val="auto"/>
                <w:szCs w:val="21"/>
                <w:lang w:eastAsia="zh-CN"/>
              </w:rPr>
              <w:t>新增</w:t>
            </w:r>
          </w:p>
        </w:tc>
      </w:tr>
      <w:tr w14:paraId="6485C664">
        <w:tblPrEx>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96" w:type="pct"/>
            <w:noWrap w:val="0"/>
            <w:vAlign w:val="center"/>
          </w:tcPr>
          <w:p w14:paraId="6F371A03">
            <w:pPr>
              <w:pStyle w:val="203"/>
              <w:widowControl w:val="0"/>
              <w:spacing w:line="240" w:lineRule="atLeast"/>
              <w:ind w:left="-120" w:leftChars="-50" w:right="-120" w:rightChars="-50"/>
              <w:rPr>
                <w:rFonts w:hint="default" w:ascii="Times New Roman" w:eastAsia="宋体"/>
                <w:color w:val="auto"/>
                <w:szCs w:val="21"/>
                <w:lang w:val="en-US" w:eastAsia="zh-CN"/>
              </w:rPr>
            </w:pPr>
            <w:r>
              <w:rPr>
                <w:rFonts w:hint="eastAsia" w:ascii="Times New Roman"/>
                <w:color w:val="auto"/>
                <w:szCs w:val="21"/>
                <w:lang w:val="en-US" w:eastAsia="zh-CN"/>
              </w:rPr>
              <w:t>23</w:t>
            </w:r>
          </w:p>
        </w:tc>
        <w:tc>
          <w:tcPr>
            <w:tcW w:w="1337" w:type="pct"/>
            <w:shd w:val="clear" w:color="auto" w:fill="auto"/>
            <w:noWrap w:val="0"/>
            <w:vAlign w:val="top"/>
          </w:tcPr>
          <w:p w14:paraId="3D9BA578">
            <w:pPr>
              <w:pStyle w:val="203"/>
              <w:widowControl w:val="0"/>
              <w:spacing w:line="240" w:lineRule="atLeast"/>
              <w:ind w:left="-120" w:leftChars="-50" w:right="-120" w:rightChars="-50"/>
              <w:rPr>
                <w:rFonts w:hint="eastAsia" w:ascii="Times New Roman" w:hAnsi="Times New Roman" w:eastAsia="宋体" w:cs="Times New Roman"/>
                <w:color w:val="auto"/>
                <w:szCs w:val="21"/>
                <w:lang w:val="en-US" w:eastAsia="zh-CN"/>
              </w:rPr>
            </w:pPr>
            <w:r>
              <w:rPr>
                <w:rFonts w:hint="eastAsia" w:ascii="Times New Roman" w:hAnsi="Times New Roman" w:eastAsia="宋体" w:cs="Times New Roman"/>
                <w:color w:val="auto"/>
                <w:szCs w:val="21"/>
              </w:rPr>
              <w:t>主排风机</w:t>
            </w:r>
          </w:p>
        </w:tc>
        <w:tc>
          <w:tcPr>
            <w:tcW w:w="1921" w:type="pct"/>
            <w:shd w:val="clear" w:color="auto" w:fill="auto"/>
            <w:noWrap w:val="0"/>
            <w:vAlign w:val="top"/>
          </w:tcPr>
          <w:p w14:paraId="46EE9E18">
            <w:pPr>
              <w:pStyle w:val="203"/>
              <w:widowControl w:val="0"/>
              <w:spacing w:line="240" w:lineRule="atLeast"/>
              <w:ind w:left="-120" w:leftChars="-50" w:right="-120" w:rightChars="-50"/>
              <w:rPr>
                <w:rFonts w:hint="eastAsia" w:ascii="Times New Roman" w:hAnsi="Times New Roman" w:eastAsia="宋体" w:cs="Times New Roman"/>
                <w:color w:val="auto"/>
                <w:szCs w:val="21"/>
                <w:lang w:val="en-US" w:eastAsia="zh-CN"/>
              </w:rPr>
            </w:pPr>
            <w:r>
              <w:rPr>
                <w:rFonts w:hint="eastAsia" w:ascii="Times New Roman" w:hAnsi="Times New Roman" w:eastAsia="宋体" w:cs="Times New Roman"/>
                <w:color w:val="auto"/>
                <w:szCs w:val="21"/>
              </w:rPr>
              <w:t>200KW变频电机</w:t>
            </w:r>
          </w:p>
        </w:tc>
        <w:tc>
          <w:tcPr>
            <w:tcW w:w="670" w:type="pct"/>
            <w:shd w:val="clear" w:color="auto" w:fill="auto"/>
            <w:noWrap w:val="0"/>
            <w:vAlign w:val="top"/>
          </w:tcPr>
          <w:p w14:paraId="78289F9B">
            <w:pPr>
              <w:pStyle w:val="203"/>
              <w:widowControl w:val="0"/>
              <w:spacing w:line="240" w:lineRule="atLeast"/>
              <w:ind w:left="-120" w:leftChars="-50" w:right="-120" w:rightChars="-50"/>
              <w:rPr>
                <w:rFonts w:hint="eastAsia" w:ascii="Times New Roman" w:hAnsi="Times New Roman" w:eastAsia="宋体" w:cs="Times New Roman"/>
                <w:color w:val="auto"/>
                <w:szCs w:val="21"/>
                <w:lang w:val="en-US" w:eastAsia="zh-CN"/>
              </w:rPr>
            </w:pPr>
            <w:r>
              <w:rPr>
                <w:rFonts w:hint="eastAsia" w:ascii="Times New Roman" w:hAnsi="Times New Roman" w:eastAsia="宋体" w:cs="Times New Roman"/>
                <w:color w:val="auto"/>
                <w:szCs w:val="21"/>
              </w:rPr>
              <w:t>1</w:t>
            </w:r>
          </w:p>
        </w:tc>
        <w:tc>
          <w:tcPr>
            <w:tcW w:w="674" w:type="pct"/>
            <w:noWrap w:val="0"/>
            <w:vAlign w:val="top"/>
          </w:tcPr>
          <w:p w14:paraId="29F7D4E6">
            <w:pPr>
              <w:pStyle w:val="203"/>
              <w:widowControl w:val="0"/>
              <w:spacing w:line="240" w:lineRule="atLeast"/>
              <w:ind w:left="-120" w:leftChars="-50" w:right="-120" w:rightChars="-50"/>
              <w:rPr>
                <w:rFonts w:hint="eastAsia" w:ascii="Times New Roman" w:hAnsi="Times New Roman" w:eastAsia="宋体" w:cs="Times New Roman"/>
                <w:color w:val="auto"/>
                <w:szCs w:val="21"/>
                <w:lang w:eastAsia="zh-CN"/>
              </w:rPr>
            </w:pPr>
            <w:r>
              <w:rPr>
                <w:rFonts w:hint="eastAsia" w:ascii="Times New Roman" w:hAnsi="Times New Roman" w:eastAsia="宋体" w:cs="Times New Roman"/>
                <w:color w:val="auto"/>
                <w:szCs w:val="21"/>
                <w:lang w:eastAsia="zh-CN"/>
              </w:rPr>
              <w:t>新增</w:t>
            </w:r>
          </w:p>
        </w:tc>
      </w:tr>
      <w:tr w14:paraId="14939EDE">
        <w:tblPrEx>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96" w:type="pct"/>
            <w:noWrap w:val="0"/>
            <w:vAlign w:val="center"/>
          </w:tcPr>
          <w:p w14:paraId="7905D12B">
            <w:pPr>
              <w:pStyle w:val="203"/>
              <w:widowControl w:val="0"/>
              <w:spacing w:line="240" w:lineRule="atLeast"/>
              <w:ind w:left="-120" w:leftChars="-50" w:right="-120" w:rightChars="-50"/>
              <w:rPr>
                <w:rFonts w:hint="default" w:ascii="Times New Roman" w:eastAsia="宋体"/>
                <w:color w:val="auto"/>
                <w:szCs w:val="21"/>
                <w:lang w:val="en-US" w:eastAsia="zh-CN"/>
              </w:rPr>
            </w:pPr>
            <w:r>
              <w:rPr>
                <w:rFonts w:hint="eastAsia" w:ascii="Times New Roman"/>
                <w:color w:val="auto"/>
                <w:szCs w:val="21"/>
                <w:lang w:val="en-US" w:eastAsia="zh-CN"/>
              </w:rPr>
              <w:t>24</w:t>
            </w:r>
          </w:p>
        </w:tc>
        <w:tc>
          <w:tcPr>
            <w:tcW w:w="1337" w:type="pct"/>
            <w:shd w:val="clear" w:color="auto" w:fill="auto"/>
            <w:noWrap w:val="0"/>
            <w:vAlign w:val="top"/>
          </w:tcPr>
          <w:p w14:paraId="2C078EB9">
            <w:pPr>
              <w:pStyle w:val="203"/>
              <w:widowControl w:val="0"/>
              <w:spacing w:line="240" w:lineRule="atLeast"/>
              <w:ind w:left="-120" w:leftChars="-50" w:right="-120" w:rightChars="-50"/>
              <w:rPr>
                <w:rFonts w:hint="eastAsia" w:ascii="Times New Roman" w:hAnsi="Times New Roman" w:eastAsia="宋体" w:cs="Times New Roman"/>
                <w:color w:val="auto"/>
                <w:szCs w:val="21"/>
                <w:lang w:val="en-US" w:eastAsia="zh-CN"/>
              </w:rPr>
            </w:pPr>
            <w:r>
              <w:rPr>
                <w:rFonts w:hint="eastAsia" w:ascii="Times New Roman" w:hAnsi="Times New Roman" w:eastAsia="宋体" w:cs="Times New Roman"/>
                <w:color w:val="auto"/>
                <w:szCs w:val="21"/>
              </w:rPr>
              <w:t>竖冷窑风机</w:t>
            </w:r>
          </w:p>
        </w:tc>
        <w:tc>
          <w:tcPr>
            <w:tcW w:w="1921" w:type="pct"/>
            <w:shd w:val="clear" w:color="auto" w:fill="auto"/>
            <w:noWrap w:val="0"/>
            <w:vAlign w:val="top"/>
          </w:tcPr>
          <w:p w14:paraId="2D3D510C">
            <w:pPr>
              <w:pStyle w:val="203"/>
              <w:widowControl w:val="0"/>
              <w:spacing w:line="240" w:lineRule="atLeast"/>
              <w:ind w:left="-120" w:leftChars="-50" w:right="-120" w:rightChars="-50"/>
              <w:rPr>
                <w:rFonts w:hint="eastAsia" w:ascii="Times New Roman" w:hAnsi="Times New Roman" w:eastAsia="宋体" w:cs="Times New Roman"/>
                <w:color w:val="auto"/>
                <w:szCs w:val="21"/>
                <w:lang w:val="en-US" w:eastAsia="zh-CN"/>
              </w:rPr>
            </w:pPr>
            <w:r>
              <w:rPr>
                <w:rFonts w:hint="eastAsia" w:ascii="Times New Roman" w:hAnsi="Times New Roman" w:eastAsia="宋体" w:cs="Times New Roman"/>
                <w:color w:val="auto"/>
                <w:szCs w:val="21"/>
              </w:rPr>
              <w:t>75KW变频电机</w:t>
            </w:r>
          </w:p>
        </w:tc>
        <w:tc>
          <w:tcPr>
            <w:tcW w:w="670" w:type="pct"/>
            <w:shd w:val="clear" w:color="auto" w:fill="auto"/>
            <w:noWrap w:val="0"/>
            <w:vAlign w:val="top"/>
          </w:tcPr>
          <w:p w14:paraId="79A7F2E0">
            <w:pPr>
              <w:pStyle w:val="203"/>
              <w:widowControl w:val="0"/>
              <w:spacing w:line="240" w:lineRule="atLeast"/>
              <w:ind w:left="-120" w:leftChars="-50" w:right="-120" w:rightChars="-50"/>
              <w:rPr>
                <w:rFonts w:hint="eastAsia" w:ascii="Times New Roman" w:hAnsi="Times New Roman" w:eastAsia="宋体" w:cs="Times New Roman"/>
                <w:color w:val="auto"/>
                <w:szCs w:val="21"/>
                <w:lang w:val="en-US" w:eastAsia="zh-CN"/>
              </w:rPr>
            </w:pPr>
            <w:r>
              <w:rPr>
                <w:rFonts w:hint="eastAsia" w:ascii="Times New Roman" w:hAnsi="Times New Roman" w:eastAsia="宋体" w:cs="Times New Roman"/>
                <w:color w:val="auto"/>
                <w:szCs w:val="21"/>
              </w:rPr>
              <w:t>1</w:t>
            </w:r>
          </w:p>
        </w:tc>
        <w:tc>
          <w:tcPr>
            <w:tcW w:w="674" w:type="pct"/>
            <w:noWrap w:val="0"/>
            <w:vAlign w:val="top"/>
          </w:tcPr>
          <w:p w14:paraId="28759CD9">
            <w:pPr>
              <w:pStyle w:val="203"/>
              <w:widowControl w:val="0"/>
              <w:spacing w:line="240" w:lineRule="atLeast"/>
              <w:ind w:left="-120" w:leftChars="-50" w:right="-120" w:rightChars="-50"/>
              <w:rPr>
                <w:rFonts w:hint="eastAsia" w:ascii="Times New Roman" w:hAnsi="Times New Roman" w:eastAsia="宋体" w:cs="Times New Roman"/>
                <w:color w:val="auto"/>
                <w:szCs w:val="21"/>
                <w:lang w:eastAsia="zh-CN"/>
              </w:rPr>
            </w:pPr>
            <w:r>
              <w:rPr>
                <w:rFonts w:hint="eastAsia" w:ascii="Times New Roman" w:hAnsi="Times New Roman" w:eastAsia="宋体" w:cs="Times New Roman"/>
                <w:color w:val="auto"/>
                <w:szCs w:val="21"/>
                <w:lang w:eastAsia="zh-CN"/>
              </w:rPr>
              <w:t>新增</w:t>
            </w:r>
          </w:p>
        </w:tc>
      </w:tr>
      <w:tr w14:paraId="556E9BD8">
        <w:tblPrEx>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96" w:type="pct"/>
            <w:noWrap w:val="0"/>
            <w:vAlign w:val="center"/>
          </w:tcPr>
          <w:p w14:paraId="3B6071C6">
            <w:pPr>
              <w:pStyle w:val="203"/>
              <w:widowControl w:val="0"/>
              <w:spacing w:line="240" w:lineRule="atLeast"/>
              <w:ind w:left="-120" w:leftChars="-50" w:right="-120" w:rightChars="-50"/>
              <w:rPr>
                <w:rFonts w:hint="default" w:ascii="Times New Roman" w:eastAsia="宋体"/>
                <w:color w:val="auto"/>
                <w:szCs w:val="21"/>
                <w:lang w:val="en-US" w:eastAsia="zh-CN"/>
              </w:rPr>
            </w:pPr>
            <w:r>
              <w:rPr>
                <w:rFonts w:hint="eastAsia" w:ascii="Times New Roman"/>
                <w:color w:val="auto"/>
                <w:szCs w:val="21"/>
                <w:lang w:val="en-US" w:eastAsia="zh-CN"/>
              </w:rPr>
              <w:t>25</w:t>
            </w:r>
          </w:p>
        </w:tc>
        <w:tc>
          <w:tcPr>
            <w:tcW w:w="1337" w:type="pct"/>
            <w:shd w:val="clear" w:color="auto" w:fill="auto"/>
            <w:noWrap w:val="0"/>
            <w:vAlign w:val="top"/>
          </w:tcPr>
          <w:p w14:paraId="7FBDB82B">
            <w:pPr>
              <w:pStyle w:val="203"/>
              <w:widowControl w:val="0"/>
              <w:spacing w:line="240" w:lineRule="atLeast"/>
              <w:ind w:left="-120" w:leftChars="-50" w:right="-120" w:rightChars="-50"/>
              <w:rPr>
                <w:rFonts w:hint="eastAsia" w:ascii="Times New Roman" w:hAnsi="Times New Roman" w:eastAsia="宋体" w:cs="Times New Roman"/>
                <w:color w:val="auto"/>
                <w:szCs w:val="21"/>
                <w:lang w:val="en-US" w:eastAsia="zh-CN"/>
              </w:rPr>
            </w:pPr>
            <w:r>
              <w:rPr>
                <w:rFonts w:hint="eastAsia" w:ascii="Times New Roman" w:hAnsi="Times New Roman" w:eastAsia="宋体" w:cs="Times New Roman"/>
                <w:color w:val="auto"/>
                <w:szCs w:val="21"/>
              </w:rPr>
              <w:t>除尘风机</w:t>
            </w:r>
          </w:p>
        </w:tc>
        <w:tc>
          <w:tcPr>
            <w:tcW w:w="1921" w:type="pct"/>
            <w:shd w:val="clear" w:color="auto" w:fill="auto"/>
            <w:noWrap w:val="0"/>
            <w:vAlign w:val="top"/>
          </w:tcPr>
          <w:p w14:paraId="58FD468B">
            <w:pPr>
              <w:pStyle w:val="203"/>
              <w:widowControl w:val="0"/>
              <w:spacing w:line="240" w:lineRule="atLeast"/>
              <w:ind w:left="-120" w:leftChars="-50" w:right="-120" w:rightChars="-50"/>
              <w:rPr>
                <w:rFonts w:hint="eastAsia" w:ascii="Times New Roman" w:hAnsi="Times New Roman" w:eastAsia="宋体" w:cs="Times New Roman"/>
                <w:color w:val="auto"/>
                <w:szCs w:val="21"/>
                <w:lang w:val="en-US" w:eastAsia="zh-CN"/>
              </w:rPr>
            </w:pPr>
            <w:r>
              <w:rPr>
                <w:rFonts w:hint="eastAsia" w:ascii="Times New Roman" w:hAnsi="Times New Roman" w:eastAsia="宋体" w:cs="Times New Roman"/>
                <w:color w:val="auto"/>
                <w:szCs w:val="21"/>
              </w:rPr>
              <w:t>160KW变频电机</w:t>
            </w:r>
          </w:p>
        </w:tc>
        <w:tc>
          <w:tcPr>
            <w:tcW w:w="670" w:type="pct"/>
            <w:shd w:val="clear" w:color="auto" w:fill="auto"/>
            <w:noWrap w:val="0"/>
            <w:vAlign w:val="top"/>
          </w:tcPr>
          <w:p w14:paraId="7284FD70">
            <w:pPr>
              <w:pStyle w:val="203"/>
              <w:widowControl w:val="0"/>
              <w:spacing w:line="240" w:lineRule="atLeast"/>
              <w:ind w:left="-120" w:leftChars="-50" w:right="-120" w:rightChars="-50"/>
              <w:rPr>
                <w:rFonts w:hint="eastAsia" w:ascii="Times New Roman" w:hAnsi="Times New Roman" w:eastAsia="宋体" w:cs="Times New Roman"/>
                <w:color w:val="auto"/>
                <w:szCs w:val="21"/>
                <w:lang w:val="en-US" w:eastAsia="zh-CN"/>
              </w:rPr>
            </w:pPr>
            <w:r>
              <w:rPr>
                <w:rFonts w:hint="eastAsia" w:ascii="Times New Roman" w:hAnsi="Times New Roman" w:eastAsia="宋体" w:cs="Times New Roman"/>
                <w:color w:val="auto"/>
                <w:szCs w:val="21"/>
              </w:rPr>
              <w:t>1</w:t>
            </w:r>
          </w:p>
        </w:tc>
        <w:tc>
          <w:tcPr>
            <w:tcW w:w="674" w:type="pct"/>
            <w:noWrap w:val="0"/>
            <w:vAlign w:val="top"/>
          </w:tcPr>
          <w:p w14:paraId="1EE7AD37">
            <w:pPr>
              <w:pStyle w:val="203"/>
              <w:widowControl w:val="0"/>
              <w:spacing w:line="240" w:lineRule="atLeast"/>
              <w:ind w:left="-120" w:leftChars="-50" w:right="-120" w:rightChars="-50"/>
              <w:rPr>
                <w:rFonts w:hint="eastAsia" w:ascii="Times New Roman" w:hAnsi="Times New Roman" w:eastAsia="宋体" w:cs="Times New Roman"/>
                <w:color w:val="auto"/>
                <w:szCs w:val="21"/>
                <w:lang w:eastAsia="zh-CN"/>
              </w:rPr>
            </w:pPr>
            <w:r>
              <w:rPr>
                <w:rFonts w:hint="eastAsia" w:ascii="Times New Roman" w:hAnsi="Times New Roman" w:eastAsia="宋体" w:cs="Times New Roman"/>
                <w:color w:val="auto"/>
                <w:szCs w:val="21"/>
                <w:lang w:eastAsia="zh-CN"/>
              </w:rPr>
              <w:t>新增</w:t>
            </w:r>
          </w:p>
        </w:tc>
      </w:tr>
    </w:tbl>
    <w:p w14:paraId="61AACDE5">
      <w:pPr>
        <w:pStyle w:val="7"/>
      </w:pPr>
      <w:bookmarkStart w:id="258" w:name="_Toc15091"/>
      <w:r>
        <w:rPr>
          <w:rFonts w:hint="eastAsia"/>
          <w:lang w:eastAsia="zh-CN"/>
        </w:rPr>
        <w:t>3</w:t>
      </w:r>
      <w:r>
        <w:t>.</w:t>
      </w:r>
      <w:r>
        <w:rPr>
          <w:rFonts w:hint="eastAsia"/>
          <w:lang w:eastAsia="zh-CN"/>
        </w:rPr>
        <w:t>1</w:t>
      </w:r>
      <w:r>
        <w:t>.6 储运工程</w:t>
      </w:r>
      <w:bookmarkEnd w:id="257"/>
      <w:bookmarkEnd w:id="258"/>
    </w:p>
    <w:p w14:paraId="000A4D40">
      <w:pPr>
        <w:spacing w:line="500" w:lineRule="exact"/>
        <w:ind w:right="6" w:firstLine="480" w:firstLineChars="200"/>
        <w:jc w:val="both"/>
        <w:rPr>
          <w:rFonts w:hint="eastAsia" w:ascii="Times New Roman" w:hAnsi="Times New Roman" w:cs="Times New Roman"/>
        </w:rPr>
      </w:pPr>
      <w:r>
        <w:rPr>
          <w:rFonts w:hint="eastAsia" w:ascii="Times New Roman" w:hAnsi="Times New Roman" w:cs="Times New Roman"/>
        </w:rPr>
        <w:t>本项目</w:t>
      </w:r>
      <w:r>
        <w:rPr>
          <w:rFonts w:ascii="Times New Roman" w:hAnsi="Times New Roman" w:cs="Times New Roman"/>
        </w:rPr>
        <w:t>储运工程相关情况见表</w:t>
      </w:r>
      <w:r>
        <w:rPr>
          <w:rFonts w:hint="eastAsia" w:ascii="Times New Roman" w:hAnsi="Times New Roman" w:cs="Times New Roman"/>
        </w:rPr>
        <w:t>3.1-</w:t>
      </w:r>
      <w:r>
        <w:rPr>
          <w:rFonts w:hint="eastAsia" w:ascii="Times New Roman" w:hAnsi="Times New Roman" w:cs="Times New Roman"/>
          <w:lang w:val="en-US" w:eastAsia="zh-CN"/>
        </w:rPr>
        <w:t>9</w:t>
      </w:r>
      <w:r>
        <w:rPr>
          <w:rFonts w:ascii="Times New Roman" w:hAnsi="Times New Roman" w:cs="Times New Roman"/>
        </w:rPr>
        <w:t>。</w:t>
      </w:r>
    </w:p>
    <w:p w14:paraId="755D8D19">
      <w:pPr>
        <w:adjustRightInd w:val="0"/>
        <w:spacing w:line="360" w:lineRule="auto"/>
        <w:jc w:val="center"/>
        <w:rPr>
          <w:rFonts w:ascii="Times New Roman" w:hAnsi="Times New Roman" w:eastAsia="黑体" w:cs="Times New Roman"/>
        </w:rPr>
      </w:pPr>
      <w:r>
        <w:rPr>
          <w:rFonts w:ascii="Times New Roman" w:hAnsi="Times New Roman" w:eastAsia="黑体" w:cs="Times New Roman"/>
        </w:rPr>
        <w:t>表</w:t>
      </w:r>
      <w:r>
        <w:rPr>
          <w:rFonts w:hint="eastAsia" w:ascii="Times New Roman" w:hAnsi="Times New Roman" w:eastAsia="黑体" w:cs="Times New Roman"/>
        </w:rPr>
        <w:t>3.1-</w:t>
      </w:r>
      <w:r>
        <w:rPr>
          <w:rFonts w:hint="eastAsia" w:ascii="Times New Roman" w:hAnsi="Times New Roman" w:eastAsia="黑体" w:cs="Times New Roman"/>
          <w:lang w:val="en-US" w:eastAsia="zh-CN"/>
        </w:rPr>
        <w:t>9</w:t>
      </w:r>
      <w:r>
        <w:rPr>
          <w:rFonts w:ascii="Times New Roman" w:hAnsi="Times New Roman" w:eastAsia="黑体" w:cs="Times New Roman"/>
        </w:rPr>
        <w:t xml:space="preserve">  储运工程贮料情况一览表</w:t>
      </w:r>
    </w:p>
    <w:tbl>
      <w:tblPr>
        <w:tblStyle w:val="56"/>
        <w:tblW w:w="5000" w:type="pct"/>
        <w:jc w:val="center"/>
        <w:tblBorders>
          <w:top w:val="thinThickSmallGap" w:color="auto" w:sz="12" w:space="0"/>
          <w:left w:val="none" w:color="auto" w:sz="0" w:space="0"/>
          <w:bottom w:val="thickThinSmallGap" w:color="auto" w:sz="12" w:space="0"/>
          <w:right w:val="none" w:color="auto" w:sz="0" w:space="0"/>
          <w:insideH w:val="single" w:color="auto" w:sz="2" w:space="0"/>
          <w:insideV w:val="single" w:color="auto" w:sz="2" w:space="0"/>
        </w:tblBorders>
        <w:tblLayout w:type="autofit"/>
        <w:tblCellMar>
          <w:top w:w="0" w:type="dxa"/>
          <w:left w:w="108" w:type="dxa"/>
          <w:bottom w:w="0" w:type="dxa"/>
          <w:right w:w="108" w:type="dxa"/>
        </w:tblCellMar>
      </w:tblPr>
      <w:tblGrid>
        <w:gridCol w:w="1675"/>
        <w:gridCol w:w="999"/>
        <w:gridCol w:w="1231"/>
        <w:gridCol w:w="1231"/>
        <w:gridCol w:w="1233"/>
        <w:gridCol w:w="1116"/>
        <w:gridCol w:w="1236"/>
      </w:tblGrid>
      <w:tr w14:paraId="2A23E682">
        <w:tblPrEx>
          <w:tblBorders>
            <w:top w:val="thinThickSmallGap" w:color="auto" w:sz="12" w:space="0"/>
            <w:left w:val="none" w:color="auto" w:sz="0" w:space="0"/>
            <w:bottom w:val="thickThinSmallGap" w:color="auto" w:sz="12"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445" w:hRule="atLeast"/>
          <w:tblHeader/>
          <w:jc w:val="center"/>
        </w:trPr>
        <w:tc>
          <w:tcPr>
            <w:tcW w:w="960" w:type="pct"/>
            <w:shd w:val="clear" w:color="auto" w:fill="E0E0E0"/>
            <w:noWrap w:val="0"/>
            <w:vAlign w:val="center"/>
          </w:tcPr>
          <w:p w14:paraId="4D93E728">
            <w:pPr>
              <w:ind w:right="22"/>
              <w:jc w:val="center"/>
              <w:rPr>
                <w:rFonts w:ascii="Times New Roman" w:hAnsi="Times New Roman" w:cs="Times New Roman"/>
                <w:sz w:val="21"/>
                <w:szCs w:val="21"/>
              </w:rPr>
            </w:pPr>
            <w:r>
              <w:rPr>
                <w:rFonts w:ascii="Times New Roman" w:hAnsi="Times New Roman" w:cs="Times New Roman"/>
                <w:sz w:val="21"/>
                <w:szCs w:val="21"/>
              </w:rPr>
              <w:t>储运工程</w:t>
            </w:r>
          </w:p>
          <w:p w14:paraId="6031E8DB">
            <w:pPr>
              <w:ind w:right="22"/>
              <w:jc w:val="center"/>
              <w:rPr>
                <w:rFonts w:ascii="Times New Roman" w:hAnsi="Times New Roman" w:cs="Times New Roman"/>
                <w:sz w:val="21"/>
                <w:szCs w:val="21"/>
              </w:rPr>
            </w:pPr>
            <w:r>
              <w:rPr>
                <w:rFonts w:ascii="Times New Roman" w:hAnsi="Times New Roman" w:cs="Times New Roman"/>
                <w:sz w:val="21"/>
                <w:szCs w:val="21"/>
              </w:rPr>
              <w:t>名称</w:t>
            </w:r>
          </w:p>
        </w:tc>
        <w:tc>
          <w:tcPr>
            <w:tcW w:w="572" w:type="pct"/>
            <w:shd w:val="clear" w:color="auto" w:fill="E0E0E0"/>
            <w:noWrap w:val="0"/>
            <w:vAlign w:val="center"/>
          </w:tcPr>
          <w:p w14:paraId="74D17353">
            <w:pPr>
              <w:ind w:right="22"/>
              <w:jc w:val="center"/>
              <w:rPr>
                <w:rFonts w:ascii="Times New Roman" w:hAnsi="Times New Roman" w:cs="Times New Roman"/>
                <w:sz w:val="21"/>
                <w:szCs w:val="21"/>
              </w:rPr>
            </w:pPr>
            <w:r>
              <w:rPr>
                <w:rFonts w:ascii="Times New Roman" w:hAnsi="Times New Roman" w:cs="Times New Roman"/>
                <w:sz w:val="21"/>
                <w:szCs w:val="21"/>
              </w:rPr>
              <w:t>储存面积（m</w:t>
            </w:r>
            <w:r>
              <w:rPr>
                <w:rFonts w:ascii="Times New Roman" w:hAnsi="Times New Roman" w:cs="Times New Roman"/>
                <w:sz w:val="21"/>
                <w:szCs w:val="21"/>
                <w:vertAlign w:val="superscript"/>
              </w:rPr>
              <w:t>2</w:t>
            </w:r>
            <w:r>
              <w:rPr>
                <w:rFonts w:ascii="Times New Roman" w:hAnsi="Times New Roman" w:cs="Times New Roman"/>
                <w:sz w:val="21"/>
                <w:szCs w:val="21"/>
              </w:rPr>
              <w:t>）</w:t>
            </w:r>
          </w:p>
        </w:tc>
        <w:tc>
          <w:tcPr>
            <w:tcW w:w="705" w:type="pct"/>
            <w:shd w:val="clear" w:color="auto" w:fill="E0E0E0"/>
            <w:noWrap w:val="0"/>
            <w:vAlign w:val="center"/>
          </w:tcPr>
          <w:p w14:paraId="54C2EFA3">
            <w:pPr>
              <w:ind w:right="22"/>
              <w:jc w:val="center"/>
              <w:rPr>
                <w:rFonts w:ascii="Times New Roman" w:hAnsi="Times New Roman" w:cs="Times New Roman"/>
                <w:sz w:val="21"/>
                <w:szCs w:val="21"/>
              </w:rPr>
            </w:pPr>
            <w:r>
              <w:rPr>
                <w:rFonts w:ascii="Times New Roman" w:hAnsi="Times New Roman" w:cs="Times New Roman"/>
                <w:sz w:val="21"/>
                <w:szCs w:val="21"/>
              </w:rPr>
              <w:t>物料名称</w:t>
            </w:r>
          </w:p>
        </w:tc>
        <w:tc>
          <w:tcPr>
            <w:tcW w:w="705" w:type="pct"/>
            <w:shd w:val="clear" w:color="auto" w:fill="E0E0E0"/>
            <w:noWrap w:val="0"/>
            <w:vAlign w:val="center"/>
          </w:tcPr>
          <w:p w14:paraId="64E994B2">
            <w:pPr>
              <w:ind w:right="22"/>
              <w:jc w:val="center"/>
              <w:rPr>
                <w:rFonts w:ascii="Times New Roman" w:hAnsi="Times New Roman" w:cs="Times New Roman"/>
                <w:sz w:val="21"/>
                <w:szCs w:val="21"/>
              </w:rPr>
            </w:pPr>
            <w:r>
              <w:rPr>
                <w:rFonts w:ascii="Times New Roman" w:hAnsi="Times New Roman" w:cs="Times New Roman"/>
                <w:sz w:val="21"/>
                <w:szCs w:val="21"/>
              </w:rPr>
              <w:t>储存形式</w:t>
            </w:r>
          </w:p>
        </w:tc>
        <w:tc>
          <w:tcPr>
            <w:tcW w:w="706" w:type="pct"/>
            <w:shd w:val="clear" w:color="auto" w:fill="E0E0E0"/>
            <w:noWrap w:val="0"/>
            <w:vAlign w:val="center"/>
          </w:tcPr>
          <w:p w14:paraId="39003932">
            <w:pPr>
              <w:ind w:right="22"/>
              <w:jc w:val="center"/>
              <w:rPr>
                <w:rFonts w:ascii="Times New Roman" w:hAnsi="Times New Roman" w:cs="Times New Roman"/>
                <w:sz w:val="21"/>
                <w:szCs w:val="21"/>
              </w:rPr>
            </w:pPr>
            <w:r>
              <w:rPr>
                <w:rFonts w:ascii="Times New Roman" w:hAnsi="Times New Roman" w:cs="Times New Roman"/>
                <w:sz w:val="21"/>
                <w:szCs w:val="21"/>
              </w:rPr>
              <w:t>年用量（t/a）</w:t>
            </w:r>
          </w:p>
        </w:tc>
        <w:tc>
          <w:tcPr>
            <w:tcW w:w="639" w:type="pct"/>
            <w:shd w:val="clear" w:color="auto" w:fill="E0E0E0"/>
            <w:noWrap w:val="0"/>
            <w:vAlign w:val="center"/>
          </w:tcPr>
          <w:p w14:paraId="0682A5D4">
            <w:pPr>
              <w:ind w:right="22"/>
              <w:jc w:val="center"/>
              <w:rPr>
                <w:rFonts w:ascii="Times New Roman" w:hAnsi="Times New Roman" w:cs="Times New Roman"/>
                <w:sz w:val="21"/>
                <w:szCs w:val="21"/>
              </w:rPr>
            </w:pPr>
            <w:r>
              <w:rPr>
                <w:rFonts w:ascii="Times New Roman" w:hAnsi="Times New Roman" w:cs="Times New Roman"/>
                <w:sz w:val="21"/>
                <w:szCs w:val="21"/>
              </w:rPr>
              <w:t>日用量（t/d）</w:t>
            </w:r>
          </w:p>
        </w:tc>
        <w:tc>
          <w:tcPr>
            <w:tcW w:w="708" w:type="pct"/>
            <w:shd w:val="clear" w:color="auto" w:fill="E0E0E0"/>
            <w:noWrap w:val="0"/>
            <w:vAlign w:val="center"/>
          </w:tcPr>
          <w:p w14:paraId="7C0AAE99">
            <w:pPr>
              <w:ind w:right="22"/>
              <w:jc w:val="center"/>
              <w:rPr>
                <w:rFonts w:ascii="Times New Roman" w:hAnsi="Times New Roman" w:cs="Times New Roman"/>
                <w:sz w:val="21"/>
                <w:szCs w:val="21"/>
              </w:rPr>
            </w:pPr>
            <w:r>
              <w:rPr>
                <w:rFonts w:ascii="Times New Roman" w:hAnsi="Times New Roman" w:cs="Times New Roman"/>
                <w:sz w:val="21"/>
                <w:szCs w:val="21"/>
              </w:rPr>
              <w:t>储存天数</w:t>
            </w:r>
          </w:p>
          <w:p w14:paraId="17CE2AA5">
            <w:pPr>
              <w:ind w:right="22"/>
              <w:jc w:val="center"/>
              <w:rPr>
                <w:rFonts w:ascii="Times New Roman" w:hAnsi="Times New Roman" w:cs="Times New Roman"/>
                <w:sz w:val="21"/>
                <w:szCs w:val="21"/>
              </w:rPr>
            </w:pPr>
            <w:r>
              <w:rPr>
                <w:rFonts w:ascii="Times New Roman" w:hAnsi="Times New Roman" w:cs="Times New Roman"/>
                <w:sz w:val="21"/>
                <w:szCs w:val="21"/>
              </w:rPr>
              <w:t>（d）</w:t>
            </w:r>
          </w:p>
        </w:tc>
      </w:tr>
      <w:tr w14:paraId="28D8B5FC">
        <w:tblPrEx>
          <w:tblBorders>
            <w:top w:val="thinThickSmallGap" w:color="auto" w:sz="12" w:space="0"/>
            <w:left w:val="none" w:color="auto" w:sz="0" w:space="0"/>
            <w:bottom w:val="thickThinSmallGap" w:color="auto" w:sz="12"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88" w:hRule="atLeast"/>
          <w:jc w:val="center"/>
        </w:trPr>
        <w:tc>
          <w:tcPr>
            <w:tcW w:w="960" w:type="pct"/>
            <w:vMerge w:val="restart"/>
            <w:noWrap w:val="0"/>
            <w:vAlign w:val="center"/>
          </w:tcPr>
          <w:p w14:paraId="4C29995D">
            <w:pPr>
              <w:ind w:right="22"/>
              <w:jc w:val="center"/>
              <w:rPr>
                <w:rFonts w:hint="eastAsia" w:ascii="Times New Roman" w:hAnsi="Times New Roman" w:cs="Times New Roman"/>
                <w:sz w:val="21"/>
                <w:szCs w:val="21"/>
              </w:rPr>
            </w:pPr>
            <w:r>
              <w:rPr>
                <w:rFonts w:hint="eastAsia" w:ascii="Times New Roman" w:hAnsi="Times New Roman" w:cs="Times New Roman"/>
                <w:sz w:val="21"/>
                <w:szCs w:val="21"/>
              </w:rPr>
              <w:t>辅料库</w:t>
            </w:r>
          </w:p>
        </w:tc>
        <w:tc>
          <w:tcPr>
            <w:tcW w:w="572" w:type="pct"/>
            <w:vMerge w:val="restart"/>
            <w:noWrap w:val="0"/>
            <w:vAlign w:val="center"/>
          </w:tcPr>
          <w:p w14:paraId="50CD970F">
            <w:pPr>
              <w:ind w:right="22"/>
              <w:jc w:val="center"/>
              <w:rPr>
                <w:rFonts w:ascii="Times New Roman" w:hAnsi="Times New Roman" w:cs="Times New Roman"/>
                <w:sz w:val="21"/>
                <w:szCs w:val="21"/>
              </w:rPr>
            </w:pPr>
          </w:p>
        </w:tc>
        <w:tc>
          <w:tcPr>
            <w:tcW w:w="705" w:type="pct"/>
            <w:shd w:val="clear" w:color="auto" w:fill="auto"/>
            <w:noWrap w:val="0"/>
            <w:vAlign w:val="center"/>
          </w:tcPr>
          <w:p w14:paraId="0BF4B583">
            <w:pPr>
              <w:jc w:val="center"/>
              <w:rPr>
                <w:rFonts w:hint="eastAsia" w:ascii="Times New Roman" w:hAnsi="Times New Roman" w:eastAsia="宋体" w:cs="Times New Roman"/>
                <w:sz w:val="21"/>
                <w:szCs w:val="18"/>
                <w:lang w:val="en-US" w:eastAsia="zh-CN" w:bidi="ar-SA"/>
              </w:rPr>
            </w:pPr>
            <w:r>
              <w:rPr>
                <w:rFonts w:hint="eastAsia" w:ascii="Times New Roman" w:hAnsi="Times New Roman" w:cs="Times New Roman"/>
                <w:sz w:val="21"/>
                <w:szCs w:val="18"/>
                <w:lang w:val="en-US" w:eastAsia="zh-CN"/>
              </w:rPr>
              <w:t>铁精矿</w:t>
            </w:r>
          </w:p>
        </w:tc>
        <w:tc>
          <w:tcPr>
            <w:tcW w:w="705" w:type="pct"/>
            <w:noWrap w:val="0"/>
            <w:vAlign w:val="center"/>
          </w:tcPr>
          <w:p w14:paraId="09814C4F">
            <w:pPr>
              <w:jc w:val="center"/>
              <w:rPr>
                <w:rFonts w:hint="eastAsia" w:ascii="Times New Roman" w:hAnsi="Times New Roman" w:cs="Times New Roman"/>
                <w:sz w:val="21"/>
                <w:szCs w:val="21"/>
              </w:rPr>
            </w:pPr>
            <w:r>
              <w:rPr>
                <w:rFonts w:hint="eastAsia" w:ascii="Times New Roman" w:hAnsi="Times New Roman" w:cs="Times New Roman"/>
                <w:sz w:val="21"/>
                <w:szCs w:val="21"/>
              </w:rPr>
              <w:t>袋装</w:t>
            </w:r>
          </w:p>
        </w:tc>
        <w:tc>
          <w:tcPr>
            <w:tcW w:w="706" w:type="pct"/>
            <w:shd w:val="clear" w:color="auto" w:fill="auto"/>
            <w:noWrap w:val="0"/>
            <w:vAlign w:val="center"/>
          </w:tcPr>
          <w:p w14:paraId="1AB32038">
            <w:pPr>
              <w:jc w:val="center"/>
              <w:rPr>
                <w:rFonts w:hint="default" w:ascii="Times New Roman" w:hAnsi="Times New Roman" w:eastAsia="宋体" w:cs="Times New Roman"/>
                <w:sz w:val="21"/>
                <w:szCs w:val="21"/>
                <w:lang w:val="en-US" w:eastAsia="zh-CN" w:bidi="ar-SA"/>
              </w:rPr>
            </w:pPr>
            <w:r>
              <w:rPr>
                <w:rFonts w:hint="eastAsia" w:ascii="Times New Roman" w:hAnsi="Times New Roman" w:cs="Times New Roman"/>
                <w:sz w:val="21"/>
                <w:szCs w:val="21"/>
                <w:lang w:val="en-US" w:eastAsia="zh-CN"/>
              </w:rPr>
              <w:t>415510</w:t>
            </w:r>
          </w:p>
        </w:tc>
        <w:tc>
          <w:tcPr>
            <w:tcW w:w="1116" w:type="dxa"/>
            <w:noWrap w:val="0"/>
            <w:vAlign w:val="center"/>
          </w:tcPr>
          <w:p w14:paraId="0F1B1417">
            <w:pPr>
              <w:ind w:right="22" w:rightChars="0"/>
              <w:jc w:val="center"/>
              <w:rPr>
                <w:rFonts w:hint="default" w:ascii="Times New Roman" w:hAnsi="Times New Roman" w:eastAsia="宋体" w:cs="Times New Roman"/>
                <w:sz w:val="21"/>
                <w:szCs w:val="21"/>
                <w:lang w:val="en-US" w:eastAsia="zh-CN"/>
              </w:rPr>
            </w:pPr>
            <w:r>
              <w:rPr>
                <w:rFonts w:hint="eastAsia" w:ascii="Times New Roman" w:hAnsi="Times New Roman" w:cs="Times New Roman"/>
                <w:sz w:val="21"/>
                <w:szCs w:val="21"/>
                <w:lang w:val="en-US" w:eastAsia="zh-CN"/>
              </w:rPr>
              <w:t>1260</w:t>
            </w:r>
          </w:p>
        </w:tc>
        <w:tc>
          <w:tcPr>
            <w:tcW w:w="708" w:type="pct"/>
            <w:noWrap w:val="0"/>
            <w:vAlign w:val="center"/>
          </w:tcPr>
          <w:p w14:paraId="7817A1BA">
            <w:pPr>
              <w:ind w:right="22"/>
              <w:jc w:val="center"/>
              <w:rPr>
                <w:rFonts w:ascii="Times New Roman" w:hAnsi="Times New Roman" w:cs="Times New Roman"/>
                <w:sz w:val="21"/>
                <w:szCs w:val="21"/>
              </w:rPr>
            </w:pPr>
            <w:r>
              <w:rPr>
                <w:rFonts w:hint="eastAsia" w:ascii="Times New Roman" w:hAnsi="Times New Roman" w:cs="Times New Roman"/>
                <w:sz w:val="21"/>
                <w:szCs w:val="21"/>
              </w:rPr>
              <w:t>30</w:t>
            </w:r>
          </w:p>
        </w:tc>
      </w:tr>
      <w:tr w14:paraId="6537B97B">
        <w:tblPrEx>
          <w:tblBorders>
            <w:top w:val="thinThickSmallGap" w:color="auto" w:sz="12" w:space="0"/>
            <w:left w:val="none" w:color="auto" w:sz="0" w:space="0"/>
            <w:bottom w:val="thickThinSmallGap" w:color="auto" w:sz="12"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88" w:hRule="atLeast"/>
          <w:jc w:val="center"/>
        </w:trPr>
        <w:tc>
          <w:tcPr>
            <w:tcW w:w="960" w:type="pct"/>
            <w:vMerge w:val="continue"/>
            <w:noWrap w:val="0"/>
            <w:vAlign w:val="center"/>
          </w:tcPr>
          <w:p w14:paraId="4A242132">
            <w:pPr>
              <w:ind w:right="22"/>
              <w:jc w:val="center"/>
              <w:rPr>
                <w:rFonts w:hint="eastAsia" w:ascii="Times New Roman" w:hAnsi="Times New Roman" w:cs="Times New Roman"/>
                <w:sz w:val="21"/>
                <w:szCs w:val="21"/>
              </w:rPr>
            </w:pPr>
          </w:p>
        </w:tc>
        <w:tc>
          <w:tcPr>
            <w:tcW w:w="572" w:type="pct"/>
            <w:vMerge w:val="continue"/>
            <w:noWrap w:val="0"/>
            <w:vAlign w:val="center"/>
          </w:tcPr>
          <w:p w14:paraId="269B6D04">
            <w:pPr>
              <w:ind w:right="22"/>
              <w:jc w:val="center"/>
              <w:rPr>
                <w:rFonts w:ascii="Times New Roman" w:hAnsi="Times New Roman" w:cs="Times New Roman"/>
                <w:sz w:val="21"/>
                <w:szCs w:val="21"/>
              </w:rPr>
            </w:pPr>
          </w:p>
        </w:tc>
        <w:tc>
          <w:tcPr>
            <w:tcW w:w="705" w:type="pct"/>
            <w:shd w:val="clear" w:color="auto" w:fill="auto"/>
            <w:noWrap w:val="0"/>
            <w:vAlign w:val="center"/>
          </w:tcPr>
          <w:p w14:paraId="17DEB475">
            <w:pPr>
              <w:jc w:val="center"/>
              <w:rPr>
                <w:rFonts w:hint="eastAsia" w:ascii="Times New Roman" w:hAnsi="Times New Roman" w:eastAsia="宋体" w:cs="Times New Roman"/>
                <w:sz w:val="21"/>
                <w:szCs w:val="21"/>
                <w:lang w:val="en-US" w:eastAsia="zh-CN" w:bidi="ar-SA"/>
              </w:rPr>
            </w:pPr>
            <w:r>
              <w:rPr>
                <w:rFonts w:hint="eastAsia" w:ascii="Times New Roman" w:hAnsi="Times New Roman" w:cs="Times New Roman"/>
                <w:sz w:val="21"/>
                <w:szCs w:val="21"/>
                <w:lang w:val="en-US" w:eastAsia="zh-CN"/>
              </w:rPr>
              <w:t>生石灰</w:t>
            </w:r>
          </w:p>
        </w:tc>
        <w:tc>
          <w:tcPr>
            <w:tcW w:w="705" w:type="pct"/>
            <w:noWrap w:val="0"/>
            <w:vAlign w:val="center"/>
          </w:tcPr>
          <w:p w14:paraId="684D98F3">
            <w:pPr>
              <w:jc w:val="center"/>
              <w:rPr>
                <w:rFonts w:hint="eastAsia" w:ascii="Times New Roman" w:hAnsi="Times New Roman" w:cs="Times New Roman"/>
                <w:sz w:val="21"/>
                <w:szCs w:val="21"/>
              </w:rPr>
            </w:pPr>
            <w:r>
              <w:rPr>
                <w:rFonts w:hint="eastAsia" w:ascii="Times New Roman" w:hAnsi="Times New Roman" w:cs="Times New Roman"/>
                <w:sz w:val="21"/>
                <w:szCs w:val="21"/>
              </w:rPr>
              <w:t>袋装</w:t>
            </w:r>
          </w:p>
        </w:tc>
        <w:tc>
          <w:tcPr>
            <w:tcW w:w="706" w:type="pct"/>
            <w:shd w:val="clear" w:color="auto" w:fill="auto"/>
            <w:noWrap w:val="0"/>
            <w:vAlign w:val="center"/>
          </w:tcPr>
          <w:p w14:paraId="50E24875">
            <w:pPr>
              <w:jc w:val="center"/>
              <w:rPr>
                <w:rFonts w:hint="default" w:ascii="Times New Roman" w:hAnsi="Times New Roman" w:eastAsia="宋体" w:cs="Times New Roman"/>
                <w:sz w:val="21"/>
                <w:szCs w:val="21"/>
                <w:lang w:val="en-US" w:eastAsia="zh-CN" w:bidi="ar-SA"/>
              </w:rPr>
            </w:pPr>
            <w:r>
              <w:rPr>
                <w:rFonts w:hint="eastAsia" w:ascii="Times New Roman" w:hAnsi="Times New Roman" w:cs="Times New Roman"/>
                <w:sz w:val="21"/>
                <w:szCs w:val="21"/>
                <w:lang w:val="en-US" w:eastAsia="zh-CN"/>
              </w:rPr>
              <w:t>47160</w:t>
            </w:r>
          </w:p>
        </w:tc>
        <w:tc>
          <w:tcPr>
            <w:tcW w:w="1116" w:type="dxa"/>
            <w:noWrap w:val="0"/>
            <w:vAlign w:val="center"/>
          </w:tcPr>
          <w:p w14:paraId="3FD6D040">
            <w:pPr>
              <w:ind w:right="22" w:rightChars="0"/>
              <w:jc w:val="center"/>
              <w:rPr>
                <w:rFonts w:hint="default" w:ascii="Times New Roman" w:hAnsi="Times New Roman" w:eastAsia="宋体" w:cs="Times New Roman"/>
                <w:sz w:val="21"/>
                <w:szCs w:val="21"/>
                <w:lang w:val="en-US" w:eastAsia="zh-CN"/>
              </w:rPr>
            </w:pPr>
            <w:r>
              <w:rPr>
                <w:rFonts w:hint="eastAsia" w:ascii="Times New Roman" w:hAnsi="Times New Roman" w:cs="Times New Roman"/>
                <w:sz w:val="21"/>
                <w:szCs w:val="21"/>
                <w:lang w:val="en-US" w:eastAsia="zh-CN"/>
              </w:rPr>
              <w:t>143</w:t>
            </w:r>
          </w:p>
        </w:tc>
        <w:tc>
          <w:tcPr>
            <w:tcW w:w="708" w:type="pct"/>
            <w:noWrap w:val="0"/>
            <w:vAlign w:val="center"/>
          </w:tcPr>
          <w:p w14:paraId="05FC585B">
            <w:pPr>
              <w:ind w:right="22"/>
              <w:jc w:val="center"/>
              <w:rPr>
                <w:rFonts w:ascii="Times New Roman" w:hAnsi="Times New Roman" w:cs="Times New Roman"/>
                <w:sz w:val="21"/>
                <w:szCs w:val="21"/>
              </w:rPr>
            </w:pPr>
            <w:r>
              <w:rPr>
                <w:rFonts w:hint="eastAsia" w:ascii="Times New Roman" w:hAnsi="Times New Roman" w:cs="Times New Roman"/>
                <w:sz w:val="21"/>
                <w:szCs w:val="21"/>
              </w:rPr>
              <w:t>30</w:t>
            </w:r>
          </w:p>
        </w:tc>
      </w:tr>
      <w:tr w14:paraId="5C21546F">
        <w:tblPrEx>
          <w:tblBorders>
            <w:top w:val="thinThickSmallGap" w:color="auto" w:sz="12" w:space="0"/>
            <w:left w:val="none" w:color="auto" w:sz="0" w:space="0"/>
            <w:bottom w:val="thickThinSmallGap" w:color="auto" w:sz="12"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88" w:hRule="atLeast"/>
          <w:jc w:val="center"/>
        </w:trPr>
        <w:tc>
          <w:tcPr>
            <w:tcW w:w="960" w:type="pct"/>
            <w:vMerge w:val="continue"/>
            <w:noWrap w:val="0"/>
            <w:vAlign w:val="center"/>
          </w:tcPr>
          <w:p w14:paraId="0158A586">
            <w:pPr>
              <w:ind w:right="22"/>
              <w:jc w:val="center"/>
              <w:rPr>
                <w:rFonts w:hint="eastAsia" w:ascii="Times New Roman" w:hAnsi="Times New Roman" w:cs="Times New Roman"/>
                <w:sz w:val="21"/>
                <w:szCs w:val="21"/>
              </w:rPr>
            </w:pPr>
          </w:p>
        </w:tc>
        <w:tc>
          <w:tcPr>
            <w:tcW w:w="572" w:type="pct"/>
            <w:vMerge w:val="continue"/>
            <w:noWrap w:val="0"/>
            <w:vAlign w:val="center"/>
          </w:tcPr>
          <w:p w14:paraId="287D3779">
            <w:pPr>
              <w:ind w:right="22"/>
              <w:jc w:val="center"/>
              <w:rPr>
                <w:rFonts w:ascii="Times New Roman" w:hAnsi="Times New Roman" w:cs="Times New Roman"/>
                <w:sz w:val="21"/>
                <w:szCs w:val="21"/>
              </w:rPr>
            </w:pPr>
          </w:p>
        </w:tc>
        <w:tc>
          <w:tcPr>
            <w:tcW w:w="705" w:type="pct"/>
            <w:shd w:val="clear" w:color="auto" w:fill="auto"/>
            <w:noWrap w:val="0"/>
            <w:vAlign w:val="center"/>
          </w:tcPr>
          <w:p w14:paraId="6F9E3A2D">
            <w:pPr>
              <w:jc w:val="center"/>
              <w:rPr>
                <w:rFonts w:hint="eastAsia" w:ascii="Times New Roman" w:hAnsi="Times New Roman" w:eastAsia="宋体" w:cs="Times New Roman"/>
                <w:sz w:val="21"/>
                <w:szCs w:val="21"/>
                <w:lang w:val="en-US" w:eastAsia="zh-CN" w:bidi="ar-SA"/>
              </w:rPr>
            </w:pPr>
            <w:r>
              <w:rPr>
                <w:rFonts w:hint="eastAsia" w:ascii="Times New Roman" w:hAnsi="Times New Roman" w:cs="Times New Roman"/>
                <w:sz w:val="21"/>
                <w:szCs w:val="21"/>
                <w:lang w:val="en-US" w:eastAsia="zh-CN"/>
              </w:rPr>
              <w:t>煤粉</w:t>
            </w:r>
          </w:p>
        </w:tc>
        <w:tc>
          <w:tcPr>
            <w:tcW w:w="705" w:type="pct"/>
            <w:noWrap w:val="0"/>
            <w:vAlign w:val="center"/>
          </w:tcPr>
          <w:p w14:paraId="32885E89">
            <w:pPr>
              <w:jc w:val="center"/>
              <w:rPr>
                <w:rFonts w:hint="eastAsia" w:ascii="Times New Roman" w:hAnsi="Times New Roman" w:cs="Times New Roman"/>
                <w:sz w:val="21"/>
                <w:szCs w:val="21"/>
              </w:rPr>
            </w:pPr>
            <w:r>
              <w:rPr>
                <w:rFonts w:hint="eastAsia" w:ascii="Times New Roman" w:hAnsi="Times New Roman" w:cs="Times New Roman"/>
                <w:sz w:val="21"/>
                <w:szCs w:val="21"/>
              </w:rPr>
              <w:t>袋装</w:t>
            </w:r>
          </w:p>
        </w:tc>
        <w:tc>
          <w:tcPr>
            <w:tcW w:w="706" w:type="pct"/>
            <w:shd w:val="clear" w:color="auto" w:fill="auto"/>
            <w:noWrap w:val="0"/>
            <w:vAlign w:val="center"/>
          </w:tcPr>
          <w:p w14:paraId="4C2D25DB">
            <w:pPr>
              <w:jc w:val="center"/>
              <w:rPr>
                <w:rFonts w:hint="eastAsia" w:ascii="Times New Roman" w:hAnsi="Times New Roman" w:eastAsia="宋体" w:cs="Times New Roman"/>
                <w:sz w:val="21"/>
                <w:szCs w:val="21"/>
                <w:lang w:val="en-US" w:eastAsia="zh-CN" w:bidi="ar-SA"/>
              </w:rPr>
            </w:pPr>
            <w:r>
              <w:rPr>
                <w:rFonts w:hint="eastAsia" w:ascii="Times New Roman" w:hAnsi="Times New Roman" w:cs="Times New Roman"/>
                <w:sz w:val="21"/>
                <w:szCs w:val="21"/>
                <w:lang w:val="en-US" w:eastAsia="zh-CN"/>
              </w:rPr>
              <w:t>12750</w:t>
            </w:r>
          </w:p>
        </w:tc>
        <w:tc>
          <w:tcPr>
            <w:tcW w:w="1116" w:type="dxa"/>
            <w:noWrap w:val="0"/>
            <w:vAlign w:val="center"/>
          </w:tcPr>
          <w:p w14:paraId="21529F75">
            <w:pPr>
              <w:ind w:right="22" w:rightChars="0"/>
              <w:jc w:val="center"/>
              <w:rPr>
                <w:rFonts w:hint="default" w:ascii="Times New Roman" w:hAnsi="Times New Roman" w:eastAsia="宋体" w:cs="Times New Roman"/>
                <w:sz w:val="21"/>
                <w:szCs w:val="21"/>
                <w:lang w:val="en-US" w:eastAsia="zh-CN"/>
              </w:rPr>
            </w:pPr>
            <w:r>
              <w:rPr>
                <w:rFonts w:hint="eastAsia" w:ascii="Times New Roman" w:hAnsi="Times New Roman" w:cs="Times New Roman"/>
                <w:sz w:val="21"/>
                <w:szCs w:val="21"/>
                <w:lang w:val="en-US" w:eastAsia="zh-CN"/>
              </w:rPr>
              <w:t>38.7</w:t>
            </w:r>
          </w:p>
        </w:tc>
        <w:tc>
          <w:tcPr>
            <w:tcW w:w="708" w:type="pct"/>
            <w:noWrap w:val="0"/>
            <w:vAlign w:val="center"/>
          </w:tcPr>
          <w:p w14:paraId="1A1A868B">
            <w:pPr>
              <w:ind w:right="22"/>
              <w:jc w:val="center"/>
              <w:rPr>
                <w:rFonts w:ascii="Times New Roman" w:hAnsi="Times New Roman" w:cs="Times New Roman"/>
                <w:sz w:val="21"/>
                <w:szCs w:val="21"/>
              </w:rPr>
            </w:pPr>
            <w:r>
              <w:rPr>
                <w:rFonts w:hint="eastAsia" w:ascii="Times New Roman" w:hAnsi="Times New Roman" w:cs="Times New Roman"/>
                <w:sz w:val="21"/>
                <w:szCs w:val="21"/>
              </w:rPr>
              <w:t>30</w:t>
            </w:r>
          </w:p>
        </w:tc>
      </w:tr>
      <w:tr w14:paraId="3953D5CB">
        <w:tblPrEx>
          <w:tblBorders>
            <w:top w:val="thinThickSmallGap" w:color="auto" w:sz="12" w:space="0"/>
            <w:left w:val="none" w:color="auto" w:sz="0" w:space="0"/>
            <w:bottom w:val="thickThinSmallGap" w:color="auto" w:sz="12"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88" w:hRule="atLeast"/>
          <w:jc w:val="center"/>
        </w:trPr>
        <w:tc>
          <w:tcPr>
            <w:tcW w:w="960" w:type="pct"/>
            <w:vMerge w:val="continue"/>
            <w:noWrap w:val="0"/>
            <w:vAlign w:val="center"/>
          </w:tcPr>
          <w:p w14:paraId="48D6DFE1">
            <w:pPr>
              <w:ind w:right="22"/>
              <w:jc w:val="center"/>
              <w:rPr>
                <w:rFonts w:hint="eastAsia" w:ascii="Times New Roman" w:hAnsi="Times New Roman" w:cs="Times New Roman"/>
                <w:sz w:val="21"/>
                <w:szCs w:val="21"/>
              </w:rPr>
            </w:pPr>
          </w:p>
        </w:tc>
        <w:tc>
          <w:tcPr>
            <w:tcW w:w="572" w:type="pct"/>
            <w:vMerge w:val="continue"/>
            <w:noWrap w:val="0"/>
            <w:vAlign w:val="center"/>
          </w:tcPr>
          <w:p w14:paraId="11A2CB1C">
            <w:pPr>
              <w:ind w:right="22"/>
              <w:jc w:val="center"/>
              <w:rPr>
                <w:rFonts w:ascii="Times New Roman" w:hAnsi="Times New Roman" w:cs="Times New Roman"/>
                <w:sz w:val="21"/>
                <w:szCs w:val="21"/>
              </w:rPr>
            </w:pPr>
          </w:p>
        </w:tc>
        <w:tc>
          <w:tcPr>
            <w:tcW w:w="705" w:type="pct"/>
            <w:shd w:val="clear" w:color="auto" w:fill="auto"/>
            <w:noWrap w:val="0"/>
            <w:vAlign w:val="center"/>
          </w:tcPr>
          <w:p w14:paraId="68C19E47">
            <w:pPr>
              <w:jc w:val="center"/>
              <w:rPr>
                <w:rFonts w:hint="eastAsia" w:ascii="Times New Roman" w:hAnsi="Times New Roman" w:eastAsia="宋体" w:cs="Times New Roman"/>
                <w:sz w:val="21"/>
                <w:szCs w:val="21"/>
                <w:lang w:val="en-US" w:eastAsia="zh-CN" w:bidi="ar-SA"/>
              </w:rPr>
            </w:pPr>
            <w:r>
              <w:rPr>
                <w:rFonts w:hint="eastAsia" w:ascii="Times New Roman" w:hAnsi="Times New Roman" w:cs="Times New Roman"/>
                <w:sz w:val="21"/>
                <w:szCs w:val="21"/>
                <w:lang w:val="en-US" w:eastAsia="zh-CN"/>
              </w:rPr>
              <w:t>焦粉</w:t>
            </w:r>
          </w:p>
        </w:tc>
        <w:tc>
          <w:tcPr>
            <w:tcW w:w="705" w:type="pct"/>
            <w:noWrap w:val="0"/>
            <w:vAlign w:val="center"/>
          </w:tcPr>
          <w:p w14:paraId="1EC24197">
            <w:pPr>
              <w:jc w:val="center"/>
              <w:rPr>
                <w:rFonts w:hint="eastAsia" w:ascii="Times New Roman" w:hAnsi="Times New Roman" w:cs="Times New Roman"/>
                <w:sz w:val="21"/>
                <w:szCs w:val="21"/>
              </w:rPr>
            </w:pPr>
            <w:r>
              <w:rPr>
                <w:rFonts w:hint="eastAsia" w:ascii="Times New Roman" w:hAnsi="Times New Roman" w:cs="Times New Roman"/>
                <w:sz w:val="21"/>
                <w:szCs w:val="21"/>
              </w:rPr>
              <w:t>袋装</w:t>
            </w:r>
          </w:p>
        </w:tc>
        <w:tc>
          <w:tcPr>
            <w:tcW w:w="706" w:type="pct"/>
            <w:shd w:val="clear" w:color="auto" w:fill="auto"/>
            <w:noWrap w:val="0"/>
            <w:vAlign w:val="center"/>
          </w:tcPr>
          <w:p w14:paraId="7899D044">
            <w:pPr>
              <w:jc w:val="center"/>
              <w:rPr>
                <w:rFonts w:hint="eastAsia" w:ascii="Times New Roman" w:hAnsi="Times New Roman" w:eastAsia="宋体" w:cs="Times New Roman"/>
                <w:sz w:val="21"/>
                <w:szCs w:val="21"/>
                <w:lang w:val="en-US" w:eastAsia="zh-CN" w:bidi="ar-SA"/>
              </w:rPr>
            </w:pPr>
            <w:r>
              <w:rPr>
                <w:rFonts w:hint="eastAsia" w:ascii="Times New Roman" w:hAnsi="Times New Roman" w:cs="Times New Roman"/>
                <w:sz w:val="21"/>
                <w:szCs w:val="21"/>
                <w:lang w:val="en-US" w:eastAsia="zh-CN"/>
              </w:rPr>
              <w:t>5960</w:t>
            </w:r>
          </w:p>
        </w:tc>
        <w:tc>
          <w:tcPr>
            <w:tcW w:w="1116" w:type="dxa"/>
            <w:noWrap w:val="0"/>
            <w:vAlign w:val="center"/>
          </w:tcPr>
          <w:p w14:paraId="1A5DE0BD">
            <w:pPr>
              <w:ind w:right="22" w:rightChars="0"/>
              <w:jc w:val="center"/>
              <w:rPr>
                <w:rFonts w:hint="default" w:ascii="Times New Roman" w:hAnsi="Times New Roman" w:eastAsia="宋体" w:cs="Times New Roman"/>
                <w:sz w:val="21"/>
                <w:szCs w:val="21"/>
                <w:lang w:val="en-US" w:eastAsia="zh-CN"/>
              </w:rPr>
            </w:pPr>
            <w:r>
              <w:rPr>
                <w:rFonts w:hint="eastAsia" w:ascii="Times New Roman" w:hAnsi="Times New Roman" w:cs="Times New Roman"/>
                <w:sz w:val="21"/>
                <w:szCs w:val="21"/>
                <w:lang w:val="en-US" w:eastAsia="zh-CN"/>
              </w:rPr>
              <w:t>18.1</w:t>
            </w:r>
          </w:p>
        </w:tc>
        <w:tc>
          <w:tcPr>
            <w:tcW w:w="708" w:type="pct"/>
            <w:noWrap w:val="0"/>
            <w:vAlign w:val="center"/>
          </w:tcPr>
          <w:p w14:paraId="40CDE36A">
            <w:pPr>
              <w:ind w:right="22"/>
              <w:jc w:val="center"/>
              <w:rPr>
                <w:rFonts w:ascii="Times New Roman" w:hAnsi="Times New Roman" w:cs="Times New Roman"/>
                <w:sz w:val="21"/>
                <w:szCs w:val="21"/>
              </w:rPr>
            </w:pPr>
            <w:r>
              <w:rPr>
                <w:rFonts w:hint="eastAsia" w:ascii="Times New Roman" w:hAnsi="Times New Roman" w:cs="Times New Roman"/>
                <w:sz w:val="21"/>
                <w:szCs w:val="21"/>
              </w:rPr>
              <w:t>30</w:t>
            </w:r>
          </w:p>
        </w:tc>
      </w:tr>
      <w:tr w14:paraId="2B9529C3">
        <w:tblPrEx>
          <w:tblBorders>
            <w:top w:val="thinThickSmallGap" w:color="auto" w:sz="12" w:space="0"/>
            <w:left w:val="none" w:color="auto" w:sz="0" w:space="0"/>
            <w:bottom w:val="thickThinSmallGap" w:color="auto" w:sz="12"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88" w:hRule="atLeast"/>
          <w:jc w:val="center"/>
        </w:trPr>
        <w:tc>
          <w:tcPr>
            <w:tcW w:w="960" w:type="pct"/>
            <w:vMerge w:val="continue"/>
            <w:noWrap w:val="0"/>
            <w:vAlign w:val="center"/>
          </w:tcPr>
          <w:p w14:paraId="30AA5DBE">
            <w:pPr>
              <w:ind w:right="22"/>
              <w:jc w:val="center"/>
              <w:rPr>
                <w:rFonts w:hint="eastAsia" w:ascii="Times New Roman" w:hAnsi="Times New Roman" w:cs="Times New Roman"/>
                <w:sz w:val="21"/>
                <w:szCs w:val="21"/>
              </w:rPr>
            </w:pPr>
          </w:p>
        </w:tc>
        <w:tc>
          <w:tcPr>
            <w:tcW w:w="572" w:type="pct"/>
            <w:vMerge w:val="continue"/>
            <w:noWrap w:val="0"/>
            <w:vAlign w:val="center"/>
          </w:tcPr>
          <w:p w14:paraId="6F437564">
            <w:pPr>
              <w:ind w:right="22"/>
              <w:jc w:val="center"/>
              <w:rPr>
                <w:rFonts w:ascii="Times New Roman" w:hAnsi="Times New Roman" w:cs="Times New Roman"/>
                <w:sz w:val="21"/>
                <w:szCs w:val="21"/>
              </w:rPr>
            </w:pPr>
          </w:p>
        </w:tc>
        <w:tc>
          <w:tcPr>
            <w:tcW w:w="705" w:type="pct"/>
            <w:noWrap w:val="0"/>
            <w:vAlign w:val="center"/>
          </w:tcPr>
          <w:p w14:paraId="720A10DE">
            <w:pPr>
              <w:jc w:val="center"/>
              <w:rPr>
                <w:rFonts w:hint="eastAsia" w:ascii="Times New Roman" w:hAnsi="Times New Roman" w:cs="Times New Roman"/>
                <w:sz w:val="21"/>
                <w:szCs w:val="21"/>
              </w:rPr>
            </w:pPr>
            <w:r>
              <w:rPr>
                <w:rFonts w:hint="eastAsia" w:ascii="Times New Roman" w:hAnsi="Times New Roman" w:cs="Times New Roman"/>
                <w:sz w:val="21"/>
                <w:szCs w:val="21"/>
                <w:lang w:val="en-US" w:eastAsia="zh-CN"/>
              </w:rPr>
              <w:t>膨胀土</w:t>
            </w:r>
          </w:p>
        </w:tc>
        <w:tc>
          <w:tcPr>
            <w:tcW w:w="705" w:type="pct"/>
            <w:noWrap w:val="0"/>
            <w:vAlign w:val="center"/>
          </w:tcPr>
          <w:p w14:paraId="7342313C">
            <w:pPr>
              <w:jc w:val="center"/>
              <w:rPr>
                <w:rFonts w:hint="eastAsia" w:ascii="Times New Roman" w:hAnsi="Times New Roman" w:cs="Times New Roman"/>
                <w:sz w:val="21"/>
                <w:szCs w:val="21"/>
              </w:rPr>
            </w:pPr>
            <w:r>
              <w:rPr>
                <w:rFonts w:hint="eastAsia" w:ascii="Times New Roman" w:hAnsi="Times New Roman" w:cs="Times New Roman"/>
                <w:sz w:val="21"/>
                <w:szCs w:val="21"/>
              </w:rPr>
              <w:t>袋装</w:t>
            </w:r>
          </w:p>
        </w:tc>
        <w:tc>
          <w:tcPr>
            <w:tcW w:w="706" w:type="pct"/>
            <w:noWrap w:val="0"/>
            <w:vAlign w:val="center"/>
          </w:tcPr>
          <w:p w14:paraId="7A881C7F">
            <w:pPr>
              <w:jc w:val="center"/>
              <w:rPr>
                <w:rFonts w:hint="eastAsia" w:ascii="Times New Roman" w:hAnsi="Times New Roman" w:cs="Times New Roman"/>
                <w:sz w:val="21"/>
                <w:szCs w:val="21"/>
              </w:rPr>
            </w:pPr>
            <w:r>
              <w:rPr>
                <w:rFonts w:hint="eastAsia" w:ascii="Times New Roman" w:hAnsi="Times New Roman" w:cs="Times New Roman"/>
                <w:sz w:val="21"/>
                <w:szCs w:val="21"/>
              </w:rPr>
              <w:t>500</w:t>
            </w:r>
          </w:p>
        </w:tc>
        <w:tc>
          <w:tcPr>
            <w:tcW w:w="1116" w:type="dxa"/>
            <w:noWrap w:val="0"/>
            <w:vAlign w:val="center"/>
          </w:tcPr>
          <w:p w14:paraId="0569C832">
            <w:pPr>
              <w:ind w:right="22" w:rightChars="0"/>
              <w:jc w:val="center"/>
              <w:rPr>
                <w:rFonts w:hint="default" w:ascii="Times New Roman" w:hAnsi="Times New Roman" w:eastAsia="宋体" w:cs="Times New Roman"/>
                <w:sz w:val="21"/>
                <w:szCs w:val="21"/>
                <w:lang w:val="en-US" w:eastAsia="zh-CN"/>
              </w:rPr>
            </w:pPr>
            <w:r>
              <w:rPr>
                <w:rFonts w:hint="eastAsia" w:ascii="Times New Roman" w:hAnsi="Times New Roman" w:cs="Times New Roman"/>
                <w:sz w:val="21"/>
                <w:szCs w:val="21"/>
                <w:lang w:val="en-US" w:eastAsia="zh-CN"/>
              </w:rPr>
              <w:t>1.52</w:t>
            </w:r>
          </w:p>
        </w:tc>
        <w:tc>
          <w:tcPr>
            <w:tcW w:w="708" w:type="pct"/>
            <w:noWrap w:val="0"/>
            <w:vAlign w:val="center"/>
          </w:tcPr>
          <w:p w14:paraId="1C012E15">
            <w:pPr>
              <w:ind w:right="22"/>
              <w:jc w:val="center"/>
              <w:rPr>
                <w:rFonts w:ascii="Times New Roman" w:hAnsi="Times New Roman" w:cs="Times New Roman"/>
                <w:sz w:val="21"/>
                <w:szCs w:val="21"/>
              </w:rPr>
            </w:pPr>
            <w:r>
              <w:rPr>
                <w:rFonts w:hint="eastAsia" w:ascii="Times New Roman" w:hAnsi="Times New Roman" w:cs="Times New Roman"/>
                <w:sz w:val="21"/>
                <w:szCs w:val="21"/>
              </w:rPr>
              <w:t>30</w:t>
            </w:r>
          </w:p>
        </w:tc>
      </w:tr>
      <w:tr w14:paraId="35F6D527">
        <w:tblPrEx>
          <w:tblBorders>
            <w:top w:val="thinThickSmallGap" w:color="auto" w:sz="12" w:space="0"/>
            <w:left w:val="none" w:color="auto" w:sz="0" w:space="0"/>
            <w:bottom w:val="thickThinSmallGap" w:color="auto" w:sz="12"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88" w:hRule="atLeast"/>
          <w:jc w:val="center"/>
        </w:trPr>
        <w:tc>
          <w:tcPr>
            <w:tcW w:w="960" w:type="pct"/>
            <w:vMerge w:val="continue"/>
            <w:noWrap w:val="0"/>
            <w:vAlign w:val="center"/>
          </w:tcPr>
          <w:p w14:paraId="7F88BADA">
            <w:pPr>
              <w:ind w:right="22"/>
              <w:jc w:val="center"/>
              <w:rPr>
                <w:rFonts w:hint="eastAsia" w:ascii="Times New Roman" w:hAnsi="Times New Roman" w:cs="Times New Roman"/>
                <w:sz w:val="21"/>
                <w:szCs w:val="21"/>
              </w:rPr>
            </w:pPr>
          </w:p>
        </w:tc>
        <w:tc>
          <w:tcPr>
            <w:tcW w:w="572" w:type="pct"/>
            <w:vMerge w:val="continue"/>
            <w:noWrap w:val="0"/>
            <w:vAlign w:val="center"/>
          </w:tcPr>
          <w:p w14:paraId="4A42540F">
            <w:pPr>
              <w:ind w:right="22"/>
              <w:jc w:val="center"/>
              <w:rPr>
                <w:rFonts w:ascii="Times New Roman" w:hAnsi="Times New Roman" w:cs="Times New Roman"/>
                <w:sz w:val="21"/>
                <w:szCs w:val="21"/>
              </w:rPr>
            </w:pPr>
          </w:p>
        </w:tc>
        <w:tc>
          <w:tcPr>
            <w:tcW w:w="705" w:type="pct"/>
            <w:noWrap w:val="0"/>
            <w:vAlign w:val="center"/>
          </w:tcPr>
          <w:p w14:paraId="7801744E">
            <w:pPr>
              <w:jc w:val="center"/>
              <w:rPr>
                <w:rFonts w:hint="eastAsia" w:ascii="Times New Roman" w:hAnsi="Times New Roman" w:cs="Times New Roman"/>
                <w:sz w:val="21"/>
                <w:szCs w:val="21"/>
              </w:rPr>
            </w:pPr>
            <w:r>
              <w:rPr>
                <w:rFonts w:hint="eastAsia" w:ascii="Times New Roman" w:hAnsi="Times New Roman" w:cs="Times New Roman"/>
                <w:sz w:val="21"/>
                <w:szCs w:val="21"/>
                <w:lang w:val="en-US" w:eastAsia="zh-CN"/>
              </w:rPr>
              <w:t>石灰石</w:t>
            </w:r>
          </w:p>
        </w:tc>
        <w:tc>
          <w:tcPr>
            <w:tcW w:w="705" w:type="pct"/>
            <w:noWrap w:val="0"/>
            <w:vAlign w:val="center"/>
          </w:tcPr>
          <w:p w14:paraId="1A0DFD9F">
            <w:pPr>
              <w:jc w:val="center"/>
              <w:rPr>
                <w:rFonts w:hint="eastAsia" w:ascii="Times New Roman" w:hAnsi="Times New Roman" w:cs="Times New Roman"/>
                <w:sz w:val="21"/>
                <w:szCs w:val="21"/>
              </w:rPr>
            </w:pPr>
            <w:r>
              <w:rPr>
                <w:rFonts w:hint="eastAsia" w:ascii="Times New Roman" w:hAnsi="Times New Roman" w:cs="Times New Roman"/>
                <w:sz w:val="21"/>
                <w:szCs w:val="21"/>
              </w:rPr>
              <w:t>袋装</w:t>
            </w:r>
          </w:p>
        </w:tc>
        <w:tc>
          <w:tcPr>
            <w:tcW w:w="706" w:type="pct"/>
            <w:noWrap w:val="0"/>
            <w:vAlign w:val="center"/>
          </w:tcPr>
          <w:p w14:paraId="6873A79A">
            <w:pPr>
              <w:jc w:val="center"/>
              <w:rPr>
                <w:rFonts w:hint="default" w:ascii="Times New Roman" w:hAnsi="Times New Roman" w:eastAsia="宋体" w:cs="Times New Roman"/>
                <w:sz w:val="21"/>
                <w:szCs w:val="21"/>
                <w:lang w:val="en-US" w:eastAsia="zh-CN"/>
              </w:rPr>
            </w:pPr>
            <w:r>
              <w:rPr>
                <w:rFonts w:hint="eastAsia" w:ascii="Times New Roman" w:hAnsi="Times New Roman" w:cs="Times New Roman"/>
                <w:sz w:val="21"/>
                <w:szCs w:val="21"/>
                <w:lang w:val="en-US" w:eastAsia="zh-CN"/>
              </w:rPr>
              <w:t>47480</w:t>
            </w:r>
          </w:p>
        </w:tc>
        <w:tc>
          <w:tcPr>
            <w:tcW w:w="639" w:type="pct"/>
            <w:noWrap w:val="0"/>
            <w:vAlign w:val="center"/>
          </w:tcPr>
          <w:p w14:paraId="0173DD06">
            <w:pPr>
              <w:ind w:right="22"/>
              <w:jc w:val="center"/>
              <w:rPr>
                <w:rFonts w:hint="default" w:ascii="Times New Roman" w:hAnsi="Times New Roman" w:eastAsia="宋体" w:cs="Times New Roman"/>
                <w:sz w:val="21"/>
                <w:szCs w:val="21"/>
                <w:lang w:val="en-US" w:eastAsia="zh-CN"/>
              </w:rPr>
            </w:pPr>
            <w:r>
              <w:rPr>
                <w:rFonts w:hint="eastAsia" w:ascii="Times New Roman" w:hAnsi="Times New Roman" w:cs="Times New Roman"/>
                <w:sz w:val="21"/>
                <w:szCs w:val="21"/>
                <w:lang w:val="en-US" w:eastAsia="zh-CN"/>
              </w:rPr>
              <w:t>144</w:t>
            </w:r>
          </w:p>
        </w:tc>
        <w:tc>
          <w:tcPr>
            <w:tcW w:w="708" w:type="pct"/>
            <w:noWrap w:val="0"/>
            <w:vAlign w:val="center"/>
          </w:tcPr>
          <w:p w14:paraId="7127C89E">
            <w:pPr>
              <w:ind w:right="22"/>
              <w:jc w:val="center"/>
              <w:rPr>
                <w:rFonts w:hint="default" w:ascii="Times New Roman" w:hAnsi="Times New Roman" w:eastAsia="宋体" w:cs="Times New Roman"/>
                <w:sz w:val="21"/>
                <w:szCs w:val="21"/>
                <w:lang w:val="en-US" w:eastAsia="zh-CN"/>
              </w:rPr>
            </w:pPr>
            <w:r>
              <w:rPr>
                <w:rFonts w:hint="eastAsia" w:ascii="Times New Roman" w:hAnsi="Times New Roman" w:cs="Times New Roman"/>
                <w:sz w:val="21"/>
                <w:szCs w:val="21"/>
                <w:lang w:val="en-US" w:eastAsia="zh-CN"/>
              </w:rPr>
              <w:t>30</w:t>
            </w:r>
          </w:p>
        </w:tc>
      </w:tr>
      <w:tr w14:paraId="60395E8F">
        <w:tblPrEx>
          <w:tblBorders>
            <w:top w:val="thinThickSmallGap" w:color="auto" w:sz="12" w:space="0"/>
            <w:left w:val="none" w:color="auto" w:sz="0" w:space="0"/>
            <w:bottom w:val="thickThinSmallGap" w:color="auto" w:sz="12"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88" w:hRule="atLeast"/>
          <w:jc w:val="center"/>
        </w:trPr>
        <w:tc>
          <w:tcPr>
            <w:tcW w:w="960" w:type="pct"/>
            <w:noWrap w:val="0"/>
            <w:vAlign w:val="center"/>
          </w:tcPr>
          <w:p w14:paraId="73D48F75">
            <w:pPr>
              <w:ind w:right="22"/>
              <w:jc w:val="center"/>
              <w:rPr>
                <w:rFonts w:hint="eastAsia" w:ascii="Times New Roman" w:hAnsi="Times New Roman" w:eastAsia="宋体" w:cs="Times New Roman"/>
                <w:sz w:val="21"/>
                <w:szCs w:val="21"/>
                <w:lang w:val="en-US" w:eastAsia="zh-CN"/>
              </w:rPr>
            </w:pPr>
            <w:r>
              <w:rPr>
                <w:rFonts w:hint="eastAsia" w:ascii="Times New Roman" w:hAnsi="Times New Roman" w:cs="Times New Roman"/>
                <w:sz w:val="21"/>
                <w:szCs w:val="21"/>
                <w:lang w:val="en-US" w:eastAsia="zh-CN"/>
              </w:rPr>
              <w:t>氨水储罐</w:t>
            </w:r>
          </w:p>
        </w:tc>
        <w:tc>
          <w:tcPr>
            <w:tcW w:w="572" w:type="pct"/>
            <w:noWrap w:val="0"/>
            <w:vAlign w:val="center"/>
          </w:tcPr>
          <w:p w14:paraId="6F375280">
            <w:pPr>
              <w:ind w:right="22"/>
              <w:jc w:val="center"/>
              <w:rPr>
                <w:rFonts w:ascii="Times New Roman" w:hAnsi="Times New Roman" w:cs="Times New Roman"/>
                <w:sz w:val="21"/>
                <w:szCs w:val="21"/>
              </w:rPr>
            </w:pPr>
          </w:p>
        </w:tc>
        <w:tc>
          <w:tcPr>
            <w:tcW w:w="705" w:type="pct"/>
            <w:noWrap w:val="0"/>
            <w:vAlign w:val="center"/>
          </w:tcPr>
          <w:p w14:paraId="4936F9DE">
            <w:pPr>
              <w:jc w:val="center"/>
              <w:rPr>
                <w:rFonts w:hint="eastAsia" w:ascii="Times New Roman" w:hAnsi="Times New Roman" w:eastAsia="宋体" w:cs="Times New Roman"/>
                <w:sz w:val="21"/>
                <w:szCs w:val="21"/>
                <w:lang w:val="en-US" w:eastAsia="zh-CN"/>
              </w:rPr>
            </w:pPr>
            <w:r>
              <w:rPr>
                <w:rFonts w:hint="eastAsia" w:ascii="Times New Roman" w:hAnsi="Times New Roman" w:cs="Times New Roman"/>
                <w:sz w:val="21"/>
                <w:szCs w:val="21"/>
                <w:lang w:val="en-US" w:eastAsia="zh-CN"/>
              </w:rPr>
              <w:t>氨水</w:t>
            </w:r>
          </w:p>
        </w:tc>
        <w:tc>
          <w:tcPr>
            <w:tcW w:w="705" w:type="pct"/>
            <w:noWrap w:val="0"/>
            <w:vAlign w:val="center"/>
          </w:tcPr>
          <w:p w14:paraId="14379EE6">
            <w:pPr>
              <w:jc w:val="center"/>
              <w:rPr>
                <w:rFonts w:hint="eastAsia" w:ascii="Times New Roman" w:hAnsi="Times New Roman" w:eastAsia="宋体" w:cs="Times New Roman"/>
                <w:sz w:val="21"/>
                <w:szCs w:val="21"/>
                <w:lang w:val="en-US" w:eastAsia="zh-CN"/>
              </w:rPr>
            </w:pPr>
            <w:r>
              <w:rPr>
                <w:rFonts w:hint="eastAsia" w:ascii="Times New Roman" w:hAnsi="Times New Roman" w:cs="Times New Roman"/>
                <w:sz w:val="21"/>
                <w:szCs w:val="21"/>
                <w:lang w:val="en-US" w:eastAsia="zh-CN"/>
              </w:rPr>
              <w:t>罐装</w:t>
            </w:r>
          </w:p>
        </w:tc>
        <w:tc>
          <w:tcPr>
            <w:tcW w:w="706" w:type="pct"/>
            <w:noWrap w:val="0"/>
            <w:vAlign w:val="center"/>
          </w:tcPr>
          <w:p w14:paraId="44DE898C">
            <w:pPr>
              <w:jc w:val="center"/>
              <w:rPr>
                <w:rFonts w:hint="default" w:ascii="Times New Roman" w:hAnsi="Times New Roman" w:eastAsia="宋体" w:cs="Times New Roman"/>
                <w:sz w:val="21"/>
                <w:szCs w:val="21"/>
                <w:lang w:val="en-US" w:eastAsia="zh-CN"/>
              </w:rPr>
            </w:pPr>
            <w:r>
              <w:rPr>
                <w:rFonts w:hint="eastAsia" w:ascii="Times New Roman" w:hAnsi="Times New Roman" w:cs="Times New Roman"/>
                <w:sz w:val="21"/>
                <w:szCs w:val="21"/>
                <w:lang w:val="en-US" w:eastAsia="zh-CN"/>
              </w:rPr>
              <w:t>150</w:t>
            </w:r>
          </w:p>
        </w:tc>
        <w:tc>
          <w:tcPr>
            <w:tcW w:w="639" w:type="pct"/>
            <w:noWrap w:val="0"/>
            <w:vAlign w:val="center"/>
          </w:tcPr>
          <w:p w14:paraId="639B2C0C">
            <w:pPr>
              <w:ind w:right="22"/>
              <w:jc w:val="center"/>
              <w:rPr>
                <w:rFonts w:hint="default" w:ascii="Times New Roman" w:hAnsi="Times New Roman" w:eastAsia="宋体" w:cs="Times New Roman"/>
                <w:sz w:val="21"/>
                <w:szCs w:val="21"/>
                <w:lang w:val="en-US" w:eastAsia="zh-CN"/>
              </w:rPr>
            </w:pPr>
            <w:r>
              <w:rPr>
                <w:rFonts w:hint="eastAsia" w:ascii="Times New Roman" w:hAnsi="Times New Roman" w:cs="Times New Roman"/>
                <w:sz w:val="21"/>
                <w:szCs w:val="21"/>
                <w:lang w:val="en-US" w:eastAsia="zh-CN"/>
              </w:rPr>
              <w:t>0.45</w:t>
            </w:r>
          </w:p>
        </w:tc>
        <w:tc>
          <w:tcPr>
            <w:tcW w:w="708" w:type="pct"/>
            <w:noWrap w:val="0"/>
            <w:vAlign w:val="center"/>
          </w:tcPr>
          <w:p w14:paraId="02D32D10">
            <w:pPr>
              <w:ind w:right="22"/>
              <w:jc w:val="center"/>
              <w:rPr>
                <w:rFonts w:hint="default" w:ascii="Times New Roman" w:hAnsi="Times New Roman" w:eastAsia="宋体" w:cs="Times New Roman"/>
                <w:sz w:val="21"/>
                <w:szCs w:val="21"/>
                <w:lang w:val="en-US" w:eastAsia="zh-CN"/>
              </w:rPr>
            </w:pPr>
            <w:r>
              <w:rPr>
                <w:rFonts w:hint="eastAsia" w:ascii="Times New Roman" w:hAnsi="Times New Roman" w:cs="Times New Roman"/>
                <w:sz w:val="21"/>
                <w:szCs w:val="21"/>
                <w:lang w:val="en-US" w:eastAsia="zh-CN"/>
              </w:rPr>
              <w:t>15</w:t>
            </w:r>
          </w:p>
        </w:tc>
      </w:tr>
    </w:tbl>
    <w:p w14:paraId="5F6426FE">
      <w:pPr>
        <w:pStyle w:val="7"/>
        <w:rPr>
          <w:rFonts w:hint="eastAsia"/>
          <w:lang w:eastAsia="zh-CN"/>
        </w:rPr>
      </w:pPr>
      <w:bookmarkStart w:id="259" w:name="_Toc90026253"/>
      <w:bookmarkStart w:id="260" w:name="_Toc21814"/>
      <w:r>
        <w:rPr>
          <w:rFonts w:hint="eastAsia"/>
          <w:lang w:eastAsia="zh-CN"/>
        </w:rPr>
        <w:t>3</w:t>
      </w:r>
      <w:r>
        <w:t>.</w:t>
      </w:r>
      <w:r>
        <w:rPr>
          <w:rFonts w:hint="eastAsia"/>
          <w:lang w:eastAsia="zh-CN"/>
        </w:rPr>
        <w:t>1</w:t>
      </w:r>
      <w:r>
        <w:t>.7 公</w:t>
      </w:r>
      <w:r>
        <w:rPr>
          <w:lang w:eastAsia="zh-CN"/>
        </w:rPr>
        <w:t>辅</w:t>
      </w:r>
      <w:r>
        <w:t>工程</w:t>
      </w:r>
      <w:bookmarkEnd w:id="259"/>
      <w:bookmarkEnd w:id="260"/>
    </w:p>
    <w:p w14:paraId="5BFA87C6">
      <w:pPr>
        <w:spacing w:line="500" w:lineRule="exact"/>
        <w:ind w:right="6" w:firstLine="482" w:firstLineChars="200"/>
        <w:rPr>
          <w:rFonts w:ascii="Times New Roman" w:hAnsi="Times New Roman" w:cs="Times New Roman"/>
          <w:b/>
        </w:rPr>
      </w:pPr>
      <w:r>
        <w:rPr>
          <w:rFonts w:ascii="Times New Roman" w:hAnsi="Times New Roman" w:cs="Times New Roman"/>
          <w:b/>
        </w:rPr>
        <w:t>（1）给水</w:t>
      </w:r>
    </w:p>
    <w:p w14:paraId="21EB931D">
      <w:pPr>
        <w:spacing w:line="500" w:lineRule="exact"/>
        <w:ind w:right="6" w:firstLine="480" w:firstLineChars="200"/>
        <w:jc w:val="both"/>
        <w:rPr>
          <w:rFonts w:hint="default" w:ascii="Times New Roman" w:hAnsi="Times New Roman" w:eastAsia="宋体" w:cs="Times New Roman"/>
          <w:lang w:val="en-US" w:eastAsia="zh-CN"/>
        </w:rPr>
      </w:pPr>
      <w:r>
        <w:rPr>
          <w:rFonts w:hint="eastAsia" w:ascii="Times New Roman" w:hAnsi="Times New Roman" w:cs="Times New Roman"/>
        </w:rPr>
        <w:t>本项目实施后厂内给水工程不发生变化，</w:t>
      </w:r>
      <w:r>
        <w:rPr>
          <w:rFonts w:ascii="Times New Roman" w:hAnsi="Times New Roman" w:cs="Times New Roman"/>
        </w:rPr>
        <w:t>由</w:t>
      </w:r>
      <w:r>
        <w:rPr>
          <w:rFonts w:hint="eastAsia" w:ascii="Times New Roman" w:hAnsi="Times New Roman" w:cs="Times New Roman"/>
          <w:lang w:val="en-US" w:eastAsia="zh-CN"/>
        </w:rPr>
        <w:t>厂区地下水</w:t>
      </w:r>
      <w:r>
        <w:rPr>
          <w:rFonts w:ascii="Times New Roman" w:hAnsi="Times New Roman" w:cs="Times New Roman"/>
        </w:rPr>
        <w:t>提供，可满足用</w:t>
      </w:r>
      <w:r>
        <w:rPr>
          <w:rFonts w:hint="eastAsia" w:ascii="Times New Roman" w:hAnsi="Times New Roman" w:cs="Times New Roman"/>
        </w:rPr>
        <w:t>水</w:t>
      </w:r>
      <w:r>
        <w:rPr>
          <w:rFonts w:ascii="Times New Roman" w:hAnsi="Times New Roman" w:cs="Times New Roman"/>
        </w:rPr>
        <w:t>需要</w:t>
      </w:r>
      <w:r>
        <w:rPr>
          <w:rFonts w:hint="eastAsia" w:ascii="Times New Roman" w:hAnsi="Times New Roman" w:cs="Times New Roman"/>
        </w:rPr>
        <w:t>。本项目</w:t>
      </w:r>
      <w:r>
        <w:rPr>
          <w:rFonts w:hint="eastAsia" w:ascii="Times New Roman" w:hAnsi="Times New Roman" w:cs="Times New Roman"/>
          <w:lang w:val="en-US" w:eastAsia="zh-CN"/>
        </w:rPr>
        <w:t>产品产能不变，冷却</w:t>
      </w:r>
      <w:r>
        <w:rPr>
          <w:rFonts w:hint="eastAsia" w:ascii="Times New Roman" w:hAnsi="Times New Roman" w:cs="Times New Roman"/>
        </w:rPr>
        <w:t>系统用水水量不发生变化。</w:t>
      </w:r>
      <w:r>
        <w:rPr>
          <w:rFonts w:hint="eastAsia" w:ascii="Times New Roman" w:hAnsi="Times New Roman" w:cs="Times New Roman"/>
          <w:lang w:val="en-US" w:eastAsia="zh-CN"/>
        </w:rPr>
        <w:t>增加脱硫系统用水，</w:t>
      </w:r>
      <w:r>
        <w:rPr>
          <w:rFonts w:hint="eastAsia" w:ascii="Times New Roman" w:cs="Times New Roman"/>
        </w:rPr>
        <w:t>循环量为</w:t>
      </w:r>
      <w:r>
        <w:rPr>
          <w:rFonts w:ascii="Times New Roman" w:cs="Times New Roman"/>
        </w:rPr>
        <w:t>260m</w:t>
      </w:r>
      <w:r>
        <w:rPr>
          <w:rFonts w:ascii="Times New Roman" w:cs="Times New Roman"/>
          <w:vertAlign w:val="superscript"/>
        </w:rPr>
        <w:t>3</w:t>
      </w:r>
      <w:r>
        <w:rPr>
          <w:rFonts w:ascii="Times New Roman" w:cs="Times New Roman"/>
        </w:rPr>
        <w:t>/h</w:t>
      </w:r>
      <w:r>
        <w:rPr>
          <w:rFonts w:hint="eastAsia" w:ascii="Times New Roman" w:cs="Times New Roman"/>
        </w:rPr>
        <w:t>，</w:t>
      </w:r>
      <w:r>
        <w:rPr>
          <w:rFonts w:ascii="Times New Roman" w:cs="Times New Roman"/>
        </w:rPr>
        <w:t>新水补充量6m</w:t>
      </w:r>
      <w:r>
        <w:rPr>
          <w:rFonts w:ascii="Times New Roman" w:cs="Times New Roman"/>
          <w:vertAlign w:val="superscript"/>
        </w:rPr>
        <w:t>3</w:t>
      </w:r>
      <w:r>
        <w:rPr>
          <w:rFonts w:ascii="Times New Roman" w:cs="Times New Roman"/>
        </w:rPr>
        <w:t>/h</w:t>
      </w:r>
      <w:r>
        <w:rPr>
          <w:rFonts w:hint="eastAsia" w:ascii="Times New Roman" w:hAnsi="Times New Roman" w:cs="Times New Roman"/>
        </w:rPr>
        <w:t>。</w:t>
      </w:r>
    </w:p>
    <w:p w14:paraId="27AC876F">
      <w:pPr>
        <w:spacing w:line="500" w:lineRule="exact"/>
        <w:ind w:right="6" w:firstLine="482" w:firstLineChars="200"/>
        <w:rPr>
          <w:rFonts w:ascii="Times New Roman" w:hAnsi="Times New Roman" w:cs="Times New Roman"/>
          <w:b/>
        </w:rPr>
      </w:pPr>
      <w:r>
        <w:rPr>
          <w:rFonts w:ascii="Times New Roman" w:hAnsi="Times New Roman" w:cs="Times New Roman"/>
          <w:b/>
        </w:rPr>
        <w:t>（2）排水</w:t>
      </w:r>
    </w:p>
    <w:p w14:paraId="3E8FF85D">
      <w:pPr>
        <w:spacing w:line="500" w:lineRule="exact"/>
        <w:ind w:right="6" w:firstLine="480" w:firstLineChars="200"/>
        <w:jc w:val="both"/>
        <w:rPr>
          <w:rFonts w:ascii="Times New Roman" w:hAnsi="Times New Roman" w:cs="Times New Roman"/>
        </w:rPr>
      </w:pPr>
      <w:r>
        <w:rPr>
          <w:rFonts w:hint="eastAsia" w:ascii="Times New Roman" w:hAnsi="Times New Roman" w:cs="Times New Roman"/>
        </w:rPr>
        <w:t>本项目实施后厂内排水工程不发生变化。本项目实施后不新增生活污水，新增</w:t>
      </w:r>
      <w:r>
        <w:rPr>
          <w:rFonts w:hint="eastAsia" w:ascii="Times New Roman" w:hAnsi="Times New Roman" w:cs="Times New Roman"/>
          <w:lang w:val="en-US" w:eastAsia="zh-CN"/>
        </w:rPr>
        <w:t>脱硫系统废水循环使用</w:t>
      </w:r>
      <w:r>
        <w:rPr>
          <w:rFonts w:hint="eastAsia" w:ascii="Times New Roman" w:hAnsi="Times New Roman" w:cs="Times New Roman"/>
        </w:rPr>
        <w:t>，不外排。</w:t>
      </w:r>
    </w:p>
    <w:p w14:paraId="254E6167">
      <w:pPr>
        <w:spacing w:line="500" w:lineRule="exact"/>
        <w:ind w:right="6" w:firstLine="482" w:firstLineChars="200"/>
        <w:rPr>
          <w:rFonts w:ascii="Times New Roman" w:hAnsi="Times New Roman" w:cs="Times New Roman"/>
          <w:b/>
        </w:rPr>
      </w:pPr>
      <w:r>
        <w:rPr>
          <w:rFonts w:ascii="Times New Roman" w:hAnsi="Times New Roman" w:cs="Times New Roman"/>
          <w:b/>
        </w:rPr>
        <w:t>（</w:t>
      </w:r>
      <w:r>
        <w:rPr>
          <w:rFonts w:hint="eastAsia" w:ascii="Times New Roman" w:hAnsi="Times New Roman" w:cs="Times New Roman"/>
          <w:b/>
        </w:rPr>
        <w:t>3</w:t>
      </w:r>
      <w:r>
        <w:rPr>
          <w:rFonts w:ascii="Times New Roman" w:hAnsi="Times New Roman" w:cs="Times New Roman"/>
          <w:b/>
        </w:rPr>
        <w:t>）供热工程</w:t>
      </w:r>
    </w:p>
    <w:p w14:paraId="02EDDEA6">
      <w:pPr>
        <w:spacing w:line="500" w:lineRule="exact"/>
        <w:ind w:right="6" w:firstLine="480" w:firstLineChars="200"/>
        <w:rPr>
          <w:rFonts w:ascii="Times New Roman" w:hAnsi="Times New Roman" w:cs="Times New Roman"/>
        </w:rPr>
      </w:pPr>
      <w:r>
        <w:rPr>
          <w:rFonts w:hint="eastAsia" w:ascii="Times New Roman" w:hAnsi="Times New Roman" w:cs="Times New Roman"/>
        </w:rPr>
        <w:t>技改项目实施后厂内供热工程不发生变化，生产车间不采暖，办公楼</w:t>
      </w:r>
      <w:r>
        <w:rPr>
          <w:rFonts w:hint="eastAsia" w:ascii="Times New Roman" w:hAnsi="Times New Roman" w:cs="Times New Roman"/>
          <w:lang w:val="en-US" w:eastAsia="zh-CN"/>
        </w:rPr>
        <w:t>电</w:t>
      </w:r>
      <w:r>
        <w:rPr>
          <w:rFonts w:hint="eastAsia" w:ascii="Times New Roman" w:hAnsi="Times New Roman" w:cs="Times New Roman"/>
        </w:rPr>
        <w:t>采暖。</w:t>
      </w:r>
    </w:p>
    <w:p w14:paraId="6A5B7E63">
      <w:pPr>
        <w:spacing w:line="500" w:lineRule="exact"/>
        <w:ind w:right="6" w:firstLine="482" w:firstLineChars="200"/>
        <w:rPr>
          <w:rFonts w:ascii="Times New Roman" w:hAnsi="Times New Roman" w:cs="Times New Roman"/>
          <w:b/>
        </w:rPr>
      </w:pPr>
      <w:r>
        <w:rPr>
          <w:rFonts w:ascii="Times New Roman" w:hAnsi="Times New Roman" w:cs="Times New Roman"/>
          <w:b/>
        </w:rPr>
        <w:t>（</w:t>
      </w:r>
      <w:r>
        <w:rPr>
          <w:rFonts w:hint="eastAsia" w:ascii="Times New Roman" w:hAnsi="Times New Roman" w:cs="Times New Roman"/>
          <w:b/>
        </w:rPr>
        <w:t>4</w:t>
      </w:r>
      <w:r>
        <w:rPr>
          <w:rFonts w:ascii="Times New Roman" w:hAnsi="Times New Roman" w:cs="Times New Roman"/>
          <w:b/>
        </w:rPr>
        <w:t>）供电工程</w:t>
      </w:r>
    </w:p>
    <w:p w14:paraId="20150E6C">
      <w:pPr>
        <w:spacing w:line="500" w:lineRule="exact"/>
        <w:ind w:right="6" w:firstLine="480" w:firstLineChars="200"/>
        <w:jc w:val="both"/>
        <w:rPr>
          <w:rFonts w:ascii="Times New Roman" w:hAnsi="Times New Roman" w:cs="Times New Roman"/>
        </w:rPr>
      </w:pPr>
      <w:r>
        <w:rPr>
          <w:rFonts w:hint="eastAsia" w:ascii="Times New Roman" w:hAnsi="Times New Roman" w:cs="Times New Roman"/>
        </w:rPr>
        <w:t>本项目实施后厂内供电工程不发生变化，由</w:t>
      </w:r>
      <w:r>
        <w:rPr>
          <w:rFonts w:hint="eastAsia" w:ascii="Times New Roman" w:hAnsi="Times New Roman" w:cs="Times New Roman"/>
          <w:lang w:val="en-US" w:eastAsia="zh-CN"/>
        </w:rPr>
        <w:t>市政</w:t>
      </w:r>
      <w:r>
        <w:rPr>
          <w:rFonts w:hint="eastAsia" w:ascii="Times New Roman" w:hAnsi="Times New Roman" w:cs="Times New Roman"/>
        </w:rPr>
        <w:t>供电，电源来自市政电网，</w:t>
      </w:r>
      <w:r>
        <w:rPr>
          <w:rFonts w:ascii="Times New Roman" w:hAnsi="Times New Roman" w:cs="Times New Roman"/>
        </w:rPr>
        <w:t>可满足用电需要</w:t>
      </w:r>
      <w:r>
        <w:rPr>
          <w:rFonts w:hint="eastAsia" w:ascii="Times New Roman" w:hAnsi="Times New Roman" w:cs="Times New Roman"/>
        </w:rPr>
        <w:t>。</w:t>
      </w:r>
    </w:p>
    <w:p w14:paraId="50442FB7">
      <w:pPr>
        <w:pStyle w:val="7"/>
      </w:pPr>
      <w:bookmarkStart w:id="261" w:name="_Toc21642"/>
      <w:bookmarkStart w:id="262" w:name="_Toc90026254"/>
      <w:r>
        <w:rPr>
          <w:rFonts w:hint="eastAsia"/>
          <w:lang w:eastAsia="zh-CN"/>
        </w:rPr>
        <w:t>3</w:t>
      </w:r>
      <w:r>
        <w:t>.</w:t>
      </w:r>
      <w:r>
        <w:rPr>
          <w:rFonts w:hint="eastAsia"/>
          <w:lang w:eastAsia="zh-CN"/>
        </w:rPr>
        <w:t>1</w:t>
      </w:r>
      <w:r>
        <w:t>.</w:t>
      </w:r>
      <w:r>
        <w:rPr>
          <w:lang w:eastAsia="zh-CN"/>
        </w:rPr>
        <w:t>8</w:t>
      </w:r>
      <w:r>
        <w:t xml:space="preserve"> 总平面布置</w:t>
      </w:r>
      <w:bookmarkEnd w:id="261"/>
      <w:bookmarkEnd w:id="262"/>
    </w:p>
    <w:p w14:paraId="08226455">
      <w:pPr>
        <w:spacing w:line="500" w:lineRule="exact"/>
        <w:ind w:right="6" w:firstLine="480" w:firstLineChars="200"/>
        <w:rPr>
          <w:rFonts w:hint="eastAsia" w:ascii="Times New Roman" w:hAnsi="Times New Roman" w:cs="Times New Roman"/>
        </w:rPr>
      </w:pPr>
      <w:r>
        <w:rPr>
          <w:rFonts w:hint="eastAsia" w:ascii="Times New Roman" w:hAnsi="Times New Roman" w:cs="Times New Roman"/>
        </w:rPr>
        <w:t>本项目仅在</w:t>
      </w:r>
      <w:r>
        <w:rPr>
          <w:rFonts w:hint="eastAsia" w:ascii="Times New Roman" w:hAnsi="Times New Roman" w:cs="Times New Roman"/>
          <w:lang w:val="en-US" w:eastAsia="zh-CN"/>
        </w:rPr>
        <w:t>原车间技改</w:t>
      </w:r>
      <w:r>
        <w:rPr>
          <w:rFonts w:hint="eastAsia" w:ascii="Times New Roman" w:hAnsi="Times New Roman" w:cs="Times New Roman"/>
        </w:rPr>
        <w:t>，其他总平面布置不变。本项目实施后厂区总平面布置情况见图3.1-1。</w:t>
      </w:r>
    </w:p>
    <w:p w14:paraId="31EE40F4"/>
    <w:p w14:paraId="0746C364">
      <w:r>
        <w:drawing>
          <wp:inline distT="0" distB="0" distL="114300" distR="114300">
            <wp:extent cx="5397500" cy="7489190"/>
            <wp:effectExtent l="0" t="0" r="12700" b="16510"/>
            <wp:docPr id="174"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 name="图片 16"/>
                    <pic:cNvPicPr>
                      <a:picLocks noChangeAspect="1"/>
                    </pic:cNvPicPr>
                  </pic:nvPicPr>
                  <pic:blipFill>
                    <a:blip r:embed="rId43"/>
                    <a:stretch>
                      <a:fillRect/>
                    </a:stretch>
                  </pic:blipFill>
                  <pic:spPr>
                    <a:xfrm>
                      <a:off x="0" y="0"/>
                      <a:ext cx="5397500" cy="7489190"/>
                    </a:xfrm>
                    <a:prstGeom prst="rect">
                      <a:avLst/>
                    </a:prstGeom>
                    <a:noFill/>
                    <a:ln>
                      <a:noFill/>
                    </a:ln>
                  </pic:spPr>
                </pic:pic>
              </a:graphicData>
            </a:graphic>
          </wp:inline>
        </w:drawing>
      </w:r>
    </w:p>
    <w:p w14:paraId="7881C1D2">
      <w:pPr>
        <w:jc w:val="center"/>
        <w:sectPr>
          <w:pgSz w:w="11907" w:h="16840"/>
          <w:pgMar w:top="1701" w:right="1701" w:bottom="1701" w:left="1701" w:header="851" w:footer="1077" w:gutter="0"/>
          <w:pgBorders w:offsetFrom="page">
            <w:top w:val="none" w:sz="0" w:space="0"/>
            <w:left w:val="none" w:sz="0" w:space="0"/>
            <w:bottom w:val="none" w:sz="0" w:space="0"/>
            <w:right w:val="none" w:sz="0" w:space="0"/>
          </w:pgBorders>
          <w:pgNumType w:fmt="decimal"/>
          <w:cols w:space="720" w:num="1"/>
          <w:docGrid w:type="lines" w:linePitch="479" w:charSpace="0"/>
        </w:sectPr>
      </w:pPr>
      <w:r>
        <w:rPr>
          <w:rFonts w:ascii="Times New Roman" w:hAnsi="Times New Roman" w:eastAsia="黑体" w:cs="Times New Roman"/>
        </w:rPr>
        <w:t xml:space="preserve">图3.1-1  </w:t>
      </w:r>
      <w:r>
        <w:rPr>
          <w:rFonts w:hint="eastAsia" w:ascii="Times New Roman" w:hAnsi="Times New Roman" w:eastAsia="黑体" w:cs="Times New Roman"/>
        </w:rPr>
        <w:t>本项目实施后全厂</w:t>
      </w:r>
      <w:r>
        <w:rPr>
          <w:rFonts w:ascii="Times New Roman" w:hAnsi="Times New Roman" w:eastAsia="黑体" w:cs="Times New Roman"/>
        </w:rPr>
        <w:t>总平面布置</w:t>
      </w:r>
      <w:r>
        <w:rPr>
          <w:rFonts w:hint="eastAsia" w:ascii="Times New Roman" w:hAnsi="Times New Roman" w:eastAsia="黑体" w:cs="Times New Roman"/>
        </w:rPr>
        <w:t>图</w:t>
      </w:r>
    </w:p>
    <w:p w14:paraId="34680C8B">
      <w:pPr>
        <w:pStyle w:val="6"/>
        <w:spacing w:before="239"/>
      </w:pPr>
      <w:bookmarkStart w:id="263" w:name="_Toc90026125"/>
      <w:bookmarkStart w:id="264" w:name="_Toc31012"/>
      <w:bookmarkStart w:id="265" w:name="_Toc151276159"/>
      <w:bookmarkStart w:id="266" w:name="_Toc166464733"/>
      <w:bookmarkStart w:id="267" w:name="_Toc175714265"/>
      <w:bookmarkStart w:id="268" w:name="_Toc154570248"/>
      <w:bookmarkStart w:id="269" w:name="_Toc153007121"/>
      <w:bookmarkStart w:id="270" w:name="_Toc154569861"/>
      <w:bookmarkStart w:id="271" w:name="_Toc158523410"/>
      <w:bookmarkStart w:id="272" w:name="_Toc151200271"/>
      <w:bookmarkStart w:id="273" w:name="_Toc153878457"/>
      <w:bookmarkStart w:id="274" w:name="_Toc151278922"/>
      <w:bookmarkStart w:id="275" w:name="_Toc151200111"/>
      <w:bookmarkStart w:id="276" w:name="_Toc175711432"/>
      <w:r>
        <w:rPr>
          <w:rFonts w:hint="eastAsia"/>
        </w:rPr>
        <w:t>3</w:t>
      </w:r>
      <w:r>
        <w:t>.</w:t>
      </w:r>
      <w:r>
        <w:rPr>
          <w:rFonts w:hint="eastAsia"/>
        </w:rPr>
        <w:t>2</w:t>
      </w:r>
      <w:r>
        <w:t xml:space="preserve"> 影响因素分析</w:t>
      </w:r>
      <w:bookmarkEnd w:id="263"/>
      <w:bookmarkEnd w:id="264"/>
    </w:p>
    <w:p w14:paraId="28E0016C">
      <w:pPr>
        <w:pStyle w:val="7"/>
      </w:pPr>
      <w:bookmarkStart w:id="277" w:name="_Toc15561"/>
      <w:bookmarkStart w:id="278" w:name="_Toc90026256"/>
      <w:r>
        <w:rPr>
          <w:rFonts w:hint="eastAsia"/>
          <w:lang w:eastAsia="zh-CN"/>
        </w:rPr>
        <w:t>3</w:t>
      </w:r>
      <w:r>
        <w:t>.</w:t>
      </w:r>
      <w:r>
        <w:rPr>
          <w:rFonts w:hint="eastAsia"/>
          <w:lang w:eastAsia="zh-CN"/>
        </w:rPr>
        <w:t>2</w:t>
      </w:r>
      <w:r>
        <w:t>.1 施工期影响因素分析</w:t>
      </w:r>
      <w:bookmarkEnd w:id="277"/>
      <w:bookmarkEnd w:id="278"/>
    </w:p>
    <w:p w14:paraId="03349144">
      <w:pPr>
        <w:tabs>
          <w:tab w:val="left" w:pos="1506"/>
        </w:tabs>
        <w:spacing w:line="500" w:lineRule="exact"/>
        <w:ind w:firstLine="480" w:firstLineChars="200"/>
        <w:rPr>
          <w:rFonts w:ascii="Times New Roman" w:hAnsi="Times New Roman" w:cs="Times New Roman"/>
        </w:rPr>
      </w:pPr>
      <w:r>
        <w:rPr>
          <w:rFonts w:ascii="Times New Roman" w:hAnsi="Times New Roman" w:cs="Times New Roman"/>
        </w:rPr>
        <w:t>本工程建设期间，需进行设备安装等施工行为，</w:t>
      </w:r>
      <w:r>
        <w:rPr>
          <w:rFonts w:hint="eastAsia" w:ascii="Times New Roman" w:hAnsi="Times New Roman" w:cs="Times New Roman"/>
        </w:rPr>
        <w:t>不涉及土建工程。</w:t>
      </w:r>
      <w:r>
        <w:rPr>
          <w:rFonts w:ascii="Times New Roman" w:hAnsi="Times New Roman" w:cs="Times New Roman"/>
        </w:rPr>
        <w:t>在施工期内将会对周边区域的环境质量造成一定影响。但这种影响一般是可逆的，在工程施工结束后将一并消失。</w:t>
      </w:r>
    </w:p>
    <w:p w14:paraId="1224E6E4">
      <w:pPr>
        <w:tabs>
          <w:tab w:val="left" w:pos="1506"/>
        </w:tabs>
        <w:spacing w:line="500" w:lineRule="exact"/>
        <w:ind w:firstLine="482" w:firstLineChars="200"/>
        <w:rPr>
          <w:rFonts w:ascii="Times New Roman" w:hAnsi="Times New Roman" w:cs="Times New Roman"/>
          <w:b/>
        </w:rPr>
      </w:pPr>
      <w:r>
        <w:rPr>
          <w:rFonts w:ascii="Times New Roman" w:hAnsi="Times New Roman" w:cs="Times New Roman"/>
          <w:b/>
        </w:rPr>
        <w:t>（1）施工</w:t>
      </w:r>
      <w:r>
        <w:rPr>
          <w:rFonts w:hint="eastAsia" w:ascii="Times New Roman" w:hAnsi="Times New Roman" w:cs="Times New Roman"/>
          <w:b/>
        </w:rPr>
        <w:t>机械</w:t>
      </w:r>
      <w:r>
        <w:rPr>
          <w:rFonts w:ascii="Times New Roman" w:hAnsi="Times New Roman" w:cs="Times New Roman"/>
          <w:b/>
        </w:rPr>
        <w:t>废气</w:t>
      </w:r>
    </w:p>
    <w:p w14:paraId="6182CB2D">
      <w:pPr>
        <w:tabs>
          <w:tab w:val="left" w:pos="1506"/>
        </w:tabs>
        <w:spacing w:line="500" w:lineRule="exact"/>
        <w:ind w:firstLine="480" w:firstLineChars="200"/>
        <w:rPr>
          <w:rFonts w:ascii="Times New Roman" w:hAnsi="Times New Roman" w:cs="Times New Roman"/>
        </w:rPr>
      </w:pPr>
      <w:r>
        <w:rPr>
          <w:rFonts w:hint="eastAsia" w:ascii="Times New Roman" w:hAnsi="Times New Roman" w:cs="Times New Roman"/>
        </w:rPr>
        <w:t>本</w:t>
      </w:r>
      <w:r>
        <w:rPr>
          <w:rFonts w:ascii="Times New Roman" w:hAnsi="Times New Roman" w:cs="Times New Roman"/>
        </w:rPr>
        <w:t>工程施工产生的大气污染源，主要</w:t>
      </w:r>
      <w:r>
        <w:rPr>
          <w:rFonts w:hint="eastAsia" w:ascii="Times New Roman" w:hAnsi="Times New Roman" w:cs="Times New Roman"/>
        </w:rPr>
        <w:t>为：</w:t>
      </w:r>
    </w:p>
    <w:p w14:paraId="2EB450D9">
      <w:pPr>
        <w:numPr>
          <w:ilvl w:val="0"/>
          <w:numId w:val="28"/>
        </w:numPr>
        <w:spacing w:line="500" w:lineRule="exact"/>
        <w:rPr>
          <w:rFonts w:ascii="Times New Roman" w:hAnsi="Times New Roman" w:cs="Times New Roman"/>
        </w:rPr>
      </w:pPr>
      <w:r>
        <w:rPr>
          <w:rFonts w:ascii="Times New Roman" w:hAnsi="Times New Roman" w:cs="Times New Roman"/>
        </w:rPr>
        <w:t>以燃油为动力的施工机械排放的废气；</w:t>
      </w:r>
    </w:p>
    <w:p w14:paraId="266951DF">
      <w:pPr>
        <w:numPr>
          <w:ilvl w:val="0"/>
          <w:numId w:val="28"/>
        </w:numPr>
        <w:spacing w:line="500" w:lineRule="exact"/>
        <w:rPr>
          <w:rFonts w:ascii="Times New Roman" w:hAnsi="Times New Roman" w:cs="Times New Roman"/>
        </w:rPr>
      </w:pPr>
      <w:r>
        <w:rPr>
          <w:rFonts w:ascii="Times New Roman" w:hAnsi="Times New Roman" w:cs="Times New Roman"/>
        </w:rPr>
        <w:t>运输车辆尾气；</w:t>
      </w:r>
    </w:p>
    <w:p w14:paraId="756CD996">
      <w:pPr>
        <w:tabs>
          <w:tab w:val="left" w:pos="1506"/>
        </w:tabs>
        <w:spacing w:line="500" w:lineRule="exact"/>
        <w:ind w:right="-6" w:firstLine="480" w:firstLineChars="200"/>
        <w:rPr>
          <w:rFonts w:ascii="Times New Roman" w:hAnsi="Times New Roman" w:cs="Times New Roman"/>
        </w:rPr>
      </w:pPr>
      <w:r>
        <w:rPr>
          <w:rFonts w:ascii="Times New Roman" w:hAnsi="Times New Roman" w:cs="Times New Roman"/>
        </w:rPr>
        <w:t>由上面分析可以看出，施工期污染</w:t>
      </w:r>
      <w:r>
        <w:rPr>
          <w:rFonts w:hint="eastAsia" w:ascii="Times New Roman" w:hAnsi="Times New Roman" w:cs="Times New Roman"/>
        </w:rPr>
        <w:t>主要</w:t>
      </w:r>
      <w:r>
        <w:rPr>
          <w:rFonts w:ascii="Times New Roman" w:hAnsi="Times New Roman" w:cs="Times New Roman"/>
        </w:rPr>
        <w:t>为</w:t>
      </w:r>
      <w:r>
        <w:rPr>
          <w:rFonts w:hint="eastAsia" w:ascii="Times New Roman" w:hAnsi="Times New Roman" w:cs="Times New Roman"/>
        </w:rPr>
        <w:t>尾气中少量的颗粒物、二氧化硫和氮氧化物</w:t>
      </w:r>
      <w:r>
        <w:rPr>
          <w:rFonts w:ascii="Times New Roman" w:hAnsi="Times New Roman" w:cs="Times New Roman"/>
        </w:rPr>
        <w:t>。这种污染影响是暂时的，可逆的，工程一结束，污染影响也就随之而停止。</w:t>
      </w:r>
    </w:p>
    <w:p w14:paraId="635BD50F">
      <w:pPr>
        <w:tabs>
          <w:tab w:val="left" w:pos="1506"/>
        </w:tabs>
        <w:spacing w:line="500" w:lineRule="exact"/>
        <w:ind w:right="-6" w:firstLine="482" w:firstLineChars="200"/>
        <w:rPr>
          <w:rFonts w:ascii="Times New Roman" w:hAnsi="Times New Roman" w:cs="Times New Roman"/>
          <w:b/>
        </w:rPr>
      </w:pPr>
      <w:r>
        <w:rPr>
          <w:rFonts w:ascii="Times New Roman" w:hAnsi="Times New Roman" w:cs="Times New Roman"/>
          <w:b/>
        </w:rPr>
        <w:t>（2）施工噪声</w:t>
      </w:r>
    </w:p>
    <w:p w14:paraId="3EEAE663">
      <w:pPr>
        <w:tabs>
          <w:tab w:val="left" w:pos="1506"/>
        </w:tabs>
        <w:spacing w:line="500" w:lineRule="exact"/>
        <w:ind w:right="-6" w:firstLine="480" w:firstLineChars="200"/>
        <w:rPr>
          <w:rFonts w:ascii="Times New Roman" w:hAnsi="Times New Roman" w:cs="Times New Roman"/>
        </w:rPr>
      </w:pPr>
      <w:r>
        <w:rPr>
          <w:rFonts w:ascii="Times New Roman" w:hAnsi="Times New Roman" w:cs="Times New Roman"/>
        </w:rPr>
        <w:t>施工期的噪声主要来源于包括施工现场的各类机械设备和物料运输的交通噪声。施工场地噪声主要是施工机械设备噪声，物料装卸碰撞噪声及施工人员的活动噪声，各施工阶段的主要噪声源及其声级见表</w:t>
      </w:r>
      <w:r>
        <w:rPr>
          <w:rFonts w:hint="eastAsia" w:ascii="Times New Roman" w:hAnsi="Times New Roman" w:cs="Times New Roman"/>
        </w:rPr>
        <w:t>3.2-1</w:t>
      </w:r>
      <w:r>
        <w:rPr>
          <w:rFonts w:ascii="Times New Roman" w:hAnsi="Times New Roman" w:cs="Times New Roman"/>
        </w:rPr>
        <w:t>。</w:t>
      </w:r>
    </w:p>
    <w:p w14:paraId="2EC88F35">
      <w:pPr>
        <w:tabs>
          <w:tab w:val="left" w:pos="1506"/>
        </w:tabs>
        <w:spacing w:line="500" w:lineRule="exact"/>
        <w:ind w:right="-6" w:firstLine="480" w:firstLineChars="200"/>
        <w:rPr>
          <w:rFonts w:ascii="Times New Roman" w:hAnsi="Times New Roman" w:cs="Times New Roman"/>
        </w:rPr>
      </w:pPr>
      <w:r>
        <w:rPr>
          <w:rFonts w:ascii="Times New Roman" w:hAnsi="Times New Roman" w:cs="Times New Roman"/>
        </w:rPr>
        <w:t>声级最大的是电钻，可达115dB(A)。物料运输的交通噪声主要是各施工阶段物料运输车辆引起的噪声，各阶段的车辆类型及声级见表</w:t>
      </w:r>
      <w:r>
        <w:rPr>
          <w:rFonts w:hint="eastAsia" w:ascii="Times New Roman" w:hAnsi="Times New Roman" w:cs="Times New Roman"/>
        </w:rPr>
        <w:t>3.2</w:t>
      </w:r>
      <w:r>
        <w:rPr>
          <w:rFonts w:ascii="Times New Roman" w:hAnsi="Times New Roman" w:cs="Times New Roman"/>
        </w:rPr>
        <w:t>-</w:t>
      </w:r>
      <w:r>
        <w:rPr>
          <w:rFonts w:hint="eastAsia" w:ascii="Times New Roman" w:hAnsi="Times New Roman" w:cs="Times New Roman"/>
        </w:rPr>
        <w:t>2</w:t>
      </w:r>
      <w:r>
        <w:rPr>
          <w:rFonts w:ascii="Times New Roman" w:hAnsi="Times New Roman" w:cs="Times New Roman"/>
        </w:rPr>
        <w:t>。</w:t>
      </w:r>
    </w:p>
    <w:p w14:paraId="7720BAEC">
      <w:pPr>
        <w:pStyle w:val="112"/>
        <w:snapToGrid/>
      </w:pPr>
      <w:r>
        <w:t>表</w:t>
      </w:r>
      <w:r>
        <w:rPr>
          <w:rFonts w:hint="eastAsia"/>
        </w:rPr>
        <w:t>3.2</w:t>
      </w:r>
      <w:r>
        <w:t>-1  各施工阶段主要噪声源状况</w:t>
      </w:r>
    </w:p>
    <w:tbl>
      <w:tblPr>
        <w:tblStyle w:val="56"/>
        <w:tblW w:w="5000" w:type="pct"/>
        <w:tblInd w:w="0" w:type="dxa"/>
        <w:tblBorders>
          <w:top w:val="thinThickSmallGap" w:color="auto" w:sz="12" w:space="0"/>
          <w:left w:val="none" w:color="auto" w:sz="0" w:space="0"/>
          <w:bottom w:val="thickThinSmallGap" w:color="auto" w:sz="12" w:space="0"/>
          <w:right w:val="none" w:color="auto" w:sz="0" w:space="0"/>
          <w:insideH w:val="single" w:color="auto" w:sz="6" w:space="0"/>
          <w:insideV w:val="single" w:color="auto" w:sz="6" w:space="0"/>
        </w:tblBorders>
        <w:tblLayout w:type="autofit"/>
        <w:tblCellMar>
          <w:top w:w="0" w:type="dxa"/>
          <w:left w:w="108" w:type="dxa"/>
          <w:bottom w:w="0" w:type="dxa"/>
          <w:right w:w="108" w:type="dxa"/>
        </w:tblCellMar>
      </w:tblPr>
      <w:tblGrid>
        <w:gridCol w:w="2620"/>
        <w:gridCol w:w="3127"/>
        <w:gridCol w:w="2974"/>
      </w:tblGrid>
      <w:tr w14:paraId="15411794">
        <w:tblPrEx>
          <w:tblBorders>
            <w:top w:val="thinThickSmallGap" w:color="auto" w:sz="12" w:space="0"/>
            <w:left w:val="none" w:color="auto" w:sz="0" w:space="0"/>
            <w:bottom w:val="thickThinSmallGap"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97" w:hRule="atLeast"/>
        </w:trPr>
        <w:tc>
          <w:tcPr>
            <w:tcW w:w="1502" w:type="pct"/>
            <w:tcBorders>
              <w:top w:val="thinThickSmallGap" w:color="auto" w:sz="12" w:space="0"/>
              <w:bottom w:val="single" w:color="auto" w:sz="6" w:space="0"/>
            </w:tcBorders>
            <w:shd w:val="clear" w:color="auto" w:fill="E0E0E0"/>
            <w:noWrap w:val="0"/>
            <w:vAlign w:val="center"/>
          </w:tcPr>
          <w:p w14:paraId="3533ABE4">
            <w:pPr>
              <w:jc w:val="center"/>
              <w:rPr>
                <w:rFonts w:ascii="Times New Roman" w:hAnsi="Times New Roman" w:cs="Times New Roman"/>
                <w:sz w:val="21"/>
              </w:rPr>
            </w:pPr>
            <w:r>
              <w:rPr>
                <w:rFonts w:ascii="Times New Roman" w:hAnsi="Times New Roman" w:cs="Times New Roman"/>
                <w:sz w:val="21"/>
              </w:rPr>
              <w:t>施工阶段</w:t>
            </w:r>
          </w:p>
        </w:tc>
        <w:tc>
          <w:tcPr>
            <w:tcW w:w="1793" w:type="pct"/>
            <w:tcBorders>
              <w:top w:val="thinThickSmallGap" w:color="auto" w:sz="12" w:space="0"/>
              <w:bottom w:val="single" w:color="auto" w:sz="6" w:space="0"/>
            </w:tcBorders>
            <w:shd w:val="clear" w:color="auto" w:fill="E0E0E0"/>
            <w:noWrap w:val="0"/>
            <w:vAlign w:val="center"/>
          </w:tcPr>
          <w:p w14:paraId="156D34B7">
            <w:pPr>
              <w:jc w:val="center"/>
              <w:rPr>
                <w:rFonts w:ascii="Times New Roman" w:hAnsi="Times New Roman" w:cs="Times New Roman"/>
                <w:sz w:val="21"/>
              </w:rPr>
            </w:pPr>
            <w:r>
              <w:rPr>
                <w:rFonts w:ascii="Times New Roman" w:hAnsi="Times New Roman" w:cs="Times New Roman"/>
                <w:sz w:val="21"/>
              </w:rPr>
              <w:t>声源</w:t>
            </w:r>
          </w:p>
        </w:tc>
        <w:tc>
          <w:tcPr>
            <w:tcW w:w="1705" w:type="pct"/>
            <w:tcBorders>
              <w:top w:val="thinThickSmallGap" w:color="auto" w:sz="12" w:space="0"/>
              <w:bottom w:val="single" w:color="auto" w:sz="6" w:space="0"/>
            </w:tcBorders>
            <w:shd w:val="clear" w:color="auto" w:fill="E0E0E0"/>
            <w:noWrap w:val="0"/>
            <w:vAlign w:val="center"/>
          </w:tcPr>
          <w:p w14:paraId="2BFB5040">
            <w:pPr>
              <w:jc w:val="center"/>
              <w:rPr>
                <w:rFonts w:ascii="Times New Roman" w:hAnsi="Times New Roman" w:cs="Times New Roman"/>
                <w:sz w:val="21"/>
              </w:rPr>
            </w:pPr>
            <w:r>
              <w:rPr>
                <w:rFonts w:ascii="Times New Roman" w:hAnsi="Times New Roman" w:cs="Times New Roman"/>
                <w:sz w:val="21"/>
              </w:rPr>
              <w:t>声级[dB（A）]</w:t>
            </w:r>
          </w:p>
        </w:tc>
      </w:tr>
      <w:tr w14:paraId="1D3F231C">
        <w:tblPrEx>
          <w:tblBorders>
            <w:top w:val="thinThickSmallGap" w:color="auto" w:sz="12" w:space="0"/>
            <w:left w:val="none" w:color="auto" w:sz="0" w:space="0"/>
            <w:bottom w:val="thickThinSmallGap"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184" w:hRule="atLeast"/>
        </w:trPr>
        <w:tc>
          <w:tcPr>
            <w:tcW w:w="1502" w:type="pct"/>
            <w:tcBorders>
              <w:top w:val="single" w:color="auto" w:sz="6" w:space="0"/>
            </w:tcBorders>
            <w:noWrap w:val="0"/>
            <w:vAlign w:val="center"/>
          </w:tcPr>
          <w:p w14:paraId="5F963655">
            <w:pPr>
              <w:jc w:val="center"/>
              <w:rPr>
                <w:rFonts w:ascii="Times New Roman" w:hAnsi="Times New Roman" w:cs="Times New Roman"/>
                <w:sz w:val="21"/>
              </w:rPr>
            </w:pPr>
            <w:r>
              <w:rPr>
                <w:rFonts w:ascii="Times New Roman" w:hAnsi="Times New Roman" w:cs="Times New Roman"/>
                <w:sz w:val="21"/>
              </w:rPr>
              <w:t>装修、安装阶段</w:t>
            </w:r>
          </w:p>
        </w:tc>
        <w:tc>
          <w:tcPr>
            <w:tcW w:w="1793" w:type="pct"/>
            <w:tcBorders>
              <w:top w:val="single" w:color="auto" w:sz="6" w:space="0"/>
            </w:tcBorders>
            <w:noWrap w:val="0"/>
            <w:vAlign w:val="center"/>
          </w:tcPr>
          <w:p w14:paraId="2F0C6CC1">
            <w:pPr>
              <w:jc w:val="center"/>
              <w:rPr>
                <w:rFonts w:ascii="Times New Roman" w:hAnsi="Times New Roman" w:cs="Times New Roman"/>
                <w:sz w:val="21"/>
              </w:rPr>
            </w:pPr>
            <w:r>
              <w:rPr>
                <w:rFonts w:ascii="Times New Roman" w:hAnsi="Times New Roman" w:cs="Times New Roman"/>
                <w:sz w:val="21"/>
              </w:rPr>
              <w:t>电钻</w:t>
            </w:r>
          </w:p>
          <w:p w14:paraId="636CA149">
            <w:pPr>
              <w:jc w:val="center"/>
              <w:rPr>
                <w:rFonts w:ascii="Times New Roman" w:hAnsi="Times New Roman" w:cs="Times New Roman"/>
                <w:sz w:val="21"/>
              </w:rPr>
            </w:pPr>
            <w:r>
              <w:rPr>
                <w:rFonts w:ascii="Times New Roman" w:hAnsi="Times New Roman" w:cs="Times New Roman"/>
                <w:sz w:val="21"/>
              </w:rPr>
              <w:t>电锤</w:t>
            </w:r>
          </w:p>
          <w:p w14:paraId="55339D01">
            <w:pPr>
              <w:jc w:val="center"/>
              <w:rPr>
                <w:rFonts w:ascii="Times New Roman" w:hAnsi="Times New Roman" w:cs="Times New Roman"/>
                <w:sz w:val="21"/>
              </w:rPr>
            </w:pPr>
            <w:r>
              <w:rPr>
                <w:rFonts w:ascii="Times New Roman" w:hAnsi="Times New Roman" w:cs="Times New Roman"/>
                <w:sz w:val="21"/>
              </w:rPr>
              <w:t>手工钻</w:t>
            </w:r>
          </w:p>
          <w:p w14:paraId="318BCD01">
            <w:pPr>
              <w:jc w:val="center"/>
              <w:rPr>
                <w:rFonts w:ascii="Times New Roman" w:hAnsi="Times New Roman" w:cs="Times New Roman"/>
                <w:sz w:val="21"/>
              </w:rPr>
            </w:pPr>
            <w:r>
              <w:rPr>
                <w:rFonts w:ascii="Times New Roman" w:hAnsi="Times New Roman" w:cs="Times New Roman"/>
                <w:sz w:val="21"/>
              </w:rPr>
              <w:t>无齿锯</w:t>
            </w:r>
          </w:p>
          <w:p w14:paraId="101003BF">
            <w:pPr>
              <w:jc w:val="center"/>
              <w:rPr>
                <w:rFonts w:ascii="Times New Roman" w:hAnsi="Times New Roman" w:cs="Times New Roman"/>
                <w:sz w:val="21"/>
              </w:rPr>
            </w:pPr>
            <w:r>
              <w:rPr>
                <w:rFonts w:ascii="Times New Roman" w:hAnsi="Times New Roman" w:cs="Times New Roman"/>
                <w:sz w:val="21"/>
              </w:rPr>
              <w:t>多功能木工刨</w:t>
            </w:r>
          </w:p>
          <w:p w14:paraId="6F041CAC">
            <w:pPr>
              <w:jc w:val="center"/>
              <w:rPr>
                <w:rFonts w:ascii="Times New Roman" w:hAnsi="Times New Roman" w:cs="Times New Roman"/>
                <w:sz w:val="21"/>
              </w:rPr>
            </w:pPr>
            <w:r>
              <w:rPr>
                <w:rFonts w:ascii="Times New Roman" w:hAnsi="Times New Roman" w:cs="Times New Roman"/>
                <w:sz w:val="21"/>
              </w:rPr>
              <w:t>混凝土搅拌机</w:t>
            </w:r>
          </w:p>
          <w:p w14:paraId="0B84F6FB">
            <w:pPr>
              <w:jc w:val="center"/>
              <w:rPr>
                <w:rFonts w:ascii="Times New Roman" w:hAnsi="Times New Roman" w:cs="Times New Roman"/>
                <w:sz w:val="21"/>
              </w:rPr>
            </w:pPr>
            <w:r>
              <w:rPr>
                <w:rFonts w:ascii="Times New Roman" w:hAnsi="Times New Roman" w:cs="Times New Roman"/>
                <w:sz w:val="21"/>
              </w:rPr>
              <w:t>云石机</w:t>
            </w:r>
          </w:p>
          <w:p w14:paraId="3E3728F7">
            <w:pPr>
              <w:jc w:val="center"/>
              <w:rPr>
                <w:rFonts w:ascii="Times New Roman" w:hAnsi="Times New Roman" w:cs="Times New Roman"/>
                <w:sz w:val="21"/>
              </w:rPr>
            </w:pPr>
            <w:r>
              <w:rPr>
                <w:rFonts w:ascii="Times New Roman" w:hAnsi="Times New Roman" w:cs="Times New Roman"/>
                <w:sz w:val="21"/>
              </w:rPr>
              <w:t>角向磨光机</w:t>
            </w:r>
          </w:p>
        </w:tc>
        <w:tc>
          <w:tcPr>
            <w:tcW w:w="1705" w:type="pct"/>
            <w:tcBorders>
              <w:top w:val="single" w:color="auto" w:sz="6" w:space="0"/>
            </w:tcBorders>
            <w:noWrap w:val="0"/>
            <w:vAlign w:val="center"/>
          </w:tcPr>
          <w:p w14:paraId="0FC8A194">
            <w:pPr>
              <w:jc w:val="center"/>
              <w:rPr>
                <w:rFonts w:ascii="Times New Roman" w:hAnsi="Times New Roman" w:cs="Times New Roman"/>
                <w:sz w:val="21"/>
              </w:rPr>
            </w:pPr>
            <w:r>
              <w:rPr>
                <w:rFonts w:ascii="Times New Roman" w:hAnsi="Times New Roman" w:cs="Times New Roman"/>
                <w:sz w:val="21"/>
              </w:rPr>
              <w:t>100～115</w:t>
            </w:r>
          </w:p>
          <w:p w14:paraId="1D4922A2">
            <w:pPr>
              <w:jc w:val="center"/>
              <w:rPr>
                <w:rFonts w:ascii="Times New Roman" w:hAnsi="Times New Roman" w:cs="Times New Roman"/>
                <w:sz w:val="21"/>
              </w:rPr>
            </w:pPr>
            <w:r>
              <w:rPr>
                <w:rFonts w:ascii="Times New Roman" w:hAnsi="Times New Roman" w:cs="Times New Roman"/>
                <w:sz w:val="21"/>
              </w:rPr>
              <w:t>100～105</w:t>
            </w:r>
          </w:p>
          <w:p w14:paraId="0307B2E0">
            <w:pPr>
              <w:jc w:val="center"/>
              <w:rPr>
                <w:rFonts w:ascii="Times New Roman" w:hAnsi="Times New Roman" w:cs="Times New Roman"/>
                <w:sz w:val="21"/>
              </w:rPr>
            </w:pPr>
            <w:r>
              <w:rPr>
                <w:rFonts w:ascii="Times New Roman" w:hAnsi="Times New Roman" w:cs="Times New Roman"/>
                <w:sz w:val="21"/>
              </w:rPr>
              <w:t>100～105</w:t>
            </w:r>
          </w:p>
          <w:p w14:paraId="2DB066D9">
            <w:pPr>
              <w:jc w:val="center"/>
              <w:rPr>
                <w:rFonts w:ascii="Times New Roman" w:hAnsi="Times New Roman" w:cs="Times New Roman"/>
                <w:sz w:val="21"/>
              </w:rPr>
            </w:pPr>
            <w:r>
              <w:rPr>
                <w:rFonts w:ascii="Times New Roman" w:hAnsi="Times New Roman" w:cs="Times New Roman"/>
                <w:sz w:val="21"/>
              </w:rPr>
              <w:t>105</w:t>
            </w:r>
          </w:p>
          <w:p w14:paraId="0937758A">
            <w:pPr>
              <w:jc w:val="center"/>
              <w:rPr>
                <w:rFonts w:ascii="Times New Roman" w:hAnsi="Times New Roman" w:cs="Times New Roman"/>
                <w:sz w:val="21"/>
              </w:rPr>
            </w:pPr>
            <w:r>
              <w:rPr>
                <w:rFonts w:ascii="Times New Roman" w:hAnsi="Times New Roman" w:cs="Times New Roman"/>
                <w:sz w:val="21"/>
              </w:rPr>
              <w:t>90～100</w:t>
            </w:r>
          </w:p>
          <w:p w14:paraId="5D37AC94">
            <w:pPr>
              <w:jc w:val="center"/>
              <w:rPr>
                <w:rFonts w:ascii="Times New Roman" w:hAnsi="Times New Roman" w:cs="Times New Roman"/>
                <w:sz w:val="21"/>
              </w:rPr>
            </w:pPr>
            <w:r>
              <w:rPr>
                <w:rFonts w:ascii="Times New Roman" w:hAnsi="Times New Roman" w:cs="Times New Roman"/>
                <w:sz w:val="21"/>
              </w:rPr>
              <w:t>100～110</w:t>
            </w:r>
          </w:p>
          <w:p w14:paraId="62073C6C">
            <w:pPr>
              <w:jc w:val="center"/>
              <w:rPr>
                <w:rFonts w:ascii="Times New Roman" w:hAnsi="Times New Roman" w:cs="Times New Roman"/>
                <w:sz w:val="21"/>
              </w:rPr>
            </w:pPr>
            <w:r>
              <w:rPr>
                <w:rFonts w:ascii="Times New Roman" w:hAnsi="Times New Roman" w:cs="Times New Roman"/>
                <w:sz w:val="21"/>
              </w:rPr>
              <w:t>100～110</w:t>
            </w:r>
          </w:p>
          <w:p w14:paraId="1CE498DC">
            <w:pPr>
              <w:jc w:val="center"/>
              <w:rPr>
                <w:rFonts w:ascii="Times New Roman" w:hAnsi="Times New Roman" w:cs="Times New Roman"/>
                <w:sz w:val="21"/>
              </w:rPr>
            </w:pPr>
            <w:r>
              <w:rPr>
                <w:rFonts w:ascii="Times New Roman" w:hAnsi="Times New Roman" w:cs="Times New Roman"/>
                <w:sz w:val="21"/>
              </w:rPr>
              <w:t>100～115</w:t>
            </w:r>
          </w:p>
        </w:tc>
      </w:tr>
    </w:tbl>
    <w:p w14:paraId="39EB75E4">
      <w:pPr>
        <w:pStyle w:val="112"/>
        <w:snapToGrid/>
        <w:rPr>
          <w:rFonts w:hint="eastAsia"/>
        </w:rPr>
      </w:pPr>
    </w:p>
    <w:p w14:paraId="4F0F52B4">
      <w:pPr>
        <w:pStyle w:val="112"/>
        <w:snapToGrid/>
      </w:pPr>
      <w:r>
        <w:t>表</w:t>
      </w:r>
      <w:r>
        <w:rPr>
          <w:rFonts w:hint="eastAsia"/>
        </w:rPr>
        <w:t>3.2</w:t>
      </w:r>
      <w:r>
        <w:t>-2  各施工阶段交通运输车辆状况</w:t>
      </w:r>
    </w:p>
    <w:tbl>
      <w:tblPr>
        <w:tblStyle w:val="56"/>
        <w:tblW w:w="8672" w:type="dxa"/>
        <w:tblInd w:w="0" w:type="dxa"/>
        <w:tblBorders>
          <w:top w:val="thinThickSmallGap" w:color="auto" w:sz="12" w:space="0"/>
          <w:left w:val="none" w:color="auto" w:sz="0" w:space="0"/>
          <w:bottom w:val="thickThinSmallGap" w:color="auto" w:sz="12" w:space="0"/>
          <w:right w:val="none" w:color="auto" w:sz="0" w:space="0"/>
          <w:insideH w:val="single" w:color="auto" w:sz="6" w:space="0"/>
          <w:insideV w:val="single" w:color="auto" w:sz="6" w:space="0"/>
        </w:tblBorders>
        <w:tblLayout w:type="fixed"/>
        <w:tblCellMar>
          <w:top w:w="0" w:type="dxa"/>
          <w:left w:w="108" w:type="dxa"/>
          <w:bottom w:w="0" w:type="dxa"/>
          <w:right w:w="108" w:type="dxa"/>
        </w:tblCellMar>
      </w:tblPr>
      <w:tblGrid>
        <w:gridCol w:w="1790"/>
        <w:gridCol w:w="2874"/>
        <w:gridCol w:w="2256"/>
        <w:gridCol w:w="1752"/>
      </w:tblGrid>
      <w:tr w14:paraId="086B2BCF">
        <w:tblPrEx>
          <w:tblBorders>
            <w:top w:val="thinThickSmallGap" w:color="auto" w:sz="12" w:space="0"/>
            <w:left w:val="none" w:color="auto" w:sz="0" w:space="0"/>
            <w:bottom w:val="thickThinSmallGap"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97" w:hRule="atLeast"/>
        </w:trPr>
        <w:tc>
          <w:tcPr>
            <w:tcW w:w="1790" w:type="dxa"/>
            <w:tcBorders>
              <w:top w:val="thinThickSmallGap" w:color="auto" w:sz="12" w:space="0"/>
              <w:bottom w:val="single" w:color="auto" w:sz="6" w:space="0"/>
            </w:tcBorders>
            <w:shd w:val="clear" w:color="auto" w:fill="E0E0E0"/>
            <w:noWrap w:val="0"/>
            <w:vAlign w:val="center"/>
          </w:tcPr>
          <w:p w14:paraId="0F3D0AAF">
            <w:pPr>
              <w:jc w:val="center"/>
              <w:rPr>
                <w:rFonts w:ascii="Times New Roman" w:hAnsi="Times New Roman" w:cs="Times New Roman"/>
                <w:sz w:val="21"/>
              </w:rPr>
            </w:pPr>
            <w:r>
              <w:rPr>
                <w:rFonts w:ascii="Times New Roman" w:hAnsi="Times New Roman" w:cs="Times New Roman"/>
                <w:sz w:val="21"/>
              </w:rPr>
              <w:t>施工阶段</w:t>
            </w:r>
          </w:p>
        </w:tc>
        <w:tc>
          <w:tcPr>
            <w:tcW w:w="2874" w:type="dxa"/>
            <w:tcBorders>
              <w:top w:val="thinThickSmallGap" w:color="auto" w:sz="12" w:space="0"/>
              <w:bottom w:val="single" w:color="auto" w:sz="6" w:space="0"/>
            </w:tcBorders>
            <w:shd w:val="clear" w:color="auto" w:fill="E0E0E0"/>
            <w:noWrap w:val="0"/>
            <w:vAlign w:val="center"/>
          </w:tcPr>
          <w:p w14:paraId="684B71A1">
            <w:pPr>
              <w:jc w:val="center"/>
              <w:rPr>
                <w:rFonts w:ascii="Times New Roman" w:hAnsi="Times New Roman" w:cs="Times New Roman"/>
                <w:sz w:val="21"/>
              </w:rPr>
            </w:pPr>
            <w:r>
              <w:rPr>
                <w:rFonts w:ascii="Times New Roman" w:hAnsi="Times New Roman" w:cs="Times New Roman"/>
                <w:sz w:val="21"/>
              </w:rPr>
              <w:t>运输内容</w:t>
            </w:r>
          </w:p>
        </w:tc>
        <w:tc>
          <w:tcPr>
            <w:tcW w:w="2256" w:type="dxa"/>
            <w:tcBorders>
              <w:top w:val="thinThickSmallGap" w:color="auto" w:sz="12" w:space="0"/>
              <w:bottom w:val="single" w:color="auto" w:sz="6" w:space="0"/>
            </w:tcBorders>
            <w:shd w:val="clear" w:color="auto" w:fill="E0E0E0"/>
            <w:noWrap w:val="0"/>
            <w:vAlign w:val="center"/>
          </w:tcPr>
          <w:p w14:paraId="0646A5F7">
            <w:pPr>
              <w:jc w:val="center"/>
              <w:rPr>
                <w:rFonts w:ascii="Times New Roman" w:hAnsi="Times New Roman" w:cs="Times New Roman"/>
                <w:sz w:val="21"/>
              </w:rPr>
            </w:pPr>
            <w:r>
              <w:rPr>
                <w:rFonts w:ascii="Times New Roman" w:hAnsi="Times New Roman" w:cs="Times New Roman"/>
                <w:sz w:val="21"/>
              </w:rPr>
              <w:t>车辆类型</w:t>
            </w:r>
          </w:p>
        </w:tc>
        <w:tc>
          <w:tcPr>
            <w:tcW w:w="1752" w:type="dxa"/>
            <w:tcBorders>
              <w:top w:val="thinThickSmallGap" w:color="auto" w:sz="12" w:space="0"/>
              <w:bottom w:val="single" w:color="auto" w:sz="6" w:space="0"/>
            </w:tcBorders>
            <w:shd w:val="clear" w:color="auto" w:fill="E0E0E0"/>
            <w:noWrap w:val="0"/>
            <w:vAlign w:val="center"/>
          </w:tcPr>
          <w:p w14:paraId="024FAF9D">
            <w:pPr>
              <w:jc w:val="center"/>
              <w:rPr>
                <w:rFonts w:ascii="Times New Roman" w:hAnsi="Times New Roman" w:cs="Times New Roman"/>
                <w:sz w:val="21"/>
              </w:rPr>
            </w:pPr>
            <w:r>
              <w:rPr>
                <w:rFonts w:ascii="Times New Roman" w:hAnsi="Times New Roman" w:cs="Times New Roman"/>
                <w:sz w:val="21"/>
              </w:rPr>
              <w:t>声级[dB(A)]</w:t>
            </w:r>
          </w:p>
        </w:tc>
      </w:tr>
      <w:tr w14:paraId="459C8707">
        <w:tblPrEx>
          <w:tblBorders>
            <w:top w:val="thinThickSmallGap" w:color="auto" w:sz="12" w:space="0"/>
            <w:left w:val="none" w:color="auto" w:sz="0" w:space="0"/>
            <w:bottom w:val="thickThinSmallGap"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97" w:hRule="atLeast"/>
        </w:trPr>
        <w:tc>
          <w:tcPr>
            <w:tcW w:w="1790" w:type="dxa"/>
            <w:tcBorders>
              <w:top w:val="single" w:color="auto" w:sz="6" w:space="0"/>
            </w:tcBorders>
            <w:noWrap w:val="0"/>
            <w:vAlign w:val="center"/>
          </w:tcPr>
          <w:p w14:paraId="34381095">
            <w:pPr>
              <w:jc w:val="center"/>
              <w:rPr>
                <w:rFonts w:ascii="Times New Roman" w:hAnsi="Times New Roman" w:cs="Times New Roman"/>
                <w:sz w:val="21"/>
              </w:rPr>
            </w:pPr>
            <w:r>
              <w:rPr>
                <w:rFonts w:ascii="Times New Roman" w:hAnsi="Times New Roman" w:cs="Times New Roman"/>
                <w:sz w:val="21"/>
              </w:rPr>
              <w:t>装修阶段</w:t>
            </w:r>
          </w:p>
        </w:tc>
        <w:tc>
          <w:tcPr>
            <w:tcW w:w="2874" w:type="dxa"/>
            <w:tcBorders>
              <w:top w:val="single" w:color="auto" w:sz="6" w:space="0"/>
            </w:tcBorders>
            <w:noWrap w:val="0"/>
            <w:vAlign w:val="center"/>
          </w:tcPr>
          <w:p w14:paraId="0365625F">
            <w:pPr>
              <w:jc w:val="center"/>
              <w:rPr>
                <w:rFonts w:ascii="Times New Roman" w:hAnsi="Times New Roman" w:cs="Times New Roman"/>
                <w:sz w:val="21"/>
              </w:rPr>
            </w:pPr>
            <w:r>
              <w:rPr>
                <w:rFonts w:ascii="Times New Roman" w:hAnsi="Times New Roman" w:cs="Times New Roman"/>
                <w:sz w:val="21"/>
              </w:rPr>
              <w:t>各种装修材料及必要的设备</w:t>
            </w:r>
          </w:p>
        </w:tc>
        <w:tc>
          <w:tcPr>
            <w:tcW w:w="2256" w:type="dxa"/>
            <w:tcBorders>
              <w:top w:val="single" w:color="auto" w:sz="6" w:space="0"/>
            </w:tcBorders>
            <w:noWrap w:val="0"/>
            <w:vAlign w:val="center"/>
          </w:tcPr>
          <w:p w14:paraId="1703FBCC">
            <w:pPr>
              <w:jc w:val="center"/>
              <w:rPr>
                <w:rFonts w:ascii="Times New Roman" w:hAnsi="Times New Roman" w:cs="Times New Roman"/>
                <w:sz w:val="21"/>
              </w:rPr>
            </w:pPr>
            <w:r>
              <w:rPr>
                <w:rFonts w:ascii="Times New Roman" w:hAnsi="Times New Roman" w:cs="Times New Roman"/>
                <w:sz w:val="21"/>
              </w:rPr>
              <w:t>轻型载重卡车</w:t>
            </w:r>
          </w:p>
        </w:tc>
        <w:tc>
          <w:tcPr>
            <w:tcW w:w="1752" w:type="dxa"/>
            <w:tcBorders>
              <w:top w:val="single" w:color="auto" w:sz="6" w:space="0"/>
            </w:tcBorders>
            <w:noWrap w:val="0"/>
            <w:vAlign w:val="center"/>
          </w:tcPr>
          <w:p w14:paraId="62E918F0">
            <w:pPr>
              <w:jc w:val="center"/>
              <w:rPr>
                <w:rFonts w:ascii="Times New Roman" w:hAnsi="Times New Roman" w:cs="Times New Roman"/>
                <w:sz w:val="21"/>
              </w:rPr>
            </w:pPr>
            <w:r>
              <w:rPr>
                <w:rFonts w:ascii="Times New Roman" w:hAnsi="Times New Roman" w:cs="Times New Roman"/>
                <w:sz w:val="21"/>
              </w:rPr>
              <w:t>75</w:t>
            </w:r>
          </w:p>
        </w:tc>
      </w:tr>
    </w:tbl>
    <w:p w14:paraId="36EB961B">
      <w:pPr>
        <w:spacing w:line="500" w:lineRule="exact"/>
        <w:ind w:firstLine="482" w:firstLineChars="200"/>
        <w:rPr>
          <w:rFonts w:ascii="Times New Roman" w:hAnsi="Times New Roman" w:cs="Times New Roman"/>
          <w:b/>
        </w:rPr>
      </w:pPr>
      <w:r>
        <w:rPr>
          <w:rFonts w:ascii="Times New Roman" w:hAnsi="Times New Roman" w:cs="Times New Roman"/>
          <w:b/>
        </w:rPr>
        <w:t>（3）施工废水</w:t>
      </w:r>
    </w:p>
    <w:p w14:paraId="52C73FE6">
      <w:pPr>
        <w:spacing w:line="500" w:lineRule="exact"/>
        <w:ind w:firstLine="480" w:firstLineChars="200"/>
        <w:rPr>
          <w:rFonts w:ascii="Times New Roman" w:hAnsi="Times New Roman" w:cs="Times New Roman"/>
        </w:rPr>
      </w:pPr>
      <w:r>
        <w:rPr>
          <w:rFonts w:ascii="Times New Roman" w:hAnsi="Times New Roman" w:cs="Times New Roman"/>
        </w:rPr>
        <w:t>施工废水主要是施工人员所排放的生活污水，排入化粪池。</w:t>
      </w:r>
    </w:p>
    <w:p w14:paraId="14C40549">
      <w:pPr>
        <w:spacing w:line="500" w:lineRule="exact"/>
        <w:ind w:firstLine="480" w:firstLineChars="200"/>
        <w:rPr>
          <w:rFonts w:ascii="Times New Roman" w:hAnsi="Times New Roman" w:cs="Times New Roman"/>
        </w:rPr>
      </w:pPr>
      <w:r>
        <w:rPr>
          <w:rFonts w:ascii="Times New Roman" w:hAnsi="Times New Roman" w:cs="Times New Roman"/>
        </w:rPr>
        <w:t>在施工期间，建设单位应加强监管，避免施工人员随意排放生活污水污染周边环境。</w:t>
      </w:r>
    </w:p>
    <w:p w14:paraId="703EE32F">
      <w:pPr>
        <w:spacing w:line="500" w:lineRule="exact"/>
        <w:ind w:firstLine="482" w:firstLineChars="200"/>
        <w:rPr>
          <w:rFonts w:ascii="Times New Roman" w:hAnsi="Times New Roman" w:cs="Times New Roman"/>
          <w:b/>
        </w:rPr>
      </w:pPr>
      <w:r>
        <w:rPr>
          <w:rFonts w:ascii="Times New Roman" w:hAnsi="Times New Roman" w:cs="Times New Roman"/>
          <w:b/>
        </w:rPr>
        <w:t>（4）施工固体废物</w:t>
      </w:r>
    </w:p>
    <w:p w14:paraId="2859DCBC">
      <w:pPr>
        <w:tabs>
          <w:tab w:val="left" w:pos="1506"/>
        </w:tabs>
        <w:spacing w:line="500" w:lineRule="exact"/>
        <w:ind w:firstLine="480" w:firstLineChars="200"/>
        <w:rPr>
          <w:rFonts w:hint="eastAsia" w:ascii="Times New Roman" w:hAnsi="Times New Roman" w:cs="Times New Roman"/>
          <w:szCs w:val="32"/>
        </w:rPr>
      </w:pPr>
      <w:r>
        <w:rPr>
          <w:rFonts w:ascii="Times New Roman" w:hAnsi="Times New Roman" w:cs="Times New Roman"/>
        </w:rPr>
        <w:t>施工期产生的固体废物主要是废建筑材料和施工人员生活垃圾等。</w:t>
      </w:r>
      <w:r>
        <w:rPr>
          <w:rFonts w:ascii="Times New Roman" w:hAnsi="Times New Roman" w:cs="Times New Roman"/>
          <w:szCs w:val="32"/>
        </w:rPr>
        <w:t>废建筑材料和生活垃圾集中收集后由环卫部门统一处理。</w:t>
      </w:r>
    </w:p>
    <w:p w14:paraId="0B36A0AF">
      <w:pPr>
        <w:tabs>
          <w:tab w:val="left" w:pos="1506"/>
        </w:tabs>
        <w:spacing w:line="500" w:lineRule="exact"/>
        <w:ind w:firstLine="480" w:firstLineChars="200"/>
        <w:rPr>
          <w:rFonts w:ascii="Times New Roman" w:hAnsi="Times New Roman" w:cs="Times New Roman"/>
          <w:szCs w:val="32"/>
        </w:rPr>
        <w:sectPr>
          <w:pgSz w:w="11907" w:h="16840"/>
          <w:pgMar w:top="1701" w:right="1701" w:bottom="1701" w:left="1701" w:header="851" w:footer="1077" w:gutter="0"/>
          <w:pgBorders w:offsetFrom="page">
            <w:top w:val="none" w:sz="0" w:space="0"/>
            <w:left w:val="none" w:sz="0" w:space="0"/>
            <w:bottom w:val="none" w:sz="0" w:space="0"/>
            <w:right w:val="none" w:sz="0" w:space="0"/>
          </w:pgBorders>
          <w:pgNumType w:fmt="decimal"/>
          <w:cols w:space="720" w:num="1"/>
          <w:docGrid w:type="lines" w:linePitch="479" w:charSpace="0"/>
        </w:sectPr>
      </w:pPr>
    </w:p>
    <w:p w14:paraId="53D77585">
      <w:pPr>
        <w:pStyle w:val="7"/>
      </w:pPr>
      <w:bookmarkStart w:id="279" w:name="_Toc20978"/>
      <w:bookmarkStart w:id="280" w:name="_Toc90026257"/>
      <w:r>
        <w:rPr>
          <w:rFonts w:hint="eastAsia"/>
          <w:lang w:eastAsia="zh-CN"/>
        </w:rPr>
        <w:t>3</w:t>
      </w:r>
      <w:r>
        <w:t>.</w:t>
      </w:r>
      <w:r>
        <w:rPr>
          <w:rFonts w:hint="eastAsia"/>
          <w:lang w:eastAsia="zh-CN"/>
        </w:rPr>
        <w:t>2</w:t>
      </w:r>
      <w:r>
        <w:t>.2 营运期影响因素分析</w:t>
      </w:r>
      <w:bookmarkEnd w:id="279"/>
      <w:bookmarkEnd w:id="280"/>
    </w:p>
    <w:p w14:paraId="616D1A89">
      <w:pPr>
        <w:spacing w:line="500" w:lineRule="exact"/>
        <w:ind w:right="6" w:firstLine="480" w:firstLineChars="200"/>
        <w:jc w:val="both"/>
        <w:rPr>
          <w:rFonts w:hint="eastAsia" w:ascii="Times New Roman" w:hAnsi="Times New Roman" w:eastAsia="宋体" w:cs="Times New Roman"/>
          <w:lang w:eastAsia="zh-CN"/>
        </w:rPr>
      </w:pPr>
      <w:r>
        <w:rPr>
          <w:rFonts w:hint="eastAsia" w:ascii="Times New Roman" w:hAnsi="Times New Roman" w:cs="Times New Roman"/>
          <w:lang w:val="en-US" w:eastAsia="zh-CN"/>
        </w:rPr>
        <w:t>一、烧结</w:t>
      </w:r>
      <w:r>
        <w:rPr>
          <w:rFonts w:hint="eastAsia" w:ascii="Times New Roman" w:hAnsi="Times New Roman" w:cs="Times New Roman"/>
          <w:lang w:eastAsia="zh-CN"/>
        </w:rPr>
        <w:t>：</w:t>
      </w:r>
    </w:p>
    <w:p w14:paraId="67CAEC00">
      <w:pPr>
        <w:spacing w:line="500" w:lineRule="exact"/>
        <w:ind w:right="6" w:firstLine="480" w:firstLineChars="200"/>
        <w:jc w:val="both"/>
        <w:rPr>
          <w:rFonts w:hint="eastAsia" w:ascii="Times New Roman" w:hAnsi="Times New Roman" w:cs="Times New Roman"/>
        </w:rPr>
      </w:pPr>
      <w:r>
        <w:rPr>
          <w:rFonts w:hint="eastAsia" w:ascii="Times New Roman" w:hAnsi="Times New Roman" w:cs="Times New Roman"/>
        </w:rPr>
        <w:t>烧结生产线由配料室、一次混合室、二次混合室、烧结室、成品</w:t>
      </w:r>
      <w:r>
        <w:rPr>
          <w:rFonts w:hint="eastAsia" w:ascii="Times New Roman" w:hAnsi="Times New Roman" w:cs="Times New Roman"/>
          <w:lang w:val="en-US" w:eastAsia="zh-CN"/>
        </w:rPr>
        <w:t>破碎</w:t>
      </w:r>
      <w:r>
        <w:rPr>
          <w:rFonts w:hint="eastAsia" w:ascii="Times New Roman" w:hAnsi="Times New Roman" w:cs="Times New Roman"/>
        </w:rPr>
        <w:t>室以及相应的公用辅助设施等组成，消耗的主要原料为</w:t>
      </w:r>
      <w:r>
        <w:rPr>
          <w:rFonts w:hint="eastAsia" w:ascii="Times New Roman" w:hAnsi="Times New Roman" w:cs="Times New Roman"/>
          <w:highlight w:val="none"/>
          <w:lang w:val="en-US" w:eastAsia="zh-CN"/>
        </w:rPr>
        <w:t>精</w:t>
      </w:r>
      <w:r>
        <w:rPr>
          <w:rFonts w:hint="eastAsia" w:ascii="Times New Roman" w:hAnsi="Times New Roman" w:cs="Times New Roman"/>
          <w:highlight w:val="none"/>
        </w:rPr>
        <w:t>矿、焦煤混料、石灰石。</w:t>
      </w:r>
    </w:p>
    <w:p w14:paraId="29B6C4E0">
      <w:pPr>
        <w:spacing w:line="500" w:lineRule="exact"/>
        <w:ind w:right="6" w:firstLine="480" w:firstLineChars="200"/>
        <w:jc w:val="both"/>
        <w:rPr>
          <w:rFonts w:hint="eastAsia" w:ascii="Times New Roman" w:hAnsi="Times New Roman" w:cs="Times New Roman"/>
        </w:rPr>
      </w:pPr>
      <w:r>
        <w:rPr>
          <w:rFonts w:hint="eastAsia" w:ascii="Times New Roman" w:hAnsi="Times New Roman" w:cs="Times New Roman"/>
        </w:rPr>
        <w:t>技改后烧结主体工艺及原料使用类型与现有项目工艺相同，主要技改内容体现在更换了</w:t>
      </w:r>
      <w:r>
        <w:rPr>
          <w:rFonts w:hint="eastAsia" w:ascii="Times New Roman" w:hAnsi="Times New Roman" w:cs="Times New Roman"/>
          <w:lang w:val="en-US" w:eastAsia="zh-CN"/>
        </w:rPr>
        <w:t>带式</w:t>
      </w:r>
      <w:r>
        <w:rPr>
          <w:rFonts w:hint="eastAsia" w:ascii="Times New Roman" w:hAnsi="Times New Roman" w:cs="Times New Roman"/>
        </w:rPr>
        <w:t>烧结机，提高生产效率；增加了余热回收系统对烧结机大烟道余热和环冷机余热进行回收利用，降低能耗；优化了废气收集系统，不同工段废气分类收集分类处理，烧结机头废气处理工艺改为</w:t>
      </w:r>
      <w:r>
        <w:rPr>
          <w:rFonts w:hint="eastAsia" w:ascii="Times New Roman" w:hAnsi="Times New Roman" w:cs="Times New Roman"/>
          <w:lang w:val="en-US" w:eastAsia="zh-CN"/>
        </w:rPr>
        <w:t>湿电</w:t>
      </w:r>
      <w:r>
        <w:rPr>
          <w:rFonts w:hint="eastAsia" w:ascii="Times New Roman" w:hAnsi="Times New Roman" w:cs="Times New Roman"/>
        </w:rPr>
        <w:t>除尘，减少污染物排放，减轻对环境影响。</w:t>
      </w:r>
    </w:p>
    <w:p w14:paraId="262F9F60">
      <w:pPr>
        <w:pStyle w:val="2"/>
        <w:ind w:left="0" w:leftChars="0" w:firstLine="0" w:firstLineChars="0"/>
        <w:rPr>
          <w:rFonts w:hint="eastAsia" w:ascii="Times New Roman" w:hAnsi="Times New Roman" w:cs="Times New Roman"/>
        </w:rPr>
      </w:pPr>
      <w:r>
        <w:drawing>
          <wp:inline distT="0" distB="0" distL="114300" distR="114300">
            <wp:extent cx="4770755" cy="7077710"/>
            <wp:effectExtent l="0" t="0" r="10795" b="8890"/>
            <wp:docPr id="139" name="图片 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 name="图片 170"/>
                    <pic:cNvPicPr>
                      <a:picLocks noChangeAspect="1"/>
                    </pic:cNvPicPr>
                  </pic:nvPicPr>
                  <pic:blipFill>
                    <a:blip r:embed="rId44"/>
                    <a:stretch>
                      <a:fillRect/>
                    </a:stretch>
                  </pic:blipFill>
                  <pic:spPr>
                    <a:xfrm>
                      <a:off x="0" y="0"/>
                      <a:ext cx="4770755" cy="7077710"/>
                    </a:xfrm>
                    <a:prstGeom prst="rect">
                      <a:avLst/>
                    </a:prstGeom>
                    <a:noFill/>
                    <a:ln>
                      <a:noFill/>
                    </a:ln>
                  </pic:spPr>
                </pic:pic>
              </a:graphicData>
            </a:graphic>
          </wp:inline>
        </w:drawing>
      </w:r>
    </w:p>
    <w:p w14:paraId="6EA56133">
      <w:pPr>
        <w:ind w:right="6"/>
        <w:jc w:val="center"/>
        <w:rPr>
          <w:rFonts w:hint="eastAsia" w:ascii="Times New Roman" w:hAnsi="Times New Roman" w:cs="Times New Roman"/>
        </w:rPr>
      </w:pPr>
      <w:r>
        <w:rPr>
          <w:rFonts w:ascii="Times New Roman" w:hAnsi="Times New Roman" w:eastAsia="黑体" w:cs="Times New Roman"/>
        </w:rPr>
        <w:t>图</w:t>
      </w:r>
      <w:r>
        <w:rPr>
          <w:rFonts w:hint="eastAsia" w:ascii="Times New Roman" w:hAnsi="Times New Roman" w:eastAsia="黑体" w:cs="Times New Roman"/>
        </w:rPr>
        <w:t>3.2-1</w:t>
      </w:r>
      <w:r>
        <w:rPr>
          <w:rFonts w:ascii="Times New Roman" w:hAnsi="Times New Roman" w:eastAsia="黑体" w:cs="Times New Roman"/>
        </w:rPr>
        <w:t xml:space="preserve">  </w:t>
      </w:r>
      <w:r>
        <w:rPr>
          <w:rFonts w:hint="eastAsia" w:ascii="Times New Roman" w:hAnsi="Times New Roman" w:eastAsia="黑体" w:cs="Times New Roman"/>
          <w:lang w:val="en-US" w:eastAsia="zh-CN"/>
        </w:rPr>
        <w:t>烧结工艺流程</w:t>
      </w:r>
      <w:r>
        <w:rPr>
          <w:rFonts w:hint="eastAsia" w:ascii="Times New Roman" w:hAnsi="Times New Roman" w:eastAsia="黑体" w:cs="Times New Roman"/>
        </w:rPr>
        <w:t>图</w:t>
      </w:r>
    </w:p>
    <w:p w14:paraId="3C9A242D">
      <w:pPr>
        <w:spacing w:line="500" w:lineRule="exact"/>
        <w:ind w:right="6" w:firstLine="480" w:firstLineChars="200"/>
        <w:jc w:val="both"/>
        <w:rPr>
          <w:rFonts w:hint="eastAsia" w:ascii="Times New Roman" w:hAnsi="Times New Roman" w:cs="Times New Roman"/>
        </w:rPr>
      </w:pPr>
      <w:r>
        <w:rPr>
          <w:rFonts w:hint="eastAsia" w:ascii="Times New Roman" w:hAnsi="Times New Roman" w:cs="Times New Roman"/>
        </w:rPr>
        <w:t>主要工艺流程如下：</w:t>
      </w:r>
    </w:p>
    <w:p w14:paraId="1611A6C3">
      <w:pPr>
        <w:spacing w:line="500" w:lineRule="exact"/>
        <w:ind w:right="6" w:firstLine="480"/>
        <w:jc w:val="both"/>
        <w:rPr>
          <w:rFonts w:hint="default" w:ascii="Times New Roman" w:hAnsi="Times New Roman" w:eastAsia="宋体" w:cs="Times New Roman"/>
          <w:b/>
          <w:lang w:val="en-US" w:eastAsia="zh-CN"/>
        </w:rPr>
      </w:pPr>
      <w:r>
        <w:rPr>
          <w:rFonts w:hint="eastAsia" w:ascii="Times New Roman" w:hAnsi="Times New Roman" w:cs="Times New Roman"/>
          <w:b/>
          <w:lang w:eastAsia="zh-CN"/>
        </w:rPr>
        <w:t>（</w:t>
      </w:r>
      <w:r>
        <w:rPr>
          <w:rFonts w:hint="eastAsia" w:ascii="Times New Roman" w:hAnsi="Times New Roman" w:cs="Times New Roman"/>
          <w:b/>
          <w:lang w:val="en-US" w:eastAsia="zh-CN"/>
        </w:rPr>
        <w:t>1</w:t>
      </w:r>
      <w:r>
        <w:rPr>
          <w:rFonts w:hint="eastAsia" w:ascii="Times New Roman" w:hAnsi="Times New Roman" w:cs="Times New Roman"/>
          <w:b/>
          <w:lang w:eastAsia="zh-CN"/>
        </w:rPr>
        <w:t>）</w:t>
      </w:r>
      <w:r>
        <w:rPr>
          <w:rFonts w:hint="eastAsia" w:ascii="Times New Roman" w:hAnsi="Times New Roman" w:cs="Times New Roman"/>
          <w:b/>
        </w:rPr>
        <w:t>配料</w:t>
      </w:r>
      <w:r>
        <w:rPr>
          <w:rFonts w:hint="eastAsia" w:ascii="Times New Roman" w:hAnsi="Times New Roman" w:cs="Times New Roman"/>
          <w:b/>
          <w:lang w:val="en-US" w:eastAsia="zh-CN"/>
        </w:rPr>
        <w:t>G1</w:t>
      </w:r>
    </w:p>
    <w:p w14:paraId="21E37542">
      <w:pPr>
        <w:spacing w:line="500" w:lineRule="exact"/>
        <w:ind w:right="6" w:firstLine="480"/>
        <w:jc w:val="both"/>
        <w:rPr>
          <w:rFonts w:hint="eastAsia" w:ascii="Times New Roman" w:hAnsi="Times New Roman" w:eastAsia="宋体" w:cs="Times New Roman"/>
          <w:b w:val="0"/>
          <w:bCs/>
        </w:rPr>
      </w:pPr>
      <w:r>
        <w:rPr>
          <w:rFonts w:hint="eastAsia" w:ascii="Times New Roman" w:hAnsi="Times New Roman" w:eastAsia="宋体" w:cs="Times New Roman"/>
          <w:b w:val="0"/>
          <w:bCs/>
        </w:rPr>
        <w:t>混匀矿来自原料场，通过胶带机经转运站进入配料室。</w:t>
      </w:r>
    </w:p>
    <w:p w14:paraId="43AB5273">
      <w:pPr>
        <w:spacing w:line="500" w:lineRule="exact"/>
        <w:ind w:right="6" w:firstLine="480"/>
        <w:jc w:val="both"/>
        <w:rPr>
          <w:rFonts w:hint="eastAsia" w:ascii="Times New Roman" w:hAnsi="Times New Roman" w:eastAsia="宋体" w:cs="Times New Roman"/>
          <w:b w:val="0"/>
          <w:bCs/>
          <w:lang w:eastAsia="zh-CN"/>
        </w:rPr>
      </w:pPr>
      <w:r>
        <w:rPr>
          <w:rFonts w:hint="eastAsia" w:ascii="Times New Roman" w:hAnsi="Times New Roman" w:eastAsia="宋体" w:cs="Times New Roman"/>
          <w:b w:val="0"/>
          <w:bCs/>
          <w:lang w:val="en-US" w:eastAsia="zh-CN"/>
        </w:rPr>
        <w:t>配料</w:t>
      </w:r>
      <w:r>
        <w:rPr>
          <w:rFonts w:hint="eastAsia" w:ascii="Times New Roman" w:hAnsi="Times New Roman" w:eastAsia="宋体" w:cs="Times New Roman"/>
          <w:b w:val="0"/>
          <w:bCs/>
        </w:rPr>
        <w:t>废气G</w:t>
      </w:r>
      <w:r>
        <w:rPr>
          <w:rFonts w:hint="eastAsia" w:ascii="Times New Roman" w:hAnsi="Times New Roman" w:eastAsia="宋体" w:cs="Times New Roman"/>
          <w:b w:val="0"/>
          <w:bCs/>
          <w:lang w:val="en-US" w:eastAsia="zh-CN"/>
        </w:rPr>
        <w:t>1</w:t>
      </w:r>
      <w:r>
        <w:rPr>
          <w:rFonts w:hint="eastAsia" w:ascii="Times New Roman" w:hAnsi="Times New Roman" w:eastAsia="宋体" w:cs="Times New Roman"/>
          <w:b w:val="0"/>
          <w:bCs/>
        </w:rPr>
        <w:t>采用袋式除尘系统处理</w:t>
      </w:r>
      <w:r>
        <w:rPr>
          <w:rFonts w:hint="eastAsia" w:ascii="Times New Roman" w:hAnsi="Times New Roman" w:eastAsia="宋体" w:cs="Times New Roman"/>
          <w:b w:val="0"/>
          <w:bCs/>
          <w:lang w:eastAsia="zh-CN"/>
        </w:rPr>
        <w:t>。</w:t>
      </w:r>
    </w:p>
    <w:p w14:paraId="751E5ECC">
      <w:pPr>
        <w:spacing w:line="500" w:lineRule="exact"/>
        <w:ind w:right="6" w:firstLine="482" w:firstLineChars="200"/>
        <w:jc w:val="both"/>
        <w:rPr>
          <w:rFonts w:hint="default" w:ascii="Times New Roman" w:hAnsi="Times New Roman" w:eastAsia="宋体" w:cs="Times New Roman"/>
          <w:b/>
          <w:lang w:val="en-US" w:eastAsia="zh-CN"/>
        </w:rPr>
      </w:pPr>
      <w:r>
        <w:rPr>
          <w:rFonts w:hint="eastAsia" w:ascii="Times New Roman" w:hAnsi="Times New Roman" w:cs="Times New Roman"/>
          <w:b/>
        </w:rPr>
        <w:t>（</w:t>
      </w:r>
      <w:r>
        <w:rPr>
          <w:rFonts w:hint="eastAsia" w:ascii="Times New Roman" w:hAnsi="Times New Roman" w:cs="Times New Roman"/>
          <w:b/>
          <w:lang w:val="en-US" w:eastAsia="zh-CN"/>
        </w:rPr>
        <w:t>2</w:t>
      </w:r>
      <w:r>
        <w:rPr>
          <w:rFonts w:hint="eastAsia" w:ascii="Times New Roman" w:hAnsi="Times New Roman" w:cs="Times New Roman"/>
          <w:b/>
        </w:rPr>
        <w:t>）混</w:t>
      </w:r>
      <w:r>
        <w:rPr>
          <w:rFonts w:hint="eastAsia" w:ascii="Times New Roman" w:hAnsi="Times New Roman" w:cs="Times New Roman"/>
          <w:b/>
          <w:lang w:val="en-US" w:eastAsia="zh-CN"/>
        </w:rPr>
        <w:t>料G2</w:t>
      </w:r>
    </w:p>
    <w:p w14:paraId="55DE3198">
      <w:pPr>
        <w:spacing w:line="500" w:lineRule="exact"/>
        <w:ind w:right="6" w:firstLine="480"/>
        <w:jc w:val="both"/>
        <w:rPr>
          <w:rFonts w:hint="eastAsia" w:ascii="Times New Roman" w:hAnsi="Times New Roman" w:eastAsia="宋体" w:cs="Times New Roman"/>
          <w:b w:val="0"/>
          <w:bCs/>
        </w:rPr>
      </w:pPr>
      <w:r>
        <w:rPr>
          <w:rFonts w:hint="eastAsia" w:ascii="Times New Roman" w:hAnsi="Times New Roman" w:eastAsia="宋体" w:cs="Times New Roman"/>
          <w:b w:val="0"/>
          <w:bCs/>
        </w:rPr>
        <w:t>为了加强混合料的制粒，改善混合料的透气性，满足高料层烧结的需要，设计采用两段混合，一、二段混合均为圆筒混合机，一混的目的是加水并使混合料完全混匀，二混的目的是制粒并调整混合料水份。一混规格为Φ4m×18m，安装倾角2.3°，混合时间为3.27min；二混规格为Φ4.4m×22m，安装倾角1.9°，混合时间为 4.3min，总混合时间~7.57min。混合机采用陶瓷衬板。</w:t>
      </w:r>
    </w:p>
    <w:p w14:paraId="29DA6ABB">
      <w:pPr>
        <w:spacing w:line="500" w:lineRule="exact"/>
        <w:ind w:right="6" w:firstLine="480"/>
        <w:jc w:val="both"/>
        <w:rPr>
          <w:rFonts w:hint="eastAsia" w:ascii="Times New Roman" w:hAnsi="Times New Roman" w:eastAsia="宋体" w:cs="Times New Roman"/>
          <w:b w:val="0"/>
          <w:bCs/>
        </w:rPr>
      </w:pPr>
      <w:r>
        <w:rPr>
          <w:rFonts w:hint="eastAsia" w:ascii="Times New Roman" w:hAnsi="Times New Roman" w:eastAsia="宋体" w:cs="Times New Roman"/>
          <w:b w:val="0"/>
          <w:bCs/>
        </w:rPr>
        <w:t>二次混合料的水量添加采用自动控制。为提高料温，一、二次混合机内添加热水。一、二次混合机均设置有智能润滑站，厂房采用全封闭式布置。</w:t>
      </w:r>
    </w:p>
    <w:p w14:paraId="4BB4BE90">
      <w:pPr>
        <w:spacing w:line="500" w:lineRule="exact"/>
        <w:ind w:right="6" w:firstLine="480"/>
        <w:jc w:val="both"/>
        <w:rPr>
          <w:rFonts w:hint="eastAsia" w:ascii="Times New Roman" w:hAnsi="Times New Roman" w:eastAsia="宋体" w:cs="Times New Roman"/>
          <w:b w:val="0"/>
          <w:bCs/>
        </w:rPr>
      </w:pPr>
      <w:r>
        <w:rPr>
          <w:rFonts w:hint="eastAsia" w:ascii="Times New Roman" w:hAnsi="Times New Roman" w:eastAsia="宋体" w:cs="Times New Roman"/>
          <w:b w:val="0"/>
          <w:bCs/>
        </w:rPr>
        <w:t>一二混合机有混料粉尘G3产生，共配置一台湿式水浴除尘器。</w:t>
      </w:r>
    </w:p>
    <w:p w14:paraId="4EB5FACA">
      <w:pPr>
        <w:spacing w:line="500" w:lineRule="exact"/>
        <w:ind w:right="6" w:firstLine="480"/>
        <w:jc w:val="both"/>
        <w:rPr>
          <w:rFonts w:hint="eastAsia" w:ascii="Times New Roman" w:hAnsi="Times New Roman" w:cs="Times New Roman"/>
          <w:b/>
        </w:rPr>
      </w:pPr>
      <w:r>
        <w:rPr>
          <w:rFonts w:hint="eastAsia" w:ascii="Times New Roman" w:hAnsi="Times New Roman" w:cs="Times New Roman"/>
          <w:b/>
        </w:rPr>
        <w:t>（4）铺底与布料</w:t>
      </w:r>
    </w:p>
    <w:p w14:paraId="35C3F1C8">
      <w:pPr>
        <w:spacing w:line="500" w:lineRule="exact"/>
        <w:ind w:right="6" w:firstLine="480"/>
        <w:jc w:val="both"/>
        <w:rPr>
          <w:rFonts w:hint="eastAsia" w:ascii="Times New Roman" w:hAnsi="Times New Roman" w:cs="Times New Roman"/>
          <w:b w:val="0"/>
          <w:bCs/>
        </w:rPr>
      </w:pPr>
      <w:r>
        <w:rPr>
          <w:rFonts w:hint="eastAsia" w:ascii="Times New Roman" w:hAnsi="Times New Roman" w:cs="Times New Roman"/>
          <w:b w:val="0"/>
          <w:bCs/>
        </w:rPr>
        <w:t>为保护台车箅条，减少烟气含尘，并使混合料烧好、烧透，烧结机采用铺底料工艺，铺底料采用粒度 10～20mm 的成品烧结矿，由输送皮带从成品烧结矿筛分室输送至烧结机铺底料矿槽，铺底料矿槽底部设给料闸门及摆动漏斗，将铺底料均匀地铺在烧结机台车上，厚度为 20-50mm。</w:t>
      </w:r>
    </w:p>
    <w:p w14:paraId="163DC6E1">
      <w:pPr>
        <w:spacing w:line="500" w:lineRule="exact"/>
        <w:ind w:right="6" w:firstLine="480"/>
        <w:jc w:val="both"/>
        <w:rPr>
          <w:rFonts w:hint="eastAsia" w:ascii="Times New Roman" w:hAnsi="Times New Roman" w:cs="Times New Roman"/>
          <w:b w:val="0"/>
          <w:bCs/>
        </w:rPr>
      </w:pPr>
      <w:r>
        <w:rPr>
          <w:rFonts w:hint="eastAsia" w:ascii="Times New Roman" w:hAnsi="Times New Roman" w:cs="Times New Roman"/>
          <w:b w:val="0"/>
          <w:bCs/>
        </w:rPr>
        <w:t>混合料由梭式布料机、泥辊与</w:t>
      </w:r>
      <w:r>
        <w:rPr>
          <w:rFonts w:hint="eastAsia" w:ascii="Times New Roman" w:hAnsi="Times New Roman" w:cs="Times New Roman"/>
          <w:b w:val="0"/>
          <w:bCs/>
          <w:lang w:val="en-US" w:eastAsia="zh-CN"/>
        </w:rPr>
        <w:t>7</w:t>
      </w:r>
      <w:r>
        <w:rPr>
          <w:rFonts w:hint="eastAsia" w:ascii="Times New Roman" w:hAnsi="Times New Roman" w:cs="Times New Roman"/>
          <w:b w:val="0"/>
          <w:bCs/>
        </w:rPr>
        <w:t>辊布料器组成的布料装置均匀地布在均匀地布在烧结机台车上，台车料层厚度为～900mm（包括铺底料层厚），烧结机台车抽风宽度 4m，台车栏板拓宽至 4.4m，栏板高 900mm。</w:t>
      </w:r>
    </w:p>
    <w:p w14:paraId="0D2E7FA4">
      <w:pPr>
        <w:spacing w:line="500" w:lineRule="exact"/>
        <w:ind w:right="6" w:firstLine="482" w:firstLineChars="200"/>
        <w:jc w:val="both"/>
        <w:rPr>
          <w:rFonts w:hint="default" w:ascii="Times New Roman" w:hAnsi="Times New Roman" w:cs="Times New Roman"/>
          <w:b/>
          <w:lang w:val="en-US" w:eastAsia="zh-CN"/>
        </w:rPr>
      </w:pPr>
      <w:r>
        <w:rPr>
          <w:rFonts w:ascii="Times New Roman" w:hAnsi="Times New Roman" w:cs="Times New Roman"/>
          <w:b/>
        </w:rPr>
        <w:t>（5）</w:t>
      </w:r>
      <w:r>
        <w:rPr>
          <w:rFonts w:hint="eastAsia" w:ascii="Times New Roman" w:hAnsi="Times New Roman" w:cs="Times New Roman"/>
          <w:b/>
          <w:lang w:val="en-US" w:eastAsia="zh-CN"/>
        </w:rPr>
        <w:t>烧结G3、G4</w:t>
      </w:r>
    </w:p>
    <w:p w14:paraId="6E57F4C6">
      <w:pPr>
        <w:spacing w:line="500" w:lineRule="exact"/>
        <w:ind w:right="6" w:firstLine="480" w:firstLineChars="200"/>
        <w:jc w:val="both"/>
        <w:rPr>
          <w:rFonts w:hint="eastAsia" w:ascii="Times New Roman" w:hAnsi="Times New Roman" w:cs="Times New Roman"/>
          <w:b w:val="0"/>
          <w:bCs/>
        </w:rPr>
      </w:pPr>
      <w:r>
        <w:rPr>
          <w:rFonts w:hint="eastAsia" w:ascii="Times New Roman" w:hAnsi="Times New Roman" w:cs="Times New Roman"/>
          <w:b w:val="0"/>
          <w:bCs/>
        </w:rPr>
        <w:t>点火器采用新型双斜式烧嘴。烧结点火采用高炉煤气作为燃料，环冷机三段烟气经过旋风除尘后用作点火空气，废气温度为：200℃。采用微负压直接点火工艺，点火温度为 1100℃±50℃，点火时间 1～1.5min，炉膛压力为微负压-10～12Pa，煤气点火后形成高温烟气，引燃台车上混合料中的燃料，而后料层中的燃料在烧结抽风机的负压作用下自上而下逐渐燃烧，混合料氧化熔融，固结生成烧结矿。</w:t>
      </w:r>
    </w:p>
    <w:p w14:paraId="6C85F533">
      <w:pPr>
        <w:spacing w:line="500" w:lineRule="exact"/>
        <w:ind w:right="6" w:firstLine="480" w:firstLineChars="200"/>
        <w:jc w:val="both"/>
        <w:rPr>
          <w:rFonts w:hint="eastAsia" w:ascii="Times New Roman" w:hAnsi="Times New Roman" w:cs="Times New Roman"/>
          <w:b w:val="0"/>
          <w:bCs/>
        </w:rPr>
      </w:pPr>
      <w:r>
        <w:rPr>
          <w:rFonts w:hint="eastAsia" w:ascii="Times New Roman" w:hAnsi="Times New Roman" w:cs="Times New Roman"/>
          <w:b w:val="0"/>
          <w:bCs/>
        </w:rPr>
        <w:t>烧结机的有效抽风面积为</w:t>
      </w:r>
      <w:r>
        <w:rPr>
          <w:rFonts w:hint="eastAsia" w:ascii="Times New Roman" w:hAnsi="Times New Roman" w:cs="Times New Roman"/>
          <w:b w:val="0"/>
          <w:bCs/>
          <w:lang w:val="en-US" w:eastAsia="zh-CN"/>
        </w:rPr>
        <w:t>50</w:t>
      </w:r>
      <w:r>
        <w:rPr>
          <w:rFonts w:hint="eastAsia" w:ascii="Times New Roman" w:hAnsi="Times New Roman" w:cs="Times New Roman"/>
          <w:b w:val="0"/>
          <w:bCs/>
        </w:rPr>
        <w:t>m</w:t>
      </w:r>
      <w:r>
        <w:rPr>
          <w:rFonts w:hint="eastAsia" w:ascii="Times New Roman" w:hAnsi="Times New Roman" w:cs="Times New Roman"/>
          <w:b w:val="0"/>
          <w:bCs/>
          <w:vertAlign w:val="superscript"/>
        </w:rPr>
        <w:t>2</w:t>
      </w:r>
      <w:r>
        <w:rPr>
          <w:rFonts w:hint="eastAsia" w:ascii="Times New Roman" w:hAnsi="Times New Roman" w:cs="Times New Roman"/>
          <w:b w:val="0"/>
          <w:bCs/>
        </w:rPr>
        <w:t>，台车宽度4.0m（扩帮到4.4m），栏板高度 900mm，料层厚度900mm（含20—40mm铺底料）。</w:t>
      </w:r>
    </w:p>
    <w:p w14:paraId="725CF4E2">
      <w:pPr>
        <w:spacing w:line="500" w:lineRule="exact"/>
        <w:ind w:right="6" w:firstLine="480" w:firstLineChars="200"/>
        <w:jc w:val="both"/>
        <w:rPr>
          <w:rFonts w:hint="eastAsia" w:ascii="Times New Roman" w:hAnsi="Times New Roman" w:cs="Times New Roman"/>
          <w:b w:val="0"/>
          <w:bCs/>
        </w:rPr>
      </w:pPr>
      <w:r>
        <w:rPr>
          <w:rFonts w:hint="eastAsia" w:ascii="Times New Roman" w:hAnsi="Times New Roman" w:cs="Times New Roman"/>
          <w:b w:val="0"/>
          <w:bCs/>
        </w:rPr>
        <w:t>在烧结室内，将9t/h 的余热锅炉的各级受热面直接布置在烧结机尾部大烟道内回收热量。</w:t>
      </w:r>
    </w:p>
    <w:p w14:paraId="1EEB2300">
      <w:pPr>
        <w:spacing w:line="500" w:lineRule="exact"/>
        <w:ind w:right="6" w:firstLine="480" w:firstLineChars="200"/>
        <w:jc w:val="both"/>
        <w:rPr>
          <w:rFonts w:hint="eastAsia" w:ascii="Times New Roman" w:hAnsi="Times New Roman" w:cs="Times New Roman"/>
          <w:b w:val="0"/>
          <w:bCs/>
        </w:rPr>
      </w:pPr>
      <w:r>
        <w:rPr>
          <w:rFonts w:hint="eastAsia" w:ascii="Times New Roman" w:hAnsi="Times New Roman" w:cs="Times New Roman"/>
          <w:b w:val="0"/>
          <w:bCs/>
        </w:rPr>
        <w:t>烧结过程中有 G</w:t>
      </w:r>
      <w:r>
        <w:rPr>
          <w:rFonts w:hint="eastAsia" w:ascii="Times New Roman" w:hAnsi="Times New Roman" w:cs="Times New Roman"/>
          <w:b w:val="0"/>
          <w:bCs/>
          <w:lang w:val="en-US" w:eastAsia="zh-CN"/>
        </w:rPr>
        <w:t>3</w:t>
      </w:r>
      <w:r>
        <w:rPr>
          <w:rFonts w:hint="eastAsia" w:ascii="Times New Roman" w:hAnsi="Times New Roman" w:cs="Times New Roman"/>
          <w:b w:val="0"/>
          <w:bCs/>
        </w:rPr>
        <w:t>机头废气及G</w:t>
      </w:r>
      <w:r>
        <w:rPr>
          <w:rFonts w:hint="eastAsia" w:ascii="Times New Roman" w:hAnsi="Times New Roman" w:cs="Times New Roman"/>
          <w:b w:val="0"/>
          <w:bCs/>
          <w:lang w:val="en-US" w:eastAsia="zh-CN"/>
        </w:rPr>
        <w:t>4</w:t>
      </w:r>
      <w:r>
        <w:rPr>
          <w:rFonts w:hint="eastAsia" w:ascii="Times New Roman" w:hAnsi="Times New Roman" w:cs="Times New Roman"/>
          <w:b w:val="0"/>
          <w:bCs/>
        </w:rPr>
        <w:t>机尾粉尘产生，G</w:t>
      </w:r>
      <w:r>
        <w:rPr>
          <w:rFonts w:hint="eastAsia" w:ascii="Times New Roman" w:hAnsi="Times New Roman" w:cs="Times New Roman"/>
          <w:b w:val="0"/>
          <w:bCs/>
          <w:lang w:val="en-US" w:eastAsia="zh-CN"/>
        </w:rPr>
        <w:t>3</w:t>
      </w:r>
      <w:r>
        <w:rPr>
          <w:rFonts w:hint="eastAsia" w:ascii="Times New Roman" w:hAnsi="Times New Roman" w:cs="Times New Roman"/>
          <w:b w:val="0"/>
          <w:bCs/>
        </w:rPr>
        <w:t>机头废气采用</w:t>
      </w:r>
      <w:r>
        <w:rPr>
          <w:rFonts w:hint="eastAsia" w:ascii="Times New Roman" w:hAnsi="Times New Roman" w:cs="Times New Roman"/>
          <w:b w:val="0"/>
          <w:bCs/>
          <w:lang w:val="en-US" w:eastAsia="zh-CN"/>
        </w:rPr>
        <w:t>湿电</w:t>
      </w:r>
      <w:r>
        <w:rPr>
          <w:rFonts w:hint="eastAsia" w:ascii="Times New Roman" w:hAnsi="Times New Roman" w:cs="Times New Roman"/>
          <w:b w:val="0"/>
          <w:bCs/>
        </w:rPr>
        <w:t>除尘器+</w:t>
      </w:r>
      <w:r>
        <w:rPr>
          <w:rFonts w:hint="eastAsia" w:ascii="Times New Roman" w:hAnsi="Times New Roman" w:cs="Times New Roman"/>
          <w:b w:val="0"/>
          <w:bCs/>
          <w:lang w:val="en-US" w:eastAsia="zh-CN"/>
        </w:rPr>
        <w:t>石灰石-石膏脱硫</w:t>
      </w:r>
      <w:r>
        <w:rPr>
          <w:rFonts w:hint="eastAsia" w:ascii="Times New Roman" w:hAnsi="Times New Roman" w:cs="Times New Roman"/>
          <w:b w:val="0"/>
          <w:bCs/>
        </w:rPr>
        <w:t>+SCR脱硝处理，G</w:t>
      </w:r>
      <w:r>
        <w:rPr>
          <w:rFonts w:hint="eastAsia" w:ascii="Times New Roman" w:hAnsi="Times New Roman" w:cs="Times New Roman"/>
          <w:b w:val="0"/>
          <w:bCs/>
          <w:lang w:val="en-US" w:eastAsia="zh-CN"/>
        </w:rPr>
        <w:t>4</w:t>
      </w:r>
      <w:r>
        <w:rPr>
          <w:rFonts w:hint="eastAsia" w:ascii="Times New Roman" w:hAnsi="Times New Roman" w:cs="Times New Roman"/>
          <w:b w:val="0"/>
          <w:bCs/>
        </w:rPr>
        <w:t>机尾粉尘采用袋式除尘系统处理。</w:t>
      </w:r>
    </w:p>
    <w:p w14:paraId="621E7381">
      <w:pPr>
        <w:spacing w:line="500" w:lineRule="exact"/>
        <w:ind w:right="6" w:firstLine="482" w:firstLineChars="200"/>
        <w:jc w:val="both"/>
        <w:rPr>
          <w:rFonts w:hint="default" w:ascii="Times New Roman" w:hAnsi="Times New Roman" w:eastAsia="宋体" w:cs="Times New Roman"/>
          <w:b/>
          <w:bCs w:val="0"/>
          <w:lang w:val="en-US" w:eastAsia="zh-CN"/>
        </w:rPr>
      </w:pPr>
      <w:r>
        <w:rPr>
          <w:rFonts w:hint="eastAsia" w:ascii="Times New Roman" w:hAnsi="Times New Roman" w:cs="Times New Roman"/>
          <w:b/>
          <w:bCs w:val="0"/>
          <w:lang w:eastAsia="zh-CN"/>
        </w:rPr>
        <w:t>（</w:t>
      </w:r>
      <w:r>
        <w:rPr>
          <w:rFonts w:hint="eastAsia" w:ascii="Times New Roman" w:hAnsi="Times New Roman" w:cs="Times New Roman"/>
          <w:b/>
          <w:bCs w:val="0"/>
          <w:lang w:val="en-US" w:eastAsia="zh-CN"/>
        </w:rPr>
        <w:t>6）破碎G5</w:t>
      </w:r>
    </w:p>
    <w:p w14:paraId="1E6BBE33">
      <w:pPr>
        <w:spacing w:line="500" w:lineRule="exact"/>
        <w:ind w:right="6" w:firstLine="480" w:firstLineChars="200"/>
        <w:rPr>
          <w:rFonts w:hint="eastAsia" w:ascii="Times New Roman" w:hAnsi="Times New Roman" w:cs="Times New Roman"/>
        </w:rPr>
      </w:pPr>
      <w:r>
        <w:rPr>
          <w:rFonts w:hint="eastAsia" w:ascii="Times New Roman" w:hAnsi="Times New Roman" w:cs="Times New Roman"/>
        </w:rPr>
        <w:t>烧结饼经φ2200×4630 单辊破碎机破碎至小于150mm，后进入380m</w:t>
      </w:r>
      <w:r>
        <w:rPr>
          <w:rFonts w:hint="eastAsia" w:ascii="Times New Roman" w:hAnsi="Times New Roman" w:cs="Times New Roman"/>
          <w:vertAlign w:val="superscript"/>
        </w:rPr>
        <w:t>2</w:t>
      </w:r>
      <w:r>
        <w:rPr>
          <w:rFonts w:hint="eastAsia" w:ascii="Times New Roman" w:hAnsi="Times New Roman" w:cs="Times New Roman"/>
        </w:rPr>
        <w:t>新型转臂式液密封环冷机，冷却机的料层厚度约 1500mm，栏板高度 1600mm。冷却机配置 7 台冷却风机，冷却后的烧结矿平均温度≤120℃，冷却时间≥60min。冷却矿的排料设备采用板式给料机。</w:t>
      </w:r>
    </w:p>
    <w:p w14:paraId="1EDAA22C">
      <w:pPr>
        <w:spacing w:line="500" w:lineRule="exact"/>
        <w:ind w:right="6" w:firstLine="480" w:firstLineChars="200"/>
        <w:rPr>
          <w:rFonts w:hint="eastAsia" w:ascii="Times New Roman" w:hAnsi="Times New Roman" w:cs="Times New Roman"/>
        </w:rPr>
      </w:pPr>
      <w:r>
        <w:rPr>
          <w:rFonts w:hint="eastAsia" w:ascii="Times New Roman" w:hAnsi="Times New Roman" w:cs="Times New Roman"/>
        </w:rPr>
        <w:t>破碎产生的废气 G</w:t>
      </w:r>
      <w:r>
        <w:rPr>
          <w:rFonts w:hint="eastAsia" w:ascii="Times New Roman" w:hAnsi="Times New Roman" w:cs="Times New Roman"/>
          <w:lang w:val="en-US" w:eastAsia="zh-CN"/>
        </w:rPr>
        <w:t>5</w:t>
      </w:r>
      <w:r>
        <w:rPr>
          <w:rFonts w:hint="eastAsia" w:ascii="Times New Roman" w:hAnsi="Times New Roman" w:cs="Times New Roman"/>
          <w:b w:val="0"/>
          <w:bCs/>
        </w:rPr>
        <w:t>采用袋式除尘系统处理</w:t>
      </w:r>
      <w:r>
        <w:rPr>
          <w:rFonts w:hint="eastAsia" w:ascii="Times New Roman" w:hAnsi="Times New Roman" w:cs="Times New Roman"/>
        </w:rPr>
        <w:t>。</w:t>
      </w:r>
    </w:p>
    <w:p w14:paraId="164068F7">
      <w:pPr>
        <w:spacing w:line="500" w:lineRule="exact"/>
        <w:ind w:right="6" w:firstLine="482" w:firstLineChars="200"/>
        <w:rPr>
          <w:rFonts w:hint="eastAsia" w:ascii="Times New Roman" w:hAnsi="Times New Roman" w:cs="Times New Roman"/>
          <w:b/>
          <w:bCs/>
        </w:rPr>
      </w:pPr>
      <w:r>
        <w:rPr>
          <w:rFonts w:hint="eastAsia" w:ascii="Times New Roman" w:hAnsi="Times New Roman" w:cs="Times New Roman"/>
          <w:b/>
          <w:bCs/>
          <w:lang w:eastAsia="zh-CN"/>
        </w:rPr>
        <w:t>（</w:t>
      </w:r>
      <w:r>
        <w:rPr>
          <w:rFonts w:hint="eastAsia" w:ascii="Times New Roman" w:hAnsi="Times New Roman" w:cs="Times New Roman"/>
          <w:b/>
          <w:bCs/>
          <w:lang w:val="en-US" w:eastAsia="zh-CN"/>
        </w:rPr>
        <w:t>7）</w:t>
      </w:r>
      <w:r>
        <w:rPr>
          <w:rFonts w:hint="eastAsia" w:ascii="Times New Roman" w:hAnsi="Times New Roman" w:cs="Times New Roman"/>
          <w:b/>
          <w:bCs/>
        </w:rPr>
        <w:t>冷却及余热回收</w:t>
      </w:r>
    </w:p>
    <w:p w14:paraId="033C5594">
      <w:pPr>
        <w:keepNext w:val="0"/>
        <w:keepLines w:val="0"/>
        <w:widowControl/>
        <w:suppressLineNumbers w:val="0"/>
        <w:ind w:firstLine="480" w:firstLineChars="200"/>
        <w:jc w:val="left"/>
      </w:pPr>
      <w:r>
        <w:rPr>
          <w:rFonts w:hint="eastAsia" w:ascii="Times New Roman" w:hAnsi="Times New Roman" w:cs="Times New Roman"/>
        </w:rPr>
        <w:t>①冷却 ：经单辊破碎机破碎的烧结饼，直接给入鼓风环式冷却机给料斗，进行冷却。所选鼓风环式冷却机为销齿轮传动。下部风箱密封采用新型双层密封结构（柔性密封+弹性密封），以减少漏风率。上部烟气罩采用水密封，以提高环冷机废气温度，增加环</w:t>
      </w:r>
      <w:r>
        <w:rPr>
          <w:rFonts w:hint="eastAsia" w:ascii="宋体" w:hAnsi="宋体" w:eastAsia="宋体" w:cs="宋体"/>
          <w:color w:val="000000"/>
          <w:kern w:val="0"/>
          <w:sz w:val="24"/>
          <w:szCs w:val="24"/>
          <w:lang w:val="en-US" w:eastAsia="zh-CN" w:bidi="ar"/>
        </w:rPr>
        <w:t xml:space="preserve">冷机余热锅炉蒸汽产量。冷却面积为 </w:t>
      </w:r>
      <w:r>
        <w:rPr>
          <w:rFonts w:hint="default" w:ascii="Times New Roman" w:hAnsi="Times New Roman" w:eastAsia="宋体" w:cs="Times New Roman"/>
          <w:color w:val="000000"/>
          <w:kern w:val="0"/>
          <w:sz w:val="24"/>
          <w:szCs w:val="24"/>
          <w:lang w:val="en-US" w:eastAsia="zh-CN" w:bidi="ar"/>
        </w:rPr>
        <w:t>415m</w:t>
      </w:r>
      <w:r>
        <w:rPr>
          <w:rFonts w:hint="eastAsia" w:ascii="Times New Roman" w:hAnsi="Times New Roman" w:eastAsia="宋体" w:cs="Times New Roman"/>
          <w:color w:val="000000"/>
          <w:kern w:val="0"/>
          <w:sz w:val="24"/>
          <w:szCs w:val="24"/>
          <w:vertAlign w:val="superscript"/>
          <w:lang w:val="en-US" w:eastAsia="zh-CN" w:bidi="ar"/>
        </w:rPr>
        <w:t>2</w:t>
      </w:r>
      <w:r>
        <w:rPr>
          <w:rFonts w:hint="eastAsia" w:ascii="宋体" w:hAnsi="宋体" w:eastAsia="宋体" w:cs="宋体"/>
          <w:color w:val="000000"/>
          <w:kern w:val="0"/>
          <w:sz w:val="24"/>
          <w:szCs w:val="24"/>
          <w:lang w:val="en-US" w:eastAsia="zh-CN" w:bidi="ar"/>
        </w:rPr>
        <w:t xml:space="preserve">，中径 </w:t>
      </w:r>
      <w:r>
        <w:rPr>
          <w:rFonts w:hint="default" w:ascii="Times New Roman" w:hAnsi="Times New Roman" w:eastAsia="宋体" w:cs="Times New Roman"/>
          <w:color w:val="000000"/>
          <w:kern w:val="0"/>
          <w:sz w:val="24"/>
          <w:szCs w:val="24"/>
          <w:lang w:val="en-US" w:eastAsia="zh-CN" w:bidi="ar"/>
        </w:rPr>
        <w:t>φ40m</w:t>
      </w:r>
      <w:r>
        <w:rPr>
          <w:rFonts w:hint="eastAsia" w:ascii="宋体" w:hAnsi="宋体" w:eastAsia="宋体" w:cs="宋体"/>
          <w:color w:val="000000"/>
          <w:kern w:val="0"/>
          <w:sz w:val="24"/>
          <w:szCs w:val="24"/>
          <w:lang w:val="en-US" w:eastAsia="zh-CN" w:bidi="ar"/>
        </w:rPr>
        <w:t xml:space="preserve">、台车宽度 </w:t>
      </w:r>
      <w:r>
        <w:rPr>
          <w:rFonts w:hint="default" w:ascii="Times New Roman" w:hAnsi="Times New Roman" w:eastAsia="宋体" w:cs="Times New Roman"/>
          <w:color w:val="000000"/>
          <w:kern w:val="0"/>
          <w:sz w:val="24"/>
          <w:szCs w:val="24"/>
          <w:lang w:val="en-US" w:eastAsia="zh-CN" w:bidi="ar"/>
        </w:rPr>
        <w:t>3.8m</w:t>
      </w:r>
      <w:r>
        <w:rPr>
          <w:rFonts w:hint="eastAsia" w:ascii="宋体" w:hAnsi="宋体" w:eastAsia="宋体" w:cs="宋体"/>
          <w:color w:val="000000"/>
          <w:kern w:val="0"/>
          <w:sz w:val="24"/>
          <w:szCs w:val="24"/>
          <w:lang w:val="en-US" w:eastAsia="zh-CN" w:bidi="ar"/>
        </w:rPr>
        <w:t xml:space="preserve">、栏板高 </w:t>
      </w:r>
      <w:r>
        <w:rPr>
          <w:rFonts w:hint="default" w:ascii="Times New Roman" w:hAnsi="Times New Roman" w:eastAsia="宋体" w:cs="Times New Roman"/>
          <w:color w:val="000000"/>
          <w:kern w:val="0"/>
          <w:sz w:val="24"/>
          <w:szCs w:val="24"/>
          <w:lang w:val="en-US" w:eastAsia="zh-CN" w:bidi="ar"/>
        </w:rPr>
        <w:t>1600mm</w:t>
      </w:r>
      <w:r>
        <w:rPr>
          <w:rFonts w:hint="eastAsia" w:ascii="宋体" w:hAnsi="宋体" w:eastAsia="宋体" w:cs="宋体"/>
          <w:color w:val="000000"/>
          <w:kern w:val="0"/>
          <w:sz w:val="24"/>
          <w:szCs w:val="24"/>
          <w:lang w:val="en-US" w:eastAsia="zh-CN" w:bidi="ar"/>
        </w:rPr>
        <w:t xml:space="preserve">、料层厚度 </w:t>
      </w:r>
      <w:r>
        <w:rPr>
          <w:rFonts w:hint="default" w:ascii="Times New Roman" w:hAnsi="Times New Roman" w:eastAsia="宋体" w:cs="Times New Roman"/>
          <w:color w:val="000000"/>
          <w:kern w:val="0"/>
          <w:sz w:val="24"/>
          <w:szCs w:val="24"/>
          <w:lang w:val="en-US" w:eastAsia="zh-CN" w:bidi="ar"/>
        </w:rPr>
        <w:t>1500mm</w:t>
      </w:r>
      <w:r>
        <w:rPr>
          <w:rFonts w:hint="eastAsia" w:ascii="宋体" w:hAnsi="宋体" w:eastAsia="宋体" w:cs="宋体"/>
          <w:color w:val="000000"/>
          <w:kern w:val="0"/>
          <w:sz w:val="24"/>
          <w:szCs w:val="24"/>
          <w:lang w:val="en-US" w:eastAsia="zh-CN" w:bidi="ar"/>
        </w:rPr>
        <w:t>。有效冷却时间：</w:t>
      </w:r>
      <w:r>
        <w:rPr>
          <w:rFonts w:hint="default" w:ascii="Times New Roman" w:hAnsi="Times New Roman" w:eastAsia="宋体" w:cs="Times New Roman"/>
          <w:color w:val="000000"/>
          <w:kern w:val="0"/>
          <w:sz w:val="24"/>
          <w:szCs w:val="24"/>
          <w:lang w:val="en-US" w:eastAsia="zh-CN" w:bidi="ar"/>
        </w:rPr>
        <w:t>43—130min</w:t>
      </w:r>
      <w:r>
        <w:rPr>
          <w:rFonts w:hint="eastAsia" w:ascii="宋体" w:hAnsi="宋体" w:eastAsia="宋体" w:cs="宋体"/>
          <w:color w:val="000000"/>
          <w:kern w:val="0"/>
          <w:sz w:val="24"/>
          <w:szCs w:val="24"/>
          <w:lang w:val="en-US" w:eastAsia="zh-CN" w:bidi="ar"/>
        </w:rPr>
        <w:t>，正常冷却时间：</w:t>
      </w:r>
      <w:r>
        <w:rPr>
          <w:rFonts w:hint="default" w:ascii="Times New Roman" w:hAnsi="Times New Roman" w:eastAsia="宋体" w:cs="Times New Roman"/>
          <w:color w:val="000000"/>
          <w:kern w:val="0"/>
          <w:sz w:val="24"/>
          <w:szCs w:val="24"/>
          <w:lang w:val="en-US" w:eastAsia="zh-CN" w:bidi="ar"/>
        </w:rPr>
        <w:t>75min</w:t>
      </w:r>
      <w:r>
        <w:rPr>
          <w:rFonts w:hint="eastAsia" w:ascii="宋体" w:hAnsi="宋体" w:eastAsia="宋体" w:cs="宋体"/>
          <w:color w:val="000000"/>
          <w:kern w:val="0"/>
          <w:sz w:val="24"/>
          <w:szCs w:val="24"/>
          <w:lang w:val="en-US" w:eastAsia="zh-CN" w:bidi="ar"/>
        </w:rPr>
        <w:t xml:space="preserve">。 </w:t>
      </w:r>
    </w:p>
    <w:p w14:paraId="4A6D67A2">
      <w:pPr>
        <w:keepNext w:val="0"/>
        <w:keepLines w:val="0"/>
        <w:widowControl/>
        <w:suppressLineNumbers w:val="0"/>
        <w:ind w:firstLine="480" w:firstLineChars="200"/>
        <w:jc w:val="left"/>
      </w:pPr>
      <w:r>
        <w:rPr>
          <w:rFonts w:hint="eastAsia" w:ascii="宋体" w:hAnsi="宋体" w:eastAsia="宋体" w:cs="宋体"/>
          <w:color w:val="000000"/>
          <w:kern w:val="0"/>
          <w:sz w:val="24"/>
          <w:szCs w:val="24"/>
          <w:lang w:val="en-US" w:eastAsia="zh-CN" w:bidi="ar"/>
        </w:rPr>
        <w:t>② 余热回收</w:t>
      </w:r>
      <w:r>
        <w:rPr>
          <w:rFonts w:hint="eastAsia" w:eastAsia="宋体" w:cs="宋体"/>
          <w:color w:val="000000"/>
          <w:kern w:val="0"/>
          <w:sz w:val="24"/>
          <w:szCs w:val="24"/>
          <w:lang w:val="en-US" w:eastAsia="zh-CN" w:bidi="ar"/>
        </w:rPr>
        <w:t>：</w:t>
      </w:r>
      <w:r>
        <w:rPr>
          <w:rFonts w:hint="eastAsia" w:ascii="宋体" w:hAnsi="宋体" w:eastAsia="宋体" w:cs="宋体"/>
          <w:color w:val="000000"/>
          <w:kern w:val="0"/>
          <w:sz w:val="24"/>
          <w:szCs w:val="24"/>
          <w:lang w:val="en-US" w:eastAsia="zh-CN" w:bidi="ar"/>
        </w:rPr>
        <w:t xml:space="preserve">环冷热废气一段废气与 </w:t>
      </w:r>
      <w:r>
        <w:rPr>
          <w:rFonts w:hint="default" w:ascii="Times New Roman" w:hAnsi="Times New Roman" w:eastAsia="宋体" w:cs="Times New Roman"/>
          <w:color w:val="000000"/>
          <w:kern w:val="0"/>
          <w:sz w:val="24"/>
          <w:szCs w:val="24"/>
          <w:lang w:val="en-US" w:eastAsia="zh-CN" w:bidi="ar"/>
        </w:rPr>
        <w:t>850℃</w:t>
      </w:r>
      <w:r>
        <w:rPr>
          <w:rFonts w:hint="eastAsia" w:ascii="宋体" w:hAnsi="宋体" w:eastAsia="宋体" w:cs="宋体"/>
          <w:color w:val="000000"/>
          <w:kern w:val="0"/>
          <w:sz w:val="24"/>
          <w:szCs w:val="24"/>
          <w:lang w:val="en-US" w:eastAsia="zh-CN" w:bidi="ar"/>
        </w:rPr>
        <w:t>烧结矿直接接触回收余热，升温至</w:t>
      </w:r>
      <w:r>
        <w:rPr>
          <w:rFonts w:hint="default" w:ascii="Times New Roman" w:hAnsi="Times New Roman" w:eastAsia="宋体" w:cs="Times New Roman"/>
          <w:color w:val="000000"/>
          <w:kern w:val="0"/>
          <w:sz w:val="24"/>
          <w:szCs w:val="24"/>
          <w:lang w:val="en-US" w:eastAsia="zh-CN" w:bidi="ar"/>
        </w:rPr>
        <w:t>400±50℃</w:t>
      </w:r>
      <w:r>
        <w:rPr>
          <w:rFonts w:hint="eastAsia" w:ascii="宋体" w:hAnsi="宋体" w:eastAsia="宋体" w:cs="宋体"/>
          <w:color w:val="000000"/>
          <w:kern w:val="0"/>
          <w:sz w:val="24"/>
          <w:szCs w:val="24"/>
          <w:lang w:val="en-US" w:eastAsia="zh-CN" w:bidi="ar"/>
        </w:rPr>
        <w:t xml:space="preserve">左右，二段废气升温至 </w:t>
      </w:r>
      <w:r>
        <w:rPr>
          <w:rFonts w:hint="default" w:ascii="Times New Roman" w:hAnsi="Times New Roman" w:eastAsia="宋体" w:cs="Times New Roman"/>
          <w:color w:val="000000"/>
          <w:kern w:val="0"/>
          <w:sz w:val="24"/>
          <w:szCs w:val="24"/>
          <w:lang w:val="en-US" w:eastAsia="zh-CN" w:bidi="ar"/>
        </w:rPr>
        <w:t>300±50℃</w:t>
      </w:r>
      <w:r>
        <w:rPr>
          <w:rFonts w:hint="eastAsia" w:ascii="宋体" w:hAnsi="宋体" w:eastAsia="宋体" w:cs="宋体"/>
          <w:color w:val="000000"/>
          <w:kern w:val="0"/>
          <w:sz w:val="24"/>
          <w:szCs w:val="24"/>
          <w:lang w:val="en-US" w:eastAsia="zh-CN" w:bidi="ar"/>
        </w:rPr>
        <w:t>左右，均用于</w:t>
      </w:r>
      <w:r>
        <w:rPr>
          <w:rFonts w:hint="eastAsia" w:cs="宋体"/>
          <w:color w:val="000000"/>
          <w:kern w:val="0"/>
          <w:sz w:val="24"/>
          <w:szCs w:val="24"/>
          <w:lang w:val="en-US" w:eastAsia="zh-CN" w:bidi="ar"/>
        </w:rPr>
        <w:t>9</w:t>
      </w:r>
      <w:r>
        <w:rPr>
          <w:rFonts w:hint="default" w:ascii="Times New Roman" w:hAnsi="Times New Roman" w:eastAsia="宋体" w:cs="Times New Roman"/>
          <w:color w:val="000000"/>
          <w:kern w:val="0"/>
          <w:sz w:val="24"/>
          <w:szCs w:val="24"/>
          <w:lang w:val="en-US" w:eastAsia="zh-CN" w:bidi="ar"/>
        </w:rPr>
        <w:t xml:space="preserve">t/h </w:t>
      </w:r>
      <w:r>
        <w:rPr>
          <w:rFonts w:hint="eastAsia" w:ascii="宋体" w:hAnsi="宋体" w:eastAsia="宋体" w:cs="宋体"/>
          <w:color w:val="000000"/>
          <w:kern w:val="0"/>
          <w:sz w:val="24"/>
          <w:szCs w:val="24"/>
          <w:lang w:val="en-US" w:eastAsia="zh-CN" w:bidi="ar"/>
        </w:rPr>
        <w:t xml:space="preserve">余热锅炉生产蒸汽后回用于一二段环冷。 </w:t>
      </w:r>
    </w:p>
    <w:p w14:paraId="3FB6E7DC">
      <w:pPr>
        <w:spacing w:line="500" w:lineRule="exact"/>
        <w:ind w:right="6" w:firstLine="482" w:firstLineChars="200"/>
        <w:rPr>
          <w:rFonts w:hint="eastAsia" w:ascii="Times New Roman" w:hAnsi="Times New Roman" w:cs="Times New Roman"/>
          <w:b/>
          <w:bCs/>
        </w:rPr>
      </w:pPr>
      <w:r>
        <w:rPr>
          <w:rFonts w:hint="eastAsia" w:ascii="Times New Roman" w:hAnsi="Times New Roman" w:cs="Times New Roman"/>
          <w:b/>
          <w:bCs/>
          <w:lang w:eastAsia="zh-CN"/>
        </w:rPr>
        <w:t>（</w:t>
      </w:r>
      <w:r>
        <w:rPr>
          <w:rFonts w:hint="eastAsia" w:ascii="Times New Roman" w:hAnsi="Times New Roman" w:cs="Times New Roman"/>
          <w:b/>
          <w:bCs/>
          <w:lang w:val="en-US" w:eastAsia="zh-CN"/>
        </w:rPr>
        <w:t>8）</w:t>
      </w:r>
      <w:r>
        <w:rPr>
          <w:rFonts w:hint="eastAsia" w:ascii="Times New Roman" w:hAnsi="Times New Roman" w:cs="Times New Roman"/>
          <w:b/>
          <w:bCs/>
        </w:rPr>
        <w:t>烧结矿的运输与贮运</w:t>
      </w:r>
    </w:p>
    <w:p w14:paraId="4545A20F">
      <w:pPr>
        <w:spacing w:line="500" w:lineRule="exact"/>
        <w:ind w:right="6" w:firstLine="480" w:firstLineChars="200"/>
        <w:rPr>
          <w:rFonts w:hint="eastAsia" w:ascii="Times New Roman" w:hAnsi="Times New Roman" w:cs="Times New Roman"/>
        </w:rPr>
      </w:pPr>
      <w:r>
        <w:rPr>
          <w:rFonts w:hint="eastAsia" w:ascii="Times New Roman" w:hAnsi="Times New Roman" w:cs="Times New Roman"/>
        </w:rPr>
        <w:t>成品烧结矿经胶带机输送机输送到烧结成品仓储存。</w:t>
      </w:r>
    </w:p>
    <w:p w14:paraId="52DB7A04">
      <w:pPr>
        <w:spacing w:line="500" w:lineRule="exact"/>
        <w:ind w:right="6" w:firstLine="480" w:firstLineChars="200"/>
        <w:rPr>
          <w:rFonts w:hint="eastAsia" w:ascii="Times New Roman" w:hAnsi="Times New Roman" w:cs="Times New Roman"/>
        </w:rPr>
      </w:pPr>
      <w:r>
        <w:rPr>
          <w:rFonts w:hint="eastAsia" w:ascii="Times New Roman" w:hAnsi="Times New Roman" w:cs="Times New Roman"/>
          <w:lang w:val="en-US" w:eastAsia="zh-CN"/>
        </w:rPr>
        <w:t>成品下料废气G6，</w:t>
      </w:r>
      <w:r>
        <w:rPr>
          <w:rFonts w:hint="eastAsia" w:ascii="Times New Roman" w:hAnsi="Times New Roman" w:cs="Times New Roman"/>
        </w:rPr>
        <w:t>采用袋式除尘系统处理。</w:t>
      </w:r>
    </w:p>
    <w:p w14:paraId="02A68659">
      <w:pPr>
        <w:spacing w:line="500" w:lineRule="exact"/>
        <w:ind w:right="6" w:firstLine="480" w:firstLineChars="200"/>
        <w:rPr>
          <w:rFonts w:hint="eastAsia" w:ascii="Times New Roman" w:hAnsi="Times New Roman" w:cs="Times New Roman"/>
        </w:rPr>
      </w:pPr>
      <w:r>
        <w:rPr>
          <w:rFonts w:hint="eastAsia" w:ascii="Times New Roman" w:hAnsi="Times New Roman" w:cs="Times New Roman"/>
        </w:rPr>
        <w:t>成品仓运输储存过程中有废气 G</w:t>
      </w:r>
      <w:r>
        <w:rPr>
          <w:rFonts w:hint="eastAsia" w:ascii="Times New Roman" w:hAnsi="Times New Roman" w:cs="Times New Roman"/>
          <w:lang w:val="en-US" w:eastAsia="zh-CN"/>
        </w:rPr>
        <w:t>7</w:t>
      </w:r>
      <w:r>
        <w:rPr>
          <w:rFonts w:hint="eastAsia" w:ascii="Times New Roman" w:hAnsi="Times New Roman" w:cs="Times New Roman"/>
        </w:rPr>
        <w:t>成分仓产生，采用袋式除尘系统处理。</w:t>
      </w:r>
    </w:p>
    <w:p w14:paraId="06016137">
      <w:pPr>
        <w:spacing w:line="500" w:lineRule="exact"/>
        <w:ind w:right="6" w:firstLine="482" w:firstLineChars="200"/>
        <w:rPr>
          <w:rFonts w:hint="eastAsia" w:ascii="Times New Roman" w:hAnsi="Times New Roman" w:cs="Times New Roman"/>
          <w:b/>
          <w:bCs/>
        </w:rPr>
      </w:pPr>
      <w:r>
        <w:rPr>
          <w:rFonts w:hint="eastAsia" w:ascii="Times New Roman" w:hAnsi="Times New Roman" w:cs="Times New Roman"/>
          <w:b/>
          <w:bCs/>
          <w:lang w:eastAsia="zh-CN"/>
        </w:rPr>
        <w:t>（</w:t>
      </w:r>
      <w:r>
        <w:rPr>
          <w:rFonts w:hint="eastAsia" w:ascii="Times New Roman" w:hAnsi="Times New Roman" w:cs="Times New Roman"/>
          <w:b/>
          <w:bCs/>
          <w:lang w:val="en-US" w:eastAsia="zh-CN"/>
        </w:rPr>
        <w:t>9）余热利用系统</w:t>
      </w:r>
    </w:p>
    <w:p w14:paraId="64414FC1">
      <w:pPr>
        <w:spacing w:line="500" w:lineRule="exact"/>
        <w:ind w:right="6" w:firstLine="480" w:firstLineChars="200"/>
        <w:rPr>
          <w:rFonts w:hint="eastAsia" w:ascii="Times New Roman" w:hAnsi="Times New Roman" w:cs="Times New Roman"/>
        </w:rPr>
      </w:pPr>
      <w:r>
        <w:rPr>
          <w:rFonts w:hint="eastAsia" w:ascii="Times New Roman" w:hAnsi="Times New Roman" w:cs="Times New Roman"/>
        </w:rPr>
        <w:t>本项目余热利用系统共建设</w:t>
      </w:r>
      <w:r>
        <w:rPr>
          <w:rFonts w:hint="eastAsia" w:ascii="Times New Roman" w:hAnsi="Times New Roman" w:cs="Times New Roman"/>
          <w:lang w:val="en-US" w:eastAsia="zh-CN"/>
        </w:rPr>
        <w:t>一</w:t>
      </w:r>
      <w:r>
        <w:rPr>
          <w:rFonts w:hint="eastAsia" w:ascii="Times New Roman" w:hAnsi="Times New Roman" w:cs="Times New Roman"/>
        </w:rPr>
        <w:t>套锅炉，余热锅炉主要配置方案如下：1×</w:t>
      </w:r>
      <w:r>
        <w:rPr>
          <w:rFonts w:hint="eastAsia" w:ascii="Times New Roman" w:hAnsi="Times New Roman" w:cs="Times New Roman"/>
          <w:lang w:val="en-US" w:eastAsia="zh-CN"/>
        </w:rPr>
        <w:t>9</w:t>
      </w:r>
      <w:r>
        <w:rPr>
          <w:rFonts w:hint="eastAsia" w:ascii="Times New Roman" w:hAnsi="Times New Roman" w:cs="Times New Roman"/>
        </w:rPr>
        <w:t>t/h 环冷机余热锅炉。汽轮发电机组主要配置方案如下：1×15MW 补汽凝汽式汽轮机。</w:t>
      </w:r>
    </w:p>
    <w:p w14:paraId="64C7626B">
      <w:pPr>
        <w:spacing w:line="500" w:lineRule="exact"/>
        <w:ind w:right="6" w:firstLine="480" w:firstLineChars="200"/>
        <w:rPr>
          <w:rFonts w:ascii="Times New Roman" w:hAnsi="Times New Roman" w:cs="Times New Roman"/>
        </w:rPr>
      </w:pPr>
      <w:r>
        <w:rPr>
          <w:rFonts w:hint="eastAsia" w:ascii="Times New Roman" w:hAnsi="Times New Roman" w:cs="Times New Roman"/>
        </w:rPr>
        <w:t>烧结机大烟道余热锅炉采用烟道内置换热器方案。在烧结室内，将余热锅炉的各级受热面直接布置在烧结机尾部大烟道内，受热面采用低中压锅炉用无缝钢管。换热管束垂直布置，不易积灰，维护工作量小。新增余热锅炉烟气阻力小于 300Pa，由烧结机主抽风机来克服新增余热利用系统的烟气阻力损失，对烧结主抽系统运行无影响。</w:t>
      </w:r>
    </w:p>
    <w:p w14:paraId="65FB95B5">
      <w:pPr>
        <w:pStyle w:val="2"/>
        <w:rPr>
          <w:rFonts w:ascii="Times New Roman" w:hAnsi="Times New Roman" w:eastAsia="黑体" w:cs="Times New Roman"/>
        </w:rPr>
      </w:pPr>
    </w:p>
    <w:p w14:paraId="6941A26E">
      <w:pPr>
        <w:pStyle w:val="2"/>
        <w:numPr>
          <w:ilvl w:val="0"/>
          <w:numId w:val="29"/>
        </w:numPr>
        <w:ind w:left="0" w:leftChars="0" w:firstLine="0" w:firstLineChars="0"/>
        <w:rPr>
          <w:rFonts w:hint="eastAsia" w:ascii="Times New Roman" w:eastAsia="黑体" w:cs="Times New Roman"/>
          <w:lang w:val="en-US" w:eastAsia="zh-CN"/>
        </w:rPr>
      </w:pPr>
      <w:r>
        <w:rPr>
          <w:rFonts w:hint="eastAsia" w:ascii="Times New Roman" w:eastAsia="黑体" w:cs="Times New Roman"/>
          <w:lang w:val="en-US" w:eastAsia="zh-CN"/>
        </w:rPr>
        <w:t>球团</w:t>
      </w:r>
    </w:p>
    <w:p w14:paraId="39934D55">
      <w:pPr>
        <w:spacing w:line="500" w:lineRule="exact"/>
        <w:ind w:right="6" w:firstLine="482" w:firstLineChars="200"/>
        <w:rPr>
          <w:rFonts w:hint="default" w:ascii="Times New Roman" w:hAnsi="Times New Roman" w:eastAsia="宋体" w:cs="Times New Roman"/>
          <w:b/>
          <w:bCs/>
          <w:lang w:val="en-US" w:eastAsia="zh-CN"/>
        </w:rPr>
      </w:pPr>
      <w:r>
        <w:rPr>
          <w:rFonts w:hint="eastAsia" w:ascii="Times New Roman" w:hAnsi="Times New Roman" w:eastAsia="宋体" w:cs="Times New Roman"/>
          <w:b/>
          <w:bCs/>
          <w:lang w:val="en-US" w:eastAsia="zh-CN"/>
        </w:rPr>
        <w:t>（1）原料准备系统G8</w:t>
      </w:r>
    </w:p>
    <w:p w14:paraId="3B72D032">
      <w:pPr>
        <w:spacing w:line="500" w:lineRule="exact"/>
        <w:ind w:right="6" w:firstLine="480" w:firstLineChars="200"/>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原料铁精粉由汽车运输进厂，储存于封闭的铁精粉原料库，原料库设计储存量为铁精粉2500吨(约8天球团生产量)。</w:t>
      </w:r>
    </w:p>
    <w:p w14:paraId="28CD0342">
      <w:pPr>
        <w:spacing w:line="500" w:lineRule="exact"/>
        <w:ind w:right="6" w:firstLine="480" w:firstLineChars="200"/>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原料经由装载机运送至球团生产车间配料区，配料区设置料仓，铁精粉经装载机直接卸入地下配料仓内。</w:t>
      </w:r>
    </w:p>
    <w:p w14:paraId="08A35A30">
      <w:pPr>
        <w:spacing w:line="500" w:lineRule="exact"/>
        <w:ind w:right="6" w:firstLine="480" w:firstLineChars="200"/>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膨润土袋装，由汽车运输进厂，存放在封闭的膨润土仓库，上料时由人工将膨润土装入膨润土料仓。</w:t>
      </w:r>
    </w:p>
    <w:p w14:paraId="7D058D5A">
      <w:pPr>
        <w:spacing w:line="500" w:lineRule="exact"/>
        <w:ind w:right="6" w:firstLine="480" w:firstLineChars="200"/>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铁精粉及膨润土料仓底部设置圆盘给料机及皮带秤，以实现原料自动重量排料，铁精粉、膨润土按一定的配比配料后由配料皮带机运至造球机。膨润土与铁精粉的配比为2.5%-3%,</w:t>
      </w:r>
    </w:p>
    <w:p w14:paraId="1E94ABD3">
      <w:pPr>
        <w:spacing w:line="500" w:lineRule="exact"/>
        <w:ind w:right="6" w:firstLine="480" w:firstLineChars="200"/>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原料仓为半封闭结构，上料过程中会产生一定量的粉尘。原料仓底部出口距离皮带高度为600-700mm,地下料仓放料过程中也会产生量一定量粉尘。料仓上方设置集气罩，上料及放料粉尘经集气罩收集后，引至布袋除尘器处理后，经30m高排气筒排放，集气罩集气效率为90%,布袋除尘器风机风量为50000m³/h。</w:t>
      </w:r>
    </w:p>
    <w:p w14:paraId="392F95AC">
      <w:pPr>
        <w:spacing w:line="500" w:lineRule="exact"/>
        <w:ind w:right="6" w:firstLine="482" w:firstLineChars="200"/>
        <w:rPr>
          <w:rFonts w:hint="eastAsia" w:ascii="Times New Roman" w:hAnsi="Times New Roman" w:eastAsia="宋体" w:cs="Times New Roman"/>
          <w:b/>
          <w:bCs/>
          <w:lang w:val="en-US" w:eastAsia="zh-CN"/>
        </w:rPr>
      </w:pPr>
      <w:r>
        <w:rPr>
          <w:rFonts w:hint="eastAsia" w:ascii="Times New Roman" w:hAnsi="Times New Roman" w:eastAsia="宋体" w:cs="Times New Roman"/>
          <w:b/>
          <w:bCs/>
          <w:lang w:val="en-US" w:eastAsia="zh-CN"/>
        </w:rPr>
        <w:t>（2）造球系统</w:t>
      </w:r>
    </w:p>
    <w:p w14:paraId="138AF63C">
      <w:pPr>
        <w:spacing w:line="500" w:lineRule="exact"/>
        <w:ind w:right="6" w:firstLine="480" w:firstLineChars="200"/>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配料仓下设变频调速的圆盘给料机将不同原料混匀。在圆盘造球过程中添加适量水分，使混合料水分达到造球最佳值。铁精粉在球盘内大约经过3-4min的旋转(形成φ9-16mm的球团)后进入滚动筛进行生球筛分，筛出小于9mm及大于16mm的不合格生球。直接从滚筛机缝隙落入地下原料仓，同原料一起进造球系统重新造球。筛出的合格生球(φ9-16mm)经导流槽进入皮带输送机运入竖炉的布料系统。</w:t>
      </w:r>
    </w:p>
    <w:p w14:paraId="6EF293B9">
      <w:pPr>
        <w:spacing w:line="500" w:lineRule="exact"/>
        <w:ind w:right="6" w:firstLine="480" w:firstLineChars="200"/>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由于造球过程中需要加水，可以有效抑制粉尘的产生，造球工序无粉尘产生。生球含有一定水分，筛分工序产生的粉尘极少。</w:t>
      </w:r>
    </w:p>
    <w:p w14:paraId="264D0735">
      <w:pPr>
        <w:spacing w:line="500" w:lineRule="exact"/>
        <w:ind w:right="6" w:firstLine="482" w:firstLineChars="200"/>
        <w:rPr>
          <w:rFonts w:hint="default" w:ascii="Times New Roman" w:hAnsi="Times New Roman" w:eastAsia="宋体" w:cs="Times New Roman"/>
          <w:b/>
          <w:bCs/>
          <w:lang w:val="en-US" w:eastAsia="zh-CN"/>
        </w:rPr>
      </w:pPr>
      <w:r>
        <w:rPr>
          <w:rFonts w:hint="eastAsia" w:ascii="Times New Roman" w:hAnsi="Times New Roman" w:eastAsia="宋体" w:cs="Times New Roman"/>
          <w:b/>
          <w:bCs/>
          <w:lang w:val="en-US" w:eastAsia="zh-CN"/>
        </w:rPr>
        <w:t>（3）焙烧系统G9</w:t>
      </w:r>
    </w:p>
    <w:p w14:paraId="3DCE3F23">
      <w:pPr>
        <w:spacing w:line="500" w:lineRule="exact"/>
        <w:ind w:right="6" w:firstLine="480" w:firstLineChars="200"/>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1)球团布料系统</w:t>
      </w:r>
    </w:p>
    <w:p w14:paraId="078F9ADE">
      <w:pPr>
        <w:spacing w:line="500" w:lineRule="exact"/>
        <w:ind w:right="6" w:firstLine="480" w:firstLineChars="200"/>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布料设备由往复移动的小车及胶带运输机构成，称为梭式布料器，能够将生球松散、均匀、连续地布入炉口料柱表面，使炉料具有良好的透气性，以有利于炉内温度和气流分布。</w:t>
      </w:r>
    </w:p>
    <w:p w14:paraId="6BC6166C">
      <w:pPr>
        <w:spacing w:line="500" w:lineRule="exact"/>
        <w:ind w:right="6" w:firstLine="480" w:firstLineChars="200"/>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2)焙烧系统</w:t>
      </w:r>
    </w:p>
    <w:p w14:paraId="5AF669C3">
      <w:pPr>
        <w:spacing w:line="500" w:lineRule="exact"/>
        <w:ind w:right="6" w:firstLine="480" w:firstLineChars="200"/>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竖炉焙烧球团矿的特点是整个生产过程段(鼓风干燥段、预热段、焙烧段、均热段和冷却段)均在竖炉内完成。焙烧燃料为厂内高炉产生的热煤气，经加压后通过管道进入竖炉内中、上部，与自上而下移动的生球逆向运动，使生球完成从干燥到冷却的整个热工过程。竖炉烟气经SCR脱硝处理后，进入石灰石-石膏烟气脱硫设施+电除尘器处理后，经60m高排气筒排放。</w:t>
      </w:r>
    </w:p>
    <w:p w14:paraId="4C04FDD0">
      <w:pPr>
        <w:spacing w:line="500" w:lineRule="exact"/>
        <w:ind w:right="6" w:firstLine="480" w:firstLineChars="200"/>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生球布入炉内后首先被向上流动的热废气(550~750℃)进行预热干燥，使球团内部和表面水分完全汽化脱出，生球干燥料层厚度为150-200mm,干燥时间为5-6min。</w:t>
      </w:r>
    </w:p>
    <w:p w14:paraId="02634802">
      <w:pPr>
        <w:spacing w:line="500" w:lineRule="exact"/>
        <w:ind w:right="6" w:firstLine="480" w:firstLineChars="200"/>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烘干后的生球在炉内下降过程中，继续被加热进入预热阶段，在此阶段磁铁矿晶粒表面首先被氧化，生成Fe</w:t>
      </w:r>
      <w:r>
        <w:rPr>
          <w:rFonts w:hint="eastAsia" w:ascii="Times New Roman" w:hAnsi="Times New Roman" w:eastAsia="宋体" w:cs="Times New Roman"/>
          <w:vertAlign w:val="subscript"/>
          <w:lang w:val="en-US" w:eastAsia="zh-CN"/>
        </w:rPr>
        <w:t>2</w:t>
      </w:r>
      <w:r>
        <w:rPr>
          <w:rFonts w:hint="eastAsia" w:ascii="Times New Roman" w:hAnsi="Times New Roman" w:eastAsia="宋体" w:cs="Times New Roman"/>
          <w:lang w:val="en-US" w:eastAsia="zh-CN"/>
        </w:rPr>
        <w:t>O</w:t>
      </w:r>
      <w:r>
        <w:rPr>
          <w:rFonts w:hint="eastAsia" w:ascii="Times New Roman" w:hAnsi="Times New Roman" w:eastAsia="宋体" w:cs="Times New Roman"/>
          <w:vertAlign w:val="subscript"/>
          <w:lang w:val="en-US" w:eastAsia="zh-CN"/>
        </w:rPr>
        <w:t>3</w:t>
      </w:r>
      <w:r>
        <w:rPr>
          <w:rFonts w:hint="eastAsia" w:ascii="Times New Roman" w:hAnsi="Times New Roman" w:eastAsia="宋体" w:cs="Times New Roman"/>
          <w:lang w:val="en-US" w:eastAsia="zh-CN"/>
        </w:rPr>
        <w:t>微晶。微晶迁移长大，形成“连接桥”使生球中各颗粒互相粘结。磁铁矿生球在氧化气氛中加热到950℃,便开始进入生球焙烧阶段，焙烧温度达到所需的最高值，称为竖炉的高温区(1200-1500℃)。由于磁铁矿氧化成的Fe</w:t>
      </w:r>
      <w:r>
        <w:rPr>
          <w:rFonts w:hint="eastAsia" w:ascii="Times New Roman" w:hAnsi="Times New Roman" w:eastAsia="宋体" w:cs="Times New Roman"/>
          <w:vertAlign w:val="subscript"/>
          <w:lang w:val="en-US" w:eastAsia="zh-CN"/>
        </w:rPr>
        <w:t>2</w:t>
      </w:r>
      <w:r>
        <w:rPr>
          <w:rFonts w:hint="eastAsia" w:ascii="Times New Roman" w:hAnsi="Times New Roman" w:eastAsia="宋体" w:cs="Times New Roman"/>
          <w:lang w:val="en-US" w:eastAsia="zh-CN"/>
        </w:rPr>
        <w:t>O</w:t>
      </w:r>
      <w:r>
        <w:rPr>
          <w:rFonts w:hint="eastAsia" w:ascii="Times New Roman" w:hAnsi="Times New Roman" w:eastAsia="宋体" w:cs="Times New Roman"/>
          <w:vertAlign w:val="subscript"/>
          <w:lang w:val="en-US" w:eastAsia="zh-CN"/>
        </w:rPr>
        <w:t>3</w:t>
      </w:r>
      <w:r>
        <w:rPr>
          <w:rFonts w:hint="eastAsia" w:ascii="Times New Roman" w:hAnsi="Times New Roman" w:eastAsia="宋体" w:cs="Times New Roman"/>
          <w:lang w:val="en-US" w:eastAsia="zh-CN"/>
        </w:rPr>
        <w:t>微晶能够再结晶，这种再结晶能够使相互隔开的微晶长大成相互紧密连成一片的赤铁矿晶体，原来靠精矿颗粒之间的分子力的连结变为金属氧化物的晶体键的连结，显著提高了球团矿的机械强度。从竖炉均热带下行的高温球团矿，与上行的冷却风相遇进行热交换。球团矿被冷却，冷却风将其热量带到竖炉上部。</w:t>
      </w:r>
    </w:p>
    <w:p w14:paraId="3D968D4F">
      <w:pPr>
        <w:spacing w:line="500" w:lineRule="exact"/>
        <w:ind w:right="6" w:firstLine="482" w:firstLineChars="200"/>
        <w:rPr>
          <w:rFonts w:hint="default" w:ascii="Times New Roman" w:hAnsi="Times New Roman" w:eastAsia="宋体" w:cs="Times New Roman"/>
          <w:b/>
          <w:bCs/>
          <w:lang w:val="en-US" w:eastAsia="zh-CN"/>
        </w:rPr>
      </w:pPr>
      <w:r>
        <w:rPr>
          <w:rFonts w:hint="eastAsia" w:ascii="Times New Roman" w:hAnsi="Times New Roman" w:eastAsia="宋体" w:cs="Times New Roman"/>
          <w:b/>
          <w:bCs/>
          <w:lang w:val="en-US" w:eastAsia="zh-CN"/>
        </w:rPr>
        <w:t>（4）成品系统G10</w:t>
      </w:r>
    </w:p>
    <w:p w14:paraId="1BB368C5">
      <w:pPr>
        <w:spacing w:line="500" w:lineRule="exact"/>
        <w:ind w:right="6" w:firstLine="480" w:firstLineChars="200"/>
        <w:rPr>
          <w:rFonts w:hint="eastAsia" w:ascii="Times New Roman" w:hAnsi="Times New Roman" w:eastAsia="宋体" w:cs="Times New Roman"/>
          <w:lang w:val="en-US" w:eastAsia="zh-CN"/>
        </w:rPr>
      </w:pPr>
      <w:r>
        <w:rPr>
          <w:rFonts w:hint="eastAsia" w:ascii="Times New Roman" w:hAnsi="Times New Roman" w:eastAsia="宋体" w:cs="Times New Roman"/>
          <w:b w:val="0"/>
          <w:bCs w:val="0"/>
          <w:lang w:val="en-US" w:eastAsia="zh-CN"/>
        </w:rPr>
        <w:t>冷却后的成品球团由竖炉下</w:t>
      </w:r>
      <w:r>
        <w:rPr>
          <w:rFonts w:hint="eastAsia" w:ascii="Times New Roman" w:hAnsi="Times New Roman" w:eastAsia="宋体" w:cs="Times New Roman"/>
          <w:lang w:val="en-US" w:eastAsia="zh-CN"/>
        </w:rPr>
        <w:t>部卸料口连续排出，进入竖炉下部的地坑，由于鼓入竖炉内的冷却风量受炉内风量平衡的限制，球团矿在炉内不能达到完全冷却的程度，排出的球团矿温度均较高，因此，需先在地坑内自然冷却约冷却4h后由装载机运至成品仓，再进过振动筛筛分，符合要求的球团进入高炉，不符合要求的球团作为烧结工序原料。</w:t>
      </w:r>
    </w:p>
    <w:p w14:paraId="176802E4">
      <w:pPr>
        <w:pStyle w:val="2"/>
        <w:ind w:left="0" w:leftChars="0" w:firstLine="0" w:firstLineChars="0"/>
      </w:pPr>
      <w:r>
        <w:drawing>
          <wp:inline distT="0" distB="0" distL="114300" distR="114300">
            <wp:extent cx="5025390" cy="7926705"/>
            <wp:effectExtent l="0" t="0" r="3810" b="17145"/>
            <wp:docPr id="91" name="图片 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 name="图片 167"/>
                    <pic:cNvPicPr>
                      <a:picLocks noChangeAspect="1"/>
                    </pic:cNvPicPr>
                  </pic:nvPicPr>
                  <pic:blipFill>
                    <a:blip r:embed="rId45"/>
                    <a:stretch>
                      <a:fillRect/>
                    </a:stretch>
                  </pic:blipFill>
                  <pic:spPr>
                    <a:xfrm>
                      <a:off x="0" y="0"/>
                      <a:ext cx="5025390" cy="7926705"/>
                    </a:xfrm>
                    <a:prstGeom prst="rect">
                      <a:avLst/>
                    </a:prstGeom>
                    <a:noFill/>
                    <a:ln>
                      <a:noFill/>
                    </a:ln>
                  </pic:spPr>
                </pic:pic>
              </a:graphicData>
            </a:graphic>
          </wp:inline>
        </w:drawing>
      </w:r>
    </w:p>
    <w:p w14:paraId="2861C43F">
      <w:pPr>
        <w:pStyle w:val="3"/>
        <w:numPr>
          <w:ilvl w:val="0"/>
          <w:numId w:val="0"/>
        </w:numPr>
        <w:ind w:leftChars="100" w:right="0" w:rightChars="0"/>
        <w:jc w:val="center"/>
      </w:pPr>
      <w:r>
        <w:rPr>
          <w:rFonts w:ascii="Times New Roman" w:hAnsi="Times New Roman" w:eastAsia="黑体" w:cs="Times New Roman"/>
        </w:rPr>
        <w:t>图</w:t>
      </w:r>
      <w:r>
        <w:rPr>
          <w:rFonts w:hint="eastAsia" w:ascii="Times New Roman" w:hAnsi="Times New Roman" w:eastAsia="黑体" w:cs="Times New Roman"/>
        </w:rPr>
        <w:t>3.2-</w:t>
      </w:r>
      <w:r>
        <w:rPr>
          <w:rFonts w:hint="eastAsia" w:hAnsi="Times New Roman" w:eastAsia="黑体" w:cs="Times New Roman"/>
          <w:lang w:val="en-US" w:eastAsia="zh-CN"/>
        </w:rPr>
        <w:t>2</w:t>
      </w:r>
      <w:r>
        <w:rPr>
          <w:rFonts w:ascii="Times New Roman" w:hAnsi="Times New Roman" w:eastAsia="黑体" w:cs="Times New Roman"/>
        </w:rPr>
        <w:t xml:space="preserve">  </w:t>
      </w:r>
      <w:r>
        <w:rPr>
          <w:rFonts w:hint="eastAsia" w:hAnsi="Times New Roman" w:eastAsia="黑体" w:cs="Times New Roman"/>
          <w:lang w:val="en-US" w:eastAsia="zh-CN"/>
        </w:rPr>
        <w:t>球团</w:t>
      </w:r>
      <w:r>
        <w:rPr>
          <w:rFonts w:hint="eastAsia" w:ascii="Times New Roman" w:hAnsi="Times New Roman" w:eastAsia="黑体" w:cs="Times New Roman"/>
          <w:lang w:val="en-US" w:eastAsia="zh-CN"/>
        </w:rPr>
        <w:t>工艺流程</w:t>
      </w:r>
      <w:r>
        <w:rPr>
          <w:rFonts w:hint="eastAsia" w:ascii="Times New Roman" w:hAnsi="Times New Roman" w:eastAsia="黑体" w:cs="Times New Roman"/>
        </w:rPr>
        <w:t>图</w:t>
      </w:r>
    </w:p>
    <w:p w14:paraId="23D47FAD">
      <w:pPr>
        <w:pStyle w:val="3"/>
        <w:numPr>
          <w:ilvl w:val="0"/>
          <w:numId w:val="0"/>
        </w:numPr>
        <w:ind w:leftChars="100" w:right="0" w:rightChars="0"/>
        <w:rPr>
          <w:rFonts w:hint="eastAsia"/>
          <w:lang w:val="en-US" w:eastAsia="zh-CN"/>
        </w:rPr>
      </w:pPr>
    </w:p>
    <w:p w14:paraId="1F478B6A">
      <w:pPr>
        <w:keepNext w:val="0"/>
        <w:keepLines w:val="0"/>
        <w:widowControl/>
        <w:suppressLineNumbers w:val="0"/>
        <w:ind w:firstLine="480" w:firstLineChars="200"/>
        <w:jc w:val="center"/>
        <w:rPr>
          <w:rFonts w:ascii="Times New Roman" w:hAnsi="Times New Roman" w:eastAsia="黑体" w:cs="Times New Roman"/>
        </w:rPr>
      </w:pPr>
      <w:r>
        <w:rPr>
          <w:rFonts w:ascii="Times New Roman" w:hAnsi="Times New Roman" w:eastAsia="黑体" w:cs="Times New Roman"/>
        </w:rPr>
        <w:t>表</w:t>
      </w:r>
      <w:r>
        <w:rPr>
          <w:rFonts w:hint="eastAsia" w:ascii="Times New Roman" w:hAnsi="Times New Roman" w:eastAsia="黑体" w:cs="Times New Roman"/>
        </w:rPr>
        <w:t>3.2-3</w:t>
      </w:r>
      <w:r>
        <w:rPr>
          <w:rFonts w:ascii="Times New Roman" w:hAnsi="Times New Roman" w:eastAsia="黑体" w:cs="Times New Roman"/>
        </w:rPr>
        <w:t xml:space="preserve">  </w:t>
      </w:r>
      <w:r>
        <w:rPr>
          <w:rFonts w:hint="eastAsia" w:ascii="Times New Roman" w:hAnsi="Times New Roman" w:eastAsia="黑体" w:cs="Times New Roman"/>
        </w:rPr>
        <w:t>本项目</w:t>
      </w:r>
      <w:r>
        <w:rPr>
          <w:rFonts w:ascii="Times New Roman" w:hAnsi="Times New Roman" w:eastAsia="黑体" w:cs="Times New Roman"/>
        </w:rPr>
        <w:t>产污节点及环保设施一览表</w:t>
      </w:r>
    </w:p>
    <w:tbl>
      <w:tblPr>
        <w:tblStyle w:val="56"/>
        <w:tblW w:w="8787"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98"/>
        <w:gridCol w:w="690"/>
        <w:gridCol w:w="1572"/>
        <w:gridCol w:w="1650"/>
        <w:gridCol w:w="1308"/>
        <w:gridCol w:w="2369"/>
      </w:tblGrid>
      <w:tr w14:paraId="34297E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98" w:type="dxa"/>
            <w:tcBorders>
              <w:top w:val="single" w:color="000000" w:sz="4" w:space="0"/>
              <w:left w:val="single" w:color="000000" w:sz="4" w:space="0"/>
              <w:bottom w:val="single" w:color="000000" w:sz="4" w:space="0"/>
              <w:right w:val="single" w:color="000000" w:sz="4" w:space="0"/>
            </w:tcBorders>
            <w:noWrap w:val="0"/>
            <w:vAlign w:val="center"/>
          </w:tcPr>
          <w:p w14:paraId="740EE93B">
            <w:pPr>
              <w:jc w:val="center"/>
              <w:rPr>
                <w:b/>
                <w:sz w:val="21"/>
                <w:szCs w:val="21"/>
              </w:rPr>
            </w:pPr>
            <w:r>
              <w:rPr>
                <w:b/>
                <w:sz w:val="21"/>
                <w:szCs w:val="21"/>
              </w:rPr>
              <w:t>类别</w:t>
            </w:r>
          </w:p>
        </w:tc>
        <w:tc>
          <w:tcPr>
            <w:tcW w:w="690" w:type="dxa"/>
            <w:tcBorders>
              <w:top w:val="single" w:color="000000" w:sz="4" w:space="0"/>
              <w:left w:val="single" w:color="000000" w:sz="4" w:space="0"/>
              <w:bottom w:val="single" w:color="000000" w:sz="4" w:space="0"/>
              <w:right w:val="single" w:color="000000" w:sz="4" w:space="0"/>
            </w:tcBorders>
            <w:noWrap w:val="0"/>
            <w:vAlign w:val="center"/>
          </w:tcPr>
          <w:p w14:paraId="3EDDF967">
            <w:pPr>
              <w:jc w:val="center"/>
              <w:rPr>
                <w:b/>
                <w:sz w:val="21"/>
                <w:szCs w:val="21"/>
              </w:rPr>
            </w:pPr>
            <w:r>
              <w:rPr>
                <w:b/>
                <w:sz w:val="21"/>
                <w:szCs w:val="21"/>
              </w:rPr>
              <w:t>代码</w:t>
            </w:r>
          </w:p>
        </w:tc>
        <w:tc>
          <w:tcPr>
            <w:tcW w:w="1572" w:type="dxa"/>
            <w:tcBorders>
              <w:top w:val="single" w:color="000000" w:sz="4" w:space="0"/>
              <w:left w:val="single" w:color="000000" w:sz="4" w:space="0"/>
              <w:bottom w:val="single" w:color="000000" w:sz="4" w:space="0"/>
              <w:right w:val="single" w:color="000000" w:sz="4" w:space="0"/>
            </w:tcBorders>
            <w:noWrap w:val="0"/>
            <w:vAlign w:val="center"/>
          </w:tcPr>
          <w:p w14:paraId="7F199E72">
            <w:pPr>
              <w:jc w:val="center"/>
              <w:rPr>
                <w:b/>
                <w:sz w:val="21"/>
                <w:szCs w:val="21"/>
              </w:rPr>
            </w:pPr>
            <w:r>
              <w:rPr>
                <w:b/>
                <w:sz w:val="21"/>
                <w:szCs w:val="21"/>
              </w:rPr>
              <w:t>产生点</w:t>
            </w:r>
          </w:p>
        </w:tc>
        <w:tc>
          <w:tcPr>
            <w:tcW w:w="1650" w:type="dxa"/>
            <w:tcBorders>
              <w:top w:val="single" w:color="000000" w:sz="4" w:space="0"/>
              <w:left w:val="single" w:color="000000" w:sz="4" w:space="0"/>
              <w:bottom w:val="single" w:color="000000" w:sz="4" w:space="0"/>
              <w:right w:val="single" w:color="000000" w:sz="4" w:space="0"/>
            </w:tcBorders>
            <w:noWrap w:val="0"/>
            <w:vAlign w:val="center"/>
          </w:tcPr>
          <w:p w14:paraId="46430794">
            <w:pPr>
              <w:jc w:val="center"/>
              <w:rPr>
                <w:b/>
                <w:sz w:val="21"/>
                <w:szCs w:val="21"/>
              </w:rPr>
            </w:pPr>
            <w:r>
              <w:rPr>
                <w:b/>
                <w:sz w:val="21"/>
                <w:szCs w:val="21"/>
              </w:rPr>
              <w:t>污染物</w:t>
            </w:r>
          </w:p>
        </w:tc>
        <w:tc>
          <w:tcPr>
            <w:tcW w:w="1308" w:type="dxa"/>
            <w:tcBorders>
              <w:top w:val="single" w:color="000000" w:sz="4" w:space="0"/>
              <w:left w:val="single" w:color="000000" w:sz="4" w:space="0"/>
              <w:bottom w:val="single" w:color="000000" w:sz="4" w:space="0"/>
              <w:right w:val="single" w:color="000000" w:sz="4" w:space="0"/>
            </w:tcBorders>
            <w:noWrap w:val="0"/>
            <w:vAlign w:val="center"/>
          </w:tcPr>
          <w:p w14:paraId="7DE52BB5">
            <w:pPr>
              <w:jc w:val="center"/>
              <w:rPr>
                <w:b/>
                <w:sz w:val="21"/>
                <w:szCs w:val="21"/>
              </w:rPr>
            </w:pPr>
            <w:r>
              <w:rPr>
                <w:b/>
                <w:sz w:val="21"/>
                <w:szCs w:val="21"/>
              </w:rPr>
              <w:t>性质</w:t>
            </w:r>
          </w:p>
        </w:tc>
        <w:tc>
          <w:tcPr>
            <w:tcW w:w="2369" w:type="dxa"/>
            <w:tcBorders>
              <w:top w:val="single" w:color="000000" w:sz="4" w:space="0"/>
              <w:left w:val="single" w:color="000000" w:sz="4" w:space="0"/>
              <w:bottom w:val="single" w:color="000000" w:sz="4" w:space="0"/>
              <w:right w:val="single" w:color="000000" w:sz="4" w:space="0"/>
            </w:tcBorders>
            <w:noWrap w:val="0"/>
            <w:vAlign w:val="center"/>
          </w:tcPr>
          <w:p w14:paraId="12E7E9C6">
            <w:pPr>
              <w:jc w:val="center"/>
              <w:rPr>
                <w:b/>
                <w:sz w:val="21"/>
                <w:szCs w:val="21"/>
              </w:rPr>
            </w:pPr>
            <w:r>
              <w:rPr>
                <w:b/>
                <w:sz w:val="21"/>
                <w:szCs w:val="21"/>
              </w:rPr>
              <w:t>去向</w:t>
            </w:r>
          </w:p>
        </w:tc>
      </w:tr>
      <w:tr w14:paraId="37ED4A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98" w:type="dxa"/>
            <w:vMerge w:val="restart"/>
            <w:tcBorders>
              <w:top w:val="single" w:color="000000" w:sz="4" w:space="0"/>
              <w:left w:val="single" w:color="000000" w:sz="4" w:space="0"/>
              <w:right w:val="single" w:color="000000" w:sz="4" w:space="0"/>
            </w:tcBorders>
            <w:noWrap w:val="0"/>
            <w:vAlign w:val="center"/>
          </w:tcPr>
          <w:p w14:paraId="21BA01B3">
            <w:pPr>
              <w:rPr>
                <w:sz w:val="21"/>
                <w:szCs w:val="21"/>
              </w:rPr>
            </w:pPr>
            <w:r>
              <w:rPr>
                <w:sz w:val="21"/>
                <w:szCs w:val="21"/>
              </w:rPr>
              <w:t>废气(G)</w:t>
            </w:r>
          </w:p>
        </w:tc>
        <w:tc>
          <w:tcPr>
            <w:tcW w:w="690" w:type="dxa"/>
            <w:tcBorders>
              <w:top w:val="single" w:color="000000" w:sz="4" w:space="0"/>
              <w:left w:val="single" w:color="000000" w:sz="4" w:space="0"/>
              <w:bottom w:val="single" w:color="000000" w:sz="4" w:space="0"/>
              <w:right w:val="single" w:color="000000" w:sz="4" w:space="0"/>
            </w:tcBorders>
            <w:noWrap w:val="0"/>
            <w:vAlign w:val="center"/>
          </w:tcPr>
          <w:p w14:paraId="053FDF17">
            <w:pPr>
              <w:rPr>
                <w:rFonts w:hint="eastAsia" w:eastAsia="宋体"/>
                <w:sz w:val="21"/>
                <w:szCs w:val="21"/>
                <w:lang w:eastAsia="zh-CN"/>
              </w:rPr>
            </w:pPr>
            <w:r>
              <w:rPr>
                <w:sz w:val="21"/>
                <w:szCs w:val="21"/>
              </w:rPr>
              <w:t>G</w:t>
            </w:r>
            <w:r>
              <w:rPr>
                <w:rFonts w:hint="eastAsia"/>
                <w:sz w:val="21"/>
                <w:szCs w:val="21"/>
                <w:lang w:val="en-US" w:eastAsia="zh-CN"/>
              </w:rPr>
              <w:t>1</w:t>
            </w:r>
          </w:p>
        </w:tc>
        <w:tc>
          <w:tcPr>
            <w:tcW w:w="1572" w:type="dxa"/>
            <w:tcBorders>
              <w:top w:val="single" w:color="000000" w:sz="4" w:space="0"/>
              <w:left w:val="single" w:color="000000" w:sz="4" w:space="0"/>
              <w:bottom w:val="single" w:color="000000" w:sz="4" w:space="0"/>
              <w:right w:val="single" w:color="000000" w:sz="4" w:space="0"/>
            </w:tcBorders>
            <w:noWrap w:val="0"/>
            <w:vAlign w:val="center"/>
          </w:tcPr>
          <w:p w14:paraId="031F166A">
            <w:pPr>
              <w:rPr>
                <w:sz w:val="21"/>
                <w:szCs w:val="21"/>
              </w:rPr>
            </w:pPr>
            <w:r>
              <w:rPr>
                <w:sz w:val="21"/>
                <w:szCs w:val="21"/>
              </w:rPr>
              <w:t>配料室</w:t>
            </w:r>
          </w:p>
        </w:tc>
        <w:tc>
          <w:tcPr>
            <w:tcW w:w="1650" w:type="dxa"/>
            <w:tcBorders>
              <w:top w:val="single" w:color="000000" w:sz="4" w:space="0"/>
              <w:left w:val="single" w:color="000000" w:sz="4" w:space="0"/>
              <w:bottom w:val="single" w:color="000000" w:sz="4" w:space="0"/>
              <w:right w:val="single" w:color="000000" w:sz="4" w:space="0"/>
            </w:tcBorders>
            <w:noWrap w:val="0"/>
            <w:vAlign w:val="center"/>
          </w:tcPr>
          <w:p w14:paraId="45238EA7">
            <w:pPr>
              <w:rPr>
                <w:sz w:val="21"/>
                <w:szCs w:val="21"/>
              </w:rPr>
            </w:pPr>
            <w:r>
              <w:rPr>
                <w:sz w:val="21"/>
                <w:szCs w:val="21"/>
              </w:rPr>
              <w:t>粉尘</w:t>
            </w:r>
          </w:p>
        </w:tc>
        <w:tc>
          <w:tcPr>
            <w:tcW w:w="1308" w:type="dxa"/>
            <w:tcBorders>
              <w:top w:val="single" w:color="000000" w:sz="4" w:space="0"/>
              <w:left w:val="single" w:color="000000" w:sz="4" w:space="0"/>
              <w:bottom w:val="single" w:color="000000" w:sz="4" w:space="0"/>
              <w:right w:val="single" w:color="000000" w:sz="4" w:space="0"/>
            </w:tcBorders>
            <w:noWrap w:val="0"/>
            <w:vAlign w:val="center"/>
          </w:tcPr>
          <w:p w14:paraId="236B32EB">
            <w:pPr>
              <w:rPr>
                <w:sz w:val="21"/>
                <w:szCs w:val="21"/>
              </w:rPr>
            </w:pPr>
            <w:r>
              <w:rPr>
                <w:sz w:val="21"/>
                <w:szCs w:val="21"/>
              </w:rPr>
              <w:t>有组织</w:t>
            </w:r>
          </w:p>
        </w:tc>
        <w:tc>
          <w:tcPr>
            <w:tcW w:w="2369" w:type="dxa"/>
            <w:tcBorders>
              <w:top w:val="single" w:color="000000" w:sz="4" w:space="0"/>
              <w:left w:val="single" w:color="000000" w:sz="4" w:space="0"/>
              <w:bottom w:val="single" w:color="000000" w:sz="4" w:space="0"/>
              <w:right w:val="single" w:color="000000" w:sz="4" w:space="0"/>
            </w:tcBorders>
            <w:noWrap w:val="0"/>
            <w:vAlign w:val="center"/>
          </w:tcPr>
          <w:p w14:paraId="6A7697AC">
            <w:pPr>
              <w:rPr>
                <w:rFonts w:hint="default" w:eastAsia="宋体"/>
                <w:sz w:val="21"/>
                <w:szCs w:val="21"/>
                <w:lang w:val="en-US" w:eastAsia="zh-CN"/>
              </w:rPr>
            </w:pPr>
            <w:r>
              <w:rPr>
                <w:sz w:val="21"/>
                <w:szCs w:val="21"/>
              </w:rPr>
              <w:t>袋式除尘器+30m排气筒</w:t>
            </w:r>
            <w:r>
              <w:rPr>
                <w:rFonts w:hint="eastAsia"/>
                <w:sz w:val="21"/>
                <w:szCs w:val="21"/>
                <w:lang w:val="en-US" w:eastAsia="zh-CN"/>
              </w:rPr>
              <w:t>DA003</w:t>
            </w:r>
          </w:p>
        </w:tc>
      </w:tr>
      <w:tr w14:paraId="18D83D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98" w:type="dxa"/>
            <w:vMerge w:val="continue"/>
            <w:tcBorders>
              <w:left w:val="single" w:color="000000" w:sz="4" w:space="0"/>
              <w:right w:val="single" w:color="000000" w:sz="4" w:space="0"/>
            </w:tcBorders>
            <w:noWrap w:val="0"/>
            <w:vAlign w:val="center"/>
          </w:tcPr>
          <w:p w14:paraId="1B772B75">
            <w:pPr>
              <w:rPr>
                <w:sz w:val="21"/>
                <w:szCs w:val="21"/>
              </w:rPr>
            </w:pPr>
          </w:p>
        </w:tc>
        <w:tc>
          <w:tcPr>
            <w:tcW w:w="690" w:type="dxa"/>
            <w:tcBorders>
              <w:top w:val="single" w:color="000000" w:sz="4" w:space="0"/>
              <w:left w:val="single" w:color="000000" w:sz="4" w:space="0"/>
              <w:bottom w:val="single" w:color="000000" w:sz="4" w:space="0"/>
              <w:right w:val="single" w:color="000000" w:sz="4" w:space="0"/>
            </w:tcBorders>
            <w:noWrap w:val="0"/>
            <w:vAlign w:val="center"/>
          </w:tcPr>
          <w:p w14:paraId="63B6E3B1">
            <w:pPr>
              <w:rPr>
                <w:rFonts w:hint="eastAsia" w:eastAsia="宋体"/>
                <w:sz w:val="21"/>
                <w:szCs w:val="21"/>
                <w:lang w:eastAsia="zh-CN"/>
              </w:rPr>
            </w:pPr>
            <w:r>
              <w:rPr>
                <w:sz w:val="21"/>
                <w:szCs w:val="21"/>
              </w:rPr>
              <w:t>G</w:t>
            </w:r>
            <w:r>
              <w:rPr>
                <w:rFonts w:hint="eastAsia"/>
                <w:sz w:val="21"/>
                <w:szCs w:val="21"/>
                <w:lang w:val="en-US" w:eastAsia="zh-CN"/>
              </w:rPr>
              <w:t>2</w:t>
            </w:r>
          </w:p>
        </w:tc>
        <w:tc>
          <w:tcPr>
            <w:tcW w:w="1572" w:type="dxa"/>
            <w:tcBorders>
              <w:top w:val="single" w:color="000000" w:sz="4" w:space="0"/>
              <w:left w:val="single" w:color="000000" w:sz="4" w:space="0"/>
              <w:bottom w:val="single" w:color="000000" w:sz="4" w:space="0"/>
              <w:right w:val="single" w:color="000000" w:sz="4" w:space="0"/>
            </w:tcBorders>
            <w:noWrap w:val="0"/>
            <w:vAlign w:val="center"/>
          </w:tcPr>
          <w:p w14:paraId="4F9048A5">
            <w:pPr>
              <w:rPr>
                <w:sz w:val="21"/>
                <w:szCs w:val="21"/>
              </w:rPr>
            </w:pPr>
            <w:r>
              <w:rPr>
                <w:sz w:val="21"/>
                <w:szCs w:val="21"/>
              </w:rPr>
              <w:t>一、二次混合</w:t>
            </w:r>
          </w:p>
        </w:tc>
        <w:tc>
          <w:tcPr>
            <w:tcW w:w="1650" w:type="dxa"/>
            <w:tcBorders>
              <w:top w:val="single" w:color="000000" w:sz="4" w:space="0"/>
              <w:left w:val="single" w:color="000000" w:sz="4" w:space="0"/>
              <w:bottom w:val="single" w:color="000000" w:sz="4" w:space="0"/>
              <w:right w:val="single" w:color="000000" w:sz="4" w:space="0"/>
            </w:tcBorders>
            <w:noWrap w:val="0"/>
            <w:vAlign w:val="center"/>
          </w:tcPr>
          <w:p w14:paraId="51C64EB1">
            <w:pPr>
              <w:rPr>
                <w:sz w:val="21"/>
                <w:szCs w:val="21"/>
              </w:rPr>
            </w:pPr>
            <w:r>
              <w:rPr>
                <w:sz w:val="21"/>
                <w:szCs w:val="21"/>
              </w:rPr>
              <w:t>粉尘</w:t>
            </w:r>
          </w:p>
        </w:tc>
        <w:tc>
          <w:tcPr>
            <w:tcW w:w="1308" w:type="dxa"/>
            <w:tcBorders>
              <w:top w:val="single" w:color="000000" w:sz="4" w:space="0"/>
              <w:left w:val="single" w:color="000000" w:sz="4" w:space="0"/>
              <w:bottom w:val="single" w:color="000000" w:sz="4" w:space="0"/>
              <w:right w:val="single" w:color="000000" w:sz="4" w:space="0"/>
            </w:tcBorders>
            <w:noWrap w:val="0"/>
            <w:vAlign w:val="center"/>
          </w:tcPr>
          <w:p w14:paraId="1CDCCC5F">
            <w:pPr>
              <w:rPr>
                <w:sz w:val="21"/>
                <w:szCs w:val="21"/>
              </w:rPr>
            </w:pPr>
            <w:r>
              <w:rPr>
                <w:sz w:val="21"/>
                <w:szCs w:val="21"/>
              </w:rPr>
              <w:t>有组织</w:t>
            </w:r>
          </w:p>
        </w:tc>
        <w:tc>
          <w:tcPr>
            <w:tcW w:w="2369" w:type="dxa"/>
            <w:tcBorders>
              <w:top w:val="single" w:color="000000" w:sz="4" w:space="0"/>
              <w:left w:val="single" w:color="000000" w:sz="4" w:space="0"/>
              <w:bottom w:val="single" w:color="000000" w:sz="4" w:space="0"/>
              <w:right w:val="single" w:color="000000" w:sz="4" w:space="0"/>
            </w:tcBorders>
            <w:noWrap w:val="0"/>
            <w:vAlign w:val="center"/>
          </w:tcPr>
          <w:p w14:paraId="0967F881">
            <w:pPr>
              <w:rPr>
                <w:rFonts w:hint="default" w:eastAsia="宋体"/>
                <w:sz w:val="21"/>
                <w:szCs w:val="21"/>
                <w:lang w:val="en-US" w:eastAsia="zh-CN"/>
              </w:rPr>
            </w:pPr>
            <w:r>
              <w:rPr>
                <w:sz w:val="21"/>
                <w:szCs w:val="21"/>
              </w:rPr>
              <w:t>湿法水浴除尘器+20m排气筒</w:t>
            </w:r>
            <w:r>
              <w:rPr>
                <w:rFonts w:hint="eastAsia"/>
                <w:sz w:val="21"/>
                <w:szCs w:val="21"/>
                <w:lang w:val="en-US" w:eastAsia="zh-CN"/>
              </w:rPr>
              <w:t>DA015</w:t>
            </w:r>
          </w:p>
        </w:tc>
      </w:tr>
      <w:tr w14:paraId="65C7A7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98" w:type="dxa"/>
            <w:vMerge w:val="continue"/>
            <w:tcBorders>
              <w:left w:val="single" w:color="000000" w:sz="4" w:space="0"/>
              <w:right w:val="single" w:color="000000" w:sz="4" w:space="0"/>
            </w:tcBorders>
            <w:noWrap w:val="0"/>
            <w:vAlign w:val="center"/>
          </w:tcPr>
          <w:p w14:paraId="5ACD1A5F">
            <w:pPr>
              <w:rPr>
                <w:sz w:val="21"/>
                <w:szCs w:val="21"/>
              </w:rPr>
            </w:pPr>
          </w:p>
        </w:tc>
        <w:tc>
          <w:tcPr>
            <w:tcW w:w="690" w:type="dxa"/>
            <w:tcBorders>
              <w:top w:val="single" w:color="000000" w:sz="4" w:space="0"/>
              <w:left w:val="single" w:color="000000" w:sz="4" w:space="0"/>
              <w:bottom w:val="single" w:color="000000" w:sz="4" w:space="0"/>
              <w:right w:val="single" w:color="000000" w:sz="4" w:space="0"/>
            </w:tcBorders>
            <w:noWrap w:val="0"/>
            <w:vAlign w:val="center"/>
          </w:tcPr>
          <w:p w14:paraId="485AB524">
            <w:pPr>
              <w:rPr>
                <w:rFonts w:hint="eastAsia" w:eastAsia="宋体"/>
                <w:sz w:val="21"/>
                <w:szCs w:val="21"/>
                <w:lang w:eastAsia="zh-CN"/>
              </w:rPr>
            </w:pPr>
            <w:r>
              <w:rPr>
                <w:sz w:val="21"/>
                <w:szCs w:val="21"/>
              </w:rPr>
              <w:t>G</w:t>
            </w:r>
            <w:r>
              <w:rPr>
                <w:rFonts w:hint="eastAsia"/>
                <w:sz w:val="21"/>
                <w:szCs w:val="21"/>
                <w:lang w:val="en-US" w:eastAsia="zh-CN"/>
              </w:rPr>
              <w:t>3</w:t>
            </w:r>
          </w:p>
        </w:tc>
        <w:tc>
          <w:tcPr>
            <w:tcW w:w="1572" w:type="dxa"/>
            <w:tcBorders>
              <w:top w:val="single" w:color="000000" w:sz="4" w:space="0"/>
              <w:left w:val="single" w:color="000000" w:sz="4" w:space="0"/>
              <w:bottom w:val="single" w:color="000000" w:sz="4" w:space="0"/>
              <w:right w:val="single" w:color="000000" w:sz="4" w:space="0"/>
            </w:tcBorders>
            <w:noWrap w:val="0"/>
            <w:vAlign w:val="center"/>
          </w:tcPr>
          <w:p w14:paraId="658898CF">
            <w:pPr>
              <w:rPr>
                <w:sz w:val="21"/>
                <w:szCs w:val="21"/>
              </w:rPr>
            </w:pPr>
            <w:r>
              <w:rPr>
                <w:sz w:val="21"/>
                <w:szCs w:val="21"/>
              </w:rPr>
              <w:t>烧结机头</w:t>
            </w:r>
          </w:p>
        </w:tc>
        <w:tc>
          <w:tcPr>
            <w:tcW w:w="1650" w:type="dxa"/>
            <w:tcBorders>
              <w:top w:val="single" w:color="000000" w:sz="4" w:space="0"/>
              <w:left w:val="single" w:color="000000" w:sz="4" w:space="0"/>
              <w:bottom w:val="single" w:color="000000" w:sz="4" w:space="0"/>
              <w:right w:val="single" w:color="000000" w:sz="4" w:space="0"/>
            </w:tcBorders>
            <w:noWrap w:val="0"/>
            <w:vAlign w:val="center"/>
          </w:tcPr>
          <w:p w14:paraId="2CDE3720">
            <w:pPr>
              <w:rPr>
                <w:sz w:val="21"/>
                <w:szCs w:val="21"/>
              </w:rPr>
            </w:pPr>
            <w:r>
              <w:rPr>
                <w:sz w:val="21"/>
                <w:szCs w:val="21"/>
              </w:rPr>
              <w:t>烟粉尘、SO</w:t>
            </w:r>
            <w:r>
              <w:rPr>
                <w:rFonts w:hint="eastAsia"/>
                <w:sz w:val="21"/>
                <w:szCs w:val="21"/>
                <w:vertAlign w:val="subscript"/>
                <w:lang w:val="en-US" w:eastAsia="zh-CN"/>
              </w:rPr>
              <w:t xml:space="preserve">                   </w:t>
            </w:r>
            <w:r>
              <w:rPr>
                <w:sz w:val="21"/>
                <w:szCs w:val="21"/>
              </w:rPr>
              <w:t>、NO</w:t>
            </w:r>
            <w:r>
              <w:rPr>
                <w:sz w:val="21"/>
                <w:szCs w:val="21"/>
                <w:vertAlign w:val="subscript"/>
              </w:rPr>
              <w:t>X</w:t>
            </w:r>
            <w:r>
              <w:rPr>
                <w:sz w:val="21"/>
                <w:szCs w:val="21"/>
              </w:rPr>
              <w:t>、氟化物、氨、二噁英类</w:t>
            </w:r>
          </w:p>
        </w:tc>
        <w:tc>
          <w:tcPr>
            <w:tcW w:w="1308" w:type="dxa"/>
            <w:tcBorders>
              <w:top w:val="single" w:color="000000" w:sz="4" w:space="0"/>
              <w:left w:val="single" w:color="000000" w:sz="4" w:space="0"/>
              <w:bottom w:val="single" w:color="000000" w:sz="4" w:space="0"/>
              <w:right w:val="single" w:color="000000" w:sz="4" w:space="0"/>
            </w:tcBorders>
            <w:noWrap w:val="0"/>
            <w:vAlign w:val="center"/>
          </w:tcPr>
          <w:p w14:paraId="48CCBDC6">
            <w:pPr>
              <w:rPr>
                <w:sz w:val="21"/>
                <w:szCs w:val="21"/>
              </w:rPr>
            </w:pPr>
            <w:r>
              <w:rPr>
                <w:sz w:val="21"/>
                <w:szCs w:val="21"/>
              </w:rPr>
              <w:t>有组织</w:t>
            </w:r>
          </w:p>
        </w:tc>
        <w:tc>
          <w:tcPr>
            <w:tcW w:w="2369" w:type="dxa"/>
            <w:tcBorders>
              <w:top w:val="single" w:color="000000" w:sz="4" w:space="0"/>
              <w:left w:val="single" w:color="000000" w:sz="4" w:space="0"/>
              <w:bottom w:val="single" w:color="000000" w:sz="4" w:space="0"/>
              <w:right w:val="single" w:color="000000" w:sz="4" w:space="0"/>
            </w:tcBorders>
            <w:noWrap w:val="0"/>
            <w:vAlign w:val="center"/>
          </w:tcPr>
          <w:p w14:paraId="2A5DC95C">
            <w:pPr>
              <w:rPr>
                <w:rFonts w:hint="default" w:eastAsia="宋体"/>
                <w:sz w:val="21"/>
                <w:szCs w:val="21"/>
                <w:lang w:val="en-US" w:eastAsia="zh-CN"/>
              </w:rPr>
            </w:pPr>
            <w:r>
              <w:rPr>
                <w:rFonts w:hint="eastAsia"/>
                <w:sz w:val="21"/>
                <w:szCs w:val="21"/>
                <w:lang w:val="en-US" w:eastAsia="zh-CN"/>
              </w:rPr>
              <w:t>湿电</w:t>
            </w:r>
            <w:r>
              <w:rPr>
                <w:sz w:val="21"/>
                <w:szCs w:val="21"/>
              </w:rPr>
              <w:t>除尘器+</w:t>
            </w:r>
            <w:r>
              <w:rPr>
                <w:rFonts w:hint="eastAsia"/>
                <w:sz w:val="21"/>
                <w:szCs w:val="21"/>
                <w:lang w:val="en-US" w:eastAsia="zh-CN"/>
              </w:rPr>
              <w:t>石灰石-石膏湿式脱硫</w:t>
            </w:r>
            <w:r>
              <w:rPr>
                <w:sz w:val="21"/>
                <w:szCs w:val="21"/>
              </w:rPr>
              <w:t>+SCR脱硝+</w:t>
            </w:r>
            <w:r>
              <w:rPr>
                <w:rFonts w:hint="eastAsia"/>
                <w:sz w:val="21"/>
                <w:szCs w:val="21"/>
                <w:lang w:val="en-US" w:eastAsia="zh-CN"/>
              </w:rPr>
              <w:t>7</w:t>
            </w:r>
            <w:r>
              <w:rPr>
                <w:sz w:val="21"/>
                <w:szCs w:val="21"/>
              </w:rPr>
              <w:t>0m排气筒</w:t>
            </w:r>
            <w:r>
              <w:rPr>
                <w:rFonts w:hint="eastAsia"/>
                <w:sz w:val="21"/>
                <w:szCs w:val="21"/>
                <w:lang w:val="en-US" w:eastAsia="zh-CN"/>
              </w:rPr>
              <w:t>DA002</w:t>
            </w:r>
          </w:p>
        </w:tc>
      </w:tr>
      <w:tr w14:paraId="7DE0D2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98" w:type="dxa"/>
            <w:vMerge w:val="continue"/>
            <w:tcBorders>
              <w:left w:val="single" w:color="000000" w:sz="4" w:space="0"/>
              <w:right w:val="single" w:color="000000" w:sz="4" w:space="0"/>
            </w:tcBorders>
            <w:noWrap w:val="0"/>
            <w:vAlign w:val="center"/>
          </w:tcPr>
          <w:p w14:paraId="7FD9F7C7">
            <w:pPr>
              <w:rPr>
                <w:sz w:val="21"/>
                <w:szCs w:val="21"/>
              </w:rPr>
            </w:pPr>
          </w:p>
        </w:tc>
        <w:tc>
          <w:tcPr>
            <w:tcW w:w="690" w:type="dxa"/>
            <w:tcBorders>
              <w:top w:val="single" w:color="000000" w:sz="4" w:space="0"/>
              <w:left w:val="single" w:color="000000" w:sz="4" w:space="0"/>
              <w:bottom w:val="single" w:color="000000" w:sz="4" w:space="0"/>
              <w:right w:val="single" w:color="000000" w:sz="4" w:space="0"/>
            </w:tcBorders>
            <w:noWrap w:val="0"/>
            <w:vAlign w:val="center"/>
          </w:tcPr>
          <w:p w14:paraId="35755578">
            <w:pPr>
              <w:rPr>
                <w:rFonts w:hint="eastAsia" w:eastAsia="宋体"/>
                <w:sz w:val="21"/>
                <w:szCs w:val="21"/>
                <w:lang w:eastAsia="zh-CN"/>
              </w:rPr>
            </w:pPr>
            <w:r>
              <w:rPr>
                <w:sz w:val="21"/>
                <w:szCs w:val="21"/>
              </w:rPr>
              <w:t>G</w:t>
            </w:r>
            <w:r>
              <w:rPr>
                <w:rFonts w:hint="eastAsia"/>
                <w:sz w:val="21"/>
                <w:szCs w:val="21"/>
                <w:lang w:val="en-US" w:eastAsia="zh-CN"/>
              </w:rPr>
              <w:t>4</w:t>
            </w:r>
          </w:p>
        </w:tc>
        <w:tc>
          <w:tcPr>
            <w:tcW w:w="1572" w:type="dxa"/>
            <w:tcBorders>
              <w:top w:val="single" w:color="000000" w:sz="4" w:space="0"/>
              <w:left w:val="single" w:color="000000" w:sz="4" w:space="0"/>
              <w:bottom w:val="single" w:color="000000" w:sz="4" w:space="0"/>
              <w:right w:val="single" w:color="000000" w:sz="4" w:space="0"/>
            </w:tcBorders>
            <w:noWrap w:val="0"/>
            <w:vAlign w:val="center"/>
          </w:tcPr>
          <w:p w14:paraId="08FFB316">
            <w:pPr>
              <w:rPr>
                <w:sz w:val="21"/>
                <w:szCs w:val="21"/>
              </w:rPr>
            </w:pPr>
            <w:r>
              <w:rPr>
                <w:sz w:val="21"/>
                <w:szCs w:val="21"/>
              </w:rPr>
              <w:t>烧结机尾</w:t>
            </w:r>
          </w:p>
        </w:tc>
        <w:tc>
          <w:tcPr>
            <w:tcW w:w="1650" w:type="dxa"/>
            <w:tcBorders>
              <w:top w:val="single" w:color="000000" w:sz="4" w:space="0"/>
              <w:left w:val="single" w:color="000000" w:sz="4" w:space="0"/>
              <w:bottom w:val="single" w:color="000000" w:sz="4" w:space="0"/>
              <w:right w:val="single" w:color="000000" w:sz="4" w:space="0"/>
            </w:tcBorders>
            <w:noWrap w:val="0"/>
            <w:vAlign w:val="center"/>
          </w:tcPr>
          <w:p w14:paraId="4D22D696">
            <w:pPr>
              <w:rPr>
                <w:sz w:val="21"/>
                <w:szCs w:val="21"/>
              </w:rPr>
            </w:pPr>
            <w:r>
              <w:rPr>
                <w:sz w:val="21"/>
                <w:szCs w:val="21"/>
              </w:rPr>
              <w:t>粉尘</w:t>
            </w:r>
          </w:p>
        </w:tc>
        <w:tc>
          <w:tcPr>
            <w:tcW w:w="1308" w:type="dxa"/>
            <w:tcBorders>
              <w:top w:val="single" w:color="000000" w:sz="4" w:space="0"/>
              <w:left w:val="single" w:color="000000" w:sz="4" w:space="0"/>
              <w:bottom w:val="single" w:color="000000" w:sz="4" w:space="0"/>
              <w:right w:val="single" w:color="000000" w:sz="4" w:space="0"/>
            </w:tcBorders>
            <w:noWrap w:val="0"/>
            <w:vAlign w:val="center"/>
          </w:tcPr>
          <w:p w14:paraId="7092674A">
            <w:pPr>
              <w:rPr>
                <w:sz w:val="21"/>
                <w:szCs w:val="21"/>
              </w:rPr>
            </w:pPr>
            <w:r>
              <w:rPr>
                <w:sz w:val="21"/>
                <w:szCs w:val="21"/>
              </w:rPr>
              <w:t>有组织</w:t>
            </w:r>
          </w:p>
        </w:tc>
        <w:tc>
          <w:tcPr>
            <w:tcW w:w="2369" w:type="dxa"/>
            <w:tcBorders>
              <w:top w:val="single" w:color="000000" w:sz="4" w:space="0"/>
              <w:left w:val="single" w:color="000000" w:sz="4" w:space="0"/>
              <w:bottom w:val="single" w:color="000000" w:sz="4" w:space="0"/>
              <w:right w:val="single" w:color="000000" w:sz="4" w:space="0"/>
            </w:tcBorders>
            <w:noWrap w:val="0"/>
            <w:vAlign w:val="center"/>
          </w:tcPr>
          <w:p w14:paraId="12B980A7">
            <w:pPr>
              <w:rPr>
                <w:rFonts w:hint="default" w:eastAsia="宋体"/>
                <w:sz w:val="21"/>
                <w:szCs w:val="21"/>
                <w:lang w:val="en-US" w:eastAsia="zh-CN"/>
              </w:rPr>
            </w:pPr>
            <w:r>
              <w:rPr>
                <w:sz w:val="21"/>
                <w:szCs w:val="21"/>
              </w:rPr>
              <w:t>袋式除尘器+50m排气筒</w:t>
            </w:r>
            <w:r>
              <w:rPr>
                <w:rFonts w:hint="eastAsia"/>
                <w:sz w:val="21"/>
                <w:szCs w:val="21"/>
                <w:lang w:val="en-US" w:eastAsia="zh-CN"/>
              </w:rPr>
              <w:t>DA005</w:t>
            </w:r>
          </w:p>
        </w:tc>
      </w:tr>
      <w:tr w14:paraId="131DD9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98" w:type="dxa"/>
            <w:vMerge w:val="continue"/>
            <w:tcBorders>
              <w:left w:val="single" w:color="000000" w:sz="4" w:space="0"/>
              <w:right w:val="single" w:color="000000" w:sz="4" w:space="0"/>
            </w:tcBorders>
            <w:noWrap w:val="0"/>
            <w:vAlign w:val="center"/>
          </w:tcPr>
          <w:p w14:paraId="15A1FED3">
            <w:pPr>
              <w:rPr>
                <w:sz w:val="21"/>
                <w:szCs w:val="21"/>
              </w:rPr>
            </w:pPr>
          </w:p>
        </w:tc>
        <w:tc>
          <w:tcPr>
            <w:tcW w:w="690" w:type="dxa"/>
            <w:tcBorders>
              <w:top w:val="single" w:color="000000" w:sz="4" w:space="0"/>
              <w:left w:val="single" w:color="000000" w:sz="4" w:space="0"/>
              <w:bottom w:val="single" w:color="000000" w:sz="4" w:space="0"/>
              <w:right w:val="single" w:color="000000" w:sz="4" w:space="0"/>
            </w:tcBorders>
            <w:noWrap w:val="0"/>
            <w:vAlign w:val="center"/>
          </w:tcPr>
          <w:p w14:paraId="1A3BEFB9">
            <w:pPr>
              <w:rPr>
                <w:rFonts w:hint="eastAsia" w:eastAsia="宋体"/>
                <w:sz w:val="21"/>
                <w:szCs w:val="21"/>
                <w:lang w:eastAsia="zh-CN"/>
              </w:rPr>
            </w:pPr>
            <w:r>
              <w:rPr>
                <w:sz w:val="21"/>
                <w:szCs w:val="21"/>
              </w:rPr>
              <w:t>G</w:t>
            </w:r>
            <w:r>
              <w:rPr>
                <w:rFonts w:hint="eastAsia"/>
                <w:sz w:val="21"/>
                <w:szCs w:val="21"/>
                <w:lang w:val="en-US" w:eastAsia="zh-CN"/>
              </w:rPr>
              <w:t>5</w:t>
            </w:r>
          </w:p>
        </w:tc>
        <w:tc>
          <w:tcPr>
            <w:tcW w:w="1572" w:type="dxa"/>
            <w:tcBorders>
              <w:top w:val="single" w:color="000000" w:sz="4" w:space="0"/>
              <w:left w:val="single" w:color="000000" w:sz="4" w:space="0"/>
              <w:bottom w:val="single" w:color="000000" w:sz="4" w:space="0"/>
              <w:right w:val="single" w:color="000000" w:sz="4" w:space="0"/>
            </w:tcBorders>
            <w:noWrap w:val="0"/>
            <w:vAlign w:val="center"/>
          </w:tcPr>
          <w:p w14:paraId="2F899FC5">
            <w:pPr>
              <w:rPr>
                <w:sz w:val="21"/>
                <w:szCs w:val="21"/>
              </w:rPr>
            </w:pPr>
            <w:r>
              <w:rPr>
                <w:sz w:val="21"/>
                <w:szCs w:val="21"/>
              </w:rPr>
              <w:t>单辊破碎</w:t>
            </w:r>
          </w:p>
        </w:tc>
        <w:tc>
          <w:tcPr>
            <w:tcW w:w="1650" w:type="dxa"/>
            <w:tcBorders>
              <w:top w:val="single" w:color="000000" w:sz="4" w:space="0"/>
              <w:left w:val="single" w:color="000000" w:sz="4" w:space="0"/>
              <w:bottom w:val="single" w:color="000000" w:sz="4" w:space="0"/>
              <w:right w:val="single" w:color="000000" w:sz="4" w:space="0"/>
            </w:tcBorders>
            <w:noWrap w:val="0"/>
            <w:vAlign w:val="center"/>
          </w:tcPr>
          <w:p w14:paraId="51EBD0F6">
            <w:pPr>
              <w:rPr>
                <w:sz w:val="21"/>
                <w:szCs w:val="21"/>
              </w:rPr>
            </w:pPr>
            <w:r>
              <w:rPr>
                <w:sz w:val="21"/>
                <w:szCs w:val="21"/>
              </w:rPr>
              <w:t>粉尘</w:t>
            </w:r>
          </w:p>
        </w:tc>
        <w:tc>
          <w:tcPr>
            <w:tcW w:w="1308" w:type="dxa"/>
            <w:tcBorders>
              <w:top w:val="single" w:color="000000" w:sz="4" w:space="0"/>
              <w:left w:val="single" w:color="000000" w:sz="4" w:space="0"/>
              <w:bottom w:val="single" w:color="000000" w:sz="4" w:space="0"/>
              <w:right w:val="single" w:color="000000" w:sz="4" w:space="0"/>
            </w:tcBorders>
            <w:noWrap w:val="0"/>
            <w:vAlign w:val="center"/>
          </w:tcPr>
          <w:p w14:paraId="44EEDC30">
            <w:pPr>
              <w:rPr>
                <w:sz w:val="21"/>
                <w:szCs w:val="21"/>
              </w:rPr>
            </w:pPr>
            <w:r>
              <w:rPr>
                <w:sz w:val="21"/>
                <w:szCs w:val="21"/>
              </w:rPr>
              <w:t>有组织</w:t>
            </w:r>
          </w:p>
        </w:tc>
        <w:tc>
          <w:tcPr>
            <w:tcW w:w="2369" w:type="dxa"/>
            <w:tcBorders>
              <w:top w:val="single" w:color="000000" w:sz="4" w:space="0"/>
              <w:left w:val="single" w:color="000000" w:sz="4" w:space="0"/>
              <w:bottom w:val="single" w:color="000000" w:sz="4" w:space="0"/>
              <w:right w:val="single" w:color="000000" w:sz="4" w:space="0"/>
            </w:tcBorders>
            <w:noWrap w:val="0"/>
            <w:vAlign w:val="center"/>
          </w:tcPr>
          <w:p w14:paraId="7AA016A5">
            <w:pPr>
              <w:rPr>
                <w:sz w:val="21"/>
                <w:szCs w:val="21"/>
              </w:rPr>
            </w:pPr>
            <w:r>
              <w:rPr>
                <w:sz w:val="21"/>
                <w:szCs w:val="21"/>
              </w:rPr>
              <w:t>袋式除尘器+50m排气筒</w:t>
            </w:r>
            <w:r>
              <w:rPr>
                <w:rFonts w:hint="eastAsia"/>
                <w:sz w:val="21"/>
                <w:szCs w:val="21"/>
                <w:lang w:val="en-US" w:eastAsia="zh-CN"/>
              </w:rPr>
              <w:t>DA004</w:t>
            </w:r>
          </w:p>
        </w:tc>
      </w:tr>
      <w:tr w14:paraId="5F58DD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98" w:type="dxa"/>
            <w:vMerge w:val="continue"/>
            <w:tcBorders>
              <w:left w:val="single" w:color="000000" w:sz="4" w:space="0"/>
              <w:right w:val="single" w:color="000000" w:sz="4" w:space="0"/>
            </w:tcBorders>
            <w:noWrap w:val="0"/>
            <w:vAlign w:val="center"/>
          </w:tcPr>
          <w:p w14:paraId="7700AA6B">
            <w:pPr>
              <w:rPr>
                <w:sz w:val="21"/>
                <w:szCs w:val="21"/>
              </w:rPr>
            </w:pPr>
          </w:p>
        </w:tc>
        <w:tc>
          <w:tcPr>
            <w:tcW w:w="690" w:type="dxa"/>
            <w:tcBorders>
              <w:top w:val="single" w:color="000000" w:sz="4" w:space="0"/>
              <w:left w:val="single" w:color="000000" w:sz="4" w:space="0"/>
              <w:bottom w:val="single" w:color="000000" w:sz="4" w:space="0"/>
              <w:right w:val="single" w:color="000000" w:sz="4" w:space="0"/>
            </w:tcBorders>
            <w:noWrap w:val="0"/>
            <w:vAlign w:val="center"/>
          </w:tcPr>
          <w:p w14:paraId="3923C390">
            <w:pPr>
              <w:rPr>
                <w:rFonts w:hint="eastAsia" w:eastAsia="宋体"/>
                <w:sz w:val="21"/>
                <w:szCs w:val="21"/>
                <w:lang w:eastAsia="zh-CN"/>
              </w:rPr>
            </w:pPr>
            <w:r>
              <w:rPr>
                <w:sz w:val="21"/>
                <w:szCs w:val="21"/>
              </w:rPr>
              <w:t>G</w:t>
            </w:r>
            <w:r>
              <w:rPr>
                <w:rFonts w:hint="eastAsia"/>
                <w:sz w:val="21"/>
                <w:szCs w:val="21"/>
                <w:lang w:val="en-US" w:eastAsia="zh-CN"/>
              </w:rPr>
              <w:t>6</w:t>
            </w:r>
          </w:p>
        </w:tc>
        <w:tc>
          <w:tcPr>
            <w:tcW w:w="1572" w:type="dxa"/>
            <w:tcBorders>
              <w:top w:val="single" w:color="000000" w:sz="4" w:space="0"/>
              <w:left w:val="single" w:color="000000" w:sz="4" w:space="0"/>
              <w:bottom w:val="single" w:color="000000" w:sz="4" w:space="0"/>
              <w:right w:val="single" w:color="000000" w:sz="4" w:space="0"/>
            </w:tcBorders>
            <w:noWrap w:val="0"/>
            <w:vAlign w:val="center"/>
          </w:tcPr>
          <w:p w14:paraId="032205BD">
            <w:pPr>
              <w:rPr>
                <w:rFonts w:hint="eastAsia" w:eastAsia="宋体"/>
                <w:sz w:val="21"/>
                <w:szCs w:val="21"/>
                <w:lang w:eastAsia="zh-CN"/>
              </w:rPr>
            </w:pPr>
            <w:r>
              <w:rPr>
                <w:rFonts w:hint="eastAsia"/>
                <w:sz w:val="21"/>
                <w:szCs w:val="21"/>
                <w:lang w:val="en-US" w:eastAsia="zh-CN"/>
              </w:rPr>
              <w:t>下料</w:t>
            </w:r>
          </w:p>
        </w:tc>
        <w:tc>
          <w:tcPr>
            <w:tcW w:w="1650" w:type="dxa"/>
            <w:tcBorders>
              <w:top w:val="single" w:color="000000" w:sz="4" w:space="0"/>
              <w:left w:val="single" w:color="000000" w:sz="4" w:space="0"/>
              <w:bottom w:val="single" w:color="000000" w:sz="4" w:space="0"/>
              <w:right w:val="single" w:color="000000" w:sz="4" w:space="0"/>
            </w:tcBorders>
            <w:noWrap w:val="0"/>
            <w:vAlign w:val="center"/>
          </w:tcPr>
          <w:p w14:paraId="31636E28">
            <w:pPr>
              <w:rPr>
                <w:sz w:val="21"/>
                <w:szCs w:val="21"/>
              </w:rPr>
            </w:pPr>
            <w:r>
              <w:rPr>
                <w:sz w:val="21"/>
                <w:szCs w:val="21"/>
              </w:rPr>
              <w:t>粉尘</w:t>
            </w:r>
          </w:p>
        </w:tc>
        <w:tc>
          <w:tcPr>
            <w:tcW w:w="1308" w:type="dxa"/>
            <w:tcBorders>
              <w:top w:val="single" w:color="000000" w:sz="4" w:space="0"/>
              <w:left w:val="single" w:color="000000" w:sz="4" w:space="0"/>
              <w:bottom w:val="single" w:color="000000" w:sz="4" w:space="0"/>
              <w:right w:val="single" w:color="000000" w:sz="4" w:space="0"/>
            </w:tcBorders>
            <w:noWrap w:val="0"/>
            <w:vAlign w:val="center"/>
          </w:tcPr>
          <w:p w14:paraId="7BD648DE">
            <w:pPr>
              <w:rPr>
                <w:sz w:val="21"/>
                <w:szCs w:val="21"/>
              </w:rPr>
            </w:pPr>
            <w:r>
              <w:rPr>
                <w:sz w:val="21"/>
                <w:szCs w:val="21"/>
              </w:rPr>
              <w:t>有组织</w:t>
            </w:r>
          </w:p>
        </w:tc>
        <w:tc>
          <w:tcPr>
            <w:tcW w:w="2369" w:type="dxa"/>
            <w:tcBorders>
              <w:top w:val="single" w:color="000000" w:sz="4" w:space="0"/>
              <w:left w:val="single" w:color="000000" w:sz="4" w:space="0"/>
              <w:bottom w:val="single" w:color="000000" w:sz="4" w:space="0"/>
              <w:right w:val="single" w:color="000000" w:sz="4" w:space="0"/>
            </w:tcBorders>
            <w:noWrap w:val="0"/>
            <w:vAlign w:val="center"/>
          </w:tcPr>
          <w:p w14:paraId="73DF4C07">
            <w:pPr>
              <w:rPr>
                <w:sz w:val="21"/>
                <w:szCs w:val="21"/>
              </w:rPr>
            </w:pPr>
            <w:r>
              <w:rPr>
                <w:sz w:val="21"/>
                <w:szCs w:val="21"/>
              </w:rPr>
              <w:t>袋式除尘器+50m排气筒</w:t>
            </w:r>
            <w:r>
              <w:rPr>
                <w:rFonts w:hint="eastAsia"/>
                <w:sz w:val="21"/>
                <w:szCs w:val="21"/>
                <w:lang w:val="en-US" w:eastAsia="zh-CN"/>
              </w:rPr>
              <w:t>DA001</w:t>
            </w:r>
          </w:p>
        </w:tc>
      </w:tr>
      <w:tr w14:paraId="28892B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98" w:type="dxa"/>
            <w:vMerge w:val="continue"/>
            <w:tcBorders>
              <w:left w:val="single" w:color="000000" w:sz="4" w:space="0"/>
              <w:right w:val="single" w:color="000000" w:sz="4" w:space="0"/>
            </w:tcBorders>
            <w:noWrap w:val="0"/>
            <w:vAlign w:val="center"/>
          </w:tcPr>
          <w:p w14:paraId="27B39DA9">
            <w:pPr>
              <w:rPr>
                <w:sz w:val="21"/>
                <w:szCs w:val="21"/>
              </w:rPr>
            </w:pPr>
          </w:p>
        </w:tc>
        <w:tc>
          <w:tcPr>
            <w:tcW w:w="690" w:type="dxa"/>
            <w:tcBorders>
              <w:top w:val="single" w:color="000000" w:sz="4" w:space="0"/>
              <w:left w:val="single" w:color="000000" w:sz="4" w:space="0"/>
              <w:bottom w:val="single" w:color="000000" w:sz="4" w:space="0"/>
              <w:right w:val="single" w:color="000000" w:sz="4" w:space="0"/>
            </w:tcBorders>
            <w:noWrap w:val="0"/>
            <w:vAlign w:val="center"/>
          </w:tcPr>
          <w:p w14:paraId="2F267413">
            <w:pPr>
              <w:rPr>
                <w:rFonts w:hint="eastAsia" w:eastAsia="宋体"/>
                <w:sz w:val="21"/>
                <w:szCs w:val="21"/>
                <w:lang w:eastAsia="zh-CN"/>
              </w:rPr>
            </w:pPr>
            <w:r>
              <w:rPr>
                <w:sz w:val="21"/>
                <w:szCs w:val="21"/>
              </w:rPr>
              <w:t>G</w:t>
            </w:r>
            <w:r>
              <w:rPr>
                <w:rFonts w:hint="eastAsia"/>
                <w:sz w:val="21"/>
                <w:szCs w:val="21"/>
                <w:lang w:val="en-US" w:eastAsia="zh-CN"/>
              </w:rPr>
              <w:t>7</w:t>
            </w:r>
          </w:p>
        </w:tc>
        <w:tc>
          <w:tcPr>
            <w:tcW w:w="1572" w:type="dxa"/>
            <w:tcBorders>
              <w:top w:val="single" w:color="000000" w:sz="4" w:space="0"/>
              <w:left w:val="single" w:color="000000" w:sz="4" w:space="0"/>
              <w:bottom w:val="single" w:color="000000" w:sz="4" w:space="0"/>
              <w:right w:val="single" w:color="000000" w:sz="4" w:space="0"/>
            </w:tcBorders>
            <w:noWrap w:val="0"/>
            <w:vAlign w:val="center"/>
          </w:tcPr>
          <w:p w14:paraId="132B3648">
            <w:pPr>
              <w:rPr>
                <w:rFonts w:hint="eastAsia" w:eastAsia="宋体"/>
                <w:sz w:val="21"/>
                <w:szCs w:val="21"/>
                <w:lang w:eastAsia="zh-CN"/>
              </w:rPr>
            </w:pPr>
            <w:r>
              <w:rPr>
                <w:rFonts w:hint="eastAsia"/>
                <w:sz w:val="21"/>
                <w:szCs w:val="21"/>
                <w:lang w:val="en-US" w:eastAsia="zh-CN"/>
              </w:rPr>
              <w:t>贮存</w:t>
            </w:r>
          </w:p>
        </w:tc>
        <w:tc>
          <w:tcPr>
            <w:tcW w:w="1650" w:type="dxa"/>
            <w:tcBorders>
              <w:top w:val="single" w:color="000000" w:sz="4" w:space="0"/>
              <w:left w:val="single" w:color="000000" w:sz="4" w:space="0"/>
              <w:bottom w:val="single" w:color="000000" w:sz="4" w:space="0"/>
              <w:right w:val="single" w:color="000000" w:sz="4" w:space="0"/>
            </w:tcBorders>
            <w:noWrap w:val="0"/>
            <w:vAlign w:val="center"/>
          </w:tcPr>
          <w:p w14:paraId="7D2381E5">
            <w:pPr>
              <w:rPr>
                <w:sz w:val="21"/>
                <w:szCs w:val="21"/>
              </w:rPr>
            </w:pPr>
            <w:r>
              <w:rPr>
                <w:sz w:val="21"/>
                <w:szCs w:val="21"/>
              </w:rPr>
              <w:t>粉尘</w:t>
            </w:r>
          </w:p>
        </w:tc>
        <w:tc>
          <w:tcPr>
            <w:tcW w:w="1308" w:type="dxa"/>
            <w:tcBorders>
              <w:top w:val="single" w:color="000000" w:sz="4" w:space="0"/>
              <w:left w:val="single" w:color="000000" w:sz="4" w:space="0"/>
              <w:bottom w:val="single" w:color="000000" w:sz="4" w:space="0"/>
              <w:right w:val="single" w:color="000000" w:sz="4" w:space="0"/>
            </w:tcBorders>
            <w:noWrap w:val="0"/>
            <w:vAlign w:val="center"/>
          </w:tcPr>
          <w:p w14:paraId="6AE4559C">
            <w:pPr>
              <w:rPr>
                <w:sz w:val="21"/>
                <w:szCs w:val="21"/>
              </w:rPr>
            </w:pPr>
            <w:r>
              <w:rPr>
                <w:sz w:val="21"/>
                <w:szCs w:val="21"/>
              </w:rPr>
              <w:t>有组织</w:t>
            </w:r>
          </w:p>
        </w:tc>
        <w:tc>
          <w:tcPr>
            <w:tcW w:w="2369" w:type="dxa"/>
            <w:tcBorders>
              <w:top w:val="single" w:color="000000" w:sz="4" w:space="0"/>
              <w:left w:val="single" w:color="000000" w:sz="4" w:space="0"/>
              <w:bottom w:val="single" w:color="000000" w:sz="4" w:space="0"/>
              <w:right w:val="single" w:color="000000" w:sz="4" w:space="0"/>
            </w:tcBorders>
            <w:noWrap w:val="0"/>
            <w:vAlign w:val="center"/>
          </w:tcPr>
          <w:p w14:paraId="425259CF">
            <w:pPr>
              <w:rPr>
                <w:rFonts w:hint="default" w:eastAsia="宋体"/>
                <w:sz w:val="21"/>
                <w:szCs w:val="21"/>
                <w:lang w:val="en-US" w:eastAsia="zh-CN"/>
              </w:rPr>
            </w:pPr>
            <w:r>
              <w:rPr>
                <w:sz w:val="21"/>
                <w:szCs w:val="21"/>
              </w:rPr>
              <w:t>袋式除尘器+30m排气筒</w:t>
            </w:r>
            <w:r>
              <w:rPr>
                <w:rFonts w:hint="eastAsia"/>
                <w:sz w:val="21"/>
                <w:szCs w:val="21"/>
                <w:lang w:val="en-US" w:eastAsia="zh-CN"/>
              </w:rPr>
              <w:t>DA012</w:t>
            </w:r>
          </w:p>
        </w:tc>
      </w:tr>
      <w:tr w14:paraId="76DD23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98" w:type="dxa"/>
            <w:vMerge w:val="continue"/>
            <w:tcBorders>
              <w:left w:val="single" w:color="000000" w:sz="4" w:space="0"/>
              <w:right w:val="single" w:color="000000" w:sz="4" w:space="0"/>
            </w:tcBorders>
            <w:noWrap w:val="0"/>
            <w:vAlign w:val="center"/>
          </w:tcPr>
          <w:p w14:paraId="30E56A55">
            <w:pPr>
              <w:rPr>
                <w:sz w:val="21"/>
                <w:szCs w:val="21"/>
              </w:rPr>
            </w:pPr>
          </w:p>
        </w:tc>
        <w:tc>
          <w:tcPr>
            <w:tcW w:w="690" w:type="dxa"/>
            <w:tcBorders>
              <w:top w:val="single" w:color="000000" w:sz="4" w:space="0"/>
              <w:left w:val="single" w:color="000000" w:sz="4" w:space="0"/>
              <w:bottom w:val="single" w:color="000000" w:sz="4" w:space="0"/>
              <w:right w:val="single" w:color="000000" w:sz="4" w:space="0"/>
            </w:tcBorders>
            <w:noWrap w:val="0"/>
            <w:vAlign w:val="center"/>
          </w:tcPr>
          <w:p w14:paraId="355E8992">
            <w:pPr>
              <w:rPr>
                <w:rFonts w:hint="default" w:eastAsia="宋体"/>
                <w:sz w:val="21"/>
                <w:szCs w:val="21"/>
                <w:lang w:val="en-US" w:eastAsia="zh-CN"/>
              </w:rPr>
            </w:pPr>
            <w:r>
              <w:rPr>
                <w:rFonts w:hint="eastAsia"/>
                <w:sz w:val="21"/>
                <w:szCs w:val="21"/>
                <w:lang w:val="en-US" w:eastAsia="zh-CN"/>
              </w:rPr>
              <w:t>G8</w:t>
            </w:r>
          </w:p>
        </w:tc>
        <w:tc>
          <w:tcPr>
            <w:tcW w:w="1572" w:type="dxa"/>
            <w:tcBorders>
              <w:top w:val="single" w:color="000000" w:sz="4" w:space="0"/>
              <w:left w:val="single" w:color="000000" w:sz="4" w:space="0"/>
              <w:bottom w:val="single" w:color="000000" w:sz="4" w:space="0"/>
              <w:right w:val="single" w:color="000000" w:sz="4" w:space="0"/>
            </w:tcBorders>
            <w:noWrap w:val="0"/>
            <w:vAlign w:val="center"/>
          </w:tcPr>
          <w:p w14:paraId="53A9E57B">
            <w:pPr>
              <w:rPr>
                <w:rFonts w:hint="default" w:eastAsia="宋体"/>
                <w:sz w:val="21"/>
                <w:szCs w:val="21"/>
                <w:lang w:val="en-US" w:eastAsia="zh-CN"/>
              </w:rPr>
            </w:pPr>
            <w:r>
              <w:rPr>
                <w:rFonts w:hint="eastAsia"/>
                <w:sz w:val="21"/>
                <w:szCs w:val="21"/>
                <w:lang w:val="en-US" w:eastAsia="zh-CN"/>
              </w:rPr>
              <w:t>原料准备</w:t>
            </w:r>
          </w:p>
        </w:tc>
        <w:tc>
          <w:tcPr>
            <w:tcW w:w="1650" w:type="dxa"/>
            <w:tcBorders>
              <w:top w:val="single" w:color="000000" w:sz="4" w:space="0"/>
              <w:left w:val="single" w:color="000000" w:sz="4" w:space="0"/>
              <w:bottom w:val="single" w:color="000000" w:sz="4" w:space="0"/>
              <w:right w:val="single" w:color="000000" w:sz="4" w:space="0"/>
            </w:tcBorders>
            <w:noWrap w:val="0"/>
            <w:vAlign w:val="center"/>
          </w:tcPr>
          <w:p w14:paraId="73D2A035">
            <w:pPr>
              <w:rPr>
                <w:sz w:val="21"/>
                <w:szCs w:val="21"/>
              </w:rPr>
            </w:pPr>
            <w:r>
              <w:rPr>
                <w:sz w:val="21"/>
                <w:szCs w:val="21"/>
              </w:rPr>
              <w:t>粉尘</w:t>
            </w:r>
          </w:p>
        </w:tc>
        <w:tc>
          <w:tcPr>
            <w:tcW w:w="1308" w:type="dxa"/>
            <w:tcBorders>
              <w:top w:val="single" w:color="000000" w:sz="4" w:space="0"/>
              <w:left w:val="single" w:color="000000" w:sz="4" w:space="0"/>
              <w:bottom w:val="single" w:color="000000" w:sz="4" w:space="0"/>
              <w:right w:val="single" w:color="000000" w:sz="4" w:space="0"/>
            </w:tcBorders>
            <w:noWrap w:val="0"/>
            <w:vAlign w:val="center"/>
          </w:tcPr>
          <w:p w14:paraId="26425312">
            <w:pPr>
              <w:rPr>
                <w:sz w:val="21"/>
                <w:szCs w:val="21"/>
              </w:rPr>
            </w:pPr>
            <w:r>
              <w:rPr>
                <w:sz w:val="21"/>
                <w:szCs w:val="21"/>
              </w:rPr>
              <w:t>有组织</w:t>
            </w:r>
          </w:p>
        </w:tc>
        <w:tc>
          <w:tcPr>
            <w:tcW w:w="2369" w:type="dxa"/>
            <w:tcBorders>
              <w:top w:val="single" w:color="000000" w:sz="4" w:space="0"/>
              <w:left w:val="single" w:color="000000" w:sz="4" w:space="0"/>
              <w:bottom w:val="single" w:color="000000" w:sz="4" w:space="0"/>
              <w:right w:val="single" w:color="000000" w:sz="4" w:space="0"/>
            </w:tcBorders>
            <w:noWrap w:val="0"/>
            <w:vAlign w:val="center"/>
          </w:tcPr>
          <w:p w14:paraId="6FC4DDB2">
            <w:pPr>
              <w:rPr>
                <w:sz w:val="21"/>
                <w:szCs w:val="21"/>
              </w:rPr>
            </w:pPr>
            <w:r>
              <w:rPr>
                <w:sz w:val="21"/>
                <w:szCs w:val="21"/>
              </w:rPr>
              <w:t>袋式除尘器+30m排气筒</w:t>
            </w:r>
            <w:r>
              <w:rPr>
                <w:rFonts w:hint="eastAsia"/>
                <w:sz w:val="21"/>
                <w:szCs w:val="21"/>
                <w:lang w:val="en-US" w:eastAsia="zh-CN"/>
              </w:rPr>
              <w:t>DA014</w:t>
            </w:r>
          </w:p>
        </w:tc>
      </w:tr>
      <w:tr w14:paraId="12010E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98" w:type="dxa"/>
            <w:vMerge w:val="continue"/>
            <w:tcBorders>
              <w:left w:val="single" w:color="000000" w:sz="4" w:space="0"/>
              <w:right w:val="single" w:color="000000" w:sz="4" w:space="0"/>
            </w:tcBorders>
            <w:noWrap w:val="0"/>
            <w:vAlign w:val="center"/>
          </w:tcPr>
          <w:p w14:paraId="2C1C551D">
            <w:pPr>
              <w:rPr>
                <w:sz w:val="21"/>
                <w:szCs w:val="21"/>
              </w:rPr>
            </w:pPr>
          </w:p>
        </w:tc>
        <w:tc>
          <w:tcPr>
            <w:tcW w:w="690" w:type="dxa"/>
            <w:tcBorders>
              <w:top w:val="single" w:color="000000" w:sz="4" w:space="0"/>
              <w:left w:val="single" w:color="000000" w:sz="4" w:space="0"/>
              <w:bottom w:val="single" w:color="000000" w:sz="4" w:space="0"/>
              <w:right w:val="single" w:color="000000" w:sz="4" w:space="0"/>
            </w:tcBorders>
            <w:noWrap w:val="0"/>
            <w:vAlign w:val="center"/>
          </w:tcPr>
          <w:p w14:paraId="4BCA8FFB">
            <w:pPr>
              <w:rPr>
                <w:rFonts w:hint="default" w:eastAsia="宋体"/>
                <w:sz w:val="21"/>
                <w:szCs w:val="21"/>
                <w:lang w:val="en-US" w:eastAsia="zh-CN"/>
              </w:rPr>
            </w:pPr>
            <w:r>
              <w:rPr>
                <w:rFonts w:hint="eastAsia"/>
                <w:sz w:val="21"/>
                <w:szCs w:val="21"/>
                <w:lang w:val="en-US" w:eastAsia="zh-CN"/>
              </w:rPr>
              <w:t>G9</w:t>
            </w:r>
          </w:p>
        </w:tc>
        <w:tc>
          <w:tcPr>
            <w:tcW w:w="1572" w:type="dxa"/>
            <w:tcBorders>
              <w:top w:val="single" w:color="000000" w:sz="4" w:space="0"/>
              <w:left w:val="single" w:color="000000" w:sz="4" w:space="0"/>
              <w:bottom w:val="single" w:color="000000" w:sz="4" w:space="0"/>
              <w:right w:val="single" w:color="000000" w:sz="4" w:space="0"/>
            </w:tcBorders>
            <w:noWrap w:val="0"/>
            <w:vAlign w:val="center"/>
          </w:tcPr>
          <w:p w14:paraId="5608B23E">
            <w:pPr>
              <w:rPr>
                <w:rFonts w:hint="eastAsia"/>
                <w:sz w:val="21"/>
                <w:szCs w:val="21"/>
                <w:lang w:val="en-US" w:eastAsia="zh-CN"/>
              </w:rPr>
            </w:pPr>
            <w:r>
              <w:rPr>
                <w:sz w:val="21"/>
                <w:szCs w:val="21"/>
              </w:rPr>
              <w:t>竖炉焙烧</w:t>
            </w:r>
          </w:p>
        </w:tc>
        <w:tc>
          <w:tcPr>
            <w:tcW w:w="1650" w:type="dxa"/>
            <w:tcBorders>
              <w:top w:val="single" w:color="000000" w:sz="4" w:space="0"/>
              <w:left w:val="single" w:color="000000" w:sz="4" w:space="0"/>
              <w:bottom w:val="single" w:color="000000" w:sz="4" w:space="0"/>
              <w:right w:val="single" w:color="000000" w:sz="4" w:space="0"/>
            </w:tcBorders>
            <w:noWrap w:val="0"/>
            <w:vAlign w:val="center"/>
          </w:tcPr>
          <w:p w14:paraId="07E9A3BC">
            <w:pPr>
              <w:rPr>
                <w:sz w:val="21"/>
                <w:szCs w:val="21"/>
              </w:rPr>
            </w:pPr>
            <w:r>
              <w:rPr>
                <w:sz w:val="21"/>
                <w:szCs w:val="21"/>
              </w:rPr>
              <w:t>SO</w:t>
            </w:r>
            <w:r>
              <w:rPr>
                <w:sz w:val="21"/>
                <w:szCs w:val="21"/>
                <w:vertAlign w:val="subscript"/>
              </w:rPr>
              <w:t>2</w:t>
            </w:r>
            <w:r>
              <w:rPr>
                <w:sz w:val="21"/>
                <w:szCs w:val="21"/>
              </w:rPr>
              <w:t>、NO</w:t>
            </w:r>
            <w:r>
              <w:rPr>
                <w:rFonts w:hint="eastAsia"/>
                <w:sz w:val="21"/>
                <w:szCs w:val="21"/>
                <w:vertAlign w:val="subscript"/>
                <w:lang w:val="en-US" w:eastAsia="zh-CN"/>
              </w:rPr>
              <w:t>X</w:t>
            </w:r>
            <w:r>
              <w:rPr>
                <w:sz w:val="21"/>
                <w:szCs w:val="21"/>
              </w:rPr>
              <w:t>、颗粒物、氟化物、二噁英</w:t>
            </w:r>
          </w:p>
        </w:tc>
        <w:tc>
          <w:tcPr>
            <w:tcW w:w="1308" w:type="dxa"/>
            <w:tcBorders>
              <w:top w:val="single" w:color="000000" w:sz="4" w:space="0"/>
              <w:left w:val="single" w:color="000000" w:sz="4" w:space="0"/>
              <w:bottom w:val="single" w:color="000000" w:sz="4" w:space="0"/>
              <w:right w:val="single" w:color="000000" w:sz="4" w:space="0"/>
            </w:tcBorders>
            <w:noWrap w:val="0"/>
            <w:vAlign w:val="center"/>
          </w:tcPr>
          <w:p w14:paraId="608005C4">
            <w:pPr>
              <w:rPr>
                <w:sz w:val="21"/>
                <w:szCs w:val="21"/>
              </w:rPr>
            </w:pPr>
            <w:r>
              <w:rPr>
                <w:sz w:val="21"/>
                <w:szCs w:val="21"/>
              </w:rPr>
              <w:t>有组织</w:t>
            </w:r>
          </w:p>
        </w:tc>
        <w:tc>
          <w:tcPr>
            <w:tcW w:w="2369" w:type="dxa"/>
            <w:tcBorders>
              <w:top w:val="single" w:color="000000" w:sz="4" w:space="0"/>
              <w:left w:val="single" w:color="000000" w:sz="4" w:space="0"/>
              <w:bottom w:val="single" w:color="000000" w:sz="4" w:space="0"/>
              <w:right w:val="single" w:color="000000" w:sz="4" w:space="0"/>
            </w:tcBorders>
            <w:noWrap w:val="0"/>
            <w:vAlign w:val="center"/>
          </w:tcPr>
          <w:p w14:paraId="64AC1CFA">
            <w:pPr>
              <w:rPr>
                <w:rFonts w:hint="default" w:eastAsia="宋体"/>
                <w:sz w:val="21"/>
                <w:szCs w:val="21"/>
                <w:lang w:val="en-US" w:eastAsia="zh-CN"/>
              </w:rPr>
            </w:pPr>
            <w:r>
              <w:rPr>
                <w:rFonts w:hint="eastAsia"/>
                <w:sz w:val="21"/>
                <w:szCs w:val="21"/>
                <w:lang w:val="en-US" w:eastAsia="zh-CN"/>
              </w:rPr>
              <w:t>湿电</w:t>
            </w:r>
            <w:r>
              <w:rPr>
                <w:sz w:val="21"/>
                <w:szCs w:val="21"/>
              </w:rPr>
              <w:t>除尘器+</w:t>
            </w:r>
            <w:r>
              <w:rPr>
                <w:rFonts w:hint="eastAsia"/>
                <w:sz w:val="21"/>
                <w:szCs w:val="21"/>
                <w:lang w:val="en-US" w:eastAsia="zh-CN"/>
              </w:rPr>
              <w:t>石灰石-石膏湿式脱硫</w:t>
            </w:r>
            <w:r>
              <w:rPr>
                <w:sz w:val="21"/>
                <w:szCs w:val="21"/>
              </w:rPr>
              <w:t>+SCR脱硝+</w:t>
            </w:r>
            <w:r>
              <w:rPr>
                <w:rFonts w:hint="eastAsia"/>
                <w:sz w:val="21"/>
                <w:szCs w:val="21"/>
                <w:lang w:val="en-US" w:eastAsia="zh-CN"/>
              </w:rPr>
              <w:t>7</w:t>
            </w:r>
            <w:r>
              <w:rPr>
                <w:sz w:val="21"/>
                <w:szCs w:val="21"/>
              </w:rPr>
              <w:t>0m排气筒</w:t>
            </w:r>
            <w:r>
              <w:rPr>
                <w:rFonts w:hint="eastAsia"/>
                <w:sz w:val="21"/>
                <w:szCs w:val="21"/>
                <w:lang w:val="en-US" w:eastAsia="zh-CN"/>
              </w:rPr>
              <w:t>DA011</w:t>
            </w:r>
          </w:p>
        </w:tc>
      </w:tr>
      <w:tr w14:paraId="760CC2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98" w:type="dxa"/>
            <w:vMerge w:val="continue"/>
            <w:tcBorders>
              <w:left w:val="single" w:color="000000" w:sz="4" w:space="0"/>
              <w:bottom w:val="single" w:color="000000" w:sz="4" w:space="0"/>
              <w:right w:val="single" w:color="000000" w:sz="4" w:space="0"/>
            </w:tcBorders>
            <w:noWrap w:val="0"/>
            <w:vAlign w:val="center"/>
          </w:tcPr>
          <w:p w14:paraId="59E4EAB3">
            <w:pPr>
              <w:rPr>
                <w:sz w:val="21"/>
                <w:szCs w:val="21"/>
              </w:rPr>
            </w:pPr>
          </w:p>
        </w:tc>
        <w:tc>
          <w:tcPr>
            <w:tcW w:w="690" w:type="dxa"/>
            <w:tcBorders>
              <w:top w:val="single" w:color="000000" w:sz="4" w:space="0"/>
              <w:left w:val="single" w:color="000000" w:sz="4" w:space="0"/>
              <w:bottom w:val="single" w:color="000000" w:sz="4" w:space="0"/>
              <w:right w:val="single" w:color="000000" w:sz="4" w:space="0"/>
            </w:tcBorders>
            <w:noWrap w:val="0"/>
            <w:vAlign w:val="center"/>
          </w:tcPr>
          <w:p w14:paraId="7B413B25">
            <w:pPr>
              <w:rPr>
                <w:rFonts w:hint="default"/>
                <w:sz w:val="21"/>
                <w:szCs w:val="21"/>
                <w:lang w:val="en-US" w:eastAsia="zh-CN"/>
              </w:rPr>
            </w:pPr>
            <w:r>
              <w:rPr>
                <w:rFonts w:hint="eastAsia"/>
                <w:sz w:val="21"/>
                <w:szCs w:val="21"/>
                <w:lang w:val="en-US" w:eastAsia="zh-CN"/>
              </w:rPr>
              <w:t>G10</w:t>
            </w:r>
          </w:p>
        </w:tc>
        <w:tc>
          <w:tcPr>
            <w:tcW w:w="1572" w:type="dxa"/>
            <w:tcBorders>
              <w:top w:val="single" w:color="000000" w:sz="4" w:space="0"/>
              <w:left w:val="single" w:color="000000" w:sz="4" w:space="0"/>
              <w:bottom w:val="single" w:color="000000" w:sz="4" w:space="0"/>
              <w:right w:val="single" w:color="000000" w:sz="4" w:space="0"/>
            </w:tcBorders>
            <w:noWrap w:val="0"/>
            <w:vAlign w:val="center"/>
          </w:tcPr>
          <w:p w14:paraId="59BAAC9B">
            <w:pPr>
              <w:rPr>
                <w:rFonts w:hint="default" w:eastAsia="宋体"/>
                <w:sz w:val="21"/>
                <w:szCs w:val="21"/>
                <w:lang w:val="en-US" w:eastAsia="zh-CN"/>
              </w:rPr>
            </w:pPr>
            <w:r>
              <w:rPr>
                <w:rFonts w:hint="eastAsia"/>
                <w:sz w:val="21"/>
                <w:szCs w:val="21"/>
                <w:lang w:val="en-US" w:eastAsia="zh-CN"/>
              </w:rPr>
              <w:t>筛分</w:t>
            </w:r>
          </w:p>
        </w:tc>
        <w:tc>
          <w:tcPr>
            <w:tcW w:w="1650" w:type="dxa"/>
            <w:tcBorders>
              <w:top w:val="single" w:color="000000" w:sz="4" w:space="0"/>
              <w:left w:val="single" w:color="000000" w:sz="4" w:space="0"/>
              <w:bottom w:val="single" w:color="000000" w:sz="4" w:space="0"/>
              <w:right w:val="single" w:color="000000" w:sz="4" w:space="0"/>
            </w:tcBorders>
            <w:noWrap w:val="0"/>
            <w:vAlign w:val="center"/>
          </w:tcPr>
          <w:p w14:paraId="317C7B17">
            <w:pPr>
              <w:rPr>
                <w:sz w:val="21"/>
                <w:szCs w:val="21"/>
              </w:rPr>
            </w:pPr>
            <w:r>
              <w:rPr>
                <w:sz w:val="21"/>
                <w:szCs w:val="21"/>
              </w:rPr>
              <w:t>粉尘</w:t>
            </w:r>
          </w:p>
        </w:tc>
        <w:tc>
          <w:tcPr>
            <w:tcW w:w="1308" w:type="dxa"/>
            <w:tcBorders>
              <w:top w:val="single" w:color="000000" w:sz="4" w:space="0"/>
              <w:left w:val="single" w:color="000000" w:sz="4" w:space="0"/>
              <w:bottom w:val="single" w:color="000000" w:sz="4" w:space="0"/>
              <w:right w:val="single" w:color="000000" w:sz="4" w:space="0"/>
            </w:tcBorders>
            <w:noWrap w:val="0"/>
            <w:vAlign w:val="center"/>
          </w:tcPr>
          <w:p w14:paraId="4D539E62">
            <w:pPr>
              <w:rPr>
                <w:sz w:val="21"/>
                <w:szCs w:val="21"/>
              </w:rPr>
            </w:pPr>
            <w:r>
              <w:rPr>
                <w:sz w:val="21"/>
                <w:szCs w:val="21"/>
              </w:rPr>
              <w:t>有组织</w:t>
            </w:r>
          </w:p>
        </w:tc>
        <w:tc>
          <w:tcPr>
            <w:tcW w:w="2369" w:type="dxa"/>
            <w:tcBorders>
              <w:top w:val="single" w:color="000000" w:sz="4" w:space="0"/>
              <w:left w:val="single" w:color="000000" w:sz="4" w:space="0"/>
              <w:bottom w:val="single" w:color="000000" w:sz="4" w:space="0"/>
              <w:right w:val="single" w:color="000000" w:sz="4" w:space="0"/>
            </w:tcBorders>
            <w:noWrap w:val="0"/>
            <w:vAlign w:val="center"/>
          </w:tcPr>
          <w:p w14:paraId="586B58B4">
            <w:pPr>
              <w:rPr>
                <w:rFonts w:hint="default"/>
                <w:sz w:val="21"/>
                <w:szCs w:val="21"/>
                <w:lang w:val="en-US"/>
              </w:rPr>
            </w:pPr>
            <w:r>
              <w:rPr>
                <w:sz w:val="21"/>
                <w:szCs w:val="21"/>
              </w:rPr>
              <w:t>袋式除尘器+30m排气筒</w:t>
            </w:r>
            <w:r>
              <w:rPr>
                <w:rFonts w:hint="eastAsia"/>
                <w:sz w:val="21"/>
                <w:szCs w:val="21"/>
                <w:lang w:val="en-US" w:eastAsia="zh-CN"/>
              </w:rPr>
              <w:t>DA014（与原料准备共用一套）</w:t>
            </w:r>
          </w:p>
        </w:tc>
      </w:tr>
      <w:tr w14:paraId="2EFBAE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98" w:type="dxa"/>
            <w:vMerge w:val="restart"/>
            <w:tcBorders>
              <w:top w:val="single" w:color="000000" w:sz="4" w:space="0"/>
              <w:left w:val="single" w:color="000000" w:sz="4" w:space="0"/>
              <w:bottom w:val="single" w:color="000000" w:sz="4" w:space="0"/>
              <w:right w:val="single" w:color="000000" w:sz="4" w:space="0"/>
            </w:tcBorders>
            <w:noWrap w:val="0"/>
            <w:vAlign w:val="center"/>
          </w:tcPr>
          <w:p w14:paraId="4978D716">
            <w:pPr>
              <w:rPr>
                <w:sz w:val="21"/>
                <w:szCs w:val="21"/>
              </w:rPr>
            </w:pPr>
            <w:r>
              <w:rPr>
                <w:sz w:val="21"/>
                <w:szCs w:val="21"/>
              </w:rPr>
              <w:t>废水</w:t>
            </w:r>
          </w:p>
        </w:tc>
        <w:tc>
          <w:tcPr>
            <w:tcW w:w="690" w:type="dxa"/>
            <w:tcBorders>
              <w:top w:val="single" w:color="000000" w:sz="4" w:space="0"/>
              <w:left w:val="single" w:color="000000" w:sz="4" w:space="0"/>
              <w:bottom w:val="single" w:color="000000" w:sz="4" w:space="0"/>
              <w:right w:val="single" w:color="000000" w:sz="4" w:space="0"/>
            </w:tcBorders>
            <w:noWrap w:val="0"/>
            <w:vAlign w:val="center"/>
          </w:tcPr>
          <w:p w14:paraId="1E92F5A9">
            <w:pPr>
              <w:rPr>
                <w:sz w:val="21"/>
                <w:szCs w:val="21"/>
              </w:rPr>
            </w:pPr>
            <w:r>
              <w:rPr>
                <w:sz w:val="21"/>
                <w:szCs w:val="21"/>
              </w:rPr>
              <w:t>/</w:t>
            </w:r>
          </w:p>
        </w:tc>
        <w:tc>
          <w:tcPr>
            <w:tcW w:w="1572" w:type="dxa"/>
            <w:tcBorders>
              <w:top w:val="single" w:color="000000" w:sz="4" w:space="0"/>
              <w:left w:val="single" w:color="000000" w:sz="4" w:space="0"/>
              <w:bottom w:val="single" w:color="000000" w:sz="4" w:space="0"/>
              <w:right w:val="single" w:color="000000" w:sz="4" w:space="0"/>
            </w:tcBorders>
            <w:noWrap w:val="0"/>
            <w:vAlign w:val="center"/>
          </w:tcPr>
          <w:p w14:paraId="7B342999">
            <w:pPr>
              <w:rPr>
                <w:sz w:val="21"/>
                <w:szCs w:val="21"/>
              </w:rPr>
            </w:pPr>
            <w:r>
              <w:rPr>
                <w:sz w:val="21"/>
                <w:szCs w:val="21"/>
              </w:rPr>
              <w:t>脱硫设施循环水</w:t>
            </w:r>
          </w:p>
        </w:tc>
        <w:tc>
          <w:tcPr>
            <w:tcW w:w="1650" w:type="dxa"/>
            <w:tcBorders>
              <w:top w:val="single" w:color="000000" w:sz="4" w:space="0"/>
              <w:left w:val="single" w:color="000000" w:sz="4" w:space="0"/>
              <w:bottom w:val="single" w:color="000000" w:sz="4" w:space="0"/>
              <w:right w:val="single" w:color="000000" w:sz="4" w:space="0"/>
            </w:tcBorders>
            <w:noWrap w:val="0"/>
            <w:vAlign w:val="center"/>
          </w:tcPr>
          <w:p w14:paraId="1F116212">
            <w:pPr>
              <w:rPr>
                <w:sz w:val="21"/>
                <w:szCs w:val="21"/>
              </w:rPr>
            </w:pPr>
            <w:r>
              <w:rPr>
                <w:sz w:val="21"/>
                <w:szCs w:val="21"/>
              </w:rPr>
              <w:t>COD、SS等</w:t>
            </w:r>
          </w:p>
        </w:tc>
        <w:tc>
          <w:tcPr>
            <w:tcW w:w="1308" w:type="dxa"/>
            <w:tcBorders>
              <w:top w:val="single" w:color="000000" w:sz="4" w:space="0"/>
              <w:left w:val="single" w:color="000000" w:sz="4" w:space="0"/>
              <w:bottom w:val="single" w:color="000000" w:sz="4" w:space="0"/>
              <w:right w:val="single" w:color="000000" w:sz="4" w:space="0"/>
            </w:tcBorders>
            <w:noWrap w:val="0"/>
            <w:vAlign w:val="center"/>
          </w:tcPr>
          <w:p w14:paraId="548B48B5">
            <w:pPr>
              <w:rPr>
                <w:sz w:val="21"/>
                <w:szCs w:val="21"/>
              </w:rPr>
            </w:pPr>
            <w:r>
              <w:rPr>
                <w:sz w:val="21"/>
                <w:szCs w:val="21"/>
              </w:rPr>
              <w:t>/</w:t>
            </w:r>
          </w:p>
        </w:tc>
        <w:tc>
          <w:tcPr>
            <w:tcW w:w="2369" w:type="dxa"/>
            <w:tcBorders>
              <w:top w:val="single" w:color="000000" w:sz="4" w:space="0"/>
              <w:left w:val="single" w:color="000000" w:sz="4" w:space="0"/>
              <w:bottom w:val="single" w:color="000000" w:sz="4" w:space="0"/>
              <w:right w:val="single" w:color="000000" w:sz="4" w:space="0"/>
            </w:tcBorders>
            <w:noWrap w:val="0"/>
            <w:vAlign w:val="center"/>
          </w:tcPr>
          <w:p w14:paraId="402E56C7">
            <w:pPr>
              <w:rPr>
                <w:rFonts w:hint="default" w:eastAsia="宋体"/>
                <w:sz w:val="21"/>
                <w:szCs w:val="21"/>
                <w:lang w:val="en-US" w:eastAsia="zh-CN"/>
              </w:rPr>
            </w:pPr>
            <w:r>
              <w:rPr>
                <w:sz w:val="21"/>
                <w:szCs w:val="21"/>
              </w:rPr>
              <w:t>沉淀</w:t>
            </w:r>
            <w:r>
              <w:rPr>
                <w:rFonts w:hint="eastAsia"/>
                <w:sz w:val="21"/>
                <w:szCs w:val="21"/>
                <w:lang w:val="en-US" w:eastAsia="zh-CN"/>
              </w:rPr>
              <w:t>后循环使用</w:t>
            </w:r>
          </w:p>
        </w:tc>
      </w:tr>
      <w:tr w14:paraId="582A9E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98" w:type="dxa"/>
            <w:vMerge w:val="continue"/>
            <w:tcBorders>
              <w:top w:val="single" w:color="000000" w:sz="4" w:space="0"/>
              <w:left w:val="single" w:color="000000" w:sz="4" w:space="0"/>
              <w:bottom w:val="single" w:color="000000" w:sz="4" w:space="0"/>
              <w:right w:val="single" w:color="000000" w:sz="4" w:space="0"/>
            </w:tcBorders>
            <w:noWrap w:val="0"/>
            <w:vAlign w:val="center"/>
          </w:tcPr>
          <w:p w14:paraId="337AE6D8">
            <w:pPr>
              <w:rPr>
                <w:sz w:val="21"/>
                <w:szCs w:val="21"/>
              </w:rPr>
            </w:pPr>
          </w:p>
        </w:tc>
        <w:tc>
          <w:tcPr>
            <w:tcW w:w="690" w:type="dxa"/>
            <w:tcBorders>
              <w:top w:val="single" w:color="000000" w:sz="4" w:space="0"/>
              <w:left w:val="single" w:color="000000" w:sz="4" w:space="0"/>
              <w:bottom w:val="single" w:color="000000" w:sz="4" w:space="0"/>
              <w:right w:val="single" w:color="000000" w:sz="4" w:space="0"/>
            </w:tcBorders>
            <w:noWrap w:val="0"/>
            <w:vAlign w:val="center"/>
          </w:tcPr>
          <w:p w14:paraId="41824EAB">
            <w:pPr>
              <w:rPr>
                <w:sz w:val="21"/>
                <w:szCs w:val="21"/>
              </w:rPr>
            </w:pPr>
            <w:r>
              <w:rPr>
                <w:sz w:val="21"/>
                <w:szCs w:val="21"/>
              </w:rPr>
              <w:t>/</w:t>
            </w:r>
          </w:p>
        </w:tc>
        <w:tc>
          <w:tcPr>
            <w:tcW w:w="1572" w:type="dxa"/>
            <w:tcBorders>
              <w:top w:val="single" w:color="000000" w:sz="4" w:space="0"/>
              <w:left w:val="single" w:color="000000" w:sz="4" w:space="0"/>
              <w:bottom w:val="single" w:color="000000" w:sz="4" w:space="0"/>
              <w:right w:val="single" w:color="000000" w:sz="4" w:space="0"/>
            </w:tcBorders>
            <w:noWrap w:val="0"/>
            <w:vAlign w:val="center"/>
          </w:tcPr>
          <w:p w14:paraId="421CA29C">
            <w:pPr>
              <w:rPr>
                <w:sz w:val="21"/>
                <w:szCs w:val="21"/>
              </w:rPr>
            </w:pPr>
            <w:r>
              <w:rPr>
                <w:sz w:val="21"/>
                <w:szCs w:val="21"/>
              </w:rPr>
              <w:t>初期雨水</w:t>
            </w:r>
          </w:p>
        </w:tc>
        <w:tc>
          <w:tcPr>
            <w:tcW w:w="1650" w:type="dxa"/>
            <w:tcBorders>
              <w:top w:val="single" w:color="000000" w:sz="4" w:space="0"/>
              <w:left w:val="single" w:color="000000" w:sz="4" w:space="0"/>
              <w:bottom w:val="single" w:color="000000" w:sz="4" w:space="0"/>
              <w:right w:val="single" w:color="000000" w:sz="4" w:space="0"/>
            </w:tcBorders>
            <w:noWrap w:val="0"/>
            <w:vAlign w:val="center"/>
          </w:tcPr>
          <w:p w14:paraId="6A2D8B82">
            <w:pPr>
              <w:rPr>
                <w:sz w:val="21"/>
                <w:szCs w:val="21"/>
              </w:rPr>
            </w:pPr>
            <w:r>
              <w:rPr>
                <w:sz w:val="21"/>
                <w:szCs w:val="21"/>
              </w:rPr>
              <w:t>COD、SS等</w:t>
            </w:r>
          </w:p>
        </w:tc>
        <w:tc>
          <w:tcPr>
            <w:tcW w:w="1308" w:type="dxa"/>
            <w:tcBorders>
              <w:top w:val="single" w:color="000000" w:sz="4" w:space="0"/>
              <w:left w:val="single" w:color="000000" w:sz="4" w:space="0"/>
              <w:bottom w:val="single" w:color="000000" w:sz="4" w:space="0"/>
              <w:right w:val="single" w:color="000000" w:sz="4" w:space="0"/>
            </w:tcBorders>
            <w:noWrap w:val="0"/>
            <w:vAlign w:val="center"/>
          </w:tcPr>
          <w:p w14:paraId="4C5211A2">
            <w:pPr>
              <w:rPr>
                <w:sz w:val="21"/>
                <w:szCs w:val="21"/>
              </w:rPr>
            </w:pPr>
            <w:r>
              <w:rPr>
                <w:sz w:val="21"/>
                <w:szCs w:val="21"/>
              </w:rPr>
              <w:t>/</w:t>
            </w:r>
          </w:p>
        </w:tc>
        <w:tc>
          <w:tcPr>
            <w:tcW w:w="2369" w:type="dxa"/>
            <w:tcBorders>
              <w:top w:val="single" w:color="000000" w:sz="4" w:space="0"/>
              <w:left w:val="single" w:color="000000" w:sz="4" w:space="0"/>
              <w:bottom w:val="single" w:color="000000" w:sz="4" w:space="0"/>
              <w:right w:val="single" w:color="000000" w:sz="4" w:space="0"/>
            </w:tcBorders>
            <w:noWrap w:val="0"/>
            <w:vAlign w:val="center"/>
          </w:tcPr>
          <w:p w14:paraId="24C7D691">
            <w:pPr>
              <w:rPr>
                <w:rFonts w:hint="default" w:eastAsia="宋体"/>
                <w:sz w:val="21"/>
                <w:szCs w:val="21"/>
                <w:lang w:val="en-US" w:eastAsia="zh-CN"/>
              </w:rPr>
            </w:pPr>
            <w:r>
              <w:rPr>
                <w:rFonts w:hint="eastAsia"/>
                <w:sz w:val="21"/>
                <w:szCs w:val="21"/>
                <w:lang w:val="en-US" w:eastAsia="zh-CN"/>
              </w:rPr>
              <w:t>经雨水收集池收集后，排入厂区外地表水细河</w:t>
            </w:r>
          </w:p>
        </w:tc>
      </w:tr>
      <w:tr w14:paraId="6F6D41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98" w:type="dxa"/>
            <w:vMerge w:val="continue"/>
            <w:tcBorders>
              <w:top w:val="single" w:color="000000" w:sz="4" w:space="0"/>
              <w:left w:val="single" w:color="000000" w:sz="4" w:space="0"/>
              <w:bottom w:val="single" w:color="000000" w:sz="4" w:space="0"/>
              <w:right w:val="single" w:color="000000" w:sz="4" w:space="0"/>
            </w:tcBorders>
            <w:noWrap w:val="0"/>
            <w:vAlign w:val="center"/>
          </w:tcPr>
          <w:p w14:paraId="4CE40F05">
            <w:pPr>
              <w:rPr>
                <w:sz w:val="21"/>
                <w:szCs w:val="21"/>
              </w:rPr>
            </w:pPr>
          </w:p>
        </w:tc>
        <w:tc>
          <w:tcPr>
            <w:tcW w:w="690" w:type="dxa"/>
            <w:tcBorders>
              <w:top w:val="single" w:color="000000" w:sz="4" w:space="0"/>
              <w:left w:val="single" w:color="000000" w:sz="4" w:space="0"/>
              <w:bottom w:val="single" w:color="000000" w:sz="4" w:space="0"/>
              <w:right w:val="single" w:color="000000" w:sz="4" w:space="0"/>
            </w:tcBorders>
            <w:noWrap w:val="0"/>
            <w:vAlign w:val="center"/>
          </w:tcPr>
          <w:p w14:paraId="002811FD">
            <w:pPr>
              <w:rPr>
                <w:sz w:val="21"/>
                <w:szCs w:val="21"/>
              </w:rPr>
            </w:pPr>
            <w:r>
              <w:rPr>
                <w:sz w:val="21"/>
                <w:szCs w:val="21"/>
              </w:rPr>
              <w:t>/</w:t>
            </w:r>
          </w:p>
        </w:tc>
        <w:tc>
          <w:tcPr>
            <w:tcW w:w="1572" w:type="dxa"/>
            <w:tcBorders>
              <w:top w:val="single" w:color="000000" w:sz="4" w:space="0"/>
              <w:left w:val="single" w:color="000000" w:sz="4" w:space="0"/>
              <w:bottom w:val="single" w:color="000000" w:sz="4" w:space="0"/>
              <w:right w:val="single" w:color="000000" w:sz="4" w:space="0"/>
            </w:tcBorders>
            <w:noWrap w:val="0"/>
            <w:vAlign w:val="center"/>
          </w:tcPr>
          <w:p w14:paraId="61B7D782">
            <w:pPr>
              <w:rPr>
                <w:sz w:val="21"/>
                <w:szCs w:val="21"/>
              </w:rPr>
            </w:pPr>
            <w:r>
              <w:rPr>
                <w:sz w:val="21"/>
                <w:szCs w:val="21"/>
              </w:rPr>
              <w:t>生活污水</w:t>
            </w:r>
          </w:p>
        </w:tc>
        <w:tc>
          <w:tcPr>
            <w:tcW w:w="1650" w:type="dxa"/>
            <w:tcBorders>
              <w:top w:val="single" w:color="000000" w:sz="4" w:space="0"/>
              <w:left w:val="single" w:color="000000" w:sz="4" w:space="0"/>
              <w:bottom w:val="single" w:color="000000" w:sz="4" w:space="0"/>
              <w:right w:val="single" w:color="000000" w:sz="4" w:space="0"/>
            </w:tcBorders>
            <w:noWrap w:val="0"/>
            <w:vAlign w:val="center"/>
          </w:tcPr>
          <w:p w14:paraId="710ED809">
            <w:pPr>
              <w:rPr>
                <w:sz w:val="21"/>
                <w:szCs w:val="21"/>
              </w:rPr>
            </w:pPr>
            <w:r>
              <w:rPr>
                <w:sz w:val="21"/>
                <w:szCs w:val="21"/>
              </w:rPr>
              <w:t>COD、SS、BOD5、氨氮、总氮、总磷等</w:t>
            </w:r>
          </w:p>
        </w:tc>
        <w:tc>
          <w:tcPr>
            <w:tcW w:w="1308" w:type="dxa"/>
            <w:tcBorders>
              <w:top w:val="single" w:color="000000" w:sz="4" w:space="0"/>
              <w:left w:val="single" w:color="000000" w:sz="4" w:space="0"/>
              <w:bottom w:val="single" w:color="000000" w:sz="4" w:space="0"/>
              <w:right w:val="single" w:color="000000" w:sz="4" w:space="0"/>
            </w:tcBorders>
            <w:noWrap w:val="0"/>
            <w:vAlign w:val="center"/>
          </w:tcPr>
          <w:p w14:paraId="20465E15">
            <w:pPr>
              <w:rPr>
                <w:sz w:val="21"/>
                <w:szCs w:val="21"/>
              </w:rPr>
            </w:pPr>
            <w:r>
              <w:rPr>
                <w:sz w:val="21"/>
                <w:szCs w:val="21"/>
              </w:rPr>
              <w:t>/</w:t>
            </w:r>
          </w:p>
        </w:tc>
        <w:tc>
          <w:tcPr>
            <w:tcW w:w="2369" w:type="dxa"/>
            <w:tcBorders>
              <w:top w:val="single" w:color="000000" w:sz="4" w:space="0"/>
              <w:left w:val="single" w:color="000000" w:sz="4" w:space="0"/>
              <w:bottom w:val="single" w:color="000000" w:sz="4" w:space="0"/>
              <w:right w:val="single" w:color="000000" w:sz="4" w:space="0"/>
            </w:tcBorders>
            <w:noWrap w:val="0"/>
            <w:vAlign w:val="center"/>
          </w:tcPr>
          <w:p w14:paraId="6266CFF1">
            <w:pPr>
              <w:rPr>
                <w:sz w:val="21"/>
                <w:szCs w:val="21"/>
              </w:rPr>
            </w:pPr>
            <w:r>
              <w:rPr>
                <w:rFonts w:hint="eastAsia"/>
                <w:sz w:val="21"/>
                <w:szCs w:val="21"/>
                <w:lang w:val="en-US" w:eastAsia="zh-CN"/>
              </w:rPr>
              <w:t>排至化粪池定期清掏</w:t>
            </w:r>
            <w:r>
              <w:rPr>
                <w:sz w:val="21"/>
                <w:szCs w:val="21"/>
              </w:rPr>
              <w:t>、不外排。</w:t>
            </w:r>
          </w:p>
        </w:tc>
      </w:tr>
      <w:tr w14:paraId="405CE5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98" w:type="dxa"/>
            <w:vMerge w:val="continue"/>
            <w:tcBorders>
              <w:top w:val="single" w:color="000000" w:sz="4" w:space="0"/>
              <w:left w:val="single" w:color="000000" w:sz="4" w:space="0"/>
              <w:bottom w:val="single" w:color="000000" w:sz="4" w:space="0"/>
              <w:right w:val="single" w:color="000000" w:sz="4" w:space="0"/>
            </w:tcBorders>
            <w:noWrap w:val="0"/>
            <w:vAlign w:val="center"/>
          </w:tcPr>
          <w:p w14:paraId="07982EC7">
            <w:pPr>
              <w:rPr>
                <w:sz w:val="21"/>
                <w:szCs w:val="21"/>
              </w:rPr>
            </w:pPr>
          </w:p>
        </w:tc>
        <w:tc>
          <w:tcPr>
            <w:tcW w:w="690" w:type="dxa"/>
            <w:tcBorders>
              <w:top w:val="single" w:color="000000" w:sz="4" w:space="0"/>
              <w:left w:val="single" w:color="000000" w:sz="4" w:space="0"/>
              <w:bottom w:val="single" w:color="000000" w:sz="4" w:space="0"/>
              <w:right w:val="single" w:color="000000" w:sz="4" w:space="0"/>
            </w:tcBorders>
            <w:noWrap w:val="0"/>
            <w:vAlign w:val="center"/>
          </w:tcPr>
          <w:p w14:paraId="3A1FA040">
            <w:pPr>
              <w:rPr>
                <w:sz w:val="21"/>
                <w:szCs w:val="21"/>
              </w:rPr>
            </w:pPr>
            <w:r>
              <w:rPr>
                <w:sz w:val="21"/>
                <w:szCs w:val="21"/>
              </w:rPr>
              <w:t>/</w:t>
            </w:r>
          </w:p>
        </w:tc>
        <w:tc>
          <w:tcPr>
            <w:tcW w:w="1572" w:type="dxa"/>
            <w:tcBorders>
              <w:top w:val="single" w:color="000000" w:sz="4" w:space="0"/>
              <w:left w:val="single" w:color="000000" w:sz="4" w:space="0"/>
              <w:bottom w:val="single" w:color="000000" w:sz="4" w:space="0"/>
              <w:right w:val="single" w:color="000000" w:sz="4" w:space="0"/>
            </w:tcBorders>
            <w:noWrap w:val="0"/>
            <w:vAlign w:val="center"/>
          </w:tcPr>
          <w:p w14:paraId="70A0B4EC">
            <w:pPr>
              <w:rPr>
                <w:sz w:val="21"/>
                <w:szCs w:val="21"/>
              </w:rPr>
            </w:pPr>
            <w:r>
              <w:rPr>
                <w:sz w:val="21"/>
                <w:szCs w:val="21"/>
              </w:rPr>
              <w:t>冷却循环水系统排水</w:t>
            </w:r>
          </w:p>
        </w:tc>
        <w:tc>
          <w:tcPr>
            <w:tcW w:w="1650" w:type="dxa"/>
            <w:tcBorders>
              <w:top w:val="single" w:color="000000" w:sz="4" w:space="0"/>
              <w:left w:val="single" w:color="000000" w:sz="4" w:space="0"/>
              <w:bottom w:val="single" w:color="000000" w:sz="4" w:space="0"/>
              <w:right w:val="single" w:color="000000" w:sz="4" w:space="0"/>
            </w:tcBorders>
            <w:noWrap w:val="0"/>
            <w:vAlign w:val="center"/>
          </w:tcPr>
          <w:p w14:paraId="0CC44B92">
            <w:pPr>
              <w:rPr>
                <w:sz w:val="21"/>
                <w:szCs w:val="21"/>
              </w:rPr>
            </w:pPr>
            <w:r>
              <w:rPr>
                <w:sz w:val="21"/>
                <w:szCs w:val="21"/>
              </w:rPr>
              <w:t>COD、SS等</w:t>
            </w:r>
          </w:p>
        </w:tc>
        <w:tc>
          <w:tcPr>
            <w:tcW w:w="1308" w:type="dxa"/>
            <w:tcBorders>
              <w:top w:val="single" w:color="000000" w:sz="4" w:space="0"/>
              <w:left w:val="single" w:color="000000" w:sz="4" w:space="0"/>
              <w:bottom w:val="single" w:color="000000" w:sz="4" w:space="0"/>
              <w:right w:val="single" w:color="000000" w:sz="4" w:space="0"/>
            </w:tcBorders>
            <w:noWrap w:val="0"/>
            <w:vAlign w:val="center"/>
          </w:tcPr>
          <w:p w14:paraId="6C3BDFDF">
            <w:pPr>
              <w:rPr>
                <w:sz w:val="21"/>
                <w:szCs w:val="21"/>
              </w:rPr>
            </w:pPr>
            <w:r>
              <w:rPr>
                <w:sz w:val="21"/>
                <w:szCs w:val="21"/>
              </w:rPr>
              <w:t>/</w:t>
            </w:r>
          </w:p>
        </w:tc>
        <w:tc>
          <w:tcPr>
            <w:tcW w:w="2369" w:type="dxa"/>
            <w:tcBorders>
              <w:top w:val="single" w:color="000000" w:sz="4" w:space="0"/>
              <w:left w:val="single" w:color="000000" w:sz="4" w:space="0"/>
              <w:bottom w:val="single" w:color="000000" w:sz="4" w:space="0"/>
              <w:right w:val="single" w:color="000000" w:sz="4" w:space="0"/>
            </w:tcBorders>
            <w:noWrap w:val="0"/>
            <w:vAlign w:val="center"/>
          </w:tcPr>
          <w:p w14:paraId="38BED6B4">
            <w:pPr>
              <w:rPr>
                <w:sz w:val="21"/>
                <w:szCs w:val="21"/>
              </w:rPr>
            </w:pPr>
            <w:r>
              <w:rPr>
                <w:rFonts w:hint="eastAsia"/>
                <w:sz w:val="21"/>
                <w:szCs w:val="21"/>
                <w:lang w:val="en-US" w:eastAsia="zh-CN"/>
              </w:rPr>
              <w:t>循环使用</w:t>
            </w:r>
            <w:r>
              <w:rPr>
                <w:sz w:val="21"/>
                <w:szCs w:val="21"/>
              </w:rPr>
              <w:t>，不外排。</w:t>
            </w:r>
          </w:p>
        </w:tc>
      </w:tr>
      <w:tr w14:paraId="40AA06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98" w:type="dxa"/>
            <w:vMerge w:val="restart"/>
            <w:tcBorders>
              <w:top w:val="single" w:color="000000" w:sz="4" w:space="0"/>
              <w:left w:val="single" w:color="000000" w:sz="4" w:space="0"/>
              <w:bottom w:val="single" w:color="000000" w:sz="4" w:space="0"/>
              <w:right w:val="single" w:color="000000" w:sz="4" w:space="0"/>
            </w:tcBorders>
            <w:noWrap w:val="0"/>
            <w:vAlign w:val="center"/>
          </w:tcPr>
          <w:p w14:paraId="4753E289">
            <w:pPr>
              <w:rPr>
                <w:sz w:val="21"/>
                <w:szCs w:val="21"/>
              </w:rPr>
            </w:pPr>
            <w:r>
              <w:rPr>
                <w:sz w:val="21"/>
                <w:szCs w:val="21"/>
              </w:rPr>
              <w:t>固体废物(S)</w:t>
            </w:r>
          </w:p>
        </w:tc>
        <w:tc>
          <w:tcPr>
            <w:tcW w:w="690" w:type="dxa"/>
            <w:tcBorders>
              <w:top w:val="single" w:color="000000" w:sz="4" w:space="0"/>
              <w:left w:val="single" w:color="000000" w:sz="4" w:space="0"/>
              <w:bottom w:val="single" w:color="000000" w:sz="4" w:space="0"/>
              <w:right w:val="single" w:color="000000" w:sz="4" w:space="0"/>
            </w:tcBorders>
            <w:noWrap w:val="0"/>
            <w:vAlign w:val="center"/>
          </w:tcPr>
          <w:p w14:paraId="457BDF78">
            <w:pPr>
              <w:rPr>
                <w:sz w:val="21"/>
                <w:szCs w:val="21"/>
              </w:rPr>
            </w:pPr>
            <w:r>
              <w:rPr>
                <w:sz w:val="21"/>
                <w:szCs w:val="21"/>
              </w:rPr>
              <w:t>/</w:t>
            </w:r>
          </w:p>
        </w:tc>
        <w:tc>
          <w:tcPr>
            <w:tcW w:w="1572" w:type="dxa"/>
            <w:tcBorders>
              <w:top w:val="single" w:color="000000" w:sz="4" w:space="0"/>
              <w:left w:val="single" w:color="000000" w:sz="4" w:space="0"/>
              <w:bottom w:val="single" w:color="000000" w:sz="4" w:space="0"/>
              <w:right w:val="single" w:color="000000" w:sz="4" w:space="0"/>
            </w:tcBorders>
            <w:noWrap w:val="0"/>
            <w:vAlign w:val="center"/>
          </w:tcPr>
          <w:p w14:paraId="6BF45C1D">
            <w:pPr>
              <w:rPr>
                <w:sz w:val="21"/>
                <w:szCs w:val="21"/>
              </w:rPr>
            </w:pPr>
            <w:r>
              <w:rPr>
                <w:sz w:val="21"/>
                <w:szCs w:val="21"/>
              </w:rPr>
              <w:t>除尘系统</w:t>
            </w:r>
          </w:p>
        </w:tc>
        <w:tc>
          <w:tcPr>
            <w:tcW w:w="1650" w:type="dxa"/>
            <w:tcBorders>
              <w:top w:val="single" w:color="000000" w:sz="4" w:space="0"/>
              <w:left w:val="single" w:color="000000" w:sz="4" w:space="0"/>
              <w:bottom w:val="single" w:color="000000" w:sz="4" w:space="0"/>
              <w:right w:val="single" w:color="000000" w:sz="4" w:space="0"/>
            </w:tcBorders>
            <w:noWrap w:val="0"/>
            <w:vAlign w:val="center"/>
          </w:tcPr>
          <w:p w14:paraId="5E28CE56">
            <w:pPr>
              <w:rPr>
                <w:sz w:val="21"/>
                <w:szCs w:val="21"/>
              </w:rPr>
            </w:pPr>
            <w:r>
              <w:rPr>
                <w:sz w:val="21"/>
                <w:szCs w:val="21"/>
              </w:rPr>
              <w:t>除尘灰</w:t>
            </w:r>
          </w:p>
        </w:tc>
        <w:tc>
          <w:tcPr>
            <w:tcW w:w="1308" w:type="dxa"/>
            <w:tcBorders>
              <w:top w:val="single" w:color="000000" w:sz="4" w:space="0"/>
              <w:left w:val="single" w:color="000000" w:sz="4" w:space="0"/>
              <w:bottom w:val="single" w:color="000000" w:sz="4" w:space="0"/>
              <w:right w:val="single" w:color="000000" w:sz="4" w:space="0"/>
            </w:tcBorders>
            <w:noWrap w:val="0"/>
            <w:vAlign w:val="center"/>
          </w:tcPr>
          <w:p w14:paraId="7C1E0BB5">
            <w:pPr>
              <w:rPr>
                <w:sz w:val="21"/>
                <w:szCs w:val="21"/>
              </w:rPr>
            </w:pPr>
            <w:r>
              <w:rPr>
                <w:sz w:val="21"/>
                <w:szCs w:val="21"/>
              </w:rPr>
              <w:t>间断</w:t>
            </w:r>
          </w:p>
        </w:tc>
        <w:tc>
          <w:tcPr>
            <w:tcW w:w="2369" w:type="dxa"/>
            <w:vMerge w:val="restart"/>
            <w:tcBorders>
              <w:top w:val="single" w:color="000000" w:sz="4" w:space="0"/>
              <w:left w:val="single" w:color="000000" w:sz="4" w:space="0"/>
              <w:bottom w:val="single" w:color="000000" w:sz="4" w:space="0"/>
              <w:right w:val="single" w:color="000000" w:sz="4" w:space="0"/>
            </w:tcBorders>
            <w:noWrap w:val="0"/>
            <w:vAlign w:val="center"/>
          </w:tcPr>
          <w:p w14:paraId="70799B19">
            <w:pPr>
              <w:rPr>
                <w:sz w:val="21"/>
                <w:szCs w:val="21"/>
              </w:rPr>
            </w:pPr>
            <w:r>
              <w:rPr>
                <w:sz w:val="21"/>
                <w:szCs w:val="21"/>
              </w:rPr>
              <w:t>一般工业固废，回收利用</w:t>
            </w:r>
          </w:p>
        </w:tc>
      </w:tr>
      <w:tr w14:paraId="4537AA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98" w:type="dxa"/>
            <w:vMerge w:val="continue"/>
            <w:tcBorders>
              <w:top w:val="single" w:color="000000" w:sz="4" w:space="0"/>
              <w:left w:val="single" w:color="000000" w:sz="4" w:space="0"/>
              <w:bottom w:val="single" w:color="000000" w:sz="4" w:space="0"/>
              <w:right w:val="single" w:color="000000" w:sz="4" w:space="0"/>
            </w:tcBorders>
            <w:noWrap w:val="0"/>
            <w:vAlign w:val="center"/>
          </w:tcPr>
          <w:p w14:paraId="5AA0A052">
            <w:pPr>
              <w:rPr>
                <w:sz w:val="21"/>
                <w:szCs w:val="21"/>
              </w:rPr>
            </w:pPr>
          </w:p>
        </w:tc>
        <w:tc>
          <w:tcPr>
            <w:tcW w:w="690" w:type="dxa"/>
            <w:tcBorders>
              <w:top w:val="single" w:color="000000" w:sz="4" w:space="0"/>
              <w:left w:val="single" w:color="000000" w:sz="4" w:space="0"/>
              <w:bottom w:val="single" w:color="000000" w:sz="4" w:space="0"/>
              <w:right w:val="single" w:color="000000" w:sz="4" w:space="0"/>
            </w:tcBorders>
            <w:noWrap w:val="0"/>
            <w:vAlign w:val="center"/>
          </w:tcPr>
          <w:p w14:paraId="52420680">
            <w:pPr>
              <w:rPr>
                <w:sz w:val="21"/>
                <w:szCs w:val="21"/>
              </w:rPr>
            </w:pPr>
            <w:r>
              <w:rPr>
                <w:sz w:val="21"/>
                <w:szCs w:val="21"/>
              </w:rPr>
              <w:t>/</w:t>
            </w:r>
          </w:p>
        </w:tc>
        <w:tc>
          <w:tcPr>
            <w:tcW w:w="1572" w:type="dxa"/>
            <w:tcBorders>
              <w:top w:val="single" w:color="000000" w:sz="4" w:space="0"/>
              <w:left w:val="single" w:color="000000" w:sz="4" w:space="0"/>
              <w:bottom w:val="single" w:color="000000" w:sz="4" w:space="0"/>
              <w:right w:val="single" w:color="000000" w:sz="4" w:space="0"/>
            </w:tcBorders>
            <w:noWrap w:val="0"/>
            <w:vAlign w:val="center"/>
          </w:tcPr>
          <w:p w14:paraId="16E400E4">
            <w:pPr>
              <w:rPr>
                <w:sz w:val="21"/>
                <w:szCs w:val="21"/>
              </w:rPr>
            </w:pPr>
            <w:r>
              <w:rPr>
                <w:sz w:val="21"/>
                <w:szCs w:val="21"/>
              </w:rPr>
              <w:t>一、二次混合室除灰系统</w:t>
            </w:r>
          </w:p>
        </w:tc>
        <w:tc>
          <w:tcPr>
            <w:tcW w:w="1650" w:type="dxa"/>
            <w:tcBorders>
              <w:top w:val="single" w:color="000000" w:sz="4" w:space="0"/>
              <w:left w:val="single" w:color="000000" w:sz="4" w:space="0"/>
              <w:bottom w:val="single" w:color="000000" w:sz="4" w:space="0"/>
              <w:right w:val="single" w:color="000000" w:sz="4" w:space="0"/>
            </w:tcBorders>
            <w:noWrap w:val="0"/>
            <w:vAlign w:val="center"/>
          </w:tcPr>
          <w:p w14:paraId="26FBB2BB">
            <w:pPr>
              <w:rPr>
                <w:sz w:val="21"/>
                <w:szCs w:val="21"/>
              </w:rPr>
            </w:pPr>
            <w:r>
              <w:rPr>
                <w:sz w:val="21"/>
                <w:szCs w:val="21"/>
              </w:rPr>
              <w:t>除尘灰浆</w:t>
            </w:r>
          </w:p>
        </w:tc>
        <w:tc>
          <w:tcPr>
            <w:tcW w:w="1308" w:type="dxa"/>
            <w:tcBorders>
              <w:top w:val="single" w:color="000000" w:sz="4" w:space="0"/>
              <w:left w:val="single" w:color="000000" w:sz="4" w:space="0"/>
              <w:bottom w:val="single" w:color="000000" w:sz="4" w:space="0"/>
              <w:right w:val="single" w:color="000000" w:sz="4" w:space="0"/>
            </w:tcBorders>
            <w:noWrap w:val="0"/>
            <w:vAlign w:val="center"/>
          </w:tcPr>
          <w:p w14:paraId="376A7683">
            <w:pPr>
              <w:rPr>
                <w:sz w:val="21"/>
                <w:szCs w:val="21"/>
              </w:rPr>
            </w:pPr>
            <w:r>
              <w:rPr>
                <w:sz w:val="21"/>
                <w:szCs w:val="21"/>
              </w:rPr>
              <w:t>间断</w:t>
            </w:r>
          </w:p>
        </w:tc>
        <w:tc>
          <w:tcPr>
            <w:tcW w:w="2369" w:type="dxa"/>
            <w:vMerge w:val="continue"/>
            <w:tcBorders>
              <w:top w:val="single" w:color="000000" w:sz="4" w:space="0"/>
              <w:left w:val="single" w:color="000000" w:sz="4" w:space="0"/>
              <w:bottom w:val="single" w:color="000000" w:sz="4" w:space="0"/>
              <w:right w:val="single" w:color="000000" w:sz="4" w:space="0"/>
            </w:tcBorders>
            <w:noWrap w:val="0"/>
            <w:vAlign w:val="center"/>
          </w:tcPr>
          <w:p w14:paraId="16125CEC">
            <w:pPr>
              <w:rPr>
                <w:sz w:val="21"/>
                <w:szCs w:val="21"/>
              </w:rPr>
            </w:pPr>
          </w:p>
        </w:tc>
      </w:tr>
      <w:tr w14:paraId="05CB70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98" w:type="dxa"/>
            <w:vMerge w:val="continue"/>
            <w:tcBorders>
              <w:top w:val="single" w:color="000000" w:sz="4" w:space="0"/>
              <w:left w:val="single" w:color="000000" w:sz="4" w:space="0"/>
              <w:bottom w:val="single" w:color="000000" w:sz="4" w:space="0"/>
              <w:right w:val="single" w:color="000000" w:sz="4" w:space="0"/>
            </w:tcBorders>
            <w:noWrap w:val="0"/>
            <w:vAlign w:val="center"/>
          </w:tcPr>
          <w:p w14:paraId="5ED80A3D">
            <w:pPr>
              <w:rPr>
                <w:sz w:val="21"/>
                <w:szCs w:val="21"/>
              </w:rPr>
            </w:pPr>
          </w:p>
        </w:tc>
        <w:tc>
          <w:tcPr>
            <w:tcW w:w="690" w:type="dxa"/>
            <w:tcBorders>
              <w:top w:val="single" w:color="000000" w:sz="4" w:space="0"/>
              <w:left w:val="single" w:color="000000" w:sz="4" w:space="0"/>
              <w:bottom w:val="single" w:color="000000" w:sz="4" w:space="0"/>
              <w:right w:val="single" w:color="000000" w:sz="4" w:space="0"/>
            </w:tcBorders>
            <w:noWrap w:val="0"/>
            <w:vAlign w:val="center"/>
          </w:tcPr>
          <w:p w14:paraId="626FD458">
            <w:pPr>
              <w:rPr>
                <w:sz w:val="21"/>
                <w:szCs w:val="21"/>
              </w:rPr>
            </w:pPr>
            <w:r>
              <w:rPr>
                <w:sz w:val="21"/>
                <w:szCs w:val="21"/>
              </w:rPr>
              <w:t>/</w:t>
            </w:r>
          </w:p>
        </w:tc>
        <w:tc>
          <w:tcPr>
            <w:tcW w:w="1572" w:type="dxa"/>
            <w:tcBorders>
              <w:top w:val="single" w:color="000000" w:sz="4" w:space="0"/>
              <w:left w:val="single" w:color="000000" w:sz="4" w:space="0"/>
              <w:bottom w:val="single" w:color="000000" w:sz="4" w:space="0"/>
              <w:right w:val="single" w:color="000000" w:sz="4" w:space="0"/>
            </w:tcBorders>
            <w:noWrap w:val="0"/>
            <w:vAlign w:val="center"/>
          </w:tcPr>
          <w:p w14:paraId="6F50A5D7">
            <w:pPr>
              <w:rPr>
                <w:sz w:val="21"/>
                <w:szCs w:val="21"/>
              </w:rPr>
            </w:pPr>
            <w:r>
              <w:rPr>
                <w:sz w:val="21"/>
                <w:szCs w:val="21"/>
              </w:rPr>
              <w:t>脱硫</w:t>
            </w:r>
          </w:p>
        </w:tc>
        <w:tc>
          <w:tcPr>
            <w:tcW w:w="1650" w:type="dxa"/>
            <w:tcBorders>
              <w:top w:val="single" w:color="000000" w:sz="4" w:space="0"/>
              <w:left w:val="single" w:color="000000" w:sz="4" w:space="0"/>
              <w:bottom w:val="single" w:color="000000" w:sz="4" w:space="0"/>
              <w:right w:val="single" w:color="000000" w:sz="4" w:space="0"/>
            </w:tcBorders>
            <w:noWrap w:val="0"/>
            <w:vAlign w:val="center"/>
          </w:tcPr>
          <w:p w14:paraId="54FBAD3C">
            <w:pPr>
              <w:rPr>
                <w:sz w:val="21"/>
                <w:szCs w:val="21"/>
              </w:rPr>
            </w:pPr>
            <w:r>
              <w:rPr>
                <w:sz w:val="21"/>
                <w:szCs w:val="21"/>
              </w:rPr>
              <w:t>脱硫渣</w:t>
            </w:r>
          </w:p>
        </w:tc>
        <w:tc>
          <w:tcPr>
            <w:tcW w:w="1308" w:type="dxa"/>
            <w:tcBorders>
              <w:top w:val="single" w:color="000000" w:sz="4" w:space="0"/>
              <w:left w:val="single" w:color="000000" w:sz="4" w:space="0"/>
              <w:bottom w:val="single" w:color="000000" w:sz="4" w:space="0"/>
              <w:right w:val="single" w:color="000000" w:sz="4" w:space="0"/>
            </w:tcBorders>
            <w:noWrap w:val="0"/>
            <w:vAlign w:val="center"/>
          </w:tcPr>
          <w:p w14:paraId="2C1846D9">
            <w:pPr>
              <w:rPr>
                <w:sz w:val="21"/>
                <w:szCs w:val="21"/>
              </w:rPr>
            </w:pPr>
            <w:r>
              <w:rPr>
                <w:sz w:val="21"/>
                <w:szCs w:val="21"/>
              </w:rPr>
              <w:t>间断</w:t>
            </w:r>
          </w:p>
        </w:tc>
        <w:tc>
          <w:tcPr>
            <w:tcW w:w="2369" w:type="dxa"/>
            <w:vMerge w:val="continue"/>
            <w:tcBorders>
              <w:top w:val="single" w:color="000000" w:sz="4" w:space="0"/>
              <w:left w:val="single" w:color="000000" w:sz="4" w:space="0"/>
              <w:bottom w:val="single" w:color="000000" w:sz="4" w:space="0"/>
              <w:right w:val="single" w:color="000000" w:sz="4" w:space="0"/>
            </w:tcBorders>
            <w:noWrap w:val="0"/>
            <w:vAlign w:val="center"/>
          </w:tcPr>
          <w:p w14:paraId="5C718E94">
            <w:pPr>
              <w:rPr>
                <w:sz w:val="21"/>
                <w:szCs w:val="21"/>
              </w:rPr>
            </w:pPr>
          </w:p>
        </w:tc>
      </w:tr>
      <w:tr w14:paraId="139F31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98" w:type="dxa"/>
            <w:vMerge w:val="continue"/>
            <w:tcBorders>
              <w:top w:val="single" w:color="000000" w:sz="4" w:space="0"/>
              <w:left w:val="single" w:color="000000" w:sz="4" w:space="0"/>
              <w:bottom w:val="single" w:color="000000" w:sz="4" w:space="0"/>
              <w:right w:val="single" w:color="000000" w:sz="4" w:space="0"/>
            </w:tcBorders>
            <w:noWrap w:val="0"/>
            <w:vAlign w:val="center"/>
          </w:tcPr>
          <w:p w14:paraId="6DADF109">
            <w:pPr>
              <w:rPr>
                <w:sz w:val="21"/>
                <w:szCs w:val="21"/>
              </w:rPr>
            </w:pPr>
          </w:p>
        </w:tc>
        <w:tc>
          <w:tcPr>
            <w:tcW w:w="690" w:type="dxa"/>
            <w:tcBorders>
              <w:top w:val="single" w:color="000000" w:sz="4" w:space="0"/>
              <w:left w:val="single" w:color="000000" w:sz="4" w:space="0"/>
              <w:bottom w:val="single" w:color="000000" w:sz="4" w:space="0"/>
              <w:right w:val="single" w:color="000000" w:sz="4" w:space="0"/>
            </w:tcBorders>
            <w:noWrap w:val="0"/>
            <w:vAlign w:val="center"/>
          </w:tcPr>
          <w:p w14:paraId="436134B2">
            <w:pPr>
              <w:rPr>
                <w:sz w:val="21"/>
                <w:szCs w:val="21"/>
              </w:rPr>
            </w:pPr>
            <w:r>
              <w:rPr>
                <w:sz w:val="21"/>
                <w:szCs w:val="21"/>
              </w:rPr>
              <w:t>/</w:t>
            </w:r>
          </w:p>
        </w:tc>
        <w:tc>
          <w:tcPr>
            <w:tcW w:w="1572" w:type="dxa"/>
            <w:tcBorders>
              <w:top w:val="single" w:color="000000" w:sz="4" w:space="0"/>
              <w:left w:val="single" w:color="000000" w:sz="4" w:space="0"/>
              <w:bottom w:val="single" w:color="000000" w:sz="4" w:space="0"/>
              <w:right w:val="single" w:color="000000" w:sz="4" w:space="0"/>
            </w:tcBorders>
            <w:noWrap w:val="0"/>
            <w:vAlign w:val="center"/>
          </w:tcPr>
          <w:p w14:paraId="6F1C8DD6">
            <w:pPr>
              <w:rPr>
                <w:sz w:val="21"/>
                <w:szCs w:val="21"/>
              </w:rPr>
            </w:pPr>
            <w:r>
              <w:rPr>
                <w:sz w:val="21"/>
                <w:szCs w:val="21"/>
              </w:rPr>
              <w:t>袋式除尘器</w:t>
            </w:r>
          </w:p>
        </w:tc>
        <w:tc>
          <w:tcPr>
            <w:tcW w:w="1650" w:type="dxa"/>
            <w:tcBorders>
              <w:top w:val="single" w:color="000000" w:sz="4" w:space="0"/>
              <w:left w:val="single" w:color="000000" w:sz="4" w:space="0"/>
              <w:bottom w:val="single" w:color="000000" w:sz="4" w:space="0"/>
              <w:right w:val="single" w:color="000000" w:sz="4" w:space="0"/>
            </w:tcBorders>
            <w:noWrap w:val="0"/>
            <w:vAlign w:val="center"/>
          </w:tcPr>
          <w:p w14:paraId="12F67406">
            <w:pPr>
              <w:rPr>
                <w:sz w:val="21"/>
                <w:szCs w:val="21"/>
              </w:rPr>
            </w:pPr>
            <w:r>
              <w:rPr>
                <w:sz w:val="21"/>
                <w:szCs w:val="21"/>
              </w:rPr>
              <w:t>废布袋</w:t>
            </w:r>
          </w:p>
        </w:tc>
        <w:tc>
          <w:tcPr>
            <w:tcW w:w="1308" w:type="dxa"/>
            <w:tcBorders>
              <w:top w:val="single" w:color="000000" w:sz="4" w:space="0"/>
              <w:left w:val="single" w:color="000000" w:sz="4" w:space="0"/>
              <w:bottom w:val="single" w:color="000000" w:sz="4" w:space="0"/>
              <w:right w:val="single" w:color="000000" w:sz="4" w:space="0"/>
            </w:tcBorders>
            <w:noWrap w:val="0"/>
            <w:vAlign w:val="center"/>
          </w:tcPr>
          <w:p w14:paraId="266D39E5">
            <w:pPr>
              <w:rPr>
                <w:sz w:val="21"/>
                <w:szCs w:val="21"/>
              </w:rPr>
            </w:pPr>
            <w:r>
              <w:rPr>
                <w:sz w:val="21"/>
                <w:szCs w:val="21"/>
              </w:rPr>
              <w:t>间断</w:t>
            </w:r>
          </w:p>
        </w:tc>
        <w:tc>
          <w:tcPr>
            <w:tcW w:w="2369" w:type="dxa"/>
            <w:tcBorders>
              <w:top w:val="single" w:color="000000" w:sz="4" w:space="0"/>
              <w:left w:val="single" w:color="000000" w:sz="4" w:space="0"/>
              <w:bottom w:val="single" w:color="000000" w:sz="4" w:space="0"/>
              <w:right w:val="single" w:color="000000" w:sz="4" w:space="0"/>
            </w:tcBorders>
            <w:noWrap w:val="0"/>
            <w:vAlign w:val="center"/>
          </w:tcPr>
          <w:p w14:paraId="4F19D399">
            <w:pPr>
              <w:rPr>
                <w:sz w:val="21"/>
                <w:szCs w:val="21"/>
              </w:rPr>
            </w:pPr>
            <w:r>
              <w:rPr>
                <w:sz w:val="21"/>
                <w:szCs w:val="21"/>
              </w:rPr>
              <w:t>一般工业固废，外售综合利用</w:t>
            </w:r>
          </w:p>
        </w:tc>
      </w:tr>
      <w:tr w14:paraId="65AAEA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98" w:type="dxa"/>
            <w:vMerge w:val="continue"/>
            <w:tcBorders>
              <w:top w:val="single" w:color="000000" w:sz="4" w:space="0"/>
              <w:left w:val="single" w:color="000000" w:sz="4" w:space="0"/>
              <w:bottom w:val="single" w:color="000000" w:sz="4" w:space="0"/>
              <w:right w:val="single" w:color="000000" w:sz="4" w:space="0"/>
            </w:tcBorders>
            <w:noWrap w:val="0"/>
            <w:vAlign w:val="center"/>
          </w:tcPr>
          <w:p w14:paraId="3A672313">
            <w:pPr>
              <w:rPr>
                <w:sz w:val="21"/>
                <w:szCs w:val="21"/>
              </w:rPr>
            </w:pPr>
          </w:p>
        </w:tc>
        <w:tc>
          <w:tcPr>
            <w:tcW w:w="690" w:type="dxa"/>
            <w:tcBorders>
              <w:top w:val="single" w:color="000000" w:sz="4" w:space="0"/>
              <w:left w:val="single" w:color="000000" w:sz="4" w:space="0"/>
              <w:bottom w:val="single" w:color="000000" w:sz="4" w:space="0"/>
              <w:right w:val="single" w:color="000000" w:sz="4" w:space="0"/>
            </w:tcBorders>
            <w:noWrap w:val="0"/>
            <w:vAlign w:val="center"/>
          </w:tcPr>
          <w:p w14:paraId="02A359E3">
            <w:pPr>
              <w:rPr>
                <w:sz w:val="21"/>
                <w:szCs w:val="21"/>
              </w:rPr>
            </w:pPr>
            <w:r>
              <w:rPr>
                <w:sz w:val="21"/>
                <w:szCs w:val="21"/>
              </w:rPr>
              <w:t>/</w:t>
            </w:r>
          </w:p>
        </w:tc>
        <w:tc>
          <w:tcPr>
            <w:tcW w:w="1572" w:type="dxa"/>
            <w:tcBorders>
              <w:top w:val="single" w:color="000000" w:sz="4" w:space="0"/>
              <w:left w:val="single" w:color="000000" w:sz="4" w:space="0"/>
              <w:bottom w:val="single" w:color="000000" w:sz="4" w:space="0"/>
              <w:right w:val="single" w:color="000000" w:sz="4" w:space="0"/>
            </w:tcBorders>
            <w:noWrap w:val="0"/>
            <w:vAlign w:val="center"/>
          </w:tcPr>
          <w:p w14:paraId="44CEDB8B">
            <w:pPr>
              <w:rPr>
                <w:sz w:val="21"/>
                <w:szCs w:val="21"/>
              </w:rPr>
            </w:pPr>
            <w:r>
              <w:rPr>
                <w:sz w:val="21"/>
                <w:szCs w:val="21"/>
              </w:rPr>
              <w:t>脱硝</w:t>
            </w:r>
          </w:p>
        </w:tc>
        <w:tc>
          <w:tcPr>
            <w:tcW w:w="1650" w:type="dxa"/>
            <w:tcBorders>
              <w:top w:val="single" w:color="000000" w:sz="4" w:space="0"/>
              <w:left w:val="single" w:color="000000" w:sz="4" w:space="0"/>
              <w:bottom w:val="single" w:color="000000" w:sz="4" w:space="0"/>
              <w:right w:val="single" w:color="000000" w:sz="4" w:space="0"/>
            </w:tcBorders>
            <w:noWrap w:val="0"/>
            <w:vAlign w:val="center"/>
          </w:tcPr>
          <w:p w14:paraId="1C69C041">
            <w:pPr>
              <w:rPr>
                <w:sz w:val="21"/>
                <w:szCs w:val="21"/>
              </w:rPr>
            </w:pPr>
            <w:r>
              <w:rPr>
                <w:sz w:val="21"/>
                <w:szCs w:val="21"/>
              </w:rPr>
              <w:t>废催化剂</w:t>
            </w:r>
          </w:p>
        </w:tc>
        <w:tc>
          <w:tcPr>
            <w:tcW w:w="1308" w:type="dxa"/>
            <w:tcBorders>
              <w:top w:val="single" w:color="000000" w:sz="4" w:space="0"/>
              <w:left w:val="single" w:color="000000" w:sz="4" w:space="0"/>
              <w:bottom w:val="single" w:color="000000" w:sz="4" w:space="0"/>
              <w:right w:val="single" w:color="000000" w:sz="4" w:space="0"/>
            </w:tcBorders>
            <w:noWrap w:val="0"/>
            <w:vAlign w:val="center"/>
          </w:tcPr>
          <w:p w14:paraId="1E30DCE2">
            <w:pPr>
              <w:rPr>
                <w:sz w:val="21"/>
                <w:szCs w:val="21"/>
              </w:rPr>
            </w:pPr>
            <w:r>
              <w:rPr>
                <w:sz w:val="21"/>
                <w:szCs w:val="21"/>
              </w:rPr>
              <w:t>间断</w:t>
            </w:r>
          </w:p>
        </w:tc>
        <w:tc>
          <w:tcPr>
            <w:tcW w:w="2369" w:type="dxa"/>
            <w:tcBorders>
              <w:top w:val="single" w:color="000000" w:sz="4" w:space="0"/>
              <w:left w:val="single" w:color="000000" w:sz="4" w:space="0"/>
              <w:bottom w:val="single" w:color="000000" w:sz="4" w:space="0"/>
              <w:right w:val="single" w:color="000000" w:sz="4" w:space="0"/>
            </w:tcBorders>
            <w:noWrap w:val="0"/>
            <w:vAlign w:val="center"/>
          </w:tcPr>
          <w:p w14:paraId="0F781A34">
            <w:pPr>
              <w:rPr>
                <w:sz w:val="21"/>
                <w:szCs w:val="21"/>
              </w:rPr>
            </w:pPr>
            <w:r>
              <w:rPr>
                <w:sz w:val="21"/>
                <w:szCs w:val="21"/>
              </w:rPr>
              <w:t>危废，委托有资质单位处理</w:t>
            </w:r>
          </w:p>
        </w:tc>
      </w:tr>
      <w:tr w14:paraId="292DAA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98" w:type="dxa"/>
            <w:vMerge w:val="continue"/>
            <w:tcBorders>
              <w:top w:val="single" w:color="000000" w:sz="4" w:space="0"/>
              <w:left w:val="single" w:color="000000" w:sz="4" w:space="0"/>
              <w:bottom w:val="single" w:color="000000" w:sz="4" w:space="0"/>
              <w:right w:val="single" w:color="000000" w:sz="4" w:space="0"/>
            </w:tcBorders>
            <w:noWrap w:val="0"/>
            <w:vAlign w:val="center"/>
          </w:tcPr>
          <w:p w14:paraId="1F002DBC">
            <w:pPr>
              <w:rPr>
                <w:sz w:val="21"/>
                <w:szCs w:val="21"/>
              </w:rPr>
            </w:pPr>
          </w:p>
        </w:tc>
        <w:tc>
          <w:tcPr>
            <w:tcW w:w="690" w:type="dxa"/>
            <w:tcBorders>
              <w:top w:val="single" w:color="000000" w:sz="4" w:space="0"/>
              <w:left w:val="single" w:color="000000" w:sz="4" w:space="0"/>
              <w:bottom w:val="single" w:color="000000" w:sz="4" w:space="0"/>
              <w:right w:val="single" w:color="000000" w:sz="4" w:space="0"/>
            </w:tcBorders>
            <w:noWrap w:val="0"/>
            <w:vAlign w:val="center"/>
          </w:tcPr>
          <w:p w14:paraId="34866628">
            <w:pPr>
              <w:rPr>
                <w:sz w:val="21"/>
                <w:szCs w:val="21"/>
              </w:rPr>
            </w:pPr>
            <w:r>
              <w:rPr>
                <w:sz w:val="21"/>
                <w:szCs w:val="21"/>
              </w:rPr>
              <w:t>/</w:t>
            </w:r>
          </w:p>
        </w:tc>
        <w:tc>
          <w:tcPr>
            <w:tcW w:w="1572" w:type="dxa"/>
            <w:tcBorders>
              <w:top w:val="single" w:color="000000" w:sz="4" w:space="0"/>
              <w:left w:val="single" w:color="000000" w:sz="4" w:space="0"/>
              <w:bottom w:val="single" w:color="000000" w:sz="4" w:space="0"/>
              <w:right w:val="single" w:color="000000" w:sz="4" w:space="0"/>
            </w:tcBorders>
            <w:noWrap w:val="0"/>
            <w:vAlign w:val="center"/>
          </w:tcPr>
          <w:p w14:paraId="66713A5E">
            <w:pPr>
              <w:rPr>
                <w:sz w:val="21"/>
                <w:szCs w:val="21"/>
              </w:rPr>
            </w:pPr>
            <w:r>
              <w:rPr>
                <w:sz w:val="21"/>
                <w:szCs w:val="21"/>
              </w:rPr>
              <w:t>设备维护</w:t>
            </w:r>
          </w:p>
        </w:tc>
        <w:tc>
          <w:tcPr>
            <w:tcW w:w="1650" w:type="dxa"/>
            <w:tcBorders>
              <w:top w:val="single" w:color="000000" w:sz="4" w:space="0"/>
              <w:left w:val="single" w:color="000000" w:sz="4" w:space="0"/>
              <w:bottom w:val="single" w:color="000000" w:sz="4" w:space="0"/>
              <w:right w:val="single" w:color="000000" w:sz="4" w:space="0"/>
            </w:tcBorders>
            <w:noWrap w:val="0"/>
            <w:vAlign w:val="center"/>
          </w:tcPr>
          <w:p w14:paraId="39F3C256">
            <w:pPr>
              <w:rPr>
                <w:sz w:val="21"/>
                <w:szCs w:val="21"/>
              </w:rPr>
            </w:pPr>
            <w:r>
              <w:rPr>
                <w:sz w:val="21"/>
                <w:szCs w:val="21"/>
              </w:rPr>
              <w:t>废矿物油</w:t>
            </w:r>
          </w:p>
        </w:tc>
        <w:tc>
          <w:tcPr>
            <w:tcW w:w="1308" w:type="dxa"/>
            <w:tcBorders>
              <w:top w:val="single" w:color="000000" w:sz="4" w:space="0"/>
              <w:left w:val="single" w:color="000000" w:sz="4" w:space="0"/>
              <w:bottom w:val="single" w:color="000000" w:sz="4" w:space="0"/>
              <w:right w:val="single" w:color="000000" w:sz="4" w:space="0"/>
            </w:tcBorders>
            <w:noWrap w:val="0"/>
            <w:vAlign w:val="center"/>
          </w:tcPr>
          <w:p w14:paraId="08C22C82">
            <w:pPr>
              <w:rPr>
                <w:sz w:val="21"/>
                <w:szCs w:val="21"/>
              </w:rPr>
            </w:pPr>
            <w:r>
              <w:rPr>
                <w:sz w:val="21"/>
                <w:szCs w:val="21"/>
              </w:rPr>
              <w:t>间断</w:t>
            </w:r>
          </w:p>
        </w:tc>
        <w:tc>
          <w:tcPr>
            <w:tcW w:w="2369" w:type="dxa"/>
            <w:tcBorders>
              <w:top w:val="single" w:color="000000" w:sz="4" w:space="0"/>
              <w:left w:val="single" w:color="000000" w:sz="4" w:space="0"/>
              <w:bottom w:val="single" w:color="000000" w:sz="4" w:space="0"/>
              <w:right w:val="single" w:color="000000" w:sz="4" w:space="0"/>
            </w:tcBorders>
            <w:noWrap w:val="0"/>
            <w:vAlign w:val="center"/>
          </w:tcPr>
          <w:p w14:paraId="0789A7E7">
            <w:pPr>
              <w:rPr>
                <w:sz w:val="21"/>
                <w:szCs w:val="21"/>
              </w:rPr>
            </w:pPr>
            <w:r>
              <w:rPr>
                <w:sz w:val="21"/>
                <w:szCs w:val="21"/>
              </w:rPr>
              <w:t>危废，委托有资质单位处理</w:t>
            </w:r>
          </w:p>
        </w:tc>
      </w:tr>
    </w:tbl>
    <w:p w14:paraId="5C65D6B0">
      <w:pPr>
        <w:adjustRightInd w:val="0"/>
        <w:jc w:val="both"/>
        <w:rPr>
          <w:rFonts w:hint="eastAsia" w:ascii="Times New Roman" w:hAnsi="Times New Roman" w:eastAsia="黑体" w:cs="Times New Roman"/>
        </w:rPr>
      </w:pPr>
      <w:bookmarkStart w:id="281" w:name="_Hlk62025173"/>
    </w:p>
    <w:bookmarkEnd w:id="281"/>
    <w:p w14:paraId="60B24C85">
      <w:pPr>
        <w:tabs>
          <w:tab w:val="left" w:pos="1506"/>
        </w:tabs>
        <w:spacing w:line="500" w:lineRule="exact"/>
        <w:ind w:firstLine="480" w:firstLineChars="200"/>
        <w:rPr>
          <w:rFonts w:ascii="Times New Roman" w:hAnsi="Times New Roman" w:cs="Times New Roman"/>
        </w:rPr>
        <w:sectPr>
          <w:pgSz w:w="11907" w:h="16840"/>
          <w:pgMar w:top="1701" w:right="1701" w:bottom="1701" w:left="1701" w:header="851" w:footer="1077" w:gutter="0"/>
          <w:pgBorders w:offsetFrom="page">
            <w:top w:val="none" w:sz="0" w:space="0"/>
            <w:left w:val="none" w:sz="0" w:space="0"/>
            <w:bottom w:val="none" w:sz="0" w:space="0"/>
            <w:right w:val="none" w:sz="0" w:space="0"/>
          </w:pgBorders>
          <w:pgNumType w:fmt="decimal"/>
          <w:cols w:space="720" w:num="1"/>
          <w:docGrid w:type="lines" w:linePitch="479" w:charSpace="0"/>
        </w:sectPr>
      </w:pPr>
    </w:p>
    <w:p w14:paraId="42DFBCA2">
      <w:pPr>
        <w:pStyle w:val="6"/>
        <w:spacing w:before="239"/>
      </w:pPr>
      <w:bookmarkStart w:id="282" w:name="_Toc90026126"/>
      <w:bookmarkStart w:id="283" w:name="_Toc21725"/>
      <w:r>
        <w:rPr>
          <w:rFonts w:hint="eastAsia"/>
        </w:rPr>
        <w:t>3</w:t>
      </w:r>
      <w:r>
        <w:t>.</w:t>
      </w:r>
      <w:r>
        <w:rPr>
          <w:rFonts w:hint="eastAsia"/>
        </w:rPr>
        <w:t>3</w:t>
      </w:r>
      <w:r>
        <w:t xml:space="preserve"> </w:t>
      </w:r>
      <w:r>
        <w:rPr>
          <w:rFonts w:hint="eastAsia"/>
        </w:rPr>
        <w:t>平衡分析</w:t>
      </w:r>
      <w:bookmarkEnd w:id="282"/>
      <w:bookmarkEnd w:id="283"/>
    </w:p>
    <w:p w14:paraId="515DF895">
      <w:pPr>
        <w:pStyle w:val="7"/>
      </w:pPr>
      <w:bookmarkStart w:id="284" w:name="_Toc90026259"/>
      <w:bookmarkStart w:id="285" w:name="_Toc7386"/>
      <w:r>
        <w:rPr>
          <w:lang w:eastAsia="zh-CN"/>
        </w:rPr>
        <w:t>3</w:t>
      </w:r>
      <w:r>
        <w:t>.</w:t>
      </w:r>
      <w:r>
        <w:rPr>
          <w:lang w:eastAsia="zh-CN"/>
        </w:rPr>
        <w:t>3</w:t>
      </w:r>
      <w:r>
        <w:t>.1 物料平衡</w:t>
      </w:r>
      <w:bookmarkEnd w:id="284"/>
      <w:bookmarkEnd w:id="285"/>
    </w:p>
    <w:p w14:paraId="5990C022">
      <w:pPr>
        <w:adjustRightInd w:val="0"/>
        <w:spacing w:line="500" w:lineRule="exact"/>
        <w:ind w:firstLine="480" w:firstLineChars="200"/>
        <w:rPr>
          <w:rFonts w:hint="eastAsia" w:ascii="Times New Roman" w:hAnsi="Times New Roman" w:cs="Times New Roman"/>
        </w:rPr>
      </w:pPr>
      <w:r>
        <w:rPr>
          <w:rFonts w:hint="eastAsia" w:ascii="Times New Roman" w:hAnsi="Times New Roman" w:cs="Times New Roman"/>
        </w:rPr>
        <w:t>本项目实施后，全厂</w:t>
      </w:r>
      <w:r>
        <w:rPr>
          <w:rFonts w:ascii="Times New Roman" w:hAnsi="Times New Roman" w:cs="Times New Roman"/>
        </w:rPr>
        <w:t>物料平衡分析见表</w:t>
      </w:r>
      <w:r>
        <w:rPr>
          <w:rFonts w:hint="eastAsia" w:ascii="Times New Roman" w:hAnsi="Times New Roman" w:cs="Times New Roman"/>
        </w:rPr>
        <w:t>3.3</w:t>
      </w:r>
      <w:r>
        <w:rPr>
          <w:rFonts w:ascii="Times New Roman" w:hAnsi="Times New Roman" w:cs="Times New Roman"/>
        </w:rPr>
        <w:t>-1</w:t>
      </w:r>
      <w:r>
        <w:rPr>
          <w:rFonts w:hint="eastAsia" w:ascii="Times New Roman" w:hAnsi="Times New Roman" w:cs="Times New Roman"/>
        </w:rPr>
        <w:t>和图3.3-1</w:t>
      </w:r>
      <w:r>
        <w:rPr>
          <w:rFonts w:ascii="Times New Roman" w:hAnsi="Times New Roman" w:cs="Times New Roman"/>
        </w:rPr>
        <w:t>。</w:t>
      </w:r>
    </w:p>
    <w:p w14:paraId="1CA8DE61">
      <w:pPr>
        <w:jc w:val="center"/>
      </w:pPr>
      <w:r>
        <w:t>表4.5.6-1 技改项目物料平衡表</w:t>
      </w:r>
    </w:p>
    <w:p w14:paraId="22F72C57">
      <w:pPr>
        <w:pStyle w:val="7"/>
      </w:pPr>
      <w:bookmarkStart w:id="286" w:name="_Toc90026260"/>
      <w:bookmarkStart w:id="287" w:name="_Toc19154"/>
      <w:r>
        <w:rPr>
          <w:lang w:eastAsia="zh-CN"/>
        </w:rPr>
        <w:t>3</w:t>
      </w:r>
      <w:r>
        <w:t>.</w:t>
      </w:r>
      <w:r>
        <w:rPr>
          <w:lang w:eastAsia="zh-CN"/>
        </w:rPr>
        <w:t>3</w:t>
      </w:r>
      <w:r>
        <w:t>.</w:t>
      </w:r>
      <w:r>
        <w:rPr>
          <w:rFonts w:hint="eastAsia"/>
          <w:lang w:eastAsia="zh-CN"/>
        </w:rPr>
        <w:t>2</w:t>
      </w:r>
      <w:r>
        <w:t xml:space="preserve"> </w:t>
      </w:r>
      <w:r>
        <w:rPr>
          <w:rFonts w:hint="eastAsia"/>
          <w:lang w:eastAsia="zh-CN"/>
        </w:rPr>
        <w:t>铁元素</w:t>
      </w:r>
      <w:r>
        <w:t>平衡</w:t>
      </w:r>
      <w:bookmarkEnd w:id="286"/>
      <w:bookmarkEnd w:id="287"/>
    </w:p>
    <w:p w14:paraId="5AFB9912">
      <w:pPr>
        <w:adjustRightInd w:val="0"/>
        <w:spacing w:line="500" w:lineRule="exact"/>
        <w:ind w:firstLine="480" w:firstLineChars="200"/>
        <w:rPr>
          <w:rFonts w:hint="eastAsia" w:ascii="Times New Roman" w:hAnsi="Times New Roman" w:cs="Times New Roman"/>
        </w:rPr>
      </w:pPr>
      <w:r>
        <w:rPr>
          <w:rFonts w:hint="eastAsia" w:ascii="Times New Roman" w:hAnsi="Times New Roman" w:cs="Times New Roman"/>
        </w:rPr>
        <w:t>本项目实施后，全厂铁元素</w:t>
      </w:r>
      <w:r>
        <w:rPr>
          <w:rFonts w:ascii="Times New Roman" w:hAnsi="Times New Roman" w:cs="Times New Roman"/>
        </w:rPr>
        <w:t>平衡分析见表</w:t>
      </w:r>
      <w:r>
        <w:rPr>
          <w:rFonts w:hint="eastAsia" w:ascii="Times New Roman" w:hAnsi="Times New Roman" w:cs="Times New Roman"/>
        </w:rPr>
        <w:t>3.3</w:t>
      </w:r>
      <w:r>
        <w:rPr>
          <w:rFonts w:ascii="Times New Roman" w:hAnsi="Times New Roman" w:cs="Times New Roman"/>
        </w:rPr>
        <w:t>-2</w:t>
      </w:r>
      <w:r>
        <w:rPr>
          <w:rFonts w:hint="eastAsia" w:ascii="Times New Roman" w:hAnsi="Times New Roman" w:cs="Times New Roman"/>
        </w:rPr>
        <w:t>和图3.3-2</w:t>
      </w:r>
      <w:r>
        <w:rPr>
          <w:rFonts w:ascii="Times New Roman" w:hAnsi="Times New Roman" w:cs="Times New Roman"/>
        </w:rPr>
        <w:t>。</w:t>
      </w:r>
    </w:p>
    <w:p w14:paraId="47E8CC6F">
      <w:pPr>
        <w:pStyle w:val="112"/>
        <w:snapToGrid/>
        <w:rPr>
          <w:rFonts w:hint="eastAsia"/>
        </w:rPr>
      </w:pPr>
      <w:r>
        <w:t>表</w:t>
      </w:r>
      <w:r>
        <w:rPr>
          <w:rFonts w:hint="eastAsia"/>
        </w:rPr>
        <w:t>3.3</w:t>
      </w:r>
      <w:r>
        <w:t>-</w:t>
      </w:r>
      <w:r>
        <w:rPr>
          <w:rFonts w:hint="eastAsia"/>
        </w:rPr>
        <w:t>2</w:t>
      </w:r>
      <w:r>
        <w:t xml:space="preserve">  </w:t>
      </w:r>
      <w:r>
        <w:rPr>
          <w:rFonts w:hint="eastAsia"/>
        </w:rPr>
        <w:t>全厂铁元素</w:t>
      </w:r>
      <w:r>
        <w:t>平衡分析表</w:t>
      </w:r>
    </w:p>
    <w:p w14:paraId="670F6424">
      <w:pPr>
        <w:pStyle w:val="112"/>
        <w:snapToGrid/>
        <w:jc w:val="both"/>
        <w:rPr>
          <w:lang w:eastAsia="zh-CN"/>
        </w:rPr>
      </w:pPr>
    </w:p>
    <w:p w14:paraId="06B6DC09">
      <w:pPr>
        <w:pStyle w:val="112"/>
        <w:snapToGrid/>
        <w:jc w:val="both"/>
      </w:pPr>
      <w:r>
        <w:rPr>
          <w:lang w:eastAsia="zh-CN"/>
        </w:rPr>
        <w:t>3</w:t>
      </w:r>
      <w:r>
        <w:t>.</w:t>
      </w:r>
      <w:r>
        <w:rPr>
          <w:lang w:eastAsia="zh-CN"/>
        </w:rPr>
        <w:t>3</w:t>
      </w:r>
      <w:r>
        <w:t>.</w:t>
      </w:r>
      <w:r>
        <w:rPr>
          <w:rFonts w:hint="eastAsia"/>
          <w:lang w:eastAsia="zh-CN"/>
        </w:rPr>
        <w:t>2</w:t>
      </w:r>
      <w:r>
        <w:t xml:space="preserve"> </w:t>
      </w:r>
      <w:r>
        <w:rPr>
          <w:rFonts w:hint="eastAsia"/>
          <w:lang w:val="en-US" w:eastAsia="zh-CN"/>
        </w:rPr>
        <w:t>硫</w:t>
      </w:r>
      <w:r>
        <w:rPr>
          <w:rFonts w:hint="eastAsia"/>
          <w:lang w:eastAsia="zh-CN"/>
        </w:rPr>
        <w:t>元素</w:t>
      </w:r>
      <w:r>
        <w:t>平衡</w:t>
      </w:r>
    </w:p>
    <w:p w14:paraId="2C04D75B">
      <w:pPr>
        <w:pStyle w:val="112"/>
        <w:snapToGrid/>
        <w:ind w:firstLine="480" w:firstLineChars="200"/>
        <w:jc w:val="both"/>
        <w:rPr>
          <w:rFonts w:hint="eastAsia" w:ascii="宋体" w:hAnsi="宋体" w:eastAsia="宋体" w:cs="宋体"/>
          <w:b w:val="0"/>
          <w:bCs w:val="0"/>
        </w:rPr>
      </w:pPr>
      <w:r>
        <w:rPr>
          <w:rFonts w:hint="eastAsia" w:ascii="宋体" w:hAnsi="宋体" w:eastAsia="宋体" w:cs="宋体"/>
          <w:b w:val="0"/>
          <w:bCs w:val="0"/>
        </w:rPr>
        <w:t>目前建设单位尚未对煤气进行精脱硫，根据南京特斯特检测技术有限公司出具的《检测报告》（NO.TES20232866），企业高炉煤气中硫化氢含量为165.6mg/m</w:t>
      </w:r>
      <w:r>
        <w:rPr>
          <w:rFonts w:hint="eastAsia" w:ascii="宋体" w:hAnsi="宋体" w:eastAsia="宋体" w:cs="宋体"/>
          <w:b w:val="0"/>
          <w:bCs w:val="0"/>
          <w:vertAlign w:val="superscript"/>
        </w:rPr>
        <w:t>3</w:t>
      </w:r>
      <w:r>
        <w:rPr>
          <w:rFonts w:hint="eastAsia" w:ascii="宋体" w:hAnsi="宋体" w:eastAsia="宋体" w:cs="宋体"/>
          <w:b w:val="0"/>
          <w:bCs w:val="0"/>
        </w:rPr>
        <w:t>、羰基硫含量为28.5mg/m</w:t>
      </w:r>
      <w:r>
        <w:rPr>
          <w:rFonts w:hint="eastAsia" w:ascii="宋体" w:hAnsi="宋体" w:eastAsia="宋体" w:cs="宋体"/>
          <w:b w:val="0"/>
          <w:bCs w:val="0"/>
          <w:vertAlign w:val="superscript"/>
        </w:rPr>
        <w:t>3</w:t>
      </w:r>
      <w:r>
        <w:rPr>
          <w:rFonts w:hint="eastAsia" w:ascii="宋体" w:hAnsi="宋体" w:eastAsia="宋体" w:cs="宋体"/>
          <w:b w:val="0"/>
          <w:bCs w:val="0"/>
        </w:rPr>
        <w:t>，计算出总硫含量为171.06mg/m</w:t>
      </w:r>
      <w:r>
        <w:rPr>
          <w:rFonts w:hint="eastAsia" w:ascii="宋体" w:hAnsi="宋体" w:eastAsia="宋体" w:cs="宋体"/>
          <w:b w:val="0"/>
          <w:bCs w:val="0"/>
          <w:vertAlign w:val="superscript"/>
        </w:rPr>
        <w:t>3</w:t>
      </w:r>
      <w:r>
        <w:rPr>
          <w:rFonts w:hint="eastAsia" w:ascii="宋体" w:hAnsi="宋体" w:eastAsia="宋体" w:cs="宋体"/>
          <w:b w:val="0"/>
          <w:bCs w:val="0"/>
        </w:rPr>
        <w:t>。</w:t>
      </w:r>
    </w:p>
    <w:p w14:paraId="6D4BA8F0">
      <w:pPr>
        <w:jc w:val="center"/>
      </w:pPr>
      <w:r>
        <w:t>表4.5.6-3 技改项目硫平衡表</w:t>
      </w:r>
    </w:p>
    <w:p w14:paraId="3F259C78">
      <w:pPr>
        <w:pStyle w:val="112"/>
        <w:snapToGrid/>
        <w:jc w:val="both"/>
      </w:pPr>
      <w:r>
        <w:rPr>
          <w:lang w:eastAsia="zh-CN"/>
        </w:rPr>
        <w:t>3</w:t>
      </w:r>
      <w:r>
        <w:t>.</w:t>
      </w:r>
      <w:r>
        <w:rPr>
          <w:lang w:eastAsia="zh-CN"/>
        </w:rPr>
        <w:t>3</w:t>
      </w:r>
      <w:r>
        <w:t>.</w:t>
      </w:r>
      <w:r>
        <w:rPr>
          <w:rFonts w:hint="eastAsia"/>
          <w:lang w:eastAsia="zh-CN"/>
        </w:rPr>
        <w:t>2</w:t>
      </w:r>
      <w:r>
        <w:t xml:space="preserve"> </w:t>
      </w:r>
      <w:r>
        <w:rPr>
          <w:rFonts w:hint="eastAsia" w:ascii="宋体" w:hAnsi="宋体" w:eastAsia="宋体" w:cs="宋体"/>
          <w:color w:val="000000"/>
          <w:kern w:val="0"/>
          <w:sz w:val="24"/>
          <w:szCs w:val="24"/>
          <w:lang w:val="en-US" w:eastAsia="zh-CN" w:bidi="ar"/>
        </w:rPr>
        <w:t>氟</w:t>
      </w:r>
      <w:r>
        <w:rPr>
          <w:rFonts w:hint="eastAsia"/>
          <w:lang w:eastAsia="zh-CN"/>
        </w:rPr>
        <w:t>元素</w:t>
      </w:r>
      <w:r>
        <w:t>平衡</w:t>
      </w:r>
    </w:p>
    <w:p w14:paraId="6DDCF95A">
      <w:pPr>
        <w:jc w:val="center"/>
      </w:pPr>
      <w:r>
        <w:t>表4.5.6-4 技改项目氟平衡表</w:t>
      </w:r>
    </w:p>
    <w:p w14:paraId="5B8A6EDB">
      <w:pPr>
        <w:pStyle w:val="2"/>
        <w:rPr>
          <w:rFonts w:hint="eastAsia"/>
        </w:rPr>
        <w:sectPr>
          <w:pgSz w:w="11907" w:h="16840"/>
          <w:pgMar w:top="1701" w:right="1701" w:bottom="1701" w:left="1701" w:header="851" w:footer="1077" w:gutter="0"/>
          <w:pgBorders w:offsetFrom="page">
            <w:top w:val="none" w:sz="0" w:space="0"/>
            <w:left w:val="none" w:sz="0" w:space="0"/>
            <w:bottom w:val="none" w:sz="0" w:space="0"/>
            <w:right w:val="none" w:sz="0" w:space="0"/>
          </w:pgBorders>
          <w:pgNumType w:fmt="decimal"/>
          <w:cols w:space="720" w:num="1"/>
          <w:docGrid w:type="lines" w:linePitch="479" w:charSpace="0"/>
        </w:sectPr>
      </w:pPr>
    </w:p>
    <w:p w14:paraId="46CA446E">
      <w:pPr>
        <w:adjustRightInd w:val="0"/>
        <w:snapToGrid w:val="0"/>
        <w:jc w:val="center"/>
        <w:rPr>
          <w:rFonts w:hint="eastAsia" w:ascii="Times New Roman" w:hAnsi="Times New Roman" w:cs="Times New Roman"/>
        </w:rPr>
      </w:pPr>
    </w:p>
    <w:p w14:paraId="0932D018">
      <w:pPr>
        <w:adjustRightInd w:val="0"/>
        <w:jc w:val="center"/>
        <w:rPr>
          <w:rFonts w:hint="eastAsia" w:ascii="Times New Roman" w:hAnsi="Times New Roman" w:cs="Times New Roman"/>
        </w:rPr>
      </w:pPr>
      <w:r>
        <w:rPr>
          <w:rFonts w:ascii="Times New Roman" w:hAnsi="Times New Roman" w:eastAsia="黑体" w:cs="Times New Roman"/>
        </w:rPr>
        <w:t xml:space="preserve">图3.3-1  </w:t>
      </w:r>
      <w:r>
        <w:rPr>
          <w:rFonts w:hint="eastAsia" w:ascii="Times New Roman" w:hAnsi="Times New Roman" w:eastAsia="黑体" w:cs="Times New Roman"/>
        </w:rPr>
        <w:t>本项目实施后全厂物料平衡图</w:t>
      </w:r>
    </w:p>
    <w:p w14:paraId="093B3A5E">
      <w:pPr>
        <w:adjustRightInd w:val="0"/>
        <w:snapToGrid w:val="0"/>
        <w:jc w:val="center"/>
        <w:rPr>
          <w:rFonts w:hint="eastAsia" w:ascii="Times New Roman" w:hAnsi="Times New Roman" w:cs="Times New Roman"/>
        </w:rPr>
      </w:pPr>
    </w:p>
    <w:p w14:paraId="7BCC6D26">
      <w:pPr>
        <w:adjustRightInd w:val="0"/>
        <w:jc w:val="center"/>
        <w:rPr>
          <w:rFonts w:ascii="Times New Roman" w:hAnsi="Times New Roman" w:eastAsia="黑体" w:cs="Times New Roman"/>
        </w:rPr>
      </w:pPr>
      <w:r>
        <w:rPr>
          <w:rFonts w:ascii="Times New Roman" w:hAnsi="Times New Roman" w:eastAsia="黑体" w:cs="Times New Roman"/>
        </w:rPr>
        <w:t xml:space="preserve">图3.3-2  </w:t>
      </w:r>
      <w:r>
        <w:rPr>
          <w:rFonts w:hint="eastAsia" w:ascii="Times New Roman" w:hAnsi="Times New Roman" w:eastAsia="黑体" w:cs="Times New Roman"/>
        </w:rPr>
        <w:t>本项目实施后全厂铁元素平衡图</w:t>
      </w:r>
    </w:p>
    <w:p w14:paraId="13D6AB26">
      <w:pPr>
        <w:adjustRightInd w:val="0"/>
        <w:jc w:val="center"/>
        <w:rPr>
          <w:rFonts w:hint="eastAsia" w:ascii="Times New Roman" w:hAnsi="Times New Roman" w:eastAsia="黑体" w:cs="Times New Roman"/>
        </w:rPr>
        <w:sectPr>
          <w:pgSz w:w="16840" w:h="11907" w:orient="landscape"/>
          <w:pgMar w:top="1701" w:right="1701" w:bottom="1701" w:left="1701" w:header="851" w:footer="1077" w:gutter="0"/>
          <w:pgBorders w:offsetFrom="page">
            <w:top w:val="none" w:sz="0" w:space="0"/>
            <w:left w:val="none" w:sz="0" w:space="0"/>
            <w:bottom w:val="none" w:sz="0" w:space="0"/>
            <w:right w:val="none" w:sz="0" w:space="0"/>
          </w:pgBorders>
          <w:pgNumType w:fmt="decimal"/>
          <w:cols w:space="720" w:num="1"/>
          <w:docGrid w:type="lines" w:linePitch="479" w:charSpace="0"/>
        </w:sectPr>
      </w:pPr>
    </w:p>
    <w:p w14:paraId="552FE2EE">
      <w:pPr>
        <w:pStyle w:val="7"/>
      </w:pPr>
      <w:bookmarkStart w:id="288" w:name="_Toc90026261"/>
      <w:bookmarkStart w:id="289" w:name="_Toc1677"/>
      <w:r>
        <w:rPr>
          <w:lang w:eastAsia="zh-CN"/>
        </w:rPr>
        <w:t>3</w:t>
      </w:r>
      <w:r>
        <w:t>.</w:t>
      </w:r>
      <w:r>
        <w:rPr>
          <w:lang w:eastAsia="zh-CN"/>
        </w:rPr>
        <w:t>3</w:t>
      </w:r>
      <w:r>
        <w:t>.</w:t>
      </w:r>
      <w:r>
        <w:rPr>
          <w:rFonts w:hint="eastAsia"/>
          <w:lang w:eastAsia="zh-CN"/>
        </w:rPr>
        <w:t>3</w:t>
      </w:r>
      <w:r>
        <w:t xml:space="preserve"> </w:t>
      </w:r>
      <w:r>
        <w:rPr>
          <w:rFonts w:hint="eastAsia"/>
          <w:lang w:eastAsia="zh-CN"/>
        </w:rPr>
        <w:t>水量</w:t>
      </w:r>
      <w:r>
        <w:t>平衡</w:t>
      </w:r>
      <w:bookmarkEnd w:id="288"/>
      <w:bookmarkEnd w:id="289"/>
    </w:p>
    <w:p w14:paraId="62674EF4">
      <w:pPr>
        <w:spacing w:line="500" w:lineRule="exact"/>
        <w:ind w:right="6" w:firstLine="482" w:firstLineChars="200"/>
        <w:jc w:val="both"/>
        <w:rPr>
          <w:rFonts w:hint="eastAsia" w:ascii="Times New Roman" w:hAnsi="Times New Roman" w:cs="Times New Roman"/>
          <w:b/>
        </w:rPr>
      </w:pPr>
      <w:r>
        <w:rPr>
          <w:rFonts w:hint="eastAsia" w:ascii="Times New Roman" w:hAnsi="Times New Roman" w:cs="Times New Roman"/>
          <w:b/>
        </w:rPr>
        <w:t>（1）本项目水平衡</w:t>
      </w:r>
    </w:p>
    <w:p w14:paraId="61997331">
      <w:pPr>
        <w:spacing w:line="500" w:lineRule="exact"/>
        <w:ind w:right="6" w:firstLine="480" w:firstLineChars="200"/>
        <w:jc w:val="both"/>
        <w:rPr>
          <w:rFonts w:hint="eastAsia" w:ascii="Times New Roman" w:hAnsi="Times New Roman" w:cs="Times New Roman"/>
        </w:rPr>
      </w:pPr>
      <w:r>
        <w:rPr>
          <w:rFonts w:hint="eastAsia" w:ascii="Times New Roman" w:hAnsi="Times New Roman" w:cs="Times New Roman"/>
        </w:rPr>
        <w:t>本项目新增</w:t>
      </w:r>
      <w:r>
        <w:rPr>
          <w:rFonts w:hint="eastAsia" w:ascii="Times New Roman" w:hAnsi="Times New Roman" w:cs="Times New Roman"/>
          <w:lang w:val="en-US" w:eastAsia="zh-CN"/>
        </w:rPr>
        <w:t>脱硫用水</w:t>
      </w:r>
      <w:r>
        <w:rPr>
          <w:rFonts w:hint="eastAsia" w:ascii="Times New Roman" w:hAnsi="Times New Roman" w:cs="Times New Roman"/>
        </w:rPr>
        <w:t>，</w:t>
      </w:r>
      <w:r>
        <w:rPr>
          <w:rFonts w:hint="eastAsia" w:ascii="Times New Roman" w:cs="Times New Roman"/>
        </w:rPr>
        <w:t>循环量为</w:t>
      </w:r>
      <w:r>
        <w:rPr>
          <w:rFonts w:ascii="Times New Roman" w:cs="Times New Roman"/>
        </w:rPr>
        <w:t>260m</w:t>
      </w:r>
      <w:r>
        <w:rPr>
          <w:rFonts w:ascii="Times New Roman" w:cs="Times New Roman"/>
          <w:vertAlign w:val="superscript"/>
        </w:rPr>
        <w:t>3</w:t>
      </w:r>
      <w:r>
        <w:rPr>
          <w:rFonts w:ascii="Times New Roman" w:cs="Times New Roman"/>
        </w:rPr>
        <w:t>/h</w:t>
      </w:r>
      <w:r>
        <w:rPr>
          <w:rFonts w:hint="eastAsia" w:ascii="Times New Roman" w:cs="Times New Roman"/>
        </w:rPr>
        <w:t>，</w:t>
      </w:r>
      <w:r>
        <w:rPr>
          <w:rFonts w:ascii="Times New Roman" w:cs="Times New Roman"/>
        </w:rPr>
        <w:t>新水补充量6m</w:t>
      </w:r>
      <w:r>
        <w:rPr>
          <w:rFonts w:ascii="Times New Roman" w:cs="Times New Roman"/>
          <w:vertAlign w:val="superscript"/>
        </w:rPr>
        <w:t>3</w:t>
      </w:r>
      <w:r>
        <w:rPr>
          <w:rFonts w:ascii="Times New Roman" w:cs="Times New Roman"/>
        </w:rPr>
        <w:t>/h，</w:t>
      </w:r>
      <w:r>
        <w:rPr>
          <w:rFonts w:hint="eastAsia" w:ascii="Times New Roman" w:cs="Times New Roman"/>
        </w:rPr>
        <w:t>损耗量2.6</w:t>
      </w:r>
      <w:r>
        <w:rPr>
          <w:rFonts w:ascii="Times New Roman" w:cs="Times New Roman"/>
        </w:rPr>
        <w:t xml:space="preserve"> m</w:t>
      </w:r>
      <w:r>
        <w:rPr>
          <w:rFonts w:ascii="Times New Roman" w:cs="Times New Roman"/>
          <w:vertAlign w:val="superscript"/>
        </w:rPr>
        <w:t>3</w:t>
      </w:r>
      <w:r>
        <w:rPr>
          <w:rFonts w:ascii="Times New Roman" w:cs="Times New Roman"/>
        </w:rPr>
        <w:t>/h，</w:t>
      </w:r>
      <w:r>
        <w:rPr>
          <w:rFonts w:hint="eastAsia" w:ascii="Times New Roman" w:cs="Times New Roman"/>
        </w:rPr>
        <w:t>排水量3.4</w:t>
      </w:r>
      <w:r>
        <w:rPr>
          <w:rFonts w:ascii="Times New Roman" w:cs="Times New Roman"/>
        </w:rPr>
        <w:t xml:space="preserve"> m</w:t>
      </w:r>
      <w:r>
        <w:rPr>
          <w:rFonts w:ascii="Times New Roman" w:cs="Times New Roman"/>
          <w:vertAlign w:val="superscript"/>
        </w:rPr>
        <w:t>3</w:t>
      </w:r>
      <w:r>
        <w:rPr>
          <w:rFonts w:ascii="Times New Roman" w:cs="Times New Roman"/>
        </w:rPr>
        <w:t>/h，</w:t>
      </w:r>
      <w:r>
        <w:rPr>
          <w:rFonts w:hint="eastAsia" w:ascii="Times New Roman" w:hAnsi="Times New Roman" w:cs="Times New Roman"/>
          <w:lang w:val="en-US" w:eastAsia="zh-CN"/>
        </w:rPr>
        <w:t>循环使用，</w:t>
      </w:r>
      <w:r>
        <w:rPr>
          <w:rFonts w:hint="eastAsia" w:ascii="Times New Roman" w:hAnsi="Times New Roman" w:cs="Times New Roman"/>
        </w:rPr>
        <w:t>不外排。</w:t>
      </w:r>
    </w:p>
    <w:p w14:paraId="123B9D5D">
      <w:pPr>
        <w:spacing w:line="500" w:lineRule="exact"/>
        <w:ind w:right="6" w:firstLine="480" w:firstLineChars="200"/>
        <w:jc w:val="both"/>
        <w:rPr>
          <w:rFonts w:hint="eastAsia" w:ascii="Times New Roman" w:hAnsi="Times New Roman" w:cs="Times New Roman"/>
        </w:rPr>
      </w:pPr>
      <w:r>
        <w:rPr>
          <w:rFonts w:hint="eastAsia" w:ascii="Times New Roman" w:hAnsi="Times New Roman" w:cs="Times New Roman"/>
        </w:rPr>
        <w:t>本项目水平衡见表3.3-3</w:t>
      </w:r>
      <w:r>
        <w:rPr>
          <w:rFonts w:ascii="Times New Roman" w:hAnsi="Times New Roman" w:cs="Times New Roman"/>
        </w:rPr>
        <w:t>和</w:t>
      </w:r>
      <w:r>
        <w:rPr>
          <w:rFonts w:hint="eastAsia" w:ascii="Times New Roman" w:hAnsi="Times New Roman" w:cs="Times New Roman"/>
        </w:rPr>
        <w:t>图3.3-3。</w:t>
      </w:r>
    </w:p>
    <w:p w14:paraId="52417980">
      <w:pPr>
        <w:adjustRightInd w:val="0"/>
        <w:spacing w:before="100" w:beforeAutospacing="1"/>
        <w:jc w:val="center"/>
        <w:rPr>
          <w:rFonts w:ascii="Times New Roman" w:hAnsi="Times New Roman" w:eastAsia="黑体" w:cs="Times New Roman"/>
          <w:sz w:val="21"/>
          <w:szCs w:val="21"/>
        </w:rPr>
      </w:pPr>
      <w:r>
        <w:rPr>
          <w:rFonts w:ascii="Times New Roman" w:hAnsi="Times New Roman" w:eastAsia="黑体" w:cs="Times New Roman"/>
        </w:rPr>
        <w:t>表</w:t>
      </w:r>
      <w:r>
        <w:rPr>
          <w:rFonts w:hint="eastAsia" w:ascii="Times New Roman" w:hAnsi="Times New Roman" w:cs="Times New Roman"/>
          <w:szCs w:val="18"/>
        </w:rPr>
        <w:t>3.3-</w:t>
      </w:r>
      <w:r>
        <w:rPr>
          <w:rFonts w:ascii="Times New Roman" w:hAnsi="Times New Roman" w:cs="Times New Roman"/>
          <w:szCs w:val="18"/>
        </w:rPr>
        <w:t>3</w:t>
      </w:r>
      <w:r>
        <w:rPr>
          <w:rFonts w:ascii="Times New Roman" w:hAnsi="Times New Roman" w:eastAsia="黑体" w:cs="Times New Roman"/>
        </w:rPr>
        <w:t xml:space="preserve">  </w:t>
      </w:r>
      <w:r>
        <w:rPr>
          <w:rFonts w:hint="eastAsia" w:ascii="Times New Roman" w:hAnsi="Times New Roman" w:eastAsia="黑体" w:cs="Times New Roman"/>
        </w:rPr>
        <w:t>本项目</w:t>
      </w:r>
      <w:r>
        <w:rPr>
          <w:rFonts w:ascii="Times New Roman" w:hAnsi="Times New Roman" w:eastAsia="黑体" w:cs="Times New Roman"/>
        </w:rPr>
        <w:t>水</w:t>
      </w:r>
      <w:r>
        <w:rPr>
          <w:rFonts w:hint="eastAsia" w:ascii="Times New Roman" w:hAnsi="Times New Roman" w:eastAsia="黑体" w:cs="Times New Roman"/>
        </w:rPr>
        <w:t>量</w:t>
      </w:r>
      <w:r>
        <w:rPr>
          <w:rFonts w:ascii="Times New Roman" w:hAnsi="Times New Roman" w:eastAsia="黑体" w:cs="Times New Roman"/>
        </w:rPr>
        <w:t xml:space="preserve">平衡分析一览表    </w:t>
      </w:r>
      <w:r>
        <w:rPr>
          <w:rFonts w:ascii="Times New Roman" w:hAnsi="Times New Roman" w:eastAsia="黑体" w:cs="Times New Roman"/>
          <w:sz w:val="21"/>
          <w:szCs w:val="21"/>
        </w:rPr>
        <w:t>单位：m</w:t>
      </w:r>
      <w:r>
        <w:rPr>
          <w:rFonts w:ascii="Times New Roman" w:hAnsi="Times New Roman" w:eastAsia="黑体" w:cs="Times New Roman"/>
          <w:sz w:val="21"/>
          <w:szCs w:val="21"/>
          <w:vertAlign w:val="superscript"/>
        </w:rPr>
        <w:t>3</w:t>
      </w:r>
      <w:r>
        <w:rPr>
          <w:rFonts w:ascii="Times New Roman" w:hAnsi="Times New Roman" w:eastAsia="黑体" w:cs="Times New Roman"/>
          <w:sz w:val="21"/>
          <w:szCs w:val="21"/>
        </w:rPr>
        <w:t>/h</w:t>
      </w:r>
    </w:p>
    <w:p w14:paraId="1F1C7B3B">
      <w:pPr>
        <w:adjustRightInd w:val="0"/>
        <w:jc w:val="center"/>
        <w:rPr>
          <w:rFonts w:hint="eastAsia" w:ascii="Times New Roman" w:hAnsi="Times New Roman" w:cs="Times New Roman"/>
        </w:rPr>
      </w:pPr>
    </w:p>
    <w:p w14:paraId="195B15B1">
      <w:pPr>
        <w:adjustRightInd w:val="0"/>
        <w:spacing w:line="360" w:lineRule="auto"/>
        <w:jc w:val="center"/>
        <w:rPr>
          <w:rFonts w:ascii="Times New Roman" w:hAnsi="Times New Roman" w:eastAsia="黑体" w:cs="Times New Roman"/>
        </w:rPr>
      </w:pPr>
      <w:r>
        <w:rPr>
          <w:rFonts w:ascii="Times New Roman" w:hAnsi="Times New Roman" w:eastAsia="黑体" w:cs="Times New Roman"/>
        </w:rPr>
        <w:t>图</w:t>
      </w:r>
      <w:r>
        <w:rPr>
          <w:rFonts w:hint="eastAsia" w:ascii="Times New Roman" w:hAnsi="Times New Roman" w:eastAsia="黑体" w:cs="Times New Roman"/>
        </w:rPr>
        <w:t>3.3-3</w:t>
      </w:r>
      <w:r>
        <w:rPr>
          <w:rFonts w:ascii="Times New Roman" w:hAnsi="Times New Roman" w:eastAsia="黑体" w:cs="Times New Roman"/>
        </w:rPr>
        <w:t xml:space="preserve">  </w:t>
      </w:r>
      <w:r>
        <w:rPr>
          <w:rFonts w:hint="eastAsia" w:ascii="Times New Roman" w:hAnsi="Times New Roman" w:eastAsia="黑体" w:cs="Times New Roman"/>
        </w:rPr>
        <w:t>本项目水量</w:t>
      </w:r>
      <w:r>
        <w:rPr>
          <w:rFonts w:ascii="Times New Roman" w:hAnsi="Times New Roman" w:eastAsia="黑体" w:cs="Times New Roman"/>
        </w:rPr>
        <w:t>平衡图</w:t>
      </w:r>
      <w:r>
        <w:rPr>
          <w:rFonts w:hint="eastAsia" w:ascii="Times New Roman" w:hAnsi="Times New Roman" w:eastAsia="黑体" w:cs="Times New Roman"/>
        </w:rPr>
        <w:t>（</w:t>
      </w:r>
      <w:r>
        <w:rPr>
          <w:rFonts w:ascii="Times New Roman" w:hAnsi="Times New Roman" w:eastAsia="黑体" w:cs="Times New Roman"/>
        </w:rPr>
        <w:t>单位：</w:t>
      </w:r>
      <w:r>
        <w:rPr>
          <w:rFonts w:hint="eastAsia" w:ascii="Times New Roman" w:hAnsi="Times New Roman" w:eastAsia="黑体" w:cs="Times New Roman"/>
        </w:rPr>
        <w:t>m</w:t>
      </w:r>
      <w:r>
        <w:rPr>
          <w:rFonts w:ascii="Times New Roman" w:hAnsi="Times New Roman" w:eastAsia="黑体" w:cs="Times New Roman"/>
          <w:vertAlign w:val="superscript"/>
        </w:rPr>
        <w:t>3</w:t>
      </w:r>
      <w:r>
        <w:rPr>
          <w:rFonts w:ascii="Times New Roman" w:hAnsi="Times New Roman" w:eastAsia="黑体" w:cs="Times New Roman"/>
        </w:rPr>
        <w:t>/h</w:t>
      </w:r>
      <w:r>
        <w:rPr>
          <w:rFonts w:hint="eastAsia" w:ascii="Times New Roman" w:hAnsi="Times New Roman" w:eastAsia="黑体" w:cs="Times New Roman"/>
        </w:rPr>
        <w:t>）</w:t>
      </w:r>
    </w:p>
    <w:p w14:paraId="456D3771">
      <w:pPr>
        <w:spacing w:line="500" w:lineRule="exact"/>
        <w:ind w:right="6" w:firstLine="482" w:firstLineChars="200"/>
        <w:jc w:val="both"/>
        <w:rPr>
          <w:rFonts w:hint="eastAsia" w:ascii="Times New Roman" w:hAnsi="Times New Roman" w:cs="Times New Roman"/>
          <w:b/>
        </w:rPr>
      </w:pPr>
      <w:r>
        <w:rPr>
          <w:rFonts w:hint="eastAsia" w:ascii="Times New Roman" w:hAnsi="Times New Roman" w:cs="Times New Roman"/>
          <w:b/>
        </w:rPr>
        <w:t>（2）全厂水平衡</w:t>
      </w:r>
    </w:p>
    <w:p w14:paraId="0C7C21C4">
      <w:pPr>
        <w:adjustRightInd w:val="0"/>
        <w:spacing w:line="500" w:lineRule="exact"/>
        <w:ind w:firstLine="480" w:firstLineChars="200"/>
        <w:jc w:val="both"/>
        <w:rPr>
          <w:rFonts w:ascii="Times New Roman" w:hAnsi="Times New Roman" w:cs="Times New Roman"/>
        </w:rPr>
      </w:pPr>
      <w:r>
        <w:rPr>
          <w:rFonts w:hint="eastAsia"/>
          <w:szCs w:val="21"/>
        </w:rPr>
        <w:t>本项目实施后</w:t>
      </w:r>
      <w:r>
        <w:rPr>
          <w:rFonts w:ascii="Times New Roman" w:hAnsi="Times New Roman" w:cs="Times New Roman"/>
        </w:rPr>
        <w:t>全厂水量平衡见表3.3-4和</w:t>
      </w:r>
      <w:r>
        <w:rPr>
          <w:rFonts w:hint="eastAsia" w:ascii="Times New Roman" w:hAnsi="Times New Roman" w:cs="Times New Roman"/>
        </w:rPr>
        <w:t>图3.3-4</w:t>
      </w:r>
      <w:r>
        <w:rPr>
          <w:rFonts w:ascii="Times New Roman" w:hAnsi="Times New Roman" w:cs="Times New Roman"/>
        </w:rPr>
        <w:t>。</w:t>
      </w:r>
    </w:p>
    <w:p w14:paraId="0A27A7D3">
      <w:pPr>
        <w:adjustRightInd w:val="0"/>
        <w:spacing w:before="100" w:beforeAutospacing="1"/>
        <w:jc w:val="center"/>
        <w:rPr>
          <w:rFonts w:ascii="Times New Roman" w:hAnsi="Times New Roman" w:eastAsia="黑体" w:cs="Times New Roman"/>
          <w:sz w:val="21"/>
          <w:szCs w:val="21"/>
        </w:rPr>
      </w:pPr>
      <w:r>
        <w:rPr>
          <w:rFonts w:ascii="Times New Roman" w:hAnsi="Times New Roman" w:eastAsia="黑体" w:cs="Times New Roman"/>
        </w:rPr>
        <w:t>表</w:t>
      </w:r>
      <w:r>
        <w:rPr>
          <w:rFonts w:hint="eastAsia" w:ascii="Times New Roman" w:hAnsi="Times New Roman" w:cs="Times New Roman"/>
          <w:szCs w:val="18"/>
        </w:rPr>
        <w:t>3.3-</w:t>
      </w:r>
      <w:r>
        <w:rPr>
          <w:rFonts w:ascii="Times New Roman" w:hAnsi="Times New Roman" w:cs="Times New Roman"/>
          <w:szCs w:val="18"/>
        </w:rPr>
        <w:t>3</w:t>
      </w:r>
      <w:r>
        <w:rPr>
          <w:rFonts w:ascii="Times New Roman" w:hAnsi="Times New Roman" w:eastAsia="黑体" w:cs="Times New Roman"/>
        </w:rPr>
        <w:t xml:space="preserve">  </w:t>
      </w:r>
      <w:r>
        <w:rPr>
          <w:rFonts w:hint="eastAsia" w:ascii="Times New Roman" w:hAnsi="Times New Roman" w:eastAsia="黑体" w:cs="Times New Roman"/>
        </w:rPr>
        <w:t>全厂</w:t>
      </w:r>
      <w:r>
        <w:rPr>
          <w:rFonts w:ascii="Times New Roman" w:hAnsi="Times New Roman" w:eastAsia="黑体" w:cs="Times New Roman"/>
        </w:rPr>
        <w:t>水</w:t>
      </w:r>
      <w:r>
        <w:rPr>
          <w:rFonts w:hint="eastAsia" w:ascii="Times New Roman" w:hAnsi="Times New Roman" w:eastAsia="黑体" w:cs="Times New Roman"/>
        </w:rPr>
        <w:t>量</w:t>
      </w:r>
      <w:r>
        <w:rPr>
          <w:rFonts w:ascii="Times New Roman" w:hAnsi="Times New Roman" w:eastAsia="黑体" w:cs="Times New Roman"/>
        </w:rPr>
        <w:t xml:space="preserve">平衡分析一览表    </w:t>
      </w:r>
      <w:r>
        <w:rPr>
          <w:rFonts w:ascii="Times New Roman" w:hAnsi="Times New Roman" w:eastAsia="黑体" w:cs="Times New Roman"/>
          <w:sz w:val="21"/>
          <w:szCs w:val="21"/>
        </w:rPr>
        <w:t>单位：m</w:t>
      </w:r>
      <w:r>
        <w:rPr>
          <w:rFonts w:ascii="Times New Roman" w:hAnsi="Times New Roman" w:eastAsia="黑体" w:cs="Times New Roman"/>
          <w:sz w:val="21"/>
          <w:szCs w:val="21"/>
          <w:vertAlign w:val="superscript"/>
        </w:rPr>
        <w:t>3</w:t>
      </w:r>
      <w:r>
        <w:rPr>
          <w:rFonts w:ascii="Times New Roman" w:hAnsi="Times New Roman" w:eastAsia="黑体" w:cs="Times New Roman"/>
          <w:sz w:val="21"/>
          <w:szCs w:val="21"/>
        </w:rPr>
        <w:t>/h</w:t>
      </w:r>
    </w:p>
    <w:p w14:paraId="5EFFE7CB">
      <w:pPr>
        <w:adjustRightInd w:val="0"/>
        <w:spacing w:line="360" w:lineRule="auto"/>
        <w:jc w:val="center"/>
        <w:rPr>
          <w:rFonts w:hint="eastAsia"/>
        </w:rPr>
      </w:pPr>
    </w:p>
    <w:p w14:paraId="01EB17F1">
      <w:pPr>
        <w:adjustRightInd w:val="0"/>
        <w:spacing w:line="360" w:lineRule="auto"/>
        <w:jc w:val="center"/>
        <w:rPr>
          <w:rFonts w:hint="eastAsia"/>
        </w:rPr>
      </w:pPr>
    </w:p>
    <w:p w14:paraId="32137D81">
      <w:pPr>
        <w:adjustRightInd w:val="0"/>
        <w:spacing w:line="360" w:lineRule="auto"/>
        <w:jc w:val="center"/>
        <w:rPr>
          <w:rFonts w:hint="eastAsia"/>
        </w:rPr>
      </w:pPr>
    </w:p>
    <w:p w14:paraId="235DB5DB">
      <w:pPr>
        <w:adjustRightInd w:val="0"/>
        <w:spacing w:line="360" w:lineRule="auto"/>
        <w:jc w:val="center"/>
        <w:rPr>
          <w:rFonts w:hint="eastAsia"/>
        </w:rPr>
      </w:pPr>
    </w:p>
    <w:p w14:paraId="2E2C1970">
      <w:pPr>
        <w:adjustRightInd w:val="0"/>
        <w:spacing w:line="360" w:lineRule="auto"/>
        <w:jc w:val="center"/>
        <w:rPr>
          <w:rFonts w:hint="eastAsia"/>
        </w:rPr>
      </w:pPr>
    </w:p>
    <w:p w14:paraId="2CABC2DE">
      <w:pPr>
        <w:adjustRightInd w:val="0"/>
        <w:spacing w:line="360" w:lineRule="auto"/>
        <w:jc w:val="center"/>
        <w:rPr>
          <w:rFonts w:hint="eastAsia"/>
        </w:rPr>
      </w:pPr>
    </w:p>
    <w:p w14:paraId="3FF05DE7">
      <w:pPr>
        <w:adjustRightInd w:val="0"/>
        <w:spacing w:line="360" w:lineRule="auto"/>
        <w:jc w:val="center"/>
        <w:rPr>
          <w:rFonts w:hint="eastAsia"/>
        </w:rPr>
      </w:pPr>
    </w:p>
    <w:p w14:paraId="19F62939">
      <w:pPr>
        <w:adjustRightInd w:val="0"/>
        <w:spacing w:line="360" w:lineRule="auto"/>
        <w:jc w:val="center"/>
        <w:rPr>
          <w:rFonts w:hint="eastAsia"/>
        </w:rPr>
      </w:pPr>
    </w:p>
    <w:p w14:paraId="27F613CA">
      <w:pPr>
        <w:adjustRightInd w:val="0"/>
        <w:spacing w:line="360" w:lineRule="auto"/>
        <w:jc w:val="center"/>
        <w:rPr>
          <w:rFonts w:hint="eastAsia"/>
        </w:rPr>
      </w:pPr>
    </w:p>
    <w:p w14:paraId="1DE9A5D1">
      <w:pPr>
        <w:adjustRightInd w:val="0"/>
        <w:spacing w:line="360" w:lineRule="auto"/>
        <w:jc w:val="center"/>
        <w:rPr>
          <w:rFonts w:hint="eastAsia"/>
        </w:rPr>
      </w:pPr>
    </w:p>
    <w:p w14:paraId="3665742A">
      <w:pPr>
        <w:adjustRightInd w:val="0"/>
        <w:spacing w:line="360" w:lineRule="auto"/>
        <w:jc w:val="center"/>
        <w:rPr>
          <w:rFonts w:hint="eastAsia"/>
        </w:rPr>
      </w:pPr>
    </w:p>
    <w:p w14:paraId="5E6A0FE0">
      <w:pPr>
        <w:adjustRightInd w:val="0"/>
        <w:spacing w:line="360" w:lineRule="auto"/>
        <w:jc w:val="center"/>
        <w:rPr>
          <w:rFonts w:hint="eastAsia"/>
        </w:rPr>
      </w:pPr>
    </w:p>
    <w:p w14:paraId="4B5CFB54">
      <w:pPr>
        <w:adjustRightInd w:val="0"/>
        <w:spacing w:line="360" w:lineRule="auto"/>
        <w:jc w:val="center"/>
        <w:rPr>
          <w:rFonts w:ascii="Times New Roman" w:hAnsi="Times New Roman" w:eastAsia="黑体" w:cs="Times New Roman"/>
        </w:rPr>
      </w:pPr>
    </w:p>
    <w:p w14:paraId="655CBD32">
      <w:pPr>
        <w:adjustRightInd w:val="0"/>
        <w:spacing w:line="360" w:lineRule="auto"/>
        <w:jc w:val="center"/>
        <w:rPr>
          <w:rFonts w:ascii="Times New Roman" w:hAnsi="Times New Roman" w:eastAsia="黑体" w:cs="Times New Roman"/>
        </w:rPr>
      </w:pPr>
      <w:r>
        <w:rPr>
          <w:rFonts w:ascii="Times New Roman" w:hAnsi="Times New Roman" w:eastAsia="黑体" w:cs="Times New Roman"/>
        </w:rPr>
        <w:t>图</w:t>
      </w:r>
      <w:r>
        <w:rPr>
          <w:rFonts w:hint="eastAsia" w:ascii="Times New Roman" w:hAnsi="Times New Roman" w:eastAsia="黑体" w:cs="Times New Roman"/>
        </w:rPr>
        <w:t>3.3-4</w:t>
      </w:r>
      <w:r>
        <w:rPr>
          <w:rFonts w:ascii="Times New Roman" w:hAnsi="Times New Roman" w:eastAsia="黑体" w:cs="Times New Roman"/>
        </w:rPr>
        <w:t xml:space="preserve">  </w:t>
      </w:r>
      <w:r>
        <w:rPr>
          <w:rFonts w:hint="eastAsia" w:ascii="Times New Roman" w:hAnsi="Times New Roman" w:eastAsia="黑体" w:cs="Times New Roman"/>
        </w:rPr>
        <w:t>本项目实施后全厂水量</w:t>
      </w:r>
      <w:r>
        <w:rPr>
          <w:rFonts w:ascii="Times New Roman" w:hAnsi="Times New Roman" w:eastAsia="黑体" w:cs="Times New Roman"/>
        </w:rPr>
        <w:t>平衡图</w:t>
      </w:r>
      <w:r>
        <w:rPr>
          <w:rFonts w:hint="eastAsia" w:ascii="Times New Roman" w:hAnsi="Times New Roman" w:eastAsia="黑体" w:cs="Times New Roman"/>
        </w:rPr>
        <w:t>（</w:t>
      </w:r>
      <w:r>
        <w:rPr>
          <w:rFonts w:ascii="Times New Roman" w:hAnsi="Times New Roman" w:eastAsia="黑体" w:cs="Times New Roman"/>
        </w:rPr>
        <w:t>单位：</w:t>
      </w:r>
      <w:r>
        <w:rPr>
          <w:rFonts w:hint="eastAsia" w:ascii="Times New Roman" w:hAnsi="Times New Roman" w:eastAsia="黑体" w:cs="Times New Roman"/>
        </w:rPr>
        <w:t>m</w:t>
      </w:r>
      <w:r>
        <w:rPr>
          <w:rFonts w:ascii="Times New Roman" w:hAnsi="Times New Roman" w:eastAsia="黑体" w:cs="Times New Roman"/>
          <w:vertAlign w:val="superscript"/>
        </w:rPr>
        <w:t>3</w:t>
      </w:r>
      <w:r>
        <w:rPr>
          <w:rFonts w:ascii="Times New Roman" w:hAnsi="Times New Roman" w:eastAsia="黑体" w:cs="Times New Roman"/>
        </w:rPr>
        <w:t>/h</w:t>
      </w:r>
      <w:r>
        <w:rPr>
          <w:rFonts w:hint="eastAsia" w:ascii="Times New Roman" w:hAnsi="Times New Roman" w:eastAsia="黑体" w:cs="Times New Roman"/>
        </w:rPr>
        <w:t>）</w:t>
      </w:r>
    </w:p>
    <w:p w14:paraId="26D51280">
      <w:pPr>
        <w:pStyle w:val="6"/>
        <w:spacing w:before="239"/>
        <w:rPr>
          <w:rFonts w:hint="eastAsia"/>
        </w:rPr>
      </w:pPr>
      <w:bookmarkStart w:id="290" w:name="_Toc15396"/>
      <w:bookmarkStart w:id="291" w:name="_Toc90026127"/>
      <w:r>
        <w:rPr>
          <w:rFonts w:hint="eastAsia"/>
        </w:rPr>
        <w:t>3</w:t>
      </w:r>
      <w:r>
        <w:t xml:space="preserve">.4 </w:t>
      </w:r>
      <w:r>
        <w:rPr>
          <w:rFonts w:hint="eastAsia"/>
        </w:rPr>
        <w:t>污染源源强核算</w:t>
      </w:r>
      <w:bookmarkEnd w:id="290"/>
      <w:bookmarkEnd w:id="291"/>
    </w:p>
    <w:p w14:paraId="2A98EF01">
      <w:pPr>
        <w:pStyle w:val="7"/>
      </w:pPr>
      <w:bookmarkStart w:id="292" w:name="_Toc29689"/>
      <w:bookmarkStart w:id="293" w:name="_Toc90026263"/>
      <w:r>
        <w:rPr>
          <w:lang w:eastAsia="zh-CN"/>
        </w:rPr>
        <w:t>3</w:t>
      </w:r>
      <w:r>
        <w:t>.</w:t>
      </w:r>
      <w:r>
        <w:rPr>
          <w:rFonts w:hint="eastAsia"/>
          <w:lang w:eastAsia="zh-CN"/>
        </w:rPr>
        <w:t>4</w:t>
      </w:r>
      <w:r>
        <w:t>.1 废气</w:t>
      </w:r>
      <w:bookmarkEnd w:id="292"/>
      <w:bookmarkEnd w:id="293"/>
    </w:p>
    <w:p w14:paraId="3646A936">
      <w:pPr>
        <w:pStyle w:val="133"/>
      </w:pPr>
      <w:r>
        <w:rPr>
          <w:rFonts w:hint="eastAsia"/>
        </w:rPr>
        <w:t>3</w:t>
      </w:r>
      <w:r>
        <w:t>.</w:t>
      </w:r>
      <w:r>
        <w:rPr>
          <w:rFonts w:hint="eastAsia"/>
        </w:rPr>
        <w:t>4</w:t>
      </w:r>
      <w:r>
        <w:t>.</w:t>
      </w:r>
      <w:r>
        <w:rPr>
          <w:rFonts w:hint="eastAsia"/>
        </w:rPr>
        <w:t>1</w:t>
      </w:r>
      <w:r>
        <w:t>.</w:t>
      </w:r>
      <w:r>
        <w:rPr>
          <w:rFonts w:hint="eastAsia"/>
        </w:rPr>
        <w:t>1</w:t>
      </w:r>
      <w:r>
        <w:rPr>
          <w:rFonts w:hint="eastAsia"/>
          <w:lang w:eastAsia="zh-CN"/>
        </w:rPr>
        <w:t xml:space="preserve"> </w:t>
      </w:r>
      <w:r>
        <w:rPr>
          <w:rFonts w:hint="eastAsia"/>
        </w:rPr>
        <w:t>有组织排放</w:t>
      </w:r>
    </w:p>
    <w:p w14:paraId="5049066A">
      <w:pPr>
        <w:adjustRightInd w:val="0"/>
        <w:ind w:firstLine="480" w:firstLineChars="200"/>
        <w:rPr>
          <w:rFonts w:hint="default" w:ascii="Times New Roman" w:hAnsi="Times New Roman" w:eastAsia="宋体" w:cs="Times New Roman"/>
          <w:b w:val="0"/>
          <w:bCs w:val="0"/>
          <w:lang w:val="en-US" w:eastAsia="zh-CN"/>
        </w:rPr>
      </w:pPr>
      <w:r>
        <w:rPr>
          <w:rFonts w:hint="eastAsia" w:ascii="Times New Roman" w:hAnsi="Times New Roman" w:cs="Times New Roman"/>
          <w:b w:val="0"/>
          <w:bCs w:val="0"/>
          <w:lang w:eastAsia="zh-CN"/>
        </w:rPr>
        <w:t>（</w:t>
      </w:r>
      <w:r>
        <w:rPr>
          <w:rFonts w:hint="eastAsia" w:ascii="Times New Roman" w:hAnsi="Times New Roman" w:cs="Times New Roman"/>
          <w:b w:val="0"/>
          <w:bCs w:val="0"/>
          <w:lang w:val="en-US" w:eastAsia="zh-CN"/>
        </w:rPr>
        <w:t>一</w:t>
      </w:r>
      <w:r>
        <w:rPr>
          <w:rFonts w:hint="eastAsia" w:ascii="Times New Roman" w:hAnsi="Times New Roman" w:cs="Times New Roman"/>
          <w:b w:val="0"/>
          <w:bCs w:val="0"/>
          <w:lang w:eastAsia="zh-CN"/>
        </w:rPr>
        <w:t>）</w:t>
      </w:r>
      <w:r>
        <w:rPr>
          <w:rFonts w:hint="eastAsia" w:ascii="Times New Roman" w:hAnsi="Times New Roman" w:cs="Times New Roman"/>
          <w:b w:val="0"/>
          <w:bCs w:val="0"/>
          <w:lang w:val="en-US" w:eastAsia="zh-CN"/>
        </w:rPr>
        <w:t>烧结矿废气</w:t>
      </w:r>
    </w:p>
    <w:p w14:paraId="5E74D219">
      <w:pPr>
        <w:adjustRightInd w:val="0"/>
        <w:ind w:firstLine="480" w:firstLineChars="200"/>
        <w:rPr>
          <w:rFonts w:hint="eastAsia" w:ascii="Times New Roman" w:hAnsi="Times New Roman" w:cs="Times New Roman"/>
          <w:b w:val="0"/>
          <w:bCs w:val="0"/>
        </w:rPr>
      </w:pPr>
      <w:r>
        <w:rPr>
          <w:rFonts w:hint="eastAsia" w:ascii="Times New Roman" w:hAnsi="Times New Roman" w:cs="Times New Roman"/>
          <w:b w:val="0"/>
          <w:bCs w:val="0"/>
        </w:rPr>
        <w:t>根据《污染源源强核算技术和指南 钢铁工业》，技改项目废气污染物源强类比现有烧结机项目相关环节验收监测数据、日常运行监测数据以及其他同类型项目。</w:t>
      </w:r>
    </w:p>
    <w:p w14:paraId="204ABD8D">
      <w:pPr>
        <w:adjustRightInd w:val="0"/>
        <w:ind w:firstLine="480" w:firstLineChars="200"/>
        <w:rPr>
          <w:rFonts w:hint="eastAsia" w:ascii="Times New Roman" w:hAnsi="Times New Roman" w:cs="Times New Roman"/>
          <w:b w:val="0"/>
          <w:bCs w:val="0"/>
        </w:rPr>
      </w:pPr>
      <w:r>
        <w:rPr>
          <w:rFonts w:hint="eastAsia" w:ascii="Times New Roman" w:hAnsi="Times New Roman" w:cs="Times New Roman"/>
          <w:b w:val="0"/>
          <w:bCs w:val="0"/>
        </w:rPr>
        <w:t>（1）配料系统除尘系统（G</w:t>
      </w:r>
      <w:r>
        <w:rPr>
          <w:rFonts w:hint="eastAsia" w:ascii="Times New Roman" w:hAnsi="Times New Roman" w:cs="Times New Roman"/>
          <w:b w:val="0"/>
          <w:bCs w:val="0"/>
          <w:lang w:val="en-US" w:eastAsia="zh-CN"/>
        </w:rPr>
        <w:t>1</w:t>
      </w:r>
      <w:r>
        <w:rPr>
          <w:rFonts w:hint="eastAsia" w:ascii="Times New Roman" w:hAnsi="Times New Roman" w:cs="Times New Roman"/>
          <w:b w:val="0"/>
          <w:bCs w:val="0"/>
        </w:rPr>
        <w:t>）</w:t>
      </w:r>
    </w:p>
    <w:p w14:paraId="135A5501">
      <w:pPr>
        <w:adjustRightInd w:val="0"/>
        <w:ind w:firstLine="480" w:firstLineChars="200"/>
        <w:rPr>
          <w:rFonts w:hint="eastAsia" w:ascii="Times New Roman" w:hAnsi="Times New Roman" w:cs="Times New Roman"/>
          <w:b w:val="0"/>
          <w:bCs w:val="0"/>
        </w:rPr>
      </w:pPr>
      <w:r>
        <w:rPr>
          <w:rFonts w:hint="eastAsia" w:ascii="Times New Roman" w:hAnsi="Times New Roman" w:cs="Times New Roman"/>
          <w:b w:val="0"/>
          <w:bCs w:val="0"/>
          <w:highlight w:val="none"/>
        </w:rPr>
        <w:t>配料系统袋式除尘系统处理配料产生的含尘废气，设计总风量为</w:t>
      </w:r>
      <w:r>
        <w:rPr>
          <w:rFonts w:hint="eastAsia" w:ascii="Times New Roman" w:hAnsi="Times New Roman" w:cs="Times New Roman"/>
          <w:b w:val="0"/>
          <w:bCs w:val="0"/>
          <w:highlight w:val="none"/>
          <w:lang w:val="en-US" w:eastAsia="zh-CN"/>
        </w:rPr>
        <w:t>30000</w:t>
      </w:r>
      <w:r>
        <w:rPr>
          <w:rFonts w:hint="eastAsia" w:ascii="Times New Roman" w:hAnsi="Times New Roman" w:cs="Times New Roman"/>
          <w:b w:val="0"/>
          <w:bCs w:val="0"/>
          <w:highlight w:val="none"/>
        </w:rPr>
        <w:t>m</w:t>
      </w:r>
      <w:r>
        <w:rPr>
          <w:rFonts w:hint="eastAsia" w:ascii="Times New Roman" w:hAnsi="Times New Roman" w:cs="Times New Roman"/>
          <w:b w:val="0"/>
          <w:bCs w:val="0"/>
          <w:highlight w:val="none"/>
          <w:vertAlign w:val="superscript"/>
        </w:rPr>
        <w:t>3</w:t>
      </w:r>
      <w:r>
        <w:rPr>
          <w:rFonts w:hint="eastAsia" w:ascii="Times New Roman" w:hAnsi="Times New Roman" w:cs="Times New Roman"/>
          <w:b w:val="0"/>
          <w:bCs w:val="0"/>
          <w:highlight w:val="none"/>
        </w:rPr>
        <w:t>/h。</w:t>
      </w:r>
      <w:r>
        <w:rPr>
          <w:rFonts w:hint="eastAsia" w:ascii="Times New Roman" w:hAnsi="Times New Roman" w:cs="Times New Roman"/>
          <w:b w:val="0"/>
          <w:bCs w:val="0"/>
        </w:rPr>
        <w:t>根据《污染源源强核算技术指南</w:t>
      </w:r>
      <w:r>
        <w:rPr>
          <w:rFonts w:hint="eastAsia" w:ascii="Times New Roman" w:hAnsi="Times New Roman" w:cs="Times New Roman"/>
          <w:b w:val="0"/>
          <w:bCs w:val="0"/>
          <w:lang w:val="en-US" w:eastAsia="zh-CN"/>
        </w:rPr>
        <w:t xml:space="preserve"> </w:t>
      </w:r>
      <w:r>
        <w:rPr>
          <w:rFonts w:hint="eastAsia" w:ascii="Times New Roman" w:hAnsi="Times New Roman" w:cs="Times New Roman"/>
          <w:b w:val="0"/>
          <w:bCs w:val="0"/>
        </w:rPr>
        <w:t>钢铁工业》(HJ885-2018)，配料系统颗粒物源强核算方法优先采用类比法，类比</w:t>
      </w:r>
      <w:r>
        <w:rPr>
          <w:rFonts w:hint="eastAsia" w:ascii="Times New Roman" w:hAnsi="Times New Roman" w:cs="Times New Roman"/>
          <w:b w:val="0"/>
          <w:bCs w:val="0"/>
          <w:lang w:val="en-US" w:eastAsia="zh-CN"/>
        </w:rPr>
        <w:t>玉麒麟</w:t>
      </w:r>
      <w:r>
        <w:rPr>
          <w:rFonts w:hint="eastAsia" w:ascii="Times New Roman" w:hAnsi="Times New Roman" w:cs="Times New Roman"/>
          <w:b w:val="0"/>
          <w:bCs w:val="0"/>
        </w:rPr>
        <w:t>公司</w:t>
      </w:r>
      <w:r>
        <w:rPr>
          <w:rFonts w:hint="eastAsia" w:ascii="Times New Roman" w:hAnsi="Times New Roman" w:cs="Times New Roman"/>
          <w:b w:val="0"/>
          <w:bCs w:val="0"/>
          <w:lang w:val="en-US" w:eastAsia="zh-CN"/>
        </w:rPr>
        <w:t>原</w:t>
      </w:r>
      <w:r>
        <w:rPr>
          <w:rFonts w:hint="eastAsia" w:ascii="Times New Roman" w:hAnsi="Times New Roman" w:cs="Times New Roman"/>
          <w:b w:val="0"/>
          <w:bCs w:val="0"/>
        </w:rPr>
        <w:t>烧结机以及同类企业同类装置，配料颗粒物产生浓度约为920-</w:t>
      </w:r>
      <w:r>
        <w:rPr>
          <w:rFonts w:hint="eastAsia" w:ascii="Times New Roman" w:hAnsi="Times New Roman" w:cs="Times New Roman"/>
          <w:b w:val="0"/>
          <w:bCs w:val="0"/>
          <w:lang w:val="en-US" w:eastAsia="zh-CN"/>
        </w:rPr>
        <w:t>20</w:t>
      </w:r>
      <w:r>
        <w:rPr>
          <w:rFonts w:hint="eastAsia" w:ascii="Times New Roman" w:hAnsi="Times New Roman" w:cs="Times New Roman"/>
          <w:b w:val="0"/>
          <w:bCs w:val="0"/>
        </w:rPr>
        <w:t>00mg/Nm</w:t>
      </w:r>
      <w:r>
        <w:rPr>
          <w:rFonts w:hint="eastAsia" w:ascii="Times New Roman" w:hAnsi="Times New Roman" w:cs="Times New Roman"/>
          <w:b w:val="0"/>
          <w:bCs w:val="0"/>
          <w:vertAlign w:val="superscript"/>
        </w:rPr>
        <w:t>3</w:t>
      </w:r>
      <w:r>
        <w:rPr>
          <w:rFonts w:hint="eastAsia" w:ascii="Times New Roman" w:hAnsi="Times New Roman" w:cs="Times New Roman"/>
          <w:b w:val="0"/>
          <w:bCs w:val="0"/>
        </w:rPr>
        <w:t>，项目含尘废气采用袋式除尘器净化，净化效率可达99.5%，项目颗粒物排放浓度为</w:t>
      </w:r>
      <w:r>
        <w:rPr>
          <w:rFonts w:hint="eastAsia" w:ascii="Times New Roman" w:hAnsi="Times New Roman" w:cs="Times New Roman"/>
          <w:b w:val="0"/>
          <w:bCs w:val="0"/>
          <w:lang w:val="en-US" w:eastAsia="zh-CN"/>
        </w:rPr>
        <w:t>10</w:t>
      </w:r>
      <w:r>
        <w:rPr>
          <w:rFonts w:hint="eastAsia" w:ascii="Times New Roman" w:hAnsi="Times New Roman" w:cs="Times New Roman"/>
          <w:b w:val="0"/>
          <w:bCs w:val="0"/>
        </w:rPr>
        <w:t>mg/Nm</w:t>
      </w:r>
      <w:r>
        <w:rPr>
          <w:rFonts w:hint="eastAsia" w:ascii="Times New Roman" w:hAnsi="Times New Roman" w:cs="Times New Roman"/>
          <w:b w:val="0"/>
          <w:bCs w:val="0"/>
          <w:vertAlign w:val="superscript"/>
        </w:rPr>
        <w:t>3</w:t>
      </w:r>
      <w:r>
        <w:rPr>
          <w:rFonts w:hint="eastAsia" w:ascii="Times New Roman" w:hAnsi="Times New Roman" w:cs="Times New Roman"/>
          <w:b w:val="0"/>
          <w:bCs w:val="0"/>
        </w:rPr>
        <w:t>，尾气经</w:t>
      </w:r>
      <w:r>
        <w:rPr>
          <w:rFonts w:hint="eastAsia" w:ascii="Times New Roman" w:hAnsi="Times New Roman" w:cs="Times New Roman"/>
          <w:b w:val="0"/>
          <w:bCs w:val="0"/>
          <w:lang w:val="en-US" w:eastAsia="zh-CN"/>
        </w:rPr>
        <w:t>1</w:t>
      </w:r>
      <w:r>
        <w:rPr>
          <w:rFonts w:hint="eastAsia" w:ascii="Times New Roman" w:hAnsi="Times New Roman" w:cs="Times New Roman"/>
          <w:b w:val="0"/>
          <w:bCs w:val="0"/>
        </w:rPr>
        <w:t>5m排气筒排放，满足《关于推进实施钢铁行业超低排放的意见》（环大气〔2019〕35号）钢铁企业超低排放指标限值的要求。</w:t>
      </w:r>
    </w:p>
    <w:p w14:paraId="00A6453E">
      <w:pPr>
        <w:adjustRightInd w:val="0"/>
        <w:ind w:firstLine="480" w:firstLineChars="200"/>
        <w:rPr>
          <w:rFonts w:hint="eastAsia" w:ascii="Times New Roman" w:hAnsi="Times New Roman" w:cs="Times New Roman"/>
          <w:b w:val="0"/>
          <w:bCs w:val="0"/>
        </w:rPr>
      </w:pPr>
      <w:r>
        <w:rPr>
          <w:rFonts w:hint="eastAsia" w:ascii="Times New Roman" w:hAnsi="Times New Roman" w:cs="Times New Roman"/>
          <w:b w:val="0"/>
          <w:bCs w:val="0"/>
        </w:rPr>
        <w:t>（</w:t>
      </w:r>
      <w:r>
        <w:rPr>
          <w:rFonts w:hint="eastAsia" w:ascii="Times New Roman" w:hAnsi="Times New Roman" w:cs="Times New Roman"/>
          <w:b w:val="0"/>
          <w:bCs w:val="0"/>
          <w:lang w:val="en-US" w:eastAsia="zh-CN"/>
        </w:rPr>
        <w:t>2</w:t>
      </w:r>
      <w:r>
        <w:rPr>
          <w:rFonts w:hint="eastAsia" w:ascii="Times New Roman" w:hAnsi="Times New Roman" w:cs="Times New Roman"/>
          <w:b w:val="0"/>
          <w:bCs w:val="0"/>
        </w:rPr>
        <w:t>）混</w:t>
      </w:r>
      <w:r>
        <w:rPr>
          <w:rFonts w:hint="eastAsia" w:ascii="Times New Roman" w:hAnsi="Times New Roman" w:cs="Times New Roman"/>
          <w:b w:val="0"/>
          <w:bCs w:val="0"/>
          <w:lang w:val="en-US" w:eastAsia="zh-CN"/>
        </w:rPr>
        <w:t>料</w:t>
      </w:r>
      <w:r>
        <w:rPr>
          <w:rFonts w:hint="eastAsia" w:ascii="Times New Roman" w:hAnsi="Times New Roman" w:cs="Times New Roman"/>
          <w:b w:val="0"/>
          <w:bCs w:val="0"/>
        </w:rPr>
        <w:t>湿法除尘系统（G</w:t>
      </w:r>
      <w:r>
        <w:rPr>
          <w:rFonts w:hint="eastAsia" w:ascii="Times New Roman" w:hAnsi="Times New Roman" w:cs="Times New Roman"/>
          <w:b w:val="0"/>
          <w:bCs w:val="0"/>
          <w:lang w:val="en-US" w:eastAsia="zh-CN"/>
        </w:rPr>
        <w:t>2</w:t>
      </w:r>
      <w:r>
        <w:rPr>
          <w:rFonts w:hint="eastAsia" w:ascii="Times New Roman" w:hAnsi="Times New Roman" w:cs="Times New Roman"/>
          <w:b w:val="0"/>
          <w:bCs w:val="0"/>
        </w:rPr>
        <w:t>）</w:t>
      </w:r>
    </w:p>
    <w:p w14:paraId="4BEC94B1">
      <w:pPr>
        <w:adjustRightInd w:val="0"/>
        <w:ind w:firstLine="480" w:firstLineChars="200"/>
        <w:rPr>
          <w:rFonts w:hint="eastAsia" w:ascii="Times New Roman" w:hAnsi="Times New Roman" w:cs="Times New Roman"/>
          <w:b w:val="0"/>
          <w:bCs w:val="0"/>
        </w:rPr>
      </w:pPr>
      <w:r>
        <w:rPr>
          <w:rFonts w:hint="eastAsia" w:ascii="Times New Roman" w:hAnsi="Times New Roman" w:cs="Times New Roman"/>
          <w:b w:val="0"/>
          <w:bCs w:val="0"/>
          <w:lang w:val="en-US" w:eastAsia="zh-CN"/>
        </w:rPr>
        <w:t>混合机</w:t>
      </w:r>
      <w:r>
        <w:rPr>
          <w:rFonts w:hint="eastAsia" w:ascii="Times New Roman" w:hAnsi="Times New Roman" w:cs="Times New Roman"/>
          <w:b w:val="0"/>
          <w:bCs w:val="0"/>
        </w:rPr>
        <w:t>湿式除尘系统处理包括一、二次混合室混合机本体进料端和出口端等处的含蒸汽除尘废气。设计总风量为</w:t>
      </w:r>
      <w:r>
        <w:rPr>
          <w:rFonts w:hint="eastAsia" w:ascii="Times New Roman" w:hAnsi="Times New Roman" w:cs="Times New Roman"/>
          <w:b w:val="0"/>
          <w:bCs w:val="0"/>
          <w:lang w:val="en-US" w:eastAsia="zh-CN"/>
        </w:rPr>
        <w:t>10</w:t>
      </w:r>
      <w:r>
        <w:rPr>
          <w:rFonts w:hint="eastAsia" w:ascii="Times New Roman" w:hAnsi="Times New Roman" w:cs="Times New Roman"/>
          <w:b w:val="0"/>
          <w:bCs w:val="0"/>
        </w:rPr>
        <w:t>0000m</w:t>
      </w:r>
      <w:r>
        <w:rPr>
          <w:rFonts w:hint="eastAsia" w:ascii="Times New Roman" w:hAnsi="Times New Roman" w:cs="Times New Roman"/>
          <w:b w:val="0"/>
          <w:bCs w:val="0"/>
          <w:vertAlign w:val="superscript"/>
        </w:rPr>
        <w:t>3</w:t>
      </w:r>
      <w:r>
        <w:rPr>
          <w:rFonts w:hint="eastAsia" w:ascii="Times New Roman" w:hAnsi="Times New Roman" w:cs="Times New Roman"/>
          <w:b w:val="0"/>
          <w:bCs w:val="0"/>
        </w:rPr>
        <w:t>/h。根据《污染源源强核算技术指南</w:t>
      </w:r>
      <w:r>
        <w:rPr>
          <w:rFonts w:hint="eastAsia" w:ascii="Times New Roman" w:hAnsi="Times New Roman" w:cs="Times New Roman"/>
          <w:b w:val="0"/>
          <w:bCs w:val="0"/>
          <w:lang w:val="en-US" w:eastAsia="zh-CN"/>
        </w:rPr>
        <w:t xml:space="preserve"> </w:t>
      </w:r>
      <w:r>
        <w:rPr>
          <w:rFonts w:hint="eastAsia" w:ascii="Times New Roman" w:hAnsi="Times New Roman" w:cs="Times New Roman"/>
          <w:b w:val="0"/>
          <w:bCs w:val="0"/>
        </w:rPr>
        <w:t>钢铁工业》（HJ885-2018），混合系统颗粒物源强核算方法优先采用类比法，类比同类企业同类装置，混合颗粒物产生浓度约为</w:t>
      </w:r>
      <w:r>
        <w:rPr>
          <w:rFonts w:hint="eastAsia" w:ascii="Times New Roman" w:hAnsi="Times New Roman" w:cs="Times New Roman"/>
          <w:b w:val="0"/>
          <w:bCs w:val="0"/>
          <w:lang w:val="en-US" w:eastAsia="zh-CN"/>
        </w:rPr>
        <w:t>2</w:t>
      </w:r>
      <w:r>
        <w:rPr>
          <w:rFonts w:hint="eastAsia" w:ascii="Times New Roman" w:hAnsi="Times New Roman" w:cs="Times New Roman"/>
          <w:b w:val="0"/>
          <w:bCs w:val="0"/>
        </w:rPr>
        <w:t>00-</w:t>
      </w:r>
      <w:r>
        <w:rPr>
          <w:rFonts w:hint="eastAsia" w:ascii="Times New Roman" w:hAnsi="Times New Roman" w:cs="Times New Roman"/>
          <w:b w:val="0"/>
          <w:bCs w:val="0"/>
          <w:lang w:val="en-US" w:eastAsia="zh-CN"/>
        </w:rPr>
        <w:t>3</w:t>
      </w:r>
      <w:r>
        <w:rPr>
          <w:rFonts w:hint="eastAsia" w:ascii="Times New Roman" w:hAnsi="Times New Roman" w:cs="Times New Roman"/>
          <w:b w:val="0"/>
          <w:bCs w:val="0"/>
        </w:rPr>
        <w:t>00mg/Nm</w:t>
      </w:r>
      <w:r>
        <w:rPr>
          <w:rFonts w:hint="eastAsia" w:ascii="Times New Roman" w:hAnsi="Times New Roman" w:cs="Times New Roman"/>
          <w:b w:val="0"/>
          <w:bCs w:val="0"/>
          <w:vertAlign w:val="superscript"/>
        </w:rPr>
        <w:t>3</w:t>
      </w:r>
      <w:r>
        <w:rPr>
          <w:rFonts w:hint="eastAsia" w:ascii="Times New Roman" w:hAnsi="Times New Roman" w:cs="Times New Roman"/>
          <w:b w:val="0"/>
          <w:bCs w:val="0"/>
        </w:rPr>
        <w:t>。</w:t>
      </w:r>
    </w:p>
    <w:p w14:paraId="7C840F2A">
      <w:pPr>
        <w:adjustRightInd w:val="0"/>
        <w:ind w:firstLine="480" w:firstLineChars="200"/>
        <w:rPr>
          <w:rFonts w:hint="eastAsia" w:ascii="Times New Roman" w:hAnsi="Times New Roman" w:cs="Times New Roman"/>
          <w:b w:val="0"/>
          <w:bCs w:val="0"/>
        </w:rPr>
      </w:pPr>
      <w:r>
        <w:rPr>
          <w:rFonts w:hint="eastAsia" w:ascii="Times New Roman" w:hAnsi="Times New Roman" w:cs="Times New Roman"/>
          <w:b w:val="0"/>
          <w:bCs w:val="0"/>
        </w:rPr>
        <w:t>由于废气中含蒸汽，含尘废气采用湿式水浴除尘器净化，净化效率可达99%，项目颗粒物排放浓度为</w:t>
      </w:r>
      <w:r>
        <w:rPr>
          <w:rFonts w:hint="eastAsia" w:ascii="Times New Roman" w:hAnsi="Times New Roman" w:cs="Times New Roman"/>
          <w:b w:val="0"/>
          <w:bCs w:val="0"/>
          <w:lang w:val="en-US" w:eastAsia="zh-CN"/>
        </w:rPr>
        <w:t>3</w:t>
      </w:r>
      <w:r>
        <w:rPr>
          <w:rFonts w:hint="eastAsia" w:ascii="Times New Roman" w:hAnsi="Times New Roman" w:cs="Times New Roman"/>
          <w:b w:val="0"/>
          <w:bCs w:val="0"/>
        </w:rPr>
        <w:t>mg/Nm</w:t>
      </w:r>
      <w:r>
        <w:rPr>
          <w:rFonts w:hint="eastAsia" w:ascii="Times New Roman" w:hAnsi="Times New Roman" w:cs="Times New Roman"/>
          <w:b w:val="0"/>
          <w:bCs w:val="0"/>
          <w:vertAlign w:val="superscript"/>
        </w:rPr>
        <w:t>3</w:t>
      </w:r>
      <w:r>
        <w:rPr>
          <w:rFonts w:hint="eastAsia" w:ascii="Times New Roman" w:hAnsi="Times New Roman" w:cs="Times New Roman"/>
          <w:b w:val="0"/>
          <w:bCs w:val="0"/>
        </w:rPr>
        <w:t>，尾气经15m排气筒排放，满足《关于推进实施钢铁行业超低排放的意见》（环大气〔2019〕35号）钢铁企业超低排放指标限值的要求。</w:t>
      </w:r>
    </w:p>
    <w:p w14:paraId="23AC094F">
      <w:pPr>
        <w:adjustRightInd w:val="0"/>
        <w:ind w:firstLine="480" w:firstLineChars="200"/>
        <w:rPr>
          <w:rFonts w:hint="eastAsia" w:ascii="Times New Roman" w:hAnsi="Times New Roman" w:cs="Times New Roman"/>
          <w:b w:val="0"/>
          <w:bCs w:val="0"/>
        </w:rPr>
      </w:pPr>
      <w:r>
        <w:rPr>
          <w:rFonts w:hint="eastAsia" w:ascii="Times New Roman" w:hAnsi="Times New Roman" w:cs="Times New Roman"/>
          <w:b w:val="0"/>
          <w:bCs w:val="0"/>
        </w:rPr>
        <w:t>（</w:t>
      </w:r>
      <w:r>
        <w:rPr>
          <w:rFonts w:hint="eastAsia" w:ascii="Times New Roman" w:hAnsi="Times New Roman" w:cs="Times New Roman"/>
          <w:b w:val="0"/>
          <w:bCs w:val="0"/>
          <w:lang w:val="en-US" w:eastAsia="zh-CN"/>
        </w:rPr>
        <w:t>3</w:t>
      </w:r>
      <w:r>
        <w:rPr>
          <w:rFonts w:hint="eastAsia" w:ascii="Times New Roman" w:hAnsi="Times New Roman" w:cs="Times New Roman"/>
          <w:b w:val="0"/>
          <w:bCs w:val="0"/>
        </w:rPr>
        <w:t>）机头烟气处理系统（G</w:t>
      </w:r>
      <w:r>
        <w:rPr>
          <w:rFonts w:hint="eastAsia" w:ascii="Times New Roman" w:hAnsi="Times New Roman" w:cs="Times New Roman"/>
          <w:b w:val="0"/>
          <w:bCs w:val="0"/>
          <w:lang w:val="en-US" w:eastAsia="zh-CN"/>
        </w:rPr>
        <w:t>3</w:t>
      </w:r>
      <w:r>
        <w:rPr>
          <w:rFonts w:hint="eastAsia" w:ascii="Times New Roman" w:hAnsi="Times New Roman" w:cs="Times New Roman"/>
          <w:b w:val="0"/>
          <w:bCs w:val="0"/>
        </w:rPr>
        <w:t>）</w:t>
      </w:r>
    </w:p>
    <w:p w14:paraId="3C28FCA5">
      <w:pPr>
        <w:adjustRightInd w:val="0"/>
        <w:ind w:firstLine="480" w:firstLineChars="200"/>
        <w:rPr>
          <w:rFonts w:hint="eastAsia" w:ascii="Times New Roman" w:hAnsi="Times New Roman" w:cs="Times New Roman"/>
          <w:b w:val="0"/>
          <w:bCs w:val="0"/>
        </w:rPr>
      </w:pPr>
      <w:r>
        <w:rPr>
          <w:rFonts w:hint="eastAsia" w:ascii="Times New Roman" w:hAnsi="Times New Roman" w:cs="Times New Roman"/>
          <w:b w:val="0"/>
          <w:bCs w:val="0"/>
        </w:rPr>
        <w:t>烧结机机头主抽风机设计风量270000m</w:t>
      </w:r>
      <w:r>
        <w:rPr>
          <w:rFonts w:hint="eastAsia" w:ascii="Times New Roman" w:hAnsi="Times New Roman" w:cs="Times New Roman"/>
          <w:b w:val="0"/>
          <w:bCs w:val="0"/>
          <w:vertAlign w:val="superscript"/>
        </w:rPr>
        <w:t>3</w:t>
      </w:r>
      <w:r>
        <w:rPr>
          <w:rFonts w:hint="eastAsia" w:ascii="Times New Roman" w:hAnsi="Times New Roman" w:cs="Times New Roman"/>
          <w:b w:val="0"/>
          <w:bCs w:val="0"/>
        </w:rPr>
        <w:t>/h，采用</w:t>
      </w:r>
      <w:r>
        <w:rPr>
          <w:rFonts w:hint="eastAsia" w:ascii="Times New Roman" w:hAnsi="Times New Roman" w:cs="Times New Roman"/>
          <w:b w:val="0"/>
          <w:bCs w:val="0"/>
          <w:lang w:val="en-US" w:eastAsia="zh-CN"/>
        </w:rPr>
        <w:t>湿</w:t>
      </w:r>
      <w:r>
        <w:rPr>
          <w:rFonts w:hint="eastAsia" w:ascii="Times New Roman" w:hAnsi="Times New Roman" w:cs="Times New Roman"/>
          <w:b w:val="0"/>
          <w:bCs w:val="0"/>
        </w:rPr>
        <w:t>电除尘器+</w:t>
      </w:r>
      <w:r>
        <w:rPr>
          <w:rFonts w:hint="eastAsia" w:ascii="Times New Roman" w:hAnsi="Times New Roman" w:cs="Times New Roman"/>
          <w:b w:val="0"/>
          <w:bCs w:val="0"/>
          <w:lang w:val="en-US" w:eastAsia="zh-CN"/>
        </w:rPr>
        <w:t>石灰石-石膏法</w:t>
      </w:r>
      <w:r>
        <w:rPr>
          <w:rFonts w:hint="eastAsia" w:ascii="Times New Roman" w:hAnsi="Times New Roman" w:cs="Times New Roman"/>
          <w:b w:val="0"/>
          <w:bCs w:val="0"/>
        </w:rPr>
        <w:t>脱硫+SCR 脱硝处理。</w:t>
      </w:r>
    </w:p>
    <w:p w14:paraId="753F5871">
      <w:pPr>
        <w:adjustRightInd w:val="0"/>
        <w:ind w:firstLine="480" w:firstLineChars="200"/>
        <w:rPr>
          <w:rFonts w:hint="eastAsia" w:ascii="Times New Roman" w:hAnsi="Times New Roman" w:cs="Times New Roman"/>
          <w:b w:val="0"/>
          <w:bCs w:val="0"/>
        </w:rPr>
      </w:pPr>
      <w:r>
        <w:rPr>
          <w:rFonts w:hint="eastAsia" w:ascii="Times New Roman" w:hAnsi="Times New Roman" w:cs="Times New Roman"/>
          <w:b w:val="0"/>
          <w:bCs w:val="0"/>
        </w:rPr>
        <w:t>烧结台车上的混合料经过点火后，开始燃烧，空气从混合料层的上部抽入，燃烧产生的烟气含SO</w:t>
      </w:r>
      <w:r>
        <w:rPr>
          <w:rFonts w:hint="eastAsia" w:ascii="Times New Roman" w:hAnsi="Times New Roman" w:cs="Times New Roman"/>
          <w:b w:val="0"/>
          <w:bCs w:val="0"/>
          <w:vertAlign w:val="subscript"/>
        </w:rPr>
        <w:t>2</w:t>
      </w:r>
      <w:r>
        <w:rPr>
          <w:rFonts w:hint="eastAsia" w:ascii="Times New Roman" w:hAnsi="Times New Roman" w:cs="Times New Roman"/>
          <w:b w:val="0"/>
          <w:bCs w:val="0"/>
        </w:rPr>
        <w:t>、NOx、烟尘、氟化物和二噁英等，其中氟化物主要来自矿石及燃料中的氟，经高温生成HF及SiF4等氟化物，另外脱硝工艺中逃逸出的氨气随机头废气一起排放。</w:t>
      </w:r>
    </w:p>
    <w:p w14:paraId="5E094B50">
      <w:pPr>
        <w:adjustRightInd w:val="0"/>
        <w:ind w:firstLine="480" w:firstLineChars="200"/>
        <w:rPr>
          <w:rFonts w:hint="eastAsia" w:ascii="Times New Roman" w:hAnsi="Times New Roman" w:cs="Times New Roman"/>
          <w:b w:val="0"/>
          <w:bCs w:val="0"/>
        </w:rPr>
      </w:pPr>
      <w:r>
        <w:rPr>
          <w:rFonts w:hint="eastAsia" w:ascii="Times New Roman" w:hAnsi="Times New Roman" w:cs="Times New Roman"/>
          <w:b w:val="0"/>
          <w:bCs w:val="0"/>
        </w:rPr>
        <w:t>根据《污染源源强核算技术指南 钢铁工业》（HJ885-2018），机头废气中颗粒物可采用类比法及排污系数法计算，本次评价采用排污系数法；二氧化硫及氟化物本次评价采用物料平衡法计算，NOx、二噁英类以及逃逸氨本次评价采用类比法计算。</w:t>
      </w:r>
    </w:p>
    <w:p w14:paraId="765606F4">
      <w:pPr>
        <w:adjustRightInd w:val="0"/>
        <w:ind w:firstLine="480" w:firstLineChars="200"/>
        <w:rPr>
          <w:rFonts w:hint="eastAsia" w:ascii="Times New Roman" w:hAnsi="Times New Roman" w:cs="Times New Roman"/>
          <w:b w:val="0"/>
          <w:bCs w:val="0"/>
        </w:rPr>
      </w:pPr>
      <w:r>
        <w:rPr>
          <w:rFonts w:hint="eastAsia" w:ascii="Times New Roman" w:hAnsi="Times New Roman" w:cs="Times New Roman"/>
          <w:b w:val="0"/>
          <w:bCs w:val="0"/>
        </w:rPr>
        <w:t>①颗粒物</w:t>
      </w:r>
    </w:p>
    <w:p w14:paraId="48B3BD3B">
      <w:pPr>
        <w:adjustRightInd w:val="0"/>
        <w:ind w:firstLine="480" w:firstLineChars="200"/>
        <w:rPr>
          <w:rFonts w:hint="eastAsia" w:ascii="Times New Roman" w:hAnsi="Times New Roman" w:cs="Times New Roman"/>
          <w:b w:val="0"/>
          <w:bCs w:val="0"/>
        </w:rPr>
      </w:pPr>
      <w:r>
        <w:rPr>
          <w:rFonts w:hint="eastAsia" w:ascii="Times New Roman" w:hAnsi="Times New Roman" w:cs="Times New Roman"/>
          <w:b w:val="0"/>
          <w:bCs w:val="0"/>
        </w:rPr>
        <w:t>根据第二次全国污染源普查《3110 炼铁行业系数手册》，</w:t>
      </w:r>
      <w:r>
        <w:rPr>
          <w:rFonts w:hint="eastAsia" w:ascii="Times New Roman" w:hAnsi="Times New Roman" w:cs="Times New Roman"/>
          <w:b w:val="0"/>
          <w:bCs w:val="0"/>
          <w:lang w:val="en-US" w:eastAsia="zh-CN"/>
        </w:rPr>
        <w:t>≤</w:t>
      </w:r>
      <w:r>
        <w:rPr>
          <w:rFonts w:hint="eastAsia" w:ascii="Times New Roman" w:hAnsi="Times New Roman" w:cs="Times New Roman"/>
          <w:b w:val="0"/>
          <w:bCs w:val="0"/>
        </w:rPr>
        <w:t>180平方米带式烧结机头烟气颗粒物产污系数为</w:t>
      </w:r>
      <w:r>
        <w:rPr>
          <w:rFonts w:hint="eastAsia" w:ascii="Times New Roman" w:hAnsi="Times New Roman" w:cs="Times New Roman"/>
          <w:b w:val="0"/>
          <w:bCs w:val="0"/>
          <w:lang w:val="en-US" w:eastAsia="zh-CN"/>
        </w:rPr>
        <w:t>6.54</w:t>
      </w:r>
      <w:r>
        <w:rPr>
          <w:rFonts w:hint="eastAsia" w:ascii="Times New Roman" w:hAnsi="Times New Roman" w:cs="Times New Roman"/>
          <w:b w:val="0"/>
          <w:bCs w:val="0"/>
        </w:rPr>
        <w:t>kg/t-烧结矿，则本项目烧结机头颗粒物产生量为</w:t>
      </w:r>
      <w:r>
        <w:rPr>
          <w:rFonts w:hint="eastAsia" w:ascii="Times New Roman" w:hAnsi="Times New Roman" w:cs="Times New Roman"/>
          <w:b w:val="0"/>
          <w:bCs w:val="0"/>
          <w:lang w:val="en-US" w:eastAsia="zh-CN"/>
        </w:rPr>
        <w:t>4316.4</w:t>
      </w:r>
      <w:r>
        <w:rPr>
          <w:rFonts w:hint="eastAsia" w:ascii="Times New Roman" w:hAnsi="Times New Roman" w:cs="Times New Roman"/>
          <w:b w:val="0"/>
          <w:bCs w:val="0"/>
        </w:rPr>
        <w:t>t/a、产生速率为</w:t>
      </w:r>
      <w:r>
        <w:rPr>
          <w:rFonts w:hint="eastAsia" w:ascii="Times New Roman" w:hAnsi="Times New Roman" w:cs="Times New Roman"/>
          <w:b w:val="0"/>
          <w:bCs w:val="0"/>
          <w:lang w:val="en-US" w:eastAsia="zh-CN"/>
        </w:rPr>
        <w:t>545</w:t>
      </w:r>
      <w:r>
        <w:rPr>
          <w:rFonts w:hint="eastAsia" w:ascii="Times New Roman" w:hAnsi="Times New Roman" w:cs="Times New Roman"/>
          <w:b w:val="0"/>
          <w:bCs w:val="0"/>
        </w:rPr>
        <w:t>kg/h，产生浓度为</w:t>
      </w:r>
      <w:r>
        <w:rPr>
          <w:rFonts w:hint="eastAsia" w:ascii="Times New Roman" w:hAnsi="Times New Roman" w:cs="Times New Roman"/>
          <w:b w:val="0"/>
          <w:bCs w:val="0"/>
          <w:lang w:val="en-US" w:eastAsia="zh-CN"/>
        </w:rPr>
        <w:t>2018.5</w:t>
      </w:r>
      <w:r>
        <w:rPr>
          <w:rFonts w:hint="eastAsia" w:ascii="Times New Roman" w:hAnsi="Times New Roman" w:cs="Times New Roman"/>
          <w:b w:val="0"/>
          <w:bCs w:val="0"/>
        </w:rPr>
        <w:t>mg/m</w:t>
      </w:r>
      <w:r>
        <w:rPr>
          <w:rFonts w:hint="eastAsia" w:ascii="Times New Roman" w:hAnsi="Times New Roman" w:cs="Times New Roman"/>
          <w:b w:val="0"/>
          <w:bCs w:val="0"/>
          <w:vertAlign w:val="superscript"/>
        </w:rPr>
        <w:t>3</w:t>
      </w:r>
      <w:r>
        <w:rPr>
          <w:rFonts w:hint="eastAsia" w:ascii="Times New Roman" w:hAnsi="Times New Roman" w:cs="Times New Roman"/>
          <w:b w:val="0"/>
          <w:bCs w:val="0"/>
        </w:rPr>
        <w:t>。项目机头废气采用</w:t>
      </w:r>
      <w:r>
        <w:rPr>
          <w:rFonts w:hint="eastAsia" w:ascii="Times New Roman" w:hAnsi="Times New Roman" w:cs="Times New Roman"/>
          <w:b w:val="0"/>
          <w:bCs w:val="0"/>
          <w:lang w:val="en-US" w:eastAsia="zh-CN"/>
        </w:rPr>
        <w:t>湿电</w:t>
      </w:r>
      <w:r>
        <w:rPr>
          <w:rFonts w:hint="eastAsia" w:ascii="Times New Roman" w:hAnsi="Times New Roman" w:cs="Times New Roman"/>
          <w:b w:val="0"/>
          <w:bCs w:val="0"/>
        </w:rPr>
        <w:t>混合除尘净化，净化效率可达99</w:t>
      </w:r>
      <w:r>
        <w:rPr>
          <w:rFonts w:hint="eastAsia" w:ascii="Times New Roman" w:hAnsi="Times New Roman" w:cs="Times New Roman"/>
          <w:b w:val="0"/>
          <w:bCs w:val="0"/>
          <w:lang w:val="en-US" w:eastAsia="zh-CN"/>
        </w:rPr>
        <w:t>.5</w:t>
      </w:r>
      <w:r>
        <w:rPr>
          <w:rFonts w:hint="eastAsia" w:ascii="Times New Roman" w:hAnsi="Times New Roman" w:cs="Times New Roman"/>
          <w:b w:val="0"/>
          <w:bCs w:val="0"/>
        </w:rPr>
        <w:t>%，净化后废气中颗粒物排放浓度≤10mg/m</w:t>
      </w:r>
      <w:r>
        <w:rPr>
          <w:rFonts w:hint="eastAsia" w:ascii="Times New Roman" w:hAnsi="Times New Roman" w:cs="Times New Roman"/>
          <w:b w:val="0"/>
          <w:bCs w:val="0"/>
          <w:vertAlign w:val="superscript"/>
        </w:rPr>
        <w:t>3</w:t>
      </w:r>
      <w:r>
        <w:rPr>
          <w:rFonts w:hint="eastAsia" w:ascii="Times New Roman" w:hAnsi="Times New Roman" w:cs="Times New Roman"/>
          <w:b w:val="0"/>
          <w:bCs w:val="0"/>
        </w:rPr>
        <w:t>，尾气</w:t>
      </w:r>
      <w:r>
        <w:rPr>
          <w:rFonts w:hint="eastAsia" w:ascii="Times New Roman" w:hAnsi="Times New Roman" w:cs="Times New Roman"/>
          <w:b w:val="0"/>
          <w:bCs w:val="0"/>
          <w:highlight w:val="none"/>
        </w:rPr>
        <w:t>经</w:t>
      </w:r>
      <w:r>
        <w:rPr>
          <w:rFonts w:hint="eastAsia" w:ascii="Times New Roman" w:hAnsi="Times New Roman" w:cs="Times New Roman"/>
          <w:b w:val="0"/>
          <w:bCs w:val="0"/>
          <w:highlight w:val="none"/>
          <w:lang w:val="en-US" w:eastAsia="zh-CN"/>
        </w:rPr>
        <w:t>70</w:t>
      </w:r>
      <w:r>
        <w:rPr>
          <w:rFonts w:hint="eastAsia" w:ascii="Times New Roman" w:hAnsi="Times New Roman" w:cs="Times New Roman"/>
          <w:b w:val="0"/>
          <w:bCs w:val="0"/>
          <w:highlight w:val="none"/>
        </w:rPr>
        <w:t>m</w:t>
      </w:r>
      <w:r>
        <w:rPr>
          <w:rFonts w:hint="eastAsia" w:ascii="Times New Roman" w:hAnsi="Times New Roman" w:cs="Times New Roman"/>
          <w:b w:val="0"/>
          <w:bCs w:val="0"/>
        </w:rPr>
        <w:t>排气筒排放，满足《关于推进实施钢铁行业超低排放的意见》（环大气〔2019〕35 号）钢铁企业超低排放指标限值的要求。</w:t>
      </w:r>
    </w:p>
    <w:p w14:paraId="373FEE60">
      <w:pPr>
        <w:adjustRightInd w:val="0"/>
        <w:ind w:firstLine="480" w:firstLineChars="200"/>
        <w:rPr>
          <w:rFonts w:hint="eastAsia" w:ascii="Times New Roman" w:hAnsi="Times New Roman" w:cs="Times New Roman"/>
          <w:b w:val="0"/>
          <w:bCs w:val="0"/>
        </w:rPr>
      </w:pPr>
      <w:r>
        <w:rPr>
          <w:rFonts w:hint="eastAsia" w:ascii="Times New Roman" w:hAnsi="Times New Roman" w:cs="Times New Roman"/>
          <w:b w:val="0"/>
          <w:bCs w:val="0"/>
        </w:rPr>
        <w:t>②SO</w:t>
      </w:r>
      <w:r>
        <w:rPr>
          <w:rFonts w:hint="eastAsia" w:ascii="Times New Roman" w:hAnsi="Times New Roman" w:cs="Times New Roman"/>
          <w:b w:val="0"/>
          <w:bCs w:val="0"/>
          <w:vertAlign w:val="subscript"/>
        </w:rPr>
        <w:t>2</w:t>
      </w:r>
    </w:p>
    <w:p w14:paraId="749F31FD">
      <w:pPr>
        <w:adjustRightInd w:val="0"/>
        <w:ind w:firstLine="480" w:firstLineChars="200"/>
        <w:rPr>
          <w:rFonts w:hint="eastAsia" w:ascii="Times New Roman" w:hAnsi="Times New Roman" w:cs="Times New Roman"/>
          <w:b w:val="0"/>
          <w:bCs w:val="0"/>
          <w:highlight w:val="none"/>
        </w:rPr>
      </w:pPr>
      <w:r>
        <w:rPr>
          <w:rFonts w:hint="eastAsia" w:ascii="Times New Roman" w:hAnsi="Times New Roman" w:cs="Times New Roman"/>
          <w:b w:val="0"/>
          <w:bCs w:val="0"/>
          <w:highlight w:val="none"/>
        </w:rPr>
        <w:t>根据物料平衡计算可知，烧结机机头废气SO</w:t>
      </w:r>
      <w:r>
        <w:rPr>
          <w:rFonts w:hint="eastAsia" w:ascii="Times New Roman" w:hAnsi="Times New Roman" w:cs="Times New Roman"/>
          <w:b w:val="0"/>
          <w:bCs w:val="0"/>
          <w:highlight w:val="none"/>
          <w:vertAlign w:val="subscript"/>
        </w:rPr>
        <w:t>2</w:t>
      </w:r>
      <w:r>
        <w:rPr>
          <w:rFonts w:hint="eastAsia" w:ascii="Times New Roman" w:hAnsi="Times New Roman" w:cs="Times New Roman"/>
          <w:b w:val="0"/>
          <w:bCs w:val="0"/>
          <w:highlight w:val="none"/>
        </w:rPr>
        <w:t>产生量为</w:t>
      </w:r>
      <w:r>
        <w:rPr>
          <w:rFonts w:hint="eastAsia" w:ascii="Times New Roman" w:hAnsi="Times New Roman" w:cs="Times New Roman"/>
          <w:b w:val="0"/>
          <w:bCs w:val="0"/>
          <w:highlight w:val="none"/>
          <w:lang w:val="en-US" w:eastAsia="zh-CN"/>
        </w:rPr>
        <w:t>984</w:t>
      </w:r>
      <w:r>
        <w:rPr>
          <w:rFonts w:hint="eastAsia" w:ascii="Times New Roman" w:hAnsi="Times New Roman" w:cs="Times New Roman"/>
          <w:b w:val="0"/>
          <w:bCs w:val="0"/>
          <w:highlight w:val="none"/>
        </w:rPr>
        <w:t>t/a、产生速率为</w:t>
      </w:r>
      <w:r>
        <w:rPr>
          <w:rFonts w:hint="eastAsia" w:ascii="Times New Roman" w:hAnsi="Times New Roman" w:cs="Times New Roman"/>
          <w:b w:val="0"/>
          <w:bCs w:val="0"/>
          <w:highlight w:val="none"/>
          <w:lang w:val="en-US" w:eastAsia="zh-CN"/>
        </w:rPr>
        <w:t>124.2</w:t>
      </w:r>
      <w:r>
        <w:rPr>
          <w:rFonts w:hint="eastAsia" w:ascii="Times New Roman" w:hAnsi="Times New Roman" w:cs="Times New Roman"/>
          <w:b w:val="0"/>
          <w:bCs w:val="0"/>
          <w:highlight w:val="none"/>
        </w:rPr>
        <w:t>kg/h，产生浓度为</w:t>
      </w:r>
      <w:r>
        <w:rPr>
          <w:rFonts w:hint="eastAsia" w:ascii="Times New Roman" w:hAnsi="Times New Roman" w:cs="Times New Roman"/>
          <w:b w:val="0"/>
          <w:bCs w:val="0"/>
          <w:highlight w:val="none"/>
          <w:lang w:val="en-US" w:eastAsia="zh-CN"/>
        </w:rPr>
        <w:t>460.2</w:t>
      </w:r>
      <w:r>
        <w:rPr>
          <w:rFonts w:hint="eastAsia" w:ascii="Times New Roman" w:hAnsi="Times New Roman" w:cs="Times New Roman"/>
          <w:b w:val="0"/>
          <w:bCs w:val="0"/>
          <w:highlight w:val="none"/>
        </w:rPr>
        <w:t>mg/m</w:t>
      </w:r>
      <w:r>
        <w:rPr>
          <w:rFonts w:hint="eastAsia" w:ascii="Times New Roman" w:hAnsi="Times New Roman" w:cs="Times New Roman"/>
          <w:b w:val="0"/>
          <w:bCs w:val="0"/>
          <w:highlight w:val="none"/>
          <w:vertAlign w:val="superscript"/>
        </w:rPr>
        <w:t>3</w:t>
      </w:r>
      <w:r>
        <w:rPr>
          <w:rFonts w:hint="eastAsia" w:ascii="Times New Roman" w:hAnsi="Times New Roman" w:cs="Times New Roman"/>
          <w:b w:val="0"/>
          <w:bCs w:val="0"/>
          <w:highlight w:val="none"/>
        </w:rPr>
        <w:t>。类比同类项目机头废气采用</w:t>
      </w:r>
      <w:r>
        <w:rPr>
          <w:rFonts w:hint="eastAsia" w:ascii="Times New Roman" w:hAnsi="Times New Roman" w:cs="Times New Roman"/>
          <w:b w:val="0"/>
          <w:bCs w:val="0"/>
          <w:highlight w:val="none"/>
          <w:lang w:val="en-US" w:eastAsia="zh-CN"/>
        </w:rPr>
        <w:t>石灰石-石膏法</w:t>
      </w:r>
      <w:r>
        <w:rPr>
          <w:rFonts w:hint="eastAsia" w:ascii="Times New Roman" w:hAnsi="Times New Roman" w:cs="Times New Roman"/>
          <w:b w:val="0"/>
          <w:bCs w:val="0"/>
          <w:highlight w:val="none"/>
        </w:rPr>
        <w:t>脱硫，净化效率可达95%，净化后废气中SO</w:t>
      </w:r>
      <w:r>
        <w:rPr>
          <w:rFonts w:hint="eastAsia" w:ascii="Times New Roman" w:hAnsi="Times New Roman" w:cs="Times New Roman"/>
          <w:b w:val="0"/>
          <w:bCs w:val="0"/>
          <w:highlight w:val="none"/>
          <w:vertAlign w:val="subscript"/>
        </w:rPr>
        <w:t>2</w:t>
      </w:r>
      <w:r>
        <w:rPr>
          <w:rFonts w:hint="eastAsia" w:ascii="Times New Roman" w:hAnsi="Times New Roman" w:cs="Times New Roman"/>
          <w:b w:val="0"/>
          <w:bCs w:val="0"/>
          <w:highlight w:val="none"/>
        </w:rPr>
        <w:t>排放浓度</w:t>
      </w:r>
      <w:r>
        <w:rPr>
          <w:rFonts w:hint="eastAsia" w:ascii="Times New Roman" w:hAnsi="Times New Roman" w:cs="Times New Roman"/>
          <w:b w:val="0"/>
          <w:bCs w:val="0"/>
          <w:highlight w:val="none"/>
          <w:lang w:val="en-US" w:eastAsia="zh-CN"/>
        </w:rPr>
        <w:t>约23</w:t>
      </w:r>
      <w:r>
        <w:rPr>
          <w:rFonts w:hint="eastAsia" w:ascii="Times New Roman" w:hAnsi="Times New Roman" w:cs="Times New Roman"/>
          <w:b w:val="0"/>
          <w:bCs w:val="0"/>
          <w:highlight w:val="none"/>
        </w:rPr>
        <w:t>mg/m</w:t>
      </w:r>
      <w:r>
        <w:rPr>
          <w:rFonts w:hint="eastAsia" w:ascii="Times New Roman" w:hAnsi="Times New Roman" w:cs="Times New Roman"/>
          <w:b w:val="0"/>
          <w:bCs w:val="0"/>
          <w:highlight w:val="none"/>
          <w:vertAlign w:val="superscript"/>
        </w:rPr>
        <w:t>3</w:t>
      </w:r>
      <w:r>
        <w:rPr>
          <w:rFonts w:hint="eastAsia" w:ascii="Times New Roman" w:hAnsi="Times New Roman" w:cs="Times New Roman"/>
          <w:b w:val="0"/>
          <w:bCs w:val="0"/>
          <w:highlight w:val="none"/>
        </w:rPr>
        <w:t>，尾气经</w:t>
      </w:r>
      <w:r>
        <w:rPr>
          <w:rFonts w:hint="eastAsia" w:ascii="Times New Roman" w:hAnsi="Times New Roman" w:cs="Times New Roman"/>
          <w:b w:val="0"/>
          <w:bCs w:val="0"/>
          <w:highlight w:val="none"/>
          <w:lang w:val="en-US" w:eastAsia="zh-CN"/>
        </w:rPr>
        <w:t>15</w:t>
      </w:r>
      <w:r>
        <w:rPr>
          <w:rFonts w:hint="eastAsia" w:ascii="Times New Roman" w:hAnsi="Times New Roman" w:cs="Times New Roman"/>
          <w:b w:val="0"/>
          <w:bCs w:val="0"/>
          <w:highlight w:val="none"/>
        </w:rPr>
        <w:t>m排气筒排放，满足《关于推进实施钢铁行业超低排放的意见》（环大气〔2019〕35 号）钢铁企业超低排放指标限值的要求</w:t>
      </w:r>
      <w:r>
        <w:rPr>
          <w:rFonts w:hint="eastAsia" w:ascii="Times New Roman" w:hAnsi="Times New Roman" w:cs="Times New Roman"/>
          <w:b w:val="0"/>
          <w:bCs w:val="0"/>
          <w:highlight w:val="none"/>
          <w:lang w:val="en-US" w:eastAsia="zh-CN"/>
        </w:rPr>
        <w:t>35</w:t>
      </w:r>
      <w:r>
        <w:rPr>
          <w:rFonts w:hint="eastAsia" w:ascii="Times New Roman" w:hAnsi="Times New Roman" w:cs="Times New Roman"/>
          <w:b w:val="0"/>
          <w:bCs w:val="0"/>
          <w:highlight w:val="none"/>
        </w:rPr>
        <w:t>mg/m</w:t>
      </w:r>
      <w:r>
        <w:rPr>
          <w:rFonts w:hint="eastAsia" w:ascii="Times New Roman" w:hAnsi="Times New Roman" w:cs="Times New Roman"/>
          <w:b w:val="0"/>
          <w:bCs w:val="0"/>
          <w:highlight w:val="none"/>
          <w:vertAlign w:val="superscript"/>
        </w:rPr>
        <w:t>3</w:t>
      </w:r>
      <w:r>
        <w:rPr>
          <w:rFonts w:hint="eastAsia" w:ascii="Times New Roman" w:hAnsi="Times New Roman" w:cs="Times New Roman"/>
          <w:b w:val="0"/>
          <w:bCs w:val="0"/>
          <w:highlight w:val="none"/>
        </w:rPr>
        <w:t>。</w:t>
      </w:r>
    </w:p>
    <w:p w14:paraId="3B8BAC5E">
      <w:pPr>
        <w:adjustRightInd w:val="0"/>
        <w:ind w:firstLine="480" w:firstLineChars="200"/>
        <w:rPr>
          <w:rFonts w:hint="eastAsia" w:ascii="Times New Roman" w:hAnsi="Times New Roman" w:cs="Times New Roman"/>
          <w:b w:val="0"/>
          <w:bCs w:val="0"/>
        </w:rPr>
      </w:pPr>
      <w:r>
        <w:rPr>
          <w:rFonts w:hint="eastAsia" w:ascii="Times New Roman" w:hAnsi="Times New Roman" w:cs="Times New Roman"/>
          <w:b w:val="0"/>
          <w:bCs w:val="0"/>
        </w:rPr>
        <w:t>③NO</w:t>
      </w:r>
      <w:r>
        <w:rPr>
          <w:rFonts w:hint="eastAsia" w:ascii="Times New Roman" w:hAnsi="Times New Roman" w:cs="Times New Roman"/>
          <w:b w:val="0"/>
          <w:bCs w:val="0"/>
          <w:vertAlign w:val="subscript"/>
        </w:rPr>
        <w:t>X</w:t>
      </w:r>
    </w:p>
    <w:p w14:paraId="6A663874">
      <w:pPr>
        <w:keepNext w:val="0"/>
        <w:keepLines w:val="0"/>
        <w:widowControl/>
        <w:suppressLineNumbers w:val="0"/>
        <w:ind w:firstLine="480" w:firstLineChars="200"/>
        <w:jc w:val="left"/>
      </w:pPr>
      <w:r>
        <w:rPr>
          <w:rFonts w:hint="eastAsia" w:ascii="Times New Roman" w:hAnsi="Times New Roman" w:cs="Times New Roman"/>
          <w:b w:val="0"/>
          <w:bCs w:val="0"/>
        </w:rPr>
        <w:t>烧结生产过程中固体燃料和含铁原料中的氮和空气中的氧在高温燃烧时将会产生大量的NO</w:t>
      </w:r>
      <w:r>
        <w:rPr>
          <w:rFonts w:hint="eastAsia" w:ascii="Times New Roman" w:hAnsi="Times New Roman" w:cs="Times New Roman"/>
          <w:b w:val="0"/>
          <w:bCs w:val="0"/>
          <w:vertAlign w:val="subscript"/>
        </w:rPr>
        <w:t>X</w:t>
      </w:r>
      <w:r>
        <w:rPr>
          <w:rFonts w:hint="eastAsia" w:ascii="Times New Roman" w:hAnsi="Times New Roman" w:cs="Times New Roman"/>
          <w:b w:val="0"/>
          <w:bCs w:val="0"/>
        </w:rPr>
        <w:t>，类比</w:t>
      </w:r>
      <w:r>
        <w:rPr>
          <w:rFonts w:hint="eastAsia" w:ascii="Times New Roman" w:hAnsi="Times New Roman" w:cs="Times New Roman"/>
          <w:b w:val="0"/>
          <w:bCs w:val="0"/>
          <w:lang w:val="en-US" w:eastAsia="zh-CN"/>
        </w:rPr>
        <w:t>玉麒麟</w:t>
      </w:r>
      <w:r>
        <w:rPr>
          <w:rFonts w:hint="eastAsia" w:ascii="Times New Roman" w:hAnsi="Times New Roman" w:cs="Times New Roman"/>
          <w:b w:val="0"/>
          <w:bCs w:val="0"/>
        </w:rPr>
        <w:t>公司</w:t>
      </w:r>
      <w:r>
        <w:rPr>
          <w:rFonts w:hint="eastAsia" w:ascii="Times New Roman" w:hAnsi="Times New Roman" w:cs="Times New Roman"/>
          <w:b w:val="0"/>
          <w:bCs w:val="0"/>
          <w:lang w:val="en-US" w:eastAsia="zh-CN"/>
        </w:rPr>
        <w:t>原</w:t>
      </w:r>
      <w:r>
        <w:rPr>
          <w:rFonts w:hint="eastAsia" w:ascii="Times New Roman" w:hAnsi="Times New Roman" w:cs="Times New Roman"/>
          <w:b w:val="0"/>
          <w:bCs w:val="0"/>
        </w:rPr>
        <w:t>有烧结机和同类型项目，烧结机头烟气NO</w:t>
      </w:r>
      <w:r>
        <w:rPr>
          <w:rFonts w:hint="eastAsia" w:ascii="Times New Roman" w:hAnsi="Times New Roman" w:cs="Times New Roman"/>
          <w:b w:val="0"/>
          <w:bCs w:val="0"/>
          <w:vertAlign w:val="subscript"/>
        </w:rPr>
        <w:t>X</w:t>
      </w:r>
      <w:r>
        <w:rPr>
          <w:rFonts w:hint="eastAsia" w:ascii="Times New Roman" w:hAnsi="Times New Roman" w:cs="Times New Roman"/>
          <w:b w:val="0"/>
          <w:bCs w:val="0"/>
        </w:rPr>
        <w:t xml:space="preserve"> 系数为0.47kg/t-烧结矿，则本项目烧结机头NO</w:t>
      </w:r>
      <w:r>
        <w:rPr>
          <w:rFonts w:hint="eastAsia" w:ascii="Times New Roman" w:hAnsi="Times New Roman" w:cs="Times New Roman"/>
          <w:b w:val="0"/>
          <w:bCs w:val="0"/>
          <w:vertAlign w:val="subscript"/>
        </w:rPr>
        <w:t>X</w:t>
      </w:r>
      <w:r>
        <w:rPr>
          <w:rFonts w:hint="eastAsia" w:ascii="Times New Roman" w:hAnsi="Times New Roman" w:cs="Times New Roman"/>
          <w:b w:val="0"/>
          <w:bCs w:val="0"/>
        </w:rPr>
        <w:t>产生量为</w:t>
      </w:r>
      <w:r>
        <w:rPr>
          <w:rFonts w:hint="eastAsia" w:ascii="Times New Roman" w:hAnsi="Times New Roman" w:cs="Times New Roman"/>
          <w:b w:val="0"/>
          <w:bCs w:val="0"/>
          <w:lang w:val="en-US" w:eastAsia="zh-CN"/>
        </w:rPr>
        <w:t>310.2t</w:t>
      </w:r>
      <w:r>
        <w:rPr>
          <w:rFonts w:hint="eastAsia" w:ascii="Times New Roman" w:hAnsi="Times New Roman" w:cs="Times New Roman"/>
          <w:b w:val="0"/>
          <w:bCs w:val="0"/>
        </w:rPr>
        <w:t>/a，产生速率为</w:t>
      </w:r>
      <w:r>
        <w:rPr>
          <w:rFonts w:hint="eastAsia" w:ascii="Times New Roman" w:hAnsi="Times New Roman" w:cs="Times New Roman"/>
          <w:b w:val="0"/>
          <w:bCs w:val="0"/>
          <w:lang w:val="en-US" w:eastAsia="zh-CN"/>
        </w:rPr>
        <w:t>39.2</w:t>
      </w:r>
      <w:r>
        <w:rPr>
          <w:rFonts w:hint="eastAsia" w:ascii="Times New Roman" w:hAnsi="Times New Roman" w:cs="Times New Roman"/>
          <w:b w:val="0"/>
          <w:bCs w:val="0"/>
        </w:rPr>
        <w:t>kg/h，产生浓度为</w:t>
      </w:r>
      <w:r>
        <w:rPr>
          <w:rFonts w:hint="eastAsia" w:ascii="Times New Roman" w:hAnsi="Times New Roman" w:cs="Times New Roman"/>
          <w:b w:val="0"/>
          <w:bCs w:val="0"/>
          <w:lang w:val="en-US" w:eastAsia="zh-CN"/>
        </w:rPr>
        <w:t>145.06</w:t>
      </w:r>
      <w:r>
        <w:rPr>
          <w:rFonts w:hint="eastAsia" w:ascii="Times New Roman" w:hAnsi="Times New Roman" w:cs="Times New Roman"/>
          <w:b w:val="0"/>
          <w:bCs w:val="0"/>
        </w:rPr>
        <w:t>mg/m</w:t>
      </w:r>
      <w:r>
        <w:rPr>
          <w:rFonts w:hint="eastAsia" w:ascii="Times New Roman" w:hAnsi="Times New Roman" w:cs="Times New Roman"/>
          <w:b w:val="0"/>
          <w:bCs w:val="0"/>
          <w:vertAlign w:val="superscript"/>
        </w:rPr>
        <w:t>3</w:t>
      </w:r>
      <w:r>
        <w:rPr>
          <w:rFonts w:hint="eastAsia" w:ascii="Times New Roman" w:hAnsi="Times New Roman" w:cs="Times New Roman"/>
          <w:b w:val="0"/>
          <w:bCs w:val="0"/>
        </w:rPr>
        <w:t>。类比同类项目含尘废气采用中低温SCR脱硝系统处理，净化效率可达8</w:t>
      </w:r>
      <w:r>
        <w:rPr>
          <w:rFonts w:hint="eastAsia" w:ascii="Times New Roman" w:hAnsi="Times New Roman" w:cs="Times New Roman"/>
          <w:b w:val="0"/>
          <w:bCs w:val="0"/>
          <w:lang w:val="en-US" w:eastAsia="zh-CN"/>
        </w:rPr>
        <w:t>5</w:t>
      </w:r>
      <w:r>
        <w:rPr>
          <w:rFonts w:hint="eastAsia" w:ascii="Times New Roman" w:hAnsi="Times New Roman" w:cs="Times New Roman"/>
          <w:b w:val="0"/>
          <w:bCs w:val="0"/>
        </w:rPr>
        <w:t>%，净化后废气中NO</w:t>
      </w:r>
      <w:r>
        <w:rPr>
          <w:rFonts w:hint="eastAsia" w:ascii="Times New Roman" w:hAnsi="Times New Roman" w:cs="Times New Roman"/>
          <w:b w:val="0"/>
          <w:bCs w:val="0"/>
          <w:vertAlign w:val="subscript"/>
        </w:rPr>
        <w:t>X</w:t>
      </w:r>
      <w:r>
        <w:rPr>
          <w:rFonts w:hint="eastAsia" w:ascii="Times New Roman" w:hAnsi="Times New Roman" w:cs="Times New Roman"/>
          <w:b w:val="0"/>
          <w:bCs w:val="0"/>
        </w:rPr>
        <w:t>排放浓度</w:t>
      </w:r>
      <w:r>
        <w:rPr>
          <w:rFonts w:hint="eastAsia" w:ascii="Times New Roman" w:hAnsi="Times New Roman" w:cs="Times New Roman"/>
          <w:b w:val="0"/>
          <w:bCs w:val="0"/>
          <w:lang w:val="en-US" w:eastAsia="zh-CN"/>
        </w:rPr>
        <w:t>26</w:t>
      </w:r>
      <w:r>
        <w:rPr>
          <w:rFonts w:hint="eastAsia" w:ascii="Times New Roman" w:hAnsi="Times New Roman" w:cs="Times New Roman"/>
          <w:b w:val="0"/>
          <w:bCs w:val="0"/>
        </w:rPr>
        <w:t>mg/m</w:t>
      </w:r>
      <w:r>
        <w:rPr>
          <w:rFonts w:hint="eastAsia" w:ascii="Times New Roman" w:hAnsi="Times New Roman" w:cs="Times New Roman"/>
          <w:b w:val="0"/>
          <w:bCs w:val="0"/>
          <w:vertAlign w:val="superscript"/>
        </w:rPr>
        <w:t>3</w:t>
      </w:r>
      <w:r>
        <w:rPr>
          <w:rFonts w:hint="eastAsia" w:ascii="Times New Roman" w:hAnsi="Times New Roman" w:cs="Times New Roman"/>
          <w:b w:val="0"/>
          <w:bCs w:val="0"/>
        </w:rPr>
        <w:t>，尾气经1</w:t>
      </w:r>
      <w:r>
        <w:rPr>
          <w:rFonts w:hint="eastAsia" w:ascii="Times New Roman" w:hAnsi="Times New Roman" w:cs="Times New Roman"/>
          <w:b w:val="0"/>
          <w:bCs w:val="0"/>
          <w:lang w:val="en-US" w:eastAsia="zh-CN"/>
        </w:rPr>
        <w:t>5</w:t>
      </w:r>
      <w:r>
        <w:rPr>
          <w:rFonts w:hint="eastAsia" w:ascii="Times New Roman" w:hAnsi="Times New Roman" w:cs="Times New Roman"/>
          <w:b w:val="0"/>
          <w:bCs w:val="0"/>
        </w:rPr>
        <w:t>m</w:t>
      </w:r>
      <w:r>
        <w:rPr>
          <w:rFonts w:hint="eastAsia" w:ascii="宋体" w:hAnsi="宋体" w:eastAsia="宋体" w:cs="宋体"/>
          <w:color w:val="000000"/>
          <w:kern w:val="0"/>
          <w:sz w:val="24"/>
          <w:szCs w:val="24"/>
          <w:lang w:val="en-US" w:eastAsia="zh-CN" w:bidi="ar"/>
        </w:rPr>
        <w:t>排气筒排放，满足《关于推进实施钢铁行业超低排放的意见》（环大气〔</w:t>
      </w:r>
      <w:r>
        <w:rPr>
          <w:rFonts w:hint="default" w:ascii="Times New Roman" w:hAnsi="Times New Roman" w:eastAsia="宋体" w:cs="Times New Roman"/>
          <w:color w:val="000000"/>
          <w:kern w:val="0"/>
          <w:sz w:val="24"/>
          <w:szCs w:val="24"/>
          <w:lang w:val="en-US" w:eastAsia="zh-CN" w:bidi="ar"/>
        </w:rPr>
        <w:t>2019</w:t>
      </w:r>
      <w:r>
        <w:rPr>
          <w:rFonts w:hint="eastAsia" w:ascii="宋体" w:hAnsi="宋体" w:eastAsia="宋体" w:cs="宋体"/>
          <w:color w:val="000000"/>
          <w:kern w:val="0"/>
          <w:sz w:val="24"/>
          <w:szCs w:val="24"/>
          <w:lang w:val="en-US" w:eastAsia="zh-CN" w:bidi="ar"/>
        </w:rPr>
        <w:t>〕</w:t>
      </w:r>
      <w:r>
        <w:rPr>
          <w:rFonts w:hint="default" w:ascii="Times New Roman" w:hAnsi="Times New Roman" w:eastAsia="宋体" w:cs="Times New Roman"/>
          <w:color w:val="000000"/>
          <w:kern w:val="0"/>
          <w:sz w:val="24"/>
          <w:szCs w:val="24"/>
          <w:lang w:val="en-US" w:eastAsia="zh-CN" w:bidi="ar"/>
        </w:rPr>
        <w:t xml:space="preserve">35 </w:t>
      </w:r>
      <w:r>
        <w:rPr>
          <w:rFonts w:hint="eastAsia" w:ascii="宋体" w:hAnsi="宋体" w:eastAsia="宋体" w:cs="宋体"/>
          <w:color w:val="000000"/>
          <w:kern w:val="0"/>
          <w:sz w:val="24"/>
          <w:szCs w:val="24"/>
          <w:lang w:val="en-US" w:eastAsia="zh-CN" w:bidi="ar"/>
        </w:rPr>
        <w:t>号）钢铁企业超低排放指标限值的要求</w:t>
      </w:r>
      <w:r>
        <w:rPr>
          <w:rFonts w:hint="eastAsia" w:ascii="Times New Roman" w:hAnsi="Times New Roman" w:cs="Times New Roman"/>
          <w:b w:val="0"/>
          <w:bCs w:val="0"/>
        </w:rPr>
        <w:t>≤50mg/m</w:t>
      </w:r>
      <w:r>
        <w:rPr>
          <w:rFonts w:hint="eastAsia" w:ascii="Times New Roman" w:hAnsi="Times New Roman" w:cs="Times New Roman"/>
          <w:b w:val="0"/>
          <w:bCs w:val="0"/>
          <w:vertAlign w:val="superscript"/>
        </w:rPr>
        <w:t>3</w:t>
      </w:r>
      <w:r>
        <w:rPr>
          <w:rFonts w:hint="eastAsia" w:ascii="宋体" w:hAnsi="宋体" w:eastAsia="宋体" w:cs="宋体"/>
          <w:color w:val="000000"/>
          <w:kern w:val="0"/>
          <w:sz w:val="24"/>
          <w:szCs w:val="24"/>
          <w:lang w:val="en-US" w:eastAsia="zh-CN" w:bidi="ar"/>
        </w:rPr>
        <w:t xml:space="preserve">。 </w:t>
      </w:r>
    </w:p>
    <w:p w14:paraId="7D98821C">
      <w:pPr>
        <w:keepNext w:val="0"/>
        <w:keepLines w:val="0"/>
        <w:widowControl/>
        <w:suppressLineNumbers w:val="0"/>
        <w:ind w:firstLine="480" w:firstLineChars="200"/>
        <w:jc w:val="left"/>
      </w:pPr>
      <w:r>
        <w:rPr>
          <w:rFonts w:hint="eastAsia" w:ascii="宋体" w:hAnsi="宋体" w:eastAsia="宋体" w:cs="宋体"/>
          <w:color w:val="000000"/>
          <w:kern w:val="0"/>
          <w:sz w:val="24"/>
          <w:szCs w:val="24"/>
          <w:lang w:val="en-US" w:eastAsia="zh-CN" w:bidi="ar"/>
        </w:rPr>
        <w:t xml:space="preserve">④氟化物 </w:t>
      </w:r>
    </w:p>
    <w:p w14:paraId="332F2F14">
      <w:pPr>
        <w:keepNext w:val="0"/>
        <w:keepLines w:val="0"/>
        <w:widowControl/>
        <w:suppressLineNumbers w:val="0"/>
        <w:ind w:firstLine="480" w:firstLineChars="200"/>
        <w:jc w:val="left"/>
        <w:rPr>
          <w:highlight w:val="none"/>
        </w:rPr>
      </w:pPr>
      <w:r>
        <w:rPr>
          <w:rFonts w:hint="eastAsia" w:ascii="宋体" w:hAnsi="宋体" w:eastAsia="宋体" w:cs="宋体"/>
          <w:color w:val="000000"/>
          <w:kern w:val="0"/>
          <w:sz w:val="24"/>
          <w:szCs w:val="24"/>
          <w:lang w:val="en-US" w:eastAsia="zh-CN" w:bidi="ar"/>
        </w:rPr>
        <w:t>根据物料平衡计算可知，烧结机机头废气氟化物（以</w:t>
      </w:r>
      <w:r>
        <w:rPr>
          <w:rFonts w:hint="default" w:ascii="Times New Roman" w:hAnsi="Times New Roman" w:eastAsia="宋体" w:cs="Times New Roman"/>
          <w:color w:val="000000"/>
          <w:kern w:val="0"/>
          <w:sz w:val="24"/>
          <w:szCs w:val="24"/>
          <w:lang w:val="en-US" w:eastAsia="zh-CN" w:bidi="ar"/>
        </w:rPr>
        <w:t>F</w:t>
      </w:r>
      <w:r>
        <w:rPr>
          <w:rFonts w:hint="eastAsia" w:ascii="宋体" w:hAnsi="宋体" w:eastAsia="宋体" w:cs="宋体"/>
          <w:color w:val="000000"/>
          <w:kern w:val="0"/>
          <w:sz w:val="24"/>
          <w:szCs w:val="24"/>
          <w:lang w:val="en-US" w:eastAsia="zh-CN" w:bidi="ar"/>
        </w:rPr>
        <w:t>计）产生量为</w:t>
      </w:r>
      <w:r>
        <w:rPr>
          <w:rFonts w:hint="eastAsia" w:ascii="Times New Roman" w:hAnsi="Times New Roman" w:eastAsia="宋体" w:cs="Times New Roman"/>
          <w:color w:val="000000"/>
          <w:kern w:val="0"/>
          <w:sz w:val="24"/>
          <w:szCs w:val="24"/>
          <w:lang w:val="en-US" w:eastAsia="zh-CN" w:bidi="ar"/>
        </w:rPr>
        <w:t>2.64</w:t>
      </w:r>
      <w:r>
        <w:rPr>
          <w:rFonts w:hint="default" w:ascii="Times New Roman" w:hAnsi="Times New Roman" w:eastAsia="宋体" w:cs="Times New Roman"/>
          <w:color w:val="000000"/>
          <w:kern w:val="0"/>
          <w:sz w:val="24"/>
          <w:szCs w:val="24"/>
          <w:lang w:val="en-US" w:eastAsia="zh-CN" w:bidi="ar"/>
        </w:rPr>
        <w:t>t/a</w:t>
      </w:r>
      <w:r>
        <w:rPr>
          <w:rFonts w:hint="eastAsia" w:ascii="宋体" w:hAnsi="宋体" w:eastAsia="宋体" w:cs="宋体"/>
          <w:color w:val="000000"/>
          <w:kern w:val="0"/>
          <w:sz w:val="24"/>
          <w:szCs w:val="24"/>
          <w:lang w:val="en-US" w:eastAsia="zh-CN" w:bidi="ar"/>
        </w:rPr>
        <w:t>、产生速率为</w:t>
      </w:r>
      <w:r>
        <w:rPr>
          <w:rFonts w:hint="eastAsia" w:ascii="Times New Roman" w:hAnsi="Times New Roman" w:eastAsia="宋体" w:cs="Times New Roman"/>
          <w:color w:val="000000"/>
          <w:kern w:val="0"/>
          <w:sz w:val="24"/>
          <w:szCs w:val="24"/>
          <w:lang w:val="en-US" w:eastAsia="zh-CN" w:bidi="ar"/>
        </w:rPr>
        <w:t>0.33</w:t>
      </w:r>
      <w:r>
        <w:rPr>
          <w:rFonts w:hint="default" w:ascii="Times New Roman" w:hAnsi="Times New Roman" w:eastAsia="宋体" w:cs="Times New Roman"/>
          <w:color w:val="000000"/>
          <w:kern w:val="0"/>
          <w:sz w:val="24"/>
          <w:szCs w:val="24"/>
          <w:lang w:val="en-US" w:eastAsia="zh-CN" w:bidi="ar"/>
        </w:rPr>
        <w:t>kg/h</w:t>
      </w:r>
      <w:r>
        <w:rPr>
          <w:rFonts w:hint="eastAsia" w:ascii="宋体" w:hAnsi="宋体" w:eastAsia="宋体" w:cs="宋体"/>
          <w:color w:val="000000"/>
          <w:kern w:val="0"/>
          <w:sz w:val="24"/>
          <w:szCs w:val="24"/>
          <w:lang w:val="en-US" w:eastAsia="zh-CN" w:bidi="ar"/>
        </w:rPr>
        <w:t>，产生浓度为</w:t>
      </w:r>
      <w:r>
        <w:rPr>
          <w:rFonts w:hint="eastAsia" w:ascii="Times New Roman" w:hAnsi="Times New Roman" w:eastAsia="宋体" w:cs="Times New Roman"/>
          <w:color w:val="000000"/>
          <w:kern w:val="0"/>
          <w:sz w:val="24"/>
          <w:szCs w:val="24"/>
          <w:lang w:val="en-US" w:eastAsia="zh-CN" w:bidi="ar"/>
        </w:rPr>
        <w:t>1.24</w:t>
      </w:r>
      <w:r>
        <w:rPr>
          <w:rFonts w:hint="default" w:ascii="Times New Roman" w:hAnsi="Times New Roman" w:eastAsia="宋体" w:cs="Times New Roman"/>
          <w:color w:val="000000"/>
          <w:kern w:val="0"/>
          <w:sz w:val="24"/>
          <w:szCs w:val="24"/>
          <w:lang w:val="en-US" w:eastAsia="zh-CN" w:bidi="ar"/>
        </w:rPr>
        <w:t>mg/m</w:t>
      </w:r>
      <w:r>
        <w:rPr>
          <w:rFonts w:hint="eastAsia" w:ascii="Times New Roman" w:hAnsi="Times New Roman" w:eastAsia="宋体" w:cs="Times New Roman"/>
          <w:color w:val="000000"/>
          <w:kern w:val="0"/>
          <w:sz w:val="24"/>
          <w:szCs w:val="24"/>
          <w:vertAlign w:val="superscript"/>
          <w:lang w:val="en-US" w:eastAsia="zh-CN" w:bidi="ar"/>
        </w:rPr>
        <w:t>3</w:t>
      </w:r>
      <w:r>
        <w:rPr>
          <w:rFonts w:hint="eastAsia" w:ascii="宋体" w:hAnsi="宋体" w:eastAsia="宋体" w:cs="宋体"/>
          <w:color w:val="000000"/>
          <w:kern w:val="0"/>
          <w:sz w:val="24"/>
          <w:szCs w:val="24"/>
          <w:lang w:val="en-US" w:eastAsia="zh-CN" w:bidi="ar"/>
        </w:rPr>
        <w:t>。类比同类项目除尘及脱硫系统对氟化物的协同去除效率保守取</w:t>
      </w:r>
      <w:r>
        <w:rPr>
          <w:rFonts w:hint="default" w:ascii="Times New Roman" w:hAnsi="Times New Roman" w:eastAsia="宋体" w:cs="Times New Roman"/>
          <w:color w:val="000000"/>
          <w:kern w:val="0"/>
          <w:sz w:val="24"/>
          <w:szCs w:val="24"/>
          <w:lang w:val="en-US" w:eastAsia="zh-CN" w:bidi="ar"/>
        </w:rPr>
        <w:t>60%</w:t>
      </w:r>
      <w:r>
        <w:rPr>
          <w:rFonts w:hint="eastAsia" w:ascii="宋体" w:hAnsi="宋体" w:eastAsia="宋体" w:cs="宋体"/>
          <w:color w:val="000000"/>
          <w:kern w:val="0"/>
          <w:sz w:val="24"/>
          <w:szCs w:val="24"/>
          <w:lang w:val="en-US" w:eastAsia="zh-CN" w:bidi="ar"/>
        </w:rPr>
        <w:t>，净化后废气中氟化物（以</w:t>
      </w:r>
      <w:r>
        <w:rPr>
          <w:rFonts w:hint="default" w:ascii="Times New Roman" w:hAnsi="Times New Roman" w:eastAsia="宋体" w:cs="Times New Roman"/>
          <w:color w:val="000000"/>
          <w:kern w:val="0"/>
          <w:sz w:val="24"/>
          <w:szCs w:val="24"/>
          <w:lang w:val="en-US" w:eastAsia="zh-CN" w:bidi="ar"/>
        </w:rPr>
        <w:t>F</w:t>
      </w:r>
      <w:r>
        <w:rPr>
          <w:rFonts w:hint="eastAsia" w:ascii="宋体" w:hAnsi="宋体" w:eastAsia="宋体" w:cs="宋体"/>
          <w:color w:val="000000"/>
          <w:kern w:val="0"/>
          <w:sz w:val="24"/>
          <w:szCs w:val="24"/>
          <w:lang w:val="en-US" w:eastAsia="zh-CN" w:bidi="ar"/>
        </w:rPr>
        <w:t>计）排放浓度</w:t>
      </w:r>
      <w:r>
        <w:rPr>
          <w:rFonts w:hint="eastAsia" w:ascii="Times New Roman" w:hAnsi="Times New Roman" w:eastAsia="宋体" w:cs="Times New Roman"/>
          <w:color w:val="000000"/>
          <w:kern w:val="0"/>
          <w:sz w:val="24"/>
          <w:szCs w:val="24"/>
          <w:lang w:val="en-US" w:eastAsia="zh-CN" w:bidi="ar"/>
        </w:rPr>
        <w:t>0.5</w:t>
      </w:r>
      <w:r>
        <w:rPr>
          <w:rFonts w:hint="default" w:ascii="Times New Roman" w:hAnsi="Times New Roman" w:eastAsia="宋体" w:cs="Times New Roman"/>
          <w:color w:val="000000"/>
          <w:kern w:val="0"/>
          <w:sz w:val="24"/>
          <w:szCs w:val="24"/>
          <w:lang w:val="en-US" w:eastAsia="zh-CN" w:bidi="ar"/>
        </w:rPr>
        <w:t>mg/m</w:t>
      </w:r>
      <w:r>
        <w:rPr>
          <w:rFonts w:hint="eastAsia" w:ascii="Times New Roman" w:hAnsi="Times New Roman" w:eastAsia="宋体" w:cs="Times New Roman"/>
          <w:color w:val="000000"/>
          <w:kern w:val="0"/>
          <w:sz w:val="24"/>
          <w:szCs w:val="24"/>
          <w:vertAlign w:val="superscript"/>
          <w:lang w:val="en-US" w:eastAsia="zh-CN" w:bidi="ar"/>
        </w:rPr>
        <w:t>3</w:t>
      </w:r>
      <w:r>
        <w:rPr>
          <w:rFonts w:hint="eastAsia" w:ascii="宋体" w:hAnsi="宋体" w:eastAsia="宋体" w:cs="宋体"/>
          <w:color w:val="000000"/>
          <w:kern w:val="0"/>
          <w:sz w:val="24"/>
          <w:szCs w:val="24"/>
          <w:lang w:val="en-US" w:eastAsia="zh-CN" w:bidi="ar"/>
        </w:rPr>
        <w:t>，经</w:t>
      </w:r>
      <w:r>
        <w:rPr>
          <w:rFonts w:hint="eastAsia" w:eastAsia="宋体" w:cs="宋体"/>
          <w:color w:val="000000"/>
          <w:kern w:val="0"/>
          <w:sz w:val="24"/>
          <w:szCs w:val="24"/>
          <w:lang w:val="en-US" w:eastAsia="zh-CN" w:bidi="ar"/>
        </w:rPr>
        <w:t>15</w:t>
      </w:r>
      <w:r>
        <w:rPr>
          <w:rFonts w:hint="default" w:ascii="Times New Roman" w:hAnsi="Times New Roman" w:eastAsia="宋体" w:cs="Times New Roman"/>
          <w:color w:val="000000"/>
          <w:kern w:val="0"/>
          <w:sz w:val="24"/>
          <w:szCs w:val="24"/>
          <w:lang w:val="en-US" w:eastAsia="zh-CN" w:bidi="ar"/>
        </w:rPr>
        <w:t>m</w:t>
      </w:r>
      <w:r>
        <w:rPr>
          <w:rFonts w:hint="eastAsia" w:ascii="宋体" w:hAnsi="宋体" w:eastAsia="宋体" w:cs="宋体"/>
          <w:color w:val="000000"/>
          <w:kern w:val="0"/>
          <w:sz w:val="24"/>
          <w:szCs w:val="24"/>
          <w:lang w:val="en-US" w:eastAsia="zh-CN" w:bidi="ar"/>
        </w:rPr>
        <w:t>排气筒排放</w:t>
      </w:r>
      <w:r>
        <w:rPr>
          <w:rFonts w:hint="eastAsia" w:ascii="宋体" w:hAnsi="宋体" w:eastAsia="宋体" w:cs="宋体"/>
          <w:color w:val="000000"/>
          <w:kern w:val="0"/>
          <w:sz w:val="24"/>
          <w:szCs w:val="24"/>
          <w:highlight w:val="none"/>
          <w:lang w:val="en-US" w:eastAsia="zh-CN" w:bidi="ar"/>
        </w:rPr>
        <w:t>，满足《钢铁工业大气污染物排放标准》（DB21/ 4119—2025）表</w:t>
      </w:r>
      <w:r>
        <w:rPr>
          <w:rFonts w:hint="eastAsia" w:ascii="Times New Roman" w:hAnsi="Times New Roman" w:eastAsia="宋体" w:cs="Times New Roman"/>
          <w:color w:val="000000"/>
          <w:kern w:val="0"/>
          <w:sz w:val="24"/>
          <w:szCs w:val="24"/>
          <w:highlight w:val="none"/>
          <w:lang w:val="en-US" w:eastAsia="zh-CN" w:bidi="ar"/>
        </w:rPr>
        <w:t>1</w:t>
      </w:r>
      <w:r>
        <w:rPr>
          <w:rFonts w:hint="eastAsia" w:ascii="宋体" w:hAnsi="宋体" w:eastAsia="宋体" w:cs="宋体"/>
          <w:color w:val="000000"/>
          <w:kern w:val="0"/>
          <w:sz w:val="24"/>
          <w:szCs w:val="24"/>
          <w:highlight w:val="none"/>
          <w:lang w:val="en-US" w:eastAsia="zh-CN" w:bidi="ar"/>
        </w:rPr>
        <w:t xml:space="preserve">标准。 </w:t>
      </w:r>
    </w:p>
    <w:p w14:paraId="092599CD">
      <w:pPr>
        <w:keepNext w:val="0"/>
        <w:keepLines w:val="0"/>
        <w:widowControl/>
        <w:suppressLineNumbers w:val="0"/>
        <w:ind w:firstLine="480" w:firstLineChars="200"/>
        <w:jc w:val="left"/>
      </w:pPr>
      <w:r>
        <w:rPr>
          <w:rFonts w:hint="eastAsia" w:ascii="宋体" w:hAnsi="宋体" w:eastAsia="宋体" w:cs="宋体"/>
          <w:color w:val="000000"/>
          <w:kern w:val="0"/>
          <w:sz w:val="24"/>
          <w:szCs w:val="24"/>
          <w:lang w:val="en-US" w:eastAsia="zh-CN" w:bidi="ar"/>
        </w:rPr>
        <w:t xml:space="preserve">⑤二噁英 </w:t>
      </w:r>
    </w:p>
    <w:p w14:paraId="259FF2D7">
      <w:pPr>
        <w:keepNext w:val="0"/>
        <w:keepLines w:val="0"/>
        <w:widowControl/>
        <w:suppressLineNumbers w:val="0"/>
        <w:ind w:firstLine="480" w:firstLineChars="200"/>
        <w:jc w:val="left"/>
      </w:pPr>
      <w:r>
        <w:rPr>
          <w:rFonts w:hint="eastAsia" w:ascii="宋体" w:hAnsi="宋体" w:eastAsia="宋体" w:cs="宋体"/>
          <w:color w:val="000000"/>
          <w:kern w:val="0"/>
          <w:sz w:val="24"/>
          <w:szCs w:val="24"/>
          <w:lang w:val="en-US" w:eastAsia="zh-CN" w:bidi="ar"/>
        </w:rPr>
        <w:t>烧结机头二噁英产生浓度参照文献</w:t>
      </w:r>
      <w:r>
        <w:rPr>
          <w:rFonts w:hint="default" w:ascii="Times New Roman" w:hAnsi="Times New Roman" w:eastAsia="宋体" w:cs="Times New Roman"/>
          <w:color w:val="000000"/>
          <w:kern w:val="0"/>
          <w:sz w:val="24"/>
          <w:szCs w:val="24"/>
          <w:lang w:val="en-US" w:eastAsia="zh-CN" w:bidi="ar"/>
        </w:rPr>
        <w:t>“</w:t>
      </w:r>
      <w:r>
        <w:rPr>
          <w:rFonts w:hint="eastAsia" w:ascii="宋体" w:hAnsi="宋体" w:eastAsia="宋体" w:cs="宋体"/>
          <w:color w:val="000000"/>
          <w:kern w:val="0"/>
          <w:sz w:val="24"/>
          <w:szCs w:val="24"/>
          <w:lang w:val="en-US" w:eastAsia="zh-CN" w:bidi="ar"/>
        </w:rPr>
        <w:t>烧结机烟气多污染物协同控制技术评述</w:t>
      </w:r>
      <w:r>
        <w:rPr>
          <w:rFonts w:hint="default" w:ascii="Times New Roman" w:hAnsi="Times New Roman" w:eastAsia="宋体" w:cs="Times New Roman"/>
          <w:color w:val="000000"/>
          <w:kern w:val="0"/>
          <w:sz w:val="24"/>
          <w:szCs w:val="24"/>
          <w:lang w:val="en-US" w:eastAsia="zh-CN" w:bidi="ar"/>
        </w:rPr>
        <w:t>”</w:t>
      </w:r>
      <w:r>
        <w:rPr>
          <w:rFonts w:hint="eastAsia" w:ascii="宋体" w:hAnsi="宋体" w:eastAsia="宋体" w:cs="宋体"/>
          <w:color w:val="000000"/>
          <w:kern w:val="0"/>
          <w:sz w:val="24"/>
          <w:szCs w:val="24"/>
          <w:lang w:val="en-US" w:eastAsia="zh-CN" w:bidi="ar"/>
        </w:rPr>
        <w:t>（《中国环境科学学会学术年会论文集》</w:t>
      </w:r>
      <w:r>
        <w:rPr>
          <w:rFonts w:hint="default" w:ascii="Times New Roman" w:hAnsi="Times New Roman" w:eastAsia="宋体" w:cs="Times New Roman"/>
          <w:color w:val="000000"/>
          <w:kern w:val="0"/>
          <w:sz w:val="24"/>
          <w:szCs w:val="24"/>
          <w:lang w:val="en-US" w:eastAsia="zh-CN" w:bidi="ar"/>
        </w:rPr>
        <w:t>2012</w:t>
      </w:r>
      <w:r>
        <w:rPr>
          <w:rFonts w:hint="eastAsia" w:ascii="宋体" w:hAnsi="宋体" w:eastAsia="宋体" w:cs="宋体"/>
          <w:color w:val="000000"/>
          <w:kern w:val="0"/>
          <w:sz w:val="24"/>
          <w:szCs w:val="24"/>
          <w:lang w:val="en-US" w:eastAsia="zh-CN" w:bidi="ar"/>
        </w:rPr>
        <w:t>）中取值</w:t>
      </w:r>
      <w:r>
        <w:rPr>
          <w:rFonts w:hint="default" w:ascii="Times New Roman" w:hAnsi="Times New Roman" w:eastAsia="宋体" w:cs="Times New Roman"/>
          <w:color w:val="000000"/>
          <w:kern w:val="0"/>
          <w:sz w:val="24"/>
          <w:szCs w:val="24"/>
          <w:lang w:val="en-US" w:eastAsia="zh-CN" w:bidi="ar"/>
        </w:rPr>
        <w:t>3-5×10</w:t>
      </w:r>
      <w:r>
        <w:rPr>
          <w:rFonts w:hint="default" w:ascii="Times New Roman" w:hAnsi="Times New Roman" w:eastAsia="宋体" w:cs="Times New Roman"/>
          <w:color w:val="000000"/>
          <w:kern w:val="0"/>
          <w:sz w:val="24"/>
          <w:szCs w:val="24"/>
          <w:vertAlign w:val="superscript"/>
          <w:lang w:val="en-US" w:eastAsia="zh-CN" w:bidi="ar"/>
        </w:rPr>
        <w:t>-6</w:t>
      </w:r>
      <w:r>
        <w:rPr>
          <w:rFonts w:hint="default" w:ascii="Times New Roman" w:hAnsi="Times New Roman" w:eastAsia="宋体" w:cs="Times New Roman"/>
          <w:color w:val="000000"/>
          <w:kern w:val="0"/>
          <w:sz w:val="16"/>
          <w:szCs w:val="16"/>
          <w:lang w:val="en-US" w:eastAsia="zh-CN" w:bidi="ar"/>
        </w:rPr>
        <w:t xml:space="preserve"> </w:t>
      </w:r>
      <w:r>
        <w:rPr>
          <w:rFonts w:hint="default" w:ascii="Times New Roman" w:hAnsi="Times New Roman" w:eastAsia="宋体" w:cs="Times New Roman"/>
          <w:color w:val="000000"/>
          <w:kern w:val="0"/>
          <w:sz w:val="24"/>
          <w:szCs w:val="24"/>
          <w:lang w:val="en-US" w:eastAsia="zh-CN" w:bidi="ar"/>
        </w:rPr>
        <w:t>ng-TEQ/m</w:t>
      </w:r>
      <w:r>
        <w:rPr>
          <w:rFonts w:hint="eastAsia" w:ascii="Times New Roman" w:hAnsi="Times New Roman" w:eastAsia="宋体" w:cs="Times New Roman"/>
          <w:color w:val="000000"/>
          <w:kern w:val="0"/>
          <w:sz w:val="24"/>
          <w:szCs w:val="24"/>
          <w:vertAlign w:val="superscript"/>
          <w:lang w:val="en-US" w:eastAsia="zh-CN" w:bidi="ar"/>
        </w:rPr>
        <w:t>3</w:t>
      </w:r>
      <w:r>
        <w:rPr>
          <w:rFonts w:hint="eastAsia" w:ascii="宋体" w:hAnsi="宋体" w:eastAsia="宋体" w:cs="宋体"/>
          <w:color w:val="000000"/>
          <w:kern w:val="0"/>
          <w:sz w:val="24"/>
          <w:szCs w:val="24"/>
          <w:lang w:val="en-US" w:eastAsia="zh-CN" w:bidi="ar"/>
        </w:rPr>
        <w:t>，根据《二噁英污染防治技术政策》（编制说明）静电除尘器对二噁英的去除效率在</w:t>
      </w:r>
      <w:r>
        <w:rPr>
          <w:rFonts w:hint="default" w:ascii="Times New Roman" w:hAnsi="Times New Roman" w:eastAsia="宋体" w:cs="Times New Roman"/>
          <w:color w:val="000000"/>
          <w:kern w:val="0"/>
          <w:sz w:val="24"/>
          <w:szCs w:val="24"/>
          <w:lang w:val="en-US" w:eastAsia="zh-CN" w:bidi="ar"/>
        </w:rPr>
        <w:t>50%</w:t>
      </w:r>
      <w:r>
        <w:rPr>
          <w:rFonts w:hint="eastAsia" w:ascii="宋体" w:hAnsi="宋体" w:eastAsia="宋体" w:cs="宋体"/>
          <w:color w:val="000000"/>
          <w:kern w:val="0"/>
          <w:sz w:val="24"/>
          <w:szCs w:val="24"/>
          <w:lang w:val="en-US" w:eastAsia="zh-CN" w:bidi="ar"/>
        </w:rPr>
        <w:t>～</w:t>
      </w:r>
      <w:r>
        <w:rPr>
          <w:rFonts w:hint="default" w:ascii="Times New Roman" w:hAnsi="Times New Roman" w:eastAsia="宋体" w:cs="Times New Roman"/>
          <w:color w:val="000000"/>
          <w:kern w:val="0"/>
          <w:sz w:val="24"/>
          <w:szCs w:val="24"/>
          <w:lang w:val="en-US" w:eastAsia="zh-CN" w:bidi="ar"/>
        </w:rPr>
        <w:t>60%</w:t>
      </w:r>
      <w:r>
        <w:rPr>
          <w:rFonts w:hint="eastAsia" w:ascii="宋体" w:hAnsi="宋体" w:eastAsia="宋体" w:cs="宋体"/>
          <w:color w:val="000000"/>
          <w:kern w:val="0"/>
          <w:sz w:val="24"/>
          <w:szCs w:val="24"/>
          <w:lang w:val="en-US" w:eastAsia="zh-CN" w:bidi="ar"/>
        </w:rPr>
        <w:t>，参照文献</w:t>
      </w:r>
      <w:r>
        <w:rPr>
          <w:rFonts w:hint="default" w:ascii="Times New Roman" w:hAnsi="Times New Roman" w:eastAsia="宋体" w:cs="Times New Roman"/>
          <w:color w:val="000000"/>
          <w:kern w:val="0"/>
          <w:sz w:val="24"/>
          <w:szCs w:val="24"/>
          <w:lang w:val="en-US" w:eastAsia="zh-CN" w:bidi="ar"/>
        </w:rPr>
        <w:t>“</w:t>
      </w:r>
      <w:r>
        <w:rPr>
          <w:rFonts w:hint="eastAsia" w:ascii="宋体" w:hAnsi="宋体" w:eastAsia="宋体" w:cs="宋体"/>
          <w:color w:val="000000"/>
          <w:kern w:val="0"/>
          <w:sz w:val="24"/>
          <w:szCs w:val="24"/>
          <w:lang w:val="en-US" w:eastAsia="zh-CN" w:bidi="ar"/>
        </w:rPr>
        <w:t>台湾中钢</w:t>
      </w:r>
      <w:r>
        <w:rPr>
          <w:rFonts w:hint="default" w:ascii="Times New Roman" w:hAnsi="Times New Roman" w:eastAsia="宋体" w:cs="Times New Roman"/>
          <w:color w:val="000000"/>
          <w:kern w:val="0"/>
          <w:sz w:val="24"/>
          <w:szCs w:val="24"/>
          <w:lang w:val="en-US" w:eastAsia="zh-CN" w:bidi="ar"/>
        </w:rPr>
        <w:t>SCR</w:t>
      </w:r>
      <w:r>
        <w:rPr>
          <w:rFonts w:hint="eastAsia" w:ascii="宋体" w:hAnsi="宋体" w:eastAsia="宋体" w:cs="宋体"/>
          <w:color w:val="000000"/>
          <w:kern w:val="0"/>
          <w:sz w:val="24"/>
          <w:szCs w:val="24"/>
          <w:lang w:val="en-US" w:eastAsia="zh-CN" w:bidi="ar"/>
        </w:rPr>
        <w:t>触媒在烧结场脱硝与脱二噁英中的应用</w:t>
      </w:r>
      <w:r>
        <w:rPr>
          <w:rFonts w:hint="default" w:ascii="Times New Roman" w:hAnsi="Times New Roman" w:eastAsia="宋体" w:cs="Times New Roman"/>
          <w:color w:val="000000"/>
          <w:kern w:val="0"/>
          <w:sz w:val="24"/>
          <w:szCs w:val="24"/>
          <w:lang w:val="en-US" w:eastAsia="zh-CN" w:bidi="ar"/>
        </w:rPr>
        <w:t>”</w:t>
      </w:r>
      <w:r>
        <w:rPr>
          <w:rFonts w:hint="eastAsia" w:ascii="宋体" w:hAnsi="宋体" w:eastAsia="宋体" w:cs="宋体"/>
          <w:color w:val="000000"/>
          <w:kern w:val="0"/>
          <w:sz w:val="24"/>
          <w:szCs w:val="24"/>
          <w:lang w:val="en-US" w:eastAsia="zh-CN" w:bidi="ar"/>
        </w:rPr>
        <w:t>（《武汉大学学报：工学报》</w:t>
      </w:r>
      <w:r>
        <w:rPr>
          <w:rFonts w:hint="default" w:ascii="Times New Roman" w:hAnsi="Times New Roman" w:eastAsia="宋体" w:cs="Times New Roman"/>
          <w:color w:val="000000"/>
          <w:kern w:val="0"/>
          <w:sz w:val="24"/>
          <w:szCs w:val="24"/>
          <w:lang w:val="en-US" w:eastAsia="zh-CN" w:bidi="ar"/>
        </w:rPr>
        <w:t>2012</w:t>
      </w:r>
      <w:r>
        <w:rPr>
          <w:rFonts w:hint="eastAsia" w:ascii="宋体" w:hAnsi="宋体" w:eastAsia="宋体" w:cs="宋体"/>
          <w:color w:val="000000"/>
          <w:kern w:val="0"/>
          <w:sz w:val="24"/>
          <w:szCs w:val="24"/>
          <w:lang w:val="en-US" w:eastAsia="zh-CN" w:bidi="ar"/>
        </w:rPr>
        <w:t>）</w:t>
      </w:r>
      <w:r>
        <w:rPr>
          <w:rFonts w:hint="default" w:ascii="Times New Roman" w:hAnsi="Times New Roman" w:eastAsia="宋体" w:cs="Times New Roman"/>
          <w:color w:val="000000"/>
          <w:kern w:val="0"/>
          <w:sz w:val="24"/>
          <w:szCs w:val="24"/>
          <w:lang w:val="en-US" w:eastAsia="zh-CN" w:bidi="ar"/>
        </w:rPr>
        <w:t>SCR</w:t>
      </w:r>
      <w:r>
        <w:rPr>
          <w:rFonts w:hint="eastAsia" w:ascii="宋体" w:hAnsi="宋体" w:eastAsia="宋体" w:cs="宋体"/>
          <w:color w:val="000000"/>
          <w:kern w:val="0"/>
          <w:sz w:val="24"/>
          <w:szCs w:val="24"/>
          <w:lang w:val="en-US" w:eastAsia="zh-CN" w:bidi="ar"/>
        </w:rPr>
        <w:t>脱硝工艺分解二噁英的效率可达</w:t>
      </w:r>
      <w:r>
        <w:rPr>
          <w:rFonts w:hint="default" w:ascii="Times New Roman" w:hAnsi="Times New Roman" w:eastAsia="宋体" w:cs="Times New Roman"/>
          <w:color w:val="000000"/>
          <w:kern w:val="0"/>
          <w:sz w:val="24"/>
          <w:szCs w:val="24"/>
          <w:lang w:val="en-US" w:eastAsia="zh-CN" w:bidi="ar"/>
        </w:rPr>
        <w:t>80%</w:t>
      </w:r>
      <w:r>
        <w:rPr>
          <w:rFonts w:hint="eastAsia" w:ascii="宋体" w:hAnsi="宋体" w:eastAsia="宋体" w:cs="宋体"/>
          <w:color w:val="000000"/>
          <w:kern w:val="0"/>
          <w:sz w:val="24"/>
          <w:szCs w:val="24"/>
          <w:lang w:val="en-US" w:eastAsia="zh-CN" w:bidi="ar"/>
        </w:rPr>
        <w:t>以上，故</w:t>
      </w:r>
      <w:r>
        <w:rPr>
          <w:rFonts w:hint="eastAsia" w:eastAsia="宋体" w:cs="宋体"/>
          <w:color w:val="000000"/>
          <w:kern w:val="0"/>
          <w:sz w:val="24"/>
          <w:szCs w:val="24"/>
          <w:lang w:val="en-US" w:eastAsia="zh-CN" w:bidi="ar"/>
        </w:rPr>
        <w:t>湿</w:t>
      </w:r>
      <w:r>
        <w:rPr>
          <w:rFonts w:hint="eastAsia" w:ascii="宋体" w:hAnsi="宋体" w:eastAsia="宋体" w:cs="宋体"/>
          <w:color w:val="000000"/>
          <w:kern w:val="0"/>
          <w:sz w:val="24"/>
          <w:szCs w:val="24"/>
          <w:lang w:val="en-US" w:eastAsia="zh-CN" w:bidi="ar"/>
        </w:rPr>
        <w:t>电除尘器和</w:t>
      </w:r>
      <w:r>
        <w:rPr>
          <w:rFonts w:hint="default" w:ascii="Times New Roman" w:hAnsi="Times New Roman" w:eastAsia="宋体" w:cs="Times New Roman"/>
          <w:color w:val="000000"/>
          <w:kern w:val="0"/>
          <w:sz w:val="24"/>
          <w:szCs w:val="24"/>
          <w:lang w:val="en-US" w:eastAsia="zh-CN" w:bidi="ar"/>
        </w:rPr>
        <w:t>SCR</w:t>
      </w:r>
      <w:r>
        <w:rPr>
          <w:rFonts w:hint="eastAsia" w:ascii="宋体" w:hAnsi="宋体" w:eastAsia="宋体" w:cs="宋体"/>
          <w:color w:val="000000"/>
          <w:kern w:val="0"/>
          <w:sz w:val="24"/>
          <w:szCs w:val="24"/>
          <w:lang w:val="en-US" w:eastAsia="zh-CN" w:bidi="ar"/>
        </w:rPr>
        <w:t>脱硝的总二噁英减排效率可达</w:t>
      </w:r>
      <w:r>
        <w:rPr>
          <w:rFonts w:hint="default" w:ascii="Times New Roman" w:hAnsi="Times New Roman" w:eastAsia="宋体" w:cs="Times New Roman"/>
          <w:color w:val="000000"/>
          <w:kern w:val="0"/>
          <w:sz w:val="24"/>
          <w:szCs w:val="24"/>
          <w:lang w:val="en-US" w:eastAsia="zh-CN" w:bidi="ar"/>
        </w:rPr>
        <w:t>90%</w:t>
      </w:r>
      <w:r>
        <w:rPr>
          <w:rFonts w:hint="eastAsia" w:ascii="宋体" w:hAnsi="宋体" w:eastAsia="宋体" w:cs="宋体"/>
          <w:color w:val="000000"/>
          <w:kern w:val="0"/>
          <w:sz w:val="24"/>
          <w:szCs w:val="24"/>
          <w:lang w:val="en-US" w:eastAsia="zh-CN" w:bidi="ar"/>
        </w:rPr>
        <w:t>以上。机头烟气中二噁英排放浓度小于等于</w:t>
      </w:r>
      <w:r>
        <w:rPr>
          <w:rFonts w:hint="default" w:ascii="Times New Roman" w:hAnsi="Times New Roman" w:eastAsia="宋体" w:cs="Times New Roman"/>
          <w:color w:val="000000"/>
          <w:kern w:val="0"/>
          <w:sz w:val="24"/>
          <w:szCs w:val="24"/>
          <w:lang w:val="en-US" w:eastAsia="zh-CN" w:bidi="ar"/>
        </w:rPr>
        <w:t>0.5ng-TEQ/m</w:t>
      </w:r>
      <w:r>
        <w:rPr>
          <w:rFonts w:hint="eastAsia" w:ascii="Times New Roman" w:hAnsi="Times New Roman" w:eastAsia="宋体" w:cs="Times New Roman"/>
          <w:color w:val="000000"/>
          <w:kern w:val="0"/>
          <w:sz w:val="24"/>
          <w:szCs w:val="24"/>
          <w:vertAlign w:val="superscript"/>
          <w:lang w:val="en-US" w:eastAsia="zh-CN" w:bidi="ar"/>
        </w:rPr>
        <w:t>3</w:t>
      </w:r>
      <w:r>
        <w:rPr>
          <w:rFonts w:hint="eastAsia" w:ascii="宋体" w:hAnsi="宋体" w:eastAsia="宋体" w:cs="宋体"/>
          <w:color w:val="000000"/>
          <w:kern w:val="0"/>
          <w:sz w:val="24"/>
          <w:szCs w:val="24"/>
          <w:lang w:val="en-US" w:eastAsia="zh-CN" w:bidi="ar"/>
        </w:rPr>
        <w:t>，另类比同类项目监测数据，机头烟气中二噁英《钢铁工业大气污染物排放标准》（DB21/ 4119-2025）</w:t>
      </w:r>
      <w:r>
        <w:rPr>
          <w:rFonts w:hint="eastAsia" w:ascii="宋体" w:hAnsi="宋体" w:eastAsia="宋体" w:cs="宋体"/>
          <w:color w:val="000000"/>
          <w:kern w:val="0"/>
          <w:sz w:val="24"/>
          <w:szCs w:val="24"/>
          <w:highlight w:val="none"/>
          <w:lang w:val="en-US" w:eastAsia="zh-CN" w:bidi="ar"/>
        </w:rPr>
        <w:t>表</w:t>
      </w:r>
      <w:r>
        <w:rPr>
          <w:rFonts w:hint="eastAsia" w:ascii="Times New Roman" w:hAnsi="Times New Roman" w:eastAsia="宋体" w:cs="Times New Roman"/>
          <w:color w:val="000000"/>
          <w:kern w:val="0"/>
          <w:sz w:val="24"/>
          <w:szCs w:val="24"/>
          <w:highlight w:val="none"/>
          <w:lang w:val="en-US" w:eastAsia="zh-CN" w:bidi="ar"/>
        </w:rPr>
        <w:t>1</w:t>
      </w:r>
      <w:r>
        <w:rPr>
          <w:rFonts w:hint="eastAsia" w:ascii="宋体" w:hAnsi="宋体" w:eastAsia="宋体" w:cs="宋体"/>
          <w:color w:val="000000"/>
          <w:kern w:val="0"/>
          <w:sz w:val="24"/>
          <w:szCs w:val="24"/>
          <w:highlight w:val="none"/>
          <w:lang w:val="en-US" w:eastAsia="zh-CN" w:bidi="ar"/>
        </w:rPr>
        <w:t xml:space="preserve">标准。 </w:t>
      </w:r>
    </w:p>
    <w:p w14:paraId="53FCF7EF">
      <w:pPr>
        <w:keepNext w:val="0"/>
        <w:keepLines w:val="0"/>
        <w:widowControl/>
        <w:suppressLineNumbers w:val="0"/>
        <w:ind w:firstLine="480" w:firstLineChars="200"/>
        <w:jc w:val="left"/>
      </w:pPr>
      <w:r>
        <w:rPr>
          <w:rFonts w:hint="eastAsia" w:ascii="宋体" w:hAnsi="宋体" w:eastAsia="宋体" w:cs="宋体"/>
          <w:color w:val="000000"/>
          <w:kern w:val="0"/>
          <w:sz w:val="24"/>
          <w:szCs w:val="24"/>
          <w:lang w:val="en-US" w:eastAsia="zh-CN" w:bidi="ar"/>
        </w:rPr>
        <w:t xml:space="preserve">⑥氨逃逸 </w:t>
      </w:r>
    </w:p>
    <w:p w14:paraId="4663EA6A">
      <w:pPr>
        <w:keepNext w:val="0"/>
        <w:keepLines w:val="0"/>
        <w:widowControl/>
        <w:suppressLineNumbers w:val="0"/>
        <w:ind w:firstLine="480" w:firstLineChars="200"/>
        <w:jc w:val="left"/>
      </w:pPr>
      <w:r>
        <w:rPr>
          <w:rFonts w:hint="eastAsia" w:ascii="宋体" w:hAnsi="宋体" w:eastAsia="宋体" w:cs="宋体"/>
          <w:color w:val="000000"/>
          <w:kern w:val="0"/>
          <w:sz w:val="24"/>
          <w:szCs w:val="24"/>
          <w:lang w:val="en-US" w:eastAsia="zh-CN" w:bidi="ar"/>
        </w:rPr>
        <w:t>脱硝系统的运行过程中会产生少量的逃逸氨气。工艺中逃逸出的氨气随机头废气一起通过排气筒排放，根据企业提供设备技术参数，脱硝系统氨的逃逸率</w:t>
      </w:r>
      <w:r>
        <w:rPr>
          <w:rFonts w:hint="default" w:ascii="Times New Roman" w:hAnsi="Times New Roman" w:eastAsia="宋体" w:cs="Times New Roman"/>
          <w:color w:val="000000"/>
          <w:kern w:val="0"/>
          <w:sz w:val="24"/>
          <w:szCs w:val="24"/>
          <w:lang w:val="en-US" w:eastAsia="zh-CN" w:bidi="ar"/>
        </w:rPr>
        <w:t>≤3mg/Nm</w:t>
      </w:r>
      <w:r>
        <w:rPr>
          <w:rFonts w:hint="eastAsia" w:ascii="Times New Roman" w:hAnsi="Times New Roman" w:eastAsia="宋体" w:cs="Times New Roman"/>
          <w:color w:val="000000"/>
          <w:kern w:val="0"/>
          <w:sz w:val="24"/>
          <w:szCs w:val="24"/>
          <w:vertAlign w:val="superscript"/>
          <w:lang w:val="en-US" w:eastAsia="zh-CN" w:bidi="ar"/>
        </w:rPr>
        <w:t>3</w:t>
      </w:r>
      <w:r>
        <w:rPr>
          <w:rFonts w:hint="eastAsia" w:ascii="宋体" w:hAnsi="宋体" w:eastAsia="宋体" w:cs="宋体"/>
          <w:color w:val="000000"/>
          <w:kern w:val="0"/>
          <w:sz w:val="24"/>
          <w:szCs w:val="24"/>
          <w:lang w:val="en-US" w:eastAsia="zh-CN" w:bidi="ar"/>
        </w:rPr>
        <w:t>，本次环评取</w:t>
      </w:r>
      <w:r>
        <w:rPr>
          <w:rFonts w:hint="default" w:ascii="Times New Roman" w:hAnsi="Times New Roman" w:eastAsia="宋体" w:cs="Times New Roman"/>
          <w:color w:val="000000"/>
          <w:kern w:val="0"/>
          <w:sz w:val="24"/>
          <w:szCs w:val="24"/>
          <w:lang w:val="en-US" w:eastAsia="zh-CN" w:bidi="ar"/>
        </w:rPr>
        <w:t>2.8mg/Nm</w:t>
      </w:r>
      <w:r>
        <w:rPr>
          <w:rFonts w:hint="eastAsia" w:ascii="Times New Roman" w:hAnsi="Times New Roman" w:eastAsia="宋体" w:cs="Times New Roman"/>
          <w:color w:val="000000"/>
          <w:kern w:val="0"/>
          <w:sz w:val="24"/>
          <w:szCs w:val="24"/>
          <w:vertAlign w:val="superscript"/>
          <w:lang w:val="en-US" w:eastAsia="zh-CN" w:bidi="ar"/>
        </w:rPr>
        <w:t>3</w:t>
      </w:r>
      <w:r>
        <w:rPr>
          <w:rFonts w:hint="eastAsia" w:ascii="宋体" w:hAnsi="宋体" w:eastAsia="宋体" w:cs="宋体"/>
          <w:color w:val="000000"/>
          <w:kern w:val="0"/>
          <w:sz w:val="24"/>
          <w:szCs w:val="24"/>
          <w:lang w:val="en-US" w:eastAsia="zh-CN" w:bidi="ar"/>
        </w:rPr>
        <w:t>，烟气排放量为</w:t>
      </w:r>
      <w:r>
        <w:rPr>
          <w:rFonts w:hint="eastAsia" w:ascii="Times New Roman" w:hAnsi="Times New Roman" w:eastAsia="宋体" w:cs="Times New Roman"/>
          <w:color w:val="000000"/>
          <w:kern w:val="0"/>
          <w:sz w:val="24"/>
          <w:szCs w:val="24"/>
          <w:lang w:val="en-US" w:eastAsia="zh-CN" w:bidi="ar"/>
        </w:rPr>
        <w:t>270</w:t>
      </w:r>
      <w:r>
        <w:rPr>
          <w:rFonts w:hint="default" w:ascii="Times New Roman" w:hAnsi="Times New Roman" w:eastAsia="宋体" w:cs="Times New Roman"/>
          <w:color w:val="000000"/>
          <w:kern w:val="0"/>
          <w:sz w:val="24"/>
          <w:szCs w:val="24"/>
          <w:lang w:val="en-US" w:eastAsia="zh-CN" w:bidi="ar"/>
        </w:rPr>
        <w:t>000Nm</w:t>
      </w:r>
      <w:r>
        <w:rPr>
          <w:rFonts w:hint="eastAsia" w:ascii="Times New Roman" w:hAnsi="Times New Roman" w:eastAsia="宋体" w:cs="Times New Roman"/>
          <w:color w:val="000000"/>
          <w:kern w:val="0"/>
          <w:sz w:val="24"/>
          <w:szCs w:val="24"/>
          <w:vertAlign w:val="superscript"/>
          <w:lang w:val="en-US" w:eastAsia="zh-CN" w:bidi="ar"/>
        </w:rPr>
        <w:t>3</w:t>
      </w:r>
      <w:r>
        <w:rPr>
          <w:rFonts w:hint="default" w:ascii="Times New Roman" w:hAnsi="Times New Roman" w:eastAsia="宋体" w:cs="Times New Roman"/>
          <w:color w:val="000000"/>
          <w:kern w:val="0"/>
          <w:sz w:val="16"/>
          <w:szCs w:val="16"/>
          <w:lang w:val="en-US" w:eastAsia="zh-CN" w:bidi="ar"/>
        </w:rPr>
        <w:t xml:space="preserve"> </w:t>
      </w:r>
      <w:r>
        <w:rPr>
          <w:rFonts w:hint="default" w:ascii="Times New Roman" w:hAnsi="Times New Roman" w:eastAsia="宋体" w:cs="Times New Roman"/>
          <w:color w:val="000000"/>
          <w:kern w:val="0"/>
          <w:sz w:val="24"/>
          <w:szCs w:val="24"/>
          <w:lang w:val="en-US" w:eastAsia="zh-CN" w:bidi="ar"/>
        </w:rPr>
        <w:t>/h</w:t>
      </w:r>
      <w:r>
        <w:rPr>
          <w:rFonts w:hint="eastAsia" w:ascii="宋体" w:hAnsi="宋体" w:eastAsia="宋体" w:cs="宋体"/>
          <w:color w:val="000000"/>
          <w:kern w:val="0"/>
          <w:sz w:val="24"/>
          <w:szCs w:val="24"/>
          <w:lang w:val="en-US" w:eastAsia="zh-CN" w:bidi="ar"/>
        </w:rPr>
        <w:t>，由此核算其最大排放速率为</w:t>
      </w:r>
      <w:r>
        <w:rPr>
          <w:rFonts w:hint="eastAsia" w:ascii="Times New Roman" w:hAnsi="Times New Roman" w:eastAsia="宋体" w:cs="Times New Roman"/>
          <w:color w:val="000000"/>
          <w:kern w:val="0"/>
          <w:sz w:val="24"/>
          <w:szCs w:val="24"/>
          <w:lang w:val="en-US" w:eastAsia="zh-CN" w:bidi="ar"/>
        </w:rPr>
        <w:t>0.756</w:t>
      </w:r>
      <w:r>
        <w:rPr>
          <w:rFonts w:hint="default" w:ascii="Times New Roman" w:hAnsi="Times New Roman" w:eastAsia="宋体" w:cs="Times New Roman"/>
          <w:color w:val="000000"/>
          <w:kern w:val="0"/>
          <w:sz w:val="24"/>
          <w:szCs w:val="24"/>
          <w:lang w:val="en-US" w:eastAsia="zh-CN" w:bidi="ar"/>
        </w:rPr>
        <w:t>kg/h</w:t>
      </w:r>
      <w:r>
        <w:rPr>
          <w:rFonts w:hint="eastAsia" w:ascii="宋体" w:hAnsi="宋体" w:eastAsia="宋体" w:cs="宋体"/>
          <w:color w:val="000000"/>
          <w:kern w:val="0"/>
          <w:sz w:val="24"/>
          <w:szCs w:val="24"/>
          <w:lang w:val="en-US" w:eastAsia="zh-CN" w:bidi="ar"/>
        </w:rPr>
        <w:t>，最大排放量为</w:t>
      </w:r>
      <w:r>
        <w:rPr>
          <w:rFonts w:hint="eastAsia" w:eastAsia="宋体" w:cs="宋体"/>
          <w:color w:val="000000"/>
          <w:kern w:val="0"/>
          <w:sz w:val="24"/>
          <w:szCs w:val="24"/>
          <w:lang w:val="en-US" w:eastAsia="zh-CN" w:bidi="ar"/>
        </w:rPr>
        <w:t>6.0</w:t>
      </w:r>
      <w:r>
        <w:rPr>
          <w:rFonts w:hint="default" w:ascii="Times New Roman" w:hAnsi="Times New Roman" w:eastAsia="宋体" w:cs="Times New Roman"/>
          <w:color w:val="000000"/>
          <w:kern w:val="0"/>
          <w:sz w:val="24"/>
          <w:szCs w:val="24"/>
          <w:lang w:val="en-US" w:eastAsia="zh-CN" w:bidi="ar"/>
        </w:rPr>
        <w:t>t/a</w:t>
      </w:r>
      <w:r>
        <w:rPr>
          <w:rFonts w:hint="eastAsia" w:ascii="宋体" w:hAnsi="宋体" w:eastAsia="宋体" w:cs="宋体"/>
          <w:color w:val="000000"/>
          <w:kern w:val="0"/>
          <w:sz w:val="24"/>
          <w:szCs w:val="24"/>
          <w:lang w:val="en-US" w:eastAsia="zh-CN" w:bidi="ar"/>
        </w:rPr>
        <w:t>。满足《恶臭污染物排放标准》（</w:t>
      </w:r>
      <w:r>
        <w:rPr>
          <w:rFonts w:hint="default" w:ascii="Times New Roman" w:hAnsi="Times New Roman" w:eastAsia="宋体" w:cs="Times New Roman"/>
          <w:color w:val="000000"/>
          <w:kern w:val="0"/>
          <w:sz w:val="24"/>
          <w:szCs w:val="24"/>
          <w:lang w:val="en-US" w:eastAsia="zh-CN" w:bidi="ar"/>
        </w:rPr>
        <w:t>GB14554-93</w:t>
      </w:r>
      <w:r>
        <w:rPr>
          <w:rFonts w:hint="eastAsia" w:ascii="宋体" w:hAnsi="宋体" w:eastAsia="宋体" w:cs="宋体"/>
          <w:color w:val="000000"/>
          <w:kern w:val="0"/>
          <w:sz w:val="24"/>
          <w:szCs w:val="24"/>
          <w:lang w:val="en-US" w:eastAsia="zh-CN" w:bidi="ar"/>
        </w:rPr>
        <w:t>）表</w:t>
      </w:r>
      <w:r>
        <w:rPr>
          <w:rFonts w:hint="default" w:ascii="Times New Roman" w:hAnsi="Times New Roman" w:eastAsia="宋体" w:cs="Times New Roman"/>
          <w:color w:val="000000"/>
          <w:kern w:val="0"/>
          <w:sz w:val="24"/>
          <w:szCs w:val="24"/>
          <w:lang w:val="en-US" w:eastAsia="zh-CN" w:bidi="ar"/>
        </w:rPr>
        <w:t>2</w:t>
      </w:r>
      <w:r>
        <w:rPr>
          <w:rFonts w:hint="eastAsia" w:ascii="宋体" w:hAnsi="宋体" w:eastAsia="宋体" w:cs="宋体"/>
          <w:color w:val="000000"/>
          <w:kern w:val="0"/>
          <w:sz w:val="24"/>
          <w:szCs w:val="24"/>
          <w:lang w:val="en-US" w:eastAsia="zh-CN" w:bidi="ar"/>
        </w:rPr>
        <w:t xml:space="preserve">中排放标准。 </w:t>
      </w:r>
    </w:p>
    <w:p w14:paraId="48996C9A">
      <w:pPr>
        <w:keepNext w:val="0"/>
        <w:keepLines w:val="0"/>
        <w:widowControl/>
        <w:suppressLineNumbers w:val="0"/>
        <w:ind w:firstLine="480" w:firstLineChars="200"/>
        <w:jc w:val="left"/>
      </w:pPr>
      <w:r>
        <w:rPr>
          <w:rFonts w:hint="eastAsia" w:ascii="宋体" w:hAnsi="宋体" w:eastAsia="宋体" w:cs="宋体"/>
          <w:color w:val="000000"/>
          <w:kern w:val="0"/>
          <w:sz w:val="24"/>
          <w:szCs w:val="24"/>
          <w:lang w:val="en-US" w:eastAsia="zh-CN" w:bidi="ar"/>
        </w:rPr>
        <w:t>（</w:t>
      </w:r>
      <w:r>
        <w:rPr>
          <w:rFonts w:hint="eastAsia" w:ascii="Times New Roman" w:hAnsi="Times New Roman" w:eastAsia="宋体" w:cs="Times New Roman"/>
          <w:color w:val="000000"/>
          <w:kern w:val="0"/>
          <w:sz w:val="24"/>
          <w:szCs w:val="24"/>
          <w:lang w:val="en-US" w:eastAsia="zh-CN" w:bidi="ar"/>
        </w:rPr>
        <w:t>4</w:t>
      </w:r>
      <w:r>
        <w:rPr>
          <w:rFonts w:hint="eastAsia" w:ascii="宋体" w:hAnsi="宋体" w:eastAsia="宋体" w:cs="宋体"/>
          <w:color w:val="000000"/>
          <w:kern w:val="0"/>
          <w:sz w:val="24"/>
          <w:szCs w:val="24"/>
          <w:lang w:val="en-US" w:eastAsia="zh-CN" w:bidi="ar"/>
        </w:rPr>
        <w:t>）机尾除尘系统（</w:t>
      </w:r>
      <w:r>
        <w:rPr>
          <w:rFonts w:hint="default" w:ascii="Times New Roman" w:hAnsi="Times New Roman" w:eastAsia="宋体" w:cs="Times New Roman"/>
          <w:color w:val="000000"/>
          <w:kern w:val="0"/>
          <w:sz w:val="24"/>
          <w:szCs w:val="24"/>
          <w:lang w:val="en-US" w:eastAsia="zh-CN" w:bidi="ar"/>
        </w:rPr>
        <w:t>G</w:t>
      </w:r>
      <w:r>
        <w:rPr>
          <w:rFonts w:hint="eastAsia" w:ascii="Times New Roman" w:hAnsi="Times New Roman" w:eastAsia="宋体" w:cs="Times New Roman"/>
          <w:color w:val="000000"/>
          <w:kern w:val="0"/>
          <w:sz w:val="24"/>
          <w:szCs w:val="24"/>
          <w:lang w:val="en-US" w:eastAsia="zh-CN" w:bidi="ar"/>
        </w:rPr>
        <w:t>4</w:t>
      </w:r>
      <w:r>
        <w:rPr>
          <w:rFonts w:hint="eastAsia" w:ascii="宋体" w:hAnsi="宋体" w:eastAsia="宋体" w:cs="宋体"/>
          <w:color w:val="000000"/>
          <w:kern w:val="0"/>
          <w:sz w:val="24"/>
          <w:szCs w:val="24"/>
          <w:lang w:val="en-US" w:eastAsia="zh-CN" w:bidi="ar"/>
        </w:rPr>
        <w:t xml:space="preserve">） </w:t>
      </w:r>
    </w:p>
    <w:p w14:paraId="4BDFC63E">
      <w:pPr>
        <w:keepNext w:val="0"/>
        <w:keepLines w:val="0"/>
        <w:widowControl/>
        <w:suppressLineNumbers w:val="0"/>
        <w:ind w:firstLine="480" w:firstLineChars="200"/>
        <w:jc w:val="left"/>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机尾除尘系统处理机尾除尘点产生的含尘废气，设计总风量为</w:t>
      </w:r>
      <w:r>
        <w:rPr>
          <w:rFonts w:hint="eastAsia" w:eastAsia="宋体" w:cs="宋体"/>
          <w:color w:val="000000"/>
          <w:kern w:val="0"/>
          <w:sz w:val="24"/>
          <w:szCs w:val="24"/>
          <w:lang w:val="en-US" w:eastAsia="zh-CN" w:bidi="ar"/>
        </w:rPr>
        <w:t>150000</w:t>
      </w:r>
      <w:r>
        <w:rPr>
          <w:rFonts w:hint="default" w:ascii="Times New Roman" w:hAnsi="Times New Roman" w:eastAsia="宋体" w:cs="Times New Roman"/>
          <w:color w:val="000000"/>
          <w:kern w:val="0"/>
          <w:sz w:val="24"/>
          <w:szCs w:val="24"/>
          <w:highlight w:val="yellow"/>
          <w:lang w:val="en-US" w:eastAsia="zh-CN" w:bidi="ar"/>
        </w:rPr>
        <w:t>m</w:t>
      </w:r>
      <w:r>
        <w:rPr>
          <w:rFonts w:hint="eastAsia" w:ascii="Times New Roman" w:hAnsi="Times New Roman" w:eastAsia="宋体" w:cs="Times New Roman"/>
          <w:color w:val="000000"/>
          <w:kern w:val="0"/>
          <w:sz w:val="24"/>
          <w:szCs w:val="24"/>
          <w:highlight w:val="yellow"/>
          <w:vertAlign w:val="superscript"/>
          <w:lang w:val="en-US" w:eastAsia="zh-CN" w:bidi="ar"/>
        </w:rPr>
        <w:t>3</w:t>
      </w:r>
      <w:r>
        <w:rPr>
          <w:rFonts w:hint="default" w:ascii="Times New Roman" w:hAnsi="Times New Roman" w:eastAsia="宋体" w:cs="Times New Roman"/>
          <w:color w:val="000000"/>
          <w:kern w:val="0"/>
          <w:sz w:val="24"/>
          <w:szCs w:val="24"/>
          <w:highlight w:val="yellow"/>
          <w:lang w:val="en-US" w:eastAsia="zh-CN" w:bidi="ar"/>
        </w:rPr>
        <w:t>/h</w:t>
      </w:r>
      <w:r>
        <w:rPr>
          <w:rFonts w:hint="eastAsia" w:ascii="宋体" w:hAnsi="宋体" w:eastAsia="宋体" w:cs="宋体"/>
          <w:color w:val="000000"/>
          <w:kern w:val="0"/>
          <w:sz w:val="24"/>
          <w:szCs w:val="24"/>
          <w:lang w:val="en-US" w:eastAsia="zh-CN" w:bidi="ar"/>
        </w:rPr>
        <w:t>。根据《污染源源强核算技术指南 钢铁工业》（</w:t>
      </w:r>
      <w:r>
        <w:rPr>
          <w:rFonts w:hint="default" w:ascii="Times New Roman" w:hAnsi="Times New Roman" w:eastAsia="宋体" w:cs="Times New Roman"/>
          <w:color w:val="000000"/>
          <w:kern w:val="0"/>
          <w:sz w:val="24"/>
          <w:szCs w:val="24"/>
          <w:lang w:val="en-US" w:eastAsia="zh-CN" w:bidi="ar"/>
        </w:rPr>
        <w:t>HJ885-2018</w:t>
      </w:r>
      <w:r>
        <w:rPr>
          <w:rFonts w:hint="eastAsia" w:ascii="宋体" w:hAnsi="宋体" w:eastAsia="宋体" w:cs="宋体"/>
          <w:color w:val="000000"/>
          <w:kern w:val="0"/>
          <w:sz w:val="24"/>
          <w:szCs w:val="24"/>
          <w:lang w:val="en-US" w:eastAsia="zh-CN" w:bidi="ar"/>
        </w:rPr>
        <w:t>），机尾除尘系统源强核算方法采用</w:t>
      </w:r>
      <w:r>
        <w:rPr>
          <w:rFonts w:hint="eastAsia" w:eastAsia="宋体" w:cs="宋体"/>
          <w:color w:val="000000"/>
          <w:kern w:val="0"/>
          <w:sz w:val="24"/>
          <w:szCs w:val="24"/>
          <w:lang w:val="en-US" w:eastAsia="zh-CN" w:bidi="ar"/>
        </w:rPr>
        <w:t>系数</w:t>
      </w:r>
      <w:r>
        <w:rPr>
          <w:rFonts w:hint="eastAsia" w:ascii="宋体" w:hAnsi="宋体" w:eastAsia="宋体" w:cs="宋体"/>
          <w:color w:val="000000"/>
          <w:kern w:val="0"/>
          <w:sz w:val="24"/>
          <w:szCs w:val="24"/>
          <w:lang w:val="en-US" w:eastAsia="zh-CN" w:bidi="ar"/>
        </w:rPr>
        <w:t>法，</w:t>
      </w:r>
      <w:r>
        <w:rPr>
          <w:rFonts w:hint="eastAsia" w:ascii="Times New Roman" w:hAnsi="Times New Roman" w:cs="Times New Roman"/>
          <w:b w:val="0"/>
          <w:bCs w:val="0"/>
        </w:rPr>
        <w:t>根据第二次全国污染源普查《3110 炼铁行业系数手册》，</w:t>
      </w:r>
      <w:r>
        <w:rPr>
          <w:rFonts w:hint="eastAsia" w:ascii="Times New Roman" w:hAnsi="Times New Roman" w:cs="Times New Roman"/>
          <w:b w:val="0"/>
          <w:bCs w:val="0"/>
          <w:lang w:val="en-US" w:eastAsia="zh-CN"/>
        </w:rPr>
        <w:t>≤</w:t>
      </w:r>
      <w:r>
        <w:rPr>
          <w:rFonts w:hint="eastAsia" w:ascii="Times New Roman" w:hAnsi="Times New Roman" w:cs="Times New Roman"/>
          <w:b w:val="0"/>
          <w:bCs w:val="0"/>
        </w:rPr>
        <w:t>180平方米带式烧结机</w:t>
      </w:r>
      <w:r>
        <w:rPr>
          <w:rFonts w:hint="eastAsia" w:ascii="Times New Roman" w:hAnsi="Times New Roman" w:cs="Times New Roman"/>
          <w:b w:val="0"/>
          <w:bCs w:val="0"/>
          <w:lang w:val="en-US" w:eastAsia="zh-CN"/>
        </w:rPr>
        <w:t>尾</w:t>
      </w:r>
      <w:r>
        <w:rPr>
          <w:rFonts w:hint="eastAsia" w:ascii="Times New Roman" w:hAnsi="Times New Roman" w:cs="Times New Roman"/>
          <w:b w:val="0"/>
          <w:bCs w:val="0"/>
        </w:rPr>
        <w:t>烟气颗粒物产污系数为</w:t>
      </w:r>
      <w:r>
        <w:rPr>
          <w:rFonts w:hint="eastAsia" w:ascii="Times New Roman" w:hAnsi="Times New Roman" w:cs="Times New Roman"/>
          <w:b w:val="0"/>
          <w:bCs w:val="0"/>
          <w:lang w:val="en-US" w:eastAsia="zh-CN"/>
        </w:rPr>
        <w:t>5.6</w:t>
      </w:r>
      <w:r>
        <w:rPr>
          <w:rFonts w:hint="eastAsia" w:ascii="Times New Roman" w:hAnsi="Times New Roman" w:cs="Times New Roman"/>
          <w:b w:val="0"/>
          <w:bCs w:val="0"/>
        </w:rPr>
        <w:t>kg/t-烧结矿，则本项目烧结机头颗粒物产生量为</w:t>
      </w:r>
      <w:r>
        <w:rPr>
          <w:rFonts w:hint="eastAsia" w:ascii="Times New Roman" w:hAnsi="Times New Roman" w:cs="Times New Roman"/>
          <w:b w:val="0"/>
          <w:bCs w:val="0"/>
          <w:lang w:val="en-US" w:eastAsia="zh-CN"/>
        </w:rPr>
        <w:t>3696</w:t>
      </w:r>
      <w:r>
        <w:rPr>
          <w:rFonts w:hint="eastAsia" w:ascii="Times New Roman" w:hAnsi="Times New Roman" w:cs="Times New Roman"/>
          <w:b w:val="0"/>
          <w:bCs w:val="0"/>
        </w:rPr>
        <w:t>t/a、产生速率为</w:t>
      </w:r>
      <w:r>
        <w:rPr>
          <w:rFonts w:hint="eastAsia" w:ascii="Times New Roman" w:hAnsi="Times New Roman" w:cs="Times New Roman"/>
          <w:b w:val="0"/>
          <w:bCs w:val="0"/>
          <w:lang w:val="en-US" w:eastAsia="zh-CN"/>
        </w:rPr>
        <w:t>466.7</w:t>
      </w:r>
      <w:r>
        <w:rPr>
          <w:rFonts w:hint="eastAsia" w:ascii="Times New Roman" w:hAnsi="Times New Roman" w:cs="Times New Roman"/>
          <w:b w:val="0"/>
          <w:bCs w:val="0"/>
        </w:rPr>
        <w:t>kg/h，产生浓度为</w:t>
      </w:r>
      <w:r>
        <w:rPr>
          <w:rFonts w:hint="eastAsia" w:ascii="Times New Roman" w:hAnsi="Times New Roman" w:cs="Times New Roman"/>
          <w:b w:val="0"/>
          <w:bCs w:val="0"/>
          <w:lang w:val="en-US" w:eastAsia="zh-CN"/>
        </w:rPr>
        <w:t>3111</w:t>
      </w:r>
      <w:r>
        <w:rPr>
          <w:rFonts w:hint="eastAsia" w:ascii="Times New Roman" w:hAnsi="Times New Roman" w:cs="Times New Roman"/>
          <w:b w:val="0"/>
          <w:bCs w:val="0"/>
        </w:rPr>
        <w:t>mg/m</w:t>
      </w:r>
      <w:r>
        <w:rPr>
          <w:rFonts w:hint="eastAsia" w:ascii="Times New Roman" w:hAnsi="Times New Roman" w:cs="Times New Roman"/>
          <w:b w:val="0"/>
          <w:bCs w:val="0"/>
          <w:vertAlign w:val="superscript"/>
        </w:rPr>
        <w:t>3</w:t>
      </w:r>
      <w:r>
        <w:rPr>
          <w:rFonts w:hint="eastAsia" w:ascii="Times New Roman" w:hAnsi="Times New Roman" w:cs="Times New Roman"/>
          <w:b w:val="0"/>
          <w:bCs w:val="0"/>
          <w:vertAlign w:val="baseline"/>
          <w:lang w:eastAsia="zh-CN"/>
        </w:rPr>
        <w:t>。</w:t>
      </w:r>
      <w:r>
        <w:rPr>
          <w:rFonts w:hint="eastAsia" w:ascii="宋体" w:hAnsi="宋体" w:eastAsia="宋体" w:cs="宋体"/>
          <w:color w:val="000000"/>
          <w:kern w:val="0"/>
          <w:sz w:val="24"/>
          <w:szCs w:val="24"/>
          <w:lang w:val="en-US" w:eastAsia="zh-CN" w:bidi="ar"/>
        </w:rPr>
        <w:t>含尘废气采用</w:t>
      </w:r>
      <w:r>
        <w:rPr>
          <w:rFonts w:hint="eastAsia" w:eastAsia="宋体" w:cs="宋体"/>
          <w:color w:val="000000"/>
          <w:kern w:val="0"/>
          <w:sz w:val="24"/>
          <w:szCs w:val="24"/>
          <w:lang w:val="en-US" w:eastAsia="zh-CN" w:bidi="ar"/>
        </w:rPr>
        <w:t>覆膜</w:t>
      </w:r>
      <w:r>
        <w:rPr>
          <w:rFonts w:hint="eastAsia" w:ascii="宋体" w:hAnsi="宋体" w:eastAsia="宋体" w:cs="宋体"/>
          <w:color w:val="000000"/>
          <w:kern w:val="0"/>
          <w:sz w:val="24"/>
          <w:szCs w:val="24"/>
          <w:lang w:val="en-US" w:eastAsia="zh-CN" w:bidi="ar"/>
        </w:rPr>
        <w:t>袋式除尘器净化，净化效率可达</w:t>
      </w:r>
      <w:r>
        <w:rPr>
          <w:rFonts w:hint="default" w:ascii="Times New Roman" w:hAnsi="Times New Roman" w:eastAsia="宋体" w:cs="Times New Roman"/>
          <w:color w:val="000000"/>
          <w:kern w:val="0"/>
          <w:sz w:val="24"/>
          <w:szCs w:val="24"/>
          <w:lang w:val="en-US" w:eastAsia="zh-CN" w:bidi="ar"/>
        </w:rPr>
        <w:t>99.</w:t>
      </w:r>
      <w:r>
        <w:rPr>
          <w:rFonts w:hint="eastAsia" w:ascii="Times New Roman" w:hAnsi="Times New Roman" w:eastAsia="宋体" w:cs="Times New Roman"/>
          <w:color w:val="000000"/>
          <w:kern w:val="0"/>
          <w:sz w:val="24"/>
          <w:szCs w:val="24"/>
          <w:lang w:val="en-US" w:eastAsia="zh-CN" w:bidi="ar"/>
        </w:rPr>
        <w:t>9</w:t>
      </w:r>
      <w:r>
        <w:rPr>
          <w:rFonts w:hint="default" w:ascii="Times New Roman" w:hAnsi="Times New Roman" w:eastAsia="宋体" w:cs="Times New Roman"/>
          <w:color w:val="000000"/>
          <w:kern w:val="0"/>
          <w:sz w:val="24"/>
          <w:szCs w:val="24"/>
          <w:lang w:val="en-US" w:eastAsia="zh-CN" w:bidi="ar"/>
        </w:rPr>
        <w:t>%</w:t>
      </w:r>
      <w:r>
        <w:rPr>
          <w:rFonts w:hint="eastAsia" w:ascii="宋体" w:hAnsi="宋体" w:eastAsia="宋体" w:cs="宋体"/>
          <w:color w:val="000000"/>
          <w:kern w:val="0"/>
          <w:sz w:val="24"/>
          <w:szCs w:val="24"/>
          <w:lang w:val="en-US" w:eastAsia="zh-CN" w:bidi="ar"/>
        </w:rPr>
        <w:t>，净化后废气中颗粒物排放浓度</w:t>
      </w:r>
      <w:r>
        <w:rPr>
          <w:rFonts w:hint="eastAsia" w:ascii="Times New Roman" w:hAnsi="Times New Roman" w:eastAsia="宋体" w:cs="Times New Roman"/>
          <w:color w:val="000000"/>
          <w:kern w:val="0"/>
          <w:sz w:val="24"/>
          <w:szCs w:val="24"/>
          <w:lang w:val="en-US" w:eastAsia="zh-CN" w:bidi="ar"/>
        </w:rPr>
        <w:t>3.1</w:t>
      </w:r>
      <w:r>
        <w:rPr>
          <w:rFonts w:hint="default" w:ascii="Times New Roman" w:hAnsi="Times New Roman" w:eastAsia="宋体" w:cs="Times New Roman"/>
          <w:color w:val="000000"/>
          <w:kern w:val="0"/>
          <w:sz w:val="24"/>
          <w:szCs w:val="24"/>
          <w:lang w:val="en-US" w:eastAsia="zh-CN" w:bidi="ar"/>
        </w:rPr>
        <w:t>mg/m</w:t>
      </w:r>
      <w:r>
        <w:rPr>
          <w:rFonts w:hint="eastAsia" w:ascii="Times New Roman" w:hAnsi="Times New Roman" w:eastAsia="宋体" w:cs="Times New Roman"/>
          <w:color w:val="000000"/>
          <w:kern w:val="0"/>
          <w:sz w:val="24"/>
          <w:szCs w:val="24"/>
          <w:vertAlign w:val="superscript"/>
          <w:lang w:val="en-US" w:eastAsia="zh-CN" w:bidi="ar"/>
        </w:rPr>
        <w:t>3</w:t>
      </w:r>
      <w:r>
        <w:rPr>
          <w:rFonts w:hint="eastAsia" w:ascii="宋体" w:hAnsi="宋体" w:eastAsia="宋体" w:cs="宋体"/>
          <w:color w:val="000000"/>
          <w:kern w:val="0"/>
          <w:sz w:val="24"/>
          <w:szCs w:val="24"/>
          <w:lang w:val="en-US" w:eastAsia="zh-CN" w:bidi="ar"/>
        </w:rPr>
        <w:t>，尾气经</w:t>
      </w:r>
      <w:r>
        <w:rPr>
          <w:rFonts w:hint="eastAsia" w:eastAsia="宋体" w:cs="宋体"/>
          <w:color w:val="000000"/>
          <w:kern w:val="0"/>
          <w:sz w:val="24"/>
          <w:szCs w:val="24"/>
          <w:lang w:val="en-US" w:eastAsia="zh-CN" w:bidi="ar"/>
        </w:rPr>
        <w:t>19</w:t>
      </w:r>
      <w:r>
        <w:rPr>
          <w:rFonts w:hint="default" w:ascii="Times New Roman" w:hAnsi="Times New Roman" w:eastAsia="宋体" w:cs="Times New Roman"/>
          <w:color w:val="000000"/>
          <w:kern w:val="0"/>
          <w:sz w:val="24"/>
          <w:szCs w:val="24"/>
          <w:lang w:val="en-US" w:eastAsia="zh-CN" w:bidi="ar"/>
        </w:rPr>
        <w:t>m</w:t>
      </w:r>
      <w:r>
        <w:rPr>
          <w:rFonts w:hint="eastAsia" w:ascii="宋体" w:hAnsi="宋体" w:eastAsia="宋体" w:cs="宋体"/>
          <w:color w:val="000000"/>
          <w:kern w:val="0"/>
          <w:sz w:val="24"/>
          <w:szCs w:val="24"/>
          <w:lang w:val="en-US" w:eastAsia="zh-CN" w:bidi="ar"/>
        </w:rPr>
        <w:t>排气筒排放，满足《关于推进实施钢铁行业超低排放的意见》（环大气〔</w:t>
      </w:r>
      <w:r>
        <w:rPr>
          <w:rFonts w:hint="default" w:ascii="Times New Roman" w:hAnsi="Times New Roman" w:eastAsia="宋体" w:cs="Times New Roman"/>
          <w:color w:val="000000"/>
          <w:kern w:val="0"/>
          <w:sz w:val="24"/>
          <w:szCs w:val="24"/>
          <w:lang w:val="en-US" w:eastAsia="zh-CN" w:bidi="ar"/>
        </w:rPr>
        <w:t>2019</w:t>
      </w:r>
      <w:r>
        <w:rPr>
          <w:rFonts w:hint="eastAsia" w:ascii="宋体" w:hAnsi="宋体" w:eastAsia="宋体" w:cs="宋体"/>
          <w:color w:val="000000"/>
          <w:kern w:val="0"/>
          <w:sz w:val="24"/>
          <w:szCs w:val="24"/>
          <w:lang w:val="en-US" w:eastAsia="zh-CN" w:bidi="ar"/>
        </w:rPr>
        <w:t>〕</w:t>
      </w:r>
      <w:r>
        <w:rPr>
          <w:rFonts w:hint="default" w:ascii="Times New Roman" w:hAnsi="Times New Roman" w:eastAsia="宋体" w:cs="Times New Roman"/>
          <w:color w:val="000000"/>
          <w:kern w:val="0"/>
          <w:sz w:val="24"/>
          <w:szCs w:val="24"/>
          <w:lang w:val="en-US" w:eastAsia="zh-CN" w:bidi="ar"/>
        </w:rPr>
        <w:t>35</w:t>
      </w:r>
      <w:r>
        <w:rPr>
          <w:rFonts w:hint="eastAsia" w:ascii="宋体" w:hAnsi="宋体" w:eastAsia="宋体" w:cs="宋体"/>
          <w:color w:val="000000"/>
          <w:kern w:val="0"/>
          <w:sz w:val="24"/>
          <w:szCs w:val="24"/>
          <w:lang w:val="en-US" w:eastAsia="zh-CN" w:bidi="ar"/>
        </w:rPr>
        <w:t>号）钢铁企业超低排放指标限值的要求。</w:t>
      </w:r>
    </w:p>
    <w:p w14:paraId="617F75B0">
      <w:pPr>
        <w:keepNext w:val="0"/>
        <w:keepLines w:val="0"/>
        <w:widowControl/>
        <w:suppressLineNumbers w:val="0"/>
        <w:ind w:firstLine="480" w:firstLineChars="200"/>
        <w:jc w:val="left"/>
      </w:pPr>
      <w:r>
        <w:rPr>
          <w:rFonts w:hint="eastAsia" w:ascii="宋体" w:hAnsi="宋体" w:eastAsia="宋体" w:cs="宋体"/>
          <w:color w:val="000000"/>
          <w:kern w:val="0"/>
          <w:sz w:val="24"/>
          <w:szCs w:val="24"/>
          <w:lang w:val="en-US" w:eastAsia="zh-CN" w:bidi="ar"/>
        </w:rPr>
        <w:t>（</w:t>
      </w:r>
      <w:r>
        <w:rPr>
          <w:rFonts w:hint="eastAsia" w:eastAsia="宋体" w:cs="宋体"/>
          <w:color w:val="000000"/>
          <w:kern w:val="0"/>
          <w:sz w:val="24"/>
          <w:szCs w:val="24"/>
          <w:lang w:val="en-US" w:eastAsia="zh-CN" w:bidi="ar"/>
        </w:rPr>
        <w:t>5</w:t>
      </w:r>
      <w:r>
        <w:rPr>
          <w:rFonts w:hint="eastAsia" w:ascii="宋体" w:hAnsi="宋体" w:eastAsia="宋体" w:cs="宋体"/>
          <w:color w:val="000000"/>
          <w:kern w:val="0"/>
          <w:sz w:val="24"/>
          <w:szCs w:val="24"/>
          <w:lang w:val="en-US" w:eastAsia="zh-CN" w:bidi="ar"/>
        </w:rPr>
        <w:t>）成品破碎除尘系统（</w:t>
      </w:r>
      <w:r>
        <w:rPr>
          <w:rFonts w:hint="default" w:ascii="Times New Roman" w:hAnsi="Times New Roman" w:eastAsia="宋体" w:cs="Times New Roman"/>
          <w:color w:val="000000"/>
          <w:kern w:val="0"/>
          <w:sz w:val="24"/>
          <w:szCs w:val="24"/>
          <w:lang w:val="en-US" w:eastAsia="zh-CN" w:bidi="ar"/>
        </w:rPr>
        <w:t>G</w:t>
      </w:r>
      <w:r>
        <w:rPr>
          <w:rFonts w:hint="eastAsia" w:ascii="Times New Roman" w:hAnsi="Times New Roman" w:eastAsia="宋体" w:cs="Times New Roman"/>
          <w:color w:val="000000"/>
          <w:kern w:val="0"/>
          <w:sz w:val="24"/>
          <w:szCs w:val="24"/>
          <w:lang w:val="en-US" w:eastAsia="zh-CN" w:bidi="ar"/>
        </w:rPr>
        <w:t>5</w:t>
      </w:r>
      <w:r>
        <w:rPr>
          <w:rFonts w:hint="eastAsia" w:ascii="宋体" w:hAnsi="宋体" w:eastAsia="宋体" w:cs="宋体"/>
          <w:color w:val="000000"/>
          <w:kern w:val="0"/>
          <w:sz w:val="24"/>
          <w:szCs w:val="24"/>
          <w:lang w:val="en-US" w:eastAsia="zh-CN" w:bidi="ar"/>
        </w:rPr>
        <w:t xml:space="preserve">） </w:t>
      </w:r>
    </w:p>
    <w:p w14:paraId="526E3859">
      <w:pPr>
        <w:keepNext w:val="0"/>
        <w:keepLines w:val="0"/>
        <w:widowControl/>
        <w:suppressLineNumbers w:val="0"/>
        <w:ind w:firstLine="480" w:firstLineChars="200"/>
        <w:jc w:val="left"/>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成品破碎除尘系统处理产生的含尘废气，设计总风量为100354</w:t>
      </w:r>
      <w:r>
        <w:rPr>
          <w:rFonts w:hint="default" w:ascii="Times New Roman" w:hAnsi="Times New Roman" w:eastAsia="宋体" w:cs="Times New Roman"/>
          <w:color w:val="000000"/>
          <w:kern w:val="0"/>
          <w:sz w:val="24"/>
          <w:szCs w:val="24"/>
          <w:lang w:val="en-US" w:eastAsia="zh-CN" w:bidi="ar"/>
        </w:rPr>
        <w:t>m</w:t>
      </w:r>
      <w:r>
        <w:rPr>
          <w:rFonts w:hint="eastAsia" w:ascii="Times New Roman" w:hAnsi="Times New Roman" w:eastAsia="宋体" w:cs="Times New Roman"/>
          <w:color w:val="000000"/>
          <w:kern w:val="0"/>
          <w:sz w:val="24"/>
          <w:szCs w:val="24"/>
          <w:vertAlign w:val="superscript"/>
          <w:lang w:val="en-US" w:eastAsia="zh-CN" w:bidi="ar"/>
        </w:rPr>
        <w:t>3</w:t>
      </w:r>
      <w:r>
        <w:rPr>
          <w:rFonts w:hint="default" w:ascii="Times New Roman" w:hAnsi="Times New Roman" w:eastAsia="宋体" w:cs="Times New Roman"/>
          <w:color w:val="000000"/>
          <w:kern w:val="0"/>
          <w:sz w:val="24"/>
          <w:szCs w:val="24"/>
          <w:lang w:val="en-US" w:eastAsia="zh-CN" w:bidi="ar"/>
        </w:rPr>
        <w:t>/h</w:t>
      </w:r>
      <w:r>
        <w:rPr>
          <w:rFonts w:hint="eastAsia" w:ascii="宋体" w:hAnsi="宋体" w:eastAsia="宋体" w:cs="宋体"/>
          <w:color w:val="000000"/>
          <w:kern w:val="0"/>
          <w:sz w:val="24"/>
          <w:szCs w:val="24"/>
          <w:lang w:val="en-US" w:eastAsia="zh-CN" w:bidi="ar"/>
        </w:rPr>
        <w:t>。根据《污染源源强核算技术指南 钢铁工业》（</w:t>
      </w:r>
      <w:r>
        <w:rPr>
          <w:rFonts w:hint="default" w:ascii="Times New Roman" w:hAnsi="Times New Roman" w:eastAsia="宋体" w:cs="Times New Roman"/>
          <w:color w:val="000000"/>
          <w:kern w:val="0"/>
          <w:sz w:val="24"/>
          <w:szCs w:val="24"/>
          <w:lang w:val="en-US" w:eastAsia="zh-CN" w:bidi="ar"/>
        </w:rPr>
        <w:t>HJ885-2018</w:t>
      </w:r>
      <w:r>
        <w:rPr>
          <w:rFonts w:hint="eastAsia" w:ascii="宋体" w:hAnsi="宋体" w:eastAsia="宋体" w:cs="宋体"/>
          <w:color w:val="000000"/>
          <w:kern w:val="0"/>
          <w:sz w:val="24"/>
          <w:szCs w:val="24"/>
          <w:lang w:val="en-US" w:eastAsia="zh-CN" w:bidi="ar"/>
        </w:rPr>
        <w:t>），破碎除尘系统源强核算方法优先采用类比法，类比原有烧结机以及同类项目含尘废气，颗粒物产生浓度约为2000m3/h，采用覆膜袋式除尘器净化，净化效率可达</w:t>
      </w:r>
      <w:r>
        <w:rPr>
          <w:rFonts w:hint="default" w:ascii="Times New Roman" w:hAnsi="Times New Roman" w:eastAsia="宋体" w:cs="Times New Roman"/>
          <w:color w:val="000000"/>
          <w:kern w:val="0"/>
          <w:sz w:val="24"/>
          <w:szCs w:val="24"/>
          <w:lang w:val="en-US" w:eastAsia="zh-CN" w:bidi="ar"/>
        </w:rPr>
        <w:t>99.</w:t>
      </w:r>
      <w:r>
        <w:rPr>
          <w:rFonts w:hint="eastAsia" w:ascii="Times New Roman" w:hAnsi="Times New Roman" w:eastAsia="宋体" w:cs="Times New Roman"/>
          <w:color w:val="000000"/>
          <w:kern w:val="0"/>
          <w:sz w:val="24"/>
          <w:szCs w:val="24"/>
          <w:lang w:val="en-US" w:eastAsia="zh-CN" w:bidi="ar"/>
        </w:rPr>
        <w:t>9</w:t>
      </w:r>
      <w:r>
        <w:rPr>
          <w:rFonts w:hint="default" w:ascii="Times New Roman" w:hAnsi="Times New Roman" w:eastAsia="宋体" w:cs="Times New Roman"/>
          <w:color w:val="000000"/>
          <w:kern w:val="0"/>
          <w:sz w:val="24"/>
          <w:szCs w:val="24"/>
          <w:lang w:val="en-US" w:eastAsia="zh-CN" w:bidi="ar"/>
        </w:rPr>
        <w:t>%</w:t>
      </w:r>
      <w:r>
        <w:rPr>
          <w:rFonts w:hint="eastAsia" w:ascii="宋体" w:hAnsi="宋体" w:eastAsia="宋体" w:cs="宋体"/>
          <w:color w:val="000000"/>
          <w:kern w:val="0"/>
          <w:sz w:val="24"/>
          <w:szCs w:val="24"/>
          <w:lang w:val="en-US" w:eastAsia="zh-CN" w:bidi="ar"/>
        </w:rPr>
        <w:t>，净化后废气中颗粒物排放浓度2</w:t>
      </w:r>
      <w:r>
        <w:rPr>
          <w:rFonts w:hint="default" w:ascii="Times New Roman" w:hAnsi="Times New Roman" w:eastAsia="宋体" w:cs="Times New Roman"/>
          <w:color w:val="000000"/>
          <w:kern w:val="0"/>
          <w:sz w:val="24"/>
          <w:szCs w:val="24"/>
          <w:lang w:val="en-US" w:eastAsia="zh-CN" w:bidi="ar"/>
        </w:rPr>
        <w:t>mg/m</w:t>
      </w:r>
      <w:r>
        <w:rPr>
          <w:rFonts w:hint="eastAsia" w:ascii="Times New Roman" w:hAnsi="Times New Roman" w:eastAsia="宋体" w:cs="Times New Roman"/>
          <w:color w:val="000000"/>
          <w:kern w:val="0"/>
          <w:sz w:val="24"/>
          <w:szCs w:val="24"/>
          <w:vertAlign w:val="superscript"/>
          <w:lang w:val="en-US" w:eastAsia="zh-CN" w:bidi="ar"/>
        </w:rPr>
        <w:t>3</w:t>
      </w:r>
      <w:r>
        <w:rPr>
          <w:rFonts w:hint="eastAsia" w:ascii="宋体" w:hAnsi="宋体" w:eastAsia="宋体" w:cs="宋体"/>
          <w:color w:val="000000"/>
          <w:kern w:val="0"/>
          <w:sz w:val="24"/>
          <w:szCs w:val="24"/>
          <w:lang w:val="en-US" w:eastAsia="zh-CN" w:bidi="ar"/>
        </w:rPr>
        <w:t>，尾气经</w:t>
      </w:r>
      <w:r>
        <w:rPr>
          <w:rFonts w:hint="eastAsia" w:ascii="Times New Roman" w:hAnsi="Times New Roman" w:eastAsia="宋体" w:cs="Times New Roman"/>
          <w:color w:val="000000"/>
          <w:kern w:val="0"/>
          <w:sz w:val="24"/>
          <w:szCs w:val="24"/>
          <w:lang w:val="en-US" w:eastAsia="zh-CN" w:bidi="ar"/>
        </w:rPr>
        <w:t>1</w:t>
      </w:r>
      <w:r>
        <w:rPr>
          <w:rFonts w:hint="default" w:ascii="Times New Roman" w:hAnsi="Times New Roman" w:eastAsia="宋体" w:cs="Times New Roman"/>
          <w:color w:val="000000"/>
          <w:kern w:val="0"/>
          <w:sz w:val="24"/>
          <w:szCs w:val="24"/>
          <w:lang w:val="en-US" w:eastAsia="zh-CN" w:bidi="ar"/>
        </w:rPr>
        <w:t>5m</w:t>
      </w:r>
      <w:r>
        <w:rPr>
          <w:rFonts w:hint="eastAsia" w:ascii="宋体" w:hAnsi="宋体" w:eastAsia="宋体" w:cs="宋体"/>
          <w:color w:val="000000"/>
          <w:kern w:val="0"/>
          <w:sz w:val="24"/>
          <w:szCs w:val="24"/>
          <w:lang w:val="en-US" w:eastAsia="zh-CN" w:bidi="ar"/>
        </w:rPr>
        <w:t>排气筒排放，满足《关于推进实施钢铁行业超低排放的意见》（环大气〔</w:t>
      </w:r>
      <w:r>
        <w:rPr>
          <w:rFonts w:hint="default" w:ascii="Times New Roman" w:hAnsi="Times New Roman" w:eastAsia="宋体" w:cs="Times New Roman"/>
          <w:color w:val="000000"/>
          <w:kern w:val="0"/>
          <w:sz w:val="24"/>
          <w:szCs w:val="24"/>
          <w:lang w:val="en-US" w:eastAsia="zh-CN" w:bidi="ar"/>
        </w:rPr>
        <w:t>2019</w:t>
      </w:r>
      <w:r>
        <w:rPr>
          <w:rFonts w:hint="eastAsia" w:ascii="宋体" w:hAnsi="宋体" w:eastAsia="宋体" w:cs="宋体"/>
          <w:color w:val="000000"/>
          <w:kern w:val="0"/>
          <w:sz w:val="24"/>
          <w:szCs w:val="24"/>
          <w:lang w:val="en-US" w:eastAsia="zh-CN" w:bidi="ar"/>
        </w:rPr>
        <w:t>〕</w:t>
      </w:r>
      <w:r>
        <w:rPr>
          <w:rFonts w:hint="default" w:ascii="Times New Roman" w:hAnsi="Times New Roman" w:eastAsia="宋体" w:cs="Times New Roman"/>
          <w:color w:val="000000"/>
          <w:kern w:val="0"/>
          <w:sz w:val="24"/>
          <w:szCs w:val="24"/>
          <w:lang w:val="en-US" w:eastAsia="zh-CN" w:bidi="ar"/>
        </w:rPr>
        <w:t>35</w:t>
      </w:r>
      <w:r>
        <w:rPr>
          <w:rFonts w:hint="eastAsia" w:ascii="宋体" w:hAnsi="宋体" w:eastAsia="宋体" w:cs="宋体"/>
          <w:color w:val="000000"/>
          <w:kern w:val="0"/>
          <w:sz w:val="24"/>
          <w:szCs w:val="24"/>
          <w:lang w:val="en-US" w:eastAsia="zh-CN" w:bidi="ar"/>
        </w:rPr>
        <w:t>号）钢铁企业超低排放指标限值的要求。</w:t>
      </w:r>
    </w:p>
    <w:p w14:paraId="59BACCAE">
      <w:pPr>
        <w:keepNext w:val="0"/>
        <w:keepLines w:val="0"/>
        <w:widowControl/>
        <w:suppressLineNumbers w:val="0"/>
        <w:ind w:firstLine="480" w:firstLineChars="200"/>
        <w:jc w:val="left"/>
      </w:pPr>
      <w:r>
        <w:rPr>
          <w:rFonts w:hint="eastAsia" w:ascii="宋体" w:hAnsi="宋体" w:eastAsia="宋体" w:cs="宋体"/>
          <w:color w:val="000000"/>
          <w:kern w:val="0"/>
          <w:sz w:val="24"/>
          <w:szCs w:val="24"/>
          <w:lang w:val="en-US" w:eastAsia="zh-CN" w:bidi="ar"/>
        </w:rPr>
        <w:t>（6）成品下料除尘系统（</w:t>
      </w:r>
      <w:r>
        <w:rPr>
          <w:rFonts w:hint="default" w:ascii="Times New Roman" w:hAnsi="Times New Roman" w:eastAsia="宋体" w:cs="Times New Roman"/>
          <w:color w:val="000000"/>
          <w:kern w:val="0"/>
          <w:sz w:val="24"/>
          <w:szCs w:val="24"/>
          <w:lang w:val="en-US" w:eastAsia="zh-CN" w:bidi="ar"/>
        </w:rPr>
        <w:t>G</w:t>
      </w:r>
      <w:r>
        <w:rPr>
          <w:rFonts w:hint="eastAsia" w:ascii="Times New Roman" w:hAnsi="Times New Roman" w:eastAsia="宋体" w:cs="Times New Roman"/>
          <w:color w:val="000000"/>
          <w:kern w:val="0"/>
          <w:sz w:val="24"/>
          <w:szCs w:val="24"/>
          <w:lang w:val="en-US" w:eastAsia="zh-CN" w:bidi="ar"/>
        </w:rPr>
        <w:t>6</w:t>
      </w:r>
      <w:r>
        <w:rPr>
          <w:rFonts w:hint="eastAsia" w:ascii="宋体" w:hAnsi="宋体" w:eastAsia="宋体" w:cs="宋体"/>
          <w:color w:val="000000"/>
          <w:kern w:val="0"/>
          <w:sz w:val="24"/>
          <w:szCs w:val="24"/>
          <w:lang w:val="en-US" w:eastAsia="zh-CN" w:bidi="ar"/>
        </w:rPr>
        <w:t xml:space="preserve">） </w:t>
      </w:r>
    </w:p>
    <w:p w14:paraId="505F4E5B">
      <w:pPr>
        <w:keepNext w:val="0"/>
        <w:keepLines w:val="0"/>
        <w:widowControl/>
        <w:suppressLineNumbers w:val="0"/>
        <w:ind w:firstLine="480" w:firstLineChars="200"/>
        <w:jc w:val="left"/>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成品筛分除尘系统处理成品筛分除尘点产生的含尘废气，设计总风量为26694</w:t>
      </w:r>
      <w:r>
        <w:rPr>
          <w:rFonts w:hint="default" w:ascii="Times New Roman" w:hAnsi="Times New Roman" w:eastAsia="宋体" w:cs="Times New Roman"/>
          <w:color w:val="000000"/>
          <w:kern w:val="0"/>
          <w:sz w:val="24"/>
          <w:szCs w:val="24"/>
          <w:lang w:val="en-US" w:eastAsia="zh-CN" w:bidi="ar"/>
        </w:rPr>
        <w:t>m</w:t>
      </w:r>
      <w:r>
        <w:rPr>
          <w:rFonts w:hint="eastAsia" w:ascii="Times New Roman" w:hAnsi="Times New Roman" w:eastAsia="宋体" w:cs="Times New Roman"/>
          <w:color w:val="000000"/>
          <w:kern w:val="0"/>
          <w:sz w:val="24"/>
          <w:szCs w:val="24"/>
          <w:vertAlign w:val="superscript"/>
          <w:lang w:val="en-US" w:eastAsia="zh-CN" w:bidi="ar"/>
        </w:rPr>
        <w:t>3</w:t>
      </w:r>
      <w:r>
        <w:rPr>
          <w:rFonts w:hint="default" w:ascii="Times New Roman" w:hAnsi="Times New Roman" w:eastAsia="宋体" w:cs="Times New Roman"/>
          <w:color w:val="000000"/>
          <w:kern w:val="0"/>
          <w:sz w:val="16"/>
          <w:szCs w:val="16"/>
          <w:lang w:val="en-US" w:eastAsia="zh-CN" w:bidi="ar"/>
        </w:rPr>
        <w:t xml:space="preserve"> </w:t>
      </w:r>
      <w:r>
        <w:rPr>
          <w:rFonts w:hint="default" w:ascii="Times New Roman" w:hAnsi="Times New Roman" w:eastAsia="宋体" w:cs="Times New Roman"/>
          <w:color w:val="000000"/>
          <w:kern w:val="0"/>
          <w:sz w:val="24"/>
          <w:szCs w:val="24"/>
          <w:lang w:val="en-US" w:eastAsia="zh-CN" w:bidi="ar"/>
        </w:rPr>
        <w:t>/h</w:t>
      </w:r>
      <w:r>
        <w:rPr>
          <w:rFonts w:hint="eastAsia" w:ascii="宋体" w:hAnsi="宋体" w:eastAsia="宋体" w:cs="宋体"/>
          <w:color w:val="000000"/>
          <w:kern w:val="0"/>
          <w:sz w:val="24"/>
          <w:szCs w:val="24"/>
          <w:lang w:val="en-US" w:eastAsia="zh-CN" w:bidi="ar"/>
        </w:rPr>
        <w:t>。根据《污染源源强核算技术指南 钢铁工业》（</w:t>
      </w:r>
      <w:r>
        <w:rPr>
          <w:rFonts w:hint="default" w:ascii="Times New Roman" w:hAnsi="Times New Roman" w:eastAsia="宋体" w:cs="Times New Roman"/>
          <w:color w:val="000000"/>
          <w:kern w:val="0"/>
          <w:sz w:val="24"/>
          <w:szCs w:val="24"/>
          <w:lang w:val="en-US" w:eastAsia="zh-CN" w:bidi="ar"/>
        </w:rPr>
        <w:t>HJ885-2018</w:t>
      </w:r>
      <w:r>
        <w:rPr>
          <w:rFonts w:hint="eastAsia" w:ascii="宋体" w:hAnsi="宋体" w:eastAsia="宋体" w:cs="宋体"/>
          <w:color w:val="000000"/>
          <w:kern w:val="0"/>
          <w:sz w:val="24"/>
          <w:szCs w:val="24"/>
          <w:lang w:val="en-US" w:eastAsia="zh-CN" w:bidi="ar"/>
        </w:rPr>
        <w:t>），成品下料除尘系统源强核算方法优先采用类比法，类比原有烧结机以及同类项目含尘废气采用袋式除尘器净化，净化效率可达</w:t>
      </w:r>
      <w:r>
        <w:rPr>
          <w:rFonts w:hint="default" w:ascii="Times New Roman" w:hAnsi="Times New Roman" w:eastAsia="宋体" w:cs="Times New Roman"/>
          <w:color w:val="000000"/>
          <w:kern w:val="0"/>
          <w:sz w:val="24"/>
          <w:szCs w:val="24"/>
          <w:lang w:val="en-US" w:eastAsia="zh-CN" w:bidi="ar"/>
        </w:rPr>
        <w:t>99.5%</w:t>
      </w:r>
      <w:r>
        <w:rPr>
          <w:rFonts w:hint="eastAsia" w:ascii="宋体" w:hAnsi="宋体" w:eastAsia="宋体" w:cs="宋体"/>
          <w:color w:val="000000"/>
          <w:kern w:val="0"/>
          <w:sz w:val="24"/>
          <w:szCs w:val="24"/>
          <w:lang w:val="en-US" w:eastAsia="zh-CN" w:bidi="ar"/>
        </w:rPr>
        <w:t>，净化后废气中颗粒物排放浓度</w:t>
      </w:r>
      <w:r>
        <w:rPr>
          <w:rFonts w:hint="default" w:ascii="Times New Roman" w:hAnsi="Times New Roman" w:eastAsia="宋体" w:cs="Times New Roman"/>
          <w:color w:val="000000"/>
          <w:kern w:val="0"/>
          <w:sz w:val="24"/>
          <w:szCs w:val="24"/>
          <w:lang w:val="en-US" w:eastAsia="zh-CN" w:bidi="ar"/>
        </w:rPr>
        <w:t>≤10mg/m</w:t>
      </w:r>
      <w:r>
        <w:rPr>
          <w:rFonts w:hint="eastAsia" w:ascii="Times New Roman" w:hAnsi="Times New Roman" w:eastAsia="宋体" w:cs="Times New Roman"/>
          <w:color w:val="000000"/>
          <w:kern w:val="0"/>
          <w:sz w:val="24"/>
          <w:szCs w:val="24"/>
          <w:vertAlign w:val="superscript"/>
          <w:lang w:val="en-US" w:eastAsia="zh-CN" w:bidi="ar"/>
        </w:rPr>
        <w:t>3</w:t>
      </w:r>
      <w:r>
        <w:rPr>
          <w:rFonts w:hint="eastAsia" w:ascii="宋体" w:hAnsi="宋体" w:eastAsia="宋体" w:cs="宋体"/>
          <w:color w:val="000000"/>
          <w:kern w:val="0"/>
          <w:sz w:val="24"/>
          <w:szCs w:val="24"/>
          <w:lang w:val="en-US" w:eastAsia="zh-CN" w:bidi="ar"/>
        </w:rPr>
        <w:t>，本次环评取</w:t>
      </w:r>
      <w:r>
        <w:rPr>
          <w:rFonts w:hint="default" w:ascii="Times New Roman" w:hAnsi="Times New Roman" w:eastAsia="宋体" w:cs="Times New Roman"/>
          <w:color w:val="000000"/>
          <w:kern w:val="0"/>
          <w:sz w:val="24"/>
          <w:szCs w:val="24"/>
          <w:lang w:val="en-US" w:eastAsia="zh-CN" w:bidi="ar"/>
        </w:rPr>
        <w:t>10mg/m</w:t>
      </w:r>
      <w:r>
        <w:rPr>
          <w:rFonts w:hint="eastAsia" w:ascii="Times New Roman" w:hAnsi="Times New Roman" w:eastAsia="宋体" w:cs="Times New Roman"/>
          <w:color w:val="000000"/>
          <w:kern w:val="0"/>
          <w:sz w:val="24"/>
          <w:szCs w:val="24"/>
          <w:vertAlign w:val="superscript"/>
          <w:lang w:val="en-US" w:eastAsia="zh-CN" w:bidi="ar"/>
        </w:rPr>
        <w:t>3</w:t>
      </w:r>
      <w:r>
        <w:rPr>
          <w:rFonts w:hint="eastAsia" w:ascii="宋体" w:hAnsi="宋体" w:eastAsia="宋体" w:cs="宋体"/>
          <w:color w:val="000000"/>
          <w:kern w:val="0"/>
          <w:sz w:val="24"/>
          <w:szCs w:val="24"/>
          <w:lang w:val="en-US" w:eastAsia="zh-CN" w:bidi="ar"/>
        </w:rPr>
        <w:t>，尾气经1</w:t>
      </w:r>
      <w:r>
        <w:rPr>
          <w:rFonts w:hint="default" w:ascii="Times New Roman" w:hAnsi="Times New Roman" w:eastAsia="宋体" w:cs="Times New Roman"/>
          <w:color w:val="000000"/>
          <w:kern w:val="0"/>
          <w:sz w:val="24"/>
          <w:szCs w:val="24"/>
          <w:lang w:val="en-US" w:eastAsia="zh-CN" w:bidi="ar"/>
        </w:rPr>
        <w:t>5m</w:t>
      </w:r>
      <w:r>
        <w:rPr>
          <w:rFonts w:hint="eastAsia" w:ascii="宋体" w:hAnsi="宋体" w:eastAsia="宋体" w:cs="宋体"/>
          <w:color w:val="000000"/>
          <w:kern w:val="0"/>
          <w:sz w:val="24"/>
          <w:szCs w:val="24"/>
          <w:lang w:val="en-US" w:eastAsia="zh-CN" w:bidi="ar"/>
        </w:rPr>
        <w:t>排气筒排放，满足《关于推进实施钢铁行业超低排放的意见》（环大气〔</w:t>
      </w:r>
      <w:r>
        <w:rPr>
          <w:rFonts w:hint="default" w:ascii="Times New Roman" w:hAnsi="Times New Roman" w:eastAsia="宋体" w:cs="Times New Roman"/>
          <w:color w:val="000000"/>
          <w:kern w:val="0"/>
          <w:sz w:val="24"/>
          <w:szCs w:val="24"/>
          <w:lang w:val="en-US" w:eastAsia="zh-CN" w:bidi="ar"/>
        </w:rPr>
        <w:t>2019</w:t>
      </w:r>
      <w:r>
        <w:rPr>
          <w:rFonts w:hint="eastAsia" w:ascii="宋体" w:hAnsi="宋体" w:eastAsia="宋体" w:cs="宋体"/>
          <w:color w:val="000000"/>
          <w:kern w:val="0"/>
          <w:sz w:val="24"/>
          <w:szCs w:val="24"/>
          <w:lang w:val="en-US" w:eastAsia="zh-CN" w:bidi="ar"/>
        </w:rPr>
        <w:t>〕</w:t>
      </w:r>
      <w:r>
        <w:rPr>
          <w:rFonts w:hint="default" w:ascii="Times New Roman" w:hAnsi="Times New Roman" w:eastAsia="宋体" w:cs="Times New Roman"/>
          <w:color w:val="000000"/>
          <w:kern w:val="0"/>
          <w:sz w:val="24"/>
          <w:szCs w:val="24"/>
          <w:lang w:val="en-US" w:eastAsia="zh-CN" w:bidi="ar"/>
        </w:rPr>
        <w:t xml:space="preserve">35 </w:t>
      </w:r>
      <w:r>
        <w:rPr>
          <w:rFonts w:hint="eastAsia" w:ascii="宋体" w:hAnsi="宋体" w:eastAsia="宋体" w:cs="宋体"/>
          <w:color w:val="000000"/>
          <w:kern w:val="0"/>
          <w:sz w:val="24"/>
          <w:szCs w:val="24"/>
          <w:lang w:val="en-US" w:eastAsia="zh-CN" w:bidi="ar"/>
        </w:rPr>
        <w:t>号）钢铁企业超低排放指标限值的要求。</w:t>
      </w:r>
    </w:p>
    <w:p w14:paraId="61FAF25E">
      <w:pPr>
        <w:keepNext w:val="0"/>
        <w:keepLines w:val="0"/>
        <w:widowControl/>
        <w:suppressLineNumbers w:val="0"/>
        <w:ind w:firstLine="480" w:firstLineChars="200"/>
        <w:jc w:val="left"/>
        <w:rPr>
          <w:rFonts w:hint="eastAsia" w:ascii="宋体" w:hAnsi="宋体" w:eastAsia="宋体" w:cs="宋体"/>
          <w:color w:val="000000"/>
          <w:kern w:val="0"/>
          <w:sz w:val="24"/>
          <w:szCs w:val="24"/>
          <w:lang w:val="en-US" w:eastAsia="zh-CN" w:bidi="ar"/>
        </w:rPr>
      </w:pPr>
      <w:r>
        <w:rPr>
          <w:rFonts w:hint="eastAsia" w:eastAsia="宋体" w:cs="宋体"/>
          <w:color w:val="000000"/>
          <w:kern w:val="0"/>
          <w:sz w:val="24"/>
          <w:szCs w:val="24"/>
          <w:lang w:val="en-US" w:eastAsia="zh-CN" w:bidi="ar"/>
        </w:rPr>
        <w:t>（7）</w:t>
      </w:r>
      <w:r>
        <w:rPr>
          <w:rFonts w:hint="eastAsia" w:ascii="宋体" w:hAnsi="宋体" w:eastAsia="宋体" w:cs="宋体"/>
          <w:color w:val="000000"/>
          <w:kern w:val="0"/>
          <w:sz w:val="24"/>
          <w:szCs w:val="24"/>
          <w:lang w:val="en-US" w:eastAsia="zh-CN" w:bidi="ar"/>
        </w:rPr>
        <w:t>成品</w:t>
      </w:r>
      <w:r>
        <w:rPr>
          <w:rFonts w:hint="eastAsia" w:eastAsia="宋体" w:cs="宋体"/>
          <w:color w:val="000000"/>
          <w:kern w:val="0"/>
          <w:sz w:val="24"/>
          <w:szCs w:val="24"/>
          <w:lang w:val="en-US" w:eastAsia="zh-CN" w:bidi="ar"/>
        </w:rPr>
        <w:t>贮存</w:t>
      </w:r>
      <w:r>
        <w:rPr>
          <w:rFonts w:hint="eastAsia" w:ascii="宋体" w:hAnsi="宋体" w:eastAsia="宋体" w:cs="宋体"/>
          <w:color w:val="000000"/>
          <w:kern w:val="0"/>
          <w:sz w:val="24"/>
          <w:szCs w:val="24"/>
          <w:lang w:val="en-US" w:eastAsia="zh-CN" w:bidi="ar"/>
        </w:rPr>
        <w:t>除尘系统（G</w:t>
      </w:r>
      <w:r>
        <w:rPr>
          <w:rFonts w:hint="eastAsia" w:eastAsia="宋体" w:cs="宋体"/>
          <w:color w:val="000000"/>
          <w:kern w:val="0"/>
          <w:sz w:val="24"/>
          <w:szCs w:val="24"/>
          <w:lang w:val="en-US" w:eastAsia="zh-CN" w:bidi="ar"/>
        </w:rPr>
        <w:t>7</w:t>
      </w:r>
      <w:r>
        <w:rPr>
          <w:rFonts w:hint="eastAsia" w:ascii="宋体" w:hAnsi="宋体" w:eastAsia="宋体" w:cs="宋体"/>
          <w:color w:val="000000"/>
          <w:kern w:val="0"/>
          <w:sz w:val="24"/>
          <w:szCs w:val="24"/>
          <w:lang w:val="en-US" w:eastAsia="zh-CN" w:bidi="ar"/>
        </w:rPr>
        <w:t>）</w:t>
      </w:r>
    </w:p>
    <w:p w14:paraId="1DAECF53">
      <w:pPr>
        <w:keepNext w:val="0"/>
        <w:keepLines w:val="0"/>
        <w:widowControl/>
        <w:suppressLineNumbers w:val="0"/>
        <w:ind w:firstLine="480" w:firstLineChars="200"/>
        <w:jc w:val="left"/>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成品</w:t>
      </w:r>
      <w:r>
        <w:rPr>
          <w:rFonts w:hint="eastAsia" w:eastAsia="宋体" w:cs="宋体"/>
          <w:color w:val="000000"/>
          <w:kern w:val="0"/>
          <w:sz w:val="24"/>
          <w:szCs w:val="24"/>
          <w:lang w:val="en-US" w:eastAsia="zh-CN" w:bidi="ar"/>
        </w:rPr>
        <w:t>贮存</w:t>
      </w:r>
      <w:r>
        <w:rPr>
          <w:rFonts w:hint="eastAsia" w:ascii="宋体" w:hAnsi="宋体" w:eastAsia="宋体" w:cs="宋体"/>
          <w:color w:val="000000"/>
          <w:kern w:val="0"/>
          <w:sz w:val="24"/>
          <w:szCs w:val="24"/>
          <w:lang w:val="en-US" w:eastAsia="zh-CN" w:bidi="ar"/>
        </w:rPr>
        <w:t>除尘系统处理包括成品仓储存及转运等除尘点产生的含尘废气，设计总风量为</w:t>
      </w:r>
      <w:r>
        <w:rPr>
          <w:rFonts w:hint="eastAsia" w:eastAsia="宋体" w:cs="宋体"/>
          <w:color w:val="000000"/>
          <w:kern w:val="0"/>
          <w:sz w:val="24"/>
          <w:szCs w:val="24"/>
          <w:lang w:val="en-US" w:eastAsia="zh-CN" w:bidi="ar"/>
        </w:rPr>
        <w:t>27</w:t>
      </w:r>
      <w:r>
        <w:rPr>
          <w:rFonts w:hint="eastAsia" w:ascii="宋体" w:hAnsi="宋体" w:eastAsia="宋体" w:cs="宋体"/>
          <w:color w:val="000000"/>
          <w:kern w:val="0"/>
          <w:sz w:val="24"/>
          <w:szCs w:val="24"/>
          <w:lang w:val="en-US" w:eastAsia="zh-CN" w:bidi="ar"/>
        </w:rPr>
        <w:t>000m</w:t>
      </w:r>
      <w:r>
        <w:rPr>
          <w:rFonts w:hint="eastAsia" w:eastAsia="宋体" w:cs="宋体"/>
          <w:color w:val="000000"/>
          <w:kern w:val="0"/>
          <w:sz w:val="24"/>
          <w:szCs w:val="24"/>
          <w:vertAlign w:val="superscript"/>
          <w:lang w:val="en-US" w:eastAsia="zh-CN" w:bidi="ar"/>
        </w:rPr>
        <w:t>3</w:t>
      </w:r>
      <w:r>
        <w:rPr>
          <w:rFonts w:hint="eastAsia" w:ascii="宋体" w:hAnsi="宋体" w:eastAsia="宋体" w:cs="宋体"/>
          <w:color w:val="000000"/>
          <w:kern w:val="0"/>
          <w:sz w:val="24"/>
          <w:szCs w:val="24"/>
          <w:lang w:val="en-US" w:eastAsia="zh-CN" w:bidi="ar"/>
        </w:rPr>
        <w:t>/h。类比同类项目含尘废气采用袋式除尘净化，</w:t>
      </w:r>
      <w:r>
        <w:rPr>
          <w:rFonts w:hint="eastAsia" w:eastAsia="宋体" w:cs="宋体"/>
          <w:color w:val="000000"/>
          <w:kern w:val="0"/>
          <w:sz w:val="24"/>
          <w:szCs w:val="24"/>
          <w:lang w:val="en-US" w:eastAsia="zh-CN" w:bidi="ar"/>
        </w:rPr>
        <w:t>贮存</w:t>
      </w:r>
      <w:r>
        <w:rPr>
          <w:rFonts w:hint="eastAsia" w:ascii="宋体" w:hAnsi="宋体" w:eastAsia="宋体" w:cs="宋体"/>
          <w:color w:val="000000"/>
          <w:kern w:val="0"/>
          <w:sz w:val="24"/>
          <w:szCs w:val="24"/>
          <w:lang w:val="en-US" w:eastAsia="zh-CN" w:bidi="ar"/>
        </w:rPr>
        <w:t>除尘系统源强核算方法优先采用类比法，类比原有烧结机以及同类项目含尘废气，颗粒物产生浓度约为2000m3/h，采用覆膜袋式除尘器净化，净化效率可达</w:t>
      </w:r>
      <w:r>
        <w:rPr>
          <w:rFonts w:hint="default" w:ascii="Times New Roman" w:hAnsi="Times New Roman" w:eastAsia="宋体" w:cs="Times New Roman"/>
          <w:color w:val="000000"/>
          <w:kern w:val="0"/>
          <w:sz w:val="24"/>
          <w:szCs w:val="24"/>
          <w:lang w:val="en-US" w:eastAsia="zh-CN" w:bidi="ar"/>
        </w:rPr>
        <w:t>99.</w:t>
      </w:r>
      <w:r>
        <w:rPr>
          <w:rFonts w:hint="eastAsia" w:ascii="Times New Roman" w:hAnsi="Times New Roman" w:eastAsia="宋体" w:cs="Times New Roman"/>
          <w:color w:val="000000"/>
          <w:kern w:val="0"/>
          <w:sz w:val="24"/>
          <w:szCs w:val="24"/>
          <w:lang w:val="en-US" w:eastAsia="zh-CN" w:bidi="ar"/>
        </w:rPr>
        <w:t>9</w:t>
      </w:r>
      <w:r>
        <w:rPr>
          <w:rFonts w:hint="default" w:ascii="Times New Roman" w:hAnsi="Times New Roman" w:eastAsia="宋体" w:cs="Times New Roman"/>
          <w:color w:val="000000"/>
          <w:kern w:val="0"/>
          <w:sz w:val="24"/>
          <w:szCs w:val="24"/>
          <w:lang w:val="en-US" w:eastAsia="zh-CN" w:bidi="ar"/>
        </w:rPr>
        <w:t>%</w:t>
      </w:r>
      <w:r>
        <w:rPr>
          <w:rFonts w:hint="eastAsia" w:ascii="宋体" w:hAnsi="宋体" w:eastAsia="宋体" w:cs="宋体"/>
          <w:color w:val="000000"/>
          <w:kern w:val="0"/>
          <w:sz w:val="24"/>
          <w:szCs w:val="24"/>
          <w:lang w:val="en-US" w:eastAsia="zh-CN" w:bidi="ar"/>
        </w:rPr>
        <w:t>，净化后废气中颗粒物排放浓度2</w:t>
      </w:r>
      <w:r>
        <w:rPr>
          <w:rFonts w:hint="default" w:ascii="Times New Roman" w:hAnsi="Times New Roman" w:eastAsia="宋体" w:cs="Times New Roman"/>
          <w:color w:val="000000"/>
          <w:kern w:val="0"/>
          <w:sz w:val="24"/>
          <w:szCs w:val="24"/>
          <w:lang w:val="en-US" w:eastAsia="zh-CN" w:bidi="ar"/>
        </w:rPr>
        <w:t>mg/m</w:t>
      </w:r>
      <w:r>
        <w:rPr>
          <w:rFonts w:hint="eastAsia" w:ascii="Times New Roman" w:hAnsi="Times New Roman" w:eastAsia="宋体" w:cs="Times New Roman"/>
          <w:color w:val="000000"/>
          <w:kern w:val="0"/>
          <w:sz w:val="24"/>
          <w:szCs w:val="24"/>
          <w:vertAlign w:val="superscript"/>
          <w:lang w:val="en-US" w:eastAsia="zh-CN" w:bidi="ar"/>
        </w:rPr>
        <w:t>3</w:t>
      </w:r>
      <w:r>
        <w:rPr>
          <w:rFonts w:hint="eastAsia" w:ascii="宋体" w:hAnsi="宋体" w:eastAsia="宋体" w:cs="宋体"/>
          <w:color w:val="000000"/>
          <w:kern w:val="0"/>
          <w:sz w:val="24"/>
          <w:szCs w:val="24"/>
          <w:lang w:val="en-US" w:eastAsia="zh-CN" w:bidi="ar"/>
        </w:rPr>
        <w:t>，尾气经</w:t>
      </w:r>
      <w:r>
        <w:rPr>
          <w:rFonts w:hint="eastAsia" w:ascii="Times New Roman" w:hAnsi="Times New Roman" w:eastAsia="宋体" w:cs="Times New Roman"/>
          <w:color w:val="000000"/>
          <w:kern w:val="0"/>
          <w:sz w:val="24"/>
          <w:szCs w:val="24"/>
          <w:lang w:val="en-US" w:eastAsia="zh-CN" w:bidi="ar"/>
        </w:rPr>
        <w:t>1</w:t>
      </w:r>
      <w:r>
        <w:rPr>
          <w:rFonts w:hint="default" w:ascii="Times New Roman" w:hAnsi="Times New Roman" w:eastAsia="宋体" w:cs="Times New Roman"/>
          <w:color w:val="000000"/>
          <w:kern w:val="0"/>
          <w:sz w:val="24"/>
          <w:szCs w:val="24"/>
          <w:lang w:val="en-US" w:eastAsia="zh-CN" w:bidi="ar"/>
        </w:rPr>
        <w:t>5m</w:t>
      </w:r>
      <w:r>
        <w:rPr>
          <w:rFonts w:hint="eastAsia" w:ascii="宋体" w:hAnsi="宋体" w:eastAsia="宋体" w:cs="宋体"/>
          <w:color w:val="000000"/>
          <w:kern w:val="0"/>
          <w:sz w:val="24"/>
          <w:szCs w:val="24"/>
          <w:lang w:val="en-US" w:eastAsia="zh-CN" w:bidi="ar"/>
        </w:rPr>
        <w:t>排气筒排放，满足《关于推进实施钢铁行业超低排放的意见》（环大气〔</w:t>
      </w:r>
      <w:r>
        <w:rPr>
          <w:rFonts w:hint="default" w:ascii="Times New Roman" w:hAnsi="Times New Roman" w:eastAsia="宋体" w:cs="Times New Roman"/>
          <w:color w:val="000000"/>
          <w:kern w:val="0"/>
          <w:sz w:val="24"/>
          <w:szCs w:val="24"/>
          <w:lang w:val="en-US" w:eastAsia="zh-CN" w:bidi="ar"/>
        </w:rPr>
        <w:t>2019</w:t>
      </w:r>
      <w:r>
        <w:rPr>
          <w:rFonts w:hint="eastAsia" w:ascii="宋体" w:hAnsi="宋体" w:eastAsia="宋体" w:cs="宋体"/>
          <w:color w:val="000000"/>
          <w:kern w:val="0"/>
          <w:sz w:val="24"/>
          <w:szCs w:val="24"/>
          <w:lang w:val="en-US" w:eastAsia="zh-CN" w:bidi="ar"/>
        </w:rPr>
        <w:t>〕</w:t>
      </w:r>
      <w:r>
        <w:rPr>
          <w:rFonts w:hint="default" w:ascii="Times New Roman" w:hAnsi="Times New Roman" w:eastAsia="宋体" w:cs="Times New Roman"/>
          <w:color w:val="000000"/>
          <w:kern w:val="0"/>
          <w:sz w:val="24"/>
          <w:szCs w:val="24"/>
          <w:lang w:val="en-US" w:eastAsia="zh-CN" w:bidi="ar"/>
        </w:rPr>
        <w:t>35</w:t>
      </w:r>
      <w:r>
        <w:rPr>
          <w:rFonts w:hint="eastAsia" w:ascii="宋体" w:hAnsi="宋体" w:eastAsia="宋体" w:cs="宋体"/>
          <w:color w:val="000000"/>
          <w:kern w:val="0"/>
          <w:sz w:val="24"/>
          <w:szCs w:val="24"/>
          <w:lang w:val="en-US" w:eastAsia="zh-CN" w:bidi="ar"/>
        </w:rPr>
        <w:t>号）钢铁企业超低排放指标限值的要求。</w:t>
      </w:r>
    </w:p>
    <w:p w14:paraId="0B191B53">
      <w:pPr>
        <w:adjustRightInd w:val="0"/>
        <w:ind w:firstLine="480" w:firstLineChars="200"/>
        <w:rPr>
          <w:rFonts w:hint="default" w:ascii="Times New Roman" w:hAnsi="Times New Roman" w:eastAsia="宋体" w:cs="Times New Roman"/>
          <w:b w:val="0"/>
          <w:bCs w:val="0"/>
          <w:lang w:val="en-US" w:eastAsia="zh-CN"/>
        </w:rPr>
      </w:pPr>
      <w:r>
        <w:rPr>
          <w:rFonts w:hint="eastAsia" w:ascii="Times New Roman" w:hAnsi="Times New Roman" w:cs="Times New Roman"/>
          <w:b w:val="0"/>
          <w:bCs w:val="0"/>
          <w:lang w:eastAsia="zh-CN"/>
        </w:rPr>
        <w:t>（</w:t>
      </w:r>
      <w:r>
        <w:rPr>
          <w:rFonts w:hint="eastAsia" w:ascii="Times New Roman" w:hAnsi="Times New Roman" w:cs="Times New Roman"/>
          <w:b w:val="0"/>
          <w:bCs w:val="0"/>
          <w:lang w:val="en-US" w:eastAsia="zh-CN"/>
        </w:rPr>
        <w:t>一</w:t>
      </w:r>
      <w:r>
        <w:rPr>
          <w:rFonts w:hint="eastAsia" w:ascii="Times New Roman" w:hAnsi="Times New Roman" w:cs="Times New Roman"/>
          <w:b w:val="0"/>
          <w:bCs w:val="0"/>
          <w:lang w:eastAsia="zh-CN"/>
        </w:rPr>
        <w:t>）</w:t>
      </w:r>
      <w:r>
        <w:rPr>
          <w:rFonts w:hint="eastAsia" w:ascii="Times New Roman" w:hAnsi="Times New Roman" w:cs="Times New Roman"/>
          <w:b w:val="0"/>
          <w:bCs w:val="0"/>
          <w:lang w:val="en-US" w:eastAsia="zh-CN"/>
        </w:rPr>
        <w:t>球团矿废气</w:t>
      </w:r>
    </w:p>
    <w:p w14:paraId="229FFA02">
      <w:pPr>
        <w:adjustRightInd w:val="0"/>
        <w:ind w:firstLine="480" w:firstLineChars="200"/>
        <w:jc w:val="both"/>
        <w:rPr>
          <w:rFonts w:hint="default" w:ascii="Times New Roman" w:hAnsi="Times New Roman" w:eastAsia="宋体" w:cs="Times New Roman"/>
          <w:lang w:val="en-US" w:eastAsia="zh-CN"/>
        </w:rPr>
      </w:pPr>
      <w:r>
        <w:rPr>
          <w:rFonts w:hint="eastAsia" w:ascii="Times New Roman" w:hAnsi="Times New Roman" w:eastAsia="宋体" w:cs="Times New Roman"/>
          <w:lang w:val="en-US" w:eastAsia="zh-CN"/>
        </w:rPr>
        <w:t>（1）原料准备G8、</w:t>
      </w:r>
      <w:r>
        <w:rPr>
          <w:rFonts w:hint="eastAsia" w:ascii="宋体" w:hAnsi="宋体" w:eastAsia="宋体" w:cs="宋体"/>
          <w:color w:val="000000"/>
          <w:kern w:val="0"/>
          <w:sz w:val="24"/>
          <w:szCs w:val="24"/>
          <w:lang w:val="en-US" w:eastAsia="zh-CN" w:bidi="ar"/>
        </w:rPr>
        <w:t>成品筛分G10</w:t>
      </w:r>
    </w:p>
    <w:p w14:paraId="6518655E">
      <w:pPr>
        <w:adjustRightInd w:val="0"/>
        <w:ind w:firstLine="480" w:firstLineChars="200"/>
        <w:jc w:val="both"/>
      </w:pPr>
      <w:r>
        <w:rPr>
          <w:rFonts w:hint="eastAsia"/>
        </w:rPr>
        <w:t>本项目铁精粉及膨润土原料仓为半封闭结构，上料过程中会产生一定量的粉尘。原料仓底部出口距离皮带高度为600-700mm,皮带输送机廊道封闭，原料仓放料过程中也会产生一定量粉尘。环评要求料仓上方设置集气罩(集气效率为90%），上料及放料粉尘经集气罩收集后，引至布袋除尘器处理后，经</w:t>
      </w:r>
      <w:r>
        <w:rPr>
          <w:rFonts w:hint="eastAsia"/>
          <w:lang w:val="en-US" w:eastAsia="zh-CN"/>
        </w:rPr>
        <w:t>30</w:t>
      </w:r>
      <w:r>
        <w:rPr>
          <w:rFonts w:hint="eastAsia"/>
        </w:rPr>
        <w:t>m高排气筒排放。</w:t>
      </w:r>
    </w:p>
    <w:p w14:paraId="092894B1">
      <w:pPr>
        <w:keepNext w:val="0"/>
        <w:keepLines w:val="0"/>
        <w:widowControl/>
        <w:suppressLineNumbers w:val="0"/>
        <w:ind w:firstLine="480" w:firstLineChars="200"/>
        <w:jc w:val="left"/>
        <w:rPr>
          <w:highlight w:val="yellow"/>
        </w:rPr>
      </w:pPr>
      <w:r>
        <w:rPr>
          <w:rFonts w:hint="eastAsia" w:ascii="宋体" w:hAnsi="宋体" w:eastAsia="宋体" w:cs="宋体"/>
          <w:color w:val="000000"/>
          <w:kern w:val="0"/>
          <w:sz w:val="24"/>
          <w:szCs w:val="24"/>
          <w:highlight w:val="none"/>
          <w:lang w:val="en-US" w:eastAsia="zh-CN" w:bidi="ar"/>
        </w:rPr>
        <w:t>根据可研，通过管道将捕集的废气引入</w:t>
      </w:r>
      <w:r>
        <w:rPr>
          <w:rFonts w:hint="default" w:ascii="Times New Roman" w:hAnsi="Times New Roman" w:eastAsia="宋体" w:cs="Times New Roman"/>
          <w:color w:val="000000"/>
          <w:kern w:val="0"/>
          <w:sz w:val="24"/>
          <w:szCs w:val="24"/>
          <w:highlight w:val="none"/>
          <w:lang w:val="en-US" w:eastAsia="zh-CN" w:bidi="ar"/>
        </w:rPr>
        <w:t>1</w:t>
      </w:r>
      <w:r>
        <w:rPr>
          <w:rFonts w:hint="eastAsia" w:ascii="宋体" w:hAnsi="宋体" w:eastAsia="宋体" w:cs="宋体"/>
          <w:color w:val="000000"/>
          <w:kern w:val="0"/>
          <w:sz w:val="24"/>
          <w:szCs w:val="24"/>
          <w:highlight w:val="none"/>
          <w:lang w:val="en-US" w:eastAsia="zh-CN" w:bidi="ar"/>
        </w:rPr>
        <w:t>台布袋除尘器处理，除尘系统风机风量</w:t>
      </w:r>
      <w:r>
        <w:rPr>
          <w:rFonts w:hint="eastAsia" w:ascii="Times New Roman" w:hAnsi="Times New Roman" w:eastAsia="宋体" w:cs="Times New Roman"/>
          <w:color w:val="000000"/>
          <w:kern w:val="0"/>
          <w:sz w:val="24"/>
          <w:szCs w:val="24"/>
          <w:highlight w:val="none"/>
          <w:lang w:val="en-US" w:eastAsia="zh-CN" w:bidi="ar"/>
        </w:rPr>
        <w:t>5</w:t>
      </w:r>
      <w:r>
        <w:rPr>
          <w:rFonts w:hint="default" w:ascii="Times New Roman" w:hAnsi="Times New Roman" w:eastAsia="宋体" w:cs="Times New Roman"/>
          <w:color w:val="000000"/>
          <w:kern w:val="0"/>
          <w:sz w:val="24"/>
          <w:szCs w:val="24"/>
          <w:highlight w:val="none"/>
          <w:lang w:val="en-US" w:eastAsia="zh-CN" w:bidi="ar"/>
        </w:rPr>
        <w:t>0000m</w:t>
      </w:r>
      <w:r>
        <w:rPr>
          <w:rFonts w:hint="eastAsia" w:ascii="Times New Roman" w:hAnsi="Times New Roman" w:eastAsia="宋体" w:cs="Times New Roman"/>
          <w:color w:val="000000"/>
          <w:kern w:val="0"/>
          <w:sz w:val="24"/>
          <w:szCs w:val="24"/>
          <w:highlight w:val="none"/>
          <w:vertAlign w:val="superscript"/>
          <w:lang w:val="en-US" w:eastAsia="zh-CN" w:bidi="ar"/>
        </w:rPr>
        <w:t>3</w:t>
      </w:r>
      <w:r>
        <w:rPr>
          <w:rFonts w:hint="default" w:ascii="Times New Roman" w:hAnsi="Times New Roman" w:eastAsia="宋体" w:cs="Times New Roman"/>
          <w:color w:val="000000"/>
          <w:kern w:val="0"/>
          <w:sz w:val="15"/>
          <w:szCs w:val="15"/>
          <w:highlight w:val="none"/>
          <w:lang w:val="en-US" w:eastAsia="zh-CN" w:bidi="ar"/>
        </w:rPr>
        <w:t xml:space="preserve"> </w:t>
      </w:r>
      <w:r>
        <w:rPr>
          <w:rFonts w:hint="default" w:ascii="Times New Roman" w:hAnsi="Times New Roman" w:eastAsia="宋体" w:cs="Times New Roman"/>
          <w:color w:val="000000"/>
          <w:kern w:val="0"/>
          <w:sz w:val="24"/>
          <w:szCs w:val="24"/>
          <w:highlight w:val="none"/>
          <w:lang w:val="en-US" w:eastAsia="zh-CN" w:bidi="ar"/>
        </w:rPr>
        <w:t>/h</w:t>
      </w:r>
      <w:r>
        <w:rPr>
          <w:rFonts w:hint="eastAsia" w:ascii="宋体" w:hAnsi="宋体" w:eastAsia="宋体" w:cs="宋体"/>
          <w:color w:val="000000"/>
          <w:kern w:val="0"/>
          <w:sz w:val="24"/>
          <w:szCs w:val="24"/>
          <w:highlight w:val="none"/>
          <w:lang w:val="en-US" w:eastAsia="zh-CN" w:bidi="ar"/>
        </w:rPr>
        <w:t>，粉尘产生浓度</w:t>
      </w:r>
      <w:r>
        <w:rPr>
          <w:rFonts w:hint="default" w:ascii="Times New Roman" w:hAnsi="Times New Roman" w:eastAsia="宋体" w:cs="Times New Roman"/>
          <w:color w:val="000000"/>
          <w:kern w:val="0"/>
          <w:sz w:val="24"/>
          <w:szCs w:val="24"/>
          <w:highlight w:val="none"/>
          <w:lang w:val="en-US" w:eastAsia="zh-CN" w:bidi="ar"/>
        </w:rPr>
        <w:t>2000mg/m</w:t>
      </w:r>
      <w:r>
        <w:rPr>
          <w:rFonts w:hint="eastAsia" w:ascii="Times New Roman" w:hAnsi="Times New Roman" w:eastAsia="宋体" w:cs="Times New Roman"/>
          <w:color w:val="000000"/>
          <w:kern w:val="0"/>
          <w:sz w:val="24"/>
          <w:szCs w:val="24"/>
          <w:highlight w:val="none"/>
          <w:vertAlign w:val="superscript"/>
          <w:lang w:val="en-US" w:eastAsia="zh-CN" w:bidi="ar"/>
        </w:rPr>
        <w:t>3</w:t>
      </w:r>
      <w:r>
        <w:rPr>
          <w:rFonts w:hint="eastAsia" w:ascii="宋体" w:hAnsi="宋体" w:eastAsia="宋体" w:cs="宋体"/>
          <w:color w:val="000000"/>
          <w:kern w:val="0"/>
          <w:sz w:val="24"/>
          <w:szCs w:val="24"/>
          <w:highlight w:val="none"/>
          <w:lang w:val="en-US" w:eastAsia="zh-CN" w:bidi="ar"/>
        </w:rPr>
        <w:t>，配混系统粉尘产生速率</w:t>
      </w:r>
      <w:r>
        <w:rPr>
          <w:rFonts w:hint="eastAsia" w:ascii="Times New Roman" w:hAnsi="Times New Roman" w:eastAsia="宋体" w:cs="Times New Roman"/>
          <w:color w:val="000000"/>
          <w:kern w:val="0"/>
          <w:sz w:val="24"/>
          <w:szCs w:val="24"/>
          <w:highlight w:val="none"/>
          <w:lang w:val="en-US" w:eastAsia="zh-CN" w:bidi="ar"/>
        </w:rPr>
        <w:t>100</w:t>
      </w:r>
      <w:r>
        <w:rPr>
          <w:rFonts w:hint="default" w:ascii="Times New Roman" w:hAnsi="Times New Roman" w:eastAsia="宋体" w:cs="Times New Roman"/>
          <w:color w:val="000000"/>
          <w:kern w:val="0"/>
          <w:sz w:val="24"/>
          <w:szCs w:val="24"/>
          <w:highlight w:val="none"/>
          <w:lang w:val="en-US" w:eastAsia="zh-CN" w:bidi="ar"/>
        </w:rPr>
        <w:t>kg/h</w:t>
      </w:r>
      <w:r>
        <w:rPr>
          <w:rFonts w:hint="eastAsia" w:ascii="宋体" w:hAnsi="宋体" w:eastAsia="宋体" w:cs="宋体"/>
          <w:color w:val="000000"/>
          <w:kern w:val="0"/>
          <w:sz w:val="24"/>
          <w:szCs w:val="24"/>
          <w:highlight w:val="none"/>
          <w:lang w:val="en-US" w:eastAsia="zh-CN" w:bidi="ar"/>
        </w:rPr>
        <w:t>，产生量</w:t>
      </w:r>
      <w:r>
        <w:rPr>
          <w:rFonts w:hint="eastAsia" w:ascii="Times New Roman" w:hAnsi="Times New Roman" w:eastAsia="宋体" w:cs="Times New Roman"/>
          <w:color w:val="000000"/>
          <w:kern w:val="0"/>
          <w:sz w:val="24"/>
          <w:szCs w:val="24"/>
          <w:highlight w:val="none"/>
          <w:lang w:val="en-US" w:eastAsia="zh-CN" w:bidi="ar"/>
        </w:rPr>
        <w:t>792</w:t>
      </w:r>
      <w:r>
        <w:rPr>
          <w:rFonts w:hint="default" w:ascii="Times New Roman" w:hAnsi="Times New Roman" w:eastAsia="宋体" w:cs="Times New Roman"/>
          <w:color w:val="000000"/>
          <w:kern w:val="0"/>
          <w:sz w:val="24"/>
          <w:szCs w:val="24"/>
          <w:highlight w:val="none"/>
          <w:lang w:val="en-US" w:eastAsia="zh-CN" w:bidi="ar"/>
        </w:rPr>
        <w:t>t/a</w:t>
      </w:r>
      <w:r>
        <w:rPr>
          <w:rFonts w:hint="eastAsia" w:ascii="宋体" w:hAnsi="宋体" w:eastAsia="宋体" w:cs="宋体"/>
          <w:color w:val="000000"/>
          <w:kern w:val="0"/>
          <w:sz w:val="24"/>
          <w:szCs w:val="24"/>
          <w:highlight w:val="none"/>
          <w:lang w:val="en-US" w:eastAsia="zh-CN" w:bidi="ar"/>
        </w:rPr>
        <w:t>，废气收集效率</w:t>
      </w:r>
      <w:r>
        <w:rPr>
          <w:rFonts w:hint="default" w:ascii="Times New Roman" w:hAnsi="Times New Roman" w:eastAsia="宋体" w:cs="Times New Roman"/>
          <w:color w:val="000000"/>
          <w:kern w:val="0"/>
          <w:sz w:val="24"/>
          <w:szCs w:val="24"/>
          <w:highlight w:val="none"/>
          <w:lang w:val="en-US" w:eastAsia="zh-CN" w:bidi="ar"/>
        </w:rPr>
        <w:t>99%</w:t>
      </w:r>
      <w:r>
        <w:rPr>
          <w:rFonts w:hint="eastAsia" w:ascii="宋体" w:hAnsi="宋体" w:eastAsia="宋体" w:cs="宋体"/>
          <w:color w:val="000000"/>
          <w:kern w:val="0"/>
          <w:sz w:val="24"/>
          <w:szCs w:val="24"/>
          <w:highlight w:val="none"/>
          <w:lang w:val="en-US" w:eastAsia="zh-CN" w:bidi="ar"/>
        </w:rPr>
        <w:t>，覆膜式布袋除尘器除尘效率</w:t>
      </w:r>
      <w:r>
        <w:rPr>
          <w:rFonts w:hint="default" w:ascii="Times New Roman" w:hAnsi="Times New Roman" w:eastAsia="宋体" w:cs="Times New Roman"/>
          <w:color w:val="000000"/>
          <w:kern w:val="0"/>
          <w:sz w:val="24"/>
          <w:szCs w:val="24"/>
          <w:highlight w:val="none"/>
          <w:lang w:val="en-US" w:eastAsia="zh-CN" w:bidi="ar"/>
        </w:rPr>
        <w:t>99.</w:t>
      </w:r>
      <w:r>
        <w:rPr>
          <w:rFonts w:hint="eastAsia" w:ascii="Times New Roman" w:hAnsi="Times New Roman" w:eastAsia="宋体" w:cs="Times New Roman"/>
          <w:color w:val="000000"/>
          <w:kern w:val="0"/>
          <w:sz w:val="24"/>
          <w:szCs w:val="24"/>
          <w:highlight w:val="none"/>
          <w:lang w:val="en-US" w:eastAsia="zh-CN" w:bidi="ar"/>
        </w:rPr>
        <w:t>9</w:t>
      </w:r>
      <w:r>
        <w:rPr>
          <w:rFonts w:hint="default" w:ascii="Times New Roman" w:hAnsi="Times New Roman" w:eastAsia="宋体" w:cs="Times New Roman"/>
          <w:color w:val="000000"/>
          <w:kern w:val="0"/>
          <w:sz w:val="24"/>
          <w:szCs w:val="24"/>
          <w:highlight w:val="none"/>
          <w:lang w:val="en-US" w:eastAsia="zh-CN" w:bidi="ar"/>
        </w:rPr>
        <w:t>%</w:t>
      </w:r>
      <w:r>
        <w:rPr>
          <w:rFonts w:hint="eastAsia" w:ascii="宋体" w:hAnsi="宋体" w:eastAsia="宋体" w:cs="宋体"/>
          <w:color w:val="000000"/>
          <w:kern w:val="0"/>
          <w:sz w:val="24"/>
          <w:szCs w:val="24"/>
          <w:highlight w:val="none"/>
          <w:lang w:val="en-US" w:eastAsia="zh-CN" w:bidi="ar"/>
        </w:rPr>
        <w:t>，则粉尘排放量为</w:t>
      </w:r>
      <w:r>
        <w:rPr>
          <w:rFonts w:hint="eastAsia" w:ascii="Times New Roman" w:hAnsi="Times New Roman" w:eastAsia="宋体" w:cs="Times New Roman"/>
          <w:color w:val="000000"/>
          <w:kern w:val="0"/>
          <w:sz w:val="24"/>
          <w:szCs w:val="24"/>
          <w:highlight w:val="none"/>
          <w:lang w:val="en-US" w:eastAsia="zh-CN" w:bidi="ar"/>
        </w:rPr>
        <w:t>0.78</w:t>
      </w:r>
      <w:r>
        <w:rPr>
          <w:rFonts w:hint="default" w:ascii="Times New Roman" w:hAnsi="Times New Roman" w:eastAsia="宋体" w:cs="Times New Roman"/>
          <w:color w:val="000000"/>
          <w:kern w:val="0"/>
          <w:sz w:val="24"/>
          <w:szCs w:val="24"/>
          <w:highlight w:val="none"/>
          <w:lang w:val="en-US" w:eastAsia="zh-CN" w:bidi="ar"/>
        </w:rPr>
        <w:t>t/a</w:t>
      </w:r>
      <w:r>
        <w:rPr>
          <w:rFonts w:hint="eastAsia" w:ascii="宋体" w:hAnsi="宋体" w:eastAsia="宋体" w:cs="宋体"/>
          <w:color w:val="000000"/>
          <w:kern w:val="0"/>
          <w:sz w:val="24"/>
          <w:szCs w:val="24"/>
          <w:highlight w:val="none"/>
          <w:lang w:val="en-US" w:eastAsia="zh-CN" w:bidi="ar"/>
        </w:rPr>
        <w:t>，排放浓度为</w:t>
      </w:r>
      <w:r>
        <w:rPr>
          <w:rFonts w:hint="eastAsia" w:ascii="Times New Roman" w:hAnsi="Times New Roman" w:eastAsia="宋体" w:cs="Times New Roman"/>
          <w:color w:val="000000"/>
          <w:kern w:val="0"/>
          <w:sz w:val="24"/>
          <w:szCs w:val="24"/>
          <w:highlight w:val="none"/>
          <w:lang w:val="en-US" w:eastAsia="zh-CN" w:bidi="ar"/>
        </w:rPr>
        <w:t>1.98</w:t>
      </w:r>
      <w:r>
        <w:rPr>
          <w:rFonts w:hint="default" w:ascii="Times New Roman" w:hAnsi="Times New Roman" w:eastAsia="宋体" w:cs="Times New Roman"/>
          <w:color w:val="000000"/>
          <w:kern w:val="0"/>
          <w:sz w:val="24"/>
          <w:szCs w:val="24"/>
          <w:highlight w:val="none"/>
          <w:lang w:val="en-US" w:eastAsia="zh-CN" w:bidi="ar"/>
        </w:rPr>
        <w:t>mg/Nm</w:t>
      </w:r>
      <w:r>
        <w:rPr>
          <w:rFonts w:hint="eastAsia" w:ascii="Times New Roman" w:hAnsi="Times New Roman" w:eastAsia="宋体" w:cs="Times New Roman"/>
          <w:color w:val="000000"/>
          <w:kern w:val="0"/>
          <w:sz w:val="24"/>
          <w:szCs w:val="24"/>
          <w:highlight w:val="none"/>
          <w:vertAlign w:val="superscript"/>
          <w:lang w:val="en-US" w:eastAsia="zh-CN" w:bidi="ar"/>
        </w:rPr>
        <w:t>3</w:t>
      </w:r>
      <w:r>
        <w:rPr>
          <w:rFonts w:hint="eastAsia" w:ascii="宋体" w:hAnsi="宋体" w:eastAsia="宋体" w:cs="宋体"/>
          <w:color w:val="000000"/>
          <w:kern w:val="0"/>
          <w:sz w:val="24"/>
          <w:szCs w:val="24"/>
          <w:highlight w:val="none"/>
          <w:lang w:val="en-US" w:eastAsia="zh-CN" w:bidi="ar"/>
        </w:rPr>
        <w:t>，排放速率</w:t>
      </w:r>
      <w:r>
        <w:rPr>
          <w:rFonts w:hint="eastAsia" w:eastAsia="宋体" w:cs="宋体"/>
          <w:color w:val="000000"/>
          <w:kern w:val="0"/>
          <w:sz w:val="24"/>
          <w:szCs w:val="24"/>
          <w:highlight w:val="none"/>
          <w:lang w:val="en-US" w:eastAsia="zh-CN" w:bidi="ar"/>
        </w:rPr>
        <w:t>0.1</w:t>
      </w:r>
      <w:r>
        <w:rPr>
          <w:rFonts w:hint="default" w:ascii="Times New Roman" w:hAnsi="Times New Roman" w:eastAsia="宋体" w:cs="Times New Roman"/>
          <w:color w:val="000000"/>
          <w:kern w:val="0"/>
          <w:sz w:val="24"/>
          <w:szCs w:val="24"/>
          <w:highlight w:val="none"/>
          <w:lang w:val="en-US" w:eastAsia="zh-CN" w:bidi="ar"/>
        </w:rPr>
        <w:t>kg/h</w:t>
      </w:r>
      <w:r>
        <w:rPr>
          <w:rFonts w:hint="eastAsia" w:ascii="宋体" w:hAnsi="宋体" w:eastAsia="宋体" w:cs="宋体"/>
          <w:color w:val="000000"/>
          <w:kern w:val="0"/>
          <w:sz w:val="24"/>
          <w:szCs w:val="24"/>
          <w:highlight w:val="none"/>
          <w:lang w:val="en-US" w:eastAsia="zh-CN" w:bidi="ar"/>
        </w:rPr>
        <w:t>。可研设计的粉尘排放浓度满足上述核算粉尘排放源强浓度。</w:t>
      </w:r>
    </w:p>
    <w:p w14:paraId="2F798368">
      <w:pPr>
        <w:adjustRightInd w:val="0"/>
        <w:ind w:firstLine="480" w:firstLineChars="200"/>
        <w:jc w:val="both"/>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（2）球团竖炉烟气(G9)</w:t>
      </w:r>
    </w:p>
    <w:p w14:paraId="2B758A72">
      <w:pPr>
        <w:keepNext w:val="0"/>
        <w:keepLines w:val="0"/>
        <w:widowControl/>
        <w:suppressLineNumbers w:val="0"/>
        <w:ind w:firstLine="480" w:firstLineChars="200"/>
        <w:jc w:val="left"/>
        <w:rPr>
          <w:rFonts w:hint="eastAsia"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焙烧烟气采用</w:t>
      </w:r>
      <w:r>
        <w:rPr>
          <w:rFonts w:hint="default" w:ascii="Times New Roman" w:hAnsi="Times New Roman" w:eastAsia="宋体" w:cs="Times New Roman"/>
          <w:color w:val="000000"/>
          <w:kern w:val="0"/>
          <w:sz w:val="24"/>
          <w:szCs w:val="24"/>
          <w:lang w:val="en-US" w:eastAsia="zh-CN" w:bidi="ar"/>
        </w:rPr>
        <w:t>“</w:t>
      </w:r>
      <w:r>
        <w:rPr>
          <w:rFonts w:hint="eastAsia" w:ascii="宋体" w:hAnsi="宋体" w:eastAsia="宋体" w:cs="宋体"/>
          <w:color w:val="000000"/>
          <w:kern w:val="0"/>
          <w:sz w:val="24"/>
          <w:szCs w:val="24"/>
          <w:lang w:val="en-US" w:eastAsia="zh-CN" w:bidi="ar"/>
        </w:rPr>
        <w:t>静电除尘器</w:t>
      </w:r>
      <w:r>
        <w:rPr>
          <w:rFonts w:hint="default" w:ascii="Times New Roman" w:hAnsi="Times New Roman" w:eastAsia="宋体" w:cs="Times New Roman"/>
          <w:color w:val="000000"/>
          <w:kern w:val="0"/>
          <w:sz w:val="24"/>
          <w:szCs w:val="24"/>
          <w:lang w:val="en-US" w:eastAsia="zh-CN" w:bidi="ar"/>
        </w:rPr>
        <w:t>+SCR</w:t>
      </w:r>
      <w:r>
        <w:rPr>
          <w:rFonts w:hint="eastAsia" w:ascii="宋体" w:hAnsi="宋体" w:eastAsia="宋体" w:cs="宋体"/>
          <w:color w:val="000000"/>
          <w:kern w:val="0"/>
          <w:sz w:val="24"/>
          <w:szCs w:val="24"/>
          <w:lang w:val="en-US" w:eastAsia="zh-CN" w:bidi="ar"/>
        </w:rPr>
        <w:t>脱硝</w:t>
      </w:r>
      <w:r>
        <w:rPr>
          <w:rFonts w:hint="default" w:ascii="Times New Roman" w:hAnsi="Times New Roman" w:eastAsia="宋体" w:cs="Times New Roman"/>
          <w:color w:val="000000"/>
          <w:kern w:val="0"/>
          <w:sz w:val="24"/>
          <w:szCs w:val="24"/>
          <w:lang w:val="en-US" w:eastAsia="zh-CN" w:bidi="ar"/>
        </w:rPr>
        <w:t>+</w:t>
      </w:r>
      <w:r>
        <w:rPr>
          <w:rFonts w:hint="eastAsia" w:ascii="宋体" w:hAnsi="宋体" w:eastAsia="宋体" w:cs="宋体"/>
          <w:color w:val="000000"/>
          <w:kern w:val="0"/>
          <w:sz w:val="24"/>
          <w:szCs w:val="24"/>
          <w:lang w:val="en-US" w:eastAsia="zh-CN" w:bidi="ar"/>
        </w:rPr>
        <w:t>石灰</w:t>
      </w:r>
      <w:r>
        <w:rPr>
          <w:rFonts w:hint="default" w:ascii="Times New Roman" w:hAnsi="Times New Roman" w:eastAsia="宋体" w:cs="Times New Roman"/>
          <w:color w:val="000000"/>
          <w:kern w:val="0"/>
          <w:sz w:val="24"/>
          <w:szCs w:val="24"/>
          <w:lang w:val="en-US" w:eastAsia="zh-CN" w:bidi="ar"/>
        </w:rPr>
        <w:t>-</w:t>
      </w:r>
      <w:r>
        <w:rPr>
          <w:rFonts w:hint="eastAsia" w:ascii="宋体" w:hAnsi="宋体" w:eastAsia="宋体" w:cs="宋体"/>
          <w:color w:val="000000"/>
          <w:kern w:val="0"/>
          <w:sz w:val="24"/>
          <w:szCs w:val="24"/>
          <w:lang w:val="en-US" w:eastAsia="zh-CN" w:bidi="ar"/>
        </w:rPr>
        <w:t>石膏湿法烟气脱硫</w:t>
      </w:r>
      <w:r>
        <w:rPr>
          <w:rFonts w:hint="default" w:ascii="Times New Roman" w:hAnsi="Times New Roman" w:eastAsia="宋体" w:cs="Times New Roman"/>
          <w:color w:val="000000"/>
          <w:kern w:val="0"/>
          <w:sz w:val="24"/>
          <w:szCs w:val="24"/>
          <w:lang w:val="en-US" w:eastAsia="zh-CN" w:bidi="ar"/>
        </w:rPr>
        <w:t xml:space="preserve">” </w:t>
      </w:r>
      <w:r>
        <w:rPr>
          <w:rFonts w:hint="eastAsia" w:ascii="宋体" w:hAnsi="宋体" w:eastAsia="宋体" w:cs="宋体"/>
          <w:color w:val="000000"/>
          <w:kern w:val="0"/>
          <w:sz w:val="24"/>
          <w:szCs w:val="24"/>
          <w:lang w:val="en-US" w:eastAsia="zh-CN" w:bidi="ar"/>
        </w:rPr>
        <w:t xml:space="preserve">对焙烧烟气进行除尘脱硫脱硝，达标后经 </w:t>
      </w:r>
      <w:r>
        <w:rPr>
          <w:rFonts w:hint="eastAsia" w:ascii="Times New Roman" w:hAnsi="Times New Roman" w:eastAsia="宋体" w:cs="Times New Roman"/>
          <w:color w:val="000000"/>
          <w:kern w:val="0"/>
          <w:sz w:val="24"/>
          <w:szCs w:val="24"/>
          <w:lang w:val="en-US" w:eastAsia="zh-CN" w:bidi="ar"/>
        </w:rPr>
        <w:t>15</w:t>
      </w:r>
      <w:r>
        <w:rPr>
          <w:rFonts w:hint="default" w:ascii="Times New Roman" w:hAnsi="Times New Roman" w:eastAsia="宋体" w:cs="Times New Roman"/>
          <w:color w:val="000000"/>
          <w:kern w:val="0"/>
          <w:sz w:val="24"/>
          <w:szCs w:val="24"/>
          <w:lang w:val="en-US" w:eastAsia="zh-CN" w:bidi="ar"/>
        </w:rPr>
        <w:t xml:space="preserve">m </w:t>
      </w:r>
      <w:r>
        <w:rPr>
          <w:rFonts w:hint="eastAsia" w:ascii="宋体" w:hAnsi="宋体" w:eastAsia="宋体" w:cs="宋体"/>
          <w:color w:val="000000"/>
          <w:kern w:val="0"/>
          <w:sz w:val="24"/>
          <w:szCs w:val="24"/>
          <w:lang w:val="en-US" w:eastAsia="zh-CN" w:bidi="ar"/>
        </w:rPr>
        <w:t>高排气筒排入大气</w:t>
      </w:r>
      <w:r>
        <w:rPr>
          <w:rFonts w:hint="eastAsia" w:eastAsia="宋体" w:cs="宋体"/>
          <w:color w:val="000000"/>
          <w:kern w:val="0"/>
          <w:sz w:val="24"/>
          <w:szCs w:val="24"/>
          <w:lang w:val="en-US" w:eastAsia="zh-CN" w:bidi="ar"/>
        </w:rPr>
        <w:t>.</w:t>
      </w:r>
    </w:p>
    <w:p w14:paraId="1406852E">
      <w:pPr>
        <w:keepNext w:val="0"/>
        <w:keepLines w:val="0"/>
        <w:widowControl/>
        <w:suppressLineNumbers w:val="0"/>
        <w:ind w:firstLine="480" w:firstLineChars="200"/>
        <w:jc w:val="left"/>
        <w:rPr>
          <w:highlight w:val="none"/>
        </w:rPr>
      </w:pPr>
      <w:r>
        <w:rPr>
          <w:rFonts w:hint="eastAsia" w:ascii="宋体" w:hAnsi="宋体" w:eastAsia="宋体" w:cs="宋体"/>
          <w:color w:val="000000"/>
          <w:kern w:val="0"/>
          <w:sz w:val="24"/>
          <w:szCs w:val="24"/>
          <w:highlight w:val="none"/>
          <w:lang w:val="en-US" w:eastAsia="zh-CN" w:bidi="ar"/>
        </w:rPr>
        <w:t>根据设计，工况下该工序烟气量为</w:t>
      </w:r>
      <w:r>
        <w:rPr>
          <w:rFonts w:hint="eastAsia" w:eastAsia="宋体" w:cs="宋体"/>
          <w:color w:val="000000"/>
          <w:kern w:val="0"/>
          <w:sz w:val="24"/>
          <w:szCs w:val="24"/>
          <w:highlight w:val="none"/>
          <w:lang w:val="en-US" w:eastAsia="zh-CN" w:bidi="ar"/>
        </w:rPr>
        <w:t>18</w:t>
      </w:r>
      <w:r>
        <w:rPr>
          <w:rFonts w:hint="default" w:ascii="Times New Roman" w:hAnsi="Times New Roman" w:eastAsia="宋体" w:cs="Times New Roman"/>
          <w:color w:val="000000"/>
          <w:kern w:val="0"/>
          <w:sz w:val="24"/>
          <w:szCs w:val="24"/>
          <w:highlight w:val="none"/>
          <w:lang w:val="en-US" w:eastAsia="zh-CN" w:bidi="ar"/>
        </w:rPr>
        <w:t>0000m</w:t>
      </w:r>
      <w:r>
        <w:rPr>
          <w:rFonts w:hint="eastAsia" w:ascii="Times New Roman" w:hAnsi="Times New Roman" w:eastAsia="宋体" w:cs="Times New Roman"/>
          <w:color w:val="000000"/>
          <w:kern w:val="0"/>
          <w:sz w:val="24"/>
          <w:szCs w:val="24"/>
          <w:highlight w:val="none"/>
          <w:vertAlign w:val="superscript"/>
          <w:lang w:val="en-US" w:eastAsia="zh-CN" w:bidi="ar"/>
        </w:rPr>
        <w:t>3</w:t>
      </w:r>
      <w:r>
        <w:rPr>
          <w:rFonts w:hint="default" w:ascii="Times New Roman" w:hAnsi="Times New Roman" w:eastAsia="宋体" w:cs="Times New Roman"/>
          <w:color w:val="000000"/>
          <w:kern w:val="0"/>
          <w:sz w:val="16"/>
          <w:szCs w:val="16"/>
          <w:highlight w:val="none"/>
          <w:lang w:val="en-US" w:eastAsia="zh-CN" w:bidi="ar"/>
        </w:rPr>
        <w:t xml:space="preserve"> </w:t>
      </w:r>
      <w:r>
        <w:rPr>
          <w:rFonts w:hint="default" w:ascii="Times New Roman" w:hAnsi="Times New Roman" w:eastAsia="宋体" w:cs="Times New Roman"/>
          <w:color w:val="000000"/>
          <w:kern w:val="0"/>
          <w:sz w:val="24"/>
          <w:szCs w:val="24"/>
          <w:highlight w:val="none"/>
          <w:lang w:val="en-US" w:eastAsia="zh-CN" w:bidi="ar"/>
        </w:rPr>
        <w:t>/h</w:t>
      </w:r>
      <w:r>
        <w:rPr>
          <w:rFonts w:hint="eastAsia" w:ascii="宋体" w:hAnsi="宋体" w:eastAsia="宋体" w:cs="宋体"/>
          <w:color w:val="000000"/>
          <w:kern w:val="0"/>
          <w:sz w:val="24"/>
          <w:szCs w:val="24"/>
          <w:highlight w:val="none"/>
          <w:lang w:val="en-US" w:eastAsia="zh-CN" w:bidi="ar"/>
        </w:rPr>
        <w:t>。</w:t>
      </w:r>
    </w:p>
    <w:p w14:paraId="21FEBF84">
      <w:pPr>
        <w:keepNext w:val="0"/>
        <w:keepLines w:val="0"/>
        <w:widowControl/>
        <w:suppressLineNumbers w:val="0"/>
        <w:ind w:firstLine="480" w:firstLineChars="200"/>
        <w:jc w:val="left"/>
      </w:pPr>
      <w:r>
        <w:rPr>
          <w:rFonts w:hint="default" w:ascii="Times New Roman" w:hAnsi="Times New Roman" w:eastAsia="宋体" w:cs="Times New Roman"/>
          <w:color w:val="000000"/>
          <w:kern w:val="0"/>
          <w:sz w:val="24"/>
          <w:szCs w:val="24"/>
          <w:lang w:val="en-US" w:eastAsia="zh-CN" w:bidi="ar"/>
        </w:rPr>
        <w:t>1</w:t>
      </w:r>
      <w:r>
        <w:rPr>
          <w:rFonts w:hint="eastAsia" w:ascii="宋体" w:hAnsi="宋体" w:eastAsia="宋体" w:cs="宋体"/>
          <w:color w:val="000000"/>
          <w:kern w:val="0"/>
          <w:sz w:val="24"/>
          <w:szCs w:val="24"/>
          <w:lang w:val="en-US" w:eastAsia="zh-CN" w:bidi="ar"/>
        </w:rPr>
        <w:t xml:space="preserve">）烟尘 </w:t>
      </w:r>
    </w:p>
    <w:p w14:paraId="68560B2D">
      <w:pPr>
        <w:keepNext w:val="0"/>
        <w:keepLines w:val="0"/>
        <w:widowControl/>
        <w:suppressLineNumbers w:val="0"/>
        <w:ind w:firstLine="480" w:firstLineChars="200"/>
        <w:jc w:val="left"/>
      </w:pPr>
      <w:r>
        <w:rPr>
          <w:rFonts w:hint="eastAsia" w:ascii="宋体" w:hAnsi="宋体" w:eastAsia="宋体" w:cs="宋体"/>
          <w:color w:val="000000"/>
          <w:kern w:val="0"/>
          <w:sz w:val="24"/>
          <w:szCs w:val="24"/>
          <w:lang w:val="en-US" w:eastAsia="zh-CN" w:bidi="ar"/>
        </w:rPr>
        <w:t>根据《污染源源强核算技术指南</w:t>
      </w:r>
      <w:r>
        <w:rPr>
          <w:rFonts w:hint="default" w:ascii="Times New Roman" w:hAnsi="Times New Roman" w:eastAsia="宋体" w:cs="Times New Roman"/>
          <w:color w:val="000000"/>
          <w:kern w:val="0"/>
          <w:sz w:val="24"/>
          <w:szCs w:val="24"/>
          <w:lang w:val="en-US" w:eastAsia="zh-CN" w:bidi="ar"/>
        </w:rPr>
        <w:t xml:space="preserve"> </w:t>
      </w:r>
      <w:r>
        <w:rPr>
          <w:rFonts w:hint="eastAsia" w:ascii="宋体" w:hAnsi="宋体" w:eastAsia="宋体" w:cs="宋体"/>
          <w:color w:val="000000"/>
          <w:kern w:val="0"/>
          <w:sz w:val="24"/>
          <w:szCs w:val="24"/>
          <w:lang w:val="en-US" w:eastAsia="zh-CN" w:bidi="ar"/>
        </w:rPr>
        <w:t>钢铁》（</w:t>
      </w:r>
      <w:r>
        <w:rPr>
          <w:rFonts w:hint="default" w:ascii="Times New Roman" w:hAnsi="Times New Roman" w:eastAsia="宋体" w:cs="Times New Roman"/>
          <w:color w:val="000000"/>
          <w:kern w:val="0"/>
          <w:sz w:val="24"/>
          <w:szCs w:val="24"/>
          <w:lang w:val="en-US" w:eastAsia="zh-CN" w:bidi="ar"/>
        </w:rPr>
        <w:t>HJ885-2018</w:t>
      </w:r>
      <w:r>
        <w:rPr>
          <w:rFonts w:hint="eastAsia" w:ascii="宋体" w:hAnsi="宋体" w:eastAsia="宋体" w:cs="宋体"/>
          <w:color w:val="000000"/>
          <w:kern w:val="0"/>
          <w:sz w:val="24"/>
          <w:szCs w:val="24"/>
          <w:lang w:val="en-US" w:eastAsia="zh-CN" w:bidi="ar"/>
        </w:rPr>
        <w:t>），烟尘产排量可采用类比法。本项目烟尘产生浓度类比灯塔市精诚金属有限公司球团竖炉生产线改造项目》</w:t>
      </w:r>
      <w:r>
        <w:rPr>
          <w:rFonts w:hint="eastAsia" w:eastAsia="宋体" w:cs="宋体"/>
          <w:color w:val="000000"/>
          <w:kern w:val="0"/>
          <w:sz w:val="24"/>
          <w:szCs w:val="24"/>
          <w:lang w:val="en-US" w:eastAsia="zh-CN" w:bidi="ar"/>
        </w:rPr>
        <w:t>1台12m</w:t>
      </w:r>
      <w:r>
        <w:rPr>
          <w:rFonts w:hint="eastAsia" w:eastAsia="宋体" w:cs="宋体"/>
          <w:color w:val="000000"/>
          <w:kern w:val="0"/>
          <w:sz w:val="24"/>
          <w:szCs w:val="24"/>
          <w:vertAlign w:val="superscript"/>
          <w:lang w:val="en-US" w:eastAsia="zh-CN" w:bidi="ar"/>
        </w:rPr>
        <w:t>2</w:t>
      </w:r>
      <w:r>
        <w:rPr>
          <w:rFonts w:hint="eastAsia" w:eastAsia="宋体" w:cs="宋体"/>
          <w:color w:val="000000"/>
          <w:kern w:val="0"/>
          <w:sz w:val="24"/>
          <w:szCs w:val="24"/>
          <w:vertAlign w:val="baseline"/>
          <w:lang w:val="en-US" w:eastAsia="zh-CN" w:bidi="ar"/>
        </w:rPr>
        <w:t>球团竖炉</w:t>
      </w:r>
      <w:r>
        <w:rPr>
          <w:rFonts w:hint="eastAsia" w:ascii="宋体" w:hAnsi="宋体" w:eastAsia="宋体" w:cs="宋体"/>
          <w:color w:val="000000"/>
          <w:kern w:val="0"/>
          <w:sz w:val="24"/>
          <w:szCs w:val="24"/>
          <w:lang w:val="en-US" w:eastAsia="zh-CN" w:bidi="ar"/>
        </w:rPr>
        <w:t>，该项目</w:t>
      </w:r>
      <w:r>
        <w:rPr>
          <w:rFonts w:hint="eastAsia" w:eastAsia="宋体" w:cs="宋体"/>
          <w:color w:val="000000"/>
          <w:kern w:val="0"/>
          <w:sz w:val="24"/>
          <w:szCs w:val="24"/>
          <w:lang w:val="en-US" w:eastAsia="zh-CN" w:bidi="ar"/>
        </w:rPr>
        <w:t>12m</w:t>
      </w:r>
      <w:r>
        <w:rPr>
          <w:rFonts w:hint="eastAsia" w:eastAsia="宋体" w:cs="宋体"/>
          <w:color w:val="000000"/>
          <w:kern w:val="0"/>
          <w:sz w:val="24"/>
          <w:szCs w:val="24"/>
          <w:vertAlign w:val="superscript"/>
          <w:lang w:val="en-US" w:eastAsia="zh-CN" w:bidi="ar"/>
        </w:rPr>
        <w:t>2</w:t>
      </w:r>
      <w:r>
        <w:rPr>
          <w:rFonts w:hint="eastAsia" w:eastAsia="宋体" w:cs="宋体"/>
          <w:color w:val="000000"/>
          <w:kern w:val="0"/>
          <w:sz w:val="24"/>
          <w:szCs w:val="24"/>
          <w:vertAlign w:val="baseline"/>
          <w:lang w:val="en-US" w:eastAsia="zh-CN" w:bidi="ar"/>
        </w:rPr>
        <w:t>球团竖炉</w:t>
      </w:r>
      <w:r>
        <w:rPr>
          <w:rFonts w:hint="eastAsia" w:ascii="宋体" w:hAnsi="宋体" w:eastAsia="宋体" w:cs="宋体"/>
          <w:color w:val="000000"/>
          <w:kern w:val="0"/>
          <w:sz w:val="24"/>
          <w:szCs w:val="24"/>
          <w:lang w:val="en-US" w:eastAsia="zh-CN" w:bidi="ar"/>
        </w:rPr>
        <w:t xml:space="preserve">工艺，生产规模及主要生产设备与本项目相同，具有可类比性。 </w:t>
      </w:r>
    </w:p>
    <w:p w14:paraId="403FE4ED">
      <w:pPr>
        <w:keepNext w:val="0"/>
        <w:keepLines w:val="0"/>
        <w:widowControl/>
        <w:suppressLineNumbers w:val="0"/>
        <w:ind w:firstLine="480" w:firstLineChars="200"/>
        <w:jc w:val="left"/>
      </w:pPr>
      <w:r>
        <w:rPr>
          <w:rFonts w:hint="eastAsia" w:ascii="宋体" w:hAnsi="宋体" w:eastAsia="宋体" w:cs="宋体"/>
          <w:color w:val="000000"/>
          <w:kern w:val="0"/>
          <w:sz w:val="24"/>
          <w:szCs w:val="24"/>
          <w:lang w:val="en-US" w:eastAsia="zh-CN" w:bidi="ar"/>
        </w:rPr>
        <w:t>根据监测报告，经类比，本工段烟尘产生浓度约为</w:t>
      </w:r>
      <w:r>
        <w:rPr>
          <w:rFonts w:hint="default" w:ascii="Times New Roman" w:hAnsi="Times New Roman" w:eastAsia="宋体" w:cs="Times New Roman"/>
          <w:color w:val="000000"/>
          <w:kern w:val="0"/>
          <w:sz w:val="24"/>
          <w:szCs w:val="24"/>
          <w:lang w:val="en-US" w:eastAsia="zh-CN" w:bidi="ar"/>
        </w:rPr>
        <w:t>2000mg/Nm</w:t>
      </w:r>
      <w:r>
        <w:rPr>
          <w:rFonts w:hint="eastAsia" w:ascii="Times New Roman" w:hAnsi="Times New Roman" w:eastAsia="宋体" w:cs="Times New Roman"/>
          <w:color w:val="000000"/>
          <w:kern w:val="0"/>
          <w:sz w:val="24"/>
          <w:szCs w:val="24"/>
          <w:vertAlign w:val="superscript"/>
          <w:lang w:val="en-US" w:eastAsia="zh-CN" w:bidi="ar"/>
        </w:rPr>
        <w:t>3</w:t>
      </w:r>
      <w:r>
        <w:rPr>
          <w:rFonts w:hint="eastAsia" w:ascii="宋体" w:hAnsi="宋体" w:eastAsia="宋体" w:cs="宋体"/>
          <w:color w:val="000000"/>
          <w:kern w:val="0"/>
          <w:sz w:val="24"/>
          <w:szCs w:val="24"/>
          <w:lang w:val="en-US" w:eastAsia="zh-CN" w:bidi="ar"/>
        </w:rPr>
        <w:t>，本项目焙烧烟气采用电除尘</w:t>
      </w:r>
      <w:r>
        <w:rPr>
          <w:rFonts w:hint="default" w:ascii="Times New Roman" w:hAnsi="Times New Roman" w:eastAsia="宋体" w:cs="Times New Roman"/>
          <w:color w:val="000000"/>
          <w:kern w:val="0"/>
          <w:sz w:val="24"/>
          <w:szCs w:val="24"/>
          <w:lang w:val="en-US" w:eastAsia="zh-CN" w:bidi="ar"/>
        </w:rPr>
        <w:t>+</w:t>
      </w:r>
      <w:r>
        <w:rPr>
          <w:rFonts w:hint="eastAsia" w:ascii="宋体" w:hAnsi="宋体" w:eastAsia="宋体" w:cs="宋体"/>
          <w:color w:val="000000"/>
          <w:kern w:val="0"/>
          <w:sz w:val="24"/>
          <w:szCs w:val="24"/>
          <w:lang w:val="en-US" w:eastAsia="zh-CN" w:bidi="ar"/>
        </w:rPr>
        <w:t>湿法脱硫</w:t>
      </w:r>
      <w:r>
        <w:rPr>
          <w:rFonts w:hint="default" w:ascii="Times New Roman" w:hAnsi="Times New Roman" w:eastAsia="宋体" w:cs="Times New Roman"/>
          <w:color w:val="000000"/>
          <w:kern w:val="0"/>
          <w:sz w:val="24"/>
          <w:szCs w:val="24"/>
          <w:lang w:val="en-US" w:eastAsia="zh-CN" w:bidi="ar"/>
        </w:rPr>
        <w:t>+</w:t>
      </w:r>
      <w:r>
        <w:rPr>
          <w:rFonts w:hint="eastAsia" w:eastAsia="宋体" w:cs="宋体"/>
          <w:color w:val="000000"/>
          <w:kern w:val="0"/>
          <w:sz w:val="24"/>
          <w:szCs w:val="24"/>
          <w:lang w:val="en-US" w:eastAsia="zh-CN" w:bidi="ar"/>
        </w:rPr>
        <w:t>SCR脱硝</w:t>
      </w:r>
      <w:r>
        <w:rPr>
          <w:rFonts w:hint="eastAsia" w:ascii="宋体" w:hAnsi="宋体" w:eastAsia="宋体" w:cs="宋体"/>
          <w:color w:val="000000"/>
          <w:kern w:val="0"/>
          <w:sz w:val="24"/>
          <w:szCs w:val="24"/>
          <w:lang w:val="en-US" w:eastAsia="zh-CN" w:bidi="ar"/>
        </w:rPr>
        <w:t>，根据《污染源源强核算技术指南</w:t>
      </w:r>
      <w:r>
        <w:rPr>
          <w:rFonts w:hint="default" w:ascii="Times New Roman" w:hAnsi="Times New Roman" w:eastAsia="宋体" w:cs="Times New Roman"/>
          <w:color w:val="000000"/>
          <w:kern w:val="0"/>
          <w:sz w:val="24"/>
          <w:szCs w:val="24"/>
          <w:lang w:val="en-US" w:eastAsia="zh-CN" w:bidi="ar"/>
        </w:rPr>
        <w:t xml:space="preserve"> </w:t>
      </w:r>
      <w:r>
        <w:rPr>
          <w:rFonts w:hint="eastAsia" w:ascii="宋体" w:hAnsi="宋体" w:eastAsia="宋体" w:cs="宋体"/>
          <w:color w:val="000000"/>
          <w:kern w:val="0"/>
          <w:sz w:val="24"/>
          <w:szCs w:val="24"/>
          <w:lang w:val="en-US" w:eastAsia="zh-CN" w:bidi="ar"/>
        </w:rPr>
        <w:t>钢铁》 （</w:t>
      </w:r>
      <w:r>
        <w:rPr>
          <w:rFonts w:hint="default" w:ascii="Times New Roman" w:hAnsi="Times New Roman" w:eastAsia="宋体" w:cs="Times New Roman"/>
          <w:color w:val="000000"/>
          <w:kern w:val="0"/>
          <w:sz w:val="24"/>
          <w:szCs w:val="24"/>
          <w:lang w:val="en-US" w:eastAsia="zh-CN" w:bidi="ar"/>
        </w:rPr>
        <w:t>HJ885-2018</w:t>
      </w:r>
      <w:r>
        <w:rPr>
          <w:rFonts w:hint="eastAsia" w:ascii="宋体" w:hAnsi="宋体" w:eastAsia="宋体" w:cs="宋体"/>
          <w:color w:val="000000"/>
          <w:kern w:val="0"/>
          <w:sz w:val="24"/>
          <w:szCs w:val="24"/>
          <w:lang w:val="en-US" w:eastAsia="zh-CN" w:bidi="ar"/>
        </w:rPr>
        <w:t xml:space="preserve">）附录 </w:t>
      </w:r>
      <w:r>
        <w:rPr>
          <w:rFonts w:hint="default" w:ascii="Times New Roman" w:hAnsi="Times New Roman" w:eastAsia="宋体" w:cs="Times New Roman"/>
          <w:color w:val="000000"/>
          <w:kern w:val="0"/>
          <w:sz w:val="24"/>
          <w:szCs w:val="24"/>
          <w:lang w:val="en-US" w:eastAsia="zh-CN" w:bidi="ar"/>
        </w:rPr>
        <w:t>D</w:t>
      </w:r>
      <w:r>
        <w:rPr>
          <w:rFonts w:hint="eastAsia" w:ascii="宋体" w:hAnsi="宋体" w:eastAsia="宋体" w:cs="宋体"/>
          <w:color w:val="000000"/>
          <w:kern w:val="0"/>
          <w:sz w:val="24"/>
          <w:szCs w:val="24"/>
          <w:lang w:val="en-US" w:eastAsia="zh-CN" w:bidi="ar"/>
        </w:rPr>
        <w:t>，排放浓度</w:t>
      </w:r>
      <w:r>
        <w:rPr>
          <w:rFonts w:hint="default" w:ascii="Times New Roman" w:hAnsi="Times New Roman" w:eastAsia="宋体" w:cs="Times New Roman"/>
          <w:color w:val="000000"/>
          <w:kern w:val="0"/>
          <w:sz w:val="24"/>
          <w:szCs w:val="24"/>
          <w:lang w:val="en-US" w:eastAsia="zh-CN" w:bidi="ar"/>
        </w:rPr>
        <w:t>≤10mg/Nm</w:t>
      </w:r>
      <w:r>
        <w:rPr>
          <w:rFonts w:hint="eastAsia" w:ascii="Times New Roman" w:hAnsi="Times New Roman" w:eastAsia="宋体" w:cs="Times New Roman"/>
          <w:color w:val="000000"/>
          <w:kern w:val="0"/>
          <w:sz w:val="24"/>
          <w:szCs w:val="24"/>
          <w:vertAlign w:val="superscript"/>
          <w:lang w:val="en-US" w:eastAsia="zh-CN" w:bidi="ar"/>
        </w:rPr>
        <w:t>3</w:t>
      </w:r>
      <w:r>
        <w:rPr>
          <w:rFonts w:hint="eastAsia" w:ascii="宋体" w:hAnsi="宋体" w:eastAsia="宋体" w:cs="宋体"/>
          <w:color w:val="000000"/>
          <w:kern w:val="0"/>
          <w:sz w:val="24"/>
          <w:szCs w:val="24"/>
          <w:lang w:val="en-US" w:eastAsia="zh-CN" w:bidi="ar"/>
        </w:rPr>
        <w:t>，则烟尘排放量为</w:t>
      </w:r>
      <w:r>
        <w:rPr>
          <w:rFonts w:hint="eastAsia" w:ascii="Times New Roman" w:hAnsi="Times New Roman" w:eastAsia="宋体" w:cs="Times New Roman"/>
          <w:color w:val="000000"/>
          <w:kern w:val="0"/>
          <w:sz w:val="24"/>
          <w:szCs w:val="24"/>
          <w:lang w:val="en-US" w:eastAsia="zh-CN" w:bidi="ar"/>
        </w:rPr>
        <w:t>14.256</w:t>
      </w:r>
      <w:r>
        <w:rPr>
          <w:rFonts w:hint="default" w:ascii="Times New Roman" w:hAnsi="Times New Roman" w:eastAsia="宋体" w:cs="Times New Roman"/>
          <w:color w:val="000000"/>
          <w:kern w:val="0"/>
          <w:sz w:val="24"/>
          <w:szCs w:val="24"/>
          <w:lang w:val="en-US" w:eastAsia="zh-CN" w:bidi="ar"/>
        </w:rPr>
        <w:t>t/a</w:t>
      </w:r>
      <w:r>
        <w:rPr>
          <w:rFonts w:hint="eastAsia" w:ascii="宋体" w:hAnsi="宋体" w:eastAsia="宋体" w:cs="宋体"/>
          <w:color w:val="000000"/>
          <w:kern w:val="0"/>
          <w:sz w:val="24"/>
          <w:szCs w:val="24"/>
          <w:lang w:val="en-US" w:eastAsia="zh-CN" w:bidi="ar"/>
        </w:rPr>
        <w:t>，排放速率为</w:t>
      </w:r>
      <w:r>
        <w:rPr>
          <w:rFonts w:hint="eastAsia" w:ascii="Times New Roman" w:hAnsi="Times New Roman" w:eastAsia="宋体" w:cs="Times New Roman"/>
          <w:color w:val="000000"/>
          <w:kern w:val="0"/>
          <w:sz w:val="24"/>
          <w:szCs w:val="24"/>
          <w:lang w:val="en-US" w:eastAsia="zh-CN" w:bidi="ar"/>
        </w:rPr>
        <w:t>1.8</w:t>
      </w:r>
      <w:r>
        <w:rPr>
          <w:rFonts w:hint="default" w:ascii="Times New Roman" w:hAnsi="Times New Roman" w:eastAsia="宋体" w:cs="Times New Roman"/>
          <w:color w:val="000000"/>
          <w:kern w:val="0"/>
          <w:sz w:val="24"/>
          <w:szCs w:val="24"/>
          <w:lang w:val="en-US" w:eastAsia="zh-CN" w:bidi="ar"/>
        </w:rPr>
        <w:t>kg/h</w:t>
      </w:r>
      <w:r>
        <w:rPr>
          <w:rFonts w:hint="eastAsia" w:ascii="宋体" w:hAnsi="宋体" w:eastAsia="宋体" w:cs="宋体"/>
          <w:color w:val="000000"/>
          <w:kern w:val="0"/>
          <w:sz w:val="24"/>
          <w:szCs w:val="24"/>
          <w:lang w:val="en-US" w:eastAsia="zh-CN" w:bidi="ar"/>
        </w:rPr>
        <w:t>，可以满足《关于推进实施钢铁行业超低排放的意见》标准限值要求（</w:t>
      </w:r>
      <w:r>
        <w:rPr>
          <w:rFonts w:hint="default" w:ascii="Times New Roman" w:hAnsi="Times New Roman" w:eastAsia="宋体" w:cs="Times New Roman"/>
          <w:color w:val="000000"/>
          <w:kern w:val="0"/>
          <w:sz w:val="24"/>
          <w:szCs w:val="24"/>
          <w:lang w:val="en-US" w:eastAsia="zh-CN" w:bidi="ar"/>
        </w:rPr>
        <w:t>10mg/m</w:t>
      </w:r>
      <w:r>
        <w:rPr>
          <w:rFonts w:hint="default" w:ascii="Times New Roman" w:hAnsi="Times New Roman" w:eastAsia="宋体" w:cs="Times New Roman"/>
          <w:color w:val="000000"/>
          <w:kern w:val="0"/>
          <w:sz w:val="16"/>
          <w:szCs w:val="16"/>
          <w:lang w:val="en-US" w:eastAsia="zh-CN" w:bidi="ar"/>
        </w:rPr>
        <w:t>3</w:t>
      </w:r>
      <w:r>
        <w:rPr>
          <w:rFonts w:hint="eastAsia" w:ascii="宋体" w:hAnsi="宋体" w:eastAsia="宋体" w:cs="宋体"/>
          <w:color w:val="000000"/>
          <w:kern w:val="0"/>
          <w:sz w:val="24"/>
          <w:szCs w:val="24"/>
          <w:lang w:val="en-US" w:eastAsia="zh-CN" w:bidi="ar"/>
        </w:rPr>
        <w:t xml:space="preserve">）。 </w:t>
      </w:r>
    </w:p>
    <w:p w14:paraId="50EC6EFE">
      <w:pPr>
        <w:keepNext w:val="0"/>
        <w:keepLines w:val="0"/>
        <w:widowControl/>
        <w:suppressLineNumbers w:val="0"/>
        <w:ind w:firstLine="480" w:firstLineChars="200"/>
        <w:jc w:val="left"/>
      </w:pPr>
      <w:r>
        <w:rPr>
          <w:rFonts w:hint="default" w:ascii="Times New Roman" w:hAnsi="Times New Roman" w:eastAsia="宋体" w:cs="Times New Roman"/>
          <w:color w:val="000000"/>
          <w:kern w:val="0"/>
          <w:sz w:val="24"/>
          <w:szCs w:val="24"/>
          <w:lang w:val="en-US" w:eastAsia="zh-CN" w:bidi="ar"/>
        </w:rPr>
        <w:t>2</w:t>
      </w:r>
      <w:r>
        <w:rPr>
          <w:rFonts w:hint="eastAsia" w:ascii="宋体" w:hAnsi="宋体" w:eastAsia="宋体" w:cs="宋体"/>
          <w:color w:val="000000"/>
          <w:kern w:val="0"/>
          <w:sz w:val="24"/>
          <w:szCs w:val="24"/>
          <w:lang w:val="en-US" w:eastAsia="zh-CN" w:bidi="ar"/>
        </w:rPr>
        <w:t>）</w:t>
      </w:r>
      <w:r>
        <w:rPr>
          <w:rFonts w:hint="default" w:ascii="Times New Roman" w:hAnsi="Times New Roman" w:eastAsia="宋体" w:cs="Times New Roman"/>
          <w:color w:val="000000"/>
          <w:kern w:val="0"/>
          <w:sz w:val="24"/>
          <w:szCs w:val="24"/>
          <w:lang w:val="en-US" w:eastAsia="zh-CN" w:bidi="ar"/>
        </w:rPr>
        <w:t>SO</w:t>
      </w:r>
      <w:r>
        <w:rPr>
          <w:rFonts w:hint="default" w:ascii="Times New Roman" w:hAnsi="Times New Roman" w:eastAsia="宋体" w:cs="Times New Roman"/>
          <w:color w:val="000000"/>
          <w:kern w:val="0"/>
          <w:sz w:val="16"/>
          <w:szCs w:val="16"/>
          <w:lang w:val="en-US" w:eastAsia="zh-CN" w:bidi="ar"/>
        </w:rPr>
        <w:t xml:space="preserve">2 </w:t>
      </w:r>
    </w:p>
    <w:p w14:paraId="1D6768C2">
      <w:pPr>
        <w:keepNext w:val="0"/>
        <w:keepLines w:val="0"/>
        <w:widowControl/>
        <w:suppressLineNumbers w:val="0"/>
        <w:ind w:firstLine="480" w:firstLineChars="200"/>
        <w:jc w:val="left"/>
      </w:pPr>
      <w:r>
        <w:rPr>
          <w:rFonts w:hint="default" w:ascii="Times New Roman" w:hAnsi="Times New Roman" w:eastAsia="宋体" w:cs="Times New Roman"/>
          <w:color w:val="000000"/>
          <w:kern w:val="0"/>
          <w:sz w:val="24"/>
          <w:szCs w:val="24"/>
          <w:lang w:val="en-US" w:eastAsia="zh-CN" w:bidi="ar"/>
        </w:rPr>
        <w:t>SO</w:t>
      </w:r>
      <w:r>
        <w:rPr>
          <w:rFonts w:hint="default" w:ascii="Times New Roman" w:hAnsi="Times New Roman" w:eastAsia="宋体" w:cs="Times New Roman"/>
          <w:color w:val="000000"/>
          <w:kern w:val="0"/>
          <w:sz w:val="16"/>
          <w:szCs w:val="16"/>
          <w:lang w:val="en-US" w:eastAsia="zh-CN" w:bidi="ar"/>
        </w:rPr>
        <w:t xml:space="preserve">2 </w:t>
      </w:r>
      <w:r>
        <w:rPr>
          <w:rFonts w:hint="eastAsia" w:ascii="宋体" w:hAnsi="宋体" w:eastAsia="宋体" w:cs="宋体"/>
          <w:color w:val="000000"/>
          <w:kern w:val="0"/>
          <w:sz w:val="24"/>
          <w:szCs w:val="24"/>
          <w:lang w:val="en-US" w:eastAsia="zh-CN" w:bidi="ar"/>
        </w:rPr>
        <w:t>主要来自于</w:t>
      </w:r>
      <w:r>
        <w:rPr>
          <w:rFonts w:hint="eastAsia" w:eastAsia="宋体" w:cs="宋体"/>
          <w:color w:val="000000"/>
          <w:kern w:val="0"/>
          <w:sz w:val="24"/>
          <w:szCs w:val="24"/>
          <w:lang w:val="en-US" w:eastAsia="zh-CN" w:bidi="ar"/>
        </w:rPr>
        <w:t>竖炉</w:t>
      </w:r>
      <w:r>
        <w:rPr>
          <w:rFonts w:hint="eastAsia" w:ascii="宋体" w:hAnsi="宋体" w:eastAsia="宋体" w:cs="宋体"/>
          <w:color w:val="000000"/>
          <w:kern w:val="0"/>
          <w:sz w:val="24"/>
          <w:szCs w:val="24"/>
          <w:lang w:val="en-US" w:eastAsia="zh-CN" w:bidi="ar"/>
        </w:rPr>
        <w:t xml:space="preserve">排放的废气，即原料铁精矿与煤粉中的硫在焙烧过程中被氧化为二氧化硫，为进一步削减 </w:t>
      </w:r>
      <w:r>
        <w:rPr>
          <w:rFonts w:hint="default" w:ascii="Times New Roman" w:hAnsi="Times New Roman" w:eastAsia="宋体" w:cs="Times New Roman"/>
          <w:color w:val="000000"/>
          <w:kern w:val="0"/>
          <w:sz w:val="24"/>
          <w:szCs w:val="24"/>
          <w:lang w:val="en-US" w:eastAsia="zh-CN" w:bidi="ar"/>
        </w:rPr>
        <w:t>SO</w:t>
      </w:r>
      <w:r>
        <w:rPr>
          <w:rFonts w:hint="default" w:ascii="Times New Roman" w:hAnsi="Times New Roman" w:eastAsia="宋体" w:cs="Times New Roman"/>
          <w:color w:val="000000"/>
          <w:kern w:val="0"/>
          <w:sz w:val="16"/>
          <w:szCs w:val="16"/>
          <w:lang w:val="en-US" w:eastAsia="zh-CN" w:bidi="ar"/>
        </w:rPr>
        <w:t xml:space="preserve">2 </w:t>
      </w:r>
      <w:r>
        <w:rPr>
          <w:rFonts w:hint="eastAsia" w:ascii="宋体" w:hAnsi="宋体" w:eastAsia="宋体" w:cs="宋体"/>
          <w:color w:val="000000"/>
          <w:kern w:val="0"/>
          <w:sz w:val="24"/>
          <w:szCs w:val="24"/>
          <w:lang w:val="en-US" w:eastAsia="zh-CN" w:bidi="ar"/>
        </w:rPr>
        <w:t xml:space="preserve">排放量。根据物料平衡，废气中硫含量为 </w:t>
      </w:r>
      <w:r>
        <w:rPr>
          <w:rFonts w:hint="eastAsia" w:eastAsia="宋体" w:cs="宋体"/>
          <w:color w:val="000000"/>
          <w:kern w:val="0"/>
          <w:sz w:val="24"/>
          <w:szCs w:val="24"/>
          <w:lang w:val="en-US" w:eastAsia="zh-CN" w:bidi="ar"/>
        </w:rPr>
        <w:t>350.4</w:t>
      </w:r>
      <w:r>
        <w:rPr>
          <w:rFonts w:hint="default" w:ascii="Times New Roman" w:hAnsi="Times New Roman" w:eastAsia="宋体" w:cs="Times New Roman"/>
          <w:color w:val="000000"/>
          <w:kern w:val="0"/>
          <w:sz w:val="24"/>
          <w:szCs w:val="24"/>
          <w:lang w:val="en-US" w:eastAsia="zh-CN" w:bidi="ar"/>
        </w:rPr>
        <w:t>t/a</w:t>
      </w:r>
      <w:r>
        <w:rPr>
          <w:rFonts w:hint="eastAsia" w:ascii="宋体" w:hAnsi="宋体" w:eastAsia="宋体" w:cs="宋体"/>
          <w:color w:val="000000"/>
          <w:kern w:val="0"/>
          <w:sz w:val="24"/>
          <w:szCs w:val="24"/>
          <w:lang w:val="en-US" w:eastAsia="zh-CN" w:bidi="ar"/>
        </w:rPr>
        <w:t>，</w:t>
      </w:r>
      <w:r>
        <w:rPr>
          <w:rFonts w:hint="default" w:ascii="Times New Roman" w:hAnsi="Times New Roman" w:eastAsia="宋体" w:cs="Times New Roman"/>
          <w:color w:val="000000"/>
          <w:kern w:val="0"/>
          <w:sz w:val="24"/>
          <w:szCs w:val="24"/>
          <w:lang w:val="en-US" w:eastAsia="zh-CN" w:bidi="ar"/>
        </w:rPr>
        <w:t>SO</w:t>
      </w:r>
      <w:r>
        <w:rPr>
          <w:rFonts w:hint="default" w:ascii="Times New Roman" w:hAnsi="Times New Roman" w:eastAsia="宋体" w:cs="Times New Roman"/>
          <w:color w:val="000000"/>
          <w:kern w:val="0"/>
          <w:sz w:val="16"/>
          <w:szCs w:val="16"/>
          <w:lang w:val="en-US" w:eastAsia="zh-CN" w:bidi="ar"/>
        </w:rPr>
        <w:t xml:space="preserve">2 </w:t>
      </w:r>
      <w:r>
        <w:rPr>
          <w:rFonts w:hint="eastAsia" w:ascii="宋体" w:hAnsi="宋体" w:eastAsia="宋体" w:cs="宋体"/>
          <w:color w:val="000000"/>
          <w:kern w:val="0"/>
          <w:sz w:val="24"/>
          <w:szCs w:val="24"/>
          <w:lang w:val="en-US" w:eastAsia="zh-CN" w:bidi="ar"/>
        </w:rPr>
        <w:t>产生量为</w:t>
      </w:r>
      <w:r>
        <w:rPr>
          <w:rFonts w:hint="eastAsia" w:ascii="Times New Roman" w:hAnsi="Times New Roman" w:eastAsia="宋体" w:cs="Times New Roman"/>
          <w:color w:val="000000"/>
          <w:kern w:val="0"/>
          <w:sz w:val="24"/>
          <w:szCs w:val="24"/>
          <w:lang w:val="en-US" w:eastAsia="zh-CN" w:bidi="ar"/>
        </w:rPr>
        <w:t>700.8</w:t>
      </w:r>
      <w:r>
        <w:rPr>
          <w:rFonts w:hint="default" w:ascii="Times New Roman" w:hAnsi="Times New Roman" w:eastAsia="宋体" w:cs="Times New Roman"/>
          <w:color w:val="000000"/>
          <w:kern w:val="0"/>
          <w:sz w:val="24"/>
          <w:szCs w:val="24"/>
          <w:lang w:val="en-US" w:eastAsia="zh-CN" w:bidi="ar"/>
        </w:rPr>
        <w:t>t/a</w:t>
      </w:r>
      <w:r>
        <w:rPr>
          <w:rFonts w:hint="eastAsia" w:ascii="宋体" w:hAnsi="宋体" w:eastAsia="宋体" w:cs="宋体"/>
          <w:color w:val="000000"/>
          <w:kern w:val="0"/>
          <w:sz w:val="24"/>
          <w:szCs w:val="24"/>
          <w:lang w:val="en-US" w:eastAsia="zh-CN" w:bidi="ar"/>
        </w:rPr>
        <w:t xml:space="preserve">。 </w:t>
      </w:r>
    </w:p>
    <w:p w14:paraId="3E7F73E4">
      <w:pPr>
        <w:keepNext w:val="0"/>
        <w:keepLines w:val="0"/>
        <w:widowControl/>
        <w:suppressLineNumbers w:val="0"/>
        <w:ind w:firstLine="480" w:firstLineChars="200"/>
        <w:jc w:val="left"/>
      </w:pPr>
      <w:r>
        <w:rPr>
          <w:rFonts w:hint="eastAsia" w:ascii="宋体" w:hAnsi="宋体" w:eastAsia="宋体" w:cs="宋体"/>
          <w:color w:val="000000"/>
          <w:kern w:val="0"/>
          <w:sz w:val="24"/>
          <w:szCs w:val="24"/>
          <w:lang w:val="en-US" w:eastAsia="zh-CN" w:bidi="ar"/>
        </w:rPr>
        <w:t>本项目对焙烧系统的烟气进行脱硫，采用石灰石膏法脱硫，脱硫效率</w:t>
      </w:r>
      <w:r>
        <w:rPr>
          <w:rFonts w:hint="default" w:ascii="Times New Roman" w:hAnsi="Times New Roman" w:eastAsia="宋体" w:cs="Times New Roman"/>
          <w:color w:val="000000"/>
          <w:kern w:val="0"/>
          <w:sz w:val="24"/>
          <w:szCs w:val="24"/>
          <w:lang w:val="en-US" w:eastAsia="zh-CN" w:bidi="ar"/>
        </w:rPr>
        <w:t>97.8%</w:t>
      </w:r>
      <w:r>
        <w:rPr>
          <w:rFonts w:hint="eastAsia" w:ascii="宋体" w:hAnsi="宋体" w:eastAsia="宋体" w:cs="宋体"/>
          <w:color w:val="000000"/>
          <w:kern w:val="0"/>
          <w:sz w:val="24"/>
          <w:szCs w:val="24"/>
          <w:lang w:val="en-US" w:eastAsia="zh-CN" w:bidi="ar"/>
        </w:rPr>
        <w:t>，排放浓度</w:t>
      </w:r>
      <w:r>
        <w:rPr>
          <w:rFonts w:hint="eastAsia" w:ascii="宋体" w:hAnsi="宋体" w:eastAsia="宋体" w:cs="宋体"/>
          <w:color w:val="000000"/>
          <w:kern w:val="0"/>
          <w:sz w:val="24"/>
          <w:szCs w:val="24"/>
          <w:highlight w:val="none"/>
          <w:lang w:val="en-US" w:eastAsia="zh-CN" w:bidi="ar"/>
        </w:rPr>
        <w:t>为</w:t>
      </w:r>
      <w:r>
        <w:rPr>
          <w:rFonts w:hint="default" w:ascii="Times New Roman" w:hAnsi="Times New Roman" w:eastAsia="宋体" w:cs="Times New Roman"/>
          <w:color w:val="000000"/>
          <w:kern w:val="0"/>
          <w:sz w:val="24"/>
          <w:szCs w:val="24"/>
          <w:highlight w:val="none"/>
          <w:lang w:val="en-US" w:eastAsia="zh-CN" w:bidi="ar"/>
        </w:rPr>
        <w:t>35mg/Nm</w:t>
      </w:r>
      <w:r>
        <w:rPr>
          <w:rFonts w:hint="eastAsia" w:ascii="Times New Roman" w:hAnsi="Times New Roman" w:eastAsia="宋体" w:cs="Times New Roman"/>
          <w:color w:val="000000"/>
          <w:kern w:val="0"/>
          <w:sz w:val="24"/>
          <w:szCs w:val="24"/>
          <w:highlight w:val="none"/>
          <w:vertAlign w:val="superscript"/>
          <w:lang w:val="en-US" w:eastAsia="zh-CN" w:bidi="ar"/>
        </w:rPr>
        <w:t>3</w:t>
      </w:r>
      <w:r>
        <w:rPr>
          <w:rFonts w:hint="eastAsia" w:ascii="宋体" w:hAnsi="宋体" w:eastAsia="宋体" w:cs="宋体"/>
          <w:color w:val="000000"/>
          <w:kern w:val="0"/>
          <w:sz w:val="24"/>
          <w:szCs w:val="24"/>
          <w:highlight w:val="none"/>
          <w:lang w:val="en-US" w:eastAsia="zh-CN" w:bidi="ar"/>
        </w:rPr>
        <w:t>，</w:t>
      </w:r>
      <w:r>
        <w:rPr>
          <w:rFonts w:hint="default" w:ascii="Times New Roman" w:hAnsi="Times New Roman" w:eastAsia="宋体" w:cs="Times New Roman"/>
          <w:color w:val="000000"/>
          <w:kern w:val="0"/>
          <w:sz w:val="24"/>
          <w:szCs w:val="24"/>
          <w:highlight w:val="none"/>
          <w:lang w:val="en-US" w:eastAsia="zh-CN" w:bidi="ar"/>
        </w:rPr>
        <w:t>SO</w:t>
      </w:r>
      <w:r>
        <w:rPr>
          <w:rFonts w:hint="default" w:ascii="Times New Roman" w:hAnsi="Times New Roman" w:eastAsia="宋体" w:cs="Times New Roman"/>
          <w:color w:val="000000"/>
          <w:kern w:val="0"/>
          <w:sz w:val="16"/>
          <w:szCs w:val="16"/>
          <w:highlight w:val="none"/>
          <w:lang w:val="en-US" w:eastAsia="zh-CN" w:bidi="ar"/>
        </w:rPr>
        <w:t>2</w:t>
      </w:r>
      <w:r>
        <w:rPr>
          <w:rFonts w:hint="default" w:ascii="Times New Roman" w:hAnsi="Times New Roman" w:eastAsia="宋体" w:cs="Times New Roman"/>
          <w:color w:val="000000"/>
          <w:kern w:val="0"/>
          <w:sz w:val="16"/>
          <w:szCs w:val="16"/>
          <w:lang w:val="en-US" w:eastAsia="zh-CN" w:bidi="ar"/>
        </w:rPr>
        <w:t xml:space="preserve"> </w:t>
      </w:r>
      <w:r>
        <w:rPr>
          <w:rFonts w:hint="eastAsia" w:ascii="宋体" w:hAnsi="宋体" w:eastAsia="宋体" w:cs="宋体"/>
          <w:color w:val="000000"/>
          <w:kern w:val="0"/>
          <w:sz w:val="24"/>
          <w:szCs w:val="24"/>
          <w:lang w:val="en-US" w:eastAsia="zh-CN" w:bidi="ar"/>
        </w:rPr>
        <w:t>排放量为</w:t>
      </w:r>
      <w:r>
        <w:rPr>
          <w:rFonts w:hint="eastAsia" w:ascii="Times New Roman" w:hAnsi="Times New Roman" w:eastAsia="宋体" w:cs="Times New Roman"/>
          <w:color w:val="000000"/>
          <w:kern w:val="0"/>
          <w:sz w:val="24"/>
          <w:szCs w:val="24"/>
          <w:lang w:val="en-US" w:eastAsia="zh-CN" w:bidi="ar"/>
        </w:rPr>
        <w:t>15.42</w:t>
      </w:r>
      <w:r>
        <w:rPr>
          <w:rFonts w:hint="default" w:ascii="Times New Roman" w:hAnsi="Times New Roman" w:eastAsia="宋体" w:cs="Times New Roman"/>
          <w:color w:val="000000"/>
          <w:kern w:val="0"/>
          <w:sz w:val="24"/>
          <w:szCs w:val="24"/>
          <w:lang w:val="en-US" w:eastAsia="zh-CN" w:bidi="ar"/>
        </w:rPr>
        <w:t>t/a</w:t>
      </w:r>
      <w:r>
        <w:rPr>
          <w:rFonts w:hint="eastAsia" w:ascii="宋体" w:hAnsi="宋体" w:eastAsia="宋体" w:cs="宋体"/>
          <w:color w:val="000000"/>
          <w:kern w:val="0"/>
          <w:sz w:val="24"/>
          <w:szCs w:val="24"/>
          <w:lang w:val="en-US" w:eastAsia="zh-CN" w:bidi="ar"/>
        </w:rPr>
        <w:t>，排放速率为</w:t>
      </w:r>
      <w:r>
        <w:rPr>
          <w:rFonts w:hint="eastAsia" w:ascii="Times New Roman" w:hAnsi="Times New Roman" w:eastAsia="宋体" w:cs="Times New Roman"/>
          <w:color w:val="000000"/>
          <w:kern w:val="0"/>
          <w:sz w:val="24"/>
          <w:szCs w:val="24"/>
          <w:lang w:val="en-US" w:eastAsia="zh-CN" w:bidi="ar"/>
        </w:rPr>
        <w:t>1.95</w:t>
      </w:r>
      <w:r>
        <w:rPr>
          <w:rFonts w:hint="default" w:ascii="Times New Roman" w:hAnsi="Times New Roman" w:eastAsia="宋体" w:cs="Times New Roman"/>
          <w:color w:val="000000"/>
          <w:kern w:val="0"/>
          <w:sz w:val="24"/>
          <w:szCs w:val="24"/>
          <w:lang w:val="en-US" w:eastAsia="zh-CN" w:bidi="ar"/>
        </w:rPr>
        <w:t>kg/h</w:t>
      </w:r>
      <w:r>
        <w:rPr>
          <w:rFonts w:hint="eastAsia" w:ascii="宋体" w:hAnsi="宋体" w:eastAsia="宋体" w:cs="宋体"/>
          <w:color w:val="000000"/>
          <w:kern w:val="0"/>
          <w:sz w:val="24"/>
          <w:szCs w:val="24"/>
          <w:lang w:val="en-US" w:eastAsia="zh-CN" w:bidi="ar"/>
        </w:rPr>
        <w:t>，可以满足《关于推进实施钢铁行业超低排放的意见》标准限值要求（</w:t>
      </w:r>
      <w:r>
        <w:rPr>
          <w:rFonts w:hint="default" w:ascii="Times New Roman" w:hAnsi="Times New Roman" w:eastAsia="宋体" w:cs="Times New Roman"/>
          <w:color w:val="000000"/>
          <w:kern w:val="0"/>
          <w:sz w:val="24"/>
          <w:szCs w:val="24"/>
          <w:lang w:val="en-US" w:eastAsia="zh-CN" w:bidi="ar"/>
        </w:rPr>
        <w:t>35mg/m</w:t>
      </w:r>
      <w:r>
        <w:rPr>
          <w:rFonts w:hint="default" w:ascii="Times New Roman" w:hAnsi="Times New Roman" w:eastAsia="宋体" w:cs="Times New Roman"/>
          <w:color w:val="000000"/>
          <w:kern w:val="0"/>
          <w:sz w:val="16"/>
          <w:szCs w:val="16"/>
          <w:lang w:val="en-US" w:eastAsia="zh-CN" w:bidi="ar"/>
        </w:rPr>
        <w:t>3</w:t>
      </w:r>
      <w:r>
        <w:rPr>
          <w:rFonts w:hint="eastAsia" w:ascii="宋体" w:hAnsi="宋体" w:eastAsia="宋体" w:cs="宋体"/>
          <w:color w:val="000000"/>
          <w:kern w:val="0"/>
          <w:sz w:val="24"/>
          <w:szCs w:val="24"/>
          <w:lang w:val="en-US" w:eastAsia="zh-CN" w:bidi="ar"/>
        </w:rPr>
        <w:t xml:space="preserve">）。 </w:t>
      </w:r>
    </w:p>
    <w:p w14:paraId="54200533">
      <w:pPr>
        <w:keepNext w:val="0"/>
        <w:keepLines w:val="0"/>
        <w:widowControl/>
        <w:suppressLineNumbers w:val="0"/>
        <w:ind w:firstLine="480" w:firstLineChars="200"/>
        <w:jc w:val="left"/>
      </w:pPr>
      <w:r>
        <w:rPr>
          <w:rFonts w:hint="default" w:ascii="Times New Roman" w:hAnsi="Times New Roman" w:eastAsia="宋体" w:cs="Times New Roman"/>
          <w:color w:val="000000"/>
          <w:kern w:val="0"/>
          <w:sz w:val="24"/>
          <w:szCs w:val="24"/>
          <w:lang w:val="en-US" w:eastAsia="zh-CN" w:bidi="ar"/>
        </w:rPr>
        <w:t>3</w:t>
      </w:r>
      <w:r>
        <w:rPr>
          <w:rFonts w:hint="eastAsia" w:ascii="宋体" w:hAnsi="宋体" w:eastAsia="宋体" w:cs="宋体"/>
          <w:color w:val="000000"/>
          <w:kern w:val="0"/>
          <w:sz w:val="24"/>
          <w:szCs w:val="24"/>
          <w:lang w:val="en-US" w:eastAsia="zh-CN" w:bidi="ar"/>
        </w:rPr>
        <w:t>）</w:t>
      </w:r>
      <w:r>
        <w:rPr>
          <w:rFonts w:hint="default" w:ascii="Times New Roman" w:hAnsi="Times New Roman" w:eastAsia="宋体" w:cs="Times New Roman"/>
          <w:color w:val="000000"/>
          <w:kern w:val="0"/>
          <w:sz w:val="24"/>
          <w:szCs w:val="24"/>
          <w:lang w:val="en-US" w:eastAsia="zh-CN" w:bidi="ar"/>
        </w:rPr>
        <w:t xml:space="preserve">NOx </w:t>
      </w:r>
    </w:p>
    <w:p w14:paraId="5DF9234B">
      <w:pPr>
        <w:keepNext w:val="0"/>
        <w:keepLines w:val="0"/>
        <w:widowControl/>
        <w:suppressLineNumbers w:val="0"/>
        <w:ind w:firstLine="480" w:firstLineChars="200"/>
        <w:jc w:val="left"/>
        <w:rPr>
          <w:highlight w:val="none"/>
        </w:rPr>
      </w:pPr>
      <w:r>
        <w:rPr>
          <w:rFonts w:hint="eastAsia" w:ascii="宋体" w:hAnsi="宋体" w:eastAsia="宋体" w:cs="宋体"/>
          <w:color w:val="000000"/>
          <w:kern w:val="0"/>
          <w:sz w:val="24"/>
          <w:szCs w:val="24"/>
          <w:highlight w:val="none"/>
          <w:lang w:val="en-US" w:eastAsia="zh-CN" w:bidi="ar"/>
        </w:rPr>
        <w:t>根据《污染源源强核算技术指南</w:t>
      </w:r>
      <w:r>
        <w:rPr>
          <w:rFonts w:hint="default" w:ascii="Times New Roman" w:hAnsi="Times New Roman" w:eastAsia="宋体" w:cs="Times New Roman"/>
          <w:color w:val="000000"/>
          <w:kern w:val="0"/>
          <w:sz w:val="24"/>
          <w:szCs w:val="24"/>
          <w:highlight w:val="none"/>
          <w:lang w:val="en-US" w:eastAsia="zh-CN" w:bidi="ar"/>
        </w:rPr>
        <w:t xml:space="preserve"> </w:t>
      </w:r>
      <w:r>
        <w:rPr>
          <w:rFonts w:hint="eastAsia" w:ascii="宋体" w:hAnsi="宋体" w:eastAsia="宋体" w:cs="宋体"/>
          <w:color w:val="000000"/>
          <w:kern w:val="0"/>
          <w:sz w:val="24"/>
          <w:szCs w:val="24"/>
          <w:highlight w:val="none"/>
          <w:lang w:val="en-US" w:eastAsia="zh-CN" w:bidi="ar"/>
        </w:rPr>
        <w:t>钢铁工业》（</w:t>
      </w:r>
      <w:r>
        <w:rPr>
          <w:rFonts w:hint="default" w:ascii="Times New Roman" w:hAnsi="Times New Roman" w:eastAsia="宋体" w:cs="Times New Roman"/>
          <w:color w:val="000000"/>
          <w:kern w:val="0"/>
          <w:sz w:val="24"/>
          <w:szCs w:val="24"/>
          <w:highlight w:val="none"/>
          <w:lang w:val="en-US" w:eastAsia="zh-CN" w:bidi="ar"/>
        </w:rPr>
        <w:t>HJ885-2018</w:t>
      </w:r>
      <w:r>
        <w:rPr>
          <w:rFonts w:hint="eastAsia" w:ascii="宋体" w:hAnsi="宋体" w:eastAsia="宋体" w:cs="宋体"/>
          <w:color w:val="000000"/>
          <w:kern w:val="0"/>
          <w:sz w:val="24"/>
          <w:szCs w:val="24"/>
          <w:highlight w:val="none"/>
          <w:lang w:val="en-US" w:eastAsia="zh-CN" w:bidi="ar"/>
        </w:rPr>
        <w:t>）附录</w:t>
      </w:r>
      <w:r>
        <w:rPr>
          <w:rFonts w:hint="default" w:ascii="Times New Roman" w:hAnsi="Times New Roman" w:eastAsia="宋体" w:cs="Times New Roman"/>
          <w:color w:val="000000"/>
          <w:kern w:val="0"/>
          <w:sz w:val="24"/>
          <w:szCs w:val="24"/>
          <w:highlight w:val="none"/>
          <w:lang w:val="en-US" w:eastAsia="zh-CN" w:bidi="ar"/>
        </w:rPr>
        <w:t xml:space="preserve">D </w:t>
      </w:r>
      <w:r>
        <w:rPr>
          <w:rFonts w:hint="eastAsia" w:ascii="宋体" w:hAnsi="宋体" w:eastAsia="宋体" w:cs="宋体"/>
          <w:color w:val="000000"/>
          <w:kern w:val="0"/>
          <w:sz w:val="24"/>
          <w:szCs w:val="24"/>
          <w:highlight w:val="none"/>
          <w:lang w:val="en-US" w:eastAsia="zh-CN" w:bidi="ar"/>
        </w:rPr>
        <w:t>表</w:t>
      </w:r>
      <w:r>
        <w:rPr>
          <w:rFonts w:hint="default" w:ascii="Times New Roman" w:hAnsi="Times New Roman" w:eastAsia="宋体" w:cs="Times New Roman"/>
          <w:color w:val="000000"/>
          <w:kern w:val="0"/>
          <w:sz w:val="24"/>
          <w:szCs w:val="24"/>
          <w:highlight w:val="none"/>
          <w:lang w:val="en-US" w:eastAsia="zh-CN" w:bidi="ar"/>
        </w:rPr>
        <w:t>D.2</w:t>
      </w:r>
      <w:r>
        <w:rPr>
          <w:rFonts w:hint="eastAsia" w:ascii="宋体" w:hAnsi="宋体" w:eastAsia="宋体" w:cs="宋体"/>
          <w:color w:val="000000"/>
          <w:kern w:val="0"/>
          <w:sz w:val="24"/>
          <w:szCs w:val="24"/>
          <w:highlight w:val="none"/>
          <w:lang w:val="en-US" w:eastAsia="zh-CN" w:bidi="ar"/>
        </w:rPr>
        <w:t>，球团烧结烟气中</w:t>
      </w:r>
      <w:r>
        <w:rPr>
          <w:rFonts w:hint="default" w:ascii="Times New Roman" w:hAnsi="Times New Roman" w:eastAsia="宋体" w:cs="Times New Roman"/>
          <w:color w:val="000000"/>
          <w:kern w:val="0"/>
          <w:sz w:val="24"/>
          <w:szCs w:val="24"/>
          <w:highlight w:val="none"/>
          <w:lang w:val="en-US" w:eastAsia="zh-CN" w:bidi="ar"/>
        </w:rPr>
        <w:t>NOx</w:t>
      </w:r>
      <w:r>
        <w:rPr>
          <w:rFonts w:hint="eastAsia" w:ascii="宋体" w:hAnsi="宋体" w:eastAsia="宋体" w:cs="宋体"/>
          <w:color w:val="000000"/>
          <w:kern w:val="0"/>
          <w:sz w:val="24"/>
          <w:szCs w:val="24"/>
          <w:highlight w:val="none"/>
          <w:lang w:val="en-US" w:eastAsia="zh-CN" w:bidi="ar"/>
        </w:rPr>
        <w:t>浓度</w:t>
      </w:r>
      <w:r>
        <w:rPr>
          <w:rFonts w:hint="default" w:ascii="Times New Roman" w:hAnsi="Times New Roman" w:eastAsia="宋体" w:cs="Times New Roman"/>
          <w:color w:val="000000"/>
          <w:kern w:val="0"/>
          <w:sz w:val="24"/>
          <w:szCs w:val="24"/>
          <w:highlight w:val="none"/>
          <w:lang w:val="en-US" w:eastAsia="zh-CN" w:bidi="ar"/>
        </w:rPr>
        <w:t>50~150 mg/Nm</w:t>
      </w:r>
      <w:r>
        <w:rPr>
          <w:rFonts w:hint="eastAsia" w:ascii="Times New Roman" w:hAnsi="Times New Roman" w:eastAsia="宋体" w:cs="Times New Roman"/>
          <w:color w:val="000000"/>
          <w:kern w:val="0"/>
          <w:sz w:val="24"/>
          <w:szCs w:val="24"/>
          <w:highlight w:val="none"/>
          <w:vertAlign w:val="superscript"/>
          <w:lang w:val="en-US" w:eastAsia="zh-CN" w:bidi="ar"/>
        </w:rPr>
        <w:t>3</w:t>
      </w:r>
      <w:r>
        <w:rPr>
          <w:rFonts w:hint="eastAsia" w:ascii="宋体" w:hAnsi="宋体" w:eastAsia="宋体" w:cs="宋体"/>
          <w:color w:val="000000"/>
          <w:kern w:val="0"/>
          <w:sz w:val="24"/>
          <w:szCs w:val="24"/>
          <w:highlight w:val="none"/>
          <w:lang w:val="en-US" w:eastAsia="zh-CN" w:bidi="ar"/>
        </w:rPr>
        <w:t>，对于球团焙烧竖炉取低值，则本项目焙烧烟气中</w:t>
      </w:r>
      <w:r>
        <w:rPr>
          <w:rFonts w:hint="default" w:ascii="Times New Roman" w:hAnsi="Times New Roman" w:eastAsia="宋体" w:cs="Times New Roman"/>
          <w:color w:val="000000"/>
          <w:kern w:val="0"/>
          <w:sz w:val="24"/>
          <w:szCs w:val="24"/>
          <w:highlight w:val="none"/>
          <w:lang w:val="en-US" w:eastAsia="zh-CN" w:bidi="ar"/>
        </w:rPr>
        <w:t>NOx</w:t>
      </w:r>
      <w:r>
        <w:rPr>
          <w:rFonts w:hint="eastAsia" w:ascii="宋体" w:hAnsi="宋体" w:eastAsia="宋体" w:cs="宋体"/>
          <w:color w:val="000000"/>
          <w:kern w:val="0"/>
          <w:sz w:val="24"/>
          <w:szCs w:val="24"/>
          <w:highlight w:val="none"/>
          <w:lang w:val="en-US" w:eastAsia="zh-CN" w:bidi="ar"/>
        </w:rPr>
        <w:t>产生浓度按</w:t>
      </w:r>
      <w:r>
        <w:rPr>
          <w:rFonts w:hint="default" w:ascii="Times New Roman" w:hAnsi="Times New Roman" w:eastAsia="宋体" w:cs="Times New Roman"/>
          <w:color w:val="000000"/>
          <w:kern w:val="0"/>
          <w:sz w:val="24"/>
          <w:szCs w:val="24"/>
          <w:highlight w:val="none"/>
          <w:lang w:val="en-US" w:eastAsia="zh-CN" w:bidi="ar"/>
        </w:rPr>
        <w:t>50 mg/Nm</w:t>
      </w:r>
      <w:r>
        <w:rPr>
          <w:rFonts w:hint="eastAsia" w:ascii="Times New Roman" w:hAnsi="Times New Roman" w:eastAsia="宋体" w:cs="Times New Roman"/>
          <w:color w:val="000000"/>
          <w:kern w:val="0"/>
          <w:sz w:val="24"/>
          <w:szCs w:val="24"/>
          <w:highlight w:val="none"/>
          <w:vertAlign w:val="superscript"/>
          <w:lang w:val="en-US" w:eastAsia="zh-CN" w:bidi="ar"/>
        </w:rPr>
        <w:t>3</w:t>
      </w:r>
      <w:r>
        <w:rPr>
          <w:rFonts w:hint="eastAsia" w:ascii="宋体" w:hAnsi="宋体" w:eastAsia="宋体" w:cs="宋体"/>
          <w:color w:val="000000"/>
          <w:kern w:val="0"/>
          <w:sz w:val="24"/>
          <w:szCs w:val="24"/>
          <w:highlight w:val="none"/>
          <w:lang w:val="en-US" w:eastAsia="zh-CN" w:bidi="ar"/>
        </w:rPr>
        <w:t>考虑，因此本工段</w:t>
      </w:r>
      <w:r>
        <w:rPr>
          <w:rFonts w:hint="default" w:ascii="Times New Roman" w:hAnsi="Times New Roman" w:eastAsia="宋体" w:cs="Times New Roman"/>
          <w:color w:val="000000"/>
          <w:kern w:val="0"/>
          <w:sz w:val="24"/>
          <w:szCs w:val="24"/>
          <w:highlight w:val="none"/>
          <w:lang w:val="en-US" w:eastAsia="zh-CN" w:bidi="ar"/>
        </w:rPr>
        <w:t>NOx</w:t>
      </w:r>
      <w:r>
        <w:rPr>
          <w:rFonts w:hint="eastAsia" w:eastAsia="宋体" w:cs="宋体"/>
          <w:color w:val="000000"/>
          <w:kern w:val="0"/>
          <w:sz w:val="24"/>
          <w:szCs w:val="24"/>
          <w:highlight w:val="none"/>
          <w:lang w:val="en-US" w:eastAsia="zh-CN" w:bidi="ar"/>
        </w:rPr>
        <w:t>产生</w:t>
      </w:r>
      <w:r>
        <w:rPr>
          <w:rFonts w:hint="eastAsia" w:ascii="宋体" w:hAnsi="宋体" w:eastAsia="宋体" w:cs="宋体"/>
          <w:color w:val="000000"/>
          <w:kern w:val="0"/>
          <w:sz w:val="24"/>
          <w:szCs w:val="24"/>
          <w:highlight w:val="none"/>
          <w:lang w:val="en-US" w:eastAsia="zh-CN" w:bidi="ar"/>
        </w:rPr>
        <w:t>量为</w:t>
      </w:r>
      <w:r>
        <w:rPr>
          <w:rFonts w:hint="default" w:ascii="Times New Roman" w:hAnsi="Times New Roman" w:eastAsia="宋体" w:cs="Times New Roman"/>
          <w:color w:val="000000"/>
          <w:kern w:val="0"/>
          <w:sz w:val="24"/>
          <w:szCs w:val="24"/>
          <w:highlight w:val="none"/>
          <w:lang w:val="en-US" w:eastAsia="zh-CN" w:bidi="ar"/>
        </w:rPr>
        <w:t>71.28t/a</w:t>
      </w:r>
      <w:r>
        <w:rPr>
          <w:rFonts w:hint="eastAsia" w:ascii="宋体" w:hAnsi="宋体" w:eastAsia="宋体" w:cs="宋体"/>
          <w:color w:val="000000"/>
          <w:kern w:val="0"/>
          <w:sz w:val="24"/>
          <w:szCs w:val="24"/>
          <w:highlight w:val="none"/>
          <w:lang w:val="en-US" w:eastAsia="zh-CN" w:bidi="ar"/>
        </w:rPr>
        <w:t xml:space="preserve">。 </w:t>
      </w:r>
    </w:p>
    <w:p w14:paraId="2BE02127">
      <w:pPr>
        <w:keepNext w:val="0"/>
        <w:keepLines w:val="0"/>
        <w:widowControl/>
        <w:suppressLineNumbers w:val="0"/>
        <w:jc w:val="left"/>
        <w:rPr>
          <w:highlight w:val="none"/>
        </w:rPr>
      </w:pPr>
      <w:r>
        <w:rPr>
          <w:rFonts w:hint="eastAsia" w:ascii="宋体" w:hAnsi="宋体" w:eastAsia="宋体" w:cs="宋体"/>
          <w:color w:val="000000"/>
          <w:kern w:val="0"/>
          <w:sz w:val="24"/>
          <w:szCs w:val="24"/>
          <w:highlight w:val="none"/>
          <w:lang w:val="en-US" w:eastAsia="zh-CN" w:bidi="ar"/>
        </w:rPr>
        <w:t>根据</w:t>
      </w:r>
      <w:r>
        <w:rPr>
          <w:rFonts w:hint="eastAsia" w:eastAsia="宋体" w:cs="宋体"/>
          <w:color w:val="000000"/>
          <w:kern w:val="0"/>
          <w:sz w:val="24"/>
          <w:szCs w:val="24"/>
          <w:highlight w:val="none"/>
          <w:lang w:val="en-US" w:eastAsia="zh-CN" w:bidi="ar"/>
        </w:rPr>
        <w:t>原有竖炉</w:t>
      </w:r>
      <w:r>
        <w:rPr>
          <w:rFonts w:hint="default" w:ascii="Times New Roman" w:hAnsi="Times New Roman" w:eastAsia="宋体" w:cs="Times New Roman"/>
          <w:color w:val="000000"/>
          <w:kern w:val="0"/>
          <w:sz w:val="24"/>
          <w:szCs w:val="24"/>
          <w:highlight w:val="none"/>
          <w:lang w:val="en-US" w:eastAsia="zh-CN" w:bidi="ar"/>
        </w:rPr>
        <w:t>2025</w:t>
      </w:r>
      <w:r>
        <w:rPr>
          <w:rFonts w:hint="eastAsia" w:eastAsia="宋体" w:cs="宋体"/>
          <w:color w:val="000000"/>
          <w:kern w:val="0"/>
          <w:sz w:val="24"/>
          <w:szCs w:val="24"/>
          <w:highlight w:val="none"/>
          <w:lang w:val="en-US" w:eastAsia="zh-CN" w:bidi="ar"/>
        </w:rPr>
        <w:t>年全年在线数据</w:t>
      </w:r>
      <w:r>
        <w:rPr>
          <w:rFonts w:hint="eastAsia" w:ascii="宋体" w:hAnsi="宋体" w:eastAsia="宋体" w:cs="宋体"/>
          <w:color w:val="000000"/>
          <w:kern w:val="0"/>
          <w:sz w:val="24"/>
          <w:szCs w:val="24"/>
          <w:highlight w:val="none"/>
          <w:lang w:val="en-US" w:eastAsia="zh-CN" w:bidi="ar"/>
        </w:rPr>
        <w:t>，焙烧烟气监测中氮氧化物浓度</w:t>
      </w:r>
      <w:r>
        <w:rPr>
          <w:rFonts w:hint="default" w:ascii="Times New Roman" w:hAnsi="Times New Roman" w:eastAsia="宋体" w:cs="Times New Roman"/>
          <w:color w:val="000000"/>
          <w:kern w:val="0"/>
          <w:sz w:val="24"/>
          <w:szCs w:val="24"/>
          <w:highlight w:val="none"/>
          <w:lang w:val="en-US" w:eastAsia="zh-CN" w:bidi="ar"/>
        </w:rPr>
        <w:t>4mg/m</w:t>
      </w:r>
      <w:r>
        <w:rPr>
          <w:rFonts w:hint="eastAsia" w:ascii="Times New Roman" w:hAnsi="Times New Roman" w:eastAsia="宋体" w:cs="Times New Roman"/>
          <w:color w:val="000000"/>
          <w:kern w:val="0"/>
          <w:sz w:val="24"/>
          <w:szCs w:val="24"/>
          <w:highlight w:val="none"/>
          <w:vertAlign w:val="superscript"/>
          <w:lang w:val="en-US" w:eastAsia="zh-CN" w:bidi="ar"/>
        </w:rPr>
        <w:t>3</w:t>
      </w:r>
      <w:r>
        <w:rPr>
          <w:rFonts w:hint="eastAsia" w:ascii="宋体" w:hAnsi="宋体" w:eastAsia="宋体" w:cs="宋体"/>
          <w:color w:val="000000"/>
          <w:kern w:val="0"/>
          <w:sz w:val="24"/>
          <w:szCs w:val="24"/>
          <w:highlight w:val="none"/>
          <w:lang w:val="en-US" w:eastAsia="zh-CN" w:bidi="ar"/>
        </w:rPr>
        <w:t>，本工程焙烧烟气氮氧化物取值</w:t>
      </w:r>
      <w:r>
        <w:rPr>
          <w:rFonts w:hint="default" w:ascii="Times New Roman" w:hAnsi="Times New Roman" w:eastAsia="宋体" w:cs="Times New Roman"/>
          <w:color w:val="000000"/>
          <w:kern w:val="0"/>
          <w:sz w:val="24"/>
          <w:szCs w:val="24"/>
          <w:highlight w:val="none"/>
          <w:lang w:val="en-US" w:eastAsia="zh-CN" w:bidi="ar"/>
        </w:rPr>
        <w:t>50 mg/Nm</w:t>
      </w:r>
      <w:r>
        <w:rPr>
          <w:rFonts w:hint="eastAsia" w:ascii="Times New Roman" w:hAnsi="Times New Roman" w:eastAsia="宋体" w:cs="Times New Roman"/>
          <w:color w:val="000000"/>
          <w:kern w:val="0"/>
          <w:sz w:val="24"/>
          <w:szCs w:val="24"/>
          <w:highlight w:val="none"/>
          <w:vertAlign w:val="superscript"/>
          <w:lang w:val="en-US" w:eastAsia="zh-CN" w:bidi="ar"/>
        </w:rPr>
        <w:t>3</w:t>
      </w:r>
      <w:r>
        <w:rPr>
          <w:rFonts w:hint="eastAsia" w:ascii="宋体" w:hAnsi="宋体" w:eastAsia="宋体" w:cs="宋体"/>
          <w:color w:val="000000"/>
          <w:kern w:val="0"/>
          <w:sz w:val="24"/>
          <w:szCs w:val="24"/>
          <w:highlight w:val="none"/>
          <w:lang w:val="en-US" w:eastAsia="zh-CN" w:bidi="ar"/>
        </w:rPr>
        <w:t xml:space="preserve">是合理的。 </w:t>
      </w:r>
    </w:p>
    <w:p w14:paraId="40EC3889">
      <w:pPr>
        <w:keepNext w:val="0"/>
        <w:keepLines w:val="0"/>
        <w:widowControl/>
        <w:suppressLineNumbers w:val="0"/>
        <w:ind w:firstLine="480" w:firstLineChars="200"/>
        <w:jc w:val="left"/>
      </w:pPr>
      <w:r>
        <w:rPr>
          <w:rFonts w:hint="eastAsia" w:ascii="宋体" w:hAnsi="宋体" w:eastAsia="宋体" w:cs="宋体"/>
          <w:color w:val="000000"/>
          <w:kern w:val="0"/>
          <w:sz w:val="24"/>
          <w:szCs w:val="24"/>
          <w:lang w:val="en-US" w:eastAsia="zh-CN" w:bidi="ar"/>
        </w:rPr>
        <w:t>本项目对焙烧系统的烟气进行脱硝，脱硝工艺选择</w:t>
      </w:r>
      <w:r>
        <w:rPr>
          <w:rFonts w:hint="default" w:ascii="Times New Roman" w:hAnsi="Times New Roman" w:eastAsia="宋体" w:cs="Times New Roman"/>
          <w:color w:val="000000"/>
          <w:kern w:val="0"/>
          <w:sz w:val="24"/>
          <w:szCs w:val="24"/>
          <w:lang w:val="en-US" w:eastAsia="zh-CN" w:bidi="ar"/>
        </w:rPr>
        <w:t>SCR</w:t>
      </w:r>
      <w:r>
        <w:rPr>
          <w:rFonts w:hint="eastAsia" w:ascii="宋体" w:hAnsi="宋体" w:eastAsia="宋体" w:cs="宋体"/>
          <w:color w:val="000000"/>
          <w:kern w:val="0"/>
          <w:sz w:val="24"/>
          <w:szCs w:val="24"/>
          <w:lang w:val="en-US" w:eastAsia="zh-CN" w:bidi="ar"/>
        </w:rPr>
        <w:t>脱硝，根据《污染源源强核算技术指南</w:t>
      </w:r>
      <w:r>
        <w:rPr>
          <w:rFonts w:hint="default" w:ascii="Times New Roman" w:hAnsi="Times New Roman" w:eastAsia="宋体" w:cs="Times New Roman"/>
          <w:color w:val="000000"/>
          <w:kern w:val="0"/>
          <w:sz w:val="24"/>
          <w:szCs w:val="24"/>
          <w:lang w:val="en-US" w:eastAsia="zh-CN" w:bidi="ar"/>
        </w:rPr>
        <w:t xml:space="preserve"> </w:t>
      </w:r>
      <w:r>
        <w:rPr>
          <w:rFonts w:hint="eastAsia" w:ascii="宋体" w:hAnsi="宋体" w:eastAsia="宋体" w:cs="宋体"/>
          <w:color w:val="000000"/>
          <w:kern w:val="0"/>
          <w:sz w:val="24"/>
          <w:szCs w:val="24"/>
          <w:lang w:val="en-US" w:eastAsia="zh-CN" w:bidi="ar"/>
        </w:rPr>
        <w:t>钢铁》（</w:t>
      </w:r>
      <w:r>
        <w:rPr>
          <w:rFonts w:hint="default" w:ascii="Times New Roman" w:hAnsi="Times New Roman" w:eastAsia="宋体" w:cs="Times New Roman"/>
          <w:color w:val="000000"/>
          <w:kern w:val="0"/>
          <w:sz w:val="24"/>
          <w:szCs w:val="24"/>
          <w:lang w:val="en-US" w:eastAsia="zh-CN" w:bidi="ar"/>
        </w:rPr>
        <w:t>HJ885-2018</w:t>
      </w:r>
      <w:r>
        <w:rPr>
          <w:rFonts w:hint="eastAsia" w:ascii="宋体" w:hAnsi="宋体" w:eastAsia="宋体" w:cs="宋体"/>
          <w:color w:val="000000"/>
          <w:kern w:val="0"/>
          <w:sz w:val="24"/>
          <w:szCs w:val="24"/>
          <w:lang w:val="en-US" w:eastAsia="zh-CN" w:bidi="ar"/>
        </w:rPr>
        <w:t xml:space="preserve">）源强核算指南附录 </w:t>
      </w:r>
      <w:r>
        <w:rPr>
          <w:rFonts w:hint="default" w:ascii="Times New Roman" w:hAnsi="Times New Roman" w:eastAsia="宋体" w:cs="Times New Roman"/>
          <w:color w:val="000000"/>
          <w:kern w:val="0"/>
          <w:sz w:val="24"/>
          <w:szCs w:val="24"/>
          <w:lang w:val="en-US" w:eastAsia="zh-CN" w:bidi="ar"/>
        </w:rPr>
        <w:t xml:space="preserve">B </w:t>
      </w:r>
      <w:r>
        <w:rPr>
          <w:rFonts w:hint="eastAsia" w:ascii="宋体" w:hAnsi="宋体" w:eastAsia="宋体" w:cs="宋体"/>
          <w:color w:val="000000"/>
          <w:kern w:val="0"/>
          <w:sz w:val="24"/>
          <w:szCs w:val="24"/>
          <w:lang w:val="en-US" w:eastAsia="zh-CN" w:bidi="ar"/>
        </w:rPr>
        <w:t xml:space="preserve">表 </w:t>
      </w:r>
      <w:r>
        <w:rPr>
          <w:rFonts w:hint="default" w:ascii="Times New Roman" w:hAnsi="Times New Roman" w:eastAsia="宋体" w:cs="Times New Roman"/>
          <w:color w:val="000000"/>
          <w:kern w:val="0"/>
          <w:sz w:val="24"/>
          <w:szCs w:val="24"/>
          <w:lang w:val="en-US" w:eastAsia="zh-CN" w:bidi="ar"/>
        </w:rPr>
        <w:t>B.2</w:t>
      </w:r>
      <w:r>
        <w:rPr>
          <w:rFonts w:hint="eastAsia" w:ascii="宋体" w:hAnsi="宋体" w:eastAsia="宋体" w:cs="宋体"/>
          <w:color w:val="000000"/>
          <w:kern w:val="0"/>
          <w:sz w:val="24"/>
          <w:szCs w:val="24"/>
          <w:lang w:val="en-US" w:eastAsia="zh-CN" w:bidi="ar"/>
        </w:rPr>
        <w:t>，脱硝效率为</w:t>
      </w:r>
      <w:r>
        <w:rPr>
          <w:rFonts w:hint="default" w:ascii="Times New Roman" w:hAnsi="Times New Roman" w:eastAsia="宋体" w:cs="Times New Roman"/>
          <w:color w:val="000000"/>
          <w:kern w:val="0"/>
          <w:sz w:val="24"/>
          <w:szCs w:val="24"/>
          <w:lang w:val="en-US" w:eastAsia="zh-CN" w:bidi="ar"/>
        </w:rPr>
        <w:t>70-85%</w:t>
      </w:r>
      <w:r>
        <w:rPr>
          <w:rFonts w:hint="eastAsia" w:ascii="宋体" w:hAnsi="宋体" w:eastAsia="宋体" w:cs="宋体"/>
          <w:color w:val="000000"/>
          <w:kern w:val="0"/>
          <w:sz w:val="24"/>
          <w:szCs w:val="24"/>
          <w:lang w:val="en-US" w:eastAsia="zh-CN" w:bidi="ar"/>
        </w:rPr>
        <w:t>，本项目脱硝效率按</w:t>
      </w:r>
      <w:r>
        <w:rPr>
          <w:rFonts w:hint="default" w:ascii="Times New Roman" w:hAnsi="Times New Roman" w:eastAsia="宋体" w:cs="Times New Roman"/>
          <w:color w:val="000000"/>
          <w:kern w:val="0"/>
          <w:sz w:val="24"/>
          <w:szCs w:val="24"/>
          <w:lang w:val="en-US" w:eastAsia="zh-CN" w:bidi="ar"/>
        </w:rPr>
        <w:t>70%</w:t>
      </w:r>
      <w:r>
        <w:rPr>
          <w:rFonts w:hint="eastAsia" w:ascii="宋体" w:hAnsi="宋体" w:eastAsia="宋体" w:cs="宋体"/>
          <w:color w:val="000000"/>
          <w:kern w:val="0"/>
          <w:sz w:val="24"/>
          <w:szCs w:val="24"/>
          <w:lang w:val="en-US" w:eastAsia="zh-CN" w:bidi="ar"/>
        </w:rPr>
        <w:t>进行考虑，</w:t>
      </w:r>
      <w:r>
        <w:rPr>
          <w:rFonts w:hint="default" w:ascii="Times New Roman" w:hAnsi="Times New Roman" w:eastAsia="宋体" w:cs="Times New Roman"/>
          <w:color w:val="000000"/>
          <w:kern w:val="0"/>
          <w:sz w:val="24"/>
          <w:szCs w:val="24"/>
          <w:lang w:val="en-US" w:eastAsia="zh-CN" w:bidi="ar"/>
        </w:rPr>
        <w:t>NOx</w:t>
      </w:r>
      <w:r>
        <w:rPr>
          <w:rFonts w:hint="eastAsia" w:eastAsia="宋体" w:cs="宋体"/>
          <w:color w:val="000000"/>
          <w:kern w:val="0"/>
          <w:sz w:val="24"/>
          <w:szCs w:val="24"/>
          <w:lang w:val="en-US" w:eastAsia="zh-CN" w:bidi="ar"/>
        </w:rPr>
        <w:t>排放</w:t>
      </w:r>
      <w:r>
        <w:rPr>
          <w:rFonts w:hint="eastAsia" w:ascii="宋体" w:hAnsi="宋体" w:eastAsia="宋体" w:cs="宋体"/>
          <w:color w:val="000000"/>
          <w:kern w:val="0"/>
          <w:sz w:val="24"/>
          <w:szCs w:val="24"/>
          <w:lang w:val="en-US" w:eastAsia="zh-CN" w:bidi="ar"/>
        </w:rPr>
        <w:t>浓度按</w:t>
      </w:r>
      <w:r>
        <w:rPr>
          <w:rFonts w:hint="eastAsia" w:ascii="Times New Roman" w:hAnsi="Times New Roman" w:eastAsia="宋体" w:cs="Times New Roman"/>
          <w:color w:val="000000"/>
          <w:kern w:val="0"/>
          <w:sz w:val="24"/>
          <w:szCs w:val="24"/>
          <w:lang w:val="en-US" w:eastAsia="zh-CN" w:bidi="ar"/>
        </w:rPr>
        <w:t>15</w:t>
      </w:r>
      <w:r>
        <w:rPr>
          <w:rFonts w:hint="default" w:ascii="Times New Roman" w:hAnsi="Times New Roman" w:eastAsia="宋体" w:cs="Times New Roman"/>
          <w:color w:val="000000"/>
          <w:kern w:val="0"/>
          <w:sz w:val="24"/>
          <w:szCs w:val="24"/>
          <w:lang w:val="en-US" w:eastAsia="zh-CN" w:bidi="ar"/>
        </w:rPr>
        <w:t>mg/Nm</w:t>
      </w:r>
      <w:r>
        <w:rPr>
          <w:rFonts w:hint="eastAsia" w:ascii="Times New Roman" w:hAnsi="Times New Roman" w:eastAsia="宋体" w:cs="Times New Roman"/>
          <w:color w:val="000000"/>
          <w:kern w:val="0"/>
          <w:sz w:val="24"/>
          <w:szCs w:val="24"/>
          <w:vertAlign w:val="superscript"/>
          <w:lang w:val="en-US" w:eastAsia="zh-CN" w:bidi="ar"/>
        </w:rPr>
        <w:t>3</w:t>
      </w:r>
      <w:r>
        <w:rPr>
          <w:rFonts w:hint="eastAsia" w:ascii="宋体" w:hAnsi="宋体" w:eastAsia="宋体" w:cs="宋体"/>
          <w:color w:val="000000"/>
          <w:kern w:val="0"/>
          <w:sz w:val="24"/>
          <w:szCs w:val="24"/>
          <w:lang w:val="en-US" w:eastAsia="zh-CN" w:bidi="ar"/>
        </w:rPr>
        <w:t>，</w:t>
      </w:r>
      <w:r>
        <w:rPr>
          <w:rFonts w:hint="default" w:ascii="Times New Roman" w:hAnsi="Times New Roman" w:eastAsia="宋体" w:cs="Times New Roman"/>
          <w:color w:val="000000"/>
          <w:kern w:val="0"/>
          <w:sz w:val="24"/>
          <w:szCs w:val="24"/>
          <w:lang w:val="en-US" w:eastAsia="zh-CN" w:bidi="ar"/>
        </w:rPr>
        <w:t xml:space="preserve">NOx </w:t>
      </w:r>
      <w:r>
        <w:rPr>
          <w:rFonts w:hint="eastAsia" w:eastAsia="宋体" w:cs="宋体"/>
          <w:color w:val="000000"/>
          <w:kern w:val="0"/>
          <w:sz w:val="24"/>
          <w:szCs w:val="24"/>
          <w:lang w:val="en-US" w:eastAsia="zh-CN" w:bidi="ar"/>
        </w:rPr>
        <w:t>排放</w:t>
      </w:r>
      <w:r>
        <w:rPr>
          <w:rFonts w:hint="eastAsia" w:ascii="宋体" w:hAnsi="宋体" w:eastAsia="宋体" w:cs="宋体"/>
          <w:color w:val="000000"/>
          <w:kern w:val="0"/>
          <w:sz w:val="24"/>
          <w:szCs w:val="24"/>
          <w:lang w:val="en-US" w:eastAsia="zh-CN" w:bidi="ar"/>
        </w:rPr>
        <w:t>量为</w:t>
      </w:r>
      <w:r>
        <w:rPr>
          <w:rFonts w:hint="eastAsia" w:ascii="Times New Roman" w:hAnsi="Times New Roman" w:eastAsia="宋体" w:cs="Times New Roman"/>
          <w:color w:val="000000"/>
          <w:kern w:val="0"/>
          <w:sz w:val="24"/>
          <w:szCs w:val="24"/>
          <w:highlight w:val="none"/>
          <w:lang w:val="en-US" w:eastAsia="zh-CN" w:bidi="ar"/>
        </w:rPr>
        <w:t>21.38</w:t>
      </w:r>
      <w:r>
        <w:rPr>
          <w:rFonts w:hint="default" w:ascii="Times New Roman" w:hAnsi="Times New Roman" w:eastAsia="宋体" w:cs="Times New Roman"/>
          <w:color w:val="000000"/>
          <w:kern w:val="0"/>
          <w:sz w:val="24"/>
          <w:szCs w:val="24"/>
          <w:highlight w:val="none"/>
          <w:lang w:val="en-US" w:eastAsia="zh-CN" w:bidi="ar"/>
        </w:rPr>
        <w:t xml:space="preserve"> t/a</w:t>
      </w:r>
      <w:r>
        <w:rPr>
          <w:rFonts w:hint="eastAsia" w:ascii="宋体" w:hAnsi="宋体" w:eastAsia="宋体" w:cs="宋体"/>
          <w:color w:val="000000"/>
          <w:kern w:val="0"/>
          <w:sz w:val="24"/>
          <w:szCs w:val="24"/>
          <w:highlight w:val="none"/>
          <w:lang w:val="en-US" w:eastAsia="zh-CN" w:bidi="ar"/>
        </w:rPr>
        <w:t>，</w:t>
      </w:r>
      <w:r>
        <w:rPr>
          <w:rFonts w:hint="eastAsia" w:eastAsia="宋体" w:cs="宋体"/>
          <w:color w:val="000000"/>
          <w:kern w:val="0"/>
          <w:sz w:val="24"/>
          <w:szCs w:val="24"/>
          <w:highlight w:val="none"/>
          <w:lang w:val="en-US" w:eastAsia="zh-CN" w:bidi="ar"/>
        </w:rPr>
        <w:t>产生</w:t>
      </w:r>
      <w:r>
        <w:rPr>
          <w:rFonts w:hint="eastAsia" w:ascii="宋体" w:hAnsi="宋体" w:eastAsia="宋体" w:cs="宋体"/>
          <w:color w:val="000000"/>
          <w:kern w:val="0"/>
          <w:sz w:val="24"/>
          <w:szCs w:val="24"/>
          <w:highlight w:val="none"/>
          <w:lang w:val="en-US" w:eastAsia="zh-CN" w:bidi="ar"/>
        </w:rPr>
        <w:t>速率为</w:t>
      </w:r>
      <w:r>
        <w:rPr>
          <w:rFonts w:hint="default" w:ascii="Times New Roman" w:hAnsi="Times New Roman" w:eastAsia="宋体" w:cs="Times New Roman"/>
          <w:color w:val="000000"/>
          <w:kern w:val="0"/>
          <w:sz w:val="24"/>
          <w:szCs w:val="24"/>
          <w:highlight w:val="none"/>
          <w:lang w:val="en-US" w:eastAsia="zh-CN" w:bidi="ar"/>
        </w:rPr>
        <w:t>30.06kg/h</w:t>
      </w:r>
      <w:r>
        <w:rPr>
          <w:rFonts w:hint="eastAsia" w:ascii="宋体" w:hAnsi="宋体" w:eastAsia="宋体" w:cs="宋体"/>
          <w:color w:val="000000"/>
          <w:kern w:val="0"/>
          <w:sz w:val="24"/>
          <w:szCs w:val="24"/>
          <w:highlight w:val="none"/>
          <w:lang w:val="en-US" w:eastAsia="zh-CN" w:bidi="ar"/>
        </w:rPr>
        <w:t>，</w:t>
      </w:r>
      <w:r>
        <w:rPr>
          <w:rFonts w:hint="eastAsia" w:ascii="宋体" w:hAnsi="宋体" w:eastAsia="宋体" w:cs="宋体"/>
          <w:color w:val="000000"/>
          <w:kern w:val="0"/>
          <w:sz w:val="24"/>
          <w:szCs w:val="24"/>
          <w:lang w:val="en-US" w:eastAsia="zh-CN" w:bidi="ar"/>
        </w:rPr>
        <w:t>可以满足《关于推进实施钢铁行业超低排放的意见》标准限值要求（</w:t>
      </w:r>
      <w:r>
        <w:rPr>
          <w:rFonts w:hint="default" w:ascii="Times New Roman" w:hAnsi="Times New Roman" w:eastAsia="宋体" w:cs="Times New Roman"/>
          <w:color w:val="000000"/>
          <w:kern w:val="0"/>
          <w:sz w:val="24"/>
          <w:szCs w:val="24"/>
          <w:lang w:val="en-US" w:eastAsia="zh-CN" w:bidi="ar"/>
        </w:rPr>
        <w:t>50mg/m</w:t>
      </w:r>
      <w:r>
        <w:rPr>
          <w:rFonts w:hint="eastAsia" w:ascii="Times New Roman" w:hAnsi="Times New Roman" w:eastAsia="宋体" w:cs="Times New Roman"/>
          <w:color w:val="000000"/>
          <w:kern w:val="0"/>
          <w:sz w:val="24"/>
          <w:szCs w:val="24"/>
          <w:vertAlign w:val="superscript"/>
          <w:lang w:val="en-US" w:eastAsia="zh-CN" w:bidi="ar"/>
        </w:rPr>
        <w:t>3</w:t>
      </w:r>
      <w:r>
        <w:rPr>
          <w:rFonts w:hint="eastAsia" w:ascii="宋体" w:hAnsi="宋体" w:eastAsia="宋体" w:cs="宋体"/>
          <w:color w:val="000000"/>
          <w:kern w:val="0"/>
          <w:sz w:val="24"/>
          <w:szCs w:val="24"/>
          <w:lang w:val="en-US" w:eastAsia="zh-CN" w:bidi="ar"/>
        </w:rPr>
        <w:t xml:space="preserve">）。 </w:t>
      </w:r>
    </w:p>
    <w:p w14:paraId="593F52F6">
      <w:pPr>
        <w:keepNext w:val="0"/>
        <w:keepLines w:val="0"/>
        <w:widowControl/>
        <w:suppressLineNumbers w:val="0"/>
        <w:ind w:firstLine="480" w:firstLineChars="200"/>
        <w:jc w:val="left"/>
      </w:pPr>
      <w:r>
        <w:rPr>
          <w:rFonts w:hint="default" w:ascii="Times New Roman" w:hAnsi="Times New Roman" w:eastAsia="宋体" w:cs="Times New Roman"/>
          <w:color w:val="000000"/>
          <w:kern w:val="0"/>
          <w:sz w:val="24"/>
          <w:szCs w:val="24"/>
          <w:lang w:val="en-US" w:eastAsia="zh-CN" w:bidi="ar"/>
        </w:rPr>
        <w:t>4</w:t>
      </w:r>
      <w:r>
        <w:rPr>
          <w:rFonts w:hint="eastAsia" w:ascii="宋体" w:hAnsi="宋体" w:eastAsia="宋体" w:cs="宋体"/>
          <w:color w:val="000000"/>
          <w:kern w:val="0"/>
          <w:sz w:val="24"/>
          <w:szCs w:val="24"/>
          <w:lang w:val="en-US" w:eastAsia="zh-CN" w:bidi="ar"/>
        </w:rPr>
        <w:t xml:space="preserve">）氟化物 </w:t>
      </w:r>
    </w:p>
    <w:p w14:paraId="6193A6C1">
      <w:pPr>
        <w:keepNext w:val="0"/>
        <w:keepLines w:val="0"/>
        <w:widowControl/>
        <w:suppressLineNumbers w:val="0"/>
        <w:ind w:firstLine="480" w:firstLineChars="200"/>
        <w:jc w:val="left"/>
      </w:pPr>
      <w:r>
        <w:rPr>
          <w:rFonts w:hint="eastAsia" w:ascii="宋体" w:hAnsi="宋体" w:eastAsia="宋体" w:cs="宋体"/>
          <w:color w:val="000000"/>
          <w:kern w:val="0"/>
          <w:sz w:val="24"/>
          <w:szCs w:val="24"/>
          <w:lang w:val="en-US" w:eastAsia="zh-CN" w:bidi="ar"/>
        </w:rPr>
        <w:t>根据氟元素平衡，废气中氟化物产生量</w:t>
      </w:r>
      <w:r>
        <w:rPr>
          <w:rFonts w:hint="eastAsia" w:ascii="Times New Roman" w:hAnsi="Times New Roman" w:eastAsia="宋体" w:cs="Times New Roman"/>
          <w:color w:val="000000"/>
          <w:kern w:val="0"/>
          <w:sz w:val="24"/>
          <w:szCs w:val="24"/>
          <w:lang w:val="en-US" w:eastAsia="zh-CN" w:bidi="ar"/>
        </w:rPr>
        <w:t>0.12</w:t>
      </w:r>
      <w:r>
        <w:rPr>
          <w:rFonts w:hint="default" w:ascii="Times New Roman" w:hAnsi="Times New Roman" w:eastAsia="宋体" w:cs="Times New Roman"/>
          <w:color w:val="000000"/>
          <w:kern w:val="0"/>
          <w:sz w:val="24"/>
          <w:szCs w:val="24"/>
          <w:lang w:val="en-US" w:eastAsia="zh-CN" w:bidi="ar"/>
        </w:rPr>
        <w:t>kg/h</w:t>
      </w:r>
      <w:r>
        <w:rPr>
          <w:rFonts w:hint="eastAsia" w:ascii="宋体" w:hAnsi="宋体" w:eastAsia="宋体" w:cs="宋体"/>
          <w:color w:val="000000"/>
          <w:kern w:val="0"/>
          <w:sz w:val="24"/>
          <w:szCs w:val="24"/>
          <w:lang w:val="en-US" w:eastAsia="zh-CN" w:bidi="ar"/>
        </w:rPr>
        <w:t>（</w:t>
      </w:r>
      <w:r>
        <w:rPr>
          <w:rFonts w:hint="eastAsia" w:ascii="Times New Roman" w:hAnsi="Times New Roman" w:eastAsia="宋体" w:cs="Times New Roman"/>
          <w:color w:val="000000"/>
          <w:kern w:val="0"/>
          <w:sz w:val="24"/>
          <w:szCs w:val="24"/>
          <w:lang w:val="en-US" w:eastAsia="zh-CN" w:bidi="ar"/>
        </w:rPr>
        <w:t>0.95</w:t>
      </w:r>
      <w:r>
        <w:rPr>
          <w:rFonts w:hint="default" w:ascii="Times New Roman" w:hAnsi="Times New Roman" w:eastAsia="宋体" w:cs="Times New Roman"/>
          <w:color w:val="000000"/>
          <w:kern w:val="0"/>
          <w:sz w:val="24"/>
          <w:szCs w:val="24"/>
          <w:lang w:val="en-US" w:eastAsia="zh-CN" w:bidi="ar"/>
        </w:rPr>
        <w:t>t/a</w:t>
      </w:r>
      <w:r>
        <w:rPr>
          <w:rFonts w:hint="eastAsia" w:ascii="宋体" w:hAnsi="宋体" w:eastAsia="宋体" w:cs="宋体"/>
          <w:color w:val="000000"/>
          <w:kern w:val="0"/>
          <w:sz w:val="24"/>
          <w:szCs w:val="24"/>
          <w:lang w:val="en-US" w:eastAsia="zh-CN" w:bidi="ar"/>
        </w:rPr>
        <w:t xml:space="preserve">），产生浓度 </w:t>
      </w:r>
      <w:r>
        <w:rPr>
          <w:rFonts w:hint="eastAsia" w:ascii="Times New Roman" w:hAnsi="Times New Roman" w:eastAsia="宋体" w:cs="Times New Roman"/>
          <w:color w:val="000000"/>
          <w:kern w:val="0"/>
          <w:sz w:val="24"/>
          <w:szCs w:val="24"/>
          <w:highlight w:val="none"/>
          <w:lang w:val="en-US" w:eastAsia="zh-CN" w:bidi="ar"/>
        </w:rPr>
        <w:t>0</w:t>
      </w:r>
      <w:r>
        <w:rPr>
          <w:rFonts w:hint="default" w:ascii="Times New Roman" w:hAnsi="Times New Roman" w:eastAsia="宋体" w:cs="Times New Roman"/>
          <w:color w:val="000000"/>
          <w:kern w:val="0"/>
          <w:sz w:val="24"/>
          <w:szCs w:val="24"/>
          <w:highlight w:val="none"/>
          <w:lang w:val="en-US" w:eastAsia="zh-CN" w:bidi="ar"/>
        </w:rPr>
        <w:t>.6</w:t>
      </w:r>
      <w:r>
        <w:rPr>
          <w:rFonts w:hint="eastAsia" w:ascii="Times New Roman" w:hAnsi="Times New Roman" w:eastAsia="宋体" w:cs="Times New Roman"/>
          <w:color w:val="000000"/>
          <w:kern w:val="0"/>
          <w:sz w:val="24"/>
          <w:szCs w:val="24"/>
          <w:highlight w:val="none"/>
          <w:lang w:val="en-US" w:eastAsia="zh-CN" w:bidi="ar"/>
        </w:rPr>
        <w:t>7</w:t>
      </w:r>
      <w:r>
        <w:rPr>
          <w:rFonts w:hint="default" w:ascii="Times New Roman" w:hAnsi="Times New Roman" w:eastAsia="宋体" w:cs="Times New Roman"/>
          <w:color w:val="000000"/>
          <w:kern w:val="0"/>
          <w:sz w:val="24"/>
          <w:szCs w:val="24"/>
          <w:highlight w:val="none"/>
          <w:lang w:val="en-US" w:eastAsia="zh-CN" w:bidi="ar"/>
        </w:rPr>
        <w:t>mg/m</w:t>
      </w:r>
      <w:r>
        <w:rPr>
          <w:rFonts w:hint="eastAsia" w:ascii="Times New Roman" w:hAnsi="Times New Roman" w:eastAsia="宋体" w:cs="Times New Roman"/>
          <w:color w:val="000000"/>
          <w:kern w:val="0"/>
          <w:sz w:val="24"/>
          <w:szCs w:val="24"/>
          <w:highlight w:val="none"/>
          <w:vertAlign w:val="superscript"/>
          <w:lang w:val="en-US" w:eastAsia="zh-CN" w:bidi="ar"/>
        </w:rPr>
        <w:t>3</w:t>
      </w:r>
      <w:r>
        <w:rPr>
          <w:rFonts w:hint="eastAsia" w:ascii="宋体" w:hAnsi="宋体" w:eastAsia="宋体" w:cs="宋体"/>
          <w:color w:val="000000"/>
          <w:kern w:val="0"/>
          <w:sz w:val="24"/>
          <w:szCs w:val="24"/>
          <w:highlight w:val="none"/>
          <w:lang w:val="en-US" w:eastAsia="zh-CN" w:bidi="ar"/>
        </w:rPr>
        <w:t xml:space="preserve">。 </w:t>
      </w:r>
    </w:p>
    <w:p w14:paraId="04EB780C">
      <w:pPr>
        <w:keepNext w:val="0"/>
        <w:keepLines w:val="0"/>
        <w:widowControl/>
        <w:suppressLineNumbers w:val="0"/>
        <w:ind w:firstLine="480" w:firstLineChars="200"/>
        <w:jc w:val="left"/>
      </w:pPr>
      <w:r>
        <w:rPr>
          <w:rFonts w:hint="eastAsia" w:ascii="宋体" w:hAnsi="宋体" w:eastAsia="宋体" w:cs="宋体"/>
          <w:color w:val="000000"/>
          <w:kern w:val="0"/>
          <w:sz w:val="24"/>
          <w:szCs w:val="24"/>
          <w:lang w:val="en-US" w:eastAsia="zh-CN" w:bidi="ar"/>
        </w:rPr>
        <w:t>根据《钢铁行业烧结、球团工艺污染防治可行技术指南（试行）》，采用石灰石</w:t>
      </w:r>
      <w:r>
        <w:rPr>
          <w:rFonts w:hint="default" w:ascii="Times New Roman" w:hAnsi="Times New Roman" w:eastAsia="宋体" w:cs="Times New Roman"/>
          <w:color w:val="000000"/>
          <w:kern w:val="0"/>
          <w:sz w:val="24"/>
          <w:szCs w:val="24"/>
          <w:lang w:val="en-US" w:eastAsia="zh-CN" w:bidi="ar"/>
        </w:rPr>
        <w:t>--</w:t>
      </w:r>
      <w:r>
        <w:rPr>
          <w:rFonts w:hint="eastAsia" w:ascii="宋体" w:hAnsi="宋体" w:eastAsia="宋体" w:cs="宋体"/>
          <w:color w:val="000000"/>
          <w:kern w:val="0"/>
          <w:sz w:val="24"/>
          <w:szCs w:val="24"/>
          <w:lang w:val="en-US" w:eastAsia="zh-CN" w:bidi="ar"/>
        </w:rPr>
        <w:t>石膏法脱硫技术氟化物脱除率大于</w:t>
      </w:r>
      <w:r>
        <w:rPr>
          <w:rFonts w:hint="default" w:ascii="Times New Roman" w:hAnsi="Times New Roman" w:eastAsia="宋体" w:cs="Times New Roman"/>
          <w:color w:val="000000"/>
          <w:kern w:val="0"/>
          <w:sz w:val="24"/>
          <w:szCs w:val="24"/>
          <w:lang w:val="en-US" w:eastAsia="zh-CN" w:bidi="ar"/>
        </w:rPr>
        <w:t>95%</w:t>
      </w:r>
      <w:r>
        <w:rPr>
          <w:rFonts w:hint="eastAsia" w:ascii="宋体" w:hAnsi="宋体" w:eastAsia="宋体" w:cs="宋体"/>
          <w:color w:val="000000"/>
          <w:kern w:val="0"/>
          <w:sz w:val="24"/>
          <w:szCs w:val="24"/>
          <w:lang w:val="en-US" w:eastAsia="zh-CN" w:bidi="ar"/>
        </w:rPr>
        <w:t>，则氟排放量为</w:t>
      </w:r>
      <w:r>
        <w:rPr>
          <w:rFonts w:hint="eastAsia" w:ascii="Times New Roman" w:hAnsi="Times New Roman" w:eastAsia="宋体" w:cs="Times New Roman"/>
          <w:color w:val="000000"/>
          <w:kern w:val="0"/>
          <w:sz w:val="24"/>
          <w:szCs w:val="24"/>
          <w:lang w:val="en-US" w:eastAsia="zh-CN" w:bidi="ar"/>
        </w:rPr>
        <w:t>0.05</w:t>
      </w:r>
      <w:r>
        <w:rPr>
          <w:rFonts w:hint="default" w:ascii="Times New Roman" w:hAnsi="Times New Roman" w:eastAsia="宋体" w:cs="Times New Roman"/>
          <w:color w:val="000000"/>
          <w:kern w:val="0"/>
          <w:sz w:val="24"/>
          <w:szCs w:val="24"/>
          <w:lang w:val="en-US" w:eastAsia="zh-CN" w:bidi="ar"/>
        </w:rPr>
        <w:t>t/a</w:t>
      </w:r>
      <w:r>
        <w:rPr>
          <w:rFonts w:hint="eastAsia" w:ascii="宋体" w:hAnsi="宋体" w:eastAsia="宋体" w:cs="宋体"/>
          <w:color w:val="000000"/>
          <w:kern w:val="0"/>
          <w:sz w:val="24"/>
          <w:szCs w:val="24"/>
          <w:lang w:val="en-US" w:eastAsia="zh-CN" w:bidi="ar"/>
        </w:rPr>
        <w:t xml:space="preserve">，排放速率 </w:t>
      </w:r>
      <w:r>
        <w:rPr>
          <w:rFonts w:hint="default" w:ascii="Times New Roman" w:hAnsi="Times New Roman" w:eastAsia="宋体" w:cs="Times New Roman"/>
          <w:color w:val="000000"/>
          <w:kern w:val="0"/>
          <w:sz w:val="24"/>
          <w:szCs w:val="24"/>
          <w:lang w:val="en-US" w:eastAsia="zh-CN" w:bidi="ar"/>
        </w:rPr>
        <w:t>0.0</w:t>
      </w:r>
      <w:r>
        <w:rPr>
          <w:rFonts w:hint="eastAsia" w:ascii="Times New Roman" w:hAnsi="Times New Roman" w:eastAsia="宋体" w:cs="Times New Roman"/>
          <w:color w:val="000000"/>
          <w:kern w:val="0"/>
          <w:sz w:val="24"/>
          <w:szCs w:val="24"/>
          <w:lang w:val="en-US" w:eastAsia="zh-CN" w:bidi="ar"/>
        </w:rPr>
        <w:t>06</w:t>
      </w:r>
      <w:r>
        <w:rPr>
          <w:rFonts w:hint="default" w:ascii="Times New Roman" w:hAnsi="Times New Roman" w:eastAsia="宋体" w:cs="Times New Roman"/>
          <w:color w:val="000000"/>
          <w:kern w:val="0"/>
          <w:sz w:val="24"/>
          <w:szCs w:val="24"/>
          <w:lang w:val="en-US" w:eastAsia="zh-CN" w:bidi="ar"/>
        </w:rPr>
        <w:t>kg/h</w:t>
      </w:r>
      <w:r>
        <w:rPr>
          <w:rFonts w:hint="eastAsia" w:ascii="宋体" w:hAnsi="宋体" w:eastAsia="宋体" w:cs="宋体"/>
          <w:color w:val="000000"/>
          <w:kern w:val="0"/>
          <w:sz w:val="24"/>
          <w:szCs w:val="24"/>
          <w:lang w:val="en-US" w:eastAsia="zh-CN" w:bidi="ar"/>
        </w:rPr>
        <w:t>，</w:t>
      </w:r>
      <w:r>
        <w:rPr>
          <w:rFonts w:hint="eastAsia" w:eastAsia="宋体" w:cs="宋体"/>
          <w:color w:val="000000"/>
          <w:kern w:val="0"/>
          <w:sz w:val="24"/>
          <w:szCs w:val="24"/>
          <w:highlight w:val="none"/>
          <w:lang w:val="en-US" w:eastAsia="zh-CN" w:bidi="ar"/>
        </w:rPr>
        <w:t xml:space="preserve"> </w:t>
      </w:r>
      <w:r>
        <w:rPr>
          <w:rFonts w:hint="eastAsia" w:ascii="宋体" w:hAnsi="宋体" w:eastAsia="宋体" w:cs="宋体"/>
          <w:color w:val="000000"/>
          <w:kern w:val="0"/>
          <w:sz w:val="24"/>
          <w:szCs w:val="24"/>
          <w:highlight w:val="none"/>
          <w:lang w:val="en-US" w:eastAsia="zh-CN" w:bidi="ar"/>
        </w:rPr>
        <w:t>废气量为</w:t>
      </w:r>
      <w:r>
        <w:rPr>
          <w:rFonts w:hint="eastAsia" w:ascii="Times New Roman" w:hAnsi="Times New Roman" w:eastAsia="宋体" w:cs="Times New Roman"/>
          <w:color w:val="000000"/>
          <w:kern w:val="0"/>
          <w:sz w:val="24"/>
          <w:szCs w:val="24"/>
          <w:highlight w:val="none"/>
          <w:lang w:val="en-US" w:eastAsia="zh-CN" w:bidi="ar"/>
        </w:rPr>
        <w:t>180</w:t>
      </w:r>
      <w:r>
        <w:rPr>
          <w:rFonts w:hint="default" w:ascii="Times New Roman" w:hAnsi="Times New Roman" w:eastAsia="宋体" w:cs="Times New Roman"/>
          <w:color w:val="000000"/>
          <w:kern w:val="0"/>
          <w:sz w:val="24"/>
          <w:szCs w:val="24"/>
          <w:highlight w:val="none"/>
          <w:lang w:val="en-US" w:eastAsia="zh-CN" w:bidi="ar"/>
        </w:rPr>
        <w:t xml:space="preserve">000Nm </w:t>
      </w:r>
      <w:r>
        <w:rPr>
          <w:rFonts w:hint="default" w:ascii="Times New Roman" w:hAnsi="Times New Roman" w:eastAsia="宋体" w:cs="Times New Roman"/>
          <w:color w:val="000000"/>
          <w:kern w:val="0"/>
          <w:sz w:val="14"/>
          <w:szCs w:val="14"/>
          <w:highlight w:val="none"/>
          <w:lang w:val="en-US" w:eastAsia="zh-CN" w:bidi="ar"/>
        </w:rPr>
        <w:t xml:space="preserve">3 </w:t>
      </w:r>
      <w:r>
        <w:rPr>
          <w:rFonts w:hint="default" w:ascii="Times New Roman" w:hAnsi="Times New Roman" w:eastAsia="宋体" w:cs="Times New Roman"/>
          <w:color w:val="000000"/>
          <w:kern w:val="0"/>
          <w:sz w:val="24"/>
          <w:szCs w:val="24"/>
          <w:highlight w:val="none"/>
          <w:lang w:val="en-US" w:eastAsia="zh-CN" w:bidi="ar"/>
        </w:rPr>
        <w:t xml:space="preserve">/h </w:t>
      </w:r>
      <w:r>
        <w:rPr>
          <w:rFonts w:hint="eastAsia" w:ascii="宋体" w:hAnsi="宋体" w:eastAsia="宋体" w:cs="宋体"/>
          <w:color w:val="000000"/>
          <w:kern w:val="0"/>
          <w:sz w:val="24"/>
          <w:szCs w:val="24"/>
          <w:highlight w:val="none"/>
          <w:lang w:val="en-US" w:eastAsia="zh-CN" w:bidi="ar"/>
        </w:rPr>
        <w:t>(年工作时间</w:t>
      </w:r>
      <w:r>
        <w:rPr>
          <w:rFonts w:hint="default" w:ascii="Times New Roman" w:hAnsi="Times New Roman" w:eastAsia="宋体" w:cs="Times New Roman"/>
          <w:color w:val="000000"/>
          <w:kern w:val="0"/>
          <w:sz w:val="24"/>
          <w:szCs w:val="24"/>
          <w:highlight w:val="none"/>
          <w:lang w:val="en-US" w:eastAsia="zh-CN" w:bidi="ar"/>
        </w:rPr>
        <w:t>7920h</w:t>
      </w:r>
      <w:r>
        <w:rPr>
          <w:rFonts w:hint="eastAsia" w:ascii="宋体" w:hAnsi="宋体" w:eastAsia="宋体" w:cs="宋体"/>
          <w:color w:val="000000"/>
          <w:kern w:val="0"/>
          <w:sz w:val="24"/>
          <w:szCs w:val="24"/>
          <w:highlight w:val="none"/>
          <w:lang w:val="en-US" w:eastAsia="zh-CN" w:bidi="ar"/>
        </w:rPr>
        <w:t>)，排放浓度</w:t>
      </w:r>
      <w:r>
        <w:rPr>
          <w:rFonts w:hint="default" w:ascii="Times New Roman" w:hAnsi="Times New Roman" w:eastAsia="宋体" w:cs="Times New Roman"/>
          <w:color w:val="000000"/>
          <w:kern w:val="0"/>
          <w:sz w:val="24"/>
          <w:szCs w:val="24"/>
          <w:highlight w:val="none"/>
          <w:lang w:val="en-US" w:eastAsia="zh-CN" w:bidi="ar"/>
        </w:rPr>
        <w:t>0.0</w:t>
      </w:r>
      <w:r>
        <w:rPr>
          <w:rFonts w:hint="eastAsia" w:ascii="Times New Roman" w:hAnsi="Times New Roman" w:eastAsia="宋体" w:cs="Times New Roman"/>
          <w:color w:val="000000"/>
          <w:kern w:val="0"/>
          <w:sz w:val="24"/>
          <w:szCs w:val="24"/>
          <w:highlight w:val="none"/>
          <w:lang w:val="en-US" w:eastAsia="zh-CN" w:bidi="ar"/>
        </w:rPr>
        <w:t>35</w:t>
      </w:r>
      <w:r>
        <w:rPr>
          <w:rFonts w:hint="default" w:ascii="Times New Roman" w:hAnsi="Times New Roman" w:eastAsia="宋体" w:cs="Times New Roman"/>
          <w:color w:val="000000"/>
          <w:kern w:val="0"/>
          <w:sz w:val="24"/>
          <w:szCs w:val="24"/>
          <w:highlight w:val="none"/>
          <w:lang w:val="en-US" w:eastAsia="zh-CN" w:bidi="ar"/>
        </w:rPr>
        <w:t>mg/Nm</w:t>
      </w:r>
      <w:r>
        <w:rPr>
          <w:rFonts w:hint="eastAsia" w:ascii="Times New Roman" w:hAnsi="Times New Roman" w:eastAsia="宋体" w:cs="Times New Roman"/>
          <w:color w:val="000000"/>
          <w:kern w:val="0"/>
          <w:sz w:val="24"/>
          <w:szCs w:val="24"/>
          <w:highlight w:val="none"/>
          <w:vertAlign w:val="superscript"/>
          <w:lang w:val="en-US" w:eastAsia="zh-CN" w:bidi="ar"/>
        </w:rPr>
        <w:t>3</w:t>
      </w:r>
      <w:r>
        <w:rPr>
          <w:rFonts w:hint="eastAsia" w:ascii="宋体" w:hAnsi="宋体" w:eastAsia="宋体" w:cs="宋体"/>
          <w:color w:val="000000"/>
          <w:kern w:val="0"/>
          <w:sz w:val="24"/>
          <w:szCs w:val="24"/>
          <w:highlight w:val="none"/>
          <w:lang w:val="en-US" w:eastAsia="zh-CN" w:bidi="ar"/>
        </w:rPr>
        <w:t>。</w:t>
      </w:r>
      <w:r>
        <w:rPr>
          <w:rFonts w:hint="eastAsia" w:ascii="宋体" w:hAnsi="宋体" w:eastAsia="宋体" w:cs="宋体"/>
          <w:color w:val="000000"/>
          <w:kern w:val="0"/>
          <w:sz w:val="24"/>
          <w:szCs w:val="24"/>
          <w:lang w:val="en-US" w:eastAsia="zh-CN" w:bidi="ar"/>
        </w:rPr>
        <w:t>可以满足《钢铁工业大气污染物排放标准》（DB21/ 4119-2025）中表</w:t>
      </w:r>
      <w:r>
        <w:rPr>
          <w:rFonts w:hint="eastAsia" w:eastAsia="宋体" w:cs="宋体"/>
          <w:color w:val="000000"/>
          <w:kern w:val="0"/>
          <w:sz w:val="24"/>
          <w:szCs w:val="24"/>
          <w:lang w:val="en-US" w:eastAsia="zh-CN" w:bidi="ar"/>
        </w:rPr>
        <w:t>1</w:t>
      </w:r>
      <w:r>
        <w:rPr>
          <w:rFonts w:hint="eastAsia" w:ascii="宋体" w:hAnsi="宋体" w:eastAsia="宋体" w:cs="宋体"/>
          <w:color w:val="000000"/>
          <w:kern w:val="0"/>
          <w:sz w:val="24"/>
          <w:szCs w:val="24"/>
          <w:lang w:val="en-US" w:eastAsia="zh-CN" w:bidi="ar"/>
        </w:rPr>
        <w:t>标准限值要求（</w:t>
      </w:r>
      <w:r>
        <w:rPr>
          <w:rFonts w:hint="default" w:ascii="Times New Roman" w:hAnsi="Times New Roman" w:eastAsia="宋体" w:cs="Times New Roman"/>
          <w:color w:val="000000"/>
          <w:kern w:val="0"/>
          <w:sz w:val="24"/>
          <w:szCs w:val="24"/>
          <w:lang w:val="en-US" w:eastAsia="zh-CN" w:bidi="ar"/>
        </w:rPr>
        <w:t>4.0mg/m</w:t>
      </w:r>
      <w:r>
        <w:rPr>
          <w:rFonts w:hint="eastAsia" w:ascii="Times New Roman" w:hAnsi="Times New Roman" w:eastAsia="宋体" w:cs="Times New Roman"/>
          <w:color w:val="000000"/>
          <w:kern w:val="0"/>
          <w:sz w:val="24"/>
          <w:szCs w:val="24"/>
          <w:vertAlign w:val="superscript"/>
          <w:lang w:val="en-US" w:eastAsia="zh-CN" w:bidi="ar"/>
        </w:rPr>
        <w:t>3</w:t>
      </w:r>
      <w:r>
        <w:rPr>
          <w:rFonts w:hint="eastAsia" w:ascii="宋体" w:hAnsi="宋体" w:eastAsia="宋体" w:cs="宋体"/>
          <w:color w:val="000000"/>
          <w:kern w:val="0"/>
          <w:sz w:val="24"/>
          <w:szCs w:val="24"/>
          <w:lang w:val="en-US" w:eastAsia="zh-CN" w:bidi="ar"/>
        </w:rPr>
        <w:t xml:space="preserve">）。 </w:t>
      </w:r>
    </w:p>
    <w:p w14:paraId="20B7534C">
      <w:pPr>
        <w:keepNext w:val="0"/>
        <w:keepLines w:val="0"/>
        <w:widowControl/>
        <w:suppressLineNumbers w:val="0"/>
        <w:ind w:firstLine="480" w:firstLineChars="200"/>
        <w:jc w:val="left"/>
        <w:rPr>
          <w:highlight w:val="none"/>
        </w:rPr>
      </w:pPr>
      <w:r>
        <w:rPr>
          <w:rFonts w:hint="default" w:ascii="Times New Roman" w:hAnsi="Times New Roman" w:eastAsia="宋体" w:cs="Times New Roman"/>
          <w:color w:val="000000"/>
          <w:kern w:val="0"/>
          <w:sz w:val="24"/>
          <w:szCs w:val="24"/>
          <w:highlight w:val="none"/>
          <w:lang w:val="en-US" w:eastAsia="zh-CN" w:bidi="ar"/>
        </w:rPr>
        <w:t>5</w:t>
      </w:r>
      <w:r>
        <w:rPr>
          <w:rFonts w:hint="eastAsia" w:ascii="宋体" w:hAnsi="宋体" w:eastAsia="宋体" w:cs="宋体"/>
          <w:color w:val="000000"/>
          <w:kern w:val="0"/>
          <w:sz w:val="24"/>
          <w:szCs w:val="24"/>
          <w:highlight w:val="none"/>
          <w:lang w:val="en-US" w:eastAsia="zh-CN" w:bidi="ar"/>
        </w:rPr>
        <w:t xml:space="preserve">）二噁英 </w:t>
      </w:r>
    </w:p>
    <w:p w14:paraId="4D64A890">
      <w:pPr>
        <w:keepNext w:val="0"/>
        <w:keepLines w:val="0"/>
        <w:widowControl/>
        <w:suppressLineNumbers w:val="0"/>
        <w:ind w:firstLine="480" w:firstLineChars="200"/>
        <w:jc w:val="left"/>
        <w:rPr>
          <w:rFonts w:hint="eastAsia" w:ascii="宋体" w:hAnsi="宋体" w:eastAsia="宋体" w:cs="宋体"/>
          <w:color w:val="000000"/>
          <w:kern w:val="0"/>
          <w:sz w:val="24"/>
          <w:szCs w:val="24"/>
          <w:highlight w:val="none"/>
          <w:lang w:val="en-US" w:eastAsia="zh-CN" w:bidi="ar"/>
        </w:rPr>
      </w:pPr>
      <w:r>
        <w:rPr>
          <w:rFonts w:hint="eastAsia" w:ascii="宋体" w:hAnsi="宋体" w:eastAsia="宋体" w:cs="宋体"/>
          <w:color w:val="000000"/>
          <w:kern w:val="0"/>
          <w:sz w:val="24"/>
          <w:szCs w:val="24"/>
          <w:highlight w:val="none"/>
          <w:lang w:val="en-US" w:eastAsia="zh-CN" w:bidi="ar"/>
        </w:rPr>
        <w:t>本项目二噁英产生浓度类比同类《灯塔市精诚金属有限公司球团竖炉生产线改造项目》，该项目采用</w:t>
      </w:r>
      <w:r>
        <w:rPr>
          <w:rFonts w:hint="eastAsia" w:eastAsia="宋体" w:cs="宋体"/>
          <w:color w:val="000000"/>
          <w:kern w:val="0"/>
          <w:sz w:val="24"/>
          <w:szCs w:val="24"/>
          <w:highlight w:val="none"/>
          <w:lang w:val="en-US" w:eastAsia="zh-CN" w:bidi="ar"/>
        </w:rPr>
        <w:t>1台12m</w:t>
      </w:r>
      <w:r>
        <w:rPr>
          <w:rFonts w:hint="eastAsia" w:eastAsia="宋体" w:cs="宋体"/>
          <w:color w:val="000000"/>
          <w:kern w:val="0"/>
          <w:sz w:val="24"/>
          <w:szCs w:val="24"/>
          <w:highlight w:val="none"/>
          <w:vertAlign w:val="superscript"/>
          <w:lang w:val="en-US" w:eastAsia="zh-CN" w:bidi="ar"/>
        </w:rPr>
        <w:t>2</w:t>
      </w:r>
      <w:r>
        <w:rPr>
          <w:rFonts w:hint="eastAsia" w:eastAsia="宋体" w:cs="宋体"/>
          <w:color w:val="000000"/>
          <w:kern w:val="0"/>
          <w:sz w:val="24"/>
          <w:szCs w:val="24"/>
          <w:highlight w:val="none"/>
          <w:vertAlign w:val="baseline"/>
          <w:lang w:val="en-US" w:eastAsia="zh-CN" w:bidi="ar"/>
        </w:rPr>
        <w:t>球团竖炉</w:t>
      </w:r>
      <w:r>
        <w:rPr>
          <w:rFonts w:hint="eastAsia" w:ascii="宋体" w:hAnsi="宋体" w:eastAsia="宋体" w:cs="宋体"/>
          <w:color w:val="000000"/>
          <w:kern w:val="0"/>
          <w:sz w:val="24"/>
          <w:szCs w:val="24"/>
          <w:highlight w:val="none"/>
          <w:lang w:val="en-US" w:eastAsia="zh-CN" w:bidi="ar"/>
        </w:rPr>
        <w:t>，生产规模及主要生产设备与本项目相同，具有可类比性。</w:t>
      </w:r>
      <w:r>
        <w:rPr>
          <w:rFonts w:hint="eastAsia"/>
          <w:highlight w:val="none"/>
        </w:rPr>
        <w:t>二噁英产生量为</w:t>
      </w:r>
      <w:r>
        <w:rPr>
          <w:rFonts w:hint="eastAsia"/>
          <w:highlight w:val="none"/>
          <w:lang w:val="en-US" w:eastAsia="zh-CN"/>
        </w:rPr>
        <w:t>8.3</w:t>
      </w:r>
      <w:r>
        <w:rPr>
          <w:rFonts w:hint="eastAsia"/>
          <w:highlight w:val="none"/>
        </w:rPr>
        <w:t>×10</w:t>
      </w:r>
      <w:r>
        <w:rPr>
          <w:rFonts w:hint="eastAsia"/>
          <w:highlight w:val="none"/>
          <w:vertAlign w:val="superscript"/>
          <w:lang w:val="en-US" w:eastAsia="zh-CN"/>
        </w:rPr>
        <w:t>-5</w:t>
      </w:r>
      <w:r>
        <w:rPr>
          <w:rFonts w:hint="eastAsia"/>
          <w:highlight w:val="none"/>
        </w:rPr>
        <w:t>g/h，0.</w:t>
      </w:r>
      <w:r>
        <w:rPr>
          <w:rFonts w:hint="eastAsia"/>
          <w:highlight w:val="none"/>
          <w:lang w:val="en-US" w:eastAsia="zh-CN"/>
        </w:rPr>
        <w:t>66</w:t>
      </w:r>
      <w:r>
        <w:rPr>
          <w:rFonts w:hint="eastAsia"/>
          <w:highlight w:val="none"/>
        </w:rPr>
        <w:t>g/a。计算得二噁英产生浓度为0.46ng-TEQ/m</w:t>
      </w:r>
      <w:r>
        <w:rPr>
          <w:rFonts w:hint="eastAsia"/>
          <w:highlight w:val="none"/>
          <w:vertAlign w:val="superscript"/>
          <w:lang w:val="en-US" w:eastAsia="zh-CN"/>
        </w:rPr>
        <w:t>3</w:t>
      </w:r>
      <w:r>
        <w:rPr>
          <w:rFonts w:hint="eastAsia"/>
          <w:highlight w:val="none"/>
        </w:rPr>
        <w:t>。</w:t>
      </w:r>
      <w:r>
        <w:rPr>
          <w:rFonts w:hint="eastAsia" w:ascii="宋体" w:hAnsi="宋体" w:eastAsia="宋体" w:cs="宋体"/>
          <w:color w:val="000000"/>
          <w:kern w:val="0"/>
          <w:sz w:val="24"/>
          <w:szCs w:val="24"/>
          <w:highlight w:val="none"/>
          <w:lang w:val="en-US" w:eastAsia="zh-CN" w:bidi="ar"/>
        </w:rPr>
        <w:t>可以满足《钢铁工业大气污染物排放标准》（DB21/ 4119-2025）中表</w:t>
      </w:r>
      <w:r>
        <w:rPr>
          <w:rFonts w:hint="eastAsia" w:eastAsia="宋体" w:cs="宋体"/>
          <w:color w:val="000000"/>
          <w:kern w:val="0"/>
          <w:sz w:val="24"/>
          <w:szCs w:val="24"/>
          <w:highlight w:val="none"/>
          <w:lang w:val="en-US" w:eastAsia="zh-CN" w:bidi="ar"/>
        </w:rPr>
        <w:t>1</w:t>
      </w:r>
      <w:r>
        <w:rPr>
          <w:rFonts w:hint="eastAsia" w:ascii="宋体" w:hAnsi="宋体" w:eastAsia="宋体" w:cs="宋体"/>
          <w:color w:val="000000"/>
          <w:kern w:val="0"/>
          <w:sz w:val="24"/>
          <w:szCs w:val="24"/>
          <w:highlight w:val="none"/>
          <w:lang w:val="en-US" w:eastAsia="zh-CN" w:bidi="ar"/>
        </w:rPr>
        <w:t>标准限值要求（</w:t>
      </w:r>
      <w:r>
        <w:rPr>
          <w:rFonts w:hint="default" w:ascii="Times New Roman" w:hAnsi="Times New Roman" w:eastAsia="宋体" w:cs="Times New Roman"/>
          <w:color w:val="000000"/>
          <w:kern w:val="0"/>
          <w:sz w:val="24"/>
          <w:szCs w:val="24"/>
          <w:highlight w:val="none"/>
          <w:lang w:val="en-US" w:eastAsia="zh-CN" w:bidi="ar"/>
        </w:rPr>
        <w:t>0.5</w:t>
      </w:r>
      <w:r>
        <w:rPr>
          <w:rFonts w:hint="default" w:ascii="Times New Roman" w:hAnsi="Times New Roman" w:eastAsia="宋体" w:cs="Times New Roman"/>
          <w:color w:val="000000"/>
          <w:kern w:val="0"/>
          <w:sz w:val="21"/>
          <w:szCs w:val="21"/>
          <w:highlight w:val="none"/>
          <w:lang w:val="en-US" w:eastAsia="zh-CN" w:bidi="ar"/>
        </w:rPr>
        <w:t>ng-TEQ/m</w:t>
      </w:r>
      <w:r>
        <w:rPr>
          <w:rFonts w:hint="default" w:ascii="Times New Roman" w:hAnsi="Times New Roman" w:eastAsia="宋体" w:cs="Times New Roman"/>
          <w:color w:val="000000"/>
          <w:kern w:val="0"/>
          <w:sz w:val="14"/>
          <w:szCs w:val="14"/>
          <w:highlight w:val="none"/>
          <w:lang w:val="en-US" w:eastAsia="zh-CN" w:bidi="ar"/>
        </w:rPr>
        <w:t>3</w:t>
      </w:r>
      <w:r>
        <w:rPr>
          <w:rFonts w:hint="eastAsia" w:ascii="宋体" w:hAnsi="宋体" w:eastAsia="宋体" w:cs="宋体"/>
          <w:color w:val="000000"/>
          <w:kern w:val="0"/>
          <w:sz w:val="24"/>
          <w:szCs w:val="24"/>
          <w:highlight w:val="none"/>
          <w:lang w:val="en-US" w:eastAsia="zh-CN" w:bidi="ar"/>
        </w:rPr>
        <w:t>）。</w:t>
      </w:r>
    </w:p>
    <w:p w14:paraId="6BAD6747">
      <w:pPr>
        <w:keepNext w:val="0"/>
        <w:keepLines w:val="0"/>
        <w:widowControl/>
        <w:suppressLineNumbers w:val="0"/>
        <w:ind w:firstLine="480" w:firstLineChars="200"/>
        <w:jc w:val="left"/>
        <w:rPr>
          <w:highlight w:val="none"/>
        </w:rPr>
      </w:pPr>
      <w:r>
        <w:rPr>
          <w:rFonts w:hint="eastAsia" w:ascii="宋体" w:hAnsi="宋体" w:eastAsia="宋体" w:cs="宋体"/>
          <w:color w:val="000000"/>
          <w:kern w:val="0"/>
          <w:sz w:val="24"/>
          <w:szCs w:val="24"/>
          <w:highlight w:val="none"/>
          <w:lang w:val="en-US" w:eastAsia="zh-CN" w:bidi="ar"/>
        </w:rPr>
        <w:t xml:space="preserve">⑥氨逃逸 </w:t>
      </w:r>
    </w:p>
    <w:p w14:paraId="1533AC04">
      <w:pPr>
        <w:keepNext w:val="0"/>
        <w:keepLines w:val="0"/>
        <w:widowControl/>
        <w:suppressLineNumbers w:val="0"/>
        <w:ind w:firstLine="480" w:firstLineChars="200"/>
        <w:jc w:val="left"/>
        <w:rPr>
          <w:rFonts w:hint="eastAsia" w:ascii="宋体" w:hAnsi="宋体" w:eastAsia="宋体" w:cs="宋体"/>
          <w:color w:val="000000"/>
          <w:kern w:val="0"/>
          <w:sz w:val="24"/>
          <w:szCs w:val="24"/>
          <w:highlight w:val="none"/>
          <w:lang w:val="en-US" w:eastAsia="zh-CN" w:bidi="ar"/>
        </w:rPr>
      </w:pPr>
      <w:r>
        <w:rPr>
          <w:rFonts w:hint="eastAsia" w:ascii="宋体" w:hAnsi="宋体" w:eastAsia="宋体" w:cs="宋体"/>
          <w:color w:val="000000"/>
          <w:kern w:val="0"/>
          <w:sz w:val="24"/>
          <w:szCs w:val="24"/>
          <w:highlight w:val="none"/>
          <w:lang w:val="en-US" w:eastAsia="zh-CN" w:bidi="ar"/>
        </w:rPr>
        <w:t>脱硝系统的运行过程中会产生少量的逃逸氨气。工艺中逃逸出的氨气随机头废气一起通过排气筒排放，根据企业提供设备技术参数，脱硝系统氨的逃逸率</w:t>
      </w:r>
      <w:r>
        <w:rPr>
          <w:rFonts w:hint="default" w:ascii="Times New Roman" w:hAnsi="Times New Roman" w:eastAsia="宋体" w:cs="Times New Roman"/>
          <w:color w:val="000000"/>
          <w:kern w:val="0"/>
          <w:sz w:val="24"/>
          <w:szCs w:val="24"/>
          <w:highlight w:val="none"/>
          <w:lang w:val="en-US" w:eastAsia="zh-CN" w:bidi="ar"/>
        </w:rPr>
        <w:t>≤3mg/Nm</w:t>
      </w:r>
      <w:r>
        <w:rPr>
          <w:rFonts w:hint="eastAsia" w:ascii="Times New Roman" w:hAnsi="Times New Roman" w:eastAsia="宋体" w:cs="Times New Roman"/>
          <w:color w:val="000000"/>
          <w:kern w:val="0"/>
          <w:sz w:val="24"/>
          <w:szCs w:val="24"/>
          <w:highlight w:val="none"/>
          <w:vertAlign w:val="superscript"/>
          <w:lang w:val="en-US" w:eastAsia="zh-CN" w:bidi="ar"/>
        </w:rPr>
        <w:t>3</w:t>
      </w:r>
      <w:r>
        <w:rPr>
          <w:rFonts w:hint="eastAsia" w:ascii="宋体" w:hAnsi="宋体" w:eastAsia="宋体" w:cs="宋体"/>
          <w:color w:val="000000"/>
          <w:kern w:val="0"/>
          <w:sz w:val="24"/>
          <w:szCs w:val="24"/>
          <w:highlight w:val="none"/>
          <w:lang w:val="en-US" w:eastAsia="zh-CN" w:bidi="ar"/>
        </w:rPr>
        <w:t>，本次环评取</w:t>
      </w:r>
      <w:r>
        <w:rPr>
          <w:rFonts w:hint="default" w:ascii="Times New Roman" w:hAnsi="Times New Roman" w:eastAsia="宋体" w:cs="Times New Roman"/>
          <w:color w:val="000000"/>
          <w:kern w:val="0"/>
          <w:sz w:val="24"/>
          <w:szCs w:val="24"/>
          <w:highlight w:val="none"/>
          <w:lang w:val="en-US" w:eastAsia="zh-CN" w:bidi="ar"/>
        </w:rPr>
        <w:t>2.8mg/Nm</w:t>
      </w:r>
      <w:r>
        <w:rPr>
          <w:rFonts w:hint="eastAsia" w:ascii="Times New Roman" w:hAnsi="Times New Roman" w:eastAsia="宋体" w:cs="Times New Roman"/>
          <w:color w:val="000000"/>
          <w:kern w:val="0"/>
          <w:sz w:val="24"/>
          <w:szCs w:val="24"/>
          <w:highlight w:val="none"/>
          <w:vertAlign w:val="superscript"/>
          <w:lang w:val="en-US" w:eastAsia="zh-CN" w:bidi="ar"/>
        </w:rPr>
        <w:t>3</w:t>
      </w:r>
      <w:r>
        <w:rPr>
          <w:rFonts w:hint="eastAsia" w:ascii="宋体" w:hAnsi="宋体" w:eastAsia="宋体" w:cs="宋体"/>
          <w:color w:val="000000"/>
          <w:kern w:val="0"/>
          <w:sz w:val="24"/>
          <w:szCs w:val="24"/>
          <w:highlight w:val="none"/>
          <w:lang w:val="en-US" w:eastAsia="zh-CN" w:bidi="ar"/>
        </w:rPr>
        <w:t>，烟气排放量为18</w:t>
      </w:r>
      <w:r>
        <w:rPr>
          <w:rFonts w:hint="eastAsia" w:ascii="Times New Roman" w:hAnsi="Times New Roman" w:eastAsia="宋体" w:cs="Times New Roman"/>
          <w:color w:val="000000"/>
          <w:kern w:val="0"/>
          <w:sz w:val="24"/>
          <w:szCs w:val="24"/>
          <w:highlight w:val="none"/>
          <w:lang w:val="en-US" w:eastAsia="zh-CN" w:bidi="ar"/>
        </w:rPr>
        <w:t>0</w:t>
      </w:r>
      <w:r>
        <w:rPr>
          <w:rFonts w:hint="default" w:ascii="Times New Roman" w:hAnsi="Times New Roman" w:eastAsia="宋体" w:cs="Times New Roman"/>
          <w:color w:val="000000"/>
          <w:kern w:val="0"/>
          <w:sz w:val="24"/>
          <w:szCs w:val="24"/>
          <w:highlight w:val="none"/>
          <w:lang w:val="en-US" w:eastAsia="zh-CN" w:bidi="ar"/>
        </w:rPr>
        <w:t>000Nm</w:t>
      </w:r>
      <w:r>
        <w:rPr>
          <w:rFonts w:hint="eastAsia" w:ascii="Times New Roman" w:hAnsi="Times New Roman" w:eastAsia="宋体" w:cs="Times New Roman"/>
          <w:color w:val="000000"/>
          <w:kern w:val="0"/>
          <w:sz w:val="24"/>
          <w:szCs w:val="24"/>
          <w:highlight w:val="none"/>
          <w:vertAlign w:val="superscript"/>
          <w:lang w:val="en-US" w:eastAsia="zh-CN" w:bidi="ar"/>
        </w:rPr>
        <w:t>3</w:t>
      </w:r>
      <w:r>
        <w:rPr>
          <w:rFonts w:hint="default" w:ascii="Times New Roman" w:hAnsi="Times New Roman" w:eastAsia="宋体" w:cs="Times New Roman"/>
          <w:color w:val="000000"/>
          <w:kern w:val="0"/>
          <w:sz w:val="16"/>
          <w:szCs w:val="16"/>
          <w:highlight w:val="none"/>
          <w:lang w:val="en-US" w:eastAsia="zh-CN" w:bidi="ar"/>
        </w:rPr>
        <w:t xml:space="preserve"> </w:t>
      </w:r>
      <w:r>
        <w:rPr>
          <w:rFonts w:hint="default" w:ascii="Times New Roman" w:hAnsi="Times New Roman" w:eastAsia="宋体" w:cs="Times New Roman"/>
          <w:color w:val="000000"/>
          <w:kern w:val="0"/>
          <w:sz w:val="24"/>
          <w:szCs w:val="24"/>
          <w:highlight w:val="none"/>
          <w:lang w:val="en-US" w:eastAsia="zh-CN" w:bidi="ar"/>
        </w:rPr>
        <w:t>/h</w:t>
      </w:r>
      <w:r>
        <w:rPr>
          <w:rFonts w:hint="eastAsia" w:ascii="宋体" w:hAnsi="宋体" w:eastAsia="宋体" w:cs="宋体"/>
          <w:color w:val="000000"/>
          <w:kern w:val="0"/>
          <w:sz w:val="24"/>
          <w:szCs w:val="24"/>
          <w:highlight w:val="none"/>
          <w:lang w:val="en-US" w:eastAsia="zh-CN" w:bidi="ar"/>
        </w:rPr>
        <w:t>，由此核算其最大排放速率为</w:t>
      </w:r>
      <w:r>
        <w:rPr>
          <w:rFonts w:hint="eastAsia" w:ascii="Times New Roman" w:hAnsi="Times New Roman" w:eastAsia="宋体" w:cs="Times New Roman"/>
          <w:color w:val="000000"/>
          <w:kern w:val="0"/>
          <w:sz w:val="24"/>
          <w:szCs w:val="24"/>
          <w:highlight w:val="none"/>
          <w:lang w:val="en-US" w:eastAsia="zh-CN" w:bidi="ar"/>
        </w:rPr>
        <w:t>0.504</w:t>
      </w:r>
      <w:r>
        <w:rPr>
          <w:rFonts w:hint="default" w:ascii="Times New Roman" w:hAnsi="Times New Roman" w:eastAsia="宋体" w:cs="Times New Roman"/>
          <w:color w:val="000000"/>
          <w:kern w:val="0"/>
          <w:sz w:val="24"/>
          <w:szCs w:val="24"/>
          <w:highlight w:val="none"/>
          <w:lang w:val="en-US" w:eastAsia="zh-CN" w:bidi="ar"/>
        </w:rPr>
        <w:t>kg/h</w:t>
      </w:r>
      <w:r>
        <w:rPr>
          <w:rFonts w:hint="eastAsia" w:ascii="宋体" w:hAnsi="宋体" w:eastAsia="宋体" w:cs="宋体"/>
          <w:color w:val="000000"/>
          <w:kern w:val="0"/>
          <w:sz w:val="24"/>
          <w:szCs w:val="24"/>
          <w:highlight w:val="none"/>
          <w:lang w:val="en-US" w:eastAsia="zh-CN" w:bidi="ar"/>
        </w:rPr>
        <w:t>，最大排放量为</w:t>
      </w:r>
      <w:r>
        <w:rPr>
          <w:rFonts w:hint="eastAsia" w:eastAsia="宋体" w:cs="宋体"/>
          <w:color w:val="000000"/>
          <w:kern w:val="0"/>
          <w:sz w:val="24"/>
          <w:szCs w:val="24"/>
          <w:highlight w:val="none"/>
          <w:lang w:val="en-US" w:eastAsia="zh-CN" w:bidi="ar"/>
        </w:rPr>
        <w:t>3.99t</w:t>
      </w:r>
      <w:r>
        <w:rPr>
          <w:rFonts w:hint="default" w:ascii="Times New Roman" w:hAnsi="Times New Roman" w:eastAsia="宋体" w:cs="Times New Roman"/>
          <w:color w:val="000000"/>
          <w:kern w:val="0"/>
          <w:sz w:val="24"/>
          <w:szCs w:val="24"/>
          <w:highlight w:val="none"/>
          <w:lang w:val="en-US" w:eastAsia="zh-CN" w:bidi="ar"/>
        </w:rPr>
        <w:t>/a</w:t>
      </w:r>
      <w:r>
        <w:rPr>
          <w:rFonts w:hint="eastAsia" w:ascii="宋体" w:hAnsi="宋体" w:eastAsia="宋体" w:cs="宋体"/>
          <w:color w:val="000000"/>
          <w:kern w:val="0"/>
          <w:sz w:val="24"/>
          <w:szCs w:val="24"/>
          <w:highlight w:val="none"/>
          <w:lang w:val="en-US" w:eastAsia="zh-CN" w:bidi="ar"/>
        </w:rPr>
        <w:t>。满足《恶臭污染物排放标准》（</w:t>
      </w:r>
      <w:r>
        <w:rPr>
          <w:rFonts w:hint="default" w:ascii="Times New Roman" w:hAnsi="Times New Roman" w:eastAsia="宋体" w:cs="Times New Roman"/>
          <w:color w:val="000000"/>
          <w:kern w:val="0"/>
          <w:sz w:val="24"/>
          <w:szCs w:val="24"/>
          <w:highlight w:val="none"/>
          <w:lang w:val="en-US" w:eastAsia="zh-CN" w:bidi="ar"/>
        </w:rPr>
        <w:t>GB14554-93</w:t>
      </w:r>
      <w:r>
        <w:rPr>
          <w:rFonts w:hint="eastAsia" w:ascii="宋体" w:hAnsi="宋体" w:eastAsia="宋体" w:cs="宋体"/>
          <w:color w:val="000000"/>
          <w:kern w:val="0"/>
          <w:sz w:val="24"/>
          <w:szCs w:val="24"/>
          <w:highlight w:val="none"/>
          <w:lang w:val="en-US" w:eastAsia="zh-CN" w:bidi="ar"/>
        </w:rPr>
        <w:t xml:space="preserve">）表 </w:t>
      </w:r>
      <w:r>
        <w:rPr>
          <w:rFonts w:hint="default" w:ascii="Times New Roman" w:hAnsi="Times New Roman" w:eastAsia="宋体" w:cs="Times New Roman"/>
          <w:color w:val="000000"/>
          <w:kern w:val="0"/>
          <w:sz w:val="24"/>
          <w:szCs w:val="24"/>
          <w:highlight w:val="none"/>
          <w:lang w:val="en-US" w:eastAsia="zh-CN" w:bidi="ar"/>
        </w:rPr>
        <w:t>2</w:t>
      </w:r>
      <w:r>
        <w:rPr>
          <w:rFonts w:hint="eastAsia" w:ascii="宋体" w:hAnsi="宋体" w:eastAsia="宋体" w:cs="宋体"/>
          <w:color w:val="000000"/>
          <w:kern w:val="0"/>
          <w:sz w:val="24"/>
          <w:szCs w:val="24"/>
          <w:highlight w:val="none"/>
          <w:lang w:val="en-US" w:eastAsia="zh-CN" w:bidi="ar"/>
        </w:rPr>
        <w:t xml:space="preserve">中排放标准。 </w:t>
      </w:r>
    </w:p>
    <w:p w14:paraId="106ECFAF">
      <w:pPr>
        <w:pStyle w:val="133"/>
      </w:pPr>
      <w:r>
        <w:rPr>
          <w:rFonts w:hint="eastAsia"/>
        </w:rPr>
        <w:t>3</w:t>
      </w:r>
      <w:r>
        <w:t>.</w:t>
      </w:r>
      <w:r>
        <w:rPr>
          <w:rFonts w:hint="eastAsia"/>
        </w:rPr>
        <w:t>4</w:t>
      </w:r>
      <w:r>
        <w:t>.</w:t>
      </w:r>
      <w:r>
        <w:rPr>
          <w:rFonts w:hint="eastAsia"/>
        </w:rPr>
        <w:t>1</w:t>
      </w:r>
      <w:r>
        <w:t>.</w:t>
      </w:r>
      <w:r>
        <w:rPr>
          <w:rFonts w:hint="eastAsia"/>
        </w:rPr>
        <w:t>2</w:t>
      </w:r>
      <w:r>
        <w:rPr>
          <w:rFonts w:hint="eastAsia"/>
          <w:lang w:eastAsia="zh-CN"/>
        </w:rPr>
        <w:t xml:space="preserve"> </w:t>
      </w:r>
      <w:r>
        <w:rPr>
          <w:rFonts w:hint="eastAsia"/>
        </w:rPr>
        <w:t>无组织排放</w:t>
      </w:r>
    </w:p>
    <w:p w14:paraId="43614455">
      <w:pPr>
        <w:keepNext w:val="0"/>
        <w:keepLines w:val="0"/>
        <w:widowControl/>
        <w:suppressLineNumbers w:val="0"/>
        <w:ind w:firstLine="480" w:firstLineChars="200"/>
        <w:jc w:val="left"/>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项目</w:t>
      </w:r>
      <w:r>
        <w:rPr>
          <w:rFonts w:hint="eastAsia" w:cs="宋体"/>
          <w:color w:val="000000"/>
          <w:kern w:val="0"/>
          <w:sz w:val="24"/>
          <w:szCs w:val="24"/>
          <w:lang w:val="en-US" w:eastAsia="zh-CN" w:bidi="ar"/>
        </w:rPr>
        <w:t>原料</w:t>
      </w:r>
      <w:r>
        <w:rPr>
          <w:rFonts w:hint="eastAsia" w:ascii="宋体" w:hAnsi="宋体" w:eastAsia="宋体" w:cs="宋体"/>
          <w:color w:val="000000"/>
          <w:kern w:val="0"/>
          <w:sz w:val="24"/>
          <w:szCs w:val="24"/>
          <w:lang w:val="en-US" w:eastAsia="zh-CN" w:bidi="ar"/>
        </w:rPr>
        <w:t>破碎、混合、下料，球团混料均在封闭车间内进行，并配备密闭罩或集气罩和除尘器。</w:t>
      </w:r>
    </w:p>
    <w:p w14:paraId="27D7C053">
      <w:pPr>
        <w:keepNext w:val="0"/>
        <w:keepLines w:val="0"/>
        <w:widowControl/>
        <w:suppressLineNumbers w:val="0"/>
        <w:ind w:firstLine="480" w:firstLineChars="200"/>
        <w:jc w:val="left"/>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根据《排污许可证申请与核发技术规范 钢铁工业》(HJ846-2017)，在采取上述措施的条件下，新建烧结工序无组织排放系数为0.0155kg/t烧结矿。新建烧结机年产烧结矿66万t，因此烧结无组织排放量为10.23t/a。</w:t>
      </w:r>
    </w:p>
    <w:p w14:paraId="522B9FC8">
      <w:pPr>
        <w:keepNext w:val="0"/>
        <w:keepLines w:val="0"/>
        <w:widowControl/>
        <w:suppressLineNumbers w:val="0"/>
        <w:ind w:firstLine="480" w:firstLineChars="200"/>
        <w:jc w:val="left"/>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根据《排污许可证申请与核发技术规范 钢铁工业》(HJ846-2017)，在采取上述措施的条件下，新建球团竖炉工序无组织排放系数为0.046kg/t球团矿。新建球团竖炉年产球团矿14万t，因此球团无组织排放量为6.44t/a。</w:t>
      </w:r>
    </w:p>
    <w:p w14:paraId="79796F34">
      <w:pPr>
        <w:keepNext w:val="0"/>
        <w:keepLines w:val="0"/>
        <w:widowControl/>
        <w:suppressLineNumbers w:val="0"/>
        <w:ind w:firstLine="480" w:firstLineChars="200"/>
        <w:jc w:val="left"/>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所有产生烟/粉尘的设施、落料点均设置吸尘装置，烟气经除尘器除尘后排放；石灰采用密闭罐车运输，通过气力输送至烧结配料室石灰仓；除尘器设有密闭除尘灰仓，灰仓中的除尘灰通过气力输送至烧结配料室的除尘灰仓，参与烧结配料，除尘灰不落地；</w:t>
      </w:r>
    </w:p>
    <w:p w14:paraId="0F5A8ABB">
      <w:pPr>
        <w:keepNext w:val="0"/>
        <w:keepLines w:val="0"/>
        <w:widowControl/>
        <w:suppressLineNumbers w:val="0"/>
        <w:ind w:firstLine="480" w:firstLineChars="200"/>
        <w:jc w:val="left"/>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皮带机通廊及转运站采用封闭结构，粉尘不外逸；混匀矿、焦炭等原燃料储存场所，采用封闭料场，并配合喷淋抑尘措施，区域内的道路、建构筑物外场地除绿化外全部硬化；</w:t>
      </w:r>
    </w:p>
    <w:p w14:paraId="345D2B2B">
      <w:pPr>
        <w:keepNext w:val="0"/>
        <w:keepLines w:val="0"/>
        <w:widowControl/>
        <w:suppressLineNumbers w:val="0"/>
        <w:ind w:firstLine="480" w:firstLineChars="200"/>
        <w:jc w:val="left"/>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车间内采用混凝土地坪；运输车辆经常清洗车轮、车身；定期对厂内道路进行洒水抑尘。</w:t>
      </w:r>
    </w:p>
    <w:p w14:paraId="3E1D3D12">
      <w:pPr>
        <w:keepNext w:val="0"/>
        <w:keepLines w:val="0"/>
        <w:widowControl/>
        <w:suppressLineNumbers w:val="0"/>
        <w:ind w:firstLine="480" w:firstLineChars="200"/>
        <w:jc w:val="left"/>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通过采取上述控制措施，保证达到有厂房粉尘浓度≤8mg/m</w:t>
      </w:r>
      <w:r>
        <w:rPr>
          <w:rFonts w:hint="eastAsia" w:ascii="宋体" w:hAnsi="宋体" w:eastAsia="宋体" w:cs="宋体"/>
          <w:color w:val="000000"/>
          <w:kern w:val="0"/>
          <w:sz w:val="24"/>
          <w:szCs w:val="24"/>
          <w:vertAlign w:val="superscript"/>
          <w:lang w:val="en-US" w:eastAsia="zh-CN" w:bidi="ar"/>
        </w:rPr>
        <w:t>3</w:t>
      </w:r>
      <w:r>
        <w:rPr>
          <w:rFonts w:hint="eastAsia" w:ascii="宋体" w:hAnsi="宋体" w:eastAsia="宋体" w:cs="宋体"/>
          <w:color w:val="000000"/>
          <w:kern w:val="0"/>
          <w:sz w:val="24"/>
          <w:szCs w:val="24"/>
          <w:lang w:val="en-US" w:eastAsia="zh-CN" w:bidi="ar"/>
        </w:rPr>
        <w:t>、无完整厂房粉尘浓度≤5mg/m</w:t>
      </w:r>
      <w:r>
        <w:rPr>
          <w:rFonts w:hint="eastAsia" w:ascii="宋体" w:hAnsi="宋体" w:eastAsia="宋体" w:cs="宋体"/>
          <w:color w:val="000000"/>
          <w:kern w:val="0"/>
          <w:sz w:val="24"/>
          <w:szCs w:val="24"/>
          <w:vertAlign w:val="superscript"/>
          <w:lang w:val="en-US" w:eastAsia="zh-CN" w:bidi="ar"/>
        </w:rPr>
        <w:t>3</w:t>
      </w:r>
      <w:r>
        <w:rPr>
          <w:rFonts w:hint="eastAsia" w:ascii="宋体" w:hAnsi="宋体" w:eastAsia="宋体" w:cs="宋体"/>
          <w:color w:val="000000"/>
          <w:kern w:val="0"/>
          <w:sz w:val="24"/>
          <w:szCs w:val="24"/>
          <w:lang w:val="en-US" w:eastAsia="zh-CN" w:bidi="ar"/>
        </w:rPr>
        <w:t>的无组织排放标准，满足《钢铁工业大气污染物排放标准》（DB21/ 4119-2025）排放要求。</w:t>
      </w:r>
    </w:p>
    <w:p w14:paraId="49FF84C3">
      <w:pPr>
        <w:keepNext w:val="0"/>
        <w:keepLines w:val="0"/>
        <w:widowControl/>
        <w:suppressLineNumbers w:val="0"/>
        <w:ind w:firstLine="480" w:firstLineChars="200"/>
        <w:jc w:val="left"/>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（2）氨水储存区逃逸氨气</w:t>
      </w:r>
    </w:p>
    <w:p w14:paraId="54C038EF">
      <w:pPr>
        <w:keepNext w:val="0"/>
        <w:keepLines w:val="0"/>
        <w:widowControl/>
        <w:suppressLineNumbers w:val="0"/>
        <w:ind w:firstLine="480" w:firstLineChars="200"/>
        <w:jc w:val="left"/>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氨水罐区废气的主要是原料装、卸料和储罐大小呼吸挥发所致。</w:t>
      </w:r>
    </w:p>
    <w:p w14:paraId="5B182704">
      <w:pPr>
        <w:keepNext w:val="0"/>
        <w:keepLines w:val="0"/>
        <w:widowControl/>
        <w:suppressLineNumbers w:val="0"/>
        <w:ind w:firstLine="480" w:firstLineChars="200"/>
        <w:jc w:val="left"/>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①大呼吸排放量</w:t>
      </w:r>
    </w:p>
    <w:p w14:paraId="20F71124">
      <w:pPr>
        <w:keepNext w:val="0"/>
        <w:keepLines w:val="0"/>
        <w:widowControl/>
        <w:suppressLineNumbers w:val="0"/>
        <w:ind w:firstLine="480" w:firstLineChars="200"/>
        <w:jc w:val="left"/>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大呼吸排放是由于人为的装料与卸料而产生的损失。因装料的结果，罐内压力超过释放压力时，蒸气从罐内压出；而卸料损失发生于液面排出，空气被抽入罐体内，因空气变成有机蒸气饱和的气体而膨胀，因而超过蒸气空间容纳的能力。</w:t>
      </w:r>
    </w:p>
    <w:p w14:paraId="696B65A6">
      <w:pPr>
        <w:keepNext w:val="0"/>
        <w:keepLines w:val="0"/>
        <w:widowControl/>
        <w:suppressLineNumbers w:val="0"/>
        <w:ind w:firstLine="480" w:firstLineChars="200"/>
        <w:jc w:val="left"/>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可由下式估算固定顶罐的工作排放：</w:t>
      </w:r>
    </w:p>
    <w:p w14:paraId="669182B8">
      <w:pPr>
        <w:keepNext w:val="0"/>
        <w:keepLines w:val="0"/>
        <w:widowControl/>
        <w:suppressLineNumbers w:val="0"/>
        <w:ind w:firstLine="480" w:firstLineChars="200"/>
        <w:jc w:val="left"/>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LW = 4.188 × 10</w:t>
      </w:r>
      <w:r>
        <w:rPr>
          <w:rFonts w:hint="default" w:ascii="Times New Roman" w:hAnsi="Times New Roman" w:eastAsia="宋体" w:cs="Times New Roman"/>
          <w:color w:val="000000"/>
          <w:kern w:val="0"/>
          <w:sz w:val="24"/>
          <w:szCs w:val="24"/>
          <w:vertAlign w:val="superscript"/>
          <w:lang w:val="en-US" w:eastAsia="zh-CN" w:bidi="ar"/>
        </w:rPr>
        <w:t>-7</w:t>
      </w:r>
      <w:r>
        <w:rPr>
          <w:rFonts w:hint="default" w:ascii="Times New Roman" w:hAnsi="Times New Roman" w:eastAsia="宋体" w:cs="Times New Roman"/>
          <w:color w:val="000000"/>
          <w:kern w:val="0"/>
          <w:sz w:val="24"/>
          <w:szCs w:val="24"/>
          <w:lang w:val="en-US" w:eastAsia="zh-CN" w:bidi="ar"/>
        </w:rPr>
        <w:t xml:space="preserve"> × M × P × KN × KC</w:t>
      </w:r>
    </w:p>
    <w:p w14:paraId="631A37F0">
      <w:pPr>
        <w:keepNext w:val="0"/>
        <w:keepLines w:val="0"/>
        <w:widowControl/>
        <w:suppressLineNumbers w:val="0"/>
        <w:ind w:firstLine="480" w:firstLineChars="200"/>
        <w:jc w:val="left"/>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式中：LW —固定顶罐的工作损失（kg/m</w:t>
      </w:r>
      <w:r>
        <w:rPr>
          <w:rFonts w:hint="default" w:ascii="Times New Roman" w:hAnsi="Times New Roman" w:eastAsia="宋体" w:cs="Times New Roman"/>
          <w:color w:val="000000"/>
          <w:kern w:val="0"/>
          <w:sz w:val="24"/>
          <w:szCs w:val="24"/>
          <w:vertAlign w:val="superscript"/>
          <w:lang w:val="en-US" w:eastAsia="zh-CN" w:bidi="ar"/>
        </w:rPr>
        <w:t>3</w:t>
      </w:r>
      <w:r>
        <w:rPr>
          <w:rFonts w:hint="default" w:ascii="Times New Roman" w:hAnsi="Times New Roman" w:eastAsia="宋体" w:cs="Times New Roman"/>
          <w:color w:val="000000"/>
          <w:kern w:val="0"/>
          <w:sz w:val="24"/>
          <w:szCs w:val="24"/>
          <w:lang w:val="en-US" w:eastAsia="zh-CN" w:bidi="ar"/>
        </w:rPr>
        <w:t xml:space="preserve"> 投入量）</w:t>
      </w:r>
    </w:p>
    <w:p w14:paraId="3E84A412">
      <w:pPr>
        <w:keepNext w:val="0"/>
        <w:keepLines w:val="0"/>
        <w:widowControl/>
        <w:suppressLineNumbers w:val="0"/>
        <w:ind w:firstLine="480" w:firstLineChars="200"/>
        <w:jc w:val="left"/>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M — 储罐内蒸气的分子量；</w:t>
      </w:r>
    </w:p>
    <w:p w14:paraId="6240854C">
      <w:pPr>
        <w:keepNext w:val="0"/>
        <w:keepLines w:val="0"/>
        <w:widowControl/>
        <w:suppressLineNumbers w:val="0"/>
        <w:ind w:firstLine="480" w:firstLineChars="200"/>
        <w:jc w:val="left"/>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P — 储罐内液体的饱和蒸汽压（Pa）；</w:t>
      </w:r>
    </w:p>
    <w:p w14:paraId="4203A7B7">
      <w:pPr>
        <w:keepNext w:val="0"/>
        <w:keepLines w:val="0"/>
        <w:widowControl/>
        <w:suppressLineNumbers w:val="0"/>
        <w:ind w:firstLine="480" w:firstLineChars="200"/>
        <w:jc w:val="left"/>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KN —周转因子（无量纲），取值按年周转次数（K）确定。</w:t>
      </w:r>
    </w:p>
    <w:p w14:paraId="505293B0">
      <w:pPr>
        <w:keepNext w:val="0"/>
        <w:keepLines w:val="0"/>
        <w:widowControl/>
        <w:suppressLineNumbers w:val="0"/>
        <w:ind w:firstLine="480" w:firstLineChars="200"/>
        <w:jc w:val="left"/>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K ≤ 36，KN = 1</w:t>
      </w:r>
    </w:p>
    <w:p w14:paraId="5D263D25">
      <w:pPr>
        <w:keepNext w:val="0"/>
        <w:keepLines w:val="0"/>
        <w:widowControl/>
        <w:suppressLineNumbers w:val="0"/>
        <w:ind w:firstLine="480" w:firstLineChars="200"/>
        <w:jc w:val="left"/>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36 &lt; K ≤ 220，KN = 11.467×K-0.7026</w:t>
      </w:r>
    </w:p>
    <w:p w14:paraId="2AD60295">
      <w:pPr>
        <w:keepNext w:val="0"/>
        <w:keepLines w:val="0"/>
        <w:widowControl/>
        <w:suppressLineNumbers w:val="0"/>
        <w:ind w:firstLine="480" w:firstLineChars="200"/>
        <w:jc w:val="left"/>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K &gt; 220，KN = 0.26</w:t>
      </w:r>
    </w:p>
    <w:p w14:paraId="42018157">
      <w:pPr>
        <w:keepNext w:val="0"/>
        <w:keepLines w:val="0"/>
        <w:widowControl/>
        <w:suppressLineNumbers w:val="0"/>
        <w:ind w:firstLine="480" w:firstLineChars="200"/>
        <w:jc w:val="left"/>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②小呼吸排放量</w:t>
      </w:r>
    </w:p>
    <w:p w14:paraId="09ED8878">
      <w:pPr>
        <w:keepNext w:val="0"/>
        <w:keepLines w:val="0"/>
        <w:widowControl/>
        <w:suppressLineNumbers w:val="0"/>
        <w:ind w:firstLine="480" w:firstLineChars="200"/>
        <w:jc w:val="left"/>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小呼吸排放是由于温度和大气压力的变化引起蒸气的膨胀和收缩而产生的蒸气排出，它出现在罐内液面无任何变化的情况，是非人为干扰的自然排放方式。</w:t>
      </w:r>
    </w:p>
    <w:p w14:paraId="4A863ABC">
      <w:pPr>
        <w:keepNext w:val="0"/>
        <w:keepLines w:val="0"/>
        <w:widowControl/>
        <w:suppressLineNumbers w:val="0"/>
        <w:ind w:firstLine="480" w:firstLineChars="200"/>
        <w:jc w:val="left"/>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固定顶罐的呼吸排放可用下式估算其污染物的排放量：</w:t>
      </w:r>
    </w:p>
    <w:p w14:paraId="2C8E134A">
      <w:pPr>
        <w:keepNext w:val="0"/>
        <w:keepLines w:val="0"/>
        <w:widowControl/>
        <w:suppressLineNumbers w:val="0"/>
        <w:ind w:firstLine="480" w:firstLineChars="200"/>
        <w:jc w:val="left"/>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LB = 0.191×M(P/(100910-P))0.68×D1.73×H0.51×△T</w:t>
      </w:r>
    </w:p>
    <w:p w14:paraId="7A739E33">
      <w:pPr>
        <w:keepNext w:val="0"/>
        <w:keepLines w:val="0"/>
        <w:widowControl/>
        <w:suppressLineNumbers w:val="0"/>
        <w:ind w:firstLine="480" w:firstLineChars="200"/>
        <w:jc w:val="left"/>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0.45×FP×C×KC</w:t>
      </w:r>
    </w:p>
    <w:p w14:paraId="6F8BD3A5">
      <w:pPr>
        <w:keepNext w:val="0"/>
        <w:keepLines w:val="0"/>
        <w:widowControl/>
        <w:suppressLineNumbers w:val="0"/>
        <w:ind w:firstLine="480" w:firstLineChars="200"/>
        <w:jc w:val="left"/>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式中：LB — 固定顶罐的呼吸排放量（kg/a）；</w:t>
      </w:r>
    </w:p>
    <w:p w14:paraId="4362E766">
      <w:pPr>
        <w:keepNext w:val="0"/>
        <w:keepLines w:val="0"/>
        <w:widowControl/>
        <w:suppressLineNumbers w:val="0"/>
        <w:ind w:firstLine="480" w:firstLineChars="200"/>
        <w:jc w:val="left"/>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M — 储罐内蒸气的分子量；</w:t>
      </w:r>
    </w:p>
    <w:p w14:paraId="577B0833">
      <w:pPr>
        <w:keepNext w:val="0"/>
        <w:keepLines w:val="0"/>
        <w:widowControl/>
        <w:suppressLineNumbers w:val="0"/>
        <w:ind w:firstLine="480" w:firstLineChars="200"/>
        <w:jc w:val="left"/>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P — 在大量液体状态下，真实的蒸气压力（Pa）；</w:t>
      </w:r>
    </w:p>
    <w:p w14:paraId="38D11AAC">
      <w:pPr>
        <w:keepNext w:val="0"/>
        <w:keepLines w:val="0"/>
        <w:widowControl/>
        <w:suppressLineNumbers w:val="0"/>
        <w:ind w:firstLine="480" w:firstLineChars="200"/>
        <w:jc w:val="left"/>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D — 罐的直径（m）；</w:t>
      </w:r>
    </w:p>
    <w:p w14:paraId="0598E7A9">
      <w:pPr>
        <w:keepNext w:val="0"/>
        <w:keepLines w:val="0"/>
        <w:widowControl/>
        <w:suppressLineNumbers w:val="0"/>
        <w:ind w:firstLine="480" w:firstLineChars="200"/>
        <w:jc w:val="left"/>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H — 平均蒸气空间高度（m）；</w:t>
      </w:r>
    </w:p>
    <w:p w14:paraId="0A0DFFCA">
      <w:pPr>
        <w:keepNext w:val="0"/>
        <w:keepLines w:val="0"/>
        <w:widowControl/>
        <w:suppressLineNumbers w:val="0"/>
        <w:ind w:firstLine="480" w:firstLineChars="200"/>
        <w:jc w:val="left"/>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△T — 一天之内的平均温度差（℃）；</w:t>
      </w:r>
    </w:p>
    <w:p w14:paraId="7A4A280D">
      <w:pPr>
        <w:keepNext w:val="0"/>
        <w:keepLines w:val="0"/>
        <w:widowControl/>
        <w:suppressLineNumbers w:val="0"/>
        <w:ind w:firstLine="480" w:firstLineChars="200"/>
        <w:jc w:val="left"/>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FP — 涂层因子（无量纲），根据油漆状况取值在 1~1.5 之间；</w:t>
      </w:r>
    </w:p>
    <w:p w14:paraId="05C34FD2">
      <w:pPr>
        <w:keepNext w:val="0"/>
        <w:keepLines w:val="0"/>
        <w:widowControl/>
        <w:suppressLineNumbers w:val="0"/>
        <w:ind w:firstLine="480" w:firstLineChars="200"/>
        <w:jc w:val="left"/>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C — 用于小直径罐的调节因子（无量纲）；直径在0~9m之间的罐体，C=1 -0.0123(D-9)2；罐径大于 9m 的 C = 1；</w:t>
      </w:r>
    </w:p>
    <w:p w14:paraId="53C6DF65">
      <w:pPr>
        <w:keepNext w:val="0"/>
        <w:keepLines w:val="0"/>
        <w:widowControl/>
        <w:suppressLineNumbers w:val="0"/>
        <w:ind w:firstLine="480" w:firstLineChars="200"/>
        <w:jc w:val="left"/>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KC — 产品因子（石油原油 KC取 0.65，其他的有机液体取 1.0）</w:t>
      </w:r>
    </w:p>
    <w:p w14:paraId="761FC902">
      <w:pPr>
        <w:keepNext w:val="0"/>
        <w:keepLines w:val="0"/>
        <w:widowControl/>
        <w:suppressLineNumbers w:val="0"/>
        <w:ind w:firstLine="480" w:firstLineChars="200"/>
        <w:jc w:val="left"/>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相关参数详见下表：</w:t>
      </w:r>
    </w:p>
    <w:p w14:paraId="37D3F42C">
      <w:pPr>
        <w:jc w:val="center"/>
      </w:pPr>
      <w:r>
        <w:t>表4.6.1-2 储罐大小呼吸相关参数取值表</w:t>
      </w:r>
    </w:p>
    <w:tbl>
      <w:tblPr>
        <w:tblStyle w:val="56"/>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1159"/>
        <w:gridCol w:w="927"/>
        <w:gridCol w:w="456"/>
        <w:gridCol w:w="821"/>
        <w:gridCol w:w="700"/>
        <w:gridCol w:w="700"/>
        <w:gridCol w:w="1292"/>
        <w:gridCol w:w="696"/>
        <w:gridCol w:w="696"/>
        <w:gridCol w:w="458"/>
        <w:gridCol w:w="816"/>
      </w:tblGrid>
      <w:tr w14:paraId="5F6A4C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0" w:type="auto"/>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3792D678">
            <w:pPr>
              <w:jc w:val="center"/>
              <w:rPr>
                <w:b/>
              </w:rPr>
            </w:pPr>
            <w:r>
              <w:rPr>
                <w:b/>
              </w:rPr>
              <w:t>参数</w:t>
            </w:r>
          </w:p>
        </w:tc>
        <w:tc>
          <w:tcPr>
            <w:tcW w:w="0" w:type="auto"/>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754185F8">
            <w:pPr>
              <w:jc w:val="center"/>
              <w:rPr>
                <w:b/>
              </w:rPr>
            </w:pPr>
            <w:r>
              <w:rPr>
                <w:b/>
              </w:rPr>
              <w:t>储罐数</w:t>
            </w:r>
          </w:p>
        </w:tc>
        <w:tc>
          <w:tcPr>
            <w:tcW w:w="0" w:type="auto"/>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3B43C87D">
            <w:pPr>
              <w:jc w:val="center"/>
              <w:rPr>
                <w:b/>
              </w:rPr>
            </w:pPr>
            <w:r>
              <w:rPr>
                <w:b/>
              </w:rPr>
              <w:t>M</w:t>
            </w:r>
          </w:p>
        </w:tc>
        <w:tc>
          <w:tcPr>
            <w:tcW w:w="0" w:type="auto"/>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5E4ED7D2">
            <w:pPr>
              <w:jc w:val="center"/>
              <w:rPr>
                <w:b/>
              </w:rPr>
            </w:pPr>
            <w:r>
              <w:rPr>
                <w:b/>
              </w:rPr>
              <w:t>P(Pa)</w:t>
            </w:r>
          </w:p>
        </w:tc>
        <w:tc>
          <w:tcPr>
            <w:tcW w:w="0" w:type="auto"/>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23BDE7D0">
            <w:pPr>
              <w:jc w:val="center"/>
              <w:rPr>
                <w:b/>
              </w:rPr>
            </w:pPr>
            <w:r>
              <w:rPr>
                <w:b/>
              </w:rPr>
              <w:t>D(m)</w:t>
            </w:r>
          </w:p>
        </w:tc>
        <w:tc>
          <w:tcPr>
            <w:tcW w:w="0" w:type="auto"/>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57B531C5">
            <w:pPr>
              <w:jc w:val="center"/>
              <w:rPr>
                <w:b/>
              </w:rPr>
            </w:pPr>
            <w:r>
              <w:rPr>
                <w:b/>
              </w:rPr>
              <w:t>H(m)</w:t>
            </w:r>
          </w:p>
        </w:tc>
        <w:tc>
          <w:tcPr>
            <w:tcW w:w="0" w:type="auto"/>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35C55E5D">
            <w:pPr>
              <w:jc w:val="center"/>
              <w:rPr>
                <w:b/>
              </w:rPr>
            </w:pPr>
            <w:r>
              <w:rPr>
                <w:b/>
              </w:rPr>
              <w:t>△T（℃）</w:t>
            </w:r>
          </w:p>
        </w:tc>
        <w:tc>
          <w:tcPr>
            <w:tcW w:w="0" w:type="auto"/>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5C16C96C">
            <w:pPr>
              <w:jc w:val="center"/>
              <w:rPr>
                <w:b/>
              </w:rPr>
            </w:pPr>
            <w:r>
              <w:rPr>
                <w:b/>
              </w:rPr>
              <w:t>F</w:t>
            </w:r>
            <w:r>
              <w:rPr>
                <w:b/>
                <w:vertAlign w:val="subscript"/>
              </w:rPr>
              <w:t>P</w:t>
            </w:r>
          </w:p>
        </w:tc>
        <w:tc>
          <w:tcPr>
            <w:tcW w:w="0" w:type="auto"/>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2FA95486">
            <w:pPr>
              <w:jc w:val="center"/>
              <w:rPr>
                <w:b/>
              </w:rPr>
            </w:pPr>
            <w:r>
              <w:rPr>
                <w:b/>
              </w:rPr>
              <w:t>C</w:t>
            </w:r>
          </w:p>
        </w:tc>
        <w:tc>
          <w:tcPr>
            <w:tcW w:w="0" w:type="auto"/>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623A3DEA">
            <w:pPr>
              <w:jc w:val="center"/>
              <w:rPr>
                <w:b/>
              </w:rPr>
            </w:pPr>
            <w:r>
              <w:rPr>
                <w:b/>
              </w:rPr>
              <w:t>Kc</w:t>
            </w:r>
          </w:p>
        </w:tc>
        <w:tc>
          <w:tcPr>
            <w:tcW w:w="0" w:type="auto"/>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3907FC8D">
            <w:pPr>
              <w:jc w:val="center"/>
              <w:rPr>
                <w:b/>
              </w:rPr>
            </w:pPr>
            <w:r>
              <w:rPr>
                <w:b/>
              </w:rPr>
              <w:t>K</w:t>
            </w:r>
            <w:r>
              <w:rPr>
                <w:b/>
                <w:vertAlign w:val="subscript"/>
              </w:rPr>
              <w:t>N</w:t>
            </w:r>
          </w:p>
        </w:tc>
      </w:tr>
      <w:tr w14:paraId="2FA04A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0" w:type="auto"/>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429EF187">
            <w:r>
              <w:t>氨水储罐</w:t>
            </w:r>
          </w:p>
        </w:tc>
        <w:tc>
          <w:tcPr>
            <w:tcW w:w="0" w:type="auto"/>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1B9B4C6E">
            <w:r>
              <w:t>1</w:t>
            </w:r>
          </w:p>
        </w:tc>
        <w:tc>
          <w:tcPr>
            <w:tcW w:w="0" w:type="auto"/>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1C8E1E18">
            <w:r>
              <w:t>17</w:t>
            </w:r>
          </w:p>
        </w:tc>
        <w:tc>
          <w:tcPr>
            <w:tcW w:w="0" w:type="auto"/>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51E91BB5">
            <w:r>
              <w:t>1590</w:t>
            </w:r>
          </w:p>
        </w:tc>
        <w:tc>
          <w:tcPr>
            <w:tcW w:w="0" w:type="auto"/>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2F0E9D3F">
            <w:r>
              <w:t>3.35</w:t>
            </w:r>
          </w:p>
        </w:tc>
        <w:tc>
          <w:tcPr>
            <w:tcW w:w="0" w:type="auto"/>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5518AE22">
            <w:r>
              <w:t>2.65</w:t>
            </w:r>
          </w:p>
        </w:tc>
        <w:tc>
          <w:tcPr>
            <w:tcW w:w="0" w:type="auto"/>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5CBDEFF4">
            <w:r>
              <w:t>15</w:t>
            </w:r>
          </w:p>
        </w:tc>
        <w:tc>
          <w:tcPr>
            <w:tcW w:w="0" w:type="auto"/>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1CB8C843">
            <w:r>
              <w:t>1.25</w:t>
            </w:r>
          </w:p>
        </w:tc>
        <w:tc>
          <w:tcPr>
            <w:tcW w:w="0" w:type="auto"/>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33F3F507">
            <w:r>
              <w:t>0.15</w:t>
            </w:r>
          </w:p>
        </w:tc>
        <w:tc>
          <w:tcPr>
            <w:tcW w:w="0" w:type="auto"/>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1498E379">
            <w:r>
              <w:t>1</w:t>
            </w:r>
          </w:p>
        </w:tc>
        <w:tc>
          <w:tcPr>
            <w:tcW w:w="0" w:type="auto"/>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71AC685B">
            <w:r>
              <w:t>0.475</w:t>
            </w:r>
          </w:p>
        </w:tc>
      </w:tr>
    </w:tbl>
    <w:p w14:paraId="66AF44A3">
      <w:pPr>
        <w:jc w:val="left"/>
      </w:pPr>
      <w:r>
        <w:t>根据上表，本项目氨水罐区的大小呼吸废气情况详见下表：</w:t>
      </w:r>
    </w:p>
    <w:p w14:paraId="51BE7235">
      <w:pPr>
        <w:jc w:val="center"/>
      </w:pPr>
      <w:r>
        <w:t>表4.6.1-3 储罐大小呼吸污染物一览表</w:t>
      </w:r>
    </w:p>
    <w:tbl>
      <w:tblPr>
        <w:tblStyle w:val="56"/>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912"/>
        <w:gridCol w:w="879"/>
        <w:gridCol w:w="1815"/>
        <w:gridCol w:w="1815"/>
        <w:gridCol w:w="1695"/>
        <w:gridCol w:w="1605"/>
      </w:tblGrid>
      <w:tr w14:paraId="4F9569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0" w:type="auto"/>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0FDCF7CC">
            <w:pPr>
              <w:jc w:val="center"/>
              <w:rPr>
                <w:b/>
              </w:rPr>
            </w:pPr>
            <w:r>
              <w:rPr>
                <w:b/>
              </w:rPr>
              <w:t>污染物名称</w:t>
            </w:r>
          </w:p>
        </w:tc>
        <w:tc>
          <w:tcPr>
            <w:tcW w:w="0" w:type="auto"/>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3BE9BD57">
            <w:pPr>
              <w:jc w:val="center"/>
              <w:rPr>
                <w:b/>
              </w:rPr>
            </w:pPr>
            <w:r>
              <w:rPr>
                <w:b/>
              </w:rPr>
              <w:t>污染源位置</w:t>
            </w:r>
          </w:p>
        </w:tc>
        <w:tc>
          <w:tcPr>
            <w:tcW w:w="0" w:type="auto"/>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0FE6AF32">
            <w:pPr>
              <w:jc w:val="center"/>
              <w:rPr>
                <w:b/>
              </w:rPr>
            </w:pPr>
            <w:r>
              <w:rPr>
                <w:b/>
              </w:rPr>
              <w:t>大呼吸排放量（kg/a）</w:t>
            </w:r>
          </w:p>
        </w:tc>
        <w:tc>
          <w:tcPr>
            <w:tcW w:w="0" w:type="auto"/>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1A700F93">
            <w:pPr>
              <w:jc w:val="center"/>
              <w:rPr>
                <w:b/>
              </w:rPr>
            </w:pPr>
            <w:r>
              <w:rPr>
                <w:b/>
              </w:rPr>
              <w:t>小呼吸排放量（kg/a）</w:t>
            </w:r>
          </w:p>
        </w:tc>
        <w:tc>
          <w:tcPr>
            <w:tcW w:w="0" w:type="auto"/>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37D8C911">
            <w:pPr>
              <w:jc w:val="center"/>
              <w:rPr>
                <w:b/>
              </w:rPr>
            </w:pPr>
            <w:r>
              <w:rPr>
                <w:b/>
              </w:rPr>
              <w:t>污染物产生量（t/a）</w:t>
            </w:r>
          </w:p>
        </w:tc>
        <w:tc>
          <w:tcPr>
            <w:tcW w:w="0" w:type="auto"/>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57A67FA9">
            <w:pPr>
              <w:jc w:val="center"/>
              <w:rPr>
                <w:b/>
              </w:rPr>
            </w:pPr>
            <w:r>
              <w:rPr>
                <w:b/>
              </w:rPr>
              <w:t>平均源强（kg/h）</w:t>
            </w:r>
          </w:p>
        </w:tc>
      </w:tr>
      <w:tr w14:paraId="1F7D11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0" w:type="auto"/>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386BDBC2">
            <w:r>
              <w:t>NH</w:t>
            </w:r>
            <w:r>
              <w:rPr>
                <w:vertAlign w:val="subscript"/>
              </w:rPr>
              <w:t>3</w:t>
            </w:r>
          </w:p>
        </w:tc>
        <w:tc>
          <w:tcPr>
            <w:tcW w:w="0" w:type="auto"/>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1FAEDC90">
            <w:r>
              <w:t>氨水储罐</w:t>
            </w:r>
          </w:p>
        </w:tc>
        <w:tc>
          <w:tcPr>
            <w:tcW w:w="0" w:type="auto"/>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0C9A9509">
            <w:r>
              <w:t>19.898</w:t>
            </w:r>
          </w:p>
        </w:tc>
        <w:tc>
          <w:tcPr>
            <w:tcW w:w="0" w:type="auto"/>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40F5F7AD">
            <w:r>
              <w:t>6.67</w:t>
            </w:r>
          </w:p>
        </w:tc>
        <w:tc>
          <w:tcPr>
            <w:tcW w:w="0" w:type="auto"/>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6F024076">
            <w:r>
              <w:t>0.026</w:t>
            </w:r>
          </w:p>
        </w:tc>
        <w:tc>
          <w:tcPr>
            <w:tcW w:w="0" w:type="auto"/>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0F10D45E">
            <w:r>
              <w:t>0.003</w:t>
            </w:r>
          </w:p>
        </w:tc>
      </w:tr>
    </w:tbl>
    <w:p w14:paraId="0DDFE9A9">
      <w:pPr>
        <w:jc w:val="left"/>
        <w:rPr>
          <w:b/>
          <w:bCs/>
        </w:rPr>
      </w:pPr>
      <w:r>
        <w:rPr>
          <w:rFonts w:hint="eastAsia"/>
          <w:b/>
          <w:bCs/>
        </w:rPr>
        <w:t>3</w:t>
      </w:r>
      <w:r>
        <w:rPr>
          <w:b/>
          <w:bCs/>
        </w:rPr>
        <w:t>.</w:t>
      </w:r>
      <w:r>
        <w:rPr>
          <w:rFonts w:hint="eastAsia"/>
          <w:b/>
          <w:bCs/>
        </w:rPr>
        <w:t>4</w:t>
      </w:r>
      <w:r>
        <w:rPr>
          <w:b/>
          <w:bCs/>
        </w:rPr>
        <w:t>.</w:t>
      </w:r>
      <w:r>
        <w:rPr>
          <w:rFonts w:hint="eastAsia"/>
          <w:b/>
          <w:bCs/>
        </w:rPr>
        <w:t>1</w:t>
      </w:r>
      <w:r>
        <w:rPr>
          <w:b/>
          <w:bCs/>
        </w:rPr>
        <w:t>.</w:t>
      </w:r>
      <w:r>
        <w:rPr>
          <w:rFonts w:hint="eastAsia"/>
          <w:b/>
          <w:bCs/>
        </w:rPr>
        <w:t>2</w:t>
      </w:r>
      <w:r>
        <w:rPr>
          <w:b/>
          <w:bCs/>
        </w:rPr>
        <w:t>交通污染源</w:t>
      </w:r>
    </w:p>
    <w:p w14:paraId="70A22BF2">
      <w:pPr>
        <w:keepNext w:val="0"/>
        <w:keepLines w:val="0"/>
        <w:widowControl/>
        <w:suppressLineNumbers w:val="0"/>
        <w:ind w:firstLine="480" w:firstLineChars="200"/>
        <w:jc w:val="left"/>
        <w:rPr>
          <w:rFonts w:hint="default" w:ascii="Times New Roman" w:hAnsi="Times New Roman" w:eastAsia="TimesNewRomanPS-BoldMT" w:cs="Times New Roman"/>
          <w:b w:val="0"/>
          <w:bCs w:val="0"/>
          <w:color w:val="000000"/>
          <w:kern w:val="0"/>
          <w:sz w:val="24"/>
          <w:szCs w:val="24"/>
          <w:lang w:val="en-US" w:eastAsia="zh-CN" w:bidi="ar"/>
        </w:rPr>
      </w:pPr>
      <w:r>
        <w:rPr>
          <w:rFonts w:hint="default" w:ascii="Times New Roman" w:hAnsi="Times New Roman" w:eastAsia="TimesNewRomanPS-BoldMT" w:cs="Times New Roman"/>
          <w:b w:val="0"/>
          <w:bCs w:val="0"/>
          <w:color w:val="000000"/>
          <w:kern w:val="0"/>
          <w:sz w:val="24"/>
          <w:szCs w:val="24"/>
          <w:lang w:val="en-US" w:eastAsia="zh-CN" w:bidi="ar"/>
        </w:rPr>
        <w:t>项目技改前后产能没有增加，因此技改前后运输量变化较小。运输过程中产生的废气能够迅速排入大气中，对环境产生的影响较小。</w:t>
      </w:r>
    </w:p>
    <w:p w14:paraId="6B928AD4">
      <w:pPr>
        <w:keepNext w:val="0"/>
        <w:keepLines w:val="0"/>
        <w:widowControl/>
        <w:suppressLineNumbers w:val="0"/>
        <w:ind w:firstLine="480" w:firstLineChars="200"/>
        <w:jc w:val="left"/>
        <w:rPr>
          <w:rFonts w:hint="default" w:ascii="Times New Roman" w:hAnsi="Times New Roman" w:cs="Times New Roman"/>
        </w:rPr>
      </w:pPr>
      <w:r>
        <w:rPr>
          <w:rFonts w:hint="default" w:ascii="Times New Roman" w:hAnsi="Times New Roman" w:eastAsia="TimesNewRomanPS-BoldMT" w:cs="Times New Roman"/>
          <w:b/>
          <w:bCs/>
          <w:color w:val="000000"/>
          <w:kern w:val="0"/>
          <w:sz w:val="24"/>
          <w:szCs w:val="24"/>
          <w:lang w:val="en-US" w:eastAsia="zh-CN" w:bidi="ar"/>
        </w:rPr>
        <w:t>3</w:t>
      </w:r>
      <w:r>
        <w:rPr>
          <w:rFonts w:hint="default" w:ascii="Times New Roman" w:hAnsi="Times New Roman" w:eastAsia="宋体" w:cs="Times New Roman"/>
          <w:b/>
          <w:bCs/>
          <w:color w:val="000000"/>
          <w:kern w:val="0"/>
          <w:sz w:val="24"/>
          <w:szCs w:val="24"/>
          <w:lang w:val="en-US" w:eastAsia="zh-CN" w:bidi="ar"/>
        </w:rPr>
        <w:t xml:space="preserve">、非正常工况 </w:t>
      </w:r>
    </w:p>
    <w:p w14:paraId="31432BE6">
      <w:pPr>
        <w:keepNext w:val="0"/>
        <w:keepLines w:val="0"/>
        <w:widowControl/>
        <w:suppressLineNumbers w:val="0"/>
        <w:ind w:firstLine="480" w:firstLineChars="200"/>
        <w:jc w:val="left"/>
      </w:pPr>
      <w:r>
        <w:rPr>
          <w:rFonts w:hint="eastAsia" w:ascii="宋体" w:hAnsi="宋体" w:eastAsia="宋体" w:cs="宋体"/>
          <w:color w:val="000000"/>
          <w:kern w:val="0"/>
          <w:sz w:val="24"/>
          <w:szCs w:val="24"/>
          <w:lang w:val="en-US" w:eastAsia="zh-CN" w:bidi="ar"/>
        </w:rPr>
        <w:t>通过对技改工程工艺过程及污染源治理措施的分析，并类比国内钢铁企业的生产实际，本工程生产过程污染物非正常排放主要发生在设备故障情况下，其中烧结车间烧结机头烟气污染物排放量最大，环保设备故障率相对较高。</w:t>
      </w:r>
    </w:p>
    <w:p w14:paraId="43C07293">
      <w:pPr>
        <w:keepNext w:val="0"/>
        <w:keepLines w:val="0"/>
        <w:widowControl/>
        <w:suppressLineNumbers w:val="0"/>
        <w:ind w:firstLine="480" w:firstLineChars="200"/>
        <w:jc w:val="left"/>
      </w:pPr>
      <w:r>
        <w:rPr>
          <w:rFonts w:hint="eastAsia" w:ascii="宋体" w:hAnsi="宋体" w:eastAsia="宋体" w:cs="宋体"/>
          <w:color w:val="000000"/>
          <w:kern w:val="0"/>
          <w:sz w:val="24"/>
          <w:szCs w:val="24"/>
          <w:lang w:val="en-US" w:eastAsia="zh-CN" w:bidi="ar"/>
        </w:rPr>
        <w:t xml:space="preserve">本工程机头烟气采用电除尘器对烧结热烟气进行治理，由于烧结机头烟气具有湿度大、烟气中粉尘粘度较大等特点，一旦烟气低于其露点温度，湿度较大的烟气烟尘的黏结力便会增强，附着在极板、极线上不容易被振打掉，而且在阴极芒刺尖端会产生尘瘤，导致电场电流趋近为零，除尘效率骤减。在实际生产操作中，电除尘器多个电场同时停止工作的概率极低，因此本评价认为单个电场停止工作造成除尘效率下降是发生频率比较高的事故，此时总除尘器净化效率降为 </w:t>
      </w:r>
      <w:r>
        <w:rPr>
          <w:rFonts w:hint="default" w:ascii="Times New Roman" w:hAnsi="Times New Roman" w:eastAsia="宋体" w:cs="Times New Roman"/>
          <w:color w:val="000000"/>
          <w:kern w:val="0"/>
          <w:sz w:val="24"/>
          <w:szCs w:val="24"/>
          <w:lang w:val="en-US" w:eastAsia="zh-CN" w:bidi="ar"/>
        </w:rPr>
        <w:t>93%</w:t>
      </w:r>
      <w:r>
        <w:rPr>
          <w:rFonts w:hint="eastAsia" w:ascii="宋体" w:hAnsi="宋体" w:eastAsia="宋体" w:cs="宋体"/>
          <w:color w:val="000000"/>
          <w:kern w:val="0"/>
          <w:sz w:val="24"/>
          <w:szCs w:val="24"/>
          <w:lang w:val="en-US" w:eastAsia="zh-CN" w:bidi="ar"/>
        </w:rPr>
        <w:t xml:space="preserve">。其他烟气脱硫脱氮协同处理系统、粉尘处理系统按完全失效计算。 </w:t>
      </w:r>
    </w:p>
    <w:p w14:paraId="5D64F724">
      <w:pPr>
        <w:keepNext w:val="0"/>
        <w:keepLines w:val="0"/>
        <w:widowControl/>
        <w:suppressLineNumbers w:val="0"/>
        <w:ind w:firstLine="480" w:firstLineChars="200"/>
        <w:jc w:val="left"/>
      </w:pPr>
      <w:r>
        <w:rPr>
          <w:rFonts w:hint="eastAsia" w:ascii="宋体" w:hAnsi="宋体" w:eastAsia="宋体" w:cs="宋体"/>
          <w:color w:val="000000"/>
          <w:kern w:val="0"/>
          <w:sz w:val="24"/>
          <w:szCs w:val="24"/>
          <w:lang w:val="en-US" w:eastAsia="zh-CN" w:bidi="ar"/>
        </w:rPr>
        <w:t xml:space="preserve">综上，项目各类废气产生源强汇总于表 </w:t>
      </w:r>
      <w:r>
        <w:rPr>
          <w:rFonts w:hint="default" w:ascii="Times New Roman" w:hAnsi="Times New Roman" w:eastAsia="宋体" w:cs="Times New Roman"/>
          <w:color w:val="000000"/>
          <w:kern w:val="0"/>
          <w:sz w:val="24"/>
          <w:szCs w:val="24"/>
          <w:lang w:val="en-US" w:eastAsia="zh-CN" w:bidi="ar"/>
        </w:rPr>
        <w:t>4.6.1-4</w:t>
      </w:r>
      <w:r>
        <w:rPr>
          <w:rFonts w:hint="eastAsia" w:ascii="宋体" w:hAnsi="宋体" w:eastAsia="宋体" w:cs="宋体"/>
          <w:color w:val="000000"/>
          <w:kern w:val="0"/>
          <w:sz w:val="24"/>
          <w:szCs w:val="24"/>
          <w:lang w:val="en-US" w:eastAsia="zh-CN" w:bidi="ar"/>
        </w:rPr>
        <w:t>。</w:t>
      </w:r>
    </w:p>
    <w:p w14:paraId="6F4C53C5">
      <w:pPr>
        <w:pStyle w:val="2"/>
        <w:rPr>
          <w:rFonts w:hint="eastAsia"/>
        </w:rPr>
      </w:pPr>
    </w:p>
    <w:p w14:paraId="42A36766">
      <w:pPr>
        <w:pStyle w:val="2"/>
        <w:rPr>
          <w:rFonts w:hint="eastAsia" w:ascii="Times New Roman" w:hAnsi="Times New Roman" w:cs="Times New Roman"/>
          <w:highlight w:val="yellow"/>
        </w:rPr>
        <w:sectPr>
          <w:pgSz w:w="11907" w:h="16840"/>
          <w:pgMar w:top="1701" w:right="1701" w:bottom="1701" w:left="1701" w:header="851" w:footer="1077" w:gutter="0"/>
          <w:pgBorders w:offsetFrom="page">
            <w:top w:val="none" w:sz="0" w:space="0"/>
            <w:left w:val="none" w:sz="0" w:space="0"/>
            <w:bottom w:val="none" w:sz="0" w:space="0"/>
            <w:right w:val="none" w:sz="0" w:space="0"/>
          </w:pgBorders>
          <w:pgNumType w:fmt="decimal"/>
          <w:cols w:space="720" w:num="1"/>
          <w:docGrid w:type="lines" w:linePitch="479" w:charSpace="0"/>
        </w:sectPr>
      </w:pPr>
    </w:p>
    <w:p w14:paraId="13C64EA1">
      <w:pPr>
        <w:jc w:val="center"/>
      </w:pPr>
      <w:r>
        <w:t>表4.6.1-4 烧结有组织废气正常排放情况</w:t>
      </w:r>
    </w:p>
    <w:tbl>
      <w:tblPr>
        <w:tblStyle w:val="56"/>
        <w:tblW w:w="4873"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599"/>
        <w:gridCol w:w="662"/>
        <w:gridCol w:w="662"/>
        <w:gridCol w:w="410"/>
        <w:gridCol w:w="473"/>
        <w:gridCol w:w="718"/>
        <w:gridCol w:w="798"/>
        <w:gridCol w:w="790"/>
        <w:gridCol w:w="662"/>
        <w:gridCol w:w="662"/>
        <w:gridCol w:w="473"/>
        <w:gridCol w:w="594"/>
        <w:gridCol w:w="883"/>
        <w:gridCol w:w="774"/>
        <w:gridCol w:w="730"/>
        <w:gridCol w:w="738"/>
        <w:gridCol w:w="718"/>
        <w:gridCol w:w="738"/>
        <w:gridCol w:w="751"/>
        <w:gridCol w:w="473"/>
      </w:tblGrid>
      <w:tr w14:paraId="50ADC1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tblHeader/>
          <w:jc w:val="center"/>
        </w:trPr>
        <w:tc>
          <w:tcPr>
            <w:tcW w:w="1261" w:type="dxa"/>
            <w:gridSpan w:val="2"/>
            <w:vMerge w:val="restart"/>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021F1B6C">
            <w:pPr>
              <w:snapToGrid w:val="0"/>
              <w:ind w:left="0" w:leftChars="0" w:right="0" w:rightChars="0" w:firstLine="0" w:firstLineChars="0"/>
              <w:jc w:val="center"/>
              <w:rPr>
                <w:b/>
              </w:rPr>
            </w:pPr>
          </w:p>
          <w:p w14:paraId="03228C89">
            <w:pPr>
              <w:pStyle w:val="2"/>
            </w:pPr>
          </w:p>
        </w:tc>
        <w:tc>
          <w:tcPr>
            <w:tcW w:w="662" w:type="dxa"/>
            <w:vMerge w:val="restart"/>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467FDFEF">
            <w:pPr>
              <w:snapToGrid w:val="0"/>
              <w:ind w:left="0" w:leftChars="0" w:right="0" w:rightChars="0" w:firstLine="0" w:firstLineChars="0"/>
              <w:jc w:val="center"/>
              <w:rPr>
                <w:b/>
              </w:rPr>
            </w:pPr>
            <w:r>
              <w:rPr>
                <w:b/>
              </w:rPr>
              <w:t>废气产生量m3/h</w:t>
            </w:r>
          </w:p>
        </w:tc>
        <w:tc>
          <w:tcPr>
            <w:tcW w:w="410" w:type="dxa"/>
            <w:vMerge w:val="restart"/>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53F67E40">
            <w:pPr>
              <w:snapToGrid w:val="0"/>
              <w:ind w:left="0" w:leftChars="0" w:right="0" w:rightChars="0" w:firstLine="0" w:firstLineChars="0"/>
              <w:jc w:val="center"/>
              <w:rPr>
                <w:b/>
              </w:rPr>
            </w:pPr>
            <w:r>
              <w:rPr>
                <w:b/>
              </w:rPr>
              <w:t>污染物</w:t>
            </w:r>
          </w:p>
        </w:tc>
        <w:tc>
          <w:tcPr>
            <w:tcW w:w="2779" w:type="dxa"/>
            <w:gridSpan w:val="4"/>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1844D682">
            <w:pPr>
              <w:snapToGrid w:val="0"/>
              <w:ind w:left="0" w:leftChars="0" w:right="0" w:rightChars="0" w:firstLine="0" w:firstLineChars="0"/>
              <w:jc w:val="center"/>
              <w:rPr>
                <w:b/>
              </w:rPr>
            </w:pPr>
            <w:r>
              <w:rPr>
                <w:b/>
              </w:rPr>
              <w:t>产生情况</w:t>
            </w:r>
          </w:p>
        </w:tc>
        <w:tc>
          <w:tcPr>
            <w:tcW w:w="662" w:type="dxa"/>
            <w:vMerge w:val="restart"/>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1CA74B70">
            <w:pPr>
              <w:snapToGrid w:val="0"/>
              <w:ind w:left="0" w:leftChars="0" w:right="0" w:rightChars="0" w:firstLine="0" w:firstLineChars="0"/>
              <w:jc w:val="center"/>
              <w:rPr>
                <w:b/>
              </w:rPr>
            </w:pPr>
            <w:r>
              <w:rPr>
                <w:b/>
              </w:rPr>
              <w:t>治理</w:t>
            </w:r>
          </w:p>
        </w:tc>
        <w:tc>
          <w:tcPr>
            <w:tcW w:w="662" w:type="dxa"/>
            <w:vMerge w:val="restart"/>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71C64A32">
            <w:pPr>
              <w:snapToGrid w:val="0"/>
              <w:ind w:left="0" w:leftChars="0" w:right="0" w:rightChars="0" w:firstLine="0" w:firstLineChars="0"/>
              <w:jc w:val="center"/>
              <w:rPr>
                <w:b/>
              </w:rPr>
            </w:pPr>
            <w:r>
              <w:rPr>
                <w:b/>
              </w:rPr>
              <w:t>废气排气量</w:t>
            </w:r>
          </w:p>
        </w:tc>
        <w:tc>
          <w:tcPr>
            <w:tcW w:w="473" w:type="dxa"/>
            <w:vMerge w:val="restart"/>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316E44D2">
            <w:pPr>
              <w:snapToGrid w:val="0"/>
              <w:ind w:left="0" w:leftChars="0" w:right="0" w:rightChars="0" w:firstLine="0" w:firstLineChars="0"/>
              <w:jc w:val="center"/>
              <w:rPr>
                <w:b/>
              </w:rPr>
            </w:pPr>
            <w:r>
              <w:rPr>
                <w:b/>
              </w:rPr>
              <w:t>处理效率%</w:t>
            </w:r>
          </w:p>
        </w:tc>
        <w:tc>
          <w:tcPr>
            <w:tcW w:w="2251" w:type="dxa"/>
            <w:gridSpan w:val="3"/>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73941D5D">
            <w:pPr>
              <w:snapToGrid w:val="0"/>
              <w:ind w:left="0" w:leftChars="0" w:right="0" w:rightChars="0" w:firstLine="0" w:firstLineChars="0"/>
              <w:jc w:val="center"/>
              <w:rPr>
                <w:b/>
              </w:rPr>
            </w:pPr>
            <w:r>
              <w:rPr>
                <w:b/>
              </w:rPr>
              <w:t>污染源排放情况</w:t>
            </w:r>
          </w:p>
        </w:tc>
        <w:tc>
          <w:tcPr>
            <w:tcW w:w="2924" w:type="dxa"/>
            <w:gridSpan w:val="4"/>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6D19BE87">
            <w:pPr>
              <w:snapToGrid w:val="0"/>
              <w:ind w:left="0" w:leftChars="0" w:right="0" w:rightChars="0" w:firstLine="0" w:firstLineChars="0"/>
              <w:jc w:val="center"/>
              <w:rPr>
                <w:b/>
              </w:rPr>
            </w:pPr>
            <w:r>
              <w:rPr>
                <w:b/>
              </w:rPr>
              <w:t>排放源参数</w:t>
            </w:r>
          </w:p>
        </w:tc>
        <w:tc>
          <w:tcPr>
            <w:tcW w:w="751" w:type="dxa"/>
            <w:vMerge w:val="restart"/>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02E02E60">
            <w:pPr>
              <w:snapToGrid w:val="0"/>
              <w:ind w:left="0" w:leftChars="0" w:right="0" w:rightChars="0" w:firstLine="0" w:firstLineChars="0"/>
              <w:jc w:val="center"/>
              <w:rPr>
                <w:b/>
              </w:rPr>
            </w:pPr>
            <w:r>
              <w:rPr>
                <w:b/>
              </w:rPr>
              <w:t>废气排放时间h</w:t>
            </w:r>
          </w:p>
        </w:tc>
        <w:tc>
          <w:tcPr>
            <w:tcW w:w="473" w:type="dxa"/>
            <w:vMerge w:val="restart"/>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0FDB89F2">
            <w:pPr>
              <w:snapToGrid w:val="0"/>
              <w:ind w:left="0" w:leftChars="0" w:right="0" w:rightChars="0" w:firstLine="0" w:firstLineChars="0"/>
              <w:jc w:val="center"/>
              <w:rPr>
                <w:b/>
              </w:rPr>
            </w:pPr>
            <w:r>
              <w:rPr>
                <w:b/>
              </w:rPr>
              <w:t>排放</w:t>
            </w:r>
          </w:p>
        </w:tc>
      </w:tr>
      <w:tr w14:paraId="12F717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tblHeader/>
          <w:jc w:val="center"/>
        </w:trPr>
        <w:tc>
          <w:tcPr>
            <w:tcW w:w="1261" w:type="dxa"/>
            <w:gridSpan w:val="2"/>
            <w:vMerge w:val="continue"/>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4BD0D692">
            <w:pPr>
              <w:snapToGrid w:val="0"/>
              <w:ind w:left="0" w:leftChars="0" w:right="0" w:rightChars="0" w:firstLine="0" w:firstLineChars="0"/>
              <w:jc w:val="center"/>
              <w:rPr>
                <w:b/>
              </w:rPr>
            </w:pPr>
          </w:p>
        </w:tc>
        <w:tc>
          <w:tcPr>
            <w:tcW w:w="662" w:type="dxa"/>
            <w:vMerge w:val="continue"/>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18A81817">
            <w:pPr>
              <w:snapToGrid w:val="0"/>
              <w:ind w:left="0" w:leftChars="0" w:right="0" w:rightChars="0" w:firstLine="0" w:firstLineChars="0"/>
              <w:jc w:val="center"/>
              <w:rPr>
                <w:b/>
              </w:rPr>
            </w:pPr>
          </w:p>
        </w:tc>
        <w:tc>
          <w:tcPr>
            <w:tcW w:w="410" w:type="dxa"/>
            <w:vMerge w:val="continue"/>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7F05C97D">
            <w:pPr>
              <w:snapToGrid w:val="0"/>
              <w:ind w:left="0" w:leftChars="0" w:right="0" w:rightChars="0" w:firstLine="0" w:firstLineChars="0"/>
              <w:jc w:val="center"/>
              <w:rPr>
                <w:b/>
              </w:rPr>
            </w:pPr>
          </w:p>
        </w:tc>
        <w:tc>
          <w:tcPr>
            <w:tcW w:w="473"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14319696">
            <w:pPr>
              <w:snapToGrid w:val="0"/>
              <w:ind w:left="0" w:leftChars="0" w:right="0" w:rightChars="0" w:firstLine="0" w:firstLineChars="0"/>
              <w:jc w:val="center"/>
              <w:rPr>
                <w:b/>
              </w:rPr>
            </w:pPr>
            <w:r>
              <w:rPr>
                <w:b/>
              </w:rPr>
              <w:t>核算方法</w:t>
            </w:r>
          </w:p>
        </w:tc>
        <w:tc>
          <w:tcPr>
            <w:tcW w:w="718"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3829F8CC">
            <w:pPr>
              <w:snapToGrid w:val="0"/>
              <w:ind w:left="0" w:leftChars="0" w:right="0" w:rightChars="0" w:firstLine="0" w:firstLineChars="0"/>
              <w:jc w:val="center"/>
              <w:rPr>
                <w:b/>
              </w:rPr>
            </w:pPr>
            <w:r>
              <w:rPr>
                <w:b/>
              </w:rPr>
              <w:t>浓度mg/m3</w:t>
            </w:r>
          </w:p>
        </w:tc>
        <w:tc>
          <w:tcPr>
            <w:tcW w:w="798"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4963F7D5">
            <w:pPr>
              <w:snapToGrid w:val="0"/>
              <w:ind w:left="0" w:leftChars="0" w:right="0" w:rightChars="0" w:firstLine="0" w:firstLineChars="0"/>
              <w:jc w:val="center"/>
              <w:rPr>
                <w:b/>
              </w:rPr>
            </w:pPr>
            <w:r>
              <w:rPr>
                <w:b/>
              </w:rPr>
              <w:t>速率kg/h</w:t>
            </w:r>
          </w:p>
        </w:tc>
        <w:tc>
          <w:tcPr>
            <w:tcW w:w="790"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3668B55D">
            <w:pPr>
              <w:snapToGrid w:val="0"/>
              <w:ind w:left="0" w:leftChars="0" w:right="0" w:rightChars="0" w:firstLine="0" w:firstLineChars="0"/>
              <w:jc w:val="center"/>
              <w:rPr>
                <w:b/>
              </w:rPr>
            </w:pPr>
            <w:r>
              <w:rPr>
                <w:b/>
              </w:rPr>
              <w:t>排放量t/a</w:t>
            </w:r>
          </w:p>
        </w:tc>
        <w:tc>
          <w:tcPr>
            <w:tcW w:w="662" w:type="dxa"/>
            <w:vMerge w:val="continue"/>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62FB5A48">
            <w:pPr>
              <w:snapToGrid w:val="0"/>
              <w:ind w:left="0" w:leftChars="0" w:right="0" w:rightChars="0" w:firstLine="0" w:firstLineChars="0"/>
              <w:jc w:val="center"/>
              <w:rPr>
                <w:b/>
              </w:rPr>
            </w:pPr>
          </w:p>
        </w:tc>
        <w:tc>
          <w:tcPr>
            <w:tcW w:w="662" w:type="dxa"/>
            <w:vMerge w:val="continue"/>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50F3AB0D">
            <w:pPr>
              <w:snapToGrid w:val="0"/>
              <w:ind w:left="0" w:leftChars="0" w:right="0" w:rightChars="0" w:firstLine="0" w:firstLineChars="0"/>
              <w:jc w:val="center"/>
              <w:rPr>
                <w:b/>
              </w:rPr>
            </w:pPr>
          </w:p>
        </w:tc>
        <w:tc>
          <w:tcPr>
            <w:tcW w:w="473" w:type="dxa"/>
            <w:vMerge w:val="continue"/>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0445E754">
            <w:pPr>
              <w:snapToGrid w:val="0"/>
              <w:ind w:left="0" w:leftChars="0" w:right="0" w:rightChars="0" w:firstLine="0" w:firstLineChars="0"/>
              <w:jc w:val="center"/>
              <w:rPr>
                <w:b/>
              </w:rPr>
            </w:pPr>
          </w:p>
        </w:tc>
        <w:tc>
          <w:tcPr>
            <w:tcW w:w="594"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79C8B3F2">
            <w:pPr>
              <w:snapToGrid w:val="0"/>
              <w:ind w:left="0" w:leftChars="0" w:right="0" w:rightChars="0" w:firstLine="0" w:firstLineChars="0"/>
              <w:jc w:val="center"/>
              <w:rPr>
                <w:b/>
              </w:rPr>
            </w:pPr>
            <w:r>
              <w:rPr>
                <w:b/>
              </w:rPr>
              <w:t>浓度mg/m3</w:t>
            </w:r>
          </w:p>
        </w:tc>
        <w:tc>
          <w:tcPr>
            <w:tcW w:w="883"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756A9054">
            <w:pPr>
              <w:snapToGrid w:val="0"/>
              <w:ind w:left="0" w:leftChars="0" w:right="0" w:rightChars="0" w:firstLine="0" w:firstLineChars="0"/>
              <w:jc w:val="center"/>
              <w:rPr>
                <w:b/>
              </w:rPr>
            </w:pPr>
            <w:r>
              <w:rPr>
                <w:b/>
              </w:rPr>
              <w:t>速率kg/h</w:t>
            </w:r>
          </w:p>
        </w:tc>
        <w:tc>
          <w:tcPr>
            <w:tcW w:w="774"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55CEFC41">
            <w:pPr>
              <w:snapToGrid w:val="0"/>
              <w:ind w:left="0" w:leftChars="0" w:right="0" w:rightChars="0" w:firstLine="0" w:firstLineChars="0"/>
              <w:jc w:val="center"/>
              <w:rPr>
                <w:b/>
              </w:rPr>
            </w:pPr>
            <w:r>
              <w:rPr>
                <w:b/>
              </w:rPr>
              <w:t>排放量t/a</w:t>
            </w:r>
          </w:p>
        </w:tc>
        <w:tc>
          <w:tcPr>
            <w:tcW w:w="730"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427B8652">
            <w:pPr>
              <w:snapToGrid w:val="0"/>
              <w:ind w:left="0" w:leftChars="0" w:right="0" w:rightChars="0" w:firstLine="0" w:firstLineChars="0"/>
              <w:jc w:val="center"/>
              <w:rPr>
                <w:b/>
              </w:rPr>
            </w:pPr>
            <w:r>
              <w:rPr>
                <w:b/>
              </w:rPr>
              <w:t>高度</w:t>
            </w:r>
          </w:p>
        </w:tc>
        <w:tc>
          <w:tcPr>
            <w:tcW w:w="738"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0158B16F">
            <w:pPr>
              <w:snapToGrid w:val="0"/>
              <w:ind w:left="0" w:leftChars="0" w:right="0" w:rightChars="0" w:firstLine="0" w:firstLineChars="0"/>
              <w:jc w:val="center"/>
              <w:rPr>
                <w:b/>
              </w:rPr>
            </w:pPr>
            <w:r>
              <w:rPr>
                <w:b/>
              </w:rPr>
              <w:t>内径</w:t>
            </w:r>
          </w:p>
        </w:tc>
        <w:tc>
          <w:tcPr>
            <w:tcW w:w="718"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7D224C54">
            <w:pPr>
              <w:snapToGrid w:val="0"/>
              <w:ind w:left="0" w:leftChars="0" w:right="0" w:rightChars="0" w:firstLine="0" w:firstLineChars="0"/>
              <w:jc w:val="center"/>
              <w:rPr>
                <w:b/>
              </w:rPr>
            </w:pPr>
            <w:r>
              <w:rPr>
                <w:b/>
              </w:rPr>
              <w:t>温度</w:t>
            </w:r>
          </w:p>
        </w:tc>
        <w:tc>
          <w:tcPr>
            <w:tcW w:w="738"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10F24C0A">
            <w:pPr>
              <w:snapToGrid w:val="0"/>
              <w:ind w:left="0" w:leftChars="0" w:right="0" w:rightChars="0" w:firstLine="0" w:firstLineChars="0"/>
              <w:jc w:val="center"/>
              <w:rPr>
                <w:b/>
              </w:rPr>
            </w:pPr>
            <w:r>
              <w:rPr>
                <w:b/>
              </w:rPr>
              <w:t>编号</w:t>
            </w:r>
          </w:p>
        </w:tc>
        <w:tc>
          <w:tcPr>
            <w:tcW w:w="751" w:type="dxa"/>
            <w:vMerge w:val="continue"/>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1A698C45">
            <w:pPr>
              <w:snapToGrid w:val="0"/>
              <w:ind w:left="0" w:leftChars="0" w:right="0" w:rightChars="0" w:firstLine="0" w:firstLineChars="0"/>
              <w:jc w:val="center"/>
            </w:pPr>
          </w:p>
        </w:tc>
        <w:tc>
          <w:tcPr>
            <w:tcW w:w="473" w:type="dxa"/>
            <w:vMerge w:val="continue"/>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5310D226">
            <w:pPr>
              <w:snapToGrid w:val="0"/>
              <w:ind w:left="0" w:leftChars="0" w:right="0" w:rightChars="0" w:firstLine="0" w:firstLineChars="0"/>
              <w:jc w:val="center"/>
            </w:pPr>
          </w:p>
        </w:tc>
      </w:tr>
      <w:tr w14:paraId="550C41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599" w:type="dxa"/>
            <w:vMerge w:val="restart"/>
            <w:tcBorders>
              <w:top w:val="single" w:color="000000" w:sz="4" w:space="0"/>
              <w:left w:val="single" w:color="000000" w:sz="4" w:space="0"/>
              <w:right w:val="single" w:color="000000" w:sz="4" w:space="0"/>
            </w:tcBorders>
            <w:noWrap w:val="0"/>
            <w:tcMar>
              <w:left w:w="108" w:type="dxa"/>
              <w:right w:w="108" w:type="dxa"/>
            </w:tcMar>
            <w:vAlign w:val="center"/>
          </w:tcPr>
          <w:p w14:paraId="24A1EEBC">
            <w:pPr>
              <w:snapToGrid w:val="0"/>
              <w:ind w:left="0" w:leftChars="0" w:right="0" w:rightChars="0" w:firstLine="0" w:firstLineChars="0"/>
              <w:jc w:val="center"/>
            </w:pPr>
            <w:r>
              <w:t>烧结机</w:t>
            </w:r>
          </w:p>
        </w:tc>
        <w:tc>
          <w:tcPr>
            <w:tcW w:w="662"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31FFE355">
            <w:pPr>
              <w:keepNext w:val="0"/>
              <w:keepLines w:val="0"/>
              <w:widowControl/>
              <w:suppressLineNumbers w:val="0"/>
              <w:jc w:val="center"/>
              <w:textAlignment w:val="center"/>
            </w:pPr>
            <w:r>
              <w:rPr>
                <w:rFonts w:hint="default" w:ascii="Times New Roman" w:hAnsi="Times New Roman" w:eastAsia="宋体" w:cs="Times New Roman"/>
                <w:b w:val="0"/>
                <w:bCs/>
                <w:i w:val="0"/>
                <w:iCs w:val="0"/>
                <w:color w:val="000000"/>
                <w:kern w:val="0"/>
                <w:sz w:val="21"/>
                <w:szCs w:val="21"/>
                <w:u w:val="none"/>
                <w:lang w:val="en-US" w:eastAsia="zh-CN" w:bidi="ar"/>
              </w:rPr>
              <w:t>配料室</w:t>
            </w:r>
          </w:p>
        </w:tc>
        <w:tc>
          <w:tcPr>
            <w:tcW w:w="662"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68795B13">
            <w:pPr>
              <w:jc w:val="center"/>
            </w:pPr>
            <w:r>
              <w:rPr>
                <w:rFonts w:hint="default" w:ascii="Times New Roman" w:hAnsi="Times New Roman" w:cs="Times New Roman"/>
                <w:b w:val="0"/>
                <w:bCs/>
                <w:sz w:val="21"/>
                <w:szCs w:val="21"/>
                <w:lang w:val="en-US" w:eastAsia="zh-CN"/>
              </w:rPr>
              <w:t>30000</w:t>
            </w:r>
          </w:p>
        </w:tc>
        <w:tc>
          <w:tcPr>
            <w:tcW w:w="410"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279F7152">
            <w:pPr>
              <w:keepNext w:val="0"/>
              <w:keepLines w:val="0"/>
              <w:widowControl/>
              <w:suppressLineNumbers w:val="0"/>
              <w:jc w:val="center"/>
              <w:textAlignment w:val="center"/>
            </w:pPr>
            <w:r>
              <w:rPr>
                <w:rFonts w:hint="default" w:ascii="Times New Roman" w:hAnsi="Times New Roman" w:eastAsia="宋体" w:cs="Times New Roman"/>
                <w:b w:val="0"/>
                <w:bCs/>
                <w:i w:val="0"/>
                <w:iCs w:val="0"/>
                <w:color w:val="000000"/>
                <w:kern w:val="0"/>
                <w:sz w:val="21"/>
                <w:szCs w:val="21"/>
                <w:u w:val="none"/>
                <w:lang w:val="en-US" w:eastAsia="zh-CN" w:bidi="ar"/>
              </w:rPr>
              <w:t>颗粒物</w:t>
            </w:r>
          </w:p>
        </w:tc>
        <w:tc>
          <w:tcPr>
            <w:tcW w:w="473"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02A27261">
            <w:pPr>
              <w:snapToGrid w:val="0"/>
              <w:ind w:left="0" w:leftChars="0" w:right="0" w:rightChars="0" w:firstLine="0" w:firstLineChars="0"/>
              <w:jc w:val="center"/>
            </w:pPr>
            <w:r>
              <w:t>类比法</w:t>
            </w:r>
          </w:p>
        </w:tc>
        <w:tc>
          <w:tcPr>
            <w:tcW w:w="718"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232032DC">
            <w:pPr>
              <w:keepNext w:val="0"/>
              <w:keepLines w:val="0"/>
              <w:widowControl/>
              <w:suppressLineNumbers w:val="0"/>
              <w:jc w:val="center"/>
              <w:textAlignment w:val="center"/>
            </w:pPr>
            <w:r>
              <w:rPr>
                <w:rFonts w:hint="default" w:ascii="Times New Roman" w:hAnsi="Times New Roman" w:eastAsia="宋体" w:cs="Times New Roman"/>
                <w:b w:val="0"/>
                <w:bCs w:val="0"/>
                <w:i w:val="0"/>
                <w:iCs w:val="0"/>
                <w:color w:val="000000"/>
                <w:kern w:val="0"/>
                <w:sz w:val="21"/>
                <w:szCs w:val="21"/>
                <w:u w:val="none"/>
                <w:lang w:val="en-US" w:eastAsia="zh-CN" w:bidi="ar"/>
              </w:rPr>
              <w:t>6666.67</w:t>
            </w:r>
          </w:p>
        </w:tc>
        <w:tc>
          <w:tcPr>
            <w:tcW w:w="798"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6B67F91C">
            <w:pPr>
              <w:jc w:val="center"/>
            </w:pPr>
            <w:r>
              <w:rPr>
                <w:rFonts w:hint="default" w:ascii="Times New Roman" w:hAnsi="Times New Roman" w:eastAsia="宋体" w:cs="Times New Roman"/>
                <w:b w:val="0"/>
                <w:bCs/>
                <w:color w:val="auto"/>
                <w:sz w:val="21"/>
                <w:szCs w:val="21"/>
                <w:highlight w:val="none"/>
                <w:lang w:val="en-US" w:eastAsia="zh-CN"/>
              </w:rPr>
              <w:t>200</w:t>
            </w:r>
          </w:p>
        </w:tc>
        <w:tc>
          <w:tcPr>
            <w:tcW w:w="790"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4A44892C">
            <w:pPr>
              <w:keepNext w:val="0"/>
              <w:keepLines w:val="0"/>
              <w:widowControl/>
              <w:suppressLineNumbers w:val="0"/>
              <w:jc w:val="center"/>
              <w:textAlignment w:val="center"/>
            </w:pPr>
            <w:r>
              <w:rPr>
                <w:rFonts w:hint="eastAsia" w:ascii="宋体" w:hAnsi="宋体" w:eastAsia="宋体" w:cs="宋体"/>
                <w:i w:val="0"/>
                <w:iCs w:val="0"/>
                <w:color w:val="000000"/>
                <w:kern w:val="0"/>
                <w:sz w:val="24"/>
                <w:szCs w:val="24"/>
                <w:u w:val="none"/>
                <w:lang w:val="en-US" w:eastAsia="zh-CN" w:bidi="ar"/>
              </w:rPr>
              <w:t>1584</w:t>
            </w:r>
          </w:p>
        </w:tc>
        <w:tc>
          <w:tcPr>
            <w:tcW w:w="662"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3FEF883F">
            <w:pPr>
              <w:keepNext w:val="0"/>
              <w:keepLines w:val="0"/>
              <w:widowControl/>
              <w:suppressLineNumbers w:val="0"/>
              <w:jc w:val="center"/>
              <w:textAlignment w:val="center"/>
            </w:pPr>
            <w:r>
              <w:rPr>
                <w:rFonts w:hint="default" w:ascii="Times New Roman" w:hAnsi="Times New Roman" w:eastAsia="宋体" w:cs="Times New Roman"/>
                <w:b w:val="0"/>
                <w:bCs/>
                <w:i w:val="0"/>
                <w:iCs w:val="0"/>
                <w:color w:val="000000"/>
                <w:kern w:val="0"/>
                <w:sz w:val="21"/>
                <w:szCs w:val="21"/>
                <w:u w:val="none"/>
                <w:lang w:val="en-US" w:eastAsia="zh-CN" w:bidi="ar"/>
              </w:rPr>
              <w:t>袋式除尘</w:t>
            </w:r>
          </w:p>
        </w:tc>
        <w:tc>
          <w:tcPr>
            <w:tcW w:w="662"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23D45E2D">
            <w:pPr>
              <w:jc w:val="center"/>
            </w:pPr>
            <w:r>
              <w:rPr>
                <w:rFonts w:hint="default" w:ascii="Times New Roman" w:hAnsi="Times New Roman" w:cs="Times New Roman"/>
                <w:b w:val="0"/>
                <w:bCs/>
                <w:sz w:val="21"/>
                <w:szCs w:val="21"/>
                <w:lang w:val="en-US" w:eastAsia="zh-CN"/>
              </w:rPr>
              <w:t>30000</w:t>
            </w:r>
          </w:p>
        </w:tc>
        <w:tc>
          <w:tcPr>
            <w:tcW w:w="473"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15D9797A">
            <w:pPr>
              <w:snapToGrid w:val="0"/>
              <w:ind w:left="0" w:leftChars="0" w:right="0" w:rightChars="0" w:firstLine="0" w:firstLineChars="0"/>
              <w:jc w:val="center"/>
              <w:rPr>
                <w:rFonts w:hint="eastAsia" w:eastAsia="宋体"/>
                <w:lang w:eastAsia="zh-CN"/>
              </w:rPr>
            </w:pPr>
            <w:r>
              <w:t>99.</w:t>
            </w:r>
            <w:r>
              <w:rPr>
                <w:rFonts w:hint="eastAsia"/>
                <w:lang w:val="en-US" w:eastAsia="zh-CN"/>
              </w:rPr>
              <w:t>9</w:t>
            </w:r>
          </w:p>
        </w:tc>
        <w:tc>
          <w:tcPr>
            <w:tcW w:w="594"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5CB1C827">
            <w:pPr>
              <w:keepNext w:val="0"/>
              <w:keepLines w:val="0"/>
              <w:widowControl/>
              <w:suppressLineNumbers w:val="0"/>
              <w:jc w:val="center"/>
              <w:textAlignment w:val="center"/>
            </w:pPr>
            <w:r>
              <w:rPr>
                <w:rFonts w:hint="eastAsia" w:ascii="宋体" w:hAnsi="宋体" w:eastAsia="宋体" w:cs="宋体"/>
                <w:i w:val="0"/>
                <w:iCs w:val="0"/>
                <w:color w:val="000000"/>
                <w:kern w:val="0"/>
                <w:sz w:val="24"/>
                <w:szCs w:val="24"/>
                <w:u w:val="none"/>
                <w:lang w:val="en-US" w:eastAsia="zh-CN" w:bidi="ar"/>
              </w:rPr>
              <w:t xml:space="preserve">9.67 </w:t>
            </w:r>
          </w:p>
        </w:tc>
        <w:tc>
          <w:tcPr>
            <w:tcW w:w="883"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60EC98EC">
            <w:pPr>
              <w:snapToGrid w:val="0"/>
              <w:ind w:left="0" w:leftChars="0" w:right="0" w:rightChars="0" w:firstLine="0" w:firstLineChars="0"/>
              <w:jc w:val="center"/>
            </w:pPr>
            <w:r>
              <w:rPr>
                <w:rFonts w:hint="eastAsia" w:ascii="Times New Roman" w:hAnsi="Times New Roman" w:cs="Times New Roman"/>
                <w:sz w:val="21"/>
                <w:szCs w:val="21"/>
                <w:lang w:val="en-US" w:eastAsia="zh-CN"/>
              </w:rPr>
              <w:t>0.29</w:t>
            </w:r>
          </w:p>
        </w:tc>
        <w:tc>
          <w:tcPr>
            <w:tcW w:w="774"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45F51F7F">
            <w:pPr>
              <w:keepNext w:val="0"/>
              <w:keepLines w:val="0"/>
              <w:widowControl/>
              <w:suppressLineNumbers w:val="0"/>
              <w:jc w:val="center"/>
              <w:textAlignment w:val="center"/>
            </w:pPr>
            <w:r>
              <w:rPr>
                <w:rFonts w:hint="eastAsia" w:ascii="宋体" w:hAnsi="宋体" w:eastAsia="宋体" w:cs="宋体"/>
                <w:i w:val="0"/>
                <w:iCs w:val="0"/>
                <w:color w:val="000000"/>
                <w:kern w:val="0"/>
                <w:sz w:val="24"/>
                <w:szCs w:val="24"/>
                <w:u w:val="none"/>
                <w:lang w:val="en-US" w:eastAsia="zh-CN" w:bidi="ar"/>
              </w:rPr>
              <w:t>2.2968</w:t>
            </w:r>
          </w:p>
        </w:tc>
        <w:tc>
          <w:tcPr>
            <w:tcW w:w="730"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71C07AD3">
            <w:pPr>
              <w:pStyle w:val="720"/>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pPr>
            <w:r>
              <w:rPr>
                <w:rFonts w:hint="default" w:ascii="Times New Roman" w:hAnsi="Times New Roman" w:eastAsia="宋体" w:cs="Times New Roman"/>
                <w:b w:val="0"/>
                <w:bCs/>
                <w:color w:val="auto"/>
                <w:sz w:val="21"/>
                <w:szCs w:val="21"/>
                <w:highlight w:val="none"/>
                <w:lang w:val="en-US" w:eastAsia="zh-CN"/>
              </w:rPr>
              <w:t>16</w:t>
            </w:r>
          </w:p>
        </w:tc>
        <w:tc>
          <w:tcPr>
            <w:tcW w:w="738"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6E94B936">
            <w:pPr>
              <w:pStyle w:val="720"/>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pPr>
            <w:r>
              <w:rPr>
                <w:rFonts w:hint="default" w:ascii="Times New Roman" w:hAnsi="Times New Roman" w:eastAsia="宋体" w:cs="Times New Roman"/>
                <w:b w:val="0"/>
                <w:bCs/>
                <w:sz w:val="21"/>
                <w:szCs w:val="21"/>
                <w:lang w:val="en-US" w:eastAsia="zh-CN"/>
              </w:rPr>
              <w:t>0.9</w:t>
            </w:r>
          </w:p>
        </w:tc>
        <w:tc>
          <w:tcPr>
            <w:tcW w:w="718"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79D3467C">
            <w:pPr>
              <w:pStyle w:val="720"/>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pPr>
            <w:r>
              <w:rPr>
                <w:rFonts w:hint="default" w:ascii="Times New Roman" w:hAnsi="Times New Roman" w:eastAsia="宋体" w:cs="Times New Roman"/>
                <w:b w:val="0"/>
                <w:bCs/>
                <w:spacing w:val="-2"/>
                <w:sz w:val="21"/>
                <w:szCs w:val="21"/>
                <w:lang w:val="en-US" w:eastAsia="zh-CN"/>
              </w:rPr>
              <w:t>常温</w:t>
            </w:r>
          </w:p>
        </w:tc>
        <w:tc>
          <w:tcPr>
            <w:tcW w:w="738"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61C40703">
            <w:pPr>
              <w:jc w:val="center"/>
            </w:pPr>
            <w:r>
              <w:rPr>
                <w:rFonts w:hint="default" w:ascii="Times New Roman" w:hAnsi="Times New Roman" w:cs="Times New Roman"/>
                <w:b w:val="0"/>
                <w:bCs/>
                <w:sz w:val="21"/>
                <w:szCs w:val="21"/>
                <w:lang w:val="en-US" w:eastAsia="zh-CN"/>
              </w:rPr>
              <w:t>DA003</w:t>
            </w:r>
          </w:p>
        </w:tc>
        <w:tc>
          <w:tcPr>
            <w:tcW w:w="751"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6EACFE38">
            <w:pPr>
              <w:snapToGrid w:val="0"/>
              <w:ind w:left="0" w:leftChars="0" w:right="0" w:rightChars="0" w:firstLine="0" w:firstLineChars="0"/>
              <w:jc w:val="center"/>
            </w:pPr>
            <w:r>
              <w:t>7920</w:t>
            </w:r>
          </w:p>
        </w:tc>
        <w:tc>
          <w:tcPr>
            <w:tcW w:w="473"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4AD2BDC8">
            <w:pPr>
              <w:snapToGrid w:val="0"/>
              <w:ind w:left="0" w:leftChars="0" w:right="0" w:rightChars="0" w:firstLine="0" w:firstLineChars="0"/>
              <w:jc w:val="center"/>
            </w:pPr>
            <w:r>
              <w:t>连续</w:t>
            </w:r>
          </w:p>
        </w:tc>
      </w:tr>
      <w:tr w14:paraId="78ABBB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599" w:type="dxa"/>
            <w:vMerge w:val="continue"/>
            <w:tcBorders>
              <w:left w:val="single" w:color="000000" w:sz="4" w:space="0"/>
              <w:right w:val="single" w:color="000000" w:sz="4" w:space="0"/>
            </w:tcBorders>
            <w:noWrap w:val="0"/>
            <w:tcMar>
              <w:left w:w="108" w:type="dxa"/>
              <w:right w:w="108" w:type="dxa"/>
            </w:tcMar>
            <w:vAlign w:val="center"/>
          </w:tcPr>
          <w:p w14:paraId="6591F95A">
            <w:pPr>
              <w:snapToGrid w:val="0"/>
              <w:ind w:left="0" w:leftChars="0" w:right="0" w:rightChars="0" w:firstLine="0" w:firstLineChars="0"/>
              <w:jc w:val="center"/>
            </w:pPr>
          </w:p>
        </w:tc>
        <w:tc>
          <w:tcPr>
            <w:tcW w:w="662"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742A6DDC">
            <w:pPr>
              <w:keepNext w:val="0"/>
              <w:keepLines w:val="0"/>
              <w:widowControl/>
              <w:suppressLineNumbers w:val="0"/>
              <w:jc w:val="center"/>
              <w:textAlignment w:val="center"/>
            </w:pPr>
            <w:r>
              <w:rPr>
                <w:rFonts w:hint="default" w:ascii="Times New Roman" w:hAnsi="Times New Roman" w:eastAsia="宋体" w:cs="Times New Roman"/>
                <w:b w:val="0"/>
                <w:bCs/>
                <w:i w:val="0"/>
                <w:iCs w:val="0"/>
                <w:color w:val="000000"/>
                <w:kern w:val="0"/>
                <w:sz w:val="21"/>
                <w:szCs w:val="21"/>
                <w:u w:val="none"/>
                <w:lang w:val="en-US" w:eastAsia="zh-CN" w:bidi="ar"/>
              </w:rPr>
              <w:t>一、二次混合</w:t>
            </w:r>
          </w:p>
        </w:tc>
        <w:tc>
          <w:tcPr>
            <w:tcW w:w="662"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34991C07">
            <w:pPr>
              <w:jc w:val="center"/>
            </w:pPr>
            <w:r>
              <w:rPr>
                <w:rFonts w:hint="default" w:ascii="Times New Roman" w:hAnsi="Times New Roman" w:cs="Times New Roman"/>
                <w:b w:val="0"/>
                <w:bCs/>
                <w:sz w:val="21"/>
                <w:szCs w:val="21"/>
                <w:lang w:val="en-US" w:eastAsia="zh-CN"/>
              </w:rPr>
              <w:t>80000</w:t>
            </w:r>
          </w:p>
        </w:tc>
        <w:tc>
          <w:tcPr>
            <w:tcW w:w="410"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360C815E">
            <w:pPr>
              <w:keepNext w:val="0"/>
              <w:keepLines w:val="0"/>
              <w:widowControl/>
              <w:suppressLineNumbers w:val="0"/>
              <w:jc w:val="center"/>
              <w:textAlignment w:val="center"/>
            </w:pPr>
            <w:r>
              <w:rPr>
                <w:rFonts w:hint="default" w:ascii="Times New Roman" w:hAnsi="Times New Roman" w:eastAsia="宋体" w:cs="Times New Roman"/>
                <w:b w:val="0"/>
                <w:bCs/>
                <w:i w:val="0"/>
                <w:iCs w:val="0"/>
                <w:color w:val="000000"/>
                <w:kern w:val="0"/>
                <w:sz w:val="21"/>
                <w:szCs w:val="21"/>
                <w:u w:val="none"/>
                <w:lang w:val="en-US" w:eastAsia="zh-CN" w:bidi="ar"/>
              </w:rPr>
              <w:t>颗粒物</w:t>
            </w:r>
          </w:p>
        </w:tc>
        <w:tc>
          <w:tcPr>
            <w:tcW w:w="473"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4C90329A">
            <w:pPr>
              <w:snapToGrid w:val="0"/>
              <w:ind w:left="0" w:leftChars="0" w:right="0" w:rightChars="0" w:firstLine="0" w:firstLineChars="0"/>
              <w:jc w:val="center"/>
            </w:pPr>
            <w:r>
              <w:t>类比法</w:t>
            </w:r>
          </w:p>
        </w:tc>
        <w:tc>
          <w:tcPr>
            <w:tcW w:w="718"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0703267C">
            <w:pPr>
              <w:keepNext w:val="0"/>
              <w:keepLines w:val="0"/>
              <w:widowControl/>
              <w:suppressLineNumbers w:val="0"/>
              <w:jc w:val="center"/>
              <w:textAlignment w:val="center"/>
            </w:pPr>
            <w:r>
              <w:rPr>
                <w:rFonts w:hint="default" w:ascii="Times New Roman" w:hAnsi="Times New Roman" w:eastAsia="宋体" w:cs="Times New Roman"/>
                <w:b w:val="0"/>
                <w:bCs w:val="0"/>
                <w:i w:val="0"/>
                <w:iCs w:val="0"/>
                <w:color w:val="000000"/>
                <w:kern w:val="0"/>
                <w:sz w:val="21"/>
                <w:szCs w:val="21"/>
                <w:u w:val="none"/>
                <w:lang w:val="en-US" w:eastAsia="zh-CN" w:bidi="ar"/>
              </w:rPr>
              <w:t>1000</w:t>
            </w:r>
          </w:p>
        </w:tc>
        <w:tc>
          <w:tcPr>
            <w:tcW w:w="798"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330F020B">
            <w:pPr>
              <w:jc w:val="center"/>
            </w:pPr>
            <w:r>
              <w:rPr>
                <w:rFonts w:hint="default" w:ascii="Times New Roman" w:hAnsi="Times New Roman" w:cs="Times New Roman"/>
                <w:b w:val="0"/>
                <w:bCs/>
                <w:sz w:val="21"/>
                <w:szCs w:val="21"/>
                <w:lang w:val="en-US" w:eastAsia="zh-CN"/>
              </w:rPr>
              <w:t>80</w:t>
            </w:r>
          </w:p>
        </w:tc>
        <w:tc>
          <w:tcPr>
            <w:tcW w:w="790"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1E1A0680">
            <w:pPr>
              <w:keepNext w:val="0"/>
              <w:keepLines w:val="0"/>
              <w:widowControl/>
              <w:suppressLineNumbers w:val="0"/>
              <w:jc w:val="center"/>
              <w:textAlignment w:val="center"/>
            </w:pPr>
            <w:r>
              <w:rPr>
                <w:rFonts w:hint="eastAsia" w:ascii="宋体" w:hAnsi="宋体" w:eastAsia="宋体" w:cs="宋体"/>
                <w:i w:val="0"/>
                <w:iCs w:val="0"/>
                <w:color w:val="000000"/>
                <w:kern w:val="0"/>
                <w:sz w:val="24"/>
                <w:szCs w:val="24"/>
                <w:u w:val="none"/>
                <w:lang w:val="en-US" w:eastAsia="zh-CN" w:bidi="ar"/>
              </w:rPr>
              <w:t>633.6</w:t>
            </w:r>
          </w:p>
        </w:tc>
        <w:tc>
          <w:tcPr>
            <w:tcW w:w="662"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0450559E">
            <w:pPr>
              <w:keepNext w:val="0"/>
              <w:keepLines w:val="0"/>
              <w:widowControl/>
              <w:suppressLineNumbers w:val="0"/>
              <w:jc w:val="center"/>
              <w:textAlignment w:val="center"/>
            </w:pPr>
            <w:r>
              <w:rPr>
                <w:rFonts w:hint="default" w:ascii="Times New Roman" w:hAnsi="Times New Roman" w:eastAsia="宋体" w:cs="Times New Roman"/>
                <w:b w:val="0"/>
                <w:bCs/>
                <w:i w:val="0"/>
                <w:iCs w:val="0"/>
                <w:color w:val="000000"/>
                <w:kern w:val="0"/>
                <w:sz w:val="21"/>
                <w:szCs w:val="21"/>
                <w:u w:val="none"/>
                <w:lang w:val="en-US" w:eastAsia="zh-CN" w:bidi="ar"/>
              </w:rPr>
              <w:t>湿法水浴除尘</w:t>
            </w:r>
          </w:p>
        </w:tc>
        <w:tc>
          <w:tcPr>
            <w:tcW w:w="662"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0EE19101">
            <w:pPr>
              <w:jc w:val="center"/>
            </w:pPr>
            <w:r>
              <w:rPr>
                <w:rFonts w:hint="default" w:ascii="Times New Roman" w:hAnsi="Times New Roman" w:cs="Times New Roman"/>
                <w:b w:val="0"/>
                <w:bCs/>
                <w:sz w:val="21"/>
                <w:szCs w:val="21"/>
                <w:lang w:val="en-US" w:eastAsia="zh-CN"/>
              </w:rPr>
              <w:t>80000</w:t>
            </w:r>
          </w:p>
        </w:tc>
        <w:tc>
          <w:tcPr>
            <w:tcW w:w="473"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244DE62C">
            <w:pPr>
              <w:snapToGrid w:val="0"/>
              <w:ind w:left="0" w:leftChars="0" w:right="0" w:rightChars="0" w:firstLine="0" w:firstLineChars="0"/>
              <w:jc w:val="center"/>
            </w:pPr>
            <w:r>
              <w:t>99</w:t>
            </w:r>
          </w:p>
        </w:tc>
        <w:tc>
          <w:tcPr>
            <w:tcW w:w="594"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1E43CAC1">
            <w:pPr>
              <w:keepNext w:val="0"/>
              <w:keepLines w:val="0"/>
              <w:widowControl/>
              <w:suppressLineNumbers w:val="0"/>
              <w:jc w:val="center"/>
              <w:textAlignment w:val="center"/>
            </w:pPr>
            <w:r>
              <w:rPr>
                <w:rFonts w:hint="eastAsia" w:ascii="宋体" w:hAnsi="宋体" w:eastAsia="宋体" w:cs="宋体"/>
                <w:i w:val="0"/>
                <w:iCs w:val="0"/>
                <w:color w:val="000000"/>
                <w:kern w:val="0"/>
                <w:sz w:val="24"/>
                <w:szCs w:val="24"/>
                <w:u w:val="none"/>
                <w:lang w:val="en-US" w:eastAsia="zh-CN" w:bidi="ar"/>
              </w:rPr>
              <w:t xml:space="preserve">10.00 </w:t>
            </w:r>
          </w:p>
        </w:tc>
        <w:tc>
          <w:tcPr>
            <w:tcW w:w="883"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3DD66179">
            <w:pPr>
              <w:snapToGrid w:val="0"/>
              <w:ind w:left="0" w:leftChars="0" w:right="0" w:rightChars="0" w:firstLine="0" w:firstLineChars="0"/>
              <w:jc w:val="center"/>
            </w:pPr>
            <w:r>
              <w:rPr>
                <w:rFonts w:hint="eastAsia"/>
                <w:vertAlign w:val="baseline"/>
                <w:lang w:val="en-US" w:eastAsia="zh-CN"/>
              </w:rPr>
              <w:t>0.8</w:t>
            </w:r>
          </w:p>
        </w:tc>
        <w:tc>
          <w:tcPr>
            <w:tcW w:w="774"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55F04BD1">
            <w:pPr>
              <w:keepNext w:val="0"/>
              <w:keepLines w:val="0"/>
              <w:widowControl/>
              <w:suppressLineNumbers w:val="0"/>
              <w:jc w:val="center"/>
              <w:textAlignment w:val="center"/>
            </w:pPr>
            <w:r>
              <w:rPr>
                <w:rFonts w:hint="eastAsia" w:ascii="宋体" w:hAnsi="宋体" w:eastAsia="宋体" w:cs="宋体"/>
                <w:i w:val="0"/>
                <w:iCs w:val="0"/>
                <w:color w:val="000000"/>
                <w:kern w:val="0"/>
                <w:sz w:val="24"/>
                <w:szCs w:val="24"/>
                <w:u w:val="none"/>
                <w:lang w:val="en-US" w:eastAsia="zh-CN" w:bidi="ar"/>
              </w:rPr>
              <w:t>6.336</w:t>
            </w:r>
          </w:p>
        </w:tc>
        <w:tc>
          <w:tcPr>
            <w:tcW w:w="730"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1B09B747">
            <w:pPr>
              <w:pStyle w:val="720"/>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pPr>
            <w:r>
              <w:rPr>
                <w:rFonts w:hint="default" w:ascii="Times New Roman" w:hAnsi="Times New Roman" w:eastAsia="宋体" w:cs="Times New Roman"/>
                <w:b w:val="0"/>
                <w:bCs/>
                <w:color w:val="auto"/>
                <w:sz w:val="21"/>
                <w:szCs w:val="21"/>
                <w:highlight w:val="none"/>
                <w:lang w:val="en-US" w:eastAsia="zh-CN"/>
              </w:rPr>
              <w:t>30</w:t>
            </w:r>
          </w:p>
        </w:tc>
        <w:tc>
          <w:tcPr>
            <w:tcW w:w="738"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0B7B42FC">
            <w:pPr>
              <w:pStyle w:val="720"/>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pPr>
            <w:r>
              <w:rPr>
                <w:rFonts w:hint="default" w:ascii="Times New Roman" w:hAnsi="Times New Roman" w:eastAsia="Times New Roman" w:cs="Times New Roman"/>
                <w:b w:val="0"/>
                <w:bCs/>
                <w:kern w:val="2"/>
                <w:sz w:val="21"/>
                <w:szCs w:val="21"/>
                <w:lang w:val="en-US" w:eastAsia="zh-CN" w:bidi="ar-SA"/>
              </w:rPr>
              <w:t>1.5</w:t>
            </w:r>
          </w:p>
        </w:tc>
        <w:tc>
          <w:tcPr>
            <w:tcW w:w="718"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69948932">
            <w:pPr>
              <w:pStyle w:val="720"/>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pPr>
            <w:r>
              <w:rPr>
                <w:rFonts w:hint="default" w:ascii="Times New Roman" w:hAnsi="Times New Roman" w:eastAsia="宋体" w:cs="Times New Roman"/>
                <w:b w:val="0"/>
                <w:bCs/>
                <w:spacing w:val="-2"/>
                <w:sz w:val="21"/>
                <w:szCs w:val="21"/>
                <w:lang w:val="en-US" w:eastAsia="zh-CN"/>
              </w:rPr>
              <w:t>常温</w:t>
            </w:r>
          </w:p>
        </w:tc>
        <w:tc>
          <w:tcPr>
            <w:tcW w:w="738"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77E1B07B">
            <w:pPr>
              <w:jc w:val="center"/>
            </w:pPr>
            <w:r>
              <w:rPr>
                <w:rFonts w:hint="default" w:ascii="Times New Roman" w:hAnsi="Times New Roman" w:cs="Times New Roman"/>
                <w:b w:val="0"/>
                <w:bCs/>
                <w:sz w:val="21"/>
                <w:szCs w:val="21"/>
                <w:lang w:val="en-US" w:eastAsia="zh-CN"/>
              </w:rPr>
              <w:t>DA015</w:t>
            </w:r>
          </w:p>
        </w:tc>
        <w:tc>
          <w:tcPr>
            <w:tcW w:w="751"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4EEC9026">
            <w:pPr>
              <w:snapToGrid w:val="0"/>
              <w:ind w:left="0" w:leftChars="0" w:right="0" w:rightChars="0" w:firstLine="0" w:firstLineChars="0"/>
              <w:jc w:val="center"/>
            </w:pPr>
            <w:r>
              <w:t>7920</w:t>
            </w:r>
          </w:p>
        </w:tc>
        <w:tc>
          <w:tcPr>
            <w:tcW w:w="473"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5D185AF2">
            <w:pPr>
              <w:snapToGrid w:val="0"/>
              <w:ind w:left="0" w:leftChars="0" w:right="0" w:rightChars="0" w:firstLine="0" w:firstLineChars="0"/>
              <w:jc w:val="center"/>
            </w:pPr>
            <w:r>
              <w:t>连续</w:t>
            </w:r>
          </w:p>
        </w:tc>
      </w:tr>
      <w:tr w14:paraId="2A6354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599" w:type="dxa"/>
            <w:vMerge w:val="continue"/>
            <w:tcBorders>
              <w:left w:val="single" w:color="000000" w:sz="4" w:space="0"/>
              <w:right w:val="single" w:color="000000" w:sz="4" w:space="0"/>
            </w:tcBorders>
            <w:noWrap w:val="0"/>
            <w:tcMar>
              <w:left w:w="108" w:type="dxa"/>
              <w:right w:w="108" w:type="dxa"/>
            </w:tcMar>
            <w:vAlign w:val="center"/>
          </w:tcPr>
          <w:p w14:paraId="357E70A6">
            <w:pPr>
              <w:snapToGrid w:val="0"/>
              <w:ind w:left="0" w:leftChars="0" w:right="0" w:rightChars="0" w:firstLine="0" w:firstLineChars="0"/>
              <w:jc w:val="center"/>
            </w:pPr>
          </w:p>
        </w:tc>
        <w:tc>
          <w:tcPr>
            <w:tcW w:w="662" w:type="dxa"/>
            <w:vMerge w:val="restart"/>
            <w:tcBorders>
              <w:top w:val="single" w:color="000000" w:sz="4" w:space="0"/>
              <w:left w:val="single" w:color="000000" w:sz="4" w:space="0"/>
              <w:right w:val="single" w:color="000000" w:sz="4" w:space="0"/>
            </w:tcBorders>
            <w:noWrap w:val="0"/>
            <w:tcMar>
              <w:left w:w="108" w:type="dxa"/>
              <w:right w:w="108" w:type="dxa"/>
            </w:tcMar>
            <w:vAlign w:val="center"/>
          </w:tcPr>
          <w:p w14:paraId="2013C598">
            <w:pPr>
              <w:keepNext w:val="0"/>
              <w:keepLines w:val="0"/>
              <w:widowControl/>
              <w:suppressLineNumbers w:val="0"/>
              <w:jc w:val="center"/>
              <w:textAlignment w:val="center"/>
            </w:pPr>
            <w:r>
              <w:rPr>
                <w:rFonts w:hint="default" w:ascii="Times New Roman" w:hAnsi="Times New Roman" w:eastAsia="宋体" w:cs="Times New Roman"/>
                <w:b w:val="0"/>
                <w:bCs/>
                <w:i w:val="0"/>
                <w:iCs w:val="0"/>
                <w:color w:val="000000"/>
                <w:kern w:val="0"/>
                <w:sz w:val="21"/>
                <w:szCs w:val="21"/>
                <w:u w:val="none"/>
                <w:lang w:val="en-US" w:eastAsia="zh-CN" w:bidi="ar"/>
              </w:rPr>
              <w:t>烧结机头</w:t>
            </w:r>
          </w:p>
        </w:tc>
        <w:tc>
          <w:tcPr>
            <w:tcW w:w="662" w:type="dxa"/>
            <w:vMerge w:val="restart"/>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3B4B0D7B">
            <w:pPr>
              <w:jc w:val="center"/>
            </w:pPr>
            <w:r>
              <w:rPr>
                <w:rFonts w:hint="default" w:ascii="Times New Roman" w:hAnsi="Times New Roman" w:eastAsia="宋体" w:cs="Times New Roman"/>
                <w:b w:val="0"/>
                <w:bCs/>
                <w:spacing w:val="-2"/>
                <w:sz w:val="21"/>
                <w:szCs w:val="21"/>
                <w:lang w:val="en-US" w:eastAsia="zh-CN"/>
              </w:rPr>
              <w:t>270000</w:t>
            </w:r>
          </w:p>
        </w:tc>
        <w:tc>
          <w:tcPr>
            <w:tcW w:w="410"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152D7353">
            <w:pPr>
              <w:keepNext w:val="0"/>
              <w:keepLines w:val="0"/>
              <w:widowControl/>
              <w:suppressLineNumbers w:val="0"/>
              <w:jc w:val="center"/>
              <w:textAlignment w:val="center"/>
            </w:pPr>
            <w:r>
              <w:rPr>
                <w:rFonts w:hint="default" w:ascii="Times New Roman" w:hAnsi="Times New Roman" w:eastAsia="宋体" w:cs="Times New Roman"/>
                <w:b w:val="0"/>
                <w:bCs/>
                <w:i w:val="0"/>
                <w:iCs w:val="0"/>
                <w:color w:val="000000"/>
                <w:kern w:val="0"/>
                <w:sz w:val="21"/>
                <w:szCs w:val="21"/>
                <w:u w:val="none"/>
                <w:lang w:val="en-US" w:eastAsia="zh-CN" w:bidi="ar"/>
              </w:rPr>
              <w:t>颗粒物</w:t>
            </w:r>
          </w:p>
        </w:tc>
        <w:tc>
          <w:tcPr>
            <w:tcW w:w="473"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6BF06615">
            <w:pPr>
              <w:snapToGrid w:val="0"/>
              <w:ind w:left="0" w:leftChars="0" w:right="0" w:rightChars="0" w:firstLine="0" w:firstLineChars="0"/>
              <w:jc w:val="center"/>
            </w:pPr>
            <w:r>
              <w:t>系数法</w:t>
            </w:r>
          </w:p>
        </w:tc>
        <w:tc>
          <w:tcPr>
            <w:tcW w:w="718"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09FD5D54">
            <w:pPr>
              <w:keepNext w:val="0"/>
              <w:keepLines w:val="0"/>
              <w:widowControl/>
              <w:suppressLineNumbers w:val="0"/>
              <w:jc w:val="center"/>
              <w:textAlignment w:val="center"/>
            </w:pPr>
            <w:r>
              <w:rPr>
                <w:rFonts w:hint="default" w:ascii="Times New Roman" w:hAnsi="Times New Roman" w:eastAsia="宋体" w:cs="Times New Roman"/>
                <w:b w:val="0"/>
                <w:bCs w:val="0"/>
                <w:i w:val="0"/>
                <w:iCs w:val="0"/>
                <w:color w:val="000000"/>
                <w:kern w:val="0"/>
                <w:sz w:val="21"/>
                <w:szCs w:val="21"/>
                <w:u w:val="none"/>
                <w:lang w:val="en-US" w:eastAsia="zh-CN" w:bidi="ar"/>
              </w:rPr>
              <w:t>2018.5</w:t>
            </w:r>
            <w:r>
              <w:rPr>
                <w:rFonts w:hint="eastAsia" w:ascii="Times New Roman" w:hAnsi="Times New Roman" w:eastAsia="宋体" w:cs="Times New Roman"/>
                <w:b w:val="0"/>
                <w:bCs w:val="0"/>
                <w:i w:val="0"/>
                <w:iCs w:val="0"/>
                <w:color w:val="000000"/>
                <w:kern w:val="0"/>
                <w:sz w:val="21"/>
                <w:szCs w:val="21"/>
                <w:u w:val="none"/>
                <w:lang w:val="en-US" w:eastAsia="zh-CN" w:bidi="ar"/>
              </w:rPr>
              <w:t>2</w:t>
            </w:r>
          </w:p>
        </w:tc>
        <w:tc>
          <w:tcPr>
            <w:tcW w:w="798"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66A652D6">
            <w:pPr>
              <w:jc w:val="center"/>
            </w:pPr>
            <w:r>
              <w:rPr>
                <w:rFonts w:hint="default" w:ascii="Times New Roman" w:hAnsi="Times New Roman" w:eastAsia="宋体" w:cs="Times New Roman"/>
                <w:b w:val="0"/>
                <w:bCs/>
                <w:sz w:val="21"/>
                <w:szCs w:val="21"/>
                <w:lang w:val="en-US" w:eastAsia="zh-CN"/>
              </w:rPr>
              <w:t>545</w:t>
            </w:r>
          </w:p>
        </w:tc>
        <w:tc>
          <w:tcPr>
            <w:tcW w:w="790"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3DDF835E">
            <w:pPr>
              <w:keepNext w:val="0"/>
              <w:keepLines w:val="0"/>
              <w:widowControl/>
              <w:suppressLineNumbers w:val="0"/>
              <w:jc w:val="center"/>
              <w:textAlignment w:val="center"/>
            </w:pPr>
            <w:r>
              <w:rPr>
                <w:rFonts w:hint="eastAsia" w:ascii="宋体" w:hAnsi="宋体" w:eastAsia="宋体" w:cs="宋体"/>
                <w:i w:val="0"/>
                <w:iCs w:val="0"/>
                <w:color w:val="000000"/>
                <w:kern w:val="0"/>
                <w:sz w:val="24"/>
                <w:szCs w:val="24"/>
                <w:u w:val="none"/>
                <w:lang w:val="en-US" w:eastAsia="zh-CN" w:bidi="ar"/>
              </w:rPr>
              <w:t>4316.4</w:t>
            </w:r>
          </w:p>
        </w:tc>
        <w:tc>
          <w:tcPr>
            <w:tcW w:w="662" w:type="dxa"/>
            <w:vMerge w:val="restart"/>
            <w:tcBorders>
              <w:top w:val="single" w:color="000000" w:sz="4" w:space="0"/>
              <w:left w:val="single" w:color="000000" w:sz="4" w:space="0"/>
              <w:right w:val="single" w:color="000000" w:sz="4" w:space="0"/>
            </w:tcBorders>
            <w:noWrap w:val="0"/>
            <w:tcMar>
              <w:left w:w="108" w:type="dxa"/>
              <w:right w:w="108" w:type="dxa"/>
            </w:tcMar>
            <w:vAlign w:val="center"/>
          </w:tcPr>
          <w:p w14:paraId="13415B3E">
            <w:pPr>
              <w:keepNext w:val="0"/>
              <w:keepLines w:val="0"/>
              <w:widowControl/>
              <w:suppressLineNumbers w:val="0"/>
              <w:jc w:val="center"/>
              <w:textAlignment w:val="center"/>
            </w:pPr>
            <w:r>
              <w:rPr>
                <w:rFonts w:hint="default" w:ascii="Times New Roman" w:hAnsi="Times New Roman" w:eastAsia="宋体" w:cs="Times New Roman"/>
                <w:b w:val="0"/>
                <w:bCs/>
                <w:i w:val="0"/>
                <w:iCs w:val="0"/>
                <w:color w:val="000000"/>
                <w:kern w:val="0"/>
                <w:sz w:val="21"/>
                <w:szCs w:val="21"/>
                <w:u w:val="none"/>
                <w:lang w:val="en-US" w:eastAsia="zh-CN" w:bidi="ar"/>
              </w:rPr>
              <w:t>电除尘器+石灰石-石膏脱硫+SCR脱硝</w:t>
            </w:r>
          </w:p>
        </w:tc>
        <w:tc>
          <w:tcPr>
            <w:tcW w:w="662" w:type="dxa"/>
            <w:vMerge w:val="restart"/>
            <w:tcBorders>
              <w:top w:val="single" w:color="000000" w:sz="4" w:space="0"/>
              <w:left w:val="single" w:color="000000" w:sz="4" w:space="0"/>
              <w:right w:val="single" w:color="000000" w:sz="4" w:space="0"/>
            </w:tcBorders>
            <w:noWrap w:val="0"/>
            <w:tcMar>
              <w:left w:w="108" w:type="dxa"/>
              <w:right w:w="108" w:type="dxa"/>
            </w:tcMar>
            <w:vAlign w:val="center"/>
          </w:tcPr>
          <w:p w14:paraId="3FC8EBF9">
            <w:pPr>
              <w:jc w:val="center"/>
            </w:pPr>
            <w:r>
              <w:rPr>
                <w:rFonts w:hint="default" w:ascii="Times New Roman" w:hAnsi="Times New Roman" w:eastAsia="宋体" w:cs="Times New Roman"/>
                <w:b w:val="0"/>
                <w:bCs/>
                <w:spacing w:val="-2"/>
                <w:sz w:val="21"/>
                <w:szCs w:val="21"/>
                <w:lang w:val="en-US" w:eastAsia="zh-CN"/>
              </w:rPr>
              <w:t>270000</w:t>
            </w:r>
          </w:p>
        </w:tc>
        <w:tc>
          <w:tcPr>
            <w:tcW w:w="473"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4779175E">
            <w:pPr>
              <w:snapToGrid w:val="0"/>
              <w:ind w:left="0" w:leftChars="0" w:right="0" w:rightChars="0" w:firstLine="0" w:firstLineChars="0"/>
              <w:jc w:val="center"/>
            </w:pPr>
            <w:r>
              <w:t>99.9</w:t>
            </w:r>
          </w:p>
        </w:tc>
        <w:tc>
          <w:tcPr>
            <w:tcW w:w="594"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4461338B">
            <w:pPr>
              <w:keepNext w:val="0"/>
              <w:keepLines w:val="0"/>
              <w:widowControl/>
              <w:suppressLineNumbers w:val="0"/>
              <w:jc w:val="center"/>
              <w:textAlignment w:val="center"/>
            </w:pPr>
            <w:r>
              <w:rPr>
                <w:rFonts w:hint="eastAsia" w:ascii="宋体" w:hAnsi="宋体" w:eastAsia="宋体" w:cs="宋体"/>
                <w:i w:val="0"/>
                <w:iCs w:val="0"/>
                <w:color w:val="000000"/>
                <w:kern w:val="0"/>
                <w:sz w:val="24"/>
                <w:szCs w:val="24"/>
                <w:u w:val="none"/>
                <w:lang w:val="en-US" w:eastAsia="zh-CN" w:bidi="ar"/>
              </w:rPr>
              <w:t xml:space="preserve">10.0 </w:t>
            </w:r>
          </w:p>
        </w:tc>
        <w:tc>
          <w:tcPr>
            <w:tcW w:w="883"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6A98F6E8">
            <w:pPr>
              <w:keepNext w:val="0"/>
              <w:keepLines w:val="0"/>
              <w:widowControl/>
              <w:suppressLineNumbers w:val="0"/>
              <w:jc w:val="center"/>
              <w:textAlignment w:val="center"/>
            </w:pPr>
            <w:r>
              <w:rPr>
                <w:rFonts w:hint="default" w:ascii="Times New Roman" w:hAnsi="Times New Roman" w:eastAsia="宋体" w:cs="Times New Roman"/>
                <w:i w:val="0"/>
                <w:iCs w:val="0"/>
                <w:color w:val="000000"/>
                <w:kern w:val="0"/>
                <w:sz w:val="21"/>
                <w:szCs w:val="21"/>
                <w:u w:val="none"/>
                <w:lang w:val="en-US" w:eastAsia="zh-CN" w:bidi="ar"/>
              </w:rPr>
              <w:t>2.71</w:t>
            </w:r>
          </w:p>
        </w:tc>
        <w:tc>
          <w:tcPr>
            <w:tcW w:w="774"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08039B19">
            <w:pPr>
              <w:keepNext w:val="0"/>
              <w:keepLines w:val="0"/>
              <w:widowControl/>
              <w:suppressLineNumbers w:val="0"/>
              <w:jc w:val="center"/>
              <w:textAlignment w:val="center"/>
            </w:pPr>
            <w:r>
              <w:rPr>
                <w:rFonts w:hint="eastAsia" w:ascii="宋体" w:hAnsi="宋体" w:eastAsia="宋体" w:cs="宋体"/>
                <w:i w:val="0"/>
                <w:iCs w:val="0"/>
                <w:color w:val="000000"/>
                <w:kern w:val="0"/>
                <w:sz w:val="24"/>
                <w:szCs w:val="24"/>
                <w:u w:val="none"/>
                <w:lang w:val="en-US" w:eastAsia="zh-CN" w:bidi="ar"/>
              </w:rPr>
              <w:t>21.4632</w:t>
            </w:r>
          </w:p>
        </w:tc>
        <w:tc>
          <w:tcPr>
            <w:tcW w:w="730" w:type="dxa"/>
            <w:vMerge w:val="restart"/>
            <w:tcBorders>
              <w:top w:val="single" w:color="000000" w:sz="4" w:space="0"/>
              <w:left w:val="single" w:color="000000" w:sz="4" w:space="0"/>
              <w:right w:val="single" w:color="000000" w:sz="4" w:space="0"/>
            </w:tcBorders>
            <w:noWrap w:val="0"/>
            <w:tcMar>
              <w:left w:w="108" w:type="dxa"/>
              <w:right w:w="108" w:type="dxa"/>
            </w:tcMar>
            <w:vAlign w:val="center"/>
          </w:tcPr>
          <w:p w14:paraId="67F52058">
            <w:pPr>
              <w:pStyle w:val="720"/>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pPr>
            <w:r>
              <w:rPr>
                <w:rFonts w:hint="default" w:ascii="Times New Roman" w:hAnsi="Times New Roman" w:eastAsia="宋体" w:cs="Times New Roman"/>
                <w:b w:val="0"/>
                <w:bCs/>
                <w:color w:val="auto"/>
                <w:sz w:val="21"/>
                <w:szCs w:val="21"/>
                <w:highlight w:val="none"/>
                <w:lang w:val="en-US" w:eastAsia="zh-CN"/>
              </w:rPr>
              <w:t>70</w:t>
            </w:r>
          </w:p>
        </w:tc>
        <w:tc>
          <w:tcPr>
            <w:tcW w:w="738" w:type="dxa"/>
            <w:vMerge w:val="restart"/>
            <w:tcBorders>
              <w:top w:val="single" w:color="000000" w:sz="4" w:space="0"/>
              <w:left w:val="single" w:color="000000" w:sz="4" w:space="0"/>
              <w:right w:val="single" w:color="000000" w:sz="4" w:space="0"/>
            </w:tcBorders>
            <w:noWrap w:val="0"/>
            <w:tcMar>
              <w:left w:w="108" w:type="dxa"/>
              <w:right w:w="108" w:type="dxa"/>
            </w:tcMar>
            <w:vAlign w:val="center"/>
          </w:tcPr>
          <w:p w14:paraId="763C4E44">
            <w:pPr>
              <w:pStyle w:val="720"/>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pPr>
            <w:r>
              <w:rPr>
                <w:rFonts w:hint="default" w:ascii="Times New Roman" w:hAnsi="Times New Roman" w:eastAsia="宋体" w:cs="Times New Roman"/>
                <w:b w:val="0"/>
                <w:bCs/>
                <w:sz w:val="21"/>
                <w:szCs w:val="21"/>
                <w:lang w:val="en-US" w:eastAsia="zh-CN"/>
              </w:rPr>
              <w:t>2.4</w:t>
            </w:r>
          </w:p>
        </w:tc>
        <w:tc>
          <w:tcPr>
            <w:tcW w:w="718" w:type="dxa"/>
            <w:vMerge w:val="restart"/>
            <w:tcBorders>
              <w:top w:val="single" w:color="000000" w:sz="4" w:space="0"/>
              <w:left w:val="single" w:color="000000" w:sz="4" w:space="0"/>
              <w:right w:val="single" w:color="000000" w:sz="4" w:space="0"/>
            </w:tcBorders>
            <w:noWrap w:val="0"/>
            <w:tcMar>
              <w:left w:w="108" w:type="dxa"/>
              <w:right w:w="108" w:type="dxa"/>
            </w:tcMar>
            <w:vAlign w:val="center"/>
          </w:tcPr>
          <w:p w14:paraId="0686292A">
            <w:pPr>
              <w:pStyle w:val="720"/>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pPr>
            <w:r>
              <w:rPr>
                <w:rFonts w:hint="default" w:ascii="Times New Roman" w:hAnsi="Times New Roman" w:eastAsia="宋体" w:cs="Times New Roman"/>
                <w:b w:val="0"/>
                <w:bCs/>
                <w:spacing w:val="-2"/>
                <w:sz w:val="21"/>
                <w:szCs w:val="21"/>
                <w:lang w:val="en-US" w:eastAsia="zh-CN"/>
              </w:rPr>
              <w:t>120</w:t>
            </w:r>
          </w:p>
        </w:tc>
        <w:tc>
          <w:tcPr>
            <w:tcW w:w="738" w:type="dxa"/>
            <w:vMerge w:val="restart"/>
            <w:tcBorders>
              <w:top w:val="single" w:color="000000" w:sz="4" w:space="0"/>
              <w:left w:val="single" w:color="000000" w:sz="4" w:space="0"/>
              <w:right w:val="single" w:color="000000" w:sz="4" w:space="0"/>
            </w:tcBorders>
            <w:noWrap w:val="0"/>
            <w:tcMar>
              <w:left w:w="108" w:type="dxa"/>
              <w:right w:w="108" w:type="dxa"/>
            </w:tcMar>
            <w:vAlign w:val="center"/>
          </w:tcPr>
          <w:p w14:paraId="6A728376">
            <w:pPr>
              <w:jc w:val="center"/>
            </w:pPr>
            <w:r>
              <w:rPr>
                <w:rFonts w:hint="default" w:ascii="Times New Roman" w:hAnsi="Times New Roman" w:cs="Times New Roman"/>
                <w:b w:val="0"/>
                <w:bCs/>
                <w:sz w:val="21"/>
                <w:szCs w:val="21"/>
              </w:rPr>
              <w:t>DA</w:t>
            </w:r>
            <w:r>
              <w:rPr>
                <w:rFonts w:hint="default" w:ascii="Times New Roman" w:hAnsi="Times New Roman" w:cs="Times New Roman"/>
                <w:b w:val="0"/>
                <w:bCs/>
                <w:sz w:val="21"/>
                <w:szCs w:val="21"/>
                <w:lang w:val="en-US" w:eastAsia="zh-CN"/>
              </w:rPr>
              <w:t>002</w:t>
            </w:r>
          </w:p>
        </w:tc>
        <w:tc>
          <w:tcPr>
            <w:tcW w:w="751"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2922C959">
            <w:pPr>
              <w:snapToGrid w:val="0"/>
              <w:ind w:left="0" w:leftChars="0" w:right="0" w:rightChars="0" w:firstLine="0" w:firstLineChars="0"/>
              <w:jc w:val="center"/>
            </w:pPr>
            <w:r>
              <w:t>7920</w:t>
            </w:r>
          </w:p>
        </w:tc>
        <w:tc>
          <w:tcPr>
            <w:tcW w:w="473"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3611D6FB">
            <w:pPr>
              <w:snapToGrid w:val="0"/>
              <w:ind w:left="0" w:leftChars="0" w:right="0" w:rightChars="0" w:firstLine="0" w:firstLineChars="0"/>
              <w:jc w:val="center"/>
            </w:pPr>
            <w:r>
              <w:t>连续</w:t>
            </w:r>
          </w:p>
        </w:tc>
      </w:tr>
      <w:tr w14:paraId="23AFCE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599" w:type="dxa"/>
            <w:vMerge w:val="continue"/>
            <w:tcBorders>
              <w:left w:val="single" w:color="000000" w:sz="4" w:space="0"/>
              <w:right w:val="single" w:color="000000" w:sz="4" w:space="0"/>
            </w:tcBorders>
            <w:noWrap w:val="0"/>
            <w:tcMar>
              <w:left w:w="108" w:type="dxa"/>
              <w:right w:w="108" w:type="dxa"/>
            </w:tcMar>
            <w:vAlign w:val="center"/>
          </w:tcPr>
          <w:p w14:paraId="7E453AF9">
            <w:pPr>
              <w:snapToGrid w:val="0"/>
              <w:ind w:left="0" w:leftChars="0" w:right="0" w:rightChars="0" w:firstLine="0" w:firstLineChars="0"/>
              <w:jc w:val="center"/>
            </w:pPr>
          </w:p>
        </w:tc>
        <w:tc>
          <w:tcPr>
            <w:tcW w:w="662" w:type="dxa"/>
            <w:vMerge w:val="continue"/>
            <w:tcBorders>
              <w:left w:val="single" w:color="000000" w:sz="4" w:space="0"/>
              <w:right w:val="single" w:color="000000" w:sz="4" w:space="0"/>
            </w:tcBorders>
            <w:noWrap w:val="0"/>
            <w:tcMar>
              <w:left w:w="108" w:type="dxa"/>
              <w:right w:w="108" w:type="dxa"/>
            </w:tcMar>
            <w:vAlign w:val="center"/>
          </w:tcPr>
          <w:p w14:paraId="3D8D7575">
            <w:pPr>
              <w:snapToGrid w:val="0"/>
              <w:ind w:left="0" w:leftChars="0" w:right="0" w:rightChars="0" w:firstLine="0" w:firstLineChars="0"/>
              <w:jc w:val="center"/>
            </w:pPr>
          </w:p>
        </w:tc>
        <w:tc>
          <w:tcPr>
            <w:tcW w:w="662" w:type="dxa"/>
            <w:vMerge w:val="continue"/>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67044B5C">
            <w:pPr>
              <w:keepNext w:val="0"/>
              <w:keepLines w:val="0"/>
              <w:widowControl/>
              <w:suppressLineNumbers w:val="0"/>
              <w:jc w:val="center"/>
              <w:textAlignment w:val="center"/>
            </w:pPr>
          </w:p>
        </w:tc>
        <w:tc>
          <w:tcPr>
            <w:tcW w:w="410"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5047DFC5">
            <w:pPr>
              <w:jc w:val="center"/>
            </w:pPr>
            <w:r>
              <w:rPr>
                <w:rFonts w:hint="default" w:ascii="Times New Roman" w:hAnsi="Times New Roman" w:cs="Times New Roman"/>
                <w:b w:val="0"/>
                <w:bCs/>
                <w:sz w:val="21"/>
                <w:szCs w:val="21"/>
              </w:rPr>
              <w:t>SO</w:t>
            </w:r>
            <w:r>
              <w:rPr>
                <w:rFonts w:hint="default" w:ascii="Times New Roman" w:hAnsi="Times New Roman" w:cs="Times New Roman"/>
                <w:b w:val="0"/>
                <w:bCs/>
                <w:sz w:val="21"/>
                <w:szCs w:val="21"/>
                <w:vertAlign w:val="subscript"/>
              </w:rPr>
              <w:t>2</w:t>
            </w:r>
          </w:p>
        </w:tc>
        <w:tc>
          <w:tcPr>
            <w:tcW w:w="473"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13817280">
            <w:pPr>
              <w:snapToGrid w:val="0"/>
              <w:ind w:left="0" w:leftChars="0" w:right="0" w:rightChars="0" w:firstLine="0" w:firstLineChars="0"/>
              <w:jc w:val="center"/>
            </w:pPr>
            <w:r>
              <w:t>物料衡算</w:t>
            </w:r>
          </w:p>
        </w:tc>
        <w:tc>
          <w:tcPr>
            <w:tcW w:w="718"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131B4D9A">
            <w:pPr>
              <w:keepNext w:val="0"/>
              <w:keepLines w:val="0"/>
              <w:widowControl/>
              <w:suppressLineNumbers w:val="0"/>
              <w:jc w:val="center"/>
              <w:textAlignment w:val="center"/>
            </w:pPr>
            <w:r>
              <w:rPr>
                <w:rFonts w:hint="default" w:ascii="Times New Roman" w:hAnsi="Times New Roman" w:eastAsia="宋体" w:cs="Times New Roman"/>
                <w:b w:val="0"/>
                <w:bCs w:val="0"/>
                <w:i w:val="0"/>
                <w:iCs w:val="0"/>
                <w:color w:val="000000"/>
                <w:kern w:val="0"/>
                <w:sz w:val="21"/>
                <w:szCs w:val="21"/>
                <w:u w:val="none"/>
                <w:lang w:val="en-US" w:eastAsia="zh-CN" w:bidi="ar"/>
              </w:rPr>
              <w:t>460</w:t>
            </w:r>
          </w:p>
        </w:tc>
        <w:tc>
          <w:tcPr>
            <w:tcW w:w="798"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45C00211">
            <w:pPr>
              <w:jc w:val="center"/>
            </w:pPr>
            <w:r>
              <w:rPr>
                <w:rFonts w:hint="default" w:ascii="Times New Roman" w:hAnsi="Times New Roman" w:eastAsia="宋体" w:cs="Times New Roman"/>
                <w:b w:val="0"/>
                <w:bCs/>
                <w:sz w:val="21"/>
                <w:szCs w:val="21"/>
                <w:lang w:val="en-US" w:eastAsia="zh-CN"/>
              </w:rPr>
              <w:t>124.2</w:t>
            </w:r>
          </w:p>
        </w:tc>
        <w:tc>
          <w:tcPr>
            <w:tcW w:w="790"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150996AE">
            <w:pPr>
              <w:keepNext w:val="0"/>
              <w:keepLines w:val="0"/>
              <w:widowControl/>
              <w:suppressLineNumbers w:val="0"/>
              <w:jc w:val="center"/>
              <w:textAlignment w:val="center"/>
            </w:pPr>
            <w:r>
              <w:rPr>
                <w:rFonts w:hint="eastAsia" w:ascii="宋体" w:hAnsi="宋体" w:eastAsia="宋体" w:cs="宋体"/>
                <w:i w:val="0"/>
                <w:iCs w:val="0"/>
                <w:color w:val="000000"/>
                <w:kern w:val="0"/>
                <w:sz w:val="24"/>
                <w:szCs w:val="24"/>
                <w:u w:val="none"/>
                <w:lang w:val="en-US" w:eastAsia="zh-CN" w:bidi="ar"/>
              </w:rPr>
              <w:t>983.664</w:t>
            </w:r>
          </w:p>
        </w:tc>
        <w:tc>
          <w:tcPr>
            <w:tcW w:w="662" w:type="dxa"/>
            <w:vMerge w:val="continue"/>
            <w:tcBorders>
              <w:left w:val="single" w:color="000000" w:sz="4" w:space="0"/>
              <w:right w:val="single" w:color="000000" w:sz="4" w:space="0"/>
            </w:tcBorders>
            <w:noWrap w:val="0"/>
            <w:tcMar>
              <w:left w:w="108" w:type="dxa"/>
              <w:right w:w="108" w:type="dxa"/>
            </w:tcMar>
            <w:vAlign w:val="center"/>
          </w:tcPr>
          <w:p w14:paraId="10026CAC">
            <w:pPr>
              <w:snapToGrid w:val="0"/>
              <w:ind w:left="0" w:leftChars="0" w:right="0" w:rightChars="0" w:firstLine="0" w:firstLineChars="0"/>
              <w:jc w:val="center"/>
            </w:pPr>
          </w:p>
        </w:tc>
        <w:tc>
          <w:tcPr>
            <w:tcW w:w="662" w:type="dxa"/>
            <w:vMerge w:val="continue"/>
            <w:tcBorders>
              <w:left w:val="single" w:color="000000" w:sz="4" w:space="0"/>
              <w:right w:val="single" w:color="000000" w:sz="4" w:space="0"/>
            </w:tcBorders>
            <w:noWrap w:val="0"/>
            <w:tcMar>
              <w:left w:w="108" w:type="dxa"/>
              <w:right w:w="108" w:type="dxa"/>
            </w:tcMar>
            <w:vAlign w:val="center"/>
          </w:tcPr>
          <w:p w14:paraId="72B83442">
            <w:pPr>
              <w:snapToGrid w:val="0"/>
              <w:ind w:left="0" w:leftChars="0" w:right="0" w:rightChars="0" w:firstLine="0" w:firstLineChars="0"/>
              <w:jc w:val="center"/>
            </w:pPr>
          </w:p>
        </w:tc>
        <w:tc>
          <w:tcPr>
            <w:tcW w:w="473"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7C6766C1">
            <w:pPr>
              <w:snapToGrid w:val="0"/>
              <w:ind w:left="0" w:leftChars="0" w:right="0" w:rightChars="0" w:firstLine="0" w:firstLineChars="0"/>
              <w:jc w:val="center"/>
            </w:pPr>
            <w:r>
              <w:t>95.5</w:t>
            </w:r>
          </w:p>
        </w:tc>
        <w:tc>
          <w:tcPr>
            <w:tcW w:w="594"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0969CFF2">
            <w:pPr>
              <w:keepNext w:val="0"/>
              <w:keepLines w:val="0"/>
              <w:widowControl/>
              <w:suppressLineNumbers w:val="0"/>
              <w:jc w:val="center"/>
              <w:textAlignment w:val="center"/>
            </w:pPr>
            <w:r>
              <w:rPr>
                <w:rFonts w:hint="eastAsia" w:ascii="宋体" w:hAnsi="宋体" w:eastAsia="宋体" w:cs="宋体"/>
                <w:i w:val="0"/>
                <w:iCs w:val="0"/>
                <w:color w:val="000000"/>
                <w:kern w:val="0"/>
                <w:sz w:val="24"/>
                <w:szCs w:val="24"/>
                <w:u w:val="none"/>
                <w:lang w:val="en-US" w:eastAsia="zh-CN" w:bidi="ar"/>
              </w:rPr>
              <w:t xml:space="preserve">23.00 </w:t>
            </w:r>
          </w:p>
        </w:tc>
        <w:tc>
          <w:tcPr>
            <w:tcW w:w="883"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0B24C3BC">
            <w:pPr>
              <w:keepNext w:val="0"/>
              <w:keepLines w:val="0"/>
              <w:widowControl/>
              <w:suppressLineNumbers w:val="0"/>
              <w:jc w:val="center"/>
              <w:textAlignment w:val="center"/>
            </w:pPr>
            <w:r>
              <w:rPr>
                <w:rFonts w:hint="default" w:ascii="Times New Roman" w:hAnsi="Times New Roman" w:eastAsia="宋体" w:cs="Times New Roman"/>
                <w:i w:val="0"/>
                <w:iCs w:val="0"/>
                <w:color w:val="000000"/>
                <w:kern w:val="0"/>
                <w:sz w:val="21"/>
                <w:szCs w:val="21"/>
                <w:u w:val="none"/>
                <w:lang w:val="en-US" w:eastAsia="zh-CN" w:bidi="ar"/>
              </w:rPr>
              <w:t>6.21</w:t>
            </w:r>
          </w:p>
        </w:tc>
        <w:tc>
          <w:tcPr>
            <w:tcW w:w="774"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28D8A29C">
            <w:pPr>
              <w:keepNext w:val="0"/>
              <w:keepLines w:val="0"/>
              <w:widowControl/>
              <w:suppressLineNumbers w:val="0"/>
              <w:jc w:val="center"/>
              <w:textAlignment w:val="center"/>
            </w:pPr>
            <w:r>
              <w:rPr>
                <w:rFonts w:hint="eastAsia" w:ascii="宋体" w:hAnsi="宋体" w:eastAsia="宋体" w:cs="宋体"/>
                <w:i w:val="0"/>
                <w:iCs w:val="0"/>
                <w:color w:val="000000"/>
                <w:kern w:val="0"/>
                <w:sz w:val="24"/>
                <w:szCs w:val="24"/>
                <w:u w:val="none"/>
                <w:lang w:val="en-US" w:eastAsia="zh-CN" w:bidi="ar"/>
              </w:rPr>
              <w:t>49.1832</w:t>
            </w:r>
          </w:p>
        </w:tc>
        <w:tc>
          <w:tcPr>
            <w:tcW w:w="730" w:type="dxa"/>
            <w:vMerge w:val="continue"/>
            <w:tcBorders>
              <w:left w:val="single" w:color="000000" w:sz="4" w:space="0"/>
              <w:right w:val="single" w:color="000000" w:sz="4" w:space="0"/>
            </w:tcBorders>
            <w:noWrap w:val="0"/>
            <w:tcMar>
              <w:left w:w="108" w:type="dxa"/>
              <w:right w:w="108" w:type="dxa"/>
            </w:tcMar>
            <w:vAlign w:val="center"/>
          </w:tcPr>
          <w:p w14:paraId="4945C0A9">
            <w:pPr>
              <w:snapToGrid w:val="0"/>
              <w:ind w:left="0" w:leftChars="0" w:right="0" w:rightChars="0" w:firstLine="0" w:firstLineChars="0"/>
              <w:jc w:val="center"/>
            </w:pPr>
          </w:p>
        </w:tc>
        <w:tc>
          <w:tcPr>
            <w:tcW w:w="738" w:type="dxa"/>
            <w:vMerge w:val="continue"/>
            <w:tcBorders>
              <w:left w:val="single" w:color="000000" w:sz="4" w:space="0"/>
              <w:right w:val="single" w:color="000000" w:sz="4" w:space="0"/>
            </w:tcBorders>
            <w:noWrap w:val="0"/>
            <w:tcMar>
              <w:left w:w="108" w:type="dxa"/>
              <w:right w:w="108" w:type="dxa"/>
            </w:tcMar>
            <w:vAlign w:val="center"/>
          </w:tcPr>
          <w:p w14:paraId="254D2C52">
            <w:pPr>
              <w:snapToGrid w:val="0"/>
              <w:ind w:left="0" w:leftChars="0" w:right="0" w:rightChars="0" w:firstLine="0" w:firstLineChars="0"/>
              <w:jc w:val="center"/>
            </w:pPr>
          </w:p>
        </w:tc>
        <w:tc>
          <w:tcPr>
            <w:tcW w:w="718" w:type="dxa"/>
            <w:vMerge w:val="continue"/>
            <w:tcBorders>
              <w:left w:val="single" w:color="000000" w:sz="4" w:space="0"/>
              <w:right w:val="single" w:color="000000" w:sz="4" w:space="0"/>
            </w:tcBorders>
            <w:noWrap w:val="0"/>
            <w:tcMar>
              <w:left w:w="108" w:type="dxa"/>
              <w:right w:w="108" w:type="dxa"/>
            </w:tcMar>
            <w:vAlign w:val="center"/>
          </w:tcPr>
          <w:p w14:paraId="5D6BEF2A">
            <w:pPr>
              <w:snapToGrid w:val="0"/>
              <w:ind w:left="0" w:leftChars="0" w:right="0" w:rightChars="0" w:firstLine="0" w:firstLineChars="0"/>
              <w:jc w:val="center"/>
            </w:pPr>
          </w:p>
        </w:tc>
        <w:tc>
          <w:tcPr>
            <w:tcW w:w="738" w:type="dxa"/>
            <w:vMerge w:val="continue"/>
            <w:tcBorders>
              <w:left w:val="single" w:color="000000" w:sz="4" w:space="0"/>
              <w:right w:val="single" w:color="000000" w:sz="4" w:space="0"/>
            </w:tcBorders>
            <w:noWrap w:val="0"/>
            <w:tcMar>
              <w:left w:w="108" w:type="dxa"/>
              <w:right w:w="108" w:type="dxa"/>
            </w:tcMar>
            <w:vAlign w:val="center"/>
          </w:tcPr>
          <w:p w14:paraId="1075F3E2">
            <w:pPr>
              <w:snapToGrid w:val="0"/>
              <w:ind w:left="0" w:leftChars="0" w:right="0" w:rightChars="0" w:firstLine="0" w:firstLineChars="0"/>
              <w:jc w:val="center"/>
            </w:pPr>
          </w:p>
        </w:tc>
        <w:tc>
          <w:tcPr>
            <w:tcW w:w="751"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03CB11E5">
            <w:pPr>
              <w:snapToGrid w:val="0"/>
              <w:ind w:left="0" w:leftChars="0" w:right="0" w:rightChars="0" w:firstLine="0" w:firstLineChars="0"/>
              <w:jc w:val="center"/>
            </w:pPr>
            <w:r>
              <w:t>7920</w:t>
            </w:r>
          </w:p>
        </w:tc>
        <w:tc>
          <w:tcPr>
            <w:tcW w:w="473"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138576B8">
            <w:pPr>
              <w:snapToGrid w:val="0"/>
              <w:ind w:left="0" w:leftChars="0" w:right="0" w:rightChars="0" w:firstLine="0" w:firstLineChars="0"/>
              <w:jc w:val="center"/>
            </w:pPr>
            <w:r>
              <w:t>连续</w:t>
            </w:r>
          </w:p>
        </w:tc>
      </w:tr>
      <w:tr w14:paraId="69761E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599" w:type="dxa"/>
            <w:vMerge w:val="continue"/>
            <w:tcBorders>
              <w:left w:val="single" w:color="000000" w:sz="4" w:space="0"/>
              <w:right w:val="single" w:color="000000" w:sz="4" w:space="0"/>
            </w:tcBorders>
            <w:noWrap w:val="0"/>
            <w:tcMar>
              <w:left w:w="108" w:type="dxa"/>
              <w:right w:w="108" w:type="dxa"/>
            </w:tcMar>
            <w:vAlign w:val="center"/>
          </w:tcPr>
          <w:p w14:paraId="40923506">
            <w:pPr>
              <w:snapToGrid w:val="0"/>
              <w:ind w:left="0" w:leftChars="0" w:right="0" w:rightChars="0" w:firstLine="0" w:firstLineChars="0"/>
              <w:jc w:val="center"/>
            </w:pPr>
          </w:p>
        </w:tc>
        <w:tc>
          <w:tcPr>
            <w:tcW w:w="662" w:type="dxa"/>
            <w:vMerge w:val="continue"/>
            <w:tcBorders>
              <w:left w:val="single" w:color="000000" w:sz="4" w:space="0"/>
              <w:right w:val="single" w:color="000000" w:sz="4" w:space="0"/>
            </w:tcBorders>
            <w:noWrap w:val="0"/>
            <w:tcMar>
              <w:left w:w="108" w:type="dxa"/>
              <w:right w:w="108" w:type="dxa"/>
            </w:tcMar>
            <w:vAlign w:val="center"/>
          </w:tcPr>
          <w:p w14:paraId="52BC81B9">
            <w:pPr>
              <w:snapToGrid w:val="0"/>
              <w:ind w:left="0" w:leftChars="0" w:right="0" w:rightChars="0" w:firstLine="0" w:firstLineChars="0"/>
              <w:jc w:val="center"/>
            </w:pPr>
          </w:p>
        </w:tc>
        <w:tc>
          <w:tcPr>
            <w:tcW w:w="662" w:type="dxa"/>
            <w:vMerge w:val="continue"/>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57097FE8">
            <w:pPr>
              <w:jc w:val="center"/>
            </w:pPr>
          </w:p>
        </w:tc>
        <w:tc>
          <w:tcPr>
            <w:tcW w:w="410"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6947F867">
            <w:pPr>
              <w:jc w:val="center"/>
            </w:pPr>
            <w:r>
              <w:rPr>
                <w:rFonts w:hint="default" w:ascii="Times New Roman" w:hAnsi="Times New Roman" w:cs="Times New Roman"/>
                <w:b w:val="0"/>
                <w:bCs/>
                <w:sz w:val="21"/>
                <w:szCs w:val="21"/>
              </w:rPr>
              <w:t>NOx</w:t>
            </w:r>
          </w:p>
        </w:tc>
        <w:tc>
          <w:tcPr>
            <w:tcW w:w="473"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3ABA47A8">
            <w:pPr>
              <w:snapToGrid w:val="0"/>
              <w:ind w:left="0" w:leftChars="0" w:right="0" w:rightChars="0" w:firstLine="0" w:firstLineChars="0"/>
              <w:jc w:val="center"/>
            </w:pPr>
            <w:r>
              <w:t>系数法</w:t>
            </w:r>
          </w:p>
        </w:tc>
        <w:tc>
          <w:tcPr>
            <w:tcW w:w="718"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09F18C35">
            <w:pPr>
              <w:keepNext w:val="0"/>
              <w:keepLines w:val="0"/>
              <w:widowControl/>
              <w:suppressLineNumbers w:val="0"/>
              <w:jc w:val="center"/>
              <w:textAlignment w:val="center"/>
            </w:pPr>
            <w:r>
              <w:rPr>
                <w:rFonts w:hint="default" w:ascii="Times New Roman" w:hAnsi="Times New Roman" w:eastAsia="宋体" w:cs="Times New Roman"/>
                <w:b w:val="0"/>
                <w:bCs w:val="0"/>
                <w:i w:val="0"/>
                <w:iCs w:val="0"/>
                <w:color w:val="000000"/>
                <w:kern w:val="0"/>
                <w:sz w:val="21"/>
                <w:szCs w:val="21"/>
                <w:u w:val="none"/>
                <w:lang w:val="en-US" w:eastAsia="zh-CN" w:bidi="ar"/>
              </w:rPr>
              <w:t>145.1</w:t>
            </w:r>
            <w:r>
              <w:rPr>
                <w:rFonts w:hint="eastAsia" w:ascii="Times New Roman" w:hAnsi="Times New Roman" w:eastAsia="宋体" w:cs="Times New Roman"/>
                <w:b w:val="0"/>
                <w:bCs w:val="0"/>
                <w:i w:val="0"/>
                <w:iCs w:val="0"/>
                <w:color w:val="000000"/>
                <w:kern w:val="0"/>
                <w:sz w:val="21"/>
                <w:szCs w:val="21"/>
                <w:u w:val="none"/>
                <w:lang w:val="en-US" w:eastAsia="zh-CN" w:bidi="ar"/>
              </w:rPr>
              <w:t>9</w:t>
            </w:r>
          </w:p>
        </w:tc>
        <w:tc>
          <w:tcPr>
            <w:tcW w:w="798"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322E25C6">
            <w:pPr>
              <w:jc w:val="center"/>
            </w:pPr>
            <w:r>
              <w:rPr>
                <w:rFonts w:hint="default" w:ascii="Times New Roman" w:hAnsi="Times New Roman" w:eastAsia="宋体" w:cs="Times New Roman"/>
                <w:b w:val="0"/>
                <w:bCs/>
                <w:sz w:val="21"/>
                <w:szCs w:val="21"/>
                <w:lang w:val="en-US" w:eastAsia="zh-CN"/>
              </w:rPr>
              <w:t>39.2</w:t>
            </w:r>
          </w:p>
        </w:tc>
        <w:tc>
          <w:tcPr>
            <w:tcW w:w="790"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52D3E6E9">
            <w:pPr>
              <w:keepNext w:val="0"/>
              <w:keepLines w:val="0"/>
              <w:widowControl/>
              <w:suppressLineNumbers w:val="0"/>
              <w:jc w:val="center"/>
              <w:textAlignment w:val="center"/>
            </w:pPr>
            <w:r>
              <w:rPr>
                <w:rFonts w:hint="eastAsia" w:ascii="宋体" w:hAnsi="宋体" w:eastAsia="宋体" w:cs="宋体"/>
                <w:i w:val="0"/>
                <w:iCs w:val="0"/>
                <w:color w:val="000000"/>
                <w:kern w:val="0"/>
                <w:sz w:val="24"/>
                <w:szCs w:val="24"/>
                <w:u w:val="none"/>
                <w:lang w:val="en-US" w:eastAsia="zh-CN" w:bidi="ar"/>
              </w:rPr>
              <w:t>310.464</w:t>
            </w:r>
          </w:p>
        </w:tc>
        <w:tc>
          <w:tcPr>
            <w:tcW w:w="662" w:type="dxa"/>
            <w:vMerge w:val="continue"/>
            <w:tcBorders>
              <w:left w:val="single" w:color="000000" w:sz="4" w:space="0"/>
              <w:right w:val="single" w:color="000000" w:sz="4" w:space="0"/>
            </w:tcBorders>
            <w:noWrap w:val="0"/>
            <w:tcMar>
              <w:left w:w="108" w:type="dxa"/>
              <w:right w:w="108" w:type="dxa"/>
            </w:tcMar>
            <w:vAlign w:val="center"/>
          </w:tcPr>
          <w:p w14:paraId="61F7C2F7">
            <w:pPr>
              <w:snapToGrid w:val="0"/>
              <w:ind w:left="0" w:leftChars="0" w:right="0" w:rightChars="0" w:firstLine="0" w:firstLineChars="0"/>
              <w:jc w:val="center"/>
            </w:pPr>
          </w:p>
        </w:tc>
        <w:tc>
          <w:tcPr>
            <w:tcW w:w="662" w:type="dxa"/>
            <w:vMerge w:val="continue"/>
            <w:tcBorders>
              <w:left w:val="single" w:color="000000" w:sz="4" w:space="0"/>
              <w:right w:val="single" w:color="000000" w:sz="4" w:space="0"/>
            </w:tcBorders>
            <w:noWrap w:val="0"/>
            <w:tcMar>
              <w:left w:w="108" w:type="dxa"/>
              <w:right w:w="108" w:type="dxa"/>
            </w:tcMar>
            <w:vAlign w:val="center"/>
          </w:tcPr>
          <w:p w14:paraId="17869CDF">
            <w:pPr>
              <w:snapToGrid w:val="0"/>
              <w:ind w:left="0" w:leftChars="0" w:right="0" w:rightChars="0" w:firstLine="0" w:firstLineChars="0"/>
              <w:jc w:val="center"/>
            </w:pPr>
          </w:p>
        </w:tc>
        <w:tc>
          <w:tcPr>
            <w:tcW w:w="473"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1CF25544">
            <w:pPr>
              <w:snapToGrid w:val="0"/>
              <w:ind w:left="0" w:leftChars="0" w:right="0" w:rightChars="0" w:firstLine="0" w:firstLineChars="0"/>
              <w:jc w:val="center"/>
              <w:rPr>
                <w:rFonts w:hint="eastAsia" w:eastAsia="宋体"/>
                <w:lang w:eastAsia="zh-CN"/>
              </w:rPr>
            </w:pPr>
            <w:r>
              <w:t>8</w:t>
            </w:r>
            <w:r>
              <w:rPr>
                <w:rFonts w:hint="eastAsia"/>
                <w:lang w:val="en-US" w:eastAsia="zh-CN"/>
              </w:rPr>
              <w:t>5</w:t>
            </w:r>
          </w:p>
        </w:tc>
        <w:tc>
          <w:tcPr>
            <w:tcW w:w="594"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5A7BD53E">
            <w:pPr>
              <w:keepNext w:val="0"/>
              <w:keepLines w:val="0"/>
              <w:widowControl/>
              <w:suppressLineNumbers w:val="0"/>
              <w:jc w:val="center"/>
              <w:textAlignment w:val="center"/>
            </w:pPr>
            <w:r>
              <w:rPr>
                <w:rFonts w:hint="eastAsia" w:ascii="宋体" w:hAnsi="宋体" w:eastAsia="宋体" w:cs="宋体"/>
                <w:i w:val="0"/>
                <w:iCs w:val="0"/>
                <w:color w:val="000000"/>
                <w:kern w:val="0"/>
                <w:sz w:val="24"/>
                <w:szCs w:val="24"/>
                <w:u w:val="none"/>
                <w:lang w:val="en-US" w:eastAsia="zh-CN" w:bidi="ar"/>
              </w:rPr>
              <w:t xml:space="preserve">26.00 </w:t>
            </w:r>
          </w:p>
        </w:tc>
        <w:tc>
          <w:tcPr>
            <w:tcW w:w="883"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49406355">
            <w:pPr>
              <w:keepNext w:val="0"/>
              <w:keepLines w:val="0"/>
              <w:widowControl/>
              <w:suppressLineNumbers w:val="0"/>
              <w:jc w:val="center"/>
              <w:textAlignment w:val="center"/>
            </w:pPr>
            <w:r>
              <w:rPr>
                <w:rFonts w:hint="default" w:ascii="Times New Roman" w:hAnsi="Times New Roman" w:eastAsia="宋体" w:cs="Times New Roman"/>
                <w:i w:val="0"/>
                <w:iCs w:val="0"/>
                <w:color w:val="000000"/>
                <w:kern w:val="0"/>
                <w:sz w:val="21"/>
                <w:szCs w:val="21"/>
                <w:u w:val="none"/>
                <w:lang w:val="en-US" w:eastAsia="zh-CN" w:bidi="ar"/>
              </w:rPr>
              <w:t>7.02</w:t>
            </w:r>
          </w:p>
        </w:tc>
        <w:tc>
          <w:tcPr>
            <w:tcW w:w="774"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1B00D983">
            <w:pPr>
              <w:keepNext w:val="0"/>
              <w:keepLines w:val="0"/>
              <w:widowControl/>
              <w:suppressLineNumbers w:val="0"/>
              <w:jc w:val="center"/>
              <w:textAlignment w:val="center"/>
            </w:pPr>
            <w:r>
              <w:rPr>
                <w:rFonts w:hint="eastAsia" w:ascii="宋体" w:hAnsi="宋体" w:eastAsia="宋体" w:cs="宋体"/>
                <w:i w:val="0"/>
                <w:iCs w:val="0"/>
                <w:color w:val="000000"/>
                <w:kern w:val="0"/>
                <w:sz w:val="24"/>
                <w:szCs w:val="24"/>
                <w:u w:val="none"/>
                <w:lang w:val="en-US" w:eastAsia="zh-CN" w:bidi="ar"/>
              </w:rPr>
              <w:t>55.5984</w:t>
            </w:r>
          </w:p>
        </w:tc>
        <w:tc>
          <w:tcPr>
            <w:tcW w:w="730" w:type="dxa"/>
            <w:vMerge w:val="continue"/>
            <w:tcBorders>
              <w:left w:val="single" w:color="000000" w:sz="4" w:space="0"/>
              <w:right w:val="single" w:color="000000" w:sz="4" w:space="0"/>
            </w:tcBorders>
            <w:noWrap w:val="0"/>
            <w:tcMar>
              <w:left w:w="108" w:type="dxa"/>
              <w:right w:w="108" w:type="dxa"/>
            </w:tcMar>
            <w:vAlign w:val="center"/>
          </w:tcPr>
          <w:p w14:paraId="1448CDD1">
            <w:pPr>
              <w:snapToGrid w:val="0"/>
              <w:ind w:left="0" w:leftChars="0" w:right="0" w:rightChars="0" w:firstLine="0" w:firstLineChars="0"/>
              <w:jc w:val="center"/>
            </w:pPr>
          </w:p>
        </w:tc>
        <w:tc>
          <w:tcPr>
            <w:tcW w:w="738" w:type="dxa"/>
            <w:vMerge w:val="continue"/>
            <w:tcBorders>
              <w:left w:val="single" w:color="000000" w:sz="4" w:space="0"/>
              <w:right w:val="single" w:color="000000" w:sz="4" w:space="0"/>
            </w:tcBorders>
            <w:noWrap w:val="0"/>
            <w:tcMar>
              <w:left w:w="108" w:type="dxa"/>
              <w:right w:w="108" w:type="dxa"/>
            </w:tcMar>
            <w:vAlign w:val="center"/>
          </w:tcPr>
          <w:p w14:paraId="065B2446">
            <w:pPr>
              <w:snapToGrid w:val="0"/>
              <w:ind w:left="0" w:leftChars="0" w:right="0" w:rightChars="0" w:firstLine="0" w:firstLineChars="0"/>
              <w:jc w:val="center"/>
            </w:pPr>
          </w:p>
        </w:tc>
        <w:tc>
          <w:tcPr>
            <w:tcW w:w="718" w:type="dxa"/>
            <w:vMerge w:val="continue"/>
            <w:tcBorders>
              <w:left w:val="single" w:color="000000" w:sz="4" w:space="0"/>
              <w:right w:val="single" w:color="000000" w:sz="4" w:space="0"/>
            </w:tcBorders>
            <w:noWrap w:val="0"/>
            <w:tcMar>
              <w:left w:w="108" w:type="dxa"/>
              <w:right w:w="108" w:type="dxa"/>
            </w:tcMar>
            <w:vAlign w:val="center"/>
          </w:tcPr>
          <w:p w14:paraId="4334B88B">
            <w:pPr>
              <w:snapToGrid w:val="0"/>
              <w:ind w:left="0" w:leftChars="0" w:right="0" w:rightChars="0" w:firstLine="0" w:firstLineChars="0"/>
              <w:jc w:val="center"/>
            </w:pPr>
          </w:p>
        </w:tc>
        <w:tc>
          <w:tcPr>
            <w:tcW w:w="738" w:type="dxa"/>
            <w:vMerge w:val="continue"/>
            <w:tcBorders>
              <w:left w:val="single" w:color="000000" w:sz="4" w:space="0"/>
              <w:right w:val="single" w:color="000000" w:sz="4" w:space="0"/>
            </w:tcBorders>
            <w:noWrap w:val="0"/>
            <w:tcMar>
              <w:left w:w="108" w:type="dxa"/>
              <w:right w:w="108" w:type="dxa"/>
            </w:tcMar>
            <w:vAlign w:val="center"/>
          </w:tcPr>
          <w:p w14:paraId="0B8D4E6C">
            <w:pPr>
              <w:snapToGrid w:val="0"/>
              <w:ind w:left="0" w:leftChars="0" w:right="0" w:rightChars="0" w:firstLine="0" w:firstLineChars="0"/>
              <w:jc w:val="center"/>
            </w:pPr>
          </w:p>
        </w:tc>
        <w:tc>
          <w:tcPr>
            <w:tcW w:w="751"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24C61ABF">
            <w:pPr>
              <w:snapToGrid w:val="0"/>
              <w:ind w:left="0" w:leftChars="0" w:right="0" w:rightChars="0" w:firstLine="0" w:firstLineChars="0"/>
              <w:jc w:val="center"/>
            </w:pPr>
            <w:r>
              <w:t>7920</w:t>
            </w:r>
          </w:p>
        </w:tc>
        <w:tc>
          <w:tcPr>
            <w:tcW w:w="473"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56A345B5">
            <w:pPr>
              <w:snapToGrid w:val="0"/>
              <w:ind w:left="0" w:leftChars="0" w:right="0" w:rightChars="0" w:firstLine="0" w:firstLineChars="0"/>
              <w:jc w:val="center"/>
            </w:pPr>
            <w:r>
              <w:t>连续</w:t>
            </w:r>
          </w:p>
        </w:tc>
      </w:tr>
      <w:tr w14:paraId="3E4A96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599" w:type="dxa"/>
            <w:vMerge w:val="continue"/>
            <w:tcBorders>
              <w:left w:val="single" w:color="000000" w:sz="4" w:space="0"/>
              <w:right w:val="single" w:color="000000" w:sz="4" w:space="0"/>
            </w:tcBorders>
            <w:noWrap w:val="0"/>
            <w:tcMar>
              <w:left w:w="108" w:type="dxa"/>
              <w:right w:w="108" w:type="dxa"/>
            </w:tcMar>
            <w:vAlign w:val="center"/>
          </w:tcPr>
          <w:p w14:paraId="5AE3D1C6">
            <w:pPr>
              <w:snapToGrid w:val="0"/>
              <w:ind w:left="0" w:leftChars="0" w:right="0" w:rightChars="0" w:firstLine="0" w:firstLineChars="0"/>
              <w:jc w:val="center"/>
            </w:pPr>
          </w:p>
        </w:tc>
        <w:tc>
          <w:tcPr>
            <w:tcW w:w="662" w:type="dxa"/>
            <w:vMerge w:val="continue"/>
            <w:tcBorders>
              <w:left w:val="single" w:color="000000" w:sz="4" w:space="0"/>
              <w:right w:val="single" w:color="000000" w:sz="4" w:space="0"/>
            </w:tcBorders>
            <w:noWrap w:val="0"/>
            <w:tcMar>
              <w:left w:w="108" w:type="dxa"/>
              <w:right w:w="108" w:type="dxa"/>
            </w:tcMar>
            <w:vAlign w:val="center"/>
          </w:tcPr>
          <w:p w14:paraId="5B543BCD">
            <w:pPr>
              <w:snapToGrid w:val="0"/>
              <w:ind w:left="0" w:leftChars="0" w:right="0" w:rightChars="0" w:firstLine="0" w:firstLineChars="0"/>
              <w:jc w:val="center"/>
            </w:pPr>
          </w:p>
        </w:tc>
        <w:tc>
          <w:tcPr>
            <w:tcW w:w="662" w:type="dxa"/>
            <w:vMerge w:val="continue"/>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33DB5B7D">
            <w:pPr>
              <w:jc w:val="center"/>
            </w:pPr>
          </w:p>
        </w:tc>
        <w:tc>
          <w:tcPr>
            <w:tcW w:w="410"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60C4E26C">
            <w:pPr>
              <w:jc w:val="center"/>
            </w:pPr>
            <w:r>
              <w:rPr>
                <w:rFonts w:hint="default" w:ascii="Times New Roman" w:hAnsi="Times New Roman" w:cs="Times New Roman"/>
                <w:b w:val="0"/>
                <w:bCs/>
                <w:sz w:val="21"/>
                <w:szCs w:val="21"/>
              </w:rPr>
              <w:t>氟化物</w:t>
            </w:r>
          </w:p>
        </w:tc>
        <w:tc>
          <w:tcPr>
            <w:tcW w:w="473"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77BCA57A">
            <w:pPr>
              <w:snapToGrid w:val="0"/>
              <w:ind w:left="0" w:leftChars="0" w:right="0" w:rightChars="0" w:firstLine="0" w:firstLineChars="0"/>
              <w:jc w:val="center"/>
            </w:pPr>
            <w:r>
              <w:t>物料衡算</w:t>
            </w:r>
          </w:p>
        </w:tc>
        <w:tc>
          <w:tcPr>
            <w:tcW w:w="718"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6A4A2B1A">
            <w:pPr>
              <w:keepNext w:val="0"/>
              <w:keepLines w:val="0"/>
              <w:widowControl/>
              <w:suppressLineNumbers w:val="0"/>
              <w:jc w:val="center"/>
              <w:textAlignment w:val="center"/>
            </w:pPr>
            <w:r>
              <w:rPr>
                <w:rFonts w:hint="default" w:ascii="Times New Roman" w:hAnsi="Times New Roman" w:eastAsia="宋体" w:cs="Times New Roman"/>
                <w:b w:val="0"/>
                <w:bCs w:val="0"/>
                <w:i w:val="0"/>
                <w:iCs w:val="0"/>
                <w:color w:val="000000"/>
                <w:kern w:val="0"/>
                <w:sz w:val="21"/>
                <w:szCs w:val="21"/>
                <w:u w:val="none"/>
                <w:lang w:val="en-US" w:eastAsia="zh-CN" w:bidi="ar"/>
              </w:rPr>
              <w:t>1.22</w:t>
            </w:r>
          </w:p>
        </w:tc>
        <w:tc>
          <w:tcPr>
            <w:tcW w:w="798"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5EDE1B97">
            <w:pPr>
              <w:jc w:val="center"/>
            </w:pPr>
            <w:r>
              <w:rPr>
                <w:rFonts w:hint="default" w:ascii="Times New Roman" w:hAnsi="Times New Roman" w:eastAsia="宋体" w:cs="Times New Roman"/>
                <w:b w:val="0"/>
                <w:bCs/>
                <w:sz w:val="21"/>
                <w:szCs w:val="21"/>
                <w:lang w:val="en-US" w:eastAsia="zh-CN"/>
              </w:rPr>
              <w:t>0.33</w:t>
            </w:r>
          </w:p>
        </w:tc>
        <w:tc>
          <w:tcPr>
            <w:tcW w:w="790"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0D90768C">
            <w:pPr>
              <w:keepNext w:val="0"/>
              <w:keepLines w:val="0"/>
              <w:widowControl/>
              <w:suppressLineNumbers w:val="0"/>
              <w:jc w:val="center"/>
              <w:textAlignment w:val="center"/>
            </w:pPr>
            <w:r>
              <w:rPr>
                <w:rFonts w:hint="eastAsia" w:ascii="宋体" w:hAnsi="宋体" w:eastAsia="宋体" w:cs="宋体"/>
                <w:i w:val="0"/>
                <w:iCs w:val="0"/>
                <w:color w:val="000000"/>
                <w:kern w:val="0"/>
                <w:sz w:val="24"/>
                <w:szCs w:val="24"/>
                <w:u w:val="none"/>
                <w:lang w:val="en-US" w:eastAsia="zh-CN" w:bidi="ar"/>
              </w:rPr>
              <w:t>2.6136</w:t>
            </w:r>
          </w:p>
        </w:tc>
        <w:tc>
          <w:tcPr>
            <w:tcW w:w="662" w:type="dxa"/>
            <w:vMerge w:val="continue"/>
            <w:tcBorders>
              <w:left w:val="single" w:color="000000" w:sz="4" w:space="0"/>
              <w:right w:val="single" w:color="000000" w:sz="4" w:space="0"/>
            </w:tcBorders>
            <w:noWrap w:val="0"/>
            <w:tcMar>
              <w:left w:w="108" w:type="dxa"/>
              <w:right w:w="108" w:type="dxa"/>
            </w:tcMar>
            <w:vAlign w:val="center"/>
          </w:tcPr>
          <w:p w14:paraId="4AA444B1">
            <w:pPr>
              <w:snapToGrid w:val="0"/>
              <w:ind w:left="0" w:leftChars="0" w:right="0" w:rightChars="0" w:firstLine="0" w:firstLineChars="0"/>
              <w:jc w:val="center"/>
            </w:pPr>
          </w:p>
        </w:tc>
        <w:tc>
          <w:tcPr>
            <w:tcW w:w="662" w:type="dxa"/>
            <w:vMerge w:val="continue"/>
            <w:tcBorders>
              <w:left w:val="single" w:color="000000" w:sz="4" w:space="0"/>
              <w:right w:val="single" w:color="000000" w:sz="4" w:space="0"/>
            </w:tcBorders>
            <w:noWrap w:val="0"/>
            <w:tcMar>
              <w:left w:w="108" w:type="dxa"/>
              <w:right w:w="108" w:type="dxa"/>
            </w:tcMar>
            <w:vAlign w:val="center"/>
          </w:tcPr>
          <w:p w14:paraId="6ED21B38">
            <w:pPr>
              <w:snapToGrid w:val="0"/>
              <w:ind w:left="0" w:leftChars="0" w:right="0" w:rightChars="0" w:firstLine="0" w:firstLineChars="0"/>
              <w:jc w:val="center"/>
            </w:pPr>
          </w:p>
        </w:tc>
        <w:tc>
          <w:tcPr>
            <w:tcW w:w="473"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36B88286">
            <w:pPr>
              <w:snapToGrid w:val="0"/>
              <w:ind w:left="0" w:leftChars="0" w:right="0" w:rightChars="0" w:firstLine="0" w:firstLineChars="0"/>
              <w:jc w:val="center"/>
            </w:pPr>
            <w:r>
              <w:t>60</w:t>
            </w:r>
          </w:p>
        </w:tc>
        <w:tc>
          <w:tcPr>
            <w:tcW w:w="594"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7A74DFC0">
            <w:pPr>
              <w:keepNext w:val="0"/>
              <w:keepLines w:val="0"/>
              <w:widowControl/>
              <w:suppressLineNumbers w:val="0"/>
              <w:jc w:val="center"/>
              <w:textAlignment w:val="center"/>
            </w:pPr>
            <w:r>
              <w:rPr>
                <w:rFonts w:hint="eastAsia" w:ascii="宋体" w:hAnsi="宋体" w:eastAsia="宋体" w:cs="宋体"/>
                <w:i w:val="0"/>
                <w:iCs w:val="0"/>
                <w:color w:val="000000"/>
                <w:kern w:val="0"/>
                <w:sz w:val="24"/>
                <w:szCs w:val="24"/>
                <w:u w:val="none"/>
                <w:lang w:val="en-US" w:eastAsia="zh-CN" w:bidi="ar"/>
              </w:rPr>
              <w:t xml:space="preserve">0.50 </w:t>
            </w:r>
          </w:p>
        </w:tc>
        <w:tc>
          <w:tcPr>
            <w:tcW w:w="883"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4D036974">
            <w:pPr>
              <w:keepNext w:val="0"/>
              <w:keepLines w:val="0"/>
              <w:widowControl/>
              <w:suppressLineNumbers w:val="0"/>
              <w:jc w:val="center"/>
              <w:textAlignment w:val="center"/>
            </w:pPr>
            <w:r>
              <w:rPr>
                <w:rFonts w:hint="default" w:ascii="Times New Roman" w:hAnsi="Times New Roman" w:eastAsia="宋体" w:cs="Times New Roman"/>
                <w:i w:val="0"/>
                <w:iCs w:val="0"/>
                <w:color w:val="000000"/>
                <w:kern w:val="0"/>
                <w:sz w:val="21"/>
                <w:szCs w:val="21"/>
                <w:u w:val="none"/>
                <w:lang w:val="en-US" w:eastAsia="zh-CN" w:bidi="ar"/>
              </w:rPr>
              <w:t>0.135</w:t>
            </w:r>
          </w:p>
        </w:tc>
        <w:tc>
          <w:tcPr>
            <w:tcW w:w="774"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3583841D">
            <w:pPr>
              <w:keepNext w:val="0"/>
              <w:keepLines w:val="0"/>
              <w:widowControl/>
              <w:suppressLineNumbers w:val="0"/>
              <w:jc w:val="center"/>
              <w:textAlignment w:val="center"/>
            </w:pPr>
            <w:r>
              <w:rPr>
                <w:rFonts w:hint="eastAsia" w:ascii="宋体" w:hAnsi="宋体" w:eastAsia="宋体" w:cs="宋体"/>
                <w:i w:val="0"/>
                <w:iCs w:val="0"/>
                <w:color w:val="000000"/>
                <w:kern w:val="0"/>
                <w:sz w:val="24"/>
                <w:szCs w:val="24"/>
                <w:u w:val="none"/>
                <w:lang w:val="en-US" w:eastAsia="zh-CN" w:bidi="ar"/>
              </w:rPr>
              <w:t>1.0692</w:t>
            </w:r>
          </w:p>
        </w:tc>
        <w:tc>
          <w:tcPr>
            <w:tcW w:w="730" w:type="dxa"/>
            <w:vMerge w:val="continue"/>
            <w:tcBorders>
              <w:left w:val="single" w:color="000000" w:sz="4" w:space="0"/>
              <w:right w:val="single" w:color="000000" w:sz="4" w:space="0"/>
            </w:tcBorders>
            <w:noWrap w:val="0"/>
            <w:tcMar>
              <w:left w:w="108" w:type="dxa"/>
              <w:right w:w="108" w:type="dxa"/>
            </w:tcMar>
            <w:vAlign w:val="center"/>
          </w:tcPr>
          <w:p w14:paraId="452DA3CB">
            <w:pPr>
              <w:snapToGrid w:val="0"/>
              <w:ind w:left="0" w:leftChars="0" w:right="0" w:rightChars="0" w:firstLine="0" w:firstLineChars="0"/>
              <w:jc w:val="center"/>
            </w:pPr>
          </w:p>
        </w:tc>
        <w:tc>
          <w:tcPr>
            <w:tcW w:w="738" w:type="dxa"/>
            <w:vMerge w:val="continue"/>
            <w:tcBorders>
              <w:left w:val="single" w:color="000000" w:sz="4" w:space="0"/>
              <w:right w:val="single" w:color="000000" w:sz="4" w:space="0"/>
            </w:tcBorders>
            <w:noWrap w:val="0"/>
            <w:tcMar>
              <w:left w:w="108" w:type="dxa"/>
              <w:right w:w="108" w:type="dxa"/>
            </w:tcMar>
            <w:vAlign w:val="center"/>
          </w:tcPr>
          <w:p w14:paraId="1401E598">
            <w:pPr>
              <w:snapToGrid w:val="0"/>
              <w:ind w:left="0" w:leftChars="0" w:right="0" w:rightChars="0" w:firstLine="0" w:firstLineChars="0"/>
              <w:jc w:val="center"/>
            </w:pPr>
          </w:p>
        </w:tc>
        <w:tc>
          <w:tcPr>
            <w:tcW w:w="718" w:type="dxa"/>
            <w:vMerge w:val="continue"/>
            <w:tcBorders>
              <w:left w:val="single" w:color="000000" w:sz="4" w:space="0"/>
              <w:right w:val="single" w:color="000000" w:sz="4" w:space="0"/>
            </w:tcBorders>
            <w:noWrap w:val="0"/>
            <w:tcMar>
              <w:left w:w="108" w:type="dxa"/>
              <w:right w:w="108" w:type="dxa"/>
            </w:tcMar>
            <w:vAlign w:val="center"/>
          </w:tcPr>
          <w:p w14:paraId="5B4D8E12">
            <w:pPr>
              <w:snapToGrid w:val="0"/>
              <w:ind w:left="0" w:leftChars="0" w:right="0" w:rightChars="0" w:firstLine="0" w:firstLineChars="0"/>
              <w:jc w:val="center"/>
            </w:pPr>
          </w:p>
        </w:tc>
        <w:tc>
          <w:tcPr>
            <w:tcW w:w="738" w:type="dxa"/>
            <w:vMerge w:val="continue"/>
            <w:tcBorders>
              <w:left w:val="single" w:color="000000" w:sz="4" w:space="0"/>
              <w:right w:val="single" w:color="000000" w:sz="4" w:space="0"/>
            </w:tcBorders>
            <w:noWrap w:val="0"/>
            <w:tcMar>
              <w:left w:w="108" w:type="dxa"/>
              <w:right w:w="108" w:type="dxa"/>
            </w:tcMar>
            <w:vAlign w:val="center"/>
          </w:tcPr>
          <w:p w14:paraId="2C2BC352">
            <w:pPr>
              <w:snapToGrid w:val="0"/>
              <w:ind w:left="0" w:leftChars="0" w:right="0" w:rightChars="0" w:firstLine="0" w:firstLineChars="0"/>
              <w:jc w:val="center"/>
            </w:pPr>
          </w:p>
        </w:tc>
        <w:tc>
          <w:tcPr>
            <w:tcW w:w="751"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0707E59A">
            <w:pPr>
              <w:snapToGrid w:val="0"/>
              <w:ind w:left="0" w:leftChars="0" w:right="0" w:rightChars="0" w:firstLine="0" w:firstLineChars="0"/>
              <w:jc w:val="center"/>
            </w:pPr>
            <w:r>
              <w:t>7920</w:t>
            </w:r>
          </w:p>
        </w:tc>
        <w:tc>
          <w:tcPr>
            <w:tcW w:w="473"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30869577">
            <w:pPr>
              <w:snapToGrid w:val="0"/>
              <w:ind w:left="0" w:leftChars="0" w:right="0" w:rightChars="0" w:firstLine="0" w:firstLineChars="0"/>
              <w:jc w:val="center"/>
            </w:pPr>
            <w:r>
              <w:t>连续</w:t>
            </w:r>
          </w:p>
        </w:tc>
      </w:tr>
      <w:tr w14:paraId="2547BB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599" w:type="dxa"/>
            <w:vMerge w:val="continue"/>
            <w:tcBorders>
              <w:left w:val="single" w:color="000000" w:sz="4" w:space="0"/>
              <w:right w:val="single" w:color="000000" w:sz="4" w:space="0"/>
            </w:tcBorders>
            <w:noWrap w:val="0"/>
            <w:tcMar>
              <w:left w:w="108" w:type="dxa"/>
              <w:right w:w="108" w:type="dxa"/>
            </w:tcMar>
            <w:vAlign w:val="center"/>
          </w:tcPr>
          <w:p w14:paraId="34B8C48D">
            <w:pPr>
              <w:snapToGrid w:val="0"/>
              <w:ind w:left="0" w:leftChars="0" w:right="0" w:rightChars="0" w:firstLine="0" w:firstLineChars="0"/>
              <w:jc w:val="center"/>
            </w:pPr>
          </w:p>
        </w:tc>
        <w:tc>
          <w:tcPr>
            <w:tcW w:w="662" w:type="dxa"/>
            <w:vMerge w:val="continue"/>
            <w:tcBorders>
              <w:left w:val="single" w:color="000000" w:sz="4" w:space="0"/>
              <w:right w:val="single" w:color="000000" w:sz="4" w:space="0"/>
            </w:tcBorders>
            <w:noWrap w:val="0"/>
            <w:tcMar>
              <w:left w:w="108" w:type="dxa"/>
              <w:right w:w="108" w:type="dxa"/>
            </w:tcMar>
            <w:vAlign w:val="center"/>
          </w:tcPr>
          <w:p w14:paraId="26EDE7C3">
            <w:pPr>
              <w:snapToGrid w:val="0"/>
              <w:ind w:left="0" w:leftChars="0" w:right="0" w:rightChars="0" w:firstLine="0" w:firstLineChars="0"/>
              <w:jc w:val="center"/>
            </w:pPr>
          </w:p>
        </w:tc>
        <w:tc>
          <w:tcPr>
            <w:tcW w:w="662" w:type="dxa"/>
            <w:vMerge w:val="continue"/>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79AF7E10">
            <w:pPr>
              <w:jc w:val="center"/>
            </w:pPr>
          </w:p>
        </w:tc>
        <w:tc>
          <w:tcPr>
            <w:tcW w:w="410"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5A21C912">
            <w:pPr>
              <w:jc w:val="center"/>
            </w:pPr>
            <w:r>
              <w:rPr>
                <w:rFonts w:hint="default" w:ascii="Times New Roman" w:hAnsi="Times New Roman" w:cs="Times New Roman"/>
                <w:b w:val="0"/>
                <w:bCs/>
                <w:sz w:val="21"/>
                <w:szCs w:val="21"/>
              </w:rPr>
              <w:t>氨</w:t>
            </w:r>
          </w:p>
        </w:tc>
        <w:tc>
          <w:tcPr>
            <w:tcW w:w="473"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3AB0C69A">
            <w:pPr>
              <w:snapToGrid w:val="0"/>
              <w:ind w:left="0" w:leftChars="0" w:right="0" w:rightChars="0" w:firstLine="0" w:firstLineChars="0"/>
              <w:jc w:val="center"/>
            </w:pPr>
            <w:r>
              <w:t>类比法</w:t>
            </w:r>
          </w:p>
        </w:tc>
        <w:tc>
          <w:tcPr>
            <w:tcW w:w="718"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322987BE">
            <w:pPr>
              <w:keepNext w:val="0"/>
              <w:keepLines w:val="0"/>
              <w:widowControl/>
              <w:suppressLineNumbers w:val="0"/>
              <w:jc w:val="center"/>
              <w:textAlignment w:val="center"/>
            </w:pPr>
            <w:r>
              <w:rPr>
                <w:rFonts w:hint="default" w:ascii="Times New Roman" w:hAnsi="Times New Roman" w:eastAsia="宋体" w:cs="Times New Roman"/>
                <w:b w:val="0"/>
                <w:bCs w:val="0"/>
                <w:i w:val="0"/>
                <w:iCs w:val="0"/>
                <w:color w:val="000000"/>
                <w:kern w:val="0"/>
                <w:sz w:val="21"/>
                <w:szCs w:val="21"/>
                <w:u w:val="none"/>
                <w:lang w:val="en-US" w:eastAsia="zh-CN" w:bidi="ar"/>
              </w:rPr>
              <w:t>2.81</w:t>
            </w:r>
          </w:p>
        </w:tc>
        <w:tc>
          <w:tcPr>
            <w:tcW w:w="798"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0904D9B2">
            <w:pPr>
              <w:jc w:val="center"/>
            </w:pPr>
            <w:r>
              <w:rPr>
                <w:rFonts w:hint="default" w:ascii="Times New Roman" w:hAnsi="Times New Roman" w:eastAsia="宋体" w:cs="Times New Roman"/>
                <w:b w:val="0"/>
                <w:bCs/>
                <w:sz w:val="21"/>
                <w:szCs w:val="21"/>
                <w:lang w:val="en-US" w:eastAsia="zh-CN"/>
              </w:rPr>
              <w:t>0.76</w:t>
            </w:r>
          </w:p>
        </w:tc>
        <w:tc>
          <w:tcPr>
            <w:tcW w:w="790"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33FD8FA4">
            <w:pPr>
              <w:keepNext w:val="0"/>
              <w:keepLines w:val="0"/>
              <w:widowControl/>
              <w:suppressLineNumbers w:val="0"/>
              <w:jc w:val="center"/>
              <w:textAlignment w:val="center"/>
            </w:pPr>
            <w:r>
              <w:rPr>
                <w:rFonts w:hint="eastAsia" w:ascii="宋体" w:hAnsi="宋体" w:eastAsia="宋体" w:cs="宋体"/>
                <w:i w:val="0"/>
                <w:iCs w:val="0"/>
                <w:color w:val="000000"/>
                <w:kern w:val="0"/>
                <w:sz w:val="24"/>
                <w:szCs w:val="24"/>
                <w:u w:val="none"/>
                <w:lang w:val="en-US" w:eastAsia="zh-CN" w:bidi="ar"/>
              </w:rPr>
              <w:t>6.0192</w:t>
            </w:r>
          </w:p>
        </w:tc>
        <w:tc>
          <w:tcPr>
            <w:tcW w:w="662" w:type="dxa"/>
            <w:vMerge w:val="continue"/>
            <w:tcBorders>
              <w:left w:val="single" w:color="000000" w:sz="4" w:space="0"/>
              <w:right w:val="single" w:color="000000" w:sz="4" w:space="0"/>
            </w:tcBorders>
            <w:noWrap w:val="0"/>
            <w:tcMar>
              <w:left w:w="108" w:type="dxa"/>
              <w:right w:w="108" w:type="dxa"/>
            </w:tcMar>
            <w:vAlign w:val="center"/>
          </w:tcPr>
          <w:p w14:paraId="4C4C92E8">
            <w:pPr>
              <w:snapToGrid w:val="0"/>
              <w:ind w:left="0" w:leftChars="0" w:right="0" w:rightChars="0" w:firstLine="0" w:firstLineChars="0"/>
              <w:jc w:val="center"/>
            </w:pPr>
          </w:p>
        </w:tc>
        <w:tc>
          <w:tcPr>
            <w:tcW w:w="662" w:type="dxa"/>
            <w:vMerge w:val="continue"/>
            <w:tcBorders>
              <w:left w:val="single" w:color="000000" w:sz="4" w:space="0"/>
              <w:right w:val="single" w:color="000000" w:sz="4" w:space="0"/>
            </w:tcBorders>
            <w:noWrap w:val="0"/>
            <w:tcMar>
              <w:left w:w="108" w:type="dxa"/>
              <w:right w:w="108" w:type="dxa"/>
            </w:tcMar>
            <w:vAlign w:val="center"/>
          </w:tcPr>
          <w:p w14:paraId="3D5C7BE5">
            <w:pPr>
              <w:snapToGrid w:val="0"/>
              <w:ind w:left="0" w:leftChars="0" w:right="0" w:rightChars="0" w:firstLine="0" w:firstLineChars="0"/>
              <w:jc w:val="center"/>
            </w:pPr>
          </w:p>
        </w:tc>
        <w:tc>
          <w:tcPr>
            <w:tcW w:w="473"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3444BCAF">
            <w:pPr>
              <w:snapToGrid w:val="0"/>
              <w:ind w:left="0" w:leftChars="0" w:right="0" w:rightChars="0" w:firstLine="0" w:firstLineChars="0"/>
              <w:jc w:val="center"/>
              <w:rPr>
                <w:rFonts w:hint="eastAsia" w:eastAsia="宋体"/>
                <w:lang w:eastAsia="zh-CN"/>
              </w:rPr>
            </w:pPr>
            <w:r>
              <w:rPr>
                <w:rFonts w:hint="eastAsia"/>
                <w:lang w:val="en-US" w:eastAsia="zh-CN"/>
              </w:rPr>
              <w:t>/</w:t>
            </w:r>
          </w:p>
        </w:tc>
        <w:tc>
          <w:tcPr>
            <w:tcW w:w="594"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3ACCE09C">
            <w:pPr>
              <w:keepNext w:val="0"/>
              <w:keepLines w:val="0"/>
              <w:widowControl/>
              <w:suppressLineNumbers w:val="0"/>
              <w:jc w:val="center"/>
              <w:textAlignment w:val="center"/>
            </w:pPr>
            <w:r>
              <w:rPr>
                <w:rFonts w:hint="eastAsia" w:ascii="宋体" w:hAnsi="宋体" w:eastAsia="宋体" w:cs="宋体"/>
                <w:i w:val="0"/>
                <w:iCs w:val="0"/>
                <w:color w:val="000000"/>
                <w:kern w:val="0"/>
                <w:sz w:val="24"/>
                <w:szCs w:val="24"/>
                <w:u w:val="none"/>
                <w:lang w:val="en-US" w:eastAsia="zh-CN" w:bidi="ar"/>
              </w:rPr>
              <w:t xml:space="preserve">2.81 </w:t>
            </w:r>
          </w:p>
        </w:tc>
        <w:tc>
          <w:tcPr>
            <w:tcW w:w="883"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45BD23B3">
            <w:pPr>
              <w:keepNext w:val="0"/>
              <w:keepLines w:val="0"/>
              <w:widowControl/>
              <w:suppressLineNumbers w:val="0"/>
              <w:jc w:val="center"/>
              <w:textAlignment w:val="center"/>
            </w:pPr>
            <w:r>
              <w:rPr>
                <w:rFonts w:hint="default" w:ascii="Times New Roman" w:hAnsi="Times New Roman" w:eastAsia="宋体" w:cs="Times New Roman"/>
                <w:i w:val="0"/>
                <w:iCs w:val="0"/>
                <w:color w:val="000000"/>
                <w:kern w:val="0"/>
                <w:sz w:val="21"/>
                <w:szCs w:val="21"/>
                <w:u w:val="none"/>
                <w:lang w:val="en-US" w:eastAsia="zh-CN" w:bidi="ar"/>
              </w:rPr>
              <w:t>0.76</w:t>
            </w:r>
          </w:p>
        </w:tc>
        <w:tc>
          <w:tcPr>
            <w:tcW w:w="774"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52703192">
            <w:pPr>
              <w:keepNext w:val="0"/>
              <w:keepLines w:val="0"/>
              <w:widowControl/>
              <w:suppressLineNumbers w:val="0"/>
              <w:jc w:val="center"/>
              <w:textAlignment w:val="center"/>
            </w:pPr>
            <w:r>
              <w:rPr>
                <w:rFonts w:hint="eastAsia" w:ascii="宋体" w:hAnsi="宋体" w:eastAsia="宋体" w:cs="宋体"/>
                <w:i w:val="0"/>
                <w:iCs w:val="0"/>
                <w:color w:val="000000"/>
                <w:kern w:val="0"/>
                <w:sz w:val="24"/>
                <w:szCs w:val="24"/>
                <w:u w:val="none"/>
                <w:lang w:val="en-US" w:eastAsia="zh-CN" w:bidi="ar"/>
              </w:rPr>
              <w:t>6.0192</w:t>
            </w:r>
          </w:p>
        </w:tc>
        <w:tc>
          <w:tcPr>
            <w:tcW w:w="730" w:type="dxa"/>
            <w:vMerge w:val="continue"/>
            <w:tcBorders>
              <w:left w:val="single" w:color="000000" w:sz="4" w:space="0"/>
              <w:right w:val="single" w:color="000000" w:sz="4" w:space="0"/>
            </w:tcBorders>
            <w:noWrap w:val="0"/>
            <w:tcMar>
              <w:left w:w="108" w:type="dxa"/>
              <w:right w:w="108" w:type="dxa"/>
            </w:tcMar>
            <w:vAlign w:val="center"/>
          </w:tcPr>
          <w:p w14:paraId="0DB3384F">
            <w:pPr>
              <w:snapToGrid w:val="0"/>
              <w:ind w:left="0" w:leftChars="0" w:right="0" w:rightChars="0" w:firstLine="0" w:firstLineChars="0"/>
              <w:jc w:val="center"/>
            </w:pPr>
          </w:p>
        </w:tc>
        <w:tc>
          <w:tcPr>
            <w:tcW w:w="738" w:type="dxa"/>
            <w:vMerge w:val="continue"/>
            <w:tcBorders>
              <w:left w:val="single" w:color="000000" w:sz="4" w:space="0"/>
              <w:right w:val="single" w:color="000000" w:sz="4" w:space="0"/>
            </w:tcBorders>
            <w:noWrap w:val="0"/>
            <w:tcMar>
              <w:left w:w="108" w:type="dxa"/>
              <w:right w:w="108" w:type="dxa"/>
            </w:tcMar>
            <w:vAlign w:val="center"/>
          </w:tcPr>
          <w:p w14:paraId="1AE2592B">
            <w:pPr>
              <w:snapToGrid w:val="0"/>
              <w:ind w:left="0" w:leftChars="0" w:right="0" w:rightChars="0" w:firstLine="0" w:firstLineChars="0"/>
              <w:jc w:val="center"/>
            </w:pPr>
          </w:p>
        </w:tc>
        <w:tc>
          <w:tcPr>
            <w:tcW w:w="718" w:type="dxa"/>
            <w:vMerge w:val="continue"/>
            <w:tcBorders>
              <w:left w:val="single" w:color="000000" w:sz="4" w:space="0"/>
              <w:right w:val="single" w:color="000000" w:sz="4" w:space="0"/>
            </w:tcBorders>
            <w:noWrap w:val="0"/>
            <w:tcMar>
              <w:left w:w="108" w:type="dxa"/>
              <w:right w:w="108" w:type="dxa"/>
            </w:tcMar>
            <w:vAlign w:val="center"/>
          </w:tcPr>
          <w:p w14:paraId="1BF46867">
            <w:pPr>
              <w:snapToGrid w:val="0"/>
              <w:ind w:left="0" w:leftChars="0" w:right="0" w:rightChars="0" w:firstLine="0" w:firstLineChars="0"/>
              <w:jc w:val="center"/>
            </w:pPr>
          </w:p>
        </w:tc>
        <w:tc>
          <w:tcPr>
            <w:tcW w:w="738" w:type="dxa"/>
            <w:vMerge w:val="continue"/>
            <w:tcBorders>
              <w:left w:val="single" w:color="000000" w:sz="4" w:space="0"/>
              <w:right w:val="single" w:color="000000" w:sz="4" w:space="0"/>
            </w:tcBorders>
            <w:noWrap w:val="0"/>
            <w:tcMar>
              <w:left w:w="108" w:type="dxa"/>
              <w:right w:w="108" w:type="dxa"/>
            </w:tcMar>
            <w:vAlign w:val="center"/>
          </w:tcPr>
          <w:p w14:paraId="4FBB3F1C">
            <w:pPr>
              <w:snapToGrid w:val="0"/>
              <w:ind w:left="0" w:leftChars="0" w:right="0" w:rightChars="0" w:firstLine="0" w:firstLineChars="0"/>
              <w:jc w:val="center"/>
            </w:pPr>
          </w:p>
        </w:tc>
        <w:tc>
          <w:tcPr>
            <w:tcW w:w="751"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57765348">
            <w:pPr>
              <w:snapToGrid w:val="0"/>
              <w:ind w:left="0" w:leftChars="0" w:right="0" w:rightChars="0" w:firstLine="0" w:firstLineChars="0"/>
              <w:jc w:val="center"/>
            </w:pPr>
            <w:r>
              <w:t>7920</w:t>
            </w:r>
          </w:p>
        </w:tc>
        <w:tc>
          <w:tcPr>
            <w:tcW w:w="473"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2F1A405C">
            <w:pPr>
              <w:snapToGrid w:val="0"/>
              <w:ind w:left="0" w:leftChars="0" w:right="0" w:rightChars="0" w:firstLine="0" w:firstLineChars="0"/>
              <w:jc w:val="center"/>
            </w:pPr>
            <w:r>
              <w:t>连续</w:t>
            </w:r>
          </w:p>
        </w:tc>
      </w:tr>
      <w:tr w14:paraId="2B2F09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599" w:type="dxa"/>
            <w:vMerge w:val="continue"/>
            <w:tcBorders>
              <w:left w:val="single" w:color="000000" w:sz="4" w:space="0"/>
              <w:right w:val="single" w:color="000000" w:sz="4" w:space="0"/>
            </w:tcBorders>
            <w:noWrap w:val="0"/>
            <w:tcMar>
              <w:left w:w="108" w:type="dxa"/>
              <w:right w:w="108" w:type="dxa"/>
            </w:tcMar>
            <w:vAlign w:val="center"/>
          </w:tcPr>
          <w:p w14:paraId="58D6A0DE">
            <w:pPr>
              <w:snapToGrid w:val="0"/>
              <w:ind w:left="0" w:leftChars="0" w:right="0" w:rightChars="0" w:firstLine="0" w:firstLineChars="0"/>
              <w:jc w:val="center"/>
            </w:pPr>
          </w:p>
        </w:tc>
        <w:tc>
          <w:tcPr>
            <w:tcW w:w="662" w:type="dxa"/>
            <w:vMerge w:val="continue"/>
            <w:tcBorders>
              <w:left w:val="single" w:color="000000" w:sz="4" w:space="0"/>
              <w:bottom w:val="single" w:color="000000" w:sz="4" w:space="0"/>
              <w:right w:val="single" w:color="000000" w:sz="4" w:space="0"/>
            </w:tcBorders>
            <w:noWrap w:val="0"/>
            <w:tcMar>
              <w:left w:w="108" w:type="dxa"/>
              <w:right w:w="108" w:type="dxa"/>
            </w:tcMar>
            <w:vAlign w:val="center"/>
          </w:tcPr>
          <w:p w14:paraId="66E7870C">
            <w:pPr>
              <w:snapToGrid w:val="0"/>
              <w:ind w:left="0" w:leftChars="0" w:right="0" w:rightChars="0" w:firstLine="0" w:firstLineChars="0"/>
              <w:jc w:val="center"/>
            </w:pPr>
          </w:p>
        </w:tc>
        <w:tc>
          <w:tcPr>
            <w:tcW w:w="662" w:type="dxa"/>
            <w:vMerge w:val="continue"/>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0B8C94D5">
            <w:pPr>
              <w:jc w:val="center"/>
            </w:pPr>
          </w:p>
        </w:tc>
        <w:tc>
          <w:tcPr>
            <w:tcW w:w="410"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5DA8300F">
            <w:pPr>
              <w:jc w:val="center"/>
            </w:pPr>
            <w:r>
              <w:rPr>
                <w:rFonts w:hint="default" w:ascii="Times New Roman" w:hAnsi="Times New Roman" w:cs="Times New Roman"/>
                <w:b w:val="0"/>
                <w:bCs/>
                <w:sz w:val="21"/>
                <w:szCs w:val="21"/>
              </w:rPr>
              <w:t>二噁英类</w:t>
            </w:r>
          </w:p>
        </w:tc>
        <w:tc>
          <w:tcPr>
            <w:tcW w:w="473"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03BB48F8">
            <w:pPr>
              <w:snapToGrid w:val="0"/>
              <w:ind w:left="0" w:leftChars="0" w:right="0" w:rightChars="0" w:firstLine="0" w:firstLineChars="0"/>
              <w:jc w:val="center"/>
            </w:pPr>
            <w:r>
              <w:t>类比法</w:t>
            </w:r>
          </w:p>
        </w:tc>
        <w:tc>
          <w:tcPr>
            <w:tcW w:w="718"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74BC85C9">
            <w:pPr>
              <w:keepNext w:val="0"/>
              <w:keepLines w:val="0"/>
              <w:widowControl/>
              <w:suppressLineNumbers w:val="0"/>
              <w:jc w:val="center"/>
              <w:textAlignment w:val="center"/>
            </w:pPr>
            <w:r>
              <w:rPr>
                <w:rFonts w:hint="default" w:ascii="Times New Roman" w:hAnsi="Times New Roman" w:eastAsia="宋体" w:cs="Times New Roman"/>
                <w:b w:val="0"/>
                <w:bCs w:val="0"/>
                <w:i w:val="0"/>
                <w:iCs w:val="0"/>
                <w:color w:val="000000"/>
                <w:kern w:val="0"/>
                <w:sz w:val="21"/>
                <w:szCs w:val="21"/>
                <w:u w:val="none"/>
                <w:lang w:val="en-US" w:eastAsia="zh-CN" w:bidi="ar"/>
              </w:rPr>
              <w:t>0.0000005</w:t>
            </w:r>
          </w:p>
        </w:tc>
        <w:tc>
          <w:tcPr>
            <w:tcW w:w="798"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56BCCFF2">
            <w:pPr>
              <w:jc w:val="center"/>
            </w:pPr>
            <w:r>
              <w:rPr>
                <w:rFonts w:hint="default" w:ascii="Times New Roman" w:hAnsi="Times New Roman" w:eastAsia="宋体" w:cs="Times New Roman"/>
                <w:b w:val="0"/>
                <w:bCs/>
                <w:i w:val="0"/>
                <w:iCs w:val="0"/>
                <w:color w:val="000000"/>
                <w:kern w:val="0"/>
                <w:sz w:val="21"/>
                <w:szCs w:val="21"/>
                <w:u w:val="none"/>
                <w:lang w:val="en-US" w:eastAsia="zh-CN" w:bidi="ar"/>
              </w:rPr>
              <w:t>1.35</w:t>
            </w:r>
            <w:r>
              <w:rPr>
                <w:rFonts w:hint="default" w:ascii="Times New Roman" w:hAnsi="Times New Roman" w:cs="Times New Roman"/>
                <w:b w:val="0"/>
                <w:bCs/>
                <w:sz w:val="21"/>
                <w:szCs w:val="21"/>
                <w:highlight w:val="none"/>
              </w:rPr>
              <w:t>×10</w:t>
            </w:r>
            <w:r>
              <w:rPr>
                <w:rFonts w:hint="default" w:ascii="Times New Roman" w:hAnsi="Times New Roman" w:cs="Times New Roman"/>
                <w:b w:val="0"/>
                <w:bCs/>
                <w:sz w:val="21"/>
                <w:szCs w:val="21"/>
                <w:highlight w:val="none"/>
                <w:vertAlign w:val="superscript"/>
                <w:lang w:val="en-US" w:eastAsia="zh-CN"/>
              </w:rPr>
              <w:t>-4</w:t>
            </w:r>
            <w:r>
              <w:rPr>
                <w:rFonts w:hint="default" w:ascii="Times New Roman" w:hAnsi="Times New Roman" w:cs="Times New Roman"/>
                <w:b w:val="0"/>
                <w:bCs/>
                <w:sz w:val="21"/>
                <w:szCs w:val="21"/>
                <w:highlight w:val="none"/>
              </w:rPr>
              <w:t>g</w:t>
            </w:r>
            <w:r>
              <w:rPr>
                <w:rFonts w:hint="default" w:ascii="Times New Roman" w:hAnsi="Times New Roman" w:cs="Times New Roman"/>
                <w:b w:val="0"/>
                <w:bCs/>
                <w:sz w:val="21"/>
                <w:szCs w:val="21"/>
                <w:highlight w:val="none"/>
                <w:lang w:val="en-US" w:eastAsia="zh-CN"/>
              </w:rPr>
              <w:t>/h</w:t>
            </w:r>
          </w:p>
        </w:tc>
        <w:tc>
          <w:tcPr>
            <w:tcW w:w="790" w:type="dxa"/>
            <w:tcBorders>
              <w:top w:val="single" w:color="000000" w:sz="4" w:space="0"/>
              <w:left w:val="single" w:color="000000" w:sz="4" w:space="0"/>
              <w:bottom w:val="single" w:color="000000" w:sz="4" w:space="0"/>
              <w:right w:val="single" w:color="000000" w:sz="4" w:space="0"/>
            </w:tcBorders>
            <w:shd w:val="clear" w:color="auto" w:fill="auto"/>
            <w:noWrap w:val="0"/>
            <w:tcMar>
              <w:left w:w="108" w:type="dxa"/>
              <w:right w:w="108" w:type="dxa"/>
            </w:tcMar>
            <w:vAlign w:val="center"/>
          </w:tcPr>
          <w:p w14:paraId="3CBC44FB">
            <w:pPr>
              <w:keepNext w:val="0"/>
              <w:keepLines w:val="0"/>
              <w:widowControl/>
              <w:suppressLineNumbers w:val="0"/>
              <w:jc w:val="center"/>
              <w:textAlignment w:val="center"/>
              <w:rPr>
                <w:rFonts w:hint="eastAsia" w:ascii="宋体" w:hAnsi="宋体" w:eastAsia="宋体" w:cs="宋体"/>
                <w:i w:val="0"/>
                <w:iCs w:val="0"/>
                <w:color w:val="000000"/>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 xml:space="preserve">0.000001 </w:t>
            </w:r>
          </w:p>
        </w:tc>
        <w:tc>
          <w:tcPr>
            <w:tcW w:w="662" w:type="dxa"/>
            <w:vMerge w:val="continue"/>
            <w:tcBorders>
              <w:left w:val="single" w:color="000000" w:sz="4" w:space="0"/>
              <w:bottom w:val="single" w:color="000000" w:sz="4" w:space="0"/>
              <w:right w:val="single" w:color="000000" w:sz="4" w:space="0"/>
            </w:tcBorders>
            <w:noWrap w:val="0"/>
            <w:tcMar>
              <w:left w:w="108" w:type="dxa"/>
              <w:right w:w="108" w:type="dxa"/>
            </w:tcMar>
            <w:vAlign w:val="center"/>
          </w:tcPr>
          <w:p w14:paraId="1F1C1100">
            <w:pPr>
              <w:snapToGrid w:val="0"/>
              <w:ind w:left="0" w:leftChars="0" w:right="0" w:rightChars="0" w:firstLine="0" w:firstLineChars="0"/>
              <w:jc w:val="center"/>
            </w:pPr>
          </w:p>
        </w:tc>
        <w:tc>
          <w:tcPr>
            <w:tcW w:w="662" w:type="dxa"/>
            <w:vMerge w:val="continue"/>
            <w:tcBorders>
              <w:left w:val="single" w:color="000000" w:sz="4" w:space="0"/>
              <w:bottom w:val="single" w:color="000000" w:sz="4" w:space="0"/>
              <w:right w:val="single" w:color="000000" w:sz="4" w:space="0"/>
            </w:tcBorders>
            <w:noWrap w:val="0"/>
            <w:tcMar>
              <w:left w:w="108" w:type="dxa"/>
              <w:right w:w="108" w:type="dxa"/>
            </w:tcMar>
            <w:vAlign w:val="center"/>
          </w:tcPr>
          <w:p w14:paraId="4E4FD798">
            <w:pPr>
              <w:snapToGrid w:val="0"/>
              <w:ind w:left="0" w:leftChars="0" w:right="0" w:rightChars="0" w:firstLine="0" w:firstLineChars="0"/>
              <w:jc w:val="center"/>
            </w:pPr>
          </w:p>
        </w:tc>
        <w:tc>
          <w:tcPr>
            <w:tcW w:w="473"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08DF4F2D">
            <w:pPr>
              <w:snapToGrid w:val="0"/>
              <w:ind w:left="0" w:leftChars="0" w:right="0" w:rightChars="0" w:firstLine="0" w:firstLineChars="0"/>
              <w:jc w:val="center"/>
              <w:rPr>
                <w:rFonts w:hint="eastAsia" w:eastAsia="宋体"/>
                <w:lang w:eastAsia="zh-CN"/>
              </w:rPr>
            </w:pPr>
            <w:r>
              <w:t>9</w:t>
            </w:r>
            <w:r>
              <w:rPr>
                <w:rFonts w:hint="eastAsia"/>
                <w:lang w:val="en-US" w:eastAsia="zh-CN"/>
              </w:rPr>
              <w:t>0</w:t>
            </w:r>
          </w:p>
        </w:tc>
        <w:tc>
          <w:tcPr>
            <w:tcW w:w="594"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281AD71D">
            <w:pPr>
              <w:snapToGrid w:val="0"/>
              <w:ind w:left="0" w:leftChars="0" w:right="0" w:rightChars="0" w:firstLine="0" w:firstLineChars="0"/>
              <w:jc w:val="center"/>
            </w:pPr>
            <w:r>
              <w:rPr>
                <w:rFonts w:hint="default" w:ascii="Times New Roman" w:hAnsi="Times New Roman" w:eastAsia="宋体" w:cs="Times New Roman"/>
                <w:b w:val="0"/>
                <w:bCs w:val="0"/>
                <w:i w:val="0"/>
                <w:iCs w:val="0"/>
                <w:color w:val="000000"/>
                <w:kern w:val="0"/>
                <w:sz w:val="21"/>
                <w:szCs w:val="21"/>
                <w:u w:val="none"/>
                <w:lang w:val="en-US" w:eastAsia="zh-CN" w:bidi="ar"/>
              </w:rPr>
              <w:t>0.0000</w:t>
            </w:r>
            <w:r>
              <w:rPr>
                <w:rFonts w:hint="eastAsia" w:ascii="Times New Roman" w:hAnsi="Times New Roman" w:eastAsia="宋体" w:cs="Times New Roman"/>
                <w:b w:val="0"/>
                <w:bCs w:val="0"/>
                <w:i w:val="0"/>
                <w:iCs w:val="0"/>
                <w:color w:val="000000"/>
                <w:kern w:val="0"/>
                <w:sz w:val="21"/>
                <w:szCs w:val="21"/>
                <w:u w:val="none"/>
                <w:lang w:val="en-US" w:eastAsia="zh-CN" w:bidi="ar"/>
              </w:rPr>
              <w:t>0</w:t>
            </w:r>
            <w:r>
              <w:rPr>
                <w:rFonts w:hint="default" w:ascii="Times New Roman" w:hAnsi="Times New Roman" w:eastAsia="宋体" w:cs="Times New Roman"/>
                <w:b w:val="0"/>
                <w:bCs w:val="0"/>
                <w:i w:val="0"/>
                <w:iCs w:val="0"/>
                <w:color w:val="000000"/>
                <w:kern w:val="0"/>
                <w:sz w:val="21"/>
                <w:szCs w:val="21"/>
                <w:u w:val="none"/>
                <w:lang w:val="en-US" w:eastAsia="zh-CN" w:bidi="ar"/>
              </w:rPr>
              <w:t>005</w:t>
            </w:r>
          </w:p>
        </w:tc>
        <w:tc>
          <w:tcPr>
            <w:tcW w:w="883"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448D3DFD">
            <w:pPr>
              <w:keepNext w:val="0"/>
              <w:keepLines w:val="0"/>
              <w:widowControl/>
              <w:suppressLineNumbers w:val="0"/>
              <w:jc w:val="center"/>
              <w:textAlignment w:val="center"/>
            </w:pPr>
            <w:r>
              <w:rPr>
                <w:rFonts w:hint="default" w:ascii="Times New Roman" w:hAnsi="Times New Roman" w:eastAsia="宋体" w:cs="Times New Roman"/>
                <w:i w:val="0"/>
                <w:iCs w:val="0"/>
                <w:color w:val="000000"/>
                <w:kern w:val="0"/>
                <w:sz w:val="21"/>
                <w:szCs w:val="21"/>
                <w:u w:val="none"/>
                <w:lang w:val="en-US" w:eastAsia="zh-CN" w:bidi="ar"/>
              </w:rPr>
              <w:t>1.35</w:t>
            </w:r>
            <w:r>
              <w:rPr>
                <w:rFonts w:hint="eastAsia" w:ascii="宋体" w:hAnsi="宋体" w:eastAsia="宋体" w:cs="宋体"/>
                <w:i w:val="0"/>
                <w:iCs w:val="0"/>
                <w:color w:val="000000"/>
                <w:kern w:val="0"/>
                <w:sz w:val="21"/>
                <w:szCs w:val="21"/>
                <w:u w:val="none"/>
                <w:lang w:val="en-US" w:eastAsia="zh-CN" w:bidi="ar"/>
              </w:rPr>
              <w:t>×</w:t>
            </w:r>
            <w:r>
              <w:rPr>
                <w:rFonts w:hint="default" w:ascii="Times New Roman" w:hAnsi="Times New Roman" w:eastAsia="宋体" w:cs="Times New Roman"/>
                <w:i w:val="0"/>
                <w:iCs w:val="0"/>
                <w:color w:val="000000"/>
                <w:kern w:val="0"/>
                <w:sz w:val="21"/>
                <w:szCs w:val="21"/>
                <w:u w:val="none"/>
                <w:lang w:val="en-US" w:eastAsia="zh-CN" w:bidi="ar"/>
              </w:rPr>
              <w:t>10</w:t>
            </w:r>
            <w:r>
              <w:rPr>
                <w:rFonts w:hint="default" w:ascii="Times New Roman" w:hAnsi="Times New Roman" w:eastAsia="宋体" w:cs="Times New Roman"/>
                <w:i w:val="0"/>
                <w:iCs w:val="0"/>
                <w:color w:val="000000"/>
                <w:kern w:val="0"/>
                <w:sz w:val="21"/>
                <w:szCs w:val="21"/>
                <w:u w:val="none"/>
                <w:vertAlign w:val="superscript"/>
                <w:lang w:val="en-US" w:eastAsia="zh-CN" w:bidi="ar"/>
              </w:rPr>
              <w:t>-5</w:t>
            </w:r>
            <w:r>
              <w:rPr>
                <w:rFonts w:hint="default" w:ascii="Times New Roman" w:hAnsi="Times New Roman" w:eastAsia="宋体" w:cs="Times New Roman"/>
                <w:i w:val="0"/>
                <w:iCs w:val="0"/>
                <w:color w:val="000000"/>
                <w:kern w:val="0"/>
                <w:sz w:val="21"/>
                <w:szCs w:val="21"/>
                <w:u w:val="none"/>
                <w:lang w:val="en-US" w:eastAsia="zh-CN" w:bidi="ar"/>
              </w:rPr>
              <w:t>g/h</w:t>
            </w:r>
          </w:p>
        </w:tc>
        <w:tc>
          <w:tcPr>
            <w:tcW w:w="774"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0D9DE1C1">
            <w:pPr>
              <w:snapToGrid w:val="0"/>
              <w:ind w:left="0" w:leftChars="0" w:right="0" w:rightChars="0" w:firstLine="0" w:firstLineChars="0"/>
              <w:jc w:val="center"/>
            </w:pPr>
            <w:r>
              <w:rPr>
                <w:rFonts w:hint="eastAsia" w:ascii="宋体" w:hAnsi="宋体" w:eastAsia="宋体" w:cs="宋体"/>
                <w:i w:val="0"/>
                <w:iCs w:val="0"/>
                <w:color w:val="000000"/>
                <w:kern w:val="0"/>
                <w:sz w:val="24"/>
                <w:szCs w:val="24"/>
                <w:u w:val="none"/>
                <w:lang w:val="en-US" w:eastAsia="zh-CN" w:bidi="ar"/>
              </w:rPr>
              <w:t>0.0000001</w:t>
            </w:r>
          </w:p>
        </w:tc>
        <w:tc>
          <w:tcPr>
            <w:tcW w:w="730" w:type="dxa"/>
            <w:vMerge w:val="continue"/>
            <w:tcBorders>
              <w:left w:val="single" w:color="000000" w:sz="4" w:space="0"/>
              <w:bottom w:val="single" w:color="000000" w:sz="4" w:space="0"/>
              <w:right w:val="single" w:color="000000" w:sz="4" w:space="0"/>
            </w:tcBorders>
            <w:noWrap w:val="0"/>
            <w:tcMar>
              <w:left w:w="108" w:type="dxa"/>
              <w:right w:w="108" w:type="dxa"/>
            </w:tcMar>
            <w:vAlign w:val="center"/>
          </w:tcPr>
          <w:p w14:paraId="7B9453BA">
            <w:pPr>
              <w:snapToGrid w:val="0"/>
              <w:ind w:left="0" w:leftChars="0" w:right="0" w:rightChars="0" w:firstLine="0" w:firstLineChars="0"/>
              <w:jc w:val="center"/>
            </w:pPr>
          </w:p>
        </w:tc>
        <w:tc>
          <w:tcPr>
            <w:tcW w:w="738" w:type="dxa"/>
            <w:vMerge w:val="continue"/>
            <w:tcBorders>
              <w:left w:val="single" w:color="000000" w:sz="4" w:space="0"/>
              <w:bottom w:val="single" w:color="000000" w:sz="4" w:space="0"/>
              <w:right w:val="single" w:color="000000" w:sz="4" w:space="0"/>
            </w:tcBorders>
            <w:noWrap w:val="0"/>
            <w:tcMar>
              <w:left w:w="108" w:type="dxa"/>
              <w:right w:w="108" w:type="dxa"/>
            </w:tcMar>
            <w:vAlign w:val="center"/>
          </w:tcPr>
          <w:p w14:paraId="4649E168">
            <w:pPr>
              <w:snapToGrid w:val="0"/>
              <w:ind w:left="0" w:leftChars="0" w:right="0" w:rightChars="0" w:firstLine="0" w:firstLineChars="0"/>
              <w:jc w:val="center"/>
            </w:pPr>
          </w:p>
        </w:tc>
        <w:tc>
          <w:tcPr>
            <w:tcW w:w="718" w:type="dxa"/>
            <w:vMerge w:val="continue"/>
            <w:tcBorders>
              <w:left w:val="single" w:color="000000" w:sz="4" w:space="0"/>
              <w:bottom w:val="single" w:color="000000" w:sz="4" w:space="0"/>
              <w:right w:val="single" w:color="000000" w:sz="4" w:space="0"/>
            </w:tcBorders>
            <w:noWrap w:val="0"/>
            <w:tcMar>
              <w:left w:w="108" w:type="dxa"/>
              <w:right w:w="108" w:type="dxa"/>
            </w:tcMar>
            <w:vAlign w:val="center"/>
          </w:tcPr>
          <w:p w14:paraId="7BCAD8D1">
            <w:pPr>
              <w:snapToGrid w:val="0"/>
              <w:ind w:left="0" w:leftChars="0" w:right="0" w:rightChars="0" w:firstLine="0" w:firstLineChars="0"/>
              <w:jc w:val="center"/>
            </w:pPr>
          </w:p>
        </w:tc>
        <w:tc>
          <w:tcPr>
            <w:tcW w:w="738" w:type="dxa"/>
            <w:vMerge w:val="continue"/>
            <w:tcBorders>
              <w:left w:val="single" w:color="000000" w:sz="4" w:space="0"/>
              <w:bottom w:val="single" w:color="000000" w:sz="4" w:space="0"/>
              <w:right w:val="single" w:color="000000" w:sz="4" w:space="0"/>
            </w:tcBorders>
            <w:noWrap w:val="0"/>
            <w:tcMar>
              <w:left w:w="108" w:type="dxa"/>
              <w:right w:w="108" w:type="dxa"/>
            </w:tcMar>
            <w:vAlign w:val="center"/>
          </w:tcPr>
          <w:p w14:paraId="43D7598E">
            <w:pPr>
              <w:snapToGrid w:val="0"/>
              <w:ind w:left="0" w:leftChars="0" w:right="0" w:rightChars="0" w:firstLine="0" w:firstLineChars="0"/>
              <w:jc w:val="center"/>
            </w:pPr>
          </w:p>
        </w:tc>
        <w:tc>
          <w:tcPr>
            <w:tcW w:w="751"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59FAE8B0">
            <w:pPr>
              <w:snapToGrid w:val="0"/>
              <w:ind w:left="0" w:leftChars="0" w:right="0" w:rightChars="0" w:firstLine="0" w:firstLineChars="0"/>
              <w:jc w:val="center"/>
            </w:pPr>
            <w:r>
              <w:t>7920</w:t>
            </w:r>
          </w:p>
        </w:tc>
        <w:tc>
          <w:tcPr>
            <w:tcW w:w="473"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477512EE">
            <w:pPr>
              <w:snapToGrid w:val="0"/>
              <w:ind w:left="0" w:leftChars="0" w:right="0" w:rightChars="0" w:firstLine="0" w:firstLineChars="0"/>
              <w:jc w:val="center"/>
            </w:pPr>
            <w:r>
              <w:t>连续</w:t>
            </w:r>
          </w:p>
        </w:tc>
      </w:tr>
      <w:tr w14:paraId="3329B0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599" w:type="dxa"/>
            <w:vMerge w:val="continue"/>
            <w:tcBorders>
              <w:left w:val="single" w:color="000000" w:sz="4" w:space="0"/>
              <w:right w:val="single" w:color="000000" w:sz="4" w:space="0"/>
            </w:tcBorders>
            <w:noWrap w:val="0"/>
            <w:tcMar>
              <w:left w:w="108" w:type="dxa"/>
              <w:right w:w="108" w:type="dxa"/>
            </w:tcMar>
            <w:vAlign w:val="center"/>
          </w:tcPr>
          <w:p w14:paraId="30122097">
            <w:pPr>
              <w:snapToGrid w:val="0"/>
              <w:ind w:left="0" w:leftChars="0" w:right="0" w:rightChars="0" w:firstLine="0" w:firstLineChars="0"/>
              <w:jc w:val="center"/>
            </w:pPr>
          </w:p>
        </w:tc>
        <w:tc>
          <w:tcPr>
            <w:tcW w:w="662"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3EC5A767">
            <w:pPr>
              <w:jc w:val="center"/>
              <w:rPr>
                <w:rFonts w:ascii="宋体" w:hAnsi="宋体" w:cs="宋体"/>
                <w:sz w:val="24"/>
                <w:szCs w:val="24"/>
                <w:lang w:val="en-US" w:eastAsia="zh-CN" w:bidi="ar-SA"/>
              </w:rPr>
            </w:pPr>
            <w:r>
              <w:rPr>
                <w:rFonts w:hint="default" w:ascii="Times New Roman" w:hAnsi="Times New Roman" w:eastAsia="宋体" w:cs="Times New Roman"/>
                <w:b w:val="0"/>
                <w:bCs/>
                <w:i w:val="0"/>
                <w:iCs w:val="0"/>
                <w:color w:val="000000"/>
                <w:kern w:val="0"/>
                <w:sz w:val="21"/>
                <w:szCs w:val="21"/>
                <w:u w:val="none"/>
                <w:lang w:val="en-US" w:eastAsia="zh-CN" w:bidi="ar"/>
              </w:rPr>
              <w:t>烧结机尾</w:t>
            </w:r>
          </w:p>
        </w:tc>
        <w:tc>
          <w:tcPr>
            <w:tcW w:w="662"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01B98EFE">
            <w:pPr>
              <w:jc w:val="center"/>
              <w:rPr>
                <w:rFonts w:ascii="宋体" w:hAnsi="宋体" w:cs="宋体"/>
                <w:sz w:val="24"/>
                <w:szCs w:val="24"/>
                <w:lang w:val="en-US" w:eastAsia="zh-CN" w:bidi="ar-SA"/>
              </w:rPr>
            </w:pPr>
            <w:r>
              <w:rPr>
                <w:rFonts w:hint="default" w:ascii="Times New Roman" w:hAnsi="Times New Roman" w:eastAsia="宋体" w:cs="Times New Roman"/>
                <w:b w:val="0"/>
                <w:bCs/>
                <w:sz w:val="21"/>
                <w:szCs w:val="21"/>
                <w:lang w:val="en-US" w:eastAsia="zh-CN"/>
              </w:rPr>
              <w:t>70955</w:t>
            </w:r>
          </w:p>
        </w:tc>
        <w:tc>
          <w:tcPr>
            <w:tcW w:w="410"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59029160">
            <w:pPr>
              <w:jc w:val="center"/>
              <w:rPr>
                <w:rFonts w:ascii="宋体" w:hAnsi="宋体" w:cs="宋体"/>
                <w:sz w:val="24"/>
                <w:szCs w:val="24"/>
                <w:lang w:val="en-US" w:eastAsia="zh-CN" w:bidi="ar-SA"/>
              </w:rPr>
            </w:pPr>
            <w:r>
              <w:rPr>
                <w:rFonts w:hint="default" w:ascii="Times New Roman" w:hAnsi="Times New Roman" w:cs="Times New Roman"/>
                <w:b w:val="0"/>
                <w:bCs/>
                <w:sz w:val="21"/>
                <w:szCs w:val="21"/>
              </w:rPr>
              <w:t>颗粒物</w:t>
            </w:r>
          </w:p>
        </w:tc>
        <w:tc>
          <w:tcPr>
            <w:tcW w:w="473"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4C90E09D">
            <w:pPr>
              <w:snapToGrid w:val="0"/>
              <w:ind w:left="0" w:leftChars="0" w:right="0" w:rightChars="0" w:firstLine="0" w:firstLineChars="0"/>
              <w:jc w:val="center"/>
              <w:rPr>
                <w:rFonts w:ascii="宋体" w:hAnsi="宋体" w:cs="宋体"/>
                <w:sz w:val="24"/>
                <w:szCs w:val="24"/>
                <w:lang w:val="en-US" w:eastAsia="zh-CN" w:bidi="ar-SA"/>
              </w:rPr>
            </w:pPr>
            <w:r>
              <w:t>类比法</w:t>
            </w:r>
          </w:p>
        </w:tc>
        <w:tc>
          <w:tcPr>
            <w:tcW w:w="718"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6E190691">
            <w:pPr>
              <w:keepNext w:val="0"/>
              <w:keepLines w:val="0"/>
              <w:widowControl/>
              <w:suppressLineNumbers w:val="0"/>
              <w:jc w:val="center"/>
              <w:textAlignment w:val="center"/>
              <w:rPr>
                <w:rFonts w:ascii="宋体" w:hAnsi="宋体" w:cs="宋体"/>
                <w:sz w:val="24"/>
                <w:szCs w:val="24"/>
                <w:lang w:val="en-US" w:eastAsia="zh-CN" w:bidi="ar-SA"/>
              </w:rPr>
            </w:pPr>
            <w:r>
              <w:rPr>
                <w:rFonts w:hint="default" w:ascii="Times New Roman" w:hAnsi="Times New Roman" w:eastAsia="宋体" w:cs="Times New Roman"/>
                <w:b w:val="0"/>
                <w:bCs w:val="0"/>
                <w:i w:val="0"/>
                <w:iCs w:val="0"/>
                <w:color w:val="000000"/>
                <w:kern w:val="0"/>
                <w:sz w:val="21"/>
                <w:szCs w:val="21"/>
                <w:u w:val="none"/>
                <w:lang w:val="en-US" w:eastAsia="zh-CN" w:bidi="ar"/>
              </w:rPr>
              <w:t>2000</w:t>
            </w:r>
          </w:p>
        </w:tc>
        <w:tc>
          <w:tcPr>
            <w:tcW w:w="798"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060CFE5C">
            <w:pPr>
              <w:jc w:val="center"/>
              <w:rPr>
                <w:rFonts w:ascii="宋体" w:hAnsi="宋体" w:cs="宋体"/>
                <w:sz w:val="24"/>
                <w:szCs w:val="24"/>
                <w:lang w:val="en-US" w:eastAsia="zh-CN" w:bidi="ar-SA"/>
              </w:rPr>
            </w:pPr>
            <w:r>
              <w:rPr>
                <w:rFonts w:hint="default" w:ascii="Times New Roman" w:hAnsi="Times New Roman" w:eastAsia="宋体" w:cs="Times New Roman"/>
                <w:b w:val="0"/>
                <w:bCs/>
                <w:color w:val="auto"/>
                <w:sz w:val="21"/>
                <w:szCs w:val="21"/>
                <w:highlight w:val="none"/>
                <w:lang w:val="en-US" w:eastAsia="zh-CN"/>
              </w:rPr>
              <w:t>141.91</w:t>
            </w:r>
          </w:p>
        </w:tc>
        <w:tc>
          <w:tcPr>
            <w:tcW w:w="790"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450D40D3">
            <w:pPr>
              <w:keepNext w:val="0"/>
              <w:keepLines w:val="0"/>
              <w:widowControl/>
              <w:suppressLineNumbers w:val="0"/>
              <w:jc w:val="center"/>
              <w:textAlignment w:val="center"/>
              <w:rPr>
                <w:rFonts w:ascii="宋体" w:hAnsi="宋体" w:cs="宋体"/>
                <w:sz w:val="24"/>
                <w:szCs w:val="24"/>
                <w:lang w:val="en-US" w:eastAsia="zh-CN" w:bidi="ar-SA"/>
              </w:rPr>
            </w:pPr>
            <w:r>
              <w:rPr>
                <w:rFonts w:hint="eastAsia" w:ascii="宋体" w:hAnsi="宋体" w:eastAsia="宋体" w:cs="宋体"/>
                <w:i w:val="0"/>
                <w:iCs w:val="0"/>
                <w:color w:val="000000"/>
                <w:kern w:val="0"/>
                <w:sz w:val="24"/>
                <w:szCs w:val="24"/>
                <w:u w:val="none"/>
                <w:lang w:val="en-US" w:eastAsia="zh-CN" w:bidi="ar"/>
              </w:rPr>
              <w:t>1123.9272</w:t>
            </w:r>
          </w:p>
        </w:tc>
        <w:tc>
          <w:tcPr>
            <w:tcW w:w="662"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252044B4">
            <w:pPr>
              <w:jc w:val="center"/>
              <w:rPr>
                <w:rFonts w:ascii="宋体" w:hAnsi="宋体" w:cs="宋体"/>
                <w:sz w:val="24"/>
                <w:szCs w:val="24"/>
                <w:lang w:val="en-US" w:eastAsia="zh-CN" w:bidi="ar-SA"/>
              </w:rPr>
            </w:pPr>
            <w:r>
              <w:rPr>
                <w:rFonts w:hint="default" w:ascii="Times New Roman" w:hAnsi="Times New Roman" w:cs="Times New Roman"/>
                <w:b w:val="0"/>
                <w:bCs/>
                <w:sz w:val="21"/>
                <w:szCs w:val="21"/>
              </w:rPr>
              <w:t>袋式除尘</w:t>
            </w:r>
          </w:p>
        </w:tc>
        <w:tc>
          <w:tcPr>
            <w:tcW w:w="662"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26E85180">
            <w:pPr>
              <w:jc w:val="center"/>
              <w:rPr>
                <w:rFonts w:ascii="宋体" w:hAnsi="宋体" w:cs="宋体"/>
                <w:sz w:val="24"/>
                <w:szCs w:val="24"/>
                <w:lang w:val="en-US" w:eastAsia="zh-CN" w:bidi="ar-SA"/>
              </w:rPr>
            </w:pPr>
            <w:r>
              <w:rPr>
                <w:rFonts w:hint="default" w:ascii="Times New Roman" w:hAnsi="Times New Roman" w:eastAsia="宋体" w:cs="Times New Roman"/>
                <w:b w:val="0"/>
                <w:bCs/>
                <w:sz w:val="21"/>
                <w:szCs w:val="21"/>
                <w:lang w:val="en-US" w:eastAsia="zh-CN"/>
              </w:rPr>
              <w:t>70955</w:t>
            </w:r>
          </w:p>
        </w:tc>
        <w:tc>
          <w:tcPr>
            <w:tcW w:w="473"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2186A490">
            <w:pPr>
              <w:snapToGrid w:val="0"/>
              <w:ind w:left="0" w:leftChars="0" w:right="0" w:rightChars="0" w:firstLine="0" w:firstLineChars="0"/>
              <w:jc w:val="center"/>
              <w:rPr>
                <w:rFonts w:hint="eastAsia" w:ascii="宋体" w:hAnsi="宋体" w:eastAsia="宋体" w:cs="宋体"/>
                <w:sz w:val="24"/>
                <w:szCs w:val="24"/>
                <w:lang w:val="en-US" w:eastAsia="zh-CN" w:bidi="ar-SA"/>
              </w:rPr>
            </w:pPr>
            <w:r>
              <w:t>99.</w:t>
            </w:r>
            <w:r>
              <w:rPr>
                <w:rFonts w:hint="eastAsia"/>
                <w:lang w:val="en-US" w:eastAsia="zh-CN"/>
              </w:rPr>
              <w:t>9</w:t>
            </w:r>
          </w:p>
        </w:tc>
        <w:tc>
          <w:tcPr>
            <w:tcW w:w="594"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488A10D8">
            <w:pPr>
              <w:keepNext w:val="0"/>
              <w:keepLines w:val="0"/>
              <w:widowControl/>
              <w:suppressLineNumbers w:val="0"/>
              <w:jc w:val="center"/>
              <w:textAlignment w:val="center"/>
              <w:rPr>
                <w:rFonts w:hint="default" w:ascii="宋体" w:hAnsi="宋体" w:cs="宋体"/>
                <w:sz w:val="24"/>
                <w:szCs w:val="24"/>
                <w:lang w:val="en-US" w:eastAsia="zh-CN" w:bidi="ar-SA"/>
              </w:rPr>
            </w:pPr>
            <w:r>
              <w:rPr>
                <w:rFonts w:hint="eastAsia" w:ascii="宋体" w:hAnsi="宋体" w:eastAsia="宋体" w:cs="宋体"/>
                <w:i w:val="0"/>
                <w:iCs w:val="0"/>
                <w:color w:val="000000"/>
                <w:kern w:val="0"/>
                <w:sz w:val="24"/>
                <w:szCs w:val="24"/>
                <w:u w:val="none"/>
                <w:lang w:val="en-US" w:eastAsia="zh-CN" w:bidi="ar"/>
              </w:rPr>
              <w:t>10.0</w:t>
            </w:r>
          </w:p>
        </w:tc>
        <w:tc>
          <w:tcPr>
            <w:tcW w:w="883"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6FE12633">
            <w:pPr>
              <w:snapToGrid w:val="0"/>
              <w:ind w:left="0" w:leftChars="0" w:right="0" w:rightChars="0" w:firstLine="0" w:firstLineChars="0"/>
              <w:jc w:val="center"/>
              <w:rPr>
                <w:rFonts w:ascii="宋体" w:hAnsi="宋体" w:cs="宋体"/>
                <w:sz w:val="24"/>
                <w:szCs w:val="24"/>
                <w:lang w:val="en-US" w:eastAsia="zh-CN" w:bidi="ar-SA"/>
              </w:rPr>
            </w:pPr>
            <w:r>
              <w:rPr>
                <w:rFonts w:hint="eastAsia"/>
                <w:vertAlign w:val="baseline"/>
                <w:lang w:val="en-US" w:eastAsia="zh-CN"/>
              </w:rPr>
              <w:t>0.71</w:t>
            </w:r>
          </w:p>
        </w:tc>
        <w:tc>
          <w:tcPr>
            <w:tcW w:w="774"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32CEBA44">
            <w:pPr>
              <w:keepNext w:val="0"/>
              <w:keepLines w:val="0"/>
              <w:widowControl/>
              <w:suppressLineNumbers w:val="0"/>
              <w:jc w:val="center"/>
              <w:textAlignment w:val="center"/>
              <w:rPr>
                <w:rFonts w:ascii="宋体" w:hAnsi="宋体" w:cs="宋体"/>
                <w:sz w:val="24"/>
                <w:szCs w:val="24"/>
                <w:lang w:val="en-US" w:eastAsia="zh-CN" w:bidi="ar-SA"/>
              </w:rPr>
            </w:pPr>
            <w:r>
              <w:rPr>
                <w:rFonts w:hint="eastAsia" w:ascii="宋体" w:hAnsi="宋体" w:eastAsia="宋体" w:cs="宋体"/>
                <w:i w:val="0"/>
                <w:iCs w:val="0"/>
                <w:color w:val="000000"/>
                <w:kern w:val="0"/>
                <w:sz w:val="24"/>
                <w:szCs w:val="24"/>
                <w:u w:val="none"/>
                <w:lang w:val="en-US" w:eastAsia="zh-CN" w:bidi="ar"/>
              </w:rPr>
              <w:t>5.6232</w:t>
            </w:r>
          </w:p>
        </w:tc>
        <w:tc>
          <w:tcPr>
            <w:tcW w:w="730"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2EBB4B09">
            <w:pPr>
              <w:pStyle w:val="720"/>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ascii="宋体" w:hAnsi="宋体" w:cs="宋体"/>
                <w:sz w:val="24"/>
                <w:szCs w:val="24"/>
                <w:lang w:val="en-US" w:eastAsia="zh-CN" w:bidi="ar-SA"/>
              </w:rPr>
            </w:pPr>
            <w:r>
              <w:rPr>
                <w:rFonts w:hint="default" w:ascii="Times New Roman" w:hAnsi="Times New Roman" w:eastAsia="宋体" w:cs="Times New Roman"/>
                <w:b w:val="0"/>
                <w:bCs/>
                <w:color w:val="auto"/>
                <w:sz w:val="21"/>
                <w:szCs w:val="21"/>
                <w:highlight w:val="none"/>
                <w:lang w:val="en-US" w:eastAsia="zh-CN"/>
              </w:rPr>
              <w:t>19</w:t>
            </w:r>
          </w:p>
        </w:tc>
        <w:tc>
          <w:tcPr>
            <w:tcW w:w="738"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2F419A90">
            <w:pPr>
              <w:pStyle w:val="720"/>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ascii="宋体" w:hAnsi="宋体" w:cs="宋体"/>
                <w:sz w:val="24"/>
                <w:szCs w:val="24"/>
                <w:lang w:val="en-US" w:eastAsia="zh-CN" w:bidi="ar-SA"/>
              </w:rPr>
            </w:pPr>
            <w:r>
              <w:rPr>
                <w:rFonts w:hint="default" w:ascii="Times New Roman" w:hAnsi="Times New Roman" w:eastAsia="宋体" w:cs="Times New Roman"/>
                <w:b w:val="0"/>
                <w:bCs/>
                <w:sz w:val="21"/>
                <w:szCs w:val="21"/>
                <w:lang w:val="en-US" w:eastAsia="zh-CN"/>
              </w:rPr>
              <w:t>2</w:t>
            </w:r>
          </w:p>
        </w:tc>
        <w:tc>
          <w:tcPr>
            <w:tcW w:w="718"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6B0BF35E">
            <w:pPr>
              <w:pStyle w:val="720"/>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ascii="宋体" w:hAnsi="宋体" w:cs="宋体"/>
                <w:sz w:val="24"/>
                <w:szCs w:val="24"/>
                <w:lang w:val="en-US" w:eastAsia="zh-CN" w:bidi="ar-SA"/>
              </w:rPr>
            </w:pPr>
            <w:r>
              <w:rPr>
                <w:rFonts w:hint="default" w:ascii="Times New Roman" w:hAnsi="Times New Roman" w:eastAsia="宋体" w:cs="Times New Roman"/>
                <w:b w:val="0"/>
                <w:bCs/>
                <w:spacing w:val="-2"/>
                <w:sz w:val="21"/>
                <w:szCs w:val="21"/>
                <w:lang w:val="en-US" w:eastAsia="zh-CN"/>
              </w:rPr>
              <w:t>常温</w:t>
            </w:r>
          </w:p>
        </w:tc>
        <w:tc>
          <w:tcPr>
            <w:tcW w:w="738"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6410C1ED">
            <w:pPr>
              <w:jc w:val="center"/>
              <w:rPr>
                <w:rFonts w:ascii="宋体" w:hAnsi="宋体" w:cs="宋体"/>
                <w:sz w:val="24"/>
                <w:szCs w:val="24"/>
                <w:lang w:val="en-US" w:eastAsia="zh-CN" w:bidi="ar-SA"/>
              </w:rPr>
            </w:pPr>
            <w:r>
              <w:rPr>
                <w:rFonts w:hint="default" w:ascii="Times New Roman" w:hAnsi="Times New Roman" w:cs="Times New Roman"/>
                <w:b w:val="0"/>
                <w:bCs/>
                <w:sz w:val="21"/>
                <w:szCs w:val="21"/>
                <w:lang w:val="en-US" w:eastAsia="zh-CN"/>
              </w:rPr>
              <w:t>DA005</w:t>
            </w:r>
          </w:p>
        </w:tc>
        <w:tc>
          <w:tcPr>
            <w:tcW w:w="751"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58683399">
            <w:pPr>
              <w:snapToGrid w:val="0"/>
              <w:ind w:left="0" w:leftChars="0" w:right="0" w:rightChars="0" w:firstLine="0" w:firstLineChars="0"/>
              <w:jc w:val="center"/>
              <w:rPr>
                <w:rFonts w:ascii="宋体" w:hAnsi="宋体" w:cs="宋体"/>
                <w:sz w:val="24"/>
                <w:szCs w:val="24"/>
                <w:lang w:val="en-US" w:eastAsia="zh-CN" w:bidi="ar-SA"/>
              </w:rPr>
            </w:pPr>
            <w:r>
              <w:t>7920</w:t>
            </w:r>
          </w:p>
        </w:tc>
        <w:tc>
          <w:tcPr>
            <w:tcW w:w="473"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51359F38">
            <w:pPr>
              <w:snapToGrid w:val="0"/>
              <w:ind w:left="0" w:leftChars="0" w:right="0" w:rightChars="0" w:firstLine="0" w:firstLineChars="0"/>
              <w:jc w:val="center"/>
              <w:rPr>
                <w:rFonts w:ascii="宋体" w:hAnsi="宋体" w:cs="宋体"/>
                <w:sz w:val="24"/>
                <w:szCs w:val="24"/>
                <w:lang w:val="en-US" w:eastAsia="zh-CN" w:bidi="ar-SA"/>
              </w:rPr>
            </w:pPr>
            <w:r>
              <w:t>连续</w:t>
            </w:r>
          </w:p>
        </w:tc>
      </w:tr>
      <w:tr w14:paraId="7C5374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599" w:type="dxa"/>
            <w:vMerge w:val="continue"/>
            <w:tcBorders>
              <w:left w:val="single" w:color="000000" w:sz="4" w:space="0"/>
              <w:right w:val="single" w:color="000000" w:sz="4" w:space="0"/>
            </w:tcBorders>
            <w:noWrap w:val="0"/>
            <w:tcMar>
              <w:left w:w="108" w:type="dxa"/>
              <w:right w:w="108" w:type="dxa"/>
            </w:tcMar>
            <w:vAlign w:val="center"/>
          </w:tcPr>
          <w:p w14:paraId="55C9CF05">
            <w:pPr>
              <w:snapToGrid w:val="0"/>
              <w:ind w:left="0" w:leftChars="0" w:right="0" w:rightChars="0" w:firstLine="0" w:firstLineChars="0"/>
              <w:jc w:val="center"/>
            </w:pPr>
          </w:p>
        </w:tc>
        <w:tc>
          <w:tcPr>
            <w:tcW w:w="662"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100E925B">
            <w:pPr>
              <w:keepNext w:val="0"/>
              <w:keepLines w:val="0"/>
              <w:widowControl/>
              <w:suppressLineNumbers w:val="0"/>
              <w:jc w:val="center"/>
              <w:textAlignment w:val="center"/>
            </w:pPr>
            <w:r>
              <w:rPr>
                <w:rFonts w:hint="default" w:ascii="Times New Roman" w:hAnsi="Times New Roman" w:eastAsia="宋体" w:cs="Times New Roman"/>
                <w:b w:val="0"/>
                <w:bCs/>
                <w:i w:val="0"/>
                <w:iCs w:val="0"/>
                <w:color w:val="000000"/>
                <w:kern w:val="0"/>
                <w:sz w:val="21"/>
                <w:szCs w:val="21"/>
                <w:u w:val="none"/>
                <w:lang w:val="en-US" w:eastAsia="zh-CN" w:bidi="ar"/>
              </w:rPr>
              <w:t>单辊破碎</w:t>
            </w:r>
          </w:p>
        </w:tc>
        <w:tc>
          <w:tcPr>
            <w:tcW w:w="662"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55F6A526">
            <w:pPr>
              <w:jc w:val="center"/>
            </w:pPr>
            <w:r>
              <w:rPr>
                <w:rFonts w:hint="default" w:ascii="Times New Roman" w:hAnsi="Times New Roman" w:eastAsia="宋体" w:cs="Times New Roman"/>
                <w:b w:val="0"/>
                <w:bCs/>
                <w:sz w:val="21"/>
                <w:szCs w:val="21"/>
                <w:lang w:val="en-US" w:eastAsia="zh-CN"/>
              </w:rPr>
              <w:t>100354</w:t>
            </w:r>
          </w:p>
        </w:tc>
        <w:tc>
          <w:tcPr>
            <w:tcW w:w="410"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0B28A970">
            <w:pPr>
              <w:jc w:val="center"/>
            </w:pPr>
            <w:r>
              <w:rPr>
                <w:rFonts w:hint="default" w:ascii="Times New Roman" w:hAnsi="Times New Roman" w:cs="Times New Roman"/>
                <w:b w:val="0"/>
                <w:bCs/>
                <w:sz w:val="21"/>
                <w:szCs w:val="21"/>
              </w:rPr>
              <w:t>颗粒物</w:t>
            </w:r>
          </w:p>
        </w:tc>
        <w:tc>
          <w:tcPr>
            <w:tcW w:w="473"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6E7A7B79">
            <w:pPr>
              <w:snapToGrid w:val="0"/>
              <w:ind w:left="0" w:leftChars="0" w:right="0" w:rightChars="0" w:firstLine="0" w:firstLineChars="0"/>
              <w:jc w:val="center"/>
            </w:pPr>
            <w:r>
              <w:t>类比法</w:t>
            </w:r>
          </w:p>
        </w:tc>
        <w:tc>
          <w:tcPr>
            <w:tcW w:w="718"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0CC5067C">
            <w:pPr>
              <w:keepNext w:val="0"/>
              <w:keepLines w:val="0"/>
              <w:widowControl/>
              <w:suppressLineNumbers w:val="0"/>
              <w:jc w:val="center"/>
              <w:textAlignment w:val="center"/>
            </w:pPr>
            <w:r>
              <w:rPr>
                <w:rFonts w:hint="default" w:ascii="Times New Roman" w:hAnsi="Times New Roman" w:eastAsia="宋体" w:cs="Times New Roman"/>
                <w:b w:val="0"/>
                <w:bCs w:val="0"/>
                <w:i w:val="0"/>
                <w:iCs w:val="0"/>
                <w:color w:val="000000"/>
                <w:kern w:val="0"/>
                <w:sz w:val="21"/>
                <w:szCs w:val="21"/>
                <w:u w:val="none"/>
                <w:lang w:val="en-US" w:eastAsia="zh-CN" w:bidi="ar"/>
              </w:rPr>
              <w:t>1992.94</w:t>
            </w:r>
          </w:p>
        </w:tc>
        <w:tc>
          <w:tcPr>
            <w:tcW w:w="798"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0EC01F24">
            <w:pPr>
              <w:jc w:val="center"/>
            </w:pPr>
            <w:r>
              <w:rPr>
                <w:rFonts w:hint="default" w:ascii="Times New Roman" w:hAnsi="Times New Roman" w:eastAsia="宋体" w:cs="Times New Roman"/>
                <w:b w:val="0"/>
                <w:bCs/>
                <w:color w:val="auto"/>
                <w:sz w:val="21"/>
                <w:szCs w:val="21"/>
                <w:highlight w:val="none"/>
                <w:lang w:val="en-US" w:eastAsia="zh-CN"/>
              </w:rPr>
              <w:t>200</w:t>
            </w:r>
          </w:p>
        </w:tc>
        <w:tc>
          <w:tcPr>
            <w:tcW w:w="790"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31C91C6F">
            <w:pPr>
              <w:keepNext w:val="0"/>
              <w:keepLines w:val="0"/>
              <w:widowControl/>
              <w:suppressLineNumbers w:val="0"/>
              <w:jc w:val="center"/>
              <w:textAlignment w:val="center"/>
            </w:pPr>
            <w:r>
              <w:rPr>
                <w:rFonts w:hint="eastAsia" w:ascii="宋体" w:hAnsi="宋体" w:eastAsia="宋体" w:cs="宋体"/>
                <w:i w:val="0"/>
                <w:iCs w:val="0"/>
                <w:color w:val="000000"/>
                <w:kern w:val="0"/>
                <w:sz w:val="24"/>
                <w:szCs w:val="24"/>
                <w:u w:val="none"/>
                <w:lang w:val="en-US" w:eastAsia="zh-CN" w:bidi="ar"/>
              </w:rPr>
              <w:t>1584</w:t>
            </w:r>
          </w:p>
        </w:tc>
        <w:tc>
          <w:tcPr>
            <w:tcW w:w="662"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2A750780">
            <w:pPr>
              <w:jc w:val="center"/>
            </w:pPr>
            <w:r>
              <w:rPr>
                <w:rFonts w:hint="default" w:ascii="Times New Roman" w:hAnsi="Times New Roman" w:cs="Times New Roman"/>
                <w:b w:val="0"/>
                <w:bCs/>
                <w:sz w:val="21"/>
                <w:szCs w:val="21"/>
              </w:rPr>
              <w:t>袋式除尘</w:t>
            </w:r>
          </w:p>
        </w:tc>
        <w:tc>
          <w:tcPr>
            <w:tcW w:w="662"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253544E3">
            <w:pPr>
              <w:jc w:val="center"/>
            </w:pPr>
            <w:r>
              <w:rPr>
                <w:rFonts w:hint="default" w:ascii="Times New Roman" w:hAnsi="Times New Roman" w:eastAsia="宋体" w:cs="Times New Roman"/>
                <w:b w:val="0"/>
                <w:bCs/>
                <w:sz w:val="21"/>
                <w:szCs w:val="21"/>
                <w:lang w:val="en-US" w:eastAsia="zh-CN"/>
              </w:rPr>
              <w:t>100354</w:t>
            </w:r>
          </w:p>
        </w:tc>
        <w:tc>
          <w:tcPr>
            <w:tcW w:w="473"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55815C5A">
            <w:pPr>
              <w:snapToGrid w:val="0"/>
              <w:ind w:left="0" w:leftChars="0" w:right="0" w:rightChars="0" w:firstLine="0" w:firstLineChars="0"/>
              <w:jc w:val="center"/>
            </w:pPr>
            <w:r>
              <w:t>99.</w:t>
            </w:r>
            <w:r>
              <w:rPr>
                <w:rFonts w:hint="eastAsia"/>
                <w:lang w:val="en-US" w:eastAsia="zh-CN"/>
              </w:rPr>
              <w:t>9</w:t>
            </w:r>
          </w:p>
        </w:tc>
        <w:tc>
          <w:tcPr>
            <w:tcW w:w="594"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1AE4B8F5">
            <w:pPr>
              <w:keepNext w:val="0"/>
              <w:keepLines w:val="0"/>
              <w:widowControl/>
              <w:suppressLineNumbers w:val="0"/>
              <w:jc w:val="center"/>
              <w:textAlignment w:val="center"/>
            </w:pPr>
            <w:r>
              <w:rPr>
                <w:rFonts w:hint="eastAsia" w:ascii="宋体" w:hAnsi="宋体" w:eastAsia="宋体" w:cs="宋体"/>
                <w:i w:val="0"/>
                <w:iCs w:val="0"/>
                <w:color w:val="000000"/>
                <w:kern w:val="0"/>
                <w:sz w:val="24"/>
                <w:szCs w:val="24"/>
                <w:u w:val="none"/>
                <w:lang w:val="en-US" w:eastAsia="zh-CN" w:bidi="ar"/>
              </w:rPr>
              <w:t>9.96</w:t>
            </w:r>
          </w:p>
        </w:tc>
        <w:tc>
          <w:tcPr>
            <w:tcW w:w="883"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1C331407">
            <w:pPr>
              <w:snapToGrid w:val="0"/>
              <w:ind w:left="0" w:leftChars="0" w:right="0" w:rightChars="0" w:firstLine="0" w:firstLineChars="0"/>
              <w:jc w:val="center"/>
              <w:rPr>
                <w:rFonts w:hint="default" w:eastAsia="宋体"/>
                <w:lang w:val="en-US" w:eastAsia="zh-CN"/>
              </w:rPr>
            </w:pPr>
            <w:r>
              <w:rPr>
                <w:rFonts w:hint="eastAsia"/>
                <w:lang w:val="en-US" w:eastAsia="zh-CN"/>
              </w:rPr>
              <w:t>1.0</w:t>
            </w:r>
          </w:p>
        </w:tc>
        <w:tc>
          <w:tcPr>
            <w:tcW w:w="774"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585F6698">
            <w:pPr>
              <w:keepNext w:val="0"/>
              <w:keepLines w:val="0"/>
              <w:widowControl/>
              <w:suppressLineNumbers w:val="0"/>
              <w:jc w:val="center"/>
              <w:textAlignment w:val="center"/>
            </w:pPr>
            <w:r>
              <w:rPr>
                <w:rFonts w:hint="eastAsia" w:ascii="宋体" w:hAnsi="宋体" w:eastAsia="宋体" w:cs="宋体"/>
                <w:i w:val="0"/>
                <w:iCs w:val="0"/>
                <w:color w:val="000000"/>
                <w:kern w:val="0"/>
                <w:sz w:val="24"/>
                <w:szCs w:val="24"/>
                <w:u w:val="none"/>
                <w:lang w:val="en-US" w:eastAsia="zh-CN" w:bidi="ar"/>
              </w:rPr>
              <w:t>7.92</w:t>
            </w:r>
          </w:p>
        </w:tc>
        <w:tc>
          <w:tcPr>
            <w:tcW w:w="730"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3824804E">
            <w:pPr>
              <w:pStyle w:val="720"/>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pPr>
            <w:r>
              <w:rPr>
                <w:rFonts w:hint="default" w:ascii="Times New Roman" w:hAnsi="Times New Roman" w:eastAsia="宋体" w:cs="Times New Roman"/>
                <w:b w:val="0"/>
                <w:bCs/>
                <w:color w:val="auto"/>
                <w:sz w:val="21"/>
                <w:szCs w:val="21"/>
                <w:highlight w:val="none"/>
                <w:lang w:val="en-US" w:eastAsia="zh-CN"/>
              </w:rPr>
              <w:t>20</w:t>
            </w:r>
          </w:p>
        </w:tc>
        <w:tc>
          <w:tcPr>
            <w:tcW w:w="738"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676B09EC">
            <w:pPr>
              <w:pStyle w:val="720"/>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pPr>
            <w:r>
              <w:rPr>
                <w:rFonts w:hint="default" w:ascii="Times New Roman" w:hAnsi="Times New Roman" w:eastAsia="宋体" w:cs="Times New Roman"/>
                <w:b w:val="0"/>
                <w:bCs/>
                <w:sz w:val="21"/>
                <w:szCs w:val="21"/>
                <w:lang w:val="en-US" w:eastAsia="zh-CN"/>
              </w:rPr>
              <w:t>2.2</w:t>
            </w:r>
          </w:p>
        </w:tc>
        <w:tc>
          <w:tcPr>
            <w:tcW w:w="718"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160CCCEE">
            <w:pPr>
              <w:pStyle w:val="720"/>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pPr>
            <w:r>
              <w:rPr>
                <w:rFonts w:hint="default" w:ascii="Times New Roman" w:hAnsi="Times New Roman" w:eastAsia="宋体" w:cs="Times New Roman"/>
                <w:b w:val="0"/>
                <w:bCs/>
                <w:spacing w:val="-2"/>
                <w:sz w:val="21"/>
                <w:szCs w:val="21"/>
                <w:lang w:val="en-US" w:eastAsia="zh-CN"/>
              </w:rPr>
              <w:t>常温</w:t>
            </w:r>
          </w:p>
        </w:tc>
        <w:tc>
          <w:tcPr>
            <w:tcW w:w="738"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6C67C650">
            <w:pPr>
              <w:jc w:val="center"/>
            </w:pPr>
            <w:r>
              <w:rPr>
                <w:rFonts w:hint="default" w:ascii="Times New Roman" w:hAnsi="Times New Roman" w:cs="Times New Roman"/>
                <w:b w:val="0"/>
                <w:bCs/>
                <w:sz w:val="21"/>
                <w:szCs w:val="21"/>
              </w:rPr>
              <w:t>DA</w:t>
            </w:r>
            <w:r>
              <w:rPr>
                <w:rFonts w:hint="default" w:ascii="Times New Roman" w:hAnsi="Times New Roman" w:cs="Times New Roman"/>
                <w:b w:val="0"/>
                <w:bCs/>
                <w:sz w:val="21"/>
                <w:szCs w:val="21"/>
                <w:lang w:val="en-US" w:eastAsia="zh-CN"/>
              </w:rPr>
              <w:t>004</w:t>
            </w:r>
          </w:p>
        </w:tc>
        <w:tc>
          <w:tcPr>
            <w:tcW w:w="751"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5EEA005E">
            <w:pPr>
              <w:snapToGrid w:val="0"/>
              <w:ind w:left="0" w:leftChars="0" w:right="0" w:rightChars="0" w:firstLine="0" w:firstLineChars="0"/>
              <w:jc w:val="center"/>
            </w:pPr>
            <w:r>
              <w:t>7920</w:t>
            </w:r>
          </w:p>
        </w:tc>
        <w:tc>
          <w:tcPr>
            <w:tcW w:w="473"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54341F5E">
            <w:pPr>
              <w:snapToGrid w:val="0"/>
              <w:ind w:left="0" w:leftChars="0" w:right="0" w:rightChars="0" w:firstLine="0" w:firstLineChars="0"/>
              <w:jc w:val="center"/>
            </w:pPr>
            <w:r>
              <w:t>连续</w:t>
            </w:r>
          </w:p>
        </w:tc>
      </w:tr>
      <w:tr w14:paraId="762496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599" w:type="dxa"/>
            <w:vMerge w:val="continue"/>
            <w:tcBorders>
              <w:left w:val="single" w:color="000000" w:sz="4" w:space="0"/>
              <w:right w:val="single" w:color="000000" w:sz="4" w:space="0"/>
            </w:tcBorders>
            <w:noWrap w:val="0"/>
            <w:tcMar>
              <w:left w:w="108" w:type="dxa"/>
              <w:right w:w="108" w:type="dxa"/>
            </w:tcMar>
            <w:vAlign w:val="center"/>
          </w:tcPr>
          <w:p w14:paraId="579A6948">
            <w:pPr>
              <w:snapToGrid w:val="0"/>
              <w:ind w:left="0" w:leftChars="0" w:right="0" w:rightChars="0" w:firstLine="0" w:firstLineChars="0"/>
              <w:jc w:val="center"/>
            </w:pPr>
          </w:p>
        </w:tc>
        <w:tc>
          <w:tcPr>
            <w:tcW w:w="662"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3DA05A0F">
            <w:pPr>
              <w:keepNext w:val="0"/>
              <w:keepLines w:val="0"/>
              <w:widowControl/>
              <w:suppressLineNumbers w:val="0"/>
              <w:jc w:val="center"/>
              <w:textAlignment w:val="center"/>
              <w:rPr>
                <w:rFonts w:ascii="宋体" w:hAnsi="宋体" w:cs="宋体"/>
                <w:sz w:val="24"/>
                <w:szCs w:val="24"/>
                <w:lang w:val="en-US" w:eastAsia="zh-CN" w:bidi="ar-SA"/>
              </w:rPr>
            </w:pPr>
            <w:r>
              <w:rPr>
                <w:rFonts w:hint="default" w:ascii="Times New Roman" w:hAnsi="Times New Roman" w:eastAsia="宋体" w:cs="Times New Roman"/>
                <w:b w:val="0"/>
                <w:bCs/>
                <w:i w:val="0"/>
                <w:iCs w:val="0"/>
                <w:color w:val="000000"/>
                <w:kern w:val="0"/>
                <w:sz w:val="21"/>
                <w:szCs w:val="21"/>
                <w:u w:val="none"/>
                <w:lang w:val="en-US" w:eastAsia="zh-CN" w:bidi="ar"/>
              </w:rPr>
              <w:t>下料</w:t>
            </w:r>
          </w:p>
        </w:tc>
        <w:tc>
          <w:tcPr>
            <w:tcW w:w="662"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4FD37E06">
            <w:pPr>
              <w:jc w:val="center"/>
              <w:rPr>
                <w:rFonts w:ascii="宋体" w:hAnsi="宋体" w:cs="宋体"/>
                <w:sz w:val="24"/>
                <w:szCs w:val="24"/>
                <w:lang w:val="en-US" w:eastAsia="zh-CN" w:bidi="ar-SA"/>
              </w:rPr>
            </w:pPr>
            <w:r>
              <w:rPr>
                <w:rFonts w:hint="default" w:ascii="Times New Roman" w:hAnsi="Times New Roman" w:eastAsia="宋体" w:cs="Times New Roman"/>
                <w:b w:val="0"/>
                <w:bCs/>
                <w:sz w:val="21"/>
                <w:szCs w:val="21"/>
                <w:lang w:val="en-US" w:eastAsia="zh-CN"/>
              </w:rPr>
              <w:t>26694</w:t>
            </w:r>
          </w:p>
        </w:tc>
        <w:tc>
          <w:tcPr>
            <w:tcW w:w="410"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5C9EF73C">
            <w:pPr>
              <w:jc w:val="center"/>
              <w:rPr>
                <w:rFonts w:ascii="宋体" w:hAnsi="宋体" w:cs="宋体"/>
                <w:sz w:val="24"/>
                <w:szCs w:val="24"/>
                <w:lang w:val="en-US" w:eastAsia="zh-CN" w:bidi="ar-SA"/>
              </w:rPr>
            </w:pPr>
            <w:r>
              <w:rPr>
                <w:rFonts w:hint="default" w:ascii="Times New Roman" w:hAnsi="Times New Roman" w:cs="Times New Roman"/>
                <w:b w:val="0"/>
                <w:bCs/>
                <w:sz w:val="21"/>
                <w:szCs w:val="21"/>
              </w:rPr>
              <w:t>颗粒物</w:t>
            </w:r>
          </w:p>
        </w:tc>
        <w:tc>
          <w:tcPr>
            <w:tcW w:w="473"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4DA3142E">
            <w:pPr>
              <w:snapToGrid w:val="0"/>
              <w:ind w:left="0" w:leftChars="0" w:right="0" w:rightChars="0" w:firstLine="0" w:firstLineChars="0"/>
              <w:jc w:val="center"/>
            </w:pPr>
            <w:r>
              <w:t>类比法</w:t>
            </w:r>
          </w:p>
        </w:tc>
        <w:tc>
          <w:tcPr>
            <w:tcW w:w="718"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21589E88">
            <w:pPr>
              <w:keepNext w:val="0"/>
              <w:keepLines w:val="0"/>
              <w:widowControl/>
              <w:suppressLineNumbers w:val="0"/>
              <w:jc w:val="center"/>
              <w:textAlignment w:val="center"/>
            </w:pPr>
            <w:r>
              <w:rPr>
                <w:rFonts w:hint="default" w:ascii="Times New Roman" w:hAnsi="Times New Roman" w:eastAsia="宋体" w:cs="Times New Roman"/>
                <w:b w:val="0"/>
                <w:bCs w:val="0"/>
                <w:i w:val="0"/>
                <w:iCs w:val="0"/>
                <w:color w:val="000000"/>
                <w:kern w:val="0"/>
                <w:sz w:val="21"/>
                <w:szCs w:val="21"/>
                <w:u w:val="none"/>
                <w:lang w:val="en-US" w:eastAsia="zh-CN" w:bidi="ar"/>
              </w:rPr>
              <w:t>2022.9</w:t>
            </w:r>
            <w:r>
              <w:rPr>
                <w:rFonts w:hint="eastAsia" w:ascii="Times New Roman" w:hAnsi="Times New Roman" w:eastAsia="宋体" w:cs="Times New Roman"/>
                <w:b w:val="0"/>
                <w:bCs w:val="0"/>
                <w:i w:val="0"/>
                <w:iCs w:val="0"/>
                <w:color w:val="000000"/>
                <w:kern w:val="0"/>
                <w:sz w:val="21"/>
                <w:szCs w:val="21"/>
                <w:u w:val="none"/>
                <w:lang w:val="en-US" w:eastAsia="zh-CN" w:bidi="ar"/>
              </w:rPr>
              <w:t>3</w:t>
            </w:r>
          </w:p>
        </w:tc>
        <w:tc>
          <w:tcPr>
            <w:tcW w:w="798"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0465C2A8">
            <w:pPr>
              <w:jc w:val="center"/>
            </w:pPr>
            <w:r>
              <w:rPr>
                <w:rFonts w:hint="default" w:ascii="Times New Roman" w:hAnsi="Times New Roman" w:eastAsia="宋体" w:cs="Times New Roman"/>
                <w:b w:val="0"/>
                <w:bCs/>
                <w:color w:val="auto"/>
                <w:sz w:val="21"/>
                <w:szCs w:val="21"/>
                <w:highlight w:val="none"/>
                <w:lang w:val="en-US" w:eastAsia="zh-CN"/>
              </w:rPr>
              <w:t>54</w:t>
            </w:r>
          </w:p>
        </w:tc>
        <w:tc>
          <w:tcPr>
            <w:tcW w:w="790"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2989AA1F">
            <w:pPr>
              <w:keepNext w:val="0"/>
              <w:keepLines w:val="0"/>
              <w:widowControl/>
              <w:suppressLineNumbers w:val="0"/>
              <w:jc w:val="center"/>
              <w:textAlignment w:val="center"/>
            </w:pPr>
            <w:r>
              <w:rPr>
                <w:rFonts w:hint="eastAsia" w:ascii="宋体" w:hAnsi="宋体" w:eastAsia="宋体" w:cs="宋体"/>
                <w:i w:val="0"/>
                <w:iCs w:val="0"/>
                <w:color w:val="000000"/>
                <w:kern w:val="0"/>
                <w:sz w:val="24"/>
                <w:szCs w:val="24"/>
                <w:u w:val="none"/>
                <w:lang w:val="en-US" w:eastAsia="zh-CN" w:bidi="ar"/>
              </w:rPr>
              <w:t>427.68</w:t>
            </w:r>
          </w:p>
        </w:tc>
        <w:tc>
          <w:tcPr>
            <w:tcW w:w="662"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1E676CC8">
            <w:pPr>
              <w:jc w:val="center"/>
            </w:pPr>
            <w:r>
              <w:rPr>
                <w:rFonts w:hint="default" w:ascii="Times New Roman" w:hAnsi="Times New Roman" w:cs="Times New Roman"/>
                <w:b w:val="0"/>
                <w:bCs/>
                <w:sz w:val="21"/>
                <w:szCs w:val="21"/>
              </w:rPr>
              <w:t>袋式除尘</w:t>
            </w:r>
          </w:p>
        </w:tc>
        <w:tc>
          <w:tcPr>
            <w:tcW w:w="662"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6F06F879">
            <w:pPr>
              <w:jc w:val="center"/>
            </w:pPr>
            <w:r>
              <w:rPr>
                <w:rFonts w:hint="default" w:ascii="Times New Roman" w:hAnsi="Times New Roman" w:eastAsia="宋体" w:cs="Times New Roman"/>
                <w:b w:val="0"/>
                <w:bCs/>
                <w:sz w:val="21"/>
                <w:szCs w:val="21"/>
                <w:lang w:val="en-US" w:eastAsia="zh-CN"/>
              </w:rPr>
              <w:t>26694</w:t>
            </w:r>
          </w:p>
        </w:tc>
        <w:tc>
          <w:tcPr>
            <w:tcW w:w="473"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4A9BEB0B">
            <w:pPr>
              <w:snapToGrid w:val="0"/>
              <w:ind w:left="0" w:leftChars="0" w:right="0" w:rightChars="0" w:firstLine="0" w:firstLineChars="0"/>
              <w:jc w:val="center"/>
            </w:pPr>
            <w:r>
              <w:t>99.</w:t>
            </w:r>
            <w:r>
              <w:rPr>
                <w:rFonts w:hint="eastAsia"/>
                <w:lang w:val="en-US" w:eastAsia="zh-CN"/>
              </w:rPr>
              <w:t>9</w:t>
            </w:r>
          </w:p>
        </w:tc>
        <w:tc>
          <w:tcPr>
            <w:tcW w:w="594"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38B20979">
            <w:pPr>
              <w:keepNext w:val="0"/>
              <w:keepLines w:val="0"/>
              <w:widowControl/>
              <w:suppressLineNumbers w:val="0"/>
              <w:jc w:val="center"/>
              <w:textAlignment w:val="center"/>
            </w:pPr>
            <w:r>
              <w:rPr>
                <w:rFonts w:hint="eastAsia" w:ascii="宋体" w:hAnsi="宋体" w:eastAsia="宋体" w:cs="宋体"/>
                <w:i w:val="0"/>
                <w:iCs w:val="0"/>
                <w:color w:val="000000"/>
                <w:kern w:val="0"/>
                <w:sz w:val="24"/>
                <w:szCs w:val="24"/>
                <w:u w:val="none"/>
                <w:lang w:val="en-US" w:eastAsia="zh-CN" w:bidi="ar"/>
              </w:rPr>
              <w:t>9.74</w:t>
            </w:r>
          </w:p>
        </w:tc>
        <w:tc>
          <w:tcPr>
            <w:tcW w:w="883"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52AC8C3D">
            <w:pPr>
              <w:snapToGrid w:val="0"/>
              <w:ind w:left="0" w:leftChars="0" w:right="0" w:rightChars="0" w:firstLine="0" w:firstLineChars="0"/>
              <w:jc w:val="center"/>
            </w:pPr>
            <w:r>
              <w:rPr>
                <w:rFonts w:hint="eastAsia" w:ascii="Times New Roman" w:hAnsi="Times New Roman" w:cs="Times New Roman"/>
                <w:sz w:val="21"/>
                <w:szCs w:val="21"/>
                <w:lang w:val="en-US" w:eastAsia="zh-CN"/>
              </w:rPr>
              <w:t>0.26</w:t>
            </w:r>
          </w:p>
        </w:tc>
        <w:tc>
          <w:tcPr>
            <w:tcW w:w="774"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7851A3EE">
            <w:pPr>
              <w:keepNext w:val="0"/>
              <w:keepLines w:val="0"/>
              <w:widowControl/>
              <w:suppressLineNumbers w:val="0"/>
              <w:jc w:val="center"/>
              <w:textAlignment w:val="center"/>
            </w:pPr>
            <w:r>
              <w:rPr>
                <w:rFonts w:hint="eastAsia" w:ascii="宋体" w:hAnsi="宋体" w:eastAsia="宋体" w:cs="宋体"/>
                <w:i w:val="0"/>
                <w:iCs w:val="0"/>
                <w:color w:val="000000"/>
                <w:kern w:val="0"/>
                <w:sz w:val="24"/>
                <w:szCs w:val="24"/>
                <w:u w:val="none"/>
                <w:lang w:val="en-US" w:eastAsia="zh-CN" w:bidi="ar"/>
              </w:rPr>
              <w:t>2.0592</w:t>
            </w:r>
          </w:p>
        </w:tc>
        <w:tc>
          <w:tcPr>
            <w:tcW w:w="730"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376352DF">
            <w:pPr>
              <w:jc w:val="center"/>
            </w:pPr>
            <w:r>
              <w:rPr>
                <w:rFonts w:hint="default" w:ascii="Times New Roman" w:hAnsi="Times New Roman" w:eastAsia="宋体" w:cs="Times New Roman"/>
                <w:b w:val="0"/>
                <w:bCs/>
                <w:color w:val="auto"/>
                <w:sz w:val="21"/>
                <w:szCs w:val="21"/>
                <w:highlight w:val="none"/>
                <w:lang w:val="en-US" w:eastAsia="zh-CN"/>
              </w:rPr>
              <w:t>15</w:t>
            </w:r>
          </w:p>
        </w:tc>
        <w:tc>
          <w:tcPr>
            <w:tcW w:w="738"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07335CEA">
            <w:pPr>
              <w:jc w:val="center"/>
            </w:pPr>
            <w:r>
              <w:rPr>
                <w:rFonts w:hint="default" w:ascii="Times New Roman" w:hAnsi="Times New Roman" w:eastAsia="宋体" w:cs="Times New Roman"/>
                <w:b w:val="0"/>
                <w:bCs/>
                <w:sz w:val="21"/>
                <w:szCs w:val="21"/>
                <w:lang w:val="en-US" w:eastAsia="zh-CN"/>
              </w:rPr>
              <w:t>0.8</w:t>
            </w:r>
          </w:p>
        </w:tc>
        <w:tc>
          <w:tcPr>
            <w:tcW w:w="718"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1FC17A86">
            <w:pPr>
              <w:jc w:val="center"/>
            </w:pPr>
            <w:r>
              <w:rPr>
                <w:rFonts w:hint="default" w:ascii="Times New Roman" w:hAnsi="Times New Roman" w:eastAsia="宋体" w:cs="Times New Roman"/>
                <w:b w:val="0"/>
                <w:bCs/>
                <w:spacing w:val="-2"/>
                <w:sz w:val="21"/>
                <w:szCs w:val="21"/>
                <w:lang w:val="en-US" w:eastAsia="zh-CN"/>
              </w:rPr>
              <w:t>常温</w:t>
            </w:r>
          </w:p>
        </w:tc>
        <w:tc>
          <w:tcPr>
            <w:tcW w:w="738"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09DC6FA8">
            <w:pPr>
              <w:jc w:val="center"/>
            </w:pPr>
            <w:r>
              <w:rPr>
                <w:rFonts w:hint="default" w:ascii="Times New Roman" w:hAnsi="Times New Roman" w:cs="Times New Roman"/>
                <w:b w:val="0"/>
                <w:bCs/>
                <w:sz w:val="21"/>
                <w:szCs w:val="21"/>
              </w:rPr>
              <w:t>DA</w:t>
            </w:r>
            <w:r>
              <w:rPr>
                <w:rFonts w:hint="default" w:ascii="Times New Roman" w:hAnsi="Times New Roman" w:cs="Times New Roman"/>
                <w:b w:val="0"/>
                <w:bCs/>
                <w:sz w:val="21"/>
                <w:szCs w:val="21"/>
                <w:lang w:val="en-US" w:eastAsia="zh-CN"/>
              </w:rPr>
              <w:t>001</w:t>
            </w:r>
          </w:p>
        </w:tc>
        <w:tc>
          <w:tcPr>
            <w:tcW w:w="751"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37FA14CE">
            <w:pPr>
              <w:snapToGrid w:val="0"/>
              <w:ind w:left="0" w:leftChars="0" w:right="0" w:rightChars="0" w:firstLine="0" w:firstLineChars="0"/>
              <w:jc w:val="center"/>
            </w:pPr>
            <w:r>
              <w:t>7920</w:t>
            </w:r>
          </w:p>
        </w:tc>
        <w:tc>
          <w:tcPr>
            <w:tcW w:w="473"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5EB5E95C">
            <w:pPr>
              <w:snapToGrid w:val="0"/>
              <w:ind w:left="0" w:leftChars="0" w:right="0" w:rightChars="0" w:firstLine="0" w:firstLineChars="0"/>
              <w:jc w:val="center"/>
            </w:pPr>
            <w:r>
              <w:t>连续</w:t>
            </w:r>
          </w:p>
        </w:tc>
      </w:tr>
      <w:tr w14:paraId="0C12F3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599" w:type="dxa"/>
            <w:vMerge w:val="continue"/>
            <w:tcBorders>
              <w:left w:val="single" w:color="000000" w:sz="4" w:space="0"/>
              <w:right w:val="single" w:color="000000" w:sz="4" w:space="0"/>
            </w:tcBorders>
            <w:noWrap w:val="0"/>
            <w:tcMar>
              <w:left w:w="108" w:type="dxa"/>
              <w:right w:w="108" w:type="dxa"/>
            </w:tcMar>
            <w:vAlign w:val="center"/>
          </w:tcPr>
          <w:p w14:paraId="4AE1F2B3">
            <w:pPr>
              <w:snapToGrid w:val="0"/>
              <w:ind w:left="0" w:leftChars="0" w:right="0" w:rightChars="0" w:firstLine="0" w:firstLineChars="0"/>
              <w:jc w:val="center"/>
            </w:pPr>
          </w:p>
        </w:tc>
        <w:tc>
          <w:tcPr>
            <w:tcW w:w="662" w:type="dxa"/>
            <w:tcBorders>
              <w:top w:val="single" w:color="000000" w:sz="4" w:space="0"/>
              <w:left w:val="single" w:color="000000" w:sz="4" w:space="0"/>
              <w:right w:val="single" w:color="000000" w:sz="4" w:space="0"/>
            </w:tcBorders>
            <w:noWrap w:val="0"/>
            <w:tcMar>
              <w:left w:w="108" w:type="dxa"/>
              <w:right w:w="108" w:type="dxa"/>
            </w:tcMar>
            <w:vAlign w:val="center"/>
          </w:tcPr>
          <w:p w14:paraId="10ED04E4">
            <w:pPr>
              <w:keepNext w:val="0"/>
              <w:keepLines w:val="0"/>
              <w:widowControl/>
              <w:suppressLineNumbers w:val="0"/>
              <w:jc w:val="center"/>
              <w:textAlignment w:val="center"/>
              <w:rPr>
                <w:rFonts w:hint="default" w:eastAsia="宋体"/>
                <w:lang w:val="en-US" w:eastAsia="zh-CN"/>
              </w:rPr>
            </w:pPr>
            <w:r>
              <w:rPr>
                <w:rFonts w:hint="default" w:ascii="Times New Roman" w:hAnsi="Times New Roman" w:eastAsia="宋体" w:cs="Times New Roman"/>
                <w:b w:val="0"/>
                <w:bCs/>
                <w:i w:val="0"/>
                <w:iCs w:val="0"/>
                <w:color w:val="000000"/>
                <w:kern w:val="0"/>
                <w:sz w:val="21"/>
                <w:szCs w:val="21"/>
                <w:u w:val="none"/>
                <w:lang w:val="en-US" w:eastAsia="zh-CN" w:bidi="ar"/>
              </w:rPr>
              <w:t>贮存</w:t>
            </w:r>
          </w:p>
        </w:tc>
        <w:tc>
          <w:tcPr>
            <w:tcW w:w="662"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03BE943A">
            <w:pPr>
              <w:jc w:val="center"/>
            </w:pPr>
            <w:r>
              <w:rPr>
                <w:rFonts w:hint="default" w:ascii="Times New Roman" w:hAnsi="Times New Roman" w:cs="Times New Roman"/>
                <w:b w:val="0"/>
                <w:bCs/>
                <w:sz w:val="21"/>
                <w:szCs w:val="21"/>
                <w:lang w:val="en-US" w:eastAsia="zh-CN"/>
              </w:rPr>
              <w:t>26694</w:t>
            </w:r>
          </w:p>
        </w:tc>
        <w:tc>
          <w:tcPr>
            <w:tcW w:w="410"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4D6B16DF">
            <w:pPr>
              <w:jc w:val="center"/>
            </w:pPr>
            <w:r>
              <w:rPr>
                <w:rFonts w:hint="default" w:ascii="Times New Roman" w:hAnsi="Times New Roman" w:cs="Times New Roman"/>
                <w:b w:val="0"/>
                <w:bCs/>
                <w:sz w:val="21"/>
                <w:szCs w:val="21"/>
              </w:rPr>
              <w:t>颗粒物</w:t>
            </w:r>
          </w:p>
        </w:tc>
        <w:tc>
          <w:tcPr>
            <w:tcW w:w="473"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655D7D93">
            <w:pPr>
              <w:snapToGrid w:val="0"/>
              <w:ind w:left="0" w:leftChars="0" w:right="0" w:rightChars="0" w:firstLine="0" w:firstLineChars="0"/>
              <w:jc w:val="center"/>
              <w:rPr>
                <w:rFonts w:ascii="宋体" w:hAnsi="宋体" w:cs="宋体"/>
                <w:sz w:val="24"/>
                <w:szCs w:val="24"/>
                <w:lang w:val="en-US" w:eastAsia="zh-CN" w:bidi="ar-SA"/>
              </w:rPr>
            </w:pPr>
            <w:r>
              <w:t>类比法</w:t>
            </w:r>
          </w:p>
        </w:tc>
        <w:tc>
          <w:tcPr>
            <w:tcW w:w="718"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2207B6BE">
            <w:pPr>
              <w:keepNext w:val="0"/>
              <w:keepLines w:val="0"/>
              <w:widowControl/>
              <w:suppressLineNumbers w:val="0"/>
              <w:jc w:val="center"/>
              <w:textAlignment w:val="center"/>
            </w:pPr>
            <w:r>
              <w:rPr>
                <w:rFonts w:hint="default" w:ascii="Times New Roman" w:hAnsi="Times New Roman" w:eastAsia="宋体" w:cs="Times New Roman"/>
                <w:b w:val="0"/>
                <w:bCs w:val="0"/>
                <w:i w:val="0"/>
                <w:iCs w:val="0"/>
                <w:color w:val="000000"/>
                <w:kern w:val="0"/>
                <w:sz w:val="21"/>
                <w:szCs w:val="21"/>
                <w:u w:val="none"/>
                <w:lang w:val="en-US" w:eastAsia="zh-CN" w:bidi="ar"/>
              </w:rPr>
              <w:t>2022.9</w:t>
            </w:r>
            <w:r>
              <w:rPr>
                <w:rFonts w:hint="eastAsia" w:ascii="Times New Roman" w:hAnsi="Times New Roman" w:eastAsia="宋体" w:cs="Times New Roman"/>
                <w:b w:val="0"/>
                <w:bCs w:val="0"/>
                <w:i w:val="0"/>
                <w:iCs w:val="0"/>
                <w:color w:val="000000"/>
                <w:kern w:val="0"/>
                <w:sz w:val="21"/>
                <w:szCs w:val="21"/>
                <w:u w:val="none"/>
                <w:lang w:val="en-US" w:eastAsia="zh-CN" w:bidi="ar"/>
              </w:rPr>
              <w:t>3</w:t>
            </w:r>
          </w:p>
        </w:tc>
        <w:tc>
          <w:tcPr>
            <w:tcW w:w="798"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3DCA48D8">
            <w:pPr>
              <w:jc w:val="center"/>
            </w:pPr>
            <w:r>
              <w:rPr>
                <w:rFonts w:hint="default" w:ascii="Times New Roman" w:hAnsi="Times New Roman" w:eastAsia="宋体" w:cs="Times New Roman"/>
                <w:b w:val="0"/>
                <w:bCs/>
                <w:color w:val="auto"/>
                <w:sz w:val="21"/>
                <w:szCs w:val="21"/>
                <w:highlight w:val="none"/>
                <w:lang w:val="en-US" w:eastAsia="zh-CN"/>
              </w:rPr>
              <w:t>54</w:t>
            </w:r>
          </w:p>
        </w:tc>
        <w:tc>
          <w:tcPr>
            <w:tcW w:w="790"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2EE9AC42">
            <w:pPr>
              <w:keepNext w:val="0"/>
              <w:keepLines w:val="0"/>
              <w:widowControl/>
              <w:suppressLineNumbers w:val="0"/>
              <w:jc w:val="center"/>
              <w:textAlignment w:val="center"/>
            </w:pPr>
            <w:r>
              <w:rPr>
                <w:rFonts w:hint="eastAsia" w:ascii="宋体" w:hAnsi="宋体" w:eastAsia="宋体" w:cs="宋体"/>
                <w:i w:val="0"/>
                <w:iCs w:val="0"/>
                <w:color w:val="000000"/>
                <w:kern w:val="0"/>
                <w:sz w:val="24"/>
                <w:szCs w:val="24"/>
                <w:u w:val="none"/>
                <w:lang w:val="en-US" w:eastAsia="zh-CN" w:bidi="ar"/>
              </w:rPr>
              <w:t>427.68</w:t>
            </w:r>
          </w:p>
        </w:tc>
        <w:tc>
          <w:tcPr>
            <w:tcW w:w="662"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5F948846">
            <w:pPr>
              <w:jc w:val="center"/>
            </w:pPr>
            <w:r>
              <w:rPr>
                <w:rFonts w:hint="default" w:ascii="Times New Roman" w:hAnsi="Times New Roman" w:cs="Times New Roman"/>
                <w:b w:val="0"/>
                <w:bCs/>
                <w:sz w:val="21"/>
                <w:szCs w:val="21"/>
              </w:rPr>
              <w:t>袋式除尘</w:t>
            </w:r>
          </w:p>
        </w:tc>
        <w:tc>
          <w:tcPr>
            <w:tcW w:w="662"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2D72F529">
            <w:pPr>
              <w:jc w:val="center"/>
            </w:pPr>
            <w:r>
              <w:rPr>
                <w:rFonts w:hint="default" w:ascii="Times New Roman" w:hAnsi="Times New Roman" w:cs="Times New Roman"/>
                <w:b w:val="0"/>
                <w:bCs/>
                <w:sz w:val="21"/>
                <w:szCs w:val="21"/>
                <w:lang w:val="en-US" w:eastAsia="zh-CN"/>
              </w:rPr>
              <w:t>26694</w:t>
            </w:r>
          </w:p>
        </w:tc>
        <w:tc>
          <w:tcPr>
            <w:tcW w:w="473"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5A46CD2B">
            <w:pPr>
              <w:snapToGrid w:val="0"/>
              <w:ind w:left="0" w:leftChars="0" w:right="0" w:rightChars="0" w:firstLine="0" w:firstLineChars="0"/>
              <w:jc w:val="center"/>
            </w:pPr>
            <w:r>
              <w:t>99.</w:t>
            </w:r>
            <w:r>
              <w:rPr>
                <w:rFonts w:hint="eastAsia"/>
                <w:lang w:val="en-US" w:eastAsia="zh-CN"/>
              </w:rPr>
              <w:t>9</w:t>
            </w:r>
          </w:p>
        </w:tc>
        <w:tc>
          <w:tcPr>
            <w:tcW w:w="594"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5E4A7A27">
            <w:pPr>
              <w:keepNext w:val="0"/>
              <w:keepLines w:val="0"/>
              <w:widowControl/>
              <w:suppressLineNumbers w:val="0"/>
              <w:jc w:val="center"/>
              <w:textAlignment w:val="center"/>
            </w:pPr>
            <w:r>
              <w:rPr>
                <w:rFonts w:hint="eastAsia" w:ascii="宋体" w:hAnsi="宋体" w:eastAsia="宋体" w:cs="宋体"/>
                <w:i w:val="0"/>
                <w:iCs w:val="0"/>
                <w:color w:val="000000"/>
                <w:kern w:val="0"/>
                <w:sz w:val="24"/>
                <w:szCs w:val="24"/>
                <w:u w:val="none"/>
                <w:lang w:val="en-US" w:eastAsia="zh-CN" w:bidi="ar"/>
              </w:rPr>
              <w:t>10.0</w:t>
            </w:r>
          </w:p>
        </w:tc>
        <w:tc>
          <w:tcPr>
            <w:tcW w:w="883"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089CD3BE">
            <w:pPr>
              <w:snapToGrid w:val="0"/>
              <w:ind w:left="0" w:leftChars="0" w:right="0" w:rightChars="0" w:firstLine="0" w:firstLineChars="0"/>
              <w:jc w:val="center"/>
            </w:pPr>
            <w:r>
              <w:rPr>
                <w:rFonts w:hint="eastAsia"/>
                <w:vertAlign w:val="baseline"/>
                <w:lang w:val="en-US" w:eastAsia="zh-CN"/>
              </w:rPr>
              <w:t>0.27</w:t>
            </w:r>
          </w:p>
        </w:tc>
        <w:tc>
          <w:tcPr>
            <w:tcW w:w="774"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02B84063">
            <w:pPr>
              <w:keepNext w:val="0"/>
              <w:keepLines w:val="0"/>
              <w:widowControl/>
              <w:suppressLineNumbers w:val="0"/>
              <w:jc w:val="center"/>
              <w:textAlignment w:val="center"/>
            </w:pPr>
            <w:r>
              <w:rPr>
                <w:rFonts w:hint="eastAsia" w:ascii="宋体" w:hAnsi="宋体" w:eastAsia="宋体" w:cs="宋体"/>
                <w:i w:val="0"/>
                <w:iCs w:val="0"/>
                <w:color w:val="000000"/>
                <w:kern w:val="0"/>
                <w:sz w:val="24"/>
                <w:szCs w:val="24"/>
                <w:u w:val="none"/>
                <w:lang w:val="en-US" w:eastAsia="zh-CN" w:bidi="ar"/>
              </w:rPr>
              <w:t>2.1384</w:t>
            </w:r>
          </w:p>
        </w:tc>
        <w:tc>
          <w:tcPr>
            <w:tcW w:w="730"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39F8DAD1">
            <w:pPr>
              <w:pStyle w:val="720"/>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pPr>
            <w:r>
              <w:rPr>
                <w:rFonts w:hint="default" w:ascii="Times New Roman" w:hAnsi="Times New Roman" w:eastAsia="宋体" w:cs="Times New Roman"/>
                <w:b w:val="0"/>
                <w:bCs/>
                <w:color w:val="auto"/>
                <w:sz w:val="21"/>
                <w:szCs w:val="21"/>
                <w:highlight w:val="none"/>
                <w:lang w:val="en-US" w:eastAsia="zh-CN"/>
              </w:rPr>
              <w:t>15</w:t>
            </w:r>
          </w:p>
        </w:tc>
        <w:tc>
          <w:tcPr>
            <w:tcW w:w="738"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396EED91">
            <w:pPr>
              <w:pStyle w:val="720"/>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pPr>
            <w:r>
              <w:rPr>
                <w:rFonts w:hint="default" w:ascii="Times New Roman" w:hAnsi="Times New Roman" w:eastAsia="Times New Roman" w:cs="Times New Roman"/>
                <w:b w:val="0"/>
                <w:bCs/>
                <w:kern w:val="2"/>
                <w:sz w:val="21"/>
                <w:szCs w:val="21"/>
                <w:lang w:val="en-US" w:eastAsia="zh-CN" w:bidi="ar-SA"/>
              </w:rPr>
              <w:t>0.6</w:t>
            </w:r>
          </w:p>
        </w:tc>
        <w:tc>
          <w:tcPr>
            <w:tcW w:w="718"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57E77198">
            <w:pPr>
              <w:pStyle w:val="720"/>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pPr>
            <w:r>
              <w:rPr>
                <w:rFonts w:hint="default" w:ascii="Times New Roman" w:hAnsi="Times New Roman" w:eastAsia="宋体" w:cs="Times New Roman"/>
                <w:b w:val="0"/>
                <w:bCs/>
                <w:spacing w:val="-2"/>
                <w:sz w:val="21"/>
                <w:szCs w:val="21"/>
                <w:lang w:val="en-US" w:eastAsia="zh-CN"/>
              </w:rPr>
              <w:t>常温</w:t>
            </w:r>
          </w:p>
        </w:tc>
        <w:tc>
          <w:tcPr>
            <w:tcW w:w="738"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0D09EEA6">
            <w:pPr>
              <w:jc w:val="center"/>
            </w:pPr>
            <w:r>
              <w:rPr>
                <w:rFonts w:hint="default" w:ascii="Times New Roman" w:hAnsi="Times New Roman" w:cs="Times New Roman"/>
                <w:b w:val="0"/>
                <w:bCs/>
                <w:sz w:val="21"/>
                <w:szCs w:val="21"/>
                <w:lang w:val="en-US" w:eastAsia="zh-CN"/>
              </w:rPr>
              <w:t>DA012</w:t>
            </w:r>
          </w:p>
        </w:tc>
        <w:tc>
          <w:tcPr>
            <w:tcW w:w="751"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5CBD09D5">
            <w:pPr>
              <w:snapToGrid w:val="0"/>
              <w:ind w:left="0" w:leftChars="0" w:right="0" w:rightChars="0" w:firstLine="0" w:firstLineChars="0"/>
              <w:jc w:val="center"/>
            </w:pPr>
            <w:r>
              <w:t>7920</w:t>
            </w:r>
          </w:p>
        </w:tc>
        <w:tc>
          <w:tcPr>
            <w:tcW w:w="473"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6D826E57">
            <w:pPr>
              <w:snapToGrid w:val="0"/>
              <w:ind w:left="0" w:leftChars="0" w:right="0" w:rightChars="0" w:firstLine="0" w:firstLineChars="0"/>
              <w:jc w:val="center"/>
            </w:pPr>
            <w:r>
              <w:t>连续</w:t>
            </w:r>
          </w:p>
        </w:tc>
      </w:tr>
      <w:tr w14:paraId="624CE2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599" w:type="dxa"/>
            <w:vMerge w:val="restart"/>
            <w:tcBorders>
              <w:left w:val="single" w:color="000000" w:sz="4" w:space="0"/>
              <w:right w:val="single" w:color="000000" w:sz="4" w:space="0"/>
            </w:tcBorders>
            <w:noWrap w:val="0"/>
            <w:tcMar>
              <w:left w:w="108" w:type="dxa"/>
              <w:right w:w="108" w:type="dxa"/>
            </w:tcMar>
            <w:vAlign w:val="center"/>
          </w:tcPr>
          <w:p w14:paraId="22677EFD">
            <w:pPr>
              <w:snapToGrid w:val="0"/>
              <w:ind w:left="0" w:leftChars="0" w:right="0" w:rightChars="0" w:firstLine="0" w:firstLineChars="0"/>
              <w:jc w:val="center"/>
              <w:rPr>
                <w:rFonts w:hint="eastAsia" w:eastAsia="宋体"/>
                <w:lang w:val="en-US" w:eastAsia="zh-CN"/>
              </w:rPr>
            </w:pPr>
            <w:r>
              <w:rPr>
                <w:rFonts w:hint="eastAsia"/>
                <w:lang w:val="en-US" w:eastAsia="zh-CN"/>
              </w:rPr>
              <w:t>球团竖炉</w:t>
            </w:r>
          </w:p>
        </w:tc>
        <w:tc>
          <w:tcPr>
            <w:tcW w:w="662" w:type="dxa"/>
            <w:tcBorders>
              <w:left w:val="single" w:color="000000" w:sz="4" w:space="0"/>
              <w:right w:val="single" w:color="000000" w:sz="4" w:space="0"/>
            </w:tcBorders>
            <w:noWrap w:val="0"/>
            <w:tcMar>
              <w:left w:w="108" w:type="dxa"/>
              <w:right w:w="108" w:type="dxa"/>
            </w:tcMar>
            <w:vAlign w:val="center"/>
          </w:tcPr>
          <w:p w14:paraId="3511EB80">
            <w:pPr>
              <w:keepNext w:val="0"/>
              <w:keepLines w:val="0"/>
              <w:widowControl/>
              <w:suppressLineNumbers w:val="0"/>
              <w:jc w:val="center"/>
              <w:textAlignment w:val="center"/>
            </w:pPr>
            <w:r>
              <w:rPr>
                <w:rFonts w:hint="default" w:ascii="Times New Roman" w:hAnsi="Times New Roman" w:eastAsia="宋体" w:cs="Times New Roman"/>
                <w:b w:val="0"/>
                <w:bCs/>
                <w:i w:val="0"/>
                <w:iCs w:val="0"/>
                <w:color w:val="000000"/>
                <w:kern w:val="0"/>
                <w:sz w:val="21"/>
                <w:szCs w:val="21"/>
                <w:u w:val="none"/>
                <w:lang w:val="en-US" w:eastAsia="zh-CN" w:bidi="ar"/>
              </w:rPr>
              <w:t>原料准备</w:t>
            </w:r>
          </w:p>
        </w:tc>
        <w:tc>
          <w:tcPr>
            <w:tcW w:w="662" w:type="dxa"/>
            <w:vMerge w:val="restart"/>
            <w:tcBorders>
              <w:top w:val="single" w:color="000000" w:sz="4" w:space="0"/>
              <w:left w:val="single" w:color="000000" w:sz="4" w:space="0"/>
              <w:right w:val="single" w:color="000000" w:sz="4" w:space="0"/>
            </w:tcBorders>
            <w:noWrap w:val="0"/>
            <w:tcMar>
              <w:left w:w="108" w:type="dxa"/>
              <w:right w:w="108" w:type="dxa"/>
            </w:tcMar>
            <w:vAlign w:val="center"/>
          </w:tcPr>
          <w:p w14:paraId="6E1AEF1A">
            <w:pPr>
              <w:jc w:val="center"/>
            </w:pPr>
            <w:r>
              <w:rPr>
                <w:rFonts w:hint="default" w:ascii="Times New Roman" w:hAnsi="Times New Roman" w:cs="Times New Roman"/>
                <w:b w:val="0"/>
                <w:bCs/>
                <w:sz w:val="21"/>
                <w:szCs w:val="21"/>
                <w:lang w:val="en-US" w:eastAsia="zh-CN"/>
              </w:rPr>
              <w:t>50000</w:t>
            </w:r>
          </w:p>
        </w:tc>
        <w:tc>
          <w:tcPr>
            <w:tcW w:w="410"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65D60AAD">
            <w:pPr>
              <w:jc w:val="center"/>
            </w:pPr>
            <w:r>
              <w:rPr>
                <w:rFonts w:hint="default" w:ascii="Times New Roman" w:hAnsi="Times New Roman" w:cs="Times New Roman"/>
                <w:b w:val="0"/>
                <w:bCs/>
                <w:sz w:val="21"/>
                <w:szCs w:val="21"/>
              </w:rPr>
              <w:t>颗粒物</w:t>
            </w:r>
          </w:p>
        </w:tc>
        <w:tc>
          <w:tcPr>
            <w:tcW w:w="473" w:type="dxa"/>
            <w:vMerge w:val="restart"/>
            <w:tcBorders>
              <w:top w:val="single" w:color="000000" w:sz="4" w:space="0"/>
              <w:left w:val="single" w:color="000000" w:sz="4" w:space="0"/>
              <w:right w:val="single" w:color="000000" w:sz="4" w:space="0"/>
            </w:tcBorders>
            <w:noWrap w:val="0"/>
            <w:tcMar>
              <w:left w:w="108" w:type="dxa"/>
              <w:right w:w="108" w:type="dxa"/>
            </w:tcMar>
            <w:vAlign w:val="center"/>
          </w:tcPr>
          <w:p w14:paraId="3835B642">
            <w:pPr>
              <w:snapToGrid w:val="0"/>
              <w:ind w:left="0" w:leftChars="0" w:right="0" w:rightChars="0" w:firstLine="0" w:firstLineChars="0"/>
              <w:jc w:val="center"/>
              <w:rPr>
                <w:rFonts w:ascii="宋体" w:hAnsi="宋体" w:cs="宋体"/>
                <w:sz w:val="24"/>
                <w:szCs w:val="24"/>
                <w:lang w:val="en-US" w:eastAsia="zh-CN" w:bidi="ar-SA"/>
              </w:rPr>
            </w:pPr>
            <w:r>
              <w:t>类比法</w:t>
            </w:r>
          </w:p>
        </w:tc>
        <w:tc>
          <w:tcPr>
            <w:tcW w:w="718" w:type="dxa"/>
            <w:vMerge w:val="restart"/>
            <w:tcBorders>
              <w:top w:val="single" w:color="000000" w:sz="4" w:space="0"/>
              <w:left w:val="single" w:color="000000" w:sz="4" w:space="0"/>
              <w:right w:val="single" w:color="000000" w:sz="4" w:space="0"/>
            </w:tcBorders>
            <w:noWrap w:val="0"/>
            <w:tcMar>
              <w:left w:w="108" w:type="dxa"/>
              <w:right w:w="108" w:type="dxa"/>
            </w:tcMar>
            <w:vAlign w:val="center"/>
          </w:tcPr>
          <w:p w14:paraId="075B4AEA">
            <w:pPr>
              <w:keepNext w:val="0"/>
              <w:keepLines w:val="0"/>
              <w:widowControl/>
              <w:suppressLineNumbers w:val="0"/>
              <w:jc w:val="center"/>
              <w:textAlignment w:val="center"/>
            </w:pPr>
            <w:r>
              <w:rPr>
                <w:rFonts w:hint="default" w:ascii="Times New Roman" w:hAnsi="Times New Roman" w:eastAsia="宋体" w:cs="Times New Roman"/>
                <w:b w:val="0"/>
                <w:bCs w:val="0"/>
                <w:i w:val="0"/>
                <w:iCs w:val="0"/>
                <w:color w:val="000000"/>
                <w:kern w:val="0"/>
                <w:sz w:val="21"/>
                <w:szCs w:val="21"/>
                <w:u w:val="none"/>
                <w:lang w:val="en-US" w:eastAsia="zh-CN" w:bidi="ar"/>
              </w:rPr>
              <w:t>2000</w:t>
            </w:r>
          </w:p>
        </w:tc>
        <w:tc>
          <w:tcPr>
            <w:tcW w:w="798" w:type="dxa"/>
            <w:vMerge w:val="restart"/>
            <w:tcBorders>
              <w:top w:val="single" w:color="000000" w:sz="4" w:space="0"/>
              <w:left w:val="single" w:color="000000" w:sz="4" w:space="0"/>
              <w:right w:val="single" w:color="000000" w:sz="4" w:space="0"/>
            </w:tcBorders>
            <w:noWrap w:val="0"/>
            <w:tcMar>
              <w:left w:w="108" w:type="dxa"/>
              <w:right w:w="108" w:type="dxa"/>
            </w:tcMar>
            <w:vAlign w:val="center"/>
          </w:tcPr>
          <w:p w14:paraId="0FFE91B0">
            <w:pPr>
              <w:jc w:val="center"/>
            </w:pPr>
            <w:r>
              <w:rPr>
                <w:rFonts w:hint="default" w:ascii="Times New Roman" w:hAnsi="Times New Roman" w:eastAsia="宋体" w:cs="Times New Roman"/>
                <w:b w:val="0"/>
                <w:bCs/>
                <w:color w:val="auto"/>
                <w:sz w:val="21"/>
                <w:szCs w:val="21"/>
                <w:highlight w:val="none"/>
                <w:lang w:val="en-US" w:eastAsia="zh-CN"/>
              </w:rPr>
              <w:t>100</w:t>
            </w:r>
          </w:p>
        </w:tc>
        <w:tc>
          <w:tcPr>
            <w:tcW w:w="790" w:type="dxa"/>
            <w:vMerge w:val="restart"/>
            <w:tcBorders>
              <w:top w:val="single" w:color="000000" w:sz="4" w:space="0"/>
              <w:left w:val="single" w:color="000000" w:sz="4" w:space="0"/>
              <w:right w:val="single" w:color="000000" w:sz="4" w:space="0"/>
            </w:tcBorders>
            <w:noWrap w:val="0"/>
            <w:tcMar>
              <w:left w:w="108" w:type="dxa"/>
              <w:right w:w="108" w:type="dxa"/>
            </w:tcMar>
            <w:vAlign w:val="center"/>
          </w:tcPr>
          <w:p w14:paraId="2697D904">
            <w:pPr>
              <w:keepNext w:val="0"/>
              <w:keepLines w:val="0"/>
              <w:widowControl/>
              <w:suppressLineNumbers w:val="0"/>
              <w:jc w:val="center"/>
              <w:textAlignment w:val="center"/>
            </w:pPr>
            <w:r>
              <w:rPr>
                <w:rFonts w:hint="eastAsia" w:ascii="宋体" w:hAnsi="宋体" w:eastAsia="宋体" w:cs="宋体"/>
                <w:i w:val="0"/>
                <w:iCs w:val="0"/>
                <w:color w:val="000000"/>
                <w:kern w:val="0"/>
                <w:sz w:val="24"/>
                <w:szCs w:val="24"/>
                <w:u w:val="none"/>
                <w:lang w:val="en-US" w:eastAsia="zh-CN" w:bidi="ar"/>
              </w:rPr>
              <w:t>792</w:t>
            </w:r>
          </w:p>
        </w:tc>
        <w:tc>
          <w:tcPr>
            <w:tcW w:w="662" w:type="dxa"/>
            <w:vMerge w:val="restart"/>
            <w:tcBorders>
              <w:top w:val="single" w:color="000000" w:sz="4" w:space="0"/>
              <w:left w:val="single" w:color="000000" w:sz="4" w:space="0"/>
              <w:right w:val="single" w:color="000000" w:sz="4" w:space="0"/>
            </w:tcBorders>
            <w:noWrap w:val="0"/>
            <w:tcMar>
              <w:left w:w="108" w:type="dxa"/>
              <w:right w:w="108" w:type="dxa"/>
            </w:tcMar>
            <w:vAlign w:val="center"/>
          </w:tcPr>
          <w:p w14:paraId="6A559771">
            <w:pPr>
              <w:jc w:val="center"/>
            </w:pPr>
            <w:r>
              <w:rPr>
                <w:rFonts w:hint="default" w:ascii="Times New Roman" w:hAnsi="Times New Roman" w:cs="Times New Roman"/>
                <w:b w:val="0"/>
                <w:bCs/>
                <w:sz w:val="21"/>
                <w:szCs w:val="21"/>
              </w:rPr>
              <w:t>袋式除尘</w:t>
            </w:r>
          </w:p>
        </w:tc>
        <w:tc>
          <w:tcPr>
            <w:tcW w:w="662" w:type="dxa"/>
            <w:vMerge w:val="restart"/>
            <w:tcBorders>
              <w:top w:val="single" w:color="000000" w:sz="4" w:space="0"/>
              <w:left w:val="single" w:color="000000" w:sz="4" w:space="0"/>
              <w:right w:val="single" w:color="000000" w:sz="4" w:space="0"/>
            </w:tcBorders>
            <w:noWrap w:val="0"/>
            <w:tcMar>
              <w:left w:w="108" w:type="dxa"/>
              <w:right w:w="108" w:type="dxa"/>
            </w:tcMar>
            <w:vAlign w:val="center"/>
          </w:tcPr>
          <w:p w14:paraId="34744CEA">
            <w:pPr>
              <w:jc w:val="center"/>
            </w:pPr>
            <w:r>
              <w:rPr>
                <w:rFonts w:hint="default" w:ascii="Times New Roman" w:hAnsi="Times New Roman" w:cs="Times New Roman"/>
                <w:b w:val="0"/>
                <w:bCs/>
                <w:sz w:val="21"/>
                <w:szCs w:val="21"/>
                <w:lang w:val="en-US" w:eastAsia="zh-CN"/>
              </w:rPr>
              <w:t>50000</w:t>
            </w:r>
          </w:p>
        </w:tc>
        <w:tc>
          <w:tcPr>
            <w:tcW w:w="473" w:type="dxa"/>
            <w:vMerge w:val="restart"/>
            <w:tcBorders>
              <w:top w:val="single" w:color="000000" w:sz="4" w:space="0"/>
              <w:left w:val="single" w:color="000000" w:sz="4" w:space="0"/>
              <w:right w:val="single" w:color="000000" w:sz="4" w:space="0"/>
            </w:tcBorders>
            <w:noWrap w:val="0"/>
            <w:tcMar>
              <w:left w:w="108" w:type="dxa"/>
              <w:right w:w="108" w:type="dxa"/>
            </w:tcMar>
            <w:vAlign w:val="center"/>
          </w:tcPr>
          <w:p w14:paraId="29AADFBF">
            <w:pPr>
              <w:snapToGrid w:val="0"/>
              <w:ind w:left="0" w:leftChars="0" w:right="0" w:rightChars="0" w:firstLine="0" w:firstLineChars="0"/>
              <w:jc w:val="center"/>
            </w:pPr>
            <w:r>
              <w:t>99.</w:t>
            </w:r>
            <w:r>
              <w:rPr>
                <w:rFonts w:hint="eastAsia"/>
                <w:lang w:val="en-US" w:eastAsia="zh-CN"/>
              </w:rPr>
              <w:t>9</w:t>
            </w:r>
          </w:p>
        </w:tc>
        <w:tc>
          <w:tcPr>
            <w:tcW w:w="594" w:type="dxa"/>
            <w:vMerge w:val="restart"/>
            <w:tcBorders>
              <w:top w:val="single" w:color="000000" w:sz="4" w:space="0"/>
              <w:left w:val="single" w:color="000000" w:sz="4" w:space="0"/>
              <w:right w:val="single" w:color="000000" w:sz="4" w:space="0"/>
            </w:tcBorders>
            <w:noWrap w:val="0"/>
            <w:tcMar>
              <w:left w:w="108" w:type="dxa"/>
              <w:right w:w="108" w:type="dxa"/>
            </w:tcMar>
            <w:vAlign w:val="center"/>
          </w:tcPr>
          <w:p w14:paraId="761500C9">
            <w:pPr>
              <w:keepNext w:val="0"/>
              <w:keepLines w:val="0"/>
              <w:widowControl/>
              <w:suppressLineNumbers w:val="0"/>
              <w:jc w:val="center"/>
              <w:textAlignment w:val="center"/>
            </w:pPr>
            <w:r>
              <w:rPr>
                <w:rFonts w:hint="eastAsia" w:ascii="宋体" w:hAnsi="宋体" w:eastAsia="宋体" w:cs="宋体"/>
                <w:i w:val="0"/>
                <w:iCs w:val="0"/>
                <w:color w:val="000000"/>
                <w:kern w:val="0"/>
                <w:sz w:val="24"/>
                <w:szCs w:val="24"/>
                <w:u w:val="none"/>
                <w:lang w:val="en-US" w:eastAsia="zh-CN" w:bidi="ar"/>
              </w:rPr>
              <w:t>10</w:t>
            </w:r>
          </w:p>
        </w:tc>
        <w:tc>
          <w:tcPr>
            <w:tcW w:w="883" w:type="dxa"/>
            <w:vMerge w:val="restart"/>
            <w:tcBorders>
              <w:top w:val="single" w:color="000000" w:sz="4" w:space="0"/>
              <w:left w:val="single" w:color="000000" w:sz="4" w:space="0"/>
              <w:right w:val="single" w:color="000000" w:sz="4" w:space="0"/>
            </w:tcBorders>
            <w:noWrap w:val="0"/>
            <w:tcMar>
              <w:left w:w="108" w:type="dxa"/>
              <w:right w:w="108" w:type="dxa"/>
            </w:tcMar>
            <w:vAlign w:val="center"/>
          </w:tcPr>
          <w:p w14:paraId="529CC821">
            <w:pPr>
              <w:snapToGrid w:val="0"/>
              <w:ind w:left="0" w:leftChars="0" w:right="0" w:rightChars="0" w:firstLine="0" w:firstLineChars="0"/>
              <w:jc w:val="center"/>
            </w:pPr>
            <w:r>
              <w:rPr>
                <w:rFonts w:hint="eastAsia" w:eastAsia="宋体" w:cs="Times New Roman"/>
                <w:i w:val="0"/>
                <w:iCs w:val="0"/>
                <w:color w:val="000000"/>
                <w:kern w:val="0"/>
                <w:sz w:val="21"/>
                <w:szCs w:val="21"/>
                <w:u w:val="none"/>
                <w:lang w:val="en-US" w:eastAsia="zh-CN" w:bidi="ar"/>
              </w:rPr>
              <w:t>0.5</w:t>
            </w:r>
          </w:p>
        </w:tc>
        <w:tc>
          <w:tcPr>
            <w:tcW w:w="774" w:type="dxa"/>
            <w:vMerge w:val="restart"/>
            <w:tcBorders>
              <w:top w:val="single" w:color="000000" w:sz="4" w:space="0"/>
              <w:left w:val="single" w:color="000000" w:sz="4" w:space="0"/>
              <w:right w:val="single" w:color="000000" w:sz="4" w:space="0"/>
            </w:tcBorders>
            <w:noWrap w:val="0"/>
            <w:tcMar>
              <w:left w:w="108" w:type="dxa"/>
              <w:right w:w="108" w:type="dxa"/>
            </w:tcMar>
            <w:vAlign w:val="center"/>
          </w:tcPr>
          <w:p w14:paraId="25C30BC8">
            <w:pPr>
              <w:keepNext w:val="0"/>
              <w:keepLines w:val="0"/>
              <w:widowControl/>
              <w:suppressLineNumbers w:val="0"/>
              <w:jc w:val="center"/>
              <w:textAlignment w:val="center"/>
            </w:pPr>
            <w:r>
              <w:rPr>
                <w:rFonts w:hint="eastAsia" w:ascii="宋体" w:hAnsi="宋体" w:eastAsia="宋体" w:cs="宋体"/>
                <w:i w:val="0"/>
                <w:iCs w:val="0"/>
                <w:color w:val="000000"/>
                <w:kern w:val="0"/>
                <w:sz w:val="24"/>
                <w:szCs w:val="24"/>
                <w:u w:val="none"/>
                <w:lang w:val="en-US" w:eastAsia="zh-CN" w:bidi="ar"/>
              </w:rPr>
              <w:t>3.96</w:t>
            </w:r>
          </w:p>
        </w:tc>
        <w:tc>
          <w:tcPr>
            <w:tcW w:w="730" w:type="dxa"/>
            <w:vMerge w:val="restart"/>
            <w:tcBorders>
              <w:top w:val="single" w:color="000000" w:sz="4" w:space="0"/>
              <w:left w:val="single" w:color="000000" w:sz="4" w:space="0"/>
              <w:right w:val="single" w:color="000000" w:sz="4" w:space="0"/>
            </w:tcBorders>
            <w:noWrap w:val="0"/>
            <w:tcMar>
              <w:left w:w="108" w:type="dxa"/>
              <w:right w:w="108" w:type="dxa"/>
            </w:tcMar>
            <w:vAlign w:val="center"/>
          </w:tcPr>
          <w:p w14:paraId="0F64A8FC">
            <w:pPr>
              <w:pStyle w:val="720"/>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pPr>
            <w:r>
              <w:rPr>
                <w:rFonts w:hint="default" w:ascii="Times New Roman" w:hAnsi="Times New Roman" w:eastAsia="宋体" w:cs="Times New Roman"/>
                <w:b w:val="0"/>
                <w:bCs/>
                <w:color w:val="auto"/>
                <w:sz w:val="21"/>
                <w:szCs w:val="21"/>
                <w:highlight w:val="none"/>
                <w:lang w:val="en-US" w:eastAsia="zh-CN"/>
              </w:rPr>
              <w:t>30</w:t>
            </w:r>
          </w:p>
        </w:tc>
        <w:tc>
          <w:tcPr>
            <w:tcW w:w="738" w:type="dxa"/>
            <w:vMerge w:val="restart"/>
            <w:tcBorders>
              <w:top w:val="single" w:color="000000" w:sz="4" w:space="0"/>
              <w:left w:val="single" w:color="000000" w:sz="4" w:space="0"/>
              <w:right w:val="single" w:color="000000" w:sz="4" w:space="0"/>
            </w:tcBorders>
            <w:noWrap w:val="0"/>
            <w:tcMar>
              <w:left w:w="108" w:type="dxa"/>
              <w:right w:w="108" w:type="dxa"/>
            </w:tcMar>
            <w:vAlign w:val="center"/>
          </w:tcPr>
          <w:p w14:paraId="35324C39">
            <w:pPr>
              <w:pStyle w:val="720"/>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pPr>
            <w:r>
              <w:rPr>
                <w:rFonts w:hint="default" w:ascii="Times New Roman" w:hAnsi="Times New Roman" w:eastAsia="Times New Roman" w:cs="Times New Roman"/>
                <w:b w:val="0"/>
                <w:bCs/>
                <w:kern w:val="2"/>
                <w:sz w:val="21"/>
                <w:szCs w:val="21"/>
                <w:lang w:val="en-US" w:eastAsia="zh-CN" w:bidi="ar-SA"/>
              </w:rPr>
              <w:t>1.8</w:t>
            </w:r>
          </w:p>
        </w:tc>
        <w:tc>
          <w:tcPr>
            <w:tcW w:w="718" w:type="dxa"/>
            <w:vMerge w:val="restart"/>
            <w:tcBorders>
              <w:top w:val="single" w:color="000000" w:sz="4" w:space="0"/>
              <w:left w:val="single" w:color="000000" w:sz="4" w:space="0"/>
              <w:right w:val="single" w:color="000000" w:sz="4" w:space="0"/>
            </w:tcBorders>
            <w:noWrap w:val="0"/>
            <w:tcMar>
              <w:left w:w="108" w:type="dxa"/>
              <w:right w:w="108" w:type="dxa"/>
            </w:tcMar>
            <w:vAlign w:val="center"/>
          </w:tcPr>
          <w:p w14:paraId="773DA540">
            <w:pPr>
              <w:pStyle w:val="720"/>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pPr>
            <w:r>
              <w:rPr>
                <w:rFonts w:hint="default" w:ascii="Times New Roman" w:hAnsi="Times New Roman" w:eastAsia="宋体" w:cs="Times New Roman"/>
                <w:b w:val="0"/>
                <w:bCs/>
                <w:spacing w:val="-2"/>
                <w:sz w:val="21"/>
                <w:szCs w:val="21"/>
                <w:lang w:val="en-US" w:eastAsia="zh-CN"/>
              </w:rPr>
              <w:t>常温</w:t>
            </w:r>
          </w:p>
        </w:tc>
        <w:tc>
          <w:tcPr>
            <w:tcW w:w="738" w:type="dxa"/>
            <w:vMerge w:val="restart"/>
            <w:tcBorders>
              <w:top w:val="single" w:color="000000" w:sz="4" w:space="0"/>
              <w:left w:val="single" w:color="000000" w:sz="4" w:space="0"/>
              <w:right w:val="single" w:color="000000" w:sz="4" w:space="0"/>
            </w:tcBorders>
            <w:noWrap w:val="0"/>
            <w:tcMar>
              <w:left w:w="108" w:type="dxa"/>
              <w:right w:w="108" w:type="dxa"/>
            </w:tcMar>
            <w:vAlign w:val="center"/>
          </w:tcPr>
          <w:p w14:paraId="2D846445">
            <w:pPr>
              <w:jc w:val="center"/>
            </w:pPr>
            <w:r>
              <w:rPr>
                <w:rFonts w:hint="default" w:ascii="Times New Roman" w:hAnsi="Times New Roman" w:cs="Times New Roman"/>
                <w:b w:val="0"/>
                <w:bCs/>
                <w:sz w:val="21"/>
                <w:szCs w:val="21"/>
                <w:lang w:val="en-US" w:eastAsia="zh-CN"/>
              </w:rPr>
              <w:t>DA014</w:t>
            </w:r>
          </w:p>
        </w:tc>
        <w:tc>
          <w:tcPr>
            <w:tcW w:w="751" w:type="dxa"/>
            <w:vMerge w:val="restart"/>
            <w:tcBorders>
              <w:top w:val="single" w:color="000000" w:sz="4" w:space="0"/>
              <w:left w:val="single" w:color="000000" w:sz="4" w:space="0"/>
              <w:right w:val="single" w:color="000000" w:sz="4" w:space="0"/>
            </w:tcBorders>
            <w:noWrap w:val="0"/>
            <w:tcMar>
              <w:left w:w="108" w:type="dxa"/>
              <w:right w:w="108" w:type="dxa"/>
            </w:tcMar>
            <w:vAlign w:val="center"/>
          </w:tcPr>
          <w:p w14:paraId="5F8D3CB1">
            <w:pPr>
              <w:snapToGrid w:val="0"/>
              <w:ind w:left="0" w:leftChars="0" w:right="0" w:rightChars="0" w:firstLine="0" w:firstLineChars="0"/>
              <w:jc w:val="center"/>
            </w:pPr>
            <w:r>
              <w:t>7920</w:t>
            </w:r>
          </w:p>
        </w:tc>
        <w:tc>
          <w:tcPr>
            <w:tcW w:w="473" w:type="dxa"/>
            <w:vMerge w:val="restart"/>
            <w:tcBorders>
              <w:top w:val="single" w:color="000000" w:sz="4" w:space="0"/>
              <w:left w:val="single" w:color="000000" w:sz="4" w:space="0"/>
              <w:right w:val="single" w:color="000000" w:sz="4" w:space="0"/>
            </w:tcBorders>
            <w:noWrap w:val="0"/>
            <w:tcMar>
              <w:left w:w="108" w:type="dxa"/>
              <w:right w:w="108" w:type="dxa"/>
            </w:tcMar>
            <w:vAlign w:val="center"/>
          </w:tcPr>
          <w:p w14:paraId="222FD86A">
            <w:pPr>
              <w:snapToGrid w:val="0"/>
              <w:ind w:left="0" w:leftChars="0" w:right="0" w:rightChars="0" w:firstLine="0" w:firstLineChars="0"/>
              <w:jc w:val="center"/>
            </w:pPr>
            <w:r>
              <w:t>连续</w:t>
            </w:r>
          </w:p>
        </w:tc>
      </w:tr>
      <w:tr w14:paraId="4F08BC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599" w:type="dxa"/>
            <w:vMerge w:val="continue"/>
            <w:tcBorders>
              <w:left w:val="single" w:color="000000" w:sz="4" w:space="0"/>
              <w:right w:val="single" w:color="000000" w:sz="4" w:space="0"/>
            </w:tcBorders>
            <w:noWrap w:val="0"/>
            <w:tcMar>
              <w:left w:w="108" w:type="dxa"/>
              <w:right w:w="108" w:type="dxa"/>
            </w:tcMar>
            <w:vAlign w:val="center"/>
          </w:tcPr>
          <w:p w14:paraId="2F531AB3">
            <w:pPr>
              <w:snapToGrid w:val="0"/>
              <w:ind w:left="0" w:leftChars="0" w:right="0" w:rightChars="0" w:firstLine="0" w:firstLineChars="0"/>
              <w:jc w:val="center"/>
            </w:pPr>
          </w:p>
        </w:tc>
        <w:tc>
          <w:tcPr>
            <w:tcW w:w="662" w:type="dxa"/>
            <w:tcBorders>
              <w:left w:val="single" w:color="000000" w:sz="4" w:space="0"/>
              <w:right w:val="single" w:color="000000" w:sz="4" w:space="0"/>
            </w:tcBorders>
            <w:noWrap w:val="0"/>
            <w:tcMar>
              <w:left w:w="108" w:type="dxa"/>
              <w:right w:w="108" w:type="dxa"/>
            </w:tcMar>
            <w:vAlign w:val="center"/>
          </w:tcPr>
          <w:p w14:paraId="60076CE3">
            <w:pPr>
              <w:keepNext w:val="0"/>
              <w:keepLines w:val="0"/>
              <w:widowControl/>
              <w:suppressLineNumbers w:val="0"/>
              <w:jc w:val="center"/>
              <w:textAlignment w:val="center"/>
            </w:pPr>
            <w:r>
              <w:rPr>
                <w:rFonts w:hint="default" w:ascii="Times New Roman" w:hAnsi="Times New Roman" w:eastAsia="宋体" w:cs="Times New Roman"/>
                <w:b w:val="0"/>
                <w:bCs/>
                <w:i w:val="0"/>
                <w:iCs w:val="0"/>
                <w:color w:val="000000"/>
                <w:kern w:val="0"/>
                <w:sz w:val="21"/>
                <w:szCs w:val="21"/>
                <w:u w:val="none"/>
                <w:lang w:val="en-US" w:eastAsia="zh-CN" w:bidi="ar"/>
              </w:rPr>
              <w:t>筛分</w:t>
            </w:r>
          </w:p>
        </w:tc>
        <w:tc>
          <w:tcPr>
            <w:tcW w:w="662" w:type="dxa"/>
            <w:vMerge w:val="continue"/>
            <w:tcBorders>
              <w:left w:val="single" w:color="000000" w:sz="4" w:space="0"/>
              <w:bottom w:val="single" w:color="000000" w:sz="4" w:space="0"/>
              <w:right w:val="single" w:color="000000" w:sz="4" w:space="0"/>
            </w:tcBorders>
            <w:noWrap w:val="0"/>
            <w:tcMar>
              <w:left w:w="108" w:type="dxa"/>
              <w:right w:w="108" w:type="dxa"/>
            </w:tcMar>
            <w:vAlign w:val="center"/>
          </w:tcPr>
          <w:p w14:paraId="5144678A">
            <w:pPr>
              <w:jc w:val="center"/>
            </w:pPr>
          </w:p>
        </w:tc>
        <w:tc>
          <w:tcPr>
            <w:tcW w:w="410"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18F5B348">
            <w:pPr>
              <w:jc w:val="center"/>
            </w:pPr>
            <w:r>
              <w:rPr>
                <w:rFonts w:hint="default" w:ascii="Times New Roman" w:hAnsi="Times New Roman" w:cs="Times New Roman"/>
                <w:b w:val="0"/>
                <w:bCs/>
                <w:sz w:val="21"/>
                <w:szCs w:val="21"/>
              </w:rPr>
              <w:t>颗粒物</w:t>
            </w:r>
          </w:p>
        </w:tc>
        <w:tc>
          <w:tcPr>
            <w:tcW w:w="473" w:type="dxa"/>
            <w:vMerge w:val="continue"/>
            <w:tcBorders>
              <w:left w:val="single" w:color="000000" w:sz="4" w:space="0"/>
              <w:bottom w:val="single" w:color="000000" w:sz="4" w:space="0"/>
              <w:right w:val="single" w:color="000000" w:sz="4" w:space="0"/>
            </w:tcBorders>
            <w:noWrap w:val="0"/>
            <w:tcMar>
              <w:left w:w="108" w:type="dxa"/>
              <w:right w:w="108" w:type="dxa"/>
            </w:tcMar>
            <w:vAlign w:val="center"/>
          </w:tcPr>
          <w:p w14:paraId="18A6803C">
            <w:pPr>
              <w:snapToGrid w:val="0"/>
              <w:ind w:left="0" w:leftChars="0" w:right="0" w:rightChars="0" w:firstLine="0" w:firstLineChars="0"/>
              <w:jc w:val="center"/>
              <w:rPr>
                <w:rFonts w:ascii="宋体" w:hAnsi="宋体" w:cs="宋体"/>
                <w:sz w:val="24"/>
                <w:szCs w:val="24"/>
                <w:lang w:val="en-US" w:eastAsia="zh-CN" w:bidi="ar-SA"/>
              </w:rPr>
            </w:pPr>
          </w:p>
        </w:tc>
        <w:tc>
          <w:tcPr>
            <w:tcW w:w="718" w:type="dxa"/>
            <w:vMerge w:val="continue"/>
            <w:tcBorders>
              <w:left w:val="single" w:color="000000" w:sz="4" w:space="0"/>
              <w:bottom w:val="single" w:color="000000" w:sz="4" w:space="0"/>
              <w:right w:val="single" w:color="000000" w:sz="4" w:space="0"/>
            </w:tcBorders>
            <w:noWrap w:val="0"/>
            <w:tcMar>
              <w:left w:w="108" w:type="dxa"/>
              <w:right w:w="108" w:type="dxa"/>
            </w:tcMar>
            <w:vAlign w:val="center"/>
          </w:tcPr>
          <w:p w14:paraId="269B2896">
            <w:pPr>
              <w:keepNext w:val="0"/>
              <w:keepLines w:val="0"/>
              <w:widowControl/>
              <w:suppressLineNumbers w:val="0"/>
              <w:jc w:val="center"/>
              <w:textAlignment w:val="center"/>
            </w:pPr>
          </w:p>
        </w:tc>
        <w:tc>
          <w:tcPr>
            <w:tcW w:w="798" w:type="dxa"/>
            <w:vMerge w:val="continue"/>
            <w:tcBorders>
              <w:left w:val="single" w:color="000000" w:sz="4" w:space="0"/>
              <w:bottom w:val="single" w:color="000000" w:sz="4" w:space="0"/>
              <w:right w:val="single" w:color="000000" w:sz="4" w:space="0"/>
            </w:tcBorders>
            <w:noWrap w:val="0"/>
            <w:tcMar>
              <w:left w:w="108" w:type="dxa"/>
              <w:right w:w="108" w:type="dxa"/>
            </w:tcMar>
            <w:vAlign w:val="center"/>
          </w:tcPr>
          <w:p w14:paraId="59BC5E6F">
            <w:pPr>
              <w:keepNext w:val="0"/>
              <w:keepLines w:val="0"/>
              <w:widowControl/>
              <w:suppressLineNumbers w:val="0"/>
              <w:jc w:val="center"/>
              <w:textAlignment w:val="center"/>
            </w:pPr>
          </w:p>
        </w:tc>
        <w:tc>
          <w:tcPr>
            <w:tcW w:w="790" w:type="dxa"/>
            <w:vMerge w:val="continue"/>
            <w:tcBorders>
              <w:left w:val="single" w:color="000000" w:sz="4" w:space="0"/>
              <w:bottom w:val="single" w:color="000000" w:sz="4" w:space="0"/>
              <w:right w:val="single" w:color="000000" w:sz="4" w:space="0"/>
            </w:tcBorders>
            <w:noWrap w:val="0"/>
            <w:tcMar>
              <w:left w:w="108" w:type="dxa"/>
              <w:right w:w="108" w:type="dxa"/>
            </w:tcMar>
            <w:vAlign w:val="center"/>
          </w:tcPr>
          <w:p w14:paraId="659D5734">
            <w:pPr>
              <w:snapToGrid w:val="0"/>
              <w:ind w:left="0" w:leftChars="0" w:right="0" w:rightChars="0" w:firstLine="0" w:firstLineChars="0"/>
              <w:jc w:val="center"/>
            </w:pPr>
          </w:p>
        </w:tc>
        <w:tc>
          <w:tcPr>
            <w:tcW w:w="662" w:type="dxa"/>
            <w:vMerge w:val="continue"/>
            <w:tcBorders>
              <w:left w:val="single" w:color="000000" w:sz="4" w:space="0"/>
              <w:bottom w:val="single" w:color="000000" w:sz="4" w:space="0"/>
              <w:right w:val="single" w:color="000000" w:sz="4" w:space="0"/>
            </w:tcBorders>
            <w:noWrap w:val="0"/>
            <w:tcMar>
              <w:left w:w="108" w:type="dxa"/>
              <w:right w:w="108" w:type="dxa"/>
            </w:tcMar>
            <w:vAlign w:val="center"/>
          </w:tcPr>
          <w:p w14:paraId="5AE11DF1">
            <w:pPr>
              <w:snapToGrid w:val="0"/>
              <w:ind w:left="0" w:leftChars="0" w:right="0" w:rightChars="0" w:firstLine="0" w:firstLineChars="0"/>
              <w:jc w:val="center"/>
            </w:pPr>
          </w:p>
        </w:tc>
        <w:tc>
          <w:tcPr>
            <w:tcW w:w="662" w:type="dxa"/>
            <w:vMerge w:val="continue"/>
            <w:tcBorders>
              <w:left w:val="single" w:color="000000" w:sz="4" w:space="0"/>
              <w:bottom w:val="single" w:color="000000" w:sz="4" w:space="0"/>
              <w:right w:val="single" w:color="000000" w:sz="4" w:space="0"/>
            </w:tcBorders>
            <w:noWrap w:val="0"/>
            <w:tcMar>
              <w:left w:w="108" w:type="dxa"/>
              <w:right w:w="108" w:type="dxa"/>
            </w:tcMar>
            <w:vAlign w:val="center"/>
          </w:tcPr>
          <w:p w14:paraId="2E1D2F20">
            <w:pPr>
              <w:snapToGrid w:val="0"/>
              <w:ind w:left="0" w:leftChars="0" w:right="0" w:rightChars="0" w:firstLine="0" w:firstLineChars="0"/>
              <w:jc w:val="center"/>
            </w:pPr>
          </w:p>
        </w:tc>
        <w:tc>
          <w:tcPr>
            <w:tcW w:w="473" w:type="dxa"/>
            <w:vMerge w:val="continue"/>
            <w:tcBorders>
              <w:left w:val="single" w:color="000000" w:sz="4" w:space="0"/>
              <w:bottom w:val="single" w:color="000000" w:sz="4" w:space="0"/>
              <w:right w:val="single" w:color="000000" w:sz="4" w:space="0"/>
            </w:tcBorders>
            <w:noWrap w:val="0"/>
            <w:tcMar>
              <w:left w:w="108" w:type="dxa"/>
              <w:right w:w="108" w:type="dxa"/>
            </w:tcMar>
            <w:vAlign w:val="center"/>
          </w:tcPr>
          <w:p w14:paraId="56788B89">
            <w:pPr>
              <w:snapToGrid w:val="0"/>
              <w:ind w:left="0" w:leftChars="0" w:right="0" w:rightChars="0" w:firstLine="0" w:firstLineChars="0"/>
              <w:jc w:val="center"/>
            </w:pPr>
          </w:p>
        </w:tc>
        <w:tc>
          <w:tcPr>
            <w:tcW w:w="594" w:type="dxa"/>
            <w:vMerge w:val="continue"/>
            <w:tcBorders>
              <w:left w:val="single" w:color="000000" w:sz="4" w:space="0"/>
              <w:bottom w:val="single" w:color="000000" w:sz="4" w:space="0"/>
              <w:right w:val="single" w:color="000000" w:sz="4" w:space="0"/>
            </w:tcBorders>
            <w:noWrap w:val="0"/>
            <w:tcMar>
              <w:left w:w="108" w:type="dxa"/>
              <w:right w:w="108" w:type="dxa"/>
            </w:tcMar>
            <w:vAlign w:val="center"/>
          </w:tcPr>
          <w:p w14:paraId="48209F38">
            <w:pPr>
              <w:snapToGrid w:val="0"/>
              <w:ind w:left="0" w:leftChars="0" w:right="0" w:rightChars="0" w:firstLine="0" w:firstLineChars="0"/>
              <w:jc w:val="center"/>
            </w:pPr>
          </w:p>
        </w:tc>
        <w:tc>
          <w:tcPr>
            <w:tcW w:w="883" w:type="dxa"/>
            <w:vMerge w:val="continue"/>
            <w:tcBorders>
              <w:left w:val="single" w:color="000000" w:sz="4" w:space="0"/>
              <w:bottom w:val="single" w:color="000000" w:sz="4" w:space="0"/>
              <w:right w:val="single" w:color="000000" w:sz="4" w:space="0"/>
            </w:tcBorders>
            <w:noWrap w:val="0"/>
            <w:tcMar>
              <w:left w:w="108" w:type="dxa"/>
              <w:right w:w="108" w:type="dxa"/>
            </w:tcMar>
            <w:vAlign w:val="center"/>
          </w:tcPr>
          <w:p w14:paraId="5DEA16E3">
            <w:pPr>
              <w:snapToGrid w:val="0"/>
              <w:ind w:left="0" w:leftChars="0" w:right="0" w:rightChars="0" w:firstLine="0" w:firstLineChars="0"/>
              <w:jc w:val="center"/>
            </w:pPr>
          </w:p>
        </w:tc>
        <w:tc>
          <w:tcPr>
            <w:tcW w:w="774" w:type="dxa"/>
            <w:vMerge w:val="continue"/>
            <w:tcBorders>
              <w:left w:val="single" w:color="000000" w:sz="4" w:space="0"/>
              <w:bottom w:val="single" w:color="000000" w:sz="4" w:space="0"/>
              <w:right w:val="single" w:color="000000" w:sz="4" w:space="0"/>
            </w:tcBorders>
            <w:noWrap w:val="0"/>
            <w:tcMar>
              <w:left w:w="108" w:type="dxa"/>
              <w:right w:w="108" w:type="dxa"/>
            </w:tcMar>
            <w:vAlign w:val="center"/>
          </w:tcPr>
          <w:p w14:paraId="799709CB">
            <w:pPr>
              <w:snapToGrid w:val="0"/>
              <w:ind w:left="0" w:leftChars="0" w:right="0" w:rightChars="0" w:firstLine="0" w:firstLineChars="0"/>
              <w:jc w:val="center"/>
            </w:pPr>
          </w:p>
        </w:tc>
        <w:tc>
          <w:tcPr>
            <w:tcW w:w="730" w:type="dxa"/>
            <w:vMerge w:val="continue"/>
            <w:tcBorders>
              <w:left w:val="single" w:color="000000" w:sz="4" w:space="0"/>
              <w:bottom w:val="single" w:color="000000" w:sz="4" w:space="0"/>
              <w:right w:val="single" w:color="000000" w:sz="4" w:space="0"/>
            </w:tcBorders>
            <w:noWrap w:val="0"/>
            <w:tcMar>
              <w:left w:w="108" w:type="dxa"/>
              <w:right w:w="108" w:type="dxa"/>
            </w:tcMar>
            <w:vAlign w:val="center"/>
          </w:tcPr>
          <w:p w14:paraId="101C82CC">
            <w:pPr>
              <w:snapToGrid w:val="0"/>
              <w:ind w:left="0" w:leftChars="0" w:right="0" w:rightChars="0" w:firstLine="0" w:firstLineChars="0"/>
              <w:jc w:val="center"/>
            </w:pPr>
          </w:p>
        </w:tc>
        <w:tc>
          <w:tcPr>
            <w:tcW w:w="738" w:type="dxa"/>
            <w:vMerge w:val="continue"/>
            <w:tcBorders>
              <w:left w:val="single" w:color="000000" w:sz="4" w:space="0"/>
              <w:bottom w:val="single" w:color="000000" w:sz="4" w:space="0"/>
              <w:right w:val="single" w:color="000000" w:sz="4" w:space="0"/>
            </w:tcBorders>
            <w:noWrap w:val="0"/>
            <w:tcMar>
              <w:left w:w="108" w:type="dxa"/>
              <w:right w:w="108" w:type="dxa"/>
            </w:tcMar>
            <w:vAlign w:val="center"/>
          </w:tcPr>
          <w:p w14:paraId="1B1DF49F">
            <w:pPr>
              <w:snapToGrid w:val="0"/>
              <w:ind w:left="0" w:leftChars="0" w:right="0" w:rightChars="0" w:firstLine="0" w:firstLineChars="0"/>
              <w:jc w:val="center"/>
            </w:pPr>
          </w:p>
        </w:tc>
        <w:tc>
          <w:tcPr>
            <w:tcW w:w="718" w:type="dxa"/>
            <w:vMerge w:val="continue"/>
            <w:tcBorders>
              <w:left w:val="single" w:color="000000" w:sz="4" w:space="0"/>
              <w:bottom w:val="single" w:color="000000" w:sz="4" w:space="0"/>
              <w:right w:val="single" w:color="000000" w:sz="4" w:space="0"/>
            </w:tcBorders>
            <w:noWrap w:val="0"/>
            <w:tcMar>
              <w:left w:w="108" w:type="dxa"/>
              <w:right w:w="108" w:type="dxa"/>
            </w:tcMar>
            <w:vAlign w:val="center"/>
          </w:tcPr>
          <w:p w14:paraId="0FC22223">
            <w:pPr>
              <w:snapToGrid w:val="0"/>
              <w:ind w:left="0" w:leftChars="0" w:right="0" w:rightChars="0" w:firstLine="0" w:firstLineChars="0"/>
              <w:jc w:val="center"/>
            </w:pPr>
          </w:p>
        </w:tc>
        <w:tc>
          <w:tcPr>
            <w:tcW w:w="738" w:type="dxa"/>
            <w:vMerge w:val="continue"/>
            <w:tcBorders>
              <w:left w:val="single" w:color="000000" w:sz="4" w:space="0"/>
              <w:bottom w:val="single" w:color="000000" w:sz="4" w:space="0"/>
              <w:right w:val="single" w:color="000000" w:sz="4" w:space="0"/>
            </w:tcBorders>
            <w:noWrap w:val="0"/>
            <w:tcMar>
              <w:left w:w="108" w:type="dxa"/>
              <w:right w:w="108" w:type="dxa"/>
            </w:tcMar>
            <w:vAlign w:val="center"/>
          </w:tcPr>
          <w:p w14:paraId="5D3D1830">
            <w:pPr>
              <w:snapToGrid w:val="0"/>
              <w:ind w:left="0" w:leftChars="0" w:right="0" w:rightChars="0" w:firstLine="0" w:firstLineChars="0"/>
              <w:jc w:val="center"/>
            </w:pPr>
          </w:p>
        </w:tc>
        <w:tc>
          <w:tcPr>
            <w:tcW w:w="751" w:type="dxa"/>
            <w:vMerge w:val="continue"/>
            <w:tcBorders>
              <w:left w:val="single" w:color="000000" w:sz="4" w:space="0"/>
              <w:bottom w:val="single" w:color="000000" w:sz="4" w:space="0"/>
              <w:right w:val="single" w:color="000000" w:sz="4" w:space="0"/>
            </w:tcBorders>
            <w:noWrap w:val="0"/>
            <w:tcMar>
              <w:left w:w="108" w:type="dxa"/>
              <w:right w:w="108" w:type="dxa"/>
            </w:tcMar>
            <w:vAlign w:val="center"/>
          </w:tcPr>
          <w:p w14:paraId="452F8299">
            <w:pPr>
              <w:snapToGrid w:val="0"/>
              <w:ind w:left="0" w:leftChars="0" w:right="0" w:rightChars="0" w:firstLine="0" w:firstLineChars="0"/>
              <w:jc w:val="center"/>
            </w:pPr>
          </w:p>
        </w:tc>
        <w:tc>
          <w:tcPr>
            <w:tcW w:w="473" w:type="dxa"/>
            <w:vMerge w:val="continue"/>
            <w:tcBorders>
              <w:left w:val="single" w:color="000000" w:sz="4" w:space="0"/>
              <w:bottom w:val="single" w:color="000000" w:sz="4" w:space="0"/>
              <w:right w:val="single" w:color="000000" w:sz="4" w:space="0"/>
            </w:tcBorders>
            <w:noWrap w:val="0"/>
            <w:tcMar>
              <w:left w:w="108" w:type="dxa"/>
              <w:right w:w="108" w:type="dxa"/>
            </w:tcMar>
            <w:vAlign w:val="center"/>
          </w:tcPr>
          <w:p w14:paraId="2E0D3365">
            <w:pPr>
              <w:snapToGrid w:val="0"/>
              <w:ind w:left="0" w:leftChars="0" w:right="0" w:rightChars="0" w:firstLine="0" w:firstLineChars="0"/>
              <w:jc w:val="center"/>
            </w:pPr>
          </w:p>
        </w:tc>
      </w:tr>
      <w:tr w14:paraId="0010E6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599" w:type="dxa"/>
            <w:vMerge w:val="continue"/>
            <w:tcBorders>
              <w:left w:val="single" w:color="000000" w:sz="4" w:space="0"/>
              <w:right w:val="single" w:color="000000" w:sz="4" w:space="0"/>
            </w:tcBorders>
            <w:noWrap w:val="0"/>
            <w:tcMar>
              <w:left w:w="108" w:type="dxa"/>
              <w:right w:w="108" w:type="dxa"/>
            </w:tcMar>
            <w:vAlign w:val="center"/>
          </w:tcPr>
          <w:p w14:paraId="325AD8F9">
            <w:pPr>
              <w:snapToGrid w:val="0"/>
              <w:ind w:left="0" w:leftChars="0" w:right="0" w:rightChars="0" w:firstLine="0" w:firstLineChars="0"/>
              <w:jc w:val="center"/>
            </w:pPr>
          </w:p>
        </w:tc>
        <w:tc>
          <w:tcPr>
            <w:tcW w:w="662" w:type="dxa"/>
            <w:vMerge w:val="restart"/>
            <w:tcBorders>
              <w:left w:val="single" w:color="000000" w:sz="4" w:space="0"/>
              <w:right w:val="single" w:color="000000" w:sz="4" w:space="0"/>
            </w:tcBorders>
            <w:noWrap w:val="0"/>
            <w:tcMar>
              <w:left w:w="108" w:type="dxa"/>
              <w:right w:w="108" w:type="dxa"/>
            </w:tcMar>
            <w:vAlign w:val="center"/>
          </w:tcPr>
          <w:p w14:paraId="657288ED">
            <w:pPr>
              <w:keepNext w:val="0"/>
              <w:keepLines w:val="0"/>
              <w:widowControl/>
              <w:suppressLineNumbers w:val="0"/>
              <w:jc w:val="center"/>
              <w:textAlignment w:val="center"/>
            </w:pPr>
            <w:r>
              <w:rPr>
                <w:rFonts w:hint="default" w:ascii="Times New Roman" w:hAnsi="Times New Roman" w:eastAsia="宋体" w:cs="Times New Roman"/>
                <w:b w:val="0"/>
                <w:bCs/>
                <w:i w:val="0"/>
                <w:iCs w:val="0"/>
                <w:color w:val="000000"/>
                <w:kern w:val="0"/>
                <w:sz w:val="21"/>
                <w:szCs w:val="21"/>
                <w:u w:val="none"/>
                <w:lang w:val="en-US" w:eastAsia="zh-CN" w:bidi="ar"/>
              </w:rPr>
              <w:t>竖炉焙烧</w:t>
            </w:r>
          </w:p>
        </w:tc>
        <w:tc>
          <w:tcPr>
            <w:tcW w:w="662" w:type="dxa"/>
            <w:vMerge w:val="restart"/>
            <w:tcBorders>
              <w:top w:val="single" w:color="000000" w:sz="4" w:space="0"/>
              <w:left w:val="single" w:color="000000" w:sz="4" w:space="0"/>
              <w:right w:val="single" w:color="000000" w:sz="4" w:space="0"/>
            </w:tcBorders>
            <w:noWrap w:val="0"/>
            <w:tcMar>
              <w:left w:w="108" w:type="dxa"/>
              <w:right w:w="108" w:type="dxa"/>
            </w:tcMar>
            <w:vAlign w:val="center"/>
          </w:tcPr>
          <w:p w14:paraId="58711BFA">
            <w:pPr>
              <w:jc w:val="center"/>
              <w:rPr>
                <w:rFonts w:hint="default" w:eastAsia="宋体"/>
                <w:lang w:val="en-US" w:eastAsia="zh-CN"/>
              </w:rPr>
            </w:pPr>
            <w:r>
              <w:rPr>
                <w:rFonts w:hint="eastAsia"/>
                <w:lang w:val="en-US" w:eastAsia="zh-CN"/>
              </w:rPr>
              <w:t>180000</w:t>
            </w:r>
          </w:p>
        </w:tc>
        <w:tc>
          <w:tcPr>
            <w:tcW w:w="410"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3C3F74E8">
            <w:pPr>
              <w:jc w:val="center"/>
            </w:pPr>
            <w:r>
              <w:rPr>
                <w:rFonts w:hint="default" w:ascii="Times New Roman" w:hAnsi="Times New Roman" w:cs="Times New Roman"/>
                <w:b w:val="0"/>
                <w:bCs/>
                <w:sz w:val="21"/>
                <w:szCs w:val="21"/>
              </w:rPr>
              <w:t>颗粒物</w:t>
            </w:r>
          </w:p>
        </w:tc>
        <w:tc>
          <w:tcPr>
            <w:tcW w:w="473"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6C8F38B6">
            <w:pPr>
              <w:snapToGrid w:val="0"/>
              <w:ind w:left="0" w:leftChars="0" w:right="0" w:rightChars="0" w:firstLine="0" w:firstLineChars="0"/>
              <w:jc w:val="center"/>
              <w:rPr>
                <w:rFonts w:ascii="宋体" w:hAnsi="宋体" w:cs="宋体"/>
                <w:sz w:val="24"/>
                <w:szCs w:val="24"/>
                <w:lang w:val="en-US" w:eastAsia="zh-CN" w:bidi="ar-SA"/>
              </w:rPr>
            </w:pPr>
            <w:r>
              <w:t>系数法</w:t>
            </w:r>
          </w:p>
        </w:tc>
        <w:tc>
          <w:tcPr>
            <w:tcW w:w="718" w:type="dxa"/>
            <w:tcBorders>
              <w:top w:val="single" w:color="000000" w:sz="4" w:space="0"/>
              <w:left w:val="single" w:color="000000" w:sz="4" w:space="0"/>
              <w:bottom w:val="single" w:color="000000" w:sz="4" w:space="0"/>
              <w:right w:val="single" w:color="000000" w:sz="4" w:space="0"/>
            </w:tcBorders>
            <w:shd w:val="clear" w:color="auto" w:fill="auto"/>
            <w:noWrap w:val="0"/>
            <w:tcMar>
              <w:left w:w="108" w:type="dxa"/>
              <w:right w:w="108" w:type="dxa"/>
            </w:tcMar>
            <w:vAlign w:val="center"/>
          </w:tcPr>
          <w:p w14:paraId="44382A06">
            <w:pPr>
              <w:keepNext w:val="0"/>
              <w:keepLines w:val="0"/>
              <w:widowControl/>
              <w:suppressLineNumbers w:val="0"/>
              <w:jc w:val="center"/>
              <w:textAlignment w:val="center"/>
              <w:rPr>
                <w:rFonts w:ascii="宋体" w:hAnsi="宋体" w:eastAsia="宋体" w:cs="宋体"/>
                <w:sz w:val="24"/>
                <w:szCs w:val="24"/>
                <w:lang w:val="en-US" w:eastAsia="zh-CN" w:bidi="ar-SA"/>
              </w:rPr>
            </w:pPr>
            <w:r>
              <w:rPr>
                <w:rFonts w:hint="default" w:ascii="Times New Roman" w:hAnsi="Times New Roman" w:eastAsia="宋体" w:cs="Times New Roman"/>
                <w:b w:val="0"/>
                <w:bCs w:val="0"/>
                <w:i w:val="0"/>
                <w:iCs w:val="0"/>
                <w:color w:val="000000"/>
                <w:kern w:val="0"/>
                <w:sz w:val="21"/>
                <w:szCs w:val="21"/>
                <w:u w:val="none"/>
                <w:lang w:val="en-US" w:eastAsia="zh-CN" w:bidi="ar"/>
              </w:rPr>
              <w:t>2000</w:t>
            </w:r>
          </w:p>
        </w:tc>
        <w:tc>
          <w:tcPr>
            <w:tcW w:w="798" w:type="dxa"/>
            <w:tcBorders>
              <w:top w:val="single" w:color="000000" w:sz="4" w:space="0"/>
              <w:left w:val="single" w:color="000000" w:sz="4" w:space="0"/>
              <w:bottom w:val="single" w:color="000000" w:sz="4" w:space="0"/>
              <w:right w:val="single" w:color="000000" w:sz="4" w:space="0"/>
            </w:tcBorders>
            <w:shd w:val="clear" w:color="auto" w:fill="auto"/>
            <w:noWrap w:val="0"/>
            <w:tcMar>
              <w:left w:w="108" w:type="dxa"/>
              <w:right w:w="108" w:type="dxa"/>
            </w:tcMar>
            <w:vAlign w:val="center"/>
          </w:tcPr>
          <w:p w14:paraId="23D32A38">
            <w:pPr>
              <w:keepNext w:val="0"/>
              <w:keepLines w:val="0"/>
              <w:widowControl/>
              <w:suppressLineNumbers w:val="0"/>
              <w:jc w:val="center"/>
              <w:textAlignment w:val="center"/>
              <w:rPr>
                <w:rFonts w:ascii="宋体" w:hAnsi="宋体" w:eastAsia="宋体" w:cs="宋体"/>
                <w:sz w:val="24"/>
                <w:szCs w:val="24"/>
                <w:lang w:val="en-US" w:eastAsia="zh-CN" w:bidi="ar-SA"/>
              </w:rPr>
            </w:pPr>
            <w:r>
              <w:rPr>
                <w:rFonts w:hint="default" w:ascii="Times New Roman" w:hAnsi="Times New Roman" w:eastAsia="宋体" w:cs="Times New Roman"/>
                <w:b w:val="0"/>
                <w:bCs/>
                <w:i w:val="0"/>
                <w:iCs w:val="0"/>
                <w:color w:val="000000"/>
                <w:kern w:val="0"/>
                <w:sz w:val="21"/>
                <w:szCs w:val="21"/>
                <w:u w:val="none"/>
                <w:lang w:val="en-US" w:eastAsia="zh-CN" w:bidi="ar"/>
              </w:rPr>
              <w:t>360</w:t>
            </w:r>
          </w:p>
        </w:tc>
        <w:tc>
          <w:tcPr>
            <w:tcW w:w="790" w:type="dxa"/>
            <w:tcBorders>
              <w:top w:val="single" w:color="000000" w:sz="4" w:space="0"/>
              <w:left w:val="single" w:color="000000" w:sz="4" w:space="0"/>
              <w:bottom w:val="single" w:color="000000" w:sz="4" w:space="0"/>
              <w:right w:val="single" w:color="000000" w:sz="4" w:space="0"/>
            </w:tcBorders>
            <w:shd w:val="clear" w:color="auto" w:fill="auto"/>
            <w:noWrap w:val="0"/>
            <w:tcMar>
              <w:left w:w="108" w:type="dxa"/>
              <w:right w:w="108" w:type="dxa"/>
            </w:tcMar>
            <w:vAlign w:val="center"/>
          </w:tcPr>
          <w:p w14:paraId="197646C1">
            <w:pPr>
              <w:keepNext w:val="0"/>
              <w:keepLines w:val="0"/>
              <w:widowControl/>
              <w:suppressLineNumbers w:val="0"/>
              <w:jc w:val="center"/>
              <w:textAlignment w:val="center"/>
              <w:rPr>
                <w:rFonts w:ascii="宋体" w:hAnsi="宋体" w:eastAsia="宋体" w:cs="宋体"/>
                <w:sz w:val="24"/>
                <w:szCs w:val="24"/>
                <w:lang w:val="en-US" w:eastAsia="zh-CN" w:bidi="ar-SA"/>
              </w:rPr>
            </w:pPr>
            <w:r>
              <w:rPr>
                <w:rFonts w:hint="eastAsia" w:ascii="宋体" w:hAnsi="宋体" w:eastAsia="宋体" w:cs="宋体"/>
                <w:i w:val="0"/>
                <w:iCs w:val="0"/>
                <w:color w:val="000000"/>
                <w:kern w:val="0"/>
                <w:sz w:val="24"/>
                <w:szCs w:val="24"/>
                <w:u w:val="none"/>
                <w:lang w:val="en-US" w:eastAsia="zh-CN" w:bidi="ar"/>
              </w:rPr>
              <w:t>2851.2</w:t>
            </w:r>
          </w:p>
        </w:tc>
        <w:tc>
          <w:tcPr>
            <w:tcW w:w="662" w:type="dxa"/>
            <w:vMerge w:val="restart"/>
            <w:tcBorders>
              <w:top w:val="single" w:color="000000" w:sz="4" w:space="0"/>
              <w:left w:val="single" w:color="000000" w:sz="4" w:space="0"/>
              <w:right w:val="single" w:color="000000" w:sz="4" w:space="0"/>
            </w:tcBorders>
            <w:noWrap w:val="0"/>
            <w:tcMar>
              <w:left w:w="108" w:type="dxa"/>
              <w:right w:w="108" w:type="dxa"/>
            </w:tcMar>
            <w:vAlign w:val="center"/>
          </w:tcPr>
          <w:p w14:paraId="6F4801DD">
            <w:pPr>
              <w:jc w:val="center"/>
            </w:pPr>
            <w:r>
              <w:rPr>
                <w:rFonts w:hint="default" w:ascii="Times New Roman" w:hAnsi="Times New Roman" w:cs="Times New Roman"/>
                <w:b w:val="0"/>
                <w:bCs/>
                <w:sz w:val="21"/>
                <w:szCs w:val="21"/>
              </w:rPr>
              <w:t>电除尘器+</w:t>
            </w:r>
            <w:r>
              <w:rPr>
                <w:rFonts w:hint="default" w:ascii="Times New Roman" w:hAnsi="Times New Roman" w:cs="Times New Roman"/>
                <w:b w:val="0"/>
                <w:bCs/>
                <w:sz w:val="21"/>
                <w:szCs w:val="21"/>
                <w:lang w:val="en-US" w:eastAsia="zh-CN"/>
              </w:rPr>
              <w:t>石灰石-石膏脱硫</w:t>
            </w:r>
            <w:r>
              <w:rPr>
                <w:rFonts w:hint="default" w:ascii="Times New Roman" w:hAnsi="Times New Roman" w:cs="Times New Roman"/>
                <w:b w:val="0"/>
                <w:bCs/>
                <w:sz w:val="21"/>
                <w:szCs w:val="21"/>
              </w:rPr>
              <w:t>+SCR脱硝</w:t>
            </w:r>
          </w:p>
        </w:tc>
        <w:tc>
          <w:tcPr>
            <w:tcW w:w="662" w:type="dxa"/>
            <w:vMerge w:val="restart"/>
            <w:tcBorders>
              <w:top w:val="single" w:color="000000" w:sz="4" w:space="0"/>
              <w:left w:val="single" w:color="000000" w:sz="4" w:space="0"/>
              <w:right w:val="single" w:color="000000" w:sz="4" w:space="0"/>
            </w:tcBorders>
            <w:noWrap w:val="0"/>
            <w:tcMar>
              <w:left w:w="108" w:type="dxa"/>
              <w:right w:w="108" w:type="dxa"/>
            </w:tcMar>
            <w:vAlign w:val="center"/>
          </w:tcPr>
          <w:p w14:paraId="22F21917">
            <w:pPr>
              <w:jc w:val="center"/>
            </w:pPr>
            <w:r>
              <w:rPr>
                <w:rFonts w:hint="default" w:ascii="Times New Roman" w:hAnsi="Times New Roman" w:cs="Times New Roman"/>
                <w:b w:val="0"/>
                <w:bCs/>
                <w:sz w:val="21"/>
                <w:szCs w:val="21"/>
                <w:lang w:val="en-US" w:eastAsia="zh-CN"/>
              </w:rPr>
              <w:t>180000</w:t>
            </w:r>
          </w:p>
        </w:tc>
        <w:tc>
          <w:tcPr>
            <w:tcW w:w="473"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0E9E53DB">
            <w:pPr>
              <w:snapToGrid w:val="0"/>
              <w:ind w:left="0" w:leftChars="0" w:right="0" w:rightChars="0" w:firstLine="0" w:firstLineChars="0"/>
              <w:jc w:val="center"/>
              <w:rPr>
                <w:rFonts w:hint="default" w:eastAsia="宋体"/>
                <w:lang w:val="en-US" w:eastAsia="zh-CN"/>
              </w:rPr>
            </w:pPr>
            <w:r>
              <w:rPr>
                <w:rFonts w:hint="eastAsia"/>
                <w:lang w:val="en-US" w:eastAsia="zh-CN"/>
              </w:rPr>
              <w:t>99</w:t>
            </w:r>
          </w:p>
        </w:tc>
        <w:tc>
          <w:tcPr>
            <w:tcW w:w="594"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301F73EB">
            <w:pPr>
              <w:keepNext w:val="0"/>
              <w:keepLines w:val="0"/>
              <w:widowControl/>
              <w:suppressLineNumbers w:val="0"/>
              <w:jc w:val="center"/>
              <w:textAlignment w:val="center"/>
            </w:pPr>
            <w:r>
              <w:rPr>
                <w:rFonts w:hint="eastAsia" w:ascii="宋体" w:hAnsi="宋体" w:eastAsia="宋体" w:cs="宋体"/>
                <w:i w:val="0"/>
                <w:iCs w:val="0"/>
                <w:color w:val="000000"/>
                <w:kern w:val="0"/>
                <w:sz w:val="24"/>
                <w:szCs w:val="24"/>
                <w:u w:val="none"/>
                <w:lang w:val="en-US" w:eastAsia="zh-CN" w:bidi="ar"/>
              </w:rPr>
              <w:t>10</w:t>
            </w:r>
          </w:p>
        </w:tc>
        <w:tc>
          <w:tcPr>
            <w:tcW w:w="883"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1E0BEB37">
            <w:pPr>
              <w:keepNext w:val="0"/>
              <w:keepLines w:val="0"/>
              <w:widowControl/>
              <w:suppressLineNumbers w:val="0"/>
              <w:jc w:val="center"/>
              <w:textAlignment w:val="center"/>
            </w:pPr>
            <w:r>
              <w:rPr>
                <w:rFonts w:hint="default" w:ascii="Times New Roman" w:hAnsi="Times New Roman" w:eastAsia="宋体" w:cs="Times New Roman"/>
                <w:i w:val="0"/>
                <w:iCs w:val="0"/>
                <w:color w:val="000000"/>
                <w:kern w:val="0"/>
                <w:sz w:val="24"/>
                <w:szCs w:val="24"/>
                <w:u w:val="none"/>
                <w:lang w:val="en-US" w:eastAsia="zh-CN" w:bidi="ar"/>
              </w:rPr>
              <w:t>1.8</w:t>
            </w:r>
          </w:p>
        </w:tc>
        <w:tc>
          <w:tcPr>
            <w:tcW w:w="774" w:type="dxa"/>
            <w:tcBorders>
              <w:top w:val="single" w:color="000000" w:sz="4" w:space="0"/>
              <w:left w:val="single" w:color="000000" w:sz="4" w:space="0"/>
              <w:bottom w:val="single" w:color="000000" w:sz="4" w:space="0"/>
              <w:right w:val="single" w:color="000000" w:sz="4" w:space="0"/>
            </w:tcBorders>
            <w:shd w:val="clear" w:color="auto" w:fill="auto"/>
            <w:noWrap w:val="0"/>
            <w:tcMar>
              <w:left w:w="108" w:type="dxa"/>
              <w:right w:w="108" w:type="dxa"/>
            </w:tcMar>
            <w:vAlign w:val="center"/>
          </w:tcPr>
          <w:p w14:paraId="33275ADF">
            <w:pPr>
              <w:keepNext w:val="0"/>
              <w:keepLines w:val="0"/>
              <w:widowControl/>
              <w:suppressLineNumbers w:val="0"/>
              <w:jc w:val="center"/>
              <w:textAlignment w:val="center"/>
              <w:rPr>
                <w:rFonts w:ascii="宋体" w:hAnsi="宋体" w:eastAsia="宋体" w:cs="宋体"/>
                <w:sz w:val="24"/>
                <w:szCs w:val="24"/>
                <w:lang w:val="en-US" w:eastAsia="zh-CN" w:bidi="ar-SA"/>
              </w:rPr>
            </w:pPr>
            <w:r>
              <w:rPr>
                <w:rFonts w:hint="eastAsia" w:ascii="宋体" w:hAnsi="宋体" w:eastAsia="宋体" w:cs="宋体"/>
                <w:i w:val="0"/>
                <w:iCs w:val="0"/>
                <w:color w:val="000000"/>
                <w:kern w:val="0"/>
                <w:sz w:val="24"/>
                <w:szCs w:val="24"/>
                <w:u w:val="none"/>
                <w:lang w:val="en-US" w:eastAsia="zh-CN" w:bidi="ar"/>
              </w:rPr>
              <w:t>14.256</w:t>
            </w:r>
          </w:p>
        </w:tc>
        <w:tc>
          <w:tcPr>
            <w:tcW w:w="730" w:type="dxa"/>
            <w:vMerge w:val="restart"/>
            <w:tcBorders>
              <w:top w:val="single" w:color="000000" w:sz="4" w:space="0"/>
              <w:left w:val="single" w:color="000000" w:sz="4" w:space="0"/>
              <w:right w:val="single" w:color="000000" w:sz="4" w:space="0"/>
            </w:tcBorders>
            <w:noWrap w:val="0"/>
            <w:tcMar>
              <w:left w:w="108" w:type="dxa"/>
              <w:right w:w="108" w:type="dxa"/>
            </w:tcMar>
            <w:vAlign w:val="center"/>
          </w:tcPr>
          <w:p w14:paraId="38BA4097">
            <w:pPr>
              <w:pStyle w:val="720"/>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pPr>
            <w:r>
              <w:rPr>
                <w:rFonts w:hint="default" w:ascii="Times New Roman" w:hAnsi="Times New Roman" w:eastAsia="宋体" w:cs="Times New Roman"/>
                <w:b w:val="0"/>
                <w:bCs/>
                <w:color w:val="auto"/>
                <w:sz w:val="21"/>
                <w:szCs w:val="21"/>
                <w:highlight w:val="none"/>
                <w:lang w:val="en-US" w:eastAsia="zh-CN"/>
              </w:rPr>
              <w:t>60</w:t>
            </w:r>
          </w:p>
        </w:tc>
        <w:tc>
          <w:tcPr>
            <w:tcW w:w="738" w:type="dxa"/>
            <w:vMerge w:val="restart"/>
            <w:tcBorders>
              <w:top w:val="single" w:color="000000" w:sz="4" w:space="0"/>
              <w:left w:val="single" w:color="000000" w:sz="4" w:space="0"/>
              <w:right w:val="single" w:color="000000" w:sz="4" w:space="0"/>
            </w:tcBorders>
            <w:noWrap w:val="0"/>
            <w:tcMar>
              <w:left w:w="108" w:type="dxa"/>
              <w:right w:w="108" w:type="dxa"/>
            </w:tcMar>
            <w:vAlign w:val="center"/>
          </w:tcPr>
          <w:p w14:paraId="422E0753">
            <w:pPr>
              <w:pStyle w:val="720"/>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pPr>
            <w:r>
              <w:rPr>
                <w:rFonts w:hint="default" w:ascii="Times New Roman" w:hAnsi="Times New Roman" w:eastAsia="宋体" w:cs="Times New Roman"/>
                <w:b w:val="0"/>
                <w:bCs/>
                <w:sz w:val="21"/>
                <w:szCs w:val="21"/>
                <w:lang w:val="en-US" w:eastAsia="zh-CN"/>
              </w:rPr>
              <w:t>1.8</w:t>
            </w:r>
          </w:p>
        </w:tc>
        <w:tc>
          <w:tcPr>
            <w:tcW w:w="718" w:type="dxa"/>
            <w:vMerge w:val="restart"/>
            <w:tcBorders>
              <w:top w:val="single" w:color="000000" w:sz="4" w:space="0"/>
              <w:left w:val="single" w:color="000000" w:sz="4" w:space="0"/>
              <w:right w:val="single" w:color="000000" w:sz="4" w:space="0"/>
            </w:tcBorders>
            <w:noWrap w:val="0"/>
            <w:tcMar>
              <w:left w:w="108" w:type="dxa"/>
              <w:right w:w="108" w:type="dxa"/>
            </w:tcMar>
            <w:vAlign w:val="center"/>
          </w:tcPr>
          <w:p w14:paraId="04DF757A">
            <w:pPr>
              <w:pStyle w:val="720"/>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pPr>
            <w:r>
              <w:rPr>
                <w:rFonts w:hint="default" w:ascii="Times New Roman" w:hAnsi="Times New Roman" w:eastAsia="宋体" w:cs="Times New Roman"/>
                <w:b w:val="0"/>
                <w:bCs/>
                <w:spacing w:val="-2"/>
                <w:sz w:val="21"/>
                <w:szCs w:val="21"/>
                <w:lang w:val="en-US" w:eastAsia="zh-CN"/>
              </w:rPr>
              <w:t>120</w:t>
            </w:r>
          </w:p>
        </w:tc>
        <w:tc>
          <w:tcPr>
            <w:tcW w:w="738" w:type="dxa"/>
            <w:vMerge w:val="restart"/>
            <w:tcBorders>
              <w:top w:val="single" w:color="000000" w:sz="4" w:space="0"/>
              <w:left w:val="single" w:color="000000" w:sz="4" w:space="0"/>
              <w:right w:val="single" w:color="000000" w:sz="4" w:space="0"/>
            </w:tcBorders>
            <w:noWrap w:val="0"/>
            <w:tcMar>
              <w:left w:w="108" w:type="dxa"/>
              <w:right w:w="108" w:type="dxa"/>
            </w:tcMar>
            <w:vAlign w:val="center"/>
          </w:tcPr>
          <w:p w14:paraId="4F98E9E0">
            <w:pPr>
              <w:jc w:val="center"/>
            </w:pPr>
            <w:r>
              <w:rPr>
                <w:rFonts w:hint="default" w:ascii="Times New Roman" w:hAnsi="Times New Roman" w:cs="Times New Roman"/>
                <w:b w:val="0"/>
                <w:bCs/>
                <w:sz w:val="21"/>
                <w:szCs w:val="21"/>
                <w:lang w:val="en-US" w:eastAsia="zh-CN"/>
              </w:rPr>
              <w:t>DA011</w:t>
            </w:r>
          </w:p>
        </w:tc>
        <w:tc>
          <w:tcPr>
            <w:tcW w:w="751" w:type="dxa"/>
            <w:vMerge w:val="restart"/>
            <w:tcBorders>
              <w:top w:val="single" w:color="000000" w:sz="4" w:space="0"/>
              <w:left w:val="single" w:color="000000" w:sz="4" w:space="0"/>
              <w:right w:val="single" w:color="000000" w:sz="4" w:space="0"/>
            </w:tcBorders>
            <w:noWrap w:val="0"/>
            <w:tcMar>
              <w:left w:w="108" w:type="dxa"/>
              <w:right w:w="108" w:type="dxa"/>
            </w:tcMar>
            <w:vAlign w:val="center"/>
          </w:tcPr>
          <w:p w14:paraId="320782B2">
            <w:pPr>
              <w:snapToGrid w:val="0"/>
              <w:ind w:left="0" w:leftChars="0" w:right="0" w:rightChars="0" w:firstLine="0" w:firstLineChars="0"/>
              <w:jc w:val="center"/>
            </w:pPr>
            <w:r>
              <w:t>7920</w:t>
            </w:r>
          </w:p>
        </w:tc>
        <w:tc>
          <w:tcPr>
            <w:tcW w:w="473" w:type="dxa"/>
            <w:vMerge w:val="restart"/>
            <w:tcBorders>
              <w:top w:val="single" w:color="000000" w:sz="4" w:space="0"/>
              <w:left w:val="single" w:color="000000" w:sz="4" w:space="0"/>
              <w:right w:val="single" w:color="000000" w:sz="4" w:space="0"/>
            </w:tcBorders>
            <w:noWrap w:val="0"/>
            <w:tcMar>
              <w:left w:w="108" w:type="dxa"/>
              <w:right w:w="108" w:type="dxa"/>
            </w:tcMar>
            <w:vAlign w:val="center"/>
          </w:tcPr>
          <w:p w14:paraId="5DACDEAC">
            <w:pPr>
              <w:snapToGrid w:val="0"/>
              <w:ind w:left="0" w:leftChars="0" w:right="0" w:rightChars="0" w:firstLine="0" w:firstLineChars="0"/>
              <w:jc w:val="center"/>
            </w:pPr>
            <w:r>
              <w:t>连续</w:t>
            </w:r>
          </w:p>
        </w:tc>
      </w:tr>
      <w:tr w14:paraId="5425DC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599" w:type="dxa"/>
            <w:vMerge w:val="continue"/>
            <w:tcBorders>
              <w:left w:val="single" w:color="000000" w:sz="4" w:space="0"/>
              <w:right w:val="single" w:color="000000" w:sz="4" w:space="0"/>
            </w:tcBorders>
            <w:noWrap w:val="0"/>
            <w:tcMar>
              <w:left w:w="108" w:type="dxa"/>
              <w:right w:w="108" w:type="dxa"/>
            </w:tcMar>
            <w:vAlign w:val="center"/>
          </w:tcPr>
          <w:p w14:paraId="06500ABC">
            <w:pPr>
              <w:snapToGrid w:val="0"/>
              <w:ind w:left="0" w:leftChars="0" w:right="0" w:rightChars="0" w:firstLine="0" w:firstLineChars="0"/>
              <w:jc w:val="center"/>
            </w:pPr>
          </w:p>
        </w:tc>
        <w:tc>
          <w:tcPr>
            <w:tcW w:w="662" w:type="dxa"/>
            <w:vMerge w:val="continue"/>
            <w:tcBorders>
              <w:left w:val="single" w:color="000000" w:sz="4" w:space="0"/>
              <w:right w:val="single" w:color="000000" w:sz="4" w:space="0"/>
            </w:tcBorders>
            <w:noWrap w:val="0"/>
            <w:tcMar>
              <w:left w:w="108" w:type="dxa"/>
              <w:right w:w="108" w:type="dxa"/>
            </w:tcMar>
            <w:vAlign w:val="center"/>
          </w:tcPr>
          <w:p w14:paraId="6BC2E06C">
            <w:pPr>
              <w:snapToGrid w:val="0"/>
              <w:ind w:left="0" w:leftChars="0" w:right="0" w:rightChars="0" w:firstLine="0" w:firstLineChars="0"/>
              <w:jc w:val="center"/>
            </w:pPr>
          </w:p>
        </w:tc>
        <w:tc>
          <w:tcPr>
            <w:tcW w:w="662" w:type="dxa"/>
            <w:vMerge w:val="continue"/>
            <w:tcBorders>
              <w:left w:val="single" w:color="000000" w:sz="4" w:space="0"/>
              <w:right w:val="single" w:color="000000" w:sz="4" w:space="0"/>
            </w:tcBorders>
            <w:noWrap w:val="0"/>
            <w:tcMar>
              <w:left w:w="108" w:type="dxa"/>
              <w:right w:w="108" w:type="dxa"/>
            </w:tcMar>
            <w:vAlign w:val="center"/>
          </w:tcPr>
          <w:p w14:paraId="34CF6BD6">
            <w:pPr>
              <w:keepNext w:val="0"/>
              <w:keepLines w:val="0"/>
              <w:widowControl/>
              <w:suppressLineNumbers w:val="0"/>
              <w:jc w:val="center"/>
              <w:textAlignment w:val="center"/>
            </w:pPr>
          </w:p>
        </w:tc>
        <w:tc>
          <w:tcPr>
            <w:tcW w:w="410"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6ADE0D38">
            <w:pPr>
              <w:jc w:val="center"/>
            </w:pPr>
            <w:r>
              <w:rPr>
                <w:rFonts w:hint="default" w:ascii="Times New Roman" w:hAnsi="Times New Roman" w:cs="Times New Roman"/>
                <w:b w:val="0"/>
                <w:bCs/>
                <w:sz w:val="21"/>
                <w:szCs w:val="21"/>
              </w:rPr>
              <w:t>SO</w:t>
            </w:r>
            <w:r>
              <w:rPr>
                <w:rFonts w:hint="default" w:ascii="Times New Roman" w:hAnsi="Times New Roman" w:cs="Times New Roman"/>
                <w:b w:val="0"/>
                <w:bCs/>
                <w:sz w:val="21"/>
                <w:szCs w:val="21"/>
                <w:vertAlign w:val="subscript"/>
              </w:rPr>
              <w:t>2</w:t>
            </w:r>
          </w:p>
        </w:tc>
        <w:tc>
          <w:tcPr>
            <w:tcW w:w="473"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07358373">
            <w:pPr>
              <w:snapToGrid w:val="0"/>
              <w:ind w:left="0" w:leftChars="0" w:right="0" w:rightChars="0" w:firstLine="0" w:firstLineChars="0"/>
              <w:jc w:val="center"/>
              <w:rPr>
                <w:rFonts w:ascii="宋体" w:hAnsi="宋体" w:cs="宋体"/>
                <w:sz w:val="24"/>
                <w:szCs w:val="24"/>
                <w:lang w:val="en-US" w:eastAsia="zh-CN" w:bidi="ar-SA"/>
              </w:rPr>
            </w:pPr>
            <w:r>
              <w:t>物料衡算</w:t>
            </w:r>
          </w:p>
        </w:tc>
        <w:tc>
          <w:tcPr>
            <w:tcW w:w="718" w:type="dxa"/>
            <w:tcBorders>
              <w:top w:val="single" w:color="000000" w:sz="4" w:space="0"/>
              <w:left w:val="single" w:color="000000" w:sz="4" w:space="0"/>
              <w:bottom w:val="single" w:color="000000" w:sz="4" w:space="0"/>
              <w:right w:val="single" w:color="000000" w:sz="4" w:space="0"/>
            </w:tcBorders>
            <w:shd w:val="clear" w:color="auto" w:fill="auto"/>
            <w:noWrap w:val="0"/>
            <w:tcMar>
              <w:left w:w="108" w:type="dxa"/>
              <w:right w:w="108" w:type="dxa"/>
            </w:tcMar>
            <w:vAlign w:val="center"/>
          </w:tcPr>
          <w:p w14:paraId="47448A76">
            <w:pPr>
              <w:keepNext w:val="0"/>
              <w:keepLines w:val="0"/>
              <w:widowControl/>
              <w:suppressLineNumbers w:val="0"/>
              <w:jc w:val="center"/>
              <w:textAlignment w:val="center"/>
              <w:rPr>
                <w:rFonts w:ascii="宋体" w:hAnsi="宋体" w:eastAsia="宋体" w:cs="宋体"/>
                <w:sz w:val="24"/>
                <w:szCs w:val="24"/>
                <w:lang w:val="en-US" w:eastAsia="zh-CN" w:bidi="ar-SA"/>
              </w:rPr>
            </w:pPr>
            <w:r>
              <w:rPr>
                <w:rFonts w:hint="default" w:ascii="Times New Roman" w:hAnsi="Times New Roman" w:eastAsia="宋体" w:cs="Times New Roman"/>
                <w:b w:val="0"/>
                <w:bCs w:val="0"/>
                <w:i w:val="0"/>
                <w:iCs w:val="0"/>
                <w:color w:val="000000"/>
                <w:kern w:val="0"/>
                <w:sz w:val="21"/>
                <w:szCs w:val="21"/>
                <w:u w:val="none"/>
                <w:lang w:val="en-US" w:eastAsia="zh-CN" w:bidi="ar"/>
              </w:rPr>
              <w:t>327.78</w:t>
            </w:r>
          </w:p>
        </w:tc>
        <w:tc>
          <w:tcPr>
            <w:tcW w:w="798" w:type="dxa"/>
            <w:tcBorders>
              <w:top w:val="single" w:color="000000" w:sz="4" w:space="0"/>
              <w:left w:val="single" w:color="000000" w:sz="4" w:space="0"/>
              <w:bottom w:val="single" w:color="000000" w:sz="4" w:space="0"/>
              <w:right w:val="single" w:color="000000" w:sz="4" w:space="0"/>
            </w:tcBorders>
            <w:shd w:val="clear" w:color="auto" w:fill="auto"/>
            <w:noWrap w:val="0"/>
            <w:tcMar>
              <w:left w:w="108" w:type="dxa"/>
              <w:right w:w="108" w:type="dxa"/>
            </w:tcMar>
            <w:vAlign w:val="center"/>
          </w:tcPr>
          <w:p w14:paraId="62DCD114">
            <w:pPr>
              <w:keepNext w:val="0"/>
              <w:keepLines w:val="0"/>
              <w:widowControl/>
              <w:suppressLineNumbers w:val="0"/>
              <w:jc w:val="center"/>
              <w:textAlignment w:val="center"/>
              <w:rPr>
                <w:rFonts w:ascii="宋体" w:hAnsi="宋体" w:eastAsia="宋体" w:cs="宋体"/>
                <w:sz w:val="24"/>
                <w:szCs w:val="24"/>
                <w:lang w:val="en-US" w:eastAsia="zh-CN" w:bidi="ar-SA"/>
              </w:rPr>
            </w:pPr>
            <w:r>
              <w:rPr>
                <w:rFonts w:hint="default" w:ascii="Times New Roman" w:hAnsi="Times New Roman" w:eastAsia="宋体" w:cs="Times New Roman"/>
                <w:b w:val="0"/>
                <w:bCs/>
                <w:i w:val="0"/>
                <w:iCs w:val="0"/>
                <w:color w:val="000000"/>
                <w:kern w:val="0"/>
                <w:sz w:val="21"/>
                <w:szCs w:val="21"/>
                <w:u w:val="none"/>
                <w:lang w:val="en-US" w:eastAsia="zh-CN" w:bidi="ar"/>
              </w:rPr>
              <w:t>88.5</w:t>
            </w:r>
          </w:p>
        </w:tc>
        <w:tc>
          <w:tcPr>
            <w:tcW w:w="790" w:type="dxa"/>
            <w:tcBorders>
              <w:top w:val="single" w:color="000000" w:sz="4" w:space="0"/>
              <w:left w:val="single" w:color="000000" w:sz="4" w:space="0"/>
              <w:bottom w:val="single" w:color="000000" w:sz="4" w:space="0"/>
              <w:right w:val="single" w:color="000000" w:sz="4" w:space="0"/>
            </w:tcBorders>
            <w:shd w:val="clear" w:color="auto" w:fill="auto"/>
            <w:noWrap w:val="0"/>
            <w:tcMar>
              <w:left w:w="108" w:type="dxa"/>
              <w:right w:w="108" w:type="dxa"/>
            </w:tcMar>
            <w:vAlign w:val="center"/>
          </w:tcPr>
          <w:p w14:paraId="0D8EE261">
            <w:pPr>
              <w:keepNext w:val="0"/>
              <w:keepLines w:val="0"/>
              <w:widowControl/>
              <w:suppressLineNumbers w:val="0"/>
              <w:jc w:val="center"/>
              <w:textAlignment w:val="center"/>
              <w:rPr>
                <w:rFonts w:ascii="宋体" w:hAnsi="宋体" w:eastAsia="宋体" w:cs="宋体"/>
                <w:sz w:val="24"/>
                <w:szCs w:val="24"/>
                <w:lang w:val="en-US" w:eastAsia="zh-CN" w:bidi="ar-SA"/>
              </w:rPr>
            </w:pPr>
            <w:r>
              <w:rPr>
                <w:rFonts w:hint="eastAsia" w:ascii="宋体" w:hAnsi="宋体" w:eastAsia="宋体" w:cs="宋体"/>
                <w:i w:val="0"/>
                <w:iCs w:val="0"/>
                <w:color w:val="000000"/>
                <w:kern w:val="0"/>
                <w:sz w:val="24"/>
                <w:szCs w:val="24"/>
                <w:u w:val="none"/>
                <w:lang w:val="en-US" w:eastAsia="zh-CN" w:bidi="ar"/>
              </w:rPr>
              <w:t>700.92</w:t>
            </w:r>
          </w:p>
        </w:tc>
        <w:tc>
          <w:tcPr>
            <w:tcW w:w="662" w:type="dxa"/>
            <w:vMerge w:val="continue"/>
            <w:tcBorders>
              <w:left w:val="single" w:color="000000" w:sz="4" w:space="0"/>
              <w:right w:val="single" w:color="000000" w:sz="4" w:space="0"/>
            </w:tcBorders>
            <w:noWrap w:val="0"/>
            <w:tcMar>
              <w:left w:w="108" w:type="dxa"/>
              <w:right w:w="108" w:type="dxa"/>
            </w:tcMar>
            <w:vAlign w:val="center"/>
          </w:tcPr>
          <w:p w14:paraId="0CAC2449">
            <w:pPr>
              <w:snapToGrid w:val="0"/>
              <w:ind w:left="0" w:leftChars="0" w:right="0" w:rightChars="0" w:firstLine="0" w:firstLineChars="0"/>
              <w:jc w:val="center"/>
            </w:pPr>
          </w:p>
        </w:tc>
        <w:tc>
          <w:tcPr>
            <w:tcW w:w="662" w:type="dxa"/>
            <w:vMerge w:val="continue"/>
            <w:tcBorders>
              <w:left w:val="single" w:color="000000" w:sz="4" w:space="0"/>
              <w:right w:val="single" w:color="000000" w:sz="4" w:space="0"/>
            </w:tcBorders>
            <w:noWrap w:val="0"/>
            <w:tcMar>
              <w:left w:w="108" w:type="dxa"/>
              <w:right w:w="108" w:type="dxa"/>
            </w:tcMar>
            <w:vAlign w:val="center"/>
          </w:tcPr>
          <w:p w14:paraId="1BACB340">
            <w:pPr>
              <w:snapToGrid w:val="0"/>
              <w:ind w:left="0" w:leftChars="0" w:right="0" w:rightChars="0" w:firstLine="0" w:firstLineChars="0"/>
              <w:jc w:val="cente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tcMar>
              <w:left w:w="108" w:type="dxa"/>
              <w:right w:w="108" w:type="dxa"/>
            </w:tcMar>
            <w:vAlign w:val="center"/>
          </w:tcPr>
          <w:p w14:paraId="19C52642">
            <w:pPr>
              <w:snapToGrid w:val="0"/>
              <w:ind w:left="0" w:leftChars="0" w:right="0" w:rightChars="0" w:firstLine="0" w:firstLineChars="0"/>
              <w:jc w:val="center"/>
              <w:rPr>
                <w:rFonts w:ascii="宋体" w:hAnsi="宋体" w:eastAsia="宋体" w:cs="宋体"/>
                <w:sz w:val="24"/>
                <w:szCs w:val="24"/>
                <w:lang w:val="en-US" w:eastAsia="zh-CN" w:bidi="ar-SA"/>
              </w:rPr>
            </w:pPr>
            <w:r>
              <w:t>95.5</w:t>
            </w:r>
          </w:p>
        </w:tc>
        <w:tc>
          <w:tcPr>
            <w:tcW w:w="594"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6CC66E3C">
            <w:pPr>
              <w:keepNext w:val="0"/>
              <w:keepLines w:val="0"/>
              <w:widowControl/>
              <w:suppressLineNumbers w:val="0"/>
              <w:jc w:val="center"/>
              <w:textAlignment w:val="center"/>
            </w:pPr>
            <w:r>
              <w:rPr>
                <w:rFonts w:hint="eastAsia" w:ascii="宋体" w:hAnsi="宋体" w:eastAsia="宋体" w:cs="宋体"/>
                <w:i w:val="0"/>
                <w:iCs w:val="0"/>
                <w:color w:val="000000"/>
                <w:kern w:val="0"/>
                <w:sz w:val="24"/>
                <w:szCs w:val="24"/>
                <w:u w:val="none"/>
                <w:lang w:val="en-US" w:eastAsia="zh-CN" w:bidi="ar"/>
              </w:rPr>
              <w:t>10.83</w:t>
            </w:r>
          </w:p>
        </w:tc>
        <w:tc>
          <w:tcPr>
            <w:tcW w:w="883"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71B9E2E2">
            <w:pPr>
              <w:keepNext w:val="0"/>
              <w:keepLines w:val="0"/>
              <w:widowControl/>
              <w:suppressLineNumbers w:val="0"/>
              <w:jc w:val="center"/>
              <w:textAlignment w:val="center"/>
            </w:pPr>
            <w:r>
              <w:rPr>
                <w:rFonts w:hint="default" w:ascii="Times New Roman" w:hAnsi="Times New Roman" w:eastAsia="宋体" w:cs="Times New Roman"/>
                <w:i w:val="0"/>
                <w:iCs w:val="0"/>
                <w:color w:val="000000"/>
                <w:kern w:val="0"/>
                <w:sz w:val="24"/>
                <w:szCs w:val="24"/>
                <w:u w:val="none"/>
                <w:lang w:val="en-US" w:eastAsia="zh-CN" w:bidi="ar"/>
              </w:rPr>
              <w:t>1.95</w:t>
            </w:r>
          </w:p>
        </w:tc>
        <w:tc>
          <w:tcPr>
            <w:tcW w:w="774" w:type="dxa"/>
            <w:tcBorders>
              <w:top w:val="single" w:color="000000" w:sz="4" w:space="0"/>
              <w:left w:val="single" w:color="000000" w:sz="4" w:space="0"/>
              <w:bottom w:val="single" w:color="000000" w:sz="4" w:space="0"/>
              <w:right w:val="single" w:color="000000" w:sz="4" w:space="0"/>
            </w:tcBorders>
            <w:shd w:val="clear" w:color="auto" w:fill="auto"/>
            <w:noWrap w:val="0"/>
            <w:tcMar>
              <w:left w:w="108" w:type="dxa"/>
              <w:right w:w="108" w:type="dxa"/>
            </w:tcMar>
            <w:vAlign w:val="center"/>
          </w:tcPr>
          <w:p w14:paraId="68D892EE">
            <w:pPr>
              <w:keepNext w:val="0"/>
              <w:keepLines w:val="0"/>
              <w:widowControl/>
              <w:suppressLineNumbers w:val="0"/>
              <w:jc w:val="center"/>
              <w:textAlignment w:val="center"/>
              <w:rPr>
                <w:rFonts w:ascii="宋体" w:hAnsi="宋体" w:eastAsia="宋体" w:cs="宋体"/>
                <w:sz w:val="24"/>
                <w:szCs w:val="24"/>
                <w:lang w:val="en-US" w:eastAsia="zh-CN" w:bidi="ar-SA"/>
              </w:rPr>
            </w:pPr>
            <w:r>
              <w:rPr>
                <w:rFonts w:hint="eastAsia" w:ascii="宋体" w:hAnsi="宋体" w:eastAsia="宋体" w:cs="宋体"/>
                <w:i w:val="0"/>
                <w:iCs w:val="0"/>
                <w:color w:val="000000"/>
                <w:kern w:val="0"/>
                <w:sz w:val="24"/>
                <w:szCs w:val="24"/>
                <w:u w:val="none"/>
                <w:lang w:val="en-US" w:eastAsia="zh-CN" w:bidi="ar"/>
              </w:rPr>
              <w:t>15.444</w:t>
            </w:r>
          </w:p>
        </w:tc>
        <w:tc>
          <w:tcPr>
            <w:tcW w:w="730" w:type="dxa"/>
            <w:vMerge w:val="continue"/>
            <w:tcBorders>
              <w:left w:val="single" w:color="000000" w:sz="4" w:space="0"/>
              <w:right w:val="single" w:color="000000" w:sz="4" w:space="0"/>
            </w:tcBorders>
            <w:noWrap w:val="0"/>
            <w:tcMar>
              <w:left w:w="108" w:type="dxa"/>
              <w:right w:w="108" w:type="dxa"/>
            </w:tcMar>
            <w:vAlign w:val="center"/>
          </w:tcPr>
          <w:p w14:paraId="7F89CB8E">
            <w:pPr>
              <w:snapToGrid w:val="0"/>
              <w:ind w:left="0" w:leftChars="0" w:right="0" w:rightChars="0" w:firstLine="0" w:firstLineChars="0"/>
              <w:jc w:val="center"/>
            </w:pPr>
          </w:p>
        </w:tc>
        <w:tc>
          <w:tcPr>
            <w:tcW w:w="738" w:type="dxa"/>
            <w:vMerge w:val="continue"/>
            <w:tcBorders>
              <w:left w:val="single" w:color="000000" w:sz="4" w:space="0"/>
              <w:right w:val="single" w:color="000000" w:sz="4" w:space="0"/>
            </w:tcBorders>
            <w:noWrap w:val="0"/>
            <w:tcMar>
              <w:left w:w="108" w:type="dxa"/>
              <w:right w:w="108" w:type="dxa"/>
            </w:tcMar>
            <w:vAlign w:val="center"/>
          </w:tcPr>
          <w:p w14:paraId="53F6C509">
            <w:pPr>
              <w:snapToGrid w:val="0"/>
              <w:ind w:left="0" w:leftChars="0" w:right="0" w:rightChars="0" w:firstLine="0" w:firstLineChars="0"/>
              <w:jc w:val="center"/>
            </w:pPr>
          </w:p>
        </w:tc>
        <w:tc>
          <w:tcPr>
            <w:tcW w:w="718" w:type="dxa"/>
            <w:vMerge w:val="continue"/>
            <w:tcBorders>
              <w:left w:val="single" w:color="000000" w:sz="4" w:space="0"/>
              <w:right w:val="single" w:color="000000" w:sz="4" w:space="0"/>
            </w:tcBorders>
            <w:noWrap w:val="0"/>
            <w:tcMar>
              <w:left w:w="108" w:type="dxa"/>
              <w:right w:w="108" w:type="dxa"/>
            </w:tcMar>
            <w:vAlign w:val="center"/>
          </w:tcPr>
          <w:p w14:paraId="49BECE18">
            <w:pPr>
              <w:snapToGrid w:val="0"/>
              <w:ind w:left="0" w:leftChars="0" w:right="0" w:rightChars="0" w:firstLine="0" w:firstLineChars="0"/>
              <w:jc w:val="center"/>
            </w:pPr>
          </w:p>
        </w:tc>
        <w:tc>
          <w:tcPr>
            <w:tcW w:w="738" w:type="dxa"/>
            <w:vMerge w:val="continue"/>
            <w:tcBorders>
              <w:left w:val="single" w:color="000000" w:sz="4" w:space="0"/>
              <w:right w:val="single" w:color="000000" w:sz="4" w:space="0"/>
            </w:tcBorders>
            <w:noWrap w:val="0"/>
            <w:tcMar>
              <w:left w:w="108" w:type="dxa"/>
              <w:right w:w="108" w:type="dxa"/>
            </w:tcMar>
            <w:vAlign w:val="center"/>
          </w:tcPr>
          <w:p w14:paraId="00AFC155">
            <w:pPr>
              <w:snapToGrid w:val="0"/>
              <w:ind w:left="0" w:leftChars="0" w:right="0" w:rightChars="0" w:firstLine="0" w:firstLineChars="0"/>
              <w:jc w:val="center"/>
            </w:pPr>
          </w:p>
        </w:tc>
        <w:tc>
          <w:tcPr>
            <w:tcW w:w="751" w:type="dxa"/>
            <w:vMerge w:val="continue"/>
            <w:tcBorders>
              <w:left w:val="single" w:color="000000" w:sz="4" w:space="0"/>
              <w:right w:val="single" w:color="000000" w:sz="4" w:space="0"/>
            </w:tcBorders>
            <w:noWrap w:val="0"/>
            <w:tcMar>
              <w:left w:w="108" w:type="dxa"/>
              <w:right w:w="108" w:type="dxa"/>
            </w:tcMar>
            <w:vAlign w:val="center"/>
          </w:tcPr>
          <w:p w14:paraId="6DF56F89">
            <w:pPr>
              <w:snapToGrid w:val="0"/>
              <w:ind w:left="0" w:leftChars="0" w:right="0" w:rightChars="0" w:firstLine="0" w:firstLineChars="0"/>
              <w:jc w:val="center"/>
            </w:pPr>
          </w:p>
        </w:tc>
        <w:tc>
          <w:tcPr>
            <w:tcW w:w="473" w:type="dxa"/>
            <w:vMerge w:val="continue"/>
            <w:tcBorders>
              <w:left w:val="single" w:color="000000" w:sz="4" w:space="0"/>
              <w:right w:val="single" w:color="000000" w:sz="4" w:space="0"/>
            </w:tcBorders>
            <w:noWrap w:val="0"/>
            <w:tcMar>
              <w:left w:w="108" w:type="dxa"/>
              <w:right w:w="108" w:type="dxa"/>
            </w:tcMar>
            <w:vAlign w:val="center"/>
          </w:tcPr>
          <w:p w14:paraId="3196BE92">
            <w:pPr>
              <w:snapToGrid w:val="0"/>
              <w:ind w:left="0" w:leftChars="0" w:right="0" w:rightChars="0" w:firstLine="0" w:firstLineChars="0"/>
              <w:jc w:val="center"/>
            </w:pPr>
          </w:p>
        </w:tc>
      </w:tr>
      <w:tr w14:paraId="09F416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599" w:type="dxa"/>
            <w:vMerge w:val="continue"/>
            <w:tcBorders>
              <w:left w:val="single" w:color="000000" w:sz="4" w:space="0"/>
              <w:right w:val="single" w:color="000000" w:sz="4" w:space="0"/>
            </w:tcBorders>
            <w:noWrap w:val="0"/>
            <w:tcMar>
              <w:left w:w="108" w:type="dxa"/>
              <w:right w:w="108" w:type="dxa"/>
            </w:tcMar>
            <w:vAlign w:val="center"/>
          </w:tcPr>
          <w:p w14:paraId="2AA8E1CE">
            <w:pPr>
              <w:snapToGrid w:val="0"/>
              <w:ind w:left="0" w:leftChars="0" w:right="0" w:rightChars="0" w:firstLine="0" w:firstLineChars="0"/>
              <w:jc w:val="center"/>
            </w:pPr>
          </w:p>
        </w:tc>
        <w:tc>
          <w:tcPr>
            <w:tcW w:w="662" w:type="dxa"/>
            <w:vMerge w:val="continue"/>
            <w:tcBorders>
              <w:left w:val="single" w:color="000000" w:sz="4" w:space="0"/>
              <w:right w:val="single" w:color="000000" w:sz="4" w:space="0"/>
            </w:tcBorders>
            <w:noWrap w:val="0"/>
            <w:tcMar>
              <w:left w:w="108" w:type="dxa"/>
              <w:right w:w="108" w:type="dxa"/>
            </w:tcMar>
            <w:vAlign w:val="center"/>
          </w:tcPr>
          <w:p w14:paraId="776DB684">
            <w:pPr>
              <w:snapToGrid w:val="0"/>
              <w:ind w:left="0" w:leftChars="0" w:right="0" w:rightChars="0" w:firstLine="0" w:firstLineChars="0"/>
              <w:jc w:val="center"/>
            </w:pPr>
          </w:p>
        </w:tc>
        <w:tc>
          <w:tcPr>
            <w:tcW w:w="662" w:type="dxa"/>
            <w:vMerge w:val="continue"/>
            <w:tcBorders>
              <w:left w:val="single" w:color="000000" w:sz="4" w:space="0"/>
              <w:right w:val="single" w:color="000000" w:sz="4" w:space="0"/>
            </w:tcBorders>
            <w:noWrap w:val="0"/>
            <w:tcMar>
              <w:left w:w="108" w:type="dxa"/>
              <w:right w:w="108" w:type="dxa"/>
            </w:tcMar>
            <w:vAlign w:val="center"/>
          </w:tcPr>
          <w:p w14:paraId="1DA1E37D">
            <w:pPr>
              <w:keepNext w:val="0"/>
              <w:keepLines w:val="0"/>
              <w:widowControl/>
              <w:suppressLineNumbers w:val="0"/>
              <w:jc w:val="center"/>
              <w:textAlignment w:val="center"/>
            </w:pPr>
          </w:p>
        </w:tc>
        <w:tc>
          <w:tcPr>
            <w:tcW w:w="410"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3FDA45D4">
            <w:pPr>
              <w:jc w:val="center"/>
            </w:pPr>
            <w:r>
              <w:rPr>
                <w:rFonts w:hint="default" w:ascii="Times New Roman" w:hAnsi="Times New Roman" w:cs="Times New Roman"/>
                <w:b w:val="0"/>
                <w:bCs/>
                <w:sz w:val="21"/>
                <w:szCs w:val="21"/>
              </w:rPr>
              <w:t>NOx</w:t>
            </w:r>
          </w:p>
        </w:tc>
        <w:tc>
          <w:tcPr>
            <w:tcW w:w="473"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67D1C88D">
            <w:pPr>
              <w:snapToGrid w:val="0"/>
              <w:ind w:left="0" w:leftChars="0" w:right="0" w:rightChars="0" w:firstLine="0" w:firstLineChars="0"/>
              <w:jc w:val="center"/>
            </w:pPr>
            <w:r>
              <w:t>类比法</w:t>
            </w:r>
          </w:p>
        </w:tc>
        <w:tc>
          <w:tcPr>
            <w:tcW w:w="718" w:type="dxa"/>
            <w:tcBorders>
              <w:top w:val="single" w:color="000000" w:sz="4" w:space="0"/>
              <w:left w:val="single" w:color="000000" w:sz="4" w:space="0"/>
              <w:bottom w:val="single" w:color="000000" w:sz="4" w:space="0"/>
              <w:right w:val="single" w:color="000000" w:sz="4" w:space="0"/>
            </w:tcBorders>
            <w:shd w:val="clear" w:color="auto" w:fill="auto"/>
            <w:noWrap w:val="0"/>
            <w:tcMar>
              <w:left w:w="108" w:type="dxa"/>
              <w:right w:w="108" w:type="dxa"/>
            </w:tcMar>
            <w:vAlign w:val="center"/>
          </w:tcPr>
          <w:p w14:paraId="13CAA4D2">
            <w:pPr>
              <w:keepNext w:val="0"/>
              <w:keepLines w:val="0"/>
              <w:widowControl/>
              <w:suppressLineNumbers w:val="0"/>
              <w:jc w:val="center"/>
              <w:textAlignment w:val="center"/>
              <w:rPr>
                <w:rFonts w:ascii="宋体" w:hAnsi="宋体" w:eastAsia="宋体" w:cs="宋体"/>
                <w:sz w:val="24"/>
                <w:szCs w:val="24"/>
                <w:lang w:val="en-US" w:eastAsia="zh-CN" w:bidi="ar-SA"/>
              </w:rPr>
            </w:pPr>
            <w:r>
              <w:rPr>
                <w:rFonts w:hint="default" w:ascii="Times New Roman" w:hAnsi="Times New Roman" w:eastAsia="宋体" w:cs="Times New Roman"/>
                <w:b w:val="0"/>
                <w:bCs w:val="0"/>
                <w:i w:val="0"/>
                <w:iCs w:val="0"/>
                <w:color w:val="000000"/>
                <w:kern w:val="0"/>
                <w:sz w:val="21"/>
                <w:szCs w:val="21"/>
                <w:u w:val="none"/>
                <w:lang w:val="en-US" w:eastAsia="zh-CN" w:bidi="ar"/>
              </w:rPr>
              <w:t>111.33</w:t>
            </w:r>
          </w:p>
        </w:tc>
        <w:tc>
          <w:tcPr>
            <w:tcW w:w="798" w:type="dxa"/>
            <w:tcBorders>
              <w:top w:val="single" w:color="000000" w:sz="4" w:space="0"/>
              <w:left w:val="single" w:color="000000" w:sz="4" w:space="0"/>
              <w:bottom w:val="single" w:color="000000" w:sz="4" w:space="0"/>
              <w:right w:val="single" w:color="000000" w:sz="4" w:space="0"/>
            </w:tcBorders>
            <w:shd w:val="clear" w:color="auto" w:fill="auto"/>
            <w:noWrap w:val="0"/>
            <w:tcMar>
              <w:left w:w="108" w:type="dxa"/>
              <w:right w:w="108" w:type="dxa"/>
            </w:tcMar>
            <w:vAlign w:val="center"/>
          </w:tcPr>
          <w:p w14:paraId="46986A8E">
            <w:pPr>
              <w:keepNext w:val="0"/>
              <w:keepLines w:val="0"/>
              <w:widowControl/>
              <w:suppressLineNumbers w:val="0"/>
              <w:jc w:val="center"/>
              <w:textAlignment w:val="center"/>
              <w:rPr>
                <w:rFonts w:ascii="宋体" w:hAnsi="宋体" w:eastAsia="宋体" w:cs="宋体"/>
                <w:sz w:val="24"/>
                <w:szCs w:val="24"/>
                <w:lang w:val="en-US" w:eastAsia="zh-CN" w:bidi="ar-SA"/>
              </w:rPr>
            </w:pPr>
            <w:r>
              <w:rPr>
                <w:rFonts w:hint="default" w:ascii="Times New Roman" w:hAnsi="Times New Roman" w:eastAsia="宋体" w:cs="Times New Roman"/>
                <w:b w:val="0"/>
                <w:bCs/>
                <w:i w:val="0"/>
                <w:iCs w:val="0"/>
                <w:color w:val="000000"/>
                <w:kern w:val="0"/>
                <w:sz w:val="21"/>
                <w:szCs w:val="21"/>
                <w:u w:val="none"/>
                <w:lang w:val="en-US" w:eastAsia="zh-CN" w:bidi="ar"/>
              </w:rPr>
              <w:t>30.06</w:t>
            </w:r>
          </w:p>
        </w:tc>
        <w:tc>
          <w:tcPr>
            <w:tcW w:w="790" w:type="dxa"/>
            <w:tcBorders>
              <w:top w:val="single" w:color="000000" w:sz="4" w:space="0"/>
              <w:left w:val="single" w:color="000000" w:sz="4" w:space="0"/>
              <w:bottom w:val="single" w:color="000000" w:sz="4" w:space="0"/>
              <w:right w:val="single" w:color="000000" w:sz="4" w:space="0"/>
            </w:tcBorders>
            <w:shd w:val="clear" w:color="auto" w:fill="auto"/>
            <w:noWrap w:val="0"/>
            <w:tcMar>
              <w:left w:w="108" w:type="dxa"/>
              <w:right w:w="108" w:type="dxa"/>
            </w:tcMar>
            <w:vAlign w:val="center"/>
          </w:tcPr>
          <w:p w14:paraId="558624C1">
            <w:pPr>
              <w:keepNext w:val="0"/>
              <w:keepLines w:val="0"/>
              <w:widowControl/>
              <w:suppressLineNumbers w:val="0"/>
              <w:jc w:val="center"/>
              <w:textAlignment w:val="center"/>
              <w:rPr>
                <w:rFonts w:ascii="宋体" w:hAnsi="宋体" w:eastAsia="宋体" w:cs="宋体"/>
                <w:sz w:val="24"/>
                <w:szCs w:val="24"/>
                <w:lang w:val="en-US" w:eastAsia="zh-CN" w:bidi="ar-SA"/>
              </w:rPr>
            </w:pPr>
            <w:r>
              <w:rPr>
                <w:rFonts w:hint="eastAsia" w:ascii="宋体" w:hAnsi="宋体" w:eastAsia="宋体" w:cs="宋体"/>
                <w:i w:val="0"/>
                <w:iCs w:val="0"/>
                <w:color w:val="000000"/>
                <w:kern w:val="0"/>
                <w:sz w:val="24"/>
                <w:szCs w:val="24"/>
                <w:u w:val="none"/>
                <w:lang w:val="en-US" w:eastAsia="zh-CN" w:bidi="ar"/>
              </w:rPr>
              <w:t>238.0752</w:t>
            </w:r>
          </w:p>
        </w:tc>
        <w:tc>
          <w:tcPr>
            <w:tcW w:w="662" w:type="dxa"/>
            <w:vMerge w:val="continue"/>
            <w:tcBorders>
              <w:left w:val="single" w:color="000000" w:sz="4" w:space="0"/>
              <w:right w:val="single" w:color="000000" w:sz="4" w:space="0"/>
            </w:tcBorders>
            <w:noWrap w:val="0"/>
            <w:tcMar>
              <w:left w:w="108" w:type="dxa"/>
              <w:right w:w="108" w:type="dxa"/>
            </w:tcMar>
            <w:vAlign w:val="center"/>
          </w:tcPr>
          <w:p w14:paraId="68BAB7FA">
            <w:pPr>
              <w:snapToGrid w:val="0"/>
              <w:ind w:left="0" w:leftChars="0" w:right="0" w:rightChars="0" w:firstLine="0" w:firstLineChars="0"/>
              <w:jc w:val="center"/>
            </w:pPr>
          </w:p>
        </w:tc>
        <w:tc>
          <w:tcPr>
            <w:tcW w:w="662" w:type="dxa"/>
            <w:vMerge w:val="continue"/>
            <w:tcBorders>
              <w:left w:val="single" w:color="000000" w:sz="4" w:space="0"/>
              <w:right w:val="single" w:color="000000" w:sz="4" w:space="0"/>
            </w:tcBorders>
            <w:noWrap w:val="0"/>
            <w:tcMar>
              <w:left w:w="108" w:type="dxa"/>
              <w:right w:w="108" w:type="dxa"/>
            </w:tcMar>
            <w:vAlign w:val="center"/>
          </w:tcPr>
          <w:p w14:paraId="7C02B790">
            <w:pPr>
              <w:snapToGrid w:val="0"/>
              <w:ind w:left="0" w:leftChars="0" w:right="0" w:rightChars="0" w:firstLine="0" w:firstLineChars="0"/>
              <w:jc w:val="cente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tcMar>
              <w:left w:w="108" w:type="dxa"/>
              <w:right w:w="108" w:type="dxa"/>
            </w:tcMar>
            <w:vAlign w:val="center"/>
          </w:tcPr>
          <w:p w14:paraId="7E48BC88">
            <w:pPr>
              <w:snapToGrid w:val="0"/>
              <w:ind w:left="0" w:leftChars="0" w:right="0" w:rightChars="0" w:firstLine="0" w:firstLineChars="0"/>
              <w:jc w:val="center"/>
              <w:rPr>
                <w:rFonts w:hint="eastAsia" w:ascii="宋体" w:hAnsi="宋体" w:eastAsia="宋体" w:cs="宋体"/>
                <w:sz w:val="24"/>
                <w:szCs w:val="24"/>
                <w:lang w:val="en-US" w:eastAsia="zh-CN" w:bidi="ar-SA"/>
              </w:rPr>
            </w:pPr>
            <w:r>
              <w:t>8</w:t>
            </w:r>
            <w:r>
              <w:rPr>
                <w:rFonts w:hint="eastAsia"/>
                <w:lang w:val="en-US" w:eastAsia="zh-CN"/>
              </w:rPr>
              <w:t>5</w:t>
            </w:r>
          </w:p>
        </w:tc>
        <w:tc>
          <w:tcPr>
            <w:tcW w:w="594"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15C56451">
            <w:pPr>
              <w:keepNext w:val="0"/>
              <w:keepLines w:val="0"/>
              <w:widowControl/>
              <w:suppressLineNumbers w:val="0"/>
              <w:jc w:val="center"/>
              <w:textAlignment w:val="center"/>
            </w:pPr>
            <w:r>
              <w:rPr>
                <w:rFonts w:hint="eastAsia" w:ascii="宋体" w:hAnsi="宋体" w:eastAsia="宋体" w:cs="宋体"/>
                <w:i w:val="0"/>
                <w:iCs w:val="0"/>
                <w:color w:val="000000"/>
                <w:kern w:val="0"/>
                <w:sz w:val="24"/>
                <w:szCs w:val="24"/>
                <w:u w:val="none"/>
                <w:lang w:val="en-US" w:eastAsia="zh-CN" w:bidi="ar"/>
              </w:rPr>
              <w:t>50</w:t>
            </w:r>
          </w:p>
        </w:tc>
        <w:tc>
          <w:tcPr>
            <w:tcW w:w="883"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77A52187">
            <w:pPr>
              <w:keepNext w:val="0"/>
              <w:keepLines w:val="0"/>
              <w:widowControl/>
              <w:suppressLineNumbers w:val="0"/>
              <w:jc w:val="center"/>
              <w:textAlignment w:val="center"/>
            </w:pPr>
            <w:r>
              <w:rPr>
                <w:rFonts w:hint="default" w:ascii="Times New Roman" w:hAnsi="Times New Roman" w:eastAsia="宋体" w:cs="Times New Roman"/>
                <w:i w:val="0"/>
                <w:iCs w:val="0"/>
                <w:color w:val="000000"/>
                <w:kern w:val="0"/>
                <w:sz w:val="21"/>
                <w:szCs w:val="21"/>
                <w:u w:val="none"/>
                <w:lang w:val="en-US" w:eastAsia="zh-CN" w:bidi="ar"/>
              </w:rPr>
              <w:t>9</w:t>
            </w:r>
          </w:p>
        </w:tc>
        <w:tc>
          <w:tcPr>
            <w:tcW w:w="774" w:type="dxa"/>
            <w:tcBorders>
              <w:top w:val="single" w:color="000000" w:sz="4" w:space="0"/>
              <w:left w:val="single" w:color="000000" w:sz="4" w:space="0"/>
              <w:bottom w:val="single" w:color="000000" w:sz="4" w:space="0"/>
              <w:right w:val="single" w:color="000000" w:sz="4" w:space="0"/>
            </w:tcBorders>
            <w:shd w:val="clear" w:color="auto" w:fill="auto"/>
            <w:noWrap w:val="0"/>
            <w:tcMar>
              <w:left w:w="108" w:type="dxa"/>
              <w:right w:w="108" w:type="dxa"/>
            </w:tcMar>
            <w:vAlign w:val="center"/>
          </w:tcPr>
          <w:p w14:paraId="1EA9979E">
            <w:pPr>
              <w:keepNext w:val="0"/>
              <w:keepLines w:val="0"/>
              <w:widowControl/>
              <w:suppressLineNumbers w:val="0"/>
              <w:jc w:val="center"/>
              <w:textAlignment w:val="center"/>
              <w:rPr>
                <w:rFonts w:ascii="宋体" w:hAnsi="宋体" w:eastAsia="宋体" w:cs="宋体"/>
                <w:sz w:val="24"/>
                <w:szCs w:val="24"/>
                <w:lang w:val="en-US" w:eastAsia="zh-CN" w:bidi="ar-SA"/>
              </w:rPr>
            </w:pPr>
            <w:r>
              <w:rPr>
                <w:rFonts w:hint="eastAsia" w:ascii="宋体" w:hAnsi="宋体" w:eastAsia="宋体" w:cs="宋体"/>
                <w:i w:val="0"/>
                <w:iCs w:val="0"/>
                <w:color w:val="000000"/>
                <w:kern w:val="0"/>
                <w:sz w:val="24"/>
                <w:szCs w:val="24"/>
                <w:u w:val="none"/>
                <w:lang w:val="en-US" w:eastAsia="zh-CN" w:bidi="ar"/>
              </w:rPr>
              <w:t>71.28</w:t>
            </w:r>
          </w:p>
        </w:tc>
        <w:tc>
          <w:tcPr>
            <w:tcW w:w="730" w:type="dxa"/>
            <w:vMerge w:val="continue"/>
            <w:tcBorders>
              <w:left w:val="single" w:color="000000" w:sz="4" w:space="0"/>
              <w:right w:val="single" w:color="000000" w:sz="4" w:space="0"/>
            </w:tcBorders>
            <w:noWrap w:val="0"/>
            <w:tcMar>
              <w:left w:w="108" w:type="dxa"/>
              <w:right w:w="108" w:type="dxa"/>
            </w:tcMar>
            <w:vAlign w:val="center"/>
          </w:tcPr>
          <w:p w14:paraId="70081EA7">
            <w:pPr>
              <w:snapToGrid w:val="0"/>
              <w:ind w:left="0" w:leftChars="0" w:right="0" w:rightChars="0" w:firstLine="0" w:firstLineChars="0"/>
              <w:jc w:val="center"/>
            </w:pPr>
          </w:p>
        </w:tc>
        <w:tc>
          <w:tcPr>
            <w:tcW w:w="738" w:type="dxa"/>
            <w:vMerge w:val="continue"/>
            <w:tcBorders>
              <w:left w:val="single" w:color="000000" w:sz="4" w:space="0"/>
              <w:right w:val="single" w:color="000000" w:sz="4" w:space="0"/>
            </w:tcBorders>
            <w:noWrap w:val="0"/>
            <w:tcMar>
              <w:left w:w="108" w:type="dxa"/>
              <w:right w:w="108" w:type="dxa"/>
            </w:tcMar>
            <w:vAlign w:val="center"/>
          </w:tcPr>
          <w:p w14:paraId="66693C23">
            <w:pPr>
              <w:snapToGrid w:val="0"/>
              <w:ind w:left="0" w:leftChars="0" w:right="0" w:rightChars="0" w:firstLine="0" w:firstLineChars="0"/>
              <w:jc w:val="center"/>
            </w:pPr>
          </w:p>
        </w:tc>
        <w:tc>
          <w:tcPr>
            <w:tcW w:w="718" w:type="dxa"/>
            <w:vMerge w:val="continue"/>
            <w:tcBorders>
              <w:left w:val="single" w:color="000000" w:sz="4" w:space="0"/>
              <w:right w:val="single" w:color="000000" w:sz="4" w:space="0"/>
            </w:tcBorders>
            <w:noWrap w:val="0"/>
            <w:tcMar>
              <w:left w:w="108" w:type="dxa"/>
              <w:right w:w="108" w:type="dxa"/>
            </w:tcMar>
            <w:vAlign w:val="center"/>
          </w:tcPr>
          <w:p w14:paraId="53B7DF65">
            <w:pPr>
              <w:snapToGrid w:val="0"/>
              <w:ind w:left="0" w:leftChars="0" w:right="0" w:rightChars="0" w:firstLine="0" w:firstLineChars="0"/>
              <w:jc w:val="center"/>
            </w:pPr>
          </w:p>
        </w:tc>
        <w:tc>
          <w:tcPr>
            <w:tcW w:w="738" w:type="dxa"/>
            <w:vMerge w:val="continue"/>
            <w:tcBorders>
              <w:left w:val="single" w:color="000000" w:sz="4" w:space="0"/>
              <w:right w:val="single" w:color="000000" w:sz="4" w:space="0"/>
            </w:tcBorders>
            <w:noWrap w:val="0"/>
            <w:tcMar>
              <w:left w:w="108" w:type="dxa"/>
              <w:right w:w="108" w:type="dxa"/>
            </w:tcMar>
            <w:vAlign w:val="center"/>
          </w:tcPr>
          <w:p w14:paraId="240C4B1D">
            <w:pPr>
              <w:snapToGrid w:val="0"/>
              <w:ind w:left="0" w:leftChars="0" w:right="0" w:rightChars="0" w:firstLine="0" w:firstLineChars="0"/>
              <w:jc w:val="center"/>
            </w:pPr>
          </w:p>
        </w:tc>
        <w:tc>
          <w:tcPr>
            <w:tcW w:w="751" w:type="dxa"/>
            <w:vMerge w:val="continue"/>
            <w:tcBorders>
              <w:left w:val="single" w:color="000000" w:sz="4" w:space="0"/>
              <w:right w:val="single" w:color="000000" w:sz="4" w:space="0"/>
            </w:tcBorders>
            <w:noWrap w:val="0"/>
            <w:tcMar>
              <w:left w:w="108" w:type="dxa"/>
              <w:right w:w="108" w:type="dxa"/>
            </w:tcMar>
            <w:vAlign w:val="center"/>
          </w:tcPr>
          <w:p w14:paraId="14B7ABF3">
            <w:pPr>
              <w:snapToGrid w:val="0"/>
              <w:ind w:left="0" w:leftChars="0" w:right="0" w:rightChars="0" w:firstLine="0" w:firstLineChars="0"/>
              <w:jc w:val="center"/>
            </w:pPr>
          </w:p>
        </w:tc>
        <w:tc>
          <w:tcPr>
            <w:tcW w:w="473" w:type="dxa"/>
            <w:vMerge w:val="continue"/>
            <w:tcBorders>
              <w:left w:val="single" w:color="000000" w:sz="4" w:space="0"/>
              <w:right w:val="single" w:color="000000" w:sz="4" w:space="0"/>
            </w:tcBorders>
            <w:noWrap w:val="0"/>
            <w:tcMar>
              <w:left w:w="108" w:type="dxa"/>
              <w:right w:w="108" w:type="dxa"/>
            </w:tcMar>
            <w:vAlign w:val="center"/>
          </w:tcPr>
          <w:p w14:paraId="13C0904E">
            <w:pPr>
              <w:snapToGrid w:val="0"/>
              <w:ind w:left="0" w:leftChars="0" w:right="0" w:rightChars="0" w:firstLine="0" w:firstLineChars="0"/>
              <w:jc w:val="center"/>
            </w:pPr>
          </w:p>
        </w:tc>
      </w:tr>
      <w:tr w14:paraId="3C0971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599" w:type="dxa"/>
            <w:vMerge w:val="continue"/>
            <w:tcBorders>
              <w:left w:val="single" w:color="000000" w:sz="4" w:space="0"/>
              <w:right w:val="single" w:color="000000" w:sz="4" w:space="0"/>
            </w:tcBorders>
            <w:noWrap w:val="0"/>
            <w:tcMar>
              <w:left w:w="108" w:type="dxa"/>
              <w:right w:w="108" w:type="dxa"/>
            </w:tcMar>
            <w:vAlign w:val="center"/>
          </w:tcPr>
          <w:p w14:paraId="3E9ACCCD">
            <w:pPr>
              <w:snapToGrid w:val="0"/>
              <w:ind w:left="0" w:leftChars="0" w:right="0" w:rightChars="0" w:firstLine="0" w:firstLineChars="0"/>
              <w:jc w:val="center"/>
            </w:pPr>
          </w:p>
        </w:tc>
        <w:tc>
          <w:tcPr>
            <w:tcW w:w="662" w:type="dxa"/>
            <w:vMerge w:val="continue"/>
            <w:tcBorders>
              <w:left w:val="single" w:color="000000" w:sz="4" w:space="0"/>
              <w:right w:val="single" w:color="000000" w:sz="4" w:space="0"/>
            </w:tcBorders>
            <w:noWrap w:val="0"/>
            <w:tcMar>
              <w:left w:w="108" w:type="dxa"/>
              <w:right w:w="108" w:type="dxa"/>
            </w:tcMar>
            <w:vAlign w:val="center"/>
          </w:tcPr>
          <w:p w14:paraId="7C03EA9F">
            <w:pPr>
              <w:snapToGrid w:val="0"/>
              <w:ind w:left="0" w:leftChars="0" w:right="0" w:rightChars="0" w:firstLine="0" w:firstLineChars="0"/>
              <w:jc w:val="center"/>
            </w:pPr>
          </w:p>
        </w:tc>
        <w:tc>
          <w:tcPr>
            <w:tcW w:w="662" w:type="dxa"/>
            <w:vMerge w:val="continue"/>
            <w:tcBorders>
              <w:left w:val="single" w:color="000000" w:sz="4" w:space="0"/>
              <w:right w:val="single" w:color="000000" w:sz="4" w:space="0"/>
            </w:tcBorders>
            <w:noWrap w:val="0"/>
            <w:tcMar>
              <w:left w:w="108" w:type="dxa"/>
              <w:right w:w="108" w:type="dxa"/>
            </w:tcMar>
            <w:vAlign w:val="center"/>
          </w:tcPr>
          <w:p w14:paraId="470813A7">
            <w:pPr>
              <w:keepNext w:val="0"/>
              <w:keepLines w:val="0"/>
              <w:widowControl/>
              <w:suppressLineNumbers w:val="0"/>
              <w:jc w:val="center"/>
              <w:textAlignment w:val="center"/>
            </w:pPr>
          </w:p>
        </w:tc>
        <w:tc>
          <w:tcPr>
            <w:tcW w:w="410"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206C46FF">
            <w:pPr>
              <w:jc w:val="center"/>
            </w:pPr>
            <w:r>
              <w:rPr>
                <w:rFonts w:hint="default" w:ascii="Times New Roman" w:hAnsi="Times New Roman" w:cs="Times New Roman"/>
                <w:b w:val="0"/>
                <w:bCs/>
                <w:sz w:val="21"/>
                <w:szCs w:val="21"/>
              </w:rPr>
              <w:t>氟化物</w:t>
            </w:r>
          </w:p>
        </w:tc>
        <w:tc>
          <w:tcPr>
            <w:tcW w:w="473"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51332B0F">
            <w:pPr>
              <w:snapToGrid w:val="0"/>
              <w:ind w:left="0" w:leftChars="0" w:right="0" w:rightChars="0" w:firstLine="0" w:firstLineChars="0"/>
              <w:jc w:val="center"/>
            </w:pPr>
            <w:r>
              <w:t>物料衡算</w:t>
            </w:r>
          </w:p>
        </w:tc>
        <w:tc>
          <w:tcPr>
            <w:tcW w:w="718" w:type="dxa"/>
            <w:tcBorders>
              <w:top w:val="single" w:color="000000" w:sz="4" w:space="0"/>
              <w:left w:val="single" w:color="000000" w:sz="4" w:space="0"/>
              <w:bottom w:val="single" w:color="000000" w:sz="4" w:space="0"/>
              <w:right w:val="single" w:color="000000" w:sz="4" w:space="0"/>
            </w:tcBorders>
            <w:shd w:val="clear" w:color="auto" w:fill="auto"/>
            <w:noWrap w:val="0"/>
            <w:tcMar>
              <w:left w:w="108" w:type="dxa"/>
              <w:right w:w="108" w:type="dxa"/>
            </w:tcMar>
            <w:vAlign w:val="center"/>
          </w:tcPr>
          <w:p w14:paraId="7199AD53">
            <w:pPr>
              <w:keepNext w:val="0"/>
              <w:keepLines w:val="0"/>
              <w:widowControl/>
              <w:suppressLineNumbers w:val="0"/>
              <w:jc w:val="center"/>
              <w:textAlignment w:val="center"/>
              <w:rPr>
                <w:rFonts w:ascii="宋体" w:hAnsi="宋体" w:eastAsia="宋体" w:cs="宋体"/>
                <w:sz w:val="24"/>
                <w:szCs w:val="24"/>
                <w:lang w:val="en-US" w:eastAsia="zh-CN" w:bidi="ar-SA"/>
              </w:rPr>
            </w:pPr>
            <w:r>
              <w:rPr>
                <w:rFonts w:hint="default" w:ascii="Times New Roman" w:hAnsi="Times New Roman" w:eastAsia="宋体" w:cs="Times New Roman"/>
                <w:b w:val="0"/>
                <w:bCs w:val="0"/>
                <w:i w:val="0"/>
                <w:iCs w:val="0"/>
                <w:color w:val="000000"/>
                <w:kern w:val="0"/>
                <w:sz w:val="21"/>
                <w:szCs w:val="21"/>
                <w:u w:val="none"/>
                <w:lang w:val="en-US" w:eastAsia="zh-CN" w:bidi="ar"/>
              </w:rPr>
              <w:t>0.44</w:t>
            </w:r>
          </w:p>
        </w:tc>
        <w:tc>
          <w:tcPr>
            <w:tcW w:w="798" w:type="dxa"/>
            <w:tcBorders>
              <w:top w:val="single" w:color="000000" w:sz="4" w:space="0"/>
              <w:left w:val="single" w:color="000000" w:sz="4" w:space="0"/>
              <w:bottom w:val="single" w:color="000000" w:sz="4" w:space="0"/>
              <w:right w:val="single" w:color="000000" w:sz="4" w:space="0"/>
            </w:tcBorders>
            <w:shd w:val="clear" w:color="auto" w:fill="auto"/>
            <w:noWrap w:val="0"/>
            <w:tcMar>
              <w:left w:w="108" w:type="dxa"/>
              <w:right w:w="108" w:type="dxa"/>
            </w:tcMar>
            <w:vAlign w:val="center"/>
          </w:tcPr>
          <w:p w14:paraId="7259F766">
            <w:pPr>
              <w:keepNext w:val="0"/>
              <w:keepLines w:val="0"/>
              <w:widowControl/>
              <w:suppressLineNumbers w:val="0"/>
              <w:jc w:val="center"/>
              <w:textAlignment w:val="center"/>
              <w:rPr>
                <w:rFonts w:ascii="宋体" w:hAnsi="宋体" w:eastAsia="宋体" w:cs="宋体"/>
                <w:sz w:val="24"/>
                <w:szCs w:val="24"/>
                <w:lang w:val="en-US" w:eastAsia="zh-CN" w:bidi="ar-SA"/>
              </w:rPr>
            </w:pPr>
            <w:r>
              <w:rPr>
                <w:rFonts w:hint="default" w:ascii="Times New Roman" w:hAnsi="Times New Roman" w:eastAsia="宋体" w:cs="Times New Roman"/>
                <w:b w:val="0"/>
                <w:bCs/>
                <w:i w:val="0"/>
                <w:iCs w:val="0"/>
                <w:color w:val="000000"/>
                <w:kern w:val="0"/>
                <w:sz w:val="21"/>
                <w:szCs w:val="21"/>
                <w:u w:val="none"/>
                <w:lang w:val="en-US" w:eastAsia="zh-CN" w:bidi="ar"/>
              </w:rPr>
              <w:t>0.12</w:t>
            </w:r>
          </w:p>
        </w:tc>
        <w:tc>
          <w:tcPr>
            <w:tcW w:w="790" w:type="dxa"/>
            <w:tcBorders>
              <w:top w:val="single" w:color="000000" w:sz="4" w:space="0"/>
              <w:left w:val="single" w:color="000000" w:sz="4" w:space="0"/>
              <w:bottom w:val="single" w:color="000000" w:sz="4" w:space="0"/>
              <w:right w:val="single" w:color="000000" w:sz="4" w:space="0"/>
            </w:tcBorders>
            <w:shd w:val="clear" w:color="auto" w:fill="auto"/>
            <w:noWrap w:val="0"/>
            <w:tcMar>
              <w:left w:w="108" w:type="dxa"/>
              <w:right w:w="108" w:type="dxa"/>
            </w:tcMar>
            <w:vAlign w:val="center"/>
          </w:tcPr>
          <w:p w14:paraId="0F57A1A4">
            <w:pPr>
              <w:keepNext w:val="0"/>
              <w:keepLines w:val="0"/>
              <w:widowControl/>
              <w:suppressLineNumbers w:val="0"/>
              <w:jc w:val="center"/>
              <w:textAlignment w:val="center"/>
              <w:rPr>
                <w:rFonts w:ascii="宋体" w:hAnsi="宋体" w:eastAsia="宋体" w:cs="宋体"/>
                <w:sz w:val="24"/>
                <w:szCs w:val="24"/>
                <w:lang w:val="en-US" w:eastAsia="zh-CN" w:bidi="ar-SA"/>
              </w:rPr>
            </w:pPr>
            <w:r>
              <w:rPr>
                <w:rFonts w:hint="eastAsia" w:ascii="宋体" w:hAnsi="宋体" w:eastAsia="宋体" w:cs="宋体"/>
                <w:i w:val="0"/>
                <w:iCs w:val="0"/>
                <w:color w:val="000000"/>
                <w:kern w:val="0"/>
                <w:sz w:val="24"/>
                <w:szCs w:val="24"/>
                <w:u w:val="none"/>
                <w:lang w:val="en-US" w:eastAsia="zh-CN" w:bidi="ar"/>
              </w:rPr>
              <w:t>0.9504</w:t>
            </w:r>
          </w:p>
        </w:tc>
        <w:tc>
          <w:tcPr>
            <w:tcW w:w="662" w:type="dxa"/>
            <w:vMerge w:val="continue"/>
            <w:tcBorders>
              <w:left w:val="single" w:color="000000" w:sz="4" w:space="0"/>
              <w:right w:val="single" w:color="000000" w:sz="4" w:space="0"/>
            </w:tcBorders>
            <w:noWrap w:val="0"/>
            <w:tcMar>
              <w:left w:w="108" w:type="dxa"/>
              <w:right w:w="108" w:type="dxa"/>
            </w:tcMar>
            <w:vAlign w:val="center"/>
          </w:tcPr>
          <w:p w14:paraId="43912359">
            <w:pPr>
              <w:snapToGrid w:val="0"/>
              <w:ind w:left="0" w:leftChars="0" w:right="0" w:rightChars="0" w:firstLine="0" w:firstLineChars="0"/>
              <w:jc w:val="center"/>
            </w:pPr>
          </w:p>
        </w:tc>
        <w:tc>
          <w:tcPr>
            <w:tcW w:w="662" w:type="dxa"/>
            <w:vMerge w:val="continue"/>
            <w:tcBorders>
              <w:left w:val="single" w:color="000000" w:sz="4" w:space="0"/>
              <w:right w:val="single" w:color="000000" w:sz="4" w:space="0"/>
            </w:tcBorders>
            <w:noWrap w:val="0"/>
            <w:tcMar>
              <w:left w:w="108" w:type="dxa"/>
              <w:right w:w="108" w:type="dxa"/>
            </w:tcMar>
            <w:vAlign w:val="center"/>
          </w:tcPr>
          <w:p w14:paraId="7CE05D50">
            <w:pPr>
              <w:snapToGrid w:val="0"/>
              <w:ind w:left="0" w:leftChars="0" w:right="0" w:rightChars="0" w:firstLine="0" w:firstLineChars="0"/>
              <w:jc w:val="cente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tcMar>
              <w:left w:w="108" w:type="dxa"/>
              <w:right w:w="108" w:type="dxa"/>
            </w:tcMar>
            <w:vAlign w:val="center"/>
          </w:tcPr>
          <w:p w14:paraId="52062602">
            <w:pPr>
              <w:snapToGrid w:val="0"/>
              <w:ind w:left="0" w:leftChars="0" w:right="0" w:rightChars="0" w:firstLine="0" w:firstLineChars="0"/>
              <w:jc w:val="center"/>
              <w:rPr>
                <w:rFonts w:ascii="宋体" w:hAnsi="宋体" w:eastAsia="宋体" w:cs="宋体"/>
                <w:sz w:val="24"/>
                <w:szCs w:val="24"/>
                <w:lang w:val="en-US" w:eastAsia="zh-CN" w:bidi="ar-SA"/>
              </w:rPr>
            </w:pPr>
            <w:r>
              <w:t>60</w:t>
            </w:r>
          </w:p>
        </w:tc>
        <w:tc>
          <w:tcPr>
            <w:tcW w:w="594"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7929DA12">
            <w:pPr>
              <w:keepNext w:val="0"/>
              <w:keepLines w:val="0"/>
              <w:widowControl/>
              <w:suppressLineNumbers w:val="0"/>
              <w:jc w:val="center"/>
              <w:textAlignment w:val="center"/>
            </w:pPr>
            <w:r>
              <w:rPr>
                <w:rFonts w:hint="eastAsia" w:ascii="宋体" w:hAnsi="宋体" w:eastAsia="宋体" w:cs="宋体"/>
                <w:i w:val="0"/>
                <w:iCs w:val="0"/>
                <w:color w:val="000000"/>
                <w:kern w:val="0"/>
                <w:sz w:val="24"/>
                <w:szCs w:val="24"/>
                <w:u w:val="none"/>
                <w:lang w:val="en-US" w:eastAsia="zh-CN" w:bidi="ar"/>
              </w:rPr>
              <w:t>0.03</w:t>
            </w:r>
          </w:p>
        </w:tc>
        <w:tc>
          <w:tcPr>
            <w:tcW w:w="883"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02932827">
            <w:pPr>
              <w:keepNext w:val="0"/>
              <w:keepLines w:val="0"/>
              <w:widowControl/>
              <w:suppressLineNumbers w:val="0"/>
              <w:jc w:val="center"/>
              <w:textAlignment w:val="center"/>
            </w:pPr>
            <w:r>
              <w:rPr>
                <w:rFonts w:hint="default" w:ascii="Times New Roman" w:hAnsi="Times New Roman" w:eastAsia="宋体" w:cs="Times New Roman"/>
                <w:i w:val="0"/>
                <w:iCs w:val="0"/>
                <w:color w:val="000000"/>
                <w:kern w:val="0"/>
                <w:sz w:val="24"/>
                <w:szCs w:val="24"/>
                <w:u w:val="none"/>
                <w:lang w:val="en-US" w:eastAsia="zh-CN" w:bidi="ar"/>
              </w:rPr>
              <w:t>0.006</w:t>
            </w:r>
          </w:p>
        </w:tc>
        <w:tc>
          <w:tcPr>
            <w:tcW w:w="774" w:type="dxa"/>
            <w:tcBorders>
              <w:top w:val="single" w:color="000000" w:sz="4" w:space="0"/>
              <w:left w:val="single" w:color="000000" w:sz="4" w:space="0"/>
              <w:bottom w:val="single" w:color="000000" w:sz="4" w:space="0"/>
              <w:right w:val="single" w:color="000000" w:sz="4" w:space="0"/>
            </w:tcBorders>
            <w:shd w:val="clear" w:color="auto" w:fill="auto"/>
            <w:noWrap w:val="0"/>
            <w:tcMar>
              <w:left w:w="108" w:type="dxa"/>
              <w:right w:w="108" w:type="dxa"/>
            </w:tcMar>
            <w:vAlign w:val="center"/>
          </w:tcPr>
          <w:p w14:paraId="25CF9D95">
            <w:pPr>
              <w:keepNext w:val="0"/>
              <w:keepLines w:val="0"/>
              <w:widowControl/>
              <w:suppressLineNumbers w:val="0"/>
              <w:jc w:val="center"/>
              <w:textAlignment w:val="center"/>
              <w:rPr>
                <w:rFonts w:ascii="宋体" w:hAnsi="宋体" w:eastAsia="宋体" w:cs="宋体"/>
                <w:sz w:val="24"/>
                <w:szCs w:val="24"/>
                <w:lang w:val="en-US" w:eastAsia="zh-CN" w:bidi="ar-SA"/>
              </w:rPr>
            </w:pPr>
            <w:r>
              <w:rPr>
                <w:rFonts w:hint="eastAsia" w:ascii="宋体" w:hAnsi="宋体" w:eastAsia="宋体" w:cs="宋体"/>
                <w:i w:val="0"/>
                <w:iCs w:val="0"/>
                <w:color w:val="000000"/>
                <w:kern w:val="0"/>
                <w:sz w:val="24"/>
                <w:szCs w:val="24"/>
                <w:u w:val="none"/>
                <w:lang w:val="en-US" w:eastAsia="zh-CN" w:bidi="ar"/>
              </w:rPr>
              <w:t>0.04752</w:t>
            </w:r>
          </w:p>
        </w:tc>
        <w:tc>
          <w:tcPr>
            <w:tcW w:w="730" w:type="dxa"/>
            <w:vMerge w:val="continue"/>
            <w:tcBorders>
              <w:left w:val="single" w:color="000000" w:sz="4" w:space="0"/>
              <w:right w:val="single" w:color="000000" w:sz="4" w:space="0"/>
            </w:tcBorders>
            <w:noWrap w:val="0"/>
            <w:tcMar>
              <w:left w:w="108" w:type="dxa"/>
              <w:right w:w="108" w:type="dxa"/>
            </w:tcMar>
            <w:vAlign w:val="center"/>
          </w:tcPr>
          <w:p w14:paraId="79375E94">
            <w:pPr>
              <w:snapToGrid w:val="0"/>
              <w:ind w:left="0" w:leftChars="0" w:right="0" w:rightChars="0" w:firstLine="0" w:firstLineChars="0"/>
              <w:jc w:val="center"/>
            </w:pPr>
          </w:p>
        </w:tc>
        <w:tc>
          <w:tcPr>
            <w:tcW w:w="738" w:type="dxa"/>
            <w:vMerge w:val="continue"/>
            <w:tcBorders>
              <w:left w:val="single" w:color="000000" w:sz="4" w:space="0"/>
              <w:right w:val="single" w:color="000000" w:sz="4" w:space="0"/>
            </w:tcBorders>
            <w:noWrap w:val="0"/>
            <w:tcMar>
              <w:left w:w="108" w:type="dxa"/>
              <w:right w:w="108" w:type="dxa"/>
            </w:tcMar>
            <w:vAlign w:val="center"/>
          </w:tcPr>
          <w:p w14:paraId="39E60CF9">
            <w:pPr>
              <w:snapToGrid w:val="0"/>
              <w:ind w:left="0" w:leftChars="0" w:right="0" w:rightChars="0" w:firstLine="0" w:firstLineChars="0"/>
              <w:jc w:val="center"/>
            </w:pPr>
          </w:p>
        </w:tc>
        <w:tc>
          <w:tcPr>
            <w:tcW w:w="718" w:type="dxa"/>
            <w:vMerge w:val="continue"/>
            <w:tcBorders>
              <w:left w:val="single" w:color="000000" w:sz="4" w:space="0"/>
              <w:right w:val="single" w:color="000000" w:sz="4" w:space="0"/>
            </w:tcBorders>
            <w:noWrap w:val="0"/>
            <w:tcMar>
              <w:left w:w="108" w:type="dxa"/>
              <w:right w:w="108" w:type="dxa"/>
            </w:tcMar>
            <w:vAlign w:val="center"/>
          </w:tcPr>
          <w:p w14:paraId="06056FE2">
            <w:pPr>
              <w:snapToGrid w:val="0"/>
              <w:ind w:left="0" w:leftChars="0" w:right="0" w:rightChars="0" w:firstLine="0" w:firstLineChars="0"/>
              <w:jc w:val="center"/>
            </w:pPr>
          </w:p>
        </w:tc>
        <w:tc>
          <w:tcPr>
            <w:tcW w:w="738" w:type="dxa"/>
            <w:vMerge w:val="continue"/>
            <w:tcBorders>
              <w:left w:val="single" w:color="000000" w:sz="4" w:space="0"/>
              <w:right w:val="single" w:color="000000" w:sz="4" w:space="0"/>
            </w:tcBorders>
            <w:noWrap w:val="0"/>
            <w:tcMar>
              <w:left w:w="108" w:type="dxa"/>
              <w:right w:w="108" w:type="dxa"/>
            </w:tcMar>
            <w:vAlign w:val="center"/>
          </w:tcPr>
          <w:p w14:paraId="44B06807">
            <w:pPr>
              <w:snapToGrid w:val="0"/>
              <w:ind w:left="0" w:leftChars="0" w:right="0" w:rightChars="0" w:firstLine="0" w:firstLineChars="0"/>
              <w:jc w:val="center"/>
            </w:pPr>
          </w:p>
        </w:tc>
        <w:tc>
          <w:tcPr>
            <w:tcW w:w="751" w:type="dxa"/>
            <w:vMerge w:val="continue"/>
            <w:tcBorders>
              <w:left w:val="single" w:color="000000" w:sz="4" w:space="0"/>
              <w:right w:val="single" w:color="000000" w:sz="4" w:space="0"/>
            </w:tcBorders>
            <w:noWrap w:val="0"/>
            <w:tcMar>
              <w:left w:w="108" w:type="dxa"/>
              <w:right w:w="108" w:type="dxa"/>
            </w:tcMar>
            <w:vAlign w:val="center"/>
          </w:tcPr>
          <w:p w14:paraId="3EA5A747">
            <w:pPr>
              <w:snapToGrid w:val="0"/>
              <w:ind w:left="0" w:leftChars="0" w:right="0" w:rightChars="0" w:firstLine="0" w:firstLineChars="0"/>
              <w:jc w:val="center"/>
            </w:pPr>
          </w:p>
        </w:tc>
        <w:tc>
          <w:tcPr>
            <w:tcW w:w="473" w:type="dxa"/>
            <w:vMerge w:val="continue"/>
            <w:tcBorders>
              <w:left w:val="single" w:color="000000" w:sz="4" w:space="0"/>
              <w:right w:val="single" w:color="000000" w:sz="4" w:space="0"/>
            </w:tcBorders>
            <w:noWrap w:val="0"/>
            <w:tcMar>
              <w:left w:w="108" w:type="dxa"/>
              <w:right w:w="108" w:type="dxa"/>
            </w:tcMar>
            <w:vAlign w:val="center"/>
          </w:tcPr>
          <w:p w14:paraId="1B6754DB">
            <w:pPr>
              <w:snapToGrid w:val="0"/>
              <w:ind w:left="0" w:leftChars="0" w:right="0" w:rightChars="0" w:firstLine="0" w:firstLineChars="0"/>
              <w:jc w:val="center"/>
            </w:pPr>
          </w:p>
        </w:tc>
      </w:tr>
      <w:tr w14:paraId="55F4E4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599" w:type="dxa"/>
            <w:vMerge w:val="continue"/>
            <w:tcBorders>
              <w:left w:val="single" w:color="000000" w:sz="4" w:space="0"/>
              <w:right w:val="single" w:color="000000" w:sz="4" w:space="0"/>
            </w:tcBorders>
            <w:noWrap w:val="0"/>
            <w:tcMar>
              <w:left w:w="108" w:type="dxa"/>
              <w:right w:w="108" w:type="dxa"/>
            </w:tcMar>
            <w:vAlign w:val="center"/>
          </w:tcPr>
          <w:p w14:paraId="05D24254">
            <w:pPr>
              <w:snapToGrid w:val="0"/>
              <w:ind w:left="0" w:leftChars="0" w:right="0" w:rightChars="0" w:firstLine="0" w:firstLineChars="0"/>
              <w:jc w:val="center"/>
            </w:pPr>
          </w:p>
        </w:tc>
        <w:tc>
          <w:tcPr>
            <w:tcW w:w="662" w:type="dxa"/>
            <w:vMerge w:val="continue"/>
            <w:tcBorders>
              <w:left w:val="single" w:color="000000" w:sz="4" w:space="0"/>
              <w:right w:val="single" w:color="000000" w:sz="4" w:space="0"/>
            </w:tcBorders>
            <w:noWrap w:val="0"/>
            <w:tcMar>
              <w:left w:w="108" w:type="dxa"/>
              <w:right w:w="108" w:type="dxa"/>
            </w:tcMar>
            <w:vAlign w:val="center"/>
          </w:tcPr>
          <w:p w14:paraId="719D8996">
            <w:pPr>
              <w:snapToGrid w:val="0"/>
              <w:ind w:left="0" w:leftChars="0" w:right="0" w:rightChars="0" w:firstLine="0" w:firstLineChars="0"/>
              <w:jc w:val="center"/>
            </w:pPr>
          </w:p>
        </w:tc>
        <w:tc>
          <w:tcPr>
            <w:tcW w:w="662" w:type="dxa"/>
            <w:vMerge w:val="continue"/>
            <w:tcBorders>
              <w:left w:val="single" w:color="000000" w:sz="4" w:space="0"/>
              <w:right w:val="single" w:color="000000" w:sz="4" w:space="0"/>
            </w:tcBorders>
            <w:noWrap w:val="0"/>
            <w:tcMar>
              <w:left w:w="108" w:type="dxa"/>
              <w:right w:w="108" w:type="dxa"/>
            </w:tcMar>
            <w:vAlign w:val="center"/>
          </w:tcPr>
          <w:p w14:paraId="67CC5CC4">
            <w:pPr>
              <w:keepNext w:val="0"/>
              <w:keepLines w:val="0"/>
              <w:widowControl/>
              <w:suppressLineNumbers w:val="0"/>
              <w:jc w:val="center"/>
              <w:textAlignment w:val="center"/>
            </w:pPr>
          </w:p>
        </w:tc>
        <w:tc>
          <w:tcPr>
            <w:tcW w:w="410"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4F49AE03">
            <w:pPr>
              <w:jc w:val="center"/>
              <w:rPr>
                <w:rFonts w:hint="default" w:ascii="Times New Roman" w:hAnsi="Times New Roman" w:cs="Times New Roman"/>
                <w:b w:val="0"/>
                <w:bCs/>
                <w:sz w:val="21"/>
                <w:szCs w:val="21"/>
              </w:rPr>
            </w:pPr>
            <w:r>
              <w:rPr>
                <w:rFonts w:hint="default" w:ascii="Times New Roman" w:hAnsi="Times New Roman" w:cs="Times New Roman"/>
                <w:b w:val="0"/>
                <w:bCs/>
                <w:sz w:val="21"/>
                <w:szCs w:val="21"/>
              </w:rPr>
              <w:t>氨</w:t>
            </w:r>
          </w:p>
        </w:tc>
        <w:tc>
          <w:tcPr>
            <w:tcW w:w="473"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27C93281">
            <w:pPr>
              <w:snapToGrid w:val="0"/>
              <w:ind w:left="0" w:leftChars="0" w:right="0" w:rightChars="0" w:firstLine="0" w:firstLineChars="0"/>
              <w:jc w:val="center"/>
            </w:pPr>
            <w:r>
              <w:t>类比法</w:t>
            </w:r>
          </w:p>
        </w:tc>
        <w:tc>
          <w:tcPr>
            <w:tcW w:w="718" w:type="dxa"/>
            <w:tcBorders>
              <w:top w:val="single" w:color="000000" w:sz="4" w:space="0"/>
              <w:left w:val="single" w:color="000000" w:sz="4" w:space="0"/>
              <w:bottom w:val="single" w:color="000000" w:sz="4" w:space="0"/>
              <w:right w:val="single" w:color="000000" w:sz="4" w:space="0"/>
            </w:tcBorders>
            <w:shd w:val="clear" w:color="auto" w:fill="auto"/>
            <w:noWrap w:val="0"/>
            <w:tcMar>
              <w:left w:w="108" w:type="dxa"/>
              <w:right w:w="108" w:type="dxa"/>
            </w:tcMar>
            <w:vAlign w:val="center"/>
          </w:tcPr>
          <w:p w14:paraId="68A06E9B">
            <w:pPr>
              <w:keepNext w:val="0"/>
              <w:keepLines w:val="0"/>
              <w:widowControl/>
              <w:suppressLineNumbers w:val="0"/>
              <w:jc w:val="center"/>
              <w:textAlignment w:val="center"/>
              <w:rPr>
                <w:rFonts w:ascii="宋体" w:hAnsi="宋体" w:eastAsia="宋体" w:cs="宋体"/>
                <w:sz w:val="24"/>
                <w:szCs w:val="24"/>
                <w:lang w:val="en-US" w:eastAsia="zh-CN" w:bidi="ar-SA"/>
              </w:rPr>
            </w:pPr>
            <w:r>
              <w:rPr>
                <w:rFonts w:hint="default" w:ascii="Times New Roman" w:hAnsi="Times New Roman" w:eastAsia="宋体" w:cs="Times New Roman"/>
                <w:b w:val="0"/>
                <w:bCs w:val="0"/>
                <w:i w:val="0"/>
                <w:iCs w:val="0"/>
                <w:color w:val="000000"/>
                <w:kern w:val="0"/>
                <w:sz w:val="21"/>
                <w:szCs w:val="21"/>
                <w:u w:val="none"/>
                <w:lang w:val="en-US" w:eastAsia="zh-CN" w:bidi="ar"/>
              </w:rPr>
              <w:t>1.87</w:t>
            </w:r>
          </w:p>
        </w:tc>
        <w:tc>
          <w:tcPr>
            <w:tcW w:w="798" w:type="dxa"/>
            <w:tcBorders>
              <w:top w:val="single" w:color="000000" w:sz="4" w:space="0"/>
              <w:left w:val="single" w:color="000000" w:sz="4" w:space="0"/>
              <w:bottom w:val="single" w:color="000000" w:sz="4" w:space="0"/>
              <w:right w:val="single" w:color="000000" w:sz="4" w:space="0"/>
            </w:tcBorders>
            <w:shd w:val="clear" w:color="auto" w:fill="auto"/>
            <w:noWrap w:val="0"/>
            <w:tcMar>
              <w:left w:w="108" w:type="dxa"/>
              <w:right w:w="108" w:type="dxa"/>
            </w:tcMar>
            <w:vAlign w:val="center"/>
          </w:tcPr>
          <w:p w14:paraId="7F42774C">
            <w:pPr>
              <w:keepNext w:val="0"/>
              <w:keepLines w:val="0"/>
              <w:widowControl/>
              <w:suppressLineNumbers w:val="0"/>
              <w:jc w:val="center"/>
              <w:textAlignment w:val="center"/>
              <w:rPr>
                <w:rFonts w:ascii="宋体" w:hAnsi="宋体" w:eastAsia="宋体" w:cs="宋体"/>
                <w:sz w:val="24"/>
                <w:szCs w:val="24"/>
                <w:lang w:val="en-US" w:eastAsia="zh-CN" w:bidi="ar-SA"/>
              </w:rPr>
            </w:pPr>
            <w:r>
              <w:rPr>
                <w:rFonts w:hint="default" w:ascii="Times New Roman" w:hAnsi="Times New Roman" w:eastAsia="宋体" w:cs="Times New Roman"/>
                <w:b w:val="0"/>
                <w:bCs/>
                <w:i w:val="0"/>
                <w:iCs w:val="0"/>
                <w:color w:val="000000"/>
                <w:kern w:val="0"/>
                <w:sz w:val="21"/>
                <w:szCs w:val="21"/>
                <w:u w:val="none"/>
                <w:lang w:val="en-US" w:eastAsia="zh-CN" w:bidi="ar"/>
              </w:rPr>
              <w:t>0.504</w:t>
            </w:r>
          </w:p>
        </w:tc>
        <w:tc>
          <w:tcPr>
            <w:tcW w:w="790" w:type="dxa"/>
            <w:tcBorders>
              <w:top w:val="single" w:color="000000" w:sz="4" w:space="0"/>
              <w:left w:val="single" w:color="000000" w:sz="4" w:space="0"/>
              <w:bottom w:val="single" w:color="000000" w:sz="4" w:space="0"/>
              <w:right w:val="single" w:color="000000" w:sz="4" w:space="0"/>
            </w:tcBorders>
            <w:shd w:val="clear" w:color="auto" w:fill="auto"/>
            <w:noWrap w:val="0"/>
            <w:tcMar>
              <w:left w:w="108" w:type="dxa"/>
              <w:right w:w="108" w:type="dxa"/>
            </w:tcMar>
            <w:vAlign w:val="center"/>
          </w:tcPr>
          <w:p w14:paraId="4200761E">
            <w:pPr>
              <w:keepNext w:val="0"/>
              <w:keepLines w:val="0"/>
              <w:widowControl/>
              <w:suppressLineNumbers w:val="0"/>
              <w:jc w:val="center"/>
              <w:textAlignment w:val="center"/>
              <w:rPr>
                <w:rFonts w:ascii="宋体" w:hAnsi="宋体" w:eastAsia="宋体" w:cs="宋体"/>
                <w:sz w:val="24"/>
                <w:szCs w:val="24"/>
                <w:lang w:val="en-US" w:eastAsia="zh-CN" w:bidi="ar-SA"/>
              </w:rPr>
            </w:pPr>
            <w:r>
              <w:rPr>
                <w:rFonts w:hint="eastAsia" w:ascii="宋体" w:hAnsi="宋体" w:eastAsia="宋体" w:cs="宋体"/>
                <w:i w:val="0"/>
                <w:iCs w:val="0"/>
                <w:color w:val="000000"/>
                <w:kern w:val="0"/>
                <w:sz w:val="24"/>
                <w:szCs w:val="24"/>
                <w:u w:val="none"/>
                <w:lang w:val="en-US" w:eastAsia="zh-CN" w:bidi="ar"/>
              </w:rPr>
              <w:t>3.99168</w:t>
            </w:r>
          </w:p>
        </w:tc>
        <w:tc>
          <w:tcPr>
            <w:tcW w:w="662" w:type="dxa"/>
            <w:vMerge w:val="continue"/>
            <w:tcBorders>
              <w:left w:val="single" w:color="000000" w:sz="4" w:space="0"/>
              <w:right w:val="single" w:color="000000" w:sz="4" w:space="0"/>
            </w:tcBorders>
            <w:noWrap w:val="0"/>
            <w:tcMar>
              <w:left w:w="108" w:type="dxa"/>
              <w:right w:w="108" w:type="dxa"/>
            </w:tcMar>
            <w:vAlign w:val="center"/>
          </w:tcPr>
          <w:p w14:paraId="69AA0A5E">
            <w:pPr>
              <w:snapToGrid w:val="0"/>
              <w:ind w:left="0" w:leftChars="0" w:right="0" w:rightChars="0" w:firstLine="0" w:firstLineChars="0"/>
              <w:jc w:val="center"/>
            </w:pPr>
          </w:p>
        </w:tc>
        <w:tc>
          <w:tcPr>
            <w:tcW w:w="662" w:type="dxa"/>
            <w:vMerge w:val="continue"/>
            <w:tcBorders>
              <w:left w:val="single" w:color="000000" w:sz="4" w:space="0"/>
              <w:right w:val="single" w:color="000000" w:sz="4" w:space="0"/>
            </w:tcBorders>
            <w:noWrap w:val="0"/>
            <w:tcMar>
              <w:left w:w="108" w:type="dxa"/>
              <w:right w:w="108" w:type="dxa"/>
            </w:tcMar>
            <w:vAlign w:val="center"/>
          </w:tcPr>
          <w:p w14:paraId="1C0985FC">
            <w:pPr>
              <w:snapToGrid w:val="0"/>
              <w:ind w:left="0" w:leftChars="0" w:right="0" w:rightChars="0" w:firstLine="0" w:firstLineChars="0"/>
              <w:jc w:val="cente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tcMar>
              <w:left w:w="108" w:type="dxa"/>
              <w:right w:w="108" w:type="dxa"/>
            </w:tcMar>
            <w:vAlign w:val="center"/>
          </w:tcPr>
          <w:p w14:paraId="2C6CCF9C">
            <w:pPr>
              <w:snapToGrid w:val="0"/>
              <w:ind w:left="0" w:leftChars="0" w:right="0" w:rightChars="0" w:firstLine="0" w:firstLineChars="0"/>
              <w:jc w:val="center"/>
              <w:rPr>
                <w:rFonts w:hint="eastAsia" w:ascii="宋体" w:hAnsi="宋体" w:eastAsia="宋体" w:cs="宋体"/>
                <w:sz w:val="24"/>
                <w:szCs w:val="24"/>
                <w:lang w:val="en-US" w:eastAsia="zh-CN" w:bidi="ar-SA"/>
              </w:rPr>
            </w:pPr>
            <w:r>
              <w:rPr>
                <w:rFonts w:hint="eastAsia"/>
                <w:lang w:val="en-US" w:eastAsia="zh-CN"/>
              </w:rPr>
              <w:t>/</w:t>
            </w:r>
          </w:p>
        </w:tc>
        <w:tc>
          <w:tcPr>
            <w:tcW w:w="594"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1534F97C">
            <w:pPr>
              <w:keepNext w:val="0"/>
              <w:keepLines w:val="0"/>
              <w:widowControl/>
              <w:suppressLineNumbers w:val="0"/>
              <w:jc w:val="center"/>
              <w:textAlignment w:val="center"/>
            </w:pPr>
            <w:r>
              <w:rPr>
                <w:rFonts w:hint="eastAsia" w:ascii="宋体" w:hAnsi="宋体" w:eastAsia="宋体" w:cs="宋体"/>
                <w:i w:val="0"/>
                <w:iCs w:val="0"/>
                <w:color w:val="000000"/>
                <w:kern w:val="0"/>
                <w:sz w:val="24"/>
                <w:szCs w:val="24"/>
                <w:u w:val="none"/>
                <w:lang w:val="en-US" w:eastAsia="zh-CN" w:bidi="ar"/>
              </w:rPr>
              <w:t>2.8</w:t>
            </w:r>
          </w:p>
        </w:tc>
        <w:tc>
          <w:tcPr>
            <w:tcW w:w="883"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1D01FF7E">
            <w:pPr>
              <w:keepNext w:val="0"/>
              <w:keepLines w:val="0"/>
              <w:widowControl/>
              <w:suppressLineNumbers w:val="0"/>
              <w:jc w:val="center"/>
              <w:textAlignment w:val="center"/>
            </w:pPr>
            <w:r>
              <w:rPr>
                <w:rFonts w:hint="default" w:ascii="Times New Roman" w:hAnsi="Times New Roman" w:eastAsia="宋体" w:cs="Times New Roman"/>
                <w:i w:val="0"/>
                <w:iCs w:val="0"/>
                <w:color w:val="000000"/>
                <w:kern w:val="0"/>
                <w:sz w:val="24"/>
                <w:szCs w:val="24"/>
                <w:u w:val="none"/>
                <w:lang w:val="en-US" w:eastAsia="zh-CN" w:bidi="ar"/>
              </w:rPr>
              <w:t>0.504</w:t>
            </w:r>
          </w:p>
        </w:tc>
        <w:tc>
          <w:tcPr>
            <w:tcW w:w="774" w:type="dxa"/>
            <w:tcBorders>
              <w:top w:val="single" w:color="000000" w:sz="4" w:space="0"/>
              <w:left w:val="single" w:color="000000" w:sz="4" w:space="0"/>
              <w:bottom w:val="single" w:color="000000" w:sz="4" w:space="0"/>
              <w:right w:val="single" w:color="000000" w:sz="4" w:space="0"/>
            </w:tcBorders>
            <w:shd w:val="clear" w:color="auto" w:fill="auto"/>
            <w:noWrap w:val="0"/>
            <w:tcMar>
              <w:left w:w="108" w:type="dxa"/>
              <w:right w:w="108" w:type="dxa"/>
            </w:tcMar>
            <w:vAlign w:val="center"/>
          </w:tcPr>
          <w:p w14:paraId="775F987C">
            <w:pPr>
              <w:keepNext w:val="0"/>
              <w:keepLines w:val="0"/>
              <w:widowControl/>
              <w:suppressLineNumbers w:val="0"/>
              <w:jc w:val="center"/>
              <w:textAlignment w:val="center"/>
              <w:rPr>
                <w:rFonts w:hint="eastAsia" w:ascii="宋体" w:hAnsi="宋体" w:eastAsia="宋体" w:cs="宋体"/>
                <w:i w:val="0"/>
                <w:iCs w:val="0"/>
                <w:color w:val="000000"/>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3.99168</w:t>
            </w:r>
          </w:p>
        </w:tc>
        <w:tc>
          <w:tcPr>
            <w:tcW w:w="730" w:type="dxa"/>
            <w:vMerge w:val="continue"/>
            <w:tcBorders>
              <w:left w:val="single" w:color="000000" w:sz="4" w:space="0"/>
              <w:right w:val="single" w:color="000000" w:sz="4" w:space="0"/>
            </w:tcBorders>
            <w:noWrap w:val="0"/>
            <w:tcMar>
              <w:left w:w="108" w:type="dxa"/>
              <w:right w:w="108" w:type="dxa"/>
            </w:tcMar>
            <w:vAlign w:val="center"/>
          </w:tcPr>
          <w:p w14:paraId="3AF86070">
            <w:pPr>
              <w:snapToGrid w:val="0"/>
              <w:ind w:left="0" w:leftChars="0" w:right="0" w:rightChars="0" w:firstLine="0" w:firstLineChars="0"/>
              <w:jc w:val="center"/>
            </w:pPr>
          </w:p>
        </w:tc>
        <w:tc>
          <w:tcPr>
            <w:tcW w:w="738" w:type="dxa"/>
            <w:vMerge w:val="continue"/>
            <w:tcBorders>
              <w:left w:val="single" w:color="000000" w:sz="4" w:space="0"/>
              <w:right w:val="single" w:color="000000" w:sz="4" w:space="0"/>
            </w:tcBorders>
            <w:noWrap w:val="0"/>
            <w:tcMar>
              <w:left w:w="108" w:type="dxa"/>
              <w:right w:w="108" w:type="dxa"/>
            </w:tcMar>
            <w:vAlign w:val="center"/>
          </w:tcPr>
          <w:p w14:paraId="517B6DFE">
            <w:pPr>
              <w:snapToGrid w:val="0"/>
              <w:ind w:left="0" w:leftChars="0" w:right="0" w:rightChars="0" w:firstLine="0" w:firstLineChars="0"/>
              <w:jc w:val="center"/>
            </w:pPr>
          </w:p>
        </w:tc>
        <w:tc>
          <w:tcPr>
            <w:tcW w:w="718" w:type="dxa"/>
            <w:vMerge w:val="continue"/>
            <w:tcBorders>
              <w:left w:val="single" w:color="000000" w:sz="4" w:space="0"/>
              <w:right w:val="single" w:color="000000" w:sz="4" w:space="0"/>
            </w:tcBorders>
            <w:noWrap w:val="0"/>
            <w:tcMar>
              <w:left w:w="108" w:type="dxa"/>
              <w:right w:w="108" w:type="dxa"/>
            </w:tcMar>
            <w:vAlign w:val="center"/>
          </w:tcPr>
          <w:p w14:paraId="107046A8">
            <w:pPr>
              <w:snapToGrid w:val="0"/>
              <w:ind w:left="0" w:leftChars="0" w:right="0" w:rightChars="0" w:firstLine="0" w:firstLineChars="0"/>
              <w:jc w:val="center"/>
            </w:pPr>
          </w:p>
        </w:tc>
        <w:tc>
          <w:tcPr>
            <w:tcW w:w="738" w:type="dxa"/>
            <w:vMerge w:val="continue"/>
            <w:tcBorders>
              <w:left w:val="single" w:color="000000" w:sz="4" w:space="0"/>
              <w:right w:val="single" w:color="000000" w:sz="4" w:space="0"/>
            </w:tcBorders>
            <w:noWrap w:val="0"/>
            <w:tcMar>
              <w:left w:w="108" w:type="dxa"/>
              <w:right w:w="108" w:type="dxa"/>
            </w:tcMar>
            <w:vAlign w:val="center"/>
          </w:tcPr>
          <w:p w14:paraId="680CD429">
            <w:pPr>
              <w:snapToGrid w:val="0"/>
              <w:ind w:left="0" w:leftChars="0" w:right="0" w:rightChars="0" w:firstLine="0" w:firstLineChars="0"/>
              <w:jc w:val="center"/>
            </w:pPr>
          </w:p>
        </w:tc>
        <w:tc>
          <w:tcPr>
            <w:tcW w:w="751" w:type="dxa"/>
            <w:vMerge w:val="continue"/>
            <w:tcBorders>
              <w:left w:val="single" w:color="000000" w:sz="4" w:space="0"/>
              <w:right w:val="single" w:color="000000" w:sz="4" w:space="0"/>
            </w:tcBorders>
            <w:noWrap w:val="0"/>
            <w:tcMar>
              <w:left w:w="108" w:type="dxa"/>
              <w:right w:w="108" w:type="dxa"/>
            </w:tcMar>
            <w:vAlign w:val="center"/>
          </w:tcPr>
          <w:p w14:paraId="7FE5E87C">
            <w:pPr>
              <w:snapToGrid w:val="0"/>
              <w:ind w:left="0" w:leftChars="0" w:right="0" w:rightChars="0" w:firstLine="0" w:firstLineChars="0"/>
              <w:jc w:val="center"/>
            </w:pPr>
          </w:p>
        </w:tc>
        <w:tc>
          <w:tcPr>
            <w:tcW w:w="473" w:type="dxa"/>
            <w:vMerge w:val="continue"/>
            <w:tcBorders>
              <w:left w:val="single" w:color="000000" w:sz="4" w:space="0"/>
              <w:right w:val="single" w:color="000000" w:sz="4" w:space="0"/>
            </w:tcBorders>
            <w:noWrap w:val="0"/>
            <w:tcMar>
              <w:left w:w="108" w:type="dxa"/>
              <w:right w:w="108" w:type="dxa"/>
            </w:tcMar>
            <w:vAlign w:val="center"/>
          </w:tcPr>
          <w:p w14:paraId="3737327D">
            <w:pPr>
              <w:snapToGrid w:val="0"/>
              <w:ind w:left="0" w:leftChars="0" w:right="0" w:rightChars="0" w:firstLine="0" w:firstLineChars="0"/>
              <w:jc w:val="center"/>
            </w:pPr>
          </w:p>
        </w:tc>
      </w:tr>
      <w:tr w14:paraId="3452B2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599" w:type="dxa"/>
            <w:vMerge w:val="continue"/>
            <w:tcBorders>
              <w:left w:val="single" w:color="000000" w:sz="4" w:space="0"/>
              <w:bottom w:val="single" w:color="000000" w:sz="4" w:space="0"/>
              <w:right w:val="single" w:color="000000" w:sz="4" w:space="0"/>
            </w:tcBorders>
            <w:noWrap w:val="0"/>
            <w:tcMar>
              <w:left w:w="108" w:type="dxa"/>
              <w:right w:w="108" w:type="dxa"/>
            </w:tcMar>
            <w:vAlign w:val="center"/>
          </w:tcPr>
          <w:p w14:paraId="1B8DF56E">
            <w:pPr>
              <w:snapToGrid w:val="0"/>
              <w:ind w:left="0" w:leftChars="0" w:right="0" w:rightChars="0" w:firstLine="0" w:firstLineChars="0"/>
              <w:jc w:val="center"/>
            </w:pPr>
          </w:p>
        </w:tc>
        <w:tc>
          <w:tcPr>
            <w:tcW w:w="662" w:type="dxa"/>
            <w:vMerge w:val="continue"/>
            <w:tcBorders>
              <w:left w:val="single" w:color="000000" w:sz="4" w:space="0"/>
              <w:bottom w:val="single" w:color="000000" w:sz="4" w:space="0"/>
              <w:right w:val="single" w:color="000000" w:sz="4" w:space="0"/>
            </w:tcBorders>
            <w:noWrap w:val="0"/>
            <w:tcMar>
              <w:left w:w="108" w:type="dxa"/>
              <w:right w:w="108" w:type="dxa"/>
            </w:tcMar>
            <w:vAlign w:val="center"/>
          </w:tcPr>
          <w:p w14:paraId="614A0855">
            <w:pPr>
              <w:snapToGrid w:val="0"/>
              <w:ind w:left="0" w:leftChars="0" w:right="0" w:rightChars="0" w:firstLine="0" w:firstLineChars="0"/>
              <w:jc w:val="center"/>
            </w:pPr>
          </w:p>
        </w:tc>
        <w:tc>
          <w:tcPr>
            <w:tcW w:w="662" w:type="dxa"/>
            <w:vMerge w:val="continue"/>
            <w:tcBorders>
              <w:left w:val="single" w:color="000000" w:sz="4" w:space="0"/>
              <w:bottom w:val="single" w:color="000000" w:sz="4" w:space="0"/>
              <w:right w:val="single" w:color="000000" w:sz="4" w:space="0"/>
            </w:tcBorders>
            <w:noWrap w:val="0"/>
            <w:tcMar>
              <w:left w:w="108" w:type="dxa"/>
              <w:right w:w="108" w:type="dxa"/>
            </w:tcMar>
            <w:vAlign w:val="center"/>
          </w:tcPr>
          <w:p w14:paraId="53030257">
            <w:pPr>
              <w:keepNext w:val="0"/>
              <w:keepLines w:val="0"/>
              <w:widowControl/>
              <w:suppressLineNumbers w:val="0"/>
              <w:jc w:val="center"/>
              <w:textAlignment w:val="center"/>
            </w:pPr>
          </w:p>
        </w:tc>
        <w:tc>
          <w:tcPr>
            <w:tcW w:w="410"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702BDCFC">
            <w:pPr>
              <w:jc w:val="center"/>
              <w:rPr>
                <w:rFonts w:hint="default" w:ascii="Times New Roman" w:hAnsi="Times New Roman" w:cs="Times New Roman"/>
                <w:b w:val="0"/>
                <w:bCs/>
                <w:sz w:val="21"/>
                <w:szCs w:val="21"/>
              </w:rPr>
            </w:pPr>
            <w:r>
              <w:rPr>
                <w:rFonts w:hint="default" w:ascii="Times New Roman" w:hAnsi="Times New Roman" w:cs="Times New Roman"/>
                <w:b w:val="0"/>
                <w:bCs/>
                <w:sz w:val="21"/>
                <w:szCs w:val="21"/>
              </w:rPr>
              <w:t>二噁英类</w:t>
            </w:r>
          </w:p>
        </w:tc>
        <w:tc>
          <w:tcPr>
            <w:tcW w:w="473"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72D442F8">
            <w:pPr>
              <w:snapToGrid w:val="0"/>
              <w:ind w:left="0" w:leftChars="0" w:right="0" w:rightChars="0" w:firstLine="0" w:firstLineChars="0"/>
              <w:jc w:val="center"/>
            </w:pPr>
            <w:r>
              <w:t>类比法</w:t>
            </w:r>
          </w:p>
        </w:tc>
        <w:tc>
          <w:tcPr>
            <w:tcW w:w="718"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468CC3E2">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kern w:val="0"/>
                <w:sz w:val="21"/>
                <w:szCs w:val="21"/>
                <w:u w:val="none"/>
                <w:lang w:val="en-US" w:eastAsia="zh-CN" w:bidi="ar"/>
              </w:rPr>
            </w:pPr>
            <w:r>
              <w:rPr>
                <w:rFonts w:hint="default" w:ascii="Times New Roman" w:hAnsi="Times New Roman" w:eastAsia="宋体" w:cs="Times New Roman"/>
                <w:b w:val="0"/>
                <w:bCs w:val="0"/>
                <w:i w:val="0"/>
                <w:iCs w:val="0"/>
                <w:color w:val="000000"/>
                <w:kern w:val="0"/>
                <w:sz w:val="21"/>
                <w:szCs w:val="21"/>
                <w:u w:val="none"/>
                <w:lang w:val="en-US" w:eastAsia="zh-CN" w:bidi="ar"/>
              </w:rPr>
              <w:t xml:space="preserve">0.00000031 </w:t>
            </w:r>
          </w:p>
        </w:tc>
        <w:tc>
          <w:tcPr>
            <w:tcW w:w="798"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59FF6713">
            <w:pPr>
              <w:jc w:val="center"/>
              <w:rPr>
                <w:rFonts w:hint="default" w:ascii="Times New Roman" w:hAnsi="Times New Roman" w:cs="Times New Roman"/>
                <w:b w:val="0"/>
                <w:bCs/>
                <w:sz w:val="21"/>
                <w:szCs w:val="21"/>
                <w:highlight w:val="none"/>
                <w:lang w:val="en-US" w:eastAsia="zh-CN"/>
              </w:rPr>
            </w:pPr>
            <w:r>
              <w:rPr>
                <w:rFonts w:hint="default" w:ascii="Times New Roman" w:hAnsi="Times New Roman" w:cs="Times New Roman"/>
                <w:b w:val="0"/>
                <w:bCs/>
                <w:sz w:val="21"/>
                <w:szCs w:val="21"/>
                <w:highlight w:val="none"/>
                <w:lang w:val="en-US" w:eastAsia="zh-CN"/>
              </w:rPr>
              <w:t>8.3</w:t>
            </w:r>
            <w:r>
              <w:rPr>
                <w:rFonts w:hint="default" w:ascii="Times New Roman" w:hAnsi="Times New Roman" w:cs="Times New Roman"/>
                <w:b w:val="0"/>
                <w:bCs/>
                <w:sz w:val="21"/>
                <w:szCs w:val="21"/>
                <w:highlight w:val="none"/>
              </w:rPr>
              <w:t>×10</w:t>
            </w:r>
            <w:r>
              <w:rPr>
                <w:rFonts w:hint="default" w:ascii="Times New Roman" w:hAnsi="Times New Roman" w:cs="Times New Roman"/>
                <w:b w:val="0"/>
                <w:bCs/>
                <w:sz w:val="21"/>
                <w:szCs w:val="21"/>
                <w:highlight w:val="none"/>
                <w:vertAlign w:val="superscript"/>
                <w:lang w:val="en-US" w:eastAsia="zh-CN"/>
              </w:rPr>
              <w:t>-5</w:t>
            </w:r>
            <w:r>
              <w:rPr>
                <w:rFonts w:hint="default" w:ascii="Times New Roman" w:hAnsi="Times New Roman" w:cs="Times New Roman"/>
                <w:b w:val="0"/>
                <w:bCs/>
                <w:sz w:val="21"/>
                <w:szCs w:val="21"/>
                <w:highlight w:val="none"/>
              </w:rPr>
              <w:t>g</w:t>
            </w:r>
            <w:r>
              <w:rPr>
                <w:rFonts w:hint="default" w:ascii="Times New Roman" w:hAnsi="Times New Roman" w:cs="Times New Roman"/>
                <w:b w:val="0"/>
                <w:bCs/>
                <w:sz w:val="21"/>
                <w:szCs w:val="21"/>
                <w:highlight w:val="none"/>
                <w:lang w:val="en-US" w:eastAsia="zh-CN"/>
              </w:rPr>
              <w:t>/h</w:t>
            </w:r>
          </w:p>
        </w:tc>
        <w:tc>
          <w:tcPr>
            <w:tcW w:w="790" w:type="dxa"/>
            <w:tcBorders>
              <w:top w:val="single" w:color="000000" w:sz="4" w:space="0"/>
              <w:left w:val="single" w:color="000000" w:sz="4" w:space="0"/>
              <w:bottom w:val="single" w:color="000000" w:sz="4" w:space="0"/>
              <w:right w:val="single" w:color="000000" w:sz="4" w:space="0"/>
            </w:tcBorders>
            <w:shd w:val="clear" w:color="auto" w:fill="auto"/>
            <w:noWrap w:val="0"/>
            <w:tcMar>
              <w:left w:w="108" w:type="dxa"/>
              <w:right w:w="108" w:type="dxa"/>
            </w:tcMar>
            <w:vAlign w:val="center"/>
          </w:tcPr>
          <w:p w14:paraId="10B69D36">
            <w:pPr>
              <w:keepNext w:val="0"/>
              <w:keepLines w:val="0"/>
              <w:widowControl/>
              <w:suppressLineNumbers w:val="0"/>
              <w:jc w:val="center"/>
              <w:textAlignment w:val="center"/>
              <w:rPr>
                <w:rFonts w:hint="eastAsia" w:ascii="宋体" w:hAnsi="宋体" w:eastAsia="宋体" w:cs="宋体"/>
                <w:i w:val="0"/>
                <w:iCs w:val="0"/>
                <w:color w:val="000000"/>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 xml:space="preserve">0.000001 </w:t>
            </w:r>
          </w:p>
        </w:tc>
        <w:tc>
          <w:tcPr>
            <w:tcW w:w="662" w:type="dxa"/>
            <w:vMerge w:val="continue"/>
            <w:tcBorders>
              <w:left w:val="single" w:color="000000" w:sz="4" w:space="0"/>
              <w:bottom w:val="single" w:color="000000" w:sz="4" w:space="0"/>
              <w:right w:val="single" w:color="000000" w:sz="4" w:space="0"/>
            </w:tcBorders>
            <w:noWrap w:val="0"/>
            <w:tcMar>
              <w:left w:w="108" w:type="dxa"/>
              <w:right w:w="108" w:type="dxa"/>
            </w:tcMar>
            <w:vAlign w:val="center"/>
          </w:tcPr>
          <w:p w14:paraId="22A2D05F">
            <w:pPr>
              <w:snapToGrid w:val="0"/>
              <w:ind w:left="0" w:leftChars="0" w:right="0" w:rightChars="0" w:firstLine="0" w:firstLineChars="0"/>
              <w:jc w:val="center"/>
            </w:pPr>
          </w:p>
        </w:tc>
        <w:tc>
          <w:tcPr>
            <w:tcW w:w="662" w:type="dxa"/>
            <w:vMerge w:val="continue"/>
            <w:tcBorders>
              <w:left w:val="single" w:color="000000" w:sz="4" w:space="0"/>
              <w:bottom w:val="single" w:color="000000" w:sz="4" w:space="0"/>
              <w:right w:val="single" w:color="000000" w:sz="4" w:space="0"/>
            </w:tcBorders>
            <w:noWrap w:val="0"/>
            <w:tcMar>
              <w:left w:w="108" w:type="dxa"/>
              <w:right w:w="108" w:type="dxa"/>
            </w:tcMar>
            <w:vAlign w:val="center"/>
          </w:tcPr>
          <w:p w14:paraId="74450DA2">
            <w:pPr>
              <w:snapToGrid w:val="0"/>
              <w:ind w:left="0" w:leftChars="0" w:right="0" w:rightChars="0" w:firstLine="0" w:firstLineChars="0"/>
              <w:jc w:val="center"/>
            </w:pPr>
          </w:p>
        </w:tc>
        <w:tc>
          <w:tcPr>
            <w:tcW w:w="473"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35CE67AC">
            <w:pPr>
              <w:snapToGrid w:val="0"/>
              <w:ind w:left="0" w:leftChars="0" w:right="0" w:rightChars="0" w:firstLine="0" w:firstLineChars="0"/>
              <w:jc w:val="center"/>
              <w:rPr>
                <w:rFonts w:hint="default" w:eastAsia="宋体"/>
                <w:lang w:val="en-US" w:eastAsia="zh-CN"/>
              </w:rPr>
            </w:pPr>
            <w:r>
              <w:rPr>
                <w:rFonts w:hint="eastAsia"/>
                <w:lang w:val="en-US" w:eastAsia="zh-CN"/>
              </w:rPr>
              <w:t>90</w:t>
            </w:r>
          </w:p>
        </w:tc>
        <w:tc>
          <w:tcPr>
            <w:tcW w:w="594"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488F41B9">
            <w:pPr>
              <w:snapToGrid w:val="0"/>
              <w:ind w:left="0" w:leftChars="0" w:right="0" w:rightChars="0" w:firstLine="0" w:firstLineChars="0"/>
              <w:jc w:val="center"/>
            </w:pPr>
            <w:r>
              <w:rPr>
                <w:rFonts w:hint="default" w:ascii="Times New Roman" w:hAnsi="Times New Roman" w:eastAsia="宋体" w:cs="Times New Roman"/>
                <w:b w:val="0"/>
                <w:bCs w:val="0"/>
                <w:i w:val="0"/>
                <w:iCs w:val="0"/>
                <w:color w:val="000000"/>
                <w:kern w:val="0"/>
                <w:sz w:val="21"/>
                <w:szCs w:val="21"/>
                <w:u w:val="none"/>
                <w:lang w:val="en-US" w:eastAsia="zh-CN" w:bidi="ar"/>
              </w:rPr>
              <w:t>0.0000</w:t>
            </w:r>
            <w:r>
              <w:rPr>
                <w:rFonts w:hint="eastAsia" w:ascii="Times New Roman" w:hAnsi="Times New Roman" w:eastAsia="宋体" w:cs="Times New Roman"/>
                <w:b w:val="0"/>
                <w:bCs w:val="0"/>
                <w:i w:val="0"/>
                <w:iCs w:val="0"/>
                <w:color w:val="000000"/>
                <w:kern w:val="0"/>
                <w:sz w:val="21"/>
                <w:szCs w:val="21"/>
                <w:u w:val="none"/>
                <w:lang w:val="en-US" w:eastAsia="zh-CN" w:bidi="ar"/>
              </w:rPr>
              <w:t>0</w:t>
            </w:r>
            <w:r>
              <w:rPr>
                <w:rFonts w:hint="default" w:ascii="Times New Roman" w:hAnsi="Times New Roman" w:eastAsia="宋体" w:cs="Times New Roman"/>
                <w:b w:val="0"/>
                <w:bCs w:val="0"/>
                <w:i w:val="0"/>
                <w:iCs w:val="0"/>
                <w:color w:val="000000"/>
                <w:kern w:val="0"/>
                <w:sz w:val="21"/>
                <w:szCs w:val="21"/>
                <w:u w:val="none"/>
                <w:lang w:val="en-US" w:eastAsia="zh-CN" w:bidi="ar"/>
              </w:rPr>
              <w:t>0031</w:t>
            </w:r>
          </w:p>
        </w:tc>
        <w:tc>
          <w:tcPr>
            <w:tcW w:w="883"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4164DA2A">
            <w:pPr>
              <w:keepNext w:val="0"/>
              <w:keepLines w:val="0"/>
              <w:widowControl/>
              <w:suppressLineNumbers w:val="0"/>
              <w:jc w:val="center"/>
              <w:textAlignment w:val="center"/>
            </w:pPr>
            <w:r>
              <w:rPr>
                <w:rFonts w:hint="default" w:ascii="Times New Roman" w:hAnsi="Times New Roman" w:eastAsia="宋体" w:cs="Times New Roman"/>
                <w:i w:val="0"/>
                <w:iCs w:val="0"/>
                <w:color w:val="000000"/>
                <w:kern w:val="0"/>
                <w:sz w:val="21"/>
                <w:szCs w:val="21"/>
                <w:u w:val="none"/>
                <w:lang w:val="en-US" w:eastAsia="zh-CN" w:bidi="ar"/>
              </w:rPr>
              <w:t>8.3</w:t>
            </w:r>
            <w:r>
              <w:rPr>
                <w:rFonts w:hint="eastAsia" w:ascii="宋体" w:hAnsi="宋体" w:eastAsia="宋体" w:cs="宋体"/>
                <w:i w:val="0"/>
                <w:iCs w:val="0"/>
                <w:color w:val="000000"/>
                <w:kern w:val="0"/>
                <w:sz w:val="21"/>
                <w:szCs w:val="21"/>
                <w:u w:val="none"/>
                <w:lang w:val="en-US" w:eastAsia="zh-CN" w:bidi="ar"/>
              </w:rPr>
              <w:t>×</w:t>
            </w:r>
            <w:r>
              <w:rPr>
                <w:rFonts w:hint="default" w:ascii="Times New Roman" w:hAnsi="Times New Roman" w:eastAsia="宋体" w:cs="Times New Roman"/>
                <w:i w:val="0"/>
                <w:iCs w:val="0"/>
                <w:color w:val="000000"/>
                <w:kern w:val="0"/>
                <w:sz w:val="21"/>
                <w:szCs w:val="21"/>
                <w:u w:val="none"/>
                <w:lang w:val="en-US" w:eastAsia="zh-CN" w:bidi="ar"/>
              </w:rPr>
              <w:t>10</w:t>
            </w:r>
            <w:r>
              <w:rPr>
                <w:rFonts w:hint="default" w:ascii="Times New Roman" w:hAnsi="Times New Roman" w:eastAsia="宋体" w:cs="Times New Roman"/>
                <w:i w:val="0"/>
                <w:iCs w:val="0"/>
                <w:color w:val="000000"/>
                <w:kern w:val="0"/>
                <w:sz w:val="21"/>
                <w:szCs w:val="21"/>
                <w:u w:val="none"/>
                <w:vertAlign w:val="superscript"/>
                <w:lang w:val="en-US" w:eastAsia="zh-CN" w:bidi="ar"/>
              </w:rPr>
              <w:t>-6</w:t>
            </w:r>
            <w:r>
              <w:rPr>
                <w:rFonts w:hint="default" w:ascii="Times New Roman" w:hAnsi="Times New Roman" w:eastAsia="宋体" w:cs="Times New Roman"/>
                <w:i w:val="0"/>
                <w:iCs w:val="0"/>
                <w:color w:val="000000"/>
                <w:kern w:val="0"/>
                <w:sz w:val="21"/>
                <w:szCs w:val="21"/>
                <w:u w:val="none"/>
                <w:lang w:val="en-US" w:eastAsia="zh-CN" w:bidi="ar"/>
              </w:rPr>
              <w:t>g/h</w:t>
            </w:r>
          </w:p>
        </w:tc>
        <w:tc>
          <w:tcPr>
            <w:tcW w:w="774"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1EAF4053">
            <w:pPr>
              <w:snapToGrid w:val="0"/>
              <w:ind w:left="0" w:leftChars="0" w:right="0" w:rightChars="0" w:firstLine="0" w:firstLineChars="0"/>
              <w:jc w:val="center"/>
            </w:pPr>
            <w:r>
              <w:rPr>
                <w:rFonts w:hint="eastAsia" w:ascii="宋体" w:hAnsi="宋体" w:eastAsia="宋体" w:cs="宋体"/>
                <w:i w:val="0"/>
                <w:iCs w:val="0"/>
                <w:color w:val="000000"/>
                <w:kern w:val="0"/>
                <w:sz w:val="24"/>
                <w:szCs w:val="24"/>
                <w:u w:val="none"/>
                <w:lang w:val="en-US" w:eastAsia="zh-CN" w:bidi="ar"/>
              </w:rPr>
              <w:t>0.0000001</w:t>
            </w:r>
          </w:p>
        </w:tc>
        <w:tc>
          <w:tcPr>
            <w:tcW w:w="730" w:type="dxa"/>
            <w:vMerge w:val="continue"/>
            <w:tcBorders>
              <w:left w:val="single" w:color="000000" w:sz="4" w:space="0"/>
              <w:bottom w:val="single" w:color="000000" w:sz="4" w:space="0"/>
              <w:right w:val="single" w:color="000000" w:sz="4" w:space="0"/>
            </w:tcBorders>
            <w:noWrap w:val="0"/>
            <w:tcMar>
              <w:left w:w="108" w:type="dxa"/>
              <w:right w:w="108" w:type="dxa"/>
            </w:tcMar>
            <w:vAlign w:val="center"/>
          </w:tcPr>
          <w:p w14:paraId="22AC68E2">
            <w:pPr>
              <w:snapToGrid w:val="0"/>
              <w:ind w:left="0" w:leftChars="0" w:right="0" w:rightChars="0" w:firstLine="0" w:firstLineChars="0"/>
              <w:jc w:val="center"/>
            </w:pPr>
          </w:p>
        </w:tc>
        <w:tc>
          <w:tcPr>
            <w:tcW w:w="738" w:type="dxa"/>
            <w:vMerge w:val="continue"/>
            <w:tcBorders>
              <w:left w:val="single" w:color="000000" w:sz="4" w:space="0"/>
              <w:bottom w:val="single" w:color="000000" w:sz="4" w:space="0"/>
              <w:right w:val="single" w:color="000000" w:sz="4" w:space="0"/>
            </w:tcBorders>
            <w:noWrap w:val="0"/>
            <w:tcMar>
              <w:left w:w="108" w:type="dxa"/>
              <w:right w:w="108" w:type="dxa"/>
            </w:tcMar>
            <w:vAlign w:val="center"/>
          </w:tcPr>
          <w:p w14:paraId="45E67C84">
            <w:pPr>
              <w:snapToGrid w:val="0"/>
              <w:ind w:left="0" w:leftChars="0" w:right="0" w:rightChars="0" w:firstLine="0" w:firstLineChars="0"/>
              <w:jc w:val="center"/>
            </w:pPr>
          </w:p>
        </w:tc>
        <w:tc>
          <w:tcPr>
            <w:tcW w:w="718" w:type="dxa"/>
            <w:vMerge w:val="continue"/>
            <w:tcBorders>
              <w:left w:val="single" w:color="000000" w:sz="4" w:space="0"/>
              <w:bottom w:val="single" w:color="000000" w:sz="4" w:space="0"/>
              <w:right w:val="single" w:color="000000" w:sz="4" w:space="0"/>
            </w:tcBorders>
            <w:noWrap w:val="0"/>
            <w:tcMar>
              <w:left w:w="108" w:type="dxa"/>
              <w:right w:w="108" w:type="dxa"/>
            </w:tcMar>
            <w:vAlign w:val="center"/>
          </w:tcPr>
          <w:p w14:paraId="6A652DBF">
            <w:pPr>
              <w:snapToGrid w:val="0"/>
              <w:ind w:left="0" w:leftChars="0" w:right="0" w:rightChars="0" w:firstLine="0" w:firstLineChars="0"/>
              <w:jc w:val="center"/>
            </w:pPr>
          </w:p>
        </w:tc>
        <w:tc>
          <w:tcPr>
            <w:tcW w:w="738" w:type="dxa"/>
            <w:vMerge w:val="continue"/>
            <w:tcBorders>
              <w:left w:val="single" w:color="000000" w:sz="4" w:space="0"/>
              <w:bottom w:val="single" w:color="000000" w:sz="4" w:space="0"/>
              <w:right w:val="single" w:color="000000" w:sz="4" w:space="0"/>
            </w:tcBorders>
            <w:noWrap w:val="0"/>
            <w:tcMar>
              <w:left w:w="108" w:type="dxa"/>
              <w:right w:w="108" w:type="dxa"/>
            </w:tcMar>
            <w:vAlign w:val="center"/>
          </w:tcPr>
          <w:p w14:paraId="7355FCC8">
            <w:pPr>
              <w:snapToGrid w:val="0"/>
              <w:ind w:left="0" w:leftChars="0" w:right="0" w:rightChars="0" w:firstLine="0" w:firstLineChars="0"/>
              <w:jc w:val="center"/>
            </w:pPr>
          </w:p>
        </w:tc>
        <w:tc>
          <w:tcPr>
            <w:tcW w:w="751" w:type="dxa"/>
            <w:vMerge w:val="continue"/>
            <w:tcBorders>
              <w:left w:val="single" w:color="000000" w:sz="4" w:space="0"/>
              <w:bottom w:val="single" w:color="000000" w:sz="4" w:space="0"/>
              <w:right w:val="single" w:color="000000" w:sz="4" w:space="0"/>
            </w:tcBorders>
            <w:noWrap w:val="0"/>
            <w:tcMar>
              <w:left w:w="108" w:type="dxa"/>
              <w:right w:w="108" w:type="dxa"/>
            </w:tcMar>
            <w:vAlign w:val="center"/>
          </w:tcPr>
          <w:p w14:paraId="7D893DE5">
            <w:pPr>
              <w:snapToGrid w:val="0"/>
              <w:ind w:left="0" w:leftChars="0" w:right="0" w:rightChars="0" w:firstLine="0" w:firstLineChars="0"/>
              <w:jc w:val="center"/>
            </w:pPr>
          </w:p>
        </w:tc>
        <w:tc>
          <w:tcPr>
            <w:tcW w:w="473" w:type="dxa"/>
            <w:vMerge w:val="continue"/>
            <w:tcBorders>
              <w:left w:val="single" w:color="000000" w:sz="4" w:space="0"/>
              <w:bottom w:val="single" w:color="000000" w:sz="4" w:space="0"/>
              <w:right w:val="single" w:color="000000" w:sz="4" w:space="0"/>
            </w:tcBorders>
            <w:noWrap w:val="0"/>
            <w:tcMar>
              <w:left w:w="108" w:type="dxa"/>
              <w:right w:w="108" w:type="dxa"/>
            </w:tcMar>
            <w:vAlign w:val="center"/>
          </w:tcPr>
          <w:p w14:paraId="4F9C55E4">
            <w:pPr>
              <w:snapToGrid w:val="0"/>
              <w:ind w:left="0" w:leftChars="0" w:right="0" w:rightChars="0" w:firstLine="0" w:firstLineChars="0"/>
              <w:jc w:val="center"/>
            </w:pPr>
          </w:p>
        </w:tc>
      </w:tr>
    </w:tbl>
    <w:p w14:paraId="6E4AA9B6">
      <w:pPr>
        <w:pStyle w:val="2"/>
        <w:ind w:left="0" w:leftChars="0" w:firstLine="0" w:firstLineChars="0"/>
        <w:rPr>
          <w:rFonts w:hint="eastAsia"/>
        </w:rPr>
      </w:pPr>
    </w:p>
    <w:p w14:paraId="4D4C1AEF">
      <w:pPr>
        <w:pStyle w:val="2"/>
        <w:ind w:left="0" w:leftChars="0" w:firstLine="0" w:firstLineChars="0"/>
      </w:pPr>
    </w:p>
    <w:p w14:paraId="14849701">
      <w:pPr>
        <w:jc w:val="center"/>
      </w:pPr>
      <w:r>
        <w:t>表4.6.1-5</w:t>
      </w:r>
      <w:r>
        <w:rPr>
          <w:rFonts w:hint="eastAsia"/>
          <w:lang w:val="en-US" w:eastAsia="zh-CN"/>
        </w:rPr>
        <w:t xml:space="preserve"> </w:t>
      </w:r>
      <w:r>
        <w:t>有组织废气非正常排放情况</w:t>
      </w:r>
    </w:p>
    <w:tbl>
      <w:tblPr>
        <w:tblStyle w:val="56"/>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443"/>
        <w:gridCol w:w="1183"/>
        <w:gridCol w:w="975"/>
        <w:gridCol w:w="1869"/>
        <w:gridCol w:w="1169"/>
        <w:gridCol w:w="937"/>
        <w:gridCol w:w="1609"/>
        <w:gridCol w:w="1598"/>
        <w:gridCol w:w="877"/>
        <w:gridCol w:w="877"/>
        <w:gridCol w:w="937"/>
        <w:gridCol w:w="1180"/>
      </w:tblGrid>
      <w:tr w14:paraId="67754A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gridSpan w:val="2"/>
            <w:vMerge w:val="restart"/>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07D45257">
            <w:pPr>
              <w:jc w:val="center"/>
              <w:rPr>
                <w:rFonts w:hint="default" w:ascii="Times New Roman" w:hAnsi="Times New Roman" w:cs="Times New Roman"/>
                <w:b w:val="0"/>
                <w:bCs/>
                <w:sz w:val="21"/>
                <w:szCs w:val="21"/>
              </w:rPr>
            </w:pPr>
            <w:r>
              <w:rPr>
                <w:rFonts w:hint="default" w:ascii="Times New Roman" w:hAnsi="Times New Roman" w:cs="Times New Roman"/>
                <w:b w:val="0"/>
                <w:bCs/>
                <w:sz w:val="21"/>
                <w:szCs w:val="21"/>
              </w:rPr>
              <w:t>污染源</w:t>
            </w:r>
          </w:p>
        </w:tc>
        <w:tc>
          <w:tcPr>
            <w:tcW w:w="357" w:type="pct"/>
            <w:vMerge w:val="restart"/>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4B704AC8">
            <w:pPr>
              <w:jc w:val="center"/>
              <w:rPr>
                <w:rFonts w:hint="default" w:ascii="Times New Roman" w:hAnsi="Times New Roman" w:cs="Times New Roman"/>
                <w:b w:val="0"/>
                <w:bCs/>
                <w:sz w:val="21"/>
                <w:szCs w:val="21"/>
              </w:rPr>
            </w:pPr>
            <w:r>
              <w:rPr>
                <w:rFonts w:hint="default" w:ascii="Times New Roman" w:hAnsi="Times New Roman" w:cs="Times New Roman"/>
                <w:b w:val="0"/>
                <w:bCs/>
                <w:sz w:val="21"/>
                <w:szCs w:val="21"/>
              </w:rPr>
              <w:t>污染物名称</w:t>
            </w:r>
          </w:p>
        </w:tc>
        <w:tc>
          <w:tcPr>
            <w:tcW w:w="684" w:type="pct"/>
            <w:vMerge w:val="restart"/>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385E78E9">
            <w:pPr>
              <w:jc w:val="center"/>
              <w:rPr>
                <w:rFonts w:hint="default" w:ascii="Times New Roman" w:hAnsi="Times New Roman" w:cs="Times New Roman"/>
                <w:b w:val="0"/>
                <w:bCs/>
                <w:sz w:val="21"/>
                <w:szCs w:val="21"/>
              </w:rPr>
            </w:pPr>
            <w:r>
              <w:rPr>
                <w:rFonts w:hint="default" w:ascii="Times New Roman" w:hAnsi="Times New Roman" w:cs="Times New Roman"/>
                <w:b w:val="0"/>
                <w:bCs/>
                <w:sz w:val="21"/>
                <w:szCs w:val="21"/>
              </w:rPr>
              <w:t>治理措施</w:t>
            </w:r>
          </w:p>
        </w:tc>
        <w:tc>
          <w:tcPr>
            <w:tcW w:w="0" w:type="auto"/>
            <w:vMerge w:val="restart"/>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04FAB1F7">
            <w:pPr>
              <w:jc w:val="center"/>
              <w:rPr>
                <w:rFonts w:hint="default" w:ascii="Times New Roman" w:hAnsi="Times New Roman" w:cs="Times New Roman"/>
                <w:b w:val="0"/>
                <w:bCs/>
                <w:sz w:val="21"/>
                <w:szCs w:val="21"/>
              </w:rPr>
            </w:pPr>
            <w:r>
              <w:rPr>
                <w:rFonts w:hint="default" w:ascii="Times New Roman" w:hAnsi="Times New Roman" w:cs="Times New Roman"/>
                <w:b w:val="0"/>
                <w:bCs/>
                <w:sz w:val="21"/>
                <w:szCs w:val="21"/>
              </w:rPr>
              <w:t>废气排气量m</w:t>
            </w:r>
            <w:r>
              <w:rPr>
                <w:rFonts w:hint="default" w:ascii="Times New Roman" w:hAnsi="Times New Roman" w:cs="Times New Roman"/>
                <w:b w:val="0"/>
                <w:bCs/>
                <w:sz w:val="21"/>
                <w:szCs w:val="21"/>
                <w:vertAlign w:val="superscript"/>
              </w:rPr>
              <w:t>3</w:t>
            </w:r>
            <w:r>
              <w:rPr>
                <w:rFonts w:hint="default" w:ascii="Times New Roman" w:hAnsi="Times New Roman" w:cs="Times New Roman"/>
                <w:b w:val="0"/>
                <w:bCs/>
                <w:sz w:val="21"/>
                <w:szCs w:val="21"/>
              </w:rPr>
              <w:t>/h</w:t>
            </w:r>
          </w:p>
        </w:tc>
        <w:tc>
          <w:tcPr>
            <w:tcW w:w="0" w:type="auto"/>
            <w:vMerge w:val="restart"/>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1DF63513">
            <w:pPr>
              <w:jc w:val="center"/>
              <w:rPr>
                <w:rFonts w:hint="default" w:ascii="Times New Roman" w:hAnsi="Times New Roman" w:cs="Times New Roman"/>
                <w:b w:val="0"/>
                <w:bCs/>
                <w:sz w:val="21"/>
                <w:szCs w:val="21"/>
              </w:rPr>
            </w:pPr>
            <w:r>
              <w:rPr>
                <w:rFonts w:hint="default" w:ascii="Times New Roman" w:hAnsi="Times New Roman" w:cs="Times New Roman"/>
                <w:b w:val="0"/>
                <w:bCs/>
                <w:sz w:val="21"/>
                <w:szCs w:val="21"/>
              </w:rPr>
              <w:t>处理效率%</w:t>
            </w:r>
          </w:p>
        </w:tc>
        <w:tc>
          <w:tcPr>
            <w:tcW w:w="1174" w:type="pct"/>
            <w:gridSpan w:val="2"/>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7CA08A54">
            <w:pPr>
              <w:jc w:val="center"/>
              <w:rPr>
                <w:rFonts w:hint="default" w:ascii="Times New Roman" w:hAnsi="Times New Roman" w:cs="Times New Roman"/>
                <w:b w:val="0"/>
                <w:bCs/>
                <w:sz w:val="21"/>
                <w:szCs w:val="21"/>
              </w:rPr>
            </w:pPr>
            <w:r>
              <w:rPr>
                <w:rFonts w:hint="default" w:ascii="Times New Roman" w:hAnsi="Times New Roman" w:cs="Times New Roman"/>
                <w:b w:val="0"/>
                <w:bCs/>
                <w:sz w:val="21"/>
                <w:szCs w:val="21"/>
              </w:rPr>
              <w:t>污染源排放情况</w:t>
            </w:r>
          </w:p>
        </w:tc>
        <w:tc>
          <w:tcPr>
            <w:tcW w:w="1417" w:type="pct"/>
            <w:gridSpan w:val="4"/>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21559109">
            <w:pPr>
              <w:jc w:val="center"/>
              <w:rPr>
                <w:rFonts w:hint="default" w:ascii="Times New Roman" w:hAnsi="Times New Roman" w:cs="Times New Roman"/>
                <w:b w:val="0"/>
                <w:bCs/>
                <w:sz w:val="21"/>
                <w:szCs w:val="21"/>
              </w:rPr>
            </w:pPr>
            <w:r>
              <w:rPr>
                <w:rFonts w:hint="default" w:ascii="Times New Roman" w:hAnsi="Times New Roman" w:cs="Times New Roman"/>
                <w:b w:val="0"/>
                <w:bCs/>
                <w:sz w:val="21"/>
                <w:szCs w:val="21"/>
              </w:rPr>
              <w:t>排放源参数</w:t>
            </w:r>
          </w:p>
        </w:tc>
      </w:tr>
      <w:tr w14:paraId="188B27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gridSpan w:val="2"/>
            <w:vMerge w:val="continue"/>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64CADFF2">
            <w:pPr>
              <w:jc w:val="center"/>
              <w:rPr>
                <w:rFonts w:hint="default" w:ascii="Times New Roman" w:hAnsi="Times New Roman" w:cs="Times New Roman"/>
                <w:b w:val="0"/>
                <w:bCs/>
                <w:sz w:val="21"/>
                <w:szCs w:val="21"/>
              </w:rPr>
            </w:pPr>
          </w:p>
        </w:tc>
        <w:tc>
          <w:tcPr>
            <w:tcW w:w="357" w:type="pct"/>
            <w:vMerge w:val="continue"/>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61F185AC">
            <w:pPr>
              <w:jc w:val="center"/>
              <w:rPr>
                <w:rFonts w:hint="default" w:ascii="Times New Roman" w:hAnsi="Times New Roman" w:cs="Times New Roman"/>
                <w:b w:val="0"/>
                <w:bCs/>
                <w:sz w:val="21"/>
                <w:szCs w:val="21"/>
              </w:rPr>
            </w:pPr>
          </w:p>
        </w:tc>
        <w:tc>
          <w:tcPr>
            <w:tcW w:w="684" w:type="pct"/>
            <w:vMerge w:val="continue"/>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1E91396D">
            <w:pPr>
              <w:jc w:val="center"/>
              <w:rPr>
                <w:rFonts w:hint="default" w:ascii="Times New Roman" w:hAnsi="Times New Roman" w:cs="Times New Roman"/>
                <w:b w:val="0"/>
                <w:bCs/>
                <w:sz w:val="21"/>
                <w:szCs w:val="21"/>
              </w:rPr>
            </w:pPr>
          </w:p>
        </w:tc>
        <w:tc>
          <w:tcPr>
            <w:tcW w:w="0" w:type="auto"/>
            <w:vMerge w:val="continue"/>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6C1AA827">
            <w:pPr>
              <w:jc w:val="center"/>
              <w:rPr>
                <w:rFonts w:hint="default" w:ascii="Times New Roman" w:hAnsi="Times New Roman" w:cs="Times New Roman"/>
                <w:b w:val="0"/>
                <w:bCs/>
                <w:sz w:val="21"/>
                <w:szCs w:val="21"/>
              </w:rPr>
            </w:pPr>
          </w:p>
        </w:tc>
        <w:tc>
          <w:tcPr>
            <w:tcW w:w="0" w:type="auto"/>
            <w:vMerge w:val="continue"/>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6A91EFC5">
            <w:pPr>
              <w:jc w:val="center"/>
              <w:rPr>
                <w:rFonts w:hint="default" w:ascii="Times New Roman" w:hAnsi="Times New Roman" w:cs="Times New Roman"/>
                <w:b w:val="0"/>
                <w:bCs/>
                <w:sz w:val="21"/>
                <w:szCs w:val="21"/>
              </w:rPr>
            </w:pPr>
          </w:p>
        </w:tc>
        <w:tc>
          <w:tcPr>
            <w:tcW w:w="0" w:type="auto"/>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2DF99382">
            <w:pPr>
              <w:jc w:val="center"/>
              <w:rPr>
                <w:rFonts w:hint="default" w:ascii="Times New Roman" w:hAnsi="Times New Roman" w:cs="Times New Roman"/>
                <w:b w:val="0"/>
                <w:bCs/>
                <w:sz w:val="21"/>
                <w:szCs w:val="21"/>
              </w:rPr>
            </w:pPr>
            <w:r>
              <w:rPr>
                <w:rFonts w:hint="default" w:ascii="Times New Roman" w:hAnsi="Times New Roman" w:cs="Times New Roman"/>
                <w:b w:val="0"/>
                <w:bCs/>
                <w:sz w:val="21"/>
                <w:szCs w:val="21"/>
              </w:rPr>
              <w:t>浓度mg/m</w:t>
            </w:r>
            <w:r>
              <w:rPr>
                <w:rFonts w:hint="default" w:ascii="Times New Roman" w:hAnsi="Times New Roman" w:cs="Times New Roman"/>
                <w:b w:val="0"/>
                <w:bCs/>
                <w:sz w:val="21"/>
                <w:szCs w:val="21"/>
                <w:vertAlign w:val="superscript"/>
              </w:rPr>
              <w:t>3</w:t>
            </w:r>
          </w:p>
        </w:tc>
        <w:tc>
          <w:tcPr>
            <w:tcW w:w="0" w:type="auto"/>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0DBA71E7">
            <w:pPr>
              <w:jc w:val="center"/>
              <w:rPr>
                <w:rFonts w:hint="default" w:ascii="Times New Roman" w:hAnsi="Times New Roman" w:cs="Times New Roman"/>
                <w:b w:val="0"/>
                <w:bCs/>
                <w:sz w:val="21"/>
                <w:szCs w:val="21"/>
              </w:rPr>
            </w:pPr>
            <w:r>
              <w:rPr>
                <w:rFonts w:hint="default" w:ascii="Times New Roman" w:hAnsi="Times New Roman" w:cs="Times New Roman"/>
                <w:b w:val="0"/>
                <w:bCs/>
                <w:sz w:val="21"/>
                <w:szCs w:val="21"/>
              </w:rPr>
              <w:t>速率kg/h</w:t>
            </w:r>
          </w:p>
        </w:tc>
        <w:tc>
          <w:tcPr>
            <w:tcW w:w="0" w:type="auto"/>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3B960046">
            <w:pPr>
              <w:jc w:val="center"/>
              <w:rPr>
                <w:rFonts w:hint="default" w:ascii="Times New Roman" w:hAnsi="Times New Roman" w:cs="Times New Roman"/>
                <w:b w:val="0"/>
                <w:bCs/>
                <w:sz w:val="21"/>
                <w:szCs w:val="21"/>
              </w:rPr>
            </w:pPr>
            <w:r>
              <w:rPr>
                <w:rFonts w:hint="default" w:ascii="Times New Roman" w:hAnsi="Times New Roman" w:cs="Times New Roman"/>
                <w:b w:val="0"/>
                <w:bCs/>
                <w:sz w:val="21"/>
                <w:szCs w:val="21"/>
              </w:rPr>
              <w:t>高度m</w:t>
            </w:r>
          </w:p>
        </w:tc>
        <w:tc>
          <w:tcPr>
            <w:tcW w:w="0" w:type="auto"/>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3969A8ED">
            <w:pPr>
              <w:jc w:val="center"/>
              <w:rPr>
                <w:rFonts w:hint="default" w:ascii="Times New Roman" w:hAnsi="Times New Roman" w:cs="Times New Roman"/>
                <w:b w:val="0"/>
                <w:bCs/>
                <w:sz w:val="21"/>
                <w:szCs w:val="21"/>
              </w:rPr>
            </w:pPr>
            <w:r>
              <w:rPr>
                <w:rFonts w:hint="default" w:ascii="Times New Roman" w:hAnsi="Times New Roman" w:cs="Times New Roman"/>
                <w:b w:val="0"/>
                <w:bCs/>
                <w:sz w:val="21"/>
                <w:szCs w:val="21"/>
              </w:rPr>
              <w:t>内径m</w:t>
            </w:r>
          </w:p>
        </w:tc>
        <w:tc>
          <w:tcPr>
            <w:tcW w:w="0" w:type="auto"/>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391EC4C6">
            <w:pPr>
              <w:jc w:val="center"/>
              <w:rPr>
                <w:rFonts w:hint="default" w:ascii="Times New Roman" w:hAnsi="Times New Roman" w:cs="Times New Roman"/>
                <w:b w:val="0"/>
                <w:bCs/>
                <w:sz w:val="21"/>
                <w:szCs w:val="21"/>
              </w:rPr>
            </w:pPr>
            <w:r>
              <w:rPr>
                <w:rFonts w:hint="default" w:ascii="Times New Roman" w:hAnsi="Times New Roman" w:cs="Times New Roman"/>
                <w:b w:val="0"/>
                <w:bCs/>
                <w:sz w:val="21"/>
                <w:szCs w:val="21"/>
              </w:rPr>
              <w:t>温度℃</w:t>
            </w:r>
          </w:p>
        </w:tc>
        <w:tc>
          <w:tcPr>
            <w:tcW w:w="0" w:type="auto"/>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2F4DF738">
            <w:pPr>
              <w:jc w:val="center"/>
              <w:rPr>
                <w:rFonts w:hint="default" w:ascii="Times New Roman" w:hAnsi="Times New Roman" w:cs="Times New Roman"/>
                <w:b w:val="0"/>
                <w:bCs/>
                <w:sz w:val="21"/>
                <w:szCs w:val="21"/>
              </w:rPr>
            </w:pPr>
            <w:r>
              <w:rPr>
                <w:rFonts w:hint="default" w:ascii="Times New Roman" w:hAnsi="Times New Roman" w:cs="Times New Roman"/>
                <w:b w:val="0"/>
                <w:bCs/>
                <w:sz w:val="21"/>
                <w:szCs w:val="21"/>
              </w:rPr>
              <w:t>编号</w:t>
            </w:r>
          </w:p>
        </w:tc>
      </w:tr>
      <w:tr w14:paraId="02D26E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162" w:type="pct"/>
            <w:vMerge w:val="restart"/>
            <w:tcBorders>
              <w:top w:val="single" w:color="000000" w:sz="4" w:space="0"/>
              <w:left w:val="single" w:color="000000" w:sz="4" w:space="0"/>
              <w:right w:val="single" w:color="000000" w:sz="4" w:space="0"/>
            </w:tcBorders>
            <w:noWrap w:val="0"/>
            <w:tcMar>
              <w:left w:w="108" w:type="dxa"/>
              <w:right w:w="108" w:type="dxa"/>
            </w:tcMar>
            <w:vAlign w:val="center"/>
          </w:tcPr>
          <w:p w14:paraId="0F2CEFAD">
            <w:pPr>
              <w:jc w:val="center"/>
              <w:rPr>
                <w:rFonts w:hint="default" w:ascii="Times New Roman" w:hAnsi="Times New Roman" w:cs="Times New Roman"/>
                <w:b w:val="0"/>
                <w:bCs/>
                <w:sz w:val="21"/>
                <w:szCs w:val="21"/>
              </w:rPr>
            </w:pPr>
            <w:r>
              <w:rPr>
                <w:rFonts w:hint="default" w:ascii="Times New Roman" w:hAnsi="Times New Roman" w:cs="Times New Roman"/>
                <w:b w:val="0"/>
                <w:bCs/>
                <w:sz w:val="21"/>
                <w:szCs w:val="21"/>
              </w:rPr>
              <w:t>烧结机</w:t>
            </w:r>
          </w:p>
        </w:tc>
        <w:tc>
          <w:tcPr>
            <w:tcW w:w="433" w:type="pct"/>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67B2206B">
            <w:pPr>
              <w:keepNext w:val="0"/>
              <w:keepLines w:val="0"/>
              <w:widowControl/>
              <w:suppressLineNumbers w:val="0"/>
              <w:jc w:val="center"/>
              <w:textAlignment w:val="center"/>
              <w:rPr>
                <w:rFonts w:hint="default" w:ascii="Times New Roman" w:hAnsi="Times New Roman" w:cs="Times New Roman"/>
                <w:b w:val="0"/>
                <w:bCs/>
                <w:sz w:val="21"/>
                <w:szCs w:val="21"/>
              </w:rPr>
            </w:pPr>
            <w:r>
              <w:rPr>
                <w:rFonts w:hint="default" w:ascii="Times New Roman" w:hAnsi="Times New Roman" w:eastAsia="宋体" w:cs="Times New Roman"/>
                <w:b w:val="0"/>
                <w:bCs/>
                <w:i w:val="0"/>
                <w:iCs w:val="0"/>
                <w:color w:val="000000"/>
                <w:kern w:val="0"/>
                <w:sz w:val="21"/>
                <w:szCs w:val="21"/>
                <w:u w:val="none"/>
                <w:lang w:val="en-US" w:eastAsia="zh-CN" w:bidi="ar"/>
              </w:rPr>
              <w:t>配料室</w:t>
            </w:r>
          </w:p>
        </w:tc>
        <w:tc>
          <w:tcPr>
            <w:tcW w:w="357" w:type="pct"/>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6CB7FF45">
            <w:pPr>
              <w:keepNext w:val="0"/>
              <w:keepLines w:val="0"/>
              <w:widowControl/>
              <w:suppressLineNumbers w:val="0"/>
              <w:jc w:val="center"/>
              <w:textAlignment w:val="center"/>
              <w:rPr>
                <w:rFonts w:hint="default" w:ascii="Times New Roman" w:hAnsi="Times New Roman" w:eastAsia="宋体" w:cs="Times New Roman"/>
                <w:b w:val="0"/>
                <w:bCs/>
                <w:i w:val="0"/>
                <w:iCs w:val="0"/>
                <w:color w:val="000000"/>
                <w:kern w:val="0"/>
                <w:sz w:val="21"/>
                <w:szCs w:val="21"/>
                <w:u w:val="none"/>
                <w:lang w:val="en-US" w:eastAsia="zh-CN" w:bidi="ar"/>
              </w:rPr>
            </w:pPr>
            <w:r>
              <w:rPr>
                <w:rFonts w:hint="default" w:ascii="Times New Roman" w:hAnsi="Times New Roman" w:eastAsia="宋体" w:cs="Times New Roman"/>
                <w:b w:val="0"/>
                <w:bCs/>
                <w:i w:val="0"/>
                <w:iCs w:val="0"/>
                <w:color w:val="000000"/>
                <w:kern w:val="0"/>
                <w:sz w:val="21"/>
                <w:szCs w:val="21"/>
                <w:u w:val="none"/>
                <w:lang w:val="en-US" w:eastAsia="zh-CN" w:bidi="ar"/>
              </w:rPr>
              <w:t>颗粒物</w:t>
            </w:r>
          </w:p>
        </w:tc>
        <w:tc>
          <w:tcPr>
            <w:tcW w:w="684" w:type="pct"/>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21397CD5">
            <w:pPr>
              <w:keepNext w:val="0"/>
              <w:keepLines w:val="0"/>
              <w:widowControl/>
              <w:suppressLineNumbers w:val="0"/>
              <w:jc w:val="center"/>
              <w:textAlignment w:val="center"/>
              <w:rPr>
                <w:rFonts w:hint="default" w:ascii="Times New Roman" w:hAnsi="Times New Roman" w:eastAsia="宋体" w:cs="Times New Roman"/>
                <w:b w:val="0"/>
                <w:bCs/>
                <w:i w:val="0"/>
                <w:iCs w:val="0"/>
                <w:color w:val="000000"/>
                <w:kern w:val="0"/>
                <w:sz w:val="21"/>
                <w:szCs w:val="21"/>
                <w:u w:val="none"/>
                <w:lang w:val="en-US" w:eastAsia="zh-CN" w:bidi="ar"/>
              </w:rPr>
            </w:pPr>
            <w:r>
              <w:rPr>
                <w:rFonts w:hint="default" w:ascii="Times New Roman" w:hAnsi="Times New Roman" w:eastAsia="宋体" w:cs="Times New Roman"/>
                <w:b w:val="0"/>
                <w:bCs/>
                <w:i w:val="0"/>
                <w:iCs w:val="0"/>
                <w:color w:val="000000"/>
                <w:kern w:val="0"/>
                <w:sz w:val="21"/>
                <w:szCs w:val="21"/>
                <w:u w:val="none"/>
                <w:lang w:val="en-US" w:eastAsia="zh-CN" w:bidi="ar"/>
              </w:rPr>
              <w:t>袋式除尘</w:t>
            </w:r>
          </w:p>
        </w:tc>
        <w:tc>
          <w:tcPr>
            <w:tcW w:w="0" w:type="auto"/>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498FC7DF">
            <w:pPr>
              <w:jc w:val="center"/>
              <w:rPr>
                <w:rFonts w:hint="default" w:ascii="Times New Roman" w:hAnsi="Times New Roman" w:eastAsia="宋体" w:cs="Times New Roman"/>
                <w:b w:val="0"/>
                <w:bCs/>
                <w:sz w:val="21"/>
                <w:szCs w:val="21"/>
                <w:lang w:val="en-US" w:eastAsia="zh-CN"/>
              </w:rPr>
            </w:pPr>
            <w:r>
              <w:rPr>
                <w:rFonts w:hint="default" w:ascii="Times New Roman" w:hAnsi="Times New Roman" w:cs="Times New Roman"/>
                <w:b w:val="0"/>
                <w:bCs/>
                <w:sz w:val="21"/>
                <w:szCs w:val="21"/>
                <w:lang w:val="en-US" w:eastAsia="zh-CN"/>
              </w:rPr>
              <w:t>30000</w:t>
            </w:r>
          </w:p>
        </w:tc>
        <w:tc>
          <w:tcPr>
            <w:tcW w:w="0" w:type="auto"/>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38F54AD7">
            <w:pPr>
              <w:jc w:val="center"/>
              <w:rPr>
                <w:rFonts w:hint="default" w:ascii="Times New Roman" w:hAnsi="Times New Roman" w:cs="Times New Roman"/>
                <w:b w:val="0"/>
                <w:bCs/>
                <w:sz w:val="21"/>
                <w:szCs w:val="21"/>
              </w:rPr>
            </w:pPr>
            <w:r>
              <w:rPr>
                <w:rFonts w:hint="default" w:ascii="Times New Roman" w:hAnsi="Times New Roman" w:cs="Times New Roman"/>
                <w:b w:val="0"/>
                <w:bCs/>
                <w:sz w:val="21"/>
                <w:szCs w:val="21"/>
              </w:rPr>
              <w:t>0</w:t>
            </w:r>
          </w:p>
        </w:tc>
        <w:tc>
          <w:tcPr>
            <w:tcW w:w="589" w:type="pct"/>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531C7D4B">
            <w:pPr>
              <w:keepNext w:val="0"/>
              <w:keepLines w:val="0"/>
              <w:widowControl/>
              <w:suppressLineNumbers w:val="0"/>
              <w:jc w:val="center"/>
              <w:textAlignment w:val="center"/>
              <w:rPr>
                <w:rFonts w:hint="default" w:ascii="Times New Roman" w:hAnsi="Times New Roman" w:cs="Times New Roman"/>
                <w:b w:val="0"/>
                <w:bCs w:val="0"/>
                <w:sz w:val="21"/>
                <w:szCs w:val="21"/>
              </w:rPr>
            </w:pPr>
            <w:r>
              <w:rPr>
                <w:rFonts w:hint="default" w:ascii="Times New Roman" w:hAnsi="Times New Roman" w:eastAsia="宋体" w:cs="Times New Roman"/>
                <w:b w:val="0"/>
                <w:bCs w:val="0"/>
                <w:i w:val="0"/>
                <w:iCs w:val="0"/>
                <w:color w:val="000000"/>
                <w:kern w:val="0"/>
                <w:sz w:val="21"/>
                <w:szCs w:val="21"/>
                <w:u w:val="none"/>
                <w:lang w:val="en-US" w:eastAsia="zh-CN" w:bidi="ar"/>
              </w:rPr>
              <w:t>6666.67</w:t>
            </w:r>
          </w:p>
        </w:tc>
        <w:tc>
          <w:tcPr>
            <w:tcW w:w="585" w:type="pct"/>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29DCCCCE">
            <w:pPr>
              <w:jc w:val="center"/>
              <w:rPr>
                <w:rFonts w:hint="default" w:ascii="Times New Roman" w:hAnsi="Times New Roman" w:cs="Times New Roman"/>
                <w:b w:val="0"/>
                <w:bCs/>
                <w:sz w:val="21"/>
                <w:szCs w:val="21"/>
              </w:rPr>
            </w:pPr>
            <w:r>
              <w:rPr>
                <w:rFonts w:hint="default" w:ascii="Times New Roman" w:hAnsi="Times New Roman" w:eastAsia="宋体" w:cs="Times New Roman"/>
                <w:b w:val="0"/>
                <w:bCs/>
                <w:color w:val="auto"/>
                <w:sz w:val="21"/>
                <w:szCs w:val="21"/>
                <w:highlight w:val="none"/>
                <w:lang w:val="en-US" w:eastAsia="zh-CN"/>
              </w:rPr>
              <w:t>200</w:t>
            </w:r>
          </w:p>
        </w:tc>
        <w:tc>
          <w:tcPr>
            <w:tcW w:w="321" w:type="pct"/>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019AA373">
            <w:pPr>
              <w:pStyle w:val="720"/>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default" w:ascii="Times New Roman" w:hAnsi="Times New Roman" w:cs="Times New Roman"/>
                <w:b w:val="0"/>
                <w:bCs/>
                <w:sz w:val="21"/>
                <w:szCs w:val="21"/>
              </w:rPr>
            </w:pPr>
            <w:r>
              <w:rPr>
                <w:rFonts w:hint="default" w:ascii="Times New Roman" w:hAnsi="Times New Roman" w:eastAsia="宋体" w:cs="Times New Roman"/>
                <w:b w:val="0"/>
                <w:bCs/>
                <w:color w:val="auto"/>
                <w:sz w:val="21"/>
                <w:szCs w:val="21"/>
                <w:highlight w:val="none"/>
                <w:lang w:val="en-US" w:eastAsia="zh-CN"/>
              </w:rPr>
              <w:t>16</w:t>
            </w:r>
          </w:p>
        </w:tc>
        <w:tc>
          <w:tcPr>
            <w:tcW w:w="321" w:type="pct"/>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7125C3D0">
            <w:pPr>
              <w:pStyle w:val="720"/>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default" w:ascii="Times New Roman" w:hAnsi="Times New Roman" w:cs="Times New Roman"/>
                <w:b w:val="0"/>
                <w:bCs/>
                <w:sz w:val="21"/>
                <w:szCs w:val="21"/>
              </w:rPr>
            </w:pPr>
            <w:r>
              <w:rPr>
                <w:rFonts w:hint="default" w:ascii="Times New Roman" w:hAnsi="Times New Roman" w:eastAsia="宋体" w:cs="Times New Roman"/>
                <w:b w:val="0"/>
                <w:bCs/>
                <w:sz w:val="21"/>
                <w:szCs w:val="21"/>
                <w:lang w:val="en-US" w:eastAsia="zh-CN"/>
              </w:rPr>
              <w:t>0.9</w:t>
            </w:r>
          </w:p>
        </w:tc>
        <w:tc>
          <w:tcPr>
            <w:tcW w:w="343" w:type="pct"/>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66FB752E">
            <w:pPr>
              <w:pStyle w:val="720"/>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default" w:ascii="Times New Roman" w:hAnsi="Times New Roman" w:cs="Times New Roman"/>
                <w:b w:val="0"/>
                <w:bCs/>
                <w:sz w:val="21"/>
                <w:szCs w:val="21"/>
              </w:rPr>
            </w:pPr>
            <w:r>
              <w:rPr>
                <w:rFonts w:hint="default" w:ascii="Times New Roman" w:hAnsi="Times New Roman" w:eastAsia="宋体" w:cs="Times New Roman"/>
                <w:b w:val="0"/>
                <w:bCs/>
                <w:spacing w:val="-2"/>
                <w:sz w:val="21"/>
                <w:szCs w:val="21"/>
                <w:lang w:val="en-US" w:eastAsia="zh-CN"/>
              </w:rPr>
              <w:t>常温</w:t>
            </w:r>
          </w:p>
        </w:tc>
        <w:tc>
          <w:tcPr>
            <w:tcW w:w="0" w:type="auto"/>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07CF9B3F">
            <w:pPr>
              <w:jc w:val="center"/>
              <w:rPr>
                <w:rFonts w:hint="default" w:ascii="Times New Roman" w:hAnsi="Times New Roman" w:eastAsia="宋体" w:cs="Times New Roman"/>
                <w:b w:val="0"/>
                <w:bCs/>
                <w:sz w:val="21"/>
                <w:szCs w:val="21"/>
                <w:lang w:val="en-US" w:eastAsia="zh-CN"/>
              </w:rPr>
            </w:pPr>
            <w:r>
              <w:rPr>
                <w:rFonts w:hint="default" w:ascii="Times New Roman" w:hAnsi="Times New Roman" w:cs="Times New Roman"/>
                <w:b w:val="0"/>
                <w:bCs/>
                <w:sz w:val="21"/>
                <w:szCs w:val="21"/>
                <w:lang w:val="en-US" w:eastAsia="zh-CN"/>
              </w:rPr>
              <w:t>DA003</w:t>
            </w:r>
          </w:p>
        </w:tc>
      </w:tr>
      <w:tr w14:paraId="150E15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162" w:type="pct"/>
            <w:vMerge w:val="continue"/>
            <w:tcBorders>
              <w:left w:val="single" w:color="000000" w:sz="4" w:space="0"/>
              <w:right w:val="single" w:color="000000" w:sz="4" w:space="0"/>
            </w:tcBorders>
            <w:noWrap w:val="0"/>
            <w:tcMar>
              <w:left w:w="108" w:type="dxa"/>
              <w:right w:w="108" w:type="dxa"/>
            </w:tcMar>
            <w:vAlign w:val="center"/>
          </w:tcPr>
          <w:p w14:paraId="43136890">
            <w:pPr>
              <w:jc w:val="center"/>
              <w:rPr>
                <w:rFonts w:hint="default" w:ascii="Times New Roman" w:hAnsi="Times New Roman" w:cs="Times New Roman"/>
                <w:b w:val="0"/>
                <w:bCs/>
                <w:sz w:val="21"/>
                <w:szCs w:val="21"/>
              </w:rPr>
            </w:pPr>
          </w:p>
        </w:tc>
        <w:tc>
          <w:tcPr>
            <w:tcW w:w="433" w:type="pct"/>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3852349F">
            <w:pPr>
              <w:keepNext w:val="0"/>
              <w:keepLines w:val="0"/>
              <w:widowControl/>
              <w:suppressLineNumbers w:val="0"/>
              <w:jc w:val="center"/>
              <w:textAlignment w:val="center"/>
              <w:rPr>
                <w:rFonts w:hint="default" w:ascii="Times New Roman" w:hAnsi="Times New Roman" w:cs="Times New Roman"/>
                <w:b w:val="0"/>
                <w:bCs/>
                <w:sz w:val="21"/>
                <w:szCs w:val="21"/>
              </w:rPr>
            </w:pPr>
            <w:r>
              <w:rPr>
                <w:rFonts w:hint="default" w:ascii="Times New Roman" w:hAnsi="Times New Roman" w:eastAsia="宋体" w:cs="Times New Roman"/>
                <w:b w:val="0"/>
                <w:bCs/>
                <w:i w:val="0"/>
                <w:iCs w:val="0"/>
                <w:color w:val="000000"/>
                <w:kern w:val="0"/>
                <w:sz w:val="21"/>
                <w:szCs w:val="21"/>
                <w:u w:val="none"/>
                <w:lang w:val="en-US" w:eastAsia="zh-CN" w:bidi="ar"/>
              </w:rPr>
              <w:t>一、二次混合</w:t>
            </w:r>
          </w:p>
        </w:tc>
        <w:tc>
          <w:tcPr>
            <w:tcW w:w="357" w:type="pct"/>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6110FC05">
            <w:pPr>
              <w:keepNext w:val="0"/>
              <w:keepLines w:val="0"/>
              <w:widowControl/>
              <w:suppressLineNumbers w:val="0"/>
              <w:jc w:val="center"/>
              <w:textAlignment w:val="center"/>
              <w:rPr>
                <w:rFonts w:hint="default" w:ascii="Times New Roman" w:hAnsi="Times New Roman" w:eastAsia="宋体" w:cs="Times New Roman"/>
                <w:b w:val="0"/>
                <w:bCs/>
                <w:i w:val="0"/>
                <w:iCs w:val="0"/>
                <w:color w:val="000000"/>
                <w:kern w:val="0"/>
                <w:sz w:val="21"/>
                <w:szCs w:val="21"/>
                <w:u w:val="none"/>
                <w:lang w:val="en-US" w:eastAsia="zh-CN" w:bidi="ar"/>
              </w:rPr>
            </w:pPr>
            <w:r>
              <w:rPr>
                <w:rFonts w:hint="default" w:ascii="Times New Roman" w:hAnsi="Times New Roman" w:eastAsia="宋体" w:cs="Times New Roman"/>
                <w:b w:val="0"/>
                <w:bCs/>
                <w:i w:val="0"/>
                <w:iCs w:val="0"/>
                <w:color w:val="000000"/>
                <w:kern w:val="0"/>
                <w:sz w:val="21"/>
                <w:szCs w:val="21"/>
                <w:u w:val="none"/>
                <w:lang w:val="en-US" w:eastAsia="zh-CN" w:bidi="ar"/>
              </w:rPr>
              <w:t>颗粒物</w:t>
            </w:r>
          </w:p>
        </w:tc>
        <w:tc>
          <w:tcPr>
            <w:tcW w:w="684" w:type="pct"/>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3E29E86C">
            <w:pPr>
              <w:keepNext w:val="0"/>
              <w:keepLines w:val="0"/>
              <w:widowControl/>
              <w:suppressLineNumbers w:val="0"/>
              <w:jc w:val="center"/>
              <w:textAlignment w:val="center"/>
              <w:rPr>
                <w:rFonts w:hint="default" w:ascii="Times New Roman" w:hAnsi="Times New Roman" w:eastAsia="宋体" w:cs="Times New Roman"/>
                <w:b w:val="0"/>
                <w:bCs/>
                <w:i w:val="0"/>
                <w:iCs w:val="0"/>
                <w:color w:val="000000"/>
                <w:kern w:val="0"/>
                <w:sz w:val="21"/>
                <w:szCs w:val="21"/>
                <w:u w:val="none"/>
                <w:lang w:val="en-US" w:eastAsia="zh-CN" w:bidi="ar"/>
              </w:rPr>
            </w:pPr>
            <w:r>
              <w:rPr>
                <w:rFonts w:hint="default" w:ascii="Times New Roman" w:hAnsi="Times New Roman" w:eastAsia="宋体" w:cs="Times New Roman"/>
                <w:b w:val="0"/>
                <w:bCs/>
                <w:i w:val="0"/>
                <w:iCs w:val="0"/>
                <w:color w:val="000000"/>
                <w:kern w:val="0"/>
                <w:sz w:val="21"/>
                <w:szCs w:val="21"/>
                <w:u w:val="none"/>
                <w:lang w:val="en-US" w:eastAsia="zh-CN" w:bidi="ar"/>
              </w:rPr>
              <w:t>湿法水浴除尘</w:t>
            </w:r>
          </w:p>
        </w:tc>
        <w:tc>
          <w:tcPr>
            <w:tcW w:w="0" w:type="auto"/>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79B2E764">
            <w:pPr>
              <w:jc w:val="center"/>
              <w:rPr>
                <w:rFonts w:hint="default" w:ascii="Times New Roman" w:hAnsi="Times New Roman" w:eastAsia="宋体" w:cs="Times New Roman"/>
                <w:b w:val="0"/>
                <w:bCs/>
                <w:sz w:val="21"/>
                <w:szCs w:val="21"/>
                <w:lang w:val="en-US" w:eastAsia="zh-CN"/>
              </w:rPr>
            </w:pPr>
            <w:r>
              <w:rPr>
                <w:rFonts w:hint="default" w:ascii="Times New Roman" w:hAnsi="Times New Roman" w:cs="Times New Roman"/>
                <w:b w:val="0"/>
                <w:bCs/>
                <w:sz w:val="21"/>
                <w:szCs w:val="21"/>
                <w:lang w:val="en-US" w:eastAsia="zh-CN"/>
              </w:rPr>
              <w:t>80000</w:t>
            </w:r>
          </w:p>
        </w:tc>
        <w:tc>
          <w:tcPr>
            <w:tcW w:w="0" w:type="auto"/>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20DB1D1E">
            <w:pPr>
              <w:jc w:val="center"/>
              <w:rPr>
                <w:rFonts w:hint="default" w:ascii="Times New Roman" w:hAnsi="Times New Roman" w:cs="Times New Roman"/>
                <w:b w:val="0"/>
                <w:bCs/>
                <w:sz w:val="21"/>
                <w:szCs w:val="21"/>
              </w:rPr>
            </w:pPr>
            <w:r>
              <w:rPr>
                <w:rFonts w:hint="default" w:ascii="Times New Roman" w:hAnsi="Times New Roman" w:cs="Times New Roman"/>
                <w:b w:val="0"/>
                <w:bCs/>
                <w:sz w:val="21"/>
                <w:szCs w:val="21"/>
              </w:rPr>
              <w:t>0</w:t>
            </w:r>
          </w:p>
        </w:tc>
        <w:tc>
          <w:tcPr>
            <w:tcW w:w="589" w:type="pct"/>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5E7C3367">
            <w:pPr>
              <w:keepNext w:val="0"/>
              <w:keepLines w:val="0"/>
              <w:widowControl/>
              <w:suppressLineNumbers w:val="0"/>
              <w:jc w:val="center"/>
              <w:textAlignment w:val="center"/>
              <w:rPr>
                <w:rFonts w:hint="default" w:ascii="Times New Roman" w:hAnsi="Times New Roman" w:cs="Times New Roman"/>
                <w:b w:val="0"/>
                <w:bCs w:val="0"/>
                <w:sz w:val="21"/>
                <w:szCs w:val="21"/>
              </w:rPr>
            </w:pPr>
            <w:r>
              <w:rPr>
                <w:rFonts w:hint="default" w:ascii="Times New Roman" w:hAnsi="Times New Roman" w:eastAsia="宋体" w:cs="Times New Roman"/>
                <w:b w:val="0"/>
                <w:bCs w:val="0"/>
                <w:i w:val="0"/>
                <w:iCs w:val="0"/>
                <w:color w:val="000000"/>
                <w:kern w:val="0"/>
                <w:sz w:val="21"/>
                <w:szCs w:val="21"/>
                <w:u w:val="none"/>
                <w:lang w:val="en-US" w:eastAsia="zh-CN" w:bidi="ar"/>
              </w:rPr>
              <w:t>1000</w:t>
            </w:r>
          </w:p>
        </w:tc>
        <w:tc>
          <w:tcPr>
            <w:tcW w:w="585" w:type="pct"/>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5E7751E8">
            <w:pPr>
              <w:jc w:val="center"/>
              <w:rPr>
                <w:rFonts w:hint="default" w:ascii="Times New Roman" w:hAnsi="Times New Roman" w:eastAsia="宋体" w:cs="Times New Roman"/>
                <w:b w:val="0"/>
                <w:bCs/>
                <w:sz w:val="21"/>
                <w:szCs w:val="21"/>
                <w:lang w:val="en-US" w:eastAsia="zh-CN"/>
              </w:rPr>
            </w:pPr>
            <w:r>
              <w:rPr>
                <w:rFonts w:hint="default" w:ascii="Times New Roman" w:hAnsi="Times New Roman" w:cs="Times New Roman"/>
                <w:b w:val="0"/>
                <w:bCs/>
                <w:sz w:val="21"/>
                <w:szCs w:val="21"/>
                <w:lang w:val="en-US" w:eastAsia="zh-CN"/>
              </w:rPr>
              <w:t>80</w:t>
            </w:r>
          </w:p>
        </w:tc>
        <w:tc>
          <w:tcPr>
            <w:tcW w:w="321" w:type="pct"/>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2B03F07B">
            <w:pPr>
              <w:pStyle w:val="720"/>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default" w:ascii="Times New Roman" w:hAnsi="Times New Roman" w:cs="Times New Roman"/>
                <w:b w:val="0"/>
                <w:bCs/>
                <w:sz w:val="21"/>
                <w:szCs w:val="21"/>
              </w:rPr>
            </w:pPr>
            <w:r>
              <w:rPr>
                <w:rFonts w:hint="default" w:ascii="Times New Roman" w:hAnsi="Times New Roman" w:eastAsia="宋体" w:cs="Times New Roman"/>
                <w:b w:val="0"/>
                <w:bCs/>
                <w:color w:val="auto"/>
                <w:sz w:val="21"/>
                <w:szCs w:val="21"/>
                <w:highlight w:val="none"/>
                <w:lang w:val="en-US" w:eastAsia="zh-CN"/>
              </w:rPr>
              <w:t>30</w:t>
            </w:r>
          </w:p>
        </w:tc>
        <w:tc>
          <w:tcPr>
            <w:tcW w:w="321" w:type="pct"/>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6AF4AAE6">
            <w:pPr>
              <w:pStyle w:val="720"/>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default" w:ascii="Times New Roman" w:hAnsi="Times New Roman" w:cs="Times New Roman"/>
                <w:b w:val="0"/>
                <w:bCs/>
                <w:sz w:val="21"/>
                <w:szCs w:val="21"/>
              </w:rPr>
            </w:pPr>
            <w:r>
              <w:rPr>
                <w:rFonts w:hint="default" w:ascii="Times New Roman" w:hAnsi="Times New Roman" w:eastAsia="Times New Roman" w:cs="Times New Roman"/>
                <w:b w:val="0"/>
                <w:bCs/>
                <w:kern w:val="2"/>
                <w:sz w:val="21"/>
                <w:szCs w:val="21"/>
                <w:lang w:val="en-US" w:eastAsia="zh-CN" w:bidi="ar-SA"/>
              </w:rPr>
              <w:t>1.5</w:t>
            </w:r>
          </w:p>
        </w:tc>
        <w:tc>
          <w:tcPr>
            <w:tcW w:w="343" w:type="pct"/>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6EE5CE0A">
            <w:pPr>
              <w:pStyle w:val="720"/>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default" w:ascii="Times New Roman" w:hAnsi="Times New Roman" w:cs="Times New Roman"/>
                <w:b w:val="0"/>
                <w:bCs/>
                <w:sz w:val="21"/>
                <w:szCs w:val="21"/>
              </w:rPr>
            </w:pPr>
            <w:r>
              <w:rPr>
                <w:rFonts w:hint="default" w:ascii="Times New Roman" w:hAnsi="Times New Roman" w:eastAsia="宋体" w:cs="Times New Roman"/>
                <w:b w:val="0"/>
                <w:bCs/>
                <w:spacing w:val="-2"/>
                <w:sz w:val="21"/>
                <w:szCs w:val="21"/>
                <w:lang w:val="en-US" w:eastAsia="zh-CN"/>
              </w:rPr>
              <w:t>常温</w:t>
            </w:r>
          </w:p>
        </w:tc>
        <w:tc>
          <w:tcPr>
            <w:tcW w:w="0" w:type="auto"/>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0072D2F6">
            <w:pPr>
              <w:jc w:val="center"/>
              <w:rPr>
                <w:rFonts w:hint="default" w:ascii="Times New Roman" w:hAnsi="Times New Roman" w:eastAsia="宋体" w:cs="Times New Roman"/>
                <w:b w:val="0"/>
                <w:bCs/>
                <w:sz w:val="21"/>
                <w:szCs w:val="21"/>
                <w:lang w:val="en-US" w:eastAsia="zh-CN"/>
              </w:rPr>
            </w:pPr>
            <w:r>
              <w:rPr>
                <w:rFonts w:hint="default" w:ascii="Times New Roman" w:hAnsi="Times New Roman" w:cs="Times New Roman"/>
                <w:b w:val="0"/>
                <w:bCs/>
                <w:sz w:val="21"/>
                <w:szCs w:val="21"/>
                <w:lang w:val="en-US" w:eastAsia="zh-CN"/>
              </w:rPr>
              <w:t>DA015</w:t>
            </w:r>
          </w:p>
        </w:tc>
      </w:tr>
      <w:tr w14:paraId="5D2957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162" w:type="pct"/>
            <w:vMerge w:val="continue"/>
            <w:tcBorders>
              <w:left w:val="single" w:color="000000" w:sz="4" w:space="0"/>
              <w:right w:val="single" w:color="000000" w:sz="4" w:space="0"/>
            </w:tcBorders>
            <w:noWrap w:val="0"/>
            <w:tcMar>
              <w:left w:w="108" w:type="dxa"/>
              <w:right w:w="108" w:type="dxa"/>
            </w:tcMar>
            <w:vAlign w:val="center"/>
          </w:tcPr>
          <w:p w14:paraId="258367DF">
            <w:pPr>
              <w:jc w:val="center"/>
              <w:rPr>
                <w:rFonts w:hint="default" w:ascii="Times New Roman" w:hAnsi="Times New Roman" w:cs="Times New Roman"/>
                <w:b w:val="0"/>
                <w:bCs/>
                <w:sz w:val="21"/>
                <w:szCs w:val="21"/>
              </w:rPr>
            </w:pPr>
          </w:p>
        </w:tc>
        <w:tc>
          <w:tcPr>
            <w:tcW w:w="433" w:type="pct"/>
            <w:vMerge w:val="restart"/>
            <w:tcBorders>
              <w:top w:val="single" w:color="000000" w:sz="4" w:space="0"/>
              <w:left w:val="single" w:color="000000" w:sz="4" w:space="0"/>
              <w:right w:val="single" w:color="000000" w:sz="4" w:space="0"/>
            </w:tcBorders>
            <w:noWrap w:val="0"/>
            <w:tcMar>
              <w:left w:w="108" w:type="dxa"/>
              <w:right w:w="108" w:type="dxa"/>
            </w:tcMar>
            <w:vAlign w:val="center"/>
          </w:tcPr>
          <w:p w14:paraId="2B0A1983">
            <w:pPr>
              <w:keepNext w:val="0"/>
              <w:keepLines w:val="0"/>
              <w:widowControl/>
              <w:suppressLineNumbers w:val="0"/>
              <w:jc w:val="center"/>
              <w:textAlignment w:val="center"/>
              <w:rPr>
                <w:rFonts w:hint="default" w:ascii="Times New Roman" w:hAnsi="Times New Roman" w:cs="Times New Roman"/>
                <w:b w:val="0"/>
                <w:bCs/>
                <w:sz w:val="21"/>
                <w:szCs w:val="21"/>
              </w:rPr>
            </w:pPr>
            <w:r>
              <w:rPr>
                <w:rFonts w:hint="default" w:ascii="Times New Roman" w:hAnsi="Times New Roman" w:eastAsia="宋体" w:cs="Times New Roman"/>
                <w:b w:val="0"/>
                <w:bCs/>
                <w:i w:val="0"/>
                <w:iCs w:val="0"/>
                <w:color w:val="000000"/>
                <w:kern w:val="0"/>
                <w:sz w:val="21"/>
                <w:szCs w:val="21"/>
                <w:u w:val="none"/>
                <w:lang w:val="en-US" w:eastAsia="zh-CN" w:bidi="ar"/>
              </w:rPr>
              <w:t>烧结机头</w:t>
            </w:r>
          </w:p>
        </w:tc>
        <w:tc>
          <w:tcPr>
            <w:tcW w:w="357" w:type="pct"/>
            <w:tcBorders>
              <w:top w:val="single" w:color="000000" w:sz="4" w:space="0"/>
              <w:left w:val="single" w:color="000000" w:sz="4" w:space="0"/>
              <w:bottom w:val="single" w:color="000000" w:sz="4" w:space="0"/>
              <w:right w:val="single" w:color="000000" w:sz="4" w:space="0"/>
            </w:tcBorders>
            <w:shd w:val="clear" w:color="auto" w:fill="auto"/>
            <w:noWrap w:val="0"/>
            <w:tcMar>
              <w:left w:w="108" w:type="dxa"/>
              <w:right w:w="108" w:type="dxa"/>
            </w:tcMar>
            <w:vAlign w:val="center"/>
          </w:tcPr>
          <w:p w14:paraId="59E1FA58">
            <w:pPr>
              <w:keepNext w:val="0"/>
              <w:keepLines w:val="0"/>
              <w:widowControl/>
              <w:suppressLineNumbers w:val="0"/>
              <w:jc w:val="center"/>
              <w:textAlignment w:val="center"/>
              <w:rPr>
                <w:rFonts w:hint="default" w:ascii="Times New Roman" w:hAnsi="Times New Roman" w:eastAsia="宋体" w:cs="Times New Roman"/>
                <w:b w:val="0"/>
                <w:bCs/>
                <w:i w:val="0"/>
                <w:iCs w:val="0"/>
                <w:color w:val="000000"/>
                <w:kern w:val="0"/>
                <w:sz w:val="21"/>
                <w:szCs w:val="21"/>
                <w:u w:val="none"/>
                <w:lang w:val="en-US" w:eastAsia="zh-CN" w:bidi="ar"/>
              </w:rPr>
            </w:pPr>
            <w:r>
              <w:rPr>
                <w:rFonts w:hint="default" w:ascii="Times New Roman" w:hAnsi="Times New Roman" w:eastAsia="宋体" w:cs="Times New Roman"/>
                <w:b w:val="0"/>
                <w:bCs/>
                <w:i w:val="0"/>
                <w:iCs w:val="0"/>
                <w:color w:val="000000"/>
                <w:kern w:val="0"/>
                <w:sz w:val="21"/>
                <w:szCs w:val="21"/>
                <w:u w:val="none"/>
                <w:lang w:val="en-US" w:eastAsia="zh-CN" w:bidi="ar"/>
              </w:rPr>
              <w:t>颗粒物</w:t>
            </w:r>
          </w:p>
        </w:tc>
        <w:tc>
          <w:tcPr>
            <w:tcW w:w="684" w:type="pct"/>
            <w:vMerge w:val="restart"/>
            <w:tcBorders>
              <w:top w:val="single" w:color="000000" w:sz="4" w:space="0"/>
              <w:left w:val="single" w:color="000000" w:sz="4" w:space="0"/>
              <w:right w:val="single" w:color="000000" w:sz="4" w:space="0"/>
            </w:tcBorders>
            <w:noWrap w:val="0"/>
            <w:tcMar>
              <w:left w:w="108" w:type="dxa"/>
              <w:right w:w="108" w:type="dxa"/>
            </w:tcMar>
            <w:vAlign w:val="center"/>
          </w:tcPr>
          <w:p w14:paraId="5C16E931">
            <w:pPr>
              <w:keepNext w:val="0"/>
              <w:keepLines w:val="0"/>
              <w:widowControl/>
              <w:suppressLineNumbers w:val="0"/>
              <w:jc w:val="center"/>
              <w:textAlignment w:val="center"/>
              <w:rPr>
                <w:rFonts w:hint="default" w:ascii="Times New Roman" w:hAnsi="Times New Roman" w:eastAsia="宋体" w:cs="Times New Roman"/>
                <w:b w:val="0"/>
                <w:bCs/>
                <w:i w:val="0"/>
                <w:iCs w:val="0"/>
                <w:color w:val="000000"/>
                <w:kern w:val="0"/>
                <w:sz w:val="21"/>
                <w:szCs w:val="21"/>
                <w:u w:val="none"/>
                <w:lang w:val="en-US" w:eastAsia="zh-CN" w:bidi="ar"/>
              </w:rPr>
            </w:pPr>
            <w:r>
              <w:rPr>
                <w:rFonts w:hint="default" w:ascii="Times New Roman" w:hAnsi="Times New Roman" w:eastAsia="宋体" w:cs="Times New Roman"/>
                <w:b w:val="0"/>
                <w:bCs/>
                <w:i w:val="0"/>
                <w:iCs w:val="0"/>
                <w:color w:val="000000"/>
                <w:kern w:val="0"/>
                <w:sz w:val="21"/>
                <w:szCs w:val="21"/>
                <w:u w:val="none"/>
                <w:lang w:val="en-US" w:eastAsia="zh-CN" w:bidi="ar"/>
              </w:rPr>
              <w:t>电除尘器+石灰石-石膏脱硫+SCR脱硝</w:t>
            </w:r>
          </w:p>
        </w:tc>
        <w:tc>
          <w:tcPr>
            <w:tcW w:w="428" w:type="pct"/>
            <w:vMerge w:val="restart"/>
            <w:tcBorders>
              <w:top w:val="single" w:color="000000" w:sz="4" w:space="0"/>
              <w:left w:val="single" w:color="000000" w:sz="4" w:space="0"/>
              <w:right w:val="single" w:color="000000" w:sz="4" w:space="0"/>
            </w:tcBorders>
            <w:noWrap w:val="0"/>
            <w:tcMar>
              <w:left w:w="108" w:type="dxa"/>
              <w:right w:w="108" w:type="dxa"/>
            </w:tcMar>
            <w:vAlign w:val="center"/>
          </w:tcPr>
          <w:p w14:paraId="2F3B572F">
            <w:pPr>
              <w:jc w:val="center"/>
              <w:rPr>
                <w:rFonts w:hint="default" w:ascii="Times New Roman" w:hAnsi="Times New Roman" w:cs="Times New Roman"/>
                <w:b w:val="0"/>
                <w:bCs/>
                <w:sz w:val="21"/>
                <w:szCs w:val="21"/>
              </w:rPr>
            </w:pPr>
            <w:r>
              <w:rPr>
                <w:rFonts w:hint="default" w:ascii="Times New Roman" w:hAnsi="Times New Roman" w:eastAsia="宋体" w:cs="Times New Roman"/>
                <w:b w:val="0"/>
                <w:bCs/>
                <w:spacing w:val="-2"/>
                <w:sz w:val="21"/>
                <w:szCs w:val="21"/>
                <w:lang w:val="en-US" w:eastAsia="zh-CN"/>
              </w:rPr>
              <w:t>270000</w:t>
            </w:r>
          </w:p>
        </w:tc>
        <w:tc>
          <w:tcPr>
            <w:tcW w:w="0" w:type="auto"/>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37293ED4">
            <w:pPr>
              <w:jc w:val="center"/>
              <w:rPr>
                <w:rFonts w:hint="default" w:ascii="Times New Roman" w:hAnsi="Times New Roman" w:cs="Times New Roman"/>
                <w:b w:val="0"/>
                <w:bCs/>
                <w:sz w:val="21"/>
                <w:szCs w:val="21"/>
              </w:rPr>
            </w:pPr>
            <w:r>
              <w:rPr>
                <w:rFonts w:hint="default" w:ascii="Times New Roman" w:hAnsi="Times New Roman" w:cs="Times New Roman"/>
                <w:b w:val="0"/>
                <w:bCs/>
                <w:sz w:val="21"/>
                <w:szCs w:val="21"/>
              </w:rPr>
              <w:t>0</w:t>
            </w:r>
          </w:p>
        </w:tc>
        <w:tc>
          <w:tcPr>
            <w:tcW w:w="589" w:type="pct"/>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62EF74B0">
            <w:pPr>
              <w:keepNext w:val="0"/>
              <w:keepLines w:val="0"/>
              <w:widowControl/>
              <w:suppressLineNumbers w:val="0"/>
              <w:jc w:val="center"/>
              <w:textAlignment w:val="center"/>
              <w:rPr>
                <w:rFonts w:hint="default" w:ascii="Times New Roman" w:hAnsi="Times New Roman" w:cs="Times New Roman"/>
                <w:b w:val="0"/>
                <w:bCs w:val="0"/>
                <w:sz w:val="21"/>
                <w:szCs w:val="21"/>
              </w:rPr>
            </w:pPr>
            <w:r>
              <w:rPr>
                <w:rFonts w:hint="default" w:ascii="Times New Roman" w:hAnsi="Times New Roman" w:eastAsia="宋体" w:cs="Times New Roman"/>
                <w:b w:val="0"/>
                <w:bCs w:val="0"/>
                <w:i w:val="0"/>
                <w:iCs w:val="0"/>
                <w:color w:val="000000"/>
                <w:kern w:val="0"/>
                <w:sz w:val="21"/>
                <w:szCs w:val="21"/>
                <w:u w:val="none"/>
                <w:lang w:val="en-US" w:eastAsia="zh-CN" w:bidi="ar"/>
              </w:rPr>
              <w:t>2018.5</w:t>
            </w:r>
            <w:r>
              <w:rPr>
                <w:rFonts w:hint="eastAsia" w:ascii="Times New Roman" w:hAnsi="Times New Roman" w:eastAsia="宋体" w:cs="Times New Roman"/>
                <w:b w:val="0"/>
                <w:bCs w:val="0"/>
                <w:i w:val="0"/>
                <w:iCs w:val="0"/>
                <w:color w:val="000000"/>
                <w:kern w:val="0"/>
                <w:sz w:val="21"/>
                <w:szCs w:val="21"/>
                <w:u w:val="none"/>
                <w:lang w:val="en-US" w:eastAsia="zh-CN" w:bidi="ar"/>
              </w:rPr>
              <w:t>2</w:t>
            </w:r>
          </w:p>
        </w:tc>
        <w:tc>
          <w:tcPr>
            <w:tcW w:w="585" w:type="pct"/>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317EBB3C">
            <w:pPr>
              <w:jc w:val="center"/>
              <w:rPr>
                <w:rFonts w:hint="default" w:ascii="Times New Roman" w:hAnsi="Times New Roman" w:eastAsia="宋体" w:cs="Times New Roman"/>
                <w:b w:val="0"/>
                <w:bCs/>
                <w:sz w:val="21"/>
                <w:szCs w:val="21"/>
                <w:lang w:val="en-US" w:eastAsia="zh-CN"/>
              </w:rPr>
            </w:pPr>
            <w:r>
              <w:rPr>
                <w:rFonts w:hint="default" w:ascii="Times New Roman" w:hAnsi="Times New Roman" w:eastAsia="宋体" w:cs="Times New Roman"/>
                <w:b w:val="0"/>
                <w:bCs/>
                <w:sz w:val="21"/>
                <w:szCs w:val="21"/>
                <w:lang w:val="en-US" w:eastAsia="zh-CN"/>
              </w:rPr>
              <w:t>545</w:t>
            </w:r>
          </w:p>
        </w:tc>
        <w:tc>
          <w:tcPr>
            <w:tcW w:w="321" w:type="pct"/>
            <w:vMerge w:val="restart"/>
            <w:tcBorders>
              <w:top w:val="single" w:color="000000" w:sz="4" w:space="0"/>
              <w:left w:val="single" w:color="000000" w:sz="4" w:space="0"/>
              <w:right w:val="single" w:color="000000" w:sz="4" w:space="0"/>
            </w:tcBorders>
            <w:noWrap w:val="0"/>
            <w:tcMar>
              <w:left w:w="108" w:type="dxa"/>
              <w:right w:w="108" w:type="dxa"/>
            </w:tcMar>
            <w:vAlign w:val="center"/>
          </w:tcPr>
          <w:p w14:paraId="2F8F0CF8">
            <w:pPr>
              <w:pStyle w:val="720"/>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default" w:ascii="Times New Roman" w:hAnsi="Times New Roman" w:cs="Times New Roman"/>
                <w:b w:val="0"/>
                <w:bCs/>
                <w:sz w:val="21"/>
                <w:szCs w:val="21"/>
              </w:rPr>
            </w:pPr>
            <w:r>
              <w:rPr>
                <w:rFonts w:hint="default" w:ascii="Times New Roman" w:hAnsi="Times New Roman" w:eastAsia="宋体" w:cs="Times New Roman"/>
                <w:b w:val="0"/>
                <w:bCs/>
                <w:color w:val="auto"/>
                <w:sz w:val="21"/>
                <w:szCs w:val="21"/>
                <w:highlight w:val="none"/>
                <w:lang w:val="en-US" w:eastAsia="zh-CN"/>
              </w:rPr>
              <w:t>70</w:t>
            </w:r>
          </w:p>
        </w:tc>
        <w:tc>
          <w:tcPr>
            <w:tcW w:w="321" w:type="pct"/>
            <w:vMerge w:val="restart"/>
            <w:tcBorders>
              <w:top w:val="single" w:color="000000" w:sz="4" w:space="0"/>
              <w:left w:val="single" w:color="000000" w:sz="4" w:space="0"/>
              <w:right w:val="single" w:color="000000" w:sz="4" w:space="0"/>
            </w:tcBorders>
            <w:noWrap w:val="0"/>
            <w:tcMar>
              <w:left w:w="108" w:type="dxa"/>
              <w:right w:w="108" w:type="dxa"/>
            </w:tcMar>
            <w:vAlign w:val="center"/>
          </w:tcPr>
          <w:p w14:paraId="29619D7E">
            <w:pPr>
              <w:pStyle w:val="720"/>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default" w:ascii="Times New Roman" w:hAnsi="Times New Roman" w:cs="Times New Roman"/>
                <w:b w:val="0"/>
                <w:bCs/>
                <w:sz w:val="21"/>
                <w:szCs w:val="21"/>
              </w:rPr>
            </w:pPr>
            <w:r>
              <w:rPr>
                <w:rFonts w:hint="default" w:ascii="Times New Roman" w:hAnsi="Times New Roman" w:eastAsia="宋体" w:cs="Times New Roman"/>
                <w:b w:val="0"/>
                <w:bCs/>
                <w:sz w:val="21"/>
                <w:szCs w:val="21"/>
                <w:lang w:val="en-US" w:eastAsia="zh-CN"/>
              </w:rPr>
              <w:t>2.4</w:t>
            </w:r>
          </w:p>
        </w:tc>
        <w:tc>
          <w:tcPr>
            <w:tcW w:w="343" w:type="pct"/>
            <w:vMerge w:val="restart"/>
            <w:tcBorders>
              <w:top w:val="single" w:color="000000" w:sz="4" w:space="0"/>
              <w:left w:val="single" w:color="000000" w:sz="4" w:space="0"/>
              <w:right w:val="single" w:color="000000" w:sz="4" w:space="0"/>
            </w:tcBorders>
            <w:noWrap w:val="0"/>
            <w:tcMar>
              <w:left w:w="108" w:type="dxa"/>
              <w:right w:w="108" w:type="dxa"/>
            </w:tcMar>
            <w:vAlign w:val="center"/>
          </w:tcPr>
          <w:p w14:paraId="63BA4979">
            <w:pPr>
              <w:pStyle w:val="720"/>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default" w:ascii="Times New Roman" w:hAnsi="Times New Roman" w:cs="Times New Roman"/>
                <w:b w:val="0"/>
                <w:bCs/>
                <w:sz w:val="21"/>
                <w:szCs w:val="21"/>
              </w:rPr>
            </w:pPr>
            <w:r>
              <w:rPr>
                <w:rFonts w:hint="default" w:ascii="Times New Roman" w:hAnsi="Times New Roman" w:eastAsia="宋体" w:cs="Times New Roman"/>
                <w:b w:val="0"/>
                <w:bCs/>
                <w:spacing w:val="-2"/>
                <w:sz w:val="21"/>
                <w:szCs w:val="21"/>
                <w:lang w:val="en-US" w:eastAsia="zh-CN"/>
              </w:rPr>
              <w:t>120</w:t>
            </w:r>
          </w:p>
        </w:tc>
        <w:tc>
          <w:tcPr>
            <w:tcW w:w="431" w:type="pct"/>
            <w:vMerge w:val="restart"/>
            <w:tcBorders>
              <w:top w:val="single" w:color="000000" w:sz="4" w:space="0"/>
              <w:left w:val="single" w:color="000000" w:sz="4" w:space="0"/>
              <w:right w:val="single" w:color="000000" w:sz="4" w:space="0"/>
            </w:tcBorders>
            <w:noWrap w:val="0"/>
            <w:tcMar>
              <w:left w:w="108" w:type="dxa"/>
              <w:right w:w="108" w:type="dxa"/>
            </w:tcMar>
            <w:vAlign w:val="center"/>
          </w:tcPr>
          <w:p w14:paraId="3BC85091">
            <w:pPr>
              <w:jc w:val="center"/>
              <w:rPr>
                <w:rFonts w:hint="default" w:ascii="Times New Roman" w:hAnsi="Times New Roman" w:eastAsia="宋体" w:cs="Times New Roman"/>
                <w:b w:val="0"/>
                <w:bCs/>
                <w:sz w:val="21"/>
                <w:szCs w:val="21"/>
                <w:lang w:val="en-US" w:eastAsia="zh-CN"/>
              </w:rPr>
            </w:pPr>
            <w:r>
              <w:rPr>
                <w:rFonts w:hint="default" w:ascii="Times New Roman" w:hAnsi="Times New Roman" w:cs="Times New Roman"/>
                <w:b w:val="0"/>
                <w:bCs/>
                <w:sz w:val="21"/>
                <w:szCs w:val="21"/>
              </w:rPr>
              <w:t>DA</w:t>
            </w:r>
            <w:r>
              <w:rPr>
                <w:rFonts w:hint="default" w:ascii="Times New Roman" w:hAnsi="Times New Roman" w:cs="Times New Roman"/>
                <w:b w:val="0"/>
                <w:bCs/>
                <w:sz w:val="21"/>
                <w:szCs w:val="21"/>
                <w:lang w:val="en-US" w:eastAsia="zh-CN"/>
              </w:rPr>
              <w:t>002</w:t>
            </w:r>
          </w:p>
        </w:tc>
      </w:tr>
      <w:tr w14:paraId="496918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162" w:type="pct"/>
            <w:vMerge w:val="continue"/>
            <w:tcBorders>
              <w:left w:val="single" w:color="000000" w:sz="4" w:space="0"/>
              <w:right w:val="single" w:color="000000" w:sz="4" w:space="0"/>
            </w:tcBorders>
            <w:noWrap w:val="0"/>
            <w:tcMar>
              <w:left w:w="108" w:type="dxa"/>
              <w:right w:w="108" w:type="dxa"/>
            </w:tcMar>
            <w:vAlign w:val="center"/>
          </w:tcPr>
          <w:p w14:paraId="3F33DC15">
            <w:pPr>
              <w:jc w:val="center"/>
              <w:rPr>
                <w:rFonts w:hint="default" w:ascii="Times New Roman" w:hAnsi="Times New Roman" w:cs="Times New Roman"/>
                <w:b w:val="0"/>
                <w:bCs/>
                <w:sz w:val="21"/>
                <w:szCs w:val="21"/>
              </w:rPr>
            </w:pPr>
          </w:p>
        </w:tc>
        <w:tc>
          <w:tcPr>
            <w:tcW w:w="433" w:type="pct"/>
            <w:vMerge w:val="continue"/>
            <w:tcBorders>
              <w:left w:val="single" w:color="000000" w:sz="4" w:space="0"/>
              <w:right w:val="single" w:color="000000" w:sz="4" w:space="0"/>
            </w:tcBorders>
            <w:noWrap w:val="0"/>
            <w:tcMar>
              <w:left w:w="108" w:type="dxa"/>
              <w:right w:w="108" w:type="dxa"/>
            </w:tcMar>
            <w:vAlign w:val="center"/>
          </w:tcPr>
          <w:p w14:paraId="0C2366E4">
            <w:pPr>
              <w:keepNext w:val="0"/>
              <w:keepLines w:val="0"/>
              <w:widowControl/>
              <w:suppressLineNumbers w:val="0"/>
              <w:jc w:val="center"/>
              <w:textAlignment w:val="center"/>
              <w:rPr>
                <w:rFonts w:hint="default" w:ascii="Times New Roman" w:hAnsi="Times New Roman" w:cs="Times New Roman"/>
                <w:b w:val="0"/>
                <w:bCs/>
                <w:sz w:val="21"/>
                <w:szCs w:val="21"/>
              </w:rPr>
            </w:pPr>
          </w:p>
        </w:tc>
        <w:tc>
          <w:tcPr>
            <w:tcW w:w="357" w:type="pct"/>
            <w:tcBorders>
              <w:top w:val="single" w:color="000000" w:sz="4" w:space="0"/>
              <w:left w:val="single" w:color="000000" w:sz="4" w:space="0"/>
              <w:bottom w:val="single" w:color="000000" w:sz="4" w:space="0"/>
              <w:right w:val="single" w:color="000000" w:sz="4" w:space="0"/>
            </w:tcBorders>
            <w:shd w:val="clear" w:color="auto" w:fill="auto"/>
            <w:noWrap w:val="0"/>
            <w:tcMar>
              <w:left w:w="108" w:type="dxa"/>
              <w:right w:w="108" w:type="dxa"/>
            </w:tcMar>
            <w:vAlign w:val="center"/>
          </w:tcPr>
          <w:p w14:paraId="08F7E7F8">
            <w:pPr>
              <w:jc w:val="center"/>
              <w:rPr>
                <w:rFonts w:hint="default" w:ascii="Times New Roman" w:hAnsi="Times New Roman" w:eastAsia="宋体" w:cs="Times New Roman"/>
                <w:b w:val="0"/>
                <w:bCs/>
                <w:sz w:val="21"/>
                <w:szCs w:val="21"/>
                <w:lang w:val="en-US" w:eastAsia="zh-CN" w:bidi="ar-SA"/>
              </w:rPr>
            </w:pPr>
            <w:r>
              <w:rPr>
                <w:rFonts w:hint="default" w:ascii="Times New Roman" w:hAnsi="Times New Roman" w:cs="Times New Roman"/>
                <w:b w:val="0"/>
                <w:bCs/>
                <w:sz w:val="21"/>
                <w:szCs w:val="21"/>
              </w:rPr>
              <w:t>SO</w:t>
            </w:r>
            <w:r>
              <w:rPr>
                <w:rFonts w:hint="default" w:ascii="Times New Roman" w:hAnsi="Times New Roman" w:cs="Times New Roman"/>
                <w:b w:val="0"/>
                <w:bCs/>
                <w:sz w:val="21"/>
                <w:szCs w:val="21"/>
                <w:vertAlign w:val="subscript"/>
              </w:rPr>
              <w:t>2</w:t>
            </w:r>
          </w:p>
        </w:tc>
        <w:tc>
          <w:tcPr>
            <w:tcW w:w="684" w:type="pct"/>
            <w:vMerge w:val="continue"/>
            <w:tcBorders>
              <w:left w:val="single" w:color="000000" w:sz="4" w:space="0"/>
              <w:right w:val="single" w:color="000000" w:sz="4" w:space="0"/>
            </w:tcBorders>
            <w:noWrap w:val="0"/>
            <w:tcMar>
              <w:left w:w="108" w:type="dxa"/>
              <w:right w:w="108" w:type="dxa"/>
            </w:tcMar>
            <w:vAlign w:val="center"/>
          </w:tcPr>
          <w:p w14:paraId="785E3134">
            <w:pPr>
              <w:jc w:val="center"/>
              <w:rPr>
                <w:rFonts w:hint="default" w:ascii="Times New Roman" w:hAnsi="Times New Roman" w:cs="Times New Roman"/>
                <w:b w:val="0"/>
                <w:bCs/>
                <w:sz w:val="21"/>
                <w:szCs w:val="21"/>
              </w:rPr>
            </w:pPr>
          </w:p>
        </w:tc>
        <w:tc>
          <w:tcPr>
            <w:tcW w:w="428" w:type="pct"/>
            <w:vMerge w:val="continue"/>
            <w:tcBorders>
              <w:left w:val="single" w:color="000000" w:sz="4" w:space="0"/>
              <w:right w:val="single" w:color="000000" w:sz="4" w:space="0"/>
            </w:tcBorders>
            <w:noWrap w:val="0"/>
            <w:tcMar>
              <w:left w:w="108" w:type="dxa"/>
              <w:right w:w="108" w:type="dxa"/>
            </w:tcMar>
            <w:vAlign w:val="center"/>
          </w:tcPr>
          <w:p w14:paraId="101C8CAF">
            <w:pPr>
              <w:jc w:val="center"/>
              <w:rPr>
                <w:rFonts w:hint="default" w:ascii="Times New Roman" w:hAnsi="Times New Roman" w:cs="Times New Roman"/>
                <w:b w:val="0"/>
                <w:bCs/>
                <w:sz w:val="21"/>
                <w:szCs w:val="21"/>
              </w:rPr>
            </w:pPr>
          </w:p>
        </w:tc>
        <w:tc>
          <w:tcPr>
            <w:tcW w:w="0" w:type="auto"/>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2953370B">
            <w:pPr>
              <w:jc w:val="center"/>
              <w:rPr>
                <w:rFonts w:hint="default" w:ascii="Times New Roman" w:hAnsi="Times New Roman" w:eastAsia="宋体" w:cs="Times New Roman"/>
                <w:b w:val="0"/>
                <w:bCs/>
                <w:sz w:val="21"/>
                <w:szCs w:val="21"/>
                <w:lang w:eastAsia="zh-CN"/>
              </w:rPr>
            </w:pPr>
            <w:r>
              <w:rPr>
                <w:rFonts w:hint="default" w:ascii="Times New Roman" w:hAnsi="Times New Roman" w:cs="Times New Roman"/>
                <w:b w:val="0"/>
                <w:bCs/>
                <w:sz w:val="21"/>
                <w:szCs w:val="21"/>
                <w:lang w:val="en-US" w:eastAsia="zh-CN"/>
              </w:rPr>
              <w:t>0</w:t>
            </w:r>
          </w:p>
        </w:tc>
        <w:tc>
          <w:tcPr>
            <w:tcW w:w="589" w:type="pct"/>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79A872B6">
            <w:pPr>
              <w:keepNext w:val="0"/>
              <w:keepLines w:val="0"/>
              <w:widowControl/>
              <w:suppressLineNumbers w:val="0"/>
              <w:jc w:val="center"/>
              <w:textAlignment w:val="center"/>
              <w:rPr>
                <w:rFonts w:hint="default" w:ascii="Times New Roman" w:hAnsi="Times New Roman" w:cs="Times New Roman"/>
                <w:b w:val="0"/>
                <w:bCs w:val="0"/>
                <w:sz w:val="21"/>
                <w:szCs w:val="21"/>
              </w:rPr>
            </w:pPr>
            <w:r>
              <w:rPr>
                <w:rFonts w:hint="default" w:ascii="Times New Roman" w:hAnsi="Times New Roman" w:eastAsia="宋体" w:cs="Times New Roman"/>
                <w:b w:val="0"/>
                <w:bCs w:val="0"/>
                <w:i w:val="0"/>
                <w:iCs w:val="0"/>
                <w:color w:val="000000"/>
                <w:kern w:val="0"/>
                <w:sz w:val="21"/>
                <w:szCs w:val="21"/>
                <w:u w:val="none"/>
                <w:lang w:val="en-US" w:eastAsia="zh-CN" w:bidi="ar"/>
              </w:rPr>
              <w:t>460</w:t>
            </w:r>
          </w:p>
        </w:tc>
        <w:tc>
          <w:tcPr>
            <w:tcW w:w="585" w:type="pct"/>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17634981">
            <w:pPr>
              <w:jc w:val="center"/>
              <w:rPr>
                <w:rFonts w:hint="default" w:ascii="Times New Roman" w:hAnsi="Times New Roman" w:eastAsia="宋体" w:cs="Times New Roman"/>
                <w:b w:val="0"/>
                <w:bCs/>
                <w:sz w:val="21"/>
                <w:szCs w:val="21"/>
                <w:lang w:val="en-US" w:eastAsia="zh-CN"/>
              </w:rPr>
            </w:pPr>
            <w:r>
              <w:rPr>
                <w:rFonts w:hint="default" w:ascii="Times New Roman" w:hAnsi="Times New Roman" w:eastAsia="宋体" w:cs="Times New Roman"/>
                <w:b w:val="0"/>
                <w:bCs/>
                <w:sz w:val="21"/>
                <w:szCs w:val="21"/>
                <w:lang w:val="en-US" w:eastAsia="zh-CN"/>
              </w:rPr>
              <w:t>124.2</w:t>
            </w:r>
          </w:p>
        </w:tc>
        <w:tc>
          <w:tcPr>
            <w:tcW w:w="321" w:type="pct"/>
            <w:vMerge w:val="continue"/>
            <w:tcBorders>
              <w:left w:val="single" w:color="000000" w:sz="4" w:space="0"/>
              <w:right w:val="single" w:color="000000" w:sz="4" w:space="0"/>
            </w:tcBorders>
            <w:noWrap w:val="0"/>
            <w:tcMar>
              <w:left w:w="108" w:type="dxa"/>
              <w:right w:w="108" w:type="dxa"/>
            </w:tcMar>
            <w:vAlign w:val="center"/>
          </w:tcPr>
          <w:p w14:paraId="46C74AB3">
            <w:pPr>
              <w:jc w:val="center"/>
              <w:rPr>
                <w:rFonts w:hint="default" w:ascii="Times New Roman" w:hAnsi="Times New Roman" w:cs="Times New Roman"/>
                <w:b w:val="0"/>
                <w:bCs/>
                <w:sz w:val="21"/>
                <w:szCs w:val="21"/>
              </w:rPr>
            </w:pPr>
          </w:p>
        </w:tc>
        <w:tc>
          <w:tcPr>
            <w:tcW w:w="321" w:type="pct"/>
            <w:vMerge w:val="continue"/>
            <w:tcBorders>
              <w:left w:val="single" w:color="000000" w:sz="4" w:space="0"/>
              <w:right w:val="single" w:color="000000" w:sz="4" w:space="0"/>
            </w:tcBorders>
            <w:noWrap w:val="0"/>
            <w:tcMar>
              <w:left w:w="108" w:type="dxa"/>
              <w:right w:w="108" w:type="dxa"/>
            </w:tcMar>
            <w:vAlign w:val="center"/>
          </w:tcPr>
          <w:p w14:paraId="28B36DA0">
            <w:pPr>
              <w:jc w:val="center"/>
              <w:rPr>
                <w:rFonts w:hint="default" w:ascii="Times New Roman" w:hAnsi="Times New Roman" w:cs="Times New Roman"/>
                <w:b w:val="0"/>
                <w:bCs/>
                <w:sz w:val="21"/>
                <w:szCs w:val="21"/>
              </w:rPr>
            </w:pPr>
          </w:p>
        </w:tc>
        <w:tc>
          <w:tcPr>
            <w:tcW w:w="343" w:type="pct"/>
            <w:vMerge w:val="continue"/>
            <w:tcBorders>
              <w:left w:val="single" w:color="000000" w:sz="4" w:space="0"/>
              <w:right w:val="single" w:color="000000" w:sz="4" w:space="0"/>
            </w:tcBorders>
            <w:noWrap w:val="0"/>
            <w:tcMar>
              <w:left w:w="108" w:type="dxa"/>
              <w:right w:w="108" w:type="dxa"/>
            </w:tcMar>
            <w:vAlign w:val="center"/>
          </w:tcPr>
          <w:p w14:paraId="3AA2BF23">
            <w:pPr>
              <w:jc w:val="center"/>
              <w:rPr>
                <w:rFonts w:hint="default" w:ascii="Times New Roman" w:hAnsi="Times New Roman" w:cs="Times New Roman"/>
                <w:b w:val="0"/>
                <w:bCs/>
                <w:sz w:val="21"/>
                <w:szCs w:val="21"/>
              </w:rPr>
            </w:pPr>
          </w:p>
        </w:tc>
        <w:tc>
          <w:tcPr>
            <w:tcW w:w="431" w:type="pct"/>
            <w:vMerge w:val="continue"/>
            <w:tcBorders>
              <w:left w:val="single" w:color="000000" w:sz="4" w:space="0"/>
              <w:right w:val="single" w:color="000000" w:sz="4" w:space="0"/>
            </w:tcBorders>
            <w:noWrap w:val="0"/>
            <w:tcMar>
              <w:left w:w="108" w:type="dxa"/>
              <w:right w:w="108" w:type="dxa"/>
            </w:tcMar>
            <w:vAlign w:val="center"/>
          </w:tcPr>
          <w:p w14:paraId="0CA98971">
            <w:pPr>
              <w:jc w:val="center"/>
              <w:rPr>
                <w:rFonts w:hint="default" w:ascii="Times New Roman" w:hAnsi="Times New Roman" w:cs="Times New Roman"/>
                <w:b w:val="0"/>
                <w:bCs/>
                <w:sz w:val="21"/>
                <w:szCs w:val="21"/>
              </w:rPr>
            </w:pPr>
          </w:p>
        </w:tc>
      </w:tr>
      <w:tr w14:paraId="2FBB49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jc w:val="center"/>
        </w:trPr>
        <w:tc>
          <w:tcPr>
            <w:tcW w:w="162" w:type="pct"/>
            <w:vMerge w:val="continue"/>
            <w:tcBorders>
              <w:left w:val="single" w:color="000000" w:sz="4" w:space="0"/>
              <w:right w:val="single" w:color="000000" w:sz="4" w:space="0"/>
            </w:tcBorders>
            <w:noWrap w:val="0"/>
            <w:tcMar>
              <w:left w:w="108" w:type="dxa"/>
              <w:right w:w="108" w:type="dxa"/>
            </w:tcMar>
            <w:vAlign w:val="center"/>
          </w:tcPr>
          <w:p w14:paraId="25DBC1E7">
            <w:pPr>
              <w:jc w:val="center"/>
              <w:rPr>
                <w:rFonts w:hint="default" w:ascii="Times New Roman" w:hAnsi="Times New Roman" w:cs="Times New Roman"/>
                <w:b w:val="0"/>
                <w:bCs/>
                <w:sz w:val="21"/>
                <w:szCs w:val="21"/>
              </w:rPr>
            </w:pPr>
          </w:p>
        </w:tc>
        <w:tc>
          <w:tcPr>
            <w:tcW w:w="433" w:type="pct"/>
            <w:vMerge w:val="continue"/>
            <w:tcBorders>
              <w:left w:val="single" w:color="000000" w:sz="4" w:space="0"/>
              <w:right w:val="single" w:color="000000" w:sz="4" w:space="0"/>
            </w:tcBorders>
            <w:noWrap w:val="0"/>
            <w:tcMar>
              <w:left w:w="108" w:type="dxa"/>
              <w:right w:w="108" w:type="dxa"/>
            </w:tcMar>
            <w:vAlign w:val="center"/>
          </w:tcPr>
          <w:p w14:paraId="1D0F3568">
            <w:pPr>
              <w:jc w:val="center"/>
              <w:rPr>
                <w:rFonts w:hint="default" w:ascii="Times New Roman" w:hAnsi="Times New Roman" w:cs="Times New Roman"/>
                <w:b w:val="0"/>
                <w:bCs/>
                <w:sz w:val="21"/>
                <w:szCs w:val="21"/>
              </w:rPr>
            </w:pPr>
          </w:p>
        </w:tc>
        <w:tc>
          <w:tcPr>
            <w:tcW w:w="357" w:type="pct"/>
            <w:tcBorders>
              <w:top w:val="single" w:color="000000" w:sz="4" w:space="0"/>
              <w:left w:val="single" w:color="000000" w:sz="4" w:space="0"/>
              <w:bottom w:val="single" w:color="000000" w:sz="4" w:space="0"/>
              <w:right w:val="single" w:color="000000" w:sz="4" w:space="0"/>
            </w:tcBorders>
            <w:shd w:val="clear" w:color="auto" w:fill="auto"/>
            <w:noWrap w:val="0"/>
            <w:tcMar>
              <w:left w:w="108" w:type="dxa"/>
              <w:right w:w="108" w:type="dxa"/>
            </w:tcMar>
            <w:vAlign w:val="center"/>
          </w:tcPr>
          <w:p w14:paraId="45B2D984">
            <w:pPr>
              <w:jc w:val="center"/>
              <w:rPr>
                <w:rFonts w:hint="default" w:ascii="Times New Roman" w:hAnsi="Times New Roman" w:eastAsia="宋体" w:cs="Times New Roman"/>
                <w:b w:val="0"/>
                <w:bCs/>
                <w:sz w:val="21"/>
                <w:szCs w:val="21"/>
                <w:lang w:val="en-US" w:eastAsia="zh-CN" w:bidi="ar-SA"/>
              </w:rPr>
            </w:pPr>
            <w:r>
              <w:rPr>
                <w:rFonts w:hint="default" w:ascii="Times New Roman" w:hAnsi="Times New Roman" w:cs="Times New Roman"/>
                <w:b w:val="0"/>
                <w:bCs/>
                <w:sz w:val="21"/>
                <w:szCs w:val="21"/>
              </w:rPr>
              <w:t>NOx</w:t>
            </w:r>
          </w:p>
        </w:tc>
        <w:tc>
          <w:tcPr>
            <w:tcW w:w="684" w:type="pct"/>
            <w:vMerge w:val="continue"/>
            <w:tcBorders>
              <w:left w:val="single" w:color="000000" w:sz="4" w:space="0"/>
              <w:right w:val="single" w:color="000000" w:sz="4" w:space="0"/>
            </w:tcBorders>
            <w:noWrap w:val="0"/>
            <w:tcMar>
              <w:left w:w="108" w:type="dxa"/>
              <w:right w:w="108" w:type="dxa"/>
            </w:tcMar>
            <w:vAlign w:val="center"/>
          </w:tcPr>
          <w:p w14:paraId="76A2014C">
            <w:pPr>
              <w:jc w:val="center"/>
              <w:rPr>
                <w:rFonts w:hint="default" w:ascii="Times New Roman" w:hAnsi="Times New Roman" w:cs="Times New Roman"/>
                <w:b w:val="0"/>
                <w:bCs/>
                <w:sz w:val="21"/>
                <w:szCs w:val="21"/>
              </w:rPr>
            </w:pPr>
          </w:p>
        </w:tc>
        <w:tc>
          <w:tcPr>
            <w:tcW w:w="428" w:type="pct"/>
            <w:vMerge w:val="continue"/>
            <w:tcBorders>
              <w:left w:val="single" w:color="000000" w:sz="4" w:space="0"/>
              <w:right w:val="single" w:color="000000" w:sz="4" w:space="0"/>
            </w:tcBorders>
            <w:noWrap w:val="0"/>
            <w:tcMar>
              <w:left w:w="108" w:type="dxa"/>
              <w:right w:w="108" w:type="dxa"/>
            </w:tcMar>
            <w:vAlign w:val="center"/>
          </w:tcPr>
          <w:p w14:paraId="55CE1565">
            <w:pPr>
              <w:jc w:val="center"/>
              <w:rPr>
                <w:rFonts w:hint="default" w:ascii="Times New Roman" w:hAnsi="Times New Roman" w:cs="Times New Roman"/>
                <w:b w:val="0"/>
                <w:bCs/>
                <w:sz w:val="21"/>
                <w:szCs w:val="21"/>
              </w:rPr>
            </w:pPr>
          </w:p>
        </w:tc>
        <w:tc>
          <w:tcPr>
            <w:tcW w:w="0" w:type="auto"/>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6F76D76E">
            <w:pPr>
              <w:jc w:val="center"/>
              <w:rPr>
                <w:rFonts w:hint="default" w:ascii="Times New Roman" w:hAnsi="Times New Roman" w:cs="Times New Roman"/>
                <w:b w:val="0"/>
                <w:bCs/>
                <w:sz w:val="21"/>
                <w:szCs w:val="21"/>
              </w:rPr>
            </w:pPr>
            <w:r>
              <w:rPr>
                <w:rFonts w:hint="default" w:ascii="Times New Roman" w:hAnsi="Times New Roman" w:cs="Times New Roman"/>
                <w:b w:val="0"/>
                <w:bCs/>
                <w:sz w:val="21"/>
                <w:szCs w:val="21"/>
              </w:rPr>
              <w:t>0</w:t>
            </w:r>
          </w:p>
        </w:tc>
        <w:tc>
          <w:tcPr>
            <w:tcW w:w="589" w:type="pct"/>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6E15AB54">
            <w:pPr>
              <w:keepNext w:val="0"/>
              <w:keepLines w:val="0"/>
              <w:widowControl/>
              <w:suppressLineNumbers w:val="0"/>
              <w:jc w:val="center"/>
              <w:textAlignment w:val="center"/>
              <w:rPr>
                <w:rFonts w:hint="default" w:ascii="Times New Roman" w:hAnsi="Times New Roman" w:cs="Times New Roman"/>
                <w:b w:val="0"/>
                <w:bCs w:val="0"/>
                <w:sz w:val="21"/>
                <w:szCs w:val="21"/>
              </w:rPr>
            </w:pPr>
            <w:r>
              <w:rPr>
                <w:rFonts w:hint="default" w:ascii="Times New Roman" w:hAnsi="Times New Roman" w:eastAsia="宋体" w:cs="Times New Roman"/>
                <w:b w:val="0"/>
                <w:bCs w:val="0"/>
                <w:i w:val="0"/>
                <w:iCs w:val="0"/>
                <w:color w:val="000000"/>
                <w:kern w:val="0"/>
                <w:sz w:val="21"/>
                <w:szCs w:val="21"/>
                <w:u w:val="none"/>
                <w:lang w:val="en-US" w:eastAsia="zh-CN" w:bidi="ar"/>
              </w:rPr>
              <w:t>145.1</w:t>
            </w:r>
            <w:r>
              <w:rPr>
                <w:rFonts w:hint="eastAsia" w:ascii="Times New Roman" w:hAnsi="Times New Roman" w:eastAsia="宋体" w:cs="Times New Roman"/>
                <w:b w:val="0"/>
                <w:bCs w:val="0"/>
                <w:i w:val="0"/>
                <w:iCs w:val="0"/>
                <w:color w:val="000000"/>
                <w:kern w:val="0"/>
                <w:sz w:val="21"/>
                <w:szCs w:val="21"/>
                <w:u w:val="none"/>
                <w:lang w:val="en-US" w:eastAsia="zh-CN" w:bidi="ar"/>
              </w:rPr>
              <w:t>9</w:t>
            </w:r>
          </w:p>
        </w:tc>
        <w:tc>
          <w:tcPr>
            <w:tcW w:w="585" w:type="pct"/>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2F39502A">
            <w:pPr>
              <w:jc w:val="center"/>
              <w:rPr>
                <w:rFonts w:hint="default" w:ascii="Times New Roman" w:hAnsi="Times New Roman" w:eastAsia="宋体" w:cs="Times New Roman"/>
                <w:b w:val="0"/>
                <w:bCs/>
                <w:sz w:val="21"/>
                <w:szCs w:val="21"/>
                <w:lang w:val="en-US" w:eastAsia="zh-CN"/>
              </w:rPr>
            </w:pPr>
            <w:r>
              <w:rPr>
                <w:rFonts w:hint="default" w:ascii="Times New Roman" w:hAnsi="Times New Roman" w:eastAsia="宋体" w:cs="Times New Roman"/>
                <w:b w:val="0"/>
                <w:bCs/>
                <w:sz w:val="21"/>
                <w:szCs w:val="21"/>
                <w:lang w:val="en-US" w:eastAsia="zh-CN"/>
              </w:rPr>
              <w:t>39.2</w:t>
            </w:r>
          </w:p>
        </w:tc>
        <w:tc>
          <w:tcPr>
            <w:tcW w:w="321" w:type="pct"/>
            <w:vMerge w:val="continue"/>
            <w:tcBorders>
              <w:left w:val="single" w:color="000000" w:sz="4" w:space="0"/>
              <w:right w:val="single" w:color="000000" w:sz="4" w:space="0"/>
            </w:tcBorders>
            <w:noWrap w:val="0"/>
            <w:tcMar>
              <w:left w:w="108" w:type="dxa"/>
              <w:right w:w="108" w:type="dxa"/>
            </w:tcMar>
            <w:vAlign w:val="center"/>
          </w:tcPr>
          <w:p w14:paraId="5E169584">
            <w:pPr>
              <w:jc w:val="center"/>
              <w:rPr>
                <w:rFonts w:hint="default" w:ascii="Times New Roman" w:hAnsi="Times New Roman" w:cs="Times New Roman"/>
                <w:b w:val="0"/>
                <w:bCs/>
                <w:sz w:val="21"/>
                <w:szCs w:val="21"/>
              </w:rPr>
            </w:pPr>
          </w:p>
        </w:tc>
        <w:tc>
          <w:tcPr>
            <w:tcW w:w="321" w:type="pct"/>
            <w:vMerge w:val="continue"/>
            <w:tcBorders>
              <w:left w:val="single" w:color="000000" w:sz="4" w:space="0"/>
              <w:right w:val="single" w:color="000000" w:sz="4" w:space="0"/>
            </w:tcBorders>
            <w:noWrap w:val="0"/>
            <w:tcMar>
              <w:left w:w="108" w:type="dxa"/>
              <w:right w:w="108" w:type="dxa"/>
            </w:tcMar>
            <w:vAlign w:val="center"/>
          </w:tcPr>
          <w:p w14:paraId="15EE0AD5">
            <w:pPr>
              <w:jc w:val="center"/>
              <w:rPr>
                <w:rFonts w:hint="default" w:ascii="Times New Roman" w:hAnsi="Times New Roman" w:cs="Times New Roman"/>
                <w:b w:val="0"/>
                <w:bCs/>
                <w:sz w:val="21"/>
                <w:szCs w:val="21"/>
              </w:rPr>
            </w:pPr>
          </w:p>
        </w:tc>
        <w:tc>
          <w:tcPr>
            <w:tcW w:w="343" w:type="pct"/>
            <w:vMerge w:val="continue"/>
            <w:tcBorders>
              <w:left w:val="single" w:color="000000" w:sz="4" w:space="0"/>
              <w:right w:val="single" w:color="000000" w:sz="4" w:space="0"/>
            </w:tcBorders>
            <w:noWrap w:val="0"/>
            <w:tcMar>
              <w:left w:w="108" w:type="dxa"/>
              <w:right w:w="108" w:type="dxa"/>
            </w:tcMar>
            <w:vAlign w:val="center"/>
          </w:tcPr>
          <w:p w14:paraId="347BF894">
            <w:pPr>
              <w:jc w:val="center"/>
              <w:rPr>
                <w:rFonts w:hint="default" w:ascii="Times New Roman" w:hAnsi="Times New Roman" w:cs="Times New Roman"/>
                <w:b w:val="0"/>
                <w:bCs/>
                <w:sz w:val="21"/>
                <w:szCs w:val="21"/>
              </w:rPr>
            </w:pPr>
          </w:p>
        </w:tc>
        <w:tc>
          <w:tcPr>
            <w:tcW w:w="431" w:type="pct"/>
            <w:vMerge w:val="continue"/>
            <w:tcBorders>
              <w:left w:val="single" w:color="000000" w:sz="4" w:space="0"/>
              <w:right w:val="single" w:color="000000" w:sz="4" w:space="0"/>
            </w:tcBorders>
            <w:noWrap w:val="0"/>
            <w:tcMar>
              <w:left w:w="108" w:type="dxa"/>
              <w:right w:w="108" w:type="dxa"/>
            </w:tcMar>
            <w:vAlign w:val="center"/>
          </w:tcPr>
          <w:p w14:paraId="43D1F646">
            <w:pPr>
              <w:jc w:val="center"/>
              <w:rPr>
                <w:rFonts w:hint="default" w:ascii="Times New Roman" w:hAnsi="Times New Roman" w:cs="Times New Roman"/>
                <w:b w:val="0"/>
                <w:bCs/>
                <w:sz w:val="21"/>
                <w:szCs w:val="21"/>
              </w:rPr>
            </w:pPr>
          </w:p>
        </w:tc>
      </w:tr>
      <w:tr w14:paraId="2A9241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162" w:type="pct"/>
            <w:vMerge w:val="continue"/>
            <w:tcBorders>
              <w:left w:val="single" w:color="000000" w:sz="4" w:space="0"/>
              <w:right w:val="single" w:color="000000" w:sz="4" w:space="0"/>
            </w:tcBorders>
            <w:noWrap w:val="0"/>
            <w:tcMar>
              <w:left w:w="108" w:type="dxa"/>
              <w:right w:w="108" w:type="dxa"/>
            </w:tcMar>
            <w:vAlign w:val="center"/>
          </w:tcPr>
          <w:p w14:paraId="1D785553">
            <w:pPr>
              <w:jc w:val="center"/>
              <w:rPr>
                <w:rFonts w:hint="default" w:ascii="Times New Roman" w:hAnsi="Times New Roman" w:cs="Times New Roman"/>
                <w:b w:val="0"/>
                <w:bCs/>
                <w:sz w:val="21"/>
                <w:szCs w:val="21"/>
              </w:rPr>
            </w:pPr>
          </w:p>
        </w:tc>
        <w:tc>
          <w:tcPr>
            <w:tcW w:w="433" w:type="pct"/>
            <w:vMerge w:val="continue"/>
            <w:tcBorders>
              <w:left w:val="single" w:color="000000" w:sz="4" w:space="0"/>
              <w:right w:val="single" w:color="000000" w:sz="4" w:space="0"/>
            </w:tcBorders>
            <w:noWrap w:val="0"/>
            <w:tcMar>
              <w:left w:w="108" w:type="dxa"/>
              <w:right w:w="108" w:type="dxa"/>
            </w:tcMar>
            <w:vAlign w:val="center"/>
          </w:tcPr>
          <w:p w14:paraId="5F1B916D">
            <w:pPr>
              <w:jc w:val="center"/>
              <w:rPr>
                <w:rFonts w:hint="default" w:ascii="Times New Roman" w:hAnsi="Times New Roman" w:cs="Times New Roman"/>
                <w:b w:val="0"/>
                <w:bCs/>
                <w:sz w:val="21"/>
                <w:szCs w:val="21"/>
              </w:rPr>
            </w:pPr>
          </w:p>
        </w:tc>
        <w:tc>
          <w:tcPr>
            <w:tcW w:w="357" w:type="pct"/>
            <w:tcBorders>
              <w:top w:val="single" w:color="000000" w:sz="4" w:space="0"/>
              <w:left w:val="single" w:color="000000" w:sz="4" w:space="0"/>
              <w:bottom w:val="single" w:color="000000" w:sz="4" w:space="0"/>
              <w:right w:val="single" w:color="000000" w:sz="4" w:space="0"/>
            </w:tcBorders>
            <w:shd w:val="clear" w:color="auto" w:fill="auto"/>
            <w:noWrap w:val="0"/>
            <w:tcMar>
              <w:left w:w="108" w:type="dxa"/>
              <w:right w:w="108" w:type="dxa"/>
            </w:tcMar>
            <w:vAlign w:val="center"/>
          </w:tcPr>
          <w:p w14:paraId="33F85FAC">
            <w:pPr>
              <w:jc w:val="center"/>
              <w:rPr>
                <w:rFonts w:hint="default" w:ascii="Times New Roman" w:hAnsi="Times New Roman" w:eastAsia="宋体" w:cs="Times New Roman"/>
                <w:b w:val="0"/>
                <w:bCs/>
                <w:sz w:val="21"/>
                <w:szCs w:val="21"/>
                <w:lang w:val="en-US" w:eastAsia="zh-CN" w:bidi="ar-SA"/>
              </w:rPr>
            </w:pPr>
            <w:r>
              <w:rPr>
                <w:rFonts w:hint="default" w:ascii="Times New Roman" w:hAnsi="Times New Roman" w:cs="Times New Roman"/>
                <w:b w:val="0"/>
                <w:bCs/>
                <w:sz w:val="21"/>
                <w:szCs w:val="21"/>
              </w:rPr>
              <w:t>氟化物</w:t>
            </w:r>
          </w:p>
        </w:tc>
        <w:tc>
          <w:tcPr>
            <w:tcW w:w="684" w:type="pct"/>
            <w:vMerge w:val="continue"/>
            <w:tcBorders>
              <w:left w:val="single" w:color="000000" w:sz="4" w:space="0"/>
              <w:right w:val="single" w:color="000000" w:sz="4" w:space="0"/>
            </w:tcBorders>
            <w:noWrap w:val="0"/>
            <w:tcMar>
              <w:left w:w="108" w:type="dxa"/>
              <w:right w:w="108" w:type="dxa"/>
            </w:tcMar>
            <w:vAlign w:val="center"/>
          </w:tcPr>
          <w:p w14:paraId="439266DA">
            <w:pPr>
              <w:jc w:val="center"/>
              <w:rPr>
                <w:rFonts w:hint="default" w:ascii="Times New Roman" w:hAnsi="Times New Roman" w:cs="Times New Roman"/>
                <w:b w:val="0"/>
                <w:bCs/>
                <w:sz w:val="21"/>
                <w:szCs w:val="21"/>
              </w:rPr>
            </w:pPr>
          </w:p>
        </w:tc>
        <w:tc>
          <w:tcPr>
            <w:tcW w:w="428" w:type="pct"/>
            <w:vMerge w:val="continue"/>
            <w:tcBorders>
              <w:left w:val="single" w:color="000000" w:sz="4" w:space="0"/>
              <w:right w:val="single" w:color="000000" w:sz="4" w:space="0"/>
            </w:tcBorders>
            <w:noWrap w:val="0"/>
            <w:tcMar>
              <w:left w:w="108" w:type="dxa"/>
              <w:right w:w="108" w:type="dxa"/>
            </w:tcMar>
            <w:vAlign w:val="center"/>
          </w:tcPr>
          <w:p w14:paraId="72064EEF">
            <w:pPr>
              <w:jc w:val="center"/>
              <w:rPr>
                <w:rFonts w:hint="default" w:ascii="Times New Roman" w:hAnsi="Times New Roman" w:cs="Times New Roman"/>
                <w:b w:val="0"/>
                <w:bCs/>
                <w:sz w:val="21"/>
                <w:szCs w:val="21"/>
              </w:rPr>
            </w:pPr>
          </w:p>
        </w:tc>
        <w:tc>
          <w:tcPr>
            <w:tcW w:w="0" w:type="auto"/>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7BD0AAC9">
            <w:pPr>
              <w:jc w:val="center"/>
              <w:rPr>
                <w:rFonts w:hint="default" w:ascii="Times New Roman" w:hAnsi="Times New Roman" w:cs="Times New Roman"/>
                <w:b w:val="0"/>
                <w:bCs/>
                <w:sz w:val="21"/>
                <w:szCs w:val="21"/>
              </w:rPr>
            </w:pPr>
            <w:r>
              <w:rPr>
                <w:rFonts w:hint="default" w:ascii="Times New Roman" w:hAnsi="Times New Roman" w:cs="Times New Roman"/>
                <w:b w:val="0"/>
                <w:bCs/>
                <w:sz w:val="21"/>
                <w:szCs w:val="21"/>
              </w:rPr>
              <w:t>0</w:t>
            </w:r>
          </w:p>
        </w:tc>
        <w:tc>
          <w:tcPr>
            <w:tcW w:w="589" w:type="pct"/>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3F608A80">
            <w:pPr>
              <w:keepNext w:val="0"/>
              <w:keepLines w:val="0"/>
              <w:widowControl/>
              <w:suppressLineNumbers w:val="0"/>
              <w:jc w:val="center"/>
              <w:textAlignment w:val="center"/>
              <w:rPr>
                <w:rFonts w:hint="default" w:ascii="Times New Roman" w:hAnsi="Times New Roman" w:cs="Times New Roman"/>
                <w:b w:val="0"/>
                <w:bCs w:val="0"/>
                <w:sz w:val="21"/>
                <w:szCs w:val="21"/>
              </w:rPr>
            </w:pPr>
            <w:r>
              <w:rPr>
                <w:rFonts w:hint="default" w:ascii="Times New Roman" w:hAnsi="Times New Roman" w:eastAsia="宋体" w:cs="Times New Roman"/>
                <w:b w:val="0"/>
                <w:bCs w:val="0"/>
                <w:i w:val="0"/>
                <w:iCs w:val="0"/>
                <w:color w:val="000000"/>
                <w:kern w:val="0"/>
                <w:sz w:val="21"/>
                <w:szCs w:val="21"/>
                <w:u w:val="none"/>
                <w:lang w:val="en-US" w:eastAsia="zh-CN" w:bidi="ar"/>
              </w:rPr>
              <w:t>1.22</w:t>
            </w:r>
          </w:p>
        </w:tc>
        <w:tc>
          <w:tcPr>
            <w:tcW w:w="585" w:type="pct"/>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63B707A9">
            <w:pPr>
              <w:jc w:val="center"/>
              <w:rPr>
                <w:rFonts w:hint="default" w:ascii="Times New Roman" w:hAnsi="Times New Roman" w:eastAsia="宋体" w:cs="Times New Roman"/>
                <w:b w:val="0"/>
                <w:bCs/>
                <w:sz w:val="21"/>
                <w:szCs w:val="21"/>
                <w:lang w:val="en-US" w:eastAsia="zh-CN"/>
              </w:rPr>
            </w:pPr>
            <w:r>
              <w:rPr>
                <w:rFonts w:hint="default" w:ascii="Times New Roman" w:hAnsi="Times New Roman" w:eastAsia="宋体" w:cs="Times New Roman"/>
                <w:b w:val="0"/>
                <w:bCs/>
                <w:sz w:val="21"/>
                <w:szCs w:val="21"/>
                <w:lang w:val="en-US" w:eastAsia="zh-CN"/>
              </w:rPr>
              <w:t>0.33</w:t>
            </w:r>
          </w:p>
        </w:tc>
        <w:tc>
          <w:tcPr>
            <w:tcW w:w="321" w:type="pct"/>
            <w:vMerge w:val="continue"/>
            <w:tcBorders>
              <w:left w:val="single" w:color="000000" w:sz="4" w:space="0"/>
              <w:right w:val="single" w:color="000000" w:sz="4" w:space="0"/>
            </w:tcBorders>
            <w:noWrap w:val="0"/>
            <w:tcMar>
              <w:left w:w="108" w:type="dxa"/>
              <w:right w:w="108" w:type="dxa"/>
            </w:tcMar>
            <w:vAlign w:val="center"/>
          </w:tcPr>
          <w:p w14:paraId="026DECA2">
            <w:pPr>
              <w:jc w:val="center"/>
              <w:rPr>
                <w:rFonts w:hint="default" w:ascii="Times New Roman" w:hAnsi="Times New Roman" w:cs="Times New Roman"/>
                <w:b w:val="0"/>
                <w:bCs/>
                <w:sz w:val="21"/>
                <w:szCs w:val="21"/>
              </w:rPr>
            </w:pPr>
          </w:p>
        </w:tc>
        <w:tc>
          <w:tcPr>
            <w:tcW w:w="321" w:type="pct"/>
            <w:vMerge w:val="continue"/>
            <w:tcBorders>
              <w:left w:val="single" w:color="000000" w:sz="4" w:space="0"/>
              <w:right w:val="single" w:color="000000" w:sz="4" w:space="0"/>
            </w:tcBorders>
            <w:noWrap w:val="0"/>
            <w:tcMar>
              <w:left w:w="108" w:type="dxa"/>
              <w:right w:w="108" w:type="dxa"/>
            </w:tcMar>
            <w:vAlign w:val="center"/>
          </w:tcPr>
          <w:p w14:paraId="71F650E1">
            <w:pPr>
              <w:jc w:val="center"/>
              <w:rPr>
                <w:rFonts w:hint="default" w:ascii="Times New Roman" w:hAnsi="Times New Roman" w:cs="Times New Roman"/>
                <w:b w:val="0"/>
                <w:bCs/>
                <w:sz w:val="21"/>
                <w:szCs w:val="21"/>
              </w:rPr>
            </w:pPr>
          </w:p>
        </w:tc>
        <w:tc>
          <w:tcPr>
            <w:tcW w:w="343" w:type="pct"/>
            <w:vMerge w:val="continue"/>
            <w:tcBorders>
              <w:left w:val="single" w:color="000000" w:sz="4" w:space="0"/>
              <w:right w:val="single" w:color="000000" w:sz="4" w:space="0"/>
            </w:tcBorders>
            <w:noWrap w:val="0"/>
            <w:tcMar>
              <w:left w:w="108" w:type="dxa"/>
              <w:right w:w="108" w:type="dxa"/>
            </w:tcMar>
            <w:vAlign w:val="center"/>
          </w:tcPr>
          <w:p w14:paraId="00A00BF7">
            <w:pPr>
              <w:jc w:val="center"/>
              <w:rPr>
                <w:rFonts w:hint="default" w:ascii="Times New Roman" w:hAnsi="Times New Roman" w:cs="Times New Roman"/>
                <w:b w:val="0"/>
                <w:bCs/>
                <w:sz w:val="21"/>
                <w:szCs w:val="21"/>
              </w:rPr>
            </w:pPr>
          </w:p>
        </w:tc>
        <w:tc>
          <w:tcPr>
            <w:tcW w:w="431" w:type="pct"/>
            <w:vMerge w:val="continue"/>
            <w:tcBorders>
              <w:left w:val="single" w:color="000000" w:sz="4" w:space="0"/>
              <w:right w:val="single" w:color="000000" w:sz="4" w:space="0"/>
            </w:tcBorders>
            <w:noWrap w:val="0"/>
            <w:tcMar>
              <w:left w:w="108" w:type="dxa"/>
              <w:right w:w="108" w:type="dxa"/>
            </w:tcMar>
            <w:vAlign w:val="center"/>
          </w:tcPr>
          <w:p w14:paraId="388635BC">
            <w:pPr>
              <w:jc w:val="center"/>
              <w:rPr>
                <w:rFonts w:hint="default" w:ascii="Times New Roman" w:hAnsi="Times New Roman" w:cs="Times New Roman"/>
                <w:b w:val="0"/>
                <w:bCs/>
                <w:sz w:val="21"/>
                <w:szCs w:val="21"/>
              </w:rPr>
            </w:pPr>
          </w:p>
        </w:tc>
      </w:tr>
      <w:tr w14:paraId="14608B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162" w:type="pct"/>
            <w:vMerge w:val="continue"/>
            <w:tcBorders>
              <w:left w:val="single" w:color="000000" w:sz="4" w:space="0"/>
              <w:right w:val="single" w:color="000000" w:sz="4" w:space="0"/>
            </w:tcBorders>
            <w:noWrap w:val="0"/>
            <w:tcMar>
              <w:left w:w="108" w:type="dxa"/>
              <w:right w:w="108" w:type="dxa"/>
            </w:tcMar>
            <w:vAlign w:val="center"/>
          </w:tcPr>
          <w:p w14:paraId="3F7F1DB1">
            <w:pPr>
              <w:jc w:val="center"/>
              <w:rPr>
                <w:rFonts w:hint="default" w:ascii="Times New Roman" w:hAnsi="Times New Roman" w:cs="Times New Roman"/>
                <w:b w:val="0"/>
                <w:bCs/>
                <w:sz w:val="21"/>
                <w:szCs w:val="21"/>
              </w:rPr>
            </w:pPr>
          </w:p>
        </w:tc>
        <w:tc>
          <w:tcPr>
            <w:tcW w:w="433" w:type="pct"/>
            <w:vMerge w:val="continue"/>
            <w:tcBorders>
              <w:left w:val="single" w:color="000000" w:sz="4" w:space="0"/>
              <w:right w:val="single" w:color="000000" w:sz="4" w:space="0"/>
            </w:tcBorders>
            <w:noWrap w:val="0"/>
            <w:tcMar>
              <w:left w:w="108" w:type="dxa"/>
              <w:right w:w="108" w:type="dxa"/>
            </w:tcMar>
            <w:vAlign w:val="center"/>
          </w:tcPr>
          <w:p w14:paraId="118CAF09">
            <w:pPr>
              <w:jc w:val="center"/>
              <w:rPr>
                <w:rFonts w:hint="default" w:ascii="Times New Roman" w:hAnsi="Times New Roman" w:cs="Times New Roman"/>
                <w:b w:val="0"/>
                <w:bCs/>
                <w:sz w:val="21"/>
                <w:szCs w:val="21"/>
              </w:rPr>
            </w:pPr>
          </w:p>
        </w:tc>
        <w:tc>
          <w:tcPr>
            <w:tcW w:w="357" w:type="pct"/>
            <w:tcBorders>
              <w:top w:val="single" w:color="000000" w:sz="4" w:space="0"/>
              <w:left w:val="single" w:color="000000" w:sz="4" w:space="0"/>
              <w:bottom w:val="single" w:color="000000" w:sz="4" w:space="0"/>
              <w:right w:val="single" w:color="000000" w:sz="4" w:space="0"/>
            </w:tcBorders>
            <w:shd w:val="clear" w:color="auto" w:fill="auto"/>
            <w:noWrap w:val="0"/>
            <w:tcMar>
              <w:left w:w="108" w:type="dxa"/>
              <w:right w:w="108" w:type="dxa"/>
            </w:tcMar>
            <w:vAlign w:val="center"/>
          </w:tcPr>
          <w:p w14:paraId="14F38B77">
            <w:pPr>
              <w:jc w:val="center"/>
              <w:rPr>
                <w:rFonts w:hint="default" w:ascii="Times New Roman" w:hAnsi="Times New Roman" w:eastAsia="宋体" w:cs="Times New Roman"/>
                <w:b w:val="0"/>
                <w:bCs/>
                <w:sz w:val="21"/>
                <w:szCs w:val="21"/>
                <w:lang w:val="en-US" w:eastAsia="zh-CN" w:bidi="ar-SA"/>
              </w:rPr>
            </w:pPr>
            <w:r>
              <w:rPr>
                <w:rFonts w:hint="default" w:ascii="Times New Roman" w:hAnsi="Times New Roman" w:cs="Times New Roman"/>
                <w:b w:val="0"/>
                <w:bCs/>
                <w:sz w:val="21"/>
                <w:szCs w:val="21"/>
              </w:rPr>
              <w:t>氨</w:t>
            </w:r>
          </w:p>
        </w:tc>
        <w:tc>
          <w:tcPr>
            <w:tcW w:w="684" w:type="pct"/>
            <w:vMerge w:val="continue"/>
            <w:tcBorders>
              <w:left w:val="single" w:color="000000" w:sz="4" w:space="0"/>
              <w:right w:val="single" w:color="000000" w:sz="4" w:space="0"/>
            </w:tcBorders>
            <w:noWrap w:val="0"/>
            <w:tcMar>
              <w:left w:w="108" w:type="dxa"/>
              <w:right w:w="108" w:type="dxa"/>
            </w:tcMar>
            <w:vAlign w:val="center"/>
          </w:tcPr>
          <w:p w14:paraId="6B1C3F83">
            <w:pPr>
              <w:jc w:val="center"/>
              <w:rPr>
                <w:rFonts w:hint="default" w:ascii="Times New Roman" w:hAnsi="Times New Roman" w:cs="Times New Roman"/>
                <w:b w:val="0"/>
                <w:bCs/>
                <w:sz w:val="21"/>
                <w:szCs w:val="21"/>
              </w:rPr>
            </w:pPr>
          </w:p>
        </w:tc>
        <w:tc>
          <w:tcPr>
            <w:tcW w:w="428" w:type="pct"/>
            <w:vMerge w:val="continue"/>
            <w:tcBorders>
              <w:left w:val="single" w:color="000000" w:sz="4" w:space="0"/>
              <w:right w:val="single" w:color="000000" w:sz="4" w:space="0"/>
            </w:tcBorders>
            <w:noWrap w:val="0"/>
            <w:tcMar>
              <w:left w:w="108" w:type="dxa"/>
              <w:right w:w="108" w:type="dxa"/>
            </w:tcMar>
            <w:vAlign w:val="center"/>
          </w:tcPr>
          <w:p w14:paraId="1E32EBFD">
            <w:pPr>
              <w:jc w:val="center"/>
              <w:rPr>
                <w:rFonts w:hint="default" w:ascii="Times New Roman" w:hAnsi="Times New Roman" w:cs="Times New Roman"/>
                <w:b w:val="0"/>
                <w:bCs/>
                <w:sz w:val="21"/>
                <w:szCs w:val="21"/>
              </w:rPr>
            </w:pPr>
          </w:p>
        </w:tc>
        <w:tc>
          <w:tcPr>
            <w:tcW w:w="0" w:type="auto"/>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5D7DB983">
            <w:pPr>
              <w:jc w:val="center"/>
              <w:rPr>
                <w:rFonts w:hint="default" w:ascii="Times New Roman" w:hAnsi="Times New Roman" w:cs="Times New Roman"/>
                <w:b w:val="0"/>
                <w:bCs/>
                <w:sz w:val="21"/>
                <w:szCs w:val="21"/>
              </w:rPr>
            </w:pPr>
            <w:r>
              <w:rPr>
                <w:rFonts w:hint="default" w:ascii="Times New Roman" w:hAnsi="Times New Roman" w:cs="Times New Roman"/>
                <w:b w:val="0"/>
                <w:bCs/>
                <w:sz w:val="21"/>
                <w:szCs w:val="21"/>
              </w:rPr>
              <w:t>0</w:t>
            </w:r>
          </w:p>
        </w:tc>
        <w:tc>
          <w:tcPr>
            <w:tcW w:w="589" w:type="pct"/>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51F93AEF">
            <w:pPr>
              <w:keepNext w:val="0"/>
              <w:keepLines w:val="0"/>
              <w:widowControl/>
              <w:suppressLineNumbers w:val="0"/>
              <w:jc w:val="center"/>
              <w:textAlignment w:val="center"/>
              <w:rPr>
                <w:rFonts w:hint="default" w:ascii="Times New Roman" w:hAnsi="Times New Roman" w:cs="Times New Roman"/>
                <w:b w:val="0"/>
                <w:bCs w:val="0"/>
                <w:sz w:val="21"/>
                <w:szCs w:val="21"/>
              </w:rPr>
            </w:pPr>
            <w:r>
              <w:rPr>
                <w:rFonts w:hint="default" w:ascii="Times New Roman" w:hAnsi="Times New Roman" w:eastAsia="宋体" w:cs="Times New Roman"/>
                <w:b w:val="0"/>
                <w:bCs w:val="0"/>
                <w:i w:val="0"/>
                <w:iCs w:val="0"/>
                <w:color w:val="000000"/>
                <w:kern w:val="0"/>
                <w:sz w:val="21"/>
                <w:szCs w:val="21"/>
                <w:u w:val="none"/>
                <w:lang w:val="en-US" w:eastAsia="zh-CN" w:bidi="ar"/>
              </w:rPr>
              <w:t>2.81</w:t>
            </w:r>
          </w:p>
        </w:tc>
        <w:tc>
          <w:tcPr>
            <w:tcW w:w="585" w:type="pct"/>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45EB4AF4">
            <w:pPr>
              <w:jc w:val="center"/>
              <w:rPr>
                <w:rFonts w:hint="default" w:ascii="Times New Roman" w:hAnsi="Times New Roman" w:eastAsia="宋体" w:cs="Times New Roman"/>
                <w:b w:val="0"/>
                <w:bCs/>
                <w:sz w:val="21"/>
                <w:szCs w:val="21"/>
                <w:lang w:val="en-US" w:eastAsia="zh-CN"/>
              </w:rPr>
            </w:pPr>
            <w:r>
              <w:rPr>
                <w:rFonts w:hint="default" w:ascii="Times New Roman" w:hAnsi="Times New Roman" w:eastAsia="宋体" w:cs="Times New Roman"/>
                <w:b w:val="0"/>
                <w:bCs/>
                <w:sz w:val="21"/>
                <w:szCs w:val="21"/>
                <w:lang w:val="en-US" w:eastAsia="zh-CN"/>
              </w:rPr>
              <w:t>0.76</w:t>
            </w:r>
          </w:p>
        </w:tc>
        <w:tc>
          <w:tcPr>
            <w:tcW w:w="321" w:type="pct"/>
            <w:vMerge w:val="continue"/>
            <w:tcBorders>
              <w:left w:val="single" w:color="000000" w:sz="4" w:space="0"/>
              <w:right w:val="single" w:color="000000" w:sz="4" w:space="0"/>
            </w:tcBorders>
            <w:noWrap w:val="0"/>
            <w:tcMar>
              <w:left w:w="108" w:type="dxa"/>
              <w:right w:w="108" w:type="dxa"/>
            </w:tcMar>
            <w:vAlign w:val="center"/>
          </w:tcPr>
          <w:p w14:paraId="378FB5D0">
            <w:pPr>
              <w:jc w:val="center"/>
              <w:rPr>
                <w:rFonts w:hint="default" w:ascii="Times New Roman" w:hAnsi="Times New Roman" w:cs="Times New Roman"/>
                <w:b w:val="0"/>
                <w:bCs/>
                <w:sz w:val="21"/>
                <w:szCs w:val="21"/>
              </w:rPr>
            </w:pPr>
          </w:p>
        </w:tc>
        <w:tc>
          <w:tcPr>
            <w:tcW w:w="321" w:type="pct"/>
            <w:vMerge w:val="continue"/>
            <w:tcBorders>
              <w:left w:val="single" w:color="000000" w:sz="4" w:space="0"/>
              <w:right w:val="single" w:color="000000" w:sz="4" w:space="0"/>
            </w:tcBorders>
            <w:noWrap w:val="0"/>
            <w:tcMar>
              <w:left w:w="108" w:type="dxa"/>
              <w:right w:w="108" w:type="dxa"/>
            </w:tcMar>
            <w:vAlign w:val="center"/>
          </w:tcPr>
          <w:p w14:paraId="77646CE5">
            <w:pPr>
              <w:jc w:val="center"/>
              <w:rPr>
                <w:rFonts w:hint="default" w:ascii="Times New Roman" w:hAnsi="Times New Roman" w:cs="Times New Roman"/>
                <w:b w:val="0"/>
                <w:bCs/>
                <w:sz w:val="21"/>
                <w:szCs w:val="21"/>
              </w:rPr>
            </w:pPr>
          </w:p>
        </w:tc>
        <w:tc>
          <w:tcPr>
            <w:tcW w:w="343" w:type="pct"/>
            <w:vMerge w:val="continue"/>
            <w:tcBorders>
              <w:left w:val="single" w:color="000000" w:sz="4" w:space="0"/>
              <w:right w:val="single" w:color="000000" w:sz="4" w:space="0"/>
            </w:tcBorders>
            <w:noWrap w:val="0"/>
            <w:tcMar>
              <w:left w:w="108" w:type="dxa"/>
              <w:right w:w="108" w:type="dxa"/>
            </w:tcMar>
            <w:vAlign w:val="center"/>
          </w:tcPr>
          <w:p w14:paraId="6860BCAF">
            <w:pPr>
              <w:jc w:val="center"/>
              <w:rPr>
                <w:rFonts w:hint="default" w:ascii="Times New Roman" w:hAnsi="Times New Roman" w:cs="Times New Roman"/>
                <w:b w:val="0"/>
                <w:bCs/>
                <w:sz w:val="21"/>
                <w:szCs w:val="21"/>
              </w:rPr>
            </w:pPr>
          </w:p>
        </w:tc>
        <w:tc>
          <w:tcPr>
            <w:tcW w:w="431" w:type="pct"/>
            <w:vMerge w:val="continue"/>
            <w:tcBorders>
              <w:left w:val="single" w:color="000000" w:sz="4" w:space="0"/>
              <w:right w:val="single" w:color="000000" w:sz="4" w:space="0"/>
            </w:tcBorders>
            <w:noWrap w:val="0"/>
            <w:tcMar>
              <w:left w:w="108" w:type="dxa"/>
              <w:right w:w="108" w:type="dxa"/>
            </w:tcMar>
            <w:vAlign w:val="center"/>
          </w:tcPr>
          <w:p w14:paraId="1F63BFC0">
            <w:pPr>
              <w:jc w:val="center"/>
              <w:rPr>
                <w:rFonts w:hint="default" w:ascii="Times New Roman" w:hAnsi="Times New Roman" w:cs="Times New Roman"/>
                <w:b w:val="0"/>
                <w:bCs/>
                <w:sz w:val="21"/>
                <w:szCs w:val="21"/>
              </w:rPr>
            </w:pPr>
          </w:p>
        </w:tc>
      </w:tr>
      <w:tr w14:paraId="505238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162" w:type="pct"/>
            <w:vMerge w:val="continue"/>
            <w:tcBorders>
              <w:left w:val="single" w:color="000000" w:sz="4" w:space="0"/>
              <w:right w:val="single" w:color="000000" w:sz="4" w:space="0"/>
            </w:tcBorders>
            <w:noWrap w:val="0"/>
            <w:tcMar>
              <w:left w:w="108" w:type="dxa"/>
              <w:right w:w="108" w:type="dxa"/>
            </w:tcMar>
            <w:vAlign w:val="center"/>
          </w:tcPr>
          <w:p w14:paraId="257C336C">
            <w:pPr>
              <w:jc w:val="center"/>
              <w:rPr>
                <w:rFonts w:hint="default" w:ascii="Times New Roman" w:hAnsi="Times New Roman" w:cs="Times New Roman"/>
                <w:b w:val="0"/>
                <w:bCs/>
                <w:sz w:val="21"/>
                <w:szCs w:val="21"/>
              </w:rPr>
            </w:pPr>
          </w:p>
        </w:tc>
        <w:tc>
          <w:tcPr>
            <w:tcW w:w="433" w:type="pct"/>
            <w:vMerge w:val="continue"/>
            <w:tcBorders>
              <w:left w:val="single" w:color="000000" w:sz="4" w:space="0"/>
              <w:bottom w:val="single" w:color="000000" w:sz="4" w:space="0"/>
              <w:right w:val="single" w:color="000000" w:sz="4" w:space="0"/>
            </w:tcBorders>
            <w:noWrap w:val="0"/>
            <w:tcMar>
              <w:left w:w="108" w:type="dxa"/>
              <w:right w:w="108" w:type="dxa"/>
            </w:tcMar>
            <w:vAlign w:val="center"/>
          </w:tcPr>
          <w:p w14:paraId="1487FFBA">
            <w:pPr>
              <w:jc w:val="center"/>
              <w:rPr>
                <w:rFonts w:hint="default" w:ascii="Times New Roman" w:hAnsi="Times New Roman" w:cs="Times New Roman"/>
                <w:b w:val="0"/>
                <w:bCs/>
                <w:sz w:val="21"/>
                <w:szCs w:val="21"/>
              </w:rPr>
            </w:pPr>
          </w:p>
        </w:tc>
        <w:tc>
          <w:tcPr>
            <w:tcW w:w="357" w:type="pct"/>
            <w:tcBorders>
              <w:top w:val="single" w:color="000000" w:sz="4" w:space="0"/>
              <w:left w:val="single" w:color="000000" w:sz="4" w:space="0"/>
              <w:bottom w:val="single" w:color="000000" w:sz="4" w:space="0"/>
              <w:right w:val="single" w:color="000000" w:sz="4" w:space="0"/>
            </w:tcBorders>
            <w:shd w:val="clear" w:color="auto" w:fill="auto"/>
            <w:noWrap w:val="0"/>
            <w:tcMar>
              <w:left w:w="108" w:type="dxa"/>
              <w:right w:w="108" w:type="dxa"/>
            </w:tcMar>
            <w:vAlign w:val="center"/>
          </w:tcPr>
          <w:p w14:paraId="53B3478E">
            <w:pPr>
              <w:jc w:val="center"/>
              <w:rPr>
                <w:rFonts w:hint="default" w:ascii="Times New Roman" w:hAnsi="Times New Roman" w:eastAsia="宋体" w:cs="Times New Roman"/>
                <w:b w:val="0"/>
                <w:bCs/>
                <w:sz w:val="21"/>
                <w:szCs w:val="21"/>
                <w:lang w:val="en-US" w:eastAsia="zh-CN" w:bidi="ar-SA"/>
              </w:rPr>
            </w:pPr>
            <w:r>
              <w:rPr>
                <w:rFonts w:hint="default" w:ascii="Times New Roman" w:hAnsi="Times New Roman" w:cs="Times New Roman"/>
                <w:b w:val="0"/>
                <w:bCs/>
                <w:sz w:val="21"/>
                <w:szCs w:val="21"/>
              </w:rPr>
              <w:t>二噁英类</w:t>
            </w:r>
          </w:p>
        </w:tc>
        <w:tc>
          <w:tcPr>
            <w:tcW w:w="684" w:type="pct"/>
            <w:vMerge w:val="continue"/>
            <w:tcBorders>
              <w:left w:val="single" w:color="000000" w:sz="4" w:space="0"/>
              <w:bottom w:val="single" w:color="000000" w:sz="4" w:space="0"/>
              <w:right w:val="single" w:color="000000" w:sz="4" w:space="0"/>
            </w:tcBorders>
            <w:noWrap w:val="0"/>
            <w:tcMar>
              <w:left w:w="108" w:type="dxa"/>
              <w:right w:w="108" w:type="dxa"/>
            </w:tcMar>
            <w:vAlign w:val="center"/>
          </w:tcPr>
          <w:p w14:paraId="082F987F">
            <w:pPr>
              <w:jc w:val="center"/>
              <w:rPr>
                <w:rFonts w:hint="default" w:ascii="Times New Roman" w:hAnsi="Times New Roman" w:cs="Times New Roman"/>
                <w:b w:val="0"/>
                <w:bCs/>
                <w:sz w:val="21"/>
                <w:szCs w:val="21"/>
              </w:rPr>
            </w:pPr>
          </w:p>
        </w:tc>
        <w:tc>
          <w:tcPr>
            <w:tcW w:w="428" w:type="pct"/>
            <w:vMerge w:val="continue"/>
            <w:tcBorders>
              <w:left w:val="single" w:color="000000" w:sz="4" w:space="0"/>
              <w:right w:val="single" w:color="000000" w:sz="4" w:space="0"/>
            </w:tcBorders>
            <w:noWrap w:val="0"/>
            <w:tcMar>
              <w:left w:w="108" w:type="dxa"/>
              <w:right w:w="108" w:type="dxa"/>
            </w:tcMar>
            <w:vAlign w:val="center"/>
          </w:tcPr>
          <w:p w14:paraId="75401BB6">
            <w:pPr>
              <w:jc w:val="center"/>
              <w:rPr>
                <w:rFonts w:hint="default" w:ascii="Times New Roman" w:hAnsi="Times New Roman" w:cs="Times New Roman"/>
                <w:b w:val="0"/>
                <w:bCs/>
                <w:sz w:val="21"/>
                <w:szCs w:val="21"/>
              </w:rPr>
            </w:pPr>
          </w:p>
        </w:tc>
        <w:tc>
          <w:tcPr>
            <w:tcW w:w="0" w:type="auto"/>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21DA0372">
            <w:pPr>
              <w:jc w:val="center"/>
              <w:rPr>
                <w:rFonts w:hint="default" w:ascii="Times New Roman" w:hAnsi="Times New Roman" w:cs="Times New Roman"/>
                <w:b w:val="0"/>
                <w:bCs/>
                <w:sz w:val="21"/>
                <w:szCs w:val="21"/>
              </w:rPr>
            </w:pPr>
            <w:r>
              <w:rPr>
                <w:rFonts w:hint="default" w:ascii="Times New Roman" w:hAnsi="Times New Roman" w:cs="Times New Roman"/>
                <w:b w:val="0"/>
                <w:bCs/>
                <w:sz w:val="21"/>
                <w:szCs w:val="21"/>
              </w:rPr>
              <w:t>0</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0"/>
            <w:tcMar>
              <w:left w:w="108" w:type="dxa"/>
              <w:right w:w="108" w:type="dxa"/>
            </w:tcMar>
            <w:vAlign w:val="center"/>
          </w:tcPr>
          <w:p w14:paraId="5029841B">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lang w:val="en-US" w:eastAsia="zh-CN" w:bidi="ar-SA"/>
              </w:rPr>
            </w:pPr>
            <w:r>
              <w:rPr>
                <w:rFonts w:hint="default" w:ascii="Times New Roman" w:hAnsi="Times New Roman" w:eastAsia="宋体" w:cs="Times New Roman"/>
                <w:b w:val="0"/>
                <w:bCs w:val="0"/>
                <w:i w:val="0"/>
                <w:iCs w:val="0"/>
                <w:color w:val="000000"/>
                <w:kern w:val="0"/>
                <w:sz w:val="21"/>
                <w:szCs w:val="21"/>
                <w:u w:val="none"/>
                <w:lang w:val="en-US" w:eastAsia="zh-CN" w:bidi="ar"/>
              </w:rPr>
              <w:t>0.0000005</w:t>
            </w:r>
          </w:p>
        </w:tc>
        <w:tc>
          <w:tcPr>
            <w:tcW w:w="585" w:type="pct"/>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2CBAC904">
            <w:pPr>
              <w:jc w:val="center"/>
              <w:rPr>
                <w:rFonts w:hint="default" w:ascii="Times New Roman" w:hAnsi="Times New Roman" w:eastAsia="宋体" w:cs="Times New Roman"/>
                <w:b w:val="0"/>
                <w:bCs/>
                <w:sz w:val="21"/>
                <w:szCs w:val="21"/>
              </w:rPr>
            </w:pPr>
            <w:r>
              <w:rPr>
                <w:rFonts w:hint="default" w:ascii="Times New Roman" w:hAnsi="Times New Roman" w:eastAsia="宋体" w:cs="Times New Roman"/>
                <w:b w:val="0"/>
                <w:bCs/>
                <w:i w:val="0"/>
                <w:iCs w:val="0"/>
                <w:color w:val="000000"/>
                <w:kern w:val="0"/>
                <w:sz w:val="21"/>
                <w:szCs w:val="21"/>
                <w:u w:val="none"/>
                <w:lang w:val="en-US" w:eastAsia="zh-CN" w:bidi="ar"/>
              </w:rPr>
              <w:t>1.35</w:t>
            </w:r>
            <w:r>
              <w:rPr>
                <w:rFonts w:hint="default" w:ascii="Times New Roman" w:hAnsi="Times New Roman" w:cs="Times New Roman"/>
                <w:b w:val="0"/>
                <w:bCs/>
                <w:sz w:val="21"/>
                <w:szCs w:val="21"/>
                <w:highlight w:val="none"/>
              </w:rPr>
              <w:t>×10</w:t>
            </w:r>
            <w:r>
              <w:rPr>
                <w:rFonts w:hint="default" w:ascii="Times New Roman" w:hAnsi="Times New Roman" w:cs="Times New Roman"/>
                <w:b w:val="0"/>
                <w:bCs/>
                <w:sz w:val="21"/>
                <w:szCs w:val="21"/>
                <w:highlight w:val="none"/>
                <w:vertAlign w:val="superscript"/>
                <w:lang w:val="en-US" w:eastAsia="zh-CN"/>
              </w:rPr>
              <w:t>-4</w:t>
            </w:r>
            <w:r>
              <w:rPr>
                <w:rFonts w:hint="default" w:ascii="Times New Roman" w:hAnsi="Times New Roman" w:cs="Times New Roman"/>
                <w:b w:val="0"/>
                <w:bCs/>
                <w:sz w:val="21"/>
                <w:szCs w:val="21"/>
                <w:highlight w:val="none"/>
              </w:rPr>
              <w:t>g</w:t>
            </w:r>
            <w:r>
              <w:rPr>
                <w:rFonts w:hint="default" w:ascii="Times New Roman" w:hAnsi="Times New Roman" w:cs="Times New Roman"/>
                <w:b w:val="0"/>
                <w:bCs/>
                <w:sz w:val="21"/>
                <w:szCs w:val="21"/>
                <w:highlight w:val="none"/>
                <w:lang w:val="en-US" w:eastAsia="zh-CN"/>
              </w:rPr>
              <w:t>/h</w:t>
            </w:r>
          </w:p>
        </w:tc>
        <w:tc>
          <w:tcPr>
            <w:tcW w:w="321" w:type="pct"/>
            <w:vMerge w:val="continue"/>
            <w:tcBorders>
              <w:left w:val="single" w:color="000000" w:sz="4" w:space="0"/>
              <w:bottom w:val="single" w:color="000000" w:sz="4" w:space="0"/>
              <w:right w:val="single" w:color="000000" w:sz="4" w:space="0"/>
            </w:tcBorders>
            <w:noWrap w:val="0"/>
            <w:tcMar>
              <w:left w:w="108" w:type="dxa"/>
              <w:right w:w="108" w:type="dxa"/>
            </w:tcMar>
            <w:vAlign w:val="center"/>
          </w:tcPr>
          <w:p w14:paraId="01301129">
            <w:pPr>
              <w:jc w:val="center"/>
              <w:rPr>
                <w:rFonts w:hint="default" w:ascii="Times New Roman" w:hAnsi="Times New Roman" w:cs="Times New Roman"/>
                <w:b w:val="0"/>
                <w:bCs/>
                <w:sz w:val="21"/>
                <w:szCs w:val="21"/>
              </w:rPr>
            </w:pPr>
          </w:p>
        </w:tc>
        <w:tc>
          <w:tcPr>
            <w:tcW w:w="321" w:type="pct"/>
            <w:vMerge w:val="continue"/>
            <w:tcBorders>
              <w:left w:val="single" w:color="000000" w:sz="4" w:space="0"/>
              <w:bottom w:val="single" w:color="000000" w:sz="4" w:space="0"/>
              <w:right w:val="single" w:color="000000" w:sz="4" w:space="0"/>
            </w:tcBorders>
            <w:noWrap w:val="0"/>
            <w:tcMar>
              <w:left w:w="108" w:type="dxa"/>
              <w:right w:w="108" w:type="dxa"/>
            </w:tcMar>
            <w:vAlign w:val="center"/>
          </w:tcPr>
          <w:p w14:paraId="23D913F8">
            <w:pPr>
              <w:jc w:val="center"/>
              <w:rPr>
                <w:rFonts w:hint="default" w:ascii="Times New Roman" w:hAnsi="Times New Roman" w:cs="Times New Roman"/>
                <w:b w:val="0"/>
                <w:bCs/>
                <w:sz w:val="21"/>
                <w:szCs w:val="21"/>
              </w:rPr>
            </w:pPr>
          </w:p>
        </w:tc>
        <w:tc>
          <w:tcPr>
            <w:tcW w:w="343" w:type="pct"/>
            <w:vMerge w:val="continue"/>
            <w:tcBorders>
              <w:left w:val="single" w:color="000000" w:sz="4" w:space="0"/>
              <w:bottom w:val="single" w:color="000000" w:sz="4" w:space="0"/>
              <w:right w:val="single" w:color="000000" w:sz="4" w:space="0"/>
            </w:tcBorders>
            <w:noWrap w:val="0"/>
            <w:tcMar>
              <w:left w:w="108" w:type="dxa"/>
              <w:right w:w="108" w:type="dxa"/>
            </w:tcMar>
            <w:vAlign w:val="center"/>
          </w:tcPr>
          <w:p w14:paraId="723F0DBF">
            <w:pPr>
              <w:jc w:val="center"/>
              <w:rPr>
                <w:rFonts w:hint="default" w:ascii="Times New Roman" w:hAnsi="Times New Roman" w:cs="Times New Roman"/>
                <w:b w:val="0"/>
                <w:bCs/>
                <w:sz w:val="21"/>
                <w:szCs w:val="21"/>
              </w:rPr>
            </w:pPr>
          </w:p>
        </w:tc>
        <w:tc>
          <w:tcPr>
            <w:tcW w:w="431" w:type="pct"/>
            <w:vMerge w:val="continue"/>
            <w:tcBorders>
              <w:left w:val="single" w:color="000000" w:sz="4" w:space="0"/>
              <w:bottom w:val="single" w:color="000000" w:sz="4" w:space="0"/>
              <w:right w:val="single" w:color="000000" w:sz="4" w:space="0"/>
            </w:tcBorders>
            <w:noWrap w:val="0"/>
            <w:tcMar>
              <w:left w:w="108" w:type="dxa"/>
              <w:right w:w="108" w:type="dxa"/>
            </w:tcMar>
            <w:vAlign w:val="center"/>
          </w:tcPr>
          <w:p w14:paraId="34AB817D">
            <w:pPr>
              <w:jc w:val="center"/>
              <w:rPr>
                <w:rFonts w:hint="default" w:ascii="Times New Roman" w:hAnsi="Times New Roman" w:cs="Times New Roman"/>
                <w:b w:val="0"/>
                <w:bCs/>
                <w:sz w:val="21"/>
                <w:szCs w:val="21"/>
              </w:rPr>
            </w:pPr>
          </w:p>
        </w:tc>
      </w:tr>
      <w:tr w14:paraId="0E72BF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162" w:type="pct"/>
            <w:vMerge w:val="continue"/>
            <w:tcBorders>
              <w:left w:val="single" w:color="000000" w:sz="4" w:space="0"/>
              <w:right w:val="single" w:color="000000" w:sz="4" w:space="0"/>
            </w:tcBorders>
            <w:noWrap w:val="0"/>
            <w:tcMar>
              <w:left w:w="108" w:type="dxa"/>
              <w:right w:w="108" w:type="dxa"/>
            </w:tcMar>
            <w:vAlign w:val="center"/>
          </w:tcPr>
          <w:p w14:paraId="1FB3A484">
            <w:pPr>
              <w:jc w:val="center"/>
              <w:rPr>
                <w:rFonts w:hint="default" w:ascii="Times New Roman" w:hAnsi="Times New Roman" w:cs="Times New Roman"/>
                <w:b w:val="0"/>
                <w:bCs/>
                <w:sz w:val="21"/>
                <w:szCs w:val="21"/>
              </w:rPr>
            </w:pPr>
          </w:p>
        </w:tc>
        <w:tc>
          <w:tcPr>
            <w:tcW w:w="433" w:type="pct"/>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4B34AED3">
            <w:pPr>
              <w:jc w:val="center"/>
              <w:rPr>
                <w:rFonts w:hint="default" w:ascii="Times New Roman" w:hAnsi="Times New Roman" w:cs="Times New Roman"/>
                <w:b w:val="0"/>
                <w:bCs/>
                <w:sz w:val="21"/>
                <w:szCs w:val="21"/>
              </w:rPr>
            </w:pPr>
            <w:r>
              <w:rPr>
                <w:rFonts w:hint="default" w:ascii="Times New Roman" w:hAnsi="Times New Roman" w:eastAsia="宋体" w:cs="Times New Roman"/>
                <w:b w:val="0"/>
                <w:bCs/>
                <w:i w:val="0"/>
                <w:iCs w:val="0"/>
                <w:color w:val="000000"/>
                <w:kern w:val="0"/>
                <w:sz w:val="21"/>
                <w:szCs w:val="21"/>
                <w:u w:val="none"/>
                <w:lang w:val="en-US" w:eastAsia="zh-CN" w:bidi="ar"/>
              </w:rPr>
              <w:t>烧结机尾</w:t>
            </w:r>
          </w:p>
        </w:tc>
        <w:tc>
          <w:tcPr>
            <w:tcW w:w="357" w:type="pct"/>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364107CB">
            <w:pPr>
              <w:jc w:val="center"/>
              <w:rPr>
                <w:rFonts w:hint="default" w:ascii="Times New Roman" w:hAnsi="Times New Roman" w:cs="Times New Roman"/>
                <w:b w:val="0"/>
                <w:bCs/>
                <w:sz w:val="21"/>
                <w:szCs w:val="21"/>
              </w:rPr>
            </w:pPr>
            <w:r>
              <w:rPr>
                <w:rFonts w:hint="default" w:ascii="Times New Roman" w:hAnsi="Times New Roman" w:cs="Times New Roman"/>
                <w:b w:val="0"/>
                <w:bCs/>
                <w:sz w:val="21"/>
                <w:szCs w:val="21"/>
              </w:rPr>
              <w:t>颗粒物</w:t>
            </w:r>
          </w:p>
        </w:tc>
        <w:tc>
          <w:tcPr>
            <w:tcW w:w="684" w:type="pct"/>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32AB0896">
            <w:pPr>
              <w:jc w:val="center"/>
              <w:rPr>
                <w:rFonts w:hint="default" w:ascii="Times New Roman" w:hAnsi="Times New Roman" w:cs="Times New Roman"/>
                <w:b w:val="0"/>
                <w:bCs/>
                <w:sz w:val="21"/>
                <w:szCs w:val="21"/>
              </w:rPr>
            </w:pPr>
            <w:r>
              <w:rPr>
                <w:rFonts w:hint="default" w:ascii="Times New Roman" w:hAnsi="Times New Roman" w:cs="Times New Roman"/>
                <w:b w:val="0"/>
                <w:bCs/>
                <w:sz w:val="21"/>
                <w:szCs w:val="21"/>
              </w:rPr>
              <w:t>袋式除尘</w:t>
            </w:r>
          </w:p>
        </w:tc>
        <w:tc>
          <w:tcPr>
            <w:tcW w:w="428" w:type="pct"/>
            <w:tcBorders>
              <w:left w:val="single" w:color="000000" w:sz="4" w:space="0"/>
              <w:bottom w:val="single" w:color="000000" w:sz="4" w:space="0"/>
              <w:right w:val="single" w:color="000000" w:sz="4" w:space="0"/>
            </w:tcBorders>
            <w:noWrap w:val="0"/>
            <w:tcMar>
              <w:left w:w="108" w:type="dxa"/>
              <w:right w:w="108" w:type="dxa"/>
            </w:tcMar>
            <w:vAlign w:val="center"/>
          </w:tcPr>
          <w:p w14:paraId="4A075A7A">
            <w:pPr>
              <w:jc w:val="center"/>
              <w:rPr>
                <w:rFonts w:hint="default" w:ascii="Times New Roman" w:hAnsi="Times New Roman" w:cs="Times New Roman"/>
                <w:b w:val="0"/>
                <w:bCs/>
                <w:sz w:val="21"/>
                <w:szCs w:val="21"/>
              </w:rPr>
            </w:pPr>
            <w:r>
              <w:rPr>
                <w:rFonts w:hint="default" w:ascii="Times New Roman" w:hAnsi="Times New Roman" w:eastAsia="宋体" w:cs="Times New Roman"/>
                <w:b w:val="0"/>
                <w:bCs/>
                <w:sz w:val="21"/>
                <w:szCs w:val="21"/>
                <w:lang w:val="en-US" w:eastAsia="zh-CN"/>
              </w:rPr>
              <w:t>70955</w:t>
            </w:r>
          </w:p>
        </w:tc>
        <w:tc>
          <w:tcPr>
            <w:tcW w:w="0" w:type="auto"/>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7346B815">
            <w:pPr>
              <w:jc w:val="center"/>
              <w:rPr>
                <w:rFonts w:hint="default" w:ascii="Times New Roman" w:hAnsi="Times New Roman" w:cs="Times New Roman"/>
                <w:b w:val="0"/>
                <w:bCs/>
                <w:sz w:val="21"/>
                <w:szCs w:val="21"/>
              </w:rPr>
            </w:pPr>
            <w:r>
              <w:rPr>
                <w:rFonts w:hint="default" w:ascii="Times New Roman" w:hAnsi="Times New Roman" w:cs="Times New Roman"/>
                <w:b w:val="0"/>
                <w:bCs/>
                <w:sz w:val="21"/>
                <w:szCs w:val="21"/>
              </w:rPr>
              <w:t>0</w:t>
            </w:r>
          </w:p>
        </w:tc>
        <w:tc>
          <w:tcPr>
            <w:tcW w:w="589" w:type="pct"/>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5A573AA5">
            <w:pPr>
              <w:keepNext w:val="0"/>
              <w:keepLines w:val="0"/>
              <w:widowControl/>
              <w:suppressLineNumbers w:val="0"/>
              <w:jc w:val="center"/>
              <w:textAlignment w:val="center"/>
              <w:rPr>
                <w:rFonts w:hint="default" w:ascii="Times New Roman" w:hAnsi="Times New Roman" w:cs="Times New Roman"/>
                <w:b w:val="0"/>
                <w:bCs w:val="0"/>
                <w:sz w:val="21"/>
                <w:szCs w:val="21"/>
              </w:rPr>
            </w:pPr>
            <w:r>
              <w:rPr>
                <w:rFonts w:hint="default" w:ascii="Times New Roman" w:hAnsi="Times New Roman" w:eastAsia="宋体" w:cs="Times New Roman"/>
                <w:b w:val="0"/>
                <w:bCs w:val="0"/>
                <w:i w:val="0"/>
                <w:iCs w:val="0"/>
                <w:color w:val="000000"/>
                <w:kern w:val="0"/>
                <w:sz w:val="21"/>
                <w:szCs w:val="21"/>
                <w:u w:val="none"/>
                <w:lang w:val="en-US" w:eastAsia="zh-CN" w:bidi="ar"/>
              </w:rPr>
              <w:t>2000</w:t>
            </w:r>
          </w:p>
        </w:tc>
        <w:tc>
          <w:tcPr>
            <w:tcW w:w="585" w:type="pct"/>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059DC78D">
            <w:pPr>
              <w:jc w:val="center"/>
              <w:rPr>
                <w:rFonts w:hint="default" w:ascii="Times New Roman" w:hAnsi="Times New Roman" w:eastAsia="宋体" w:cs="Times New Roman"/>
                <w:b w:val="0"/>
                <w:bCs/>
                <w:sz w:val="21"/>
                <w:szCs w:val="21"/>
              </w:rPr>
            </w:pPr>
            <w:r>
              <w:rPr>
                <w:rFonts w:hint="default" w:ascii="Times New Roman" w:hAnsi="Times New Roman" w:eastAsia="宋体" w:cs="Times New Roman"/>
                <w:b w:val="0"/>
                <w:bCs/>
                <w:color w:val="auto"/>
                <w:sz w:val="21"/>
                <w:szCs w:val="21"/>
                <w:highlight w:val="none"/>
                <w:lang w:val="en-US" w:eastAsia="zh-CN"/>
              </w:rPr>
              <w:t>141.91</w:t>
            </w:r>
          </w:p>
        </w:tc>
        <w:tc>
          <w:tcPr>
            <w:tcW w:w="321" w:type="pct"/>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53F5DF3D">
            <w:pPr>
              <w:pStyle w:val="720"/>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default" w:ascii="Times New Roman" w:hAnsi="Times New Roman" w:cs="Times New Roman"/>
                <w:b w:val="0"/>
                <w:bCs/>
                <w:sz w:val="21"/>
                <w:szCs w:val="21"/>
              </w:rPr>
            </w:pPr>
            <w:r>
              <w:rPr>
                <w:rFonts w:hint="default" w:ascii="Times New Roman" w:hAnsi="Times New Roman" w:eastAsia="宋体" w:cs="Times New Roman"/>
                <w:b w:val="0"/>
                <w:bCs/>
                <w:color w:val="auto"/>
                <w:sz w:val="21"/>
                <w:szCs w:val="21"/>
                <w:highlight w:val="none"/>
                <w:lang w:val="en-US" w:eastAsia="zh-CN"/>
              </w:rPr>
              <w:t>19</w:t>
            </w:r>
          </w:p>
        </w:tc>
        <w:tc>
          <w:tcPr>
            <w:tcW w:w="321" w:type="pct"/>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7BFC014B">
            <w:pPr>
              <w:pStyle w:val="720"/>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default" w:ascii="Times New Roman" w:hAnsi="Times New Roman" w:cs="Times New Roman"/>
                <w:b w:val="0"/>
                <w:bCs/>
                <w:sz w:val="21"/>
                <w:szCs w:val="21"/>
              </w:rPr>
            </w:pPr>
            <w:r>
              <w:rPr>
                <w:rFonts w:hint="default" w:ascii="Times New Roman" w:hAnsi="Times New Roman" w:eastAsia="宋体" w:cs="Times New Roman"/>
                <w:b w:val="0"/>
                <w:bCs/>
                <w:sz w:val="21"/>
                <w:szCs w:val="21"/>
                <w:lang w:val="en-US" w:eastAsia="zh-CN"/>
              </w:rPr>
              <w:t>2</w:t>
            </w:r>
          </w:p>
        </w:tc>
        <w:tc>
          <w:tcPr>
            <w:tcW w:w="343" w:type="pct"/>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0753D7A8">
            <w:pPr>
              <w:pStyle w:val="720"/>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default" w:ascii="Times New Roman" w:hAnsi="Times New Roman" w:cs="Times New Roman"/>
                <w:b w:val="0"/>
                <w:bCs/>
                <w:sz w:val="21"/>
                <w:szCs w:val="21"/>
              </w:rPr>
            </w:pPr>
            <w:r>
              <w:rPr>
                <w:rFonts w:hint="default" w:ascii="Times New Roman" w:hAnsi="Times New Roman" w:eastAsia="宋体" w:cs="Times New Roman"/>
                <w:b w:val="0"/>
                <w:bCs/>
                <w:spacing w:val="-2"/>
                <w:sz w:val="21"/>
                <w:szCs w:val="21"/>
                <w:lang w:val="en-US" w:eastAsia="zh-CN"/>
              </w:rPr>
              <w:t>常温</w:t>
            </w:r>
          </w:p>
        </w:tc>
        <w:tc>
          <w:tcPr>
            <w:tcW w:w="431" w:type="pct"/>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5162D82B">
            <w:pPr>
              <w:jc w:val="center"/>
              <w:rPr>
                <w:rFonts w:hint="default" w:ascii="Times New Roman" w:hAnsi="Times New Roman" w:eastAsia="宋体" w:cs="Times New Roman"/>
                <w:b w:val="0"/>
                <w:bCs/>
                <w:sz w:val="21"/>
                <w:szCs w:val="21"/>
                <w:lang w:val="en-US" w:eastAsia="zh-CN"/>
              </w:rPr>
            </w:pPr>
            <w:r>
              <w:rPr>
                <w:rFonts w:hint="default" w:ascii="Times New Roman" w:hAnsi="Times New Roman" w:cs="Times New Roman"/>
                <w:b w:val="0"/>
                <w:bCs/>
                <w:sz w:val="21"/>
                <w:szCs w:val="21"/>
                <w:lang w:val="en-US" w:eastAsia="zh-CN"/>
              </w:rPr>
              <w:t>DA005</w:t>
            </w:r>
          </w:p>
        </w:tc>
      </w:tr>
      <w:tr w14:paraId="54E837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162" w:type="pct"/>
            <w:vMerge w:val="continue"/>
            <w:tcBorders>
              <w:left w:val="single" w:color="000000" w:sz="4" w:space="0"/>
              <w:right w:val="single" w:color="000000" w:sz="4" w:space="0"/>
            </w:tcBorders>
            <w:noWrap w:val="0"/>
            <w:tcMar>
              <w:left w:w="108" w:type="dxa"/>
              <w:right w:w="108" w:type="dxa"/>
            </w:tcMar>
            <w:vAlign w:val="center"/>
          </w:tcPr>
          <w:p w14:paraId="2A9B9497">
            <w:pPr>
              <w:jc w:val="center"/>
              <w:rPr>
                <w:rFonts w:hint="default" w:ascii="Times New Roman" w:hAnsi="Times New Roman" w:cs="Times New Roman"/>
                <w:b w:val="0"/>
                <w:bCs/>
                <w:sz w:val="21"/>
                <w:szCs w:val="21"/>
              </w:rPr>
            </w:pPr>
          </w:p>
        </w:tc>
        <w:tc>
          <w:tcPr>
            <w:tcW w:w="433" w:type="pct"/>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5C80877A">
            <w:pPr>
              <w:keepNext w:val="0"/>
              <w:keepLines w:val="0"/>
              <w:widowControl/>
              <w:suppressLineNumbers w:val="0"/>
              <w:jc w:val="center"/>
              <w:textAlignment w:val="center"/>
              <w:rPr>
                <w:rFonts w:hint="default" w:ascii="Times New Roman" w:hAnsi="Times New Roman" w:cs="Times New Roman"/>
                <w:b w:val="0"/>
                <w:bCs/>
                <w:sz w:val="21"/>
                <w:szCs w:val="21"/>
              </w:rPr>
            </w:pPr>
            <w:r>
              <w:rPr>
                <w:rFonts w:hint="default" w:ascii="Times New Roman" w:hAnsi="Times New Roman" w:eastAsia="宋体" w:cs="Times New Roman"/>
                <w:b w:val="0"/>
                <w:bCs/>
                <w:i w:val="0"/>
                <w:iCs w:val="0"/>
                <w:color w:val="000000"/>
                <w:kern w:val="0"/>
                <w:sz w:val="21"/>
                <w:szCs w:val="21"/>
                <w:u w:val="none"/>
                <w:lang w:val="en-US" w:eastAsia="zh-CN" w:bidi="ar"/>
              </w:rPr>
              <w:t>单辊破碎</w:t>
            </w:r>
          </w:p>
        </w:tc>
        <w:tc>
          <w:tcPr>
            <w:tcW w:w="357" w:type="pct"/>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7BABD23F">
            <w:pPr>
              <w:jc w:val="center"/>
              <w:rPr>
                <w:rFonts w:hint="default" w:ascii="Times New Roman" w:hAnsi="Times New Roman" w:cs="Times New Roman"/>
                <w:b w:val="0"/>
                <w:bCs/>
                <w:sz w:val="21"/>
                <w:szCs w:val="21"/>
              </w:rPr>
            </w:pPr>
            <w:r>
              <w:rPr>
                <w:rFonts w:hint="default" w:ascii="Times New Roman" w:hAnsi="Times New Roman" w:cs="Times New Roman"/>
                <w:b w:val="0"/>
                <w:bCs/>
                <w:sz w:val="21"/>
                <w:szCs w:val="21"/>
              </w:rPr>
              <w:t>颗粒物</w:t>
            </w:r>
          </w:p>
        </w:tc>
        <w:tc>
          <w:tcPr>
            <w:tcW w:w="684" w:type="pct"/>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595F5E78">
            <w:pPr>
              <w:jc w:val="center"/>
              <w:rPr>
                <w:rFonts w:hint="default" w:ascii="Times New Roman" w:hAnsi="Times New Roman" w:cs="Times New Roman"/>
                <w:b w:val="0"/>
                <w:bCs/>
                <w:sz w:val="21"/>
                <w:szCs w:val="21"/>
              </w:rPr>
            </w:pPr>
            <w:r>
              <w:rPr>
                <w:rFonts w:hint="default" w:ascii="Times New Roman" w:hAnsi="Times New Roman" w:cs="Times New Roman"/>
                <w:b w:val="0"/>
                <w:bCs/>
                <w:sz w:val="21"/>
                <w:szCs w:val="21"/>
              </w:rPr>
              <w:t>袋式除尘</w:t>
            </w:r>
          </w:p>
        </w:tc>
        <w:tc>
          <w:tcPr>
            <w:tcW w:w="0" w:type="auto"/>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6D47864B">
            <w:pPr>
              <w:jc w:val="center"/>
              <w:rPr>
                <w:rFonts w:hint="default" w:ascii="Times New Roman" w:hAnsi="Times New Roman" w:cs="Times New Roman"/>
                <w:b w:val="0"/>
                <w:bCs/>
                <w:sz w:val="21"/>
                <w:szCs w:val="21"/>
              </w:rPr>
            </w:pPr>
            <w:r>
              <w:rPr>
                <w:rFonts w:hint="default" w:ascii="Times New Roman" w:hAnsi="Times New Roman" w:eastAsia="宋体" w:cs="Times New Roman"/>
                <w:b w:val="0"/>
                <w:bCs/>
                <w:sz w:val="21"/>
                <w:szCs w:val="21"/>
                <w:lang w:val="en-US" w:eastAsia="zh-CN"/>
              </w:rPr>
              <w:t>100354</w:t>
            </w:r>
          </w:p>
        </w:tc>
        <w:tc>
          <w:tcPr>
            <w:tcW w:w="0" w:type="auto"/>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1AB8BEDA">
            <w:pPr>
              <w:jc w:val="center"/>
              <w:rPr>
                <w:rFonts w:hint="default" w:ascii="Times New Roman" w:hAnsi="Times New Roman" w:cs="Times New Roman"/>
                <w:b w:val="0"/>
                <w:bCs/>
                <w:sz w:val="21"/>
                <w:szCs w:val="21"/>
              </w:rPr>
            </w:pPr>
            <w:r>
              <w:rPr>
                <w:rFonts w:hint="default" w:ascii="Times New Roman" w:hAnsi="Times New Roman" w:cs="Times New Roman"/>
                <w:b w:val="0"/>
                <w:bCs/>
                <w:sz w:val="21"/>
                <w:szCs w:val="21"/>
              </w:rPr>
              <w:t>0</w:t>
            </w:r>
          </w:p>
        </w:tc>
        <w:tc>
          <w:tcPr>
            <w:tcW w:w="589" w:type="pct"/>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3A644F40">
            <w:pPr>
              <w:keepNext w:val="0"/>
              <w:keepLines w:val="0"/>
              <w:widowControl/>
              <w:suppressLineNumbers w:val="0"/>
              <w:jc w:val="center"/>
              <w:textAlignment w:val="center"/>
              <w:rPr>
                <w:rFonts w:hint="default" w:ascii="Times New Roman" w:hAnsi="Times New Roman" w:cs="Times New Roman"/>
                <w:b w:val="0"/>
                <w:bCs w:val="0"/>
                <w:sz w:val="21"/>
                <w:szCs w:val="21"/>
              </w:rPr>
            </w:pPr>
            <w:r>
              <w:rPr>
                <w:rFonts w:hint="default" w:ascii="Times New Roman" w:hAnsi="Times New Roman" w:eastAsia="宋体" w:cs="Times New Roman"/>
                <w:b w:val="0"/>
                <w:bCs w:val="0"/>
                <w:i w:val="0"/>
                <w:iCs w:val="0"/>
                <w:color w:val="000000"/>
                <w:kern w:val="0"/>
                <w:sz w:val="21"/>
                <w:szCs w:val="21"/>
                <w:u w:val="none"/>
                <w:lang w:val="en-US" w:eastAsia="zh-CN" w:bidi="ar"/>
              </w:rPr>
              <w:t>1992.94</w:t>
            </w:r>
          </w:p>
        </w:tc>
        <w:tc>
          <w:tcPr>
            <w:tcW w:w="585" w:type="pct"/>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4901DF39">
            <w:pPr>
              <w:jc w:val="center"/>
              <w:rPr>
                <w:rFonts w:hint="default" w:ascii="Times New Roman" w:hAnsi="Times New Roman" w:eastAsia="宋体" w:cs="Times New Roman"/>
                <w:b w:val="0"/>
                <w:bCs/>
                <w:sz w:val="21"/>
                <w:szCs w:val="21"/>
              </w:rPr>
            </w:pPr>
            <w:r>
              <w:rPr>
                <w:rFonts w:hint="default" w:ascii="Times New Roman" w:hAnsi="Times New Roman" w:eastAsia="宋体" w:cs="Times New Roman"/>
                <w:b w:val="0"/>
                <w:bCs/>
                <w:color w:val="auto"/>
                <w:sz w:val="21"/>
                <w:szCs w:val="21"/>
                <w:highlight w:val="none"/>
                <w:lang w:val="en-US" w:eastAsia="zh-CN"/>
              </w:rPr>
              <w:t>200</w:t>
            </w:r>
          </w:p>
        </w:tc>
        <w:tc>
          <w:tcPr>
            <w:tcW w:w="321" w:type="pct"/>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7D80E142">
            <w:pPr>
              <w:pStyle w:val="720"/>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default" w:ascii="Times New Roman" w:hAnsi="Times New Roman" w:cs="Times New Roman"/>
                <w:b w:val="0"/>
                <w:bCs/>
                <w:sz w:val="21"/>
                <w:szCs w:val="21"/>
              </w:rPr>
            </w:pPr>
            <w:r>
              <w:rPr>
                <w:rFonts w:hint="default" w:ascii="Times New Roman" w:hAnsi="Times New Roman" w:eastAsia="宋体" w:cs="Times New Roman"/>
                <w:b w:val="0"/>
                <w:bCs/>
                <w:color w:val="auto"/>
                <w:sz w:val="21"/>
                <w:szCs w:val="21"/>
                <w:highlight w:val="none"/>
                <w:lang w:val="en-US" w:eastAsia="zh-CN"/>
              </w:rPr>
              <w:t>20</w:t>
            </w:r>
          </w:p>
        </w:tc>
        <w:tc>
          <w:tcPr>
            <w:tcW w:w="321" w:type="pct"/>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321E57C8">
            <w:pPr>
              <w:pStyle w:val="720"/>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default" w:ascii="Times New Roman" w:hAnsi="Times New Roman" w:cs="Times New Roman"/>
                <w:b w:val="0"/>
                <w:bCs/>
                <w:sz w:val="21"/>
                <w:szCs w:val="21"/>
              </w:rPr>
            </w:pPr>
            <w:r>
              <w:rPr>
                <w:rFonts w:hint="default" w:ascii="Times New Roman" w:hAnsi="Times New Roman" w:eastAsia="宋体" w:cs="Times New Roman"/>
                <w:b w:val="0"/>
                <w:bCs/>
                <w:sz w:val="21"/>
                <w:szCs w:val="21"/>
                <w:lang w:val="en-US" w:eastAsia="zh-CN"/>
              </w:rPr>
              <w:t>2.2</w:t>
            </w:r>
          </w:p>
        </w:tc>
        <w:tc>
          <w:tcPr>
            <w:tcW w:w="343" w:type="pct"/>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0D3A1611">
            <w:pPr>
              <w:pStyle w:val="720"/>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default" w:ascii="Times New Roman" w:hAnsi="Times New Roman" w:cs="Times New Roman"/>
                <w:b w:val="0"/>
                <w:bCs/>
                <w:sz w:val="21"/>
                <w:szCs w:val="21"/>
              </w:rPr>
            </w:pPr>
            <w:r>
              <w:rPr>
                <w:rFonts w:hint="default" w:ascii="Times New Roman" w:hAnsi="Times New Roman" w:eastAsia="宋体" w:cs="Times New Roman"/>
                <w:b w:val="0"/>
                <w:bCs/>
                <w:spacing w:val="-2"/>
                <w:sz w:val="21"/>
                <w:szCs w:val="21"/>
                <w:lang w:val="en-US" w:eastAsia="zh-CN"/>
              </w:rPr>
              <w:t>常温</w:t>
            </w:r>
          </w:p>
        </w:tc>
        <w:tc>
          <w:tcPr>
            <w:tcW w:w="0" w:type="auto"/>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7A856281">
            <w:pPr>
              <w:jc w:val="center"/>
              <w:rPr>
                <w:rFonts w:hint="default" w:ascii="Times New Roman" w:hAnsi="Times New Roman" w:eastAsia="宋体" w:cs="Times New Roman"/>
                <w:b w:val="0"/>
                <w:bCs/>
                <w:sz w:val="21"/>
                <w:szCs w:val="21"/>
                <w:lang w:val="en-US" w:eastAsia="zh-CN"/>
              </w:rPr>
            </w:pPr>
            <w:r>
              <w:rPr>
                <w:rFonts w:hint="default" w:ascii="Times New Roman" w:hAnsi="Times New Roman" w:cs="Times New Roman"/>
                <w:b w:val="0"/>
                <w:bCs/>
                <w:sz w:val="21"/>
                <w:szCs w:val="21"/>
              </w:rPr>
              <w:t>DA</w:t>
            </w:r>
            <w:r>
              <w:rPr>
                <w:rFonts w:hint="default" w:ascii="Times New Roman" w:hAnsi="Times New Roman" w:cs="Times New Roman"/>
                <w:b w:val="0"/>
                <w:bCs/>
                <w:sz w:val="21"/>
                <w:szCs w:val="21"/>
                <w:lang w:val="en-US" w:eastAsia="zh-CN"/>
              </w:rPr>
              <w:t>004</w:t>
            </w:r>
          </w:p>
        </w:tc>
      </w:tr>
      <w:tr w14:paraId="7BB2D1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162" w:type="pct"/>
            <w:vMerge w:val="continue"/>
            <w:tcBorders>
              <w:left w:val="single" w:color="000000" w:sz="4" w:space="0"/>
              <w:right w:val="single" w:color="000000" w:sz="4" w:space="0"/>
            </w:tcBorders>
            <w:noWrap w:val="0"/>
            <w:tcMar>
              <w:left w:w="108" w:type="dxa"/>
              <w:right w:w="108" w:type="dxa"/>
            </w:tcMar>
            <w:vAlign w:val="center"/>
          </w:tcPr>
          <w:p w14:paraId="32918E75">
            <w:pPr>
              <w:jc w:val="center"/>
              <w:rPr>
                <w:rFonts w:hint="default" w:ascii="Times New Roman" w:hAnsi="Times New Roman" w:cs="Times New Roman"/>
                <w:b w:val="0"/>
                <w:bCs/>
                <w:sz w:val="21"/>
                <w:szCs w:val="21"/>
              </w:rPr>
            </w:pPr>
          </w:p>
        </w:tc>
        <w:tc>
          <w:tcPr>
            <w:tcW w:w="433" w:type="pct"/>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02536AF4">
            <w:pPr>
              <w:keepNext w:val="0"/>
              <w:keepLines w:val="0"/>
              <w:widowControl/>
              <w:suppressLineNumbers w:val="0"/>
              <w:jc w:val="center"/>
              <w:textAlignment w:val="center"/>
              <w:rPr>
                <w:rFonts w:hint="default" w:ascii="Times New Roman" w:hAnsi="Times New Roman" w:cs="Times New Roman"/>
                <w:b w:val="0"/>
                <w:bCs/>
                <w:sz w:val="21"/>
                <w:szCs w:val="21"/>
              </w:rPr>
            </w:pPr>
            <w:r>
              <w:rPr>
                <w:rFonts w:hint="default" w:ascii="Times New Roman" w:hAnsi="Times New Roman" w:eastAsia="宋体" w:cs="Times New Roman"/>
                <w:b w:val="0"/>
                <w:bCs/>
                <w:i w:val="0"/>
                <w:iCs w:val="0"/>
                <w:color w:val="000000"/>
                <w:kern w:val="0"/>
                <w:sz w:val="21"/>
                <w:szCs w:val="21"/>
                <w:u w:val="none"/>
                <w:lang w:val="en-US" w:eastAsia="zh-CN" w:bidi="ar"/>
              </w:rPr>
              <w:t>下料</w:t>
            </w:r>
          </w:p>
        </w:tc>
        <w:tc>
          <w:tcPr>
            <w:tcW w:w="357" w:type="pct"/>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3F268532">
            <w:pPr>
              <w:jc w:val="center"/>
              <w:rPr>
                <w:rFonts w:hint="default" w:ascii="Times New Roman" w:hAnsi="Times New Roman" w:cs="Times New Roman"/>
                <w:b w:val="0"/>
                <w:bCs/>
                <w:sz w:val="21"/>
                <w:szCs w:val="21"/>
              </w:rPr>
            </w:pPr>
            <w:r>
              <w:rPr>
                <w:rFonts w:hint="default" w:ascii="Times New Roman" w:hAnsi="Times New Roman" w:cs="Times New Roman"/>
                <w:b w:val="0"/>
                <w:bCs/>
                <w:sz w:val="21"/>
                <w:szCs w:val="21"/>
              </w:rPr>
              <w:t>颗粒物</w:t>
            </w:r>
          </w:p>
        </w:tc>
        <w:tc>
          <w:tcPr>
            <w:tcW w:w="684" w:type="pct"/>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714054DA">
            <w:pPr>
              <w:jc w:val="center"/>
              <w:rPr>
                <w:rFonts w:hint="default" w:ascii="Times New Roman" w:hAnsi="Times New Roman" w:cs="Times New Roman"/>
                <w:b w:val="0"/>
                <w:bCs/>
                <w:sz w:val="21"/>
                <w:szCs w:val="21"/>
              </w:rPr>
            </w:pPr>
            <w:r>
              <w:rPr>
                <w:rFonts w:hint="default" w:ascii="Times New Roman" w:hAnsi="Times New Roman" w:cs="Times New Roman"/>
                <w:b w:val="0"/>
                <w:bCs/>
                <w:sz w:val="21"/>
                <w:szCs w:val="21"/>
              </w:rPr>
              <w:t>袋式除尘</w:t>
            </w:r>
          </w:p>
        </w:tc>
        <w:tc>
          <w:tcPr>
            <w:tcW w:w="0" w:type="auto"/>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54363815">
            <w:pPr>
              <w:jc w:val="center"/>
              <w:rPr>
                <w:rFonts w:hint="default" w:ascii="Times New Roman" w:hAnsi="Times New Roman" w:cs="Times New Roman"/>
                <w:b w:val="0"/>
                <w:bCs/>
                <w:sz w:val="21"/>
                <w:szCs w:val="21"/>
              </w:rPr>
            </w:pPr>
            <w:r>
              <w:rPr>
                <w:rFonts w:hint="default" w:ascii="Times New Roman" w:hAnsi="Times New Roman" w:eastAsia="宋体" w:cs="Times New Roman"/>
                <w:b w:val="0"/>
                <w:bCs/>
                <w:sz w:val="21"/>
                <w:szCs w:val="21"/>
                <w:lang w:val="en-US" w:eastAsia="zh-CN"/>
              </w:rPr>
              <w:t>26694</w:t>
            </w:r>
          </w:p>
        </w:tc>
        <w:tc>
          <w:tcPr>
            <w:tcW w:w="0" w:type="auto"/>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200E1586">
            <w:pPr>
              <w:jc w:val="center"/>
              <w:rPr>
                <w:rFonts w:hint="default" w:ascii="Times New Roman" w:hAnsi="Times New Roman" w:cs="Times New Roman"/>
                <w:b w:val="0"/>
                <w:bCs/>
                <w:sz w:val="21"/>
                <w:szCs w:val="21"/>
              </w:rPr>
            </w:pPr>
            <w:r>
              <w:rPr>
                <w:rFonts w:hint="default" w:ascii="Times New Roman" w:hAnsi="Times New Roman" w:cs="Times New Roman"/>
                <w:b w:val="0"/>
                <w:bCs/>
                <w:sz w:val="21"/>
                <w:szCs w:val="21"/>
              </w:rPr>
              <w:t>0</w:t>
            </w:r>
          </w:p>
        </w:tc>
        <w:tc>
          <w:tcPr>
            <w:tcW w:w="589" w:type="pct"/>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0E65938A">
            <w:pPr>
              <w:keepNext w:val="0"/>
              <w:keepLines w:val="0"/>
              <w:widowControl/>
              <w:suppressLineNumbers w:val="0"/>
              <w:jc w:val="center"/>
              <w:textAlignment w:val="center"/>
              <w:rPr>
                <w:rFonts w:hint="default" w:ascii="Times New Roman" w:hAnsi="Times New Roman" w:cs="Times New Roman"/>
                <w:b w:val="0"/>
                <w:bCs w:val="0"/>
                <w:sz w:val="21"/>
                <w:szCs w:val="21"/>
              </w:rPr>
            </w:pPr>
            <w:r>
              <w:rPr>
                <w:rFonts w:hint="default" w:ascii="Times New Roman" w:hAnsi="Times New Roman" w:eastAsia="宋体" w:cs="Times New Roman"/>
                <w:b w:val="0"/>
                <w:bCs w:val="0"/>
                <w:i w:val="0"/>
                <w:iCs w:val="0"/>
                <w:color w:val="000000"/>
                <w:kern w:val="0"/>
                <w:sz w:val="21"/>
                <w:szCs w:val="21"/>
                <w:u w:val="none"/>
                <w:lang w:val="en-US" w:eastAsia="zh-CN" w:bidi="ar"/>
              </w:rPr>
              <w:t>2022.9</w:t>
            </w:r>
            <w:r>
              <w:rPr>
                <w:rFonts w:hint="eastAsia" w:ascii="Times New Roman" w:hAnsi="Times New Roman" w:eastAsia="宋体" w:cs="Times New Roman"/>
                <w:b w:val="0"/>
                <w:bCs w:val="0"/>
                <w:i w:val="0"/>
                <w:iCs w:val="0"/>
                <w:color w:val="000000"/>
                <w:kern w:val="0"/>
                <w:sz w:val="21"/>
                <w:szCs w:val="21"/>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1E16DB42">
            <w:pPr>
              <w:jc w:val="center"/>
              <w:rPr>
                <w:rFonts w:hint="default" w:ascii="Times New Roman" w:hAnsi="Times New Roman" w:cs="Times New Roman"/>
                <w:b w:val="0"/>
                <w:bCs/>
                <w:sz w:val="21"/>
                <w:szCs w:val="21"/>
              </w:rPr>
            </w:pPr>
            <w:r>
              <w:rPr>
                <w:rFonts w:hint="default" w:ascii="Times New Roman" w:hAnsi="Times New Roman" w:eastAsia="宋体" w:cs="Times New Roman"/>
                <w:b w:val="0"/>
                <w:bCs/>
                <w:color w:val="auto"/>
                <w:sz w:val="21"/>
                <w:szCs w:val="21"/>
                <w:highlight w:val="none"/>
                <w:lang w:val="en-US" w:eastAsia="zh-CN"/>
              </w:rPr>
              <w:t>54</w:t>
            </w:r>
          </w:p>
        </w:tc>
        <w:tc>
          <w:tcPr>
            <w:tcW w:w="0" w:type="auto"/>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09A9F6C7">
            <w:pPr>
              <w:jc w:val="center"/>
              <w:rPr>
                <w:rFonts w:hint="default" w:ascii="Times New Roman" w:hAnsi="Times New Roman" w:cs="Times New Roman"/>
                <w:b w:val="0"/>
                <w:bCs/>
                <w:sz w:val="21"/>
                <w:szCs w:val="21"/>
              </w:rPr>
            </w:pPr>
            <w:r>
              <w:rPr>
                <w:rFonts w:hint="default" w:ascii="Times New Roman" w:hAnsi="Times New Roman" w:eastAsia="宋体" w:cs="Times New Roman"/>
                <w:b w:val="0"/>
                <w:bCs/>
                <w:color w:val="auto"/>
                <w:sz w:val="21"/>
                <w:szCs w:val="21"/>
                <w:highlight w:val="none"/>
                <w:lang w:val="en-US" w:eastAsia="zh-CN"/>
              </w:rPr>
              <w:t>15</w:t>
            </w:r>
          </w:p>
        </w:tc>
        <w:tc>
          <w:tcPr>
            <w:tcW w:w="0" w:type="auto"/>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69F3B310">
            <w:pPr>
              <w:jc w:val="center"/>
              <w:rPr>
                <w:rFonts w:hint="default" w:ascii="Times New Roman" w:hAnsi="Times New Roman" w:cs="Times New Roman"/>
                <w:b w:val="0"/>
                <w:bCs/>
                <w:sz w:val="21"/>
                <w:szCs w:val="21"/>
              </w:rPr>
            </w:pPr>
            <w:r>
              <w:rPr>
                <w:rFonts w:hint="default" w:ascii="Times New Roman" w:hAnsi="Times New Roman" w:eastAsia="宋体" w:cs="Times New Roman"/>
                <w:b w:val="0"/>
                <w:bCs/>
                <w:sz w:val="21"/>
                <w:szCs w:val="21"/>
                <w:lang w:val="en-US" w:eastAsia="zh-CN"/>
              </w:rPr>
              <w:t>0.8</w:t>
            </w:r>
          </w:p>
        </w:tc>
        <w:tc>
          <w:tcPr>
            <w:tcW w:w="0" w:type="auto"/>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27B5C13E">
            <w:pPr>
              <w:jc w:val="center"/>
              <w:rPr>
                <w:rFonts w:hint="default" w:ascii="Times New Roman" w:hAnsi="Times New Roman" w:cs="Times New Roman"/>
                <w:b w:val="0"/>
                <w:bCs/>
                <w:sz w:val="21"/>
                <w:szCs w:val="21"/>
              </w:rPr>
            </w:pPr>
            <w:r>
              <w:rPr>
                <w:rFonts w:hint="default" w:ascii="Times New Roman" w:hAnsi="Times New Roman" w:eastAsia="宋体" w:cs="Times New Roman"/>
                <w:b w:val="0"/>
                <w:bCs/>
                <w:spacing w:val="-2"/>
                <w:sz w:val="21"/>
                <w:szCs w:val="21"/>
                <w:lang w:val="en-US" w:eastAsia="zh-CN"/>
              </w:rPr>
              <w:t>常温</w:t>
            </w:r>
          </w:p>
        </w:tc>
        <w:tc>
          <w:tcPr>
            <w:tcW w:w="0" w:type="auto"/>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2B901D36">
            <w:pPr>
              <w:jc w:val="center"/>
              <w:rPr>
                <w:rFonts w:hint="default" w:ascii="Times New Roman" w:hAnsi="Times New Roman" w:eastAsia="宋体" w:cs="Times New Roman"/>
                <w:b w:val="0"/>
                <w:bCs/>
                <w:sz w:val="21"/>
                <w:szCs w:val="21"/>
                <w:lang w:val="en-US" w:eastAsia="zh-CN"/>
              </w:rPr>
            </w:pPr>
            <w:r>
              <w:rPr>
                <w:rFonts w:hint="default" w:ascii="Times New Roman" w:hAnsi="Times New Roman" w:cs="Times New Roman"/>
                <w:b w:val="0"/>
                <w:bCs/>
                <w:sz w:val="21"/>
                <w:szCs w:val="21"/>
              </w:rPr>
              <w:t>DA</w:t>
            </w:r>
            <w:r>
              <w:rPr>
                <w:rFonts w:hint="default" w:ascii="Times New Roman" w:hAnsi="Times New Roman" w:cs="Times New Roman"/>
                <w:b w:val="0"/>
                <w:bCs/>
                <w:sz w:val="21"/>
                <w:szCs w:val="21"/>
                <w:lang w:val="en-US" w:eastAsia="zh-CN"/>
              </w:rPr>
              <w:t>001</w:t>
            </w:r>
          </w:p>
        </w:tc>
      </w:tr>
      <w:tr w14:paraId="511127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162" w:type="pct"/>
            <w:vMerge w:val="continue"/>
            <w:tcBorders>
              <w:left w:val="single" w:color="000000" w:sz="4" w:space="0"/>
              <w:bottom w:val="single" w:color="000000" w:sz="4" w:space="0"/>
              <w:right w:val="single" w:color="000000" w:sz="4" w:space="0"/>
            </w:tcBorders>
            <w:noWrap w:val="0"/>
            <w:tcMar>
              <w:left w:w="108" w:type="dxa"/>
              <w:right w:w="108" w:type="dxa"/>
            </w:tcMar>
            <w:vAlign w:val="center"/>
          </w:tcPr>
          <w:p w14:paraId="488411B9">
            <w:pPr>
              <w:jc w:val="center"/>
              <w:rPr>
                <w:rFonts w:hint="default" w:ascii="Times New Roman" w:hAnsi="Times New Roman" w:cs="Times New Roman"/>
                <w:b w:val="0"/>
                <w:bCs/>
                <w:sz w:val="21"/>
                <w:szCs w:val="21"/>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0"/>
            <w:tcMar>
              <w:left w:w="108" w:type="dxa"/>
              <w:right w:w="108" w:type="dxa"/>
            </w:tcMar>
            <w:vAlign w:val="center"/>
          </w:tcPr>
          <w:p w14:paraId="7B3B1D08">
            <w:pPr>
              <w:keepNext w:val="0"/>
              <w:keepLines w:val="0"/>
              <w:widowControl/>
              <w:suppressLineNumbers w:val="0"/>
              <w:jc w:val="center"/>
              <w:textAlignment w:val="center"/>
              <w:rPr>
                <w:rFonts w:hint="default" w:ascii="Times New Roman" w:hAnsi="Times New Roman" w:eastAsia="宋体" w:cs="Times New Roman"/>
                <w:b w:val="0"/>
                <w:bCs/>
                <w:i w:val="0"/>
                <w:iCs w:val="0"/>
                <w:color w:val="000000"/>
                <w:sz w:val="21"/>
                <w:szCs w:val="21"/>
                <w:u w:val="none"/>
                <w:lang w:val="en-US" w:eastAsia="zh-CN" w:bidi="ar-SA"/>
              </w:rPr>
            </w:pPr>
            <w:r>
              <w:rPr>
                <w:rFonts w:hint="default" w:ascii="Times New Roman" w:hAnsi="Times New Roman" w:eastAsia="宋体" w:cs="Times New Roman"/>
                <w:b w:val="0"/>
                <w:bCs/>
                <w:i w:val="0"/>
                <w:iCs w:val="0"/>
                <w:color w:val="000000"/>
                <w:kern w:val="0"/>
                <w:sz w:val="21"/>
                <w:szCs w:val="21"/>
                <w:u w:val="none"/>
                <w:lang w:val="en-US" w:eastAsia="zh-CN" w:bidi="ar"/>
              </w:rPr>
              <w:t>贮存</w:t>
            </w:r>
          </w:p>
        </w:tc>
        <w:tc>
          <w:tcPr>
            <w:tcW w:w="357" w:type="pct"/>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426C49B3">
            <w:pPr>
              <w:jc w:val="center"/>
              <w:rPr>
                <w:rFonts w:hint="default" w:ascii="Times New Roman" w:hAnsi="Times New Roman" w:cs="Times New Roman"/>
                <w:b w:val="0"/>
                <w:bCs/>
                <w:sz w:val="21"/>
                <w:szCs w:val="21"/>
              </w:rPr>
            </w:pPr>
            <w:r>
              <w:rPr>
                <w:rFonts w:hint="default" w:ascii="Times New Roman" w:hAnsi="Times New Roman" w:cs="Times New Roman"/>
                <w:b w:val="0"/>
                <w:bCs/>
                <w:sz w:val="21"/>
                <w:szCs w:val="21"/>
              </w:rPr>
              <w:t>颗粒物</w:t>
            </w:r>
          </w:p>
        </w:tc>
        <w:tc>
          <w:tcPr>
            <w:tcW w:w="684" w:type="pct"/>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35375075">
            <w:pPr>
              <w:jc w:val="center"/>
              <w:rPr>
                <w:rFonts w:hint="default" w:ascii="Times New Roman" w:hAnsi="Times New Roman" w:cs="Times New Roman"/>
                <w:b w:val="0"/>
                <w:bCs/>
                <w:sz w:val="21"/>
                <w:szCs w:val="21"/>
              </w:rPr>
            </w:pPr>
            <w:r>
              <w:rPr>
                <w:rFonts w:hint="default" w:ascii="Times New Roman" w:hAnsi="Times New Roman" w:cs="Times New Roman"/>
                <w:b w:val="0"/>
                <w:bCs/>
                <w:sz w:val="21"/>
                <w:szCs w:val="21"/>
              </w:rPr>
              <w:t>袋式除尘</w:t>
            </w:r>
          </w:p>
        </w:tc>
        <w:tc>
          <w:tcPr>
            <w:tcW w:w="0" w:type="auto"/>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60646A25">
            <w:pPr>
              <w:jc w:val="center"/>
              <w:rPr>
                <w:rFonts w:hint="default" w:ascii="Times New Roman" w:hAnsi="Times New Roman" w:cs="Times New Roman"/>
                <w:b w:val="0"/>
                <w:bCs/>
                <w:sz w:val="21"/>
                <w:szCs w:val="21"/>
              </w:rPr>
            </w:pPr>
            <w:r>
              <w:rPr>
                <w:rFonts w:hint="default" w:ascii="Times New Roman" w:hAnsi="Times New Roman" w:cs="Times New Roman"/>
                <w:b w:val="0"/>
                <w:bCs/>
                <w:sz w:val="21"/>
                <w:szCs w:val="21"/>
                <w:lang w:val="en-US" w:eastAsia="zh-CN"/>
              </w:rPr>
              <w:t>26694</w:t>
            </w:r>
          </w:p>
        </w:tc>
        <w:tc>
          <w:tcPr>
            <w:tcW w:w="0" w:type="auto"/>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5D25E822">
            <w:pPr>
              <w:jc w:val="center"/>
              <w:rPr>
                <w:rFonts w:hint="default" w:ascii="Times New Roman" w:hAnsi="Times New Roman" w:eastAsia="宋体" w:cs="Times New Roman"/>
                <w:b w:val="0"/>
                <w:bCs/>
                <w:sz w:val="21"/>
                <w:szCs w:val="21"/>
                <w:lang w:val="en-US" w:eastAsia="zh-CN"/>
              </w:rPr>
            </w:pPr>
            <w:r>
              <w:rPr>
                <w:rFonts w:hint="default" w:ascii="Times New Roman" w:hAnsi="Times New Roman" w:cs="Times New Roman"/>
                <w:b w:val="0"/>
                <w:bCs/>
                <w:sz w:val="21"/>
                <w:szCs w:val="21"/>
                <w:lang w:val="en-US" w:eastAsia="zh-CN"/>
              </w:rPr>
              <w:t>0</w:t>
            </w:r>
          </w:p>
        </w:tc>
        <w:tc>
          <w:tcPr>
            <w:tcW w:w="589" w:type="pct"/>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63BDDA5D">
            <w:pPr>
              <w:keepNext w:val="0"/>
              <w:keepLines w:val="0"/>
              <w:widowControl/>
              <w:suppressLineNumbers w:val="0"/>
              <w:jc w:val="center"/>
              <w:textAlignment w:val="center"/>
              <w:rPr>
                <w:rFonts w:hint="default" w:ascii="Times New Roman" w:hAnsi="Times New Roman" w:cs="Times New Roman"/>
                <w:b w:val="0"/>
                <w:bCs w:val="0"/>
                <w:sz w:val="21"/>
                <w:szCs w:val="21"/>
              </w:rPr>
            </w:pPr>
            <w:r>
              <w:rPr>
                <w:rFonts w:hint="default" w:ascii="Times New Roman" w:hAnsi="Times New Roman" w:eastAsia="宋体" w:cs="Times New Roman"/>
                <w:b w:val="0"/>
                <w:bCs w:val="0"/>
                <w:i w:val="0"/>
                <w:iCs w:val="0"/>
                <w:color w:val="000000"/>
                <w:kern w:val="0"/>
                <w:sz w:val="21"/>
                <w:szCs w:val="21"/>
                <w:u w:val="none"/>
                <w:lang w:val="en-US" w:eastAsia="zh-CN" w:bidi="ar"/>
              </w:rPr>
              <w:t>2022.9</w:t>
            </w:r>
            <w:r>
              <w:rPr>
                <w:rFonts w:hint="eastAsia" w:ascii="Times New Roman" w:hAnsi="Times New Roman" w:eastAsia="宋体" w:cs="Times New Roman"/>
                <w:b w:val="0"/>
                <w:bCs w:val="0"/>
                <w:i w:val="0"/>
                <w:iCs w:val="0"/>
                <w:color w:val="000000"/>
                <w:kern w:val="0"/>
                <w:sz w:val="21"/>
                <w:szCs w:val="21"/>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22CBDDB9">
            <w:pPr>
              <w:jc w:val="center"/>
              <w:rPr>
                <w:rFonts w:hint="default" w:ascii="Times New Roman" w:hAnsi="Times New Roman" w:cs="Times New Roman"/>
                <w:b w:val="0"/>
                <w:bCs/>
                <w:sz w:val="21"/>
                <w:szCs w:val="21"/>
              </w:rPr>
            </w:pPr>
            <w:r>
              <w:rPr>
                <w:rFonts w:hint="default" w:ascii="Times New Roman" w:hAnsi="Times New Roman" w:eastAsia="宋体" w:cs="Times New Roman"/>
                <w:b w:val="0"/>
                <w:bCs/>
                <w:color w:val="auto"/>
                <w:sz w:val="21"/>
                <w:szCs w:val="21"/>
                <w:highlight w:val="none"/>
                <w:lang w:val="en-US" w:eastAsia="zh-CN"/>
              </w:rPr>
              <w:t>54</w:t>
            </w:r>
          </w:p>
        </w:tc>
        <w:tc>
          <w:tcPr>
            <w:tcW w:w="321" w:type="pct"/>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78A8C350">
            <w:pPr>
              <w:pStyle w:val="720"/>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default" w:ascii="Times New Roman" w:hAnsi="Times New Roman" w:cs="Times New Roman"/>
                <w:b w:val="0"/>
                <w:bCs/>
                <w:sz w:val="21"/>
                <w:szCs w:val="21"/>
              </w:rPr>
            </w:pPr>
            <w:r>
              <w:rPr>
                <w:rFonts w:hint="default" w:ascii="Times New Roman" w:hAnsi="Times New Roman" w:eastAsia="宋体" w:cs="Times New Roman"/>
                <w:b w:val="0"/>
                <w:bCs/>
                <w:color w:val="auto"/>
                <w:sz w:val="21"/>
                <w:szCs w:val="21"/>
                <w:highlight w:val="none"/>
                <w:lang w:val="en-US" w:eastAsia="zh-CN"/>
              </w:rPr>
              <w:t>15</w:t>
            </w:r>
          </w:p>
        </w:tc>
        <w:tc>
          <w:tcPr>
            <w:tcW w:w="321" w:type="pct"/>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1E52AA30">
            <w:pPr>
              <w:pStyle w:val="720"/>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default" w:ascii="Times New Roman" w:hAnsi="Times New Roman" w:cs="Times New Roman"/>
                <w:b w:val="0"/>
                <w:bCs/>
                <w:sz w:val="21"/>
                <w:szCs w:val="21"/>
              </w:rPr>
            </w:pPr>
            <w:r>
              <w:rPr>
                <w:rFonts w:hint="default" w:ascii="Times New Roman" w:hAnsi="Times New Roman" w:eastAsia="Times New Roman" w:cs="Times New Roman"/>
                <w:b w:val="0"/>
                <w:bCs/>
                <w:kern w:val="2"/>
                <w:sz w:val="21"/>
                <w:szCs w:val="21"/>
                <w:lang w:val="en-US" w:eastAsia="zh-CN" w:bidi="ar-SA"/>
              </w:rPr>
              <w:t>0.6</w:t>
            </w:r>
          </w:p>
        </w:tc>
        <w:tc>
          <w:tcPr>
            <w:tcW w:w="343" w:type="pct"/>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0AFAA199">
            <w:pPr>
              <w:pStyle w:val="720"/>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default" w:ascii="Times New Roman" w:hAnsi="Times New Roman" w:cs="Times New Roman"/>
                <w:b w:val="0"/>
                <w:bCs/>
                <w:sz w:val="21"/>
                <w:szCs w:val="21"/>
              </w:rPr>
            </w:pPr>
            <w:r>
              <w:rPr>
                <w:rFonts w:hint="default" w:ascii="Times New Roman" w:hAnsi="Times New Roman" w:eastAsia="宋体" w:cs="Times New Roman"/>
                <w:b w:val="0"/>
                <w:bCs/>
                <w:spacing w:val="-2"/>
                <w:sz w:val="21"/>
                <w:szCs w:val="21"/>
                <w:lang w:val="en-US" w:eastAsia="zh-CN"/>
              </w:rPr>
              <w:t>常温</w:t>
            </w:r>
          </w:p>
        </w:tc>
        <w:tc>
          <w:tcPr>
            <w:tcW w:w="0" w:type="auto"/>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0754D5AB">
            <w:pPr>
              <w:jc w:val="center"/>
              <w:rPr>
                <w:rFonts w:hint="default" w:ascii="Times New Roman" w:hAnsi="Times New Roman" w:eastAsia="宋体" w:cs="Times New Roman"/>
                <w:b w:val="0"/>
                <w:bCs/>
                <w:sz w:val="21"/>
                <w:szCs w:val="21"/>
                <w:lang w:val="en-US" w:eastAsia="zh-CN"/>
              </w:rPr>
            </w:pPr>
            <w:r>
              <w:rPr>
                <w:rFonts w:hint="default" w:ascii="Times New Roman" w:hAnsi="Times New Roman" w:cs="Times New Roman"/>
                <w:b w:val="0"/>
                <w:bCs/>
                <w:sz w:val="21"/>
                <w:szCs w:val="21"/>
                <w:lang w:val="en-US" w:eastAsia="zh-CN"/>
              </w:rPr>
              <w:t>DA012</w:t>
            </w:r>
          </w:p>
        </w:tc>
      </w:tr>
      <w:tr w14:paraId="31ADAC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162" w:type="pct"/>
            <w:vMerge w:val="restart"/>
            <w:tcBorders>
              <w:top w:val="single" w:color="000000" w:sz="4" w:space="0"/>
              <w:left w:val="single" w:color="000000" w:sz="4" w:space="0"/>
              <w:right w:val="single" w:color="000000" w:sz="4" w:space="0"/>
            </w:tcBorders>
            <w:noWrap w:val="0"/>
            <w:tcMar>
              <w:left w:w="108" w:type="dxa"/>
              <w:right w:w="108" w:type="dxa"/>
            </w:tcMar>
            <w:vAlign w:val="center"/>
          </w:tcPr>
          <w:p w14:paraId="1E4C5157">
            <w:pPr>
              <w:jc w:val="center"/>
              <w:rPr>
                <w:rFonts w:hint="default" w:ascii="Times New Roman" w:hAnsi="Times New Roman" w:eastAsia="宋体" w:cs="Times New Roman"/>
                <w:b w:val="0"/>
                <w:bCs/>
                <w:sz w:val="21"/>
                <w:szCs w:val="21"/>
                <w:lang w:val="en-US" w:eastAsia="zh-CN"/>
              </w:rPr>
            </w:pPr>
            <w:r>
              <w:rPr>
                <w:rFonts w:hint="default" w:ascii="Times New Roman" w:hAnsi="Times New Roman" w:cs="Times New Roman"/>
                <w:b w:val="0"/>
                <w:bCs/>
                <w:sz w:val="21"/>
                <w:szCs w:val="21"/>
                <w:lang w:val="en-US" w:eastAsia="zh-CN"/>
              </w:rPr>
              <w:t>球团竖炉</w:t>
            </w:r>
          </w:p>
        </w:tc>
        <w:tc>
          <w:tcPr>
            <w:tcW w:w="433" w:type="pct"/>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71BFEB9B">
            <w:pPr>
              <w:keepNext w:val="0"/>
              <w:keepLines w:val="0"/>
              <w:widowControl/>
              <w:suppressLineNumbers w:val="0"/>
              <w:jc w:val="center"/>
              <w:textAlignment w:val="center"/>
              <w:rPr>
                <w:rFonts w:hint="default" w:ascii="Times New Roman" w:hAnsi="Times New Roman" w:cs="Times New Roman"/>
                <w:b w:val="0"/>
                <w:bCs/>
                <w:sz w:val="21"/>
                <w:szCs w:val="21"/>
              </w:rPr>
            </w:pPr>
            <w:r>
              <w:rPr>
                <w:rFonts w:hint="default" w:ascii="Times New Roman" w:hAnsi="Times New Roman" w:eastAsia="宋体" w:cs="Times New Roman"/>
                <w:b w:val="0"/>
                <w:bCs/>
                <w:i w:val="0"/>
                <w:iCs w:val="0"/>
                <w:color w:val="000000"/>
                <w:kern w:val="0"/>
                <w:sz w:val="21"/>
                <w:szCs w:val="21"/>
                <w:u w:val="none"/>
                <w:lang w:val="en-US" w:eastAsia="zh-CN" w:bidi="ar"/>
              </w:rPr>
              <w:t>原料准备</w:t>
            </w:r>
          </w:p>
        </w:tc>
        <w:tc>
          <w:tcPr>
            <w:tcW w:w="357" w:type="pct"/>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70D3CA7D">
            <w:pPr>
              <w:jc w:val="center"/>
              <w:rPr>
                <w:rFonts w:hint="default" w:ascii="Times New Roman" w:hAnsi="Times New Roman" w:cs="Times New Roman"/>
                <w:b w:val="0"/>
                <w:bCs/>
                <w:sz w:val="21"/>
                <w:szCs w:val="21"/>
              </w:rPr>
            </w:pPr>
            <w:r>
              <w:rPr>
                <w:rFonts w:hint="default" w:ascii="Times New Roman" w:hAnsi="Times New Roman" w:cs="Times New Roman"/>
                <w:b w:val="0"/>
                <w:bCs/>
                <w:sz w:val="21"/>
                <w:szCs w:val="21"/>
              </w:rPr>
              <w:t>颗粒物</w:t>
            </w:r>
          </w:p>
        </w:tc>
        <w:tc>
          <w:tcPr>
            <w:tcW w:w="684" w:type="pct"/>
            <w:vMerge w:val="restart"/>
            <w:tcBorders>
              <w:top w:val="single" w:color="000000" w:sz="4" w:space="0"/>
              <w:left w:val="single" w:color="000000" w:sz="4" w:space="0"/>
              <w:right w:val="single" w:color="000000" w:sz="4" w:space="0"/>
            </w:tcBorders>
            <w:noWrap w:val="0"/>
            <w:tcMar>
              <w:left w:w="108" w:type="dxa"/>
              <w:right w:w="108" w:type="dxa"/>
            </w:tcMar>
            <w:vAlign w:val="center"/>
          </w:tcPr>
          <w:p w14:paraId="64929B01">
            <w:pPr>
              <w:jc w:val="center"/>
              <w:rPr>
                <w:rFonts w:hint="default" w:ascii="Times New Roman" w:hAnsi="Times New Roman" w:cs="Times New Roman"/>
                <w:b w:val="0"/>
                <w:bCs/>
                <w:sz w:val="21"/>
                <w:szCs w:val="21"/>
              </w:rPr>
            </w:pPr>
            <w:r>
              <w:rPr>
                <w:rFonts w:hint="default" w:ascii="Times New Roman" w:hAnsi="Times New Roman" w:cs="Times New Roman"/>
                <w:b w:val="0"/>
                <w:bCs/>
                <w:sz w:val="21"/>
                <w:szCs w:val="21"/>
              </w:rPr>
              <w:t>袋式除尘</w:t>
            </w:r>
          </w:p>
        </w:tc>
        <w:tc>
          <w:tcPr>
            <w:tcW w:w="428" w:type="pct"/>
            <w:vMerge w:val="restart"/>
            <w:tcBorders>
              <w:top w:val="single" w:color="000000" w:sz="4" w:space="0"/>
              <w:left w:val="single" w:color="000000" w:sz="4" w:space="0"/>
              <w:right w:val="single" w:color="000000" w:sz="4" w:space="0"/>
            </w:tcBorders>
            <w:noWrap w:val="0"/>
            <w:tcMar>
              <w:left w:w="108" w:type="dxa"/>
              <w:right w:w="108" w:type="dxa"/>
            </w:tcMar>
            <w:vAlign w:val="center"/>
          </w:tcPr>
          <w:p w14:paraId="3E92815D">
            <w:pPr>
              <w:jc w:val="center"/>
              <w:rPr>
                <w:rFonts w:hint="default" w:ascii="Times New Roman" w:hAnsi="Times New Roman" w:eastAsia="宋体" w:cs="Times New Roman"/>
                <w:b w:val="0"/>
                <w:bCs/>
                <w:sz w:val="21"/>
                <w:szCs w:val="21"/>
                <w:lang w:val="en-US" w:eastAsia="zh-CN"/>
              </w:rPr>
            </w:pPr>
            <w:r>
              <w:rPr>
                <w:rFonts w:hint="default" w:ascii="Times New Roman" w:hAnsi="Times New Roman" w:cs="Times New Roman"/>
                <w:b w:val="0"/>
                <w:bCs/>
                <w:sz w:val="21"/>
                <w:szCs w:val="21"/>
                <w:lang w:val="en-US" w:eastAsia="zh-CN"/>
              </w:rPr>
              <w:t>50000</w:t>
            </w:r>
          </w:p>
        </w:tc>
        <w:tc>
          <w:tcPr>
            <w:tcW w:w="343" w:type="pct"/>
            <w:vMerge w:val="restart"/>
            <w:tcBorders>
              <w:top w:val="single" w:color="000000" w:sz="4" w:space="0"/>
              <w:left w:val="single" w:color="000000" w:sz="4" w:space="0"/>
              <w:right w:val="single" w:color="000000" w:sz="4" w:space="0"/>
            </w:tcBorders>
            <w:noWrap w:val="0"/>
            <w:tcMar>
              <w:left w:w="108" w:type="dxa"/>
              <w:right w:w="108" w:type="dxa"/>
            </w:tcMar>
            <w:vAlign w:val="center"/>
          </w:tcPr>
          <w:p w14:paraId="05447091">
            <w:pPr>
              <w:jc w:val="center"/>
              <w:rPr>
                <w:rFonts w:hint="default" w:ascii="Times New Roman" w:hAnsi="Times New Roman" w:eastAsia="宋体" w:cs="Times New Roman"/>
                <w:b w:val="0"/>
                <w:bCs/>
                <w:sz w:val="21"/>
                <w:szCs w:val="21"/>
                <w:lang w:val="en-US" w:eastAsia="zh-CN"/>
              </w:rPr>
            </w:pPr>
            <w:r>
              <w:rPr>
                <w:rFonts w:hint="default" w:ascii="Times New Roman" w:hAnsi="Times New Roman" w:cs="Times New Roman"/>
                <w:b w:val="0"/>
                <w:bCs/>
                <w:sz w:val="21"/>
                <w:szCs w:val="21"/>
                <w:lang w:val="en-US" w:eastAsia="zh-CN"/>
              </w:rPr>
              <w:t>0</w:t>
            </w:r>
          </w:p>
        </w:tc>
        <w:tc>
          <w:tcPr>
            <w:tcW w:w="589" w:type="pct"/>
            <w:vMerge w:val="restart"/>
            <w:tcBorders>
              <w:top w:val="single" w:color="000000" w:sz="4" w:space="0"/>
              <w:left w:val="single" w:color="000000" w:sz="4" w:space="0"/>
              <w:right w:val="single" w:color="000000" w:sz="4" w:space="0"/>
            </w:tcBorders>
            <w:noWrap w:val="0"/>
            <w:tcMar>
              <w:left w:w="108" w:type="dxa"/>
              <w:right w:w="108" w:type="dxa"/>
            </w:tcMar>
            <w:vAlign w:val="center"/>
          </w:tcPr>
          <w:p w14:paraId="6375B2DD">
            <w:pPr>
              <w:keepNext w:val="0"/>
              <w:keepLines w:val="0"/>
              <w:widowControl/>
              <w:suppressLineNumbers w:val="0"/>
              <w:jc w:val="center"/>
              <w:textAlignment w:val="center"/>
              <w:rPr>
                <w:rFonts w:hint="default" w:ascii="Times New Roman" w:hAnsi="Times New Roman" w:cs="Times New Roman"/>
                <w:b w:val="0"/>
                <w:bCs w:val="0"/>
                <w:sz w:val="21"/>
                <w:szCs w:val="21"/>
              </w:rPr>
            </w:pPr>
            <w:r>
              <w:rPr>
                <w:rFonts w:hint="default" w:ascii="Times New Roman" w:hAnsi="Times New Roman" w:eastAsia="宋体" w:cs="Times New Roman"/>
                <w:b w:val="0"/>
                <w:bCs w:val="0"/>
                <w:i w:val="0"/>
                <w:iCs w:val="0"/>
                <w:color w:val="000000"/>
                <w:kern w:val="0"/>
                <w:sz w:val="21"/>
                <w:szCs w:val="21"/>
                <w:u w:val="none"/>
                <w:lang w:val="en-US" w:eastAsia="zh-CN" w:bidi="ar"/>
              </w:rPr>
              <w:t>2000</w:t>
            </w:r>
          </w:p>
        </w:tc>
        <w:tc>
          <w:tcPr>
            <w:tcW w:w="585" w:type="pct"/>
            <w:vMerge w:val="restart"/>
            <w:tcBorders>
              <w:top w:val="single" w:color="000000" w:sz="4" w:space="0"/>
              <w:left w:val="single" w:color="000000" w:sz="4" w:space="0"/>
              <w:right w:val="single" w:color="000000" w:sz="4" w:space="0"/>
            </w:tcBorders>
            <w:noWrap w:val="0"/>
            <w:tcMar>
              <w:left w:w="108" w:type="dxa"/>
              <w:right w:w="108" w:type="dxa"/>
            </w:tcMar>
            <w:vAlign w:val="center"/>
          </w:tcPr>
          <w:p w14:paraId="678C3B39">
            <w:pPr>
              <w:jc w:val="center"/>
              <w:rPr>
                <w:rFonts w:hint="default" w:ascii="Times New Roman" w:hAnsi="Times New Roman" w:cs="Times New Roman"/>
                <w:b w:val="0"/>
                <w:bCs/>
                <w:sz w:val="21"/>
                <w:szCs w:val="21"/>
              </w:rPr>
            </w:pPr>
            <w:r>
              <w:rPr>
                <w:rFonts w:hint="default" w:ascii="Times New Roman" w:hAnsi="Times New Roman" w:eastAsia="宋体" w:cs="Times New Roman"/>
                <w:b w:val="0"/>
                <w:bCs/>
                <w:color w:val="auto"/>
                <w:sz w:val="21"/>
                <w:szCs w:val="21"/>
                <w:highlight w:val="none"/>
                <w:lang w:val="en-US" w:eastAsia="zh-CN"/>
              </w:rPr>
              <w:t>100</w:t>
            </w:r>
          </w:p>
        </w:tc>
        <w:tc>
          <w:tcPr>
            <w:tcW w:w="321" w:type="pct"/>
            <w:vMerge w:val="restart"/>
            <w:tcBorders>
              <w:top w:val="single" w:color="000000" w:sz="4" w:space="0"/>
              <w:left w:val="single" w:color="000000" w:sz="4" w:space="0"/>
              <w:right w:val="single" w:color="000000" w:sz="4" w:space="0"/>
            </w:tcBorders>
            <w:noWrap w:val="0"/>
            <w:tcMar>
              <w:left w:w="108" w:type="dxa"/>
              <w:right w:w="108" w:type="dxa"/>
            </w:tcMar>
            <w:vAlign w:val="center"/>
          </w:tcPr>
          <w:p w14:paraId="68788352">
            <w:pPr>
              <w:pStyle w:val="720"/>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default" w:ascii="Times New Roman" w:hAnsi="Times New Roman" w:cs="Times New Roman"/>
                <w:b w:val="0"/>
                <w:bCs/>
                <w:sz w:val="21"/>
                <w:szCs w:val="21"/>
              </w:rPr>
            </w:pPr>
            <w:r>
              <w:rPr>
                <w:rFonts w:hint="default" w:ascii="Times New Roman" w:hAnsi="Times New Roman" w:eastAsia="宋体" w:cs="Times New Roman"/>
                <w:b w:val="0"/>
                <w:bCs/>
                <w:color w:val="auto"/>
                <w:sz w:val="21"/>
                <w:szCs w:val="21"/>
                <w:highlight w:val="none"/>
                <w:lang w:val="en-US" w:eastAsia="zh-CN"/>
              </w:rPr>
              <w:t>30</w:t>
            </w:r>
          </w:p>
        </w:tc>
        <w:tc>
          <w:tcPr>
            <w:tcW w:w="321" w:type="pct"/>
            <w:vMerge w:val="restart"/>
            <w:tcBorders>
              <w:top w:val="single" w:color="000000" w:sz="4" w:space="0"/>
              <w:left w:val="single" w:color="000000" w:sz="4" w:space="0"/>
              <w:right w:val="single" w:color="000000" w:sz="4" w:space="0"/>
            </w:tcBorders>
            <w:noWrap w:val="0"/>
            <w:tcMar>
              <w:left w:w="108" w:type="dxa"/>
              <w:right w:w="108" w:type="dxa"/>
            </w:tcMar>
            <w:vAlign w:val="center"/>
          </w:tcPr>
          <w:p w14:paraId="0E727CB9">
            <w:pPr>
              <w:pStyle w:val="720"/>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default" w:ascii="Times New Roman" w:hAnsi="Times New Roman" w:cs="Times New Roman"/>
                <w:b w:val="0"/>
                <w:bCs/>
                <w:sz w:val="21"/>
                <w:szCs w:val="21"/>
              </w:rPr>
            </w:pPr>
            <w:r>
              <w:rPr>
                <w:rFonts w:hint="default" w:ascii="Times New Roman" w:hAnsi="Times New Roman" w:eastAsia="Times New Roman" w:cs="Times New Roman"/>
                <w:b w:val="0"/>
                <w:bCs/>
                <w:kern w:val="2"/>
                <w:sz w:val="21"/>
                <w:szCs w:val="21"/>
                <w:lang w:val="en-US" w:eastAsia="zh-CN" w:bidi="ar-SA"/>
              </w:rPr>
              <w:t>1.8</w:t>
            </w:r>
          </w:p>
        </w:tc>
        <w:tc>
          <w:tcPr>
            <w:tcW w:w="343" w:type="pct"/>
            <w:vMerge w:val="restart"/>
            <w:tcBorders>
              <w:top w:val="single" w:color="000000" w:sz="4" w:space="0"/>
              <w:left w:val="single" w:color="000000" w:sz="4" w:space="0"/>
              <w:right w:val="single" w:color="000000" w:sz="4" w:space="0"/>
            </w:tcBorders>
            <w:noWrap w:val="0"/>
            <w:tcMar>
              <w:left w:w="108" w:type="dxa"/>
              <w:right w:w="108" w:type="dxa"/>
            </w:tcMar>
            <w:vAlign w:val="center"/>
          </w:tcPr>
          <w:p w14:paraId="45139AEF">
            <w:pPr>
              <w:pStyle w:val="720"/>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default" w:ascii="Times New Roman" w:hAnsi="Times New Roman" w:cs="Times New Roman"/>
                <w:b w:val="0"/>
                <w:bCs/>
                <w:sz w:val="21"/>
                <w:szCs w:val="21"/>
              </w:rPr>
            </w:pPr>
            <w:r>
              <w:rPr>
                <w:rFonts w:hint="default" w:ascii="Times New Roman" w:hAnsi="Times New Roman" w:eastAsia="宋体" w:cs="Times New Roman"/>
                <w:b w:val="0"/>
                <w:bCs/>
                <w:spacing w:val="-2"/>
                <w:sz w:val="21"/>
                <w:szCs w:val="21"/>
                <w:lang w:val="en-US" w:eastAsia="zh-CN"/>
              </w:rPr>
              <w:t>常温</w:t>
            </w:r>
          </w:p>
        </w:tc>
        <w:tc>
          <w:tcPr>
            <w:tcW w:w="431" w:type="pct"/>
            <w:vMerge w:val="restart"/>
            <w:tcBorders>
              <w:top w:val="single" w:color="000000" w:sz="4" w:space="0"/>
              <w:left w:val="single" w:color="000000" w:sz="4" w:space="0"/>
              <w:right w:val="single" w:color="000000" w:sz="4" w:space="0"/>
            </w:tcBorders>
            <w:noWrap w:val="0"/>
            <w:tcMar>
              <w:left w:w="108" w:type="dxa"/>
              <w:right w:w="108" w:type="dxa"/>
            </w:tcMar>
            <w:vAlign w:val="center"/>
          </w:tcPr>
          <w:p w14:paraId="30152E0F">
            <w:pPr>
              <w:jc w:val="center"/>
              <w:rPr>
                <w:rFonts w:hint="default" w:ascii="Times New Roman" w:hAnsi="Times New Roman" w:eastAsia="宋体" w:cs="Times New Roman"/>
                <w:b w:val="0"/>
                <w:bCs/>
                <w:sz w:val="21"/>
                <w:szCs w:val="21"/>
                <w:lang w:val="en-US" w:eastAsia="zh-CN"/>
              </w:rPr>
            </w:pPr>
            <w:r>
              <w:rPr>
                <w:rFonts w:hint="default" w:ascii="Times New Roman" w:hAnsi="Times New Roman" w:cs="Times New Roman"/>
                <w:b w:val="0"/>
                <w:bCs/>
                <w:sz w:val="21"/>
                <w:szCs w:val="21"/>
                <w:lang w:val="en-US" w:eastAsia="zh-CN"/>
              </w:rPr>
              <w:t>DA014</w:t>
            </w:r>
          </w:p>
        </w:tc>
      </w:tr>
      <w:tr w14:paraId="76146E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162" w:type="pct"/>
            <w:vMerge w:val="continue"/>
            <w:tcBorders>
              <w:left w:val="single" w:color="000000" w:sz="4" w:space="0"/>
              <w:right w:val="single" w:color="000000" w:sz="4" w:space="0"/>
            </w:tcBorders>
            <w:noWrap w:val="0"/>
            <w:tcMar>
              <w:left w:w="108" w:type="dxa"/>
              <w:right w:w="108" w:type="dxa"/>
            </w:tcMar>
            <w:vAlign w:val="center"/>
          </w:tcPr>
          <w:p w14:paraId="16E663E4">
            <w:pPr>
              <w:jc w:val="center"/>
              <w:rPr>
                <w:rFonts w:hint="default" w:ascii="Times New Roman" w:hAnsi="Times New Roman" w:cs="Times New Roman"/>
                <w:b w:val="0"/>
                <w:bCs/>
                <w:sz w:val="21"/>
                <w:szCs w:val="21"/>
              </w:rPr>
            </w:pPr>
          </w:p>
        </w:tc>
        <w:tc>
          <w:tcPr>
            <w:tcW w:w="433" w:type="pct"/>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7CC7725A">
            <w:pPr>
              <w:keepNext w:val="0"/>
              <w:keepLines w:val="0"/>
              <w:widowControl/>
              <w:suppressLineNumbers w:val="0"/>
              <w:jc w:val="center"/>
              <w:textAlignment w:val="center"/>
              <w:rPr>
                <w:rFonts w:hint="default" w:ascii="Times New Roman" w:hAnsi="Times New Roman" w:cs="Times New Roman"/>
                <w:b w:val="0"/>
                <w:bCs/>
                <w:sz w:val="21"/>
                <w:szCs w:val="21"/>
              </w:rPr>
            </w:pPr>
            <w:r>
              <w:rPr>
                <w:rFonts w:hint="default" w:ascii="Times New Roman" w:hAnsi="Times New Roman" w:eastAsia="宋体" w:cs="Times New Roman"/>
                <w:b w:val="0"/>
                <w:bCs/>
                <w:i w:val="0"/>
                <w:iCs w:val="0"/>
                <w:color w:val="000000"/>
                <w:kern w:val="0"/>
                <w:sz w:val="21"/>
                <w:szCs w:val="21"/>
                <w:u w:val="none"/>
                <w:lang w:val="en-US" w:eastAsia="zh-CN" w:bidi="ar"/>
              </w:rPr>
              <w:t>筛分</w:t>
            </w:r>
          </w:p>
        </w:tc>
        <w:tc>
          <w:tcPr>
            <w:tcW w:w="357" w:type="pct"/>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3A3D6E74">
            <w:pPr>
              <w:jc w:val="center"/>
              <w:rPr>
                <w:rFonts w:hint="default" w:ascii="Times New Roman" w:hAnsi="Times New Roman" w:cs="Times New Roman"/>
                <w:b w:val="0"/>
                <w:bCs/>
                <w:sz w:val="21"/>
                <w:szCs w:val="21"/>
              </w:rPr>
            </w:pPr>
            <w:r>
              <w:rPr>
                <w:rFonts w:hint="default" w:ascii="Times New Roman" w:hAnsi="Times New Roman" w:cs="Times New Roman"/>
                <w:b w:val="0"/>
                <w:bCs/>
                <w:sz w:val="21"/>
                <w:szCs w:val="21"/>
              </w:rPr>
              <w:t>颗粒物</w:t>
            </w:r>
          </w:p>
        </w:tc>
        <w:tc>
          <w:tcPr>
            <w:tcW w:w="684" w:type="pct"/>
            <w:vMerge w:val="continue"/>
            <w:tcBorders>
              <w:left w:val="single" w:color="000000" w:sz="4" w:space="0"/>
              <w:bottom w:val="single" w:color="000000" w:sz="4" w:space="0"/>
              <w:right w:val="single" w:color="000000" w:sz="4" w:space="0"/>
            </w:tcBorders>
            <w:noWrap w:val="0"/>
            <w:tcMar>
              <w:left w:w="108" w:type="dxa"/>
              <w:right w:w="108" w:type="dxa"/>
            </w:tcMar>
            <w:vAlign w:val="center"/>
          </w:tcPr>
          <w:p w14:paraId="57B639E0">
            <w:pPr>
              <w:jc w:val="center"/>
              <w:rPr>
                <w:rFonts w:hint="default" w:ascii="Times New Roman" w:hAnsi="Times New Roman" w:cs="Times New Roman"/>
                <w:b w:val="0"/>
                <w:bCs/>
                <w:sz w:val="21"/>
                <w:szCs w:val="21"/>
              </w:rPr>
            </w:pPr>
          </w:p>
        </w:tc>
        <w:tc>
          <w:tcPr>
            <w:tcW w:w="428" w:type="pct"/>
            <w:vMerge w:val="continue"/>
            <w:tcBorders>
              <w:left w:val="single" w:color="000000" w:sz="4" w:space="0"/>
              <w:bottom w:val="single" w:color="000000" w:sz="4" w:space="0"/>
              <w:right w:val="single" w:color="000000" w:sz="4" w:space="0"/>
            </w:tcBorders>
            <w:noWrap w:val="0"/>
            <w:tcMar>
              <w:left w:w="108" w:type="dxa"/>
              <w:right w:w="108" w:type="dxa"/>
            </w:tcMar>
            <w:vAlign w:val="center"/>
          </w:tcPr>
          <w:p w14:paraId="58E37E32">
            <w:pPr>
              <w:jc w:val="center"/>
              <w:rPr>
                <w:rFonts w:hint="default" w:ascii="Times New Roman" w:hAnsi="Times New Roman" w:cs="Times New Roman"/>
                <w:b w:val="0"/>
                <w:bCs/>
                <w:sz w:val="21"/>
                <w:szCs w:val="21"/>
              </w:rPr>
            </w:pPr>
          </w:p>
        </w:tc>
        <w:tc>
          <w:tcPr>
            <w:tcW w:w="343" w:type="pct"/>
            <w:vMerge w:val="continue"/>
            <w:tcBorders>
              <w:left w:val="single" w:color="000000" w:sz="4" w:space="0"/>
              <w:bottom w:val="single" w:color="000000" w:sz="4" w:space="0"/>
              <w:right w:val="single" w:color="000000" w:sz="4" w:space="0"/>
            </w:tcBorders>
            <w:noWrap w:val="0"/>
            <w:tcMar>
              <w:left w:w="108" w:type="dxa"/>
              <w:right w:w="108" w:type="dxa"/>
            </w:tcMar>
            <w:vAlign w:val="center"/>
          </w:tcPr>
          <w:p w14:paraId="085FA7BD">
            <w:pPr>
              <w:jc w:val="center"/>
              <w:rPr>
                <w:rFonts w:hint="default" w:ascii="Times New Roman" w:hAnsi="Times New Roman" w:eastAsia="宋体" w:cs="Times New Roman"/>
                <w:b w:val="0"/>
                <w:bCs/>
                <w:sz w:val="21"/>
                <w:szCs w:val="21"/>
                <w:lang w:val="en-US" w:eastAsia="zh-CN"/>
              </w:rPr>
            </w:pPr>
          </w:p>
        </w:tc>
        <w:tc>
          <w:tcPr>
            <w:tcW w:w="589" w:type="pct"/>
            <w:vMerge w:val="continue"/>
            <w:tcBorders>
              <w:left w:val="single" w:color="000000" w:sz="4" w:space="0"/>
              <w:bottom w:val="single" w:color="000000" w:sz="4" w:space="0"/>
              <w:right w:val="single" w:color="000000" w:sz="4" w:space="0"/>
            </w:tcBorders>
            <w:noWrap w:val="0"/>
            <w:tcMar>
              <w:left w:w="108" w:type="dxa"/>
              <w:right w:w="108" w:type="dxa"/>
            </w:tcMar>
            <w:vAlign w:val="center"/>
          </w:tcPr>
          <w:p w14:paraId="74A1A17E">
            <w:pPr>
              <w:jc w:val="center"/>
              <w:rPr>
                <w:rFonts w:hint="default" w:ascii="Times New Roman" w:hAnsi="Times New Roman" w:cs="Times New Roman"/>
                <w:b w:val="0"/>
                <w:bCs w:val="0"/>
                <w:sz w:val="21"/>
                <w:szCs w:val="21"/>
              </w:rPr>
            </w:pPr>
          </w:p>
        </w:tc>
        <w:tc>
          <w:tcPr>
            <w:tcW w:w="585" w:type="pct"/>
            <w:vMerge w:val="continue"/>
            <w:tcBorders>
              <w:left w:val="single" w:color="000000" w:sz="4" w:space="0"/>
              <w:bottom w:val="single" w:color="000000" w:sz="4" w:space="0"/>
              <w:right w:val="single" w:color="000000" w:sz="4" w:space="0"/>
            </w:tcBorders>
            <w:noWrap w:val="0"/>
            <w:tcMar>
              <w:left w:w="108" w:type="dxa"/>
              <w:right w:w="108" w:type="dxa"/>
            </w:tcMar>
            <w:vAlign w:val="center"/>
          </w:tcPr>
          <w:p w14:paraId="732DAEF4">
            <w:pPr>
              <w:jc w:val="center"/>
              <w:rPr>
                <w:rFonts w:hint="default" w:ascii="Times New Roman" w:hAnsi="Times New Roman" w:cs="Times New Roman"/>
                <w:b w:val="0"/>
                <w:bCs/>
                <w:sz w:val="21"/>
                <w:szCs w:val="21"/>
              </w:rPr>
            </w:pPr>
          </w:p>
        </w:tc>
        <w:tc>
          <w:tcPr>
            <w:tcW w:w="321" w:type="pct"/>
            <w:vMerge w:val="continue"/>
            <w:tcBorders>
              <w:left w:val="single" w:color="000000" w:sz="4" w:space="0"/>
              <w:bottom w:val="single" w:color="000000" w:sz="4" w:space="0"/>
              <w:right w:val="single" w:color="000000" w:sz="4" w:space="0"/>
            </w:tcBorders>
            <w:noWrap w:val="0"/>
            <w:tcMar>
              <w:left w:w="108" w:type="dxa"/>
              <w:right w:w="108" w:type="dxa"/>
            </w:tcMar>
            <w:vAlign w:val="center"/>
          </w:tcPr>
          <w:p w14:paraId="4EF92748">
            <w:pPr>
              <w:jc w:val="center"/>
              <w:rPr>
                <w:rFonts w:hint="default" w:ascii="Times New Roman" w:hAnsi="Times New Roman" w:cs="Times New Roman"/>
                <w:b w:val="0"/>
                <w:bCs/>
                <w:sz w:val="21"/>
                <w:szCs w:val="21"/>
              </w:rPr>
            </w:pPr>
          </w:p>
        </w:tc>
        <w:tc>
          <w:tcPr>
            <w:tcW w:w="321" w:type="pct"/>
            <w:vMerge w:val="continue"/>
            <w:tcBorders>
              <w:left w:val="single" w:color="000000" w:sz="4" w:space="0"/>
              <w:bottom w:val="single" w:color="000000" w:sz="4" w:space="0"/>
              <w:right w:val="single" w:color="000000" w:sz="4" w:space="0"/>
            </w:tcBorders>
            <w:noWrap w:val="0"/>
            <w:tcMar>
              <w:left w:w="108" w:type="dxa"/>
              <w:right w:w="108" w:type="dxa"/>
            </w:tcMar>
            <w:vAlign w:val="center"/>
          </w:tcPr>
          <w:p w14:paraId="6D56AFBA">
            <w:pPr>
              <w:jc w:val="center"/>
              <w:rPr>
                <w:rFonts w:hint="default" w:ascii="Times New Roman" w:hAnsi="Times New Roman" w:cs="Times New Roman"/>
                <w:b w:val="0"/>
                <w:bCs/>
                <w:sz w:val="21"/>
                <w:szCs w:val="21"/>
              </w:rPr>
            </w:pPr>
          </w:p>
        </w:tc>
        <w:tc>
          <w:tcPr>
            <w:tcW w:w="343" w:type="pct"/>
            <w:vMerge w:val="continue"/>
            <w:tcBorders>
              <w:left w:val="single" w:color="000000" w:sz="4" w:space="0"/>
              <w:bottom w:val="single" w:color="000000" w:sz="4" w:space="0"/>
              <w:right w:val="single" w:color="000000" w:sz="4" w:space="0"/>
            </w:tcBorders>
            <w:noWrap w:val="0"/>
            <w:tcMar>
              <w:left w:w="108" w:type="dxa"/>
              <w:right w:w="108" w:type="dxa"/>
            </w:tcMar>
            <w:vAlign w:val="center"/>
          </w:tcPr>
          <w:p w14:paraId="4EB7E88A">
            <w:pPr>
              <w:jc w:val="center"/>
              <w:rPr>
                <w:rFonts w:hint="default" w:ascii="Times New Roman" w:hAnsi="Times New Roman" w:cs="Times New Roman"/>
                <w:b w:val="0"/>
                <w:bCs/>
                <w:sz w:val="21"/>
                <w:szCs w:val="21"/>
              </w:rPr>
            </w:pPr>
          </w:p>
        </w:tc>
        <w:tc>
          <w:tcPr>
            <w:tcW w:w="431" w:type="pct"/>
            <w:vMerge w:val="continue"/>
            <w:tcBorders>
              <w:left w:val="single" w:color="000000" w:sz="4" w:space="0"/>
              <w:bottom w:val="single" w:color="000000" w:sz="4" w:space="0"/>
              <w:right w:val="single" w:color="000000" w:sz="4" w:space="0"/>
            </w:tcBorders>
            <w:noWrap w:val="0"/>
            <w:tcMar>
              <w:left w:w="108" w:type="dxa"/>
              <w:right w:w="108" w:type="dxa"/>
            </w:tcMar>
            <w:vAlign w:val="center"/>
          </w:tcPr>
          <w:p w14:paraId="6773C7A3">
            <w:pPr>
              <w:jc w:val="center"/>
              <w:rPr>
                <w:rFonts w:hint="default" w:ascii="Times New Roman" w:hAnsi="Times New Roman" w:cs="Times New Roman"/>
                <w:b w:val="0"/>
                <w:bCs/>
                <w:sz w:val="21"/>
                <w:szCs w:val="21"/>
              </w:rPr>
            </w:pPr>
          </w:p>
        </w:tc>
      </w:tr>
      <w:tr w14:paraId="283AB0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162" w:type="pct"/>
            <w:vMerge w:val="continue"/>
            <w:tcBorders>
              <w:left w:val="single" w:color="000000" w:sz="4" w:space="0"/>
              <w:right w:val="single" w:color="000000" w:sz="4" w:space="0"/>
            </w:tcBorders>
            <w:noWrap w:val="0"/>
            <w:tcMar>
              <w:left w:w="108" w:type="dxa"/>
              <w:right w:w="108" w:type="dxa"/>
            </w:tcMar>
            <w:vAlign w:val="center"/>
          </w:tcPr>
          <w:p w14:paraId="664AE9AA">
            <w:pPr>
              <w:jc w:val="center"/>
              <w:rPr>
                <w:rFonts w:hint="default" w:ascii="Times New Roman" w:hAnsi="Times New Roman" w:cs="Times New Roman"/>
                <w:b w:val="0"/>
                <w:bCs/>
                <w:sz w:val="21"/>
                <w:szCs w:val="21"/>
              </w:rPr>
            </w:pPr>
          </w:p>
        </w:tc>
        <w:tc>
          <w:tcPr>
            <w:tcW w:w="433" w:type="pct"/>
            <w:vMerge w:val="restart"/>
            <w:tcBorders>
              <w:top w:val="single" w:color="000000" w:sz="4" w:space="0"/>
              <w:left w:val="single" w:color="000000" w:sz="4" w:space="0"/>
              <w:right w:val="single" w:color="000000" w:sz="4" w:space="0"/>
            </w:tcBorders>
            <w:noWrap w:val="0"/>
            <w:tcMar>
              <w:left w:w="108" w:type="dxa"/>
              <w:right w:w="108" w:type="dxa"/>
            </w:tcMar>
            <w:vAlign w:val="center"/>
          </w:tcPr>
          <w:p w14:paraId="1226A090">
            <w:pPr>
              <w:keepNext w:val="0"/>
              <w:keepLines w:val="0"/>
              <w:widowControl/>
              <w:suppressLineNumbers w:val="0"/>
              <w:jc w:val="center"/>
              <w:textAlignment w:val="center"/>
              <w:rPr>
                <w:rFonts w:hint="default" w:ascii="Times New Roman" w:hAnsi="Times New Roman" w:eastAsia="宋体" w:cs="Times New Roman"/>
                <w:b w:val="0"/>
                <w:bCs/>
                <w:i w:val="0"/>
                <w:iCs w:val="0"/>
                <w:color w:val="000000"/>
                <w:kern w:val="0"/>
                <w:sz w:val="21"/>
                <w:szCs w:val="21"/>
                <w:u w:val="none"/>
                <w:lang w:val="en-US" w:eastAsia="zh-CN" w:bidi="ar"/>
              </w:rPr>
            </w:pPr>
            <w:r>
              <w:rPr>
                <w:rFonts w:hint="default" w:ascii="Times New Roman" w:hAnsi="Times New Roman" w:eastAsia="宋体" w:cs="Times New Roman"/>
                <w:b w:val="0"/>
                <w:bCs/>
                <w:i w:val="0"/>
                <w:iCs w:val="0"/>
                <w:color w:val="000000"/>
                <w:kern w:val="0"/>
                <w:sz w:val="21"/>
                <w:szCs w:val="21"/>
                <w:u w:val="none"/>
                <w:lang w:val="en-US" w:eastAsia="zh-CN" w:bidi="ar"/>
              </w:rPr>
              <w:t>竖炉焙烧</w:t>
            </w:r>
          </w:p>
        </w:tc>
        <w:tc>
          <w:tcPr>
            <w:tcW w:w="357" w:type="pct"/>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5628B02F">
            <w:pPr>
              <w:jc w:val="center"/>
              <w:rPr>
                <w:rFonts w:hint="default" w:ascii="Times New Roman" w:hAnsi="Times New Roman" w:cs="Times New Roman"/>
                <w:b w:val="0"/>
                <w:bCs/>
                <w:sz w:val="21"/>
                <w:szCs w:val="21"/>
              </w:rPr>
            </w:pPr>
            <w:r>
              <w:rPr>
                <w:rFonts w:hint="default" w:ascii="Times New Roman" w:hAnsi="Times New Roman" w:cs="Times New Roman"/>
                <w:b w:val="0"/>
                <w:bCs/>
                <w:sz w:val="21"/>
                <w:szCs w:val="21"/>
              </w:rPr>
              <w:t>颗粒物</w:t>
            </w:r>
          </w:p>
        </w:tc>
        <w:tc>
          <w:tcPr>
            <w:tcW w:w="684" w:type="pct"/>
            <w:vMerge w:val="restart"/>
            <w:tcBorders>
              <w:top w:val="single" w:color="000000" w:sz="4" w:space="0"/>
              <w:left w:val="single" w:color="000000" w:sz="4" w:space="0"/>
              <w:right w:val="single" w:color="000000" w:sz="4" w:space="0"/>
            </w:tcBorders>
            <w:noWrap w:val="0"/>
            <w:tcMar>
              <w:left w:w="108" w:type="dxa"/>
              <w:right w:w="108" w:type="dxa"/>
            </w:tcMar>
            <w:vAlign w:val="center"/>
          </w:tcPr>
          <w:p w14:paraId="53F62E49">
            <w:pPr>
              <w:jc w:val="center"/>
              <w:rPr>
                <w:rFonts w:hint="default" w:ascii="Times New Roman" w:hAnsi="Times New Roman" w:cs="Times New Roman"/>
                <w:b w:val="0"/>
                <w:bCs/>
                <w:sz w:val="21"/>
                <w:szCs w:val="21"/>
              </w:rPr>
            </w:pPr>
            <w:r>
              <w:rPr>
                <w:rFonts w:hint="default" w:ascii="Times New Roman" w:hAnsi="Times New Roman" w:cs="Times New Roman"/>
                <w:b w:val="0"/>
                <w:bCs/>
                <w:sz w:val="21"/>
                <w:szCs w:val="21"/>
              </w:rPr>
              <w:t>电除尘器+</w:t>
            </w:r>
            <w:r>
              <w:rPr>
                <w:rFonts w:hint="default" w:ascii="Times New Roman" w:hAnsi="Times New Roman" w:cs="Times New Roman"/>
                <w:b w:val="0"/>
                <w:bCs/>
                <w:sz w:val="21"/>
                <w:szCs w:val="21"/>
                <w:lang w:val="en-US" w:eastAsia="zh-CN"/>
              </w:rPr>
              <w:t>石灰石-石膏脱硫</w:t>
            </w:r>
            <w:r>
              <w:rPr>
                <w:rFonts w:hint="default" w:ascii="Times New Roman" w:hAnsi="Times New Roman" w:cs="Times New Roman"/>
                <w:b w:val="0"/>
                <w:bCs/>
                <w:sz w:val="21"/>
                <w:szCs w:val="21"/>
              </w:rPr>
              <w:t>+SCR脱硝</w:t>
            </w:r>
          </w:p>
        </w:tc>
        <w:tc>
          <w:tcPr>
            <w:tcW w:w="428" w:type="pct"/>
            <w:vMerge w:val="restart"/>
            <w:tcBorders>
              <w:top w:val="single" w:color="000000" w:sz="4" w:space="0"/>
              <w:left w:val="single" w:color="000000" w:sz="4" w:space="0"/>
              <w:right w:val="single" w:color="000000" w:sz="4" w:space="0"/>
            </w:tcBorders>
            <w:noWrap w:val="0"/>
            <w:tcMar>
              <w:left w:w="108" w:type="dxa"/>
              <w:right w:w="108" w:type="dxa"/>
            </w:tcMar>
            <w:vAlign w:val="center"/>
          </w:tcPr>
          <w:p w14:paraId="0595B656">
            <w:pPr>
              <w:jc w:val="center"/>
              <w:rPr>
                <w:rFonts w:hint="default" w:ascii="Times New Roman" w:hAnsi="Times New Roman" w:eastAsia="宋体" w:cs="Times New Roman"/>
                <w:b w:val="0"/>
                <w:bCs/>
                <w:sz w:val="21"/>
                <w:szCs w:val="21"/>
                <w:lang w:val="en-US" w:eastAsia="zh-CN"/>
              </w:rPr>
            </w:pPr>
            <w:r>
              <w:rPr>
                <w:rFonts w:hint="default" w:ascii="Times New Roman" w:hAnsi="Times New Roman" w:cs="Times New Roman"/>
                <w:b w:val="0"/>
                <w:bCs/>
                <w:sz w:val="21"/>
                <w:szCs w:val="21"/>
                <w:lang w:val="en-US" w:eastAsia="zh-CN"/>
              </w:rPr>
              <w:t>180000</w:t>
            </w:r>
          </w:p>
        </w:tc>
        <w:tc>
          <w:tcPr>
            <w:tcW w:w="0" w:type="auto"/>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0E3A1D25">
            <w:pPr>
              <w:jc w:val="center"/>
              <w:rPr>
                <w:rFonts w:hint="default" w:ascii="Times New Roman" w:hAnsi="Times New Roman" w:cs="Times New Roman"/>
                <w:b w:val="0"/>
                <w:bCs/>
                <w:sz w:val="21"/>
                <w:szCs w:val="21"/>
                <w:lang w:val="en-US" w:eastAsia="zh-CN"/>
              </w:rPr>
            </w:pPr>
            <w:r>
              <w:rPr>
                <w:rFonts w:hint="default" w:ascii="Times New Roman" w:hAnsi="Times New Roman" w:cs="Times New Roman"/>
                <w:b w:val="0"/>
                <w:bCs/>
                <w:sz w:val="21"/>
                <w:szCs w:val="21"/>
                <w:lang w:val="en-US" w:eastAsia="zh-CN"/>
              </w:rPr>
              <w:t>0</w:t>
            </w:r>
          </w:p>
        </w:tc>
        <w:tc>
          <w:tcPr>
            <w:tcW w:w="589" w:type="pct"/>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7998FF17">
            <w:pPr>
              <w:keepNext w:val="0"/>
              <w:keepLines w:val="0"/>
              <w:widowControl/>
              <w:suppressLineNumbers w:val="0"/>
              <w:jc w:val="center"/>
              <w:textAlignment w:val="center"/>
              <w:rPr>
                <w:rFonts w:hint="default" w:ascii="Times New Roman" w:hAnsi="Times New Roman" w:cs="Times New Roman"/>
                <w:b w:val="0"/>
                <w:bCs w:val="0"/>
                <w:sz w:val="21"/>
                <w:szCs w:val="21"/>
              </w:rPr>
            </w:pPr>
            <w:r>
              <w:rPr>
                <w:rFonts w:hint="default" w:ascii="Times New Roman" w:hAnsi="Times New Roman" w:eastAsia="宋体" w:cs="Times New Roman"/>
                <w:b w:val="0"/>
                <w:bCs w:val="0"/>
                <w:i w:val="0"/>
                <w:iCs w:val="0"/>
                <w:color w:val="000000"/>
                <w:kern w:val="0"/>
                <w:sz w:val="21"/>
                <w:szCs w:val="21"/>
                <w:u w:val="none"/>
                <w:lang w:val="en-US" w:eastAsia="zh-CN" w:bidi="ar"/>
              </w:rPr>
              <w:t>2000</w:t>
            </w:r>
          </w:p>
        </w:tc>
        <w:tc>
          <w:tcPr>
            <w:tcW w:w="585" w:type="pct"/>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5A0ABE8F">
            <w:pPr>
              <w:keepNext w:val="0"/>
              <w:keepLines w:val="0"/>
              <w:widowControl/>
              <w:suppressLineNumbers w:val="0"/>
              <w:jc w:val="center"/>
              <w:textAlignment w:val="center"/>
              <w:rPr>
                <w:rFonts w:hint="default" w:ascii="Times New Roman" w:hAnsi="Times New Roman" w:cs="Times New Roman"/>
                <w:b w:val="0"/>
                <w:bCs/>
                <w:sz w:val="21"/>
                <w:szCs w:val="21"/>
              </w:rPr>
            </w:pPr>
            <w:r>
              <w:rPr>
                <w:rFonts w:hint="default" w:ascii="Times New Roman" w:hAnsi="Times New Roman" w:eastAsia="宋体" w:cs="Times New Roman"/>
                <w:b w:val="0"/>
                <w:bCs/>
                <w:i w:val="0"/>
                <w:iCs w:val="0"/>
                <w:color w:val="000000"/>
                <w:kern w:val="0"/>
                <w:sz w:val="21"/>
                <w:szCs w:val="21"/>
                <w:u w:val="none"/>
                <w:lang w:val="en-US" w:eastAsia="zh-CN" w:bidi="ar"/>
              </w:rPr>
              <w:t>360</w:t>
            </w:r>
          </w:p>
        </w:tc>
        <w:tc>
          <w:tcPr>
            <w:tcW w:w="321" w:type="pct"/>
            <w:vMerge w:val="restart"/>
            <w:tcBorders>
              <w:top w:val="single" w:color="000000" w:sz="4" w:space="0"/>
              <w:left w:val="single" w:color="000000" w:sz="4" w:space="0"/>
              <w:right w:val="single" w:color="000000" w:sz="4" w:space="0"/>
            </w:tcBorders>
            <w:noWrap w:val="0"/>
            <w:tcMar>
              <w:left w:w="108" w:type="dxa"/>
              <w:right w:w="108" w:type="dxa"/>
            </w:tcMar>
            <w:vAlign w:val="center"/>
          </w:tcPr>
          <w:p w14:paraId="1DF1DC72">
            <w:pPr>
              <w:pStyle w:val="720"/>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default" w:ascii="Times New Roman" w:hAnsi="Times New Roman" w:cs="Times New Roman"/>
                <w:b w:val="0"/>
                <w:bCs/>
                <w:sz w:val="21"/>
                <w:szCs w:val="21"/>
              </w:rPr>
            </w:pPr>
            <w:r>
              <w:rPr>
                <w:rFonts w:hint="default" w:ascii="Times New Roman" w:hAnsi="Times New Roman" w:eastAsia="宋体" w:cs="Times New Roman"/>
                <w:b w:val="0"/>
                <w:bCs/>
                <w:color w:val="auto"/>
                <w:sz w:val="21"/>
                <w:szCs w:val="21"/>
                <w:highlight w:val="none"/>
                <w:lang w:val="en-US" w:eastAsia="zh-CN"/>
              </w:rPr>
              <w:t>60</w:t>
            </w:r>
          </w:p>
        </w:tc>
        <w:tc>
          <w:tcPr>
            <w:tcW w:w="321" w:type="pct"/>
            <w:vMerge w:val="restart"/>
            <w:tcBorders>
              <w:top w:val="single" w:color="000000" w:sz="4" w:space="0"/>
              <w:left w:val="single" w:color="000000" w:sz="4" w:space="0"/>
              <w:right w:val="single" w:color="000000" w:sz="4" w:space="0"/>
            </w:tcBorders>
            <w:noWrap w:val="0"/>
            <w:tcMar>
              <w:left w:w="108" w:type="dxa"/>
              <w:right w:w="108" w:type="dxa"/>
            </w:tcMar>
            <w:vAlign w:val="center"/>
          </w:tcPr>
          <w:p w14:paraId="174F3527">
            <w:pPr>
              <w:pStyle w:val="720"/>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default" w:ascii="Times New Roman" w:hAnsi="Times New Roman" w:cs="Times New Roman"/>
                <w:b w:val="0"/>
                <w:bCs/>
                <w:sz w:val="21"/>
                <w:szCs w:val="21"/>
              </w:rPr>
            </w:pPr>
            <w:r>
              <w:rPr>
                <w:rFonts w:hint="default" w:ascii="Times New Roman" w:hAnsi="Times New Roman" w:eastAsia="宋体" w:cs="Times New Roman"/>
                <w:b w:val="0"/>
                <w:bCs/>
                <w:sz w:val="21"/>
                <w:szCs w:val="21"/>
                <w:lang w:val="en-US" w:eastAsia="zh-CN"/>
              </w:rPr>
              <w:t>1.8</w:t>
            </w:r>
          </w:p>
        </w:tc>
        <w:tc>
          <w:tcPr>
            <w:tcW w:w="343" w:type="pct"/>
            <w:vMerge w:val="restart"/>
            <w:tcBorders>
              <w:top w:val="single" w:color="000000" w:sz="4" w:space="0"/>
              <w:left w:val="single" w:color="000000" w:sz="4" w:space="0"/>
              <w:right w:val="single" w:color="000000" w:sz="4" w:space="0"/>
            </w:tcBorders>
            <w:noWrap w:val="0"/>
            <w:tcMar>
              <w:left w:w="108" w:type="dxa"/>
              <w:right w:w="108" w:type="dxa"/>
            </w:tcMar>
            <w:vAlign w:val="center"/>
          </w:tcPr>
          <w:p w14:paraId="0D5C0A39">
            <w:pPr>
              <w:pStyle w:val="720"/>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default" w:ascii="Times New Roman" w:hAnsi="Times New Roman" w:cs="Times New Roman"/>
                <w:b w:val="0"/>
                <w:bCs/>
                <w:sz w:val="21"/>
                <w:szCs w:val="21"/>
              </w:rPr>
            </w:pPr>
            <w:r>
              <w:rPr>
                <w:rFonts w:hint="default" w:ascii="Times New Roman" w:hAnsi="Times New Roman" w:eastAsia="宋体" w:cs="Times New Roman"/>
                <w:b w:val="0"/>
                <w:bCs/>
                <w:spacing w:val="-2"/>
                <w:sz w:val="21"/>
                <w:szCs w:val="21"/>
                <w:lang w:val="en-US" w:eastAsia="zh-CN"/>
              </w:rPr>
              <w:t>120</w:t>
            </w:r>
          </w:p>
        </w:tc>
        <w:tc>
          <w:tcPr>
            <w:tcW w:w="431" w:type="pct"/>
            <w:vMerge w:val="restart"/>
            <w:tcBorders>
              <w:top w:val="single" w:color="000000" w:sz="4" w:space="0"/>
              <w:left w:val="single" w:color="000000" w:sz="4" w:space="0"/>
              <w:right w:val="single" w:color="000000" w:sz="4" w:space="0"/>
            </w:tcBorders>
            <w:noWrap w:val="0"/>
            <w:tcMar>
              <w:left w:w="108" w:type="dxa"/>
              <w:right w:w="108" w:type="dxa"/>
            </w:tcMar>
            <w:vAlign w:val="center"/>
          </w:tcPr>
          <w:p w14:paraId="53D897B7">
            <w:pPr>
              <w:jc w:val="center"/>
              <w:rPr>
                <w:rFonts w:hint="default" w:ascii="Times New Roman" w:hAnsi="Times New Roman" w:eastAsia="宋体" w:cs="Times New Roman"/>
                <w:b w:val="0"/>
                <w:bCs/>
                <w:sz w:val="21"/>
                <w:szCs w:val="21"/>
                <w:lang w:val="en-US" w:eastAsia="zh-CN"/>
              </w:rPr>
            </w:pPr>
            <w:r>
              <w:rPr>
                <w:rFonts w:hint="default" w:ascii="Times New Roman" w:hAnsi="Times New Roman" w:cs="Times New Roman"/>
                <w:b w:val="0"/>
                <w:bCs/>
                <w:sz w:val="21"/>
                <w:szCs w:val="21"/>
                <w:lang w:val="en-US" w:eastAsia="zh-CN"/>
              </w:rPr>
              <w:t>DA011</w:t>
            </w:r>
          </w:p>
        </w:tc>
      </w:tr>
      <w:tr w14:paraId="7E71ED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162" w:type="pct"/>
            <w:vMerge w:val="continue"/>
            <w:tcBorders>
              <w:left w:val="single" w:color="000000" w:sz="4" w:space="0"/>
              <w:right w:val="single" w:color="000000" w:sz="4" w:space="0"/>
            </w:tcBorders>
            <w:noWrap w:val="0"/>
            <w:tcMar>
              <w:left w:w="108" w:type="dxa"/>
              <w:right w:w="108" w:type="dxa"/>
            </w:tcMar>
            <w:vAlign w:val="center"/>
          </w:tcPr>
          <w:p w14:paraId="185B77D7">
            <w:pPr>
              <w:jc w:val="center"/>
              <w:rPr>
                <w:rFonts w:hint="default" w:ascii="Times New Roman" w:hAnsi="Times New Roman" w:cs="Times New Roman"/>
                <w:b w:val="0"/>
                <w:bCs/>
                <w:sz w:val="21"/>
                <w:szCs w:val="21"/>
              </w:rPr>
            </w:pPr>
          </w:p>
        </w:tc>
        <w:tc>
          <w:tcPr>
            <w:tcW w:w="433" w:type="pct"/>
            <w:vMerge w:val="continue"/>
            <w:tcBorders>
              <w:left w:val="single" w:color="000000" w:sz="4" w:space="0"/>
              <w:right w:val="single" w:color="000000" w:sz="4" w:space="0"/>
            </w:tcBorders>
            <w:noWrap w:val="0"/>
            <w:tcMar>
              <w:left w:w="108" w:type="dxa"/>
              <w:right w:w="108" w:type="dxa"/>
            </w:tcMar>
            <w:vAlign w:val="center"/>
          </w:tcPr>
          <w:p w14:paraId="1AD28637">
            <w:pPr>
              <w:keepNext w:val="0"/>
              <w:keepLines w:val="0"/>
              <w:widowControl/>
              <w:suppressLineNumbers w:val="0"/>
              <w:jc w:val="center"/>
              <w:textAlignment w:val="center"/>
              <w:rPr>
                <w:rFonts w:hint="default" w:ascii="Times New Roman" w:hAnsi="Times New Roman" w:eastAsia="宋体" w:cs="Times New Roman"/>
                <w:b w:val="0"/>
                <w:bCs/>
                <w:i w:val="0"/>
                <w:iCs w:val="0"/>
                <w:color w:val="000000"/>
                <w:kern w:val="0"/>
                <w:sz w:val="21"/>
                <w:szCs w:val="21"/>
                <w:u w:val="none"/>
                <w:lang w:val="en-US" w:eastAsia="zh-CN" w:bidi="ar"/>
              </w:rPr>
            </w:pPr>
          </w:p>
        </w:tc>
        <w:tc>
          <w:tcPr>
            <w:tcW w:w="357" w:type="pct"/>
            <w:tcBorders>
              <w:top w:val="single" w:color="000000" w:sz="4" w:space="0"/>
              <w:left w:val="single" w:color="000000" w:sz="4" w:space="0"/>
              <w:bottom w:val="single" w:color="000000" w:sz="4" w:space="0"/>
              <w:right w:val="single" w:color="000000" w:sz="4" w:space="0"/>
            </w:tcBorders>
            <w:shd w:val="clear" w:color="auto" w:fill="auto"/>
            <w:noWrap w:val="0"/>
            <w:tcMar>
              <w:left w:w="108" w:type="dxa"/>
              <w:right w:w="108" w:type="dxa"/>
            </w:tcMar>
            <w:vAlign w:val="center"/>
          </w:tcPr>
          <w:p w14:paraId="0231B3F1">
            <w:pPr>
              <w:jc w:val="center"/>
              <w:rPr>
                <w:rFonts w:hint="default" w:ascii="Times New Roman" w:hAnsi="Times New Roman" w:eastAsia="宋体" w:cs="Times New Roman"/>
                <w:b w:val="0"/>
                <w:bCs/>
                <w:sz w:val="21"/>
                <w:szCs w:val="21"/>
                <w:lang w:val="en-US" w:eastAsia="zh-CN" w:bidi="ar-SA"/>
              </w:rPr>
            </w:pPr>
            <w:r>
              <w:rPr>
                <w:rFonts w:hint="default" w:ascii="Times New Roman" w:hAnsi="Times New Roman" w:cs="Times New Roman"/>
                <w:b w:val="0"/>
                <w:bCs/>
                <w:sz w:val="21"/>
                <w:szCs w:val="21"/>
              </w:rPr>
              <w:t>SO</w:t>
            </w:r>
            <w:r>
              <w:rPr>
                <w:rFonts w:hint="default" w:ascii="Times New Roman" w:hAnsi="Times New Roman" w:cs="Times New Roman"/>
                <w:b w:val="0"/>
                <w:bCs/>
                <w:sz w:val="21"/>
                <w:szCs w:val="21"/>
                <w:vertAlign w:val="subscript"/>
              </w:rPr>
              <w:t>2</w:t>
            </w:r>
          </w:p>
        </w:tc>
        <w:tc>
          <w:tcPr>
            <w:tcW w:w="684" w:type="pct"/>
            <w:vMerge w:val="continue"/>
            <w:tcBorders>
              <w:left w:val="single" w:color="000000" w:sz="4" w:space="0"/>
              <w:right w:val="single" w:color="000000" w:sz="4" w:space="0"/>
            </w:tcBorders>
            <w:noWrap w:val="0"/>
            <w:tcMar>
              <w:left w:w="108" w:type="dxa"/>
              <w:right w:w="108" w:type="dxa"/>
            </w:tcMar>
            <w:vAlign w:val="center"/>
          </w:tcPr>
          <w:p w14:paraId="6D6E166F">
            <w:pPr>
              <w:jc w:val="center"/>
              <w:rPr>
                <w:rFonts w:hint="default" w:ascii="Times New Roman" w:hAnsi="Times New Roman" w:cs="Times New Roman"/>
                <w:b w:val="0"/>
                <w:bCs/>
                <w:sz w:val="21"/>
                <w:szCs w:val="21"/>
              </w:rPr>
            </w:pPr>
          </w:p>
        </w:tc>
        <w:tc>
          <w:tcPr>
            <w:tcW w:w="428" w:type="pct"/>
            <w:vMerge w:val="continue"/>
            <w:tcBorders>
              <w:left w:val="single" w:color="000000" w:sz="4" w:space="0"/>
              <w:right w:val="single" w:color="000000" w:sz="4" w:space="0"/>
            </w:tcBorders>
            <w:noWrap w:val="0"/>
            <w:tcMar>
              <w:left w:w="108" w:type="dxa"/>
              <w:right w:w="108" w:type="dxa"/>
            </w:tcMar>
            <w:vAlign w:val="center"/>
          </w:tcPr>
          <w:p w14:paraId="2BEFCB96">
            <w:pPr>
              <w:jc w:val="center"/>
              <w:rPr>
                <w:rFonts w:hint="default" w:ascii="Times New Roman" w:hAnsi="Times New Roman" w:cs="Times New Roman"/>
                <w:b w:val="0"/>
                <w:bCs/>
                <w:sz w:val="21"/>
                <w:szCs w:val="21"/>
                <w:lang w:val="en-US" w:eastAsia="zh-CN"/>
              </w:rPr>
            </w:pPr>
          </w:p>
        </w:tc>
        <w:tc>
          <w:tcPr>
            <w:tcW w:w="0" w:type="auto"/>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0B5237DE">
            <w:pPr>
              <w:jc w:val="center"/>
              <w:rPr>
                <w:rFonts w:hint="default" w:ascii="Times New Roman" w:hAnsi="Times New Roman" w:cs="Times New Roman"/>
                <w:b w:val="0"/>
                <w:bCs/>
                <w:sz w:val="21"/>
                <w:szCs w:val="21"/>
                <w:lang w:val="en-US" w:eastAsia="zh-CN"/>
              </w:rPr>
            </w:pPr>
            <w:r>
              <w:rPr>
                <w:rFonts w:hint="default" w:ascii="Times New Roman" w:hAnsi="Times New Roman" w:cs="Times New Roman"/>
                <w:b w:val="0"/>
                <w:bCs/>
                <w:sz w:val="21"/>
                <w:szCs w:val="21"/>
                <w:lang w:val="en-US" w:eastAsia="zh-CN"/>
              </w:rPr>
              <w:t>0</w:t>
            </w:r>
          </w:p>
        </w:tc>
        <w:tc>
          <w:tcPr>
            <w:tcW w:w="589" w:type="pct"/>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4470C215">
            <w:pPr>
              <w:keepNext w:val="0"/>
              <w:keepLines w:val="0"/>
              <w:widowControl/>
              <w:suppressLineNumbers w:val="0"/>
              <w:jc w:val="center"/>
              <w:textAlignment w:val="center"/>
              <w:rPr>
                <w:rFonts w:hint="default" w:ascii="Times New Roman" w:hAnsi="Times New Roman" w:cs="Times New Roman"/>
                <w:b w:val="0"/>
                <w:bCs w:val="0"/>
                <w:sz w:val="21"/>
                <w:szCs w:val="21"/>
              </w:rPr>
            </w:pPr>
            <w:r>
              <w:rPr>
                <w:rFonts w:hint="default" w:ascii="Times New Roman" w:hAnsi="Times New Roman" w:eastAsia="宋体" w:cs="Times New Roman"/>
                <w:b w:val="0"/>
                <w:bCs w:val="0"/>
                <w:i w:val="0"/>
                <w:iCs w:val="0"/>
                <w:color w:val="000000"/>
                <w:kern w:val="0"/>
                <w:sz w:val="21"/>
                <w:szCs w:val="21"/>
                <w:u w:val="none"/>
                <w:lang w:val="en-US" w:eastAsia="zh-CN" w:bidi="ar"/>
              </w:rPr>
              <w:t>327.78</w:t>
            </w:r>
          </w:p>
        </w:tc>
        <w:tc>
          <w:tcPr>
            <w:tcW w:w="585" w:type="pct"/>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39697E11">
            <w:pPr>
              <w:keepNext w:val="0"/>
              <w:keepLines w:val="0"/>
              <w:widowControl/>
              <w:suppressLineNumbers w:val="0"/>
              <w:jc w:val="center"/>
              <w:textAlignment w:val="center"/>
              <w:rPr>
                <w:rFonts w:hint="default" w:ascii="Times New Roman" w:hAnsi="Times New Roman" w:cs="Times New Roman"/>
                <w:b w:val="0"/>
                <w:bCs/>
                <w:sz w:val="21"/>
                <w:szCs w:val="21"/>
              </w:rPr>
            </w:pPr>
            <w:r>
              <w:rPr>
                <w:rFonts w:hint="default" w:ascii="Times New Roman" w:hAnsi="Times New Roman" w:eastAsia="宋体" w:cs="Times New Roman"/>
                <w:b w:val="0"/>
                <w:bCs/>
                <w:i w:val="0"/>
                <w:iCs w:val="0"/>
                <w:color w:val="000000"/>
                <w:kern w:val="0"/>
                <w:sz w:val="21"/>
                <w:szCs w:val="21"/>
                <w:u w:val="none"/>
                <w:lang w:val="en-US" w:eastAsia="zh-CN" w:bidi="ar"/>
              </w:rPr>
              <w:t>88.5</w:t>
            </w:r>
          </w:p>
        </w:tc>
        <w:tc>
          <w:tcPr>
            <w:tcW w:w="321" w:type="pct"/>
            <w:vMerge w:val="continue"/>
            <w:tcBorders>
              <w:left w:val="single" w:color="000000" w:sz="4" w:space="0"/>
              <w:right w:val="single" w:color="000000" w:sz="4" w:space="0"/>
            </w:tcBorders>
            <w:noWrap w:val="0"/>
            <w:tcMar>
              <w:left w:w="108" w:type="dxa"/>
              <w:right w:w="108" w:type="dxa"/>
            </w:tcMar>
            <w:vAlign w:val="center"/>
          </w:tcPr>
          <w:p w14:paraId="60D30664">
            <w:pPr>
              <w:jc w:val="center"/>
              <w:rPr>
                <w:rFonts w:hint="default" w:ascii="Times New Roman" w:hAnsi="Times New Roman" w:cs="Times New Roman"/>
                <w:b w:val="0"/>
                <w:bCs/>
                <w:sz w:val="21"/>
                <w:szCs w:val="21"/>
              </w:rPr>
            </w:pPr>
          </w:p>
        </w:tc>
        <w:tc>
          <w:tcPr>
            <w:tcW w:w="321" w:type="pct"/>
            <w:vMerge w:val="continue"/>
            <w:tcBorders>
              <w:left w:val="single" w:color="000000" w:sz="4" w:space="0"/>
              <w:right w:val="single" w:color="000000" w:sz="4" w:space="0"/>
            </w:tcBorders>
            <w:noWrap w:val="0"/>
            <w:tcMar>
              <w:left w:w="108" w:type="dxa"/>
              <w:right w:w="108" w:type="dxa"/>
            </w:tcMar>
            <w:vAlign w:val="center"/>
          </w:tcPr>
          <w:p w14:paraId="68597A50">
            <w:pPr>
              <w:jc w:val="center"/>
              <w:rPr>
                <w:rFonts w:hint="default" w:ascii="Times New Roman" w:hAnsi="Times New Roman" w:cs="Times New Roman"/>
                <w:b w:val="0"/>
                <w:bCs/>
                <w:sz w:val="21"/>
                <w:szCs w:val="21"/>
              </w:rPr>
            </w:pPr>
          </w:p>
        </w:tc>
        <w:tc>
          <w:tcPr>
            <w:tcW w:w="343" w:type="pct"/>
            <w:vMerge w:val="continue"/>
            <w:tcBorders>
              <w:left w:val="single" w:color="000000" w:sz="4" w:space="0"/>
              <w:right w:val="single" w:color="000000" w:sz="4" w:space="0"/>
            </w:tcBorders>
            <w:noWrap w:val="0"/>
            <w:tcMar>
              <w:left w:w="108" w:type="dxa"/>
              <w:right w:w="108" w:type="dxa"/>
            </w:tcMar>
            <w:vAlign w:val="center"/>
          </w:tcPr>
          <w:p w14:paraId="115DEA0F">
            <w:pPr>
              <w:jc w:val="center"/>
              <w:rPr>
                <w:rFonts w:hint="default" w:ascii="Times New Roman" w:hAnsi="Times New Roman" w:cs="Times New Roman"/>
                <w:b w:val="0"/>
                <w:bCs/>
                <w:sz w:val="21"/>
                <w:szCs w:val="21"/>
              </w:rPr>
            </w:pPr>
          </w:p>
        </w:tc>
        <w:tc>
          <w:tcPr>
            <w:tcW w:w="431" w:type="pct"/>
            <w:vMerge w:val="continue"/>
            <w:tcBorders>
              <w:left w:val="single" w:color="000000" w:sz="4" w:space="0"/>
              <w:right w:val="single" w:color="000000" w:sz="4" w:space="0"/>
            </w:tcBorders>
            <w:noWrap w:val="0"/>
            <w:tcMar>
              <w:left w:w="108" w:type="dxa"/>
              <w:right w:w="108" w:type="dxa"/>
            </w:tcMar>
            <w:vAlign w:val="center"/>
          </w:tcPr>
          <w:p w14:paraId="4FC480A8">
            <w:pPr>
              <w:jc w:val="center"/>
              <w:rPr>
                <w:rFonts w:hint="default" w:ascii="Times New Roman" w:hAnsi="Times New Roman" w:cs="Times New Roman"/>
                <w:b w:val="0"/>
                <w:bCs/>
                <w:sz w:val="21"/>
                <w:szCs w:val="21"/>
              </w:rPr>
            </w:pPr>
          </w:p>
        </w:tc>
      </w:tr>
      <w:tr w14:paraId="487310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162" w:type="pct"/>
            <w:vMerge w:val="continue"/>
            <w:tcBorders>
              <w:left w:val="single" w:color="000000" w:sz="4" w:space="0"/>
              <w:right w:val="single" w:color="000000" w:sz="4" w:space="0"/>
            </w:tcBorders>
            <w:noWrap w:val="0"/>
            <w:tcMar>
              <w:left w:w="108" w:type="dxa"/>
              <w:right w:w="108" w:type="dxa"/>
            </w:tcMar>
            <w:vAlign w:val="center"/>
          </w:tcPr>
          <w:p w14:paraId="6FB293F6">
            <w:pPr>
              <w:jc w:val="center"/>
              <w:rPr>
                <w:rFonts w:hint="default" w:ascii="Times New Roman" w:hAnsi="Times New Roman" w:cs="Times New Roman"/>
                <w:b w:val="0"/>
                <w:bCs/>
                <w:sz w:val="21"/>
                <w:szCs w:val="21"/>
              </w:rPr>
            </w:pPr>
          </w:p>
        </w:tc>
        <w:tc>
          <w:tcPr>
            <w:tcW w:w="433" w:type="pct"/>
            <w:vMerge w:val="continue"/>
            <w:tcBorders>
              <w:left w:val="single" w:color="000000" w:sz="4" w:space="0"/>
              <w:right w:val="single" w:color="000000" w:sz="4" w:space="0"/>
            </w:tcBorders>
            <w:noWrap w:val="0"/>
            <w:tcMar>
              <w:left w:w="108" w:type="dxa"/>
              <w:right w:w="108" w:type="dxa"/>
            </w:tcMar>
            <w:vAlign w:val="center"/>
          </w:tcPr>
          <w:p w14:paraId="61ACE706">
            <w:pPr>
              <w:keepNext w:val="0"/>
              <w:keepLines w:val="0"/>
              <w:widowControl/>
              <w:suppressLineNumbers w:val="0"/>
              <w:jc w:val="center"/>
              <w:textAlignment w:val="center"/>
              <w:rPr>
                <w:rFonts w:hint="default" w:ascii="Times New Roman" w:hAnsi="Times New Roman" w:eastAsia="宋体" w:cs="Times New Roman"/>
                <w:b w:val="0"/>
                <w:bCs/>
                <w:i w:val="0"/>
                <w:iCs w:val="0"/>
                <w:color w:val="000000"/>
                <w:kern w:val="0"/>
                <w:sz w:val="21"/>
                <w:szCs w:val="21"/>
                <w:u w:val="none"/>
                <w:lang w:val="en-US" w:eastAsia="zh-CN" w:bidi="ar"/>
              </w:rPr>
            </w:pPr>
          </w:p>
        </w:tc>
        <w:tc>
          <w:tcPr>
            <w:tcW w:w="357" w:type="pct"/>
            <w:tcBorders>
              <w:top w:val="single" w:color="000000" w:sz="4" w:space="0"/>
              <w:left w:val="single" w:color="000000" w:sz="4" w:space="0"/>
              <w:bottom w:val="single" w:color="000000" w:sz="4" w:space="0"/>
              <w:right w:val="single" w:color="000000" w:sz="4" w:space="0"/>
            </w:tcBorders>
            <w:shd w:val="clear" w:color="auto" w:fill="auto"/>
            <w:noWrap w:val="0"/>
            <w:tcMar>
              <w:left w:w="108" w:type="dxa"/>
              <w:right w:w="108" w:type="dxa"/>
            </w:tcMar>
            <w:vAlign w:val="center"/>
          </w:tcPr>
          <w:p w14:paraId="326B1375">
            <w:pPr>
              <w:jc w:val="center"/>
              <w:rPr>
                <w:rFonts w:hint="default" w:ascii="Times New Roman" w:hAnsi="Times New Roman" w:eastAsia="宋体" w:cs="Times New Roman"/>
                <w:b w:val="0"/>
                <w:bCs/>
                <w:sz w:val="21"/>
                <w:szCs w:val="21"/>
                <w:lang w:val="en-US" w:eastAsia="zh-CN" w:bidi="ar-SA"/>
              </w:rPr>
            </w:pPr>
            <w:r>
              <w:rPr>
                <w:rFonts w:hint="default" w:ascii="Times New Roman" w:hAnsi="Times New Roman" w:cs="Times New Roman"/>
                <w:b w:val="0"/>
                <w:bCs/>
                <w:sz w:val="21"/>
                <w:szCs w:val="21"/>
              </w:rPr>
              <w:t>NOx</w:t>
            </w:r>
          </w:p>
        </w:tc>
        <w:tc>
          <w:tcPr>
            <w:tcW w:w="684" w:type="pct"/>
            <w:vMerge w:val="continue"/>
            <w:tcBorders>
              <w:left w:val="single" w:color="000000" w:sz="4" w:space="0"/>
              <w:right w:val="single" w:color="000000" w:sz="4" w:space="0"/>
            </w:tcBorders>
            <w:noWrap w:val="0"/>
            <w:tcMar>
              <w:left w:w="108" w:type="dxa"/>
              <w:right w:w="108" w:type="dxa"/>
            </w:tcMar>
            <w:vAlign w:val="center"/>
          </w:tcPr>
          <w:p w14:paraId="160244B8">
            <w:pPr>
              <w:jc w:val="center"/>
              <w:rPr>
                <w:rFonts w:hint="default" w:ascii="Times New Roman" w:hAnsi="Times New Roman" w:cs="Times New Roman"/>
                <w:b w:val="0"/>
                <w:bCs/>
                <w:sz w:val="21"/>
                <w:szCs w:val="21"/>
              </w:rPr>
            </w:pPr>
          </w:p>
        </w:tc>
        <w:tc>
          <w:tcPr>
            <w:tcW w:w="428" w:type="pct"/>
            <w:vMerge w:val="continue"/>
            <w:tcBorders>
              <w:left w:val="single" w:color="000000" w:sz="4" w:space="0"/>
              <w:right w:val="single" w:color="000000" w:sz="4" w:space="0"/>
            </w:tcBorders>
            <w:noWrap w:val="0"/>
            <w:tcMar>
              <w:left w:w="108" w:type="dxa"/>
              <w:right w:w="108" w:type="dxa"/>
            </w:tcMar>
            <w:vAlign w:val="center"/>
          </w:tcPr>
          <w:p w14:paraId="702AF14C">
            <w:pPr>
              <w:jc w:val="center"/>
              <w:rPr>
                <w:rFonts w:hint="default" w:ascii="Times New Roman" w:hAnsi="Times New Roman" w:cs="Times New Roman"/>
                <w:b w:val="0"/>
                <w:bCs/>
                <w:sz w:val="21"/>
                <w:szCs w:val="21"/>
                <w:lang w:val="en-US" w:eastAsia="zh-CN"/>
              </w:rPr>
            </w:pPr>
          </w:p>
        </w:tc>
        <w:tc>
          <w:tcPr>
            <w:tcW w:w="0" w:type="auto"/>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54DCF4FA">
            <w:pPr>
              <w:jc w:val="center"/>
              <w:rPr>
                <w:rFonts w:hint="default" w:ascii="Times New Roman" w:hAnsi="Times New Roman" w:cs="Times New Roman"/>
                <w:b w:val="0"/>
                <w:bCs/>
                <w:sz w:val="21"/>
                <w:szCs w:val="21"/>
                <w:lang w:val="en-US" w:eastAsia="zh-CN"/>
              </w:rPr>
            </w:pPr>
            <w:r>
              <w:rPr>
                <w:rFonts w:hint="default" w:ascii="Times New Roman" w:hAnsi="Times New Roman" w:cs="Times New Roman"/>
                <w:b w:val="0"/>
                <w:bCs/>
                <w:sz w:val="21"/>
                <w:szCs w:val="21"/>
                <w:lang w:val="en-US" w:eastAsia="zh-CN"/>
              </w:rPr>
              <w:t>0</w:t>
            </w:r>
          </w:p>
        </w:tc>
        <w:tc>
          <w:tcPr>
            <w:tcW w:w="589" w:type="pct"/>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47289EA4">
            <w:pPr>
              <w:keepNext w:val="0"/>
              <w:keepLines w:val="0"/>
              <w:widowControl/>
              <w:suppressLineNumbers w:val="0"/>
              <w:jc w:val="center"/>
              <w:textAlignment w:val="center"/>
              <w:rPr>
                <w:rFonts w:hint="default" w:ascii="Times New Roman" w:hAnsi="Times New Roman" w:cs="Times New Roman"/>
                <w:b w:val="0"/>
                <w:bCs w:val="0"/>
                <w:sz w:val="21"/>
                <w:szCs w:val="21"/>
              </w:rPr>
            </w:pPr>
            <w:r>
              <w:rPr>
                <w:rFonts w:hint="default" w:ascii="Times New Roman" w:hAnsi="Times New Roman" w:eastAsia="宋体" w:cs="Times New Roman"/>
                <w:b w:val="0"/>
                <w:bCs w:val="0"/>
                <w:i w:val="0"/>
                <w:iCs w:val="0"/>
                <w:color w:val="000000"/>
                <w:kern w:val="0"/>
                <w:sz w:val="21"/>
                <w:szCs w:val="21"/>
                <w:u w:val="none"/>
                <w:lang w:val="en-US" w:eastAsia="zh-CN" w:bidi="ar"/>
              </w:rPr>
              <w:t>111.33</w:t>
            </w:r>
          </w:p>
        </w:tc>
        <w:tc>
          <w:tcPr>
            <w:tcW w:w="585" w:type="pct"/>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0D76F8FC">
            <w:pPr>
              <w:keepNext w:val="0"/>
              <w:keepLines w:val="0"/>
              <w:widowControl/>
              <w:suppressLineNumbers w:val="0"/>
              <w:jc w:val="center"/>
              <w:textAlignment w:val="center"/>
              <w:rPr>
                <w:rFonts w:hint="default" w:ascii="Times New Roman" w:hAnsi="Times New Roman" w:cs="Times New Roman"/>
                <w:b w:val="0"/>
                <w:bCs/>
                <w:sz w:val="21"/>
                <w:szCs w:val="21"/>
              </w:rPr>
            </w:pPr>
            <w:r>
              <w:rPr>
                <w:rFonts w:hint="default" w:ascii="Times New Roman" w:hAnsi="Times New Roman" w:eastAsia="宋体" w:cs="Times New Roman"/>
                <w:b w:val="0"/>
                <w:bCs/>
                <w:i w:val="0"/>
                <w:iCs w:val="0"/>
                <w:color w:val="000000"/>
                <w:kern w:val="0"/>
                <w:sz w:val="21"/>
                <w:szCs w:val="21"/>
                <w:u w:val="none"/>
                <w:lang w:val="en-US" w:eastAsia="zh-CN" w:bidi="ar"/>
              </w:rPr>
              <w:t>30.06</w:t>
            </w:r>
          </w:p>
        </w:tc>
        <w:tc>
          <w:tcPr>
            <w:tcW w:w="321" w:type="pct"/>
            <w:vMerge w:val="continue"/>
            <w:tcBorders>
              <w:left w:val="single" w:color="000000" w:sz="4" w:space="0"/>
              <w:right w:val="single" w:color="000000" w:sz="4" w:space="0"/>
            </w:tcBorders>
            <w:noWrap w:val="0"/>
            <w:tcMar>
              <w:left w:w="108" w:type="dxa"/>
              <w:right w:w="108" w:type="dxa"/>
            </w:tcMar>
            <w:vAlign w:val="center"/>
          </w:tcPr>
          <w:p w14:paraId="276ECBCF">
            <w:pPr>
              <w:jc w:val="center"/>
              <w:rPr>
                <w:rFonts w:hint="default" w:ascii="Times New Roman" w:hAnsi="Times New Roman" w:cs="Times New Roman"/>
                <w:b w:val="0"/>
                <w:bCs/>
                <w:sz w:val="21"/>
                <w:szCs w:val="21"/>
              </w:rPr>
            </w:pPr>
          </w:p>
        </w:tc>
        <w:tc>
          <w:tcPr>
            <w:tcW w:w="321" w:type="pct"/>
            <w:vMerge w:val="continue"/>
            <w:tcBorders>
              <w:left w:val="single" w:color="000000" w:sz="4" w:space="0"/>
              <w:right w:val="single" w:color="000000" w:sz="4" w:space="0"/>
            </w:tcBorders>
            <w:noWrap w:val="0"/>
            <w:tcMar>
              <w:left w:w="108" w:type="dxa"/>
              <w:right w:w="108" w:type="dxa"/>
            </w:tcMar>
            <w:vAlign w:val="center"/>
          </w:tcPr>
          <w:p w14:paraId="3D35CAE2">
            <w:pPr>
              <w:jc w:val="center"/>
              <w:rPr>
                <w:rFonts w:hint="default" w:ascii="Times New Roman" w:hAnsi="Times New Roman" w:cs="Times New Roman"/>
                <w:b w:val="0"/>
                <w:bCs/>
                <w:sz w:val="21"/>
                <w:szCs w:val="21"/>
              </w:rPr>
            </w:pPr>
          </w:p>
        </w:tc>
        <w:tc>
          <w:tcPr>
            <w:tcW w:w="343" w:type="pct"/>
            <w:vMerge w:val="continue"/>
            <w:tcBorders>
              <w:left w:val="single" w:color="000000" w:sz="4" w:space="0"/>
              <w:right w:val="single" w:color="000000" w:sz="4" w:space="0"/>
            </w:tcBorders>
            <w:noWrap w:val="0"/>
            <w:tcMar>
              <w:left w:w="108" w:type="dxa"/>
              <w:right w:w="108" w:type="dxa"/>
            </w:tcMar>
            <w:vAlign w:val="center"/>
          </w:tcPr>
          <w:p w14:paraId="2D289DF8">
            <w:pPr>
              <w:jc w:val="center"/>
              <w:rPr>
                <w:rFonts w:hint="default" w:ascii="Times New Roman" w:hAnsi="Times New Roman" w:cs="Times New Roman"/>
                <w:b w:val="0"/>
                <w:bCs/>
                <w:sz w:val="21"/>
                <w:szCs w:val="21"/>
              </w:rPr>
            </w:pPr>
          </w:p>
        </w:tc>
        <w:tc>
          <w:tcPr>
            <w:tcW w:w="431" w:type="pct"/>
            <w:vMerge w:val="continue"/>
            <w:tcBorders>
              <w:left w:val="single" w:color="000000" w:sz="4" w:space="0"/>
              <w:right w:val="single" w:color="000000" w:sz="4" w:space="0"/>
            </w:tcBorders>
            <w:noWrap w:val="0"/>
            <w:tcMar>
              <w:left w:w="108" w:type="dxa"/>
              <w:right w:w="108" w:type="dxa"/>
            </w:tcMar>
            <w:vAlign w:val="center"/>
          </w:tcPr>
          <w:p w14:paraId="67C86F6E">
            <w:pPr>
              <w:jc w:val="center"/>
              <w:rPr>
                <w:rFonts w:hint="default" w:ascii="Times New Roman" w:hAnsi="Times New Roman" w:cs="Times New Roman"/>
                <w:b w:val="0"/>
                <w:bCs/>
                <w:sz w:val="21"/>
                <w:szCs w:val="21"/>
              </w:rPr>
            </w:pPr>
          </w:p>
        </w:tc>
      </w:tr>
      <w:tr w14:paraId="1A1078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162" w:type="pct"/>
            <w:vMerge w:val="continue"/>
            <w:tcBorders>
              <w:left w:val="single" w:color="000000" w:sz="4" w:space="0"/>
              <w:right w:val="single" w:color="000000" w:sz="4" w:space="0"/>
            </w:tcBorders>
            <w:noWrap w:val="0"/>
            <w:tcMar>
              <w:left w:w="108" w:type="dxa"/>
              <w:right w:w="108" w:type="dxa"/>
            </w:tcMar>
            <w:vAlign w:val="center"/>
          </w:tcPr>
          <w:p w14:paraId="1882FF97">
            <w:pPr>
              <w:jc w:val="center"/>
              <w:rPr>
                <w:rFonts w:hint="default" w:ascii="Times New Roman" w:hAnsi="Times New Roman" w:cs="Times New Roman"/>
                <w:b w:val="0"/>
                <w:bCs/>
                <w:sz w:val="21"/>
                <w:szCs w:val="21"/>
              </w:rPr>
            </w:pPr>
          </w:p>
        </w:tc>
        <w:tc>
          <w:tcPr>
            <w:tcW w:w="433" w:type="pct"/>
            <w:vMerge w:val="continue"/>
            <w:tcBorders>
              <w:left w:val="single" w:color="000000" w:sz="4" w:space="0"/>
              <w:right w:val="single" w:color="000000" w:sz="4" w:space="0"/>
            </w:tcBorders>
            <w:noWrap w:val="0"/>
            <w:tcMar>
              <w:left w:w="108" w:type="dxa"/>
              <w:right w:w="108" w:type="dxa"/>
            </w:tcMar>
            <w:vAlign w:val="center"/>
          </w:tcPr>
          <w:p w14:paraId="6C211638">
            <w:pPr>
              <w:keepNext w:val="0"/>
              <w:keepLines w:val="0"/>
              <w:widowControl/>
              <w:suppressLineNumbers w:val="0"/>
              <w:jc w:val="center"/>
              <w:textAlignment w:val="center"/>
              <w:rPr>
                <w:rFonts w:hint="default" w:ascii="Times New Roman" w:hAnsi="Times New Roman" w:eastAsia="宋体" w:cs="Times New Roman"/>
                <w:b w:val="0"/>
                <w:bCs/>
                <w:i w:val="0"/>
                <w:iCs w:val="0"/>
                <w:color w:val="000000"/>
                <w:kern w:val="0"/>
                <w:sz w:val="21"/>
                <w:szCs w:val="21"/>
                <w:u w:val="none"/>
                <w:lang w:val="en-US" w:eastAsia="zh-CN" w:bidi="ar"/>
              </w:rPr>
            </w:pPr>
          </w:p>
        </w:tc>
        <w:tc>
          <w:tcPr>
            <w:tcW w:w="357" w:type="pct"/>
            <w:tcBorders>
              <w:top w:val="single" w:color="000000" w:sz="4" w:space="0"/>
              <w:left w:val="single" w:color="000000" w:sz="4" w:space="0"/>
              <w:bottom w:val="single" w:color="000000" w:sz="4" w:space="0"/>
              <w:right w:val="single" w:color="000000" w:sz="4" w:space="0"/>
            </w:tcBorders>
            <w:shd w:val="clear" w:color="auto" w:fill="auto"/>
            <w:noWrap w:val="0"/>
            <w:tcMar>
              <w:left w:w="108" w:type="dxa"/>
              <w:right w:w="108" w:type="dxa"/>
            </w:tcMar>
            <w:vAlign w:val="center"/>
          </w:tcPr>
          <w:p w14:paraId="2399D6C7">
            <w:pPr>
              <w:jc w:val="center"/>
              <w:rPr>
                <w:rFonts w:hint="default" w:ascii="Times New Roman" w:hAnsi="Times New Roman" w:eastAsia="宋体" w:cs="Times New Roman"/>
                <w:b w:val="0"/>
                <w:bCs/>
                <w:sz w:val="21"/>
                <w:szCs w:val="21"/>
                <w:lang w:val="en-US" w:eastAsia="zh-CN" w:bidi="ar-SA"/>
              </w:rPr>
            </w:pPr>
            <w:r>
              <w:rPr>
                <w:rFonts w:hint="default" w:ascii="Times New Roman" w:hAnsi="Times New Roman" w:cs="Times New Roman"/>
                <w:b w:val="0"/>
                <w:bCs/>
                <w:sz w:val="21"/>
                <w:szCs w:val="21"/>
              </w:rPr>
              <w:t>氟化物</w:t>
            </w:r>
          </w:p>
        </w:tc>
        <w:tc>
          <w:tcPr>
            <w:tcW w:w="684" w:type="pct"/>
            <w:vMerge w:val="continue"/>
            <w:tcBorders>
              <w:left w:val="single" w:color="000000" w:sz="4" w:space="0"/>
              <w:right w:val="single" w:color="000000" w:sz="4" w:space="0"/>
            </w:tcBorders>
            <w:noWrap w:val="0"/>
            <w:tcMar>
              <w:left w:w="108" w:type="dxa"/>
              <w:right w:w="108" w:type="dxa"/>
            </w:tcMar>
            <w:vAlign w:val="center"/>
          </w:tcPr>
          <w:p w14:paraId="37589D95">
            <w:pPr>
              <w:jc w:val="center"/>
              <w:rPr>
                <w:rFonts w:hint="default" w:ascii="Times New Roman" w:hAnsi="Times New Roman" w:cs="Times New Roman"/>
                <w:b w:val="0"/>
                <w:bCs/>
                <w:sz w:val="21"/>
                <w:szCs w:val="21"/>
              </w:rPr>
            </w:pPr>
          </w:p>
        </w:tc>
        <w:tc>
          <w:tcPr>
            <w:tcW w:w="428" w:type="pct"/>
            <w:vMerge w:val="continue"/>
            <w:tcBorders>
              <w:left w:val="single" w:color="000000" w:sz="4" w:space="0"/>
              <w:right w:val="single" w:color="000000" w:sz="4" w:space="0"/>
            </w:tcBorders>
            <w:noWrap w:val="0"/>
            <w:tcMar>
              <w:left w:w="108" w:type="dxa"/>
              <w:right w:w="108" w:type="dxa"/>
            </w:tcMar>
            <w:vAlign w:val="center"/>
          </w:tcPr>
          <w:p w14:paraId="27E4C2C7">
            <w:pPr>
              <w:jc w:val="center"/>
              <w:rPr>
                <w:rFonts w:hint="default" w:ascii="Times New Roman" w:hAnsi="Times New Roman" w:cs="Times New Roman"/>
                <w:b w:val="0"/>
                <w:bCs/>
                <w:sz w:val="21"/>
                <w:szCs w:val="21"/>
                <w:lang w:val="en-US" w:eastAsia="zh-CN"/>
              </w:rPr>
            </w:pPr>
          </w:p>
        </w:tc>
        <w:tc>
          <w:tcPr>
            <w:tcW w:w="0" w:type="auto"/>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1FE0E9D0">
            <w:pPr>
              <w:jc w:val="center"/>
              <w:rPr>
                <w:rFonts w:hint="default" w:ascii="Times New Roman" w:hAnsi="Times New Roman" w:cs="Times New Roman"/>
                <w:b w:val="0"/>
                <w:bCs/>
                <w:sz w:val="21"/>
                <w:szCs w:val="21"/>
                <w:lang w:val="en-US" w:eastAsia="zh-CN"/>
              </w:rPr>
            </w:pPr>
            <w:r>
              <w:rPr>
                <w:rFonts w:hint="default" w:ascii="Times New Roman" w:hAnsi="Times New Roman" w:cs="Times New Roman"/>
                <w:b w:val="0"/>
                <w:bCs/>
                <w:sz w:val="21"/>
                <w:szCs w:val="21"/>
                <w:lang w:val="en-US" w:eastAsia="zh-CN"/>
              </w:rPr>
              <w:t>0</w:t>
            </w:r>
          </w:p>
        </w:tc>
        <w:tc>
          <w:tcPr>
            <w:tcW w:w="589" w:type="pct"/>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1B2903E1">
            <w:pPr>
              <w:keepNext w:val="0"/>
              <w:keepLines w:val="0"/>
              <w:widowControl/>
              <w:suppressLineNumbers w:val="0"/>
              <w:jc w:val="center"/>
              <w:textAlignment w:val="center"/>
              <w:rPr>
                <w:rFonts w:hint="default" w:ascii="Times New Roman" w:hAnsi="Times New Roman" w:cs="Times New Roman"/>
                <w:b w:val="0"/>
                <w:bCs w:val="0"/>
                <w:sz w:val="21"/>
                <w:szCs w:val="21"/>
              </w:rPr>
            </w:pPr>
            <w:r>
              <w:rPr>
                <w:rFonts w:hint="default" w:ascii="Times New Roman" w:hAnsi="Times New Roman" w:eastAsia="宋体" w:cs="Times New Roman"/>
                <w:b w:val="0"/>
                <w:bCs w:val="0"/>
                <w:i w:val="0"/>
                <w:iCs w:val="0"/>
                <w:color w:val="000000"/>
                <w:kern w:val="0"/>
                <w:sz w:val="21"/>
                <w:szCs w:val="21"/>
                <w:u w:val="none"/>
                <w:lang w:val="en-US" w:eastAsia="zh-CN" w:bidi="ar"/>
              </w:rPr>
              <w:t>0.44</w:t>
            </w:r>
          </w:p>
        </w:tc>
        <w:tc>
          <w:tcPr>
            <w:tcW w:w="585" w:type="pct"/>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3ACE5216">
            <w:pPr>
              <w:keepNext w:val="0"/>
              <w:keepLines w:val="0"/>
              <w:widowControl/>
              <w:suppressLineNumbers w:val="0"/>
              <w:jc w:val="center"/>
              <w:textAlignment w:val="center"/>
              <w:rPr>
                <w:rFonts w:hint="default" w:ascii="Times New Roman" w:hAnsi="Times New Roman" w:cs="Times New Roman"/>
                <w:b w:val="0"/>
                <w:bCs/>
                <w:sz w:val="21"/>
                <w:szCs w:val="21"/>
              </w:rPr>
            </w:pPr>
            <w:r>
              <w:rPr>
                <w:rFonts w:hint="default" w:ascii="Times New Roman" w:hAnsi="Times New Roman" w:eastAsia="宋体" w:cs="Times New Roman"/>
                <w:b w:val="0"/>
                <w:bCs/>
                <w:i w:val="0"/>
                <w:iCs w:val="0"/>
                <w:color w:val="000000"/>
                <w:kern w:val="0"/>
                <w:sz w:val="21"/>
                <w:szCs w:val="21"/>
                <w:u w:val="none"/>
                <w:lang w:val="en-US" w:eastAsia="zh-CN" w:bidi="ar"/>
              </w:rPr>
              <w:t>0.12</w:t>
            </w:r>
          </w:p>
        </w:tc>
        <w:tc>
          <w:tcPr>
            <w:tcW w:w="321" w:type="pct"/>
            <w:vMerge w:val="continue"/>
            <w:tcBorders>
              <w:left w:val="single" w:color="000000" w:sz="4" w:space="0"/>
              <w:right w:val="single" w:color="000000" w:sz="4" w:space="0"/>
            </w:tcBorders>
            <w:noWrap w:val="0"/>
            <w:tcMar>
              <w:left w:w="108" w:type="dxa"/>
              <w:right w:w="108" w:type="dxa"/>
            </w:tcMar>
            <w:vAlign w:val="center"/>
          </w:tcPr>
          <w:p w14:paraId="45309817">
            <w:pPr>
              <w:jc w:val="center"/>
              <w:rPr>
                <w:rFonts w:hint="default" w:ascii="Times New Roman" w:hAnsi="Times New Roman" w:cs="Times New Roman"/>
                <w:b w:val="0"/>
                <w:bCs/>
                <w:sz w:val="21"/>
                <w:szCs w:val="21"/>
              </w:rPr>
            </w:pPr>
          </w:p>
        </w:tc>
        <w:tc>
          <w:tcPr>
            <w:tcW w:w="321" w:type="pct"/>
            <w:vMerge w:val="continue"/>
            <w:tcBorders>
              <w:left w:val="single" w:color="000000" w:sz="4" w:space="0"/>
              <w:right w:val="single" w:color="000000" w:sz="4" w:space="0"/>
            </w:tcBorders>
            <w:noWrap w:val="0"/>
            <w:tcMar>
              <w:left w:w="108" w:type="dxa"/>
              <w:right w:w="108" w:type="dxa"/>
            </w:tcMar>
            <w:vAlign w:val="center"/>
          </w:tcPr>
          <w:p w14:paraId="14AE7AD6">
            <w:pPr>
              <w:jc w:val="center"/>
              <w:rPr>
                <w:rFonts w:hint="default" w:ascii="Times New Roman" w:hAnsi="Times New Roman" w:cs="Times New Roman"/>
                <w:b w:val="0"/>
                <w:bCs/>
                <w:sz w:val="21"/>
                <w:szCs w:val="21"/>
              </w:rPr>
            </w:pPr>
          </w:p>
        </w:tc>
        <w:tc>
          <w:tcPr>
            <w:tcW w:w="343" w:type="pct"/>
            <w:vMerge w:val="continue"/>
            <w:tcBorders>
              <w:left w:val="single" w:color="000000" w:sz="4" w:space="0"/>
              <w:right w:val="single" w:color="000000" w:sz="4" w:space="0"/>
            </w:tcBorders>
            <w:noWrap w:val="0"/>
            <w:tcMar>
              <w:left w:w="108" w:type="dxa"/>
              <w:right w:w="108" w:type="dxa"/>
            </w:tcMar>
            <w:vAlign w:val="center"/>
          </w:tcPr>
          <w:p w14:paraId="76CC26D9">
            <w:pPr>
              <w:jc w:val="center"/>
              <w:rPr>
                <w:rFonts w:hint="default" w:ascii="Times New Roman" w:hAnsi="Times New Roman" w:cs="Times New Roman"/>
                <w:b w:val="0"/>
                <w:bCs/>
                <w:sz w:val="21"/>
                <w:szCs w:val="21"/>
              </w:rPr>
            </w:pPr>
          </w:p>
        </w:tc>
        <w:tc>
          <w:tcPr>
            <w:tcW w:w="431" w:type="pct"/>
            <w:vMerge w:val="continue"/>
            <w:tcBorders>
              <w:left w:val="single" w:color="000000" w:sz="4" w:space="0"/>
              <w:right w:val="single" w:color="000000" w:sz="4" w:space="0"/>
            </w:tcBorders>
            <w:noWrap w:val="0"/>
            <w:tcMar>
              <w:left w:w="108" w:type="dxa"/>
              <w:right w:w="108" w:type="dxa"/>
            </w:tcMar>
            <w:vAlign w:val="center"/>
          </w:tcPr>
          <w:p w14:paraId="15D4F7FE">
            <w:pPr>
              <w:jc w:val="center"/>
              <w:rPr>
                <w:rFonts w:hint="default" w:ascii="Times New Roman" w:hAnsi="Times New Roman" w:cs="Times New Roman"/>
                <w:b w:val="0"/>
                <w:bCs/>
                <w:sz w:val="21"/>
                <w:szCs w:val="21"/>
              </w:rPr>
            </w:pPr>
          </w:p>
        </w:tc>
      </w:tr>
      <w:tr w14:paraId="070723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162" w:type="pct"/>
            <w:vMerge w:val="continue"/>
            <w:tcBorders>
              <w:left w:val="single" w:color="000000" w:sz="4" w:space="0"/>
              <w:right w:val="single" w:color="000000" w:sz="4" w:space="0"/>
            </w:tcBorders>
            <w:noWrap w:val="0"/>
            <w:tcMar>
              <w:left w:w="108" w:type="dxa"/>
              <w:right w:w="108" w:type="dxa"/>
            </w:tcMar>
            <w:vAlign w:val="center"/>
          </w:tcPr>
          <w:p w14:paraId="7A477B63">
            <w:pPr>
              <w:jc w:val="center"/>
              <w:rPr>
                <w:rFonts w:hint="default" w:ascii="Times New Roman" w:hAnsi="Times New Roman" w:cs="Times New Roman"/>
                <w:b w:val="0"/>
                <w:bCs/>
                <w:sz w:val="21"/>
                <w:szCs w:val="21"/>
              </w:rPr>
            </w:pPr>
          </w:p>
        </w:tc>
        <w:tc>
          <w:tcPr>
            <w:tcW w:w="433" w:type="pct"/>
            <w:vMerge w:val="continue"/>
            <w:tcBorders>
              <w:left w:val="single" w:color="000000" w:sz="4" w:space="0"/>
              <w:right w:val="single" w:color="000000" w:sz="4" w:space="0"/>
            </w:tcBorders>
            <w:noWrap w:val="0"/>
            <w:tcMar>
              <w:left w:w="108" w:type="dxa"/>
              <w:right w:w="108" w:type="dxa"/>
            </w:tcMar>
            <w:vAlign w:val="center"/>
          </w:tcPr>
          <w:p w14:paraId="40C920E8">
            <w:pPr>
              <w:keepNext w:val="0"/>
              <w:keepLines w:val="0"/>
              <w:widowControl/>
              <w:suppressLineNumbers w:val="0"/>
              <w:jc w:val="center"/>
              <w:textAlignment w:val="center"/>
              <w:rPr>
                <w:rFonts w:hint="default" w:ascii="Times New Roman" w:hAnsi="Times New Roman" w:eastAsia="宋体" w:cs="Times New Roman"/>
                <w:b w:val="0"/>
                <w:bCs/>
                <w:i w:val="0"/>
                <w:iCs w:val="0"/>
                <w:color w:val="000000"/>
                <w:kern w:val="0"/>
                <w:sz w:val="21"/>
                <w:szCs w:val="21"/>
                <w:u w:val="none"/>
                <w:lang w:val="en-US" w:eastAsia="zh-CN" w:bidi="ar"/>
              </w:rPr>
            </w:pPr>
          </w:p>
        </w:tc>
        <w:tc>
          <w:tcPr>
            <w:tcW w:w="357" w:type="pct"/>
            <w:tcBorders>
              <w:top w:val="single" w:color="000000" w:sz="4" w:space="0"/>
              <w:left w:val="single" w:color="000000" w:sz="4" w:space="0"/>
              <w:bottom w:val="single" w:color="000000" w:sz="4" w:space="0"/>
              <w:right w:val="single" w:color="000000" w:sz="4" w:space="0"/>
            </w:tcBorders>
            <w:shd w:val="clear" w:color="auto" w:fill="auto"/>
            <w:noWrap w:val="0"/>
            <w:tcMar>
              <w:left w:w="108" w:type="dxa"/>
              <w:right w:w="108" w:type="dxa"/>
            </w:tcMar>
            <w:vAlign w:val="center"/>
          </w:tcPr>
          <w:p w14:paraId="41317BE1">
            <w:pPr>
              <w:jc w:val="center"/>
              <w:rPr>
                <w:rFonts w:hint="default" w:ascii="Times New Roman" w:hAnsi="Times New Roman" w:eastAsia="宋体" w:cs="Times New Roman"/>
                <w:b w:val="0"/>
                <w:bCs/>
                <w:sz w:val="21"/>
                <w:szCs w:val="21"/>
                <w:lang w:val="en-US" w:eastAsia="zh-CN" w:bidi="ar-SA"/>
              </w:rPr>
            </w:pPr>
            <w:r>
              <w:rPr>
                <w:rFonts w:hint="default" w:ascii="Times New Roman" w:hAnsi="Times New Roman" w:cs="Times New Roman"/>
                <w:b w:val="0"/>
                <w:bCs/>
                <w:sz w:val="21"/>
                <w:szCs w:val="21"/>
              </w:rPr>
              <w:t>氨</w:t>
            </w:r>
          </w:p>
        </w:tc>
        <w:tc>
          <w:tcPr>
            <w:tcW w:w="684" w:type="pct"/>
            <w:vMerge w:val="continue"/>
            <w:tcBorders>
              <w:left w:val="single" w:color="000000" w:sz="4" w:space="0"/>
              <w:right w:val="single" w:color="000000" w:sz="4" w:space="0"/>
            </w:tcBorders>
            <w:noWrap w:val="0"/>
            <w:tcMar>
              <w:left w:w="108" w:type="dxa"/>
              <w:right w:w="108" w:type="dxa"/>
            </w:tcMar>
            <w:vAlign w:val="center"/>
          </w:tcPr>
          <w:p w14:paraId="31F0FD4C">
            <w:pPr>
              <w:jc w:val="center"/>
              <w:rPr>
                <w:rFonts w:hint="default" w:ascii="Times New Roman" w:hAnsi="Times New Roman" w:cs="Times New Roman"/>
                <w:b w:val="0"/>
                <w:bCs/>
                <w:sz w:val="21"/>
                <w:szCs w:val="21"/>
              </w:rPr>
            </w:pPr>
          </w:p>
        </w:tc>
        <w:tc>
          <w:tcPr>
            <w:tcW w:w="428" w:type="pct"/>
            <w:vMerge w:val="continue"/>
            <w:tcBorders>
              <w:left w:val="single" w:color="000000" w:sz="4" w:space="0"/>
              <w:right w:val="single" w:color="000000" w:sz="4" w:space="0"/>
            </w:tcBorders>
            <w:noWrap w:val="0"/>
            <w:tcMar>
              <w:left w:w="108" w:type="dxa"/>
              <w:right w:w="108" w:type="dxa"/>
            </w:tcMar>
            <w:vAlign w:val="center"/>
          </w:tcPr>
          <w:p w14:paraId="09626C43">
            <w:pPr>
              <w:jc w:val="center"/>
              <w:rPr>
                <w:rFonts w:hint="default" w:ascii="Times New Roman" w:hAnsi="Times New Roman" w:cs="Times New Roman"/>
                <w:b w:val="0"/>
                <w:bCs/>
                <w:sz w:val="21"/>
                <w:szCs w:val="21"/>
                <w:lang w:val="en-US" w:eastAsia="zh-CN"/>
              </w:rPr>
            </w:pPr>
          </w:p>
        </w:tc>
        <w:tc>
          <w:tcPr>
            <w:tcW w:w="0" w:type="auto"/>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35F56573">
            <w:pPr>
              <w:jc w:val="center"/>
              <w:rPr>
                <w:rFonts w:hint="default" w:ascii="Times New Roman" w:hAnsi="Times New Roman" w:cs="Times New Roman"/>
                <w:b w:val="0"/>
                <w:bCs/>
                <w:sz w:val="21"/>
                <w:szCs w:val="21"/>
                <w:lang w:val="en-US" w:eastAsia="zh-CN"/>
              </w:rPr>
            </w:pPr>
            <w:r>
              <w:rPr>
                <w:rFonts w:hint="default" w:ascii="Times New Roman" w:hAnsi="Times New Roman" w:cs="Times New Roman"/>
                <w:b w:val="0"/>
                <w:bCs/>
                <w:sz w:val="21"/>
                <w:szCs w:val="21"/>
                <w:lang w:val="en-US" w:eastAsia="zh-CN"/>
              </w:rPr>
              <w:t>0</w:t>
            </w:r>
          </w:p>
        </w:tc>
        <w:tc>
          <w:tcPr>
            <w:tcW w:w="589" w:type="pct"/>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3F7FB1C7">
            <w:pPr>
              <w:keepNext w:val="0"/>
              <w:keepLines w:val="0"/>
              <w:widowControl/>
              <w:suppressLineNumbers w:val="0"/>
              <w:jc w:val="center"/>
              <w:textAlignment w:val="center"/>
              <w:rPr>
                <w:rFonts w:hint="default" w:ascii="Times New Roman" w:hAnsi="Times New Roman" w:cs="Times New Roman"/>
                <w:b w:val="0"/>
                <w:bCs w:val="0"/>
                <w:sz w:val="21"/>
                <w:szCs w:val="21"/>
              </w:rPr>
            </w:pPr>
            <w:r>
              <w:rPr>
                <w:rFonts w:hint="default" w:ascii="Times New Roman" w:hAnsi="Times New Roman" w:eastAsia="宋体" w:cs="Times New Roman"/>
                <w:b w:val="0"/>
                <w:bCs w:val="0"/>
                <w:i w:val="0"/>
                <w:iCs w:val="0"/>
                <w:color w:val="000000"/>
                <w:kern w:val="0"/>
                <w:sz w:val="21"/>
                <w:szCs w:val="21"/>
                <w:u w:val="none"/>
                <w:lang w:val="en-US" w:eastAsia="zh-CN" w:bidi="ar"/>
              </w:rPr>
              <w:t>1.87</w:t>
            </w:r>
          </w:p>
        </w:tc>
        <w:tc>
          <w:tcPr>
            <w:tcW w:w="585" w:type="pct"/>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05F7365C">
            <w:pPr>
              <w:keepNext w:val="0"/>
              <w:keepLines w:val="0"/>
              <w:widowControl/>
              <w:suppressLineNumbers w:val="0"/>
              <w:jc w:val="center"/>
              <w:textAlignment w:val="center"/>
              <w:rPr>
                <w:rFonts w:hint="default" w:ascii="Times New Roman" w:hAnsi="Times New Roman" w:cs="Times New Roman"/>
                <w:b w:val="0"/>
                <w:bCs/>
                <w:sz w:val="21"/>
                <w:szCs w:val="21"/>
              </w:rPr>
            </w:pPr>
            <w:r>
              <w:rPr>
                <w:rFonts w:hint="default" w:ascii="Times New Roman" w:hAnsi="Times New Roman" w:eastAsia="宋体" w:cs="Times New Roman"/>
                <w:b w:val="0"/>
                <w:bCs/>
                <w:i w:val="0"/>
                <w:iCs w:val="0"/>
                <w:color w:val="000000"/>
                <w:kern w:val="0"/>
                <w:sz w:val="21"/>
                <w:szCs w:val="21"/>
                <w:u w:val="none"/>
                <w:lang w:val="en-US" w:eastAsia="zh-CN" w:bidi="ar"/>
              </w:rPr>
              <w:t>0.504</w:t>
            </w:r>
          </w:p>
        </w:tc>
        <w:tc>
          <w:tcPr>
            <w:tcW w:w="321" w:type="pct"/>
            <w:vMerge w:val="continue"/>
            <w:tcBorders>
              <w:left w:val="single" w:color="000000" w:sz="4" w:space="0"/>
              <w:right w:val="single" w:color="000000" w:sz="4" w:space="0"/>
            </w:tcBorders>
            <w:noWrap w:val="0"/>
            <w:tcMar>
              <w:left w:w="108" w:type="dxa"/>
              <w:right w:w="108" w:type="dxa"/>
            </w:tcMar>
            <w:vAlign w:val="center"/>
          </w:tcPr>
          <w:p w14:paraId="2F16DCBF">
            <w:pPr>
              <w:jc w:val="center"/>
              <w:rPr>
                <w:rFonts w:hint="default" w:ascii="Times New Roman" w:hAnsi="Times New Roman" w:cs="Times New Roman"/>
                <w:b w:val="0"/>
                <w:bCs/>
                <w:sz w:val="21"/>
                <w:szCs w:val="21"/>
              </w:rPr>
            </w:pPr>
          </w:p>
        </w:tc>
        <w:tc>
          <w:tcPr>
            <w:tcW w:w="321" w:type="pct"/>
            <w:vMerge w:val="continue"/>
            <w:tcBorders>
              <w:left w:val="single" w:color="000000" w:sz="4" w:space="0"/>
              <w:right w:val="single" w:color="000000" w:sz="4" w:space="0"/>
            </w:tcBorders>
            <w:noWrap w:val="0"/>
            <w:tcMar>
              <w:left w:w="108" w:type="dxa"/>
              <w:right w:w="108" w:type="dxa"/>
            </w:tcMar>
            <w:vAlign w:val="center"/>
          </w:tcPr>
          <w:p w14:paraId="3E2C1B19">
            <w:pPr>
              <w:jc w:val="center"/>
              <w:rPr>
                <w:rFonts w:hint="default" w:ascii="Times New Roman" w:hAnsi="Times New Roman" w:cs="Times New Roman"/>
                <w:b w:val="0"/>
                <w:bCs/>
                <w:sz w:val="21"/>
                <w:szCs w:val="21"/>
              </w:rPr>
            </w:pPr>
          </w:p>
        </w:tc>
        <w:tc>
          <w:tcPr>
            <w:tcW w:w="343" w:type="pct"/>
            <w:vMerge w:val="continue"/>
            <w:tcBorders>
              <w:left w:val="single" w:color="000000" w:sz="4" w:space="0"/>
              <w:right w:val="single" w:color="000000" w:sz="4" w:space="0"/>
            </w:tcBorders>
            <w:noWrap w:val="0"/>
            <w:tcMar>
              <w:left w:w="108" w:type="dxa"/>
              <w:right w:w="108" w:type="dxa"/>
            </w:tcMar>
            <w:vAlign w:val="center"/>
          </w:tcPr>
          <w:p w14:paraId="682FACC6">
            <w:pPr>
              <w:jc w:val="center"/>
              <w:rPr>
                <w:rFonts w:hint="default" w:ascii="Times New Roman" w:hAnsi="Times New Roman" w:cs="Times New Roman"/>
                <w:b w:val="0"/>
                <w:bCs/>
                <w:sz w:val="21"/>
                <w:szCs w:val="21"/>
              </w:rPr>
            </w:pPr>
          </w:p>
        </w:tc>
        <w:tc>
          <w:tcPr>
            <w:tcW w:w="431" w:type="pct"/>
            <w:vMerge w:val="continue"/>
            <w:tcBorders>
              <w:left w:val="single" w:color="000000" w:sz="4" w:space="0"/>
              <w:right w:val="single" w:color="000000" w:sz="4" w:space="0"/>
            </w:tcBorders>
            <w:noWrap w:val="0"/>
            <w:tcMar>
              <w:left w:w="108" w:type="dxa"/>
              <w:right w:w="108" w:type="dxa"/>
            </w:tcMar>
            <w:vAlign w:val="center"/>
          </w:tcPr>
          <w:p w14:paraId="0CF1458C">
            <w:pPr>
              <w:jc w:val="center"/>
              <w:rPr>
                <w:rFonts w:hint="default" w:ascii="Times New Roman" w:hAnsi="Times New Roman" w:cs="Times New Roman"/>
                <w:b w:val="0"/>
                <w:bCs/>
                <w:sz w:val="21"/>
                <w:szCs w:val="21"/>
              </w:rPr>
            </w:pPr>
          </w:p>
        </w:tc>
      </w:tr>
      <w:tr w14:paraId="71D6A4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162" w:type="pct"/>
            <w:vMerge w:val="continue"/>
            <w:tcBorders>
              <w:left w:val="single" w:color="000000" w:sz="4" w:space="0"/>
              <w:bottom w:val="single" w:color="000000" w:sz="4" w:space="0"/>
              <w:right w:val="single" w:color="000000" w:sz="4" w:space="0"/>
            </w:tcBorders>
            <w:noWrap w:val="0"/>
            <w:tcMar>
              <w:left w:w="108" w:type="dxa"/>
              <w:right w:w="108" w:type="dxa"/>
            </w:tcMar>
            <w:vAlign w:val="center"/>
          </w:tcPr>
          <w:p w14:paraId="049D6598">
            <w:pPr>
              <w:jc w:val="center"/>
              <w:rPr>
                <w:rFonts w:hint="default" w:ascii="Times New Roman" w:hAnsi="Times New Roman" w:cs="Times New Roman"/>
                <w:b w:val="0"/>
                <w:bCs/>
                <w:sz w:val="21"/>
                <w:szCs w:val="21"/>
              </w:rPr>
            </w:pPr>
          </w:p>
        </w:tc>
        <w:tc>
          <w:tcPr>
            <w:tcW w:w="433" w:type="pct"/>
            <w:vMerge w:val="continue"/>
            <w:tcBorders>
              <w:left w:val="single" w:color="000000" w:sz="4" w:space="0"/>
              <w:bottom w:val="single" w:color="000000" w:sz="4" w:space="0"/>
              <w:right w:val="single" w:color="000000" w:sz="4" w:space="0"/>
            </w:tcBorders>
            <w:noWrap w:val="0"/>
            <w:tcMar>
              <w:left w:w="108" w:type="dxa"/>
              <w:right w:w="108" w:type="dxa"/>
            </w:tcMar>
            <w:vAlign w:val="center"/>
          </w:tcPr>
          <w:p w14:paraId="20DCD3F7">
            <w:pPr>
              <w:keepNext w:val="0"/>
              <w:keepLines w:val="0"/>
              <w:widowControl/>
              <w:suppressLineNumbers w:val="0"/>
              <w:jc w:val="center"/>
              <w:textAlignment w:val="center"/>
              <w:rPr>
                <w:rFonts w:hint="default" w:ascii="Times New Roman" w:hAnsi="Times New Roman" w:eastAsia="宋体" w:cs="Times New Roman"/>
                <w:b w:val="0"/>
                <w:bCs/>
                <w:i w:val="0"/>
                <w:iCs w:val="0"/>
                <w:color w:val="000000"/>
                <w:kern w:val="0"/>
                <w:sz w:val="21"/>
                <w:szCs w:val="21"/>
                <w:u w:val="none"/>
                <w:lang w:val="en-US" w:eastAsia="zh-CN" w:bidi="ar"/>
              </w:rPr>
            </w:pPr>
          </w:p>
        </w:tc>
        <w:tc>
          <w:tcPr>
            <w:tcW w:w="357" w:type="pct"/>
            <w:tcBorders>
              <w:top w:val="single" w:color="000000" w:sz="4" w:space="0"/>
              <w:left w:val="single" w:color="000000" w:sz="4" w:space="0"/>
              <w:bottom w:val="single" w:color="000000" w:sz="4" w:space="0"/>
              <w:right w:val="single" w:color="000000" w:sz="4" w:space="0"/>
            </w:tcBorders>
            <w:shd w:val="clear" w:color="auto" w:fill="auto"/>
            <w:noWrap w:val="0"/>
            <w:tcMar>
              <w:left w:w="108" w:type="dxa"/>
              <w:right w:w="108" w:type="dxa"/>
            </w:tcMar>
            <w:vAlign w:val="center"/>
          </w:tcPr>
          <w:p w14:paraId="5DA83402">
            <w:pPr>
              <w:jc w:val="center"/>
              <w:rPr>
                <w:rFonts w:hint="default" w:ascii="Times New Roman" w:hAnsi="Times New Roman" w:eastAsia="宋体" w:cs="Times New Roman"/>
                <w:b w:val="0"/>
                <w:bCs/>
                <w:sz w:val="21"/>
                <w:szCs w:val="21"/>
                <w:lang w:val="en-US" w:eastAsia="zh-CN" w:bidi="ar-SA"/>
              </w:rPr>
            </w:pPr>
            <w:r>
              <w:rPr>
                <w:rFonts w:hint="default" w:ascii="Times New Roman" w:hAnsi="Times New Roman" w:cs="Times New Roman"/>
                <w:b w:val="0"/>
                <w:bCs/>
                <w:sz w:val="21"/>
                <w:szCs w:val="21"/>
              </w:rPr>
              <w:t>二噁英类</w:t>
            </w:r>
          </w:p>
        </w:tc>
        <w:tc>
          <w:tcPr>
            <w:tcW w:w="684" w:type="pct"/>
            <w:vMerge w:val="continue"/>
            <w:tcBorders>
              <w:left w:val="single" w:color="000000" w:sz="4" w:space="0"/>
              <w:bottom w:val="single" w:color="000000" w:sz="4" w:space="0"/>
              <w:right w:val="single" w:color="000000" w:sz="4" w:space="0"/>
            </w:tcBorders>
            <w:noWrap w:val="0"/>
            <w:tcMar>
              <w:left w:w="108" w:type="dxa"/>
              <w:right w:w="108" w:type="dxa"/>
            </w:tcMar>
            <w:vAlign w:val="center"/>
          </w:tcPr>
          <w:p w14:paraId="731BB5B5">
            <w:pPr>
              <w:jc w:val="center"/>
              <w:rPr>
                <w:rFonts w:hint="default" w:ascii="Times New Roman" w:hAnsi="Times New Roman" w:cs="Times New Roman"/>
                <w:b w:val="0"/>
                <w:bCs/>
                <w:sz w:val="21"/>
                <w:szCs w:val="21"/>
              </w:rPr>
            </w:pPr>
          </w:p>
        </w:tc>
        <w:tc>
          <w:tcPr>
            <w:tcW w:w="428" w:type="pct"/>
            <w:vMerge w:val="continue"/>
            <w:tcBorders>
              <w:left w:val="single" w:color="000000" w:sz="4" w:space="0"/>
              <w:bottom w:val="single" w:color="000000" w:sz="4" w:space="0"/>
              <w:right w:val="single" w:color="000000" w:sz="4" w:space="0"/>
            </w:tcBorders>
            <w:noWrap w:val="0"/>
            <w:tcMar>
              <w:left w:w="108" w:type="dxa"/>
              <w:right w:w="108" w:type="dxa"/>
            </w:tcMar>
            <w:vAlign w:val="center"/>
          </w:tcPr>
          <w:p w14:paraId="7CB8490B">
            <w:pPr>
              <w:jc w:val="center"/>
              <w:rPr>
                <w:rFonts w:hint="default" w:ascii="Times New Roman" w:hAnsi="Times New Roman" w:cs="Times New Roman"/>
                <w:b w:val="0"/>
                <w:bCs/>
                <w:sz w:val="21"/>
                <w:szCs w:val="21"/>
                <w:lang w:val="en-US" w:eastAsia="zh-CN"/>
              </w:rPr>
            </w:pPr>
          </w:p>
        </w:tc>
        <w:tc>
          <w:tcPr>
            <w:tcW w:w="0" w:type="auto"/>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51D4DF0A">
            <w:pPr>
              <w:jc w:val="center"/>
              <w:rPr>
                <w:rFonts w:hint="default" w:ascii="Times New Roman" w:hAnsi="Times New Roman" w:cs="Times New Roman"/>
                <w:b w:val="0"/>
                <w:bCs/>
                <w:sz w:val="21"/>
                <w:szCs w:val="21"/>
                <w:lang w:val="en-US" w:eastAsia="zh-CN"/>
              </w:rPr>
            </w:pPr>
            <w:r>
              <w:rPr>
                <w:rFonts w:hint="default" w:ascii="Times New Roman" w:hAnsi="Times New Roman" w:cs="Times New Roman"/>
                <w:b w:val="0"/>
                <w:bCs/>
                <w:sz w:val="21"/>
                <w:szCs w:val="21"/>
                <w:lang w:val="en-US" w:eastAsia="zh-CN"/>
              </w:rPr>
              <w:t>0</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0"/>
            <w:tcMar>
              <w:left w:w="108" w:type="dxa"/>
              <w:right w:w="108" w:type="dxa"/>
            </w:tcMar>
            <w:vAlign w:val="center"/>
          </w:tcPr>
          <w:p w14:paraId="36E4D3D8">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lang w:val="en-US" w:eastAsia="zh-CN" w:bidi="ar-SA"/>
              </w:rPr>
            </w:pPr>
            <w:r>
              <w:rPr>
                <w:rFonts w:hint="default" w:ascii="Times New Roman" w:hAnsi="Times New Roman" w:eastAsia="宋体" w:cs="Times New Roman"/>
                <w:b w:val="0"/>
                <w:bCs w:val="0"/>
                <w:i w:val="0"/>
                <w:iCs w:val="0"/>
                <w:color w:val="000000"/>
                <w:kern w:val="0"/>
                <w:sz w:val="21"/>
                <w:szCs w:val="21"/>
                <w:u w:val="none"/>
                <w:lang w:val="en-US" w:eastAsia="zh-CN" w:bidi="ar"/>
              </w:rPr>
              <w:t xml:space="preserve">0.00000031 </w:t>
            </w:r>
          </w:p>
        </w:tc>
        <w:tc>
          <w:tcPr>
            <w:tcW w:w="0" w:type="auto"/>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50B4714C">
            <w:pPr>
              <w:jc w:val="center"/>
              <w:rPr>
                <w:rFonts w:hint="default" w:ascii="Times New Roman" w:hAnsi="Times New Roman" w:cs="Times New Roman"/>
                <w:b w:val="0"/>
                <w:bCs/>
                <w:sz w:val="21"/>
                <w:szCs w:val="21"/>
              </w:rPr>
            </w:pPr>
            <w:r>
              <w:rPr>
                <w:rFonts w:hint="default" w:ascii="Times New Roman" w:hAnsi="Times New Roman" w:cs="Times New Roman"/>
                <w:b w:val="0"/>
                <w:bCs/>
                <w:sz w:val="21"/>
                <w:szCs w:val="21"/>
                <w:highlight w:val="none"/>
                <w:lang w:val="en-US" w:eastAsia="zh-CN"/>
              </w:rPr>
              <w:t>8.3</w:t>
            </w:r>
            <w:r>
              <w:rPr>
                <w:rFonts w:hint="default" w:ascii="Times New Roman" w:hAnsi="Times New Roman" w:cs="Times New Roman"/>
                <w:b w:val="0"/>
                <w:bCs/>
                <w:sz w:val="21"/>
                <w:szCs w:val="21"/>
                <w:highlight w:val="none"/>
              </w:rPr>
              <w:t>×10</w:t>
            </w:r>
            <w:r>
              <w:rPr>
                <w:rFonts w:hint="default" w:ascii="Times New Roman" w:hAnsi="Times New Roman" w:cs="Times New Roman"/>
                <w:b w:val="0"/>
                <w:bCs/>
                <w:sz w:val="21"/>
                <w:szCs w:val="21"/>
                <w:highlight w:val="none"/>
                <w:vertAlign w:val="superscript"/>
                <w:lang w:val="en-US" w:eastAsia="zh-CN"/>
              </w:rPr>
              <w:t>-5</w:t>
            </w:r>
            <w:r>
              <w:rPr>
                <w:rFonts w:hint="default" w:ascii="Times New Roman" w:hAnsi="Times New Roman" w:cs="Times New Roman"/>
                <w:b w:val="0"/>
                <w:bCs/>
                <w:sz w:val="21"/>
                <w:szCs w:val="21"/>
                <w:highlight w:val="none"/>
              </w:rPr>
              <w:t>g</w:t>
            </w:r>
            <w:r>
              <w:rPr>
                <w:rFonts w:hint="default" w:ascii="Times New Roman" w:hAnsi="Times New Roman" w:cs="Times New Roman"/>
                <w:b w:val="0"/>
                <w:bCs/>
                <w:sz w:val="21"/>
                <w:szCs w:val="21"/>
                <w:highlight w:val="none"/>
                <w:lang w:val="en-US" w:eastAsia="zh-CN"/>
              </w:rPr>
              <w:t>/h</w:t>
            </w:r>
          </w:p>
        </w:tc>
        <w:tc>
          <w:tcPr>
            <w:tcW w:w="321" w:type="pct"/>
            <w:vMerge w:val="continue"/>
            <w:tcBorders>
              <w:left w:val="single" w:color="000000" w:sz="4" w:space="0"/>
              <w:bottom w:val="single" w:color="000000" w:sz="4" w:space="0"/>
              <w:right w:val="single" w:color="000000" w:sz="4" w:space="0"/>
            </w:tcBorders>
            <w:noWrap w:val="0"/>
            <w:tcMar>
              <w:left w:w="108" w:type="dxa"/>
              <w:right w:w="108" w:type="dxa"/>
            </w:tcMar>
            <w:vAlign w:val="center"/>
          </w:tcPr>
          <w:p w14:paraId="07CB7A7D">
            <w:pPr>
              <w:jc w:val="center"/>
              <w:rPr>
                <w:rFonts w:hint="default" w:ascii="Times New Roman" w:hAnsi="Times New Roman" w:cs="Times New Roman"/>
                <w:b w:val="0"/>
                <w:bCs/>
                <w:sz w:val="21"/>
                <w:szCs w:val="21"/>
              </w:rPr>
            </w:pPr>
          </w:p>
        </w:tc>
        <w:tc>
          <w:tcPr>
            <w:tcW w:w="321" w:type="pct"/>
            <w:vMerge w:val="continue"/>
            <w:tcBorders>
              <w:left w:val="single" w:color="000000" w:sz="4" w:space="0"/>
              <w:bottom w:val="single" w:color="000000" w:sz="4" w:space="0"/>
              <w:right w:val="single" w:color="000000" w:sz="4" w:space="0"/>
            </w:tcBorders>
            <w:noWrap w:val="0"/>
            <w:tcMar>
              <w:left w:w="108" w:type="dxa"/>
              <w:right w:w="108" w:type="dxa"/>
            </w:tcMar>
            <w:vAlign w:val="center"/>
          </w:tcPr>
          <w:p w14:paraId="1D93F093">
            <w:pPr>
              <w:jc w:val="center"/>
              <w:rPr>
                <w:rFonts w:hint="default" w:ascii="Times New Roman" w:hAnsi="Times New Roman" w:cs="Times New Roman"/>
                <w:b w:val="0"/>
                <w:bCs/>
                <w:sz w:val="21"/>
                <w:szCs w:val="21"/>
              </w:rPr>
            </w:pPr>
          </w:p>
        </w:tc>
        <w:tc>
          <w:tcPr>
            <w:tcW w:w="343" w:type="pct"/>
            <w:vMerge w:val="continue"/>
            <w:tcBorders>
              <w:left w:val="single" w:color="000000" w:sz="4" w:space="0"/>
              <w:bottom w:val="single" w:color="000000" w:sz="4" w:space="0"/>
              <w:right w:val="single" w:color="000000" w:sz="4" w:space="0"/>
            </w:tcBorders>
            <w:noWrap w:val="0"/>
            <w:tcMar>
              <w:left w:w="108" w:type="dxa"/>
              <w:right w:w="108" w:type="dxa"/>
            </w:tcMar>
            <w:vAlign w:val="center"/>
          </w:tcPr>
          <w:p w14:paraId="1A742FC3">
            <w:pPr>
              <w:jc w:val="center"/>
              <w:rPr>
                <w:rFonts w:hint="default" w:ascii="Times New Roman" w:hAnsi="Times New Roman" w:cs="Times New Roman"/>
                <w:b w:val="0"/>
                <w:bCs/>
                <w:sz w:val="21"/>
                <w:szCs w:val="21"/>
              </w:rPr>
            </w:pPr>
          </w:p>
        </w:tc>
        <w:tc>
          <w:tcPr>
            <w:tcW w:w="431" w:type="pct"/>
            <w:vMerge w:val="continue"/>
            <w:tcBorders>
              <w:left w:val="single" w:color="000000" w:sz="4" w:space="0"/>
              <w:bottom w:val="single" w:color="000000" w:sz="4" w:space="0"/>
              <w:right w:val="single" w:color="000000" w:sz="4" w:space="0"/>
            </w:tcBorders>
            <w:noWrap w:val="0"/>
            <w:tcMar>
              <w:left w:w="108" w:type="dxa"/>
              <w:right w:w="108" w:type="dxa"/>
            </w:tcMar>
            <w:vAlign w:val="center"/>
          </w:tcPr>
          <w:p w14:paraId="13CE2DA4">
            <w:pPr>
              <w:jc w:val="center"/>
              <w:rPr>
                <w:rFonts w:hint="default" w:ascii="Times New Roman" w:hAnsi="Times New Roman" w:cs="Times New Roman"/>
                <w:b w:val="0"/>
                <w:bCs/>
                <w:sz w:val="21"/>
                <w:szCs w:val="21"/>
              </w:rPr>
            </w:pPr>
          </w:p>
        </w:tc>
      </w:tr>
    </w:tbl>
    <w:p w14:paraId="2E40C4BD">
      <w:pPr>
        <w:pStyle w:val="2"/>
        <w:ind w:left="0" w:leftChars="0" w:firstLine="0" w:firstLineChars="0"/>
        <w:rPr>
          <w:rFonts w:hint="eastAsia"/>
        </w:rPr>
        <w:sectPr>
          <w:pgSz w:w="16840" w:h="11907" w:orient="landscape"/>
          <w:pgMar w:top="1701" w:right="1701" w:bottom="1701" w:left="1701" w:header="851" w:footer="1077" w:gutter="0"/>
          <w:pgBorders w:offsetFrom="page">
            <w:top w:val="none" w:sz="0" w:space="0"/>
            <w:left w:val="none" w:sz="0" w:space="0"/>
            <w:bottom w:val="none" w:sz="0" w:space="0"/>
            <w:right w:val="none" w:sz="0" w:space="0"/>
          </w:pgBorders>
          <w:pgNumType w:fmt="decimal"/>
          <w:cols w:space="720" w:num="1"/>
          <w:docGrid w:type="lines" w:linePitch="479" w:charSpace="0"/>
        </w:sectPr>
      </w:pPr>
    </w:p>
    <w:p w14:paraId="30BFEEDC">
      <w:pPr>
        <w:pStyle w:val="7"/>
        <w:spacing w:line="240" w:lineRule="auto"/>
      </w:pPr>
      <w:bookmarkStart w:id="294" w:name="_Toc90026264"/>
      <w:bookmarkStart w:id="295" w:name="_Toc18913"/>
      <w:r>
        <w:rPr>
          <w:rFonts w:hint="eastAsia"/>
          <w:lang w:eastAsia="zh-CN"/>
        </w:rPr>
        <w:t>3</w:t>
      </w:r>
      <w:r>
        <w:t>.</w:t>
      </w:r>
      <w:r>
        <w:rPr>
          <w:rFonts w:hint="eastAsia"/>
          <w:lang w:eastAsia="zh-CN"/>
        </w:rPr>
        <w:t>4</w:t>
      </w:r>
      <w:r>
        <w:t>.</w:t>
      </w:r>
      <w:r>
        <w:rPr>
          <w:rFonts w:hint="eastAsia"/>
          <w:lang w:eastAsia="zh-CN"/>
        </w:rPr>
        <w:t>2</w:t>
      </w:r>
      <w:r>
        <w:t xml:space="preserve"> 废水</w:t>
      </w:r>
      <w:bookmarkEnd w:id="294"/>
      <w:bookmarkEnd w:id="295"/>
    </w:p>
    <w:p w14:paraId="55222BB0">
      <w:pPr>
        <w:pStyle w:val="7"/>
        <w:spacing w:line="240" w:lineRule="auto"/>
        <w:ind w:firstLine="482" w:firstLineChars="200"/>
        <w:rPr>
          <w:rFonts w:hint="eastAsia"/>
          <w:lang w:eastAsia="zh-CN"/>
        </w:rPr>
      </w:pPr>
      <w:bookmarkStart w:id="296" w:name="_Toc15524"/>
      <w:bookmarkStart w:id="297" w:name="_Toc31328"/>
      <w:bookmarkStart w:id="298" w:name="_Toc90026265"/>
      <w:r>
        <w:rPr>
          <w:rFonts w:hint="eastAsia"/>
          <w:lang w:eastAsia="zh-CN"/>
        </w:rPr>
        <w:t>（1）脱硫设施废水</w:t>
      </w:r>
      <w:bookmarkEnd w:id="296"/>
      <w:bookmarkEnd w:id="297"/>
    </w:p>
    <w:p w14:paraId="302628F5">
      <w:pPr>
        <w:pStyle w:val="7"/>
        <w:spacing w:line="240" w:lineRule="auto"/>
        <w:ind w:firstLine="480" w:firstLineChars="200"/>
        <w:rPr>
          <w:rFonts w:hint="eastAsia"/>
          <w:b w:val="0"/>
          <w:bCs/>
          <w:lang w:eastAsia="zh-CN"/>
        </w:rPr>
      </w:pPr>
      <w:bookmarkStart w:id="299" w:name="_Toc1912"/>
      <w:bookmarkStart w:id="300" w:name="_Toc4842"/>
      <w:r>
        <w:rPr>
          <w:rFonts w:hint="eastAsia"/>
          <w:b w:val="0"/>
          <w:bCs/>
          <w:lang w:eastAsia="zh-CN"/>
        </w:rPr>
        <w:t>本项目拟设置1套湿式石灰-石膏法脱硫工艺+湿电除尘工艺，预计脱硫系统补水量40m</w:t>
      </w:r>
      <w:r>
        <w:rPr>
          <w:rFonts w:hint="eastAsia"/>
          <w:b w:val="0"/>
          <w:bCs/>
          <w:vertAlign w:val="superscript"/>
          <w:lang w:eastAsia="zh-CN"/>
        </w:rPr>
        <w:t>3</w:t>
      </w:r>
      <w:r>
        <w:rPr>
          <w:rFonts w:hint="eastAsia"/>
          <w:b w:val="0"/>
          <w:bCs/>
          <w:lang w:eastAsia="zh-CN"/>
        </w:rPr>
        <w:t>/h（960m</w:t>
      </w:r>
      <w:r>
        <w:rPr>
          <w:rFonts w:hint="eastAsia"/>
          <w:b w:val="0"/>
          <w:bCs/>
          <w:vertAlign w:val="superscript"/>
          <w:lang w:eastAsia="zh-CN"/>
        </w:rPr>
        <w:t>3</w:t>
      </w:r>
      <w:r>
        <w:rPr>
          <w:rFonts w:hint="eastAsia"/>
          <w:b w:val="0"/>
          <w:bCs/>
          <w:lang w:eastAsia="zh-CN"/>
        </w:rPr>
        <w:t>/d），年用水量316800m</w:t>
      </w:r>
      <w:r>
        <w:rPr>
          <w:rFonts w:hint="eastAsia"/>
          <w:b w:val="0"/>
          <w:bCs/>
          <w:vertAlign w:val="superscript"/>
          <w:lang w:eastAsia="zh-CN"/>
        </w:rPr>
        <w:t>3</w:t>
      </w:r>
      <w:r>
        <w:rPr>
          <w:rFonts w:hint="eastAsia"/>
          <w:b w:val="0"/>
          <w:bCs/>
          <w:lang w:eastAsia="zh-CN"/>
        </w:rPr>
        <w:t>。脱硫石膏产生量为4793.37t/a，类比企业同类型废气治理措施，排渣浓度为15%，排出石膏经浓缩后再脱水，脱水后石膏含水率约10%。则脱硫废水产生量为4793.37/15%-4793.37/90%=26629.8t/a，即80.7m</w:t>
      </w:r>
      <w:r>
        <w:rPr>
          <w:rFonts w:hint="eastAsia"/>
          <w:b w:val="0"/>
          <w:bCs/>
          <w:vertAlign w:val="superscript"/>
          <w:lang w:eastAsia="zh-CN"/>
        </w:rPr>
        <w:t>3</w:t>
      </w:r>
      <w:r>
        <w:rPr>
          <w:rFonts w:hint="eastAsia"/>
          <w:b w:val="0"/>
          <w:bCs/>
          <w:lang w:eastAsia="zh-CN"/>
        </w:rPr>
        <w:t>/d。</w:t>
      </w:r>
      <w:bookmarkEnd w:id="299"/>
      <w:bookmarkEnd w:id="300"/>
    </w:p>
    <w:p w14:paraId="5FD76AD2">
      <w:pPr>
        <w:pStyle w:val="7"/>
        <w:spacing w:line="240" w:lineRule="auto"/>
        <w:ind w:firstLine="482" w:firstLineChars="200"/>
        <w:rPr>
          <w:rFonts w:hint="eastAsia"/>
          <w:lang w:eastAsia="zh-CN"/>
        </w:rPr>
      </w:pPr>
      <w:bookmarkStart w:id="301" w:name="_Toc17222"/>
      <w:bookmarkStart w:id="302" w:name="_Toc18728"/>
      <w:r>
        <w:rPr>
          <w:rFonts w:hint="eastAsia"/>
          <w:lang w:eastAsia="zh-CN"/>
        </w:rPr>
        <w:t>（2）初期雨水</w:t>
      </w:r>
      <w:bookmarkEnd w:id="301"/>
      <w:bookmarkEnd w:id="302"/>
    </w:p>
    <w:p w14:paraId="58442A46">
      <w:pPr>
        <w:pStyle w:val="7"/>
        <w:spacing w:line="240" w:lineRule="auto"/>
        <w:ind w:firstLine="480" w:firstLineChars="200"/>
        <w:rPr>
          <w:rFonts w:hint="eastAsia" w:ascii="Times New Roman" w:hAnsi="Times New Roman" w:eastAsia="宋体" w:cs="Times New Roman"/>
          <w:b w:val="0"/>
          <w:bCs/>
          <w:lang w:eastAsia="zh-CN"/>
        </w:rPr>
      </w:pPr>
      <w:bookmarkStart w:id="303" w:name="_Toc6634"/>
      <w:bookmarkStart w:id="304" w:name="_Toc27914"/>
      <w:r>
        <w:rPr>
          <w:rFonts w:hint="eastAsia" w:ascii="宋体" w:hAnsi="宋体" w:eastAsia="宋体" w:cs="宋体"/>
          <w:b w:val="0"/>
          <w:color w:val="000000"/>
          <w:kern w:val="0"/>
          <w:sz w:val="24"/>
          <w:szCs w:val="24"/>
          <w:lang w:val="en-US" w:eastAsia="zh-CN" w:bidi="ar"/>
        </w:rPr>
        <w:t>本项目考虑厂区内初期雨水收集处理，厂区沿道路边设置混凝土雨排水明沟，用于收集厂区各生产区域建筑物屋面、厂区地面雨水。本次项目为技术改造，雨水依托厂区现有收集系统，收集后经雨水收集池排至厂区外细河</w:t>
      </w:r>
      <w:r>
        <w:rPr>
          <w:rFonts w:hint="eastAsia" w:ascii="Times New Roman" w:hAnsi="Times New Roman" w:eastAsia="宋体" w:cs="Times New Roman"/>
          <w:b w:val="0"/>
          <w:bCs/>
          <w:lang w:eastAsia="zh-CN"/>
        </w:rPr>
        <w:t>。</w:t>
      </w:r>
      <w:bookmarkEnd w:id="303"/>
      <w:bookmarkEnd w:id="304"/>
    </w:p>
    <w:p w14:paraId="6AC3598E">
      <w:pPr>
        <w:pStyle w:val="7"/>
        <w:spacing w:line="240" w:lineRule="auto"/>
        <w:ind w:firstLine="482" w:firstLineChars="200"/>
        <w:rPr>
          <w:rFonts w:hint="eastAsia" w:ascii="Times New Roman" w:hAnsi="Times New Roman" w:eastAsia="宋体" w:cs="Times New Roman"/>
          <w:b/>
          <w:bCs w:val="0"/>
          <w:lang w:eastAsia="zh-CN"/>
        </w:rPr>
      </w:pPr>
      <w:bookmarkStart w:id="305" w:name="_Toc6912"/>
      <w:bookmarkStart w:id="306" w:name="_Toc15359"/>
      <w:r>
        <w:rPr>
          <w:rFonts w:hint="eastAsia" w:ascii="Times New Roman" w:hAnsi="Times New Roman" w:eastAsia="宋体" w:cs="Times New Roman"/>
          <w:b/>
          <w:bCs w:val="0"/>
          <w:lang w:eastAsia="zh-CN"/>
        </w:rPr>
        <w:t>（3）生活污水</w:t>
      </w:r>
      <w:bookmarkEnd w:id="305"/>
      <w:bookmarkEnd w:id="306"/>
    </w:p>
    <w:p w14:paraId="34C76676">
      <w:pPr>
        <w:pStyle w:val="7"/>
        <w:spacing w:line="240" w:lineRule="auto"/>
        <w:ind w:firstLine="480" w:firstLineChars="200"/>
        <w:rPr>
          <w:rFonts w:hint="eastAsia" w:ascii="Times New Roman" w:hAnsi="Times New Roman" w:eastAsia="宋体" w:cs="Times New Roman"/>
          <w:b w:val="0"/>
          <w:bCs/>
          <w:lang w:eastAsia="zh-CN"/>
        </w:rPr>
      </w:pPr>
      <w:bookmarkStart w:id="307" w:name="_Toc12620"/>
      <w:bookmarkStart w:id="308" w:name="_Toc24358"/>
      <w:r>
        <w:rPr>
          <w:rFonts w:hint="eastAsia" w:ascii="Times New Roman" w:hAnsi="Times New Roman" w:eastAsia="宋体" w:cs="Times New Roman"/>
          <w:b w:val="0"/>
          <w:bCs/>
          <w:lang w:eastAsia="zh-CN"/>
        </w:rPr>
        <w:t>本项目不新增员工，</w:t>
      </w:r>
      <w:r>
        <w:rPr>
          <w:rFonts w:hint="eastAsia" w:ascii="Times New Roman" w:hAnsi="Times New Roman" w:eastAsia="宋体" w:cs="Times New Roman"/>
          <w:b w:val="0"/>
          <w:bCs/>
          <w:lang w:val="en-US" w:eastAsia="zh-CN"/>
        </w:rPr>
        <w:t>生活污水排至化粪池定情清掏</w:t>
      </w:r>
      <w:r>
        <w:rPr>
          <w:rFonts w:hint="eastAsia" w:ascii="Times New Roman" w:hAnsi="Times New Roman" w:eastAsia="宋体" w:cs="Times New Roman"/>
          <w:b w:val="0"/>
          <w:bCs/>
          <w:lang w:eastAsia="zh-CN"/>
        </w:rPr>
        <w:t>。</w:t>
      </w:r>
      <w:bookmarkEnd w:id="307"/>
      <w:bookmarkEnd w:id="308"/>
    </w:p>
    <w:p w14:paraId="473D2AFD">
      <w:pPr>
        <w:pStyle w:val="7"/>
        <w:spacing w:line="240" w:lineRule="auto"/>
        <w:ind w:firstLine="482" w:firstLineChars="200"/>
        <w:rPr>
          <w:rFonts w:hint="eastAsia" w:ascii="Times New Roman" w:hAnsi="Times New Roman" w:eastAsia="宋体" w:cs="Times New Roman"/>
          <w:b/>
          <w:bCs w:val="0"/>
          <w:lang w:eastAsia="zh-CN"/>
        </w:rPr>
      </w:pPr>
      <w:bookmarkStart w:id="309" w:name="_Toc31023"/>
      <w:bookmarkStart w:id="310" w:name="_Toc32180"/>
      <w:r>
        <w:rPr>
          <w:rFonts w:hint="eastAsia" w:ascii="Times New Roman" w:hAnsi="Times New Roman" w:eastAsia="宋体" w:cs="Times New Roman"/>
          <w:b/>
          <w:bCs w:val="0"/>
          <w:lang w:eastAsia="zh-CN"/>
        </w:rPr>
        <w:t>（4）冷却循环水系统排水</w:t>
      </w:r>
      <w:bookmarkEnd w:id="309"/>
      <w:bookmarkEnd w:id="310"/>
    </w:p>
    <w:p w14:paraId="2808635D">
      <w:pPr>
        <w:pStyle w:val="7"/>
        <w:spacing w:line="240" w:lineRule="auto"/>
        <w:ind w:firstLine="480" w:firstLineChars="200"/>
        <w:rPr>
          <w:rFonts w:hint="eastAsia" w:ascii="Times New Roman" w:hAnsi="Times New Roman" w:eastAsia="宋体" w:cs="Times New Roman"/>
          <w:b w:val="0"/>
          <w:bCs/>
          <w:highlight w:val="none"/>
          <w:lang w:eastAsia="zh-CN"/>
        </w:rPr>
      </w:pPr>
      <w:bookmarkStart w:id="311" w:name="_Toc406"/>
      <w:bookmarkStart w:id="312" w:name="_Toc13317"/>
      <w:r>
        <w:rPr>
          <w:rFonts w:hint="eastAsia" w:ascii="Times New Roman" w:hAnsi="Times New Roman" w:eastAsia="宋体" w:cs="Times New Roman"/>
          <w:b w:val="0"/>
          <w:bCs/>
          <w:highlight w:val="none"/>
          <w:lang w:eastAsia="zh-CN"/>
        </w:rPr>
        <w:t>根据水平衡，冷却循环水系统水量预计为</w:t>
      </w:r>
      <w:r>
        <w:rPr>
          <w:rFonts w:hint="eastAsia" w:ascii="Times New Roman" w:hAnsi="Times New Roman" w:eastAsia="宋体" w:cs="Times New Roman"/>
          <w:b w:val="0"/>
          <w:bCs/>
          <w:highlight w:val="none"/>
          <w:lang w:val="en-US" w:eastAsia="zh-CN"/>
        </w:rPr>
        <w:t>2.7</w:t>
      </w:r>
      <w:r>
        <w:rPr>
          <w:rFonts w:hint="eastAsia" w:ascii="Times New Roman" w:hAnsi="Times New Roman" w:eastAsia="宋体" w:cs="Times New Roman"/>
          <w:b w:val="0"/>
          <w:bCs/>
          <w:highlight w:val="none"/>
          <w:lang w:eastAsia="zh-CN"/>
        </w:rPr>
        <w:t>m</w:t>
      </w:r>
      <w:r>
        <w:rPr>
          <w:rFonts w:hint="eastAsia" w:ascii="Times New Roman" w:hAnsi="Times New Roman" w:eastAsia="宋体" w:cs="Times New Roman"/>
          <w:b w:val="0"/>
          <w:bCs/>
          <w:highlight w:val="none"/>
          <w:vertAlign w:val="superscript"/>
          <w:lang w:eastAsia="zh-CN"/>
        </w:rPr>
        <w:t>3</w:t>
      </w:r>
      <w:r>
        <w:rPr>
          <w:rFonts w:hint="eastAsia" w:ascii="Times New Roman" w:hAnsi="Times New Roman" w:eastAsia="宋体" w:cs="Times New Roman"/>
          <w:b w:val="0"/>
          <w:bCs/>
          <w:highlight w:val="none"/>
          <w:lang w:eastAsia="zh-CN"/>
        </w:rPr>
        <w:t>/h，</w:t>
      </w:r>
      <w:r>
        <w:rPr>
          <w:rFonts w:hint="eastAsia" w:ascii="Times New Roman" w:hAnsi="Times New Roman" w:eastAsia="宋体" w:cs="Times New Roman"/>
          <w:b w:val="0"/>
          <w:bCs/>
          <w:highlight w:val="none"/>
          <w:lang w:val="en-US" w:eastAsia="zh-CN"/>
        </w:rPr>
        <w:t>循环使用，不外排</w:t>
      </w:r>
      <w:r>
        <w:rPr>
          <w:rFonts w:hint="eastAsia" w:ascii="Times New Roman" w:hAnsi="Times New Roman" w:eastAsia="宋体" w:cs="Times New Roman"/>
          <w:b w:val="0"/>
          <w:bCs/>
          <w:highlight w:val="none"/>
          <w:lang w:eastAsia="zh-CN"/>
        </w:rPr>
        <w:t>。</w:t>
      </w:r>
      <w:bookmarkEnd w:id="311"/>
      <w:bookmarkEnd w:id="312"/>
    </w:p>
    <w:p w14:paraId="08189EE6">
      <w:pPr>
        <w:pStyle w:val="7"/>
        <w:spacing w:line="240" w:lineRule="auto"/>
        <w:ind w:firstLine="482" w:firstLineChars="200"/>
        <w:rPr>
          <w:rFonts w:hint="eastAsia" w:ascii="Times New Roman" w:hAnsi="Times New Roman" w:eastAsia="宋体" w:cs="Times New Roman"/>
          <w:b/>
          <w:bCs w:val="0"/>
          <w:lang w:eastAsia="zh-CN"/>
        </w:rPr>
      </w:pPr>
      <w:bookmarkStart w:id="313" w:name="_Toc1801"/>
      <w:bookmarkStart w:id="314" w:name="_Toc7465"/>
      <w:r>
        <w:rPr>
          <w:rFonts w:hint="eastAsia" w:ascii="Times New Roman" w:hAnsi="Times New Roman" w:eastAsia="宋体" w:cs="Times New Roman"/>
          <w:b/>
          <w:bCs w:val="0"/>
          <w:lang w:eastAsia="zh-CN"/>
        </w:rPr>
        <w:t>（5）造球用水</w:t>
      </w:r>
      <w:bookmarkEnd w:id="313"/>
      <w:bookmarkEnd w:id="314"/>
    </w:p>
    <w:p w14:paraId="66B09B02">
      <w:pPr>
        <w:pStyle w:val="7"/>
        <w:spacing w:line="240" w:lineRule="auto"/>
        <w:ind w:firstLine="480" w:firstLineChars="200"/>
        <w:rPr>
          <w:rFonts w:hint="eastAsia" w:ascii="Times New Roman" w:hAnsi="Times New Roman" w:eastAsia="宋体" w:cs="Times New Roman"/>
          <w:b w:val="0"/>
          <w:bCs/>
          <w:lang w:eastAsia="zh-CN"/>
        </w:rPr>
      </w:pPr>
      <w:bookmarkStart w:id="315" w:name="_Toc24932"/>
      <w:bookmarkStart w:id="316" w:name="_Toc29738"/>
      <w:r>
        <w:rPr>
          <w:rFonts w:hint="eastAsia" w:ascii="Times New Roman" w:hAnsi="Times New Roman" w:eastAsia="宋体" w:cs="Times New Roman"/>
          <w:b w:val="0"/>
          <w:bCs/>
          <w:lang w:eastAsia="zh-CN"/>
        </w:rPr>
        <w:t>根据建设单位提供资料，造球用水量为</w:t>
      </w:r>
      <w:r>
        <w:rPr>
          <w:rFonts w:hint="eastAsia" w:ascii="Times New Roman" w:hAnsi="Times New Roman" w:eastAsia="宋体" w:cs="Times New Roman"/>
          <w:b w:val="0"/>
          <w:bCs/>
          <w:lang w:val="en-US" w:eastAsia="zh-CN"/>
        </w:rPr>
        <w:t>1.2</w:t>
      </w:r>
      <w:r>
        <w:rPr>
          <w:rFonts w:hint="eastAsia" w:ascii="Times New Roman" w:hAnsi="Times New Roman" w:eastAsia="宋体" w:cs="Times New Roman"/>
          <w:b w:val="0"/>
          <w:bCs/>
          <w:lang w:eastAsia="zh-CN"/>
        </w:rPr>
        <w:t>m</w:t>
      </w:r>
      <w:r>
        <w:rPr>
          <w:rFonts w:hint="eastAsia" w:ascii="Times New Roman" w:hAnsi="Times New Roman" w:eastAsia="宋体" w:cs="Times New Roman"/>
          <w:b w:val="0"/>
          <w:bCs/>
          <w:vertAlign w:val="superscript"/>
          <w:lang w:eastAsia="zh-CN"/>
        </w:rPr>
        <w:t>3</w:t>
      </w:r>
      <w:r>
        <w:rPr>
          <w:rFonts w:hint="eastAsia" w:ascii="Times New Roman" w:hAnsi="Times New Roman" w:eastAsia="宋体" w:cs="Times New Roman"/>
          <w:b w:val="0"/>
          <w:bCs/>
          <w:lang w:eastAsia="zh-CN"/>
        </w:rPr>
        <w:t>/h（</w:t>
      </w:r>
      <w:r>
        <w:rPr>
          <w:rFonts w:hint="eastAsia" w:ascii="Times New Roman" w:hAnsi="Times New Roman" w:eastAsia="宋体" w:cs="Times New Roman"/>
          <w:b w:val="0"/>
          <w:bCs/>
          <w:lang w:val="en-US" w:eastAsia="zh-CN"/>
        </w:rPr>
        <w:t>28.8</w:t>
      </w:r>
      <w:r>
        <w:rPr>
          <w:rFonts w:hint="eastAsia" w:ascii="Times New Roman" w:hAnsi="Times New Roman" w:eastAsia="宋体" w:cs="Times New Roman"/>
          <w:b w:val="0"/>
          <w:bCs/>
          <w:lang w:eastAsia="zh-CN"/>
        </w:rPr>
        <w:t>m</w:t>
      </w:r>
      <w:r>
        <w:rPr>
          <w:rFonts w:hint="eastAsia" w:ascii="Times New Roman" w:hAnsi="Times New Roman" w:eastAsia="宋体" w:cs="Times New Roman"/>
          <w:b w:val="0"/>
          <w:bCs/>
          <w:vertAlign w:val="superscript"/>
          <w:lang w:eastAsia="zh-CN"/>
        </w:rPr>
        <w:t>3</w:t>
      </w:r>
      <w:r>
        <w:rPr>
          <w:rFonts w:hint="eastAsia" w:ascii="Times New Roman" w:hAnsi="Times New Roman" w:eastAsia="宋体" w:cs="Times New Roman"/>
          <w:b w:val="0"/>
          <w:bCs/>
          <w:lang w:eastAsia="zh-CN"/>
        </w:rPr>
        <w:t>/d），造球用水在产品焙烧环节蒸发损耗，不外排。项目年工作天数330天，造球年用水量为</w:t>
      </w:r>
      <w:r>
        <w:rPr>
          <w:rFonts w:hint="eastAsia" w:ascii="Times New Roman" w:hAnsi="Times New Roman" w:eastAsia="宋体" w:cs="Times New Roman"/>
          <w:b w:val="0"/>
          <w:bCs/>
          <w:lang w:val="en-US" w:eastAsia="zh-CN"/>
        </w:rPr>
        <w:t>9504</w:t>
      </w:r>
      <w:r>
        <w:rPr>
          <w:rFonts w:hint="eastAsia" w:ascii="Times New Roman" w:hAnsi="Times New Roman" w:eastAsia="宋体" w:cs="Times New Roman"/>
          <w:b w:val="0"/>
          <w:bCs/>
          <w:lang w:eastAsia="zh-CN"/>
        </w:rPr>
        <w:t>m</w:t>
      </w:r>
      <w:r>
        <w:rPr>
          <w:rFonts w:hint="eastAsia" w:ascii="Times New Roman" w:hAnsi="Times New Roman" w:eastAsia="宋体" w:cs="Times New Roman"/>
          <w:b w:val="0"/>
          <w:bCs/>
          <w:vertAlign w:val="superscript"/>
          <w:lang w:eastAsia="zh-CN"/>
        </w:rPr>
        <w:t>3</w:t>
      </w:r>
      <w:r>
        <w:rPr>
          <w:rFonts w:hint="eastAsia" w:ascii="Times New Roman" w:hAnsi="Times New Roman" w:eastAsia="宋体" w:cs="Times New Roman"/>
          <w:b w:val="0"/>
          <w:bCs/>
          <w:lang w:eastAsia="zh-CN"/>
        </w:rPr>
        <w:t>。</w:t>
      </w:r>
      <w:bookmarkEnd w:id="315"/>
      <w:bookmarkEnd w:id="316"/>
    </w:p>
    <w:p w14:paraId="35E5EC8E">
      <w:pPr>
        <w:pStyle w:val="7"/>
        <w:spacing w:line="240" w:lineRule="auto"/>
      </w:pPr>
      <w:bookmarkStart w:id="317" w:name="_Toc27118"/>
      <w:r>
        <w:rPr>
          <w:rFonts w:hint="eastAsia"/>
          <w:lang w:eastAsia="zh-CN"/>
        </w:rPr>
        <w:t>3</w:t>
      </w:r>
      <w:r>
        <w:t>.</w:t>
      </w:r>
      <w:r>
        <w:rPr>
          <w:rFonts w:hint="eastAsia"/>
          <w:lang w:eastAsia="zh-CN"/>
        </w:rPr>
        <w:t>4</w:t>
      </w:r>
      <w:r>
        <w:t>.</w:t>
      </w:r>
      <w:r>
        <w:rPr>
          <w:rFonts w:hint="eastAsia"/>
          <w:lang w:eastAsia="zh-CN"/>
        </w:rPr>
        <w:t>3</w:t>
      </w:r>
      <w:r>
        <w:t xml:space="preserve"> 固体废物</w:t>
      </w:r>
      <w:bookmarkEnd w:id="298"/>
      <w:bookmarkEnd w:id="317"/>
    </w:p>
    <w:p w14:paraId="2B61B8A2">
      <w:pPr>
        <w:adjustRightInd w:val="0"/>
        <w:snapToGrid w:val="0"/>
        <w:spacing w:line="500" w:lineRule="exact"/>
        <w:ind w:firstLine="480" w:firstLineChars="200"/>
        <w:rPr>
          <w:rFonts w:hint="eastAsia" w:ascii="Times New Roman" w:hAnsi="Times New Roman" w:cs="Times New Roman"/>
        </w:rPr>
      </w:pPr>
      <w:r>
        <w:rPr>
          <w:rFonts w:hint="eastAsia" w:ascii="Times New Roman" w:hAnsi="Times New Roman" w:cs="Times New Roman"/>
        </w:rPr>
        <w:t>技改项目固体废物分为一般工业固废、危险废物和生活垃圾。一般工业固废主要有除尘灰、除尘灰浆、脱硫灰、废布袋，危险废物为废矿物油和脱硝废催化剂。</w:t>
      </w:r>
    </w:p>
    <w:p w14:paraId="04E54B8C">
      <w:pPr>
        <w:adjustRightInd w:val="0"/>
        <w:snapToGrid w:val="0"/>
        <w:spacing w:line="500" w:lineRule="exact"/>
        <w:ind w:firstLine="480" w:firstLineChars="200"/>
        <w:rPr>
          <w:rFonts w:hint="eastAsia" w:ascii="Times New Roman" w:hAnsi="Times New Roman" w:cs="Times New Roman"/>
        </w:rPr>
      </w:pPr>
      <w:r>
        <w:rPr>
          <w:rFonts w:hint="eastAsia" w:ascii="Times New Roman" w:hAnsi="Times New Roman" w:cs="Times New Roman"/>
        </w:rPr>
        <w:t>（1）除尘灰</w:t>
      </w:r>
    </w:p>
    <w:p w14:paraId="40034FA6">
      <w:pPr>
        <w:adjustRightInd w:val="0"/>
        <w:snapToGrid w:val="0"/>
        <w:spacing w:line="500" w:lineRule="exact"/>
        <w:ind w:firstLine="480" w:firstLineChars="200"/>
        <w:rPr>
          <w:rFonts w:hint="eastAsia" w:ascii="Times New Roman" w:hAnsi="Times New Roman" w:cs="Times New Roman"/>
          <w:highlight w:val="yellow"/>
        </w:rPr>
      </w:pPr>
      <w:r>
        <w:rPr>
          <w:rFonts w:hint="eastAsia" w:ascii="Times New Roman" w:hAnsi="Times New Roman" w:cs="Times New Roman"/>
        </w:rPr>
        <w:t>技改项目机头除尘系统、机尾除尘系统、</w:t>
      </w:r>
      <w:r>
        <w:rPr>
          <w:rFonts w:hint="eastAsia" w:ascii="Times New Roman" w:hAnsi="Times New Roman" w:cs="Times New Roman"/>
          <w:lang w:val="en-US" w:eastAsia="zh-CN"/>
        </w:rPr>
        <w:t>竖炉除尘系统、</w:t>
      </w:r>
      <w:r>
        <w:rPr>
          <w:rFonts w:hint="eastAsia" w:ascii="Times New Roman" w:hAnsi="Times New Roman" w:cs="Times New Roman"/>
        </w:rPr>
        <w:t>环境除尘系统及配料除尘系统产生除尘灰，根据废气源强核算，</w:t>
      </w:r>
      <w:r>
        <w:rPr>
          <w:rFonts w:hint="eastAsia" w:ascii="Times New Roman" w:hAnsi="Times New Roman" w:cs="Times New Roman"/>
          <w:highlight w:val="yellow"/>
        </w:rPr>
        <w:t>除尘灰合计40800t/a；混合室除灰系统产生除尘灰浆，根据废气源强和水平衡，灰浆合计 1568t/a（含水 80%）；除尘灰和除尘灰浆经收集回收后返炉利用，不排放。</w:t>
      </w:r>
    </w:p>
    <w:p w14:paraId="4319A216">
      <w:pPr>
        <w:adjustRightInd w:val="0"/>
        <w:snapToGrid w:val="0"/>
        <w:spacing w:line="500" w:lineRule="exact"/>
        <w:ind w:firstLine="480" w:firstLineChars="200"/>
        <w:rPr>
          <w:rFonts w:hint="eastAsia" w:ascii="Times New Roman" w:hAnsi="Times New Roman" w:cs="Times New Roman"/>
        </w:rPr>
      </w:pPr>
      <w:r>
        <w:rPr>
          <w:rFonts w:hint="eastAsia" w:ascii="Times New Roman" w:hAnsi="Times New Roman" w:cs="Times New Roman"/>
        </w:rPr>
        <w:t>（2）脱硫灰</w:t>
      </w:r>
    </w:p>
    <w:p w14:paraId="58AA3E54">
      <w:pPr>
        <w:adjustRightInd w:val="0"/>
        <w:snapToGrid w:val="0"/>
        <w:spacing w:line="500" w:lineRule="exact"/>
        <w:ind w:firstLine="480" w:firstLineChars="200"/>
        <w:rPr>
          <w:rFonts w:hint="eastAsia" w:ascii="Times New Roman" w:hAnsi="Times New Roman" w:cs="Times New Roman"/>
          <w:highlight w:val="yellow"/>
        </w:rPr>
      </w:pPr>
      <w:r>
        <w:rPr>
          <w:rFonts w:hint="eastAsia" w:ascii="Times New Roman" w:hAnsi="Times New Roman" w:cs="Times New Roman"/>
          <w:highlight w:val="yellow"/>
        </w:rPr>
        <w:t>根据机头废气处理设计资料，机头脱硫渣设计量1.2t/h，则年产生量9504t/a；脱硫灰中脱硫产物和粉煤灰分别以颗粒的形式存在，其中粉煤灰属于高钙颗粒，有较高的反应活性。灰渣内部成分不发生化学变化，保持着较高的火山灰活性，在建材方面有较高的利用价值。脱硫灰送兴鑫钢铁“100 万吨矿渣微粉”项目进一步处理。</w:t>
      </w:r>
    </w:p>
    <w:p w14:paraId="59919A0D">
      <w:pPr>
        <w:adjustRightInd w:val="0"/>
        <w:snapToGrid w:val="0"/>
        <w:spacing w:line="500" w:lineRule="exact"/>
        <w:ind w:firstLine="480" w:firstLineChars="200"/>
        <w:rPr>
          <w:rFonts w:hint="eastAsia" w:ascii="Times New Roman" w:hAnsi="Times New Roman" w:cs="Times New Roman"/>
        </w:rPr>
      </w:pPr>
      <w:r>
        <w:rPr>
          <w:rFonts w:hint="eastAsia" w:ascii="Times New Roman" w:hAnsi="Times New Roman" w:cs="Times New Roman"/>
        </w:rPr>
        <w:t>（3）废布袋</w:t>
      </w:r>
    </w:p>
    <w:p w14:paraId="7A807F01">
      <w:pPr>
        <w:adjustRightInd w:val="0"/>
        <w:snapToGrid w:val="0"/>
        <w:spacing w:line="500" w:lineRule="exact"/>
        <w:ind w:firstLine="480" w:firstLineChars="200"/>
        <w:rPr>
          <w:rFonts w:hint="eastAsia" w:ascii="Times New Roman" w:hAnsi="Times New Roman" w:cs="Times New Roman"/>
        </w:rPr>
      </w:pPr>
      <w:r>
        <w:rPr>
          <w:rFonts w:hint="eastAsia" w:ascii="Times New Roman" w:hAnsi="Times New Roman" w:cs="Times New Roman"/>
        </w:rPr>
        <w:t>袋式除尘器布袋需要定期更换，平均约半年~2年更换一次，平均每年产生量约为8t，废布袋属于一般工业固废，定期外售综合利用。</w:t>
      </w:r>
    </w:p>
    <w:p w14:paraId="7BB10180">
      <w:pPr>
        <w:adjustRightInd w:val="0"/>
        <w:snapToGrid w:val="0"/>
        <w:spacing w:line="500" w:lineRule="exact"/>
        <w:ind w:firstLine="480" w:firstLineChars="200"/>
        <w:rPr>
          <w:rFonts w:hint="eastAsia" w:ascii="Times New Roman" w:hAnsi="Times New Roman" w:cs="Times New Roman"/>
        </w:rPr>
      </w:pPr>
      <w:r>
        <w:rPr>
          <w:rFonts w:hint="eastAsia" w:ascii="Times New Roman" w:hAnsi="Times New Roman" w:cs="Times New Roman"/>
        </w:rPr>
        <w:t>（4）废矿物油</w:t>
      </w:r>
    </w:p>
    <w:p w14:paraId="39EB186B">
      <w:pPr>
        <w:adjustRightInd w:val="0"/>
        <w:snapToGrid w:val="0"/>
        <w:spacing w:line="500" w:lineRule="exact"/>
        <w:ind w:firstLine="480" w:firstLineChars="200"/>
        <w:rPr>
          <w:rFonts w:hint="eastAsia" w:ascii="Times New Roman" w:hAnsi="Times New Roman" w:cs="Times New Roman"/>
        </w:rPr>
      </w:pPr>
      <w:r>
        <w:rPr>
          <w:rFonts w:hint="eastAsia" w:ascii="Times New Roman" w:hAnsi="Times New Roman" w:cs="Times New Roman"/>
        </w:rPr>
        <w:t>企业设备维护产生少量废矿物油，类比现有项目，年产生量约2t/a。属于危险废物名录中HW08（900-249-08），委托有资质单位处理。</w:t>
      </w:r>
    </w:p>
    <w:p w14:paraId="41368E02">
      <w:pPr>
        <w:adjustRightInd w:val="0"/>
        <w:snapToGrid w:val="0"/>
        <w:spacing w:line="500" w:lineRule="exact"/>
        <w:ind w:firstLine="480" w:firstLineChars="200"/>
        <w:rPr>
          <w:rFonts w:hint="eastAsia" w:ascii="Times New Roman" w:hAnsi="Times New Roman" w:cs="Times New Roman"/>
        </w:rPr>
      </w:pPr>
      <w:r>
        <w:rPr>
          <w:rFonts w:hint="eastAsia" w:ascii="Times New Roman" w:hAnsi="Times New Roman" w:cs="Times New Roman"/>
        </w:rPr>
        <w:t>（5）脱硝废催化剂</w:t>
      </w:r>
    </w:p>
    <w:p w14:paraId="00FE415D">
      <w:pPr>
        <w:adjustRightInd w:val="0"/>
        <w:snapToGrid w:val="0"/>
        <w:spacing w:line="500" w:lineRule="exact"/>
        <w:ind w:firstLine="480" w:firstLineChars="200"/>
        <w:rPr>
          <w:rFonts w:hint="eastAsia" w:ascii="Times New Roman" w:hAnsi="Times New Roman" w:cs="Times New Roman"/>
        </w:rPr>
      </w:pPr>
      <w:r>
        <w:rPr>
          <w:rFonts w:hint="eastAsia" w:ascii="Times New Roman" w:hAnsi="Times New Roman" w:cs="Times New Roman"/>
        </w:rPr>
        <w:t>项目产生的废催化剂主要是烧结烟气</w:t>
      </w:r>
      <w:r>
        <w:rPr>
          <w:rFonts w:hint="eastAsia" w:ascii="Times New Roman" w:hAnsi="Times New Roman" w:cs="Times New Roman"/>
          <w:lang w:eastAsia="zh-CN"/>
        </w:rPr>
        <w:t>、</w:t>
      </w:r>
      <w:r>
        <w:rPr>
          <w:rFonts w:hint="eastAsia" w:ascii="Times New Roman" w:hAnsi="Times New Roman" w:cs="Times New Roman"/>
          <w:lang w:val="en-US" w:eastAsia="zh-CN"/>
        </w:rPr>
        <w:t>竖炉烟气</w:t>
      </w:r>
      <w:r>
        <w:rPr>
          <w:rFonts w:hint="eastAsia" w:ascii="Times New Roman" w:hAnsi="Times New Roman" w:cs="Times New Roman"/>
        </w:rPr>
        <w:t>脱硝过程中产生的废钒钛系催化剂，催化剂每3 年更换一次，更换量为10t/3a，属于危险废物HW50（772-007-50），更换后委托有资质的单位处理。</w:t>
      </w:r>
    </w:p>
    <w:p w14:paraId="268A758E">
      <w:pPr>
        <w:adjustRightInd w:val="0"/>
        <w:snapToGrid w:val="0"/>
        <w:spacing w:line="500" w:lineRule="exact"/>
        <w:ind w:firstLine="480" w:firstLineChars="200"/>
        <w:rPr>
          <w:rFonts w:hint="eastAsia" w:ascii="Times New Roman" w:hAnsi="Times New Roman" w:cs="Times New Roman"/>
        </w:rPr>
      </w:pPr>
      <w:r>
        <w:rPr>
          <w:rFonts w:hint="eastAsia" w:ascii="Times New Roman" w:hAnsi="Times New Roman" w:cs="Times New Roman"/>
        </w:rPr>
        <w:t>（6）生活垃圾</w:t>
      </w:r>
    </w:p>
    <w:p w14:paraId="2A5CED59">
      <w:pPr>
        <w:adjustRightInd w:val="0"/>
        <w:snapToGrid w:val="0"/>
        <w:spacing w:line="500" w:lineRule="exact"/>
        <w:ind w:firstLine="480" w:firstLineChars="200"/>
        <w:rPr>
          <w:rFonts w:hint="eastAsia" w:ascii="Times New Roman" w:hAnsi="Times New Roman" w:cs="Times New Roman"/>
          <w:highlight w:val="yellow"/>
        </w:rPr>
      </w:pPr>
      <w:r>
        <w:rPr>
          <w:rFonts w:hint="eastAsia" w:ascii="Times New Roman" w:hAnsi="Times New Roman" w:cs="Times New Roman"/>
          <w:highlight w:val="yellow"/>
        </w:rPr>
        <w:t>生活垃圾主要为职工日常生活和办公区产生，本项目员工480 人不新增，职工生活垃圾产生量按每人0.5kg/d 计，则厂区生活垃圾产生量为81.6t/a，设置若干个垃圾桶进行收集，委托环卫部门统一清运。</w:t>
      </w:r>
    </w:p>
    <w:p w14:paraId="64081182">
      <w:pPr>
        <w:pStyle w:val="7"/>
        <w:sectPr>
          <w:pgSz w:w="11907" w:h="16840"/>
          <w:pgMar w:top="1701" w:right="1701" w:bottom="1701" w:left="1701" w:header="851" w:footer="1077" w:gutter="0"/>
          <w:pgBorders w:offsetFrom="page">
            <w:top w:val="none" w:sz="0" w:space="0"/>
            <w:left w:val="none" w:sz="0" w:space="0"/>
            <w:bottom w:val="none" w:sz="0" w:space="0"/>
            <w:right w:val="none" w:sz="0" w:space="0"/>
          </w:pgBorders>
          <w:pgNumType w:fmt="decimal"/>
          <w:cols w:space="720" w:num="1"/>
          <w:docGrid w:type="lines" w:linePitch="479" w:charSpace="0"/>
        </w:sectPr>
      </w:pPr>
      <w:bookmarkStart w:id="318" w:name="_Toc90026266"/>
    </w:p>
    <w:p w14:paraId="42D2EFC6">
      <w:pPr>
        <w:ind w:firstLine="480" w:firstLineChars="200"/>
        <w:jc w:val="both"/>
      </w:pPr>
      <w:r>
        <w:t>根据上述分析，本项目各类固体废物的产生和排放情况详见表4.6.4-2。</w:t>
      </w:r>
    </w:p>
    <w:p w14:paraId="22A4B7F5">
      <w:pPr>
        <w:jc w:val="center"/>
      </w:pPr>
      <w:r>
        <w:t>表4.6.4-2 项目固废分析结果一览表</w:t>
      </w:r>
    </w:p>
    <w:tbl>
      <w:tblPr>
        <w:tblStyle w:val="56"/>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748"/>
        <w:gridCol w:w="1242"/>
        <w:gridCol w:w="1168"/>
        <w:gridCol w:w="1072"/>
        <w:gridCol w:w="1489"/>
        <w:gridCol w:w="1360"/>
        <w:gridCol w:w="2053"/>
        <w:gridCol w:w="748"/>
        <w:gridCol w:w="748"/>
        <w:gridCol w:w="748"/>
        <w:gridCol w:w="942"/>
        <w:gridCol w:w="1335"/>
      </w:tblGrid>
      <w:tr w14:paraId="3F1B33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748"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39D09A01">
            <w:pPr>
              <w:jc w:val="center"/>
              <w:rPr>
                <w:b/>
                <w:sz w:val="21"/>
                <w:szCs w:val="21"/>
              </w:rPr>
            </w:pPr>
            <w:r>
              <w:rPr>
                <w:b/>
                <w:sz w:val="21"/>
                <w:szCs w:val="21"/>
              </w:rPr>
              <w:t>序号</w:t>
            </w:r>
          </w:p>
        </w:tc>
        <w:tc>
          <w:tcPr>
            <w:tcW w:w="1243"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327AB784">
            <w:pPr>
              <w:jc w:val="center"/>
              <w:rPr>
                <w:b/>
                <w:sz w:val="21"/>
                <w:szCs w:val="21"/>
              </w:rPr>
            </w:pPr>
            <w:r>
              <w:rPr>
                <w:b/>
                <w:sz w:val="21"/>
                <w:szCs w:val="21"/>
              </w:rPr>
              <w:t>固体废物名称</w:t>
            </w:r>
          </w:p>
        </w:tc>
        <w:tc>
          <w:tcPr>
            <w:tcW w:w="1168"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7AA6DFCD">
            <w:pPr>
              <w:jc w:val="center"/>
              <w:rPr>
                <w:b/>
                <w:sz w:val="21"/>
                <w:szCs w:val="21"/>
              </w:rPr>
            </w:pPr>
            <w:r>
              <w:rPr>
                <w:b/>
                <w:sz w:val="21"/>
                <w:szCs w:val="21"/>
              </w:rPr>
              <w:t>属性</w:t>
            </w:r>
          </w:p>
        </w:tc>
        <w:tc>
          <w:tcPr>
            <w:tcW w:w="1072"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67290A05">
            <w:pPr>
              <w:jc w:val="center"/>
              <w:rPr>
                <w:b/>
                <w:sz w:val="21"/>
                <w:szCs w:val="21"/>
              </w:rPr>
            </w:pPr>
            <w:r>
              <w:rPr>
                <w:b/>
                <w:sz w:val="21"/>
                <w:szCs w:val="21"/>
              </w:rPr>
              <w:t>废物类别</w:t>
            </w:r>
          </w:p>
        </w:tc>
        <w:tc>
          <w:tcPr>
            <w:tcW w:w="1489"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26D218F9">
            <w:pPr>
              <w:jc w:val="center"/>
              <w:rPr>
                <w:b/>
                <w:sz w:val="21"/>
                <w:szCs w:val="21"/>
              </w:rPr>
            </w:pPr>
            <w:r>
              <w:rPr>
                <w:b/>
                <w:sz w:val="21"/>
                <w:szCs w:val="21"/>
              </w:rPr>
              <w:t>废物代码</w:t>
            </w:r>
          </w:p>
        </w:tc>
        <w:tc>
          <w:tcPr>
            <w:tcW w:w="1361"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2A5090CB">
            <w:pPr>
              <w:jc w:val="center"/>
              <w:rPr>
                <w:b/>
                <w:sz w:val="21"/>
                <w:szCs w:val="21"/>
              </w:rPr>
            </w:pPr>
            <w:r>
              <w:rPr>
                <w:b/>
                <w:sz w:val="21"/>
                <w:szCs w:val="21"/>
              </w:rPr>
              <w:t>产生量（t/a）</w:t>
            </w:r>
          </w:p>
        </w:tc>
        <w:tc>
          <w:tcPr>
            <w:tcW w:w="2052"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251F1651">
            <w:pPr>
              <w:jc w:val="center"/>
              <w:rPr>
                <w:b/>
                <w:sz w:val="21"/>
                <w:szCs w:val="21"/>
              </w:rPr>
            </w:pPr>
            <w:r>
              <w:rPr>
                <w:b/>
                <w:sz w:val="21"/>
                <w:szCs w:val="21"/>
              </w:rPr>
              <w:t>产生工序及装置</w:t>
            </w:r>
          </w:p>
        </w:tc>
        <w:tc>
          <w:tcPr>
            <w:tcW w:w="748"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33DE4614">
            <w:pPr>
              <w:jc w:val="center"/>
              <w:rPr>
                <w:rFonts w:ascii="宋体" w:hAnsi="宋体" w:cs="宋体"/>
                <w:b/>
                <w:sz w:val="21"/>
                <w:szCs w:val="21"/>
                <w:lang w:val="en-US" w:eastAsia="zh-CN" w:bidi="ar-SA"/>
              </w:rPr>
            </w:pPr>
            <w:r>
              <w:rPr>
                <w:b/>
                <w:sz w:val="21"/>
                <w:szCs w:val="21"/>
              </w:rPr>
              <w:t>形态</w:t>
            </w:r>
          </w:p>
        </w:tc>
        <w:tc>
          <w:tcPr>
            <w:tcW w:w="748"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2A5627C4">
            <w:pPr>
              <w:jc w:val="center"/>
              <w:rPr>
                <w:rFonts w:ascii="宋体" w:hAnsi="宋体" w:cs="宋体"/>
                <w:b/>
                <w:sz w:val="21"/>
                <w:szCs w:val="21"/>
                <w:lang w:val="en-US" w:eastAsia="zh-CN" w:bidi="ar-SA"/>
              </w:rPr>
            </w:pPr>
            <w:r>
              <w:rPr>
                <w:b/>
                <w:sz w:val="21"/>
                <w:szCs w:val="21"/>
              </w:rPr>
              <w:t>主要成分</w:t>
            </w:r>
          </w:p>
        </w:tc>
        <w:tc>
          <w:tcPr>
            <w:tcW w:w="748"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12A75009">
            <w:pPr>
              <w:jc w:val="center"/>
              <w:rPr>
                <w:rFonts w:ascii="宋体" w:hAnsi="宋体" w:cs="宋体"/>
                <w:b/>
                <w:sz w:val="21"/>
                <w:szCs w:val="21"/>
                <w:lang w:val="en-US" w:eastAsia="zh-CN" w:bidi="ar-SA"/>
              </w:rPr>
            </w:pPr>
            <w:r>
              <w:rPr>
                <w:b/>
                <w:sz w:val="21"/>
                <w:szCs w:val="21"/>
              </w:rPr>
              <w:t>有害成分</w:t>
            </w:r>
          </w:p>
        </w:tc>
        <w:tc>
          <w:tcPr>
            <w:tcW w:w="943"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68C44498">
            <w:pPr>
              <w:jc w:val="center"/>
              <w:rPr>
                <w:rFonts w:ascii="宋体" w:hAnsi="宋体" w:cs="宋体"/>
                <w:b/>
                <w:sz w:val="21"/>
                <w:szCs w:val="21"/>
                <w:lang w:val="en-US" w:eastAsia="zh-CN" w:bidi="ar-SA"/>
              </w:rPr>
            </w:pPr>
            <w:r>
              <w:rPr>
                <w:b/>
                <w:sz w:val="21"/>
                <w:szCs w:val="21"/>
              </w:rPr>
              <w:t>危险特性</w:t>
            </w:r>
          </w:p>
        </w:tc>
        <w:tc>
          <w:tcPr>
            <w:tcW w:w="1334"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5DF3D6C1">
            <w:pPr>
              <w:jc w:val="center"/>
              <w:rPr>
                <w:rFonts w:ascii="宋体" w:hAnsi="宋体" w:cs="宋体"/>
                <w:b/>
                <w:sz w:val="21"/>
                <w:szCs w:val="21"/>
                <w:lang w:val="en-US" w:eastAsia="zh-CN" w:bidi="ar-SA"/>
              </w:rPr>
            </w:pPr>
            <w:r>
              <w:rPr>
                <w:b/>
                <w:sz w:val="21"/>
                <w:szCs w:val="21"/>
              </w:rPr>
              <w:t>污染防治措施</w:t>
            </w:r>
          </w:p>
        </w:tc>
      </w:tr>
      <w:tr w14:paraId="775E09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748"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0B95F82D">
            <w:pPr>
              <w:jc w:val="center"/>
              <w:rPr>
                <w:sz w:val="21"/>
                <w:szCs w:val="21"/>
              </w:rPr>
            </w:pPr>
            <w:r>
              <w:rPr>
                <w:sz w:val="21"/>
                <w:szCs w:val="21"/>
              </w:rPr>
              <w:t>1</w:t>
            </w:r>
          </w:p>
        </w:tc>
        <w:tc>
          <w:tcPr>
            <w:tcW w:w="1243"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2AF2E4FA">
            <w:pPr>
              <w:jc w:val="center"/>
              <w:rPr>
                <w:sz w:val="21"/>
                <w:szCs w:val="21"/>
              </w:rPr>
            </w:pPr>
            <w:r>
              <w:rPr>
                <w:sz w:val="21"/>
                <w:szCs w:val="21"/>
              </w:rPr>
              <w:t>废矿物油</w:t>
            </w:r>
          </w:p>
        </w:tc>
        <w:tc>
          <w:tcPr>
            <w:tcW w:w="1168" w:type="dxa"/>
            <w:vMerge w:val="restart"/>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3B93FF28">
            <w:pPr>
              <w:jc w:val="center"/>
              <w:rPr>
                <w:sz w:val="21"/>
                <w:szCs w:val="21"/>
              </w:rPr>
            </w:pPr>
            <w:r>
              <w:rPr>
                <w:sz w:val="21"/>
                <w:szCs w:val="21"/>
              </w:rPr>
              <w:t>危险废物</w:t>
            </w:r>
          </w:p>
        </w:tc>
        <w:tc>
          <w:tcPr>
            <w:tcW w:w="1072"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6FB66F2A">
            <w:pPr>
              <w:jc w:val="center"/>
              <w:rPr>
                <w:sz w:val="21"/>
                <w:szCs w:val="21"/>
              </w:rPr>
            </w:pPr>
            <w:r>
              <w:rPr>
                <w:sz w:val="21"/>
                <w:szCs w:val="21"/>
              </w:rPr>
              <w:t>HW08</w:t>
            </w:r>
          </w:p>
        </w:tc>
        <w:tc>
          <w:tcPr>
            <w:tcW w:w="1489"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3BE4B4D4">
            <w:pPr>
              <w:jc w:val="center"/>
              <w:rPr>
                <w:sz w:val="21"/>
                <w:szCs w:val="21"/>
              </w:rPr>
            </w:pPr>
            <w:r>
              <w:rPr>
                <w:sz w:val="21"/>
                <w:szCs w:val="21"/>
              </w:rPr>
              <w:t>900-249-08</w:t>
            </w:r>
          </w:p>
        </w:tc>
        <w:tc>
          <w:tcPr>
            <w:tcW w:w="1361"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26B933CF">
            <w:pPr>
              <w:jc w:val="center"/>
              <w:rPr>
                <w:sz w:val="21"/>
                <w:szCs w:val="21"/>
              </w:rPr>
            </w:pPr>
            <w:r>
              <w:rPr>
                <w:sz w:val="21"/>
                <w:szCs w:val="21"/>
              </w:rPr>
              <w:t>2</w:t>
            </w:r>
          </w:p>
        </w:tc>
        <w:tc>
          <w:tcPr>
            <w:tcW w:w="2052"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0C7A1F6D">
            <w:pPr>
              <w:jc w:val="center"/>
              <w:rPr>
                <w:sz w:val="21"/>
                <w:szCs w:val="21"/>
              </w:rPr>
            </w:pPr>
            <w:r>
              <w:rPr>
                <w:sz w:val="21"/>
                <w:szCs w:val="21"/>
              </w:rPr>
              <w:t>设备维护</w:t>
            </w:r>
          </w:p>
        </w:tc>
        <w:tc>
          <w:tcPr>
            <w:tcW w:w="748"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7E52BFB0">
            <w:pPr>
              <w:jc w:val="center"/>
              <w:rPr>
                <w:sz w:val="21"/>
                <w:szCs w:val="21"/>
              </w:rPr>
            </w:pPr>
            <w:r>
              <w:rPr>
                <w:sz w:val="21"/>
                <w:szCs w:val="21"/>
              </w:rPr>
              <w:t>液态</w:t>
            </w:r>
          </w:p>
        </w:tc>
        <w:tc>
          <w:tcPr>
            <w:tcW w:w="748"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387F6688">
            <w:pPr>
              <w:jc w:val="center"/>
              <w:rPr>
                <w:sz w:val="21"/>
                <w:szCs w:val="21"/>
              </w:rPr>
            </w:pPr>
            <w:r>
              <w:rPr>
                <w:sz w:val="21"/>
                <w:szCs w:val="21"/>
              </w:rPr>
              <w:t>矿物油</w:t>
            </w:r>
          </w:p>
        </w:tc>
        <w:tc>
          <w:tcPr>
            <w:tcW w:w="748"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40271BBD">
            <w:pPr>
              <w:jc w:val="center"/>
              <w:rPr>
                <w:sz w:val="21"/>
                <w:szCs w:val="21"/>
              </w:rPr>
            </w:pPr>
            <w:r>
              <w:rPr>
                <w:sz w:val="21"/>
                <w:szCs w:val="21"/>
              </w:rPr>
              <w:t>矿物油</w:t>
            </w:r>
          </w:p>
        </w:tc>
        <w:tc>
          <w:tcPr>
            <w:tcW w:w="943"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4C728249">
            <w:pPr>
              <w:jc w:val="center"/>
              <w:rPr>
                <w:sz w:val="21"/>
                <w:szCs w:val="21"/>
              </w:rPr>
            </w:pPr>
            <w:r>
              <w:rPr>
                <w:sz w:val="21"/>
                <w:szCs w:val="21"/>
              </w:rPr>
              <w:t>T,I</w:t>
            </w:r>
          </w:p>
        </w:tc>
        <w:tc>
          <w:tcPr>
            <w:tcW w:w="1334"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047C4BB6">
            <w:pPr>
              <w:jc w:val="center"/>
              <w:rPr>
                <w:sz w:val="21"/>
                <w:szCs w:val="21"/>
              </w:rPr>
            </w:pPr>
            <w:r>
              <w:rPr>
                <w:sz w:val="21"/>
                <w:szCs w:val="21"/>
              </w:rPr>
              <w:t>委托有资质单位统一处理</w:t>
            </w:r>
          </w:p>
        </w:tc>
      </w:tr>
      <w:tr w14:paraId="5FEA2F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748"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1FDFB80A">
            <w:pPr>
              <w:jc w:val="center"/>
              <w:rPr>
                <w:sz w:val="21"/>
                <w:szCs w:val="21"/>
              </w:rPr>
            </w:pPr>
            <w:r>
              <w:rPr>
                <w:sz w:val="21"/>
                <w:szCs w:val="21"/>
              </w:rPr>
              <w:t>2</w:t>
            </w:r>
          </w:p>
        </w:tc>
        <w:tc>
          <w:tcPr>
            <w:tcW w:w="1243"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5369FE71">
            <w:pPr>
              <w:jc w:val="center"/>
              <w:rPr>
                <w:sz w:val="21"/>
                <w:szCs w:val="21"/>
              </w:rPr>
            </w:pPr>
            <w:r>
              <w:rPr>
                <w:sz w:val="21"/>
                <w:szCs w:val="21"/>
              </w:rPr>
              <w:t>废催化剂</w:t>
            </w:r>
          </w:p>
        </w:tc>
        <w:tc>
          <w:tcPr>
            <w:tcW w:w="1168" w:type="dxa"/>
            <w:vMerge w:val="continue"/>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33C64EAD">
            <w:pPr>
              <w:jc w:val="center"/>
              <w:rPr>
                <w:sz w:val="21"/>
                <w:szCs w:val="21"/>
              </w:rPr>
            </w:pPr>
          </w:p>
        </w:tc>
        <w:tc>
          <w:tcPr>
            <w:tcW w:w="1072"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50F2A264">
            <w:pPr>
              <w:jc w:val="center"/>
              <w:rPr>
                <w:sz w:val="21"/>
                <w:szCs w:val="21"/>
              </w:rPr>
            </w:pPr>
            <w:r>
              <w:rPr>
                <w:sz w:val="21"/>
                <w:szCs w:val="21"/>
              </w:rPr>
              <w:t>HW50</w:t>
            </w:r>
          </w:p>
        </w:tc>
        <w:tc>
          <w:tcPr>
            <w:tcW w:w="1489"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58891483">
            <w:pPr>
              <w:jc w:val="center"/>
              <w:rPr>
                <w:sz w:val="21"/>
                <w:szCs w:val="21"/>
              </w:rPr>
            </w:pPr>
            <w:r>
              <w:rPr>
                <w:sz w:val="21"/>
                <w:szCs w:val="21"/>
              </w:rPr>
              <w:t>772-007-50</w:t>
            </w:r>
          </w:p>
        </w:tc>
        <w:tc>
          <w:tcPr>
            <w:tcW w:w="1361"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22075CB1">
            <w:pPr>
              <w:jc w:val="center"/>
              <w:rPr>
                <w:sz w:val="21"/>
                <w:szCs w:val="21"/>
              </w:rPr>
            </w:pPr>
            <w:r>
              <w:rPr>
                <w:sz w:val="21"/>
                <w:szCs w:val="21"/>
              </w:rPr>
              <w:t>10t/3a</w:t>
            </w:r>
          </w:p>
        </w:tc>
        <w:tc>
          <w:tcPr>
            <w:tcW w:w="2052"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7584FE75">
            <w:pPr>
              <w:jc w:val="center"/>
              <w:rPr>
                <w:sz w:val="21"/>
                <w:szCs w:val="21"/>
              </w:rPr>
            </w:pPr>
            <w:r>
              <w:rPr>
                <w:sz w:val="21"/>
                <w:szCs w:val="21"/>
              </w:rPr>
              <w:t>机头脱硝</w:t>
            </w:r>
          </w:p>
        </w:tc>
        <w:tc>
          <w:tcPr>
            <w:tcW w:w="748"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699EEF3B">
            <w:pPr>
              <w:jc w:val="center"/>
              <w:rPr>
                <w:sz w:val="21"/>
                <w:szCs w:val="21"/>
              </w:rPr>
            </w:pPr>
            <w:r>
              <w:rPr>
                <w:sz w:val="21"/>
                <w:szCs w:val="21"/>
              </w:rPr>
              <w:t>固态</w:t>
            </w:r>
          </w:p>
        </w:tc>
        <w:tc>
          <w:tcPr>
            <w:tcW w:w="748"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63E4EAF1">
            <w:pPr>
              <w:jc w:val="center"/>
              <w:rPr>
                <w:sz w:val="21"/>
                <w:szCs w:val="21"/>
              </w:rPr>
            </w:pPr>
            <w:r>
              <w:rPr>
                <w:sz w:val="21"/>
                <w:szCs w:val="21"/>
              </w:rPr>
              <w:t>钒钛系</w:t>
            </w:r>
          </w:p>
        </w:tc>
        <w:tc>
          <w:tcPr>
            <w:tcW w:w="748"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710FF19F">
            <w:pPr>
              <w:jc w:val="center"/>
              <w:rPr>
                <w:sz w:val="21"/>
                <w:szCs w:val="21"/>
              </w:rPr>
            </w:pPr>
            <w:r>
              <w:rPr>
                <w:sz w:val="21"/>
                <w:szCs w:val="21"/>
              </w:rPr>
              <w:t>钒钛系</w:t>
            </w:r>
          </w:p>
        </w:tc>
        <w:tc>
          <w:tcPr>
            <w:tcW w:w="943"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1676A4C8">
            <w:pPr>
              <w:jc w:val="center"/>
              <w:rPr>
                <w:sz w:val="21"/>
                <w:szCs w:val="21"/>
              </w:rPr>
            </w:pPr>
            <w:r>
              <w:rPr>
                <w:sz w:val="21"/>
                <w:szCs w:val="21"/>
              </w:rPr>
              <w:t>T</w:t>
            </w:r>
          </w:p>
        </w:tc>
        <w:tc>
          <w:tcPr>
            <w:tcW w:w="1334"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27A5BCC7">
            <w:pPr>
              <w:jc w:val="center"/>
              <w:rPr>
                <w:sz w:val="21"/>
                <w:szCs w:val="21"/>
              </w:rPr>
            </w:pPr>
            <w:r>
              <w:rPr>
                <w:sz w:val="21"/>
                <w:szCs w:val="21"/>
              </w:rPr>
              <w:t>委托有资质的单位处理</w:t>
            </w:r>
          </w:p>
        </w:tc>
      </w:tr>
      <w:tr w14:paraId="1B719E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748"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782B95E9">
            <w:pPr>
              <w:jc w:val="center"/>
              <w:rPr>
                <w:sz w:val="21"/>
                <w:szCs w:val="21"/>
              </w:rPr>
            </w:pPr>
            <w:r>
              <w:rPr>
                <w:sz w:val="21"/>
                <w:szCs w:val="21"/>
              </w:rPr>
              <w:t>3</w:t>
            </w:r>
          </w:p>
        </w:tc>
        <w:tc>
          <w:tcPr>
            <w:tcW w:w="1243"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15E8D3CC">
            <w:pPr>
              <w:jc w:val="center"/>
              <w:rPr>
                <w:sz w:val="21"/>
                <w:szCs w:val="21"/>
              </w:rPr>
            </w:pPr>
            <w:r>
              <w:rPr>
                <w:sz w:val="21"/>
                <w:szCs w:val="21"/>
              </w:rPr>
              <w:t>除尘灰</w:t>
            </w:r>
          </w:p>
        </w:tc>
        <w:tc>
          <w:tcPr>
            <w:tcW w:w="1168" w:type="dxa"/>
            <w:vMerge w:val="restart"/>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28453E2A">
            <w:pPr>
              <w:jc w:val="center"/>
              <w:rPr>
                <w:sz w:val="21"/>
                <w:szCs w:val="21"/>
              </w:rPr>
            </w:pPr>
            <w:r>
              <w:rPr>
                <w:sz w:val="21"/>
                <w:szCs w:val="21"/>
              </w:rPr>
              <w:t>一般工业固废</w:t>
            </w:r>
          </w:p>
        </w:tc>
        <w:tc>
          <w:tcPr>
            <w:tcW w:w="1072"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33EB26E0">
            <w:pPr>
              <w:jc w:val="center"/>
              <w:rPr>
                <w:sz w:val="21"/>
                <w:szCs w:val="21"/>
              </w:rPr>
            </w:pPr>
            <w:r>
              <w:rPr>
                <w:sz w:val="21"/>
                <w:szCs w:val="21"/>
              </w:rPr>
              <w:t>—</w:t>
            </w:r>
          </w:p>
        </w:tc>
        <w:tc>
          <w:tcPr>
            <w:tcW w:w="1489"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0937F1C2">
            <w:pPr>
              <w:jc w:val="center"/>
              <w:rPr>
                <w:sz w:val="21"/>
                <w:szCs w:val="21"/>
              </w:rPr>
            </w:pPr>
            <w:r>
              <w:rPr>
                <w:sz w:val="21"/>
                <w:szCs w:val="21"/>
              </w:rPr>
              <w:t>311-001-01</w:t>
            </w:r>
          </w:p>
        </w:tc>
        <w:tc>
          <w:tcPr>
            <w:tcW w:w="1361"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6E76F7CC">
            <w:pPr>
              <w:jc w:val="center"/>
              <w:rPr>
                <w:sz w:val="21"/>
                <w:szCs w:val="21"/>
              </w:rPr>
            </w:pPr>
            <w:r>
              <w:rPr>
                <w:sz w:val="21"/>
                <w:szCs w:val="21"/>
              </w:rPr>
              <w:t>40800</w:t>
            </w:r>
          </w:p>
        </w:tc>
        <w:tc>
          <w:tcPr>
            <w:tcW w:w="2052"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5A07FA4C">
            <w:pPr>
              <w:jc w:val="center"/>
              <w:rPr>
                <w:sz w:val="21"/>
                <w:szCs w:val="21"/>
              </w:rPr>
            </w:pPr>
            <w:r>
              <w:rPr>
                <w:sz w:val="21"/>
                <w:szCs w:val="21"/>
              </w:rPr>
              <w:t>机头除尘系统、机尾除尘系统、环境除尘系统及配料除尘系统</w:t>
            </w:r>
          </w:p>
        </w:tc>
        <w:tc>
          <w:tcPr>
            <w:tcW w:w="748"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0D619F58">
            <w:pPr>
              <w:jc w:val="center"/>
              <w:rPr>
                <w:sz w:val="21"/>
                <w:szCs w:val="21"/>
              </w:rPr>
            </w:pPr>
            <w:r>
              <w:rPr>
                <w:sz w:val="21"/>
                <w:szCs w:val="21"/>
              </w:rPr>
              <w:t>固态</w:t>
            </w:r>
          </w:p>
        </w:tc>
        <w:tc>
          <w:tcPr>
            <w:tcW w:w="748"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0E0A22B2">
            <w:pPr>
              <w:jc w:val="center"/>
              <w:rPr>
                <w:sz w:val="21"/>
                <w:szCs w:val="21"/>
              </w:rPr>
            </w:pPr>
            <w:r>
              <w:rPr>
                <w:sz w:val="21"/>
                <w:szCs w:val="21"/>
              </w:rPr>
              <w:t>粉尘</w:t>
            </w:r>
          </w:p>
        </w:tc>
        <w:tc>
          <w:tcPr>
            <w:tcW w:w="748"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3E5932E7">
            <w:pPr>
              <w:jc w:val="center"/>
              <w:rPr>
                <w:sz w:val="21"/>
                <w:szCs w:val="21"/>
              </w:rPr>
            </w:pPr>
            <w:r>
              <w:rPr>
                <w:sz w:val="21"/>
                <w:szCs w:val="21"/>
              </w:rPr>
              <w:t>—</w:t>
            </w:r>
          </w:p>
        </w:tc>
        <w:tc>
          <w:tcPr>
            <w:tcW w:w="943"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6D416A23">
            <w:pPr>
              <w:jc w:val="center"/>
              <w:rPr>
                <w:sz w:val="21"/>
                <w:szCs w:val="21"/>
              </w:rPr>
            </w:pPr>
            <w:r>
              <w:rPr>
                <w:sz w:val="21"/>
                <w:szCs w:val="21"/>
              </w:rPr>
              <w:t>—</w:t>
            </w:r>
          </w:p>
        </w:tc>
        <w:tc>
          <w:tcPr>
            <w:tcW w:w="1334" w:type="dxa"/>
            <w:vMerge w:val="restart"/>
            <w:tcBorders>
              <w:top w:val="single" w:color="000000" w:sz="4" w:space="0"/>
              <w:left w:val="single" w:color="000000" w:sz="4" w:space="0"/>
              <w:right w:val="single" w:color="000000" w:sz="4" w:space="0"/>
            </w:tcBorders>
            <w:noWrap w:val="0"/>
            <w:tcMar>
              <w:left w:w="108" w:type="dxa"/>
              <w:right w:w="108" w:type="dxa"/>
            </w:tcMar>
            <w:vAlign w:val="center"/>
          </w:tcPr>
          <w:p w14:paraId="766EC4B7">
            <w:pPr>
              <w:jc w:val="center"/>
              <w:rPr>
                <w:sz w:val="21"/>
                <w:szCs w:val="21"/>
              </w:rPr>
            </w:pPr>
            <w:r>
              <w:rPr>
                <w:sz w:val="21"/>
                <w:szCs w:val="21"/>
              </w:rPr>
              <w:t>返炉利用</w:t>
            </w:r>
          </w:p>
        </w:tc>
      </w:tr>
      <w:tr w14:paraId="0727D8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748"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7FE6D96D">
            <w:pPr>
              <w:jc w:val="center"/>
              <w:rPr>
                <w:sz w:val="21"/>
                <w:szCs w:val="21"/>
              </w:rPr>
            </w:pPr>
            <w:r>
              <w:rPr>
                <w:sz w:val="21"/>
                <w:szCs w:val="21"/>
              </w:rPr>
              <w:t>4</w:t>
            </w:r>
          </w:p>
        </w:tc>
        <w:tc>
          <w:tcPr>
            <w:tcW w:w="1243"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7CFD11C6">
            <w:pPr>
              <w:jc w:val="center"/>
              <w:rPr>
                <w:sz w:val="21"/>
                <w:szCs w:val="21"/>
              </w:rPr>
            </w:pPr>
            <w:r>
              <w:rPr>
                <w:sz w:val="21"/>
                <w:szCs w:val="21"/>
              </w:rPr>
              <w:t>除尘灰浆</w:t>
            </w:r>
          </w:p>
        </w:tc>
        <w:tc>
          <w:tcPr>
            <w:tcW w:w="1168" w:type="dxa"/>
            <w:vMerge w:val="continue"/>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123396AA">
            <w:pPr>
              <w:jc w:val="center"/>
              <w:rPr>
                <w:sz w:val="21"/>
                <w:szCs w:val="21"/>
              </w:rPr>
            </w:pPr>
          </w:p>
        </w:tc>
        <w:tc>
          <w:tcPr>
            <w:tcW w:w="1072"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688DC31A">
            <w:pPr>
              <w:jc w:val="center"/>
              <w:rPr>
                <w:sz w:val="21"/>
                <w:szCs w:val="21"/>
              </w:rPr>
            </w:pPr>
            <w:r>
              <w:rPr>
                <w:sz w:val="21"/>
                <w:szCs w:val="21"/>
              </w:rPr>
              <w:t>—</w:t>
            </w:r>
          </w:p>
        </w:tc>
        <w:tc>
          <w:tcPr>
            <w:tcW w:w="1489"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7376E455">
            <w:pPr>
              <w:jc w:val="center"/>
              <w:rPr>
                <w:sz w:val="21"/>
                <w:szCs w:val="21"/>
              </w:rPr>
            </w:pPr>
            <w:r>
              <w:rPr>
                <w:sz w:val="21"/>
                <w:szCs w:val="21"/>
              </w:rPr>
              <w:t>311-001-01</w:t>
            </w:r>
          </w:p>
        </w:tc>
        <w:tc>
          <w:tcPr>
            <w:tcW w:w="1361"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0FB6C11B">
            <w:pPr>
              <w:jc w:val="center"/>
              <w:rPr>
                <w:sz w:val="21"/>
                <w:szCs w:val="21"/>
              </w:rPr>
            </w:pPr>
            <w:r>
              <w:rPr>
                <w:sz w:val="21"/>
                <w:szCs w:val="21"/>
              </w:rPr>
              <w:t>1568</w:t>
            </w:r>
          </w:p>
        </w:tc>
        <w:tc>
          <w:tcPr>
            <w:tcW w:w="2052"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4709D4FC">
            <w:pPr>
              <w:jc w:val="center"/>
              <w:rPr>
                <w:sz w:val="21"/>
                <w:szCs w:val="21"/>
              </w:rPr>
            </w:pPr>
            <w:r>
              <w:rPr>
                <w:sz w:val="21"/>
                <w:szCs w:val="21"/>
              </w:rPr>
              <w:t>一次混合室除尘系统</w:t>
            </w:r>
          </w:p>
        </w:tc>
        <w:tc>
          <w:tcPr>
            <w:tcW w:w="748"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407545C0">
            <w:pPr>
              <w:jc w:val="center"/>
              <w:rPr>
                <w:sz w:val="21"/>
                <w:szCs w:val="21"/>
              </w:rPr>
            </w:pPr>
            <w:r>
              <w:rPr>
                <w:sz w:val="21"/>
                <w:szCs w:val="21"/>
              </w:rPr>
              <w:t>半固态</w:t>
            </w:r>
          </w:p>
        </w:tc>
        <w:tc>
          <w:tcPr>
            <w:tcW w:w="748"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1B28F627">
            <w:pPr>
              <w:jc w:val="center"/>
              <w:rPr>
                <w:sz w:val="21"/>
                <w:szCs w:val="21"/>
              </w:rPr>
            </w:pPr>
            <w:r>
              <w:rPr>
                <w:sz w:val="21"/>
                <w:szCs w:val="21"/>
              </w:rPr>
              <w:t>灰尘/水</w:t>
            </w:r>
          </w:p>
        </w:tc>
        <w:tc>
          <w:tcPr>
            <w:tcW w:w="748"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2E0C019D">
            <w:pPr>
              <w:jc w:val="center"/>
              <w:rPr>
                <w:sz w:val="21"/>
                <w:szCs w:val="21"/>
              </w:rPr>
            </w:pPr>
            <w:r>
              <w:rPr>
                <w:sz w:val="21"/>
                <w:szCs w:val="21"/>
              </w:rPr>
              <w:t>—</w:t>
            </w:r>
          </w:p>
        </w:tc>
        <w:tc>
          <w:tcPr>
            <w:tcW w:w="943"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0C22A5E9">
            <w:pPr>
              <w:jc w:val="center"/>
              <w:rPr>
                <w:sz w:val="21"/>
                <w:szCs w:val="21"/>
              </w:rPr>
            </w:pPr>
            <w:r>
              <w:rPr>
                <w:sz w:val="21"/>
                <w:szCs w:val="21"/>
              </w:rPr>
              <w:t>—</w:t>
            </w:r>
          </w:p>
        </w:tc>
        <w:tc>
          <w:tcPr>
            <w:tcW w:w="1334" w:type="dxa"/>
            <w:vMerge w:val="continue"/>
            <w:tcBorders>
              <w:left w:val="single" w:color="000000" w:sz="4" w:space="0"/>
              <w:bottom w:val="single" w:color="000000" w:sz="4" w:space="0"/>
              <w:right w:val="single" w:color="000000" w:sz="4" w:space="0"/>
            </w:tcBorders>
            <w:noWrap w:val="0"/>
            <w:tcMar>
              <w:left w:w="108" w:type="dxa"/>
              <w:right w:w="108" w:type="dxa"/>
            </w:tcMar>
            <w:vAlign w:val="center"/>
          </w:tcPr>
          <w:p w14:paraId="17D0E7AA">
            <w:pPr>
              <w:jc w:val="center"/>
              <w:rPr>
                <w:sz w:val="21"/>
                <w:szCs w:val="21"/>
              </w:rPr>
            </w:pPr>
          </w:p>
        </w:tc>
      </w:tr>
      <w:tr w14:paraId="58068C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748"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79B010AB">
            <w:pPr>
              <w:jc w:val="center"/>
              <w:rPr>
                <w:sz w:val="21"/>
                <w:szCs w:val="21"/>
              </w:rPr>
            </w:pPr>
            <w:r>
              <w:rPr>
                <w:sz w:val="21"/>
                <w:szCs w:val="21"/>
              </w:rPr>
              <w:t>5</w:t>
            </w:r>
          </w:p>
        </w:tc>
        <w:tc>
          <w:tcPr>
            <w:tcW w:w="1243"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39B9CB12">
            <w:pPr>
              <w:jc w:val="center"/>
              <w:rPr>
                <w:sz w:val="21"/>
                <w:szCs w:val="21"/>
              </w:rPr>
            </w:pPr>
            <w:r>
              <w:rPr>
                <w:sz w:val="21"/>
                <w:szCs w:val="21"/>
              </w:rPr>
              <w:t>脱硫灰</w:t>
            </w:r>
          </w:p>
        </w:tc>
        <w:tc>
          <w:tcPr>
            <w:tcW w:w="1168" w:type="dxa"/>
            <w:vMerge w:val="continue"/>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037087B2">
            <w:pPr>
              <w:jc w:val="center"/>
              <w:rPr>
                <w:sz w:val="21"/>
                <w:szCs w:val="21"/>
              </w:rPr>
            </w:pPr>
          </w:p>
        </w:tc>
        <w:tc>
          <w:tcPr>
            <w:tcW w:w="1072"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2BF27EFB">
            <w:pPr>
              <w:jc w:val="center"/>
              <w:rPr>
                <w:sz w:val="21"/>
                <w:szCs w:val="21"/>
              </w:rPr>
            </w:pPr>
            <w:r>
              <w:rPr>
                <w:sz w:val="21"/>
                <w:szCs w:val="21"/>
              </w:rPr>
              <w:t>—</w:t>
            </w:r>
          </w:p>
        </w:tc>
        <w:tc>
          <w:tcPr>
            <w:tcW w:w="1489"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4A042BC4">
            <w:pPr>
              <w:jc w:val="center"/>
              <w:rPr>
                <w:sz w:val="21"/>
                <w:szCs w:val="21"/>
              </w:rPr>
            </w:pPr>
            <w:r>
              <w:rPr>
                <w:sz w:val="21"/>
                <w:szCs w:val="21"/>
              </w:rPr>
              <w:t>900-099-06</w:t>
            </w:r>
          </w:p>
        </w:tc>
        <w:tc>
          <w:tcPr>
            <w:tcW w:w="1361"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0D304F9C">
            <w:pPr>
              <w:jc w:val="center"/>
              <w:rPr>
                <w:sz w:val="21"/>
                <w:szCs w:val="21"/>
              </w:rPr>
            </w:pPr>
            <w:r>
              <w:rPr>
                <w:sz w:val="21"/>
                <w:szCs w:val="21"/>
              </w:rPr>
              <w:t>9504</w:t>
            </w:r>
          </w:p>
        </w:tc>
        <w:tc>
          <w:tcPr>
            <w:tcW w:w="2052"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1291AAFD">
            <w:pPr>
              <w:jc w:val="center"/>
              <w:rPr>
                <w:sz w:val="21"/>
                <w:szCs w:val="21"/>
              </w:rPr>
            </w:pPr>
            <w:r>
              <w:rPr>
                <w:sz w:val="21"/>
                <w:szCs w:val="21"/>
              </w:rPr>
              <w:t>机头脱硫</w:t>
            </w:r>
          </w:p>
        </w:tc>
        <w:tc>
          <w:tcPr>
            <w:tcW w:w="748"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0383D678">
            <w:pPr>
              <w:jc w:val="center"/>
              <w:rPr>
                <w:sz w:val="21"/>
                <w:szCs w:val="21"/>
              </w:rPr>
            </w:pPr>
            <w:r>
              <w:rPr>
                <w:sz w:val="21"/>
                <w:szCs w:val="21"/>
              </w:rPr>
              <w:t>固态</w:t>
            </w:r>
          </w:p>
        </w:tc>
        <w:tc>
          <w:tcPr>
            <w:tcW w:w="748"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1BA97B0E">
            <w:pPr>
              <w:jc w:val="center"/>
              <w:rPr>
                <w:sz w:val="21"/>
                <w:szCs w:val="21"/>
              </w:rPr>
            </w:pPr>
            <w:r>
              <w:rPr>
                <w:sz w:val="21"/>
                <w:szCs w:val="21"/>
              </w:rPr>
              <w:t>高硫高钙灰</w:t>
            </w:r>
          </w:p>
        </w:tc>
        <w:tc>
          <w:tcPr>
            <w:tcW w:w="748"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79282BB2">
            <w:pPr>
              <w:jc w:val="center"/>
              <w:rPr>
                <w:sz w:val="21"/>
                <w:szCs w:val="21"/>
              </w:rPr>
            </w:pPr>
            <w:r>
              <w:rPr>
                <w:sz w:val="21"/>
                <w:szCs w:val="21"/>
              </w:rPr>
              <w:t>—</w:t>
            </w:r>
          </w:p>
        </w:tc>
        <w:tc>
          <w:tcPr>
            <w:tcW w:w="943"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05985E26">
            <w:pPr>
              <w:jc w:val="center"/>
              <w:rPr>
                <w:sz w:val="21"/>
                <w:szCs w:val="21"/>
              </w:rPr>
            </w:pPr>
            <w:r>
              <w:rPr>
                <w:sz w:val="21"/>
                <w:szCs w:val="21"/>
              </w:rPr>
              <w:t>—</w:t>
            </w:r>
          </w:p>
        </w:tc>
        <w:tc>
          <w:tcPr>
            <w:tcW w:w="1334"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382178AB">
            <w:pPr>
              <w:jc w:val="center"/>
              <w:rPr>
                <w:sz w:val="21"/>
                <w:szCs w:val="21"/>
              </w:rPr>
            </w:pPr>
            <w:r>
              <w:rPr>
                <w:sz w:val="21"/>
                <w:szCs w:val="21"/>
              </w:rPr>
              <w:t>送兴鑫钢铁“100万吨矿渣微粉”项目进一步处理</w:t>
            </w:r>
          </w:p>
        </w:tc>
      </w:tr>
      <w:tr w14:paraId="6D3426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748"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391AB7F4">
            <w:pPr>
              <w:jc w:val="center"/>
              <w:rPr>
                <w:sz w:val="21"/>
                <w:szCs w:val="21"/>
              </w:rPr>
            </w:pPr>
            <w:r>
              <w:rPr>
                <w:sz w:val="21"/>
                <w:szCs w:val="21"/>
              </w:rPr>
              <w:t>6</w:t>
            </w:r>
          </w:p>
        </w:tc>
        <w:tc>
          <w:tcPr>
            <w:tcW w:w="1243"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318BC595">
            <w:pPr>
              <w:jc w:val="center"/>
              <w:rPr>
                <w:sz w:val="21"/>
                <w:szCs w:val="21"/>
              </w:rPr>
            </w:pPr>
            <w:r>
              <w:rPr>
                <w:sz w:val="21"/>
                <w:szCs w:val="21"/>
              </w:rPr>
              <w:t>废布袋</w:t>
            </w:r>
          </w:p>
        </w:tc>
        <w:tc>
          <w:tcPr>
            <w:tcW w:w="1168" w:type="dxa"/>
            <w:vMerge w:val="continue"/>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513BAD8E">
            <w:pPr>
              <w:jc w:val="center"/>
              <w:rPr>
                <w:sz w:val="21"/>
                <w:szCs w:val="21"/>
              </w:rPr>
            </w:pPr>
          </w:p>
        </w:tc>
        <w:tc>
          <w:tcPr>
            <w:tcW w:w="1072"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5259BEA4">
            <w:pPr>
              <w:jc w:val="center"/>
              <w:rPr>
                <w:sz w:val="21"/>
                <w:szCs w:val="21"/>
              </w:rPr>
            </w:pPr>
            <w:r>
              <w:rPr>
                <w:sz w:val="21"/>
                <w:szCs w:val="21"/>
              </w:rPr>
              <w:t>—</w:t>
            </w:r>
          </w:p>
        </w:tc>
        <w:tc>
          <w:tcPr>
            <w:tcW w:w="1489"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0B9EC4EA">
            <w:pPr>
              <w:jc w:val="center"/>
              <w:rPr>
                <w:sz w:val="21"/>
                <w:szCs w:val="21"/>
              </w:rPr>
            </w:pPr>
            <w:r>
              <w:rPr>
                <w:sz w:val="21"/>
                <w:szCs w:val="21"/>
              </w:rPr>
              <w:t>900-009-S59</w:t>
            </w:r>
          </w:p>
        </w:tc>
        <w:tc>
          <w:tcPr>
            <w:tcW w:w="1361"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2AD5B049">
            <w:pPr>
              <w:jc w:val="center"/>
              <w:rPr>
                <w:sz w:val="21"/>
                <w:szCs w:val="21"/>
              </w:rPr>
            </w:pPr>
            <w:r>
              <w:rPr>
                <w:sz w:val="21"/>
                <w:szCs w:val="21"/>
              </w:rPr>
              <w:t>8</w:t>
            </w:r>
          </w:p>
        </w:tc>
        <w:tc>
          <w:tcPr>
            <w:tcW w:w="2052"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44C616F3">
            <w:pPr>
              <w:jc w:val="center"/>
              <w:rPr>
                <w:sz w:val="21"/>
                <w:szCs w:val="21"/>
              </w:rPr>
            </w:pPr>
            <w:r>
              <w:rPr>
                <w:sz w:val="21"/>
                <w:szCs w:val="21"/>
              </w:rPr>
              <w:t>袋式除尘</w:t>
            </w:r>
          </w:p>
        </w:tc>
        <w:tc>
          <w:tcPr>
            <w:tcW w:w="748"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64AF279B">
            <w:pPr>
              <w:jc w:val="center"/>
              <w:rPr>
                <w:sz w:val="21"/>
                <w:szCs w:val="21"/>
              </w:rPr>
            </w:pPr>
            <w:r>
              <w:rPr>
                <w:sz w:val="21"/>
                <w:szCs w:val="21"/>
              </w:rPr>
              <w:t>固态</w:t>
            </w:r>
          </w:p>
        </w:tc>
        <w:tc>
          <w:tcPr>
            <w:tcW w:w="748"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409A44A7">
            <w:pPr>
              <w:jc w:val="center"/>
              <w:rPr>
                <w:sz w:val="21"/>
                <w:szCs w:val="21"/>
              </w:rPr>
            </w:pPr>
            <w:r>
              <w:rPr>
                <w:sz w:val="21"/>
                <w:szCs w:val="21"/>
              </w:rPr>
              <w:t>树脂</w:t>
            </w:r>
          </w:p>
        </w:tc>
        <w:tc>
          <w:tcPr>
            <w:tcW w:w="748"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4E75E8A4">
            <w:pPr>
              <w:jc w:val="center"/>
              <w:rPr>
                <w:sz w:val="21"/>
                <w:szCs w:val="21"/>
              </w:rPr>
            </w:pPr>
            <w:r>
              <w:rPr>
                <w:sz w:val="21"/>
                <w:szCs w:val="21"/>
              </w:rPr>
              <w:t>—</w:t>
            </w:r>
          </w:p>
        </w:tc>
        <w:tc>
          <w:tcPr>
            <w:tcW w:w="943"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2E74E821">
            <w:pPr>
              <w:jc w:val="center"/>
              <w:rPr>
                <w:sz w:val="21"/>
                <w:szCs w:val="21"/>
              </w:rPr>
            </w:pPr>
            <w:r>
              <w:rPr>
                <w:sz w:val="21"/>
                <w:szCs w:val="21"/>
              </w:rPr>
              <w:t>—</w:t>
            </w:r>
          </w:p>
        </w:tc>
        <w:tc>
          <w:tcPr>
            <w:tcW w:w="1334"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48D14159">
            <w:pPr>
              <w:jc w:val="center"/>
              <w:rPr>
                <w:sz w:val="21"/>
                <w:szCs w:val="21"/>
              </w:rPr>
            </w:pPr>
            <w:r>
              <w:rPr>
                <w:sz w:val="21"/>
                <w:szCs w:val="21"/>
              </w:rPr>
              <w:t>外销综合利用</w:t>
            </w:r>
          </w:p>
        </w:tc>
      </w:tr>
      <w:tr w14:paraId="5B1D6E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748"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562A6582">
            <w:pPr>
              <w:jc w:val="center"/>
              <w:rPr>
                <w:sz w:val="21"/>
                <w:szCs w:val="21"/>
              </w:rPr>
            </w:pPr>
            <w:r>
              <w:rPr>
                <w:sz w:val="21"/>
                <w:szCs w:val="21"/>
              </w:rPr>
              <w:t>7</w:t>
            </w:r>
          </w:p>
        </w:tc>
        <w:tc>
          <w:tcPr>
            <w:tcW w:w="1243"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0935C104">
            <w:pPr>
              <w:jc w:val="center"/>
              <w:rPr>
                <w:sz w:val="21"/>
                <w:szCs w:val="21"/>
              </w:rPr>
            </w:pPr>
            <w:r>
              <w:rPr>
                <w:sz w:val="21"/>
                <w:szCs w:val="21"/>
              </w:rPr>
              <w:t>生活垃圾</w:t>
            </w:r>
          </w:p>
        </w:tc>
        <w:tc>
          <w:tcPr>
            <w:tcW w:w="1168"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5212B93D">
            <w:pPr>
              <w:jc w:val="center"/>
              <w:rPr>
                <w:sz w:val="21"/>
                <w:szCs w:val="21"/>
              </w:rPr>
            </w:pPr>
            <w:r>
              <w:rPr>
                <w:sz w:val="21"/>
                <w:szCs w:val="21"/>
              </w:rPr>
              <w:t>生活垃圾</w:t>
            </w:r>
          </w:p>
        </w:tc>
        <w:tc>
          <w:tcPr>
            <w:tcW w:w="1072"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3B22F114">
            <w:pPr>
              <w:jc w:val="center"/>
              <w:rPr>
                <w:sz w:val="21"/>
                <w:szCs w:val="21"/>
              </w:rPr>
            </w:pPr>
            <w:r>
              <w:rPr>
                <w:sz w:val="21"/>
                <w:szCs w:val="21"/>
              </w:rPr>
              <w:t>—</w:t>
            </w:r>
          </w:p>
        </w:tc>
        <w:tc>
          <w:tcPr>
            <w:tcW w:w="1489"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3B70C65E">
            <w:pPr>
              <w:jc w:val="center"/>
              <w:rPr>
                <w:sz w:val="21"/>
                <w:szCs w:val="21"/>
              </w:rPr>
            </w:pPr>
            <w:r>
              <w:rPr>
                <w:sz w:val="21"/>
                <w:szCs w:val="21"/>
              </w:rPr>
              <w:t>SW61、SW62</w:t>
            </w:r>
          </w:p>
        </w:tc>
        <w:tc>
          <w:tcPr>
            <w:tcW w:w="1361"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0AF4F87B">
            <w:pPr>
              <w:jc w:val="center"/>
              <w:rPr>
                <w:sz w:val="21"/>
                <w:szCs w:val="21"/>
              </w:rPr>
            </w:pPr>
            <w:r>
              <w:rPr>
                <w:sz w:val="21"/>
                <w:szCs w:val="21"/>
              </w:rPr>
              <w:t>81.6</w:t>
            </w:r>
          </w:p>
        </w:tc>
        <w:tc>
          <w:tcPr>
            <w:tcW w:w="2052"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0F113133">
            <w:pPr>
              <w:jc w:val="center"/>
              <w:rPr>
                <w:sz w:val="21"/>
                <w:szCs w:val="21"/>
              </w:rPr>
            </w:pPr>
            <w:r>
              <w:rPr>
                <w:sz w:val="21"/>
                <w:szCs w:val="21"/>
              </w:rPr>
              <w:t>员工生活</w:t>
            </w:r>
          </w:p>
        </w:tc>
        <w:tc>
          <w:tcPr>
            <w:tcW w:w="748"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75C5469D">
            <w:pPr>
              <w:jc w:val="center"/>
              <w:rPr>
                <w:sz w:val="21"/>
                <w:szCs w:val="21"/>
              </w:rPr>
            </w:pPr>
            <w:r>
              <w:rPr>
                <w:sz w:val="21"/>
                <w:szCs w:val="21"/>
              </w:rPr>
              <w:t>固态</w:t>
            </w:r>
          </w:p>
        </w:tc>
        <w:tc>
          <w:tcPr>
            <w:tcW w:w="748"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5B017821">
            <w:pPr>
              <w:jc w:val="center"/>
              <w:rPr>
                <w:sz w:val="21"/>
                <w:szCs w:val="21"/>
              </w:rPr>
            </w:pPr>
            <w:r>
              <w:rPr>
                <w:sz w:val="21"/>
                <w:szCs w:val="21"/>
              </w:rPr>
              <w:t>果皮纸屑等</w:t>
            </w:r>
          </w:p>
        </w:tc>
        <w:tc>
          <w:tcPr>
            <w:tcW w:w="748"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147C011F">
            <w:pPr>
              <w:jc w:val="center"/>
              <w:rPr>
                <w:sz w:val="21"/>
                <w:szCs w:val="21"/>
              </w:rPr>
            </w:pPr>
            <w:r>
              <w:rPr>
                <w:sz w:val="21"/>
                <w:szCs w:val="21"/>
              </w:rPr>
              <w:t>—</w:t>
            </w:r>
          </w:p>
        </w:tc>
        <w:tc>
          <w:tcPr>
            <w:tcW w:w="943"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447F9C29">
            <w:pPr>
              <w:jc w:val="center"/>
              <w:rPr>
                <w:sz w:val="21"/>
                <w:szCs w:val="21"/>
              </w:rPr>
            </w:pPr>
            <w:r>
              <w:rPr>
                <w:sz w:val="21"/>
                <w:szCs w:val="21"/>
              </w:rPr>
              <w:t>—</w:t>
            </w:r>
          </w:p>
        </w:tc>
        <w:tc>
          <w:tcPr>
            <w:tcW w:w="1334"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6807445A">
            <w:pPr>
              <w:jc w:val="center"/>
              <w:rPr>
                <w:sz w:val="21"/>
                <w:szCs w:val="21"/>
              </w:rPr>
            </w:pPr>
            <w:r>
              <w:rPr>
                <w:sz w:val="21"/>
                <w:szCs w:val="21"/>
              </w:rPr>
              <w:t>委托环卫部门处理</w:t>
            </w:r>
          </w:p>
        </w:tc>
      </w:tr>
    </w:tbl>
    <w:p w14:paraId="7790818F"/>
    <w:p w14:paraId="294370C6">
      <w:pPr>
        <w:ind w:firstLine="480" w:firstLineChars="200"/>
        <w:jc w:val="both"/>
      </w:pPr>
      <w:r>
        <w:t>根据《国家危险废物名录》（202</w:t>
      </w:r>
      <w:r>
        <w:rPr>
          <w:rFonts w:hint="eastAsia"/>
          <w:lang w:val="en-US" w:eastAsia="zh-CN"/>
        </w:rPr>
        <w:t>5</w:t>
      </w:r>
      <w:r>
        <w:t>年版），本项目危险废物产生情况见下表4.6.4-3。</w:t>
      </w:r>
    </w:p>
    <w:p w14:paraId="7DCF8865">
      <w:pPr>
        <w:jc w:val="center"/>
      </w:pPr>
      <w:r>
        <w:t>表4.6.4-3 危险废物产生情况表</w:t>
      </w:r>
    </w:p>
    <w:tbl>
      <w:tblPr>
        <w:tblStyle w:val="56"/>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998"/>
        <w:gridCol w:w="1094"/>
        <w:gridCol w:w="1382"/>
        <w:gridCol w:w="1298"/>
        <w:gridCol w:w="1112"/>
        <w:gridCol w:w="541"/>
        <w:gridCol w:w="770"/>
        <w:gridCol w:w="770"/>
        <w:gridCol w:w="770"/>
        <w:gridCol w:w="818"/>
        <w:gridCol w:w="770"/>
        <w:gridCol w:w="882"/>
        <w:gridCol w:w="884"/>
        <w:gridCol w:w="1565"/>
      </w:tblGrid>
      <w:tr w14:paraId="109134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0" w:type="auto"/>
            <w:vMerge w:val="restart"/>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28A899A0">
            <w:pPr>
              <w:jc w:val="center"/>
              <w:rPr>
                <w:b/>
                <w:sz w:val="21"/>
                <w:szCs w:val="21"/>
              </w:rPr>
            </w:pPr>
            <w:r>
              <w:rPr>
                <w:b/>
                <w:sz w:val="21"/>
                <w:szCs w:val="21"/>
              </w:rPr>
              <w:t>固体废物名称</w:t>
            </w:r>
          </w:p>
        </w:tc>
        <w:tc>
          <w:tcPr>
            <w:tcW w:w="0" w:type="auto"/>
            <w:vMerge w:val="restart"/>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0F06AFF6">
            <w:pPr>
              <w:jc w:val="center"/>
              <w:rPr>
                <w:b/>
                <w:sz w:val="21"/>
                <w:szCs w:val="21"/>
              </w:rPr>
            </w:pPr>
            <w:r>
              <w:rPr>
                <w:b/>
                <w:sz w:val="21"/>
                <w:szCs w:val="21"/>
              </w:rPr>
              <w:t>危险废物类别</w:t>
            </w:r>
          </w:p>
        </w:tc>
        <w:tc>
          <w:tcPr>
            <w:tcW w:w="0" w:type="auto"/>
            <w:vMerge w:val="restart"/>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5CAB3663">
            <w:pPr>
              <w:jc w:val="center"/>
              <w:rPr>
                <w:b/>
                <w:sz w:val="21"/>
                <w:szCs w:val="21"/>
              </w:rPr>
            </w:pPr>
            <w:r>
              <w:rPr>
                <w:b/>
                <w:sz w:val="21"/>
                <w:szCs w:val="21"/>
              </w:rPr>
              <w:t>危险废物代码</w:t>
            </w:r>
          </w:p>
        </w:tc>
        <w:tc>
          <w:tcPr>
            <w:tcW w:w="0" w:type="auto"/>
            <w:vMerge w:val="restart"/>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31472A96">
            <w:pPr>
              <w:jc w:val="center"/>
              <w:rPr>
                <w:b/>
                <w:sz w:val="21"/>
                <w:szCs w:val="21"/>
              </w:rPr>
            </w:pPr>
            <w:r>
              <w:rPr>
                <w:b/>
                <w:sz w:val="21"/>
                <w:szCs w:val="21"/>
              </w:rPr>
              <w:t>产生量（t/a）</w:t>
            </w:r>
          </w:p>
        </w:tc>
        <w:tc>
          <w:tcPr>
            <w:tcW w:w="0" w:type="auto"/>
            <w:vMerge w:val="restart"/>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27073C9A">
            <w:pPr>
              <w:jc w:val="center"/>
              <w:rPr>
                <w:b/>
                <w:sz w:val="21"/>
                <w:szCs w:val="21"/>
              </w:rPr>
            </w:pPr>
            <w:r>
              <w:rPr>
                <w:b/>
                <w:sz w:val="21"/>
                <w:szCs w:val="21"/>
              </w:rPr>
              <w:t>产生工序及装置</w:t>
            </w:r>
          </w:p>
        </w:tc>
        <w:tc>
          <w:tcPr>
            <w:tcW w:w="0" w:type="auto"/>
            <w:vMerge w:val="restart"/>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1E28571E">
            <w:pPr>
              <w:jc w:val="center"/>
              <w:rPr>
                <w:b/>
                <w:sz w:val="21"/>
                <w:szCs w:val="21"/>
              </w:rPr>
            </w:pPr>
            <w:r>
              <w:rPr>
                <w:b/>
                <w:sz w:val="21"/>
                <w:szCs w:val="21"/>
              </w:rPr>
              <w:t>形态</w:t>
            </w:r>
          </w:p>
        </w:tc>
        <w:tc>
          <w:tcPr>
            <w:tcW w:w="0" w:type="auto"/>
            <w:vMerge w:val="restart"/>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448BCF2F">
            <w:pPr>
              <w:jc w:val="center"/>
              <w:rPr>
                <w:b/>
                <w:sz w:val="21"/>
                <w:szCs w:val="21"/>
              </w:rPr>
            </w:pPr>
            <w:r>
              <w:rPr>
                <w:b/>
                <w:sz w:val="21"/>
                <w:szCs w:val="21"/>
              </w:rPr>
              <w:t>主要成分</w:t>
            </w:r>
          </w:p>
        </w:tc>
        <w:tc>
          <w:tcPr>
            <w:tcW w:w="0" w:type="auto"/>
            <w:vMerge w:val="restart"/>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52ED61CC">
            <w:pPr>
              <w:jc w:val="center"/>
              <w:rPr>
                <w:b/>
                <w:sz w:val="21"/>
                <w:szCs w:val="21"/>
              </w:rPr>
            </w:pPr>
            <w:r>
              <w:rPr>
                <w:b/>
                <w:sz w:val="21"/>
                <w:szCs w:val="21"/>
              </w:rPr>
              <w:t>有害成分</w:t>
            </w:r>
          </w:p>
        </w:tc>
        <w:tc>
          <w:tcPr>
            <w:tcW w:w="0" w:type="auto"/>
            <w:vMerge w:val="restart"/>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10CAC09C">
            <w:pPr>
              <w:jc w:val="center"/>
              <w:rPr>
                <w:b/>
                <w:sz w:val="21"/>
                <w:szCs w:val="21"/>
              </w:rPr>
            </w:pPr>
            <w:r>
              <w:rPr>
                <w:b/>
                <w:sz w:val="21"/>
                <w:szCs w:val="21"/>
              </w:rPr>
              <w:t>产废周期</w:t>
            </w:r>
          </w:p>
        </w:tc>
        <w:tc>
          <w:tcPr>
            <w:tcW w:w="0" w:type="auto"/>
            <w:vMerge w:val="restart"/>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0E9041F8">
            <w:pPr>
              <w:jc w:val="center"/>
              <w:rPr>
                <w:b/>
                <w:sz w:val="21"/>
                <w:szCs w:val="21"/>
              </w:rPr>
            </w:pPr>
            <w:r>
              <w:rPr>
                <w:b/>
                <w:sz w:val="21"/>
                <w:szCs w:val="21"/>
              </w:rPr>
              <w:t>危险特性</w:t>
            </w:r>
          </w:p>
        </w:tc>
        <w:tc>
          <w:tcPr>
            <w:tcW w:w="0" w:type="auto"/>
            <w:gridSpan w:val="4"/>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35B87222">
            <w:pPr>
              <w:jc w:val="center"/>
              <w:rPr>
                <w:b/>
                <w:sz w:val="21"/>
                <w:szCs w:val="21"/>
              </w:rPr>
            </w:pPr>
            <w:r>
              <w:rPr>
                <w:b/>
                <w:sz w:val="21"/>
                <w:szCs w:val="21"/>
              </w:rPr>
              <w:t>污染防治措施</w:t>
            </w:r>
          </w:p>
        </w:tc>
      </w:tr>
      <w:tr w14:paraId="745658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0" w:type="auto"/>
            <w:vMerge w:val="continue"/>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71EF6A88">
            <w:pPr>
              <w:jc w:val="center"/>
              <w:rPr>
                <w:b/>
                <w:sz w:val="21"/>
                <w:szCs w:val="21"/>
              </w:rPr>
            </w:pPr>
          </w:p>
        </w:tc>
        <w:tc>
          <w:tcPr>
            <w:tcW w:w="0" w:type="auto"/>
            <w:vMerge w:val="continue"/>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4043F12F">
            <w:pPr>
              <w:jc w:val="center"/>
              <w:rPr>
                <w:b/>
                <w:sz w:val="21"/>
                <w:szCs w:val="21"/>
              </w:rPr>
            </w:pPr>
          </w:p>
        </w:tc>
        <w:tc>
          <w:tcPr>
            <w:tcW w:w="0" w:type="auto"/>
            <w:vMerge w:val="continue"/>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14E9B8A0">
            <w:pPr>
              <w:jc w:val="center"/>
              <w:rPr>
                <w:b/>
                <w:sz w:val="21"/>
                <w:szCs w:val="21"/>
              </w:rPr>
            </w:pPr>
          </w:p>
        </w:tc>
        <w:tc>
          <w:tcPr>
            <w:tcW w:w="0" w:type="auto"/>
            <w:vMerge w:val="continue"/>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7034A88E">
            <w:pPr>
              <w:jc w:val="center"/>
              <w:rPr>
                <w:b/>
                <w:sz w:val="21"/>
                <w:szCs w:val="21"/>
              </w:rPr>
            </w:pPr>
          </w:p>
        </w:tc>
        <w:tc>
          <w:tcPr>
            <w:tcW w:w="0" w:type="auto"/>
            <w:vMerge w:val="continue"/>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3234885C">
            <w:pPr>
              <w:jc w:val="center"/>
              <w:rPr>
                <w:b/>
                <w:sz w:val="21"/>
                <w:szCs w:val="21"/>
              </w:rPr>
            </w:pPr>
          </w:p>
        </w:tc>
        <w:tc>
          <w:tcPr>
            <w:tcW w:w="0" w:type="auto"/>
            <w:vMerge w:val="continue"/>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0CCB57E6">
            <w:pPr>
              <w:jc w:val="center"/>
              <w:rPr>
                <w:b/>
                <w:sz w:val="21"/>
                <w:szCs w:val="21"/>
              </w:rPr>
            </w:pPr>
          </w:p>
        </w:tc>
        <w:tc>
          <w:tcPr>
            <w:tcW w:w="0" w:type="auto"/>
            <w:vMerge w:val="continue"/>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52C4DBD5">
            <w:pPr>
              <w:jc w:val="center"/>
              <w:rPr>
                <w:b/>
                <w:sz w:val="21"/>
                <w:szCs w:val="21"/>
              </w:rPr>
            </w:pPr>
          </w:p>
        </w:tc>
        <w:tc>
          <w:tcPr>
            <w:tcW w:w="0" w:type="auto"/>
            <w:vMerge w:val="continue"/>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59F64518">
            <w:pPr>
              <w:jc w:val="center"/>
              <w:rPr>
                <w:b/>
                <w:sz w:val="21"/>
                <w:szCs w:val="21"/>
              </w:rPr>
            </w:pPr>
          </w:p>
        </w:tc>
        <w:tc>
          <w:tcPr>
            <w:tcW w:w="0" w:type="auto"/>
            <w:vMerge w:val="continue"/>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2D51CAC4">
            <w:pPr>
              <w:jc w:val="center"/>
              <w:rPr>
                <w:b/>
                <w:sz w:val="21"/>
                <w:szCs w:val="21"/>
              </w:rPr>
            </w:pPr>
          </w:p>
        </w:tc>
        <w:tc>
          <w:tcPr>
            <w:tcW w:w="0" w:type="auto"/>
            <w:vMerge w:val="continue"/>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671C49CD">
            <w:pPr>
              <w:jc w:val="center"/>
              <w:rPr>
                <w:b/>
                <w:sz w:val="21"/>
                <w:szCs w:val="21"/>
              </w:rPr>
            </w:pPr>
          </w:p>
        </w:tc>
        <w:tc>
          <w:tcPr>
            <w:tcW w:w="0" w:type="auto"/>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269906E1">
            <w:pPr>
              <w:jc w:val="center"/>
              <w:rPr>
                <w:b/>
                <w:sz w:val="21"/>
                <w:szCs w:val="21"/>
              </w:rPr>
            </w:pPr>
            <w:r>
              <w:rPr>
                <w:b/>
                <w:sz w:val="21"/>
                <w:szCs w:val="21"/>
              </w:rPr>
              <w:t>收集方式</w:t>
            </w:r>
          </w:p>
        </w:tc>
        <w:tc>
          <w:tcPr>
            <w:tcW w:w="0" w:type="auto"/>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682870AF">
            <w:pPr>
              <w:jc w:val="center"/>
              <w:rPr>
                <w:b/>
                <w:sz w:val="21"/>
                <w:szCs w:val="21"/>
              </w:rPr>
            </w:pPr>
            <w:r>
              <w:rPr>
                <w:b/>
                <w:sz w:val="21"/>
                <w:szCs w:val="21"/>
              </w:rPr>
              <w:t>贮存区域</w:t>
            </w:r>
          </w:p>
        </w:tc>
        <w:tc>
          <w:tcPr>
            <w:tcW w:w="0" w:type="auto"/>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0F148C7C">
            <w:pPr>
              <w:jc w:val="center"/>
              <w:rPr>
                <w:b/>
                <w:sz w:val="21"/>
                <w:szCs w:val="21"/>
              </w:rPr>
            </w:pPr>
            <w:r>
              <w:rPr>
                <w:b/>
                <w:sz w:val="21"/>
                <w:szCs w:val="21"/>
              </w:rPr>
              <w:t>危废库位置</w:t>
            </w:r>
          </w:p>
        </w:tc>
        <w:tc>
          <w:tcPr>
            <w:tcW w:w="0" w:type="auto"/>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726DF067">
            <w:pPr>
              <w:jc w:val="center"/>
              <w:rPr>
                <w:b/>
                <w:sz w:val="21"/>
                <w:szCs w:val="21"/>
              </w:rPr>
            </w:pPr>
            <w:r>
              <w:rPr>
                <w:b/>
                <w:sz w:val="21"/>
                <w:szCs w:val="21"/>
              </w:rPr>
              <w:t>处置利用</w:t>
            </w:r>
          </w:p>
        </w:tc>
      </w:tr>
      <w:tr w14:paraId="1ED031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0" w:type="auto"/>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35284AC3">
            <w:pPr>
              <w:jc w:val="center"/>
              <w:rPr>
                <w:sz w:val="21"/>
                <w:szCs w:val="21"/>
              </w:rPr>
            </w:pPr>
            <w:r>
              <w:rPr>
                <w:sz w:val="21"/>
                <w:szCs w:val="21"/>
              </w:rPr>
              <w:t>废矿物油</w:t>
            </w:r>
          </w:p>
        </w:tc>
        <w:tc>
          <w:tcPr>
            <w:tcW w:w="0" w:type="auto"/>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1AE21453">
            <w:pPr>
              <w:jc w:val="center"/>
              <w:rPr>
                <w:sz w:val="21"/>
                <w:szCs w:val="21"/>
              </w:rPr>
            </w:pPr>
            <w:r>
              <w:rPr>
                <w:sz w:val="21"/>
                <w:szCs w:val="21"/>
              </w:rPr>
              <w:t>HW08</w:t>
            </w:r>
          </w:p>
        </w:tc>
        <w:tc>
          <w:tcPr>
            <w:tcW w:w="0" w:type="auto"/>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6E7D00F1">
            <w:pPr>
              <w:jc w:val="center"/>
              <w:rPr>
                <w:sz w:val="21"/>
                <w:szCs w:val="21"/>
              </w:rPr>
            </w:pPr>
            <w:r>
              <w:rPr>
                <w:sz w:val="21"/>
                <w:szCs w:val="21"/>
              </w:rPr>
              <w:t>900-249-08</w:t>
            </w:r>
          </w:p>
        </w:tc>
        <w:tc>
          <w:tcPr>
            <w:tcW w:w="0" w:type="auto"/>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6EC70675">
            <w:pPr>
              <w:jc w:val="center"/>
              <w:rPr>
                <w:sz w:val="21"/>
                <w:szCs w:val="21"/>
              </w:rPr>
            </w:pPr>
            <w:r>
              <w:rPr>
                <w:sz w:val="21"/>
                <w:szCs w:val="21"/>
              </w:rPr>
              <w:t>2</w:t>
            </w:r>
          </w:p>
        </w:tc>
        <w:tc>
          <w:tcPr>
            <w:tcW w:w="0" w:type="auto"/>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241EE00D">
            <w:pPr>
              <w:jc w:val="center"/>
              <w:rPr>
                <w:sz w:val="21"/>
                <w:szCs w:val="21"/>
              </w:rPr>
            </w:pPr>
            <w:r>
              <w:rPr>
                <w:sz w:val="21"/>
                <w:szCs w:val="21"/>
              </w:rPr>
              <w:t>设备维护</w:t>
            </w:r>
          </w:p>
        </w:tc>
        <w:tc>
          <w:tcPr>
            <w:tcW w:w="0" w:type="auto"/>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414FB748">
            <w:pPr>
              <w:jc w:val="center"/>
              <w:rPr>
                <w:sz w:val="21"/>
                <w:szCs w:val="21"/>
              </w:rPr>
            </w:pPr>
            <w:r>
              <w:rPr>
                <w:sz w:val="21"/>
                <w:szCs w:val="21"/>
              </w:rPr>
              <w:t>液态</w:t>
            </w:r>
          </w:p>
        </w:tc>
        <w:tc>
          <w:tcPr>
            <w:tcW w:w="0" w:type="auto"/>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2FDE79BC">
            <w:pPr>
              <w:jc w:val="center"/>
              <w:rPr>
                <w:sz w:val="21"/>
                <w:szCs w:val="21"/>
              </w:rPr>
            </w:pPr>
            <w:r>
              <w:rPr>
                <w:sz w:val="21"/>
                <w:szCs w:val="21"/>
              </w:rPr>
              <w:t>矿物油</w:t>
            </w:r>
          </w:p>
        </w:tc>
        <w:tc>
          <w:tcPr>
            <w:tcW w:w="0" w:type="auto"/>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1B81F4AD">
            <w:pPr>
              <w:jc w:val="center"/>
              <w:rPr>
                <w:sz w:val="21"/>
                <w:szCs w:val="21"/>
              </w:rPr>
            </w:pPr>
            <w:r>
              <w:rPr>
                <w:sz w:val="21"/>
                <w:szCs w:val="21"/>
              </w:rPr>
              <w:t>矿物油</w:t>
            </w:r>
          </w:p>
        </w:tc>
        <w:tc>
          <w:tcPr>
            <w:tcW w:w="0" w:type="auto"/>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7623876A">
            <w:pPr>
              <w:jc w:val="center"/>
              <w:rPr>
                <w:sz w:val="21"/>
                <w:szCs w:val="21"/>
              </w:rPr>
            </w:pPr>
            <w:r>
              <w:rPr>
                <w:sz w:val="21"/>
                <w:szCs w:val="21"/>
              </w:rPr>
              <w:t>1个月</w:t>
            </w:r>
          </w:p>
        </w:tc>
        <w:tc>
          <w:tcPr>
            <w:tcW w:w="0" w:type="auto"/>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3E662F10">
            <w:pPr>
              <w:jc w:val="center"/>
              <w:rPr>
                <w:sz w:val="21"/>
                <w:szCs w:val="21"/>
              </w:rPr>
            </w:pPr>
            <w:r>
              <w:rPr>
                <w:sz w:val="21"/>
                <w:szCs w:val="21"/>
              </w:rPr>
              <w:t>T,I</w:t>
            </w:r>
          </w:p>
        </w:tc>
        <w:tc>
          <w:tcPr>
            <w:tcW w:w="0" w:type="auto"/>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5FA065E7">
            <w:pPr>
              <w:jc w:val="center"/>
              <w:rPr>
                <w:sz w:val="21"/>
                <w:szCs w:val="21"/>
              </w:rPr>
            </w:pPr>
            <w:r>
              <w:rPr>
                <w:sz w:val="21"/>
                <w:szCs w:val="21"/>
              </w:rPr>
              <w:t>桶装</w:t>
            </w:r>
          </w:p>
        </w:tc>
        <w:tc>
          <w:tcPr>
            <w:tcW w:w="0" w:type="auto"/>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74FAA5FF">
            <w:pPr>
              <w:jc w:val="center"/>
              <w:rPr>
                <w:sz w:val="21"/>
                <w:szCs w:val="21"/>
              </w:rPr>
            </w:pPr>
            <w:r>
              <w:rPr>
                <w:sz w:val="21"/>
                <w:szCs w:val="21"/>
              </w:rPr>
              <w:t>危废暂存间</w:t>
            </w:r>
          </w:p>
        </w:tc>
        <w:tc>
          <w:tcPr>
            <w:tcW w:w="0" w:type="auto"/>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735D80FE">
            <w:pPr>
              <w:jc w:val="center"/>
              <w:rPr>
                <w:sz w:val="21"/>
                <w:szCs w:val="21"/>
              </w:rPr>
            </w:pPr>
            <w:r>
              <w:rPr>
                <w:sz w:val="21"/>
                <w:szCs w:val="21"/>
              </w:rPr>
              <w:t>烧结区内</w:t>
            </w:r>
          </w:p>
        </w:tc>
        <w:tc>
          <w:tcPr>
            <w:tcW w:w="0" w:type="auto"/>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70EE0994">
            <w:pPr>
              <w:jc w:val="center"/>
              <w:rPr>
                <w:sz w:val="21"/>
                <w:szCs w:val="21"/>
              </w:rPr>
            </w:pPr>
            <w:r>
              <w:rPr>
                <w:sz w:val="21"/>
                <w:szCs w:val="21"/>
              </w:rPr>
              <w:t>委托有资质单位统一处理</w:t>
            </w:r>
          </w:p>
        </w:tc>
      </w:tr>
      <w:tr w14:paraId="12CD7F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0" w:type="auto"/>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089033D9">
            <w:pPr>
              <w:jc w:val="center"/>
              <w:rPr>
                <w:sz w:val="21"/>
                <w:szCs w:val="21"/>
              </w:rPr>
            </w:pPr>
            <w:r>
              <w:rPr>
                <w:sz w:val="21"/>
                <w:szCs w:val="21"/>
              </w:rPr>
              <w:t>废催化剂</w:t>
            </w:r>
          </w:p>
        </w:tc>
        <w:tc>
          <w:tcPr>
            <w:tcW w:w="0" w:type="auto"/>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77D280B4">
            <w:pPr>
              <w:jc w:val="center"/>
              <w:rPr>
                <w:sz w:val="21"/>
                <w:szCs w:val="21"/>
              </w:rPr>
            </w:pPr>
            <w:r>
              <w:rPr>
                <w:sz w:val="21"/>
                <w:szCs w:val="21"/>
              </w:rPr>
              <w:t>HW50</w:t>
            </w:r>
          </w:p>
        </w:tc>
        <w:tc>
          <w:tcPr>
            <w:tcW w:w="0" w:type="auto"/>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5015A4B2">
            <w:pPr>
              <w:jc w:val="center"/>
              <w:rPr>
                <w:sz w:val="21"/>
                <w:szCs w:val="21"/>
              </w:rPr>
            </w:pPr>
            <w:r>
              <w:rPr>
                <w:sz w:val="21"/>
                <w:szCs w:val="21"/>
              </w:rPr>
              <w:t>772-007-50</w:t>
            </w:r>
          </w:p>
        </w:tc>
        <w:tc>
          <w:tcPr>
            <w:tcW w:w="0" w:type="auto"/>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557EECEF">
            <w:pPr>
              <w:jc w:val="center"/>
              <w:rPr>
                <w:sz w:val="21"/>
                <w:szCs w:val="21"/>
              </w:rPr>
            </w:pPr>
            <w:r>
              <w:rPr>
                <w:sz w:val="21"/>
                <w:szCs w:val="21"/>
              </w:rPr>
              <w:t>10t/3a</w:t>
            </w:r>
          </w:p>
        </w:tc>
        <w:tc>
          <w:tcPr>
            <w:tcW w:w="0" w:type="auto"/>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0D9E2B8F">
            <w:pPr>
              <w:jc w:val="center"/>
              <w:rPr>
                <w:sz w:val="21"/>
                <w:szCs w:val="21"/>
              </w:rPr>
            </w:pPr>
            <w:r>
              <w:rPr>
                <w:sz w:val="21"/>
                <w:szCs w:val="21"/>
              </w:rPr>
              <w:t>机头脱硝</w:t>
            </w:r>
          </w:p>
        </w:tc>
        <w:tc>
          <w:tcPr>
            <w:tcW w:w="0" w:type="auto"/>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69DC2551">
            <w:pPr>
              <w:jc w:val="center"/>
              <w:rPr>
                <w:sz w:val="21"/>
                <w:szCs w:val="21"/>
              </w:rPr>
            </w:pPr>
            <w:r>
              <w:rPr>
                <w:sz w:val="21"/>
                <w:szCs w:val="21"/>
              </w:rPr>
              <w:t>固态</w:t>
            </w:r>
          </w:p>
        </w:tc>
        <w:tc>
          <w:tcPr>
            <w:tcW w:w="0" w:type="auto"/>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25796170">
            <w:pPr>
              <w:jc w:val="center"/>
              <w:rPr>
                <w:sz w:val="21"/>
                <w:szCs w:val="21"/>
              </w:rPr>
            </w:pPr>
            <w:r>
              <w:rPr>
                <w:sz w:val="21"/>
                <w:szCs w:val="21"/>
              </w:rPr>
              <w:t>钒钛系</w:t>
            </w:r>
          </w:p>
        </w:tc>
        <w:tc>
          <w:tcPr>
            <w:tcW w:w="0" w:type="auto"/>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1295F83B">
            <w:pPr>
              <w:jc w:val="center"/>
              <w:rPr>
                <w:sz w:val="21"/>
                <w:szCs w:val="21"/>
              </w:rPr>
            </w:pPr>
            <w:r>
              <w:rPr>
                <w:sz w:val="21"/>
                <w:szCs w:val="21"/>
              </w:rPr>
              <w:t>钒钛系</w:t>
            </w:r>
          </w:p>
        </w:tc>
        <w:tc>
          <w:tcPr>
            <w:tcW w:w="0" w:type="auto"/>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2756733B">
            <w:pPr>
              <w:jc w:val="center"/>
              <w:rPr>
                <w:sz w:val="21"/>
                <w:szCs w:val="21"/>
              </w:rPr>
            </w:pPr>
            <w:r>
              <w:rPr>
                <w:sz w:val="21"/>
                <w:szCs w:val="21"/>
              </w:rPr>
              <w:t>3a</w:t>
            </w:r>
          </w:p>
        </w:tc>
        <w:tc>
          <w:tcPr>
            <w:tcW w:w="0" w:type="auto"/>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0B39EA8A">
            <w:pPr>
              <w:jc w:val="center"/>
              <w:rPr>
                <w:sz w:val="21"/>
                <w:szCs w:val="21"/>
              </w:rPr>
            </w:pPr>
            <w:r>
              <w:rPr>
                <w:sz w:val="21"/>
                <w:szCs w:val="21"/>
              </w:rPr>
              <w:t>T</w:t>
            </w:r>
          </w:p>
        </w:tc>
        <w:tc>
          <w:tcPr>
            <w:tcW w:w="0" w:type="auto"/>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2FEFE26F">
            <w:pPr>
              <w:jc w:val="center"/>
              <w:rPr>
                <w:sz w:val="21"/>
                <w:szCs w:val="21"/>
              </w:rPr>
            </w:pPr>
            <w:r>
              <w:rPr>
                <w:sz w:val="21"/>
                <w:szCs w:val="21"/>
              </w:rPr>
              <w:t>/</w:t>
            </w:r>
          </w:p>
        </w:tc>
        <w:tc>
          <w:tcPr>
            <w:tcW w:w="0" w:type="auto"/>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4D1ABCE3">
            <w:pPr>
              <w:jc w:val="center"/>
              <w:rPr>
                <w:sz w:val="21"/>
                <w:szCs w:val="21"/>
              </w:rPr>
            </w:pPr>
            <w:r>
              <w:rPr>
                <w:sz w:val="21"/>
                <w:szCs w:val="21"/>
              </w:rPr>
              <w:t>不暂存</w:t>
            </w:r>
          </w:p>
        </w:tc>
        <w:tc>
          <w:tcPr>
            <w:tcW w:w="0" w:type="auto"/>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684682D1">
            <w:pPr>
              <w:jc w:val="center"/>
              <w:rPr>
                <w:sz w:val="21"/>
                <w:szCs w:val="21"/>
              </w:rPr>
            </w:pPr>
            <w:r>
              <w:rPr>
                <w:sz w:val="21"/>
                <w:szCs w:val="21"/>
              </w:rPr>
              <w:t>/</w:t>
            </w:r>
          </w:p>
        </w:tc>
        <w:tc>
          <w:tcPr>
            <w:tcW w:w="0" w:type="auto"/>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5A2C9041">
            <w:pPr>
              <w:jc w:val="center"/>
              <w:rPr>
                <w:sz w:val="21"/>
                <w:szCs w:val="21"/>
              </w:rPr>
            </w:pPr>
            <w:r>
              <w:rPr>
                <w:sz w:val="21"/>
                <w:szCs w:val="21"/>
              </w:rPr>
              <w:t>委托有资质的单位处理</w:t>
            </w:r>
          </w:p>
        </w:tc>
      </w:tr>
    </w:tbl>
    <w:p w14:paraId="25BA26CF">
      <w:pPr>
        <w:jc w:val="left"/>
      </w:pPr>
      <w:r>
        <w:t>注：“危险特性”是指腐蚀性（Corrosivity,C）、毒性（Toxicity,T）、易燃性（Ignitability,I）、反应性（Reactivity,R）和感染性（Infectivity,In）。</w:t>
      </w:r>
    </w:p>
    <w:p w14:paraId="09D1AA1D">
      <w:pPr>
        <w:sectPr>
          <w:pgSz w:w="16840" w:h="11907" w:orient="landscape"/>
          <w:pgMar w:top="1701" w:right="1701" w:bottom="1701" w:left="1701" w:header="851" w:footer="1077" w:gutter="0"/>
          <w:pgBorders w:offsetFrom="page">
            <w:top w:val="none" w:sz="0" w:space="0"/>
            <w:left w:val="none" w:sz="0" w:space="0"/>
            <w:bottom w:val="none" w:sz="0" w:space="0"/>
            <w:right w:val="none" w:sz="0" w:space="0"/>
          </w:pgBorders>
          <w:pgNumType w:fmt="decimal"/>
          <w:cols w:space="720" w:num="1"/>
          <w:docGrid w:type="lines" w:linePitch="479" w:charSpace="0"/>
        </w:sectPr>
      </w:pPr>
    </w:p>
    <w:p w14:paraId="4F95A4D4">
      <w:pPr>
        <w:pStyle w:val="7"/>
      </w:pPr>
      <w:bookmarkStart w:id="319" w:name="_Toc5136"/>
      <w:r>
        <w:rPr>
          <w:rFonts w:hint="eastAsia"/>
          <w:lang w:eastAsia="zh-CN"/>
        </w:rPr>
        <w:t>3</w:t>
      </w:r>
      <w:r>
        <w:t>.</w:t>
      </w:r>
      <w:r>
        <w:rPr>
          <w:rFonts w:hint="eastAsia"/>
          <w:lang w:eastAsia="zh-CN"/>
        </w:rPr>
        <w:t>4</w:t>
      </w:r>
      <w:r>
        <w:t>.</w:t>
      </w:r>
      <w:r>
        <w:rPr>
          <w:rFonts w:hint="eastAsia"/>
          <w:lang w:eastAsia="zh-CN"/>
        </w:rPr>
        <w:t>4</w:t>
      </w:r>
      <w:r>
        <w:t xml:space="preserve"> 噪声</w:t>
      </w:r>
      <w:bookmarkEnd w:id="318"/>
      <w:bookmarkEnd w:id="319"/>
    </w:p>
    <w:p w14:paraId="40475800">
      <w:pPr>
        <w:adjustRightInd w:val="0"/>
        <w:snapToGrid w:val="0"/>
        <w:spacing w:line="500" w:lineRule="exact"/>
        <w:ind w:firstLine="480" w:firstLineChars="200"/>
        <w:rPr>
          <w:rFonts w:hint="eastAsia" w:ascii="Times New Roman" w:hAnsi="Times New Roman" w:cs="Times New Roman"/>
        </w:rPr>
      </w:pPr>
      <w:r>
        <w:rPr>
          <w:rFonts w:hint="eastAsia" w:ascii="Times New Roman" w:hAnsi="Times New Roman" w:cs="Times New Roman"/>
        </w:rPr>
        <w:t>本项目为技改项目，新增的噪声设备主要为风机、破碎机、振动筛、振动给料机及其相关水泵等。根据《污染源源强核算技术指南 钢铁工业》（HJ885-2018）附录 G，新增设备及噪声值见下表。</w:t>
      </w:r>
    </w:p>
    <w:p w14:paraId="7C9CDBA1">
      <w:pPr>
        <w:pStyle w:val="2"/>
        <w:rPr>
          <w:rFonts w:hint="eastAsia"/>
        </w:rPr>
        <w:sectPr>
          <w:pgSz w:w="11907" w:h="16840"/>
          <w:pgMar w:top="1701" w:right="1701" w:bottom="1701" w:left="1701" w:header="851" w:footer="1077" w:gutter="0"/>
          <w:pgBorders w:offsetFrom="page">
            <w:top w:val="none" w:sz="0" w:space="0"/>
            <w:left w:val="none" w:sz="0" w:space="0"/>
            <w:bottom w:val="none" w:sz="0" w:space="0"/>
            <w:right w:val="none" w:sz="0" w:space="0"/>
          </w:pgBorders>
          <w:pgNumType w:fmt="decimal"/>
          <w:cols w:space="720" w:num="1"/>
          <w:docGrid w:type="lines" w:linePitch="479" w:charSpace="0"/>
        </w:sectPr>
      </w:pPr>
    </w:p>
    <w:p w14:paraId="409352CE">
      <w:pPr>
        <w:jc w:val="center"/>
      </w:pPr>
      <w:r>
        <w:t>表4.6.3-1 项目噪声源调查清单（室内声源）</w:t>
      </w:r>
    </w:p>
    <w:tbl>
      <w:tblPr>
        <w:tblStyle w:val="56"/>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455"/>
        <w:gridCol w:w="522"/>
        <w:gridCol w:w="1594"/>
        <w:gridCol w:w="1143"/>
        <w:gridCol w:w="1191"/>
        <w:gridCol w:w="984"/>
        <w:gridCol w:w="1004"/>
        <w:gridCol w:w="768"/>
        <w:gridCol w:w="694"/>
        <w:gridCol w:w="863"/>
        <w:gridCol w:w="937"/>
        <w:gridCol w:w="975"/>
        <w:gridCol w:w="844"/>
        <w:gridCol w:w="1012"/>
        <w:gridCol w:w="668"/>
      </w:tblGrid>
      <w:tr w14:paraId="689478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455" w:type="dxa"/>
            <w:vMerge w:val="restart"/>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375EBD64">
            <w:pPr>
              <w:jc w:val="center"/>
              <w:rPr>
                <w:b/>
                <w:sz w:val="21"/>
                <w:szCs w:val="21"/>
              </w:rPr>
            </w:pPr>
            <w:r>
              <w:rPr>
                <w:b/>
                <w:sz w:val="21"/>
                <w:szCs w:val="21"/>
              </w:rPr>
              <w:t>序号</w:t>
            </w:r>
          </w:p>
        </w:tc>
        <w:tc>
          <w:tcPr>
            <w:tcW w:w="522" w:type="dxa"/>
            <w:vMerge w:val="restart"/>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13B5B052">
            <w:pPr>
              <w:jc w:val="center"/>
              <w:rPr>
                <w:b/>
                <w:sz w:val="21"/>
                <w:szCs w:val="21"/>
              </w:rPr>
            </w:pPr>
            <w:r>
              <w:rPr>
                <w:b/>
                <w:sz w:val="21"/>
                <w:szCs w:val="21"/>
              </w:rPr>
              <w:t>建筑物名称</w:t>
            </w:r>
          </w:p>
        </w:tc>
        <w:tc>
          <w:tcPr>
            <w:tcW w:w="1594" w:type="dxa"/>
            <w:vMerge w:val="restart"/>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3D668A7A">
            <w:pPr>
              <w:jc w:val="center"/>
              <w:rPr>
                <w:b/>
                <w:sz w:val="21"/>
                <w:szCs w:val="21"/>
              </w:rPr>
            </w:pPr>
            <w:r>
              <w:rPr>
                <w:b/>
                <w:sz w:val="21"/>
                <w:szCs w:val="21"/>
              </w:rPr>
              <w:t>声源名称</w:t>
            </w:r>
          </w:p>
        </w:tc>
        <w:tc>
          <w:tcPr>
            <w:tcW w:w="1143" w:type="dxa"/>
            <w:vMerge w:val="restart"/>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1B311FC2">
            <w:pPr>
              <w:jc w:val="center"/>
              <w:rPr>
                <w:b/>
                <w:sz w:val="21"/>
                <w:szCs w:val="21"/>
              </w:rPr>
            </w:pPr>
            <w:r>
              <w:rPr>
                <w:b/>
                <w:sz w:val="21"/>
                <w:szCs w:val="21"/>
              </w:rPr>
              <w:t>型号</w:t>
            </w:r>
          </w:p>
        </w:tc>
        <w:tc>
          <w:tcPr>
            <w:tcW w:w="1191"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3A7E375A">
            <w:pPr>
              <w:jc w:val="center"/>
              <w:rPr>
                <w:b/>
                <w:sz w:val="21"/>
                <w:szCs w:val="21"/>
              </w:rPr>
            </w:pPr>
            <w:r>
              <w:rPr>
                <w:b/>
                <w:sz w:val="21"/>
                <w:szCs w:val="21"/>
              </w:rPr>
              <w:t>声源强</w:t>
            </w:r>
          </w:p>
        </w:tc>
        <w:tc>
          <w:tcPr>
            <w:tcW w:w="984" w:type="dxa"/>
            <w:vMerge w:val="restart"/>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026B5B81">
            <w:pPr>
              <w:jc w:val="center"/>
              <w:rPr>
                <w:b/>
                <w:sz w:val="21"/>
                <w:szCs w:val="21"/>
              </w:rPr>
            </w:pPr>
            <w:r>
              <w:rPr>
                <w:b/>
                <w:sz w:val="21"/>
                <w:szCs w:val="21"/>
              </w:rPr>
              <w:t>声源控制措施</w:t>
            </w:r>
          </w:p>
        </w:tc>
        <w:tc>
          <w:tcPr>
            <w:tcW w:w="2466" w:type="dxa"/>
            <w:gridSpan w:val="3"/>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3DE63FFE">
            <w:pPr>
              <w:jc w:val="center"/>
              <w:rPr>
                <w:b/>
                <w:sz w:val="21"/>
                <w:szCs w:val="21"/>
              </w:rPr>
            </w:pPr>
            <w:r>
              <w:rPr>
                <w:b/>
                <w:sz w:val="21"/>
                <w:szCs w:val="21"/>
              </w:rPr>
              <w:t>空间相对位置/m</w:t>
            </w:r>
          </w:p>
        </w:tc>
        <w:tc>
          <w:tcPr>
            <w:tcW w:w="863" w:type="dxa"/>
            <w:vMerge w:val="restart"/>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1D5B0225">
            <w:pPr>
              <w:jc w:val="center"/>
              <w:rPr>
                <w:b/>
                <w:sz w:val="21"/>
                <w:szCs w:val="21"/>
              </w:rPr>
            </w:pPr>
            <w:r>
              <w:rPr>
                <w:b/>
                <w:sz w:val="21"/>
                <w:szCs w:val="21"/>
              </w:rPr>
              <w:t>距室内边界距离/m</w:t>
            </w:r>
          </w:p>
        </w:tc>
        <w:tc>
          <w:tcPr>
            <w:tcW w:w="937" w:type="dxa"/>
            <w:vMerge w:val="restart"/>
            <w:tcBorders>
              <w:top w:val="single" w:color="000000" w:sz="4" w:space="0"/>
              <w:left w:val="single" w:color="000000" w:sz="4" w:space="0"/>
              <w:right w:val="single" w:color="000000" w:sz="4" w:space="0"/>
            </w:tcBorders>
            <w:noWrap w:val="0"/>
            <w:tcMar>
              <w:left w:w="108" w:type="dxa"/>
              <w:right w:w="108" w:type="dxa"/>
            </w:tcMar>
            <w:vAlign w:val="center"/>
          </w:tcPr>
          <w:p w14:paraId="1F5E15DC">
            <w:pPr>
              <w:jc w:val="center"/>
              <w:rPr>
                <w:b/>
                <w:sz w:val="21"/>
                <w:szCs w:val="21"/>
              </w:rPr>
            </w:pPr>
            <w:r>
              <w:rPr>
                <w:b/>
                <w:sz w:val="21"/>
                <w:szCs w:val="21"/>
              </w:rPr>
              <w:t>室内边界声级/dB(A)</w:t>
            </w:r>
          </w:p>
        </w:tc>
        <w:tc>
          <w:tcPr>
            <w:tcW w:w="975" w:type="dxa"/>
            <w:vMerge w:val="restart"/>
            <w:tcBorders>
              <w:top w:val="single" w:color="000000" w:sz="4" w:space="0"/>
              <w:left w:val="single" w:color="000000" w:sz="4" w:space="0"/>
              <w:right w:val="single" w:color="000000" w:sz="4" w:space="0"/>
            </w:tcBorders>
            <w:noWrap w:val="0"/>
            <w:tcMar>
              <w:left w:w="108" w:type="dxa"/>
              <w:right w:w="108" w:type="dxa"/>
            </w:tcMar>
            <w:vAlign w:val="center"/>
          </w:tcPr>
          <w:p w14:paraId="0CE87873">
            <w:pPr>
              <w:jc w:val="center"/>
              <w:rPr>
                <w:b/>
                <w:sz w:val="21"/>
                <w:szCs w:val="21"/>
              </w:rPr>
            </w:pPr>
            <w:r>
              <w:rPr>
                <w:b/>
                <w:sz w:val="21"/>
                <w:szCs w:val="21"/>
              </w:rPr>
              <w:t>运行时段</w:t>
            </w:r>
          </w:p>
        </w:tc>
        <w:tc>
          <w:tcPr>
            <w:tcW w:w="844" w:type="dxa"/>
            <w:vMerge w:val="restart"/>
            <w:tcBorders>
              <w:top w:val="single" w:color="000000" w:sz="4" w:space="0"/>
              <w:left w:val="single" w:color="000000" w:sz="4" w:space="0"/>
              <w:right w:val="single" w:color="000000" w:sz="4" w:space="0"/>
            </w:tcBorders>
            <w:noWrap w:val="0"/>
            <w:tcMar>
              <w:left w:w="108" w:type="dxa"/>
              <w:right w:w="108" w:type="dxa"/>
            </w:tcMar>
            <w:vAlign w:val="center"/>
          </w:tcPr>
          <w:p w14:paraId="20A73C98">
            <w:pPr>
              <w:jc w:val="center"/>
              <w:rPr>
                <w:b/>
                <w:sz w:val="21"/>
                <w:szCs w:val="21"/>
              </w:rPr>
            </w:pPr>
            <w:r>
              <w:rPr>
                <w:b/>
                <w:sz w:val="21"/>
                <w:szCs w:val="21"/>
              </w:rPr>
              <w:t>建筑物插入损失/dB(A)</w:t>
            </w:r>
          </w:p>
        </w:tc>
        <w:tc>
          <w:tcPr>
            <w:tcW w:w="1680" w:type="dxa"/>
            <w:gridSpan w:val="2"/>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5BB6AA07">
            <w:pPr>
              <w:jc w:val="center"/>
              <w:rPr>
                <w:b/>
                <w:sz w:val="21"/>
                <w:szCs w:val="21"/>
              </w:rPr>
            </w:pPr>
            <w:r>
              <w:rPr>
                <w:b/>
                <w:sz w:val="21"/>
                <w:szCs w:val="21"/>
              </w:rPr>
              <w:t>建筑物外噪声</w:t>
            </w:r>
          </w:p>
        </w:tc>
      </w:tr>
      <w:tr w14:paraId="7DFDD8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455" w:type="dxa"/>
            <w:vMerge w:val="continue"/>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234D4B64">
            <w:pPr>
              <w:jc w:val="center"/>
              <w:rPr>
                <w:b/>
                <w:sz w:val="21"/>
                <w:szCs w:val="21"/>
              </w:rPr>
            </w:pPr>
          </w:p>
        </w:tc>
        <w:tc>
          <w:tcPr>
            <w:tcW w:w="522" w:type="dxa"/>
            <w:vMerge w:val="continue"/>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456FBB68">
            <w:pPr>
              <w:jc w:val="center"/>
              <w:rPr>
                <w:b/>
                <w:sz w:val="21"/>
                <w:szCs w:val="21"/>
              </w:rPr>
            </w:pPr>
          </w:p>
        </w:tc>
        <w:tc>
          <w:tcPr>
            <w:tcW w:w="1594" w:type="dxa"/>
            <w:vMerge w:val="continue"/>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5D284567">
            <w:pPr>
              <w:jc w:val="center"/>
              <w:rPr>
                <w:b/>
                <w:sz w:val="21"/>
                <w:szCs w:val="21"/>
              </w:rPr>
            </w:pPr>
          </w:p>
        </w:tc>
        <w:tc>
          <w:tcPr>
            <w:tcW w:w="1143" w:type="dxa"/>
            <w:vMerge w:val="continue"/>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689B3A77">
            <w:pPr>
              <w:jc w:val="center"/>
              <w:rPr>
                <w:b/>
                <w:sz w:val="21"/>
                <w:szCs w:val="21"/>
              </w:rPr>
            </w:pPr>
          </w:p>
        </w:tc>
        <w:tc>
          <w:tcPr>
            <w:tcW w:w="1191"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0465425C">
            <w:pPr>
              <w:jc w:val="center"/>
              <w:rPr>
                <w:b/>
                <w:sz w:val="21"/>
                <w:szCs w:val="21"/>
              </w:rPr>
            </w:pPr>
            <w:r>
              <w:rPr>
                <w:b/>
                <w:sz w:val="21"/>
                <w:szCs w:val="21"/>
              </w:rPr>
              <w:t>（声压级/距声源距离）/dB(A)/m</w:t>
            </w:r>
          </w:p>
        </w:tc>
        <w:tc>
          <w:tcPr>
            <w:tcW w:w="984" w:type="dxa"/>
            <w:vMerge w:val="continue"/>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07F4E641">
            <w:pPr>
              <w:jc w:val="center"/>
              <w:rPr>
                <w:b/>
                <w:sz w:val="21"/>
                <w:szCs w:val="21"/>
              </w:rPr>
            </w:pPr>
          </w:p>
        </w:tc>
        <w:tc>
          <w:tcPr>
            <w:tcW w:w="1004"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2E604E76">
            <w:pPr>
              <w:jc w:val="center"/>
              <w:rPr>
                <w:b/>
                <w:sz w:val="21"/>
                <w:szCs w:val="21"/>
              </w:rPr>
            </w:pPr>
            <w:r>
              <w:rPr>
                <w:b/>
                <w:sz w:val="21"/>
                <w:szCs w:val="21"/>
              </w:rPr>
              <w:t>X</w:t>
            </w:r>
          </w:p>
        </w:tc>
        <w:tc>
          <w:tcPr>
            <w:tcW w:w="768"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031E0AFA">
            <w:pPr>
              <w:jc w:val="center"/>
              <w:rPr>
                <w:b/>
                <w:sz w:val="21"/>
                <w:szCs w:val="21"/>
              </w:rPr>
            </w:pPr>
            <w:r>
              <w:rPr>
                <w:b/>
                <w:sz w:val="21"/>
                <w:szCs w:val="21"/>
              </w:rPr>
              <w:t>Y</w:t>
            </w:r>
          </w:p>
        </w:tc>
        <w:tc>
          <w:tcPr>
            <w:tcW w:w="694"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1F3AF9ED">
            <w:pPr>
              <w:jc w:val="center"/>
              <w:rPr>
                <w:b/>
                <w:sz w:val="21"/>
                <w:szCs w:val="21"/>
              </w:rPr>
            </w:pPr>
            <w:r>
              <w:rPr>
                <w:b/>
                <w:sz w:val="21"/>
                <w:szCs w:val="21"/>
              </w:rPr>
              <w:t>Z</w:t>
            </w:r>
          </w:p>
        </w:tc>
        <w:tc>
          <w:tcPr>
            <w:tcW w:w="863" w:type="dxa"/>
            <w:vMerge w:val="continue"/>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5168345C">
            <w:pPr>
              <w:jc w:val="center"/>
              <w:rPr>
                <w:b/>
                <w:sz w:val="21"/>
                <w:szCs w:val="21"/>
              </w:rPr>
            </w:pPr>
          </w:p>
        </w:tc>
        <w:tc>
          <w:tcPr>
            <w:tcW w:w="937" w:type="dxa"/>
            <w:vMerge w:val="continue"/>
            <w:tcBorders>
              <w:left w:val="single" w:color="000000" w:sz="4" w:space="0"/>
              <w:right w:val="single" w:color="000000" w:sz="4" w:space="0"/>
            </w:tcBorders>
            <w:noWrap w:val="0"/>
            <w:tcMar>
              <w:left w:w="108" w:type="dxa"/>
              <w:right w:w="108" w:type="dxa"/>
            </w:tcMar>
            <w:vAlign w:val="center"/>
          </w:tcPr>
          <w:p w14:paraId="41420F53">
            <w:pPr>
              <w:jc w:val="center"/>
              <w:rPr>
                <w:b/>
                <w:sz w:val="21"/>
                <w:szCs w:val="21"/>
              </w:rPr>
            </w:pPr>
          </w:p>
        </w:tc>
        <w:tc>
          <w:tcPr>
            <w:tcW w:w="975" w:type="dxa"/>
            <w:vMerge w:val="continue"/>
            <w:tcBorders>
              <w:left w:val="single" w:color="000000" w:sz="4" w:space="0"/>
              <w:right w:val="single" w:color="000000" w:sz="4" w:space="0"/>
            </w:tcBorders>
            <w:noWrap w:val="0"/>
            <w:tcMar>
              <w:left w:w="108" w:type="dxa"/>
              <w:right w:w="108" w:type="dxa"/>
            </w:tcMar>
            <w:vAlign w:val="center"/>
          </w:tcPr>
          <w:p w14:paraId="2C02E652">
            <w:pPr>
              <w:jc w:val="center"/>
              <w:rPr>
                <w:b/>
                <w:sz w:val="21"/>
                <w:szCs w:val="21"/>
              </w:rPr>
            </w:pPr>
          </w:p>
        </w:tc>
        <w:tc>
          <w:tcPr>
            <w:tcW w:w="844" w:type="dxa"/>
            <w:vMerge w:val="continue"/>
            <w:tcBorders>
              <w:left w:val="single" w:color="000000" w:sz="4" w:space="0"/>
              <w:right w:val="single" w:color="000000" w:sz="4" w:space="0"/>
            </w:tcBorders>
            <w:noWrap w:val="0"/>
            <w:tcMar>
              <w:left w:w="108" w:type="dxa"/>
              <w:right w:w="108" w:type="dxa"/>
            </w:tcMar>
            <w:vAlign w:val="center"/>
          </w:tcPr>
          <w:p w14:paraId="3E87DEFA">
            <w:pPr>
              <w:jc w:val="center"/>
              <w:rPr>
                <w:b/>
                <w:sz w:val="21"/>
                <w:szCs w:val="21"/>
              </w:rPr>
            </w:pPr>
          </w:p>
        </w:tc>
        <w:tc>
          <w:tcPr>
            <w:tcW w:w="1012"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42771113">
            <w:pPr>
              <w:jc w:val="center"/>
              <w:rPr>
                <w:b/>
                <w:sz w:val="21"/>
                <w:szCs w:val="21"/>
              </w:rPr>
            </w:pPr>
            <w:r>
              <w:rPr>
                <w:b/>
                <w:sz w:val="21"/>
                <w:szCs w:val="21"/>
              </w:rPr>
              <w:t>声压级/dB(A)</w:t>
            </w:r>
          </w:p>
        </w:tc>
        <w:tc>
          <w:tcPr>
            <w:tcW w:w="668"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069B9C6D">
            <w:pPr>
              <w:jc w:val="center"/>
              <w:rPr>
                <w:b/>
                <w:sz w:val="21"/>
                <w:szCs w:val="21"/>
              </w:rPr>
            </w:pPr>
            <w:r>
              <w:rPr>
                <w:b/>
                <w:sz w:val="21"/>
                <w:szCs w:val="21"/>
              </w:rPr>
              <w:t>建筑物外距离</w:t>
            </w:r>
          </w:p>
        </w:tc>
      </w:tr>
      <w:tr w14:paraId="242223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455"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2093AC88">
            <w:pPr>
              <w:jc w:val="center"/>
              <w:rPr>
                <w:sz w:val="21"/>
                <w:szCs w:val="21"/>
              </w:rPr>
            </w:pPr>
            <w:r>
              <w:rPr>
                <w:sz w:val="21"/>
                <w:szCs w:val="21"/>
              </w:rPr>
              <w:t>1</w:t>
            </w:r>
          </w:p>
        </w:tc>
        <w:tc>
          <w:tcPr>
            <w:tcW w:w="522" w:type="dxa"/>
            <w:vMerge w:val="restart"/>
            <w:tcBorders>
              <w:top w:val="single" w:color="000000" w:sz="4" w:space="0"/>
              <w:left w:val="single" w:color="000000" w:sz="4" w:space="0"/>
              <w:right w:val="single" w:color="000000" w:sz="4" w:space="0"/>
            </w:tcBorders>
            <w:noWrap w:val="0"/>
            <w:tcMar>
              <w:left w:w="108" w:type="dxa"/>
              <w:right w:w="108" w:type="dxa"/>
            </w:tcMar>
            <w:vAlign w:val="center"/>
          </w:tcPr>
          <w:p w14:paraId="47599B62">
            <w:pPr>
              <w:rPr>
                <w:sz w:val="21"/>
                <w:szCs w:val="21"/>
              </w:rPr>
            </w:pPr>
            <w:r>
              <w:rPr>
                <w:rFonts w:hint="eastAsia" w:ascii="Times New Roman" w:hAnsi="Times New Roman" w:cs="Times New Roman"/>
                <w:sz w:val="21"/>
                <w:szCs w:val="21"/>
                <w:lang w:val="en-US" w:eastAsia="zh-CN"/>
              </w:rPr>
              <w:t>烧结</w:t>
            </w:r>
            <w:r>
              <w:rPr>
                <w:rFonts w:hint="eastAsia" w:ascii="Times New Roman" w:hAnsi="Times New Roman" w:cs="Times New Roman"/>
                <w:sz w:val="21"/>
                <w:szCs w:val="21"/>
              </w:rPr>
              <w:t>车间</w:t>
            </w:r>
          </w:p>
        </w:tc>
        <w:tc>
          <w:tcPr>
            <w:tcW w:w="1594"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3F5AE9A6">
            <w:pPr>
              <w:pStyle w:val="465"/>
              <w:spacing w:line="240" w:lineRule="auto"/>
              <w:ind w:firstLine="0" w:firstLineChars="0"/>
              <w:jc w:val="center"/>
              <w:rPr>
                <w:sz w:val="21"/>
                <w:szCs w:val="21"/>
              </w:rPr>
            </w:pPr>
            <w:r>
              <w:rPr>
                <w:rFonts w:hint="eastAsia"/>
                <w:bCs/>
                <w:sz w:val="21"/>
                <w:szCs w:val="21"/>
                <w:lang w:val="en-US" w:eastAsia="zh-CN"/>
              </w:rPr>
              <w:t>带式烧结机</w:t>
            </w:r>
          </w:p>
        </w:tc>
        <w:tc>
          <w:tcPr>
            <w:tcW w:w="1143"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4C8E9337">
            <w:pPr>
              <w:pStyle w:val="465"/>
              <w:spacing w:line="240" w:lineRule="auto"/>
              <w:ind w:firstLine="0" w:firstLineChars="0"/>
              <w:jc w:val="center"/>
              <w:rPr>
                <w:rFonts w:hint="default"/>
                <w:bCs/>
                <w:sz w:val="21"/>
                <w:szCs w:val="21"/>
                <w:lang w:val="en-US" w:eastAsia="zh-CN"/>
              </w:rPr>
            </w:pPr>
            <w:r>
              <w:rPr>
                <w:rFonts w:hint="eastAsia"/>
                <w:bCs/>
                <w:sz w:val="21"/>
                <w:szCs w:val="21"/>
                <w:lang w:val="en-US" w:eastAsia="zh-CN"/>
              </w:rPr>
              <w:t>50m</w:t>
            </w:r>
            <w:r>
              <w:rPr>
                <w:rFonts w:hint="eastAsia"/>
                <w:bCs/>
                <w:sz w:val="21"/>
                <w:szCs w:val="21"/>
                <w:vertAlign w:val="superscript"/>
                <w:lang w:val="en-US" w:eastAsia="zh-CN"/>
              </w:rPr>
              <w:t>2</w:t>
            </w:r>
          </w:p>
        </w:tc>
        <w:tc>
          <w:tcPr>
            <w:tcW w:w="1191" w:type="dxa"/>
            <w:tcBorders>
              <w:top w:val="single" w:color="000000" w:sz="4" w:space="0"/>
              <w:left w:val="single" w:color="000000" w:sz="4" w:space="0"/>
              <w:bottom w:val="single" w:color="000000" w:sz="4" w:space="0"/>
              <w:right w:val="single" w:color="000000" w:sz="4" w:space="0"/>
            </w:tcBorders>
            <w:shd w:val="clear" w:color="auto" w:fill="auto"/>
            <w:noWrap w:val="0"/>
            <w:tcMar>
              <w:left w:w="108" w:type="dxa"/>
              <w:right w:w="108" w:type="dxa"/>
            </w:tcMar>
            <w:vAlign w:val="center"/>
          </w:tcPr>
          <w:p w14:paraId="1E4A76CB">
            <w:pPr>
              <w:pStyle w:val="465"/>
              <w:spacing w:line="240" w:lineRule="auto"/>
              <w:ind w:firstLine="0" w:firstLineChars="0"/>
              <w:jc w:val="center"/>
              <w:rPr>
                <w:rFonts w:hint="default" w:ascii="Times New Roman" w:hAnsi="Times New Roman" w:eastAsia="宋体" w:cs="Times New Roman"/>
                <w:bCs/>
                <w:kern w:val="24"/>
                <w:sz w:val="21"/>
                <w:szCs w:val="21"/>
                <w:lang w:val="en-US" w:eastAsia="zh-CN" w:bidi="ar-SA"/>
              </w:rPr>
            </w:pPr>
            <w:r>
              <w:rPr>
                <w:rFonts w:hint="eastAsia"/>
                <w:bCs/>
                <w:sz w:val="21"/>
                <w:szCs w:val="21"/>
                <w:lang w:val="en-US" w:eastAsia="zh-CN"/>
              </w:rPr>
              <w:t>80</w:t>
            </w:r>
          </w:p>
        </w:tc>
        <w:tc>
          <w:tcPr>
            <w:tcW w:w="984" w:type="dxa"/>
            <w:vMerge w:val="restart"/>
            <w:tcBorders>
              <w:top w:val="single" w:color="000000" w:sz="4" w:space="0"/>
              <w:left w:val="single" w:color="000000" w:sz="4" w:space="0"/>
              <w:right w:val="single" w:color="000000" w:sz="4" w:space="0"/>
            </w:tcBorders>
            <w:noWrap w:val="0"/>
            <w:tcMar>
              <w:left w:w="108" w:type="dxa"/>
              <w:right w:w="108" w:type="dxa"/>
            </w:tcMar>
            <w:vAlign w:val="center"/>
          </w:tcPr>
          <w:p w14:paraId="6A025D2D">
            <w:pPr>
              <w:rPr>
                <w:sz w:val="21"/>
                <w:szCs w:val="21"/>
              </w:rPr>
            </w:pPr>
            <w:r>
              <w:rPr>
                <w:sz w:val="21"/>
                <w:szCs w:val="21"/>
              </w:rPr>
              <w:t>厂房隔声、基础减振、减振垫</w:t>
            </w:r>
          </w:p>
        </w:tc>
        <w:tc>
          <w:tcPr>
            <w:tcW w:w="1004"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5C68E778">
            <w:pPr>
              <w:jc w:val="center"/>
              <w:rPr>
                <w:sz w:val="21"/>
                <w:szCs w:val="21"/>
              </w:rPr>
            </w:pPr>
            <w:r>
              <w:rPr>
                <w:sz w:val="21"/>
                <w:szCs w:val="21"/>
              </w:rPr>
              <w:t>415</w:t>
            </w:r>
          </w:p>
        </w:tc>
        <w:tc>
          <w:tcPr>
            <w:tcW w:w="768"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34F00862">
            <w:pPr>
              <w:jc w:val="center"/>
              <w:rPr>
                <w:sz w:val="21"/>
                <w:szCs w:val="21"/>
              </w:rPr>
            </w:pPr>
            <w:r>
              <w:rPr>
                <w:sz w:val="21"/>
                <w:szCs w:val="21"/>
              </w:rPr>
              <w:t>276</w:t>
            </w:r>
          </w:p>
        </w:tc>
        <w:tc>
          <w:tcPr>
            <w:tcW w:w="694"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4CA29CB0">
            <w:pPr>
              <w:jc w:val="center"/>
              <w:rPr>
                <w:sz w:val="21"/>
                <w:szCs w:val="21"/>
              </w:rPr>
            </w:pPr>
            <w:r>
              <w:rPr>
                <w:sz w:val="21"/>
                <w:szCs w:val="21"/>
              </w:rPr>
              <w:t>1</w:t>
            </w:r>
          </w:p>
        </w:tc>
        <w:tc>
          <w:tcPr>
            <w:tcW w:w="863"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36A4FECE">
            <w:pPr>
              <w:jc w:val="center"/>
              <w:rPr>
                <w:sz w:val="21"/>
                <w:szCs w:val="21"/>
              </w:rPr>
            </w:pPr>
            <w:r>
              <w:rPr>
                <w:sz w:val="21"/>
                <w:szCs w:val="21"/>
              </w:rPr>
              <w:t>5</w:t>
            </w:r>
          </w:p>
        </w:tc>
        <w:tc>
          <w:tcPr>
            <w:tcW w:w="937"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39D00019">
            <w:pPr>
              <w:jc w:val="center"/>
              <w:rPr>
                <w:sz w:val="21"/>
                <w:szCs w:val="21"/>
              </w:rPr>
            </w:pPr>
            <w:r>
              <w:rPr>
                <w:sz w:val="21"/>
                <w:szCs w:val="21"/>
              </w:rPr>
              <w:t>86</w:t>
            </w:r>
          </w:p>
        </w:tc>
        <w:tc>
          <w:tcPr>
            <w:tcW w:w="975" w:type="dxa"/>
            <w:vMerge w:val="restart"/>
            <w:tcBorders>
              <w:top w:val="single" w:color="000000" w:sz="4" w:space="0"/>
              <w:left w:val="single" w:color="000000" w:sz="4" w:space="0"/>
              <w:right w:val="single" w:color="000000" w:sz="4" w:space="0"/>
            </w:tcBorders>
            <w:noWrap w:val="0"/>
            <w:tcMar>
              <w:left w:w="108" w:type="dxa"/>
              <w:right w:w="108" w:type="dxa"/>
            </w:tcMar>
            <w:vAlign w:val="center"/>
          </w:tcPr>
          <w:p w14:paraId="0FB489E2">
            <w:pPr>
              <w:jc w:val="center"/>
              <w:rPr>
                <w:sz w:val="21"/>
                <w:szCs w:val="21"/>
              </w:rPr>
            </w:pPr>
            <w:r>
              <w:rPr>
                <w:sz w:val="21"/>
                <w:szCs w:val="21"/>
              </w:rPr>
              <w:t>昼间、夜间</w:t>
            </w:r>
          </w:p>
        </w:tc>
        <w:tc>
          <w:tcPr>
            <w:tcW w:w="844"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1A032274">
            <w:pPr>
              <w:jc w:val="center"/>
              <w:rPr>
                <w:sz w:val="21"/>
                <w:szCs w:val="21"/>
              </w:rPr>
            </w:pPr>
            <w:r>
              <w:rPr>
                <w:sz w:val="21"/>
                <w:szCs w:val="21"/>
              </w:rPr>
              <w:t>25</w:t>
            </w:r>
          </w:p>
        </w:tc>
        <w:tc>
          <w:tcPr>
            <w:tcW w:w="1012"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417379CB">
            <w:pPr>
              <w:jc w:val="center"/>
              <w:rPr>
                <w:sz w:val="21"/>
                <w:szCs w:val="21"/>
              </w:rPr>
            </w:pPr>
            <w:r>
              <w:rPr>
                <w:sz w:val="21"/>
                <w:szCs w:val="21"/>
              </w:rPr>
              <w:t>55</w:t>
            </w:r>
          </w:p>
        </w:tc>
        <w:tc>
          <w:tcPr>
            <w:tcW w:w="668"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512F28D5">
            <w:pPr>
              <w:jc w:val="center"/>
              <w:rPr>
                <w:sz w:val="21"/>
                <w:szCs w:val="21"/>
              </w:rPr>
            </w:pPr>
            <w:r>
              <w:rPr>
                <w:sz w:val="21"/>
                <w:szCs w:val="21"/>
              </w:rPr>
              <w:t>1</w:t>
            </w:r>
          </w:p>
        </w:tc>
      </w:tr>
      <w:tr w14:paraId="5FEAEC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455"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4A6A1887">
            <w:pPr>
              <w:jc w:val="center"/>
              <w:rPr>
                <w:sz w:val="21"/>
                <w:szCs w:val="21"/>
              </w:rPr>
            </w:pPr>
            <w:r>
              <w:rPr>
                <w:sz w:val="21"/>
                <w:szCs w:val="21"/>
              </w:rPr>
              <w:t>2</w:t>
            </w:r>
          </w:p>
        </w:tc>
        <w:tc>
          <w:tcPr>
            <w:tcW w:w="522" w:type="dxa"/>
            <w:vMerge w:val="continue"/>
            <w:tcBorders>
              <w:left w:val="single" w:color="000000" w:sz="4" w:space="0"/>
              <w:right w:val="single" w:color="000000" w:sz="4" w:space="0"/>
            </w:tcBorders>
            <w:noWrap w:val="0"/>
            <w:tcMar>
              <w:left w:w="108" w:type="dxa"/>
              <w:right w:w="108" w:type="dxa"/>
            </w:tcMar>
            <w:vAlign w:val="center"/>
          </w:tcPr>
          <w:p w14:paraId="1926D249">
            <w:pPr>
              <w:rPr>
                <w:sz w:val="21"/>
                <w:szCs w:val="21"/>
              </w:rPr>
            </w:pPr>
          </w:p>
        </w:tc>
        <w:tc>
          <w:tcPr>
            <w:tcW w:w="1594"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094AE442">
            <w:pPr>
              <w:widowControl w:val="0"/>
              <w:jc w:val="center"/>
              <w:rPr>
                <w:sz w:val="21"/>
                <w:szCs w:val="21"/>
              </w:rPr>
            </w:pPr>
            <w:r>
              <w:rPr>
                <w:rFonts w:hint="eastAsia" w:ascii="Times New Roman" w:hAnsi="Times New Roman" w:eastAsia="宋体" w:cs="Times New Roman"/>
                <w:sz w:val="21"/>
                <w:szCs w:val="21"/>
              </w:rPr>
              <w:t>单辊破碎</w:t>
            </w:r>
          </w:p>
        </w:tc>
        <w:tc>
          <w:tcPr>
            <w:tcW w:w="1143" w:type="dxa"/>
            <w:tcBorders>
              <w:top w:val="single" w:color="000000" w:sz="4" w:space="0"/>
              <w:left w:val="single" w:color="000000" w:sz="4" w:space="0"/>
              <w:bottom w:val="single" w:color="000000" w:sz="4" w:space="0"/>
              <w:right w:val="single" w:color="000000" w:sz="4" w:space="0"/>
            </w:tcBorders>
            <w:shd w:val="clear" w:color="auto" w:fill="auto"/>
            <w:noWrap w:val="0"/>
            <w:tcMar>
              <w:left w:w="108" w:type="dxa"/>
              <w:right w:w="108" w:type="dxa"/>
            </w:tcMar>
            <w:vAlign w:val="center"/>
          </w:tcPr>
          <w:p w14:paraId="7EC38296">
            <w:pPr>
              <w:pStyle w:val="465"/>
              <w:spacing w:line="240" w:lineRule="auto"/>
              <w:ind w:firstLine="0" w:firstLineChars="0"/>
              <w:jc w:val="center"/>
              <w:rPr>
                <w:rFonts w:hint="eastAsia"/>
                <w:bCs/>
                <w:sz w:val="21"/>
                <w:szCs w:val="21"/>
                <w:lang w:val="en-US" w:eastAsia="zh-CN"/>
              </w:rPr>
            </w:pPr>
            <w:r>
              <w:rPr>
                <w:rFonts w:hint="eastAsia"/>
                <w:bCs/>
                <w:sz w:val="21"/>
                <w:szCs w:val="21"/>
                <w:lang w:val="en-US" w:eastAsia="zh-CN"/>
              </w:rPr>
              <w:t>55KW</w:t>
            </w:r>
          </w:p>
        </w:tc>
        <w:tc>
          <w:tcPr>
            <w:tcW w:w="1191" w:type="dxa"/>
            <w:tcBorders>
              <w:top w:val="single" w:color="000000" w:sz="4" w:space="0"/>
              <w:left w:val="single" w:color="000000" w:sz="4" w:space="0"/>
              <w:bottom w:val="single" w:color="000000" w:sz="4" w:space="0"/>
              <w:right w:val="single" w:color="000000" w:sz="4" w:space="0"/>
            </w:tcBorders>
            <w:shd w:val="clear" w:color="auto" w:fill="auto"/>
            <w:noWrap w:val="0"/>
            <w:tcMar>
              <w:left w:w="108" w:type="dxa"/>
              <w:right w:w="108" w:type="dxa"/>
            </w:tcMar>
            <w:vAlign w:val="center"/>
          </w:tcPr>
          <w:p w14:paraId="1B7DE28C">
            <w:pPr>
              <w:pStyle w:val="465"/>
              <w:spacing w:line="240" w:lineRule="auto"/>
              <w:ind w:firstLine="0" w:firstLineChars="0"/>
              <w:jc w:val="center"/>
              <w:rPr>
                <w:rFonts w:ascii="Times New Roman" w:hAnsi="Times New Roman" w:eastAsia="宋体" w:cs="Times New Roman"/>
                <w:bCs/>
                <w:kern w:val="24"/>
                <w:sz w:val="21"/>
                <w:szCs w:val="21"/>
                <w:lang w:val="en-US" w:eastAsia="zh-CN" w:bidi="ar-SA"/>
              </w:rPr>
            </w:pPr>
            <w:r>
              <w:rPr>
                <w:bCs/>
                <w:sz w:val="21"/>
                <w:szCs w:val="21"/>
                <w:lang w:val="en-US" w:eastAsia="zh-CN"/>
              </w:rPr>
              <w:t>95</w:t>
            </w:r>
          </w:p>
        </w:tc>
        <w:tc>
          <w:tcPr>
            <w:tcW w:w="984" w:type="dxa"/>
            <w:vMerge w:val="continue"/>
            <w:tcBorders>
              <w:left w:val="single" w:color="000000" w:sz="4" w:space="0"/>
              <w:right w:val="single" w:color="000000" w:sz="4" w:space="0"/>
            </w:tcBorders>
            <w:noWrap w:val="0"/>
            <w:tcMar>
              <w:left w:w="108" w:type="dxa"/>
              <w:right w:w="108" w:type="dxa"/>
            </w:tcMar>
            <w:vAlign w:val="center"/>
          </w:tcPr>
          <w:p w14:paraId="48F23576">
            <w:pPr>
              <w:rPr>
                <w:sz w:val="21"/>
                <w:szCs w:val="21"/>
              </w:rPr>
            </w:pPr>
          </w:p>
        </w:tc>
        <w:tc>
          <w:tcPr>
            <w:tcW w:w="1004"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5228DC49">
            <w:pPr>
              <w:jc w:val="center"/>
              <w:rPr>
                <w:sz w:val="21"/>
                <w:szCs w:val="21"/>
              </w:rPr>
            </w:pPr>
            <w:r>
              <w:rPr>
                <w:sz w:val="21"/>
                <w:szCs w:val="21"/>
              </w:rPr>
              <w:t>415</w:t>
            </w:r>
          </w:p>
        </w:tc>
        <w:tc>
          <w:tcPr>
            <w:tcW w:w="768"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21DE2A69">
            <w:pPr>
              <w:jc w:val="center"/>
              <w:rPr>
                <w:sz w:val="21"/>
                <w:szCs w:val="21"/>
              </w:rPr>
            </w:pPr>
            <w:r>
              <w:rPr>
                <w:sz w:val="21"/>
                <w:szCs w:val="21"/>
              </w:rPr>
              <w:t>283</w:t>
            </w:r>
          </w:p>
        </w:tc>
        <w:tc>
          <w:tcPr>
            <w:tcW w:w="694"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1EF0FAF0">
            <w:pPr>
              <w:jc w:val="center"/>
              <w:rPr>
                <w:sz w:val="21"/>
                <w:szCs w:val="21"/>
              </w:rPr>
            </w:pPr>
            <w:r>
              <w:rPr>
                <w:sz w:val="21"/>
                <w:szCs w:val="21"/>
              </w:rPr>
              <w:t>1</w:t>
            </w:r>
          </w:p>
        </w:tc>
        <w:tc>
          <w:tcPr>
            <w:tcW w:w="863"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068FC639">
            <w:pPr>
              <w:jc w:val="center"/>
              <w:rPr>
                <w:sz w:val="21"/>
                <w:szCs w:val="21"/>
              </w:rPr>
            </w:pPr>
            <w:r>
              <w:rPr>
                <w:sz w:val="21"/>
                <w:szCs w:val="21"/>
              </w:rPr>
              <w:t>5</w:t>
            </w:r>
          </w:p>
        </w:tc>
        <w:tc>
          <w:tcPr>
            <w:tcW w:w="937"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04DEF479">
            <w:pPr>
              <w:jc w:val="center"/>
              <w:rPr>
                <w:sz w:val="21"/>
                <w:szCs w:val="21"/>
              </w:rPr>
            </w:pPr>
            <w:r>
              <w:rPr>
                <w:sz w:val="21"/>
                <w:szCs w:val="21"/>
              </w:rPr>
              <w:t>86</w:t>
            </w:r>
          </w:p>
        </w:tc>
        <w:tc>
          <w:tcPr>
            <w:tcW w:w="975" w:type="dxa"/>
            <w:vMerge w:val="continue"/>
            <w:tcBorders>
              <w:left w:val="single" w:color="000000" w:sz="4" w:space="0"/>
              <w:right w:val="single" w:color="000000" w:sz="4" w:space="0"/>
            </w:tcBorders>
            <w:noWrap w:val="0"/>
            <w:tcMar>
              <w:left w:w="108" w:type="dxa"/>
              <w:right w:w="108" w:type="dxa"/>
            </w:tcMar>
            <w:vAlign w:val="center"/>
          </w:tcPr>
          <w:p w14:paraId="408DBA7F">
            <w:pPr>
              <w:jc w:val="center"/>
              <w:rPr>
                <w:sz w:val="21"/>
                <w:szCs w:val="21"/>
              </w:rPr>
            </w:pPr>
          </w:p>
        </w:tc>
        <w:tc>
          <w:tcPr>
            <w:tcW w:w="844"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2F55D077">
            <w:pPr>
              <w:jc w:val="center"/>
              <w:rPr>
                <w:sz w:val="21"/>
                <w:szCs w:val="21"/>
              </w:rPr>
            </w:pPr>
            <w:r>
              <w:rPr>
                <w:sz w:val="21"/>
                <w:szCs w:val="21"/>
              </w:rPr>
              <w:t>25</w:t>
            </w:r>
          </w:p>
        </w:tc>
        <w:tc>
          <w:tcPr>
            <w:tcW w:w="1012"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4B1B10FE">
            <w:pPr>
              <w:jc w:val="center"/>
              <w:rPr>
                <w:sz w:val="21"/>
                <w:szCs w:val="21"/>
              </w:rPr>
            </w:pPr>
            <w:r>
              <w:rPr>
                <w:sz w:val="21"/>
                <w:szCs w:val="21"/>
              </w:rPr>
              <w:t>55</w:t>
            </w:r>
          </w:p>
        </w:tc>
        <w:tc>
          <w:tcPr>
            <w:tcW w:w="668"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248C702A">
            <w:pPr>
              <w:jc w:val="center"/>
              <w:rPr>
                <w:sz w:val="21"/>
                <w:szCs w:val="21"/>
              </w:rPr>
            </w:pPr>
            <w:r>
              <w:rPr>
                <w:sz w:val="21"/>
                <w:szCs w:val="21"/>
              </w:rPr>
              <w:t>1</w:t>
            </w:r>
          </w:p>
        </w:tc>
      </w:tr>
      <w:tr w14:paraId="4371DF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455"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361B83BC">
            <w:pPr>
              <w:jc w:val="center"/>
              <w:rPr>
                <w:sz w:val="21"/>
                <w:szCs w:val="21"/>
              </w:rPr>
            </w:pPr>
            <w:r>
              <w:rPr>
                <w:sz w:val="21"/>
                <w:szCs w:val="21"/>
              </w:rPr>
              <w:t>3</w:t>
            </w:r>
          </w:p>
        </w:tc>
        <w:tc>
          <w:tcPr>
            <w:tcW w:w="522" w:type="dxa"/>
            <w:vMerge w:val="continue"/>
            <w:tcBorders>
              <w:left w:val="single" w:color="000000" w:sz="4" w:space="0"/>
              <w:right w:val="single" w:color="000000" w:sz="4" w:space="0"/>
            </w:tcBorders>
            <w:noWrap w:val="0"/>
            <w:tcMar>
              <w:left w:w="108" w:type="dxa"/>
              <w:right w:w="108" w:type="dxa"/>
            </w:tcMar>
            <w:vAlign w:val="center"/>
          </w:tcPr>
          <w:p w14:paraId="34C6262C">
            <w:pPr>
              <w:rPr>
                <w:sz w:val="21"/>
                <w:szCs w:val="21"/>
              </w:rPr>
            </w:pPr>
          </w:p>
        </w:tc>
        <w:tc>
          <w:tcPr>
            <w:tcW w:w="1594"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7919AC61">
            <w:pPr>
              <w:widowControl w:val="0"/>
              <w:jc w:val="center"/>
              <w:rPr>
                <w:sz w:val="21"/>
                <w:szCs w:val="21"/>
              </w:rPr>
            </w:pPr>
            <w:r>
              <w:rPr>
                <w:rFonts w:hint="eastAsia" w:ascii="Times New Roman" w:hAnsi="Times New Roman" w:eastAsia="宋体" w:cs="Times New Roman"/>
                <w:sz w:val="21"/>
                <w:szCs w:val="21"/>
              </w:rPr>
              <w:t>电动润滑</w:t>
            </w:r>
            <w:r>
              <w:rPr>
                <w:rFonts w:hint="eastAsia" w:ascii="Times New Roman" w:hAnsi="Times New Roman" w:eastAsia="宋体" w:cs="Times New Roman"/>
                <w:sz w:val="21"/>
                <w:szCs w:val="21"/>
                <w:lang w:val="en-US" w:eastAsia="zh-CN"/>
              </w:rPr>
              <w:t>泵</w:t>
            </w:r>
          </w:p>
        </w:tc>
        <w:tc>
          <w:tcPr>
            <w:tcW w:w="1143" w:type="dxa"/>
            <w:tcBorders>
              <w:top w:val="single" w:color="000000" w:sz="4" w:space="0"/>
              <w:left w:val="single" w:color="000000" w:sz="4" w:space="0"/>
              <w:bottom w:val="single" w:color="000000" w:sz="4" w:space="0"/>
              <w:right w:val="single" w:color="000000" w:sz="4" w:space="0"/>
            </w:tcBorders>
            <w:shd w:val="clear" w:color="auto" w:fill="auto"/>
            <w:noWrap w:val="0"/>
            <w:tcMar>
              <w:left w:w="108" w:type="dxa"/>
              <w:right w:w="108" w:type="dxa"/>
            </w:tcMar>
            <w:vAlign w:val="center"/>
          </w:tcPr>
          <w:p w14:paraId="5B3384FB">
            <w:pPr>
              <w:pStyle w:val="465"/>
              <w:spacing w:line="240" w:lineRule="auto"/>
              <w:ind w:firstLine="0" w:firstLineChars="0"/>
              <w:jc w:val="center"/>
              <w:rPr>
                <w:rFonts w:hint="eastAsia"/>
                <w:bCs/>
                <w:sz w:val="21"/>
                <w:szCs w:val="21"/>
                <w:lang w:val="en-US" w:eastAsia="zh-CN"/>
              </w:rPr>
            </w:pPr>
            <w:r>
              <w:rPr>
                <w:rFonts w:hint="eastAsia"/>
                <w:bCs/>
                <w:sz w:val="21"/>
                <w:szCs w:val="21"/>
                <w:lang w:val="en-US" w:eastAsia="zh-CN"/>
              </w:rPr>
              <w:t>4 KW</w:t>
            </w:r>
          </w:p>
        </w:tc>
        <w:tc>
          <w:tcPr>
            <w:tcW w:w="1191" w:type="dxa"/>
            <w:tcBorders>
              <w:top w:val="single" w:color="000000" w:sz="4" w:space="0"/>
              <w:left w:val="single" w:color="000000" w:sz="4" w:space="0"/>
              <w:bottom w:val="single" w:color="000000" w:sz="4" w:space="0"/>
              <w:right w:val="single" w:color="000000" w:sz="4" w:space="0"/>
            </w:tcBorders>
            <w:shd w:val="clear" w:color="auto" w:fill="auto"/>
            <w:noWrap w:val="0"/>
            <w:tcMar>
              <w:left w:w="108" w:type="dxa"/>
              <w:right w:w="108" w:type="dxa"/>
            </w:tcMar>
            <w:vAlign w:val="center"/>
          </w:tcPr>
          <w:p w14:paraId="12DC1A31">
            <w:pPr>
              <w:pStyle w:val="465"/>
              <w:spacing w:line="240" w:lineRule="auto"/>
              <w:ind w:firstLine="0" w:firstLineChars="0"/>
              <w:jc w:val="center"/>
              <w:rPr>
                <w:rFonts w:ascii="Times New Roman" w:hAnsi="Times New Roman" w:eastAsia="宋体" w:cs="Times New Roman"/>
                <w:bCs/>
                <w:kern w:val="24"/>
                <w:sz w:val="21"/>
                <w:szCs w:val="21"/>
                <w:lang w:val="en-US" w:eastAsia="zh-CN" w:bidi="ar-SA"/>
              </w:rPr>
            </w:pPr>
            <w:r>
              <w:rPr>
                <w:rFonts w:hint="eastAsia"/>
                <w:bCs/>
                <w:sz w:val="21"/>
                <w:szCs w:val="21"/>
                <w:lang w:val="en-US" w:eastAsia="zh-CN"/>
              </w:rPr>
              <w:t>80</w:t>
            </w:r>
          </w:p>
        </w:tc>
        <w:tc>
          <w:tcPr>
            <w:tcW w:w="984" w:type="dxa"/>
            <w:vMerge w:val="continue"/>
            <w:tcBorders>
              <w:left w:val="single" w:color="000000" w:sz="4" w:space="0"/>
              <w:right w:val="single" w:color="000000" w:sz="4" w:space="0"/>
            </w:tcBorders>
            <w:noWrap w:val="0"/>
            <w:tcMar>
              <w:left w:w="108" w:type="dxa"/>
              <w:right w:w="108" w:type="dxa"/>
            </w:tcMar>
            <w:vAlign w:val="center"/>
          </w:tcPr>
          <w:p w14:paraId="28B5AB17">
            <w:pPr>
              <w:rPr>
                <w:sz w:val="21"/>
                <w:szCs w:val="21"/>
              </w:rPr>
            </w:pPr>
          </w:p>
        </w:tc>
        <w:tc>
          <w:tcPr>
            <w:tcW w:w="1004"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10BF0F40">
            <w:pPr>
              <w:jc w:val="center"/>
              <w:rPr>
                <w:sz w:val="21"/>
                <w:szCs w:val="21"/>
              </w:rPr>
            </w:pPr>
            <w:r>
              <w:rPr>
                <w:sz w:val="21"/>
                <w:szCs w:val="21"/>
              </w:rPr>
              <w:t>415</w:t>
            </w:r>
          </w:p>
        </w:tc>
        <w:tc>
          <w:tcPr>
            <w:tcW w:w="768"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180C1642">
            <w:pPr>
              <w:jc w:val="center"/>
              <w:rPr>
                <w:sz w:val="21"/>
                <w:szCs w:val="21"/>
              </w:rPr>
            </w:pPr>
            <w:r>
              <w:rPr>
                <w:sz w:val="21"/>
                <w:szCs w:val="21"/>
              </w:rPr>
              <w:t>290</w:t>
            </w:r>
          </w:p>
        </w:tc>
        <w:tc>
          <w:tcPr>
            <w:tcW w:w="694"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12C5C98D">
            <w:pPr>
              <w:jc w:val="center"/>
              <w:rPr>
                <w:sz w:val="21"/>
                <w:szCs w:val="21"/>
              </w:rPr>
            </w:pPr>
            <w:r>
              <w:rPr>
                <w:sz w:val="21"/>
                <w:szCs w:val="21"/>
              </w:rPr>
              <w:t>1</w:t>
            </w:r>
          </w:p>
        </w:tc>
        <w:tc>
          <w:tcPr>
            <w:tcW w:w="863"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769214DE">
            <w:pPr>
              <w:jc w:val="center"/>
              <w:rPr>
                <w:sz w:val="21"/>
                <w:szCs w:val="21"/>
              </w:rPr>
            </w:pPr>
            <w:r>
              <w:rPr>
                <w:sz w:val="21"/>
                <w:szCs w:val="21"/>
              </w:rPr>
              <w:t>5</w:t>
            </w:r>
          </w:p>
        </w:tc>
        <w:tc>
          <w:tcPr>
            <w:tcW w:w="937"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687BE72B">
            <w:pPr>
              <w:jc w:val="center"/>
              <w:rPr>
                <w:sz w:val="21"/>
                <w:szCs w:val="21"/>
              </w:rPr>
            </w:pPr>
            <w:r>
              <w:rPr>
                <w:sz w:val="21"/>
                <w:szCs w:val="21"/>
              </w:rPr>
              <w:t>86</w:t>
            </w:r>
          </w:p>
        </w:tc>
        <w:tc>
          <w:tcPr>
            <w:tcW w:w="975" w:type="dxa"/>
            <w:vMerge w:val="continue"/>
            <w:tcBorders>
              <w:left w:val="single" w:color="000000" w:sz="4" w:space="0"/>
              <w:right w:val="single" w:color="000000" w:sz="4" w:space="0"/>
            </w:tcBorders>
            <w:noWrap w:val="0"/>
            <w:tcMar>
              <w:left w:w="108" w:type="dxa"/>
              <w:right w:w="108" w:type="dxa"/>
            </w:tcMar>
            <w:vAlign w:val="center"/>
          </w:tcPr>
          <w:p w14:paraId="068B31E7">
            <w:pPr>
              <w:jc w:val="center"/>
              <w:rPr>
                <w:sz w:val="21"/>
                <w:szCs w:val="21"/>
              </w:rPr>
            </w:pPr>
          </w:p>
        </w:tc>
        <w:tc>
          <w:tcPr>
            <w:tcW w:w="844"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79E6951A">
            <w:pPr>
              <w:jc w:val="center"/>
              <w:rPr>
                <w:sz w:val="21"/>
                <w:szCs w:val="21"/>
              </w:rPr>
            </w:pPr>
            <w:r>
              <w:rPr>
                <w:sz w:val="21"/>
                <w:szCs w:val="21"/>
              </w:rPr>
              <w:t>25</w:t>
            </w:r>
          </w:p>
        </w:tc>
        <w:tc>
          <w:tcPr>
            <w:tcW w:w="1012"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25A40300">
            <w:pPr>
              <w:jc w:val="center"/>
              <w:rPr>
                <w:sz w:val="21"/>
                <w:szCs w:val="21"/>
              </w:rPr>
            </w:pPr>
            <w:r>
              <w:rPr>
                <w:sz w:val="21"/>
                <w:szCs w:val="21"/>
              </w:rPr>
              <w:t>55</w:t>
            </w:r>
          </w:p>
        </w:tc>
        <w:tc>
          <w:tcPr>
            <w:tcW w:w="668"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628A88D4">
            <w:pPr>
              <w:jc w:val="center"/>
              <w:rPr>
                <w:sz w:val="21"/>
                <w:szCs w:val="21"/>
              </w:rPr>
            </w:pPr>
            <w:r>
              <w:rPr>
                <w:sz w:val="21"/>
                <w:szCs w:val="21"/>
              </w:rPr>
              <w:t>1</w:t>
            </w:r>
          </w:p>
        </w:tc>
      </w:tr>
      <w:tr w14:paraId="53DB90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455"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09901AC1">
            <w:pPr>
              <w:jc w:val="center"/>
              <w:rPr>
                <w:sz w:val="21"/>
                <w:szCs w:val="21"/>
              </w:rPr>
            </w:pPr>
            <w:r>
              <w:rPr>
                <w:sz w:val="21"/>
                <w:szCs w:val="21"/>
              </w:rPr>
              <w:t>4</w:t>
            </w:r>
          </w:p>
        </w:tc>
        <w:tc>
          <w:tcPr>
            <w:tcW w:w="522" w:type="dxa"/>
            <w:vMerge w:val="continue"/>
            <w:tcBorders>
              <w:left w:val="single" w:color="000000" w:sz="4" w:space="0"/>
              <w:right w:val="single" w:color="000000" w:sz="4" w:space="0"/>
            </w:tcBorders>
            <w:noWrap w:val="0"/>
            <w:tcMar>
              <w:left w:w="108" w:type="dxa"/>
              <w:right w:w="108" w:type="dxa"/>
            </w:tcMar>
            <w:vAlign w:val="center"/>
          </w:tcPr>
          <w:p w14:paraId="745F6803">
            <w:pPr>
              <w:rPr>
                <w:sz w:val="21"/>
                <w:szCs w:val="21"/>
              </w:rPr>
            </w:pPr>
          </w:p>
        </w:tc>
        <w:tc>
          <w:tcPr>
            <w:tcW w:w="1594" w:type="dxa"/>
            <w:tcBorders>
              <w:top w:val="single" w:color="000000" w:sz="4" w:space="0"/>
              <w:left w:val="single" w:color="000000" w:sz="4" w:space="0"/>
              <w:bottom w:val="single" w:color="000000" w:sz="4" w:space="0"/>
              <w:right w:val="single" w:color="000000" w:sz="4" w:space="0"/>
            </w:tcBorders>
            <w:shd w:val="clear" w:color="auto" w:fill="auto"/>
            <w:noWrap w:val="0"/>
            <w:tcMar>
              <w:left w:w="108" w:type="dxa"/>
              <w:right w:w="108" w:type="dxa"/>
            </w:tcMar>
            <w:vAlign w:val="center"/>
          </w:tcPr>
          <w:p w14:paraId="3DA5D611">
            <w:pPr>
              <w:widowControl w:val="0"/>
              <w:jc w:val="center"/>
              <w:rPr>
                <w:rFonts w:hint="eastAsia" w:ascii="Times New Roman" w:hAnsi="Times New Roman" w:eastAsia="宋体" w:cs="Times New Roman"/>
                <w:sz w:val="21"/>
                <w:szCs w:val="21"/>
                <w:lang w:val="en-US" w:eastAsia="zh-CN" w:bidi="ar-SA"/>
              </w:rPr>
            </w:pPr>
            <w:r>
              <w:rPr>
                <w:rFonts w:hint="eastAsia" w:ascii="Times New Roman" w:hAnsi="Times New Roman" w:eastAsia="宋体" w:cs="Times New Roman"/>
                <w:sz w:val="21"/>
                <w:szCs w:val="21"/>
              </w:rPr>
              <w:t>助燃风机</w:t>
            </w:r>
          </w:p>
        </w:tc>
        <w:tc>
          <w:tcPr>
            <w:tcW w:w="1143" w:type="dxa"/>
            <w:tcBorders>
              <w:top w:val="single" w:color="000000" w:sz="4" w:space="0"/>
              <w:left w:val="single" w:color="000000" w:sz="4" w:space="0"/>
              <w:bottom w:val="single" w:color="000000" w:sz="4" w:space="0"/>
              <w:right w:val="single" w:color="000000" w:sz="4" w:space="0"/>
            </w:tcBorders>
            <w:shd w:val="clear" w:color="auto" w:fill="auto"/>
            <w:noWrap w:val="0"/>
            <w:tcMar>
              <w:left w:w="108" w:type="dxa"/>
              <w:right w:w="108" w:type="dxa"/>
            </w:tcMar>
            <w:vAlign w:val="center"/>
          </w:tcPr>
          <w:p w14:paraId="5B4A58FE">
            <w:pPr>
              <w:pStyle w:val="465"/>
              <w:spacing w:line="240" w:lineRule="auto"/>
              <w:ind w:firstLine="0" w:firstLineChars="0"/>
              <w:jc w:val="center"/>
              <w:rPr>
                <w:rFonts w:hint="eastAsia"/>
                <w:bCs/>
                <w:sz w:val="21"/>
                <w:szCs w:val="21"/>
                <w:lang w:val="en-US" w:eastAsia="zh-CN"/>
              </w:rPr>
            </w:pPr>
            <w:r>
              <w:rPr>
                <w:rFonts w:hint="eastAsia"/>
                <w:bCs/>
                <w:sz w:val="21"/>
                <w:szCs w:val="21"/>
                <w:lang w:val="en-US" w:eastAsia="zh-CN"/>
              </w:rPr>
              <w:t>15 KW</w:t>
            </w:r>
          </w:p>
        </w:tc>
        <w:tc>
          <w:tcPr>
            <w:tcW w:w="1191" w:type="dxa"/>
            <w:tcBorders>
              <w:top w:val="single" w:color="000000" w:sz="4" w:space="0"/>
              <w:left w:val="single" w:color="000000" w:sz="4" w:space="0"/>
              <w:bottom w:val="single" w:color="000000" w:sz="4" w:space="0"/>
              <w:right w:val="single" w:color="000000" w:sz="4" w:space="0"/>
            </w:tcBorders>
            <w:shd w:val="clear" w:color="auto" w:fill="auto"/>
            <w:noWrap w:val="0"/>
            <w:tcMar>
              <w:left w:w="108" w:type="dxa"/>
              <w:right w:w="108" w:type="dxa"/>
            </w:tcMar>
            <w:vAlign w:val="center"/>
          </w:tcPr>
          <w:p w14:paraId="0281D1B4">
            <w:pPr>
              <w:pStyle w:val="465"/>
              <w:spacing w:line="240" w:lineRule="auto"/>
              <w:ind w:firstLine="0" w:firstLineChars="0"/>
              <w:jc w:val="center"/>
              <w:rPr>
                <w:rFonts w:hint="default" w:ascii="Times New Roman" w:hAnsi="Times New Roman" w:eastAsia="宋体" w:cs="Times New Roman"/>
                <w:bCs/>
                <w:kern w:val="24"/>
                <w:sz w:val="21"/>
                <w:szCs w:val="21"/>
                <w:lang w:val="en-US" w:eastAsia="zh-CN" w:bidi="ar-SA"/>
              </w:rPr>
            </w:pPr>
            <w:r>
              <w:rPr>
                <w:rFonts w:hint="eastAsia"/>
                <w:bCs/>
                <w:sz w:val="21"/>
                <w:szCs w:val="21"/>
                <w:lang w:val="en-US" w:eastAsia="zh-CN"/>
              </w:rPr>
              <w:t>90</w:t>
            </w:r>
          </w:p>
        </w:tc>
        <w:tc>
          <w:tcPr>
            <w:tcW w:w="984" w:type="dxa"/>
            <w:vMerge w:val="continue"/>
            <w:tcBorders>
              <w:left w:val="single" w:color="000000" w:sz="4" w:space="0"/>
              <w:right w:val="single" w:color="000000" w:sz="4" w:space="0"/>
            </w:tcBorders>
            <w:noWrap w:val="0"/>
            <w:tcMar>
              <w:left w:w="108" w:type="dxa"/>
              <w:right w:w="108" w:type="dxa"/>
            </w:tcMar>
            <w:vAlign w:val="center"/>
          </w:tcPr>
          <w:p w14:paraId="4142A76C">
            <w:pPr>
              <w:rPr>
                <w:sz w:val="21"/>
                <w:szCs w:val="21"/>
              </w:rPr>
            </w:pPr>
          </w:p>
        </w:tc>
        <w:tc>
          <w:tcPr>
            <w:tcW w:w="1004"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472EDF8F">
            <w:pPr>
              <w:jc w:val="center"/>
              <w:rPr>
                <w:sz w:val="21"/>
                <w:szCs w:val="21"/>
              </w:rPr>
            </w:pPr>
            <w:r>
              <w:rPr>
                <w:sz w:val="21"/>
                <w:szCs w:val="21"/>
              </w:rPr>
              <w:t>415</w:t>
            </w:r>
          </w:p>
        </w:tc>
        <w:tc>
          <w:tcPr>
            <w:tcW w:w="768"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5C2E5796">
            <w:pPr>
              <w:jc w:val="center"/>
              <w:rPr>
                <w:sz w:val="21"/>
                <w:szCs w:val="21"/>
              </w:rPr>
            </w:pPr>
            <w:r>
              <w:rPr>
                <w:sz w:val="21"/>
                <w:szCs w:val="21"/>
              </w:rPr>
              <w:t>297</w:t>
            </w:r>
          </w:p>
        </w:tc>
        <w:tc>
          <w:tcPr>
            <w:tcW w:w="694"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5F595930">
            <w:pPr>
              <w:jc w:val="center"/>
              <w:rPr>
                <w:sz w:val="21"/>
                <w:szCs w:val="21"/>
              </w:rPr>
            </w:pPr>
            <w:r>
              <w:rPr>
                <w:sz w:val="21"/>
                <w:szCs w:val="21"/>
              </w:rPr>
              <w:t>1</w:t>
            </w:r>
          </w:p>
        </w:tc>
        <w:tc>
          <w:tcPr>
            <w:tcW w:w="863"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4BE5ABC4">
            <w:pPr>
              <w:jc w:val="center"/>
              <w:rPr>
                <w:sz w:val="21"/>
                <w:szCs w:val="21"/>
              </w:rPr>
            </w:pPr>
            <w:r>
              <w:rPr>
                <w:sz w:val="21"/>
                <w:szCs w:val="21"/>
              </w:rPr>
              <w:t>5</w:t>
            </w:r>
          </w:p>
        </w:tc>
        <w:tc>
          <w:tcPr>
            <w:tcW w:w="937"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4461A699">
            <w:pPr>
              <w:jc w:val="center"/>
              <w:rPr>
                <w:sz w:val="21"/>
                <w:szCs w:val="21"/>
              </w:rPr>
            </w:pPr>
            <w:r>
              <w:rPr>
                <w:sz w:val="21"/>
                <w:szCs w:val="21"/>
              </w:rPr>
              <w:t>86</w:t>
            </w:r>
          </w:p>
        </w:tc>
        <w:tc>
          <w:tcPr>
            <w:tcW w:w="975" w:type="dxa"/>
            <w:vMerge w:val="continue"/>
            <w:tcBorders>
              <w:left w:val="single" w:color="000000" w:sz="4" w:space="0"/>
              <w:right w:val="single" w:color="000000" w:sz="4" w:space="0"/>
            </w:tcBorders>
            <w:noWrap w:val="0"/>
            <w:tcMar>
              <w:left w:w="108" w:type="dxa"/>
              <w:right w:w="108" w:type="dxa"/>
            </w:tcMar>
            <w:vAlign w:val="center"/>
          </w:tcPr>
          <w:p w14:paraId="504C83CB">
            <w:pPr>
              <w:jc w:val="center"/>
              <w:rPr>
                <w:sz w:val="21"/>
                <w:szCs w:val="21"/>
              </w:rPr>
            </w:pPr>
          </w:p>
        </w:tc>
        <w:tc>
          <w:tcPr>
            <w:tcW w:w="844"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02368B80">
            <w:pPr>
              <w:jc w:val="center"/>
              <w:rPr>
                <w:sz w:val="21"/>
                <w:szCs w:val="21"/>
              </w:rPr>
            </w:pPr>
            <w:r>
              <w:rPr>
                <w:sz w:val="21"/>
                <w:szCs w:val="21"/>
              </w:rPr>
              <w:t>25</w:t>
            </w:r>
          </w:p>
        </w:tc>
        <w:tc>
          <w:tcPr>
            <w:tcW w:w="1012"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7C1FFCD9">
            <w:pPr>
              <w:jc w:val="center"/>
              <w:rPr>
                <w:sz w:val="21"/>
                <w:szCs w:val="21"/>
              </w:rPr>
            </w:pPr>
            <w:r>
              <w:rPr>
                <w:sz w:val="21"/>
                <w:szCs w:val="21"/>
              </w:rPr>
              <w:t>55</w:t>
            </w:r>
          </w:p>
        </w:tc>
        <w:tc>
          <w:tcPr>
            <w:tcW w:w="668"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336F8AFD">
            <w:pPr>
              <w:jc w:val="center"/>
              <w:rPr>
                <w:sz w:val="21"/>
                <w:szCs w:val="21"/>
              </w:rPr>
            </w:pPr>
            <w:r>
              <w:rPr>
                <w:sz w:val="21"/>
                <w:szCs w:val="21"/>
              </w:rPr>
              <w:t>1</w:t>
            </w:r>
          </w:p>
        </w:tc>
      </w:tr>
      <w:tr w14:paraId="24E277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455"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06657030">
            <w:pPr>
              <w:jc w:val="center"/>
              <w:rPr>
                <w:sz w:val="21"/>
                <w:szCs w:val="21"/>
              </w:rPr>
            </w:pPr>
            <w:r>
              <w:rPr>
                <w:sz w:val="21"/>
                <w:szCs w:val="21"/>
              </w:rPr>
              <w:t>5</w:t>
            </w:r>
          </w:p>
        </w:tc>
        <w:tc>
          <w:tcPr>
            <w:tcW w:w="522" w:type="dxa"/>
            <w:vMerge w:val="continue"/>
            <w:tcBorders>
              <w:left w:val="single" w:color="000000" w:sz="4" w:space="0"/>
              <w:right w:val="single" w:color="000000" w:sz="4" w:space="0"/>
            </w:tcBorders>
            <w:noWrap w:val="0"/>
            <w:tcMar>
              <w:left w:w="108" w:type="dxa"/>
              <w:right w:w="108" w:type="dxa"/>
            </w:tcMar>
            <w:vAlign w:val="center"/>
          </w:tcPr>
          <w:p w14:paraId="3F681BF8">
            <w:pPr>
              <w:rPr>
                <w:sz w:val="21"/>
                <w:szCs w:val="21"/>
              </w:rPr>
            </w:pPr>
          </w:p>
        </w:tc>
        <w:tc>
          <w:tcPr>
            <w:tcW w:w="1594" w:type="dxa"/>
            <w:tcBorders>
              <w:top w:val="single" w:color="000000" w:sz="4" w:space="0"/>
              <w:left w:val="single" w:color="000000" w:sz="4" w:space="0"/>
              <w:bottom w:val="single" w:color="000000" w:sz="4" w:space="0"/>
              <w:right w:val="single" w:color="000000" w:sz="4" w:space="0"/>
            </w:tcBorders>
            <w:shd w:val="clear" w:color="auto" w:fill="auto"/>
            <w:noWrap w:val="0"/>
            <w:tcMar>
              <w:left w:w="108" w:type="dxa"/>
              <w:right w:w="108" w:type="dxa"/>
            </w:tcMar>
            <w:vAlign w:val="center"/>
          </w:tcPr>
          <w:p w14:paraId="5DD91A70">
            <w:pPr>
              <w:widowControl w:val="0"/>
              <w:jc w:val="center"/>
              <w:rPr>
                <w:rFonts w:hint="eastAsia" w:ascii="Times New Roman" w:hAnsi="Times New Roman" w:eastAsia="宋体" w:cs="Times New Roman"/>
                <w:sz w:val="21"/>
                <w:szCs w:val="21"/>
                <w:lang w:val="en-US" w:eastAsia="zh-CN" w:bidi="ar-SA"/>
              </w:rPr>
            </w:pPr>
            <w:r>
              <w:rPr>
                <w:rFonts w:hint="eastAsia" w:ascii="Times New Roman" w:hAnsi="Times New Roman" w:eastAsia="宋体" w:cs="Times New Roman"/>
                <w:sz w:val="21"/>
                <w:szCs w:val="21"/>
                <w:lang w:val="en-US" w:eastAsia="zh-CN"/>
              </w:rPr>
              <w:t>布料</w:t>
            </w:r>
            <w:r>
              <w:rPr>
                <w:rFonts w:hint="eastAsia" w:ascii="Times New Roman" w:hAnsi="Times New Roman" w:eastAsia="宋体" w:cs="Times New Roman"/>
                <w:sz w:val="21"/>
                <w:szCs w:val="21"/>
              </w:rPr>
              <w:t>泥辊</w:t>
            </w:r>
          </w:p>
        </w:tc>
        <w:tc>
          <w:tcPr>
            <w:tcW w:w="1143" w:type="dxa"/>
            <w:tcBorders>
              <w:top w:val="single" w:color="000000" w:sz="4" w:space="0"/>
              <w:left w:val="single" w:color="000000" w:sz="4" w:space="0"/>
              <w:bottom w:val="single" w:color="000000" w:sz="4" w:space="0"/>
              <w:right w:val="single" w:color="000000" w:sz="4" w:space="0"/>
            </w:tcBorders>
            <w:shd w:val="clear" w:color="auto" w:fill="auto"/>
            <w:noWrap w:val="0"/>
            <w:tcMar>
              <w:left w:w="108" w:type="dxa"/>
              <w:right w:w="108" w:type="dxa"/>
            </w:tcMar>
            <w:vAlign w:val="center"/>
          </w:tcPr>
          <w:p w14:paraId="022CAA5C">
            <w:pPr>
              <w:pStyle w:val="465"/>
              <w:spacing w:line="240" w:lineRule="auto"/>
              <w:ind w:firstLine="0" w:firstLineChars="0"/>
              <w:jc w:val="center"/>
              <w:rPr>
                <w:rFonts w:hint="eastAsia"/>
                <w:bCs/>
                <w:sz w:val="21"/>
                <w:szCs w:val="21"/>
                <w:lang w:val="en-US" w:eastAsia="zh-CN"/>
              </w:rPr>
            </w:pPr>
            <w:r>
              <w:rPr>
                <w:rFonts w:hint="eastAsia"/>
                <w:bCs/>
                <w:sz w:val="21"/>
                <w:szCs w:val="21"/>
                <w:lang w:val="en-US" w:eastAsia="zh-CN"/>
              </w:rPr>
              <w:t>18 KW</w:t>
            </w:r>
          </w:p>
        </w:tc>
        <w:tc>
          <w:tcPr>
            <w:tcW w:w="1191" w:type="dxa"/>
            <w:tcBorders>
              <w:top w:val="single" w:color="000000" w:sz="4" w:space="0"/>
              <w:left w:val="single" w:color="000000" w:sz="4" w:space="0"/>
              <w:bottom w:val="single" w:color="000000" w:sz="4" w:space="0"/>
              <w:right w:val="single" w:color="000000" w:sz="4" w:space="0"/>
            </w:tcBorders>
            <w:shd w:val="clear" w:color="auto" w:fill="auto"/>
            <w:noWrap w:val="0"/>
            <w:tcMar>
              <w:left w:w="108" w:type="dxa"/>
              <w:right w:w="108" w:type="dxa"/>
            </w:tcMar>
            <w:vAlign w:val="center"/>
          </w:tcPr>
          <w:p w14:paraId="791F6A70">
            <w:pPr>
              <w:pStyle w:val="465"/>
              <w:spacing w:line="240" w:lineRule="auto"/>
              <w:ind w:firstLine="0" w:firstLineChars="0"/>
              <w:jc w:val="center"/>
              <w:rPr>
                <w:rFonts w:hint="default" w:ascii="Times New Roman" w:hAnsi="Times New Roman" w:eastAsia="宋体" w:cs="Times New Roman"/>
                <w:bCs/>
                <w:kern w:val="24"/>
                <w:sz w:val="21"/>
                <w:szCs w:val="21"/>
                <w:lang w:val="en-US" w:eastAsia="zh-CN" w:bidi="ar-SA"/>
              </w:rPr>
            </w:pPr>
            <w:r>
              <w:rPr>
                <w:rFonts w:hint="eastAsia"/>
                <w:bCs/>
                <w:sz w:val="21"/>
                <w:szCs w:val="21"/>
                <w:lang w:val="en-US" w:eastAsia="zh-CN"/>
              </w:rPr>
              <w:t>85</w:t>
            </w:r>
          </w:p>
        </w:tc>
        <w:tc>
          <w:tcPr>
            <w:tcW w:w="984" w:type="dxa"/>
            <w:vMerge w:val="continue"/>
            <w:tcBorders>
              <w:left w:val="single" w:color="000000" w:sz="4" w:space="0"/>
              <w:right w:val="single" w:color="000000" w:sz="4" w:space="0"/>
            </w:tcBorders>
            <w:noWrap w:val="0"/>
            <w:tcMar>
              <w:left w:w="108" w:type="dxa"/>
              <w:right w:w="108" w:type="dxa"/>
            </w:tcMar>
            <w:vAlign w:val="center"/>
          </w:tcPr>
          <w:p w14:paraId="270CBBD8">
            <w:pPr>
              <w:rPr>
                <w:sz w:val="21"/>
                <w:szCs w:val="21"/>
              </w:rPr>
            </w:pPr>
          </w:p>
        </w:tc>
        <w:tc>
          <w:tcPr>
            <w:tcW w:w="1004"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4EFA7B95">
            <w:pPr>
              <w:jc w:val="center"/>
              <w:rPr>
                <w:sz w:val="21"/>
                <w:szCs w:val="21"/>
              </w:rPr>
            </w:pPr>
            <w:r>
              <w:rPr>
                <w:sz w:val="21"/>
                <w:szCs w:val="21"/>
              </w:rPr>
              <w:t>447</w:t>
            </w:r>
          </w:p>
        </w:tc>
        <w:tc>
          <w:tcPr>
            <w:tcW w:w="768"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62B25DAD">
            <w:pPr>
              <w:jc w:val="center"/>
              <w:rPr>
                <w:sz w:val="21"/>
                <w:szCs w:val="21"/>
              </w:rPr>
            </w:pPr>
            <w:r>
              <w:rPr>
                <w:sz w:val="21"/>
                <w:szCs w:val="21"/>
              </w:rPr>
              <w:t>255</w:t>
            </w:r>
          </w:p>
        </w:tc>
        <w:tc>
          <w:tcPr>
            <w:tcW w:w="694"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01008478">
            <w:pPr>
              <w:jc w:val="center"/>
              <w:rPr>
                <w:sz w:val="21"/>
                <w:szCs w:val="21"/>
              </w:rPr>
            </w:pPr>
            <w:r>
              <w:rPr>
                <w:sz w:val="21"/>
                <w:szCs w:val="21"/>
              </w:rPr>
              <w:t>1</w:t>
            </w:r>
          </w:p>
        </w:tc>
        <w:tc>
          <w:tcPr>
            <w:tcW w:w="863"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04693D0C">
            <w:pPr>
              <w:jc w:val="center"/>
              <w:rPr>
                <w:sz w:val="21"/>
                <w:szCs w:val="21"/>
              </w:rPr>
            </w:pPr>
            <w:r>
              <w:rPr>
                <w:sz w:val="21"/>
                <w:szCs w:val="21"/>
              </w:rPr>
              <w:t>2</w:t>
            </w:r>
          </w:p>
        </w:tc>
        <w:tc>
          <w:tcPr>
            <w:tcW w:w="937"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3CC6599F">
            <w:pPr>
              <w:jc w:val="center"/>
              <w:rPr>
                <w:sz w:val="21"/>
                <w:szCs w:val="21"/>
              </w:rPr>
            </w:pPr>
            <w:r>
              <w:rPr>
                <w:sz w:val="21"/>
                <w:szCs w:val="21"/>
              </w:rPr>
              <w:t>94</w:t>
            </w:r>
          </w:p>
        </w:tc>
        <w:tc>
          <w:tcPr>
            <w:tcW w:w="975" w:type="dxa"/>
            <w:vMerge w:val="continue"/>
            <w:tcBorders>
              <w:left w:val="single" w:color="000000" w:sz="4" w:space="0"/>
              <w:right w:val="single" w:color="000000" w:sz="4" w:space="0"/>
            </w:tcBorders>
            <w:noWrap w:val="0"/>
            <w:tcMar>
              <w:left w:w="108" w:type="dxa"/>
              <w:right w:w="108" w:type="dxa"/>
            </w:tcMar>
            <w:vAlign w:val="center"/>
          </w:tcPr>
          <w:p w14:paraId="0F07A122">
            <w:pPr>
              <w:jc w:val="center"/>
              <w:rPr>
                <w:sz w:val="21"/>
                <w:szCs w:val="21"/>
              </w:rPr>
            </w:pPr>
          </w:p>
        </w:tc>
        <w:tc>
          <w:tcPr>
            <w:tcW w:w="844"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5985C3A3">
            <w:pPr>
              <w:jc w:val="center"/>
              <w:rPr>
                <w:sz w:val="21"/>
                <w:szCs w:val="21"/>
              </w:rPr>
            </w:pPr>
            <w:r>
              <w:rPr>
                <w:sz w:val="21"/>
                <w:szCs w:val="21"/>
              </w:rPr>
              <w:t>25</w:t>
            </w:r>
          </w:p>
        </w:tc>
        <w:tc>
          <w:tcPr>
            <w:tcW w:w="1012"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20936185">
            <w:pPr>
              <w:jc w:val="center"/>
              <w:rPr>
                <w:sz w:val="21"/>
                <w:szCs w:val="21"/>
              </w:rPr>
            </w:pPr>
            <w:r>
              <w:rPr>
                <w:sz w:val="21"/>
                <w:szCs w:val="21"/>
              </w:rPr>
              <w:t>63</w:t>
            </w:r>
          </w:p>
        </w:tc>
        <w:tc>
          <w:tcPr>
            <w:tcW w:w="668"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4274BE3D">
            <w:pPr>
              <w:jc w:val="center"/>
              <w:rPr>
                <w:sz w:val="21"/>
                <w:szCs w:val="21"/>
              </w:rPr>
            </w:pPr>
            <w:r>
              <w:rPr>
                <w:sz w:val="21"/>
                <w:szCs w:val="21"/>
              </w:rPr>
              <w:t>1</w:t>
            </w:r>
          </w:p>
        </w:tc>
      </w:tr>
      <w:tr w14:paraId="6357DD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455"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770E5BA7">
            <w:pPr>
              <w:jc w:val="center"/>
              <w:rPr>
                <w:sz w:val="21"/>
                <w:szCs w:val="21"/>
              </w:rPr>
            </w:pPr>
            <w:r>
              <w:rPr>
                <w:sz w:val="21"/>
                <w:szCs w:val="21"/>
              </w:rPr>
              <w:t>6</w:t>
            </w:r>
          </w:p>
        </w:tc>
        <w:tc>
          <w:tcPr>
            <w:tcW w:w="522" w:type="dxa"/>
            <w:vMerge w:val="continue"/>
            <w:tcBorders>
              <w:left w:val="single" w:color="000000" w:sz="4" w:space="0"/>
              <w:right w:val="single" w:color="000000" w:sz="4" w:space="0"/>
            </w:tcBorders>
            <w:noWrap w:val="0"/>
            <w:tcMar>
              <w:left w:w="108" w:type="dxa"/>
              <w:right w:w="108" w:type="dxa"/>
            </w:tcMar>
            <w:vAlign w:val="center"/>
          </w:tcPr>
          <w:p w14:paraId="160B1946">
            <w:pPr>
              <w:rPr>
                <w:sz w:val="21"/>
                <w:szCs w:val="21"/>
              </w:rPr>
            </w:pPr>
          </w:p>
        </w:tc>
        <w:tc>
          <w:tcPr>
            <w:tcW w:w="1594" w:type="dxa"/>
            <w:tcBorders>
              <w:top w:val="single" w:color="000000" w:sz="4" w:space="0"/>
              <w:left w:val="single" w:color="000000" w:sz="4" w:space="0"/>
              <w:bottom w:val="single" w:color="000000" w:sz="4" w:space="0"/>
              <w:right w:val="single" w:color="000000" w:sz="4" w:space="0"/>
            </w:tcBorders>
            <w:shd w:val="clear" w:color="auto" w:fill="auto"/>
            <w:noWrap w:val="0"/>
            <w:tcMar>
              <w:left w:w="108" w:type="dxa"/>
              <w:right w:w="108" w:type="dxa"/>
            </w:tcMar>
            <w:vAlign w:val="center"/>
          </w:tcPr>
          <w:p w14:paraId="774D5FEB">
            <w:pPr>
              <w:widowControl w:val="0"/>
              <w:jc w:val="center"/>
              <w:rPr>
                <w:rFonts w:hint="eastAsia" w:ascii="Times New Roman" w:hAnsi="Times New Roman" w:eastAsia="宋体" w:cs="Times New Roman"/>
                <w:sz w:val="21"/>
                <w:szCs w:val="21"/>
                <w:lang w:val="en-US" w:eastAsia="zh-CN" w:bidi="ar-SA"/>
              </w:rPr>
            </w:pPr>
            <w:r>
              <w:rPr>
                <w:rFonts w:hint="eastAsia" w:ascii="Times New Roman" w:hAnsi="Times New Roman" w:eastAsia="宋体" w:cs="Times New Roman"/>
                <w:sz w:val="21"/>
                <w:szCs w:val="21"/>
              </w:rPr>
              <w:t>7辊矫直机</w:t>
            </w:r>
          </w:p>
        </w:tc>
        <w:tc>
          <w:tcPr>
            <w:tcW w:w="1143" w:type="dxa"/>
            <w:tcBorders>
              <w:top w:val="single" w:color="000000" w:sz="4" w:space="0"/>
              <w:left w:val="single" w:color="000000" w:sz="4" w:space="0"/>
              <w:bottom w:val="single" w:color="000000" w:sz="4" w:space="0"/>
              <w:right w:val="single" w:color="000000" w:sz="4" w:space="0"/>
            </w:tcBorders>
            <w:shd w:val="clear" w:color="auto" w:fill="auto"/>
            <w:noWrap w:val="0"/>
            <w:tcMar>
              <w:left w:w="108" w:type="dxa"/>
              <w:right w:w="108" w:type="dxa"/>
            </w:tcMar>
            <w:vAlign w:val="center"/>
          </w:tcPr>
          <w:p w14:paraId="6B74CC03">
            <w:pPr>
              <w:pStyle w:val="465"/>
              <w:spacing w:line="240" w:lineRule="auto"/>
              <w:ind w:firstLine="0" w:firstLineChars="0"/>
              <w:jc w:val="center"/>
              <w:rPr>
                <w:rFonts w:hint="eastAsia"/>
                <w:bCs/>
                <w:sz w:val="21"/>
                <w:szCs w:val="21"/>
                <w:lang w:val="en-US" w:eastAsia="zh-CN"/>
              </w:rPr>
            </w:pPr>
            <w:r>
              <w:rPr>
                <w:rFonts w:hint="eastAsia"/>
                <w:bCs/>
                <w:sz w:val="21"/>
                <w:szCs w:val="21"/>
                <w:lang w:val="en-US" w:eastAsia="zh-CN"/>
              </w:rPr>
              <w:t>7.5 KW</w:t>
            </w:r>
          </w:p>
        </w:tc>
        <w:tc>
          <w:tcPr>
            <w:tcW w:w="1191" w:type="dxa"/>
            <w:tcBorders>
              <w:top w:val="single" w:color="000000" w:sz="4" w:space="0"/>
              <w:left w:val="single" w:color="000000" w:sz="4" w:space="0"/>
              <w:bottom w:val="single" w:color="000000" w:sz="4" w:space="0"/>
              <w:right w:val="single" w:color="000000" w:sz="4" w:space="0"/>
            </w:tcBorders>
            <w:shd w:val="clear" w:color="auto" w:fill="auto"/>
            <w:noWrap w:val="0"/>
            <w:tcMar>
              <w:left w:w="108" w:type="dxa"/>
              <w:right w:w="108" w:type="dxa"/>
            </w:tcMar>
            <w:vAlign w:val="center"/>
          </w:tcPr>
          <w:p w14:paraId="2B38E561">
            <w:pPr>
              <w:pStyle w:val="465"/>
              <w:spacing w:line="240" w:lineRule="auto"/>
              <w:ind w:firstLine="0" w:firstLineChars="0"/>
              <w:jc w:val="center"/>
              <w:rPr>
                <w:rFonts w:hint="default" w:ascii="Times New Roman" w:hAnsi="Times New Roman" w:eastAsia="宋体" w:cs="Times New Roman"/>
                <w:kern w:val="24"/>
                <w:sz w:val="21"/>
                <w:szCs w:val="21"/>
                <w:lang w:val="en-US" w:eastAsia="zh-CN" w:bidi="ar-SA"/>
              </w:rPr>
            </w:pPr>
            <w:r>
              <w:rPr>
                <w:rFonts w:hint="eastAsia"/>
                <w:sz w:val="21"/>
                <w:szCs w:val="21"/>
                <w:lang w:val="en-US" w:eastAsia="zh-CN"/>
              </w:rPr>
              <w:t>85</w:t>
            </w:r>
          </w:p>
        </w:tc>
        <w:tc>
          <w:tcPr>
            <w:tcW w:w="984" w:type="dxa"/>
            <w:vMerge w:val="continue"/>
            <w:tcBorders>
              <w:left w:val="single" w:color="000000" w:sz="4" w:space="0"/>
              <w:right w:val="single" w:color="000000" w:sz="4" w:space="0"/>
            </w:tcBorders>
            <w:noWrap w:val="0"/>
            <w:tcMar>
              <w:left w:w="108" w:type="dxa"/>
              <w:right w:w="108" w:type="dxa"/>
            </w:tcMar>
            <w:vAlign w:val="center"/>
          </w:tcPr>
          <w:p w14:paraId="63D2BFA5">
            <w:pPr>
              <w:rPr>
                <w:sz w:val="21"/>
                <w:szCs w:val="21"/>
              </w:rPr>
            </w:pPr>
          </w:p>
        </w:tc>
        <w:tc>
          <w:tcPr>
            <w:tcW w:w="1004"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7A86594A">
            <w:pPr>
              <w:jc w:val="center"/>
              <w:rPr>
                <w:sz w:val="21"/>
                <w:szCs w:val="21"/>
              </w:rPr>
            </w:pPr>
            <w:r>
              <w:rPr>
                <w:sz w:val="21"/>
                <w:szCs w:val="21"/>
              </w:rPr>
              <w:t>450</w:t>
            </w:r>
          </w:p>
        </w:tc>
        <w:tc>
          <w:tcPr>
            <w:tcW w:w="768"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6729908E">
            <w:pPr>
              <w:jc w:val="center"/>
              <w:rPr>
                <w:sz w:val="21"/>
                <w:szCs w:val="21"/>
              </w:rPr>
            </w:pPr>
            <w:r>
              <w:rPr>
                <w:sz w:val="21"/>
                <w:szCs w:val="21"/>
              </w:rPr>
              <w:t>73</w:t>
            </w:r>
          </w:p>
        </w:tc>
        <w:tc>
          <w:tcPr>
            <w:tcW w:w="694"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5971A504">
            <w:pPr>
              <w:jc w:val="center"/>
              <w:rPr>
                <w:sz w:val="21"/>
                <w:szCs w:val="21"/>
              </w:rPr>
            </w:pPr>
            <w:r>
              <w:rPr>
                <w:sz w:val="21"/>
                <w:szCs w:val="21"/>
              </w:rPr>
              <w:t>1</w:t>
            </w:r>
          </w:p>
        </w:tc>
        <w:tc>
          <w:tcPr>
            <w:tcW w:w="863"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0E1A9A9A">
            <w:pPr>
              <w:jc w:val="center"/>
              <w:rPr>
                <w:sz w:val="21"/>
                <w:szCs w:val="21"/>
              </w:rPr>
            </w:pPr>
            <w:r>
              <w:rPr>
                <w:sz w:val="21"/>
                <w:szCs w:val="21"/>
              </w:rPr>
              <w:t>2</w:t>
            </w:r>
          </w:p>
        </w:tc>
        <w:tc>
          <w:tcPr>
            <w:tcW w:w="937"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17A36A05">
            <w:pPr>
              <w:jc w:val="center"/>
              <w:rPr>
                <w:sz w:val="21"/>
                <w:szCs w:val="21"/>
              </w:rPr>
            </w:pPr>
            <w:r>
              <w:rPr>
                <w:sz w:val="21"/>
                <w:szCs w:val="21"/>
              </w:rPr>
              <w:t>94</w:t>
            </w:r>
          </w:p>
        </w:tc>
        <w:tc>
          <w:tcPr>
            <w:tcW w:w="975" w:type="dxa"/>
            <w:vMerge w:val="continue"/>
            <w:tcBorders>
              <w:left w:val="single" w:color="000000" w:sz="4" w:space="0"/>
              <w:right w:val="single" w:color="000000" w:sz="4" w:space="0"/>
            </w:tcBorders>
            <w:noWrap w:val="0"/>
            <w:tcMar>
              <w:left w:w="108" w:type="dxa"/>
              <w:right w:w="108" w:type="dxa"/>
            </w:tcMar>
            <w:vAlign w:val="center"/>
          </w:tcPr>
          <w:p w14:paraId="39DC66BC">
            <w:pPr>
              <w:jc w:val="center"/>
              <w:rPr>
                <w:sz w:val="21"/>
                <w:szCs w:val="21"/>
              </w:rPr>
            </w:pPr>
          </w:p>
        </w:tc>
        <w:tc>
          <w:tcPr>
            <w:tcW w:w="844"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730520CC">
            <w:pPr>
              <w:jc w:val="center"/>
              <w:rPr>
                <w:sz w:val="21"/>
                <w:szCs w:val="21"/>
              </w:rPr>
            </w:pPr>
            <w:r>
              <w:rPr>
                <w:sz w:val="21"/>
                <w:szCs w:val="21"/>
              </w:rPr>
              <w:t>25</w:t>
            </w:r>
          </w:p>
        </w:tc>
        <w:tc>
          <w:tcPr>
            <w:tcW w:w="1012"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0B7817F7">
            <w:pPr>
              <w:jc w:val="center"/>
              <w:rPr>
                <w:sz w:val="21"/>
                <w:szCs w:val="21"/>
              </w:rPr>
            </w:pPr>
            <w:r>
              <w:rPr>
                <w:sz w:val="21"/>
                <w:szCs w:val="21"/>
              </w:rPr>
              <w:t>63</w:t>
            </w:r>
          </w:p>
        </w:tc>
        <w:tc>
          <w:tcPr>
            <w:tcW w:w="668"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47170F90">
            <w:pPr>
              <w:jc w:val="center"/>
              <w:rPr>
                <w:sz w:val="21"/>
                <w:szCs w:val="21"/>
              </w:rPr>
            </w:pPr>
            <w:r>
              <w:rPr>
                <w:sz w:val="21"/>
                <w:szCs w:val="21"/>
              </w:rPr>
              <w:t>1</w:t>
            </w:r>
          </w:p>
        </w:tc>
      </w:tr>
      <w:tr w14:paraId="12F1AE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455"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5E8C846B">
            <w:pPr>
              <w:jc w:val="center"/>
              <w:rPr>
                <w:sz w:val="21"/>
                <w:szCs w:val="21"/>
              </w:rPr>
            </w:pPr>
            <w:r>
              <w:rPr>
                <w:sz w:val="21"/>
                <w:szCs w:val="21"/>
              </w:rPr>
              <w:t>7</w:t>
            </w:r>
          </w:p>
        </w:tc>
        <w:tc>
          <w:tcPr>
            <w:tcW w:w="522" w:type="dxa"/>
            <w:vMerge w:val="continue"/>
            <w:tcBorders>
              <w:left w:val="single" w:color="000000" w:sz="4" w:space="0"/>
              <w:bottom w:val="single" w:color="000000" w:sz="4" w:space="0"/>
              <w:right w:val="single" w:color="000000" w:sz="4" w:space="0"/>
            </w:tcBorders>
            <w:noWrap w:val="0"/>
            <w:tcMar>
              <w:left w:w="108" w:type="dxa"/>
              <w:right w:w="108" w:type="dxa"/>
            </w:tcMar>
            <w:vAlign w:val="center"/>
          </w:tcPr>
          <w:p w14:paraId="161898F6">
            <w:pPr>
              <w:rPr>
                <w:sz w:val="21"/>
                <w:szCs w:val="21"/>
              </w:rPr>
            </w:pPr>
          </w:p>
        </w:tc>
        <w:tc>
          <w:tcPr>
            <w:tcW w:w="1594" w:type="dxa"/>
            <w:tcBorders>
              <w:top w:val="single" w:color="000000" w:sz="4" w:space="0"/>
              <w:left w:val="single" w:color="000000" w:sz="4" w:space="0"/>
              <w:bottom w:val="single" w:color="000000" w:sz="4" w:space="0"/>
              <w:right w:val="single" w:color="000000" w:sz="4" w:space="0"/>
            </w:tcBorders>
            <w:shd w:val="clear" w:color="auto" w:fill="auto"/>
            <w:noWrap w:val="0"/>
            <w:tcMar>
              <w:left w:w="108" w:type="dxa"/>
              <w:right w:w="108" w:type="dxa"/>
            </w:tcMar>
            <w:vAlign w:val="center"/>
          </w:tcPr>
          <w:p w14:paraId="6260C90D">
            <w:pPr>
              <w:widowControl w:val="0"/>
              <w:jc w:val="center"/>
              <w:rPr>
                <w:rFonts w:hint="eastAsia" w:ascii="Times New Roman" w:hAnsi="Times New Roman" w:eastAsia="宋体" w:cs="Times New Roman"/>
                <w:sz w:val="21"/>
                <w:szCs w:val="21"/>
                <w:lang w:val="en-US" w:eastAsia="zh-CN" w:bidi="ar-SA"/>
              </w:rPr>
            </w:pPr>
            <w:r>
              <w:rPr>
                <w:rFonts w:hint="eastAsia" w:ascii="Times New Roman" w:hAnsi="Times New Roman" w:eastAsia="宋体" w:cs="Times New Roman"/>
                <w:sz w:val="21"/>
                <w:szCs w:val="21"/>
              </w:rPr>
              <w:t>布料机</w:t>
            </w:r>
          </w:p>
        </w:tc>
        <w:tc>
          <w:tcPr>
            <w:tcW w:w="1143" w:type="dxa"/>
            <w:tcBorders>
              <w:top w:val="single" w:color="000000" w:sz="4" w:space="0"/>
              <w:left w:val="single" w:color="000000" w:sz="4" w:space="0"/>
              <w:bottom w:val="single" w:color="000000" w:sz="4" w:space="0"/>
              <w:right w:val="single" w:color="000000" w:sz="4" w:space="0"/>
            </w:tcBorders>
            <w:shd w:val="clear" w:color="auto" w:fill="auto"/>
            <w:noWrap w:val="0"/>
            <w:tcMar>
              <w:left w:w="108" w:type="dxa"/>
              <w:right w:w="108" w:type="dxa"/>
            </w:tcMar>
            <w:vAlign w:val="center"/>
          </w:tcPr>
          <w:p w14:paraId="155E85DE">
            <w:pPr>
              <w:pStyle w:val="465"/>
              <w:spacing w:line="240" w:lineRule="auto"/>
              <w:ind w:firstLine="0" w:firstLineChars="0"/>
              <w:jc w:val="center"/>
              <w:rPr>
                <w:rFonts w:hint="eastAsia"/>
                <w:bCs/>
                <w:sz w:val="21"/>
                <w:szCs w:val="21"/>
                <w:lang w:val="en-US" w:eastAsia="zh-CN"/>
              </w:rPr>
            </w:pPr>
            <w:r>
              <w:rPr>
                <w:rFonts w:hint="eastAsia"/>
                <w:bCs/>
                <w:sz w:val="21"/>
                <w:szCs w:val="21"/>
                <w:lang w:val="en-US" w:eastAsia="zh-CN"/>
              </w:rPr>
              <w:t>11.5 KW</w:t>
            </w:r>
          </w:p>
        </w:tc>
        <w:tc>
          <w:tcPr>
            <w:tcW w:w="1191" w:type="dxa"/>
            <w:tcBorders>
              <w:top w:val="single" w:color="000000" w:sz="4" w:space="0"/>
              <w:left w:val="single" w:color="000000" w:sz="4" w:space="0"/>
              <w:bottom w:val="single" w:color="000000" w:sz="4" w:space="0"/>
              <w:right w:val="single" w:color="000000" w:sz="4" w:space="0"/>
            </w:tcBorders>
            <w:shd w:val="clear" w:color="auto" w:fill="auto"/>
            <w:noWrap w:val="0"/>
            <w:tcMar>
              <w:left w:w="108" w:type="dxa"/>
              <w:right w:w="108" w:type="dxa"/>
            </w:tcMar>
            <w:vAlign w:val="center"/>
          </w:tcPr>
          <w:p w14:paraId="7618D721">
            <w:pPr>
              <w:pStyle w:val="465"/>
              <w:spacing w:line="240" w:lineRule="auto"/>
              <w:ind w:firstLine="0" w:firstLineChars="0"/>
              <w:jc w:val="center"/>
              <w:rPr>
                <w:rFonts w:ascii="Times New Roman" w:hAnsi="Times New Roman" w:eastAsia="宋体" w:cs="Times New Roman"/>
                <w:kern w:val="24"/>
                <w:sz w:val="21"/>
                <w:szCs w:val="21"/>
                <w:lang w:val="en-US" w:eastAsia="zh-CN" w:bidi="ar-SA"/>
              </w:rPr>
            </w:pPr>
            <w:r>
              <w:rPr>
                <w:rFonts w:hint="eastAsia"/>
                <w:sz w:val="21"/>
                <w:szCs w:val="21"/>
                <w:lang w:val="en-US" w:eastAsia="zh-CN"/>
              </w:rPr>
              <w:t>85</w:t>
            </w:r>
          </w:p>
        </w:tc>
        <w:tc>
          <w:tcPr>
            <w:tcW w:w="984" w:type="dxa"/>
            <w:vMerge w:val="continue"/>
            <w:tcBorders>
              <w:left w:val="single" w:color="000000" w:sz="4" w:space="0"/>
              <w:right w:val="single" w:color="000000" w:sz="4" w:space="0"/>
            </w:tcBorders>
            <w:noWrap w:val="0"/>
            <w:tcMar>
              <w:left w:w="108" w:type="dxa"/>
              <w:right w:w="108" w:type="dxa"/>
            </w:tcMar>
            <w:vAlign w:val="center"/>
          </w:tcPr>
          <w:p w14:paraId="49452287">
            <w:pPr>
              <w:rPr>
                <w:sz w:val="21"/>
                <w:szCs w:val="21"/>
              </w:rPr>
            </w:pPr>
          </w:p>
        </w:tc>
        <w:tc>
          <w:tcPr>
            <w:tcW w:w="1004"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3C6E889B">
            <w:pPr>
              <w:jc w:val="center"/>
              <w:rPr>
                <w:sz w:val="21"/>
                <w:szCs w:val="21"/>
              </w:rPr>
            </w:pPr>
            <w:r>
              <w:rPr>
                <w:sz w:val="21"/>
                <w:szCs w:val="21"/>
              </w:rPr>
              <w:t>423</w:t>
            </w:r>
          </w:p>
        </w:tc>
        <w:tc>
          <w:tcPr>
            <w:tcW w:w="768"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680EA63F">
            <w:pPr>
              <w:jc w:val="center"/>
              <w:rPr>
                <w:sz w:val="21"/>
                <w:szCs w:val="21"/>
              </w:rPr>
            </w:pPr>
            <w:r>
              <w:rPr>
                <w:sz w:val="21"/>
                <w:szCs w:val="21"/>
              </w:rPr>
              <w:t>0</w:t>
            </w:r>
          </w:p>
        </w:tc>
        <w:tc>
          <w:tcPr>
            <w:tcW w:w="694"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6B5844FE">
            <w:pPr>
              <w:jc w:val="center"/>
              <w:rPr>
                <w:sz w:val="21"/>
                <w:szCs w:val="21"/>
              </w:rPr>
            </w:pPr>
            <w:r>
              <w:rPr>
                <w:sz w:val="21"/>
                <w:szCs w:val="21"/>
              </w:rPr>
              <w:t>1</w:t>
            </w:r>
          </w:p>
        </w:tc>
        <w:tc>
          <w:tcPr>
            <w:tcW w:w="863"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7BA1F58C">
            <w:pPr>
              <w:jc w:val="center"/>
              <w:rPr>
                <w:sz w:val="21"/>
                <w:szCs w:val="21"/>
              </w:rPr>
            </w:pPr>
            <w:r>
              <w:rPr>
                <w:sz w:val="21"/>
                <w:szCs w:val="21"/>
              </w:rPr>
              <w:t>5</w:t>
            </w:r>
          </w:p>
        </w:tc>
        <w:tc>
          <w:tcPr>
            <w:tcW w:w="937"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3166958B">
            <w:pPr>
              <w:jc w:val="center"/>
              <w:rPr>
                <w:sz w:val="21"/>
                <w:szCs w:val="21"/>
              </w:rPr>
            </w:pPr>
            <w:r>
              <w:rPr>
                <w:sz w:val="21"/>
                <w:szCs w:val="21"/>
              </w:rPr>
              <w:t>76</w:t>
            </w:r>
          </w:p>
        </w:tc>
        <w:tc>
          <w:tcPr>
            <w:tcW w:w="975" w:type="dxa"/>
            <w:vMerge w:val="continue"/>
            <w:tcBorders>
              <w:left w:val="single" w:color="000000" w:sz="4" w:space="0"/>
              <w:right w:val="single" w:color="000000" w:sz="4" w:space="0"/>
            </w:tcBorders>
            <w:noWrap w:val="0"/>
            <w:tcMar>
              <w:left w:w="108" w:type="dxa"/>
              <w:right w:w="108" w:type="dxa"/>
            </w:tcMar>
            <w:vAlign w:val="center"/>
          </w:tcPr>
          <w:p w14:paraId="755AE98B">
            <w:pPr>
              <w:jc w:val="center"/>
              <w:rPr>
                <w:sz w:val="21"/>
                <w:szCs w:val="21"/>
              </w:rPr>
            </w:pPr>
          </w:p>
        </w:tc>
        <w:tc>
          <w:tcPr>
            <w:tcW w:w="844"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36EAC3C0">
            <w:pPr>
              <w:jc w:val="center"/>
              <w:rPr>
                <w:sz w:val="21"/>
                <w:szCs w:val="21"/>
              </w:rPr>
            </w:pPr>
            <w:r>
              <w:rPr>
                <w:sz w:val="21"/>
                <w:szCs w:val="21"/>
              </w:rPr>
              <w:t>25</w:t>
            </w:r>
          </w:p>
        </w:tc>
        <w:tc>
          <w:tcPr>
            <w:tcW w:w="1012"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34A691BA">
            <w:pPr>
              <w:jc w:val="center"/>
              <w:rPr>
                <w:sz w:val="21"/>
                <w:szCs w:val="21"/>
              </w:rPr>
            </w:pPr>
            <w:r>
              <w:rPr>
                <w:sz w:val="21"/>
                <w:szCs w:val="21"/>
              </w:rPr>
              <w:t>45</w:t>
            </w:r>
          </w:p>
        </w:tc>
        <w:tc>
          <w:tcPr>
            <w:tcW w:w="668"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5FCDB35B">
            <w:pPr>
              <w:jc w:val="center"/>
              <w:rPr>
                <w:sz w:val="21"/>
                <w:szCs w:val="21"/>
              </w:rPr>
            </w:pPr>
            <w:r>
              <w:rPr>
                <w:sz w:val="21"/>
                <w:szCs w:val="21"/>
              </w:rPr>
              <w:t>1</w:t>
            </w:r>
          </w:p>
        </w:tc>
      </w:tr>
      <w:tr w14:paraId="6B4E38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455"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50264BE4">
            <w:pPr>
              <w:jc w:val="center"/>
              <w:rPr>
                <w:sz w:val="21"/>
                <w:szCs w:val="21"/>
              </w:rPr>
            </w:pPr>
            <w:r>
              <w:rPr>
                <w:sz w:val="21"/>
                <w:szCs w:val="21"/>
              </w:rPr>
              <w:t>8</w:t>
            </w:r>
          </w:p>
        </w:tc>
        <w:tc>
          <w:tcPr>
            <w:tcW w:w="522" w:type="dxa"/>
            <w:vMerge w:val="restart"/>
            <w:tcBorders>
              <w:top w:val="single" w:color="000000" w:sz="4" w:space="0"/>
              <w:left w:val="single" w:color="000000" w:sz="4" w:space="0"/>
              <w:right w:val="single" w:color="000000" w:sz="4" w:space="0"/>
            </w:tcBorders>
            <w:noWrap w:val="0"/>
            <w:tcMar>
              <w:left w:w="108" w:type="dxa"/>
              <w:right w:w="108" w:type="dxa"/>
            </w:tcMar>
            <w:vAlign w:val="center"/>
          </w:tcPr>
          <w:p w14:paraId="39A59B34">
            <w:pPr>
              <w:jc w:val="center"/>
              <w:rPr>
                <w:sz w:val="21"/>
                <w:szCs w:val="21"/>
              </w:rPr>
            </w:pPr>
            <w:r>
              <w:rPr>
                <w:rFonts w:hint="eastAsia" w:ascii="Times New Roman" w:hAnsi="Times New Roman" w:cs="Times New Roman"/>
                <w:sz w:val="21"/>
                <w:szCs w:val="21"/>
                <w:lang w:val="en-US" w:eastAsia="zh-CN"/>
              </w:rPr>
              <w:t>球团竖窑车间</w:t>
            </w:r>
          </w:p>
        </w:tc>
        <w:tc>
          <w:tcPr>
            <w:tcW w:w="1594" w:type="dxa"/>
            <w:tcBorders>
              <w:top w:val="single" w:color="000000" w:sz="4" w:space="0"/>
              <w:left w:val="single" w:color="000000" w:sz="4" w:space="0"/>
              <w:bottom w:val="single" w:color="000000" w:sz="4" w:space="0"/>
              <w:right w:val="single" w:color="000000" w:sz="4" w:space="0"/>
            </w:tcBorders>
            <w:shd w:val="clear" w:color="auto" w:fill="auto"/>
            <w:noWrap w:val="0"/>
            <w:tcMar>
              <w:left w:w="108" w:type="dxa"/>
              <w:right w:w="108" w:type="dxa"/>
            </w:tcMar>
            <w:vAlign w:val="top"/>
          </w:tcPr>
          <w:p w14:paraId="20095D46">
            <w:pPr>
              <w:pStyle w:val="465"/>
              <w:spacing w:line="240" w:lineRule="auto"/>
              <w:ind w:firstLine="0" w:firstLineChars="0"/>
              <w:jc w:val="center"/>
              <w:rPr>
                <w:rFonts w:hint="eastAsia" w:ascii="Times New Roman" w:hAnsi="Times New Roman" w:eastAsia="宋体" w:cs="Times New Roman"/>
                <w:bCs/>
                <w:kern w:val="24"/>
                <w:sz w:val="21"/>
                <w:szCs w:val="21"/>
                <w:lang w:val="en-US" w:eastAsia="zh-CN" w:bidi="ar-SA"/>
              </w:rPr>
            </w:pPr>
            <w:r>
              <w:rPr>
                <w:rFonts w:hint="eastAsia" w:ascii="Times New Roman" w:hAnsi="Times New Roman" w:eastAsia="宋体" w:cs="Times New Roman"/>
                <w:bCs/>
                <w:sz w:val="21"/>
                <w:szCs w:val="21"/>
                <w:lang w:val="en-US" w:eastAsia="zh-CN"/>
              </w:rPr>
              <w:t>圆盘给料机</w:t>
            </w:r>
          </w:p>
        </w:tc>
        <w:tc>
          <w:tcPr>
            <w:tcW w:w="1143" w:type="dxa"/>
            <w:tcBorders>
              <w:top w:val="single" w:color="000000" w:sz="4" w:space="0"/>
              <w:left w:val="single" w:color="000000" w:sz="4" w:space="0"/>
              <w:bottom w:val="single" w:color="000000" w:sz="4" w:space="0"/>
              <w:right w:val="single" w:color="000000" w:sz="4" w:space="0"/>
            </w:tcBorders>
            <w:shd w:val="clear" w:color="auto" w:fill="auto"/>
            <w:noWrap w:val="0"/>
            <w:tcMar>
              <w:left w:w="108" w:type="dxa"/>
              <w:right w:w="108" w:type="dxa"/>
            </w:tcMar>
            <w:vAlign w:val="center"/>
          </w:tcPr>
          <w:p w14:paraId="3F675336">
            <w:pPr>
              <w:pStyle w:val="465"/>
              <w:spacing w:line="240" w:lineRule="auto"/>
              <w:ind w:firstLine="0" w:firstLineChars="0"/>
              <w:jc w:val="center"/>
              <w:rPr>
                <w:rFonts w:hint="eastAsia"/>
                <w:bCs/>
                <w:sz w:val="21"/>
                <w:szCs w:val="21"/>
                <w:lang w:val="en-US" w:eastAsia="zh-CN"/>
              </w:rPr>
            </w:pPr>
            <w:r>
              <w:rPr>
                <w:rFonts w:hint="eastAsia"/>
                <w:bCs/>
                <w:sz w:val="21"/>
                <w:szCs w:val="21"/>
                <w:lang w:val="en-US" w:eastAsia="zh-CN"/>
              </w:rPr>
              <w:t>37.5KW</w:t>
            </w:r>
          </w:p>
        </w:tc>
        <w:tc>
          <w:tcPr>
            <w:tcW w:w="1191" w:type="dxa"/>
            <w:tcBorders>
              <w:top w:val="single" w:color="000000" w:sz="4" w:space="0"/>
              <w:left w:val="single" w:color="000000" w:sz="4" w:space="0"/>
              <w:bottom w:val="single" w:color="000000" w:sz="4" w:space="0"/>
              <w:right w:val="single" w:color="000000" w:sz="4" w:space="0"/>
            </w:tcBorders>
            <w:shd w:val="clear" w:color="auto" w:fill="auto"/>
            <w:noWrap w:val="0"/>
            <w:tcMar>
              <w:left w:w="108" w:type="dxa"/>
              <w:right w:w="108" w:type="dxa"/>
            </w:tcMar>
            <w:vAlign w:val="center"/>
          </w:tcPr>
          <w:p w14:paraId="710ED187">
            <w:pPr>
              <w:pStyle w:val="465"/>
              <w:spacing w:line="240" w:lineRule="auto"/>
              <w:ind w:firstLine="0" w:firstLineChars="0"/>
              <w:jc w:val="center"/>
              <w:rPr>
                <w:rFonts w:hint="eastAsia" w:ascii="Times New Roman" w:hAnsi="Times New Roman" w:eastAsia="宋体" w:cs="Times New Roman"/>
                <w:kern w:val="24"/>
                <w:sz w:val="21"/>
                <w:szCs w:val="21"/>
                <w:lang w:val="en-US" w:eastAsia="zh-CN" w:bidi="ar-SA"/>
              </w:rPr>
            </w:pPr>
            <w:r>
              <w:rPr>
                <w:rFonts w:hint="eastAsia" w:ascii="Times New Roman" w:hAnsi="Times New Roman" w:eastAsia="宋体" w:cs="Times New Roman"/>
                <w:sz w:val="21"/>
                <w:szCs w:val="21"/>
                <w:lang w:val="en-US" w:eastAsia="zh-CN"/>
              </w:rPr>
              <w:t>85</w:t>
            </w:r>
          </w:p>
        </w:tc>
        <w:tc>
          <w:tcPr>
            <w:tcW w:w="984" w:type="dxa"/>
            <w:vMerge w:val="continue"/>
            <w:tcBorders>
              <w:left w:val="single" w:color="000000" w:sz="4" w:space="0"/>
              <w:right w:val="single" w:color="000000" w:sz="4" w:space="0"/>
            </w:tcBorders>
            <w:noWrap w:val="0"/>
            <w:tcMar>
              <w:left w:w="108" w:type="dxa"/>
              <w:right w:w="108" w:type="dxa"/>
            </w:tcMar>
            <w:vAlign w:val="center"/>
          </w:tcPr>
          <w:p w14:paraId="1674F2D9">
            <w:pPr>
              <w:rPr>
                <w:sz w:val="21"/>
                <w:szCs w:val="21"/>
              </w:rPr>
            </w:pPr>
          </w:p>
        </w:tc>
        <w:tc>
          <w:tcPr>
            <w:tcW w:w="1004"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0EC71269">
            <w:pPr>
              <w:jc w:val="center"/>
              <w:rPr>
                <w:sz w:val="21"/>
                <w:szCs w:val="21"/>
              </w:rPr>
            </w:pPr>
            <w:r>
              <w:rPr>
                <w:sz w:val="21"/>
                <w:szCs w:val="21"/>
              </w:rPr>
              <w:t>300</w:t>
            </w:r>
          </w:p>
        </w:tc>
        <w:tc>
          <w:tcPr>
            <w:tcW w:w="768"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6337E95E">
            <w:pPr>
              <w:jc w:val="center"/>
              <w:rPr>
                <w:sz w:val="21"/>
                <w:szCs w:val="21"/>
              </w:rPr>
            </w:pPr>
            <w:r>
              <w:rPr>
                <w:sz w:val="21"/>
                <w:szCs w:val="21"/>
              </w:rPr>
              <w:t>0</w:t>
            </w:r>
          </w:p>
        </w:tc>
        <w:tc>
          <w:tcPr>
            <w:tcW w:w="694"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044E1CBB">
            <w:pPr>
              <w:jc w:val="center"/>
              <w:rPr>
                <w:sz w:val="21"/>
                <w:szCs w:val="21"/>
              </w:rPr>
            </w:pPr>
            <w:r>
              <w:rPr>
                <w:sz w:val="21"/>
                <w:szCs w:val="21"/>
              </w:rPr>
              <w:t>1</w:t>
            </w:r>
          </w:p>
        </w:tc>
        <w:tc>
          <w:tcPr>
            <w:tcW w:w="863"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27FF2F79">
            <w:pPr>
              <w:jc w:val="center"/>
              <w:rPr>
                <w:sz w:val="21"/>
                <w:szCs w:val="21"/>
              </w:rPr>
            </w:pPr>
            <w:r>
              <w:rPr>
                <w:sz w:val="21"/>
                <w:szCs w:val="21"/>
              </w:rPr>
              <w:t>5</w:t>
            </w:r>
          </w:p>
        </w:tc>
        <w:tc>
          <w:tcPr>
            <w:tcW w:w="937"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224703EB">
            <w:pPr>
              <w:jc w:val="center"/>
              <w:rPr>
                <w:sz w:val="21"/>
                <w:szCs w:val="21"/>
              </w:rPr>
            </w:pPr>
            <w:r>
              <w:rPr>
                <w:sz w:val="21"/>
                <w:szCs w:val="21"/>
              </w:rPr>
              <w:t>76</w:t>
            </w:r>
          </w:p>
        </w:tc>
        <w:tc>
          <w:tcPr>
            <w:tcW w:w="975" w:type="dxa"/>
            <w:vMerge w:val="continue"/>
            <w:tcBorders>
              <w:left w:val="single" w:color="000000" w:sz="4" w:space="0"/>
              <w:right w:val="single" w:color="000000" w:sz="4" w:space="0"/>
            </w:tcBorders>
            <w:noWrap w:val="0"/>
            <w:tcMar>
              <w:left w:w="108" w:type="dxa"/>
              <w:right w:w="108" w:type="dxa"/>
            </w:tcMar>
            <w:vAlign w:val="center"/>
          </w:tcPr>
          <w:p w14:paraId="40DB2CC0">
            <w:pPr>
              <w:jc w:val="center"/>
              <w:rPr>
                <w:sz w:val="21"/>
                <w:szCs w:val="21"/>
              </w:rPr>
            </w:pPr>
          </w:p>
        </w:tc>
        <w:tc>
          <w:tcPr>
            <w:tcW w:w="844"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744BDA27">
            <w:pPr>
              <w:jc w:val="center"/>
              <w:rPr>
                <w:sz w:val="21"/>
                <w:szCs w:val="21"/>
              </w:rPr>
            </w:pPr>
            <w:r>
              <w:rPr>
                <w:sz w:val="21"/>
                <w:szCs w:val="21"/>
              </w:rPr>
              <w:t>25</w:t>
            </w:r>
          </w:p>
        </w:tc>
        <w:tc>
          <w:tcPr>
            <w:tcW w:w="1012"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1D84436B">
            <w:pPr>
              <w:jc w:val="center"/>
              <w:rPr>
                <w:sz w:val="21"/>
                <w:szCs w:val="21"/>
              </w:rPr>
            </w:pPr>
            <w:r>
              <w:rPr>
                <w:sz w:val="21"/>
                <w:szCs w:val="21"/>
              </w:rPr>
              <w:t>45</w:t>
            </w:r>
          </w:p>
        </w:tc>
        <w:tc>
          <w:tcPr>
            <w:tcW w:w="668"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402F3B2D">
            <w:pPr>
              <w:jc w:val="center"/>
              <w:rPr>
                <w:sz w:val="21"/>
                <w:szCs w:val="21"/>
              </w:rPr>
            </w:pPr>
            <w:r>
              <w:rPr>
                <w:sz w:val="21"/>
                <w:szCs w:val="21"/>
              </w:rPr>
              <w:t>1</w:t>
            </w:r>
          </w:p>
        </w:tc>
      </w:tr>
      <w:tr w14:paraId="27B8FF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455"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05B0B4D8">
            <w:pPr>
              <w:jc w:val="center"/>
              <w:rPr>
                <w:sz w:val="21"/>
                <w:szCs w:val="21"/>
              </w:rPr>
            </w:pPr>
            <w:r>
              <w:rPr>
                <w:sz w:val="21"/>
                <w:szCs w:val="21"/>
              </w:rPr>
              <w:t>9</w:t>
            </w:r>
          </w:p>
        </w:tc>
        <w:tc>
          <w:tcPr>
            <w:tcW w:w="522" w:type="dxa"/>
            <w:vMerge w:val="continue"/>
            <w:tcBorders>
              <w:left w:val="single" w:color="000000" w:sz="4" w:space="0"/>
              <w:right w:val="single" w:color="000000" w:sz="4" w:space="0"/>
            </w:tcBorders>
            <w:noWrap w:val="0"/>
            <w:tcMar>
              <w:left w:w="108" w:type="dxa"/>
              <w:right w:w="108" w:type="dxa"/>
            </w:tcMar>
            <w:vAlign w:val="center"/>
          </w:tcPr>
          <w:p w14:paraId="55952721">
            <w:pPr>
              <w:rPr>
                <w:sz w:val="21"/>
                <w:szCs w:val="21"/>
              </w:rPr>
            </w:pPr>
          </w:p>
        </w:tc>
        <w:tc>
          <w:tcPr>
            <w:tcW w:w="1594" w:type="dxa"/>
            <w:tcBorders>
              <w:top w:val="single" w:color="000000" w:sz="4" w:space="0"/>
              <w:left w:val="single" w:color="000000" w:sz="4" w:space="0"/>
              <w:bottom w:val="single" w:color="000000" w:sz="4" w:space="0"/>
              <w:right w:val="single" w:color="000000" w:sz="4" w:space="0"/>
            </w:tcBorders>
            <w:shd w:val="clear" w:color="auto" w:fill="auto"/>
            <w:noWrap w:val="0"/>
            <w:tcMar>
              <w:left w:w="108" w:type="dxa"/>
              <w:right w:w="108" w:type="dxa"/>
            </w:tcMar>
            <w:vAlign w:val="top"/>
          </w:tcPr>
          <w:p w14:paraId="20FBF315">
            <w:pPr>
              <w:pStyle w:val="465"/>
              <w:spacing w:line="240" w:lineRule="auto"/>
              <w:ind w:firstLine="0" w:firstLineChars="0"/>
              <w:jc w:val="center"/>
              <w:rPr>
                <w:rFonts w:hint="eastAsia" w:ascii="Times New Roman" w:hAnsi="Times New Roman" w:eastAsia="宋体" w:cs="Times New Roman"/>
                <w:bCs/>
                <w:kern w:val="24"/>
                <w:sz w:val="21"/>
                <w:szCs w:val="21"/>
                <w:lang w:val="en-US" w:eastAsia="zh-CN" w:bidi="ar-SA"/>
              </w:rPr>
            </w:pPr>
            <w:r>
              <w:rPr>
                <w:rFonts w:hint="eastAsia" w:ascii="Times New Roman" w:hAnsi="Times New Roman" w:eastAsia="宋体" w:cs="Times New Roman"/>
                <w:bCs/>
                <w:sz w:val="21"/>
                <w:szCs w:val="21"/>
                <w:lang w:val="en-US" w:eastAsia="zh-CN"/>
              </w:rPr>
              <w:t>造球盘</w:t>
            </w:r>
          </w:p>
        </w:tc>
        <w:tc>
          <w:tcPr>
            <w:tcW w:w="1143"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08860D6A">
            <w:pPr>
              <w:pStyle w:val="465"/>
              <w:spacing w:line="240" w:lineRule="auto"/>
              <w:ind w:firstLine="0" w:firstLineChars="0"/>
              <w:jc w:val="center"/>
              <w:rPr>
                <w:rFonts w:hint="eastAsia"/>
                <w:bCs/>
                <w:sz w:val="21"/>
                <w:szCs w:val="21"/>
                <w:lang w:val="en-US" w:eastAsia="zh-CN"/>
              </w:rPr>
            </w:pPr>
            <w:r>
              <w:rPr>
                <w:rFonts w:hint="eastAsia"/>
                <w:bCs/>
                <w:sz w:val="21"/>
                <w:szCs w:val="21"/>
                <w:lang w:val="en-US" w:eastAsia="zh-CN"/>
              </w:rPr>
              <w:t>60KW</w:t>
            </w:r>
          </w:p>
        </w:tc>
        <w:tc>
          <w:tcPr>
            <w:tcW w:w="1191" w:type="dxa"/>
            <w:tcBorders>
              <w:top w:val="single" w:color="000000" w:sz="4" w:space="0"/>
              <w:left w:val="single" w:color="000000" w:sz="4" w:space="0"/>
              <w:bottom w:val="single" w:color="000000" w:sz="4" w:space="0"/>
              <w:right w:val="single" w:color="000000" w:sz="4" w:space="0"/>
            </w:tcBorders>
            <w:shd w:val="clear" w:color="auto" w:fill="auto"/>
            <w:noWrap w:val="0"/>
            <w:tcMar>
              <w:left w:w="108" w:type="dxa"/>
              <w:right w:w="108" w:type="dxa"/>
            </w:tcMar>
            <w:vAlign w:val="center"/>
          </w:tcPr>
          <w:p w14:paraId="79FC1D5C">
            <w:pPr>
              <w:pStyle w:val="465"/>
              <w:spacing w:line="240" w:lineRule="auto"/>
              <w:ind w:firstLine="0" w:firstLineChars="0"/>
              <w:jc w:val="center"/>
              <w:rPr>
                <w:rFonts w:hint="default" w:ascii="Times New Roman" w:hAnsi="Times New Roman" w:eastAsia="宋体" w:cs="Times New Roman"/>
                <w:kern w:val="24"/>
                <w:sz w:val="21"/>
                <w:szCs w:val="21"/>
                <w:lang w:val="en-US" w:eastAsia="zh-CN" w:bidi="ar-SA"/>
              </w:rPr>
            </w:pPr>
            <w:r>
              <w:rPr>
                <w:rFonts w:hint="eastAsia" w:ascii="Times New Roman" w:hAnsi="Times New Roman" w:eastAsia="宋体" w:cs="Times New Roman"/>
                <w:sz w:val="21"/>
                <w:szCs w:val="21"/>
                <w:lang w:val="en-US" w:eastAsia="zh-CN"/>
              </w:rPr>
              <w:t>85</w:t>
            </w:r>
          </w:p>
        </w:tc>
        <w:tc>
          <w:tcPr>
            <w:tcW w:w="984" w:type="dxa"/>
            <w:vMerge w:val="continue"/>
            <w:tcBorders>
              <w:left w:val="single" w:color="000000" w:sz="4" w:space="0"/>
              <w:right w:val="single" w:color="000000" w:sz="4" w:space="0"/>
            </w:tcBorders>
            <w:noWrap w:val="0"/>
            <w:tcMar>
              <w:left w:w="108" w:type="dxa"/>
              <w:right w:w="108" w:type="dxa"/>
            </w:tcMar>
            <w:vAlign w:val="center"/>
          </w:tcPr>
          <w:p w14:paraId="5A8C590E">
            <w:pPr>
              <w:rPr>
                <w:sz w:val="21"/>
                <w:szCs w:val="21"/>
              </w:rPr>
            </w:pPr>
          </w:p>
        </w:tc>
        <w:tc>
          <w:tcPr>
            <w:tcW w:w="1004"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2EA42DF1">
            <w:pPr>
              <w:jc w:val="center"/>
              <w:rPr>
                <w:sz w:val="21"/>
                <w:szCs w:val="21"/>
              </w:rPr>
            </w:pPr>
            <w:r>
              <w:rPr>
                <w:sz w:val="21"/>
                <w:szCs w:val="21"/>
              </w:rPr>
              <w:t>361</w:t>
            </w:r>
          </w:p>
        </w:tc>
        <w:tc>
          <w:tcPr>
            <w:tcW w:w="768"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09E54F86">
            <w:pPr>
              <w:jc w:val="center"/>
              <w:rPr>
                <w:sz w:val="21"/>
                <w:szCs w:val="21"/>
              </w:rPr>
            </w:pPr>
            <w:r>
              <w:rPr>
                <w:sz w:val="21"/>
                <w:szCs w:val="21"/>
              </w:rPr>
              <w:t>0</w:t>
            </w:r>
          </w:p>
        </w:tc>
        <w:tc>
          <w:tcPr>
            <w:tcW w:w="694"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76FF6313">
            <w:pPr>
              <w:jc w:val="center"/>
              <w:rPr>
                <w:sz w:val="21"/>
                <w:szCs w:val="21"/>
              </w:rPr>
            </w:pPr>
            <w:r>
              <w:rPr>
                <w:sz w:val="21"/>
                <w:szCs w:val="21"/>
              </w:rPr>
              <w:t>1</w:t>
            </w:r>
          </w:p>
        </w:tc>
        <w:tc>
          <w:tcPr>
            <w:tcW w:w="863"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64A1E5F6">
            <w:pPr>
              <w:jc w:val="center"/>
              <w:rPr>
                <w:sz w:val="21"/>
                <w:szCs w:val="21"/>
              </w:rPr>
            </w:pPr>
            <w:r>
              <w:rPr>
                <w:sz w:val="21"/>
                <w:szCs w:val="21"/>
              </w:rPr>
              <w:t>2</w:t>
            </w:r>
          </w:p>
        </w:tc>
        <w:tc>
          <w:tcPr>
            <w:tcW w:w="937"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7D82E695">
            <w:pPr>
              <w:jc w:val="center"/>
              <w:rPr>
                <w:sz w:val="21"/>
                <w:szCs w:val="21"/>
              </w:rPr>
            </w:pPr>
            <w:r>
              <w:rPr>
                <w:sz w:val="21"/>
                <w:szCs w:val="21"/>
              </w:rPr>
              <w:t>94</w:t>
            </w:r>
          </w:p>
        </w:tc>
        <w:tc>
          <w:tcPr>
            <w:tcW w:w="975" w:type="dxa"/>
            <w:vMerge w:val="continue"/>
            <w:tcBorders>
              <w:left w:val="single" w:color="000000" w:sz="4" w:space="0"/>
              <w:right w:val="single" w:color="000000" w:sz="4" w:space="0"/>
            </w:tcBorders>
            <w:noWrap w:val="0"/>
            <w:tcMar>
              <w:left w:w="108" w:type="dxa"/>
              <w:right w:w="108" w:type="dxa"/>
            </w:tcMar>
            <w:vAlign w:val="center"/>
          </w:tcPr>
          <w:p w14:paraId="4D088439">
            <w:pPr>
              <w:jc w:val="center"/>
              <w:rPr>
                <w:sz w:val="21"/>
                <w:szCs w:val="21"/>
              </w:rPr>
            </w:pPr>
          </w:p>
        </w:tc>
        <w:tc>
          <w:tcPr>
            <w:tcW w:w="844"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21D932D7">
            <w:pPr>
              <w:jc w:val="center"/>
              <w:rPr>
                <w:sz w:val="21"/>
                <w:szCs w:val="21"/>
              </w:rPr>
            </w:pPr>
            <w:r>
              <w:rPr>
                <w:sz w:val="21"/>
                <w:szCs w:val="21"/>
              </w:rPr>
              <w:t>25</w:t>
            </w:r>
          </w:p>
        </w:tc>
        <w:tc>
          <w:tcPr>
            <w:tcW w:w="1012"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0FCAFC57">
            <w:pPr>
              <w:jc w:val="center"/>
              <w:rPr>
                <w:sz w:val="21"/>
                <w:szCs w:val="21"/>
              </w:rPr>
            </w:pPr>
            <w:r>
              <w:rPr>
                <w:sz w:val="21"/>
                <w:szCs w:val="21"/>
              </w:rPr>
              <w:t>63</w:t>
            </w:r>
          </w:p>
        </w:tc>
        <w:tc>
          <w:tcPr>
            <w:tcW w:w="668"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198A37C6">
            <w:pPr>
              <w:jc w:val="center"/>
              <w:rPr>
                <w:sz w:val="21"/>
                <w:szCs w:val="21"/>
              </w:rPr>
            </w:pPr>
            <w:r>
              <w:rPr>
                <w:sz w:val="21"/>
                <w:szCs w:val="21"/>
              </w:rPr>
              <w:t>1</w:t>
            </w:r>
          </w:p>
        </w:tc>
      </w:tr>
      <w:tr w14:paraId="6051A5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455"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7DF05D63">
            <w:pPr>
              <w:jc w:val="center"/>
              <w:rPr>
                <w:sz w:val="21"/>
                <w:szCs w:val="21"/>
              </w:rPr>
            </w:pPr>
            <w:r>
              <w:rPr>
                <w:sz w:val="21"/>
                <w:szCs w:val="21"/>
              </w:rPr>
              <w:t>10</w:t>
            </w:r>
          </w:p>
        </w:tc>
        <w:tc>
          <w:tcPr>
            <w:tcW w:w="522" w:type="dxa"/>
            <w:vMerge w:val="continue"/>
            <w:tcBorders>
              <w:left w:val="single" w:color="000000" w:sz="4" w:space="0"/>
              <w:right w:val="single" w:color="000000" w:sz="4" w:space="0"/>
            </w:tcBorders>
            <w:noWrap w:val="0"/>
            <w:tcMar>
              <w:left w:w="108" w:type="dxa"/>
              <w:right w:w="108" w:type="dxa"/>
            </w:tcMar>
            <w:vAlign w:val="center"/>
          </w:tcPr>
          <w:p w14:paraId="445D1B7C">
            <w:pPr>
              <w:rPr>
                <w:sz w:val="21"/>
                <w:szCs w:val="21"/>
              </w:rPr>
            </w:pPr>
          </w:p>
        </w:tc>
        <w:tc>
          <w:tcPr>
            <w:tcW w:w="1594" w:type="dxa"/>
            <w:tcBorders>
              <w:top w:val="single" w:color="000000" w:sz="4" w:space="0"/>
              <w:left w:val="single" w:color="000000" w:sz="4" w:space="0"/>
              <w:bottom w:val="single" w:color="000000" w:sz="4" w:space="0"/>
              <w:right w:val="single" w:color="000000" w:sz="4" w:space="0"/>
            </w:tcBorders>
            <w:shd w:val="clear" w:color="auto" w:fill="auto"/>
            <w:noWrap w:val="0"/>
            <w:tcMar>
              <w:left w:w="108" w:type="dxa"/>
              <w:right w:w="108" w:type="dxa"/>
            </w:tcMar>
            <w:vAlign w:val="top"/>
          </w:tcPr>
          <w:p w14:paraId="650512C1">
            <w:pPr>
              <w:pStyle w:val="465"/>
              <w:spacing w:line="240" w:lineRule="auto"/>
              <w:ind w:firstLine="0" w:firstLineChars="0"/>
              <w:jc w:val="center"/>
              <w:rPr>
                <w:rFonts w:hint="eastAsia" w:ascii="Times New Roman" w:hAnsi="Times New Roman" w:eastAsia="宋体" w:cs="Times New Roman"/>
                <w:bCs/>
                <w:kern w:val="24"/>
                <w:sz w:val="21"/>
                <w:szCs w:val="21"/>
                <w:lang w:val="en-US" w:eastAsia="zh-CN" w:bidi="ar-SA"/>
              </w:rPr>
            </w:pPr>
            <w:r>
              <w:rPr>
                <w:rFonts w:hint="eastAsia" w:ascii="Times New Roman" w:hAnsi="Times New Roman" w:eastAsia="宋体" w:cs="Times New Roman"/>
                <w:bCs/>
                <w:sz w:val="21"/>
                <w:szCs w:val="21"/>
                <w:lang w:val="en-US" w:eastAsia="zh-CN"/>
              </w:rPr>
              <w:t>生筛</w:t>
            </w:r>
          </w:p>
        </w:tc>
        <w:tc>
          <w:tcPr>
            <w:tcW w:w="1143"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1EB59FC1">
            <w:pPr>
              <w:pStyle w:val="465"/>
              <w:spacing w:line="240" w:lineRule="auto"/>
              <w:ind w:firstLine="0" w:firstLineChars="0"/>
              <w:jc w:val="center"/>
              <w:rPr>
                <w:rFonts w:hint="eastAsia"/>
                <w:bCs/>
                <w:sz w:val="21"/>
                <w:szCs w:val="21"/>
                <w:lang w:val="en-US" w:eastAsia="zh-CN"/>
              </w:rPr>
            </w:pPr>
            <w:r>
              <w:rPr>
                <w:rFonts w:hint="eastAsia"/>
                <w:bCs/>
                <w:sz w:val="21"/>
                <w:szCs w:val="21"/>
                <w:lang w:val="en-US" w:eastAsia="zh-CN"/>
              </w:rPr>
              <w:t>15KW</w:t>
            </w:r>
          </w:p>
        </w:tc>
        <w:tc>
          <w:tcPr>
            <w:tcW w:w="1191" w:type="dxa"/>
            <w:tcBorders>
              <w:top w:val="single" w:color="000000" w:sz="4" w:space="0"/>
              <w:left w:val="single" w:color="000000" w:sz="4" w:space="0"/>
              <w:bottom w:val="single" w:color="000000" w:sz="4" w:space="0"/>
              <w:right w:val="single" w:color="000000" w:sz="4" w:space="0"/>
            </w:tcBorders>
            <w:shd w:val="clear" w:color="auto" w:fill="auto"/>
            <w:noWrap w:val="0"/>
            <w:tcMar>
              <w:left w:w="108" w:type="dxa"/>
              <w:right w:w="108" w:type="dxa"/>
            </w:tcMar>
            <w:vAlign w:val="center"/>
          </w:tcPr>
          <w:p w14:paraId="42D9979C">
            <w:pPr>
              <w:pStyle w:val="465"/>
              <w:spacing w:line="240" w:lineRule="auto"/>
              <w:ind w:firstLine="0" w:firstLineChars="0"/>
              <w:jc w:val="center"/>
              <w:rPr>
                <w:rFonts w:hint="eastAsia" w:ascii="Times New Roman" w:hAnsi="Times New Roman" w:eastAsia="宋体" w:cs="Times New Roman"/>
                <w:kern w:val="24"/>
                <w:sz w:val="21"/>
                <w:szCs w:val="21"/>
                <w:lang w:val="en-US" w:eastAsia="zh-CN" w:bidi="ar-SA"/>
              </w:rPr>
            </w:pPr>
            <w:r>
              <w:rPr>
                <w:rFonts w:hint="eastAsia" w:ascii="Times New Roman" w:hAnsi="Times New Roman" w:eastAsia="宋体" w:cs="Times New Roman"/>
                <w:sz w:val="21"/>
                <w:szCs w:val="21"/>
                <w:lang w:val="en-US" w:eastAsia="zh-CN"/>
              </w:rPr>
              <w:t>95</w:t>
            </w:r>
          </w:p>
        </w:tc>
        <w:tc>
          <w:tcPr>
            <w:tcW w:w="984" w:type="dxa"/>
            <w:vMerge w:val="continue"/>
            <w:tcBorders>
              <w:left w:val="single" w:color="000000" w:sz="4" w:space="0"/>
              <w:right w:val="single" w:color="000000" w:sz="4" w:space="0"/>
            </w:tcBorders>
            <w:noWrap w:val="0"/>
            <w:tcMar>
              <w:left w:w="108" w:type="dxa"/>
              <w:right w:w="108" w:type="dxa"/>
            </w:tcMar>
            <w:vAlign w:val="center"/>
          </w:tcPr>
          <w:p w14:paraId="4392FA9D">
            <w:pPr>
              <w:rPr>
                <w:sz w:val="21"/>
                <w:szCs w:val="21"/>
              </w:rPr>
            </w:pPr>
          </w:p>
        </w:tc>
        <w:tc>
          <w:tcPr>
            <w:tcW w:w="1004"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62457BED">
            <w:pPr>
              <w:jc w:val="center"/>
              <w:rPr>
                <w:sz w:val="21"/>
                <w:szCs w:val="21"/>
              </w:rPr>
            </w:pPr>
            <w:r>
              <w:rPr>
                <w:sz w:val="21"/>
                <w:szCs w:val="21"/>
              </w:rPr>
              <w:t>347</w:t>
            </w:r>
          </w:p>
        </w:tc>
        <w:tc>
          <w:tcPr>
            <w:tcW w:w="768"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2DE02773">
            <w:pPr>
              <w:jc w:val="center"/>
              <w:rPr>
                <w:sz w:val="21"/>
                <w:szCs w:val="21"/>
              </w:rPr>
            </w:pPr>
            <w:r>
              <w:rPr>
                <w:sz w:val="21"/>
                <w:szCs w:val="21"/>
              </w:rPr>
              <w:t>162</w:t>
            </w:r>
          </w:p>
        </w:tc>
        <w:tc>
          <w:tcPr>
            <w:tcW w:w="694"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519D6479">
            <w:pPr>
              <w:jc w:val="center"/>
              <w:rPr>
                <w:sz w:val="21"/>
                <w:szCs w:val="21"/>
              </w:rPr>
            </w:pPr>
            <w:r>
              <w:rPr>
                <w:sz w:val="21"/>
                <w:szCs w:val="21"/>
              </w:rPr>
              <w:t>1</w:t>
            </w:r>
          </w:p>
        </w:tc>
        <w:tc>
          <w:tcPr>
            <w:tcW w:w="863"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7D1ABC20">
            <w:pPr>
              <w:jc w:val="center"/>
              <w:rPr>
                <w:sz w:val="21"/>
                <w:szCs w:val="21"/>
              </w:rPr>
            </w:pPr>
            <w:r>
              <w:rPr>
                <w:sz w:val="21"/>
                <w:szCs w:val="21"/>
              </w:rPr>
              <w:t>5</w:t>
            </w:r>
          </w:p>
        </w:tc>
        <w:tc>
          <w:tcPr>
            <w:tcW w:w="937"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41761E03">
            <w:pPr>
              <w:jc w:val="center"/>
              <w:rPr>
                <w:sz w:val="21"/>
                <w:szCs w:val="21"/>
              </w:rPr>
            </w:pPr>
            <w:r>
              <w:rPr>
                <w:sz w:val="21"/>
                <w:szCs w:val="21"/>
              </w:rPr>
              <w:t>76</w:t>
            </w:r>
          </w:p>
        </w:tc>
        <w:tc>
          <w:tcPr>
            <w:tcW w:w="975" w:type="dxa"/>
            <w:vMerge w:val="continue"/>
            <w:tcBorders>
              <w:left w:val="single" w:color="000000" w:sz="4" w:space="0"/>
              <w:right w:val="single" w:color="000000" w:sz="4" w:space="0"/>
            </w:tcBorders>
            <w:noWrap w:val="0"/>
            <w:tcMar>
              <w:left w:w="108" w:type="dxa"/>
              <w:right w:w="108" w:type="dxa"/>
            </w:tcMar>
            <w:vAlign w:val="center"/>
          </w:tcPr>
          <w:p w14:paraId="185E49D4">
            <w:pPr>
              <w:jc w:val="center"/>
              <w:rPr>
                <w:sz w:val="21"/>
                <w:szCs w:val="21"/>
              </w:rPr>
            </w:pPr>
          </w:p>
        </w:tc>
        <w:tc>
          <w:tcPr>
            <w:tcW w:w="844"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5D535E7A">
            <w:pPr>
              <w:jc w:val="center"/>
              <w:rPr>
                <w:sz w:val="21"/>
                <w:szCs w:val="21"/>
              </w:rPr>
            </w:pPr>
            <w:r>
              <w:rPr>
                <w:sz w:val="21"/>
                <w:szCs w:val="21"/>
              </w:rPr>
              <w:t>25</w:t>
            </w:r>
          </w:p>
        </w:tc>
        <w:tc>
          <w:tcPr>
            <w:tcW w:w="1012"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3EA3A5AD">
            <w:pPr>
              <w:jc w:val="center"/>
              <w:rPr>
                <w:sz w:val="21"/>
                <w:szCs w:val="21"/>
              </w:rPr>
            </w:pPr>
            <w:r>
              <w:rPr>
                <w:sz w:val="21"/>
                <w:szCs w:val="21"/>
              </w:rPr>
              <w:t>45</w:t>
            </w:r>
          </w:p>
        </w:tc>
        <w:tc>
          <w:tcPr>
            <w:tcW w:w="668"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6ECAF0DD">
            <w:pPr>
              <w:jc w:val="center"/>
              <w:rPr>
                <w:sz w:val="21"/>
                <w:szCs w:val="21"/>
              </w:rPr>
            </w:pPr>
            <w:r>
              <w:rPr>
                <w:sz w:val="21"/>
                <w:szCs w:val="21"/>
              </w:rPr>
              <w:t>1</w:t>
            </w:r>
          </w:p>
        </w:tc>
      </w:tr>
      <w:tr w14:paraId="4DD259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455"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5B1DDAB0">
            <w:pPr>
              <w:jc w:val="center"/>
              <w:rPr>
                <w:sz w:val="21"/>
                <w:szCs w:val="21"/>
              </w:rPr>
            </w:pPr>
            <w:r>
              <w:rPr>
                <w:sz w:val="21"/>
                <w:szCs w:val="21"/>
              </w:rPr>
              <w:t>11</w:t>
            </w:r>
          </w:p>
        </w:tc>
        <w:tc>
          <w:tcPr>
            <w:tcW w:w="522" w:type="dxa"/>
            <w:vMerge w:val="continue"/>
            <w:tcBorders>
              <w:left w:val="single" w:color="000000" w:sz="4" w:space="0"/>
              <w:right w:val="single" w:color="000000" w:sz="4" w:space="0"/>
            </w:tcBorders>
            <w:noWrap w:val="0"/>
            <w:tcMar>
              <w:left w:w="108" w:type="dxa"/>
              <w:right w:w="108" w:type="dxa"/>
            </w:tcMar>
            <w:vAlign w:val="center"/>
          </w:tcPr>
          <w:p w14:paraId="7CA4C7FC">
            <w:pPr>
              <w:rPr>
                <w:sz w:val="21"/>
                <w:szCs w:val="21"/>
              </w:rPr>
            </w:pPr>
          </w:p>
        </w:tc>
        <w:tc>
          <w:tcPr>
            <w:tcW w:w="1594" w:type="dxa"/>
            <w:tcBorders>
              <w:top w:val="single" w:color="000000" w:sz="4" w:space="0"/>
              <w:left w:val="single" w:color="000000" w:sz="4" w:space="0"/>
              <w:bottom w:val="single" w:color="000000" w:sz="4" w:space="0"/>
              <w:right w:val="single" w:color="000000" w:sz="4" w:space="0"/>
            </w:tcBorders>
            <w:shd w:val="clear" w:color="auto" w:fill="auto"/>
            <w:noWrap w:val="0"/>
            <w:tcMar>
              <w:left w:w="108" w:type="dxa"/>
              <w:right w:w="108" w:type="dxa"/>
            </w:tcMar>
            <w:vAlign w:val="top"/>
          </w:tcPr>
          <w:p w14:paraId="4F18877D">
            <w:pPr>
              <w:pStyle w:val="465"/>
              <w:spacing w:line="240" w:lineRule="auto"/>
              <w:ind w:firstLine="0" w:firstLineChars="0"/>
              <w:jc w:val="center"/>
              <w:rPr>
                <w:rFonts w:hint="eastAsia" w:ascii="Times New Roman" w:hAnsi="Times New Roman" w:eastAsia="宋体" w:cs="Times New Roman"/>
                <w:bCs/>
                <w:kern w:val="24"/>
                <w:sz w:val="21"/>
                <w:szCs w:val="21"/>
                <w:lang w:val="en-US" w:eastAsia="zh-CN" w:bidi="ar-SA"/>
              </w:rPr>
            </w:pPr>
            <w:r>
              <w:rPr>
                <w:rFonts w:hint="eastAsia" w:ascii="Times New Roman" w:hAnsi="Times New Roman" w:eastAsia="宋体" w:cs="Times New Roman"/>
                <w:bCs/>
                <w:sz w:val="21"/>
                <w:szCs w:val="21"/>
                <w:lang w:val="en-US" w:eastAsia="zh-CN"/>
              </w:rPr>
              <w:t>炉顶布料机</w:t>
            </w:r>
          </w:p>
        </w:tc>
        <w:tc>
          <w:tcPr>
            <w:tcW w:w="1143"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54D795A6">
            <w:pPr>
              <w:pStyle w:val="465"/>
              <w:spacing w:line="240" w:lineRule="auto"/>
              <w:ind w:firstLine="0" w:firstLineChars="0"/>
              <w:jc w:val="center"/>
              <w:rPr>
                <w:rFonts w:hint="eastAsia"/>
                <w:bCs/>
                <w:sz w:val="21"/>
                <w:szCs w:val="21"/>
                <w:lang w:val="en-US" w:eastAsia="zh-CN"/>
              </w:rPr>
            </w:pPr>
            <w:r>
              <w:rPr>
                <w:rFonts w:hint="eastAsia"/>
                <w:bCs/>
                <w:sz w:val="21"/>
                <w:szCs w:val="21"/>
                <w:lang w:val="en-US" w:eastAsia="zh-CN"/>
              </w:rPr>
              <w:t>7.5KW</w:t>
            </w:r>
          </w:p>
        </w:tc>
        <w:tc>
          <w:tcPr>
            <w:tcW w:w="1191" w:type="dxa"/>
            <w:tcBorders>
              <w:top w:val="single" w:color="000000" w:sz="4" w:space="0"/>
              <w:left w:val="single" w:color="000000" w:sz="4" w:space="0"/>
              <w:bottom w:val="single" w:color="000000" w:sz="4" w:space="0"/>
              <w:right w:val="single" w:color="000000" w:sz="4" w:space="0"/>
            </w:tcBorders>
            <w:shd w:val="clear" w:color="auto" w:fill="auto"/>
            <w:noWrap w:val="0"/>
            <w:tcMar>
              <w:left w:w="108" w:type="dxa"/>
              <w:right w:w="108" w:type="dxa"/>
            </w:tcMar>
            <w:vAlign w:val="center"/>
          </w:tcPr>
          <w:p w14:paraId="534D46C1">
            <w:pPr>
              <w:pStyle w:val="465"/>
              <w:spacing w:line="240" w:lineRule="auto"/>
              <w:ind w:firstLine="0" w:firstLineChars="0"/>
              <w:jc w:val="center"/>
              <w:rPr>
                <w:rFonts w:hint="eastAsia" w:ascii="Times New Roman" w:hAnsi="Times New Roman" w:eastAsia="宋体" w:cs="Times New Roman"/>
                <w:kern w:val="24"/>
                <w:sz w:val="21"/>
                <w:szCs w:val="21"/>
                <w:lang w:val="en-US" w:eastAsia="zh-CN" w:bidi="ar-SA"/>
              </w:rPr>
            </w:pPr>
            <w:r>
              <w:rPr>
                <w:rFonts w:hint="eastAsia" w:ascii="Times New Roman" w:hAnsi="Times New Roman" w:eastAsia="宋体" w:cs="Times New Roman"/>
                <w:sz w:val="21"/>
                <w:szCs w:val="21"/>
                <w:lang w:val="en-US" w:eastAsia="zh-CN"/>
              </w:rPr>
              <w:t>85</w:t>
            </w:r>
          </w:p>
        </w:tc>
        <w:tc>
          <w:tcPr>
            <w:tcW w:w="984" w:type="dxa"/>
            <w:vMerge w:val="continue"/>
            <w:tcBorders>
              <w:left w:val="single" w:color="000000" w:sz="4" w:space="0"/>
              <w:right w:val="single" w:color="000000" w:sz="4" w:space="0"/>
            </w:tcBorders>
            <w:noWrap w:val="0"/>
            <w:tcMar>
              <w:left w:w="108" w:type="dxa"/>
              <w:right w:w="108" w:type="dxa"/>
            </w:tcMar>
            <w:vAlign w:val="center"/>
          </w:tcPr>
          <w:p w14:paraId="364B860B">
            <w:pPr>
              <w:rPr>
                <w:sz w:val="21"/>
                <w:szCs w:val="21"/>
              </w:rPr>
            </w:pPr>
          </w:p>
        </w:tc>
        <w:tc>
          <w:tcPr>
            <w:tcW w:w="1004"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3169579D">
            <w:pPr>
              <w:jc w:val="center"/>
              <w:rPr>
                <w:sz w:val="21"/>
                <w:szCs w:val="21"/>
              </w:rPr>
            </w:pPr>
            <w:r>
              <w:rPr>
                <w:sz w:val="21"/>
                <w:szCs w:val="21"/>
              </w:rPr>
              <w:t>347</w:t>
            </w:r>
          </w:p>
        </w:tc>
        <w:tc>
          <w:tcPr>
            <w:tcW w:w="768"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37F0E5AB">
            <w:pPr>
              <w:jc w:val="center"/>
              <w:rPr>
                <w:sz w:val="21"/>
                <w:szCs w:val="21"/>
              </w:rPr>
            </w:pPr>
            <w:r>
              <w:rPr>
                <w:sz w:val="21"/>
                <w:szCs w:val="21"/>
              </w:rPr>
              <w:t>185</w:t>
            </w:r>
          </w:p>
        </w:tc>
        <w:tc>
          <w:tcPr>
            <w:tcW w:w="694"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481ED879">
            <w:pPr>
              <w:jc w:val="center"/>
              <w:rPr>
                <w:sz w:val="21"/>
                <w:szCs w:val="21"/>
              </w:rPr>
            </w:pPr>
            <w:r>
              <w:rPr>
                <w:sz w:val="21"/>
                <w:szCs w:val="21"/>
              </w:rPr>
              <w:t>1</w:t>
            </w:r>
          </w:p>
        </w:tc>
        <w:tc>
          <w:tcPr>
            <w:tcW w:w="863"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6CCF17F4">
            <w:pPr>
              <w:jc w:val="center"/>
              <w:rPr>
                <w:sz w:val="21"/>
                <w:szCs w:val="21"/>
              </w:rPr>
            </w:pPr>
            <w:r>
              <w:rPr>
                <w:sz w:val="21"/>
                <w:szCs w:val="21"/>
              </w:rPr>
              <w:t>5</w:t>
            </w:r>
          </w:p>
        </w:tc>
        <w:tc>
          <w:tcPr>
            <w:tcW w:w="937"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36436C32">
            <w:pPr>
              <w:jc w:val="center"/>
              <w:rPr>
                <w:sz w:val="21"/>
                <w:szCs w:val="21"/>
              </w:rPr>
            </w:pPr>
            <w:r>
              <w:rPr>
                <w:sz w:val="21"/>
                <w:szCs w:val="21"/>
              </w:rPr>
              <w:t>81</w:t>
            </w:r>
          </w:p>
        </w:tc>
        <w:tc>
          <w:tcPr>
            <w:tcW w:w="975" w:type="dxa"/>
            <w:vMerge w:val="continue"/>
            <w:tcBorders>
              <w:left w:val="single" w:color="000000" w:sz="4" w:space="0"/>
              <w:right w:val="single" w:color="000000" w:sz="4" w:space="0"/>
            </w:tcBorders>
            <w:noWrap w:val="0"/>
            <w:tcMar>
              <w:left w:w="108" w:type="dxa"/>
              <w:right w:w="108" w:type="dxa"/>
            </w:tcMar>
            <w:vAlign w:val="center"/>
          </w:tcPr>
          <w:p w14:paraId="3CAAC6FE">
            <w:pPr>
              <w:jc w:val="center"/>
              <w:rPr>
                <w:sz w:val="21"/>
                <w:szCs w:val="21"/>
              </w:rPr>
            </w:pPr>
          </w:p>
        </w:tc>
        <w:tc>
          <w:tcPr>
            <w:tcW w:w="844"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483EBF26">
            <w:pPr>
              <w:jc w:val="center"/>
              <w:rPr>
                <w:sz w:val="21"/>
                <w:szCs w:val="21"/>
              </w:rPr>
            </w:pPr>
            <w:r>
              <w:rPr>
                <w:sz w:val="21"/>
                <w:szCs w:val="21"/>
              </w:rPr>
              <w:t>25</w:t>
            </w:r>
          </w:p>
        </w:tc>
        <w:tc>
          <w:tcPr>
            <w:tcW w:w="1012"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6823496B">
            <w:pPr>
              <w:jc w:val="center"/>
              <w:rPr>
                <w:sz w:val="21"/>
                <w:szCs w:val="21"/>
              </w:rPr>
            </w:pPr>
            <w:r>
              <w:rPr>
                <w:sz w:val="21"/>
                <w:szCs w:val="21"/>
              </w:rPr>
              <w:t>50</w:t>
            </w:r>
          </w:p>
        </w:tc>
        <w:tc>
          <w:tcPr>
            <w:tcW w:w="668"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0376D288">
            <w:pPr>
              <w:jc w:val="center"/>
              <w:rPr>
                <w:sz w:val="21"/>
                <w:szCs w:val="21"/>
              </w:rPr>
            </w:pPr>
            <w:r>
              <w:rPr>
                <w:sz w:val="21"/>
                <w:szCs w:val="21"/>
              </w:rPr>
              <w:t>1</w:t>
            </w:r>
          </w:p>
        </w:tc>
      </w:tr>
      <w:tr w14:paraId="1E1F0D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455"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7566A3EB">
            <w:pPr>
              <w:jc w:val="center"/>
              <w:rPr>
                <w:sz w:val="21"/>
                <w:szCs w:val="21"/>
              </w:rPr>
            </w:pPr>
            <w:r>
              <w:rPr>
                <w:sz w:val="21"/>
                <w:szCs w:val="21"/>
              </w:rPr>
              <w:t>12</w:t>
            </w:r>
          </w:p>
        </w:tc>
        <w:tc>
          <w:tcPr>
            <w:tcW w:w="522" w:type="dxa"/>
            <w:vMerge w:val="continue"/>
            <w:tcBorders>
              <w:left w:val="single" w:color="000000" w:sz="4" w:space="0"/>
              <w:right w:val="single" w:color="000000" w:sz="4" w:space="0"/>
            </w:tcBorders>
            <w:noWrap w:val="0"/>
            <w:tcMar>
              <w:left w:w="108" w:type="dxa"/>
              <w:right w:w="108" w:type="dxa"/>
            </w:tcMar>
            <w:vAlign w:val="center"/>
          </w:tcPr>
          <w:p w14:paraId="15D75442">
            <w:pPr>
              <w:rPr>
                <w:sz w:val="21"/>
                <w:szCs w:val="21"/>
              </w:rPr>
            </w:pPr>
          </w:p>
        </w:tc>
        <w:tc>
          <w:tcPr>
            <w:tcW w:w="1594" w:type="dxa"/>
            <w:tcBorders>
              <w:top w:val="single" w:color="000000" w:sz="4" w:space="0"/>
              <w:left w:val="single" w:color="000000" w:sz="4" w:space="0"/>
              <w:bottom w:val="single" w:color="000000" w:sz="4" w:space="0"/>
              <w:right w:val="single" w:color="000000" w:sz="4" w:space="0"/>
            </w:tcBorders>
            <w:shd w:val="clear" w:color="auto" w:fill="auto"/>
            <w:noWrap w:val="0"/>
            <w:tcMar>
              <w:left w:w="108" w:type="dxa"/>
              <w:right w:w="108" w:type="dxa"/>
            </w:tcMar>
            <w:vAlign w:val="top"/>
          </w:tcPr>
          <w:p w14:paraId="078214DE">
            <w:pPr>
              <w:pStyle w:val="465"/>
              <w:spacing w:line="240" w:lineRule="auto"/>
              <w:ind w:firstLine="0" w:firstLineChars="0"/>
              <w:jc w:val="center"/>
              <w:rPr>
                <w:rFonts w:hint="eastAsia" w:ascii="Times New Roman" w:hAnsi="Times New Roman" w:eastAsia="宋体" w:cs="Times New Roman"/>
                <w:bCs/>
                <w:kern w:val="24"/>
                <w:sz w:val="21"/>
                <w:szCs w:val="21"/>
                <w:lang w:val="en-US" w:eastAsia="zh-CN" w:bidi="ar-SA"/>
              </w:rPr>
            </w:pPr>
            <w:r>
              <w:rPr>
                <w:rFonts w:hint="eastAsia" w:ascii="Times New Roman" w:hAnsi="Times New Roman" w:eastAsia="宋体" w:cs="Times New Roman"/>
                <w:bCs/>
                <w:sz w:val="21"/>
                <w:szCs w:val="21"/>
                <w:lang w:val="en-US" w:eastAsia="zh-CN"/>
              </w:rPr>
              <w:t>竖炉排料</w:t>
            </w:r>
          </w:p>
        </w:tc>
        <w:tc>
          <w:tcPr>
            <w:tcW w:w="1143"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13C4625A">
            <w:pPr>
              <w:pStyle w:val="465"/>
              <w:spacing w:line="240" w:lineRule="auto"/>
              <w:ind w:firstLine="0" w:firstLineChars="0"/>
              <w:jc w:val="center"/>
              <w:rPr>
                <w:rFonts w:hint="eastAsia"/>
                <w:bCs/>
                <w:sz w:val="21"/>
                <w:szCs w:val="21"/>
                <w:lang w:val="en-US" w:eastAsia="zh-CN"/>
              </w:rPr>
            </w:pPr>
            <w:r>
              <w:rPr>
                <w:rFonts w:hint="eastAsia"/>
                <w:bCs/>
                <w:sz w:val="21"/>
                <w:szCs w:val="21"/>
                <w:lang w:val="en-US" w:eastAsia="zh-CN"/>
              </w:rPr>
              <w:t>22.5KW</w:t>
            </w:r>
          </w:p>
        </w:tc>
        <w:tc>
          <w:tcPr>
            <w:tcW w:w="1191" w:type="dxa"/>
            <w:tcBorders>
              <w:top w:val="single" w:color="000000" w:sz="4" w:space="0"/>
              <w:left w:val="single" w:color="000000" w:sz="4" w:space="0"/>
              <w:bottom w:val="single" w:color="000000" w:sz="4" w:space="0"/>
              <w:right w:val="single" w:color="000000" w:sz="4" w:space="0"/>
            </w:tcBorders>
            <w:shd w:val="clear" w:color="auto" w:fill="auto"/>
            <w:noWrap w:val="0"/>
            <w:tcMar>
              <w:left w:w="108" w:type="dxa"/>
              <w:right w:w="108" w:type="dxa"/>
            </w:tcMar>
            <w:vAlign w:val="center"/>
          </w:tcPr>
          <w:p w14:paraId="40C985A7">
            <w:pPr>
              <w:pStyle w:val="465"/>
              <w:spacing w:line="240" w:lineRule="auto"/>
              <w:ind w:firstLine="0" w:firstLineChars="0"/>
              <w:jc w:val="center"/>
              <w:rPr>
                <w:rFonts w:hint="eastAsia" w:ascii="Times New Roman" w:hAnsi="Times New Roman" w:eastAsia="宋体" w:cs="Times New Roman"/>
                <w:kern w:val="24"/>
                <w:sz w:val="21"/>
                <w:szCs w:val="21"/>
                <w:lang w:val="en-US" w:eastAsia="zh-CN" w:bidi="ar-SA"/>
              </w:rPr>
            </w:pPr>
            <w:r>
              <w:rPr>
                <w:rFonts w:hint="eastAsia" w:ascii="Times New Roman" w:hAnsi="Times New Roman" w:eastAsia="宋体" w:cs="Times New Roman"/>
                <w:sz w:val="21"/>
                <w:szCs w:val="21"/>
                <w:lang w:val="en-US" w:eastAsia="zh-CN"/>
              </w:rPr>
              <w:t>85</w:t>
            </w:r>
          </w:p>
        </w:tc>
        <w:tc>
          <w:tcPr>
            <w:tcW w:w="984" w:type="dxa"/>
            <w:vMerge w:val="continue"/>
            <w:tcBorders>
              <w:left w:val="single" w:color="000000" w:sz="4" w:space="0"/>
              <w:right w:val="single" w:color="000000" w:sz="4" w:space="0"/>
            </w:tcBorders>
            <w:noWrap w:val="0"/>
            <w:tcMar>
              <w:left w:w="108" w:type="dxa"/>
              <w:right w:w="108" w:type="dxa"/>
            </w:tcMar>
            <w:vAlign w:val="center"/>
          </w:tcPr>
          <w:p w14:paraId="67D13E31">
            <w:pPr>
              <w:rPr>
                <w:sz w:val="21"/>
                <w:szCs w:val="21"/>
              </w:rPr>
            </w:pPr>
          </w:p>
        </w:tc>
        <w:tc>
          <w:tcPr>
            <w:tcW w:w="1004"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7CC4D340">
            <w:pPr>
              <w:jc w:val="center"/>
              <w:rPr>
                <w:sz w:val="21"/>
                <w:szCs w:val="21"/>
              </w:rPr>
            </w:pPr>
            <w:r>
              <w:rPr>
                <w:sz w:val="21"/>
                <w:szCs w:val="21"/>
              </w:rPr>
              <w:t>347</w:t>
            </w:r>
          </w:p>
        </w:tc>
        <w:tc>
          <w:tcPr>
            <w:tcW w:w="768"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2EE093B9">
            <w:pPr>
              <w:jc w:val="center"/>
              <w:rPr>
                <w:sz w:val="21"/>
                <w:szCs w:val="21"/>
              </w:rPr>
            </w:pPr>
            <w:r>
              <w:rPr>
                <w:sz w:val="21"/>
                <w:szCs w:val="21"/>
              </w:rPr>
              <w:t>250</w:t>
            </w:r>
          </w:p>
        </w:tc>
        <w:tc>
          <w:tcPr>
            <w:tcW w:w="694"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5A9D33B6">
            <w:pPr>
              <w:jc w:val="center"/>
              <w:rPr>
                <w:sz w:val="21"/>
                <w:szCs w:val="21"/>
              </w:rPr>
            </w:pPr>
            <w:r>
              <w:rPr>
                <w:sz w:val="21"/>
                <w:szCs w:val="21"/>
              </w:rPr>
              <w:t>1</w:t>
            </w:r>
          </w:p>
        </w:tc>
        <w:tc>
          <w:tcPr>
            <w:tcW w:w="863"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5FF7A679">
            <w:pPr>
              <w:jc w:val="center"/>
              <w:rPr>
                <w:sz w:val="21"/>
                <w:szCs w:val="21"/>
              </w:rPr>
            </w:pPr>
            <w:r>
              <w:rPr>
                <w:sz w:val="21"/>
                <w:szCs w:val="21"/>
              </w:rPr>
              <w:t>5</w:t>
            </w:r>
          </w:p>
        </w:tc>
        <w:tc>
          <w:tcPr>
            <w:tcW w:w="937"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04B4953A">
            <w:pPr>
              <w:jc w:val="center"/>
              <w:rPr>
                <w:sz w:val="21"/>
                <w:szCs w:val="21"/>
              </w:rPr>
            </w:pPr>
            <w:r>
              <w:rPr>
                <w:sz w:val="21"/>
                <w:szCs w:val="21"/>
              </w:rPr>
              <w:t>86</w:t>
            </w:r>
          </w:p>
        </w:tc>
        <w:tc>
          <w:tcPr>
            <w:tcW w:w="975" w:type="dxa"/>
            <w:vMerge w:val="continue"/>
            <w:tcBorders>
              <w:left w:val="single" w:color="000000" w:sz="4" w:space="0"/>
              <w:right w:val="single" w:color="000000" w:sz="4" w:space="0"/>
            </w:tcBorders>
            <w:noWrap w:val="0"/>
            <w:tcMar>
              <w:left w:w="108" w:type="dxa"/>
              <w:right w:w="108" w:type="dxa"/>
            </w:tcMar>
            <w:vAlign w:val="center"/>
          </w:tcPr>
          <w:p w14:paraId="5314F5CA">
            <w:pPr>
              <w:jc w:val="center"/>
              <w:rPr>
                <w:sz w:val="21"/>
                <w:szCs w:val="21"/>
              </w:rPr>
            </w:pPr>
          </w:p>
        </w:tc>
        <w:tc>
          <w:tcPr>
            <w:tcW w:w="844"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27791489">
            <w:pPr>
              <w:jc w:val="center"/>
              <w:rPr>
                <w:sz w:val="21"/>
                <w:szCs w:val="21"/>
              </w:rPr>
            </w:pPr>
            <w:r>
              <w:rPr>
                <w:sz w:val="21"/>
                <w:szCs w:val="21"/>
              </w:rPr>
              <w:t>25</w:t>
            </w:r>
          </w:p>
        </w:tc>
        <w:tc>
          <w:tcPr>
            <w:tcW w:w="1012"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3FC2C039">
            <w:pPr>
              <w:jc w:val="center"/>
              <w:rPr>
                <w:sz w:val="21"/>
                <w:szCs w:val="21"/>
              </w:rPr>
            </w:pPr>
            <w:r>
              <w:rPr>
                <w:sz w:val="21"/>
                <w:szCs w:val="21"/>
              </w:rPr>
              <w:t>55</w:t>
            </w:r>
          </w:p>
        </w:tc>
        <w:tc>
          <w:tcPr>
            <w:tcW w:w="668"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1E456D7D">
            <w:pPr>
              <w:jc w:val="center"/>
              <w:rPr>
                <w:sz w:val="21"/>
                <w:szCs w:val="21"/>
              </w:rPr>
            </w:pPr>
            <w:r>
              <w:rPr>
                <w:sz w:val="21"/>
                <w:szCs w:val="21"/>
              </w:rPr>
              <w:t>1</w:t>
            </w:r>
          </w:p>
        </w:tc>
      </w:tr>
      <w:tr w14:paraId="073381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455"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413CF666">
            <w:pPr>
              <w:jc w:val="center"/>
              <w:rPr>
                <w:sz w:val="21"/>
                <w:szCs w:val="21"/>
              </w:rPr>
            </w:pPr>
            <w:r>
              <w:rPr>
                <w:sz w:val="21"/>
                <w:szCs w:val="21"/>
              </w:rPr>
              <w:t>13</w:t>
            </w:r>
          </w:p>
        </w:tc>
        <w:tc>
          <w:tcPr>
            <w:tcW w:w="522" w:type="dxa"/>
            <w:vMerge w:val="continue"/>
            <w:tcBorders>
              <w:left w:val="single" w:color="000000" w:sz="4" w:space="0"/>
              <w:right w:val="single" w:color="000000" w:sz="4" w:space="0"/>
            </w:tcBorders>
            <w:noWrap w:val="0"/>
            <w:tcMar>
              <w:left w:w="108" w:type="dxa"/>
              <w:right w:w="108" w:type="dxa"/>
            </w:tcMar>
            <w:vAlign w:val="center"/>
          </w:tcPr>
          <w:p w14:paraId="079EB5D4">
            <w:pPr>
              <w:rPr>
                <w:sz w:val="21"/>
                <w:szCs w:val="21"/>
              </w:rPr>
            </w:pPr>
          </w:p>
        </w:tc>
        <w:tc>
          <w:tcPr>
            <w:tcW w:w="1594" w:type="dxa"/>
            <w:tcBorders>
              <w:top w:val="single" w:color="000000" w:sz="4" w:space="0"/>
              <w:left w:val="single" w:color="000000" w:sz="4" w:space="0"/>
              <w:bottom w:val="single" w:color="000000" w:sz="4" w:space="0"/>
              <w:right w:val="single" w:color="000000" w:sz="4" w:space="0"/>
            </w:tcBorders>
            <w:shd w:val="clear" w:color="auto" w:fill="auto"/>
            <w:noWrap w:val="0"/>
            <w:tcMar>
              <w:left w:w="108" w:type="dxa"/>
              <w:right w:w="108" w:type="dxa"/>
            </w:tcMar>
            <w:vAlign w:val="top"/>
          </w:tcPr>
          <w:p w14:paraId="48405CDD">
            <w:pPr>
              <w:pStyle w:val="465"/>
              <w:spacing w:line="240" w:lineRule="auto"/>
              <w:ind w:firstLine="0" w:firstLineChars="0"/>
              <w:jc w:val="center"/>
              <w:rPr>
                <w:rFonts w:hint="eastAsia" w:ascii="Times New Roman" w:hAnsi="Times New Roman" w:eastAsia="宋体" w:cs="Times New Roman"/>
                <w:bCs/>
                <w:kern w:val="24"/>
                <w:sz w:val="21"/>
                <w:szCs w:val="21"/>
                <w:lang w:val="en-US" w:eastAsia="zh-CN" w:bidi="ar-SA"/>
              </w:rPr>
            </w:pPr>
            <w:r>
              <w:rPr>
                <w:rFonts w:hint="eastAsia" w:ascii="Times New Roman" w:hAnsi="Times New Roman" w:eastAsia="宋体" w:cs="Times New Roman"/>
                <w:bCs/>
                <w:sz w:val="21"/>
                <w:szCs w:val="21"/>
                <w:lang w:val="en-US" w:eastAsia="zh-CN"/>
              </w:rPr>
              <w:t>竖炉助燃风机</w:t>
            </w:r>
          </w:p>
        </w:tc>
        <w:tc>
          <w:tcPr>
            <w:tcW w:w="1143" w:type="dxa"/>
            <w:tcBorders>
              <w:top w:val="single" w:color="000000" w:sz="4" w:space="0"/>
              <w:left w:val="single" w:color="000000" w:sz="4" w:space="0"/>
              <w:bottom w:val="single" w:color="000000" w:sz="4" w:space="0"/>
              <w:right w:val="single" w:color="000000" w:sz="4" w:space="0"/>
            </w:tcBorders>
            <w:shd w:val="clear" w:color="auto" w:fill="auto"/>
            <w:noWrap w:val="0"/>
            <w:tcMar>
              <w:left w:w="108" w:type="dxa"/>
              <w:right w:w="108" w:type="dxa"/>
            </w:tcMar>
            <w:vAlign w:val="center"/>
          </w:tcPr>
          <w:p w14:paraId="612D0A71">
            <w:pPr>
              <w:pStyle w:val="465"/>
              <w:spacing w:line="240" w:lineRule="auto"/>
              <w:ind w:firstLine="0" w:firstLineChars="0"/>
              <w:jc w:val="center"/>
              <w:rPr>
                <w:rFonts w:hint="eastAsia"/>
                <w:bCs/>
                <w:sz w:val="21"/>
                <w:szCs w:val="21"/>
                <w:lang w:val="en-US" w:eastAsia="zh-CN"/>
              </w:rPr>
            </w:pPr>
            <w:r>
              <w:rPr>
                <w:rFonts w:hint="eastAsia"/>
                <w:bCs/>
                <w:sz w:val="21"/>
                <w:szCs w:val="21"/>
                <w:lang w:val="en-US" w:eastAsia="zh-CN"/>
              </w:rPr>
              <w:t>37KW</w:t>
            </w:r>
          </w:p>
        </w:tc>
        <w:tc>
          <w:tcPr>
            <w:tcW w:w="1191" w:type="dxa"/>
            <w:tcBorders>
              <w:top w:val="single" w:color="000000" w:sz="4" w:space="0"/>
              <w:left w:val="single" w:color="000000" w:sz="4" w:space="0"/>
              <w:bottom w:val="single" w:color="000000" w:sz="4" w:space="0"/>
              <w:right w:val="single" w:color="000000" w:sz="4" w:space="0"/>
            </w:tcBorders>
            <w:shd w:val="clear" w:color="auto" w:fill="auto"/>
            <w:noWrap w:val="0"/>
            <w:tcMar>
              <w:left w:w="108" w:type="dxa"/>
              <w:right w:w="108" w:type="dxa"/>
            </w:tcMar>
            <w:vAlign w:val="center"/>
          </w:tcPr>
          <w:p w14:paraId="7EE0065E">
            <w:pPr>
              <w:pStyle w:val="465"/>
              <w:spacing w:line="240" w:lineRule="auto"/>
              <w:ind w:firstLine="0" w:firstLineChars="0"/>
              <w:jc w:val="center"/>
              <w:rPr>
                <w:rFonts w:hint="default" w:ascii="Times New Roman" w:hAnsi="Times New Roman" w:eastAsia="宋体" w:cs="Times New Roman"/>
                <w:kern w:val="24"/>
                <w:sz w:val="21"/>
                <w:szCs w:val="21"/>
                <w:lang w:val="en-US" w:eastAsia="zh-CN" w:bidi="ar-SA"/>
              </w:rPr>
            </w:pPr>
            <w:r>
              <w:rPr>
                <w:rFonts w:hint="eastAsia" w:ascii="Times New Roman" w:hAnsi="Times New Roman" w:eastAsia="宋体" w:cs="Times New Roman"/>
                <w:sz w:val="21"/>
                <w:szCs w:val="21"/>
                <w:lang w:val="en-US" w:eastAsia="zh-CN"/>
              </w:rPr>
              <w:t>90</w:t>
            </w:r>
          </w:p>
        </w:tc>
        <w:tc>
          <w:tcPr>
            <w:tcW w:w="984" w:type="dxa"/>
            <w:vMerge w:val="continue"/>
            <w:tcBorders>
              <w:left w:val="single" w:color="000000" w:sz="4" w:space="0"/>
              <w:right w:val="single" w:color="000000" w:sz="4" w:space="0"/>
            </w:tcBorders>
            <w:noWrap w:val="0"/>
            <w:tcMar>
              <w:left w:w="108" w:type="dxa"/>
              <w:right w:w="108" w:type="dxa"/>
            </w:tcMar>
            <w:vAlign w:val="center"/>
          </w:tcPr>
          <w:p w14:paraId="37E4A5BA">
            <w:pPr>
              <w:rPr>
                <w:sz w:val="21"/>
                <w:szCs w:val="21"/>
              </w:rPr>
            </w:pPr>
          </w:p>
        </w:tc>
        <w:tc>
          <w:tcPr>
            <w:tcW w:w="1004"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45430381">
            <w:pPr>
              <w:jc w:val="center"/>
              <w:rPr>
                <w:sz w:val="21"/>
                <w:szCs w:val="21"/>
              </w:rPr>
            </w:pPr>
            <w:r>
              <w:rPr>
                <w:sz w:val="21"/>
                <w:szCs w:val="21"/>
              </w:rPr>
              <w:t>312</w:t>
            </w:r>
          </w:p>
        </w:tc>
        <w:tc>
          <w:tcPr>
            <w:tcW w:w="768"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41F81DEF">
            <w:pPr>
              <w:jc w:val="center"/>
              <w:rPr>
                <w:sz w:val="21"/>
                <w:szCs w:val="21"/>
              </w:rPr>
            </w:pPr>
            <w:r>
              <w:rPr>
                <w:sz w:val="21"/>
                <w:szCs w:val="21"/>
              </w:rPr>
              <w:t>61</w:t>
            </w:r>
          </w:p>
        </w:tc>
        <w:tc>
          <w:tcPr>
            <w:tcW w:w="694"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281A1CA4">
            <w:pPr>
              <w:jc w:val="center"/>
              <w:rPr>
                <w:sz w:val="21"/>
                <w:szCs w:val="21"/>
              </w:rPr>
            </w:pPr>
            <w:r>
              <w:rPr>
                <w:sz w:val="21"/>
                <w:szCs w:val="21"/>
              </w:rPr>
              <w:t>1</w:t>
            </w:r>
          </w:p>
        </w:tc>
        <w:tc>
          <w:tcPr>
            <w:tcW w:w="863"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1F01AE41">
            <w:pPr>
              <w:jc w:val="center"/>
              <w:rPr>
                <w:sz w:val="21"/>
                <w:szCs w:val="21"/>
              </w:rPr>
            </w:pPr>
            <w:r>
              <w:rPr>
                <w:sz w:val="21"/>
                <w:szCs w:val="21"/>
              </w:rPr>
              <w:t>5</w:t>
            </w:r>
          </w:p>
        </w:tc>
        <w:tc>
          <w:tcPr>
            <w:tcW w:w="937"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4A8C55F4">
            <w:pPr>
              <w:jc w:val="center"/>
              <w:rPr>
                <w:sz w:val="21"/>
                <w:szCs w:val="21"/>
              </w:rPr>
            </w:pPr>
            <w:r>
              <w:rPr>
                <w:sz w:val="21"/>
                <w:szCs w:val="21"/>
              </w:rPr>
              <w:t>96</w:t>
            </w:r>
          </w:p>
        </w:tc>
        <w:tc>
          <w:tcPr>
            <w:tcW w:w="975" w:type="dxa"/>
            <w:vMerge w:val="continue"/>
            <w:tcBorders>
              <w:left w:val="single" w:color="000000" w:sz="4" w:space="0"/>
              <w:right w:val="single" w:color="000000" w:sz="4" w:space="0"/>
            </w:tcBorders>
            <w:noWrap w:val="0"/>
            <w:tcMar>
              <w:left w:w="108" w:type="dxa"/>
              <w:right w:w="108" w:type="dxa"/>
            </w:tcMar>
            <w:vAlign w:val="center"/>
          </w:tcPr>
          <w:p w14:paraId="55665B71">
            <w:pPr>
              <w:jc w:val="center"/>
              <w:rPr>
                <w:sz w:val="21"/>
                <w:szCs w:val="21"/>
              </w:rPr>
            </w:pPr>
          </w:p>
        </w:tc>
        <w:tc>
          <w:tcPr>
            <w:tcW w:w="844"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6E09C36E">
            <w:pPr>
              <w:jc w:val="center"/>
              <w:rPr>
                <w:sz w:val="21"/>
                <w:szCs w:val="21"/>
              </w:rPr>
            </w:pPr>
            <w:r>
              <w:rPr>
                <w:sz w:val="21"/>
                <w:szCs w:val="21"/>
              </w:rPr>
              <w:t>25</w:t>
            </w:r>
          </w:p>
        </w:tc>
        <w:tc>
          <w:tcPr>
            <w:tcW w:w="1012"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0F6B6997">
            <w:pPr>
              <w:jc w:val="center"/>
              <w:rPr>
                <w:sz w:val="21"/>
                <w:szCs w:val="21"/>
              </w:rPr>
            </w:pPr>
            <w:r>
              <w:rPr>
                <w:sz w:val="21"/>
                <w:szCs w:val="21"/>
              </w:rPr>
              <w:t>65</w:t>
            </w:r>
          </w:p>
        </w:tc>
        <w:tc>
          <w:tcPr>
            <w:tcW w:w="668"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4A180F4A">
            <w:pPr>
              <w:jc w:val="center"/>
              <w:rPr>
                <w:sz w:val="21"/>
                <w:szCs w:val="21"/>
              </w:rPr>
            </w:pPr>
            <w:r>
              <w:rPr>
                <w:sz w:val="21"/>
                <w:szCs w:val="21"/>
              </w:rPr>
              <w:t>1</w:t>
            </w:r>
          </w:p>
        </w:tc>
      </w:tr>
      <w:tr w14:paraId="575FF7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455"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29439D17">
            <w:pPr>
              <w:jc w:val="center"/>
              <w:rPr>
                <w:sz w:val="21"/>
                <w:szCs w:val="21"/>
              </w:rPr>
            </w:pPr>
            <w:r>
              <w:rPr>
                <w:sz w:val="21"/>
                <w:szCs w:val="21"/>
              </w:rPr>
              <w:t>14</w:t>
            </w:r>
          </w:p>
        </w:tc>
        <w:tc>
          <w:tcPr>
            <w:tcW w:w="522" w:type="dxa"/>
            <w:vMerge w:val="continue"/>
            <w:tcBorders>
              <w:left w:val="single" w:color="000000" w:sz="4" w:space="0"/>
              <w:right w:val="single" w:color="000000" w:sz="4" w:space="0"/>
            </w:tcBorders>
            <w:noWrap w:val="0"/>
            <w:tcMar>
              <w:left w:w="108" w:type="dxa"/>
              <w:right w:w="108" w:type="dxa"/>
            </w:tcMar>
            <w:vAlign w:val="center"/>
          </w:tcPr>
          <w:p w14:paraId="22F6378C">
            <w:pPr>
              <w:rPr>
                <w:sz w:val="21"/>
                <w:szCs w:val="21"/>
              </w:rPr>
            </w:pPr>
          </w:p>
        </w:tc>
        <w:tc>
          <w:tcPr>
            <w:tcW w:w="1594" w:type="dxa"/>
            <w:tcBorders>
              <w:top w:val="single" w:color="000000" w:sz="4" w:space="0"/>
              <w:left w:val="single" w:color="000000" w:sz="4" w:space="0"/>
              <w:bottom w:val="single" w:color="000000" w:sz="4" w:space="0"/>
              <w:right w:val="single" w:color="000000" w:sz="4" w:space="0"/>
            </w:tcBorders>
            <w:shd w:val="clear" w:color="auto" w:fill="auto"/>
            <w:noWrap w:val="0"/>
            <w:tcMar>
              <w:left w:w="108" w:type="dxa"/>
              <w:right w:w="108" w:type="dxa"/>
            </w:tcMar>
            <w:vAlign w:val="top"/>
          </w:tcPr>
          <w:p w14:paraId="2C62D29A">
            <w:pPr>
              <w:pStyle w:val="465"/>
              <w:spacing w:line="240" w:lineRule="auto"/>
              <w:ind w:firstLine="0" w:firstLineChars="0"/>
              <w:jc w:val="center"/>
              <w:rPr>
                <w:rFonts w:hint="eastAsia" w:ascii="Times New Roman" w:hAnsi="Times New Roman" w:eastAsia="宋体" w:cs="Times New Roman"/>
                <w:bCs/>
                <w:kern w:val="24"/>
                <w:sz w:val="21"/>
                <w:szCs w:val="21"/>
                <w:lang w:val="en-US" w:eastAsia="zh-CN" w:bidi="ar-SA"/>
              </w:rPr>
            </w:pPr>
            <w:r>
              <w:rPr>
                <w:rFonts w:hint="eastAsia" w:ascii="Times New Roman" w:hAnsi="Times New Roman" w:eastAsia="宋体" w:cs="Times New Roman"/>
                <w:bCs/>
                <w:sz w:val="21"/>
                <w:szCs w:val="21"/>
                <w:lang w:val="en-US" w:eastAsia="zh-CN"/>
              </w:rPr>
              <w:t>竖炉窑上料机</w:t>
            </w:r>
          </w:p>
        </w:tc>
        <w:tc>
          <w:tcPr>
            <w:tcW w:w="1143" w:type="dxa"/>
            <w:tcBorders>
              <w:top w:val="single" w:color="000000" w:sz="4" w:space="0"/>
              <w:left w:val="single" w:color="000000" w:sz="4" w:space="0"/>
              <w:bottom w:val="single" w:color="000000" w:sz="4" w:space="0"/>
              <w:right w:val="single" w:color="000000" w:sz="4" w:space="0"/>
            </w:tcBorders>
            <w:shd w:val="clear" w:color="auto" w:fill="auto"/>
            <w:noWrap w:val="0"/>
            <w:tcMar>
              <w:left w:w="108" w:type="dxa"/>
              <w:right w:w="108" w:type="dxa"/>
            </w:tcMar>
            <w:vAlign w:val="center"/>
          </w:tcPr>
          <w:p w14:paraId="72026DB7">
            <w:pPr>
              <w:pStyle w:val="465"/>
              <w:spacing w:line="240" w:lineRule="auto"/>
              <w:ind w:firstLine="0" w:firstLineChars="0"/>
              <w:jc w:val="center"/>
              <w:rPr>
                <w:rFonts w:hint="eastAsia"/>
                <w:bCs/>
                <w:sz w:val="21"/>
                <w:szCs w:val="21"/>
                <w:lang w:val="en-US" w:eastAsia="zh-CN"/>
              </w:rPr>
            </w:pPr>
            <w:r>
              <w:rPr>
                <w:rFonts w:hint="eastAsia"/>
                <w:bCs/>
                <w:sz w:val="21"/>
                <w:szCs w:val="21"/>
                <w:lang w:val="en-US" w:eastAsia="zh-CN"/>
              </w:rPr>
              <w:t>30KW</w:t>
            </w:r>
          </w:p>
        </w:tc>
        <w:tc>
          <w:tcPr>
            <w:tcW w:w="1191" w:type="dxa"/>
            <w:tcBorders>
              <w:top w:val="single" w:color="000000" w:sz="4" w:space="0"/>
              <w:left w:val="single" w:color="000000" w:sz="4" w:space="0"/>
              <w:bottom w:val="single" w:color="000000" w:sz="4" w:space="0"/>
              <w:right w:val="single" w:color="000000" w:sz="4" w:space="0"/>
            </w:tcBorders>
            <w:shd w:val="clear" w:color="auto" w:fill="auto"/>
            <w:noWrap w:val="0"/>
            <w:tcMar>
              <w:left w:w="108" w:type="dxa"/>
              <w:right w:w="108" w:type="dxa"/>
            </w:tcMar>
            <w:vAlign w:val="center"/>
          </w:tcPr>
          <w:p w14:paraId="7201B342">
            <w:pPr>
              <w:pStyle w:val="465"/>
              <w:spacing w:line="240" w:lineRule="auto"/>
              <w:ind w:firstLine="0" w:firstLineChars="0"/>
              <w:jc w:val="center"/>
              <w:rPr>
                <w:rFonts w:hint="eastAsia" w:ascii="Times New Roman" w:hAnsi="Times New Roman" w:eastAsia="宋体" w:cs="Times New Roman"/>
                <w:kern w:val="24"/>
                <w:sz w:val="21"/>
                <w:szCs w:val="21"/>
                <w:lang w:val="en-US" w:eastAsia="zh-CN" w:bidi="ar-SA"/>
              </w:rPr>
            </w:pPr>
            <w:r>
              <w:rPr>
                <w:rFonts w:hint="eastAsia" w:ascii="Times New Roman" w:hAnsi="Times New Roman" w:eastAsia="宋体" w:cs="Times New Roman"/>
                <w:sz w:val="21"/>
                <w:szCs w:val="21"/>
                <w:lang w:val="en-US" w:eastAsia="zh-CN"/>
              </w:rPr>
              <w:t>85</w:t>
            </w:r>
          </w:p>
        </w:tc>
        <w:tc>
          <w:tcPr>
            <w:tcW w:w="984" w:type="dxa"/>
            <w:vMerge w:val="continue"/>
            <w:tcBorders>
              <w:left w:val="single" w:color="000000" w:sz="4" w:space="0"/>
              <w:right w:val="single" w:color="000000" w:sz="4" w:space="0"/>
            </w:tcBorders>
            <w:noWrap w:val="0"/>
            <w:tcMar>
              <w:left w:w="108" w:type="dxa"/>
              <w:right w:w="108" w:type="dxa"/>
            </w:tcMar>
            <w:vAlign w:val="center"/>
          </w:tcPr>
          <w:p w14:paraId="73AE6112">
            <w:pPr>
              <w:rPr>
                <w:sz w:val="21"/>
                <w:szCs w:val="21"/>
              </w:rPr>
            </w:pPr>
          </w:p>
        </w:tc>
        <w:tc>
          <w:tcPr>
            <w:tcW w:w="1004"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1567B11A">
            <w:pPr>
              <w:jc w:val="center"/>
              <w:rPr>
                <w:sz w:val="21"/>
                <w:szCs w:val="21"/>
              </w:rPr>
            </w:pPr>
            <w:r>
              <w:rPr>
                <w:sz w:val="21"/>
                <w:szCs w:val="21"/>
              </w:rPr>
              <w:t>350</w:t>
            </w:r>
          </w:p>
        </w:tc>
        <w:tc>
          <w:tcPr>
            <w:tcW w:w="768"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592902CD">
            <w:pPr>
              <w:jc w:val="center"/>
              <w:rPr>
                <w:sz w:val="21"/>
                <w:szCs w:val="21"/>
              </w:rPr>
            </w:pPr>
            <w:r>
              <w:rPr>
                <w:sz w:val="21"/>
                <w:szCs w:val="21"/>
              </w:rPr>
              <w:t>61</w:t>
            </w:r>
          </w:p>
        </w:tc>
        <w:tc>
          <w:tcPr>
            <w:tcW w:w="694"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59524BD1">
            <w:pPr>
              <w:jc w:val="center"/>
              <w:rPr>
                <w:sz w:val="21"/>
                <w:szCs w:val="21"/>
              </w:rPr>
            </w:pPr>
            <w:r>
              <w:rPr>
                <w:sz w:val="21"/>
                <w:szCs w:val="21"/>
              </w:rPr>
              <w:t>1</w:t>
            </w:r>
          </w:p>
        </w:tc>
        <w:tc>
          <w:tcPr>
            <w:tcW w:w="863"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61FB672B">
            <w:pPr>
              <w:jc w:val="center"/>
              <w:rPr>
                <w:sz w:val="21"/>
                <w:szCs w:val="21"/>
              </w:rPr>
            </w:pPr>
            <w:r>
              <w:rPr>
                <w:sz w:val="21"/>
                <w:szCs w:val="21"/>
              </w:rPr>
              <w:t>5</w:t>
            </w:r>
          </w:p>
        </w:tc>
        <w:tc>
          <w:tcPr>
            <w:tcW w:w="937"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734EDE0F">
            <w:pPr>
              <w:jc w:val="center"/>
              <w:rPr>
                <w:sz w:val="21"/>
                <w:szCs w:val="21"/>
              </w:rPr>
            </w:pPr>
            <w:r>
              <w:rPr>
                <w:sz w:val="21"/>
                <w:szCs w:val="21"/>
              </w:rPr>
              <w:t>96</w:t>
            </w:r>
          </w:p>
        </w:tc>
        <w:tc>
          <w:tcPr>
            <w:tcW w:w="975" w:type="dxa"/>
            <w:vMerge w:val="continue"/>
            <w:tcBorders>
              <w:left w:val="single" w:color="000000" w:sz="4" w:space="0"/>
              <w:right w:val="single" w:color="000000" w:sz="4" w:space="0"/>
            </w:tcBorders>
            <w:noWrap w:val="0"/>
            <w:tcMar>
              <w:left w:w="108" w:type="dxa"/>
              <w:right w:w="108" w:type="dxa"/>
            </w:tcMar>
            <w:vAlign w:val="center"/>
          </w:tcPr>
          <w:p w14:paraId="6A82920F">
            <w:pPr>
              <w:jc w:val="center"/>
              <w:rPr>
                <w:sz w:val="21"/>
                <w:szCs w:val="21"/>
              </w:rPr>
            </w:pPr>
          </w:p>
        </w:tc>
        <w:tc>
          <w:tcPr>
            <w:tcW w:w="844"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59E8D5DE">
            <w:pPr>
              <w:jc w:val="center"/>
              <w:rPr>
                <w:sz w:val="21"/>
                <w:szCs w:val="21"/>
              </w:rPr>
            </w:pPr>
            <w:r>
              <w:rPr>
                <w:sz w:val="21"/>
                <w:szCs w:val="21"/>
              </w:rPr>
              <w:t>25</w:t>
            </w:r>
          </w:p>
        </w:tc>
        <w:tc>
          <w:tcPr>
            <w:tcW w:w="1012"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46C066C2">
            <w:pPr>
              <w:jc w:val="center"/>
              <w:rPr>
                <w:sz w:val="21"/>
                <w:szCs w:val="21"/>
              </w:rPr>
            </w:pPr>
            <w:r>
              <w:rPr>
                <w:sz w:val="21"/>
                <w:szCs w:val="21"/>
              </w:rPr>
              <w:t>65</w:t>
            </w:r>
          </w:p>
        </w:tc>
        <w:tc>
          <w:tcPr>
            <w:tcW w:w="668"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2ADC2AB3">
            <w:pPr>
              <w:jc w:val="center"/>
              <w:rPr>
                <w:sz w:val="21"/>
                <w:szCs w:val="21"/>
              </w:rPr>
            </w:pPr>
            <w:r>
              <w:rPr>
                <w:sz w:val="21"/>
                <w:szCs w:val="21"/>
              </w:rPr>
              <w:t>1</w:t>
            </w:r>
          </w:p>
        </w:tc>
      </w:tr>
      <w:tr w14:paraId="26A512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455"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529FDE22">
            <w:pPr>
              <w:jc w:val="center"/>
              <w:rPr>
                <w:sz w:val="21"/>
                <w:szCs w:val="21"/>
              </w:rPr>
            </w:pPr>
            <w:r>
              <w:rPr>
                <w:sz w:val="21"/>
                <w:szCs w:val="21"/>
              </w:rPr>
              <w:t>15</w:t>
            </w:r>
          </w:p>
        </w:tc>
        <w:tc>
          <w:tcPr>
            <w:tcW w:w="522" w:type="dxa"/>
            <w:vMerge w:val="continue"/>
            <w:tcBorders>
              <w:left w:val="single" w:color="000000" w:sz="4" w:space="0"/>
              <w:right w:val="single" w:color="000000" w:sz="4" w:space="0"/>
            </w:tcBorders>
            <w:noWrap w:val="0"/>
            <w:tcMar>
              <w:left w:w="108" w:type="dxa"/>
              <w:right w:w="108" w:type="dxa"/>
            </w:tcMar>
            <w:vAlign w:val="center"/>
          </w:tcPr>
          <w:p w14:paraId="00BA989C">
            <w:pPr>
              <w:rPr>
                <w:sz w:val="21"/>
                <w:szCs w:val="21"/>
              </w:rPr>
            </w:pPr>
          </w:p>
        </w:tc>
        <w:tc>
          <w:tcPr>
            <w:tcW w:w="1594" w:type="dxa"/>
            <w:tcBorders>
              <w:top w:val="single" w:color="000000" w:sz="4" w:space="0"/>
              <w:left w:val="single" w:color="000000" w:sz="4" w:space="0"/>
              <w:bottom w:val="single" w:color="000000" w:sz="4" w:space="0"/>
              <w:right w:val="single" w:color="000000" w:sz="4" w:space="0"/>
            </w:tcBorders>
            <w:shd w:val="clear" w:color="auto" w:fill="auto"/>
            <w:noWrap w:val="0"/>
            <w:tcMar>
              <w:left w:w="108" w:type="dxa"/>
              <w:right w:w="108" w:type="dxa"/>
            </w:tcMar>
            <w:vAlign w:val="top"/>
          </w:tcPr>
          <w:p w14:paraId="268109F2">
            <w:pPr>
              <w:pStyle w:val="465"/>
              <w:spacing w:line="240" w:lineRule="auto"/>
              <w:ind w:firstLine="0" w:firstLineChars="0"/>
              <w:jc w:val="center"/>
              <w:rPr>
                <w:rFonts w:hint="eastAsia" w:ascii="Times New Roman" w:hAnsi="Times New Roman" w:eastAsia="宋体" w:cs="Times New Roman"/>
                <w:bCs/>
                <w:kern w:val="24"/>
                <w:sz w:val="21"/>
                <w:szCs w:val="21"/>
                <w:lang w:val="en-US" w:eastAsia="zh-CN" w:bidi="ar-SA"/>
              </w:rPr>
            </w:pPr>
            <w:r>
              <w:rPr>
                <w:rFonts w:hint="eastAsia" w:ascii="Times New Roman" w:hAnsi="Times New Roman" w:eastAsia="宋体" w:cs="Times New Roman"/>
                <w:bCs/>
                <w:sz w:val="21"/>
                <w:szCs w:val="21"/>
                <w:lang w:val="en-US" w:eastAsia="zh-CN"/>
              </w:rPr>
              <w:t>振动给料机</w:t>
            </w:r>
          </w:p>
        </w:tc>
        <w:tc>
          <w:tcPr>
            <w:tcW w:w="1143" w:type="dxa"/>
            <w:tcBorders>
              <w:top w:val="single" w:color="000000" w:sz="4" w:space="0"/>
              <w:left w:val="single" w:color="000000" w:sz="4" w:space="0"/>
              <w:bottom w:val="single" w:color="000000" w:sz="4" w:space="0"/>
              <w:right w:val="single" w:color="000000" w:sz="4" w:space="0"/>
            </w:tcBorders>
            <w:shd w:val="clear" w:color="auto" w:fill="auto"/>
            <w:noWrap w:val="0"/>
            <w:tcMar>
              <w:left w:w="108" w:type="dxa"/>
              <w:right w:w="108" w:type="dxa"/>
            </w:tcMar>
            <w:vAlign w:val="center"/>
          </w:tcPr>
          <w:p w14:paraId="4D161C92">
            <w:pPr>
              <w:pStyle w:val="465"/>
              <w:spacing w:line="240" w:lineRule="auto"/>
              <w:ind w:firstLine="0" w:firstLineChars="0"/>
              <w:jc w:val="center"/>
              <w:rPr>
                <w:rFonts w:hint="eastAsia"/>
                <w:bCs/>
                <w:sz w:val="21"/>
                <w:szCs w:val="21"/>
                <w:lang w:val="en-US" w:eastAsia="zh-CN"/>
              </w:rPr>
            </w:pPr>
            <w:r>
              <w:rPr>
                <w:rFonts w:hint="eastAsia"/>
                <w:bCs/>
                <w:sz w:val="21"/>
                <w:szCs w:val="21"/>
                <w:lang w:val="en-US" w:eastAsia="zh-CN"/>
              </w:rPr>
              <w:t>7.5KW</w:t>
            </w:r>
          </w:p>
        </w:tc>
        <w:tc>
          <w:tcPr>
            <w:tcW w:w="1191" w:type="dxa"/>
            <w:tcBorders>
              <w:top w:val="single" w:color="000000" w:sz="4" w:space="0"/>
              <w:left w:val="single" w:color="000000" w:sz="4" w:space="0"/>
              <w:bottom w:val="single" w:color="000000" w:sz="4" w:space="0"/>
              <w:right w:val="single" w:color="000000" w:sz="4" w:space="0"/>
            </w:tcBorders>
            <w:shd w:val="clear" w:color="auto" w:fill="auto"/>
            <w:noWrap w:val="0"/>
            <w:tcMar>
              <w:left w:w="108" w:type="dxa"/>
              <w:right w:w="108" w:type="dxa"/>
            </w:tcMar>
            <w:vAlign w:val="center"/>
          </w:tcPr>
          <w:p w14:paraId="42DD1EF7">
            <w:pPr>
              <w:pStyle w:val="465"/>
              <w:spacing w:line="240" w:lineRule="auto"/>
              <w:ind w:firstLine="0" w:firstLineChars="0"/>
              <w:jc w:val="center"/>
              <w:rPr>
                <w:rFonts w:hint="eastAsia" w:ascii="Times New Roman" w:hAnsi="Times New Roman" w:eastAsia="宋体" w:cs="Times New Roman"/>
                <w:kern w:val="24"/>
                <w:sz w:val="21"/>
                <w:szCs w:val="21"/>
                <w:lang w:val="en-US" w:eastAsia="zh-CN" w:bidi="ar-SA"/>
              </w:rPr>
            </w:pPr>
            <w:r>
              <w:rPr>
                <w:rFonts w:hint="eastAsia" w:ascii="Times New Roman" w:hAnsi="Times New Roman" w:eastAsia="宋体" w:cs="Times New Roman"/>
                <w:sz w:val="21"/>
                <w:szCs w:val="21"/>
                <w:lang w:val="en-US" w:eastAsia="zh-CN"/>
              </w:rPr>
              <w:t>85</w:t>
            </w:r>
          </w:p>
        </w:tc>
        <w:tc>
          <w:tcPr>
            <w:tcW w:w="984" w:type="dxa"/>
            <w:vMerge w:val="continue"/>
            <w:tcBorders>
              <w:left w:val="single" w:color="000000" w:sz="4" w:space="0"/>
              <w:right w:val="single" w:color="000000" w:sz="4" w:space="0"/>
            </w:tcBorders>
            <w:noWrap w:val="0"/>
            <w:tcMar>
              <w:left w:w="108" w:type="dxa"/>
              <w:right w:w="108" w:type="dxa"/>
            </w:tcMar>
            <w:vAlign w:val="center"/>
          </w:tcPr>
          <w:p w14:paraId="16B5CC48">
            <w:pPr>
              <w:rPr>
                <w:sz w:val="21"/>
                <w:szCs w:val="21"/>
              </w:rPr>
            </w:pPr>
          </w:p>
        </w:tc>
        <w:tc>
          <w:tcPr>
            <w:tcW w:w="1004"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23C0C94E">
            <w:pPr>
              <w:jc w:val="center"/>
              <w:rPr>
                <w:sz w:val="21"/>
                <w:szCs w:val="21"/>
              </w:rPr>
            </w:pPr>
            <w:r>
              <w:rPr>
                <w:sz w:val="21"/>
                <w:szCs w:val="21"/>
              </w:rPr>
              <w:t>355</w:t>
            </w:r>
          </w:p>
        </w:tc>
        <w:tc>
          <w:tcPr>
            <w:tcW w:w="768"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420D1A11">
            <w:pPr>
              <w:jc w:val="center"/>
              <w:rPr>
                <w:sz w:val="21"/>
                <w:szCs w:val="21"/>
              </w:rPr>
            </w:pPr>
            <w:r>
              <w:rPr>
                <w:sz w:val="21"/>
                <w:szCs w:val="21"/>
              </w:rPr>
              <w:t>275</w:t>
            </w:r>
          </w:p>
        </w:tc>
        <w:tc>
          <w:tcPr>
            <w:tcW w:w="694"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62AC63E4">
            <w:pPr>
              <w:jc w:val="center"/>
              <w:rPr>
                <w:sz w:val="21"/>
                <w:szCs w:val="21"/>
              </w:rPr>
            </w:pPr>
            <w:r>
              <w:rPr>
                <w:sz w:val="21"/>
                <w:szCs w:val="21"/>
              </w:rPr>
              <w:t>1</w:t>
            </w:r>
          </w:p>
        </w:tc>
        <w:tc>
          <w:tcPr>
            <w:tcW w:w="863"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7B77A92C">
            <w:pPr>
              <w:jc w:val="center"/>
              <w:rPr>
                <w:sz w:val="21"/>
                <w:szCs w:val="21"/>
              </w:rPr>
            </w:pPr>
            <w:r>
              <w:rPr>
                <w:sz w:val="21"/>
                <w:szCs w:val="21"/>
              </w:rPr>
              <w:t>5</w:t>
            </w:r>
          </w:p>
        </w:tc>
        <w:tc>
          <w:tcPr>
            <w:tcW w:w="937"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5D8EBDC7">
            <w:pPr>
              <w:jc w:val="center"/>
              <w:rPr>
                <w:sz w:val="21"/>
                <w:szCs w:val="21"/>
              </w:rPr>
            </w:pPr>
            <w:r>
              <w:rPr>
                <w:sz w:val="21"/>
                <w:szCs w:val="21"/>
              </w:rPr>
              <w:t>76</w:t>
            </w:r>
          </w:p>
        </w:tc>
        <w:tc>
          <w:tcPr>
            <w:tcW w:w="975" w:type="dxa"/>
            <w:vMerge w:val="continue"/>
            <w:tcBorders>
              <w:left w:val="single" w:color="000000" w:sz="4" w:space="0"/>
              <w:right w:val="single" w:color="000000" w:sz="4" w:space="0"/>
            </w:tcBorders>
            <w:noWrap w:val="0"/>
            <w:tcMar>
              <w:left w:w="108" w:type="dxa"/>
              <w:right w:w="108" w:type="dxa"/>
            </w:tcMar>
            <w:vAlign w:val="center"/>
          </w:tcPr>
          <w:p w14:paraId="5E2B5250">
            <w:pPr>
              <w:jc w:val="center"/>
              <w:rPr>
                <w:sz w:val="21"/>
                <w:szCs w:val="21"/>
              </w:rPr>
            </w:pPr>
          </w:p>
        </w:tc>
        <w:tc>
          <w:tcPr>
            <w:tcW w:w="844"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42F862EB">
            <w:pPr>
              <w:jc w:val="center"/>
              <w:rPr>
                <w:sz w:val="21"/>
                <w:szCs w:val="21"/>
              </w:rPr>
            </w:pPr>
            <w:r>
              <w:rPr>
                <w:sz w:val="21"/>
                <w:szCs w:val="21"/>
              </w:rPr>
              <w:t>25</w:t>
            </w:r>
          </w:p>
        </w:tc>
        <w:tc>
          <w:tcPr>
            <w:tcW w:w="1012"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2245EDEF">
            <w:pPr>
              <w:jc w:val="center"/>
              <w:rPr>
                <w:sz w:val="21"/>
                <w:szCs w:val="21"/>
              </w:rPr>
            </w:pPr>
            <w:r>
              <w:rPr>
                <w:sz w:val="21"/>
                <w:szCs w:val="21"/>
              </w:rPr>
              <w:t>45</w:t>
            </w:r>
          </w:p>
        </w:tc>
        <w:tc>
          <w:tcPr>
            <w:tcW w:w="668"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76D6862B">
            <w:pPr>
              <w:jc w:val="center"/>
              <w:rPr>
                <w:sz w:val="21"/>
                <w:szCs w:val="21"/>
              </w:rPr>
            </w:pPr>
            <w:r>
              <w:rPr>
                <w:sz w:val="21"/>
                <w:szCs w:val="21"/>
              </w:rPr>
              <w:t>1</w:t>
            </w:r>
          </w:p>
        </w:tc>
      </w:tr>
      <w:tr w14:paraId="29A1A0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455"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1BFAD5F7">
            <w:pPr>
              <w:jc w:val="center"/>
              <w:rPr>
                <w:sz w:val="21"/>
                <w:szCs w:val="21"/>
              </w:rPr>
            </w:pPr>
            <w:r>
              <w:rPr>
                <w:sz w:val="21"/>
                <w:szCs w:val="21"/>
              </w:rPr>
              <w:t>16</w:t>
            </w:r>
          </w:p>
        </w:tc>
        <w:tc>
          <w:tcPr>
            <w:tcW w:w="522" w:type="dxa"/>
            <w:vMerge w:val="continue"/>
            <w:tcBorders>
              <w:left w:val="single" w:color="000000" w:sz="4" w:space="0"/>
              <w:right w:val="single" w:color="000000" w:sz="4" w:space="0"/>
            </w:tcBorders>
            <w:noWrap w:val="0"/>
            <w:tcMar>
              <w:left w:w="108" w:type="dxa"/>
              <w:right w:w="108" w:type="dxa"/>
            </w:tcMar>
            <w:vAlign w:val="center"/>
          </w:tcPr>
          <w:p w14:paraId="7E7DFA7E">
            <w:pPr>
              <w:rPr>
                <w:sz w:val="21"/>
                <w:szCs w:val="21"/>
              </w:rPr>
            </w:pPr>
          </w:p>
        </w:tc>
        <w:tc>
          <w:tcPr>
            <w:tcW w:w="1594" w:type="dxa"/>
            <w:tcBorders>
              <w:top w:val="single" w:color="000000" w:sz="4" w:space="0"/>
              <w:left w:val="single" w:color="000000" w:sz="4" w:space="0"/>
              <w:bottom w:val="single" w:color="000000" w:sz="4" w:space="0"/>
              <w:right w:val="single" w:color="000000" w:sz="4" w:space="0"/>
            </w:tcBorders>
            <w:shd w:val="clear" w:color="auto" w:fill="auto"/>
            <w:noWrap w:val="0"/>
            <w:tcMar>
              <w:left w:w="108" w:type="dxa"/>
              <w:right w:w="108" w:type="dxa"/>
            </w:tcMar>
            <w:vAlign w:val="top"/>
          </w:tcPr>
          <w:p w14:paraId="7C903D4E">
            <w:pPr>
              <w:pStyle w:val="465"/>
              <w:spacing w:line="240" w:lineRule="auto"/>
              <w:ind w:firstLine="0" w:firstLineChars="0"/>
              <w:jc w:val="center"/>
              <w:rPr>
                <w:rFonts w:hint="eastAsia" w:ascii="Times New Roman" w:hAnsi="Times New Roman" w:eastAsia="宋体" w:cs="Times New Roman"/>
                <w:bCs/>
                <w:kern w:val="24"/>
                <w:sz w:val="21"/>
                <w:szCs w:val="21"/>
                <w:lang w:val="en-US" w:eastAsia="zh-CN" w:bidi="ar-SA"/>
              </w:rPr>
            </w:pPr>
            <w:r>
              <w:rPr>
                <w:rFonts w:hint="eastAsia" w:ascii="Times New Roman" w:hAnsi="Times New Roman" w:eastAsia="宋体" w:cs="Times New Roman"/>
                <w:bCs/>
                <w:sz w:val="21"/>
                <w:szCs w:val="21"/>
                <w:lang w:val="en-US" w:eastAsia="zh-CN"/>
              </w:rPr>
              <w:t>振动筛</w:t>
            </w:r>
          </w:p>
        </w:tc>
        <w:tc>
          <w:tcPr>
            <w:tcW w:w="1143"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5F355103">
            <w:pPr>
              <w:pStyle w:val="465"/>
              <w:spacing w:line="240" w:lineRule="auto"/>
              <w:ind w:firstLine="0" w:firstLineChars="0"/>
              <w:jc w:val="center"/>
              <w:rPr>
                <w:rFonts w:hint="eastAsia"/>
                <w:bCs/>
                <w:sz w:val="21"/>
                <w:szCs w:val="21"/>
                <w:lang w:val="en-US" w:eastAsia="zh-CN"/>
              </w:rPr>
            </w:pPr>
            <w:r>
              <w:rPr>
                <w:rFonts w:hint="eastAsia"/>
                <w:bCs/>
                <w:sz w:val="21"/>
                <w:szCs w:val="21"/>
                <w:lang w:val="en-US" w:eastAsia="zh-CN"/>
              </w:rPr>
              <w:t>15KW</w:t>
            </w:r>
          </w:p>
        </w:tc>
        <w:tc>
          <w:tcPr>
            <w:tcW w:w="1191" w:type="dxa"/>
            <w:tcBorders>
              <w:top w:val="single" w:color="000000" w:sz="4" w:space="0"/>
              <w:left w:val="single" w:color="000000" w:sz="4" w:space="0"/>
              <w:bottom w:val="single" w:color="000000" w:sz="4" w:space="0"/>
              <w:right w:val="single" w:color="000000" w:sz="4" w:space="0"/>
            </w:tcBorders>
            <w:shd w:val="clear" w:color="auto" w:fill="auto"/>
            <w:noWrap w:val="0"/>
            <w:tcMar>
              <w:left w:w="108" w:type="dxa"/>
              <w:right w:w="108" w:type="dxa"/>
            </w:tcMar>
            <w:vAlign w:val="center"/>
          </w:tcPr>
          <w:p w14:paraId="3C1DD443">
            <w:pPr>
              <w:pStyle w:val="465"/>
              <w:spacing w:line="240" w:lineRule="auto"/>
              <w:ind w:firstLine="0" w:firstLineChars="0"/>
              <w:jc w:val="center"/>
              <w:rPr>
                <w:rFonts w:hint="eastAsia" w:ascii="Times New Roman" w:hAnsi="Times New Roman" w:eastAsia="宋体" w:cs="Times New Roman"/>
                <w:kern w:val="24"/>
                <w:sz w:val="21"/>
                <w:szCs w:val="21"/>
                <w:lang w:val="en-US" w:eastAsia="zh-CN" w:bidi="ar-SA"/>
              </w:rPr>
            </w:pPr>
            <w:r>
              <w:rPr>
                <w:rFonts w:hint="eastAsia" w:ascii="Times New Roman" w:hAnsi="Times New Roman" w:eastAsia="宋体" w:cs="Times New Roman"/>
                <w:sz w:val="21"/>
                <w:szCs w:val="21"/>
                <w:lang w:val="en-US" w:eastAsia="zh-CN"/>
              </w:rPr>
              <w:t>95</w:t>
            </w:r>
          </w:p>
        </w:tc>
        <w:tc>
          <w:tcPr>
            <w:tcW w:w="984" w:type="dxa"/>
            <w:vMerge w:val="continue"/>
            <w:tcBorders>
              <w:left w:val="single" w:color="000000" w:sz="4" w:space="0"/>
              <w:right w:val="single" w:color="000000" w:sz="4" w:space="0"/>
            </w:tcBorders>
            <w:noWrap w:val="0"/>
            <w:tcMar>
              <w:left w:w="108" w:type="dxa"/>
              <w:right w:w="108" w:type="dxa"/>
            </w:tcMar>
            <w:vAlign w:val="center"/>
          </w:tcPr>
          <w:p w14:paraId="04E2A833">
            <w:pPr>
              <w:rPr>
                <w:sz w:val="21"/>
                <w:szCs w:val="21"/>
              </w:rPr>
            </w:pPr>
          </w:p>
        </w:tc>
        <w:tc>
          <w:tcPr>
            <w:tcW w:w="1004"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2C239AB4">
            <w:pPr>
              <w:jc w:val="center"/>
              <w:rPr>
                <w:sz w:val="21"/>
                <w:szCs w:val="21"/>
              </w:rPr>
            </w:pPr>
            <w:r>
              <w:rPr>
                <w:sz w:val="21"/>
                <w:szCs w:val="21"/>
              </w:rPr>
              <w:t>364</w:t>
            </w:r>
          </w:p>
        </w:tc>
        <w:tc>
          <w:tcPr>
            <w:tcW w:w="768"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193A8EB7">
            <w:pPr>
              <w:jc w:val="center"/>
              <w:rPr>
                <w:sz w:val="21"/>
                <w:szCs w:val="21"/>
              </w:rPr>
            </w:pPr>
            <w:r>
              <w:rPr>
                <w:sz w:val="21"/>
                <w:szCs w:val="21"/>
              </w:rPr>
              <w:t>273</w:t>
            </w:r>
          </w:p>
        </w:tc>
        <w:tc>
          <w:tcPr>
            <w:tcW w:w="694"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5A86CCA6">
            <w:pPr>
              <w:jc w:val="center"/>
              <w:rPr>
                <w:sz w:val="21"/>
                <w:szCs w:val="21"/>
              </w:rPr>
            </w:pPr>
            <w:r>
              <w:rPr>
                <w:sz w:val="21"/>
                <w:szCs w:val="21"/>
              </w:rPr>
              <w:t>1</w:t>
            </w:r>
          </w:p>
        </w:tc>
        <w:tc>
          <w:tcPr>
            <w:tcW w:w="863"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5969B567">
            <w:pPr>
              <w:jc w:val="center"/>
              <w:rPr>
                <w:sz w:val="21"/>
                <w:szCs w:val="21"/>
              </w:rPr>
            </w:pPr>
            <w:r>
              <w:rPr>
                <w:sz w:val="21"/>
                <w:szCs w:val="21"/>
              </w:rPr>
              <w:t>5</w:t>
            </w:r>
          </w:p>
        </w:tc>
        <w:tc>
          <w:tcPr>
            <w:tcW w:w="937"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0F51C3F0">
            <w:pPr>
              <w:jc w:val="center"/>
              <w:rPr>
                <w:sz w:val="21"/>
                <w:szCs w:val="21"/>
              </w:rPr>
            </w:pPr>
            <w:r>
              <w:rPr>
                <w:sz w:val="21"/>
                <w:szCs w:val="21"/>
              </w:rPr>
              <w:t>86</w:t>
            </w:r>
          </w:p>
        </w:tc>
        <w:tc>
          <w:tcPr>
            <w:tcW w:w="975" w:type="dxa"/>
            <w:vMerge w:val="continue"/>
            <w:tcBorders>
              <w:left w:val="single" w:color="000000" w:sz="4" w:space="0"/>
              <w:right w:val="single" w:color="000000" w:sz="4" w:space="0"/>
            </w:tcBorders>
            <w:noWrap w:val="0"/>
            <w:tcMar>
              <w:left w:w="108" w:type="dxa"/>
              <w:right w:w="108" w:type="dxa"/>
            </w:tcMar>
            <w:vAlign w:val="center"/>
          </w:tcPr>
          <w:p w14:paraId="0C07FCD3">
            <w:pPr>
              <w:jc w:val="center"/>
              <w:rPr>
                <w:sz w:val="21"/>
                <w:szCs w:val="21"/>
              </w:rPr>
            </w:pPr>
          </w:p>
        </w:tc>
        <w:tc>
          <w:tcPr>
            <w:tcW w:w="844"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537FE1D6">
            <w:pPr>
              <w:jc w:val="center"/>
              <w:rPr>
                <w:sz w:val="21"/>
                <w:szCs w:val="21"/>
              </w:rPr>
            </w:pPr>
            <w:r>
              <w:rPr>
                <w:sz w:val="21"/>
                <w:szCs w:val="21"/>
              </w:rPr>
              <w:t>25</w:t>
            </w:r>
          </w:p>
        </w:tc>
        <w:tc>
          <w:tcPr>
            <w:tcW w:w="1012"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5966F303">
            <w:pPr>
              <w:jc w:val="center"/>
              <w:rPr>
                <w:sz w:val="21"/>
                <w:szCs w:val="21"/>
              </w:rPr>
            </w:pPr>
            <w:r>
              <w:rPr>
                <w:sz w:val="21"/>
                <w:szCs w:val="21"/>
              </w:rPr>
              <w:t>55</w:t>
            </w:r>
          </w:p>
        </w:tc>
        <w:tc>
          <w:tcPr>
            <w:tcW w:w="668"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050B3437">
            <w:pPr>
              <w:jc w:val="center"/>
              <w:rPr>
                <w:sz w:val="21"/>
                <w:szCs w:val="21"/>
              </w:rPr>
            </w:pPr>
            <w:r>
              <w:rPr>
                <w:sz w:val="21"/>
                <w:szCs w:val="21"/>
              </w:rPr>
              <w:t>1</w:t>
            </w:r>
          </w:p>
        </w:tc>
      </w:tr>
      <w:tr w14:paraId="2834E9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0" w:type="auto"/>
            <w:vAlign w:val="center"/>
          </w:tcPr>
          <w:p w14:paraId="4F5C507E">
            <w:pPr>
              <w:jc w:val="center"/>
              <w:rPr>
                <w:rFonts w:hint="default" w:eastAsia="宋体"/>
                <w:sz w:val="21"/>
                <w:szCs w:val="21"/>
                <w:lang w:val="en-US" w:eastAsia="zh-CN"/>
              </w:rPr>
            </w:pPr>
            <w:r>
              <w:rPr>
                <w:rFonts w:hint="eastAsia"/>
                <w:sz w:val="21"/>
                <w:szCs w:val="21"/>
                <w:lang w:val="en-US" w:eastAsia="zh-CN"/>
              </w:rPr>
              <w:t>17</w:t>
            </w:r>
          </w:p>
        </w:tc>
        <w:tc>
          <w:tcPr>
            <w:tcW w:w="522" w:type="dxa"/>
            <w:vMerge w:val="continue"/>
            <w:tcBorders>
              <w:left w:val="single" w:color="000000" w:sz="4" w:space="0"/>
              <w:right w:val="single" w:color="000000" w:sz="4" w:space="0"/>
            </w:tcBorders>
          </w:tcPr>
          <w:p w14:paraId="47C60FDE">
            <w:pPr>
              <w:rPr>
                <w:sz w:val="21"/>
                <w:szCs w:val="21"/>
              </w:rPr>
            </w:pPr>
          </w:p>
        </w:tc>
        <w:tc>
          <w:tcPr>
            <w:tcW w:w="1594" w:type="dxa"/>
            <w:shd w:val="clear" w:color="auto" w:fill="auto"/>
            <w:vAlign w:val="top"/>
          </w:tcPr>
          <w:p w14:paraId="580A51C2">
            <w:pPr>
              <w:pStyle w:val="465"/>
              <w:spacing w:line="240" w:lineRule="auto"/>
              <w:ind w:firstLine="0" w:firstLineChars="0"/>
              <w:jc w:val="center"/>
              <w:rPr>
                <w:rFonts w:hint="eastAsia" w:ascii="Times New Roman" w:hAnsi="Times New Roman" w:eastAsia="宋体" w:cs="Times New Roman"/>
                <w:bCs/>
                <w:kern w:val="24"/>
                <w:sz w:val="21"/>
                <w:szCs w:val="21"/>
                <w:lang w:val="en-US" w:eastAsia="zh-CN" w:bidi="ar-SA"/>
              </w:rPr>
            </w:pPr>
            <w:r>
              <w:rPr>
                <w:rFonts w:hint="eastAsia" w:ascii="Times New Roman" w:hAnsi="Times New Roman" w:eastAsia="宋体" w:cs="Times New Roman"/>
                <w:bCs/>
                <w:sz w:val="21"/>
                <w:szCs w:val="21"/>
                <w:lang w:val="en-US" w:eastAsia="zh-CN"/>
              </w:rPr>
              <w:t>主排风机</w:t>
            </w:r>
          </w:p>
        </w:tc>
        <w:tc>
          <w:tcPr>
            <w:tcW w:w="1143" w:type="dxa"/>
            <w:shd w:val="clear" w:color="auto" w:fill="auto"/>
            <w:vAlign w:val="center"/>
          </w:tcPr>
          <w:p w14:paraId="7297906E">
            <w:pPr>
              <w:pStyle w:val="465"/>
              <w:spacing w:line="240" w:lineRule="auto"/>
              <w:ind w:firstLine="0" w:firstLineChars="0"/>
              <w:jc w:val="center"/>
              <w:rPr>
                <w:rFonts w:hint="eastAsia"/>
                <w:bCs/>
                <w:sz w:val="21"/>
                <w:szCs w:val="21"/>
                <w:lang w:val="en-US" w:eastAsia="zh-CN"/>
              </w:rPr>
            </w:pPr>
            <w:r>
              <w:rPr>
                <w:rFonts w:hint="eastAsia"/>
                <w:bCs/>
                <w:sz w:val="21"/>
                <w:szCs w:val="21"/>
                <w:lang w:val="en-US" w:eastAsia="zh-CN"/>
              </w:rPr>
              <w:t>200KW</w:t>
            </w:r>
          </w:p>
        </w:tc>
        <w:tc>
          <w:tcPr>
            <w:tcW w:w="1191" w:type="dxa"/>
            <w:shd w:val="clear" w:color="auto" w:fill="auto"/>
            <w:vAlign w:val="top"/>
          </w:tcPr>
          <w:p w14:paraId="646025C2">
            <w:pPr>
              <w:pStyle w:val="465"/>
              <w:spacing w:line="240" w:lineRule="auto"/>
              <w:ind w:firstLine="0" w:firstLineChars="0"/>
              <w:jc w:val="center"/>
              <w:rPr>
                <w:rFonts w:hint="default" w:ascii="Times New Roman" w:hAnsi="Times New Roman" w:eastAsia="宋体" w:cs="Times New Roman"/>
                <w:kern w:val="24"/>
                <w:sz w:val="21"/>
                <w:szCs w:val="21"/>
                <w:lang w:val="en-US" w:eastAsia="zh-CN" w:bidi="ar-SA"/>
              </w:rPr>
            </w:pPr>
            <w:r>
              <w:rPr>
                <w:rFonts w:hint="eastAsia" w:ascii="Times New Roman" w:hAnsi="Times New Roman" w:eastAsia="宋体" w:cs="Times New Roman"/>
                <w:sz w:val="21"/>
                <w:szCs w:val="21"/>
                <w:lang w:val="en-US" w:eastAsia="zh-CN"/>
              </w:rPr>
              <w:t>105</w:t>
            </w:r>
          </w:p>
        </w:tc>
        <w:tc>
          <w:tcPr>
            <w:tcW w:w="984" w:type="dxa"/>
            <w:vMerge w:val="continue"/>
            <w:tcBorders>
              <w:left w:val="single" w:color="000000" w:sz="4" w:space="0"/>
              <w:right w:val="single" w:color="000000" w:sz="4" w:space="0"/>
            </w:tcBorders>
          </w:tcPr>
          <w:p w14:paraId="02D73AAE">
            <w:pPr>
              <w:rPr>
                <w:sz w:val="21"/>
                <w:szCs w:val="21"/>
              </w:rPr>
            </w:pPr>
          </w:p>
        </w:tc>
        <w:tc>
          <w:tcPr>
            <w:tcW w:w="1004" w:type="dxa"/>
            <w:shd w:val="clear" w:color="auto" w:fill="auto"/>
            <w:vAlign w:val="center"/>
          </w:tcPr>
          <w:p w14:paraId="75EA6E46">
            <w:pPr>
              <w:jc w:val="center"/>
              <w:rPr>
                <w:rFonts w:ascii="宋体" w:hAnsi="宋体" w:eastAsia="宋体" w:cs="宋体"/>
                <w:sz w:val="21"/>
                <w:szCs w:val="21"/>
                <w:lang w:val="en-US" w:eastAsia="zh-CN" w:bidi="ar-SA"/>
              </w:rPr>
            </w:pPr>
            <w:r>
              <w:rPr>
                <w:sz w:val="21"/>
                <w:szCs w:val="21"/>
              </w:rPr>
              <w:t>361</w:t>
            </w:r>
          </w:p>
        </w:tc>
        <w:tc>
          <w:tcPr>
            <w:tcW w:w="768" w:type="dxa"/>
            <w:shd w:val="clear" w:color="auto" w:fill="auto"/>
            <w:vAlign w:val="center"/>
          </w:tcPr>
          <w:p w14:paraId="110BAB33">
            <w:pPr>
              <w:jc w:val="center"/>
              <w:rPr>
                <w:rFonts w:ascii="宋体" w:hAnsi="宋体" w:eastAsia="宋体" w:cs="宋体"/>
                <w:sz w:val="21"/>
                <w:szCs w:val="21"/>
                <w:lang w:val="en-US" w:eastAsia="zh-CN" w:bidi="ar-SA"/>
              </w:rPr>
            </w:pPr>
            <w:r>
              <w:rPr>
                <w:sz w:val="21"/>
                <w:szCs w:val="21"/>
              </w:rPr>
              <w:t>0</w:t>
            </w:r>
          </w:p>
        </w:tc>
        <w:tc>
          <w:tcPr>
            <w:tcW w:w="694" w:type="dxa"/>
            <w:vAlign w:val="center"/>
          </w:tcPr>
          <w:p w14:paraId="5B122DD2">
            <w:pPr>
              <w:jc w:val="center"/>
              <w:rPr>
                <w:sz w:val="21"/>
                <w:szCs w:val="21"/>
              </w:rPr>
            </w:pPr>
            <w:r>
              <w:rPr>
                <w:sz w:val="21"/>
                <w:szCs w:val="21"/>
              </w:rPr>
              <w:t>1</w:t>
            </w:r>
          </w:p>
        </w:tc>
        <w:tc>
          <w:tcPr>
            <w:tcW w:w="863" w:type="dxa"/>
            <w:vAlign w:val="center"/>
          </w:tcPr>
          <w:p w14:paraId="140E709C">
            <w:pPr>
              <w:jc w:val="center"/>
              <w:rPr>
                <w:sz w:val="21"/>
                <w:szCs w:val="21"/>
              </w:rPr>
            </w:pPr>
            <w:r>
              <w:rPr>
                <w:sz w:val="21"/>
                <w:szCs w:val="21"/>
              </w:rPr>
              <w:t>5</w:t>
            </w:r>
          </w:p>
        </w:tc>
        <w:tc>
          <w:tcPr>
            <w:tcW w:w="937" w:type="dxa"/>
            <w:vAlign w:val="center"/>
          </w:tcPr>
          <w:p w14:paraId="47EFF35A">
            <w:pPr>
              <w:jc w:val="center"/>
              <w:rPr>
                <w:sz w:val="21"/>
                <w:szCs w:val="21"/>
              </w:rPr>
            </w:pPr>
            <w:r>
              <w:rPr>
                <w:sz w:val="21"/>
                <w:szCs w:val="21"/>
              </w:rPr>
              <w:t>94</w:t>
            </w:r>
          </w:p>
        </w:tc>
        <w:tc>
          <w:tcPr>
            <w:tcW w:w="975" w:type="dxa"/>
            <w:vMerge w:val="continue"/>
            <w:tcBorders>
              <w:left w:val="single" w:color="000000" w:sz="4" w:space="0"/>
              <w:right w:val="single" w:color="000000" w:sz="4" w:space="0"/>
            </w:tcBorders>
            <w:vAlign w:val="center"/>
          </w:tcPr>
          <w:p w14:paraId="29645BD2">
            <w:pPr>
              <w:jc w:val="center"/>
              <w:rPr>
                <w:sz w:val="21"/>
                <w:szCs w:val="21"/>
              </w:rPr>
            </w:pPr>
          </w:p>
        </w:tc>
        <w:tc>
          <w:tcPr>
            <w:tcW w:w="844" w:type="dxa"/>
            <w:vAlign w:val="center"/>
          </w:tcPr>
          <w:p w14:paraId="56D1C57A">
            <w:pPr>
              <w:jc w:val="center"/>
              <w:rPr>
                <w:sz w:val="21"/>
                <w:szCs w:val="21"/>
              </w:rPr>
            </w:pPr>
            <w:r>
              <w:rPr>
                <w:sz w:val="21"/>
                <w:szCs w:val="21"/>
              </w:rPr>
              <w:t>25</w:t>
            </w:r>
          </w:p>
        </w:tc>
        <w:tc>
          <w:tcPr>
            <w:tcW w:w="1012" w:type="dxa"/>
            <w:vAlign w:val="center"/>
          </w:tcPr>
          <w:p w14:paraId="30AF9CFC">
            <w:pPr>
              <w:jc w:val="center"/>
              <w:rPr>
                <w:sz w:val="21"/>
                <w:szCs w:val="21"/>
              </w:rPr>
            </w:pPr>
            <w:r>
              <w:rPr>
                <w:sz w:val="21"/>
                <w:szCs w:val="21"/>
              </w:rPr>
              <w:t>63</w:t>
            </w:r>
          </w:p>
        </w:tc>
        <w:tc>
          <w:tcPr>
            <w:tcW w:w="668" w:type="dxa"/>
            <w:vAlign w:val="center"/>
          </w:tcPr>
          <w:p w14:paraId="111BB258">
            <w:pPr>
              <w:jc w:val="center"/>
              <w:rPr>
                <w:sz w:val="21"/>
                <w:szCs w:val="21"/>
              </w:rPr>
            </w:pPr>
            <w:r>
              <w:rPr>
                <w:sz w:val="21"/>
                <w:szCs w:val="21"/>
              </w:rPr>
              <w:t>1</w:t>
            </w:r>
          </w:p>
        </w:tc>
      </w:tr>
      <w:tr w14:paraId="009474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0" w:type="auto"/>
            <w:vAlign w:val="center"/>
          </w:tcPr>
          <w:p w14:paraId="63480C0B">
            <w:pPr>
              <w:jc w:val="center"/>
              <w:rPr>
                <w:rFonts w:hint="default" w:eastAsia="宋体"/>
                <w:sz w:val="21"/>
                <w:szCs w:val="21"/>
                <w:lang w:val="en-US" w:eastAsia="zh-CN"/>
              </w:rPr>
            </w:pPr>
            <w:r>
              <w:rPr>
                <w:rFonts w:hint="eastAsia"/>
                <w:sz w:val="21"/>
                <w:szCs w:val="21"/>
                <w:lang w:val="en-US" w:eastAsia="zh-CN"/>
              </w:rPr>
              <w:t>18</w:t>
            </w:r>
          </w:p>
        </w:tc>
        <w:tc>
          <w:tcPr>
            <w:tcW w:w="522" w:type="dxa"/>
            <w:vMerge w:val="continue"/>
            <w:tcBorders>
              <w:left w:val="single" w:color="000000" w:sz="4" w:space="0"/>
              <w:right w:val="single" w:color="000000" w:sz="4" w:space="0"/>
            </w:tcBorders>
          </w:tcPr>
          <w:p w14:paraId="29860B34">
            <w:pPr>
              <w:rPr>
                <w:sz w:val="21"/>
                <w:szCs w:val="21"/>
              </w:rPr>
            </w:pPr>
          </w:p>
        </w:tc>
        <w:tc>
          <w:tcPr>
            <w:tcW w:w="1594" w:type="dxa"/>
            <w:shd w:val="clear" w:color="auto" w:fill="auto"/>
            <w:vAlign w:val="top"/>
          </w:tcPr>
          <w:p w14:paraId="5AB21E15">
            <w:pPr>
              <w:pStyle w:val="465"/>
              <w:spacing w:line="240" w:lineRule="auto"/>
              <w:ind w:firstLine="0" w:firstLineChars="0"/>
              <w:jc w:val="center"/>
              <w:rPr>
                <w:rFonts w:hint="eastAsia" w:ascii="Times New Roman" w:hAnsi="Times New Roman" w:eastAsia="宋体" w:cs="Times New Roman"/>
                <w:bCs/>
                <w:kern w:val="24"/>
                <w:sz w:val="21"/>
                <w:szCs w:val="21"/>
                <w:lang w:val="en-US" w:eastAsia="zh-CN" w:bidi="ar-SA"/>
              </w:rPr>
            </w:pPr>
            <w:r>
              <w:rPr>
                <w:rFonts w:hint="eastAsia" w:ascii="Times New Roman" w:hAnsi="Times New Roman" w:eastAsia="宋体" w:cs="Times New Roman"/>
                <w:bCs/>
                <w:sz w:val="21"/>
                <w:szCs w:val="21"/>
                <w:lang w:val="en-US" w:eastAsia="zh-CN"/>
              </w:rPr>
              <w:t>竖冷窑风机</w:t>
            </w:r>
          </w:p>
        </w:tc>
        <w:tc>
          <w:tcPr>
            <w:tcW w:w="1143" w:type="dxa"/>
            <w:shd w:val="clear" w:color="auto" w:fill="auto"/>
            <w:vAlign w:val="center"/>
          </w:tcPr>
          <w:p w14:paraId="1FDA5C59">
            <w:pPr>
              <w:pStyle w:val="465"/>
              <w:spacing w:line="240" w:lineRule="auto"/>
              <w:ind w:firstLine="0" w:firstLineChars="0"/>
              <w:jc w:val="center"/>
              <w:rPr>
                <w:rFonts w:hint="eastAsia"/>
                <w:bCs/>
                <w:sz w:val="21"/>
                <w:szCs w:val="21"/>
                <w:lang w:val="en-US" w:eastAsia="zh-CN"/>
              </w:rPr>
            </w:pPr>
            <w:r>
              <w:rPr>
                <w:rFonts w:hint="eastAsia"/>
                <w:bCs/>
                <w:sz w:val="21"/>
                <w:szCs w:val="21"/>
                <w:lang w:val="en-US" w:eastAsia="zh-CN"/>
              </w:rPr>
              <w:t>75KW</w:t>
            </w:r>
          </w:p>
        </w:tc>
        <w:tc>
          <w:tcPr>
            <w:tcW w:w="1191" w:type="dxa"/>
            <w:shd w:val="clear" w:color="auto" w:fill="auto"/>
            <w:vAlign w:val="top"/>
          </w:tcPr>
          <w:p w14:paraId="6BA38D75">
            <w:pPr>
              <w:pStyle w:val="465"/>
              <w:spacing w:line="240" w:lineRule="auto"/>
              <w:ind w:firstLine="0" w:firstLineChars="0"/>
              <w:jc w:val="center"/>
              <w:rPr>
                <w:rFonts w:hint="eastAsia" w:ascii="Times New Roman" w:hAnsi="Times New Roman" w:eastAsia="宋体" w:cs="Times New Roman"/>
                <w:kern w:val="24"/>
                <w:sz w:val="21"/>
                <w:szCs w:val="21"/>
                <w:lang w:val="en-US" w:eastAsia="zh-CN" w:bidi="ar-SA"/>
              </w:rPr>
            </w:pPr>
            <w:r>
              <w:rPr>
                <w:rFonts w:hint="eastAsia" w:ascii="Times New Roman" w:hAnsi="Times New Roman" w:eastAsia="宋体" w:cs="Times New Roman"/>
                <w:sz w:val="21"/>
                <w:szCs w:val="21"/>
                <w:lang w:val="en-US" w:eastAsia="zh-CN"/>
              </w:rPr>
              <w:t>90</w:t>
            </w:r>
          </w:p>
        </w:tc>
        <w:tc>
          <w:tcPr>
            <w:tcW w:w="984" w:type="dxa"/>
            <w:vMerge w:val="continue"/>
            <w:tcBorders>
              <w:left w:val="single" w:color="000000" w:sz="4" w:space="0"/>
              <w:right w:val="single" w:color="000000" w:sz="4" w:space="0"/>
            </w:tcBorders>
          </w:tcPr>
          <w:p w14:paraId="0C06744B">
            <w:pPr>
              <w:rPr>
                <w:sz w:val="21"/>
                <w:szCs w:val="21"/>
              </w:rPr>
            </w:pPr>
          </w:p>
        </w:tc>
        <w:tc>
          <w:tcPr>
            <w:tcW w:w="1004" w:type="dxa"/>
            <w:shd w:val="clear" w:color="auto" w:fill="auto"/>
            <w:vAlign w:val="center"/>
          </w:tcPr>
          <w:p w14:paraId="5919E559">
            <w:pPr>
              <w:jc w:val="center"/>
              <w:rPr>
                <w:rFonts w:ascii="宋体" w:hAnsi="宋体" w:eastAsia="宋体" w:cs="宋体"/>
                <w:sz w:val="21"/>
                <w:szCs w:val="21"/>
                <w:lang w:val="en-US" w:eastAsia="zh-CN" w:bidi="ar-SA"/>
              </w:rPr>
            </w:pPr>
            <w:r>
              <w:rPr>
                <w:sz w:val="21"/>
                <w:szCs w:val="21"/>
              </w:rPr>
              <w:t>347</w:t>
            </w:r>
          </w:p>
        </w:tc>
        <w:tc>
          <w:tcPr>
            <w:tcW w:w="768" w:type="dxa"/>
            <w:shd w:val="clear" w:color="auto" w:fill="auto"/>
            <w:vAlign w:val="center"/>
          </w:tcPr>
          <w:p w14:paraId="0E83B805">
            <w:pPr>
              <w:jc w:val="center"/>
              <w:rPr>
                <w:rFonts w:ascii="宋体" w:hAnsi="宋体" w:eastAsia="宋体" w:cs="宋体"/>
                <w:sz w:val="21"/>
                <w:szCs w:val="21"/>
                <w:lang w:val="en-US" w:eastAsia="zh-CN" w:bidi="ar-SA"/>
              </w:rPr>
            </w:pPr>
            <w:r>
              <w:rPr>
                <w:sz w:val="21"/>
                <w:szCs w:val="21"/>
              </w:rPr>
              <w:t>162</w:t>
            </w:r>
          </w:p>
        </w:tc>
        <w:tc>
          <w:tcPr>
            <w:tcW w:w="694" w:type="dxa"/>
            <w:vAlign w:val="center"/>
          </w:tcPr>
          <w:p w14:paraId="4B1B6981">
            <w:pPr>
              <w:jc w:val="center"/>
              <w:rPr>
                <w:sz w:val="21"/>
                <w:szCs w:val="21"/>
              </w:rPr>
            </w:pPr>
            <w:r>
              <w:rPr>
                <w:sz w:val="21"/>
                <w:szCs w:val="21"/>
              </w:rPr>
              <w:t>1</w:t>
            </w:r>
          </w:p>
        </w:tc>
        <w:tc>
          <w:tcPr>
            <w:tcW w:w="863" w:type="dxa"/>
            <w:vAlign w:val="center"/>
          </w:tcPr>
          <w:p w14:paraId="64F665AC">
            <w:pPr>
              <w:jc w:val="center"/>
              <w:rPr>
                <w:sz w:val="21"/>
                <w:szCs w:val="21"/>
              </w:rPr>
            </w:pPr>
            <w:r>
              <w:rPr>
                <w:sz w:val="21"/>
                <w:szCs w:val="21"/>
              </w:rPr>
              <w:t>5</w:t>
            </w:r>
          </w:p>
        </w:tc>
        <w:tc>
          <w:tcPr>
            <w:tcW w:w="937" w:type="dxa"/>
            <w:vAlign w:val="center"/>
          </w:tcPr>
          <w:p w14:paraId="39178555">
            <w:pPr>
              <w:jc w:val="center"/>
              <w:rPr>
                <w:sz w:val="21"/>
                <w:szCs w:val="21"/>
              </w:rPr>
            </w:pPr>
            <w:r>
              <w:rPr>
                <w:sz w:val="21"/>
                <w:szCs w:val="21"/>
              </w:rPr>
              <w:t>76</w:t>
            </w:r>
          </w:p>
        </w:tc>
        <w:tc>
          <w:tcPr>
            <w:tcW w:w="975" w:type="dxa"/>
            <w:vMerge w:val="continue"/>
            <w:tcBorders>
              <w:left w:val="single" w:color="000000" w:sz="4" w:space="0"/>
              <w:right w:val="single" w:color="000000" w:sz="4" w:space="0"/>
            </w:tcBorders>
            <w:vAlign w:val="center"/>
          </w:tcPr>
          <w:p w14:paraId="769CB5D6">
            <w:pPr>
              <w:jc w:val="center"/>
              <w:rPr>
                <w:sz w:val="21"/>
                <w:szCs w:val="21"/>
              </w:rPr>
            </w:pPr>
          </w:p>
        </w:tc>
        <w:tc>
          <w:tcPr>
            <w:tcW w:w="844" w:type="dxa"/>
            <w:vAlign w:val="center"/>
          </w:tcPr>
          <w:p w14:paraId="253931AE">
            <w:pPr>
              <w:jc w:val="center"/>
              <w:rPr>
                <w:sz w:val="21"/>
                <w:szCs w:val="21"/>
              </w:rPr>
            </w:pPr>
            <w:r>
              <w:rPr>
                <w:sz w:val="21"/>
                <w:szCs w:val="21"/>
              </w:rPr>
              <w:t>25</w:t>
            </w:r>
          </w:p>
        </w:tc>
        <w:tc>
          <w:tcPr>
            <w:tcW w:w="1012" w:type="dxa"/>
            <w:vAlign w:val="center"/>
          </w:tcPr>
          <w:p w14:paraId="5895A634">
            <w:pPr>
              <w:jc w:val="center"/>
              <w:rPr>
                <w:sz w:val="21"/>
                <w:szCs w:val="21"/>
              </w:rPr>
            </w:pPr>
            <w:r>
              <w:rPr>
                <w:sz w:val="21"/>
                <w:szCs w:val="21"/>
              </w:rPr>
              <w:t>45</w:t>
            </w:r>
          </w:p>
        </w:tc>
        <w:tc>
          <w:tcPr>
            <w:tcW w:w="668" w:type="dxa"/>
            <w:vAlign w:val="center"/>
          </w:tcPr>
          <w:p w14:paraId="2BD8C461">
            <w:pPr>
              <w:jc w:val="center"/>
              <w:rPr>
                <w:sz w:val="21"/>
                <w:szCs w:val="21"/>
              </w:rPr>
            </w:pPr>
            <w:r>
              <w:rPr>
                <w:sz w:val="21"/>
                <w:szCs w:val="21"/>
              </w:rPr>
              <w:t>1</w:t>
            </w:r>
          </w:p>
        </w:tc>
      </w:tr>
      <w:tr w14:paraId="655881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0" w:type="auto"/>
            <w:vAlign w:val="center"/>
          </w:tcPr>
          <w:p w14:paraId="6649D28C">
            <w:pPr>
              <w:jc w:val="center"/>
              <w:rPr>
                <w:rFonts w:hint="default" w:eastAsia="宋体"/>
                <w:sz w:val="21"/>
                <w:szCs w:val="21"/>
                <w:lang w:val="en-US" w:eastAsia="zh-CN"/>
              </w:rPr>
            </w:pPr>
            <w:r>
              <w:rPr>
                <w:rFonts w:hint="eastAsia"/>
                <w:sz w:val="21"/>
                <w:szCs w:val="21"/>
                <w:lang w:val="en-US" w:eastAsia="zh-CN"/>
              </w:rPr>
              <w:t>19</w:t>
            </w:r>
          </w:p>
        </w:tc>
        <w:tc>
          <w:tcPr>
            <w:tcW w:w="522" w:type="dxa"/>
            <w:vMerge w:val="continue"/>
            <w:tcBorders>
              <w:left w:val="single" w:color="000000" w:sz="4" w:space="0"/>
              <w:right w:val="single" w:color="000000" w:sz="4" w:space="0"/>
            </w:tcBorders>
          </w:tcPr>
          <w:p w14:paraId="3E92ECAD">
            <w:pPr>
              <w:rPr>
                <w:sz w:val="21"/>
                <w:szCs w:val="21"/>
              </w:rPr>
            </w:pPr>
          </w:p>
        </w:tc>
        <w:tc>
          <w:tcPr>
            <w:tcW w:w="1594" w:type="dxa"/>
            <w:shd w:val="clear" w:color="auto" w:fill="auto"/>
            <w:vAlign w:val="top"/>
          </w:tcPr>
          <w:p w14:paraId="6DE33649">
            <w:pPr>
              <w:pStyle w:val="465"/>
              <w:spacing w:line="240" w:lineRule="auto"/>
              <w:ind w:firstLine="0" w:firstLineChars="0"/>
              <w:jc w:val="center"/>
              <w:rPr>
                <w:rFonts w:hint="eastAsia" w:ascii="Times New Roman" w:hAnsi="Times New Roman" w:eastAsia="宋体" w:cs="Times New Roman"/>
                <w:bCs/>
                <w:kern w:val="24"/>
                <w:sz w:val="21"/>
                <w:szCs w:val="21"/>
                <w:lang w:val="en-US" w:eastAsia="zh-CN" w:bidi="ar-SA"/>
              </w:rPr>
            </w:pPr>
            <w:r>
              <w:rPr>
                <w:rFonts w:hint="eastAsia" w:ascii="Times New Roman" w:hAnsi="Times New Roman" w:eastAsia="宋体" w:cs="Times New Roman"/>
                <w:bCs/>
                <w:sz w:val="21"/>
                <w:szCs w:val="21"/>
                <w:lang w:val="en-US" w:eastAsia="zh-CN"/>
              </w:rPr>
              <w:t>除尘风机</w:t>
            </w:r>
          </w:p>
        </w:tc>
        <w:tc>
          <w:tcPr>
            <w:tcW w:w="1143" w:type="dxa"/>
            <w:shd w:val="clear" w:color="auto" w:fill="auto"/>
            <w:vAlign w:val="center"/>
          </w:tcPr>
          <w:p w14:paraId="244CE667">
            <w:pPr>
              <w:pStyle w:val="465"/>
              <w:spacing w:line="240" w:lineRule="auto"/>
              <w:ind w:firstLine="0" w:firstLineChars="0"/>
              <w:jc w:val="center"/>
              <w:rPr>
                <w:rFonts w:hint="eastAsia"/>
                <w:bCs/>
                <w:sz w:val="21"/>
                <w:szCs w:val="21"/>
                <w:lang w:val="en-US" w:eastAsia="zh-CN"/>
              </w:rPr>
            </w:pPr>
            <w:r>
              <w:rPr>
                <w:rFonts w:hint="eastAsia"/>
                <w:bCs/>
                <w:sz w:val="21"/>
                <w:szCs w:val="21"/>
                <w:lang w:val="en-US" w:eastAsia="zh-CN"/>
              </w:rPr>
              <w:t>160KW</w:t>
            </w:r>
          </w:p>
        </w:tc>
        <w:tc>
          <w:tcPr>
            <w:tcW w:w="1191" w:type="dxa"/>
            <w:shd w:val="clear" w:color="auto" w:fill="auto"/>
            <w:vAlign w:val="top"/>
          </w:tcPr>
          <w:p w14:paraId="00F0C86E">
            <w:pPr>
              <w:pStyle w:val="465"/>
              <w:spacing w:line="240" w:lineRule="auto"/>
              <w:ind w:firstLine="0" w:firstLineChars="0"/>
              <w:jc w:val="center"/>
              <w:rPr>
                <w:rFonts w:hint="default" w:ascii="Times New Roman" w:hAnsi="Times New Roman" w:eastAsia="宋体" w:cs="Times New Roman"/>
                <w:kern w:val="24"/>
                <w:sz w:val="21"/>
                <w:szCs w:val="21"/>
                <w:lang w:val="en-US" w:eastAsia="zh-CN" w:bidi="ar-SA"/>
              </w:rPr>
            </w:pPr>
            <w:r>
              <w:rPr>
                <w:rFonts w:hint="eastAsia" w:ascii="Times New Roman" w:hAnsi="Times New Roman" w:eastAsia="宋体" w:cs="Times New Roman"/>
                <w:sz w:val="21"/>
                <w:szCs w:val="21"/>
                <w:lang w:val="en-US" w:eastAsia="zh-CN"/>
              </w:rPr>
              <w:t>90</w:t>
            </w:r>
          </w:p>
        </w:tc>
        <w:tc>
          <w:tcPr>
            <w:tcW w:w="984" w:type="dxa"/>
            <w:vMerge w:val="continue"/>
            <w:tcBorders>
              <w:left w:val="single" w:color="000000" w:sz="4" w:space="0"/>
              <w:right w:val="single" w:color="000000" w:sz="4" w:space="0"/>
            </w:tcBorders>
          </w:tcPr>
          <w:p w14:paraId="6F935B03">
            <w:pPr>
              <w:rPr>
                <w:sz w:val="21"/>
                <w:szCs w:val="21"/>
              </w:rPr>
            </w:pPr>
          </w:p>
        </w:tc>
        <w:tc>
          <w:tcPr>
            <w:tcW w:w="1004" w:type="dxa"/>
            <w:shd w:val="clear" w:color="auto" w:fill="auto"/>
            <w:vAlign w:val="center"/>
          </w:tcPr>
          <w:p w14:paraId="3B8AA3A6">
            <w:pPr>
              <w:jc w:val="center"/>
              <w:rPr>
                <w:rFonts w:ascii="宋体" w:hAnsi="宋体" w:eastAsia="宋体" w:cs="宋体"/>
                <w:sz w:val="21"/>
                <w:szCs w:val="21"/>
                <w:lang w:val="en-US" w:eastAsia="zh-CN" w:bidi="ar-SA"/>
              </w:rPr>
            </w:pPr>
            <w:r>
              <w:rPr>
                <w:sz w:val="21"/>
                <w:szCs w:val="21"/>
              </w:rPr>
              <w:t>347</w:t>
            </w:r>
          </w:p>
        </w:tc>
        <w:tc>
          <w:tcPr>
            <w:tcW w:w="768" w:type="dxa"/>
            <w:shd w:val="clear" w:color="auto" w:fill="auto"/>
            <w:vAlign w:val="center"/>
          </w:tcPr>
          <w:p w14:paraId="679E0100">
            <w:pPr>
              <w:jc w:val="center"/>
              <w:rPr>
                <w:rFonts w:ascii="宋体" w:hAnsi="宋体" w:eastAsia="宋体" w:cs="宋体"/>
                <w:sz w:val="21"/>
                <w:szCs w:val="21"/>
                <w:lang w:val="en-US" w:eastAsia="zh-CN" w:bidi="ar-SA"/>
              </w:rPr>
            </w:pPr>
            <w:r>
              <w:rPr>
                <w:sz w:val="21"/>
                <w:szCs w:val="21"/>
              </w:rPr>
              <w:t>185</w:t>
            </w:r>
          </w:p>
        </w:tc>
        <w:tc>
          <w:tcPr>
            <w:tcW w:w="694" w:type="dxa"/>
            <w:vAlign w:val="center"/>
          </w:tcPr>
          <w:p w14:paraId="064FF05F">
            <w:pPr>
              <w:jc w:val="center"/>
              <w:rPr>
                <w:sz w:val="21"/>
                <w:szCs w:val="21"/>
              </w:rPr>
            </w:pPr>
            <w:r>
              <w:rPr>
                <w:sz w:val="21"/>
                <w:szCs w:val="21"/>
              </w:rPr>
              <w:t>1</w:t>
            </w:r>
          </w:p>
        </w:tc>
        <w:tc>
          <w:tcPr>
            <w:tcW w:w="863" w:type="dxa"/>
            <w:vAlign w:val="center"/>
          </w:tcPr>
          <w:p w14:paraId="27A9E51F">
            <w:pPr>
              <w:jc w:val="center"/>
              <w:rPr>
                <w:sz w:val="21"/>
                <w:szCs w:val="21"/>
              </w:rPr>
            </w:pPr>
            <w:r>
              <w:rPr>
                <w:sz w:val="21"/>
                <w:szCs w:val="21"/>
              </w:rPr>
              <w:t>5</w:t>
            </w:r>
          </w:p>
        </w:tc>
        <w:tc>
          <w:tcPr>
            <w:tcW w:w="937" w:type="dxa"/>
            <w:vAlign w:val="center"/>
          </w:tcPr>
          <w:p w14:paraId="523479B6">
            <w:pPr>
              <w:jc w:val="center"/>
              <w:rPr>
                <w:sz w:val="21"/>
                <w:szCs w:val="21"/>
              </w:rPr>
            </w:pPr>
            <w:r>
              <w:rPr>
                <w:sz w:val="21"/>
                <w:szCs w:val="21"/>
              </w:rPr>
              <w:t>81</w:t>
            </w:r>
          </w:p>
        </w:tc>
        <w:tc>
          <w:tcPr>
            <w:tcW w:w="975" w:type="dxa"/>
            <w:vMerge w:val="continue"/>
            <w:tcBorders>
              <w:left w:val="single" w:color="000000" w:sz="4" w:space="0"/>
              <w:right w:val="single" w:color="000000" w:sz="4" w:space="0"/>
            </w:tcBorders>
            <w:vAlign w:val="center"/>
          </w:tcPr>
          <w:p w14:paraId="60DA0C82">
            <w:pPr>
              <w:jc w:val="center"/>
              <w:rPr>
                <w:sz w:val="21"/>
                <w:szCs w:val="21"/>
              </w:rPr>
            </w:pPr>
          </w:p>
        </w:tc>
        <w:tc>
          <w:tcPr>
            <w:tcW w:w="844" w:type="dxa"/>
            <w:vAlign w:val="center"/>
          </w:tcPr>
          <w:p w14:paraId="67D76A8E">
            <w:pPr>
              <w:jc w:val="center"/>
              <w:rPr>
                <w:sz w:val="21"/>
                <w:szCs w:val="21"/>
              </w:rPr>
            </w:pPr>
            <w:r>
              <w:rPr>
                <w:sz w:val="21"/>
                <w:szCs w:val="21"/>
              </w:rPr>
              <w:t>25</w:t>
            </w:r>
          </w:p>
        </w:tc>
        <w:tc>
          <w:tcPr>
            <w:tcW w:w="1012" w:type="dxa"/>
            <w:vAlign w:val="center"/>
          </w:tcPr>
          <w:p w14:paraId="267197DD">
            <w:pPr>
              <w:jc w:val="center"/>
              <w:rPr>
                <w:sz w:val="21"/>
                <w:szCs w:val="21"/>
              </w:rPr>
            </w:pPr>
            <w:r>
              <w:rPr>
                <w:sz w:val="21"/>
                <w:szCs w:val="21"/>
              </w:rPr>
              <w:t>50</w:t>
            </w:r>
          </w:p>
        </w:tc>
        <w:tc>
          <w:tcPr>
            <w:tcW w:w="668" w:type="dxa"/>
            <w:vAlign w:val="center"/>
          </w:tcPr>
          <w:p w14:paraId="6A537891">
            <w:pPr>
              <w:jc w:val="center"/>
              <w:rPr>
                <w:sz w:val="21"/>
                <w:szCs w:val="21"/>
              </w:rPr>
            </w:pPr>
            <w:r>
              <w:rPr>
                <w:sz w:val="21"/>
                <w:szCs w:val="21"/>
              </w:rPr>
              <w:t>1</w:t>
            </w:r>
          </w:p>
        </w:tc>
      </w:tr>
    </w:tbl>
    <w:p w14:paraId="7E4048CF">
      <w:pPr>
        <w:pStyle w:val="2"/>
        <w:ind w:left="0" w:leftChars="0" w:firstLine="0" w:firstLineChars="0"/>
        <w:rPr>
          <w:rFonts w:hint="eastAsia"/>
        </w:rPr>
        <w:sectPr>
          <w:pgSz w:w="16840" w:h="11907" w:orient="landscape"/>
          <w:pgMar w:top="1701" w:right="1701" w:bottom="1701" w:left="1701" w:header="851" w:footer="1077" w:gutter="0"/>
          <w:pgBorders w:offsetFrom="page">
            <w:top w:val="none" w:sz="0" w:space="0"/>
            <w:left w:val="none" w:sz="0" w:space="0"/>
            <w:bottom w:val="none" w:sz="0" w:space="0"/>
            <w:right w:val="none" w:sz="0" w:space="0"/>
          </w:pgBorders>
          <w:pgNumType w:fmt="decimal"/>
          <w:cols w:space="720" w:num="1"/>
          <w:docGrid w:type="lines" w:linePitch="479" w:charSpace="0"/>
        </w:sectPr>
      </w:pPr>
    </w:p>
    <w:p w14:paraId="6426B1EF">
      <w:pPr>
        <w:pStyle w:val="7"/>
        <w:rPr>
          <w:rFonts w:hint="eastAsia"/>
          <w:lang w:eastAsia="zh-CN"/>
        </w:rPr>
      </w:pPr>
      <w:bookmarkStart w:id="320" w:name="_Toc16407"/>
      <w:bookmarkStart w:id="321" w:name="_Toc90026267"/>
      <w:r>
        <w:rPr>
          <w:rFonts w:hint="eastAsia"/>
          <w:lang w:eastAsia="zh-CN"/>
        </w:rPr>
        <w:t xml:space="preserve">3.4.5 </w:t>
      </w:r>
      <w:r>
        <w:rPr>
          <w:rFonts w:hint="eastAsia"/>
          <w:lang w:val="en-US" w:eastAsia="zh-CN"/>
        </w:rPr>
        <w:t>固废</w:t>
      </w:r>
      <w:bookmarkEnd w:id="320"/>
      <w:r>
        <w:rPr>
          <w:rFonts w:hint="eastAsia"/>
          <w:lang w:val="en-US" w:eastAsia="zh-CN"/>
        </w:rPr>
        <w:t xml:space="preserve"> </w:t>
      </w:r>
    </w:p>
    <w:p w14:paraId="71AF2A05">
      <w:pPr>
        <w:keepNext w:val="0"/>
        <w:keepLines w:val="0"/>
        <w:widowControl/>
        <w:suppressLineNumbers w:val="0"/>
        <w:ind w:firstLine="480" w:firstLineChars="200"/>
        <w:jc w:val="left"/>
      </w:pPr>
      <w:r>
        <w:rPr>
          <w:rFonts w:hint="eastAsia" w:ascii="宋体" w:hAnsi="宋体" w:eastAsia="宋体" w:cs="宋体"/>
          <w:color w:val="000000"/>
          <w:kern w:val="0"/>
          <w:sz w:val="24"/>
          <w:szCs w:val="24"/>
          <w:lang w:val="en-US" w:eastAsia="zh-CN" w:bidi="ar"/>
        </w:rPr>
        <w:t xml:space="preserve">技改项目固体废物分为一般工业固废、危险废物。一般工业固废主要有除尘灰、除尘灰浆、脱硫灰、废布袋，危险废物为废矿物油和脱硝废催化剂。 </w:t>
      </w:r>
    </w:p>
    <w:p w14:paraId="242BFD18">
      <w:pPr>
        <w:keepNext w:val="0"/>
        <w:keepLines w:val="0"/>
        <w:widowControl/>
        <w:suppressLineNumbers w:val="0"/>
        <w:ind w:firstLine="480" w:firstLineChars="200"/>
        <w:jc w:val="left"/>
      </w:pPr>
      <w:r>
        <w:rPr>
          <w:rFonts w:hint="eastAsia" w:ascii="宋体" w:hAnsi="宋体" w:eastAsia="宋体" w:cs="宋体"/>
          <w:color w:val="000000"/>
          <w:kern w:val="0"/>
          <w:sz w:val="24"/>
          <w:szCs w:val="24"/>
          <w:lang w:val="en-US" w:eastAsia="zh-CN" w:bidi="ar"/>
        </w:rPr>
        <w:t>（</w:t>
      </w:r>
      <w:r>
        <w:rPr>
          <w:rFonts w:hint="default" w:ascii="Times New Roman" w:hAnsi="Times New Roman" w:eastAsia="宋体" w:cs="Times New Roman"/>
          <w:color w:val="000000"/>
          <w:kern w:val="0"/>
          <w:sz w:val="24"/>
          <w:szCs w:val="24"/>
          <w:lang w:val="en-US" w:eastAsia="zh-CN" w:bidi="ar"/>
        </w:rPr>
        <w:t>1</w:t>
      </w:r>
      <w:r>
        <w:rPr>
          <w:rFonts w:hint="eastAsia" w:ascii="宋体" w:hAnsi="宋体" w:eastAsia="宋体" w:cs="宋体"/>
          <w:color w:val="000000"/>
          <w:kern w:val="0"/>
          <w:sz w:val="24"/>
          <w:szCs w:val="24"/>
          <w:lang w:val="en-US" w:eastAsia="zh-CN" w:bidi="ar"/>
        </w:rPr>
        <w:t xml:space="preserve">）除尘灰 </w:t>
      </w:r>
    </w:p>
    <w:p w14:paraId="278D7FC4">
      <w:pPr>
        <w:keepNext w:val="0"/>
        <w:keepLines w:val="0"/>
        <w:widowControl/>
        <w:suppressLineNumbers w:val="0"/>
        <w:ind w:firstLine="480" w:firstLineChars="200"/>
        <w:jc w:val="left"/>
      </w:pPr>
      <w:r>
        <w:rPr>
          <w:rFonts w:hint="eastAsia" w:ascii="宋体" w:hAnsi="宋体" w:eastAsia="宋体" w:cs="宋体"/>
          <w:color w:val="000000"/>
          <w:kern w:val="0"/>
          <w:sz w:val="24"/>
          <w:szCs w:val="24"/>
          <w:lang w:val="en-US" w:eastAsia="zh-CN" w:bidi="ar"/>
        </w:rPr>
        <w:t>技改项目机头除尘系统、机尾除尘系统、环境除尘系统及配料除尘系统产生除尘灰，根据废气源强核算，除尘灰合计</w:t>
      </w:r>
      <w:r>
        <w:rPr>
          <w:rFonts w:hint="default" w:ascii="Times New Roman" w:hAnsi="Times New Roman" w:eastAsia="宋体" w:cs="Times New Roman"/>
          <w:color w:val="000000"/>
          <w:kern w:val="0"/>
          <w:sz w:val="24"/>
          <w:szCs w:val="24"/>
          <w:lang w:val="en-US" w:eastAsia="zh-CN" w:bidi="ar"/>
        </w:rPr>
        <w:t>40800t/a</w:t>
      </w:r>
      <w:r>
        <w:rPr>
          <w:rFonts w:hint="eastAsia" w:ascii="宋体" w:hAnsi="宋体" w:eastAsia="宋体" w:cs="宋体"/>
          <w:color w:val="000000"/>
          <w:kern w:val="0"/>
          <w:sz w:val="24"/>
          <w:szCs w:val="24"/>
          <w:lang w:val="en-US" w:eastAsia="zh-CN" w:bidi="ar"/>
        </w:rPr>
        <w:t>；混合室除灰系统产生除尘灰浆，根据废气源强和水平衡，灰浆合计</w:t>
      </w:r>
      <w:r>
        <w:rPr>
          <w:rFonts w:hint="default" w:ascii="Times New Roman" w:hAnsi="Times New Roman" w:eastAsia="宋体" w:cs="Times New Roman"/>
          <w:color w:val="000000"/>
          <w:kern w:val="0"/>
          <w:sz w:val="24"/>
          <w:szCs w:val="24"/>
          <w:lang w:val="en-US" w:eastAsia="zh-CN" w:bidi="ar"/>
        </w:rPr>
        <w:t>1568t/a</w:t>
      </w:r>
      <w:r>
        <w:rPr>
          <w:rFonts w:hint="eastAsia" w:ascii="宋体" w:hAnsi="宋体" w:eastAsia="宋体" w:cs="宋体"/>
          <w:color w:val="000000"/>
          <w:kern w:val="0"/>
          <w:sz w:val="24"/>
          <w:szCs w:val="24"/>
          <w:lang w:val="en-US" w:eastAsia="zh-CN" w:bidi="ar"/>
        </w:rPr>
        <w:t xml:space="preserve">（含水 </w:t>
      </w:r>
      <w:r>
        <w:rPr>
          <w:rFonts w:hint="default" w:ascii="Times New Roman" w:hAnsi="Times New Roman" w:eastAsia="宋体" w:cs="Times New Roman"/>
          <w:color w:val="000000"/>
          <w:kern w:val="0"/>
          <w:sz w:val="24"/>
          <w:szCs w:val="24"/>
          <w:lang w:val="en-US" w:eastAsia="zh-CN" w:bidi="ar"/>
        </w:rPr>
        <w:t>80%</w:t>
      </w:r>
      <w:r>
        <w:rPr>
          <w:rFonts w:hint="eastAsia" w:ascii="宋体" w:hAnsi="宋体" w:eastAsia="宋体" w:cs="宋体"/>
          <w:color w:val="000000"/>
          <w:kern w:val="0"/>
          <w:sz w:val="24"/>
          <w:szCs w:val="24"/>
          <w:lang w:val="en-US" w:eastAsia="zh-CN" w:bidi="ar"/>
        </w:rPr>
        <w:t xml:space="preserve">）；除尘灰和除尘灰浆经收集回收后返炉利用，不排放。 </w:t>
      </w:r>
    </w:p>
    <w:p w14:paraId="339D8B1A">
      <w:pPr>
        <w:keepNext w:val="0"/>
        <w:keepLines w:val="0"/>
        <w:widowControl/>
        <w:suppressLineNumbers w:val="0"/>
        <w:ind w:firstLine="480" w:firstLineChars="200"/>
        <w:jc w:val="left"/>
      </w:pPr>
      <w:r>
        <w:rPr>
          <w:rFonts w:hint="eastAsia" w:ascii="宋体" w:hAnsi="宋体" w:eastAsia="宋体" w:cs="宋体"/>
          <w:color w:val="000000"/>
          <w:kern w:val="0"/>
          <w:sz w:val="24"/>
          <w:szCs w:val="24"/>
          <w:lang w:val="en-US" w:eastAsia="zh-CN" w:bidi="ar"/>
        </w:rPr>
        <w:t>（</w:t>
      </w:r>
      <w:r>
        <w:rPr>
          <w:rFonts w:hint="default" w:ascii="Times New Roman" w:hAnsi="Times New Roman" w:eastAsia="宋体" w:cs="Times New Roman"/>
          <w:color w:val="000000"/>
          <w:kern w:val="0"/>
          <w:sz w:val="24"/>
          <w:szCs w:val="24"/>
          <w:lang w:val="en-US" w:eastAsia="zh-CN" w:bidi="ar"/>
        </w:rPr>
        <w:t>2</w:t>
      </w:r>
      <w:r>
        <w:rPr>
          <w:rFonts w:hint="eastAsia" w:ascii="宋体" w:hAnsi="宋体" w:eastAsia="宋体" w:cs="宋体"/>
          <w:color w:val="000000"/>
          <w:kern w:val="0"/>
          <w:sz w:val="24"/>
          <w:szCs w:val="24"/>
          <w:lang w:val="en-US" w:eastAsia="zh-CN" w:bidi="ar"/>
        </w:rPr>
        <w:t xml:space="preserve">）脱硫灰 </w:t>
      </w:r>
    </w:p>
    <w:p w14:paraId="31723B99">
      <w:pPr>
        <w:keepNext w:val="0"/>
        <w:keepLines w:val="0"/>
        <w:widowControl/>
        <w:suppressLineNumbers w:val="0"/>
        <w:ind w:firstLine="480" w:firstLineChars="200"/>
        <w:jc w:val="left"/>
      </w:pPr>
      <w:r>
        <w:rPr>
          <w:rFonts w:hint="eastAsia" w:ascii="宋体" w:hAnsi="宋体" w:eastAsia="宋体" w:cs="宋体"/>
          <w:color w:val="000000"/>
          <w:kern w:val="0"/>
          <w:sz w:val="24"/>
          <w:szCs w:val="24"/>
          <w:lang w:val="en-US" w:eastAsia="zh-CN" w:bidi="ar"/>
        </w:rPr>
        <w:t>根据机头废气处理设计资料，机头脱硫渣设计量</w:t>
      </w:r>
      <w:r>
        <w:rPr>
          <w:rFonts w:hint="default" w:ascii="Times New Roman" w:hAnsi="Times New Roman" w:eastAsia="宋体" w:cs="Times New Roman"/>
          <w:color w:val="000000"/>
          <w:kern w:val="0"/>
          <w:sz w:val="24"/>
          <w:szCs w:val="24"/>
          <w:lang w:val="en-US" w:eastAsia="zh-CN" w:bidi="ar"/>
        </w:rPr>
        <w:t>1.2t/h</w:t>
      </w:r>
      <w:r>
        <w:rPr>
          <w:rFonts w:hint="eastAsia" w:ascii="宋体" w:hAnsi="宋体" w:eastAsia="宋体" w:cs="宋体"/>
          <w:color w:val="000000"/>
          <w:kern w:val="0"/>
          <w:sz w:val="24"/>
          <w:szCs w:val="24"/>
          <w:lang w:val="en-US" w:eastAsia="zh-CN" w:bidi="ar"/>
        </w:rPr>
        <w:t>，则年产生量</w:t>
      </w:r>
      <w:r>
        <w:rPr>
          <w:rFonts w:hint="default" w:ascii="Times New Roman" w:hAnsi="Times New Roman" w:eastAsia="宋体" w:cs="Times New Roman"/>
          <w:color w:val="000000"/>
          <w:kern w:val="0"/>
          <w:sz w:val="24"/>
          <w:szCs w:val="24"/>
          <w:lang w:val="en-US" w:eastAsia="zh-CN" w:bidi="ar"/>
        </w:rPr>
        <w:t>9504t/a</w:t>
      </w:r>
      <w:r>
        <w:rPr>
          <w:rFonts w:hint="eastAsia" w:ascii="宋体" w:hAnsi="宋体" w:eastAsia="宋体" w:cs="宋体"/>
          <w:color w:val="000000"/>
          <w:kern w:val="0"/>
          <w:sz w:val="24"/>
          <w:szCs w:val="24"/>
          <w:lang w:val="en-US" w:eastAsia="zh-CN" w:bidi="ar"/>
        </w:rPr>
        <w:t>；</w:t>
      </w:r>
      <w:r>
        <w:rPr>
          <w:rFonts w:hint="eastAsia" w:cs="宋体"/>
          <w:color w:val="000000"/>
          <w:kern w:val="0"/>
          <w:sz w:val="24"/>
          <w:szCs w:val="24"/>
          <w:lang w:val="en-US" w:eastAsia="zh-CN" w:bidi="ar"/>
        </w:rPr>
        <w:t>脱水后量为4752t/a。脱水后外售</w:t>
      </w:r>
      <w:r>
        <w:rPr>
          <w:rFonts w:hint="eastAsia" w:ascii="宋体" w:hAnsi="宋体" w:eastAsia="宋体" w:cs="宋体"/>
          <w:color w:val="000000"/>
          <w:kern w:val="0"/>
          <w:sz w:val="24"/>
          <w:szCs w:val="24"/>
          <w:lang w:val="en-US" w:eastAsia="zh-CN" w:bidi="ar"/>
        </w:rPr>
        <w:t xml:space="preserve">。 </w:t>
      </w:r>
    </w:p>
    <w:p w14:paraId="545FF85E">
      <w:pPr>
        <w:keepNext w:val="0"/>
        <w:keepLines w:val="0"/>
        <w:widowControl/>
        <w:suppressLineNumbers w:val="0"/>
        <w:ind w:firstLine="480" w:firstLineChars="200"/>
        <w:jc w:val="left"/>
      </w:pPr>
      <w:r>
        <w:rPr>
          <w:rFonts w:hint="eastAsia" w:ascii="宋体" w:hAnsi="宋体" w:eastAsia="宋体" w:cs="宋体"/>
          <w:color w:val="000000"/>
          <w:kern w:val="0"/>
          <w:sz w:val="24"/>
          <w:szCs w:val="24"/>
          <w:lang w:val="en-US" w:eastAsia="zh-CN" w:bidi="ar"/>
        </w:rPr>
        <w:t>（</w:t>
      </w:r>
      <w:r>
        <w:rPr>
          <w:rFonts w:hint="default" w:ascii="Times New Roman" w:hAnsi="Times New Roman" w:eastAsia="宋体" w:cs="Times New Roman"/>
          <w:color w:val="000000"/>
          <w:kern w:val="0"/>
          <w:sz w:val="24"/>
          <w:szCs w:val="24"/>
          <w:lang w:val="en-US" w:eastAsia="zh-CN" w:bidi="ar"/>
        </w:rPr>
        <w:t>3</w:t>
      </w:r>
      <w:r>
        <w:rPr>
          <w:rFonts w:hint="eastAsia" w:ascii="宋体" w:hAnsi="宋体" w:eastAsia="宋体" w:cs="宋体"/>
          <w:color w:val="000000"/>
          <w:kern w:val="0"/>
          <w:sz w:val="24"/>
          <w:szCs w:val="24"/>
          <w:lang w:val="en-US" w:eastAsia="zh-CN" w:bidi="ar"/>
        </w:rPr>
        <w:t xml:space="preserve">）废布袋 </w:t>
      </w:r>
    </w:p>
    <w:p w14:paraId="1B3BFAF9">
      <w:pPr>
        <w:keepNext w:val="0"/>
        <w:keepLines w:val="0"/>
        <w:widowControl/>
        <w:suppressLineNumbers w:val="0"/>
        <w:ind w:firstLine="480" w:firstLineChars="200"/>
        <w:jc w:val="left"/>
      </w:pPr>
      <w:r>
        <w:rPr>
          <w:rFonts w:hint="eastAsia" w:ascii="宋体" w:hAnsi="宋体" w:eastAsia="宋体" w:cs="宋体"/>
          <w:color w:val="000000"/>
          <w:kern w:val="0"/>
          <w:sz w:val="24"/>
          <w:szCs w:val="24"/>
          <w:lang w:val="en-US" w:eastAsia="zh-CN" w:bidi="ar"/>
        </w:rPr>
        <w:t>袋式除尘器布袋需要定期更换，平均约半年</w:t>
      </w:r>
      <w:r>
        <w:rPr>
          <w:rFonts w:hint="default" w:ascii="Times New Roman" w:hAnsi="Times New Roman" w:eastAsia="宋体" w:cs="Times New Roman"/>
          <w:color w:val="000000"/>
          <w:kern w:val="0"/>
          <w:sz w:val="24"/>
          <w:szCs w:val="24"/>
          <w:lang w:val="en-US" w:eastAsia="zh-CN" w:bidi="ar"/>
        </w:rPr>
        <w:t xml:space="preserve">~2 </w:t>
      </w:r>
      <w:r>
        <w:rPr>
          <w:rFonts w:hint="eastAsia" w:ascii="宋体" w:hAnsi="宋体" w:eastAsia="宋体" w:cs="宋体"/>
          <w:color w:val="000000"/>
          <w:kern w:val="0"/>
          <w:sz w:val="24"/>
          <w:szCs w:val="24"/>
          <w:lang w:val="en-US" w:eastAsia="zh-CN" w:bidi="ar"/>
        </w:rPr>
        <w:t>年更换一次，平均每年产生量约为</w:t>
      </w:r>
      <w:r>
        <w:rPr>
          <w:rFonts w:hint="default" w:ascii="Times New Roman" w:hAnsi="Times New Roman" w:eastAsia="宋体" w:cs="Times New Roman"/>
          <w:color w:val="000000"/>
          <w:kern w:val="0"/>
          <w:sz w:val="24"/>
          <w:szCs w:val="24"/>
          <w:lang w:val="en-US" w:eastAsia="zh-CN" w:bidi="ar"/>
        </w:rPr>
        <w:t>8t</w:t>
      </w:r>
      <w:r>
        <w:rPr>
          <w:rFonts w:hint="eastAsia" w:ascii="宋体" w:hAnsi="宋体" w:eastAsia="宋体" w:cs="宋体"/>
          <w:color w:val="000000"/>
          <w:kern w:val="0"/>
          <w:sz w:val="24"/>
          <w:szCs w:val="24"/>
          <w:lang w:val="en-US" w:eastAsia="zh-CN" w:bidi="ar"/>
        </w:rPr>
        <w:t xml:space="preserve">，废布袋属于一般工业固废，定期外售综合利用。 </w:t>
      </w:r>
    </w:p>
    <w:p w14:paraId="01634629">
      <w:pPr>
        <w:keepNext w:val="0"/>
        <w:keepLines w:val="0"/>
        <w:widowControl/>
        <w:suppressLineNumbers w:val="0"/>
        <w:ind w:firstLine="480" w:firstLineChars="200"/>
        <w:jc w:val="left"/>
      </w:pPr>
      <w:r>
        <w:rPr>
          <w:rFonts w:hint="eastAsia" w:ascii="宋体" w:hAnsi="宋体" w:eastAsia="宋体" w:cs="宋体"/>
          <w:color w:val="000000"/>
          <w:kern w:val="0"/>
          <w:sz w:val="24"/>
          <w:szCs w:val="24"/>
          <w:lang w:val="en-US" w:eastAsia="zh-CN" w:bidi="ar"/>
        </w:rPr>
        <w:t>（</w:t>
      </w:r>
      <w:r>
        <w:rPr>
          <w:rFonts w:hint="default" w:ascii="Times New Roman" w:hAnsi="Times New Roman" w:eastAsia="宋体" w:cs="Times New Roman"/>
          <w:color w:val="000000"/>
          <w:kern w:val="0"/>
          <w:sz w:val="24"/>
          <w:szCs w:val="24"/>
          <w:lang w:val="en-US" w:eastAsia="zh-CN" w:bidi="ar"/>
        </w:rPr>
        <w:t>4</w:t>
      </w:r>
      <w:r>
        <w:rPr>
          <w:rFonts w:hint="eastAsia" w:ascii="宋体" w:hAnsi="宋体" w:eastAsia="宋体" w:cs="宋体"/>
          <w:color w:val="000000"/>
          <w:kern w:val="0"/>
          <w:sz w:val="24"/>
          <w:szCs w:val="24"/>
          <w:lang w:val="en-US" w:eastAsia="zh-CN" w:bidi="ar"/>
        </w:rPr>
        <w:t xml:space="preserve">）废矿物油 </w:t>
      </w:r>
    </w:p>
    <w:p w14:paraId="1C93F21B">
      <w:pPr>
        <w:keepNext w:val="0"/>
        <w:keepLines w:val="0"/>
        <w:widowControl/>
        <w:suppressLineNumbers w:val="0"/>
        <w:ind w:firstLine="480" w:firstLineChars="200"/>
        <w:jc w:val="left"/>
      </w:pPr>
      <w:r>
        <w:rPr>
          <w:rFonts w:hint="eastAsia" w:ascii="宋体" w:hAnsi="宋体" w:eastAsia="宋体" w:cs="宋体"/>
          <w:color w:val="000000"/>
          <w:kern w:val="0"/>
          <w:sz w:val="24"/>
          <w:szCs w:val="24"/>
          <w:lang w:val="en-US" w:eastAsia="zh-CN" w:bidi="ar"/>
        </w:rPr>
        <w:t xml:space="preserve">企业设备维护产生少量废矿物油，类比现有项目，年产生量约 </w:t>
      </w:r>
      <w:r>
        <w:rPr>
          <w:rFonts w:hint="default" w:ascii="Times New Roman" w:hAnsi="Times New Roman" w:eastAsia="宋体" w:cs="Times New Roman"/>
          <w:color w:val="000000"/>
          <w:kern w:val="0"/>
          <w:sz w:val="24"/>
          <w:szCs w:val="24"/>
          <w:lang w:val="en-US" w:eastAsia="zh-CN" w:bidi="ar"/>
        </w:rPr>
        <w:t>2t/a</w:t>
      </w:r>
      <w:r>
        <w:rPr>
          <w:rFonts w:hint="eastAsia" w:ascii="宋体" w:hAnsi="宋体" w:eastAsia="宋体" w:cs="宋体"/>
          <w:color w:val="000000"/>
          <w:kern w:val="0"/>
          <w:sz w:val="24"/>
          <w:szCs w:val="24"/>
          <w:lang w:val="en-US" w:eastAsia="zh-CN" w:bidi="ar"/>
        </w:rPr>
        <w:t xml:space="preserve">。属于危险废物名录中 </w:t>
      </w:r>
      <w:r>
        <w:rPr>
          <w:rFonts w:hint="default" w:ascii="Times New Roman" w:hAnsi="Times New Roman" w:eastAsia="宋体" w:cs="Times New Roman"/>
          <w:color w:val="000000"/>
          <w:kern w:val="0"/>
          <w:sz w:val="24"/>
          <w:szCs w:val="24"/>
          <w:lang w:val="en-US" w:eastAsia="zh-CN" w:bidi="ar"/>
        </w:rPr>
        <w:t>HW08</w:t>
      </w:r>
      <w:r>
        <w:rPr>
          <w:rFonts w:hint="eastAsia" w:ascii="宋体" w:hAnsi="宋体" w:eastAsia="宋体" w:cs="宋体"/>
          <w:color w:val="000000"/>
          <w:kern w:val="0"/>
          <w:sz w:val="24"/>
          <w:szCs w:val="24"/>
          <w:lang w:val="en-US" w:eastAsia="zh-CN" w:bidi="ar"/>
        </w:rPr>
        <w:t>（</w:t>
      </w:r>
      <w:r>
        <w:rPr>
          <w:rFonts w:hint="default" w:ascii="Times New Roman" w:hAnsi="Times New Roman" w:eastAsia="宋体" w:cs="Times New Roman"/>
          <w:color w:val="000000"/>
          <w:kern w:val="0"/>
          <w:sz w:val="24"/>
          <w:szCs w:val="24"/>
          <w:lang w:val="en-US" w:eastAsia="zh-CN" w:bidi="ar"/>
        </w:rPr>
        <w:t>900-249-08</w:t>
      </w:r>
      <w:r>
        <w:rPr>
          <w:rFonts w:hint="eastAsia" w:ascii="宋体" w:hAnsi="宋体" w:eastAsia="宋体" w:cs="宋体"/>
          <w:color w:val="000000"/>
          <w:kern w:val="0"/>
          <w:sz w:val="24"/>
          <w:szCs w:val="24"/>
          <w:lang w:val="en-US" w:eastAsia="zh-CN" w:bidi="ar"/>
        </w:rPr>
        <w:t xml:space="preserve">），委托有资质单位处理。 </w:t>
      </w:r>
    </w:p>
    <w:p w14:paraId="66B2BCFD">
      <w:pPr>
        <w:keepNext w:val="0"/>
        <w:keepLines w:val="0"/>
        <w:widowControl/>
        <w:suppressLineNumbers w:val="0"/>
        <w:ind w:firstLine="480" w:firstLineChars="200"/>
        <w:jc w:val="left"/>
      </w:pPr>
      <w:r>
        <w:rPr>
          <w:rFonts w:hint="eastAsia" w:ascii="宋体" w:hAnsi="宋体" w:eastAsia="宋体" w:cs="宋体"/>
          <w:color w:val="000000"/>
          <w:kern w:val="0"/>
          <w:sz w:val="24"/>
          <w:szCs w:val="24"/>
          <w:lang w:val="en-US" w:eastAsia="zh-CN" w:bidi="ar"/>
        </w:rPr>
        <w:t>（</w:t>
      </w:r>
      <w:r>
        <w:rPr>
          <w:rFonts w:hint="default" w:ascii="Times New Roman" w:hAnsi="Times New Roman" w:eastAsia="宋体" w:cs="Times New Roman"/>
          <w:color w:val="000000"/>
          <w:kern w:val="0"/>
          <w:sz w:val="24"/>
          <w:szCs w:val="24"/>
          <w:lang w:val="en-US" w:eastAsia="zh-CN" w:bidi="ar"/>
        </w:rPr>
        <w:t>5</w:t>
      </w:r>
      <w:r>
        <w:rPr>
          <w:rFonts w:hint="eastAsia" w:ascii="宋体" w:hAnsi="宋体" w:eastAsia="宋体" w:cs="宋体"/>
          <w:color w:val="000000"/>
          <w:kern w:val="0"/>
          <w:sz w:val="24"/>
          <w:szCs w:val="24"/>
          <w:lang w:val="en-US" w:eastAsia="zh-CN" w:bidi="ar"/>
        </w:rPr>
        <w:t xml:space="preserve">）脱硝废催化剂 </w:t>
      </w:r>
    </w:p>
    <w:p w14:paraId="4C5D0FEE">
      <w:pPr>
        <w:keepNext w:val="0"/>
        <w:keepLines w:val="0"/>
        <w:widowControl/>
        <w:suppressLineNumbers w:val="0"/>
        <w:ind w:firstLine="480" w:firstLineChars="200"/>
        <w:jc w:val="left"/>
      </w:pPr>
      <w:r>
        <w:rPr>
          <w:rFonts w:hint="eastAsia" w:ascii="宋体" w:hAnsi="宋体" w:eastAsia="宋体" w:cs="宋体"/>
          <w:color w:val="000000"/>
          <w:kern w:val="0"/>
          <w:sz w:val="24"/>
          <w:szCs w:val="24"/>
          <w:lang w:val="en-US" w:eastAsia="zh-CN" w:bidi="ar"/>
        </w:rPr>
        <w:t>项目产生的废催化剂主要是烧结烟气脱硝过程中产生的废钒钛系催化剂，催化剂每</w:t>
      </w:r>
      <w:r>
        <w:rPr>
          <w:rFonts w:hint="default" w:ascii="Times New Roman" w:hAnsi="Times New Roman" w:eastAsia="宋体" w:cs="Times New Roman"/>
          <w:color w:val="000000"/>
          <w:kern w:val="0"/>
          <w:sz w:val="24"/>
          <w:szCs w:val="24"/>
          <w:lang w:val="en-US" w:eastAsia="zh-CN" w:bidi="ar"/>
        </w:rPr>
        <w:t xml:space="preserve">3 </w:t>
      </w:r>
      <w:r>
        <w:rPr>
          <w:rFonts w:hint="eastAsia" w:ascii="宋体" w:hAnsi="宋体" w:eastAsia="宋体" w:cs="宋体"/>
          <w:color w:val="000000"/>
          <w:kern w:val="0"/>
          <w:sz w:val="24"/>
          <w:szCs w:val="24"/>
          <w:lang w:val="en-US" w:eastAsia="zh-CN" w:bidi="ar"/>
        </w:rPr>
        <w:t>年更换一次，更换量为</w:t>
      </w:r>
      <w:r>
        <w:rPr>
          <w:rFonts w:hint="default" w:ascii="Times New Roman" w:hAnsi="Times New Roman" w:eastAsia="宋体" w:cs="Times New Roman"/>
          <w:color w:val="000000"/>
          <w:kern w:val="0"/>
          <w:sz w:val="24"/>
          <w:szCs w:val="24"/>
          <w:lang w:val="en-US" w:eastAsia="zh-CN" w:bidi="ar"/>
        </w:rPr>
        <w:t>10t/3a</w:t>
      </w:r>
      <w:r>
        <w:rPr>
          <w:rFonts w:hint="eastAsia" w:ascii="宋体" w:hAnsi="宋体" w:eastAsia="宋体" w:cs="宋体"/>
          <w:color w:val="000000"/>
          <w:kern w:val="0"/>
          <w:sz w:val="24"/>
          <w:szCs w:val="24"/>
          <w:lang w:val="en-US" w:eastAsia="zh-CN" w:bidi="ar"/>
        </w:rPr>
        <w:t xml:space="preserve">，属于危险废物 </w:t>
      </w:r>
      <w:r>
        <w:rPr>
          <w:rFonts w:hint="default" w:ascii="Times New Roman" w:hAnsi="Times New Roman" w:eastAsia="宋体" w:cs="Times New Roman"/>
          <w:color w:val="000000"/>
          <w:kern w:val="0"/>
          <w:sz w:val="24"/>
          <w:szCs w:val="24"/>
          <w:lang w:val="en-US" w:eastAsia="zh-CN" w:bidi="ar"/>
        </w:rPr>
        <w:t>HW50</w:t>
      </w:r>
      <w:r>
        <w:rPr>
          <w:rFonts w:hint="eastAsia" w:ascii="宋体" w:hAnsi="宋体" w:eastAsia="宋体" w:cs="宋体"/>
          <w:color w:val="000000"/>
          <w:kern w:val="0"/>
          <w:sz w:val="24"/>
          <w:szCs w:val="24"/>
          <w:lang w:val="en-US" w:eastAsia="zh-CN" w:bidi="ar"/>
        </w:rPr>
        <w:t>（</w:t>
      </w:r>
      <w:r>
        <w:rPr>
          <w:rFonts w:hint="default" w:ascii="Times New Roman" w:hAnsi="Times New Roman" w:eastAsia="宋体" w:cs="Times New Roman"/>
          <w:color w:val="000000"/>
          <w:kern w:val="0"/>
          <w:sz w:val="24"/>
          <w:szCs w:val="24"/>
          <w:lang w:val="en-US" w:eastAsia="zh-CN" w:bidi="ar"/>
        </w:rPr>
        <w:t>772-007-50</w:t>
      </w:r>
      <w:r>
        <w:rPr>
          <w:rFonts w:hint="eastAsia" w:ascii="宋体" w:hAnsi="宋体" w:eastAsia="宋体" w:cs="宋体"/>
          <w:color w:val="000000"/>
          <w:kern w:val="0"/>
          <w:sz w:val="24"/>
          <w:szCs w:val="24"/>
          <w:lang w:val="en-US" w:eastAsia="zh-CN" w:bidi="ar"/>
        </w:rPr>
        <w:t xml:space="preserve">），更换后委托有资质的单位处理。 </w:t>
      </w:r>
    </w:p>
    <w:p w14:paraId="74572689">
      <w:pPr>
        <w:keepNext w:val="0"/>
        <w:keepLines w:val="0"/>
        <w:widowControl/>
        <w:suppressLineNumbers w:val="0"/>
        <w:ind w:firstLine="480" w:firstLineChars="200"/>
        <w:jc w:val="left"/>
      </w:pPr>
      <w:r>
        <w:rPr>
          <w:rFonts w:hint="eastAsia" w:ascii="宋体" w:hAnsi="宋体" w:eastAsia="宋体" w:cs="宋体"/>
          <w:color w:val="000000"/>
          <w:kern w:val="0"/>
          <w:sz w:val="24"/>
          <w:szCs w:val="24"/>
          <w:lang w:val="en-US" w:eastAsia="zh-CN" w:bidi="ar"/>
        </w:rPr>
        <w:t>根据生产工艺及《固体废物鉴别标准 通则》（</w:t>
      </w:r>
      <w:r>
        <w:rPr>
          <w:rFonts w:hint="default" w:ascii="Times New Roman" w:hAnsi="Times New Roman" w:eastAsia="宋体" w:cs="Times New Roman"/>
          <w:color w:val="000000"/>
          <w:kern w:val="0"/>
          <w:sz w:val="24"/>
          <w:szCs w:val="24"/>
          <w:lang w:val="en-US" w:eastAsia="zh-CN" w:bidi="ar"/>
        </w:rPr>
        <w:t>GB 34330-2017</w:t>
      </w:r>
      <w:r>
        <w:rPr>
          <w:rFonts w:hint="eastAsia" w:ascii="宋体" w:hAnsi="宋体" w:eastAsia="宋体" w:cs="宋体"/>
          <w:color w:val="000000"/>
          <w:kern w:val="0"/>
          <w:sz w:val="24"/>
          <w:szCs w:val="24"/>
          <w:lang w:val="en-US" w:eastAsia="zh-CN" w:bidi="ar"/>
        </w:rPr>
        <w:t xml:space="preserve">）的规定，本项目生产过程中副产物的产生情况及属性判定见下表 </w:t>
      </w:r>
      <w:r>
        <w:rPr>
          <w:rFonts w:hint="default" w:ascii="Times New Roman" w:hAnsi="Times New Roman" w:eastAsia="宋体" w:cs="Times New Roman"/>
          <w:color w:val="000000"/>
          <w:kern w:val="0"/>
          <w:sz w:val="24"/>
          <w:szCs w:val="24"/>
          <w:lang w:val="en-US" w:eastAsia="zh-CN" w:bidi="ar"/>
        </w:rPr>
        <w:t>4.6.4-1</w:t>
      </w:r>
      <w:r>
        <w:rPr>
          <w:rFonts w:hint="eastAsia" w:ascii="宋体" w:hAnsi="宋体" w:eastAsia="宋体" w:cs="宋体"/>
          <w:color w:val="000000"/>
          <w:kern w:val="0"/>
          <w:sz w:val="24"/>
          <w:szCs w:val="24"/>
          <w:lang w:val="en-US" w:eastAsia="zh-CN" w:bidi="ar"/>
        </w:rPr>
        <w:t>。</w:t>
      </w:r>
    </w:p>
    <w:p w14:paraId="1D6ED585">
      <w:pPr>
        <w:jc w:val="center"/>
      </w:pPr>
    </w:p>
    <w:p w14:paraId="043ACF0E">
      <w:pPr>
        <w:jc w:val="center"/>
      </w:pPr>
      <w:r>
        <w:t>表4.6.4-1 项目副产物属性判别一览表</w:t>
      </w:r>
    </w:p>
    <w:tbl>
      <w:tblPr>
        <w:tblStyle w:val="56"/>
        <w:tblW w:w="5000" w:type="pct"/>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72"/>
        <w:gridCol w:w="975"/>
        <w:gridCol w:w="1568"/>
        <w:gridCol w:w="427"/>
        <w:gridCol w:w="948"/>
        <w:gridCol w:w="1238"/>
        <w:gridCol w:w="816"/>
        <w:gridCol w:w="1368"/>
        <w:gridCol w:w="1009"/>
      </w:tblGrid>
      <w:tr w14:paraId="3B133E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2" w:type="dxa"/>
            <w:vMerge w:val="restart"/>
            <w:tcBorders>
              <w:top w:val="single" w:color="000000" w:sz="4" w:space="0"/>
              <w:left w:val="single" w:color="000000" w:sz="4" w:space="0"/>
              <w:bottom w:val="single" w:color="000000" w:sz="4" w:space="0"/>
              <w:right w:val="single" w:color="000000" w:sz="4" w:space="0"/>
            </w:tcBorders>
            <w:vAlign w:val="center"/>
          </w:tcPr>
          <w:p w14:paraId="09D81B98">
            <w:pPr>
              <w:jc w:val="center"/>
              <w:rPr>
                <w:b/>
                <w:sz w:val="21"/>
                <w:szCs w:val="21"/>
              </w:rPr>
            </w:pPr>
            <w:r>
              <w:rPr>
                <w:b/>
                <w:sz w:val="21"/>
                <w:szCs w:val="21"/>
              </w:rPr>
              <w:t>序号</w:t>
            </w:r>
          </w:p>
        </w:tc>
        <w:tc>
          <w:tcPr>
            <w:tcW w:w="975" w:type="dxa"/>
            <w:vMerge w:val="restart"/>
            <w:tcBorders>
              <w:top w:val="single" w:color="000000" w:sz="4" w:space="0"/>
              <w:left w:val="single" w:color="000000" w:sz="4" w:space="0"/>
              <w:bottom w:val="single" w:color="000000" w:sz="4" w:space="0"/>
              <w:right w:val="single" w:color="000000" w:sz="4" w:space="0"/>
            </w:tcBorders>
            <w:vAlign w:val="center"/>
          </w:tcPr>
          <w:p w14:paraId="0E53DC2C">
            <w:pPr>
              <w:jc w:val="center"/>
              <w:rPr>
                <w:b/>
                <w:sz w:val="21"/>
                <w:szCs w:val="21"/>
              </w:rPr>
            </w:pPr>
            <w:r>
              <w:rPr>
                <w:b/>
                <w:sz w:val="21"/>
                <w:szCs w:val="21"/>
              </w:rPr>
              <w:t>副产物名称</w:t>
            </w:r>
          </w:p>
        </w:tc>
        <w:tc>
          <w:tcPr>
            <w:tcW w:w="1568" w:type="dxa"/>
            <w:vMerge w:val="restart"/>
            <w:tcBorders>
              <w:top w:val="single" w:color="000000" w:sz="4" w:space="0"/>
              <w:left w:val="single" w:color="000000" w:sz="4" w:space="0"/>
              <w:bottom w:val="single" w:color="000000" w:sz="4" w:space="0"/>
              <w:right w:val="single" w:color="000000" w:sz="4" w:space="0"/>
            </w:tcBorders>
            <w:vAlign w:val="center"/>
          </w:tcPr>
          <w:p w14:paraId="2C316A00">
            <w:pPr>
              <w:jc w:val="center"/>
              <w:rPr>
                <w:b/>
                <w:sz w:val="21"/>
                <w:szCs w:val="21"/>
              </w:rPr>
            </w:pPr>
            <w:r>
              <w:rPr>
                <w:b/>
                <w:sz w:val="21"/>
                <w:szCs w:val="21"/>
              </w:rPr>
              <w:t>产生工序</w:t>
            </w:r>
          </w:p>
        </w:tc>
        <w:tc>
          <w:tcPr>
            <w:tcW w:w="427" w:type="dxa"/>
            <w:vMerge w:val="restart"/>
            <w:tcBorders>
              <w:top w:val="single" w:color="000000" w:sz="4" w:space="0"/>
              <w:left w:val="single" w:color="000000" w:sz="4" w:space="0"/>
              <w:bottom w:val="single" w:color="000000" w:sz="4" w:space="0"/>
              <w:right w:val="single" w:color="000000" w:sz="4" w:space="0"/>
            </w:tcBorders>
            <w:vAlign w:val="center"/>
          </w:tcPr>
          <w:p w14:paraId="6A5032F3">
            <w:pPr>
              <w:jc w:val="center"/>
              <w:rPr>
                <w:b/>
                <w:sz w:val="21"/>
                <w:szCs w:val="21"/>
              </w:rPr>
            </w:pPr>
            <w:r>
              <w:rPr>
                <w:b/>
                <w:sz w:val="21"/>
                <w:szCs w:val="21"/>
              </w:rPr>
              <w:t>形态</w:t>
            </w:r>
          </w:p>
        </w:tc>
        <w:tc>
          <w:tcPr>
            <w:tcW w:w="948" w:type="dxa"/>
            <w:vMerge w:val="restart"/>
            <w:tcBorders>
              <w:top w:val="single" w:color="000000" w:sz="4" w:space="0"/>
              <w:left w:val="single" w:color="000000" w:sz="4" w:space="0"/>
              <w:bottom w:val="single" w:color="000000" w:sz="4" w:space="0"/>
              <w:right w:val="single" w:color="000000" w:sz="4" w:space="0"/>
            </w:tcBorders>
            <w:vAlign w:val="center"/>
          </w:tcPr>
          <w:p w14:paraId="2DE55E45">
            <w:pPr>
              <w:jc w:val="center"/>
              <w:rPr>
                <w:b/>
                <w:sz w:val="21"/>
                <w:szCs w:val="21"/>
              </w:rPr>
            </w:pPr>
            <w:r>
              <w:rPr>
                <w:b/>
                <w:sz w:val="21"/>
                <w:szCs w:val="21"/>
              </w:rPr>
              <w:t>主要成分</w:t>
            </w:r>
          </w:p>
        </w:tc>
        <w:tc>
          <w:tcPr>
            <w:tcW w:w="3422" w:type="dxa"/>
            <w:gridSpan w:val="3"/>
            <w:tcBorders>
              <w:top w:val="single" w:color="000000" w:sz="4" w:space="0"/>
              <w:left w:val="single" w:color="000000" w:sz="4" w:space="0"/>
              <w:bottom w:val="single" w:color="000000" w:sz="4" w:space="0"/>
              <w:right w:val="single" w:color="000000" w:sz="4" w:space="0"/>
            </w:tcBorders>
            <w:vAlign w:val="center"/>
          </w:tcPr>
          <w:p w14:paraId="113845C1">
            <w:pPr>
              <w:jc w:val="center"/>
              <w:rPr>
                <w:b/>
                <w:sz w:val="21"/>
                <w:szCs w:val="21"/>
              </w:rPr>
            </w:pPr>
            <w:r>
              <w:rPr>
                <w:b/>
                <w:sz w:val="21"/>
                <w:szCs w:val="21"/>
              </w:rPr>
              <w:t>种类判断</w:t>
            </w:r>
          </w:p>
        </w:tc>
        <w:tc>
          <w:tcPr>
            <w:tcW w:w="1009" w:type="dxa"/>
            <w:vMerge w:val="restart"/>
            <w:tcBorders>
              <w:top w:val="single" w:color="000000" w:sz="4" w:space="0"/>
              <w:left w:val="single" w:color="000000" w:sz="4" w:space="0"/>
              <w:bottom w:val="single" w:color="000000" w:sz="4" w:space="0"/>
              <w:right w:val="single" w:color="000000" w:sz="4" w:space="0"/>
            </w:tcBorders>
            <w:vAlign w:val="center"/>
          </w:tcPr>
          <w:p w14:paraId="6B0B6664">
            <w:pPr>
              <w:jc w:val="center"/>
              <w:rPr>
                <w:b/>
                <w:sz w:val="21"/>
                <w:szCs w:val="21"/>
              </w:rPr>
            </w:pPr>
            <w:r>
              <w:rPr>
                <w:b/>
                <w:sz w:val="21"/>
                <w:szCs w:val="21"/>
              </w:rPr>
              <w:t>产生量t/a</w:t>
            </w:r>
          </w:p>
        </w:tc>
      </w:tr>
      <w:tr w14:paraId="77B48D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2" w:type="dxa"/>
            <w:vMerge w:val="continue"/>
            <w:tcBorders>
              <w:top w:val="single" w:color="000000" w:sz="4" w:space="0"/>
              <w:left w:val="single" w:color="000000" w:sz="4" w:space="0"/>
              <w:bottom w:val="single" w:color="000000" w:sz="4" w:space="0"/>
              <w:right w:val="single" w:color="000000" w:sz="4" w:space="0"/>
            </w:tcBorders>
            <w:vAlign w:val="center"/>
          </w:tcPr>
          <w:p w14:paraId="7B1FA2C2">
            <w:pPr>
              <w:jc w:val="center"/>
              <w:rPr>
                <w:b/>
              </w:rPr>
            </w:pPr>
          </w:p>
        </w:tc>
        <w:tc>
          <w:tcPr>
            <w:tcW w:w="975" w:type="dxa"/>
            <w:vMerge w:val="continue"/>
            <w:tcBorders>
              <w:top w:val="single" w:color="000000" w:sz="4" w:space="0"/>
              <w:left w:val="single" w:color="000000" w:sz="4" w:space="0"/>
              <w:bottom w:val="single" w:color="000000" w:sz="4" w:space="0"/>
              <w:right w:val="single" w:color="000000" w:sz="4" w:space="0"/>
            </w:tcBorders>
            <w:vAlign w:val="center"/>
          </w:tcPr>
          <w:p w14:paraId="7FA19B9D">
            <w:pPr>
              <w:jc w:val="center"/>
              <w:rPr>
                <w:b/>
              </w:rPr>
            </w:pPr>
          </w:p>
        </w:tc>
        <w:tc>
          <w:tcPr>
            <w:tcW w:w="1568" w:type="dxa"/>
            <w:vMerge w:val="continue"/>
            <w:tcBorders>
              <w:top w:val="single" w:color="000000" w:sz="4" w:space="0"/>
              <w:left w:val="single" w:color="000000" w:sz="4" w:space="0"/>
              <w:bottom w:val="single" w:color="000000" w:sz="4" w:space="0"/>
              <w:right w:val="single" w:color="000000" w:sz="4" w:space="0"/>
            </w:tcBorders>
            <w:vAlign w:val="center"/>
          </w:tcPr>
          <w:p w14:paraId="09953C75">
            <w:pPr>
              <w:jc w:val="center"/>
              <w:rPr>
                <w:b/>
              </w:rPr>
            </w:pPr>
          </w:p>
        </w:tc>
        <w:tc>
          <w:tcPr>
            <w:tcW w:w="427" w:type="dxa"/>
            <w:vMerge w:val="continue"/>
            <w:tcBorders>
              <w:top w:val="single" w:color="000000" w:sz="4" w:space="0"/>
              <w:left w:val="single" w:color="000000" w:sz="4" w:space="0"/>
              <w:bottom w:val="single" w:color="000000" w:sz="4" w:space="0"/>
              <w:right w:val="single" w:color="000000" w:sz="4" w:space="0"/>
            </w:tcBorders>
            <w:vAlign w:val="center"/>
          </w:tcPr>
          <w:p w14:paraId="01BC3AF8">
            <w:pPr>
              <w:jc w:val="center"/>
              <w:rPr>
                <w:b/>
              </w:rPr>
            </w:pPr>
          </w:p>
        </w:tc>
        <w:tc>
          <w:tcPr>
            <w:tcW w:w="948" w:type="dxa"/>
            <w:vMerge w:val="continue"/>
            <w:tcBorders>
              <w:top w:val="single" w:color="000000" w:sz="4" w:space="0"/>
              <w:left w:val="single" w:color="000000" w:sz="4" w:space="0"/>
              <w:bottom w:val="single" w:color="000000" w:sz="4" w:space="0"/>
              <w:right w:val="single" w:color="000000" w:sz="4" w:space="0"/>
            </w:tcBorders>
            <w:vAlign w:val="center"/>
          </w:tcPr>
          <w:p w14:paraId="30F06F8B">
            <w:pPr>
              <w:jc w:val="center"/>
              <w:rPr>
                <w:b/>
              </w:rPr>
            </w:pPr>
          </w:p>
        </w:tc>
        <w:tc>
          <w:tcPr>
            <w:tcW w:w="1238" w:type="dxa"/>
            <w:tcBorders>
              <w:top w:val="single" w:color="000000" w:sz="4" w:space="0"/>
              <w:left w:val="single" w:color="000000" w:sz="4" w:space="0"/>
              <w:bottom w:val="single" w:color="000000" w:sz="4" w:space="0"/>
              <w:right w:val="single" w:color="000000" w:sz="4" w:space="0"/>
            </w:tcBorders>
            <w:vAlign w:val="center"/>
          </w:tcPr>
          <w:p w14:paraId="7165DD76">
            <w:pPr>
              <w:jc w:val="center"/>
              <w:rPr>
                <w:b/>
                <w:sz w:val="21"/>
                <w:szCs w:val="21"/>
              </w:rPr>
            </w:pPr>
            <w:r>
              <w:rPr>
                <w:b/>
                <w:sz w:val="21"/>
                <w:szCs w:val="21"/>
              </w:rPr>
              <w:t>固体废物</w:t>
            </w:r>
          </w:p>
        </w:tc>
        <w:tc>
          <w:tcPr>
            <w:tcW w:w="816" w:type="dxa"/>
            <w:tcBorders>
              <w:top w:val="single" w:color="000000" w:sz="4" w:space="0"/>
              <w:left w:val="single" w:color="000000" w:sz="4" w:space="0"/>
              <w:bottom w:val="single" w:color="000000" w:sz="4" w:space="0"/>
              <w:right w:val="single" w:color="000000" w:sz="4" w:space="0"/>
            </w:tcBorders>
            <w:vAlign w:val="center"/>
          </w:tcPr>
          <w:p w14:paraId="6D7CACA6">
            <w:pPr>
              <w:jc w:val="center"/>
              <w:rPr>
                <w:b/>
                <w:sz w:val="21"/>
                <w:szCs w:val="21"/>
              </w:rPr>
            </w:pPr>
            <w:r>
              <w:rPr>
                <w:b/>
                <w:sz w:val="21"/>
                <w:szCs w:val="21"/>
              </w:rPr>
              <w:t>副产物</w:t>
            </w:r>
          </w:p>
        </w:tc>
        <w:tc>
          <w:tcPr>
            <w:tcW w:w="1368" w:type="dxa"/>
            <w:tcBorders>
              <w:top w:val="single" w:color="000000" w:sz="4" w:space="0"/>
              <w:left w:val="single" w:color="000000" w:sz="4" w:space="0"/>
              <w:bottom w:val="single" w:color="000000" w:sz="4" w:space="0"/>
              <w:right w:val="single" w:color="000000" w:sz="4" w:space="0"/>
            </w:tcBorders>
            <w:vAlign w:val="center"/>
          </w:tcPr>
          <w:p w14:paraId="442B3BCF">
            <w:pPr>
              <w:jc w:val="center"/>
              <w:rPr>
                <w:b/>
                <w:sz w:val="21"/>
                <w:szCs w:val="21"/>
              </w:rPr>
            </w:pPr>
            <w:r>
              <w:rPr>
                <w:b/>
                <w:sz w:val="21"/>
                <w:szCs w:val="21"/>
              </w:rPr>
              <w:t>判定依据</w:t>
            </w:r>
          </w:p>
        </w:tc>
        <w:tc>
          <w:tcPr>
            <w:tcW w:w="1009" w:type="dxa"/>
            <w:vMerge w:val="continue"/>
            <w:tcBorders>
              <w:top w:val="single" w:color="000000" w:sz="4" w:space="0"/>
              <w:left w:val="single" w:color="000000" w:sz="4" w:space="0"/>
              <w:bottom w:val="single" w:color="000000" w:sz="4" w:space="0"/>
              <w:right w:val="single" w:color="000000" w:sz="4" w:space="0"/>
            </w:tcBorders>
            <w:vAlign w:val="center"/>
          </w:tcPr>
          <w:p w14:paraId="10429632">
            <w:pPr>
              <w:jc w:val="center"/>
            </w:pPr>
          </w:p>
        </w:tc>
      </w:tr>
      <w:tr w14:paraId="025008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2" w:type="dxa"/>
            <w:tcBorders>
              <w:top w:val="single" w:color="000000" w:sz="4" w:space="0"/>
              <w:left w:val="single" w:color="000000" w:sz="4" w:space="0"/>
              <w:bottom w:val="single" w:color="000000" w:sz="4" w:space="0"/>
              <w:right w:val="single" w:color="000000" w:sz="4" w:space="0"/>
            </w:tcBorders>
            <w:vAlign w:val="center"/>
          </w:tcPr>
          <w:p w14:paraId="372726C9">
            <w:pPr>
              <w:jc w:val="center"/>
              <w:rPr>
                <w:rFonts w:hint="default" w:ascii="Times New Roman" w:hAnsi="Times New Roman" w:cs="Times New Roman"/>
                <w:sz w:val="21"/>
                <w:szCs w:val="21"/>
              </w:rPr>
            </w:pPr>
            <w:r>
              <w:rPr>
                <w:rFonts w:hint="default" w:ascii="Times New Roman" w:hAnsi="Times New Roman" w:cs="Times New Roman"/>
                <w:sz w:val="21"/>
                <w:szCs w:val="21"/>
              </w:rPr>
              <w:t>1</w:t>
            </w:r>
          </w:p>
        </w:tc>
        <w:tc>
          <w:tcPr>
            <w:tcW w:w="975" w:type="dxa"/>
            <w:tcBorders>
              <w:top w:val="single" w:color="000000" w:sz="4" w:space="0"/>
              <w:left w:val="single" w:color="000000" w:sz="4" w:space="0"/>
              <w:bottom w:val="single" w:color="000000" w:sz="4" w:space="0"/>
              <w:right w:val="single" w:color="000000" w:sz="4" w:space="0"/>
            </w:tcBorders>
            <w:vAlign w:val="center"/>
          </w:tcPr>
          <w:p w14:paraId="67577E72">
            <w:pPr>
              <w:jc w:val="center"/>
              <w:rPr>
                <w:rFonts w:hint="default" w:ascii="Times New Roman" w:hAnsi="Times New Roman" w:cs="Times New Roman"/>
                <w:sz w:val="21"/>
                <w:szCs w:val="21"/>
              </w:rPr>
            </w:pPr>
            <w:r>
              <w:rPr>
                <w:rFonts w:hint="default" w:ascii="Times New Roman" w:hAnsi="Times New Roman" w:cs="Times New Roman"/>
                <w:sz w:val="21"/>
                <w:szCs w:val="21"/>
              </w:rPr>
              <w:t>除尘灰</w:t>
            </w:r>
          </w:p>
        </w:tc>
        <w:tc>
          <w:tcPr>
            <w:tcW w:w="1568" w:type="dxa"/>
            <w:tcBorders>
              <w:top w:val="single" w:color="000000" w:sz="4" w:space="0"/>
              <w:left w:val="single" w:color="000000" w:sz="4" w:space="0"/>
              <w:bottom w:val="single" w:color="000000" w:sz="4" w:space="0"/>
              <w:right w:val="single" w:color="000000" w:sz="4" w:space="0"/>
            </w:tcBorders>
            <w:vAlign w:val="center"/>
          </w:tcPr>
          <w:p w14:paraId="770E2D6E">
            <w:pPr>
              <w:jc w:val="center"/>
              <w:rPr>
                <w:rFonts w:hint="default" w:ascii="Times New Roman" w:hAnsi="Times New Roman" w:cs="Times New Roman"/>
                <w:sz w:val="21"/>
                <w:szCs w:val="21"/>
              </w:rPr>
            </w:pPr>
            <w:r>
              <w:rPr>
                <w:rFonts w:hint="default" w:ascii="Times New Roman" w:hAnsi="Times New Roman" w:cs="Times New Roman"/>
                <w:sz w:val="21"/>
                <w:szCs w:val="21"/>
              </w:rPr>
              <w:t>机头除尘系统、机尾除尘系统、</w:t>
            </w:r>
            <w:r>
              <w:rPr>
                <w:rFonts w:hint="default" w:ascii="Times New Roman" w:hAnsi="Times New Roman" w:cs="Times New Roman"/>
                <w:sz w:val="21"/>
                <w:szCs w:val="21"/>
                <w:lang w:val="en-US" w:eastAsia="zh-CN"/>
              </w:rPr>
              <w:t>竖炉除尘</w:t>
            </w:r>
            <w:r>
              <w:rPr>
                <w:rFonts w:hint="default" w:ascii="Times New Roman" w:hAnsi="Times New Roman" w:cs="Times New Roman"/>
                <w:sz w:val="21"/>
                <w:szCs w:val="21"/>
              </w:rPr>
              <w:t>及配料除尘系统</w:t>
            </w:r>
          </w:p>
        </w:tc>
        <w:tc>
          <w:tcPr>
            <w:tcW w:w="427" w:type="dxa"/>
            <w:tcBorders>
              <w:top w:val="single" w:color="000000" w:sz="4" w:space="0"/>
              <w:left w:val="single" w:color="000000" w:sz="4" w:space="0"/>
              <w:bottom w:val="single" w:color="000000" w:sz="4" w:space="0"/>
              <w:right w:val="single" w:color="000000" w:sz="4" w:space="0"/>
            </w:tcBorders>
            <w:vAlign w:val="center"/>
          </w:tcPr>
          <w:p w14:paraId="4BD8934C">
            <w:pPr>
              <w:jc w:val="center"/>
              <w:rPr>
                <w:rFonts w:hint="default" w:ascii="Times New Roman" w:hAnsi="Times New Roman" w:cs="Times New Roman"/>
                <w:sz w:val="21"/>
                <w:szCs w:val="21"/>
              </w:rPr>
            </w:pPr>
            <w:r>
              <w:rPr>
                <w:rFonts w:hint="default" w:ascii="Times New Roman" w:hAnsi="Times New Roman" w:cs="Times New Roman"/>
                <w:sz w:val="21"/>
                <w:szCs w:val="21"/>
              </w:rPr>
              <w:t>固态</w:t>
            </w:r>
          </w:p>
        </w:tc>
        <w:tc>
          <w:tcPr>
            <w:tcW w:w="948" w:type="dxa"/>
            <w:tcBorders>
              <w:top w:val="single" w:color="000000" w:sz="4" w:space="0"/>
              <w:left w:val="single" w:color="000000" w:sz="4" w:space="0"/>
              <w:bottom w:val="single" w:color="000000" w:sz="4" w:space="0"/>
              <w:right w:val="single" w:color="000000" w:sz="4" w:space="0"/>
            </w:tcBorders>
            <w:vAlign w:val="center"/>
          </w:tcPr>
          <w:p w14:paraId="08C54EAE">
            <w:pPr>
              <w:jc w:val="center"/>
              <w:rPr>
                <w:rFonts w:hint="default" w:ascii="Times New Roman" w:hAnsi="Times New Roman" w:cs="Times New Roman"/>
                <w:sz w:val="21"/>
                <w:szCs w:val="21"/>
              </w:rPr>
            </w:pPr>
            <w:r>
              <w:rPr>
                <w:rFonts w:hint="default" w:ascii="Times New Roman" w:hAnsi="Times New Roman" w:cs="Times New Roman"/>
                <w:sz w:val="21"/>
                <w:szCs w:val="21"/>
              </w:rPr>
              <w:t>粉尘</w:t>
            </w:r>
          </w:p>
        </w:tc>
        <w:tc>
          <w:tcPr>
            <w:tcW w:w="1238" w:type="dxa"/>
            <w:tcBorders>
              <w:top w:val="single" w:color="000000" w:sz="4" w:space="0"/>
              <w:left w:val="single" w:color="000000" w:sz="4" w:space="0"/>
              <w:bottom w:val="single" w:color="000000" w:sz="4" w:space="0"/>
              <w:right w:val="single" w:color="000000" w:sz="4" w:space="0"/>
            </w:tcBorders>
            <w:vAlign w:val="center"/>
          </w:tcPr>
          <w:p w14:paraId="021EB12F">
            <w:pPr>
              <w:jc w:val="center"/>
              <w:rPr>
                <w:rFonts w:hint="default" w:ascii="Times New Roman" w:hAnsi="Times New Roman" w:cs="Times New Roman"/>
                <w:sz w:val="21"/>
                <w:szCs w:val="21"/>
              </w:rPr>
            </w:pPr>
            <w:r>
              <w:rPr>
                <w:rFonts w:hint="default" w:ascii="Times New Roman" w:hAnsi="Times New Roman" w:cs="Times New Roman"/>
                <w:sz w:val="21"/>
                <w:szCs w:val="21"/>
              </w:rPr>
              <w:t>是</w:t>
            </w:r>
          </w:p>
        </w:tc>
        <w:tc>
          <w:tcPr>
            <w:tcW w:w="816" w:type="dxa"/>
            <w:tcBorders>
              <w:top w:val="single" w:color="000000" w:sz="4" w:space="0"/>
              <w:left w:val="single" w:color="000000" w:sz="4" w:space="0"/>
              <w:bottom w:val="single" w:color="000000" w:sz="4" w:space="0"/>
              <w:right w:val="single" w:color="000000" w:sz="4" w:space="0"/>
            </w:tcBorders>
            <w:vAlign w:val="center"/>
          </w:tcPr>
          <w:p w14:paraId="50746F59">
            <w:pPr>
              <w:jc w:val="center"/>
              <w:rPr>
                <w:rFonts w:hint="default" w:ascii="Times New Roman" w:hAnsi="Times New Roman" w:cs="Times New Roman"/>
                <w:sz w:val="21"/>
                <w:szCs w:val="21"/>
              </w:rPr>
            </w:pPr>
            <w:r>
              <w:rPr>
                <w:rFonts w:hint="default" w:ascii="Times New Roman" w:hAnsi="Times New Roman" w:cs="Times New Roman"/>
                <w:sz w:val="21"/>
                <w:szCs w:val="21"/>
              </w:rPr>
              <w:t>/</w:t>
            </w:r>
          </w:p>
        </w:tc>
        <w:tc>
          <w:tcPr>
            <w:tcW w:w="1368" w:type="dxa"/>
            <w:vMerge w:val="restart"/>
            <w:tcBorders>
              <w:top w:val="single" w:color="000000" w:sz="4" w:space="0"/>
              <w:left w:val="single" w:color="000000" w:sz="4" w:space="0"/>
              <w:bottom w:val="single" w:color="000000" w:sz="4" w:space="0"/>
              <w:right w:val="single" w:color="000000" w:sz="4" w:space="0"/>
            </w:tcBorders>
            <w:vAlign w:val="center"/>
          </w:tcPr>
          <w:p w14:paraId="451C3C74">
            <w:pPr>
              <w:jc w:val="center"/>
              <w:rPr>
                <w:rFonts w:hint="default" w:ascii="Times New Roman" w:hAnsi="Times New Roman" w:cs="Times New Roman"/>
                <w:sz w:val="21"/>
                <w:szCs w:val="21"/>
              </w:rPr>
            </w:pPr>
            <w:r>
              <w:rPr>
                <w:rFonts w:hint="default" w:ascii="Times New Roman" w:hAnsi="Times New Roman" w:cs="Times New Roman"/>
                <w:sz w:val="21"/>
                <w:szCs w:val="21"/>
              </w:rPr>
              <w:t>《固体废物鉴别标准通则》(GB 34330-2017)</w:t>
            </w:r>
          </w:p>
        </w:tc>
        <w:tc>
          <w:tcPr>
            <w:tcW w:w="1009" w:type="dxa"/>
            <w:tcBorders>
              <w:top w:val="single" w:color="000000" w:sz="4" w:space="0"/>
              <w:left w:val="single" w:color="000000" w:sz="4" w:space="0"/>
              <w:bottom w:val="single" w:color="000000" w:sz="4" w:space="0"/>
              <w:right w:val="single" w:color="000000" w:sz="4" w:space="0"/>
            </w:tcBorders>
            <w:vAlign w:val="center"/>
          </w:tcPr>
          <w:p w14:paraId="77C81321">
            <w:pPr>
              <w:jc w:val="center"/>
              <w:rPr>
                <w:rFonts w:hint="default" w:ascii="Times New Roman" w:hAnsi="Times New Roman" w:cs="Times New Roman"/>
                <w:sz w:val="21"/>
                <w:szCs w:val="21"/>
              </w:rPr>
            </w:pPr>
            <w:r>
              <w:rPr>
                <w:rFonts w:hint="default" w:ascii="Times New Roman" w:hAnsi="Times New Roman" w:cs="Times New Roman"/>
                <w:sz w:val="21"/>
                <w:szCs w:val="21"/>
              </w:rPr>
              <w:t>40800</w:t>
            </w:r>
          </w:p>
        </w:tc>
      </w:tr>
      <w:tr w14:paraId="412C3A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2" w:type="dxa"/>
            <w:tcBorders>
              <w:top w:val="single" w:color="000000" w:sz="4" w:space="0"/>
              <w:left w:val="single" w:color="000000" w:sz="4" w:space="0"/>
              <w:bottom w:val="single" w:color="000000" w:sz="4" w:space="0"/>
              <w:right w:val="single" w:color="000000" w:sz="4" w:space="0"/>
            </w:tcBorders>
            <w:vAlign w:val="center"/>
          </w:tcPr>
          <w:p w14:paraId="3A5CAC09">
            <w:pPr>
              <w:jc w:val="center"/>
              <w:rPr>
                <w:rFonts w:hint="default" w:ascii="Times New Roman" w:hAnsi="Times New Roman" w:cs="Times New Roman"/>
                <w:sz w:val="21"/>
                <w:szCs w:val="21"/>
              </w:rPr>
            </w:pPr>
            <w:r>
              <w:rPr>
                <w:rFonts w:hint="default" w:ascii="Times New Roman" w:hAnsi="Times New Roman" w:cs="Times New Roman"/>
                <w:sz w:val="21"/>
                <w:szCs w:val="21"/>
              </w:rPr>
              <w:t>2</w:t>
            </w:r>
          </w:p>
        </w:tc>
        <w:tc>
          <w:tcPr>
            <w:tcW w:w="975" w:type="dxa"/>
            <w:tcBorders>
              <w:top w:val="single" w:color="000000" w:sz="4" w:space="0"/>
              <w:left w:val="single" w:color="000000" w:sz="4" w:space="0"/>
              <w:bottom w:val="single" w:color="000000" w:sz="4" w:space="0"/>
              <w:right w:val="single" w:color="000000" w:sz="4" w:space="0"/>
            </w:tcBorders>
            <w:vAlign w:val="center"/>
          </w:tcPr>
          <w:p w14:paraId="1A9C5128">
            <w:pPr>
              <w:jc w:val="center"/>
              <w:rPr>
                <w:rFonts w:hint="default" w:ascii="Times New Roman" w:hAnsi="Times New Roman" w:cs="Times New Roman"/>
                <w:sz w:val="21"/>
                <w:szCs w:val="21"/>
              </w:rPr>
            </w:pPr>
            <w:r>
              <w:rPr>
                <w:rFonts w:hint="default" w:ascii="Times New Roman" w:hAnsi="Times New Roman" w:cs="Times New Roman"/>
                <w:sz w:val="21"/>
                <w:szCs w:val="21"/>
              </w:rPr>
              <w:t>除尘灰浆</w:t>
            </w:r>
          </w:p>
        </w:tc>
        <w:tc>
          <w:tcPr>
            <w:tcW w:w="1568" w:type="dxa"/>
            <w:tcBorders>
              <w:top w:val="single" w:color="000000" w:sz="4" w:space="0"/>
              <w:left w:val="single" w:color="000000" w:sz="4" w:space="0"/>
              <w:bottom w:val="single" w:color="000000" w:sz="4" w:space="0"/>
              <w:right w:val="single" w:color="000000" w:sz="4" w:space="0"/>
            </w:tcBorders>
            <w:vAlign w:val="center"/>
          </w:tcPr>
          <w:p w14:paraId="59731AB1">
            <w:pPr>
              <w:jc w:val="center"/>
              <w:rPr>
                <w:rFonts w:hint="default" w:ascii="Times New Roman" w:hAnsi="Times New Roman" w:cs="Times New Roman"/>
                <w:sz w:val="21"/>
                <w:szCs w:val="21"/>
              </w:rPr>
            </w:pPr>
            <w:r>
              <w:rPr>
                <w:rFonts w:hint="default" w:ascii="Times New Roman" w:hAnsi="Times New Roman" w:cs="Times New Roman"/>
                <w:sz w:val="21"/>
                <w:szCs w:val="21"/>
              </w:rPr>
              <w:t>混合室除尘灰系统</w:t>
            </w:r>
          </w:p>
        </w:tc>
        <w:tc>
          <w:tcPr>
            <w:tcW w:w="427" w:type="dxa"/>
            <w:tcBorders>
              <w:top w:val="single" w:color="000000" w:sz="4" w:space="0"/>
              <w:left w:val="single" w:color="000000" w:sz="4" w:space="0"/>
              <w:bottom w:val="single" w:color="000000" w:sz="4" w:space="0"/>
              <w:right w:val="single" w:color="000000" w:sz="4" w:space="0"/>
            </w:tcBorders>
            <w:vAlign w:val="center"/>
          </w:tcPr>
          <w:p w14:paraId="3EB29DBE">
            <w:pPr>
              <w:jc w:val="center"/>
              <w:rPr>
                <w:rFonts w:hint="default" w:ascii="Times New Roman" w:hAnsi="Times New Roman" w:cs="Times New Roman"/>
                <w:sz w:val="21"/>
                <w:szCs w:val="21"/>
              </w:rPr>
            </w:pPr>
            <w:r>
              <w:rPr>
                <w:rFonts w:hint="default" w:ascii="Times New Roman" w:hAnsi="Times New Roman" w:cs="Times New Roman"/>
                <w:sz w:val="21"/>
                <w:szCs w:val="21"/>
              </w:rPr>
              <w:t>半固态</w:t>
            </w:r>
          </w:p>
        </w:tc>
        <w:tc>
          <w:tcPr>
            <w:tcW w:w="948" w:type="dxa"/>
            <w:tcBorders>
              <w:top w:val="single" w:color="000000" w:sz="4" w:space="0"/>
              <w:left w:val="single" w:color="000000" w:sz="4" w:space="0"/>
              <w:bottom w:val="single" w:color="000000" w:sz="4" w:space="0"/>
              <w:right w:val="single" w:color="000000" w:sz="4" w:space="0"/>
            </w:tcBorders>
            <w:vAlign w:val="center"/>
          </w:tcPr>
          <w:p w14:paraId="31228E7B">
            <w:pPr>
              <w:jc w:val="center"/>
              <w:rPr>
                <w:rFonts w:hint="default" w:ascii="Times New Roman" w:hAnsi="Times New Roman" w:cs="Times New Roman"/>
                <w:sz w:val="21"/>
                <w:szCs w:val="21"/>
              </w:rPr>
            </w:pPr>
            <w:r>
              <w:rPr>
                <w:rFonts w:hint="default" w:ascii="Times New Roman" w:hAnsi="Times New Roman" w:cs="Times New Roman"/>
                <w:sz w:val="21"/>
                <w:szCs w:val="21"/>
              </w:rPr>
              <w:t>灰尘、水</w:t>
            </w:r>
          </w:p>
        </w:tc>
        <w:tc>
          <w:tcPr>
            <w:tcW w:w="1238" w:type="dxa"/>
            <w:tcBorders>
              <w:top w:val="single" w:color="000000" w:sz="4" w:space="0"/>
              <w:left w:val="single" w:color="000000" w:sz="4" w:space="0"/>
              <w:bottom w:val="single" w:color="000000" w:sz="4" w:space="0"/>
              <w:right w:val="single" w:color="000000" w:sz="4" w:space="0"/>
            </w:tcBorders>
            <w:vAlign w:val="center"/>
          </w:tcPr>
          <w:p w14:paraId="601B4A66">
            <w:pPr>
              <w:jc w:val="center"/>
              <w:rPr>
                <w:rFonts w:hint="default" w:ascii="Times New Roman" w:hAnsi="Times New Roman" w:cs="Times New Roman"/>
                <w:sz w:val="21"/>
                <w:szCs w:val="21"/>
              </w:rPr>
            </w:pPr>
            <w:r>
              <w:rPr>
                <w:rFonts w:hint="default" w:ascii="Times New Roman" w:hAnsi="Times New Roman" w:cs="Times New Roman"/>
                <w:sz w:val="21"/>
                <w:szCs w:val="21"/>
              </w:rPr>
              <w:t>是</w:t>
            </w:r>
          </w:p>
        </w:tc>
        <w:tc>
          <w:tcPr>
            <w:tcW w:w="816" w:type="dxa"/>
            <w:tcBorders>
              <w:top w:val="single" w:color="000000" w:sz="4" w:space="0"/>
              <w:left w:val="single" w:color="000000" w:sz="4" w:space="0"/>
              <w:bottom w:val="single" w:color="000000" w:sz="4" w:space="0"/>
              <w:right w:val="single" w:color="000000" w:sz="4" w:space="0"/>
            </w:tcBorders>
            <w:vAlign w:val="center"/>
          </w:tcPr>
          <w:p w14:paraId="5AC479B9">
            <w:pPr>
              <w:jc w:val="center"/>
              <w:rPr>
                <w:rFonts w:hint="default" w:ascii="Times New Roman" w:hAnsi="Times New Roman" w:cs="Times New Roman"/>
                <w:sz w:val="21"/>
                <w:szCs w:val="21"/>
              </w:rPr>
            </w:pPr>
            <w:r>
              <w:rPr>
                <w:rFonts w:hint="default" w:ascii="Times New Roman" w:hAnsi="Times New Roman" w:cs="Times New Roman"/>
                <w:sz w:val="21"/>
                <w:szCs w:val="21"/>
              </w:rPr>
              <w:t>/</w:t>
            </w:r>
          </w:p>
        </w:tc>
        <w:tc>
          <w:tcPr>
            <w:tcW w:w="1368" w:type="dxa"/>
            <w:vMerge w:val="continue"/>
            <w:tcBorders>
              <w:top w:val="single" w:color="000000" w:sz="4" w:space="0"/>
              <w:left w:val="single" w:color="000000" w:sz="4" w:space="0"/>
              <w:bottom w:val="single" w:color="000000" w:sz="4" w:space="0"/>
              <w:right w:val="single" w:color="000000" w:sz="4" w:space="0"/>
            </w:tcBorders>
            <w:vAlign w:val="center"/>
          </w:tcPr>
          <w:p w14:paraId="49468C92">
            <w:pPr>
              <w:jc w:val="center"/>
              <w:rPr>
                <w:rFonts w:hint="default" w:ascii="Times New Roman" w:hAnsi="Times New Roman" w:cs="Times New Roman"/>
                <w:sz w:val="21"/>
                <w:szCs w:val="21"/>
              </w:rPr>
            </w:pPr>
          </w:p>
        </w:tc>
        <w:tc>
          <w:tcPr>
            <w:tcW w:w="1009" w:type="dxa"/>
            <w:tcBorders>
              <w:top w:val="single" w:color="000000" w:sz="4" w:space="0"/>
              <w:left w:val="single" w:color="000000" w:sz="4" w:space="0"/>
              <w:bottom w:val="single" w:color="000000" w:sz="4" w:space="0"/>
              <w:right w:val="single" w:color="000000" w:sz="4" w:space="0"/>
            </w:tcBorders>
            <w:vAlign w:val="center"/>
          </w:tcPr>
          <w:p w14:paraId="670513E0">
            <w:pPr>
              <w:jc w:val="center"/>
              <w:rPr>
                <w:rFonts w:hint="default" w:ascii="Times New Roman" w:hAnsi="Times New Roman" w:cs="Times New Roman"/>
                <w:sz w:val="21"/>
                <w:szCs w:val="21"/>
              </w:rPr>
            </w:pPr>
            <w:r>
              <w:rPr>
                <w:rFonts w:hint="default" w:ascii="Times New Roman" w:hAnsi="Times New Roman" w:cs="Times New Roman"/>
                <w:sz w:val="21"/>
                <w:szCs w:val="21"/>
              </w:rPr>
              <w:t>1568</w:t>
            </w:r>
          </w:p>
        </w:tc>
      </w:tr>
      <w:tr w14:paraId="7B3CBA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2" w:type="dxa"/>
            <w:tcBorders>
              <w:top w:val="single" w:color="000000" w:sz="4" w:space="0"/>
              <w:left w:val="single" w:color="000000" w:sz="4" w:space="0"/>
              <w:bottom w:val="single" w:color="000000" w:sz="4" w:space="0"/>
              <w:right w:val="single" w:color="000000" w:sz="4" w:space="0"/>
            </w:tcBorders>
            <w:vAlign w:val="center"/>
          </w:tcPr>
          <w:p w14:paraId="739DBBD9">
            <w:pPr>
              <w:jc w:val="center"/>
              <w:rPr>
                <w:rFonts w:hint="default" w:ascii="Times New Roman" w:hAnsi="Times New Roman" w:cs="Times New Roman"/>
                <w:sz w:val="21"/>
                <w:szCs w:val="21"/>
              </w:rPr>
            </w:pPr>
            <w:r>
              <w:rPr>
                <w:rFonts w:hint="default" w:ascii="Times New Roman" w:hAnsi="Times New Roman" w:cs="Times New Roman"/>
                <w:sz w:val="21"/>
                <w:szCs w:val="21"/>
              </w:rPr>
              <w:t>3</w:t>
            </w:r>
          </w:p>
        </w:tc>
        <w:tc>
          <w:tcPr>
            <w:tcW w:w="975" w:type="dxa"/>
            <w:tcBorders>
              <w:top w:val="single" w:color="000000" w:sz="4" w:space="0"/>
              <w:left w:val="single" w:color="000000" w:sz="4" w:space="0"/>
              <w:bottom w:val="single" w:color="000000" w:sz="4" w:space="0"/>
              <w:right w:val="single" w:color="000000" w:sz="4" w:space="0"/>
            </w:tcBorders>
            <w:vAlign w:val="center"/>
          </w:tcPr>
          <w:p w14:paraId="7CCC9DBB">
            <w:pPr>
              <w:jc w:val="center"/>
              <w:rPr>
                <w:rFonts w:hint="default" w:ascii="Times New Roman" w:hAnsi="Times New Roman" w:cs="Times New Roman"/>
                <w:sz w:val="21"/>
                <w:szCs w:val="21"/>
              </w:rPr>
            </w:pPr>
            <w:r>
              <w:rPr>
                <w:rFonts w:hint="default" w:ascii="Times New Roman" w:hAnsi="Times New Roman" w:cs="Times New Roman"/>
                <w:sz w:val="21"/>
                <w:szCs w:val="21"/>
              </w:rPr>
              <w:t>废布袋</w:t>
            </w:r>
          </w:p>
        </w:tc>
        <w:tc>
          <w:tcPr>
            <w:tcW w:w="1568" w:type="dxa"/>
            <w:tcBorders>
              <w:top w:val="single" w:color="000000" w:sz="4" w:space="0"/>
              <w:left w:val="single" w:color="000000" w:sz="4" w:space="0"/>
              <w:bottom w:val="single" w:color="000000" w:sz="4" w:space="0"/>
              <w:right w:val="single" w:color="000000" w:sz="4" w:space="0"/>
            </w:tcBorders>
            <w:vAlign w:val="center"/>
          </w:tcPr>
          <w:p w14:paraId="12984941">
            <w:pPr>
              <w:jc w:val="center"/>
              <w:rPr>
                <w:rFonts w:hint="default" w:ascii="Times New Roman" w:hAnsi="Times New Roman" w:cs="Times New Roman"/>
                <w:sz w:val="21"/>
                <w:szCs w:val="21"/>
              </w:rPr>
            </w:pPr>
            <w:r>
              <w:rPr>
                <w:rFonts w:hint="default" w:ascii="Times New Roman" w:hAnsi="Times New Roman" w:cs="Times New Roman"/>
                <w:sz w:val="21"/>
                <w:szCs w:val="21"/>
              </w:rPr>
              <w:t>袋式除尘系统</w:t>
            </w:r>
          </w:p>
        </w:tc>
        <w:tc>
          <w:tcPr>
            <w:tcW w:w="427" w:type="dxa"/>
            <w:tcBorders>
              <w:top w:val="single" w:color="000000" w:sz="4" w:space="0"/>
              <w:left w:val="single" w:color="000000" w:sz="4" w:space="0"/>
              <w:bottom w:val="single" w:color="000000" w:sz="4" w:space="0"/>
              <w:right w:val="single" w:color="000000" w:sz="4" w:space="0"/>
            </w:tcBorders>
            <w:vAlign w:val="center"/>
          </w:tcPr>
          <w:p w14:paraId="3CA2CCA2">
            <w:pPr>
              <w:jc w:val="center"/>
              <w:rPr>
                <w:rFonts w:hint="default" w:ascii="Times New Roman" w:hAnsi="Times New Roman" w:cs="Times New Roman"/>
                <w:sz w:val="21"/>
                <w:szCs w:val="21"/>
              </w:rPr>
            </w:pPr>
            <w:r>
              <w:rPr>
                <w:rFonts w:hint="default" w:ascii="Times New Roman" w:hAnsi="Times New Roman" w:cs="Times New Roman"/>
                <w:sz w:val="21"/>
                <w:szCs w:val="21"/>
              </w:rPr>
              <w:t>固态</w:t>
            </w:r>
          </w:p>
        </w:tc>
        <w:tc>
          <w:tcPr>
            <w:tcW w:w="948" w:type="dxa"/>
            <w:tcBorders>
              <w:top w:val="single" w:color="000000" w:sz="4" w:space="0"/>
              <w:left w:val="single" w:color="000000" w:sz="4" w:space="0"/>
              <w:bottom w:val="single" w:color="000000" w:sz="4" w:space="0"/>
              <w:right w:val="single" w:color="000000" w:sz="4" w:space="0"/>
            </w:tcBorders>
            <w:vAlign w:val="center"/>
          </w:tcPr>
          <w:p w14:paraId="765EB3FD">
            <w:pPr>
              <w:jc w:val="center"/>
              <w:rPr>
                <w:rFonts w:hint="default" w:ascii="Times New Roman" w:hAnsi="Times New Roman" w:cs="Times New Roman"/>
                <w:sz w:val="21"/>
                <w:szCs w:val="21"/>
              </w:rPr>
            </w:pPr>
            <w:r>
              <w:rPr>
                <w:rFonts w:hint="default" w:ascii="Times New Roman" w:hAnsi="Times New Roman" w:cs="Times New Roman"/>
                <w:sz w:val="21"/>
                <w:szCs w:val="21"/>
              </w:rPr>
              <w:t>树脂、粉尘</w:t>
            </w:r>
          </w:p>
        </w:tc>
        <w:tc>
          <w:tcPr>
            <w:tcW w:w="1238" w:type="dxa"/>
            <w:tcBorders>
              <w:top w:val="single" w:color="000000" w:sz="4" w:space="0"/>
              <w:left w:val="single" w:color="000000" w:sz="4" w:space="0"/>
              <w:bottom w:val="single" w:color="000000" w:sz="4" w:space="0"/>
              <w:right w:val="single" w:color="000000" w:sz="4" w:space="0"/>
            </w:tcBorders>
            <w:vAlign w:val="center"/>
          </w:tcPr>
          <w:p w14:paraId="0626DA05">
            <w:pPr>
              <w:jc w:val="center"/>
              <w:rPr>
                <w:rFonts w:hint="default" w:ascii="Times New Roman" w:hAnsi="Times New Roman" w:cs="Times New Roman"/>
                <w:sz w:val="21"/>
                <w:szCs w:val="21"/>
              </w:rPr>
            </w:pPr>
            <w:r>
              <w:rPr>
                <w:rFonts w:hint="default" w:ascii="Times New Roman" w:hAnsi="Times New Roman" w:cs="Times New Roman"/>
                <w:sz w:val="21"/>
                <w:szCs w:val="21"/>
              </w:rPr>
              <w:t>是</w:t>
            </w:r>
          </w:p>
        </w:tc>
        <w:tc>
          <w:tcPr>
            <w:tcW w:w="816" w:type="dxa"/>
            <w:tcBorders>
              <w:top w:val="single" w:color="000000" w:sz="4" w:space="0"/>
              <w:left w:val="single" w:color="000000" w:sz="4" w:space="0"/>
              <w:bottom w:val="single" w:color="000000" w:sz="4" w:space="0"/>
              <w:right w:val="single" w:color="000000" w:sz="4" w:space="0"/>
            </w:tcBorders>
            <w:vAlign w:val="center"/>
          </w:tcPr>
          <w:p w14:paraId="20CBFAC8">
            <w:pPr>
              <w:jc w:val="center"/>
              <w:rPr>
                <w:rFonts w:hint="default" w:ascii="Times New Roman" w:hAnsi="Times New Roman" w:cs="Times New Roman"/>
                <w:sz w:val="21"/>
                <w:szCs w:val="21"/>
              </w:rPr>
            </w:pPr>
            <w:r>
              <w:rPr>
                <w:rFonts w:hint="default" w:ascii="Times New Roman" w:hAnsi="Times New Roman" w:cs="Times New Roman"/>
                <w:sz w:val="21"/>
                <w:szCs w:val="21"/>
              </w:rPr>
              <w:t>/</w:t>
            </w:r>
          </w:p>
        </w:tc>
        <w:tc>
          <w:tcPr>
            <w:tcW w:w="1368" w:type="dxa"/>
            <w:vMerge w:val="continue"/>
            <w:tcBorders>
              <w:top w:val="single" w:color="000000" w:sz="4" w:space="0"/>
              <w:left w:val="single" w:color="000000" w:sz="4" w:space="0"/>
              <w:bottom w:val="single" w:color="000000" w:sz="4" w:space="0"/>
              <w:right w:val="single" w:color="000000" w:sz="4" w:space="0"/>
            </w:tcBorders>
            <w:vAlign w:val="center"/>
          </w:tcPr>
          <w:p w14:paraId="497148B5">
            <w:pPr>
              <w:jc w:val="center"/>
              <w:rPr>
                <w:rFonts w:hint="default" w:ascii="Times New Roman" w:hAnsi="Times New Roman" w:cs="Times New Roman"/>
                <w:sz w:val="21"/>
                <w:szCs w:val="21"/>
              </w:rPr>
            </w:pPr>
          </w:p>
        </w:tc>
        <w:tc>
          <w:tcPr>
            <w:tcW w:w="1009" w:type="dxa"/>
            <w:tcBorders>
              <w:top w:val="single" w:color="000000" w:sz="4" w:space="0"/>
              <w:left w:val="single" w:color="000000" w:sz="4" w:space="0"/>
              <w:bottom w:val="single" w:color="000000" w:sz="4" w:space="0"/>
              <w:right w:val="single" w:color="000000" w:sz="4" w:space="0"/>
            </w:tcBorders>
            <w:vAlign w:val="center"/>
          </w:tcPr>
          <w:p w14:paraId="1D2B8AFC">
            <w:pPr>
              <w:jc w:val="center"/>
              <w:rPr>
                <w:rFonts w:hint="default" w:ascii="Times New Roman" w:hAnsi="Times New Roman" w:cs="Times New Roman"/>
                <w:sz w:val="21"/>
                <w:szCs w:val="21"/>
              </w:rPr>
            </w:pPr>
            <w:r>
              <w:rPr>
                <w:rFonts w:hint="default" w:ascii="Times New Roman" w:hAnsi="Times New Roman" w:cs="Times New Roman"/>
                <w:sz w:val="21"/>
                <w:szCs w:val="21"/>
              </w:rPr>
              <w:t>8</w:t>
            </w:r>
          </w:p>
        </w:tc>
      </w:tr>
      <w:tr w14:paraId="534D5B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2" w:type="dxa"/>
            <w:tcBorders>
              <w:top w:val="single" w:color="000000" w:sz="4" w:space="0"/>
              <w:left w:val="single" w:color="000000" w:sz="4" w:space="0"/>
              <w:bottom w:val="single" w:color="000000" w:sz="4" w:space="0"/>
              <w:right w:val="single" w:color="000000" w:sz="4" w:space="0"/>
            </w:tcBorders>
            <w:vAlign w:val="center"/>
          </w:tcPr>
          <w:p w14:paraId="0BA05089">
            <w:pPr>
              <w:jc w:val="center"/>
              <w:rPr>
                <w:rFonts w:hint="default" w:ascii="Times New Roman" w:hAnsi="Times New Roman" w:cs="Times New Roman"/>
                <w:sz w:val="21"/>
                <w:szCs w:val="21"/>
              </w:rPr>
            </w:pPr>
            <w:r>
              <w:rPr>
                <w:rFonts w:hint="default" w:ascii="Times New Roman" w:hAnsi="Times New Roman" w:cs="Times New Roman"/>
                <w:sz w:val="21"/>
                <w:szCs w:val="21"/>
              </w:rPr>
              <w:t>4</w:t>
            </w:r>
          </w:p>
        </w:tc>
        <w:tc>
          <w:tcPr>
            <w:tcW w:w="975" w:type="dxa"/>
            <w:tcBorders>
              <w:top w:val="single" w:color="000000" w:sz="4" w:space="0"/>
              <w:left w:val="single" w:color="000000" w:sz="4" w:space="0"/>
              <w:bottom w:val="single" w:color="000000" w:sz="4" w:space="0"/>
              <w:right w:val="single" w:color="000000" w:sz="4" w:space="0"/>
            </w:tcBorders>
            <w:vAlign w:val="center"/>
          </w:tcPr>
          <w:p w14:paraId="6BE14751">
            <w:pPr>
              <w:jc w:val="center"/>
              <w:rPr>
                <w:rFonts w:hint="default" w:ascii="Times New Roman" w:hAnsi="Times New Roman" w:cs="Times New Roman"/>
                <w:sz w:val="21"/>
                <w:szCs w:val="21"/>
              </w:rPr>
            </w:pPr>
            <w:r>
              <w:rPr>
                <w:rFonts w:hint="default" w:ascii="Times New Roman" w:hAnsi="Times New Roman" w:cs="Times New Roman"/>
                <w:sz w:val="21"/>
                <w:szCs w:val="21"/>
              </w:rPr>
              <w:t>脱硫灰</w:t>
            </w:r>
          </w:p>
        </w:tc>
        <w:tc>
          <w:tcPr>
            <w:tcW w:w="1568" w:type="dxa"/>
            <w:tcBorders>
              <w:top w:val="single" w:color="000000" w:sz="4" w:space="0"/>
              <w:left w:val="single" w:color="000000" w:sz="4" w:space="0"/>
              <w:bottom w:val="single" w:color="000000" w:sz="4" w:space="0"/>
              <w:right w:val="single" w:color="000000" w:sz="4" w:space="0"/>
            </w:tcBorders>
            <w:vAlign w:val="center"/>
          </w:tcPr>
          <w:p w14:paraId="225A395E">
            <w:pPr>
              <w:jc w:val="center"/>
              <w:rPr>
                <w:rFonts w:hint="default" w:ascii="Times New Roman" w:hAnsi="Times New Roman" w:cs="Times New Roman"/>
                <w:sz w:val="21"/>
                <w:szCs w:val="21"/>
              </w:rPr>
            </w:pPr>
            <w:r>
              <w:rPr>
                <w:rFonts w:hint="default" w:ascii="Times New Roman" w:hAnsi="Times New Roman" w:cs="Times New Roman"/>
                <w:sz w:val="21"/>
                <w:szCs w:val="21"/>
              </w:rPr>
              <w:t>机头脱硫</w:t>
            </w:r>
          </w:p>
        </w:tc>
        <w:tc>
          <w:tcPr>
            <w:tcW w:w="427" w:type="dxa"/>
            <w:tcBorders>
              <w:top w:val="single" w:color="000000" w:sz="4" w:space="0"/>
              <w:left w:val="single" w:color="000000" w:sz="4" w:space="0"/>
              <w:bottom w:val="single" w:color="000000" w:sz="4" w:space="0"/>
              <w:right w:val="single" w:color="000000" w:sz="4" w:space="0"/>
            </w:tcBorders>
            <w:vAlign w:val="center"/>
          </w:tcPr>
          <w:p w14:paraId="4C801986">
            <w:pPr>
              <w:jc w:val="center"/>
              <w:rPr>
                <w:rFonts w:hint="default" w:ascii="Times New Roman" w:hAnsi="Times New Roman" w:cs="Times New Roman"/>
                <w:sz w:val="21"/>
                <w:szCs w:val="21"/>
              </w:rPr>
            </w:pPr>
            <w:r>
              <w:rPr>
                <w:rFonts w:hint="default" w:ascii="Times New Roman" w:hAnsi="Times New Roman" w:cs="Times New Roman"/>
                <w:sz w:val="21"/>
                <w:szCs w:val="21"/>
              </w:rPr>
              <w:t>固态</w:t>
            </w:r>
          </w:p>
        </w:tc>
        <w:tc>
          <w:tcPr>
            <w:tcW w:w="948" w:type="dxa"/>
            <w:tcBorders>
              <w:top w:val="single" w:color="000000" w:sz="4" w:space="0"/>
              <w:left w:val="single" w:color="000000" w:sz="4" w:space="0"/>
              <w:bottom w:val="single" w:color="000000" w:sz="4" w:space="0"/>
              <w:right w:val="single" w:color="000000" w:sz="4" w:space="0"/>
            </w:tcBorders>
            <w:vAlign w:val="center"/>
          </w:tcPr>
          <w:p w14:paraId="274F24F9">
            <w:pPr>
              <w:jc w:val="center"/>
              <w:rPr>
                <w:rFonts w:hint="default" w:ascii="Times New Roman" w:hAnsi="Times New Roman" w:cs="Times New Roman"/>
                <w:sz w:val="21"/>
                <w:szCs w:val="21"/>
              </w:rPr>
            </w:pPr>
            <w:r>
              <w:rPr>
                <w:rFonts w:hint="default" w:ascii="Times New Roman" w:hAnsi="Times New Roman" w:cs="Times New Roman"/>
                <w:sz w:val="21"/>
                <w:szCs w:val="21"/>
              </w:rPr>
              <w:t>高硫高钙灰</w:t>
            </w:r>
          </w:p>
        </w:tc>
        <w:tc>
          <w:tcPr>
            <w:tcW w:w="1238" w:type="dxa"/>
            <w:tcBorders>
              <w:top w:val="single" w:color="000000" w:sz="4" w:space="0"/>
              <w:left w:val="single" w:color="000000" w:sz="4" w:space="0"/>
              <w:bottom w:val="single" w:color="000000" w:sz="4" w:space="0"/>
              <w:right w:val="single" w:color="000000" w:sz="4" w:space="0"/>
            </w:tcBorders>
            <w:vAlign w:val="center"/>
          </w:tcPr>
          <w:p w14:paraId="3F684D45">
            <w:pPr>
              <w:jc w:val="center"/>
              <w:rPr>
                <w:rFonts w:hint="default" w:ascii="Times New Roman" w:hAnsi="Times New Roman" w:cs="Times New Roman"/>
                <w:sz w:val="21"/>
                <w:szCs w:val="21"/>
              </w:rPr>
            </w:pPr>
            <w:r>
              <w:rPr>
                <w:rFonts w:hint="default" w:ascii="Times New Roman" w:hAnsi="Times New Roman" w:cs="Times New Roman"/>
                <w:sz w:val="21"/>
                <w:szCs w:val="21"/>
              </w:rPr>
              <w:t>是</w:t>
            </w:r>
          </w:p>
        </w:tc>
        <w:tc>
          <w:tcPr>
            <w:tcW w:w="816" w:type="dxa"/>
            <w:tcBorders>
              <w:top w:val="single" w:color="000000" w:sz="4" w:space="0"/>
              <w:left w:val="single" w:color="000000" w:sz="4" w:space="0"/>
              <w:bottom w:val="single" w:color="000000" w:sz="4" w:space="0"/>
              <w:right w:val="single" w:color="000000" w:sz="4" w:space="0"/>
            </w:tcBorders>
            <w:vAlign w:val="center"/>
          </w:tcPr>
          <w:p w14:paraId="3444D289">
            <w:pPr>
              <w:jc w:val="center"/>
              <w:rPr>
                <w:rFonts w:hint="default" w:ascii="Times New Roman" w:hAnsi="Times New Roman" w:cs="Times New Roman"/>
                <w:sz w:val="21"/>
                <w:szCs w:val="21"/>
              </w:rPr>
            </w:pPr>
            <w:r>
              <w:rPr>
                <w:rFonts w:hint="default" w:ascii="Times New Roman" w:hAnsi="Times New Roman" w:cs="Times New Roman"/>
                <w:sz w:val="21"/>
                <w:szCs w:val="21"/>
              </w:rPr>
              <w:t>/</w:t>
            </w:r>
          </w:p>
        </w:tc>
        <w:tc>
          <w:tcPr>
            <w:tcW w:w="1368" w:type="dxa"/>
            <w:vMerge w:val="continue"/>
            <w:tcBorders>
              <w:top w:val="single" w:color="000000" w:sz="4" w:space="0"/>
              <w:left w:val="single" w:color="000000" w:sz="4" w:space="0"/>
              <w:bottom w:val="single" w:color="000000" w:sz="4" w:space="0"/>
              <w:right w:val="single" w:color="000000" w:sz="4" w:space="0"/>
            </w:tcBorders>
            <w:vAlign w:val="center"/>
          </w:tcPr>
          <w:p w14:paraId="2A7D8976">
            <w:pPr>
              <w:jc w:val="center"/>
              <w:rPr>
                <w:rFonts w:hint="default" w:ascii="Times New Roman" w:hAnsi="Times New Roman" w:cs="Times New Roman"/>
                <w:sz w:val="21"/>
                <w:szCs w:val="21"/>
              </w:rPr>
            </w:pPr>
          </w:p>
        </w:tc>
        <w:tc>
          <w:tcPr>
            <w:tcW w:w="1009" w:type="dxa"/>
            <w:tcBorders>
              <w:top w:val="single" w:color="000000" w:sz="4" w:space="0"/>
              <w:left w:val="single" w:color="000000" w:sz="4" w:space="0"/>
              <w:bottom w:val="single" w:color="000000" w:sz="4" w:space="0"/>
              <w:right w:val="single" w:color="000000" w:sz="4" w:space="0"/>
            </w:tcBorders>
            <w:vAlign w:val="center"/>
          </w:tcPr>
          <w:p w14:paraId="6F877291">
            <w:pPr>
              <w:jc w:val="center"/>
              <w:rPr>
                <w:rFonts w:hint="default" w:ascii="Times New Roman" w:hAnsi="Times New Roman" w:cs="Times New Roman"/>
                <w:sz w:val="21"/>
                <w:szCs w:val="21"/>
              </w:rPr>
            </w:pPr>
            <w:r>
              <w:rPr>
                <w:rFonts w:hint="default" w:ascii="Times New Roman" w:hAnsi="Times New Roman" w:cs="Times New Roman"/>
                <w:sz w:val="21"/>
                <w:szCs w:val="21"/>
              </w:rPr>
              <w:t>4752</w:t>
            </w:r>
          </w:p>
        </w:tc>
      </w:tr>
      <w:tr w14:paraId="306C40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2" w:type="dxa"/>
            <w:tcBorders>
              <w:top w:val="single" w:color="000000" w:sz="4" w:space="0"/>
              <w:left w:val="single" w:color="000000" w:sz="4" w:space="0"/>
              <w:bottom w:val="single" w:color="000000" w:sz="4" w:space="0"/>
              <w:right w:val="single" w:color="000000" w:sz="4" w:space="0"/>
            </w:tcBorders>
            <w:vAlign w:val="center"/>
          </w:tcPr>
          <w:p w14:paraId="12AFA2D7">
            <w:pPr>
              <w:jc w:val="center"/>
              <w:rPr>
                <w:rFonts w:hint="default" w:ascii="Times New Roman" w:hAnsi="Times New Roman" w:cs="Times New Roman"/>
                <w:sz w:val="21"/>
                <w:szCs w:val="21"/>
              </w:rPr>
            </w:pPr>
            <w:r>
              <w:rPr>
                <w:rFonts w:hint="default" w:ascii="Times New Roman" w:hAnsi="Times New Roman" w:cs="Times New Roman"/>
                <w:sz w:val="21"/>
                <w:szCs w:val="21"/>
              </w:rPr>
              <w:t>5</w:t>
            </w:r>
          </w:p>
        </w:tc>
        <w:tc>
          <w:tcPr>
            <w:tcW w:w="975" w:type="dxa"/>
            <w:tcBorders>
              <w:top w:val="single" w:color="000000" w:sz="4" w:space="0"/>
              <w:left w:val="single" w:color="000000" w:sz="4" w:space="0"/>
              <w:bottom w:val="single" w:color="000000" w:sz="4" w:space="0"/>
              <w:right w:val="single" w:color="000000" w:sz="4" w:space="0"/>
            </w:tcBorders>
            <w:vAlign w:val="center"/>
          </w:tcPr>
          <w:p w14:paraId="58578D51">
            <w:pPr>
              <w:jc w:val="center"/>
              <w:rPr>
                <w:rFonts w:hint="default" w:ascii="Times New Roman" w:hAnsi="Times New Roman" w:cs="Times New Roman"/>
                <w:sz w:val="21"/>
                <w:szCs w:val="21"/>
              </w:rPr>
            </w:pPr>
            <w:r>
              <w:rPr>
                <w:rFonts w:hint="default" w:ascii="Times New Roman" w:hAnsi="Times New Roman" w:cs="Times New Roman"/>
                <w:sz w:val="21"/>
                <w:szCs w:val="21"/>
              </w:rPr>
              <w:t>废催化剂</w:t>
            </w:r>
          </w:p>
        </w:tc>
        <w:tc>
          <w:tcPr>
            <w:tcW w:w="1568" w:type="dxa"/>
            <w:tcBorders>
              <w:top w:val="single" w:color="000000" w:sz="4" w:space="0"/>
              <w:left w:val="single" w:color="000000" w:sz="4" w:space="0"/>
              <w:bottom w:val="single" w:color="000000" w:sz="4" w:space="0"/>
              <w:right w:val="single" w:color="000000" w:sz="4" w:space="0"/>
            </w:tcBorders>
            <w:vAlign w:val="center"/>
          </w:tcPr>
          <w:p w14:paraId="525A3C6C">
            <w:pPr>
              <w:jc w:val="center"/>
              <w:rPr>
                <w:rFonts w:hint="default" w:ascii="Times New Roman" w:hAnsi="Times New Roman" w:cs="Times New Roman"/>
                <w:sz w:val="21"/>
                <w:szCs w:val="21"/>
              </w:rPr>
            </w:pPr>
            <w:r>
              <w:rPr>
                <w:rFonts w:hint="default" w:ascii="Times New Roman" w:hAnsi="Times New Roman" w:cs="Times New Roman"/>
                <w:sz w:val="21"/>
                <w:szCs w:val="21"/>
              </w:rPr>
              <w:t>机头脱硝</w:t>
            </w:r>
          </w:p>
        </w:tc>
        <w:tc>
          <w:tcPr>
            <w:tcW w:w="427" w:type="dxa"/>
            <w:tcBorders>
              <w:top w:val="single" w:color="000000" w:sz="4" w:space="0"/>
              <w:left w:val="single" w:color="000000" w:sz="4" w:space="0"/>
              <w:bottom w:val="single" w:color="000000" w:sz="4" w:space="0"/>
              <w:right w:val="single" w:color="000000" w:sz="4" w:space="0"/>
            </w:tcBorders>
            <w:vAlign w:val="center"/>
          </w:tcPr>
          <w:p w14:paraId="4E2CEABB">
            <w:pPr>
              <w:jc w:val="center"/>
              <w:rPr>
                <w:rFonts w:hint="default" w:ascii="Times New Roman" w:hAnsi="Times New Roman" w:cs="Times New Roman"/>
                <w:sz w:val="21"/>
                <w:szCs w:val="21"/>
              </w:rPr>
            </w:pPr>
            <w:r>
              <w:rPr>
                <w:rFonts w:hint="default" w:ascii="Times New Roman" w:hAnsi="Times New Roman" w:cs="Times New Roman"/>
                <w:sz w:val="21"/>
                <w:szCs w:val="21"/>
              </w:rPr>
              <w:t>固态</w:t>
            </w:r>
          </w:p>
        </w:tc>
        <w:tc>
          <w:tcPr>
            <w:tcW w:w="948" w:type="dxa"/>
            <w:tcBorders>
              <w:top w:val="single" w:color="000000" w:sz="4" w:space="0"/>
              <w:left w:val="single" w:color="000000" w:sz="4" w:space="0"/>
              <w:bottom w:val="single" w:color="000000" w:sz="4" w:space="0"/>
              <w:right w:val="single" w:color="000000" w:sz="4" w:space="0"/>
            </w:tcBorders>
            <w:vAlign w:val="center"/>
          </w:tcPr>
          <w:p w14:paraId="4AC4C6C9">
            <w:pPr>
              <w:jc w:val="center"/>
              <w:rPr>
                <w:rFonts w:hint="default" w:ascii="Times New Roman" w:hAnsi="Times New Roman" w:cs="Times New Roman"/>
                <w:sz w:val="21"/>
                <w:szCs w:val="21"/>
              </w:rPr>
            </w:pPr>
            <w:r>
              <w:rPr>
                <w:rFonts w:hint="default" w:ascii="Times New Roman" w:hAnsi="Times New Roman" w:cs="Times New Roman"/>
                <w:sz w:val="21"/>
                <w:szCs w:val="21"/>
              </w:rPr>
              <w:t>钒钛系</w:t>
            </w:r>
          </w:p>
        </w:tc>
        <w:tc>
          <w:tcPr>
            <w:tcW w:w="1238" w:type="dxa"/>
            <w:tcBorders>
              <w:top w:val="single" w:color="000000" w:sz="4" w:space="0"/>
              <w:left w:val="single" w:color="000000" w:sz="4" w:space="0"/>
              <w:bottom w:val="single" w:color="000000" w:sz="4" w:space="0"/>
              <w:right w:val="single" w:color="000000" w:sz="4" w:space="0"/>
            </w:tcBorders>
            <w:vAlign w:val="center"/>
          </w:tcPr>
          <w:p w14:paraId="6D9D725E">
            <w:pPr>
              <w:jc w:val="center"/>
              <w:rPr>
                <w:rFonts w:hint="default" w:ascii="Times New Roman" w:hAnsi="Times New Roman" w:cs="Times New Roman"/>
                <w:sz w:val="21"/>
                <w:szCs w:val="21"/>
              </w:rPr>
            </w:pPr>
            <w:r>
              <w:rPr>
                <w:rFonts w:hint="default" w:ascii="Times New Roman" w:hAnsi="Times New Roman" w:cs="Times New Roman"/>
                <w:sz w:val="21"/>
                <w:szCs w:val="21"/>
              </w:rPr>
              <w:t>是</w:t>
            </w:r>
          </w:p>
        </w:tc>
        <w:tc>
          <w:tcPr>
            <w:tcW w:w="816" w:type="dxa"/>
            <w:tcBorders>
              <w:top w:val="single" w:color="000000" w:sz="4" w:space="0"/>
              <w:left w:val="single" w:color="000000" w:sz="4" w:space="0"/>
              <w:bottom w:val="single" w:color="000000" w:sz="4" w:space="0"/>
              <w:right w:val="single" w:color="000000" w:sz="4" w:space="0"/>
            </w:tcBorders>
            <w:vAlign w:val="center"/>
          </w:tcPr>
          <w:p w14:paraId="5703DDAF">
            <w:pPr>
              <w:jc w:val="center"/>
              <w:rPr>
                <w:rFonts w:hint="default" w:ascii="Times New Roman" w:hAnsi="Times New Roman" w:cs="Times New Roman"/>
                <w:sz w:val="21"/>
                <w:szCs w:val="21"/>
              </w:rPr>
            </w:pPr>
            <w:r>
              <w:rPr>
                <w:rFonts w:hint="default" w:ascii="Times New Roman" w:hAnsi="Times New Roman" w:cs="Times New Roman"/>
                <w:sz w:val="21"/>
                <w:szCs w:val="21"/>
              </w:rPr>
              <w:t>/</w:t>
            </w:r>
          </w:p>
        </w:tc>
        <w:tc>
          <w:tcPr>
            <w:tcW w:w="1368" w:type="dxa"/>
            <w:vMerge w:val="continue"/>
            <w:tcBorders>
              <w:top w:val="single" w:color="000000" w:sz="4" w:space="0"/>
              <w:left w:val="single" w:color="000000" w:sz="4" w:space="0"/>
              <w:bottom w:val="single" w:color="000000" w:sz="4" w:space="0"/>
              <w:right w:val="single" w:color="000000" w:sz="4" w:space="0"/>
            </w:tcBorders>
            <w:vAlign w:val="center"/>
          </w:tcPr>
          <w:p w14:paraId="15B37708">
            <w:pPr>
              <w:jc w:val="center"/>
              <w:rPr>
                <w:rFonts w:hint="default" w:ascii="Times New Roman" w:hAnsi="Times New Roman" w:cs="Times New Roman"/>
                <w:sz w:val="21"/>
                <w:szCs w:val="21"/>
              </w:rPr>
            </w:pPr>
          </w:p>
        </w:tc>
        <w:tc>
          <w:tcPr>
            <w:tcW w:w="1009" w:type="dxa"/>
            <w:tcBorders>
              <w:top w:val="single" w:color="000000" w:sz="4" w:space="0"/>
              <w:left w:val="single" w:color="000000" w:sz="4" w:space="0"/>
              <w:bottom w:val="single" w:color="000000" w:sz="4" w:space="0"/>
              <w:right w:val="single" w:color="000000" w:sz="4" w:space="0"/>
            </w:tcBorders>
            <w:vAlign w:val="center"/>
          </w:tcPr>
          <w:p w14:paraId="3C239137">
            <w:pPr>
              <w:jc w:val="center"/>
              <w:rPr>
                <w:rFonts w:hint="default" w:ascii="Times New Roman" w:hAnsi="Times New Roman" w:cs="Times New Roman"/>
                <w:sz w:val="21"/>
                <w:szCs w:val="21"/>
              </w:rPr>
            </w:pPr>
            <w:r>
              <w:rPr>
                <w:rFonts w:hint="default" w:ascii="Times New Roman" w:hAnsi="Times New Roman" w:cs="Times New Roman"/>
                <w:sz w:val="21"/>
                <w:szCs w:val="21"/>
              </w:rPr>
              <w:t>10t/3a</w:t>
            </w:r>
          </w:p>
        </w:tc>
      </w:tr>
      <w:tr w14:paraId="6B0A92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2" w:type="dxa"/>
            <w:tcBorders>
              <w:top w:val="single" w:color="000000" w:sz="4" w:space="0"/>
              <w:left w:val="single" w:color="000000" w:sz="4" w:space="0"/>
              <w:bottom w:val="single" w:color="000000" w:sz="4" w:space="0"/>
              <w:right w:val="single" w:color="000000" w:sz="4" w:space="0"/>
            </w:tcBorders>
            <w:vAlign w:val="center"/>
          </w:tcPr>
          <w:p w14:paraId="0F495D91">
            <w:pPr>
              <w:jc w:val="center"/>
              <w:rPr>
                <w:rFonts w:hint="default" w:ascii="Times New Roman" w:hAnsi="Times New Roman" w:cs="Times New Roman"/>
                <w:sz w:val="21"/>
                <w:szCs w:val="21"/>
              </w:rPr>
            </w:pPr>
            <w:r>
              <w:rPr>
                <w:rFonts w:hint="default" w:ascii="Times New Roman" w:hAnsi="Times New Roman" w:cs="Times New Roman"/>
                <w:sz w:val="21"/>
                <w:szCs w:val="21"/>
              </w:rPr>
              <w:t>6</w:t>
            </w:r>
          </w:p>
        </w:tc>
        <w:tc>
          <w:tcPr>
            <w:tcW w:w="975" w:type="dxa"/>
            <w:tcBorders>
              <w:top w:val="single" w:color="000000" w:sz="4" w:space="0"/>
              <w:left w:val="single" w:color="000000" w:sz="4" w:space="0"/>
              <w:bottom w:val="single" w:color="000000" w:sz="4" w:space="0"/>
              <w:right w:val="single" w:color="000000" w:sz="4" w:space="0"/>
            </w:tcBorders>
            <w:vAlign w:val="center"/>
          </w:tcPr>
          <w:p w14:paraId="5EC59F96">
            <w:pPr>
              <w:jc w:val="center"/>
              <w:rPr>
                <w:rFonts w:hint="default" w:ascii="Times New Roman" w:hAnsi="Times New Roman" w:cs="Times New Roman"/>
                <w:sz w:val="21"/>
                <w:szCs w:val="21"/>
              </w:rPr>
            </w:pPr>
            <w:r>
              <w:rPr>
                <w:rFonts w:hint="default" w:ascii="Times New Roman" w:hAnsi="Times New Roman" w:cs="Times New Roman"/>
                <w:sz w:val="21"/>
                <w:szCs w:val="21"/>
              </w:rPr>
              <w:t>废矿物油</w:t>
            </w:r>
          </w:p>
        </w:tc>
        <w:tc>
          <w:tcPr>
            <w:tcW w:w="1568" w:type="dxa"/>
            <w:tcBorders>
              <w:top w:val="single" w:color="000000" w:sz="4" w:space="0"/>
              <w:left w:val="single" w:color="000000" w:sz="4" w:space="0"/>
              <w:bottom w:val="single" w:color="000000" w:sz="4" w:space="0"/>
              <w:right w:val="single" w:color="000000" w:sz="4" w:space="0"/>
            </w:tcBorders>
            <w:vAlign w:val="center"/>
          </w:tcPr>
          <w:p w14:paraId="43C74C30">
            <w:pPr>
              <w:jc w:val="center"/>
              <w:rPr>
                <w:rFonts w:hint="default" w:ascii="Times New Roman" w:hAnsi="Times New Roman" w:cs="Times New Roman"/>
                <w:sz w:val="21"/>
                <w:szCs w:val="21"/>
              </w:rPr>
            </w:pPr>
            <w:r>
              <w:rPr>
                <w:rFonts w:hint="default" w:ascii="Times New Roman" w:hAnsi="Times New Roman" w:cs="Times New Roman"/>
                <w:sz w:val="21"/>
                <w:szCs w:val="21"/>
              </w:rPr>
              <w:t>设备维护</w:t>
            </w:r>
          </w:p>
        </w:tc>
        <w:tc>
          <w:tcPr>
            <w:tcW w:w="427" w:type="dxa"/>
            <w:tcBorders>
              <w:top w:val="single" w:color="000000" w:sz="4" w:space="0"/>
              <w:left w:val="single" w:color="000000" w:sz="4" w:space="0"/>
              <w:bottom w:val="single" w:color="000000" w:sz="4" w:space="0"/>
              <w:right w:val="single" w:color="000000" w:sz="4" w:space="0"/>
            </w:tcBorders>
            <w:vAlign w:val="center"/>
          </w:tcPr>
          <w:p w14:paraId="650493E1">
            <w:pPr>
              <w:jc w:val="center"/>
              <w:rPr>
                <w:rFonts w:hint="default" w:ascii="Times New Roman" w:hAnsi="Times New Roman" w:cs="Times New Roman"/>
                <w:sz w:val="21"/>
                <w:szCs w:val="21"/>
              </w:rPr>
            </w:pPr>
            <w:r>
              <w:rPr>
                <w:rFonts w:hint="default" w:ascii="Times New Roman" w:hAnsi="Times New Roman" w:cs="Times New Roman"/>
                <w:sz w:val="21"/>
                <w:szCs w:val="21"/>
              </w:rPr>
              <w:t>液态</w:t>
            </w:r>
          </w:p>
        </w:tc>
        <w:tc>
          <w:tcPr>
            <w:tcW w:w="948" w:type="dxa"/>
            <w:tcBorders>
              <w:top w:val="single" w:color="000000" w:sz="4" w:space="0"/>
              <w:left w:val="single" w:color="000000" w:sz="4" w:space="0"/>
              <w:bottom w:val="single" w:color="000000" w:sz="4" w:space="0"/>
              <w:right w:val="single" w:color="000000" w:sz="4" w:space="0"/>
            </w:tcBorders>
            <w:vAlign w:val="center"/>
          </w:tcPr>
          <w:p w14:paraId="7CAB32DD">
            <w:pPr>
              <w:jc w:val="center"/>
              <w:rPr>
                <w:rFonts w:hint="default" w:ascii="Times New Roman" w:hAnsi="Times New Roman" w:cs="Times New Roman"/>
                <w:sz w:val="21"/>
                <w:szCs w:val="21"/>
              </w:rPr>
            </w:pPr>
            <w:r>
              <w:rPr>
                <w:rFonts w:hint="default" w:ascii="Times New Roman" w:hAnsi="Times New Roman" w:cs="Times New Roman"/>
                <w:sz w:val="21"/>
                <w:szCs w:val="21"/>
              </w:rPr>
              <w:t>矿物油</w:t>
            </w:r>
          </w:p>
        </w:tc>
        <w:tc>
          <w:tcPr>
            <w:tcW w:w="1238" w:type="dxa"/>
            <w:tcBorders>
              <w:top w:val="single" w:color="000000" w:sz="4" w:space="0"/>
              <w:left w:val="single" w:color="000000" w:sz="4" w:space="0"/>
              <w:bottom w:val="single" w:color="000000" w:sz="4" w:space="0"/>
              <w:right w:val="single" w:color="000000" w:sz="4" w:space="0"/>
            </w:tcBorders>
            <w:vAlign w:val="center"/>
          </w:tcPr>
          <w:p w14:paraId="7EF8108D">
            <w:pPr>
              <w:jc w:val="center"/>
              <w:rPr>
                <w:rFonts w:hint="default" w:ascii="Times New Roman" w:hAnsi="Times New Roman" w:cs="Times New Roman"/>
                <w:sz w:val="21"/>
                <w:szCs w:val="21"/>
              </w:rPr>
            </w:pPr>
            <w:r>
              <w:rPr>
                <w:rFonts w:hint="default" w:ascii="Times New Roman" w:hAnsi="Times New Roman" w:cs="Times New Roman"/>
                <w:sz w:val="21"/>
                <w:szCs w:val="21"/>
              </w:rPr>
              <w:t>是</w:t>
            </w:r>
          </w:p>
        </w:tc>
        <w:tc>
          <w:tcPr>
            <w:tcW w:w="816" w:type="dxa"/>
            <w:tcBorders>
              <w:top w:val="single" w:color="000000" w:sz="4" w:space="0"/>
              <w:left w:val="single" w:color="000000" w:sz="4" w:space="0"/>
              <w:bottom w:val="single" w:color="000000" w:sz="4" w:space="0"/>
              <w:right w:val="single" w:color="000000" w:sz="4" w:space="0"/>
            </w:tcBorders>
            <w:vAlign w:val="center"/>
          </w:tcPr>
          <w:p w14:paraId="2B3AAE99">
            <w:pPr>
              <w:jc w:val="center"/>
              <w:rPr>
                <w:rFonts w:hint="default" w:ascii="Times New Roman" w:hAnsi="Times New Roman" w:cs="Times New Roman"/>
                <w:sz w:val="21"/>
                <w:szCs w:val="21"/>
              </w:rPr>
            </w:pPr>
            <w:r>
              <w:rPr>
                <w:rFonts w:hint="default" w:ascii="Times New Roman" w:hAnsi="Times New Roman" w:cs="Times New Roman"/>
                <w:sz w:val="21"/>
                <w:szCs w:val="21"/>
              </w:rPr>
              <w:t>/</w:t>
            </w:r>
          </w:p>
        </w:tc>
        <w:tc>
          <w:tcPr>
            <w:tcW w:w="1368" w:type="dxa"/>
            <w:vMerge w:val="continue"/>
            <w:tcBorders>
              <w:top w:val="single" w:color="000000" w:sz="4" w:space="0"/>
              <w:left w:val="single" w:color="000000" w:sz="4" w:space="0"/>
              <w:bottom w:val="single" w:color="000000" w:sz="4" w:space="0"/>
              <w:right w:val="single" w:color="000000" w:sz="4" w:space="0"/>
            </w:tcBorders>
            <w:vAlign w:val="center"/>
          </w:tcPr>
          <w:p w14:paraId="7CFB6194">
            <w:pPr>
              <w:jc w:val="center"/>
              <w:rPr>
                <w:rFonts w:hint="default" w:ascii="Times New Roman" w:hAnsi="Times New Roman" w:cs="Times New Roman"/>
                <w:sz w:val="21"/>
                <w:szCs w:val="21"/>
              </w:rPr>
            </w:pPr>
          </w:p>
        </w:tc>
        <w:tc>
          <w:tcPr>
            <w:tcW w:w="1009" w:type="dxa"/>
            <w:tcBorders>
              <w:top w:val="single" w:color="000000" w:sz="4" w:space="0"/>
              <w:left w:val="single" w:color="000000" w:sz="4" w:space="0"/>
              <w:bottom w:val="single" w:color="000000" w:sz="4" w:space="0"/>
              <w:right w:val="single" w:color="000000" w:sz="4" w:space="0"/>
            </w:tcBorders>
            <w:vAlign w:val="center"/>
          </w:tcPr>
          <w:p w14:paraId="4C42DF09">
            <w:pPr>
              <w:jc w:val="center"/>
              <w:rPr>
                <w:rFonts w:hint="default" w:ascii="Times New Roman" w:hAnsi="Times New Roman" w:cs="Times New Roman"/>
                <w:sz w:val="21"/>
                <w:szCs w:val="21"/>
              </w:rPr>
            </w:pPr>
            <w:r>
              <w:rPr>
                <w:rFonts w:hint="default" w:ascii="Times New Roman" w:hAnsi="Times New Roman" w:cs="Times New Roman"/>
                <w:sz w:val="21"/>
                <w:szCs w:val="21"/>
              </w:rPr>
              <w:t>2</w:t>
            </w:r>
          </w:p>
        </w:tc>
      </w:tr>
    </w:tbl>
    <w:p w14:paraId="390A0055"/>
    <w:p w14:paraId="5503B8A8">
      <w:pPr>
        <w:keepNext w:val="0"/>
        <w:keepLines w:val="0"/>
        <w:widowControl/>
        <w:suppressLineNumbers w:val="0"/>
        <w:jc w:val="left"/>
      </w:pPr>
      <w:r>
        <w:rPr>
          <w:rFonts w:hint="eastAsia" w:ascii="宋体" w:hAnsi="宋体" w:eastAsia="宋体" w:cs="宋体"/>
          <w:color w:val="000000"/>
          <w:kern w:val="0"/>
          <w:sz w:val="24"/>
          <w:szCs w:val="24"/>
          <w:lang w:val="en-US" w:eastAsia="zh-CN" w:bidi="ar"/>
        </w:rPr>
        <w:t xml:space="preserve">根据上述分析，本项目各类固体废物的产生和排放情况详见表 </w:t>
      </w:r>
      <w:r>
        <w:rPr>
          <w:rFonts w:hint="default" w:ascii="Times New Roman" w:hAnsi="Times New Roman" w:eastAsia="宋体" w:cs="Times New Roman"/>
          <w:color w:val="000000"/>
          <w:kern w:val="0"/>
          <w:sz w:val="24"/>
          <w:szCs w:val="24"/>
          <w:lang w:val="en-US" w:eastAsia="zh-CN" w:bidi="ar"/>
        </w:rPr>
        <w:t>4.6.4-2</w:t>
      </w:r>
      <w:r>
        <w:rPr>
          <w:rFonts w:hint="eastAsia" w:ascii="宋体" w:hAnsi="宋体" w:eastAsia="宋体" w:cs="宋体"/>
          <w:color w:val="000000"/>
          <w:kern w:val="0"/>
          <w:sz w:val="24"/>
          <w:szCs w:val="24"/>
          <w:lang w:val="en-US" w:eastAsia="zh-CN" w:bidi="ar"/>
        </w:rPr>
        <w:t>。</w:t>
      </w:r>
    </w:p>
    <w:p w14:paraId="5BC043FA">
      <w:pPr>
        <w:pStyle w:val="2"/>
        <w:sectPr>
          <w:pgSz w:w="11907" w:h="16840"/>
          <w:pgMar w:top="1701" w:right="1701" w:bottom="1701" w:left="1701" w:header="851" w:footer="1077" w:gutter="0"/>
          <w:pgBorders w:offsetFrom="page">
            <w:top w:val="none" w:sz="0" w:space="0"/>
            <w:left w:val="none" w:sz="0" w:space="0"/>
            <w:bottom w:val="none" w:sz="0" w:space="0"/>
            <w:right w:val="none" w:sz="0" w:space="0"/>
          </w:pgBorders>
          <w:pgNumType w:fmt="decimal"/>
          <w:cols w:space="720" w:num="1"/>
          <w:docGrid w:type="lines" w:linePitch="479" w:charSpace="0"/>
        </w:sectPr>
      </w:pPr>
    </w:p>
    <w:p w14:paraId="3C5A269E">
      <w:pPr>
        <w:jc w:val="center"/>
      </w:pPr>
      <w:r>
        <w:t>表4.6.4-2 项目固废分析结果一览表</w:t>
      </w:r>
    </w:p>
    <w:tbl>
      <w:tblPr>
        <w:tblStyle w:val="56"/>
        <w:tblW w:w="5000" w:type="pct"/>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17"/>
        <w:gridCol w:w="875"/>
        <w:gridCol w:w="873"/>
        <w:gridCol w:w="897"/>
        <w:gridCol w:w="1382"/>
        <w:gridCol w:w="1140"/>
        <w:gridCol w:w="2870"/>
        <w:gridCol w:w="605"/>
        <w:gridCol w:w="784"/>
        <w:gridCol w:w="696"/>
        <w:gridCol w:w="719"/>
        <w:gridCol w:w="2296"/>
      </w:tblGrid>
      <w:tr w14:paraId="12170E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tcBorders>
              <w:top w:val="single" w:color="000000" w:sz="4" w:space="0"/>
              <w:left w:val="single" w:color="000000" w:sz="4" w:space="0"/>
              <w:bottom w:val="single" w:color="000000" w:sz="4" w:space="0"/>
              <w:right w:val="single" w:color="000000" w:sz="4" w:space="0"/>
            </w:tcBorders>
            <w:vAlign w:val="center"/>
          </w:tcPr>
          <w:p w14:paraId="4A9ADA41">
            <w:pPr>
              <w:jc w:val="center"/>
              <w:rPr>
                <w:rFonts w:hint="default" w:ascii="Times New Roman" w:hAnsi="Times New Roman" w:eastAsia="宋体" w:cs="Times New Roman"/>
                <w:b/>
                <w:sz w:val="21"/>
                <w:szCs w:val="21"/>
              </w:rPr>
            </w:pPr>
            <w:r>
              <w:rPr>
                <w:rFonts w:hint="default" w:ascii="Times New Roman" w:hAnsi="Times New Roman" w:eastAsia="宋体" w:cs="Times New Roman"/>
                <w:b/>
                <w:sz w:val="21"/>
                <w:szCs w:val="21"/>
              </w:rPr>
              <w:t>序号</w:t>
            </w:r>
          </w:p>
        </w:tc>
        <w:tc>
          <w:tcPr>
            <w:tcW w:w="0" w:type="auto"/>
            <w:tcBorders>
              <w:top w:val="single" w:color="000000" w:sz="4" w:space="0"/>
              <w:left w:val="single" w:color="000000" w:sz="4" w:space="0"/>
              <w:bottom w:val="single" w:color="000000" w:sz="4" w:space="0"/>
              <w:right w:val="single" w:color="000000" w:sz="4" w:space="0"/>
            </w:tcBorders>
            <w:vAlign w:val="center"/>
          </w:tcPr>
          <w:p w14:paraId="29CC8D23">
            <w:pPr>
              <w:jc w:val="center"/>
              <w:rPr>
                <w:rFonts w:hint="default" w:ascii="Times New Roman" w:hAnsi="Times New Roman" w:eastAsia="宋体" w:cs="Times New Roman"/>
                <w:b/>
                <w:sz w:val="21"/>
                <w:szCs w:val="21"/>
              </w:rPr>
            </w:pPr>
            <w:r>
              <w:rPr>
                <w:rFonts w:hint="default" w:ascii="Times New Roman" w:hAnsi="Times New Roman" w:eastAsia="宋体" w:cs="Times New Roman"/>
                <w:b/>
                <w:sz w:val="21"/>
                <w:szCs w:val="21"/>
              </w:rPr>
              <w:t>固体废物名称</w:t>
            </w:r>
          </w:p>
        </w:tc>
        <w:tc>
          <w:tcPr>
            <w:tcW w:w="0" w:type="auto"/>
            <w:tcBorders>
              <w:top w:val="single" w:color="000000" w:sz="4" w:space="0"/>
              <w:left w:val="single" w:color="000000" w:sz="4" w:space="0"/>
              <w:bottom w:val="single" w:color="000000" w:sz="4" w:space="0"/>
              <w:right w:val="single" w:color="000000" w:sz="4" w:space="0"/>
            </w:tcBorders>
            <w:vAlign w:val="center"/>
          </w:tcPr>
          <w:p w14:paraId="6E9C0EDF">
            <w:pPr>
              <w:jc w:val="center"/>
              <w:rPr>
                <w:rFonts w:hint="default" w:ascii="Times New Roman" w:hAnsi="Times New Roman" w:eastAsia="宋体" w:cs="Times New Roman"/>
                <w:b/>
                <w:sz w:val="21"/>
                <w:szCs w:val="21"/>
              </w:rPr>
            </w:pPr>
            <w:r>
              <w:rPr>
                <w:rFonts w:hint="default" w:ascii="Times New Roman" w:hAnsi="Times New Roman" w:eastAsia="宋体" w:cs="Times New Roman"/>
                <w:b/>
                <w:sz w:val="21"/>
                <w:szCs w:val="21"/>
              </w:rPr>
              <w:t>属性</w:t>
            </w:r>
          </w:p>
        </w:tc>
        <w:tc>
          <w:tcPr>
            <w:tcW w:w="0" w:type="auto"/>
            <w:tcBorders>
              <w:top w:val="single" w:color="000000" w:sz="4" w:space="0"/>
              <w:left w:val="single" w:color="000000" w:sz="4" w:space="0"/>
              <w:bottom w:val="single" w:color="000000" w:sz="4" w:space="0"/>
              <w:right w:val="single" w:color="000000" w:sz="4" w:space="0"/>
            </w:tcBorders>
            <w:vAlign w:val="center"/>
          </w:tcPr>
          <w:p w14:paraId="5F0FE0EC">
            <w:pPr>
              <w:jc w:val="center"/>
              <w:rPr>
                <w:rFonts w:hint="default" w:ascii="Times New Roman" w:hAnsi="Times New Roman" w:eastAsia="宋体" w:cs="Times New Roman"/>
                <w:b/>
                <w:sz w:val="21"/>
                <w:szCs w:val="21"/>
              </w:rPr>
            </w:pPr>
            <w:r>
              <w:rPr>
                <w:rFonts w:hint="default" w:ascii="Times New Roman" w:hAnsi="Times New Roman" w:eastAsia="宋体" w:cs="Times New Roman"/>
                <w:b/>
                <w:sz w:val="21"/>
                <w:szCs w:val="21"/>
              </w:rPr>
              <w:t>废物类别</w:t>
            </w:r>
          </w:p>
        </w:tc>
        <w:tc>
          <w:tcPr>
            <w:tcW w:w="0" w:type="auto"/>
            <w:tcBorders>
              <w:top w:val="single" w:color="000000" w:sz="4" w:space="0"/>
              <w:left w:val="single" w:color="000000" w:sz="4" w:space="0"/>
              <w:bottom w:val="single" w:color="000000" w:sz="4" w:space="0"/>
              <w:right w:val="single" w:color="000000" w:sz="4" w:space="0"/>
            </w:tcBorders>
            <w:vAlign w:val="center"/>
          </w:tcPr>
          <w:p w14:paraId="0F9334B1">
            <w:pPr>
              <w:jc w:val="center"/>
              <w:rPr>
                <w:rFonts w:hint="default" w:ascii="Times New Roman" w:hAnsi="Times New Roman" w:eastAsia="宋体" w:cs="Times New Roman"/>
                <w:b/>
                <w:sz w:val="21"/>
                <w:szCs w:val="21"/>
              </w:rPr>
            </w:pPr>
            <w:r>
              <w:rPr>
                <w:rFonts w:hint="default" w:ascii="Times New Roman" w:hAnsi="Times New Roman" w:eastAsia="宋体" w:cs="Times New Roman"/>
                <w:b/>
                <w:sz w:val="21"/>
                <w:szCs w:val="21"/>
              </w:rPr>
              <w:t>废物代码</w:t>
            </w:r>
          </w:p>
        </w:tc>
        <w:tc>
          <w:tcPr>
            <w:tcW w:w="0" w:type="auto"/>
            <w:tcBorders>
              <w:top w:val="single" w:color="000000" w:sz="4" w:space="0"/>
              <w:left w:val="single" w:color="000000" w:sz="4" w:space="0"/>
              <w:bottom w:val="single" w:color="000000" w:sz="4" w:space="0"/>
              <w:right w:val="single" w:color="000000" w:sz="4" w:space="0"/>
            </w:tcBorders>
            <w:vAlign w:val="center"/>
          </w:tcPr>
          <w:p w14:paraId="197DF7B6">
            <w:pPr>
              <w:jc w:val="center"/>
              <w:rPr>
                <w:rFonts w:hint="default" w:ascii="Times New Roman" w:hAnsi="Times New Roman" w:eastAsia="宋体" w:cs="Times New Roman"/>
                <w:b/>
                <w:sz w:val="21"/>
                <w:szCs w:val="21"/>
              </w:rPr>
            </w:pPr>
            <w:r>
              <w:rPr>
                <w:rFonts w:hint="default" w:ascii="Times New Roman" w:hAnsi="Times New Roman" w:eastAsia="宋体" w:cs="Times New Roman"/>
                <w:b/>
                <w:sz w:val="21"/>
                <w:szCs w:val="21"/>
              </w:rPr>
              <w:t>产生量（t/a）</w:t>
            </w:r>
          </w:p>
        </w:tc>
        <w:tc>
          <w:tcPr>
            <w:tcW w:w="0" w:type="auto"/>
            <w:tcBorders>
              <w:top w:val="single" w:color="000000" w:sz="4" w:space="0"/>
              <w:left w:val="single" w:color="000000" w:sz="4" w:space="0"/>
              <w:bottom w:val="single" w:color="000000" w:sz="4" w:space="0"/>
              <w:right w:val="single" w:color="000000" w:sz="4" w:space="0"/>
            </w:tcBorders>
            <w:vAlign w:val="center"/>
          </w:tcPr>
          <w:p w14:paraId="4A47AC6B">
            <w:pPr>
              <w:jc w:val="center"/>
              <w:rPr>
                <w:rFonts w:hint="default" w:ascii="Times New Roman" w:hAnsi="Times New Roman" w:eastAsia="宋体" w:cs="Times New Roman"/>
                <w:b/>
                <w:sz w:val="21"/>
                <w:szCs w:val="21"/>
              </w:rPr>
            </w:pPr>
            <w:r>
              <w:rPr>
                <w:rFonts w:hint="default" w:ascii="Times New Roman" w:hAnsi="Times New Roman" w:eastAsia="宋体" w:cs="Times New Roman"/>
                <w:b/>
                <w:sz w:val="21"/>
                <w:szCs w:val="21"/>
              </w:rPr>
              <w:t>产生工序及装置</w:t>
            </w:r>
          </w:p>
        </w:tc>
        <w:tc>
          <w:tcPr>
            <w:tcW w:w="0" w:type="auto"/>
            <w:tcBorders>
              <w:top w:val="single" w:color="000000" w:sz="4" w:space="0"/>
              <w:left w:val="single" w:color="000000" w:sz="4" w:space="0"/>
              <w:bottom w:val="single" w:color="000000" w:sz="4" w:space="0"/>
              <w:right w:val="single" w:color="000000" w:sz="4" w:space="0"/>
            </w:tcBorders>
            <w:vAlign w:val="center"/>
          </w:tcPr>
          <w:p w14:paraId="2E9815A2">
            <w:pPr>
              <w:jc w:val="center"/>
              <w:rPr>
                <w:rFonts w:hint="default" w:ascii="Times New Roman" w:hAnsi="Times New Roman" w:eastAsia="宋体" w:cs="Times New Roman"/>
                <w:b/>
                <w:sz w:val="21"/>
                <w:szCs w:val="21"/>
              </w:rPr>
            </w:pPr>
            <w:r>
              <w:rPr>
                <w:rFonts w:hint="default" w:ascii="Times New Roman" w:hAnsi="Times New Roman" w:eastAsia="宋体" w:cs="Times New Roman"/>
                <w:b/>
                <w:sz w:val="21"/>
                <w:szCs w:val="21"/>
              </w:rPr>
              <w:t>形态</w:t>
            </w:r>
          </w:p>
        </w:tc>
        <w:tc>
          <w:tcPr>
            <w:tcW w:w="0" w:type="auto"/>
            <w:tcBorders>
              <w:top w:val="single" w:color="000000" w:sz="4" w:space="0"/>
              <w:left w:val="single" w:color="000000" w:sz="4" w:space="0"/>
              <w:bottom w:val="single" w:color="000000" w:sz="4" w:space="0"/>
              <w:right w:val="single" w:color="000000" w:sz="4" w:space="0"/>
            </w:tcBorders>
            <w:vAlign w:val="center"/>
          </w:tcPr>
          <w:p w14:paraId="1A1712C8">
            <w:pPr>
              <w:jc w:val="center"/>
              <w:rPr>
                <w:rFonts w:hint="default" w:ascii="Times New Roman" w:hAnsi="Times New Roman" w:eastAsia="宋体" w:cs="Times New Roman"/>
                <w:b/>
                <w:sz w:val="21"/>
                <w:szCs w:val="21"/>
              </w:rPr>
            </w:pPr>
            <w:r>
              <w:rPr>
                <w:rFonts w:hint="default" w:ascii="Times New Roman" w:hAnsi="Times New Roman" w:eastAsia="宋体" w:cs="Times New Roman"/>
                <w:b/>
                <w:sz w:val="21"/>
                <w:szCs w:val="21"/>
              </w:rPr>
              <w:t>主要成分</w:t>
            </w:r>
          </w:p>
        </w:tc>
        <w:tc>
          <w:tcPr>
            <w:tcW w:w="0" w:type="auto"/>
            <w:tcBorders>
              <w:top w:val="single" w:color="000000" w:sz="4" w:space="0"/>
              <w:left w:val="single" w:color="000000" w:sz="4" w:space="0"/>
              <w:bottom w:val="single" w:color="000000" w:sz="4" w:space="0"/>
              <w:right w:val="single" w:color="000000" w:sz="4" w:space="0"/>
            </w:tcBorders>
            <w:vAlign w:val="center"/>
          </w:tcPr>
          <w:p w14:paraId="5818EC2F">
            <w:pPr>
              <w:jc w:val="center"/>
              <w:rPr>
                <w:rFonts w:hint="default" w:ascii="Times New Roman" w:hAnsi="Times New Roman" w:eastAsia="宋体" w:cs="Times New Roman"/>
                <w:b/>
                <w:sz w:val="21"/>
                <w:szCs w:val="21"/>
              </w:rPr>
            </w:pPr>
            <w:r>
              <w:rPr>
                <w:rFonts w:hint="default" w:ascii="Times New Roman" w:hAnsi="Times New Roman" w:eastAsia="宋体" w:cs="Times New Roman"/>
                <w:b/>
                <w:sz w:val="21"/>
                <w:szCs w:val="21"/>
              </w:rPr>
              <w:t>有害成分</w:t>
            </w:r>
          </w:p>
        </w:tc>
        <w:tc>
          <w:tcPr>
            <w:tcW w:w="0" w:type="auto"/>
            <w:tcBorders>
              <w:top w:val="single" w:color="000000" w:sz="4" w:space="0"/>
              <w:left w:val="single" w:color="000000" w:sz="4" w:space="0"/>
              <w:bottom w:val="single" w:color="000000" w:sz="4" w:space="0"/>
              <w:right w:val="single" w:color="000000" w:sz="4" w:space="0"/>
            </w:tcBorders>
            <w:vAlign w:val="center"/>
          </w:tcPr>
          <w:p w14:paraId="2DC6C27A">
            <w:pPr>
              <w:jc w:val="center"/>
              <w:rPr>
                <w:rFonts w:hint="default" w:ascii="Times New Roman" w:hAnsi="Times New Roman" w:eastAsia="宋体" w:cs="Times New Roman"/>
                <w:b/>
                <w:sz w:val="21"/>
                <w:szCs w:val="21"/>
              </w:rPr>
            </w:pPr>
            <w:r>
              <w:rPr>
                <w:rFonts w:hint="default" w:ascii="Times New Roman" w:hAnsi="Times New Roman" w:eastAsia="宋体" w:cs="Times New Roman"/>
                <w:b/>
                <w:sz w:val="21"/>
                <w:szCs w:val="21"/>
              </w:rPr>
              <w:t>危险特性</w:t>
            </w:r>
          </w:p>
        </w:tc>
        <w:tc>
          <w:tcPr>
            <w:tcW w:w="0" w:type="auto"/>
            <w:tcBorders>
              <w:top w:val="single" w:color="000000" w:sz="4" w:space="0"/>
              <w:left w:val="single" w:color="000000" w:sz="4" w:space="0"/>
              <w:bottom w:val="single" w:color="000000" w:sz="4" w:space="0"/>
              <w:right w:val="single" w:color="000000" w:sz="4" w:space="0"/>
            </w:tcBorders>
            <w:vAlign w:val="center"/>
          </w:tcPr>
          <w:p w14:paraId="5DD7C413">
            <w:pPr>
              <w:jc w:val="center"/>
              <w:rPr>
                <w:rFonts w:hint="default" w:ascii="Times New Roman" w:hAnsi="Times New Roman" w:eastAsia="宋体" w:cs="Times New Roman"/>
                <w:b/>
                <w:sz w:val="21"/>
                <w:szCs w:val="21"/>
              </w:rPr>
            </w:pPr>
            <w:r>
              <w:rPr>
                <w:rFonts w:hint="default" w:ascii="Times New Roman" w:hAnsi="Times New Roman" w:eastAsia="宋体" w:cs="Times New Roman"/>
                <w:b/>
                <w:sz w:val="21"/>
                <w:szCs w:val="21"/>
              </w:rPr>
              <w:t>污染防治措施</w:t>
            </w:r>
          </w:p>
        </w:tc>
      </w:tr>
      <w:tr w14:paraId="088D20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tcBorders>
              <w:top w:val="single" w:color="000000" w:sz="4" w:space="0"/>
              <w:left w:val="single" w:color="000000" w:sz="4" w:space="0"/>
              <w:bottom w:val="single" w:color="000000" w:sz="4" w:space="0"/>
              <w:right w:val="single" w:color="000000" w:sz="4" w:space="0"/>
            </w:tcBorders>
            <w:vAlign w:val="center"/>
          </w:tcPr>
          <w:p w14:paraId="189AB5CD">
            <w:pP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1</w:t>
            </w:r>
          </w:p>
        </w:tc>
        <w:tc>
          <w:tcPr>
            <w:tcW w:w="0" w:type="auto"/>
            <w:tcBorders>
              <w:top w:val="single" w:color="000000" w:sz="4" w:space="0"/>
              <w:left w:val="single" w:color="000000" w:sz="4" w:space="0"/>
              <w:bottom w:val="single" w:color="000000" w:sz="4" w:space="0"/>
              <w:right w:val="single" w:color="000000" w:sz="4" w:space="0"/>
            </w:tcBorders>
            <w:vAlign w:val="center"/>
          </w:tcPr>
          <w:p w14:paraId="0B76BED6">
            <w:pP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废矿物油</w:t>
            </w:r>
          </w:p>
        </w:tc>
        <w:tc>
          <w:tcPr>
            <w:tcW w:w="0" w:type="auto"/>
            <w:vMerge w:val="restart"/>
            <w:tcBorders>
              <w:top w:val="single" w:color="000000" w:sz="4" w:space="0"/>
              <w:left w:val="single" w:color="000000" w:sz="4" w:space="0"/>
              <w:bottom w:val="single" w:color="000000" w:sz="4" w:space="0"/>
              <w:right w:val="single" w:color="000000" w:sz="4" w:space="0"/>
            </w:tcBorders>
            <w:vAlign w:val="center"/>
          </w:tcPr>
          <w:p w14:paraId="51C9AEAB">
            <w:pP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危险废物</w:t>
            </w:r>
          </w:p>
        </w:tc>
        <w:tc>
          <w:tcPr>
            <w:tcW w:w="0" w:type="auto"/>
            <w:tcBorders>
              <w:top w:val="single" w:color="000000" w:sz="4" w:space="0"/>
              <w:left w:val="single" w:color="000000" w:sz="4" w:space="0"/>
              <w:bottom w:val="single" w:color="000000" w:sz="4" w:space="0"/>
              <w:right w:val="single" w:color="000000" w:sz="4" w:space="0"/>
            </w:tcBorders>
            <w:vAlign w:val="center"/>
          </w:tcPr>
          <w:p w14:paraId="0C297585">
            <w:pP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HW08</w:t>
            </w:r>
          </w:p>
        </w:tc>
        <w:tc>
          <w:tcPr>
            <w:tcW w:w="0" w:type="auto"/>
            <w:tcBorders>
              <w:top w:val="single" w:color="000000" w:sz="4" w:space="0"/>
              <w:left w:val="single" w:color="000000" w:sz="4" w:space="0"/>
              <w:bottom w:val="single" w:color="000000" w:sz="4" w:space="0"/>
              <w:right w:val="single" w:color="000000" w:sz="4" w:space="0"/>
            </w:tcBorders>
            <w:vAlign w:val="center"/>
          </w:tcPr>
          <w:p w14:paraId="0568DFD5">
            <w:pP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900-249-08</w:t>
            </w:r>
          </w:p>
        </w:tc>
        <w:tc>
          <w:tcPr>
            <w:tcW w:w="0" w:type="auto"/>
            <w:tcBorders>
              <w:top w:val="single" w:color="000000" w:sz="4" w:space="0"/>
              <w:left w:val="single" w:color="000000" w:sz="4" w:space="0"/>
              <w:bottom w:val="single" w:color="000000" w:sz="4" w:space="0"/>
              <w:right w:val="single" w:color="000000" w:sz="4" w:space="0"/>
            </w:tcBorders>
            <w:vAlign w:val="center"/>
          </w:tcPr>
          <w:p w14:paraId="49C3D54C">
            <w:pP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2</w:t>
            </w:r>
          </w:p>
        </w:tc>
        <w:tc>
          <w:tcPr>
            <w:tcW w:w="0" w:type="auto"/>
            <w:tcBorders>
              <w:top w:val="single" w:color="000000" w:sz="4" w:space="0"/>
              <w:left w:val="single" w:color="000000" w:sz="4" w:space="0"/>
              <w:bottom w:val="single" w:color="000000" w:sz="4" w:space="0"/>
              <w:right w:val="single" w:color="000000" w:sz="4" w:space="0"/>
            </w:tcBorders>
            <w:vAlign w:val="center"/>
          </w:tcPr>
          <w:p w14:paraId="082BDC77">
            <w:pP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设备维护</w:t>
            </w:r>
          </w:p>
        </w:tc>
        <w:tc>
          <w:tcPr>
            <w:tcW w:w="0" w:type="auto"/>
            <w:tcBorders>
              <w:top w:val="single" w:color="000000" w:sz="4" w:space="0"/>
              <w:left w:val="single" w:color="000000" w:sz="4" w:space="0"/>
              <w:bottom w:val="single" w:color="000000" w:sz="4" w:space="0"/>
              <w:right w:val="single" w:color="000000" w:sz="4" w:space="0"/>
            </w:tcBorders>
            <w:vAlign w:val="center"/>
          </w:tcPr>
          <w:p w14:paraId="7F75B6C9">
            <w:pP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液态</w:t>
            </w:r>
          </w:p>
        </w:tc>
        <w:tc>
          <w:tcPr>
            <w:tcW w:w="0" w:type="auto"/>
            <w:tcBorders>
              <w:top w:val="single" w:color="000000" w:sz="4" w:space="0"/>
              <w:left w:val="single" w:color="000000" w:sz="4" w:space="0"/>
              <w:bottom w:val="single" w:color="000000" w:sz="4" w:space="0"/>
              <w:right w:val="single" w:color="000000" w:sz="4" w:space="0"/>
            </w:tcBorders>
            <w:vAlign w:val="center"/>
          </w:tcPr>
          <w:p w14:paraId="21B9A71B">
            <w:pP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矿物油</w:t>
            </w:r>
          </w:p>
        </w:tc>
        <w:tc>
          <w:tcPr>
            <w:tcW w:w="0" w:type="auto"/>
            <w:tcBorders>
              <w:top w:val="single" w:color="000000" w:sz="4" w:space="0"/>
              <w:left w:val="single" w:color="000000" w:sz="4" w:space="0"/>
              <w:bottom w:val="single" w:color="000000" w:sz="4" w:space="0"/>
              <w:right w:val="single" w:color="000000" w:sz="4" w:space="0"/>
            </w:tcBorders>
            <w:vAlign w:val="center"/>
          </w:tcPr>
          <w:p w14:paraId="6B28A143">
            <w:pP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矿物油</w:t>
            </w:r>
          </w:p>
        </w:tc>
        <w:tc>
          <w:tcPr>
            <w:tcW w:w="0" w:type="auto"/>
            <w:tcBorders>
              <w:top w:val="single" w:color="000000" w:sz="4" w:space="0"/>
              <w:left w:val="single" w:color="000000" w:sz="4" w:space="0"/>
              <w:bottom w:val="single" w:color="000000" w:sz="4" w:space="0"/>
              <w:right w:val="single" w:color="000000" w:sz="4" w:space="0"/>
            </w:tcBorders>
            <w:vAlign w:val="center"/>
          </w:tcPr>
          <w:p w14:paraId="29248C3F">
            <w:pP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T,I</w:t>
            </w:r>
          </w:p>
        </w:tc>
        <w:tc>
          <w:tcPr>
            <w:tcW w:w="0" w:type="auto"/>
            <w:tcBorders>
              <w:top w:val="single" w:color="000000" w:sz="4" w:space="0"/>
              <w:left w:val="single" w:color="000000" w:sz="4" w:space="0"/>
              <w:bottom w:val="single" w:color="000000" w:sz="4" w:space="0"/>
              <w:right w:val="single" w:color="000000" w:sz="4" w:space="0"/>
            </w:tcBorders>
            <w:vAlign w:val="center"/>
          </w:tcPr>
          <w:p w14:paraId="00FEAFC9">
            <w:pP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委托有资质单位统一处理</w:t>
            </w:r>
          </w:p>
        </w:tc>
      </w:tr>
      <w:tr w14:paraId="4CDAAD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tcBorders>
              <w:top w:val="single" w:color="000000" w:sz="4" w:space="0"/>
              <w:left w:val="single" w:color="000000" w:sz="4" w:space="0"/>
              <w:bottom w:val="single" w:color="000000" w:sz="4" w:space="0"/>
              <w:right w:val="single" w:color="000000" w:sz="4" w:space="0"/>
            </w:tcBorders>
            <w:vAlign w:val="center"/>
          </w:tcPr>
          <w:p w14:paraId="5D72FDE9">
            <w:pP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2</w:t>
            </w:r>
          </w:p>
        </w:tc>
        <w:tc>
          <w:tcPr>
            <w:tcW w:w="0" w:type="auto"/>
            <w:tcBorders>
              <w:top w:val="single" w:color="000000" w:sz="4" w:space="0"/>
              <w:left w:val="single" w:color="000000" w:sz="4" w:space="0"/>
              <w:bottom w:val="single" w:color="000000" w:sz="4" w:space="0"/>
              <w:right w:val="single" w:color="000000" w:sz="4" w:space="0"/>
            </w:tcBorders>
            <w:vAlign w:val="center"/>
          </w:tcPr>
          <w:p w14:paraId="38A525AA">
            <w:pP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废催化剂</w:t>
            </w: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1A95A77D">
            <w:pPr>
              <w:rPr>
                <w:rFonts w:hint="default" w:ascii="Times New Roman" w:hAnsi="Times New Roman" w:eastAsia="宋体" w:cs="Times New Roman"/>
                <w:sz w:val="21"/>
                <w:szCs w:val="21"/>
              </w:rPr>
            </w:pPr>
          </w:p>
        </w:tc>
        <w:tc>
          <w:tcPr>
            <w:tcW w:w="0" w:type="auto"/>
            <w:tcBorders>
              <w:top w:val="single" w:color="000000" w:sz="4" w:space="0"/>
              <w:left w:val="single" w:color="000000" w:sz="4" w:space="0"/>
              <w:bottom w:val="single" w:color="000000" w:sz="4" w:space="0"/>
              <w:right w:val="single" w:color="000000" w:sz="4" w:space="0"/>
            </w:tcBorders>
            <w:vAlign w:val="center"/>
          </w:tcPr>
          <w:p w14:paraId="11C9994C">
            <w:pP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HW50</w:t>
            </w:r>
          </w:p>
        </w:tc>
        <w:tc>
          <w:tcPr>
            <w:tcW w:w="0" w:type="auto"/>
            <w:tcBorders>
              <w:top w:val="single" w:color="000000" w:sz="4" w:space="0"/>
              <w:left w:val="single" w:color="000000" w:sz="4" w:space="0"/>
              <w:bottom w:val="single" w:color="000000" w:sz="4" w:space="0"/>
              <w:right w:val="single" w:color="000000" w:sz="4" w:space="0"/>
            </w:tcBorders>
            <w:vAlign w:val="center"/>
          </w:tcPr>
          <w:p w14:paraId="5F155D49">
            <w:pP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772-007-50</w:t>
            </w:r>
          </w:p>
        </w:tc>
        <w:tc>
          <w:tcPr>
            <w:tcW w:w="0" w:type="auto"/>
            <w:tcBorders>
              <w:top w:val="single" w:color="000000" w:sz="4" w:space="0"/>
              <w:left w:val="single" w:color="000000" w:sz="4" w:space="0"/>
              <w:bottom w:val="single" w:color="000000" w:sz="4" w:space="0"/>
              <w:right w:val="single" w:color="000000" w:sz="4" w:space="0"/>
            </w:tcBorders>
            <w:vAlign w:val="center"/>
          </w:tcPr>
          <w:p w14:paraId="423559F5">
            <w:pP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10t/3a</w:t>
            </w:r>
          </w:p>
        </w:tc>
        <w:tc>
          <w:tcPr>
            <w:tcW w:w="0" w:type="auto"/>
            <w:tcBorders>
              <w:top w:val="single" w:color="000000" w:sz="4" w:space="0"/>
              <w:left w:val="single" w:color="000000" w:sz="4" w:space="0"/>
              <w:bottom w:val="single" w:color="000000" w:sz="4" w:space="0"/>
              <w:right w:val="single" w:color="000000" w:sz="4" w:space="0"/>
            </w:tcBorders>
            <w:vAlign w:val="center"/>
          </w:tcPr>
          <w:p w14:paraId="5DD6FC32">
            <w:pP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机头脱硝</w:t>
            </w:r>
          </w:p>
        </w:tc>
        <w:tc>
          <w:tcPr>
            <w:tcW w:w="0" w:type="auto"/>
            <w:tcBorders>
              <w:top w:val="single" w:color="000000" w:sz="4" w:space="0"/>
              <w:left w:val="single" w:color="000000" w:sz="4" w:space="0"/>
              <w:bottom w:val="single" w:color="000000" w:sz="4" w:space="0"/>
              <w:right w:val="single" w:color="000000" w:sz="4" w:space="0"/>
            </w:tcBorders>
            <w:vAlign w:val="center"/>
          </w:tcPr>
          <w:p w14:paraId="488FC386">
            <w:pP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固态</w:t>
            </w:r>
          </w:p>
        </w:tc>
        <w:tc>
          <w:tcPr>
            <w:tcW w:w="0" w:type="auto"/>
            <w:tcBorders>
              <w:top w:val="single" w:color="000000" w:sz="4" w:space="0"/>
              <w:left w:val="single" w:color="000000" w:sz="4" w:space="0"/>
              <w:bottom w:val="single" w:color="000000" w:sz="4" w:space="0"/>
              <w:right w:val="single" w:color="000000" w:sz="4" w:space="0"/>
            </w:tcBorders>
            <w:vAlign w:val="center"/>
          </w:tcPr>
          <w:p w14:paraId="6234D37A">
            <w:pP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钒钛系</w:t>
            </w:r>
          </w:p>
        </w:tc>
        <w:tc>
          <w:tcPr>
            <w:tcW w:w="0" w:type="auto"/>
            <w:tcBorders>
              <w:top w:val="single" w:color="000000" w:sz="4" w:space="0"/>
              <w:left w:val="single" w:color="000000" w:sz="4" w:space="0"/>
              <w:bottom w:val="single" w:color="000000" w:sz="4" w:space="0"/>
              <w:right w:val="single" w:color="000000" w:sz="4" w:space="0"/>
            </w:tcBorders>
            <w:vAlign w:val="center"/>
          </w:tcPr>
          <w:p w14:paraId="59C2821B">
            <w:pP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钒钛系</w:t>
            </w:r>
          </w:p>
        </w:tc>
        <w:tc>
          <w:tcPr>
            <w:tcW w:w="0" w:type="auto"/>
            <w:tcBorders>
              <w:top w:val="single" w:color="000000" w:sz="4" w:space="0"/>
              <w:left w:val="single" w:color="000000" w:sz="4" w:space="0"/>
              <w:bottom w:val="single" w:color="000000" w:sz="4" w:space="0"/>
              <w:right w:val="single" w:color="000000" w:sz="4" w:space="0"/>
            </w:tcBorders>
            <w:vAlign w:val="center"/>
          </w:tcPr>
          <w:p w14:paraId="1F042192">
            <w:pP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T</w:t>
            </w:r>
          </w:p>
        </w:tc>
        <w:tc>
          <w:tcPr>
            <w:tcW w:w="0" w:type="auto"/>
            <w:tcBorders>
              <w:top w:val="single" w:color="000000" w:sz="4" w:space="0"/>
              <w:left w:val="single" w:color="000000" w:sz="4" w:space="0"/>
              <w:bottom w:val="single" w:color="000000" w:sz="4" w:space="0"/>
              <w:right w:val="single" w:color="000000" w:sz="4" w:space="0"/>
            </w:tcBorders>
            <w:vAlign w:val="center"/>
          </w:tcPr>
          <w:p w14:paraId="202CAAF3">
            <w:pP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委托有资质的单位处理</w:t>
            </w:r>
          </w:p>
        </w:tc>
      </w:tr>
      <w:tr w14:paraId="5F40F2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tcBorders>
              <w:top w:val="single" w:color="000000" w:sz="4" w:space="0"/>
              <w:left w:val="single" w:color="000000" w:sz="4" w:space="0"/>
              <w:bottom w:val="single" w:color="000000" w:sz="4" w:space="0"/>
              <w:right w:val="single" w:color="000000" w:sz="4" w:space="0"/>
            </w:tcBorders>
            <w:vAlign w:val="center"/>
          </w:tcPr>
          <w:p w14:paraId="4FD62CD5">
            <w:pP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3</w:t>
            </w:r>
          </w:p>
        </w:tc>
        <w:tc>
          <w:tcPr>
            <w:tcW w:w="0" w:type="auto"/>
            <w:tcBorders>
              <w:top w:val="single" w:color="000000" w:sz="4" w:space="0"/>
              <w:left w:val="single" w:color="000000" w:sz="4" w:space="0"/>
              <w:bottom w:val="single" w:color="000000" w:sz="4" w:space="0"/>
              <w:right w:val="single" w:color="000000" w:sz="4" w:space="0"/>
            </w:tcBorders>
            <w:vAlign w:val="center"/>
          </w:tcPr>
          <w:p w14:paraId="340D0C5C">
            <w:pP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除尘灰</w:t>
            </w:r>
          </w:p>
        </w:tc>
        <w:tc>
          <w:tcPr>
            <w:tcW w:w="0" w:type="auto"/>
            <w:vMerge w:val="restart"/>
            <w:tcBorders>
              <w:top w:val="single" w:color="000000" w:sz="4" w:space="0"/>
              <w:left w:val="single" w:color="000000" w:sz="4" w:space="0"/>
              <w:bottom w:val="single" w:color="000000" w:sz="4" w:space="0"/>
              <w:right w:val="single" w:color="000000" w:sz="4" w:space="0"/>
            </w:tcBorders>
            <w:vAlign w:val="center"/>
          </w:tcPr>
          <w:p w14:paraId="35919709">
            <w:pP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一般工业固废</w:t>
            </w:r>
          </w:p>
        </w:tc>
        <w:tc>
          <w:tcPr>
            <w:tcW w:w="0" w:type="auto"/>
            <w:tcBorders>
              <w:top w:val="single" w:color="000000" w:sz="4" w:space="0"/>
              <w:left w:val="single" w:color="000000" w:sz="4" w:space="0"/>
              <w:bottom w:val="single" w:color="000000" w:sz="4" w:space="0"/>
              <w:right w:val="single" w:color="000000" w:sz="4" w:space="0"/>
            </w:tcBorders>
            <w:vAlign w:val="center"/>
          </w:tcPr>
          <w:p w14:paraId="5F87F7D0">
            <w:pP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w:t>
            </w:r>
          </w:p>
        </w:tc>
        <w:tc>
          <w:tcPr>
            <w:tcW w:w="0" w:type="auto"/>
            <w:tcBorders>
              <w:top w:val="single" w:color="000000" w:sz="4" w:space="0"/>
              <w:left w:val="single" w:color="000000" w:sz="4" w:space="0"/>
              <w:bottom w:val="single" w:color="000000" w:sz="4" w:space="0"/>
              <w:right w:val="single" w:color="000000" w:sz="4" w:space="0"/>
            </w:tcBorders>
            <w:vAlign w:val="center"/>
          </w:tcPr>
          <w:p w14:paraId="67A40764">
            <w:pP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311-001-01</w:t>
            </w:r>
          </w:p>
        </w:tc>
        <w:tc>
          <w:tcPr>
            <w:tcW w:w="0" w:type="auto"/>
            <w:tcBorders>
              <w:top w:val="single" w:color="000000" w:sz="4" w:space="0"/>
              <w:left w:val="single" w:color="000000" w:sz="4" w:space="0"/>
              <w:bottom w:val="single" w:color="000000" w:sz="4" w:space="0"/>
              <w:right w:val="single" w:color="000000" w:sz="4" w:space="0"/>
            </w:tcBorders>
            <w:vAlign w:val="center"/>
          </w:tcPr>
          <w:p w14:paraId="637CE971">
            <w:pP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40800</w:t>
            </w:r>
          </w:p>
        </w:tc>
        <w:tc>
          <w:tcPr>
            <w:tcW w:w="0" w:type="auto"/>
            <w:tcBorders>
              <w:top w:val="single" w:color="000000" w:sz="4" w:space="0"/>
              <w:left w:val="single" w:color="000000" w:sz="4" w:space="0"/>
              <w:bottom w:val="single" w:color="000000" w:sz="4" w:space="0"/>
              <w:right w:val="single" w:color="000000" w:sz="4" w:space="0"/>
            </w:tcBorders>
            <w:vAlign w:val="center"/>
          </w:tcPr>
          <w:p w14:paraId="73D2ED4E">
            <w:pP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机头除尘系统、机尾除尘系统、环境除尘系统及配料除尘系统</w:t>
            </w:r>
          </w:p>
        </w:tc>
        <w:tc>
          <w:tcPr>
            <w:tcW w:w="0" w:type="auto"/>
            <w:tcBorders>
              <w:top w:val="single" w:color="000000" w:sz="4" w:space="0"/>
              <w:left w:val="single" w:color="000000" w:sz="4" w:space="0"/>
              <w:bottom w:val="single" w:color="000000" w:sz="4" w:space="0"/>
              <w:right w:val="single" w:color="000000" w:sz="4" w:space="0"/>
            </w:tcBorders>
            <w:vAlign w:val="center"/>
          </w:tcPr>
          <w:p w14:paraId="30DA7270">
            <w:pP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固态</w:t>
            </w:r>
          </w:p>
        </w:tc>
        <w:tc>
          <w:tcPr>
            <w:tcW w:w="0" w:type="auto"/>
            <w:tcBorders>
              <w:top w:val="single" w:color="000000" w:sz="4" w:space="0"/>
              <w:left w:val="single" w:color="000000" w:sz="4" w:space="0"/>
              <w:bottom w:val="single" w:color="000000" w:sz="4" w:space="0"/>
              <w:right w:val="single" w:color="000000" w:sz="4" w:space="0"/>
            </w:tcBorders>
            <w:vAlign w:val="center"/>
          </w:tcPr>
          <w:p w14:paraId="17A30FCA">
            <w:pP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粉尘</w:t>
            </w:r>
          </w:p>
        </w:tc>
        <w:tc>
          <w:tcPr>
            <w:tcW w:w="0" w:type="auto"/>
            <w:tcBorders>
              <w:top w:val="single" w:color="000000" w:sz="4" w:space="0"/>
              <w:left w:val="single" w:color="000000" w:sz="4" w:space="0"/>
              <w:bottom w:val="single" w:color="000000" w:sz="4" w:space="0"/>
              <w:right w:val="single" w:color="000000" w:sz="4" w:space="0"/>
            </w:tcBorders>
            <w:vAlign w:val="center"/>
          </w:tcPr>
          <w:p w14:paraId="3CC926DA">
            <w:pP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w:t>
            </w:r>
          </w:p>
        </w:tc>
        <w:tc>
          <w:tcPr>
            <w:tcW w:w="0" w:type="auto"/>
            <w:tcBorders>
              <w:top w:val="single" w:color="000000" w:sz="4" w:space="0"/>
              <w:left w:val="single" w:color="000000" w:sz="4" w:space="0"/>
              <w:bottom w:val="single" w:color="000000" w:sz="4" w:space="0"/>
              <w:right w:val="single" w:color="000000" w:sz="4" w:space="0"/>
            </w:tcBorders>
            <w:vAlign w:val="center"/>
          </w:tcPr>
          <w:p w14:paraId="47F0EBF7">
            <w:pP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w:t>
            </w:r>
          </w:p>
        </w:tc>
        <w:tc>
          <w:tcPr>
            <w:tcW w:w="0" w:type="auto"/>
            <w:vMerge w:val="restart"/>
            <w:tcBorders>
              <w:top w:val="single" w:color="000000" w:sz="4" w:space="0"/>
              <w:left w:val="single" w:color="000000" w:sz="4" w:space="0"/>
              <w:bottom w:val="single" w:color="000000" w:sz="4" w:space="0"/>
              <w:right w:val="single" w:color="000000" w:sz="4" w:space="0"/>
            </w:tcBorders>
            <w:vAlign w:val="center"/>
          </w:tcPr>
          <w:p w14:paraId="71D2BE9B">
            <w:pP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返炉利用</w:t>
            </w:r>
          </w:p>
        </w:tc>
      </w:tr>
      <w:tr w14:paraId="5CAD8B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tcBorders>
              <w:top w:val="single" w:color="000000" w:sz="4" w:space="0"/>
              <w:left w:val="single" w:color="000000" w:sz="4" w:space="0"/>
              <w:bottom w:val="single" w:color="000000" w:sz="4" w:space="0"/>
              <w:right w:val="single" w:color="000000" w:sz="4" w:space="0"/>
            </w:tcBorders>
            <w:vAlign w:val="center"/>
          </w:tcPr>
          <w:p w14:paraId="69D25E0F">
            <w:pP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4</w:t>
            </w:r>
          </w:p>
        </w:tc>
        <w:tc>
          <w:tcPr>
            <w:tcW w:w="0" w:type="auto"/>
            <w:tcBorders>
              <w:top w:val="single" w:color="000000" w:sz="4" w:space="0"/>
              <w:left w:val="single" w:color="000000" w:sz="4" w:space="0"/>
              <w:bottom w:val="single" w:color="000000" w:sz="4" w:space="0"/>
              <w:right w:val="single" w:color="000000" w:sz="4" w:space="0"/>
            </w:tcBorders>
            <w:vAlign w:val="center"/>
          </w:tcPr>
          <w:p w14:paraId="46933054">
            <w:pP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除尘灰浆</w:t>
            </w: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70E10E62">
            <w:pPr>
              <w:rPr>
                <w:rFonts w:hint="default" w:ascii="Times New Roman" w:hAnsi="Times New Roman" w:eastAsia="宋体" w:cs="Times New Roman"/>
                <w:sz w:val="21"/>
                <w:szCs w:val="21"/>
              </w:rPr>
            </w:pPr>
          </w:p>
        </w:tc>
        <w:tc>
          <w:tcPr>
            <w:tcW w:w="0" w:type="auto"/>
            <w:tcBorders>
              <w:top w:val="single" w:color="000000" w:sz="4" w:space="0"/>
              <w:left w:val="single" w:color="000000" w:sz="4" w:space="0"/>
              <w:bottom w:val="single" w:color="000000" w:sz="4" w:space="0"/>
              <w:right w:val="single" w:color="000000" w:sz="4" w:space="0"/>
            </w:tcBorders>
            <w:vAlign w:val="center"/>
          </w:tcPr>
          <w:p w14:paraId="32DC871C">
            <w:pP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w:t>
            </w:r>
          </w:p>
        </w:tc>
        <w:tc>
          <w:tcPr>
            <w:tcW w:w="0" w:type="auto"/>
            <w:tcBorders>
              <w:top w:val="single" w:color="000000" w:sz="4" w:space="0"/>
              <w:left w:val="single" w:color="000000" w:sz="4" w:space="0"/>
              <w:bottom w:val="single" w:color="000000" w:sz="4" w:space="0"/>
              <w:right w:val="single" w:color="000000" w:sz="4" w:space="0"/>
            </w:tcBorders>
            <w:vAlign w:val="center"/>
          </w:tcPr>
          <w:p w14:paraId="112AA9CF">
            <w:pP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311-001-01</w:t>
            </w:r>
          </w:p>
        </w:tc>
        <w:tc>
          <w:tcPr>
            <w:tcW w:w="0" w:type="auto"/>
            <w:tcBorders>
              <w:top w:val="single" w:color="000000" w:sz="4" w:space="0"/>
              <w:left w:val="single" w:color="000000" w:sz="4" w:space="0"/>
              <w:bottom w:val="single" w:color="000000" w:sz="4" w:space="0"/>
              <w:right w:val="single" w:color="000000" w:sz="4" w:space="0"/>
            </w:tcBorders>
            <w:vAlign w:val="center"/>
          </w:tcPr>
          <w:p w14:paraId="717BC44D">
            <w:pP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1568</w:t>
            </w:r>
          </w:p>
        </w:tc>
        <w:tc>
          <w:tcPr>
            <w:tcW w:w="0" w:type="auto"/>
            <w:tcBorders>
              <w:top w:val="single" w:color="000000" w:sz="4" w:space="0"/>
              <w:left w:val="single" w:color="000000" w:sz="4" w:space="0"/>
              <w:bottom w:val="single" w:color="000000" w:sz="4" w:space="0"/>
              <w:right w:val="single" w:color="000000" w:sz="4" w:space="0"/>
            </w:tcBorders>
            <w:vAlign w:val="center"/>
          </w:tcPr>
          <w:p w14:paraId="33D07E96">
            <w:pP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一次混合室除灰系统</w:t>
            </w:r>
          </w:p>
        </w:tc>
        <w:tc>
          <w:tcPr>
            <w:tcW w:w="0" w:type="auto"/>
            <w:tcBorders>
              <w:top w:val="single" w:color="000000" w:sz="4" w:space="0"/>
              <w:left w:val="single" w:color="000000" w:sz="4" w:space="0"/>
              <w:bottom w:val="single" w:color="000000" w:sz="4" w:space="0"/>
              <w:right w:val="single" w:color="000000" w:sz="4" w:space="0"/>
            </w:tcBorders>
            <w:vAlign w:val="center"/>
          </w:tcPr>
          <w:p w14:paraId="107485DE">
            <w:pP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半固态</w:t>
            </w:r>
          </w:p>
        </w:tc>
        <w:tc>
          <w:tcPr>
            <w:tcW w:w="0" w:type="auto"/>
            <w:tcBorders>
              <w:top w:val="single" w:color="000000" w:sz="4" w:space="0"/>
              <w:left w:val="single" w:color="000000" w:sz="4" w:space="0"/>
              <w:bottom w:val="single" w:color="000000" w:sz="4" w:space="0"/>
              <w:right w:val="single" w:color="000000" w:sz="4" w:space="0"/>
            </w:tcBorders>
            <w:vAlign w:val="center"/>
          </w:tcPr>
          <w:p w14:paraId="05961C3F">
            <w:pP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灰尘/水</w:t>
            </w:r>
          </w:p>
        </w:tc>
        <w:tc>
          <w:tcPr>
            <w:tcW w:w="0" w:type="auto"/>
            <w:tcBorders>
              <w:top w:val="single" w:color="000000" w:sz="4" w:space="0"/>
              <w:left w:val="single" w:color="000000" w:sz="4" w:space="0"/>
              <w:bottom w:val="single" w:color="000000" w:sz="4" w:space="0"/>
              <w:right w:val="single" w:color="000000" w:sz="4" w:space="0"/>
            </w:tcBorders>
            <w:vAlign w:val="center"/>
          </w:tcPr>
          <w:p w14:paraId="45A0A2FA">
            <w:pP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w:t>
            </w:r>
          </w:p>
        </w:tc>
        <w:tc>
          <w:tcPr>
            <w:tcW w:w="0" w:type="auto"/>
            <w:tcBorders>
              <w:top w:val="single" w:color="000000" w:sz="4" w:space="0"/>
              <w:left w:val="single" w:color="000000" w:sz="4" w:space="0"/>
              <w:bottom w:val="single" w:color="000000" w:sz="4" w:space="0"/>
              <w:right w:val="single" w:color="000000" w:sz="4" w:space="0"/>
            </w:tcBorders>
            <w:vAlign w:val="center"/>
          </w:tcPr>
          <w:p w14:paraId="2145C73B">
            <w:pP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w:t>
            </w: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7FDDEE55">
            <w:pPr>
              <w:rPr>
                <w:rFonts w:hint="default" w:ascii="Times New Roman" w:hAnsi="Times New Roman" w:eastAsia="宋体" w:cs="Times New Roman"/>
                <w:sz w:val="21"/>
                <w:szCs w:val="21"/>
              </w:rPr>
            </w:pPr>
          </w:p>
        </w:tc>
      </w:tr>
      <w:tr w14:paraId="134DEE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tcBorders>
              <w:top w:val="single" w:color="000000" w:sz="4" w:space="0"/>
              <w:left w:val="single" w:color="000000" w:sz="4" w:space="0"/>
              <w:bottom w:val="single" w:color="000000" w:sz="4" w:space="0"/>
              <w:right w:val="single" w:color="000000" w:sz="4" w:space="0"/>
            </w:tcBorders>
            <w:vAlign w:val="center"/>
          </w:tcPr>
          <w:p w14:paraId="2E64C52D">
            <w:pP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5</w:t>
            </w:r>
          </w:p>
        </w:tc>
        <w:tc>
          <w:tcPr>
            <w:tcW w:w="0" w:type="auto"/>
            <w:tcBorders>
              <w:top w:val="single" w:color="000000" w:sz="4" w:space="0"/>
              <w:left w:val="single" w:color="000000" w:sz="4" w:space="0"/>
              <w:bottom w:val="single" w:color="000000" w:sz="4" w:space="0"/>
              <w:right w:val="single" w:color="000000" w:sz="4" w:space="0"/>
            </w:tcBorders>
            <w:vAlign w:val="center"/>
          </w:tcPr>
          <w:p w14:paraId="219B4AD5">
            <w:pP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脱硫灰</w:t>
            </w: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23691BB0">
            <w:pPr>
              <w:rPr>
                <w:rFonts w:hint="default" w:ascii="Times New Roman" w:hAnsi="Times New Roman" w:eastAsia="宋体" w:cs="Times New Roman"/>
                <w:sz w:val="21"/>
                <w:szCs w:val="21"/>
              </w:rPr>
            </w:pPr>
          </w:p>
        </w:tc>
        <w:tc>
          <w:tcPr>
            <w:tcW w:w="0" w:type="auto"/>
            <w:tcBorders>
              <w:top w:val="single" w:color="000000" w:sz="4" w:space="0"/>
              <w:left w:val="single" w:color="000000" w:sz="4" w:space="0"/>
              <w:bottom w:val="single" w:color="000000" w:sz="4" w:space="0"/>
              <w:right w:val="single" w:color="000000" w:sz="4" w:space="0"/>
            </w:tcBorders>
            <w:vAlign w:val="center"/>
          </w:tcPr>
          <w:p w14:paraId="3F078CFF">
            <w:pP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w:t>
            </w:r>
          </w:p>
        </w:tc>
        <w:tc>
          <w:tcPr>
            <w:tcW w:w="0" w:type="auto"/>
            <w:tcBorders>
              <w:top w:val="single" w:color="000000" w:sz="4" w:space="0"/>
              <w:left w:val="single" w:color="000000" w:sz="4" w:space="0"/>
              <w:bottom w:val="single" w:color="000000" w:sz="4" w:space="0"/>
              <w:right w:val="single" w:color="000000" w:sz="4" w:space="0"/>
            </w:tcBorders>
            <w:vAlign w:val="center"/>
          </w:tcPr>
          <w:p w14:paraId="0EA90732">
            <w:pP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900-099-06</w:t>
            </w:r>
          </w:p>
        </w:tc>
        <w:tc>
          <w:tcPr>
            <w:tcW w:w="0" w:type="auto"/>
            <w:tcBorders>
              <w:top w:val="single" w:color="000000" w:sz="4" w:space="0"/>
              <w:left w:val="single" w:color="000000" w:sz="4" w:space="0"/>
              <w:bottom w:val="single" w:color="000000" w:sz="4" w:space="0"/>
              <w:right w:val="single" w:color="000000" w:sz="4" w:space="0"/>
            </w:tcBorders>
            <w:vAlign w:val="center"/>
          </w:tcPr>
          <w:p w14:paraId="4F35EE40">
            <w:pP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9504</w:t>
            </w:r>
          </w:p>
        </w:tc>
        <w:tc>
          <w:tcPr>
            <w:tcW w:w="0" w:type="auto"/>
            <w:tcBorders>
              <w:top w:val="single" w:color="000000" w:sz="4" w:space="0"/>
              <w:left w:val="single" w:color="000000" w:sz="4" w:space="0"/>
              <w:bottom w:val="single" w:color="000000" w:sz="4" w:space="0"/>
              <w:right w:val="single" w:color="000000" w:sz="4" w:space="0"/>
            </w:tcBorders>
            <w:vAlign w:val="center"/>
          </w:tcPr>
          <w:p w14:paraId="04FAAD9C">
            <w:pP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机头脱硫</w:t>
            </w:r>
          </w:p>
        </w:tc>
        <w:tc>
          <w:tcPr>
            <w:tcW w:w="0" w:type="auto"/>
            <w:tcBorders>
              <w:top w:val="single" w:color="000000" w:sz="4" w:space="0"/>
              <w:left w:val="single" w:color="000000" w:sz="4" w:space="0"/>
              <w:bottom w:val="single" w:color="000000" w:sz="4" w:space="0"/>
              <w:right w:val="single" w:color="000000" w:sz="4" w:space="0"/>
            </w:tcBorders>
            <w:vAlign w:val="center"/>
          </w:tcPr>
          <w:p w14:paraId="6E995A15">
            <w:pP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固态</w:t>
            </w:r>
          </w:p>
        </w:tc>
        <w:tc>
          <w:tcPr>
            <w:tcW w:w="0" w:type="auto"/>
            <w:tcBorders>
              <w:top w:val="single" w:color="000000" w:sz="4" w:space="0"/>
              <w:left w:val="single" w:color="000000" w:sz="4" w:space="0"/>
              <w:bottom w:val="single" w:color="000000" w:sz="4" w:space="0"/>
              <w:right w:val="single" w:color="000000" w:sz="4" w:space="0"/>
            </w:tcBorders>
            <w:vAlign w:val="center"/>
          </w:tcPr>
          <w:p w14:paraId="301BE1D2">
            <w:pP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高硫高钙灰</w:t>
            </w:r>
          </w:p>
        </w:tc>
        <w:tc>
          <w:tcPr>
            <w:tcW w:w="0" w:type="auto"/>
            <w:tcBorders>
              <w:top w:val="single" w:color="000000" w:sz="4" w:space="0"/>
              <w:left w:val="single" w:color="000000" w:sz="4" w:space="0"/>
              <w:bottom w:val="single" w:color="000000" w:sz="4" w:space="0"/>
              <w:right w:val="single" w:color="000000" w:sz="4" w:space="0"/>
            </w:tcBorders>
            <w:vAlign w:val="center"/>
          </w:tcPr>
          <w:p w14:paraId="449F5565">
            <w:pP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w:t>
            </w:r>
          </w:p>
        </w:tc>
        <w:tc>
          <w:tcPr>
            <w:tcW w:w="0" w:type="auto"/>
            <w:tcBorders>
              <w:top w:val="single" w:color="000000" w:sz="4" w:space="0"/>
              <w:left w:val="single" w:color="000000" w:sz="4" w:space="0"/>
              <w:bottom w:val="single" w:color="000000" w:sz="4" w:space="0"/>
              <w:right w:val="single" w:color="000000" w:sz="4" w:space="0"/>
            </w:tcBorders>
            <w:vAlign w:val="center"/>
          </w:tcPr>
          <w:p w14:paraId="5861B32E">
            <w:pP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w:t>
            </w:r>
          </w:p>
        </w:tc>
        <w:tc>
          <w:tcPr>
            <w:tcW w:w="0" w:type="auto"/>
            <w:tcBorders>
              <w:top w:val="single" w:color="000000" w:sz="4" w:space="0"/>
              <w:left w:val="single" w:color="000000" w:sz="4" w:space="0"/>
              <w:bottom w:val="single" w:color="000000" w:sz="4" w:space="0"/>
              <w:right w:val="single" w:color="000000" w:sz="4" w:space="0"/>
            </w:tcBorders>
            <w:vAlign w:val="center"/>
          </w:tcPr>
          <w:p w14:paraId="7B6A1067">
            <w:pP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送鑫钢钢铁“100万吨矿渣微粉”项目进一步处理</w:t>
            </w:r>
          </w:p>
        </w:tc>
      </w:tr>
      <w:tr w14:paraId="18CF76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tcBorders>
              <w:top w:val="single" w:color="000000" w:sz="4" w:space="0"/>
              <w:left w:val="single" w:color="000000" w:sz="4" w:space="0"/>
              <w:bottom w:val="single" w:color="000000" w:sz="4" w:space="0"/>
              <w:right w:val="single" w:color="000000" w:sz="4" w:space="0"/>
            </w:tcBorders>
            <w:vAlign w:val="center"/>
          </w:tcPr>
          <w:p w14:paraId="65C92D78">
            <w:pP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6</w:t>
            </w:r>
          </w:p>
        </w:tc>
        <w:tc>
          <w:tcPr>
            <w:tcW w:w="0" w:type="auto"/>
            <w:tcBorders>
              <w:top w:val="single" w:color="000000" w:sz="4" w:space="0"/>
              <w:left w:val="single" w:color="000000" w:sz="4" w:space="0"/>
              <w:bottom w:val="single" w:color="000000" w:sz="4" w:space="0"/>
              <w:right w:val="single" w:color="000000" w:sz="4" w:space="0"/>
            </w:tcBorders>
            <w:vAlign w:val="center"/>
          </w:tcPr>
          <w:p w14:paraId="0D1AA475">
            <w:pP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废布袋</w:t>
            </w: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28DC72B3">
            <w:pPr>
              <w:rPr>
                <w:rFonts w:hint="default" w:ascii="Times New Roman" w:hAnsi="Times New Roman" w:eastAsia="宋体" w:cs="Times New Roman"/>
                <w:sz w:val="21"/>
                <w:szCs w:val="21"/>
              </w:rPr>
            </w:pPr>
          </w:p>
        </w:tc>
        <w:tc>
          <w:tcPr>
            <w:tcW w:w="0" w:type="auto"/>
            <w:tcBorders>
              <w:top w:val="single" w:color="000000" w:sz="4" w:space="0"/>
              <w:left w:val="single" w:color="000000" w:sz="4" w:space="0"/>
              <w:bottom w:val="single" w:color="000000" w:sz="4" w:space="0"/>
              <w:right w:val="single" w:color="000000" w:sz="4" w:space="0"/>
            </w:tcBorders>
            <w:vAlign w:val="center"/>
          </w:tcPr>
          <w:p w14:paraId="63CE4E41">
            <w:pP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w:t>
            </w:r>
          </w:p>
        </w:tc>
        <w:tc>
          <w:tcPr>
            <w:tcW w:w="0" w:type="auto"/>
            <w:tcBorders>
              <w:top w:val="single" w:color="000000" w:sz="4" w:space="0"/>
              <w:left w:val="single" w:color="000000" w:sz="4" w:space="0"/>
              <w:bottom w:val="single" w:color="000000" w:sz="4" w:space="0"/>
              <w:right w:val="single" w:color="000000" w:sz="4" w:space="0"/>
            </w:tcBorders>
            <w:vAlign w:val="center"/>
          </w:tcPr>
          <w:p w14:paraId="1C4729F6">
            <w:pP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900-009-S59</w:t>
            </w:r>
          </w:p>
        </w:tc>
        <w:tc>
          <w:tcPr>
            <w:tcW w:w="0" w:type="auto"/>
            <w:tcBorders>
              <w:top w:val="single" w:color="000000" w:sz="4" w:space="0"/>
              <w:left w:val="single" w:color="000000" w:sz="4" w:space="0"/>
              <w:bottom w:val="single" w:color="000000" w:sz="4" w:space="0"/>
              <w:right w:val="single" w:color="000000" w:sz="4" w:space="0"/>
            </w:tcBorders>
            <w:vAlign w:val="center"/>
          </w:tcPr>
          <w:p w14:paraId="3E018C5E">
            <w:pP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8</w:t>
            </w:r>
          </w:p>
        </w:tc>
        <w:tc>
          <w:tcPr>
            <w:tcW w:w="0" w:type="auto"/>
            <w:tcBorders>
              <w:top w:val="single" w:color="000000" w:sz="4" w:space="0"/>
              <w:left w:val="single" w:color="000000" w:sz="4" w:space="0"/>
              <w:bottom w:val="single" w:color="000000" w:sz="4" w:space="0"/>
              <w:right w:val="single" w:color="000000" w:sz="4" w:space="0"/>
            </w:tcBorders>
            <w:vAlign w:val="center"/>
          </w:tcPr>
          <w:p w14:paraId="12328077">
            <w:pP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袋式除尘</w:t>
            </w:r>
          </w:p>
        </w:tc>
        <w:tc>
          <w:tcPr>
            <w:tcW w:w="0" w:type="auto"/>
            <w:tcBorders>
              <w:top w:val="single" w:color="000000" w:sz="4" w:space="0"/>
              <w:left w:val="single" w:color="000000" w:sz="4" w:space="0"/>
              <w:bottom w:val="single" w:color="000000" w:sz="4" w:space="0"/>
              <w:right w:val="single" w:color="000000" w:sz="4" w:space="0"/>
            </w:tcBorders>
            <w:vAlign w:val="center"/>
          </w:tcPr>
          <w:p w14:paraId="3991E192">
            <w:pP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固态</w:t>
            </w:r>
          </w:p>
        </w:tc>
        <w:tc>
          <w:tcPr>
            <w:tcW w:w="0" w:type="auto"/>
            <w:tcBorders>
              <w:top w:val="single" w:color="000000" w:sz="4" w:space="0"/>
              <w:left w:val="single" w:color="000000" w:sz="4" w:space="0"/>
              <w:bottom w:val="single" w:color="000000" w:sz="4" w:space="0"/>
              <w:right w:val="single" w:color="000000" w:sz="4" w:space="0"/>
            </w:tcBorders>
            <w:vAlign w:val="center"/>
          </w:tcPr>
          <w:p w14:paraId="66CB95AB">
            <w:pP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树脂</w:t>
            </w:r>
          </w:p>
        </w:tc>
        <w:tc>
          <w:tcPr>
            <w:tcW w:w="0" w:type="auto"/>
            <w:tcBorders>
              <w:top w:val="single" w:color="000000" w:sz="4" w:space="0"/>
              <w:left w:val="single" w:color="000000" w:sz="4" w:space="0"/>
              <w:bottom w:val="single" w:color="000000" w:sz="4" w:space="0"/>
              <w:right w:val="single" w:color="000000" w:sz="4" w:space="0"/>
            </w:tcBorders>
            <w:vAlign w:val="center"/>
          </w:tcPr>
          <w:p w14:paraId="7B2B24AF">
            <w:pP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w:t>
            </w:r>
          </w:p>
        </w:tc>
        <w:tc>
          <w:tcPr>
            <w:tcW w:w="0" w:type="auto"/>
            <w:tcBorders>
              <w:top w:val="single" w:color="000000" w:sz="4" w:space="0"/>
              <w:left w:val="single" w:color="000000" w:sz="4" w:space="0"/>
              <w:bottom w:val="single" w:color="000000" w:sz="4" w:space="0"/>
              <w:right w:val="single" w:color="000000" w:sz="4" w:space="0"/>
            </w:tcBorders>
            <w:vAlign w:val="center"/>
          </w:tcPr>
          <w:p w14:paraId="43E50B82">
            <w:pP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w:t>
            </w:r>
          </w:p>
        </w:tc>
        <w:tc>
          <w:tcPr>
            <w:tcW w:w="0" w:type="auto"/>
            <w:tcBorders>
              <w:top w:val="single" w:color="000000" w:sz="4" w:space="0"/>
              <w:left w:val="single" w:color="000000" w:sz="4" w:space="0"/>
              <w:bottom w:val="single" w:color="000000" w:sz="4" w:space="0"/>
              <w:right w:val="single" w:color="000000" w:sz="4" w:space="0"/>
            </w:tcBorders>
            <w:vAlign w:val="center"/>
          </w:tcPr>
          <w:p w14:paraId="2FF3C040">
            <w:pP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外售综合利用</w:t>
            </w:r>
          </w:p>
        </w:tc>
      </w:tr>
      <w:tr w14:paraId="58ECED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tcBorders>
              <w:top w:val="single" w:color="000000" w:sz="4" w:space="0"/>
              <w:left w:val="single" w:color="000000" w:sz="4" w:space="0"/>
              <w:bottom w:val="single" w:color="000000" w:sz="4" w:space="0"/>
              <w:right w:val="single" w:color="000000" w:sz="4" w:space="0"/>
            </w:tcBorders>
            <w:vAlign w:val="center"/>
          </w:tcPr>
          <w:p w14:paraId="5FE6ED8E">
            <w:pP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7</w:t>
            </w:r>
          </w:p>
        </w:tc>
        <w:tc>
          <w:tcPr>
            <w:tcW w:w="0" w:type="auto"/>
            <w:tcBorders>
              <w:top w:val="single" w:color="000000" w:sz="4" w:space="0"/>
              <w:left w:val="single" w:color="000000" w:sz="4" w:space="0"/>
              <w:bottom w:val="single" w:color="000000" w:sz="4" w:space="0"/>
              <w:right w:val="single" w:color="000000" w:sz="4" w:space="0"/>
            </w:tcBorders>
            <w:vAlign w:val="center"/>
          </w:tcPr>
          <w:p w14:paraId="4267FFA8">
            <w:pP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生活垃圾</w:t>
            </w:r>
          </w:p>
        </w:tc>
        <w:tc>
          <w:tcPr>
            <w:tcW w:w="0" w:type="auto"/>
            <w:tcBorders>
              <w:top w:val="single" w:color="000000" w:sz="4" w:space="0"/>
              <w:left w:val="single" w:color="000000" w:sz="4" w:space="0"/>
              <w:bottom w:val="single" w:color="000000" w:sz="4" w:space="0"/>
              <w:right w:val="single" w:color="000000" w:sz="4" w:space="0"/>
            </w:tcBorders>
            <w:vAlign w:val="center"/>
          </w:tcPr>
          <w:p w14:paraId="3CB514ED">
            <w:pP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生活垃圾</w:t>
            </w:r>
          </w:p>
        </w:tc>
        <w:tc>
          <w:tcPr>
            <w:tcW w:w="0" w:type="auto"/>
            <w:tcBorders>
              <w:top w:val="single" w:color="000000" w:sz="4" w:space="0"/>
              <w:left w:val="single" w:color="000000" w:sz="4" w:space="0"/>
              <w:bottom w:val="single" w:color="000000" w:sz="4" w:space="0"/>
              <w:right w:val="single" w:color="000000" w:sz="4" w:space="0"/>
            </w:tcBorders>
            <w:vAlign w:val="center"/>
          </w:tcPr>
          <w:p w14:paraId="73411D01">
            <w:pP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w:t>
            </w:r>
          </w:p>
        </w:tc>
        <w:tc>
          <w:tcPr>
            <w:tcW w:w="0" w:type="auto"/>
            <w:tcBorders>
              <w:top w:val="single" w:color="000000" w:sz="4" w:space="0"/>
              <w:left w:val="single" w:color="000000" w:sz="4" w:space="0"/>
              <w:bottom w:val="single" w:color="000000" w:sz="4" w:space="0"/>
              <w:right w:val="single" w:color="000000" w:sz="4" w:space="0"/>
            </w:tcBorders>
            <w:vAlign w:val="center"/>
          </w:tcPr>
          <w:p w14:paraId="65299712">
            <w:pP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SW61、SW62</w:t>
            </w:r>
          </w:p>
        </w:tc>
        <w:tc>
          <w:tcPr>
            <w:tcW w:w="0" w:type="auto"/>
            <w:tcBorders>
              <w:top w:val="single" w:color="000000" w:sz="4" w:space="0"/>
              <w:left w:val="single" w:color="000000" w:sz="4" w:space="0"/>
              <w:bottom w:val="single" w:color="000000" w:sz="4" w:space="0"/>
              <w:right w:val="single" w:color="000000" w:sz="4" w:space="0"/>
            </w:tcBorders>
            <w:vAlign w:val="center"/>
          </w:tcPr>
          <w:p w14:paraId="3482B37C">
            <w:pP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81.6</w:t>
            </w:r>
          </w:p>
        </w:tc>
        <w:tc>
          <w:tcPr>
            <w:tcW w:w="0" w:type="auto"/>
            <w:tcBorders>
              <w:top w:val="single" w:color="000000" w:sz="4" w:space="0"/>
              <w:left w:val="single" w:color="000000" w:sz="4" w:space="0"/>
              <w:bottom w:val="single" w:color="000000" w:sz="4" w:space="0"/>
              <w:right w:val="single" w:color="000000" w:sz="4" w:space="0"/>
            </w:tcBorders>
            <w:vAlign w:val="center"/>
          </w:tcPr>
          <w:p w14:paraId="42E6819D">
            <w:pP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员工生活</w:t>
            </w:r>
          </w:p>
        </w:tc>
        <w:tc>
          <w:tcPr>
            <w:tcW w:w="0" w:type="auto"/>
            <w:tcBorders>
              <w:top w:val="single" w:color="000000" w:sz="4" w:space="0"/>
              <w:left w:val="single" w:color="000000" w:sz="4" w:space="0"/>
              <w:bottom w:val="single" w:color="000000" w:sz="4" w:space="0"/>
              <w:right w:val="single" w:color="000000" w:sz="4" w:space="0"/>
            </w:tcBorders>
            <w:vAlign w:val="center"/>
          </w:tcPr>
          <w:p w14:paraId="555A4569">
            <w:pP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固态</w:t>
            </w:r>
          </w:p>
        </w:tc>
        <w:tc>
          <w:tcPr>
            <w:tcW w:w="0" w:type="auto"/>
            <w:tcBorders>
              <w:top w:val="single" w:color="000000" w:sz="4" w:space="0"/>
              <w:left w:val="single" w:color="000000" w:sz="4" w:space="0"/>
              <w:bottom w:val="single" w:color="000000" w:sz="4" w:space="0"/>
              <w:right w:val="single" w:color="000000" w:sz="4" w:space="0"/>
            </w:tcBorders>
            <w:vAlign w:val="center"/>
          </w:tcPr>
          <w:p w14:paraId="0A114346">
            <w:pP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果皮纸屑等</w:t>
            </w:r>
          </w:p>
        </w:tc>
        <w:tc>
          <w:tcPr>
            <w:tcW w:w="0" w:type="auto"/>
            <w:tcBorders>
              <w:top w:val="single" w:color="000000" w:sz="4" w:space="0"/>
              <w:left w:val="single" w:color="000000" w:sz="4" w:space="0"/>
              <w:bottom w:val="single" w:color="000000" w:sz="4" w:space="0"/>
              <w:right w:val="single" w:color="000000" w:sz="4" w:space="0"/>
            </w:tcBorders>
            <w:vAlign w:val="center"/>
          </w:tcPr>
          <w:p w14:paraId="0924FE2D">
            <w:pP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w:t>
            </w:r>
          </w:p>
        </w:tc>
        <w:tc>
          <w:tcPr>
            <w:tcW w:w="0" w:type="auto"/>
            <w:tcBorders>
              <w:top w:val="single" w:color="000000" w:sz="4" w:space="0"/>
              <w:left w:val="single" w:color="000000" w:sz="4" w:space="0"/>
              <w:bottom w:val="single" w:color="000000" w:sz="4" w:space="0"/>
              <w:right w:val="single" w:color="000000" w:sz="4" w:space="0"/>
            </w:tcBorders>
            <w:vAlign w:val="center"/>
          </w:tcPr>
          <w:p w14:paraId="2B78F60A">
            <w:pP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w:t>
            </w:r>
          </w:p>
        </w:tc>
        <w:tc>
          <w:tcPr>
            <w:tcW w:w="0" w:type="auto"/>
            <w:tcBorders>
              <w:top w:val="single" w:color="000000" w:sz="4" w:space="0"/>
              <w:left w:val="single" w:color="000000" w:sz="4" w:space="0"/>
              <w:bottom w:val="single" w:color="000000" w:sz="4" w:space="0"/>
              <w:right w:val="single" w:color="000000" w:sz="4" w:space="0"/>
            </w:tcBorders>
            <w:vAlign w:val="center"/>
          </w:tcPr>
          <w:p w14:paraId="6851C989">
            <w:pP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委托环卫部门处理</w:t>
            </w:r>
          </w:p>
        </w:tc>
      </w:tr>
    </w:tbl>
    <w:p w14:paraId="4A72B8B5">
      <w:pPr>
        <w:jc w:val="left"/>
      </w:pPr>
      <w:r>
        <w:t>根据《国家危险废物名录》（2021年版），本项目危险废物产生情况见下表4.6.4-3。</w:t>
      </w:r>
    </w:p>
    <w:p w14:paraId="1348AD9E">
      <w:pPr>
        <w:jc w:val="center"/>
      </w:pPr>
      <w:r>
        <w:t>表4.6.4-3 危险废物产生情况表</w:t>
      </w:r>
    </w:p>
    <w:tbl>
      <w:tblPr>
        <w:tblStyle w:val="56"/>
        <w:tblW w:w="5000" w:type="pct"/>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05"/>
        <w:gridCol w:w="1162"/>
        <w:gridCol w:w="1352"/>
        <w:gridCol w:w="1218"/>
        <w:gridCol w:w="1122"/>
        <w:gridCol w:w="543"/>
        <w:gridCol w:w="775"/>
        <w:gridCol w:w="775"/>
        <w:gridCol w:w="775"/>
        <w:gridCol w:w="793"/>
        <w:gridCol w:w="775"/>
        <w:gridCol w:w="888"/>
        <w:gridCol w:w="891"/>
        <w:gridCol w:w="1580"/>
      </w:tblGrid>
      <w:tr w14:paraId="3CB11C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restart"/>
            <w:tcBorders>
              <w:top w:val="single" w:color="000000" w:sz="4" w:space="0"/>
              <w:left w:val="single" w:color="000000" w:sz="4" w:space="0"/>
              <w:bottom w:val="single" w:color="000000" w:sz="4" w:space="0"/>
              <w:right w:val="single" w:color="000000" w:sz="4" w:space="0"/>
            </w:tcBorders>
            <w:vAlign w:val="center"/>
          </w:tcPr>
          <w:p w14:paraId="2CA33768">
            <w:pPr>
              <w:jc w:val="center"/>
              <w:rPr>
                <w:rFonts w:hint="default" w:ascii="Times New Roman" w:hAnsi="Times New Roman" w:eastAsia="宋体" w:cs="Times New Roman"/>
                <w:b/>
                <w:sz w:val="21"/>
                <w:szCs w:val="21"/>
              </w:rPr>
            </w:pPr>
            <w:r>
              <w:rPr>
                <w:rFonts w:hint="default" w:ascii="Times New Roman" w:hAnsi="Times New Roman" w:eastAsia="宋体" w:cs="Times New Roman"/>
                <w:b/>
                <w:sz w:val="21"/>
                <w:szCs w:val="21"/>
              </w:rPr>
              <w:t>固体废物名称</w:t>
            </w:r>
          </w:p>
        </w:tc>
        <w:tc>
          <w:tcPr>
            <w:tcW w:w="0" w:type="auto"/>
            <w:vMerge w:val="restart"/>
            <w:tcBorders>
              <w:top w:val="single" w:color="000000" w:sz="4" w:space="0"/>
              <w:left w:val="single" w:color="000000" w:sz="4" w:space="0"/>
              <w:bottom w:val="single" w:color="000000" w:sz="4" w:space="0"/>
              <w:right w:val="single" w:color="000000" w:sz="4" w:space="0"/>
            </w:tcBorders>
            <w:vAlign w:val="center"/>
          </w:tcPr>
          <w:p w14:paraId="1D6A06A9">
            <w:pPr>
              <w:jc w:val="center"/>
              <w:rPr>
                <w:rFonts w:hint="default" w:ascii="Times New Roman" w:hAnsi="Times New Roman" w:eastAsia="宋体" w:cs="Times New Roman"/>
                <w:b/>
                <w:sz w:val="21"/>
                <w:szCs w:val="21"/>
              </w:rPr>
            </w:pPr>
            <w:r>
              <w:rPr>
                <w:rFonts w:hint="default" w:ascii="Times New Roman" w:hAnsi="Times New Roman" w:eastAsia="宋体" w:cs="Times New Roman"/>
                <w:b/>
                <w:sz w:val="21"/>
                <w:szCs w:val="21"/>
              </w:rPr>
              <w:t>危险废物类别</w:t>
            </w:r>
          </w:p>
        </w:tc>
        <w:tc>
          <w:tcPr>
            <w:tcW w:w="0" w:type="auto"/>
            <w:vMerge w:val="restart"/>
            <w:tcBorders>
              <w:top w:val="single" w:color="000000" w:sz="4" w:space="0"/>
              <w:left w:val="single" w:color="000000" w:sz="4" w:space="0"/>
              <w:bottom w:val="single" w:color="000000" w:sz="4" w:space="0"/>
              <w:right w:val="single" w:color="000000" w:sz="4" w:space="0"/>
            </w:tcBorders>
            <w:vAlign w:val="center"/>
          </w:tcPr>
          <w:p w14:paraId="77DA8004">
            <w:pPr>
              <w:jc w:val="center"/>
              <w:rPr>
                <w:rFonts w:hint="default" w:ascii="Times New Roman" w:hAnsi="Times New Roman" w:eastAsia="宋体" w:cs="Times New Roman"/>
                <w:b/>
                <w:sz w:val="21"/>
                <w:szCs w:val="21"/>
              </w:rPr>
            </w:pPr>
            <w:r>
              <w:rPr>
                <w:rFonts w:hint="default" w:ascii="Times New Roman" w:hAnsi="Times New Roman" w:eastAsia="宋体" w:cs="Times New Roman"/>
                <w:b/>
                <w:sz w:val="21"/>
                <w:szCs w:val="21"/>
              </w:rPr>
              <w:t>危险废物代码</w:t>
            </w:r>
          </w:p>
        </w:tc>
        <w:tc>
          <w:tcPr>
            <w:tcW w:w="0" w:type="auto"/>
            <w:vMerge w:val="restart"/>
            <w:tcBorders>
              <w:top w:val="single" w:color="000000" w:sz="4" w:space="0"/>
              <w:left w:val="single" w:color="000000" w:sz="4" w:space="0"/>
              <w:bottom w:val="single" w:color="000000" w:sz="4" w:space="0"/>
              <w:right w:val="single" w:color="000000" w:sz="4" w:space="0"/>
            </w:tcBorders>
            <w:vAlign w:val="center"/>
          </w:tcPr>
          <w:p w14:paraId="6CCB356A">
            <w:pPr>
              <w:jc w:val="center"/>
              <w:rPr>
                <w:rFonts w:hint="default" w:ascii="Times New Roman" w:hAnsi="Times New Roman" w:eastAsia="宋体" w:cs="Times New Roman"/>
                <w:b/>
                <w:sz w:val="21"/>
                <w:szCs w:val="21"/>
              </w:rPr>
            </w:pPr>
            <w:r>
              <w:rPr>
                <w:rFonts w:hint="default" w:ascii="Times New Roman" w:hAnsi="Times New Roman" w:eastAsia="宋体" w:cs="Times New Roman"/>
                <w:b/>
                <w:sz w:val="21"/>
                <w:szCs w:val="21"/>
              </w:rPr>
              <w:t>产生量（t/a）</w:t>
            </w:r>
          </w:p>
        </w:tc>
        <w:tc>
          <w:tcPr>
            <w:tcW w:w="0" w:type="auto"/>
            <w:vMerge w:val="restart"/>
            <w:tcBorders>
              <w:top w:val="single" w:color="000000" w:sz="4" w:space="0"/>
              <w:left w:val="single" w:color="000000" w:sz="4" w:space="0"/>
              <w:bottom w:val="single" w:color="000000" w:sz="4" w:space="0"/>
              <w:right w:val="single" w:color="000000" w:sz="4" w:space="0"/>
            </w:tcBorders>
            <w:vAlign w:val="center"/>
          </w:tcPr>
          <w:p w14:paraId="4A2AB322">
            <w:pPr>
              <w:jc w:val="center"/>
              <w:rPr>
                <w:rFonts w:hint="default" w:ascii="Times New Roman" w:hAnsi="Times New Roman" w:eastAsia="宋体" w:cs="Times New Roman"/>
                <w:b/>
                <w:sz w:val="21"/>
                <w:szCs w:val="21"/>
              </w:rPr>
            </w:pPr>
            <w:r>
              <w:rPr>
                <w:rFonts w:hint="default" w:ascii="Times New Roman" w:hAnsi="Times New Roman" w:eastAsia="宋体" w:cs="Times New Roman"/>
                <w:b/>
                <w:sz w:val="21"/>
                <w:szCs w:val="21"/>
              </w:rPr>
              <w:t>产生工序及装置</w:t>
            </w:r>
          </w:p>
        </w:tc>
        <w:tc>
          <w:tcPr>
            <w:tcW w:w="0" w:type="auto"/>
            <w:vMerge w:val="restart"/>
            <w:tcBorders>
              <w:top w:val="single" w:color="000000" w:sz="4" w:space="0"/>
              <w:left w:val="single" w:color="000000" w:sz="4" w:space="0"/>
              <w:bottom w:val="single" w:color="000000" w:sz="4" w:space="0"/>
              <w:right w:val="single" w:color="000000" w:sz="4" w:space="0"/>
            </w:tcBorders>
            <w:vAlign w:val="center"/>
          </w:tcPr>
          <w:p w14:paraId="2A5106F0">
            <w:pPr>
              <w:jc w:val="center"/>
              <w:rPr>
                <w:rFonts w:hint="default" w:ascii="Times New Roman" w:hAnsi="Times New Roman" w:eastAsia="宋体" w:cs="Times New Roman"/>
                <w:b/>
                <w:sz w:val="21"/>
                <w:szCs w:val="21"/>
              </w:rPr>
            </w:pPr>
            <w:r>
              <w:rPr>
                <w:rFonts w:hint="default" w:ascii="Times New Roman" w:hAnsi="Times New Roman" w:eastAsia="宋体" w:cs="Times New Roman"/>
                <w:b/>
                <w:sz w:val="21"/>
                <w:szCs w:val="21"/>
              </w:rPr>
              <w:t>形态</w:t>
            </w:r>
          </w:p>
        </w:tc>
        <w:tc>
          <w:tcPr>
            <w:tcW w:w="0" w:type="auto"/>
            <w:vMerge w:val="restart"/>
            <w:tcBorders>
              <w:top w:val="single" w:color="000000" w:sz="4" w:space="0"/>
              <w:left w:val="single" w:color="000000" w:sz="4" w:space="0"/>
              <w:bottom w:val="single" w:color="000000" w:sz="4" w:space="0"/>
              <w:right w:val="single" w:color="000000" w:sz="4" w:space="0"/>
            </w:tcBorders>
            <w:vAlign w:val="center"/>
          </w:tcPr>
          <w:p w14:paraId="631DE879">
            <w:pPr>
              <w:jc w:val="center"/>
              <w:rPr>
                <w:rFonts w:hint="default" w:ascii="Times New Roman" w:hAnsi="Times New Roman" w:eastAsia="宋体" w:cs="Times New Roman"/>
                <w:b/>
                <w:sz w:val="21"/>
                <w:szCs w:val="21"/>
              </w:rPr>
            </w:pPr>
            <w:r>
              <w:rPr>
                <w:rFonts w:hint="default" w:ascii="Times New Roman" w:hAnsi="Times New Roman" w:eastAsia="宋体" w:cs="Times New Roman"/>
                <w:b/>
                <w:sz w:val="21"/>
                <w:szCs w:val="21"/>
              </w:rPr>
              <w:t>主要成分</w:t>
            </w:r>
          </w:p>
        </w:tc>
        <w:tc>
          <w:tcPr>
            <w:tcW w:w="0" w:type="auto"/>
            <w:vMerge w:val="restart"/>
            <w:tcBorders>
              <w:top w:val="single" w:color="000000" w:sz="4" w:space="0"/>
              <w:left w:val="single" w:color="000000" w:sz="4" w:space="0"/>
              <w:bottom w:val="single" w:color="000000" w:sz="4" w:space="0"/>
              <w:right w:val="single" w:color="000000" w:sz="4" w:space="0"/>
            </w:tcBorders>
            <w:vAlign w:val="center"/>
          </w:tcPr>
          <w:p w14:paraId="5E77E71F">
            <w:pPr>
              <w:jc w:val="center"/>
              <w:rPr>
                <w:rFonts w:hint="default" w:ascii="Times New Roman" w:hAnsi="Times New Roman" w:eastAsia="宋体" w:cs="Times New Roman"/>
                <w:b/>
                <w:sz w:val="21"/>
                <w:szCs w:val="21"/>
              </w:rPr>
            </w:pPr>
            <w:r>
              <w:rPr>
                <w:rFonts w:hint="default" w:ascii="Times New Roman" w:hAnsi="Times New Roman" w:eastAsia="宋体" w:cs="Times New Roman"/>
                <w:b/>
                <w:sz w:val="21"/>
                <w:szCs w:val="21"/>
              </w:rPr>
              <w:t>有害成分</w:t>
            </w:r>
          </w:p>
        </w:tc>
        <w:tc>
          <w:tcPr>
            <w:tcW w:w="0" w:type="auto"/>
            <w:vMerge w:val="restart"/>
            <w:tcBorders>
              <w:top w:val="single" w:color="000000" w:sz="4" w:space="0"/>
              <w:left w:val="single" w:color="000000" w:sz="4" w:space="0"/>
              <w:bottom w:val="single" w:color="000000" w:sz="4" w:space="0"/>
              <w:right w:val="single" w:color="000000" w:sz="4" w:space="0"/>
            </w:tcBorders>
            <w:vAlign w:val="center"/>
          </w:tcPr>
          <w:p w14:paraId="5792DCAD">
            <w:pPr>
              <w:jc w:val="center"/>
              <w:rPr>
                <w:rFonts w:hint="default" w:ascii="Times New Roman" w:hAnsi="Times New Roman" w:eastAsia="宋体" w:cs="Times New Roman"/>
                <w:b/>
                <w:sz w:val="21"/>
                <w:szCs w:val="21"/>
              </w:rPr>
            </w:pPr>
            <w:r>
              <w:rPr>
                <w:rFonts w:hint="default" w:ascii="Times New Roman" w:hAnsi="Times New Roman" w:eastAsia="宋体" w:cs="Times New Roman"/>
                <w:b/>
                <w:sz w:val="21"/>
                <w:szCs w:val="21"/>
              </w:rPr>
              <w:t>产废周期</w:t>
            </w:r>
          </w:p>
        </w:tc>
        <w:tc>
          <w:tcPr>
            <w:tcW w:w="0" w:type="auto"/>
            <w:vMerge w:val="restart"/>
            <w:tcBorders>
              <w:top w:val="single" w:color="000000" w:sz="4" w:space="0"/>
              <w:left w:val="single" w:color="000000" w:sz="4" w:space="0"/>
              <w:bottom w:val="single" w:color="000000" w:sz="4" w:space="0"/>
              <w:right w:val="single" w:color="000000" w:sz="4" w:space="0"/>
            </w:tcBorders>
            <w:vAlign w:val="center"/>
          </w:tcPr>
          <w:p w14:paraId="1367B0D3">
            <w:pPr>
              <w:jc w:val="center"/>
              <w:rPr>
                <w:rFonts w:hint="default" w:ascii="Times New Roman" w:hAnsi="Times New Roman" w:eastAsia="宋体" w:cs="Times New Roman"/>
                <w:b/>
                <w:sz w:val="21"/>
                <w:szCs w:val="21"/>
              </w:rPr>
            </w:pPr>
            <w:r>
              <w:rPr>
                <w:rFonts w:hint="default" w:ascii="Times New Roman" w:hAnsi="Times New Roman" w:eastAsia="宋体" w:cs="Times New Roman"/>
                <w:b/>
                <w:sz w:val="21"/>
                <w:szCs w:val="21"/>
              </w:rPr>
              <w:t>危险特性</w:t>
            </w:r>
          </w:p>
        </w:tc>
        <w:tc>
          <w:tcPr>
            <w:tcW w:w="0" w:type="auto"/>
            <w:gridSpan w:val="4"/>
            <w:tcBorders>
              <w:top w:val="single" w:color="000000" w:sz="4" w:space="0"/>
              <w:left w:val="single" w:color="000000" w:sz="4" w:space="0"/>
              <w:bottom w:val="single" w:color="000000" w:sz="4" w:space="0"/>
              <w:right w:val="single" w:color="000000" w:sz="4" w:space="0"/>
            </w:tcBorders>
            <w:vAlign w:val="center"/>
          </w:tcPr>
          <w:p w14:paraId="60AC9355">
            <w:pPr>
              <w:jc w:val="center"/>
              <w:rPr>
                <w:rFonts w:hint="default" w:ascii="Times New Roman" w:hAnsi="Times New Roman" w:eastAsia="宋体" w:cs="Times New Roman"/>
                <w:b/>
                <w:sz w:val="21"/>
                <w:szCs w:val="21"/>
              </w:rPr>
            </w:pPr>
            <w:r>
              <w:rPr>
                <w:rFonts w:hint="default" w:ascii="Times New Roman" w:hAnsi="Times New Roman" w:eastAsia="宋体" w:cs="Times New Roman"/>
                <w:b/>
                <w:sz w:val="21"/>
                <w:szCs w:val="21"/>
              </w:rPr>
              <w:t>污染防治措施</w:t>
            </w:r>
          </w:p>
        </w:tc>
      </w:tr>
      <w:tr w14:paraId="5FF97C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4B5E4E85">
            <w:pPr>
              <w:jc w:val="center"/>
              <w:rPr>
                <w:rFonts w:hint="default" w:ascii="Times New Roman" w:hAnsi="Times New Roman" w:eastAsia="宋体" w:cs="Times New Roman"/>
                <w:b/>
                <w:sz w:val="21"/>
                <w:szCs w:val="21"/>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47792520">
            <w:pPr>
              <w:jc w:val="center"/>
              <w:rPr>
                <w:rFonts w:hint="default" w:ascii="Times New Roman" w:hAnsi="Times New Roman" w:eastAsia="宋体" w:cs="Times New Roman"/>
                <w:b/>
                <w:sz w:val="21"/>
                <w:szCs w:val="21"/>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613BB2D8">
            <w:pPr>
              <w:jc w:val="center"/>
              <w:rPr>
                <w:rFonts w:hint="default" w:ascii="Times New Roman" w:hAnsi="Times New Roman" w:eastAsia="宋体" w:cs="Times New Roman"/>
                <w:b/>
                <w:sz w:val="21"/>
                <w:szCs w:val="21"/>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6C972091">
            <w:pPr>
              <w:jc w:val="center"/>
              <w:rPr>
                <w:rFonts w:hint="default" w:ascii="Times New Roman" w:hAnsi="Times New Roman" w:eastAsia="宋体" w:cs="Times New Roman"/>
                <w:b/>
                <w:sz w:val="21"/>
                <w:szCs w:val="21"/>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4A9CA9BC">
            <w:pPr>
              <w:jc w:val="center"/>
              <w:rPr>
                <w:rFonts w:hint="default" w:ascii="Times New Roman" w:hAnsi="Times New Roman" w:eastAsia="宋体" w:cs="Times New Roman"/>
                <w:b/>
                <w:sz w:val="21"/>
                <w:szCs w:val="21"/>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639A81CA">
            <w:pPr>
              <w:jc w:val="center"/>
              <w:rPr>
                <w:rFonts w:hint="default" w:ascii="Times New Roman" w:hAnsi="Times New Roman" w:eastAsia="宋体" w:cs="Times New Roman"/>
                <w:b/>
                <w:sz w:val="21"/>
                <w:szCs w:val="21"/>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6709EDD5">
            <w:pPr>
              <w:jc w:val="center"/>
              <w:rPr>
                <w:rFonts w:hint="default" w:ascii="Times New Roman" w:hAnsi="Times New Roman" w:eastAsia="宋体" w:cs="Times New Roman"/>
                <w:b/>
                <w:sz w:val="21"/>
                <w:szCs w:val="21"/>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30C52069">
            <w:pPr>
              <w:jc w:val="center"/>
              <w:rPr>
                <w:rFonts w:hint="default" w:ascii="Times New Roman" w:hAnsi="Times New Roman" w:eastAsia="宋体" w:cs="Times New Roman"/>
                <w:b/>
                <w:sz w:val="21"/>
                <w:szCs w:val="21"/>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513C5C45">
            <w:pPr>
              <w:jc w:val="center"/>
              <w:rPr>
                <w:rFonts w:hint="default" w:ascii="Times New Roman" w:hAnsi="Times New Roman" w:eastAsia="宋体" w:cs="Times New Roman"/>
                <w:b/>
                <w:sz w:val="21"/>
                <w:szCs w:val="21"/>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5EAAFA43">
            <w:pPr>
              <w:jc w:val="center"/>
              <w:rPr>
                <w:rFonts w:hint="default" w:ascii="Times New Roman" w:hAnsi="Times New Roman" w:eastAsia="宋体" w:cs="Times New Roman"/>
                <w:b/>
                <w:sz w:val="21"/>
                <w:szCs w:val="21"/>
              </w:rPr>
            </w:pPr>
          </w:p>
        </w:tc>
        <w:tc>
          <w:tcPr>
            <w:tcW w:w="0" w:type="auto"/>
            <w:tcBorders>
              <w:top w:val="single" w:color="000000" w:sz="4" w:space="0"/>
              <w:left w:val="single" w:color="000000" w:sz="4" w:space="0"/>
              <w:bottom w:val="single" w:color="000000" w:sz="4" w:space="0"/>
              <w:right w:val="single" w:color="000000" w:sz="4" w:space="0"/>
            </w:tcBorders>
            <w:vAlign w:val="center"/>
          </w:tcPr>
          <w:p w14:paraId="43AB7CC1">
            <w:pPr>
              <w:jc w:val="center"/>
              <w:rPr>
                <w:rFonts w:hint="default" w:ascii="Times New Roman" w:hAnsi="Times New Roman" w:eastAsia="宋体" w:cs="Times New Roman"/>
                <w:b/>
                <w:sz w:val="21"/>
                <w:szCs w:val="21"/>
              </w:rPr>
            </w:pPr>
            <w:r>
              <w:rPr>
                <w:rFonts w:hint="default" w:ascii="Times New Roman" w:hAnsi="Times New Roman" w:eastAsia="宋体" w:cs="Times New Roman"/>
                <w:b/>
                <w:sz w:val="21"/>
                <w:szCs w:val="21"/>
              </w:rPr>
              <w:t>收集方式</w:t>
            </w:r>
          </w:p>
        </w:tc>
        <w:tc>
          <w:tcPr>
            <w:tcW w:w="0" w:type="auto"/>
            <w:tcBorders>
              <w:top w:val="single" w:color="000000" w:sz="4" w:space="0"/>
              <w:left w:val="single" w:color="000000" w:sz="4" w:space="0"/>
              <w:bottom w:val="single" w:color="000000" w:sz="4" w:space="0"/>
              <w:right w:val="single" w:color="000000" w:sz="4" w:space="0"/>
            </w:tcBorders>
            <w:vAlign w:val="center"/>
          </w:tcPr>
          <w:p w14:paraId="72A72D99">
            <w:pPr>
              <w:jc w:val="center"/>
              <w:rPr>
                <w:rFonts w:hint="default" w:ascii="Times New Roman" w:hAnsi="Times New Roman" w:eastAsia="宋体" w:cs="Times New Roman"/>
                <w:b/>
                <w:sz w:val="21"/>
                <w:szCs w:val="21"/>
              </w:rPr>
            </w:pPr>
            <w:r>
              <w:rPr>
                <w:rFonts w:hint="default" w:ascii="Times New Roman" w:hAnsi="Times New Roman" w:eastAsia="宋体" w:cs="Times New Roman"/>
                <w:b/>
                <w:sz w:val="21"/>
                <w:szCs w:val="21"/>
              </w:rPr>
              <w:t>贮存区域</w:t>
            </w:r>
          </w:p>
        </w:tc>
        <w:tc>
          <w:tcPr>
            <w:tcW w:w="0" w:type="auto"/>
            <w:tcBorders>
              <w:top w:val="single" w:color="000000" w:sz="4" w:space="0"/>
              <w:left w:val="single" w:color="000000" w:sz="4" w:space="0"/>
              <w:bottom w:val="single" w:color="000000" w:sz="4" w:space="0"/>
              <w:right w:val="single" w:color="000000" w:sz="4" w:space="0"/>
            </w:tcBorders>
            <w:vAlign w:val="center"/>
          </w:tcPr>
          <w:p w14:paraId="7564FB89">
            <w:pPr>
              <w:jc w:val="center"/>
              <w:rPr>
                <w:rFonts w:hint="default" w:ascii="Times New Roman" w:hAnsi="Times New Roman" w:eastAsia="宋体" w:cs="Times New Roman"/>
                <w:b/>
                <w:sz w:val="21"/>
                <w:szCs w:val="21"/>
              </w:rPr>
            </w:pPr>
            <w:r>
              <w:rPr>
                <w:rFonts w:hint="default" w:ascii="Times New Roman" w:hAnsi="Times New Roman" w:eastAsia="宋体" w:cs="Times New Roman"/>
                <w:b/>
                <w:sz w:val="21"/>
                <w:szCs w:val="21"/>
              </w:rPr>
              <w:t>危废库位置</w:t>
            </w:r>
          </w:p>
        </w:tc>
        <w:tc>
          <w:tcPr>
            <w:tcW w:w="0" w:type="auto"/>
            <w:tcBorders>
              <w:top w:val="single" w:color="000000" w:sz="4" w:space="0"/>
              <w:left w:val="single" w:color="000000" w:sz="4" w:space="0"/>
              <w:bottom w:val="single" w:color="000000" w:sz="4" w:space="0"/>
              <w:right w:val="single" w:color="000000" w:sz="4" w:space="0"/>
            </w:tcBorders>
            <w:vAlign w:val="center"/>
          </w:tcPr>
          <w:p w14:paraId="4B050152">
            <w:pPr>
              <w:jc w:val="center"/>
              <w:rPr>
                <w:rFonts w:hint="default" w:ascii="Times New Roman" w:hAnsi="Times New Roman" w:eastAsia="宋体" w:cs="Times New Roman"/>
                <w:b/>
                <w:sz w:val="21"/>
                <w:szCs w:val="21"/>
              </w:rPr>
            </w:pPr>
            <w:r>
              <w:rPr>
                <w:rFonts w:hint="default" w:ascii="Times New Roman" w:hAnsi="Times New Roman" w:eastAsia="宋体" w:cs="Times New Roman"/>
                <w:b/>
                <w:sz w:val="21"/>
                <w:szCs w:val="21"/>
              </w:rPr>
              <w:t>处置利用</w:t>
            </w:r>
          </w:p>
        </w:tc>
      </w:tr>
      <w:tr w14:paraId="1FDD45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tcBorders>
              <w:top w:val="single" w:color="000000" w:sz="4" w:space="0"/>
              <w:left w:val="single" w:color="000000" w:sz="4" w:space="0"/>
              <w:bottom w:val="single" w:color="000000" w:sz="4" w:space="0"/>
              <w:right w:val="single" w:color="000000" w:sz="4" w:space="0"/>
            </w:tcBorders>
            <w:vAlign w:val="center"/>
          </w:tcPr>
          <w:p w14:paraId="06965EAB">
            <w:pP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废矿物油</w:t>
            </w:r>
          </w:p>
        </w:tc>
        <w:tc>
          <w:tcPr>
            <w:tcW w:w="0" w:type="auto"/>
            <w:tcBorders>
              <w:top w:val="single" w:color="000000" w:sz="4" w:space="0"/>
              <w:left w:val="single" w:color="000000" w:sz="4" w:space="0"/>
              <w:bottom w:val="single" w:color="000000" w:sz="4" w:space="0"/>
              <w:right w:val="single" w:color="000000" w:sz="4" w:space="0"/>
            </w:tcBorders>
            <w:vAlign w:val="center"/>
          </w:tcPr>
          <w:p w14:paraId="11FB15F9">
            <w:pP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HW08</w:t>
            </w:r>
          </w:p>
        </w:tc>
        <w:tc>
          <w:tcPr>
            <w:tcW w:w="0" w:type="auto"/>
            <w:tcBorders>
              <w:top w:val="single" w:color="000000" w:sz="4" w:space="0"/>
              <w:left w:val="single" w:color="000000" w:sz="4" w:space="0"/>
              <w:bottom w:val="single" w:color="000000" w:sz="4" w:space="0"/>
              <w:right w:val="single" w:color="000000" w:sz="4" w:space="0"/>
            </w:tcBorders>
            <w:vAlign w:val="center"/>
          </w:tcPr>
          <w:p w14:paraId="6EC20E27">
            <w:pP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900-249-08</w:t>
            </w:r>
          </w:p>
        </w:tc>
        <w:tc>
          <w:tcPr>
            <w:tcW w:w="0" w:type="auto"/>
            <w:tcBorders>
              <w:top w:val="single" w:color="000000" w:sz="4" w:space="0"/>
              <w:left w:val="single" w:color="000000" w:sz="4" w:space="0"/>
              <w:bottom w:val="single" w:color="000000" w:sz="4" w:space="0"/>
              <w:right w:val="single" w:color="000000" w:sz="4" w:space="0"/>
            </w:tcBorders>
            <w:vAlign w:val="center"/>
          </w:tcPr>
          <w:p w14:paraId="48720DF3">
            <w:pP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2</w:t>
            </w:r>
          </w:p>
        </w:tc>
        <w:tc>
          <w:tcPr>
            <w:tcW w:w="0" w:type="auto"/>
            <w:tcBorders>
              <w:top w:val="single" w:color="000000" w:sz="4" w:space="0"/>
              <w:left w:val="single" w:color="000000" w:sz="4" w:space="0"/>
              <w:bottom w:val="single" w:color="000000" w:sz="4" w:space="0"/>
              <w:right w:val="single" w:color="000000" w:sz="4" w:space="0"/>
            </w:tcBorders>
            <w:vAlign w:val="center"/>
          </w:tcPr>
          <w:p w14:paraId="204A044E">
            <w:pP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设备维护</w:t>
            </w:r>
          </w:p>
        </w:tc>
        <w:tc>
          <w:tcPr>
            <w:tcW w:w="0" w:type="auto"/>
            <w:tcBorders>
              <w:top w:val="single" w:color="000000" w:sz="4" w:space="0"/>
              <w:left w:val="single" w:color="000000" w:sz="4" w:space="0"/>
              <w:bottom w:val="single" w:color="000000" w:sz="4" w:space="0"/>
              <w:right w:val="single" w:color="000000" w:sz="4" w:space="0"/>
            </w:tcBorders>
            <w:vAlign w:val="center"/>
          </w:tcPr>
          <w:p w14:paraId="69E50C5A">
            <w:pP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液态</w:t>
            </w:r>
          </w:p>
        </w:tc>
        <w:tc>
          <w:tcPr>
            <w:tcW w:w="0" w:type="auto"/>
            <w:tcBorders>
              <w:top w:val="single" w:color="000000" w:sz="4" w:space="0"/>
              <w:left w:val="single" w:color="000000" w:sz="4" w:space="0"/>
              <w:bottom w:val="single" w:color="000000" w:sz="4" w:space="0"/>
              <w:right w:val="single" w:color="000000" w:sz="4" w:space="0"/>
            </w:tcBorders>
            <w:vAlign w:val="center"/>
          </w:tcPr>
          <w:p w14:paraId="62BF8E89">
            <w:pP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矿物油</w:t>
            </w:r>
          </w:p>
        </w:tc>
        <w:tc>
          <w:tcPr>
            <w:tcW w:w="0" w:type="auto"/>
            <w:tcBorders>
              <w:top w:val="single" w:color="000000" w:sz="4" w:space="0"/>
              <w:left w:val="single" w:color="000000" w:sz="4" w:space="0"/>
              <w:bottom w:val="single" w:color="000000" w:sz="4" w:space="0"/>
              <w:right w:val="single" w:color="000000" w:sz="4" w:space="0"/>
            </w:tcBorders>
            <w:vAlign w:val="center"/>
          </w:tcPr>
          <w:p w14:paraId="7EA4E9C0">
            <w:pP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矿物油</w:t>
            </w:r>
          </w:p>
        </w:tc>
        <w:tc>
          <w:tcPr>
            <w:tcW w:w="0" w:type="auto"/>
            <w:tcBorders>
              <w:top w:val="single" w:color="000000" w:sz="4" w:space="0"/>
              <w:left w:val="single" w:color="000000" w:sz="4" w:space="0"/>
              <w:bottom w:val="single" w:color="000000" w:sz="4" w:space="0"/>
              <w:right w:val="single" w:color="000000" w:sz="4" w:space="0"/>
            </w:tcBorders>
            <w:vAlign w:val="center"/>
          </w:tcPr>
          <w:p w14:paraId="0E6D1B42">
            <w:pP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1个月</w:t>
            </w:r>
          </w:p>
        </w:tc>
        <w:tc>
          <w:tcPr>
            <w:tcW w:w="0" w:type="auto"/>
            <w:tcBorders>
              <w:top w:val="single" w:color="000000" w:sz="4" w:space="0"/>
              <w:left w:val="single" w:color="000000" w:sz="4" w:space="0"/>
              <w:bottom w:val="single" w:color="000000" w:sz="4" w:space="0"/>
              <w:right w:val="single" w:color="000000" w:sz="4" w:space="0"/>
            </w:tcBorders>
            <w:vAlign w:val="center"/>
          </w:tcPr>
          <w:p w14:paraId="0F3DA2E9">
            <w:pP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T,I</w:t>
            </w:r>
          </w:p>
        </w:tc>
        <w:tc>
          <w:tcPr>
            <w:tcW w:w="0" w:type="auto"/>
            <w:tcBorders>
              <w:top w:val="single" w:color="000000" w:sz="4" w:space="0"/>
              <w:left w:val="single" w:color="000000" w:sz="4" w:space="0"/>
              <w:bottom w:val="single" w:color="000000" w:sz="4" w:space="0"/>
              <w:right w:val="single" w:color="000000" w:sz="4" w:space="0"/>
            </w:tcBorders>
            <w:vAlign w:val="center"/>
          </w:tcPr>
          <w:p w14:paraId="67C50F4C">
            <w:pP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桶装</w:t>
            </w:r>
          </w:p>
        </w:tc>
        <w:tc>
          <w:tcPr>
            <w:tcW w:w="0" w:type="auto"/>
            <w:tcBorders>
              <w:top w:val="single" w:color="000000" w:sz="4" w:space="0"/>
              <w:left w:val="single" w:color="000000" w:sz="4" w:space="0"/>
              <w:bottom w:val="single" w:color="000000" w:sz="4" w:space="0"/>
              <w:right w:val="single" w:color="000000" w:sz="4" w:space="0"/>
            </w:tcBorders>
            <w:vAlign w:val="center"/>
          </w:tcPr>
          <w:p w14:paraId="5A0902F8">
            <w:pP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危废暂存间</w:t>
            </w:r>
          </w:p>
        </w:tc>
        <w:tc>
          <w:tcPr>
            <w:tcW w:w="0" w:type="auto"/>
            <w:tcBorders>
              <w:top w:val="single" w:color="000000" w:sz="4" w:space="0"/>
              <w:left w:val="single" w:color="000000" w:sz="4" w:space="0"/>
              <w:bottom w:val="single" w:color="000000" w:sz="4" w:space="0"/>
              <w:right w:val="single" w:color="000000" w:sz="4" w:space="0"/>
            </w:tcBorders>
            <w:vAlign w:val="center"/>
          </w:tcPr>
          <w:p w14:paraId="1CCFD633">
            <w:pP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烧结区内</w:t>
            </w:r>
          </w:p>
        </w:tc>
        <w:tc>
          <w:tcPr>
            <w:tcW w:w="0" w:type="auto"/>
            <w:tcBorders>
              <w:top w:val="single" w:color="000000" w:sz="4" w:space="0"/>
              <w:left w:val="single" w:color="000000" w:sz="4" w:space="0"/>
              <w:bottom w:val="single" w:color="000000" w:sz="4" w:space="0"/>
              <w:right w:val="single" w:color="000000" w:sz="4" w:space="0"/>
            </w:tcBorders>
            <w:vAlign w:val="center"/>
          </w:tcPr>
          <w:p w14:paraId="1ADDE876">
            <w:pP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委托有资质单位统一处理</w:t>
            </w:r>
          </w:p>
        </w:tc>
      </w:tr>
      <w:tr w14:paraId="2BE30D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tcBorders>
              <w:top w:val="single" w:color="000000" w:sz="4" w:space="0"/>
              <w:left w:val="single" w:color="000000" w:sz="4" w:space="0"/>
              <w:bottom w:val="single" w:color="000000" w:sz="4" w:space="0"/>
              <w:right w:val="single" w:color="000000" w:sz="4" w:space="0"/>
            </w:tcBorders>
            <w:vAlign w:val="center"/>
          </w:tcPr>
          <w:p w14:paraId="0D8534A8">
            <w:pP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废催化剂</w:t>
            </w:r>
          </w:p>
        </w:tc>
        <w:tc>
          <w:tcPr>
            <w:tcW w:w="0" w:type="auto"/>
            <w:tcBorders>
              <w:top w:val="single" w:color="000000" w:sz="4" w:space="0"/>
              <w:left w:val="single" w:color="000000" w:sz="4" w:space="0"/>
              <w:bottom w:val="single" w:color="000000" w:sz="4" w:space="0"/>
              <w:right w:val="single" w:color="000000" w:sz="4" w:space="0"/>
            </w:tcBorders>
            <w:vAlign w:val="center"/>
          </w:tcPr>
          <w:p w14:paraId="77FCB7EC">
            <w:pP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HW50</w:t>
            </w:r>
          </w:p>
        </w:tc>
        <w:tc>
          <w:tcPr>
            <w:tcW w:w="0" w:type="auto"/>
            <w:tcBorders>
              <w:top w:val="single" w:color="000000" w:sz="4" w:space="0"/>
              <w:left w:val="single" w:color="000000" w:sz="4" w:space="0"/>
              <w:bottom w:val="single" w:color="000000" w:sz="4" w:space="0"/>
              <w:right w:val="single" w:color="000000" w:sz="4" w:space="0"/>
            </w:tcBorders>
            <w:vAlign w:val="center"/>
          </w:tcPr>
          <w:p w14:paraId="778F38CE">
            <w:pP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772-007-50</w:t>
            </w:r>
          </w:p>
        </w:tc>
        <w:tc>
          <w:tcPr>
            <w:tcW w:w="0" w:type="auto"/>
            <w:tcBorders>
              <w:top w:val="single" w:color="000000" w:sz="4" w:space="0"/>
              <w:left w:val="single" w:color="000000" w:sz="4" w:space="0"/>
              <w:bottom w:val="single" w:color="000000" w:sz="4" w:space="0"/>
              <w:right w:val="single" w:color="000000" w:sz="4" w:space="0"/>
            </w:tcBorders>
            <w:vAlign w:val="center"/>
          </w:tcPr>
          <w:p w14:paraId="6F22156C">
            <w:pP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10t/3a</w:t>
            </w:r>
          </w:p>
        </w:tc>
        <w:tc>
          <w:tcPr>
            <w:tcW w:w="0" w:type="auto"/>
            <w:tcBorders>
              <w:top w:val="single" w:color="000000" w:sz="4" w:space="0"/>
              <w:left w:val="single" w:color="000000" w:sz="4" w:space="0"/>
              <w:bottom w:val="single" w:color="000000" w:sz="4" w:space="0"/>
              <w:right w:val="single" w:color="000000" w:sz="4" w:space="0"/>
            </w:tcBorders>
            <w:vAlign w:val="center"/>
          </w:tcPr>
          <w:p w14:paraId="76FC640A">
            <w:pP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机头脱硝</w:t>
            </w:r>
          </w:p>
        </w:tc>
        <w:tc>
          <w:tcPr>
            <w:tcW w:w="0" w:type="auto"/>
            <w:tcBorders>
              <w:top w:val="single" w:color="000000" w:sz="4" w:space="0"/>
              <w:left w:val="single" w:color="000000" w:sz="4" w:space="0"/>
              <w:bottom w:val="single" w:color="000000" w:sz="4" w:space="0"/>
              <w:right w:val="single" w:color="000000" w:sz="4" w:space="0"/>
            </w:tcBorders>
            <w:vAlign w:val="center"/>
          </w:tcPr>
          <w:p w14:paraId="2D9B7BD3">
            <w:pP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固态</w:t>
            </w:r>
          </w:p>
        </w:tc>
        <w:tc>
          <w:tcPr>
            <w:tcW w:w="0" w:type="auto"/>
            <w:tcBorders>
              <w:top w:val="single" w:color="000000" w:sz="4" w:space="0"/>
              <w:left w:val="single" w:color="000000" w:sz="4" w:space="0"/>
              <w:bottom w:val="single" w:color="000000" w:sz="4" w:space="0"/>
              <w:right w:val="single" w:color="000000" w:sz="4" w:space="0"/>
            </w:tcBorders>
            <w:vAlign w:val="center"/>
          </w:tcPr>
          <w:p w14:paraId="577A28DD">
            <w:pP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钒钛系</w:t>
            </w:r>
          </w:p>
        </w:tc>
        <w:tc>
          <w:tcPr>
            <w:tcW w:w="0" w:type="auto"/>
            <w:tcBorders>
              <w:top w:val="single" w:color="000000" w:sz="4" w:space="0"/>
              <w:left w:val="single" w:color="000000" w:sz="4" w:space="0"/>
              <w:bottom w:val="single" w:color="000000" w:sz="4" w:space="0"/>
              <w:right w:val="single" w:color="000000" w:sz="4" w:space="0"/>
            </w:tcBorders>
            <w:vAlign w:val="center"/>
          </w:tcPr>
          <w:p w14:paraId="040DCFDB">
            <w:pP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钒钛系</w:t>
            </w:r>
          </w:p>
        </w:tc>
        <w:tc>
          <w:tcPr>
            <w:tcW w:w="0" w:type="auto"/>
            <w:tcBorders>
              <w:top w:val="single" w:color="000000" w:sz="4" w:space="0"/>
              <w:left w:val="single" w:color="000000" w:sz="4" w:space="0"/>
              <w:bottom w:val="single" w:color="000000" w:sz="4" w:space="0"/>
              <w:right w:val="single" w:color="000000" w:sz="4" w:space="0"/>
            </w:tcBorders>
            <w:vAlign w:val="center"/>
          </w:tcPr>
          <w:p w14:paraId="7C9D4608">
            <w:pP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3a</w:t>
            </w:r>
          </w:p>
        </w:tc>
        <w:tc>
          <w:tcPr>
            <w:tcW w:w="0" w:type="auto"/>
            <w:tcBorders>
              <w:top w:val="single" w:color="000000" w:sz="4" w:space="0"/>
              <w:left w:val="single" w:color="000000" w:sz="4" w:space="0"/>
              <w:bottom w:val="single" w:color="000000" w:sz="4" w:space="0"/>
              <w:right w:val="single" w:color="000000" w:sz="4" w:space="0"/>
            </w:tcBorders>
            <w:vAlign w:val="center"/>
          </w:tcPr>
          <w:p w14:paraId="7CAE84A0">
            <w:pP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T</w:t>
            </w:r>
          </w:p>
        </w:tc>
        <w:tc>
          <w:tcPr>
            <w:tcW w:w="0" w:type="auto"/>
            <w:tcBorders>
              <w:top w:val="single" w:color="000000" w:sz="4" w:space="0"/>
              <w:left w:val="single" w:color="000000" w:sz="4" w:space="0"/>
              <w:bottom w:val="single" w:color="000000" w:sz="4" w:space="0"/>
              <w:right w:val="single" w:color="000000" w:sz="4" w:space="0"/>
            </w:tcBorders>
            <w:vAlign w:val="center"/>
          </w:tcPr>
          <w:p w14:paraId="3723F4D8">
            <w:pP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w:t>
            </w:r>
          </w:p>
        </w:tc>
        <w:tc>
          <w:tcPr>
            <w:tcW w:w="0" w:type="auto"/>
            <w:tcBorders>
              <w:top w:val="single" w:color="000000" w:sz="4" w:space="0"/>
              <w:left w:val="single" w:color="000000" w:sz="4" w:space="0"/>
              <w:bottom w:val="single" w:color="000000" w:sz="4" w:space="0"/>
              <w:right w:val="single" w:color="000000" w:sz="4" w:space="0"/>
            </w:tcBorders>
            <w:vAlign w:val="center"/>
          </w:tcPr>
          <w:p w14:paraId="37E74E6E">
            <w:pP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不暂存</w:t>
            </w:r>
          </w:p>
        </w:tc>
        <w:tc>
          <w:tcPr>
            <w:tcW w:w="0" w:type="auto"/>
            <w:tcBorders>
              <w:top w:val="single" w:color="000000" w:sz="4" w:space="0"/>
              <w:left w:val="single" w:color="000000" w:sz="4" w:space="0"/>
              <w:bottom w:val="single" w:color="000000" w:sz="4" w:space="0"/>
              <w:right w:val="single" w:color="000000" w:sz="4" w:space="0"/>
            </w:tcBorders>
            <w:vAlign w:val="center"/>
          </w:tcPr>
          <w:p w14:paraId="2E525A7E">
            <w:pP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w:t>
            </w:r>
          </w:p>
        </w:tc>
        <w:tc>
          <w:tcPr>
            <w:tcW w:w="0" w:type="auto"/>
            <w:tcBorders>
              <w:top w:val="single" w:color="000000" w:sz="4" w:space="0"/>
              <w:left w:val="single" w:color="000000" w:sz="4" w:space="0"/>
              <w:bottom w:val="single" w:color="000000" w:sz="4" w:space="0"/>
              <w:right w:val="single" w:color="000000" w:sz="4" w:space="0"/>
            </w:tcBorders>
            <w:vAlign w:val="center"/>
          </w:tcPr>
          <w:p w14:paraId="7D8BEFD2">
            <w:pP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委托有资质的单位处理</w:t>
            </w:r>
          </w:p>
        </w:tc>
      </w:tr>
    </w:tbl>
    <w:p w14:paraId="697D4135">
      <w:pPr>
        <w:jc w:val="left"/>
      </w:pPr>
      <w:r>
        <w:t>注：“危险特性”是指腐蚀性（Corrosivity,C）、毒性（Toxicity,T）、易燃性（Ignitability,I）、反应性（Reactivity,R）和感染性（Infectivity,In）。</w:t>
      </w:r>
    </w:p>
    <w:p w14:paraId="4692E114">
      <w:pPr>
        <w:pStyle w:val="3"/>
        <w:sectPr>
          <w:pgSz w:w="16840" w:h="11907" w:orient="landscape"/>
          <w:pgMar w:top="1701" w:right="1701" w:bottom="1701" w:left="1701" w:header="851" w:footer="1077" w:gutter="0"/>
          <w:pgBorders w:offsetFrom="page">
            <w:top w:val="none" w:sz="0" w:space="0"/>
            <w:left w:val="none" w:sz="0" w:space="0"/>
            <w:bottom w:val="none" w:sz="0" w:space="0"/>
            <w:right w:val="none" w:sz="0" w:space="0"/>
          </w:pgBorders>
          <w:pgNumType w:fmt="decimal"/>
          <w:cols w:space="720" w:num="1"/>
          <w:docGrid w:type="lines" w:linePitch="479" w:charSpace="0"/>
        </w:sectPr>
      </w:pPr>
    </w:p>
    <w:p w14:paraId="1D2E4042">
      <w:pPr>
        <w:pStyle w:val="7"/>
      </w:pPr>
      <w:bookmarkStart w:id="322" w:name="_Toc7088"/>
      <w:r>
        <w:rPr>
          <w:rFonts w:hint="eastAsia"/>
          <w:lang w:val="en-US" w:eastAsia="zh-CN"/>
        </w:rPr>
        <w:t>3.4.6</w:t>
      </w:r>
      <w:r>
        <w:t>污染物排放量统计</w:t>
      </w:r>
      <w:bookmarkEnd w:id="321"/>
      <w:bookmarkEnd w:id="322"/>
    </w:p>
    <w:p w14:paraId="7747D31F">
      <w:pPr>
        <w:adjustRightInd w:val="0"/>
        <w:snapToGrid w:val="0"/>
        <w:spacing w:line="460" w:lineRule="exact"/>
        <w:ind w:firstLine="480" w:firstLineChars="200"/>
        <w:rPr>
          <w:rFonts w:hint="eastAsia" w:ascii="Times New Roman" w:hAnsi="Times New Roman" w:cs="Times New Roman"/>
          <w:bCs/>
        </w:rPr>
      </w:pPr>
      <w:r>
        <w:rPr>
          <w:rFonts w:hint="eastAsia" w:ascii="Times New Roman" w:hAnsi="Times New Roman" w:cs="Times New Roman"/>
          <w:bCs/>
        </w:rPr>
        <w:t>本</w:t>
      </w:r>
      <w:r>
        <w:rPr>
          <w:rFonts w:ascii="Times New Roman" w:hAnsi="Times New Roman" w:cs="Times New Roman"/>
          <w:bCs/>
        </w:rPr>
        <w:t>项目运营期污染物排放情况汇总结果见表</w:t>
      </w:r>
      <w:r>
        <w:rPr>
          <w:rFonts w:hint="eastAsia" w:ascii="Times New Roman" w:hAnsi="Times New Roman" w:cs="Times New Roman"/>
          <w:szCs w:val="18"/>
        </w:rPr>
        <w:t>3.4-10</w:t>
      </w:r>
      <w:r>
        <w:rPr>
          <w:rFonts w:ascii="Times New Roman" w:hAnsi="Times New Roman" w:cs="Times New Roman"/>
          <w:bCs/>
        </w:rPr>
        <w:t>。</w:t>
      </w:r>
    </w:p>
    <w:p w14:paraId="7511B113">
      <w:pPr>
        <w:jc w:val="center"/>
      </w:pPr>
      <w:r>
        <w:t>表4.6.5-1 本项目污染物排放情况（t/a）</w:t>
      </w:r>
    </w:p>
    <w:tbl>
      <w:tblPr>
        <w:tblStyle w:val="56"/>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1659"/>
        <w:gridCol w:w="1665"/>
        <w:gridCol w:w="1799"/>
        <w:gridCol w:w="1799"/>
        <w:gridCol w:w="1799"/>
      </w:tblGrid>
      <w:tr w14:paraId="5D00F3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0" w:type="auto"/>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472A97BD">
            <w:pPr>
              <w:jc w:val="center"/>
              <w:rPr>
                <w:b/>
              </w:rPr>
            </w:pPr>
            <w:r>
              <w:rPr>
                <w:b/>
              </w:rPr>
              <w:t>种类</w:t>
            </w:r>
          </w:p>
        </w:tc>
        <w:tc>
          <w:tcPr>
            <w:tcW w:w="0" w:type="auto"/>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1832C5EE">
            <w:pPr>
              <w:jc w:val="center"/>
              <w:rPr>
                <w:b/>
              </w:rPr>
            </w:pPr>
            <w:r>
              <w:rPr>
                <w:b/>
              </w:rPr>
              <w:t>污染物名称</w:t>
            </w:r>
          </w:p>
        </w:tc>
        <w:tc>
          <w:tcPr>
            <w:tcW w:w="0" w:type="auto"/>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0C585FF0">
            <w:pPr>
              <w:jc w:val="center"/>
              <w:rPr>
                <w:b/>
              </w:rPr>
            </w:pPr>
            <w:r>
              <w:rPr>
                <w:b/>
              </w:rPr>
              <w:t>产生量</w:t>
            </w:r>
          </w:p>
        </w:tc>
        <w:tc>
          <w:tcPr>
            <w:tcW w:w="0" w:type="auto"/>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3FAEF3DD">
            <w:pPr>
              <w:jc w:val="center"/>
              <w:rPr>
                <w:b/>
              </w:rPr>
            </w:pPr>
            <w:r>
              <w:rPr>
                <w:b/>
              </w:rPr>
              <w:t>削减量</w:t>
            </w:r>
          </w:p>
        </w:tc>
        <w:tc>
          <w:tcPr>
            <w:tcW w:w="0" w:type="auto"/>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45613B4E">
            <w:pPr>
              <w:jc w:val="center"/>
              <w:rPr>
                <w:b/>
              </w:rPr>
            </w:pPr>
            <w:r>
              <w:rPr>
                <w:b/>
              </w:rPr>
              <w:t>排外环境量</w:t>
            </w:r>
          </w:p>
        </w:tc>
      </w:tr>
      <w:tr w14:paraId="4DD974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0" w:type="auto"/>
            <w:vMerge w:val="restart"/>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4658CD10">
            <w:r>
              <w:t>有组织废气</w:t>
            </w:r>
          </w:p>
        </w:tc>
        <w:tc>
          <w:tcPr>
            <w:tcW w:w="0" w:type="auto"/>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4AFB3DC7">
            <w:pPr>
              <w:jc w:val="center"/>
            </w:pPr>
            <w:r>
              <w:t>烟粉尘</w:t>
            </w:r>
          </w:p>
        </w:tc>
        <w:tc>
          <w:tcPr>
            <w:tcW w:w="1799"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3306FFA0">
            <w:pPr>
              <w:jc w:val="center"/>
              <w:rPr>
                <w:rFonts w:ascii="宋体" w:hAnsi="宋体" w:eastAsia="宋体" w:cs="宋体"/>
              </w:rPr>
            </w:pPr>
            <w:r>
              <w:rPr>
                <w:rFonts w:hint="eastAsia" w:ascii="宋体" w:hAnsi="宋体" w:eastAsia="宋体" w:cs="宋体"/>
                <w:lang w:val="en-US" w:eastAsia="zh-CN"/>
              </w:rPr>
              <w:t>13740.4872</w:t>
            </w:r>
          </w:p>
        </w:tc>
        <w:tc>
          <w:tcPr>
            <w:tcW w:w="1799"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0CBE0D08">
            <w:pPr>
              <w:keepNext w:val="0"/>
              <w:keepLines w:val="0"/>
              <w:widowControl/>
              <w:suppressLineNumbers w:val="0"/>
              <w:jc w:val="center"/>
              <w:textAlignment w:val="center"/>
            </w:pPr>
            <w:r>
              <w:rPr>
                <w:rFonts w:hint="eastAsia" w:ascii="宋体" w:hAnsi="宋体" w:eastAsia="宋体" w:cs="宋体"/>
                <w:i w:val="0"/>
                <w:iCs w:val="0"/>
                <w:color w:val="000000"/>
                <w:kern w:val="0"/>
                <w:sz w:val="24"/>
                <w:szCs w:val="24"/>
                <w:u w:val="none"/>
                <w:lang w:val="en-US" w:eastAsia="zh-CN" w:bidi="ar"/>
              </w:rPr>
              <w:t>13674.4344</w:t>
            </w:r>
          </w:p>
        </w:tc>
        <w:tc>
          <w:tcPr>
            <w:tcW w:w="1799"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2C2190E7">
            <w:pPr>
              <w:keepNext w:val="0"/>
              <w:keepLines w:val="0"/>
              <w:widowControl/>
              <w:suppressLineNumbers w:val="0"/>
              <w:jc w:val="center"/>
              <w:textAlignment w:val="center"/>
            </w:pPr>
            <w:r>
              <w:rPr>
                <w:rFonts w:hint="eastAsia" w:ascii="宋体" w:hAnsi="宋体" w:eastAsia="宋体" w:cs="宋体"/>
                <w:i w:val="0"/>
                <w:iCs w:val="0"/>
                <w:color w:val="000000"/>
                <w:kern w:val="0"/>
                <w:sz w:val="22"/>
                <w:szCs w:val="22"/>
                <w:u w:val="none"/>
                <w:lang w:val="en-US" w:eastAsia="zh-CN" w:bidi="ar"/>
              </w:rPr>
              <w:t>66.0528</w:t>
            </w:r>
          </w:p>
        </w:tc>
      </w:tr>
      <w:tr w14:paraId="184266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0" w:type="auto"/>
            <w:vMerge w:val="continue"/>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4D0F548D"/>
        </w:tc>
        <w:tc>
          <w:tcPr>
            <w:tcW w:w="0" w:type="auto"/>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531C62D1">
            <w:pPr>
              <w:jc w:val="center"/>
            </w:pPr>
            <w:r>
              <w:t>SO</w:t>
            </w:r>
            <w:r>
              <w:rPr>
                <w:vertAlign w:val="subscript"/>
              </w:rPr>
              <w:t>2</w:t>
            </w:r>
          </w:p>
        </w:tc>
        <w:tc>
          <w:tcPr>
            <w:tcW w:w="1799"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5324B1F6">
            <w:pPr>
              <w:jc w:val="center"/>
              <w:rPr>
                <w:rFonts w:ascii="宋体" w:hAnsi="宋体" w:eastAsia="宋体" w:cs="宋体"/>
              </w:rPr>
            </w:pPr>
            <w:r>
              <w:rPr>
                <w:rFonts w:hint="eastAsia" w:ascii="宋体" w:hAnsi="宋体" w:eastAsia="宋体" w:cs="宋体"/>
                <w:lang w:val="en-US" w:eastAsia="zh-CN"/>
              </w:rPr>
              <w:t>1684.584</w:t>
            </w:r>
          </w:p>
        </w:tc>
        <w:tc>
          <w:tcPr>
            <w:tcW w:w="1799"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770A673D">
            <w:pPr>
              <w:keepNext w:val="0"/>
              <w:keepLines w:val="0"/>
              <w:widowControl/>
              <w:suppressLineNumbers w:val="0"/>
              <w:jc w:val="center"/>
              <w:textAlignment w:val="center"/>
            </w:pPr>
            <w:r>
              <w:rPr>
                <w:rFonts w:hint="eastAsia" w:ascii="宋体" w:hAnsi="宋体" w:eastAsia="宋体" w:cs="宋体"/>
                <w:i w:val="0"/>
                <w:iCs w:val="0"/>
                <w:color w:val="000000"/>
                <w:kern w:val="0"/>
                <w:sz w:val="24"/>
                <w:szCs w:val="24"/>
                <w:u w:val="none"/>
                <w:lang w:val="en-US" w:eastAsia="zh-CN" w:bidi="ar"/>
              </w:rPr>
              <w:t>1619.9568</w:t>
            </w:r>
          </w:p>
        </w:tc>
        <w:tc>
          <w:tcPr>
            <w:tcW w:w="1799"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094FC93A">
            <w:pPr>
              <w:keepNext w:val="0"/>
              <w:keepLines w:val="0"/>
              <w:widowControl/>
              <w:suppressLineNumbers w:val="0"/>
              <w:jc w:val="center"/>
              <w:textAlignment w:val="center"/>
            </w:pPr>
            <w:r>
              <w:rPr>
                <w:rFonts w:hint="eastAsia" w:ascii="宋体" w:hAnsi="宋体" w:eastAsia="宋体" w:cs="宋体"/>
                <w:i w:val="0"/>
                <w:iCs w:val="0"/>
                <w:color w:val="000000"/>
                <w:kern w:val="0"/>
                <w:sz w:val="22"/>
                <w:szCs w:val="22"/>
                <w:u w:val="none"/>
                <w:lang w:val="en-US" w:eastAsia="zh-CN" w:bidi="ar"/>
              </w:rPr>
              <w:t>64.6272</w:t>
            </w:r>
          </w:p>
        </w:tc>
      </w:tr>
      <w:tr w14:paraId="72AB69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0" w:type="auto"/>
            <w:vMerge w:val="continue"/>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3AB052F7"/>
        </w:tc>
        <w:tc>
          <w:tcPr>
            <w:tcW w:w="0" w:type="auto"/>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1202C38D">
            <w:pPr>
              <w:jc w:val="center"/>
            </w:pPr>
            <w:r>
              <w:t>NO</w:t>
            </w:r>
            <w:r>
              <w:rPr>
                <w:vertAlign w:val="subscript"/>
              </w:rPr>
              <w:t>X</w:t>
            </w:r>
          </w:p>
        </w:tc>
        <w:tc>
          <w:tcPr>
            <w:tcW w:w="1799"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083205DE">
            <w:pPr>
              <w:jc w:val="center"/>
              <w:rPr>
                <w:rFonts w:ascii="宋体" w:hAnsi="宋体" w:eastAsia="宋体" w:cs="宋体"/>
              </w:rPr>
            </w:pPr>
            <w:r>
              <w:rPr>
                <w:rFonts w:hint="eastAsia" w:ascii="宋体" w:hAnsi="宋体" w:eastAsia="宋体" w:cs="宋体"/>
                <w:lang w:val="en-US" w:eastAsia="zh-CN"/>
              </w:rPr>
              <w:t>548.5392</w:t>
            </w:r>
          </w:p>
        </w:tc>
        <w:tc>
          <w:tcPr>
            <w:tcW w:w="1799"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2425320B">
            <w:pPr>
              <w:keepNext w:val="0"/>
              <w:keepLines w:val="0"/>
              <w:widowControl/>
              <w:suppressLineNumbers w:val="0"/>
              <w:jc w:val="center"/>
              <w:textAlignment w:val="center"/>
            </w:pPr>
            <w:r>
              <w:rPr>
                <w:rFonts w:hint="eastAsia" w:ascii="宋体" w:hAnsi="宋体" w:eastAsia="宋体" w:cs="宋体"/>
                <w:i w:val="0"/>
                <w:iCs w:val="0"/>
                <w:color w:val="000000"/>
                <w:kern w:val="0"/>
                <w:sz w:val="24"/>
                <w:szCs w:val="24"/>
                <w:u w:val="none"/>
                <w:lang w:val="en-US" w:eastAsia="zh-CN" w:bidi="ar"/>
              </w:rPr>
              <w:t>421.6608</w:t>
            </w:r>
          </w:p>
        </w:tc>
        <w:tc>
          <w:tcPr>
            <w:tcW w:w="1799"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7F52734A">
            <w:pPr>
              <w:keepNext w:val="0"/>
              <w:keepLines w:val="0"/>
              <w:widowControl/>
              <w:suppressLineNumbers w:val="0"/>
              <w:jc w:val="center"/>
              <w:textAlignment w:val="center"/>
            </w:pPr>
            <w:r>
              <w:rPr>
                <w:rFonts w:hint="eastAsia" w:ascii="宋体" w:hAnsi="宋体" w:eastAsia="宋体" w:cs="宋体"/>
                <w:i w:val="0"/>
                <w:iCs w:val="0"/>
                <w:color w:val="000000"/>
                <w:kern w:val="0"/>
                <w:sz w:val="22"/>
                <w:szCs w:val="22"/>
                <w:u w:val="none"/>
                <w:lang w:val="en-US" w:eastAsia="zh-CN" w:bidi="ar"/>
              </w:rPr>
              <w:t>126.8784</w:t>
            </w:r>
          </w:p>
        </w:tc>
      </w:tr>
      <w:tr w14:paraId="5D3AE3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0" w:type="auto"/>
            <w:vMerge w:val="continue"/>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1CCBB662"/>
        </w:tc>
        <w:tc>
          <w:tcPr>
            <w:tcW w:w="0" w:type="auto"/>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03756FA3">
            <w:pPr>
              <w:jc w:val="center"/>
            </w:pPr>
            <w:r>
              <w:t>氟化物</w:t>
            </w:r>
          </w:p>
        </w:tc>
        <w:tc>
          <w:tcPr>
            <w:tcW w:w="1799"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592000AC">
            <w:pPr>
              <w:jc w:val="center"/>
              <w:rPr>
                <w:rFonts w:ascii="宋体" w:hAnsi="宋体" w:eastAsia="宋体" w:cs="宋体"/>
              </w:rPr>
            </w:pPr>
            <w:r>
              <w:rPr>
                <w:rFonts w:hint="eastAsia" w:ascii="宋体" w:hAnsi="宋体" w:eastAsia="宋体" w:cs="宋体"/>
                <w:lang w:val="en-US" w:eastAsia="zh-CN"/>
              </w:rPr>
              <w:t>3.564</w:t>
            </w:r>
          </w:p>
        </w:tc>
        <w:tc>
          <w:tcPr>
            <w:tcW w:w="1799"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420F2DBE">
            <w:pPr>
              <w:keepNext w:val="0"/>
              <w:keepLines w:val="0"/>
              <w:widowControl/>
              <w:suppressLineNumbers w:val="0"/>
              <w:jc w:val="center"/>
              <w:textAlignment w:val="center"/>
            </w:pPr>
            <w:r>
              <w:rPr>
                <w:rFonts w:hint="eastAsia" w:ascii="宋体" w:hAnsi="宋体" w:eastAsia="宋体" w:cs="宋体"/>
                <w:i w:val="0"/>
                <w:iCs w:val="0"/>
                <w:color w:val="000000"/>
                <w:kern w:val="0"/>
                <w:sz w:val="24"/>
                <w:szCs w:val="24"/>
                <w:u w:val="none"/>
                <w:lang w:val="en-US" w:eastAsia="zh-CN" w:bidi="ar"/>
              </w:rPr>
              <w:t>2.44728</w:t>
            </w:r>
          </w:p>
        </w:tc>
        <w:tc>
          <w:tcPr>
            <w:tcW w:w="1799"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1ED8D95F">
            <w:pPr>
              <w:keepNext w:val="0"/>
              <w:keepLines w:val="0"/>
              <w:widowControl/>
              <w:suppressLineNumbers w:val="0"/>
              <w:jc w:val="center"/>
              <w:textAlignment w:val="center"/>
            </w:pPr>
            <w:r>
              <w:rPr>
                <w:rFonts w:hint="eastAsia" w:ascii="宋体" w:hAnsi="宋体" w:eastAsia="宋体" w:cs="宋体"/>
                <w:i w:val="0"/>
                <w:iCs w:val="0"/>
                <w:color w:val="000000"/>
                <w:kern w:val="0"/>
                <w:sz w:val="22"/>
                <w:szCs w:val="22"/>
                <w:u w:val="none"/>
                <w:lang w:val="en-US" w:eastAsia="zh-CN" w:bidi="ar"/>
              </w:rPr>
              <w:t>1.11672</w:t>
            </w:r>
          </w:p>
        </w:tc>
      </w:tr>
      <w:tr w14:paraId="4EAA61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0" w:type="auto"/>
            <w:vMerge w:val="continue"/>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73AF0E25"/>
        </w:tc>
        <w:tc>
          <w:tcPr>
            <w:tcW w:w="0" w:type="auto"/>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3485AD08">
            <w:pPr>
              <w:jc w:val="center"/>
            </w:pPr>
            <w:r>
              <w:t>氨气</w:t>
            </w:r>
          </w:p>
        </w:tc>
        <w:tc>
          <w:tcPr>
            <w:tcW w:w="1799"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5E2025AE">
            <w:pPr>
              <w:jc w:val="center"/>
              <w:rPr>
                <w:rFonts w:ascii="宋体" w:hAnsi="宋体" w:eastAsia="宋体" w:cs="宋体"/>
              </w:rPr>
            </w:pPr>
            <w:r>
              <w:rPr>
                <w:rFonts w:hint="eastAsia" w:ascii="宋体" w:hAnsi="宋体" w:eastAsia="宋体" w:cs="宋体"/>
                <w:lang w:val="en-US" w:eastAsia="zh-CN"/>
              </w:rPr>
              <w:t>10.01088</w:t>
            </w:r>
          </w:p>
        </w:tc>
        <w:tc>
          <w:tcPr>
            <w:tcW w:w="1799"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63C63F25">
            <w:pPr>
              <w:keepNext w:val="0"/>
              <w:keepLines w:val="0"/>
              <w:widowControl/>
              <w:suppressLineNumbers w:val="0"/>
              <w:jc w:val="center"/>
              <w:textAlignment w:val="center"/>
            </w:pPr>
            <w:r>
              <w:rPr>
                <w:rFonts w:hint="eastAsia" w:ascii="宋体" w:hAnsi="宋体" w:eastAsia="宋体" w:cs="宋体"/>
                <w:i w:val="0"/>
                <w:iCs w:val="0"/>
                <w:color w:val="000000"/>
                <w:kern w:val="0"/>
                <w:sz w:val="24"/>
                <w:szCs w:val="24"/>
                <w:u w:val="none"/>
                <w:lang w:val="en-US" w:eastAsia="zh-CN" w:bidi="ar"/>
              </w:rPr>
              <w:t>0</w:t>
            </w:r>
          </w:p>
        </w:tc>
        <w:tc>
          <w:tcPr>
            <w:tcW w:w="1799"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64A117D1">
            <w:pPr>
              <w:keepNext w:val="0"/>
              <w:keepLines w:val="0"/>
              <w:widowControl/>
              <w:suppressLineNumbers w:val="0"/>
              <w:jc w:val="center"/>
              <w:textAlignment w:val="center"/>
            </w:pPr>
            <w:r>
              <w:rPr>
                <w:rFonts w:hint="eastAsia" w:ascii="宋体" w:hAnsi="宋体" w:eastAsia="宋体" w:cs="宋体"/>
                <w:i w:val="0"/>
                <w:iCs w:val="0"/>
                <w:color w:val="000000"/>
                <w:kern w:val="0"/>
                <w:sz w:val="22"/>
                <w:szCs w:val="22"/>
                <w:u w:val="none"/>
                <w:lang w:val="en-US" w:eastAsia="zh-CN" w:bidi="ar"/>
              </w:rPr>
              <w:t>10.01088</w:t>
            </w:r>
          </w:p>
        </w:tc>
      </w:tr>
      <w:tr w14:paraId="24F944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0" w:type="auto"/>
            <w:vMerge w:val="continue"/>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7304C18E"/>
        </w:tc>
        <w:tc>
          <w:tcPr>
            <w:tcW w:w="0" w:type="auto"/>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4626C461">
            <w:pPr>
              <w:jc w:val="center"/>
            </w:pPr>
            <w:r>
              <w:t>二噁英类</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0"/>
            <w:tcMar>
              <w:left w:w="108" w:type="dxa"/>
              <w:right w:w="108" w:type="dxa"/>
            </w:tcMar>
            <w:vAlign w:val="center"/>
          </w:tcPr>
          <w:p w14:paraId="616BB1DF">
            <w:pPr>
              <w:keepNext w:val="0"/>
              <w:keepLines w:val="0"/>
              <w:widowControl/>
              <w:suppressLineNumbers w:val="0"/>
              <w:jc w:val="center"/>
              <w:textAlignment w:val="center"/>
              <w:rPr>
                <w:rFonts w:hint="eastAsia" w:ascii="宋体" w:hAnsi="宋体" w:eastAsia="宋体" w:cs="宋体"/>
                <w:i w:val="0"/>
                <w:iCs w:val="0"/>
                <w:color w:val="000000"/>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0.000002</w:t>
            </w:r>
          </w:p>
        </w:tc>
        <w:tc>
          <w:tcPr>
            <w:tcW w:w="1799"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0AF70466">
            <w:pPr>
              <w:keepNext w:val="0"/>
              <w:keepLines w:val="0"/>
              <w:widowControl/>
              <w:suppressLineNumbers w:val="0"/>
              <w:jc w:val="center"/>
              <w:textAlignment w:val="center"/>
            </w:pPr>
            <w:r>
              <w:rPr>
                <w:rFonts w:hint="eastAsia" w:ascii="宋体" w:hAnsi="宋体" w:eastAsia="宋体" w:cs="宋体"/>
                <w:i w:val="0"/>
                <w:iCs w:val="0"/>
                <w:color w:val="000000"/>
                <w:kern w:val="0"/>
                <w:sz w:val="24"/>
                <w:szCs w:val="24"/>
                <w:u w:val="none"/>
                <w:lang w:val="en-US" w:eastAsia="zh-CN" w:bidi="ar"/>
              </w:rPr>
              <w:t>0.0000018</w:t>
            </w:r>
          </w:p>
        </w:tc>
        <w:tc>
          <w:tcPr>
            <w:tcW w:w="0" w:type="auto"/>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0474F655">
            <w:pPr>
              <w:jc w:val="center"/>
            </w:pPr>
            <w:r>
              <w:rPr>
                <w:rFonts w:hint="eastAsia" w:ascii="宋体" w:hAnsi="宋体" w:eastAsia="宋体" w:cs="宋体"/>
                <w:i w:val="0"/>
                <w:iCs w:val="0"/>
                <w:color w:val="000000"/>
                <w:kern w:val="0"/>
                <w:sz w:val="24"/>
                <w:szCs w:val="24"/>
                <w:u w:val="none"/>
                <w:lang w:val="en-US" w:eastAsia="zh-CN" w:bidi="ar"/>
              </w:rPr>
              <w:t>0.000002</w:t>
            </w:r>
          </w:p>
        </w:tc>
      </w:tr>
      <w:tr w14:paraId="144E2B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0" w:type="auto"/>
            <w:vMerge w:val="restart"/>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4CB2E818">
            <w:r>
              <w:t>无组织废气</w:t>
            </w:r>
          </w:p>
        </w:tc>
        <w:tc>
          <w:tcPr>
            <w:tcW w:w="0" w:type="auto"/>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50780FCF">
            <w:pPr>
              <w:jc w:val="center"/>
              <w:rPr>
                <w:rFonts w:hint="eastAsia" w:ascii="宋体" w:hAnsi="宋体" w:eastAsia="宋体" w:cs="宋体"/>
                <w:lang w:val="en-US" w:eastAsia="zh-CN"/>
              </w:rPr>
            </w:pPr>
            <w:r>
              <w:rPr>
                <w:rFonts w:hint="eastAsia" w:ascii="宋体" w:hAnsi="宋体" w:eastAsia="宋体" w:cs="宋体"/>
                <w:lang w:val="en-US" w:eastAsia="zh-CN"/>
              </w:rPr>
              <w:t>粉尘</w:t>
            </w:r>
          </w:p>
        </w:tc>
        <w:tc>
          <w:tcPr>
            <w:tcW w:w="0" w:type="auto"/>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4D0EF644">
            <w:pPr>
              <w:jc w:val="center"/>
              <w:rPr>
                <w:rFonts w:hint="default" w:ascii="宋体" w:hAnsi="宋体" w:eastAsia="宋体" w:cs="宋体"/>
                <w:lang w:val="en-US" w:eastAsia="zh-CN"/>
              </w:rPr>
            </w:pPr>
            <w:r>
              <w:rPr>
                <w:rFonts w:hint="eastAsia" w:ascii="宋体" w:hAnsi="宋体" w:eastAsia="宋体" w:cs="宋体"/>
                <w:lang w:val="en-US" w:eastAsia="zh-CN"/>
              </w:rPr>
              <w:t>16.67</w:t>
            </w:r>
          </w:p>
        </w:tc>
        <w:tc>
          <w:tcPr>
            <w:tcW w:w="0" w:type="auto"/>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7449E487">
            <w:pPr>
              <w:jc w:val="center"/>
              <w:rPr>
                <w:rFonts w:hint="default" w:ascii="宋体" w:hAnsi="宋体" w:eastAsia="宋体" w:cs="宋体"/>
                <w:lang w:val="en-US" w:eastAsia="zh-CN"/>
              </w:rPr>
            </w:pPr>
            <w:r>
              <w:rPr>
                <w:rFonts w:hint="eastAsia" w:ascii="宋体" w:hAnsi="宋体" w:eastAsia="宋体" w:cs="宋体"/>
                <w:lang w:val="en-US" w:eastAsia="zh-CN"/>
              </w:rPr>
              <w:t>13.336</w:t>
            </w:r>
          </w:p>
        </w:tc>
        <w:tc>
          <w:tcPr>
            <w:tcW w:w="0" w:type="auto"/>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2BD5D8EA">
            <w:pPr>
              <w:jc w:val="center"/>
              <w:rPr>
                <w:rFonts w:hint="default" w:ascii="宋体" w:hAnsi="宋体" w:eastAsia="宋体" w:cs="宋体"/>
                <w:lang w:val="en-US" w:eastAsia="zh-CN"/>
              </w:rPr>
            </w:pPr>
            <w:r>
              <w:rPr>
                <w:rFonts w:hint="eastAsia" w:ascii="宋体" w:hAnsi="宋体" w:eastAsia="宋体" w:cs="宋体"/>
                <w:lang w:val="en-US" w:eastAsia="zh-CN"/>
              </w:rPr>
              <w:t>3.334</w:t>
            </w:r>
          </w:p>
        </w:tc>
      </w:tr>
      <w:tr w14:paraId="61BD53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0" w:type="auto"/>
            <w:vMerge w:val="continue"/>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73D0CBE9"/>
        </w:tc>
        <w:tc>
          <w:tcPr>
            <w:tcW w:w="0" w:type="auto"/>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319156F0">
            <w:pPr>
              <w:jc w:val="center"/>
              <w:rPr>
                <w:rFonts w:hint="eastAsia" w:ascii="宋体" w:hAnsi="宋体" w:eastAsia="宋体" w:cs="宋体"/>
                <w:lang w:val="en-US" w:eastAsia="zh-CN"/>
              </w:rPr>
            </w:pPr>
            <w:r>
              <w:rPr>
                <w:rFonts w:hint="eastAsia" w:ascii="宋体" w:hAnsi="宋体" w:eastAsia="宋体" w:cs="宋体"/>
                <w:lang w:val="en-US" w:eastAsia="zh-CN"/>
              </w:rPr>
              <w:t>氨气</w:t>
            </w:r>
          </w:p>
        </w:tc>
        <w:tc>
          <w:tcPr>
            <w:tcW w:w="0" w:type="auto"/>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55C0BFC5">
            <w:pPr>
              <w:jc w:val="center"/>
              <w:rPr>
                <w:rFonts w:hint="eastAsia" w:ascii="宋体" w:hAnsi="宋体" w:eastAsia="宋体" w:cs="宋体"/>
                <w:lang w:val="en-US" w:eastAsia="zh-CN"/>
              </w:rPr>
            </w:pPr>
            <w:r>
              <w:rPr>
                <w:rFonts w:hint="eastAsia" w:ascii="宋体" w:hAnsi="宋体" w:eastAsia="宋体" w:cs="宋体"/>
                <w:lang w:val="en-US" w:eastAsia="zh-CN"/>
              </w:rPr>
              <w:t>0.026</w:t>
            </w:r>
          </w:p>
        </w:tc>
        <w:tc>
          <w:tcPr>
            <w:tcW w:w="0" w:type="auto"/>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0CEFD49C">
            <w:pPr>
              <w:jc w:val="center"/>
              <w:rPr>
                <w:rFonts w:hint="eastAsia" w:ascii="宋体" w:hAnsi="宋体" w:eastAsia="宋体" w:cs="宋体"/>
                <w:lang w:val="en-US" w:eastAsia="zh-CN"/>
              </w:rPr>
            </w:pPr>
            <w:r>
              <w:rPr>
                <w:rFonts w:hint="eastAsia" w:ascii="宋体" w:hAnsi="宋体" w:eastAsia="宋体" w:cs="宋体"/>
                <w:lang w:val="en-US" w:eastAsia="zh-CN"/>
              </w:rPr>
              <w:t>/</w:t>
            </w:r>
          </w:p>
        </w:tc>
        <w:tc>
          <w:tcPr>
            <w:tcW w:w="0" w:type="auto"/>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0FB26648">
            <w:pPr>
              <w:jc w:val="center"/>
              <w:rPr>
                <w:rFonts w:hint="eastAsia" w:ascii="宋体" w:hAnsi="宋体" w:eastAsia="宋体" w:cs="宋体"/>
                <w:lang w:val="en-US" w:eastAsia="zh-CN"/>
              </w:rPr>
            </w:pPr>
            <w:r>
              <w:rPr>
                <w:rFonts w:hint="eastAsia" w:ascii="宋体" w:hAnsi="宋体" w:eastAsia="宋体" w:cs="宋体"/>
                <w:lang w:val="en-US" w:eastAsia="zh-CN"/>
              </w:rPr>
              <w:t>0.026</w:t>
            </w:r>
          </w:p>
        </w:tc>
      </w:tr>
      <w:tr w14:paraId="5973B0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0" w:type="auto"/>
            <w:vMerge w:val="restart"/>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285B53E5">
            <w:r>
              <w:t>固废</w:t>
            </w:r>
          </w:p>
        </w:tc>
        <w:tc>
          <w:tcPr>
            <w:tcW w:w="0" w:type="auto"/>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4A9F1B74">
            <w:r>
              <w:t>除尘灰</w:t>
            </w:r>
          </w:p>
        </w:tc>
        <w:tc>
          <w:tcPr>
            <w:tcW w:w="0" w:type="auto"/>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0C15E818">
            <w:r>
              <w:t>40800</w:t>
            </w:r>
          </w:p>
        </w:tc>
        <w:tc>
          <w:tcPr>
            <w:tcW w:w="0" w:type="auto"/>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3C44A077">
            <w:r>
              <w:t>40800</w:t>
            </w:r>
          </w:p>
        </w:tc>
        <w:tc>
          <w:tcPr>
            <w:tcW w:w="0" w:type="auto"/>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704F126F">
            <w:r>
              <w:t>0</w:t>
            </w:r>
          </w:p>
        </w:tc>
      </w:tr>
      <w:tr w14:paraId="487633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0" w:type="auto"/>
            <w:vMerge w:val="continue"/>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20620CA2"/>
        </w:tc>
        <w:tc>
          <w:tcPr>
            <w:tcW w:w="0" w:type="auto"/>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1061D652">
            <w:r>
              <w:t>除尘灰浆</w:t>
            </w:r>
          </w:p>
        </w:tc>
        <w:tc>
          <w:tcPr>
            <w:tcW w:w="0" w:type="auto"/>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63CDA663">
            <w:r>
              <w:t>1568</w:t>
            </w:r>
          </w:p>
        </w:tc>
        <w:tc>
          <w:tcPr>
            <w:tcW w:w="0" w:type="auto"/>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1D3B723F">
            <w:r>
              <w:t>1568</w:t>
            </w:r>
          </w:p>
        </w:tc>
        <w:tc>
          <w:tcPr>
            <w:tcW w:w="0" w:type="auto"/>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18C55100">
            <w:r>
              <w:t>0</w:t>
            </w:r>
          </w:p>
        </w:tc>
      </w:tr>
      <w:tr w14:paraId="33C881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0" w:type="auto"/>
            <w:vMerge w:val="continue"/>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09189FA8"/>
        </w:tc>
        <w:tc>
          <w:tcPr>
            <w:tcW w:w="0" w:type="auto"/>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7FC57227">
            <w:r>
              <w:t>脱硫灰</w:t>
            </w:r>
          </w:p>
        </w:tc>
        <w:tc>
          <w:tcPr>
            <w:tcW w:w="0" w:type="auto"/>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7FFBEFC5">
            <w:r>
              <w:t>9504</w:t>
            </w:r>
          </w:p>
        </w:tc>
        <w:tc>
          <w:tcPr>
            <w:tcW w:w="0" w:type="auto"/>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7B4B65A5">
            <w:r>
              <w:t>9504</w:t>
            </w:r>
          </w:p>
        </w:tc>
        <w:tc>
          <w:tcPr>
            <w:tcW w:w="0" w:type="auto"/>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352556A6">
            <w:r>
              <w:t>0</w:t>
            </w:r>
          </w:p>
        </w:tc>
      </w:tr>
      <w:tr w14:paraId="1ABAD1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0" w:type="auto"/>
            <w:vMerge w:val="continue"/>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22CC756D"/>
        </w:tc>
        <w:tc>
          <w:tcPr>
            <w:tcW w:w="0" w:type="auto"/>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13836395">
            <w:r>
              <w:t>废布袋</w:t>
            </w:r>
          </w:p>
        </w:tc>
        <w:tc>
          <w:tcPr>
            <w:tcW w:w="0" w:type="auto"/>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68F33B34">
            <w:r>
              <w:t>8</w:t>
            </w:r>
          </w:p>
        </w:tc>
        <w:tc>
          <w:tcPr>
            <w:tcW w:w="0" w:type="auto"/>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055ECEB6">
            <w:r>
              <w:t>8</w:t>
            </w:r>
          </w:p>
        </w:tc>
        <w:tc>
          <w:tcPr>
            <w:tcW w:w="0" w:type="auto"/>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03048132">
            <w:r>
              <w:t>0</w:t>
            </w:r>
          </w:p>
        </w:tc>
      </w:tr>
      <w:tr w14:paraId="7EA099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0" w:type="auto"/>
            <w:vMerge w:val="continue"/>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0B5CD92E"/>
        </w:tc>
        <w:tc>
          <w:tcPr>
            <w:tcW w:w="0" w:type="auto"/>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140CAE45">
            <w:r>
              <w:t>废催化剂</w:t>
            </w:r>
          </w:p>
        </w:tc>
        <w:tc>
          <w:tcPr>
            <w:tcW w:w="0" w:type="auto"/>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671BC060">
            <w:r>
              <w:t>10t/3a</w:t>
            </w:r>
          </w:p>
        </w:tc>
        <w:tc>
          <w:tcPr>
            <w:tcW w:w="0" w:type="auto"/>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66DECD99">
            <w:r>
              <w:t>10t/3a</w:t>
            </w:r>
          </w:p>
        </w:tc>
        <w:tc>
          <w:tcPr>
            <w:tcW w:w="0" w:type="auto"/>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2E4505B5">
            <w:r>
              <w:t>0</w:t>
            </w:r>
          </w:p>
        </w:tc>
      </w:tr>
      <w:tr w14:paraId="248B9D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0" w:type="auto"/>
            <w:vMerge w:val="continue"/>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6B53C03D"/>
        </w:tc>
        <w:tc>
          <w:tcPr>
            <w:tcW w:w="0" w:type="auto"/>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585366C8">
            <w:r>
              <w:t>废矿物油</w:t>
            </w:r>
          </w:p>
        </w:tc>
        <w:tc>
          <w:tcPr>
            <w:tcW w:w="0" w:type="auto"/>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2EB75425">
            <w:r>
              <w:t>2</w:t>
            </w:r>
          </w:p>
        </w:tc>
        <w:tc>
          <w:tcPr>
            <w:tcW w:w="0" w:type="auto"/>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074A8C17">
            <w:r>
              <w:t>2</w:t>
            </w:r>
          </w:p>
        </w:tc>
        <w:tc>
          <w:tcPr>
            <w:tcW w:w="0" w:type="auto"/>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5CF66981">
            <w:r>
              <w:t>0</w:t>
            </w:r>
          </w:p>
        </w:tc>
      </w:tr>
    </w:tbl>
    <w:p w14:paraId="7EA6EDE7">
      <w:pPr>
        <w:pStyle w:val="2"/>
        <w:sectPr>
          <w:pgSz w:w="11907" w:h="16840"/>
          <w:pgMar w:top="1701" w:right="1701" w:bottom="1701" w:left="1701" w:header="851" w:footer="1077" w:gutter="0"/>
          <w:pgBorders w:offsetFrom="page">
            <w:top w:val="none" w:sz="0" w:space="0"/>
            <w:left w:val="none" w:sz="0" w:space="0"/>
            <w:bottom w:val="none" w:sz="0" w:space="0"/>
            <w:right w:val="none" w:sz="0" w:space="0"/>
          </w:pgBorders>
          <w:pgNumType w:fmt="decimal"/>
          <w:cols w:space="720" w:num="1"/>
          <w:docGrid w:type="lines" w:linePitch="479" w:charSpace="0"/>
        </w:sectPr>
      </w:pPr>
    </w:p>
    <w:p w14:paraId="35D61899">
      <w:pPr>
        <w:pStyle w:val="6"/>
        <w:spacing w:before="239"/>
      </w:pPr>
      <w:bookmarkStart w:id="323" w:name="_Toc90026128"/>
      <w:bookmarkStart w:id="324" w:name="_Toc3335"/>
      <w:r>
        <w:rPr>
          <w:rFonts w:hint="eastAsia"/>
        </w:rPr>
        <w:t>3</w:t>
      </w:r>
      <w:r>
        <w:t>.</w:t>
      </w:r>
      <w:r>
        <w:rPr>
          <w:rFonts w:hint="eastAsia"/>
        </w:rPr>
        <w:t xml:space="preserve">5 </w:t>
      </w:r>
      <w:bookmarkEnd w:id="323"/>
      <w:bookmarkStart w:id="325" w:name="_Toc90026129"/>
      <w:r>
        <w:rPr>
          <w:rFonts w:hint="eastAsia"/>
        </w:rPr>
        <w:t xml:space="preserve"> “以新带老”削减方案</w:t>
      </w:r>
      <w:bookmarkEnd w:id="324"/>
      <w:bookmarkEnd w:id="325"/>
    </w:p>
    <w:p w14:paraId="336F65B3">
      <w:pPr>
        <w:spacing w:line="500" w:lineRule="exact"/>
        <w:ind w:left="-24" w:firstLine="584"/>
        <w:rPr>
          <w:rFonts w:hint="eastAsia" w:ascii="Times New Roman" w:hAnsi="Times New Roman" w:cs="Times New Roman"/>
        </w:rPr>
      </w:pPr>
      <w:r>
        <w:rPr>
          <w:rFonts w:hint="eastAsia" w:cs="Times New Roman"/>
        </w:rPr>
        <w:t>根据《关于印发辽宁省钢铁企业超低排放改造实施方案的通知》</w:t>
      </w:r>
      <w:r>
        <w:rPr>
          <w:rFonts w:ascii="Times New Roman" w:hAnsi="Times New Roman" w:cs="Times New Roman"/>
        </w:rPr>
        <w:t>（辽环综函[2019]212号）</w:t>
      </w:r>
      <w:r>
        <w:rPr>
          <w:rFonts w:hint="eastAsia" w:ascii="Times New Roman" w:hAnsi="Times New Roman" w:cs="Times New Roman"/>
        </w:rPr>
        <w:t>要求，钢铁企业要</w:t>
      </w:r>
      <w:r>
        <w:rPr>
          <w:rFonts w:ascii="Times New Roman" w:hAnsi="Times New Roman" w:cs="Times New Roman"/>
        </w:rPr>
        <w:t>加强源头控制，</w:t>
      </w:r>
      <w:r>
        <w:rPr>
          <w:rFonts w:hint="eastAsia" w:ascii="Times New Roman" w:hAnsi="Times New Roman" w:cs="Times New Roman"/>
          <w:lang w:val="en-US" w:eastAsia="zh-CN"/>
        </w:rPr>
        <w:t>烧结机、球团竖炉</w:t>
      </w:r>
      <w:r>
        <w:rPr>
          <w:rFonts w:ascii="Times New Roman" w:hAnsi="Times New Roman" w:cs="Times New Roman"/>
        </w:rPr>
        <w:t>应采用</w:t>
      </w:r>
      <w:r>
        <w:rPr>
          <w:rFonts w:hint="eastAsia" w:ascii="Times New Roman" w:hAnsi="Times New Roman" w:cs="Times New Roman"/>
          <w:lang w:val="en-US" w:eastAsia="zh-CN"/>
        </w:rPr>
        <w:t>SCR</w:t>
      </w:r>
      <w:r>
        <w:rPr>
          <w:rFonts w:ascii="Times New Roman" w:hAnsi="Times New Roman" w:cs="Times New Roman"/>
        </w:rPr>
        <w:t>技术。</w:t>
      </w:r>
      <w:r>
        <w:rPr>
          <w:rFonts w:hint="eastAsia" w:ascii="Times New Roman" w:hAnsi="Times New Roman" w:cs="Times New Roman"/>
        </w:rPr>
        <w:t>针对该问题，企业拟对</w:t>
      </w:r>
      <w:r>
        <w:rPr>
          <w:rFonts w:hint="eastAsia" w:ascii="Times New Roman" w:hAnsi="Times New Roman" w:cs="Times New Roman"/>
          <w:lang w:val="en-US" w:eastAsia="zh-CN"/>
        </w:rPr>
        <w:t>烧结机、球团竖炉增加SCR设备</w:t>
      </w:r>
      <w:r>
        <w:rPr>
          <w:rFonts w:hint="eastAsia" w:ascii="Times New Roman" w:hAnsi="Times New Roman" w:cs="Times New Roman"/>
        </w:rPr>
        <w:t>，进一步减少氮氧化物排放。</w:t>
      </w:r>
    </w:p>
    <w:p w14:paraId="39B4CC97">
      <w:pPr>
        <w:spacing w:line="500" w:lineRule="exact"/>
        <w:ind w:left="-24" w:firstLine="584"/>
        <w:jc w:val="both"/>
        <w:rPr>
          <w:rFonts w:ascii="Times New Roman" w:hAnsi="Times New Roman" w:cs="Times New Roman"/>
        </w:rPr>
        <w:sectPr>
          <w:pgSz w:w="11907" w:h="16840"/>
          <w:pgMar w:top="1701" w:right="1701" w:bottom="1701" w:left="1701" w:header="851" w:footer="1077" w:gutter="0"/>
          <w:pgBorders w:offsetFrom="page">
            <w:top w:val="none" w:sz="0" w:space="0"/>
            <w:left w:val="none" w:sz="0" w:space="0"/>
            <w:bottom w:val="none" w:sz="0" w:space="0"/>
            <w:right w:val="none" w:sz="0" w:space="0"/>
          </w:pgBorders>
          <w:pgNumType w:fmt="decimal"/>
          <w:cols w:space="720" w:num="1"/>
          <w:docGrid w:type="lines" w:linePitch="479" w:charSpace="0"/>
        </w:sectPr>
      </w:pPr>
    </w:p>
    <w:p w14:paraId="2F815D01">
      <w:pPr>
        <w:pStyle w:val="6"/>
        <w:spacing w:before="239"/>
      </w:pPr>
      <w:bookmarkStart w:id="326" w:name="_Toc90026130"/>
      <w:bookmarkStart w:id="327" w:name="_Toc780"/>
      <w:r>
        <w:rPr>
          <w:rFonts w:hint="eastAsia"/>
        </w:rPr>
        <w:t>3</w:t>
      </w:r>
      <w:r>
        <w:t>.</w:t>
      </w:r>
      <w:r>
        <w:rPr>
          <w:rFonts w:hint="eastAsia"/>
          <w:lang w:val="en-US" w:eastAsia="zh-CN"/>
        </w:rPr>
        <w:t>6</w:t>
      </w:r>
      <w:r>
        <w:t xml:space="preserve"> 污染物排放</w:t>
      </w:r>
      <w:r>
        <w:rPr>
          <w:rFonts w:hint="eastAsia"/>
        </w:rPr>
        <w:t>“三本账”情况</w:t>
      </w:r>
      <w:bookmarkEnd w:id="326"/>
      <w:bookmarkEnd w:id="327"/>
    </w:p>
    <w:p w14:paraId="1E039872">
      <w:pPr>
        <w:adjustRightInd w:val="0"/>
        <w:snapToGrid w:val="0"/>
        <w:spacing w:line="460" w:lineRule="exact"/>
        <w:ind w:firstLine="480" w:firstLineChars="200"/>
        <w:rPr>
          <w:rFonts w:hint="eastAsia" w:ascii="Times New Roman" w:hAnsi="Times New Roman" w:cs="Times New Roman"/>
          <w:bCs/>
        </w:rPr>
      </w:pPr>
      <w:r>
        <w:rPr>
          <w:rFonts w:hint="eastAsia" w:ascii="Times New Roman" w:hAnsi="Times New Roman" w:cs="Times New Roman"/>
          <w:bCs/>
        </w:rPr>
        <w:t>本项目实施前后全厂</w:t>
      </w:r>
      <w:r>
        <w:rPr>
          <w:rFonts w:ascii="Times New Roman" w:hAnsi="Times New Roman" w:cs="Times New Roman"/>
          <w:bCs/>
        </w:rPr>
        <w:t>污染物排放</w:t>
      </w:r>
      <w:r>
        <w:rPr>
          <w:rFonts w:hint="eastAsia" w:ascii="Times New Roman" w:hAnsi="Times New Roman" w:cs="Times New Roman"/>
          <w:bCs/>
        </w:rPr>
        <w:t>量变化</w:t>
      </w:r>
      <w:r>
        <w:rPr>
          <w:rFonts w:ascii="Times New Roman" w:hAnsi="Times New Roman" w:cs="Times New Roman"/>
          <w:bCs/>
        </w:rPr>
        <w:t>情况见表</w:t>
      </w:r>
      <w:r>
        <w:rPr>
          <w:rFonts w:hint="eastAsia" w:ascii="Times New Roman" w:hAnsi="Times New Roman" w:cs="Times New Roman"/>
          <w:szCs w:val="18"/>
        </w:rPr>
        <w:t>3.7-1</w:t>
      </w:r>
      <w:r>
        <w:rPr>
          <w:rFonts w:ascii="Times New Roman" w:hAnsi="Times New Roman" w:cs="Times New Roman"/>
          <w:bCs/>
        </w:rPr>
        <w:t>。</w:t>
      </w:r>
    </w:p>
    <w:p w14:paraId="089E6EAB">
      <w:pPr>
        <w:pStyle w:val="112"/>
        <w:snapToGrid/>
      </w:pPr>
      <w:r>
        <w:t>表</w:t>
      </w:r>
      <w:r>
        <w:rPr>
          <w:rFonts w:hint="eastAsia"/>
        </w:rPr>
        <w:t>3.7-1</w:t>
      </w:r>
      <w:r>
        <w:t xml:space="preserve">  </w:t>
      </w:r>
      <w:r>
        <w:rPr>
          <w:rFonts w:hint="eastAsia"/>
        </w:rPr>
        <w:t>本项目实施前后全厂</w:t>
      </w:r>
      <w:r>
        <w:t>污染物排放量</w:t>
      </w:r>
      <w:r>
        <w:rPr>
          <w:rFonts w:hint="eastAsia"/>
        </w:rPr>
        <w:t>变化情况一览表（t</w:t>
      </w:r>
      <w:r>
        <w:t>/a</w:t>
      </w:r>
      <w:r>
        <w:rPr>
          <w:rFonts w:hint="eastAsia"/>
        </w:rPr>
        <w:t>）</w:t>
      </w:r>
    </w:p>
    <w:tbl>
      <w:tblPr>
        <w:tblStyle w:val="56"/>
        <w:tblW w:w="5000" w:type="pct"/>
        <w:tblInd w:w="0" w:type="dxa"/>
        <w:tblBorders>
          <w:top w:val="thinThickSmallGap" w:color="auto" w:sz="12" w:space="0"/>
          <w:left w:val="none" w:color="auto" w:sz="0" w:space="0"/>
          <w:bottom w:val="thickThinSmallGap" w:color="auto" w:sz="12" w:space="0"/>
          <w:right w:val="none" w:color="auto" w:sz="0" w:space="0"/>
          <w:insideH w:val="single" w:color="auto" w:sz="6" w:space="0"/>
          <w:insideV w:val="single" w:color="auto" w:sz="6" w:space="0"/>
        </w:tblBorders>
        <w:tblLayout w:type="fixed"/>
        <w:tblCellMar>
          <w:top w:w="0" w:type="dxa"/>
          <w:left w:w="108" w:type="dxa"/>
          <w:bottom w:w="0" w:type="dxa"/>
          <w:right w:w="108" w:type="dxa"/>
        </w:tblCellMar>
      </w:tblPr>
      <w:tblGrid>
        <w:gridCol w:w="503"/>
        <w:gridCol w:w="777"/>
        <w:gridCol w:w="1628"/>
        <w:gridCol w:w="1801"/>
        <w:gridCol w:w="1352"/>
        <w:gridCol w:w="1559"/>
        <w:gridCol w:w="1702"/>
        <w:gridCol w:w="1559"/>
        <w:gridCol w:w="1420"/>
        <w:gridCol w:w="1354"/>
      </w:tblGrid>
      <w:tr w14:paraId="6396010C">
        <w:tblPrEx>
          <w:tblBorders>
            <w:top w:val="thinThickSmallGap" w:color="auto" w:sz="12" w:space="0"/>
            <w:left w:val="none" w:color="auto" w:sz="0" w:space="0"/>
            <w:bottom w:val="thickThinSmallGap"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97" w:hRule="atLeast"/>
        </w:trPr>
        <w:tc>
          <w:tcPr>
            <w:tcW w:w="468" w:type="pct"/>
            <w:gridSpan w:val="2"/>
            <w:shd w:val="clear" w:color="auto" w:fill="D9D9D9"/>
            <w:noWrap w:val="0"/>
            <w:vAlign w:val="center"/>
          </w:tcPr>
          <w:p w14:paraId="1F70BB88">
            <w:pPr>
              <w:widowControl w:val="0"/>
              <w:snapToGrid w:val="0"/>
              <w:jc w:val="center"/>
              <w:rPr>
                <w:rFonts w:ascii="Times New Roman" w:hAnsi="Times New Roman" w:cs="Times New Roman"/>
                <w:sz w:val="21"/>
                <w:szCs w:val="21"/>
              </w:rPr>
            </w:pPr>
            <w:r>
              <w:rPr>
                <w:rFonts w:ascii="Times New Roman" w:hAnsi="Times New Roman" w:cs="Times New Roman"/>
                <w:sz w:val="21"/>
                <w:szCs w:val="21"/>
              </w:rPr>
              <w:t>类别</w:t>
            </w:r>
          </w:p>
        </w:tc>
        <w:tc>
          <w:tcPr>
            <w:tcW w:w="596" w:type="pct"/>
            <w:shd w:val="clear" w:color="auto" w:fill="D9D9D9"/>
            <w:noWrap w:val="0"/>
            <w:vAlign w:val="center"/>
          </w:tcPr>
          <w:p w14:paraId="529A387B">
            <w:pPr>
              <w:widowControl w:val="0"/>
              <w:snapToGrid w:val="0"/>
              <w:jc w:val="center"/>
              <w:rPr>
                <w:rFonts w:ascii="Times New Roman" w:hAnsi="Times New Roman" w:cs="Times New Roman"/>
                <w:sz w:val="21"/>
                <w:szCs w:val="21"/>
              </w:rPr>
            </w:pPr>
            <w:r>
              <w:rPr>
                <w:rFonts w:ascii="Times New Roman" w:hAnsi="Times New Roman" w:cs="Times New Roman"/>
                <w:sz w:val="21"/>
                <w:szCs w:val="21"/>
              </w:rPr>
              <w:t>污染物名称</w:t>
            </w:r>
          </w:p>
        </w:tc>
        <w:tc>
          <w:tcPr>
            <w:tcW w:w="659" w:type="pct"/>
            <w:shd w:val="clear" w:color="auto" w:fill="D9D9D9"/>
            <w:noWrap w:val="0"/>
            <w:vAlign w:val="center"/>
          </w:tcPr>
          <w:p w14:paraId="12D169C7">
            <w:pPr>
              <w:widowControl w:val="0"/>
              <w:snapToGrid w:val="0"/>
              <w:jc w:val="center"/>
              <w:rPr>
                <w:rFonts w:ascii="Times New Roman" w:hAnsi="Times New Roman" w:cs="Times New Roman"/>
                <w:sz w:val="21"/>
                <w:szCs w:val="21"/>
              </w:rPr>
            </w:pPr>
            <w:r>
              <w:rPr>
                <w:rFonts w:hint="eastAsia" w:ascii="Times New Roman" w:hAnsi="Times New Roman" w:cs="Times New Roman"/>
                <w:sz w:val="21"/>
                <w:szCs w:val="21"/>
              </w:rPr>
              <w:t>现有</w:t>
            </w:r>
            <w:r>
              <w:rPr>
                <w:rFonts w:ascii="Times New Roman" w:hAnsi="Times New Roman" w:cs="Times New Roman"/>
                <w:sz w:val="21"/>
                <w:szCs w:val="21"/>
              </w:rPr>
              <w:t>工程排放量</w:t>
            </w:r>
          </w:p>
        </w:tc>
        <w:tc>
          <w:tcPr>
            <w:tcW w:w="495" w:type="pct"/>
            <w:shd w:val="clear" w:color="auto" w:fill="D9D9D9"/>
            <w:noWrap w:val="0"/>
            <w:vAlign w:val="center"/>
          </w:tcPr>
          <w:p w14:paraId="7EB588E4">
            <w:pPr>
              <w:widowControl w:val="0"/>
              <w:snapToGrid w:val="0"/>
              <w:jc w:val="center"/>
              <w:rPr>
                <w:rFonts w:hint="eastAsia" w:ascii="Times New Roman" w:hAnsi="Times New Roman" w:cs="Times New Roman"/>
                <w:sz w:val="21"/>
                <w:szCs w:val="21"/>
              </w:rPr>
            </w:pPr>
            <w:r>
              <w:rPr>
                <w:rFonts w:hint="eastAsia" w:ascii="Times New Roman" w:hAnsi="Times New Roman" w:cs="Times New Roman"/>
                <w:sz w:val="21"/>
                <w:szCs w:val="21"/>
              </w:rPr>
              <w:t>在建工程替代削减量</w:t>
            </w:r>
          </w:p>
        </w:tc>
        <w:tc>
          <w:tcPr>
            <w:tcW w:w="570" w:type="pct"/>
            <w:shd w:val="clear" w:color="auto" w:fill="D9D9D9"/>
            <w:noWrap w:val="0"/>
            <w:vAlign w:val="center"/>
          </w:tcPr>
          <w:p w14:paraId="0FA951DE">
            <w:pPr>
              <w:widowControl w:val="0"/>
              <w:snapToGrid w:val="0"/>
              <w:jc w:val="center"/>
              <w:rPr>
                <w:rFonts w:ascii="Times New Roman" w:hAnsi="Times New Roman" w:cs="Times New Roman"/>
                <w:sz w:val="21"/>
                <w:szCs w:val="21"/>
              </w:rPr>
            </w:pPr>
            <w:r>
              <w:rPr>
                <w:rFonts w:hint="eastAsia" w:ascii="Times New Roman" w:hAnsi="Times New Roman" w:cs="Times New Roman"/>
                <w:sz w:val="21"/>
                <w:szCs w:val="21"/>
              </w:rPr>
              <w:t>本项目</w:t>
            </w:r>
            <w:r>
              <w:rPr>
                <w:rFonts w:ascii="Times New Roman" w:hAnsi="Times New Roman" w:cs="Times New Roman"/>
                <w:sz w:val="21"/>
                <w:szCs w:val="21"/>
              </w:rPr>
              <w:t>排放量</w:t>
            </w:r>
          </w:p>
        </w:tc>
        <w:tc>
          <w:tcPr>
            <w:tcW w:w="623" w:type="pct"/>
            <w:shd w:val="clear" w:color="auto" w:fill="D9D9D9"/>
            <w:noWrap w:val="0"/>
            <w:vAlign w:val="center"/>
          </w:tcPr>
          <w:p w14:paraId="62D7545D">
            <w:pPr>
              <w:widowControl w:val="0"/>
              <w:snapToGrid w:val="0"/>
              <w:jc w:val="center"/>
              <w:rPr>
                <w:rFonts w:ascii="Times New Roman" w:hAnsi="Times New Roman" w:cs="Times New Roman"/>
                <w:sz w:val="21"/>
                <w:szCs w:val="21"/>
              </w:rPr>
            </w:pPr>
            <w:r>
              <w:rPr>
                <w:rFonts w:ascii="Times New Roman" w:hAnsi="Times New Roman" w:cs="Times New Roman"/>
                <w:sz w:val="21"/>
                <w:szCs w:val="21"/>
              </w:rPr>
              <w:t>以新带老削减量</w:t>
            </w:r>
          </w:p>
        </w:tc>
        <w:tc>
          <w:tcPr>
            <w:tcW w:w="570" w:type="pct"/>
            <w:shd w:val="clear" w:color="auto" w:fill="D9D9D9"/>
            <w:noWrap w:val="0"/>
            <w:vAlign w:val="center"/>
          </w:tcPr>
          <w:p w14:paraId="2E5B079F">
            <w:pPr>
              <w:widowControl w:val="0"/>
              <w:snapToGrid w:val="0"/>
              <w:jc w:val="center"/>
              <w:rPr>
                <w:rFonts w:ascii="Times New Roman" w:hAnsi="Times New Roman" w:cs="Times New Roman"/>
                <w:sz w:val="21"/>
                <w:szCs w:val="21"/>
              </w:rPr>
            </w:pPr>
            <w:r>
              <w:rPr>
                <w:rFonts w:hint="eastAsia" w:ascii="Times New Roman" w:hAnsi="Times New Roman" w:cs="Times New Roman"/>
                <w:sz w:val="21"/>
                <w:szCs w:val="21"/>
              </w:rPr>
              <w:t>全厂</w:t>
            </w:r>
            <w:r>
              <w:rPr>
                <w:rFonts w:ascii="Times New Roman" w:hAnsi="Times New Roman" w:cs="Times New Roman"/>
                <w:sz w:val="21"/>
                <w:szCs w:val="21"/>
              </w:rPr>
              <w:t>排放总量</w:t>
            </w:r>
          </w:p>
        </w:tc>
        <w:tc>
          <w:tcPr>
            <w:tcW w:w="519" w:type="pct"/>
            <w:shd w:val="clear" w:color="auto" w:fill="D9D9D9"/>
            <w:noWrap w:val="0"/>
            <w:vAlign w:val="center"/>
          </w:tcPr>
          <w:p w14:paraId="0EFAF358">
            <w:pPr>
              <w:widowControl w:val="0"/>
              <w:snapToGrid w:val="0"/>
              <w:jc w:val="center"/>
              <w:rPr>
                <w:rFonts w:ascii="Times New Roman" w:hAnsi="Times New Roman" w:cs="Times New Roman"/>
                <w:sz w:val="21"/>
                <w:szCs w:val="21"/>
              </w:rPr>
            </w:pPr>
            <w:r>
              <w:rPr>
                <w:rFonts w:hint="eastAsia" w:ascii="Times New Roman" w:hAnsi="Times New Roman" w:cs="Times New Roman"/>
                <w:sz w:val="21"/>
                <w:szCs w:val="21"/>
              </w:rPr>
              <w:t>增减</w:t>
            </w:r>
            <w:r>
              <w:rPr>
                <w:rFonts w:ascii="Times New Roman" w:hAnsi="Times New Roman" w:cs="Times New Roman"/>
                <w:sz w:val="21"/>
                <w:szCs w:val="21"/>
              </w:rPr>
              <w:t>量</w:t>
            </w:r>
          </w:p>
        </w:tc>
        <w:tc>
          <w:tcPr>
            <w:tcW w:w="495" w:type="pct"/>
            <w:shd w:val="clear" w:color="auto" w:fill="D9D9D9"/>
            <w:noWrap w:val="0"/>
            <w:vAlign w:val="center"/>
          </w:tcPr>
          <w:p w14:paraId="7E4E6CD7">
            <w:pPr>
              <w:widowControl w:val="0"/>
              <w:snapToGrid w:val="0"/>
              <w:jc w:val="center"/>
              <w:rPr>
                <w:rFonts w:hint="eastAsia" w:ascii="Times New Roman" w:hAnsi="Times New Roman" w:cs="Times New Roman"/>
                <w:sz w:val="21"/>
                <w:szCs w:val="21"/>
              </w:rPr>
            </w:pPr>
            <w:r>
              <w:rPr>
                <w:rFonts w:hint="eastAsia" w:ascii="Times New Roman" w:hAnsi="Times New Roman" w:cs="Times New Roman"/>
                <w:sz w:val="21"/>
                <w:szCs w:val="21"/>
              </w:rPr>
              <w:t>排污许可量</w:t>
            </w:r>
          </w:p>
        </w:tc>
      </w:tr>
      <w:tr w14:paraId="361BF124">
        <w:tblPrEx>
          <w:tblBorders>
            <w:top w:val="thinThickSmallGap" w:color="auto" w:sz="12" w:space="0"/>
            <w:left w:val="none" w:color="auto" w:sz="0" w:space="0"/>
            <w:bottom w:val="thickThinSmallGap"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97" w:hRule="atLeast"/>
        </w:trPr>
        <w:tc>
          <w:tcPr>
            <w:tcW w:w="184" w:type="pct"/>
            <w:vMerge w:val="restart"/>
            <w:noWrap w:val="0"/>
            <w:vAlign w:val="center"/>
          </w:tcPr>
          <w:p w14:paraId="2FA5887B">
            <w:pPr>
              <w:widowControl w:val="0"/>
              <w:snapToGrid w:val="0"/>
              <w:jc w:val="center"/>
              <w:rPr>
                <w:rFonts w:ascii="Times New Roman" w:hAnsi="Times New Roman" w:cs="Times New Roman"/>
                <w:sz w:val="21"/>
                <w:szCs w:val="21"/>
              </w:rPr>
            </w:pPr>
            <w:bookmarkStart w:id="328" w:name="_Hlk503875341"/>
            <w:bookmarkStart w:id="329" w:name="_Hlk417562798"/>
            <w:r>
              <w:rPr>
                <w:rFonts w:ascii="Times New Roman" w:hAnsi="Times New Roman" w:cs="Times New Roman"/>
                <w:sz w:val="21"/>
                <w:szCs w:val="21"/>
              </w:rPr>
              <w:t>废气</w:t>
            </w:r>
          </w:p>
        </w:tc>
        <w:tc>
          <w:tcPr>
            <w:tcW w:w="284" w:type="pct"/>
            <w:vMerge w:val="restart"/>
            <w:noWrap w:val="0"/>
            <w:vAlign w:val="center"/>
          </w:tcPr>
          <w:p w14:paraId="54324FC3">
            <w:pPr>
              <w:widowControl w:val="0"/>
              <w:snapToGrid w:val="0"/>
              <w:jc w:val="center"/>
              <w:rPr>
                <w:rFonts w:ascii="Times New Roman" w:hAnsi="Times New Roman" w:cs="Times New Roman"/>
                <w:sz w:val="21"/>
                <w:szCs w:val="21"/>
              </w:rPr>
            </w:pPr>
            <w:r>
              <w:rPr>
                <w:rFonts w:ascii="Times New Roman" w:hAnsi="Times New Roman" w:cs="Times New Roman"/>
                <w:sz w:val="21"/>
                <w:szCs w:val="21"/>
              </w:rPr>
              <w:t>有组织</w:t>
            </w:r>
          </w:p>
        </w:tc>
        <w:tc>
          <w:tcPr>
            <w:tcW w:w="596" w:type="pct"/>
            <w:noWrap w:val="0"/>
            <w:vAlign w:val="center"/>
          </w:tcPr>
          <w:p w14:paraId="6598C643">
            <w:pPr>
              <w:widowControl w:val="0"/>
              <w:jc w:val="center"/>
              <w:rPr>
                <w:rFonts w:ascii="Times New Roman" w:hAnsi="Times New Roman" w:cs="Times New Roman"/>
                <w:sz w:val="21"/>
                <w:szCs w:val="21"/>
              </w:rPr>
            </w:pPr>
            <w:r>
              <w:rPr>
                <w:rFonts w:ascii="Times New Roman" w:hAnsi="Times New Roman" w:cs="Times New Roman"/>
                <w:sz w:val="21"/>
                <w:szCs w:val="21"/>
              </w:rPr>
              <w:t>颗粒物</w:t>
            </w:r>
          </w:p>
        </w:tc>
        <w:tc>
          <w:tcPr>
            <w:tcW w:w="659" w:type="pct"/>
            <w:noWrap w:val="0"/>
            <w:vAlign w:val="center"/>
          </w:tcPr>
          <w:p w14:paraId="5850EF17">
            <w:pPr>
              <w:jc w:val="center"/>
              <w:rPr>
                <w:rFonts w:ascii="Times New Roman" w:hAnsi="Times New Roman" w:cs="Times New Roman"/>
                <w:bCs/>
                <w:sz w:val="21"/>
                <w:szCs w:val="18"/>
              </w:rPr>
            </w:pPr>
            <w:r>
              <w:rPr>
                <w:rFonts w:hint="eastAsia" w:ascii="Times New Roman" w:hAnsi="Times New Roman" w:eastAsia="宋体" w:cs="Times New Roman"/>
                <w:b/>
                <w:sz w:val="21"/>
                <w:szCs w:val="21"/>
                <w:lang w:val="en-US" w:eastAsia="zh-CN"/>
              </w:rPr>
              <w:t>42.6096</w:t>
            </w:r>
          </w:p>
        </w:tc>
        <w:tc>
          <w:tcPr>
            <w:tcW w:w="495" w:type="pct"/>
            <w:noWrap w:val="0"/>
            <w:vAlign w:val="center"/>
          </w:tcPr>
          <w:p w14:paraId="6AECADA5">
            <w:pPr>
              <w:widowControl w:val="0"/>
              <w:snapToGrid w:val="0"/>
              <w:jc w:val="center"/>
              <w:rPr>
                <w:rFonts w:hint="eastAsia" w:ascii="Times New Roman" w:hAnsi="Times New Roman" w:cs="Times New Roman"/>
                <w:sz w:val="21"/>
                <w:szCs w:val="18"/>
              </w:rPr>
            </w:pPr>
            <w:r>
              <w:rPr>
                <w:rFonts w:hint="eastAsia" w:ascii="Times New Roman" w:hAnsi="Times New Roman" w:cs="Times New Roman"/>
                <w:sz w:val="21"/>
                <w:szCs w:val="21"/>
              </w:rPr>
              <w:t>0</w:t>
            </w:r>
          </w:p>
        </w:tc>
        <w:tc>
          <w:tcPr>
            <w:tcW w:w="570" w:type="pct"/>
            <w:noWrap w:val="0"/>
            <w:vAlign w:val="center"/>
          </w:tcPr>
          <w:p w14:paraId="127DA46B">
            <w:pPr>
              <w:keepNext w:val="0"/>
              <w:keepLines w:val="0"/>
              <w:widowControl/>
              <w:suppressLineNumbers w:val="0"/>
              <w:jc w:val="center"/>
              <w:textAlignment w:val="center"/>
              <w:rPr>
                <w:rFonts w:ascii="Times New Roman" w:hAnsi="Times New Roman" w:cs="Times New Roman"/>
                <w:sz w:val="21"/>
                <w:szCs w:val="21"/>
              </w:rPr>
            </w:pPr>
            <w:r>
              <w:rPr>
                <w:rFonts w:hint="eastAsia" w:ascii="宋体" w:hAnsi="宋体" w:eastAsia="宋体" w:cs="宋体"/>
                <w:i w:val="0"/>
                <w:iCs w:val="0"/>
                <w:color w:val="000000"/>
                <w:kern w:val="0"/>
                <w:sz w:val="22"/>
                <w:szCs w:val="22"/>
                <w:u w:val="none"/>
                <w:lang w:val="en-US" w:eastAsia="zh-CN" w:bidi="ar"/>
              </w:rPr>
              <w:t>66.0528</w:t>
            </w:r>
          </w:p>
        </w:tc>
        <w:tc>
          <w:tcPr>
            <w:tcW w:w="623" w:type="pct"/>
            <w:noWrap w:val="0"/>
            <w:vAlign w:val="center"/>
          </w:tcPr>
          <w:p w14:paraId="32466C87">
            <w:pPr>
              <w:pStyle w:val="506"/>
              <w:spacing w:line="240" w:lineRule="auto"/>
              <w:jc w:val="center"/>
              <w:rPr>
                <w:rFonts w:hint="eastAsia" w:ascii="Times New Roman" w:hAnsi="Times New Roman" w:eastAsia="宋体" w:cs="Times New Roman"/>
                <w:szCs w:val="18"/>
                <w:lang w:val="en-US" w:eastAsia="zh-CN"/>
              </w:rPr>
            </w:pPr>
            <w:r>
              <w:rPr>
                <w:rFonts w:hint="eastAsia" w:ascii="Times New Roman" w:hAnsi="Times New Roman" w:eastAsia="宋体" w:cs="Times New Roman"/>
                <w:szCs w:val="18"/>
                <w:lang w:val="en-US" w:eastAsia="zh-CN"/>
              </w:rPr>
              <w:t>26.4528</w:t>
            </w:r>
          </w:p>
        </w:tc>
        <w:tc>
          <w:tcPr>
            <w:tcW w:w="570" w:type="pct"/>
            <w:shd w:val="clear" w:color="auto" w:fill="auto"/>
            <w:noWrap w:val="0"/>
            <w:vAlign w:val="center"/>
          </w:tcPr>
          <w:p w14:paraId="6A253F98">
            <w:pPr>
              <w:keepNext w:val="0"/>
              <w:keepLines w:val="0"/>
              <w:widowControl/>
              <w:suppressLineNumbers w:val="0"/>
              <w:jc w:val="center"/>
              <w:textAlignment w:val="center"/>
              <w:rPr>
                <w:rFonts w:hint="eastAsia" w:ascii="宋体" w:hAnsi="宋体" w:eastAsia="宋体" w:cs="宋体"/>
                <w:i w:val="0"/>
                <w:iCs w:val="0"/>
                <w:color w:val="000000"/>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82.2096</w:t>
            </w:r>
          </w:p>
        </w:tc>
        <w:tc>
          <w:tcPr>
            <w:tcW w:w="519" w:type="pct"/>
            <w:noWrap w:val="0"/>
            <w:vAlign w:val="center"/>
          </w:tcPr>
          <w:p w14:paraId="6B8202B0">
            <w:pPr>
              <w:keepNext w:val="0"/>
              <w:keepLines w:val="0"/>
              <w:widowControl/>
              <w:suppressLineNumbers w:val="0"/>
              <w:jc w:val="center"/>
              <w:textAlignment w:val="center"/>
              <w:rPr>
                <w:rFonts w:ascii="Times New Roman" w:hAnsi="Times New Roman" w:cs="Times New Roman"/>
                <w:sz w:val="21"/>
                <w:szCs w:val="21"/>
              </w:rPr>
            </w:pPr>
            <w:r>
              <w:rPr>
                <w:rFonts w:hint="eastAsia" w:ascii="宋体" w:hAnsi="宋体" w:eastAsia="宋体" w:cs="宋体"/>
                <w:i w:val="0"/>
                <w:iCs w:val="0"/>
                <w:color w:val="000000"/>
                <w:kern w:val="0"/>
                <w:sz w:val="22"/>
                <w:szCs w:val="22"/>
                <w:u w:val="none"/>
                <w:lang w:val="en-US" w:eastAsia="zh-CN" w:bidi="ar"/>
              </w:rPr>
              <w:t>39.6</w:t>
            </w:r>
          </w:p>
        </w:tc>
        <w:tc>
          <w:tcPr>
            <w:tcW w:w="495" w:type="pct"/>
            <w:noWrap w:val="0"/>
            <w:vAlign w:val="center"/>
          </w:tcPr>
          <w:p w14:paraId="2A327FE0">
            <w:pPr>
              <w:jc w:val="center"/>
              <w:rPr>
                <w:rFonts w:ascii="Times New Roman" w:hAnsi="Times New Roman" w:cs="Times New Roman"/>
                <w:sz w:val="21"/>
                <w:szCs w:val="21"/>
              </w:rPr>
            </w:pPr>
            <w:r>
              <w:rPr>
                <w:rFonts w:hint="eastAsia" w:ascii="Times New Roman" w:hAnsi="Times New Roman" w:eastAsia="宋体" w:cs="Times New Roman"/>
                <w:sz w:val="21"/>
                <w:szCs w:val="21"/>
              </w:rPr>
              <w:t>159.54</w:t>
            </w:r>
          </w:p>
        </w:tc>
      </w:tr>
      <w:bookmarkEnd w:id="328"/>
      <w:bookmarkEnd w:id="329"/>
      <w:tr w14:paraId="7A8F922C">
        <w:tblPrEx>
          <w:tblBorders>
            <w:top w:val="thinThickSmallGap" w:color="auto" w:sz="12" w:space="0"/>
            <w:left w:val="none" w:color="auto" w:sz="0" w:space="0"/>
            <w:bottom w:val="thickThinSmallGap"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90" w:hRule="atLeast"/>
        </w:trPr>
        <w:tc>
          <w:tcPr>
            <w:tcW w:w="184" w:type="pct"/>
            <w:vMerge w:val="continue"/>
            <w:noWrap w:val="0"/>
            <w:vAlign w:val="center"/>
          </w:tcPr>
          <w:p w14:paraId="1FAFAEC7">
            <w:pPr>
              <w:jc w:val="center"/>
              <w:rPr>
                <w:rFonts w:ascii="Times New Roman" w:hAnsi="Times New Roman" w:cs="Times New Roman"/>
                <w:sz w:val="21"/>
                <w:szCs w:val="21"/>
              </w:rPr>
            </w:pPr>
          </w:p>
        </w:tc>
        <w:tc>
          <w:tcPr>
            <w:tcW w:w="284" w:type="pct"/>
            <w:vMerge w:val="continue"/>
            <w:noWrap w:val="0"/>
            <w:vAlign w:val="center"/>
          </w:tcPr>
          <w:p w14:paraId="5963113A">
            <w:pPr>
              <w:jc w:val="center"/>
              <w:rPr>
                <w:rFonts w:ascii="Times New Roman" w:hAnsi="Times New Roman" w:cs="Times New Roman"/>
                <w:sz w:val="21"/>
                <w:szCs w:val="21"/>
              </w:rPr>
            </w:pPr>
          </w:p>
        </w:tc>
        <w:tc>
          <w:tcPr>
            <w:tcW w:w="596" w:type="pct"/>
            <w:noWrap w:val="0"/>
            <w:vAlign w:val="center"/>
          </w:tcPr>
          <w:p w14:paraId="28B46B80">
            <w:pPr>
              <w:widowControl w:val="0"/>
              <w:jc w:val="center"/>
              <w:rPr>
                <w:rFonts w:ascii="Times New Roman" w:hAnsi="Times New Roman" w:cs="Times New Roman"/>
                <w:sz w:val="21"/>
                <w:szCs w:val="21"/>
              </w:rPr>
            </w:pPr>
            <w:r>
              <w:rPr>
                <w:rFonts w:ascii="Times New Roman" w:hAnsi="Times New Roman" w:cs="Times New Roman"/>
                <w:sz w:val="21"/>
                <w:szCs w:val="21"/>
              </w:rPr>
              <w:t>SO</w:t>
            </w:r>
            <w:r>
              <w:rPr>
                <w:rFonts w:ascii="Times New Roman" w:hAnsi="Times New Roman" w:cs="Times New Roman"/>
                <w:sz w:val="21"/>
                <w:szCs w:val="21"/>
                <w:vertAlign w:val="subscript"/>
              </w:rPr>
              <w:t>2</w:t>
            </w:r>
          </w:p>
        </w:tc>
        <w:tc>
          <w:tcPr>
            <w:tcW w:w="659" w:type="pct"/>
            <w:noWrap w:val="0"/>
            <w:vAlign w:val="center"/>
          </w:tcPr>
          <w:p w14:paraId="0A66F444">
            <w:pPr>
              <w:jc w:val="center"/>
              <w:rPr>
                <w:rFonts w:hint="eastAsia"/>
                <w:szCs w:val="18"/>
                <w:lang w:val="en-US" w:eastAsia="zh-CN"/>
              </w:rPr>
            </w:pPr>
            <w:r>
              <w:rPr>
                <w:rFonts w:hint="eastAsia" w:ascii="Times New Roman" w:hAnsi="Times New Roman" w:eastAsia="宋体" w:cs="Times New Roman"/>
                <w:b/>
                <w:sz w:val="21"/>
                <w:szCs w:val="21"/>
                <w:lang w:val="en-US" w:eastAsia="zh-CN"/>
              </w:rPr>
              <w:t>31.3632</w:t>
            </w:r>
          </w:p>
        </w:tc>
        <w:tc>
          <w:tcPr>
            <w:tcW w:w="495" w:type="pct"/>
            <w:noWrap w:val="0"/>
            <w:vAlign w:val="center"/>
          </w:tcPr>
          <w:p w14:paraId="3633DBC4">
            <w:pPr>
              <w:widowControl w:val="0"/>
              <w:jc w:val="center"/>
              <w:rPr>
                <w:rFonts w:hint="eastAsia"/>
                <w:szCs w:val="18"/>
                <w:lang w:eastAsia="zh-CN"/>
              </w:rPr>
            </w:pPr>
            <w:r>
              <w:rPr>
                <w:rFonts w:hint="eastAsia" w:ascii="Times New Roman" w:hAnsi="Times New Roman" w:cs="Times New Roman"/>
                <w:sz w:val="21"/>
                <w:szCs w:val="21"/>
              </w:rPr>
              <w:t>0</w:t>
            </w:r>
          </w:p>
        </w:tc>
        <w:tc>
          <w:tcPr>
            <w:tcW w:w="570" w:type="pct"/>
            <w:noWrap w:val="0"/>
            <w:vAlign w:val="center"/>
          </w:tcPr>
          <w:p w14:paraId="5526AC52">
            <w:pPr>
              <w:keepNext w:val="0"/>
              <w:keepLines w:val="0"/>
              <w:widowControl/>
              <w:suppressLineNumbers w:val="0"/>
              <w:jc w:val="center"/>
              <w:textAlignment w:val="center"/>
              <w:rPr>
                <w:rFonts w:ascii="Times New Roman" w:hAnsi="Times New Roman" w:cs="Times New Roman"/>
                <w:sz w:val="21"/>
                <w:szCs w:val="21"/>
              </w:rPr>
            </w:pPr>
            <w:r>
              <w:rPr>
                <w:rFonts w:hint="eastAsia" w:ascii="宋体" w:hAnsi="宋体" w:eastAsia="宋体" w:cs="宋体"/>
                <w:i w:val="0"/>
                <w:iCs w:val="0"/>
                <w:color w:val="000000"/>
                <w:kern w:val="0"/>
                <w:sz w:val="22"/>
                <w:szCs w:val="22"/>
                <w:u w:val="none"/>
                <w:lang w:val="en-US" w:eastAsia="zh-CN" w:bidi="ar"/>
              </w:rPr>
              <w:t>64.6272</w:t>
            </w:r>
          </w:p>
        </w:tc>
        <w:tc>
          <w:tcPr>
            <w:tcW w:w="623" w:type="pct"/>
            <w:noWrap w:val="0"/>
            <w:vAlign w:val="center"/>
          </w:tcPr>
          <w:p w14:paraId="7F638D28">
            <w:pPr>
              <w:pStyle w:val="506"/>
              <w:spacing w:line="240" w:lineRule="auto"/>
              <w:jc w:val="center"/>
              <w:rPr>
                <w:rFonts w:hint="eastAsia" w:ascii="Times New Roman" w:hAnsi="Times New Roman" w:eastAsia="宋体" w:cs="Times New Roman"/>
                <w:szCs w:val="18"/>
                <w:lang w:val="en-US" w:eastAsia="zh-CN"/>
              </w:rPr>
            </w:pPr>
            <w:r>
              <w:rPr>
                <w:rFonts w:hint="eastAsia" w:ascii="Times New Roman" w:hAnsi="Times New Roman" w:eastAsia="宋体" w:cs="Times New Roman"/>
                <w:szCs w:val="18"/>
                <w:lang w:val="en-US" w:eastAsia="zh-CN"/>
              </w:rPr>
              <w:t>16.3944</w:t>
            </w:r>
          </w:p>
        </w:tc>
        <w:tc>
          <w:tcPr>
            <w:tcW w:w="570" w:type="pct"/>
            <w:shd w:val="clear" w:color="auto" w:fill="auto"/>
            <w:noWrap w:val="0"/>
            <w:vAlign w:val="center"/>
          </w:tcPr>
          <w:p w14:paraId="5FB42F79">
            <w:pPr>
              <w:keepNext w:val="0"/>
              <w:keepLines w:val="0"/>
              <w:widowControl/>
              <w:suppressLineNumbers w:val="0"/>
              <w:jc w:val="center"/>
              <w:textAlignment w:val="center"/>
              <w:rPr>
                <w:rFonts w:hint="eastAsia" w:ascii="宋体" w:hAnsi="宋体" w:eastAsia="宋体" w:cs="宋体"/>
                <w:i w:val="0"/>
                <w:iCs w:val="0"/>
                <w:color w:val="000000"/>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79.596</w:t>
            </w:r>
          </w:p>
        </w:tc>
        <w:tc>
          <w:tcPr>
            <w:tcW w:w="519" w:type="pct"/>
            <w:noWrap w:val="0"/>
            <w:vAlign w:val="center"/>
          </w:tcPr>
          <w:p w14:paraId="35FF453A">
            <w:pPr>
              <w:keepNext w:val="0"/>
              <w:keepLines w:val="0"/>
              <w:widowControl/>
              <w:suppressLineNumbers w:val="0"/>
              <w:jc w:val="center"/>
              <w:textAlignment w:val="center"/>
              <w:rPr>
                <w:rFonts w:ascii="Times New Roman" w:hAnsi="Times New Roman" w:cs="Times New Roman"/>
                <w:sz w:val="21"/>
                <w:szCs w:val="21"/>
              </w:rPr>
            </w:pPr>
            <w:r>
              <w:rPr>
                <w:rFonts w:hint="eastAsia" w:ascii="宋体" w:hAnsi="宋体" w:eastAsia="宋体" w:cs="宋体"/>
                <w:i w:val="0"/>
                <w:iCs w:val="0"/>
                <w:color w:val="000000"/>
                <w:kern w:val="0"/>
                <w:sz w:val="22"/>
                <w:szCs w:val="22"/>
                <w:u w:val="none"/>
                <w:lang w:val="en-US" w:eastAsia="zh-CN" w:bidi="ar"/>
              </w:rPr>
              <w:t>48.2328</w:t>
            </w:r>
          </w:p>
        </w:tc>
        <w:tc>
          <w:tcPr>
            <w:tcW w:w="495" w:type="pct"/>
            <w:noWrap w:val="0"/>
            <w:vAlign w:val="center"/>
          </w:tcPr>
          <w:p w14:paraId="2AE3B1C6">
            <w:pPr>
              <w:jc w:val="center"/>
              <w:rPr>
                <w:rFonts w:ascii="Times New Roman" w:hAnsi="Times New Roman" w:cs="Times New Roman"/>
                <w:sz w:val="21"/>
                <w:szCs w:val="21"/>
              </w:rPr>
            </w:pPr>
            <w:r>
              <w:rPr>
                <w:rFonts w:hint="eastAsia" w:ascii="Times New Roman" w:hAnsi="Times New Roman" w:eastAsia="宋体" w:cs="Times New Roman"/>
                <w:sz w:val="21"/>
                <w:szCs w:val="21"/>
              </w:rPr>
              <w:t>111.298</w:t>
            </w:r>
          </w:p>
        </w:tc>
      </w:tr>
      <w:tr w14:paraId="1C0A13CF">
        <w:tblPrEx>
          <w:tblBorders>
            <w:top w:val="thinThickSmallGap" w:color="auto" w:sz="12" w:space="0"/>
            <w:left w:val="none" w:color="auto" w:sz="0" w:space="0"/>
            <w:bottom w:val="thickThinSmallGap"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97" w:hRule="atLeast"/>
        </w:trPr>
        <w:tc>
          <w:tcPr>
            <w:tcW w:w="184" w:type="pct"/>
            <w:vMerge w:val="continue"/>
            <w:noWrap w:val="0"/>
            <w:vAlign w:val="center"/>
          </w:tcPr>
          <w:p w14:paraId="3FADD6AD">
            <w:pPr>
              <w:jc w:val="center"/>
              <w:rPr>
                <w:rFonts w:ascii="Times New Roman" w:hAnsi="Times New Roman" w:cs="Times New Roman"/>
                <w:sz w:val="21"/>
                <w:szCs w:val="21"/>
              </w:rPr>
            </w:pPr>
          </w:p>
        </w:tc>
        <w:tc>
          <w:tcPr>
            <w:tcW w:w="284" w:type="pct"/>
            <w:vMerge w:val="continue"/>
            <w:noWrap w:val="0"/>
            <w:vAlign w:val="center"/>
          </w:tcPr>
          <w:p w14:paraId="245D5609">
            <w:pPr>
              <w:jc w:val="center"/>
              <w:rPr>
                <w:rFonts w:ascii="Times New Roman" w:hAnsi="Times New Roman" w:cs="Times New Roman"/>
                <w:sz w:val="21"/>
                <w:szCs w:val="21"/>
              </w:rPr>
            </w:pPr>
          </w:p>
        </w:tc>
        <w:tc>
          <w:tcPr>
            <w:tcW w:w="596" w:type="pct"/>
            <w:noWrap w:val="0"/>
            <w:vAlign w:val="center"/>
          </w:tcPr>
          <w:p w14:paraId="1376BCDB">
            <w:pPr>
              <w:widowControl w:val="0"/>
              <w:jc w:val="center"/>
              <w:rPr>
                <w:rFonts w:hint="eastAsia" w:ascii="Times New Roman" w:hAnsi="Times New Roman" w:eastAsia="宋体" w:cs="Times New Roman"/>
                <w:sz w:val="21"/>
                <w:szCs w:val="21"/>
                <w:vertAlign w:val="subscript"/>
                <w:lang w:val="en-US" w:eastAsia="zh-CN"/>
              </w:rPr>
            </w:pPr>
            <w:r>
              <w:rPr>
                <w:rFonts w:ascii="Times New Roman" w:hAnsi="Times New Roman" w:cs="Times New Roman"/>
                <w:sz w:val="21"/>
                <w:szCs w:val="21"/>
              </w:rPr>
              <w:t>NO</w:t>
            </w:r>
            <w:r>
              <w:rPr>
                <w:rFonts w:hint="eastAsia" w:ascii="Times New Roman" w:hAnsi="Times New Roman" w:cs="Times New Roman"/>
                <w:sz w:val="21"/>
                <w:szCs w:val="21"/>
                <w:vertAlign w:val="subscript"/>
                <w:lang w:val="en-US" w:eastAsia="zh-CN"/>
              </w:rPr>
              <w:t>X</w:t>
            </w:r>
          </w:p>
        </w:tc>
        <w:tc>
          <w:tcPr>
            <w:tcW w:w="659" w:type="pct"/>
            <w:noWrap w:val="0"/>
            <w:vAlign w:val="center"/>
          </w:tcPr>
          <w:p w14:paraId="32FCDC98">
            <w:pPr>
              <w:jc w:val="center"/>
              <w:rPr>
                <w:szCs w:val="18"/>
                <w:lang w:val="en-US"/>
              </w:rPr>
            </w:pPr>
            <w:r>
              <w:rPr>
                <w:rFonts w:hint="eastAsia" w:ascii="Times New Roman" w:hAnsi="Times New Roman" w:eastAsia="宋体" w:cs="Times New Roman"/>
                <w:b/>
                <w:sz w:val="21"/>
                <w:szCs w:val="21"/>
                <w:lang w:val="en-US" w:eastAsia="zh-CN"/>
              </w:rPr>
              <w:t>73.1016</w:t>
            </w:r>
          </w:p>
        </w:tc>
        <w:tc>
          <w:tcPr>
            <w:tcW w:w="495" w:type="pct"/>
            <w:noWrap w:val="0"/>
            <w:vAlign w:val="center"/>
          </w:tcPr>
          <w:p w14:paraId="12B4BF57">
            <w:pPr>
              <w:widowControl w:val="0"/>
              <w:jc w:val="center"/>
              <w:rPr>
                <w:rFonts w:hint="eastAsia"/>
                <w:szCs w:val="18"/>
                <w:lang w:eastAsia="zh-CN"/>
              </w:rPr>
            </w:pPr>
            <w:r>
              <w:rPr>
                <w:rFonts w:hint="eastAsia" w:ascii="Times New Roman" w:hAnsi="Times New Roman" w:cs="Times New Roman"/>
                <w:sz w:val="21"/>
                <w:szCs w:val="21"/>
              </w:rPr>
              <w:t>0</w:t>
            </w:r>
          </w:p>
        </w:tc>
        <w:tc>
          <w:tcPr>
            <w:tcW w:w="570" w:type="pct"/>
            <w:noWrap w:val="0"/>
            <w:vAlign w:val="center"/>
          </w:tcPr>
          <w:p w14:paraId="1A39567F">
            <w:pPr>
              <w:keepNext w:val="0"/>
              <w:keepLines w:val="0"/>
              <w:widowControl/>
              <w:suppressLineNumbers w:val="0"/>
              <w:jc w:val="center"/>
              <w:textAlignment w:val="center"/>
              <w:rPr>
                <w:rFonts w:hint="eastAsia" w:ascii="Times New Roman" w:hAnsi="Times New Roman" w:cs="Times New Roman"/>
                <w:sz w:val="21"/>
                <w:szCs w:val="21"/>
              </w:rPr>
            </w:pPr>
            <w:r>
              <w:rPr>
                <w:rFonts w:hint="eastAsia" w:ascii="宋体" w:hAnsi="宋体" w:eastAsia="宋体" w:cs="宋体"/>
                <w:i w:val="0"/>
                <w:iCs w:val="0"/>
                <w:color w:val="000000"/>
                <w:kern w:val="0"/>
                <w:sz w:val="22"/>
                <w:szCs w:val="22"/>
                <w:u w:val="none"/>
                <w:lang w:val="en-US" w:eastAsia="zh-CN" w:bidi="ar"/>
              </w:rPr>
              <w:t>126.8784</w:t>
            </w:r>
          </w:p>
        </w:tc>
        <w:tc>
          <w:tcPr>
            <w:tcW w:w="623" w:type="pct"/>
            <w:noWrap w:val="0"/>
            <w:vAlign w:val="center"/>
          </w:tcPr>
          <w:p w14:paraId="65051924">
            <w:pPr>
              <w:pStyle w:val="506"/>
              <w:spacing w:line="240" w:lineRule="auto"/>
              <w:jc w:val="center"/>
              <w:rPr>
                <w:rFonts w:hint="eastAsia" w:ascii="Times New Roman" w:hAnsi="Times New Roman" w:eastAsia="宋体" w:cs="Times New Roman"/>
                <w:szCs w:val="18"/>
                <w:lang w:val="en-US" w:eastAsia="zh-CN"/>
              </w:rPr>
            </w:pPr>
            <w:r>
              <w:rPr>
                <w:rFonts w:hint="eastAsia" w:ascii="Times New Roman" w:hAnsi="Times New Roman" w:eastAsia="宋体" w:cs="Times New Roman"/>
                <w:szCs w:val="18"/>
                <w:lang w:val="en-US" w:eastAsia="zh-CN"/>
              </w:rPr>
              <w:t>43.2432</w:t>
            </w:r>
          </w:p>
        </w:tc>
        <w:tc>
          <w:tcPr>
            <w:tcW w:w="570" w:type="pct"/>
            <w:shd w:val="clear" w:color="auto" w:fill="auto"/>
            <w:noWrap w:val="0"/>
            <w:vAlign w:val="center"/>
          </w:tcPr>
          <w:p w14:paraId="2F60882F">
            <w:pPr>
              <w:keepNext w:val="0"/>
              <w:keepLines w:val="0"/>
              <w:widowControl/>
              <w:suppressLineNumbers w:val="0"/>
              <w:jc w:val="center"/>
              <w:textAlignment w:val="center"/>
              <w:rPr>
                <w:rFonts w:hint="eastAsia" w:ascii="宋体" w:hAnsi="宋体" w:eastAsia="宋体" w:cs="宋体"/>
                <w:i w:val="0"/>
                <w:iCs w:val="0"/>
                <w:color w:val="000000"/>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156.7368</w:t>
            </w:r>
          </w:p>
        </w:tc>
        <w:tc>
          <w:tcPr>
            <w:tcW w:w="519" w:type="pct"/>
            <w:noWrap w:val="0"/>
            <w:vAlign w:val="center"/>
          </w:tcPr>
          <w:p w14:paraId="62D92377">
            <w:pPr>
              <w:keepNext w:val="0"/>
              <w:keepLines w:val="0"/>
              <w:widowControl/>
              <w:suppressLineNumbers w:val="0"/>
              <w:jc w:val="center"/>
              <w:textAlignment w:val="center"/>
              <w:rPr>
                <w:rFonts w:ascii="Times New Roman" w:hAnsi="Times New Roman" w:cs="Times New Roman"/>
                <w:sz w:val="21"/>
                <w:szCs w:val="21"/>
              </w:rPr>
            </w:pPr>
            <w:r>
              <w:rPr>
                <w:rFonts w:hint="eastAsia" w:ascii="宋体" w:hAnsi="宋体" w:eastAsia="宋体" w:cs="宋体"/>
                <w:i w:val="0"/>
                <w:iCs w:val="0"/>
                <w:color w:val="000000"/>
                <w:kern w:val="0"/>
                <w:sz w:val="22"/>
                <w:szCs w:val="22"/>
                <w:u w:val="none"/>
                <w:lang w:val="en-US" w:eastAsia="zh-CN" w:bidi="ar"/>
              </w:rPr>
              <w:t>83.6352</w:t>
            </w:r>
          </w:p>
        </w:tc>
        <w:tc>
          <w:tcPr>
            <w:tcW w:w="495" w:type="pct"/>
            <w:noWrap w:val="0"/>
            <w:vAlign w:val="center"/>
          </w:tcPr>
          <w:p w14:paraId="51365F00">
            <w:pPr>
              <w:jc w:val="center"/>
              <w:rPr>
                <w:rFonts w:ascii="Times New Roman" w:hAnsi="Times New Roman" w:cs="Times New Roman"/>
                <w:sz w:val="21"/>
                <w:szCs w:val="21"/>
              </w:rPr>
            </w:pPr>
            <w:r>
              <w:rPr>
                <w:rFonts w:hint="eastAsia" w:ascii="Times New Roman" w:hAnsi="Times New Roman" w:eastAsia="宋体" w:cs="Times New Roman"/>
                <w:sz w:val="21"/>
                <w:szCs w:val="21"/>
                <w:lang w:val="en-US" w:eastAsia="zh-CN"/>
              </w:rPr>
              <w:t>212.15</w:t>
            </w:r>
          </w:p>
        </w:tc>
      </w:tr>
      <w:tr w14:paraId="1B602B82">
        <w:tblPrEx>
          <w:tblBorders>
            <w:top w:val="thinThickSmallGap" w:color="auto" w:sz="12" w:space="0"/>
            <w:left w:val="none" w:color="auto" w:sz="0" w:space="0"/>
            <w:bottom w:val="thickThinSmallGap"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97" w:hRule="atLeast"/>
        </w:trPr>
        <w:tc>
          <w:tcPr>
            <w:tcW w:w="184" w:type="pct"/>
            <w:vMerge w:val="continue"/>
            <w:noWrap w:val="0"/>
            <w:vAlign w:val="center"/>
          </w:tcPr>
          <w:p w14:paraId="6850797A">
            <w:pPr>
              <w:jc w:val="center"/>
              <w:rPr>
                <w:rFonts w:ascii="Times New Roman" w:hAnsi="Times New Roman" w:cs="Times New Roman"/>
                <w:sz w:val="21"/>
                <w:szCs w:val="21"/>
              </w:rPr>
            </w:pPr>
          </w:p>
        </w:tc>
        <w:tc>
          <w:tcPr>
            <w:tcW w:w="284" w:type="pct"/>
            <w:vMerge w:val="continue"/>
            <w:noWrap w:val="0"/>
            <w:vAlign w:val="center"/>
          </w:tcPr>
          <w:p w14:paraId="02D04DBC">
            <w:pPr>
              <w:jc w:val="center"/>
              <w:rPr>
                <w:rFonts w:ascii="Times New Roman" w:hAnsi="Times New Roman" w:cs="Times New Roman"/>
                <w:sz w:val="21"/>
                <w:szCs w:val="21"/>
              </w:rPr>
            </w:pPr>
          </w:p>
        </w:tc>
        <w:tc>
          <w:tcPr>
            <w:tcW w:w="596" w:type="pct"/>
            <w:noWrap w:val="0"/>
            <w:vAlign w:val="center"/>
          </w:tcPr>
          <w:p w14:paraId="1CC1FF11">
            <w:pPr>
              <w:widowControl w:val="0"/>
              <w:jc w:val="center"/>
              <w:rPr>
                <w:rFonts w:ascii="Times New Roman" w:hAnsi="Times New Roman" w:cs="Times New Roman"/>
                <w:sz w:val="21"/>
                <w:szCs w:val="21"/>
              </w:rPr>
            </w:pPr>
            <w:r>
              <w:rPr>
                <w:rFonts w:ascii="Times New Roman" w:hAnsi="Times New Roman" w:cs="Times New Roman"/>
                <w:sz w:val="21"/>
                <w:szCs w:val="21"/>
              </w:rPr>
              <w:t>氟化物</w:t>
            </w:r>
          </w:p>
        </w:tc>
        <w:tc>
          <w:tcPr>
            <w:tcW w:w="659" w:type="pct"/>
            <w:noWrap w:val="0"/>
            <w:vAlign w:val="center"/>
          </w:tcPr>
          <w:p w14:paraId="0AFD2F26">
            <w:pPr>
              <w:pStyle w:val="506"/>
              <w:spacing w:line="240" w:lineRule="auto"/>
              <w:rPr>
                <w:szCs w:val="18"/>
                <w:lang w:val="en-US"/>
              </w:rPr>
            </w:pPr>
            <w:r>
              <w:rPr>
                <w:rFonts w:hint="eastAsia" w:ascii="宋体" w:hAnsi="宋体" w:eastAsia="宋体" w:cs="宋体"/>
                <w:i w:val="0"/>
                <w:iCs w:val="0"/>
                <w:color w:val="000000"/>
                <w:kern w:val="0"/>
                <w:sz w:val="22"/>
                <w:szCs w:val="22"/>
                <w:u w:val="none"/>
                <w:lang w:val="en-US" w:eastAsia="zh-CN" w:bidi="ar"/>
              </w:rPr>
              <w:t>1.11672</w:t>
            </w:r>
          </w:p>
        </w:tc>
        <w:tc>
          <w:tcPr>
            <w:tcW w:w="495" w:type="pct"/>
            <w:noWrap w:val="0"/>
            <w:vAlign w:val="center"/>
          </w:tcPr>
          <w:p w14:paraId="72C23FD0">
            <w:pPr>
              <w:widowControl w:val="0"/>
              <w:snapToGrid w:val="0"/>
              <w:jc w:val="center"/>
              <w:rPr>
                <w:rFonts w:ascii="Times New Roman" w:hAnsi="Times New Roman" w:cs="Times New Roman"/>
                <w:sz w:val="21"/>
                <w:szCs w:val="21"/>
              </w:rPr>
            </w:pPr>
            <w:r>
              <w:rPr>
                <w:rFonts w:hint="eastAsia" w:ascii="Times New Roman" w:hAnsi="Times New Roman" w:cs="Times New Roman"/>
                <w:sz w:val="21"/>
                <w:szCs w:val="21"/>
              </w:rPr>
              <w:t>0</w:t>
            </w:r>
          </w:p>
        </w:tc>
        <w:tc>
          <w:tcPr>
            <w:tcW w:w="570" w:type="pct"/>
            <w:noWrap w:val="0"/>
            <w:vAlign w:val="center"/>
          </w:tcPr>
          <w:p w14:paraId="5EFB69BE">
            <w:pPr>
              <w:keepNext w:val="0"/>
              <w:keepLines w:val="0"/>
              <w:widowControl/>
              <w:suppressLineNumbers w:val="0"/>
              <w:jc w:val="center"/>
              <w:textAlignment w:val="center"/>
              <w:rPr>
                <w:rFonts w:ascii="Times New Roman" w:hAnsi="Times New Roman" w:cs="Times New Roman"/>
                <w:sz w:val="21"/>
                <w:szCs w:val="21"/>
              </w:rPr>
            </w:pPr>
            <w:r>
              <w:rPr>
                <w:rFonts w:hint="eastAsia" w:ascii="宋体" w:hAnsi="宋体" w:eastAsia="宋体" w:cs="宋体"/>
                <w:i w:val="0"/>
                <w:iCs w:val="0"/>
                <w:color w:val="000000"/>
                <w:kern w:val="0"/>
                <w:sz w:val="22"/>
                <w:szCs w:val="22"/>
                <w:u w:val="none"/>
                <w:lang w:val="en-US" w:eastAsia="zh-CN" w:bidi="ar"/>
              </w:rPr>
              <w:t>1.11672</w:t>
            </w:r>
          </w:p>
        </w:tc>
        <w:tc>
          <w:tcPr>
            <w:tcW w:w="623" w:type="pct"/>
            <w:noWrap w:val="0"/>
            <w:vAlign w:val="center"/>
          </w:tcPr>
          <w:p w14:paraId="2C164335">
            <w:pPr>
              <w:widowControl w:val="0"/>
              <w:jc w:val="center"/>
              <w:rPr>
                <w:rFonts w:ascii="Times New Roman" w:hAnsi="Times New Roman" w:cs="Times New Roman"/>
                <w:sz w:val="21"/>
                <w:szCs w:val="21"/>
              </w:rPr>
            </w:pPr>
            <w:r>
              <w:rPr>
                <w:rFonts w:hint="eastAsia" w:ascii="宋体" w:hAnsi="宋体" w:eastAsia="宋体" w:cs="宋体"/>
                <w:i w:val="0"/>
                <w:iCs w:val="0"/>
                <w:color w:val="000000"/>
                <w:kern w:val="0"/>
                <w:sz w:val="22"/>
                <w:szCs w:val="22"/>
                <w:u w:val="none"/>
                <w:lang w:val="en-US" w:eastAsia="zh-CN" w:bidi="ar"/>
              </w:rPr>
              <w:t>1.11672</w:t>
            </w:r>
          </w:p>
        </w:tc>
        <w:tc>
          <w:tcPr>
            <w:tcW w:w="570" w:type="pct"/>
            <w:noWrap w:val="0"/>
            <w:vAlign w:val="center"/>
          </w:tcPr>
          <w:p w14:paraId="2C8DC355">
            <w:pPr>
              <w:jc w:val="center"/>
              <w:rPr>
                <w:rFonts w:ascii="Times New Roman" w:hAnsi="Times New Roman" w:cs="Times New Roman"/>
                <w:sz w:val="21"/>
                <w:szCs w:val="21"/>
              </w:rPr>
            </w:pPr>
            <w:r>
              <w:rPr>
                <w:rFonts w:hint="eastAsia" w:ascii="宋体" w:hAnsi="宋体" w:eastAsia="宋体" w:cs="宋体"/>
                <w:i w:val="0"/>
                <w:iCs w:val="0"/>
                <w:color w:val="000000"/>
                <w:kern w:val="0"/>
                <w:sz w:val="22"/>
                <w:szCs w:val="22"/>
                <w:u w:val="none"/>
                <w:lang w:val="en-US" w:eastAsia="zh-CN" w:bidi="ar"/>
              </w:rPr>
              <w:t>1.11672</w:t>
            </w:r>
          </w:p>
        </w:tc>
        <w:tc>
          <w:tcPr>
            <w:tcW w:w="519" w:type="pct"/>
            <w:noWrap w:val="0"/>
            <w:vAlign w:val="center"/>
          </w:tcPr>
          <w:p w14:paraId="24AB581C">
            <w:pPr>
              <w:widowControl w:val="0"/>
              <w:jc w:val="center"/>
              <w:rPr>
                <w:rFonts w:ascii="Times New Roman" w:hAnsi="Times New Roman" w:cs="Times New Roman"/>
                <w:sz w:val="21"/>
                <w:szCs w:val="21"/>
              </w:rPr>
            </w:pPr>
            <w:r>
              <w:rPr>
                <w:rFonts w:hint="eastAsia" w:ascii="Times New Roman" w:hAnsi="Times New Roman" w:cs="Times New Roman"/>
                <w:sz w:val="21"/>
                <w:szCs w:val="21"/>
              </w:rPr>
              <w:t>0</w:t>
            </w:r>
          </w:p>
        </w:tc>
        <w:tc>
          <w:tcPr>
            <w:tcW w:w="495" w:type="pct"/>
            <w:noWrap w:val="0"/>
            <w:vAlign w:val="center"/>
          </w:tcPr>
          <w:p w14:paraId="682E2F44">
            <w:pPr>
              <w:jc w:val="center"/>
              <w:rPr>
                <w:rFonts w:ascii="Times New Roman" w:hAnsi="Times New Roman" w:cs="Times New Roman"/>
                <w:sz w:val="21"/>
                <w:szCs w:val="21"/>
              </w:rPr>
            </w:pPr>
            <w:r>
              <w:rPr>
                <w:rFonts w:ascii="Times New Roman" w:hAnsi="Times New Roman" w:cs="Times New Roman"/>
                <w:sz w:val="21"/>
                <w:szCs w:val="21"/>
              </w:rPr>
              <w:t>--</w:t>
            </w:r>
          </w:p>
        </w:tc>
      </w:tr>
      <w:tr w14:paraId="6C669DD5">
        <w:tblPrEx>
          <w:tblBorders>
            <w:top w:val="thinThickSmallGap" w:color="auto" w:sz="12" w:space="0"/>
            <w:left w:val="none" w:color="auto" w:sz="0" w:space="0"/>
            <w:bottom w:val="thickThinSmallGap"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97" w:hRule="atLeast"/>
        </w:trPr>
        <w:tc>
          <w:tcPr>
            <w:tcW w:w="184" w:type="pct"/>
            <w:vMerge w:val="continue"/>
            <w:noWrap w:val="0"/>
            <w:vAlign w:val="center"/>
          </w:tcPr>
          <w:p w14:paraId="2EA4EBEA">
            <w:pPr>
              <w:jc w:val="center"/>
              <w:rPr>
                <w:rFonts w:ascii="Times New Roman" w:hAnsi="Times New Roman" w:cs="Times New Roman"/>
                <w:sz w:val="21"/>
                <w:szCs w:val="21"/>
              </w:rPr>
            </w:pPr>
          </w:p>
        </w:tc>
        <w:tc>
          <w:tcPr>
            <w:tcW w:w="284" w:type="pct"/>
            <w:vMerge w:val="continue"/>
            <w:noWrap w:val="0"/>
            <w:vAlign w:val="center"/>
          </w:tcPr>
          <w:p w14:paraId="0BC43202">
            <w:pPr>
              <w:jc w:val="center"/>
              <w:rPr>
                <w:rFonts w:ascii="Times New Roman" w:hAnsi="Times New Roman" w:cs="Times New Roman"/>
                <w:sz w:val="21"/>
                <w:szCs w:val="21"/>
              </w:rPr>
            </w:pPr>
          </w:p>
        </w:tc>
        <w:tc>
          <w:tcPr>
            <w:tcW w:w="596" w:type="pct"/>
            <w:noWrap w:val="0"/>
            <w:vAlign w:val="center"/>
          </w:tcPr>
          <w:p w14:paraId="532A8A71">
            <w:pPr>
              <w:widowControl w:val="0"/>
              <w:jc w:val="center"/>
              <w:rPr>
                <w:rFonts w:hint="eastAsia" w:ascii="Times New Roman" w:hAnsi="Times New Roman" w:eastAsia="宋体" w:cs="Times New Roman"/>
                <w:sz w:val="21"/>
                <w:szCs w:val="21"/>
                <w:lang w:val="en-US" w:eastAsia="zh-CN"/>
              </w:rPr>
            </w:pPr>
            <w:r>
              <w:rPr>
                <w:rFonts w:hint="eastAsia" w:ascii="Times New Roman" w:hAnsi="Times New Roman" w:cs="Times New Roman"/>
                <w:sz w:val="21"/>
                <w:szCs w:val="21"/>
                <w:lang w:val="en-US" w:eastAsia="zh-CN"/>
              </w:rPr>
              <w:t>氨</w:t>
            </w:r>
          </w:p>
        </w:tc>
        <w:tc>
          <w:tcPr>
            <w:tcW w:w="659" w:type="pct"/>
            <w:noWrap w:val="0"/>
            <w:vAlign w:val="center"/>
          </w:tcPr>
          <w:p w14:paraId="6B18C9FE">
            <w:pPr>
              <w:pStyle w:val="506"/>
              <w:spacing w:line="240" w:lineRule="auto"/>
              <w:rPr>
                <w:rFonts w:hint="eastAsia" w:eastAsia="宋体"/>
                <w:szCs w:val="18"/>
                <w:lang w:val="en-US" w:eastAsia="zh-CN"/>
              </w:rPr>
            </w:pPr>
            <w:r>
              <w:rPr>
                <w:rFonts w:hint="eastAsia"/>
                <w:szCs w:val="18"/>
                <w:lang w:val="en-US" w:eastAsia="zh-CN"/>
              </w:rPr>
              <w:t>0</w:t>
            </w:r>
          </w:p>
        </w:tc>
        <w:tc>
          <w:tcPr>
            <w:tcW w:w="495" w:type="pct"/>
            <w:noWrap w:val="0"/>
            <w:vAlign w:val="center"/>
          </w:tcPr>
          <w:p w14:paraId="713E8914">
            <w:pPr>
              <w:widowControl w:val="0"/>
              <w:jc w:val="center"/>
              <w:rPr>
                <w:rFonts w:hint="eastAsia" w:ascii="Times New Roman" w:hAnsi="Times New Roman" w:cs="Times New Roman"/>
                <w:sz w:val="21"/>
                <w:szCs w:val="21"/>
              </w:rPr>
            </w:pPr>
            <w:r>
              <w:rPr>
                <w:rFonts w:hint="eastAsia" w:ascii="Times New Roman" w:hAnsi="Times New Roman" w:cs="Times New Roman"/>
                <w:sz w:val="21"/>
                <w:szCs w:val="21"/>
              </w:rPr>
              <w:t>0</w:t>
            </w:r>
          </w:p>
        </w:tc>
        <w:tc>
          <w:tcPr>
            <w:tcW w:w="570" w:type="pct"/>
            <w:noWrap w:val="0"/>
            <w:vAlign w:val="center"/>
          </w:tcPr>
          <w:p w14:paraId="1A68A4D7">
            <w:pPr>
              <w:keepNext w:val="0"/>
              <w:keepLines w:val="0"/>
              <w:widowControl/>
              <w:suppressLineNumbers w:val="0"/>
              <w:jc w:val="center"/>
              <w:textAlignment w:val="center"/>
              <w:rPr>
                <w:rFonts w:hint="eastAsia" w:ascii="Times New Roman" w:hAnsi="Times New Roman" w:cs="Times New Roman"/>
                <w:sz w:val="21"/>
                <w:szCs w:val="21"/>
              </w:rPr>
            </w:pPr>
            <w:r>
              <w:rPr>
                <w:rFonts w:hint="eastAsia" w:ascii="宋体" w:hAnsi="宋体" w:eastAsia="宋体" w:cs="宋体"/>
                <w:i w:val="0"/>
                <w:iCs w:val="0"/>
                <w:color w:val="000000"/>
                <w:kern w:val="0"/>
                <w:sz w:val="22"/>
                <w:szCs w:val="22"/>
                <w:u w:val="none"/>
                <w:lang w:val="en-US" w:eastAsia="zh-CN" w:bidi="ar"/>
              </w:rPr>
              <w:t>10.01088</w:t>
            </w:r>
          </w:p>
        </w:tc>
        <w:tc>
          <w:tcPr>
            <w:tcW w:w="623" w:type="pct"/>
            <w:noWrap w:val="0"/>
            <w:vAlign w:val="center"/>
          </w:tcPr>
          <w:p w14:paraId="33FFEF7A">
            <w:pPr>
              <w:widowControl w:val="0"/>
              <w:jc w:val="center"/>
              <w:rPr>
                <w:rFonts w:hint="eastAsia" w:ascii="Times New Roman" w:hAnsi="Times New Roman" w:eastAsia="宋体" w:cs="Times New Roman"/>
                <w:sz w:val="21"/>
                <w:szCs w:val="21"/>
                <w:lang w:val="en-US" w:eastAsia="zh-CN"/>
              </w:rPr>
            </w:pPr>
            <w:r>
              <w:rPr>
                <w:rFonts w:hint="eastAsia" w:ascii="Times New Roman" w:hAnsi="Times New Roman" w:cs="Times New Roman"/>
                <w:sz w:val="21"/>
                <w:szCs w:val="21"/>
                <w:lang w:val="en-US" w:eastAsia="zh-CN"/>
              </w:rPr>
              <w:t>0</w:t>
            </w:r>
          </w:p>
        </w:tc>
        <w:tc>
          <w:tcPr>
            <w:tcW w:w="570" w:type="pct"/>
            <w:noWrap w:val="0"/>
            <w:vAlign w:val="center"/>
          </w:tcPr>
          <w:p w14:paraId="125427D9">
            <w:pPr>
              <w:jc w:val="center"/>
              <w:rPr>
                <w:rFonts w:ascii="Times New Roman" w:hAnsi="Times New Roman" w:cs="Times New Roman"/>
                <w:sz w:val="21"/>
                <w:szCs w:val="21"/>
              </w:rPr>
            </w:pPr>
            <w:r>
              <w:rPr>
                <w:rFonts w:hint="eastAsia" w:ascii="宋体" w:hAnsi="宋体" w:eastAsia="宋体" w:cs="宋体"/>
                <w:i w:val="0"/>
                <w:iCs w:val="0"/>
                <w:color w:val="000000"/>
                <w:kern w:val="0"/>
                <w:sz w:val="22"/>
                <w:szCs w:val="22"/>
                <w:u w:val="none"/>
                <w:lang w:val="en-US" w:eastAsia="zh-CN" w:bidi="ar"/>
              </w:rPr>
              <w:t>10.01088</w:t>
            </w:r>
          </w:p>
        </w:tc>
        <w:tc>
          <w:tcPr>
            <w:tcW w:w="519" w:type="pct"/>
            <w:noWrap w:val="0"/>
            <w:vAlign w:val="center"/>
          </w:tcPr>
          <w:p w14:paraId="0EBE9B0A">
            <w:pPr>
              <w:widowControl w:val="0"/>
              <w:jc w:val="center"/>
              <w:rPr>
                <w:rFonts w:hint="eastAsia" w:ascii="Times New Roman" w:hAnsi="Times New Roman" w:cs="Times New Roman"/>
                <w:sz w:val="21"/>
                <w:szCs w:val="21"/>
              </w:rPr>
            </w:pPr>
            <w:r>
              <w:rPr>
                <w:rFonts w:hint="eastAsia" w:ascii="宋体" w:hAnsi="宋体" w:eastAsia="宋体" w:cs="宋体"/>
                <w:i w:val="0"/>
                <w:iCs w:val="0"/>
                <w:color w:val="000000"/>
                <w:kern w:val="0"/>
                <w:sz w:val="22"/>
                <w:szCs w:val="22"/>
                <w:u w:val="none"/>
                <w:lang w:val="en-US" w:eastAsia="zh-CN" w:bidi="ar"/>
              </w:rPr>
              <w:t>+10.01088</w:t>
            </w:r>
          </w:p>
        </w:tc>
        <w:tc>
          <w:tcPr>
            <w:tcW w:w="495" w:type="pct"/>
            <w:noWrap w:val="0"/>
            <w:vAlign w:val="center"/>
          </w:tcPr>
          <w:p w14:paraId="17F35223">
            <w:pPr>
              <w:jc w:val="center"/>
              <w:rPr>
                <w:rFonts w:ascii="Times New Roman" w:hAnsi="Times New Roman" w:cs="Times New Roman"/>
                <w:sz w:val="21"/>
                <w:szCs w:val="21"/>
              </w:rPr>
            </w:pPr>
          </w:p>
        </w:tc>
      </w:tr>
      <w:tr w14:paraId="1183793D">
        <w:tblPrEx>
          <w:tblBorders>
            <w:top w:val="thinThickSmallGap" w:color="auto" w:sz="12" w:space="0"/>
            <w:left w:val="none" w:color="auto" w:sz="0" w:space="0"/>
            <w:bottom w:val="thickThinSmallGap"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97" w:hRule="atLeast"/>
        </w:trPr>
        <w:tc>
          <w:tcPr>
            <w:tcW w:w="184" w:type="pct"/>
            <w:vMerge w:val="continue"/>
            <w:noWrap w:val="0"/>
            <w:vAlign w:val="center"/>
          </w:tcPr>
          <w:p w14:paraId="6DC56C7D">
            <w:pPr>
              <w:jc w:val="center"/>
              <w:rPr>
                <w:rFonts w:ascii="Times New Roman" w:hAnsi="Times New Roman" w:cs="Times New Roman"/>
                <w:sz w:val="21"/>
                <w:szCs w:val="21"/>
              </w:rPr>
            </w:pPr>
          </w:p>
        </w:tc>
        <w:tc>
          <w:tcPr>
            <w:tcW w:w="284" w:type="pct"/>
            <w:vMerge w:val="continue"/>
            <w:noWrap w:val="0"/>
            <w:vAlign w:val="center"/>
          </w:tcPr>
          <w:p w14:paraId="5A4C45AB">
            <w:pPr>
              <w:jc w:val="center"/>
              <w:rPr>
                <w:rFonts w:ascii="Times New Roman" w:hAnsi="Times New Roman" w:cs="Times New Roman"/>
                <w:sz w:val="21"/>
                <w:szCs w:val="21"/>
              </w:rPr>
            </w:pPr>
          </w:p>
        </w:tc>
        <w:tc>
          <w:tcPr>
            <w:tcW w:w="596" w:type="pct"/>
            <w:noWrap w:val="0"/>
            <w:vAlign w:val="center"/>
          </w:tcPr>
          <w:p w14:paraId="2C4708A7">
            <w:pPr>
              <w:widowControl w:val="0"/>
              <w:jc w:val="center"/>
              <w:rPr>
                <w:rFonts w:ascii="Times New Roman" w:hAnsi="Times New Roman" w:cs="Times New Roman"/>
                <w:sz w:val="21"/>
                <w:szCs w:val="21"/>
              </w:rPr>
            </w:pPr>
            <w:r>
              <w:rPr>
                <w:rFonts w:ascii="Times New Roman" w:hAnsi="Times New Roman" w:cs="Times New Roman"/>
                <w:sz w:val="21"/>
                <w:szCs w:val="21"/>
              </w:rPr>
              <w:t>二噁英</w:t>
            </w:r>
            <w:r>
              <w:rPr>
                <w:rFonts w:ascii="Times New Roman" w:hAnsi="Times New Roman" w:cs="Times New Roman"/>
                <w:sz w:val="21"/>
                <w:szCs w:val="18"/>
              </w:rPr>
              <w:t>g</w:t>
            </w:r>
            <w:r>
              <w:rPr>
                <w:rFonts w:hint="eastAsia" w:ascii="Times New Roman" w:hAnsi="Times New Roman" w:cs="Times New Roman"/>
                <w:sz w:val="21"/>
                <w:szCs w:val="18"/>
              </w:rPr>
              <w:t>-</w:t>
            </w:r>
            <w:r>
              <w:rPr>
                <w:rFonts w:ascii="Times New Roman" w:hAnsi="Times New Roman" w:cs="Times New Roman"/>
                <w:sz w:val="21"/>
                <w:szCs w:val="18"/>
              </w:rPr>
              <w:t>TEQ/a</w:t>
            </w:r>
          </w:p>
        </w:tc>
        <w:tc>
          <w:tcPr>
            <w:tcW w:w="659" w:type="pct"/>
            <w:noWrap w:val="0"/>
            <w:vAlign w:val="center"/>
          </w:tcPr>
          <w:p w14:paraId="1EB311FA">
            <w:pPr>
              <w:pStyle w:val="506"/>
              <w:spacing w:line="240" w:lineRule="auto"/>
              <w:rPr>
                <w:rFonts w:hint="eastAsia"/>
                <w:szCs w:val="18"/>
                <w:lang w:val="en-US" w:eastAsia="zh-CN"/>
              </w:rPr>
            </w:pPr>
            <w:r>
              <w:rPr>
                <w:rFonts w:hint="eastAsia" w:ascii="宋体" w:hAnsi="宋体" w:eastAsia="宋体" w:cs="宋体"/>
                <w:i w:val="0"/>
                <w:iCs w:val="0"/>
                <w:color w:val="000000"/>
                <w:kern w:val="0"/>
                <w:sz w:val="24"/>
                <w:szCs w:val="24"/>
                <w:u w:val="none"/>
                <w:lang w:val="en-US" w:eastAsia="zh-CN" w:bidi="ar"/>
              </w:rPr>
              <w:t xml:space="preserve">0.0000002 </w:t>
            </w:r>
          </w:p>
        </w:tc>
        <w:tc>
          <w:tcPr>
            <w:tcW w:w="495" w:type="pct"/>
            <w:noWrap w:val="0"/>
            <w:vAlign w:val="center"/>
          </w:tcPr>
          <w:p w14:paraId="34715EC2">
            <w:pPr>
              <w:widowControl w:val="0"/>
              <w:jc w:val="center"/>
              <w:rPr>
                <w:rFonts w:ascii="Times New Roman" w:hAnsi="Times New Roman" w:cs="Times New Roman"/>
                <w:sz w:val="21"/>
                <w:szCs w:val="21"/>
              </w:rPr>
            </w:pPr>
            <w:r>
              <w:rPr>
                <w:rFonts w:hint="eastAsia" w:ascii="Times New Roman" w:hAnsi="Times New Roman" w:cs="Times New Roman"/>
                <w:sz w:val="21"/>
                <w:szCs w:val="21"/>
              </w:rPr>
              <w:t>0</w:t>
            </w:r>
          </w:p>
        </w:tc>
        <w:tc>
          <w:tcPr>
            <w:tcW w:w="570" w:type="pct"/>
            <w:shd w:val="clear" w:color="auto" w:fill="auto"/>
            <w:noWrap w:val="0"/>
            <w:vAlign w:val="center"/>
          </w:tcPr>
          <w:p w14:paraId="0D691D2C">
            <w:pPr>
              <w:keepNext w:val="0"/>
              <w:keepLines w:val="0"/>
              <w:widowControl/>
              <w:suppressLineNumbers w:val="0"/>
              <w:jc w:val="center"/>
              <w:textAlignment w:val="center"/>
              <w:rPr>
                <w:rFonts w:hint="eastAsia" w:ascii="宋体" w:hAnsi="宋体" w:eastAsia="宋体" w:cs="宋体"/>
                <w:i w:val="0"/>
                <w:iCs w:val="0"/>
                <w:color w:val="000000"/>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 xml:space="preserve">0.0000002 </w:t>
            </w:r>
          </w:p>
        </w:tc>
        <w:tc>
          <w:tcPr>
            <w:tcW w:w="623" w:type="pct"/>
            <w:noWrap w:val="0"/>
            <w:vAlign w:val="center"/>
          </w:tcPr>
          <w:p w14:paraId="75D4A1E3">
            <w:pPr>
              <w:widowControl w:val="0"/>
              <w:jc w:val="center"/>
              <w:rPr>
                <w:rFonts w:ascii="Times New Roman" w:hAnsi="Times New Roman" w:cs="Times New Roman"/>
                <w:sz w:val="21"/>
                <w:szCs w:val="21"/>
              </w:rPr>
            </w:pPr>
            <w:r>
              <w:rPr>
                <w:rFonts w:hint="eastAsia" w:ascii="宋体" w:hAnsi="宋体" w:eastAsia="宋体" w:cs="宋体"/>
                <w:i w:val="0"/>
                <w:iCs w:val="0"/>
                <w:color w:val="000000"/>
                <w:kern w:val="0"/>
                <w:sz w:val="24"/>
                <w:szCs w:val="24"/>
                <w:u w:val="none"/>
                <w:lang w:val="en-US" w:eastAsia="zh-CN" w:bidi="ar"/>
              </w:rPr>
              <w:t xml:space="preserve">0.0000002 </w:t>
            </w:r>
          </w:p>
        </w:tc>
        <w:tc>
          <w:tcPr>
            <w:tcW w:w="570" w:type="pct"/>
            <w:noWrap w:val="0"/>
            <w:vAlign w:val="center"/>
          </w:tcPr>
          <w:p w14:paraId="3F2A595F">
            <w:pPr>
              <w:jc w:val="center"/>
              <w:rPr>
                <w:rFonts w:ascii="Times New Roman" w:hAnsi="Times New Roman" w:cs="Times New Roman"/>
                <w:sz w:val="21"/>
                <w:szCs w:val="21"/>
              </w:rPr>
            </w:pPr>
            <w:r>
              <w:rPr>
                <w:rFonts w:hint="eastAsia" w:ascii="宋体" w:hAnsi="宋体" w:eastAsia="宋体" w:cs="宋体"/>
                <w:i w:val="0"/>
                <w:iCs w:val="0"/>
                <w:color w:val="000000"/>
                <w:kern w:val="0"/>
                <w:sz w:val="24"/>
                <w:szCs w:val="24"/>
                <w:u w:val="none"/>
                <w:lang w:val="en-US" w:eastAsia="zh-CN" w:bidi="ar"/>
              </w:rPr>
              <w:t xml:space="preserve">0.0000002 </w:t>
            </w:r>
          </w:p>
        </w:tc>
        <w:tc>
          <w:tcPr>
            <w:tcW w:w="519" w:type="pct"/>
            <w:noWrap w:val="0"/>
            <w:vAlign w:val="center"/>
          </w:tcPr>
          <w:p w14:paraId="20A782A3">
            <w:pPr>
              <w:widowControl w:val="0"/>
              <w:jc w:val="center"/>
              <w:rPr>
                <w:rFonts w:ascii="Times New Roman" w:hAnsi="Times New Roman" w:cs="Times New Roman"/>
                <w:sz w:val="21"/>
                <w:szCs w:val="21"/>
              </w:rPr>
            </w:pPr>
            <w:r>
              <w:rPr>
                <w:rFonts w:hint="eastAsia" w:ascii="Times New Roman" w:hAnsi="Times New Roman" w:cs="Times New Roman"/>
                <w:sz w:val="21"/>
                <w:szCs w:val="21"/>
              </w:rPr>
              <w:t>0</w:t>
            </w:r>
          </w:p>
        </w:tc>
        <w:tc>
          <w:tcPr>
            <w:tcW w:w="495" w:type="pct"/>
            <w:noWrap w:val="0"/>
            <w:vAlign w:val="center"/>
          </w:tcPr>
          <w:p w14:paraId="271DAB88">
            <w:pPr>
              <w:jc w:val="center"/>
              <w:rPr>
                <w:rFonts w:ascii="Times New Roman" w:hAnsi="Times New Roman" w:cs="Times New Roman"/>
                <w:sz w:val="21"/>
                <w:szCs w:val="21"/>
              </w:rPr>
            </w:pPr>
            <w:r>
              <w:rPr>
                <w:rFonts w:ascii="Times New Roman" w:hAnsi="Times New Roman" w:cs="Times New Roman"/>
                <w:sz w:val="21"/>
                <w:szCs w:val="21"/>
              </w:rPr>
              <w:t>--</w:t>
            </w:r>
          </w:p>
        </w:tc>
      </w:tr>
      <w:tr w14:paraId="0E4D6C6D">
        <w:tblPrEx>
          <w:tblBorders>
            <w:top w:val="thinThickSmallGap" w:color="auto" w:sz="12" w:space="0"/>
            <w:left w:val="none" w:color="auto" w:sz="0" w:space="0"/>
            <w:bottom w:val="thickThinSmallGap"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97" w:hRule="atLeast"/>
        </w:trPr>
        <w:tc>
          <w:tcPr>
            <w:tcW w:w="184" w:type="pct"/>
            <w:vMerge w:val="continue"/>
            <w:noWrap w:val="0"/>
            <w:vAlign w:val="center"/>
          </w:tcPr>
          <w:p w14:paraId="668BD564">
            <w:pPr>
              <w:jc w:val="center"/>
              <w:rPr>
                <w:rFonts w:ascii="Times New Roman" w:hAnsi="Times New Roman" w:cs="Times New Roman"/>
                <w:sz w:val="21"/>
                <w:szCs w:val="21"/>
              </w:rPr>
            </w:pPr>
          </w:p>
        </w:tc>
        <w:tc>
          <w:tcPr>
            <w:tcW w:w="284" w:type="pct"/>
            <w:noWrap w:val="0"/>
            <w:vAlign w:val="center"/>
          </w:tcPr>
          <w:p w14:paraId="5E060BC5">
            <w:pPr>
              <w:widowControl w:val="0"/>
              <w:snapToGrid w:val="0"/>
              <w:jc w:val="center"/>
              <w:rPr>
                <w:rFonts w:ascii="Times New Roman" w:hAnsi="Times New Roman" w:cs="Times New Roman"/>
                <w:sz w:val="21"/>
                <w:szCs w:val="21"/>
              </w:rPr>
            </w:pPr>
            <w:r>
              <w:rPr>
                <w:rFonts w:ascii="Times New Roman" w:hAnsi="Times New Roman" w:cs="Times New Roman"/>
                <w:sz w:val="21"/>
                <w:szCs w:val="21"/>
              </w:rPr>
              <w:t>无组织</w:t>
            </w:r>
          </w:p>
        </w:tc>
        <w:tc>
          <w:tcPr>
            <w:tcW w:w="596" w:type="pct"/>
            <w:noWrap w:val="0"/>
            <w:vAlign w:val="center"/>
          </w:tcPr>
          <w:p w14:paraId="0298F37F">
            <w:pPr>
              <w:widowControl w:val="0"/>
              <w:jc w:val="center"/>
              <w:rPr>
                <w:rFonts w:ascii="Times New Roman" w:hAnsi="Times New Roman" w:cs="Times New Roman"/>
                <w:sz w:val="21"/>
                <w:szCs w:val="21"/>
              </w:rPr>
            </w:pPr>
            <w:r>
              <w:rPr>
                <w:rFonts w:ascii="Times New Roman" w:hAnsi="Times New Roman" w:cs="Times New Roman"/>
                <w:sz w:val="21"/>
                <w:szCs w:val="21"/>
              </w:rPr>
              <w:t>颗粒物</w:t>
            </w:r>
          </w:p>
        </w:tc>
        <w:tc>
          <w:tcPr>
            <w:tcW w:w="659" w:type="pct"/>
            <w:noWrap w:val="0"/>
            <w:vAlign w:val="center"/>
          </w:tcPr>
          <w:p w14:paraId="27F6C845">
            <w:pPr>
              <w:pStyle w:val="506"/>
              <w:spacing w:line="240" w:lineRule="auto"/>
              <w:rPr>
                <w:rFonts w:ascii="Times New Roman" w:hAnsi="Times New Roman" w:cs="Times New Roman"/>
                <w:sz w:val="21"/>
                <w:szCs w:val="21"/>
              </w:rPr>
            </w:pPr>
          </w:p>
        </w:tc>
        <w:tc>
          <w:tcPr>
            <w:tcW w:w="495" w:type="pct"/>
            <w:noWrap w:val="0"/>
            <w:vAlign w:val="center"/>
          </w:tcPr>
          <w:p w14:paraId="68D759B2">
            <w:pPr>
              <w:widowControl w:val="0"/>
              <w:snapToGrid w:val="0"/>
              <w:jc w:val="center"/>
              <w:rPr>
                <w:rFonts w:hint="eastAsia" w:ascii="Times New Roman" w:hAnsi="Times New Roman" w:cs="Times New Roman"/>
                <w:sz w:val="21"/>
                <w:szCs w:val="21"/>
              </w:rPr>
            </w:pPr>
            <w:r>
              <w:rPr>
                <w:rFonts w:hint="eastAsia" w:ascii="Times New Roman" w:hAnsi="Times New Roman" w:cs="Times New Roman"/>
                <w:sz w:val="21"/>
                <w:szCs w:val="21"/>
              </w:rPr>
              <w:t>0</w:t>
            </w:r>
          </w:p>
        </w:tc>
        <w:tc>
          <w:tcPr>
            <w:tcW w:w="570" w:type="pct"/>
            <w:noWrap w:val="0"/>
            <w:vAlign w:val="center"/>
          </w:tcPr>
          <w:p w14:paraId="1B99D8CE">
            <w:pPr>
              <w:widowControl w:val="0"/>
              <w:jc w:val="center"/>
              <w:rPr>
                <w:rFonts w:ascii="Times New Roman" w:hAnsi="Times New Roman" w:cs="Times New Roman"/>
                <w:sz w:val="21"/>
                <w:szCs w:val="21"/>
              </w:rPr>
            </w:pPr>
          </w:p>
        </w:tc>
        <w:tc>
          <w:tcPr>
            <w:tcW w:w="623" w:type="pct"/>
            <w:noWrap w:val="0"/>
            <w:vAlign w:val="center"/>
          </w:tcPr>
          <w:p w14:paraId="78DA43CD">
            <w:pPr>
              <w:widowControl w:val="0"/>
              <w:jc w:val="center"/>
              <w:rPr>
                <w:rFonts w:ascii="Times New Roman" w:hAnsi="Times New Roman" w:cs="Times New Roman"/>
                <w:sz w:val="21"/>
                <w:szCs w:val="21"/>
              </w:rPr>
            </w:pPr>
            <w:r>
              <w:rPr>
                <w:rFonts w:hint="eastAsia" w:ascii="Times New Roman" w:hAnsi="Times New Roman" w:cs="Times New Roman"/>
                <w:sz w:val="21"/>
                <w:szCs w:val="21"/>
              </w:rPr>
              <w:t>0</w:t>
            </w:r>
          </w:p>
        </w:tc>
        <w:tc>
          <w:tcPr>
            <w:tcW w:w="570" w:type="pct"/>
            <w:noWrap w:val="0"/>
            <w:vAlign w:val="center"/>
          </w:tcPr>
          <w:p w14:paraId="251D8A1C">
            <w:pPr>
              <w:jc w:val="center"/>
              <w:rPr>
                <w:rFonts w:ascii="Times New Roman" w:hAnsi="Times New Roman" w:cs="Times New Roman"/>
                <w:sz w:val="21"/>
                <w:szCs w:val="21"/>
              </w:rPr>
            </w:pPr>
          </w:p>
        </w:tc>
        <w:tc>
          <w:tcPr>
            <w:tcW w:w="519" w:type="pct"/>
            <w:noWrap w:val="0"/>
            <w:vAlign w:val="center"/>
          </w:tcPr>
          <w:p w14:paraId="7E9396BC">
            <w:pPr>
              <w:jc w:val="center"/>
              <w:rPr>
                <w:rFonts w:ascii="Times New Roman" w:hAnsi="Times New Roman" w:cs="Times New Roman"/>
                <w:sz w:val="21"/>
                <w:szCs w:val="21"/>
              </w:rPr>
            </w:pPr>
          </w:p>
        </w:tc>
        <w:tc>
          <w:tcPr>
            <w:tcW w:w="495" w:type="pct"/>
            <w:noWrap w:val="0"/>
            <w:vAlign w:val="center"/>
          </w:tcPr>
          <w:p w14:paraId="06C6AC6D">
            <w:pPr>
              <w:widowControl w:val="0"/>
              <w:jc w:val="center"/>
              <w:rPr>
                <w:rFonts w:hint="eastAsia" w:ascii="Times New Roman" w:hAnsi="Times New Roman" w:cs="Times New Roman"/>
                <w:sz w:val="21"/>
                <w:szCs w:val="21"/>
              </w:rPr>
            </w:pPr>
          </w:p>
        </w:tc>
      </w:tr>
      <w:tr w14:paraId="6E4ABE1C">
        <w:tblPrEx>
          <w:tblBorders>
            <w:top w:val="thinThickSmallGap" w:color="auto" w:sz="12" w:space="0"/>
            <w:left w:val="none" w:color="auto" w:sz="0" w:space="0"/>
            <w:bottom w:val="thickThinSmallGap"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97" w:hRule="atLeast"/>
        </w:trPr>
        <w:tc>
          <w:tcPr>
            <w:tcW w:w="468" w:type="pct"/>
            <w:gridSpan w:val="2"/>
            <w:vMerge w:val="restart"/>
            <w:noWrap w:val="0"/>
            <w:vAlign w:val="center"/>
          </w:tcPr>
          <w:p w14:paraId="57460BE8">
            <w:pPr>
              <w:widowControl w:val="0"/>
              <w:snapToGrid w:val="0"/>
              <w:jc w:val="center"/>
              <w:rPr>
                <w:rFonts w:ascii="Times New Roman" w:hAnsi="Times New Roman" w:cs="Times New Roman"/>
                <w:sz w:val="21"/>
                <w:szCs w:val="21"/>
              </w:rPr>
            </w:pPr>
            <w:r>
              <w:rPr>
                <w:rFonts w:ascii="Times New Roman" w:hAnsi="Times New Roman" w:cs="Times New Roman"/>
                <w:sz w:val="21"/>
                <w:szCs w:val="21"/>
              </w:rPr>
              <w:t>废水</w:t>
            </w:r>
          </w:p>
        </w:tc>
        <w:tc>
          <w:tcPr>
            <w:tcW w:w="596" w:type="pct"/>
            <w:noWrap w:val="0"/>
            <w:vAlign w:val="center"/>
          </w:tcPr>
          <w:p w14:paraId="372DF058">
            <w:pPr>
              <w:widowControl w:val="0"/>
              <w:snapToGrid w:val="0"/>
              <w:jc w:val="center"/>
              <w:rPr>
                <w:rFonts w:ascii="Times New Roman" w:hAnsi="Times New Roman" w:cs="Times New Roman"/>
                <w:sz w:val="21"/>
                <w:szCs w:val="21"/>
              </w:rPr>
            </w:pPr>
            <w:r>
              <w:rPr>
                <w:rFonts w:ascii="Times New Roman" w:hAnsi="Times New Roman" w:cs="Times New Roman"/>
                <w:sz w:val="21"/>
                <w:szCs w:val="21"/>
              </w:rPr>
              <w:t>COD</w:t>
            </w:r>
          </w:p>
        </w:tc>
        <w:tc>
          <w:tcPr>
            <w:tcW w:w="659" w:type="pct"/>
            <w:noWrap w:val="0"/>
            <w:vAlign w:val="center"/>
          </w:tcPr>
          <w:p w14:paraId="56275C3D">
            <w:pPr>
              <w:widowControl w:val="0"/>
              <w:snapToGrid w:val="0"/>
              <w:jc w:val="center"/>
              <w:rPr>
                <w:rFonts w:ascii="Times New Roman" w:hAnsi="Times New Roman" w:cs="Times New Roman"/>
                <w:sz w:val="21"/>
                <w:szCs w:val="21"/>
              </w:rPr>
            </w:pPr>
            <w:r>
              <w:rPr>
                <w:rFonts w:hint="eastAsia" w:ascii="Times New Roman" w:hAnsi="Times New Roman" w:cs="Times New Roman"/>
                <w:sz w:val="21"/>
                <w:szCs w:val="21"/>
              </w:rPr>
              <w:t>0</w:t>
            </w:r>
          </w:p>
        </w:tc>
        <w:tc>
          <w:tcPr>
            <w:tcW w:w="495" w:type="pct"/>
            <w:noWrap w:val="0"/>
            <w:vAlign w:val="center"/>
          </w:tcPr>
          <w:p w14:paraId="6F749098">
            <w:pPr>
              <w:widowControl w:val="0"/>
              <w:jc w:val="center"/>
              <w:rPr>
                <w:rFonts w:hint="eastAsia" w:ascii="Times New Roman" w:hAnsi="Times New Roman" w:cs="Times New Roman"/>
                <w:sz w:val="21"/>
                <w:szCs w:val="21"/>
              </w:rPr>
            </w:pPr>
            <w:r>
              <w:rPr>
                <w:rFonts w:hint="eastAsia" w:ascii="Times New Roman" w:hAnsi="Times New Roman" w:cs="Times New Roman"/>
                <w:sz w:val="21"/>
                <w:szCs w:val="21"/>
              </w:rPr>
              <w:t>0</w:t>
            </w:r>
          </w:p>
        </w:tc>
        <w:tc>
          <w:tcPr>
            <w:tcW w:w="570" w:type="pct"/>
            <w:noWrap w:val="0"/>
            <w:vAlign w:val="center"/>
          </w:tcPr>
          <w:p w14:paraId="505067B2">
            <w:pPr>
              <w:widowControl w:val="0"/>
              <w:snapToGrid w:val="0"/>
              <w:jc w:val="center"/>
              <w:rPr>
                <w:rFonts w:ascii="Times New Roman" w:hAnsi="Times New Roman" w:cs="Times New Roman"/>
                <w:sz w:val="21"/>
                <w:szCs w:val="21"/>
              </w:rPr>
            </w:pPr>
            <w:r>
              <w:rPr>
                <w:rFonts w:hint="eastAsia" w:ascii="Times New Roman" w:hAnsi="Times New Roman" w:cs="Times New Roman"/>
                <w:sz w:val="21"/>
                <w:szCs w:val="21"/>
              </w:rPr>
              <w:t>0</w:t>
            </w:r>
          </w:p>
        </w:tc>
        <w:tc>
          <w:tcPr>
            <w:tcW w:w="623" w:type="pct"/>
            <w:noWrap w:val="0"/>
            <w:vAlign w:val="center"/>
          </w:tcPr>
          <w:p w14:paraId="3EBD5D43">
            <w:pPr>
              <w:widowControl w:val="0"/>
              <w:snapToGrid w:val="0"/>
              <w:jc w:val="center"/>
              <w:rPr>
                <w:rFonts w:ascii="Times New Roman" w:hAnsi="Times New Roman" w:cs="Times New Roman"/>
                <w:sz w:val="21"/>
                <w:szCs w:val="21"/>
              </w:rPr>
            </w:pPr>
            <w:r>
              <w:rPr>
                <w:rFonts w:hint="eastAsia" w:ascii="Times New Roman" w:hAnsi="Times New Roman" w:cs="Times New Roman"/>
                <w:sz w:val="21"/>
                <w:szCs w:val="21"/>
              </w:rPr>
              <w:t>0</w:t>
            </w:r>
          </w:p>
        </w:tc>
        <w:tc>
          <w:tcPr>
            <w:tcW w:w="570" w:type="pct"/>
            <w:noWrap w:val="0"/>
            <w:vAlign w:val="center"/>
          </w:tcPr>
          <w:p w14:paraId="53B363C0">
            <w:pPr>
              <w:widowControl w:val="0"/>
              <w:snapToGrid w:val="0"/>
              <w:jc w:val="center"/>
              <w:rPr>
                <w:rFonts w:ascii="Times New Roman" w:hAnsi="Times New Roman" w:cs="Times New Roman"/>
                <w:sz w:val="21"/>
                <w:szCs w:val="21"/>
              </w:rPr>
            </w:pPr>
            <w:r>
              <w:rPr>
                <w:rFonts w:hint="eastAsia" w:ascii="Times New Roman" w:hAnsi="Times New Roman" w:cs="Times New Roman"/>
                <w:sz w:val="21"/>
                <w:szCs w:val="21"/>
              </w:rPr>
              <w:t>0</w:t>
            </w:r>
          </w:p>
        </w:tc>
        <w:tc>
          <w:tcPr>
            <w:tcW w:w="519" w:type="pct"/>
            <w:noWrap w:val="0"/>
            <w:vAlign w:val="center"/>
          </w:tcPr>
          <w:p w14:paraId="09E14908">
            <w:pPr>
              <w:widowControl w:val="0"/>
              <w:snapToGrid w:val="0"/>
              <w:jc w:val="center"/>
              <w:rPr>
                <w:rFonts w:ascii="Times New Roman" w:hAnsi="Times New Roman" w:cs="Times New Roman"/>
                <w:sz w:val="21"/>
                <w:szCs w:val="21"/>
              </w:rPr>
            </w:pPr>
            <w:r>
              <w:rPr>
                <w:rFonts w:hint="eastAsia" w:ascii="Times New Roman" w:hAnsi="Times New Roman" w:cs="Times New Roman"/>
                <w:sz w:val="21"/>
                <w:szCs w:val="21"/>
              </w:rPr>
              <w:t>0</w:t>
            </w:r>
          </w:p>
        </w:tc>
        <w:tc>
          <w:tcPr>
            <w:tcW w:w="495" w:type="pct"/>
            <w:noWrap w:val="0"/>
            <w:vAlign w:val="center"/>
          </w:tcPr>
          <w:p w14:paraId="1385AE93">
            <w:pPr>
              <w:widowControl w:val="0"/>
              <w:snapToGrid w:val="0"/>
              <w:jc w:val="center"/>
              <w:rPr>
                <w:rFonts w:hint="eastAsia" w:ascii="Times New Roman" w:hAnsi="Times New Roman" w:cs="Times New Roman"/>
                <w:sz w:val="21"/>
                <w:szCs w:val="21"/>
              </w:rPr>
            </w:pPr>
            <w:r>
              <w:rPr>
                <w:rFonts w:hint="eastAsia" w:ascii="Times New Roman" w:hAnsi="Times New Roman" w:cs="Times New Roman"/>
                <w:sz w:val="21"/>
                <w:szCs w:val="21"/>
              </w:rPr>
              <w:t>--</w:t>
            </w:r>
          </w:p>
        </w:tc>
      </w:tr>
      <w:tr w14:paraId="29FB4FE0">
        <w:tblPrEx>
          <w:tblBorders>
            <w:top w:val="thinThickSmallGap" w:color="auto" w:sz="12" w:space="0"/>
            <w:left w:val="none" w:color="auto" w:sz="0" w:space="0"/>
            <w:bottom w:val="thickThinSmallGap"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97" w:hRule="atLeast"/>
        </w:trPr>
        <w:tc>
          <w:tcPr>
            <w:tcW w:w="468" w:type="pct"/>
            <w:gridSpan w:val="2"/>
            <w:vMerge w:val="continue"/>
            <w:noWrap w:val="0"/>
            <w:vAlign w:val="center"/>
          </w:tcPr>
          <w:p w14:paraId="334B9FA8">
            <w:pPr>
              <w:jc w:val="center"/>
              <w:rPr>
                <w:rFonts w:ascii="Times New Roman" w:hAnsi="Times New Roman" w:cs="Times New Roman"/>
                <w:sz w:val="21"/>
                <w:szCs w:val="21"/>
              </w:rPr>
            </w:pPr>
          </w:p>
        </w:tc>
        <w:tc>
          <w:tcPr>
            <w:tcW w:w="596" w:type="pct"/>
            <w:noWrap w:val="0"/>
            <w:vAlign w:val="center"/>
          </w:tcPr>
          <w:p w14:paraId="79989021">
            <w:pPr>
              <w:widowControl w:val="0"/>
              <w:snapToGrid w:val="0"/>
              <w:jc w:val="center"/>
              <w:rPr>
                <w:rFonts w:ascii="Times New Roman" w:hAnsi="Times New Roman" w:cs="Times New Roman"/>
                <w:sz w:val="21"/>
                <w:szCs w:val="21"/>
              </w:rPr>
            </w:pPr>
            <w:r>
              <w:rPr>
                <w:rFonts w:hint="eastAsia" w:ascii="Times New Roman" w:hAnsi="Times New Roman" w:cs="Times New Roman"/>
                <w:sz w:val="21"/>
                <w:szCs w:val="21"/>
              </w:rPr>
              <w:t>S</w:t>
            </w:r>
            <w:r>
              <w:rPr>
                <w:rFonts w:ascii="Times New Roman" w:hAnsi="Times New Roman" w:cs="Times New Roman"/>
                <w:sz w:val="21"/>
                <w:szCs w:val="21"/>
              </w:rPr>
              <w:t>S</w:t>
            </w:r>
          </w:p>
        </w:tc>
        <w:tc>
          <w:tcPr>
            <w:tcW w:w="659" w:type="pct"/>
            <w:noWrap w:val="0"/>
            <w:vAlign w:val="center"/>
          </w:tcPr>
          <w:p w14:paraId="489EC395">
            <w:pPr>
              <w:widowControl w:val="0"/>
              <w:jc w:val="center"/>
              <w:rPr>
                <w:rFonts w:ascii="Times New Roman" w:hAnsi="Times New Roman" w:cs="Times New Roman"/>
                <w:sz w:val="21"/>
                <w:szCs w:val="21"/>
              </w:rPr>
            </w:pPr>
            <w:r>
              <w:rPr>
                <w:rFonts w:hint="eastAsia" w:ascii="Times New Roman" w:hAnsi="Times New Roman" w:cs="Times New Roman"/>
                <w:sz w:val="21"/>
                <w:szCs w:val="21"/>
              </w:rPr>
              <w:t>0</w:t>
            </w:r>
          </w:p>
        </w:tc>
        <w:tc>
          <w:tcPr>
            <w:tcW w:w="495" w:type="pct"/>
            <w:noWrap w:val="0"/>
            <w:vAlign w:val="center"/>
          </w:tcPr>
          <w:p w14:paraId="33F89240">
            <w:pPr>
              <w:widowControl w:val="0"/>
              <w:jc w:val="center"/>
              <w:rPr>
                <w:rFonts w:ascii="Times New Roman" w:hAnsi="Times New Roman" w:cs="Times New Roman"/>
                <w:sz w:val="21"/>
                <w:szCs w:val="21"/>
              </w:rPr>
            </w:pPr>
            <w:r>
              <w:rPr>
                <w:rFonts w:hint="eastAsia" w:ascii="Times New Roman" w:hAnsi="Times New Roman" w:cs="Times New Roman"/>
                <w:sz w:val="21"/>
                <w:szCs w:val="21"/>
              </w:rPr>
              <w:t>0</w:t>
            </w:r>
          </w:p>
        </w:tc>
        <w:tc>
          <w:tcPr>
            <w:tcW w:w="570" w:type="pct"/>
            <w:noWrap w:val="0"/>
            <w:vAlign w:val="center"/>
          </w:tcPr>
          <w:p w14:paraId="1AD9FC79">
            <w:pPr>
              <w:widowControl w:val="0"/>
              <w:jc w:val="center"/>
              <w:rPr>
                <w:rFonts w:ascii="Times New Roman" w:hAnsi="Times New Roman" w:cs="Times New Roman"/>
                <w:sz w:val="21"/>
                <w:szCs w:val="21"/>
              </w:rPr>
            </w:pPr>
            <w:r>
              <w:rPr>
                <w:rFonts w:hint="eastAsia" w:ascii="Times New Roman" w:hAnsi="Times New Roman" w:cs="Times New Roman"/>
                <w:sz w:val="21"/>
                <w:szCs w:val="21"/>
              </w:rPr>
              <w:t>0</w:t>
            </w:r>
          </w:p>
        </w:tc>
        <w:tc>
          <w:tcPr>
            <w:tcW w:w="623" w:type="pct"/>
            <w:noWrap w:val="0"/>
            <w:vAlign w:val="center"/>
          </w:tcPr>
          <w:p w14:paraId="6BEC01C4">
            <w:pPr>
              <w:widowControl w:val="0"/>
              <w:jc w:val="center"/>
              <w:rPr>
                <w:rFonts w:ascii="Times New Roman" w:hAnsi="Times New Roman" w:cs="Times New Roman"/>
                <w:sz w:val="21"/>
                <w:szCs w:val="21"/>
              </w:rPr>
            </w:pPr>
            <w:r>
              <w:rPr>
                <w:rFonts w:hint="eastAsia" w:ascii="Times New Roman" w:hAnsi="Times New Roman" w:cs="Times New Roman"/>
                <w:sz w:val="21"/>
                <w:szCs w:val="21"/>
              </w:rPr>
              <w:t>0</w:t>
            </w:r>
          </w:p>
        </w:tc>
        <w:tc>
          <w:tcPr>
            <w:tcW w:w="570" w:type="pct"/>
            <w:noWrap w:val="0"/>
            <w:vAlign w:val="center"/>
          </w:tcPr>
          <w:p w14:paraId="2B64175F">
            <w:pPr>
              <w:widowControl w:val="0"/>
              <w:jc w:val="center"/>
              <w:rPr>
                <w:rFonts w:ascii="Times New Roman" w:hAnsi="Times New Roman" w:cs="Times New Roman"/>
                <w:sz w:val="21"/>
                <w:szCs w:val="21"/>
              </w:rPr>
            </w:pPr>
            <w:r>
              <w:rPr>
                <w:rFonts w:hint="eastAsia" w:ascii="Times New Roman" w:hAnsi="Times New Roman" w:cs="Times New Roman"/>
                <w:sz w:val="21"/>
                <w:szCs w:val="21"/>
              </w:rPr>
              <w:t>0</w:t>
            </w:r>
          </w:p>
        </w:tc>
        <w:tc>
          <w:tcPr>
            <w:tcW w:w="519" w:type="pct"/>
            <w:noWrap w:val="0"/>
            <w:vAlign w:val="center"/>
          </w:tcPr>
          <w:p w14:paraId="7BD491D9">
            <w:pPr>
              <w:widowControl w:val="0"/>
              <w:jc w:val="center"/>
              <w:rPr>
                <w:rFonts w:ascii="Times New Roman" w:hAnsi="Times New Roman" w:cs="Times New Roman"/>
                <w:sz w:val="21"/>
                <w:szCs w:val="21"/>
              </w:rPr>
            </w:pPr>
            <w:r>
              <w:rPr>
                <w:rFonts w:hint="eastAsia" w:ascii="Times New Roman" w:hAnsi="Times New Roman" w:cs="Times New Roman"/>
                <w:sz w:val="21"/>
                <w:szCs w:val="21"/>
              </w:rPr>
              <w:t>0</w:t>
            </w:r>
          </w:p>
        </w:tc>
        <w:tc>
          <w:tcPr>
            <w:tcW w:w="495" w:type="pct"/>
            <w:noWrap w:val="0"/>
            <w:vAlign w:val="center"/>
          </w:tcPr>
          <w:p w14:paraId="746E4819">
            <w:pPr>
              <w:widowControl w:val="0"/>
              <w:snapToGrid w:val="0"/>
              <w:jc w:val="center"/>
              <w:rPr>
                <w:rFonts w:hint="eastAsia" w:ascii="Times New Roman" w:hAnsi="Times New Roman" w:cs="Times New Roman"/>
                <w:sz w:val="21"/>
                <w:szCs w:val="21"/>
              </w:rPr>
            </w:pPr>
            <w:r>
              <w:rPr>
                <w:rFonts w:hint="eastAsia" w:ascii="Times New Roman" w:hAnsi="Times New Roman" w:cs="Times New Roman"/>
                <w:sz w:val="21"/>
                <w:szCs w:val="21"/>
              </w:rPr>
              <w:t>--</w:t>
            </w:r>
          </w:p>
        </w:tc>
      </w:tr>
      <w:tr w14:paraId="2CF8E317">
        <w:tblPrEx>
          <w:tblBorders>
            <w:top w:val="thinThickSmallGap" w:color="auto" w:sz="12" w:space="0"/>
            <w:left w:val="none" w:color="auto" w:sz="0" w:space="0"/>
            <w:bottom w:val="thickThinSmallGap"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97" w:hRule="atLeast"/>
        </w:trPr>
        <w:tc>
          <w:tcPr>
            <w:tcW w:w="468" w:type="pct"/>
            <w:gridSpan w:val="2"/>
            <w:vMerge w:val="continue"/>
            <w:noWrap w:val="0"/>
            <w:vAlign w:val="center"/>
          </w:tcPr>
          <w:p w14:paraId="13CDC651">
            <w:pPr>
              <w:jc w:val="center"/>
              <w:rPr>
                <w:rFonts w:ascii="Times New Roman" w:hAnsi="Times New Roman" w:cs="Times New Roman"/>
                <w:sz w:val="21"/>
                <w:szCs w:val="21"/>
              </w:rPr>
            </w:pPr>
          </w:p>
        </w:tc>
        <w:tc>
          <w:tcPr>
            <w:tcW w:w="596" w:type="pct"/>
            <w:noWrap w:val="0"/>
            <w:vAlign w:val="center"/>
          </w:tcPr>
          <w:p w14:paraId="676F6958">
            <w:pPr>
              <w:widowControl w:val="0"/>
              <w:snapToGrid w:val="0"/>
              <w:jc w:val="center"/>
              <w:rPr>
                <w:rFonts w:ascii="Times New Roman" w:hAnsi="Times New Roman" w:cs="Times New Roman"/>
                <w:sz w:val="21"/>
                <w:szCs w:val="21"/>
              </w:rPr>
            </w:pPr>
            <w:r>
              <w:rPr>
                <w:rFonts w:ascii="Times New Roman" w:hAnsi="Times New Roman" w:cs="Times New Roman"/>
                <w:sz w:val="21"/>
                <w:szCs w:val="21"/>
              </w:rPr>
              <w:t>NH</w:t>
            </w:r>
            <w:r>
              <w:rPr>
                <w:rFonts w:ascii="Times New Roman" w:hAnsi="Times New Roman" w:cs="Times New Roman"/>
                <w:sz w:val="21"/>
                <w:szCs w:val="21"/>
                <w:vertAlign w:val="subscript"/>
              </w:rPr>
              <w:t>3</w:t>
            </w:r>
            <w:r>
              <w:rPr>
                <w:rFonts w:ascii="Times New Roman" w:hAnsi="Times New Roman" w:cs="Times New Roman"/>
                <w:sz w:val="21"/>
                <w:szCs w:val="21"/>
              </w:rPr>
              <w:t>-N</w:t>
            </w:r>
          </w:p>
        </w:tc>
        <w:tc>
          <w:tcPr>
            <w:tcW w:w="659" w:type="pct"/>
            <w:noWrap w:val="0"/>
            <w:vAlign w:val="center"/>
          </w:tcPr>
          <w:p w14:paraId="54082E8F">
            <w:pPr>
              <w:widowControl w:val="0"/>
              <w:jc w:val="center"/>
              <w:rPr>
                <w:rFonts w:ascii="Times New Roman" w:hAnsi="Times New Roman" w:cs="Times New Roman"/>
                <w:sz w:val="21"/>
                <w:szCs w:val="21"/>
              </w:rPr>
            </w:pPr>
            <w:r>
              <w:rPr>
                <w:rFonts w:hint="eastAsia" w:ascii="Times New Roman" w:hAnsi="Times New Roman" w:cs="Times New Roman"/>
                <w:sz w:val="21"/>
                <w:szCs w:val="21"/>
              </w:rPr>
              <w:t>0</w:t>
            </w:r>
          </w:p>
        </w:tc>
        <w:tc>
          <w:tcPr>
            <w:tcW w:w="495" w:type="pct"/>
            <w:noWrap w:val="0"/>
            <w:vAlign w:val="center"/>
          </w:tcPr>
          <w:p w14:paraId="3DADF00B">
            <w:pPr>
              <w:widowControl w:val="0"/>
              <w:jc w:val="center"/>
              <w:rPr>
                <w:rFonts w:ascii="Times New Roman" w:hAnsi="Times New Roman" w:cs="Times New Roman"/>
                <w:sz w:val="21"/>
                <w:szCs w:val="21"/>
              </w:rPr>
            </w:pPr>
            <w:r>
              <w:rPr>
                <w:rFonts w:hint="eastAsia" w:ascii="Times New Roman" w:hAnsi="Times New Roman" w:cs="Times New Roman"/>
                <w:sz w:val="21"/>
                <w:szCs w:val="21"/>
              </w:rPr>
              <w:t>0</w:t>
            </w:r>
          </w:p>
        </w:tc>
        <w:tc>
          <w:tcPr>
            <w:tcW w:w="570" w:type="pct"/>
            <w:noWrap w:val="0"/>
            <w:vAlign w:val="center"/>
          </w:tcPr>
          <w:p w14:paraId="3B6A4AE7">
            <w:pPr>
              <w:widowControl w:val="0"/>
              <w:jc w:val="center"/>
              <w:rPr>
                <w:rFonts w:ascii="Times New Roman" w:hAnsi="Times New Roman" w:cs="Times New Roman"/>
                <w:sz w:val="21"/>
                <w:szCs w:val="21"/>
              </w:rPr>
            </w:pPr>
            <w:r>
              <w:rPr>
                <w:rFonts w:hint="eastAsia" w:ascii="Times New Roman" w:hAnsi="Times New Roman" w:cs="Times New Roman"/>
                <w:sz w:val="21"/>
                <w:szCs w:val="21"/>
              </w:rPr>
              <w:t>0</w:t>
            </w:r>
          </w:p>
        </w:tc>
        <w:tc>
          <w:tcPr>
            <w:tcW w:w="623" w:type="pct"/>
            <w:noWrap w:val="0"/>
            <w:vAlign w:val="center"/>
          </w:tcPr>
          <w:p w14:paraId="22E03637">
            <w:pPr>
              <w:widowControl w:val="0"/>
              <w:jc w:val="center"/>
              <w:rPr>
                <w:rFonts w:ascii="Times New Roman" w:hAnsi="Times New Roman" w:cs="Times New Roman"/>
                <w:sz w:val="21"/>
                <w:szCs w:val="21"/>
              </w:rPr>
            </w:pPr>
            <w:r>
              <w:rPr>
                <w:rFonts w:hint="eastAsia" w:ascii="Times New Roman" w:hAnsi="Times New Roman" w:cs="Times New Roman"/>
                <w:sz w:val="21"/>
                <w:szCs w:val="21"/>
              </w:rPr>
              <w:t>0</w:t>
            </w:r>
          </w:p>
        </w:tc>
        <w:tc>
          <w:tcPr>
            <w:tcW w:w="570" w:type="pct"/>
            <w:noWrap w:val="0"/>
            <w:vAlign w:val="center"/>
          </w:tcPr>
          <w:p w14:paraId="056577AD">
            <w:pPr>
              <w:widowControl w:val="0"/>
              <w:jc w:val="center"/>
              <w:rPr>
                <w:rFonts w:ascii="Times New Roman" w:hAnsi="Times New Roman" w:cs="Times New Roman"/>
                <w:sz w:val="21"/>
                <w:szCs w:val="21"/>
              </w:rPr>
            </w:pPr>
            <w:r>
              <w:rPr>
                <w:rFonts w:hint="eastAsia" w:ascii="Times New Roman" w:hAnsi="Times New Roman" w:cs="Times New Roman"/>
                <w:sz w:val="21"/>
                <w:szCs w:val="21"/>
              </w:rPr>
              <w:t>0</w:t>
            </w:r>
          </w:p>
        </w:tc>
        <w:tc>
          <w:tcPr>
            <w:tcW w:w="519" w:type="pct"/>
            <w:noWrap w:val="0"/>
            <w:vAlign w:val="center"/>
          </w:tcPr>
          <w:p w14:paraId="126F74E4">
            <w:pPr>
              <w:widowControl w:val="0"/>
              <w:jc w:val="center"/>
              <w:rPr>
                <w:rFonts w:ascii="Times New Roman" w:hAnsi="Times New Roman" w:cs="Times New Roman"/>
                <w:sz w:val="21"/>
                <w:szCs w:val="21"/>
              </w:rPr>
            </w:pPr>
            <w:r>
              <w:rPr>
                <w:rFonts w:hint="eastAsia" w:ascii="Times New Roman" w:hAnsi="Times New Roman" w:cs="Times New Roman"/>
                <w:sz w:val="21"/>
                <w:szCs w:val="21"/>
              </w:rPr>
              <w:t>0</w:t>
            </w:r>
          </w:p>
        </w:tc>
        <w:tc>
          <w:tcPr>
            <w:tcW w:w="495" w:type="pct"/>
            <w:noWrap w:val="0"/>
            <w:vAlign w:val="center"/>
          </w:tcPr>
          <w:p w14:paraId="004FC566">
            <w:pPr>
              <w:jc w:val="center"/>
              <w:rPr>
                <w:rFonts w:ascii="Times New Roman" w:hAnsi="Times New Roman" w:cs="Times New Roman"/>
                <w:sz w:val="21"/>
                <w:szCs w:val="21"/>
              </w:rPr>
            </w:pPr>
            <w:r>
              <w:rPr>
                <w:rFonts w:ascii="Times New Roman" w:hAnsi="Times New Roman" w:cs="Times New Roman"/>
                <w:sz w:val="21"/>
                <w:szCs w:val="21"/>
              </w:rPr>
              <w:t>--</w:t>
            </w:r>
          </w:p>
        </w:tc>
      </w:tr>
      <w:tr w14:paraId="380732B6">
        <w:tblPrEx>
          <w:tblBorders>
            <w:top w:val="thinThickSmallGap" w:color="auto" w:sz="12" w:space="0"/>
            <w:left w:val="none" w:color="auto" w:sz="0" w:space="0"/>
            <w:bottom w:val="thickThinSmallGap"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97" w:hRule="atLeast"/>
        </w:trPr>
        <w:tc>
          <w:tcPr>
            <w:tcW w:w="184" w:type="pct"/>
            <w:vMerge w:val="restart"/>
            <w:noWrap w:val="0"/>
            <w:vAlign w:val="center"/>
          </w:tcPr>
          <w:p w14:paraId="647F9E12">
            <w:pPr>
              <w:widowControl w:val="0"/>
              <w:snapToGrid w:val="0"/>
              <w:jc w:val="center"/>
              <w:rPr>
                <w:rFonts w:ascii="Times New Roman" w:hAnsi="Times New Roman" w:cs="Times New Roman"/>
                <w:sz w:val="21"/>
                <w:szCs w:val="21"/>
              </w:rPr>
            </w:pPr>
            <w:r>
              <w:rPr>
                <w:rFonts w:ascii="Times New Roman" w:hAnsi="Times New Roman" w:cs="Times New Roman"/>
                <w:sz w:val="21"/>
                <w:szCs w:val="21"/>
              </w:rPr>
              <w:t>固废</w:t>
            </w:r>
          </w:p>
        </w:tc>
        <w:tc>
          <w:tcPr>
            <w:tcW w:w="284" w:type="pct"/>
            <w:vMerge w:val="restart"/>
            <w:noWrap w:val="0"/>
            <w:vAlign w:val="center"/>
          </w:tcPr>
          <w:p w14:paraId="6940D0D2">
            <w:pPr>
              <w:widowControl w:val="0"/>
              <w:snapToGrid w:val="0"/>
              <w:jc w:val="center"/>
              <w:rPr>
                <w:rFonts w:ascii="Times New Roman" w:hAnsi="Times New Roman" w:cs="Times New Roman"/>
                <w:sz w:val="21"/>
                <w:szCs w:val="21"/>
              </w:rPr>
            </w:pPr>
            <w:r>
              <w:rPr>
                <w:rFonts w:hint="eastAsia" w:ascii="Times New Roman" w:hAnsi="Times New Roman" w:cs="Times New Roman"/>
                <w:sz w:val="21"/>
                <w:szCs w:val="21"/>
              </w:rPr>
              <w:t>一般工业固体废物</w:t>
            </w:r>
          </w:p>
        </w:tc>
        <w:tc>
          <w:tcPr>
            <w:tcW w:w="596" w:type="pct"/>
            <w:noWrap w:val="0"/>
            <w:vAlign w:val="center"/>
          </w:tcPr>
          <w:p w14:paraId="235C2611">
            <w:pPr>
              <w:jc w:val="center"/>
              <w:rPr>
                <w:rFonts w:ascii="Times New Roman" w:hAnsi="Times New Roman" w:cs="Times New Roman"/>
                <w:sz w:val="21"/>
                <w:szCs w:val="21"/>
              </w:rPr>
            </w:pPr>
            <w:r>
              <w:rPr>
                <w:rFonts w:hint="eastAsia" w:ascii="Times New Roman" w:hAnsi="Times New Roman" w:cs="Times New Roman"/>
                <w:sz w:val="21"/>
                <w:szCs w:val="21"/>
              </w:rPr>
              <w:t>布袋除尘灰</w:t>
            </w:r>
          </w:p>
        </w:tc>
        <w:tc>
          <w:tcPr>
            <w:tcW w:w="659" w:type="pct"/>
            <w:noWrap w:val="0"/>
            <w:vAlign w:val="center"/>
          </w:tcPr>
          <w:p w14:paraId="395B5BCF">
            <w:pPr>
              <w:jc w:val="center"/>
              <w:rPr>
                <w:rFonts w:hint="eastAsia" w:ascii="Times New Roman" w:hAnsi="Times New Roman" w:cs="Times New Roman"/>
                <w:sz w:val="21"/>
                <w:szCs w:val="21"/>
              </w:rPr>
            </w:pPr>
            <w:r>
              <w:rPr>
                <w:rFonts w:ascii="Times New Roman" w:hAnsi="Times New Roman" w:cs="Times New Roman"/>
                <w:kern w:val="2"/>
                <w:sz w:val="21"/>
                <w:szCs w:val="21"/>
              </w:rPr>
              <w:t>0（</w:t>
            </w:r>
            <w:r>
              <w:rPr>
                <w:rFonts w:hint="eastAsia" w:ascii="Times New Roman" w:hAnsi="Times New Roman" w:cs="Times New Roman"/>
                <w:kern w:val="2"/>
                <w:sz w:val="21"/>
                <w:szCs w:val="21"/>
              </w:rPr>
              <w:t>14507.1）</w:t>
            </w:r>
          </w:p>
        </w:tc>
        <w:tc>
          <w:tcPr>
            <w:tcW w:w="495" w:type="pct"/>
            <w:noWrap w:val="0"/>
            <w:vAlign w:val="center"/>
          </w:tcPr>
          <w:p w14:paraId="02315FD7">
            <w:pPr>
              <w:widowControl w:val="0"/>
              <w:snapToGrid w:val="0"/>
              <w:jc w:val="center"/>
              <w:rPr>
                <w:rFonts w:hint="eastAsia" w:ascii="Times New Roman" w:hAnsi="Times New Roman" w:cs="Times New Roman"/>
                <w:sz w:val="21"/>
                <w:szCs w:val="21"/>
              </w:rPr>
            </w:pPr>
            <w:r>
              <w:rPr>
                <w:rFonts w:hint="eastAsia" w:ascii="Times New Roman" w:hAnsi="Times New Roman" w:cs="Times New Roman"/>
                <w:sz w:val="21"/>
                <w:szCs w:val="21"/>
              </w:rPr>
              <w:t>0</w:t>
            </w:r>
          </w:p>
        </w:tc>
        <w:tc>
          <w:tcPr>
            <w:tcW w:w="570" w:type="pct"/>
            <w:noWrap w:val="0"/>
            <w:vAlign w:val="center"/>
          </w:tcPr>
          <w:p w14:paraId="576542FC">
            <w:pPr>
              <w:widowControl w:val="0"/>
              <w:ind w:left="-120" w:leftChars="-50" w:right="-120" w:rightChars="-50"/>
              <w:jc w:val="center"/>
              <w:rPr>
                <w:rFonts w:ascii="Times New Roman" w:hAnsi="Times New Roman" w:cs="Times New Roman"/>
                <w:sz w:val="21"/>
                <w:szCs w:val="21"/>
              </w:rPr>
            </w:pPr>
            <w:r>
              <w:rPr>
                <w:rFonts w:hint="eastAsia" w:ascii="Times New Roman" w:hAnsi="Times New Roman" w:cs="Times New Roman"/>
                <w:kern w:val="2"/>
                <w:sz w:val="21"/>
                <w:szCs w:val="21"/>
              </w:rPr>
              <w:t>0</w:t>
            </w:r>
            <w:r>
              <w:rPr>
                <w:rFonts w:hint="eastAsia" w:ascii="Times New Roman" w:hAnsi="Times New Roman" w:cs="Times New Roman"/>
                <w:sz w:val="21"/>
                <w:szCs w:val="21"/>
              </w:rPr>
              <w:t>（2321.13）</w:t>
            </w:r>
          </w:p>
        </w:tc>
        <w:tc>
          <w:tcPr>
            <w:tcW w:w="623" w:type="pct"/>
            <w:noWrap w:val="0"/>
            <w:vAlign w:val="center"/>
          </w:tcPr>
          <w:p w14:paraId="6A647D58">
            <w:pPr>
              <w:widowControl w:val="0"/>
              <w:snapToGrid w:val="0"/>
              <w:jc w:val="center"/>
              <w:rPr>
                <w:rFonts w:ascii="Times New Roman" w:hAnsi="Times New Roman" w:cs="Times New Roman"/>
                <w:sz w:val="21"/>
                <w:szCs w:val="21"/>
              </w:rPr>
            </w:pPr>
            <w:r>
              <w:rPr>
                <w:rFonts w:hint="eastAsia" w:ascii="Times New Roman" w:hAnsi="Times New Roman" w:cs="Times New Roman"/>
                <w:kern w:val="2"/>
                <w:sz w:val="21"/>
                <w:szCs w:val="21"/>
              </w:rPr>
              <w:t>0</w:t>
            </w:r>
          </w:p>
        </w:tc>
        <w:tc>
          <w:tcPr>
            <w:tcW w:w="570" w:type="pct"/>
            <w:noWrap w:val="0"/>
            <w:vAlign w:val="center"/>
          </w:tcPr>
          <w:p w14:paraId="465869C3">
            <w:pPr>
              <w:widowControl w:val="0"/>
              <w:jc w:val="center"/>
              <w:rPr>
                <w:rFonts w:ascii="Times New Roman" w:hAnsi="Times New Roman" w:cs="Times New Roman"/>
                <w:sz w:val="21"/>
                <w:szCs w:val="21"/>
              </w:rPr>
            </w:pPr>
            <w:r>
              <w:rPr>
                <w:rFonts w:hint="eastAsia" w:ascii="Times New Roman" w:hAnsi="Times New Roman" w:cs="Times New Roman"/>
                <w:kern w:val="2"/>
                <w:sz w:val="21"/>
                <w:szCs w:val="21"/>
              </w:rPr>
              <w:t>0（16828.23）</w:t>
            </w:r>
          </w:p>
        </w:tc>
        <w:tc>
          <w:tcPr>
            <w:tcW w:w="519" w:type="pct"/>
            <w:noWrap w:val="0"/>
            <w:vAlign w:val="center"/>
          </w:tcPr>
          <w:p w14:paraId="6F68F2F5">
            <w:pPr>
              <w:widowControl w:val="0"/>
              <w:ind w:left="-120" w:leftChars="-50" w:right="-120" w:rightChars="-50"/>
              <w:jc w:val="center"/>
              <w:rPr>
                <w:rFonts w:ascii="Times New Roman" w:hAnsi="Times New Roman" w:cs="Times New Roman"/>
                <w:sz w:val="21"/>
                <w:szCs w:val="21"/>
              </w:rPr>
            </w:pPr>
            <w:r>
              <w:rPr>
                <w:rFonts w:hint="eastAsia" w:ascii="Times New Roman" w:hAnsi="Times New Roman" w:cs="Times New Roman"/>
                <w:kern w:val="2"/>
                <w:sz w:val="21"/>
                <w:szCs w:val="21"/>
              </w:rPr>
              <w:t>0</w:t>
            </w:r>
            <w:r>
              <w:rPr>
                <w:rFonts w:hint="eastAsia" w:ascii="Times New Roman" w:hAnsi="Times New Roman" w:cs="Times New Roman"/>
                <w:sz w:val="21"/>
                <w:szCs w:val="21"/>
              </w:rPr>
              <w:t>（2321.13）</w:t>
            </w:r>
          </w:p>
        </w:tc>
        <w:tc>
          <w:tcPr>
            <w:tcW w:w="495" w:type="pct"/>
            <w:noWrap w:val="0"/>
            <w:vAlign w:val="center"/>
          </w:tcPr>
          <w:p w14:paraId="0BE345F2">
            <w:pPr>
              <w:widowControl w:val="0"/>
              <w:snapToGrid w:val="0"/>
              <w:jc w:val="center"/>
              <w:rPr>
                <w:rFonts w:ascii="Times New Roman" w:hAnsi="Times New Roman" w:cs="Times New Roman"/>
                <w:sz w:val="21"/>
                <w:szCs w:val="21"/>
              </w:rPr>
            </w:pPr>
            <w:r>
              <w:rPr>
                <w:rFonts w:hint="eastAsia" w:ascii="Times New Roman" w:hAnsi="Times New Roman" w:cs="Times New Roman"/>
                <w:sz w:val="21"/>
                <w:szCs w:val="21"/>
              </w:rPr>
              <w:t>--</w:t>
            </w:r>
          </w:p>
        </w:tc>
      </w:tr>
      <w:tr w14:paraId="3A313488">
        <w:tblPrEx>
          <w:tblBorders>
            <w:top w:val="thinThickSmallGap" w:color="auto" w:sz="12" w:space="0"/>
            <w:left w:val="none" w:color="auto" w:sz="0" w:space="0"/>
            <w:bottom w:val="thickThinSmallGap"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97" w:hRule="atLeast"/>
        </w:trPr>
        <w:tc>
          <w:tcPr>
            <w:tcW w:w="184" w:type="pct"/>
            <w:vMerge w:val="continue"/>
            <w:noWrap w:val="0"/>
            <w:vAlign w:val="center"/>
          </w:tcPr>
          <w:p w14:paraId="0159C5DA">
            <w:pPr>
              <w:jc w:val="center"/>
              <w:rPr>
                <w:rFonts w:ascii="Times New Roman" w:hAnsi="Times New Roman" w:cs="Times New Roman"/>
                <w:sz w:val="21"/>
                <w:szCs w:val="21"/>
              </w:rPr>
            </w:pPr>
          </w:p>
        </w:tc>
        <w:tc>
          <w:tcPr>
            <w:tcW w:w="284" w:type="pct"/>
            <w:vMerge w:val="continue"/>
            <w:noWrap w:val="0"/>
            <w:vAlign w:val="center"/>
          </w:tcPr>
          <w:p w14:paraId="19335436">
            <w:pPr>
              <w:jc w:val="center"/>
              <w:rPr>
                <w:rFonts w:ascii="Times New Roman" w:hAnsi="Times New Roman" w:cs="Times New Roman"/>
                <w:sz w:val="21"/>
                <w:szCs w:val="21"/>
              </w:rPr>
            </w:pPr>
          </w:p>
        </w:tc>
        <w:tc>
          <w:tcPr>
            <w:tcW w:w="596" w:type="pct"/>
            <w:noWrap w:val="0"/>
            <w:vAlign w:val="center"/>
          </w:tcPr>
          <w:p w14:paraId="5442F9AB">
            <w:pPr>
              <w:jc w:val="center"/>
              <w:rPr>
                <w:rFonts w:hint="eastAsia" w:ascii="Times New Roman" w:hAnsi="Times New Roman" w:cs="Times New Roman"/>
                <w:sz w:val="21"/>
                <w:szCs w:val="21"/>
              </w:rPr>
            </w:pPr>
            <w:r>
              <w:rPr>
                <w:rFonts w:hint="eastAsia" w:ascii="Times New Roman" w:hAnsi="Times New Roman" w:cs="Times New Roman"/>
                <w:sz w:val="21"/>
                <w:szCs w:val="21"/>
              </w:rPr>
              <w:t>除尘泥</w:t>
            </w:r>
          </w:p>
        </w:tc>
        <w:tc>
          <w:tcPr>
            <w:tcW w:w="659" w:type="pct"/>
            <w:noWrap w:val="0"/>
            <w:vAlign w:val="center"/>
          </w:tcPr>
          <w:p w14:paraId="477E7521">
            <w:pPr>
              <w:jc w:val="center"/>
              <w:rPr>
                <w:rFonts w:ascii="Times New Roman" w:hAnsi="Times New Roman" w:cs="Times New Roman"/>
                <w:kern w:val="2"/>
                <w:sz w:val="21"/>
                <w:szCs w:val="21"/>
              </w:rPr>
            </w:pPr>
            <w:r>
              <w:rPr>
                <w:rFonts w:ascii="Times New Roman" w:hAnsi="Times New Roman" w:cs="Times New Roman"/>
                <w:kern w:val="2"/>
                <w:sz w:val="21"/>
                <w:szCs w:val="21"/>
              </w:rPr>
              <w:t>0（4654）</w:t>
            </w:r>
          </w:p>
        </w:tc>
        <w:tc>
          <w:tcPr>
            <w:tcW w:w="495" w:type="pct"/>
            <w:noWrap w:val="0"/>
            <w:vAlign w:val="center"/>
          </w:tcPr>
          <w:p w14:paraId="3C643E7E">
            <w:pPr>
              <w:widowControl w:val="0"/>
              <w:snapToGrid w:val="0"/>
              <w:jc w:val="center"/>
              <w:rPr>
                <w:rFonts w:hint="eastAsia" w:ascii="Times New Roman" w:hAnsi="Times New Roman" w:cs="Times New Roman"/>
                <w:sz w:val="21"/>
                <w:szCs w:val="21"/>
              </w:rPr>
            </w:pPr>
            <w:r>
              <w:rPr>
                <w:rFonts w:hint="eastAsia" w:ascii="Times New Roman" w:hAnsi="Times New Roman" w:cs="Times New Roman"/>
                <w:sz w:val="21"/>
                <w:szCs w:val="21"/>
              </w:rPr>
              <w:t>0</w:t>
            </w:r>
          </w:p>
        </w:tc>
        <w:tc>
          <w:tcPr>
            <w:tcW w:w="570" w:type="pct"/>
            <w:noWrap w:val="0"/>
            <w:vAlign w:val="center"/>
          </w:tcPr>
          <w:p w14:paraId="4680A450">
            <w:pPr>
              <w:widowControl w:val="0"/>
              <w:jc w:val="center"/>
              <w:rPr>
                <w:rFonts w:ascii="Times New Roman" w:hAnsi="Times New Roman" w:cs="Times New Roman"/>
                <w:sz w:val="21"/>
                <w:szCs w:val="21"/>
              </w:rPr>
            </w:pPr>
            <w:r>
              <w:rPr>
                <w:rFonts w:hint="eastAsia" w:ascii="Times New Roman" w:hAnsi="Times New Roman" w:cs="Times New Roman"/>
                <w:sz w:val="21"/>
                <w:szCs w:val="21"/>
              </w:rPr>
              <w:t>0</w:t>
            </w:r>
          </w:p>
        </w:tc>
        <w:tc>
          <w:tcPr>
            <w:tcW w:w="623" w:type="pct"/>
            <w:noWrap w:val="0"/>
            <w:vAlign w:val="center"/>
          </w:tcPr>
          <w:p w14:paraId="70237C01">
            <w:pPr>
              <w:widowControl w:val="0"/>
              <w:snapToGrid w:val="0"/>
              <w:jc w:val="center"/>
              <w:rPr>
                <w:rFonts w:ascii="Times New Roman" w:hAnsi="Times New Roman" w:cs="Times New Roman"/>
                <w:sz w:val="21"/>
                <w:szCs w:val="21"/>
              </w:rPr>
            </w:pPr>
            <w:r>
              <w:rPr>
                <w:rFonts w:hint="eastAsia" w:ascii="Times New Roman" w:hAnsi="Times New Roman" w:cs="Times New Roman"/>
                <w:sz w:val="21"/>
                <w:szCs w:val="21"/>
              </w:rPr>
              <w:t>0</w:t>
            </w:r>
          </w:p>
        </w:tc>
        <w:tc>
          <w:tcPr>
            <w:tcW w:w="570" w:type="pct"/>
            <w:noWrap w:val="0"/>
            <w:vAlign w:val="center"/>
          </w:tcPr>
          <w:p w14:paraId="0CF35C7D">
            <w:pPr>
              <w:jc w:val="center"/>
              <w:rPr>
                <w:rFonts w:ascii="Times New Roman" w:hAnsi="Times New Roman" w:cs="Times New Roman"/>
                <w:kern w:val="2"/>
                <w:sz w:val="21"/>
                <w:szCs w:val="21"/>
              </w:rPr>
            </w:pPr>
            <w:r>
              <w:rPr>
                <w:rFonts w:ascii="Times New Roman" w:hAnsi="Times New Roman" w:cs="Times New Roman"/>
                <w:kern w:val="2"/>
                <w:sz w:val="21"/>
                <w:szCs w:val="21"/>
              </w:rPr>
              <w:t>0（4654）</w:t>
            </w:r>
          </w:p>
        </w:tc>
        <w:tc>
          <w:tcPr>
            <w:tcW w:w="519" w:type="pct"/>
            <w:noWrap w:val="0"/>
            <w:vAlign w:val="center"/>
          </w:tcPr>
          <w:p w14:paraId="5F1FC5F6">
            <w:pPr>
              <w:widowControl w:val="0"/>
              <w:jc w:val="center"/>
              <w:rPr>
                <w:rFonts w:ascii="Times New Roman" w:hAnsi="Times New Roman" w:cs="Times New Roman"/>
                <w:sz w:val="21"/>
                <w:szCs w:val="21"/>
              </w:rPr>
            </w:pPr>
            <w:r>
              <w:rPr>
                <w:rFonts w:hint="eastAsia" w:ascii="Times New Roman" w:hAnsi="Times New Roman" w:cs="Times New Roman"/>
                <w:sz w:val="21"/>
                <w:szCs w:val="21"/>
              </w:rPr>
              <w:t>0</w:t>
            </w:r>
          </w:p>
        </w:tc>
        <w:tc>
          <w:tcPr>
            <w:tcW w:w="495" w:type="pct"/>
            <w:noWrap w:val="0"/>
            <w:vAlign w:val="center"/>
          </w:tcPr>
          <w:p w14:paraId="66A6A730">
            <w:pPr>
              <w:widowControl w:val="0"/>
              <w:snapToGrid w:val="0"/>
              <w:jc w:val="center"/>
              <w:rPr>
                <w:rFonts w:hint="eastAsia" w:ascii="Times New Roman" w:hAnsi="Times New Roman" w:cs="Times New Roman"/>
                <w:sz w:val="21"/>
                <w:szCs w:val="21"/>
              </w:rPr>
            </w:pPr>
            <w:r>
              <w:rPr>
                <w:rFonts w:hint="eastAsia" w:ascii="Times New Roman" w:hAnsi="Times New Roman" w:cs="Times New Roman"/>
                <w:sz w:val="21"/>
                <w:szCs w:val="21"/>
              </w:rPr>
              <w:t>--</w:t>
            </w:r>
          </w:p>
        </w:tc>
      </w:tr>
      <w:tr w14:paraId="02BC698A">
        <w:tblPrEx>
          <w:tblBorders>
            <w:top w:val="thinThickSmallGap" w:color="auto" w:sz="12" w:space="0"/>
            <w:left w:val="none" w:color="auto" w:sz="0" w:space="0"/>
            <w:bottom w:val="thickThinSmallGap"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97" w:hRule="atLeast"/>
        </w:trPr>
        <w:tc>
          <w:tcPr>
            <w:tcW w:w="184" w:type="pct"/>
            <w:vMerge w:val="continue"/>
            <w:noWrap w:val="0"/>
            <w:vAlign w:val="center"/>
          </w:tcPr>
          <w:p w14:paraId="3445A167">
            <w:pPr>
              <w:jc w:val="center"/>
              <w:rPr>
                <w:rFonts w:ascii="Times New Roman" w:hAnsi="Times New Roman" w:cs="Times New Roman"/>
                <w:sz w:val="21"/>
                <w:szCs w:val="21"/>
              </w:rPr>
            </w:pPr>
          </w:p>
        </w:tc>
        <w:tc>
          <w:tcPr>
            <w:tcW w:w="284" w:type="pct"/>
            <w:vMerge w:val="continue"/>
            <w:noWrap w:val="0"/>
            <w:vAlign w:val="center"/>
          </w:tcPr>
          <w:p w14:paraId="7F8A20C6">
            <w:pPr>
              <w:jc w:val="center"/>
              <w:rPr>
                <w:rFonts w:ascii="Times New Roman" w:hAnsi="Times New Roman" w:cs="Times New Roman"/>
                <w:sz w:val="21"/>
                <w:szCs w:val="21"/>
              </w:rPr>
            </w:pPr>
          </w:p>
        </w:tc>
        <w:tc>
          <w:tcPr>
            <w:tcW w:w="596" w:type="pct"/>
            <w:noWrap w:val="0"/>
            <w:vAlign w:val="center"/>
          </w:tcPr>
          <w:p w14:paraId="427D22AB">
            <w:pPr>
              <w:jc w:val="center"/>
              <w:rPr>
                <w:rFonts w:hint="default" w:ascii="Times New Roman" w:hAnsi="Times New Roman" w:eastAsia="宋体" w:cs="Times New Roman"/>
                <w:sz w:val="21"/>
                <w:szCs w:val="21"/>
                <w:lang w:val="en-US" w:eastAsia="zh-CN"/>
              </w:rPr>
            </w:pPr>
            <w:r>
              <w:rPr>
                <w:rFonts w:hint="eastAsia" w:ascii="Times New Roman" w:hAnsi="Times New Roman" w:cs="Times New Roman"/>
                <w:sz w:val="21"/>
                <w:szCs w:val="21"/>
                <w:lang w:val="en-US" w:eastAsia="zh-CN"/>
              </w:rPr>
              <w:t>废布袋</w:t>
            </w:r>
          </w:p>
        </w:tc>
        <w:tc>
          <w:tcPr>
            <w:tcW w:w="659" w:type="pct"/>
            <w:noWrap w:val="0"/>
            <w:vAlign w:val="center"/>
          </w:tcPr>
          <w:p w14:paraId="3F8D5C7A">
            <w:pPr>
              <w:jc w:val="center"/>
              <w:rPr>
                <w:rFonts w:hint="eastAsia" w:ascii="Times New Roman" w:hAnsi="Times New Roman" w:cs="Times New Roman"/>
                <w:sz w:val="21"/>
                <w:szCs w:val="21"/>
              </w:rPr>
            </w:pPr>
            <w:r>
              <w:rPr>
                <w:rFonts w:ascii="Times New Roman" w:hAnsi="Times New Roman" w:cs="Times New Roman"/>
                <w:kern w:val="2"/>
                <w:sz w:val="21"/>
                <w:szCs w:val="21"/>
              </w:rPr>
              <w:t>0（</w:t>
            </w:r>
            <w:r>
              <w:rPr>
                <w:rFonts w:hint="eastAsia" w:ascii="Times New Roman" w:hAnsi="Times New Roman" w:cs="Times New Roman"/>
                <w:kern w:val="2"/>
                <w:sz w:val="21"/>
                <w:szCs w:val="21"/>
              </w:rPr>
              <w:t>0</w:t>
            </w:r>
            <w:r>
              <w:rPr>
                <w:rFonts w:ascii="Times New Roman" w:hAnsi="Times New Roman" w:cs="Times New Roman"/>
                <w:kern w:val="2"/>
                <w:sz w:val="21"/>
                <w:szCs w:val="21"/>
              </w:rPr>
              <w:t>.5）</w:t>
            </w:r>
          </w:p>
        </w:tc>
        <w:tc>
          <w:tcPr>
            <w:tcW w:w="495" w:type="pct"/>
            <w:noWrap w:val="0"/>
            <w:vAlign w:val="center"/>
          </w:tcPr>
          <w:p w14:paraId="5911393E">
            <w:pPr>
              <w:widowControl w:val="0"/>
              <w:snapToGrid w:val="0"/>
              <w:jc w:val="center"/>
              <w:rPr>
                <w:rFonts w:hint="eastAsia" w:ascii="Times New Roman" w:hAnsi="Times New Roman" w:cs="Times New Roman"/>
                <w:sz w:val="21"/>
                <w:szCs w:val="21"/>
              </w:rPr>
            </w:pPr>
            <w:r>
              <w:rPr>
                <w:rFonts w:hint="eastAsia" w:ascii="Times New Roman" w:hAnsi="Times New Roman" w:cs="Times New Roman"/>
                <w:sz w:val="21"/>
                <w:szCs w:val="21"/>
              </w:rPr>
              <w:t>0</w:t>
            </w:r>
          </w:p>
        </w:tc>
        <w:tc>
          <w:tcPr>
            <w:tcW w:w="570" w:type="pct"/>
            <w:noWrap w:val="0"/>
            <w:vAlign w:val="center"/>
          </w:tcPr>
          <w:p w14:paraId="1E75D996">
            <w:pPr>
              <w:widowControl w:val="0"/>
              <w:jc w:val="center"/>
              <w:rPr>
                <w:rFonts w:hint="eastAsia" w:ascii="Times New Roman" w:hAnsi="Times New Roman" w:cs="Times New Roman"/>
                <w:sz w:val="21"/>
                <w:szCs w:val="21"/>
              </w:rPr>
            </w:pPr>
            <w:r>
              <w:rPr>
                <w:rFonts w:hint="eastAsia" w:ascii="Times New Roman" w:hAnsi="Times New Roman" w:cs="Times New Roman"/>
                <w:sz w:val="21"/>
                <w:szCs w:val="21"/>
              </w:rPr>
              <w:t>0</w:t>
            </w:r>
          </w:p>
        </w:tc>
        <w:tc>
          <w:tcPr>
            <w:tcW w:w="623" w:type="pct"/>
            <w:noWrap w:val="0"/>
            <w:vAlign w:val="center"/>
          </w:tcPr>
          <w:p w14:paraId="57C37AFB">
            <w:pPr>
              <w:widowControl w:val="0"/>
              <w:snapToGrid w:val="0"/>
              <w:jc w:val="center"/>
              <w:rPr>
                <w:rFonts w:hint="eastAsia" w:ascii="Times New Roman" w:hAnsi="Times New Roman" w:cs="Times New Roman"/>
                <w:sz w:val="21"/>
                <w:szCs w:val="21"/>
              </w:rPr>
            </w:pPr>
            <w:r>
              <w:rPr>
                <w:rFonts w:hint="eastAsia" w:ascii="Times New Roman" w:hAnsi="Times New Roman" w:cs="Times New Roman"/>
                <w:sz w:val="21"/>
                <w:szCs w:val="21"/>
              </w:rPr>
              <w:t>0</w:t>
            </w:r>
          </w:p>
        </w:tc>
        <w:tc>
          <w:tcPr>
            <w:tcW w:w="570" w:type="pct"/>
            <w:noWrap w:val="0"/>
            <w:vAlign w:val="center"/>
          </w:tcPr>
          <w:p w14:paraId="468A126B">
            <w:pPr>
              <w:widowControl w:val="0"/>
              <w:jc w:val="center"/>
              <w:rPr>
                <w:rFonts w:hint="eastAsia" w:ascii="Times New Roman" w:hAnsi="Times New Roman" w:cs="Times New Roman"/>
                <w:kern w:val="2"/>
                <w:sz w:val="21"/>
                <w:szCs w:val="21"/>
              </w:rPr>
            </w:pPr>
            <w:r>
              <w:rPr>
                <w:rFonts w:hint="eastAsia" w:ascii="Times New Roman" w:hAnsi="Times New Roman" w:cs="Times New Roman"/>
                <w:kern w:val="2"/>
                <w:sz w:val="21"/>
                <w:szCs w:val="21"/>
              </w:rPr>
              <w:t>0（</w:t>
            </w:r>
            <w:r>
              <w:rPr>
                <w:rFonts w:ascii="Times New Roman" w:hAnsi="Times New Roman" w:cs="Times New Roman"/>
                <w:kern w:val="2"/>
                <w:sz w:val="21"/>
                <w:szCs w:val="21"/>
              </w:rPr>
              <w:t>0.5</w:t>
            </w:r>
            <w:r>
              <w:rPr>
                <w:rFonts w:hint="eastAsia" w:ascii="Times New Roman" w:hAnsi="Times New Roman" w:cs="Times New Roman"/>
                <w:kern w:val="2"/>
                <w:sz w:val="21"/>
                <w:szCs w:val="21"/>
              </w:rPr>
              <w:t>）</w:t>
            </w:r>
          </w:p>
        </w:tc>
        <w:tc>
          <w:tcPr>
            <w:tcW w:w="519" w:type="pct"/>
            <w:noWrap w:val="0"/>
            <w:vAlign w:val="center"/>
          </w:tcPr>
          <w:p w14:paraId="6552F2D2">
            <w:pPr>
              <w:widowControl w:val="0"/>
              <w:jc w:val="center"/>
              <w:rPr>
                <w:rFonts w:hint="eastAsia" w:ascii="Times New Roman" w:hAnsi="Times New Roman" w:cs="Times New Roman"/>
                <w:sz w:val="21"/>
                <w:szCs w:val="21"/>
              </w:rPr>
            </w:pPr>
            <w:r>
              <w:rPr>
                <w:rFonts w:hint="eastAsia" w:ascii="Times New Roman" w:hAnsi="Times New Roman" w:cs="Times New Roman"/>
                <w:sz w:val="21"/>
                <w:szCs w:val="21"/>
              </w:rPr>
              <w:t>0</w:t>
            </w:r>
          </w:p>
        </w:tc>
        <w:tc>
          <w:tcPr>
            <w:tcW w:w="495" w:type="pct"/>
            <w:noWrap w:val="0"/>
            <w:vAlign w:val="center"/>
          </w:tcPr>
          <w:p w14:paraId="2A395402">
            <w:pPr>
              <w:jc w:val="center"/>
              <w:rPr>
                <w:rFonts w:ascii="Times New Roman" w:hAnsi="Times New Roman" w:cs="Times New Roman"/>
                <w:sz w:val="21"/>
                <w:szCs w:val="21"/>
              </w:rPr>
            </w:pPr>
            <w:r>
              <w:rPr>
                <w:rFonts w:ascii="Times New Roman" w:hAnsi="Times New Roman" w:cs="Times New Roman"/>
                <w:sz w:val="21"/>
                <w:szCs w:val="21"/>
              </w:rPr>
              <w:t>--</w:t>
            </w:r>
          </w:p>
        </w:tc>
      </w:tr>
      <w:tr w14:paraId="6A598944">
        <w:tblPrEx>
          <w:tblBorders>
            <w:top w:val="thinThickSmallGap" w:color="auto" w:sz="12" w:space="0"/>
            <w:left w:val="none" w:color="auto" w:sz="0" w:space="0"/>
            <w:bottom w:val="thickThinSmallGap"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97" w:hRule="atLeast"/>
        </w:trPr>
        <w:tc>
          <w:tcPr>
            <w:tcW w:w="184" w:type="pct"/>
            <w:vMerge w:val="continue"/>
            <w:noWrap w:val="0"/>
            <w:vAlign w:val="center"/>
          </w:tcPr>
          <w:p w14:paraId="06FF9337">
            <w:pPr>
              <w:jc w:val="center"/>
              <w:rPr>
                <w:rFonts w:ascii="Times New Roman" w:hAnsi="Times New Roman" w:cs="Times New Roman"/>
                <w:sz w:val="21"/>
                <w:szCs w:val="21"/>
              </w:rPr>
            </w:pPr>
          </w:p>
        </w:tc>
        <w:tc>
          <w:tcPr>
            <w:tcW w:w="284" w:type="pct"/>
            <w:vMerge w:val="restart"/>
            <w:noWrap w:val="0"/>
            <w:vAlign w:val="center"/>
          </w:tcPr>
          <w:p w14:paraId="483AAE4F">
            <w:pPr>
              <w:jc w:val="center"/>
              <w:rPr>
                <w:rFonts w:ascii="Times New Roman" w:hAnsi="Times New Roman" w:cs="Times New Roman"/>
                <w:sz w:val="21"/>
                <w:szCs w:val="21"/>
              </w:rPr>
            </w:pPr>
            <w:r>
              <w:rPr>
                <w:rFonts w:hint="eastAsia" w:ascii="Times New Roman" w:hAnsi="Times New Roman" w:cs="Times New Roman"/>
                <w:sz w:val="21"/>
                <w:szCs w:val="21"/>
              </w:rPr>
              <w:t>危险废物</w:t>
            </w:r>
          </w:p>
        </w:tc>
        <w:tc>
          <w:tcPr>
            <w:tcW w:w="596" w:type="pct"/>
            <w:noWrap w:val="0"/>
            <w:vAlign w:val="center"/>
          </w:tcPr>
          <w:p w14:paraId="41BCCCDC">
            <w:pPr>
              <w:jc w:val="center"/>
              <w:rPr>
                <w:rFonts w:hint="eastAsia" w:ascii="Times New Roman" w:hAnsi="Times New Roman" w:cs="Times New Roman"/>
                <w:sz w:val="21"/>
                <w:szCs w:val="21"/>
              </w:rPr>
            </w:pPr>
            <w:r>
              <w:rPr>
                <w:rFonts w:hint="eastAsia" w:ascii="Times New Roman" w:hAnsi="Times New Roman" w:cs="Times New Roman"/>
                <w:sz w:val="21"/>
                <w:szCs w:val="21"/>
              </w:rPr>
              <w:t>废</w:t>
            </w:r>
            <w:r>
              <w:rPr>
                <w:rFonts w:hint="eastAsia" w:ascii="Times New Roman" w:hAnsi="Times New Roman" w:cs="Times New Roman"/>
                <w:sz w:val="21"/>
                <w:szCs w:val="21"/>
                <w:lang w:val="en-US" w:eastAsia="zh-CN"/>
              </w:rPr>
              <w:t>机</w:t>
            </w:r>
            <w:r>
              <w:rPr>
                <w:rFonts w:hint="eastAsia" w:ascii="Times New Roman" w:hAnsi="Times New Roman" w:cs="Times New Roman"/>
                <w:sz w:val="21"/>
                <w:szCs w:val="21"/>
              </w:rPr>
              <w:t>油</w:t>
            </w:r>
          </w:p>
        </w:tc>
        <w:tc>
          <w:tcPr>
            <w:tcW w:w="659" w:type="pct"/>
            <w:noWrap w:val="0"/>
            <w:vAlign w:val="center"/>
          </w:tcPr>
          <w:p w14:paraId="449A3DD6">
            <w:pPr>
              <w:jc w:val="center"/>
              <w:rPr>
                <w:rFonts w:ascii="Times New Roman" w:hAnsi="Times New Roman" w:cs="Times New Roman"/>
                <w:kern w:val="2"/>
                <w:sz w:val="21"/>
                <w:szCs w:val="21"/>
              </w:rPr>
            </w:pPr>
            <w:r>
              <w:rPr>
                <w:rFonts w:ascii="Times New Roman" w:hAnsi="Times New Roman" w:cs="Times New Roman"/>
                <w:kern w:val="2"/>
                <w:sz w:val="21"/>
                <w:szCs w:val="21"/>
              </w:rPr>
              <w:t>0（4）</w:t>
            </w:r>
          </w:p>
        </w:tc>
        <w:tc>
          <w:tcPr>
            <w:tcW w:w="495" w:type="pct"/>
            <w:noWrap w:val="0"/>
            <w:vAlign w:val="center"/>
          </w:tcPr>
          <w:p w14:paraId="77E3129A">
            <w:pPr>
              <w:widowControl w:val="0"/>
              <w:snapToGrid w:val="0"/>
              <w:jc w:val="center"/>
              <w:rPr>
                <w:rFonts w:hint="eastAsia" w:ascii="Times New Roman" w:hAnsi="Times New Roman" w:cs="Times New Roman"/>
                <w:sz w:val="21"/>
                <w:szCs w:val="21"/>
              </w:rPr>
            </w:pPr>
            <w:r>
              <w:rPr>
                <w:rFonts w:hint="eastAsia" w:ascii="Times New Roman" w:hAnsi="Times New Roman" w:cs="Times New Roman"/>
                <w:sz w:val="21"/>
                <w:szCs w:val="21"/>
              </w:rPr>
              <w:t>0</w:t>
            </w:r>
          </w:p>
        </w:tc>
        <w:tc>
          <w:tcPr>
            <w:tcW w:w="570" w:type="pct"/>
            <w:noWrap w:val="0"/>
            <w:vAlign w:val="center"/>
          </w:tcPr>
          <w:p w14:paraId="66A107AB">
            <w:pPr>
              <w:widowControl w:val="0"/>
              <w:ind w:left="-120" w:leftChars="-50" w:right="-120" w:rightChars="-50"/>
              <w:jc w:val="center"/>
              <w:rPr>
                <w:rFonts w:ascii="Times New Roman" w:hAnsi="Times New Roman" w:cs="Times New Roman"/>
                <w:sz w:val="21"/>
                <w:szCs w:val="21"/>
              </w:rPr>
            </w:pPr>
            <w:r>
              <w:rPr>
                <w:rFonts w:hint="eastAsia" w:ascii="Times New Roman" w:hAnsi="Times New Roman" w:cs="Times New Roman"/>
                <w:sz w:val="21"/>
                <w:szCs w:val="21"/>
              </w:rPr>
              <w:t>0（0.72）</w:t>
            </w:r>
          </w:p>
        </w:tc>
        <w:tc>
          <w:tcPr>
            <w:tcW w:w="623" w:type="pct"/>
            <w:noWrap w:val="0"/>
            <w:vAlign w:val="center"/>
          </w:tcPr>
          <w:p w14:paraId="0B7B0BA1">
            <w:pPr>
              <w:widowControl w:val="0"/>
              <w:snapToGrid w:val="0"/>
              <w:jc w:val="center"/>
              <w:rPr>
                <w:rFonts w:ascii="Times New Roman" w:hAnsi="Times New Roman" w:cs="Times New Roman"/>
                <w:sz w:val="21"/>
                <w:szCs w:val="21"/>
              </w:rPr>
            </w:pPr>
            <w:r>
              <w:rPr>
                <w:rFonts w:hint="eastAsia" w:ascii="Times New Roman" w:hAnsi="Times New Roman" w:cs="Times New Roman"/>
                <w:sz w:val="21"/>
                <w:szCs w:val="21"/>
              </w:rPr>
              <w:t>0</w:t>
            </w:r>
          </w:p>
        </w:tc>
        <w:tc>
          <w:tcPr>
            <w:tcW w:w="570" w:type="pct"/>
            <w:noWrap w:val="0"/>
            <w:vAlign w:val="center"/>
          </w:tcPr>
          <w:p w14:paraId="55FAED4F">
            <w:pPr>
              <w:widowControl w:val="0"/>
              <w:jc w:val="center"/>
              <w:rPr>
                <w:rFonts w:ascii="Times New Roman" w:hAnsi="Times New Roman" w:cs="Times New Roman"/>
                <w:sz w:val="21"/>
                <w:szCs w:val="21"/>
              </w:rPr>
            </w:pPr>
            <w:r>
              <w:rPr>
                <w:rFonts w:hint="eastAsia" w:ascii="Times New Roman" w:hAnsi="Times New Roman" w:cs="Times New Roman"/>
                <w:kern w:val="2"/>
                <w:sz w:val="21"/>
                <w:szCs w:val="21"/>
              </w:rPr>
              <w:t>0（</w:t>
            </w:r>
            <w:r>
              <w:rPr>
                <w:rFonts w:ascii="Times New Roman" w:hAnsi="Times New Roman" w:cs="Times New Roman"/>
                <w:kern w:val="2"/>
                <w:sz w:val="21"/>
                <w:szCs w:val="21"/>
              </w:rPr>
              <w:t>4.72</w:t>
            </w:r>
            <w:r>
              <w:rPr>
                <w:rFonts w:hint="eastAsia" w:ascii="Times New Roman" w:hAnsi="Times New Roman" w:cs="Times New Roman"/>
                <w:kern w:val="2"/>
                <w:sz w:val="21"/>
                <w:szCs w:val="21"/>
              </w:rPr>
              <w:t>）</w:t>
            </w:r>
          </w:p>
        </w:tc>
        <w:tc>
          <w:tcPr>
            <w:tcW w:w="519" w:type="pct"/>
            <w:noWrap w:val="0"/>
            <w:vAlign w:val="center"/>
          </w:tcPr>
          <w:p w14:paraId="1D299423">
            <w:pPr>
              <w:widowControl w:val="0"/>
              <w:ind w:left="-120" w:leftChars="-50" w:right="-120" w:rightChars="-50"/>
              <w:jc w:val="center"/>
              <w:rPr>
                <w:rFonts w:ascii="Times New Roman" w:hAnsi="Times New Roman" w:cs="Times New Roman"/>
                <w:sz w:val="21"/>
                <w:szCs w:val="21"/>
              </w:rPr>
            </w:pPr>
            <w:r>
              <w:rPr>
                <w:rFonts w:hint="eastAsia" w:ascii="Times New Roman" w:hAnsi="Times New Roman" w:cs="Times New Roman"/>
                <w:sz w:val="21"/>
                <w:szCs w:val="21"/>
              </w:rPr>
              <w:t>0（0.72）</w:t>
            </w:r>
          </w:p>
        </w:tc>
        <w:tc>
          <w:tcPr>
            <w:tcW w:w="495" w:type="pct"/>
            <w:noWrap w:val="0"/>
            <w:vAlign w:val="center"/>
          </w:tcPr>
          <w:p w14:paraId="6C2FB668">
            <w:pPr>
              <w:widowControl w:val="0"/>
              <w:snapToGrid w:val="0"/>
              <w:jc w:val="center"/>
              <w:rPr>
                <w:rFonts w:hint="eastAsia" w:ascii="Times New Roman" w:hAnsi="Times New Roman" w:cs="Times New Roman"/>
                <w:sz w:val="21"/>
                <w:szCs w:val="21"/>
              </w:rPr>
            </w:pPr>
            <w:r>
              <w:rPr>
                <w:rFonts w:hint="eastAsia" w:ascii="Times New Roman" w:hAnsi="Times New Roman" w:cs="Times New Roman"/>
                <w:sz w:val="21"/>
                <w:szCs w:val="21"/>
              </w:rPr>
              <w:t>--</w:t>
            </w:r>
          </w:p>
        </w:tc>
      </w:tr>
      <w:tr w14:paraId="6ACBB0F0">
        <w:tblPrEx>
          <w:tblBorders>
            <w:top w:val="thinThickSmallGap" w:color="auto" w:sz="12" w:space="0"/>
            <w:left w:val="none" w:color="auto" w:sz="0" w:space="0"/>
            <w:bottom w:val="thickThinSmallGap"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97" w:hRule="atLeast"/>
        </w:trPr>
        <w:tc>
          <w:tcPr>
            <w:tcW w:w="184" w:type="pct"/>
            <w:vMerge w:val="continue"/>
            <w:noWrap w:val="0"/>
            <w:vAlign w:val="center"/>
          </w:tcPr>
          <w:p w14:paraId="3A163978">
            <w:pPr>
              <w:jc w:val="center"/>
              <w:rPr>
                <w:rFonts w:ascii="Times New Roman" w:hAnsi="Times New Roman" w:cs="Times New Roman"/>
                <w:sz w:val="21"/>
                <w:szCs w:val="21"/>
              </w:rPr>
            </w:pPr>
          </w:p>
        </w:tc>
        <w:tc>
          <w:tcPr>
            <w:tcW w:w="284" w:type="pct"/>
            <w:vMerge w:val="continue"/>
            <w:noWrap w:val="0"/>
            <w:vAlign w:val="center"/>
          </w:tcPr>
          <w:p w14:paraId="28B0F415">
            <w:pPr>
              <w:jc w:val="center"/>
              <w:rPr>
                <w:rFonts w:ascii="Times New Roman" w:hAnsi="Times New Roman" w:cs="Times New Roman"/>
                <w:sz w:val="21"/>
                <w:szCs w:val="21"/>
              </w:rPr>
            </w:pPr>
          </w:p>
        </w:tc>
        <w:tc>
          <w:tcPr>
            <w:tcW w:w="596" w:type="pct"/>
            <w:noWrap w:val="0"/>
            <w:vAlign w:val="center"/>
          </w:tcPr>
          <w:p w14:paraId="14EC994B">
            <w:pPr>
              <w:jc w:val="center"/>
              <w:rPr>
                <w:rFonts w:hint="eastAsia" w:ascii="Times New Roman" w:hAnsi="Times New Roman" w:eastAsia="宋体" w:cs="Times New Roman"/>
                <w:sz w:val="21"/>
                <w:szCs w:val="21"/>
                <w:lang w:eastAsia="zh-CN"/>
              </w:rPr>
            </w:pPr>
            <w:r>
              <w:rPr>
                <w:rFonts w:hint="eastAsia" w:ascii="Times New Roman" w:hAnsi="Times New Roman" w:cs="Times New Roman"/>
                <w:sz w:val="21"/>
                <w:szCs w:val="21"/>
                <w:lang w:val="en-US" w:eastAsia="zh-CN"/>
              </w:rPr>
              <w:t>废机油桶</w:t>
            </w:r>
          </w:p>
        </w:tc>
        <w:tc>
          <w:tcPr>
            <w:tcW w:w="659" w:type="pct"/>
            <w:noWrap w:val="0"/>
            <w:vAlign w:val="center"/>
          </w:tcPr>
          <w:p w14:paraId="1DD56260">
            <w:pPr>
              <w:jc w:val="center"/>
              <w:rPr>
                <w:rFonts w:ascii="Times New Roman" w:hAnsi="Times New Roman" w:cs="Times New Roman"/>
                <w:kern w:val="2"/>
                <w:sz w:val="21"/>
                <w:szCs w:val="21"/>
              </w:rPr>
            </w:pPr>
            <w:r>
              <w:rPr>
                <w:rFonts w:ascii="Times New Roman" w:hAnsi="Times New Roman" w:cs="Times New Roman"/>
                <w:kern w:val="2"/>
                <w:sz w:val="21"/>
                <w:szCs w:val="21"/>
              </w:rPr>
              <w:t>0（1.8）</w:t>
            </w:r>
          </w:p>
        </w:tc>
        <w:tc>
          <w:tcPr>
            <w:tcW w:w="495" w:type="pct"/>
            <w:noWrap w:val="0"/>
            <w:vAlign w:val="center"/>
          </w:tcPr>
          <w:p w14:paraId="60B7013D">
            <w:pPr>
              <w:widowControl w:val="0"/>
              <w:snapToGrid w:val="0"/>
              <w:jc w:val="center"/>
              <w:rPr>
                <w:rFonts w:hint="eastAsia" w:ascii="Times New Roman" w:hAnsi="Times New Roman" w:cs="Times New Roman"/>
                <w:sz w:val="21"/>
                <w:szCs w:val="21"/>
              </w:rPr>
            </w:pPr>
            <w:r>
              <w:rPr>
                <w:rFonts w:hint="eastAsia" w:ascii="Times New Roman" w:hAnsi="Times New Roman" w:cs="Times New Roman"/>
                <w:sz w:val="21"/>
                <w:szCs w:val="21"/>
              </w:rPr>
              <w:t>0</w:t>
            </w:r>
          </w:p>
        </w:tc>
        <w:tc>
          <w:tcPr>
            <w:tcW w:w="570" w:type="pct"/>
            <w:noWrap w:val="0"/>
            <w:vAlign w:val="center"/>
          </w:tcPr>
          <w:p w14:paraId="63D0EBB4">
            <w:pPr>
              <w:widowControl w:val="0"/>
              <w:ind w:left="-120" w:leftChars="-50" w:right="-120" w:rightChars="-50"/>
              <w:jc w:val="center"/>
              <w:rPr>
                <w:rFonts w:hint="eastAsia" w:ascii="Times New Roman" w:hAnsi="Times New Roman" w:cs="Times New Roman"/>
                <w:sz w:val="21"/>
                <w:szCs w:val="21"/>
              </w:rPr>
            </w:pPr>
            <w:r>
              <w:rPr>
                <w:rFonts w:hint="eastAsia" w:ascii="Times New Roman" w:hAnsi="Times New Roman" w:cs="Times New Roman"/>
                <w:kern w:val="2"/>
                <w:sz w:val="21"/>
                <w:szCs w:val="21"/>
              </w:rPr>
              <w:t>0</w:t>
            </w:r>
          </w:p>
        </w:tc>
        <w:tc>
          <w:tcPr>
            <w:tcW w:w="623" w:type="pct"/>
            <w:noWrap w:val="0"/>
            <w:vAlign w:val="center"/>
          </w:tcPr>
          <w:p w14:paraId="31E13AF4">
            <w:pPr>
              <w:widowControl w:val="0"/>
              <w:snapToGrid w:val="0"/>
              <w:jc w:val="center"/>
              <w:rPr>
                <w:rFonts w:hint="eastAsia" w:ascii="Times New Roman" w:hAnsi="Times New Roman" w:cs="Times New Roman"/>
                <w:sz w:val="21"/>
                <w:szCs w:val="21"/>
              </w:rPr>
            </w:pPr>
            <w:r>
              <w:rPr>
                <w:rFonts w:hint="eastAsia" w:ascii="Times New Roman" w:hAnsi="Times New Roman" w:cs="Times New Roman"/>
                <w:sz w:val="21"/>
                <w:szCs w:val="21"/>
              </w:rPr>
              <w:t>0</w:t>
            </w:r>
          </w:p>
        </w:tc>
        <w:tc>
          <w:tcPr>
            <w:tcW w:w="570" w:type="pct"/>
            <w:noWrap w:val="0"/>
            <w:vAlign w:val="center"/>
          </w:tcPr>
          <w:p w14:paraId="072E913C">
            <w:pPr>
              <w:widowControl w:val="0"/>
              <w:jc w:val="center"/>
              <w:rPr>
                <w:rFonts w:hint="eastAsia" w:ascii="Times New Roman" w:hAnsi="Times New Roman" w:cs="Times New Roman"/>
                <w:kern w:val="2"/>
                <w:sz w:val="21"/>
                <w:szCs w:val="21"/>
              </w:rPr>
            </w:pPr>
            <w:r>
              <w:rPr>
                <w:rFonts w:hint="eastAsia" w:ascii="Times New Roman" w:hAnsi="Times New Roman" w:cs="Times New Roman"/>
                <w:kern w:val="2"/>
                <w:sz w:val="21"/>
                <w:szCs w:val="21"/>
              </w:rPr>
              <w:t>0（1.8）</w:t>
            </w:r>
          </w:p>
        </w:tc>
        <w:tc>
          <w:tcPr>
            <w:tcW w:w="519" w:type="pct"/>
            <w:noWrap w:val="0"/>
            <w:vAlign w:val="center"/>
          </w:tcPr>
          <w:p w14:paraId="23982FDD">
            <w:pPr>
              <w:widowControl w:val="0"/>
              <w:ind w:left="-120" w:leftChars="-50" w:right="-120" w:rightChars="-50"/>
              <w:jc w:val="center"/>
              <w:rPr>
                <w:rFonts w:hint="eastAsia" w:ascii="Times New Roman" w:hAnsi="Times New Roman" w:cs="Times New Roman"/>
                <w:sz w:val="21"/>
                <w:szCs w:val="21"/>
              </w:rPr>
            </w:pPr>
            <w:r>
              <w:rPr>
                <w:rFonts w:hint="eastAsia" w:ascii="Times New Roman" w:hAnsi="Times New Roman" w:cs="Times New Roman"/>
                <w:sz w:val="21"/>
                <w:szCs w:val="21"/>
              </w:rPr>
              <w:t>0</w:t>
            </w:r>
          </w:p>
        </w:tc>
        <w:tc>
          <w:tcPr>
            <w:tcW w:w="495" w:type="pct"/>
            <w:noWrap w:val="0"/>
            <w:vAlign w:val="center"/>
          </w:tcPr>
          <w:p w14:paraId="16E25F99">
            <w:pPr>
              <w:jc w:val="center"/>
              <w:rPr>
                <w:rFonts w:ascii="Times New Roman" w:hAnsi="Times New Roman" w:cs="Times New Roman"/>
                <w:sz w:val="21"/>
                <w:szCs w:val="21"/>
              </w:rPr>
            </w:pPr>
            <w:r>
              <w:rPr>
                <w:rFonts w:ascii="Times New Roman" w:hAnsi="Times New Roman" w:cs="Times New Roman"/>
                <w:sz w:val="21"/>
                <w:szCs w:val="21"/>
              </w:rPr>
              <w:t>--</w:t>
            </w:r>
          </w:p>
        </w:tc>
      </w:tr>
      <w:tr w14:paraId="37BE225B">
        <w:tblPrEx>
          <w:tblBorders>
            <w:top w:val="thinThickSmallGap" w:color="auto" w:sz="12" w:space="0"/>
            <w:left w:val="none" w:color="auto" w:sz="0" w:space="0"/>
            <w:bottom w:val="thickThinSmallGap"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97" w:hRule="atLeast"/>
        </w:trPr>
        <w:tc>
          <w:tcPr>
            <w:tcW w:w="184" w:type="pct"/>
            <w:vMerge w:val="continue"/>
            <w:noWrap w:val="0"/>
            <w:vAlign w:val="center"/>
          </w:tcPr>
          <w:p w14:paraId="450A7D90">
            <w:pPr>
              <w:jc w:val="center"/>
              <w:rPr>
                <w:rFonts w:ascii="Times New Roman" w:hAnsi="Times New Roman" w:cs="Times New Roman"/>
                <w:sz w:val="21"/>
                <w:szCs w:val="21"/>
              </w:rPr>
            </w:pPr>
          </w:p>
        </w:tc>
        <w:tc>
          <w:tcPr>
            <w:tcW w:w="284" w:type="pct"/>
            <w:vMerge w:val="continue"/>
            <w:noWrap w:val="0"/>
            <w:vAlign w:val="center"/>
          </w:tcPr>
          <w:p w14:paraId="0FC4ECD7">
            <w:pPr>
              <w:jc w:val="center"/>
              <w:rPr>
                <w:rFonts w:ascii="Times New Roman" w:hAnsi="Times New Roman" w:cs="Times New Roman"/>
                <w:sz w:val="21"/>
                <w:szCs w:val="21"/>
              </w:rPr>
            </w:pPr>
          </w:p>
        </w:tc>
        <w:tc>
          <w:tcPr>
            <w:tcW w:w="596" w:type="pct"/>
            <w:noWrap w:val="0"/>
            <w:vAlign w:val="center"/>
          </w:tcPr>
          <w:p w14:paraId="26AE1E8B">
            <w:pPr>
              <w:jc w:val="center"/>
              <w:rPr>
                <w:rFonts w:hint="eastAsia" w:ascii="Times New Roman" w:hAnsi="Times New Roman" w:eastAsia="宋体" w:cs="Times New Roman"/>
                <w:sz w:val="21"/>
                <w:szCs w:val="21"/>
                <w:lang w:eastAsia="zh-CN"/>
              </w:rPr>
            </w:pPr>
            <w:r>
              <w:rPr>
                <w:rFonts w:hint="eastAsia" w:ascii="Times New Roman" w:hAnsi="Times New Roman" w:cs="Times New Roman"/>
                <w:sz w:val="21"/>
                <w:szCs w:val="21"/>
                <w:lang w:val="en-US" w:eastAsia="zh-CN"/>
              </w:rPr>
              <w:t>废催化剂</w:t>
            </w:r>
          </w:p>
        </w:tc>
        <w:tc>
          <w:tcPr>
            <w:tcW w:w="659" w:type="pct"/>
            <w:noWrap w:val="0"/>
            <w:vAlign w:val="center"/>
          </w:tcPr>
          <w:p w14:paraId="0942021B">
            <w:pPr>
              <w:jc w:val="center"/>
              <w:rPr>
                <w:rFonts w:ascii="Times New Roman" w:hAnsi="Times New Roman" w:cs="Times New Roman"/>
                <w:kern w:val="2"/>
                <w:sz w:val="21"/>
                <w:szCs w:val="21"/>
              </w:rPr>
            </w:pPr>
            <w:r>
              <w:rPr>
                <w:rFonts w:ascii="Times New Roman" w:hAnsi="Times New Roman" w:cs="Times New Roman"/>
                <w:kern w:val="2"/>
                <w:sz w:val="21"/>
                <w:szCs w:val="21"/>
              </w:rPr>
              <w:t>0（7）</w:t>
            </w:r>
          </w:p>
        </w:tc>
        <w:tc>
          <w:tcPr>
            <w:tcW w:w="495" w:type="pct"/>
            <w:noWrap w:val="0"/>
            <w:vAlign w:val="center"/>
          </w:tcPr>
          <w:p w14:paraId="3986B274">
            <w:pPr>
              <w:widowControl w:val="0"/>
              <w:snapToGrid w:val="0"/>
              <w:jc w:val="center"/>
              <w:rPr>
                <w:rFonts w:hint="eastAsia" w:ascii="Times New Roman" w:hAnsi="Times New Roman" w:cs="Times New Roman"/>
                <w:sz w:val="21"/>
                <w:szCs w:val="21"/>
              </w:rPr>
            </w:pPr>
            <w:r>
              <w:rPr>
                <w:rFonts w:hint="eastAsia" w:ascii="Times New Roman" w:hAnsi="Times New Roman" w:cs="Times New Roman"/>
                <w:sz w:val="21"/>
                <w:szCs w:val="21"/>
              </w:rPr>
              <w:t>0</w:t>
            </w:r>
          </w:p>
        </w:tc>
        <w:tc>
          <w:tcPr>
            <w:tcW w:w="570" w:type="pct"/>
            <w:noWrap w:val="0"/>
            <w:vAlign w:val="center"/>
          </w:tcPr>
          <w:p w14:paraId="7A21298C">
            <w:pPr>
              <w:widowControl w:val="0"/>
              <w:ind w:left="-120" w:leftChars="-50" w:right="-120" w:rightChars="-50"/>
              <w:jc w:val="center"/>
              <w:rPr>
                <w:rFonts w:hint="eastAsia" w:ascii="Times New Roman" w:hAnsi="Times New Roman" w:cs="Times New Roman"/>
                <w:sz w:val="21"/>
                <w:szCs w:val="21"/>
              </w:rPr>
            </w:pPr>
            <w:r>
              <w:rPr>
                <w:rFonts w:hint="eastAsia" w:ascii="Times New Roman" w:hAnsi="Times New Roman" w:cs="Times New Roman"/>
                <w:sz w:val="21"/>
                <w:szCs w:val="21"/>
              </w:rPr>
              <w:t>0</w:t>
            </w:r>
          </w:p>
        </w:tc>
        <w:tc>
          <w:tcPr>
            <w:tcW w:w="623" w:type="pct"/>
            <w:noWrap w:val="0"/>
            <w:vAlign w:val="center"/>
          </w:tcPr>
          <w:p w14:paraId="20954DA2">
            <w:pPr>
              <w:widowControl w:val="0"/>
              <w:snapToGrid w:val="0"/>
              <w:jc w:val="center"/>
              <w:rPr>
                <w:rFonts w:hint="eastAsia" w:ascii="Times New Roman" w:hAnsi="Times New Roman" w:cs="Times New Roman"/>
                <w:sz w:val="21"/>
                <w:szCs w:val="21"/>
              </w:rPr>
            </w:pPr>
            <w:r>
              <w:rPr>
                <w:rFonts w:hint="eastAsia" w:ascii="Times New Roman" w:hAnsi="Times New Roman" w:cs="Times New Roman"/>
                <w:sz w:val="21"/>
                <w:szCs w:val="21"/>
              </w:rPr>
              <w:t>0</w:t>
            </w:r>
          </w:p>
        </w:tc>
        <w:tc>
          <w:tcPr>
            <w:tcW w:w="570" w:type="pct"/>
            <w:noWrap w:val="0"/>
            <w:vAlign w:val="center"/>
          </w:tcPr>
          <w:p w14:paraId="1329C5F1">
            <w:pPr>
              <w:widowControl w:val="0"/>
              <w:jc w:val="center"/>
              <w:rPr>
                <w:rFonts w:hint="eastAsia" w:ascii="Times New Roman" w:hAnsi="Times New Roman" w:cs="Times New Roman"/>
                <w:kern w:val="2"/>
                <w:sz w:val="21"/>
                <w:szCs w:val="21"/>
              </w:rPr>
            </w:pPr>
            <w:r>
              <w:rPr>
                <w:rFonts w:hint="eastAsia" w:ascii="Times New Roman" w:hAnsi="Times New Roman" w:cs="Times New Roman"/>
                <w:kern w:val="2"/>
                <w:sz w:val="21"/>
                <w:szCs w:val="21"/>
              </w:rPr>
              <w:t>0（7）</w:t>
            </w:r>
          </w:p>
        </w:tc>
        <w:tc>
          <w:tcPr>
            <w:tcW w:w="519" w:type="pct"/>
            <w:noWrap w:val="0"/>
            <w:vAlign w:val="center"/>
          </w:tcPr>
          <w:p w14:paraId="11A75A65">
            <w:pPr>
              <w:widowControl w:val="0"/>
              <w:ind w:left="-120" w:leftChars="-50" w:right="-120" w:rightChars="-50"/>
              <w:jc w:val="center"/>
              <w:rPr>
                <w:rFonts w:hint="eastAsia" w:ascii="Times New Roman" w:hAnsi="Times New Roman" w:cs="Times New Roman"/>
                <w:sz w:val="21"/>
                <w:szCs w:val="21"/>
              </w:rPr>
            </w:pPr>
            <w:r>
              <w:rPr>
                <w:rFonts w:hint="eastAsia" w:ascii="Times New Roman" w:hAnsi="Times New Roman" w:cs="Times New Roman"/>
                <w:sz w:val="21"/>
                <w:szCs w:val="21"/>
              </w:rPr>
              <w:t>0</w:t>
            </w:r>
          </w:p>
        </w:tc>
        <w:tc>
          <w:tcPr>
            <w:tcW w:w="495" w:type="pct"/>
            <w:noWrap w:val="0"/>
            <w:vAlign w:val="center"/>
          </w:tcPr>
          <w:p w14:paraId="0A1C0616">
            <w:pPr>
              <w:jc w:val="center"/>
              <w:rPr>
                <w:rFonts w:ascii="Times New Roman" w:hAnsi="Times New Roman" w:cs="Times New Roman"/>
                <w:sz w:val="21"/>
                <w:szCs w:val="21"/>
              </w:rPr>
            </w:pPr>
            <w:r>
              <w:rPr>
                <w:rFonts w:ascii="Times New Roman" w:hAnsi="Times New Roman" w:cs="Times New Roman"/>
                <w:sz w:val="21"/>
                <w:szCs w:val="21"/>
              </w:rPr>
              <w:t>--</w:t>
            </w:r>
          </w:p>
        </w:tc>
      </w:tr>
      <w:tr w14:paraId="59492DD8">
        <w:tblPrEx>
          <w:tblBorders>
            <w:top w:val="thinThickSmallGap" w:color="auto" w:sz="12" w:space="0"/>
            <w:left w:val="none" w:color="auto" w:sz="0" w:space="0"/>
            <w:bottom w:val="thickThinSmallGap"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97" w:hRule="atLeast"/>
        </w:trPr>
        <w:tc>
          <w:tcPr>
            <w:tcW w:w="184" w:type="pct"/>
            <w:vMerge w:val="continue"/>
            <w:noWrap w:val="0"/>
            <w:vAlign w:val="center"/>
          </w:tcPr>
          <w:p w14:paraId="4C3F4D63">
            <w:pPr>
              <w:jc w:val="center"/>
              <w:rPr>
                <w:rFonts w:ascii="Times New Roman" w:hAnsi="Times New Roman" w:cs="Times New Roman"/>
                <w:sz w:val="21"/>
                <w:szCs w:val="21"/>
              </w:rPr>
            </w:pPr>
          </w:p>
        </w:tc>
        <w:tc>
          <w:tcPr>
            <w:tcW w:w="880" w:type="pct"/>
            <w:gridSpan w:val="2"/>
            <w:noWrap w:val="0"/>
            <w:vAlign w:val="center"/>
          </w:tcPr>
          <w:p w14:paraId="66C6F3A3">
            <w:pPr>
              <w:jc w:val="center"/>
              <w:rPr>
                <w:rFonts w:hint="eastAsia" w:ascii="Times New Roman" w:hAnsi="Times New Roman" w:cs="Times New Roman"/>
                <w:sz w:val="21"/>
                <w:szCs w:val="21"/>
              </w:rPr>
            </w:pPr>
            <w:r>
              <w:rPr>
                <w:rFonts w:hint="eastAsia" w:ascii="Times New Roman" w:hAnsi="Times New Roman" w:cs="Times New Roman"/>
                <w:sz w:val="21"/>
                <w:szCs w:val="21"/>
              </w:rPr>
              <w:t>生活垃圾</w:t>
            </w:r>
          </w:p>
        </w:tc>
        <w:tc>
          <w:tcPr>
            <w:tcW w:w="659" w:type="pct"/>
            <w:noWrap w:val="0"/>
            <w:vAlign w:val="center"/>
          </w:tcPr>
          <w:p w14:paraId="6C713CD6">
            <w:pPr>
              <w:widowControl w:val="0"/>
              <w:snapToGrid w:val="0"/>
              <w:jc w:val="center"/>
              <w:rPr>
                <w:rFonts w:ascii="Times New Roman" w:hAnsi="Times New Roman" w:cs="Times New Roman"/>
                <w:sz w:val="21"/>
                <w:szCs w:val="21"/>
              </w:rPr>
            </w:pPr>
            <w:r>
              <w:rPr>
                <w:rFonts w:hint="eastAsia" w:ascii="Times New Roman" w:hAnsi="Times New Roman" w:cs="Times New Roman"/>
                <w:kern w:val="2"/>
                <w:sz w:val="21"/>
                <w:szCs w:val="21"/>
              </w:rPr>
              <w:t>0（</w:t>
            </w:r>
            <w:r>
              <w:rPr>
                <w:rFonts w:ascii="Times New Roman" w:hAnsi="Times New Roman" w:cs="Times New Roman"/>
                <w:kern w:val="2"/>
                <w:sz w:val="21"/>
                <w:szCs w:val="21"/>
              </w:rPr>
              <w:t>36</w:t>
            </w:r>
            <w:r>
              <w:rPr>
                <w:rFonts w:hint="eastAsia" w:ascii="Times New Roman" w:hAnsi="Times New Roman" w:cs="Times New Roman"/>
                <w:kern w:val="2"/>
                <w:sz w:val="21"/>
                <w:szCs w:val="21"/>
              </w:rPr>
              <w:t>）</w:t>
            </w:r>
          </w:p>
        </w:tc>
        <w:tc>
          <w:tcPr>
            <w:tcW w:w="495" w:type="pct"/>
            <w:noWrap w:val="0"/>
            <w:vAlign w:val="center"/>
          </w:tcPr>
          <w:p w14:paraId="42CD47D7">
            <w:pPr>
              <w:widowControl w:val="0"/>
              <w:jc w:val="center"/>
              <w:rPr>
                <w:rFonts w:hint="eastAsia" w:ascii="Times New Roman" w:hAnsi="Times New Roman" w:cs="Times New Roman"/>
                <w:sz w:val="21"/>
                <w:szCs w:val="21"/>
              </w:rPr>
            </w:pPr>
            <w:r>
              <w:rPr>
                <w:rFonts w:hint="eastAsia" w:ascii="Times New Roman" w:hAnsi="Times New Roman" w:cs="Times New Roman"/>
                <w:sz w:val="21"/>
                <w:szCs w:val="21"/>
              </w:rPr>
              <w:t>0</w:t>
            </w:r>
          </w:p>
        </w:tc>
        <w:tc>
          <w:tcPr>
            <w:tcW w:w="570" w:type="pct"/>
            <w:noWrap w:val="0"/>
            <w:vAlign w:val="center"/>
          </w:tcPr>
          <w:p w14:paraId="17FC3C34">
            <w:pPr>
              <w:widowControl w:val="0"/>
              <w:snapToGrid w:val="0"/>
              <w:jc w:val="center"/>
              <w:rPr>
                <w:rFonts w:hint="eastAsia" w:ascii="Times New Roman" w:hAnsi="Times New Roman" w:cs="Times New Roman"/>
                <w:sz w:val="21"/>
                <w:szCs w:val="21"/>
              </w:rPr>
            </w:pPr>
            <w:r>
              <w:rPr>
                <w:rFonts w:hint="eastAsia" w:ascii="Times New Roman" w:hAnsi="Times New Roman" w:cs="Times New Roman"/>
                <w:sz w:val="21"/>
                <w:szCs w:val="21"/>
              </w:rPr>
              <w:t>0</w:t>
            </w:r>
          </w:p>
        </w:tc>
        <w:tc>
          <w:tcPr>
            <w:tcW w:w="623" w:type="pct"/>
            <w:noWrap w:val="0"/>
            <w:vAlign w:val="center"/>
          </w:tcPr>
          <w:p w14:paraId="1D5CA827">
            <w:pPr>
              <w:widowControl w:val="0"/>
              <w:snapToGrid w:val="0"/>
              <w:jc w:val="center"/>
              <w:rPr>
                <w:rFonts w:ascii="Times New Roman" w:hAnsi="Times New Roman" w:cs="Times New Roman"/>
                <w:sz w:val="21"/>
                <w:szCs w:val="21"/>
              </w:rPr>
            </w:pPr>
            <w:r>
              <w:rPr>
                <w:rFonts w:hint="eastAsia" w:ascii="Times New Roman" w:hAnsi="Times New Roman" w:cs="Times New Roman"/>
                <w:sz w:val="21"/>
                <w:szCs w:val="21"/>
              </w:rPr>
              <w:t>0</w:t>
            </w:r>
          </w:p>
        </w:tc>
        <w:tc>
          <w:tcPr>
            <w:tcW w:w="570" w:type="pct"/>
            <w:noWrap w:val="0"/>
            <w:vAlign w:val="center"/>
          </w:tcPr>
          <w:p w14:paraId="0941B6D6">
            <w:pPr>
              <w:widowControl w:val="0"/>
              <w:jc w:val="center"/>
              <w:rPr>
                <w:rFonts w:ascii="Times New Roman" w:hAnsi="Times New Roman" w:cs="Times New Roman"/>
                <w:sz w:val="21"/>
                <w:szCs w:val="21"/>
              </w:rPr>
            </w:pPr>
            <w:r>
              <w:rPr>
                <w:rFonts w:hint="eastAsia" w:ascii="Times New Roman" w:hAnsi="Times New Roman" w:cs="Times New Roman"/>
                <w:kern w:val="2"/>
                <w:sz w:val="21"/>
                <w:szCs w:val="21"/>
              </w:rPr>
              <w:t>0（</w:t>
            </w:r>
            <w:r>
              <w:rPr>
                <w:rFonts w:ascii="Times New Roman" w:hAnsi="Times New Roman" w:cs="Times New Roman"/>
                <w:kern w:val="2"/>
                <w:sz w:val="21"/>
                <w:szCs w:val="21"/>
              </w:rPr>
              <w:t>36</w:t>
            </w:r>
            <w:r>
              <w:rPr>
                <w:rFonts w:hint="eastAsia" w:ascii="Times New Roman" w:hAnsi="Times New Roman" w:cs="Times New Roman"/>
                <w:kern w:val="2"/>
                <w:sz w:val="21"/>
                <w:szCs w:val="21"/>
              </w:rPr>
              <w:t>）</w:t>
            </w:r>
          </w:p>
        </w:tc>
        <w:tc>
          <w:tcPr>
            <w:tcW w:w="519" w:type="pct"/>
            <w:noWrap w:val="0"/>
            <w:vAlign w:val="center"/>
          </w:tcPr>
          <w:p w14:paraId="0F746A94">
            <w:pPr>
              <w:widowControl w:val="0"/>
              <w:jc w:val="center"/>
              <w:rPr>
                <w:rFonts w:ascii="Times New Roman" w:hAnsi="Times New Roman" w:cs="Times New Roman"/>
                <w:sz w:val="21"/>
                <w:szCs w:val="21"/>
              </w:rPr>
            </w:pPr>
            <w:r>
              <w:rPr>
                <w:rFonts w:hint="eastAsia" w:ascii="Times New Roman" w:hAnsi="Times New Roman" w:cs="Times New Roman"/>
                <w:sz w:val="21"/>
                <w:szCs w:val="21"/>
              </w:rPr>
              <w:t>0</w:t>
            </w:r>
          </w:p>
        </w:tc>
        <w:tc>
          <w:tcPr>
            <w:tcW w:w="495" w:type="pct"/>
            <w:noWrap w:val="0"/>
            <w:vAlign w:val="center"/>
          </w:tcPr>
          <w:p w14:paraId="0082B645">
            <w:pPr>
              <w:widowControl w:val="0"/>
              <w:jc w:val="center"/>
              <w:rPr>
                <w:rFonts w:hint="eastAsia" w:ascii="Times New Roman" w:hAnsi="Times New Roman" w:cs="Times New Roman"/>
                <w:sz w:val="21"/>
                <w:szCs w:val="21"/>
              </w:rPr>
            </w:pPr>
            <w:r>
              <w:rPr>
                <w:rFonts w:ascii="Times New Roman" w:hAnsi="Times New Roman" w:cs="Times New Roman"/>
                <w:sz w:val="21"/>
                <w:szCs w:val="21"/>
              </w:rPr>
              <w:t>--</w:t>
            </w:r>
          </w:p>
        </w:tc>
      </w:tr>
    </w:tbl>
    <w:p w14:paraId="14FF287F">
      <w:pPr>
        <w:adjustRightInd w:val="0"/>
        <w:snapToGrid w:val="0"/>
        <w:spacing w:line="460" w:lineRule="exact"/>
        <w:rPr>
          <w:rFonts w:hint="eastAsia" w:ascii="Times New Roman" w:hAnsi="Times New Roman" w:cs="Times New Roman"/>
          <w:bCs/>
          <w:sz w:val="21"/>
          <w:szCs w:val="21"/>
        </w:rPr>
      </w:pPr>
      <w:r>
        <w:rPr>
          <w:rFonts w:hint="eastAsia" w:ascii="Times New Roman" w:hAnsi="Times New Roman" w:cs="Times New Roman"/>
          <w:bCs/>
          <w:sz w:val="21"/>
          <w:szCs w:val="21"/>
        </w:rPr>
        <w:t>注：（ ）外为排放量，（ ）内为产生量。</w:t>
      </w:r>
    </w:p>
    <w:p w14:paraId="3F7C11B9">
      <w:pPr>
        <w:adjustRightInd w:val="0"/>
        <w:snapToGrid w:val="0"/>
        <w:spacing w:line="460" w:lineRule="exact"/>
        <w:rPr>
          <w:rFonts w:hint="eastAsia" w:ascii="Times New Roman" w:hAnsi="Times New Roman" w:cs="Times New Roman"/>
          <w:bCs/>
          <w:sz w:val="21"/>
          <w:szCs w:val="21"/>
        </w:rPr>
      </w:pPr>
    </w:p>
    <w:p w14:paraId="1A3B1EB3">
      <w:pPr>
        <w:pStyle w:val="310"/>
        <w:spacing w:line="500" w:lineRule="exact"/>
        <w:rPr>
          <w:lang w:val="en-US"/>
        </w:rPr>
        <w:sectPr>
          <w:pgSz w:w="16840" w:h="11907" w:orient="landscape"/>
          <w:pgMar w:top="1701" w:right="1701" w:bottom="1701" w:left="1701" w:header="851" w:footer="1077" w:gutter="0"/>
          <w:pgBorders w:offsetFrom="page">
            <w:top w:val="none" w:sz="0" w:space="0"/>
            <w:left w:val="none" w:sz="0" w:space="0"/>
            <w:bottom w:val="none" w:sz="0" w:space="0"/>
            <w:right w:val="none" w:sz="0" w:space="0"/>
          </w:pgBorders>
          <w:pgNumType w:fmt="decimal"/>
          <w:cols w:space="720" w:num="1"/>
          <w:docGrid w:type="lines" w:linePitch="479" w:charSpace="0"/>
        </w:sectPr>
      </w:pPr>
    </w:p>
    <w:p w14:paraId="0C0245DB">
      <w:pPr>
        <w:pStyle w:val="6"/>
        <w:spacing w:before="239"/>
      </w:pPr>
      <w:bookmarkStart w:id="330" w:name="_Toc32662"/>
      <w:bookmarkStart w:id="331" w:name="_Toc90026131"/>
      <w:r>
        <w:rPr>
          <w:rFonts w:hint="eastAsia"/>
        </w:rPr>
        <w:t>3</w:t>
      </w:r>
      <w:r>
        <w:t>.</w:t>
      </w:r>
      <w:r>
        <w:rPr>
          <w:rFonts w:hint="eastAsia"/>
          <w:lang w:val="en-US" w:eastAsia="zh-CN"/>
        </w:rPr>
        <w:t>7</w:t>
      </w:r>
      <w:r>
        <w:t xml:space="preserve"> 总量控制分析</w:t>
      </w:r>
      <w:bookmarkEnd w:id="330"/>
      <w:bookmarkEnd w:id="331"/>
    </w:p>
    <w:p w14:paraId="6CEBAB16">
      <w:pPr>
        <w:pStyle w:val="7"/>
      </w:pPr>
      <w:bookmarkStart w:id="332" w:name="_Toc30745"/>
      <w:bookmarkStart w:id="333" w:name="_Toc90026272"/>
      <w:r>
        <w:rPr>
          <w:rFonts w:hint="eastAsia"/>
          <w:lang w:eastAsia="zh-CN"/>
        </w:rPr>
        <w:t>3</w:t>
      </w:r>
      <w:r>
        <w:t>.</w:t>
      </w:r>
      <w:r>
        <w:rPr>
          <w:rFonts w:hint="eastAsia"/>
          <w:lang w:val="en-US" w:eastAsia="zh-CN"/>
        </w:rPr>
        <w:t>7</w:t>
      </w:r>
      <w:r>
        <w:t>.</w:t>
      </w:r>
      <w:r>
        <w:rPr>
          <w:rFonts w:hint="eastAsia"/>
          <w:lang w:eastAsia="zh-CN"/>
        </w:rPr>
        <w:t>1</w:t>
      </w:r>
      <w:r>
        <w:t xml:space="preserve"> </w:t>
      </w:r>
      <w:r>
        <w:rPr>
          <w:rFonts w:hint="eastAsia"/>
          <w:lang w:eastAsia="zh-CN"/>
        </w:rPr>
        <w:t>总量控制因子</w:t>
      </w:r>
      <w:bookmarkEnd w:id="332"/>
      <w:bookmarkEnd w:id="333"/>
    </w:p>
    <w:p w14:paraId="3E3270BE">
      <w:pPr>
        <w:pStyle w:val="310"/>
        <w:spacing w:line="500" w:lineRule="exact"/>
        <w:rPr>
          <w:rFonts w:hint="eastAsia"/>
          <w:lang w:val="en-US" w:eastAsia="zh-CN"/>
        </w:rPr>
      </w:pPr>
      <w:r>
        <w:rPr>
          <w:lang w:val="en-US"/>
        </w:rPr>
        <w:t>按照</w:t>
      </w:r>
      <w:r>
        <w:rPr>
          <w:lang w:val="en-US" w:eastAsia="zh-CN"/>
        </w:rPr>
        <w:t>环发[2014]197号《建设项目主要污染物排放总量指标审核及管理暂行办法》</w:t>
      </w:r>
      <w:r>
        <w:rPr>
          <w:lang w:val="en-US"/>
        </w:rPr>
        <w:t>要求，</w:t>
      </w:r>
      <w:r>
        <w:rPr>
          <w:lang w:val="en-US" w:eastAsia="zh-CN"/>
        </w:rPr>
        <w:t>目前</w:t>
      </w:r>
      <w:r>
        <w:rPr>
          <w:lang w:val="en-US"/>
        </w:rPr>
        <w:t>全国实行排放量控制的污染物有5种，其中大气污染物为SO</w:t>
      </w:r>
      <w:r>
        <w:rPr>
          <w:vertAlign w:val="subscript"/>
          <w:lang w:val="en-US"/>
        </w:rPr>
        <w:t>2</w:t>
      </w:r>
      <w:r>
        <w:rPr>
          <w:lang w:val="en-US"/>
        </w:rPr>
        <w:t>和NO</w:t>
      </w:r>
      <w:r>
        <w:rPr>
          <w:rFonts w:hint="eastAsia"/>
          <w:lang w:val="en-US" w:eastAsia="zh-CN"/>
        </w:rPr>
        <w:t>x</w:t>
      </w:r>
      <w:r>
        <w:rPr>
          <w:lang w:val="en-US"/>
        </w:rPr>
        <w:t>；水污染物为COD</w:t>
      </w:r>
      <w:r>
        <w:rPr>
          <w:rFonts w:hint="eastAsia"/>
          <w:lang w:val="en-US" w:eastAsia="zh-CN"/>
        </w:rPr>
        <w:t>、</w:t>
      </w:r>
      <w:r>
        <w:rPr>
          <w:lang w:val="en-US"/>
        </w:rPr>
        <w:t>氨氮</w:t>
      </w:r>
      <w:r>
        <w:rPr>
          <w:rFonts w:hint="eastAsia"/>
          <w:lang w:val="en-US" w:eastAsia="zh-CN"/>
        </w:rPr>
        <w:t>和总氮</w:t>
      </w:r>
      <w:r>
        <w:rPr>
          <w:lang w:val="en-US"/>
        </w:rPr>
        <w:t>。</w:t>
      </w:r>
    </w:p>
    <w:p w14:paraId="1E7F438C">
      <w:pPr>
        <w:pStyle w:val="310"/>
        <w:spacing w:line="500" w:lineRule="exact"/>
        <w:rPr>
          <w:rFonts w:hint="eastAsia"/>
          <w:lang w:val="en-US" w:eastAsia="zh-CN"/>
        </w:rPr>
      </w:pPr>
      <w:r>
        <w:rPr>
          <w:rFonts w:hint="eastAsia"/>
          <w:lang w:val="en-US" w:eastAsia="zh-CN"/>
        </w:rPr>
        <w:t>结合本项目的污染特征，确定本项目的污染物总量控制指标为：SO</w:t>
      </w:r>
      <w:r>
        <w:rPr>
          <w:rFonts w:hint="eastAsia"/>
          <w:vertAlign w:val="subscript"/>
          <w:lang w:val="en-US" w:eastAsia="zh-CN"/>
        </w:rPr>
        <w:t>2</w:t>
      </w:r>
      <w:r>
        <w:rPr>
          <w:rFonts w:hint="eastAsia"/>
          <w:lang w:val="en-US" w:eastAsia="zh-CN"/>
        </w:rPr>
        <w:t>、NOx。</w:t>
      </w:r>
    </w:p>
    <w:p w14:paraId="5BFA77A5">
      <w:pPr>
        <w:pStyle w:val="7"/>
        <w:rPr>
          <w:rFonts w:hint="eastAsia"/>
        </w:rPr>
      </w:pPr>
      <w:bookmarkStart w:id="334" w:name="_Toc26200"/>
      <w:bookmarkStart w:id="335" w:name="_Toc90026273"/>
      <w:r>
        <w:rPr>
          <w:rFonts w:hint="eastAsia"/>
          <w:lang w:eastAsia="zh-CN"/>
        </w:rPr>
        <w:t>3</w:t>
      </w:r>
      <w:r>
        <w:t>.</w:t>
      </w:r>
      <w:r>
        <w:rPr>
          <w:rFonts w:hint="eastAsia"/>
          <w:lang w:val="en-US" w:eastAsia="zh-CN"/>
        </w:rPr>
        <w:t>7</w:t>
      </w:r>
      <w:r>
        <w:t>.</w:t>
      </w:r>
      <w:r>
        <w:rPr>
          <w:rFonts w:hint="eastAsia"/>
          <w:lang w:eastAsia="zh-CN"/>
        </w:rPr>
        <w:t>2</w:t>
      </w:r>
      <w:r>
        <w:t xml:space="preserve"> </w:t>
      </w:r>
      <w:r>
        <w:rPr>
          <w:rFonts w:hint="eastAsia"/>
          <w:lang w:eastAsia="zh-CN"/>
        </w:rPr>
        <w:t>总量控制指标</w:t>
      </w:r>
      <w:bookmarkEnd w:id="334"/>
      <w:bookmarkEnd w:id="335"/>
    </w:p>
    <w:p w14:paraId="2683CDD6">
      <w:pPr>
        <w:pStyle w:val="310"/>
        <w:spacing w:line="500" w:lineRule="exact"/>
        <w:jc w:val="both"/>
        <w:rPr>
          <w:rFonts w:hint="eastAsia"/>
          <w:szCs w:val="24"/>
          <w:lang w:val="en-US"/>
        </w:rPr>
      </w:pPr>
      <w:r>
        <w:rPr>
          <w:rFonts w:hint="eastAsia"/>
          <w:szCs w:val="24"/>
          <w:lang w:val="en-US" w:eastAsia="zh-CN"/>
        </w:rPr>
        <w:t>根据环发[2014]197号《建设项目主要污染物排放总量指标审核及管理暂行办法》</w:t>
      </w:r>
      <w:r>
        <w:rPr>
          <w:rFonts w:hint="eastAsia"/>
          <w:szCs w:val="24"/>
          <w:lang w:val="en-US"/>
        </w:rPr>
        <w:t>要求，</w:t>
      </w:r>
      <w:r>
        <w:rPr>
          <w:rFonts w:hint="eastAsia"/>
          <w:szCs w:val="24"/>
          <w:lang w:val="en-US" w:eastAsia="zh-CN"/>
        </w:rPr>
        <w:t>“用于建设项目的‘可替代总量指标’不得低于建设项目所需替代的主要污染物排放总量指标，上一年度环境空气质量年平均浓度不达标的城市，相关污染物应按照建设项目所需替代的主要污染物排放总量指标的2倍进行削减替代；PM</w:t>
      </w:r>
      <w:r>
        <w:rPr>
          <w:rFonts w:hint="eastAsia"/>
          <w:szCs w:val="24"/>
          <w:vertAlign w:val="subscript"/>
          <w:lang w:val="en-US" w:eastAsia="zh-CN"/>
        </w:rPr>
        <w:t>2.5</w:t>
      </w:r>
      <w:r>
        <w:rPr>
          <w:rFonts w:hint="eastAsia"/>
          <w:szCs w:val="24"/>
          <w:lang w:val="en-US" w:eastAsia="zh-CN"/>
        </w:rPr>
        <w:t>年平均浓度不达标的城市，二氧化硫、氮氧化物、烟粉尘、挥发性有机物四项污染物均需进行2倍削减替代。”本项目所在的海城市为不达标区，需进行总量的2倍削减替代</w:t>
      </w:r>
      <w:r>
        <w:rPr>
          <w:rFonts w:hint="eastAsia"/>
          <w:bCs/>
          <w:lang w:eastAsia="zh-CN"/>
        </w:rPr>
        <w:t>。</w:t>
      </w:r>
    </w:p>
    <w:p w14:paraId="779406F0">
      <w:pPr>
        <w:pStyle w:val="310"/>
        <w:spacing w:line="500" w:lineRule="exact"/>
        <w:jc w:val="both"/>
        <w:rPr>
          <w:rFonts w:hint="eastAsia"/>
          <w:lang w:val="en-US" w:eastAsia="zh-CN"/>
        </w:rPr>
      </w:pPr>
      <w:r>
        <w:rPr>
          <w:rFonts w:hint="eastAsia"/>
          <w:lang w:val="en-US" w:eastAsia="zh-CN"/>
        </w:rPr>
        <w:t>根据前文3.4章节分析，本项目污染物排放总量为</w:t>
      </w:r>
      <w:r>
        <w:rPr>
          <w:lang w:val="en-US" w:eastAsia="zh-CN"/>
        </w:rPr>
        <w:t>SO</w:t>
      </w:r>
      <w:r>
        <w:rPr>
          <w:vertAlign w:val="subscript"/>
          <w:lang w:val="en-US" w:eastAsia="zh-CN"/>
        </w:rPr>
        <w:t>2</w:t>
      </w:r>
      <w:r>
        <w:rPr>
          <w:lang w:val="en-US" w:eastAsia="zh-CN"/>
        </w:rPr>
        <w:t>：7.0t/a、NO</w:t>
      </w:r>
      <w:r>
        <w:rPr>
          <w:vertAlign w:val="subscript"/>
          <w:lang w:val="en-US" w:eastAsia="zh-CN"/>
        </w:rPr>
        <w:t>2</w:t>
      </w:r>
      <w:r>
        <w:rPr>
          <w:lang w:val="en-US" w:eastAsia="zh-CN"/>
        </w:rPr>
        <w:t>：27.83 t/a。</w:t>
      </w:r>
      <w:r>
        <w:rPr>
          <w:rFonts w:hint="eastAsia"/>
          <w:lang w:val="en-US" w:eastAsia="zh-CN"/>
        </w:rPr>
        <w:t>本项目污染物排放总量指标来源于现有工程削减及“以新带老”削减量（</w:t>
      </w:r>
      <w:r>
        <w:rPr>
          <w:bCs/>
        </w:rPr>
        <w:t>SO</w:t>
      </w:r>
      <w:r>
        <w:rPr>
          <w:bCs/>
          <w:vertAlign w:val="subscript"/>
        </w:rPr>
        <w:t xml:space="preserve">2 </w:t>
      </w:r>
      <w:r>
        <w:rPr>
          <w:bCs/>
        </w:rPr>
        <w:t>33.7t/a、NO</w:t>
      </w:r>
      <w:r>
        <w:rPr>
          <w:bCs/>
          <w:vertAlign w:val="subscript"/>
        </w:rPr>
        <w:t xml:space="preserve">2 </w:t>
      </w:r>
      <w:r>
        <w:rPr>
          <w:bCs/>
        </w:rPr>
        <w:t>92.04t/a</w:t>
      </w:r>
      <w:r>
        <w:rPr>
          <w:rFonts w:hint="eastAsia"/>
          <w:lang w:val="en-US" w:eastAsia="zh-CN"/>
        </w:rPr>
        <w:t>），可以满足本项目污染物排放总量指标，因此本项目无需申请总量指标。</w:t>
      </w:r>
      <w:r>
        <w:rPr>
          <w:rFonts w:hint="eastAsia"/>
          <w:szCs w:val="24"/>
          <w:lang w:val="en-US" w:eastAsia="zh-CN"/>
        </w:rPr>
        <w:t>本项目实施后，全厂污染物排放总量与排污许可量的对比见表3.7-1。</w:t>
      </w:r>
    </w:p>
    <w:p w14:paraId="26ED395E">
      <w:pPr>
        <w:pStyle w:val="112"/>
        <w:snapToGrid/>
        <w:rPr>
          <w:highlight w:val="yellow"/>
        </w:rPr>
      </w:pPr>
      <w:r>
        <w:rPr>
          <w:rFonts w:hint="eastAsia"/>
          <w:highlight w:val="yellow"/>
        </w:rPr>
        <w:t>表3.</w:t>
      </w:r>
      <w:r>
        <w:rPr>
          <w:rFonts w:hint="eastAsia"/>
          <w:highlight w:val="yellow"/>
          <w:lang w:val="en-US" w:eastAsia="zh-CN"/>
        </w:rPr>
        <w:t>7</w:t>
      </w:r>
      <w:r>
        <w:rPr>
          <w:rFonts w:hint="eastAsia"/>
          <w:highlight w:val="yellow"/>
        </w:rPr>
        <w:t>-1</w:t>
      </w:r>
      <w:r>
        <w:rPr>
          <w:highlight w:val="yellow"/>
        </w:rPr>
        <w:t xml:space="preserve">  </w:t>
      </w:r>
      <w:r>
        <w:rPr>
          <w:rFonts w:hint="eastAsia"/>
          <w:highlight w:val="yellow"/>
        </w:rPr>
        <w:t xml:space="preserve">全厂污染物排放总量与排污许可量分析一览表 </w:t>
      </w:r>
      <w:r>
        <w:rPr>
          <w:highlight w:val="yellow"/>
        </w:rPr>
        <w:t xml:space="preserve">   </w:t>
      </w:r>
      <w:r>
        <w:rPr>
          <w:rFonts w:hint="eastAsia"/>
          <w:sz w:val="21"/>
          <w:szCs w:val="21"/>
          <w:highlight w:val="yellow"/>
        </w:rPr>
        <w:t>单位：t</w:t>
      </w:r>
      <w:r>
        <w:rPr>
          <w:sz w:val="21"/>
          <w:szCs w:val="21"/>
          <w:highlight w:val="yellow"/>
        </w:rPr>
        <w:t>/a</w:t>
      </w:r>
    </w:p>
    <w:tbl>
      <w:tblPr>
        <w:tblStyle w:val="56"/>
        <w:tblW w:w="5000" w:type="pct"/>
        <w:jc w:val="center"/>
        <w:tblBorders>
          <w:top w:val="thinThickSmallGap" w:color="auto" w:sz="12" w:space="0"/>
          <w:left w:val="none" w:color="auto" w:sz="0" w:space="0"/>
          <w:bottom w:val="thickThinSmallGap" w:color="auto" w:sz="12" w:space="0"/>
          <w:right w:val="none" w:color="auto" w:sz="0" w:space="0"/>
          <w:insideH w:val="single" w:color="auto" w:sz="6" w:space="0"/>
          <w:insideV w:val="single" w:color="auto" w:sz="6" w:space="0"/>
        </w:tblBorders>
        <w:tblLayout w:type="autofit"/>
        <w:tblCellMar>
          <w:top w:w="0" w:type="dxa"/>
          <w:left w:w="108" w:type="dxa"/>
          <w:bottom w:w="0" w:type="dxa"/>
          <w:right w:w="108" w:type="dxa"/>
        </w:tblCellMar>
      </w:tblPr>
      <w:tblGrid>
        <w:gridCol w:w="2898"/>
        <w:gridCol w:w="1540"/>
        <w:gridCol w:w="1481"/>
        <w:gridCol w:w="1401"/>
        <w:gridCol w:w="1401"/>
      </w:tblGrid>
      <w:tr w14:paraId="7B81F2E8">
        <w:tblPrEx>
          <w:tblBorders>
            <w:top w:val="thinThickSmallGap" w:color="auto" w:sz="12" w:space="0"/>
            <w:left w:val="none" w:color="auto" w:sz="0" w:space="0"/>
            <w:bottom w:val="thickThinSmallGap"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1662" w:type="pct"/>
            <w:shd w:val="clear" w:color="auto" w:fill="E0E0E0"/>
            <w:noWrap w:val="0"/>
            <w:vAlign w:val="center"/>
          </w:tcPr>
          <w:p w14:paraId="1C7BDDC3">
            <w:pPr>
              <w:jc w:val="center"/>
              <w:rPr>
                <w:rFonts w:ascii="Times New Roman" w:hAnsi="Times New Roman" w:cs="Times New Roman"/>
                <w:kern w:val="2"/>
                <w:sz w:val="21"/>
                <w:szCs w:val="21"/>
              </w:rPr>
            </w:pPr>
            <w:r>
              <w:rPr>
                <w:rFonts w:hint="eastAsia" w:ascii="Times New Roman" w:hAnsi="Times New Roman" w:cs="Times New Roman"/>
                <w:kern w:val="2"/>
                <w:sz w:val="21"/>
                <w:szCs w:val="21"/>
              </w:rPr>
              <w:t>名称</w:t>
            </w:r>
          </w:p>
        </w:tc>
        <w:tc>
          <w:tcPr>
            <w:tcW w:w="883" w:type="pct"/>
            <w:shd w:val="clear" w:color="auto" w:fill="E0E0E0"/>
            <w:noWrap w:val="0"/>
            <w:vAlign w:val="center"/>
          </w:tcPr>
          <w:p w14:paraId="79EE31C5">
            <w:pPr>
              <w:jc w:val="center"/>
              <w:rPr>
                <w:rFonts w:ascii="Times New Roman" w:hAnsi="Times New Roman" w:cs="Times New Roman"/>
                <w:kern w:val="2"/>
                <w:sz w:val="21"/>
                <w:szCs w:val="21"/>
              </w:rPr>
            </w:pPr>
            <w:r>
              <w:rPr>
                <w:rFonts w:hint="eastAsia" w:ascii="Times New Roman" w:hAnsi="Times New Roman" w:cs="Times New Roman"/>
                <w:kern w:val="2"/>
                <w:sz w:val="21"/>
                <w:szCs w:val="21"/>
              </w:rPr>
              <w:t>SO</w:t>
            </w:r>
            <w:r>
              <w:rPr>
                <w:rFonts w:hint="eastAsia" w:ascii="Times New Roman" w:hAnsi="Times New Roman" w:cs="Times New Roman"/>
                <w:kern w:val="2"/>
                <w:sz w:val="21"/>
                <w:szCs w:val="21"/>
                <w:vertAlign w:val="subscript"/>
              </w:rPr>
              <w:t>2</w:t>
            </w:r>
          </w:p>
        </w:tc>
        <w:tc>
          <w:tcPr>
            <w:tcW w:w="849" w:type="pct"/>
            <w:shd w:val="clear" w:color="auto" w:fill="E0E0E0"/>
            <w:noWrap w:val="0"/>
            <w:vAlign w:val="center"/>
          </w:tcPr>
          <w:p w14:paraId="456E1262">
            <w:pPr>
              <w:jc w:val="center"/>
              <w:rPr>
                <w:rFonts w:ascii="Times New Roman" w:hAnsi="Times New Roman" w:cs="Times New Roman"/>
                <w:kern w:val="2"/>
                <w:sz w:val="21"/>
                <w:szCs w:val="21"/>
              </w:rPr>
            </w:pPr>
            <w:r>
              <w:rPr>
                <w:rFonts w:hint="eastAsia" w:ascii="Times New Roman" w:hAnsi="Times New Roman" w:cs="Times New Roman"/>
                <w:kern w:val="2"/>
                <w:sz w:val="21"/>
                <w:szCs w:val="21"/>
              </w:rPr>
              <w:t>NOx</w:t>
            </w:r>
          </w:p>
        </w:tc>
        <w:tc>
          <w:tcPr>
            <w:tcW w:w="803" w:type="pct"/>
            <w:shd w:val="clear" w:color="auto" w:fill="E0E0E0"/>
            <w:noWrap w:val="0"/>
            <w:vAlign w:val="center"/>
          </w:tcPr>
          <w:p w14:paraId="08D5D457">
            <w:pPr>
              <w:jc w:val="center"/>
              <w:rPr>
                <w:rFonts w:ascii="Times New Roman" w:hAnsi="Times New Roman" w:cs="Times New Roman"/>
                <w:kern w:val="2"/>
                <w:sz w:val="21"/>
                <w:szCs w:val="21"/>
              </w:rPr>
            </w:pPr>
            <w:r>
              <w:rPr>
                <w:rFonts w:ascii="Times New Roman" w:hAnsi="Times New Roman" w:cs="Times New Roman"/>
                <w:kern w:val="2"/>
                <w:sz w:val="21"/>
                <w:szCs w:val="21"/>
              </w:rPr>
              <w:t>COD</w:t>
            </w:r>
          </w:p>
        </w:tc>
        <w:tc>
          <w:tcPr>
            <w:tcW w:w="803" w:type="pct"/>
            <w:shd w:val="clear" w:color="auto" w:fill="E0E0E0"/>
            <w:noWrap w:val="0"/>
            <w:vAlign w:val="center"/>
          </w:tcPr>
          <w:p w14:paraId="18887074">
            <w:pPr>
              <w:jc w:val="center"/>
              <w:rPr>
                <w:rFonts w:ascii="Times New Roman" w:hAnsi="Times New Roman" w:cs="Times New Roman"/>
                <w:kern w:val="2"/>
                <w:sz w:val="21"/>
                <w:szCs w:val="21"/>
              </w:rPr>
            </w:pPr>
            <w:r>
              <w:rPr>
                <w:rFonts w:hint="eastAsia" w:ascii="Times New Roman" w:hAnsi="Times New Roman" w:cs="Times New Roman"/>
                <w:kern w:val="2"/>
                <w:sz w:val="21"/>
                <w:szCs w:val="21"/>
              </w:rPr>
              <w:t>氨氮</w:t>
            </w:r>
          </w:p>
        </w:tc>
      </w:tr>
      <w:tr w14:paraId="3B113355">
        <w:tblPrEx>
          <w:tblBorders>
            <w:top w:val="thinThickSmallGap" w:color="auto" w:sz="12" w:space="0"/>
            <w:left w:val="none" w:color="auto" w:sz="0" w:space="0"/>
            <w:bottom w:val="thickThinSmallGap"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1662" w:type="pct"/>
            <w:noWrap w:val="0"/>
            <w:vAlign w:val="center"/>
          </w:tcPr>
          <w:p w14:paraId="57FE2FF3">
            <w:pPr>
              <w:jc w:val="center"/>
              <w:rPr>
                <w:rFonts w:ascii="Times New Roman" w:hAnsi="Times New Roman" w:cs="Times New Roman"/>
                <w:kern w:val="2"/>
                <w:sz w:val="21"/>
                <w:szCs w:val="21"/>
              </w:rPr>
            </w:pPr>
            <w:r>
              <w:rPr>
                <w:rFonts w:hint="eastAsia" w:ascii="Times New Roman" w:hAnsi="Times New Roman" w:cs="Times New Roman"/>
                <w:kern w:val="2"/>
                <w:sz w:val="21"/>
                <w:szCs w:val="21"/>
              </w:rPr>
              <w:t>本项目总量指标</w:t>
            </w:r>
          </w:p>
        </w:tc>
        <w:tc>
          <w:tcPr>
            <w:tcW w:w="883" w:type="pct"/>
            <w:noWrap w:val="0"/>
            <w:vAlign w:val="center"/>
          </w:tcPr>
          <w:p w14:paraId="42D8DD69">
            <w:pPr>
              <w:jc w:val="center"/>
              <w:rPr>
                <w:rFonts w:ascii="Times New Roman" w:hAnsi="Times New Roman" w:cs="Times New Roman"/>
                <w:kern w:val="2"/>
                <w:sz w:val="21"/>
                <w:szCs w:val="21"/>
              </w:rPr>
            </w:pPr>
            <w:r>
              <w:rPr>
                <w:rFonts w:hint="eastAsia" w:ascii="Times New Roman" w:hAnsi="Times New Roman" w:cs="Times New Roman"/>
                <w:kern w:val="2"/>
                <w:sz w:val="21"/>
                <w:szCs w:val="21"/>
              </w:rPr>
              <w:t>7.0</w:t>
            </w:r>
          </w:p>
        </w:tc>
        <w:tc>
          <w:tcPr>
            <w:tcW w:w="849" w:type="pct"/>
            <w:noWrap w:val="0"/>
            <w:vAlign w:val="center"/>
          </w:tcPr>
          <w:p w14:paraId="7FF281A7">
            <w:pPr>
              <w:jc w:val="center"/>
              <w:rPr>
                <w:rFonts w:ascii="Times New Roman" w:hAnsi="Times New Roman" w:cs="Times New Roman"/>
                <w:kern w:val="2"/>
                <w:sz w:val="21"/>
                <w:szCs w:val="21"/>
              </w:rPr>
            </w:pPr>
            <w:r>
              <w:rPr>
                <w:rFonts w:hint="eastAsia" w:ascii="Times New Roman" w:hAnsi="Times New Roman" w:cs="Times New Roman"/>
                <w:kern w:val="2"/>
                <w:sz w:val="21"/>
                <w:szCs w:val="21"/>
              </w:rPr>
              <w:t>27.83</w:t>
            </w:r>
          </w:p>
        </w:tc>
        <w:tc>
          <w:tcPr>
            <w:tcW w:w="803" w:type="pct"/>
            <w:noWrap w:val="0"/>
            <w:vAlign w:val="center"/>
          </w:tcPr>
          <w:p w14:paraId="2552026B">
            <w:pPr>
              <w:jc w:val="center"/>
              <w:rPr>
                <w:rFonts w:ascii="Times New Roman" w:hAnsi="Times New Roman" w:cs="Times New Roman"/>
                <w:kern w:val="2"/>
                <w:sz w:val="21"/>
                <w:szCs w:val="21"/>
              </w:rPr>
            </w:pPr>
            <w:r>
              <w:rPr>
                <w:rFonts w:hint="eastAsia" w:ascii="Times New Roman" w:hAnsi="Times New Roman" w:cs="Times New Roman"/>
                <w:kern w:val="2"/>
                <w:sz w:val="21"/>
                <w:szCs w:val="21"/>
              </w:rPr>
              <w:t>0</w:t>
            </w:r>
          </w:p>
        </w:tc>
        <w:tc>
          <w:tcPr>
            <w:tcW w:w="803" w:type="pct"/>
            <w:noWrap w:val="0"/>
            <w:vAlign w:val="center"/>
          </w:tcPr>
          <w:p w14:paraId="575CBAA1">
            <w:pPr>
              <w:jc w:val="center"/>
              <w:rPr>
                <w:rFonts w:ascii="Times New Roman" w:hAnsi="Times New Roman" w:cs="Times New Roman"/>
                <w:kern w:val="2"/>
                <w:sz w:val="21"/>
                <w:szCs w:val="21"/>
              </w:rPr>
            </w:pPr>
            <w:r>
              <w:rPr>
                <w:rFonts w:hint="eastAsia" w:ascii="Times New Roman" w:hAnsi="Times New Roman" w:cs="Times New Roman"/>
                <w:kern w:val="2"/>
                <w:sz w:val="21"/>
                <w:szCs w:val="21"/>
              </w:rPr>
              <w:t>0</w:t>
            </w:r>
          </w:p>
        </w:tc>
      </w:tr>
      <w:tr w14:paraId="5B8B32DA">
        <w:tblPrEx>
          <w:tblBorders>
            <w:top w:val="thinThickSmallGap" w:color="auto" w:sz="12" w:space="0"/>
            <w:left w:val="none" w:color="auto" w:sz="0" w:space="0"/>
            <w:bottom w:val="thickThinSmallGap"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1662" w:type="pct"/>
            <w:noWrap w:val="0"/>
            <w:vAlign w:val="center"/>
          </w:tcPr>
          <w:p w14:paraId="2DA1E5E6">
            <w:pPr>
              <w:jc w:val="center"/>
              <w:rPr>
                <w:rFonts w:hint="eastAsia" w:ascii="Times New Roman" w:hAnsi="Times New Roman" w:cs="Times New Roman"/>
                <w:kern w:val="2"/>
                <w:sz w:val="21"/>
                <w:szCs w:val="21"/>
              </w:rPr>
            </w:pPr>
            <w:r>
              <w:rPr>
                <w:rFonts w:hint="eastAsia" w:ascii="Times New Roman" w:hAnsi="Times New Roman" w:cs="Times New Roman"/>
                <w:kern w:val="2"/>
                <w:sz w:val="21"/>
                <w:szCs w:val="21"/>
              </w:rPr>
              <w:t>现有工程排放量</w:t>
            </w:r>
          </w:p>
        </w:tc>
        <w:tc>
          <w:tcPr>
            <w:tcW w:w="883" w:type="pct"/>
            <w:noWrap w:val="0"/>
            <w:vAlign w:val="center"/>
          </w:tcPr>
          <w:p w14:paraId="32FEBEE9">
            <w:pPr>
              <w:pStyle w:val="506"/>
              <w:spacing w:line="240" w:lineRule="auto"/>
              <w:rPr>
                <w:rFonts w:hint="eastAsia"/>
                <w:szCs w:val="18"/>
                <w:lang w:val="en-US" w:eastAsia="zh-CN"/>
              </w:rPr>
            </w:pPr>
            <w:r>
              <w:rPr>
                <w:szCs w:val="18"/>
                <w:lang w:val="en-US"/>
              </w:rPr>
              <w:t>39.3</w:t>
            </w:r>
          </w:p>
        </w:tc>
        <w:tc>
          <w:tcPr>
            <w:tcW w:w="849" w:type="pct"/>
            <w:noWrap w:val="0"/>
            <w:vAlign w:val="center"/>
          </w:tcPr>
          <w:p w14:paraId="568CBFCF">
            <w:pPr>
              <w:jc w:val="center"/>
              <w:rPr>
                <w:rFonts w:hint="eastAsia" w:ascii="Times New Roman" w:hAnsi="Times New Roman" w:cs="Times New Roman"/>
                <w:kern w:val="2"/>
                <w:sz w:val="21"/>
                <w:szCs w:val="21"/>
              </w:rPr>
            </w:pPr>
            <w:r>
              <w:rPr>
                <w:rFonts w:ascii="Times New Roman" w:hAnsi="Times New Roman" w:cs="Times New Roman"/>
                <w:kern w:val="2"/>
                <w:sz w:val="21"/>
                <w:szCs w:val="21"/>
              </w:rPr>
              <w:t>109.39</w:t>
            </w:r>
          </w:p>
        </w:tc>
        <w:tc>
          <w:tcPr>
            <w:tcW w:w="803" w:type="pct"/>
            <w:noWrap w:val="0"/>
            <w:vAlign w:val="center"/>
          </w:tcPr>
          <w:p w14:paraId="11CD2FB6">
            <w:pPr>
              <w:jc w:val="center"/>
              <w:rPr>
                <w:rFonts w:hint="eastAsia" w:ascii="Times New Roman" w:hAnsi="Times New Roman" w:cs="Times New Roman"/>
                <w:kern w:val="2"/>
                <w:sz w:val="21"/>
                <w:szCs w:val="21"/>
              </w:rPr>
            </w:pPr>
            <w:r>
              <w:rPr>
                <w:rFonts w:hint="eastAsia" w:ascii="Times New Roman" w:hAnsi="Times New Roman" w:cs="Times New Roman"/>
                <w:kern w:val="2"/>
                <w:sz w:val="21"/>
                <w:szCs w:val="21"/>
              </w:rPr>
              <w:t>4.32</w:t>
            </w:r>
          </w:p>
        </w:tc>
        <w:tc>
          <w:tcPr>
            <w:tcW w:w="803" w:type="pct"/>
            <w:noWrap w:val="0"/>
            <w:vAlign w:val="center"/>
          </w:tcPr>
          <w:p w14:paraId="6FE81EFE">
            <w:pPr>
              <w:jc w:val="center"/>
              <w:rPr>
                <w:rFonts w:hint="eastAsia" w:ascii="Times New Roman" w:hAnsi="Times New Roman" w:cs="Times New Roman"/>
                <w:kern w:val="2"/>
                <w:sz w:val="21"/>
                <w:szCs w:val="21"/>
              </w:rPr>
            </w:pPr>
            <w:r>
              <w:rPr>
                <w:rFonts w:hint="eastAsia" w:ascii="Times New Roman" w:hAnsi="Times New Roman" w:cs="Times New Roman"/>
                <w:kern w:val="2"/>
                <w:sz w:val="21"/>
                <w:szCs w:val="21"/>
              </w:rPr>
              <w:t>0.43</w:t>
            </w:r>
          </w:p>
        </w:tc>
      </w:tr>
      <w:tr w14:paraId="70742577">
        <w:tblPrEx>
          <w:tblBorders>
            <w:top w:val="thinThickSmallGap" w:color="auto" w:sz="12" w:space="0"/>
            <w:left w:val="none" w:color="auto" w:sz="0" w:space="0"/>
            <w:bottom w:val="thickThinSmallGap"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1662" w:type="pct"/>
            <w:noWrap w:val="0"/>
            <w:vAlign w:val="center"/>
          </w:tcPr>
          <w:p w14:paraId="05DDBC12">
            <w:pPr>
              <w:jc w:val="center"/>
              <w:rPr>
                <w:rFonts w:hint="eastAsia" w:ascii="Times New Roman" w:hAnsi="Times New Roman" w:cs="Times New Roman"/>
                <w:kern w:val="2"/>
                <w:sz w:val="21"/>
                <w:szCs w:val="21"/>
              </w:rPr>
            </w:pPr>
            <w:r>
              <w:rPr>
                <w:rFonts w:hint="eastAsia" w:ascii="Times New Roman" w:hAnsi="Times New Roman" w:cs="Times New Roman"/>
                <w:kern w:val="2"/>
                <w:sz w:val="21"/>
                <w:szCs w:val="21"/>
              </w:rPr>
              <w:t>在建工程替代削减排放量</w:t>
            </w:r>
          </w:p>
        </w:tc>
        <w:tc>
          <w:tcPr>
            <w:tcW w:w="883" w:type="pct"/>
            <w:noWrap w:val="0"/>
            <w:vAlign w:val="center"/>
          </w:tcPr>
          <w:p w14:paraId="3BB719C6">
            <w:pPr>
              <w:pStyle w:val="506"/>
              <w:spacing w:line="240" w:lineRule="auto"/>
              <w:rPr>
                <w:rFonts w:hint="eastAsia"/>
                <w:szCs w:val="18"/>
                <w:lang w:eastAsia="zh-CN"/>
              </w:rPr>
            </w:pPr>
            <w:r>
              <w:rPr>
                <w:rFonts w:hint="eastAsia"/>
                <w:szCs w:val="18"/>
                <w:lang w:eastAsia="zh-CN"/>
              </w:rPr>
              <w:t>-33.70</w:t>
            </w:r>
          </w:p>
        </w:tc>
        <w:tc>
          <w:tcPr>
            <w:tcW w:w="849" w:type="pct"/>
            <w:noWrap w:val="0"/>
            <w:vAlign w:val="center"/>
          </w:tcPr>
          <w:p w14:paraId="25660112">
            <w:pPr>
              <w:jc w:val="center"/>
              <w:rPr>
                <w:rFonts w:hint="eastAsia" w:ascii="Times New Roman" w:hAnsi="Times New Roman" w:cs="Times New Roman"/>
                <w:kern w:val="2"/>
                <w:sz w:val="21"/>
                <w:szCs w:val="21"/>
              </w:rPr>
            </w:pPr>
            <w:r>
              <w:rPr>
                <w:rFonts w:ascii="Times New Roman" w:hAnsi="Times New Roman" w:cs="Times New Roman"/>
                <w:kern w:val="2"/>
                <w:sz w:val="21"/>
                <w:szCs w:val="21"/>
              </w:rPr>
              <w:t>-83.20</w:t>
            </w:r>
          </w:p>
        </w:tc>
        <w:tc>
          <w:tcPr>
            <w:tcW w:w="803" w:type="pct"/>
            <w:noWrap w:val="0"/>
            <w:vAlign w:val="center"/>
          </w:tcPr>
          <w:p w14:paraId="0A577B5A">
            <w:pPr>
              <w:jc w:val="center"/>
              <w:rPr>
                <w:rFonts w:hint="eastAsia" w:ascii="Times New Roman" w:hAnsi="Times New Roman" w:cs="Times New Roman"/>
                <w:kern w:val="2"/>
                <w:sz w:val="21"/>
                <w:szCs w:val="21"/>
              </w:rPr>
            </w:pPr>
            <w:r>
              <w:rPr>
                <w:rFonts w:hint="eastAsia" w:ascii="Times New Roman" w:hAnsi="Times New Roman" w:cs="Times New Roman"/>
                <w:kern w:val="2"/>
                <w:sz w:val="21"/>
                <w:szCs w:val="21"/>
              </w:rPr>
              <w:t>0</w:t>
            </w:r>
          </w:p>
        </w:tc>
        <w:tc>
          <w:tcPr>
            <w:tcW w:w="803" w:type="pct"/>
            <w:noWrap w:val="0"/>
            <w:vAlign w:val="center"/>
          </w:tcPr>
          <w:p w14:paraId="45E0EA90">
            <w:pPr>
              <w:jc w:val="center"/>
              <w:rPr>
                <w:rFonts w:hint="eastAsia" w:ascii="Times New Roman" w:hAnsi="Times New Roman" w:cs="Times New Roman"/>
                <w:kern w:val="2"/>
                <w:sz w:val="21"/>
                <w:szCs w:val="21"/>
              </w:rPr>
            </w:pPr>
            <w:r>
              <w:rPr>
                <w:rFonts w:hint="eastAsia" w:ascii="Times New Roman" w:hAnsi="Times New Roman" w:cs="Times New Roman"/>
                <w:kern w:val="2"/>
                <w:sz w:val="21"/>
                <w:szCs w:val="21"/>
              </w:rPr>
              <w:t>0</w:t>
            </w:r>
          </w:p>
        </w:tc>
      </w:tr>
      <w:tr w14:paraId="7EB81596">
        <w:tblPrEx>
          <w:tblBorders>
            <w:top w:val="thinThickSmallGap" w:color="auto" w:sz="12" w:space="0"/>
            <w:left w:val="none" w:color="auto" w:sz="0" w:space="0"/>
            <w:bottom w:val="thickThinSmallGap"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1662" w:type="pct"/>
            <w:noWrap w:val="0"/>
            <w:vAlign w:val="center"/>
          </w:tcPr>
          <w:p w14:paraId="5EDE9A53">
            <w:pPr>
              <w:jc w:val="center"/>
              <w:rPr>
                <w:rFonts w:hint="eastAsia" w:ascii="Times New Roman" w:hAnsi="Times New Roman" w:cs="Times New Roman"/>
                <w:kern w:val="2"/>
                <w:sz w:val="21"/>
                <w:szCs w:val="21"/>
              </w:rPr>
            </w:pPr>
            <w:r>
              <w:rPr>
                <w:rFonts w:hint="eastAsia" w:ascii="Times New Roman" w:hAnsi="Times New Roman" w:cs="Times New Roman"/>
                <w:kern w:val="2"/>
                <w:sz w:val="21"/>
                <w:szCs w:val="21"/>
              </w:rPr>
              <w:t>以新带老削减量</w:t>
            </w:r>
          </w:p>
        </w:tc>
        <w:tc>
          <w:tcPr>
            <w:tcW w:w="883" w:type="pct"/>
            <w:noWrap w:val="0"/>
            <w:vAlign w:val="center"/>
          </w:tcPr>
          <w:p w14:paraId="300F0365">
            <w:pPr>
              <w:pStyle w:val="506"/>
              <w:spacing w:line="240" w:lineRule="auto"/>
              <w:rPr>
                <w:rFonts w:hint="eastAsia"/>
                <w:szCs w:val="18"/>
                <w:lang w:eastAsia="zh-CN"/>
              </w:rPr>
            </w:pPr>
            <w:r>
              <w:rPr>
                <w:rFonts w:hint="eastAsia"/>
                <w:szCs w:val="18"/>
                <w:lang w:eastAsia="zh-CN"/>
              </w:rPr>
              <w:t>0</w:t>
            </w:r>
          </w:p>
        </w:tc>
        <w:tc>
          <w:tcPr>
            <w:tcW w:w="849" w:type="pct"/>
            <w:noWrap w:val="0"/>
            <w:vAlign w:val="center"/>
          </w:tcPr>
          <w:p w14:paraId="735E7BC3">
            <w:pPr>
              <w:jc w:val="center"/>
              <w:rPr>
                <w:rFonts w:hint="eastAsia" w:ascii="Times New Roman" w:hAnsi="Times New Roman" w:cs="Times New Roman"/>
                <w:kern w:val="2"/>
                <w:sz w:val="21"/>
                <w:szCs w:val="21"/>
              </w:rPr>
            </w:pPr>
            <w:r>
              <w:rPr>
                <w:rFonts w:ascii="Times New Roman" w:hAnsi="Times New Roman" w:cs="Times New Roman"/>
                <w:sz w:val="21"/>
                <w:szCs w:val="21"/>
              </w:rPr>
              <w:t>-3.93</w:t>
            </w:r>
          </w:p>
        </w:tc>
        <w:tc>
          <w:tcPr>
            <w:tcW w:w="803" w:type="pct"/>
            <w:noWrap w:val="0"/>
            <w:vAlign w:val="center"/>
          </w:tcPr>
          <w:p w14:paraId="32145563">
            <w:pPr>
              <w:jc w:val="center"/>
              <w:rPr>
                <w:rFonts w:hint="eastAsia" w:ascii="Times New Roman" w:hAnsi="Times New Roman" w:cs="Times New Roman"/>
                <w:kern w:val="2"/>
                <w:sz w:val="21"/>
                <w:szCs w:val="21"/>
              </w:rPr>
            </w:pPr>
            <w:r>
              <w:rPr>
                <w:rFonts w:hint="eastAsia" w:ascii="Times New Roman" w:hAnsi="Times New Roman" w:cs="Times New Roman"/>
                <w:kern w:val="2"/>
                <w:sz w:val="21"/>
                <w:szCs w:val="21"/>
              </w:rPr>
              <w:t>0</w:t>
            </w:r>
          </w:p>
        </w:tc>
        <w:tc>
          <w:tcPr>
            <w:tcW w:w="803" w:type="pct"/>
            <w:noWrap w:val="0"/>
            <w:vAlign w:val="center"/>
          </w:tcPr>
          <w:p w14:paraId="76DB19B1">
            <w:pPr>
              <w:jc w:val="center"/>
              <w:rPr>
                <w:rFonts w:hint="eastAsia" w:ascii="Times New Roman" w:hAnsi="Times New Roman" w:cs="Times New Roman"/>
                <w:kern w:val="2"/>
                <w:sz w:val="21"/>
                <w:szCs w:val="21"/>
              </w:rPr>
            </w:pPr>
            <w:r>
              <w:rPr>
                <w:rFonts w:hint="eastAsia" w:ascii="Times New Roman" w:hAnsi="Times New Roman" w:cs="Times New Roman"/>
                <w:kern w:val="2"/>
                <w:sz w:val="21"/>
                <w:szCs w:val="21"/>
              </w:rPr>
              <w:t>0</w:t>
            </w:r>
          </w:p>
        </w:tc>
      </w:tr>
      <w:tr w14:paraId="4958FA66">
        <w:tblPrEx>
          <w:tblBorders>
            <w:top w:val="thinThickSmallGap" w:color="auto" w:sz="12" w:space="0"/>
            <w:left w:val="none" w:color="auto" w:sz="0" w:space="0"/>
            <w:bottom w:val="thickThinSmallGap"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1662" w:type="pct"/>
            <w:noWrap w:val="0"/>
            <w:vAlign w:val="center"/>
          </w:tcPr>
          <w:p w14:paraId="75A7EB40">
            <w:pPr>
              <w:jc w:val="center"/>
              <w:rPr>
                <w:rFonts w:hint="eastAsia" w:ascii="Times New Roman" w:hAnsi="Times New Roman" w:cs="Times New Roman"/>
                <w:kern w:val="2"/>
                <w:sz w:val="21"/>
                <w:szCs w:val="21"/>
              </w:rPr>
            </w:pPr>
            <w:r>
              <w:rPr>
                <w:rFonts w:hint="eastAsia" w:ascii="Times New Roman" w:hAnsi="Times New Roman" w:cs="Times New Roman"/>
                <w:kern w:val="2"/>
                <w:sz w:val="21"/>
                <w:szCs w:val="21"/>
              </w:rPr>
              <w:t>排污许可量</w:t>
            </w:r>
          </w:p>
        </w:tc>
        <w:tc>
          <w:tcPr>
            <w:tcW w:w="883" w:type="pct"/>
            <w:noWrap w:val="0"/>
            <w:vAlign w:val="center"/>
          </w:tcPr>
          <w:p w14:paraId="1EF638D4">
            <w:pPr>
              <w:jc w:val="center"/>
              <w:rPr>
                <w:rFonts w:hint="eastAsia" w:ascii="Times New Roman" w:hAnsi="Times New Roman" w:cs="Times New Roman"/>
                <w:kern w:val="2"/>
                <w:sz w:val="21"/>
                <w:szCs w:val="21"/>
              </w:rPr>
            </w:pPr>
            <w:r>
              <w:rPr>
                <w:rFonts w:ascii="Times New Roman" w:hAnsi="Times New Roman" w:cs="Times New Roman"/>
                <w:sz w:val="21"/>
                <w:szCs w:val="21"/>
              </w:rPr>
              <w:t>43.2</w:t>
            </w:r>
          </w:p>
        </w:tc>
        <w:tc>
          <w:tcPr>
            <w:tcW w:w="849" w:type="pct"/>
            <w:noWrap w:val="0"/>
            <w:vAlign w:val="center"/>
          </w:tcPr>
          <w:p w14:paraId="3F23CD54">
            <w:pPr>
              <w:jc w:val="center"/>
              <w:rPr>
                <w:rFonts w:hint="eastAsia" w:ascii="Times New Roman" w:hAnsi="Times New Roman" w:cs="Times New Roman"/>
                <w:kern w:val="2"/>
                <w:sz w:val="21"/>
                <w:szCs w:val="21"/>
              </w:rPr>
            </w:pPr>
            <w:r>
              <w:rPr>
                <w:rFonts w:ascii="Times New Roman" w:hAnsi="Times New Roman" w:cs="Times New Roman"/>
                <w:sz w:val="21"/>
                <w:szCs w:val="21"/>
              </w:rPr>
              <w:t>86.4</w:t>
            </w:r>
          </w:p>
        </w:tc>
        <w:tc>
          <w:tcPr>
            <w:tcW w:w="803" w:type="pct"/>
            <w:noWrap w:val="0"/>
            <w:vAlign w:val="center"/>
          </w:tcPr>
          <w:p w14:paraId="1E348608">
            <w:pPr>
              <w:jc w:val="center"/>
              <w:rPr>
                <w:rFonts w:hint="eastAsia" w:ascii="Times New Roman" w:hAnsi="Times New Roman" w:cs="Times New Roman"/>
                <w:kern w:val="2"/>
                <w:sz w:val="21"/>
                <w:szCs w:val="21"/>
              </w:rPr>
            </w:pPr>
            <w:r>
              <w:rPr>
                <w:rFonts w:hint="eastAsia" w:ascii="Times New Roman" w:hAnsi="Times New Roman" w:cs="Times New Roman"/>
                <w:kern w:val="2"/>
                <w:sz w:val="21"/>
                <w:szCs w:val="21"/>
              </w:rPr>
              <w:t>--</w:t>
            </w:r>
          </w:p>
        </w:tc>
        <w:tc>
          <w:tcPr>
            <w:tcW w:w="803" w:type="pct"/>
            <w:noWrap w:val="0"/>
            <w:vAlign w:val="center"/>
          </w:tcPr>
          <w:p w14:paraId="53E561CD">
            <w:pPr>
              <w:jc w:val="center"/>
              <w:rPr>
                <w:rFonts w:hint="eastAsia" w:ascii="Times New Roman" w:hAnsi="Times New Roman" w:cs="Times New Roman"/>
                <w:kern w:val="2"/>
                <w:sz w:val="21"/>
                <w:szCs w:val="21"/>
              </w:rPr>
            </w:pPr>
            <w:r>
              <w:rPr>
                <w:rFonts w:hint="eastAsia" w:ascii="Times New Roman" w:hAnsi="Times New Roman" w:cs="Times New Roman"/>
                <w:kern w:val="2"/>
                <w:sz w:val="21"/>
                <w:szCs w:val="21"/>
              </w:rPr>
              <w:t>--</w:t>
            </w:r>
          </w:p>
        </w:tc>
      </w:tr>
      <w:tr w14:paraId="48A488E4">
        <w:tblPrEx>
          <w:tblBorders>
            <w:top w:val="thinThickSmallGap" w:color="auto" w:sz="12" w:space="0"/>
            <w:left w:val="none" w:color="auto" w:sz="0" w:space="0"/>
            <w:bottom w:val="thickThinSmallGap"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1662" w:type="pct"/>
            <w:noWrap w:val="0"/>
            <w:vAlign w:val="center"/>
          </w:tcPr>
          <w:p w14:paraId="47A0D603">
            <w:pPr>
              <w:jc w:val="center"/>
              <w:rPr>
                <w:rFonts w:hint="eastAsia" w:ascii="Times New Roman" w:hAnsi="Times New Roman" w:cs="Times New Roman"/>
                <w:kern w:val="2"/>
                <w:sz w:val="21"/>
                <w:szCs w:val="21"/>
              </w:rPr>
            </w:pPr>
            <w:r>
              <w:rPr>
                <w:rFonts w:hint="eastAsia" w:ascii="Times New Roman" w:hAnsi="Times New Roman" w:cs="Times New Roman"/>
                <w:kern w:val="2"/>
                <w:sz w:val="21"/>
                <w:szCs w:val="21"/>
              </w:rPr>
              <w:t>本项目实施后全厂排放量</w:t>
            </w:r>
          </w:p>
        </w:tc>
        <w:tc>
          <w:tcPr>
            <w:tcW w:w="883" w:type="pct"/>
            <w:noWrap w:val="0"/>
            <w:vAlign w:val="center"/>
          </w:tcPr>
          <w:p w14:paraId="60ECF31B">
            <w:pPr>
              <w:jc w:val="center"/>
              <w:rPr>
                <w:rFonts w:ascii="Times New Roman" w:hAnsi="Times New Roman" w:cs="Times New Roman"/>
                <w:sz w:val="21"/>
                <w:szCs w:val="21"/>
              </w:rPr>
            </w:pPr>
            <w:r>
              <w:rPr>
                <w:rFonts w:ascii="Times New Roman" w:hAnsi="Times New Roman" w:cs="Times New Roman"/>
                <w:sz w:val="21"/>
                <w:szCs w:val="21"/>
              </w:rPr>
              <w:t>12.6</w:t>
            </w:r>
          </w:p>
        </w:tc>
        <w:tc>
          <w:tcPr>
            <w:tcW w:w="849" w:type="pct"/>
            <w:noWrap w:val="0"/>
            <w:vAlign w:val="center"/>
          </w:tcPr>
          <w:p w14:paraId="0620B940">
            <w:pPr>
              <w:jc w:val="center"/>
              <w:rPr>
                <w:rFonts w:ascii="Times New Roman" w:hAnsi="Times New Roman" w:cs="Times New Roman"/>
                <w:sz w:val="21"/>
                <w:szCs w:val="21"/>
              </w:rPr>
            </w:pPr>
            <w:r>
              <w:rPr>
                <w:rFonts w:ascii="Times New Roman" w:hAnsi="Times New Roman" w:cs="Times New Roman"/>
                <w:sz w:val="21"/>
                <w:szCs w:val="21"/>
              </w:rPr>
              <w:t>50.09</w:t>
            </w:r>
          </w:p>
        </w:tc>
        <w:tc>
          <w:tcPr>
            <w:tcW w:w="803" w:type="pct"/>
            <w:noWrap w:val="0"/>
            <w:vAlign w:val="center"/>
          </w:tcPr>
          <w:p w14:paraId="33EB8918">
            <w:pPr>
              <w:jc w:val="center"/>
              <w:rPr>
                <w:rFonts w:ascii="Times New Roman" w:hAnsi="Times New Roman" w:cs="Times New Roman"/>
                <w:sz w:val="21"/>
                <w:szCs w:val="21"/>
              </w:rPr>
            </w:pPr>
            <w:r>
              <w:rPr>
                <w:rFonts w:ascii="Times New Roman" w:hAnsi="Times New Roman" w:cs="Times New Roman"/>
                <w:sz w:val="21"/>
                <w:szCs w:val="21"/>
              </w:rPr>
              <w:t>4.32</w:t>
            </w:r>
          </w:p>
        </w:tc>
        <w:tc>
          <w:tcPr>
            <w:tcW w:w="803" w:type="pct"/>
            <w:noWrap w:val="0"/>
            <w:vAlign w:val="center"/>
          </w:tcPr>
          <w:p w14:paraId="31A6D533">
            <w:pPr>
              <w:jc w:val="center"/>
              <w:rPr>
                <w:rFonts w:ascii="Times New Roman" w:hAnsi="Times New Roman" w:cs="Times New Roman"/>
                <w:sz w:val="21"/>
                <w:szCs w:val="21"/>
              </w:rPr>
            </w:pPr>
            <w:r>
              <w:rPr>
                <w:rFonts w:ascii="Times New Roman" w:hAnsi="Times New Roman" w:cs="Times New Roman"/>
                <w:sz w:val="21"/>
                <w:szCs w:val="21"/>
              </w:rPr>
              <w:t>0.43</w:t>
            </w:r>
          </w:p>
        </w:tc>
      </w:tr>
      <w:tr w14:paraId="19929C31">
        <w:tblPrEx>
          <w:tblBorders>
            <w:top w:val="thinThickSmallGap" w:color="auto" w:sz="12" w:space="0"/>
            <w:left w:val="none" w:color="auto" w:sz="0" w:space="0"/>
            <w:bottom w:val="thickThinSmallGap"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1662" w:type="pct"/>
            <w:noWrap w:val="0"/>
            <w:vAlign w:val="center"/>
          </w:tcPr>
          <w:p w14:paraId="0E75A4B5">
            <w:pPr>
              <w:jc w:val="center"/>
              <w:rPr>
                <w:rFonts w:hint="eastAsia" w:ascii="Times New Roman" w:hAnsi="Times New Roman" w:cs="Times New Roman"/>
                <w:kern w:val="2"/>
                <w:sz w:val="21"/>
                <w:szCs w:val="21"/>
              </w:rPr>
            </w:pPr>
            <w:r>
              <w:rPr>
                <w:rFonts w:hint="eastAsia" w:ascii="Times New Roman" w:hAnsi="Times New Roman" w:cs="Times New Roman"/>
                <w:kern w:val="2"/>
                <w:sz w:val="21"/>
                <w:szCs w:val="21"/>
              </w:rPr>
              <w:t>差值分析</w:t>
            </w:r>
          </w:p>
        </w:tc>
        <w:tc>
          <w:tcPr>
            <w:tcW w:w="883" w:type="pct"/>
            <w:noWrap w:val="0"/>
            <w:vAlign w:val="center"/>
          </w:tcPr>
          <w:p w14:paraId="56C8E107">
            <w:pPr>
              <w:jc w:val="center"/>
              <w:rPr>
                <w:rFonts w:ascii="Times New Roman" w:hAnsi="Times New Roman" w:cs="Times New Roman"/>
                <w:sz w:val="21"/>
                <w:szCs w:val="21"/>
              </w:rPr>
            </w:pPr>
            <w:r>
              <w:rPr>
                <w:rFonts w:ascii="Times New Roman" w:hAnsi="Times New Roman" w:cs="Times New Roman"/>
                <w:sz w:val="21"/>
                <w:szCs w:val="21"/>
              </w:rPr>
              <w:t>-30.6</w:t>
            </w:r>
          </w:p>
        </w:tc>
        <w:tc>
          <w:tcPr>
            <w:tcW w:w="849" w:type="pct"/>
            <w:noWrap w:val="0"/>
            <w:vAlign w:val="center"/>
          </w:tcPr>
          <w:p w14:paraId="1CD25788">
            <w:pPr>
              <w:jc w:val="center"/>
              <w:rPr>
                <w:rFonts w:ascii="Times New Roman" w:hAnsi="Times New Roman" w:cs="Times New Roman"/>
                <w:sz w:val="21"/>
                <w:szCs w:val="21"/>
              </w:rPr>
            </w:pPr>
            <w:r>
              <w:rPr>
                <w:rFonts w:ascii="Times New Roman" w:hAnsi="Times New Roman" w:cs="Times New Roman"/>
                <w:sz w:val="21"/>
                <w:szCs w:val="21"/>
              </w:rPr>
              <w:t>-36.31</w:t>
            </w:r>
          </w:p>
        </w:tc>
        <w:tc>
          <w:tcPr>
            <w:tcW w:w="803" w:type="pct"/>
            <w:noWrap w:val="0"/>
            <w:vAlign w:val="center"/>
          </w:tcPr>
          <w:p w14:paraId="675E0F84">
            <w:pPr>
              <w:jc w:val="center"/>
              <w:rPr>
                <w:rFonts w:hint="eastAsia" w:ascii="Times New Roman" w:hAnsi="Times New Roman" w:cs="Times New Roman"/>
                <w:kern w:val="2"/>
                <w:sz w:val="21"/>
                <w:szCs w:val="21"/>
              </w:rPr>
            </w:pPr>
            <w:r>
              <w:rPr>
                <w:rFonts w:hint="eastAsia" w:ascii="Times New Roman" w:hAnsi="Times New Roman" w:cs="Times New Roman"/>
                <w:kern w:val="2"/>
                <w:sz w:val="21"/>
                <w:szCs w:val="21"/>
              </w:rPr>
              <w:t>--</w:t>
            </w:r>
          </w:p>
        </w:tc>
        <w:tc>
          <w:tcPr>
            <w:tcW w:w="803" w:type="pct"/>
            <w:noWrap w:val="0"/>
            <w:vAlign w:val="center"/>
          </w:tcPr>
          <w:p w14:paraId="65DDA014">
            <w:pPr>
              <w:jc w:val="center"/>
              <w:rPr>
                <w:rFonts w:hint="eastAsia" w:ascii="Times New Roman" w:hAnsi="Times New Roman" w:cs="Times New Roman"/>
                <w:kern w:val="2"/>
                <w:sz w:val="21"/>
                <w:szCs w:val="21"/>
              </w:rPr>
            </w:pPr>
            <w:r>
              <w:rPr>
                <w:rFonts w:hint="eastAsia" w:ascii="Times New Roman" w:hAnsi="Times New Roman" w:cs="Times New Roman"/>
                <w:kern w:val="2"/>
                <w:sz w:val="21"/>
                <w:szCs w:val="21"/>
              </w:rPr>
              <w:t>--</w:t>
            </w:r>
          </w:p>
        </w:tc>
      </w:tr>
    </w:tbl>
    <w:p w14:paraId="2870068E">
      <w:pPr>
        <w:pStyle w:val="310"/>
        <w:spacing w:line="240" w:lineRule="auto"/>
        <w:ind w:firstLine="320"/>
        <w:rPr>
          <w:sz w:val="16"/>
          <w:lang w:eastAsia="zh-CN"/>
        </w:rPr>
      </w:pPr>
    </w:p>
    <w:p w14:paraId="0CC38D04">
      <w:pPr>
        <w:pStyle w:val="310"/>
        <w:spacing w:line="240" w:lineRule="auto"/>
        <w:ind w:firstLine="320"/>
        <w:rPr>
          <w:sz w:val="16"/>
          <w:lang w:eastAsia="zh-CN"/>
        </w:rPr>
        <w:sectPr>
          <w:pgSz w:w="11907" w:h="16840"/>
          <w:pgMar w:top="1701" w:right="1701" w:bottom="1701" w:left="1701" w:header="851" w:footer="1077" w:gutter="0"/>
          <w:pgBorders w:offsetFrom="page">
            <w:top w:val="none" w:sz="0" w:space="0"/>
            <w:left w:val="none" w:sz="0" w:space="0"/>
            <w:bottom w:val="none" w:sz="0" w:space="0"/>
            <w:right w:val="none" w:sz="0" w:space="0"/>
          </w:pgBorders>
          <w:pgNumType w:fmt="decimal"/>
          <w:cols w:space="720" w:num="1"/>
          <w:docGrid w:type="lines" w:linePitch="479" w:charSpace="0"/>
        </w:sectPr>
      </w:pPr>
    </w:p>
    <w:p w14:paraId="24EE9E40">
      <w:pPr>
        <w:pStyle w:val="5"/>
        <w:rPr>
          <w:sz w:val="36"/>
        </w:rPr>
      </w:pPr>
      <w:bookmarkStart w:id="336" w:name="_Toc90026132"/>
      <w:bookmarkStart w:id="337" w:name="_Toc28083"/>
      <w:r>
        <w:rPr>
          <w:rFonts w:hint="eastAsia"/>
          <w:lang w:eastAsia="zh-CN"/>
        </w:rPr>
        <w:t>4</w:t>
      </w:r>
      <w:r>
        <w:t>. 环境</w:t>
      </w:r>
      <w:bookmarkEnd w:id="265"/>
      <w:bookmarkEnd w:id="266"/>
      <w:bookmarkEnd w:id="267"/>
      <w:bookmarkEnd w:id="268"/>
      <w:bookmarkEnd w:id="269"/>
      <w:bookmarkEnd w:id="270"/>
      <w:bookmarkEnd w:id="271"/>
      <w:bookmarkEnd w:id="272"/>
      <w:bookmarkEnd w:id="273"/>
      <w:bookmarkEnd w:id="274"/>
      <w:bookmarkEnd w:id="275"/>
      <w:bookmarkEnd w:id="276"/>
      <w:r>
        <w:t>现状调查与评价</w:t>
      </w:r>
      <w:bookmarkEnd w:id="336"/>
      <w:bookmarkEnd w:id="337"/>
    </w:p>
    <w:p w14:paraId="2C4EC827">
      <w:pPr>
        <w:pStyle w:val="6"/>
        <w:spacing w:before="239"/>
      </w:pPr>
      <w:bookmarkStart w:id="338" w:name="_Toc90026133"/>
      <w:bookmarkStart w:id="339" w:name="_Toc5384"/>
      <w:bookmarkStart w:id="340" w:name="_Toc151200272"/>
      <w:bookmarkStart w:id="341" w:name="_Toc167501737"/>
      <w:bookmarkStart w:id="342" w:name="_Toc169945208"/>
      <w:bookmarkStart w:id="343" w:name="_Toc154569862"/>
      <w:bookmarkStart w:id="344" w:name="_Toc166988491"/>
      <w:bookmarkStart w:id="345" w:name="_Toc153878458"/>
      <w:bookmarkStart w:id="346" w:name="_Toc166558352"/>
      <w:bookmarkStart w:id="347" w:name="_Toc154570249"/>
      <w:bookmarkStart w:id="348" w:name="_Toc151278923"/>
      <w:bookmarkStart w:id="349" w:name="_Toc151200112"/>
      <w:bookmarkStart w:id="350" w:name="_Toc172369252"/>
      <w:bookmarkStart w:id="351" w:name="_Toc153007122"/>
      <w:bookmarkStart w:id="352" w:name="_Toc151276160"/>
      <w:bookmarkStart w:id="353" w:name="_Toc176332085"/>
      <w:bookmarkStart w:id="354" w:name="_Toc167157866"/>
      <w:bookmarkStart w:id="355" w:name="_Toc158523411"/>
      <w:bookmarkStart w:id="356" w:name="_Toc172545032"/>
      <w:r>
        <w:rPr>
          <w:rFonts w:hint="eastAsia" w:eastAsia="华文新魏"/>
        </w:rPr>
        <w:t>4</w:t>
      </w:r>
      <w:r>
        <w:rPr>
          <w:rFonts w:eastAsia="华文新魏"/>
        </w:rPr>
        <w:t xml:space="preserve">.1 </w:t>
      </w:r>
      <w:r>
        <w:t>自然环境概况</w:t>
      </w:r>
      <w:bookmarkEnd w:id="338"/>
      <w:bookmarkEnd w:id="339"/>
    </w:p>
    <w:p w14:paraId="280D1AB8">
      <w:pPr>
        <w:pStyle w:val="7"/>
      </w:pPr>
      <w:bookmarkStart w:id="357" w:name="_Toc3021"/>
      <w:bookmarkStart w:id="358" w:name="_Toc90026276"/>
      <w:r>
        <w:rPr>
          <w:rFonts w:hint="eastAsia"/>
          <w:lang w:eastAsia="zh-CN"/>
        </w:rPr>
        <w:t>4</w:t>
      </w:r>
      <w:r>
        <w:t>.1.1 地理位置</w:t>
      </w:r>
      <w:bookmarkEnd w:id="357"/>
      <w:bookmarkEnd w:id="358"/>
    </w:p>
    <w:p w14:paraId="29D1ABEF">
      <w:pPr>
        <w:pStyle w:val="310"/>
        <w:spacing w:line="500" w:lineRule="exact"/>
        <w:jc w:val="both"/>
        <w:rPr>
          <w:rFonts w:hint="eastAsia" w:ascii="Times New Roman" w:hAnsi="Times New Roman" w:cs="Times New Roman"/>
        </w:rPr>
      </w:pPr>
      <w:r>
        <w:rPr>
          <w:rFonts w:hint="eastAsia" w:ascii="Times New Roman" w:hAnsi="Times New Roman" w:cs="Times New Roman"/>
        </w:rPr>
        <w:t>本溪满族自治县（以下简称“本溪县”）隶属于辽宁省本溪市，位于辽宁省东部山区，太子河上游，县城距本溪市30km，距沈阳市90km，距桃仙机场85km，东与桓仁满族自治县接壤，南与凤城市、宽甸满族自治县相连，西与南芬区、明山区、溪湖区紧靠，北与沈阳市、本溪县、新宾满族自治县毗邻。地理坐标位于北纬40°48′50″～41°33′50″、东经123°34'53″～124°45'42″之间，东西长62km，南北宽85km，辖区总面积3344平方公里。境内地貌构成为“八山一水一分田”。全县耕地面积34.8万亩，水域面积10.3万亩，是辽宁省天然的水源涵养地和绿色屏障。同时本溪县已融入“环沈阳一小时经济圈”，是辽宁省中部城市群进入辽东山区的门户。</w:t>
      </w:r>
    </w:p>
    <w:p w14:paraId="38CF8625">
      <w:pPr>
        <w:pStyle w:val="310"/>
        <w:spacing w:line="500" w:lineRule="exact"/>
        <w:jc w:val="both"/>
        <w:rPr>
          <w:rFonts w:hint="eastAsia"/>
          <w:lang w:val="en-US" w:eastAsia="zh-CN"/>
        </w:rPr>
        <w:sectPr>
          <w:headerReference r:id="rId21" w:type="first"/>
          <w:footerReference r:id="rId24" w:type="first"/>
          <w:headerReference r:id="rId19" w:type="default"/>
          <w:footerReference r:id="rId22" w:type="default"/>
          <w:headerReference r:id="rId20" w:type="even"/>
          <w:footerReference r:id="rId23" w:type="even"/>
          <w:pgSz w:w="11907" w:h="16840"/>
          <w:pgMar w:top="1701" w:right="1701" w:bottom="1701" w:left="1701" w:header="851" w:footer="1077" w:gutter="0"/>
          <w:pgBorders w:offsetFrom="page">
            <w:top w:val="none" w:sz="0" w:space="0"/>
            <w:left w:val="none" w:sz="0" w:space="0"/>
            <w:bottom w:val="none" w:sz="0" w:space="0"/>
            <w:right w:val="none" w:sz="0" w:space="0"/>
          </w:pgBorders>
          <w:pgNumType w:fmt="decimal"/>
          <w:cols w:space="720" w:num="1"/>
          <w:docGrid w:type="lines" w:linePitch="479" w:charSpace="0"/>
        </w:sectPr>
      </w:pPr>
      <w:r>
        <w:t>本项目位于</w:t>
      </w:r>
      <w:r>
        <w:rPr>
          <w:rFonts w:hint="eastAsia"/>
          <w:lang w:eastAsia="zh-CN"/>
        </w:rPr>
        <w:t>本溪市本溪满族自治县草河口镇祁家堡村</w:t>
      </w:r>
      <w:r>
        <w:t>，坐标位置东经</w:t>
      </w:r>
      <w:r>
        <w:rPr>
          <w:rFonts w:hint="eastAsia"/>
        </w:rPr>
        <w:t>123.83739000</w:t>
      </w:r>
      <w:r>
        <w:t>°，北纬</w:t>
      </w:r>
      <w:r>
        <w:rPr>
          <w:rFonts w:hint="eastAsia"/>
        </w:rPr>
        <w:t>40.93044010</w:t>
      </w:r>
      <w:r>
        <w:t>°</w:t>
      </w:r>
      <w:r>
        <w:rPr>
          <w:rFonts w:hint="eastAsia"/>
          <w:lang w:eastAsia="zh-CN"/>
        </w:rPr>
        <w:t>，</w:t>
      </w:r>
      <w:r>
        <w:rPr>
          <w:lang w:val="en-US" w:eastAsia="zh-CN"/>
        </w:rPr>
        <w:t>项目地理位置见图</w:t>
      </w:r>
      <w:r>
        <w:rPr>
          <w:rFonts w:hint="eastAsia"/>
          <w:lang w:val="en-US" w:eastAsia="zh-CN"/>
        </w:rPr>
        <w:t>4.1-1。</w:t>
      </w:r>
    </w:p>
    <w:p w14:paraId="5F492995">
      <w:pPr>
        <w:jc w:val="center"/>
      </w:pPr>
      <w:r>
        <w:drawing>
          <wp:inline distT="0" distB="0" distL="114300" distR="114300">
            <wp:extent cx="6638290" cy="4845685"/>
            <wp:effectExtent l="0" t="0" r="10160" b="12065"/>
            <wp:docPr id="93" name="图片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 name="图片 63"/>
                    <pic:cNvPicPr>
                      <a:picLocks noChangeAspect="1"/>
                    </pic:cNvPicPr>
                  </pic:nvPicPr>
                  <pic:blipFill>
                    <a:blip r:embed="rId46"/>
                    <a:stretch>
                      <a:fillRect/>
                    </a:stretch>
                  </pic:blipFill>
                  <pic:spPr>
                    <a:xfrm>
                      <a:off x="0" y="0"/>
                      <a:ext cx="6638290" cy="4845685"/>
                    </a:xfrm>
                    <a:prstGeom prst="rect">
                      <a:avLst/>
                    </a:prstGeom>
                    <a:noFill/>
                    <a:ln>
                      <a:noFill/>
                    </a:ln>
                  </pic:spPr>
                </pic:pic>
              </a:graphicData>
            </a:graphic>
          </wp:inline>
        </w:drawing>
      </w:r>
    </w:p>
    <w:p w14:paraId="556681FF">
      <w:pPr>
        <w:pStyle w:val="2"/>
        <w:jc w:val="center"/>
        <w:rPr>
          <w:rFonts w:hint="eastAsia"/>
          <w:lang w:val="en-US" w:eastAsia="zh-CN"/>
        </w:rPr>
        <w:sectPr>
          <w:pgSz w:w="16840" w:h="11907" w:orient="landscape"/>
          <w:pgMar w:top="1701" w:right="1701" w:bottom="1701" w:left="1701" w:header="851" w:footer="1077" w:gutter="0"/>
          <w:pgBorders w:offsetFrom="page">
            <w:top w:val="none" w:sz="0" w:space="0"/>
            <w:left w:val="none" w:sz="0" w:space="0"/>
            <w:bottom w:val="none" w:sz="0" w:space="0"/>
            <w:right w:val="none" w:sz="0" w:space="0"/>
          </w:pgBorders>
          <w:pgNumType w:fmt="decimal"/>
          <w:cols w:space="720" w:num="1"/>
          <w:docGrid w:type="lines" w:linePitch="479" w:charSpace="0"/>
        </w:sectPr>
      </w:pPr>
      <w:r>
        <w:rPr>
          <w:rFonts w:eastAsia="黑体"/>
          <w:lang w:val="en-US" w:eastAsia="zh-CN"/>
        </w:rPr>
        <w:t>图</w:t>
      </w:r>
      <w:r>
        <w:rPr>
          <w:rFonts w:hint="eastAsia" w:eastAsia="黑体"/>
          <w:lang w:val="en-US" w:eastAsia="zh-CN"/>
        </w:rPr>
        <w:t>4.1-1</w:t>
      </w:r>
      <w:r>
        <w:rPr>
          <w:rFonts w:eastAsia="黑体"/>
          <w:lang w:val="en-US" w:eastAsia="zh-CN"/>
        </w:rPr>
        <w:t xml:space="preserve">  本项目地理位置图</w:t>
      </w:r>
    </w:p>
    <w:p w14:paraId="64920F6E">
      <w:pPr>
        <w:pStyle w:val="7"/>
      </w:pPr>
      <w:bookmarkStart w:id="359" w:name="_Toc90026277"/>
      <w:bookmarkStart w:id="360" w:name="_Toc12901"/>
      <w:r>
        <w:rPr>
          <w:rFonts w:hint="eastAsia"/>
          <w:lang w:eastAsia="zh-CN"/>
        </w:rPr>
        <w:t>4</w:t>
      </w:r>
      <w:r>
        <w:t>.1.2 地形地貌</w:t>
      </w:r>
      <w:bookmarkEnd w:id="359"/>
      <w:bookmarkEnd w:id="360"/>
    </w:p>
    <w:p w14:paraId="3C0BED21">
      <w:pPr>
        <w:pStyle w:val="310"/>
        <w:spacing w:line="500" w:lineRule="exact"/>
        <w:jc w:val="both"/>
      </w:pPr>
      <w:r>
        <w:rPr>
          <w:rFonts w:hint="eastAsia"/>
        </w:rPr>
        <w:t>本溪满族自治县境内为长白山脉东南延续部分。地势东南高，西北低。有大小山岭达240多座。主要山峰有韭菜顶子山、西大顶子、大凹岭、长砬子等，海拔均在1032米以上。长白山系千山山脉从东向西横贯全境，形成东起东营坊、兰河峪，经草河掌到南部连山关的东南屋脊地带。全县千米以上的山峰大都分布在这里，平均高度海拔600米左右。位于千山山脉南麓的草河城、草河口一带，为南部丘陵地带，平均海拔高度400米左右。县境中部为太子河大断裂带。两岸形成许多羽毛状的小断裂，构成以太子河谷为中线的沉积小平原，平均海拔不足300米。县境北部为低山丘陵地带，山势较缓，平均海拔450米上下。俯视全县地势呈东南高，西北低之势。县内最高山峰是东营坊乡小东沟村的出不来沟顶，海拔1310米；最低绝对高为120米，是高官镇北三家子村太子河出境处。</w:t>
      </w:r>
    </w:p>
    <w:p w14:paraId="202AE7EE">
      <w:pPr>
        <w:pStyle w:val="7"/>
      </w:pPr>
      <w:bookmarkStart w:id="361" w:name="_Toc27220"/>
      <w:bookmarkStart w:id="362" w:name="_Toc90026278"/>
      <w:r>
        <w:t>4.1.3 气候气象</w:t>
      </w:r>
      <w:bookmarkEnd w:id="361"/>
      <w:bookmarkEnd w:id="362"/>
    </w:p>
    <w:p w14:paraId="75EE8750">
      <w:pPr>
        <w:pStyle w:val="310"/>
        <w:spacing w:line="500" w:lineRule="exact"/>
        <w:jc w:val="both"/>
        <w:rPr>
          <w:rFonts w:hint="eastAsia"/>
        </w:rPr>
      </w:pPr>
      <w:r>
        <w:rPr>
          <w:rFonts w:hint="eastAsia"/>
        </w:rPr>
        <w:t>本溪满族自治县地处中纬度，属于北温带湿润气候区，季风和大陆性气候特征明显。主要气候特点是四季分明，雨量充沛，日照充足，温度适中，雨热同期，适宜人类生存和发展农林牧业。</w:t>
      </w:r>
    </w:p>
    <w:p w14:paraId="17E5941E">
      <w:pPr>
        <w:pStyle w:val="310"/>
        <w:spacing w:line="500" w:lineRule="exact"/>
        <w:ind w:left="0" w:leftChars="0" w:firstLine="480" w:firstLineChars="200"/>
        <w:jc w:val="both"/>
        <w:rPr>
          <w:rFonts w:hint="eastAsia"/>
        </w:rPr>
      </w:pPr>
      <w:r>
        <w:rPr>
          <w:rFonts w:hint="eastAsia"/>
        </w:rPr>
        <w:t>年平均气温为6.7℃，最热月平均气温为23.3℃，最冷月平均气温为-13.5℃，极端最高气温为37.8℃，极端最低气温为-37.9℃。日平均气温稳定10℃的初日为4月20日至30日，终日为10月2日至9日，其间隔日数为156—172天。</w:t>
      </w:r>
    </w:p>
    <w:p w14:paraId="0206C608">
      <w:pPr>
        <w:pStyle w:val="310"/>
        <w:spacing w:line="500" w:lineRule="exact"/>
        <w:ind w:left="0" w:leftChars="0" w:firstLine="480" w:firstLineChars="200"/>
        <w:jc w:val="both"/>
        <w:rPr>
          <w:lang w:val="en-US" w:eastAsia="zh-CN"/>
        </w:rPr>
      </w:pPr>
      <w:r>
        <w:rPr>
          <w:rFonts w:hint="eastAsia"/>
        </w:rPr>
        <w:t>年平均降水量为781.8毫米，4-9月平均降水量663.7毫米，约占全年总降水的85%。年平均相对湿度为67%，部分林区可达75%以上。无霜期为 143 天。历年平均日照时数2371.8小时，日照百分率为54%。全县年平均风速为2.1m/s，静风在一年中最多，出现频率为37%。</w:t>
      </w:r>
    </w:p>
    <w:p w14:paraId="5C61A06D">
      <w:pPr>
        <w:pStyle w:val="7"/>
      </w:pPr>
      <w:bookmarkStart w:id="363" w:name="_Toc90026279"/>
      <w:bookmarkStart w:id="364" w:name="_Toc6673"/>
      <w:r>
        <w:rPr>
          <w:rFonts w:hint="eastAsia"/>
          <w:lang w:eastAsia="zh-CN"/>
        </w:rPr>
        <w:t>4</w:t>
      </w:r>
      <w:r>
        <w:t xml:space="preserve">.1.4 </w:t>
      </w:r>
      <w:r>
        <w:rPr>
          <w:rFonts w:hint="eastAsia"/>
          <w:lang w:eastAsia="zh-CN"/>
        </w:rPr>
        <w:t>地表水系</w:t>
      </w:r>
      <w:bookmarkEnd w:id="363"/>
      <w:bookmarkEnd w:id="364"/>
    </w:p>
    <w:p w14:paraId="76E852F6">
      <w:pPr>
        <w:pStyle w:val="310"/>
        <w:spacing w:line="500" w:lineRule="exact"/>
        <w:jc w:val="both"/>
      </w:pPr>
      <w:r>
        <w:rPr>
          <w:rFonts w:hint="eastAsia"/>
        </w:rPr>
        <w:t>本溪满族自治县的深山丛林具有极好的水源涵养能力，泉水溪流汇成大河，蕴藏着丰富的水利资源。境内水系主要分为黄海水系和渤海水系。境内有长度在5公里以下的小河1297条，5公里以上的河流有88条。这些河流夏季水量充沛，冬季水量减少，约有5个月的结冰期。大部分河水流经地方岩石坚硬，加之深山密林，植被覆盖，故河水含沙量较少。山区河床比降较大，年平均地表径流总量为13.54亿立方米，水能总蕴藏量达10万千瓦，7条较大河流水利电力开发潜力很大</w:t>
      </w:r>
      <w:r>
        <w:t>。</w:t>
      </w:r>
    </w:p>
    <w:p w14:paraId="34DFEC06">
      <w:pPr>
        <w:pStyle w:val="310"/>
        <w:spacing w:line="500" w:lineRule="exact"/>
        <w:jc w:val="both"/>
      </w:pPr>
      <w:r>
        <w:rPr>
          <w:rFonts w:hint="eastAsia"/>
        </w:rPr>
        <w:t>本</w:t>
      </w:r>
      <w:r>
        <w:t>项目所在地区属于</w:t>
      </w:r>
      <w:r>
        <w:rPr>
          <w:rFonts w:hint="eastAsia"/>
          <w:lang w:val="en-US" w:eastAsia="zh-CN"/>
        </w:rPr>
        <w:t>细</w:t>
      </w:r>
      <w:r>
        <w:t>河水系，</w:t>
      </w:r>
      <w:r>
        <w:rPr>
          <w:rFonts w:hint="eastAsia"/>
        </w:rPr>
        <w:t>细河由本溪满族自治县南部连山关镇中河村入境，由南向北流经连山关和南芬区全境，再经平山区桥头镇后折向西，至平山区北台镇毛家崴子出境，最后在辽阳县境内从左岸汇入太子河。细河全长120公里，总流域面积1113平方公里。在本溪境内河长85公里，流域面积1044平方公里</w:t>
      </w:r>
      <w:r>
        <w:t>。地表水系图见图</w:t>
      </w:r>
      <w:r>
        <w:rPr>
          <w:rFonts w:hint="eastAsia"/>
          <w:lang w:eastAsia="zh-CN"/>
        </w:rPr>
        <w:t>4.1-2</w:t>
      </w:r>
      <w:r>
        <w:t>。</w:t>
      </w:r>
    </w:p>
    <w:p w14:paraId="0921FBC2">
      <w:pPr>
        <w:rPr>
          <w:lang w:val="en-US" w:eastAsia="zh-CN"/>
        </w:rPr>
      </w:pPr>
      <w:r>
        <w:drawing>
          <wp:inline distT="0" distB="0" distL="114300" distR="114300">
            <wp:extent cx="5400040" cy="3893820"/>
            <wp:effectExtent l="0" t="0" r="10160" b="11430"/>
            <wp:docPr id="94" name="图片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图片 68"/>
                    <pic:cNvPicPr>
                      <a:picLocks noChangeAspect="1"/>
                    </pic:cNvPicPr>
                  </pic:nvPicPr>
                  <pic:blipFill>
                    <a:blip r:embed="rId47"/>
                    <a:stretch>
                      <a:fillRect/>
                    </a:stretch>
                  </pic:blipFill>
                  <pic:spPr>
                    <a:xfrm>
                      <a:off x="0" y="0"/>
                      <a:ext cx="5400040" cy="3893820"/>
                    </a:xfrm>
                    <a:prstGeom prst="rect">
                      <a:avLst/>
                    </a:prstGeom>
                    <a:noFill/>
                    <a:ln>
                      <a:noFill/>
                    </a:ln>
                  </pic:spPr>
                </pic:pic>
              </a:graphicData>
            </a:graphic>
          </wp:inline>
        </w:drawing>
      </w:r>
    </w:p>
    <w:p w14:paraId="453D405C">
      <w:pPr>
        <w:pStyle w:val="310"/>
        <w:spacing w:line="500" w:lineRule="exact"/>
        <w:ind w:firstLine="0" w:firstLineChars="0"/>
        <w:jc w:val="center"/>
        <w:rPr>
          <w:rFonts w:hint="eastAsia" w:eastAsia="黑体"/>
          <w:lang w:val="en-US" w:eastAsia="zh-CN"/>
        </w:rPr>
      </w:pPr>
      <w:r>
        <w:rPr>
          <w:rFonts w:eastAsia="黑体"/>
          <w:lang w:val="en-US" w:eastAsia="zh-CN"/>
        </w:rPr>
        <w:t>图</w:t>
      </w:r>
      <w:r>
        <w:rPr>
          <w:rFonts w:hint="eastAsia" w:eastAsia="黑体"/>
          <w:lang w:val="en-US" w:eastAsia="zh-CN"/>
        </w:rPr>
        <w:t>4.1-2</w:t>
      </w:r>
      <w:r>
        <w:rPr>
          <w:rFonts w:eastAsia="黑体"/>
          <w:lang w:val="en-US" w:eastAsia="zh-CN"/>
        </w:rPr>
        <w:t xml:space="preserve">  本项目</w:t>
      </w:r>
      <w:r>
        <w:rPr>
          <w:rFonts w:hint="eastAsia" w:eastAsia="黑体"/>
          <w:lang w:val="en-US" w:eastAsia="zh-CN"/>
        </w:rPr>
        <w:t>地表水系</w:t>
      </w:r>
      <w:r>
        <w:rPr>
          <w:rFonts w:eastAsia="黑体"/>
          <w:lang w:val="en-US" w:eastAsia="zh-CN"/>
        </w:rPr>
        <w:t>图</w:t>
      </w:r>
      <w:r>
        <w:rPr>
          <w:rFonts w:hint="eastAsia" w:eastAsia="黑体"/>
          <w:lang w:val="en-US" w:eastAsia="zh-CN"/>
        </w:rPr>
        <w:t xml:space="preserve"> </w:t>
      </w:r>
      <w:r>
        <w:rPr>
          <w:rFonts w:eastAsia="黑体"/>
          <w:lang w:val="en-US" w:eastAsia="zh-CN"/>
        </w:rPr>
        <w:t xml:space="preserve">   </w:t>
      </w:r>
      <w:r>
        <w:rPr>
          <w:rFonts w:hint="eastAsia" w:eastAsia="黑体"/>
          <w:lang w:val="en-US" w:eastAsia="zh-CN"/>
        </w:rPr>
        <w:t xml:space="preserve">（比例 </w:t>
      </w:r>
      <w:r>
        <w:rPr>
          <w:rFonts w:eastAsia="黑体"/>
          <w:lang w:val="en-US" w:eastAsia="zh-CN"/>
        </w:rPr>
        <w:t xml:space="preserve"> </w:t>
      </w:r>
      <w:r>
        <w:rPr>
          <w:rFonts w:hint="eastAsia" w:eastAsia="黑体"/>
          <w:lang w:val="en-US" w:eastAsia="zh-CN"/>
        </w:rPr>
        <w:t>1：1</w:t>
      </w:r>
      <w:r>
        <w:rPr>
          <w:rFonts w:eastAsia="黑体"/>
          <w:lang w:val="en-US" w:eastAsia="zh-CN"/>
        </w:rPr>
        <w:t>000000</w:t>
      </w:r>
      <w:r>
        <w:rPr>
          <w:rFonts w:hint="eastAsia" w:eastAsia="黑体"/>
          <w:lang w:val="en-US" w:eastAsia="zh-CN"/>
        </w:rPr>
        <w:t>）</w:t>
      </w:r>
    </w:p>
    <w:p w14:paraId="6B5366E2">
      <w:pPr>
        <w:pStyle w:val="7"/>
      </w:pPr>
      <w:bookmarkStart w:id="365" w:name="_Toc13354"/>
      <w:bookmarkStart w:id="366" w:name="_Toc90026280"/>
      <w:r>
        <w:rPr>
          <w:rFonts w:hint="eastAsia"/>
          <w:lang w:eastAsia="zh-CN"/>
        </w:rPr>
        <w:t>4</w:t>
      </w:r>
      <w:r>
        <w:t>.1.</w:t>
      </w:r>
      <w:r>
        <w:rPr>
          <w:rFonts w:hint="eastAsia"/>
          <w:lang w:eastAsia="zh-CN"/>
        </w:rPr>
        <w:t>5</w:t>
      </w:r>
      <w:r>
        <w:t xml:space="preserve"> </w:t>
      </w:r>
      <w:r>
        <w:rPr>
          <w:rFonts w:hint="eastAsia"/>
          <w:lang w:eastAsia="zh-CN"/>
        </w:rPr>
        <w:t>地质条件</w:t>
      </w:r>
      <w:bookmarkEnd w:id="365"/>
      <w:bookmarkEnd w:id="366"/>
    </w:p>
    <w:p w14:paraId="286640BD">
      <w:pPr>
        <w:pStyle w:val="310"/>
        <w:spacing w:line="500" w:lineRule="exact"/>
        <w:jc w:val="both"/>
        <w:rPr>
          <w:rFonts w:hint="eastAsia"/>
        </w:rPr>
      </w:pPr>
      <w:r>
        <w:rPr>
          <w:rFonts w:hint="eastAsia"/>
        </w:rPr>
        <w:t>本溪满族自治县地处辽宁东部山区，地质构造复杂，整体具有“八山一水一分田”的特征：</w:t>
      </w:r>
    </w:p>
    <w:p w14:paraId="50091619">
      <w:pPr>
        <w:pStyle w:val="310"/>
        <w:spacing w:line="500" w:lineRule="exact"/>
        <w:jc w:val="both"/>
        <w:rPr>
          <w:rFonts w:hint="eastAsia"/>
        </w:rPr>
      </w:pPr>
      <w:r>
        <w:rPr>
          <w:rFonts w:hint="eastAsia"/>
        </w:rPr>
        <w:t>• 构造位置：位于中朝准地台、胶辽台隆的太子河—浑江台陷区，历经多次构造运动（如燕山运动），褶皱与断裂发育，岩浆活动强烈。</w:t>
      </w:r>
    </w:p>
    <w:p w14:paraId="75B985E0">
      <w:pPr>
        <w:pStyle w:val="310"/>
        <w:spacing w:line="500" w:lineRule="exact"/>
        <w:jc w:val="both"/>
        <w:rPr>
          <w:rFonts w:hint="eastAsia"/>
        </w:rPr>
      </w:pPr>
      <w:r>
        <w:rPr>
          <w:rFonts w:hint="eastAsia"/>
        </w:rPr>
        <w:t>• 地层岩性：出露地层从老到新有太古界（混合花岗岩、磁铁石英岩）、元古界、古生界（灰岩、泥岩等）及新生界。大面积分布太古界混合花岗岩（长石、石英等），是“鞍山式”铁矿的含矿地层。</w:t>
      </w:r>
    </w:p>
    <w:p w14:paraId="43D30213">
      <w:pPr>
        <w:pStyle w:val="310"/>
        <w:spacing w:line="500" w:lineRule="exact"/>
        <w:jc w:val="both"/>
        <w:rPr>
          <w:rFonts w:hint="eastAsia"/>
        </w:rPr>
      </w:pPr>
      <w:r>
        <w:rPr>
          <w:rFonts w:hint="eastAsia"/>
        </w:rPr>
        <w:t>• 地貌与断裂：地势东南高西北低，中部为太子河大断裂带，衍生多条羽状小断裂，两侧为低山丘陵，河谷带形成沉积小平原。</w:t>
      </w:r>
    </w:p>
    <w:p w14:paraId="3F9BA062">
      <w:pPr>
        <w:pStyle w:val="310"/>
        <w:spacing w:line="500" w:lineRule="exact"/>
        <w:jc w:val="both"/>
      </w:pPr>
      <w:r>
        <w:rPr>
          <w:rFonts w:hint="eastAsia"/>
        </w:rPr>
        <w:t>• 矿产资源：素称“东北地质摇篮”，富藏高品位“人参铁”铁矿（低杂质）、石灰石、硅石及铜等20多种矿藏</w:t>
      </w:r>
      <w:r>
        <w:t>。</w:t>
      </w:r>
    </w:p>
    <w:p w14:paraId="4A17B6D3">
      <w:pPr>
        <w:pStyle w:val="7"/>
      </w:pPr>
      <w:bookmarkStart w:id="367" w:name="_Toc90026281"/>
      <w:bookmarkStart w:id="368" w:name="_Toc6693"/>
      <w:r>
        <w:rPr>
          <w:rFonts w:hint="eastAsia"/>
          <w:lang w:eastAsia="zh-CN"/>
        </w:rPr>
        <w:t>4</w:t>
      </w:r>
      <w:r>
        <w:t>.1.</w:t>
      </w:r>
      <w:r>
        <w:rPr>
          <w:rFonts w:hint="eastAsia"/>
          <w:lang w:eastAsia="zh-CN"/>
        </w:rPr>
        <w:t>6</w:t>
      </w:r>
      <w:r>
        <w:t xml:space="preserve"> </w:t>
      </w:r>
      <w:r>
        <w:rPr>
          <w:rFonts w:hint="eastAsia"/>
          <w:lang w:eastAsia="zh-CN"/>
        </w:rPr>
        <w:t>水文地质</w:t>
      </w:r>
      <w:bookmarkEnd w:id="367"/>
      <w:bookmarkEnd w:id="368"/>
    </w:p>
    <w:p w14:paraId="6166B3A6">
      <w:pPr>
        <w:pStyle w:val="310"/>
        <w:spacing w:line="360" w:lineRule="auto"/>
        <w:ind w:firstLine="480" w:firstLineChars="200"/>
        <w:jc w:val="both"/>
        <w:rPr>
          <w:rFonts w:hint="eastAsia"/>
          <w:lang w:val="en-US" w:eastAsia="zh-CN"/>
        </w:rPr>
      </w:pPr>
      <w:r>
        <w:rPr>
          <w:rFonts w:hint="eastAsia"/>
          <w:lang w:val="en-US" w:eastAsia="zh-CN"/>
        </w:rPr>
        <w:t>地表水系：分属渤海水系（太子河，境内流经173km）和黄海水系（草河）。年径流总量约13.54亿m³，7-9月为丰水期，冬季有约5个月结冰期，河水含沙量低。</w:t>
      </w:r>
    </w:p>
    <w:p w14:paraId="72CFC5B0">
      <w:pPr>
        <w:pStyle w:val="310"/>
        <w:spacing w:line="360" w:lineRule="auto"/>
        <w:ind w:firstLine="0" w:firstLineChars="0"/>
        <w:jc w:val="both"/>
        <w:rPr>
          <w:rFonts w:hint="eastAsia"/>
          <w:lang w:val="en-US" w:eastAsia="zh-CN"/>
        </w:rPr>
      </w:pPr>
      <w:r>
        <w:rPr>
          <w:rFonts w:hint="eastAsia"/>
          <w:lang w:val="en-US" w:eastAsia="zh-CN"/>
        </w:rPr>
        <w:t>• 地下水类型：</w:t>
      </w:r>
    </w:p>
    <w:p w14:paraId="0279EE05">
      <w:pPr>
        <w:pStyle w:val="310"/>
        <w:spacing w:line="360" w:lineRule="auto"/>
        <w:ind w:firstLine="480" w:firstLineChars="200"/>
        <w:jc w:val="both"/>
        <w:rPr>
          <w:rFonts w:hint="eastAsia"/>
          <w:lang w:val="en-US" w:eastAsia="zh-CN"/>
        </w:rPr>
      </w:pPr>
      <w:r>
        <w:rPr>
          <w:rFonts w:hint="eastAsia"/>
          <w:lang w:val="en-US" w:eastAsia="zh-CN"/>
        </w:rPr>
        <w:t>孔隙水：分布于河谷阶地，单井涌水量100-1000吨/日，是主要供水源。</w:t>
      </w:r>
    </w:p>
    <w:p w14:paraId="7DD2970A">
      <w:pPr>
        <w:pStyle w:val="310"/>
        <w:spacing w:line="360" w:lineRule="auto"/>
        <w:ind w:firstLine="480" w:firstLineChars="200"/>
        <w:jc w:val="both"/>
        <w:rPr>
          <w:rFonts w:hint="eastAsia"/>
          <w:lang w:val="en-US" w:eastAsia="zh-CN"/>
        </w:rPr>
      </w:pPr>
      <w:r>
        <w:rPr>
          <w:rFonts w:hint="eastAsia"/>
          <w:lang w:val="en-US" w:eastAsia="zh-CN"/>
        </w:rPr>
        <w:t>岩溶水：太子河两岸灰岩区岩溶发育（如本溪水洞），富水性极强但不均匀，最大钻孔涌水量可达1767.9吨/日。</w:t>
      </w:r>
    </w:p>
    <w:p w14:paraId="7B070517">
      <w:pPr>
        <w:pStyle w:val="310"/>
        <w:spacing w:line="360" w:lineRule="auto"/>
        <w:ind w:firstLine="480" w:firstLineChars="200"/>
        <w:jc w:val="both"/>
        <w:rPr>
          <w:rFonts w:hint="eastAsia"/>
          <w:lang w:val="en-US" w:eastAsia="zh-CN"/>
        </w:rPr>
      </w:pPr>
      <w:r>
        <w:rPr>
          <w:rFonts w:hint="eastAsia"/>
          <w:lang w:val="en-US" w:eastAsia="zh-CN"/>
        </w:rPr>
        <w:t>基岩裂隙水：广泛分布于山区，总体水量贫乏（单井常小于100吨/日），主要受大气降水补给。</w:t>
      </w:r>
    </w:p>
    <w:p w14:paraId="3659E5F6">
      <w:pPr>
        <w:pStyle w:val="310"/>
        <w:spacing w:line="360" w:lineRule="auto"/>
        <w:ind w:firstLine="0" w:firstLineChars="0"/>
        <w:jc w:val="both"/>
        <w:rPr>
          <w:rFonts w:hint="default" w:eastAsia="宋体"/>
          <w:lang w:val="en-US" w:eastAsia="zh-CN"/>
        </w:rPr>
      </w:pPr>
      <w:r>
        <w:rPr>
          <w:rFonts w:hint="eastAsia"/>
          <w:lang w:val="en-US" w:eastAsia="zh-CN"/>
        </w:rPr>
        <w:t>• 补径排特征：地下水主要靠大气降水垂向补给，向河谷或沟谷排泄，与河水多互为补给，动态随季节变化明显。</w:t>
      </w:r>
    </w:p>
    <w:p w14:paraId="181D7B52">
      <w:pPr>
        <w:pStyle w:val="7"/>
      </w:pPr>
      <w:bookmarkStart w:id="369" w:name="_Toc90026282"/>
      <w:bookmarkStart w:id="370" w:name="_Toc31444"/>
      <w:r>
        <w:rPr>
          <w:rFonts w:hint="eastAsia"/>
          <w:lang w:eastAsia="zh-CN"/>
        </w:rPr>
        <w:t>4</w:t>
      </w:r>
      <w:r>
        <w:t>.1.</w:t>
      </w:r>
      <w:r>
        <w:rPr>
          <w:rFonts w:hint="eastAsia"/>
          <w:lang w:eastAsia="zh-CN"/>
        </w:rPr>
        <w:t>7</w:t>
      </w:r>
      <w:r>
        <w:t xml:space="preserve"> </w:t>
      </w:r>
      <w:r>
        <w:rPr>
          <w:rFonts w:hint="eastAsia"/>
          <w:lang w:eastAsia="zh-CN"/>
        </w:rPr>
        <w:t>土壤植被</w:t>
      </w:r>
      <w:bookmarkEnd w:id="369"/>
      <w:bookmarkEnd w:id="370"/>
    </w:p>
    <w:p w14:paraId="50EA3059">
      <w:pPr>
        <w:pStyle w:val="310"/>
        <w:spacing w:line="500" w:lineRule="exact"/>
        <w:ind w:left="0" w:leftChars="0" w:firstLine="480" w:firstLineChars="200"/>
        <w:jc w:val="both"/>
        <w:rPr>
          <w:rFonts w:hint="eastAsia"/>
        </w:rPr>
      </w:pPr>
      <w:r>
        <w:rPr>
          <w:rFonts w:hint="eastAsia"/>
        </w:rPr>
        <w:t>土壤类型：主要有4类。棕壤（棕色森林土）分布最广，占一半以上，多在山地；草甸土在河漫滩或山间平地，俗称“地眼”；水稻土集中在太子河两岸（清河城、碱厂等）；沼泽土在低洼积水处，俗称“锈水甸子”，有机质含量高。</w:t>
      </w:r>
    </w:p>
    <w:p w14:paraId="0A145886">
      <w:pPr>
        <w:pStyle w:val="310"/>
        <w:spacing w:line="500" w:lineRule="exact"/>
        <w:jc w:val="both"/>
        <w:rPr>
          <w:rFonts w:hint="eastAsia"/>
        </w:rPr>
      </w:pPr>
    </w:p>
    <w:p w14:paraId="7E50D647">
      <w:pPr>
        <w:pStyle w:val="310"/>
        <w:spacing w:line="500" w:lineRule="exact"/>
        <w:ind w:left="0" w:leftChars="0" w:firstLine="480" w:firstLineChars="200"/>
        <w:jc w:val="both"/>
        <w:rPr>
          <w:rFonts w:hint="eastAsia"/>
        </w:rPr>
      </w:pPr>
      <w:r>
        <w:rPr>
          <w:rFonts w:hint="eastAsia"/>
        </w:rPr>
        <w:t>植被与森林：森林覆盖率约77%—79%，林地面积413万亩。植被属长白植物区系，有乔木、灌木等264种，代表树种包括柞树、水曲柳、胡桃楸、黄菠萝、桦树、落叶松和油松等。</w:t>
      </w:r>
    </w:p>
    <w:p w14:paraId="449D2B9F">
      <w:pPr>
        <w:pStyle w:val="6"/>
        <w:spacing w:before="239"/>
      </w:pPr>
      <w:bookmarkStart w:id="371" w:name="_Toc21139"/>
      <w:bookmarkStart w:id="372" w:name="_Toc90026134"/>
      <w:r>
        <w:rPr>
          <w:rFonts w:hint="eastAsia"/>
        </w:rPr>
        <w:t>4</w:t>
      </w:r>
      <w:r>
        <w:t>.2 环境质量现状调查</w:t>
      </w:r>
      <w:bookmarkEnd w:id="371"/>
      <w:bookmarkEnd w:id="372"/>
    </w:p>
    <w:p w14:paraId="140E57E8">
      <w:pPr>
        <w:autoSpaceDE w:val="0"/>
        <w:autoSpaceDN w:val="0"/>
        <w:spacing w:line="500" w:lineRule="exact"/>
        <w:ind w:firstLine="480" w:firstLineChars="200"/>
        <w:jc w:val="both"/>
        <w:rPr>
          <w:rFonts w:hint="eastAsia" w:ascii="Times New Roman" w:hAnsi="Times New Roman" w:cs="Times New Roman"/>
          <w:highlight w:val="yellow"/>
        </w:rPr>
      </w:pPr>
      <w:r>
        <w:rPr>
          <w:rFonts w:ascii="Times New Roman" w:hAnsi="Times New Roman" w:cs="Times New Roman"/>
          <w:highlight w:val="none"/>
        </w:rPr>
        <w:t>根据各环境要素导则要求，本项目环境空气质量现状调查的常规因子数据采用《202</w:t>
      </w:r>
      <w:r>
        <w:rPr>
          <w:rFonts w:hint="eastAsia" w:ascii="Times New Roman" w:hAnsi="Times New Roman" w:cs="Times New Roman"/>
          <w:highlight w:val="none"/>
          <w:lang w:val="en-US" w:eastAsia="zh-CN"/>
        </w:rPr>
        <w:t>5</w:t>
      </w:r>
      <w:r>
        <w:rPr>
          <w:rFonts w:ascii="Times New Roman" w:hAnsi="Times New Roman" w:cs="Times New Roman"/>
          <w:highlight w:val="none"/>
        </w:rPr>
        <w:t>年</w:t>
      </w:r>
      <w:r>
        <w:rPr>
          <w:rFonts w:hint="eastAsia" w:ascii="Times New Roman" w:hAnsi="Times New Roman" w:cs="Times New Roman"/>
          <w:highlight w:val="none"/>
        </w:rPr>
        <w:t>本溪市生态环境质量简报</w:t>
      </w:r>
      <w:r>
        <w:rPr>
          <w:rFonts w:ascii="Times New Roman" w:hAnsi="Times New Roman" w:cs="Times New Roman"/>
          <w:highlight w:val="none"/>
        </w:rPr>
        <w:t>》</w:t>
      </w:r>
      <w:r>
        <w:rPr>
          <w:rFonts w:hint="eastAsia"/>
          <w:highlight w:val="none"/>
        </w:rPr>
        <w:t>中的空气质量数据</w:t>
      </w:r>
      <w:r>
        <w:rPr>
          <w:rFonts w:ascii="Times New Roman" w:hAnsi="Times New Roman" w:cs="Times New Roman"/>
          <w:highlight w:val="none"/>
        </w:rPr>
        <w:t>，</w:t>
      </w:r>
      <w:r>
        <w:rPr>
          <w:rFonts w:hint="eastAsia" w:ascii="Times New Roman" w:hAnsi="Times New Roman" w:cs="Times New Roman"/>
          <w:highlight w:val="none"/>
        </w:rPr>
        <w:t>氟化物（小时值）、氨、氮氧化物（小时值）、总悬浮颗粒物、氮氧化物（日均值）、氟化物（日均值）</w:t>
      </w:r>
      <w:r>
        <w:rPr>
          <w:rFonts w:hint="eastAsia" w:ascii="Times New Roman" w:hAnsi="Times New Roman" w:cs="Times New Roman"/>
          <w:highlight w:val="none"/>
          <w:lang w:eastAsia="zh-CN"/>
        </w:rPr>
        <w:t>、</w:t>
      </w:r>
      <w:r>
        <w:rPr>
          <w:rFonts w:hint="eastAsia" w:ascii="Times New Roman" w:hAnsi="Times New Roman" w:cs="Times New Roman"/>
          <w:highlight w:val="none"/>
        </w:rPr>
        <w:t>声环境</w:t>
      </w:r>
      <w:r>
        <w:rPr>
          <w:rFonts w:ascii="Times New Roman" w:hAnsi="Times New Roman" w:cs="Times New Roman"/>
          <w:highlight w:val="none"/>
        </w:rPr>
        <w:t>的现状调查委托</w:t>
      </w:r>
      <w:r>
        <w:rPr>
          <w:rFonts w:hint="eastAsia" w:ascii="Times New Roman" w:hAnsi="Times New Roman" w:cs="Times New Roman"/>
          <w:highlight w:val="none"/>
        </w:rPr>
        <w:t>辽宁卓大环境检测有限公司</w:t>
      </w:r>
      <w:r>
        <w:rPr>
          <w:rFonts w:ascii="Times New Roman" w:hAnsi="Times New Roman" w:cs="Times New Roman"/>
          <w:highlight w:val="none"/>
        </w:rPr>
        <w:t>进行现场监测，检测报告见附件。</w:t>
      </w:r>
    </w:p>
    <w:p w14:paraId="52A626B2">
      <w:pPr>
        <w:pStyle w:val="7"/>
      </w:pPr>
      <w:bookmarkStart w:id="373" w:name="_Toc90026284"/>
      <w:bookmarkStart w:id="374" w:name="_Toc2269"/>
      <w:r>
        <w:rPr>
          <w:rFonts w:hint="eastAsia"/>
          <w:lang w:eastAsia="zh-CN"/>
        </w:rPr>
        <w:t>4</w:t>
      </w:r>
      <w:r>
        <w:t>.2.1 环境空气质量现状调查与评价</w:t>
      </w:r>
      <w:bookmarkEnd w:id="373"/>
      <w:bookmarkEnd w:id="374"/>
    </w:p>
    <w:p w14:paraId="344D0830">
      <w:pPr>
        <w:pStyle w:val="133"/>
      </w:pPr>
      <w:r>
        <w:rPr>
          <w:rFonts w:hint="eastAsia"/>
          <w:lang w:eastAsia="zh-CN"/>
        </w:rPr>
        <w:t>4</w:t>
      </w:r>
      <w:r>
        <w:t>.2.1.1 常规污染物环境空气质量现状调查与评价</w:t>
      </w:r>
    </w:p>
    <w:p w14:paraId="6E8DD948">
      <w:pPr>
        <w:autoSpaceDE w:val="0"/>
        <w:autoSpaceDN w:val="0"/>
        <w:spacing w:line="500" w:lineRule="exact"/>
        <w:ind w:firstLine="480" w:firstLineChars="200"/>
        <w:jc w:val="both"/>
        <w:rPr>
          <w:rFonts w:ascii="Times New Roman" w:hAnsi="Times New Roman" w:cs="Times New Roman"/>
        </w:rPr>
      </w:pPr>
      <w:r>
        <w:rPr>
          <w:rFonts w:hint="eastAsia" w:ascii="Times New Roman" w:hAnsi="Times New Roman" w:cs="Times New Roman"/>
        </w:rPr>
        <w:t>本项目所在的</w:t>
      </w:r>
      <w:r>
        <w:rPr>
          <w:rFonts w:hint="eastAsia" w:ascii="Times New Roman" w:hAnsi="Times New Roman" w:cs="Times New Roman"/>
          <w:lang w:val="en-US" w:eastAsia="zh-CN"/>
        </w:rPr>
        <w:t>本溪满族自治县</w:t>
      </w:r>
      <w:r>
        <w:rPr>
          <w:rFonts w:hint="eastAsia" w:ascii="Times New Roman" w:hAnsi="Times New Roman" w:cs="Times New Roman"/>
        </w:rPr>
        <w:t>隶属于</w:t>
      </w:r>
      <w:r>
        <w:rPr>
          <w:rFonts w:hint="eastAsia" w:ascii="Times New Roman" w:hAnsi="Times New Roman" w:cs="Times New Roman"/>
          <w:lang w:val="en-US" w:eastAsia="zh-CN"/>
        </w:rPr>
        <w:t>本溪</w:t>
      </w:r>
      <w:r>
        <w:rPr>
          <w:rFonts w:hint="eastAsia" w:ascii="Times New Roman" w:hAnsi="Times New Roman" w:cs="Times New Roman"/>
        </w:rPr>
        <w:t>市，项目所在区域选用《</w:t>
      </w:r>
      <w:r>
        <w:rPr>
          <w:rFonts w:ascii="Times New Roman" w:hAnsi="Times New Roman" w:cs="Times New Roman"/>
          <w:highlight w:val="none"/>
        </w:rPr>
        <w:t>202</w:t>
      </w:r>
      <w:r>
        <w:rPr>
          <w:rFonts w:hint="eastAsia" w:ascii="Times New Roman" w:hAnsi="Times New Roman" w:cs="Times New Roman"/>
          <w:highlight w:val="none"/>
          <w:lang w:val="en-US" w:eastAsia="zh-CN"/>
        </w:rPr>
        <w:t>5</w:t>
      </w:r>
      <w:r>
        <w:rPr>
          <w:rFonts w:ascii="Times New Roman" w:hAnsi="Times New Roman" w:cs="Times New Roman"/>
          <w:highlight w:val="none"/>
        </w:rPr>
        <w:t>年</w:t>
      </w:r>
      <w:r>
        <w:rPr>
          <w:rFonts w:hint="eastAsia" w:ascii="Times New Roman" w:hAnsi="Times New Roman" w:cs="Times New Roman"/>
          <w:highlight w:val="none"/>
        </w:rPr>
        <w:t>本溪市生态环境质量简报</w:t>
      </w:r>
      <w:r>
        <w:rPr>
          <w:rFonts w:hint="eastAsia" w:ascii="Times New Roman" w:hAnsi="Times New Roman" w:cs="Times New Roman"/>
        </w:rPr>
        <w:t>》中的空气质量数据以及中国空气质量在线监测分析平台公布的历史数据，空气质量达标区判定情况见表4.2-1。</w:t>
      </w:r>
    </w:p>
    <w:p w14:paraId="6E0BAC5E">
      <w:pPr>
        <w:spacing w:before="100" w:beforeAutospacing="1"/>
        <w:jc w:val="center"/>
        <w:rPr>
          <w:rFonts w:eastAsia="黑体"/>
        </w:rPr>
      </w:pPr>
      <w:r>
        <w:rPr>
          <w:rFonts w:ascii="Times New Roman" w:hAnsi="Times New Roman" w:eastAsia="黑体" w:cs="Times New Roman"/>
        </w:rPr>
        <w:t xml:space="preserve">表4.2-1 </w:t>
      </w:r>
      <w:r>
        <w:rPr>
          <w:rFonts w:hint="eastAsia" w:eastAsia="黑体"/>
        </w:rPr>
        <w:t xml:space="preserve"> </w:t>
      </w:r>
      <w:r>
        <w:rPr>
          <w:rFonts w:eastAsia="黑体"/>
        </w:rPr>
        <w:t>区域空气质量现状评价表</w:t>
      </w:r>
    </w:p>
    <w:tbl>
      <w:tblPr>
        <w:tblStyle w:val="56"/>
        <w:tblW w:w="0" w:type="auto"/>
        <w:tblInd w:w="0" w:type="dxa"/>
        <w:tblBorders>
          <w:top w:val="thinThickSmallGap" w:color="auto" w:sz="12" w:space="0"/>
          <w:left w:val="none" w:color="auto" w:sz="0" w:space="0"/>
          <w:bottom w:val="thickThinSmallGap" w:color="auto" w:sz="12" w:space="0"/>
          <w:right w:val="none" w:color="auto" w:sz="0" w:space="0"/>
          <w:insideH w:val="single" w:color="auto" w:sz="2" w:space="0"/>
          <w:insideV w:val="single" w:color="auto" w:sz="2" w:space="0"/>
        </w:tblBorders>
        <w:tblLayout w:type="autofit"/>
        <w:tblCellMar>
          <w:top w:w="0" w:type="dxa"/>
          <w:left w:w="108" w:type="dxa"/>
          <w:bottom w:w="0" w:type="dxa"/>
          <w:right w:w="108" w:type="dxa"/>
        </w:tblCellMar>
      </w:tblPr>
      <w:tblGrid>
        <w:gridCol w:w="1187"/>
        <w:gridCol w:w="2725"/>
        <w:gridCol w:w="1173"/>
        <w:gridCol w:w="1154"/>
        <w:gridCol w:w="1155"/>
        <w:gridCol w:w="1133"/>
      </w:tblGrid>
      <w:tr w14:paraId="2D35E530">
        <w:tblPrEx>
          <w:tblBorders>
            <w:top w:val="thinThickSmallGap" w:color="auto" w:sz="12" w:space="0"/>
            <w:left w:val="none" w:color="auto" w:sz="0" w:space="0"/>
            <w:bottom w:val="thickThinSmallGap" w:color="auto" w:sz="12"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97" w:hRule="atLeast"/>
          <w:tblHeader/>
        </w:trPr>
        <w:tc>
          <w:tcPr>
            <w:tcW w:w="1187" w:type="dxa"/>
            <w:shd w:val="clear" w:color="auto" w:fill="D9D9D9"/>
            <w:noWrap w:val="0"/>
            <w:vAlign w:val="center"/>
          </w:tcPr>
          <w:p w14:paraId="7F596F20">
            <w:pPr>
              <w:pStyle w:val="506"/>
            </w:pPr>
            <w:r>
              <w:t>污染物</w:t>
            </w:r>
          </w:p>
        </w:tc>
        <w:tc>
          <w:tcPr>
            <w:tcW w:w="2725" w:type="dxa"/>
            <w:shd w:val="clear" w:color="auto" w:fill="D9D9D9"/>
            <w:noWrap w:val="0"/>
            <w:vAlign w:val="center"/>
          </w:tcPr>
          <w:p w14:paraId="252FB6CB">
            <w:pPr>
              <w:pStyle w:val="506"/>
            </w:pPr>
            <w:r>
              <w:t>年评价指标</w:t>
            </w:r>
          </w:p>
        </w:tc>
        <w:tc>
          <w:tcPr>
            <w:tcW w:w="1173" w:type="dxa"/>
            <w:shd w:val="clear" w:color="auto" w:fill="D9D9D9"/>
            <w:noWrap w:val="0"/>
            <w:vAlign w:val="center"/>
          </w:tcPr>
          <w:p w14:paraId="2264AB7F">
            <w:pPr>
              <w:pStyle w:val="506"/>
            </w:pPr>
            <w:r>
              <w:t>现状浓度</w:t>
            </w:r>
          </w:p>
          <w:p w14:paraId="1940BA5F">
            <w:pPr>
              <w:pStyle w:val="506"/>
            </w:pPr>
            <w:r>
              <w:t>（µg/m</w:t>
            </w:r>
            <w:r>
              <w:rPr>
                <w:vertAlign w:val="superscript"/>
              </w:rPr>
              <w:t>3</w:t>
            </w:r>
            <w:r>
              <w:t>）</w:t>
            </w:r>
          </w:p>
        </w:tc>
        <w:tc>
          <w:tcPr>
            <w:tcW w:w="1154" w:type="dxa"/>
            <w:shd w:val="clear" w:color="auto" w:fill="D9D9D9"/>
            <w:noWrap w:val="0"/>
            <w:vAlign w:val="center"/>
          </w:tcPr>
          <w:p w14:paraId="41B5DF1E">
            <w:pPr>
              <w:pStyle w:val="506"/>
            </w:pPr>
            <w:r>
              <w:t>标准值</w:t>
            </w:r>
          </w:p>
          <w:p w14:paraId="7EF4E2C4">
            <w:pPr>
              <w:pStyle w:val="506"/>
            </w:pPr>
            <w:r>
              <w:t>（µg/m</w:t>
            </w:r>
            <w:r>
              <w:rPr>
                <w:vertAlign w:val="superscript"/>
              </w:rPr>
              <w:t>3</w:t>
            </w:r>
            <w:r>
              <w:t>）</w:t>
            </w:r>
          </w:p>
        </w:tc>
        <w:tc>
          <w:tcPr>
            <w:tcW w:w="1155" w:type="dxa"/>
            <w:shd w:val="clear" w:color="auto" w:fill="D9D9D9"/>
            <w:noWrap w:val="0"/>
            <w:vAlign w:val="center"/>
          </w:tcPr>
          <w:p w14:paraId="4ABDFA26">
            <w:pPr>
              <w:pStyle w:val="506"/>
            </w:pPr>
            <w:r>
              <w:t>占标率</w:t>
            </w:r>
          </w:p>
          <w:p w14:paraId="4BDBBC8C">
            <w:pPr>
              <w:pStyle w:val="506"/>
            </w:pPr>
            <w:r>
              <w:t>（%）</w:t>
            </w:r>
          </w:p>
        </w:tc>
        <w:tc>
          <w:tcPr>
            <w:tcW w:w="1133" w:type="dxa"/>
            <w:shd w:val="clear" w:color="auto" w:fill="D9D9D9"/>
            <w:noWrap w:val="0"/>
            <w:vAlign w:val="center"/>
          </w:tcPr>
          <w:p w14:paraId="06699D13">
            <w:pPr>
              <w:pStyle w:val="506"/>
            </w:pPr>
            <w:r>
              <w:t>达标情况</w:t>
            </w:r>
          </w:p>
        </w:tc>
      </w:tr>
      <w:tr w14:paraId="1CF2ACA6">
        <w:tblPrEx>
          <w:tblBorders>
            <w:top w:val="thinThickSmallGap" w:color="auto" w:sz="12" w:space="0"/>
            <w:left w:val="none" w:color="auto" w:sz="0" w:space="0"/>
            <w:bottom w:val="thickThinSmallGap" w:color="auto" w:sz="12"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97" w:hRule="atLeast"/>
        </w:trPr>
        <w:tc>
          <w:tcPr>
            <w:tcW w:w="1187" w:type="dxa"/>
            <w:noWrap w:val="0"/>
            <w:vAlign w:val="center"/>
          </w:tcPr>
          <w:p w14:paraId="32B6A577">
            <w:pPr>
              <w:pStyle w:val="506"/>
            </w:pPr>
            <w:r>
              <w:t>PM</w:t>
            </w:r>
            <w:r>
              <w:rPr>
                <w:vertAlign w:val="subscript"/>
              </w:rPr>
              <w:t>2.5</w:t>
            </w:r>
          </w:p>
        </w:tc>
        <w:tc>
          <w:tcPr>
            <w:tcW w:w="2725" w:type="dxa"/>
            <w:noWrap w:val="0"/>
            <w:vAlign w:val="center"/>
          </w:tcPr>
          <w:p w14:paraId="529FE3BB">
            <w:pPr>
              <w:pStyle w:val="506"/>
            </w:pPr>
            <w:r>
              <w:t>年平均质量浓度</w:t>
            </w:r>
          </w:p>
        </w:tc>
        <w:tc>
          <w:tcPr>
            <w:tcW w:w="1173" w:type="dxa"/>
            <w:noWrap w:val="0"/>
            <w:vAlign w:val="center"/>
          </w:tcPr>
          <w:p w14:paraId="528AAD36">
            <w:pPr>
              <w:pStyle w:val="716"/>
              <w:snapToGrid/>
              <w:spacing w:line="240" w:lineRule="auto"/>
              <w:ind w:firstLine="0" w:firstLineChars="0"/>
              <w:jc w:val="center"/>
              <w:rPr>
                <w:rFonts w:hint="default" w:eastAsia="宋体"/>
                <w:sz w:val="21"/>
                <w:szCs w:val="21"/>
                <w:lang w:val="en-US" w:eastAsia="zh-CN"/>
              </w:rPr>
            </w:pPr>
            <w:r>
              <w:rPr>
                <w:rFonts w:hint="eastAsia"/>
                <w:sz w:val="21"/>
                <w:szCs w:val="22"/>
                <w:lang w:val="en-US" w:eastAsia="zh-CN"/>
              </w:rPr>
              <w:t>31</w:t>
            </w:r>
          </w:p>
        </w:tc>
        <w:tc>
          <w:tcPr>
            <w:tcW w:w="1154" w:type="dxa"/>
            <w:noWrap w:val="0"/>
            <w:vAlign w:val="center"/>
          </w:tcPr>
          <w:p w14:paraId="1AC2089F">
            <w:pPr>
              <w:pStyle w:val="716"/>
              <w:snapToGrid/>
              <w:spacing w:line="240" w:lineRule="auto"/>
              <w:ind w:firstLine="0" w:firstLineChars="0"/>
              <w:jc w:val="center"/>
              <w:rPr>
                <w:rFonts w:hint="default" w:eastAsia="宋体"/>
                <w:sz w:val="21"/>
                <w:szCs w:val="21"/>
                <w:lang w:val="en-US" w:eastAsia="zh-CN"/>
              </w:rPr>
            </w:pPr>
            <w:r>
              <w:rPr>
                <w:rFonts w:hint="eastAsia" w:eastAsia="宋体"/>
                <w:sz w:val="21"/>
                <w:szCs w:val="21"/>
                <w:lang w:val="en-US" w:eastAsia="zh-CN"/>
              </w:rPr>
              <w:t>30</w:t>
            </w:r>
          </w:p>
        </w:tc>
        <w:tc>
          <w:tcPr>
            <w:tcW w:w="1155" w:type="dxa"/>
            <w:noWrap w:val="0"/>
            <w:vAlign w:val="center"/>
          </w:tcPr>
          <w:p w14:paraId="22B70D68">
            <w:pPr>
              <w:pStyle w:val="716"/>
              <w:snapToGrid/>
              <w:spacing w:line="240" w:lineRule="auto"/>
              <w:ind w:firstLine="0" w:firstLineChars="0"/>
              <w:jc w:val="center"/>
              <w:rPr>
                <w:rFonts w:hint="default" w:eastAsia="宋体"/>
                <w:sz w:val="21"/>
                <w:szCs w:val="21"/>
                <w:lang w:val="en-US" w:eastAsia="zh-CN"/>
              </w:rPr>
            </w:pPr>
            <w:r>
              <w:rPr>
                <w:rFonts w:eastAsia="宋体"/>
                <w:sz w:val="21"/>
                <w:szCs w:val="21"/>
                <w:lang w:val="en-US" w:eastAsia="zh-CN"/>
              </w:rPr>
              <w:t>1</w:t>
            </w:r>
            <w:r>
              <w:rPr>
                <w:rFonts w:hint="eastAsia" w:eastAsia="宋体"/>
                <w:sz w:val="21"/>
                <w:szCs w:val="21"/>
                <w:lang w:val="en-US" w:eastAsia="zh-CN"/>
              </w:rPr>
              <w:t>03.3</w:t>
            </w:r>
          </w:p>
        </w:tc>
        <w:tc>
          <w:tcPr>
            <w:tcW w:w="1133" w:type="dxa"/>
            <w:noWrap w:val="0"/>
            <w:vAlign w:val="center"/>
          </w:tcPr>
          <w:p w14:paraId="76996BE3">
            <w:pPr>
              <w:pStyle w:val="506"/>
            </w:pPr>
            <w:r>
              <w:t>超标</w:t>
            </w:r>
          </w:p>
        </w:tc>
      </w:tr>
      <w:tr w14:paraId="59E5F2EE">
        <w:tblPrEx>
          <w:tblBorders>
            <w:top w:val="thinThickSmallGap" w:color="auto" w:sz="12" w:space="0"/>
            <w:left w:val="none" w:color="auto" w:sz="0" w:space="0"/>
            <w:bottom w:val="thickThinSmallGap" w:color="auto" w:sz="12"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97" w:hRule="atLeast"/>
        </w:trPr>
        <w:tc>
          <w:tcPr>
            <w:tcW w:w="1187" w:type="dxa"/>
            <w:noWrap w:val="0"/>
            <w:vAlign w:val="center"/>
          </w:tcPr>
          <w:p w14:paraId="38E9598E">
            <w:pPr>
              <w:pStyle w:val="506"/>
            </w:pPr>
            <w:r>
              <w:t>PM</w:t>
            </w:r>
            <w:r>
              <w:rPr>
                <w:vertAlign w:val="subscript"/>
              </w:rPr>
              <w:t>10</w:t>
            </w:r>
          </w:p>
        </w:tc>
        <w:tc>
          <w:tcPr>
            <w:tcW w:w="2725" w:type="dxa"/>
            <w:noWrap w:val="0"/>
            <w:vAlign w:val="center"/>
          </w:tcPr>
          <w:p w14:paraId="604B5D9C">
            <w:pPr>
              <w:pStyle w:val="506"/>
            </w:pPr>
            <w:r>
              <w:t>年平均质量浓度</w:t>
            </w:r>
          </w:p>
        </w:tc>
        <w:tc>
          <w:tcPr>
            <w:tcW w:w="1173" w:type="dxa"/>
            <w:noWrap w:val="0"/>
            <w:vAlign w:val="center"/>
          </w:tcPr>
          <w:p w14:paraId="5C3C4FAA">
            <w:pPr>
              <w:pStyle w:val="716"/>
              <w:snapToGrid/>
              <w:spacing w:line="240" w:lineRule="auto"/>
              <w:ind w:firstLine="0" w:firstLineChars="0"/>
              <w:jc w:val="center"/>
              <w:rPr>
                <w:rFonts w:hint="default" w:eastAsia="宋体"/>
                <w:sz w:val="21"/>
                <w:szCs w:val="21"/>
                <w:lang w:val="en-US" w:eastAsia="zh-CN"/>
              </w:rPr>
            </w:pPr>
            <w:r>
              <w:rPr>
                <w:rFonts w:hint="eastAsia"/>
                <w:sz w:val="21"/>
                <w:szCs w:val="22"/>
                <w:lang w:val="en-US" w:eastAsia="zh-CN"/>
              </w:rPr>
              <w:t>56</w:t>
            </w:r>
          </w:p>
        </w:tc>
        <w:tc>
          <w:tcPr>
            <w:tcW w:w="1154" w:type="dxa"/>
            <w:noWrap w:val="0"/>
            <w:vAlign w:val="center"/>
          </w:tcPr>
          <w:p w14:paraId="0E5A5E69">
            <w:pPr>
              <w:pStyle w:val="716"/>
              <w:snapToGrid/>
              <w:spacing w:line="240" w:lineRule="auto"/>
              <w:ind w:firstLine="0" w:firstLineChars="0"/>
              <w:jc w:val="center"/>
              <w:rPr>
                <w:rFonts w:hint="default" w:eastAsia="宋体"/>
                <w:sz w:val="21"/>
                <w:szCs w:val="21"/>
                <w:lang w:val="en-US" w:eastAsia="zh-CN"/>
              </w:rPr>
            </w:pPr>
            <w:r>
              <w:rPr>
                <w:rFonts w:hint="eastAsia" w:eastAsia="宋体"/>
                <w:sz w:val="21"/>
                <w:szCs w:val="21"/>
                <w:lang w:val="en-US" w:eastAsia="zh-CN"/>
              </w:rPr>
              <w:t>60</w:t>
            </w:r>
          </w:p>
        </w:tc>
        <w:tc>
          <w:tcPr>
            <w:tcW w:w="1155" w:type="dxa"/>
            <w:noWrap w:val="0"/>
            <w:vAlign w:val="center"/>
          </w:tcPr>
          <w:p w14:paraId="480FD5F7">
            <w:pPr>
              <w:pStyle w:val="716"/>
              <w:snapToGrid/>
              <w:spacing w:line="240" w:lineRule="auto"/>
              <w:ind w:firstLine="0" w:firstLineChars="0"/>
              <w:jc w:val="center"/>
              <w:rPr>
                <w:rFonts w:hint="default" w:eastAsia="宋体"/>
                <w:sz w:val="21"/>
                <w:szCs w:val="21"/>
                <w:lang w:val="en-US" w:eastAsia="zh-CN"/>
              </w:rPr>
            </w:pPr>
            <w:r>
              <w:rPr>
                <w:rFonts w:hint="eastAsia" w:eastAsia="宋体"/>
                <w:sz w:val="21"/>
                <w:szCs w:val="21"/>
                <w:lang w:val="en-US" w:eastAsia="zh-CN"/>
              </w:rPr>
              <w:t>93.3</w:t>
            </w:r>
          </w:p>
        </w:tc>
        <w:tc>
          <w:tcPr>
            <w:tcW w:w="1133" w:type="dxa"/>
            <w:noWrap w:val="0"/>
            <w:vAlign w:val="center"/>
          </w:tcPr>
          <w:p w14:paraId="61E36F0F">
            <w:pPr>
              <w:pStyle w:val="506"/>
            </w:pPr>
            <w:r>
              <w:t>达标</w:t>
            </w:r>
          </w:p>
        </w:tc>
      </w:tr>
      <w:tr w14:paraId="6F2B4423">
        <w:tblPrEx>
          <w:tblBorders>
            <w:top w:val="thinThickSmallGap" w:color="auto" w:sz="12" w:space="0"/>
            <w:left w:val="none" w:color="auto" w:sz="0" w:space="0"/>
            <w:bottom w:val="thickThinSmallGap" w:color="auto" w:sz="12"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97" w:hRule="atLeast"/>
        </w:trPr>
        <w:tc>
          <w:tcPr>
            <w:tcW w:w="1187" w:type="dxa"/>
            <w:noWrap w:val="0"/>
            <w:vAlign w:val="center"/>
          </w:tcPr>
          <w:p w14:paraId="1473E74D">
            <w:pPr>
              <w:pStyle w:val="506"/>
            </w:pPr>
            <w:r>
              <w:t>SO</w:t>
            </w:r>
            <w:r>
              <w:rPr>
                <w:vertAlign w:val="subscript"/>
              </w:rPr>
              <w:t>2</w:t>
            </w:r>
          </w:p>
        </w:tc>
        <w:tc>
          <w:tcPr>
            <w:tcW w:w="2725" w:type="dxa"/>
            <w:noWrap w:val="0"/>
            <w:vAlign w:val="center"/>
          </w:tcPr>
          <w:p w14:paraId="47F67DF3">
            <w:pPr>
              <w:pStyle w:val="506"/>
            </w:pPr>
            <w:r>
              <w:t>年平均质量浓度</w:t>
            </w:r>
          </w:p>
        </w:tc>
        <w:tc>
          <w:tcPr>
            <w:tcW w:w="1173" w:type="dxa"/>
            <w:noWrap w:val="0"/>
            <w:vAlign w:val="center"/>
          </w:tcPr>
          <w:p w14:paraId="2ED78CF1">
            <w:pPr>
              <w:pStyle w:val="716"/>
              <w:snapToGrid/>
              <w:spacing w:line="240" w:lineRule="auto"/>
              <w:ind w:firstLine="0" w:firstLineChars="0"/>
              <w:jc w:val="center"/>
              <w:rPr>
                <w:rFonts w:eastAsia="宋体"/>
                <w:sz w:val="21"/>
                <w:szCs w:val="21"/>
                <w:lang w:eastAsia="zh-CN"/>
              </w:rPr>
            </w:pPr>
            <w:r>
              <w:rPr>
                <w:rFonts w:hint="eastAsia"/>
                <w:sz w:val="21"/>
                <w:szCs w:val="22"/>
                <w:lang w:val="en-US" w:eastAsia="zh-CN"/>
              </w:rPr>
              <w:t>9</w:t>
            </w:r>
          </w:p>
        </w:tc>
        <w:tc>
          <w:tcPr>
            <w:tcW w:w="1154" w:type="dxa"/>
            <w:noWrap w:val="0"/>
            <w:vAlign w:val="center"/>
          </w:tcPr>
          <w:p w14:paraId="4C040E10">
            <w:pPr>
              <w:pStyle w:val="716"/>
              <w:snapToGrid/>
              <w:spacing w:line="240" w:lineRule="auto"/>
              <w:ind w:firstLine="0" w:firstLineChars="0"/>
              <w:jc w:val="center"/>
              <w:rPr>
                <w:rFonts w:eastAsia="宋体"/>
                <w:sz w:val="21"/>
                <w:szCs w:val="21"/>
                <w:lang w:eastAsia="zh-CN"/>
              </w:rPr>
            </w:pPr>
            <w:r>
              <w:rPr>
                <w:rFonts w:eastAsia="宋体"/>
                <w:sz w:val="21"/>
                <w:szCs w:val="21"/>
                <w:lang w:eastAsia="zh-CN"/>
              </w:rPr>
              <w:t>60</w:t>
            </w:r>
          </w:p>
        </w:tc>
        <w:tc>
          <w:tcPr>
            <w:tcW w:w="1155" w:type="dxa"/>
            <w:noWrap w:val="0"/>
            <w:vAlign w:val="center"/>
          </w:tcPr>
          <w:p w14:paraId="53249301">
            <w:pPr>
              <w:pStyle w:val="716"/>
              <w:snapToGrid/>
              <w:spacing w:line="240" w:lineRule="auto"/>
              <w:ind w:firstLine="0" w:firstLineChars="0"/>
              <w:jc w:val="center"/>
              <w:rPr>
                <w:rFonts w:hint="default" w:eastAsia="宋体"/>
                <w:sz w:val="21"/>
                <w:szCs w:val="21"/>
                <w:lang w:val="en-US" w:eastAsia="zh-CN"/>
              </w:rPr>
            </w:pPr>
            <w:r>
              <w:rPr>
                <w:rFonts w:hint="eastAsia" w:eastAsia="宋体"/>
                <w:sz w:val="21"/>
                <w:szCs w:val="21"/>
                <w:lang w:val="en-US" w:eastAsia="zh-CN"/>
              </w:rPr>
              <w:t>15</w:t>
            </w:r>
          </w:p>
        </w:tc>
        <w:tc>
          <w:tcPr>
            <w:tcW w:w="1133" w:type="dxa"/>
            <w:noWrap w:val="0"/>
            <w:vAlign w:val="center"/>
          </w:tcPr>
          <w:p w14:paraId="055DECED">
            <w:pPr>
              <w:pStyle w:val="506"/>
            </w:pPr>
            <w:r>
              <w:t>达标</w:t>
            </w:r>
          </w:p>
        </w:tc>
      </w:tr>
      <w:tr w14:paraId="3302E664">
        <w:tblPrEx>
          <w:tblBorders>
            <w:top w:val="thinThickSmallGap" w:color="auto" w:sz="12" w:space="0"/>
            <w:left w:val="none" w:color="auto" w:sz="0" w:space="0"/>
            <w:bottom w:val="thickThinSmallGap" w:color="auto" w:sz="12"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97" w:hRule="atLeast"/>
        </w:trPr>
        <w:tc>
          <w:tcPr>
            <w:tcW w:w="1187" w:type="dxa"/>
            <w:noWrap w:val="0"/>
            <w:vAlign w:val="center"/>
          </w:tcPr>
          <w:p w14:paraId="2FA88098">
            <w:pPr>
              <w:pStyle w:val="506"/>
            </w:pPr>
            <w:r>
              <w:t>NO</w:t>
            </w:r>
            <w:r>
              <w:rPr>
                <w:vertAlign w:val="subscript"/>
              </w:rPr>
              <w:t>2</w:t>
            </w:r>
          </w:p>
        </w:tc>
        <w:tc>
          <w:tcPr>
            <w:tcW w:w="2725" w:type="dxa"/>
            <w:noWrap w:val="0"/>
            <w:vAlign w:val="center"/>
          </w:tcPr>
          <w:p w14:paraId="08FB4A21">
            <w:pPr>
              <w:pStyle w:val="506"/>
            </w:pPr>
            <w:r>
              <w:t>年平均质量浓度</w:t>
            </w:r>
          </w:p>
        </w:tc>
        <w:tc>
          <w:tcPr>
            <w:tcW w:w="1173" w:type="dxa"/>
            <w:noWrap w:val="0"/>
            <w:vAlign w:val="center"/>
          </w:tcPr>
          <w:p w14:paraId="1BB16466">
            <w:pPr>
              <w:pStyle w:val="716"/>
              <w:snapToGrid/>
              <w:spacing w:line="240" w:lineRule="auto"/>
              <w:ind w:firstLine="0" w:firstLineChars="0"/>
              <w:jc w:val="center"/>
              <w:rPr>
                <w:rFonts w:hint="default" w:eastAsia="宋体"/>
                <w:sz w:val="21"/>
                <w:szCs w:val="21"/>
                <w:lang w:val="en-US" w:eastAsia="zh-CN"/>
              </w:rPr>
            </w:pPr>
            <w:r>
              <w:rPr>
                <w:rFonts w:hint="eastAsia"/>
                <w:sz w:val="21"/>
                <w:szCs w:val="22"/>
                <w:lang w:val="en-US" w:eastAsia="zh-CN"/>
              </w:rPr>
              <w:t>25</w:t>
            </w:r>
          </w:p>
        </w:tc>
        <w:tc>
          <w:tcPr>
            <w:tcW w:w="1154" w:type="dxa"/>
            <w:noWrap w:val="0"/>
            <w:vAlign w:val="center"/>
          </w:tcPr>
          <w:p w14:paraId="00E0D93C">
            <w:pPr>
              <w:pStyle w:val="716"/>
              <w:snapToGrid/>
              <w:spacing w:line="240" w:lineRule="auto"/>
              <w:ind w:firstLine="0" w:firstLineChars="0"/>
              <w:jc w:val="center"/>
              <w:rPr>
                <w:rFonts w:eastAsia="宋体"/>
                <w:sz w:val="21"/>
                <w:szCs w:val="21"/>
                <w:lang w:eastAsia="zh-CN"/>
              </w:rPr>
            </w:pPr>
            <w:r>
              <w:rPr>
                <w:rFonts w:eastAsia="宋体"/>
                <w:sz w:val="21"/>
                <w:szCs w:val="21"/>
                <w:lang w:eastAsia="zh-CN"/>
              </w:rPr>
              <w:t>40</w:t>
            </w:r>
          </w:p>
        </w:tc>
        <w:tc>
          <w:tcPr>
            <w:tcW w:w="1155" w:type="dxa"/>
            <w:noWrap w:val="0"/>
            <w:vAlign w:val="center"/>
          </w:tcPr>
          <w:p w14:paraId="20B7535E">
            <w:pPr>
              <w:pStyle w:val="716"/>
              <w:snapToGrid/>
              <w:spacing w:line="240" w:lineRule="auto"/>
              <w:ind w:firstLine="0" w:firstLineChars="0"/>
              <w:jc w:val="center"/>
              <w:rPr>
                <w:rFonts w:hint="default" w:eastAsia="宋体"/>
                <w:sz w:val="21"/>
                <w:szCs w:val="21"/>
                <w:lang w:val="en-US" w:eastAsia="zh-CN"/>
              </w:rPr>
            </w:pPr>
            <w:r>
              <w:rPr>
                <w:rFonts w:hint="eastAsia" w:eastAsia="宋体"/>
                <w:sz w:val="21"/>
                <w:szCs w:val="21"/>
                <w:lang w:val="en-US" w:eastAsia="zh-CN"/>
              </w:rPr>
              <w:t>62.5</w:t>
            </w:r>
          </w:p>
        </w:tc>
        <w:tc>
          <w:tcPr>
            <w:tcW w:w="1133" w:type="dxa"/>
            <w:noWrap w:val="0"/>
            <w:vAlign w:val="center"/>
          </w:tcPr>
          <w:p w14:paraId="4BEF5C9A">
            <w:pPr>
              <w:pStyle w:val="506"/>
            </w:pPr>
            <w:r>
              <w:t>达标</w:t>
            </w:r>
          </w:p>
        </w:tc>
      </w:tr>
      <w:tr w14:paraId="7E68EF6A">
        <w:tblPrEx>
          <w:tblBorders>
            <w:top w:val="thinThickSmallGap" w:color="auto" w:sz="12" w:space="0"/>
            <w:left w:val="none" w:color="auto" w:sz="0" w:space="0"/>
            <w:bottom w:val="thickThinSmallGap" w:color="auto" w:sz="12"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97" w:hRule="atLeast"/>
        </w:trPr>
        <w:tc>
          <w:tcPr>
            <w:tcW w:w="1187" w:type="dxa"/>
            <w:noWrap w:val="0"/>
            <w:vAlign w:val="center"/>
          </w:tcPr>
          <w:p w14:paraId="309A7955">
            <w:pPr>
              <w:pStyle w:val="506"/>
            </w:pPr>
            <w:r>
              <w:t>CO</w:t>
            </w:r>
          </w:p>
        </w:tc>
        <w:tc>
          <w:tcPr>
            <w:tcW w:w="2725" w:type="dxa"/>
            <w:noWrap w:val="0"/>
            <w:vAlign w:val="center"/>
          </w:tcPr>
          <w:p w14:paraId="10DDBEFB">
            <w:pPr>
              <w:pStyle w:val="506"/>
            </w:pPr>
            <w:r>
              <w:t>第95%百分位日平均</w:t>
            </w:r>
          </w:p>
        </w:tc>
        <w:tc>
          <w:tcPr>
            <w:tcW w:w="1173" w:type="dxa"/>
            <w:noWrap w:val="0"/>
            <w:vAlign w:val="center"/>
          </w:tcPr>
          <w:p w14:paraId="1724350A">
            <w:pPr>
              <w:pStyle w:val="716"/>
              <w:snapToGrid/>
              <w:spacing w:line="240" w:lineRule="auto"/>
              <w:ind w:firstLine="0" w:firstLineChars="0"/>
              <w:jc w:val="center"/>
              <w:rPr>
                <w:rFonts w:eastAsia="宋体"/>
                <w:sz w:val="21"/>
                <w:szCs w:val="21"/>
                <w:lang w:val="en-US" w:eastAsia="zh-CN"/>
              </w:rPr>
            </w:pPr>
            <w:r>
              <w:rPr>
                <w:rFonts w:hint="eastAsia"/>
                <w:sz w:val="21"/>
                <w:szCs w:val="22"/>
                <w:lang w:val="en-US" w:eastAsia="zh-CN"/>
              </w:rPr>
              <w:t>17</w:t>
            </w:r>
            <w:r>
              <w:rPr>
                <w:sz w:val="21"/>
                <w:szCs w:val="22"/>
                <w:lang w:eastAsia="zh-CN"/>
              </w:rPr>
              <w:t>00</w:t>
            </w:r>
          </w:p>
        </w:tc>
        <w:tc>
          <w:tcPr>
            <w:tcW w:w="1154" w:type="dxa"/>
            <w:noWrap w:val="0"/>
            <w:vAlign w:val="center"/>
          </w:tcPr>
          <w:p w14:paraId="720CDEFA">
            <w:pPr>
              <w:pStyle w:val="716"/>
              <w:snapToGrid/>
              <w:spacing w:line="240" w:lineRule="auto"/>
              <w:ind w:firstLine="0" w:firstLineChars="0"/>
              <w:jc w:val="center"/>
              <w:rPr>
                <w:rFonts w:eastAsia="宋体"/>
                <w:sz w:val="21"/>
                <w:szCs w:val="21"/>
                <w:lang w:val="en-US" w:eastAsia="zh-CN"/>
              </w:rPr>
            </w:pPr>
            <w:r>
              <w:rPr>
                <w:rFonts w:eastAsia="宋体"/>
                <w:sz w:val="21"/>
                <w:szCs w:val="21"/>
                <w:lang w:eastAsia="zh-CN"/>
              </w:rPr>
              <w:t>400</w:t>
            </w:r>
            <w:r>
              <w:rPr>
                <w:rFonts w:eastAsia="宋体"/>
                <w:sz w:val="21"/>
                <w:szCs w:val="21"/>
                <w:lang w:val="en-US" w:eastAsia="zh-CN"/>
              </w:rPr>
              <w:t>0</w:t>
            </w:r>
          </w:p>
        </w:tc>
        <w:tc>
          <w:tcPr>
            <w:tcW w:w="1155" w:type="dxa"/>
            <w:noWrap w:val="0"/>
            <w:vAlign w:val="center"/>
          </w:tcPr>
          <w:p w14:paraId="057E14DC">
            <w:pPr>
              <w:pStyle w:val="716"/>
              <w:snapToGrid/>
              <w:spacing w:line="240" w:lineRule="auto"/>
              <w:ind w:firstLine="0" w:firstLineChars="0"/>
              <w:jc w:val="center"/>
              <w:rPr>
                <w:rFonts w:hint="default" w:eastAsia="宋体"/>
                <w:sz w:val="21"/>
                <w:szCs w:val="21"/>
                <w:lang w:val="en-US" w:eastAsia="zh-CN"/>
              </w:rPr>
            </w:pPr>
            <w:r>
              <w:rPr>
                <w:rFonts w:hint="eastAsia" w:eastAsia="宋体"/>
                <w:sz w:val="21"/>
                <w:szCs w:val="21"/>
                <w:lang w:val="en-US" w:eastAsia="zh-CN"/>
              </w:rPr>
              <w:t>42.5</w:t>
            </w:r>
          </w:p>
        </w:tc>
        <w:tc>
          <w:tcPr>
            <w:tcW w:w="1133" w:type="dxa"/>
            <w:noWrap w:val="0"/>
            <w:vAlign w:val="center"/>
          </w:tcPr>
          <w:p w14:paraId="7203C968">
            <w:pPr>
              <w:pStyle w:val="506"/>
            </w:pPr>
            <w:r>
              <w:t>达标</w:t>
            </w:r>
          </w:p>
        </w:tc>
      </w:tr>
      <w:tr w14:paraId="4F1C1703">
        <w:tblPrEx>
          <w:tblBorders>
            <w:top w:val="thinThickSmallGap" w:color="auto" w:sz="12" w:space="0"/>
            <w:left w:val="none" w:color="auto" w:sz="0" w:space="0"/>
            <w:bottom w:val="thickThinSmallGap" w:color="auto" w:sz="12"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97" w:hRule="atLeast"/>
        </w:trPr>
        <w:tc>
          <w:tcPr>
            <w:tcW w:w="1187" w:type="dxa"/>
            <w:noWrap w:val="0"/>
            <w:vAlign w:val="center"/>
          </w:tcPr>
          <w:p w14:paraId="4F9D9FC9">
            <w:pPr>
              <w:pStyle w:val="506"/>
            </w:pPr>
            <w:r>
              <w:t>O</w:t>
            </w:r>
            <w:r>
              <w:rPr>
                <w:vertAlign w:val="subscript"/>
              </w:rPr>
              <w:t>3</w:t>
            </w:r>
          </w:p>
        </w:tc>
        <w:tc>
          <w:tcPr>
            <w:tcW w:w="2725" w:type="dxa"/>
            <w:noWrap w:val="0"/>
            <w:vAlign w:val="center"/>
          </w:tcPr>
          <w:p w14:paraId="447BC45A">
            <w:pPr>
              <w:pStyle w:val="506"/>
              <w:rPr>
                <w:lang w:eastAsia="zh-CN"/>
              </w:rPr>
            </w:pPr>
            <w:r>
              <w:rPr>
                <w:lang w:eastAsia="zh-CN"/>
              </w:rPr>
              <w:t>第90%百分位日最大8h滑动平均质量浓度</w:t>
            </w:r>
          </w:p>
        </w:tc>
        <w:tc>
          <w:tcPr>
            <w:tcW w:w="1173" w:type="dxa"/>
            <w:noWrap w:val="0"/>
            <w:vAlign w:val="center"/>
          </w:tcPr>
          <w:p w14:paraId="797BA967">
            <w:pPr>
              <w:pStyle w:val="716"/>
              <w:snapToGrid/>
              <w:spacing w:line="240" w:lineRule="auto"/>
              <w:ind w:firstLine="0" w:firstLineChars="0"/>
              <w:jc w:val="center"/>
              <w:rPr>
                <w:rFonts w:hint="default" w:eastAsia="宋体"/>
                <w:sz w:val="21"/>
                <w:szCs w:val="21"/>
                <w:lang w:val="en-US" w:eastAsia="zh-CN"/>
              </w:rPr>
            </w:pPr>
            <w:r>
              <w:rPr>
                <w:rFonts w:hint="eastAsia"/>
                <w:sz w:val="21"/>
                <w:szCs w:val="22"/>
                <w:lang w:val="en-US" w:eastAsia="zh-CN"/>
              </w:rPr>
              <w:t>131</w:t>
            </w:r>
          </w:p>
        </w:tc>
        <w:tc>
          <w:tcPr>
            <w:tcW w:w="1154" w:type="dxa"/>
            <w:noWrap w:val="0"/>
            <w:vAlign w:val="center"/>
          </w:tcPr>
          <w:p w14:paraId="4A059825">
            <w:pPr>
              <w:pStyle w:val="716"/>
              <w:snapToGrid/>
              <w:spacing w:line="240" w:lineRule="auto"/>
              <w:ind w:firstLine="0" w:firstLineChars="0"/>
              <w:jc w:val="center"/>
              <w:rPr>
                <w:rFonts w:eastAsia="宋体"/>
                <w:sz w:val="21"/>
                <w:szCs w:val="21"/>
                <w:lang w:eastAsia="zh-CN"/>
              </w:rPr>
            </w:pPr>
            <w:r>
              <w:rPr>
                <w:rFonts w:eastAsia="宋体"/>
                <w:sz w:val="21"/>
                <w:szCs w:val="21"/>
                <w:lang w:eastAsia="zh-CN"/>
              </w:rPr>
              <w:t>160</w:t>
            </w:r>
          </w:p>
        </w:tc>
        <w:tc>
          <w:tcPr>
            <w:tcW w:w="1155" w:type="dxa"/>
            <w:noWrap w:val="0"/>
            <w:vAlign w:val="center"/>
          </w:tcPr>
          <w:p w14:paraId="384B3DC8">
            <w:pPr>
              <w:pStyle w:val="716"/>
              <w:snapToGrid/>
              <w:spacing w:line="240" w:lineRule="auto"/>
              <w:ind w:firstLine="0" w:firstLineChars="0"/>
              <w:jc w:val="center"/>
              <w:rPr>
                <w:rFonts w:hint="default" w:eastAsia="宋体"/>
                <w:sz w:val="21"/>
                <w:szCs w:val="21"/>
                <w:lang w:val="en-US" w:eastAsia="zh-CN"/>
              </w:rPr>
            </w:pPr>
            <w:r>
              <w:rPr>
                <w:rFonts w:hint="eastAsia" w:eastAsia="宋体"/>
                <w:sz w:val="21"/>
                <w:szCs w:val="21"/>
                <w:lang w:val="en-US" w:eastAsia="zh-CN"/>
              </w:rPr>
              <w:t>81.9</w:t>
            </w:r>
          </w:p>
        </w:tc>
        <w:tc>
          <w:tcPr>
            <w:tcW w:w="1133" w:type="dxa"/>
            <w:noWrap w:val="0"/>
            <w:vAlign w:val="center"/>
          </w:tcPr>
          <w:p w14:paraId="409CEBAB">
            <w:pPr>
              <w:pStyle w:val="506"/>
            </w:pPr>
            <w:r>
              <w:t>达标</w:t>
            </w:r>
          </w:p>
        </w:tc>
      </w:tr>
    </w:tbl>
    <w:p w14:paraId="4925BCA3">
      <w:pPr>
        <w:autoSpaceDE w:val="0"/>
        <w:autoSpaceDN w:val="0"/>
        <w:spacing w:line="500" w:lineRule="exact"/>
        <w:ind w:firstLine="480" w:firstLineChars="200"/>
        <w:jc w:val="both"/>
        <w:rPr>
          <w:rFonts w:ascii="Times New Roman" w:hAnsi="Times New Roman" w:cs="Times New Roman"/>
        </w:rPr>
      </w:pPr>
      <w:r>
        <w:rPr>
          <w:rFonts w:ascii="Times New Roman" w:hAnsi="Times New Roman" w:cs="Times New Roman"/>
        </w:rPr>
        <w:t>综上，区域空气质量现状的SO</w:t>
      </w:r>
      <w:r>
        <w:rPr>
          <w:rFonts w:ascii="Times New Roman" w:hAnsi="Times New Roman" w:cs="Times New Roman"/>
          <w:vertAlign w:val="subscript"/>
        </w:rPr>
        <w:t>2</w:t>
      </w:r>
      <w:r>
        <w:rPr>
          <w:rFonts w:ascii="Times New Roman" w:hAnsi="Times New Roman" w:cs="Times New Roman"/>
        </w:rPr>
        <w:t>和NO</w:t>
      </w:r>
      <w:r>
        <w:rPr>
          <w:rFonts w:ascii="Times New Roman" w:hAnsi="Times New Roman" w:cs="Times New Roman"/>
          <w:vertAlign w:val="subscript"/>
        </w:rPr>
        <w:t>2</w:t>
      </w:r>
      <w:r>
        <w:rPr>
          <w:rFonts w:hint="eastAsia" w:ascii="Times New Roman" w:hAnsi="Times New Roman" w:cs="Times New Roman"/>
          <w:vertAlign w:val="baseline"/>
          <w:lang w:eastAsia="zh-CN"/>
        </w:rPr>
        <w:t>、</w:t>
      </w:r>
      <w:r>
        <w:rPr>
          <w:rFonts w:hint="default" w:ascii="Times New Roman" w:hAnsi="Times New Roman" w:cs="Times New Roman"/>
        </w:rPr>
        <w:t>PM</w:t>
      </w:r>
      <w:r>
        <w:rPr>
          <w:rFonts w:hint="default" w:ascii="Times New Roman" w:hAnsi="Times New Roman" w:cs="Times New Roman"/>
          <w:vertAlign w:val="subscript"/>
        </w:rPr>
        <w:t>10</w:t>
      </w:r>
      <w:r>
        <w:rPr>
          <w:rFonts w:ascii="Times New Roman" w:hAnsi="Times New Roman" w:cs="Times New Roman"/>
        </w:rPr>
        <w:t>的年平均浓度均达标；PM</w:t>
      </w:r>
      <w:r>
        <w:rPr>
          <w:rFonts w:ascii="Times New Roman" w:hAnsi="Times New Roman" w:cs="Times New Roman"/>
          <w:vertAlign w:val="subscript"/>
        </w:rPr>
        <w:t>2.5</w:t>
      </w:r>
      <w:r>
        <w:rPr>
          <w:rFonts w:ascii="Times New Roman" w:hAnsi="Times New Roman" w:cs="Times New Roman"/>
        </w:rPr>
        <w:t>年平均浓度不能满足《环境空气质量标准》（GB3095-20</w:t>
      </w:r>
      <w:r>
        <w:rPr>
          <w:rFonts w:hint="eastAsia" w:ascii="Times New Roman" w:hAnsi="Times New Roman" w:cs="Times New Roman"/>
          <w:lang w:val="en-US" w:eastAsia="zh-CN"/>
        </w:rPr>
        <w:t>26</w:t>
      </w:r>
      <w:r>
        <w:rPr>
          <w:rFonts w:ascii="Times New Roman" w:hAnsi="Times New Roman" w:cs="Times New Roman"/>
        </w:rPr>
        <w:t>）中的二级标准，故项目所在区域属于不达标区。</w:t>
      </w:r>
    </w:p>
    <w:p w14:paraId="436336AA">
      <w:pPr>
        <w:autoSpaceDE w:val="0"/>
        <w:autoSpaceDN w:val="0"/>
        <w:spacing w:line="500" w:lineRule="exact"/>
        <w:ind w:firstLine="480" w:firstLineChars="200"/>
        <w:jc w:val="both"/>
        <w:rPr>
          <w:rFonts w:hint="eastAsia" w:ascii="Times New Roman" w:hAnsi="Times New Roman" w:cs="Times New Roman"/>
          <w:color w:val="000000"/>
          <w:highlight w:val="none"/>
        </w:rPr>
      </w:pPr>
      <w:r>
        <w:rPr>
          <w:rFonts w:hint="eastAsia" w:ascii="Times New Roman" w:hAnsi="Times New Roman" w:cs="Times New Roman"/>
          <w:color w:val="000000"/>
          <w:highlight w:val="none"/>
        </w:rPr>
        <w:t>2025年11月24日受秸秆焚烧传输影响，出现一天PM</w:t>
      </w:r>
      <w:r>
        <w:rPr>
          <w:rFonts w:hint="eastAsia" w:ascii="Times New Roman" w:hAnsi="Times New Roman" w:cs="Times New Roman"/>
          <w:color w:val="000000"/>
          <w:highlight w:val="none"/>
          <w:vertAlign w:val="subscript"/>
        </w:rPr>
        <w:t>2.5</w:t>
      </w:r>
      <w:r>
        <w:rPr>
          <w:rFonts w:hint="eastAsia" w:ascii="Times New Roman" w:hAnsi="Times New Roman" w:cs="Times New Roman"/>
          <w:color w:val="000000"/>
          <w:highlight w:val="none"/>
        </w:rPr>
        <w:t>重度污染，当日AQI为264，PM</w:t>
      </w:r>
      <w:r>
        <w:rPr>
          <w:rFonts w:hint="eastAsia" w:ascii="Times New Roman" w:hAnsi="Times New Roman" w:cs="Times New Roman"/>
          <w:color w:val="000000"/>
          <w:highlight w:val="none"/>
          <w:vertAlign w:val="subscript"/>
        </w:rPr>
        <w:t>2.5</w:t>
      </w:r>
      <w:r>
        <w:rPr>
          <w:rFonts w:hint="eastAsia" w:ascii="Times New Roman" w:hAnsi="Times New Roman" w:cs="Times New Roman"/>
          <w:color w:val="000000"/>
          <w:highlight w:val="none"/>
        </w:rPr>
        <w:t>日均浓度为214微克/立方米，对全年PM</w:t>
      </w:r>
      <w:r>
        <w:rPr>
          <w:rFonts w:hint="eastAsia" w:ascii="Times New Roman" w:hAnsi="Times New Roman" w:cs="Times New Roman"/>
          <w:color w:val="000000"/>
          <w:highlight w:val="none"/>
          <w:vertAlign w:val="subscript"/>
        </w:rPr>
        <w:t>2.5</w:t>
      </w:r>
      <w:r>
        <w:rPr>
          <w:rFonts w:hint="eastAsia" w:ascii="Times New Roman" w:hAnsi="Times New Roman" w:cs="Times New Roman"/>
          <w:color w:val="000000"/>
          <w:highlight w:val="none"/>
        </w:rPr>
        <w:t>浓度贡献为0.5微克/立方米。本溪市10个国控和省控点位共出现12天次重度及以上污染天，首要污染物均为PM2.5，其中受秸秆传输影响的为9天次。</w:t>
      </w:r>
    </w:p>
    <w:p w14:paraId="292E9944">
      <w:pPr>
        <w:pStyle w:val="133"/>
      </w:pPr>
      <w:r>
        <w:rPr>
          <w:rFonts w:hint="eastAsia"/>
          <w:lang w:eastAsia="zh-CN"/>
        </w:rPr>
        <w:t>4</w:t>
      </w:r>
      <w:r>
        <w:t xml:space="preserve">.2.1.2 </w:t>
      </w:r>
      <w:r>
        <w:rPr>
          <w:highlight w:val="yellow"/>
        </w:rPr>
        <w:t>特征污染物环境空气质量现状调查与评价</w:t>
      </w:r>
    </w:p>
    <w:p w14:paraId="224B1393">
      <w:pPr>
        <w:autoSpaceDE w:val="0"/>
        <w:autoSpaceDN w:val="0"/>
        <w:spacing w:line="500" w:lineRule="exact"/>
        <w:ind w:firstLine="482" w:firstLineChars="200"/>
        <w:rPr>
          <w:rFonts w:ascii="Times New Roman" w:hAnsi="Times New Roman" w:cs="Times New Roman"/>
          <w:b/>
        </w:rPr>
      </w:pPr>
      <w:r>
        <w:rPr>
          <w:rFonts w:ascii="Times New Roman" w:hAnsi="Times New Roman" w:cs="Times New Roman"/>
          <w:b/>
        </w:rPr>
        <w:t>（1）监测因子</w:t>
      </w:r>
    </w:p>
    <w:p w14:paraId="6F01029F">
      <w:pPr>
        <w:autoSpaceDE w:val="0"/>
        <w:autoSpaceDN w:val="0"/>
        <w:spacing w:line="500" w:lineRule="exact"/>
        <w:ind w:firstLine="480" w:firstLineChars="200"/>
        <w:rPr>
          <w:rFonts w:hint="eastAsia" w:ascii="Times New Roman" w:hAnsi="Times New Roman" w:cs="Times New Roman"/>
        </w:rPr>
      </w:pPr>
      <w:r>
        <w:rPr>
          <w:rFonts w:hint="eastAsia" w:ascii="Times New Roman" w:hAnsi="Times New Roman" w:cs="Times New Roman"/>
        </w:rPr>
        <w:t>氟化物（小时值）、氨、氮氧化物（小时值）</w:t>
      </w:r>
      <w:r>
        <w:rPr>
          <w:rFonts w:hint="eastAsia" w:ascii="Times New Roman" w:hAnsi="Times New Roman" w:cs="Times New Roman"/>
          <w:lang w:eastAsia="zh-CN"/>
        </w:rPr>
        <w:t>、</w:t>
      </w:r>
      <w:r>
        <w:rPr>
          <w:rFonts w:hint="eastAsia" w:ascii="Times New Roman" w:hAnsi="Times New Roman" w:cs="Times New Roman"/>
        </w:rPr>
        <w:t>总悬浮颗粒物、氮氧化物（日均值）、氟化物（日均值）</w:t>
      </w:r>
    </w:p>
    <w:p w14:paraId="35D95597">
      <w:pPr>
        <w:autoSpaceDE w:val="0"/>
        <w:autoSpaceDN w:val="0"/>
        <w:spacing w:line="500" w:lineRule="exact"/>
        <w:ind w:firstLine="482" w:firstLineChars="200"/>
        <w:rPr>
          <w:rFonts w:ascii="Times New Roman" w:hAnsi="Times New Roman" w:cs="Times New Roman"/>
          <w:b/>
        </w:rPr>
      </w:pPr>
      <w:r>
        <w:rPr>
          <w:rFonts w:ascii="Times New Roman" w:hAnsi="Times New Roman" w:cs="Times New Roman"/>
          <w:b/>
        </w:rPr>
        <w:t>（2）监测点位布设</w:t>
      </w:r>
    </w:p>
    <w:p w14:paraId="4D0DB95C">
      <w:pPr>
        <w:autoSpaceDE w:val="0"/>
        <w:autoSpaceDN w:val="0"/>
        <w:spacing w:line="500" w:lineRule="exact"/>
        <w:ind w:firstLine="480" w:firstLineChars="200"/>
        <w:rPr>
          <w:rFonts w:ascii="Times New Roman" w:hAnsi="Times New Roman" w:cs="Times New Roman"/>
        </w:rPr>
      </w:pPr>
      <w:r>
        <w:rPr>
          <w:rFonts w:ascii="Times New Roman" w:hAnsi="Times New Roman" w:cs="Times New Roman"/>
        </w:rPr>
        <w:t>根据大气导则要求，共布设</w:t>
      </w:r>
      <w:r>
        <w:rPr>
          <w:rFonts w:hint="eastAsia" w:ascii="Times New Roman" w:hAnsi="Times New Roman" w:cs="Times New Roman"/>
          <w:lang w:val="en-US" w:eastAsia="zh-CN"/>
        </w:rPr>
        <w:t>2</w:t>
      </w:r>
      <w:r>
        <w:rPr>
          <w:rFonts w:ascii="Times New Roman" w:hAnsi="Times New Roman" w:cs="Times New Roman"/>
        </w:rPr>
        <w:t>个点位，具体情况见表</w:t>
      </w:r>
      <w:r>
        <w:rPr>
          <w:rFonts w:hint="eastAsia" w:ascii="Times New Roman" w:hAnsi="Times New Roman" w:cs="Times New Roman"/>
        </w:rPr>
        <w:t>4.2-2</w:t>
      </w:r>
      <w:r>
        <w:rPr>
          <w:rFonts w:ascii="Times New Roman" w:hAnsi="Times New Roman" w:cs="Times New Roman"/>
        </w:rPr>
        <w:t>，位置见图</w:t>
      </w:r>
      <w:r>
        <w:rPr>
          <w:rFonts w:hint="eastAsia" w:ascii="Times New Roman" w:hAnsi="Times New Roman" w:cs="Times New Roman"/>
        </w:rPr>
        <w:t>4.2-1</w:t>
      </w:r>
      <w:r>
        <w:rPr>
          <w:rFonts w:ascii="Times New Roman" w:hAnsi="Times New Roman" w:cs="Times New Roman"/>
        </w:rPr>
        <w:t>。</w:t>
      </w:r>
    </w:p>
    <w:p w14:paraId="3A9A771B">
      <w:pPr>
        <w:spacing w:line="360" w:lineRule="auto"/>
        <w:jc w:val="center"/>
        <w:rPr>
          <w:rFonts w:ascii="Times New Roman" w:hAnsi="Times New Roman" w:eastAsia="黑体" w:cs="Times New Roman"/>
          <w:lang w:val="zh-CN"/>
        </w:rPr>
      </w:pPr>
      <w:r>
        <w:rPr>
          <w:rFonts w:ascii="Times New Roman" w:hAnsi="Times New Roman" w:eastAsia="黑体" w:cs="Times New Roman"/>
          <w:lang w:val="zh-CN"/>
        </w:rPr>
        <w:t>表</w:t>
      </w:r>
      <w:r>
        <w:rPr>
          <w:rFonts w:hint="eastAsia" w:ascii="Times New Roman" w:hAnsi="Times New Roman" w:eastAsia="黑体" w:cs="Times New Roman"/>
          <w:lang w:val="zh-CN"/>
        </w:rPr>
        <w:t>4.2-2</w:t>
      </w:r>
      <w:r>
        <w:rPr>
          <w:rFonts w:ascii="Times New Roman" w:hAnsi="Times New Roman" w:eastAsia="黑体" w:cs="Times New Roman"/>
          <w:lang w:val="zh-CN"/>
        </w:rPr>
        <w:t xml:space="preserve">  环境空气质量现状监测点位</w:t>
      </w:r>
    </w:p>
    <w:tbl>
      <w:tblPr>
        <w:tblStyle w:val="56"/>
        <w:tblW w:w="5000" w:type="pct"/>
        <w:jc w:val="center"/>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1376"/>
        <w:gridCol w:w="2287"/>
        <w:gridCol w:w="5058"/>
      </w:tblGrid>
      <w:tr w14:paraId="2D92ED42">
        <w:tblPrEx>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397" w:hRule="atLeast"/>
          <w:tblHeader/>
          <w:jc w:val="center"/>
        </w:trPr>
        <w:tc>
          <w:tcPr>
            <w:tcW w:w="789" w:type="pct"/>
            <w:shd w:val="clear" w:color="auto" w:fill="DDDDDD"/>
            <w:noWrap w:val="0"/>
            <w:vAlign w:val="center"/>
          </w:tcPr>
          <w:p w14:paraId="422C8A82">
            <w:pPr>
              <w:autoSpaceDE w:val="0"/>
              <w:autoSpaceDN w:val="0"/>
              <w:adjustRightInd w:val="0"/>
              <w:jc w:val="center"/>
              <w:rPr>
                <w:rFonts w:ascii="Times New Roman" w:hAnsi="Times New Roman" w:cs="Times New Roman"/>
                <w:sz w:val="21"/>
                <w:szCs w:val="21"/>
              </w:rPr>
            </w:pPr>
            <w:r>
              <w:rPr>
                <w:rFonts w:ascii="Times New Roman" w:hAnsi="Times New Roman" w:cs="Times New Roman"/>
                <w:sz w:val="21"/>
                <w:szCs w:val="21"/>
              </w:rPr>
              <w:t>点位</w:t>
            </w:r>
          </w:p>
        </w:tc>
        <w:tc>
          <w:tcPr>
            <w:tcW w:w="1311" w:type="pct"/>
            <w:shd w:val="clear" w:color="auto" w:fill="DDDDDD"/>
            <w:noWrap w:val="0"/>
            <w:vAlign w:val="center"/>
          </w:tcPr>
          <w:p w14:paraId="29BAEB90">
            <w:pPr>
              <w:autoSpaceDE w:val="0"/>
              <w:autoSpaceDN w:val="0"/>
              <w:adjustRightInd w:val="0"/>
              <w:jc w:val="center"/>
              <w:rPr>
                <w:rFonts w:ascii="Times New Roman" w:hAnsi="Times New Roman" w:cs="Times New Roman"/>
                <w:sz w:val="21"/>
                <w:szCs w:val="21"/>
              </w:rPr>
            </w:pPr>
            <w:r>
              <w:rPr>
                <w:rFonts w:ascii="Times New Roman" w:hAnsi="Times New Roman" w:cs="Times New Roman"/>
                <w:sz w:val="21"/>
                <w:szCs w:val="21"/>
              </w:rPr>
              <w:t>监测点位名称</w:t>
            </w:r>
          </w:p>
        </w:tc>
        <w:tc>
          <w:tcPr>
            <w:tcW w:w="2900" w:type="pct"/>
            <w:shd w:val="clear" w:color="auto" w:fill="DDDDDD"/>
            <w:noWrap w:val="0"/>
            <w:vAlign w:val="center"/>
          </w:tcPr>
          <w:p w14:paraId="71FEC960">
            <w:pPr>
              <w:autoSpaceDE w:val="0"/>
              <w:autoSpaceDN w:val="0"/>
              <w:adjustRightInd w:val="0"/>
              <w:jc w:val="center"/>
              <w:rPr>
                <w:rFonts w:ascii="Times New Roman" w:hAnsi="Times New Roman" w:cs="Times New Roman"/>
                <w:sz w:val="21"/>
                <w:szCs w:val="21"/>
              </w:rPr>
            </w:pPr>
            <w:r>
              <w:rPr>
                <w:rFonts w:ascii="Times New Roman" w:hAnsi="Times New Roman" w:cs="Times New Roman"/>
                <w:sz w:val="21"/>
                <w:szCs w:val="21"/>
              </w:rPr>
              <w:t>经纬度</w:t>
            </w:r>
          </w:p>
        </w:tc>
      </w:tr>
      <w:tr w14:paraId="3104EE28">
        <w:tblPrEx>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789" w:type="pct"/>
            <w:noWrap w:val="0"/>
            <w:vAlign w:val="center"/>
          </w:tcPr>
          <w:p w14:paraId="62F40953">
            <w:pPr>
              <w:autoSpaceDE w:val="0"/>
              <w:autoSpaceDN w:val="0"/>
              <w:adjustRightInd w:val="0"/>
              <w:jc w:val="center"/>
              <w:rPr>
                <w:rFonts w:ascii="Times New Roman" w:hAnsi="Times New Roman" w:cs="Times New Roman"/>
                <w:sz w:val="21"/>
                <w:szCs w:val="21"/>
              </w:rPr>
            </w:pPr>
            <w:r>
              <w:rPr>
                <w:rFonts w:ascii="Times New Roman" w:hAnsi="Times New Roman" w:cs="Times New Roman"/>
                <w:sz w:val="21"/>
                <w:szCs w:val="21"/>
              </w:rPr>
              <w:t>1#</w:t>
            </w:r>
          </w:p>
        </w:tc>
        <w:tc>
          <w:tcPr>
            <w:tcW w:w="2287" w:type="dxa"/>
            <w:noWrap w:val="0"/>
            <w:vAlign w:val="center"/>
          </w:tcPr>
          <w:p w14:paraId="670B3334">
            <w:pPr>
              <w:tabs>
                <w:tab w:val="left" w:pos="471"/>
              </w:tabs>
              <w:spacing w:line="240" w:lineRule="auto"/>
              <w:jc w:val="center"/>
              <w:rPr>
                <w:rFonts w:ascii="Times New Roman" w:hAnsi="Times New Roman" w:cs="Times New Roman"/>
                <w:sz w:val="21"/>
                <w:szCs w:val="21"/>
              </w:rPr>
            </w:pPr>
            <w:r>
              <w:rPr>
                <w:rFonts w:hint="default" w:ascii="Times New Roman" w:hAnsi="Times New Roman" w:eastAsia="宋体" w:cs="Times New Roman"/>
                <w:b w:val="0"/>
                <w:bCs w:val="0"/>
                <w:snapToGrid w:val="0"/>
                <w:color w:val="auto"/>
                <w:kern w:val="0"/>
                <w:sz w:val="21"/>
                <w:szCs w:val="21"/>
                <w:lang w:val="en-US" w:eastAsia="zh-CN"/>
              </w:rPr>
              <w:t>厂区内</w:t>
            </w:r>
          </w:p>
        </w:tc>
        <w:tc>
          <w:tcPr>
            <w:tcW w:w="2900" w:type="pct"/>
            <w:noWrap w:val="0"/>
            <w:vAlign w:val="center"/>
          </w:tcPr>
          <w:p w14:paraId="34440493">
            <w:pPr>
              <w:autoSpaceDE w:val="0"/>
              <w:autoSpaceDN w:val="0"/>
              <w:adjustRightInd w:val="0"/>
              <w:jc w:val="center"/>
              <w:rPr>
                <w:rFonts w:ascii="Times New Roman" w:hAnsi="Times New Roman" w:cs="Times New Roman"/>
                <w:sz w:val="21"/>
                <w:szCs w:val="21"/>
              </w:rPr>
            </w:pPr>
            <w:r>
              <w:rPr>
                <w:rFonts w:ascii="Times New Roman" w:hAnsi="Times New Roman" w:cs="Times New Roman"/>
                <w:sz w:val="21"/>
                <w:szCs w:val="21"/>
              </w:rPr>
              <w:t xml:space="preserve">N </w:t>
            </w:r>
            <w:r>
              <w:rPr>
                <w:rFonts w:hint="eastAsia" w:ascii="Times New Roman" w:hAnsi="Times New Roman" w:cs="Times New Roman"/>
                <w:sz w:val="21"/>
                <w:szCs w:val="21"/>
              </w:rPr>
              <w:t>40.93139311</w:t>
            </w:r>
            <w:r>
              <w:rPr>
                <w:rFonts w:ascii="Times New Roman" w:hAnsi="Times New Roman" w:cs="Times New Roman"/>
                <w:sz w:val="21"/>
                <w:szCs w:val="21"/>
              </w:rPr>
              <w:t xml:space="preserve">°  E </w:t>
            </w:r>
            <w:r>
              <w:rPr>
                <w:rFonts w:hint="eastAsia" w:ascii="Times New Roman" w:hAnsi="Times New Roman" w:cs="Times New Roman"/>
                <w:sz w:val="21"/>
                <w:szCs w:val="21"/>
              </w:rPr>
              <w:t>123.83751853</w:t>
            </w:r>
            <w:r>
              <w:rPr>
                <w:rFonts w:ascii="Times New Roman" w:hAnsi="Times New Roman" w:cs="Times New Roman"/>
                <w:sz w:val="21"/>
                <w:szCs w:val="21"/>
              </w:rPr>
              <w:t>°</w:t>
            </w:r>
          </w:p>
        </w:tc>
      </w:tr>
      <w:tr w14:paraId="434C0827">
        <w:tblPrEx>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789" w:type="pct"/>
            <w:noWrap w:val="0"/>
            <w:vAlign w:val="center"/>
          </w:tcPr>
          <w:p w14:paraId="4966CFF7">
            <w:pPr>
              <w:autoSpaceDE w:val="0"/>
              <w:autoSpaceDN w:val="0"/>
              <w:adjustRightInd w:val="0"/>
              <w:jc w:val="center"/>
              <w:rPr>
                <w:rFonts w:hint="default" w:ascii="Times New Roman" w:hAnsi="Times New Roman" w:eastAsia="宋体" w:cs="Times New Roman"/>
                <w:sz w:val="21"/>
                <w:szCs w:val="21"/>
                <w:lang w:val="en-US" w:eastAsia="zh-CN"/>
              </w:rPr>
            </w:pPr>
            <w:r>
              <w:rPr>
                <w:rFonts w:hint="eastAsia" w:ascii="Times New Roman" w:hAnsi="Times New Roman" w:cs="Times New Roman"/>
                <w:sz w:val="21"/>
                <w:szCs w:val="21"/>
                <w:lang w:val="en-US" w:eastAsia="zh-CN"/>
              </w:rPr>
              <w:t>2#</w:t>
            </w:r>
          </w:p>
        </w:tc>
        <w:tc>
          <w:tcPr>
            <w:tcW w:w="2287" w:type="dxa"/>
            <w:noWrap w:val="0"/>
            <w:vAlign w:val="center"/>
          </w:tcPr>
          <w:p w14:paraId="3E53FC15">
            <w:pPr>
              <w:widowControl/>
              <w:jc w:val="center"/>
              <w:textAlignment w:val="center"/>
              <w:rPr>
                <w:rFonts w:hint="default" w:ascii="Times New Roman" w:hAnsi="Times New Roman" w:eastAsia="宋体" w:cs="Times New Roman"/>
                <w:b w:val="0"/>
                <w:bCs w:val="0"/>
                <w:snapToGrid w:val="0"/>
                <w:color w:val="auto"/>
                <w:kern w:val="0"/>
                <w:sz w:val="21"/>
                <w:szCs w:val="21"/>
                <w:lang w:val="en-US" w:eastAsia="zh-CN"/>
              </w:rPr>
            </w:pPr>
            <w:r>
              <w:rPr>
                <w:rFonts w:hint="default" w:ascii="Times New Roman" w:hAnsi="Times New Roman" w:eastAsia="宋体" w:cs="Times New Roman"/>
                <w:b w:val="0"/>
                <w:bCs w:val="0"/>
                <w:snapToGrid w:val="0"/>
                <w:color w:val="auto"/>
                <w:kern w:val="0"/>
                <w:sz w:val="21"/>
                <w:szCs w:val="21"/>
                <w:lang w:val="en-US" w:eastAsia="zh-CN"/>
              </w:rPr>
              <w:t>下风向</w:t>
            </w:r>
          </w:p>
          <w:p w14:paraId="2FC6107B">
            <w:pPr>
              <w:widowControl/>
              <w:jc w:val="center"/>
              <w:textAlignment w:val="center"/>
              <w:rPr>
                <w:rFonts w:hint="eastAsia" w:ascii="Times New Roman" w:hAnsi="Times New Roman" w:cs="Times New Roman"/>
                <w:sz w:val="21"/>
                <w:szCs w:val="21"/>
              </w:rPr>
            </w:pPr>
            <w:r>
              <w:rPr>
                <w:rFonts w:hint="default" w:ascii="Times New Roman" w:hAnsi="Times New Roman" w:eastAsia="宋体" w:cs="Times New Roman"/>
                <w:b w:val="0"/>
                <w:bCs w:val="0"/>
                <w:snapToGrid w:val="0"/>
                <w:color w:val="auto"/>
                <w:kern w:val="0"/>
                <w:sz w:val="21"/>
                <w:szCs w:val="21"/>
                <w:lang w:val="en-US" w:eastAsia="zh-CN"/>
              </w:rPr>
              <w:t>（厂区外西北处）</w:t>
            </w:r>
          </w:p>
        </w:tc>
        <w:tc>
          <w:tcPr>
            <w:tcW w:w="2900" w:type="pct"/>
            <w:noWrap w:val="0"/>
            <w:vAlign w:val="center"/>
          </w:tcPr>
          <w:p w14:paraId="3BBD370F">
            <w:pPr>
              <w:autoSpaceDE w:val="0"/>
              <w:autoSpaceDN w:val="0"/>
              <w:adjustRightInd w:val="0"/>
              <w:jc w:val="center"/>
              <w:rPr>
                <w:rFonts w:hint="eastAsia" w:ascii="Times New Roman" w:hAnsi="Times New Roman" w:eastAsia="宋体" w:cs="Times New Roman"/>
                <w:sz w:val="21"/>
                <w:szCs w:val="21"/>
                <w:lang w:val="en-US" w:eastAsia="zh-CN"/>
              </w:rPr>
            </w:pPr>
            <w:r>
              <w:rPr>
                <w:rFonts w:hint="eastAsia" w:ascii="Times New Roman" w:hAnsi="Times New Roman" w:cs="Times New Roman"/>
                <w:sz w:val="21"/>
                <w:szCs w:val="21"/>
                <w:lang w:val="en-US" w:eastAsia="zh-CN"/>
              </w:rPr>
              <w:t>N</w:t>
            </w:r>
            <w:r>
              <w:rPr>
                <w:rFonts w:hint="eastAsia" w:ascii="Times New Roman" w:hAnsi="Times New Roman" w:cs="Times New Roman"/>
                <w:sz w:val="21"/>
                <w:szCs w:val="21"/>
              </w:rPr>
              <w:t>40.93242281</w:t>
            </w:r>
            <w:r>
              <w:rPr>
                <w:rFonts w:ascii="Times New Roman" w:hAnsi="Times New Roman" w:cs="Times New Roman"/>
                <w:sz w:val="21"/>
                <w:szCs w:val="21"/>
              </w:rPr>
              <w:t>°</w:t>
            </w:r>
            <w:r>
              <w:rPr>
                <w:rFonts w:hint="eastAsia" w:ascii="Times New Roman" w:hAnsi="Times New Roman" w:cs="Times New Roman"/>
                <w:sz w:val="21"/>
                <w:szCs w:val="21"/>
                <w:lang w:val="en-US" w:eastAsia="zh-CN"/>
              </w:rPr>
              <w:t xml:space="preserve">  E</w:t>
            </w:r>
            <w:r>
              <w:rPr>
                <w:rFonts w:hint="eastAsia" w:ascii="Times New Roman" w:hAnsi="Times New Roman" w:cs="Times New Roman"/>
                <w:sz w:val="21"/>
                <w:szCs w:val="21"/>
              </w:rPr>
              <w:t>123.83567825</w:t>
            </w:r>
            <w:r>
              <w:rPr>
                <w:rFonts w:ascii="Times New Roman" w:hAnsi="Times New Roman" w:cs="Times New Roman"/>
                <w:sz w:val="21"/>
                <w:szCs w:val="21"/>
              </w:rPr>
              <w:t>°</w:t>
            </w:r>
          </w:p>
        </w:tc>
      </w:tr>
    </w:tbl>
    <w:p w14:paraId="30FB9F02">
      <w:pPr>
        <w:autoSpaceDE w:val="0"/>
        <w:autoSpaceDN w:val="0"/>
        <w:adjustRightInd w:val="0"/>
        <w:spacing w:line="500" w:lineRule="exact"/>
        <w:ind w:firstLine="482" w:firstLineChars="200"/>
        <w:rPr>
          <w:rFonts w:ascii="Times New Roman" w:hAnsi="Times New Roman" w:cs="Times New Roman"/>
          <w:b/>
        </w:rPr>
      </w:pPr>
      <w:r>
        <w:rPr>
          <w:rFonts w:ascii="Times New Roman" w:hAnsi="Times New Roman" w:cs="Times New Roman"/>
          <w:b/>
        </w:rPr>
        <w:t>（3）监测时间及频率</w:t>
      </w:r>
    </w:p>
    <w:p w14:paraId="781FE292">
      <w:pPr>
        <w:spacing w:line="500" w:lineRule="exact"/>
        <w:ind w:firstLine="480" w:firstLineChars="200"/>
        <w:rPr>
          <w:rFonts w:ascii="Times New Roman" w:hAnsi="Times New Roman" w:cs="Times New Roman"/>
        </w:rPr>
      </w:pPr>
      <w:r>
        <w:rPr>
          <w:rFonts w:ascii="Times New Roman" w:hAnsi="Times New Roman" w:cs="Times New Roman"/>
        </w:rPr>
        <w:t>监测时间为</w:t>
      </w:r>
      <w:r>
        <w:rPr>
          <w:rFonts w:hint="eastAsia" w:ascii="Times New Roman" w:hAnsi="Times New Roman" w:cs="Times New Roman"/>
        </w:rPr>
        <w:t>2026</w:t>
      </w:r>
      <w:r>
        <w:rPr>
          <w:rFonts w:hint="eastAsia" w:ascii="Times New Roman" w:hAnsi="Times New Roman" w:cs="Times New Roman"/>
          <w:lang w:val="en-US" w:eastAsia="zh-CN"/>
        </w:rPr>
        <w:t>年</w:t>
      </w:r>
      <w:r>
        <w:rPr>
          <w:rFonts w:hint="eastAsia" w:ascii="Times New Roman" w:hAnsi="Times New Roman" w:cs="Times New Roman"/>
        </w:rPr>
        <w:t>04</w:t>
      </w:r>
      <w:r>
        <w:rPr>
          <w:rFonts w:hint="eastAsia" w:ascii="Times New Roman" w:hAnsi="Times New Roman" w:cs="Times New Roman"/>
          <w:lang w:val="en-US" w:eastAsia="zh-CN"/>
        </w:rPr>
        <w:t>月</w:t>
      </w:r>
      <w:r>
        <w:rPr>
          <w:rFonts w:hint="eastAsia" w:ascii="Times New Roman" w:hAnsi="Times New Roman" w:cs="Times New Roman"/>
        </w:rPr>
        <w:t>30</w:t>
      </w:r>
      <w:r>
        <w:rPr>
          <w:rFonts w:hint="eastAsia" w:ascii="Times New Roman" w:hAnsi="Times New Roman" w:cs="Times New Roman"/>
          <w:lang w:val="en-US" w:eastAsia="zh-CN"/>
        </w:rPr>
        <w:t>日</w:t>
      </w:r>
      <w:r>
        <w:rPr>
          <w:rFonts w:hint="eastAsia" w:ascii="Times New Roman" w:hAnsi="Times New Roman" w:cs="Times New Roman"/>
        </w:rPr>
        <w:t>-2026</w:t>
      </w:r>
      <w:r>
        <w:rPr>
          <w:rFonts w:hint="eastAsia" w:ascii="Times New Roman" w:hAnsi="Times New Roman" w:cs="Times New Roman"/>
          <w:lang w:val="en-US" w:eastAsia="zh-CN"/>
        </w:rPr>
        <w:t>年</w:t>
      </w:r>
      <w:r>
        <w:rPr>
          <w:rFonts w:hint="eastAsia" w:ascii="Times New Roman" w:hAnsi="Times New Roman" w:cs="Times New Roman"/>
        </w:rPr>
        <w:t>05</w:t>
      </w:r>
      <w:r>
        <w:rPr>
          <w:rFonts w:hint="eastAsia" w:ascii="Times New Roman" w:hAnsi="Times New Roman" w:cs="Times New Roman"/>
          <w:lang w:val="en-US" w:eastAsia="zh-CN"/>
        </w:rPr>
        <w:t>月</w:t>
      </w:r>
      <w:r>
        <w:rPr>
          <w:rFonts w:hint="eastAsia" w:ascii="Times New Roman" w:hAnsi="Times New Roman" w:cs="Times New Roman"/>
        </w:rPr>
        <w:t>06</w:t>
      </w:r>
      <w:r>
        <w:rPr>
          <w:rFonts w:hint="eastAsia" w:ascii="Times New Roman" w:hAnsi="Times New Roman" w:cs="Times New Roman"/>
          <w:lang w:val="en-US" w:eastAsia="zh-CN"/>
        </w:rPr>
        <w:t>日</w:t>
      </w:r>
      <w:r>
        <w:rPr>
          <w:rFonts w:ascii="Times New Roman" w:hAnsi="Times New Roman" w:cs="Times New Roman"/>
        </w:rPr>
        <w:t>，共7天</w:t>
      </w:r>
      <w:r>
        <w:rPr>
          <w:rFonts w:hint="eastAsia" w:ascii="Times New Roman" w:hAnsi="Times New Roman" w:cs="Times New Roman"/>
        </w:rPr>
        <w:t>，氟化物、氨、氮氧化物</w:t>
      </w:r>
      <w:r>
        <w:rPr>
          <w:rFonts w:ascii="Times New Roman" w:hAnsi="Times New Roman" w:cs="Times New Roman"/>
        </w:rPr>
        <w:t>监测24小时均值</w:t>
      </w:r>
      <w:r>
        <w:rPr>
          <w:rFonts w:hint="eastAsia" w:ascii="Times New Roman" w:hAnsi="Times New Roman" w:cs="Times New Roman"/>
          <w:lang w:eastAsia="zh-CN"/>
        </w:rPr>
        <w:t>，</w:t>
      </w:r>
      <w:r>
        <w:rPr>
          <w:rFonts w:hint="eastAsia" w:ascii="Times New Roman" w:hAnsi="Times New Roman" w:cs="Times New Roman"/>
        </w:rPr>
        <w:t>总悬浮颗粒物、氮氧化物、氟化物</w:t>
      </w:r>
      <w:r>
        <w:rPr>
          <w:rFonts w:ascii="Times New Roman" w:hAnsi="Times New Roman" w:cs="Times New Roman"/>
        </w:rPr>
        <w:t>监测</w:t>
      </w:r>
      <w:r>
        <w:rPr>
          <w:rFonts w:hint="eastAsia" w:ascii="Times New Roman" w:hAnsi="Times New Roman" w:cs="Times New Roman"/>
        </w:rPr>
        <w:t>日均值。</w:t>
      </w:r>
    </w:p>
    <w:p w14:paraId="1A553E55">
      <w:pPr>
        <w:autoSpaceDE w:val="0"/>
        <w:autoSpaceDN w:val="0"/>
        <w:adjustRightInd w:val="0"/>
        <w:spacing w:line="500" w:lineRule="exact"/>
        <w:ind w:firstLine="482" w:firstLineChars="200"/>
        <w:rPr>
          <w:rFonts w:ascii="Times New Roman" w:hAnsi="Times New Roman" w:cs="Times New Roman"/>
          <w:b/>
        </w:rPr>
      </w:pPr>
      <w:r>
        <w:rPr>
          <w:rFonts w:ascii="Times New Roman" w:hAnsi="Times New Roman" w:cs="Times New Roman"/>
          <w:b/>
        </w:rPr>
        <w:t>（4）分析方法</w:t>
      </w:r>
    </w:p>
    <w:p w14:paraId="24375954">
      <w:pPr>
        <w:autoSpaceDE w:val="0"/>
        <w:autoSpaceDN w:val="0"/>
        <w:adjustRightInd w:val="0"/>
        <w:spacing w:line="500" w:lineRule="exact"/>
        <w:ind w:firstLine="480" w:firstLineChars="200"/>
        <w:rPr>
          <w:rFonts w:ascii="Times New Roman" w:hAnsi="Times New Roman" w:cs="Times New Roman"/>
        </w:rPr>
      </w:pPr>
      <w:r>
        <w:rPr>
          <w:rFonts w:ascii="Times New Roman" w:hAnsi="Times New Roman" w:cs="Times New Roman"/>
        </w:rPr>
        <w:t>各监测因子的监测分析方法和检出限见表</w:t>
      </w:r>
      <w:r>
        <w:rPr>
          <w:rFonts w:hint="eastAsia" w:ascii="Times New Roman" w:hAnsi="Times New Roman" w:cs="Times New Roman"/>
        </w:rPr>
        <w:t>4.2-3</w:t>
      </w:r>
      <w:r>
        <w:rPr>
          <w:rFonts w:ascii="Times New Roman" w:hAnsi="Times New Roman" w:cs="Times New Roman"/>
        </w:rPr>
        <w:t>。</w:t>
      </w:r>
    </w:p>
    <w:p w14:paraId="322A386E">
      <w:pPr>
        <w:autoSpaceDE w:val="0"/>
        <w:autoSpaceDN w:val="0"/>
        <w:adjustRightInd w:val="0"/>
        <w:spacing w:line="500" w:lineRule="exact"/>
        <w:ind w:firstLine="482" w:firstLineChars="200"/>
        <w:rPr>
          <w:rFonts w:hint="eastAsia" w:ascii="Times New Roman" w:hAnsi="Times New Roman" w:cs="Times New Roman"/>
          <w:b/>
        </w:rPr>
        <w:sectPr>
          <w:pgSz w:w="11907" w:h="16840"/>
          <w:pgMar w:top="1701" w:right="1701" w:bottom="1701" w:left="1701" w:header="851" w:footer="1077" w:gutter="0"/>
          <w:pgBorders w:offsetFrom="page">
            <w:top w:val="none" w:sz="0" w:space="0"/>
            <w:left w:val="none" w:sz="0" w:space="0"/>
            <w:bottom w:val="none" w:sz="0" w:space="0"/>
            <w:right w:val="none" w:sz="0" w:space="0"/>
          </w:pgBorders>
          <w:pgNumType w:fmt="decimal"/>
          <w:cols w:space="720" w:num="1"/>
          <w:docGrid w:type="lines" w:linePitch="479" w:charSpace="0"/>
        </w:sectPr>
      </w:pPr>
    </w:p>
    <w:p w14:paraId="3056AEBB">
      <w:pPr>
        <w:autoSpaceDE w:val="0"/>
        <w:autoSpaceDN w:val="0"/>
        <w:adjustRightInd w:val="0"/>
        <w:spacing w:line="360" w:lineRule="auto"/>
        <w:jc w:val="center"/>
        <w:rPr>
          <w:rFonts w:hint="eastAsia"/>
        </w:rPr>
      </w:pPr>
    </w:p>
    <w:p w14:paraId="693A493D">
      <w:pPr>
        <w:autoSpaceDE w:val="0"/>
        <w:autoSpaceDN w:val="0"/>
        <w:adjustRightInd w:val="0"/>
        <w:spacing w:line="360" w:lineRule="auto"/>
        <w:jc w:val="center"/>
        <w:rPr>
          <w:rFonts w:ascii="Times New Roman" w:hAnsi="Times New Roman" w:cs="Times New Roman"/>
          <w:b/>
        </w:rPr>
      </w:pPr>
      <w:r>
        <w:rPr>
          <w:rFonts w:ascii="Times New Roman" w:hAnsi="Times New Roman" w:eastAsia="黑体" w:cs="Times New Roman"/>
        </w:rPr>
        <w:t>图</w:t>
      </w:r>
      <w:r>
        <w:rPr>
          <w:rFonts w:hint="eastAsia" w:ascii="Times New Roman" w:hAnsi="Times New Roman" w:eastAsia="黑体" w:cs="Times New Roman"/>
        </w:rPr>
        <w:t>4.2-1</w:t>
      </w:r>
      <w:r>
        <w:rPr>
          <w:rFonts w:ascii="Times New Roman" w:hAnsi="Times New Roman" w:eastAsia="黑体" w:cs="Times New Roman"/>
        </w:rPr>
        <w:t xml:space="preserve">  本项目</w:t>
      </w:r>
      <w:r>
        <w:rPr>
          <w:rFonts w:hint="eastAsia" w:ascii="Times New Roman" w:hAnsi="Times New Roman" w:eastAsia="黑体" w:cs="Times New Roman"/>
        </w:rPr>
        <w:t>监测点位</w:t>
      </w:r>
      <w:r>
        <w:rPr>
          <w:rFonts w:ascii="Times New Roman" w:hAnsi="Times New Roman" w:eastAsia="黑体" w:cs="Times New Roman"/>
        </w:rPr>
        <w:t>图</w:t>
      </w:r>
    </w:p>
    <w:p w14:paraId="6523D581">
      <w:pPr>
        <w:autoSpaceDE w:val="0"/>
        <w:autoSpaceDN w:val="0"/>
        <w:adjustRightInd w:val="0"/>
        <w:spacing w:line="500" w:lineRule="exact"/>
        <w:ind w:firstLine="482" w:firstLineChars="200"/>
        <w:rPr>
          <w:rFonts w:hint="eastAsia" w:ascii="Times New Roman" w:hAnsi="Times New Roman" w:cs="Times New Roman"/>
          <w:b/>
        </w:rPr>
        <w:sectPr>
          <w:pgSz w:w="16840" w:h="11907" w:orient="landscape"/>
          <w:pgMar w:top="720" w:right="720" w:bottom="720" w:left="720" w:header="851" w:footer="1077" w:gutter="0"/>
          <w:pgBorders w:offsetFrom="page">
            <w:top w:val="none" w:sz="0" w:space="0"/>
            <w:left w:val="none" w:sz="0" w:space="0"/>
            <w:bottom w:val="none" w:sz="0" w:space="0"/>
            <w:right w:val="none" w:sz="0" w:space="0"/>
          </w:pgBorders>
          <w:pgNumType w:fmt="decimal"/>
          <w:cols w:space="720" w:num="1"/>
          <w:docGrid w:type="lines" w:linePitch="479" w:charSpace="0"/>
        </w:sectPr>
      </w:pPr>
    </w:p>
    <w:p w14:paraId="0DE56C1B">
      <w:pPr>
        <w:tabs>
          <w:tab w:val="left" w:pos="1141"/>
          <w:tab w:val="left" w:pos="4335"/>
        </w:tabs>
        <w:spacing w:line="360" w:lineRule="auto"/>
        <w:jc w:val="center"/>
        <w:rPr>
          <w:rFonts w:ascii="Times New Roman" w:hAnsi="Times New Roman" w:eastAsia="宋体（打印机字体）" w:cs="Times New Roman"/>
        </w:rPr>
      </w:pPr>
      <w:r>
        <w:rPr>
          <w:rFonts w:ascii="Times New Roman" w:hAnsi="Times New Roman" w:eastAsia="黑体" w:cs="Times New Roman"/>
          <w:lang w:val="zh-CN"/>
        </w:rPr>
        <w:t>表</w:t>
      </w:r>
      <w:r>
        <w:rPr>
          <w:rFonts w:hint="eastAsia" w:ascii="Times New Roman" w:hAnsi="Times New Roman" w:eastAsia="黑体" w:cs="Times New Roman"/>
          <w:lang w:val="zh-CN"/>
        </w:rPr>
        <w:t>4.2-3</w:t>
      </w:r>
      <w:r>
        <w:rPr>
          <w:rFonts w:ascii="Times New Roman" w:hAnsi="Times New Roman" w:eastAsia="黑体" w:cs="Times New Roman"/>
          <w:lang w:val="zh-CN"/>
        </w:rPr>
        <w:t xml:space="preserve">  大气污染物监测项目及分析方法</w:t>
      </w:r>
      <w:r>
        <w:rPr>
          <w:rFonts w:ascii="Times New Roman" w:hAnsi="Times New Roman" w:eastAsia="宋体（打印机字体）" w:cs="Times New Roman"/>
        </w:rPr>
        <w:t xml:space="preserve"> </w:t>
      </w:r>
    </w:p>
    <w:tbl>
      <w:tblPr>
        <w:tblStyle w:val="56"/>
        <w:tblW w:w="4948" w:type="pct"/>
        <w:jc w:val="center"/>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1656"/>
        <w:gridCol w:w="3910"/>
        <w:gridCol w:w="1500"/>
        <w:gridCol w:w="1564"/>
      </w:tblGrid>
      <w:tr w14:paraId="0D58C9FA">
        <w:tblPrEx>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blHeader/>
          <w:jc w:val="center"/>
        </w:trPr>
        <w:tc>
          <w:tcPr>
            <w:tcW w:w="1656" w:type="dxa"/>
            <w:shd w:val="clear" w:color="auto" w:fill="DDDDDD"/>
            <w:noWrap w:val="0"/>
            <w:vAlign w:val="center"/>
          </w:tcPr>
          <w:p w14:paraId="17E3153E">
            <w:pPr>
              <w:widowControl/>
              <w:jc w:val="center"/>
              <w:textAlignment w:val="center"/>
              <w:rPr>
                <w:rFonts w:ascii="Times New Roman" w:hAnsi="Times New Roman" w:cs="Times New Roman"/>
                <w:bCs/>
                <w:sz w:val="21"/>
                <w:szCs w:val="21"/>
              </w:rPr>
            </w:pPr>
            <w:r>
              <w:rPr>
                <w:rFonts w:hint="default" w:ascii="Times New Roman" w:hAnsi="Times New Roman" w:eastAsia="宋体" w:cs="Times New Roman"/>
                <w:b/>
                <w:bCs/>
                <w:color w:val="000000"/>
                <w:kern w:val="0"/>
                <w:sz w:val="21"/>
                <w:szCs w:val="21"/>
              </w:rPr>
              <w:t>检测项目</w:t>
            </w:r>
          </w:p>
        </w:tc>
        <w:tc>
          <w:tcPr>
            <w:tcW w:w="3911" w:type="dxa"/>
            <w:shd w:val="clear" w:color="auto" w:fill="DDDDDD"/>
            <w:noWrap w:val="0"/>
            <w:vAlign w:val="center"/>
          </w:tcPr>
          <w:p w14:paraId="260E26E0">
            <w:pPr>
              <w:widowControl/>
              <w:jc w:val="center"/>
              <w:textAlignment w:val="center"/>
              <w:rPr>
                <w:rFonts w:ascii="Times New Roman" w:hAnsi="Times New Roman" w:cs="Times New Roman"/>
                <w:bCs/>
                <w:sz w:val="21"/>
                <w:szCs w:val="21"/>
              </w:rPr>
            </w:pPr>
            <w:r>
              <w:rPr>
                <w:rFonts w:hint="default" w:ascii="Times New Roman" w:hAnsi="Times New Roman" w:eastAsia="宋体" w:cs="Times New Roman"/>
                <w:b/>
                <w:bCs/>
                <w:color w:val="000000"/>
                <w:kern w:val="0"/>
                <w:sz w:val="21"/>
                <w:szCs w:val="21"/>
              </w:rPr>
              <w:t>方法</w:t>
            </w:r>
            <w:r>
              <w:rPr>
                <w:rFonts w:hint="default" w:ascii="Times New Roman" w:hAnsi="Times New Roman" w:cs="Times New Roman"/>
                <w:b/>
                <w:bCs/>
                <w:color w:val="000000"/>
                <w:kern w:val="0"/>
                <w:sz w:val="21"/>
                <w:szCs w:val="21"/>
                <w:lang w:val="en-US" w:eastAsia="zh-CN"/>
              </w:rPr>
              <w:t>和依据</w:t>
            </w:r>
          </w:p>
        </w:tc>
        <w:tc>
          <w:tcPr>
            <w:tcW w:w="1500" w:type="dxa"/>
            <w:shd w:val="clear" w:color="auto" w:fill="DDDDDD"/>
            <w:noWrap w:val="0"/>
            <w:vAlign w:val="center"/>
          </w:tcPr>
          <w:p w14:paraId="6E962D30">
            <w:pPr>
              <w:widowControl/>
              <w:jc w:val="center"/>
              <w:textAlignment w:val="center"/>
              <w:rPr>
                <w:rFonts w:ascii="Times New Roman" w:hAnsi="Times New Roman" w:cs="Times New Roman"/>
                <w:bCs/>
                <w:sz w:val="21"/>
                <w:szCs w:val="21"/>
              </w:rPr>
            </w:pPr>
            <w:r>
              <w:rPr>
                <w:rFonts w:hint="default" w:ascii="Times New Roman" w:hAnsi="Times New Roman" w:eastAsia="宋体" w:cs="Times New Roman"/>
                <w:b/>
                <w:bCs/>
                <w:color w:val="000000"/>
                <w:kern w:val="0"/>
                <w:sz w:val="21"/>
                <w:szCs w:val="21"/>
                <w:lang w:eastAsia="zh-CN"/>
              </w:rPr>
              <w:t>主要仪器设备</w:t>
            </w:r>
          </w:p>
        </w:tc>
        <w:tc>
          <w:tcPr>
            <w:tcW w:w="1564" w:type="dxa"/>
            <w:shd w:val="clear" w:color="auto" w:fill="DDDDDD"/>
            <w:noWrap w:val="0"/>
            <w:vAlign w:val="center"/>
          </w:tcPr>
          <w:p w14:paraId="6E4C232B">
            <w:pPr>
              <w:widowControl/>
              <w:jc w:val="center"/>
              <w:textAlignment w:val="center"/>
              <w:rPr>
                <w:rFonts w:ascii="Times New Roman" w:hAnsi="Times New Roman" w:cs="Times New Roman"/>
                <w:bCs/>
                <w:sz w:val="21"/>
                <w:szCs w:val="21"/>
              </w:rPr>
            </w:pPr>
            <w:r>
              <w:rPr>
                <w:rFonts w:hint="default" w:ascii="Times New Roman" w:hAnsi="Times New Roman" w:eastAsia="宋体" w:cs="Times New Roman"/>
                <w:b/>
                <w:bCs/>
                <w:color w:val="000000"/>
                <w:kern w:val="0"/>
                <w:sz w:val="21"/>
                <w:szCs w:val="21"/>
                <w:lang w:eastAsia="zh-CN"/>
              </w:rPr>
              <w:t>检出限</w:t>
            </w:r>
          </w:p>
        </w:tc>
      </w:tr>
      <w:tr w14:paraId="3E62FD5B">
        <w:tblPrEx>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656" w:type="dxa"/>
            <w:noWrap w:val="0"/>
            <w:vAlign w:val="center"/>
          </w:tcPr>
          <w:p w14:paraId="6BF090B3">
            <w:pPr>
              <w:tabs>
                <w:tab w:val="left" w:pos="471"/>
              </w:tabs>
              <w:spacing w:line="240" w:lineRule="auto"/>
              <w:jc w:val="center"/>
              <w:rPr>
                <w:rFonts w:ascii="Times New Roman" w:hAnsi="Times New Roman" w:cs="Times New Roman"/>
                <w:sz w:val="21"/>
                <w:szCs w:val="21"/>
              </w:rPr>
            </w:pPr>
            <w:r>
              <w:rPr>
                <w:rFonts w:hint="default" w:ascii="Times New Roman" w:hAnsi="Times New Roman" w:cs="Times New Roman"/>
                <w:b w:val="0"/>
                <w:bCs w:val="0"/>
                <w:color w:val="000000"/>
                <w:highlight w:val="none"/>
                <w:lang w:val="en-US" w:eastAsia="zh-CN"/>
              </w:rPr>
              <w:t>氟化物</w:t>
            </w:r>
          </w:p>
        </w:tc>
        <w:tc>
          <w:tcPr>
            <w:tcW w:w="3911" w:type="dxa"/>
            <w:noWrap w:val="0"/>
            <w:vAlign w:val="center"/>
          </w:tcPr>
          <w:p w14:paraId="38ADB734">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Style w:val="542"/>
                <w:rFonts w:hint="default" w:ascii="Times New Roman" w:hAnsi="Times New Roman" w:eastAsia="宋体" w:cs="Times New Roman"/>
                <w:color w:val="auto"/>
                <w:sz w:val="21"/>
                <w:szCs w:val="21"/>
                <w:highlight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环境空气</w:t>
            </w:r>
            <w:r>
              <w:rPr>
                <w:rStyle w:val="542"/>
                <w:rFonts w:hint="default" w:ascii="Times New Roman" w:hAnsi="Times New Roman" w:eastAsia="宋体" w:cs="Times New Roman"/>
                <w:color w:val="auto"/>
                <w:sz w:val="21"/>
                <w:szCs w:val="21"/>
                <w:highlight w:val="none"/>
                <w:lang w:val="en-US" w:eastAsia="zh-CN" w:bidi="ar"/>
              </w:rPr>
              <w:t xml:space="preserve"> </w:t>
            </w:r>
            <w:r>
              <w:rPr>
                <w:rFonts w:hint="default" w:ascii="Times New Roman" w:hAnsi="Times New Roman" w:eastAsia="宋体" w:cs="Times New Roman"/>
                <w:i w:val="0"/>
                <w:iCs w:val="0"/>
                <w:color w:val="auto"/>
                <w:kern w:val="0"/>
                <w:sz w:val="21"/>
                <w:szCs w:val="21"/>
                <w:highlight w:val="none"/>
                <w:u w:val="none"/>
                <w:lang w:val="en-US" w:eastAsia="zh-CN" w:bidi="ar"/>
              </w:rPr>
              <w:t>氟化物的测定</w:t>
            </w:r>
            <w:r>
              <w:rPr>
                <w:rStyle w:val="542"/>
                <w:rFonts w:hint="default" w:ascii="Times New Roman" w:hAnsi="Times New Roman" w:eastAsia="宋体" w:cs="Times New Roman"/>
                <w:color w:val="auto"/>
                <w:sz w:val="21"/>
                <w:szCs w:val="21"/>
                <w:highlight w:val="none"/>
                <w:lang w:val="en-US" w:eastAsia="zh-CN" w:bidi="ar"/>
              </w:rPr>
              <w:t xml:space="preserve"> </w:t>
            </w:r>
          </w:p>
          <w:p w14:paraId="72E60027">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ascii="Times New Roman" w:hAnsi="Times New Roman" w:cs="Times New Roman"/>
                <w:sz w:val="21"/>
                <w:szCs w:val="21"/>
              </w:rPr>
            </w:pPr>
            <w:r>
              <w:rPr>
                <w:rFonts w:hint="default" w:ascii="Times New Roman" w:hAnsi="Times New Roman" w:eastAsia="宋体" w:cs="Times New Roman"/>
                <w:i w:val="0"/>
                <w:iCs w:val="0"/>
                <w:color w:val="auto"/>
                <w:kern w:val="0"/>
                <w:sz w:val="21"/>
                <w:szCs w:val="21"/>
                <w:highlight w:val="none"/>
                <w:u w:val="none"/>
                <w:lang w:val="en-US" w:eastAsia="zh-CN" w:bidi="ar"/>
              </w:rPr>
              <w:t>滤膜采样</w:t>
            </w:r>
            <w:r>
              <w:rPr>
                <w:rStyle w:val="542"/>
                <w:rFonts w:hint="default" w:ascii="Times New Roman" w:hAnsi="Times New Roman" w:eastAsia="宋体" w:cs="Times New Roman"/>
                <w:color w:val="auto"/>
                <w:sz w:val="21"/>
                <w:szCs w:val="21"/>
                <w:highlight w:val="none"/>
                <w:lang w:val="en-US" w:eastAsia="zh-CN" w:bidi="ar"/>
              </w:rPr>
              <w:t>/</w:t>
            </w:r>
            <w:r>
              <w:rPr>
                <w:rFonts w:hint="default" w:ascii="Times New Roman" w:hAnsi="Times New Roman" w:eastAsia="宋体" w:cs="Times New Roman"/>
                <w:i w:val="0"/>
                <w:iCs w:val="0"/>
                <w:color w:val="auto"/>
                <w:kern w:val="0"/>
                <w:sz w:val="21"/>
                <w:szCs w:val="21"/>
                <w:highlight w:val="none"/>
                <w:u w:val="none"/>
                <w:lang w:val="en-US" w:eastAsia="zh-CN" w:bidi="ar"/>
              </w:rPr>
              <w:t>氟离子选择电极法</w:t>
            </w:r>
            <w:r>
              <w:rPr>
                <w:rStyle w:val="542"/>
                <w:rFonts w:hint="default" w:ascii="Times New Roman" w:hAnsi="Times New Roman" w:eastAsia="宋体" w:cs="Times New Roman"/>
                <w:color w:val="auto"/>
                <w:sz w:val="21"/>
                <w:szCs w:val="21"/>
                <w:highlight w:val="none"/>
                <w:lang w:val="en-US" w:eastAsia="zh-CN" w:bidi="ar"/>
              </w:rPr>
              <w:t xml:space="preserve"> HJ 955-2018</w:t>
            </w:r>
          </w:p>
        </w:tc>
        <w:tc>
          <w:tcPr>
            <w:tcW w:w="1500" w:type="dxa"/>
            <w:noWrap w:val="0"/>
            <w:vAlign w:val="center"/>
          </w:tcPr>
          <w:p w14:paraId="2913AA3D">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台式离子计</w:t>
            </w:r>
          </w:p>
          <w:p w14:paraId="0BADF312">
            <w:pPr>
              <w:keepNext w:val="0"/>
              <w:keepLines w:val="0"/>
              <w:widowControl/>
              <w:suppressLineNumbers w:val="0"/>
              <w:jc w:val="center"/>
              <w:textAlignment w:val="center"/>
              <w:rPr>
                <w:rFonts w:ascii="Times New Roman" w:hAnsi="Times New Roman" w:cs="Times New Roman"/>
                <w:sz w:val="21"/>
                <w:szCs w:val="21"/>
              </w:rPr>
            </w:pPr>
            <w:r>
              <w:rPr>
                <w:rFonts w:hint="default" w:ascii="Times New Roman" w:hAnsi="Times New Roman" w:eastAsia="宋体" w:cs="Times New Roman"/>
                <w:i w:val="0"/>
                <w:iCs w:val="0"/>
                <w:color w:val="000000"/>
                <w:kern w:val="0"/>
                <w:sz w:val="21"/>
                <w:szCs w:val="21"/>
                <w:highlight w:val="none"/>
                <w:u w:val="none"/>
                <w:lang w:val="en-US" w:eastAsia="zh-CN" w:bidi="ar"/>
              </w:rPr>
              <w:t>ION930</w:t>
            </w:r>
          </w:p>
        </w:tc>
        <w:tc>
          <w:tcPr>
            <w:tcW w:w="1564" w:type="dxa"/>
            <w:noWrap w:val="0"/>
            <w:vAlign w:val="center"/>
          </w:tcPr>
          <w:p w14:paraId="193202D1">
            <w:pPr>
              <w:keepNext w:val="0"/>
              <w:keepLines w:val="0"/>
              <w:widowControl/>
              <w:suppressLineNumbers w:val="0"/>
              <w:jc w:val="center"/>
              <w:textAlignment w:val="center"/>
              <w:rPr>
                <w:rFonts w:hint="default" w:ascii="Times New Roman" w:hAnsi="Times New Roman" w:eastAsia="宋体" w:cs="Times New Roman"/>
                <w:b w:val="0"/>
                <w:bCs w:val="0"/>
                <w:i w:val="0"/>
                <w:iCs w:val="0"/>
                <w:color w:val="auto"/>
                <w:kern w:val="0"/>
                <w:sz w:val="21"/>
                <w:szCs w:val="21"/>
                <w:highlight w:val="none"/>
                <w:u w:val="none"/>
                <w:vertAlign w:val="superscript"/>
                <w:lang w:val="en-US" w:eastAsia="zh-CN" w:bidi="ar"/>
              </w:rPr>
            </w:pPr>
            <w:r>
              <w:rPr>
                <w:rFonts w:hint="default" w:ascii="Times New Roman" w:hAnsi="Times New Roman" w:cs="Times New Roman"/>
                <w:i w:val="0"/>
                <w:iCs w:val="0"/>
                <w:color w:val="000000"/>
                <w:kern w:val="0"/>
                <w:sz w:val="21"/>
                <w:szCs w:val="21"/>
                <w:highlight w:val="none"/>
                <w:u w:val="none"/>
                <w:lang w:val="en-US" w:eastAsia="zh-CN" w:bidi="ar"/>
              </w:rPr>
              <w:t>0.5</w:t>
            </w:r>
            <w:r>
              <w:rPr>
                <w:rFonts w:hint="default" w:ascii="Times New Roman" w:hAnsi="Times New Roman" w:eastAsia="宋体" w:cs="Times New Roman"/>
                <w:b w:val="0"/>
                <w:bCs w:val="0"/>
                <w:color w:val="auto"/>
                <w:kern w:val="0"/>
                <w:sz w:val="21"/>
                <w:szCs w:val="21"/>
                <w:highlight w:val="none"/>
                <w:lang w:val="en-US" w:eastAsia="zh-CN"/>
              </w:rPr>
              <w:t>μ</w:t>
            </w:r>
            <w:r>
              <w:rPr>
                <w:rFonts w:hint="default" w:ascii="Times New Roman" w:hAnsi="Times New Roman" w:eastAsia="宋体" w:cs="Times New Roman"/>
                <w:b w:val="0"/>
                <w:bCs w:val="0"/>
                <w:i w:val="0"/>
                <w:iCs w:val="0"/>
                <w:color w:val="auto"/>
                <w:kern w:val="0"/>
                <w:sz w:val="21"/>
                <w:szCs w:val="21"/>
                <w:highlight w:val="none"/>
                <w:u w:val="none"/>
                <w:lang w:val="en-US" w:eastAsia="zh-CN" w:bidi="ar"/>
              </w:rPr>
              <w:t>g/m</w:t>
            </w:r>
            <w:r>
              <w:rPr>
                <w:rFonts w:hint="default" w:ascii="Times New Roman" w:hAnsi="Times New Roman" w:eastAsia="宋体" w:cs="Times New Roman"/>
                <w:b w:val="0"/>
                <w:bCs w:val="0"/>
                <w:i w:val="0"/>
                <w:iCs w:val="0"/>
                <w:color w:val="auto"/>
                <w:kern w:val="0"/>
                <w:sz w:val="21"/>
                <w:szCs w:val="21"/>
                <w:highlight w:val="none"/>
                <w:u w:val="none"/>
                <w:vertAlign w:val="superscript"/>
                <w:lang w:val="en-US" w:eastAsia="zh-CN" w:bidi="ar"/>
              </w:rPr>
              <w:t>3</w:t>
            </w:r>
          </w:p>
          <w:p w14:paraId="2D2463D7">
            <w:pPr>
              <w:keepNext w:val="0"/>
              <w:keepLines w:val="0"/>
              <w:widowControl/>
              <w:suppressLineNumbers w:val="0"/>
              <w:jc w:val="center"/>
              <w:textAlignment w:val="center"/>
              <w:rPr>
                <w:rFonts w:hint="default" w:ascii="Times New Roman" w:hAnsi="Times New Roman" w:eastAsia="宋体" w:cs="Times New Roman"/>
                <w:b w:val="0"/>
                <w:bCs w:val="0"/>
                <w:i w:val="0"/>
                <w:iCs w:val="0"/>
                <w:color w:val="auto"/>
                <w:kern w:val="0"/>
                <w:sz w:val="21"/>
                <w:szCs w:val="21"/>
                <w:highlight w:val="none"/>
                <w:u w:val="none"/>
                <w:vertAlign w:val="superscript"/>
                <w:lang w:val="en-US" w:eastAsia="zh-CN" w:bidi="ar"/>
              </w:rPr>
            </w:pPr>
            <w:r>
              <w:rPr>
                <w:rFonts w:hint="default" w:ascii="Times New Roman" w:hAnsi="Times New Roman" w:eastAsia="宋体" w:cs="Times New Roman"/>
                <w:b w:val="0"/>
                <w:bCs w:val="0"/>
                <w:i w:val="0"/>
                <w:iCs w:val="0"/>
                <w:color w:val="auto"/>
                <w:kern w:val="0"/>
                <w:sz w:val="21"/>
                <w:szCs w:val="21"/>
                <w:highlight w:val="none"/>
                <w:u w:val="none"/>
                <w:vertAlign w:val="baseline"/>
                <w:lang w:val="en-US" w:eastAsia="zh-CN" w:bidi="ar"/>
              </w:rPr>
              <w:t>（小时值）</w:t>
            </w:r>
            <w:r>
              <w:rPr>
                <w:rFonts w:hint="default" w:ascii="Times New Roman" w:hAnsi="Times New Roman" w:cs="Times New Roman"/>
                <w:i w:val="0"/>
                <w:iCs w:val="0"/>
                <w:color w:val="000000"/>
                <w:kern w:val="0"/>
                <w:sz w:val="21"/>
                <w:szCs w:val="21"/>
                <w:highlight w:val="none"/>
                <w:u w:val="none"/>
                <w:lang w:val="en-US" w:eastAsia="zh-CN" w:bidi="ar"/>
              </w:rPr>
              <w:t>0.06</w:t>
            </w:r>
            <w:r>
              <w:rPr>
                <w:rFonts w:hint="default" w:ascii="Times New Roman" w:hAnsi="Times New Roman" w:eastAsia="宋体" w:cs="Times New Roman"/>
                <w:b w:val="0"/>
                <w:bCs w:val="0"/>
                <w:color w:val="auto"/>
                <w:kern w:val="0"/>
                <w:sz w:val="21"/>
                <w:szCs w:val="21"/>
                <w:highlight w:val="none"/>
                <w:lang w:val="en-US" w:eastAsia="zh-CN"/>
              </w:rPr>
              <w:t>μ</w:t>
            </w:r>
            <w:r>
              <w:rPr>
                <w:rFonts w:hint="default" w:ascii="Times New Roman" w:hAnsi="Times New Roman" w:eastAsia="宋体" w:cs="Times New Roman"/>
                <w:b w:val="0"/>
                <w:bCs w:val="0"/>
                <w:i w:val="0"/>
                <w:iCs w:val="0"/>
                <w:color w:val="auto"/>
                <w:kern w:val="0"/>
                <w:sz w:val="21"/>
                <w:szCs w:val="21"/>
                <w:highlight w:val="none"/>
                <w:u w:val="none"/>
                <w:lang w:val="en-US" w:eastAsia="zh-CN" w:bidi="ar"/>
              </w:rPr>
              <w:t>g/m</w:t>
            </w:r>
            <w:r>
              <w:rPr>
                <w:rFonts w:hint="default" w:ascii="Times New Roman" w:hAnsi="Times New Roman" w:eastAsia="宋体" w:cs="Times New Roman"/>
                <w:b w:val="0"/>
                <w:bCs w:val="0"/>
                <w:i w:val="0"/>
                <w:iCs w:val="0"/>
                <w:color w:val="auto"/>
                <w:kern w:val="0"/>
                <w:sz w:val="21"/>
                <w:szCs w:val="21"/>
                <w:highlight w:val="none"/>
                <w:u w:val="none"/>
                <w:vertAlign w:val="superscript"/>
                <w:lang w:val="en-US" w:eastAsia="zh-CN" w:bidi="ar"/>
              </w:rPr>
              <w:t>3</w:t>
            </w:r>
          </w:p>
          <w:p w14:paraId="3BD43B07">
            <w:pPr>
              <w:keepNext w:val="0"/>
              <w:keepLines w:val="0"/>
              <w:widowControl/>
              <w:suppressLineNumbers w:val="0"/>
              <w:jc w:val="center"/>
              <w:textAlignment w:val="center"/>
              <w:rPr>
                <w:rFonts w:ascii="Times New Roman" w:hAnsi="Times New Roman" w:cs="Times New Roman"/>
                <w:sz w:val="21"/>
                <w:szCs w:val="21"/>
              </w:rPr>
            </w:pPr>
            <w:r>
              <w:rPr>
                <w:rFonts w:hint="default" w:ascii="Times New Roman" w:hAnsi="Times New Roman" w:eastAsia="宋体" w:cs="Times New Roman"/>
                <w:b w:val="0"/>
                <w:bCs w:val="0"/>
                <w:i w:val="0"/>
                <w:iCs w:val="0"/>
                <w:color w:val="auto"/>
                <w:kern w:val="0"/>
                <w:sz w:val="21"/>
                <w:szCs w:val="21"/>
                <w:highlight w:val="none"/>
                <w:u w:val="none"/>
                <w:vertAlign w:val="baseline"/>
                <w:lang w:val="en-US" w:eastAsia="zh-CN" w:bidi="ar"/>
              </w:rPr>
              <w:t>（日均值）</w:t>
            </w:r>
          </w:p>
        </w:tc>
      </w:tr>
      <w:tr w14:paraId="104CEEF4">
        <w:tblPrEx>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656" w:type="dxa"/>
            <w:noWrap w:val="0"/>
            <w:vAlign w:val="center"/>
          </w:tcPr>
          <w:p w14:paraId="386AE090">
            <w:pPr>
              <w:keepNext w:val="0"/>
              <w:keepLines w:val="0"/>
              <w:widowControl/>
              <w:suppressLineNumbers w:val="0"/>
              <w:jc w:val="center"/>
              <w:textAlignment w:val="center"/>
              <w:rPr>
                <w:rFonts w:ascii="Times New Roman" w:hAnsi="Times New Roman" w:cs="Times New Roman"/>
                <w:sz w:val="21"/>
                <w:szCs w:val="21"/>
              </w:rPr>
            </w:pPr>
            <w:r>
              <w:rPr>
                <w:rFonts w:hint="default" w:ascii="Times New Roman" w:hAnsi="Times New Roman" w:eastAsia="宋体" w:cs="Times New Roman"/>
                <w:b w:val="0"/>
                <w:bCs w:val="0"/>
                <w:i w:val="0"/>
                <w:iCs w:val="0"/>
                <w:color w:val="auto"/>
                <w:kern w:val="0"/>
                <w:sz w:val="21"/>
                <w:szCs w:val="21"/>
                <w:u w:val="none"/>
                <w:lang w:val="en-US" w:eastAsia="zh-CN" w:bidi="ar"/>
              </w:rPr>
              <w:t>氨</w:t>
            </w:r>
          </w:p>
        </w:tc>
        <w:tc>
          <w:tcPr>
            <w:tcW w:w="3911" w:type="dxa"/>
            <w:noWrap w:val="0"/>
            <w:vAlign w:val="center"/>
          </w:tcPr>
          <w:p w14:paraId="3AC18499">
            <w:pPr>
              <w:keepNext w:val="0"/>
              <w:keepLines w:val="0"/>
              <w:widowControl/>
              <w:suppressLineNumbers w:val="0"/>
              <w:jc w:val="center"/>
              <w:textAlignment w:val="center"/>
              <w:rPr>
                <w:rFonts w:hint="default" w:ascii="Times New Roman" w:hAnsi="Times New Roman" w:eastAsia="宋体" w:cs="Times New Roman"/>
                <w:b w:val="0"/>
                <w:bCs w:val="0"/>
                <w:i w:val="0"/>
                <w:iCs w:val="0"/>
                <w:color w:val="auto"/>
                <w:kern w:val="0"/>
                <w:sz w:val="21"/>
                <w:szCs w:val="21"/>
                <w:u w:val="none"/>
                <w:lang w:val="en-US" w:eastAsia="zh-CN" w:bidi="ar"/>
              </w:rPr>
            </w:pPr>
            <w:r>
              <w:rPr>
                <w:rFonts w:hint="default" w:ascii="Times New Roman" w:hAnsi="Times New Roman" w:eastAsia="宋体" w:cs="Times New Roman"/>
                <w:b w:val="0"/>
                <w:bCs w:val="0"/>
                <w:i w:val="0"/>
                <w:iCs w:val="0"/>
                <w:color w:val="auto"/>
                <w:kern w:val="0"/>
                <w:sz w:val="21"/>
                <w:szCs w:val="21"/>
                <w:u w:val="none"/>
                <w:lang w:val="en-US" w:eastAsia="zh-CN" w:bidi="ar"/>
              </w:rPr>
              <w:t>环境空气和废气 氨的测定</w:t>
            </w:r>
          </w:p>
          <w:p w14:paraId="1700B2C7">
            <w:pPr>
              <w:keepNext w:val="0"/>
              <w:keepLines w:val="0"/>
              <w:widowControl/>
              <w:suppressLineNumbers w:val="0"/>
              <w:jc w:val="center"/>
              <w:textAlignment w:val="center"/>
              <w:rPr>
                <w:rFonts w:ascii="Times New Roman" w:hAnsi="Times New Roman" w:cs="Times New Roman"/>
                <w:sz w:val="21"/>
                <w:szCs w:val="21"/>
              </w:rPr>
            </w:pPr>
            <w:r>
              <w:rPr>
                <w:rFonts w:hint="default" w:ascii="Times New Roman" w:hAnsi="Times New Roman" w:eastAsia="宋体" w:cs="Times New Roman"/>
                <w:b w:val="0"/>
                <w:bCs w:val="0"/>
                <w:i w:val="0"/>
                <w:iCs w:val="0"/>
                <w:color w:val="auto"/>
                <w:kern w:val="0"/>
                <w:sz w:val="21"/>
                <w:szCs w:val="21"/>
                <w:u w:val="none"/>
                <w:lang w:val="en-US" w:eastAsia="zh-CN" w:bidi="ar"/>
              </w:rPr>
              <w:t>纳氏试剂分光光度法 HJ 533-2009</w:t>
            </w:r>
          </w:p>
        </w:tc>
        <w:tc>
          <w:tcPr>
            <w:tcW w:w="1500" w:type="dxa"/>
            <w:noWrap w:val="0"/>
            <w:vAlign w:val="center"/>
          </w:tcPr>
          <w:p w14:paraId="758EF812">
            <w:pPr>
              <w:jc w:val="center"/>
              <w:rPr>
                <w:rFonts w:ascii="Times New Roman" w:hAnsi="Times New Roman" w:cs="Times New Roman"/>
                <w:sz w:val="21"/>
                <w:szCs w:val="21"/>
              </w:rPr>
            </w:pPr>
            <w:r>
              <w:rPr>
                <w:rFonts w:hint="default" w:ascii="Times New Roman" w:hAnsi="Times New Roman" w:eastAsia="宋体" w:cs="Times New Roman"/>
                <w:b w:val="0"/>
                <w:bCs w:val="0"/>
                <w:i w:val="0"/>
                <w:iCs w:val="0"/>
                <w:color w:val="auto"/>
                <w:kern w:val="0"/>
                <w:sz w:val="21"/>
                <w:szCs w:val="21"/>
                <w:u w:val="none"/>
                <w:lang w:val="en-US" w:eastAsia="zh-CN" w:bidi="ar"/>
              </w:rPr>
              <w:t>紫外可见分光光度计T6新世纪</w:t>
            </w:r>
          </w:p>
        </w:tc>
        <w:tc>
          <w:tcPr>
            <w:tcW w:w="1564" w:type="dxa"/>
            <w:noWrap w:val="0"/>
            <w:vAlign w:val="center"/>
          </w:tcPr>
          <w:p w14:paraId="2DDA9545">
            <w:pPr>
              <w:widowControl/>
              <w:jc w:val="center"/>
              <w:textAlignment w:val="center"/>
              <w:rPr>
                <w:rFonts w:hint="eastAsia" w:ascii="Times New Roman" w:hAnsi="Times New Roman" w:cs="Times New Roman"/>
                <w:sz w:val="21"/>
                <w:szCs w:val="21"/>
              </w:rPr>
            </w:pPr>
            <w:r>
              <w:rPr>
                <w:rFonts w:hint="default" w:ascii="Times New Roman" w:hAnsi="Times New Roman" w:eastAsia="宋体" w:cs="Times New Roman"/>
                <w:b w:val="0"/>
                <w:bCs w:val="0"/>
                <w:color w:val="auto"/>
                <w:kern w:val="2"/>
                <w:sz w:val="21"/>
                <w:szCs w:val="21"/>
                <w:lang w:val="en-US" w:eastAsia="zh-CN" w:bidi="ar-SA"/>
              </w:rPr>
              <w:t>0.01</w:t>
            </w:r>
            <w:r>
              <w:rPr>
                <w:rFonts w:hint="default" w:ascii="Times New Roman" w:hAnsi="Times New Roman" w:eastAsia="宋体" w:cs="Times New Roman"/>
                <w:b w:val="0"/>
                <w:bCs w:val="0"/>
                <w:i w:val="0"/>
                <w:iCs w:val="0"/>
                <w:color w:val="auto"/>
                <w:kern w:val="0"/>
                <w:sz w:val="21"/>
                <w:szCs w:val="21"/>
                <w:u w:val="none"/>
                <w:lang w:val="en-US" w:eastAsia="zh-CN" w:bidi="ar"/>
              </w:rPr>
              <w:t>mg/m</w:t>
            </w:r>
            <w:r>
              <w:rPr>
                <w:rFonts w:hint="default" w:ascii="Times New Roman" w:hAnsi="Times New Roman" w:eastAsia="宋体" w:cs="Times New Roman"/>
                <w:b w:val="0"/>
                <w:bCs w:val="0"/>
                <w:i w:val="0"/>
                <w:iCs w:val="0"/>
                <w:color w:val="auto"/>
                <w:kern w:val="0"/>
                <w:sz w:val="21"/>
                <w:szCs w:val="21"/>
                <w:u w:val="none"/>
                <w:vertAlign w:val="superscript"/>
                <w:lang w:val="en-US" w:eastAsia="zh-CN" w:bidi="ar"/>
              </w:rPr>
              <w:t>3</w:t>
            </w:r>
          </w:p>
        </w:tc>
      </w:tr>
      <w:tr w14:paraId="3C3E718A">
        <w:tblPrEx>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656" w:type="dxa"/>
            <w:noWrap w:val="0"/>
            <w:vAlign w:val="center"/>
          </w:tcPr>
          <w:p w14:paraId="0DA83AE1">
            <w:pPr>
              <w:spacing w:line="240" w:lineRule="auto"/>
              <w:jc w:val="center"/>
              <w:rPr>
                <w:rFonts w:ascii="Times New Roman" w:hAnsi="Times New Roman" w:cs="Times New Roman"/>
                <w:sz w:val="21"/>
                <w:szCs w:val="21"/>
              </w:rPr>
            </w:pPr>
            <w:r>
              <w:rPr>
                <w:rFonts w:hint="default" w:ascii="Times New Roman" w:hAnsi="Times New Roman" w:eastAsia="宋体" w:cs="Times New Roman"/>
                <w:b w:val="0"/>
                <w:bCs w:val="0"/>
                <w:color w:val="000000"/>
                <w:kern w:val="2"/>
                <w:sz w:val="21"/>
                <w:szCs w:val="21"/>
                <w:u w:val="none"/>
                <w:vertAlign w:val="baseline"/>
                <w:lang w:val="en-US" w:eastAsia="zh-CN" w:bidi="ar-SA"/>
              </w:rPr>
              <w:t>氮氧化物</w:t>
            </w:r>
          </w:p>
        </w:tc>
        <w:tc>
          <w:tcPr>
            <w:tcW w:w="3911" w:type="dxa"/>
            <w:noWrap w:val="0"/>
            <w:vAlign w:val="center"/>
          </w:tcPr>
          <w:p w14:paraId="4013380F">
            <w:pPr>
              <w:keepNext w:val="0"/>
              <w:keepLines w:val="0"/>
              <w:widowControl/>
              <w:suppressLineNumbers w:val="0"/>
              <w:jc w:val="center"/>
              <w:textAlignment w:val="center"/>
              <w:rPr>
                <w:rFonts w:ascii="Times New Roman" w:hAnsi="Times New Roman" w:cs="Times New Roman"/>
                <w:sz w:val="21"/>
                <w:szCs w:val="21"/>
              </w:rPr>
            </w:pPr>
            <w:r>
              <w:rPr>
                <w:rFonts w:hint="default" w:ascii="Times New Roman" w:hAnsi="Times New Roman" w:eastAsia="宋体" w:cs="Times New Roman"/>
                <w:b w:val="0"/>
                <w:bCs w:val="0"/>
                <w:i w:val="0"/>
                <w:iCs w:val="0"/>
                <w:color w:val="000000"/>
                <w:kern w:val="0"/>
                <w:sz w:val="21"/>
                <w:szCs w:val="21"/>
                <w:u w:val="none"/>
                <w:lang w:val="en-US" w:eastAsia="zh-CN" w:bidi="ar"/>
              </w:rPr>
              <w:t>环境空气 氮氧化物（一氧化氮和二氧化氮）的测定 盐酸萘乙二胺分光光度法 HJ 479-2009及修改单</w:t>
            </w:r>
          </w:p>
        </w:tc>
        <w:tc>
          <w:tcPr>
            <w:tcW w:w="1500" w:type="dxa"/>
            <w:noWrap w:val="0"/>
            <w:vAlign w:val="center"/>
          </w:tcPr>
          <w:p w14:paraId="4EFDEF94">
            <w:pPr>
              <w:keepNext w:val="0"/>
              <w:keepLines w:val="0"/>
              <w:widowControl/>
              <w:suppressLineNumbers w:val="0"/>
              <w:jc w:val="center"/>
              <w:textAlignment w:val="center"/>
              <w:rPr>
                <w:rFonts w:ascii="Times New Roman" w:hAnsi="Times New Roman" w:cs="Times New Roman"/>
                <w:sz w:val="21"/>
                <w:szCs w:val="21"/>
              </w:rPr>
            </w:pPr>
            <w:r>
              <w:rPr>
                <w:rFonts w:hint="default" w:ascii="Times New Roman" w:hAnsi="Times New Roman" w:eastAsia="宋体" w:cs="Times New Roman"/>
                <w:b w:val="0"/>
                <w:bCs w:val="0"/>
                <w:i w:val="0"/>
                <w:iCs w:val="0"/>
                <w:color w:val="000000"/>
                <w:kern w:val="0"/>
                <w:sz w:val="21"/>
                <w:szCs w:val="21"/>
                <w:u w:val="none"/>
                <w:lang w:val="en-US" w:eastAsia="zh-CN" w:bidi="ar"/>
              </w:rPr>
              <w:t>紫外可见分光光度计T6新世纪</w:t>
            </w:r>
          </w:p>
        </w:tc>
        <w:tc>
          <w:tcPr>
            <w:tcW w:w="1564" w:type="dxa"/>
            <w:noWrap w:val="0"/>
            <w:vAlign w:val="center"/>
          </w:tcPr>
          <w:p w14:paraId="3AF2987E">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kern w:val="0"/>
                <w:sz w:val="21"/>
                <w:szCs w:val="21"/>
                <w:highlight w:val="none"/>
                <w:u w:val="none"/>
                <w:vertAlign w:val="superscript"/>
                <w:lang w:val="en-US" w:eastAsia="zh-CN" w:bidi="ar"/>
              </w:rPr>
            </w:pPr>
            <w:r>
              <w:rPr>
                <w:rFonts w:hint="default" w:ascii="Times New Roman" w:hAnsi="Times New Roman" w:eastAsia="宋体" w:cs="Times New Roman"/>
                <w:b w:val="0"/>
                <w:bCs w:val="0"/>
                <w:i w:val="0"/>
                <w:iCs w:val="0"/>
                <w:color w:val="000000"/>
                <w:kern w:val="0"/>
                <w:sz w:val="21"/>
                <w:szCs w:val="21"/>
                <w:highlight w:val="none"/>
                <w:u w:val="none"/>
                <w:lang w:val="en-US" w:eastAsia="zh-CN" w:bidi="ar"/>
              </w:rPr>
              <w:t>0.00</w:t>
            </w:r>
            <w:r>
              <w:rPr>
                <w:rFonts w:hint="default" w:ascii="Times New Roman" w:hAnsi="Times New Roman" w:cs="Times New Roman"/>
                <w:b w:val="0"/>
                <w:bCs w:val="0"/>
                <w:i w:val="0"/>
                <w:iCs w:val="0"/>
                <w:color w:val="000000"/>
                <w:kern w:val="0"/>
                <w:sz w:val="21"/>
                <w:szCs w:val="21"/>
                <w:highlight w:val="none"/>
                <w:u w:val="none"/>
                <w:lang w:val="en-US" w:eastAsia="zh-CN" w:bidi="ar"/>
              </w:rPr>
              <w:t>5</w:t>
            </w:r>
            <w:r>
              <w:rPr>
                <w:rFonts w:hint="default" w:ascii="Times New Roman" w:hAnsi="Times New Roman" w:eastAsia="宋体" w:cs="Times New Roman"/>
                <w:b w:val="0"/>
                <w:bCs w:val="0"/>
                <w:i w:val="0"/>
                <w:iCs w:val="0"/>
                <w:color w:val="000000"/>
                <w:kern w:val="0"/>
                <w:sz w:val="21"/>
                <w:szCs w:val="21"/>
                <w:highlight w:val="none"/>
                <w:u w:val="none"/>
                <w:lang w:val="en-US" w:eastAsia="zh-CN" w:bidi="ar"/>
              </w:rPr>
              <w:t>mg/m</w:t>
            </w:r>
            <w:r>
              <w:rPr>
                <w:rFonts w:hint="default" w:ascii="Times New Roman" w:hAnsi="Times New Roman" w:eastAsia="宋体" w:cs="Times New Roman"/>
                <w:b w:val="0"/>
                <w:bCs w:val="0"/>
                <w:i w:val="0"/>
                <w:iCs w:val="0"/>
                <w:color w:val="000000"/>
                <w:kern w:val="0"/>
                <w:sz w:val="21"/>
                <w:szCs w:val="21"/>
                <w:highlight w:val="none"/>
                <w:u w:val="none"/>
                <w:vertAlign w:val="superscript"/>
                <w:lang w:val="en-US" w:eastAsia="zh-CN" w:bidi="ar"/>
              </w:rPr>
              <w:t>3</w:t>
            </w:r>
            <w:r>
              <w:rPr>
                <w:rFonts w:hint="default" w:ascii="Times New Roman" w:hAnsi="Times New Roman" w:cs="Times New Roman"/>
                <w:b w:val="0"/>
                <w:bCs w:val="0"/>
                <w:i w:val="0"/>
                <w:iCs w:val="0"/>
                <w:color w:val="000000"/>
                <w:kern w:val="0"/>
                <w:sz w:val="21"/>
                <w:szCs w:val="21"/>
                <w:highlight w:val="none"/>
                <w:u w:val="none"/>
                <w:vertAlign w:val="baseline"/>
                <w:lang w:val="en-US" w:eastAsia="zh-CN" w:bidi="ar"/>
              </w:rPr>
              <w:t>（小时值）</w:t>
            </w:r>
          </w:p>
          <w:p w14:paraId="1A425F54">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kern w:val="0"/>
                <w:sz w:val="21"/>
                <w:szCs w:val="21"/>
                <w:highlight w:val="none"/>
                <w:u w:val="none"/>
                <w:vertAlign w:val="superscript"/>
                <w:lang w:val="en-US" w:eastAsia="zh-CN" w:bidi="ar"/>
              </w:rPr>
            </w:pPr>
            <w:r>
              <w:rPr>
                <w:rFonts w:hint="default" w:ascii="Times New Roman" w:hAnsi="Times New Roman" w:eastAsia="宋体" w:cs="Times New Roman"/>
                <w:b w:val="0"/>
                <w:bCs w:val="0"/>
                <w:i w:val="0"/>
                <w:iCs w:val="0"/>
                <w:color w:val="000000"/>
                <w:kern w:val="0"/>
                <w:sz w:val="21"/>
                <w:szCs w:val="21"/>
                <w:highlight w:val="none"/>
                <w:u w:val="none"/>
                <w:lang w:val="en-US" w:eastAsia="zh-CN" w:bidi="ar"/>
              </w:rPr>
              <w:t>0.003mg/m</w:t>
            </w:r>
            <w:r>
              <w:rPr>
                <w:rFonts w:hint="default" w:ascii="Times New Roman" w:hAnsi="Times New Roman" w:eastAsia="宋体" w:cs="Times New Roman"/>
                <w:b w:val="0"/>
                <w:bCs w:val="0"/>
                <w:i w:val="0"/>
                <w:iCs w:val="0"/>
                <w:color w:val="000000"/>
                <w:kern w:val="0"/>
                <w:sz w:val="21"/>
                <w:szCs w:val="21"/>
                <w:highlight w:val="none"/>
                <w:u w:val="none"/>
                <w:vertAlign w:val="superscript"/>
                <w:lang w:val="en-US" w:eastAsia="zh-CN" w:bidi="ar"/>
              </w:rPr>
              <w:t>3</w:t>
            </w:r>
          </w:p>
          <w:p w14:paraId="4AF973B8">
            <w:pPr>
              <w:keepNext w:val="0"/>
              <w:keepLines w:val="0"/>
              <w:widowControl/>
              <w:suppressLineNumbers w:val="0"/>
              <w:jc w:val="center"/>
              <w:textAlignment w:val="center"/>
              <w:rPr>
                <w:rFonts w:hint="eastAsia" w:ascii="Times New Roman" w:hAnsi="Times New Roman" w:cs="Times New Roman"/>
                <w:sz w:val="21"/>
                <w:szCs w:val="21"/>
              </w:rPr>
            </w:pPr>
            <w:r>
              <w:rPr>
                <w:rFonts w:hint="default" w:ascii="Times New Roman" w:hAnsi="Times New Roman" w:cs="Times New Roman"/>
                <w:b w:val="0"/>
                <w:bCs w:val="0"/>
                <w:i w:val="0"/>
                <w:iCs w:val="0"/>
                <w:color w:val="000000"/>
                <w:kern w:val="0"/>
                <w:sz w:val="21"/>
                <w:szCs w:val="21"/>
                <w:highlight w:val="none"/>
                <w:u w:val="none"/>
                <w:vertAlign w:val="baseline"/>
                <w:lang w:val="en-US" w:eastAsia="zh-CN" w:bidi="ar"/>
              </w:rPr>
              <w:t>（日均值）</w:t>
            </w:r>
          </w:p>
        </w:tc>
      </w:tr>
      <w:tr w14:paraId="3148D72F">
        <w:tblPrEx>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656" w:type="dxa"/>
            <w:noWrap w:val="0"/>
            <w:vAlign w:val="center"/>
          </w:tcPr>
          <w:p w14:paraId="0760ED79">
            <w:pPr>
              <w:keepNext w:val="0"/>
              <w:keepLines w:val="0"/>
              <w:widowControl/>
              <w:suppressLineNumbers w:val="0"/>
              <w:jc w:val="center"/>
              <w:textAlignment w:val="center"/>
              <w:rPr>
                <w:rFonts w:ascii="Times New Roman" w:hAnsi="Times New Roman" w:cs="Times New Roman"/>
                <w:sz w:val="21"/>
                <w:szCs w:val="21"/>
              </w:rPr>
            </w:pPr>
            <w:r>
              <w:rPr>
                <w:rStyle w:val="543"/>
                <w:rFonts w:hint="default" w:ascii="Times New Roman" w:hAnsi="Times New Roman" w:eastAsia="宋体" w:cs="Times New Roman"/>
                <w:b w:val="0"/>
                <w:bCs w:val="0"/>
                <w:color w:val="auto"/>
                <w:sz w:val="21"/>
                <w:szCs w:val="21"/>
                <w:highlight w:val="none"/>
                <w:lang w:val="en-US" w:eastAsia="zh-CN" w:bidi="ar"/>
              </w:rPr>
              <w:t>总悬浮颗粒物</w:t>
            </w:r>
          </w:p>
        </w:tc>
        <w:tc>
          <w:tcPr>
            <w:tcW w:w="3911" w:type="dxa"/>
            <w:noWrap w:val="0"/>
            <w:vAlign w:val="center"/>
          </w:tcPr>
          <w:p w14:paraId="595FEBB4">
            <w:pPr>
              <w:keepNext w:val="0"/>
              <w:keepLines w:val="0"/>
              <w:widowControl/>
              <w:suppressLineNumbers w:val="0"/>
              <w:jc w:val="center"/>
              <w:textAlignment w:val="center"/>
              <w:rPr>
                <w:rFonts w:hint="default" w:ascii="Times New Roman" w:hAnsi="Times New Roman" w:eastAsia="宋体" w:cs="Times New Roman"/>
                <w:b w:val="0"/>
                <w:bCs w:val="0"/>
                <w:i w:val="0"/>
                <w:iCs w:val="0"/>
                <w:color w:val="auto"/>
                <w:kern w:val="0"/>
                <w:sz w:val="21"/>
                <w:szCs w:val="21"/>
                <w:highlight w:val="none"/>
                <w:u w:val="none"/>
                <w:lang w:val="en-US" w:eastAsia="zh-CN" w:bidi="ar"/>
              </w:rPr>
            </w:pPr>
            <w:r>
              <w:rPr>
                <w:rStyle w:val="543"/>
                <w:rFonts w:hint="default" w:ascii="Times New Roman" w:hAnsi="Times New Roman" w:eastAsia="宋体" w:cs="Times New Roman"/>
                <w:b w:val="0"/>
                <w:bCs w:val="0"/>
                <w:color w:val="auto"/>
                <w:sz w:val="21"/>
                <w:szCs w:val="21"/>
                <w:highlight w:val="none"/>
                <w:lang w:val="en-US" w:eastAsia="zh-CN" w:bidi="ar"/>
              </w:rPr>
              <w:t>环境空气</w:t>
            </w:r>
            <w:r>
              <w:rPr>
                <w:rFonts w:hint="default" w:ascii="Times New Roman" w:hAnsi="Times New Roman" w:eastAsia="宋体" w:cs="Times New Roman"/>
                <w:b w:val="0"/>
                <w:bCs w:val="0"/>
                <w:i w:val="0"/>
                <w:iCs w:val="0"/>
                <w:color w:val="auto"/>
                <w:kern w:val="0"/>
                <w:sz w:val="21"/>
                <w:szCs w:val="21"/>
                <w:highlight w:val="none"/>
                <w:u w:val="none"/>
                <w:lang w:val="en-US" w:eastAsia="zh-CN" w:bidi="ar"/>
              </w:rPr>
              <w:t xml:space="preserve"> </w:t>
            </w:r>
            <w:r>
              <w:rPr>
                <w:rStyle w:val="543"/>
                <w:rFonts w:hint="default" w:ascii="Times New Roman" w:hAnsi="Times New Roman" w:eastAsia="宋体" w:cs="Times New Roman"/>
                <w:b w:val="0"/>
                <w:bCs w:val="0"/>
                <w:color w:val="auto"/>
                <w:sz w:val="21"/>
                <w:szCs w:val="21"/>
                <w:highlight w:val="none"/>
                <w:lang w:val="en-US" w:eastAsia="zh-CN" w:bidi="ar"/>
              </w:rPr>
              <w:t>总悬浮颗粒物的测定</w:t>
            </w:r>
          </w:p>
          <w:p w14:paraId="4C8C234D">
            <w:pPr>
              <w:keepNext w:val="0"/>
              <w:keepLines w:val="0"/>
              <w:widowControl/>
              <w:suppressLineNumbers w:val="0"/>
              <w:jc w:val="center"/>
              <w:textAlignment w:val="center"/>
              <w:rPr>
                <w:rFonts w:ascii="Times New Roman" w:hAnsi="Times New Roman" w:cs="Times New Roman"/>
                <w:sz w:val="21"/>
                <w:szCs w:val="21"/>
              </w:rPr>
            </w:pPr>
            <w:r>
              <w:rPr>
                <w:rStyle w:val="543"/>
                <w:rFonts w:hint="default" w:ascii="Times New Roman" w:hAnsi="Times New Roman" w:eastAsia="宋体" w:cs="Times New Roman"/>
                <w:b w:val="0"/>
                <w:bCs w:val="0"/>
                <w:color w:val="auto"/>
                <w:sz w:val="21"/>
                <w:szCs w:val="21"/>
                <w:highlight w:val="none"/>
                <w:lang w:val="en-US" w:eastAsia="zh-CN" w:bidi="ar"/>
              </w:rPr>
              <w:t>重量法</w:t>
            </w:r>
            <w:r>
              <w:rPr>
                <w:rFonts w:hint="default" w:ascii="Times New Roman" w:hAnsi="Times New Roman" w:eastAsia="宋体" w:cs="Times New Roman"/>
                <w:b w:val="0"/>
                <w:bCs w:val="0"/>
                <w:i w:val="0"/>
                <w:iCs w:val="0"/>
                <w:color w:val="auto"/>
                <w:kern w:val="0"/>
                <w:sz w:val="21"/>
                <w:szCs w:val="21"/>
                <w:highlight w:val="none"/>
                <w:u w:val="none"/>
                <w:lang w:val="en-US" w:eastAsia="zh-CN" w:bidi="ar"/>
              </w:rPr>
              <w:t xml:space="preserve"> HJ 1263-2022</w:t>
            </w:r>
          </w:p>
        </w:tc>
        <w:tc>
          <w:tcPr>
            <w:tcW w:w="1500" w:type="dxa"/>
            <w:noWrap w:val="0"/>
            <w:vAlign w:val="center"/>
          </w:tcPr>
          <w:p w14:paraId="26E4AADC">
            <w:pPr>
              <w:keepNext w:val="0"/>
              <w:keepLines w:val="0"/>
              <w:widowControl/>
              <w:suppressLineNumbers w:val="0"/>
              <w:jc w:val="center"/>
              <w:textAlignment w:val="center"/>
              <w:rPr>
                <w:rFonts w:hint="default" w:ascii="Times New Roman" w:hAnsi="Times New Roman" w:eastAsia="宋体" w:cs="Times New Roman"/>
                <w:b w:val="0"/>
                <w:bCs w:val="0"/>
                <w:i w:val="0"/>
                <w:iCs w:val="0"/>
                <w:color w:val="auto"/>
                <w:kern w:val="0"/>
                <w:sz w:val="21"/>
                <w:szCs w:val="21"/>
                <w:u w:val="none"/>
                <w:lang w:val="en-US" w:eastAsia="zh-CN" w:bidi="ar"/>
              </w:rPr>
            </w:pPr>
            <w:r>
              <w:rPr>
                <w:rFonts w:hint="default" w:ascii="Times New Roman" w:hAnsi="Times New Roman" w:eastAsia="宋体" w:cs="Times New Roman"/>
                <w:b w:val="0"/>
                <w:bCs w:val="0"/>
                <w:i w:val="0"/>
                <w:iCs w:val="0"/>
                <w:color w:val="auto"/>
                <w:kern w:val="0"/>
                <w:sz w:val="21"/>
                <w:szCs w:val="21"/>
                <w:u w:val="none"/>
                <w:lang w:val="en-US" w:eastAsia="zh-CN" w:bidi="ar"/>
              </w:rPr>
              <w:t>电子天平</w:t>
            </w:r>
          </w:p>
          <w:p w14:paraId="53528C73">
            <w:pPr>
              <w:keepNext w:val="0"/>
              <w:keepLines w:val="0"/>
              <w:widowControl/>
              <w:suppressLineNumbers w:val="0"/>
              <w:jc w:val="center"/>
              <w:textAlignment w:val="center"/>
              <w:rPr>
                <w:rFonts w:ascii="Times New Roman" w:hAnsi="Times New Roman" w:cs="Times New Roman"/>
                <w:sz w:val="21"/>
                <w:szCs w:val="21"/>
              </w:rPr>
            </w:pPr>
            <w:r>
              <w:rPr>
                <w:rFonts w:hint="default" w:ascii="Times New Roman" w:hAnsi="Times New Roman" w:eastAsia="宋体" w:cs="Times New Roman"/>
                <w:b w:val="0"/>
                <w:bCs w:val="0"/>
                <w:i w:val="0"/>
                <w:iCs w:val="0"/>
                <w:color w:val="auto"/>
                <w:kern w:val="0"/>
                <w:sz w:val="21"/>
                <w:szCs w:val="21"/>
                <w:u w:val="none"/>
                <w:lang w:val="en-US" w:eastAsia="zh-CN" w:bidi="ar"/>
              </w:rPr>
              <w:t>ESJ50-5B</w:t>
            </w:r>
          </w:p>
        </w:tc>
        <w:tc>
          <w:tcPr>
            <w:tcW w:w="1564" w:type="dxa"/>
            <w:noWrap w:val="0"/>
            <w:vAlign w:val="center"/>
          </w:tcPr>
          <w:p w14:paraId="1E607833">
            <w:pPr>
              <w:keepNext w:val="0"/>
              <w:keepLines w:val="0"/>
              <w:widowControl/>
              <w:suppressLineNumbers w:val="0"/>
              <w:jc w:val="center"/>
              <w:textAlignment w:val="center"/>
              <w:rPr>
                <w:rFonts w:hint="eastAsia" w:ascii="Times New Roman" w:hAnsi="Times New Roman" w:cs="Times New Roman"/>
                <w:sz w:val="21"/>
                <w:szCs w:val="21"/>
              </w:rPr>
            </w:pPr>
            <w:r>
              <w:rPr>
                <w:rFonts w:hint="default" w:ascii="Times New Roman" w:hAnsi="Times New Roman" w:eastAsia="宋体" w:cs="Times New Roman"/>
                <w:b w:val="0"/>
                <w:bCs w:val="0"/>
                <w:i w:val="0"/>
                <w:iCs w:val="0"/>
                <w:color w:val="auto"/>
                <w:kern w:val="0"/>
                <w:sz w:val="21"/>
                <w:szCs w:val="21"/>
                <w:u w:val="none"/>
                <w:lang w:val="en-US" w:eastAsia="zh-CN" w:bidi="ar"/>
              </w:rPr>
              <w:t>7</w:t>
            </w:r>
            <w:r>
              <w:rPr>
                <w:rFonts w:hint="default" w:ascii="Times New Roman" w:hAnsi="Times New Roman" w:eastAsia="宋体" w:cs="Times New Roman"/>
                <w:b w:val="0"/>
                <w:bCs w:val="0"/>
                <w:color w:val="auto"/>
                <w:kern w:val="0"/>
                <w:sz w:val="21"/>
                <w:szCs w:val="21"/>
                <w:highlight w:val="none"/>
                <w:lang w:val="en-US" w:eastAsia="zh-CN"/>
              </w:rPr>
              <w:t>μ</w:t>
            </w:r>
            <w:r>
              <w:rPr>
                <w:rFonts w:hint="default" w:ascii="Times New Roman" w:hAnsi="Times New Roman" w:eastAsia="宋体" w:cs="Times New Roman"/>
                <w:b w:val="0"/>
                <w:bCs w:val="0"/>
                <w:i w:val="0"/>
                <w:iCs w:val="0"/>
                <w:color w:val="auto"/>
                <w:kern w:val="0"/>
                <w:sz w:val="21"/>
                <w:szCs w:val="21"/>
                <w:u w:val="none"/>
                <w:lang w:val="en-US" w:eastAsia="zh-CN" w:bidi="ar"/>
              </w:rPr>
              <w:t>g/m</w:t>
            </w:r>
            <w:r>
              <w:rPr>
                <w:rFonts w:hint="default" w:ascii="Times New Roman" w:hAnsi="Times New Roman" w:eastAsia="宋体" w:cs="Times New Roman"/>
                <w:b w:val="0"/>
                <w:bCs w:val="0"/>
                <w:i w:val="0"/>
                <w:iCs w:val="0"/>
                <w:color w:val="auto"/>
                <w:kern w:val="0"/>
                <w:sz w:val="21"/>
                <w:szCs w:val="21"/>
                <w:u w:val="none"/>
                <w:vertAlign w:val="superscript"/>
                <w:lang w:val="en-US" w:eastAsia="zh-CN" w:bidi="ar"/>
              </w:rPr>
              <w:t>3</w:t>
            </w:r>
          </w:p>
        </w:tc>
      </w:tr>
      <w:tr w14:paraId="7889265D">
        <w:tblPrEx>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656" w:type="dxa"/>
            <w:noWrap w:val="0"/>
            <w:vAlign w:val="center"/>
          </w:tcPr>
          <w:p w14:paraId="1C784230">
            <w:pPr>
              <w:spacing w:line="240" w:lineRule="auto"/>
              <w:jc w:val="center"/>
              <w:rPr>
                <w:rFonts w:hint="default" w:ascii="Times New Roman" w:hAnsi="Times New Roman" w:eastAsia="宋体" w:cs="Times New Roman"/>
                <w:b w:val="0"/>
                <w:bCs w:val="0"/>
                <w:color w:val="000000"/>
                <w:kern w:val="2"/>
                <w:sz w:val="21"/>
                <w:szCs w:val="21"/>
                <w:u w:val="none"/>
                <w:vertAlign w:val="baseline"/>
                <w:lang w:val="en-US" w:eastAsia="zh-CN" w:bidi="ar-SA"/>
              </w:rPr>
            </w:pPr>
            <w:r>
              <w:rPr>
                <w:rFonts w:hint="default" w:ascii="Times New Roman" w:hAnsi="Times New Roman" w:eastAsia="宋体" w:cs="Times New Roman"/>
                <w:b w:val="0"/>
                <w:bCs w:val="0"/>
                <w:color w:val="000000"/>
                <w:kern w:val="2"/>
                <w:sz w:val="21"/>
                <w:szCs w:val="21"/>
                <w:u w:val="none"/>
                <w:vertAlign w:val="baseline"/>
                <w:lang w:val="en-US" w:eastAsia="zh-CN" w:bidi="ar-SA"/>
              </w:rPr>
              <w:t>二噁英类</w:t>
            </w:r>
          </w:p>
        </w:tc>
        <w:tc>
          <w:tcPr>
            <w:tcW w:w="3911" w:type="dxa"/>
            <w:noWrap w:val="0"/>
            <w:vAlign w:val="center"/>
          </w:tcPr>
          <w:p w14:paraId="2B6EDC13">
            <w:pPr>
              <w:spacing w:line="240" w:lineRule="auto"/>
              <w:jc w:val="center"/>
              <w:rPr>
                <w:rFonts w:hint="default" w:ascii="Times New Roman" w:hAnsi="Times New Roman" w:eastAsia="宋体" w:cs="Times New Roman"/>
                <w:b w:val="0"/>
                <w:bCs w:val="0"/>
                <w:color w:val="000000"/>
                <w:kern w:val="2"/>
                <w:sz w:val="21"/>
                <w:szCs w:val="21"/>
                <w:u w:val="none"/>
                <w:vertAlign w:val="baseline"/>
                <w:lang w:val="en-US" w:eastAsia="zh-CN" w:bidi="ar-SA"/>
              </w:rPr>
            </w:pPr>
            <w:r>
              <w:rPr>
                <w:rFonts w:hint="default" w:ascii="Times New Roman" w:hAnsi="Times New Roman" w:eastAsia="宋体" w:cs="Times New Roman"/>
                <w:b w:val="0"/>
                <w:bCs w:val="0"/>
                <w:color w:val="000000"/>
                <w:kern w:val="2"/>
                <w:sz w:val="21"/>
                <w:szCs w:val="21"/>
                <w:u w:val="none"/>
                <w:vertAlign w:val="baseline"/>
                <w:lang w:val="en-US" w:eastAsia="zh-CN" w:bidi="ar-SA"/>
              </w:rPr>
              <w:t>环境空气和废气 二噁英类的测定 同位素稀释高分辨气相色谱-高分辨质谱法(HJ 77.2-2008)</w:t>
            </w:r>
          </w:p>
        </w:tc>
        <w:tc>
          <w:tcPr>
            <w:tcW w:w="1500" w:type="dxa"/>
            <w:noWrap w:val="0"/>
            <w:vAlign w:val="center"/>
          </w:tcPr>
          <w:p w14:paraId="7FA011F6">
            <w:pPr>
              <w:spacing w:line="240" w:lineRule="auto"/>
              <w:jc w:val="center"/>
              <w:rPr>
                <w:rFonts w:hint="default" w:ascii="Times New Roman" w:hAnsi="Times New Roman" w:eastAsia="宋体" w:cs="Times New Roman"/>
                <w:b w:val="0"/>
                <w:bCs w:val="0"/>
                <w:color w:val="000000"/>
                <w:kern w:val="2"/>
                <w:sz w:val="21"/>
                <w:szCs w:val="21"/>
                <w:u w:val="none"/>
                <w:vertAlign w:val="baseline"/>
                <w:lang w:val="en-US" w:eastAsia="zh-CN" w:bidi="ar-SA"/>
              </w:rPr>
            </w:pPr>
            <w:r>
              <w:rPr>
                <w:rFonts w:hint="default" w:ascii="Times New Roman" w:hAnsi="Times New Roman" w:eastAsia="宋体" w:cs="Times New Roman"/>
                <w:b w:val="0"/>
                <w:bCs w:val="0"/>
                <w:color w:val="000000"/>
                <w:kern w:val="2"/>
                <w:sz w:val="21"/>
                <w:szCs w:val="21"/>
                <w:u w:val="none"/>
                <w:vertAlign w:val="baseline"/>
                <w:lang w:val="en-US" w:eastAsia="zh-CN" w:bidi="ar-SA"/>
              </w:rPr>
              <w:t>环境空气有机物采样器-ZR-3950型、高分辨气相色谱-高分辨磁式质谱联用仪-Trace1310/DFS</w:t>
            </w:r>
          </w:p>
        </w:tc>
        <w:tc>
          <w:tcPr>
            <w:tcW w:w="1564" w:type="dxa"/>
            <w:noWrap w:val="0"/>
            <w:vAlign w:val="center"/>
          </w:tcPr>
          <w:p w14:paraId="3D65A865">
            <w:pPr>
              <w:keepNext w:val="0"/>
              <w:keepLines w:val="0"/>
              <w:widowControl/>
              <w:suppressLineNumbers w:val="0"/>
              <w:jc w:val="center"/>
              <w:textAlignment w:val="center"/>
              <w:rPr>
                <w:rFonts w:hint="default" w:ascii="Times New Roman" w:hAnsi="Times New Roman" w:eastAsia="宋体" w:cs="Times New Roman"/>
                <w:b w:val="0"/>
                <w:bCs w:val="0"/>
                <w:i w:val="0"/>
                <w:iCs w:val="0"/>
                <w:color w:val="auto"/>
                <w:kern w:val="0"/>
                <w:sz w:val="21"/>
                <w:szCs w:val="21"/>
                <w:u w:val="none"/>
                <w:lang w:val="en-US" w:eastAsia="zh-CN" w:bidi="ar"/>
              </w:rPr>
            </w:pPr>
            <w:r>
              <w:rPr>
                <w:rFonts w:hint="eastAsia" w:ascii="Times New Roman" w:hAnsi="Times New Roman" w:eastAsia="宋体" w:cs="Times New Roman"/>
                <w:b w:val="0"/>
                <w:bCs w:val="0"/>
                <w:i w:val="0"/>
                <w:iCs w:val="0"/>
                <w:color w:val="auto"/>
                <w:kern w:val="0"/>
                <w:sz w:val="21"/>
                <w:szCs w:val="21"/>
                <w:u w:val="none"/>
                <w:lang w:val="en-US" w:eastAsia="zh-CN" w:bidi="ar"/>
              </w:rPr>
              <w:t>-</w:t>
            </w:r>
          </w:p>
        </w:tc>
      </w:tr>
    </w:tbl>
    <w:p w14:paraId="59B2F5B4">
      <w:pPr>
        <w:spacing w:line="500" w:lineRule="exact"/>
        <w:ind w:firstLine="482" w:firstLineChars="200"/>
        <w:rPr>
          <w:rFonts w:ascii="Times New Roman" w:hAnsi="Times New Roman" w:cs="Times New Roman"/>
          <w:b/>
        </w:rPr>
      </w:pPr>
      <w:r>
        <w:rPr>
          <w:rFonts w:ascii="Times New Roman" w:hAnsi="Times New Roman" w:cs="Times New Roman"/>
          <w:b/>
        </w:rPr>
        <w:t>（5）评价标准</w:t>
      </w:r>
    </w:p>
    <w:p w14:paraId="7BF84D71">
      <w:pPr>
        <w:spacing w:line="500" w:lineRule="exact"/>
        <w:ind w:firstLine="480" w:firstLineChars="200"/>
        <w:jc w:val="both"/>
        <w:rPr>
          <w:rFonts w:ascii="Times New Roman" w:hAnsi="Times New Roman" w:cs="Times New Roman"/>
          <w:highlight w:val="yellow"/>
        </w:rPr>
      </w:pPr>
      <w:r>
        <w:rPr>
          <w:rFonts w:hint="eastAsia" w:ascii="Times New Roman" w:hAnsi="Times New Roman" w:cs="Times New Roman"/>
          <w:highlight w:val="none"/>
        </w:rPr>
        <w:t>总悬浮颗粒</w:t>
      </w:r>
      <w:r>
        <w:rPr>
          <w:rFonts w:hint="eastAsia" w:ascii="Times New Roman" w:hAnsi="Times New Roman" w:eastAsia="宋体" w:cs="Times New Roman"/>
          <w:highlight w:val="none"/>
        </w:rPr>
        <w:t>物、</w:t>
      </w:r>
      <w:r>
        <w:rPr>
          <w:rFonts w:hint="default" w:ascii="Times New Roman" w:hAnsi="Times New Roman" w:eastAsia="宋体" w:cs="Times New Roman"/>
          <w:highlight w:val="none"/>
          <w:lang w:val="en-US" w:eastAsia="zh-CN"/>
        </w:rPr>
        <w:t>氮氧化物</w:t>
      </w:r>
      <w:r>
        <w:rPr>
          <w:rFonts w:hint="eastAsia" w:ascii="Times New Roman" w:hAnsi="Times New Roman" w:eastAsia="宋体" w:cs="Times New Roman"/>
          <w:highlight w:val="none"/>
          <w:lang w:val="en-US" w:eastAsia="zh-CN"/>
        </w:rPr>
        <w:t>、</w:t>
      </w:r>
      <w:r>
        <w:rPr>
          <w:rFonts w:hint="eastAsia" w:ascii="Times New Roman" w:hAnsi="Times New Roman" w:eastAsia="宋体" w:cs="Times New Roman"/>
          <w:highlight w:val="none"/>
        </w:rPr>
        <w:t>氟</w:t>
      </w:r>
      <w:r>
        <w:rPr>
          <w:rFonts w:hint="eastAsia" w:ascii="Times New Roman" w:hAnsi="Times New Roman" w:cs="Times New Roman"/>
          <w:highlight w:val="none"/>
        </w:rPr>
        <w:t>化物浓度满足《环境空气质量标准》（GB3095-20</w:t>
      </w:r>
      <w:r>
        <w:rPr>
          <w:rFonts w:hint="eastAsia" w:ascii="Times New Roman" w:hAnsi="Times New Roman" w:cs="Times New Roman"/>
          <w:highlight w:val="none"/>
          <w:lang w:val="en-US" w:eastAsia="zh-CN"/>
        </w:rPr>
        <w:t>26</w:t>
      </w:r>
      <w:r>
        <w:rPr>
          <w:rFonts w:hint="eastAsia" w:ascii="Times New Roman" w:hAnsi="Times New Roman" w:cs="Times New Roman"/>
          <w:highlight w:val="none"/>
        </w:rPr>
        <w:t>）中二级标准的要求；氨气满足《环境影响评价技术导则 大气环境》（HJ 2.2-2018）附录中标准限值要求；二噁英浓度满足日本环境厅中央环境审议会议制定的环境标准。</w:t>
      </w:r>
    </w:p>
    <w:p w14:paraId="732C34A7">
      <w:pPr>
        <w:spacing w:line="500" w:lineRule="exact"/>
        <w:ind w:firstLine="482"/>
        <w:rPr>
          <w:rFonts w:ascii="Times New Roman" w:hAnsi="Times New Roman" w:cs="Times New Roman"/>
          <w:b/>
        </w:rPr>
      </w:pPr>
      <w:r>
        <w:rPr>
          <w:rFonts w:ascii="Times New Roman" w:hAnsi="Times New Roman" w:cs="Times New Roman"/>
          <w:b/>
        </w:rPr>
        <w:t>（6）环境现状监测结果统计</w:t>
      </w:r>
    </w:p>
    <w:p w14:paraId="0BA4CB7B">
      <w:pPr>
        <w:spacing w:line="500" w:lineRule="exact"/>
        <w:ind w:left="482"/>
        <w:rPr>
          <w:rFonts w:ascii="Times New Roman" w:hAnsi="Times New Roman" w:cs="Times New Roman"/>
          <w:b/>
        </w:rPr>
      </w:pPr>
      <w:r>
        <w:rPr>
          <w:rFonts w:hint="eastAsia"/>
          <w:b/>
        </w:rPr>
        <w:t>①</w:t>
      </w:r>
      <w:r>
        <w:rPr>
          <w:rFonts w:ascii="Times New Roman" w:hAnsi="Times New Roman" w:cs="Times New Roman"/>
          <w:b/>
        </w:rPr>
        <w:t>统计方法</w:t>
      </w:r>
    </w:p>
    <w:p w14:paraId="35FA38D0">
      <w:pPr>
        <w:spacing w:line="500" w:lineRule="exact"/>
        <w:ind w:firstLine="482"/>
        <w:rPr>
          <w:rFonts w:ascii="Times New Roman" w:hAnsi="Times New Roman" w:cs="Times New Roman"/>
        </w:rPr>
      </w:pPr>
      <w:r>
        <w:rPr>
          <w:rFonts w:ascii="Times New Roman" w:hAnsi="Times New Roman" w:cs="Times New Roman"/>
        </w:rPr>
        <w:t>对各监测点的原始数据进行整理，对各污染物一次浓度范围、一次最高值、日浓度波动范围、一次值及日均值超标率、超标浓度、浓度日变化规律等进行分析统计和评价。统计方法如下：</w:t>
      </w:r>
    </w:p>
    <w:p w14:paraId="49DF34BB">
      <w:pPr>
        <w:ind w:firstLine="480"/>
        <w:rPr>
          <w:rFonts w:ascii="Times New Roman" w:hAnsi="Times New Roman" w:cs="Times New Roman"/>
        </w:rPr>
      </w:pPr>
      <w:r>
        <w:rPr>
          <w:rFonts w:ascii="Times New Roman" w:hAnsi="Times New Roman" w:cs="Times New Roman"/>
        </w:rPr>
        <w:t>检出率=</w:t>
      </w:r>
      <w:r>
        <w:rPr>
          <w:rFonts w:ascii="Times New Roman" w:hAnsi="Times New Roman" w:cs="Times New Roman"/>
          <w:position w:val="-26"/>
        </w:rPr>
        <w:object>
          <v:shape id="_x0000_i1026" o:spt="75" type="#_x0000_t75" style="height:33.3pt;width:53.25pt;" o:ole="t" fillcolor="#6D6D6D" filled="f" o:preferrelative="t" stroked="f" coordsize="21600,21600">
            <v:path/>
            <v:fill on="f" focussize="0,0"/>
            <v:stroke on="f"/>
            <v:imagedata r:id="rId49" o:title=""/>
            <o:lock v:ext="edit" aspectratio="t"/>
            <w10:wrap type="none"/>
            <w10:anchorlock/>
          </v:shape>
          <o:OLEObject Type="Embed" ProgID="Equation.3" ShapeID="_x0000_i1026" DrawAspect="Content" ObjectID="_1468075726" r:id="rId48">
            <o:LockedField>false</o:LockedField>
          </o:OLEObject>
        </w:object>
      </w:r>
      <w:r>
        <w:rPr>
          <w:rFonts w:ascii="Times New Roman" w:hAnsi="Times New Roman" w:cs="Times New Roman"/>
        </w:rPr>
        <w:t xml:space="preserve"> × 100%；       超标率=</w:t>
      </w:r>
      <w:r>
        <w:rPr>
          <w:rFonts w:ascii="Times New Roman" w:hAnsi="Times New Roman" w:cs="Times New Roman"/>
          <w:position w:val="-26"/>
        </w:rPr>
        <w:object>
          <v:shape id="_x0000_i1027" o:spt="75" type="#_x0000_t75" style="height:33.3pt;width:53.7pt;" o:ole="t" fillcolor="#6D6D6D" filled="f" o:preferrelative="t" stroked="f" coordsize="21600,21600">
            <v:path/>
            <v:fill on="f" focussize="0,0"/>
            <v:stroke on="f"/>
            <v:imagedata r:id="rId51" o:title=""/>
            <o:lock v:ext="edit" aspectratio="t"/>
            <w10:wrap type="none"/>
            <w10:anchorlock/>
          </v:shape>
          <o:OLEObject Type="Embed" ProgID="Equation.3" ShapeID="_x0000_i1027" DrawAspect="Content" ObjectID="_1468075727" r:id="rId50">
            <o:LockedField>false</o:LockedField>
          </o:OLEObject>
        </w:object>
      </w:r>
      <w:r>
        <w:rPr>
          <w:rFonts w:ascii="Times New Roman" w:hAnsi="Times New Roman" w:cs="Times New Roman"/>
        </w:rPr>
        <w:t xml:space="preserve"> × 100%</w:t>
      </w:r>
    </w:p>
    <w:p w14:paraId="1950991A">
      <w:pPr>
        <w:ind w:firstLine="480"/>
        <w:rPr>
          <w:rFonts w:ascii="Times New Roman" w:hAnsi="Times New Roman" w:cs="Times New Roman"/>
        </w:rPr>
      </w:pPr>
      <w:r>
        <w:rPr>
          <w:rFonts w:ascii="Times New Roman" w:hAnsi="Times New Roman" w:cs="Times New Roman"/>
        </w:rPr>
        <w:t>超标倍数=</w:t>
      </w:r>
      <w:r>
        <w:rPr>
          <w:rFonts w:ascii="Times New Roman" w:hAnsi="Times New Roman" w:cs="Times New Roman"/>
          <w:position w:val="-26"/>
        </w:rPr>
        <w:object>
          <v:shape id="_x0000_i1028" o:spt="75" type="#_x0000_t75" style="height:33.3pt;width:89.1pt;" o:ole="t" fillcolor="#6D6D6D" filled="f" o:preferrelative="t" stroked="f" coordsize="21600,21600">
            <v:path/>
            <v:fill on="f" focussize="0,0"/>
            <v:stroke on="f"/>
            <v:imagedata r:id="rId53" o:title=""/>
            <o:lock v:ext="edit" aspectratio="t"/>
            <w10:wrap type="none"/>
            <w10:anchorlock/>
          </v:shape>
          <o:OLEObject Type="Embed" ProgID="Equation.3" ShapeID="_x0000_i1028" DrawAspect="Content" ObjectID="_1468075728" r:id="rId52">
            <o:LockedField>false</o:LockedField>
          </o:OLEObject>
        </w:object>
      </w:r>
      <w:r>
        <w:rPr>
          <w:rFonts w:ascii="Times New Roman" w:hAnsi="Times New Roman" w:cs="Times New Roman"/>
        </w:rPr>
        <w:t>-1</w:t>
      </w:r>
    </w:p>
    <w:p w14:paraId="5C1AEF21">
      <w:pPr>
        <w:spacing w:line="500" w:lineRule="exact"/>
        <w:ind w:firstLine="482" w:firstLineChars="200"/>
        <w:rPr>
          <w:rFonts w:ascii="Times New Roman" w:hAnsi="Times New Roman" w:cs="Times New Roman"/>
          <w:b/>
        </w:rPr>
      </w:pPr>
      <w:r>
        <w:rPr>
          <w:rFonts w:hint="eastAsia"/>
          <w:b/>
        </w:rPr>
        <w:t>②</w:t>
      </w:r>
      <w:r>
        <w:rPr>
          <w:rFonts w:ascii="Times New Roman" w:hAnsi="Times New Roman" w:cs="Times New Roman"/>
          <w:b/>
        </w:rPr>
        <w:t>监测期间气象参数</w:t>
      </w:r>
    </w:p>
    <w:p w14:paraId="16D0D149">
      <w:pPr>
        <w:spacing w:line="500" w:lineRule="exact"/>
        <w:ind w:firstLine="480" w:firstLineChars="200"/>
        <w:rPr>
          <w:rFonts w:ascii="Times New Roman" w:hAnsi="Times New Roman" w:cs="Times New Roman"/>
        </w:rPr>
      </w:pPr>
      <w:r>
        <w:rPr>
          <w:rFonts w:ascii="Times New Roman" w:hAnsi="Times New Roman" w:cs="Times New Roman"/>
        </w:rPr>
        <w:t>监测期间气象参数见表4.2-4。</w:t>
      </w:r>
    </w:p>
    <w:p w14:paraId="0385B547">
      <w:pPr>
        <w:spacing w:line="360" w:lineRule="auto"/>
        <w:jc w:val="center"/>
        <w:rPr>
          <w:rFonts w:ascii="Times New Roman" w:hAnsi="Times New Roman" w:eastAsia="黑体" w:cs="Times New Roman"/>
          <w:lang w:val="zh-CN"/>
        </w:rPr>
      </w:pPr>
      <w:r>
        <w:rPr>
          <w:rFonts w:ascii="Times New Roman" w:hAnsi="Times New Roman" w:eastAsia="黑体" w:cs="Times New Roman"/>
          <w:lang w:val="zh-CN"/>
        </w:rPr>
        <w:t>表4.2-4  环境空气监测期间气象参数统计表</w:t>
      </w:r>
    </w:p>
    <w:tbl>
      <w:tblPr>
        <w:tblStyle w:val="56"/>
        <w:tblW w:w="8504" w:type="dxa"/>
        <w:jc w:val="center"/>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1584"/>
        <w:gridCol w:w="1384"/>
        <w:gridCol w:w="1384"/>
        <w:gridCol w:w="1163"/>
        <w:gridCol w:w="1335"/>
        <w:gridCol w:w="1654"/>
      </w:tblGrid>
      <w:tr w14:paraId="773C5B58">
        <w:tblPrEx>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blHeader/>
          <w:jc w:val="center"/>
        </w:trPr>
        <w:tc>
          <w:tcPr>
            <w:tcW w:w="1584" w:type="dxa"/>
            <w:vMerge w:val="restart"/>
            <w:shd w:val="clear" w:color="auto" w:fill="D9D9D9"/>
            <w:noWrap w:val="0"/>
            <w:vAlign w:val="center"/>
          </w:tcPr>
          <w:p w14:paraId="384E5B2D">
            <w:pPr>
              <w:jc w:val="center"/>
              <w:textAlignment w:val="center"/>
              <w:rPr>
                <w:rFonts w:ascii="Times New Roman" w:hAnsi="Times New Roman" w:cs="Times New Roman"/>
                <w:sz w:val="21"/>
                <w:szCs w:val="21"/>
              </w:rPr>
            </w:pPr>
            <w:r>
              <w:rPr>
                <w:rFonts w:ascii="Times New Roman" w:hAnsi="Times New Roman" w:cs="Times New Roman"/>
                <w:sz w:val="21"/>
                <w:szCs w:val="21"/>
              </w:rPr>
              <w:t>检测日期</w:t>
            </w:r>
          </w:p>
        </w:tc>
        <w:tc>
          <w:tcPr>
            <w:tcW w:w="6920" w:type="dxa"/>
            <w:gridSpan w:val="5"/>
            <w:shd w:val="clear" w:color="auto" w:fill="D9D9D9"/>
            <w:noWrap w:val="0"/>
            <w:vAlign w:val="center"/>
          </w:tcPr>
          <w:p w14:paraId="7E7DEB84">
            <w:pPr>
              <w:jc w:val="center"/>
              <w:textAlignment w:val="center"/>
              <w:rPr>
                <w:rFonts w:ascii="Times New Roman" w:hAnsi="Times New Roman" w:cs="Times New Roman"/>
                <w:sz w:val="21"/>
                <w:szCs w:val="21"/>
              </w:rPr>
            </w:pPr>
            <w:r>
              <w:rPr>
                <w:rFonts w:ascii="Times New Roman" w:hAnsi="Times New Roman" w:cs="Times New Roman"/>
                <w:sz w:val="21"/>
                <w:szCs w:val="21"/>
              </w:rPr>
              <w:t>气象参数</w:t>
            </w:r>
          </w:p>
        </w:tc>
      </w:tr>
      <w:tr w14:paraId="7F5C8DBE">
        <w:tblPrEx>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blHeader/>
          <w:jc w:val="center"/>
        </w:trPr>
        <w:tc>
          <w:tcPr>
            <w:tcW w:w="1584" w:type="dxa"/>
            <w:vMerge w:val="continue"/>
            <w:shd w:val="clear" w:color="auto" w:fill="D9D9D9"/>
            <w:noWrap w:val="0"/>
            <w:vAlign w:val="center"/>
          </w:tcPr>
          <w:p w14:paraId="2E001CFC">
            <w:pPr>
              <w:jc w:val="center"/>
              <w:textAlignment w:val="center"/>
              <w:rPr>
                <w:rFonts w:ascii="Times New Roman" w:hAnsi="Times New Roman" w:cs="Times New Roman"/>
                <w:sz w:val="21"/>
                <w:szCs w:val="21"/>
              </w:rPr>
            </w:pPr>
          </w:p>
        </w:tc>
        <w:tc>
          <w:tcPr>
            <w:tcW w:w="1384" w:type="dxa"/>
            <w:shd w:val="clear" w:color="auto" w:fill="D9D9D9"/>
            <w:noWrap w:val="0"/>
            <w:vAlign w:val="center"/>
          </w:tcPr>
          <w:p w14:paraId="036AFE58">
            <w:pPr>
              <w:jc w:val="center"/>
              <w:outlineLvl w:val="0"/>
              <w:rPr>
                <w:rFonts w:ascii="Times New Roman" w:hAnsi="Times New Roman" w:cs="Times New Roman"/>
                <w:sz w:val="21"/>
                <w:szCs w:val="21"/>
              </w:rPr>
            </w:pPr>
            <w:bookmarkStart w:id="375" w:name="_Toc27805"/>
            <w:bookmarkStart w:id="376" w:name="_Toc29758"/>
            <w:r>
              <w:rPr>
                <w:rFonts w:hint="default" w:ascii="Times New Roman" w:hAnsi="Times New Roman" w:eastAsia="宋体" w:cs="Times New Roman"/>
                <w:b/>
                <w:bCs w:val="0"/>
                <w:color w:val="auto"/>
                <w:sz w:val="21"/>
                <w:szCs w:val="21"/>
                <w:vertAlign w:val="baseline"/>
                <w:lang w:val="en-US" w:eastAsia="zh-CN"/>
              </w:rPr>
              <w:t>天气情况</w:t>
            </w:r>
            <w:bookmarkEnd w:id="375"/>
            <w:bookmarkEnd w:id="376"/>
          </w:p>
        </w:tc>
        <w:tc>
          <w:tcPr>
            <w:tcW w:w="1384" w:type="dxa"/>
            <w:shd w:val="clear" w:color="auto" w:fill="D9D9D9"/>
            <w:noWrap w:val="0"/>
            <w:vAlign w:val="center"/>
          </w:tcPr>
          <w:p w14:paraId="354E9ED1">
            <w:pPr>
              <w:jc w:val="center"/>
              <w:outlineLvl w:val="0"/>
              <w:rPr>
                <w:rFonts w:ascii="Times New Roman" w:hAnsi="Times New Roman" w:cs="Times New Roman"/>
                <w:sz w:val="21"/>
                <w:szCs w:val="21"/>
              </w:rPr>
            </w:pPr>
            <w:bookmarkStart w:id="377" w:name="_Toc12276"/>
            <w:bookmarkStart w:id="378" w:name="_Toc17527"/>
            <w:r>
              <w:rPr>
                <w:rFonts w:hint="default" w:ascii="Times New Roman" w:hAnsi="Times New Roman" w:eastAsia="宋体" w:cs="Times New Roman"/>
                <w:b/>
                <w:bCs w:val="0"/>
                <w:color w:val="auto"/>
                <w:sz w:val="21"/>
                <w:szCs w:val="21"/>
                <w:vertAlign w:val="baseline"/>
                <w:lang w:val="en-US" w:eastAsia="zh-CN"/>
              </w:rPr>
              <w:t>风速</w:t>
            </w:r>
            <w:bookmarkEnd w:id="377"/>
            <w:bookmarkEnd w:id="378"/>
          </w:p>
        </w:tc>
        <w:tc>
          <w:tcPr>
            <w:tcW w:w="1163" w:type="dxa"/>
            <w:shd w:val="clear" w:color="auto" w:fill="D9D9D9"/>
            <w:noWrap w:val="0"/>
            <w:vAlign w:val="center"/>
          </w:tcPr>
          <w:p w14:paraId="0C8654C1">
            <w:pPr>
              <w:jc w:val="center"/>
              <w:outlineLvl w:val="0"/>
              <w:rPr>
                <w:rFonts w:ascii="Times New Roman" w:hAnsi="Times New Roman" w:cs="Times New Roman"/>
                <w:sz w:val="21"/>
                <w:szCs w:val="21"/>
              </w:rPr>
            </w:pPr>
            <w:bookmarkStart w:id="379" w:name="_Toc21213"/>
            <w:bookmarkStart w:id="380" w:name="_Toc29116"/>
            <w:r>
              <w:rPr>
                <w:rFonts w:hint="default" w:ascii="Times New Roman" w:hAnsi="Times New Roman" w:eastAsia="宋体" w:cs="Times New Roman"/>
                <w:b/>
                <w:bCs w:val="0"/>
                <w:color w:val="auto"/>
                <w:sz w:val="21"/>
                <w:szCs w:val="21"/>
                <w:vertAlign w:val="baseline"/>
                <w:lang w:val="en-US" w:eastAsia="zh-CN"/>
              </w:rPr>
              <w:t>风向</w:t>
            </w:r>
            <w:bookmarkEnd w:id="379"/>
            <w:bookmarkEnd w:id="380"/>
          </w:p>
        </w:tc>
        <w:tc>
          <w:tcPr>
            <w:tcW w:w="1335" w:type="dxa"/>
            <w:shd w:val="clear" w:color="auto" w:fill="D9D9D9"/>
            <w:noWrap w:val="0"/>
            <w:vAlign w:val="center"/>
          </w:tcPr>
          <w:p w14:paraId="045557D3">
            <w:pPr>
              <w:jc w:val="center"/>
              <w:outlineLvl w:val="0"/>
              <w:rPr>
                <w:rFonts w:ascii="Times New Roman" w:hAnsi="Times New Roman" w:cs="Times New Roman"/>
                <w:sz w:val="21"/>
                <w:szCs w:val="21"/>
              </w:rPr>
            </w:pPr>
            <w:bookmarkStart w:id="381" w:name="_Toc11150"/>
            <w:bookmarkStart w:id="382" w:name="_Toc14667"/>
            <w:r>
              <w:rPr>
                <w:rFonts w:hint="default" w:ascii="Times New Roman" w:hAnsi="Times New Roman" w:eastAsia="宋体" w:cs="Times New Roman"/>
                <w:b/>
                <w:bCs w:val="0"/>
                <w:color w:val="auto"/>
                <w:sz w:val="21"/>
                <w:szCs w:val="21"/>
                <w:vertAlign w:val="baseline"/>
                <w:lang w:val="en-US" w:eastAsia="zh-CN"/>
              </w:rPr>
              <w:t>温度</w:t>
            </w:r>
            <w:bookmarkEnd w:id="381"/>
            <w:bookmarkEnd w:id="382"/>
          </w:p>
        </w:tc>
        <w:tc>
          <w:tcPr>
            <w:tcW w:w="1654" w:type="dxa"/>
            <w:shd w:val="clear" w:color="auto" w:fill="D9D9D9"/>
            <w:noWrap w:val="0"/>
            <w:vAlign w:val="center"/>
          </w:tcPr>
          <w:p w14:paraId="3A76E832">
            <w:pPr>
              <w:jc w:val="center"/>
              <w:outlineLvl w:val="0"/>
              <w:rPr>
                <w:rFonts w:ascii="Times New Roman" w:hAnsi="Times New Roman" w:cs="Times New Roman"/>
                <w:sz w:val="21"/>
                <w:szCs w:val="21"/>
              </w:rPr>
            </w:pPr>
            <w:bookmarkStart w:id="383" w:name="_Toc5812"/>
            <w:bookmarkStart w:id="384" w:name="_Toc9962"/>
            <w:r>
              <w:rPr>
                <w:rFonts w:hint="default" w:ascii="Times New Roman" w:hAnsi="Times New Roman" w:eastAsia="宋体" w:cs="Times New Roman"/>
                <w:b/>
                <w:bCs w:val="0"/>
                <w:color w:val="auto"/>
                <w:sz w:val="21"/>
                <w:szCs w:val="21"/>
                <w:vertAlign w:val="baseline"/>
                <w:lang w:val="en-US" w:eastAsia="zh-CN"/>
              </w:rPr>
              <w:t>大气压</w:t>
            </w:r>
            <w:bookmarkEnd w:id="383"/>
            <w:bookmarkEnd w:id="384"/>
          </w:p>
        </w:tc>
      </w:tr>
      <w:tr w14:paraId="7107D52B">
        <w:tblPrEx>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584" w:type="dxa"/>
            <w:noWrap w:val="0"/>
            <w:vAlign w:val="center"/>
          </w:tcPr>
          <w:p w14:paraId="5BD0A385">
            <w:pPr>
              <w:keepNext w:val="0"/>
              <w:keepLines w:val="0"/>
              <w:widowControl/>
              <w:suppressLineNumbers w:val="0"/>
              <w:jc w:val="center"/>
              <w:textAlignment w:val="center"/>
              <w:rPr>
                <w:rFonts w:ascii="Times New Roman" w:hAnsi="Times New Roman" w:cs="Times New Roman"/>
                <w:szCs w:val="21"/>
              </w:rPr>
            </w:pPr>
            <w:r>
              <w:rPr>
                <w:rFonts w:hint="eastAsia" w:ascii="Times New Roman" w:hAnsi="Times New Roman" w:eastAsia="宋体" w:cs="Times New Roman"/>
                <w:b w:val="0"/>
                <w:bCs/>
                <w:color w:val="auto"/>
                <w:sz w:val="21"/>
                <w:szCs w:val="21"/>
                <w:vertAlign w:val="baseline"/>
                <w:lang w:val="en-US" w:eastAsia="zh-CN"/>
              </w:rPr>
              <w:t>2026.04.30</w:t>
            </w:r>
          </w:p>
        </w:tc>
        <w:tc>
          <w:tcPr>
            <w:tcW w:w="1384" w:type="dxa"/>
            <w:noWrap w:val="0"/>
            <w:vAlign w:val="center"/>
          </w:tcPr>
          <w:p w14:paraId="7A1C9C2B">
            <w:pPr>
              <w:keepNext w:val="0"/>
              <w:keepLines w:val="0"/>
              <w:widowControl/>
              <w:suppressLineNumbers w:val="0"/>
              <w:jc w:val="center"/>
              <w:textAlignment w:val="center"/>
              <w:rPr>
                <w:rFonts w:ascii="Times New Roman" w:hAnsi="Times New Roman" w:cs="Times New Roman"/>
                <w:szCs w:val="21"/>
                <w:lang w:bidi="ar"/>
              </w:rPr>
            </w:pPr>
            <w:r>
              <w:rPr>
                <w:rFonts w:hint="eastAsia" w:ascii="Times New Roman" w:hAnsi="Times New Roman" w:eastAsia="宋体" w:cs="Times New Roman"/>
                <w:b w:val="0"/>
                <w:bCs/>
                <w:color w:val="auto"/>
                <w:sz w:val="21"/>
                <w:szCs w:val="21"/>
                <w:vertAlign w:val="baseline"/>
                <w:lang w:val="en-US" w:eastAsia="zh-CN"/>
              </w:rPr>
              <w:t>晴</w:t>
            </w:r>
          </w:p>
        </w:tc>
        <w:tc>
          <w:tcPr>
            <w:tcW w:w="1384" w:type="dxa"/>
            <w:noWrap w:val="0"/>
            <w:vAlign w:val="center"/>
          </w:tcPr>
          <w:p w14:paraId="4F7B13CC">
            <w:pPr>
              <w:keepNext w:val="0"/>
              <w:keepLines w:val="0"/>
              <w:widowControl/>
              <w:suppressLineNumbers w:val="0"/>
              <w:jc w:val="center"/>
              <w:textAlignment w:val="center"/>
              <w:rPr>
                <w:rFonts w:ascii="Times New Roman" w:hAnsi="Times New Roman" w:cs="Times New Roman"/>
                <w:szCs w:val="21"/>
                <w:lang w:bidi="ar"/>
              </w:rPr>
            </w:pPr>
            <w:r>
              <w:rPr>
                <w:rFonts w:hint="eastAsia" w:ascii="Times New Roman" w:hAnsi="Times New Roman" w:eastAsia="宋体" w:cs="Times New Roman"/>
                <w:b w:val="0"/>
                <w:bCs/>
                <w:color w:val="auto"/>
                <w:sz w:val="21"/>
                <w:szCs w:val="21"/>
                <w:vertAlign w:val="baseline"/>
                <w:lang w:val="en-US" w:eastAsia="zh-CN"/>
              </w:rPr>
              <w:t>1.4-2.0</w:t>
            </w:r>
            <w:r>
              <w:rPr>
                <w:rFonts w:hint="default" w:ascii="Times New Roman" w:hAnsi="Times New Roman" w:eastAsia="宋体" w:cs="Times New Roman"/>
                <w:b w:val="0"/>
                <w:bCs/>
                <w:color w:val="auto"/>
                <w:sz w:val="21"/>
                <w:szCs w:val="21"/>
                <w:vertAlign w:val="baseline"/>
                <w:lang w:val="en-US" w:eastAsia="zh-CN"/>
              </w:rPr>
              <w:t>m/s</w:t>
            </w:r>
          </w:p>
        </w:tc>
        <w:tc>
          <w:tcPr>
            <w:tcW w:w="1163" w:type="dxa"/>
            <w:noWrap w:val="0"/>
            <w:vAlign w:val="center"/>
          </w:tcPr>
          <w:p w14:paraId="129C881B">
            <w:pPr>
              <w:keepNext w:val="0"/>
              <w:keepLines w:val="0"/>
              <w:widowControl/>
              <w:suppressLineNumbers w:val="0"/>
              <w:jc w:val="center"/>
              <w:textAlignment w:val="center"/>
              <w:rPr>
                <w:rFonts w:ascii="Times New Roman" w:hAnsi="Times New Roman" w:cs="Times New Roman"/>
                <w:szCs w:val="21"/>
                <w:lang w:bidi="ar"/>
              </w:rPr>
            </w:pPr>
            <w:r>
              <w:rPr>
                <w:rFonts w:hint="eastAsia" w:ascii="Times New Roman" w:hAnsi="Times New Roman" w:eastAsia="宋体" w:cs="Times New Roman"/>
                <w:b w:val="0"/>
                <w:bCs/>
                <w:color w:val="auto"/>
                <w:sz w:val="21"/>
                <w:szCs w:val="21"/>
                <w:vertAlign w:val="baseline"/>
                <w:lang w:val="en-US" w:eastAsia="zh-CN"/>
              </w:rPr>
              <w:t>西南</w:t>
            </w:r>
          </w:p>
        </w:tc>
        <w:tc>
          <w:tcPr>
            <w:tcW w:w="1335" w:type="dxa"/>
            <w:noWrap w:val="0"/>
            <w:vAlign w:val="center"/>
          </w:tcPr>
          <w:p w14:paraId="618ADFD9">
            <w:pPr>
              <w:keepNext w:val="0"/>
              <w:keepLines w:val="0"/>
              <w:widowControl/>
              <w:suppressLineNumbers w:val="0"/>
              <w:jc w:val="center"/>
              <w:textAlignment w:val="center"/>
              <w:rPr>
                <w:rFonts w:ascii="Times New Roman" w:hAnsi="Times New Roman" w:cs="Times New Roman"/>
                <w:szCs w:val="21"/>
                <w:lang w:bidi="ar"/>
              </w:rPr>
            </w:pPr>
            <w:r>
              <w:rPr>
                <w:rFonts w:hint="eastAsia" w:ascii="Times New Roman" w:hAnsi="Times New Roman" w:eastAsia="宋体" w:cs="Times New Roman"/>
                <w:b w:val="0"/>
                <w:bCs/>
                <w:color w:val="auto"/>
                <w:sz w:val="21"/>
                <w:szCs w:val="21"/>
                <w:vertAlign w:val="baseline"/>
                <w:lang w:val="en-US" w:eastAsia="zh-CN"/>
              </w:rPr>
              <w:t>8-25</w:t>
            </w:r>
            <w:r>
              <w:rPr>
                <w:rFonts w:hint="default" w:ascii="Times New Roman" w:hAnsi="Times New Roman" w:eastAsia="宋体" w:cs="Times New Roman"/>
                <w:b w:val="0"/>
                <w:bCs/>
                <w:color w:val="auto"/>
                <w:sz w:val="21"/>
                <w:szCs w:val="21"/>
                <w:vertAlign w:val="baseline"/>
                <w:lang w:val="en-US" w:eastAsia="zh-CN"/>
              </w:rPr>
              <w:t>℃</w:t>
            </w:r>
          </w:p>
        </w:tc>
        <w:tc>
          <w:tcPr>
            <w:tcW w:w="1654" w:type="dxa"/>
            <w:noWrap w:val="0"/>
            <w:vAlign w:val="center"/>
          </w:tcPr>
          <w:p w14:paraId="0849CBB8">
            <w:pPr>
              <w:keepNext w:val="0"/>
              <w:keepLines w:val="0"/>
              <w:widowControl/>
              <w:suppressLineNumbers w:val="0"/>
              <w:jc w:val="center"/>
              <w:textAlignment w:val="center"/>
              <w:rPr>
                <w:rFonts w:ascii="Times New Roman" w:hAnsi="Times New Roman" w:cs="Times New Roman"/>
                <w:szCs w:val="21"/>
              </w:rPr>
            </w:pPr>
            <w:r>
              <w:rPr>
                <w:rFonts w:hint="default" w:ascii="Times New Roman" w:hAnsi="Times New Roman" w:eastAsia="宋体" w:cs="Times New Roman"/>
                <w:b w:val="0"/>
                <w:bCs/>
                <w:color w:val="auto"/>
                <w:sz w:val="21"/>
                <w:szCs w:val="21"/>
                <w:vertAlign w:val="baseline"/>
                <w:lang w:val="en-US" w:eastAsia="zh-CN"/>
              </w:rPr>
              <w:t>99.8</w:t>
            </w:r>
            <w:r>
              <w:rPr>
                <w:rFonts w:hint="eastAsia" w:ascii="Times New Roman" w:hAnsi="Times New Roman" w:eastAsia="宋体" w:cs="Times New Roman"/>
                <w:b w:val="0"/>
                <w:bCs/>
                <w:color w:val="auto"/>
                <w:sz w:val="21"/>
                <w:szCs w:val="21"/>
                <w:vertAlign w:val="baseline"/>
                <w:lang w:val="en-US" w:eastAsia="zh-CN"/>
              </w:rPr>
              <w:t>-101.2</w:t>
            </w:r>
            <w:r>
              <w:rPr>
                <w:rFonts w:hint="default" w:ascii="Times New Roman" w:hAnsi="Times New Roman" w:eastAsia="宋体" w:cs="Times New Roman"/>
                <w:b w:val="0"/>
                <w:bCs/>
                <w:color w:val="auto"/>
                <w:sz w:val="21"/>
                <w:szCs w:val="21"/>
                <w:vertAlign w:val="baseline"/>
                <w:lang w:val="en-US" w:eastAsia="zh-CN"/>
              </w:rPr>
              <w:t>kPa</w:t>
            </w:r>
          </w:p>
        </w:tc>
      </w:tr>
      <w:tr w14:paraId="06359E1C">
        <w:tblPrEx>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584" w:type="dxa"/>
            <w:noWrap w:val="0"/>
            <w:vAlign w:val="center"/>
          </w:tcPr>
          <w:p w14:paraId="59A89579">
            <w:pPr>
              <w:keepNext w:val="0"/>
              <w:keepLines w:val="0"/>
              <w:widowControl/>
              <w:suppressLineNumbers w:val="0"/>
              <w:jc w:val="center"/>
              <w:textAlignment w:val="center"/>
              <w:rPr>
                <w:rFonts w:ascii="Times New Roman" w:hAnsi="Times New Roman" w:cs="Times New Roman"/>
                <w:szCs w:val="21"/>
              </w:rPr>
            </w:pPr>
            <w:r>
              <w:rPr>
                <w:rFonts w:hint="eastAsia" w:ascii="Times New Roman" w:hAnsi="Times New Roman" w:eastAsia="宋体" w:cs="Times New Roman"/>
                <w:b w:val="0"/>
                <w:bCs/>
                <w:color w:val="auto"/>
                <w:sz w:val="21"/>
                <w:szCs w:val="21"/>
                <w:vertAlign w:val="baseline"/>
                <w:lang w:val="en-US" w:eastAsia="zh-CN"/>
              </w:rPr>
              <w:t>2026.05.01</w:t>
            </w:r>
          </w:p>
        </w:tc>
        <w:tc>
          <w:tcPr>
            <w:tcW w:w="1384" w:type="dxa"/>
            <w:noWrap w:val="0"/>
            <w:vAlign w:val="center"/>
          </w:tcPr>
          <w:p w14:paraId="7FD72469">
            <w:pPr>
              <w:keepNext w:val="0"/>
              <w:keepLines w:val="0"/>
              <w:widowControl/>
              <w:suppressLineNumbers w:val="0"/>
              <w:jc w:val="center"/>
              <w:textAlignment w:val="center"/>
              <w:rPr>
                <w:rFonts w:ascii="Times New Roman" w:hAnsi="Times New Roman" w:cs="Times New Roman"/>
                <w:szCs w:val="21"/>
                <w:lang w:bidi="ar"/>
              </w:rPr>
            </w:pPr>
            <w:r>
              <w:rPr>
                <w:rFonts w:hint="eastAsia" w:ascii="Times New Roman" w:hAnsi="Times New Roman" w:eastAsia="宋体" w:cs="Times New Roman"/>
                <w:b w:val="0"/>
                <w:bCs/>
                <w:color w:val="auto"/>
                <w:sz w:val="21"/>
                <w:szCs w:val="21"/>
                <w:vertAlign w:val="baseline"/>
                <w:lang w:val="en-US" w:eastAsia="zh-CN"/>
              </w:rPr>
              <w:t>晴</w:t>
            </w:r>
          </w:p>
        </w:tc>
        <w:tc>
          <w:tcPr>
            <w:tcW w:w="1384" w:type="dxa"/>
            <w:noWrap w:val="0"/>
            <w:vAlign w:val="center"/>
          </w:tcPr>
          <w:p w14:paraId="556121F2">
            <w:pPr>
              <w:keepNext w:val="0"/>
              <w:keepLines w:val="0"/>
              <w:widowControl/>
              <w:suppressLineNumbers w:val="0"/>
              <w:jc w:val="center"/>
              <w:textAlignment w:val="center"/>
              <w:rPr>
                <w:rFonts w:ascii="Times New Roman" w:hAnsi="Times New Roman" w:cs="Times New Roman"/>
                <w:szCs w:val="21"/>
                <w:lang w:bidi="ar"/>
              </w:rPr>
            </w:pPr>
            <w:r>
              <w:rPr>
                <w:rFonts w:hint="eastAsia" w:ascii="Times New Roman" w:hAnsi="Times New Roman" w:eastAsia="宋体" w:cs="Times New Roman"/>
                <w:b w:val="0"/>
                <w:bCs/>
                <w:color w:val="auto"/>
                <w:sz w:val="21"/>
                <w:szCs w:val="21"/>
                <w:vertAlign w:val="baseline"/>
                <w:lang w:val="en-US" w:eastAsia="zh-CN"/>
              </w:rPr>
              <w:t>1.3-1.7</w:t>
            </w:r>
            <w:r>
              <w:rPr>
                <w:rFonts w:hint="default" w:ascii="Times New Roman" w:hAnsi="Times New Roman" w:eastAsia="宋体" w:cs="Times New Roman"/>
                <w:b w:val="0"/>
                <w:bCs/>
                <w:color w:val="auto"/>
                <w:sz w:val="21"/>
                <w:szCs w:val="21"/>
                <w:vertAlign w:val="baseline"/>
                <w:lang w:val="en-US" w:eastAsia="zh-CN"/>
              </w:rPr>
              <w:t>m/s</w:t>
            </w:r>
          </w:p>
        </w:tc>
        <w:tc>
          <w:tcPr>
            <w:tcW w:w="1163" w:type="dxa"/>
            <w:noWrap w:val="0"/>
            <w:vAlign w:val="center"/>
          </w:tcPr>
          <w:p w14:paraId="30F3896F">
            <w:pPr>
              <w:keepNext w:val="0"/>
              <w:keepLines w:val="0"/>
              <w:widowControl/>
              <w:suppressLineNumbers w:val="0"/>
              <w:jc w:val="center"/>
              <w:textAlignment w:val="center"/>
              <w:rPr>
                <w:rFonts w:ascii="Times New Roman" w:hAnsi="Times New Roman" w:cs="Times New Roman"/>
                <w:szCs w:val="21"/>
                <w:lang w:bidi="ar"/>
              </w:rPr>
            </w:pPr>
            <w:r>
              <w:rPr>
                <w:rFonts w:hint="eastAsia" w:ascii="Times New Roman" w:hAnsi="Times New Roman" w:eastAsia="宋体" w:cs="Times New Roman"/>
                <w:b w:val="0"/>
                <w:bCs/>
                <w:color w:val="auto"/>
                <w:sz w:val="21"/>
                <w:szCs w:val="21"/>
                <w:vertAlign w:val="baseline"/>
                <w:lang w:val="en-US" w:eastAsia="zh-CN"/>
              </w:rPr>
              <w:t>西北</w:t>
            </w:r>
          </w:p>
        </w:tc>
        <w:tc>
          <w:tcPr>
            <w:tcW w:w="1335" w:type="dxa"/>
            <w:noWrap w:val="0"/>
            <w:vAlign w:val="center"/>
          </w:tcPr>
          <w:p w14:paraId="6B98141D">
            <w:pPr>
              <w:keepNext w:val="0"/>
              <w:keepLines w:val="0"/>
              <w:widowControl/>
              <w:suppressLineNumbers w:val="0"/>
              <w:jc w:val="center"/>
              <w:textAlignment w:val="center"/>
              <w:rPr>
                <w:rFonts w:ascii="Times New Roman" w:hAnsi="Times New Roman" w:cs="Times New Roman"/>
                <w:szCs w:val="21"/>
                <w:lang w:bidi="ar"/>
              </w:rPr>
            </w:pPr>
            <w:r>
              <w:rPr>
                <w:rFonts w:hint="eastAsia" w:ascii="Times New Roman" w:hAnsi="Times New Roman" w:eastAsia="宋体" w:cs="Times New Roman"/>
                <w:b w:val="0"/>
                <w:bCs/>
                <w:color w:val="auto"/>
                <w:sz w:val="21"/>
                <w:szCs w:val="21"/>
                <w:vertAlign w:val="baseline"/>
                <w:lang w:val="en-US" w:eastAsia="zh-CN"/>
              </w:rPr>
              <w:t>9-23</w:t>
            </w:r>
            <w:r>
              <w:rPr>
                <w:rFonts w:hint="default" w:ascii="Times New Roman" w:hAnsi="Times New Roman" w:eastAsia="宋体" w:cs="Times New Roman"/>
                <w:b w:val="0"/>
                <w:bCs/>
                <w:color w:val="auto"/>
                <w:sz w:val="21"/>
                <w:szCs w:val="21"/>
                <w:vertAlign w:val="baseline"/>
                <w:lang w:val="en-US" w:eastAsia="zh-CN"/>
              </w:rPr>
              <w:t>℃</w:t>
            </w:r>
          </w:p>
        </w:tc>
        <w:tc>
          <w:tcPr>
            <w:tcW w:w="1654" w:type="dxa"/>
            <w:noWrap w:val="0"/>
            <w:vAlign w:val="center"/>
          </w:tcPr>
          <w:p w14:paraId="326F0BC9">
            <w:pPr>
              <w:keepNext w:val="0"/>
              <w:keepLines w:val="0"/>
              <w:widowControl/>
              <w:suppressLineNumbers w:val="0"/>
              <w:jc w:val="center"/>
              <w:textAlignment w:val="center"/>
              <w:rPr>
                <w:rFonts w:ascii="Times New Roman" w:hAnsi="Times New Roman" w:cs="Times New Roman"/>
                <w:szCs w:val="21"/>
              </w:rPr>
            </w:pPr>
            <w:r>
              <w:rPr>
                <w:rFonts w:hint="eastAsia" w:ascii="Times New Roman" w:hAnsi="Times New Roman" w:eastAsia="宋体" w:cs="Times New Roman"/>
                <w:b w:val="0"/>
                <w:bCs/>
                <w:color w:val="auto"/>
                <w:sz w:val="21"/>
                <w:szCs w:val="21"/>
                <w:vertAlign w:val="baseline"/>
                <w:lang w:val="en-US" w:eastAsia="zh-CN"/>
              </w:rPr>
              <w:t>100.0-101.1</w:t>
            </w:r>
            <w:r>
              <w:rPr>
                <w:rFonts w:hint="default" w:ascii="Times New Roman" w:hAnsi="Times New Roman" w:eastAsia="宋体" w:cs="Times New Roman"/>
                <w:b w:val="0"/>
                <w:bCs/>
                <w:color w:val="auto"/>
                <w:sz w:val="21"/>
                <w:szCs w:val="21"/>
                <w:vertAlign w:val="baseline"/>
                <w:lang w:val="en-US" w:eastAsia="zh-CN"/>
              </w:rPr>
              <w:t>kPa</w:t>
            </w:r>
          </w:p>
        </w:tc>
      </w:tr>
      <w:tr w14:paraId="5DCD682D">
        <w:tblPrEx>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584" w:type="dxa"/>
            <w:noWrap w:val="0"/>
            <w:vAlign w:val="center"/>
          </w:tcPr>
          <w:p w14:paraId="4CC0F5C2">
            <w:pPr>
              <w:keepNext w:val="0"/>
              <w:keepLines w:val="0"/>
              <w:widowControl/>
              <w:suppressLineNumbers w:val="0"/>
              <w:jc w:val="center"/>
              <w:textAlignment w:val="center"/>
              <w:rPr>
                <w:rFonts w:ascii="Times New Roman" w:hAnsi="Times New Roman" w:cs="Times New Roman"/>
                <w:szCs w:val="21"/>
              </w:rPr>
            </w:pPr>
            <w:r>
              <w:rPr>
                <w:rFonts w:hint="eastAsia" w:ascii="Times New Roman" w:hAnsi="Times New Roman" w:eastAsia="宋体" w:cs="Times New Roman"/>
                <w:b w:val="0"/>
                <w:bCs/>
                <w:color w:val="auto"/>
                <w:sz w:val="21"/>
                <w:szCs w:val="21"/>
                <w:vertAlign w:val="baseline"/>
                <w:lang w:val="en-US" w:eastAsia="zh-CN"/>
              </w:rPr>
              <w:t>2026.05.02</w:t>
            </w:r>
          </w:p>
        </w:tc>
        <w:tc>
          <w:tcPr>
            <w:tcW w:w="1384" w:type="dxa"/>
            <w:noWrap w:val="0"/>
            <w:vAlign w:val="center"/>
          </w:tcPr>
          <w:p w14:paraId="27821680">
            <w:pPr>
              <w:keepNext w:val="0"/>
              <w:keepLines w:val="0"/>
              <w:widowControl/>
              <w:suppressLineNumbers w:val="0"/>
              <w:jc w:val="center"/>
              <w:textAlignment w:val="center"/>
              <w:rPr>
                <w:rFonts w:ascii="Times New Roman" w:hAnsi="Times New Roman" w:cs="Times New Roman"/>
                <w:szCs w:val="21"/>
                <w:lang w:bidi="ar"/>
              </w:rPr>
            </w:pPr>
            <w:r>
              <w:rPr>
                <w:rFonts w:hint="eastAsia" w:ascii="Times New Roman" w:hAnsi="Times New Roman" w:eastAsia="宋体" w:cs="Times New Roman"/>
                <w:b w:val="0"/>
                <w:bCs/>
                <w:color w:val="auto"/>
                <w:sz w:val="21"/>
                <w:szCs w:val="21"/>
                <w:vertAlign w:val="baseline"/>
                <w:lang w:val="en-US" w:eastAsia="zh-CN"/>
              </w:rPr>
              <w:t>多云</w:t>
            </w:r>
          </w:p>
        </w:tc>
        <w:tc>
          <w:tcPr>
            <w:tcW w:w="1384" w:type="dxa"/>
            <w:noWrap w:val="0"/>
            <w:vAlign w:val="center"/>
          </w:tcPr>
          <w:p w14:paraId="29DAA140">
            <w:pPr>
              <w:keepNext w:val="0"/>
              <w:keepLines w:val="0"/>
              <w:widowControl/>
              <w:suppressLineNumbers w:val="0"/>
              <w:jc w:val="center"/>
              <w:textAlignment w:val="center"/>
              <w:rPr>
                <w:rFonts w:ascii="Times New Roman" w:hAnsi="Times New Roman" w:cs="Times New Roman"/>
                <w:szCs w:val="21"/>
                <w:lang w:bidi="ar"/>
              </w:rPr>
            </w:pPr>
            <w:r>
              <w:rPr>
                <w:rFonts w:hint="eastAsia" w:ascii="Times New Roman" w:hAnsi="Times New Roman" w:eastAsia="宋体" w:cs="Times New Roman"/>
                <w:b w:val="0"/>
                <w:bCs/>
                <w:color w:val="auto"/>
                <w:sz w:val="21"/>
                <w:szCs w:val="21"/>
                <w:vertAlign w:val="baseline"/>
                <w:lang w:val="en-US" w:eastAsia="zh-CN"/>
              </w:rPr>
              <w:t>1.3-1.9</w:t>
            </w:r>
            <w:r>
              <w:rPr>
                <w:rFonts w:hint="default" w:ascii="Times New Roman" w:hAnsi="Times New Roman" w:eastAsia="宋体" w:cs="Times New Roman"/>
                <w:b w:val="0"/>
                <w:bCs/>
                <w:color w:val="auto"/>
                <w:sz w:val="21"/>
                <w:szCs w:val="21"/>
                <w:vertAlign w:val="baseline"/>
                <w:lang w:val="en-US" w:eastAsia="zh-CN"/>
              </w:rPr>
              <w:t>m/s</w:t>
            </w:r>
          </w:p>
        </w:tc>
        <w:tc>
          <w:tcPr>
            <w:tcW w:w="1163" w:type="dxa"/>
            <w:noWrap w:val="0"/>
            <w:vAlign w:val="center"/>
          </w:tcPr>
          <w:p w14:paraId="2DB209A4">
            <w:pPr>
              <w:keepNext w:val="0"/>
              <w:keepLines w:val="0"/>
              <w:widowControl/>
              <w:suppressLineNumbers w:val="0"/>
              <w:jc w:val="center"/>
              <w:textAlignment w:val="center"/>
              <w:rPr>
                <w:rFonts w:ascii="Times New Roman" w:hAnsi="Times New Roman" w:cs="Times New Roman"/>
                <w:szCs w:val="21"/>
                <w:lang w:bidi="ar"/>
              </w:rPr>
            </w:pPr>
            <w:r>
              <w:rPr>
                <w:rFonts w:hint="eastAsia" w:ascii="Times New Roman" w:hAnsi="Times New Roman" w:eastAsia="宋体" w:cs="Times New Roman"/>
                <w:b w:val="0"/>
                <w:bCs/>
                <w:color w:val="auto"/>
                <w:sz w:val="21"/>
                <w:szCs w:val="21"/>
                <w:vertAlign w:val="baseline"/>
                <w:lang w:val="en-US" w:eastAsia="zh-CN"/>
              </w:rPr>
              <w:t>东</w:t>
            </w:r>
          </w:p>
        </w:tc>
        <w:tc>
          <w:tcPr>
            <w:tcW w:w="1335" w:type="dxa"/>
            <w:noWrap w:val="0"/>
            <w:vAlign w:val="center"/>
          </w:tcPr>
          <w:p w14:paraId="4DC2F4F0">
            <w:pPr>
              <w:keepNext w:val="0"/>
              <w:keepLines w:val="0"/>
              <w:widowControl/>
              <w:suppressLineNumbers w:val="0"/>
              <w:jc w:val="center"/>
              <w:textAlignment w:val="center"/>
              <w:rPr>
                <w:rFonts w:ascii="Times New Roman" w:hAnsi="Times New Roman" w:cs="Times New Roman"/>
                <w:szCs w:val="21"/>
                <w:lang w:bidi="ar"/>
              </w:rPr>
            </w:pPr>
            <w:r>
              <w:rPr>
                <w:rFonts w:hint="eastAsia" w:ascii="Times New Roman" w:hAnsi="Times New Roman" w:eastAsia="宋体" w:cs="Times New Roman"/>
                <w:b w:val="0"/>
                <w:bCs/>
                <w:color w:val="auto"/>
                <w:sz w:val="21"/>
                <w:szCs w:val="21"/>
                <w:vertAlign w:val="baseline"/>
                <w:lang w:val="en-US" w:eastAsia="zh-CN"/>
              </w:rPr>
              <w:t>8-22</w:t>
            </w:r>
            <w:r>
              <w:rPr>
                <w:rFonts w:hint="default" w:ascii="Times New Roman" w:hAnsi="Times New Roman" w:eastAsia="宋体" w:cs="Times New Roman"/>
                <w:b w:val="0"/>
                <w:bCs/>
                <w:color w:val="auto"/>
                <w:sz w:val="21"/>
                <w:szCs w:val="21"/>
                <w:vertAlign w:val="baseline"/>
                <w:lang w:val="en-US" w:eastAsia="zh-CN"/>
              </w:rPr>
              <w:t>℃</w:t>
            </w:r>
          </w:p>
        </w:tc>
        <w:tc>
          <w:tcPr>
            <w:tcW w:w="1654" w:type="dxa"/>
            <w:noWrap w:val="0"/>
            <w:vAlign w:val="center"/>
          </w:tcPr>
          <w:p w14:paraId="71B8D8BF">
            <w:pPr>
              <w:keepNext w:val="0"/>
              <w:keepLines w:val="0"/>
              <w:widowControl/>
              <w:suppressLineNumbers w:val="0"/>
              <w:jc w:val="center"/>
              <w:textAlignment w:val="center"/>
              <w:rPr>
                <w:rFonts w:ascii="Times New Roman" w:hAnsi="Times New Roman" w:cs="Times New Roman"/>
                <w:szCs w:val="21"/>
              </w:rPr>
            </w:pPr>
            <w:r>
              <w:rPr>
                <w:rFonts w:hint="eastAsia" w:ascii="Times New Roman" w:hAnsi="Times New Roman" w:eastAsia="宋体" w:cs="Times New Roman"/>
                <w:b w:val="0"/>
                <w:bCs/>
                <w:color w:val="auto"/>
                <w:sz w:val="21"/>
                <w:szCs w:val="21"/>
                <w:vertAlign w:val="baseline"/>
                <w:lang w:val="en-US" w:eastAsia="zh-CN"/>
              </w:rPr>
              <w:t>100.0-101.2</w:t>
            </w:r>
            <w:r>
              <w:rPr>
                <w:rFonts w:hint="default" w:ascii="Times New Roman" w:hAnsi="Times New Roman" w:eastAsia="宋体" w:cs="Times New Roman"/>
                <w:b w:val="0"/>
                <w:bCs/>
                <w:color w:val="auto"/>
                <w:sz w:val="21"/>
                <w:szCs w:val="21"/>
                <w:vertAlign w:val="baseline"/>
                <w:lang w:val="en-US" w:eastAsia="zh-CN"/>
              </w:rPr>
              <w:t>kPa</w:t>
            </w:r>
          </w:p>
        </w:tc>
      </w:tr>
      <w:tr w14:paraId="3FBAB136">
        <w:tblPrEx>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584" w:type="dxa"/>
            <w:noWrap w:val="0"/>
            <w:vAlign w:val="center"/>
          </w:tcPr>
          <w:p w14:paraId="7F9574F2">
            <w:pPr>
              <w:keepNext w:val="0"/>
              <w:keepLines w:val="0"/>
              <w:widowControl/>
              <w:suppressLineNumbers w:val="0"/>
              <w:jc w:val="center"/>
              <w:textAlignment w:val="center"/>
              <w:rPr>
                <w:rFonts w:ascii="Times New Roman" w:hAnsi="Times New Roman" w:cs="Times New Roman"/>
                <w:szCs w:val="21"/>
              </w:rPr>
            </w:pPr>
            <w:r>
              <w:rPr>
                <w:rFonts w:hint="eastAsia" w:ascii="Times New Roman" w:hAnsi="Times New Roman" w:eastAsia="宋体" w:cs="Times New Roman"/>
                <w:b w:val="0"/>
                <w:bCs/>
                <w:color w:val="auto"/>
                <w:sz w:val="21"/>
                <w:szCs w:val="21"/>
                <w:vertAlign w:val="baseline"/>
                <w:lang w:val="en-US" w:eastAsia="zh-CN"/>
              </w:rPr>
              <w:t>2026.05.03</w:t>
            </w:r>
          </w:p>
        </w:tc>
        <w:tc>
          <w:tcPr>
            <w:tcW w:w="1384" w:type="dxa"/>
            <w:noWrap w:val="0"/>
            <w:vAlign w:val="center"/>
          </w:tcPr>
          <w:p w14:paraId="17E73FD0">
            <w:pPr>
              <w:keepNext w:val="0"/>
              <w:keepLines w:val="0"/>
              <w:widowControl/>
              <w:suppressLineNumbers w:val="0"/>
              <w:jc w:val="center"/>
              <w:textAlignment w:val="center"/>
              <w:rPr>
                <w:rFonts w:ascii="Times New Roman" w:hAnsi="Times New Roman" w:cs="Times New Roman"/>
                <w:szCs w:val="21"/>
                <w:lang w:bidi="ar"/>
              </w:rPr>
            </w:pPr>
            <w:r>
              <w:rPr>
                <w:rFonts w:hint="eastAsia" w:ascii="Times New Roman" w:hAnsi="Times New Roman" w:eastAsia="宋体" w:cs="Times New Roman"/>
                <w:b w:val="0"/>
                <w:bCs/>
                <w:color w:val="auto"/>
                <w:sz w:val="21"/>
                <w:szCs w:val="21"/>
                <w:vertAlign w:val="baseline"/>
                <w:lang w:val="en-US" w:eastAsia="zh-CN"/>
              </w:rPr>
              <w:t>晴</w:t>
            </w:r>
          </w:p>
        </w:tc>
        <w:tc>
          <w:tcPr>
            <w:tcW w:w="1384" w:type="dxa"/>
            <w:noWrap w:val="0"/>
            <w:vAlign w:val="center"/>
          </w:tcPr>
          <w:p w14:paraId="544AA4EF">
            <w:pPr>
              <w:keepNext w:val="0"/>
              <w:keepLines w:val="0"/>
              <w:widowControl/>
              <w:suppressLineNumbers w:val="0"/>
              <w:jc w:val="center"/>
              <w:textAlignment w:val="center"/>
              <w:rPr>
                <w:rFonts w:ascii="Times New Roman" w:hAnsi="Times New Roman" w:cs="Times New Roman"/>
                <w:szCs w:val="21"/>
                <w:lang w:bidi="ar"/>
              </w:rPr>
            </w:pPr>
            <w:r>
              <w:rPr>
                <w:rFonts w:hint="eastAsia" w:ascii="Times New Roman" w:hAnsi="Times New Roman" w:eastAsia="宋体" w:cs="Times New Roman"/>
                <w:b w:val="0"/>
                <w:bCs/>
                <w:color w:val="auto"/>
                <w:sz w:val="21"/>
                <w:szCs w:val="21"/>
                <w:vertAlign w:val="baseline"/>
                <w:lang w:val="en-US" w:eastAsia="zh-CN"/>
              </w:rPr>
              <w:t>1.3-2.1</w:t>
            </w:r>
            <w:r>
              <w:rPr>
                <w:rFonts w:hint="default" w:ascii="Times New Roman" w:hAnsi="Times New Roman" w:eastAsia="宋体" w:cs="Times New Roman"/>
                <w:b w:val="0"/>
                <w:bCs/>
                <w:color w:val="auto"/>
                <w:sz w:val="21"/>
                <w:szCs w:val="21"/>
                <w:vertAlign w:val="baseline"/>
                <w:lang w:val="en-US" w:eastAsia="zh-CN"/>
              </w:rPr>
              <w:t>m/s</w:t>
            </w:r>
          </w:p>
        </w:tc>
        <w:tc>
          <w:tcPr>
            <w:tcW w:w="1163" w:type="dxa"/>
            <w:noWrap w:val="0"/>
            <w:vAlign w:val="center"/>
          </w:tcPr>
          <w:p w14:paraId="6499C22C">
            <w:pPr>
              <w:keepNext w:val="0"/>
              <w:keepLines w:val="0"/>
              <w:widowControl/>
              <w:suppressLineNumbers w:val="0"/>
              <w:jc w:val="center"/>
              <w:textAlignment w:val="center"/>
              <w:rPr>
                <w:rFonts w:ascii="Times New Roman" w:hAnsi="Times New Roman" w:cs="Times New Roman"/>
                <w:szCs w:val="21"/>
                <w:lang w:bidi="ar"/>
              </w:rPr>
            </w:pPr>
            <w:r>
              <w:rPr>
                <w:rFonts w:hint="eastAsia" w:ascii="Times New Roman" w:hAnsi="Times New Roman" w:eastAsia="宋体" w:cs="Times New Roman"/>
                <w:b w:val="0"/>
                <w:bCs/>
                <w:color w:val="auto"/>
                <w:sz w:val="21"/>
                <w:szCs w:val="21"/>
                <w:vertAlign w:val="baseline"/>
                <w:lang w:val="en-US" w:eastAsia="zh-CN"/>
              </w:rPr>
              <w:t>西北</w:t>
            </w:r>
          </w:p>
        </w:tc>
        <w:tc>
          <w:tcPr>
            <w:tcW w:w="1335" w:type="dxa"/>
            <w:noWrap w:val="0"/>
            <w:vAlign w:val="center"/>
          </w:tcPr>
          <w:p w14:paraId="06CB9AE4">
            <w:pPr>
              <w:keepNext w:val="0"/>
              <w:keepLines w:val="0"/>
              <w:widowControl/>
              <w:suppressLineNumbers w:val="0"/>
              <w:jc w:val="center"/>
              <w:textAlignment w:val="center"/>
              <w:rPr>
                <w:rFonts w:ascii="Times New Roman" w:hAnsi="Times New Roman" w:cs="Times New Roman"/>
                <w:szCs w:val="21"/>
                <w:lang w:bidi="ar"/>
              </w:rPr>
            </w:pPr>
            <w:r>
              <w:rPr>
                <w:rFonts w:hint="eastAsia" w:ascii="Times New Roman" w:hAnsi="Times New Roman" w:eastAsia="宋体" w:cs="Times New Roman"/>
                <w:b w:val="0"/>
                <w:bCs/>
                <w:color w:val="auto"/>
                <w:sz w:val="21"/>
                <w:szCs w:val="21"/>
                <w:vertAlign w:val="baseline"/>
                <w:lang w:val="en-US" w:eastAsia="zh-CN"/>
              </w:rPr>
              <w:t>4-19</w:t>
            </w:r>
            <w:r>
              <w:rPr>
                <w:rFonts w:hint="default" w:ascii="Times New Roman" w:hAnsi="Times New Roman" w:eastAsia="宋体" w:cs="Times New Roman"/>
                <w:b w:val="0"/>
                <w:bCs/>
                <w:color w:val="auto"/>
                <w:sz w:val="21"/>
                <w:szCs w:val="21"/>
                <w:vertAlign w:val="baseline"/>
                <w:lang w:val="en-US" w:eastAsia="zh-CN"/>
              </w:rPr>
              <w:t>℃</w:t>
            </w:r>
          </w:p>
        </w:tc>
        <w:tc>
          <w:tcPr>
            <w:tcW w:w="1654" w:type="dxa"/>
            <w:noWrap w:val="0"/>
            <w:vAlign w:val="center"/>
          </w:tcPr>
          <w:p w14:paraId="0716F603">
            <w:pPr>
              <w:keepNext w:val="0"/>
              <w:keepLines w:val="0"/>
              <w:widowControl/>
              <w:suppressLineNumbers w:val="0"/>
              <w:jc w:val="center"/>
              <w:textAlignment w:val="center"/>
              <w:rPr>
                <w:rFonts w:ascii="Times New Roman" w:hAnsi="Times New Roman" w:cs="Times New Roman"/>
                <w:szCs w:val="21"/>
              </w:rPr>
            </w:pPr>
            <w:r>
              <w:rPr>
                <w:rFonts w:hint="eastAsia" w:ascii="Times New Roman" w:hAnsi="Times New Roman" w:eastAsia="宋体" w:cs="Times New Roman"/>
                <w:b w:val="0"/>
                <w:bCs/>
                <w:color w:val="auto"/>
                <w:sz w:val="21"/>
                <w:szCs w:val="21"/>
                <w:vertAlign w:val="baseline"/>
                <w:lang w:val="en-US" w:eastAsia="zh-CN"/>
              </w:rPr>
              <w:t>100.4-101.5</w:t>
            </w:r>
            <w:r>
              <w:rPr>
                <w:rFonts w:hint="default" w:ascii="Times New Roman" w:hAnsi="Times New Roman" w:eastAsia="宋体" w:cs="Times New Roman"/>
                <w:b w:val="0"/>
                <w:bCs/>
                <w:color w:val="auto"/>
                <w:sz w:val="21"/>
                <w:szCs w:val="21"/>
                <w:vertAlign w:val="baseline"/>
                <w:lang w:val="en-US" w:eastAsia="zh-CN"/>
              </w:rPr>
              <w:t>kPa</w:t>
            </w:r>
          </w:p>
        </w:tc>
      </w:tr>
      <w:tr w14:paraId="6018158E">
        <w:tblPrEx>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584" w:type="dxa"/>
            <w:noWrap w:val="0"/>
            <w:vAlign w:val="center"/>
          </w:tcPr>
          <w:p w14:paraId="0F6B0A13">
            <w:pPr>
              <w:keepNext w:val="0"/>
              <w:keepLines w:val="0"/>
              <w:widowControl/>
              <w:suppressLineNumbers w:val="0"/>
              <w:jc w:val="center"/>
              <w:textAlignment w:val="center"/>
              <w:rPr>
                <w:rFonts w:ascii="Times New Roman" w:hAnsi="Times New Roman" w:cs="Times New Roman"/>
                <w:szCs w:val="21"/>
              </w:rPr>
            </w:pPr>
            <w:r>
              <w:rPr>
                <w:rFonts w:hint="eastAsia" w:ascii="Times New Roman" w:hAnsi="Times New Roman" w:eastAsia="宋体" w:cs="Times New Roman"/>
                <w:b w:val="0"/>
                <w:bCs/>
                <w:color w:val="auto"/>
                <w:sz w:val="21"/>
                <w:szCs w:val="21"/>
                <w:vertAlign w:val="baseline"/>
                <w:lang w:val="en-US" w:eastAsia="zh-CN"/>
              </w:rPr>
              <w:t>2026.05.04</w:t>
            </w:r>
          </w:p>
        </w:tc>
        <w:tc>
          <w:tcPr>
            <w:tcW w:w="1384" w:type="dxa"/>
            <w:noWrap w:val="0"/>
            <w:vAlign w:val="center"/>
          </w:tcPr>
          <w:p w14:paraId="2B9327D4">
            <w:pPr>
              <w:keepNext w:val="0"/>
              <w:keepLines w:val="0"/>
              <w:widowControl/>
              <w:suppressLineNumbers w:val="0"/>
              <w:jc w:val="center"/>
              <w:textAlignment w:val="center"/>
              <w:rPr>
                <w:rFonts w:ascii="Times New Roman" w:hAnsi="Times New Roman" w:cs="Times New Roman"/>
                <w:szCs w:val="21"/>
                <w:lang w:bidi="ar"/>
              </w:rPr>
            </w:pPr>
            <w:r>
              <w:rPr>
                <w:rFonts w:hint="eastAsia" w:ascii="Times New Roman" w:hAnsi="Times New Roman" w:eastAsia="宋体" w:cs="Times New Roman"/>
                <w:b w:val="0"/>
                <w:bCs/>
                <w:color w:val="auto"/>
                <w:sz w:val="21"/>
                <w:szCs w:val="21"/>
                <w:vertAlign w:val="baseline"/>
                <w:lang w:val="en-US" w:eastAsia="zh-CN"/>
              </w:rPr>
              <w:t>晴</w:t>
            </w:r>
          </w:p>
        </w:tc>
        <w:tc>
          <w:tcPr>
            <w:tcW w:w="1384" w:type="dxa"/>
            <w:noWrap w:val="0"/>
            <w:vAlign w:val="center"/>
          </w:tcPr>
          <w:p w14:paraId="6A551EEC">
            <w:pPr>
              <w:keepNext w:val="0"/>
              <w:keepLines w:val="0"/>
              <w:widowControl/>
              <w:suppressLineNumbers w:val="0"/>
              <w:jc w:val="center"/>
              <w:textAlignment w:val="center"/>
              <w:rPr>
                <w:rFonts w:ascii="Times New Roman" w:hAnsi="Times New Roman" w:cs="Times New Roman"/>
                <w:szCs w:val="21"/>
                <w:lang w:bidi="ar"/>
              </w:rPr>
            </w:pPr>
            <w:r>
              <w:rPr>
                <w:rFonts w:hint="eastAsia" w:ascii="Times New Roman" w:hAnsi="Times New Roman" w:eastAsia="宋体" w:cs="Times New Roman"/>
                <w:b w:val="0"/>
                <w:bCs/>
                <w:color w:val="auto"/>
                <w:sz w:val="21"/>
                <w:szCs w:val="21"/>
                <w:vertAlign w:val="baseline"/>
                <w:lang w:val="en-US" w:eastAsia="zh-CN"/>
              </w:rPr>
              <w:t>1.3-2.2</w:t>
            </w:r>
            <w:r>
              <w:rPr>
                <w:rFonts w:hint="default" w:ascii="Times New Roman" w:hAnsi="Times New Roman" w:eastAsia="宋体" w:cs="Times New Roman"/>
                <w:b w:val="0"/>
                <w:bCs/>
                <w:color w:val="auto"/>
                <w:sz w:val="21"/>
                <w:szCs w:val="21"/>
                <w:vertAlign w:val="baseline"/>
                <w:lang w:val="en-US" w:eastAsia="zh-CN"/>
              </w:rPr>
              <w:t>m/s</w:t>
            </w:r>
          </w:p>
        </w:tc>
        <w:tc>
          <w:tcPr>
            <w:tcW w:w="1163" w:type="dxa"/>
            <w:noWrap w:val="0"/>
            <w:vAlign w:val="center"/>
          </w:tcPr>
          <w:p w14:paraId="062C9681">
            <w:pPr>
              <w:keepNext w:val="0"/>
              <w:keepLines w:val="0"/>
              <w:widowControl/>
              <w:suppressLineNumbers w:val="0"/>
              <w:jc w:val="center"/>
              <w:textAlignment w:val="center"/>
              <w:rPr>
                <w:rFonts w:ascii="Times New Roman" w:hAnsi="Times New Roman" w:cs="Times New Roman"/>
                <w:szCs w:val="21"/>
                <w:lang w:bidi="ar"/>
              </w:rPr>
            </w:pPr>
            <w:r>
              <w:rPr>
                <w:rFonts w:hint="eastAsia" w:ascii="Times New Roman" w:hAnsi="Times New Roman" w:eastAsia="宋体" w:cs="Times New Roman"/>
                <w:b w:val="0"/>
                <w:bCs/>
                <w:color w:val="auto"/>
                <w:sz w:val="21"/>
                <w:szCs w:val="21"/>
                <w:vertAlign w:val="baseline"/>
                <w:lang w:val="en-US" w:eastAsia="zh-CN"/>
              </w:rPr>
              <w:t>西南</w:t>
            </w:r>
          </w:p>
        </w:tc>
        <w:tc>
          <w:tcPr>
            <w:tcW w:w="1335" w:type="dxa"/>
            <w:noWrap w:val="0"/>
            <w:vAlign w:val="center"/>
          </w:tcPr>
          <w:p w14:paraId="6F8D4FBF">
            <w:pPr>
              <w:keepNext w:val="0"/>
              <w:keepLines w:val="0"/>
              <w:widowControl/>
              <w:suppressLineNumbers w:val="0"/>
              <w:jc w:val="center"/>
              <w:textAlignment w:val="center"/>
              <w:rPr>
                <w:rFonts w:ascii="Times New Roman" w:hAnsi="Times New Roman" w:cs="Times New Roman"/>
                <w:szCs w:val="21"/>
                <w:lang w:bidi="ar"/>
              </w:rPr>
            </w:pPr>
            <w:r>
              <w:rPr>
                <w:rFonts w:hint="eastAsia" w:ascii="Times New Roman" w:hAnsi="Times New Roman" w:eastAsia="宋体" w:cs="Times New Roman"/>
                <w:b w:val="0"/>
                <w:bCs/>
                <w:color w:val="auto"/>
                <w:sz w:val="21"/>
                <w:szCs w:val="21"/>
                <w:vertAlign w:val="baseline"/>
                <w:lang w:val="en-US" w:eastAsia="zh-CN"/>
              </w:rPr>
              <w:t>13-22</w:t>
            </w:r>
            <w:r>
              <w:rPr>
                <w:rFonts w:hint="default" w:ascii="Times New Roman" w:hAnsi="Times New Roman" w:eastAsia="宋体" w:cs="Times New Roman"/>
                <w:b w:val="0"/>
                <w:bCs/>
                <w:color w:val="auto"/>
                <w:sz w:val="21"/>
                <w:szCs w:val="21"/>
                <w:vertAlign w:val="baseline"/>
                <w:lang w:val="en-US" w:eastAsia="zh-CN"/>
              </w:rPr>
              <w:t>℃</w:t>
            </w:r>
          </w:p>
        </w:tc>
        <w:tc>
          <w:tcPr>
            <w:tcW w:w="1654" w:type="dxa"/>
            <w:noWrap w:val="0"/>
            <w:vAlign w:val="center"/>
          </w:tcPr>
          <w:p w14:paraId="489C5E06">
            <w:pPr>
              <w:keepNext w:val="0"/>
              <w:keepLines w:val="0"/>
              <w:widowControl/>
              <w:suppressLineNumbers w:val="0"/>
              <w:jc w:val="center"/>
              <w:textAlignment w:val="center"/>
              <w:rPr>
                <w:rFonts w:ascii="Times New Roman" w:hAnsi="Times New Roman" w:cs="Times New Roman"/>
                <w:szCs w:val="21"/>
              </w:rPr>
            </w:pPr>
            <w:r>
              <w:rPr>
                <w:rFonts w:hint="eastAsia" w:ascii="Times New Roman" w:hAnsi="Times New Roman" w:eastAsia="宋体" w:cs="Times New Roman"/>
                <w:b w:val="0"/>
                <w:bCs/>
                <w:color w:val="auto"/>
                <w:sz w:val="21"/>
                <w:szCs w:val="21"/>
                <w:vertAlign w:val="baseline"/>
                <w:lang w:val="en-US" w:eastAsia="zh-CN"/>
              </w:rPr>
              <w:t>100.0-100.7</w:t>
            </w:r>
            <w:r>
              <w:rPr>
                <w:rFonts w:hint="default" w:ascii="Times New Roman" w:hAnsi="Times New Roman" w:eastAsia="宋体" w:cs="Times New Roman"/>
                <w:b w:val="0"/>
                <w:bCs/>
                <w:color w:val="auto"/>
                <w:sz w:val="21"/>
                <w:szCs w:val="21"/>
                <w:vertAlign w:val="baseline"/>
                <w:lang w:val="en-US" w:eastAsia="zh-CN"/>
              </w:rPr>
              <w:t>kPa</w:t>
            </w:r>
          </w:p>
        </w:tc>
      </w:tr>
      <w:tr w14:paraId="3D3748D6">
        <w:tblPrEx>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584" w:type="dxa"/>
            <w:noWrap w:val="0"/>
            <w:vAlign w:val="center"/>
          </w:tcPr>
          <w:p w14:paraId="30BEAFF5">
            <w:pPr>
              <w:keepNext w:val="0"/>
              <w:keepLines w:val="0"/>
              <w:widowControl/>
              <w:suppressLineNumbers w:val="0"/>
              <w:jc w:val="center"/>
              <w:textAlignment w:val="center"/>
              <w:rPr>
                <w:rFonts w:ascii="Times New Roman" w:hAnsi="Times New Roman" w:cs="Times New Roman"/>
                <w:szCs w:val="21"/>
              </w:rPr>
            </w:pPr>
            <w:r>
              <w:rPr>
                <w:rFonts w:hint="eastAsia" w:ascii="Times New Roman" w:hAnsi="Times New Roman" w:eastAsia="宋体" w:cs="Times New Roman"/>
                <w:b w:val="0"/>
                <w:bCs/>
                <w:color w:val="auto"/>
                <w:sz w:val="21"/>
                <w:szCs w:val="21"/>
                <w:vertAlign w:val="baseline"/>
                <w:lang w:val="en-US" w:eastAsia="zh-CN"/>
              </w:rPr>
              <w:t>2026.05.05</w:t>
            </w:r>
          </w:p>
        </w:tc>
        <w:tc>
          <w:tcPr>
            <w:tcW w:w="1384" w:type="dxa"/>
            <w:noWrap w:val="0"/>
            <w:vAlign w:val="center"/>
          </w:tcPr>
          <w:p w14:paraId="575A8B1F">
            <w:pPr>
              <w:keepNext w:val="0"/>
              <w:keepLines w:val="0"/>
              <w:widowControl/>
              <w:suppressLineNumbers w:val="0"/>
              <w:jc w:val="center"/>
              <w:textAlignment w:val="center"/>
              <w:rPr>
                <w:rFonts w:ascii="Times New Roman" w:hAnsi="Times New Roman" w:cs="Times New Roman"/>
                <w:szCs w:val="21"/>
                <w:lang w:bidi="ar"/>
              </w:rPr>
            </w:pPr>
            <w:r>
              <w:rPr>
                <w:rFonts w:hint="eastAsia" w:ascii="Times New Roman" w:hAnsi="Times New Roman" w:eastAsia="宋体" w:cs="Times New Roman"/>
                <w:b w:val="0"/>
                <w:bCs/>
                <w:color w:val="auto"/>
                <w:sz w:val="21"/>
                <w:szCs w:val="21"/>
                <w:vertAlign w:val="baseline"/>
                <w:lang w:val="en-US" w:eastAsia="zh-CN"/>
              </w:rPr>
              <w:t>多云</w:t>
            </w:r>
          </w:p>
        </w:tc>
        <w:tc>
          <w:tcPr>
            <w:tcW w:w="1384" w:type="dxa"/>
            <w:noWrap w:val="0"/>
            <w:vAlign w:val="center"/>
          </w:tcPr>
          <w:p w14:paraId="002C9EA8">
            <w:pPr>
              <w:keepNext w:val="0"/>
              <w:keepLines w:val="0"/>
              <w:widowControl/>
              <w:suppressLineNumbers w:val="0"/>
              <w:jc w:val="center"/>
              <w:textAlignment w:val="center"/>
              <w:rPr>
                <w:rFonts w:ascii="Times New Roman" w:hAnsi="Times New Roman" w:cs="Times New Roman"/>
                <w:szCs w:val="21"/>
                <w:lang w:bidi="ar"/>
              </w:rPr>
            </w:pPr>
            <w:r>
              <w:rPr>
                <w:rFonts w:hint="eastAsia" w:ascii="Times New Roman" w:hAnsi="Times New Roman" w:eastAsia="宋体" w:cs="Times New Roman"/>
                <w:b w:val="0"/>
                <w:bCs/>
                <w:color w:val="auto"/>
                <w:sz w:val="21"/>
                <w:szCs w:val="21"/>
                <w:vertAlign w:val="baseline"/>
                <w:lang w:val="en-US" w:eastAsia="zh-CN"/>
              </w:rPr>
              <w:t>1.5-2.4</w:t>
            </w:r>
            <w:r>
              <w:rPr>
                <w:rFonts w:hint="default" w:ascii="Times New Roman" w:hAnsi="Times New Roman" w:eastAsia="宋体" w:cs="Times New Roman"/>
                <w:b w:val="0"/>
                <w:bCs/>
                <w:color w:val="auto"/>
                <w:sz w:val="21"/>
                <w:szCs w:val="21"/>
                <w:vertAlign w:val="baseline"/>
                <w:lang w:val="en-US" w:eastAsia="zh-CN"/>
              </w:rPr>
              <w:t>m/s</w:t>
            </w:r>
          </w:p>
        </w:tc>
        <w:tc>
          <w:tcPr>
            <w:tcW w:w="1163" w:type="dxa"/>
            <w:noWrap w:val="0"/>
            <w:vAlign w:val="center"/>
          </w:tcPr>
          <w:p w14:paraId="507A6AB9">
            <w:pPr>
              <w:keepNext w:val="0"/>
              <w:keepLines w:val="0"/>
              <w:widowControl/>
              <w:suppressLineNumbers w:val="0"/>
              <w:jc w:val="center"/>
              <w:textAlignment w:val="center"/>
              <w:rPr>
                <w:rFonts w:ascii="Times New Roman" w:hAnsi="Times New Roman" w:cs="Times New Roman"/>
                <w:szCs w:val="21"/>
                <w:lang w:bidi="ar"/>
              </w:rPr>
            </w:pPr>
            <w:r>
              <w:rPr>
                <w:rFonts w:hint="eastAsia" w:ascii="Times New Roman" w:hAnsi="Times New Roman" w:eastAsia="宋体" w:cs="Times New Roman"/>
                <w:b w:val="0"/>
                <w:bCs/>
                <w:color w:val="auto"/>
                <w:sz w:val="21"/>
                <w:szCs w:val="21"/>
                <w:vertAlign w:val="baseline"/>
                <w:lang w:val="en-US" w:eastAsia="zh-CN"/>
              </w:rPr>
              <w:t>西南</w:t>
            </w:r>
          </w:p>
        </w:tc>
        <w:tc>
          <w:tcPr>
            <w:tcW w:w="1335" w:type="dxa"/>
            <w:noWrap w:val="0"/>
            <w:vAlign w:val="center"/>
          </w:tcPr>
          <w:p w14:paraId="492BF4D5">
            <w:pPr>
              <w:keepNext w:val="0"/>
              <w:keepLines w:val="0"/>
              <w:widowControl/>
              <w:suppressLineNumbers w:val="0"/>
              <w:jc w:val="center"/>
              <w:textAlignment w:val="center"/>
              <w:rPr>
                <w:rFonts w:ascii="Times New Roman" w:hAnsi="Times New Roman" w:cs="Times New Roman"/>
                <w:szCs w:val="21"/>
                <w:lang w:bidi="ar"/>
              </w:rPr>
            </w:pPr>
            <w:r>
              <w:rPr>
                <w:rFonts w:hint="eastAsia" w:ascii="Times New Roman" w:hAnsi="Times New Roman" w:eastAsia="宋体" w:cs="Times New Roman"/>
                <w:b w:val="0"/>
                <w:bCs/>
                <w:color w:val="auto"/>
                <w:sz w:val="21"/>
                <w:szCs w:val="21"/>
                <w:vertAlign w:val="baseline"/>
                <w:lang w:val="en-US" w:eastAsia="zh-CN"/>
              </w:rPr>
              <w:t>14-24</w:t>
            </w:r>
            <w:r>
              <w:rPr>
                <w:rFonts w:hint="default" w:ascii="Times New Roman" w:hAnsi="Times New Roman" w:eastAsia="宋体" w:cs="Times New Roman"/>
                <w:b w:val="0"/>
                <w:bCs/>
                <w:color w:val="auto"/>
                <w:sz w:val="21"/>
                <w:szCs w:val="21"/>
                <w:vertAlign w:val="baseline"/>
                <w:lang w:val="en-US" w:eastAsia="zh-CN"/>
              </w:rPr>
              <w:t>℃</w:t>
            </w:r>
          </w:p>
        </w:tc>
        <w:tc>
          <w:tcPr>
            <w:tcW w:w="1654" w:type="dxa"/>
            <w:noWrap w:val="0"/>
            <w:vAlign w:val="center"/>
          </w:tcPr>
          <w:p w14:paraId="0F159664">
            <w:pPr>
              <w:keepNext w:val="0"/>
              <w:keepLines w:val="0"/>
              <w:widowControl/>
              <w:suppressLineNumbers w:val="0"/>
              <w:jc w:val="center"/>
              <w:textAlignment w:val="center"/>
              <w:rPr>
                <w:rFonts w:ascii="Times New Roman" w:hAnsi="Times New Roman" w:cs="Times New Roman"/>
                <w:szCs w:val="21"/>
              </w:rPr>
            </w:pPr>
            <w:r>
              <w:rPr>
                <w:rFonts w:hint="eastAsia" w:ascii="Times New Roman" w:hAnsi="Times New Roman" w:eastAsia="宋体" w:cs="Times New Roman"/>
                <w:b w:val="0"/>
                <w:bCs/>
                <w:color w:val="auto"/>
                <w:sz w:val="21"/>
                <w:szCs w:val="21"/>
                <w:vertAlign w:val="baseline"/>
                <w:lang w:val="en-US" w:eastAsia="zh-CN"/>
              </w:rPr>
              <w:t>100.0-100.6</w:t>
            </w:r>
            <w:r>
              <w:rPr>
                <w:rFonts w:hint="default" w:ascii="Times New Roman" w:hAnsi="Times New Roman" w:eastAsia="宋体" w:cs="Times New Roman"/>
                <w:b w:val="0"/>
                <w:bCs/>
                <w:color w:val="auto"/>
                <w:sz w:val="21"/>
                <w:szCs w:val="21"/>
                <w:vertAlign w:val="baseline"/>
                <w:lang w:val="en-US" w:eastAsia="zh-CN"/>
              </w:rPr>
              <w:t>kPa</w:t>
            </w:r>
          </w:p>
        </w:tc>
      </w:tr>
      <w:tr w14:paraId="567A1238">
        <w:tblPrEx>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584" w:type="dxa"/>
            <w:noWrap w:val="0"/>
            <w:vAlign w:val="center"/>
          </w:tcPr>
          <w:p w14:paraId="7E205A3C">
            <w:pPr>
              <w:keepNext w:val="0"/>
              <w:keepLines w:val="0"/>
              <w:widowControl/>
              <w:suppressLineNumbers w:val="0"/>
              <w:jc w:val="center"/>
              <w:textAlignment w:val="center"/>
              <w:rPr>
                <w:rFonts w:ascii="Times New Roman" w:hAnsi="Times New Roman" w:cs="Times New Roman"/>
                <w:szCs w:val="21"/>
              </w:rPr>
            </w:pPr>
            <w:r>
              <w:rPr>
                <w:rFonts w:hint="eastAsia" w:ascii="Times New Roman" w:hAnsi="Times New Roman" w:eastAsia="宋体" w:cs="Times New Roman"/>
                <w:b w:val="0"/>
                <w:bCs/>
                <w:color w:val="auto"/>
                <w:sz w:val="21"/>
                <w:szCs w:val="21"/>
                <w:vertAlign w:val="baseline"/>
                <w:lang w:val="en-US" w:eastAsia="zh-CN"/>
              </w:rPr>
              <w:t>2026.05.06</w:t>
            </w:r>
          </w:p>
        </w:tc>
        <w:tc>
          <w:tcPr>
            <w:tcW w:w="1384" w:type="dxa"/>
            <w:noWrap w:val="0"/>
            <w:vAlign w:val="center"/>
          </w:tcPr>
          <w:p w14:paraId="00A28063">
            <w:pPr>
              <w:keepNext w:val="0"/>
              <w:keepLines w:val="0"/>
              <w:widowControl/>
              <w:suppressLineNumbers w:val="0"/>
              <w:jc w:val="center"/>
              <w:textAlignment w:val="center"/>
              <w:rPr>
                <w:rFonts w:ascii="Times New Roman" w:hAnsi="Times New Roman" w:cs="Times New Roman"/>
                <w:szCs w:val="21"/>
                <w:lang w:bidi="ar"/>
              </w:rPr>
            </w:pPr>
            <w:r>
              <w:rPr>
                <w:rFonts w:hint="eastAsia" w:ascii="Times New Roman" w:hAnsi="Times New Roman" w:eastAsia="宋体" w:cs="Times New Roman"/>
                <w:b w:val="0"/>
                <w:bCs/>
                <w:color w:val="auto"/>
                <w:sz w:val="21"/>
                <w:szCs w:val="21"/>
                <w:vertAlign w:val="baseline"/>
                <w:lang w:val="en-US" w:eastAsia="zh-CN"/>
              </w:rPr>
              <w:t>多云</w:t>
            </w:r>
          </w:p>
        </w:tc>
        <w:tc>
          <w:tcPr>
            <w:tcW w:w="1384" w:type="dxa"/>
            <w:noWrap w:val="0"/>
            <w:vAlign w:val="center"/>
          </w:tcPr>
          <w:p w14:paraId="21D753A6">
            <w:pPr>
              <w:keepNext w:val="0"/>
              <w:keepLines w:val="0"/>
              <w:widowControl/>
              <w:suppressLineNumbers w:val="0"/>
              <w:jc w:val="center"/>
              <w:textAlignment w:val="center"/>
              <w:rPr>
                <w:rFonts w:ascii="Times New Roman" w:hAnsi="Times New Roman" w:cs="Times New Roman"/>
                <w:szCs w:val="21"/>
                <w:lang w:bidi="ar"/>
              </w:rPr>
            </w:pPr>
            <w:r>
              <w:rPr>
                <w:rFonts w:hint="eastAsia" w:ascii="Times New Roman" w:hAnsi="Times New Roman" w:eastAsia="宋体" w:cs="Times New Roman"/>
                <w:b w:val="0"/>
                <w:bCs/>
                <w:color w:val="auto"/>
                <w:sz w:val="21"/>
                <w:szCs w:val="21"/>
                <w:vertAlign w:val="baseline"/>
                <w:lang w:val="en-US" w:eastAsia="zh-CN"/>
              </w:rPr>
              <w:t>1.4-2.2</w:t>
            </w:r>
            <w:r>
              <w:rPr>
                <w:rFonts w:hint="default" w:ascii="Times New Roman" w:hAnsi="Times New Roman" w:eastAsia="宋体" w:cs="Times New Roman"/>
                <w:b w:val="0"/>
                <w:bCs/>
                <w:color w:val="auto"/>
                <w:sz w:val="21"/>
                <w:szCs w:val="21"/>
                <w:vertAlign w:val="baseline"/>
                <w:lang w:val="en-US" w:eastAsia="zh-CN"/>
              </w:rPr>
              <w:t>m/s</w:t>
            </w:r>
          </w:p>
        </w:tc>
        <w:tc>
          <w:tcPr>
            <w:tcW w:w="1163" w:type="dxa"/>
            <w:noWrap w:val="0"/>
            <w:vAlign w:val="center"/>
          </w:tcPr>
          <w:p w14:paraId="6F184DC3">
            <w:pPr>
              <w:keepNext w:val="0"/>
              <w:keepLines w:val="0"/>
              <w:widowControl/>
              <w:suppressLineNumbers w:val="0"/>
              <w:jc w:val="center"/>
              <w:textAlignment w:val="center"/>
              <w:rPr>
                <w:rFonts w:ascii="Times New Roman" w:hAnsi="Times New Roman" w:cs="Times New Roman"/>
                <w:szCs w:val="21"/>
                <w:lang w:bidi="ar"/>
              </w:rPr>
            </w:pPr>
            <w:r>
              <w:rPr>
                <w:rFonts w:hint="eastAsia" w:ascii="Times New Roman" w:hAnsi="Times New Roman" w:eastAsia="宋体" w:cs="Times New Roman"/>
                <w:b w:val="0"/>
                <w:bCs/>
                <w:color w:val="auto"/>
                <w:sz w:val="21"/>
                <w:szCs w:val="21"/>
                <w:vertAlign w:val="baseline"/>
                <w:lang w:val="en-US" w:eastAsia="zh-CN"/>
              </w:rPr>
              <w:t>西南</w:t>
            </w:r>
          </w:p>
        </w:tc>
        <w:tc>
          <w:tcPr>
            <w:tcW w:w="1335" w:type="dxa"/>
            <w:noWrap w:val="0"/>
            <w:vAlign w:val="center"/>
          </w:tcPr>
          <w:p w14:paraId="4CAED8A6">
            <w:pPr>
              <w:keepNext w:val="0"/>
              <w:keepLines w:val="0"/>
              <w:widowControl/>
              <w:suppressLineNumbers w:val="0"/>
              <w:jc w:val="center"/>
              <w:textAlignment w:val="center"/>
              <w:rPr>
                <w:rFonts w:ascii="Times New Roman" w:hAnsi="Times New Roman" w:cs="Times New Roman"/>
                <w:szCs w:val="21"/>
                <w:lang w:bidi="ar"/>
              </w:rPr>
            </w:pPr>
            <w:r>
              <w:rPr>
                <w:rFonts w:hint="eastAsia" w:ascii="Times New Roman" w:hAnsi="Times New Roman" w:eastAsia="宋体" w:cs="Times New Roman"/>
                <w:b w:val="0"/>
                <w:bCs/>
                <w:color w:val="auto"/>
                <w:sz w:val="21"/>
                <w:szCs w:val="21"/>
                <w:vertAlign w:val="baseline"/>
                <w:lang w:val="en-US" w:eastAsia="zh-CN"/>
              </w:rPr>
              <w:t>10-19</w:t>
            </w:r>
            <w:r>
              <w:rPr>
                <w:rFonts w:hint="default" w:ascii="Times New Roman" w:hAnsi="Times New Roman" w:eastAsia="宋体" w:cs="Times New Roman"/>
                <w:b w:val="0"/>
                <w:bCs/>
                <w:color w:val="auto"/>
                <w:sz w:val="21"/>
                <w:szCs w:val="21"/>
                <w:vertAlign w:val="baseline"/>
                <w:lang w:val="en-US" w:eastAsia="zh-CN"/>
              </w:rPr>
              <w:t>℃</w:t>
            </w:r>
          </w:p>
        </w:tc>
        <w:tc>
          <w:tcPr>
            <w:tcW w:w="1654" w:type="dxa"/>
            <w:noWrap w:val="0"/>
            <w:vAlign w:val="center"/>
          </w:tcPr>
          <w:p w14:paraId="44DD9F41">
            <w:pPr>
              <w:keepNext w:val="0"/>
              <w:keepLines w:val="0"/>
              <w:widowControl/>
              <w:suppressLineNumbers w:val="0"/>
              <w:jc w:val="center"/>
              <w:textAlignment w:val="center"/>
              <w:rPr>
                <w:rFonts w:ascii="Times New Roman" w:hAnsi="Times New Roman" w:cs="Times New Roman"/>
                <w:szCs w:val="21"/>
              </w:rPr>
            </w:pPr>
            <w:r>
              <w:rPr>
                <w:rFonts w:hint="eastAsia" w:ascii="Times New Roman" w:hAnsi="Times New Roman" w:eastAsia="宋体" w:cs="Times New Roman"/>
                <w:b w:val="0"/>
                <w:bCs/>
                <w:color w:val="auto"/>
                <w:sz w:val="21"/>
                <w:szCs w:val="21"/>
                <w:vertAlign w:val="baseline"/>
                <w:lang w:val="en-US" w:eastAsia="zh-CN"/>
              </w:rPr>
              <w:t>100.1-100.9</w:t>
            </w:r>
            <w:r>
              <w:rPr>
                <w:rFonts w:hint="default" w:ascii="Times New Roman" w:hAnsi="Times New Roman" w:eastAsia="宋体" w:cs="Times New Roman"/>
                <w:b w:val="0"/>
                <w:bCs/>
                <w:color w:val="auto"/>
                <w:sz w:val="21"/>
                <w:szCs w:val="21"/>
                <w:vertAlign w:val="baseline"/>
                <w:lang w:val="en-US" w:eastAsia="zh-CN"/>
              </w:rPr>
              <w:t>kPa</w:t>
            </w:r>
          </w:p>
        </w:tc>
      </w:tr>
    </w:tbl>
    <w:p w14:paraId="78851D64">
      <w:pPr>
        <w:spacing w:line="500" w:lineRule="exact"/>
        <w:ind w:firstLine="482" w:firstLineChars="200"/>
        <w:rPr>
          <w:rFonts w:ascii="Times New Roman" w:hAnsi="Times New Roman" w:cs="Times New Roman"/>
          <w:b/>
        </w:rPr>
      </w:pPr>
      <w:r>
        <w:rPr>
          <w:rFonts w:hint="eastAsia"/>
          <w:b/>
        </w:rPr>
        <w:t>③</w:t>
      </w:r>
      <w:r>
        <w:rPr>
          <w:rFonts w:ascii="Times New Roman" w:hAnsi="Times New Roman" w:cs="Times New Roman"/>
          <w:b/>
        </w:rPr>
        <w:t>大气环境现状监测结果分析</w:t>
      </w:r>
    </w:p>
    <w:p w14:paraId="0E884C2B">
      <w:pPr>
        <w:spacing w:line="500" w:lineRule="exact"/>
        <w:ind w:firstLine="482"/>
        <w:rPr>
          <w:rFonts w:hint="eastAsia" w:ascii="Times New Roman" w:hAnsi="Times New Roman" w:cs="Times New Roman"/>
        </w:rPr>
      </w:pPr>
      <w:r>
        <w:rPr>
          <w:rFonts w:ascii="Times New Roman" w:hAnsi="Times New Roman" w:cs="Times New Roman"/>
        </w:rPr>
        <w:t>监测结果见表4.2-5。</w:t>
      </w:r>
    </w:p>
    <w:p w14:paraId="55BB78D6">
      <w:pPr>
        <w:tabs>
          <w:tab w:val="left" w:pos="2338"/>
        </w:tabs>
        <w:spacing w:line="360" w:lineRule="auto"/>
        <w:jc w:val="center"/>
        <w:rPr>
          <w:rFonts w:hint="eastAsia" w:ascii="Times New Roman" w:hAnsi="Times New Roman" w:eastAsia="黑体" w:cs="Times New Roman"/>
          <w:lang w:val="zh-CN"/>
        </w:rPr>
      </w:pPr>
      <w:r>
        <w:rPr>
          <w:rFonts w:ascii="Times New Roman" w:hAnsi="Times New Roman" w:eastAsia="黑体" w:cs="Times New Roman"/>
          <w:lang w:val="zh-CN"/>
        </w:rPr>
        <w:t>表4.2-5  环境空气监测结果统计表</w:t>
      </w:r>
    </w:p>
    <w:tbl>
      <w:tblPr>
        <w:tblStyle w:val="56"/>
        <w:tblW w:w="4995"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829"/>
        <w:gridCol w:w="1262"/>
        <w:gridCol w:w="964"/>
        <w:gridCol w:w="1252"/>
        <w:gridCol w:w="1167"/>
        <w:gridCol w:w="1879"/>
        <w:gridCol w:w="903"/>
        <w:gridCol w:w="457"/>
      </w:tblGrid>
      <w:tr w14:paraId="3381ADA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75" w:type="pct"/>
            <w:tcBorders>
              <w:tl2br w:val="nil"/>
              <w:tr2bl w:val="nil"/>
            </w:tcBorders>
            <w:noWrap w:val="0"/>
            <w:vAlign w:val="center"/>
          </w:tcPr>
          <w:p w14:paraId="248638EB">
            <w:pPr>
              <w:pStyle w:val="718"/>
              <w:bidi w:val="0"/>
              <w:jc w:val="center"/>
              <w:rPr>
                <w:rFonts w:hint="default" w:ascii="Times New Roman" w:hAnsi="Times New Roman" w:eastAsia="宋体" w:cs="Times New Roman"/>
                <w:color w:val="000000"/>
                <w:sz w:val="21"/>
                <w:szCs w:val="21"/>
                <w:highlight w:val="none"/>
              </w:rPr>
            </w:pPr>
            <w:r>
              <w:rPr>
                <w:rFonts w:hint="default" w:ascii="Times New Roman" w:hAnsi="Times New Roman" w:eastAsia="宋体" w:cs="Times New Roman"/>
                <w:color w:val="000000"/>
                <w:sz w:val="21"/>
                <w:szCs w:val="21"/>
                <w:highlight w:val="none"/>
              </w:rPr>
              <w:t>监测</w:t>
            </w:r>
          </w:p>
          <w:p w14:paraId="1127A568">
            <w:pPr>
              <w:pStyle w:val="718"/>
              <w:bidi w:val="0"/>
              <w:jc w:val="center"/>
              <w:rPr>
                <w:rFonts w:hint="default" w:ascii="Times New Roman" w:hAnsi="Times New Roman" w:eastAsia="宋体" w:cs="Times New Roman"/>
                <w:color w:val="000000"/>
                <w:sz w:val="21"/>
                <w:szCs w:val="21"/>
                <w:highlight w:val="none"/>
              </w:rPr>
            </w:pPr>
            <w:r>
              <w:rPr>
                <w:rFonts w:hint="default" w:ascii="Times New Roman" w:hAnsi="Times New Roman" w:eastAsia="宋体" w:cs="Times New Roman"/>
                <w:color w:val="000000"/>
                <w:sz w:val="21"/>
                <w:szCs w:val="21"/>
                <w:highlight w:val="none"/>
              </w:rPr>
              <w:t>点位</w:t>
            </w:r>
          </w:p>
        </w:tc>
        <w:tc>
          <w:tcPr>
            <w:tcW w:w="724" w:type="pct"/>
            <w:tcBorders>
              <w:tl2br w:val="nil"/>
              <w:tr2bl w:val="nil"/>
            </w:tcBorders>
            <w:noWrap w:val="0"/>
            <w:vAlign w:val="center"/>
          </w:tcPr>
          <w:p w14:paraId="514C6934">
            <w:pPr>
              <w:pStyle w:val="718"/>
              <w:bidi w:val="0"/>
              <w:jc w:val="center"/>
              <w:rPr>
                <w:rFonts w:hint="default" w:ascii="Times New Roman" w:hAnsi="Times New Roman" w:eastAsia="宋体" w:cs="Times New Roman"/>
                <w:color w:val="000000"/>
                <w:sz w:val="21"/>
                <w:szCs w:val="21"/>
                <w:highlight w:val="none"/>
                <w:lang w:eastAsia="zh-CN"/>
              </w:rPr>
            </w:pPr>
            <w:r>
              <w:rPr>
                <w:rFonts w:hint="default" w:ascii="Times New Roman" w:hAnsi="Times New Roman" w:eastAsia="宋体" w:cs="Times New Roman"/>
                <w:color w:val="000000"/>
                <w:sz w:val="21"/>
                <w:szCs w:val="21"/>
                <w:highlight w:val="none"/>
                <w:lang w:eastAsia="zh-CN"/>
              </w:rPr>
              <w:t>监测项目</w:t>
            </w:r>
          </w:p>
        </w:tc>
        <w:tc>
          <w:tcPr>
            <w:tcW w:w="553" w:type="pct"/>
            <w:tcBorders>
              <w:tl2br w:val="nil"/>
              <w:tr2bl w:val="nil"/>
            </w:tcBorders>
            <w:noWrap w:val="0"/>
            <w:vAlign w:val="center"/>
          </w:tcPr>
          <w:p w14:paraId="2C15EE2C">
            <w:pPr>
              <w:pStyle w:val="718"/>
              <w:bidi w:val="0"/>
              <w:jc w:val="center"/>
              <w:rPr>
                <w:rFonts w:hint="default" w:ascii="Times New Roman" w:hAnsi="Times New Roman" w:eastAsia="宋体" w:cs="Times New Roman"/>
                <w:color w:val="000000"/>
                <w:sz w:val="21"/>
                <w:szCs w:val="21"/>
                <w:highlight w:val="none"/>
              </w:rPr>
            </w:pPr>
            <w:r>
              <w:rPr>
                <w:rFonts w:hint="default" w:ascii="Times New Roman" w:hAnsi="Times New Roman" w:eastAsia="宋体" w:cs="Times New Roman"/>
                <w:color w:val="000000"/>
                <w:sz w:val="21"/>
                <w:szCs w:val="21"/>
                <w:highlight w:val="none"/>
              </w:rPr>
              <w:t>采样时间</w:t>
            </w:r>
          </w:p>
        </w:tc>
        <w:tc>
          <w:tcPr>
            <w:tcW w:w="718" w:type="pct"/>
            <w:tcBorders>
              <w:tl2br w:val="nil"/>
              <w:tr2bl w:val="nil"/>
            </w:tcBorders>
            <w:noWrap w:val="0"/>
            <w:vAlign w:val="center"/>
          </w:tcPr>
          <w:p w14:paraId="5CAB6F88">
            <w:pPr>
              <w:pStyle w:val="718"/>
              <w:bidi w:val="0"/>
              <w:jc w:val="center"/>
              <w:rPr>
                <w:rFonts w:hint="default" w:ascii="Times New Roman" w:hAnsi="Times New Roman" w:eastAsia="宋体" w:cs="Times New Roman"/>
                <w:color w:val="000000"/>
                <w:sz w:val="21"/>
                <w:szCs w:val="21"/>
                <w:highlight w:val="none"/>
                <w:lang w:val="en-US" w:eastAsia="zh-CN"/>
              </w:rPr>
            </w:pPr>
            <w:r>
              <w:rPr>
                <w:rFonts w:hint="default" w:ascii="Times New Roman" w:hAnsi="Times New Roman" w:eastAsia="宋体" w:cs="Times New Roman"/>
                <w:color w:val="000000"/>
                <w:sz w:val="21"/>
                <w:szCs w:val="21"/>
                <w:highlight w:val="none"/>
                <w:lang w:val="en-US" w:eastAsia="zh-CN"/>
              </w:rPr>
              <w:t>单位</w:t>
            </w:r>
          </w:p>
        </w:tc>
        <w:tc>
          <w:tcPr>
            <w:tcW w:w="669" w:type="pct"/>
            <w:tcBorders>
              <w:tl2br w:val="nil"/>
              <w:tr2bl w:val="nil"/>
            </w:tcBorders>
            <w:noWrap w:val="0"/>
            <w:vAlign w:val="center"/>
          </w:tcPr>
          <w:p w14:paraId="33C7155C">
            <w:pPr>
              <w:pStyle w:val="718"/>
              <w:bidi w:val="0"/>
              <w:jc w:val="center"/>
              <w:rPr>
                <w:rFonts w:hint="default" w:ascii="Times New Roman" w:hAnsi="Times New Roman" w:eastAsia="宋体" w:cs="Times New Roman"/>
                <w:color w:val="000000"/>
                <w:sz w:val="21"/>
                <w:szCs w:val="21"/>
                <w:highlight w:val="none"/>
              </w:rPr>
            </w:pPr>
            <w:r>
              <w:rPr>
                <w:rFonts w:hint="default" w:ascii="Times New Roman" w:hAnsi="Times New Roman" w:eastAsia="宋体" w:cs="Times New Roman"/>
                <w:color w:val="000000"/>
                <w:sz w:val="21"/>
                <w:szCs w:val="21"/>
                <w:highlight w:val="none"/>
              </w:rPr>
              <w:t>评价标准</w:t>
            </w:r>
          </w:p>
        </w:tc>
        <w:tc>
          <w:tcPr>
            <w:tcW w:w="1078" w:type="pct"/>
            <w:tcBorders>
              <w:tl2br w:val="nil"/>
              <w:tr2bl w:val="nil"/>
            </w:tcBorders>
            <w:noWrap w:val="0"/>
            <w:vAlign w:val="center"/>
          </w:tcPr>
          <w:p w14:paraId="4444A646">
            <w:pPr>
              <w:pStyle w:val="718"/>
              <w:bidi w:val="0"/>
              <w:jc w:val="center"/>
              <w:rPr>
                <w:rFonts w:hint="default" w:ascii="Times New Roman" w:hAnsi="Times New Roman" w:eastAsia="宋体" w:cs="Times New Roman"/>
                <w:color w:val="000000"/>
                <w:sz w:val="21"/>
                <w:szCs w:val="21"/>
                <w:highlight w:val="none"/>
              </w:rPr>
            </w:pPr>
            <w:r>
              <w:rPr>
                <w:rFonts w:hint="default" w:ascii="Times New Roman" w:hAnsi="Times New Roman" w:eastAsia="宋体" w:cs="Times New Roman"/>
                <w:color w:val="000000"/>
                <w:sz w:val="21"/>
                <w:szCs w:val="21"/>
                <w:highlight w:val="none"/>
              </w:rPr>
              <w:t>监测浓度范围</w:t>
            </w:r>
          </w:p>
        </w:tc>
        <w:tc>
          <w:tcPr>
            <w:tcW w:w="518" w:type="pct"/>
            <w:tcBorders>
              <w:tl2br w:val="nil"/>
              <w:tr2bl w:val="nil"/>
            </w:tcBorders>
            <w:noWrap w:val="0"/>
            <w:vAlign w:val="center"/>
          </w:tcPr>
          <w:p w14:paraId="51B81BA4">
            <w:pPr>
              <w:pStyle w:val="718"/>
              <w:bidi w:val="0"/>
              <w:jc w:val="center"/>
              <w:rPr>
                <w:rFonts w:hint="default" w:ascii="Times New Roman" w:hAnsi="Times New Roman" w:eastAsia="宋体" w:cs="Times New Roman"/>
                <w:color w:val="000000"/>
                <w:sz w:val="21"/>
                <w:szCs w:val="21"/>
                <w:highlight w:val="none"/>
              </w:rPr>
            </w:pPr>
            <w:r>
              <w:rPr>
                <w:rFonts w:hint="default" w:ascii="Times New Roman" w:hAnsi="Times New Roman" w:eastAsia="宋体" w:cs="Times New Roman"/>
                <w:color w:val="000000"/>
                <w:sz w:val="21"/>
                <w:szCs w:val="21"/>
                <w:highlight w:val="none"/>
              </w:rPr>
              <w:t>最大浓度占标率/%</w:t>
            </w:r>
          </w:p>
        </w:tc>
        <w:tc>
          <w:tcPr>
            <w:tcW w:w="262" w:type="pct"/>
            <w:tcBorders>
              <w:tl2br w:val="nil"/>
              <w:tr2bl w:val="nil"/>
            </w:tcBorders>
            <w:noWrap w:val="0"/>
            <w:vAlign w:val="center"/>
          </w:tcPr>
          <w:p w14:paraId="13804578">
            <w:pPr>
              <w:pStyle w:val="718"/>
              <w:bidi w:val="0"/>
              <w:jc w:val="center"/>
              <w:rPr>
                <w:rFonts w:hint="default" w:ascii="Times New Roman" w:hAnsi="Times New Roman" w:eastAsia="宋体" w:cs="Times New Roman"/>
                <w:color w:val="000000"/>
                <w:sz w:val="21"/>
                <w:szCs w:val="21"/>
                <w:highlight w:val="none"/>
              </w:rPr>
            </w:pPr>
            <w:r>
              <w:rPr>
                <w:rFonts w:hint="default" w:ascii="Times New Roman" w:hAnsi="Times New Roman" w:eastAsia="宋体" w:cs="Times New Roman"/>
                <w:color w:val="000000"/>
                <w:sz w:val="21"/>
                <w:szCs w:val="21"/>
                <w:highlight w:val="none"/>
              </w:rPr>
              <w:t>超标率</w:t>
            </w:r>
          </w:p>
        </w:tc>
      </w:tr>
      <w:tr w14:paraId="7FDF755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75" w:type="pct"/>
            <w:vMerge w:val="restart"/>
            <w:tcBorders>
              <w:tl2br w:val="nil"/>
              <w:tr2bl w:val="nil"/>
            </w:tcBorders>
            <w:noWrap w:val="0"/>
            <w:vAlign w:val="center"/>
          </w:tcPr>
          <w:p w14:paraId="70550F5B">
            <w:pPr>
              <w:pStyle w:val="718"/>
              <w:bidi w:val="0"/>
              <w:jc w:val="center"/>
              <w:rPr>
                <w:rFonts w:hint="default" w:ascii="Times New Roman" w:hAnsi="Times New Roman" w:eastAsia="宋体" w:cs="Times New Roman"/>
                <w:color w:val="000000"/>
                <w:sz w:val="21"/>
                <w:szCs w:val="21"/>
                <w:highlight w:val="none"/>
                <w:lang w:val="en-US" w:eastAsia="zh-CN"/>
              </w:rPr>
            </w:pPr>
            <w:r>
              <w:rPr>
                <w:rFonts w:hint="default" w:ascii="Times New Roman" w:hAnsi="Times New Roman" w:eastAsia="宋体" w:cs="Times New Roman"/>
                <w:b w:val="0"/>
                <w:bCs w:val="0"/>
                <w:snapToGrid w:val="0"/>
                <w:color w:val="auto"/>
                <w:kern w:val="0"/>
                <w:sz w:val="21"/>
                <w:szCs w:val="21"/>
                <w:lang w:val="en-US" w:eastAsia="zh-CN"/>
              </w:rPr>
              <w:t>厂区内</w:t>
            </w:r>
          </w:p>
        </w:tc>
        <w:tc>
          <w:tcPr>
            <w:tcW w:w="724" w:type="pct"/>
            <w:tcBorders>
              <w:tl2br w:val="nil"/>
              <w:tr2bl w:val="nil"/>
            </w:tcBorders>
            <w:noWrap w:val="0"/>
            <w:vAlign w:val="center"/>
          </w:tcPr>
          <w:p w14:paraId="53391321">
            <w:pPr>
              <w:pStyle w:val="718"/>
              <w:bidi w:val="0"/>
              <w:ind w:left="0" w:leftChars="0" w:firstLine="0" w:firstLineChars="0"/>
              <w:jc w:val="center"/>
              <w:rPr>
                <w:rFonts w:hint="default" w:ascii="Times New Roman" w:hAnsi="Times New Roman" w:eastAsia="宋体" w:cs="Times New Roman"/>
                <w:color w:val="000000"/>
                <w:kern w:val="2"/>
                <w:sz w:val="21"/>
                <w:szCs w:val="21"/>
                <w:highlight w:val="none"/>
                <w:lang w:val="en-US" w:eastAsia="zh-CN" w:bidi="ar-SA"/>
              </w:rPr>
            </w:pPr>
            <w:r>
              <w:rPr>
                <w:rFonts w:hint="default" w:ascii="Times New Roman" w:hAnsi="Times New Roman" w:eastAsia="宋体" w:cs="Times New Roman"/>
                <w:color w:val="000000"/>
                <w:sz w:val="21"/>
                <w:szCs w:val="21"/>
                <w:highlight w:val="none"/>
                <w:lang w:val="en-US" w:eastAsia="zh-CN" w:bidi="ar-SA"/>
              </w:rPr>
              <w:t>TSP</w:t>
            </w:r>
          </w:p>
        </w:tc>
        <w:tc>
          <w:tcPr>
            <w:tcW w:w="553" w:type="pct"/>
            <w:tcBorders>
              <w:tl2br w:val="nil"/>
              <w:tr2bl w:val="nil"/>
            </w:tcBorders>
            <w:noWrap w:val="0"/>
            <w:vAlign w:val="center"/>
          </w:tcPr>
          <w:p w14:paraId="721A8928">
            <w:pPr>
              <w:pStyle w:val="718"/>
              <w:bidi w:val="0"/>
              <w:ind w:left="0" w:leftChars="0" w:firstLine="0" w:firstLineChars="0"/>
              <w:jc w:val="center"/>
              <w:rPr>
                <w:rFonts w:hint="default" w:ascii="Times New Roman" w:hAnsi="Times New Roman" w:eastAsia="宋体" w:cs="Times New Roman"/>
                <w:color w:val="000000"/>
                <w:kern w:val="2"/>
                <w:sz w:val="21"/>
                <w:szCs w:val="21"/>
                <w:highlight w:val="none"/>
                <w:lang w:val="en-US" w:eastAsia="zh-CN" w:bidi="ar-SA"/>
              </w:rPr>
            </w:pPr>
            <w:r>
              <w:rPr>
                <w:rFonts w:hint="default" w:ascii="Times New Roman" w:hAnsi="Times New Roman" w:eastAsia="宋体" w:cs="Times New Roman"/>
                <w:color w:val="000000"/>
                <w:sz w:val="21"/>
                <w:szCs w:val="21"/>
                <w:highlight w:val="none"/>
                <w:lang w:eastAsia="zh-CN"/>
              </w:rPr>
              <w:t>日均值</w:t>
            </w:r>
          </w:p>
        </w:tc>
        <w:tc>
          <w:tcPr>
            <w:tcW w:w="718" w:type="pct"/>
            <w:tcBorders>
              <w:tl2br w:val="nil"/>
              <w:tr2bl w:val="nil"/>
            </w:tcBorders>
            <w:noWrap w:val="0"/>
            <w:vAlign w:val="center"/>
          </w:tcPr>
          <w:p w14:paraId="0816FB4E">
            <w:pPr>
              <w:pStyle w:val="718"/>
              <w:bidi w:val="0"/>
              <w:ind w:left="0" w:leftChars="0" w:firstLine="0" w:firstLineChars="0"/>
              <w:jc w:val="center"/>
              <w:rPr>
                <w:rFonts w:hint="default" w:ascii="Times New Roman" w:hAnsi="Times New Roman" w:eastAsia="宋体" w:cs="Times New Roman"/>
                <w:color w:val="000000"/>
                <w:kern w:val="2"/>
                <w:sz w:val="21"/>
                <w:szCs w:val="21"/>
                <w:highlight w:val="none"/>
                <w:lang w:val="en-US" w:eastAsia="zh-CN" w:bidi="ar-SA"/>
              </w:rPr>
            </w:pPr>
            <w:r>
              <w:rPr>
                <w:rFonts w:hint="default" w:ascii="Times New Roman" w:hAnsi="Times New Roman" w:eastAsia="宋体" w:cs="Times New Roman"/>
                <w:color w:val="000000"/>
                <w:sz w:val="21"/>
                <w:szCs w:val="21"/>
                <w:highlight w:val="none"/>
                <w:lang w:val="en-US" w:eastAsia="zh-CN"/>
              </w:rPr>
              <w:t>mg/m</w:t>
            </w:r>
            <w:r>
              <w:rPr>
                <w:rFonts w:hint="default" w:ascii="Times New Roman" w:hAnsi="Times New Roman" w:eastAsia="宋体" w:cs="Times New Roman"/>
                <w:color w:val="000000"/>
                <w:sz w:val="21"/>
                <w:szCs w:val="21"/>
                <w:highlight w:val="none"/>
                <w:vertAlign w:val="superscript"/>
                <w:lang w:val="en-US" w:eastAsia="zh-CN"/>
              </w:rPr>
              <w:t>3</w:t>
            </w:r>
          </w:p>
        </w:tc>
        <w:tc>
          <w:tcPr>
            <w:tcW w:w="669" w:type="pct"/>
            <w:tcBorders>
              <w:tl2br w:val="nil"/>
              <w:tr2bl w:val="nil"/>
            </w:tcBorders>
            <w:noWrap w:val="0"/>
            <w:vAlign w:val="center"/>
          </w:tcPr>
          <w:p w14:paraId="41F495B8">
            <w:pPr>
              <w:pStyle w:val="718"/>
              <w:bidi w:val="0"/>
              <w:ind w:left="0" w:leftChars="0" w:firstLine="0" w:firstLineChars="0"/>
              <w:jc w:val="center"/>
              <w:rPr>
                <w:rFonts w:hint="default" w:ascii="Times New Roman" w:hAnsi="Times New Roman" w:eastAsia="宋体" w:cs="Times New Roman"/>
                <w:color w:val="000000"/>
                <w:kern w:val="2"/>
                <w:sz w:val="21"/>
                <w:szCs w:val="21"/>
                <w:highlight w:val="none"/>
                <w:lang w:val="en-US" w:eastAsia="zh-CN" w:bidi="ar-SA"/>
              </w:rPr>
            </w:pPr>
            <w:r>
              <w:rPr>
                <w:rFonts w:hint="default" w:ascii="Times New Roman" w:hAnsi="Times New Roman" w:eastAsia="宋体" w:cs="Times New Roman"/>
                <w:color w:val="000000"/>
                <w:sz w:val="21"/>
                <w:szCs w:val="21"/>
                <w:highlight w:val="none"/>
                <w:lang w:val="en-US" w:eastAsia="zh-CN"/>
              </w:rPr>
              <w:t>0.</w:t>
            </w:r>
            <w:r>
              <w:rPr>
                <w:rFonts w:hint="eastAsia" w:cs="Times New Roman"/>
                <w:color w:val="000000"/>
                <w:sz w:val="21"/>
                <w:szCs w:val="21"/>
                <w:highlight w:val="none"/>
                <w:lang w:val="en-US" w:eastAsia="zh-CN"/>
              </w:rPr>
              <w:t>3</w:t>
            </w:r>
          </w:p>
        </w:tc>
        <w:tc>
          <w:tcPr>
            <w:tcW w:w="1078" w:type="pct"/>
            <w:tcBorders>
              <w:tl2br w:val="nil"/>
              <w:tr2bl w:val="nil"/>
            </w:tcBorders>
            <w:noWrap w:val="0"/>
            <w:vAlign w:val="center"/>
          </w:tcPr>
          <w:p w14:paraId="5FC7BD79">
            <w:pPr>
              <w:pStyle w:val="718"/>
              <w:bidi w:val="0"/>
              <w:ind w:left="0" w:leftChars="0" w:firstLine="0" w:firstLineChars="0"/>
              <w:jc w:val="center"/>
              <w:rPr>
                <w:rFonts w:hint="default" w:ascii="Times New Roman" w:hAnsi="Times New Roman" w:eastAsia="宋体" w:cs="Times New Roman"/>
                <w:color w:val="000000"/>
                <w:kern w:val="2"/>
                <w:sz w:val="21"/>
                <w:szCs w:val="21"/>
                <w:highlight w:val="none"/>
                <w:lang w:val="en-US" w:eastAsia="zh-CN" w:bidi="ar-SA"/>
              </w:rPr>
            </w:pPr>
            <w:r>
              <w:rPr>
                <w:rFonts w:hint="default" w:ascii="Times New Roman" w:hAnsi="Times New Roman" w:eastAsia="宋体" w:cs="Times New Roman"/>
                <w:color w:val="000000"/>
                <w:sz w:val="21"/>
                <w:szCs w:val="21"/>
                <w:highlight w:val="none"/>
                <w:lang w:val="en-US" w:eastAsia="zh-CN"/>
              </w:rPr>
              <w:t>0.04-0.0</w:t>
            </w:r>
            <w:r>
              <w:rPr>
                <w:rFonts w:hint="eastAsia" w:cs="Times New Roman"/>
                <w:color w:val="000000"/>
                <w:sz w:val="21"/>
                <w:szCs w:val="21"/>
                <w:highlight w:val="none"/>
                <w:lang w:val="en-US" w:eastAsia="zh-CN"/>
              </w:rPr>
              <w:t>49</w:t>
            </w:r>
          </w:p>
        </w:tc>
        <w:tc>
          <w:tcPr>
            <w:tcW w:w="518" w:type="pct"/>
            <w:tcBorders>
              <w:tl2br w:val="nil"/>
              <w:tr2bl w:val="nil"/>
            </w:tcBorders>
            <w:noWrap w:val="0"/>
            <w:vAlign w:val="center"/>
          </w:tcPr>
          <w:p w14:paraId="29AFFEDB">
            <w:pPr>
              <w:pStyle w:val="718"/>
              <w:bidi w:val="0"/>
              <w:ind w:left="0" w:leftChars="0" w:firstLine="0" w:firstLineChars="0"/>
              <w:jc w:val="center"/>
              <w:rPr>
                <w:rFonts w:hint="default" w:ascii="Times New Roman" w:hAnsi="Times New Roman" w:eastAsia="宋体" w:cs="Times New Roman"/>
                <w:color w:val="000000"/>
                <w:kern w:val="2"/>
                <w:sz w:val="21"/>
                <w:szCs w:val="21"/>
                <w:highlight w:val="none"/>
                <w:lang w:val="en-US" w:eastAsia="zh-CN" w:bidi="ar-SA"/>
              </w:rPr>
            </w:pPr>
            <w:r>
              <w:rPr>
                <w:rFonts w:hint="eastAsia" w:cs="Times New Roman"/>
                <w:color w:val="000000"/>
                <w:sz w:val="21"/>
                <w:szCs w:val="21"/>
                <w:highlight w:val="none"/>
                <w:lang w:val="en-US" w:eastAsia="zh-CN"/>
              </w:rPr>
              <w:t>16.3</w:t>
            </w:r>
          </w:p>
        </w:tc>
        <w:tc>
          <w:tcPr>
            <w:tcW w:w="262" w:type="pct"/>
            <w:tcBorders>
              <w:tl2br w:val="nil"/>
              <w:tr2bl w:val="nil"/>
            </w:tcBorders>
            <w:noWrap w:val="0"/>
            <w:vAlign w:val="center"/>
          </w:tcPr>
          <w:p w14:paraId="111E0174">
            <w:pPr>
              <w:pStyle w:val="718"/>
              <w:bidi w:val="0"/>
              <w:ind w:left="0" w:leftChars="0" w:firstLine="0" w:firstLineChars="0"/>
              <w:jc w:val="center"/>
              <w:rPr>
                <w:rFonts w:hint="default" w:ascii="Times New Roman" w:hAnsi="Times New Roman" w:eastAsia="宋体" w:cs="Times New Roman"/>
                <w:color w:val="000000"/>
                <w:kern w:val="2"/>
                <w:sz w:val="21"/>
                <w:szCs w:val="21"/>
                <w:highlight w:val="none"/>
                <w:lang w:val="en-US" w:eastAsia="zh-CN" w:bidi="ar-SA"/>
              </w:rPr>
            </w:pPr>
            <w:r>
              <w:rPr>
                <w:rFonts w:hint="default" w:ascii="Times New Roman" w:hAnsi="Times New Roman" w:eastAsia="宋体" w:cs="Times New Roman"/>
                <w:color w:val="000000"/>
                <w:sz w:val="21"/>
                <w:szCs w:val="21"/>
                <w:highlight w:val="none"/>
                <w:lang w:val="en-US" w:eastAsia="zh-CN"/>
              </w:rPr>
              <w:t>0</w:t>
            </w:r>
          </w:p>
        </w:tc>
      </w:tr>
      <w:tr w14:paraId="0A24542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75" w:type="pct"/>
            <w:vMerge w:val="continue"/>
            <w:tcBorders>
              <w:tl2br w:val="nil"/>
              <w:tr2bl w:val="nil"/>
            </w:tcBorders>
            <w:noWrap w:val="0"/>
            <w:vAlign w:val="center"/>
          </w:tcPr>
          <w:p w14:paraId="468A7CF6">
            <w:pPr>
              <w:pStyle w:val="718"/>
              <w:bidi w:val="0"/>
              <w:jc w:val="center"/>
              <w:rPr>
                <w:rFonts w:hint="default" w:ascii="Times New Roman" w:hAnsi="Times New Roman" w:eastAsia="宋体" w:cs="Times New Roman"/>
                <w:color w:val="000000"/>
                <w:sz w:val="21"/>
                <w:szCs w:val="21"/>
                <w:highlight w:val="none"/>
              </w:rPr>
            </w:pPr>
          </w:p>
        </w:tc>
        <w:tc>
          <w:tcPr>
            <w:tcW w:w="724" w:type="pct"/>
            <w:vMerge w:val="restart"/>
            <w:tcBorders>
              <w:tl2br w:val="nil"/>
              <w:tr2bl w:val="nil"/>
            </w:tcBorders>
            <w:noWrap w:val="0"/>
            <w:vAlign w:val="center"/>
          </w:tcPr>
          <w:p w14:paraId="7BF85B19">
            <w:pPr>
              <w:keepNext w:val="0"/>
              <w:keepLines w:val="0"/>
              <w:widowControl/>
              <w:suppressLineNumbers w:val="0"/>
              <w:ind w:left="0" w:leftChars="0" w:firstLine="0" w:firstLineChars="0"/>
              <w:jc w:val="both"/>
              <w:textAlignment w:val="center"/>
              <w:rPr>
                <w:rFonts w:hint="default" w:ascii="Times New Roman" w:hAnsi="Times New Roman" w:eastAsia="宋体" w:cs="Times New Roman"/>
                <w:color w:val="000000"/>
                <w:kern w:val="2"/>
                <w:sz w:val="21"/>
                <w:szCs w:val="21"/>
                <w:highlight w:val="none"/>
                <w:lang w:val="en-US" w:eastAsia="zh-CN" w:bidi="ar-SA"/>
              </w:rPr>
            </w:pPr>
            <w:r>
              <w:rPr>
                <w:rFonts w:hint="default" w:ascii="Times New Roman" w:hAnsi="Times New Roman" w:cs="Times New Roman"/>
                <w:color w:val="auto"/>
                <w:kern w:val="2"/>
                <w:sz w:val="21"/>
                <w:szCs w:val="21"/>
                <w:u w:val="none"/>
                <w:vertAlign w:val="baseline"/>
                <w:lang w:val="en-US" w:eastAsia="zh-CN" w:bidi="ar-SA"/>
              </w:rPr>
              <w:t>氟化物</w:t>
            </w:r>
          </w:p>
        </w:tc>
        <w:tc>
          <w:tcPr>
            <w:tcW w:w="553" w:type="pct"/>
            <w:tcBorders>
              <w:tl2br w:val="nil"/>
              <w:tr2bl w:val="nil"/>
            </w:tcBorders>
            <w:noWrap w:val="0"/>
            <w:vAlign w:val="center"/>
          </w:tcPr>
          <w:p w14:paraId="7E383F96">
            <w:pPr>
              <w:pStyle w:val="718"/>
              <w:bidi w:val="0"/>
              <w:ind w:left="0" w:leftChars="0" w:firstLine="0" w:firstLineChars="0"/>
              <w:jc w:val="center"/>
              <w:rPr>
                <w:rFonts w:hint="default" w:ascii="Times New Roman" w:hAnsi="Times New Roman" w:eastAsia="宋体" w:cs="Times New Roman"/>
                <w:color w:val="000000"/>
                <w:kern w:val="2"/>
                <w:sz w:val="21"/>
                <w:szCs w:val="21"/>
                <w:highlight w:val="none"/>
                <w:lang w:val="en-US" w:eastAsia="zh-CN" w:bidi="ar-SA"/>
              </w:rPr>
            </w:pPr>
            <w:r>
              <w:rPr>
                <w:rFonts w:hint="default" w:ascii="Times New Roman" w:hAnsi="Times New Roman" w:cs="Times New Roman"/>
                <w:color w:val="auto"/>
                <w:kern w:val="2"/>
                <w:sz w:val="21"/>
                <w:szCs w:val="21"/>
                <w:u w:val="none"/>
                <w:vertAlign w:val="baseline"/>
                <w:lang w:val="en-US" w:eastAsia="zh-CN" w:bidi="ar-SA"/>
              </w:rPr>
              <w:t>小时值</w:t>
            </w:r>
          </w:p>
        </w:tc>
        <w:tc>
          <w:tcPr>
            <w:tcW w:w="718" w:type="pct"/>
            <w:tcBorders>
              <w:tl2br w:val="nil"/>
              <w:tr2bl w:val="nil"/>
            </w:tcBorders>
            <w:noWrap w:val="0"/>
            <w:vAlign w:val="center"/>
          </w:tcPr>
          <w:p w14:paraId="71AEFF0E">
            <w:pPr>
              <w:pStyle w:val="718"/>
              <w:bidi w:val="0"/>
              <w:ind w:left="0" w:leftChars="0" w:firstLine="0" w:firstLineChars="0"/>
              <w:jc w:val="center"/>
              <w:rPr>
                <w:rFonts w:hint="default" w:ascii="Times New Roman" w:hAnsi="Times New Roman" w:eastAsia="宋体" w:cs="Times New Roman"/>
                <w:color w:val="000000"/>
                <w:kern w:val="2"/>
                <w:sz w:val="21"/>
                <w:szCs w:val="21"/>
                <w:highlight w:val="none"/>
                <w:lang w:val="en-US" w:eastAsia="zh-CN" w:bidi="ar-SA"/>
              </w:rPr>
            </w:pPr>
            <w:r>
              <w:rPr>
                <w:rFonts w:hint="default" w:ascii="Times New Roman" w:hAnsi="Times New Roman" w:eastAsia="宋体" w:cs="Times New Roman"/>
                <w:color w:val="000000"/>
                <w:sz w:val="21"/>
                <w:szCs w:val="21"/>
                <w:highlight w:val="none"/>
                <w:lang w:val="en-US" w:eastAsia="zh-CN"/>
              </w:rPr>
              <w:t>μg/m</w:t>
            </w:r>
            <w:r>
              <w:rPr>
                <w:rFonts w:hint="default" w:ascii="Times New Roman" w:hAnsi="Times New Roman" w:eastAsia="宋体" w:cs="Times New Roman"/>
                <w:color w:val="000000"/>
                <w:sz w:val="21"/>
                <w:szCs w:val="21"/>
                <w:highlight w:val="none"/>
                <w:vertAlign w:val="superscript"/>
                <w:lang w:val="en-US" w:eastAsia="zh-CN"/>
              </w:rPr>
              <w:t>3</w:t>
            </w:r>
          </w:p>
        </w:tc>
        <w:tc>
          <w:tcPr>
            <w:tcW w:w="669" w:type="pct"/>
            <w:tcBorders>
              <w:tl2br w:val="nil"/>
              <w:tr2bl w:val="nil"/>
            </w:tcBorders>
            <w:noWrap w:val="0"/>
            <w:vAlign w:val="center"/>
          </w:tcPr>
          <w:p w14:paraId="2D94DEB8">
            <w:pPr>
              <w:widowControl/>
              <w:spacing w:line="240" w:lineRule="auto"/>
              <w:ind w:right="-64" w:rightChars="0" w:firstLine="0" w:firstLineChars="0"/>
              <w:jc w:val="center"/>
              <w:rPr>
                <w:rFonts w:hint="default" w:ascii="Times New Roman" w:hAnsi="Times New Roman" w:eastAsia="宋体" w:cs="Times New Roman"/>
                <w:color w:val="000000"/>
                <w:kern w:val="2"/>
                <w:sz w:val="21"/>
                <w:szCs w:val="21"/>
                <w:highlight w:val="none"/>
                <w:lang w:val="en-US" w:eastAsia="zh-CN" w:bidi="ar-SA"/>
              </w:rPr>
            </w:pPr>
            <w:r>
              <w:rPr>
                <w:rFonts w:hint="eastAsia" w:ascii="Times New Roman" w:hAnsi="Times New Roman" w:eastAsia="宋体" w:cs="Times New Roman"/>
                <w:kern w:val="0"/>
                <w:sz w:val="21"/>
                <w:szCs w:val="21"/>
                <w:lang w:val="en-US" w:eastAsia="zh-CN"/>
              </w:rPr>
              <w:t>20</w:t>
            </w:r>
          </w:p>
        </w:tc>
        <w:tc>
          <w:tcPr>
            <w:tcW w:w="1078" w:type="pct"/>
            <w:tcBorders>
              <w:tl2br w:val="nil"/>
              <w:tr2bl w:val="nil"/>
            </w:tcBorders>
            <w:noWrap w:val="0"/>
            <w:vAlign w:val="center"/>
          </w:tcPr>
          <w:p w14:paraId="6FE14EC5">
            <w:pPr>
              <w:pStyle w:val="718"/>
              <w:bidi w:val="0"/>
              <w:ind w:left="0" w:leftChars="0" w:firstLine="0" w:firstLineChars="0"/>
              <w:jc w:val="center"/>
              <w:rPr>
                <w:rFonts w:hint="default" w:ascii="Times New Roman" w:hAnsi="Times New Roman" w:eastAsia="宋体" w:cs="Times New Roman"/>
                <w:color w:val="000000"/>
                <w:kern w:val="2"/>
                <w:sz w:val="21"/>
                <w:szCs w:val="21"/>
                <w:highlight w:val="none"/>
                <w:lang w:val="en-US" w:eastAsia="zh-CN" w:bidi="ar-SA"/>
              </w:rPr>
            </w:pPr>
            <w:r>
              <w:rPr>
                <w:rFonts w:hint="default" w:ascii="Times New Roman" w:hAnsi="Times New Roman" w:eastAsia="宋体" w:cs="Times New Roman"/>
                <w:color w:val="000000"/>
                <w:sz w:val="21"/>
                <w:szCs w:val="21"/>
                <w:highlight w:val="none"/>
                <w:lang w:val="en-US" w:eastAsia="zh-CN"/>
              </w:rPr>
              <w:t>ND</w:t>
            </w:r>
          </w:p>
        </w:tc>
        <w:tc>
          <w:tcPr>
            <w:tcW w:w="518" w:type="pct"/>
            <w:tcBorders>
              <w:tl2br w:val="nil"/>
              <w:tr2bl w:val="nil"/>
            </w:tcBorders>
            <w:noWrap w:val="0"/>
            <w:vAlign w:val="center"/>
          </w:tcPr>
          <w:p w14:paraId="69A09EC9">
            <w:pPr>
              <w:pStyle w:val="718"/>
              <w:bidi w:val="0"/>
              <w:ind w:left="0" w:leftChars="0" w:firstLine="0" w:firstLineChars="0"/>
              <w:jc w:val="center"/>
              <w:rPr>
                <w:rFonts w:hint="default" w:ascii="Times New Roman" w:hAnsi="Times New Roman" w:eastAsia="宋体" w:cs="Times New Roman"/>
                <w:color w:val="000000"/>
                <w:kern w:val="2"/>
                <w:sz w:val="21"/>
                <w:szCs w:val="21"/>
                <w:highlight w:val="none"/>
                <w:lang w:val="en-US" w:eastAsia="zh-CN" w:bidi="ar-SA"/>
              </w:rPr>
            </w:pPr>
            <w:r>
              <w:rPr>
                <w:rFonts w:hint="default" w:ascii="Times New Roman" w:hAnsi="Times New Roman" w:eastAsia="宋体" w:cs="Times New Roman"/>
                <w:color w:val="000000"/>
                <w:sz w:val="21"/>
                <w:szCs w:val="21"/>
                <w:highlight w:val="none"/>
                <w:lang w:val="en-US" w:eastAsia="zh-CN"/>
              </w:rPr>
              <w:t>/</w:t>
            </w:r>
          </w:p>
        </w:tc>
        <w:tc>
          <w:tcPr>
            <w:tcW w:w="262" w:type="pct"/>
            <w:tcBorders>
              <w:tl2br w:val="nil"/>
              <w:tr2bl w:val="nil"/>
            </w:tcBorders>
            <w:noWrap w:val="0"/>
            <w:vAlign w:val="center"/>
          </w:tcPr>
          <w:p w14:paraId="4F205621">
            <w:pPr>
              <w:pStyle w:val="718"/>
              <w:bidi w:val="0"/>
              <w:ind w:left="0" w:leftChars="0" w:firstLine="0" w:firstLineChars="0"/>
              <w:jc w:val="center"/>
              <w:rPr>
                <w:rFonts w:hint="default" w:ascii="Times New Roman" w:hAnsi="Times New Roman" w:eastAsia="宋体" w:cs="Times New Roman"/>
                <w:color w:val="000000"/>
                <w:kern w:val="2"/>
                <w:sz w:val="21"/>
                <w:szCs w:val="21"/>
                <w:highlight w:val="none"/>
                <w:lang w:val="en-US" w:eastAsia="zh-CN" w:bidi="ar-SA"/>
              </w:rPr>
            </w:pPr>
            <w:r>
              <w:rPr>
                <w:rFonts w:hint="default" w:ascii="Times New Roman" w:hAnsi="Times New Roman" w:eastAsia="宋体" w:cs="Times New Roman"/>
                <w:color w:val="000000"/>
                <w:sz w:val="21"/>
                <w:szCs w:val="21"/>
                <w:highlight w:val="none"/>
                <w:lang w:val="en-US" w:eastAsia="zh-CN"/>
              </w:rPr>
              <w:t>/</w:t>
            </w:r>
          </w:p>
        </w:tc>
      </w:tr>
      <w:tr w14:paraId="708B9A0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75" w:type="pct"/>
            <w:vMerge w:val="continue"/>
            <w:tcBorders>
              <w:tl2br w:val="nil"/>
              <w:tr2bl w:val="nil"/>
            </w:tcBorders>
            <w:noWrap w:val="0"/>
            <w:vAlign w:val="center"/>
          </w:tcPr>
          <w:p w14:paraId="1520B6F2">
            <w:pPr>
              <w:pStyle w:val="718"/>
              <w:bidi w:val="0"/>
              <w:jc w:val="center"/>
              <w:rPr>
                <w:rFonts w:hint="default" w:ascii="Times New Roman" w:hAnsi="Times New Roman" w:eastAsia="宋体" w:cs="Times New Roman"/>
                <w:color w:val="000000"/>
                <w:sz w:val="21"/>
                <w:szCs w:val="21"/>
                <w:highlight w:val="none"/>
              </w:rPr>
            </w:pPr>
          </w:p>
        </w:tc>
        <w:tc>
          <w:tcPr>
            <w:tcW w:w="724" w:type="pct"/>
            <w:vMerge w:val="continue"/>
            <w:tcBorders>
              <w:tl2br w:val="nil"/>
              <w:tr2bl w:val="nil"/>
            </w:tcBorders>
            <w:noWrap w:val="0"/>
            <w:vAlign w:val="center"/>
          </w:tcPr>
          <w:p w14:paraId="2A5B1208">
            <w:pPr>
              <w:keepNext w:val="0"/>
              <w:keepLines w:val="0"/>
              <w:widowControl/>
              <w:suppressLineNumbers w:val="0"/>
              <w:ind w:left="0" w:leftChars="0" w:firstLine="0" w:firstLineChars="0"/>
              <w:jc w:val="both"/>
              <w:textAlignment w:val="center"/>
              <w:rPr>
                <w:rFonts w:hint="default" w:ascii="Times New Roman" w:hAnsi="Times New Roman" w:cs="Times New Roman"/>
                <w:color w:val="auto"/>
                <w:kern w:val="2"/>
                <w:sz w:val="21"/>
                <w:szCs w:val="21"/>
                <w:u w:val="none"/>
                <w:vertAlign w:val="baseline"/>
                <w:lang w:val="en-US" w:eastAsia="zh-CN" w:bidi="ar-SA"/>
              </w:rPr>
            </w:pPr>
          </w:p>
        </w:tc>
        <w:tc>
          <w:tcPr>
            <w:tcW w:w="553" w:type="pct"/>
            <w:tcBorders>
              <w:tl2br w:val="nil"/>
              <w:tr2bl w:val="nil"/>
            </w:tcBorders>
            <w:noWrap w:val="0"/>
            <w:vAlign w:val="center"/>
          </w:tcPr>
          <w:p w14:paraId="3B5B562B">
            <w:pPr>
              <w:pStyle w:val="718"/>
              <w:bidi w:val="0"/>
              <w:ind w:left="0" w:leftChars="0" w:firstLine="0" w:firstLineChars="0"/>
              <w:jc w:val="center"/>
              <w:rPr>
                <w:rFonts w:hint="default" w:ascii="Times New Roman" w:hAnsi="Times New Roman" w:eastAsia="宋体" w:cs="Times New Roman"/>
                <w:color w:val="000000"/>
                <w:sz w:val="21"/>
                <w:szCs w:val="21"/>
                <w:highlight w:val="none"/>
                <w:lang w:eastAsia="zh-CN"/>
              </w:rPr>
            </w:pPr>
            <w:r>
              <w:rPr>
                <w:rFonts w:hint="default" w:ascii="Times New Roman" w:hAnsi="Times New Roman" w:eastAsia="宋体" w:cs="Times New Roman"/>
                <w:color w:val="000000"/>
                <w:sz w:val="21"/>
                <w:szCs w:val="21"/>
                <w:highlight w:val="none"/>
                <w:lang w:eastAsia="zh-CN"/>
              </w:rPr>
              <w:t>日均值</w:t>
            </w:r>
          </w:p>
        </w:tc>
        <w:tc>
          <w:tcPr>
            <w:tcW w:w="718" w:type="pct"/>
            <w:tcBorders>
              <w:tl2br w:val="nil"/>
              <w:tr2bl w:val="nil"/>
            </w:tcBorders>
            <w:noWrap w:val="0"/>
            <w:vAlign w:val="center"/>
          </w:tcPr>
          <w:p w14:paraId="1008B1E0">
            <w:pPr>
              <w:pStyle w:val="718"/>
              <w:bidi w:val="0"/>
              <w:ind w:left="0" w:leftChars="0" w:firstLine="0" w:firstLineChars="0"/>
              <w:jc w:val="center"/>
              <w:rPr>
                <w:rFonts w:hint="default" w:ascii="Times New Roman" w:hAnsi="Times New Roman" w:eastAsia="宋体" w:cs="Times New Roman"/>
                <w:color w:val="000000"/>
                <w:sz w:val="21"/>
                <w:szCs w:val="21"/>
                <w:highlight w:val="none"/>
                <w:lang w:val="en-US" w:eastAsia="zh-CN"/>
              </w:rPr>
            </w:pPr>
            <w:r>
              <w:rPr>
                <w:rFonts w:hint="default" w:ascii="Times New Roman" w:hAnsi="Times New Roman" w:eastAsia="宋体" w:cs="Times New Roman"/>
                <w:color w:val="000000"/>
                <w:sz w:val="21"/>
                <w:szCs w:val="21"/>
                <w:highlight w:val="none"/>
                <w:lang w:val="en-US" w:eastAsia="zh-CN"/>
              </w:rPr>
              <w:t>μg/m</w:t>
            </w:r>
            <w:r>
              <w:rPr>
                <w:rFonts w:hint="default" w:ascii="Times New Roman" w:hAnsi="Times New Roman" w:eastAsia="宋体" w:cs="Times New Roman"/>
                <w:color w:val="000000"/>
                <w:sz w:val="21"/>
                <w:szCs w:val="21"/>
                <w:highlight w:val="none"/>
                <w:vertAlign w:val="superscript"/>
                <w:lang w:val="en-US" w:eastAsia="zh-CN"/>
              </w:rPr>
              <w:t>3</w:t>
            </w:r>
          </w:p>
        </w:tc>
        <w:tc>
          <w:tcPr>
            <w:tcW w:w="669" w:type="pct"/>
            <w:tcBorders>
              <w:tl2br w:val="nil"/>
              <w:tr2bl w:val="nil"/>
            </w:tcBorders>
            <w:noWrap w:val="0"/>
            <w:vAlign w:val="center"/>
          </w:tcPr>
          <w:p w14:paraId="71A2BB27">
            <w:pPr>
              <w:widowControl/>
              <w:spacing w:line="240" w:lineRule="auto"/>
              <w:ind w:right="-64" w:rightChars="0" w:firstLine="0" w:firstLineChars="0"/>
              <w:jc w:val="center"/>
              <w:rPr>
                <w:rFonts w:hint="default" w:ascii="Times New Roman" w:hAnsi="Times New Roman" w:eastAsia="宋体" w:cs="Times New Roman"/>
                <w:color w:val="000000"/>
                <w:sz w:val="21"/>
                <w:szCs w:val="21"/>
                <w:highlight w:val="none"/>
                <w:lang w:val="en-US" w:eastAsia="zh-CN"/>
              </w:rPr>
            </w:pPr>
            <w:r>
              <w:rPr>
                <w:rFonts w:hint="eastAsia" w:ascii="Times New Roman" w:hAnsi="Times New Roman" w:eastAsia="宋体" w:cs="Times New Roman"/>
                <w:kern w:val="0"/>
                <w:sz w:val="21"/>
                <w:szCs w:val="21"/>
                <w:lang w:val="en-US" w:eastAsia="zh-CN"/>
              </w:rPr>
              <w:t>7</w:t>
            </w:r>
          </w:p>
        </w:tc>
        <w:tc>
          <w:tcPr>
            <w:tcW w:w="1078" w:type="pct"/>
            <w:tcBorders>
              <w:tl2br w:val="nil"/>
              <w:tr2bl w:val="nil"/>
            </w:tcBorders>
            <w:noWrap w:val="0"/>
            <w:vAlign w:val="center"/>
          </w:tcPr>
          <w:p w14:paraId="766E853A">
            <w:pPr>
              <w:pStyle w:val="718"/>
              <w:bidi w:val="0"/>
              <w:ind w:left="0" w:leftChars="0" w:firstLine="0" w:firstLineChars="0"/>
              <w:jc w:val="center"/>
              <w:rPr>
                <w:rFonts w:hint="default" w:ascii="Times New Roman" w:hAnsi="Times New Roman" w:eastAsia="宋体" w:cs="Times New Roman"/>
                <w:color w:val="000000"/>
                <w:sz w:val="21"/>
                <w:szCs w:val="21"/>
                <w:highlight w:val="none"/>
                <w:lang w:val="en-US" w:eastAsia="zh-CN"/>
              </w:rPr>
            </w:pPr>
            <w:r>
              <w:rPr>
                <w:rFonts w:hint="default" w:ascii="Times New Roman" w:hAnsi="Times New Roman" w:eastAsia="宋体" w:cs="Times New Roman"/>
                <w:color w:val="000000"/>
                <w:sz w:val="21"/>
                <w:szCs w:val="21"/>
                <w:highlight w:val="none"/>
                <w:lang w:val="en-US" w:eastAsia="zh-CN"/>
              </w:rPr>
              <w:t>ND</w:t>
            </w:r>
          </w:p>
        </w:tc>
        <w:tc>
          <w:tcPr>
            <w:tcW w:w="518" w:type="pct"/>
            <w:tcBorders>
              <w:tl2br w:val="nil"/>
              <w:tr2bl w:val="nil"/>
            </w:tcBorders>
            <w:noWrap w:val="0"/>
            <w:vAlign w:val="center"/>
          </w:tcPr>
          <w:p w14:paraId="77E69442">
            <w:pPr>
              <w:pStyle w:val="718"/>
              <w:bidi w:val="0"/>
              <w:ind w:left="0" w:leftChars="0" w:firstLine="0" w:firstLineChars="0"/>
              <w:jc w:val="center"/>
              <w:rPr>
                <w:rFonts w:hint="default" w:ascii="Times New Roman" w:hAnsi="Times New Roman" w:eastAsia="宋体" w:cs="Times New Roman"/>
                <w:color w:val="000000"/>
                <w:sz w:val="21"/>
                <w:szCs w:val="21"/>
                <w:highlight w:val="none"/>
                <w:lang w:val="en-US" w:eastAsia="zh-CN"/>
              </w:rPr>
            </w:pPr>
            <w:r>
              <w:rPr>
                <w:rFonts w:hint="default" w:ascii="Times New Roman" w:hAnsi="Times New Roman" w:eastAsia="宋体" w:cs="Times New Roman"/>
                <w:color w:val="000000"/>
                <w:sz w:val="21"/>
                <w:szCs w:val="21"/>
                <w:highlight w:val="none"/>
                <w:lang w:val="en-US" w:eastAsia="zh-CN"/>
              </w:rPr>
              <w:t>/</w:t>
            </w:r>
          </w:p>
        </w:tc>
        <w:tc>
          <w:tcPr>
            <w:tcW w:w="262" w:type="pct"/>
            <w:tcBorders>
              <w:tl2br w:val="nil"/>
              <w:tr2bl w:val="nil"/>
            </w:tcBorders>
            <w:noWrap w:val="0"/>
            <w:vAlign w:val="center"/>
          </w:tcPr>
          <w:p w14:paraId="4AD783D8">
            <w:pPr>
              <w:pStyle w:val="718"/>
              <w:bidi w:val="0"/>
              <w:ind w:left="0" w:leftChars="0" w:firstLine="0" w:firstLineChars="0"/>
              <w:jc w:val="center"/>
              <w:rPr>
                <w:rFonts w:hint="default" w:ascii="Times New Roman" w:hAnsi="Times New Roman" w:eastAsia="宋体" w:cs="Times New Roman"/>
                <w:color w:val="000000"/>
                <w:sz w:val="21"/>
                <w:szCs w:val="21"/>
                <w:highlight w:val="none"/>
                <w:lang w:val="en-US" w:eastAsia="zh-CN"/>
              </w:rPr>
            </w:pPr>
            <w:r>
              <w:rPr>
                <w:rFonts w:hint="default" w:ascii="Times New Roman" w:hAnsi="Times New Roman" w:eastAsia="宋体" w:cs="Times New Roman"/>
                <w:color w:val="000000"/>
                <w:sz w:val="21"/>
                <w:szCs w:val="21"/>
                <w:highlight w:val="none"/>
                <w:lang w:val="en-US" w:eastAsia="zh-CN"/>
              </w:rPr>
              <w:t>/</w:t>
            </w:r>
          </w:p>
        </w:tc>
      </w:tr>
      <w:tr w14:paraId="669CCAD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75" w:type="pct"/>
            <w:vMerge w:val="continue"/>
            <w:tcBorders>
              <w:tl2br w:val="nil"/>
              <w:tr2bl w:val="nil"/>
            </w:tcBorders>
            <w:noWrap w:val="0"/>
            <w:vAlign w:val="center"/>
          </w:tcPr>
          <w:p w14:paraId="6EBA8D5A">
            <w:pPr>
              <w:pStyle w:val="718"/>
              <w:bidi w:val="0"/>
              <w:jc w:val="center"/>
              <w:rPr>
                <w:rFonts w:hint="default" w:ascii="Times New Roman" w:hAnsi="Times New Roman" w:eastAsia="宋体" w:cs="Times New Roman"/>
                <w:color w:val="000000"/>
                <w:sz w:val="21"/>
                <w:szCs w:val="21"/>
                <w:highlight w:val="none"/>
              </w:rPr>
            </w:pPr>
          </w:p>
        </w:tc>
        <w:tc>
          <w:tcPr>
            <w:tcW w:w="724" w:type="pct"/>
            <w:tcBorders>
              <w:tl2br w:val="nil"/>
              <w:tr2bl w:val="nil"/>
            </w:tcBorders>
            <w:noWrap w:val="0"/>
            <w:vAlign w:val="center"/>
          </w:tcPr>
          <w:p w14:paraId="7823D000">
            <w:pPr>
              <w:pStyle w:val="718"/>
              <w:bidi w:val="0"/>
              <w:ind w:left="0" w:leftChars="0" w:firstLine="0" w:firstLineChars="0"/>
              <w:jc w:val="center"/>
              <w:rPr>
                <w:rFonts w:hint="default" w:ascii="Times New Roman" w:hAnsi="Times New Roman" w:eastAsia="宋体" w:cs="Times New Roman"/>
                <w:color w:val="000000"/>
                <w:kern w:val="2"/>
                <w:sz w:val="21"/>
                <w:szCs w:val="21"/>
                <w:highlight w:val="none"/>
                <w:lang w:val="en-US" w:eastAsia="zh-CN" w:bidi="ar-SA"/>
              </w:rPr>
            </w:pPr>
            <w:r>
              <w:rPr>
                <w:rFonts w:hint="default" w:ascii="Times New Roman" w:hAnsi="Times New Roman" w:cs="Times New Roman"/>
                <w:sz w:val="21"/>
                <w:szCs w:val="21"/>
                <w:lang w:val="en-US" w:eastAsia="zh-CN"/>
              </w:rPr>
              <w:t>氨</w:t>
            </w:r>
          </w:p>
        </w:tc>
        <w:tc>
          <w:tcPr>
            <w:tcW w:w="553" w:type="pct"/>
            <w:tcBorders>
              <w:tl2br w:val="nil"/>
              <w:tr2bl w:val="nil"/>
            </w:tcBorders>
            <w:noWrap w:val="0"/>
            <w:vAlign w:val="center"/>
          </w:tcPr>
          <w:p w14:paraId="3D65E09F">
            <w:pPr>
              <w:pStyle w:val="718"/>
              <w:bidi w:val="0"/>
              <w:ind w:left="0" w:leftChars="0" w:firstLine="0" w:firstLineChars="0"/>
              <w:jc w:val="center"/>
              <w:rPr>
                <w:rFonts w:hint="default" w:ascii="Times New Roman" w:hAnsi="Times New Roman" w:eastAsia="宋体" w:cs="Times New Roman"/>
                <w:color w:val="000000"/>
                <w:kern w:val="2"/>
                <w:sz w:val="21"/>
                <w:szCs w:val="21"/>
                <w:highlight w:val="none"/>
                <w:lang w:val="en-US" w:eastAsia="zh-CN" w:bidi="ar-SA"/>
              </w:rPr>
            </w:pPr>
            <w:r>
              <w:rPr>
                <w:rFonts w:hint="default" w:ascii="Times New Roman" w:hAnsi="Times New Roman" w:eastAsia="宋体" w:cs="Times New Roman"/>
                <w:color w:val="000000"/>
                <w:sz w:val="21"/>
                <w:szCs w:val="21"/>
                <w:highlight w:val="none"/>
                <w:lang w:eastAsia="zh-CN"/>
              </w:rPr>
              <w:t>日均值</w:t>
            </w:r>
          </w:p>
        </w:tc>
        <w:tc>
          <w:tcPr>
            <w:tcW w:w="718" w:type="pct"/>
            <w:tcBorders>
              <w:tl2br w:val="nil"/>
              <w:tr2bl w:val="nil"/>
            </w:tcBorders>
            <w:noWrap w:val="0"/>
            <w:vAlign w:val="center"/>
          </w:tcPr>
          <w:p w14:paraId="75428DD5">
            <w:pPr>
              <w:pStyle w:val="718"/>
              <w:bidi w:val="0"/>
              <w:ind w:left="0" w:leftChars="0" w:firstLine="0" w:firstLineChars="0"/>
              <w:jc w:val="center"/>
              <w:rPr>
                <w:rFonts w:hint="default" w:ascii="Times New Roman" w:hAnsi="Times New Roman" w:eastAsia="宋体" w:cs="Times New Roman"/>
                <w:color w:val="000000"/>
                <w:kern w:val="2"/>
                <w:sz w:val="21"/>
                <w:szCs w:val="21"/>
                <w:highlight w:val="none"/>
                <w:lang w:val="en-US" w:eastAsia="zh-CN" w:bidi="ar-SA"/>
              </w:rPr>
            </w:pPr>
            <w:r>
              <w:rPr>
                <w:rFonts w:hint="default" w:ascii="Times New Roman" w:hAnsi="Times New Roman" w:eastAsia="宋体" w:cs="Times New Roman"/>
                <w:color w:val="000000"/>
                <w:sz w:val="21"/>
                <w:szCs w:val="21"/>
                <w:highlight w:val="none"/>
                <w:lang w:val="en-US" w:eastAsia="zh-CN"/>
              </w:rPr>
              <w:t>μg/m</w:t>
            </w:r>
            <w:r>
              <w:rPr>
                <w:rFonts w:hint="default" w:ascii="Times New Roman" w:hAnsi="Times New Roman" w:eastAsia="宋体" w:cs="Times New Roman"/>
                <w:color w:val="000000"/>
                <w:sz w:val="21"/>
                <w:szCs w:val="21"/>
                <w:highlight w:val="none"/>
                <w:vertAlign w:val="superscript"/>
                <w:lang w:val="en-US" w:eastAsia="zh-CN"/>
              </w:rPr>
              <w:t>3</w:t>
            </w:r>
          </w:p>
        </w:tc>
        <w:tc>
          <w:tcPr>
            <w:tcW w:w="669" w:type="pct"/>
            <w:tcBorders>
              <w:tl2br w:val="nil"/>
              <w:tr2bl w:val="nil"/>
            </w:tcBorders>
            <w:noWrap w:val="0"/>
            <w:vAlign w:val="center"/>
          </w:tcPr>
          <w:p w14:paraId="0A3B199E">
            <w:pPr>
              <w:pStyle w:val="718"/>
              <w:bidi w:val="0"/>
              <w:ind w:left="0" w:leftChars="0" w:firstLine="0" w:firstLineChars="0"/>
              <w:jc w:val="center"/>
              <w:rPr>
                <w:rFonts w:hint="default" w:ascii="Times New Roman" w:hAnsi="Times New Roman" w:eastAsia="宋体" w:cs="Times New Roman"/>
                <w:color w:val="000000"/>
                <w:kern w:val="2"/>
                <w:sz w:val="21"/>
                <w:szCs w:val="21"/>
                <w:highlight w:val="none"/>
                <w:lang w:val="en-US" w:eastAsia="zh-CN" w:bidi="ar-SA"/>
              </w:rPr>
            </w:pPr>
            <w:r>
              <w:rPr>
                <w:rFonts w:hint="eastAsia" w:cs="Times New Roman"/>
                <w:color w:val="000000"/>
                <w:sz w:val="21"/>
                <w:szCs w:val="21"/>
                <w:highlight w:val="none"/>
                <w:lang w:val="en-US" w:eastAsia="zh-CN"/>
              </w:rPr>
              <w:t>200</w:t>
            </w:r>
          </w:p>
        </w:tc>
        <w:tc>
          <w:tcPr>
            <w:tcW w:w="1078" w:type="pct"/>
            <w:tcBorders>
              <w:tl2br w:val="nil"/>
              <w:tr2bl w:val="nil"/>
            </w:tcBorders>
            <w:noWrap w:val="0"/>
            <w:vAlign w:val="center"/>
          </w:tcPr>
          <w:p w14:paraId="23E70C43">
            <w:pPr>
              <w:bidi w:val="0"/>
              <w:ind w:firstLine="0" w:firstLineChars="0"/>
              <w:jc w:val="center"/>
              <w:rPr>
                <w:rFonts w:hint="default" w:ascii="Times New Roman" w:hAnsi="Times New Roman" w:eastAsia="宋体" w:cs="Times New Roman"/>
                <w:color w:val="000000"/>
                <w:kern w:val="2"/>
                <w:sz w:val="21"/>
                <w:szCs w:val="21"/>
                <w:highlight w:val="none"/>
                <w:lang w:val="en-US" w:eastAsia="zh-CN" w:bidi="ar-SA"/>
              </w:rPr>
            </w:pPr>
            <w:r>
              <w:rPr>
                <w:rFonts w:hint="default" w:ascii="Times New Roman" w:hAnsi="Times New Roman" w:eastAsia="宋体" w:cs="Times New Roman"/>
                <w:color w:val="000000"/>
                <w:sz w:val="21"/>
                <w:szCs w:val="21"/>
                <w:lang w:val="en-US" w:eastAsia="zh-CN"/>
              </w:rPr>
              <w:t>4</w:t>
            </w:r>
            <w:r>
              <w:rPr>
                <w:rFonts w:hint="eastAsia" w:ascii="Times New Roman" w:hAnsi="Times New Roman" w:eastAsia="宋体" w:cs="Times New Roman"/>
                <w:color w:val="000000"/>
                <w:sz w:val="21"/>
                <w:szCs w:val="21"/>
                <w:lang w:val="en-US" w:eastAsia="zh-CN"/>
              </w:rPr>
              <w:t>5-</w:t>
            </w:r>
            <w:r>
              <w:rPr>
                <w:rFonts w:hint="default" w:ascii="Times New Roman" w:hAnsi="Times New Roman" w:eastAsia="宋体" w:cs="Times New Roman"/>
                <w:color w:val="000000"/>
                <w:sz w:val="21"/>
                <w:szCs w:val="21"/>
                <w:lang w:val="en-US" w:eastAsia="zh-CN"/>
              </w:rPr>
              <w:t>86</w:t>
            </w:r>
          </w:p>
        </w:tc>
        <w:tc>
          <w:tcPr>
            <w:tcW w:w="518" w:type="pct"/>
            <w:tcBorders>
              <w:tl2br w:val="nil"/>
              <w:tr2bl w:val="nil"/>
            </w:tcBorders>
            <w:noWrap w:val="0"/>
            <w:vAlign w:val="center"/>
          </w:tcPr>
          <w:p w14:paraId="21150741">
            <w:pPr>
              <w:pStyle w:val="718"/>
              <w:bidi w:val="0"/>
              <w:ind w:left="0" w:leftChars="0" w:firstLine="0" w:firstLineChars="0"/>
              <w:jc w:val="center"/>
              <w:rPr>
                <w:rFonts w:hint="default" w:ascii="Times New Roman" w:hAnsi="Times New Roman" w:eastAsia="宋体" w:cs="Times New Roman"/>
                <w:color w:val="000000"/>
                <w:kern w:val="2"/>
                <w:sz w:val="21"/>
                <w:szCs w:val="21"/>
                <w:highlight w:val="none"/>
                <w:lang w:val="en-US" w:eastAsia="zh-CN" w:bidi="ar-SA"/>
              </w:rPr>
            </w:pPr>
            <w:r>
              <w:rPr>
                <w:rFonts w:hint="eastAsia" w:cs="Times New Roman"/>
                <w:color w:val="000000"/>
                <w:sz w:val="21"/>
                <w:szCs w:val="21"/>
                <w:highlight w:val="none"/>
                <w:lang w:val="en-US" w:eastAsia="zh-CN"/>
              </w:rPr>
              <w:t>43</w:t>
            </w:r>
          </w:p>
        </w:tc>
        <w:tc>
          <w:tcPr>
            <w:tcW w:w="262" w:type="pct"/>
            <w:tcBorders>
              <w:tl2br w:val="nil"/>
              <w:tr2bl w:val="nil"/>
            </w:tcBorders>
            <w:noWrap w:val="0"/>
            <w:vAlign w:val="center"/>
          </w:tcPr>
          <w:p w14:paraId="7416B57B">
            <w:pPr>
              <w:pStyle w:val="718"/>
              <w:bidi w:val="0"/>
              <w:ind w:left="0" w:leftChars="0" w:firstLine="0" w:firstLineChars="0"/>
              <w:jc w:val="center"/>
              <w:rPr>
                <w:rFonts w:hint="default" w:ascii="Times New Roman" w:hAnsi="Times New Roman" w:eastAsia="宋体" w:cs="Times New Roman"/>
                <w:color w:val="000000"/>
                <w:sz w:val="21"/>
                <w:szCs w:val="21"/>
                <w:highlight w:val="none"/>
                <w:lang w:val="en-US" w:eastAsia="zh-CN"/>
              </w:rPr>
            </w:pPr>
            <w:r>
              <w:rPr>
                <w:rFonts w:hint="default" w:ascii="Times New Roman" w:hAnsi="Times New Roman" w:eastAsia="宋体" w:cs="Times New Roman"/>
                <w:color w:val="000000"/>
                <w:sz w:val="21"/>
                <w:szCs w:val="21"/>
                <w:highlight w:val="none"/>
                <w:lang w:val="en-US" w:eastAsia="zh-CN"/>
              </w:rPr>
              <w:t>0</w:t>
            </w:r>
          </w:p>
        </w:tc>
      </w:tr>
      <w:tr w14:paraId="221105D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75" w:type="pct"/>
            <w:vMerge w:val="continue"/>
            <w:tcBorders>
              <w:tl2br w:val="nil"/>
              <w:tr2bl w:val="nil"/>
            </w:tcBorders>
            <w:noWrap w:val="0"/>
            <w:vAlign w:val="center"/>
          </w:tcPr>
          <w:p w14:paraId="174625A0">
            <w:pPr>
              <w:pStyle w:val="718"/>
              <w:bidi w:val="0"/>
              <w:jc w:val="center"/>
              <w:rPr>
                <w:rFonts w:hint="default" w:ascii="Times New Roman" w:hAnsi="Times New Roman" w:eastAsia="宋体" w:cs="Times New Roman"/>
                <w:color w:val="000000"/>
                <w:sz w:val="21"/>
                <w:szCs w:val="21"/>
                <w:highlight w:val="none"/>
              </w:rPr>
            </w:pPr>
          </w:p>
        </w:tc>
        <w:tc>
          <w:tcPr>
            <w:tcW w:w="724" w:type="pct"/>
            <w:vMerge w:val="restart"/>
            <w:tcBorders>
              <w:tl2br w:val="nil"/>
              <w:tr2bl w:val="nil"/>
            </w:tcBorders>
            <w:noWrap w:val="0"/>
            <w:vAlign w:val="center"/>
          </w:tcPr>
          <w:p w14:paraId="003DAB9A">
            <w:pPr>
              <w:pStyle w:val="718"/>
              <w:bidi w:val="0"/>
              <w:ind w:left="0" w:leftChars="0" w:firstLine="0" w:firstLineChars="0"/>
              <w:jc w:val="center"/>
              <w:rPr>
                <w:rFonts w:hint="default" w:ascii="Times New Roman" w:hAnsi="Times New Roman" w:eastAsia="宋体" w:cs="Times New Roman"/>
                <w:color w:val="000000"/>
                <w:kern w:val="2"/>
                <w:sz w:val="21"/>
                <w:szCs w:val="21"/>
                <w:highlight w:val="none"/>
                <w:lang w:val="en-US" w:eastAsia="zh-CN" w:bidi="ar-SA"/>
              </w:rPr>
            </w:pPr>
            <w:r>
              <w:rPr>
                <w:rFonts w:hint="default" w:ascii="Times New Roman" w:hAnsi="Times New Roman" w:cs="Times New Roman"/>
                <w:sz w:val="21"/>
                <w:szCs w:val="21"/>
                <w:lang w:val="en-US" w:eastAsia="zh-CN"/>
              </w:rPr>
              <w:t>氮氧化物</w:t>
            </w:r>
          </w:p>
        </w:tc>
        <w:tc>
          <w:tcPr>
            <w:tcW w:w="553" w:type="pct"/>
            <w:tcBorders>
              <w:tl2br w:val="nil"/>
              <w:tr2bl w:val="nil"/>
            </w:tcBorders>
            <w:noWrap w:val="0"/>
            <w:vAlign w:val="center"/>
          </w:tcPr>
          <w:p w14:paraId="50C29434">
            <w:pPr>
              <w:pStyle w:val="718"/>
              <w:bidi w:val="0"/>
              <w:ind w:left="0" w:leftChars="0" w:firstLine="0" w:firstLineChars="0"/>
              <w:jc w:val="center"/>
              <w:rPr>
                <w:rFonts w:hint="default" w:ascii="Times New Roman" w:hAnsi="Times New Roman" w:eastAsia="宋体" w:cs="Times New Roman"/>
                <w:color w:val="000000"/>
                <w:kern w:val="2"/>
                <w:sz w:val="21"/>
                <w:szCs w:val="21"/>
                <w:highlight w:val="none"/>
                <w:lang w:val="en-US" w:eastAsia="zh-CN" w:bidi="ar-SA"/>
              </w:rPr>
            </w:pPr>
            <w:r>
              <w:rPr>
                <w:rFonts w:hint="default" w:ascii="Times New Roman" w:hAnsi="Times New Roman" w:cs="Times New Roman"/>
                <w:sz w:val="21"/>
                <w:szCs w:val="21"/>
                <w:lang w:val="en-US" w:eastAsia="zh-CN"/>
              </w:rPr>
              <w:t>小时值</w:t>
            </w:r>
          </w:p>
        </w:tc>
        <w:tc>
          <w:tcPr>
            <w:tcW w:w="718" w:type="pct"/>
            <w:tcBorders>
              <w:tl2br w:val="nil"/>
              <w:tr2bl w:val="nil"/>
            </w:tcBorders>
            <w:noWrap w:val="0"/>
            <w:vAlign w:val="center"/>
          </w:tcPr>
          <w:p w14:paraId="7FEBBC9A">
            <w:pPr>
              <w:pStyle w:val="718"/>
              <w:bidi w:val="0"/>
              <w:ind w:left="0" w:leftChars="0" w:firstLine="0" w:firstLineChars="0"/>
              <w:jc w:val="center"/>
              <w:rPr>
                <w:rFonts w:hint="default" w:ascii="Times New Roman" w:hAnsi="Times New Roman" w:eastAsia="宋体" w:cs="Times New Roman"/>
                <w:color w:val="000000"/>
                <w:kern w:val="2"/>
                <w:sz w:val="21"/>
                <w:szCs w:val="21"/>
                <w:highlight w:val="none"/>
                <w:lang w:val="en-US" w:eastAsia="zh-CN" w:bidi="ar-SA"/>
              </w:rPr>
            </w:pPr>
            <w:r>
              <w:rPr>
                <w:rFonts w:hint="default" w:ascii="Times New Roman" w:hAnsi="Times New Roman" w:eastAsia="宋体" w:cs="Times New Roman"/>
                <w:color w:val="000000"/>
                <w:sz w:val="21"/>
                <w:szCs w:val="21"/>
                <w:highlight w:val="none"/>
                <w:lang w:val="en-US" w:eastAsia="zh-CN"/>
              </w:rPr>
              <w:t>μg/m</w:t>
            </w:r>
            <w:r>
              <w:rPr>
                <w:rFonts w:hint="default" w:ascii="Times New Roman" w:hAnsi="Times New Roman" w:eastAsia="宋体" w:cs="Times New Roman"/>
                <w:color w:val="000000"/>
                <w:sz w:val="21"/>
                <w:szCs w:val="21"/>
                <w:highlight w:val="none"/>
                <w:vertAlign w:val="superscript"/>
                <w:lang w:val="en-US" w:eastAsia="zh-CN"/>
              </w:rPr>
              <w:t>3</w:t>
            </w:r>
          </w:p>
        </w:tc>
        <w:tc>
          <w:tcPr>
            <w:tcW w:w="669" w:type="pct"/>
            <w:tcBorders>
              <w:tl2br w:val="nil"/>
              <w:tr2bl w:val="nil"/>
            </w:tcBorders>
            <w:noWrap w:val="0"/>
            <w:vAlign w:val="center"/>
          </w:tcPr>
          <w:p w14:paraId="4A2659E4">
            <w:pPr>
              <w:widowControl/>
              <w:spacing w:line="240" w:lineRule="auto"/>
              <w:ind w:right="-64" w:rightChars="0" w:firstLine="0" w:firstLineChars="0"/>
              <w:jc w:val="center"/>
              <w:rPr>
                <w:rFonts w:hint="default" w:ascii="Times New Roman" w:hAnsi="Times New Roman" w:eastAsia="宋体" w:cs="Times New Roman"/>
                <w:color w:val="000000"/>
                <w:kern w:val="2"/>
                <w:sz w:val="21"/>
                <w:szCs w:val="21"/>
                <w:highlight w:val="none"/>
                <w:lang w:val="en-US" w:eastAsia="zh-CN" w:bidi="ar-SA"/>
              </w:rPr>
            </w:pPr>
            <w:r>
              <w:rPr>
                <w:rFonts w:hint="eastAsia" w:ascii="Times New Roman" w:hAnsi="Times New Roman" w:eastAsia="宋体" w:cs="Times New Roman"/>
                <w:kern w:val="0"/>
                <w:sz w:val="21"/>
                <w:szCs w:val="21"/>
                <w:lang w:val="en-US" w:eastAsia="zh-CN"/>
              </w:rPr>
              <w:t>250</w:t>
            </w:r>
          </w:p>
        </w:tc>
        <w:tc>
          <w:tcPr>
            <w:tcW w:w="1078" w:type="pct"/>
            <w:tcBorders>
              <w:tl2br w:val="nil"/>
              <w:tr2bl w:val="nil"/>
            </w:tcBorders>
            <w:noWrap w:val="0"/>
            <w:vAlign w:val="center"/>
          </w:tcPr>
          <w:p w14:paraId="4B894F47">
            <w:pPr>
              <w:pStyle w:val="718"/>
              <w:bidi w:val="0"/>
              <w:ind w:left="0" w:leftChars="0" w:firstLine="0" w:firstLineChars="0"/>
              <w:jc w:val="center"/>
              <w:rPr>
                <w:rFonts w:hint="default" w:ascii="Times New Roman" w:hAnsi="Times New Roman" w:eastAsia="宋体" w:cs="Times New Roman"/>
                <w:color w:val="000000"/>
                <w:sz w:val="21"/>
                <w:szCs w:val="21"/>
                <w:highlight w:val="none"/>
                <w:lang w:val="en-US" w:eastAsia="zh-CN"/>
              </w:rPr>
            </w:pPr>
            <w:r>
              <w:rPr>
                <w:rFonts w:hint="eastAsia" w:ascii="Times New Roman" w:hAnsi="Times New Roman" w:eastAsia="宋体" w:cs="Times New Roman"/>
                <w:color w:val="000000"/>
                <w:sz w:val="21"/>
                <w:szCs w:val="21"/>
                <w:highlight w:val="none"/>
                <w:lang w:val="en-US" w:eastAsia="zh-CN"/>
              </w:rPr>
              <w:t>41-54</w:t>
            </w:r>
          </w:p>
        </w:tc>
        <w:tc>
          <w:tcPr>
            <w:tcW w:w="518" w:type="pct"/>
            <w:tcBorders>
              <w:tl2br w:val="nil"/>
              <w:tr2bl w:val="nil"/>
            </w:tcBorders>
            <w:noWrap w:val="0"/>
            <w:vAlign w:val="center"/>
          </w:tcPr>
          <w:p w14:paraId="5136E676">
            <w:pPr>
              <w:pStyle w:val="718"/>
              <w:bidi w:val="0"/>
              <w:ind w:left="0" w:leftChars="0" w:firstLine="0" w:firstLineChars="0"/>
              <w:jc w:val="center"/>
              <w:rPr>
                <w:rFonts w:hint="default" w:ascii="Times New Roman" w:hAnsi="Times New Roman" w:eastAsia="宋体" w:cs="Times New Roman"/>
                <w:color w:val="000000"/>
                <w:sz w:val="21"/>
                <w:szCs w:val="21"/>
                <w:highlight w:val="none"/>
                <w:lang w:val="en-US" w:eastAsia="zh-CN"/>
              </w:rPr>
            </w:pPr>
            <w:r>
              <w:rPr>
                <w:rFonts w:hint="eastAsia" w:cs="Times New Roman"/>
                <w:color w:val="000000"/>
                <w:sz w:val="21"/>
                <w:szCs w:val="21"/>
                <w:highlight w:val="none"/>
                <w:lang w:val="en-US" w:eastAsia="zh-CN"/>
              </w:rPr>
              <w:t>21.6</w:t>
            </w:r>
          </w:p>
        </w:tc>
        <w:tc>
          <w:tcPr>
            <w:tcW w:w="262" w:type="pct"/>
            <w:tcBorders>
              <w:tl2br w:val="nil"/>
              <w:tr2bl w:val="nil"/>
            </w:tcBorders>
            <w:noWrap w:val="0"/>
            <w:vAlign w:val="center"/>
          </w:tcPr>
          <w:p w14:paraId="604B53CA">
            <w:pPr>
              <w:pStyle w:val="718"/>
              <w:bidi w:val="0"/>
              <w:ind w:left="0" w:leftChars="0" w:firstLine="0" w:firstLineChars="0"/>
              <w:jc w:val="center"/>
              <w:rPr>
                <w:rFonts w:hint="default" w:ascii="Times New Roman" w:hAnsi="Times New Roman" w:eastAsia="宋体" w:cs="Times New Roman"/>
                <w:color w:val="000000"/>
                <w:sz w:val="21"/>
                <w:szCs w:val="21"/>
                <w:highlight w:val="none"/>
                <w:lang w:val="en-US" w:eastAsia="zh-CN"/>
              </w:rPr>
            </w:pPr>
            <w:r>
              <w:rPr>
                <w:rFonts w:hint="default" w:ascii="Times New Roman" w:hAnsi="Times New Roman" w:eastAsia="宋体" w:cs="Times New Roman"/>
                <w:color w:val="000000"/>
                <w:sz w:val="21"/>
                <w:szCs w:val="21"/>
                <w:highlight w:val="none"/>
                <w:lang w:val="en-US" w:eastAsia="zh-CN"/>
              </w:rPr>
              <w:t>0</w:t>
            </w:r>
          </w:p>
        </w:tc>
      </w:tr>
      <w:tr w14:paraId="4A4E549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75" w:type="pct"/>
            <w:vMerge w:val="continue"/>
            <w:tcBorders>
              <w:tl2br w:val="nil"/>
              <w:tr2bl w:val="nil"/>
            </w:tcBorders>
            <w:noWrap w:val="0"/>
            <w:vAlign w:val="center"/>
          </w:tcPr>
          <w:p w14:paraId="11E3A61E">
            <w:pPr>
              <w:pStyle w:val="718"/>
              <w:bidi w:val="0"/>
              <w:jc w:val="center"/>
              <w:rPr>
                <w:rFonts w:hint="default" w:ascii="Times New Roman" w:hAnsi="Times New Roman" w:eastAsia="宋体" w:cs="Times New Roman"/>
                <w:color w:val="000000"/>
                <w:sz w:val="21"/>
                <w:szCs w:val="21"/>
                <w:highlight w:val="none"/>
              </w:rPr>
            </w:pPr>
          </w:p>
        </w:tc>
        <w:tc>
          <w:tcPr>
            <w:tcW w:w="724" w:type="pct"/>
            <w:vMerge w:val="continue"/>
            <w:tcBorders>
              <w:tl2br w:val="nil"/>
              <w:tr2bl w:val="nil"/>
            </w:tcBorders>
            <w:noWrap w:val="0"/>
            <w:vAlign w:val="center"/>
          </w:tcPr>
          <w:p w14:paraId="764BAD2F">
            <w:pPr>
              <w:pStyle w:val="718"/>
              <w:bidi w:val="0"/>
              <w:ind w:left="0" w:leftChars="0" w:firstLine="0" w:firstLineChars="0"/>
              <w:jc w:val="center"/>
              <w:rPr>
                <w:rFonts w:hint="default" w:ascii="Times New Roman" w:hAnsi="Times New Roman" w:eastAsia="宋体" w:cs="Times New Roman"/>
                <w:color w:val="000000"/>
                <w:kern w:val="2"/>
                <w:sz w:val="21"/>
                <w:szCs w:val="21"/>
                <w:highlight w:val="none"/>
                <w:lang w:val="en-US" w:eastAsia="zh-CN" w:bidi="ar-SA"/>
              </w:rPr>
            </w:pPr>
          </w:p>
        </w:tc>
        <w:tc>
          <w:tcPr>
            <w:tcW w:w="553" w:type="pct"/>
            <w:tcBorders>
              <w:tl2br w:val="nil"/>
              <w:tr2bl w:val="nil"/>
            </w:tcBorders>
            <w:noWrap w:val="0"/>
            <w:vAlign w:val="center"/>
          </w:tcPr>
          <w:p w14:paraId="78B0E991">
            <w:pPr>
              <w:pStyle w:val="718"/>
              <w:bidi w:val="0"/>
              <w:ind w:left="0" w:leftChars="0" w:firstLine="0" w:firstLineChars="0"/>
              <w:jc w:val="center"/>
              <w:rPr>
                <w:rFonts w:hint="default" w:ascii="Times New Roman" w:hAnsi="Times New Roman" w:eastAsia="宋体" w:cs="Times New Roman"/>
                <w:color w:val="000000"/>
                <w:kern w:val="2"/>
                <w:sz w:val="21"/>
                <w:szCs w:val="21"/>
                <w:highlight w:val="none"/>
                <w:lang w:val="en-US" w:eastAsia="zh-CN" w:bidi="ar-SA"/>
              </w:rPr>
            </w:pPr>
            <w:r>
              <w:rPr>
                <w:rFonts w:hint="default" w:ascii="Times New Roman" w:hAnsi="Times New Roman" w:eastAsia="宋体" w:cs="Times New Roman"/>
                <w:color w:val="000000"/>
                <w:sz w:val="21"/>
                <w:szCs w:val="21"/>
                <w:highlight w:val="none"/>
                <w:lang w:eastAsia="zh-CN"/>
              </w:rPr>
              <w:t>日均值</w:t>
            </w:r>
          </w:p>
        </w:tc>
        <w:tc>
          <w:tcPr>
            <w:tcW w:w="718" w:type="pct"/>
            <w:tcBorders>
              <w:tl2br w:val="nil"/>
              <w:tr2bl w:val="nil"/>
            </w:tcBorders>
            <w:noWrap w:val="0"/>
            <w:vAlign w:val="center"/>
          </w:tcPr>
          <w:p w14:paraId="557F3BC4">
            <w:pPr>
              <w:pStyle w:val="718"/>
              <w:bidi w:val="0"/>
              <w:ind w:left="0" w:leftChars="0" w:firstLine="0" w:firstLineChars="0"/>
              <w:jc w:val="center"/>
              <w:rPr>
                <w:rFonts w:hint="default" w:ascii="Times New Roman" w:hAnsi="Times New Roman" w:eastAsia="宋体" w:cs="Times New Roman"/>
                <w:color w:val="000000"/>
                <w:kern w:val="2"/>
                <w:sz w:val="21"/>
                <w:szCs w:val="21"/>
                <w:highlight w:val="none"/>
                <w:lang w:val="en-US" w:eastAsia="zh-CN" w:bidi="ar-SA"/>
              </w:rPr>
            </w:pPr>
            <w:r>
              <w:rPr>
                <w:rFonts w:hint="default" w:ascii="Times New Roman" w:hAnsi="Times New Roman" w:eastAsia="宋体" w:cs="Times New Roman"/>
                <w:color w:val="000000"/>
                <w:sz w:val="21"/>
                <w:szCs w:val="21"/>
                <w:highlight w:val="none"/>
                <w:lang w:val="en-US" w:eastAsia="zh-CN"/>
              </w:rPr>
              <w:t>μg/m</w:t>
            </w:r>
            <w:r>
              <w:rPr>
                <w:rFonts w:hint="default" w:ascii="Times New Roman" w:hAnsi="Times New Roman" w:eastAsia="宋体" w:cs="Times New Roman"/>
                <w:color w:val="000000"/>
                <w:sz w:val="21"/>
                <w:szCs w:val="21"/>
                <w:highlight w:val="none"/>
                <w:vertAlign w:val="superscript"/>
                <w:lang w:val="en-US" w:eastAsia="zh-CN"/>
              </w:rPr>
              <w:t>3</w:t>
            </w:r>
          </w:p>
        </w:tc>
        <w:tc>
          <w:tcPr>
            <w:tcW w:w="669" w:type="pct"/>
            <w:tcBorders>
              <w:tl2br w:val="nil"/>
              <w:tr2bl w:val="nil"/>
            </w:tcBorders>
            <w:noWrap w:val="0"/>
            <w:vAlign w:val="center"/>
          </w:tcPr>
          <w:p w14:paraId="35D00662">
            <w:pPr>
              <w:widowControl/>
              <w:spacing w:line="240" w:lineRule="auto"/>
              <w:ind w:right="-64" w:rightChars="0" w:firstLine="0" w:firstLineChars="0"/>
              <w:jc w:val="center"/>
              <w:rPr>
                <w:rFonts w:hint="default" w:ascii="Times New Roman" w:hAnsi="Times New Roman" w:eastAsia="宋体" w:cs="Times New Roman"/>
                <w:color w:val="000000"/>
                <w:kern w:val="2"/>
                <w:sz w:val="21"/>
                <w:szCs w:val="21"/>
                <w:highlight w:val="none"/>
                <w:lang w:val="en-US" w:eastAsia="zh-CN" w:bidi="ar-SA"/>
              </w:rPr>
            </w:pPr>
            <w:r>
              <w:rPr>
                <w:rFonts w:hint="eastAsia" w:ascii="Times New Roman" w:hAnsi="Times New Roman" w:eastAsia="宋体" w:cs="Times New Roman"/>
                <w:kern w:val="0"/>
                <w:sz w:val="21"/>
                <w:szCs w:val="21"/>
                <w:lang w:val="en-US" w:eastAsia="zh-CN"/>
              </w:rPr>
              <w:t>100</w:t>
            </w:r>
          </w:p>
        </w:tc>
        <w:tc>
          <w:tcPr>
            <w:tcW w:w="1078" w:type="pct"/>
            <w:tcBorders>
              <w:tl2br w:val="nil"/>
              <w:tr2bl w:val="nil"/>
            </w:tcBorders>
            <w:noWrap w:val="0"/>
            <w:vAlign w:val="center"/>
          </w:tcPr>
          <w:p w14:paraId="6FA3ED2F">
            <w:pPr>
              <w:pStyle w:val="718"/>
              <w:bidi w:val="0"/>
              <w:ind w:left="0" w:leftChars="0" w:firstLine="0" w:firstLineChars="0"/>
              <w:jc w:val="center"/>
              <w:rPr>
                <w:rFonts w:hint="default" w:ascii="Times New Roman" w:hAnsi="Times New Roman" w:eastAsia="宋体" w:cs="Times New Roman"/>
                <w:color w:val="000000"/>
                <w:kern w:val="2"/>
                <w:sz w:val="21"/>
                <w:szCs w:val="21"/>
                <w:highlight w:val="none"/>
                <w:lang w:val="en-US" w:eastAsia="zh-CN" w:bidi="ar-SA"/>
              </w:rPr>
            </w:pPr>
            <w:r>
              <w:rPr>
                <w:rFonts w:hint="eastAsia" w:cs="Times New Roman"/>
                <w:color w:val="000000"/>
                <w:kern w:val="2"/>
                <w:sz w:val="21"/>
                <w:szCs w:val="21"/>
                <w:highlight w:val="none"/>
                <w:lang w:val="en-US" w:eastAsia="zh-CN" w:bidi="ar-SA"/>
              </w:rPr>
              <w:t>78-85</w:t>
            </w:r>
          </w:p>
        </w:tc>
        <w:tc>
          <w:tcPr>
            <w:tcW w:w="518" w:type="pct"/>
            <w:tcBorders>
              <w:tl2br w:val="nil"/>
              <w:tr2bl w:val="nil"/>
            </w:tcBorders>
            <w:noWrap w:val="0"/>
            <w:vAlign w:val="center"/>
          </w:tcPr>
          <w:p w14:paraId="159CA9BD">
            <w:pPr>
              <w:pStyle w:val="718"/>
              <w:bidi w:val="0"/>
              <w:ind w:left="0" w:leftChars="0" w:firstLine="0" w:firstLineChars="0"/>
              <w:jc w:val="center"/>
              <w:rPr>
                <w:rFonts w:hint="default" w:ascii="Times New Roman" w:hAnsi="Times New Roman" w:eastAsia="宋体" w:cs="Times New Roman"/>
                <w:color w:val="000000"/>
                <w:kern w:val="2"/>
                <w:sz w:val="21"/>
                <w:szCs w:val="21"/>
                <w:highlight w:val="none"/>
                <w:lang w:val="en-US" w:eastAsia="zh-CN" w:bidi="ar-SA"/>
              </w:rPr>
            </w:pPr>
            <w:r>
              <w:rPr>
                <w:rFonts w:hint="eastAsia" w:cs="Times New Roman"/>
                <w:color w:val="000000"/>
                <w:sz w:val="21"/>
                <w:szCs w:val="21"/>
                <w:highlight w:val="none"/>
                <w:lang w:val="en-US" w:eastAsia="zh-CN"/>
              </w:rPr>
              <w:t>85</w:t>
            </w:r>
          </w:p>
        </w:tc>
        <w:tc>
          <w:tcPr>
            <w:tcW w:w="262" w:type="pct"/>
            <w:tcBorders>
              <w:tl2br w:val="nil"/>
              <w:tr2bl w:val="nil"/>
            </w:tcBorders>
            <w:noWrap w:val="0"/>
            <w:vAlign w:val="center"/>
          </w:tcPr>
          <w:p w14:paraId="5418AA63">
            <w:pPr>
              <w:pStyle w:val="718"/>
              <w:bidi w:val="0"/>
              <w:ind w:left="0" w:leftChars="0" w:firstLine="0" w:firstLineChars="0"/>
              <w:jc w:val="center"/>
              <w:rPr>
                <w:rFonts w:hint="default" w:ascii="Times New Roman" w:hAnsi="Times New Roman" w:eastAsia="宋体" w:cs="Times New Roman"/>
                <w:color w:val="000000"/>
                <w:sz w:val="21"/>
                <w:szCs w:val="21"/>
                <w:highlight w:val="none"/>
                <w:lang w:val="en-US" w:eastAsia="zh-CN"/>
              </w:rPr>
            </w:pPr>
            <w:r>
              <w:rPr>
                <w:rFonts w:hint="default" w:ascii="Times New Roman" w:hAnsi="Times New Roman" w:eastAsia="宋体" w:cs="Times New Roman"/>
                <w:color w:val="000000"/>
                <w:sz w:val="21"/>
                <w:szCs w:val="21"/>
                <w:highlight w:val="none"/>
                <w:lang w:val="en-US" w:eastAsia="zh-CN"/>
              </w:rPr>
              <w:t>0</w:t>
            </w:r>
          </w:p>
        </w:tc>
      </w:tr>
      <w:tr w14:paraId="0F094B5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75" w:type="pct"/>
            <w:vMerge w:val="continue"/>
            <w:tcBorders>
              <w:tl2br w:val="nil"/>
              <w:tr2bl w:val="nil"/>
            </w:tcBorders>
            <w:noWrap w:val="0"/>
            <w:vAlign w:val="center"/>
          </w:tcPr>
          <w:p w14:paraId="5C7DE141">
            <w:pPr>
              <w:pStyle w:val="718"/>
              <w:bidi w:val="0"/>
              <w:jc w:val="center"/>
              <w:rPr>
                <w:rFonts w:hint="default" w:ascii="Times New Roman" w:hAnsi="Times New Roman" w:eastAsia="宋体" w:cs="Times New Roman"/>
                <w:color w:val="000000"/>
                <w:sz w:val="21"/>
                <w:szCs w:val="21"/>
                <w:highlight w:val="none"/>
              </w:rPr>
            </w:pPr>
          </w:p>
        </w:tc>
        <w:tc>
          <w:tcPr>
            <w:tcW w:w="724" w:type="pct"/>
            <w:tcBorders>
              <w:tl2br w:val="nil"/>
              <w:tr2bl w:val="nil"/>
            </w:tcBorders>
            <w:noWrap w:val="0"/>
            <w:vAlign w:val="center"/>
          </w:tcPr>
          <w:p w14:paraId="038655C0">
            <w:pPr>
              <w:pStyle w:val="718"/>
              <w:bidi w:val="0"/>
              <w:ind w:left="0" w:leftChars="0" w:firstLine="0" w:firstLineChars="0"/>
              <w:jc w:val="center"/>
              <w:rPr>
                <w:rFonts w:hint="default" w:ascii="Times New Roman" w:hAnsi="Times New Roman" w:eastAsia="宋体" w:cs="Times New Roman"/>
                <w:color w:val="000000"/>
                <w:kern w:val="2"/>
                <w:sz w:val="21"/>
                <w:szCs w:val="21"/>
                <w:highlight w:val="none"/>
                <w:lang w:val="en-US" w:eastAsia="zh-CN" w:bidi="ar-SA"/>
              </w:rPr>
            </w:pPr>
            <w:r>
              <w:rPr>
                <w:rFonts w:hint="eastAsia" w:ascii="Times New Roman" w:hAnsi="Times New Roman" w:eastAsia="宋体" w:cs="Times New Roman"/>
                <w:kern w:val="0"/>
                <w:sz w:val="21"/>
                <w:szCs w:val="21"/>
              </w:rPr>
              <w:t>二噁英</w:t>
            </w:r>
          </w:p>
        </w:tc>
        <w:tc>
          <w:tcPr>
            <w:tcW w:w="553" w:type="pct"/>
            <w:tcBorders>
              <w:tl2br w:val="nil"/>
              <w:tr2bl w:val="nil"/>
            </w:tcBorders>
            <w:noWrap w:val="0"/>
            <w:vAlign w:val="center"/>
          </w:tcPr>
          <w:p w14:paraId="724D0272">
            <w:pPr>
              <w:pStyle w:val="718"/>
              <w:bidi w:val="0"/>
              <w:ind w:left="0" w:leftChars="0" w:firstLine="0" w:firstLineChars="0"/>
              <w:jc w:val="center"/>
              <w:rPr>
                <w:rFonts w:hint="default" w:ascii="Times New Roman" w:hAnsi="Times New Roman" w:eastAsia="宋体" w:cs="Times New Roman"/>
                <w:color w:val="000000"/>
                <w:sz w:val="21"/>
                <w:szCs w:val="21"/>
                <w:highlight w:val="none"/>
                <w:lang w:eastAsia="zh-CN"/>
              </w:rPr>
            </w:pPr>
            <w:r>
              <w:rPr>
                <w:rFonts w:hint="eastAsia" w:ascii="Times New Roman" w:hAnsi="Times New Roman" w:eastAsia="宋体" w:cs="Times New Roman"/>
                <w:kern w:val="0"/>
                <w:sz w:val="21"/>
                <w:szCs w:val="21"/>
              </w:rPr>
              <w:t>年均值</w:t>
            </w:r>
          </w:p>
        </w:tc>
        <w:tc>
          <w:tcPr>
            <w:tcW w:w="718" w:type="pct"/>
            <w:tcBorders>
              <w:tl2br w:val="nil"/>
              <w:tr2bl w:val="nil"/>
            </w:tcBorders>
            <w:noWrap w:val="0"/>
            <w:vAlign w:val="center"/>
          </w:tcPr>
          <w:p w14:paraId="7A593BA0">
            <w:pPr>
              <w:pStyle w:val="718"/>
              <w:bidi w:val="0"/>
              <w:ind w:left="0" w:leftChars="0" w:firstLine="0" w:firstLineChars="0"/>
              <w:jc w:val="center"/>
              <w:rPr>
                <w:rFonts w:hint="default" w:ascii="Times New Roman" w:hAnsi="Times New Roman" w:eastAsia="宋体" w:cs="Times New Roman"/>
                <w:color w:val="000000"/>
                <w:sz w:val="21"/>
                <w:szCs w:val="21"/>
                <w:highlight w:val="none"/>
                <w:lang w:val="en-US" w:eastAsia="zh-CN"/>
              </w:rPr>
            </w:pPr>
            <w:r>
              <w:rPr>
                <w:rFonts w:hint="eastAsia" w:ascii="Times New Roman" w:hAnsi="Times New Roman" w:eastAsia="宋体" w:cs="Times New Roman"/>
                <w:kern w:val="0"/>
                <w:sz w:val="21"/>
                <w:szCs w:val="21"/>
                <w:lang w:val="en-US" w:eastAsia="zh-CN"/>
              </w:rPr>
              <w:t>pgTEQ/m</w:t>
            </w:r>
            <w:r>
              <w:rPr>
                <w:rFonts w:hint="eastAsia" w:ascii="Times New Roman" w:hAnsi="Times New Roman" w:eastAsia="宋体" w:cs="Times New Roman"/>
                <w:kern w:val="0"/>
                <w:sz w:val="21"/>
                <w:szCs w:val="21"/>
                <w:vertAlign w:val="superscript"/>
                <w:lang w:val="en-US" w:eastAsia="zh-CN"/>
              </w:rPr>
              <w:t>3</w:t>
            </w:r>
          </w:p>
        </w:tc>
        <w:tc>
          <w:tcPr>
            <w:tcW w:w="669" w:type="pct"/>
            <w:tcBorders>
              <w:tl2br w:val="nil"/>
              <w:tr2bl w:val="nil"/>
            </w:tcBorders>
            <w:noWrap w:val="0"/>
            <w:vAlign w:val="center"/>
          </w:tcPr>
          <w:p w14:paraId="09DA6DF8">
            <w:pPr>
              <w:widowControl/>
              <w:spacing w:line="240" w:lineRule="auto"/>
              <w:ind w:right="-64" w:rightChars="0" w:firstLine="0" w:firstLineChars="0"/>
              <w:jc w:val="center"/>
              <w:rPr>
                <w:rFonts w:hint="eastAsia"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 xml:space="preserve">0.6  </w:t>
            </w:r>
          </w:p>
        </w:tc>
        <w:tc>
          <w:tcPr>
            <w:tcW w:w="1078" w:type="pct"/>
            <w:tcBorders>
              <w:tl2br w:val="nil"/>
              <w:tr2bl w:val="nil"/>
            </w:tcBorders>
            <w:noWrap w:val="0"/>
            <w:vAlign w:val="center"/>
          </w:tcPr>
          <w:p w14:paraId="51DB3EA7">
            <w:pPr>
              <w:pStyle w:val="718"/>
              <w:bidi w:val="0"/>
              <w:ind w:left="0" w:leftChars="0" w:firstLine="0" w:firstLineChars="0"/>
              <w:jc w:val="center"/>
              <w:rPr>
                <w:rFonts w:hint="default" w:cs="Times New Roman"/>
                <w:color w:val="000000"/>
                <w:kern w:val="2"/>
                <w:sz w:val="21"/>
                <w:szCs w:val="21"/>
                <w:highlight w:val="none"/>
                <w:lang w:val="en-US" w:eastAsia="zh-CN" w:bidi="ar-SA"/>
              </w:rPr>
            </w:pPr>
            <w:r>
              <w:rPr>
                <w:rFonts w:hint="eastAsia" w:cs="Times New Roman"/>
                <w:color w:val="000000"/>
                <w:kern w:val="2"/>
                <w:sz w:val="21"/>
                <w:szCs w:val="21"/>
                <w:highlight w:val="none"/>
                <w:lang w:val="en-US" w:eastAsia="zh-CN" w:bidi="ar-SA"/>
              </w:rPr>
              <w:t>0.0026-0.018</w:t>
            </w:r>
          </w:p>
        </w:tc>
        <w:tc>
          <w:tcPr>
            <w:tcW w:w="518" w:type="pct"/>
            <w:tcBorders>
              <w:tl2br w:val="nil"/>
              <w:tr2bl w:val="nil"/>
            </w:tcBorders>
            <w:noWrap w:val="0"/>
            <w:vAlign w:val="center"/>
          </w:tcPr>
          <w:p w14:paraId="700901DC">
            <w:pPr>
              <w:pStyle w:val="718"/>
              <w:bidi w:val="0"/>
              <w:ind w:left="0" w:leftChars="0" w:firstLine="0" w:firstLineChars="0"/>
              <w:jc w:val="center"/>
              <w:rPr>
                <w:rFonts w:hint="default" w:cs="Times New Roman"/>
                <w:color w:val="000000"/>
                <w:sz w:val="21"/>
                <w:szCs w:val="21"/>
                <w:highlight w:val="none"/>
                <w:lang w:val="en-US" w:eastAsia="zh-CN"/>
              </w:rPr>
            </w:pPr>
            <w:r>
              <w:rPr>
                <w:rFonts w:hint="eastAsia" w:cs="Times New Roman"/>
                <w:color w:val="000000"/>
                <w:sz w:val="21"/>
                <w:szCs w:val="21"/>
                <w:highlight w:val="none"/>
                <w:lang w:val="en-US" w:eastAsia="zh-CN"/>
              </w:rPr>
              <w:t>3</w:t>
            </w:r>
          </w:p>
        </w:tc>
        <w:tc>
          <w:tcPr>
            <w:tcW w:w="262" w:type="pct"/>
            <w:tcBorders>
              <w:tl2br w:val="nil"/>
              <w:tr2bl w:val="nil"/>
            </w:tcBorders>
            <w:noWrap w:val="0"/>
            <w:vAlign w:val="center"/>
          </w:tcPr>
          <w:p w14:paraId="02ACDC7E">
            <w:pPr>
              <w:pStyle w:val="718"/>
              <w:bidi w:val="0"/>
              <w:ind w:left="0" w:leftChars="0" w:firstLine="0" w:firstLineChars="0"/>
              <w:jc w:val="center"/>
              <w:rPr>
                <w:rFonts w:hint="default" w:ascii="Times New Roman" w:hAnsi="Times New Roman" w:eastAsia="宋体" w:cs="Times New Roman"/>
                <w:color w:val="000000"/>
                <w:sz w:val="21"/>
                <w:szCs w:val="21"/>
                <w:highlight w:val="none"/>
                <w:lang w:val="en-US" w:eastAsia="zh-CN"/>
              </w:rPr>
            </w:pPr>
            <w:r>
              <w:rPr>
                <w:rFonts w:hint="eastAsia" w:cs="Times New Roman"/>
                <w:color w:val="000000"/>
                <w:sz w:val="21"/>
                <w:szCs w:val="21"/>
                <w:highlight w:val="none"/>
                <w:lang w:val="en-US" w:eastAsia="zh-CN"/>
              </w:rPr>
              <w:t>0</w:t>
            </w:r>
          </w:p>
        </w:tc>
      </w:tr>
      <w:tr w14:paraId="0476773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75" w:type="pct"/>
            <w:vMerge w:val="restart"/>
            <w:tcBorders>
              <w:tl2br w:val="nil"/>
              <w:tr2bl w:val="nil"/>
            </w:tcBorders>
            <w:noWrap w:val="0"/>
            <w:vAlign w:val="center"/>
          </w:tcPr>
          <w:p w14:paraId="5AE6BAD6">
            <w:pPr>
              <w:pStyle w:val="718"/>
              <w:bidi w:val="0"/>
              <w:jc w:val="center"/>
              <w:rPr>
                <w:rFonts w:hint="default" w:ascii="Times New Roman" w:hAnsi="Times New Roman" w:eastAsia="宋体" w:cs="Times New Roman"/>
                <w:color w:val="000000"/>
                <w:sz w:val="21"/>
                <w:szCs w:val="21"/>
                <w:highlight w:val="none"/>
                <w:lang w:val="en-US"/>
              </w:rPr>
            </w:pPr>
            <w:r>
              <w:rPr>
                <w:rFonts w:hint="default" w:ascii="Times New Roman" w:hAnsi="Times New Roman" w:eastAsia="宋体" w:cs="Times New Roman"/>
                <w:b w:val="0"/>
                <w:bCs w:val="0"/>
                <w:snapToGrid w:val="0"/>
                <w:color w:val="auto"/>
                <w:kern w:val="0"/>
                <w:sz w:val="21"/>
                <w:szCs w:val="21"/>
                <w:lang w:val="en-US" w:eastAsia="zh-CN"/>
              </w:rPr>
              <w:t>厂区</w:t>
            </w:r>
            <w:r>
              <w:rPr>
                <w:rFonts w:hint="eastAsia" w:eastAsia="宋体" w:cs="Times New Roman"/>
                <w:b w:val="0"/>
                <w:bCs w:val="0"/>
                <w:snapToGrid w:val="0"/>
                <w:color w:val="auto"/>
                <w:kern w:val="0"/>
                <w:sz w:val="21"/>
                <w:szCs w:val="21"/>
                <w:lang w:val="en-US" w:eastAsia="zh-CN"/>
              </w:rPr>
              <w:t>外</w:t>
            </w:r>
          </w:p>
        </w:tc>
        <w:tc>
          <w:tcPr>
            <w:tcW w:w="724" w:type="pct"/>
            <w:tcBorders>
              <w:tl2br w:val="nil"/>
              <w:tr2bl w:val="nil"/>
            </w:tcBorders>
            <w:noWrap w:val="0"/>
            <w:vAlign w:val="center"/>
          </w:tcPr>
          <w:p w14:paraId="4D37758C">
            <w:pPr>
              <w:pStyle w:val="718"/>
              <w:bidi w:val="0"/>
              <w:ind w:left="0" w:leftChars="0" w:firstLine="0" w:firstLineChars="0"/>
              <w:jc w:val="center"/>
              <w:rPr>
                <w:rFonts w:hint="default" w:ascii="Times New Roman" w:hAnsi="Times New Roman" w:eastAsia="宋体" w:cs="Times New Roman"/>
                <w:color w:val="000000"/>
                <w:kern w:val="2"/>
                <w:sz w:val="21"/>
                <w:szCs w:val="21"/>
                <w:highlight w:val="none"/>
                <w:lang w:val="en-US" w:eastAsia="zh-CN" w:bidi="ar-SA"/>
              </w:rPr>
            </w:pPr>
            <w:r>
              <w:rPr>
                <w:rFonts w:hint="default" w:ascii="Times New Roman" w:hAnsi="Times New Roman" w:eastAsia="宋体" w:cs="Times New Roman"/>
                <w:color w:val="000000"/>
                <w:sz w:val="21"/>
                <w:szCs w:val="21"/>
                <w:highlight w:val="none"/>
                <w:lang w:val="en-US" w:eastAsia="zh-CN" w:bidi="ar-SA"/>
              </w:rPr>
              <w:t>TSP</w:t>
            </w:r>
          </w:p>
        </w:tc>
        <w:tc>
          <w:tcPr>
            <w:tcW w:w="553" w:type="pct"/>
            <w:tcBorders>
              <w:tl2br w:val="nil"/>
              <w:tr2bl w:val="nil"/>
            </w:tcBorders>
            <w:noWrap w:val="0"/>
            <w:vAlign w:val="center"/>
          </w:tcPr>
          <w:p w14:paraId="1C89C2D3">
            <w:pPr>
              <w:pStyle w:val="718"/>
              <w:bidi w:val="0"/>
              <w:ind w:left="0" w:leftChars="0" w:firstLine="0" w:firstLineChars="0"/>
              <w:jc w:val="center"/>
              <w:rPr>
                <w:rFonts w:hint="default" w:ascii="Times New Roman" w:hAnsi="Times New Roman" w:eastAsia="宋体" w:cs="Times New Roman"/>
                <w:color w:val="000000"/>
                <w:sz w:val="21"/>
                <w:szCs w:val="21"/>
                <w:highlight w:val="none"/>
                <w:lang w:eastAsia="zh-CN"/>
              </w:rPr>
            </w:pPr>
            <w:r>
              <w:rPr>
                <w:rFonts w:hint="default" w:ascii="Times New Roman" w:hAnsi="Times New Roman" w:eastAsia="宋体" w:cs="Times New Roman"/>
                <w:color w:val="000000"/>
                <w:sz w:val="21"/>
                <w:szCs w:val="21"/>
                <w:highlight w:val="none"/>
                <w:lang w:eastAsia="zh-CN"/>
              </w:rPr>
              <w:t>日均值</w:t>
            </w:r>
          </w:p>
        </w:tc>
        <w:tc>
          <w:tcPr>
            <w:tcW w:w="718" w:type="pct"/>
            <w:tcBorders>
              <w:tl2br w:val="nil"/>
              <w:tr2bl w:val="nil"/>
            </w:tcBorders>
            <w:noWrap w:val="0"/>
            <w:vAlign w:val="center"/>
          </w:tcPr>
          <w:p w14:paraId="18A589DA">
            <w:pPr>
              <w:pStyle w:val="718"/>
              <w:bidi w:val="0"/>
              <w:ind w:left="0" w:leftChars="0" w:firstLine="0" w:firstLineChars="0"/>
              <w:jc w:val="center"/>
              <w:rPr>
                <w:rFonts w:hint="default" w:ascii="Times New Roman" w:hAnsi="Times New Roman" w:eastAsia="宋体" w:cs="Times New Roman"/>
                <w:color w:val="000000"/>
                <w:sz w:val="21"/>
                <w:szCs w:val="21"/>
                <w:highlight w:val="none"/>
                <w:lang w:val="en-US" w:eastAsia="zh-CN"/>
              </w:rPr>
            </w:pPr>
            <w:r>
              <w:rPr>
                <w:rFonts w:hint="default" w:ascii="Times New Roman" w:hAnsi="Times New Roman" w:eastAsia="宋体" w:cs="Times New Roman"/>
                <w:color w:val="000000"/>
                <w:sz w:val="21"/>
                <w:szCs w:val="21"/>
                <w:highlight w:val="none"/>
                <w:lang w:val="en-US" w:eastAsia="zh-CN"/>
              </w:rPr>
              <w:t>mg/m</w:t>
            </w:r>
            <w:r>
              <w:rPr>
                <w:rFonts w:hint="default" w:ascii="Times New Roman" w:hAnsi="Times New Roman" w:eastAsia="宋体" w:cs="Times New Roman"/>
                <w:color w:val="000000"/>
                <w:sz w:val="21"/>
                <w:szCs w:val="21"/>
                <w:highlight w:val="none"/>
                <w:vertAlign w:val="superscript"/>
                <w:lang w:val="en-US" w:eastAsia="zh-CN"/>
              </w:rPr>
              <w:t>3</w:t>
            </w:r>
          </w:p>
        </w:tc>
        <w:tc>
          <w:tcPr>
            <w:tcW w:w="669" w:type="pct"/>
            <w:tcBorders>
              <w:tl2br w:val="nil"/>
              <w:tr2bl w:val="nil"/>
            </w:tcBorders>
            <w:noWrap w:val="0"/>
            <w:vAlign w:val="center"/>
          </w:tcPr>
          <w:p w14:paraId="26D28C98">
            <w:pPr>
              <w:pStyle w:val="718"/>
              <w:bidi w:val="0"/>
              <w:ind w:left="0" w:leftChars="0" w:firstLine="0" w:firstLineChars="0"/>
              <w:jc w:val="center"/>
              <w:rPr>
                <w:rFonts w:hint="default" w:ascii="Times New Roman" w:hAnsi="Times New Roman" w:eastAsia="宋体" w:cs="Times New Roman"/>
                <w:color w:val="000000"/>
                <w:sz w:val="21"/>
                <w:szCs w:val="21"/>
                <w:highlight w:val="none"/>
                <w:lang w:val="en-US" w:eastAsia="zh-CN"/>
              </w:rPr>
            </w:pPr>
            <w:r>
              <w:rPr>
                <w:rFonts w:hint="eastAsia" w:cs="Times New Roman"/>
                <w:color w:val="000000"/>
                <w:sz w:val="21"/>
                <w:szCs w:val="21"/>
                <w:highlight w:val="none"/>
                <w:lang w:val="en-US" w:eastAsia="zh-CN"/>
              </w:rPr>
              <w:t>0.3</w:t>
            </w:r>
          </w:p>
        </w:tc>
        <w:tc>
          <w:tcPr>
            <w:tcW w:w="1078" w:type="pct"/>
            <w:tcBorders>
              <w:tl2br w:val="nil"/>
              <w:tr2bl w:val="nil"/>
            </w:tcBorders>
            <w:noWrap w:val="0"/>
            <w:vAlign w:val="center"/>
          </w:tcPr>
          <w:p w14:paraId="3F4070B8">
            <w:pPr>
              <w:pStyle w:val="718"/>
              <w:bidi w:val="0"/>
              <w:ind w:left="0" w:leftChars="0" w:firstLine="0" w:firstLineChars="0"/>
              <w:jc w:val="center"/>
              <w:rPr>
                <w:rFonts w:hint="default" w:ascii="Times New Roman" w:hAnsi="Times New Roman" w:eastAsia="宋体" w:cs="Times New Roman"/>
                <w:color w:val="000000"/>
                <w:sz w:val="21"/>
                <w:szCs w:val="21"/>
                <w:highlight w:val="none"/>
                <w:lang w:val="en-US" w:eastAsia="zh-CN"/>
              </w:rPr>
            </w:pPr>
            <w:r>
              <w:rPr>
                <w:rFonts w:hint="eastAsia" w:cs="Times New Roman"/>
                <w:color w:val="000000"/>
                <w:sz w:val="21"/>
                <w:szCs w:val="21"/>
                <w:highlight w:val="none"/>
                <w:lang w:val="en-US" w:eastAsia="zh-CN"/>
              </w:rPr>
              <w:t>0.035-0.039</w:t>
            </w:r>
          </w:p>
        </w:tc>
        <w:tc>
          <w:tcPr>
            <w:tcW w:w="518" w:type="pct"/>
            <w:tcBorders>
              <w:tl2br w:val="nil"/>
              <w:tr2bl w:val="nil"/>
            </w:tcBorders>
            <w:noWrap w:val="0"/>
            <w:vAlign w:val="center"/>
          </w:tcPr>
          <w:p w14:paraId="360C1155">
            <w:pPr>
              <w:pStyle w:val="718"/>
              <w:bidi w:val="0"/>
              <w:ind w:left="0" w:leftChars="0" w:firstLine="0" w:firstLineChars="0"/>
              <w:jc w:val="center"/>
              <w:rPr>
                <w:rFonts w:hint="default" w:ascii="Times New Roman" w:hAnsi="Times New Roman" w:eastAsia="宋体" w:cs="Times New Roman"/>
                <w:color w:val="000000"/>
                <w:sz w:val="21"/>
                <w:szCs w:val="21"/>
                <w:highlight w:val="none"/>
                <w:lang w:val="en-US" w:eastAsia="zh-CN"/>
              </w:rPr>
            </w:pPr>
            <w:r>
              <w:rPr>
                <w:rFonts w:hint="eastAsia" w:cs="Times New Roman"/>
                <w:color w:val="000000"/>
                <w:sz w:val="21"/>
                <w:szCs w:val="21"/>
                <w:highlight w:val="none"/>
                <w:lang w:val="en-US" w:eastAsia="zh-CN"/>
              </w:rPr>
              <w:t>13</w:t>
            </w:r>
          </w:p>
        </w:tc>
        <w:tc>
          <w:tcPr>
            <w:tcW w:w="262" w:type="pct"/>
            <w:tcBorders>
              <w:tl2br w:val="nil"/>
              <w:tr2bl w:val="nil"/>
            </w:tcBorders>
            <w:noWrap w:val="0"/>
            <w:vAlign w:val="center"/>
          </w:tcPr>
          <w:p w14:paraId="2DE1ECCF">
            <w:pPr>
              <w:pStyle w:val="718"/>
              <w:bidi w:val="0"/>
              <w:ind w:left="0" w:leftChars="0" w:firstLine="0" w:firstLineChars="0"/>
              <w:jc w:val="center"/>
              <w:rPr>
                <w:rFonts w:hint="default" w:ascii="Times New Roman" w:hAnsi="Times New Roman" w:eastAsia="宋体" w:cs="Times New Roman"/>
                <w:color w:val="000000"/>
                <w:sz w:val="21"/>
                <w:szCs w:val="21"/>
                <w:highlight w:val="none"/>
                <w:lang w:val="en-US" w:eastAsia="zh-CN"/>
              </w:rPr>
            </w:pPr>
            <w:r>
              <w:rPr>
                <w:rFonts w:hint="default" w:ascii="Times New Roman" w:hAnsi="Times New Roman" w:eastAsia="宋体" w:cs="Times New Roman"/>
                <w:color w:val="000000"/>
                <w:sz w:val="21"/>
                <w:szCs w:val="21"/>
                <w:highlight w:val="none"/>
                <w:lang w:val="en-US" w:eastAsia="zh-CN"/>
              </w:rPr>
              <w:t>0</w:t>
            </w:r>
          </w:p>
        </w:tc>
      </w:tr>
      <w:tr w14:paraId="047A11C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75" w:type="pct"/>
            <w:vMerge w:val="continue"/>
            <w:tcBorders>
              <w:tl2br w:val="nil"/>
              <w:tr2bl w:val="nil"/>
            </w:tcBorders>
            <w:noWrap w:val="0"/>
            <w:vAlign w:val="center"/>
          </w:tcPr>
          <w:p w14:paraId="53EE6150">
            <w:pPr>
              <w:pStyle w:val="718"/>
              <w:bidi w:val="0"/>
              <w:jc w:val="center"/>
              <w:rPr>
                <w:rFonts w:hint="default" w:ascii="Times New Roman" w:hAnsi="Times New Roman" w:eastAsia="宋体" w:cs="Times New Roman"/>
                <w:color w:val="000000"/>
                <w:sz w:val="21"/>
                <w:szCs w:val="21"/>
                <w:highlight w:val="none"/>
              </w:rPr>
            </w:pPr>
          </w:p>
        </w:tc>
        <w:tc>
          <w:tcPr>
            <w:tcW w:w="724" w:type="pct"/>
            <w:vMerge w:val="restart"/>
            <w:tcBorders>
              <w:tl2br w:val="nil"/>
              <w:tr2bl w:val="nil"/>
            </w:tcBorders>
            <w:noWrap w:val="0"/>
            <w:vAlign w:val="center"/>
          </w:tcPr>
          <w:p w14:paraId="4C99CA36">
            <w:pPr>
              <w:keepNext w:val="0"/>
              <w:keepLines w:val="0"/>
              <w:widowControl/>
              <w:suppressLineNumbers w:val="0"/>
              <w:ind w:left="0" w:leftChars="0" w:firstLine="0" w:firstLineChars="0"/>
              <w:jc w:val="both"/>
              <w:textAlignment w:val="center"/>
              <w:rPr>
                <w:rFonts w:hint="default" w:ascii="Times New Roman" w:hAnsi="Times New Roman" w:eastAsia="宋体" w:cs="Times New Roman"/>
                <w:color w:val="000000"/>
                <w:kern w:val="2"/>
                <w:sz w:val="21"/>
                <w:szCs w:val="21"/>
                <w:highlight w:val="none"/>
                <w:lang w:val="en-US" w:eastAsia="zh-CN" w:bidi="ar-SA"/>
              </w:rPr>
            </w:pPr>
            <w:r>
              <w:rPr>
                <w:rFonts w:hint="default" w:ascii="Times New Roman" w:hAnsi="Times New Roman" w:cs="Times New Roman"/>
                <w:color w:val="auto"/>
                <w:kern w:val="2"/>
                <w:sz w:val="21"/>
                <w:szCs w:val="21"/>
                <w:u w:val="none"/>
                <w:vertAlign w:val="baseline"/>
                <w:lang w:val="en-US" w:eastAsia="zh-CN" w:bidi="ar-SA"/>
              </w:rPr>
              <w:t>氟化物</w:t>
            </w:r>
          </w:p>
        </w:tc>
        <w:tc>
          <w:tcPr>
            <w:tcW w:w="553" w:type="pct"/>
            <w:tcBorders>
              <w:tl2br w:val="nil"/>
              <w:tr2bl w:val="nil"/>
            </w:tcBorders>
            <w:noWrap w:val="0"/>
            <w:vAlign w:val="center"/>
          </w:tcPr>
          <w:p w14:paraId="10BA0BA1">
            <w:pPr>
              <w:pStyle w:val="718"/>
              <w:bidi w:val="0"/>
              <w:ind w:left="0" w:leftChars="0" w:firstLine="0" w:firstLineChars="0"/>
              <w:jc w:val="center"/>
              <w:rPr>
                <w:rFonts w:hint="default" w:ascii="Times New Roman" w:hAnsi="Times New Roman" w:eastAsia="宋体" w:cs="Times New Roman"/>
                <w:color w:val="000000"/>
                <w:sz w:val="21"/>
                <w:szCs w:val="21"/>
                <w:highlight w:val="none"/>
                <w:lang w:eastAsia="zh-CN"/>
              </w:rPr>
            </w:pPr>
            <w:r>
              <w:rPr>
                <w:rFonts w:hint="default" w:ascii="Times New Roman" w:hAnsi="Times New Roman" w:cs="Times New Roman"/>
                <w:color w:val="auto"/>
                <w:kern w:val="2"/>
                <w:sz w:val="21"/>
                <w:szCs w:val="21"/>
                <w:u w:val="none"/>
                <w:vertAlign w:val="baseline"/>
                <w:lang w:val="en-US" w:eastAsia="zh-CN" w:bidi="ar-SA"/>
              </w:rPr>
              <w:t>小时值</w:t>
            </w:r>
          </w:p>
        </w:tc>
        <w:tc>
          <w:tcPr>
            <w:tcW w:w="718" w:type="pct"/>
            <w:tcBorders>
              <w:tl2br w:val="nil"/>
              <w:tr2bl w:val="nil"/>
            </w:tcBorders>
            <w:noWrap w:val="0"/>
            <w:vAlign w:val="center"/>
          </w:tcPr>
          <w:p w14:paraId="1192E62E">
            <w:pPr>
              <w:pStyle w:val="718"/>
              <w:bidi w:val="0"/>
              <w:ind w:left="0" w:leftChars="0" w:firstLine="0" w:firstLineChars="0"/>
              <w:jc w:val="center"/>
              <w:rPr>
                <w:rFonts w:hint="default" w:ascii="Times New Roman" w:hAnsi="Times New Roman" w:eastAsia="宋体" w:cs="Times New Roman"/>
                <w:color w:val="000000"/>
                <w:sz w:val="21"/>
                <w:szCs w:val="21"/>
                <w:highlight w:val="none"/>
                <w:lang w:val="en-US" w:eastAsia="zh-CN"/>
              </w:rPr>
            </w:pPr>
            <w:r>
              <w:rPr>
                <w:rFonts w:hint="default" w:ascii="Times New Roman" w:hAnsi="Times New Roman" w:eastAsia="宋体" w:cs="Times New Roman"/>
                <w:color w:val="000000"/>
                <w:sz w:val="21"/>
                <w:szCs w:val="21"/>
                <w:highlight w:val="none"/>
                <w:lang w:val="en-US" w:eastAsia="zh-CN"/>
              </w:rPr>
              <w:t>μg/m</w:t>
            </w:r>
            <w:r>
              <w:rPr>
                <w:rFonts w:hint="default" w:ascii="Times New Roman" w:hAnsi="Times New Roman" w:eastAsia="宋体" w:cs="Times New Roman"/>
                <w:color w:val="000000"/>
                <w:sz w:val="21"/>
                <w:szCs w:val="21"/>
                <w:highlight w:val="none"/>
                <w:vertAlign w:val="superscript"/>
                <w:lang w:val="en-US" w:eastAsia="zh-CN"/>
              </w:rPr>
              <w:t>3</w:t>
            </w:r>
          </w:p>
        </w:tc>
        <w:tc>
          <w:tcPr>
            <w:tcW w:w="669" w:type="pct"/>
            <w:tcBorders>
              <w:tl2br w:val="nil"/>
              <w:tr2bl w:val="nil"/>
            </w:tcBorders>
            <w:noWrap w:val="0"/>
            <w:vAlign w:val="center"/>
          </w:tcPr>
          <w:p w14:paraId="164AE616">
            <w:pPr>
              <w:widowControl/>
              <w:spacing w:line="240" w:lineRule="auto"/>
              <w:ind w:right="-64" w:rightChars="0" w:firstLine="0" w:firstLineChars="0"/>
              <w:jc w:val="center"/>
              <w:rPr>
                <w:rFonts w:hint="default" w:ascii="Times New Roman" w:hAnsi="Times New Roman" w:eastAsia="宋体" w:cs="Times New Roman"/>
                <w:color w:val="000000"/>
                <w:sz w:val="21"/>
                <w:szCs w:val="21"/>
                <w:highlight w:val="none"/>
                <w:lang w:val="en-US" w:eastAsia="zh-CN"/>
              </w:rPr>
            </w:pPr>
            <w:r>
              <w:rPr>
                <w:rFonts w:hint="eastAsia" w:ascii="Times New Roman" w:hAnsi="Times New Roman" w:eastAsia="宋体" w:cs="Times New Roman"/>
                <w:kern w:val="0"/>
                <w:sz w:val="21"/>
                <w:szCs w:val="21"/>
                <w:lang w:val="en-US" w:eastAsia="zh-CN"/>
              </w:rPr>
              <w:t>20</w:t>
            </w:r>
          </w:p>
        </w:tc>
        <w:tc>
          <w:tcPr>
            <w:tcW w:w="1078" w:type="pct"/>
            <w:tcBorders>
              <w:tl2br w:val="nil"/>
              <w:tr2bl w:val="nil"/>
            </w:tcBorders>
            <w:noWrap w:val="0"/>
            <w:vAlign w:val="center"/>
          </w:tcPr>
          <w:p w14:paraId="44A9F12B">
            <w:pPr>
              <w:pStyle w:val="718"/>
              <w:bidi w:val="0"/>
              <w:ind w:left="0" w:leftChars="0" w:firstLine="0" w:firstLineChars="0"/>
              <w:jc w:val="center"/>
              <w:rPr>
                <w:rFonts w:hint="default" w:ascii="Times New Roman" w:hAnsi="Times New Roman" w:eastAsia="宋体" w:cs="Times New Roman"/>
                <w:color w:val="000000"/>
                <w:sz w:val="21"/>
                <w:szCs w:val="21"/>
                <w:highlight w:val="none"/>
                <w:lang w:val="en-US" w:eastAsia="zh-CN"/>
              </w:rPr>
            </w:pPr>
            <w:r>
              <w:rPr>
                <w:rFonts w:hint="default" w:ascii="Times New Roman" w:hAnsi="Times New Roman" w:eastAsia="宋体" w:cs="Times New Roman"/>
                <w:color w:val="000000"/>
                <w:sz w:val="21"/>
                <w:szCs w:val="21"/>
                <w:highlight w:val="none"/>
                <w:lang w:val="en-US" w:eastAsia="zh-CN"/>
              </w:rPr>
              <w:t>ND</w:t>
            </w:r>
          </w:p>
        </w:tc>
        <w:tc>
          <w:tcPr>
            <w:tcW w:w="518" w:type="pct"/>
            <w:tcBorders>
              <w:tl2br w:val="nil"/>
              <w:tr2bl w:val="nil"/>
            </w:tcBorders>
            <w:noWrap w:val="0"/>
            <w:vAlign w:val="center"/>
          </w:tcPr>
          <w:p w14:paraId="788C84F2">
            <w:pPr>
              <w:pStyle w:val="718"/>
              <w:bidi w:val="0"/>
              <w:ind w:left="0" w:leftChars="0" w:firstLine="0" w:firstLineChars="0"/>
              <w:jc w:val="center"/>
              <w:rPr>
                <w:rFonts w:hint="default" w:ascii="Times New Roman" w:hAnsi="Times New Roman" w:eastAsia="宋体" w:cs="Times New Roman"/>
                <w:color w:val="000000"/>
                <w:sz w:val="21"/>
                <w:szCs w:val="21"/>
                <w:highlight w:val="none"/>
                <w:lang w:val="en-US" w:eastAsia="zh-CN"/>
              </w:rPr>
            </w:pPr>
            <w:r>
              <w:rPr>
                <w:rFonts w:hint="default" w:ascii="Times New Roman" w:hAnsi="Times New Roman" w:eastAsia="宋体" w:cs="Times New Roman"/>
                <w:color w:val="000000"/>
                <w:sz w:val="21"/>
                <w:szCs w:val="21"/>
                <w:highlight w:val="none"/>
                <w:lang w:val="en-US" w:eastAsia="zh-CN"/>
              </w:rPr>
              <w:t>/</w:t>
            </w:r>
          </w:p>
        </w:tc>
        <w:tc>
          <w:tcPr>
            <w:tcW w:w="262" w:type="pct"/>
            <w:tcBorders>
              <w:tl2br w:val="nil"/>
              <w:tr2bl w:val="nil"/>
            </w:tcBorders>
            <w:noWrap w:val="0"/>
            <w:vAlign w:val="center"/>
          </w:tcPr>
          <w:p w14:paraId="7FA7A2EB">
            <w:pPr>
              <w:pStyle w:val="718"/>
              <w:bidi w:val="0"/>
              <w:ind w:left="0" w:leftChars="0" w:firstLine="0" w:firstLineChars="0"/>
              <w:jc w:val="center"/>
              <w:rPr>
                <w:rFonts w:hint="default" w:ascii="Times New Roman" w:hAnsi="Times New Roman" w:eastAsia="宋体" w:cs="Times New Roman"/>
                <w:color w:val="000000"/>
                <w:sz w:val="21"/>
                <w:szCs w:val="21"/>
                <w:highlight w:val="none"/>
                <w:lang w:val="en-US" w:eastAsia="zh-CN"/>
              </w:rPr>
            </w:pPr>
            <w:r>
              <w:rPr>
                <w:rFonts w:hint="default" w:ascii="Times New Roman" w:hAnsi="Times New Roman" w:eastAsia="宋体" w:cs="Times New Roman"/>
                <w:color w:val="000000"/>
                <w:sz w:val="21"/>
                <w:szCs w:val="21"/>
                <w:highlight w:val="none"/>
                <w:lang w:val="en-US" w:eastAsia="zh-CN"/>
              </w:rPr>
              <w:t>/</w:t>
            </w:r>
          </w:p>
        </w:tc>
      </w:tr>
      <w:tr w14:paraId="53058A1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75" w:type="pct"/>
            <w:vMerge w:val="continue"/>
            <w:tcBorders>
              <w:tl2br w:val="nil"/>
              <w:tr2bl w:val="nil"/>
            </w:tcBorders>
            <w:noWrap w:val="0"/>
            <w:vAlign w:val="center"/>
          </w:tcPr>
          <w:p w14:paraId="1B28C514">
            <w:pPr>
              <w:pStyle w:val="718"/>
              <w:bidi w:val="0"/>
              <w:jc w:val="center"/>
              <w:rPr>
                <w:rFonts w:hint="default" w:ascii="Times New Roman" w:hAnsi="Times New Roman" w:eastAsia="宋体" w:cs="Times New Roman"/>
                <w:color w:val="000000"/>
                <w:sz w:val="21"/>
                <w:szCs w:val="21"/>
                <w:highlight w:val="none"/>
              </w:rPr>
            </w:pPr>
          </w:p>
        </w:tc>
        <w:tc>
          <w:tcPr>
            <w:tcW w:w="724" w:type="pct"/>
            <w:vMerge w:val="continue"/>
            <w:tcBorders>
              <w:tl2br w:val="nil"/>
              <w:tr2bl w:val="nil"/>
            </w:tcBorders>
            <w:noWrap w:val="0"/>
            <w:vAlign w:val="center"/>
          </w:tcPr>
          <w:p w14:paraId="7B70AB27">
            <w:pPr>
              <w:keepNext w:val="0"/>
              <w:keepLines w:val="0"/>
              <w:widowControl/>
              <w:suppressLineNumbers w:val="0"/>
              <w:ind w:left="0" w:leftChars="0" w:firstLine="0" w:firstLineChars="0"/>
              <w:jc w:val="both"/>
              <w:textAlignment w:val="center"/>
              <w:rPr>
                <w:rFonts w:hint="default" w:ascii="Times New Roman" w:hAnsi="Times New Roman" w:eastAsia="宋体" w:cs="Times New Roman"/>
                <w:color w:val="000000"/>
                <w:kern w:val="2"/>
                <w:sz w:val="21"/>
                <w:szCs w:val="21"/>
                <w:highlight w:val="none"/>
                <w:lang w:val="en-US" w:eastAsia="zh-CN" w:bidi="ar-SA"/>
              </w:rPr>
            </w:pPr>
          </w:p>
        </w:tc>
        <w:tc>
          <w:tcPr>
            <w:tcW w:w="553" w:type="pct"/>
            <w:tcBorders>
              <w:tl2br w:val="nil"/>
              <w:tr2bl w:val="nil"/>
            </w:tcBorders>
            <w:noWrap w:val="0"/>
            <w:vAlign w:val="center"/>
          </w:tcPr>
          <w:p w14:paraId="3C873F9C">
            <w:pPr>
              <w:pStyle w:val="718"/>
              <w:bidi w:val="0"/>
              <w:ind w:left="0" w:leftChars="0" w:firstLine="0" w:firstLineChars="0"/>
              <w:jc w:val="center"/>
              <w:rPr>
                <w:rFonts w:hint="default" w:ascii="Times New Roman" w:hAnsi="Times New Roman" w:eastAsia="宋体" w:cs="Times New Roman"/>
                <w:color w:val="000000"/>
                <w:sz w:val="21"/>
                <w:szCs w:val="21"/>
                <w:highlight w:val="none"/>
                <w:lang w:eastAsia="zh-CN"/>
              </w:rPr>
            </w:pPr>
            <w:r>
              <w:rPr>
                <w:rFonts w:hint="default" w:ascii="Times New Roman" w:hAnsi="Times New Roman" w:eastAsia="宋体" w:cs="Times New Roman"/>
                <w:color w:val="000000"/>
                <w:sz w:val="21"/>
                <w:szCs w:val="21"/>
                <w:highlight w:val="none"/>
                <w:lang w:eastAsia="zh-CN"/>
              </w:rPr>
              <w:t>日均值</w:t>
            </w:r>
          </w:p>
        </w:tc>
        <w:tc>
          <w:tcPr>
            <w:tcW w:w="718" w:type="pct"/>
            <w:tcBorders>
              <w:tl2br w:val="nil"/>
              <w:tr2bl w:val="nil"/>
            </w:tcBorders>
            <w:noWrap w:val="0"/>
            <w:vAlign w:val="center"/>
          </w:tcPr>
          <w:p w14:paraId="5A2EBFBA">
            <w:pPr>
              <w:pStyle w:val="718"/>
              <w:bidi w:val="0"/>
              <w:ind w:left="0" w:leftChars="0" w:firstLine="0" w:firstLineChars="0"/>
              <w:jc w:val="center"/>
              <w:rPr>
                <w:rFonts w:hint="default" w:ascii="Times New Roman" w:hAnsi="Times New Roman" w:eastAsia="宋体" w:cs="Times New Roman"/>
                <w:color w:val="000000"/>
                <w:sz w:val="21"/>
                <w:szCs w:val="21"/>
                <w:highlight w:val="none"/>
                <w:lang w:val="en-US" w:eastAsia="zh-CN"/>
              </w:rPr>
            </w:pPr>
            <w:r>
              <w:rPr>
                <w:rFonts w:hint="default" w:ascii="Times New Roman" w:hAnsi="Times New Roman" w:eastAsia="宋体" w:cs="Times New Roman"/>
                <w:color w:val="000000"/>
                <w:sz w:val="21"/>
                <w:szCs w:val="21"/>
                <w:highlight w:val="none"/>
                <w:lang w:val="en-US" w:eastAsia="zh-CN"/>
              </w:rPr>
              <w:t>μg/m</w:t>
            </w:r>
            <w:r>
              <w:rPr>
                <w:rFonts w:hint="default" w:ascii="Times New Roman" w:hAnsi="Times New Roman" w:eastAsia="宋体" w:cs="Times New Roman"/>
                <w:color w:val="000000"/>
                <w:sz w:val="21"/>
                <w:szCs w:val="21"/>
                <w:highlight w:val="none"/>
                <w:vertAlign w:val="superscript"/>
                <w:lang w:val="en-US" w:eastAsia="zh-CN"/>
              </w:rPr>
              <w:t>3</w:t>
            </w:r>
          </w:p>
        </w:tc>
        <w:tc>
          <w:tcPr>
            <w:tcW w:w="669" w:type="pct"/>
            <w:tcBorders>
              <w:tl2br w:val="nil"/>
              <w:tr2bl w:val="nil"/>
            </w:tcBorders>
            <w:noWrap w:val="0"/>
            <w:vAlign w:val="center"/>
          </w:tcPr>
          <w:p w14:paraId="2649B50F">
            <w:pPr>
              <w:widowControl/>
              <w:spacing w:line="240" w:lineRule="auto"/>
              <w:ind w:right="-64" w:rightChars="0" w:firstLine="0" w:firstLineChars="0"/>
              <w:jc w:val="center"/>
              <w:rPr>
                <w:rFonts w:hint="default" w:ascii="Times New Roman" w:hAnsi="Times New Roman" w:eastAsia="宋体" w:cs="Times New Roman"/>
                <w:color w:val="000000"/>
                <w:sz w:val="21"/>
                <w:szCs w:val="21"/>
                <w:highlight w:val="none"/>
                <w:lang w:val="en-US" w:eastAsia="zh-CN"/>
              </w:rPr>
            </w:pPr>
            <w:r>
              <w:rPr>
                <w:rFonts w:hint="eastAsia" w:ascii="Times New Roman" w:hAnsi="Times New Roman" w:eastAsia="宋体" w:cs="Times New Roman"/>
                <w:kern w:val="0"/>
                <w:sz w:val="21"/>
                <w:szCs w:val="21"/>
                <w:lang w:val="en-US" w:eastAsia="zh-CN"/>
              </w:rPr>
              <w:t>7</w:t>
            </w:r>
          </w:p>
        </w:tc>
        <w:tc>
          <w:tcPr>
            <w:tcW w:w="1078" w:type="pct"/>
            <w:tcBorders>
              <w:tl2br w:val="nil"/>
              <w:tr2bl w:val="nil"/>
            </w:tcBorders>
            <w:noWrap w:val="0"/>
            <w:vAlign w:val="center"/>
          </w:tcPr>
          <w:p w14:paraId="1A85B971">
            <w:pPr>
              <w:pStyle w:val="718"/>
              <w:bidi w:val="0"/>
              <w:ind w:left="0" w:leftChars="0" w:firstLine="0" w:firstLineChars="0"/>
              <w:jc w:val="center"/>
              <w:rPr>
                <w:rFonts w:hint="default" w:ascii="Times New Roman" w:hAnsi="Times New Roman" w:eastAsia="宋体" w:cs="Times New Roman"/>
                <w:color w:val="000000"/>
                <w:sz w:val="21"/>
                <w:szCs w:val="21"/>
                <w:highlight w:val="none"/>
                <w:lang w:val="en-US" w:eastAsia="zh-CN"/>
              </w:rPr>
            </w:pPr>
            <w:r>
              <w:rPr>
                <w:rFonts w:hint="default" w:ascii="Times New Roman" w:hAnsi="Times New Roman" w:eastAsia="宋体" w:cs="Times New Roman"/>
                <w:color w:val="000000"/>
                <w:sz w:val="21"/>
                <w:szCs w:val="21"/>
                <w:highlight w:val="none"/>
                <w:lang w:val="en-US" w:eastAsia="zh-CN"/>
              </w:rPr>
              <w:t>ND</w:t>
            </w:r>
          </w:p>
        </w:tc>
        <w:tc>
          <w:tcPr>
            <w:tcW w:w="518" w:type="pct"/>
            <w:tcBorders>
              <w:tl2br w:val="nil"/>
              <w:tr2bl w:val="nil"/>
            </w:tcBorders>
            <w:noWrap w:val="0"/>
            <w:vAlign w:val="center"/>
          </w:tcPr>
          <w:p w14:paraId="1354D5F4">
            <w:pPr>
              <w:pStyle w:val="718"/>
              <w:bidi w:val="0"/>
              <w:ind w:left="0" w:leftChars="0" w:firstLine="0" w:firstLineChars="0"/>
              <w:jc w:val="center"/>
              <w:rPr>
                <w:rFonts w:hint="default" w:ascii="Times New Roman" w:hAnsi="Times New Roman" w:eastAsia="宋体" w:cs="Times New Roman"/>
                <w:color w:val="000000"/>
                <w:sz w:val="21"/>
                <w:szCs w:val="21"/>
                <w:highlight w:val="none"/>
                <w:lang w:val="en-US" w:eastAsia="zh-CN"/>
              </w:rPr>
            </w:pPr>
            <w:r>
              <w:rPr>
                <w:rFonts w:hint="default" w:ascii="Times New Roman" w:hAnsi="Times New Roman" w:eastAsia="宋体" w:cs="Times New Roman"/>
                <w:color w:val="000000"/>
                <w:sz w:val="21"/>
                <w:szCs w:val="21"/>
                <w:highlight w:val="none"/>
                <w:lang w:val="en-US" w:eastAsia="zh-CN"/>
              </w:rPr>
              <w:t>/</w:t>
            </w:r>
          </w:p>
        </w:tc>
        <w:tc>
          <w:tcPr>
            <w:tcW w:w="262" w:type="pct"/>
            <w:tcBorders>
              <w:tl2br w:val="nil"/>
              <w:tr2bl w:val="nil"/>
            </w:tcBorders>
            <w:noWrap w:val="0"/>
            <w:vAlign w:val="center"/>
          </w:tcPr>
          <w:p w14:paraId="141C0BAC">
            <w:pPr>
              <w:pStyle w:val="718"/>
              <w:bidi w:val="0"/>
              <w:ind w:left="0" w:leftChars="0" w:firstLine="0" w:firstLineChars="0"/>
              <w:jc w:val="center"/>
              <w:rPr>
                <w:rFonts w:hint="default" w:ascii="Times New Roman" w:hAnsi="Times New Roman" w:eastAsia="宋体" w:cs="Times New Roman"/>
                <w:color w:val="000000"/>
                <w:sz w:val="21"/>
                <w:szCs w:val="21"/>
                <w:highlight w:val="none"/>
                <w:lang w:val="en-US" w:eastAsia="zh-CN"/>
              </w:rPr>
            </w:pPr>
            <w:r>
              <w:rPr>
                <w:rFonts w:hint="default" w:ascii="Times New Roman" w:hAnsi="Times New Roman" w:eastAsia="宋体" w:cs="Times New Roman"/>
                <w:color w:val="000000"/>
                <w:sz w:val="21"/>
                <w:szCs w:val="21"/>
                <w:highlight w:val="none"/>
                <w:lang w:val="en-US" w:eastAsia="zh-CN"/>
              </w:rPr>
              <w:t>/</w:t>
            </w:r>
          </w:p>
        </w:tc>
      </w:tr>
      <w:tr w14:paraId="23443AE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75" w:type="pct"/>
            <w:vMerge w:val="continue"/>
            <w:tcBorders>
              <w:tl2br w:val="nil"/>
              <w:tr2bl w:val="nil"/>
            </w:tcBorders>
            <w:noWrap w:val="0"/>
            <w:vAlign w:val="center"/>
          </w:tcPr>
          <w:p w14:paraId="2452889B">
            <w:pPr>
              <w:pStyle w:val="718"/>
              <w:bidi w:val="0"/>
              <w:jc w:val="center"/>
              <w:rPr>
                <w:rFonts w:hint="default" w:ascii="Times New Roman" w:hAnsi="Times New Roman" w:eastAsia="宋体" w:cs="Times New Roman"/>
                <w:color w:val="000000"/>
                <w:sz w:val="21"/>
                <w:szCs w:val="21"/>
                <w:highlight w:val="none"/>
              </w:rPr>
            </w:pPr>
          </w:p>
        </w:tc>
        <w:tc>
          <w:tcPr>
            <w:tcW w:w="724" w:type="pct"/>
            <w:tcBorders>
              <w:tl2br w:val="nil"/>
              <w:tr2bl w:val="nil"/>
            </w:tcBorders>
            <w:noWrap w:val="0"/>
            <w:vAlign w:val="center"/>
          </w:tcPr>
          <w:p w14:paraId="2C9EA22F">
            <w:pPr>
              <w:pStyle w:val="718"/>
              <w:bidi w:val="0"/>
              <w:ind w:left="0" w:leftChars="0" w:firstLine="0" w:firstLineChars="0"/>
              <w:jc w:val="center"/>
              <w:rPr>
                <w:rFonts w:hint="default" w:ascii="Times New Roman" w:hAnsi="Times New Roman" w:eastAsia="宋体" w:cs="Times New Roman"/>
                <w:color w:val="000000"/>
                <w:kern w:val="2"/>
                <w:sz w:val="21"/>
                <w:szCs w:val="21"/>
                <w:highlight w:val="none"/>
                <w:lang w:val="en-US" w:eastAsia="zh-CN" w:bidi="ar-SA"/>
              </w:rPr>
            </w:pPr>
            <w:r>
              <w:rPr>
                <w:rFonts w:hint="default" w:ascii="Times New Roman" w:hAnsi="Times New Roman" w:cs="Times New Roman"/>
                <w:sz w:val="21"/>
                <w:szCs w:val="21"/>
                <w:lang w:val="en-US" w:eastAsia="zh-CN"/>
              </w:rPr>
              <w:t>氨</w:t>
            </w:r>
          </w:p>
        </w:tc>
        <w:tc>
          <w:tcPr>
            <w:tcW w:w="553" w:type="pct"/>
            <w:tcBorders>
              <w:tl2br w:val="nil"/>
              <w:tr2bl w:val="nil"/>
            </w:tcBorders>
            <w:noWrap w:val="0"/>
            <w:vAlign w:val="center"/>
          </w:tcPr>
          <w:p w14:paraId="3DF2CCEA">
            <w:pPr>
              <w:pStyle w:val="718"/>
              <w:bidi w:val="0"/>
              <w:ind w:left="0" w:leftChars="0" w:firstLine="0" w:firstLineChars="0"/>
              <w:jc w:val="center"/>
              <w:rPr>
                <w:rFonts w:hint="default" w:ascii="Times New Roman" w:hAnsi="Times New Roman" w:eastAsia="宋体" w:cs="Times New Roman"/>
                <w:color w:val="000000"/>
                <w:sz w:val="21"/>
                <w:szCs w:val="21"/>
                <w:highlight w:val="none"/>
                <w:lang w:eastAsia="zh-CN"/>
              </w:rPr>
            </w:pPr>
            <w:r>
              <w:rPr>
                <w:rFonts w:hint="default" w:ascii="Times New Roman" w:hAnsi="Times New Roman" w:eastAsia="宋体" w:cs="Times New Roman"/>
                <w:color w:val="000000"/>
                <w:sz w:val="21"/>
                <w:szCs w:val="21"/>
                <w:highlight w:val="none"/>
                <w:lang w:eastAsia="zh-CN"/>
              </w:rPr>
              <w:t>日均值</w:t>
            </w:r>
          </w:p>
        </w:tc>
        <w:tc>
          <w:tcPr>
            <w:tcW w:w="718" w:type="pct"/>
            <w:tcBorders>
              <w:tl2br w:val="nil"/>
              <w:tr2bl w:val="nil"/>
            </w:tcBorders>
            <w:noWrap w:val="0"/>
            <w:vAlign w:val="center"/>
          </w:tcPr>
          <w:p w14:paraId="3D0CED6E">
            <w:pPr>
              <w:bidi w:val="0"/>
              <w:ind w:left="0" w:leftChars="0" w:firstLine="0" w:firstLineChars="0"/>
              <w:jc w:val="center"/>
              <w:rPr>
                <w:rFonts w:hint="default" w:ascii="Times New Roman" w:hAnsi="Times New Roman" w:eastAsia="宋体" w:cs="Times New Roman"/>
                <w:color w:val="000000"/>
                <w:sz w:val="21"/>
                <w:szCs w:val="21"/>
                <w:highlight w:val="none"/>
                <w:lang w:val="en-US" w:eastAsia="zh-CN"/>
              </w:rPr>
            </w:pPr>
            <w:r>
              <w:rPr>
                <w:rFonts w:hint="default" w:ascii="Times New Roman" w:hAnsi="Times New Roman" w:eastAsia="宋体" w:cs="Times New Roman"/>
                <w:color w:val="000000"/>
                <w:sz w:val="21"/>
                <w:szCs w:val="21"/>
                <w:highlight w:val="none"/>
                <w:lang w:val="en-US" w:eastAsia="zh-CN"/>
              </w:rPr>
              <w:t>μg/m</w:t>
            </w:r>
            <w:r>
              <w:rPr>
                <w:rFonts w:hint="default" w:ascii="Times New Roman" w:hAnsi="Times New Roman" w:eastAsia="宋体" w:cs="Times New Roman"/>
                <w:color w:val="000000"/>
                <w:sz w:val="21"/>
                <w:szCs w:val="21"/>
                <w:highlight w:val="none"/>
                <w:vertAlign w:val="superscript"/>
                <w:lang w:val="en-US" w:eastAsia="zh-CN"/>
              </w:rPr>
              <w:t>3</w:t>
            </w:r>
          </w:p>
        </w:tc>
        <w:tc>
          <w:tcPr>
            <w:tcW w:w="669" w:type="pct"/>
            <w:tcBorders>
              <w:tl2br w:val="nil"/>
              <w:tr2bl w:val="nil"/>
            </w:tcBorders>
            <w:noWrap w:val="0"/>
            <w:vAlign w:val="center"/>
          </w:tcPr>
          <w:p w14:paraId="349348B6">
            <w:pPr>
              <w:pStyle w:val="718"/>
              <w:bidi w:val="0"/>
              <w:ind w:left="0" w:leftChars="0" w:firstLine="0" w:firstLineChars="0"/>
              <w:jc w:val="center"/>
              <w:rPr>
                <w:rFonts w:hint="default" w:ascii="Times New Roman" w:hAnsi="Times New Roman" w:eastAsia="宋体" w:cs="Times New Roman"/>
                <w:color w:val="000000"/>
                <w:sz w:val="21"/>
                <w:szCs w:val="21"/>
                <w:highlight w:val="none"/>
                <w:lang w:val="en-US" w:eastAsia="zh-CN"/>
              </w:rPr>
            </w:pPr>
            <w:r>
              <w:rPr>
                <w:rFonts w:hint="eastAsia" w:ascii="Times New Roman" w:hAnsi="Times New Roman" w:eastAsia="宋体" w:cs="Times New Roman"/>
                <w:kern w:val="0"/>
                <w:sz w:val="21"/>
                <w:szCs w:val="21"/>
                <w:lang w:val="en-US" w:eastAsia="zh-CN"/>
              </w:rPr>
              <w:t>200</w:t>
            </w:r>
          </w:p>
        </w:tc>
        <w:tc>
          <w:tcPr>
            <w:tcW w:w="1078" w:type="pct"/>
            <w:tcBorders>
              <w:tl2br w:val="nil"/>
              <w:tr2bl w:val="nil"/>
            </w:tcBorders>
            <w:noWrap w:val="0"/>
            <w:vAlign w:val="center"/>
          </w:tcPr>
          <w:p w14:paraId="2AF2B7F9">
            <w:pPr>
              <w:pStyle w:val="718"/>
              <w:bidi w:val="0"/>
              <w:ind w:left="0" w:leftChars="0" w:firstLine="0" w:firstLineChars="0"/>
              <w:jc w:val="center"/>
              <w:rPr>
                <w:rFonts w:hint="default" w:ascii="Times New Roman" w:hAnsi="Times New Roman" w:eastAsia="宋体" w:cs="Times New Roman"/>
                <w:color w:val="000000"/>
                <w:sz w:val="21"/>
                <w:szCs w:val="21"/>
                <w:highlight w:val="none"/>
                <w:lang w:val="en-US" w:eastAsia="zh-CN"/>
              </w:rPr>
            </w:pPr>
            <w:r>
              <w:rPr>
                <w:rFonts w:hint="eastAsia" w:cs="Times New Roman"/>
                <w:color w:val="000000"/>
                <w:sz w:val="21"/>
                <w:szCs w:val="21"/>
                <w:lang w:val="en-US" w:eastAsia="zh-CN"/>
              </w:rPr>
              <w:t>18-7</w:t>
            </w:r>
            <w:r>
              <w:rPr>
                <w:rFonts w:hint="default" w:ascii="Times New Roman" w:hAnsi="Times New Roman" w:eastAsia="宋体" w:cs="Times New Roman"/>
                <w:color w:val="000000"/>
                <w:sz w:val="21"/>
                <w:szCs w:val="21"/>
                <w:lang w:val="en-US" w:eastAsia="zh-CN"/>
              </w:rPr>
              <w:t>5</w:t>
            </w:r>
          </w:p>
        </w:tc>
        <w:tc>
          <w:tcPr>
            <w:tcW w:w="518" w:type="pct"/>
            <w:tcBorders>
              <w:tl2br w:val="nil"/>
              <w:tr2bl w:val="nil"/>
            </w:tcBorders>
            <w:noWrap w:val="0"/>
            <w:vAlign w:val="center"/>
          </w:tcPr>
          <w:p w14:paraId="5D5C5EF9">
            <w:pPr>
              <w:pStyle w:val="718"/>
              <w:bidi w:val="0"/>
              <w:ind w:left="0" w:leftChars="0" w:firstLine="0" w:firstLineChars="0"/>
              <w:jc w:val="center"/>
              <w:rPr>
                <w:rFonts w:hint="default" w:ascii="Times New Roman" w:hAnsi="Times New Roman" w:eastAsia="宋体" w:cs="Times New Roman"/>
                <w:color w:val="000000"/>
                <w:sz w:val="21"/>
                <w:szCs w:val="21"/>
                <w:highlight w:val="none"/>
                <w:lang w:val="en-US" w:eastAsia="zh-CN"/>
              </w:rPr>
            </w:pPr>
            <w:r>
              <w:rPr>
                <w:rFonts w:hint="eastAsia" w:cs="Times New Roman"/>
                <w:color w:val="000000"/>
                <w:sz w:val="21"/>
                <w:szCs w:val="21"/>
                <w:highlight w:val="none"/>
                <w:lang w:val="en-US" w:eastAsia="zh-CN"/>
              </w:rPr>
              <w:t>37.5</w:t>
            </w:r>
          </w:p>
        </w:tc>
        <w:tc>
          <w:tcPr>
            <w:tcW w:w="262" w:type="pct"/>
            <w:tcBorders>
              <w:tl2br w:val="nil"/>
              <w:tr2bl w:val="nil"/>
            </w:tcBorders>
            <w:noWrap w:val="0"/>
            <w:vAlign w:val="center"/>
          </w:tcPr>
          <w:p w14:paraId="72478AEB">
            <w:pPr>
              <w:pStyle w:val="718"/>
              <w:bidi w:val="0"/>
              <w:ind w:left="0" w:leftChars="0" w:firstLine="0" w:firstLineChars="0"/>
              <w:jc w:val="center"/>
              <w:rPr>
                <w:rFonts w:hint="default" w:ascii="Times New Roman" w:hAnsi="Times New Roman" w:eastAsia="宋体" w:cs="Times New Roman"/>
                <w:color w:val="000000"/>
                <w:sz w:val="21"/>
                <w:szCs w:val="21"/>
                <w:highlight w:val="none"/>
                <w:lang w:val="en-US" w:eastAsia="zh-CN"/>
              </w:rPr>
            </w:pPr>
            <w:r>
              <w:rPr>
                <w:rFonts w:hint="eastAsia" w:cs="Times New Roman"/>
                <w:color w:val="000000"/>
                <w:sz w:val="21"/>
                <w:szCs w:val="21"/>
                <w:highlight w:val="none"/>
                <w:lang w:val="en-US" w:eastAsia="zh-CN"/>
              </w:rPr>
              <w:t>0</w:t>
            </w:r>
          </w:p>
        </w:tc>
      </w:tr>
      <w:tr w14:paraId="43200D1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75" w:type="pct"/>
            <w:vMerge w:val="continue"/>
            <w:tcBorders>
              <w:tl2br w:val="nil"/>
              <w:tr2bl w:val="nil"/>
            </w:tcBorders>
            <w:noWrap w:val="0"/>
            <w:vAlign w:val="center"/>
          </w:tcPr>
          <w:p w14:paraId="1D877CBA">
            <w:pPr>
              <w:pStyle w:val="718"/>
              <w:bidi w:val="0"/>
              <w:jc w:val="center"/>
              <w:rPr>
                <w:rFonts w:hint="default" w:ascii="Times New Roman" w:hAnsi="Times New Roman" w:eastAsia="宋体" w:cs="Times New Roman"/>
                <w:color w:val="000000"/>
                <w:sz w:val="21"/>
                <w:szCs w:val="21"/>
                <w:highlight w:val="none"/>
              </w:rPr>
            </w:pPr>
          </w:p>
        </w:tc>
        <w:tc>
          <w:tcPr>
            <w:tcW w:w="724" w:type="pct"/>
            <w:vMerge w:val="restart"/>
            <w:tcBorders>
              <w:tl2br w:val="nil"/>
              <w:tr2bl w:val="nil"/>
            </w:tcBorders>
            <w:noWrap w:val="0"/>
            <w:vAlign w:val="center"/>
          </w:tcPr>
          <w:p w14:paraId="3CF4A1B6">
            <w:pPr>
              <w:pStyle w:val="718"/>
              <w:bidi w:val="0"/>
              <w:ind w:left="0" w:leftChars="0" w:firstLine="0" w:firstLineChars="0"/>
              <w:jc w:val="center"/>
              <w:rPr>
                <w:rFonts w:hint="default" w:ascii="Times New Roman" w:hAnsi="Times New Roman" w:eastAsia="宋体" w:cs="Times New Roman"/>
                <w:color w:val="000000"/>
                <w:kern w:val="2"/>
                <w:sz w:val="21"/>
                <w:szCs w:val="21"/>
                <w:highlight w:val="none"/>
                <w:lang w:val="en-US" w:eastAsia="zh-CN" w:bidi="ar-SA"/>
              </w:rPr>
            </w:pPr>
            <w:r>
              <w:rPr>
                <w:rFonts w:hint="default" w:ascii="Times New Roman" w:hAnsi="Times New Roman" w:cs="Times New Roman"/>
                <w:sz w:val="21"/>
                <w:szCs w:val="21"/>
                <w:lang w:val="en-US" w:eastAsia="zh-CN"/>
              </w:rPr>
              <w:t>氮氧化物</w:t>
            </w:r>
          </w:p>
        </w:tc>
        <w:tc>
          <w:tcPr>
            <w:tcW w:w="553" w:type="pct"/>
            <w:tcBorders>
              <w:tl2br w:val="nil"/>
              <w:tr2bl w:val="nil"/>
            </w:tcBorders>
            <w:noWrap w:val="0"/>
            <w:vAlign w:val="center"/>
          </w:tcPr>
          <w:p w14:paraId="201E9ABD">
            <w:pPr>
              <w:pStyle w:val="718"/>
              <w:bidi w:val="0"/>
              <w:ind w:left="0" w:leftChars="0" w:firstLine="0" w:firstLineChars="0"/>
              <w:jc w:val="center"/>
              <w:rPr>
                <w:rFonts w:hint="default" w:ascii="Times New Roman" w:hAnsi="Times New Roman" w:eastAsia="宋体" w:cs="Times New Roman"/>
                <w:color w:val="000000"/>
                <w:sz w:val="21"/>
                <w:szCs w:val="21"/>
                <w:highlight w:val="none"/>
                <w:lang w:eastAsia="zh-CN"/>
              </w:rPr>
            </w:pPr>
            <w:r>
              <w:rPr>
                <w:rFonts w:hint="default" w:ascii="Times New Roman" w:hAnsi="Times New Roman" w:cs="Times New Roman"/>
                <w:sz w:val="21"/>
                <w:szCs w:val="21"/>
                <w:lang w:val="en-US" w:eastAsia="zh-CN"/>
              </w:rPr>
              <w:t>小时值</w:t>
            </w:r>
          </w:p>
        </w:tc>
        <w:tc>
          <w:tcPr>
            <w:tcW w:w="718" w:type="pct"/>
            <w:tcBorders>
              <w:tl2br w:val="nil"/>
              <w:tr2bl w:val="nil"/>
            </w:tcBorders>
            <w:noWrap w:val="0"/>
            <w:vAlign w:val="center"/>
          </w:tcPr>
          <w:p w14:paraId="0712A228">
            <w:pPr>
              <w:bidi w:val="0"/>
              <w:ind w:left="0" w:leftChars="0" w:firstLine="0" w:firstLineChars="0"/>
              <w:jc w:val="center"/>
              <w:rPr>
                <w:rFonts w:hint="default" w:ascii="Times New Roman" w:hAnsi="Times New Roman" w:eastAsia="宋体" w:cs="Times New Roman"/>
                <w:color w:val="000000"/>
                <w:sz w:val="21"/>
                <w:szCs w:val="21"/>
                <w:highlight w:val="none"/>
                <w:lang w:val="en-US" w:eastAsia="zh-CN"/>
              </w:rPr>
            </w:pPr>
            <w:r>
              <w:rPr>
                <w:rFonts w:hint="default" w:ascii="Times New Roman" w:hAnsi="Times New Roman" w:eastAsia="宋体" w:cs="Times New Roman"/>
                <w:color w:val="000000"/>
                <w:sz w:val="21"/>
                <w:szCs w:val="21"/>
                <w:highlight w:val="none"/>
                <w:lang w:val="en-US" w:eastAsia="zh-CN"/>
              </w:rPr>
              <w:t>μg/m</w:t>
            </w:r>
            <w:r>
              <w:rPr>
                <w:rFonts w:hint="default" w:ascii="Times New Roman" w:hAnsi="Times New Roman" w:eastAsia="宋体" w:cs="Times New Roman"/>
                <w:color w:val="000000"/>
                <w:sz w:val="21"/>
                <w:szCs w:val="21"/>
                <w:highlight w:val="none"/>
                <w:vertAlign w:val="superscript"/>
                <w:lang w:val="en-US" w:eastAsia="zh-CN"/>
              </w:rPr>
              <w:t>3</w:t>
            </w:r>
          </w:p>
        </w:tc>
        <w:tc>
          <w:tcPr>
            <w:tcW w:w="669" w:type="pct"/>
            <w:tcBorders>
              <w:tl2br w:val="nil"/>
              <w:tr2bl w:val="nil"/>
            </w:tcBorders>
            <w:noWrap w:val="0"/>
            <w:vAlign w:val="center"/>
          </w:tcPr>
          <w:p w14:paraId="2AEACD5C">
            <w:pPr>
              <w:widowControl/>
              <w:spacing w:line="240" w:lineRule="auto"/>
              <w:ind w:right="-64" w:rightChars="0" w:firstLine="0" w:firstLineChars="0"/>
              <w:jc w:val="center"/>
              <w:rPr>
                <w:rFonts w:hint="default" w:ascii="Times New Roman" w:hAnsi="Times New Roman" w:eastAsia="宋体" w:cs="Times New Roman"/>
                <w:color w:val="000000"/>
                <w:sz w:val="21"/>
                <w:szCs w:val="21"/>
                <w:highlight w:val="none"/>
                <w:lang w:val="en-US" w:eastAsia="zh-CN"/>
              </w:rPr>
            </w:pPr>
            <w:r>
              <w:rPr>
                <w:rFonts w:hint="eastAsia" w:ascii="Times New Roman" w:hAnsi="Times New Roman" w:eastAsia="宋体" w:cs="Times New Roman"/>
                <w:kern w:val="0"/>
                <w:sz w:val="21"/>
                <w:szCs w:val="21"/>
                <w:lang w:val="en-US" w:eastAsia="zh-CN"/>
              </w:rPr>
              <w:t>250</w:t>
            </w:r>
          </w:p>
        </w:tc>
        <w:tc>
          <w:tcPr>
            <w:tcW w:w="1078" w:type="pct"/>
            <w:tcBorders>
              <w:tl2br w:val="nil"/>
              <w:tr2bl w:val="nil"/>
            </w:tcBorders>
            <w:noWrap w:val="0"/>
            <w:vAlign w:val="center"/>
          </w:tcPr>
          <w:p w14:paraId="1E1E978D">
            <w:pPr>
              <w:pStyle w:val="718"/>
              <w:bidi w:val="0"/>
              <w:ind w:left="0" w:leftChars="0" w:firstLine="0" w:firstLineChars="0"/>
              <w:jc w:val="center"/>
              <w:rPr>
                <w:rFonts w:hint="default" w:ascii="Times New Roman" w:hAnsi="Times New Roman" w:eastAsia="宋体" w:cs="Times New Roman"/>
                <w:color w:val="000000"/>
                <w:sz w:val="21"/>
                <w:szCs w:val="21"/>
                <w:highlight w:val="none"/>
                <w:lang w:val="en-US" w:eastAsia="zh-CN"/>
              </w:rPr>
            </w:pPr>
            <w:r>
              <w:rPr>
                <w:rFonts w:hint="eastAsia" w:cs="Times New Roman"/>
                <w:color w:val="000000"/>
                <w:sz w:val="21"/>
                <w:szCs w:val="21"/>
                <w:highlight w:val="none"/>
                <w:lang w:val="en-US" w:eastAsia="zh-CN"/>
              </w:rPr>
              <w:t>28-41</w:t>
            </w:r>
          </w:p>
        </w:tc>
        <w:tc>
          <w:tcPr>
            <w:tcW w:w="518" w:type="pct"/>
            <w:tcBorders>
              <w:tl2br w:val="nil"/>
              <w:tr2bl w:val="nil"/>
            </w:tcBorders>
            <w:noWrap w:val="0"/>
            <w:vAlign w:val="center"/>
          </w:tcPr>
          <w:p w14:paraId="72FE4B85">
            <w:pPr>
              <w:pStyle w:val="718"/>
              <w:bidi w:val="0"/>
              <w:ind w:left="0" w:leftChars="0" w:firstLine="0" w:firstLineChars="0"/>
              <w:jc w:val="center"/>
              <w:rPr>
                <w:rFonts w:hint="default" w:ascii="Times New Roman" w:hAnsi="Times New Roman" w:eastAsia="宋体" w:cs="Times New Roman"/>
                <w:color w:val="000000"/>
                <w:sz w:val="21"/>
                <w:szCs w:val="21"/>
                <w:highlight w:val="none"/>
                <w:lang w:val="en-US" w:eastAsia="zh-CN"/>
              </w:rPr>
            </w:pPr>
            <w:r>
              <w:rPr>
                <w:rFonts w:hint="eastAsia" w:cs="Times New Roman"/>
                <w:color w:val="000000"/>
                <w:sz w:val="21"/>
                <w:szCs w:val="21"/>
                <w:highlight w:val="none"/>
                <w:lang w:val="en-US" w:eastAsia="zh-CN"/>
              </w:rPr>
              <w:t>16.4</w:t>
            </w:r>
          </w:p>
        </w:tc>
        <w:tc>
          <w:tcPr>
            <w:tcW w:w="262" w:type="pct"/>
            <w:tcBorders>
              <w:tl2br w:val="nil"/>
              <w:tr2bl w:val="nil"/>
            </w:tcBorders>
            <w:noWrap w:val="0"/>
            <w:vAlign w:val="center"/>
          </w:tcPr>
          <w:p w14:paraId="4A3E723A">
            <w:pPr>
              <w:pStyle w:val="718"/>
              <w:bidi w:val="0"/>
              <w:ind w:left="0" w:leftChars="0" w:firstLine="0" w:firstLineChars="0"/>
              <w:jc w:val="center"/>
              <w:rPr>
                <w:rFonts w:hint="default" w:ascii="Times New Roman" w:hAnsi="Times New Roman" w:eastAsia="宋体" w:cs="Times New Roman"/>
                <w:color w:val="000000"/>
                <w:sz w:val="21"/>
                <w:szCs w:val="21"/>
                <w:highlight w:val="none"/>
                <w:lang w:val="en-US" w:eastAsia="zh-CN"/>
              </w:rPr>
            </w:pPr>
            <w:r>
              <w:rPr>
                <w:rFonts w:hint="eastAsia" w:cs="Times New Roman"/>
                <w:color w:val="000000"/>
                <w:sz w:val="21"/>
                <w:szCs w:val="21"/>
                <w:highlight w:val="none"/>
                <w:lang w:val="en-US" w:eastAsia="zh-CN"/>
              </w:rPr>
              <w:t>0</w:t>
            </w:r>
          </w:p>
        </w:tc>
      </w:tr>
      <w:tr w14:paraId="452DEB5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75" w:type="pct"/>
            <w:vMerge w:val="continue"/>
            <w:tcBorders>
              <w:tl2br w:val="nil"/>
              <w:tr2bl w:val="nil"/>
            </w:tcBorders>
            <w:noWrap w:val="0"/>
            <w:vAlign w:val="center"/>
          </w:tcPr>
          <w:p w14:paraId="537091FB">
            <w:pPr>
              <w:pStyle w:val="718"/>
              <w:bidi w:val="0"/>
              <w:jc w:val="center"/>
              <w:rPr>
                <w:rFonts w:hint="default" w:ascii="Times New Roman" w:hAnsi="Times New Roman" w:eastAsia="宋体" w:cs="Times New Roman"/>
                <w:color w:val="000000"/>
                <w:sz w:val="21"/>
                <w:szCs w:val="21"/>
                <w:highlight w:val="none"/>
              </w:rPr>
            </w:pPr>
          </w:p>
        </w:tc>
        <w:tc>
          <w:tcPr>
            <w:tcW w:w="724" w:type="pct"/>
            <w:vMerge w:val="continue"/>
            <w:tcBorders>
              <w:tl2br w:val="nil"/>
              <w:tr2bl w:val="nil"/>
            </w:tcBorders>
            <w:noWrap w:val="0"/>
            <w:vAlign w:val="center"/>
          </w:tcPr>
          <w:p w14:paraId="5FD6B5D5">
            <w:pPr>
              <w:pStyle w:val="718"/>
              <w:bidi w:val="0"/>
              <w:ind w:left="0" w:leftChars="0" w:firstLine="0" w:firstLineChars="0"/>
              <w:jc w:val="center"/>
              <w:rPr>
                <w:rFonts w:hint="default" w:ascii="Times New Roman" w:hAnsi="Times New Roman" w:eastAsia="宋体" w:cs="Times New Roman"/>
                <w:color w:val="000000"/>
                <w:kern w:val="2"/>
                <w:sz w:val="21"/>
                <w:szCs w:val="21"/>
                <w:highlight w:val="none"/>
                <w:lang w:val="en-US" w:eastAsia="zh-CN" w:bidi="ar-SA"/>
              </w:rPr>
            </w:pPr>
          </w:p>
        </w:tc>
        <w:tc>
          <w:tcPr>
            <w:tcW w:w="553" w:type="pct"/>
            <w:tcBorders>
              <w:tl2br w:val="nil"/>
              <w:tr2bl w:val="nil"/>
            </w:tcBorders>
            <w:noWrap w:val="0"/>
            <w:vAlign w:val="center"/>
          </w:tcPr>
          <w:p w14:paraId="0D45CB38">
            <w:pPr>
              <w:pStyle w:val="718"/>
              <w:bidi w:val="0"/>
              <w:ind w:left="0" w:leftChars="0" w:firstLine="0" w:firstLineChars="0"/>
              <w:jc w:val="center"/>
              <w:rPr>
                <w:rFonts w:hint="default" w:ascii="Times New Roman" w:hAnsi="Times New Roman" w:eastAsia="宋体" w:cs="Times New Roman"/>
                <w:color w:val="000000"/>
                <w:sz w:val="21"/>
                <w:szCs w:val="21"/>
                <w:highlight w:val="none"/>
                <w:lang w:eastAsia="zh-CN"/>
              </w:rPr>
            </w:pPr>
            <w:r>
              <w:rPr>
                <w:rFonts w:hint="default" w:ascii="Times New Roman" w:hAnsi="Times New Roman" w:eastAsia="宋体" w:cs="Times New Roman"/>
                <w:color w:val="000000"/>
                <w:sz w:val="21"/>
                <w:szCs w:val="21"/>
                <w:highlight w:val="none"/>
                <w:lang w:eastAsia="zh-CN"/>
              </w:rPr>
              <w:t>日均值</w:t>
            </w:r>
          </w:p>
        </w:tc>
        <w:tc>
          <w:tcPr>
            <w:tcW w:w="718" w:type="pct"/>
            <w:tcBorders>
              <w:tl2br w:val="nil"/>
              <w:tr2bl w:val="nil"/>
            </w:tcBorders>
            <w:noWrap w:val="0"/>
            <w:vAlign w:val="center"/>
          </w:tcPr>
          <w:p w14:paraId="66D70A82">
            <w:pPr>
              <w:pStyle w:val="718"/>
              <w:bidi w:val="0"/>
              <w:ind w:left="0" w:leftChars="0" w:firstLine="0" w:firstLineChars="0"/>
              <w:jc w:val="center"/>
              <w:rPr>
                <w:rFonts w:hint="default" w:ascii="Times New Roman" w:hAnsi="Times New Roman" w:eastAsia="宋体" w:cs="Times New Roman"/>
                <w:color w:val="000000"/>
                <w:sz w:val="21"/>
                <w:szCs w:val="21"/>
                <w:highlight w:val="none"/>
                <w:lang w:val="en-US" w:eastAsia="zh-CN"/>
              </w:rPr>
            </w:pPr>
            <w:r>
              <w:rPr>
                <w:rFonts w:hint="default" w:ascii="Times New Roman" w:hAnsi="Times New Roman" w:eastAsia="宋体" w:cs="Times New Roman"/>
                <w:color w:val="000000"/>
                <w:sz w:val="21"/>
                <w:szCs w:val="21"/>
                <w:highlight w:val="none"/>
                <w:lang w:val="en-US" w:eastAsia="zh-CN"/>
              </w:rPr>
              <w:t>μg/m</w:t>
            </w:r>
            <w:r>
              <w:rPr>
                <w:rFonts w:hint="default" w:ascii="Times New Roman" w:hAnsi="Times New Roman" w:eastAsia="宋体" w:cs="Times New Roman"/>
                <w:color w:val="000000"/>
                <w:sz w:val="21"/>
                <w:szCs w:val="21"/>
                <w:highlight w:val="none"/>
                <w:vertAlign w:val="superscript"/>
                <w:lang w:val="en-US" w:eastAsia="zh-CN"/>
              </w:rPr>
              <w:t>3</w:t>
            </w:r>
          </w:p>
        </w:tc>
        <w:tc>
          <w:tcPr>
            <w:tcW w:w="669" w:type="pct"/>
            <w:tcBorders>
              <w:tl2br w:val="nil"/>
              <w:tr2bl w:val="nil"/>
            </w:tcBorders>
            <w:noWrap w:val="0"/>
            <w:vAlign w:val="center"/>
          </w:tcPr>
          <w:p w14:paraId="0FBE89A1">
            <w:pPr>
              <w:widowControl/>
              <w:spacing w:line="240" w:lineRule="auto"/>
              <w:ind w:right="-64" w:rightChars="0" w:firstLine="0" w:firstLineChars="0"/>
              <w:jc w:val="center"/>
              <w:rPr>
                <w:rFonts w:hint="default" w:ascii="Times New Roman" w:hAnsi="Times New Roman" w:eastAsia="宋体" w:cs="Times New Roman"/>
                <w:color w:val="000000"/>
                <w:sz w:val="21"/>
                <w:szCs w:val="21"/>
                <w:highlight w:val="none"/>
                <w:lang w:val="en-US" w:eastAsia="zh-CN"/>
              </w:rPr>
            </w:pPr>
            <w:r>
              <w:rPr>
                <w:rFonts w:hint="eastAsia" w:ascii="Times New Roman" w:hAnsi="Times New Roman" w:eastAsia="宋体" w:cs="Times New Roman"/>
                <w:kern w:val="0"/>
                <w:sz w:val="21"/>
                <w:szCs w:val="21"/>
                <w:lang w:val="en-US" w:eastAsia="zh-CN"/>
              </w:rPr>
              <w:t>100</w:t>
            </w:r>
          </w:p>
        </w:tc>
        <w:tc>
          <w:tcPr>
            <w:tcW w:w="1078" w:type="pct"/>
            <w:tcBorders>
              <w:tl2br w:val="nil"/>
              <w:tr2bl w:val="nil"/>
            </w:tcBorders>
            <w:noWrap w:val="0"/>
            <w:vAlign w:val="center"/>
          </w:tcPr>
          <w:p w14:paraId="218E2714">
            <w:pPr>
              <w:pStyle w:val="718"/>
              <w:bidi w:val="0"/>
              <w:ind w:left="0" w:leftChars="0" w:firstLine="0" w:firstLineChars="0"/>
              <w:jc w:val="center"/>
              <w:rPr>
                <w:rFonts w:hint="default" w:ascii="Times New Roman" w:hAnsi="Times New Roman" w:eastAsia="宋体" w:cs="Times New Roman"/>
                <w:color w:val="000000"/>
                <w:sz w:val="21"/>
                <w:szCs w:val="21"/>
                <w:highlight w:val="none"/>
                <w:lang w:val="en-US" w:eastAsia="zh-CN"/>
              </w:rPr>
            </w:pPr>
            <w:r>
              <w:rPr>
                <w:rFonts w:hint="eastAsia" w:cs="Times New Roman"/>
                <w:color w:val="000000"/>
                <w:sz w:val="21"/>
                <w:szCs w:val="21"/>
                <w:highlight w:val="none"/>
                <w:lang w:val="en-US" w:eastAsia="zh-CN"/>
              </w:rPr>
              <w:t>67-75</w:t>
            </w:r>
          </w:p>
        </w:tc>
        <w:tc>
          <w:tcPr>
            <w:tcW w:w="518" w:type="pct"/>
            <w:tcBorders>
              <w:tl2br w:val="nil"/>
              <w:tr2bl w:val="nil"/>
            </w:tcBorders>
            <w:noWrap w:val="0"/>
            <w:vAlign w:val="center"/>
          </w:tcPr>
          <w:p w14:paraId="42271405">
            <w:pPr>
              <w:pStyle w:val="718"/>
              <w:bidi w:val="0"/>
              <w:ind w:left="0" w:leftChars="0" w:firstLine="0" w:firstLineChars="0"/>
              <w:jc w:val="center"/>
              <w:rPr>
                <w:rFonts w:hint="default" w:ascii="Times New Roman" w:hAnsi="Times New Roman" w:eastAsia="宋体" w:cs="Times New Roman"/>
                <w:color w:val="000000"/>
                <w:sz w:val="21"/>
                <w:szCs w:val="21"/>
                <w:highlight w:val="none"/>
                <w:lang w:val="en-US" w:eastAsia="zh-CN"/>
              </w:rPr>
            </w:pPr>
            <w:r>
              <w:rPr>
                <w:rFonts w:hint="eastAsia" w:cs="Times New Roman"/>
                <w:color w:val="000000"/>
                <w:sz w:val="21"/>
                <w:szCs w:val="21"/>
                <w:highlight w:val="none"/>
                <w:lang w:val="en-US" w:eastAsia="zh-CN"/>
              </w:rPr>
              <w:t>75</w:t>
            </w:r>
          </w:p>
        </w:tc>
        <w:tc>
          <w:tcPr>
            <w:tcW w:w="262" w:type="pct"/>
            <w:tcBorders>
              <w:tl2br w:val="nil"/>
              <w:tr2bl w:val="nil"/>
            </w:tcBorders>
            <w:noWrap w:val="0"/>
            <w:vAlign w:val="center"/>
          </w:tcPr>
          <w:p w14:paraId="2EF34939">
            <w:pPr>
              <w:pStyle w:val="718"/>
              <w:bidi w:val="0"/>
              <w:ind w:left="0" w:leftChars="0" w:firstLine="0" w:firstLineChars="0"/>
              <w:jc w:val="center"/>
              <w:rPr>
                <w:rFonts w:hint="default" w:ascii="Times New Roman" w:hAnsi="Times New Roman" w:eastAsia="宋体" w:cs="Times New Roman"/>
                <w:color w:val="000000"/>
                <w:sz w:val="21"/>
                <w:szCs w:val="21"/>
                <w:highlight w:val="none"/>
                <w:lang w:val="en-US" w:eastAsia="zh-CN"/>
              </w:rPr>
            </w:pPr>
            <w:r>
              <w:rPr>
                <w:rFonts w:hint="eastAsia" w:cs="Times New Roman"/>
                <w:color w:val="000000"/>
                <w:sz w:val="21"/>
                <w:szCs w:val="21"/>
                <w:highlight w:val="none"/>
                <w:lang w:val="en-US" w:eastAsia="zh-CN"/>
              </w:rPr>
              <w:t>0</w:t>
            </w:r>
          </w:p>
        </w:tc>
      </w:tr>
      <w:tr w14:paraId="0ABE33C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75" w:type="pct"/>
            <w:vMerge w:val="continue"/>
            <w:tcBorders>
              <w:tl2br w:val="nil"/>
              <w:tr2bl w:val="nil"/>
            </w:tcBorders>
            <w:noWrap w:val="0"/>
            <w:vAlign w:val="center"/>
          </w:tcPr>
          <w:p w14:paraId="1D7E6A6B">
            <w:pPr>
              <w:pStyle w:val="718"/>
              <w:bidi w:val="0"/>
              <w:jc w:val="center"/>
              <w:rPr>
                <w:rFonts w:hint="default" w:ascii="Times New Roman" w:hAnsi="Times New Roman" w:eastAsia="宋体" w:cs="Times New Roman"/>
                <w:color w:val="000000"/>
                <w:sz w:val="21"/>
                <w:szCs w:val="21"/>
                <w:highlight w:val="none"/>
              </w:rPr>
            </w:pPr>
          </w:p>
        </w:tc>
        <w:tc>
          <w:tcPr>
            <w:tcW w:w="1196" w:type="dxa"/>
            <w:tcBorders>
              <w:tl2br w:val="nil"/>
              <w:tr2bl w:val="nil"/>
            </w:tcBorders>
            <w:noWrap w:val="0"/>
            <w:vAlign w:val="center"/>
          </w:tcPr>
          <w:p w14:paraId="3A382BC1">
            <w:pPr>
              <w:pStyle w:val="718"/>
              <w:bidi w:val="0"/>
              <w:ind w:left="0" w:leftChars="0" w:firstLine="0" w:firstLineChars="0"/>
              <w:jc w:val="center"/>
              <w:rPr>
                <w:rFonts w:hint="default" w:ascii="Times New Roman" w:hAnsi="Times New Roman" w:eastAsia="宋体" w:cs="Times New Roman"/>
                <w:color w:val="000000"/>
                <w:kern w:val="2"/>
                <w:sz w:val="21"/>
                <w:szCs w:val="21"/>
                <w:highlight w:val="none"/>
                <w:lang w:val="en-US" w:eastAsia="zh-CN" w:bidi="ar-SA"/>
              </w:rPr>
            </w:pPr>
            <w:r>
              <w:rPr>
                <w:rFonts w:hint="eastAsia" w:ascii="Times New Roman" w:hAnsi="Times New Roman" w:eastAsia="宋体" w:cs="Times New Roman"/>
                <w:kern w:val="0"/>
                <w:sz w:val="21"/>
                <w:szCs w:val="21"/>
              </w:rPr>
              <w:t>二噁英</w:t>
            </w:r>
          </w:p>
        </w:tc>
        <w:tc>
          <w:tcPr>
            <w:tcW w:w="914" w:type="dxa"/>
            <w:tcBorders>
              <w:tl2br w:val="nil"/>
              <w:tr2bl w:val="nil"/>
            </w:tcBorders>
            <w:noWrap w:val="0"/>
            <w:vAlign w:val="center"/>
          </w:tcPr>
          <w:p w14:paraId="4FE4A203">
            <w:pPr>
              <w:pStyle w:val="718"/>
              <w:bidi w:val="0"/>
              <w:ind w:left="0" w:leftChars="0" w:firstLine="0" w:firstLineChars="0"/>
              <w:jc w:val="center"/>
              <w:rPr>
                <w:rFonts w:hint="default" w:ascii="Times New Roman" w:hAnsi="Times New Roman" w:eastAsia="宋体" w:cs="Times New Roman"/>
                <w:color w:val="000000"/>
                <w:sz w:val="21"/>
                <w:szCs w:val="21"/>
                <w:highlight w:val="none"/>
                <w:lang w:eastAsia="zh-CN"/>
              </w:rPr>
            </w:pPr>
            <w:r>
              <w:rPr>
                <w:rFonts w:hint="eastAsia" w:ascii="Times New Roman" w:hAnsi="Times New Roman" w:eastAsia="宋体" w:cs="Times New Roman"/>
                <w:kern w:val="0"/>
                <w:sz w:val="21"/>
                <w:szCs w:val="21"/>
              </w:rPr>
              <w:t>年均值</w:t>
            </w:r>
          </w:p>
        </w:tc>
        <w:tc>
          <w:tcPr>
            <w:tcW w:w="1187" w:type="dxa"/>
            <w:tcBorders>
              <w:tl2br w:val="nil"/>
              <w:tr2bl w:val="nil"/>
            </w:tcBorders>
            <w:noWrap w:val="0"/>
            <w:vAlign w:val="center"/>
          </w:tcPr>
          <w:p w14:paraId="0DA84744">
            <w:pPr>
              <w:pStyle w:val="718"/>
              <w:bidi w:val="0"/>
              <w:ind w:left="0" w:leftChars="0" w:firstLine="0" w:firstLineChars="0"/>
              <w:jc w:val="center"/>
              <w:rPr>
                <w:rFonts w:hint="default" w:ascii="Times New Roman" w:hAnsi="Times New Roman" w:eastAsia="宋体" w:cs="Times New Roman"/>
                <w:color w:val="000000"/>
                <w:sz w:val="21"/>
                <w:szCs w:val="21"/>
                <w:highlight w:val="none"/>
                <w:lang w:val="en-US" w:eastAsia="zh-CN"/>
              </w:rPr>
            </w:pPr>
            <w:r>
              <w:rPr>
                <w:rFonts w:hint="eastAsia" w:ascii="Times New Roman" w:hAnsi="Times New Roman" w:eastAsia="宋体" w:cs="Times New Roman"/>
                <w:kern w:val="0"/>
                <w:sz w:val="21"/>
                <w:szCs w:val="21"/>
                <w:lang w:val="en-US" w:eastAsia="zh-CN"/>
              </w:rPr>
              <w:t>pgTEQ/m</w:t>
            </w:r>
            <w:r>
              <w:rPr>
                <w:rFonts w:hint="eastAsia" w:ascii="Times New Roman" w:hAnsi="Times New Roman" w:eastAsia="宋体" w:cs="Times New Roman"/>
                <w:kern w:val="0"/>
                <w:sz w:val="21"/>
                <w:szCs w:val="21"/>
                <w:vertAlign w:val="superscript"/>
                <w:lang w:val="en-US" w:eastAsia="zh-CN"/>
              </w:rPr>
              <w:t>3</w:t>
            </w:r>
          </w:p>
        </w:tc>
        <w:tc>
          <w:tcPr>
            <w:tcW w:w="1106" w:type="dxa"/>
            <w:tcBorders>
              <w:tl2br w:val="nil"/>
              <w:tr2bl w:val="nil"/>
            </w:tcBorders>
            <w:noWrap w:val="0"/>
            <w:vAlign w:val="center"/>
          </w:tcPr>
          <w:p w14:paraId="768BFAA6">
            <w:pPr>
              <w:widowControl/>
              <w:spacing w:line="240" w:lineRule="auto"/>
              <w:ind w:right="-64" w:rightChars="0" w:firstLine="0" w:firstLineChars="0"/>
              <w:jc w:val="center"/>
              <w:rPr>
                <w:rFonts w:hint="eastAsia"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 xml:space="preserve">0.6  </w:t>
            </w:r>
          </w:p>
        </w:tc>
        <w:tc>
          <w:tcPr>
            <w:tcW w:w="1078" w:type="pct"/>
            <w:tcBorders>
              <w:tl2br w:val="nil"/>
              <w:tr2bl w:val="nil"/>
            </w:tcBorders>
            <w:noWrap w:val="0"/>
            <w:vAlign w:val="center"/>
          </w:tcPr>
          <w:p w14:paraId="027F0E4A">
            <w:pPr>
              <w:pStyle w:val="718"/>
              <w:bidi w:val="0"/>
              <w:ind w:left="0" w:leftChars="0" w:firstLine="0" w:firstLineChars="0"/>
              <w:jc w:val="center"/>
              <w:rPr>
                <w:rFonts w:hint="default" w:cs="Times New Roman"/>
                <w:color w:val="000000"/>
                <w:sz w:val="21"/>
                <w:szCs w:val="21"/>
                <w:highlight w:val="none"/>
                <w:lang w:val="en-US" w:eastAsia="zh-CN"/>
              </w:rPr>
            </w:pPr>
            <w:r>
              <w:rPr>
                <w:rFonts w:hint="eastAsia" w:cs="Times New Roman"/>
                <w:color w:val="000000"/>
                <w:sz w:val="21"/>
                <w:szCs w:val="21"/>
                <w:highlight w:val="none"/>
                <w:lang w:val="en-US" w:eastAsia="zh-CN"/>
              </w:rPr>
              <w:t>0.0028-0.016</w:t>
            </w:r>
          </w:p>
        </w:tc>
        <w:tc>
          <w:tcPr>
            <w:tcW w:w="518" w:type="pct"/>
            <w:tcBorders>
              <w:tl2br w:val="nil"/>
              <w:tr2bl w:val="nil"/>
            </w:tcBorders>
            <w:noWrap w:val="0"/>
            <w:vAlign w:val="center"/>
          </w:tcPr>
          <w:p w14:paraId="773BE013">
            <w:pPr>
              <w:pStyle w:val="718"/>
              <w:bidi w:val="0"/>
              <w:ind w:left="0" w:leftChars="0" w:firstLine="0" w:firstLineChars="0"/>
              <w:jc w:val="center"/>
              <w:rPr>
                <w:rFonts w:hint="default" w:cs="Times New Roman"/>
                <w:color w:val="000000"/>
                <w:sz w:val="21"/>
                <w:szCs w:val="21"/>
                <w:highlight w:val="none"/>
                <w:lang w:val="en-US" w:eastAsia="zh-CN"/>
              </w:rPr>
            </w:pPr>
            <w:r>
              <w:rPr>
                <w:rFonts w:hint="eastAsia" w:cs="Times New Roman"/>
                <w:color w:val="000000"/>
                <w:sz w:val="21"/>
                <w:szCs w:val="21"/>
                <w:highlight w:val="none"/>
                <w:lang w:val="en-US" w:eastAsia="zh-CN"/>
              </w:rPr>
              <w:t>2.7</w:t>
            </w:r>
          </w:p>
        </w:tc>
        <w:tc>
          <w:tcPr>
            <w:tcW w:w="262" w:type="pct"/>
            <w:tcBorders>
              <w:tl2br w:val="nil"/>
              <w:tr2bl w:val="nil"/>
            </w:tcBorders>
            <w:noWrap w:val="0"/>
            <w:vAlign w:val="center"/>
          </w:tcPr>
          <w:p w14:paraId="68DD262A">
            <w:pPr>
              <w:pStyle w:val="718"/>
              <w:bidi w:val="0"/>
              <w:ind w:left="0" w:leftChars="0" w:firstLine="0" w:firstLineChars="0"/>
              <w:jc w:val="center"/>
              <w:rPr>
                <w:rFonts w:hint="default" w:cs="Times New Roman"/>
                <w:color w:val="000000"/>
                <w:sz w:val="21"/>
                <w:szCs w:val="21"/>
                <w:highlight w:val="none"/>
                <w:lang w:val="en-US" w:eastAsia="zh-CN"/>
              </w:rPr>
            </w:pPr>
            <w:r>
              <w:rPr>
                <w:rFonts w:hint="eastAsia" w:cs="Times New Roman"/>
                <w:color w:val="000000"/>
                <w:sz w:val="21"/>
                <w:szCs w:val="21"/>
                <w:highlight w:val="none"/>
                <w:lang w:val="en-US" w:eastAsia="zh-CN"/>
              </w:rPr>
              <w:t>0</w:t>
            </w:r>
          </w:p>
        </w:tc>
      </w:tr>
    </w:tbl>
    <w:p w14:paraId="3F046EF2">
      <w:pPr>
        <w:autoSpaceDE w:val="0"/>
        <w:autoSpaceDN w:val="0"/>
        <w:adjustRightInd w:val="0"/>
        <w:spacing w:line="500" w:lineRule="exact"/>
        <w:ind w:firstLine="480" w:firstLineChars="200"/>
        <w:jc w:val="both"/>
        <w:rPr>
          <w:rFonts w:ascii="Times New Roman" w:hAnsi="Times New Roman" w:cs="Times New Roman"/>
        </w:rPr>
      </w:pPr>
      <w:r>
        <w:rPr>
          <w:rFonts w:ascii="Times New Roman" w:hAnsi="Times New Roman" w:cs="Times New Roman"/>
        </w:rPr>
        <w:t>由监测结果可知，评价区域内</w:t>
      </w:r>
      <w:r>
        <w:rPr>
          <w:rFonts w:hint="eastAsia" w:ascii="Times New Roman" w:hAnsi="Times New Roman" w:cs="Times New Roman"/>
          <w:lang w:val="en-US" w:eastAsia="zh-CN"/>
        </w:rPr>
        <w:t>各污染物</w:t>
      </w:r>
      <w:r>
        <w:rPr>
          <w:rFonts w:ascii="Times New Roman" w:hAnsi="Times New Roman" w:cs="Times New Roman"/>
        </w:rPr>
        <w:t>满足相应环境空气质量标准。</w:t>
      </w:r>
    </w:p>
    <w:p w14:paraId="56C23A86">
      <w:pPr>
        <w:pStyle w:val="7"/>
      </w:pPr>
      <w:bookmarkStart w:id="385" w:name="_Toc90026285"/>
      <w:bookmarkStart w:id="386" w:name="_Toc4561"/>
      <w:r>
        <w:rPr>
          <w:rFonts w:hint="eastAsia"/>
          <w:lang w:eastAsia="zh-CN"/>
        </w:rPr>
        <w:t>4</w:t>
      </w:r>
      <w:r>
        <w:t>.2.2 声环境质量现状调查与评价</w:t>
      </w:r>
      <w:bookmarkEnd w:id="385"/>
      <w:bookmarkEnd w:id="386"/>
    </w:p>
    <w:p w14:paraId="5AA6EB88">
      <w:pPr>
        <w:spacing w:line="500" w:lineRule="exact"/>
        <w:ind w:firstLine="482" w:firstLineChars="200"/>
        <w:rPr>
          <w:rFonts w:ascii="Times New Roman" w:hAnsi="Times New Roman" w:cs="Times New Roman"/>
          <w:b/>
        </w:rPr>
      </w:pPr>
      <w:r>
        <w:rPr>
          <w:rFonts w:ascii="Times New Roman" w:hAnsi="Times New Roman" w:cs="Times New Roman"/>
          <w:b/>
        </w:rPr>
        <w:t>（1）监测点位布设</w:t>
      </w:r>
    </w:p>
    <w:p w14:paraId="3946C8A4">
      <w:pPr>
        <w:spacing w:line="500" w:lineRule="exact"/>
        <w:ind w:firstLine="480" w:firstLineChars="200"/>
        <w:rPr>
          <w:rFonts w:ascii="Times New Roman" w:hAnsi="Times New Roman" w:cs="Times New Roman"/>
        </w:rPr>
      </w:pPr>
      <w:r>
        <w:rPr>
          <w:rFonts w:ascii="Times New Roman" w:hAnsi="Times New Roman" w:cs="Times New Roman"/>
        </w:rPr>
        <w:t>本次声环境质量现状调查共设置</w:t>
      </w:r>
      <w:r>
        <w:rPr>
          <w:rFonts w:hint="eastAsia" w:ascii="Times New Roman" w:hAnsi="Times New Roman" w:cs="Times New Roman"/>
          <w:lang w:val="en-US" w:eastAsia="zh-CN"/>
        </w:rPr>
        <w:t>6</w:t>
      </w:r>
      <w:r>
        <w:rPr>
          <w:rFonts w:ascii="Times New Roman" w:hAnsi="Times New Roman" w:cs="Times New Roman"/>
        </w:rPr>
        <w:t>个环境噪声监测点位，点位位置详见表</w:t>
      </w:r>
      <w:r>
        <w:rPr>
          <w:rFonts w:hint="eastAsia" w:ascii="Times New Roman" w:hAnsi="Times New Roman" w:cs="Times New Roman"/>
        </w:rPr>
        <w:t>4.2-6</w:t>
      </w:r>
      <w:r>
        <w:rPr>
          <w:rFonts w:ascii="Times New Roman" w:hAnsi="Times New Roman" w:cs="Times New Roman"/>
        </w:rPr>
        <w:t>及图</w:t>
      </w:r>
      <w:r>
        <w:rPr>
          <w:rFonts w:hint="eastAsia" w:ascii="Times New Roman" w:hAnsi="Times New Roman" w:cs="Times New Roman"/>
        </w:rPr>
        <w:t>4.2-1</w:t>
      </w:r>
      <w:r>
        <w:rPr>
          <w:rFonts w:ascii="Times New Roman" w:hAnsi="Times New Roman" w:cs="Times New Roman"/>
        </w:rPr>
        <w:t>。</w:t>
      </w:r>
    </w:p>
    <w:p w14:paraId="6A02B298">
      <w:pPr>
        <w:tabs>
          <w:tab w:val="left" w:pos="2338"/>
        </w:tabs>
        <w:jc w:val="center"/>
        <w:rPr>
          <w:rFonts w:ascii="Times New Roman" w:hAnsi="Times New Roman" w:eastAsia="黑体" w:cs="Times New Roman"/>
          <w:lang w:val="zh-CN"/>
        </w:rPr>
      </w:pPr>
      <w:r>
        <w:rPr>
          <w:rFonts w:ascii="Times New Roman" w:hAnsi="Times New Roman" w:eastAsia="黑体" w:cs="Times New Roman"/>
          <w:lang w:val="zh-CN"/>
        </w:rPr>
        <w:t>表</w:t>
      </w:r>
      <w:r>
        <w:rPr>
          <w:rFonts w:hint="eastAsia" w:ascii="Times New Roman" w:hAnsi="Times New Roman" w:eastAsia="黑体" w:cs="Times New Roman"/>
          <w:lang w:val="zh-CN"/>
        </w:rPr>
        <w:t>4.2-6</w:t>
      </w:r>
      <w:r>
        <w:rPr>
          <w:rFonts w:ascii="Times New Roman" w:hAnsi="Times New Roman" w:eastAsia="黑体" w:cs="Times New Roman"/>
          <w:lang w:val="zh-CN"/>
        </w:rPr>
        <w:t xml:space="preserve">  环境噪声监测点位经纬度</w:t>
      </w:r>
    </w:p>
    <w:tbl>
      <w:tblPr>
        <w:tblStyle w:val="56"/>
        <w:tblW w:w="8549" w:type="dxa"/>
        <w:jc w:val="center"/>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1188"/>
        <w:gridCol w:w="3909"/>
        <w:gridCol w:w="3452"/>
      </w:tblGrid>
      <w:tr w14:paraId="7D112ED5">
        <w:tblPrEx>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397" w:hRule="atLeast"/>
          <w:tblHeader/>
          <w:jc w:val="center"/>
        </w:trPr>
        <w:tc>
          <w:tcPr>
            <w:tcW w:w="1188" w:type="dxa"/>
            <w:tcBorders>
              <w:top w:val="thinThickSmallGap" w:color="auto" w:sz="12" w:space="0"/>
              <w:bottom w:val="single" w:color="auto" w:sz="4" w:space="0"/>
            </w:tcBorders>
            <w:shd w:val="clear" w:color="auto" w:fill="DDDDDD"/>
            <w:noWrap w:val="0"/>
            <w:vAlign w:val="center"/>
          </w:tcPr>
          <w:p w14:paraId="5CE25F52">
            <w:pPr>
              <w:autoSpaceDE w:val="0"/>
              <w:autoSpaceDN w:val="0"/>
              <w:adjustRightInd w:val="0"/>
              <w:jc w:val="center"/>
              <w:rPr>
                <w:rFonts w:ascii="Times New Roman" w:hAnsi="Times New Roman" w:cs="Times New Roman"/>
                <w:sz w:val="21"/>
                <w:szCs w:val="21"/>
              </w:rPr>
            </w:pPr>
            <w:r>
              <w:rPr>
                <w:rFonts w:ascii="Times New Roman" w:hAnsi="Times New Roman" w:cs="Times New Roman"/>
                <w:sz w:val="21"/>
                <w:szCs w:val="21"/>
              </w:rPr>
              <w:t>点位</w:t>
            </w:r>
          </w:p>
        </w:tc>
        <w:tc>
          <w:tcPr>
            <w:tcW w:w="3909" w:type="dxa"/>
            <w:tcBorders>
              <w:top w:val="thinThickSmallGap" w:color="auto" w:sz="12" w:space="0"/>
              <w:bottom w:val="single" w:color="auto" w:sz="4" w:space="0"/>
            </w:tcBorders>
            <w:shd w:val="clear" w:color="auto" w:fill="DDDDDD"/>
            <w:noWrap w:val="0"/>
            <w:vAlign w:val="center"/>
          </w:tcPr>
          <w:p w14:paraId="078E191A">
            <w:pPr>
              <w:autoSpaceDE w:val="0"/>
              <w:autoSpaceDN w:val="0"/>
              <w:adjustRightInd w:val="0"/>
              <w:jc w:val="center"/>
              <w:rPr>
                <w:rFonts w:ascii="Times New Roman" w:hAnsi="Times New Roman" w:cs="Times New Roman"/>
                <w:sz w:val="21"/>
                <w:szCs w:val="21"/>
              </w:rPr>
            </w:pPr>
            <w:r>
              <w:rPr>
                <w:rFonts w:ascii="Times New Roman" w:hAnsi="Times New Roman" w:cs="Times New Roman"/>
                <w:sz w:val="21"/>
                <w:szCs w:val="21"/>
              </w:rPr>
              <w:t>监测点位名称</w:t>
            </w:r>
          </w:p>
        </w:tc>
        <w:tc>
          <w:tcPr>
            <w:tcW w:w="3452" w:type="dxa"/>
            <w:tcBorders>
              <w:top w:val="thinThickSmallGap" w:color="auto" w:sz="12" w:space="0"/>
              <w:bottom w:val="single" w:color="auto" w:sz="4" w:space="0"/>
            </w:tcBorders>
            <w:shd w:val="clear" w:color="auto" w:fill="DDDDDD"/>
            <w:noWrap w:val="0"/>
            <w:vAlign w:val="center"/>
          </w:tcPr>
          <w:p w14:paraId="10FEE97C">
            <w:pPr>
              <w:autoSpaceDE w:val="0"/>
              <w:autoSpaceDN w:val="0"/>
              <w:adjustRightInd w:val="0"/>
              <w:jc w:val="center"/>
              <w:rPr>
                <w:rFonts w:ascii="Times New Roman" w:hAnsi="Times New Roman" w:cs="Times New Roman"/>
                <w:sz w:val="21"/>
                <w:szCs w:val="21"/>
              </w:rPr>
            </w:pPr>
            <w:r>
              <w:rPr>
                <w:rFonts w:ascii="Times New Roman" w:hAnsi="Times New Roman" w:cs="Times New Roman"/>
                <w:sz w:val="21"/>
                <w:szCs w:val="21"/>
              </w:rPr>
              <w:t>经纬度</w:t>
            </w:r>
          </w:p>
        </w:tc>
      </w:tr>
      <w:tr w14:paraId="5DC816C2">
        <w:tblPrEx>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1188" w:type="dxa"/>
            <w:noWrap w:val="0"/>
            <w:vAlign w:val="center"/>
          </w:tcPr>
          <w:p w14:paraId="7608AF70">
            <w:pPr>
              <w:autoSpaceDE w:val="0"/>
              <w:autoSpaceDN w:val="0"/>
              <w:adjustRightInd w:val="0"/>
              <w:jc w:val="center"/>
              <w:rPr>
                <w:rFonts w:ascii="Times New Roman" w:hAnsi="Times New Roman" w:cs="Times New Roman"/>
                <w:sz w:val="21"/>
                <w:szCs w:val="21"/>
              </w:rPr>
            </w:pPr>
            <w:r>
              <w:rPr>
                <w:rFonts w:ascii="Times New Roman" w:hAnsi="Times New Roman" w:cs="Times New Roman"/>
                <w:sz w:val="21"/>
                <w:szCs w:val="21"/>
              </w:rPr>
              <w:t>1#</w:t>
            </w:r>
          </w:p>
        </w:tc>
        <w:tc>
          <w:tcPr>
            <w:tcW w:w="3909" w:type="dxa"/>
            <w:noWrap w:val="0"/>
            <w:vAlign w:val="center"/>
          </w:tcPr>
          <w:p w14:paraId="61C3578E">
            <w:pPr>
              <w:jc w:val="center"/>
              <w:outlineLvl w:val="0"/>
              <w:rPr>
                <w:rFonts w:ascii="Times New Roman" w:hAnsi="Times New Roman" w:cs="Times New Roman"/>
                <w:sz w:val="21"/>
                <w:szCs w:val="21"/>
              </w:rPr>
            </w:pPr>
            <w:bookmarkStart w:id="387" w:name="_Toc30673"/>
            <w:bookmarkStart w:id="388" w:name="_Toc22047"/>
            <w:r>
              <w:rPr>
                <w:rFonts w:hint="default" w:ascii="Times New Roman" w:hAnsi="Times New Roman" w:cs="Times New Roman"/>
                <w:color w:val="auto"/>
                <w:sz w:val="21"/>
                <w:szCs w:val="21"/>
              </w:rPr>
              <w:t>东厂界外1m处</w:t>
            </w:r>
            <w:bookmarkEnd w:id="387"/>
            <w:bookmarkEnd w:id="388"/>
            <w:r>
              <w:rPr>
                <w:rFonts w:hint="default" w:ascii="Times New Roman" w:hAnsi="Times New Roman" w:cs="Times New Roman"/>
                <w:color w:val="auto"/>
                <w:sz w:val="21"/>
                <w:szCs w:val="21"/>
              </w:rPr>
              <w:t xml:space="preserve"> </w:t>
            </w:r>
          </w:p>
        </w:tc>
        <w:tc>
          <w:tcPr>
            <w:tcW w:w="3452" w:type="dxa"/>
            <w:noWrap w:val="0"/>
            <w:vAlign w:val="center"/>
          </w:tcPr>
          <w:p w14:paraId="01809421">
            <w:pPr>
              <w:jc w:val="center"/>
              <w:outlineLvl w:val="0"/>
              <w:rPr>
                <w:rFonts w:ascii="Times New Roman" w:hAnsi="Times New Roman" w:cs="Times New Roman"/>
                <w:sz w:val="21"/>
                <w:szCs w:val="21"/>
              </w:rPr>
            </w:pPr>
            <w:bookmarkStart w:id="389" w:name="_Toc22832"/>
            <w:bookmarkStart w:id="390" w:name="_Toc8604"/>
            <w:r>
              <w:rPr>
                <w:rFonts w:hint="default" w:ascii="Times New Roman" w:hAnsi="Times New Roman" w:cs="Times New Roman"/>
                <w:bCs/>
                <w:color w:val="000000"/>
                <w:sz w:val="21"/>
                <w:szCs w:val="21"/>
                <w:highlight w:val="none"/>
                <w:lang w:val="en-US" w:eastAsia="zh-CN"/>
              </w:rPr>
              <w:t>E123°49′58.3″，N40°55′42.</w:t>
            </w:r>
            <w:r>
              <w:rPr>
                <w:rFonts w:hint="eastAsia" w:ascii="Times New Roman" w:hAnsi="Times New Roman" w:cs="Times New Roman"/>
                <w:bCs/>
                <w:color w:val="000000"/>
                <w:sz w:val="21"/>
                <w:szCs w:val="21"/>
                <w:highlight w:val="none"/>
                <w:lang w:val="en-US" w:eastAsia="zh-CN"/>
              </w:rPr>
              <w:t>4</w:t>
            </w:r>
            <w:r>
              <w:rPr>
                <w:rFonts w:hint="default" w:ascii="Times New Roman" w:hAnsi="Times New Roman" w:cs="Times New Roman"/>
                <w:bCs/>
                <w:color w:val="000000"/>
                <w:sz w:val="21"/>
                <w:szCs w:val="21"/>
                <w:highlight w:val="none"/>
                <w:lang w:val="en-US" w:eastAsia="zh-CN"/>
              </w:rPr>
              <w:t>″</w:t>
            </w:r>
            <w:bookmarkEnd w:id="389"/>
            <w:bookmarkEnd w:id="390"/>
          </w:p>
        </w:tc>
      </w:tr>
      <w:tr w14:paraId="4AF018FB">
        <w:tblPrEx>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1188" w:type="dxa"/>
            <w:noWrap w:val="0"/>
            <w:vAlign w:val="center"/>
          </w:tcPr>
          <w:p w14:paraId="2997A5C3">
            <w:pPr>
              <w:autoSpaceDE w:val="0"/>
              <w:autoSpaceDN w:val="0"/>
              <w:adjustRightInd w:val="0"/>
              <w:jc w:val="center"/>
              <w:rPr>
                <w:rFonts w:ascii="Times New Roman" w:hAnsi="Times New Roman" w:cs="Times New Roman"/>
                <w:sz w:val="21"/>
                <w:szCs w:val="21"/>
              </w:rPr>
            </w:pPr>
            <w:r>
              <w:rPr>
                <w:rFonts w:ascii="Times New Roman" w:hAnsi="Times New Roman" w:cs="Times New Roman"/>
                <w:sz w:val="21"/>
                <w:szCs w:val="21"/>
              </w:rPr>
              <w:t>2#</w:t>
            </w:r>
          </w:p>
        </w:tc>
        <w:tc>
          <w:tcPr>
            <w:tcW w:w="3909" w:type="dxa"/>
            <w:noWrap w:val="0"/>
            <w:vAlign w:val="center"/>
          </w:tcPr>
          <w:p w14:paraId="0BD3E1BF">
            <w:pPr>
              <w:jc w:val="center"/>
              <w:outlineLvl w:val="0"/>
              <w:rPr>
                <w:rFonts w:ascii="Times New Roman" w:hAnsi="Times New Roman" w:cs="Times New Roman"/>
                <w:sz w:val="21"/>
                <w:szCs w:val="21"/>
              </w:rPr>
            </w:pPr>
            <w:bookmarkStart w:id="391" w:name="_Toc24857"/>
            <w:bookmarkStart w:id="392" w:name="_Toc19778"/>
            <w:r>
              <w:rPr>
                <w:rFonts w:hint="default" w:ascii="Times New Roman" w:hAnsi="Times New Roman" w:cs="Times New Roman"/>
                <w:color w:val="auto"/>
                <w:sz w:val="21"/>
                <w:szCs w:val="21"/>
              </w:rPr>
              <w:t>南厂界外1m处</w:t>
            </w:r>
            <w:bookmarkEnd w:id="391"/>
            <w:bookmarkEnd w:id="392"/>
            <w:r>
              <w:rPr>
                <w:rFonts w:hint="default" w:ascii="Times New Roman" w:hAnsi="Times New Roman" w:cs="Times New Roman"/>
                <w:color w:val="auto"/>
                <w:sz w:val="21"/>
                <w:szCs w:val="21"/>
              </w:rPr>
              <w:t xml:space="preserve"> </w:t>
            </w:r>
          </w:p>
        </w:tc>
        <w:tc>
          <w:tcPr>
            <w:tcW w:w="3452" w:type="dxa"/>
            <w:noWrap w:val="0"/>
            <w:vAlign w:val="center"/>
          </w:tcPr>
          <w:p w14:paraId="614E5AD2">
            <w:pPr>
              <w:jc w:val="center"/>
              <w:outlineLvl w:val="0"/>
              <w:rPr>
                <w:rFonts w:ascii="Times New Roman" w:hAnsi="Times New Roman" w:cs="Times New Roman"/>
                <w:sz w:val="21"/>
                <w:szCs w:val="21"/>
              </w:rPr>
            </w:pPr>
            <w:bookmarkStart w:id="393" w:name="_Toc3573"/>
            <w:bookmarkStart w:id="394" w:name="_Toc29105"/>
            <w:r>
              <w:rPr>
                <w:rFonts w:hint="default" w:ascii="Times New Roman" w:hAnsi="Times New Roman" w:cs="Times New Roman"/>
                <w:bCs/>
                <w:color w:val="000000"/>
                <w:sz w:val="21"/>
                <w:szCs w:val="21"/>
                <w:highlight w:val="none"/>
                <w:lang w:val="en-US" w:eastAsia="zh-CN"/>
              </w:rPr>
              <w:t>E123°49′45.0″，N40°55′33.1″</w:t>
            </w:r>
            <w:bookmarkEnd w:id="393"/>
            <w:bookmarkEnd w:id="394"/>
          </w:p>
        </w:tc>
      </w:tr>
      <w:tr w14:paraId="5C7C6933">
        <w:tblPrEx>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1188" w:type="dxa"/>
            <w:noWrap w:val="0"/>
            <w:vAlign w:val="center"/>
          </w:tcPr>
          <w:p w14:paraId="0403A765">
            <w:pPr>
              <w:autoSpaceDE w:val="0"/>
              <w:autoSpaceDN w:val="0"/>
              <w:adjustRightInd w:val="0"/>
              <w:jc w:val="center"/>
              <w:rPr>
                <w:rFonts w:ascii="Times New Roman" w:hAnsi="Times New Roman" w:cs="Times New Roman"/>
                <w:sz w:val="21"/>
                <w:szCs w:val="21"/>
              </w:rPr>
            </w:pPr>
            <w:r>
              <w:rPr>
                <w:rFonts w:ascii="Times New Roman" w:hAnsi="Times New Roman" w:cs="Times New Roman"/>
                <w:sz w:val="21"/>
                <w:szCs w:val="21"/>
              </w:rPr>
              <w:t>3#</w:t>
            </w:r>
          </w:p>
        </w:tc>
        <w:tc>
          <w:tcPr>
            <w:tcW w:w="3909" w:type="dxa"/>
            <w:noWrap w:val="0"/>
            <w:vAlign w:val="center"/>
          </w:tcPr>
          <w:p w14:paraId="7378F748">
            <w:pPr>
              <w:jc w:val="center"/>
              <w:outlineLvl w:val="0"/>
              <w:rPr>
                <w:rFonts w:ascii="Times New Roman" w:hAnsi="Times New Roman" w:cs="Times New Roman"/>
                <w:sz w:val="21"/>
                <w:szCs w:val="21"/>
              </w:rPr>
            </w:pPr>
            <w:bookmarkStart w:id="395" w:name="_Toc8093"/>
            <w:bookmarkStart w:id="396" w:name="_Toc22817"/>
            <w:r>
              <w:rPr>
                <w:rFonts w:hint="default" w:ascii="Times New Roman" w:hAnsi="Times New Roman" w:cs="Times New Roman"/>
                <w:color w:val="auto"/>
                <w:sz w:val="21"/>
                <w:szCs w:val="21"/>
              </w:rPr>
              <w:t>西厂界外1m处</w:t>
            </w:r>
            <w:bookmarkEnd w:id="395"/>
            <w:bookmarkEnd w:id="396"/>
            <w:r>
              <w:rPr>
                <w:rFonts w:hint="default" w:ascii="Times New Roman" w:hAnsi="Times New Roman" w:cs="Times New Roman"/>
                <w:color w:val="auto"/>
                <w:sz w:val="21"/>
                <w:szCs w:val="21"/>
              </w:rPr>
              <w:t xml:space="preserve"> </w:t>
            </w:r>
          </w:p>
        </w:tc>
        <w:tc>
          <w:tcPr>
            <w:tcW w:w="3452" w:type="dxa"/>
            <w:noWrap w:val="0"/>
            <w:vAlign w:val="center"/>
          </w:tcPr>
          <w:p w14:paraId="25C349FB">
            <w:pPr>
              <w:jc w:val="center"/>
              <w:outlineLvl w:val="0"/>
              <w:rPr>
                <w:rFonts w:ascii="Times New Roman" w:hAnsi="Times New Roman" w:cs="Times New Roman"/>
                <w:sz w:val="21"/>
                <w:szCs w:val="21"/>
              </w:rPr>
            </w:pPr>
            <w:bookmarkStart w:id="397" w:name="_Toc21339"/>
            <w:bookmarkStart w:id="398" w:name="_Toc24709"/>
            <w:r>
              <w:rPr>
                <w:rFonts w:hint="default" w:ascii="Times New Roman" w:hAnsi="Times New Roman" w:cs="Times New Roman"/>
                <w:bCs/>
                <w:color w:val="000000"/>
                <w:sz w:val="21"/>
                <w:szCs w:val="21"/>
                <w:highlight w:val="none"/>
                <w:lang w:val="en-US" w:eastAsia="zh-CN"/>
              </w:rPr>
              <w:t>E123°49′49.0″，N40°55′45.</w:t>
            </w:r>
            <w:r>
              <w:rPr>
                <w:rFonts w:hint="eastAsia" w:ascii="Times New Roman" w:hAnsi="Times New Roman" w:cs="Times New Roman"/>
                <w:bCs/>
                <w:color w:val="000000"/>
                <w:sz w:val="21"/>
                <w:szCs w:val="21"/>
                <w:highlight w:val="none"/>
                <w:lang w:val="en-US" w:eastAsia="zh-CN"/>
              </w:rPr>
              <w:t>5</w:t>
            </w:r>
            <w:r>
              <w:rPr>
                <w:rFonts w:hint="default" w:ascii="Times New Roman" w:hAnsi="Times New Roman" w:cs="Times New Roman"/>
                <w:bCs/>
                <w:color w:val="000000"/>
                <w:sz w:val="21"/>
                <w:szCs w:val="21"/>
                <w:highlight w:val="none"/>
                <w:lang w:val="en-US" w:eastAsia="zh-CN"/>
              </w:rPr>
              <w:t>″</w:t>
            </w:r>
            <w:bookmarkEnd w:id="397"/>
            <w:bookmarkEnd w:id="398"/>
          </w:p>
        </w:tc>
      </w:tr>
      <w:tr w14:paraId="3A9A40C6">
        <w:tblPrEx>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1188" w:type="dxa"/>
            <w:noWrap w:val="0"/>
            <w:vAlign w:val="center"/>
          </w:tcPr>
          <w:p w14:paraId="5215C177">
            <w:pPr>
              <w:autoSpaceDE w:val="0"/>
              <w:autoSpaceDN w:val="0"/>
              <w:adjustRightInd w:val="0"/>
              <w:jc w:val="center"/>
              <w:rPr>
                <w:rFonts w:ascii="Times New Roman" w:hAnsi="Times New Roman" w:cs="Times New Roman"/>
                <w:sz w:val="21"/>
                <w:szCs w:val="21"/>
              </w:rPr>
            </w:pPr>
            <w:r>
              <w:rPr>
                <w:rFonts w:ascii="Times New Roman" w:hAnsi="Times New Roman" w:cs="Times New Roman"/>
                <w:sz w:val="21"/>
                <w:szCs w:val="21"/>
              </w:rPr>
              <w:t>4#</w:t>
            </w:r>
          </w:p>
        </w:tc>
        <w:tc>
          <w:tcPr>
            <w:tcW w:w="3909" w:type="dxa"/>
            <w:noWrap w:val="0"/>
            <w:vAlign w:val="center"/>
          </w:tcPr>
          <w:p w14:paraId="2B2A7DDD">
            <w:pPr>
              <w:jc w:val="center"/>
              <w:outlineLvl w:val="0"/>
              <w:rPr>
                <w:rFonts w:ascii="Times New Roman" w:hAnsi="Times New Roman" w:cs="Times New Roman"/>
                <w:sz w:val="21"/>
                <w:szCs w:val="21"/>
              </w:rPr>
            </w:pPr>
            <w:bookmarkStart w:id="399" w:name="_Toc10669"/>
            <w:bookmarkStart w:id="400" w:name="_Toc7530"/>
            <w:r>
              <w:rPr>
                <w:rFonts w:hint="default" w:ascii="Times New Roman" w:hAnsi="Times New Roman" w:cs="Times New Roman"/>
                <w:color w:val="auto"/>
                <w:sz w:val="21"/>
                <w:szCs w:val="21"/>
              </w:rPr>
              <w:t>北厂界外1m处</w:t>
            </w:r>
            <w:bookmarkEnd w:id="399"/>
            <w:bookmarkEnd w:id="400"/>
          </w:p>
        </w:tc>
        <w:tc>
          <w:tcPr>
            <w:tcW w:w="3452" w:type="dxa"/>
            <w:noWrap w:val="0"/>
            <w:vAlign w:val="center"/>
          </w:tcPr>
          <w:p w14:paraId="2699FE98">
            <w:pPr>
              <w:jc w:val="center"/>
              <w:outlineLvl w:val="0"/>
              <w:rPr>
                <w:rFonts w:ascii="Times New Roman" w:hAnsi="Times New Roman" w:cs="Times New Roman"/>
                <w:sz w:val="21"/>
                <w:szCs w:val="21"/>
              </w:rPr>
            </w:pPr>
            <w:bookmarkStart w:id="401" w:name="_Toc3848"/>
            <w:bookmarkStart w:id="402" w:name="_Toc2300"/>
            <w:r>
              <w:rPr>
                <w:rFonts w:hint="default" w:ascii="Times New Roman" w:hAnsi="Times New Roman" w:cs="Times New Roman"/>
                <w:bCs/>
                <w:color w:val="000000"/>
                <w:sz w:val="21"/>
                <w:szCs w:val="21"/>
                <w:highlight w:val="none"/>
                <w:lang w:val="en-US" w:eastAsia="zh-CN"/>
              </w:rPr>
              <w:t>E123°49′5</w:t>
            </w:r>
            <w:r>
              <w:rPr>
                <w:rFonts w:hint="eastAsia" w:ascii="Times New Roman" w:hAnsi="Times New Roman" w:cs="Times New Roman"/>
                <w:bCs/>
                <w:color w:val="000000"/>
                <w:sz w:val="21"/>
                <w:szCs w:val="21"/>
                <w:highlight w:val="none"/>
                <w:lang w:val="en-US" w:eastAsia="zh-CN"/>
              </w:rPr>
              <w:t>7.0</w:t>
            </w:r>
            <w:r>
              <w:rPr>
                <w:rFonts w:hint="default" w:ascii="Times New Roman" w:hAnsi="Times New Roman" w:cs="Times New Roman"/>
                <w:bCs/>
                <w:color w:val="000000"/>
                <w:sz w:val="21"/>
                <w:szCs w:val="21"/>
                <w:highlight w:val="none"/>
                <w:lang w:val="en-US" w:eastAsia="zh-CN"/>
              </w:rPr>
              <w:t>″，N40°55′50.3″</w:t>
            </w:r>
            <w:bookmarkEnd w:id="401"/>
            <w:bookmarkEnd w:id="402"/>
          </w:p>
        </w:tc>
      </w:tr>
      <w:tr w14:paraId="5E528DC1">
        <w:tblPrEx>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1188" w:type="dxa"/>
            <w:noWrap w:val="0"/>
            <w:vAlign w:val="center"/>
          </w:tcPr>
          <w:p w14:paraId="59011061">
            <w:pPr>
              <w:autoSpaceDE w:val="0"/>
              <w:autoSpaceDN w:val="0"/>
              <w:adjustRightInd w:val="0"/>
              <w:jc w:val="center"/>
              <w:rPr>
                <w:rFonts w:hint="default" w:ascii="Times New Roman" w:hAnsi="Times New Roman" w:eastAsia="宋体" w:cs="Times New Roman"/>
                <w:sz w:val="21"/>
                <w:szCs w:val="21"/>
                <w:lang w:val="en-US" w:eastAsia="zh-CN"/>
              </w:rPr>
            </w:pPr>
            <w:r>
              <w:rPr>
                <w:rFonts w:hint="eastAsia" w:ascii="Times New Roman" w:hAnsi="Times New Roman" w:cs="Times New Roman"/>
                <w:sz w:val="21"/>
                <w:szCs w:val="21"/>
                <w:lang w:val="en-US" w:eastAsia="zh-CN"/>
              </w:rPr>
              <w:t>5#</w:t>
            </w:r>
          </w:p>
        </w:tc>
        <w:tc>
          <w:tcPr>
            <w:tcW w:w="3909" w:type="dxa"/>
            <w:noWrap w:val="0"/>
            <w:vAlign w:val="center"/>
          </w:tcPr>
          <w:p w14:paraId="292042F6">
            <w:pPr>
              <w:jc w:val="center"/>
              <w:outlineLvl w:val="0"/>
              <w:rPr>
                <w:rFonts w:ascii="Times New Roman" w:hAnsi="Times New Roman" w:cs="Times New Roman"/>
                <w:sz w:val="21"/>
                <w:szCs w:val="21"/>
              </w:rPr>
            </w:pPr>
            <w:bookmarkStart w:id="403" w:name="_Toc609"/>
            <w:bookmarkStart w:id="404" w:name="_Toc19765"/>
            <w:r>
              <w:rPr>
                <w:rFonts w:hint="default" w:ascii="Times New Roman" w:hAnsi="Times New Roman" w:eastAsia="宋体" w:cs="Times New Roman"/>
                <w:b w:val="0"/>
                <w:bCs w:val="0"/>
                <w:snapToGrid w:val="0"/>
                <w:color w:val="auto"/>
                <w:kern w:val="0"/>
                <w:sz w:val="21"/>
                <w:szCs w:val="21"/>
                <w:lang w:val="en-US" w:eastAsia="zh-CN"/>
              </w:rPr>
              <w:t>厂区西侧居民点</w:t>
            </w:r>
            <w:bookmarkEnd w:id="403"/>
            <w:bookmarkEnd w:id="404"/>
          </w:p>
        </w:tc>
        <w:tc>
          <w:tcPr>
            <w:tcW w:w="3452" w:type="dxa"/>
            <w:noWrap w:val="0"/>
            <w:vAlign w:val="center"/>
          </w:tcPr>
          <w:p w14:paraId="43A3F701">
            <w:pPr>
              <w:jc w:val="center"/>
              <w:outlineLvl w:val="0"/>
              <w:rPr>
                <w:rFonts w:hint="eastAsia" w:ascii="Times New Roman" w:hAnsi="Times New Roman" w:cs="Times New Roman"/>
                <w:sz w:val="21"/>
                <w:szCs w:val="21"/>
              </w:rPr>
            </w:pPr>
            <w:bookmarkStart w:id="405" w:name="_Toc25256"/>
            <w:bookmarkStart w:id="406" w:name="_Toc16495"/>
            <w:r>
              <w:rPr>
                <w:rFonts w:hint="default" w:ascii="Times New Roman" w:hAnsi="Times New Roman" w:cs="Times New Roman"/>
                <w:bCs/>
                <w:color w:val="000000"/>
                <w:sz w:val="21"/>
                <w:szCs w:val="21"/>
                <w:highlight w:val="none"/>
                <w:lang w:val="en-US" w:eastAsia="zh-CN"/>
              </w:rPr>
              <w:t>E123°49′49.8″，N40°55′47.</w:t>
            </w:r>
            <w:r>
              <w:rPr>
                <w:rFonts w:hint="eastAsia" w:ascii="Times New Roman" w:hAnsi="Times New Roman" w:cs="Times New Roman"/>
                <w:bCs/>
                <w:color w:val="000000"/>
                <w:sz w:val="21"/>
                <w:szCs w:val="21"/>
                <w:highlight w:val="none"/>
                <w:lang w:val="en-US" w:eastAsia="zh-CN"/>
              </w:rPr>
              <w:t>8</w:t>
            </w:r>
            <w:r>
              <w:rPr>
                <w:rFonts w:hint="default" w:ascii="Times New Roman" w:hAnsi="Times New Roman" w:cs="Times New Roman"/>
                <w:bCs/>
                <w:color w:val="000000"/>
                <w:sz w:val="21"/>
                <w:szCs w:val="21"/>
                <w:highlight w:val="none"/>
                <w:lang w:val="en-US" w:eastAsia="zh-CN"/>
              </w:rPr>
              <w:t>″</w:t>
            </w:r>
            <w:bookmarkEnd w:id="405"/>
            <w:bookmarkEnd w:id="406"/>
          </w:p>
        </w:tc>
      </w:tr>
      <w:tr w14:paraId="1784B1C1">
        <w:tblPrEx>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1188" w:type="dxa"/>
            <w:noWrap w:val="0"/>
            <w:vAlign w:val="center"/>
          </w:tcPr>
          <w:p w14:paraId="3252766E">
            <w:pPr>
              <w:autoSpaceDE w:val="0"/>
              <w:autoSpaceDN w:val="0"/>
              <w:adjustRightInd w:val="0"/>
              <w:jc w:val="center"/>
              <w:rPr>
                <w:rFonts w:hint="default" w:ascii="Times New Roman" w:hAnsi="Times New Roman" w:eastAsia="宋体" w:cs="Times New Roman"/>
                <w:sz w:val="21"/>
                <w:szCs w:val="21"/>
                <w:lang w:val="en-US" w:eastAsia="zh-CN"/>
              </w:rPr>
            </w:pPr>
            <w:r>
              <w:rPr>
                <w:rFonts w:hint="eastAsia" w:ascii="Times New Roman" w:hAnsi="Times New Roman" w:cs="Times New Roman"/>
                <w:sz w:val="21"/>
                <w:szCs w:val="21"/>
                <w:lang w:val="en-US" w:eastAsia="zh-CN"/>
              </w:rPr>
              <w:t>6#</w:t>
            </w:r>
          </w:p>
        </w:tc>
        <w:tc>
          <w:tcPr>
            <w:tcW w:w="3909" w:type="dxa"/>
            <w:noWrap w:val="0"/>
            <w:vAlign w:val="center"/>
          </w:tcPr>
          <w:p w14:paraId="3D77B4C3">
            <w:pPr>
              <w:jc w:val="center"/>
              <w:outlineLvl w:val="0"/>
              <w:rPr>
                <w:rFonts w:ascii="Times New Roman" w:hAnsi="Times New Roman" w:cs="Times New Roman"/>
                <w:sz w:val="21"/>
                <w:szCs w:val="21"/>
              </w:rPr>
            </w:pPr>
            <w:bookmarkStart w:id="407" w:name="_Toc10114"/>
            <w:bookmarkStart w:id="408" w:name="_Toc22314"/>
            <w:r>
              <w:rPr>
                <w:rFonts w:hint="default" w:ascii="Times New Roman" w:hAnsi="Times New Roman" w:eastAsia="宋体" w:cs="Times New Roman"/>
                <w:b w:val="0"/>
                <w:bCs w:val="0"/>
                <w:snapToGrid w:val="0"/>
                <w:color w:val="auto"/>
                <w:kern w:val="0"/>
                <w:sz w:val="21"/>
                <w:szCs w:val="21"/>
                <w:lang w:val="en-US" w:eastAsia="zh-CN"/>
              </w:rPr>
              <w:t>厂区北侧居民点</w:t>
            </w:r>
            <w:bookmarkEnd w:id="407"/>
            <w:bookmarkEnd w:id="408"/>
          </w:p>
        </w:tc>
        <w:tc>
          <w:tcPr>
            <w:tcW w:w="3452" w:type="dxa"/>
            <w:noWrap w:val="0"/>
            <w:vAlign w:val="center"/>
          </w:tcPr>
          <w:p w14:paraId="441ADF90">
            <w:pPr>
              <w:jc w:val="center"/>
              <w:outlineLvl w:val="0"/>
              <w:rPr>
                <w:rFonts w:hint="eastAsia" w:ascii="Times New Roman" w:hAnsi="Times New Roman" w:cs="Times New Roman"/>
                <w:sz w:val="21"/>
                <w:szCs w:val="21"/>
              </w:rPr>
            </w:pPr>
            <w:bookmarkStart w:id="409" w:name="_Toc2441"/>
            <w:bookmarkStart w:id="410" w:name="_Toc30403"/>
            <w:r>
              <w:rPr>
                <w:rFonts w:hint="default" w:ascii="Times New Roman" w:hAnsi="Times New Roman" w:cs="Times New Roman"/>
                <w:bCs/>
                <w:color w:val="000000"/>
                <w:sz w:val="21"/>
                <w:szCs w:val="21"/>
                <w:highlight w:val="none"/>
                <w:lang w:val="en-US" w:eastAsia="zh-CN"/>
              </w:rPr>
              <w:t>E123°49′57.2″，N40°55′51.4″</w:t>
            </w:r>
            <w:bookmarkEnd w:id="409"/>
            <w:bookmarkEnd w:id="410"/>
          </w:p>
        </w:tc>
      </w:tr>
    </w:tbl>
    <w:p w14:paraId="438712A4">
      <w:pPr>
        <w:spacing w:line="500" w:lineRule="exact"/>
        <w:ind w:firstLine="482" w:firstLineChars="200"/>
        <w:rPr>
          <w:rFonts w:ascii="Times New Roman" w:hAnsi="Times New Roman" w:cs="Times New Roman"/>
          <w:b/>
        </w:rPr>
      </w:pPr>
      <w:r>
        <w:rPr>
          <w:rFonts w:ascii="Times New Roman" w:hAnsi="Times New Roman" w:cs="Times New Roman"/>
          <w:b/>
        </w:rPr>
        <w:t>（2）监测时间及频次</w:t>
      </w:r>
    </w:p>
    <w:p w14:paraId="2DE59981">
      <w:pPr>
        <w:spacing w:line="500" w:lineRule="exact"/>
        <w:ind w:firstLine="480" w:firstLineChars="200"/>
        <w:rPr>
          <w:rFonts w:ascii="Times New Roman" w:hAnsi="Times New Roman" w:cs="Times New Roman"/>
        </w:rPr>
      </w:pPr>
      <w:r>
        <w:rPr>
          <w:rFonts w:hint="eastAsia" w:ascii="Times New Roman" w:hAnsi="Times New Roman" w:cs="Times New Roman"/>
        </w:rPr>
        <w:t>声环境质量现状</w:t>
      </w:r>
      <w:r>
        <w:rPr>
          <w:rFonts w:ascii="Times New Roman" w:hAnsi="Times New Roman" w:cs="Times New Roman"/>
        </w:rPr>
        <w:t>监测时间为</w:t>
      </w:r>
      <w:r>
        <w:rPr>
          <w:rFonts w:hint="eastAsia" w:ascii="Times New Roman" w:hAnsi="Times New Roman" w:cs="Times New Roman"/>
        </w:rPr>
        <w:t>2026</w:t>
      </w:r>
      <w:r>
        <w:rPr>
          <w:rFonts w:hint="eastAsia" w:ascii="Times New Roman" w:hAnsi="Times New Roman" w:cs="Times New Roman"/>
          <w:lang w:val="en-US" w:eastAsia="zh-CN"/>
        </w:rPr>
        <w:t>年</w:t>
      </w:r>
      <w:r>
        <w:rPr>
          <w:rFonts w:hint="eastAsia" w:ascii="Times New Roman" w:hAnsi="Times New Roman" w:cs="Times New Roman"/>
        </w:rPr>
        <w:t>05</w:t>
      </w:r>
      <w:r>
        <w:rPr>
          <w:rFonts w:hint="eastAsia" w:ascii="Times New Roman" w:hAnsi="Times New Roman" w:cs="Times New Roman"/>
          <w:lang w:val="en-US" w:eastAsia="zh-CN"/>
        </w:rPr>
        <w:t>月</w:t>
      </w:r>
      <w:r>
        <w:rPr>
          <w:rFonts w:hint="eastAsia" w:ascii="Times New Roman" w:hAnsi="Times New Roman" w:cs="Times New Roman"/>
        </w:rPr>
        <w:t>02</w:t>
      </w:r>
      <w:r>
        <w:rPr>
          <w:rFonts w:hint="eastAsia" w:ascii="Times New Roman" w:hAnsi="Times New Roman" w:cs="Times New Roman"/>
          <w:lang w:val="en-US" w:eastAsia="zh-CN"/>
        </w:rPr>
        <w:t>日</w:t>
      </w:r>
      <w:r>
        <w:rPr>
          <w:rFonts w:hint="eastAsia" w:ascii="Times New Roman" w:hAnsi="Times New Roman" w:cs="Times New Roman"/>
        </w:rPr>
        <w:t>-2026</w:t>
      </w:r>
      <w:r>
        <w:rPr>
          <w:rFonts w:hint="eastAsia" w:ascii="Times New Roman" w:hAnsi="Times New Roman" w:cs="Times New Roman"/>
          <w:lang w:val="en-US" w:eastAsia="zh-CN"/>
        </w:rPr>
        <w:t>年</w:t>
      </w:r>
      <w:r>
        <w:rPr>
          <w:rFonts w:hint="eastAsia" w:ascii="Times New Roman" w:hAnsi="Times New Roman" w:cs="Times New Roman"/>
        </w:rPr>
        <w:t>05</w:t>
      </w:r>
      <w:r>
        <w:rPr>
          <w:rFonts w:hint="eastAsia" w:ascii="Times New Roman" w:hAnsi="Times New Roman" w:cs="Times New Roman"/>
          <w:lang w:val="en-US" w:eastAsia="zh-CN"/>
        </w:rPr>
        <w:t>月</w:t>
      </w:r>
      <w:r>
        <w:rPr>
          <w:rFonts w:hint="eastAsia" w:ascii="Times New Roman" w:hAnsi="Times New Roman" w:cs="Times New Roman"/>
        </w:rPr>
        <w:t>03</w:t>
      </w:r>
      <w:r>
        <w:rPr>
          <w:rFonts w:hint="eastAsia" w:ascii="Times New Roman" w:hAnsi="Times New Roman" w:cs="Times New Roman"/>
          <w:lang w:val="en-US" w:eastAsia="zh-CN"/>
        </w:rPr>
        <w:t>日</w:t>
      </w:r>
      <w:r>
        <w:rPr>
          <w:rFonts w:ascii="Times New Roman" w:hAnsi="Times New Roman" w:cs="Times New Roman"/>
        </w:rPr>
        <w:t>，</w:t>
      </w:r>
      <w:r>
        <w:rPr>
          <w:rFonts w:hint="eastAsia" w:ascii="Times New Roman" w:hAnsi="Times New Roman" w:cs="Times New Roman"/>
        </w:rPr>
        <w:t>共</w:t>
      </w:r>
      <w:r>
        <w:rPr>
          <w:rFonts w:ascii="Times New Roman" w:hAnsi="Times New Roman" w:cs="Times New Roman"/>
        </w:rPr>
        <w:t>2天，监测频次为昼间</w:t>
      </w:r>
      <w:r>
        <w:rPr>
          <w:rFonts w:hint="eastAsia" w:ascii="Times New Roman" w:hAnsi="Times New Roman" w:cs="Times New Roman"/>
          <w:lang w:val="en-US" w:eastAsia="zh-CN"/>
        </w:rPr>
        <w:t>1</w:t>
      </w:r>
      <w:r>
        <w:rPr>
          <w:rFonts w:ascii="Times New Roman" w:hAnsi="Times New Roman" w:cs="Times New Roman"/>
        </w:rPr>
        <w:t>次，夜间</w:t>
      </w:r>
      <w:r>
        <w:rPr>
          <w:rFonts w:hint="eastAsia" w:ascii="Times New Roman" w:hAnsi="Times New Roman" w:cs="Times New Roman"/>
          <w:lang w:val="en-US" w:eastAsia="zh-CN"/>
        </w:rPr>
        <w:t>1</w:t>
      </w:r>
      <w:r>
        <w:rPr>
          <w:rFonts w:ascii="Times New Roman" w:hAnsi="Times New Roman" w:cs="Times New Roman"/>
        </w:rPr>
        <w:t>次。</w:t>
      </w:r>
    </w:p>
    <w:p w14:paraId="59AC91FB">
      <w:pPr>
        <w:spacing w:line="500" w:lineRule="exact"/>
        <w:ind w:firstLine="482" w:firstLineChars="200"/>
        <w:rPr>
          <w:rFonts w:ascii="Times New Roman" w:hAnsi="Times New Roman" w:cs="Times New Roman"/>
          <w:b/>
        </w:rPr>
      </w:pPr>
      <w:r>
        <w:rPr>
          <w:rFonts w:ascii="Times New Roman" w:hAnsi="Times New Roman" w:cs="Times New Roman"/>
          <w:b/>
        </w:rPr>
        <w:t>（3）监测方法</w:t>
      </w:r>
    </w:p>
    <w:p w14:paraId="6621F026">
      <w:pPr>
        <w:spacing w:line="500" w:lineRule="exact"/>
        <w:ind w:firstLine="480" w:firstLineChars="200"/>
        <w:rPr>
          <w:rFonts w:ascii="Times New Roman" w:hAnsi="Times New Roman" w:cs="Times New Roman"/>
          <w:bCs/>
        </w:rPr>
      </w:pPr>
      <w:r>
        <w:rPr>
          <w:rFonts w:ascii="Times New Roman" w:hAnsi="Times New Roman" w:cs="Times New Roman"/>
        </w:rPr>
        <w:t>监测方法按照《工业企业厂界环境噪声排放标准》（GB12348-2008）中规定方法执行。</w:t>
      </w:r>
    </w:p>
    <w:p w14:paraId="0501FE37">
      <w:pPr>
        <w:spacing w:line="500" w:lineRule="exact"/>
        <w:ind w:firstLine="482" w:firstLineChars="200"/>
        <w:rPr>
          <w:rFonts w:ascii="Times New Roman" w:hAnsi="Times New Roman" w:cs="Times New Roman"/>
          <w:b/>
        </w:rPr>
      </w:pPr>
      <w:r>
        <w:rPr>
          <w:rFonts w:ascii="Times New Roman" w:hAnsi="Times New Roman" w:cs="Times New Roman"/>
          <w:b/>
        </w:rPr>
        <w:t>（4）评价标准</w:t>
      </w:r>
    </w:p>
    <w:p w14:paraId="4EE18721">
      <w:pPr>
        <w:spacing w:line="500" w:lineRule="exact"/>
        <w:ind w:firstLine="480" w:firstLineChars="200"/>
        <w:rPr>
          <w:rFonts w:ascii="Times New Roman" w:hAnsi="Times New Roman" w:cs="Times New Roman"/>
          <w:highlight w:val="yellow"/>
        </w:rPr>
      </w:pPr>
      <w:r>
        <w:rPr>
          <w:rFonts w:ascii="Times New Roman" w:hAnsi="Times New Roman" w:cs="Times New Roman"/>
          <w:highlight w:val="yellow"/>
        </w:rPr>
        <w:t>本次评价各点位噪声执行《声环境质量标准》（GB3096-2008）中3类区标准，即昼间65dB(A)、夜间55dB(A)。</w:t>
      </w:r>
    </w:p>
    <w:p w14:paraId="488F3BDD">
      <w:pPr>
        <w:spacing w:line="500" w:lineRule="exact"/>
        <w:ind w:firstLine="472" w:firstLineChars="196"/>
        <w:rPr>
          <w:rFonts w:ascii="Times New Roman" w:hAnsi="Times New Roman" w:cs="Times New Roman"/>
          <w:b/>
        </w:rPr>
      </w:pPr>
      <w:r>
        <w:rPr>
          <w:rFonts w:ascii="Times New Roman" w:hAnsi="Times New Roman" w:cs="Times New Roman"/>
          <w:b/>
        </w:rPr>
        <w:t>（5）监测结果统计与分析</w:t>
      </w:r>
    </w:p>
    <w:p w14:paraId="603AF1A2">
      <w:pPr>
        <w:spacing w:line="500" w:lineRule="exact"/>
        <w:ind w:firstLine="480" w:firstLineChars="200"/>
        <w:rPr>
          <w:rFonts w:hint="eastAsia" w:ascii="Times New Roman" w:hAnsi="Times New Roman" w:cs="Times New Roman"/>
        </w:rPr>
      </w:pPr>
      <w:r>
        <w:rPr>
          <w:rFonts w:ascii="Times New Roman" w:hAnsi="Times New Roman" w:cs="Times New Roman"/>
        </w:rPr>
        <w:t>监测结果统计见表4.2-7。</w:t>
      </w:r>
    </w:p>
    <w:p w14:paraId="124549C9">
      <w:pPr>
        <w:pStyle w:val="131"/>
        <w:adjustRightInd/>
        <w:snapToGrid/>
        <w:spacing w:line="240" w:lineRule="auto"/>
        <w:ind w:left="0" w:firstLine="0"/>
        <w:rPr>
          <w:rFonts w:ascii="Times New Roman" w:hAnsi="Times New Roman" w:cs="Times New Roman"/>
        </w:rPr>
      </w:pPr>
      <w:r>
        <w:rPr>
          <w:rFonts w:ascii="Times New Roman" w:hAnsi="Times New Roman" w:cs="Times New Roman"/>
        </w:rPr>
        <w:t>表4.2-7  噪声监测结果</w:t>
      </w:r>
    </w:p>
    <w:tbl>
      <w:tblPr>
        <w:tblStyle w:val="56"/>
        <w:tblW w:w="9071" w:type="dxa"/>
        <w:jc w:val="center"/>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1963"/>
        <w:gridCol w:w="1776"/>
        <w:gridCol w:w="1703"/>
        <w:gridCol w:w="1850"/>
        <w:gridCol w:w="1779"/>
      </w:tblGrid>
      <w:tr w14:paraId="0CC5D5E8">
        <w:tblPrEx>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blHeader/>
          <w:jc w:val="center"/>
        </w:trPr>
        <w:tc>
          <w:tcPr>
            <w:tcW w:w="1963" w:type="dxa"/>
            <w:vMerge w:val="restart"/>
            <w:shd w:val="clear" w:color="auto" w:fill="DDDDDD"/>
            <w:noWrap w:val="0"/>
            <w:vAlign w:val="center"/>
          </w:tcPr>
          <w:p w14:paraId="3177A153">
            <w:pPr>
              <w:jc w:val="center"/>
              <w:rPr>
                <w:rFonts w:ascii="Times New Roman" w:hAnsi="Times New Roman" w:cs="Times New Roman"/>
                <w:bCs/>
                <w:sz w:val="21"/>
                <w:szCs w:val="21"/>
              </w:rPr>
            </w:pPr>
            <w:r>
              <w:rPr>
                <w:rFonts w:ascii="Times New Roman" w:hAnsi="Times New Roman" w:cs="Times New Roman"/>
                <w:bCs/>
                <w:sz w:val="21"/>
                <w:szCs w:val="21"/>
              </w:rPr>
              <w:t>监测点位</w:t>
            </w:r>
          </w:p>
        </w:tc>
        <w:tc>
          <w:tcPr>
            <w:tcW w:w="7108" w:type="dxa"/>
            <w:gridSpan w:val="4"/>
            <w:shd w:val="clear" w:color="auto" w:fill="DDDDDD"/>
            <w:noWrap w:val="0"/>
            <w:vAlign w:val="center"/>
          </w:tcPr>
          <w:p w14:paraId="4F0AF478">
            <w:pPr>
              <w:jc w:val="center"/>
              <w:rPr>
                <w:rFonts w:ascii="Times New Roman" w:hAnsi="Times New Roman" w:cs="Times New Roman"/>
                <w:bCs/>
                <w:sz w:val="21"/>
                <w:szCs w:val="21"/>
              </w:rPr>
            </w:pPr>
            <w:r>
              <w:rPr>
                <w:rFonts w:ascii="Times New Roman" w:hAnsi="Times New Roman" w:cs="Times New Roman"/>
                <w:bCs/>
                <w:sz w:val="21"/>
                <w:szCs w:val="21"/>
              </w:rPr>
              <w:t>Leq</w:t>
            </w:r>
            <w:r>
              <w:rPr>
                <w:rFonts w:ascii="Times New Roman" w:hAnsi="Times New Roman" w:cs="Times New Roman"/>
                <w:sz w:val="21"/>
                <w:szCs w:val="21"/>
              </w:rPr>
              <w:t xml:space="preserve"> （dB(A)）</w:t>
            </w:r>
          </w:p>
        </w:tc>
      </w:tr>
      <w:tr w14:paraId="63073044">
        <w:tblPrEx>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blHeader/>
          <w:jc w:val="center"/>
        </w:trPr>
        <w:tc>
          <w:tcPr>
            <w:tcW w:w="1963" w:type="dxa"/>
            <w:vMerge w:val="continue"/>
            <w:shd w:val="clear" w:color="auto" w:fill="DDDDDD"/>
            <w:noWrap w:val="0"/>
            <w:vAlign w:val="center"/>
          </w:tcPr>
          <w:p w14:paraId="2457D8AA">
            <w:pPr>
              <w:jc w:val="center"/>
              <w:rPr>
                <w:rFonts w:ascii="Times New Roman" w:hAnsi="Times New Roman" w:cs="Times New Roman"/>
                <w:bCs/>
                <w:sz w:val="21"/>
                <w:szCs w:val="21"/>
              </w:rPr>
            </w:pPr>
          </w:p>
        </w:tc>
        <w:tc>
          <w:tcPr>
            <w:tcW w:w="3479" w:type="dxa"/>
            <w:gridSpan w:val="2"/>
            <w:shd w:val="clear" w:color="auto" w:fill="DDDDDD"/>
            <w:noWrap w:val="0"/>
            <w:vAlign w:val="center"/>
          </w:tcPr>
          <w:p w14:paraId="0538C508">
            <w:pPr>
              <w:jc w:val="center"/>
              <w:rPr>
                <w:rFonts w:ascii="Times New Roman" w:hAnsi="Times New Roman" w:cs="Times New Roman"/>
                <w:bCs/>
                <w:sz w:val="21"/>
                <w:szCs w:val="21"/>
              </w:rPr>
            </w:pPr>
            <w:r>
              <w:rPr>
                <w:rFonts w:hint="eastAsia" w:ascii="Times New Roman" w:hAnsi="Times New Roman" w:cs="Times New Roman"/>
                <w:bCs/>
                <w:sz w:val="21"/>
                <w:szCs w:val="21"/>
              </w:rPr>
              <w:t>2026.05.02</w:t>
            </w:r>
          </w:p>
        </w:tc>
        <w:tc>
          <w:tcPr>
            <w:tcW w:w="3629" w:type="dxa"/>
            <w:gridSpan w:val="2"/>
            <w:shd w:val="clear" w:color="auto" w:fill="DDDDDD"/>
            <w:noWrap w:val="0"/>
            <w:vAlign w:val="center"/>
          </w:tcPr>
          <w:p w14:paraId="4AA132A5">
            <w:pPr>
              <w:jc w:val="center"/>
              <w:rPr>
                <w:rFonts w:hint="eastAsia" w:ascii="Times New Roman" w:hAnsi="Times New Roman" w:cs="Times New Roman"/>
                <w:bCs/>
                <w:sz w:val="21"/>
                <w:szCs w:val="21"/>
              </w:rPr>
            </w:pPr>
            <w:r>
              <w:rPr>
                <w:rFonts w:hint="eastAsia" w:ascii="Times New Roman" w:hAnsi="Times New Roman" w:cs="Times New Roman"/>
                <w:bCs/>
                <w:sz w:val="21"/>
                <w:szCs w:val="21"/>
              </w:rPr>
              <w:t>2026.05.0</w:t>
            </w:r>
            <w:r>
              <w:rPr>
                <w:rFonts w:hint="eastAsia" w:ascii="Times New Roman" w:hAnsi="Times New Roman" w:cs="Times New Roman"/>
                <w:bCs/>
                <w:sz w:val="21"/>
                <w:szCs w:val="21"/>
                <w:lang w:val="en-US" w:eastAsia="zh-CN"/>
              </w:rPr>
              <w:t>3</w:t>
            </w:r>
          </w:p>
        </w:tc>
      </w:tr>
      <w:tr w14:paraId="01F8BAC0">
        <w:tblPrEx>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blHeader/>
          <w:jc w:val="center"/>
        </w:trPr>
        <w:tc>
          <w:tcPr>
            <w:tcW w:w="1963" w:type="dxa"/>
            <w:vMerge w:val="continue"/>
            <w:shd w:val="clear" w:color="auto" w:fill="DDDDDD"/>
            <w:noWrap w:val="0"/>
            <w:vAlign w:val="center"/>
          </w:tcPr>
          <w:p w14:paraId="1684BE0C">
            <w:pPr>
              <w:jc w:val="center"/>
              <w:rPr>
                <w:rFonts w:ascii="Times New Roman" w:hAnsi="Times New Roman" w:cs="Times New Roman"/>
                <w:bCs/>
                <w:sz w:val="21"/>
                <w:szCs w:val="21"/>
              </w:rPr>
            </w:pPr>
          </w:p>
        </w:tc>
        <w:tc>
          <w:tcPr>
            <w:tcW w:w="1776" w:type="dxa"/>
            <w:shd w:val="clear" w:color="auto" w:fill="D9D9D9"/>
            <w:noWrap w:val="0"/>
            <w:vAlign w:val="center"/>
          </w:tcPr>
          <w:p w14:paraId="69B49441">
            <w:pPr>
              <w:jc w:val="center"/>
              <w:rPr>
                <w:rFonts w:ascii="Times New Roman" w:hAnsi="Times New Roman" w:cs="Times New Roman"/>
                <w:bCs/>
                <w:sz w:val="21"/>
                <w:szCs w:val="21"/>
              </w:rPr>
            </w:pPr>
            <w:r>
              <w:rPr>
                <w:rFonts w:ascii="Times New Roman" w:hAnsi="Times New Roman" w:cs="Times New Roman"/>
                <w:bCs/>
                <w:sz w:val="21"/>
                <w:szCs w:val="21"/>
              </w:rPr>
              <w:t>昼间</w:t>
            </w:r>
          </w:p>
        </w:tc>
        <w:tc>
          <w:tcPr>
            <w:tcW w:w="1703" w:type="dxa"/>
            <w:shd w:val="clear" w:color="auto" w:fill="D9D9D9"/>
            <w:noWrap w:val="0"/>
            <w:vAlign w:val="center"/>
          </w:tcPr>
          <w:p w14:paraId="156582C7">
            <w:pPr>
              <w:jc w:val="center"/>
              <w:rPr>
                <w:rFonts w:ascii="Times New Roman" w:hAnsi="Times New Roman" w:cs="Times New Roman"/>
                <w:bCs/>
                <w:sz w:val="21"/>
                <w:szCs w:val="21"/>
              </w:rPr>
            </w:pPr>
            <w:r>
              <w:rPr>
                <w:rFonts w:ascii="Times New Roman" w:hAnsi="Times New Roman" w:cs="Times New Roman"/>
                <w:bCs/>
                <w:sz w:val="21"/>
                <w:szCs w:val="21"/>
              </w:rPr>
              <w:t>夜间</w:t>
            </w:r>
          </w:p>
        </w:tc>
        <w:tc>
          <w:tcPr>
            <w:tcW w:w="1850" w:type="dxa"/>
            <w:shd w:val="clear" w:color="auto" w:fill="D9D9D9"/>
            <w:noWrap w:val="0"/>
            <w:vAlign w:val="center"/>
          </w:tcPr>
          <w:p w14:paraId="220DC019">
            <w:pPr>
              <w:jc w:val="center"/>
              <w:rPr>
                <w:rFonts w:ascii="Times New Roman" w:hAnsi="Times New Roman" w:cs="Times New Roman"/>
                <w:bCs/>
                <w:sz w:val="21"/>
                <w:szCs w:val="21"/>
              </w:rPr>
            </w:pPr>
            <w:r>
              <w:rPr>
                <w:rFonts w:ascii="Times New Roman" w:hAnsi="Times New Roman" w:cs="Times New Roman"/>
                <w:bCs/>
                <w:sz w:val="21"/>
                <w:szCs w:val="21"/>
              </w:rPr>
              <w:t>昼间</w:t>
            </w:r>
          </w:p>
        </w:tc>
        <w:tc>
          <w:tcPr>
            <w:tcW w:w="1779" w:type="dxa"/>
            <w:shd w:val="clear" w:color="auto" w:fill="D9D9D9"/>
            <w:noWrap w:val="0"/>
            <w:vAlign w:val="center"/>
          </w:tcPr>
          <w:p w14:paraId="0364A5DA">
            <w:pPr>
              <w:jc w:val="center"/>
              <w:rPr>
                <w:rFonts w:ascii="Times New Roman" w:hAnsi="Times New Roman" w:cs="Times New Roman"/>
                <w:bCs/>
                <w:sz w:val="21"/>
                <w:szCs w:val="21"/>
              </w:rPr>
            </w:pPr>
            <w:r>
              <w:rPr>
                <w:rFonts w:ascii="Times New Roman" w:hAnsi="Times New Roman" w:cs="Times New Roman"/>
                <w:bCs/>
                <w:sz w:val="21"/>
                <w:szCs w:val="21"/>
              </w:rPr>
              <w:t>夜间</w:t>
            </w:r>
          </w:p>
        </w:tc>
      </w:tr>
      <w:tr w14:paraId="4AA253BD">
        <w:tblPrEx>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963" w:type="dxa"/>
            <w:noWrap w:val="0"/>
            <w:vAlign w:val="center"/>
          </w:tcPr>
          <w:p w14:paraId="556C0636">
            <w:pPr>
              <w:jc w:val="center"/>
              <w:rPr>
                <w:rFonts w:ascii="Times New Roman" w:hAnsi="Times New Roman" w:cs="Times New Roman"/>
                <w:sz w:val="21"/>
                <w:szCs w:val="21"/>
              </w:rPr>
            </w:pPr>
            <w:r>
              <w:rPr>
                <w:rFonts w:ascii="Times New Roman" w:hAnsi="Times New Roman" w:cs="Times New Roman"/>
                <w:sz w:val="21"/>
                <w:szCs w:val="21"/>
              </w:rPr>
              <w:t>1#厂界东侧外1m</w:t>
            </w:r>
          </w:p>
        </w:tc>
        <w:tc>
          <w:tcPr>
            <w:tcW w:w="1776" w:type="dxa"/>
            <w:noWrap w:val="0"/>
            <w:vAlign w:val="center"/>
          </w:tcPr>
          <w:p w14:paraId="17E88B06">
            <w:pPr>
              <w:jc w:val="center"/>
              <w:textAlignment w:val="center"/>
              <w:rPr>
                <w:rFonts w:ascii="Times New Roman" w:hAnsi="Times New Roman" w:eastAsia="宋体" w:cs="Times New Roman"/>
                <w:szCs w:val="21"/>
              </w:rPr>
            </w:pPr>
            <w:r>
              <w:rPr>
                <w:rFonts w:hint="default" w:ascii="Times New Roman" w:hAnsi="Times New Roman" w:eastAsia="宋体" w:cs="Times New Roman"/>
                <w:szCs w:val="21"/>
                <w:lang w:val="en-US" w:eastAsia="zh-CN"/>
              </w:rPr>
              <w:t>56</w:t>
            </w:r>
          </w:p>
        </w:tc>
        <w:tc>
          <w:tcPr>
            <w:tcW w:w="1703" w:type="dxa"/>
            <w:noWrap w:val="0"/>
            <w:vAlign w:val="center"/>
          </w:tcPr>
          <w:p w14:paraId="6085C7D1">
            <w:pPr>
              <w:jc w:val="center"/>
              <w:textAlignment w:val="center"/>
              <w:rPr>
                <w:rFonts w:ascii="Times New Roman" w:hAnsi="Times New Roman" w:eastAsia="宋体" w:cs="Times New Roman"/>
                <w:szCs w:val="21"/>
              </w:rPr>
            </w:pPr>
            <w:r>
              <w:rPr>
                <w:rFonts w:hint="default" w:ascii="Times New Roman" w:hAnsi="Times New Roman" w:eastAsia="宋体" w:cs="Times New Roman"/>
                <w:szCs w:val="21"/>
                <w:lang w:val="en-US" w:eastAsia="zh-CN"/>
              </w:rPr>
              <w:t>45</w:t>
            </w:r>
          </w:p>
        </w:tc>
        <w:tc>
          <w:tcPr>
            <w:tcW w:w="1850" w:type="dxa"/>
            <w:noWrap w:val="0"/>
            <w:vAlign w:val="center"/>
          </w:tcPr>
          <w:p w14:paraId="4260EC30">
            <w:pPr>
              <w:keepNext w:val="0"/>
              <w:keepLines w:val="0"/>
              <w:widowControl/>
              <w:suppressLineNumbers w:val="0"/>
              <w:jc w:val="center"/>
              <w:textAlignment w:val="center"/>
              <w:rPr>
                <w:rFonts w:ascii="Times New Roman" w:hAnsi="Times New Roman" w:cs="Times New Roman"/>
                <w:szCs w:val="21"/>
              </w:rPr>
            </w:pPr>
            <w:r>
              <w:rPr>
                <w:rFonts w:hint="default" w:ascii="Times New Roman" w:hAnsi="Times New Roman" w:eastAsia="微软雅黑" w:cs="Times New Roman"/>
                <w:i w:val="0"/>
                <w:iCs w:val="0"/>
                <w:color w:val="000000"/>
                <w:kern w:val="0"/>
                <w:sz w:val="21"/>
                <w:szCs w:val="21"/>
                <w:u w:val="none"/>
                <w:lang w:val="en-US" w:eastAsia="zh-CN" w:bidi="ar"/>
              </w:rPr>
              <w:t>55</w:t>
            </w:r>
          </w:p>
        </w:tc>
        <w:tc>
          <w:tcPr>
            <w:tcW w:w="1779" w:type="dxa"/>
            <w:noWrap w:val="0"/>
            <w:vAlign w:val="center"/>
          </w:tcPr>
          <w:p w14:paraId="364BFA78">
            <w:pPr>
              <w:keepNext w:val="0"/>
              <w:keepLines w:val="0"/>
              <w:widowControl/>
              <w:suppressLineNumbers w:val="0"/>
              <w:jc w:val="center"/>
              <w:textAlignment w:val="center"/>
              <w:rPr>
                <w:rFonts w:ascii="Times New Roman" w:hAnsi="Times New Roman" w:cs="Times New Roman"/>
                <w:szCs w:val="21"/>
                <w:lang w:bidi="ar"/>
              </w:rPr>
            </w:pPr>
            <w:r>
              <w:rPr>
                <w:rFonts w:hint="default" w:ascii="Times New Roman" w:hAnsi="Times New Roman" w:eastAsia="微软雅黑" w:cs="Times New Roman"/>
                <w:i w:val="0"/>
                <w:iCs w:val="0"/>
                <w:color w:val="000000"/>
                <w:kern w:val="0"/>
                <w:sz w:val="21"/>
                <w:szCs w:val="21"/>
                <w:u w:val="none"/>
                <w:lang w:val="en-US" w:eastAsia="zh-CN" w:bidi="ar"/>
              </w:rPr>
              <w:t>44</w:t>
            </w:r>
          </w:p>
        </w:tc>
      </w:tr>
      <w:tr w14:paraId="4FA75F60">
        <w:tblPrEx>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963" w:type="dxa"/>
            <w:shd w:val="clear" w:color="auto" w:fill="auto"/>
            <w:noWrap w:val="0"/>
            <w:vAlign w:val="center"/>
          </w:tcPr>
          <w:p w14:paraId="7A6155B8">
            <w:pPr>
              <w:jc w:val="center"/>
              <w:rPr>
                <w:rFonts w:ascii="Times New Roman" w:hAnsi="Times New Roman" w:eastAsia="宋体" w:cs="Times New Roman"/>
                <w:sz w:val="21"/>
                <w:szCs w:val="21"/>
                <w:lang w:val="en-US" w:eastAsia="zh-CN" w:bidi="ar-SA"/>
              </w:rPr>
            </w:pPr>
            <w:r>
              <w:rPr>
                <w:rFonts w:ascii="Times New Roman" w:hAnsi="Times New Roman" w:cs="Times New Roman"/>
                <w:sz w:val="21"/>
                <w:szCs w:val="21"/>
              </w:rPr>
              <w:t>3#厂界西侧外1m</w:t>
            </w:r>
          </w:p>
        </w:tc>
        <w:tc>
          <w:tcPr>
            <w:tcW w:w="1776" w:type="dxa"/>
            <w:shd w:val="clear" w:color="auto" w:fill="auto"/>
            <w:noWrap w:val="0"/>
            <w:vAlign w:val="center"/>
          </w:tcPr>
          <w:p w14:paraId="1619038B">
            <w:pPr>
              <w:jc w:val="center"/>
              <w:textAlignment w:val="center"/>
              <w:rPr>
                <w:rFonts w:hint="default" w:ascii="Times New Roman" w:hAnsi="Times New Roman" w:eastAsia="宋体" w:cs="Times New Roman"/>
                <w:sz w:val="24"/>
                <w:szCs w:val="21"/>
                <w:lang w:val="en-US" w:eastAsia="zh-CN" w:bidi="ar-SA"/>
              </w:rPr>
            </w:pPr>
            <w:r>
              <w:rPr>
                <w:rFonts w:hint="default" w:ascii="Times New Roman" w:hAnsi="Times New Roman" w:eastAsia="宋体" w:cs="Times New Roman"/>
                <w:szCs w:val="21"/>
                <w:lang w:val="en-US" w:eastAsia="zh-CN"/>
              </w:rPr>
              <w:t>57</w:t>
            </w:r>
          </w:p>
        </w:tc>
        <w:tc>
          <w:tcPr>
            <w:tcW w:w="1703" w:type="dxa"/>
            <w:shd w:val="clear" w:color="auto" w:fill="auto"/>
            <w:noWrap w:val="0"/>
            <w:vAlign w:val="center"/>
          </w:tcPr>
          <w:p w14:paraId="52E06553">
            <w:pPr>
              <w:jc w:val="center"/>
              <w:textAlignment w:val="center"/>
              <w:rPr>
                <w:rFonts w:hint="default" w:ascii="Times New Roman" w:hAnsi="Times New Roman" w:eastAsia="宋体" w:cs="Times New Roman"/>
                <w:sz w:val="24"/>
                <w:szCs w:val="21"/>
                <w:lang w:val="en-US" w:eastAsia="zh-CN" w:bidi="ar-SA"/>
              </w:rPr>
            </w:pPr>
            <w:r>
              <w:rPr>
                <w:rFonts w:hint="default" w:ascii="Times New Roman" w:hAnsi="Times New Roman" w:eastAsia="宋体" w:cs="Times New Roman"/>
                <w:szCs w:val="21"/>
                <w:lang w:val="en-US" w:eastAsia="zh-CN"/>
              </w:rPr>
              <w:t>46</w:t>
            </w:r>
          </w:p>
        </w:tc>
        <w:tc>
          <w:tcPr>
            <w:tcW w:w="1850" w:type="dxa"/>
            <w:shd w:val="clear" w:color="auto" w:fill="auto"/>
            <w:noWrap w:val="0"/>
            <w:vAlign w:val="center"/>
          </w:tcPr>
          <w:p w14:paraId="12B5BAFD">
            <w:pPr>
              <w:keepNext w:val="0"/>
              <w:keepLines w:val="0"/>
              <w:widowControl/>
              <w:suppressLineNumbers w:val="0"/>
              <w:jc w:val="center"/>
              <w:textAlignment w:val="center"/>
              <w:rPr>
                <w:rFonts w:hint="default" w:ascii="Times New Roman" w:hAnsi="Times New Roman" w:eastAsia="宋体" w:cs="Times New Roman"/>
                <w:sz w:val="24"/>
                <w:szCs w:val="21"/>
                <w:lang w:val="en-US" w:eastAsia="zh-CN" w:bidi="ar-SA"/>
              </w:rPr>
            </w:pPr>
            <w:r>
              <w:rPr>
                <w:rFonts w:hint="default" w:ascii="Times New Roman" w:hAnsi="Times New Roman" w:eastAsia="微软雅黑" w:cs="Times New Roman"/>
                <w:i w:val="0"/>
                <w:iCs w:val="0"/>
                <w:color w:val="000000"/>
                <w:kern w:val="0"/>
                <w:sz w:val="21"/>
                <w:szCs w:val="21"/>
                <w:u w:val="none"/>
                <w:lang w:val="en-US" w:eastAsia="zh-CN" w:bidi="ar"/>
              </w:rPr>
              <w:t>60</w:t>
            </w:r>
          </w:p>
        </w:tc>
        <w:tc>
          <w:tcPr>
            <w:tcW w:w="1779" w:type="dxa"/>
            <w:shd w:val="clear" w:color="auto" w:fill="auto"/>
            <w:noWrap w:val="0"/>
            <w:vAlign w:val="center"/>
          </w:tcPr>
          <w:p w14:paraId="66AB154D">
            <w:pPr>
              <w:keepNext w:val="0"/>
              <w:keepLines w:val="0"/>
              <w:widowControl/>
              <w:suppressLineNumbers w:val="0"/>
              <w:jc w:val="center"/>
              <w:textAlignment w:val="center"/>
              <w:rPr>
                <w:rFonts w:hint="default" w:ascii="Times New Roman" w:hAnsi="Times New Roman" w:eastAsia="宋体" w:cs="Times New Roman"/>
                <w:sz w:val="24"/>
                <w:szCs w:val="21"/>
                <w:lang w:val="en-US" w:eastAsia="zh-CN" w:bidi="ar"/>
              </w:rPr>
            </w:pPr>
            <w:r>
              <w:rPr>
                <w:rFonts w:hint="default" w:ascii="Times New Roman" w:hAnsi="Times New Roman" w:eastAsia="微软雅黑" w:cs="Times New Roman"/>
                <w:i w:val="0"/>
                <w:iCs w:val="0"/>
                <w:color w:val="000000"/>
                <w:kern w:val="0"/>
                <w:sz w:val="21"/>
                <w:szCs w:val="21"/>
                <w:u w:val="none"/>
                <w:lang w:val="en-US" w:eastAsia="zh-CN" w:bidi="ar"/>
              </w:rPr>
              <w:t>47</w:t>
            </w:r>
          </w:p>
        </w:tc>
      </w:tr>
      <w:tr w14:paraId="7346042E">
        <w:tblPrEx>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963" w:type="dxa"/>
            <w:shd w:val="clear" w:color="auto" w:fill="auto"/>
            <w:noWrap w:val="0"/>
            <w:vAlign w:val="center"/>
          </w:tcPr>
          <w:p w14:paraId="27409478">
            <w:pPr>
              <w:jc w:val="center"/>
              <w:rPr>
                <w:rFonts w:ascii="Times New Roman" w:hAnsi="Times New Roman" w:eastAsia="宋体" w:cs="Times New Roman"/>
                <w:sz w:val="21"/>
                <w:szCs w:val="21"/>
                <w:lang w:val="en-US" w:eastAsia="zh-CN" w:bidi="ar-SA"/>
              </w:rPr>
            </w:pPr>
            <w:r>
              <w:rPr>
                <w:rFonts w:ascii="Times New Roman" w:hAnsi="Times New Roman" w:cs="Times New Roman"/>
                <w:sz w:val="21"/>
                <w:szCs w:val="21"/>
              </w:rPr>
              <w:t>4#厂界北侧外1m</w:t>
            </w:r>
          </w:p>
        </w:tc>
        <w:tc>
          <w:tcPr>
            <w:tcW w:w="1776" w:type="dxa"/>
            <w:shd w:val="clear" w:color="auto" w:fill="auto"/>
            <w:noWrap w:val="0"/>
            <w:vAlign w:val="center"/>
          </w:tcPr>
          <w:p w14:paraId="5338C40D">
            <w:pPr>
              <w:jc w:val="center"/>
              <w:textAlignment w:val="center"/>
              <w:rPr>
                <w:rFonts w:hint="default" w:ascii="Times New Roman" w:hAnsi="Times New Roman" w:eastAsia="宋体" w:cs="Times New Roman"/>
                <w:sz w:val="24"/>
                <w:szCs w:val="21"/>
                <w:lang w:val="en-US" w:eastAsia="zh-CN" w:bidi="ar-SA"/>
              </w:rPr>
            </w:pPr>
            <w:r>
              <w:rPr>
                <w:rFonts w:hint="default" w:ascii="Times New Roman" w:hAnsi="Times New Roman" w:eastAsia="宋体" w:cs="Times New Roman"/>
                <w:szCs w:val="21"/>
                <w:lang w:val="en-US" w:eastAsia="zh-CN"/>
              </w:rPr>
              <w:t>55</w:t>
            </w:r>
          </w:p>
        </w:tc>
        <w:tc>
          <w:tcPr>
            <w:tcW w:w="1703" w:type="dxa"/>
            <w:shd w:val="clear" w:color="auto" w:fill="auto"/>
            <w:noWrap w:val="0"/>
            <w:vAlign w:val="center"/>
          </w:tcPr>
          <w:p w14:paraId="35834062">
            <w:pPr>
              <w:jc w:val="center"/>
              <w:textAlignment w:val="center"/>
              <w:rPr>
                <w:rFonts w:hint="default" w:ascii="Times New Roman" w:hAnsi="Times New Roman" w:eastAsia="宋体" w:cs="Times New Roman"/>
                <w:sz w:val="24"/>
                <w:szCs w:val="21"/>
                <w:lang w:val="en-US" w:eastAsia="zh-CN" w:bidi="ar-SA"/>
              </w:rPr>
            </w:pPr>
            <w:r>
              <w:rPr>
                <w:rFonts w:hint="default" w:ascii="Times New Roman" w:hAnsi="Times New Roman" w:eastAsia="宋体" w:cs="Times New Roman"/>
                <w:szCs w:val="21"/>
                <w:lang w:val="en-US" w:eastAsia="zh-CN"/>
              </w:rPr>
              <w:t>44</w:t>
            </w:r>
          </w:p>
        </w:tc>
        <w:tc>
          <w:tcPr>
            <w:tcW w:w="1850" w:type="dxa"/>
            <w:shd w:val="clear" w:color="auto" w:fill="auto"/>
            <w:noWrap w:val="0"/>
            <w:vAlign w:val="center"/>
          </w:tcPr>
          <w:p w14:paraId="086BDA14">
            <w:pPr>
              <w:jc w:val="center"/>
              <w:textAlignment w:val="center"/>
              <w:rPr>
                <w:rFonts w:hint="default" w:ascii="Times New Roman" w:hAnsi="Times New Roman" w:eastAsia="宋体" w:cs="Times New Roman"/>
                <w:sz w:val="24"/>
                <w:szCs w:val="21"/>
                <w:lang w:val="en-US" w:eastAsia="zh-CN" w:bidi="ar-SA"/>
              </w:rPr>
            </w:pPr>
            <w:r>
              <w:rPr>
                <w:rFonts w:hint="default" w:ascii="Times New Roman" w:hAnsi="Times New Roman" w:eastAsia="微软雅黑" w:cs="Times New Roman"/>
                <w:i w:val="0"/>
                <w:iCs w:val="0"/>
                <w:color w:val="000000"/>
                <w:kern w:val="0"/>
                <w:sz w:val="21"/>
                <w:szCs w:val="21"/>
                <w:u w:val="none"/>
                <w:lang w:val="en-US" w:eastAsia="zh-CN" w:bidi="ar"/>
              </w:rPr>
              <w:t>55</w:t>
            </w:r>
          </w:p>
        </w:tc>
        <w:tc>
          <w:tcPr>
            <w:tcW w:w="1779" w:type="dxa"/>
            <w:shd w:val="clear" w:color="auto" w:fill="auto"/>
            <w:noWrap w:val="0"/>
            <w:vAlign w:val="center"/>
          </w:tcPr>
          <w:p w14:paraId="64F078C6">
            <w:pPr>
              <w:keepNext w:val="0"/>
              <w:keepLines w:val="0"/>
              <w:widowControl/>
              <w:suppressLineNumbers w:val="0"/>
              <w:jc w:val="center"/>
              <w:textAlignment w:val="center"/>
              <w:rPr>
                <w:rFonts w:hint="default" w:ascii="Times New Roman" w:hAnsi="Times New Roman" w:eastAsia="宋体" w:cs="Times New Roman"/>
                <w:sz w:val="24"/>
                <w:szCs w:val="21"/>
                <w:lang w:val="en-US" w:eastAsia="zh-CN" w:bidi="ar"/>
              </w:rPr>
            </w:pPr>
            <w:r>
              <w:rPr>
                <w:rFonts w:hint="default" w:ascii="Times New Roman" w:hAnsi="Times New Roman" w:eastAsia="微软雅黑" w:cs="Times New Roman"/>
                <w:i w:val="0"/>
                <w:iCs w:val="0"/>
                <w:color w:val="000000"/>
                <w:kern w:val="0"/>
                <w:sz w:val="21"/>
                <w:szCs w:val="21"/>
                <w:u w:val="none"/>
                <w:lang w:val="en-US" w:eastAsia="zh-CN" w:bidi="ar"/>
              </w:rPr>
              <w:t>44</w:t>
            </w:r>
          </w:p>
        </w:tc>
      </w:tr>
      <w:tr w14:paraId="72AE872B">
        <w:tblPrEx>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963" w:type="dxa"/>
            <w:noWrap w:val="0"/>
            <w:vAlign w:val="center"/>
          </w:tcPr>
          <w:p w14:paraId="05511DE2">
            <w:pPr>
              <w:jc w:val="center"/>
              <w:rPr>
                <w:rFonts w:ascii="Times New Roman" w:hAnsi="Times New Roman" w:cs="Times New Roman"/>
                <w:sz w:val="21"/>
                <w:szCs w:val="21"/>
              </w:rPr>
            </w:pPr>
            <w:r>
              <w:rPr>
                <w:rFonts w:hint="eastAsia" w:ascii="Times New Roman" w:hAnsi="Times New Roman" w:cs="Times New Roman"/>
                <w:sz w:val="21"/>
                <w:szCs w:val="21"/>
              </w:rPr>
              <w:t>标准限值</w:t>
            </w:r>
          </w:p>
        </w:tc>
        <w:tc>
          <w:tcPr>
            <w:tcW w:w="1776" w:type="dxa"/>
            <w:noWrap w:val="0"/>
            <w:vAlign w:val="center"/>
          </w:tcPr>
          <w:p w14:paraId="65D7ED5D">
            <w:pPr>
              <w:jc w:val="center"/>
              <w:textAlignment w:val="center"/>
              <w:rPr>
                <w:rFonts w:hint="default" w:ascii="Times New Roman" w:hAnsi="Times New Roman" w:eastAsia="宋体" w:cs="Times New Roman"/>
                <w:szCs w:val="21"/>
                <w:lang w:val="en-US" w:eastAsia="zh-CN"/>
              </w:rPr>
            </w:pPr>
            <w:r>
              <w:rPr>
                <w:rFonts w:hint="eastAsia" w:ascii="Times New Roman" w:hAnsi="Times New Roman" w:cs="Times New Roman"/>
                <w:szCs w:val="21"/>
                <w:lang w:val="en-US" w:eastAsia="zh-CN"/>
              </w:rPr>
              <w:t>60</w:t>
            </w:r>
          </w:p>
        </w:tc>
        <w:tc>
          <w:tcPr>
            <w:tcW w:w="1703" w:type="dxa"/>
            <w:noWrap w:val="0"/>
            <w:vAlign w:val="center"/>
          </w:tcPr>
          <w:p w14:paraId="11C6DF66">
            <w:pPr>
              <w:jc w:val="center"/>
              <w:textAlignment w:val="center"/>
              <w:rPr>
                <w:rFonts w:hint="default" w:ascii="Times New Roman" w:hAnsi="Times New Roman" w:eastAsia="宋体" w:cs="Times New Roman"/>
                <w:szCs w:val="21"/>
                <w:lang w:val="en-US" w:eastAsia="zh-CN"/>
              </w:rPr>
            </w:pPr>
            <w:r>
              <w:rPr>
                <w:rFonts w:hint="eastAsia" w:ascii="Times New Roman" w:hAnsi="Times New Roman" w:cs="Times New Roman"/>
                <w:szCs w:val="21"/>
                <w:lang w:val="en-US" w:eastAsia="zh-CN"/>
              </w:rPr>
              <w:t>50</w:t>
            </w:r>
          </w:p>
        </w:tc>
        <w:tc>
          <w:tcPr>
            <w:tcW w:w="1850" w:type="dxa"/>
            <w:noWrap w:val="0"/>
            <w:vAlign w:val="center"/>
          </w:tcPr>
          <w:p w14:paraId="6EBAA333">
            <w:pPr>
              <w:keepNext w:val="0"/>
              <w:keepLines w:val="0"/>
              <w:widowControl/>
              <w:suppressLineNumbers w:val="0"/>
              <w:jc w:val="center"/>
              <w:textAlignment w:val="center"/>
              <w:rPr>
                <w:rFonts w:hint="default" w:ascii="Times New Roman" w:hAnsi="Times New Roman" w:eastAsia="微软雅黑" w:cs="Times New Roman"/>
                <w:i w:val="0"/>
                <w:iCs w:val="0"/>
                <w:color w:val="000000"/>
                <w:kern w:val="0"/>
                <w:sz w:val="21"/>
                <w:szCs w:val="21"/>
                <w:u w:val="none"/>
                <w:lang w:val="en-US" w:eastAsia="zh-CN" w:bidi="ar"/>
              </w:rPr>
            </w:pPr>
            <w:r>
              <w:rPr>
                <w:rFonts w:hint="eastAsia" w:ascii="Times New Roman" w:hAnsi="Times New Roman" w:eastAsia="微软雅黑" w:cs="Times New Roman"/>
                <w:i w:val="0"/>
                <w:iCs w:val="0"/>
                <w:color w:val="000000"/>
                <w:kern w:val="0"/>
                <w:sz w:val="21"/>
                <w:szCs w:val="21"/>
                <w:u w:val="none"/>
                <w:lang w:val="en-US" w:eastAsia="zh-CN" w:bidi="ar"/>
              </w:rPr>
              <w:t>60</w:t>
            </w:r>
          </w:p>
        </w:tc>
        <w:tc>
          <w:tcPr>
            <w:tcW w:w="1779" w:type="dxa"/>
            <w:noWrap w:val="0"/>
            <w:vAlign w:val="center"/>
          </w:tcPr>
          <w:p w14:paraId="78574682">
            <w:pPr>
              <w:keepNext w:val="0"/>
              <w:keepLines w:val="0"/>
              <w:widowControl/>
              <w:suppressLineNumbers w:val="0"/>
              <w:jc w:val="center"/>
              <w:textAlignment w:val="center"/>
              <w:rPr>
                <w:rFonts w:hint="default" w:ascii="Times New Roman" w:hAnsi="Times New Roman" w:eastAsia="微软雅黑" w:cs="Times New Roman"/>
                <w:i w:val="0"/>
                <w:iCs w:val="0"/>
                <w:color w:val="000000"/>
                <w:kern w:val="0"/>
                <w:sz w:val="21"/>
                <w:szCs w:val="21"/>
                <w:u w:val="none"/>
                <w:lang w:val="en-US" w:eastAsia="zh-CN" w:bidi="ar"/>
              </w:rPr>
            </w:pPr>
            <w:r>
              <w:rPr>
                <w:rFonts w:hint="eastAsia" w:ascii="Times New Roman" w:hAnsi="Times New Roman" w:eastAsia="微软雅黑" w:cs="Times New Roman"/>
                <w:i w:val="0"/>
                <w:iCs w:val="0"/>
                <w:color w:val="000000"/>
                <w:kern w:val="0"/>
                <w:sz w:val="21"/>
                <w:szCs w:val="21"/>
                <w:u w:val="none"/>
                <w:lang w:val="en-US" w:eastAsia="zh-CN" w:bidi="ar"/>
              </w:rPr>
              <w:t>50</w:t>
            </w:r>
          </w:p>
        </w:tc>
      </w:tr>
      <w:tr w14:paraId="77DBA8D6">
        <w:tblPrEx>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963" w:type="dxa"/>
            <w:noWrap w:val="0"/>
            <w:vAlign w:val="center"/>
          </w:tcPr>
          <w:p w14:paraId="054C047E">
            <w:pPr>
              <w:jc w:val="center"/>
              <w:rPr>
                <w:rFonts w:ascii="Times New Roman" w:hAnsi="Times New Roman" w:cs="Times New Roman"/>
                <w:sz w:val="21"/>
                <w:szCs w:val="21"/>
              </w:rPr>
            </w:pPr>
            <w:r>
              <w:rPr>
                <w:rFonts w:ascii="Times New Roman" w:hAnsi="Times New Roman" w:cs="Times New Roman"/>
                <w:sz w:val="21"/>
                <w:szCs w:val="21"/>
              </w:rPr>
              <w:t>2#厂界南侧外1m</w:t>
            </w:r>
          </w:p>
        </w:tc>
        <w:tc>
          <w:tcPr>
            <w:tcW w:w="1776" w:type="dxa"/>
            <w:noWrap w:val="0"/>
            <w:vAlign w:val="center"/>
          </w:tcPr>
          <w:p w14:paraId="07D5A3C0">
            <w:pPr>
              <w:jc w:val="center"/>
              <w:textAlignment w:val="center"/>
              <w:rPr>
                <w:rFonts w:ascii="Times New Roman" w:hAnsi="Times New Roman" w:eastAsia="宋体" w:cs="Times New Roman"/>
                <w:szCs w:val="21"/>
              </w:rPr>
            </w:pPr>
            <w:r>
              <w:rPr>
                <w:rFonts w:hint="default" w:ascii="Times New Roman" w:hAnsi="Times New Roman" w:eastAsia="宋体" w:cs="Times New Roman"/>
                <w:szCs w:val="21"/>
                <w:lang w:val="en-US" w:eastAsia="zh-CN"/>
              </w:rPr>
              <w:t>62</w:t>
            </w:r>
          </w:p>
        </w:tc>
        <w:tc>
          <w:tcPr>
            <w:tcW w:w="1703" w:type="dxa"/>
            <w:noWrap w:val="0"/>
            <w:vAlign w:val="center"/>
          </w:tcPr>
          <w:p w14:paraId="44336FDC">
            <w:pPr>
              <w:jc w:val="center"/>
              <w:textAlignment w:val="center"/>
              <w:rPr>
                <w:rFonts w:ascii="Times New Roman" w:hAnsi="Times New Roman" w:eastAsia="宋体" w:cs="Times New Roman"/>
                <w:szCs w:val="21"/>
              </w:rPr>
            </w:pPr>
            <w:r>
              <w:rPr>
                <w:rFonts w:hint="default" w:ascii="Times New Roman" w:hAnsi="Times New Roman" w:eastAsia="宋体" w:cs="Times New Roman"/>
                <w:szCs w:val="21"/>
                <w:lang w:val="en-US" w:eastAsia="zh-CN"/>
              </w:rPr>
              <w:t>48</w:t>
            </w:r>
          </w:p>
        </w:tc>
        <w:tc>
          <w:tcPr>
            <w:tcW w:w="1850" w:type="dxa"/>
            <w:noWrap w:val="0"/>
            <w:vAlign w:val="center"/>
          </w:tcPr>
          <w:p w14:paraId="0EE3553E">
            <w:pPr>
              <w:keepNext w:val="0"/>
              <w:keepLines w:val="0"/>
              <w:widowControl/>
              <w:suppressLineNumbers w:val="0"/>
              <w:jc w:val="center"/>
              <w:textAlignment w:val="center"/>
              <w:rPr>
                <w:rFonts w:ascii="Times New Roman" w:hAnsi="Times New Roman" w:cs="Times New Roman"/>
                <w:szCs w:val="21"/>
              </w:rPr>
            </w:pPr>
            <w:r>
              <w:rPr>
                <w:rFonts w:hint="default" w:ascii="Times New Roman" w:hAnsi="Times New Roman" w:eastAsia="微软雅黑" w:cs="Times New Roman"/>
                <w:i w:val="0"/>
                <w:iCs w:val="0"/>
                <w:color w:val="000000"/>
                <w:kern w:val="0"/>
                <w:sz w:val="21"/>
                <w:szCs w:val="21"/>
                <w:u w:val="none"/>
                <w:lang w:val="en-US" w:eastAsia="zh-CN" w:bidi="ar"/>
              </w:rPr>
              <w:t>62</w:t>
            </w:r>
          </w:p>
        </w:tc>
        <w:tc>
          <w:tcPr>
            <w:tcW w:w="1779" w:type="dxa"/>
            <w:noWrap w:val="0"/>
            <w:vAlign w:val="center"/>
          </w:tcPr>
          <w:p w14:paraId="2E3DB3D6">
            <w:pPr>
              <w:keepNext w:val="0"/>
              <w:keepLines w:val="0"/>
              <w:widowControl/>
              <w:suppressLineNumbers w:val="0"/>
              <w:jc w:val="center"/>
              <w:textAlignment w:val="center"/>
              <w:rPr>
                <w:rFonts w:ascii="Times New Roman" w:hAnsi="Times New Roman" w:cs="Times New Roman"/>
                <w:szCs w:val="21"/>
                <w:lang w:bidi="ar"/>
              </w:rPr>
            </w:pPr>
            <w:r>
              <w:rPr>
                <w:rFonts w:hint="default" w:ascii="Times New Roman" w:hAnsi="Times New Roman" w:eastAsia="微软雅黑" w:cs="Times New Roman"/>
                <w:i w:val="0"/>
                <w:iCs w:val="0"/>
                <w:color w:val="000000"/>
                <w:kern w:val="0"/>
                <w:sz w:val="21"/>
                <w:szCs w:val="21"/>
                <w:u w:val="none"/>
                <w:lang w:val="en-US" w:eastAsia="zh-CN" w:bidi="ar"/>
              </w:rPr>
              <w:t>49</w:t>
            </w:r>
          </w:p>
        </w:tc>
      </w:tr>
      <w:tr w14:paraId="1D413DA3">
        <w:tblPrEx>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963" w:type="dxa"/>
            <w:noWrap w:val="0"/>
            <w:vAlign w:val="center"/>
          </w:tcPr>
          <w:p w14:paraId="7B249A1C">
            <w:pPr>
              <w:jc w:val="center"/>
              <w:rPr>
                <w:rFonts w:ascii="Times New Roman" w:hAnsi="Times New Roman" w:cs="Times New Roman"/>
                <w:sz w:val="21"/>
                <w:szCs w:val="21"/>
              </w:rPr>
            </w:pPr>
            <w:r>
              <w:rPr>
                <w:rFonts w:hint="eastAsia" w:ascii="Times New Roman" w:hAnsi="Times New Roman" w:cs="Times New Roman"/>
                <w:sz w:val="21"/>
                <w:szCs w:val="21"/>
              </w:rPr>
              <w:t>标准限值</w:t>
            </w:r>
          </w:p>
        </w:tc>
        <w:tc>
          <w:tcPr>
            <w:tcW w:w="1776" w:type="dxa"/>
            <w:noWrap w:val="0"/>
            <w:vAlign w:val="center"/>
          </w:tcPr>
          <w:p w14:paraId="33983F92">
            <w:pPr>
              <w:jc w:val="center"/>
              <w:textAlignment w:val="center"/>
              <w:rPr>
                <w:rFonts w:hint="default" w:ascii="Times New Roman" w:hAnsi="Times New Roman" w:eastAsia="宋体" w:cs="Times New Roman"/>
                <w:szCs w:val="21"/>
                <w:lang w:val="en-US" w:eastAsia="zh-CN"/>
              </w:rPr>
            </w:pPr>
            <w:r>
              <w:rPr>
                <w:rFonts w:hint="eastAsia" w:ascii="Times New Roman" w:hAnsi="Times New Roman" w:cs="Times New Roman"/>
                <w:szCs w:val="21"/>
                <w:lang w:val="en-US" w:eastAsia="zh-CN"/>
              </w:rPr>
              <w:t>70</w:t>
            </w:r>
          </w:p>
        </w:tc>
        <w:tc>
          <w:tcPr>
            <w:tcW w:w="1703" w:type="dxa"/>
            <w:noWrap w:val="0"/>
            <w:vAlign w:val="center"/>
          </w:tcPr>
          <w:p w14:paraId="0F948A54">
            <w:pPr>
              <w:jc w:val="center"/>
              <w:textAlignment w:val="center"/>
              <w:rPr>
                <w:rFonts w:hint="default" w:ascii="Times New Roman" w:hAnsi="Times New Roman" w:eastAsia="宋体" w:cs="Times New Roman"/>
                <w:szCs w:val="21"/>
                <w:lang w:val="en-US" w:eastAsia="zh-CN"/>
              </w:rPr>
            </w:pPr>
            <w:r>
              <w:rPr>
                <w:rFonts w:hint="eastAsia" w:ascii="Times New Roman" w:hAnsi="Times New Roman" w:eastAsia="宋体" w:cs="Times New Roman"/>
                <w:szCs w:val="21"/>
                <w:lang w:val="en-US" w:eastAsia="zh-CN"/>
              </w:rPr>
              <w:t>55</w:t>
            </w:r>
          </w:p>
        </w:tc>
        <w:tc>
          <w:tcPr>
            <w:tcW w:w="1850" w:type="dxa"/>
            <w:noWrap w:val="0"/>
            <w:vAlign w:val="center"/>
          </w:tcPr>
          <w:p w14:paraId="23910A8F">
            <w:pPr>
              <w:jc w:val="center"/>
              <w:textAlignment w:val="center"/>
              <w:rPr>
                <w:rFonts w:hint="default" w:ascii="Times New Roman" w:hAnsi="Times New Roman" w:eastAsia="微软雅黑" w:cs="Times New Roman"/>
                <w:i w:val="0"/>
                <w:iCs w:val="0"/>
                <w:color w:val="000000"/>
                <w:kern w:val="0"/>
                <w:sz w:val="21"/>
                <w:szCs w:val="21"/>
                <w:u w:val="none"/>
                <w:lang w:val="en-US" w:eastAsia="zh-CN" w:bidi="ar"/>
              </w:rPr>
            </w:pPr>
            <w:r>
              <w:rPr>
                <w:rFonts w:hint="eastAsia" w:ascii="Times New Roman" w:hAnsi="Times New Roman" w:eastAsia="微软雅黑" w:cs="Times New Roman"/>
                <w:i w:val="0"/>
                <w:iCs w:val="0"/>
                <w:color w:val="000000"/>
                <w:kern w:val="0"/>
                <w:sz w:val="21"/>
                <w:szCs w:val="21"/>
                <w:u w:val="none"/>
                <w:lang w:val="en-US" w:eastAsia="zh-CN" w:bidi="ar"/>
              </w:rPr>
              <w:t>70</w:t>
            </w:r>
          </w:p>
        </w:tc>
        <w:tc>
          <w:tcPr>
            <w:tcW w:w="1779" w:type="dxa"/>
            <w:noWrap w:val="0"/>
            <w:vAlign w:val="center"/>
          </w:tcPr>
          <w:p w14:paraId="6A971D88">
            <w:pPr>
              <w:keepNext w:val="0"/>
              <w:keepLines w:val="0"/>
              <w:widowControl/>
              <w:suppressLineNumbers w:val="0"/>
              <w:jc w:val="center"/>
              <w:textAlignment w:val="center"/>
              <w:rPr>
                <w:rFonts w:hint="default" w:ascii="Times New Roman" w:hAnsi="Times New Roman" w:eastAsia="微软雅黑" w:cs="Times New Roman"/>
                <w:i w:val="0"/>
                <w:iCs w:val="0"/>
                <w:color w:val="000000"/>
                <w:kern w:val="0"/>
                <w:sz w:val="21"/>
                <w:szCs w:val="21"/>
                <w:u w:val="none"/>
                <w:lang w:val="en-US" w:eastAsia="zh-CN" w:bidi="ar"/>
              </w:rPr>
            </w:pPr>
            <w:r>
              <w:rPr>
                <w:rFonts w:hint="eastAsia" w:ascii="Times New Roman" w:hAnsi="Times New Roman" w:eastAsia="微软雅黑" w:cs="Times New Roman"/>
                <w:i w:val="0"/>
                <w:iCs w:val="0"/>
                <w:color w:val="000000"/>
                <w:kern w:val="0"/>
                <w:sz w:val="21"/>
                <w:szCs w:val="21"/>
                <w:u w:val="none"/>
                <w:lang w:val="en-US" w:eastAsia="zh-CN" w:bidi="ar"/>
              </w:rPr>
              <w:t>55</w:t>
            </w:r>
          </w:p>
        </w:tc>
      </w:tr>
      <w:tr w14:paraId="5F8B35D8">
        <w:tblPrEx>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963" w:type="dxa"/>
            <w:noWrap w:val="0"/>
            <w:vAlign w:val="center"/>
          </w:tcPr>
          <w:p w14:paraId="4A9D152B">
            <w:pPr>
              <w:jc w:val="center"/>
              <w:outlineLvl w:val="0"/>
              <w:rPr>
                <w:rFonts w:ascii="Times New Roman" w:hAnsi="Times New Roman" w:cs="Times New Roman"/>
                <w:sz w:val="21"/>
                <w:szCs w:val="21"/>
              </w:rPr>
            </w:pPr>
            <w:bookmarkStart w:id="411" w:name="_Toc30571"/>
            <w:bookmarkStart w:id="412" w:name="_Toc766"/>
            <w:r>
              <w:rPr>
                <w:rFonts w:hint="eastAsia" w:ascii="Times New Roman" w:hAnsi="Times New Roman" w:eastAsia="宋体" w:cs="Times New Roman"/>
                <w:b w:val="0"/>
                <w:bCs w:val="0"/>
                <w:snapToGrid w:val="0"/>
                <w:color w:val="auto"/>
                <w:kern w:val="0"/>
                <w:sz w:val="21"/>
                <w:szCs w:val="21"/>
                <w:lang w:val="en-US" w:eastAsia="zh-CN"/>
              </w:rPr>
              <w:t>5#</w:t>
            </w:r>
            <w:r>
              <w:rPr>
                <w:rFonts w:hint="default" w:ascii="Times New Roman" w:hAnsi="Times New Roman" w:eastAsia="宋体" w:cs="Times New Roman"/>
                <w:b w:val="0"/>
                <w:bCs w:val="0"/>
                <w:snapToGrid w:val="0"/>
                <w:color w:val="auto"/>
                <w:kern w:val="0"/>
                <w:sz w:val="21"/>
                <w:szCs w:val="21"/>
                <w:lang w:val="en-US" w:eastAsia="zh-CN"/>
              </w:rPr>
              <w:t>厂区西侧居民点</w:t>
            </w:r>
            <w:bookmarkEnd w:id="411"/>
            <w:bookmarkEnd w:id="412"/>
          </w:p>
        </w:tc>
        <w:tc>
          <w:tcPr>
            <w:tcW w:w="1776" w:type="dxa"/>
            <w:noWrap w:val="0"/>
            <w:vAlign w:val="center"/>
          </w:tcPr>
          <w:p w14:paraId="04EF71A8">
            <w:pPr>
              <w:jc w:val="center"/>
              <w:textAlignment w:val="center"/>
              <w:rPr>
                <w:rFonts w:ascii="Times New Roman" w:hAnsi="Times New Roman" w:eastAsia="宋体" w:cs="Times New Roman"/>
                <w:szCs w:val="21"/>
              </w:rPr>
            </w:pPr>
            <w:r>
              <w:rPr>
                <w:rFonts w:hint="default" w:ascii="Times New Roman" w:hAnsi="Times New Roman" w:eastAsia="宋体" w:cs="Times New Roman"/>
                <w:szCs w:val="21"/>
                <w:lang w:val="en-US" w:eastAsia="zh-CN"/>
              </w:rPr>
              <w:t>51</w:t>
            </w:r>
          </w:p>
        </w:tc>
        <w:tc>
          <w:tcPr>
            <w:tcW w:w="1703" w:type="dxa"/>
            <w:noWrap w:val="0"/>
            <w:vAlign w:val="center"/>
          </w:tcPr>
          <w:p w14:paraId="6B90EABF">
            <w:pPr>
              <w:jc w:val="center"/>
              <w:textAlignment w:val="center"/>
              <w:rPr>
                <w:rFonts w:ascii="Times New Roman" w:hAnsi="Times New Roman" w:eastAsia="宋体" w:cs="Times New Roman"/>
                <w:szCs w:val="21"/>
              </w:rPr>
            </w:pPr>
            <w:r>
              <w:rPr>
                <w:rFonts w:hint="default" w:ascii="Times New Roman" w:hAnsi="Times New Roman" w:eastAsia="宋体" w:cs="Times New Roman"/>
                <w:szCs w:val="21"/>
                <w:lang w:val="en-US" w:eastAsia="zh-CN"/>
              </w:rPr>
              <w:t>42</w:t>
            </w:r>
          </w:p>
        </w:tc>
        <w:tc>
          <w:tcPr>
            <w:tcW w:w="1850" w:type="dxa"/>
            <w:noWrap w:val="0"/>
            <w:vAlign w:val="center"/>
          </w:tcPr>
          <w:p w14:paraId="6E65756A">
            <w:pPr>
              <w:jc w:val="center"/>
              <w:textAlignment w:val="center"/>
              <w:rPr>
                <w:rFonts w:ascii="Times New Roman" w:hAnsi="Times New Roman" w:cs="Times New Roman"/>
                <w:szCs w:val="21"/>
              </w:rPr>
            </w:pPr>
            <w:r>
              <w:rPr>
                <w:rFonts w:hint="default" w:ascii="Times New Roman" w:hAnsi="Times New Roman" w:eastAsia="微软雅黑" w:cs="Times New Roman"/>
                <w:i w:val="0"/>
                <w:iCs w:val="0"/>
                <w:color w:val="000000"/>
                <w:kern w:val="0"/>
                <w:sz w:val="21"/>
                <w:szCs w:val="21"/>
                <w:u w:val="none"/>
                <w:lang w:val="en-US" w:eastAsia="zh-CN" w:bidi="ar"/>
              </w:rPr>
              <w:t>50</w:t>
            </w:r>
          </w:p>
        </w:tc>
        <w:tc>
          <w:tcPr>
            <w:tcW w:w="1779" w:type="dxa"/>
            <w:noWrap w:val="0"/>
            <w:vAlign w:val="center"/>
          </w:tcPr>
          <w:p w14:paraId="01BD3BF1">
            <w:pPr>
              <w:keepNext w:val="0"/>
              <w:keepLines w:val="0"/>
              <w:widowControl/>
              <w:suppressLineNumbers w:val="0"/>
              <w:jc w:val="center"/>
              <w:textAlignment w:val="center"/>
              <w:rPr>
                <w:rFonts w:ascii="Times New Roman" w:hAnsi="Times New Roman" w:cs="Times New Roman"/>
                <w:szCs w:val="21"/>
                <w:lang w:bidi="ar"/>
              </w:rPr>
            </w:pPr>
            <w:r>
              <w:rPr>
                <w:rFonts w:hint="default" w:ascii="Times New Roman" w:hAnsi="Times New Roman" w:eastAsia="微软雅黑" w:cs="Times New Roman"/>
                <w:i w:val="0"/>
                <w:iCs w:val="0"/>
                <w:color w:val="000000"/>
                <w:kern w:val="0"/>
                <w:sz w:val="21"/>
                <w:szCs w:val="21"/>
                <w:u w:val="none"/>
                <w:lang w:val="en-US" w:eastAsia="zh-CN" w:bidi="ar"/>
              </w:rPr>
              <w:t>41</w:t>
            </w:r>
          </w:p>
        </w:tc>
      </w:tr>
      <w:tr w14:paraId="45A89E54">
        <w:tblPrEx>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963" w:type="dxa"/>
            <w:noWrap w:val="0"/>
            <w:vAlign w:val="center"/>
          </w:tcPr>
          <w:p w14:paraId="33D4481E">
            <w:pPr>
              <w:jc w:val="center"/>
              <w:outlineLvl w:val="0"/>
              <w:rPr>
                <w:rFonts w:ascii="Times New Roman" w:hAnsi="Times New Roman" w:cs="Times New Roman"/>
                <w:sz w:val="21"/>
                <w:szCs w:val="21"/>
              </w:rPr>
            </w:pPr>
            <w:bookmarkStart w:id="413" w:name="_Toc6657"/>
            <w:bookmarkStart w:id="414" w:name="_Toc16567"/>
            <w:r>
              <w:rPr>
                <w:rFonts w:hint="eastAsia" w:ascii="Times New Roman" w:hAnsi="Times New Roman" w:eastAsia="宋体" w:cs="Times New Roman"/>
                <w:b w:val="0"/>
                <w:bCs w:val="0"/>
                <w:snapToGrid w:val="0"/>
                <w:color w:val="auto"/>
                <w:kern w:val="0"/>
                <w:sz w:val="21"/>
                <w:szCs w:val="21"/>
                <w:lang w:val="en-US" w:eastAsia="zh-CN"/>
              </w:rPr>
              <w:t>6#</w:t>
            </w:r>
            <w:r>
              <w:rPr>
                <w:rFonts w:hint="default" w:ascii="Times New Roman" w:hAnsi="Times New Roman" w:eastAsia="宋体" w:cs="Times New Roman"/>
                <w:b w:val="0"/>
                <w:bCs w:val="0"/>
                <w:snapToGrid w:val="0"/>
                <w:color w:val="auto"/>
                <w:kern w:val="0"/>
                <w:sz w:val="21"/>
                <w:szCs w:val="21"/>
                <w:lang w:val="en-US" w:eastAsia="zh-CN"/>
              </w:rPr>
              <w:t>厂区北侧居民点</w:t>
            </w:r>
            <w:bookmarkEnd w:id="413"/>
            <w:bookmarkEnd w:id="414"/>
          </w:p>
        </w:tc>
        <w:tc>
          <w:tcPr>
            <w:tcW w:w="1776" w:type="dxa"/>
            <w:noWrap w:val="0"/>
            <w:vAlign w:val="center"/>
          </w:tcPr>
          <w:p w14:paraId="04C2BB52">
            <w:pPr>
              <w:jc w:val="center"/>
              <w:textAlignment w:val="center"/>
              <w:rPr>
                <w:rFonts w:ascii="Times New Roman" w:hAnsi="Times New Roman" w:eastAsia="宋体" w:cs="Times New Roman"/>
                <w:szCs w:val="21"/>
              </w:rPr>
            </w:pPr>
            <w:r>
              <w:rPr>
                <w:rFonts w:hint="default" w:ascii="Times New Roman" w:hAnsi="Times New Roman" w:eastAsia="宋体" w:cs="Times New Roman"/>
                <w:szCs w:val="21"/>
                <w:lang w:val="en-US" w:eastAsia="zh-CN"/>
              </w:rPr>
              <w:t>50</w:t>
            </w:r>
          </w:p>
        </w:tc>
        <w:tc>
          <w:tcPr>
            <w:tcW w:w="1703" w:type="dxa"/>
            <w:noWrap w:val="0"/>
            <w:vAlign w:val="center"/>
          </w:tcPr>
          <w:p w14:paraId="4235DB65">
            <w:pPr>
              <w:jc w:val="center"/>
              <w:textAlignment w:val="center"/>
              <w:rPr>
                <w:rFonts w:ascii="Times New Roman" w:hAnsi="Times New Roman" w:eastAsia="宋体" w:cs="Times New Roman"/>
                <w:szCs w:val="21"/>
              </w:rPr>
            </w:pPr>
            <w:r>
              <w:rPr>
                <w:rFonts w:hint="default" w:ascii="Times New Roman" w:hAnsi="Times New Roman" w:eastAsia="宋体" w:cs="Times New Roman"/>
                <w:szCs w:val="21"/>
                <w:lang w:val="en-US" w:eastAsia="zh-CN"/>
              </w:rPr>
              <w:t>43</w:t>
            </w:r>
          </w:p>
        </w:tc>
        <w:tc>
          <w:tcPr>
            <w:tcW w:w="1850" w:type="dxa"/>
            <w:noWrap w:val="0"/>
            <w:vAlign w:val="center"/>
          </w:tcPr>
          <w:p w14:paraId="39327A28">
            <w:pPr>
              <w:jc w:val="center"/>
              <w:textAlignment w:val="center"/>
              <w:rPr>
                <w:rFonts w:ascii="Times New Roman" w:hAnsi="Times New Roman" w:cs="Times New Roman"/>
                <w:szCs w:val="21"/>
              </w:rPr>
            </w:pPr>
            <w:r>
              <w:rPr>
                <w:rFonts w:hint="default" w:ascii="Times New Roman" w:hAnsi="Times New Roman" w:eastAsia="微软雅黑" w:cs="Times New Roman"/>
                <w:i w:val="0"/>
                <w:iCs w:val="0"/>
                <w:color w:val="000000"/>
                <w:kern w:val="0"/>
                <w:sz w:val="21"/>
                <w:szCs w:val="21"/>
                <w:u w:val="none"/>
                <w:lang w:val="en-US" w:eastAsia="zh-CN" w:bidi="ar"/>
              </w:rPr>
              <w:t>50</w:t>
            </w:r>
          </w:p>
        </w:tc>
        <w:tc>
          <w:tcPr>
            <w:tcW w:w="1779" w:type="dxa"/>
            <w:noWrap w:val="0"/>
            <w:vAlign w:val="center"/>
          </w:tcPr>
          <w:p w14:paraId="5B79FCAC">
            <w:pPr>
              <w:keepNext w:val="0"/>
              <w:keepLines w:val="0"/>
              <w:widowControl/>
              <w:suppressLineNumbers w:val="0"/>
              <w:jc w:val="center"/>
              <w:textAlignment w:val="center"/>
              <w:rPr>
                <w:rFonts w:ascii="Times New Roman" w:hAnsi="Times New Roman" w:cs="Times New Roman"/>
                <w:szCs w:val="21"/>
                <w:lang w:bidi="ar"/>
              </w:rPr>
            </w:pPr>
            <w:r>
              <w:rPr>
                <w:rFonts w:hint="default" w:ascii="Times New Roman" w:hAnsi="Times New Roman" w:eastAsia="微软雅黑" w:cs="Times New Roman"/>
                <w:i w:val="0"/>
                <w:iCs w:val="0"/>
                <w:color w:val="000000"/>
                <w:kern w:val="0"/>
                <w:sz w:val="21"/>
                <w:szCs w:val="21"/>
                <w:u w:val="none"/>
                <w:lang w:val="en-US" w:eastAsia="zh-CN" w:bidi="ar"/>
              </w:rPr>
              <w:t>42</w:t>
            </w:r>
          </w:p>
        </w:tc>
      </w:tr>
      <w:tr w14:paraId="1AB0698B">
        <w:tblPrEx>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963" w:type="dxa"/>
            <w:noWrap w:val="0"/>
            <w:vAlign w:val="center"/>
          </w:tcPr>
          <w:p w14:paraId="5B2A6727">
            <w:pPr>
              <w:jc w:val="center"/>
              <w:rPr>
                <w:rFonts w:ascii="Times New Roman" w:hAnsi="Times New Roman" w:cs="Times New Roman"/>
                <w:sz w:val="21"/>
                <w:szCs w:val="21"/>
              </w:rPr>
            </w:pPr>
            <w:r>
              <w:rPr>
                <w:rFonts w:hint="eastAsia" w:ascii="Times New Roman" w:hAnsi="Times New Roman" w:cs="Times New Roman"/>
                <w:sz w:val="21"/>
                <w:szCs w:val="21"/>
              </w:rPr>
              <w:t>标准限值</w:t>
            </w:r>
          </w:p>
        </w:tc>
        <w:tc>
          <w:tcPr>
            <w:tcW w:w="1776" w:type="dxa"/>
            <w:noWrap w:val="0"/>
            <w:vAlign w:val="center"/>
          </w:tcPr>
          <w:p w14:paraId="503645B2">
            <w:pPr>
              <w:jc w:val="center"/>
              <w:textAlignment w:val="center"/>
              <w:rPr>
                <w:rFonts w:hint="default" w:ascii="Times New Roman" w:hAnsi="Times New Roman" w:eastAsia="宋体" w:cs="Times New Roman"/>
                <w:szCs w:val="21"/>
                <w:highlight w:val="none"/>
                <w:lang w:val="en-US" w:eastAsia="zh-CN"/>
              </w:rPr>
            </w:pPr>
            <w:r>
              <w:rPr>
                <w:rFonts w:hint="eastAsia" w:ascii="Times New Roman" w:hAnsi="Times New Roman" w:cs="Times New Roman"/>
                <w:szCs w:val="21"/>
                <w:highlight w:val="none"/>
                <w:lang w:val="en-US" w:eastAsia="zh-CN"/>
              </w:rPr>
              <w:t>55</w:t>
            </w:r>
          </w:p>
        </w:tc>
        <w:tc>
          <w:tcPr>
            <w:tcW w:w="1703" w:type="dxa"/>
            <w:noWrap w:val="0"/>
            <w:vAlign w:val="center"/>
          </w:tcPr>
          <w:p w14:paraId="3CF1F135">
            <w:pPr>
              <w:jc w:val="center"/>
              <w:textAlignment w:val="center"/>
              <w:rPr>
                <w:rFonts w:hint="default" w:ascii="Times New Roman" w:hAnsi="Times New Roman" w:eastAsia="宋体" w:cs="Times New Roman"/>
                <w:szCs w:val="21"/>
                <w:highlight w:val="none"/>
                <w:lang w:val="en-US" w:eastAsia="zh-CN" w:bidi="ar"/>
              </w:rPr>
            </w:pPr>
            <w:r>
              <w:rPr>
                <w:rFonts w:hint="eastAsia" w:ascii="Times New Roman" w:hAnsi="Times New Roman" w:cs="Times New Roman"/>
                <w:szCs w:val="21"/>
                <w:highlight w:val="none"/>
                <w:lang w:val="en-US" w:eastAsia="zh-CN" w:bidi="ar"/>
              </w:rPr>
              <w:t>45</w:t>
            </w:r>
          </w:p>
        </w:tc>
        <w:tc>
          <w:tcPr>
            <w:tcW w:w="1850" w:type="dxa"/>
            <w:noWrap w:val="0"/>
            <w:vAlign w:val="center"/>
          </w:tcPr>
          <w:p w14:paraId="252F76A3">
            <w:pPr>
              <w:jc w:val="center"/>
              <w:textAlignment w:val="center"/>
              <w:rPr>
                <w:rFonts w:hint="default" w:ascii="Times New Roman" w:hAnsi="Times New Roman" w:eastAsia="宋体" w:cs="Times New Roman"/>
                <w:szCs w:val="21"/>
                <w:highlight w:val="none"/>
                <w:lang w:val="en-US" w:eastAsia="zh-CN"/>
              </w:rPr>
            </w:pPr>
            <w:r>
              <w:rPr>
                <w:rFonts w:hint="eastAsia" w:ascii="Times New Roman" w:hAnsi="Times New Roman" w:cs="Times New Roman"/>
                <w:szCs w:val="21"/>
                <w:highlight w:val="none"/>
                <w:lang w:val="en-US" w:eastAsia="zh-CN"/>
              </w:rPr>
              <w:t>55</w:t>
            </w:r>
          </w:p>
        </w:tc>
        <w:tc>
          <w:tcPr>
            <w:tcW w:w="1779" w:type="dxa"/>
            <w:noWrap w:val="0"/>
            <w:vAlign w:val="center"/>
          </w:tcPr>
          <w:p w14:paraId="6F7CE728">
            <w:pPr>
              <w:jc w:val="center"/>
              <w:textAlignment w:val="center"/>
              <w:rPr>
                <w:rFonts w:hint="default" w:ascii="Times New Roman" w:hAnsi="Times New Roman" w:eastAsia="宋体" w:cs="Times New Roman"/>
                <w:szCs w:val="21"/>
                <w:highlight w:val="none"/>
                <w:lang w:val="en-US" w:eastAsia="zh-CN" w:bidi="ar"/>
              </w:rPr>
            </w:pPr>
            <w:r>
              <w:rPr>
                <w:rFonts w:hint="eastAsia" w:ascii="Times New Roman" w:hAnsi="Times New Roman" w:cs="Times New Roman"/>
                <w:szCs w:val="21"/>
                <w:highlight w:val="none"/>
                <w:lang w:val="en-US" w:eastAsia="zh-CN" w:bidi="ar"/>
              </w:rPr>
              <w:t>45</w:t>
            </w:r>
          </w:p>
        </w:tc>
      </w:tr>
    </w:tbl>
    <w:p w14:paraId="43CF6C79">
      <w:pPr>
        <w:spacing w:line="500" w:lineRule="exact"/>
        <w:ind w:firstLine="482" w:firstLineChars="200"/>
        <w:rPr>
          <w:rFonts w:ascii="Times New Roman" w:hAnsi="Times New Roman" w:cs="Times New Roman"/>
          <w:b/>
        </w:rPr>
      </w:pPr>
      <w:r>
        <w:rPr>
          <w:rFonts w:ascii="Times New Roman" w:hAnsi="Times New Roman" w:cs="Times New Roman"/>
          <w:b/>
        </w:rPr>
        <w:t>监测结果分析：</w:t>
      </w:r>
    </w:p>
    <w:p w14:paraId="1A0E0344">
      <w:pPr>
        <w:spacing w:line="500" w:lineRule="exact"/>
        <w:ind w:firstLine="482"/>
        <w:jc w:val="both"/>
        <w:rPr>
          <w:rFonts w:hint="default" w:ascii="Times New Roman" w:hAnsi="Times New Roman" w:eastAsia="宋体" w:cs="Times New Roman"/>
          <w:lang w:val="en-US" w:eastAsia="zh-CN"/>
        </w:rPr>
      </w:pPr>
      <w:r>
        <w:rPr>
          <w:rFonts w:ascii="Times New Roman" w:hAnsi="Times New Roman" w:cs="Times New Roman"/>
        </w:rPr>
        <w:t>由统计结果可以看出，本项目</w:t>
      </w:r>
      <w:r>
        <w:rPr>
          <w:rFonts w:hint="eastAsia" w:ascii="Times New Roman" w:hAnsi="Times New Roman" w:cs="Times New Roman"/>
        </w:rPr>
        <w:t>厂界东侧，西侧，北侧噪声值满足《工业企业厂界环境噪声排放标准(GB12348-2008)》中2类标准(2类：昼间60dB(A)，夜间50dB(A))要求。厂界南侧噪声值满足《工业企业厂界环境噪声排放标准(GB12348-2008)》中4类标准(4类：昼间70dB(A)，夜间55dB(A))要求</w:t>
      </w:r>
      <w:r>
        <w:rPr>
          <w:rFonts w:ascii="Times New Roman" w:hAnsi="Times New Roman" w:cs="Times New Roman"/>
        </w:rPr>
        <w:t>。</w:t>
      </w:r>
      <w:r>
        <w:rPr>
          <w:rFonts w:hint="eastAsia" w:ascii="Times New Roman" w:hAnsi="Times New Roman" w:cs="Times New Roman"/>
          <w:lang w:val="en-US" w:eastAsia="zh-CN"/>
        </w:rPr>
        <w:t>本项目北侧、西侧居民监测点声环境满足《声环境质量标准》（GB 3096-2008）1类标准。</w:t>
      </w:r>
    </w:p>
    <w:p w14:paraId="00CF04BE">
      <w:pPr>
        <w:spacing w:line="500" w:lineRule="exact"/>
        <w:ind w:firstLine="480" w:firstLineChars="200"/>
        <w:jc w:val="both"/>
        <w:rPr>
          <w:rFonts w:ascii="Times New Roman" w:hAnsi="Times New Roman" w:cs="Times New Roman"/>
        </w:rPr>
      </w:pPr>
    </w:p>
    <w:p w14:paraId="7AD15FD8">
      <w:pPr>
        <w:pStyle w:val="7"/>
      </w:pPr>
      <w:bookmarkStart w:id="415" w:name="_Toc90026286"/>
      <w:bookmarkStart w:id="416" w:name="_Toc1584"/>
      <w:r>
        <w:rPr>
          <w:rFonts w:hint="eastAsia"/>
          <w:lang w:eastAsia="zh-CN"/>
        </w:rPr>
        <w:t>4</w:t>
      </w:r>
      <w:r>
        <w:t>.2.</w:t>
      </w:r>
      <w:r>
        <w:rPr>
          <w:rFonts w:hint="eastAsia"/>
          <w:lang w:eastAsia="zh-CN"/>
        </w:rPr>
        <w:t>3</w:t>
      </w:r>
      <w:r>
        <w:t xml:space="preserve"> 土壤环境质量现状监测与评价</w:t>
      </w:r>
      <w:bookmarkEnd w:id="415"/>
      <w:bookmarkEnd w:id="416"/>
    </w:p>
    <w:p w14:paraId="2BAA6C40">
      <w:pPr>
        <w:spacing w:line="500" w:lineRule="exact"/>
        <w:ind w:firstLine="352" w:firstLineChars="147"/>
        <w:rPr>
          <w:rFonts w:hint="eastAsia" w:ascii="Times New Roman" w:hAnsi="Times New Roman" w:cs="Times New Roman"/>
          <w:b/>
        </w:rPr>
      </w:pPr>
      <w:r>
        <w:rPr>
          <w:rFonts w:hint="eastAsia" w:ascii="Times New Roman" w:hAnsi="Times New Roman" w:cs="Times New Roman"/>
        </w:rPr>
        <w:t>本次土壤环境的现状调查</w:t>
      </w:r>
      <w:r>
        <w:rPr>
          <w:rFonts w:ascii="Times New Roman" w:hAnsi="Times New Roman" w:cs="Times New Roman"/>
        </w:rPr>
        <w:t>委托</w:t>
      </w:r>
      <w:r>
        <w:rPr>
          <w:rFonts w:hint="eastAsia" w:ascii="Times New Roman" w:hAnsi="Times New Roman" w:cs="Times New Roman"/>
        </w:rPr>
        <w:t>辽宁卓大环境检测有限公司</w:t>
      </w:r>
      <w:r>
        <w:rPr>
          <w:rFonts w:ascii="Times New Roman" w:hAnsi="Times New Roman" w:cs="Times New Roman"/>
        </w:rPr>
        <w:t>进行现场监测，检测报告见附件。</w:t>
      </w:r>
    </w:p>
    <w:p w14:paraId="31E55515">
      <w:pPr>
        <w:spacing w:line="500" w:lineRule="exact"/>
        <w:ind w:firstLine="354" w:firstLineChars="147"/>
        <w:rPr>
          <w:rFonts w:ascii="Times New Roman" w:hAnsi="Times New Roman" w:cs="Times New Roman"/>
          <w:b/>
        </w:rPr>
      </w:pPr>
      <w:r>
        <w:rPr>
          <w:rFonts w:ascii="Times New Roman" w:hAnsi="Times New Roman" w:cs="Times New Roman"/>
          <w:b/>
        </w:rPr>
        <w:t>（1）监测点位</w:t>
      </w:r>
    </w:p>
    <w:p w14:paraId="7981AE2E">
      <w:pPr>
        <w:spacing w:line="500" w:lineRule="exact"/>
        <w:ind w:firstLine="480"/>
        <w:rPr>
          <w:rFonts w:ascii="Times New Roman" w:hAnsi="Times New Roman" w:cs="Times New Roman"/>
        </w:rPr>
      </w:pPr>
      <w:r>
        <w:rPr>
          <w:rFonts w:ascii="Times New Roman" w:hAnsi="Times New Roman" w:cs="Times New Roman"/>
        </w:rPr>
        <w:t>本次土壤环境质量现状调查设置6个监测点位，具体位置见表</w:t>
      </w:r>
      <w:r>
        <w:rPr>
          <w:rFonts w:hint="eastAsia" w:ascii="Times New Roman" w:hAnsi="Times New Roman" w:cs="Times New Roman"/>
        </w:rPr>
        <w:t>4.2-8</w:t>
      </w:r>
      <w:r>
        <w:rPr>
          <w:rFonts w:ascii="Times New Roman" w:hAnsi="Times New Roman" w:cs="Times New Roman"/>
        </w:rPr>
        <w:t>及图</w:t>
      </w:r>
      <w:r>
        <w:rPr>
          <w:rFonts w:hint="eastAsia" w:ascii="Times New Roman" w:hAnsi="Times New Roman" w:cs="Times New Roman"/>
        </w:rPr>
        <w:t>4.2-1</w:t>
      </w:r>
      <w:r>
        <w:rPr>
          <w:rFonts w:ascii="Times New Roman" w:hAnsi="Times New Roman" w:cs="Times New Roman"/>
        </w:rPr>
        <w:t>。</w:t>
      </w:r>
    </w:p>
    <w:p w14:paraId="37F03581">
      <w:pPr>
        <w:pStyle w:val="131"/>
        <w:adjustRightInd/>
        <w:snapToGrid/>
        <w:spacing w:line="360" w:lineRule="auto"/>
        <w:ind w:left="0" w:firstLine="0"/>
        <w:rPr>
          <w:rFonts w:ascii="Times New Roman" w:hAnsi="Times New Roman" w:cs="Times New Roman"/>
        </w:rPr>
      </w:pPr>
      <w:r>
        <w:rPr>
          <w:rFonts w:ascii="Times New Roman" w:hAnsi="Times New Roman" w:cs="Times New Roman"/>
        </w:rPr>
        <w:t>表</w:t>
      </w:r>
      <w:r>
        <w:rPr>
          <w:rFonts w:hint="eastAsia" w:ascii="Times New Roman" w:hAnsi="Times New Roman" w:cs="Times New Roman"/>
        </w:rPr>
        <w:t>4.2-8</w:t>
      </w:r>
      <w:r>
        <w:rPr>
          <w:rFonts w:ascii="Times New Roman" w:hAnsi="Times New Roman" w:cs="Times New Roman"/>
        </w:rPr>
        <w:t xml:space="preserve">  土壤现状监测点位</w:t>
      </w:r>
    </w:p>
    <w:tbl>
      <w:tblPr>
        <w:tblStyle w:val="56"/>
        <w:tblW w:w="5000" w:type="pct"/>
        <w:jc w:val="center"/>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863"/>
        <w:gridCol w:w="2294"/>
        <w:gridCol w:w="2032"/>
        <w:gridCol w:w="3532"/>
      </w:tblGrid>
      <w:tr w14:paraId="0A4CB091">
        <w:tblPrEx>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397" w:hRule="atLeast"/>
          <w:tblHeader/>
          <w:jc w:val="center"/>
        </w:trPr>
        <w:tc>
          <w:tcPr>
            <w:tcW w:w="495" w:type="pct"/>
            <w:tcBorders>
              <w:top w:val="thinThickSmallGap" w:color="auto" w:sz="12" w:space="0"/>
              <w:left w:val="nil"/>
              <w:bottom w:val="single" w:color="auto" w:sz="4" w:space="0"/>
              <w:right w:val="single" w:color="auto" w:sz="4" w:space="0"/>
            </w:tcBorders>
            <w:shd w:val="clear" w:color="auto" w:fill="DDDDDD"/>
            <w:noWrap w:val="0"/>
            <w:vAlign w:val="center"/>
          </w:tcPr>
          <w:p w14:paraId="6DD0884D">
            <w:pPr>
              <w:autoSpaceDE w:val="0"/>
              <w:autoSpaceDN w:val="0"/>
              <w:adjustRightInd w:val="0"/>
              <w:jc w:val="center"/>
              <w:rPr>
                <w:rFonts w:ascii="Times New Roman" w:hAnsi="Times New Roman" w:cs="Times New Roman"/>
                <w:sz w:val="21"/>
                <w:szCs w:val="21"/>
              </w:rPr>
            </w:pPr>
            <w:r>
              <w:rPr>
                <w:rFonts w:ascii="Times New Roman" w:hAnsi="Times New Roman" w:cs="Times New Roman"/>
                <w:sz w:val="21"/>
                <w:szCs w:val="21"/>
              </w:rPr>
              <w:t>点位</w:t>
            </w:r>
          </w:p>
        </w:tc>
        <w:tc>
          <w:tcPr>
            <w:tcW w:w="1315" w:type="pct"/>
            <w:tcBorders>
              <w:top w:val="thinThickSmallGap" w:color="auto" w:sz="12" w:space="0"/>
              <w:left w:val="single" w:color="auto" w:sz="4" w:space="0"/>
              <w:bottom w:val="single" w:color="auto" w:sz="4" w:space="0"/>
              <w:right w:val="single" w:color="auto" w:sz="4" w:space="0"/>
            </w:tcBorders>
            <w:shd w:val="clear" w:color="auto" w:fill="DDDDDD"/>
            <w:noWrap w:val="0"/>
            <w:vAlign w:val="center"/>
          </w:tcPr>
          <w:p w14:paraId="670EB052">
            <w:pPr>
              <w:autoSpaceDE w:val="0"/>
              <w:autoSpaceDN w:val="0"/>
              <w:adjustRightInd w:val="0"/>
              <w:jc w:val="center"/>
              <w:rPr>
                <w:rFonts w:ascii="Times New Roman" w:hAnsi="Times New Roman" w:cs="Times New Roman"/>
                <w:sz w:val="21"/>
                <w:szCs w:val="21"/>
              </w:rPr>
            </w:pPr>
            <w:r>
              <w:rPr>
                <w:rFonts w:ascii="Times New Roman" w:hAnsi="Times New Roman" w:cs="Times New Roman"/>
                <w:sz w:val="21"/>
                <w:szCs w:val="21"/>
              </w:rPr>
              <w:t>监测点位名称</w:t>
            </w:r>
          </w:p>
        </w:tc>
        <w:tc>
          <w:tcPr>
            <w:tcW w:w="1165" w:type="pct"/>
            <w:tcBorders>
              <w:top w:val="thinThickSmallGap" w:color="auto" w:sz="12" w:space="0"/>
              <w:left w:val="single" w:color="auto" w:sz="4" w:space="0"/>
              <w:bottom w:val="single" w:color="auto" w:sz="4" w:space="0"/>
              <w:right w:val="single" w:color="auto" w:sz="4" w:space="0"/>
            </w:tcBorders>
            <w:shd w:val="clear" w:color="auto" w:fill="DDDDDD"/>
            <w:noWrap w:val="0"/>
            <w:vAlign w:val="center"/>
          </w:tcPr>
          <w:p w14:paraId="3EF0287A">
            <w:pPr>
              <w:autoSpaceDE w:val="0"/>
              <w:autoSpaceDN w:val="0"/>
              <w:adjustRightInd w:val="0"/>
              <w:jc w:val="center"/>
              <w:rPr>
                <w:rFonts w:ascii="Times New Roman" w:hAnsi="Times New Roman" w:cs="Times New Roman"/>
                <w:sz w:val="21"/>
                <w:szCs w:val="21"/>
              </w:rPr>
            </w:pPr>
            <w:r>
              <w:rPr>
                <w:rFonts w:ascii="Times New Roman" w:hAnsi="Times New Roman" w:cs="Times New Roman"/>
                <w:sz w:val="21"/>
                <w:szCs w:val="21"/>
              </w:rPr>
              <w:t>采样类型</w:t>
            </w:r>
          </w:p>
        </w:tc>
        <w:tc>
          <w:tcPr>
            <w:tcW w:w="2025" w:type="pct"/>
            <w:tcBorders>
              <w:top w:val="thinThickSmallGap" w:color="auto" w:sz="12" w:space="0"/>
              <w:left w:val="single" w:color="auto" w:sz="4" w:space="0"/>
              <w:bottom w:val="single" w:color="auto" w:sz="4" w:space="0"/>
              <w:right w:val="nil"/>
            </w:tcBorders>
            <w:shd w:val="clear" w:color="auto" w:fill="DDDDDD"/>
            <w:noWrap w:val="0"/>
            <w:vAlign w:val="center"/>
          </w:tcPr>
          <w:p w14:paraId="3F68177D">
            <w:pPr>
              <w:autoSpaceDE w:val="0"/>
              <w:autoSpaceDN w:val="0"/>
              <w:adjustRightInd w:val="0"/>
              <w:jc w:val="center"/>
              <w:rPr>
                <w:rFonts w:ascii="Times New Roman" w:hAnsi="Times New Roman" w:cs="Times New Roman"/>
                <w:sz w:val="21"/>
                <w:szCs w:val="21"/>
              </w:rPr>
            </w:pPr>
            <w:r>
              <w:rPr>
                <w:rFonts w:ascii="Times New Roman" w:hAnsi="Times New Roman" w:cs="Times New Roman"/>
                <w:sz w:val="21"/>
                <w:szCs w:val="21"/>
              </w:rPr>
              <w:t>经纬度</w:t>
            </w:r>
          </w:p>
        </w:tc>
      </w:tr>
      <w:tr w14:paraId="7BDEF747">
        <w:tblPrEx>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495" w:type="pct"/>
            <w:tcBorders>
              <w:top w:val="single" w:color="auto" w:sz="4" w:space="0"/>
              <w:left w:val="nil"/>
              <w:bottom w:val="single" w:color="auto" w:sz="4" w:space="0"/>
              <w:right w:val="single" w:color="auto" w:sz="4" w:space="0"/>
            </w:tcBorders>
            <w:noWrap w:val="0"/>
            <w:vAlign w:val="center"/>
          </w:tcPr>
          <w:p w14:paraId="75650CBC">
            <w:pPr>
              <w:autoSpaceDE w:val="0"/>
              <w:autoSpaceDN w:val="0"/>
              <w:adjustRightInd w:val="0"/>
              <w:jc w:val="center"/>
              <w:rPr>
                <w:rFonts w:ascii="Times New Roman" w:hAnsi="Times New Roman" w:cs="Times New Roman"/>
                <w:sz w:val="21"/>
                <w:szCs w:val="21"/>
              </w:rPr>
            </w:pPr>
            <w:r>
              <w:rPr>
                <w:rFonts w:ascii="Times New Roman" w:hAnsi="Times New Roman" w:cs="Times New Roman"/>
                <w:sz w:val="21"/>
                <w:szCs w:val="21"/>
              </w:rPr>
              <w:t>1#</w:t>
            </w:r>
          </w:p>
        </w:tc>
        <w:tc>
          <w:tcPr>
            <w:tcW w:w="1315" w:type="pct"/>
            <w:tcBorders>
              <w:top w:val="single" w:color="auto" w:sz="4" w:space="0"/>
              <w:left w:val="single" w:color="auto" w:sz="4" w:space="0"/>
              <w:bottom w:val="single" w:color="auto" w:sz="4" w:space="0"/>
              <w:right w:val="single" w:color="auto" w:sz="4" w:space="0"/>
            </w:tcBorders>
            <w:noWrap w:val="0"/>
            <w:vAlign w:val="center"/>
          </w:tcPr>
          <w:p w14:paraId="186C2CE9">
            <w:pPr>
              <w:autoSpaceDE w:val="0"/>
              <w:autoSpaceDN w:val="0"/>
              <w:adjustRightInd w:val="0"/>
              <w:jc w:val="center"/>
              <w:rPr>
                <w:rFonts w:ascii="Times New Roman" w:hAnsi="Times New Roman" w:cs="Times New Roman"/>
                <w:sz w:val="21"/>
                <w:szCs w:val="21"/>
              </w:rPr>
            </w:pPr>
            <w:r>
              <w:rPr>
                <w:rFonts w:hint="default" w:ascii="Times New Roman" w:hAnsi="Times New Roman" w:eastAsia="宋体" w:cs="Times New Roman"/>
                <w:b w:val="0"/>
                <w:bCs w:val="0"/>
                <w:snapToGrid w:val="0"/>
                <w:color w:val="auto"/>
                <w:kern w:val="0"/>
                <w:sz w:val="21"/>
                <w:szCs w:val="21"/>
                <w:lang w:val="en-US" w:eastAsia="zh-CN"/>
              </w:rPr>
              <w:t>T1厂区内东北侧</w:t>
            </w:r>
          </w:p>
        </w:tc>
        <w:tc>
          <w:tcPr>
            <w:tcW w:w="1165" w:type="pct"/>
            <w:tcBorders>
              <w:top w:val="single" w:color="auto" w:sz="4" w:space="0"/>
              <w:left w:val="single" w:color="auto" w:sz="4" w:space="0"/>
              <w:bottom w:val="single" w:color="auto" w:sz="4" w:space="0"/>
              <w:right w:val="single" w:color="auto" w:sz="4" w:space="0"/>
            </w:tcBorders>
            <w:noWrap w:val="0"/>
            <w:vAlign w:val="center"/>
          </w:tcPr>
          <w:p w14:paraId="4482DA97">
            <w:pPr>
              <w:pStyle w:val="248"/>
              <w:spacing w:line="240" w:lineRule="auto"/>
              <w:rPr>
                <w:rFonts w:ascii="Times New Roman" w:hAnsi="Times New Roman"/>
                <w:szCs w:val="21"/>
              </w:rPr>
            </w:pPr>
            <w:r>
              <w:rPr>
                <w:rFonts w:ascii="Times New Roman" w:hAnsi="Times New Roman"/>
                <w:snapToGrid/>
                <w:szCs w:val="21"/>
              </w:rPr>
              <w:t>柱状样点</w:t>
            </w:r>
          </w:p>
        </w:tc>
        <w:tc>
          <w:tcPr>
            <w:tcW w:w="2025" w:type="pct"/>
            <w:tcBorders>
              <w:top w:val="single" w:color="auto" w:sz="4" w:space="0"/>
              <w:left w:val="single" w:color="auto" w:sz="4" w:space="0"/>
              <w:bottom w:val="single" w:color="auto" w:sz="4" w:space="0"/>
              <w:right w:val="nil"/>
            </w:tcBorders>
            <w:noWrap w:val="0"/>
            <w:vAlign w:val="center"/>
          </w:tcPr>
          <w:p w14:paraId="1D62E916">
            <w:pPr>
              <w:pStyle w:val="248"/>
              <w:rPr>
                <w:rFonts w:ascii="Times New Roman" w:hAnsi="Times New Roman"/>
                <w:szCs w:val="21"/>
                <w:highlight w:val="yellow"/>
              </w:rPr>
            </w:pPr>
            <w:r>
              <w:rPr>
                <w:rFonts w:hint="eastAsia" w:ascii="Times New Roman" w:hAnsi="Times New Roman"/>
                <w:szCs w:val="21"/>
                <w:highlight w:val="yellow"/>
              </w:rPr>
              <w:t>E 122.84826268°，N 41.06106375°</w:t>
            </w:r>
          </w:p>
        </w:tc>
      </w:tr>
      <w:tr w14:paraId="3E6747C4">
        <w:tblPrEx>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495" w:type="pct"/>
            <w:tcBorders>
              <w:top w:val="single" w:color="auto" w:sz="4" w:space="0"/>
              <w:left w:val="nil"/>
              <w:bottom w:val="single" w:color="auto" w:sz="4" w:space="0"/>
              <w:right w:val="single" w:color="auto" w:sz="4" w:space="0"/>
            </w:tcBorders>
            <w:noWrap w:val="0"/>
            <w:vAlign w:val="center"/>
          </w:tcPr>
          <w:p w14:paraId="445DE6C2">
            <w:pPr>
              <w:autoSpaceDE w:val="0"/>
              <w:autoSpaceDN w:val="0"/>
              <w:adjustRightInd w:val="0"/>
              <w:jc w:val="center"/>
              <w:rPr>
                <w:rFonts w:ascii="Times New Roman" w:hAnsi="Times New Roman" w:cs="Times New Roman"/>
                <w:sz w:val="21"/>
                <w:szCs w:val="21"/>
              </w:rPr>
            </w:pPr>
            <w:r>
              <w:rPr>
                <w:rFonts w:ascii="Times New Roman" w:hAnsi="Times New Roman" w:cs="Times New Roman"/>
                <w:sz w:val="21"/>
                <w:szCs w:val="21"/>
              </w:rPr>
              <w:t>2#</w:t>
            </w:r>
          </w:p>
        </w:tc>
        <w:tc>
          <w:tcPr>
            <w:tcW w:w="1315" w:type="pct"/>
            <w:tcBorders>
              <w:top w:val="single" w:color="auto" w:sz="4" w:space="0"/>
              <w:left w:val="single" w:color="auto" w:sz="4" w:space="0"/>
              <w:bottom w:val="single" w:color="auto" w:sz="4" w:space="0"/>
              <w:right w:val="single" w:color="auto" w:sz="4" w:space="0"/>
            </w:tcBorders>
            <w:noWrap w:val="0"/>
            <w:vAlign w:val="center"/>
          </w:tcPr>
          <w:p w14:paraId="79B640DE">
            <w:pPr>
              <w:autoSpaceDE w:val="0"/>
              <w:autoSpaceDN w:val="0"/>
              <w:adjustRightInd w:val="0"/>
              <w:jc w:val="center"/>
              <w:rPr>
                <w:rFonts w:ascii="Times New Roman" w:hAnsi="Times New Roman" w:cs="Times New Roman"/>
                <w:sz w:val="21"/>
                <w:szCs w:val="21"/>
              </w:rPr>
            </w:pPr>
            <w:r>
              <w:rPr>
                <w:rFonts w:hint="default" w:ascii="Times New Roman" w:hAnsi="Times New Roman" w:eastAsia="宋体" w:cs="Times New Roman"/>
                <w:b w:val="0"/>
                <w:bCs w:val="0"/>
                <w:snapToGrid w:val="0"/>
                <w:color w:val="auto"/>
                <w:kern w:val="0"/>
                <w:sz w:val="21"/>
                <w:szCs w:val="21"/>
                <w:lang w:val="en-US" w:eastAsia="zh-CN"/>
              </w:rPr>
              <w:t>T2厂区内菜地</w:t>
            </w:r>
          </w:p>
        </w:tc>
        <w:tc>
          <w:tcPr>
            <w:tcW w:w="1165" w:type="pct"/>
            <w:tcBorders>
              <w:top w:val="single" w:color="auto" w:sz="4" w:space="0"/>
              <w:left w:val="single" w:color="auto" w:sz="4" w:space="0"/>
              <w:bottom w:val="single" w:color="auto" w:sz="4" w:space="0"/>
              <w:right w:val="single" w:color="auto" w:sz="4" w:space="0"/>
            </w:tcBorders>
            <w:noWrap w:val="0"/>
            <w:vAlign w:val="center"/>
          </w:tcPr>
          <w:p w14:paraId="4B0F018E">
            <w:pPr>
              <w:pStyle w:val="248"/>
              <w:spacing w:line="240" w:lineRule="auto"/>
              <w:rPr>
                <w:rFonts w:ascii="Times New Roman" w:hAnsi="Times New Roman"/>
                <w:snapToGrid/>
                <w:szCs w:val="21"/>
              </w:rPr>
            </w:pPr>
            <w:r>
              <w:rPr>
                <w:rFonts w:ascii="Times New Roman" w:hAnsi="Times New Roman"/>
                <w:snapToGrid/>
                <w:szCs w:val="21"/>
              </w:rPr>
              <w:t>柱状样点</w:t>
            </w:r>
          </w:p>
        </w:tc>
        <w:tc>
          <w:tcPr>
            <w:tcW w:w="2025" w:type="pct"/>
            <w:tcBorders>
              <w:top w:val="single" w:color="auto" w:sz="4" w:space="0"/>
              <w:left w:val="single" w:color="auto" w:sz="4" w:space="0"/>
              <w:bottom w:val="single" w:color="auto" w:sz="4" w:space="0"/>
              <w:right w:val="nil"/>
            </w:tcBorders>
            <w:noWrap w:val="0"/>
            <w:vAlign w:val="center"/>
          </w:tcPr>
          <w:p w14:paraId="6B4D8705">
            <w:pPr>
              <w:pStyle w:val="248"/>
              <w:rPr>
                <w:rFonts w:ascii="Times New Roman" w:hAnsi="Times New Roman"/>
                <w:szCs w:val="21"/>
                <w:highlight w:val="yellow"/>
              </w:rPr>
            </w:pPr>
            <w:r>
              <w:rPr>
                <w:rFonts w:hint="eastAsia" w:ascii="Times New Roman" w:hAnsi="Times New Roman"/>
                <w:szCs w:val="21"/>
                <w:highlight w:val="yellow"/>
              </w:rPr>
              <w:t>E 122.85304874°，N 41.06170322°</w:t>
            </w:r>
          </w:p>
        </w:tc>
      </w:tr>
      <w:tr w14:paraId="01BB1DA7">
        <w:tblPrEx>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495" w:type="pct"/>
            <w:tcBorders>
              <w:top w:val="single" w:color="auto" w:sz="4" w:space="0"/>
              <w:left w:val="nil"/>
              <w:bottom w:val="single" w:color="auto" w:sz="4" w:space="0"/>
              <w:right w:val="single" w:color="auto" w:sz="4" w:space="0"/>
            </w:tcBorders>
            <w:noWrap w:val="0"/>
            <w:vAlign w:val="center"/>
          </w:tcPr>
          <w:p w14:paraId="20242B90">
            <w:pPr>
              <w:autoSpaceDE w:val="0"/>
              <w:autoSpaceDN w:val="0"/>
              <w:adjustRightInd w:val="0"/>
              <w:jc w:val="center"/>
              <w:rPr>
                <w:rFonts w:ascii="Times New Roman" w:hAnsi="Times New Roman" w:cs="Times New Roman"/>
                <w:sz w:val="21"/>
                <w:szCs w:val="21"/>
              </w:rPr>
            </w:pPr>
            <w:r>
              <w:rPr>
                <w:rFonts w:ascii="Times New Roman" w:hAnsi="Times New Roman" w:cs="Times New Roman"/>
                <w:sz w:val="21"/>
                <w:szCs w:val="21"/>
              </w:rPr>
              <w:t>3#</w:t>
            </w:r>
          </w:p>
        </w:tc>
        <w:tc>
          <w:tcPr>
            <w:tcW w:w="1315" w:type="pct"/>
            <w:tcBorders>
              <w:top w:val="single" w:color="auto" w:sz="4" w:space="0"/>
              <w:left w:val="single" w:color="auto" w:sz="4" w:space="0"/>
              <w:bottom w:val="single" w:color="auto" w:sz="4" w:space="0"/>
              <w:right w:val="single" w:color="auto" w:sz="4" w:space="0"/>
            </w:tcBorders>
            <w:noWrap w:val="0"/>
            <w:vAlign w:val="center"/>
          </w:tcPr>
          <w:p w14:paraId="4D4D1525">
            <w:pPr>
              <w:autoSpaceDE w:val="0"/>
              <w:autoSpaceDN w:val="0"/>
              <w:adjustRightInd w:val="0"/>
              <w:jc w:val="center"/>
              <w:rPr>
                <w:rFonts w:ascii="Times New Roman" w:hAnsi="Times New Roman" w:cs="Times New Roman"/>
                <w:sz w:val="21"/>
                <w:szCs w:val="21"/>
              </w:rPr>
            </w:pPr>
            <w:r>
              <w:rPr>
                <w:rFonts w:hint="default" w:ascii="Times New Roman" w:hAnsi="Times New Roman" w:eastAsia="宋体" w:cs="Times New Roman"/>
                <w:b w:val="0"/>
                <w:bCs w:val="0"/>
                <w:snapToGrid w:val="0"/>
                <w:color w:val="auto"/>
                <w:kern w:val="0"/>
                <w:sz w:val="21"/>
                <w:szCs w:val="21"/>
                <w:lang w:val="en-US" w:eastAsia="zh-CN"/>
              </w:rPr>
              <w:t>T3厂区内东侧</w:t>
            </w:r>
          </w:p>
        </w:tc>
        <w:tc>
          <w:tcPr>
            <w:tcW w:w="1165" w:type="pct"/>
            <w:tcBorders>
              <w:top w:val="single" w:color="auto" w:sz="4" w:space="0"/>
              <w:left w:val="single" w:color="auto" w:sz="4" w:space="0"/>
              <w:bottom w:val="single" w:color="auto" w:sz="4" w:space="0"/>
              <w:right w:val="single" w:color="auto" w:sz="4" w:space="0"/>
            </w:tcBorders>
            <w:noWrap w:val="0"/>
            <w:vAlign w:val="center"/>
          </w:tcPr>
          <w:p w14:paraId="0CD00AA4">
            <w:pPr>
              <w:pStyle w:val="248"/>
              <w:spacing w:line="240" w:lineRule="auto"/>
              <w:rPr>
                <w:rFonts w:ascii="Times New Roman" w:hAnsi="Times New Roman"/>
                <w:snapToGrid/>
                <w:szCs w:val="21"/>
              </w:rPr>
            </w:pPr>
            <w:r>
              <w:rPr>
                <w:rFonts w:ascii="Times New Roman" w:hAnsi="Times New Roman"/>
                <w:snapToGrid/>
                <w:szCs w:val="21"/>
              </w:rPr>
              <w:t>柱状样点</w:t>
            </w:r>
          </w:p>
        </w:tc>
        <w:tc>
          <w:tcPr>
            <w:tcW w:w="2025" w:type="pct"/>
            <w:tcBorders>
              <w:top w:val="single" w:color="auto" w:sz="4" w:space="0"/>
              <w:left w:val="single" w:color="auto" w:sz="4" w:space="0"/>
              <w:bottom w:val="single" w:color="auto" w:sz="4" w:space="0"/>
              <w:right w:val="nil"/>
            </w:tcBorders>
            <w:noWrap w:val="0"/>
            <w:vAlign w:val="center"/>
          </w:tcPr>
          <w:p w14:paraId="1F557426">
            <w:pPr>
              <w:pStyle w:val="248"/>
              <w:rPr>
                <w:rFonts w:ascii="Times New Roman" w:hAnsi="Times New Roman"/>
                <w:szCs w:val="21"/>
                <w:highlight w:val="yellow"/>
              </w:rPr>
            </w:pPr>
            <w:r>
              <w:rPr>
                <w:rFonts w:hint="eastAsia" w:ascii="Times New Roman" w:hAnsi="Times New Roman"/>
                <w:szCs w:val="21"/>
                <w:highlight w:val="yellow"/>
              </w:rPr>
              <w:t>E 122.84716574°，N 41.06290531°</w:t>
            </w:r>
          </w:p>
        </w:tc>
      </w:tr>
      <w:tr w14:paraId="3CCBF03C">
        <w:tblPrEx>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495" w:type="pct"/>
            <w:tcBorders>
              <w:top w:val="single" w:color="auto" w:sz="4" w:space="0"/>
              <w:left w:val="nil"/>
              <w:bottom w:val="single" w:color="auto" w:sz="4" w:space="0"/>
              <w:right w:val="single" w:color="auto" w:sz="4" w:space="0"/>
            </w:tcBorders>
            <w:noWrap w:val="0"/>
            <w:vAlign w:val="center"/>
          </w:tcPr>
          <w:p w14:paraId="6F9502CB">
            <w:pPr>
              <w:autoSpaceDE w:val="0"/>
              <w:autoSpaceDN w:val="0"/>
              <w:adjustRightInd w:val="0"/>
              <w:jc w:val="center"/>
              <w:rPr>
                <w:rFonts w:ascii="Times New Roman" w:hAnsi="Times New Roman" w:cs="Times New Roman"/>
                <w:sz w:val="21"/>
                <w:szCs w:val="21"/>
              </w:rPr>
            </w:pPr>
            <w:r>
              <w:rPr>
                <w:rFonts w:ascii="Times New Roman" w:hAnsi="Times New Roman" w:cs="Times New Roman"/>
                <w:sz w:val="21"/>
                <w:szCs w:val="21"/>
              </w:rPr>
              <w:t>4#</w:t>
            </w:r>
          </w:p>
        </w:tc>
        <w:tc>
          <w:tcPr>
            <w:tcW w:w="2294" w:type="dxa"/>
            <w:tcBorders>
              <w:top w:val="single" w:color="auto" w:sz="4" w:space="0"/>
              <w:left w:val="single" w:color="auto" w:sz="4" w:space="0"/>
              <w:bottom w:val="single" w:color="auto" w:sz="4" w:space="0"/>
              <w:right w:val="single" w:color="auto" w:sz="4" w:space="0"/>
            </w:tcBorders>
            <w:noWrap w:val="0"/>
            <w:vAlign w:val="center"/>
          </w:tcPr>
          <w:p w14:paraId="6FCE09BA">
            <w:pPr>
              <w:tabs>
                <w:tab w:val="left" w:pos="471"/>
              </w:tabs>
              <w:spacing w:line="240" w:lineRule="auto"/>
              <w:jc w:val="center"/>
              <w:rPr>
                <w:rFonts w:ascii="Times New Roman" w:hAnsi="Times New Roman" w:cs="Times New Roman"/>
                <w:sz w:val="21"/>
                <w:szCs w:val="21"/>
              </w:rPr>
            </w:pPr>
            <w:r>
              <w:rPr>
                <w:rFonts w:hint="default" w:ascii="Times New Roman" w:hAnsi="Times New Roman" w:eastAsia="宋体" w:cs="Times New Roman"/>
                <w:b w:val="0"/>
                <w:bCs w:val="0"/>
                <w:snapToGrid w:val="0"/>
                <w:color w:val="auto"/>
                <w:kern w:val="0"/>
                <w:sz w:val="21"/>
                <w:szCs w:val="21"/>
                <w:lang w:val="en-US" w:eastAsia="zh-CN"/>
              </w:rPr>
              <w:t>T4烧结变电室附近</w:t>
            </w:r>
          </w:p>
        </w:tc>
        <w:tc>
          <w:tcPr>
            <w:tcW w:w="1165" w:type="pct"/>
            <w:tcBorders>
              <w:top w:val="single" w:color="auto" w:sz="4" w:space="0"/>
              <w:left w:val="single" w:color="auto" w:sz="4" w:space="0"/>
              <w:bottom w:val="single" w:color="auto" w:sz="4" w:space="0"/>
              <w:right w:val="single" w:color="auto" w:sz="4" w:space="0"/>
            </w:tcBorders>
            <w:noWrap w:val="0"/>
            <w:vAlign w:val="center"/>
          </w:tcPr>
          <w:p w14:paraId="0A27FCAC">
            <w:pPr>
              <w:pStyle w:val="248"/>
              <w:spacing w:line="240" w:lineRule="auto"/>
              <w:rPr>
                <w:rFonts w:ascii="Times New Roman" w:hAnsi="Times New Roman" w:eastAsia="宋体" w:cs="Times New Roman"/>
                <w:snapToGrid/>
                <w:szCs w:val="21"/>
              </w:rPr>
            </w:pPr>
            <w:r>
              <w:rPr>
                <w:rFonts w:ascii="Times New Roman" w:hAnsi="Times New Roman" w:eastAsia="宋体" w:cs="Times New Roman"/>
                <w:snapToGrid/>
                <w:szCs w:val="21"/>
              </w:rPr>
              <w:t>表层样点</w:t>
            </w:r>
          </w:p>
        </w:tc>
        <w:tc>
          <w:tcPr>
            <w:tcW w:w="2025" w:type="pct"/>
            <w:tcBorders>
              <w:top w:val="single" w:color="auto" w:sz="4" w:space="0"/>
              <w:left w:val="single" w:color="auto" w:sz="4" w:space="0"/>
              <w:bottom w:val="single" w:color="auto" w:sz="4" w:space="0"/>
              <w:right w:val="nil"/>
            </w:tcBorders>
            <w:noWrap w:val="0"/>
            <w:vAlign w:val="center"/>
          </w:tcPr>
          <w:p w14:paraId="06577830">
            <w:pPr>
              <w:pStyle w:val="248"/>
              <w:rPr>
                <w:rFonts w:ascii="Times New Roman" w:hAnsi="Times New Roman"/>
                <w:szCs w:val="21"/>
                <w:highlight w:val="yellow"/>
              </w:rPr>
            </w:pPr>
            <w:r>
              <w:rPr>
                <w:rFonts w:hint="eastAsia" w:ascii="Times New Roman" w:hAnsi="Times New Roman"/>
                <w:szCs w:val="21"/>
                <w:highlight w:val="yellow"/>
              </w:rPr>
              <w:t>E 122.84555474°，N 41.06641055°</w:t>
            </w:r>
          </w:p>
        </w:tc>
      </w:tr>
      <w:tr w14:paraId="2D382DD6">
        <w:tblPrEx>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495" w:type="pct"/>
            <w:tcBorders>
              <w:top w:val="single" w:color="auto" w:sz="4" w:space="0"/>
              <w:left w:val="nil"/>
              <w:bottom w:val="single" w:color="auto" w:sz="4" w:space="0"/>
              <w:right w:val="single" w:color="auto" w:sz="4" w:space="0"/>
            </w:tcBorders>
            <w:noWrap w:val="0"/>
            <w:vAlign w:val="center"/>
          </w:tcPr>
          <w:p w14:paraId="594EEDFC">
            <w:pPr>
              <w:autoSpaceDE w:val="0"/>
              <w:autoSpaceDN w:val="0"/>
              <w:adjustRightInd w:val="0"/>
              <w:jc w:val="center"/>
              <w:rPr>
                <w:rFonts w:ascii="Times New Roman" w:hAnsi="Times New Roman" w:cs="Times New Roman"/>
                <w:sz w:val="21"/>
                <w:szCs w:val="21"/>
              </w:rPr>
            </w:pPr>
            <w:r>
              <w:rPr>
                <w:rFonts w:ascii="Times New Roman" w:hAnsi="Times New Roman" w:cs="Times New Roman"/>
                <w:sz w:val="21"/>
                <w:szCs w:val="21"/>
              </w:rPr>
              <w:t>5#</w:t>
            </w:r>
          </w:p>
        </w:tc>
        <w:tc>
          <w:tcPr>
            <w:tcW w:w="2294" w:type="dxa"/>
            <w:tcBorders>
              <w:top w:val="single" w:color="auto" w:sz="4" w:space="0"/>
              <w:left w:val="single" w:color="auto" w:sz="4" w:space="0"/>
              <w:bottom w:val="single" w:color="auto" w:sz="4" w:space="0"/>
              <w:right w:val="single" w:color="auto" w:sz="4" w:space="0"/>
            </w:tcBorders>
            <w:noWrap w:val="0"/>
            <w:vAlign w:val="center"/>
          </w:tcPr>
          <w:p w14:paraId="049EC0E8">
            <w:pPr>
              <w:tabs>
                <w:tab w:val="left" w:pos="471"/>
              </w:tabs>
              <w:spacing w:line="240" w:lineRule="auto"/>
              <w:jc w:val="center"/>
              <w:rPr>
                <w:rFonts w:ascii="Times New Roman" w:hAnsi="Times New Roman" w:cs="Times New Roman"/>
                <w:sz w:val="21"/>
                <w:szCs w:val="21"/>
              </w:rPr>
            </w:pPr>
            <w:r>
              <w:rPr>
                <w:rFonts w:hint="default" w:ascii="Times New Roman" w:hAnsi="Times New Roman" w:eastAsia="宋体" w:cs="Times New Roman"/>
                <w:b w:val="0"/>
                <w:bCs w:val="0"/>
                <w:snapToGrid w:val="0"/>
                <w:color w:val="auto"/>
                <w:kern w:val="0"/>
                <w:sz w:val="21"/>
                <w:szCs w:val="21"/>
                <w:lang w:val="en-US" w:eastAsia="zh-CN"/>
              </w:rPr>
              <w:t>T5厂界东侧农地</w:t>
            </w:r>
          </w:p>
        </w:tc>
        <w:tc>
          <w:tcPr>
            <w:tcW w:w="1165" w:type="pct"/>
            <w:tcBorders>
              <w:top w:val="single" w:color="auto" w:sz="4" w:space="0"/>
              <w:left w:val="single" w:color="auto" w:sz="4" w:space="0"/>
              <w:bottom w:val="single" w:color="auto" w:sz="4" w:space="0"/>
              <w:right w:val="single" w:color="auto" w:sz="4" w:space="0"/>
            </w:tcBorders>
            <w:noWrap w:val="0"/>
            <w:vAlign w:val="center"/>
          </w:tcPr>
          <w:p w14:paraId="525BA2EC">
            <w:pPr>
              <w:pStyle w:val="248"/>
              <w:spacing w:line="240" w:lineRule="auto"/>
              <w:rPr>
                <w:rFonts w:ascii="Times New Roman" w:hAnsi="Times New Roman" w:eastAsia="宋体" w:cs="Times New Roman"/>
                <w:snapToGrid/>
                <w:szCs w:val="21"/>
              </w:rPr>
            </w:pPr>
            <w:r>
              <w:rPr>
                <w:rFonts w:ascii="Times New Roman" w:hAnsi="Times New Roman" w:eastAsia="宋体" w:cs="Times New Roman"/>
                <w:snapToGrid/>
                <w:szCs w:val="21"/>
              </w:rPr>
              <w:t>表层样点</w:t>
            </w:r>
          </w:p>
        </w:tc>
        <w:tc>
          <w:tcPr>
            <w:tcW w:w="2025" w:type="pct"/>
            <w:tcBorders>
              <w:top w:val="single" w:color="auto" w:sz="4" w:space="0"/>
              <w:left w:val="single" w:color="auto" w:sz="4" w:space="0"/>
              <w:bottom w:val="single" w:color="auto" w:sz="4" w:space="0"/>
              <w:right w:val="nil"/>
            </w:tcBorders>
            <w:noWrap w:val="0"/>
            <w:vAlign w:val="center"/>
          </w:tcPr>
          <w:p w14:paraId="17217258">
            <w:pPr>
              <w:pStyle w:val="248"/>
              <w:rPr>
                <w:rFonts w:ascii="Times New Roman" w:hAnsi="Times New Roman"/>
                <w:szCs w:val="21"/>
                <w:highlight w:val="yellow"/>
              </w:rPr>
            </w:pPr>
            <w:r>
              <w:rPr>
                <w:rFonts w:hint="eastAsia" w:ascii="Times New Roman" w:hAnsi="Times New Roman"/>
                <w:szCs w:val="21"/>
                <w:highlight w:val="yellow"/>
              </w:rPr>
              <w:t>E 122.84763528°，N 41.06444882°</w:t>
            </w:r>
          </w:p>
        </w:tc>
      </w:tr>
      <w:tr w14:paraId="59C548C5">
        <w:tblPrEx>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495" w:type="pct"/>
            <w:tcBorders>
              <w:top w:val="single" w:color="auto" w:sz="4" w:space="0"/>
              <w:left w:val="nil"/>
              <w:bottom w:val="thickThinSmallGap" w:color="auto" w:sz="12" w:space="0"/>
              <w:right w:val="single" w:color="auto" w:sz="4" w:space="0"/>
            </w:tcBorders>
            <w:noWrap w:val="0"/>
            <w:vAlign w:val="center"/>
          </w:tcPr>
          <w:p w14:paraId="3FC99CB6">
            <w:pPr>
              <w:autoSpaceDE w:val="0"/>
              <w:autoSpaceDN w:val="0"/>
              <w:adjustRightInd w:val="0"/>
              <w:jc w:val="center"/>
              <w:rPr>
                <w:rFonts w:ascii="Times New Roman" w:hAnsi="Times New Roman" w:cs="Times New Roman"/>
                <w:sz w:val="21"/>
                <w:szCs w:val="21"/>
              </w:rPr>
            </w:pPr>
            <w:r>
              <w:rPr>
                <w:rFonts w:ascii="Times New Roman" w:hAnsi="Times New Roman" w:cs="Times New Roman"/>
                <w:sz w:val="21"/>
                <w:szCs w:val="21"/>
              </w:rPr>
              <w:t>6#</w:t>
            </w:r>
          </w:p>
        </w:tc>
        <w:tc>
          <w:tcPr>
            <w:tcW w:w="2294" w:type="dxa"/>
            <w:tcBorders>
              <w:top w:val="single" w:color="auto" w:sz="4" w:space="0"/>
              <w:left w:val="single" w:color="auto" w:sz="4" w:space="0"/>
              <w:bottom w:val="thickThinSmallGap" w:color="auto" w:sz="12" w:space="0"/>
              <w:right w:val="single" w:color="auto" w:sz="4" w:space="0"/>
            </w:tcBorders>
            <w:noWrap w:val="0"/>
            <w:vAlign w:val="center"/>
          </w:tcPr>
          <w:p w14:paraId="6BE75F66">
            <w:pPr>
              <w:tabs>
                <w:tab w:val="left" w:pos="471"/>
              </w:tabs>
              <w:spacing w:line="240" w:lineRule="auto"/>
              <w:jc w:val="center"/>
              <w:rPr>
                <w:rFonts w:hint="eastAsia" w:ascii="Times New Roman" w:hAnsi="Times New Roman" w:cs="Times New Roman"/>
                <w:sz w:val="21"/>
                <w:szCs w:val="21"/>
              </w:rPr>
            </w:pPr>
            <w:r>
              <w:rPr>
                <w:rFonts w:hint="default" w:ascii="Times New Roman" w:hAnsi="Times New Roman" w:eastAsia="宋体" w:cs="Times New Roman"/>
                <w:b w:val="0"/>
                <w:bCs w:val="0"/>
                <w:snapToGrid w:val="0"/>
                <w:color w:val="auto"/>
                <w:kern w:val="0"/>
                <w:sz w:val="21"/>
                <w:szCs w:val="21"/>
                <w:lang w:val="en-US" w:eastAsia="zh-CN"/>
              </w:rPr>
              <w:t>T6厂界西北</w:t>
            </w:r>
            <w:r>
              <w:rPr>
                <w:rFonts w:hint="eastAsia" w:ascii="Times New Roman" w:hAnsi="Times New Roman" w:cs="Times New Roman"/>
                <w:b w:val="0"/>
                <w:bCs w:val="0"/>
                <w:snapToGrid w:val="0"/>
                <w:color w:val="auto"/>
                <w:kern w:val="0"/>
                <w:sz w:val="21"/>
                <w:szCs w:val="21"/>
                <w:lang w:val="en-US" w:eastAsia="zh-CN"/>
              </w:rPr>
              <w:t>侧</w:t>
            </w:r>
            <w:r>
              <w:rPr>
                <w:rFonts w:hint="default" w:ascii="Times New Roman" w:hAnsi="Times New Roman" w:eastAsia="宋体" w:cs="Times New Roman"/>
                <w:b w:val="0"/>
                <w:bCs w:val="0"/>
                <w:snapToGrid w:val="0"/>
                <w:color w:val="auto"/>
                <w:kern w:val="0"/>
                <w:sz w:val="21"/>
                <w:szCs w:val="21"/>
                <w:lang w:val="en-US" w:eastAsia="zh-CN"/>
              </w:rPr>
              <w:t>农地</w:t>
            </w:r>
          </w:p>
        </w:tc>
        <w:tc>
          <w:tcPr>
            <w:tcW w:w="1165" w:type="pct"/>
            <w:tcBorders>
              <w:top w:val="single" w:color="auto" w:sz="4" w:space="0"/>
              <w:left w:val="single" w:color="auto" w:sz="4" w:space="0"/>
              <w:bottom w:val="thickThinSmallGap" w:color="auto" w:sz="12" w:space="0"/>
              <w:right w:val="single" w:color="auto" w:sz="4" w:space="0"/>
            </w:tcBorders>
            <w:noWrap w:val="0"/>
            <w:vAlign w:val="center"/>
          </w:tcPr>
          <w:p w14:paraId="6F5D4C9B">
            <w:pPr>
              <w:pStyle w:val="248"/>
              <w:spacing w:line="240" w:lineRule="auto"/>
              <w:rPr>
                <w:rFonts w:ascii="Times New Roman" w:hAnsi="Times New Roman" w:eastAsia="宋体" w:cs="Times New Roman"/>
                <w:snapToGrid/>
                <w:szCs w:val="21"/>
              </w:rPr>
            </w:pPr>
            <w:r>
              <w:rPr>
                <w:rFonts w:ascii="Times New Roman" w:hAnsi="Times New Roman" w:eastAsia="宋体" w:cs="Times New Roman"/>
                <w:snapToGrid/>
                <w:szCs w:val="21"/>
              </w:rPr>
              <w:t>表层样点</w:t>
            </w:r>
          </w:p>
        </w:tc>
        <w:tc>
          <w:tcPr>
            <w:tcW w:w="2025" w:type="pct"/>
            <w:tcBorders>
              <w:top w:val="single" w:color="auto" w:sz="4" w:space="0"/>
              <w:left w:val="single" w:color="auto" w:sz="4" w:space="0"/>
              <w:bottom w:val="thickThinSmallGap" w:color="auto" w:sz="12" w:space="0"/>
              <w:right w:val="nil"/>
            </w:tcBorders>
            <w:noWrap w:val="0"/>
            <w:vAlign w:val="center"/>
          </w:tcPr>
          <w:p w14:paraId="08339EA4">
            <w:pPr>
              <w:pStyle w:val="248"/>
              <w:rPr>
                <w:rFonts w:hint="eastAsia" w:ascii="Times New Roman" w:hAnsi="Times New Roman"/>
                <w:szCs w:val="21"/>
                <w:highlight w:val="yellow"/>
              </w:rPr>
            </w:pPr>
            <w:r>
              <w:rPr>
                <w:rFonts w:hint="eastAsia" w:ascii="Times New Roman" w:hAnsi="Times New Roman"/>
                <w:szCs w:val="21"/>
                <w:highlight w:val="yellow"/>
              </w:rPr>
              <w:t>E 122.8513662°，N 41.0659862°</w:t>
            </w:r>
          </w:p>
        </w:tc>
      </w:tr>
    </w:tbl>
    <w:p w14:paraId="01156AF6">
      <w:pPr>
        <w:spacing w:line="500" w:lineRule="exact"/>
        <w:ind w:firstLine="354" w:firstLineChars="147"/>
        <w:rPr>
          <w:rFonts w:ascii="Times New Roman" w:hAnsi="Times New Roman" w:cs="Times New Roman"/>
          <w:b/>
        </w:rPr>
      </w:pPr>
      <w:r>
        <w:rPr>
          <w:rFonts w:ascii="Times New Roman" w:hAnsi="Times New Roman" w:cs="Times New Roman"/>
          <w:b/>
        </w:rPr>
        <w:t>（2）监测因子</w:t>
      </w:r>
    </w:p>
    <w:p w14:paraId="2C656FF1">
      <w:pPr>
        <w:spacing w:line="500" w:lineRule="exact"/>
        <w:ind w:firstLine="480"/>
        <w:rPr>
          <w:rFonts w:ascii="Times New Roman" w:hAnsi="Times New Roman" w:cs="Times New Roman"/>
        </w:rPr>
      </w:pPr>
      <w:r>
        <w:rPr>
          <w:rFonts w:hint="eastAsia" w:ascii="Times New Roman" w:hAnsi="Times New Roman" w:cs="Times New Roman"/>
        </w:rPr>
        <w:t>建设用地</w:t>
      </w:r>
      <w:r>
        <w:rPr>
          <w:rFonts w:ascii="Times New Roman" w:hAnsi="Times New Roman" w:cs="Times New Roman"/>
        </w:rPr>
        <w:t>45项基本因子：镉、汞、砷、铅、铬（六价）、铜、镍、六价铬、四氯化碳、氯仿、氯甲烷、1,1-二氯乙烷、1,2-二氯乙烷、1,1二氯乙烯、顺-1,2二氯乙烯、反-1,2-二氯乙烯、二氯甲烷、1,2-二氯丙烷、1,1,1,2-四氯乙烷、1,1,2,2-四氯乙烷、四氯乙烯、1,1,1-三氯乙烷、1,1,2-三氯乙烷、三氯乙烯、1,2,3-三氯丙烷、氯乙烯、苯、氯苯、1,2-二氯苯、1,4-二氯苯、乙苯、苯乙烯、甲苯、间，对二甲苯、邻二甲苯、硝基苯、苯胺、2-氯酚、苯并[a]蒽、苯并[a]芘、苯并[b]荧蒽、苯并[k]荧蒽、䓛、二苯并[a,h]蒽、茚并[1,2,3-c,d]芘、萘；</w:t>
      </w:r>
    </w:p>
    <w:p w14:paraId="0DC264DD">
      <w:pPr>
        <w:spacing w:line="500" w:lineRule="exact"/>
        <w:ind w:firstLine="480"/>
        <w:rPr>
          <w:rFonts w:ascii="Times New Roman" w:hAnsi="Times New Roman" w:cs="Times New Roman"/>
        </w:rPr>
      </w:pPr>
      <w:r>
        <w:rPr>
          <w:rFonts w:hint="eastAsia" w:ascii="Times New Roman" w:hAnsi="Times New Roman" w:cs="Times New Roman"/>
        </w:rPr>
        <w:t>农用地</w:t>
      </w:r>
      <w:r>
        <w:rPr>
          <w:rFonts w:ascii="Times New Roman" w:hAnsi="Times New Roman" w:cs="Times New Roman"/>
        </w:rPr>
        <w:t>8项基本因子：镉、总汞、砷、铅、铬、铜、镍、锌。</w:t>
      </w:r>
    </w:p>
    <w:p w14:paraId="2AAB3214">
      <w:pPr>
        <w:spacing w:line="500" w:lineRule="exact"/>
        <w:ind w:firstLine="480"/>
        <w:rPr>
          <w:rFonts w:ascii="Times New Roman" w:hAnsi="Times New Roman" w:cs="Times New Roman"/>
          <w:highlight w:val="none"/>
        </w:rPr>
      </w:pPr>
      <w:r>
        <w:rPr>
          <w:rFonts w:hint="eastAsia" w:ascii="Times New Roman" w:hAnsi="Times New Roman" w:cs="Times New Roman"/>
          <w:highlight w:val="none"/>
          <w:lang w:val="en-US" w:eastAsia="zh-CN"/>
        </w:rPr>
        <w:t>T1、T2、T3</w:t>
      </w:r>
      <w:r>
        <w:rPr>
          <w:rFonts w:ascii="Times New Roman" w:hAnsi="Times New Roman" w:cs="Times New Roman"/>
          <w:highlight w:val="none"/>
        </w:rPr>
        <w:t>点位监测8项基本因子、</w:t>
      </w:r>
      <w:r>
        <w:rPr>
          <w:rFonts w:hint="eastAsia" w:ascii="Times New Roman" w:hAnsi="Times New Roman" w:cs="Times New Roman"/>
          <w:highlight w:val="none"/>
        </w:rPr>
        <w:t>p</w:t>
      </w:r>
      <w:r>
        <w:rPr>
          <w:rFonts w:ascii="Times New Roman" w:hAnsi="Times New Roman" w:cs="Times New Roman"/>
          <w:highlight w:val="none"/>
        </w:rPr>
        <w:t>H，取柱状样；</w:t>
      </w:r>
      <w:r>
        <w:rPr>
          <w:rFonts w:hint="eastAsia" w:ascii="Times New Roman" w:hAnsi="Times New Roman" w:cs="Times New Roman"/>
          <w:highlight w:val="none"/>
          <w:lang w:val="en-US" w:eastAsia="zh-CN"/>
        </w:rPr>
        <w:t>T4、T5</w:t>
      </w:r>
      <w:r>
        <w:rPr>
          <w:rFonts w:ascii="Times New Roman" w:hAnsi="Times New Roman" w:cs="Times New Roman"/>
          <w:highlight w:val="none"/>
        </w:rPr>
        <w:t>点位监测</w:t>
      </w:r>
      <w:r>
        <w:rPr>
          <w:rFonts w:hint="eastAsia" w:ascii="Times New Roman" w:hAnsi="Times New Roman" w:cs="Times New Roman"/>
          <w:highlight w:val="none"/>
        </w:rPr>
        <w:t>45</w:t>
      </w:r>
      <w:r>
        <w:rPr>
          <w:rFonts w:ascii="Times New Roman" w:hAnsi="Times New Roman" w:cs="Times New Roman"/>
          <w:highlight w:val="none"/>
        </w:rPr>
        <w:t>项基本因子，取表层样；</w:t>
      </w:r>
      <w:r>
        <w:rPr>
          <w:rFonts w:hint="eastAsia" w:ascii="Times New Roman" w:hAnsi="Times New Roman" w:cs="Times New Roman"/>
          <w:highlight w:val="none"/>
          <w:lang w:val="en-US" w:eastAsia="zh-CN"/>
        </w:rPr>
        <w:t>T6</w:t>
      </w:r>
      <w:r>
        <w:rPr>
          <w:rFonts w:ascii="Times New Roman" w:hAnsi="Times New Roman" w:cs="Times New Roman"/>
          <w:highlight w:val="none"/>
        </w:rPr>
        <w:t>点位监测8项基本因子、</w:t>
      </w:r>
      <w:r>
        <w:rPr>
          <w:rFonts w:hint="eastAsia" w:ascii="Times New Roman" w:hAnsi="Times New Roman" w:cs="Times New Roman"/>
          <w:highlight w:val="none"/>
        </w:rPr>
        <w:t>p</w:t>
      </w:r>
      <w:r>
        <w:rPr>
          <w:rFonts w:ascii="Times New Roman" w:hAnsi="Times New Roman" w:cs="Times New Roman"/>
          <w:highlight w:val="none"/>
        </w:rPr>
        <w:t>H，</w:t>
      </w:r>
      <w:r>
        <w:rPr>
          <w:rFonts w:hint="eastAsia" w:ascii="Times New Roman" w:hAnsi="Times New Roman" w:cs="Times New Roman"/>
          <w:highlight w:val="none"/>
        </w:rPr>
        <w:t>取表层样</w:t>
      </w:r>
      <w:r>
        <w:rPr>
          <w:rFonts w:ascii="Times New Roman" w:hAnsi="Times New Roman" w:cs="Times New Roman"/>
          <w:highlight w:val="none"/>
        </w:rPr>
        <w:t>。</w:t>
      </w:r>
    </w:p>
    <w:p w14:paraId="50E3D485">
      <w:pPr>
        <w:spacing w:line="500" w:lineRule="exact"/>
        <w:ind w:firstLine="354" w:firstLineChars="147"/>
        <w:rPr>
          <w:rFonts w:ascii="Times New Roman" w:hAnsi="Times New Roman" w:cs="Times New Roman"/>
          <w:b/>
        </w:rPr>
      </w:pPr>
      <w:r>
        <w:rPr>
          <w:rFonts w:ascii="Times New Roman" w:hAnsi="Times New Roman" w:cs="Times New Roman"/>
          <w:b/>
        </w:rPr>
        <w:t>（3）监测时间及频次</w:t>
      </w:r>
    </w:p>
    <w:p w14:paraId="7D0BB56F">
      <w:pPr>
        <w:spacing w:line="500" w:lineRule="exact"/>
        <w:ind w:firstLine="480"/>
        <w:rPr>
          <w:rFonts w:ascii="Times New Roman" w:hAnsi="Times New Roman" w:cs="Times New Roman"/>
        </w:rPr>
      </w:pPr>
      <w:r>
        <w:rPr>
          <w:rFonts w:ascii="Times New Roman" w:hAnsi="Times New Roman" w:cs="Times New Roman"/>
        </w:rPr>
        <w:t>1#~</w:t>
      </w:r>
      <w:r>
        <w:rPr>
          <w:rFonts w:hint="eastAsia" w:ascii="Times New Roman" w:hAnsi="Times New Roman" w:cs="Times New Roman"/>
          <w:lang w:val="en-US" w:eastAsia="zh-CN"/>
        </w:rPr>
        <w:t>6</w:t>
      </w:r>
      <w:r>
        <w:rPr>
          <w:rFonts w:ascii="Times New Roman" w:hAnsi="Times New Roman" w:cs="Times New Roman"/>
        </w:rPr>
        <w:t>#</w:t>
      </w:r>
      <w:r>
        <w:rPr>
          <w:rFonts w:hint="eastAsia" w:ascii="Times New Roman" w:hAnsi="Times New Roman" w:cs="Times New Roman"/>
        </w:rPr>
        <w:t>点位</w:t>
      </w:r>
      <w:r>
        <w:rPr>
          <w:rFonts w:ascii="Times New Roman" w:hAnsi="Times New Roman" w:cs="Times New Roman"/>
        </w:rPr>
        <w:t>采样时间为202</w:t>
      </w:r>
      <w:r>
        <w:rPr>
          <w:rFonts w:hint="eastAsia" w:ascii="Times New Roman" w:hAnsi="Times New Roman" w:cs="Times New Roman"/>
          <w:lang w:val="en-US" w:eastAsia="zh-CN"/>
        </w:rPr>
        <w:t>6</w:t>
      </w:r>
      <w:r>
        <w:rPr>
          <w:rFonts w:ascii="Times New Roman" w:hAnsi="Times New Roman" w:cs="Times New Roman"/>
        </w:rPr>
        <w:t>年</w:t>
      </w:r>
      <w:r>
        <w:rPr>
          <w:rFonts w:hint="eastAsia" w:ascii="Times New Roman" w:hAnsi="Times New Roman" w:cs="Times New Roman"/>
          <w:lang w:val="en-US" w:eastAsia="zh-CN"/>
        </w:rPr>
        <w:t>5</w:t>
      </w:r>
      <w:r>
        <w:rPr>
          <w:rFonts w:ascii="Times New Roman" w:hAnsi="Times New Roman" w:cs="Times New Roman"/>
        </w:rPr>
        <w:t>月</w:t>
      </w:r>
      <w:r>
        <w:rPr>
          <w:rFonts w:hint="eastAsia" w:ascii="Times New Roman" w:hAnsi="Times New Roman" w:cs="Times New Roman"/>
          <w:lang w:val="en-US" w:eastAsia="zh-CN"/>
        </w:rPr>
        <w:t>1</w:t>
      </w:r>
      <w:r>
        <w:rPr>
          <w:rFonts w:ascii="Times New Roman" w:hAnsi="Times New Roman" w:cs="Times New Roman"/>
        </w:rPr>
        <w:t>日，</w:t>
      </w:r>
      <w:r>
        <w:rPr>
          <w:rFonts w:hint="eastAsia" w:ascii="Times New Roman" w:hAnsi="Times New Roman" w:cs="Times New Roman"/>
        </w:rPr>
        <w:t>采样频次为</w:t>
      </w:r>
      <w:r>
        <w:rPr>
          <w:rFonts w:ascii="Times New Roman" w:hAnsi="Times New Roman" w:cs="Times New Roman"/>
        </w:rPr>
        <w:t>一天、一次。</w:t>
      </w:r>
    </w:p>
    <w:p w14:paraId="615E6A86">
      <w:pPr>
        <w:spacing w:line="500" w:lineRule="exact"/>
        <w:ind w:firstLine="354" w:firstLineChars="147"/>
        <w:rPr>
          <w:rFonts w:ascii="Times New Roman" w:hAnsi="Times New Roman" w:cs="Times New Roman"/>
          <w:b/>
        </w:rPr>
      </w:pPr>
      <w:r>
        <w:rPr>
          <w:rFonts w:ascii="Times New Roman" w:hAnsi="Times New Roman" w:cs="Times New Roman"/>
          <w:b/>
        </w:rPr>
        <w:t>（4）采样内容、分析方法</w:t>
      </w:r>
    </w:p>
    <w:p w14:paraId="17650C28">
      <w:pPr>
        <w:spacing w:line="500" w:lineRule="exact"/>
        <w:ind w:firstLine="480"/>
        <w:rPr>
          <w:rFonts w:hint="eastAsia" w:ascii="Times New Roman" w:hAnsi="Times New Roman" w:cs="Times New Roman"/>
        </w:rPr>
      </w:pPr>
      <w:r>
        <w:rPr>
          <w:rFonts w:ascii="Times New Roman" w:hAnsi="Times New Roman" w:cs="Times New Roman"/>
        </w:rPr>
        <w:t>土壤现状调查项目、分析方法及检出限见表</w:t>
      </w:r>
      <w:r>
        <w:rPr>
          <w:rFonts w:hint="eastAsia" w:ascii="Times New Roman" w:hAnsi="Times New Roman" w:cs="Times New Roman"/>
        </w:rPr>
        <w:t>4.2-9</w:t>
      </w:r>
      <w:r>
        <w:rPr>
          <w:rFonts w:ascii="Times New Roman" w:hAnsi="Times New Roman" w:cs="Times New Roman"/>
        </w:rPr>
        <w:t>。</w:t>
      </w:r>
    </w:p>
    <w:p w14:paraId="687E6AD7">
      <w:pPr>
        <w:pStyle w:val="131"/>
        <w:adjustRightInd/>
        <w:snapToGrid/>
        <w:spacing w:line="360" w:lineRule="auto"/>
        <w:ind w:left="0" w:firstLine="0"/>
        <w:rPr>
          <w:rFonts w:ascii="Times New Roman" w:hAnsi="Times New Roman" w:cs="Times New Roman"/>
        </w:rPr>
      </w:pPr>
      <w:r>
        <w:rPr>
          <w:rFonts w:ascii="Times New Roman" w:hAnsi="Times New Roman" w:cs="Times New Roman"/>
        </w:rPr>
        <w:t>表</w:t>
      </w:r>
      <w:r>
        <w:rPr>
          <w:rFonts w:hint="eastAsia" w:ascii="Times New Roman" w:hAnsi="Times New Roman" w:cs="Times New Roman"/>
        </w:rPr>
        <w:t>4.2-9</w:t>
      </w:r>
      <w:r>
        <w:rPr>
          <w:rFonts w:ascii="Times New Roman" w:hAnsi="Times New Roman" w:cs="Times New Roman"/>
        </w:rPr>
        <w:t xml:space="preserve">  土壤监测项目分析方法及检出限</w:t>
      </w:r>
    </w:p>
    <w:tbl>
      <w:tblPr>
        <w:tblStyle w:val="56"/>
        <w:tblW w:w="5000" w:type="pct"/>
        <w:jc w:val="center"/>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731"/>
        <w:gridCol w:w="1623"/>
        <w:gridCol w:w="2682"/>
        <w:gridCol w:w="2410"/>
        <w:gridCol w:w="1275"/>
      </w:tblGrid>
      <w:tr w14:paraId="40CD7623">
        <w:tblPrEx>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blHeader/>
          <w:jc w:val="center"/>
        </w:trPr>
        <w:tc>
          <w:tcPr>
            <w:tcW w:w="419" w:type="pct"/>
            <w:shd w:val="clear" w:color="auto" w:fill="D9D9D9"/>
            <w:noWrap w:val="0"/>
            <w:vAlign w:val="center"/>
          </w:tcPr>
          <w:p w14:paraId="3C15BE04">
            <w:pPr>
              <w:jc w:val="center"/>
              <w:rPr>
                <w:rFonts w:ascii="Times New Roman" w:hAnsi="Times New Roman" w:cs="Times New Roman"/>
                <w:b/>
                <w:bCs/>
                <w:sz w:val="21"/>
                <w:szCs w:val="21"/>
              </w:rPr>
            </w:pPr>
            <w:r>
              <w:rPr>
                <w:rFonts w:ascii="Times New Roman" w:hAnsi="Times New Roman" w:cs="Times New Roman"/>
                <w:b/>
                <w:bCs/>
                <w:sz w:val="21"/>
                <w:szCs w:val="21"/>
              </w:rPr>
              <w:t>检测</w:t>
            </w:r>
          </w:p>
          <w:p w14:paraId="618068BB">
            <w:pPr>
              <w:jc w:val="center"/>
              <w:rPr>
                <w:rFonts w:ascii="Times New Roman" w:hAnsi="Times New Roman" w:cs="Times New Roman"/>
                <w:b/>
                <w:bCs/>
                <w:sz w:val="21"/>
                <w:szCs w:val="21"/>
              </w:rPr>
            </w:pPr>
            <w:r>
              <w:rPr>
                <w:rFonts w:ascii="Times New Roman" w:hAnsi="Times New Roman" w:cs="Times New Roman"/>
                <w:b/>
                <w:bCs/>
                <w:sz w:val="21"/>
                <w:szCs w:val="21"/>
              </w:rPr>
              <w:t>类别</w:t>
            </w:r>
          </w:p>
        </w:tc>
        <w:tc>
          <w:tcPr>
            <w:tcW w:w="930" w:type="pct"/>
            <w:shd w:val="clear" w:color="auto" w:fill="D9D9D9"/>
            <w:noWrap w:val="0"/>
            <w:vAlign w:val="center"/>
          </w:tcPr>
          <w:p w14:paraId="6CE7A5DD">
            <w:pPr>
              <w:jc w:val="center"/>
              <w:rPr>
                <w:rFonts w:ascii="Times New Roman" w:hAnsi="Times New Roman" w:cs="Times New Roman"/>
                <w:b/>
                <w:bCs/>
                <w:sz w:val="21"/>
                <w:szCs w:val="21"/>
              </w:rPr>
            </w:pPr>
            <w:r>
              <w:rPr>
                <w:rFonts w:ascii="Times New Roman" w:hAnsi="Times New Roman" w:cs="Times New Roman"/>
                <w:b/>
                <w:bCs/>
                <w:sz w:val="21"/>
                <w:szCs w:val="21"/>
              </w:rPr>
              <w:t>检测项目</w:t>
            </w:r>
          </w:p>
        </w:tc>
        <w:tc>
          <w:tcPr>
            <w:tcW w:w="1537" w:type="pct"/>
            <w:shd w:val="clear" w:color="auto" w:fill="D9D9D9"/>
            <w:noWrap w:val="0"/>
            <w:vAlign w:val="center"/>
          </w:tcPr>
          <w:p w14:paraId="68F43718">
            <w:pPr>
              <w:jc w:val="center"/>
              <w:rPr>
                <w:rFonts w:ascii="Times New Roman" w:hAnsi="Times New Roman" w:cs="Times New Roman"/>
                <w:b/>
                <w:bCs/>
                <w:sz w:val="21"/>
                <w:szCs w:val="21"/>
              </w:rPr>
            </w:pPr>
            <w:r>
              <w:rPr>
                <w:rFonts w:ascii="Times New Roman" w:hAnsi="Times New Roman" w:cs="Times New Roman"/>
                <w:b/>
                <w:bCs/>
                <w:sz w:val="21"/>
                <w:szCs w:val="21"/>
              </w:rPr>
              <w:t>分析方法及编号</w:t>
            </w:r>
          </w:p>
        </w:tc>
        <w:tc>
          <w:tcPr>
            <w:tcW w:w="1381" w:type="pct"/>
            <w:shd w:val="clear" w:color="auto" w:fill="D9D9D9"/>
            <w:noWrap w:val="0"/>
            <w:vAlign w:val="center"/>
          </w:tcPr>
          <w:p w14:paraId="5F7D6629">
            <w:pPr>
              <w:jc w:val="center"/>
              <w:rPr>
                <w:rFonts w:ascii="Times New Roman" w:hAnsi="Times New Roman" w:cs="Times New Roman"/>
                <w:b/>
                <w:bCs/>
                <w:sz w:val="21"/>
                <w:szCs w:val="21"/>
              </w:rPr>
            </w:pPr>
            <w:r>
              <w:rPr>
                <w:rFonts w:ascii="Times New Roman" w:hAnsi="Times New Roman" w:cs="Times New Roman"/>
                <w:b/>
                <w:bCs/>
                <w:sz w:val="21"/>
                <w:szCs w:val="21"/>
              </w:rPr>
              <w:t>仪器及</w:t>
            </w:r>
          </w:p>
          <w:p w14:paraId="7EA12BE9">
            <w:pPr>
              <w:jc w:val="center"/>
              <w:rPr>
                <w:rFonts w:ascii="Times New Roman" w:hAnsi="Times New Roman" w:cs="Times New Roman"/>
                <w:b/>
                <w:bCs/>
                <w:sz w:val="21"/>
                <w:szCs w:val="21"/>
              </w:rPr>
            </w:pPr>
            <w:r>
              <w:rPr>
                <w:rFonts w:ascii="Times New Roman" w:hAnsi="Times New Roman" w:cs="Times New Roman"/>
                <w:b/>
                <w:bCs/>
                <w:sz w:val="21"/>
                <w:szCs w:val="21"/>
              </w:rPr>
              <w:t>编号</w:t>
            </w:r>
          </w:p>
        </w:tc>
        <w:tc>
          <w:tcPr>
            <w:tcW w:w="730" w:type="pct"/>
            <w:shd w:val="clear" w:color="auto" w:fill="D9D9D9"/>
            <w:noWrap w:val="0"/>
            <w:vAlign w:val="center"/>
          </w:tcPr>
          <w:p w14:paraId="63A3FDFD">
            <w:pPr>
              <w:jc w:val="center"/>
              <w:rPr>
                <w:rFonts w:ascii="Times New Roman" w:hAnsi="Times New Roman" w:cs="Times New Roman"/>
                <w:b/>
                <w:bCs/>
                <w:sz w:val="21"/>
                <w:szCs w:val="21"/>
              </w:rPr>
            </w:pPr>
            <w:r>
              <w:rPr>
                <w:rFonts w:ascii="Times New Roman" w:hAnsi="Times New Roman" w:cs="Times New Roman"/>
                <w:b/>
                <w:bCs/>
                <w:sz w:val="21"/>
                <w:szCs w:val="21"/>
              </w:rPr>
              <w:t>最低</w:t>
            </w:r>
          </w:p>
          <w:p w14:paraId="3C848FC4">
            <w:pPr>
              <w:jc w:val="center"/>
              <w:rPr>
                <w:rFonts w:ascii="Times New Roman" w:hAnsi="Times New Roman" w:cs="Times New Roman"/>
                <w:b/>
                <w:bCs/>
                <w:sz w:val="21"/>
                <w:szCs w:val="21"/>
              </w:rPr>
            </w:pPr>
            <w:r>
              <w:rPr>
                <w:rFonts w:ascii="Times New Roman" w:hAnsi="Times New Roman" w:cs="Times New Roman"/>
                <w:b/>
                <w:bCs/>
                <w:sz w:val="21"/>
                <w:szCs w:val="21"/>
              </w:rPr>
              <w:t>检出限</w:t>
            </w:r>
          </w:p>
        </w:tc>
      </w:tr>
      <w:tr w14:paraId="4B42B066">
        <w:tblPrEx>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19" w:type="pct"/>
            <w:vMerge w:val="restart"/>
            <w:noWrap w:val="0"/>
            <w:vAlign w:val="center"/>
          </w:tcPr>
          <w:p w14:paraId="78545CC0">
            <w:pPr>
              <w:jc w:val="center"/>
              <w:rPr>
                <w:rFonts w:ascii="Times New Roman" w:hAnsi="Times New Roman" w:cs="Times New Roman"/>
                <w:sz w:val="21"/>
                <w:szCs w:val="21"/>
              </w:rPr>
            </w:pPr>
            <w:r>
              <w:rPr>
                <w:rFonts w:ascii="Times New Roman" w:hAnsi="Times New Roman" w:cs="Times New Roman"/>
                <w:sz w:val="21"/>
                <w:szCs w:val="21"/>
              </w:rPr>
              <w:t>土壤</w:t>
            </w:r>
          </w:p>
        </w:tc>
        <w:tc>
          <w:tcPr>
            <w:tcW w:w="930" w:type="pct"/>
            <w:noWrap w:val="0"/>
            <w:vAlign w:val="center"/>
          </w:tcPr>
          <w:p w14:paraId="18F9BDF1">
            <w:pPr>
              <w:keepNext w:val="0"/>
              <w:keepLines w:val="0"/>
              <w:widowControl/>
              <w:suppressLineNumbers w:val="0"/>
              <w:jc w:val="center"/>
              <w:textAlignment w:val="center"/>
              <w:rPr>
                <w:rFonts w:ascii="Times New Roman" w:hAnsi="Times New Roman" w:cs="Times New Roman"/>
                <w:sz w:val="21"/>
                <w:szCs w:val="21"/>
              </w:rPr>
            </w:pPr>
            <w:r>
              <w:rPr>
                <w:rFonts w:hint="default" w:ascii="Times New Roman" w:hAnsi="Times New Roman" w:eastAsia="宋体" w:cs="Times New Roman"/>
                <w:i w:val="0"/>
                <w:iCs w:val="0"/>
                <w:color w:val="000000"/>
                <w:kern w:val="0"/>
                <w:sz w:val="21"/>
                <w:szCs w:val="21"/>
                <w:u w:val="none"/>
                <w:lang w:val="en-US" w:eastAsia="zh-CN" w:bidi="ar"/>
              </w:rPr>
              <w:t>pH值</w:t>
            </w:r>
          </w:p>
        </w:tc>
        <w:tc>
          <w:tcPr>
            <w:tcW w:w="1537" w:type="pct"/>
            <w:noWrap w:val="0"/>
            <w:vAlign w:val="center"/>
          </w:tcPr>
          <w:p w14:paraId="5F563A3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土壤</w:t>
            </w:r>
            <w:r>
              <w:rPr>
                <w:rStyle w:val="542"/>
                <w:rFonts w:hint="default" w:ascii="Times New Roman" w:hAnsi="Times New Roman" w:eastAsia="宋体" w:cs="Times New Roman"/>
                <w:color w:val="auto"/>
                <w:sz w:val="21"/>
                <w:szCs w:val="21"/>
                <w:highlight w:val="none"/>
                <w:lang w:val="en-US" w:eastAsia="zh-CN" w:bidi="ar"/>
              </w:rPr>
              <w:t>pH</w:t>
            </w:r>
            <w:r>
              <w:rPr>
                <w:rFonts w:hint="default" w:ascii="Times New Roman" w:hAnsi="Times New Roman" w:eastAsia="宋体" w:cs="Times New Roman"/>
                <w:i w:val="0"/>
                <w:iCs w:val="0"/>
                <w:color w:val="auto"/>
                <w:kern w:val="0"/>
                <w:sz w:val="21"/>
                <w:szCs w:val="21"/>
                <w:highlight w:val="none"/>
                <w:u w:val="none"/>
                <w:lang w:val="en-US" w:eastAsia="zh-CN" w:bidi="ar"/>
              </w:rPr>
              <w:t>的测定</w:t>
            </w:r>
          </w:p>
          <w:p w14:paraId="5DE0288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Times New Roman" w:hAnsi="Times New Roman" w:cs="Times New Roman"/>
                <w:sz w:val="21"/>
                <w:szCs w:val="21"/>
              </w:rPr>
            </w:pPr>
            <w:r>
              <w:rPr>
                <w:rStyle w:val="542"/>
                <w:rFonts w:hint="default" w:ascii="Times New Roman" w:hAnsi="Times New Roman" w:eastAsia="宋体" w:cs="Times New Roman"/>
                <w:color w:val="auto"/>
                <w:sz w:val="21"/>
                <w:szCs w:val="21"/>
                <w:highlight w:val="none"/>
                <w:lang w:val="en-US" w:eastAsia="zh-CN" w:bidi="ar"/>
              </w:rPr>
              <w:t>NY/T 1377-2007</w:t>
            </w:r>
          </w:p>
        </w:tc>
        <w:tc>
          <w:tcPr>
            <w:tcW w:w="1381" w:type="pct"/>
            <w:noWrap w:val="0"/>
            <w:vAlign w:val="center"/>
          </w:tcPr>
          <w:p w14:paraId="51574C24">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离子计</w:t>
            </w:r>
          </w:p>
          <w:p w14:paraId="309CA3C9">
            <w:pPr>
              <w:keepNext w:val="0"/>
              <w:keepLines w:val="0"/>
              <w:widowControl/>
              <w:suppressLineNumbers w:val="0"/>
              <w:jc w:val="center"/>
              <w:textAlignment w:val="center"/>
              <w:rPr>
                <w:rFonts w:ascii="Times New Roman" w:hAnsi="Times New Roman" w:cs="Times New Roman"/>
                <w:sz w:val="21"/>
                <w:szCs w:val="21"/>
              </w:rPr>
            </w:pPr>
            <w:r>
              <w:rPr>
                <w:rFonts w:hint="default" w:ascii="Times New Roman" w:hAnsi="Times New Roman" w:eastAsia="宋体" w:cs="Times New Roman"/>
                <w:i w:val="0"/>
                <w:iCs w:val="0"/>
                <w:color w:val="000000"/>
                <w:kern w:val="0"/>
                <w:sz w:val="21"/>
                <w:szCs w:val="21"/>
                <w:u w:val="none"/>
                <w:lang w:val="en-US" w:eastAsia="zh-CN" w:bidi="ar"/>
              </w:rPr>
              <w:t>PXSJ-216F</w:t>
            </w:r>
          </w:p>
        </w:tc>
        <w:tc>
          <w:tcPr>
            <w:tcW w:w="730" w:type="pct"/>
            <w:noWrap w:val="0"/>
            <w:vAlign w:val="center"/>
          </w:tcPr>
          <w:p w14:paraId="08528CE3">
            <w:pPr>
              <w:keepNext w:val="0"/>
              <w:keepLines w:val="0"/>
              <w:widowControl/>
              <w:suppressLineNumbers w:val="0"/>
              <w:jc w:val="center"/>
              <w:textAlignment w:val="center"/>
              <w:rPr>
                <w:rFonts w:ascii="Times New Roman" w:hAnsi="Times New Roman" w:cs="Times New Roman"/>
                <w:sz w:val="21"/>
                <w:szCs w:val="21"/>
              </w:rPr>
            </w:pPr>
            <w:r>
              <w:rPr>
                <w:rFonts w:hint="default" w:ascii="Times New Roman" w:hAnsi="Times New Roman" w:eastAsia="宋体" w:cs="Times New Roman"/>
                <w:color w:val="auto"/>
                <w:sz w:val="21"/>
                <w:szCs w:val="21"/>
                <w:lang w:val="en-US" w:eastAsia="zh-CN"/>
              </w:rPr>
              <w:t>—</w:t>
            </w:r>
          </w:p>
        </w:tc>
      </w:tr>
      <w:tr w14:paraId="748F7C07">
        <w:tblPrEx>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19" w:type="pct"/>
            <w:vMerge w:val="continue"/>
            <w:noWrap w:val="0"/>
            <w:vAlign w:val="center"/>
          </w:tcPr>
          <w:p w14:paraId="774013DE">
            <w:pPr>
              <w:jc w:val="center"/>
              <w:rPr>
                <w:rFonts w:ascii="Times New Roman" w:hAnsi="Times New Roman" w:cs="Times New Roman"/>
                <w:sz w:val="21"/>
                <w:szCs w:val="21"/>
              </w:rPr>
            </w:pPr>
          </w:p>
        </w:tc>
        <w:tc>
          <w:tcPr>
            <w:tcW w:w="930" w:type="pct"/>
            <w:noWrap w:val="0"/>
            <w:vAlign w:val="center"/>
          </w:tcPr>
          <w:p w14:paraId="3AF08DF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Times New Roman" w:hAnsi="Times New Roman" w:cs="Times New Roman"/>
                <w:sz w:val="21"/>
                <w:szCs w:val="21"/>
              </w:rPr>
            </w:pPr>
            <w:r>
              <w:rPr>
                <w:rFonts w:hint="default" w:ascii="Times New Roman" w:hAnsi="Times New Roman" w:eastAsia="宋体" w:cs="Times New Roman"/>
                <w:i w:val="0"/>
                <w:iCs w:val="0"/>
                <w:color w:val="auto"/>
                <w:kern w:val="0"/>
                <w:sz w:val="21"/>
                <w:szCs w:val="21"/>
                <w:highlight w:val="none"/>
                <w:u w:val="none"/>
                <w:lang w:val="en-US" w:eastAsia="zh-CN" w:bidi="ar"/>
              </w:rPr>
              <w:t>砷</w:t>
            </w:r>
          </w:p>
        </w:tc>
        <w:tc>
          <w:tcPr>
            <w:tcW w:w="1537" w:type="pct"/>
            <w:noWrap w:val="0"/>
            <w:vAlign w:val="center"/>
          </w:tcPr>
          <w:p w14:paraId="021BE4C0">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土壤和沉积物</w:t>
            </w:r>
            <w:r>
              <w:rPr>
                <w:rStyle w:val="542"/>
                <w:rFonts w:hint="default" w:ascii="Times New Roman" w:hAnsi="Times New Roman" w:eastAsia="宋体" w:cs="Times New Roman"/>
                <w:color w:val="auto"/>
                <w:sz w:val="21"/>
                <w:szCs w:val="21"/>
                <w:highlight w:val="none"/>
                <w:lang w:val="en-US" w:eastAsia="zh-CN" w:bidi="ar"/>
              </w:rPr>
              <w:t xml:space="preserve"> </w:t>
            </w:r>
            <w:r>
              <w:rPr>
                <w:rFonts w:hint="default" w:ascii="Times New Roman" w:hAnsi="Times New Roman" w:eastAsia="宋体" w:cs="Times New Roman"/>
                <w:i w:val="0"/>
                <w:iCs w:val="0"/>
                <w:color w:val="auto"/>
                <w:kern w:val="0"/>
                <w:sz w:val="21"/>
                <w:szCs w:val="21"/>
                <w:highlight w:val="none"/>
                <w:u w:val="none"/>
                <w:lang w:val="en-US" w:eastAsia="zh-CN" w:bidi="ar"/>
              </w:rPr>
              <w:t>汞、砷、硒、铋、锑的测定</w:t>
            </w:r>
          </w:p>
          <w:p w14:paraId="42C0804E">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ascii="Times New Roman" w:hAnsi="Times New Roman" w:cs="Times New Roman"/>
                <w:sz w:val="21"/>
                <w:szCs w:val="21"/>
              </w:rPr>
            </w:pPr>
            <w:r>
              <w:rPr>
                <w:rFonts w:hint="default" w:ascii="Times New Roman" w:hAnsi="Times New Roman" w:eastAsia="宋体" w:cs="Times New Roman"/>
                <w:i w:val="0"/>
                <w:iCs w:val="0"/>
                <w:color w:val="auto"/>
                <w:kern w:val="0"/>
                <w:sz w:val="21"/>
                <w:szCs w:val="21"/>
                <w:highlight w:val="none"/>
                <w:u w:val="none"/>
                <w:lang w:val="en-US" w:eastAsia="zh-CN" w:bidi="ar"/>
              </w:rPr>
              <w:t>微波消解</w:t>
            </w:r>
            <w:r>
              <w:rPr>
                <w:rStyle w:val="542"/>
                <w:rFonts w:hint="default" w:ascii="Times New Roman" w:hAnsi="Times New Roman" w:eastAsia="宋体" w:cs="Times New Roman"/>
                <w:color w:val="auto"/>
                <w:sz w:val="21"/>
                <w:szCs w:val="21"/>
                <w:highlight w:val="none"/>
                <w:lang w:val="en-US" w:eastAsia="zh-CN" w:bidi="ar"/>
              </w:rPr>
              <w:t>/</w:t>
            </w:r>
            <w:r>
              <w:rPr>
                <w:rFonts w:hint="default" w:ascii="Times New Roman" w:hAnsi="Times New Roman" w:eastAsia="宋体" w:cs="Times New Roman"/>
                <w:i w:val="0"/>
                <w:iCs w:val="0"/>
                <w:color w:val="auto"/>
                <w:kern w:val="0"/>
                <w:sz w:val="21"/>
                <w:szCs w:val="21"/>
                <w:highlight w:val="none"/>
                <w:u w:val="none"/>
                <w:lang w:val="en-US" w:eastAsia="zh-CN" w:bidi="ar"/>
              </w:rPr>
              <w:t>原子荧光法</w:t>
            </w:r>
            <w:r>
              <w:rPr>
                <w:rStyle w:val="542"/>
                <w:rFonts w:hint="default" w:ascii="Times New Roman" w:hAnsi="Times New Roman" w:eastAsia="宋体" w:cs="Times New Roman"/>
                <w:color w:val="auto"/>
                <w:sz w:val="21"/>
                <w:szCs w:val="21"/>
                <w:highlight w:val="none"/>
                <w:lang w:val="en-US" w:eastAsia="zh-CN" w:bidi="ar"/>
              </w:rPr>
              <w:t>HJ 680-2013</w:t>
            </w:r>
          </w:p>
        </w:tc>
        <w:tc>
          <w:tcPr>
            <w:tcW w:w="1381" w:type="pct"/>
            <w:noWrap w:val="0"/>
            <w:vAlign w:val="center"/>
          </w:tcPr>
          <w:p w14:paraId="53C5C0E2">
            <w:pPr>
              <w:keepNext w:val="0"/>
              <w:keepLines w:val="0"/>
              <w:widowControl/>
              <w:suppressLineNumbers w:val="0"/>
              <w:jc w:val="center"/>
              <w:textAlignment w:val="center"/>
              <w:rPr>
                <w:rFonts w:ascii="Times New Roman" w:hAnsi="Times New Roman" w:cs="Times New Roman"/>
                <w:sz w:val="21"/>
                <w:szCs w:val="21"/>
              </w:rPr>
            </w:pPr>
            <w:r>
              <w:rPr>
                <w:rFonts w:hint="default" w:ascii="Times New Roman" w:hAnsi="Times New Roman" w:eastAsia="宋体" w:cs="Times New Roman"/>
                <w:i w:val="0"/>
                <w:iCs w:val="0"/>
                <w:color w:val="000000"/>
                <w:kern w:val="0"/>
                <w:sz w:val="21"/>
                <w:szCs w:val="21"/>
                <w:u w:val="none"/>
                <w:lang w:val="en-US" w:eastAsia="zh-CN" w:bidi="ar"/>
              </w:rPr>
              <w:t>原子荧光光度计AFS-8220</w:t>
            </w:r>
          </w:p>
        </w:tc>
        <w:tc>
          <w:tcPr>
            <w:tcW w:w="730" w:type="pct"/>
            <w:noWrap w:val="0"/>
            <w:vAlign w:val="center"/>
          </w:tcPr>
          <w:p w14:paraId="60D170B4">
            <w:pPr>
              <w:keepNext w:val="0"/>
              <w:keepLines w:val="0"/>
              <w:widowControl/>
              <w:suppressLineNumbers w:val="0"/>
              <w:jc w:val="center"/>
              <w:textAlignment w:val="center"/>
              <w:rPr>
                <w:rFonts w:ascii="Times New Roman" w:hAnsi="Times New Roman" w:cs="Times New Roman"/>
                <w:sz w:val="21"/>
                <w:szCs w:val="21"/>
              </w:rPr>
            </w:pPr>
            <w:r>
              <w:rPr>
                <w:rFonts w:hint="default" w:ascii="Times New Roman" w:hAnsi="Times New Roman" w:eastAsia="宋体" w:cs="Times New Roman"/>
                <w:b w:val="0"/>
                <w:bCs w:val="0"/>
                <w:color w:val="000000"/>
                <w:kern w:val="0"/>
                <w:sz w:val="21"/>
                <w:szCs w:val="21"/>
                <w:lang w:val="en-US" w:eastAsia="zh-CN" w:bidi="ar-SA"/>
              </w:rPr>
              <w:t>0.01mg/kg</w:t>
            </w:r>
          </w:p>
        </w:tc>
      </w:tr>
      <w:tr w14:paraId="3ED84F47">
        <w:tblPrEx>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19" w:type="pct"/>
            <w:vMerge w:val="continue"/>
            <w:noWrap w:val="0"/>
            <w:vAlign w:val="center"/>
          </w:tcPr>
          <w:p w14:paraId="11CABF76">
            <w:pPr>
              <w:jc w:val="center"/>
              <w:rPr>
                <w:rFonts w:ascii="Times New Roman" w:hAnsi="Times New Roman" w:cs="Times New Roman"/>
                <w:sz w:val="21"/>
                <w:szCs w:val="21"/>
              </w:rPr>
            </w:pPr>
          </w:p>
        </w:tc>
        <w:tc>
          <w:tcPr>
            <w:tcW w:w="930" w:type="pct"/>
            <w:noWrap w:val="0"/>
            <w:vAlign w:val="center"/>
          </w:tcPr>
          <w:p w14:paraId="4A7D56C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Times New Roman" w:hAnsi="Times New Roman" w:cs="Times New Roman"/>
                <w:sz w:val="21"/>
                <w:szCs w:val="21"/>
              </w:rPr>
            </w:pPr>
            <w:r>
              <w:rPr>
                <w:rFonts w:hint="default" w:ascii="Times New Roman" w:hAnsi="Times New Roman" w:eastAsia="宋体" w:cs="Times New Roman"/>
                <w:i w:val="0"/>
                <w:iCs w:val="0"/>
                <w:color w:val="auto"/>
                <w:kern w:val="0"/>
                <w:sz w:val="21"/>
                <w:szCs w:val="21"/>
                <w:highlight w:val="none"/>
                <w:u w:val="none"/>
                <w:lang w:val="en-US" w:eastAsia="zh-CN" w:bidi="ar"/>
              </w:rPr>
              <w:t>镉</w:t>
            </w:r>
          </w:p>
        </w:tc>
        <w:tc>
          <w:tcPr>
            <w:tcW w:w="1537" w:type="pct"/>
            <w:noWrap w:val="0"/>
            <w:vAlign w:val="center"/>
          </w:tcPr>
          <w:p w14:paraId="077F946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土壤质量</w:t>
            </w:r>
            <w:r>
              <w:rPr>
                <w:rStyle w:val="542"/>
                <w:rFonts w:hint="default" w:ascii="Times New Roman" w:hAnsi="Times New Roman" w:eastAsia="宋体" w:cs="Times New Roman"/>
                <w:color w:val="auto"/>
                <w:sz w:val="21"/>
                <w:szCs w:val="21"/>
                <w:highlight w:val="none"/>
                <w:lang w:val="en-US" w:eastAsia="zh-CN" w:bidi="ar"/>
              </w:rPr>
              <w:t xml:space="preserve"> </w:t>
            </w:r>
            <w:r>
              <w:rPr>
                <w:rFonts w:hint="default" w:ascii="Times New Roman" w:hAnsi="Times New Roman" w:eastAsia="宋体" w:cs="Times New Roman"/>
                <w:i w:val="0"/>
                <w:iCs w:val="0"/>
                <w:color w:val="auto"/>
                <w:kern w:val="0"/>
                <w:sz w:val="21"/>
                <w:szCs w:val="21"/>
                <w:highlight w:val="none"/>
                <w:u w:val="none"/>
                <w:lang w:val="en-US" w:eastAsia="zh-CN" w:bidi="ar"/>
              </w:rPr>
              <w:t>铅、镉的测定</w:t>
            </w:r>
          </w:p>
          <w:p w14:paraId="2458B64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Times New Roman" w:hAnsi="Times New Roman" w:cs="Times New Roman"/>
                <w:sz w:val="21"/>
                <w:szCs w:val="21"/>
              </w:rPr>
            </w:pPr>
            <w:r>
              <w:rPr>
                <w:rFonts w:hint="default" w:ascii="Times New Roman" w:hAnsi="Times New Roman" w:eastAsia="宋体" w:cs="Times New Roman"/>
                <w:i w:val="0"/>
                <w:iCs w:val="0"/>
                <w:color w:val="auto"/>
                <w:kern w:val="0"/>
                <w:sz w:val="21"/>
                <w:szCs w:val="21"/>
                <w:highlight w:val="none"/>
                <w:u w:val="none"/>
                <w:lang w:val="en-US" w:eastAsia="zh-CN" w:bidi="ar"/>
              </w:rPr>
              <w:t>石墨炉原子吸收分光光度法</w:t>
            </w:r>
            <w:r>
              <w:rPr>
                <w:rStyle w:val="542"/>
                <w:rFonts w:hint="default" w:ascii="Times New Roman" w:hAnsi="Times New Roman" w:eastAsia="宋体" w:cs="Times New Roman"/>
                <w:color w:val="auto"/>
                <w:sz w:val="21"/>
                <w:szCs w:val="21"/>
                <w:highlight w:val="none"/>
                <w:lang w:val="en-US" w:eastAsia="zh-CN" w:bidi="ar"/>
              </w:rPr>
              <w:t>GB/T 17141-1997</w:t>
            </w:r>
          </w:p>
        </w:tc>
        <w:tc>
          <w:tcPr>
            <w:tcW w:w="1381" w:type="pct"/>
            <w:noWrap w:val="0"/>
            <w:vAlign w:val="center"/>
          </w:tcPr>
          <w:p w14:paraId="328A9C6B">
            <w:pPr>
              <w:keepNext w:val="0"/>
              <w:keepLines w:val="0"/>
              <w:widowControl/>
              <w:suppressLineNumbers w:val="0"/>
              <w:jc w:val="center"/>
              <w:textAlignment w:val="center"/>
              <w:rPr>
                <w:rFonts w:ascii="Times New Roman" w:hAnsi="Times New Roman" w:cs="Times New Roman"/>
                <w:sz w:val="21"/>
                <w:szCs w:val="21"/>
              </w:rPr>
            </w:pPr>
            <w:r>
              <w:rPr>
                <w:rFonts w:hint="default" w:ascii="Times New Roman" w:hAnsi="Times New Roman" w:eastAsia="宋体" w:cs="Times New Roman"/>
                <w:i w:val="0"/>
                <w:iCs w:val="0"/>
                <w:color w:val="000000"/>
                <w:kern w:val="0"/>
                <w:sz w:val="21"/>
                <w:szCs w:val="21"/>
                <w:u w:val="none"/>
                <w:lang w:val="en-US" w:eastAsia="zh-CN" w:bidi="ar"/>
              </w:rPr>
              <w:t>原子吸收分光光度计TAS-990AFG</w:t>
            </w:r>
          </w:p>
        </w:tc>
        <w:tc>
          <w:tcPr>
            <w:tcW w:w="730" w:type="pct"/>
            <w:noWrap w:val="0"/>
            <w:vAlign w:val="center"/>
          </w:tcPr>
          <w:p w14:paraId="3FAD5E2F">
            <w:pPr>
              <w:keepNext w:val="0"/>
              <w:keepLines w:val="0"/>
              <w:widowControl/>
              <w:suppressLineNumbers w:val="0"/>
              <w:jc w:val="center"/>
              <w:textAlignment w:val="center"/>
              <w:rPr>
                <w:rFonts w:ascii="Times New Roman" w:hAnsi="Times New Roman" w:cs="Times New Roman"/>
                <w:sz w:val="21"/>
                <w:szCs w:val="21"/>
              </w:rPr>
            </w:pPr>
            <w:r>
              <w:rPr>
                <w:rFonts w:hint="default" w:ascii="Times New Roman" w:hAnsi="Times New Roman" w:eastAsia="宋体" w:cs="Times New Roman"/>
                <w:b w:val="0"/>
                <w:bCs w:val="0"/>
                <w:color w:val="000000"/>
                <w:kern w:val="0"/>
                <w:sz w:val="21"/>
                <w:szCs w:val="21"/>
                <w:lang w:val="en-US" w:eastAsia="zh-CN" w:bidi="ar-SA"/>
              </w:rPr>
              <w:t>0.01mg/kg</w:t>
            </w:r>
          </w:p>
        </w:tc>
      </w:tr>
      <w:tr w14:paraId="7ECA4D70">
        <w:tblPrEx>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19" w:type="pct"/>
            <w:vMerge w:val="continue"/>
            <w:noWrap w:val="0"/>
            <w:vAlign w:val="center"/>
          </w:tcPr>
          <w:p w14:paraId="794F90AB">
            <w:pPr>
              <w:jc w:val="center"/>
              <w:rPr>
                <w:rFonts w:ascii="Times New Roman" w:hAnsi="Times New Roman" w:cs="Times New Roman"/>
                <w:sz w:val="21"/>
                <w:szCs w:val="21"/>
              </w:rPr>
            </w:pPr>
          </w:p>
        </w:tc>
        <w:tc>
          <w:tcPr>
            <w:tcW w:w="930" w:type="pct"/>
            <w:noWrap w:val="0"/>
            <w:vAlign w:val="center"/>
          </w:tcPr>
          <w:p w14:paraId="4A028031">
            <w:pPr>
              <w:keepNext w:val="0"/>
              <w:keepLines w:val="0"/>
              <w:widowControl/>
              <w:suppressLineNumbers w:val="0"/>
              <w:jc w:val="center"/>
              <w:textAlignment w:val="center"/>
              <w:rPr>
                <w:rFonts w:ascii="Times New Roman" w:hAnsi="Times New Roman" w:cs="Times New Roman"/>
                <w:sz w:val="21"/>
                <w:szCs w:val="21"/>
              </w:rPr>
            </w:pPr>
            <w:r>
              <w:rPr>
                <w:rFonts w:hint="default" w:ascii="Times New Roman" w:hAnsi="Times New Roman" w:eastAsia="宋体" w:cs="Times New Roman"/>
                <w:i w:val="0"/>
                <w:iCs w:val="0"/>
                <w:color w:val="000000"/>
                <w:kern w:val="0"/>
                <w:sz w:val="21"/>
                <w:szCs w:val="21"/>
                <w:u w:val="none"/>
                <w:lang w:val="en-US" w:eastAsia="zh-CN" w:bidi="ar"/>
              </w:rPr>
              <w:t>六价铬</w:t>
            </w:r>
          </w:p>
        </w:tc>
        <w:tc>
          <w:tcPr>
            <w:tcW w:w="1537" w:type="pct"/>
            <w:noWrap w:val="0"/>
            <w:vAlign w:val="center"/>
          </w:tcPr>
          <w:p w14:paraId="5729669D">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土壤和沉积物</w:t>
            </w:r>
            <w:r>
              <w:rPr>
                <w:rStyle w:val="542"/>
                <w:rFonts w:hint="default" w:ascii="Times New Roman" w:hAnsi="Times New Roman" w:eastAsia="宋体" w:cs="Times New Roman"/>
                <w:color w:val="auto"/>
                <w:sz w:val="21"/>
                <w:szCs w:val="21"/>
                <w:highlight w:val="none"/>
                <w:lang w:val="en-US" w:eastAsia="zh-CN" w:bidi="ar"/>
              </w:rPr>
              <w:t xml:space="preserve"> </w:t>
            </w:r>
            <w:r>
              <w:rPr>
                <w:rFonts w:hint="default" w:ascii="Times New Roman" w:hAnsi="Times New Roman" w:eastAsia="宋体" w:cs="Times New Roman"/>
                <w:i w:val="0"/>
                <w:iCs w:val="0"/>
                <w:color w:val="auto"/>
                <w:kern w:val="0"/>
                <w:sz w:val="21"/>
                <w:szCs w:val="21"/>
                <w:highlight w:val="none"/>
                <w:u w:val="none"/>
                <w:lang w:val="en-US" w:eastAsia="zh-CN" w:bidi="ar"/>
              </w:rPr>
              <w:t>六价铬的测定</w:t>
            </w:r>
          </w:p>
          <w:p w14:paraId="12F5239E">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ascii="Times New Roman" w:hAnsi="Times New Roman" w:cs="Times New Roman"/>
                <w:sz w:val="21"/>
                <w:szCs w:val="21"/>
              </w:rPr>
            </w:pPr>
            <w:r>
              <w:rPr>
                <w:rFonts w:hint="default" w:ascii="Times New Roman" w:hAnsi="Times New Roman" w:eastAsia="宋体" w:cs="Times New Roman"/>
                <w:i w:val="0"/>
                <w:iCs w:val="0"/>
                <w:color w:val="auto"/>
                <w:kern w:val="0"/>
                <w:sz w:val="21"/>
                <w:szCs w:val="21"/>
                <w:highlight w:val="none"/>
                <w:u w:val="none"/>
                <w:lang w:val="en-US" w:eastAsia="zh-CN" w:bidi="ar"/>
              </w:rPr>
              <w:t>碱溶液提取</w:t>
            </w:r>
            <w:r>
              <w:rPr>
                <w:rStyle w:val="542"/>
                <w:rFonts w:hint="default" w:ascii="Times New Roman" w:hAnsi="Times New Roman" w:eastAsia="宋体" w:cs="Times New Roman"/>
                <w:color w:val="auto"/>
                <w:sz w:val="21"/>
                <w:szCs w:val="21"/>
                <w:highlight w:val="none"/>
                <w:lang w:val="en-US" w:eastAsia="zh-CN" w:bidi="ar"/>
              </w:rPr>
              <w:t>-</w:t>
            </w:r>
            <w:r>
              <w:rPr>
                <w:rFonts w:hint="default" w:ascii="Times New Roman" w:hAnsi="Times New Roman" w:eastAsia="宋体" w:cs="Times New Roman"/>
                <w:i w:val="0"/>
                <w:iCs w:val="0"/>
                <w:color w:val="auto"/>
                <w:kern w:val="0"/>
                <w:sz w:val="21"/>
                <w:szCs w:val="21"/>
                <w:highlight w:val="none"/>
                <w:u w:val="none"/>
                <w:lang w:val="en-US" w:eastAsia="zh-CN" w:bidi="ar"/>
              </w:rPr>
              <w:t>火焰原子吸收分光光度法</w:t>
            </w:r>
            <w:r>
              <w:rPr>
                <w:rStyle w:val="542"/>
                <w:rFonts w:hint="default" w:ascii="Times New Roman" w:hAnsi="Times New Roman" w:eastAsia="宋体" w:cs="Times New Roman"/>
                <w:color w:val="auto"/>
                <w:sz w:val="21"/>
                <w:szCs w:val="21"/>
                <w:highlight w:val="none"/>
                <w:lang w:val="en-US" w:eastAsia="zh-CN" w:bidi="ar"/>
              </w:rPr>
              <w:t>HJ1082-2019</w:t>
            </w:r>
          </w:p>
        </w:tc>
        <w:tc>
          <w:tcPr>
            <w:tcW w:w="1381" w:type="pct"/>
            <w:noWrap w:val="0"/>
            <w:vAlign w:val="center"/>
          </w:tcPr>
          <w:p w14:paraId="2BF73768">
            <w:pPr>
              <w:keepNext w:val="0"/>
              <w:keepLines w:val="0"/>
              <w:widowControl/>
              <w:suppressLineNumbers w:val="0"/>
              <w:jc w:val="center"/>
              <w:textAlignment w:val="center"/>
              <w:rPr>
                <w:rFonts w:ascii="Times New Roman" w:hAnsi="Times New Roman" w:cs="Times New Roman"/>
                <w:sz w:val="21"/>
                <w:szCs w:val="21"/>
              </w:rPr>
            </w:pPr>
            <w:r>
              <w:rPr>
                <w:rFonts w:hint="default" w:ascii="Times New Roman" w:hAnsi="Times New Roman" w:eastAsia="宋体" w:cs="Times New Roman"/>
                <w:i w:val="0"/>
                <w:iCs w:val="0"/>
                <w:color w:val="000000"/>
                <w:kern w:val="0"/>
                <w:sz w:val="21"/>
                <w:szCs w:val="21"/>
                <w:u w:val="none"/>
                <w:lang w:val="en-US" w:eastAsia="zh-CN" w:bidi="ar"/>
              </w:rPr>
              <w:t>原子吸收分光光度计TAS-990AFG</w:t>
            </w:r>
          </w:p>
        </w:tc>
        <w:tc>
          <w:tcPr>
            <w:tcW w:w="730" w:type="pct"/>
            <w:noWrap w:val="0"/>
            <w:vAlign w:val="center"/>
          </w:tcPr>
          <w:p w14:paraId="09C0FB13">
            <w:pPr>
              <w:keepNext w:val="0"/>
              <w:keepLines w:val="0"/>
              <w:widowControl/>
              <w:suppressLineNumbers w:val="0"/>
              <w:jc w:val="center"/>
              <w:textAlignment w:val="center"/>
              <w:rPr>
                <w:rFonts w:ascii="Times New Roman" w:hAnsi="Times New Roman" w:cs="Times New Roman"/>
                <w:sz w:val="21"/>
                <w:szCs w:val="21"/>
              </w:rPr>
            </w:pPr>
            <w:r>
              <w:rPr>
                <w:rFonts w:hint="default" w:ascii="Times New Roman" w:hAnsi="Times New Roman" w:eastAsia="宋体" w:cs="Times New Roman"/>
                <w:b w:val="0"/>
                <w:bCs w:val="0"/>
                <w:color w:val="000000"/>
                <w:kern w:val="0"/>
                <w:sz w:val="21"/>
                <w:szCs w:val="21"/>
                <w:lang w:val="en-US" w:eastAsia="zh-CN" w:bidi="ar-SA"/>
              </w:rPr>
              <w:t>0.5mg/kg</w:t>
            </w:r>
          </w:p>
        </w:tc>
      </w:tr>
      <w:tr w14:paraId="2856EAF1">
        <w:tblPrEx>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19" w:type="pct"/>
            <w:vMerge w:val="continue"/>
            <w:noWrap w:val="0"/>
            <w:vAlign w:val="center"/>
          </w:tcPr>
          <w:p w14:paraId="2969B0A4">
            <w:pPr>
              <w:jc w:val="center"/>
              <w:rPr>
                <w:rFonts w:ascii="Times New Roman" w:hAnsi="Times New Roman" w:cs="Times New Roman"/>
                <w:sz w:val="21"/>
                <w:szCs w:val="21"/>
              </w:rPr>
            </w:pPr>
          </w:p>
        </w:tc>
        <w:tc>
          <w:tcPr>
            <w:tcW w:w="930" w:type="pct"/>
            <w:noWrap w:val="0"/>
            <w:vAlign w:val="center"/>
          </w:tcPr>
          <w:p w14:paraId="55BD9BE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Times New Roman" w:hAnsi="Times New Roman" w:cs="Times New Roman"/>
                <w:sz w:val="21"/>
                <w:szCs w:val="21"/>
              </w:rPr>
            </w:pPr>
            <w:r>
              <w:rPr>
                <w:rFonts w:hint="default" w:ascii="Times New Roman" w:hAnsi="Times New Roman" w:eastAsia="宋体" w:cs="Times New Roman"/>
                <w:i w:val="0"/>
                <w:iCs w:val="0"/>
                <w:color w:val="auto"/>
                <w:kern w:val="0"/>
                <w:sz w:val="21"/>
                <w:szCs w:val="21"/>
                <w:highlight w:val="none"/>
                <w:u w:val="none"/>
                <w:lang w:val="en-US" w:eastAsia="zh-CN" w:bidi="ar"/>
              </w:rPr>
              <w:t>铜</w:t>
            </w:r>
          </w:p>
        </w:tc>
        <w:tc>
          <w:tcPr>
            <w:tcW w:w="1537" w:type="pct"/>
            <w:noWrap w:val="0"/>
            <w:vAlign w:val="center"/>
          </w:tcPr>
          <w:p w14:paraId="6131F52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土壤和沉积物</w:t>
            </w:r>
            <w:r>
              <w:rPr>
                <w:rStyle w:val="542"/>
                <w:rFonts w:hint="default" w:ascii="Times New Roman" w:hAnsi="Times New Roman" w:eastAsia="宋体" w:cs="Times New Roman"/>
                <w:color w:val="auto"/>
                <w:sz w:val="21"/>
                <w:szCs w:val="21"/>
                <w:highlight w:val="none"/>
                <w:lang w:val="en-US" w:eastAsia="zh-CN" w:bidi="ar"/>
              </w:rPr>
              <w:t xml:space="preserve"> </w:t>
            </w:r>
            <w:r>
              <w:rPr>
                <w:rFonts w:hint="default" w:ascii="Times New Roman" w:hAnsi="Times New Roman" w:eastAsia="宋体" w:cs="Times New Roman"/>
                <w:i w:val="0"/>
                <w:iCs w:val="0"/>
                <w:color w:val="auto"/>
                <w:kern w:val="0"/>
                <w:sz w:val="21"/>
                <w:szCs w:val="21"/>
                <w:highlight w:val="none"/>
                <w:u w:val="none"/>
                <w:lang w:val="en-US" w:eastAsia="zh-CN" w:bidi="ar"/>
              </w:rPr>
              <w:t>铜、锌、铅、镍、铬的测定</w:t>
            </w:r>
          </w:p>
          <w:p w14:paraId="75CD9D2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Times New Roman" w:hAnsi="Times New Roman" w:cs="Times New Roman"/>
                <w:sz w:val="21"/>
                <w:szCs w:val="21"/>
              </w:rPr>
            </w:pPr>
            <w:r>
              <w:rPr>
                <w:rFonts w:hint="default" w:ascii="Times New Roman" w:hAnsi="Times New Roman" w:eastAsia="宋体" w:cs="Times New Roman"/>
                <w:i w:val="0"/>
                <w:iCs w:val="0"/>
                <w:color w:val="auto"/>
                <w:kern w:val="0"/>
                <w:sz w:val="21"/>
                <w:szCs w:val="21"/>
                <w:highlight w:val="none"/>
                <w:u w:val="none"/>
                <w:lang w:val="en-US" w:eastAsia="zh-CN" w:bidi="ar"/>
              </w:rPr>
              <w:t>火焰原子吸收分光光度法</w:t>
            </w:r>
            <w:r>
              <w:rPr>
                <w:rStyle w:val="542"/>
                <w:rFonts w:hint="default" w:ascii="Times New Roman" w:hAnsi="Times New Roman" w:eastAsia="宋体" w:cs="Times New Roman"/>
                <w:color w:val="auto"/>
                <w:sz w:val="21"/>
                <w:szCs w:val="21"/>
                <w:highlight w:val="none"/>
                <w:lang w:val="en-US" w:eastAsia="zh-CN" w:bidi="ar"/>
              </w:rPr>
              <w:t>HJ 491-2019</w:t>
            </w:r>
          </w:p>
        </w:tc>
        <w:tc>
          <w:tcPr>
            <w:tcW w:w="1381" w:type="pct"/>
            <w:noWrap w:val="0"/>
            <w:vAlign w:val="center"/>
          </w:tcPr>
          <w:p w14:paraId="5E37845D">
            <w:pPr>
              <w:keepNext w:val="0"/>
              <w:keepLines w:val="0"/>
              <w:widowControl/>
              <w:suppressLineNumbers w:val="0"/>
              <w:jc w:val="center"/>
              <w:textAlignment w:val="center"/>
              <w:rPr>
                <w:rFonts w:ascii="Times New Roman" w:hAnsi="Times New Roman" w:cs="Times New Roman"/>
                <w:sz w:val="21"/>
                <w:szCs w:val="21"/>
              </w:rPr>
            </w:pPr>
            <w:r>
              <w:rPr>
                <w:rFonts w:hint="default" w:ascii="Times New Roman" w:hAnsi="Times New Roman" w:eastAsia="宋体" w:cs="Times New Roman"/>
                <w:i w:val="0"/>
                <w:iCs w:val="0"/>
                <w:color w:val="000000"/>
                <w:kern w:val="0"/>
                <w:sz w:val="21"/>
                <w:szCs w:val="21"/>
                <w:u w:val="none"/>
                <w:lang w:val="en-US" w:eastAsia="zh-CN" w:bidi="ar"/>
              </w:rPr>
              <w:t>原子吸收分光光度计TAS-990AFG</w:t>
            </w:r>
          </w:p>
        </w:tc>
        <w:tc>
          <w:tcPr>
            <w:tcW w:w="730" w:type="pct"/>
            <w:noWrap w:val="0"/>
            <w:vAlign w:val="center"/>
          </w:tcPr>
          <w:p w14:paraId="4BD6E927">
            <w:pPr>
              <w:keepNext w:val="0"/>
              <w:keepLines w:val="0"/>
              <w:widowControl/>
              <w:suppressLineNumbers w:val="0"/>
              <w:jc w:val="center"/>
              <w:textAlignment w:val="center"/>
              <w:rPr>
                <w:rFonts w:ascii="Times New Roman" w:hAnsi="Times New Roman" w:cs="Times New Roman"/>
                <w:sz w:val="21"/>
                <w:szCs w:val="21"/>
              </w:rPr>
            </w:pPr>
            <w:r>
              <w:rPr>
                <w:rFonts w:hint="default" w:ascii="Times New Roman" w:hAnsi="Times New Roman" w:eastAsia="宋体" w:cs="Times New Roman"/>
                <w:i w:val="0"/>
                <w:iCs w:val="0"/>
                <w:color w:val="000000"/>
                <w:kern w:val="0"/>
                <w:sz w:val="21"/>
                <w:szCs w:val="21"/>
                <w:u w:val="none"/>
                <w:lang w:val="en-US" w:eastAsia="zh-CN" w:bidi="ar"/>
              </w:rPr>
              <w:t>1mg/kg</w:t>
            </w:r>
          </w:p>
        </w:tc>
      </w:tr>
      <w:tr w14:paraId="2D4ABCE8">
        <w:tblPrEx>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19" w:type="pct"/>
            <w:vMerge w:val="continue"/>
            <w:noWrap w:val="0"/>
            <w:vAlign w:val="center"/>
          </w:tcPr>
          <w:p w14:paraId="1E76E09C">
            <w:pPr>
              <w:jc w:val="center"/>
              <w:rPr>
                <w:rFonts w:ascii="Times New Roman" w:hAnsi="Times New Roman" w:cs="Times New Roman"/>
                <w:sz w:val="21"/>
                <w:szCs w:val="21"/>
              </w:rPr>
            </w:pPr>
          </w:p>
        </w:tc>
        <w:tc>
          <w:tcPr>
            <w:tcW w:w="930" w:type="pct"/>
            <w:noWrap w:val="0"/>
            <w:vAlign w:val="center"/>
          </w:tcPr>
          <w:p w14:paraId="7B2BEAC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Times New Roman" w:hAnsi="Times New Roman" w:cs="Times New Roman"/>
                <w:sz w:val="21"/>
                <w:szCs w:val="21"/>
              </w:rPr>
            </w:pPr>
            <w:r>
              <w:rPr>
                <w:rFonts w:hint="default" w:ascii="Times New Roman" w:hAnsi="Times New Roman" w:eastAsia="宋体" w:cs="Times New Roman"/>
                <w:i w:val="0"/>
                <w:iCs w:val="0"/>
                <w:color w:val="auto"/>
                <w:kern w:val="0"/>
                <w:sz w:val="21"/>
                <w:szCs w:val="21"/>
                <w:highlight w:val="none"/>
                <w:u w:val="none"/>
                <w:lang w:val="en-US" w:eastAsia="zh-CN" w:bidi="ar"/>
              </w:rPr>
              <w:t>铅</w:t>
            </w:r>
          </w:p>
        </w:tc>
        <w:tc>
          <w:tcPr>
            <w:tcW w:w="1537" w:type="pct"/>
            <w:noWrap w:val="0"/>
            <w:vAlign w:val="center"/>
          </w:tcPr>
          <w:p w14:paraId="266065C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土壤和沉积物</w:t>
            </w:r>
            <w:r>
              <w:rPr>
                <w:rStyle w:val="542"/>
                <w:rFonts w:hint="default" w:ascii="Times New Roman" w:hAnsi="Times New Roman" w:eastAsia="宋体" w:cs="Times New Roman"/>
                <w:color w:val="auto"/>
                <w:sz w:val="21"/>
                <w:szCs w:val="21"/>
                <w:highlight w:val="none"/>
                <w:lang w:val="en-US" w:eastAsia="zh-CN" w:bidi="ar"/>
              </w:rPr>
              <w:t xml:space="preserve"> </w:t>
            </w:r>
            <w:r>
              <w:rPr>
                <w:rFonts w:hint="default" w:ascii="Times New Roman" w:hAnsi="Times New Roman" w:eastAsia="宋体" w:cs="Times New Roman"/>
                <w:i w:val="0"/>
                <w:iCs w:val="0"/>
                <w:color w:val="auto"/>
                <w:kern w:val="0"/>
                <w:sz w:val="21"/>
                <w:szCs w:val="21"/>
                <w:highlight w:val="none"/>
                <w:u w:val="none"/>
                <w:lang w:val="en-US" w:eastAsia="zh-CN" w:bidi="ar"/>
              </w:rPr>
              <w:t>铜、锌、铅、镍、铬的测定</w:t>
            </w:r>
          </w:p>
          <w:p w14:paraId="68C3621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Times New Roman" w:hAnsi="Times New Roman" w:cs="Times New Roman"/>
                <w:sz w:val="21"/>
                <w:szCs w:val="21"/>
              </w:rPr>
            </w:pPr>
            <w:r>
              <w:rPr>
                <w:rFonts w:hint="default" w:ascii="Times New Roman" w:hAnsi="Times New Roman" w:eastAsia="宋体" w:cs="Times New Roman"/>
                <w:i w:val="0"/>
                <w:iCs w:val="0"/>
                <w:color w:val="auto"/>
                <w:kern w:val="0"/>
                <w:sz w:val="21"/>
                <w:szCs w:val="21"/>
                <w:highlight w:val="none"/>
                <w:u w:val="none"/>
                <w:lang w:val="en-US" w:eastAsia="zh-CN" w:bidi="ar"/>
              </w:rPr>
              <w:t>火焰原子吸收分光光度法</w:t>
            </w:r>
            <w:r>
              <w:rPr>
                <w:rStyle w:val="542"/>
                <w:rFonts w:hint="default" w:ascii="Times New Roman" w:hAnsi="Times New Roman" w:eastAsia="宋体" w:cs="Times New Roman"/>
                <w:color w:val="auto"/>
                <w:sz w:val="21"/>
                <w:szCs w:val="21"/>
                <w:highlight w:val="none"/>
                <w:lang w:val="en-US" w:eastAsia="zh-CN" w:bidi="ar"/>
              </w:rPr>
              <w:t>HJ 491-2019</w:t>
            </w:r>
          </w:p>
        </w:tc>
        <w:tc>
          <w:tcPr>
            <w:tcW w:w="1381" w:type="pct"/>
            <w:noWrap w:val="0"/>
            <w:vAlign w:val="center"/>
          </w:tcPr>
          <w:p w14:paraId="0DAF8794">
            <w:pPr>
              <w:keepNext w:val="0"/>
              <w:keepLines w:val="0"/>
              <w:widowControl/>
              <w:suppressLineNumbers w:val="0"/>
              <w:jc w:val="center"/>
              <w:textAlignment w:val="center"/>
              <w:rPr>
                <w:rFonts w:ascii="Times New Roman" w:hAnsi="Times New Roman" w:cs="Times New Roman"/>
                <w:sz w:val="21"/>
                <w:szCs w:val="21"/>
              </w:rPr>
            </w:pPr>
            <w:r>
              <w:rPr>
                <w:rFonts w:hint="default" w:ascii="Times New Roman" w:hAnsi="Times New Roman" w:eastAsia="宋体" w:cs="Times New Roman"/>
                <w:i w:val="0"/>
                <w:iCs w:val="0"/>
                <w:color w:val="000000"/>
                <w:kern w:val="0"/>
                <w:sz w:val="21"/>
                <w:szCs w:val="21"/>
                <w:u w:val="none"/>
                <w:lang w:val="en-US" w:eastAsia="zh-CN" w:bidi="ar"/>
              </w:rPr>
              <w:t>原子吸收分光光度计TAS-990AFG</w:t>
            </w:r>
          </w:p>
        </w:tc>
        <w:tc>
          <w:tcPr>
            <w:tcW w:w="730" w:type="pct"/>
            <w:noWrap w:val="0"/>
            <w:vAlign w:val="center"/>
          </w:tcPr>
          <w:p w14:paraId="70DAB2AC">
            <w:pPr>
              <w:keepNext w:val="0"/>
              <w:keepLines w:val="0"/>
              <w:widowControl/>
              <w:suppressLineNumbers w:val="0"/>
              <w:jc w:val="center"/>
              <w:textAlignment w:val="center"/>
              <w:rPr>
                <w:rFonts w:ascii="Times New Roman" w:hAnsi="Times New Roman" w:cs="Times New Roman"/>
                <w:sz w:val="21"/>
                <w:szCs w:val="21"/>
              </w:rPr>
            </w:pPr>
            <w:r>
              <w:rPr>
                <w:rFonts w:hint="default" w:ascii="Times New Roman" w:hAnsi="Times New Roman" w:eastAsia="宋体" w:cs="Times New Roman"/>
                <w:i w:val="0"/>
                <w:iCs w:val="0"/>
                <w:color w:val="000000"/>
                <w:kern w:val="0"/>
                <w:sz w:val="21"/>
                <w:szCs w:val="21"/>
                <w:u w:val="none"/>
                <w:lang w:val="en-US" w:eastAsia="zh-CN" w:bidi="ar"/>
              </w:rPr>
              <w:t>10mg/kg</w:t>
            </w:r>
          </w:p>
        </w:tc>
      </w:tr>
      <w:tr w14:paraId="611DEFAD">
        <w:tblPrEx>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19" w:type="pct"/>
            <w:vMerge w:val="continue"/>
            <w:noWrap w:val="0"/>
            <w:vAlign w:val="center"/>
          </w:tcPr>
          <w:p w14:paraId="1E4A61CC">
            <w:pPr>
              <w:jc w:val="center"/>
              <w:rPr>
                <w:rFonts w:ascii="Times New Roman" w:hAnsi="Times New Roman" w:cs="Times New Roman"/>
                <w:sz w:val="21"/>
                <w:szCs w:val="21"/>
              </w:rPr>
            </w:pPr>
          </w:p>
        </w:tc>
        <w:tc>
          <w:tcPr>
            <w:tcW w:w="930" w:type="pct"/>
            <w:noWrap w:val="0"/>
            <w:vAlign w:val="center"/>
          </w:tcPr>
          <w:p w14:paraId="78A58F0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Times New Roman" w:hAnsi="Times New Roman" w:cs="Times New Roman"/>
                <w:sz w:val="21"/>
                <w:szCs w:val="21"/>
              </w:rPr>
            </w:pPr>
            <w:r>
              <w:rPr>
                <w:rFonts w:hint="default" w:ascii="Times New Roman" w:hAnsi="Times New Roman" w:eastAsia="宋体" w:cs="Times New Roman"/>
                <w:i w:val="0"/>
                <w:iCs w:val="0"/>
                <w:color w:val="auto"/>
                <w:kern w:val="0"/>
                <w:sz w:val="21"/>
                <w:szCs w:val="21"/>
                <w:highlight w:val="none"/>
                <w:u w:val="none"/>
                <w:lang w:val="en-US" w:eastAsia="zh-CN" w:bidi="ar"/>
              </w:rPr>
              <w:t>汞</w:t>
            </w:r>
          </w:p>
        </w:tc>
        <w:tc>
          <w:tcPr>
            <w:tcW w:w="1537" w:type="pct"/>
            <w:noWrap w:val="0"/>
            <w:vAlign w:val="center"/>
          </w:tcPr>
          <w:p w14:paraId="2074EE8F">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土壤和沉积物</w:t>
            </w:r>
            <w:r>
              <w:rPr>
                <w:rStyle w:val="542"/>
                <w:rFonts w:hint="default" w:ascii="Times New Roman" w:hAnsi="Times New Roman" w:eastAsia="宋体" w:cs="Times New Roman"/>
                <w:color w:val="auto"/>
                <w:sz w:val="21"/>
                <w:szCs w:val="21"/>
                <w:highlight w:val="none"/>
                <w:lang w:val="en-US" w:eastAsia="zh-CN" w:bidi="ar"/>
              </w:rPr>
              <w:t xml:space="preserve"> </w:t>
            </w:r>
            <w:r>
              <w:rPr>
                <w:rFonts w:hint="default" w:ascii="Times New Roman" w:hAnsi="Times New Roman" w:eastAsia="宋体" w:cs="Times New Roman"/>
                <w:i w:val="0"/>
                <w:iCs w:val="0"/>
                <w:color w:val="auto"/>
                <w:kern w:val="0"/>
                <w:sz w:val="21"/>
                <w:szCs w:val="21"/>
                <w:highlight w:val="none"/>
                <w:u w:val="none"/>
                <w:lang w:val="en-US" w:eastAsia="zh-CN" w:bidi="ar"/>
              </w:rPr>
              <w:t>汞、砷、硒、铋、锑的测定</w:t>
            </w:r>
          </w:p>
          <w:p w14:paraId="539ED13D">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ascii="Times New Roman" w:hAnsi="Times New Roman" w:cs="Times New Roman"/>
                <w:sz w:val="21"/>
                <w:szCs w:val="21"/>
              </w:rPr>
            </w:pPr>
            <w:r>
              <w:rPr>
                <w:rFonts w:hint="default" w:ascii="Times New Roman" w:hAnsi="Times New Roman" w:eastAsia="宋体" w:cs="Times New Roman"/>
                <w:i w:val="0"/>
                <w:iCs w:val="0"/>
                <w:color w:val="auto"/>
                <w:kern w:val="0"/>
                <w:sz w:val="21"/>
                <w:szCs w:val="21"/>
                <w:highlight w:val="none"/>
                <w:u w:val="none"/>
                <w:lang w:val="en-US" w:eastAsia="zh-CN" w:bidi="ar"/>
              </w:rPr>
              <w:t>微波消解</w:t>
            </w:r>
            <w:r>
              <w:rPr>
                <w:rStyle w:val="542"/>
                <w:rFonts w:hint="default" w:ascii="Times New Roman" w:hAnsi="Times New Roman" w:eastAsia="宋体" w:cs="Times New Roman"/>
                <w:color w:val="auto"/>
                <w:sz w:val="21"/>
                <w:szCs w:val="21"/>
                <w:highlight w:val="none"/>
                <w:lang w:val="en-US" w:eastAsia="zh-CN" w:bidi="ar"/>
              </w:rPr>
              <w:t>/</w:t>
            </w:r>
            <w:r>
              <w:rPr>
                <w:rFonts w:hint="default" w:ascii="Times New Roman" w:hAnsi="Times New Roman" w:eastAsia="宋体" w:cs="Times New Roman"/>
                <w:i w:val="0"/>
                <w:iCs w:val="0"/>
                <w:color w:val="auto"/>
                <w:kern w:val="0"/>
                <w:sz w:val="21"/>
                <w:szCs w:val="21"/>
                <w:highlight w:val="none"/>
                <w:u w:val="none"/>
                <w:lang w:val="en-US" w:eastAsia="zh-CN" w:bidi="ar"/>
              </w:rPr>
              <w:t>原子荧光法</w:t>
            </w:r>
            <w:r>
              <w:rPr>
                <w:rStyle w:val="542"/>
                <w:rFonts w:hint="default" w:ascii="Times New Roman" w:hAnsi="Times New Roman" w:eastAsia="宋体" w:cs="Times New Roman"/>
                <w:color w:val="auto"/>
                <w:sz w:val="21"/>
                <w:szCs w:val="21"/>
                <w:highlight w:val="none"/>
                <w:lang w:val="en-US" w:eastAsia="zh-CN" w:bidi="ar"/>
              </w:rPr>
              <w:t>HJ 680-2013</w:t>
            </w:r>
          </w:p>
        </w:tc>
        <w:tc>
          <w:tcPr>
            <w:tcW w:w="1381" w:type="pct"/>
            <w:noWrap w:val="0"/>
            <w:vAlign w:val="center"/>
          </w:tcPr>
          <w:p w14:paraId="229C0DCE">
            <w:pPr>
              <w:keepNext w:val="0"/>
              <w:keepLines w:val="0"/>
              <w:widowControl/>
              <w:suppressLineNumbers w:val="0"/>
              <w:jc w:val="center"/>
              <w:textAlignment w:val="center"/>
              <w:rPr>
                <w:rFonts w:ascii="Times New Roman" w:hAnsi="Times New Roman" w:cs="Times New Roman"/>
                <w:sz w:val="21"/>
                <w:szCs w:val="21"/>
              </w:rPr>
            </w:pPr>
            <w:r>
              <w:rPr>
                <w:rFonts w:hint="default" w:ascii="Times New Roman" w:hAnsi="Times New Roman" w:eastAsia="宋体" w:cs="Times New Roman"/>
                <w:i w:val="0"/>
                <w:iCs w:val="0"/>
                <w:color w:val="000000"/>
                <w:kern w:val="0"/>
                <w:sz w:val="21"/>
                <w:szCs w:val="21"/>
                <w:u w:val="none"/>
                <w:lang w:val="en-US" w:eastAsia="zh-CN" w:bidi="ar"/>
              </w:rPr>
              <w:t>原子荧光光度计AFS-8220</w:t>
            </w:r>
          </w:p>
        </w:tc>
        <w:tc>
          <w:tcPr>
            <w:tcW w:w="730" w:type="pct"/>
            <w:noWrap w:val="0"/>
            <w:vAlign w:val="center"/>
          </w:tcPr>
          <w:p w14:paraId="1DE64CD1">
            <w:pPr>
              <w:keepNext w:val="0"/>
              <w:keepLines w:val="0"/>
              <w:widowControl/>
              <w:suppressLineNumbers w:val="0"/>
              <w:jc w:val="center"/>
              <w:textAlignment w:val="center"/>
              <w:rPr>
                <w:rFonts w:ascii="Times New Roman" w:hAnsi="Times New Roman" w:cs="Times New Roman"/>
                <w:sz w:val="21"/>
                <w:szCs w:val="21"/>
              </w:rPr>
            </w:pPr>
            <w:r>
              <w:rPr>
                <w:rFonts w:hint="default" w:ascii="Times New Roman" w:hAnsi="Times New Roman" w:eastAsia="宋体" w:cs="Times New Roman"/>
                <w:b w:val="0"/>
                <w:bCs w:val="0"/>
                <w:color w:val="000000"/>
                <w:kern w:val="0"/>
                <w:sz w:val="21"/>
                <w:szCs w:val="21"/>
                <w:lang w:eastAsia="zh-CN"/>
              </w:rPr>
              <w:t>0.002mg/kg</w:t>
            </w:r>
          </w:p>
        </w:tc>
      </w:tr>
      <w:tr w14:paraId="7ADBAD83">
        <w:tblPrEx>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19" w:type="pct"/>
            <w:vMerge w:val="continue"/>
            <w:noWrap w:val="0"/>
            <w:vAlign w:val="center"/>
          </w:tcPr>
          <w:p w14:paraId="2944DE3B">
            <w:pPr>
              <w:jc w:val="center"/>
              <w:rPr>
                <w:rFonts w:ascii="Times New Roman" w:hAnsi="Times New Roman" w:cs="Times New Roman"/>
                <w:sz w:val="21"/>
                <w:szCs w:val="21"/>
              </w:rPr>
            </w:pPr>
          </w:p>
        </w:tc>
        <w:tc>
          <w:tcPr>
            <w:tcW w:w="930" w:type="pct"/>
            <w:noWrap w:val="0"/>
            <w:vAlign w:val="center"/>
          </w:tcPr>
          <w:p w14:paraId="58F6509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Times New Roman" w:hAnsi="Times New Roman" w:cs="Times New Roman"/>
                <w:sz w:val="21"/>
                <w:szCs w:val="21"/>
              </w:rPr>
            </w:pPr>
            <w:r>
              <w:rPr>
                <w:rFonts w:hint="default" w:ascii="Times New Roman" w:hAnsi="Times New Roman" w:eastAsia="宋体" w:cs="Times New Roman"/>
                <w:i w:val="0"/>
                <w:iCs w:val="0"/>
                <w:color w:val="auto"/>
                <w:kern w:val="0"/>
                <w:sz w:val="21"/>
                <w:szCs w:val="21"/>
                <w:highlight w:val="none"/>
                <w:u w:val="none"/>
                <w:lang w:val="en-US" w:eastAsia="zh-CN" w:bidi="ar"/>
              </w:rPr>
              <w:t>镍</w:t>
            </w:r>
          </w:p>
        </w:tc>
        <w:tc>
          <w:tcPr>
            <w:tcW w:w="1537" w:type="pct"/>
            <w:noWrap w:val="0"/>
            <w:vAlign w:val="center"/>
          </w:tcPr>
          <w:p w14:paraId="7237EAF6">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土壤和沉积物</w:t>
            </w:r>
            <w:r>
              <w:rPr>
                <w:rStyle w:val="542"/>
                <w:rFonts w:hint="default" w:ascii="Times New Roman" w:hAnsi="Times New Roman" w:eastAsia="宋体" w:cs="Times New Roman"/>
                <w:color w:val="auto"/>
                <w:sz w:val="21"/>
                <w:szCs w:val="21"/>
                <w:highlight w:val="none"/>
                <w:lang w:val="en-US" w:eastAsia="zh-CN" w:bidi="ar"/>
              </w:rPr>
              <w:t xml:space="preserve"> </w:t>
            </w:r>
            <w:r>
              <w:rPr>
                <w:rFonts w:hint="default" w:ascii="Times New Roman" w:hAnsi="Times New Roman" w:eastAsia="宋体" w:cs="Times New Roman"/>
                <w:i w:val="0"/>
                <w:iCs w:val="0"/>
                <w:color w:val="auto"/>
                <w:kern w:val="0"/>
                <w:sz w:val="21"/>
                <w:szCs w:val="21"/>
                <w:highlight w:val="none"/>
                <w:u w:val="none"/>
                <w:lang w:val="en-US" w:eastAsia="zh-CN" w:bidi="ar"/>
              </w:rPr>
              <w:t>铜、锌、铅、镍、铬的测定</w:t>
            </w:r>
          </w:p>
          <w:p w14:paraId="734A12E3">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ascii="Times New Roman" w:hAnsi="Times New Roman" w:cs="Times New Roman"/>
                <w:sz w:val="21"/>
                <w:szCs w:val="21"/>
              </w:rPr>
            </w:pPr>
            <w:r>
              <w:rPr>
                <w:rFonts w:hint="default" w:ascii="Times New Roman" w:hAnsi="Times New Roman" w:eastAsia="宋体" w:cs="Times New Roman"/>
                <w:i w:val="0"/>
                <w:iCs w:val="0"/>
                <w:color w:val="auto"/>
                <w:kern w:val="0"/>
                <w:sz w:val="21"/>
                <w:szCs w:val="21"/>
                <w:highlight w:val="none"/>
                <w:u w:val="none"/>
                <w:lang w:val="en-US" w:eastAsia="zh-CN" w:bidi="ar"/>
              </w:rPr>
              <w:t>火焰原子吸收分光光度法</w:t>
            </w:r>
            <w:r>
              <w:rPr>
                <w:rStyle w:val="542"/>
                <w:rFonts w:hint="default" w:ascii="Times New Roman" w:hAnsi="Times New Roman" w:eastAsia="宋体" w:cs="Times New Roman"/>
                <w:color w:val="auto"/>
                <w:sz w:val="21"/>
                <w:szCs w:val="21"/>
                <w:highlight w:val="none"/>
                <w:lang w:val="en-US" w:eastAsia="zh-CN" w:bidi="ar"/>
              </w:rPr>
              <w:t>HJ 491-2019</w:t>
            </w:r>
          </w:p>
        </w:tc>
        <w:tc>
          <w:tcPr>
            <w:tcW w:w="1381" w:type="pct"/>
            <w:noWrap w:val="0"/>
            <w:vAlign w:val="center"/>
          </w:tcPr>
          <w:p w14:paraId="36D60B2E">
            <w:pPr>
              <w:keepNext w:val="0"/>
              <w:keepLines w:val="0"/>
              <w:widowControl/>
              <w:suppressLineNumbers w:val="0"/>
              <w:jc w:val="center"/>
              <w:textAlignment w:val="center"/>
              <w:rPr>
                <w:rFonts w:ascii="Times New Roman" w:hAnsi="Times New Roman" w:cs="Times New Roman"/>
                <w:sz w:val="21"/>
                <w:szCs w:val="21"/>
              </w:rPr>
            </w:pPr>
            <w:r>
              <w:rPr>
                <w:rFonts w:hint="default" w:ascii="Times New Roman" w:hAnsi="Times New Roman" w:eastAsia="宋体" w:cs="Times New Roman"/>
                <w:i w:val="0"/>
                <w:iCs w:val="0"/>
                <w:color w:val="000000"/>
                <w:kern w:val="0"/>
                <w:sz w:val="21"/>
                <w:szCs w:val="21"/>
                <w:u w:val="none"/>
                <w:lang w:val="en-US" w:eastAsia="zh-CN" w:bidi="ar"/>
              </w:rPr>
              <w:t>原子吸收分光光度计TAS-990AFG</w:t>
            </w:r>
          </w:p>
        </w:tc>
        <w:tc>
          <w:tcPr>
            <w:tcW w:w="730" w:type="pct"/>
            <w:noWrap w:val="0"/>
            <w:vAlign w:val="center"/>
          </w:tcPr>
          <w:p w14:paraId="601454FC">
            <w:pPr>
              <w:keepNext w:val="0"/>
              <w:keepLines w:val="0"/>
              <w:widowControl/>
              <w:suppressLineNumbers w:val="0"/>
              <w:jc w:val="center"/>
              <w:textAlignment w:val="center"/>
              <w:rPr>
                <w:rFonts w:ascii="Times New Roman" w:hAnsi="Times New Roman" w:cs="Times New Roman"/>
                <w:sz w:val="21"/>
                <w:szCs w:val="21"/>
              </w:rPr>
            </w:pPr>
            <w:r>
              <w:rPr>
                <w:rFonts w:hint="default" w:ascii="Times New Roman" w:hAnsi="Times New Roman" w:eastAsia="宋体" w:cs="Times New Roman"/>
                <w:b w:val="0"/>
                <w:bCs w:val="0"/>
                <w:color w:val="000000"/>
                <w:kern w:val="0"/>
                <w:sz w:val="21"/>
                <w:szCs w:val="21"/>
                <w:lang w:val="en-US" w:eastAsia="zh-CN" w:bidi="ar-SA"/>
              </w:rPr>
              <w:t>3mg/kg</w:t>
            </w:r>
          </w:p>
        </w:tc>
      </w:tr>
      <w:tr w14:paraId="0EF677CD">
        <w:tblPrEx>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19" w:type="pct"/>
            <w:vMerge w:val="continue"/>
            <w:noWrap w:val="0"/>
            <w:vAlign w:val="center"/>
          </w:tcPr>
          <w:p w14:paraId="5D271F9A">
            <w:pPr>
              <w:jc w:val="center"/>
              <w:rPr>
                <w:rFonts w:ascii="Times New Roman" w:hAnsi="Times New Roman" w:cs="Times New Roman"/>
                <w:sz w:val="21"/>
                <w:szCs w:val="21"/>
              </w:rPr>
            </w:pPr>
          </w:p>
        </w:tc>
        <w:tc>
          <w:tcPr>
            <w:tcW w:w="930" w:type="pct"/>
            <w:noWrap w:val="0"/>
            <w:vAlign w:val="center"/>
          </w:tcPr>
          <w:p w14:paraId="776BE909">
            <w:pPr>
              <w:jc w:val="center"/>
              <w:rPr>
                <w:rFonts w:ascii="Times New Roman" w:hAnsi="Times New Roman" w:cs="Times New Roman"/>
                <w:sz w:val="21"/>
                <w:szCs w:val="21"/>
                <w:highlight w:val="none"/>
              </w:rPr>
            </w:pPr>
            <w:r>
              <w:rPr>
                <w:rFonts w:ascii="Times New Roman" w:hAnsi="Times New Roman" w:cs="Times New Roman"/>
                <w:sz w:val="21"/>
                <w:szCs w:val="21"/>
                <w:highlight w:val="none"/>
              </w:rPr>
              <w:t>砷</w:t>
            </w:r>
          </w:p>
        </w:tc>
        <w:tc>
          <w:tcPr>
            <w:tcW w:w="1537" w:type="pct"/>
            <w:noWrap w:val="0"/>
            <w:vAlign w:val="center"/>
          </w:tcPr>
          <w:p w14:paraId="08F6BC34">
            <w:pPr>
              <w:jc w:val="center"/>
              <w:rPr>
                <w:rFonts w:ascii="Times New Roman" w:hAnsi="Times New Roman" w:cs="Times New Roman"/>
                <w:sz w:val="21"/>
                <w:szCs w:val="21"/>
                <w:highlight w:val="none"/>
              </w:rPr>
            </w:pPr>
            <w:r>
              <w:rPr>
                <w:rFonts w:ascii="Times New Roman" w:hAnsi="Times New Roman" w:cs="Times New Roman"/>
                <w:sz w:val="21"/>
                <w:szCs w:val="21"/>
                <w:highlight w:val="none"/>
              </w:rPr>
              <w:t>土壤质量 总汞、总砷、总铅的测定原子荧光法</w:t>
            </w:r>
          </w:p>
          <w:p w14:paraId="4BBB0FD3">
            <w:pPr>
              <w:jc w:val="center"/>
              <w:rPr>
                <w:rFonts w:ascii="Times New Roman" w:hAnsi="Times New Roman" w:cs="Times New Roman"/>
                <w:sz w:val="21"/>
                <w:szCs w:val="21"/>
                <w:highlight w:val="none"/>
              </w:rPr>
            </w:pPr>
            <w:r>
              <w:rPr>
                <w:rFonts w:ascii="Times New Roman" w:hAnsi="Times New Roman" w:cs="Times New Roman"/>
                <w:sz w:val="21"/>
                <w:szCs w:val="21"/>
                <w:highlight w:val="none"/>
              </w:rPr>
              <w:t>第2部分 土壤中总砷的测定</w:t>
            </w:r>
          </w:p>
          <w:p w14:paraId="7BA48BBA">
            <w:pPr>
              <w:jc w:val="center"/>
              <w:rPr>
                <w:rFonts w:ascii="Times New Roman" w:hAnsi="Times New Roman" w:cs="Times New Roman"/>
                <w:sz w:val="21"/>
                <w:szCs w:val="21"/>
                <w:highlight w:val="none"/>
              </w:rPr>
            </w:pPr>
            <w:r>
              <w:rPr>
                <w:rFonts w:ascii="Times New Roman" w:hAnsi="Times New Roman" w:cs="Times New Roman"/>
                <w:sz w:val="21"/>
                <w:szCs w:val="21"/>
                <w:highlight w:val="none"/>
              </w:rPr>
              <w:t>GB/T 22105.2-2008</w:t>
            </w:r>
          </w:p>
        </w:tc>
        <w:tc>
          <w:tcPr>
            <w:tcW w:w="1381" w:type="pct"/>
            <w:noWrap w:val="0"/>
            <w:vAlign w:val="center"/>
          </w:tcPr>
          <w:p w14:paraId="7DDB5DE1">
            <w:pPr>
              <w:jc w:val="center"/>
              <w:rPr>
                <w:rFonts w:ascii="Times New Roman" w:hAnsi="Times New Roman" w:cs="Times New Roman"/>
                <w:sz w:val="21"/>
                <w:szCs w:val="21"/>
                <w:highlight w:val="none"/>
              </w:rPr>
            </w:pPr>
            <w:r>
              <w:rPr>
                <w:rFonts w:hint="eastAsia" w:ascii="Times New Roman" w:hAnsi="Times New Roman" w:cs="Times New Roman"/>
                <w:sz w:val="21"/>
                <w:szCs w:val="21"/>
                <w:highlight w:val="none"/>
              </w:rPr>
              <w:t>原子荧光分光光度计//北京海光仪器公司 AFS-8520//GLLS-JC-518</w:t>
            </w:r>
          </w:p>
        </w:tc>
        <w:tc>
          <w:tcPr>
            <w:tcW w:w="730" w:type="pct"/>
            <w:noWrap w:val="0"/>
            <w:vAlign w:val="center"/>
          </w:tcPr>
          <w:p w14:paraId="03E74562">
            <w:pPr>
              <w:jc w:val="center"/>
              <w:rPr>
                <w:rFonts w:ascii="Times New Roman" w:hAnsi="Times New Roman" w:cs="Times New Roman"/>
                <w:sz w:val="21"/>
                <w:szCs w:val="21"/>
                <w:highlight w:val="yellow"/>
              </w:rPr>
            </w:pPr>
            <w:r>
              <w:rPr>
                <w:rFonts w:ascii="Times New Roman" w:hAnsi="Times New Roman" w:cs="Times New Roman"/>
                <w:sz w:val="21"/>
                <w:szCs w:val="21"/>
                <w:highlight w:val="yellow"/>
              </w:rPr>
              <w:t>0.01mg/kg</w:t>
            </w:r>
          </w:p>
        </w:tc>
      </w:tr>
      <w:tr w14:paraId="2AE5DD2B">
        <w:tblPrEx>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19" w:type="pct"/>
            <w:vMerge w:val="continue"/>
            <w:noWrap w:val="0"/>
            <w:vAlign w:val="center"/>
          </w:tcPr>
          <w:p w14:paraId="5BF16538">
            <w:pPr>
              <w:jc w:val="center"/>
              <w:rPr>
                <w:rFonts w:ascii="Times New Roman" w:hAnsi="Times New Roman" w:cs="Times New Roman"/>
                <w:sz w:val="21"/>
                <w:szCs w:val="21"/>
              </w:rPr>
            </w:pPr>
          </w:p>
        </w:tc>
        <w:tc>
          <w:tcPr>
            <w:tcW w:w="930" w:type="pct"/>
            <w:noWrap w:val="0"/>
            <w:vAlign w:val="center"/>
          </w:tcPr>
          <w:p w14:paraId="0EDD3A8F">
            <w:pPr>
              <w:jc w:val="center"/>
              <w:rPr>
                <w:rFonts w:ascii="Times New Roman" w:hAnsi="Times New Roman" w:cs="Times New Roman"/>
                <w:sz w:val="21"/>
                <w:szCs w:val="21"/>
                <w:highlight w:val="none"/>
              </w:rPr>
            </w:pPr>
            <w:r>
              <w:rPr>
                <w:rFonts w:ascii="Times New Roman" w:hAnsi="Times New Roman" w:cs="Times New Roman"/>
                <w:sz w:val="21"/>
                <w:szCs w:val="21"/>
                <w:highlight w:val="none"/>
              </w:rPr>
              <w:t>铬（六价）</w:t>
            </w:r>
          </w:p>
        </w:tc>
        <w:tc>
          <w:tcPr>
            <w:tcW w:w="1537" w:type="pct"/>
            <w:noWrap w:val="0"/>
            <w:vAlign w:val="center"/>
          </w:tcPr>
          <w:p w14:paraId="371AC47C">
            <w:pPr>
              <w:jc w:val="center"/>
              <w:rPr>
                <w:rFonts w:ascii="Times New Roman" w:hAnsi="Times New Roman" w:cs="Times New Roman"/>
                <w:sz w:val="21"/>
                <w:szCs w:val="21"/>
                <w:highlight w:val="none"/>
              </w:rPr>
            </w:pPr>
            <w:r>
              <w:rPr>
                <w:rFonts w:ascii="Times New Roman" w:hAnsi="Times New Roman" w:cs="Times New Roman"/>
                <w:sz w:val="21"/>
                <w:szCs w:val="21"/>
                <w:highlight w:val="none"/>
              </w:rPr>
              <w:t>土壤和沉积物 六价铬的测定 碱溶液提取-火焰原子吸收分光光度法HJ 1082-2019</w:t>
            </w:r>
          </w:p>
        </w:tc>
        <w:tc>
          <w:tcPr>
            <w:tcW w:w="1381" w:type="pct"/>
            <w:noWrap w:val="0"/>
            <w:vAlign w:val="center"/>
          </w:tcPr>
          <w:p w14:paraId="2E58CC08">
            <w:pPr>
              <w:jc w:val="center"/>
              <w:rPr>
                <w:rFonts w:ascii="Times New Roman" w:hAnsi="Times New Roman" w:eastAsia="宋体" w:cs="Times New Roman"/>
                <w:sz w:val="21"/>
                <w:szCs w:val="21"/>
                <w:highlight w:val="none"/>
              </w:rPr>
            </w:pPr>
            <w:r>
              <w:rPr>
                <w:rFonts w:ascii="Times New Roman" w:hAnsi="Times New Roman" w:eastAsia="宋体" w:cs="Times New Roman"/>
                <w:sz w:val="21"/>
                <w:szCs w:val="21"/>
                <w:highlight w:val="none"/>
              </w:rPr>
              <w:t>火焰原子吸收分光光度计\\Agilent 280FS\\GLLS-JC-278</w:t>
            </w:r>
          </w:p>
        </w:tc>
        <w:tc>
          <w:tcPr>
            <w:tcW w:w="730" w:type="pct"/>
            <w:noWrap w:val="0"/>
            <w:vAlign w:val="center"/>
          </w:tcPr>
          <w:p w14:paraId="735E73A6">
            <w:pPr>
              <w:jc w:val="center"/>
              <w:rPr>
                <w:rFonts w:ascii="Times New Roman" w:hAnsi="Times New Roman" w:eastAsia="宋体" w:cs="Times New Roman"/>
                <w:sz w:val="21"/>
                <w:szCs w:val="21"/>
                <w:highlight w:val="none"/>
              </w:rPr>
            </w:pPr>
            <w:r>
              <w:rPr>
                <w:rFonts w:ascii="Times New Roman" w:hAnsi="Times New Roman" w:eastAsia="宋体" w:cs="Times New Roman"/>
                <w:sz w:val="21"/>
                <w:szCs w:val="21"/>
                <w:highlight w:val="none"/>
              </w:rPr>
              <w:t>0.5mg/kg</w:t>
            </w:r>
          </w:p>
        </w:tc>
      </w:tr>
      <w:tr w14:paraId="547792D5">
        <w:tblPrEx>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19" w:type="pct"/>
            <w:vMerge w:val="continue"/>
            <w:noWrap w:val="0"/>
            <w:vAlign w:val="center"/>
          </w:tcPr>
          <w:p w14:paraId="1715B2AE">
            <w:pPr>
              <w:jc w:val="center"/>
              <w:rPr>
                <w:rFonts w:ascii="Times New Roman" w:hAnsi="Times New Roman" w:cs="Times New Roman"/>
                <w:sz w:val="21"/>
                <w:szCs w:val="21"/>
              </w:rPr>
            </w:pPr>
          </w:p>
        </w:tc>
        <w:tc>
          <w:tcPr>
            <w:tcW w:w="930" w:type="pct"/>
            <w:noWrap w:val="0"/>
            <w:vAlign w:val="center"/>
          </w:tcPr>
          <w:p w14:paraId="6AB41666">
            <w:pPr>
              <w:jc w:val="center"/>
              <w:textAlignment w:val="center"/>
              <w:rPr>
                <w:rFonts w:ascii="Times New Roman" w:hAnsi="Times New Roman" w:cs="Times New Roman"/>
                <w:sz w:val="21"/>
                <w:szCs w:val="21"/>
                <w:highlight w:val="none"/>
              </w:rPr>
            </w:pPr>
            <w:r>
              <w:rPr>
                <w:rFonts w:ascii="Times New Roman" w:hAnsi="Times New Roman" w:cs="Times New Roman"/>
                <w:spacing w:val="-5"/>
                <w:sz w:val="21"/>
                <w:szCs w:val="21"/>
                <w:highlight w:val="none"/>
                <w:lang w:bidi="ar"/>
              </w:rPr>
              <w:t>氯甲烷</w:t>
            </w:r>
          </w:p>
        </w:tc>
        <w:tc>
          <w:tcPr>
            <w:tcW w:w="1537" w:type="pct"/>
            <w:vMerge w:val="restart"/>
            <w:noWrap w:val="0"/>
            <w:vAlign w:val="center"/>
          </w:tcPr>
          <w:p w14:paraId="33D861F7">
            <w:pPr>
              <w:jc w:val="center"/>
              <w:rPr>
                <w:rFonts w:ascii="Times New Roman" w:hAnsi="Times New Roman" w:eastAsia="宋体" w:cs="Times New Roman"/>
                <w:sz w:val="21"/>
                <w:szCs w:val="21"/>
                <w:highlight w:val="none"/>
              </w:rPr>
            </w:pPr>
            <w:r>
              <w:rPr>
                <w:rFonts w:hint="eastAsia" w:ascii="Times New Roman" w:hAnsi="Times New Roman" w:eastAsia="宋体" w:cs="Times New Roman"/>
                <w:sz w:val="21"/>
                <w:szCs w:val="21"/>
                <w:highlight w:val="none"/>
              </w:rPr>
              <w:t>土壤和沉积物  挥发性有机物的测定  吹扫捕集-气相色谱-质谱法HJ 605-2011</w:t>
            </w:r>
          </w:p>
        </w:tc>
        <w:tc>
          <w:tcPr>
            <w:tcW w:w="1381" w:type="pct"/>
            <w:vMerge w:val="restart"/>
            <w:noWrap w:val="0"/>
            <w:vAlign w:val="center"/>
          </w:tcPr>
          <w:p w14:paraId="5A69A150">
            <w:pPr>
              <w:jc w:val="center"/>
              <w:rPr>
                <w:rFonts w:ascii="Times New Roman" w:hAnsi="Times New Roman" w:eastAsia="宋体" w:cs="Times New Roman"/>
                <w:sz w:val="21"/>
                <w:szCs w:val="21"/>
                <w:highlight w:val="none"/>
              </w:rPr>
            </w:pPr>
            <w:r>
              <w:rPr>
                <w:rFonts w:hint="eastAsia" w:ascii="Times New Roman" w:hAnsi="Times New Roman" w:eastAsia="宋体" w:cs="Times New Roman"/>
                <w:sz w:val="21"/>
                <w:szCs w:val="21"/>
                <w:highlight w:val="none"/>
              </w:rPr>
              <w:t>吹扫捕集/气相色谱-质谱联用仪//TeleDYNE TEKMARAtomx xyz-Agilent 7890B GCSys-5977B MSD//GLLS-JC-008</w:t>
            </w:r>
          </w:p>
        </w:tc>
        <w:tc>
          <w:tcPr>
            <w:tcW w:w="730" w:type="pct"/>
            <w:noWrap w:val="0"/>
            <w:vAlign w:val="center"/>
          </w:tcPr>
          <w:p w14:paraId="4140FAA2">
            <w:pPr>
              <w:jc w:val="center"/>
              <w:rPr>
                <w:rFonts w:ascii="Times New Roman" w:hAnsi="Times New Roman" w:cs="Times New Roman"/>
                <w:sz w:val="21"/>
                <w:szCs w:val="21"/>
                <w:highlight w:val="none"/>
              </w:rPr>
            </w:pPr>
            <w:r>
              <w:rPr>
                <w:rFonts w:ascii="Times New Roman" w:hAnsi="Times New Roman" w:cs="Times New Roman"/>
                <w:sz w:val="21"/>
                <w:szCs w:val="21"/>
                <w:highlight w:val="none"/>
              </w:rPr>
              <w:t>3μg/kg</w:t>
            </w:r>
          </w:p>
        </w:tc>
      </w:tr>
      <w:tr w14:paraId="2249AB97">
        <w:tblPrEx>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19" w:type="pct"/>
            <w:vMerge w:val="continue"/>
            <w:noWrap w:val="0"/>
            <w:vAlign w:val="center"/>
          </w:tcPr>
          <w:p w14:paraId="0EB8CBB9">
            <w:pPr>
              <w:jc w:val="center"/>
              <w:rPr>
                <w:rFonts w:ascii="Times New Roman" w:hAnsi="Times New Roman" w:cs="Times New Roman"/>
                <w:sz w:val="21"/>
                <w:szCs w:val="21"/>
              </w:rPr>
            </w:pPr>
          </w:p>
        </w:tc>
        <w:tc>
          <w:tcPr>
            <w:tcW w:w="930" w:type="pct"/>
            <w:noWrap w:val="0"/>
            <w:vAlign w:val="center"/>
          </w:tcPr>
          <w:p w14:paraId="2FF43A36">
            <w:pPr>
              <w:jc w:val="center"/>
              <w:textAlignment w:val="center"/>
              <w:rPr>
                <w:rFonts w:ascii="Times New Roman" w:hAnsi="Times New Roman" w:cs="Times New Roman"/>
                <w:sz w:val="21"/>
                <w:szCs w:val="21"/>
              </w:rPr>
            </w:pPr>
            <w:r>
              <w:rPr>
                <w:rFonts w:ascii="Times New Roman" w:hAnsi="Times New Roman" w:cs="Times New Roman"/>
                <w:spacing w:val="-5"/>
                <w:sz w:val="21"/>
                <w:szCs w:val="21"/>
                <w:lang w:bidi="ar"/>
              </w:rPr>
              <w:t>1,1-二氯乙烯</w:t>
            </w:r>
          </w:p>
        </w:tc>
        <w:tc>
          <w:tcPr>
            <w:tcW w:w="1537" w:type="pct"/>
            <w:vMerge w:val="continue"/>
            <w:noWrap w:val="0"/>
            <w:vAlign w:val="center"/>
          </w:tcPr>
          <w:p w14:paraId="639F354B">
            <w:pPr>
              <w:jc w:val="center"/>
              <w:rPr>
                <w:rFonts w:ascii="Times New Roman" w:hAnsi="Times New Roman" w:eastAsia="宋体" w:cs="Times New Roman"/>
                <w:sz w:val="21"/>
                <w:szCs w:val="21"/>
                <w:highlight w:val="none"/>
              </w:rPr>
            </w:pPr>
          </w:p>
        </w:tc>
        <w:tc>
          <w:tcPr>
            <w:tcW w:w="1381" w:type="pct"/>
            <w:vMerge w:val="continue"/>
            <w:noWrap w:val="0"/>
            <w:vAlign w:val="center"/>
          </w:tcPr>
          <w:p w14:paraId="7C80A64E">
            <w:pPr>
              <w:jc w:val="center"/>
              <w:rPr>
                <w:rFonts w:ascii="Times New Roman" w:hAnsi="Times New Roman" w:eastAsia="宋体" w:cs="Times New Roman"/>
                <w:sz w:val="21"/>
                <w:szCs w:val="21"/>
                <w:highlight w:val="none"/>
              </w:rPr>
            </w:pPr>
          </w:p>
        </w:tc>
        <w:tc>
          <w:tcPr>
            <w:tcW w:w="730" w:type="pct"/>
            <w:noWrap w:val="0"/>
            <w:vAlign w:val="center"/>
          </w:tcPr>
          <w:p w14:paraId="7E13947F">
            <w:pPr>
              <w:jc w:val="center"/>
              <w:rPr>
                <w:rFonts w:ascii="Times New Roman" w:hAnsi="Times New Roman" w:cs="Times New Roman"/>
                <w:sz w:val="21"/>
                <w:szCs w:val="21"/>
              </w:rPr>
            </w:pPr>
            <w:r>
              <w:rPr>
                <w:rFonts w:ascii="Times New Roman" w:hAnsi="Times New Roman" w:cs="Times New Roman"/>
                <w:sz w:val="21"/>
                <w:szCs w:val="21"/>
              </w:rPr>
              <w:t>0.8μg/kg</w:t>
            </w:r>
          </w:p>
        </w:tc>
      </w:tr>
      <w:tr w14:paraId="4F8386CB">
        <w:tblPrEx>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19" w:type="pct"/>
            <w:vMerge w:val="continue"/>
            <w:noWrap w:val="0"/>
            <w:vAlign w:val="center"/>
          </w:tcPr>
          <w:p w14:paraId="7BEDA30C">
            <w:pPr>
              <w:jc w:val="center"/>
              <w:rPr>
                <w:rFonts w:ascii="Times New Roman" w:hAnsi="Times New Roman" w:cs="Times New Roman"/>
                <w:sz w:val="21"/>
                <w:szCs w:val="21"/>
              </w:rPr>
            </w:pPr>
          </w:p>
        </w:tc>
        <w:tc>
          <w:tcPr>
            <w:tcW w:w="930" w:type="pct"/>
            <w:noWrap w:val="0"/>
            <w:vAlign w:val="center"/>
          </w:tcPr>
          <w:p w14:paraId="23F98DA8">
            <w:pPr>
              <w:jc w:val="center"/>
              <w:textAlignment w:val="center"/>
              <w:rPr>
                <w:rFonts w:ascii="Times New Roman" w:hAnsi="Times New Roman" w:cs="Times New Roman"/>
                <w:sz w:val="21"/>
                <w:szCs w:val="21"/>
              </w:rPr>
            </w:pPr>
            <w:r>
              <w:rPr>
                <w:rFonts w:ascii="Times New Roman" w:hAnsi="Times New Roman" w:cs="Times New Roman"/>
                <w:spacing w:val="-5"/>
                <w:sz w:val="21"/>
                <w:szCs w:val="21"/>
                <w:lang w:bidi="ar"/>
              </w:rPr>
              <w:t>二氯甲烷</w:t>
            </w:r>
          </w:p>
        </w:tc>
        <w:tc>
          <w:tcPr>
            <w:tcW w:w="1537" w:type="pct"/>
            <w:vMerge w:val="continue"/>
            <w:noWrap w:val="0"/>
            <w:vAlign w:val="center"/>
          </w:tcPr>
          <w:p w14:paraId="5F54FB3C">
            <w:pPr>
              <w:jc w:val="center"/>
              <w:rPr>
                <w:rFonts w:ascii="Times New Roman" w:hAnsi="Times New Roman" w:cs="Times New Roman"/>
                <w:sz w:val="21"/>
                <w:szCs w:val="21"/>
              </w:rPr>
            </w:pPr>
          </w:p>
        </w:tc>
        <w:tc>
          <w:tcPr>
            <w:tcW w:w="1381" w:type="pct"/>
            <w:vMerge w:val="continue"/>
            <w:noWrap w:val="0"/>
            <w:vAlign w:val="center"/>
          </w:tcPr>
          <w:p w14:paraId="2D9C14B9">
            <w:pPr>
              <w:jc w:val="center"/>
              <w:rPr>
                <w:rFonts w:ascii="Times New Roman" w:hAnsi="Times New Roman" w:cs="Times New Roman"/>
                <w:sz w:val="21"/>
                <w:szCs w:val="21"/>
              </w:rPr>
            </w:pPr>
          </w:p>
        </w:tc>
        <w:tc>
          <w:tcPr>
            <w:tcW w:w="730" w:type="pct"/>
            <w:noWrap w:val="0"/>
            <w:vAlign w:val="center"/>
          </w:tcPr>
          <w:p w14:paraId="47EC2394">
            <w:pPr>
              <w:jc w:val="center"/>
              <w:rPr>
                <w:rFonts w:ascii="Times New Roman" w:hAnsi="Times New Roman" w:cs="Times New Roman"/>
                <w:sz w:val="21"/>
                <w:szCs w:val="21"/>
              </w:rPr>
            </w:pPr>
            <w:r>
              <w:rPr>
                <w:rFonts w:ascii="Times New Roman" w:hAnsi="Times New Roman" w:cs="Times New Roman"/>
                <w:sz w:val="21"/>
                <w:szCs w:val="21"/>
              </w:rPr>
              <w:t>2.6μg/kg</w:t>
            </w:r>
          </w:p>
        </w:tc>
      </w:tr>
      <w:tr w14:paraId="2D0686E5">
        <w:tblPrEx>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19" w:type="pct"/>
            <w:vMerge w:val="continue"/>
            <w:noWrap w:val="0"/>
            <w:vAlign w:val="center"/>
          </w:tcPr>
          <w:p w14:paraId="5A0DC82B">
            <w:pPr>
              <w:jc w:val="center"/>
              <w:rPr>
                <w:rFonts w:ascii="Times New Roman" w:hAnsi="Times New Roman" w:cs="Times New Roman"/>
                <w:sz w:val="21"/>
                <w:szCs w:val="21"/>
              </w:rPr>
            </w:pPr>
          </w:p>
        </w:tc>
        <w:tc>
          <w:tcPr>
            <w:tcW w:w="930" w:type="pct"/>
            <w:noWrap w:val="0"/>
            <w:vAlign w:val="center"/>
          </w:tcPr>
          <w:p w14:paraId="75AC2D36">
            <w:pPr>
              <w:jc w:val="center"/>
              <w:textAlignment w:val="center"/>
              <w:rPr>
                <w:rFonts w:ascii="Times New Roman" w:hAnsi="Times New Roman" w:cs="Times New Roman"/>
                <w:sz w:val="21"/>
                <w:szCs w:val="21"/>
              </w:rPr>
            </w:pPr>
            <w:r>
              <w:rPr>
                <w:rFonts w:ascii="Times New Roman" w:hAnsi="Times New Roman" w:cs="Times New Roman"/>
                <w:spacing w:val="-5"/>
                <w:sz w:val="21"/>
                <w:szCs w:val="21"/>
                <w:lang w:bidi="ar"/>
              </w:rPr>
              <w:t>顺1,2-二氯乙烯</w:t>
            </w:r>
          </w:p>
        </w:tc>
        <w:tc>
          <w:tcPr>
            <w:tcW w:w="1537" w:type="pct"/>
            <w:vMerge w:val="continue"/>
            <w:noWrap w:val="0"/>
            <w:vAlign w:val="center"/>
          </w:tcPr>
          <w:p w14:paraId="751CC7D7">
            <w:pPr>
              <w:jc w:val="center"/>
              <w:rPr>
                <w:rFonts w:ascii="Times New Roman" w:hAnsi="Times New Roman" w:cs="Times New Roman"/>
                <w:sz w:val="21"/>
                <w:szCs w:val="21"/>
              </w:rPr>
            </w:pPr>
          </w:p>
        </w:tc>
        <w:tc>
          <w:tcPr>
            <w:tcW w:w="1381" w:type="pct"/>
            <w:vMerge w:val="continue"/>
            <w:noWrap w:val="0"/>
            <w:vAlign w:val="center"/>
          </w:tcPr>
          <w:p w14:paraId="542D7470">
            <w:pPr>
              <w:jc w:val="center"/>
              <w:rPr>
                <w:rFonts w:ascii="Times New Roman" w:hAnsi="Times New Roman" w:cs="Times New Roman"/>
                <w:sz w:val="21"/>
                <w:szCs w:val="21"/>
              </w:rPr>
            </w:pPr>
          </w:p>
        </w:tc>
        <w:tc>
          <w:tcPr>
            <w:tcW w:w="730" w:type="pct"/>
            <w:noWrap w:val="0"/>
            <w:vAlign w:val="center"/>
          </w:tcPr>
          <w:p w14:paraId="4FD492B7">
            <w:pPr>
              <w:jc w:val="center"/>
              <w:rPr>
                <w:rFonts w:ascii="Times New Roman" w:hAnsi="Times New Roman" w:cs="Times New Roman"/>
                <w:sz w:val="21"/>
                <w:szCs w:val="21"/>
              </w:rPr>
            </w:pPr>
            <w:r>
              <w:rPr>
                <w:rFonts w:ascii="Times New Roman" w:hAnsi="Times New Roman" w:cs="Times New Roman"/>
                <w:sz w:val="21"/>
                <w:szCs w:val="21"/>
              </w:rPr>
              <w:t>0.9μg/kg</w:t>
            </w:r>
          </w:p>
        </w:tc>
      </w:tr>
      <w:tr w14:paraId="51720231">
        <w:tblPrEx>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19" w:type="pct"/>
            <w:vMerge w:val="continue"/>
            <w:noWrap w:val="0"/>
            <w:vAlign w:val="center"/>
          </w:tcPr>
          <w:p w14:paraId="5DE5C4CA">
            <w:pPr>
              <w:jc w:val="center"/>
              <w:rPr>
                <w:rFonts w:ascii="Times New Roman" w:hAnsi="Times New Roman" w:cs="Times New Roman"/>
                <w:sz w:val="21"/>
                <w:szCs w:val="21"/>
              </w:rPr>
            </w:pPr>
          </w:p>
        </w:tc>
        <w:tc>
          <w:tcPr>
            <w:tcW w:w="930" w:type="pct"/>
            <w:noWrap w:val="0"/>
            <w:vAlign w:val="center"/>
          </w:tcPr>
          <w:p w14:paraId="2D342EF3">
            <w:pPr>
              <w:jc w:val="center"/>
              <w:textAlignment w:val="center"/>
              <w:rPr>
                <w:rFonts w:ascii="Times New Roman" w:hAnsi="Times New Roman" w:cs="Times New Roman"/>
                <w:sz w:val="21"/>
                <w:szCs w:val="21"/>
              </w:rPr>
            </w:pPr>
            <w:r>
              <w:rPr>
                <w:rFonts w:ascii="Times New Roman" w:hAnsi="Times New Roman" w:cs="Times New Roman"/>
                <w:spacing w:val="-5"/>
                <w:sz w:val="21"/>
                <w:szCs w:val="21"/>
                <w:lang w:bidi="ar"/>
              </w:rPr>
              <w:t>1,1-二氯乙烷</w:t>
            </w:r>
          </w:p>
        </w:tc>
        <w:tc>
          <w:tcPr>
            <w:tcW w:w="1537" w:type="pct"/>
            <w:vMerge w:val="continue"/>
            <w:noWrap w:val="0"/>
            <w:vAlign w:val="center"/>
          </w:tcPr>
          <w:p w14:paraId="07BBF727">
            <w:pPr>
              <w:jc w:val="center"/>
              <w:rPr>
                <w:rFonts w:ascii="Times New Roman" w:hAnsi="Times New Roman" w:cs="Times New Roman"/>
                <w:sz w:val="21"/>
                <w:szCs w:val="21"/>
              </w:rPr>
            </w:pPr>
          </w:p>
        </w:tc>
        <w:tc>
          <w:tcPr>
            <w:tcW w:w="1381" w:type="pct"/>
            <w:vMerge w:val="continue"/>
            <w:noWrap w:val="0"/>
            <w:vAlign w:val="center"/>
          </w:tcPr>
          <w:p w14:paraId="087B2643">
            <w:pPr>
              <w:jc w:val="center"/>
              <w:rPr>
                <w:rFonts w:ascii="Times New Roman" w:hAnsi="Times New Roman" w:cs="Times New Roman"/>
                <w:sz w:val="21"/>
                <w:szCs w:val="21"/>
              </w:rPr>
            </w:pPr>
          </w:p>
        </w:tc>
        <w:tc>
          <w:tcPr>
            <w:tcW w:w="730" w:type="pct"/>
            <w:noWrap w:val="0"/>
            <w:vAlign w:val="center"/>
          </w:tcPr>
          <w:p w14:paraId="64539590">
            <w:pPr>
              <w:jc w:val="center"/>
              <w:rPr>
                <w:rFonts w:ascii="Times New Roman" w:hAnsi="Times New Roman" w:cs="Times New Roman"/>
                <w:sz w:val="21"/>
                <w:szCs w:val="21"/>
              </w:rPr>
            </w:pPr>
            <w:r>
              <w:rPr>
                <w:rFonts w:ascii="Times New Roman" w:hAnsi="Times New Roman" w:cs="Times New Roman"/>
                <w:sz w:val="21"/>
                <w:szCs w:val="21"/>
              </w:rPr>
              <w:t>1.6μg/kg</w:t>
            </w:r>
          </w:p>
        </w:tc>
      </w:tr>
      <w:tr w14:paraId="34BBF721">
        <w:tblPrEx>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19" w:type="pct"/>
            <w:vMerge w:val="continue"/>
            <w:noWrap w:val="0"/>
            <w:vAlign w:val="center"/>
          </w:tcPr>
          <w:p w14:paraId="5BC3354F">
            <w:pPr>
              <w:jc w:val="center"/>
              <w:rPr>
                <w:rFonts w:ascii="Times New Roman" w:hAnsi="Times New Roman" w:cs="Times New Roman"/>
                <w:sz w:val="21"/>
                <w:szCs w:val="21"/>
              </w:rPr>
            </w:pPr>
          </w:p>
        </w:tc>
        <w:tc>
          <w:tcPr>
            <w:tcW w:w="930" w:type="pct"/>
            <w:noWrap w:val="0"/>
            <w:vAlign w:val="center"/>
          </w:tcPr>
          <w:p w14:paraId="5E51629C">
            <w:pPr>
              <w:jc w:val="center"/>
              <w:textAlignment w:val="center"/>
              <w:rPr>
                <w:rFonts w:ascii="Times New Roman" w:hAnsi="Times New Roman" w:cs="Times New Roman"/>
                <w:sz w:val="21"/>
                <w:szCs w:val="21"/>
              </w:rPr>
            </w:pPr>
            <w:r>
              <w:rPr>
                <w:rFonts w:ascii="Times New Roman" w:hAnsi="Times New Roman" w:cs="Times New Roman"/>
                <w:spacing w:val="-5"/>
                <w:sz w:val="21"/>
                <w:szCs w:val="21"/>
                <w:lang w:bidi="ar"/>
              </w:rPr>
              <w:t>反1,2-二氯乙烯</w:t>
            </w:r>
          </w:p>
        </w:tc>
        <w:tc>
          <w:tcPr>
            <w:tcW w:w="1537" w:type="pct"/>
            <w:vMerge w:val="continue"/>
            <w:noWrap w:val="0"/>
            <w:vAlign w:val="center"/>
          </w:tcPr>
          <w:p w14:paraId="079A785A">
            <w:pPr>
              <w:jc w:val="center"/>
              <w:rPr>
                <w:rFonts w:ascii="Times New Roman" w:hAnsi="Times New Roman" w:cs="Times New Roman"/>
                <w:sz w:val="21"/>
                <w:szCs w:val="21"/>
              </w:rPr>
            </w:pPr>
          </w:p>
        </w:tc>
        <w:tc>
          <w:tcPr>
            <w:tcW w:w="1381" w:type="pct"/>
            <w:vMerge w:val="continue"/>
            <w:noWrap w:val="0"/>
            <w:vAlign w:val="center"/>
          </w:tcPr>
          <w:p w14:paraId="2656FD12">
            <w:pPr>
              <w:jc w:val="center"/>
              <w:rPr>
                <w:rFonts w:ascii="Times New Roman" w:hAnsi="Times New Roman" w:cs="Times New Roman"/>
                <w:sz w:val="21"/>
                <w:szCs w:val="21"/>
              </w:rPr>
            </w:pPr>
          </w:p>
        </w:tc>
        <w:tc>
          <w:tcPr>
            <w:tcW w:w="730" w:type="pct"/>
            <w:noWrap w:val="0"/>
            <w:vAlign w:val="center"/>
          </w:tcPr>
          <w:p w14:paraId="4BACE7BA">
            <w:pPr>
              <w:jc w:val="center"/>
              <w:rPr>
                <w:rFonts w:ascii="Times New Roman" w:hAnsi="Times New Roman" w:cs="Times New Roman"/>
                <w:sz w:val="21"/>
                <w:szCs w:val="21"/>
              </w:rPr>
            </w:pPr>
            <w:r>
              <w:rPr>
                <w:rFonts w:ascii="Times New Roman" w:hAnsi="Times New Roman" w:cs="Times New Roman"/>
                <w:sz w:val="21"/>
                <w:szCs w:val="21"/>
              </w:rPr>
              <w:t>0.9μg/kg</w:t>
            </w:r>
          </w:p>
        </w:tc>
      </w:tr>
      <w:tr w14:paraId="2C770DD6">
        <w:tblPrEx>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19" w:type="pct"/>
            <w:vMerge w:val="continue"/>
            <w:noWrap w:val="0"/>
            <w:vAlign w:val="center"/>
          </w:tcPr>
          <w:p w14:paraId="07283D4F">
            <w:pPr>
              <w:jc w:val="center"/>
              <w:rPr>
                <w:rFonts w:ascii="Times New Roman" w:hAnsi="Times New Roman" w:cs="Times New Roman"/>
                <w:sz w:val="21"/>
                <w:szCs w:val="21"/>
              </w:rPr>
            </w:pPr>
          </w:p>
        </w:tc>
        <w:tc>
          <w:tcPr>
            <w:tcW w:w="930" w:type="pct"/>
            <w:noWrap w:val="0"/>
            <w:vAlign w:val="center"/>
          </w:tcPr>
          <w:p w14:paraId="0BDEC633">
            <w:pPr>
              <w:jc w:val="center"/>
              <w:textAlignment w:val="center"/>
              <w:rPr>
                <w:rFonts w:ascii="Times New Roman" w:hAnsi="Times New Roman" w:cs="Times New Roman"/>
                <w:sz w:val="21"/>
                <w:szCs w:val="21"/>
              </w:rPr>
            </w:pPr>
            <w:r>
              <w:rPr>
                <w:rFonts w:ascii="Times New Roman" w:hAnsi="Times New Roman" w:cs="Times New Roman"/>
                <w:sz w:val="21"/>
                <w:szCs w:val="21"/>
              </w:rPr>
              <w:t>三氯甲烷</w:t>
            </w:r>
          </w:p>
        </w:tc>
        <w:tc>
          <w:tcPr>
            <w:tcW w:w="1537" w:type="pct"/>
            <w:vMerge w:val="continue"/>
            <w:noWrap w:val="0"/>
            <w:vAlign w:val="center"/>
          </w:tcPr>
          <w:p w14:paraId="42CE649E">
            <w:pPr>
              <w:jc w:val="center"/>
              <w:rPr>
                <w:rFonts w:ascii="Times New Roman" w:hAnsi="Times New Roman" w:cs="Times New Roman"/>
                <w:sz w:val="21"/>
                <w:szCs w:val="21"/>
              </w:rPr>
            </w:pPr>
          </w:p>
        </w:tc>
        <w:tc>
          <w:tcPr>
            <w:tcW w:w="1381" w:type="pct"/>
            <w:vMerge w:val="continue"/>
            <w:noWrap w:val="0"/>
            <w:vAlign w:val="center"/>
          </w:tcPr>
          <w:p w14:paraId="1EDDA625">
            <w:pPr>
              <w:jc w:val="center"/>
              <w:rPr>
                <w:rFonts w:ascii="Times New Roman" w:hAnsi="Times New Roman" w:cs="Times New Roman"/>
                <w:sz w:val="21"/>
                <w:szCs w:val="21"/>
              </w:rPr>
            </w:pPr>
          </w:p>
        </w:tc>
        <w:tc>
          <w:tcPr>
            <w:tcW w:w="730" w:type="pct"/>
            <w:noWrap w:val="0"/>
            <w:vAlign w:val="center"/>
          </w:tcPr>
          <w:p w14:paraId="618F9C35">
            <w:pPr>
              <w:jc w:val="center"/>
              <w:rPr>
                <w:rFonts w:ascii="Times New Roman" w:hAnsi="Times New Roman" w:cs="Times New Roman"/>
                <w:sz w:val="21"/>
                <w:szCs w:val="21"/>
              </w:rPr>
            </w:pPr>
            <w:r>
              <w:rPr>
                <w:rFonts w:ascii="Times New Roman" w:hAnsi="Times New Roman" w:cs="Times New Roman"/>
                <w:sz w:val="21"/>
                <w:szCs w:val="21"/>
              </w:rPr>
              <w:t>1.5μg/kg</w:t>
            </w:r>
          </w:p>
        </w:tc>
      </w:tr>
      <w:tr w14:paraId="6189F953">
        <w:tblPrEx>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19" w:type="pct"/>
            <w:vMerge w:val="continue"/>
            <w:noWrap w:val="0"/>
            <w:vAlign w:val="center"/>
          </w:tcPr>
          <w:p w14:paraId="7C073E12">
            <w:pPr>
              <w:jc w:val="center"/>
              <w:rPr>
                <w:rFonts w:ascii="Times New Roman" w:hAnsi="Times New Roman" w:cs="Times New Roman"/>
                <w:sz w:val="21"/>
                <w:szCs w:val="21"/>
              </w:rPr>
            </w:pPr>
          </w:p>
        </w:tc>
        <w:tc>
          <w:tcPr>
            <w:tcW w:w="930" w:type="pct"/>
            <w:noWrap w:val="0"/>
            <w:vAlign w:val="center"/>
          </w:tcPr>
          <w:p w14:paraId="6FC790E0">
            <w:pPr>
              <w:jc w:val="center"/>
              <w:textAlignment w:val="center"/>
              <w:rPr>
                <w:rFonts w:ascii="Times New Roman" w:hAnsi="Times New Roman" w:cs="Times New Roman"/>
                <w:sz w:val="21"/>
                <w:szCs w:val="21"/>
              </w:rPr>
            </w:pPr>
            <w:r>
              <w:rPr>
                <w:rFonts w:ascii="Times New Roman" w:hAnsi="Times New Roman" w:cs="Times New Roman"/>
                <w:spacing w:val="-5"/>
                <w:sz w:val="21"/>
                <w:szCs w:val="21"/>
                <w:lang w:bidi="ar"/>
              </w:rPr>
              <w:t>氯乙烯</w:t>
            </w:r>
          </w:p>
        </w:tc>
        <w:tc>
          <w:tcPr>
            <w:tcW w:w="1537" w:type="pct"/>
            <w:vMerge w:val="continue"/>
            <w:noWrap w:val="0"/>
            <w:vAlign w:val="center"/>
          </w:tcPr>
          <w:p w14:paraId="33B1E294">
            <w:pPr>
              <w:jc w:val="center"/>
              <w:rPr>
                <w:rFonts w:ascii="Times New Roman" w:hAnsi="Times New Roman" w:cs="Times New Roman"/>
                <w:sz w:val="21"/>
                <w:szCs w:val="21"/>
              </w:rPr>
            </w:pPr>
          </w:p>
        </w:tc>
        <w:tc>
          <w:tcPr>
            <w:tcW w:w="1381" w:type="pct"/>
            <w:vMerge w:val="continue"/>
            <w:noWrap w:val="0"/>
            <w:vAlign w:val="center"/>
          </w:tcPr>
          <w:p w14:paraId="6364FBDA">
            <w:pPr>
              <w:jc w:val="center"/>
              <w:rPr>
                <w:rFonts w:ascii="Times New Roman" w:hAnsi="Times New Roman" w:cs="Times New Roman"/>
                <w:sz w:val="21"/>
                <w:szCs w:val="21"/>
              </w:rPr>
            </w:pPr>
          </w:p>
        </w:tc>
        <w:tc>
          <w:tcPr>
            <w:tcW w:w="730" w:type="pct"/>
            <w:noWrap w:val="0"/>
            <w:vAlign w:val="center"/>
          </w:tcPr>
          <w:p w14:paraId="7E27F1AC">
            <w:pPr>
              <w:jc w:val="center"/>
              <w:rPr>
                <w:rFonts w:ascii="Times New Roman" w:hAnsi="Times New Roman" w:cs="Times New Roman"/>
                <w:sz w:val="21"/>
                <w:szCs w:val="21"/>
              </w:rPr>
            </w:pPr>
            <w:r>
              <w:rPr>
                <w:rFonts w:ascii="Times New Roman" w:hAnsi="Times New Roman" w:cs="Times New Roman"/>
                <w:sz w:val="21"/>
                <w:szCs w:val="21"/>
              </w:rPr>
              <w:t>1.5μg/kg</w:t>
            </w:r>
          </w:p>
        </w:tc>
      </w:tr>
      <w:tr w14:paraId="3F3E3E29">
        <w:tblPrEx>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19" w:type="pct"/>
            <w:vMerge w:val="continue"/>
            <w:noWrap w:val="0"/>
            <w:vAlign w:val="center"/>
          </w:tcPr>
          <w:p w14:paraId="4B8FD57B">
            <w:pPr>
              <w:jc w:val="center"/>
              <w:rPr>
                <w:rFonts w:ascii="Times New Roman" w:hAnsi="Times New Roman" w:cs="Times New Roman"/>
                <w:sz w:val="21"/>
                <w:szCs w:val="21"/>
              </w:rPr>
            </w:pPr>
          </w:p>
        </w:tc>
        <w:tc>
          <w:tcPr>
            <w:tcW w:w="930" w:type="pct"/>
            <w:noWrap w:val="0"/>
            <w:vAlign w:val="center"/>
          </w:tcPr>
          <w:p w14:paraId="2D97A154">
            <w:pPr>
              <w:jc w:val="center"/>
              <w:textAlignment w:val="center"/>
              <w:rPr>
                <w:rFonts w:ascii="Times New Roman" w:hAnsi="Times New Roman" w:cs="Times New Roman"/>
                <w:sz w:val="21"/>
                <w:szCs w:val="21"/>
              </w:rPr>
            </w:pPr>
            <w:r>
              <w:rPr>
                <w:rFonts w:ascii="Times New Roman" w:hAnsi="Times New Roman" w:cs="Times New Roman"/>
                <w:spacing w:val="-5"/>
                <w:sz w:val="21"/>
                <w:szCs w:val="21"/>
                <w:lang w:bidi="ar"/>
              </w:rPr>
              <w:t>1,2-二氯乙烷</w:t>
            </w:r>
          </w:p>
        </w:tc>
        <w:tc>
          <w:tcPr>
            <w:tcW w:w="1537" w:type="pct"/>
            <w:vMerge w:val="continue"/>
            <w:noWrap w:val="0"/>
            <w:vAlign w:val="center"/>
          </w:tcPr>
          <w:p w14:paraId="3888F4C0">
            <w:pPr>
              <w:jc w:val="center"/>
              <w:rPr>
                <w:rFonts w:ascii="Times New Roman" w:hAnsi="Times New Roman" w:cs="Times New Roman"/>
                <w:sz w:val="21"/>
                <w:szCs w:val="21"/>
              </w:rPr>
            </w:pPr>
          </w:p>
        </w:tc>
        <w:tc>
          <w:tcPr>
            <w:tcW w:w="1381" w:type="pct"/>
            <w:vMerge w:val="continue"/>
            <w:noWrap w:val="0"/>
            <w:vAlign w:val="center"/>
          </w:tcPr>
          <w:p w14:paraId="58360382">
            <w:pPr>
              <w:jc w:val="center"/>
              <w:rPr>
                <w:rFonts w:ascii="Times New Roman" w:hAnsi="Times New Roman" w:cs="Times New Roman"/>
                <w:sz w:val="21"/>
                <w:szCs w:val="21"/>
              </w:rPr>
            </w:pPr>
          </w:p>
        </w:tc>
        <w:tc>
          <w:tcPr>
            <w:tcW w:w="730" w:type="pct"/>
            <w:noWrap w:val="0"/>
            <w:vAlign w:val="center"/>
          </w:tcPr>
          <w:p w14:paraId="6AEF63E7">
            <w:pPr>
              <w:jc w:val="center"/>
              <w:rPr>
                <w:rFonts w:ascii="Times New Roman" w:hAnsi="Times New Roman" w:cs="Times New Roman"/>
                <w:sz w:val="21"/>
                <w:szCs w:val="21"/>
              </w:rPr>
            </w:pPr>
            <w:r>
              <w:rPr>
                <w:rFonts w:ascii="Times New Roman" w:hAnsi="Times New Roman" w:cs="Times New Roman"/>
                <w:sz w:val="21"/>
                <w:szCs w:val="21"/>
              </w:rPr>
              <w:t>1.3μg/kg</w:t>
            </w:r>
          </w:p>
        </w:tc>
      </w:tr>
      <w:tr w14:paraId="3CAEFD3B">
        <w:tblPrEx>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19" w:type="pct"/>
            <w:vMerge w:val="continue"/>
            <w:noWrap w:val="0"/>
            <w:vAlign w:val="center"/>
          </w:tcPr>
          <w:p w14:paraId="5D5B0B82">
            <w:pPr>
              <w:jc w:val="center"/>
              <w:rPr>
                <w:rFonts w:ascii="Times New Roman" w:hAnsi="Times New Roman" w:cs="Times New Roman"/>
                <w:sz w:val="21"/>
                <w:szCs w:val="21"/>
              </w:rPr>
            </w:pPr>
          </w:p>
        </w:tc>
        <w:tc>
          <w:tcPr>
            <w:tcW w:w="930" w:type="pct"/>
            <w:noWrap w:val="0"/>
            <w:vAlign w:val="center"/>
          </w:tcPr>
          <w:p w14:paraId="37AA077A">
            <w:pPr>
              <w:jc w:val="center"/>
              <w:textAlignment w:val="center"/>
              <w:rPr>
                <w:rFonts w:ascii="Times New Roman" w:hAnsi="Times New Roman" w:cs="Times New Roman"/>
                <w:sz w:val="21"/>
                <w:szCs w:val="21"/>
              </w:rPr>
            </w:pPr>
            <w:r>
              <w:rPr>
                <w:rFonts w:ascii="Times New Roman" w:hAnsi="Times New Roman" w:cs="Times New Roman"/>
                <w:spacing w:val="-5"/>
                <w:sz w:val="21"/>
                <w:szCs w:val="21"/>
                <w:lang w:bidi="ar"/>
              </w:rPr>
              <w:t>1,1,1-三氯乙烷</w:t>
            </w:r>
          </w:p>
        </w:tc>
        <w:tc>
          <w:tcPr>
            <w:tcW w:w="1537" w:type="pct"/>
            <w:vMerge w:val="continue"/>
            <w:noWrap w:val="0"/>
            <w:vAlign w:val="center"/>
          </w:tcPr>
          <w:p w14:paraId="7339531D">
            <w:pPr>
              <w:jc w:val="center"/>
              <w:rPr>
                <w:rFonts w:ascii="Times New Roman" w:hAnsi="Times New Roman" w:cs="Times New Roman"/>
                <w:sz w:val="21"/>
                <w:szCs w:val="21"/>
              </w:rPr>
            </w:pPr>
          </w:p>
        </w:tc>
        <w:tc>
          <w:tcPr>
            <w:tcW w:w="1381" w:type="pct"/>
            <w:vMerge w:val="continue"/>
            <w:noWrap w:val="0"/>
            <w:vAlign w:val="center"/>
          </w:tcPr>
          <w:p w14:paraId="6F756DA3">
            <w:pPr>
              <w:jc w:val="center"/>
              <w:rPr>
                <w:rFonts w:ascii="Times New Roman" w:hAnsi="Times New Roman" w:cs="Times New Roman"/>
                <w:sz w:val="21"/>
                <w:szCs w:val="21"/>
              </w:rPr>
            </w:pPr>
          </w:p>
        </w:tc>
        <w:tc>
          <w:tcPr>
            <w:tcW w:w="730" w:type="pct"/>
            <w:noWrap w:val="0"/>
            <w:vAlign w:val="center"/>
          </w:tcPr>
          <w:p w14:paraId="25A3BE74">
            <w:pPr>
              <w:jc w:val="center"/>
              <w:rPr>
                <w:rFonts w:ascii="Times New Roman" w:hAnsi="Times New Roman" w:cs="Times New Roman"/>
                <w:sz w:val="21"/>
                <w:szCs w:val="21"/>
              </w:rPr>
            </w:pPr>
            <w:r>
              <w:rPr>
                <w:rFonts w:ascii="Times New Roman" w:hAnsi="Times New Roman" w:cs="Times New Roman"/>
                <w:sz w:val="21"/>
                <w:szCs w:val="21"/>
              </w:rPr>
              <w:t>1.1μg/kg</w:t>
            </w:r>
          </w:p>
        </w:tc>
      </w:tr>
      <w:tr w14:paraId="6105E185">
        <w:tblPrEx>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19" w:type="pct"/>
            <w:vMerge w:val="continue"/>
            <w:noWrap w:val="0"/>
            <w:vAlign w:val="center"/>
          </w:tcPr>
          <w:p w14:paraId="47B5EE2E">
            <w:pPr>
              <w:jc w:val="center"/>
              <w:rPr>
                <w:rFonts w:ascii="Times New Roman" w:hAnsi="Times New Roman" w:cs="Times New Roman"/>
                <w:sz w:val="21"/>
                <w:szCs w:val="21"/>
              </w:rPr>
            </w:pPr>
          </w:p>
        </w:tc>
        <w:tc>
          <w:tcPr>
            <w:tcW w:w="930" w:type="pct"/>
            <w:noWrap w:val="0"/>
            <w:vAlign w:val="center"/>
          </w:tcPr>
          <w:p w14:paraId="35B87DB7">
            <w:pPr>
              <w:jc w:val="center"/>
              <w:textAlignment w:val="center"/>
              <w:rPr>
                <w:rFonts w:ascii="Times New Roman" w:hAnsi="Times New Roman" w:cs="Times New Roman"/>
                <w:sz w:val="21"/>
                <w:szCs w:val="21"/>
              </w:rPr>
            </w:pPr>
            <w:r>
              <w:rPr>
                <w:rFonts w:ascii="Times New Roman" w:hAnsi="Times New Roman" w:cs="Times New Roman"/>
                <w:spacing w:val="-5"/>
                <w:sz w:val="21"/>
                <w:szCs w:val="21"/>
                <w:lang w:bidi="ar"/>
              </w:rPr>
              <w:t>四氯化碳</w:t>
            </w:r>
          </w:p>
        </w:tc>
        <w:tc>
          <w:tcPr>
            <w:tcW w:w="1537" w:type="pct"/>
            <w:vMerge w:val="continue"/>
            <w:noWrap w:val="0"/>
            <w:vAlign w:val="center"/>
          </w:tcPr>
          <w:p w14:paraId="702235EF">
            <w:pPr>
              <w:jc w:val="center"/>
              <w:rPr>
                <w:rFonts w:ascii="Times New Roman" w:hAnsi="Times New Roman" w:cs="Times New Roman"/>
                <w:sz w:val="21"/>
                <w:szCs w:val="21"/>
              </w:rPr>
            </w:pPr>
          </w:p>
        </w:tc>
        <w:tc>
          <w:tcPr>
            <w:tcW w:w="1381" w:type="pct"/>
            <w:vMerge w:val="continue"/>
            <w:noWrap w:val="0"/>
            <w:vAlign w:val="center"/>
          </w:tcPr>
          <w:p w14:paraId="76D6A8A4">
            <w:pPr>
              <w:jc w:val="center"/>
              <w:rPr>
                <w:rFonts w:ascii="Times New Roman" w:hAnsi="Times New Roman" w:cs="Times New Roman"/>
                <w:sz w:val="21"/>
                <w:szCs w:val="21"/>
              </w:rPr>
            </w:pPr>
          </w:p>
        </w:tc>
        <w:tc>
          <w:tcPr>
            <w:tcW w:w="730" w:type="pct"/>
            <w:noWrap w:val="0"/>
            <w:vAlign w:val="center"/>
          </w:tcPr>
          <w:p w14:paraId="6EF1E206">
            <w:pPr>
              <w:jc w:val="center"/>
              <w:rPr>
                <w:rFonts w:ascii="Times New Roman" w:hAnsi="Times New Roman" w:cs="Times New Roman"/>
                <w:sz w:val="21"/>
                <w:szCs w:val="21"/>
              </w:rPr>
            </w:pPr>
            <w:r>
              <w:rPr>
                <w:rFonts w:ascii="Times New Roman" w:hAnsi="Times New Roman" w:cs="Times New Roman"/>
                <w:sz w:val="21"/>
                <w:szCs w:val="21"/>
              </w:rPr>
              <w:t>2.1μg/kg</w:t>
            </w:r>
          </w:p>
        </w:tc>
      </w:tr>
      <w:tr w14:paraId="72DFF6FA">
        <w:tblPrEx>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19" w:type="pct"/>
            <w:vMerge w:val="continue"/>
            <w:noWrap w:val="0"/>
            <w:vAlign w:val="center"/>
          </w:tcPr>
          <w:p w14:paraId="724A886C">
            <w:pPr>
              <w:jc w:val="center"/>
              <w:rPr>
                <w:rFonts w:ascii="Times New Roman" w:hAnsi="Times New Roman" w:cs="Times New Roman"/>
                <w:sz w:val="21"/>
                <w:szCs w:val="21"/>
              </w:rPr>
            </w:pPr>
          </w:p>
        </w:tc>
        <w:tc>
          <w:tcPr>
            <w:tcW w:w="930" w:type="pct"/>
            <w:noWrap w:val="0"/>
            <w:vAlign w:val="center"/>
          </w:tcPr>
          <w:p w14:paraId="7FAC4D05">
            <w:pPr>
              <w:jc w:val="center"/>
              <w:textAlignment w:val="center"/>
              <w:rPr>
                <w:rFonts w:ascii="Times New Roman" w:hAnsi="Times New Roman" w:cs="Times New Roman"/>
                <w:sz w:val="21"/>
                <w:szCs w:val="21"/>
              </w:rPr>
            </w:pPr>
            <w:r>
              <w:rPr>
                <w:rFonts w:ascii="Times New Roman" w:hAnsi="Times New Roman" w:cs="Times New Roman"/>
                <w:spacing w:val="-5"/>
                <w:sz w:val="21"/>
                <w:szCs w:val="21"/>
                <w:lang w:bidi="ar"/>
              </w:rPr>
              <w:t>苯</w:t>
            </w:r>
          </w:p>
        </w:tc>
        <w:tc>
          <w:tcPr>
            <w:tcW w:w="1537" w:type="pct"/>
            <w:vMerge w:val="continue"/>
            <w:noWrap w:val="0"/>
            <w:vAlign w:val="center"/>
          </w:tcPr>
          <w:p w14:paraId="164A7740">
            <w:pPr>
              <w:jc w:val="center"/>
              <w:rPr>
                <w:rFonts w:ascii="Times New Roman" w:hAnsi="Times New Roman" w:cs="Times New Roman"/>
                <w:sz w:val="21"/>
                <w:szCs w:val="21"/>
              </w:rPr>
            </w:pPr>
          </w:p>
        </w:tc>
        <w:tc>
          <w:tcPr>
            <w:tcW w:w="1381" w:type="pct"/>
            <w:vMerge w:val="continue"/>
            <w:noWrap w:val="0"/>
            <w:vAlign w:val="center"/>
          </w:tcPr>
          <w:p w14:paraId="1027199B">
            <w:pPr>
              <w:jc w:val="center"/>
              <w:rPr>
                <w:rFonts w:ascii="Times New Roman" w:hAnsi="Times New Roman" w:cs="Times New Roman"/>
                <w:sz w:val="21"/>
                <w:szCs w:val="21"/>
              </w:rPr>
            </w:pPr>
          </w:p>
        </w:tc>
        <w:tc>
          <w:tcPr>
            <w:tcW w:w="730" w:type="pct"/>
            <w:noWrap w:val="0"/>
            <w:vAlign w:val="center"/>
          </w:tcPr>
          <w:p w14:paraId="4A00E1F2">
            <w:pPr>
              <w:jc w:val="center"/>
              <w:rPr>
                <w:rFonts w:ascii="Times New Roman" w:hAnsi="Times New Roman" w:cs="Times New Roman"/>
                <w:sz w:val="21"/>
                <w:szCs w:val="21"/>
              </w:rPr>
            </w:pPr>
            <w:r>
              <w:rPr>
                <w:rFonts w:ascii="Times New Roman" w:hAnsi="Times New Roman" w:cs="Times New Roman"/>
                <w:sz w:val="21"/>
                <w:szCs w:val="21"/>
              </w:rPr>
              <w:t>1.6μg/kg</w:t>
            </w:r>
          </w:p>
        </w:tc>
      </w:tr>
      <w:tr w14:paraId="5E285BCE">
        <w:tblPrEx>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19" w:type="pct"/>
            <w:vMerge w:val="continue"/>
            <w:noWrap w:val="0"/>
            <w:vAlign w:val="center"/>
          </w:tcPr>
          <w:p w14:paraId="4440DC50">
            <w:pPr>
              <w:jc w:val="center"/>
              <w:rPr>
                <w:rFonts w:ascii="Times New Roman" w:hAnsi="Times New Roman" w:cs="Times New Roman"/>
                <w:sz w:val="21"/>
                <w:szCs w:val="21"/>
              </w:rPr>
            </w:pPr>
          </w:p>
        </w:tc>
        <w:tc>
          <w:tcPr>
            <w:tcW w:w="930" w:type="pct"/>
            <w:noWrap w:val="0"/>
            <w:vAlign w:val="center"/>
          </w:tcPr>
          <w:p w14:paraId="08ED6318">
            <w:pPr>
              <w:jc w:val="center"/>
              <w:textAlignment w:val="center"/>
              <w:rPr>
                <w:rFonts w:ascii="Times New Roman" w:hAnsi="Times New Roman" w:cs="Times New Roman"/>
                <w:sz w:val="21"/>
                <w:szCs w:val="21"/>
              </w:rPr>
            </w:pPr>
            <w:r>
              <w:rPr>
                <w:rFonts w:ascii="Times New Roman" w:hAnsi="Times New Roman" w:cs="Times New Roman"/>
                <w:spacing w:val="-5"/>
                <w:sz w:val="21"/>
                <w:szCs w:val="21"/>
                <w:lang w:bidi="ar"/>
              </w:rPr>
              <w:t>1,2-二氯丙烷</w:t>
            </w:r>
          </w:p>
        </w:tc>
        <w:tc>
          <w:tcPr>
            <w:tcW w:w="1537" w:type="pct"/>
            <w:vMerge w:val="continue"/>
            <w:noWrap w:val="0"/>
            <w:vAlign w:val="center"/>
          </w:tcPr>
          <w:p w14:paraId="68E22A2A">
            <w:pPr>
              <w:jc w:val="center"/>
              <w:rPr>
                <w:rFonts w:ascii="Times New Roman" w:hAnsi="Times New Roman" w:cs="Times New Roman"/>
                <w:sz w:val="21"/>
                <w:szCs w:val="21"/>
              </w:rPr>
            </w:pPr>
          </w:p>
        </w:tc>
        <w:tc>
          <w:tcPr>
            <w:tcW w:w="1381" w:type="pct"/>
            <w:vMerge w:val="continue"/>
            <w:noWrap w:val="0"/>
            <w:vAlign w:val="center"/>
          </w:tcPr>
          <w:p w14:paraId="4105B751">
            <w:pPr>
              <w:jc w:val="center"/>
              <w:rPr>
                <w:rFonts w:ascii="Times New Roman" w:hAnsi="Times New Roman" w:cs="Times New Roman"/>
                <w:sz w:val="21"/>
                <w:szCs w:val="21"/>
              </w:rPr>
            </w:pPr>
          </w:p>
        </w:tc>
        <w:tc>
          <w:tcPr>
            <w:tcW w:w="730" w:type="pct"/>
            <w:noWrap w:val="0"/>
            <w:vAlign w:val="center"/>
          </w:tcPr>
          <w:p w14:paraId="76F64CA0">
            <w:pPr>
              <w:jc w:val="center"/>
              <w:rPr>
                <w:rFonts w:ascii="Times New Roman" w:hAnsi="Times New Roman" w:cs="Times New Roman"/>
                <w:sz w:val="21"/>
                <w:szCs w:val="21"/>
              </w:rPr>
            </w:pPr>
            <w:r>
              <w:rPr>
                <w:rFonts w:ascii="Times New Roman" w:hAnsi="Times New Roman" w:cs="Times New Roman"/>
                <w:sz w:val="21"/>
                <w:szCs w:val="21"/>
              </w:rPr>
              <w:t>1.9μg/kg</w:t>
            </w:r>
          </w:p>
        </w:tc>
      </w:tr>
      <w:tr w14:paraId="642A2D5D">
        <w:tblPrEx>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19" w:type="pct"/>
            <w:vMerge w:val="continue"/>
            <w:noWrap w:val="0"/>
            <w:vAlign w:val="center"/>
          </w:tcPr>
          <w:p w14:paraId="4707CF18">
            <w:pPr>
              <w:jc w:val="center"/>
              <w:rPr>
                <w:rFonts w:ascii="Times New Roman" w:hAnsi="Times New Roman" w:cs="Times New Roman"/>
                <w:sz w:val="21"/>
                <w:szCs w:val="21"/>
              </w:rPr>
            </w:pPr>
          </w:p>
        </w:tc>
        <w:tc>
          <w:tcPr>
            <w:tcW w:w="930" w:type="pct"/>
            <w:noWrap w:val="0"/>
            <w:vAlign w:val="center"/>
          </w:tcPr>
          <w:p w14:paraId="0A2FD00E">
            <w:pPr>
              <w:jc w:val="center"/>
              <w:textAlignment w:val="center"/>
              <w:rPr>
                <w:rFonts w:ascii="Times New Roman" w:hAnsi="Times New Roman" w:cs="Times New Roman"/>
                <w:sz w:val="21"/>
                <w:szCs w:val="21"/>
              </w:rPr>
            </w:pPr>
            <w:r>
              <w:rPr>
                <w:rFonts w:ascii="Times New Roman" w:hAnsi="Times New Roman" w:cs="Times New Roman"/>
                <w:spacing w:val="-5"/>
                <w:sz w:val="21"/>
                <w:szCs w:val="21"/>
                <w:lang w:bidi="ar"/>
              </w:rPr>
              <w:t>三氯乙烯</w:t>
            </w:r>
          </w:p>
        </w:tc>
        <w:tc>
          <w:tcPr>
            <w:tcW w:w="1537" w:type="pct"/>
            <w:vMerge w:val="continue"/>
            <w:noWrap w:val="0"/>
            <w:vAlign w:val="center"/>
          </w:tcPr>
          <w:p w14:paraId="1BDDB8FC">
            <w:pPr>
              <w:jc w:val="center"/>
              <w:rPr>
                <w:rFonts w:ascii="Times New Roman" w:hAnsi="Times New Roman" w:cs="Times New Roman"/>
                <w:sz w:val="21"/>
                <w:szCs w:val="21"/>
              </w:rPr>
            </w:pPr>
          </w:p>
        </w:tc>
        <w:tc>
          <w:tcPr>
            <w:tcW w:w="1381" w:type="pct"/>
            <w:vMerge w:val="continue"/>
            <w:noWrap w:val="0"/>
            <w:vAlign w:val="center"/>
          </w:tcPr>
          <w:p w14:paraId="78B977D2">
            <w:pPr>
              <w:jc w:val="center"/>
              <w:rPr>
                <w:rFonts w:ascii="Times New Roman" w:hAnsi="Times New Roman" w:cs="Times New Roman"/>
                <w:sz w:val="21"/>
                <w:szCs w:val="21"/>
              </w:rPr>
            </w:pPr>
          </w:p>
        </w:tc>
        <w:tc>
          <w:tcPr>
            <w:tcW w:w="730" w:type="pct"/>
            <w:noWrap w:val="0"/>
            <w:vAlign w:val="center"/>
          </w:tcPr>
          <w:p w14:paraId="5817FE95">
            <w:pPr>
              <w:jc w:val="center"/>
              <w:rPr>
                <w:rFonts w:ascii="Times New Roman" w:hAnsi="Times New Roman" w:cs="Times New Roman"/>
                <w:sz w:val="21"/>
                <w:szCs w:val="21"/>
              </w:rPr>
            </w:pPr>
            <w:r>
              <w:rPr>
                <w:rFonts w:ascii="Times New Roman" w:hAnsi="Times New Roman" w:cs="Times New Roman"/>
                <w:sz w:val="21"/>
                <w:szCs w:val="21"/>
              </w:rPr>
              <w:t>0.9μg/kg</w:t>
            </w:r>
          </w:p>
        </w:tc>
      </w:tr>
      <w:tr w14:paraId="7F6F5363">
        <w:tblPrEx>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19" w:type="pct"/>
            <w:vMerge w:val="continue"/>
            <w:noWrap w:val="0"/>
            <w:vAlign w:val="center"/>
          </w:tcPr>
          <w:p w14:paraId="410DEC28">
            <w:pPr>
              <w:jc w:val="center"/>
              <w:rPr>
                <w:rFonts w:ascii="Times New Roman" w:hAnsi="Times New Roman" w:cs="Times New Roman"/>
                <w:sz w:val="21"/>
                <w:szCs w:val="21"/>
              </w:rPr>
            </w:pPr>
          </w:p>
        </w:tc>
        <w:tc>
          <w:tcPr>
            <w:tcW w:w="930" w:type="pct"/>
            <w:noWrap w:val="0"/>
            <w:vAlign w:val="center"/>
          </w:tcPr>
          <w:p w14:paraId="142F3091">
            <w:pPr>
              <w:jc w:val="center"/>
              <w:textAlignment w:val="center"/>
              <w:rPr>
                <w:rFonts w:ascii="Times New Roman" w:hAnsi="Times New Roman" w:cs="Times New Roman"/>
                <w:sz w:val="21"/>
                <w:szCs w:val="21"/>
              </w:rPr>
            </w:pPr>
            <w:r>
              <w:rPr>
                <w:rFonts w:ascii="Times New Roman" w:hAnsi="Times New Roman" w:cs="Times New Roman"/>
                <w:spacing w:val="-5"/>
                <w:sz w:val="21"/>
                <w:szCs w:val="21"/>
                <w:lang w:bidi="ar"/>
              </w:rPr>
              <w:t>1,1,2-三氯乙烷</w:t>
            </w:r>
          </w:p>
        </w:tc>
        <w:tc>
          <w:tcPr>
            <w:tcW w:w="1537" w:type="pct"/>
            <w:vMerge w:val="continue"/>
            <w:noWrap w:val="0"/>
            <w:vAlign w:val="center"/>
          </w:tcPr>
          <w:p w14:paraId="76A2FA1D">
            <w:pPr>
              <w:jc w:val="center"/>
              <w:rPr>
                <w:rFonts w:ascii="Times New Roman" w:hAnsi="Times New Roman" w:cs="Times New Roman"/>
                <w:sz w:val="21"/>
                <w:szCs w:val="21"/>
              </w:rPr>
            </w:pPr>
          </w:p>
        </w:tc>
        <w:tc>
          <w:tcPr>
            <w:tcW w:w="1381" w:type="pct"/>
            <w:vMerge w:val="continue"/>
            <w:noWrap w:val="0"/>
            <w:vAlign w:val="center"/>
          </w:tcPr>
          <w:p w14:paraId="75A75A8A">
            <w:pPr>
              <w:jc w:val="center"/>
              <w:rPr>
                <w:rFonts w:ascii="Times New Roman" w:hAnsi="Times New Roman" w:cs="Times New Roman"/>
                <w:sz w:val="21"/>
                <w:szCs w:val="21"/>
              </w:rPr>
            </w:pPr>
          </w:p>
        </w:tc>
        <w:tc>
          <w:tcPr>
            <w:tcW w:w="730" w:type="pct"/>
            <w:noWrap w:val="0"/>
            <w:vAlign w:val="center"/>
          </w:tcPr>
          <w:p w14:paraId="77968F5D">
            <w:pPr>
              <w:jc w:val="center"/>
              <w:rPr>
                <w:rFonts w:ascii="Times New Roman" w:hAnsi="Times New Roman" w:cs="Times New Roman"/>
                <w:sz w:val="21"/>
                <w:szCs w:val="21"/>
              </w:rPr>
            </w:pPr>
            <w:r>
              <w:rPr>
                <w:rFonts w:ascii="Times New Roman" w:hAnsi="Times New Roman" w:cs="Times New Roman"/>
                <w:sz w:val="21"/>
                <w:szCs w:val="21"/>
              </w:rPr>
              <w:t>1.4μg/kg</w:t>
            </w:r>
          </w:p>
        </w:tc>
      </w:tr>
      <w:tr w14:paraId="4BED115E">
        <w:tblPrEx>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19" w:type="pct"/>
            <w:vMerge w:val="continue"/>
            <w:noWrap w:val="0"/>
            <w:vAlign w:val="center"/>
          </w:tcPr>
          <w:p w14:paraId="6861405D">
            <w:pPr>
              <w:jc w:val="center"/>
              <w:rPr>
                <w:rFonts w:ascii="Times New Roman" w:hAnsi="Times New Roman" w:cs="Times New Roman"/>
                <w:sz w:val="21"/>
                <w:szCs w:val="21"/>
              </w:rPr>
            </w:pPr>
          </w:p>
        </w:tc>
        <w:tc>
          <w:tcPr>
            <w:tcW w:w="930" w:type="pct"/>
            <w:noWrap w:val="0"/>
            <w:vAlign w:val="center"/>
          </w:tcPr>
          <w:p w14:paraId="746BA45B">
            <w:pPr>
              <w:jc w:val="center"/>
              <w:textAlignment w:val="center"/>
              <w:rPr>
                <w:rFonts w:ascii="Times New Roman" w:hAnsi="Times New Roman" w:cs="Times New Roman"/>
                <w:sz w:val="21"/>
                <w:szCs w:val="21"/>
              </w:rPr>
            </w:pPr>
            <w:r>
              <w:rPr>
                <w:rFonts w:ascii="Times New Roman" w:hAnsi="Times New Roman" w:cs="Times New Roman"/>
                <w:spacing w:val="-5"/>
                <w:sz w:val="21"/>
                <w:szCs w:val="21"/>
                <w:lang w:bidi="ar"/>
              </w:rPr>
              <w:t>甲苯</w:t>
            </w:r>
          </w:p>
        </w:tc>
        <w:tc>
          <w:tcPr>
            <w:tcW w:w="1537" w:type="pct"/>
            <w:vMerge w:val="continue"/>
            <w:noWrap w:val="0"/>
            <w:vAlign w:val="center"/>
          </w:tcPr>
          <w:p w14:paraId="380994F1">
            <w:pPr>
              <w:jc w:val="center"/>
              <w:rPr>
                <w:rFonts w:ascii="Times New Roman" w:hAnsi="Times New Roman" w:cs="Times New Roman"/>
                <w:sz w:val="21"/>
                <w:szCs w:val="21"/>
              </w:rPr>
            </w:pPr>
          </w:p>
        </w:tc>
        <w:tc>
          <w:tcPr>
            <w:tcW w:w="1381" w:type="pct"/>
            <w:vMerge w:val="continue"/>
            <w:noWrap w:val="0"/>
            <w:vAlign w:val="center"/>
          </w:tcPr>
          <w:p w14:paraId="7BC9829C">
            <w:pPr>
              <w:jc w:val="center"/>
              <w:rPr>
                <w:rFonts w:ascii="Times New Roman" w:hAnsi="Times New Roman" w:cs="Times New Roman"/>
                <w:sz w:val="21"/>
                <w:szCs w:val="21"/>
              </w:rPr>
            </w:pPr>
          </w:p>
        </w:tc>
        <w:tc>
          <w:tcPr>
            <w:tcW w:w="730" w:type="pct"/>
            <w:noWrap w:val="0"/>
            <w:vAlign w:val="center"/>
          </w:tcPr>
          <w:p w14:paraId="2F1EE8C8">
            <w:pPr>
              <w:jc w:val="center"/>
              <w:rPr>
                <w:rFonts w:ascii="Times New Roman" w:hAnsi="Times New Roman" w:cs="Times New Roman"/>
                <w:sz w:val="21"/>
                <w:szCs w:val="21"/>
              </w:rPr>
            </w:pPr>
            <w:r>
              <w:rPr>
                <w:rFonts w:ascii="Times New Roman" w:hAnsi="Times New Roman" w:cs="Times New Roman"/>
                <w:sz w:val="21"/>
                <w:szCs w:val="21"/>
              </w:rPr>
              <w:t>2.0μg/kg</w:t>
            </w:r>
          </w:p>
        </w:tc>
      </w:tr>
      <w:tr w14:paraId="1B804A35">
        <w:tblPrEx>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19" w:type="pct"/>
            <w:vMerge w:val="continue"/>
            <w:noWrap w:val="0"/>
            <w:vAlign w:val="center"/>
          </w:tcPr>
          <w:p w14:paraId="70A0DA53">
            <w:pPr>
              <w:jc w:val="center"/>
              <w:rPr>
                <w:rFonts w:ascii="Times New Roman" w:hAnsi="Times New Roman" w:cs="Times New Roman"/>
                <w:sz w:val="21"/>
                <w:szCs w:val="21"/>
              </w:rPr>
            </w:pPr>
          </w:p>
        </w:tc>
        <w:tc>
          <w:tcPr>
            <w:tcW w:w="930" w:type="pct"/>
            <w:noWrap w:val="0"/>
            <w:vAlign w:val="center"/>
          </w:tcPr>
          <w:p w14:paraId="61FC668B">
            <w:pPr>
              <w:jc w:val="center"/>
              <w:textAlignment w:val="center"/>
              <w:rPr>
                <w:rFonts w:ascii="Times New Roman" w:hAnsi="Times New Roman" w:cs="Times New Roman"/>
                <w:sz w:val="21"/>
                <w:szCs w:val="21"/>
              </w:rPr>
            </w:pPr>
            <w:r>
              <w:rPr>
                <w:rFonts w:ascii="Times New Roman" w:hAnsi="Times New Roman" w:cs="Times New Roman"/>
                <w:spacing w:val="-5"/>
                <w:sz w:val="21"/>
                <w:szCs w:val="21"/>
                <w:lang w:bidi="ar"/>
              </w:rPr>
              <w:t>四氯乙烯</w:t>
            </w:r>
          </w:p>
        </w:tc>
        <w:tc>
          <w:tcPr>
            <w:tcW w:w="1537" w:type="pct"/>
            <w:vMerge w:val="continue"/>
            <w:noWrap w:val="0"/>
            <w:vAlign w:val="center"/>
          </w:tcPr>
          <w:p w14:paraId="2D43CB6B">
            <w:pPr>
              <w:jc w:val="center"/>
              <w:rPr>
                <w:rFonts w:ascii="Times New Roman" w:hAnsi="Times New Roman" w:cs="Times New Roman"/>
                <w:sz w:val="21"/>
                <w:szCs w:val="21"/>
              </w:rPr>
            </w:pPr>
          </w:p>
        </w:tc>
        <w:tc>
          <w:tcPr>
            <w:tcW w:w="1381" w:type="pct"/>
            <w:vMerge w:val="continue"/>
            <w:noWrap w:val="0"/>
            <w:vAlign w:val="center"/>
          </w:tcPr>
          <w:p w14:paraId="71856B57">
            <w:pPr>
              <w:jc w:val="center"/>
              <w:rPr>
                <w:rFonts w:ascii="Times New Roman" w:hAnsi="Times New Roman" w:cs="Times New Roman"/>
                <w:sz w:val="21"/>
                <w:szCs w:val="21"/>
              </w:rPr>
            </w:pPr>
          </w:p>
        </w:tc>
        <w:tc>
          <w:tcPr>
            <w:tcW w:w="730" w:type="pct"/>
            <w:noWrap w:val="0"/>
            <w:vAlign w:val="center"/>
          </w:tcPr>
          <w:p w14:paraId="7A2344F6">
            <w:pPr>
              <w:jc w:val="center"/>
              <w:rPr>
                <w:rFonts w:ascii="Times New Roman" w:hAnsi="Times New Roman" w:cs="Times New Roman"/>
                <w:sz w:val="21"/>
                <w:szCs w:val="21"/>
              </w:rPr>
            </w:pPr>
            <w:r>
              <w:rPr>
                <w:rFonts w:ascii="Times New Roman" w:hAnsi="Times New Roman" w:cs="Times New Roman"/>
                <w:sz w:val="21"/>
                <w:szCs w:val="21"/>
              </w:rPr>
              <w:t>0.8μg/kg</w:t>
            </w:r>
          </w:p>
        </w:tc>
      </w:tr>
      <w:tr w14:paraId="32BC6874">
        <w:tblPrEx>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19" w:type="pct"/>
            <w:vMerge w:val="continue"/>
            <w:noWrap w:val="0"/>
            <w:vAlign w:val="center"/>
          </w:tcPr>
          <w:p w14:paraId="22CAEB44">
            <w:pPr>
              <w:jc w:val="center"/>
              <w:rPr>
                <w:rFonts w:ascii="Times New Roman" w:hAnsi="Times New Roman" w:cs="Times New Roman"/>
                <w:sz w:val="21"/>
                <w:szCs w:val="21"/>
              </w:rPr>
            </w:pPr>
          </w:p>
        </w:tc>
        <w:tc>
          <w:tcPr>
            <w:tcW w:w="930" w:type="pct"/>
            <w:noWrap w:val="0"/>
            <w:vAlign w:val="center"/>
          </w:tcPr>
          <w:p w14:paraId="5F5D9B1E">
            <w:pPr>
              <w:jc w:val="center"/>
              <w:textAlignment w:val="center"/>
              <w:rPr>
                <w:rFonts w:ascii="Times New Roman" w:hAnsi="Times New Roman" w:cs="Times New Roman"/>
                <w:sz w:val="21"/>
                <w:szCs w:val="21"/>
              </w:rPr>
            </w:pPr>
            <w:r>
              <w:rPr>
                <w:rFonts w:ascii="Times New Roman" w:hAnsi="Times New Roman" w:cs="Times New Roman"/>
                <w:spacing w:val="-5"/>
                <w:sz w:val="21"/>
                <w:szCs w:val="21"/>
                <w:lang w:bidi="ar"/>
              </w:rPr>
              <w:t>1,1,1,2-四氯乙烷</w:t>
            </w:r>
          </w:p>
        </w:tc>
        <w:tc>
          <w:tcPr>
            <w:tcW w:w="1537" w:type="pct"/>
            <w:vMerge w:val="continue"/>
            <w:noWrap w:val="0"/>
            <w:vAlign w:val="center"/>
          </w:tcPr>
          <w:p w14:paraId="34936046">
            <w:pPr>
              <w:jc w:val="center"/>
              <w:rPr>
                <w:rFonts w:ascii="Times New Roman" w:hAnsi="Times New Roman" w:cs="Times New Roman"/>
                <w:sz w:val="21"/>
                <w:szCs w:val="21"/>
              </w:rPr>
            </w:pPr>
          </w:p>
        </w:tc>
        <w:tc>
          <w:tcPr>
            <w:tcW w:w="1381" w:type="pct"/>
            <w:vMerge w:val="continue"/>
            <w:noWrap w:val="0"/>
            <w:vAlign w:val="center"/>
          </w:tcPr>
          <w:p w14:paraId="37838654">
            <w:pPr>
              <w:jc w:val="center"/>
              <w:rPr>
                <w:rFonts w:ascii="Times New Roman" w:hAnsi="Times New Roman" w:cs="Times New Roman"/>
                <w:sz w:val="21"/>
                <w:szCs w:val="21"/>
              </w:rPr>
            </w:pPr>
          </w:p>
        </w:tc>
        <w:tc>
          <w:tcPr>
            <w:tcW w:w="730" w:type="pct"/>
            <w:noWrap w:val="0"/>
            <w:vAlign w:val="center"/>
          </w:tcPr>
          <w:p w14:paraId="4DD4C18E">
            <w:pPr>
              <w:jc w:val="center"/>
              <w:rPr>
                <w:rFonts w:ascii="Times New Roman" w:hAnsi="Times New Roman" w:cs="Times New Roman"/>
                <w:sz w:val="21"/>
                <w:szCs w:val="21"/>
              </w:rPr>
            </w:pPr>
            <w:r>
              <w:rPr>
                <w:rFonts w:ascii="Times New Roman" w:hAnsi="Times New Roman" w:cs="Times New Roman"/>
                <w:sz w:val="21"/>
                <w:szCs w:val="21"/>
              </w:rPr>
              <w:t>1.0μg/kg</w:t>
            </w:r>
          </w:p>
        </w:tc>
      </w:tr>
      <w:tr w14:paraId="1479ACB7">
        <w:tblPrEx>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19" w:type="pct"/>
            <w:vMerge w:val="continue"/>
            <w:noWrap w:val="0"/>
            <w:vAlign w:val="center"/>
          </w:tcPr>
          <w:p w14:paraId="2988F062">
            <w:pPr>
              <w:jc w:val="center"/>
              <w:rPr>
                <w:rFonts w:ascii="Times New Roman" w:hAnsi="Times New Roman" w:cs="Times New Roman"/>
                <w:sz w:val="21"/>
                <w:szCs w:val="21"/>
              </w:rPr>
            </w:pPr>
          </w:p>
        </w:tc>
        <w:tc>
          <w:tcPr>
            <w:tcW w:w="930" w:type="pct"/>
            <w:noWrap w:val="0"/>
            <w:vAlign w:val="center"/>
          </w:tcPr>
          <w:p w14:paraId="75B9F3F7">
            <w:pPr>
              <w:jc w:val="center"/>
              <w:textAlignment w:val="center"/>
              <w:rPr>
                <w:rFonts w:ascii="Times New Roman" w:hAnsi="Times New Roman" w:cs="Times New Roman"/>
                <w:sz w:val="21"/>
                <w:szCs w:val="21"/>
              </w:rPr>
            </w:pPr>
            <w:r>
              <w:rPr>
                <w:rFonts w:ascii="Times New Roman" w:hAnsi="Times New Roman" w:cs="Times New Roman"/>
                <w:spacing w:val="-5"/>
                <w:sz w:val="21"/>
                <w:szCs w:val="21"/>
                <w:lang w:bidi="ar"/>
              </w:rPr>
              <w:t>氯苯</w:t>
            </w:r>
          </w:p>
        </w:tc>
        <w:tc>
          <w:tcPr>
            <w:tcW w:w="1537" w:type="pct"/>
            <w:vMerge w:val="continue"/>
            <w:noWrap w:val="0"/>
            <w:vAlign w:val="center"/>
          </w:tcPr>
          <w:p w14:paraId="2B9DE0E0">
            <w:pPr>
              <w:jc w:val="center"/>
              <w:rPr>
                <w:rFonts w:ascii="Times New Roman" w:hAnsi="Times New Roman" w:cs="Times New Roman"/>
                <w:sz w:val="21"/>
                <w:szCs w:val="21"/>
              </w:rPr>
            </w:pPr>
          </w:p>
        </w:tc>
        <w:tc>
          <w:tcPr>
            <w:tcW w:w="1381" w:type="pct"/>
            <w:vMerge w:val="continue"/>
            <w:noWrap w:val="0"/>
            <w:vAlign w:val="center"/>
          </w:tcPr>
          <w:p w14:paraId="69050046">
            <w:pPr>
              <w:jc w:val="center"/>
              <w:rPr>
                <w:rFonts w:ascii="Times New Roman" w:hAnsi="Times New Roman" w:cs="Times New Roman"/>
                <w:sz w:val="21"/>
                <w:szCs w:val="21"/>
              </w:rPr>
            </w:pPr>
          </w:p>
        </w:tc>
        <w:tc>
          <w:tcPr>
            <w:tcW w:w="730" w:type="pct"/>
            <w:noWrap w:val="0"/>
            <w:vAlign w:val="center"/>
          </w:tcPr>
          <w:p w14:paraId="426599F2">
            <w:pPr>
              <w:jc w:val="center"/>
              <w:rPr>
                <w:rFonts w:ascii="Times New Roman" w:hAnsi="Times New Roman" w:cs="Times New Roman"/>
                <w:sz w:val="21"/>
                <w:szCs w:val="21"/>
              </w:rPr>
            </w:pPr>
            <w:r>
              <w:rPr>
                <w:rFonts w:ascii="Times New Roman" w:hAnsi="Times New Roman" w:cs="Times New Roman"/>
                <w:sz w:val="21"/>
                <w:szCs w:val="21"/>
              </w:rPr>
              <w:t>1.1μg/kg</w:t>
            </w:r>
          </w:p>
        </w:tc>
      </w:tr>
      <w:tr w14:paraId="3B41DD02">
        <w:tblPrEx>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19" w:type="pct"/>
            <w:vMerge w:val="continue"/>
            <w:noWrap w:val="0"/>
            <w:vAlign w:val="center"/>
          </w:tcPr>
          <w:p w14:paraId="666195C0">
            <w:pPr>
              <w:jc w:val="center"/>
              <w:rPr>
                <w:rFonts w:ascii="Times New Roman" w:hAnsi="Times New Roman" w:cs="Times New Roman"/>
                <w:sz w:val="21"/>
                <w:szCs w:val="21"/>
              </w:rPr>
            </w:pPr>
          </w:p>
        </w:tc>
        <w:tc>
          <w:tcPr>
            <w:tcW w:w="930" w:type="pct"/>
            <w:noWrap w:val="0"/>
            <w:vAlign w:val="center"/>
          </w:tcPr>
          <w:p w14:paraId="50A24635">
            <w:pPr>
              <w:jc w:val="center"/>
              <w:textAlignment w:val="center"/>
              <w:rPr>
                <w:rFonts w:ascii="Times New Roman" w:hAnsi="Times New Roman" w:cs="Times New Roman"/>
                <w:sz w:val="21"/>
                <w:szCs w:val="21"/>
              </w:rPr>
            </w:pPr>
            <w:r>
              <w:rPr>
                <w:rFonts w:ascii="Times New Roman" w:hAnsi="Times New Roman" w:cs="Times New Roman"/>
                <w:spacing w:val="-5"/>
                <w:sz w:val="21"/>
                <w:szCs w:val="21"/>
                <w:lang w:bidi="ar"/>
              </w:rPr>
              <w:t>乙苯</w:t>
            </w:r>
          </w:p>
        </w:tc>
        <w:tc>
          <w:tcPr>
            <w:tcW w:w="1537" w:type="pct"/>
            <w:vMerge w:val="continue"/>
            <w:noWrap w:val="0"/>
            <w:vAlign w:val="center"/>
          </w:tcPr>
          <w:p w14:paraId="3A38DBE7">
            <w:pPr>
              <w:jc w:val="center"/>
              <w:rPr>
                <w:rFonts w:ascii="Times New Roman" w:hAnsi="Times New Roman" w:cs="Times New Roman"/>
                <w:sz w:val="21"/>
                <w:szCs w:val="21"/>
              </w:rPr>
            </w:pPr>
          </w:p>
        </w:tc>
        <w:tc>
          <w:tcPr>
            <w:tcW w:w="1381" w:type="pct"/>
            <w:vMerge w:val="continue"/>
            <w:noWrap w:val="0"/>
            <w:vAlign w:val="center"/>
          </w:tcPr>
          <w:p w14:paraId="529E553D">
            <w:pPr>
              <w:jc w:val="center"/>
              <w:rPr>
                <w:rFonts w:ascii="Times New Roman" w:hAnsi="Times New Roman" w:cs="Times New Roman"/>
                <w:sz w:val="21"/>
                <w:szCs w:val="21"/>
              </w:rPr>
            </w:pPr>
          </w:p>
        </w:tc>
        <w:tc>
          <w:tcPr>
            <w:tcW w:w="730" w:type="pct"/>
            <w:noWrap w:val="0"/>
            <w:vAlign w:val="center"/>
          </w:tcPr>
          <w:p w14:paraId="58CADC94">
            <w:pPr>
              <w:jc w:val="center"/>
              <w:rPr>
                <w:rFonts w:ascii="Times New Roman" w:hAnsi="Times New Roman" w:cs="Times New Roman"/>
                <w:sz w:val="21"/>
                <w:szCs w:val="21"/>
              </w:rPr>
            </w:pPr>
            <w:r>
              <w:rPr>
                <w:rFonts w:ascii="Times New Roman" w:hAnsi="Times New Roman" w:cs="Times New Roman"/>
                <w:sz w:val="21"/>
                <w:szCs w:val="21"/>
              </w:rPr>
              <w:t>1.2μg/kg</w:t>
            </w:r>
          </w:p>
        </w:tc>
      </w:tr>
      <w:tr w14:paraId="14833485">
        <w:tblPrEx>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19" w:type="pct"/>
            <w:vMerge w:val="continue"/>
            <w:noWrap w:val="0"/>
            <w:vAlign w:val="center"/>
          </w:tcPr>
          <w:p w14:paraId="2E085250">
            <w:pPr>
              <w:jc w:val="center"/>
              <w:rPr>
                <w:rFonts w:ascii="Times New Roman" w:hAnsi="Times New Roman" w:cs="Times New Roman"/>
                <w:sz w:val="21"/>
                <w:szCs w:val="21"/>
              </w:rPr>
            </w:pPr>
          </w:p>
        </w:tc>
        <w:tc>
          <w:tcPr>
            <w:tcW w:w="930" w:type="pct"/>
            <w:noWrap w:val="0"/>
            <w:vAlign w:val="center"/>
          </w:tcPr>
          <w:p w14:paraId="30E4936D">
            <w:pPr>
              <w:jc w:val="center"/>
              <w:textAlignment w:val="center"/>
              <w:rPr>
                <w:rFonts w:ascii="Times New Roman" w:hAnsi="Times New Roman" w:cs="Times New Roman"/>
                <w:sz w:val="21"/>
                <w:szCs w:val="21"/>
              </w:rPr>
            </w:pPr>
            <w:r>
              <w:rPr>
                <w:rFonts w:ascii="Times New Roman" w:hAnsi="Times New Roman" w:cs="Times New Roman"/>
                <w:spacing w:val="-5"/>
                <w:sz w:val="21"/>
                <w:szCs w:val="21"/>
                <w:lang w:bidi="ar"/>
              </w:rPr>
              <w:t>对(间)二甲苯</w:t>
            </w:r>
          </w:p>
        </w:tc>
        <w:tc>
          <w:tcPr>
            <w:tcW w:w="1537" w:type="pct"/>
            <w:vMerge w:val="continue"/>
            <w:noWrap w:val="0"/>
            <w:vAlign w:val="center"/>
          </w:tcPr>
          <w:p w14:paraId="0E9ED7F8">
            <w:pPr>
              <w:jc w:val="center"/>
              <w:rPr>
                <w:rFonts w:ascii="Times New Roman" w:hAnsi="Times New Roman" w:cs="Times New Roman"/>
                <w:sz w:val="21"/>
                <w:szCs w:val="21"/>
              </w:rPr>
            </w:pPr>
          </w:p>
        </w:tc>
        <w:tc>
          <w:tcPr>
            <w:tcW w:w="1381" w:type="pct"/>
            <w:vMerge w:val="continue"/>
            <w:noWrap w:val="0"/>
            <w:vAlign w:val="center"/>
          </w:tcPr>
          <w:p w14:paraId="7B05613F">
            <w:pPr>
              <w:jc w:val="center"/>
              <w:rPr>
                <w:rFonts w:ascii="Times New Roman" w:hAnsi="Times New Roman" w:cs="Times New Roman"/>
                <w:sz w:val="21"/>
                <w:szCs w:val="21"/>
              </w:rPr>
            </w:pPr>
          </w:p>
        </w:tc>
        <w:tc>
          <w:tcPr>
            <w:tcW w:w="730" w:type="pct"/>
            <w:noWrap w:val="0"/>
            <w:vAlign w:val="center"/>
          </w:tcPr>
          <w:p w14:paraId="6BA458D3">
            <w:pPr>
              <w:jc w:val="center"/>
              <w:rPr>
                <w:rFonts w:ascii="Times New Roman" w:hAnsi="Times New Roman" w:cs="Times New Roman"/>
                <w:sz w:val="21"/>
                <w:szCs w:val="21"/>
              </w:rPr>
            </w:pPr>
            <w:r>
              <w:rPr>
                <w:rFonts w:ascii="Times New Roman" w:hAnsi="Times New Roman" w:cs="Times New Roman"/>
                <w:spacing w:val="-5"/>
                <w:sz w:val="21"/>
                <w:szCs w:val="21"/>
                <w:lang w:bidi="ar"/>
              </w:rPr>
              <w:t>3.6</w:t>
            </w:r>
            <w:r>
              <w:rPr>
                <w:rFonts w:ascii="Times New Roman" w:hAnsi="Times New Roman" w:cs="Times New Roman"/>
                <w:sz w:val="21"/>
                <w:szCs w:val="21"/>
              </w:rPr>
              <w:t>μg/kg</w:t>
            </w:r>
          </w:p>
        </w:tc>
      </w:tr>
      <w:tr w14:paraId="045EC097">
        <w:tblPrEx>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19" w:type="pct"/>
            <w:vMerge w:val="continue"/>
            <w:noWrap w:val="0"/>
            <w:vAlign w:val="center"/>
          </w:tcPr>
          <w:p w14:paraId="276A1DE1">
            <w:pPr>
              <w:jc w:val="center"/>
              <w:rPr>
                <w:rFonts w:ascii="Times New Roman" w:hAnsi="Times New Roman" w:cs="Times New Roman"/>
                <w:sz w:val="21"/>
                <w:szCs w:val="21"/>
              </w:rPr>
            </w:pPr>
          </w:p>
        </w:tc>
        <w:tc>
          <w:tcPr>
            <w:tcW w:w="930" w:type="pct"/>
            <w:noWrap w:val="0"/>
            <w:vAlign w:val="center"/>
          </w:tcPr>
          <w:p w14:paraId="374601C5">
            <w:pPr>
              <w:jc w:val="center"/>
              <w:textAlignment w:val="center"/>
              <w:rPr>
                <w:rFonts w:ascii="Times New Roman" w:hAnsi="Times New Roman" w:cs="Times New Roman"/>
                <w:sz w:val="21"/>
                <w:szCs w:val="21"/>
              </w:rPr>
            </w:pPr>
            <w:r>
              <w:rPr>
                <w:rFonts w:ascii="Times New Roman" w:hAnsi="Times New Roman" w:cs="Times New Roman"/>
                <w:spacing w:val="-5"/>
                <w:sz w:val="21"/>
                <w:szCs w:val="21"/>
                <w:lang w:bidi="ar"/>
              </w:rPr>
              <w:t>苯乙烯</w:t>
            </w:r>
          </w:p>
        </w:tc>
        <w:tc>
          <w:tcPr>
            <w:tcW w:w="1537" w:type="pct"/>
            <w:vMerge w:val="continue"/>
            <w:noWrap w:val="0"/>
            <w:vAlign w:val="center"/>
          </w:tcPr>
          <w:p w14:paraId="30B70CEE">
            <w:pPr>
              <w:jc w:val="center"/>
              <w:rPr>
                <w:rFonts w:ascii="Times New Roman" w:hAnsi="Times New Roman" w:cs="Times New Roman"/>
                <w:sz w:val="21"/>
                <w:szCs w:val="21"/>
              </w:rPr>
            </w:pPr>
          </w:p>
        </w:tc>
        <w:tc>
          <w:tcPr>
            <w:tcW w:w="1381" w:type="pct"/>
            <w:vMerge w:val="continue"/>
            <w:noWrap w:val="0"/>
            <w:vAlign w:val="center"/>
          </w:tcPr>
          <w:p w14:paraId="585C57B1">
            <w:pPr>
              <w:jc w:val="center"/>
              <w:rPr>
                <w:rFonts w:ascii="Times New Roman" w:hAnsi="Times New Roman" w:cs="Times New Roman"/>
                <w:sz w:val="21"/>
                <w:szCs w:val="21"/>
              </w:rPr>
            </w:pPr>
          </w:p>
        </w:tc>
        <w:tc>
          <w:tcPr>
            <w:tcW w:w="730" w:type="pct"/>
            <w:noWrap w:val="0"/>
            <w:vAlign w:val="center"/>
          </w:tcPr>
          <w:p w14:paraId="23C4AD8B">
            <w:pPr>
              <w:jc w:val="center"/>
              <w:rPr>
                <w:rFonts w:ascii="Times New Roman" w:hAnsi="Times New Roman" w:cs="Times New Roman"/>
                <w:sz w:val="21"/>
                <w:szCs w:val="21"/>
              </w:rPr>
            </w:pPr>
            <w:r>
              <w:rPr>
                <w:rFonts w:ascii="Times New Roman" w:hAnsi="Times New Roman" w:cs="Times New Roman"/>
                <w:spacing w:val="-5"/>
                <w:sz w:val="21"/>
                <w:szCs w:val="21"/>
                <w:lang w:bidi="ar"/>
              </w:rPr>
              <w:t>1.6</w:t>
            </w:r>
            <w:r>
              <w:rPr>
                <w:rFonts w:ascii="Times New Roman" w:hAnsi="Times New Roman" w:cs="Times New Roman"/>
                <w:sz w:val="21"/>
                <w:szCs w:val="21"/>
              </w:rPr>
              <w:t>μg/kg</w:t>
            </w:r>
          </w:p>
        </w:tc>
      </w:tr>
      <w:tr w14:paraId="1E43CD45">
        <w:tblPrEx>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19" w:type="pct"/>
            <w:vMerge w:val="continue"/>
            <w:noWrap w:val="0"/>
            <w:vAlign w:val="center"/>
          </w:tcPr>
          <w:p w14:paraId="6762CA56">
            <w:pPr>
              <w:jc w:val="center"/>
              <w:rPr>
                <w:rFonts w:ascii="Times New Roman" w:hAnsi="Times New Roman" w:cs="Times New Roman"/>
                <w:sz w:val="21"/>
                <w:szCs w:val="21"/>
              </w:rPr>
            </w:pPr>
          </w:p>
        </w:tc>
        <w:tc>
          <w:tcPr>
            <w:tcW w:w="930" w:type="pct"/>
            <w:noWrap w:val="0"/>
            <w:vAlign w:val="center"/>
          </w:tcPr>
          <w:p w14:paraId="07121ED2">
            <w:pPr>
              <w:jc w:val="center"/>
              <w:textAlignment w:val="center"/>
              <w:rPr>
                <w:rFonts w:ascii="Times New Roman" w:hAnsi="Times New Roman" w:cs="Times New Roman"/>
                <w:sz w:val="21"/>
                <w:szCs w:val="21"/>
              </w:rPr>
            </w:pPr>
            <w:r>
              <w:rPr>
                <w:rFonts w:ascii="Times New Roman" w:hAnsi="Times New Roman" w:cs="Times New Roman"/>
                <w:spacing w:val="-5"/>
                <w:sz w:val="21"/>
                <w:szCs w:val="21"/>
                <w:lang w:bidi="ar"/>
              </w:rPr>
              <w:t>邻二甲苯</w:t>
            </w:r>
          </w:p>
        </w:tc>
        <w:tc>
          <w:tcPr>
            <w:tcW w:w="1537" w:type="pct"/>
            <w:vMerge w:val="continue"/>
            <w:noWrap w:val="0"/>
            <w:vAlign w:val="center"/>
          </w:tcPr>
          <w:p w14:paraId="26CDC532">
            <w:pPr>
              <w:jc w:val="center"/>
              <w:rPr>
                <w:rFonts w:ascii="Times New Roman" w:hAnsi="Times New Roman" w:cs="Times New Roman"/>
                <w:sz w:val="21"/>
                <w:szCs w:val="21"/>
              </w:rPr>
            </w:pPr>
          </w:p>
        </w:tc>
        <w:tc>
          <w:tcPr>
            <w:tcW w:w="1381" w:type="pct"/>
            <w:vMerge w:val="continue"/>
            <w:noWrap w:val="0"/>
            <w:vAlign w:val="center"/>
          </w:tcPr>
          <w:p w14:paraId="54FD0F98">
            <w:pPr>
              <w:jc w:val="center"/>
              <w:rPr>
                <w:rFonts w:ascii="Times New Roman" w:hAnsi="Times New Roman" w:cs="Times New Roman"/>
                <w:sz w:val="21"/>
                <w:szCs w:val="21"/>
              </w:rPr>
            </w:pPr>
          </w:p>
        </w:tc>
        <w:tc>
          <w:tcPr>
            <w:tcW w:w="730" w:type="pct"/>
            <w:noWrap w:val="0"/>
            <w:vAlign w:val="center"/>
          </w:tcPr>
          <w:p w14:paraId="073663BD">
            <w:pPr>
              <w:jc w:val="center"/>
              <w:rPr>
                <w:rFonts w:ascii="Times New Roman" w:hAnsi="Times New Roman" w:cs="Times New Roman"/>
                <w:sz w:val="21"/>
                <w:szCs w:val="21"/>
              </w:rPr>
            </w:pPr>
            <w:r>
              <w:rPr>
                <w:rFonts w:ascii="Times New Roman" w:hAnsi="Times New Roman" w:cs="Times New Roman"/>
                <w:spacing w:val="-5"/>
                <w:sz w:val="21"/>
                <w:szCs w:val="21"/>
                <w:lang w:bidi="ar"/>
              </w:rPr>
              <w:t>1.3</w:t>
            </w:r>
            <w:r>
              <w:rPr>
                <w:rFonts w:ascii="Times New Roman" w:hAnsi="Times New Roman" w:cs="Times New Roman"/>
                <w:sz w:val="21"/>
                <w:szCs w:val="21"/>
              </w:rPr>
              <w:t>μg/kg</w:t>
            </w:r>
          </w:p>
        </w:tc>
      </w:tr>
      <w:tr w14:paraId="15D38156">
        <w:tblPrEx>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19" w:type="pct"/>
            <w:vMerge w:val="continue"/>
            <w:noWrap w:val="0"/>
            <w:vAlign w:val="center"/>
          </w:tcPr>
          <w:p w14:paraId="149F020F">
            <w:pPr>
              <w:jc w:val="center"/>
              <w:rPr>
                <w:rFonts w:ascii="Times New Roman" w:hAnsi="Times New Roman" w:cs="Times New Roman"/>
                <w:sz w:val="21"/>
                <w:szCs w:val="21"/>
              </w:rPr>
            </w:pPr>
          </w:p>
        </w:tc>
        <w:tc>
          <w:tcPr>
            <w:tcW w:w="930" w:type="pct"/>
            <w:noWrap w:val="0"/>
            <w:vAlign w:val="center"/>
          </w:tcPr>
          <w:p w14:paraId="6389DE20">
            <w:pPr>
              <w:jc w:val="center"/>
              <w:textAlignment w:val="center"/>
              <w:rPr>
                <w:rFonts w:ascii="Times New Roman" w:hAnsi="Times New Roman" w:cs="Times New Roman"/>
                <w:sz w:val="21"/>
                <w:szCs w:val="21"/>
              </w:rPr>
            </w:pPr>
            <w:r>
              <w:rPr>
                <w:rFonts w:ascii="Times New Roman" w:hAnsi="Times New Roman" w:cs="Times New Roman"/>
                <w:spacing w:val="-5"/>
                <w:sz w:val="21"/>
                <w:szCs w:val="21"/>
                <w:lang w:bidi="ar"/>
              </w:rPr>
              <w:t>1,2,3-三氯丙烷</w:t>
            </w:r>
          </w:p>
        </w:tc>
        <w:tc>
          <w:tcPr>
            <w:tcW w:w="1537" w:type="pct"/>
            <w:vMerge w:val="continue"/>
            <w:noWrap w:val="0"/>
            <w:vAlign w:val="center"/>
          </w:tcPr>
          <w:p w14:paraId="2B29070E">
            <w:pPr>
              <w:jc w:val="center"/>
              <w:rPr>
                <w:rFonts w:ascii="Times New Roman" w:hAnsi="Times New Roman" w:cs="Times New Roman"/>
                <w:sz w:val="21"/>
                <w:szCs w:val="21"/>
              </w:rPr>
            </w:pPr>
          </w:p>
        </w:tc>
        <w:tc>
          <w:tcPr>
            <w:tcW w:w="1381" w:type="pct"/>
            <w:vMerge w:val="continue"/>
            <w:noWrap w:val="0"/>
            <w:vAlign w:val="center"/>
          </w:tcPr>
          <w:p w14:paraId="4E2162D7">
            <w:pPr>
              <w:jc w:val="center"/>
              <w:rPr>
                <w:rFonts w:ascii="Times New Roman" w:hAnsi="Times New Roman" w:cs="Times New Roman"/>
                <w:sz w:val="21"/>
                <w:szCs w:val="21"/>
              </w:rPr>
            </w:pPr>
          </w:p>
        </w:tc>
        <w:tc>
          <w:tcPr>
            <w:tcW w:w="730" w:type="pct"/>
            <w:noWrap w:val="0"/>
            <w:vAlign w:val="center"/>
          </w:tcPr>
          <w:p w14:paraId="6928EDC9">
            <w:pPr>
              <w:jc w:val="center"/>
              <w:rPr>
                <w:rFonts w:ascii="Times New Roman" w:hAnsi="Times New Roman" w:cs="Times New Roman"/>
                <w:sz w:val="21"/>
                <w:szCs w:val="21"/>
              </w:rPr>
            </w:pPr>
            <w:r>
              <w:rPr>
                <w:rFonts w:ascii="Times New Roman" w:hAnsi="Times New Roman" w:cs="Times New Roman"/>
                <w:spacing w:val="-5"/>
                <w:sz w:val="21"/>
                <w:szCs w:val="21"/>
                <w:lang w:bidi="ar"/>
              </w:rPr>
              <w:t>1.0</w:t>
            </w:r>
            <w:r>
              <w:rPr>
                <w:rFonts w:ascii="Times New Roman" w:hAnsi="Times New Roman" w:cs="Times New Roman"/>
                <w:sz w:val="21"/>
                <w:szCs w:val="21"/>
              </w:rPr>
              <w:t>μg/kg</w:t>
            </w:r>
          </w:p>
        </w:tc>
      </w:tr>
      <w:tr w14:paraId="6831E76F">
        <w:tblPrEx>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19" w:type="pct"/>
            <w:vMerge w:val="continue"/>
            <w:noWrap w:val="0"/>
            <w:vAlign w:val="center"/>
          </w:tcPr>
          <w:p w14:paraId="4A768718">
            <w:pPr>
              <w:jc w:val="center"/>
              <w:rPr>
                <w:rFonts w:ascii="Times New Roman" w:hAnsi="Times New Roman" w:cs="Times New Roman"/>
                <w:sz w:val="21"/>
                <w:szCs w:val="21"/>
              </w:rPr>
            </w:pPr>
          </w:p>
        </w:tc>
        <w:tc>
          <w:tcPr>
            <w:tcW w:w="930" w:type="pct"/>
            <w:noWrap w:val="0"/>
            <w:vAlign w:val="center"/>
          </w:tcPr>
          <w:p w14:paraId="62D94110">
            <w:pPr>
              <w:jc w:val="center"/>
              <w:textAlignment w:val="center"/>
              <w:rPr>
                <w:rFonts w:ascii="Times New Roman" w:hAnsi="Times New Roman" w:cs="Times New Roman"/>
                <w:sz w:val="21"/>
                <w:szCs w:val="21"/>
              </w:rPr>
            </w:pPr>
            <w:r>
              <w:rPr>
                <w:rFonts w:ascii="Times New Roman" w:hAnsi="Times New Roman" w:cs="Times New Roman"/>
                <w:spacing w:val="-5"/>
                <w:sz w:val="21"/>
                <w:szCs w:val="21"/>
                <w:lang w:bidi="ar"/>
              </w:rPr>
              <w:t>1,4-二氯苯</w:t>
            </w:r>
          </w:p>
        </w:tc>
        <w:tc>
          <w:tcPr>
            <w:tcW w:w="1537" w:type="pct"/>
            <w:vMerge w:val="continue"/>
            <w:noWrap w:val="0"/>
            <w:vAlign w:val="center"/>
          </w:tcPr>
          <w:p w14:paraId="5FCD3A7A">
            <w:pPr>
              <w:jc w:val="center"/>
              <w:rPr>
                <w:rFonts w:ascii="Times New Roman" w:hAnsi="Times New Roman" w:cs="Times New Roman"/>
                <w:sz w:val="21"/>
                <w:szCs w:val="21"/>
              </w:rPr>
            </w:pPr>
          </w:p>
        </w:tc>
        <w:tc>
          <w:tcPr>
            <w:tcW w:w="1381" w:type="pct"/>
            <w:vMerge w:val="continue"/>
            <w:noWrap w:val="0"/>
            <w:vAlign w:val="center"/>
          </w:tcPr>
          <w:p w14:paraId="6A50ADC6">
            <w:pPr>
              <w:jc w:val="center"/>
              <w:rPr>
                <w:rFonts w:ascii="Times New Roman" w:hAnsi="Times New Roman" w:cs="Times New Roman"/>
                <w:sz w:val="21"/>
                <w:szCs w:val="21"/>
              </w:rPr>
            </w:pPr>
          </w:p>
        </w:tc>
        <w:tc>
          <w:tcPr>
            <w:tcW w:w="730" w:type="pct"/>
            <w:noWrap w:val="0"/>
            <w:vAlign w:val="center"/>
          </w:tcPr>
          <w:p w14:paraId="68C73DF8">
            <w:pPr>
              <w:jc w:val="center"/>
              <w:rPr>
                <w:rFonts w:ascii="Times New Roman" w:hAnsi="Times New Roman" w:cs="Times New Roman"/>
                <w:sz w:val="21"/>
                <w:szCs w:val="21"/>
              </w:rPr>
            </w:pPr>
            <w:r>
              <w:rPr>
                <w:rFonts w:ascii="Times New Roman" w:hAnsi="Times New Roman" w:cs="Times New Roman"/>
                <w:spacing w:val="-5"/>
                <w:sz w:val="21"/>
                <w:szCs w:val="21"/>
                <w:lang w:bidi="ar"/>
              </w:rPr>
              <w:t>1.2</w:t>
            </w:r>
            <w:r>
              <w:rPr>
                <w:rFonts w:ascii="Times New Roman" w:hAnsi="Times New Roman" w:cs="Times New Roman"/>
                <w:sz w:val="21"/>
                <w:szCs w:val="21"/>
              </w:rPr>
              <w:t>μg/kg</w:t>
            </w:r>
          </w:p>
        </w:tc>
      </w:tr>
      <w:tr w14:paraId="4955DB90">
        <w:tblPrEx>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19" w:type="pct"/>
            <w:vMerge w:val="continue"/>
            <w:noWrap w:val="0"/>
            <w:vAlign w:val="center"/>
          </w:tcPr>
          <w:p w14:paraId="71619358">
            <w:pPr>
              <w:jc w:val="center"/>
              <w:rPr>
                <w:rFonts w:ascii="Times New Roman" w:hAnsi="Times New Roman" w:cs="Times New Roman"/>
                <w:sz w:val="21"/>
                <w:szCs w:val="21"/>
              </w:rPr>
            </w:pPr>
          </w:p>
        </w:tc>
        <w:tc>
          <w:tcPr>
            <w:tcW w:w="930" w:type="pct"/>
            <w:noWrap w:val="0"/>
            <w:vAlign w:val="center"/>
          </w:tcPr>
          <w:p w14:paraId="307BDC2A">
            <w:pPr>
              <w:jc w:val="center"/>
              <w:textAlignment w:val="center"/>
              <w:rPr>
                <w:rFonts w:ascii="Times New Roman" w:hAnsi="Times New Roman" w:cs="Times New Roman"/>
                <w:sz w:val="21"/>
                <w:szCs w:val="21"/>
              </w:rPr>
            </w:pPr>
            <w:r>
              <w:rPr>
                <w:rFonts w:ascii="Times New Roman" w:hAnsi="Times New Roman" w:cs="Times New Roman"/>
                <w:spacing w:val="-5"/>
                <w:sz w:val="21"/>
                <w:szCs w:val="21"/>
                <w:lang w:bidi="ar"/>
              </w:rPr>
              <w:t>1,2-二氯苯</w:t>
            </w:r>
          </w:p>
        </w:tc>
        <w:tc>
          <w:tcPr>
            <w:tcW w:w="1537" w:type="pct"/>
            <w:vMerge w:val="continue"/>
            <w:noWrap w:val="0"/>
            <w:vAlign w:val="center"/>
          </w:tcPr>
          <w:p w14:paraId="2C8A91B1">
            <w:pPr>
              <w:jc w:val="center"/>
              <w:rPr>
                <w:rFonts w:ascii="Times New Roman" w:hAnsi="Times New Roman" w:cs="Times New Roman"/>
                <w:sz w:val="21"/>
                <w:szCs w:val="21"/>
              </w:rPr>
            </w:pPr>
          </w:p>
        </w:tc>
        <w:tc>
          <w:tcPr>
            <w:tcW w:w="1381" w:type="pct"/>
            <w:vMerge w:val="continue"/>
            <w:noWrap w:val="0"/>
            <w:vAlign w:val="center"/>
          </w:tcPr>
          <w:p w14:paraId="778204D4">
            <w:pPr>
              <w:jc w:val="center"/>
              <w:rPr>
                <w:rFonts w:ascii="Times New Roman" w:hAnsi="Times New Roman" w:cs="Times New Roman"/>
                <w:sz w:val="21"/>
                <w:szCs w:val="21"/>
              </w:rPr>
            </w:pPr>
          </w:p>
        </w:tc>
        <w:tc>
          <w:tcPr>
            <w:tcW w:w="730" w:type="pct"/>
            <w:noWrap w:val="0"/>
            <w:vAlign w:val="center"/>
          </w:tcPr>
          <w:p w14:paraId="07743246">
            <w:pPr>
              <w:jc w:val="center"/>
              <w:rPr>
                <w:rFonts w:ascii="Times New Roman" w:hAnsi="Times New Roman" w:cs="Times New Roman"/>
                <w:sz w:val="21"/>
                <w:szCs w:val="21"/>
              </w:rPr>
            </w:pPr>
            <w:r>
              <w:rPr>
                <w:rFonts w:ascii="Times New Roman" w:hAnsi="Times New Roman" w:cs="Times New Roman"/>
                <w:spacing w:val="-5"/>
                <w:sz w:val="21"/>
                <w:szCs w:val="21"/>
                <w:lang w:bidi="ar"/>
              </w:rPr>
              <w:t>1.0</w:t>
            </w:r>
            <w:r>
              <w:rPr>
                <w:rFonts w:ascii="Times New Roman" w:hAnsi="Times New Roman" w:cs="Times New Roman"/>
                <w:sz w:val="21"/>
                <w:szCs w:val="21"/>
              </w:rPr>
              <w:t>μg/kg</w:t>
            </w:r>
          </w:p>
        </w:tc>
      </w:tr>
      <w:tr w14:paraId="00DE4BDB">
        <w:tblPrEx>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19" w:type="pct"/>
            <w:vMerge w:val="continue"/>
            <w:noWrap w:val="0"/>
            <w:vAlign w:val="center"/>
          </w:tcPr>
          <w:p w14:paraId="332EC88E">
            <w:pPr>
              <w:jc w:val="center"/>
              <w:rPr>
                <w:rFonts w:ascii="Times New Roman" w:hAnsi="Times New Roman" w:cs="Times New Roman"/>
                <w:sz w:val="21"/>
                <w:szCs w:val="21"/>
              </w:rPr>
            </w:pPr>
          </w:p>
        </w:tc>
        <w:tc>
          <w:tcPr>
            <w:tcW w:w="930" w:type="pct"/>
            <w:noWrap w:val="0"/>
            <w:vAlign w:val="center"/>
          </w:tcPr>
          <w:p w14:paraId="69AC3ECD">
            <w:pPr>
              <w:jc w:val="center"/>
              <w:textAlignment w:val="center"/>
              <w:rPr>
                <w:rFonts w:ascii="Times New Roman" w:hAnsi="Times New Roman" w:cs="Times New Roman"/>
                <w:sz w:val="21"/>
                <w:szCs w:val="21"/>
              </w:rPr>
            </w:pPr>
            <w:r>
              <w:rPr>
                <w:rFonts w:ascii="Times New Roman" w:hAnsi="Times New Roman" w:cs="Times New Roman"/>
                <w:spacing w:val="-5"/>
                <w:sz w:val="21"/>
                <w:szCs w:val="21"/>
                <w:lang w:bidi="ar"/>
              </w:rPr>
              <w:t>1,1,2,2-</w:t>
            </w:r>
            <w:r>
              <w:rPr>
                <w:rFonts w:cs="Times New Roman"/>
                <w:spacing w:val="-5"/>
                <w:sz w:val="21"/>
                <w:szCs w:val="21"/>
                <w:lang w:bidi="ar"/>
              </w:rPr>
              <w:t>四氯乙烷</w:t>
            </w:r>
          </w:p>
        </w:tc>
        <w:tc>
          <w:tcPr>
            <w:tcW w:w="1537" w:type="pct"/>
            <w:vMerge w:val="continue"/>
            <w:noWrap w:val="0"/>
            <w:vAlign w:val="center"/>
          </w:tcPr>
          <w:p w14:paraId="08005D82">
            <w:pPr>
              <w:jc w:val="center"/>
              <w:rPr>
                <w:rFonts w:ascii="Times New Roman" w:hAnsi="Times New Roman" w:cs="Times New Roman"/>
                <w:sz w:val="21"/>
                <w:szCs w:val="21"/>
              </w:rPr>
            </w:pPr>
          </w:p>
        </w:tc>
        <w:tc>
          <w:tcPr>
            <w:tcW w:w="1381" w:type="pct"/>
            <w:vMerge w:val="continue"/>
            <w:noWrap w:val="0"/>
            <w:vAlign w:val="center"/>
          </w:tcPr>
          <w:p w14:paraId="49162B9D">
            <w:pPr>
              <w:jc w:val="center"/>
              <w:rPr>
                <w:rFonts w:ascii="Times New Roman" w:hAnsi="Times New Roman" w:cs="Times New Roman"/>
                <w:sz w:val="21"/>
                <w:szCs w:val="21"/>
              </w:rPr>
            </w:pPr>
          </w:p>
        </w:tc>
        <w:tc>
          <w:tcPr>
            <w:tcW w:w="730" w:type="pct"/>
            <w:noWrap w:val="0"/>
            <w:vAlign w:val="center"/>
          </w:tcPr>
          <w:p w14:paraId="7AE3CA95">
            <w:pPr>
              <w:jc w:val="center"/>
              <w:rPr>
                <w:rFonts w:ascii="Times New Roman" w:hAnsi="Times New Roman" w:cs="Times New Roman"/>
                <w:sz w:val="21"/>
                <w:szCs w:val="21"/>
              </w:rPr>
            </w:pPr>
            <w:r>
              <w:rPr>
                <w:rFonts w:ascii="Times New Roman" w:hAnsi="Times New Roman" w:cs="Times New Roman"/>
                <w:spacing w:val="-5"/>
                <w:sz w:val="21"/>
                <w:szCs w:val="21"/>
                <w:lang w:bidi="ar"/>
              </w:rPr>
              <w:t>1.0</w:t>
            </w:r>
            <w:r>
              <w:rPr>
                <w:rFonts w:ascii="Times New Roman" w:hAnsi="Times New Roman" w:cs="Times New Roman"/>
                <w:sz w:val="21"/>
                <w:szCs w:val="21"/>
              </w:rPr>
              <w:t>μg/kg</w:t>
            </w:r>
          </w:p>
        </w:tc>
      </w:tr>
      <w:tr w14:paraId="40DBDE1C">
        <w:tblPrEx>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19" w:type="pct"/>
            <w:vMerge w:val="continue"/>
            <w:noWrap w:val="0"/>
            <w:vAlign w:val="center"/>
          </w:tcPr>
          <w:p w14:paraId="70F73898">
            <w:pPr>
              <w:jc w:val="center"/>
              <w:rPr>
                <w:rFonts w:ascii="Times New Roman" w:hAnsi="Times New Roman" w:cs="Times New Roman"/>
                <w:sz w:val="21"/>
                <w:szCs w:val="21"/>
              </w:rPr>
            </w:pPr>
          </w:p>
        </w:tc>
        <w:tc>
          <w:tcPr>
            <w:tcW w:w="930" w:type="pct"/>
            <w:noWrap w:val="0"/>
            <w:vAlign w:val="center"/>
          </w:tcPr>
          <w:p w14:paraId="4D628945">
            <w:pPr>
              <w:jc w:val="center"/>
              <w:textAlignment w:val="center"/>
              <w:rPr>
                <w:rFonts w:ascii="Times New Roman" w:hAnsi="Times New Roman" w:cs="Times New Roman"/>
                <w:sz w:val="21"/>
                <w:szCs w:val="21"/>
              </w:rPr>
            </w:pPr>
            <w:r>
              <w:rPr>
                <w:rFonts w:ascii="Times New Roman" w:hAnsi="Times New Roman" w:cs="Times New Roman"/>
                <w:spacing w:val="-5"/>
                <w:sz w:val="21"/>
                <w:szCs w:val="21"/>
                <w:lang w:bidi="ar"/>
              </w:rPr>
              <w:t>2-</w:t>
            </w:r>
            <w:r>
              <w:rPr>
                <w:rFonts w:ascii="Times New Roman" w:hAnsi="Times New Roman" w:cs="Times New Roman"/>
                <w:sz w:val="21"/>
                <w:szCs w:val="21"/>
                <w:lang w:bidi="ar"/>
              </w:rPr>
              <w:t>氯苯酚</w:t>
            </w:r>
          </w:p>
        </w:tc>
        <w:tc>
          <w:tcPr>
            <w:tcW w:w="1537" w:type="pct"/>
            <w:vMerge w:val="restart"/>
            <w:noWrap w:val="0"/>
            <w:vAlign w:val="center"/>
          </w:tcPr>
          <w:p w14:paraId="125B02E3">
            <w:pPr>
              <w:jc w:val="center"/>
              <w:rPr>
                <w:rFonts w:ascii="Times New Roman" w:hAnsi="Times New Roman" w:cs="Times New Roman"/>
                <w:sz w:val="21"/>
                <w:szCs w:val="21"/>
              </w:rPr>
            </w:pPr>
            <w:r>
              <w:rPr>
                <w:rFonts w:ascii="Times New Roman" w:hAnsi="Times New Roman" w:cs="Times New Roman"/>
                <w:sz w:val="21"/>
                <w:szCs w:val="21"/>
              </w:rPr>
              <w:t>土壤和沉积物 半挥发性有机物的测定</w:t>
            </w:r>
          </w:p>
          <w:p w14:paraId="380EE2C2">
            <w:pPr>
              <w:jc w:val="center"/>
              <w:rPr>
                <w:rFonts w:ascii="Times New Roman" w:hAnsi="Times New Roman" w:cs="Times New Roman"/>
                <w:sz w:val="21"/>
                <w:szCs w:val="21"/>
              </w:rPr>
            </w:pPr>
            <w:r>
              <w:rPr>
                <w:rFonts w:ascii="Times New Roman" w:hAnsi="Times New Roman" w:cs="Times New Roman"/>
                <w:sz w:val="21"/>
                <w:szCs w:val="21"/>
              </w:rPr>
              <w:t>气相色谱-质谱法</w:t>
            </w:r>
          </w:p>
          <w:p w14:paraId="71C28AF6">
            <w:pPr>
              <w:jc w:val="center"/>
              <w:rPr>
                <w:rFonts w:ascii="Times New Roman" w:hAnsi="Times New Roman" w:cs="Times New Roman"/>
                <w:sz w:val="21"/>
                <w:szCs w:val="21"/>
              </w:rPr>
            </w:pPr>
            <w:r>
              <w:rPr>
                <w:rFonts w:ascii="Times New Roman" w:hAnsi="Times New Roman" w:cs="Times New Roman"/>
                <w:sz w:val="21"/>
                <w:szCs w:val="21"/>
              </w:rPr>
              <w:t>HJ 834-2017</w:t>
            </w:r>
          </w:p>
        </w:tc>
        <w:tc>
          <w:tcPr>
            <w:tcW w:w="1381" w:type="pct"/>
            <w:vMerge w:val="restart"/>
            <w:noWrap w:val="0"/>
            <w:vAlign w:val="center"/>
          </w:tcPr>
          <w:p w14:paraId="204CFB88">
            <w:pPr>
              <w:jc w:val="center"/>
              <w:rPr>
                <w:rFonts w:ascii="Times New Roman" w:hAnsi="Times New Roman" w:cs="Times New Roman"/>
                <w:sz w:val="21"/>
                <w:szCs w:val="21"/>
              </w:rPr>
            </w:pPr>
            <w:r>
              <w:rPr>
                <w:rFonts w:ascii="Times New Roman" w:hAnsi="Times New Roman" w:cs="Times New Roman"/>
                <w:sz w:val="21"/>
                <w:szCs w:val="21"/>
              </w:rPr>
              <w:t>气相色谱-质谱 scjc-hj-075</w:t>
            </w:r>
          </w:p>
        </w:tc>
        <w:tc>
          <w:tcPr>
            <w:tcW w:w="730" w:type="pct"/>
            <w:noWrap w:val="0"/>
            <w:vAlign w:val="center"/>
          </w:tcPr>
          <w:p w14:paraId="5FBD674C">
            <w:pPr>
              <w:jc w:val="center"/>
              <w:rPr>
                <w:rFonts w:ascii="Times New Roman" w:hAnsi="Times New Roman" w:cs="Times New Roman"/>
                <w:sz w:val="21"/>
                <w:szCs w:val="21"/>
              </w:rPr>
            </w:pPr>
            <w:r>
              <w:rPr>
                <w:rFonts w:ascii="Times New Roman" w:hAnsi="Times New Roman" w:cs="Times New Roman"/>
                <w:spacing w:val="-5"/>
                <w:sz w:val="21"/>
                <w:szCs w:val="21"/>
                <w:lang w:bidi="ar"/>
              </w:rPr>
              <w:t>0.06</w:t>
            </w:r>
            <w:r>
              <w:rPr>
                <w:rFonts w:ascii="Times New Roman" w:hAnsi="Times New Roman" w:cs="Times New Roman"/>
                <w:sz w:val="21"/>
                <w:szCs w:val="21"/>
              </w:rPr>
              <w:t>mg/kg</w:t>
            </w:r>
          </w:p>
        </w:tc>
      </w:tr>
      <w:tr w14:paraId="07DD852D">
        <w:tblPrEx>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19" w:type="pct"/>
            <w:vMerge w:val="continue"/>
            <w:noWrap w:val="0"/>
            <w:vAlign w:val="center"/>
          </w:tcPr>
          <w:p w14:paraId="5A702EBB">
            <w:pPr>
              <w:jc w:val="center"/>
              <w:rPr>
                <w:rFonts w:ascii="Times New Roman" w:hAnsi="Times New Roman" w:cs="Times New Roman"/>
                <w:sz w:val="21"/>
                <w:szCs w:val="21"/>
              </w:rPr>
            </w:pPr>
          </w:p>
        </w:tc>
        <w:tc>
          <w:tcPr>
            <w:tcW w:w="930" w:type="pct"/>
            <w:noWrap w:val="0"/>
            <w:vAlign w:val="center"/>
          </w:tcPr>
          <w:p w14:paraId="5B2A7850">
            <w:pPr>
              <w:jc w:val="center"/>
              <w:textAlignment w:val="center"/>
              <w:rPr>
                <w:rFonts w:ascii="Times New Roman" w:hAnsi="Times New Roman" w:cs="Times New Roman"/>
                <w:sz w:val="21"/>
                <w:szCs w:val="21"/>
              </w:rPr>
            </w:pPr>
            <w:r>
              <w:rPr>
                <w:rFonts w:ascii="Times New Roman" w:hAnsi="Times New Roman" w:cs="Times New Roman"/>
                <w:spacing w:val="-5"/>
                <w:sz w:val="21"/>
                <w:szCs w:val="21"/>
                <w:lang w:bidi="ar"/>
              </w:rPr>
              <w:t>硝基苯</w:t>
            </w:r>
          </w:p>
        </w:tc>
        <w:tc>
          <w:tcPr>
            <w:tcW w:w="1537" w:type="pct"/>
            <w:vMerge w:val="continue"/>
            <w:noWrap w:val="0"/>
            <w:vAlign w:val="center"/>
          </w:tcPr>
          <w:p w14:paraId="069232E9">
            <w:pPr>
              <w:jc w:val="center"/>
              <w:rPr>
                <w:rFonts w:ascii="Times New Roman" w:hAnsi="Times New Roman" w:cs="Times New Roman"/>
                <w:sz w:val="21"/>
                <w:szCs w:val="21"/>
              </w:rPr>
            </w:pPr>
          </w:p>
        </w:tc>
        <w:tc>
          <w:tcPr>
            <w:tcW w:w="1381" w:type="pct"/>
            <w:vMerge w:val="continue"/>
            <w:noWrap w:val="0"/>
            <w:vAlign w:val="center"/>
          </w:tcPr>
          <w:p w14:paraId="365F6E0E">
            <w:pPr>
              <w:jc w:val="center"/>
              <w:rPr>
                <w:rFonts w:ascii="Times New Roman" w:hAnsi="Times New Roman" w:cs="Times New Roman"/>
                <w:sz w:val="21"/>
                <w:szCs w:val="21"/>
              </w:rPr>
            </w:pPr>
          </w:p>
        </w:tc>
        <w:tc>
          <w:tcPr>
            <w:tcW w:w="730" w:type="pct"/>
            <w:noWrap w:val="0"/>
            <w:vAlign w:val="center"/>
          </w:tcPr>
          <w:p w14:paraId="6D2B0101">
            <w:pPr>
              <w:jc w:val="center"/>
              <w:rPr>
                <w:rFonts w:ascii="Times New Roman" w:hAnsi="Times New Roman" w:cs="Times New Roman"/>
                <w:sz w:val="21"/>
                <w:szCs w:val="21"/>
              </w:rPr>
            </w:pPr>
            <w:r>
              <w:rPr>
                <w:rFonts w:ascii="Times New Roman" w:hAnsi="Times New Roman" w:cs="Times New Roman"/>
                <w:spacing w:val="-5"/>
                <w:sz w:val="21"/>
                <w:szCs w:val="21"/>
                <w:lang w:bidi="ar"/>
              </w:rPr>
              <w:t>0.09</w:t>
            </w:r>
            <w:r>
              <w:rPr>
                <w:rFonts w:ascii="Times New Roman" w:hAnsi="Times New Roman" w:cs="Times New Roman"/>
                <w:sz w:val="21"/>
                <w:szCs w:val="21"/>
              </w:rPr>
              <w:t>mg/kg</w:t>
            </w:r>
          </w:p>
        </w:tc>
      </w:tr>
      <w:tr w14:paraId="0663FD37">
        <w:tblPrEx>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19" w:type="pct"/>
            <w:vMerge w:val="continue"/>
            <w:noWrap w:val="0"/>
            <w:vAlign w:val="center"/>
          </w:tcPr>
          <w:p w14:paraId="32D0397B">
            <w:pPr>
              <w:jc w:val="center"/>
              <w:rPr>
                <w:rFonts w:ascii="Times New Roman" w:hAnsi="Times New Roman" w:cs="Times New Roman"/>
                <w:sz w:val="21"/>
                <w:szCs w:val="21"/>
              </w:rPr>
            </w:pPr>
          </w:p>
        </w:tc>
        <w:tc>
          <w:tcPr>
            <w:tcW w:w="930" w:type="pct"/>
            <w:noWrap w:val="0"/>
            <w:vAlign w:val="center"/>
          </w:tcPr>
          <w:p w14:paraId="3D0E8A0A">
            <w:pPr>
              <w:jc w:val="center"/>
              <w:textAlignment w:val="center"/>
              <w:rPr>
                <w:rFonts w:ascii="Times New Roman" w:hAnsi="Times New Roman" w:cs="Times New Roman"/>
                <w:sz w:val="21"/>
                <w:szCs w:val="21"/>
              </w:rPr>
            </w:pPr>
            <w:r>
              <w:rPr>
                <w:rFonts w:ascii="Times New Roman" w:hAnsi="Times New Roman" w:cs="Times New Roman"/>
                <w:spacing w:val="-5"/>
                <w:sz w:val="21"/>
                <w:szCs w:val="21"/>
                <w:lang w:bidi="ar"/>
              </w:rPr>
              <w:t>萘</w:t>
            </w:r>
          </w:p>
        </w:tc>
        <w:tc>
          <w:tcPr>
            <w:tcW w:w="1537" w:type="pct"/>
            <w:vMerge w:val="continue"/>
            <w:noWrap w:val="0"/>
            <w:vAlign w:val="center"/>
          </w:tcPr>
          <w:p w14:paraId="387A4AB7">
            <w:pPr>
              <w:jc w:val="center"/>
              <w:rPr>
                <w:rFonts w:ascii="Times New Roman" w:hAnsi="Times New Roman" w:cs="Times New Roman"/>
                <w:sz w:val="21"/>
                <w:szCs w:val="21"/>
              </w:rPr>
            </w:pPr>
          </w:p>
        </w:tc>
        <w:tc>
          <w:tcPr>
            <w:tcW w:w="1381" w:type="pct"/>
            <w:vMerge w:val="continue"/>
            <w:noWrap w:val="0"/>
            <w:vAlign w:val="center"/>
          </w:tcPr>
          <w:p w14:paraId="41B7743B">
            <w:pPr>
              <w:jc w:val="center"/>
              <w:rPr>
                <w:rFonts w:ascii="Times New Roman" w:hAnsi="Times New Roman" w:cs="Times New Roman"/>
                <w:sz w:val="21"/>
                <w:szCs w:val="21"/>
              </w:rPr>
            </w:pPr>
          </w:p>
        </w:tc>
        <w:tc>
          <w:tcPr>
            <w:tcW w:w="730" w:type="pct"/>
            <w:noWrap w:val="0"/>
            <w:vAlign w:val="center"/>
          </w:tcPr>
          <w:p w14:paraId="4F4EF392">
            <w:pPr>
              <w:jc w:val="center"/>
              <w:rPr>
                <w:rFonts w:ascii="Times New Roman" w:hAnsi="Times New Roman" w:cs="Times New Roman"/>
                <w:sz w:val="21"/>
                <w:szCs w:val="21"/>
              </w:rPr>
            </w:pPr>
            <w:r>
              <w:rPr>
                <w:rFonts w:ascii="Times New Roman" w:hAnsi="Times New Roman" w:cs="Times New Roman"/>
                <w:spacing w:val="-5"/>
                <w:sz w:val="21"/>
                <w:szCs w:val="21"/>
                <w:lang w:bidi="ar"/>
              </w:rPr>
              <w:t>0.09</w:t>
            </w:r>
            <w:r>
              <w:rPr>
                <w:rFonts w:ascii="Times New Roman" w:hAnsi="Times New Roman" w:cs="Times New Roman"/>
                <w:sz w:val="21"/>
                <w:szCs w:val="21"/>
              </w:rPr>
              <w:t>mg/kg</w:t>
            </w:r>
          </w:p>
        </w:tc>
      </w:tr>
      <w:tr w14:paraId="71F919BE">
        <w:tblPrEx>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19" w:type="pct"/>
            <w:vMerge w:val="continue"/>
            <w:noWrap w:val="0"/>
            <w:vAlign w:val="center"/>
          </w:tcPr>
          <w:p w14:paraId="29455AA0">
            <w:pPr>
              <w:jc w:val="center"/>
              <w:rPr>
                <w:rFonts w:ascii="Times New Roman" w:hAnsi="Times New Roman" w:cs="Times New Roman"/>
                <w:sz w:val="21"/>
                <w:szCs w:val="21"/>
              </w:rPr>
            </w:pPr>
          </w:p>
        </w:tc>
        <w:tc>
          <w:tcPr>
            <w:tcW w:w="930" w:type="pct"/>
            <w:noWrap w:val="0"/>
            <w:vAlign w:val="center"/>
          </w:tcPr>
          <w:p w14:paraId="2A2F9E79">
            <w:pPr>
              <w:jc w:val="center"/>
              <w:textAlignment w:val="center"/>
              <w:rPr>
                <w:rFonts w:ascii="Times New Roman" w:hAnsi="Times New Roman" w:cs="Times New Roman"/>
                <w:sz w:val="21"/>
                <w:szCs w:val="21"/>
              </w:rPr>
            </w:pPr>
            <w:r>
              <w:rPr>
                <w:rFonts w:ascii="Times New Roman" w:hAnsi="Times New Roman" w:cs="Times New Roman"/>
                <w:spacing w:val="-5"/>
                <w:sz w:val="21"/>
                <w:szCs w:val="21"/>
                <w:lang w:bidi="ar"/>
              </w:rPr>
              <w:t>苯并</w:t>
            </w:r>
            <w:r>
              <w:rPr>
                <w:rFonts w:ascii="Times New Roman" w:hAnsi="Times New Roman" w:cs="Times New Roman"/>
                <w:spacing w:val="-10"/>
                <w:sz w:val="21"/>
                <w:szCs w:val="21"/>
              </w:rPr>
              <w:t>[</w:t>
            </w:r>
            <w:r>
              <w:rPr>
                <w:rFonts w:ascii="Times New Roman" w:hAnsi="Times New Roman" w:cs="Times New Roman"/>
                <w:spacing w:val="-5"/>
                <w:sz w:val="21"/>
                <w:szCs w:val="21"/>
                <w:lang w:bidi="ar"/>
              </w:rPr>
              <w:t>a</w:t>
            </w:r>
            <w:r>
              <w:rPr>
                <w:rFonts w:ascii="Times New Roman" w:hAnsi="Times New Roman" w:cs="Times New Roman"/>
                <w:spacing w:val="-10"/>
                <w:sz w:val="21"/>
                <w:szCs w:val="21"/>
              </w:rPr>
              <w:t>]</w:t>
            </w:r>
            <w:r>
              <w:rPr>
                <w:rFonts w:ascii="Times New Roman" w:hAnsi="Times New Roman" w:cs="Times New Roman"/>
                <w:spacing w:val="-5"/>
                <w:sz w:val="21"/>
                <w:szCs w:val="21"/>
                <w:lang w:bidi="ar"/>
              </w:rPr>
              <w:t>蒽</w:t>
            </w:r>
          </w:p>
        </w:tc>
        <w:tc>
          <w:tcPr>
            <w:tcW w:w="1537" w:type="pct"/>
            <w:vMerge w:val="continue"/>
            <w:noWrap w:val="0"/>
            <w:vAlign w:val="center"/>
          </w:tcPr>
          <w:p w14:paraId="4F01687F">
            <w:pPr>
              <w:jc w:val="center"/>
              <w:rPr>
                <w:rFonts w:ascii="Times New Roman" w:hAnsi="Times New Roman" w:cs="Times New Roman"/>
                <w:sz w:val="21"/>
                <w:szCs w:val="21"/>
              </w:rPr>
            </w:pPr>
          </w:p>
        </w:tc>
        <w:tc>
          <w:tcPr>
            <w:tcW w:w="1381" w:type="pct"/>
            <w:vMerge w:val="continue"/>
            <w:noWrap w:val="0"/>
            <w:vAlign w:val="center"/>
          </w:tcPr>
          <w:p w14:paraId="0F0B2C8D">
            <w:pPr>
              <w:jc w:val="center"/>
              <w:rPr>
                <w:rFonts w:ascii="Times New Roman" w:hAnsi="Times New Roman" w:cs="Times New Roman"/>
                <w:sz w:val="21"/>
                <w:szCs w:val="21"/>
              </w:rPr>
            </w:pPr>
          </w:p>
        </w:tc>
        <w:tc>
          <w:tcPr>
            <w:tcW w:w="730" w:type="pct"/>
            <w:noWrap w:val="0"/>
            <w:vAlign w:val="center"/>
          </w:tcPr>
          <w:p w14:paraId="426E895C">
            <w:pPr>
              <w:jc w:val="center"/>
              <w:rPr>
                <w:rFonts w:ascii="Times New Roman" w:hAnsi="Times New Roman" w:cs="Times New Roman"/>
                <w:sz w:val="21"/>
                <w:szCs w:val="21"/>
              </w:rPr>
            </w:pPr>
            <w:r>
              <w:rPr>
                <w:rFonts w:ascii="Times New Roman" w:hAnsi="Times New Roman" w:cs="Times New Roman"/>
                <w:spacing w:val="-5"/>
                <w:sz w:val="21"/>
                <w:szCs w:val="21"/>
                <w:lang w:bidi="ar"/>
              </w:rPr>
              <w:t>0.1</w:t>
            </w:r>
            <w:r>
              <w:rPr>
                <w:rFonts w:ascii="Times New Roman" w:hAnsi="Times New Roman" w:cs="Times New Roman"/>
                <w:sz w:val="21"/>
                <w:szCs w:val="21"/>
              </w:rPr>
              <w:t>mg/kg</w:t>
            </w:r>
          </w:p>
        </w:tc>
      </w:tr>
      <w:tr w14:paraId="05D35A09">
        <w:tblPrEx>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19" w:type="pct"/>
            <w:vMerge w:val="continue"/>
            <w:noWrap w:val="0"/>
            <w:vAlign w:val="center"/>
          </w:tcPr>
          <w:p w14:paraId="0C6A2E4A">
            <w:pPr>
              <w:jc w:val="center"/>
              <w:rPr>
                <w:rFonts w:ascii="Times New Roman" w:hAnsi="Times New Roman" w:cs="Times New Roman"/>
                <w:sz w:val="21"/>
                <w:szCs w:val="21"/>
              </w:rPr>
            </w:pPr>
          </w:p>
        </w:tc>
        <w:tc>
          <w:tcPr>
            <w:tcW w:w="930" w:type="pct"/>
            <w:noWrap w:val="0"/>
            <w:vAlign w:val="center"/>
          </w:tcPr>
          <w:p w14:paraId="67A92F76">
            <w:pPr>
              <w:jc w:val="center"/>
              <w:textAlignment w:val="center"/>
              <w:rPr>
                <w:rFonts w:ascii="Times New Roman" w:hAnsi="Times New Roman" w:cs="Times New Roman"/>
                <w:sz w:val="21"/>
                <w:szCs w:val="21"/>
              </w:rPr>
            </w:pPr>
            <w:r>
              <w:rPr>
                <w:rFonts w:ascii="Times New Roman" w:hAnsi="Times New Roman" w:cs="Times New Roman"/>
                <w:spacing w:val="-5"/>
                <w:sz w:val="21"/>
                <w:szCs w:val="21"/>
                <w:lang w:bidi="ar"/>
              </w:rPr>
              <w:t>䓛</w:t>
            </w:r>
          </w:p>
        </w:tc>
        <w:tc>
          <w:tcPr>
            <w:tcW w:w="1537" w:type="pct"/>
            <w:vMerge w:val="continue"/>
            <w:noWrap w:val="0"/>
            <w:vAlign w:val="center"/>
          </w:tcPr>
          <w:p w14:paraId="0931D384">
            <w:pPr>
              <w:jc w:val="center"/>
              <w:rPr>
                <w:rFonts w:ascii="Times New Roman" w:hAnsi="Times New Roman" w:cs="Times New Roman"/>
                <w:sz w:val="21"/>
                <w:szCs w:val="21"/>
              </w:rPr>
            </w:pPr>
          </w:p>
        </w:tc>
        <w:tc>
          <w:tcPr>
            <w:tcW w:w="1381" w:type="pct"/>
            <w:vMerge w:val="continue"/>
            <w:noWrap w:val="0"/>
            <w:vAlign w:val="center"/>
          </w:tcPr>
          <w:p w14:paraId="1AE46C9A">
            <w:pPr>
              <w:jc w:val="center"/>
              <w:rPr>
                <w:rFonts w:ascii="Times New Roman" w:hAnsi="Times New Roman" w:cs="Times New Roman"/>
                <w:sz w:val="21"/>
                <w:szCs w:val="21"/>
              </w:rPr>
            </w:pPr>
          </w:p>
        </w:tc>
        <w:tc>
          <w:tcPr>
            <w:tcW w:w="730" w:type="pct"/>
            <w:noWrap w:val="0"/>
            <w:vAlign w:val="center"/>
          </w:tcPr>
          <w:p w14:paraId="23E0D64B">
            <w:pPr>
              <w:jc w:val="center"/>
              <w:rPr>
                <w:rFonts w:ascii="Times New Roman" w:hAnsi="Times New Roman" w:cs="Times New Roman"/>
                <w:sz w:val="21"/>
                <w:szCs w:val="21"/>
              </w:rPr>
            </w:pPr>
            <w:r>
              <w:rPr>
                <w:rFonts w:ascii="Times New Roman" w:hAnsi="Times New Roman" w:cs="Times New Roman"/>
                <w:spacing w:val="-5"/>
                <w:sz w:val="21"/>
                <w:szCs w:val="21"/>
                <w:lang w:bidi="ar"/>
              </w:rPr>
              <w:t>0.1</w:t>
            </w:r>
            <w:r>
              <w:rPr>
                <w:rFonts w:ascii="Times New Roman" w:hAnsi="Times New Roman" w:cs="Times New Roman"/>
                <w:sz w:val="21"/>
                <w:szCs w:val="21"/>
              </w:rPr>
              <w:t>mg/kg</w:t>
            </w:r>
          </w:p>
        </w:tc>
      </w:tr>
      <w:tr w14:paraId="26181208">
        <w:tblPrEx>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19" w:type="pct"/>
            <w:vMerge w:val="continue"/>
            <w:noWrap w:val="0"/>
            <w:vAlign w:val="center"/>
          </w:tcPr>
          <w:p w14:paraId="45F3D2C3">
            <w:pPr>
              <w:jc w:val="center"/>
              <w:rPr>
                <w:rFonts w:ascii="Times New Roman" w:hAnsi="Times New Roman" w:cs="Times New Roman"/>
                <w:sz w:val="21"/>
                <w:szCs w:val="21"/>
              </w:rPr>
            </w:pPr>
          </w:p>
        </w:tc>
        <w:tc>
          <w:tcPr>
            <w:tcW w:w="930" w:type="pct"/>
            <w:noWrap w:val="0"/>
            <w:vAlign w:val="center"/>
          </w:tcPr>
          <w:p w14:paraId="1C4E4789">
            <w:pPr>
              <w:jc w:val="center"/>
              <w:textAlignment w:val="center"/>
              <w:rPr>
                <w:rFonts w:ascii="Times New Roman" w:hAnsi="Times New Roman" w:cs="Times New Roman"/>
                <w:sz w:val="21"/>
                <w:szCs w:val="21"/>
              </w:rPr>
            </w:pPr>
            <w:r>
              <w:rPr>
                <w:rFonts w:ascii="Times New Roman" w:hAnsi="Times New Roman" w:cs="Times New Roman"/>
                <w:spacing w:val="-5"/>
                <w:sz w:val="21"/>
                <w:szCs w:val="21"/>
                <w:lang w:bidi="ar"/>
              </w:rPr>
              <w:t>苯并</w:t>
            </w:r>
            <w:r>
              <w:rPr>
                <w:rFonts w:ascii="Times New Roman" w:hAnsi="Times New Roman" w:cs="Times New Roman"/>
                <w:spacing w:val="-10"/>
                <w:sz w:val="21"/>
                <w:szCs w:val="21"/>
              </w:rPr>
              <w:t>[b]</w:t>
            </w:r>
            <w:r>
              <w:rPr>
                <w:rFonts w:ascii="Times New Roman" w:hAnsi="Times New Roman" w:cs="Times New Roman"/>
                <w:spacing w:val="-5"/>
                <w:sz w:val="21"/>
                <w:szCs w:val="21"/>
                <w:lang w:bidi="ar"/>
              </w:rPr>
              <w:t>荧蒽</w:t>
            </w:r>
          </w:p>
        </w:tc>
        <w:tc>
          <w:tcPr>
            <w:tcW w:w="1537" w:type="pct"/>
            <w:vMerge w:val="continue"/>
            <w:noWrap w:val="0"/>
            <w:vAlign w:val="center"/>
          </w:tcPr>
          <w:p w14:paraId="6C9272C3">
            <w:pPr>
              <w:jc w:val="center"/>
              <w:rPr>
                <w:rFonts w:ascii="Times New Roman" w:hAnsi="Times New Roman" w:cs="Times New Roman"/>
                <w:sz w:val="21"/>
                <w:szCs w:val="21"/>
              </w:rPr>
            </w:pPr>
          </w:p>
        </w:tc>
        <w:tc>
          <w:tcPr>
            <w:tcW w:w="1381" w:type="pct"/>
            <w:vMerge w:val="continue"/>
            <w:noWrap w:val="0"/>
            <w:vAlign w:val="center"/>
          </w:tcPr>
          <w:p w14:paraId="3FFF5E44">
            <w:pPr>
              <w:jc w:val="center"/>
              <w:rPr>
                <w:rFonts w:ascii="Times New Roman" w:hAnsi="Times New Roman" w:cs="Times New Roman"/>
                <w:sz w:val="21"/>
                <w:szCs w:val="21"/>
              </w:rPr>
            </w:pPr>
          </w:p>
        </w:tc>
        <w:tc>
          <w:tcPr>
            <w:tcW w:w="730" w:type="pct"/>
            <w:noWrap w:val="0"/>
            <w:vAlign w:val="center"/>
          </w:tcPr>
          <w:p w14:paraId="577C8B12">
            <w:pPr>
              <w:jc w:val="center"/>
              <w:rPr>
                <w:rFonts w:ascii="Times New Roman" w:hAnsi="Times New Roman" w:cs="Times New Roman"/>
                <w:sz w:val="21"/>
                <w:szCs w:val="21"/>
              </w:rPr>
            </w:pPr>
            <w:r>
              <w:rPr>
                <w:rFonts w:ascii="Times New Roman" w:hAnsi="Times New Roman" w:cs="Times New Roman"/>
                <w:spacing w:val="-5"/>
                <w:sz w:val="21"/>
                <w:szCs w:val="21"/>
                <w:lang w:bidi="ar"/>
              </w:rPr>
              <w:t>0.2</w:t>
            </w:r>
            <w:r>
              <w:rPr>
                <w:rFonts w:ascii="Times New Roman" w:hAnsi="Times New Roman" w:cs="Times New Roman"/>
                <w:sz w:val="21"/>
                <w:szCs w:val="21"/>
              </w:rPr>
              <w:t>mg/kg</w:t>
            </w:r>
          </w:p>
        </w:tc>
      </w:tr>
      <w:tr w14:paraId="3C3B554C">
        <w:tblPrEx>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19" w:type="pct"/>
            <w:vMerge w:val="continue"/>
            <w:noWrap w:val="0"/>
            <w:vAlign w:val="center"/>
          </w:tcPr>
          <w:p w14:paraId="4A0C9C2B">
            <w:pPr>
              <w:jc w:val="center"/>
              <w:rPr>
                <w:rFonts w:ascii="Times New Roman" w:hAnsi="Times New Roman" w:cs="Times New Roman"/>
                <w:sz w:val="21"/>
                <w:szCs w:val="21"/>
              </w:rPr>
            </w:pPr>
          </w:p>
        </w:tc>
        <w:tc>
          <w:tcPr>
            <w:tcW w:w="930" w:type="pct"/>
            <w:noWrap w:val="0"/>
            <w:vAlign w:val="center"/>
          </w:tcPr>
          <w:p w14:paraId="3B4AC452">
            <w:pPr>
              <w:jc w:val="center"/>
              <w:textAlignment w:val="center"/>
              <w:rPr>
                <w:rFonts w:ascii="Times New Roman" w:hAnsi="Times New Roman" w:cs="Times New Roman"/>
                <w:sz w:val="21"/>
                <w:szCs w:val="21"/>
              </w:rPr>
            </w:pPr>
            <w:r>
              <w:rPr>
                <w:rFonts w:ascii="Times New Roman" w:hAnsi="Times New Roman" w:cs="Times New Roman"/>
                <w:spacing w:val="-5"/>
                <w:sz w:val="21"/>
                <w:szCs w:val="21"/>
                <w:lang w:bidi="ar"/>
              </w:rPr>
              <w:t>苯并</w:t>
            </w:r>
            <w:r>
              <w:rPr>
                <w:rFonts w:ascii="Times New Roman" w:hAnsi="Times New Roman" w:cs="Times New Roman"/>
                <w:spacing w:val="-10"/>
                <w:sz w:val="21"/>
                <w:szCs w:val="21"/>
              </w:rPr>
              <w:t>[k]</w:t>
            </w:r>
            <w:r>
              <w:rPr>
                <w:rFonts w:ascii="Times New Roman" w:hAnsi="Times New Roman" w:cs="Times New Roman"/>
                <w:spacing w:val="-5"/>
                <w:sz w:val="21"/>
                <w:szCs w:val="21"/>
                <w:lang w:bidi="ar"/>
              </w:rPr>
              <w:t>荧蒽</w:t>
            </w:r>
          </w:p>
        </w:tc>
        <w:tc>
          <w:tcPr>
            <w:tcW w:w="1537" w:type="pct"/>
            <w:vMerge w:val="continue"/>
            <w:noWrap w:val="0"/>
            <w:vAlign w:val="center"/>
          </w:tcPr>
          <w:p w14:paraId="0EF029D3">
            <w:pPr>
              <w:jc w:val="center"/>
              <w:rPr>
                <w:rFonts w:ascii="Times New Roman" w:hAnsi="Times New Roman" w:cs="Times New Roman"/>
                <w:sz w:val="21"/>
                <w:szCs w:val="21"/>
              </w:rPr>
            </w:pPr>
          </w:p>
        </w:tc>
        <w:tc>
          <w:tcPr>
            <w:tcW w:w="1381" w:type="pct"/>
            <w:vMerge w:val="continue"/>
            <w:noWrap w:val="0"/>
            <w:vAlign w:val="center"/>
          </w:tcPr>
          <w:p w14:paraId="55EA6D9A">
            <w:pPr>
              <w:jc w:val="center"/>
              <w:rPr>
                <w:rFonts w:ascii="Times New Roman" w:hAnsi="Times New Roman" w:cs="Times New Roman"/>
                <w:sz w:val="21"/>
                <w:szCs w:val="21"/>
              </w:rPr>
            </w:pPr>
          </w:p>
        </w:tc>
        <w:tc>
          <w:tcPr>
            <w:tcW w:w="730" w:type="pct"/>
            <w:noWrap w:val="0"/>
            <w:vAlign w:val="center"/>
          </w:tcPr>
          <w:p w14:paraId="2FF379E3">
            <w:pPr>
              <w:jc w:val="center"/>
              <w:rPr>
                <w:rFonts w:ascii="Times New Roman" w:hAnsi="Times New Roman" w:cs="Times New Roman"/>
                <w:sz w:val="21"/>
                <w:szCs w:val="21"/>
              </w:rPr>
            </w:pPr>
            <w:r>
              <w:rPr>
                <w:rFonts w:ascii="Times New Roman" w:hAnsi="Times New Roman" w:cs="Times New Roman"/>
                <w:spacing w:val="-5"/>
                <w:sz w:val="21"/>
                <w:szCs w:val="21"/>
                <w:lang w:bidi="ar"/>
              </w:rPr>
              <w:t>0.1</w:t>
            </w:r>
            <w:r>
              <w:rPr>
                <w:rFonts w:ascii="Times New Roman" w:hAnsi="Times New Roman" w:cs="Times New Roman"/>
                <w:sz w:val="21"/>
                <w:szCs w:val="21"/>
              </w:rPr>
              <w:t>mg/kg</w:t>
            </w:r>
          </w:p>
        </w:tc>
      </w:tr>
      <w:tr w14:paraId="6E685229">
        <w:tblPrEx>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19" w:type="pct"/>
            <w:vMerge w:val="continue"/>
            <w:noWrap w:val="0"/>
            <w:vAlign w:val="center"/>
          </w:tcPr>
          <w:p w14:paraId="7DE02EDC">
            <w:pPr>
              <w:jc w:val="center"/>
              <w:rPr>
                <w:rFonts w:ascii="Times New Roman" w:hAnsi="Times New Roman" w:cs="Times New Roman"/>
                <w:sz w:val="21"/>
                <w:szCs w:val="21"/>
              </w:rPr>
            </w:pPr>
          </w:p>
        </w:tc>
        <w:tc>
          <w:tcPr>
            <w:tcW w:w="930" w:type="pct"/>
            <w:noWrap w:val="0"/>
            <w:vAlign w:val="center"/>
          </w:tcPr>
          <w:p w14:paraId="63BAFC95">
            <w:pPr>
              <w:jc w:val="center"/>
              <w:textAlignment w:val="center"/>
              <w:rPr>
                <w:rFonts w:ascii="Times New Roman" w:hAnsi="Times New Roman" w:cs="Times New Roman"/>
                <w:sz w:val="21"/>
                <w:szCs w:val="21"/>
              </w:rPr>
            </w:pPr>
            <w:r>
              <w:rPr>
                <w:rFonts w:ascii="Times New Roman" w:hAnsi="Times New Roman" w:cs="Times New Roman"/>
                <w:spacing w:val="-5"/>
                <w:sz w:val="21"/>
                <w:szCs w:val="21"/>
                <w:lang w:bidi="ar"/>
              </w:rPr>
              <w:t>苯并</w:t>
            </w:r>
            <w:r>
              <w:rPr>
                <w:rFonts w:ascii="Times New Roman" w:hAnsi="Times New Roman" w:cs="Times New Roman"/>
                <w:spacing w:val="-10"/>
                <w:sz w:val="21"/>
                <w:szCs w:val="21"/>
              </w:rPr>
              <w:t>[a]</w:t>
            </w:r>
            <w:r>
              <w:rPr>
                <w:rFonts w:ascii="Times New Roman" w:hAnsi="Times New Roman" w:cs="Times New Roman"/>
                <w:spacing w:val="-5"/>
                <w:sz w:val="21"/>
                <w:szCs w:val="21"/>
                <w:lang w:bidi="ar"/>
              </w:rPr>
              <w:t>芘</w:t>
            </w:r>
          </w:p>
        </w:tc>
        <w:tc>
          <w:tcPr>
            <w:tcW w:w="1537" w:type="pct"/>
            <w:vMerge w:val="continue"/>
            <w:noWrap w:val="0"/>
            <w:vAlign w:val="center"/>
          </w:tcPr>
          <w:p w14:paraId="11B15154">
            <w:pPr>
              <w:jc w:val="center"/>
              <w:rPr>
                <w:rFonts w:ascii="Times New Roman" w:hAnsi="Times New Roman" w:cs="Times New Roman"/>
                <w:sz w:val="21"/>
                <w:szCs w:val="21"/>
              </w:rPr>
            </w:pPr>
          </w:p>
        </w:tc>
        <w:tc>
          <w:tcPr>
            <w:tcW w:w="1381" w:type="pct"/>
            <w:vMerge w:val="continue"/>
            <w:noWrap w:val="0"/>
            <w:vAlign w:val="center"/>
          </w:tcPr>
          <w:p w14:paraId="2F10CAB3">
            <w:pPr>
              <w:jc w:val="center"/>
              <w:rPr>
                <w:rFonts w:ascii="Times New Roman" w:hAnsi="Times New Roman" w:cs="Times New Roman"/>
                <w:sz w:val="21"/>
                <w:szCs w:val="21"/>
              </w:rPr>
            </w:pPr>
          </w:p>
        </w:tc>
        <w:tc>
          <w:tcPr>
            <w:tcW w:w="730" w:type="pct"/>
            <w:noWrap w:val="0"/>
            <w:vAlign w:val="center"/>
          </w:tcPr>
          <w:p w14:paraId="53D9ECE0">
            <w:pPr>
              <w:jc w:val="center"/>
              <w:rPr>
                <w:rFonts w:ascii="Times New Roman" w:hAnsi="Times New Roman" w:cs="Times New Roman"/>
                <w:sz w:val="21"/>
                <w:szCs w:val="21"/>
              </w:rPr>
            </w:pPr>
            <w:r>
              <w:rPr>
                <w:rFonts w:ascii="Times New Roman" w:hAnsi="Times New Roman" w:cs="Times New Roman"/>
                <w:spacing w:val="-5"/>
                <w:sz w:val="21"/>
                <w:szCs w:val="21"/>
                <w:lang w:bidi="ar"/>
              </w:rPr>
              <w:t>0.1</w:t>
            </w:r>
            <w:r>
              <w:rPr>
                <w:rFonts w:ascii="Times New Roman" w:hAnsi="Times New Roman" w:cs="Times New Roman"/>
                <w:sz w:val="21"/>
                <w:szCs w:val="21"/>
              </w:rPr>
              <w:t>mg/kg</w:t>
            </w:r>
          </w:p>
        </w:tc>
      </w:tr>
      <w:tr w14:paraId="45E4BEFF">
        <w:tblPrEx>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19" w:type="pct"/>
            <w:vMerge w:val="continue"/>
            <w:noWrap w:val="0"/>
            <w:vAlign w:val="center"/>
          </w:tcPr>
          <w:p w14:paraId="627FB77F">
            <w:pPr>
              <w:jc w:val="center"/>
              <w:rPr>
                <w:rFonts w:ascii="Times New Roman" w:hAnsi="Times New Roman" w:cs="Times New Roman"/>
                <w:sz w:val="21"/>
                <w:szCs w:val="21"/>
              </w:rPr>
            </w:pPr>
          </w:p>
        </w:tc>
        <w:tc>
          <w:tcPr>
            <w:tcW w:w="930" w:type="pct"/>
            <w:noWrap w:val="0"/>
            <w:vAlign w:val="center"/>
          </w:tcPr>
          <w:p w14:paraId="2E4825A9">
            <w:pPr>
              <w:jc w:val="center"/>
              <w:textAlignment w:val="center"/>
              <w:rPr>
                <w:rFonts w:ascii="Times New Roman" w:hAnsi="Times New Roman" w:cs="Times New Roman"/>
                <w:sz w:val="21"/>
                <w:szCs w:val="21"/>
              </w:rPr>
            </w:pPr>
            <w:r>
              <w:rPr>
                <w:rFonts w:ascii="Times New Roman" w:hAnsi="Times New Roman" w:cs="Times New Roman"/>
                <w:spacing w:val="-5"/>
                <w:sz w:val="21"/>
                <w:szCs w:val="21"/>
                <w:lang w:bidi="ar"/>
              </w:rPr>
              <w:t>茚并</w:t>
            </w:r>
            <w:r>
              <w:rPr>
                <w:rFonts w:ascii="Times New Roman" w:hAnsi="Times New Roman" w:cs="Times New Roman"/>
                <w:spacing w:val="-10"/>
                <w:sz w:val="21"/>
                <w:szCs w:val="21"/>
              </w:rPr>
              <w:t>[1,2,3-cd]</w:t>
            </w:r>
            <w:r>
              <w:rPr>
                <w:rFonts w:ascii="Times New Roman" w:hAnsi="Times New Roman" w:cs="Times New Roman"/>
                <w:spacing w:val="-5"/>
                <w:sz w:val="21"/>
                <w:szCs w:val="21"/>
                <w:lang w:bidi="ar"/>
              </w:rPr>
              <w:t>芘</w:t>
            </w:r>
          </w:p>
        </w:tc>
        <w:tc>
          <w:tcPr>
            <w:tcW w:w="1537" w:type="pct"/>
            <w:vMerge w:val="continue"/>
            <w:noWrap w:val="0"/>
            <w:vAlign w:val="center"/>
          </w:tcPr>
          <w:p w14:paraId="4AE80806">
            <w:pPr>
              <w:jc w:val="center"/>
              <w:rPr>
                <w:rFonts w:ascii="Times New Roman" w:hAnsi="Times New Roman" w:cs="Times New Roman"/>
                <w:sz w:val="21"/>
                <w:szCs w:val="21"/>
              </w:rPr>
            </w:pPr>
          </w:p>
        </w:tc>
        <w:tc>
          <w:tcPr>
            <w:tcW w:w="1381" w:type="pct"/>
            <w:vMerge w:val="continue"/>
            <w:noWrap w:val="0"/>
            <w:vAlign w:val="center"/>
          </w:tcPr>
          <w:p w14:paraId="286DFFB6">
            <w:pPr>
              <w:jc w:val="center"/>
              <w:rPr>
                <w:rFonts w:ascii="Times New Roman" w:hAnsi="Times New Roman" w:cs="Times New Roman"/>
                <w:sz w:val="21"/>
                <w:szCs w:val="21"/>
              </w:rPr>
            </w:pPr>
          </w:p>
        </w:tc>
        <w:tc>
          <w:tcPr>
            <w:tcW w:w="730" w:type="pct"/>
            <w:noWrap w:val="0"/>
            <w:vAlign w:val="center"/>
          </w:tcPr>
          <w:p w14:paraId="0465E92F">
            <w:pPr>
              <w:jc w:val="center"/>
              <w:rPr>
                <w:rFonts w:ascii="Times New Roman" w:hAnsi="Times New Roman" w:cs="Times New Roman"/>
                <w:sz w:val="21"/>
                <w:szCs w:val="21"/>
              </w:rPr>
            </w:pPr>
            <w:r>
              <w:rPr>
                <w:rFonts w:ascii="Times New Roman" w:hAnsi="Times New Roman" w:cs="Times New Roman"/>
                <w:spacing w:val="-5"/>
                <w:sz w:val="21"/>
                <w:szCs w:val="21"/>
                <w:lang w:bidi="ar"/>
              </w:rPr>
              <w:t>0.1</w:t>
            </w:r>
            <w:r>
              <w:rPr>
                <w:rFonts w:ascii="Times New Roman" w:hAnsi="Times New Roman" w:cs="Times New Roman"/>
                <w:sz w:val="21"/>
                <w:szCs w:val="21"/>
              </w:rPr>
              <w:t>mg/kg</w:t>
            </w:r>
          </w:p>
        </w:tc>
      </w:tr>
      <w:tr w14:paraId="3CD3FC63">
        <w:tblPrEx>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19" w:type="pct"/>
            <w:vMerge w:val="continue"/>
            <w:noWrap w:val="0"/>
            <w:vAlign w:val="center"/>
          </w:tcPr>
          <w:p w14:paraId="6559F21D">
            <w:pPr>
              <w:jc w:val="center"/>
              <w:rPr>
                <w:rFonts w:ascii="Times New Roman" w:hAnsi="Times New Roman" w:cs="Times New Roman"/>
                <w:sz w:val="21"/>
                <w:szCs w:val="21"/>
              </w:rPr>
            </w:pPr>
          </w:p>
        </w:tc>
        <w:tc>
          <w:tcPr>
            <w:tcW w:w="930" w:type="pct"/>
            <w:noWrap w:val="0"/>
            <w:vAlign w:val="center"/>
          </w:tcPr>
          <w:p w14:paraId="1AE6B052">
            <w:pPr>
              <w:jc w:val="center"/>
              <w:rPr>
                <w:rFonts w:ascii="Times New Roman" w:hAnsi="Times New Roman" w:cs="Times New Roman"/>
                <w:sz w:val="21"/>
                <w:szCs w:val="21"/>
              </w:rPr>
            </w:pPr>
            <w:r>
              <w:rPr>
                <w:rFonts w:ascii="Times New Roman" w:hAnsi="Times New Roman" w:cs="Times New Roman"/>
                <w:spacing w:val="-5"/>
                <w:sz w:val="21"/>
                <w:szCs w:val="21"/>
                <w:lang w:bidi="ar"/>
              </w:rPr>
              <w:t>二苯并</w:t>
            </w:r>
            <w:r>
              <w:rPr>
                <w:rFonts w:ascii="Times New Roman" w:hAnsi="Times New Roman" w:cs="Times New Roman"/>
                <w:spacing w:val="-10"/>
                <w:sz w:val="21"/>
                <w:szCs w:val="21"/>
              </w:rPr>
              <w:t>[a, h]</w:t>
            </w:r>
            <w:r>
              <w:rPr>
                <w:rFonts w:ascii="Times New Roman" w:hAnsi="Times New Roman" w:cs="Times New Roman"/>
                <w:spacing w:val="-5"/>
                <w:sz w:val="21"/>
                <w:szCs w:val="21"/>
                <w:lang w:bidi="ar"/>
              </w:rPr>
              <w:t>蒽</w:t>
            </w:r>
          </w:p>
        </w:tc>
        <w:tc>
          <w:tcPr>
            <w:tcW w:w="1537" w:type="pct"/>
            <w:vMerge w:val="continue"/>
            <w:noWrap w:val="0"/>
            <w:vAlign w:val="center"/>
          </w:tcPr>
          <w:p w14:paraId="63C8F943">
            <w:pPr>
              <w:jc w:val="center"/>
              <w:rPr>
                <w:rFonts w:ascii="Times New Roman" w:hAnsi="Times New Roman" w:cs="Times New Roman"/>
                <w:sz w:val="21"/>
                <w:szCs w:val="21"/>
              </w:rPr>
            </w:pPr>
          </w:p>
        </w:tc>
        <w:tc>
          <w:tcPr>
            <w:tcW w:w="1381" w:type="pct"/>
            <w:vMerge w:val="continue"/>
            <w:noWrap w:val="0"/>
            <w:vAlign w:val="center"/>
          </w:tcPr>
          <w:p w14:paraId="7C279E3F">
            <w:pPr>
              <w:jc w:val="center"/>
              <w:rPr>
                <w:rFonts w:ascii="Times New Roman" w:hAnsi="Times New Roman" w:cs="Times New Roman"/>
                <w:sz w:val="21"/>
                <w:szCs w:val="21"/>
              </w:rPr>
            </w:pPr>
          </w:p>
        </w:tc>
        <w:tc>
          <w:tcPr>
            <w:tcW w:w="730" w:type="pct"/>
            <w:noWrap w:val="0"/>
            <w:vAlign w:val="center"/>
          </w:tcPr>
          <w:p w14:paraId="15134649">
            <w:pPr>
              <w:jc w:val="center"/>
              <w:rPr>
                <w:rFonts w:ascii="Times New Roman" w:hAnsi="Times New Roman" w:cs="Times New Roman"/>
                <w:sz w:val="21"/>
                <w:szCs w:val="21"/>
              </w:rPr>
            </w:pPr>
            <w:r>
              <w:rPr>
                <w:rFonts w:ascii="Times New Roman" w:hAnsi="Times New Roman" w:cs="Times New Roman"/>
                <w:spacing w:val="-5"/>
                <w:sz w:val="21"/>
                <w:szCs w:val="21"/>
                <w:lang w:bidi="ar"/>
              </w:rPr>
              <w:t>0.1</w:t>
            </w:r>
            <w:r>
              <w:rPr>
                <w:rFonts w:ascii="Times New Roman" w:hAnsi="Times New Roman" w:cs="Times New Roman"/>
                <w:sz w:val="21"/>
                <w:szCs w:val="21"/>
              </w:rPr>
              <w:t>mg/kg</w:t>
            </w:r>
          </w:p>
        </w:tc>
      </w:tr>
      <w:tr w14:paraId="613A9542">
        <w:tblPrEx>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19" w:type="pct"/>
            <w:vMerge w:val="continue"/>
            <w:noWrap w:val="0"/>
            <w:vAlign w:val="center"/>
          </w:tcPr>
          <w:p w14:paraId="749A8657">
            <w:pPr>
              <w:jc w:val="center"/>
              <w:rPr>
                <w:rFonts w:ascii="Times New Roman" w:hAnsi="Times New Roman" w:cs="Times New Roman"/>
                <w:sz w:val="21"/>
                <w:szCs w:val="21"/>
              </w:rPr>
            </w:pPr>
          </w:p>
        </w:tc>
        <w:tc>
          <w:tcPr>
            <w:tcW w:w="930" w:type="pct"/>
            <w:noWrap w:val="0"/>
            <w:vAlign w:val="center"/>
          </w:tcPr>
          <w:p w14:paraId="5502328C">
            <w:pPr>
              <w:jc w:val="center"/>
              <w:textAlignment w:val="center"/>
              <w:rPr>
                <w:rFonts w:ascii="Times New Roman" w:hAnsi="Times New Roman" w:cs="Times New Roman"/>
                <w:spacing w:val="-5"/>
                <w:sz w:val="21"/>
                <w:szCs w:val="21"/>
                <w:lang w:bidi="ar"/>
              </w:rPr>
            </w:pPr>
            <w:r>
              <w:rPr>
                <w:rFonts w:ascii="Times New Roman" w:hAnsi="Times New Roman" w:cs="Times New Roman"/>
                <w:spacing w:val="-5"/>
                <w:sz w:val="21"/>
                <w:szCs w:val="21"/>
                <w:lang w:bidi="ar"/>
              </w:rPr>
              <w:t>苯胺</w:t>
            </w:r>
          </w:p>
        </w:tc>
        <w:tc>
          <w:tcPr>
            <w:tcW w:w="1537" w:type="pct"/>
            <w:noWrap w:val="0"/>
            <w:vAlign w:val="center"/>
          </w:tcPr>
          <w:p w14:paraId="35226DF7">
            <w:pPr>
              <w:jc w:val="center"/>
              <w:rPr>
                <w:rFonts w:ascii="Times New Roman" w:hAnsi="Times New Roman" w:cs="Times New Roman"/>
                <w:sz w:val="21"/>
                <w:szCs w:val="21"/>
              </w:rPr>
            </w:pPr>
            <w:r>
              <w:rPr>
                <w:rFonts w:ascii="Times New Roman" w:hAnsi="Times New Roman" w:cs="Times New Roman"/>
                <w:sz w:val="21"/>
                <w:szCs w:val="21"/>
              </w:rPr>
              <w:t>《土壤和沉积物苯胺的测定气相色谱-质谱法作业指导书》参考《土壤和沉积物半挥发性有机物的测定气相色谱-质谱法》</w:t>
            </w:r>
          </w:p>
          <w:p w14:paraId="3A81C9C7">
            <w:pPr>
              <w:jc w:val="center"/>
              <w:rPr>
                <w:rFonts w:ascii="Times New Roman" w:hAnsi="Times New Roman" w:cs="Times New Roman"/>
                <w:sz w:val="21"/>
                <w:szCs w:val="21"/>
              </w:rPr>
            </w:pPr>
            <w:r>
              <w:rPr>
                <w:rFonts w:ascii="Times New Roman" w:hAnsi="Times New Roman" w:cs="Times New Roman"/>
                <w:sz w:val="21"/>
                <w:szCs w:val="21"/>
              </w:rPr>
              <w:t>HJ834-2017</w:t>
            </w:r>
          </w:p>
        </w:tc>
        <w:tc>
          <w:tcPr>
            <w:tcW w:w="1381" w:type="pct"/>
            <w:noWrap w:val="0"/>
            <w:vAlign w:val="center"/>
          </w:tcPr>
          <w:p w14:paraId="644C9239">
            <w:pPr>
              <w:jc w:val="center"/>
              <w:rPr>
                <w:rFonts w:ascii="Times New Roman" w:hAnsi="Times New Roman" w:cs="Times New Roman"/>
                <w:sz w:val="21"/>
                <w:szCs w:val="21"/>
              </w:rPr>
            </w:pPr>
            <w:r>
              <w:rPr>
                <w:rFonts w:ascii="Times New Roman" w:hAnsi="Times New Roman" w:cs="Times New Roman"/>
                <w:sz w:val="21"/>
                <w:szCs w:val="21"/>
              </w:rPr>
              <w:t>气相色谱-质谱 scjc-hj-075</w:t>
            </w:r>
          </w:p>
        </w:tc>
        <w:tc>
          <w:tcPr>
            <w:tcW w:w="730" w:type="pct"/>
            <w:noWrap w:val="0"/>
            <w:vAlign w:val="center"/>
          </w:tcPr>
          <w:p w14:paraId="5D66AB74">
            <w:pPr>
              <w:jc w:val="center"/>
              <w:rPr>
                <w:rFonts w:ascii="Times New Roman" w:hAnsi="Times New Roman" w:cs="Times New Roman"/>
                <w:spacing w:val="-5"/>
                <w:sz w:val="21"/>
                <w:szCs w:val="21"/>
                <w:lang w:bidi="ar"/>
              </w:rPr>
            </w:pPr>
            <w:r>
              <w:rPr>
                <w:rFonts w:ascii="Times New Roman" w:hAnsi="Times New Roman" w:cs="Times New Roman"/>
                <w:sz w:val="21"/>
                <w:szCs w:val="21"/>
              </w:rPr>
              <w:t>0.1mg/kg</w:t>
            </w:r>
          </w:p>
        </w:tc>
      </w:tr>
    </w:tbl>
    <w:p w14:paraId="7A6BF028">
      <w:pPr>
        <w:spacing w:line="500" w:lineRule="exact"/>
        <w:ind w:firstLine="354" w:firstLineChars="147"/>
        <w:rPr>
          <w:rFonts w:ascii="Times New Roman" w:hAnsi="Times New Roman" w:cs="Times New Roman"/>
          <w:b/>
        </w:rPr>
      </w:pPr>
      <w:r>
        <w:rPr>
          <w:rFonts w:ascii="Times New Roman" w:hAnsi="Times New Roman" w:cs="Times New Roman"/>
          <w:b/>
        </w:rPr>
        <w:t>（5）评价标准</w:t>
      </w:r>
    </w:p>
    <w:p w14:paraId="5951A620">
      <w:pPr>
        <w:spacing w:line="500" w:lineRule="exact"/>
        <w:ind w:firstLine="480" w:firstLineChars="200"/>
        <w:jc w:val="both"/>
        <w:rPr>
          <w:rFonts w:ascii="Times New Roman" w:hAnsi="Times New Roman" w:cs="Times New Roman"/>
          <w:highlight w:val="none"/>
        </w:rPr>
      </w:pPr>
      <w:r>
        <w:rPr>
          <w:rFonts w:hint="eastAsia" w:ascii="Times New Roman" w:hAnsi="Times New Roman" w:cs="Times New Roman"/>
          <w:highlight w:val="none"/>
          <w:lang w:val="en-US" w:eastAsia="zh-CN"/>
        </w:rPr>
        <w:t>T5、T6、T2</w:t>
      </w:r>
      <w:r>
        <w:rPr>
          <w:rFonts w:ascii="Times New Roman" w:hAnsi="Times New Roman" w:cs="Times New Roman"/>
          <w:highlight w:val="none"/>
        </w:rPr>
        <w:t>点位执行《土壤环境质量 农用地土壤污染风险管控标准（试行）》（GB15618-2018）中农用地（其他）土壤污染风险筛选值，</w:t>
      </w:r>
      <w:r>
        <w:rPr>
          <w:rFonts w:hint="eastAsia" w:ascii="Times New Roman" w:hAnsi="Times New Roman" w:cs="Times New Roman"/>
          <w:highlight w:val="none"/>
          <w:lang w:val="en-US" w:eastAsia="zh-CN"/>
        </w:rPr>
        <w:t>T1、T3、T4</w:t>
      </w:r>
      <w:r>
        <w:rPr>
          <w:rFonts w:ascii="Times New Roman" w:hAnsi="Times New Roman" w:cs="Times New Roman"/>
          <w:highlight w:val="none"/>
        </w:rPr>
        <w:t>点位执行《土壤环境质量 建设用地土壤污染风险管控标准（试行）》（GB36600-2018）中第一类用地的筛选值。具体见表</w:t>
      </w:r>
      <w:r>
        <w:rPr>
          <w:rFonts w:hint="eastAsia" w:ascii="Times New Roman" w:hAnsi="Times New Roman" w:cs="Times New Roman"/>
          <w:highlight w:val="none"/>
        </w:rPr>
        <w:t>4.2-10</w:t>
      </w:r>
      <w:r>
        <w:rPr>
          <w:rFonts w:ascii="Times New Roman" w:hAnsi="Times New Roman" w:cs="Times New Roman"/>
          <w:highlight w:val="none"/>
        </w:rPr>
        <w:t>和表</w:t>
      </w:r>
      <w:r>
        <w:rPr>
          <w:rFonts w:hint="eastAsia" w:ascii="Times New Roman" w:hAnsi="Times New Roman" w:cs="Times New Roman"/>
          <w:highlight w:val="none"/>
        </w:rPr>
        <w:t>4.2-11</w:t>
      </w:r>
      <w:r>
        <w:rPr>
          <w:rFonts w:ascii="Times New Roman" w:hAnsi="Times New Roman" w:cs="Times New Roman"/>
          <w:highlight w:val="none"/>
        </w:rPr>
        <w:t>。</w:t>
      </w:r>
    </w:p>
    <w:p w14:paraId="43CD95E1">
      <w:pPr>
        <w:pStyle w:val="131"/>
        <w:adjustRightInd/>
        <w:snapToGrid/>
        <w:spacing w:line="360" w:lineRule="auto"/>
        <w:ind w:left="0" w:firstLine="0"/>
        <w:rPr>
          <w:rFonts w:ascii="Times New Roman" w:hAnsi="Times New Roman" w:cs="Times New Roman"/>
        </w:rPr>
      </w:pPr>
      <w:r>
        <w:rPr>
          <w:rFonts w:ascii="Times New Roman" w:hAnsi="Times New Roman" w:cs="Times New Roman"/>
        </w:rPr>
        <w:t>表</w:t>
      </w:r>
      <w:r>
        <w:rPr>
          <w:rFonts w:hint="eastAsia" w:ascii="Times New Roman" w:hAnsi="Times New Roman" w:cs="Times New Roman"/>
        </w:rPr>
        <w:t>4.2-10</w:t>
      </w:r>
      <w:r>
        <w:rPr>
          <w:rFonts w:ascii="Times New Roman" w:hAnsi="Times New Roman" w:cs="Times New Roman"/>
        </w:rPr>
        <w:t xml:space="preserve">  农用地土壤污染风险管控标准     单位：mg/kg</w:t>
      </w:r>
    </w:p>
    <w:tbl>
      <w:tblPr>
        <w:tblStyle w:val="56"/>
        <w:tblW w:w="5000" w:type="pct"/>
        <w:jc w:val="center"/>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1580"/>
        <w:gridCol w:w="3065"/>
        <w:gridCol w:w="4076"/>
      </w:tblGrid>
      <w:tr w14:paraId="5B7CEB32">
        <w:tblPrEx>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397" w:hRule="atLeast"/>
          <w:tblHeader/>
          <w:jc w:val="center"/>
        </w:trPr>
        <w:tc>
          <w:tcPr>
            <w:tcW w:w="906" w:type="pct"/>
            <w:tcBorders>
              <w:top w:val="thinThickSmallGap" w:color="auto" w:sz="12" w:space="0"/>
              <w:left w:val="nil"/>
              <w:bottom w:val="single" w:color="auto" w:sz="4" w:space="0"/>
              <w:right w:val="single" w:color="auto" w:sz="4" w:space="0"/>
            </w:tcBorders>
            <w:shd w:val="clear" w:color="auto" w:fill="DDDDDD"/>
            <w:noWrap w:val="0"/>
            <w:vAlign w:val="center"/>
          </w:tcPr>
          <w:p w14:paraId="359145AD">
            <w:pPr>
              <w:autoSpaceDE w:val="0"/>
              <w:autoSpaceDN w:val="0"/>
              <w:adjustRightInd w:val="0"/>
              <w:jc w:val="center"/>
              <w:rPr>
                <w:rFonts w:ascii="Times New Roman" w:hAnsi="Times New Roman" w:cs="Times New Roman"/>
                <w:sz w:val="21"/>
                <w:szCs w:val="21"/>
              </w:rPr>
            </w:pPr>
            <w:r>
              <w:rPr>
                <w:rFonts w:ascii="Times New Roman" w:hAnsi="Times New Roman" w:cs="Times New Roman"/>
                <w:sz w:val="21"/>
                <w:szCs w:val="21"/>
              </w:rPr>
              <w:t>序号</w:t>
            </w:r>
          </w:p>
        </w:tc>
        <w:tc>
          <w:tcPr>
            <w:tcW w:w="1757" w:type="pct"/>
            <w:tcBorders>
              <w:top w:val="thinThickSmallGap" w:color="auto" w:sz="12" w:space="0"/>
              <w:left w:val="single" w:color="auto" w:sz="4" w:space="0"/>
              <w:bottom w:val="single" w:color="auto" w:sz="4" w:space="0"/>
              <w:right w:val="single" w:color="auto" w:sz="4" w:space="0"/>
            </w:tcBorders>
            <w:shd w:val="clear" w:color="auto" w:fill="DDDDDD"/>
            <w:noWrap w:val="0"/>
            <w:vAlign w:val="center"/>
          </w:tcPr>
          <w:p w14:paraId="1510781E">
            <w:pPr>
              <w:autoSpaceDE w:val="0"/>
              <w:autoSpaceDN w:val="0"/>
              <w:adjustRightInd w:val="0"/>
              <w:jc w:val="center"/>
              <w:rPr>
                <w:rFonts w:ascii="Times New Roman" w:hAnsi="Times New Roman" w:cs="Times New Roman"/>
                <w:sz w:val="21"/>
                <w:szCs w:val="21"/>
              </w:rPr>
            </w:pPr>
            <w:r>
              <w:rPr>
                <w:rFonts w:ascii="Times New Roman" w:hAnsi="Times New Roman" w:cs="Times New Roman"/>
                <w:sz w:val="21"/>
                <w:szCs w:val="21"/>
              </w:rPr>
              <w:t>污染物项目</w:t>
            </w:r>
          </w:p>
        </w:tc>
        <w:tc>
          <w:tcPr>
            <w:tcW w:w="2337" w:type="pct"/>
            <w:tcBorders>
              <w:top w:val="thinThickSmallGap" w:color="auto" w:sz="12" w:space="0"/>
              <w:left w:val="single" w:color="auto" w:sz="4" w:space="0"/>
              <w:bottom w:val="single" w:color="auto" w:sz="4" w:space="0"/>
              <w:right w:val="nil"/>
            </w:tcBorders>
            <w:shd w:val="clear" w:color="auto" w:fill="DDDDDD"/>
            <w:noWrap w:val="0"/>
            <w:vAlign w:val="center"/>
          </w:tcPr>
          <w:p w14:paraId="7BF621E9">
            <w:pPr>
              <w:autoSpaceDE w:val="0"/>
              <w:autoSpaceDN w:val="0"/>
              <w:adjustRightInd w:val="0"/>
              <w:jc w:val="center"/>
              <w:rPr>
                <w:rFonts w:ascii="Times New Roman" w:hAnsi="Times New Roman" w:cs="Times New Roman"/>
                <w:sz w:val="21"/>
                <w:szCs w:val="21"/>
              </w:rPr>
            </w:pPr>
            <w:r>
              <w:rPr>
                <w:rFonts w:ascii="Times New Roman" w:hAnsi="Times New Roman" w:cs="Times New Roman"/>
                <w:sz w:val="21"/>
                <w:szCs w:val="21"/>
              </w:rPr>
              <w:t>风险筛选值</w:t>
            </w:r>
          </w:p>
          <w:p w14:paraId="145EF730">
            <w:pPr>
              <w:autoSpaceDE w:val="0"/>
              <w:autoSpaceDN w:val="0"/>
              <w:adjustRightInd w:val="0"/>
              <w:jc w:val="center"/>
              <w:rPr>
                <w:rFonts w:ascii="Times New Roman" w:hAnsi="Times New Roman" w:cs="Times New Roman"/>
                <w:sz w:val="21"/>
                <w:szCs w:val="21"/>
              </w:rPr>
            </w:pPr>
            <w:r>
              <w:rPr>
                <w:rFonts w:ascii="Times New Roman" w:hAnsi="Times New Roman" w:cs="Times New Roman"/>
                <w:sz w:val="21"/>
                <w:szCs w:val="21"/>
              </w:rPr>
              <w:t>6.5</w:t>
            </w:r>
            <w:r>
              <w:rPr>
                <w:rFonts w:hint="eastAsia" w:ascii="Times New Roman" w:hAnsi="Times New Roman" w:cs="Times New Roman"/>
                <w:sz w:val="21"/>
                <w:szCs w:val="21"/>
              </w:rPr>
              <w:t>&lt;</w:t>
            </w:r>
            <w:r>
              <w:rPr>
                <w:rFonts w:ascii="Times New Roman" w:hAnsi="Times New Roman" w:cs="Times New Roman"/>
                <w:sz w:val="21"/>
                <w:szCs w:val="21"/>
              </w:rPr>
              <w:t>PH</w:t>
            </w:r>
            <w:r>
              <w:rPr>
                <w:rFonts w:hint="eastAsia" w:cs="Times New Roman"/>
                <w:sz w:val="21"/>
                <w:szCs w:val="21"/>
              </w:rPr>
              <w:t>≤</w:t>
            </w:r>
            <w:r>
              <w:rPr>
                <w:rFonts w:ascii="Times New Roman" w:hAnsi="Times New Roman" w:cs="Times New Roman"/>
                <w:sz w:val="21"/>
                <w:szCs w:val="21"/>
              </w:rPr>
              <w:t>7.5</w:t>
            </w:r>
          </w:p>
        </w:tc>
      </w:tr>
      <w:tr w14:paraId="765D099A">
        <w:tblPrEx>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906" w:type="pct"/>
            <w:tcBorders>
              <w:top w:val="single" w:color="auto" w:sz="4" w:space="0"/>
              <w:left w:val="nil"/>
              <w:bottom w:val="single" w:color="auto" w:sz="4" w:space="0"/>
              <w:right w:val="single" w:color="auto" w:sz="4" w:space="0"/>
            </w:tcBorders>
            <w:noWrap w:val="0"/>
            <w:vAlign w:val="center"/>
          </w:tcPr>
          <w:p w14:paraId="610600B4">
            <w:pPr>
              <w:autoSpaceDE w:val="0"/>
              <w:autoSpaceDN w:val="0"/>
              <w:adjustRightInd w:val="0"/>
              <w:jc w:val="center"/>
              <w:rPr>
                <w:rFonts w:ascii="Times New Roman" w:hAnsi="Times New Roman" w:cs="Times New Roman"/>
                <w:sz w:val="21"/>
                <w:szCs w:val="21"/>
              </w:rPr>
            </w:pPr>
            <w:r>
              <w:rPr>
                <w:rFonts w:ascii="Times New Roman" w:hAnsi="Times New Roman" w:cs="Times New Roman"/>
                <w:sz w:val="21"/>
                <w:szCs w:val="21"/>
              </w:rPr>
              <w:t>1</w:t>
            </w:r>
          </w:p>
        </w:tc>
        <w:tc>
          <w:tcPr>
            <w:tcW w:w="1757" w:type="pct"/>
            <w:tcBorders>
              <w:top w:val="single" w:color="auto" w:sz="4" w:space="0"/>
              <w:left w:val="single" w:color="auto" w:sz="4" w:space="0"/>
              <w:bottom w:val="single" w:color="auto" w:sz="4" w:space="0"/>
              <w:right w:val="single" w:color="auto" w:sz="4" w:space="0"/>
            </w:tcBorders>
            <w:noWrap w:val="0"/>
            <w:vAlign w:val="center"/>
          </w:tcPr>
          <w:p w14:paraId="27F55C5E">
            <w:pPr>
              <w:pStyle w:val="153"/>
              <w:numPr>
                <w:ilvl w:val="0"/>
                <w:numId w:val="0"/>
              </w:numPr>
              <w:tabs>
                <w:tab w:val="clear" w:pos="-1281"/>
              </w:tabs>
              <w:rPr>
                <w:rFonts w:ascii="Times New Roman" w:hAnsi="Times New Roman" w:cs="Times New Roman"/>
              </w:rPr>
            </w:pPr>
            <w:r>
              <w:rPr>
                <w:rFonts w:ascii="Times New Roman" w:hAnsi="Times New Roman" w:cs="Times New Roman"/>
              </w:rPr>
              <w:t>镉</w:t>
            </w:r>
          </w:p>
        </w:tc>
        <w:tc>
          <w:tcPr>
            <w:tcW w:w="2337" w:type="pct"/>
            <w:tcBorders>
              <w:top w:val="single" w:color="auto" w:sz="4" w:space="0"/>
              <w:left w:val="single" w:color="auto" w:sz="4" w:space="0"/>
              <w:right w:val="nil"/>
            </w:tcBorders>
            <w:noWrap w:val="0"/>
            <w:vAlign w:val="center"/>
          </w:tcPr>
          <w:p w14:paraId="0853AB0C">
            <w:pPr>
              <w:pStyle w:val="248"/>
              <w:rPr>
                <w:rFonts w:ascii="Times New Roman" w:hAnsi="Times New Roman"/>
                <w:szCs w:val="21"/>
              </w:rPr>
            </w:pPr>
            <w:r>
              <w:rPr>
                <w:rFonts w:ascii="Times New Roman" w:hAnsi="Times New Roman"/>
                <w:szCs w:val="21"/>
              </w:rPr>
              <w:t>0.3</w:t>
            </w:r>
          </w:p>
        </w:tc>
      </w:tr>
      <w:tr w14:paraId="7D1ABB71">
        <w:tblPrEx>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906" w:type="pct"/>
            <w:tcBorders>
              <w:top w:val="single" w:color="auto" w:sz="4" w:space="0"/>
              <w:left w:val="nil"/>
              <w:bottom w:val="single" w:color="auto" w:sz="4" w:space="0"/>
              <w:right w:val="single" w:color="auto" w:sz="4" w:space="0"/>
            </w:tcBorders>
            <w:noWrap w:val="0"/>
            <w:vAlign w:val="center"/>
          </w:tcPr>
          <w:p w14:paraId="410FAF20">
            <w:pPr>
              <w:autoSpaceDE w:val="0"/>
              <w:autoSpaceDN w:val="0"/>
              <w:adjustRightInd w:val="0"/>
              <w:jc w:val="center"/>
              <w:rPr>
                <w:rFonts w:ascii="Times New Roman" w:hAnsi="Times New Roman" w:cs="Times New Roman"/>
                <w:sz w:val="21"/>
                <w:szCs w:val="21"/>
              </w:rPr>
            </w:pPr>
            <w:r>
              <w:rPr>
                <w:rFonts w:ascii="Times New Roman" w:hAnsi="Times New Roman" w:cs="Times New Roman"/>
                <w:sz w:val="21"/>
                <w:szCs w:val="21"/>
              </w:rPr>
              <w:t>2</w:t>
            </w:r>
          </w:p>
        </w:tc>
        <w:tc>
          <w:tcPr>
            <w:tcW w:w="1757" w:type="pct"/>
            <w:tcBorders>
              <w:top w:val="single" w:color="auto" w:sz="4" w:space="0"/>
              <w:left w:val="single" w:color="auto" w:sz="4" w:space="0"/>
              <w:bottom w:val="single" w:color="auto" w:sz="4" w:space="0"/>
              <w:right w:val="single" w:color="auto" w:sz="4" w:space="0"/>
            </w:tcBorders>
            <w:noWrap w:val="0"/>
            <w:vAlign w:val="center"/>
          </w:tcPr>
          <w:p w14:paraId="6003DF32">
            <w:pPr>
              <w:pStyle w:val="248"/>
              <w:rPr>
                <w:rFonts w:ascii="Times New Roman" w:hAnsi="Times New Roman"/>
                <w:szCs w:val="21"/>
              </w:rPr>
            </w:pPr>
            <w:r>
              <w:rPr>
                <w:rFonts w:ascii="Times New Roman" w:hAnsi="Times New Roman"/>
                <w:szCs w:val="21"/>
              </w:rPr>
              <w:t>汞</w:t>
            </w:r>
          </w:p>
        </w:tc>
        <w:tc>
          <w:tcPr>
            <w:tcW w:w="2337" w:type="pct"/>
            <w:tcBorders>
              <w:left w:val="single" w:color="auto" w:sz="4" w:space="0"/>
              <w:right w:val="nil"/>
            </w:tcBorders>
            <w:noWrap w:val="0"/>
            <w:vAlign w:val="center"/>
          </w:tcPr>
          <w:p w14:paraId="74AED2CB">
            <w:pPr>
              <w:pStyle w:val="248"/>
              <w:rPr>
                <w:rFonts w:ascii="Times New Roman" w:hAnsi="Times New Roman"/>
                <w:szCs w:val="21"/>
              </w:rPr>
            </w:pPr>
            <w:r>
              <w:rPr>
                <w:rFonts w:ascii="Times New Roman" w:hAnsi="Times New Roman"/>
                <w:szCs w:val="21"/>
              </w:rPr>
              <w:t>2.4</w:t>
            </w:r>
          </w:p>
        </w:tc>
      </w:tr>
      <w:tr w14:paraId="2A00EFBA">
        <w:tblPrEx>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906" w:type="pct"/>
            <w:tcBorders>
              <w:top w:val="single" w:color="auto" w:sz="4" w:space="0"/>
              <w:left w:val="nil"/>
              <w:bottom w:val="single" w:color="auto" w:sz="4" w:space="0"/>
              <w:right w:val="single" w:color="auto" w:sz="4" w:space="0"/>
            </w:tcBorders>
            <w:noWrap w:val="0"/>
            <w:vAlign w:val="center"/>
          </w:tcPr>
          <w:p w14:paraId="657C4F70">
            <w:pPr>
              <w:autoSpaceDE w:val="0"/>
              <w:autoSpaceDN w:val="0"/>
              <w:adjustRightInd w:val="0"/>
              <w:jc w:val="center"/>
              <w:rPr>
                <w:rFonts w:ascii="Times New Roman" w:hAnsi="Times New Roman" w:cs="Times New Roman"/>
                <w:sz w:val="21"/>
                <w:szCs w:val="21"/>
              </w:rPr>
            </w:pPr>
            <w:r>
              <w:rPr>
                <w:rFonts w:ascii="Times New Roman" w:hAnsi="Times New Roman" w:cs="Times New Roman"/>
                <w:sz w:val="21"/>
                <w:szCs w:val="21"/>
              </w:rPr>
              <w:t>3</w:t>
            </w:r>
          </w:p>
        </w:tc>
        <w:tc>
          <w:tcPr>
            <w:tcW w:w="1757" w:type="pct"/>
            <w:tcBorders>
              <w:top w:val="single" w:color="auto" w:sz="4" w:space="0"/>
              <w:left w:val="single" w:color="auto" w:sz="4" w:space="0"/>
              <w:bottom w:val="single" w:color="auto" w:sz="4" w:space="0"/>
              <w:right w:val="single" w:color="auto" w:sz="4" w:space="0"/>
            </w:tcBorders>
            <w:noWrap w:val="0"/>
            <w:vAlign w:val="center"/>
          </w:tcPr>
          <w:p w14:paraId="3E8E1D22">
            <w:pPr>
              <w:pStyle w:val="248"/>
              <w:rPr>
                <w:rFonts w:ascii="Times New Roman" w:hAnsi="Times New Roman"/>
                <w:szCs w:val="21"/>
              </w:rPr>
            </w:pPr>
            <w:r>
              <w:rPr>
                <w:rFonts w:ascii="Times New Roman" w:hAnsi="Times New Roman"/>
                <w:szCs w:val="21"/>
              </w:rPr>
              <w:t>砷</w:t>
            </w:r>
          </w:p>
        </w:tc>
        <w:tc>
          <w:tcPr>
            <w:tcW w:w="2337" w:type="pct"/>
            <w:tcBorders>
              <w:left w:val="single" w:color="auto" w:sz="4" w:space="0"/>
              <w:right w:val="nil"/>
            </w:tcBorders>
            <w:noWrap w:val="0"/>
            <w:vAlign w:val="center"/>
          </w:tcPr>
          <w:p w14:paraId="361357F8">
            <w:pPr>
              <w:pStyle w:val="248"/>
              <w:rPr>
                <w:rFonts w:ascii="Times New Roman" w:hAnsi="Times New Roman"/>
                <w:szCs w:val="21"/>
              </w:rPr>
            </w:pPr>
            <w:r>
              <w:rPr>
                <w:rFonts w:ascii="Times New Roman" w:hAnsi="Times New Roman"/>
                <w:szCs w:val="21"/>
              </w:rPr>
              <w:t>30</w:t>
            </w:r>
          </w:p>
        </w:tc>
      </w:tr>
      <w:tr w14:paraId="45F6E381">
        <w:tblPrEx>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906" w:type="pct"/>
            <w:tcBorders>
              <w:top w:val="single" w:color="auto" w:sz="4" w:space="0"/>
              <w:left w:val="nil"/>
              <w:bottom w:val="single" w:color="auto" w:sz="4" w:space="0"/>
              <w:right w:val="single" w:color="auto" w:sz="4" w:space="0"/>
            </w:tcBorders>
            <w:noWrap w:val="0"/>
            <w:vAlign w:val="center"/>
          </w:tcPr>
          <w:p w14:paraId="166F0A8E">
            <w:pPr>
              <w:autoSpaceDE w:val="0"/>
              <w:autoSpaceDN w:val="0"/>
              <w:adjustRightInd w:val="0"/>
              <w:jc w:val="center"/>
              <w:rPr>
                <w:rFonts w:ascii="Times New Roman" w:hAnsi="Times New Roman" w:cs="Times New Roman"/>
                <w:sz w:val="21"/>
                <w:szCs w:val="21"/>
              </w:rPr>
            </w:pPr>
            <w:r>
              <w:rPr>
                <w:rFonts w:ascii="Times New Roman" w:hAnsi="Times New Roman" w:cs="Times New Roman"/>
                <w:sz w:val="21"/>
                <w:szCs w:val="21"/>
              </w:rPr>
              <w:t>4</w:t>
            </w:r>
          </w:p>
        </w:tc>
        <w:tc>
          <w:tcPr>
            <w:tcW w:w="1757" w:type="pct"/>
            <w:tcBorders>
              <w:top w:val="single" w:color="auto" w:sz="4" w:space="0"/>
              <w:left w:val="single" w:color="auto" w:sz="4" w:space="0"/>
              <w:bottom w:val="single" w:color="auto" w:sz="4" w:space="0"/>
              <w:right w:val="single" w:color="auto" w:sz="4" w:space="0"/>
            </w:tcBorders>
            <w:noWrap w:val="0"/>
            <w:vAlign w:val="center"/>
          </w:tcPr>
          <w:p w14:paraId="09C6E4D7">
            <w:pPr>
              <w:pStyle w:val="248"/>
              <w:rPr>
                <w:rFonts w:ascii="Times New Roman" w:hAnsi="Times New Roman"/>
                <w:szCs w:val="21"/>
              </w:rPr>
            </w:pPr>
            <w:r>
              <w:rPr>
                <w:rFonts w:ascii="Times New Roman" w:hAnsi="Times New Roman"/>
                <w:szCs w:val="21"/>
              </w:rPr>
              <w:t>铅</w:t>
            </w:r>
          </w:p>
        </w:tc>
        <w:tc>
          <w:tcPr>
            <w:tcW w:w="2337" w:type="pct"/>
            <w:tcBorders>
              <w:left w:val="single" w:color="auto" w:sz="4" w:space="0"/>
              <w:right w:val="nil"/>
            </w:tcBorders>
            <w:noWrap w:val="0"/>
            <w:vAlign w:val="center"/>
          </w:tcPr>
          <w:p w14:paraId="20D6D1C1">
            <w:pPr>
              <w:pStyle w:val="248"/>
              <w:rPr>
                <w:rFonts w:ascii="Times New Roman" w:hAnsi="Times New Roman"/>
                <w:szCs w:val="21"/>
              </w:rPr>
            </w:pPr>
            <w:r>
              <w:rPr>
                <w:rFonts w:ascii="Times New Roman" w:hAnsi="Times New Roman"/>
                <w:szCs w:val="21"/>
              </w:rPr>
              <w:t>120</w:t>
            </w:r>
          </w:p>
        </w:tc>
      </w:tr>
      <w:tr w14:paraId="2B830A91">
        <w:tblPrEx>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906" w:type="pct"/>
            <w:tcBorders>
              <w:top w:val="single" w:color="auto" w:sz="4" w:space="0"/>
              <w:left w:val="nil"/>
              <w:bottom w:val="single" w:color="auto" w:sz="4" w:space="0"/>
              <w:right w:val="single" w:color="auto" w:sz="4" w:space="0"/>
            </w:tcBorders>
            <w:noWrap w:val="0"/>
            <w:vAlign w:val="center"/>
          </w:tcPr>
          <w:p w14:paraId="7A7B4B0D">
            <w:pPr>
              <w:autoSpaceDE w:val="0"/>
              <w:autoSpaceDN w:val="0"/>
              <w:adjustRightInd w:val="0"/>
              <w:jc w:val="center"/>
              <w:rPr>
                <w:rFonts w:ascii="Times New Roman" w:hAnsi="Times New Roman" w:cs="Times New Roman"/>
                <w:sz w:val="21"/>
                <w:szCs w:val="21"/>
              </w:rPr>
            </w:pPr>
            <w:r>
              <w:rPr>
                <w:rFonts w:ascii="Times New Roman" w:hAnsi="Times New Roman" w:cs="Times New Roman"/>
                <w:sz w:val="21"/>
                <w:szCs w:val="21"/>
              </w:rPr>
              <w:t>5</w:t>
            </w:r>
          </w:p>
        </w:tc>
        <w:tc>
          <w:tcPr>
            <w:tcW w:w="1757" w:type="pct"/>
            <w:tcBorders>
              <w:top w:val="single" w:color="auto" w:sz="4" w:space="0"/>
              <w:left w:val="single" w:color="auto" w:sz="4" w:space="0"/>
              <w:bottom w:val="single" w:color="auto" w:sz="4" w:space="0"/>
              <w:right w:val="single" w:color="auto" w:sz="4" w:space="0"/>
            </w:tcBorders>
            <w:noWrap w:val="0"/>
            <w:vAlign w:val="center"/>
          </w:tcPr>
          <w:p w14:paraId="1A8A0BC0">
            <w:pPr>
              <w:pStyle w:val="248"/>
              <w:rPr>
                <w:rFonts w:ascii="Times New Roman" w:hAnsi="Times New Roman"/>
                <w:szCs w:val="21"/>
              </w:rPr>
            </w:pPr>
            <w:r>
              <w:rPr>
                <w:rFonts w:ascii="Times New Roman" w:hAnsi="Times New Roman"/>
                <w:szCs w:val="21"/>
              </w:rPr>
              <w:t>铬</w:t>
            </w:r>
          </w:p>
        </w:tc>
        <w:tc>
          <w:tcPr>
            <w:tcW w:w="2337" w:type="pct"/>
            <w:tcBorders>
              <w:left w:val="single" w:color="auto" w:sz="4" w:space="0"/>
              <w:right w:val="nil"/>
            </w:tcBorders>
            <w:noWrap w:val="0"/>
            <w:vAlign w:val="center"/>
          </w:tcPr>
          <w:p w14:paraId="57E16CAF">
            <w:pPr>
              <w:pStyle w:val="248"/>
              <w:rPr>
                <w:rFonts w:ascii="Times New Roman" w:hAnsi="Times New Roman"/>
                <w:szCs w:val="21"/>
              </w:rPr>
            </w:pPr>
            <w:r>
              <w:rPr>
                <w:rFonts w:ascii="Times New Roman" w:hAnsi="Times New Roman"/>
                <w:szCs w:val="21"/>
              </w:rPr>
              <w:t>200</w:t>
            </w:r>
          </w:p>
        </w:tc>
      </w:tr>
      <w:tr w14:paraId="0FB973DB">
        <w:tblPrEx>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906" w:type="pct"/>
            <w:tcBorders>
              <w:top w:val="single" w:color="auto" w:sz="4" w:space="0"/>
              <w:left w:val="nil"/>
              <w:bottom w:val="single" w:color="auto" w:sz="4" w:space="0"/>
              <w:right w:val="single" w:color="auto" w:sz="4" w:space="0"/>
            </w:tcBorders>
            <w:noWrap w:val="0"/>
            <w:vAlign w:val="center"/>
          </w:tcPr>
          <w:p w14:paraId="0A160824">
            <w:pPr>
              <w:autoSpaceDE w:val="0"/>
              <w:autoSpaceDN w:val="0"/>
              <w:adjustRightInd w:val="0"/>
              <w:jc w:val="center"/>
              <w:rPr>
                <w:rFonts w:ascii="Times New Roman" w:hAnsi="Times New Roman" w:cs="Times New Roman"/>
                <w:sz w:val="21"/>
                <w:szCs w:val="21"/>
              </w:rPr>
            </w:pPr>
            <w:r>
              <w:rPr>
                <w:rFonts w:ascii="Times New Roman" w:hAnsi="Times New Roman" w:cs="Times New Roman"/>
                <w:sz w:val="21"/>
                <w:szCs w:val="21"/>
              </w:rPr>
              <w:t>6</w:t>
            </w:r>
          </w:p>
        </w:tc>
        <w:tc>
          <w:tcPr>
            <w:tcW w:w="1757" w:type="pct"/>
            <w:tcBorders>
              <w:top w:val="single" w:color="auto" w:sz="4" w:space="0"/>
              <w:left w:val="single" w:color="auto" w:sz="4" w:space="0"/>
              <w:bottom w:val="single" w:color="auto" w:sz="4" w:space="0"/>
              <w:right w:val="single" w:color="auto" w:sz="4" w:space="0"/>
            </w:tcBorders>
            <w:noWrap w:val="0"/>
            <w:vAlign w:val="center"/>
          </w:tcPr>
          <w:p w14:paraId="2453456F">
            <w:pPr>
              <w:pStyle w:val="248"/>
              <w:rPr>
                <w:rFonts w:ascii="Times New Roman" w:hAnsi="Times New Roman"/>
                <w:szCs w:val="21"/>
              </w:rPr>
            </w:pPr>
            <w:r>
              <w:rPr>
                <w:rFonts w:ascii="Times New Roman" w:hAnsi="Times New Roman"/>
                <w:szCs w:val="21"/>
              </w:rPr>
              <w:t>铜</w:t>
            </w:r>
          </w:p>
        </w:tc>
        <w:tc>
          <w:tcPr>
            <w:tcW w:w="2337" w:type="pct"/>
            <w:tcBorders>
              <w:left w:val="single" w:color="auto" w:sz="4" w:space="0"/>
              <w:right w:val="nil"/>
            </w:tcBorders>
            <w:noWrap w:val="0"/>
            <w:vAlign w:val="center"/>
          </w:tcPr>
          <w:p w14:paraId="5F10B04F">
            <w:pPr>
              <w:pStyle w:val="248"/>
              <w:rPr>
                <w:rFonts w:ascii="Times New Roman" w:hAnsi="Times New Roman"/>
                <w:szCs w:val="21"/>
              </w:rPr>
            </w:pPr>
            <w:r>
              <w:rPr>
                <w:rFonts w:ascii="Times New Roman" w:hAnsi="Times New Roman"/>
                <w:szCs w:val="21"/>
              </w:rPr>
              <w:t>100</w:t>
            </w:r>
          </w:p>
        </w:tc>
      </w:tr>
      <w:tr w14:paraId="56812D7F">
        <w:tblPrEx>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906" w:type="pct"/>
            <w:tcBorders>
              <w:top w:val="single" w:color="auto" w:sz="4" w:space="0"/>
              <w:left w:val="nil"/>
              <w:bottom w:val="single" w:color="auto" w:sz="4" w:space="0"/>
              <w:right w:val="single" w:color="auto" w:sz="4" w:space="0"/>
            </w:tcBorders>
            <w:noWrap w:val="0"/>
            <w:vAlign w:val="center"/>
          </w:tcPr>
          <w:p w14:paraId="3417E134">
            <w:pPr>
              <w:autoSpaceDE w:val="0"/>
              <w:autoSpaceDN w:val="0"/>
              <w:adjustRightInd w:val="0"/>
              <w:jc w:val="center"/>
              <w:rPr>
                <w:rFonts w:ascii="Times New Roman" w:hAnsi="Times New Roman" w:cs="Times New Roman"/>
                <w:sz w:val="21"/>
                <w:szCs w:val="21"/>
              </w:rPr>
            </w:pPr>
            <w:r>
              <w:rPr>
                <w:rFonts w:ascii="Times New Roman" w:hAnsi="Times New Roman" w:cs="Times New Roman"/>
                <w:sz w:val="21"/>
                <w:szCs w:val="21"/>
              </w:rPr>
              <w:t>7</w:t>
            </w:r>
          </w:p>
        </w:tc>
        <w:tc>
          <w:tcPr>
            <w:tcW w:w="1757" w:type="pct"/>
            <w:tcBorders>
              <w:top w:val="single" w:color="auto" w:sz="4" w:space="0"/>
              <w:left w:val="single" w:color="auto" w:sz="4" w:space="0"/>
              <w:bottom w:val="single" w:color="auto" w:sz="4" w:space="0"/>
              <w:right w:val="single" w:color="auto" w:sz="4" w:space="0"/>
            </w:tcBorders>
            <w:noWrap w:val="0"/>
            <w:vAlign w:val="center"/>
          </w:tcPr>
          <w:p w14:paraId="4B2BE57A">
            <w:pPr>
              <w:pStyle w:val="248"/>
              <w:rPr>
                <w:rFonts w:ascii="Times New Roman" w:hAnsi="Times New Roman"/>
                <w:szCs w:val="21"/>
              </w:rPr>
            </w:pPr>
            <w:r>
              <w:rPr>
                <w:rFonts w:ascii="Times New Roman" w:hAnsi="Times New Roman"/>
                <w:szCs w:val="21"/>
              </w:rPr>
              <w:t>镍</w:t>
            </w:r>
          </w:p>
        </w:tc>
        <w:tc>
          <w:tcPr>
            <w:tcW w:w="2337" w:type="pct"/>
            <w:tcBorders>
              <w:left w:val="single" w:color="auto" w:sz="4" w:space="0"/>
              <w:right w:val="nil"/>
            </w:tcBorders>
            <w:noWrap w:val="0"/>
            <w:vAlign w:val="center"/>
          </w:tcPr>
          <w:p w14:paraId="5197B9E2">
            <w:pPr>
              <w:pStyle w:val="248"/>
              <w:rPr>
                <w:rFonts w:ascii="Times New Roman" w:hAnsi="Times New Roman"/>
                <w:szCs w:val="21"/>
              </w:rPr>
            </w:pPr>
            <w:r>
              <w:rPr>
                <w:rFonts w:ascii="Times New Roman" w:hAnsi="Times New Roman"/>
                <w:szCs w:val="21"/>
              </w:rPr>
              <w:t>100</w:t>
            </w:r>
          </w:p>
        </w:tc>
      </w:tr>
      <w:tr w14:paraId="08DBB026">
        <w:tblPrEx>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906" w:type="pct"/>
            <w:tcBorders>
              <w:top w:val="single" w:color="auto" w:sz="4" w:space="0"/>
              <w:left w:val="nil"/>
              <w:bottom w:val="thickThinSmallGap" w:color="auto" w:sz="12" w:space="0"/>
              <w:right w:val="single" w:color="auto" w:sz="4" w:space="0"/>
            </w:tcBorders>
            <w:noWrap w:val="0"/>
            <w:vAlign w:val="center"/>
          </w:tcPr>
          <w:p w14:paraId="18AFCEE1">
            <w:pPr>
              <w:autoSpaceDE w:val="0"/>
              <w:autoSpaceDN w:val="0"/>
              <w:adjustRightInd w:val="0"/>
              <w:jc w:val="center"/>
              <w:rPr>
                <w:rFonts w:ascii="Times New Roman" w:hAnsi="Times New Roman" w:cs="Times New Roman"/>
                <w:sz w:val="21"/>
                <w:szCs w:val="21"/>
              </w:rPr>
            </w:pPr>
            <w:r>
              <w:rPr>
                <w:rFonts w:ascii="Times New Roman" w:hAnsi="Times New Roman" w:cs="Times New Roman"/>
                <w:sz w:val="21"/>
                <w:szCs w:val="21"/>
              </w:rPr>
              <w:t>8</w:t>
            </w:r>
          </w:p>
        </w:tc>
        <w:tc>
          <w:tcPr>
            <w:tcW w:w="1757" w:type="pct"/>
            <w:tcBorders>
              <w:top w:val="single" w:color="auto" w:sz="4" w:space="0"/>
              <w:left w:val="single" w:color="auto" w:sz="4" w:space="0"/>
              <w:bottom w:val="thickThinSmallGap" w:color="auto" w:sz="12" w:space="0"/>
              <w:right w:val="single" w:color="auto" w:sz="4" w:space="0"/>
            </w:tcBorders>
            <w:noWrap w:val="0"/>
            <w:vAlign w:val="center"/>
          </w:tcPr>
          <w:p w14:paraId="322BA579">
            <w:pPr>
              <w:pStyle w:val="248"/>
              <w:rPr>
                <w:rFonts w:ascii="Times New Roman" w:hAnsi="Times New Roman"/>
                <w:szCs w:val="21"/>
              </w:rPr>
            </w:pPr>
            <w:r>
              <w:rPr>
                <w:rFonts w:ascii="Times New Roman" w:hAnsi="Times New Roman"/>
                <w:szCs w:val="21"/>
              </w:rPr>
              <w:t>锌</w:t>
            </w:r>
          </w:p>
        </w:tc>
        <w:tc>
          <w:tcPr>
            <w:tcW w:w="2337" w:type="pct"/>
            <w:tcBorders>
              <w:left w:val="single" w:color="auto" w:sz="4" w:space="0"/>
              <w:bottom w:val="thickThinSmallGap" w:color="auto" w:sz="12" w:space="0"/>
              <w:right w:val="nil"/>
            </w:tcBorders>
            <w:noWrap w:val="0"/>
            <w:vAlign w:val="center"/>
          </w:tcPr>
          <w:p w14:paraId="29797023">
            <w:pPr>
              <w:pStyle w:val="248"/>
              <w:rPr>
                <w:rFonts w:ascii="Times New Roman" w:hAnsi="Times New Roman"/>
                <w:szCs w:val="21"/>
              </w:rPr>
            </w:pPr>
            <w:r>
              <w:rPr>
                <w:rFonts w:ascii="Times New Roman" w:hAnsi="Times New Roman"/>
                <w:szCs w:val="21"/>
              </w:rPr>
              <w:t>250</w:t>
            </w:r>
          </w:p>
        </w:tc>
      </w:tr>
    </w:tbl>
    <w:p w14:paraId="33B8C243">
      <w:pPr>
        <w:pStyle w:val="131"/>
        <w:adjustRightInd/>
        <w:snapToGrid/>
        <w:spacing w:line="360" w:lineRule="auto"/>
        <w:ind w:left="0" w:firstLine="0"/>
        <w:rPr>
          <w:rFonts w:ascii="Times New Roman" w:hAnsi="Times New Roman" w:cs="Times New Roman"/>
        </w:rPr>
      </w:pPr>
      <w:r>
        <w:rPr>
          <w:rFonts w:ascii="Times New Roman" w:hAnsi="Times New Roman" w:cs="Times New Roman"/>
        </w:rPr>
        <w:t>表</w:t>
      </w:r>
      <w:r>
        <w:rPr>
          <w:rFonts w:hint="eastAsia" w:ascii="Times New Roman" w:hAnsi="Times New Roman" w:cs="Times New Roman"/>
        </w:rPr>
        <w:t>4.2-11</w:t>
      </w:r>
      <w:r>
        <w:rPr>
          <w:rFonts w:ascii="Times New Roman" w:hAnsi="Times New Roman" w:cs="Times New Roman"/>
        </w:rPr>
        <w:t xml:space="preserve">  建设用地土壤污染风险管控标准     单位：mg/kg</w:t>
      </w:r>
    </w:p>
    <w:tbl>
      <w:tblPr>
        <w:tblStyle w:val="56"/>
        <w:tblW w:w="8612" w:type="dxa"/>
        <w:jc w:val="center"/>
        <w:tblBorders>
          <w:top w:val="thinThickSmallGap" w:color="auto" w:sz="12" w:space="0"/>
          <w:left w:val="none" w:color="auto" w:sz="0" w:space="0"/>
          <w:bottom w:val="thickThinSmallGap" w:color="auto" w:sz="12" w:space="0"/>
          <w:right w:val="none" w:color="auto" w:sz="0" w:space="0"/>
          <w:insideH w:val="single" w:color="auto" w:sz="6" w:space="0"/>
          <w:insideV w:val="single" w:color="auto" w:sz="6" w:space="0"/>
        </w:tblBorders>
        <w:tblLayout w:type="autofit"/>
        <w:tblCellMar>
          <w:top w:w="0" w:type="dxa"/>
          <w:left w:w="108" w:type="dxa"/>
          <w:bottom w:w="0" w:type="dxa"/>
          <w:right w:w="108" w:type="dxa"/>
        </w:tblCellMar>
      </w:tblPr>
      <w:tblGrid>
        <w:gridCol w:w="756"/>
        <w:gridCol w:w="2272"/>
        <w:gridCol w:w="1420"/>
        <w:gridCol w:w="1420"/>
        <w:gridCol w:w="1420"/>
        <w:gridCol w:w="1324"/>
      </w:tblGrid>
      <w:tr w14:paraId="453DDA9E">
        <w:tblPrEx>
          <w:tblBorders>
            <w:top w:val="thinThickSmallGap" w:color="auto" w:sz="12" w:space="0"/>
            <w:left w:val="none" w:color="auto" w:sz="0" w:space="0"/>
            <w:bottom w:val="thickThinSmallGap"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88" w:hRule="atLeast"/>
          <w:tblHeader/>
          <w:jc w:val="center"/>
        </w:trPr>
        <w:tc>
          <w:tcPr>
            <w:tcW w:w="3028" w:type="dxa"/>
            <w:gridSpan w:val="2"/>
            <w:vMerge w:val="restart"/>
            <w:tcBorders>
              <w:top w:val="thinThickSmallGap" w:color="auto" w:sz="12" w:space="0"/>
              <w:bottom w:val="single" w:color="auto" w:sz="6" w:space="0"/>
            </w:tcBorders>
            <w:shd w:val="clear" w:color="auto" w:fill="DDDDDD"/>
            <w:noWrap w:val="0"/>
            <w:vAlign w:val="center"/>
          </w:tcPr>
          <w:p w14:paraId="510B585C">
            <w:pPr>
              <w:jc w:val="center"/>
              <w:rPr>
                <w:rFonts w:ascii="Times New Roman" w:hAnsi="Times New Roman" w:cs="Times New Roman"/>
                <w:sz w:val="21"/>
                <w:szCs w:val="21"/>
              </w:rPr>
            </w:pPr>
            <w:r>
              <w:rPr>
                <w:rFonts w:ascii="Times New Roman" w:hAnsi="Times New Roman" w:cs="Times New Roman"/>
                <w:sz w:val="21"/>
                <w:szCs w:val="21"/>
              </w:rPr>
              <mc:AlternateContent>
                <mc:Choice Requires="wpg">
                  <w:drawing>
                    <wp:anchor distT="0" distB="0" distL="114300" distR="114300" simplePos="0" relativeHeight="251663360" behindDoc="0" locked="0" layoutInCell="1" allowOverlap="1">
                      <wp:simplePos x="0" y="0"/>
                      <wp:positionH relativeFrom="column">
                        <wp:posOffset>-37465</wp:posOffset>
                      </wp:positionH>
                      <wp:positionV relativeFrom="paragraph">
                        <wp:posOffset>60325</wp:posOffset>
                      </wp:positionV>
                      <wp:extent cx="1849755" cy="494665"/>
                      <wp:effectExtent l="1905" t="4445" r="15240" b="15240"/>
                      <wp:wrapNone/>
                      <wp:docPr id="7" name="组合 2"/>
                      <wp:cNvGraphicFramePr/>
                      <a:graphic xmlns:a="http://schemas.openxmlformats.org/drawingml/2006/main">
                        <a:graphicData uri="http://schemas.microsoft.com/office/word/2010/wordprocessingGroup">
                          <wpg:wgp>
                            <wpg:cNvGrpSpPr/>
                            <wpg:grpSpPr>
                              <a:xfrm>
                                <a:off x="0" y="0"/>
                                <a:ext cx="1849755" cy="494665"/>
                                <a:chOff x="1770" y="6631"/>
                                <a:chExt cx="1350" cy="679"/>
                              </a:xfrm>
                              <a:effectLst/>
                            </wpg:grpSpPr>
                            <wps:wsp>
                              <wps:cNvPr id="8" name="AutoShape 4"/>
                              <wps:cNvCnPr>
                                <a:cxnSpLocks noChangeShapeType="1"/>
                              </wps:cNvCnPr>
                              <wps:spPr bwMode="auto">
                                <a:xfrm>
                                  <a:off x="1770" y="6631"/>
                                  <a:ext cx="1350" cy="407"/>
                                </a:xfrm>
                                <a:prstGeom prst="straightConnector1">
                                  <a:avLst/>
                                </a:prstGeom>
                                <a:noFill/>
                                <a:ln w="9525">
                                  <a:solidFill>
                                    <a:srgbClr val="000000"/>
                                  </a:solidFill>
                                  <a:round/>
                                </a:ln>
                                <a:effectLst/>
                              </wps:spPr>
                              <wps:bodyPr/>
                            </wps:wsp>
                            <wps:wsp>
                              <wps:cNvPr id="9" name="AutoShape 5"/>
                              <wps:cNvCnPr>
                                <a:cxnSpLocks noChangeShapeType="1"/>
                              </wps:cNvCnPr>
                              <wps:spPr bwMode="auto">
                                <a:xfrm>
                                  <a:off x="1770" y="6664"/>
                                  <a:ext cx="818" cy="646"/>
                                </a:xfrm>
                                <a:prstGeom prst="straightConnector1">
                                  <a:avLst/>
                                </a:prstGeom>
                                <a:noFill/>
                                <a:ln w="9525">
                                  <a:solidFill>
                                    <a:srgbClr val="000000"/>
                                  </a:solidFill>
                                  <a:round/>
                                </a:ln>
                                <a:effectLst/>
                              </wps:spPr>
                              <wps:bodyPr/>
                            </wps:wsp>
                          </wpg:wgp>
                        </a:graphicData>
                      </a:graphic>
                    </wp:anchor>
                  </w:drawing>
                </mc:Choice>
                <mc:Fallback>
                  <w:pict>
                    <v:group id="组合 2" o:spid="_x0000_s1026" o:spt="203" style="position:absolute;left:0pt;margin-left:-2.95pt;margin-top:4.75pt;height:38.95pt;width:145.65pt;z-index:251663360;mso-width-relative:page;mso-height-relative:page;" coordorigin="1770,6631" coordsize="1350,679" o:gfxdata="UEsDBAoAAAAAAIdO4kAAAAAAAAAAAAAAAAAEAAAAZHJzL1BLAwQUAAAACACHTuJAlStcY9gAAAAH&#10;AQAADwAAAGRycy9kb3ducmV2LnhtbE2OwWrCQBRF94X+w/AK3ekk1rQxzUSKtF2JUC2Iu2fmmQQz&#10;b0JmTPTvO121y8u9nHvy5dW0YqDeNZYVxNMIBHFpdcOVgu/dxyQF4TyyxtYyKbiRg2Vxf5djpu3I&#10;XzRsfSUChF2GCmrvu0xKV9Zk0E1tRxy6k+0N+hD7SuoexwA3rZxF0bM02HB4qLGjVU3leXsxCj5H&#10;HN+e4vdhfT6tboddstmvY1Lq8SGOXkF4uvq/MfzqB3UogtPRXlg70SqYJIuwVLBIQIR6liZzEEcF&#10;6cscZJHL//7FD1BLAwQUAAAACACHTuJAHsfPVHwCAADoBgAADgAAAGRycy9lMm9Eb2MueG1s3ZXN&#10;jtowEMfvlfoOlu8lhIUAEWFVQXcv2xaJ7QMYx/lQE49lGwL3Hnrs+/R5Vn2Njp0Au2wPq1btoRxC&#10;7LHHM7//jDO73tcV2QltSpAJDXt9SoTkkJYyT+in+5s3E0qMZTJlFUiR0IMw9Hr++tWsUbEYQAFV&#10;KjRBJ9LEjUpoYa2Kg8DwQtTM9EAJicYMdM0sDnUepJo16L2ugkG/HwUN6FRp4MIYnF22Rtp51C9x&#10;CFlWcrEEvq2FtK1XLSpmMSVTlMrQuY82ywS3H7PMCEuqhGKm1j/xEHzfuGcwn7E410wVJe9CYC8J&#10;4SKnmpUSDz25WjLLyFaXz1zVJddgILM9DnXQJuKJYBZh/4LNrYat8rnkcZOrE3QU6oL6b7vlH3Yr&#10;Tco0oWNKJKtR8B/fvzx8+0oGjk2j8hiX3Gq1VivdTeTtyKW7z3Tt/jERsvdUDyeqYm8Jx8lwMpyO&#10;RyNKONqG02EUjVrsvEBt3LZwPEY90BpFV+HR9u64/WqERrc3Gk+dMTgfK7zCd8a6aRfrKbRGYXWa&#10;MzLzZ8jWBVPCK2Ecjw4ZdkqL7O3Wgl9Chi5CdziuWsiVdnD4Xq7VHfDPhkhYFEzmwi++PyjE7RPG&#10;4B9tcQODvMmmeQ8prmHo35fXBe9fgDtRP2Eb9scX2JQ29lZATdxLQo3VrMwLuwApsWFAh/4stuvA&#10;svi4wWUj4aasKsySxZUkTUKno8HIbzBQlakzOpvR+WZRabJjrvP8r4viyTKscJm2olbS7buQtAXR&#10;It1AevBF6Gmhuu30X5d5+lxmX8FPNPtHMke+wBBT1x2TEIvQN8cw+m9V9q2NF6Dv/e6ydjfs47G/&#10;AM4fqPl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7QQAAFtDb250ZW50X1R5cGVzXS54bWxQSwECFAAKAAAAAACHTuJAAAAAAAAAAAAAAAAABgAA&#10;AAAAAAAAABAAAADPAwAAX3JlbHMvUEsBAhQAFAAAAAgAh07iQIoUZjzRAAAAlAEAAAsAAAAAAAAA&#10;AQAgAAAA8wMAAF9yZWxzLy5yZWxzUEsBAhQACgAAAAAAh07iQAAAAAAAAAAAAAAAAAQAAAAAAAAA&#10;AAAQAAAAAAAAAGRycy9QSwECFAAUAAAACACHTuJAlStcY9gAAAAHAQAADwAAAAAAAAABACAAAAAi&#10;AAAAZHJzL2Rvd25yZXYueG1sUEsBAhQAFAAAAAgAh07iQB7Hz1R8AgAA6AYAAA4AAAAAAAAAAQAg&#10;AAAAJwEAAGRycy9lMm9Eb2MueG1sUEsFBgAAAAAGAAYAWQEAABUGAAAAAA==&#10;">
                      <o:lock v:ext="edit" aspectratio="f"/>
                      <v:shape id="AutoShape 4" o:spid="_x0000_s1026" o:spt="32" type="#_x0000_t32" style="position:absolute;left:1770;top:6631;height:407;width:1350;" filled="f" stroked="t" coordsize="21600,21600" o:gfxdata="UEsDBAoAAAAAAIdO4kAAAAAAAAAAAAAAAAAEAAAAZHJzL1BLAwQUAAAACACHTuJAWNEDyLgAAADa&#10;AAAADwAAAGRycy9kb3ducmV2LnhtbEVPy4rCMBTdC/5DuIIb0aTCDFqbigwM6NIHuL0017ba3JQm&#10;WvXrzWJglofzztZP24gHdb52rCGZKRDEhTM1lxpOx9/pAoQPyAYbx6ThRR7W+XCQYWpcz3t6HEIp&#10;Ygj7FDVUIbSplL6oyKKfuZY4chfXWQwRdqU0HfYx3DZyrtS3tFhzbKiwpZ+KitvhbjWQv38larO0&#10;5Wn37ifn+fvat0etx6NErUAEeoZ/8Z97azTErfFKvAEy/wB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WNEDyLgAAADaAAAA&#10;DwAAAAAAAAABACAAAAAiAAAAZHJzL2Rvd25yZXYueG1sUEsBAhQAFAAAAAgAh07iQDMvBZ47AAAA&#10;OQAAABAAAAAAAAAAAQAgAAAABwEAAGRycy9zaGFwZXhtbC54bWxQSwUGAAAAAAYABgBbAQAAsQMA&#10;AAAA&#10;">
                        <v:fill on="f" focussize="0,0"/>
                        <v:stroke color="#000000" joinstyle="round"/>
                        <v:imagedata o:title=""/>
                        <o:lock v:ext="edit" aspectratio="f"/>
                      </v:shape>
                      <v:shape id="AutoShape 5" o:spid="_x0000_s1026" o:spt="32" type="#_x0000_t32" style="position:absolute;left:1770;top:6664;height:646;width:818;" filled="f" stroked="t" coordsize="21600,21600" o:gfxdata="UEsDBAoAAAAAAIdO4kAAAAAAAAAAAAAAAAAEAAAAZHJzL1BLAwQUAAAACACHTuJAN52mU7oAAADa&#10;AAAADwAAAGRycy9kb3ducmV2LnhtbEWPzarCMBSE94LvEI7gRjSpoGivUUQQdOkPuD0057a9tzkp&#10;TbTq0xtBcDnMzDfMYnW3lbhR40vHGpKRAkGcOVNyruF82g5nIHxANlg5Jg0P8rBadjsLTI1r+UC3&#10;Y8hFhLBPUUMRQp1K6bOCLPqRq4mj9+saiyHKJpemwTbCbSXHSk2lxZLjQoE1bQrK/o9Xq4H8dZKo&#10;9dzm5/2zHVzGz7+2Pmnd7yXqB0Sge/iGP+2d0TCH95V4A+TyB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3naZTugAAANoA&#10;AAAPAAAAAAAAAAEAIAAAACIAAABkcnMvZG93bnJldi54bWxQSwECFAAUAAAACACHTuJAMy8FnjsA&#10;AAA5AAAAEAAAAAAAAAABACAAAAAJAQAAZHJzL3NoYXBleG1sLnhtbFBLBQYAAAAABgAGAFsBAACz&#10;AwAAAAA=&#10;">
                        <v:fill on="f" focussize="0,0"/>
                        <v:stroke color="#000000" joinstyle="round"/>
                        <v:imagedata o:title=""/>
                        <o:lock v:ext="edit" aspectratio="f"/>
                      </v:shape>
                    </v:group>
                  </w:pict>
                </mc:Fallback>
              </mc:AlternateContent>
            </w:r>
            <w:r>
              <w:rPr>
                <w:rFonts w:ascii="Times New Roman" w:hAnsi="Times New Roman" w:cs="Times New Roman"/>
                <w:sz w:val="21"/>
                <w:szCs w:val="21"/>
              </w:rPr>
              <w:t xml:space="preserve">       地类</w:t>
            </w:r>
          </w:p>
          <w:p w14:paraId="4A3AAD84">
            <w:pPr>
              <w:jc w:val="center"/>
              <w:rPr>
                <w:rFonts w:ascii="Times New Roman" w:hAnsi="Times New Roman" w:cs="Times New Roman"/>
                <w:sz w:val="21"/>
                <w:szCs w:val="21"/>
              </w:rPr>
            </w:pPr>
            <w:r>
              <w:rPr>
                <w:rFonts w:ascii="Times New Roman" w:hAnsi="Times New Roman" w:cs="Times New Roman"/>
                <w:sz w:val="21"/>
                <w:szCs w:val="21"/>
              </w:rPr>
              <w:t>指标</w:t>
            </w:r>
          </w:p>
          <w:p w14:paraId="428F5D0B">
            <w:pPr>
              <w:rPr>
                <w:rFonts w:ascii="Times New Roman" w:hAnsi="Times New Roman" w:cs="Times New Roman"/>
                <w:sz w:val="21"/>
                <w:szCs w:val="21"/>
              </w:rPr>
            </w:pPr>
            <w:r>
              <w:rPr>
                <w:rFonts w:ascii="Times New Roman" w:hAnsi="Times New Roman" w:cs="Times New Roman"/>
                <w:sz w:val="21"/>
                <w:szCs w:val="21"/>
              </w:rPr>
              <w:t>项目</w:t>
            </w:r>
          </w:p>
        </w:tc>
        <w:tc>
          <w:tcPr>
            <w:tcW w:w="2840" w:type="dxa"/>
            <w:gridSpan w:val="2"/>
            <w:tcBorders>
              <w:top w:val="thinThickSmallGap" w:color="auto" w:sz="12" w:space="0"/>
              <w:bottom w:val="single" w:color="auto" w:sz="6" w:space="0"/>
            </w:tcBorders>
            <w:shd w:val="clear" w:color="auto" w:fill="DDDDDD"/>
            <w:noWrap w:val="0"/>
            <w:vAlign w:val="center"/>
          </w:tcPr>
          <w:p w14:paraId="33F8EC37">
            <w:pPr>
              <w:spacing w:line="240" w:lineRule="exact"/>
              <w:jc w:val="center"/>
              <w:rPr>
                <w:rFonts w:ascii="Times New Roman" w:hAnsi="Times New Roman" w:cs="Times New Roman"/>
                <w:sz w:val="21"/>
                <w:szCs w:val="21"/>
              </w:rPr>
            </w:pPr>
            <w:r>
              <w:rPr>
                <w:rFonts w:ascii="Times New Roman" w:hAnsi="Times New Roman" w:cs="Times New Roman"/>
                <w:sz w:val="21"/>
                <w:szCs w:val="21"/>
              </w:rPr>
              <w:t>第一类用地</w:t>
            </w:r>
          </w:p>
        </w:tc>
        <w:tc>
          <w:tcPr>
            <w:tcW w:w="2744" w:type="dxa"/>
            <w:gridSpan w:val="2"/>
            <w:tcBorders>
              <w:top w:val="thinThickSmallGap" w:color="auto" w:sz="12" w:space="0"/>
              <w:bottom w:val="single" w:color="auto" w:sz="6" w:space="0"/>
            </w:tcBorders>
            <w:shd w:val="clear" w:color="auto" w:fill="DDDDDD"/>
            <w:noWrap w:val="0"/>
            <w:vAlign w:val="center"/>
          </w:tcPr>
          <w:p w14:paraId="572D5578">
            <w:pPr>
              <w:spacing w:line="240" w:lineRule="exact"/>
              <w:jc w:val="center"/>
              <w:rPr>
                <w:rFonts w:ascii="Times New Roman" w:hAnsi="Times New Roman" w:cs="Times New Roman"/>
                <w:sz w:val="21"/>
                <w:szCs w:val="21"/>
              </w:rPr>
            </w:pPr>
            <w:r>
              <w:rPr>
                <w:rFonts w:ascii="Times New Roman" w:hAnsi="Times New Roman" w:cs="Times New Roman"/>
                <w:sz w:val="21"/>
                <w:szCs w:val="21"/>
              </w:rPr>
              <w:t>第二类用地</w:t>
            </w:r>
          </w:p>
        </w:tc>
      </w:tr>
      <w:tr w14:paraId="3FD95675">
        <w:tblPrEx>
          <w:tblBorders>
            <w:top w:val="thinThickSmallGap" w:color="auto" w:sz="12" w:space="0"/>
            <w:left w:val="none" w:color="auto" w:sz="0" w:space="0"/>
            <w:bottom w:val="thickThinSmallGap"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88" w:hRule="atLeast"/>
          <w:tblHeader/>
          <w:jc w:val="center"/>
        </w:trPr>
        <w:tc>
          <w:tcPr>
            <w:tcW w:w="3028" w:type="dxa"/>
            <w:gridSpan w:val="2"/>
            <w:vMerge w:val="continue"/>
            <w:tcBorders>
              <w:top w:val="single" w:color="auto" w:sz="6" w:space="0"/>
              <w:bottom w:val="single" w:color="auto" w:sz="6" w:space="0"/>
            </w:tcBorders>
            <w:shd w:val="clear" w:color="auto" w:fill="DDDDDD"/>
            <w:noWrap w:val="0"/>
            <w:vAlign w:val="center"/>
          </w:tcPr>
          <w:p w14:paraId="0B614BF4">
            <w:pPr>
              <w:jc w:val="center"/>
              <w:rPr>
                <w:rFonts w:ascii="Times New Roman" w:hAnsi="Times New Roman" w:cs="Times New Roman"/>
                <w:sz w:val="21"/>
                <w:szCs w:val="21"/>
              </w:rPr>
            </w:pPr>
          </w:p>
        </w:tc>
        <w:tc>
          <w:tcPr>
            <w:tcW w:w="1420" w:type="dxa"/>
            <w:tcBorders>
              <w:top w:val="single" w:color="auto" w:sz="6" w:space="0"/>
              <w:bottom w:val="single" w:color="auto" w:sz="6" w:space="0"/>
            </w:tcBorders>
            <w:shd w:val="clear" w:color="auto" w:fill="DDDDDD"/>
            <w:noWrap w:val="0"/>
            <w:vAlign w:val="center"/>
          </w:tcPr>
          <w:p w14:paraId="6651BBB5">
            <w:pPr>
              <w:spacing w:line="240" w:lineRule="exact"/>
              <w:jc w:val="center"/>
              <w:rPr>
                <w:rFonts w:ascii="Times New Roman" w:hAnsi="Times New Roman" w:cs="Times New Roman"/>
                <w:sz w:val="21"/>
                <w:szCs w:val="21"/>
              </w:rPr>
            </w:pPr>
            <w:r>
              <w:rPr>
                <w:rFonts w:ascii="Times New Roman" w:hAnsi="Times New Roman" w:cs="Times New Roman"/>
                <w:sz w:val="21"/>
                <w:szCs w:val="21"/>
              </w:rPr>
              <w:t>筛选值</w:t>
            </w:r>
          </w:p>
        </w:tc>
        <w:tc>
          <w:tcPr>
            <w:tcW w:w="1420" w:type="dxa"/>
            <w:tcBorders>
              <w:top w:val="single" w:color="auto" w:sz="6" w:space="0"/>
              <w:bottom w:val="single" w:color="auto" w:sz="6" w:space="0"/>
            </w:tcBorders>
            <w:shd w:val="clear" w:color="auto" w:fill="DDDDDD"/>
            <w:noWrap w:val="0"/>
            <w:vAlign w:val="center"/>
          </w:tcPr>
          <w:p w14:paraId="627E8B51">
            <w:pPr>
              <w:spacing w:line="240" w:lineRule="exact"/>
              <w:jc w:val="center"/>
              <w:rPr>
                <w:rFonts w:ascii="Times New Roman" w:hAnsi="Times New Roman" w:cs="Times New Roman"/>
                <w:sz w:val="21"/>
                <w:szCs w:val="21"/>
              </w:rPr>
            </w:pPr>
            <w:r>
              <w:rPr>
                <w:rFonts w:ascii="Times New Roman" w:hAnsi="Times New Roman" w:cs="Times New Roman"/>
                <w:sz w:val="21"/>
                <w:szCs w:val="21"/>
              </w:rPr>
              <w:t>管制值</w:t>
            </w:r>
          </w:p>
        </w:tc>
        <w:tc>
          <w:tcPr>
            <w:tcW w:w="1420" w:type="dxa"/>
            <w:tcBorders>
              <w:top w:val="single" w:color="auto" w:sz="6" w:space="0"/>
              <w:bottom w:val="single" w:color="auto" w:sz="6" w:space="0"/>
            </w:tcBorders>
            <w:shd w:val="clear" w:color="auto" w:fill="DDDDDD"/>
            <w:noWrap w:val="0"/>
            <w:vAlign w:val="center"/>
          </w:tcPr>
          <w:p w14:paraId="6796009D">
            <w:pPr>
              <w:spacing w:line="240" w:lineRule="exact"/>
              <w:jc w:val="center"/>
              <w:rPr>
                <w:rFonts w:ascii="Times New Roman" w:hAnsi="Times New Roman" w:cs="Times New Roman"/>
                <w:sz w:val="21"/>
                <w:szCs w:val="21"/>
              </w:rPr>
            </w:pPr>
            <w:r>
              <w:rPr>
                <w:rFonts w:ascii="Times New Roman" w:hAnsi="Times New Roman" w:cs="Times New Roman"/>
                <w:sz w:val="21"/>
                <w:szCs w:val="21"/>
              </w:rPr>
              <w:t>筛选值</w:t>
            </w:r>
          </w:p>
        </w:tc>
        <w:tc>
          <w:tcPr>
            <w:tcW w:w="1324" w:type="dxa"/>
            <w:tcBorders>
              <w:top w:val="single" w:color="auto" w:sz="6" w:space="0"/>
              <w:bottom w:val="single" w:color="auto" w:sz="6" w:space="0"/>
            </w:tcBorders>
            <w:shd w:val="clear" w:color="auto" w:fill="DDDDDD"/>
            <w:noWrap w:val="0"/>
            <w:vAlign w:val="center"/>
          </w:tcPr>
          <w:p w14:paraId="07247B85">
            <w:pPr>
              <w:spacing w:line="240" w:lineRule="exact"/>
              <w:jc w:val="center"/>
              <w:rPr>
                <w:rFonts w:ascii="Times New Roman" w:hAnsi="Times New Roman" w:cs="Times New Roman"/>
                <w:sz w:val="21"/>
                <w:szCs w:val="21"/>
              </w:rPr>
            </w:pPr>
            <w:r>
              <w:rPr>
                <w:rFonts w:ascii="Times New Roman" w:hAnsi="Times New Roman" w:cs="Times New Roman"/>
                <w:sz w:val="21"/>
                <w:szCs w:val="21"/>
              </w:rPr>
              <w:t>管制值</w:t>
            </w:r>
          </w:p>
        </w:tc>
      </w:tr>
      <w:tr w14:paraId="50F3B8DD">
        <w:tblPrEx>
          <w:tblBorders>
            <w:top w:val="thinThickSmallGap" w:color="auto" w:sz="12" w:space="0"/>
            <w:left w:val="none" w:color="auto" w:sz="0" w:space="0"/>
            <w:bottom w:val="thickThinSmallGap"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88" w:hRule="atLeast"/>
          <w:jc w:val="center"/>
        </w:trPr>
        <w:tc>
          <w:tcPr>
            <w:tcW w:w="8612" w:type="dxa"/>
            <w:gridSpan w:val="6"/>
            <w:tcBorders>
              <w:top w:val="single" w:color="auto" w:sz="6" w:space="0"/>
            </w:tcBorders>
            <w:noWrap w:val="0"/>
            <w:vAlign w:val="center"/>
          </w:tcPr>
          <w:p w14:paraId="18396332">
            <w:pPr>
              <w:spacing w:line="240" w:lineRule="exact"/>
              <w:jc w:val="center"/>
              <w:rPr>
                <w:rFonts w:ascii="Times New Roman" w:hAnsi="Times New Roman" w:cs="Times New Roman"/>
                <w:sz w:val="21"/>
                <w:szCs w:val="21"/>
              </w:rPr>
            </w:pPr>
            <w:r>
              <w:rPr>
                <w:rFonts w:ascii="Times New Roman" w:hAnsi="Times New Roman" w:cs="Times New Roman"/>
                <w:sz w:val="21"/>
                <w:szCs w:val="21"/>
              </w:rPr>
              <w:t>重金属和无机物</w:t>
            </w:r>
          </w:p>
        </w:tc>
      </w:tr>
      <w:tr w14:paraId="2DFA212B">
        <w:tblPrEx>
          <w:tblBorders>
            <w:top w:val="thinThickSmallGap" w:color="auto" w:sz="12" w:space="0"/>
            <w:left w:val="none" w:color="auto" w:sz="0" w:space="0"/>
            <w:bottom w:val="thickThinSmallGap"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88" w:hRule="atLeast"/>
          <w:jc w:val="center"/>
        </w:trPr>
        <w:tc>
          <w:tcPr>
            <w:tcW w:w="756" w:type="dxa"/>
            <w:tcBorders>
              <w:top w:val="single" w:color="auto" w:sz="6" w:space="0"/>
            </w:tcBorders>
            <w:noWrap w:val="0"/>
            <w:vAlign w:val="center"/>
          </w:tcPr>
          <w:p w14:paraId="484A2025">
            <w:pPr>
              <w:jc w:val="center"/>
              <w:rPr>
                <w:rFonts w:ascii="Times New Roman" w:hAnsi="Times New Roman" w:cs="Times New Roman"/>
                <w:sz w:val="21"/>
                <w:szCs w:val="21"/>
              </w:rPr>
            </w:pPr>
            <w:r>
              <w:rPr>
                <w:rFonts w:ascii="Times New Roman" w:hAnsi="Times New Roman" w:cs="Times New Roman"/>
                <w:sz w:val="21"/>
                <w:szCs w:val="21"/>
              </w:rPr>
              <w:t>1</w:t>
            </w:r>
          </w:p>
        </w:tc>
        <w:tc>
          <w:tcPr>
            <w:tcW w:w="2272" w:type="dxa"/>
            <w:tcBorders>
              <w:top w:val="single" w:color="auto" w:sz="6" w:space="0"/>
            </w:tcBorders>
            <w:noWrap w:val="0"/>
            <w:vAlign w:val="center"/>
          </w:tcPr>
          <w:p w14:paraId="31254184">
            <w:pPr>
              <w:jc w:val="center"/>
              <w:rPr>
                <w:rFonts w:ascii="Times New Roman" w:hAnsi="Times New Roman" w:cs="Times New Roman"/>
                <w:sz w:val="21"/>
                <w:szCs w:val="21"/>
              </w:rPr>
            </w:pPr>
            <w:r>
              <w:rPr>
                <w:rFonts w:ascii="Times New Roman" w:hAnsi="Times New Roman" w:cs="Times New Roman"/>
                <w:sz w:val="21"/>
                <w:szCs w:val="21"/>
              </w:rPr>
              <w:t>砷</w:t>
            </w:r>
          </w:p>
        </w:tc>
        <w:tc>
          <w:tcPr>
            <w:tcW w:w="1420" w:type="dxa"/>
            <w:tcBorders>
              <w:top w:val="single" w:color="auto" w:sz="6" w:space="0"/>
            </w:tcBorders>
            <w:noWrap w:val="0"/>
            <w:vAlign w:val="center"/>
          </w:tcPr>
          <w:p w14:paraId="1D9D4F5D">
            <w:pPr>
              <w:spacing w:line="240" w:lineRule="exact"/>
              <w:jc w:val="center"/>
              <w:rPr>
                <w:rFonts w:ascii="Times New Roman" w:hAnsi="Times New Roman" w:cs="Times New Roman"/>
                <w:sz w:val="21"/>
                <w:szCs w:val="21"/>
              </w:rPr>
            </w:pPr>
            <w:r>
              <w:rPr>
                <w:rFonts w:ascii="Times New Roman" w:hAnsi="Times New Roman" w:cs="Times New Roman"/>
                <w:sz w:val="21"/>
                <w:szCs w:val="21"/>
              </w:rPr>
              <w:t>20</w:t>
            </w:r>
          </w:p>
        </w:tc>
        <w:tc>
          <w:tcPr>
            <w:tcW w:w="1420" w:type="dxa"/>
            <w:tcBorders>
              <w:top w:val="single" w:color="auto" w:sz="6" w:space="0"/>
            </w:tcBorders>
            <w:noWrap w:val="0"/>
            <w:vAlign w:val="center"/>
          </w:tcPr>
          <w:p w14:paraId="53EF34E8">
            <w:pPr>
              <w:spacing w:line="240" w:lineRule="exact"/>
              <w:jc w:val="center"/>
              <w:rPr>
                <w:rFonts w:ascii="Times New Roman" w:hAnsi="Times New Roman" w:cs="Times New Roman"/>
                <w:sz w:val="21"/>
                <w:szCs w:val="21"/>
              </w:rPr>
            </w:pPr>
            <w:r>
              <w:rPr>
                <w:rFonts w:ascii="Times New Roman" w:hAnsi="Times New Roman" w:cs="Times New Roman"/>
                <w:sz w:val="21"/>
                <w:szCs w:val="21"/>
              </w:rPr>
              <w:t>120</w:t>
            </w:r>
          </w:p>
        </w:tc>
        <w:tc>
          <w:tcPr>
            <w:tcW w:w="1420" w:type="dxa"/>
            <w:tcBorders>
              <w:top w:val="single" w:color="auto" w:sz="6" w:space="0"/>
            </w:tcBorders>
            <w:noWrap w:val="0"/>
            <w:vAlign w:val="center"/>
          </w:tcPr>
          <w:p w14:paraId="112E4E11">
            <w:pPr>
              <w:spacing w:line="240" w:lineRule="exact"/>
              <w:jc w:val="center"/>
              <w:rPr>
                <w:rFonts w:ascii="Times New Roman" w:hAnsi="Times New Roman" w:cs="Times New Roman"/>
                <w:sz w:val="21"/>
                <w:szCs w:val="21"/>
              </w:rPr>
            </w:pPr>
            <w:r>
              <w:rPr>
                <w:rFonts w:ascii="Times New Roman" w:hAnsi="Times New Roman" w:cs="Times New Roman"/>
                <w:sz w:val="21"/>
                <w:szCs w:val="21"/>
              </w:rPr>
              <w:t>60</w:t>
            </w:r>
          </w:p>
        </w:tc>
        <w:tc>
          <w:tcPr>
            <w:tcW w:w="1324" w:type="dxa"/>
            <w:tcBorders>
              <w:top w:val="single" w:color="auto" w:sz="6" w:space="0"/>
            </w:tcBorders>
            <w:noWrap w:val="0"/>
            <w:vAlign w:val="center"/>
          </w:tcPr>
          <w:p w14:paraId="7920A3D9">
            <w:pPr>
              <w:spacing w:line="240" w:lineRule="exact"/>
              <w:jc w:val="center"/>
              <w:rPr>
                <w:rFonts w:ascii="Times New Roman" w:hAnsi="Times New Roman" w:cs="Times New Roman"/>
                <w:sz w:val="21"/>
                <w:szCs w:val="21"/>
              </w:rPr>
            </w:pPr>
            <w:r>
              <w:rPr>
                <w:rFonts w:ascii="Times New Roman" w:hAnsi="Times New Roman" w:cs="Times New Roman"/>
                <w:sz w:val="21"/>
                <w:szCs w:val="21"/>
              </w:rPr>
              <w:t>140</w:t>
            </w:r>
          </w:p>
        </w:tc>
      </w:tr>
      <w:tr w14:paraId="03B921F0">
        <w:tblPrEx>
          <w:tblBorders>
            <w:top w:val="thinThickSmallGap" w:color="auto" w:sz="12" w:space="0"/>
            <w:left w:val="none" w:color="auto" w:sz="0" w:space="0"/>
            <w:bottom w:val="thickThinSmallGap"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88" w:hRule="atLeast"/>
          <w:jc w:val="center"/>
        </w:trPr>
        <w:tc>
          <w:tcPr>
            <w:tcW w:w="756" w:type="dxa"/>
            <w:noWrap w:val="0"/>
            <w:vAlign w:val="center"/>
          </w:tcPr>
          <w:p w14:paraId="1FD9A037">
            <w:pPr>
              <w:jc w:val="center"/>
              <w:rPr>
                <w:rFonts w:ascii="Times New Roman" w:hAnsi="Times New Roman" w:cs="Times New Roman"/>
                <w:sz w:val="21"/>
                <w:szCs w:val="21"/>
              </w:rPr>
            </w:pPr>
            <w:r>
              <w:rPr>
                <w:rFonts w:ascii="Times New Roman" w:hAnsi="Times New Roman" w:cs="Times New Roman"/>
                <w:sz w:val="21"/>
                <w:szCs w:val="21"/>
              </w:rPr>
              <w:t>2</w:t>
            </w:r>
          </w:p>
        </w:tc>
        <w:tc>
          <w:tcPr>
            <w:tcW w:w="2272" w:type="dxa"/>
            <w:noWrap w:val="0"/>
            <w:vAlign w:val="center"/>
          </w:tcPr>
          <w:p w14:paraId="2C1C7507">
            <w:pPr>
              <w:jc w:val="center"/>
              <w:rPr>
                <w:rFonts w:ascii="Times New Roman" w:hAnsi="Times New Roman" w:cs="Times New Roman"/>
                <w:sz w:val="21"/>
                <w:szCs w:val="21"/>
              </w:rPr>
            </w:pPr>
            <w:r>
              <w:rPr>
                <w:rFonts w:ascii="Times New Roman" w:hAnsi="Times New Roman" w:cs="Times New Roman"/>
                <w:sz w:val="21"/>
                <w:szCs w:val="21"/>
              </w:rPr>
              <w:t>镉</w:t>
            </w:r>
          </w:p>
        </w:tc>
        <w:tc>
          <w:tcPr>
            <w:tcW w:w="1420" w:type="dxa"/>
            <w:noWrap w:val="0"/>
            <w:vAlign w:val="center"/>
          </w:tcPr>
          <w:p w14:paraId="4925961B">
            <w:pPr>
              <w:spacing w:line="240" w:lineRule="exact"/>
              <w:jc w:val="center"/>
              <w:rPr>
                <w:rFonts w:ascii="Times New Roman" w:hAnsi="Times New Roman" w:cs="Times New Roman"/>
                <w:sz w:val="21"/>
                <w:szCs w:val="21"/>
              </w:rPr>
            </w:pPr>
            <w:r>
              <w:rPr>
                <w:rFonts w:ascii="Times New Roman" w:hAnsi="Times New Roman" w:cs="Times New Roman"/>
                <w:sz w:val="21"/>
                <w:szCs w:val="21"/>
              </w:rPr>
              <w:t>20</w:t>
            </w:r>
          </w:p>
        </w:tc>
        <w:tc>
          <w:tcPr>
            <w:tcW w:w="1420" w:type="dxa"/>
            <w:noWrap w:val="0"/>
            <w:vAlign w:val="center"/>
          </w:tcPr>
          <w:p w14:paraId="03D977F8">
            <w:pPr>
              <w:spacing w:line="240" w:lineRule="exact"/>
              <w:jc w:val="center"/>
              <w:rPr>
                <w:rFonts w:ascii="Times New Roman" w:hAnsi="Times New Roman" w:cs="Times New Roman"/>
                <w:sz w:val="21"/>
                <w:szCs w:val="21"/>
              </w:rPr>
            </w:pPr>
            <w:r>
              <w:rPr>
                <w:rFonts w:ascii="Times New Roman" w:hAnsi="Times New Roman" w:cs="Times New Roman"/>
                <w:sz w:val="21"/>
                <w:szCs w:val="21"/>
              </w:rPr>
              <w:t>47</w:t>
            </w:r>
          </w:p>
        </w:tc>
        <w:tc>
          <w:tcPr>
            <w:tcW w:w="1420" w:type="dxa"/>
            <w:noWrap w:val="0"/>
            <w:vAlign w:val="center"/>
          </w:tcPr>
          <w:p w14:paraId="41C666E0">
            <w:pPr>
              <w:spacing w:line="240" w:lineRule="exact"/>
              <w:jc w:val="center"/>
              <w:rPr>
                <w:rFonts w:ascii="Times New Roman" w:hAnsi="Times New Roman" w:cs="Times New Roman"/>
                <w:sz w:val="21"/>
                <w:szCs w:val="21"/>
              </w:rPr>
            </w:pPr>
            <w:r>
              <w:rPr>
                <w:rFonts w:ascii="Times New Roman" w:hAnsi="Times New Roman" w:cs="Times New Roman"/>
                <w:sz w:val="21"/>
                <w:szCs w:val="21"/>
              </w:rPr>
              <w:t>65</w:t>
            </w:r>
          </w:p>
        </w:tc>
        <w:tc>
          <w:tcPr>
            <w:tcW w:w="1324" w:type="dxa"/>
            <w:noWrap w:val="0"/>
            <w:vAlign w:val="center"/>
          </w:tcPr>
          <w:p w14:paraId="4787B024">
            <w:pPr>
              <w:spacing w:line="240" w:lineRule="exact"/>
              <w:jc w:val="center"/>
              <w:rPr>
                <w:rFonts w:ascii="Times New Roman" w:hAnsi="Times New Roman" w:cs="Times New Roman"/>
                <w:sz w:val="21"/>
                <w:szCs w:val="21"/>
              </w:rPr>
            </w:pPr>
            <w:r>
              <w:rPr>
                <w:rFonts w:ascii="Times New Roman" w:hAnsi="Times New Roman" w:cs="Times New Roman"/>
                <w:sz w:val="21"/>
                <w:szCs w:val="21"/>
              </w:rPr>
              <w:t>172</w:t>
            </w:r>
          </w:p>
        </w:tc>
      </w:tr>
      <w:tr w14:paraId="1AFEFE3E">
        <w:tblPrEx>
          <w:tblBorders>
            <w:top w:val="thinThickSmallGap" w:color="auto" w:sz="12" w:space="0"/>
            <w:left w:val="none" w:color="auto" w:sz="0" w:space="0"/>
            <w:bottom w:val="thickThinSmallGap"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88" w:hRule="atLeast"/>
          <w:jc w:val="center"/>
        </w:trPr>
        <w:tc>
          <w:tcPr>
            <w:tcW w:w="756" w:type="dxa"/>
            <w:noWrap w:val="0"/>
            <w:vAlign w:val="center"/>
          </w:tcPr>
          <w:p w14:paraId="06745512">
            <w:pPr>
              <w:jc w:val="center"/>
              <w:rPr>
                <w:rFonts w:ascii="Times New Roman" w:hAnsi="Times New Roman" w:cs="Times New Roman"/>
                <w:sz w:val="21"/>
                <w:szCs w:val="21"/>
              </w:rPr>
            </w:pPr>
            <w:r>
              <w:rPr>
                <w:rFonts w:ascii="Times New Roman" w:hAnsi="Times New Roman" w:cs="Times New Roman"/>
                <w:sz w:val="21"/>
                <w:szCs w:val="21"/>
              </w:rPr>
              <w:t>3</w:t>
            </w:r>
          </w:p>
        </w:tc>
        <w:tc>
          <w:tcPr>
            <w:tcW w:w="2272" w:type="dxa"/>
            <w:noWrap w:val="0"/>
            <w:vAlign w:val="center"/>
          </w:tcPr>
          <w:p w14:paraId="0F60EF6D">
            <w:pPr>
              <w:jc w:val="center"/>
              <w:rPr>
                <w:rFonts w:ascii="Times New Roman" w:hAnsi="Times New Roman" w:cs="Times New Roman"/>
                <w:sz w:val="21"/>
                <w:szCs w:val="21"/>
              </w:rPr>
            </w:pPr>
            <w:r>
              <w:rPr>
                <w:rFonts w:ascii="Times New Roman" w:hAnsi="Times New Roman" w:cs="Times New Roman"/>
                <w:sz w:val="21"/>
                <w:szCs w:val="21"/>
              </w:rPr>
              <w:t>六价铬</w:t>
            </w:r>
          </w:p>
        </w:tc>
        <w:tc>
          <w:tcPr>
            <w:tcW w:w="1420" w:type="dxa"/>
            <w:noWrap w:val="0"/>
            <w:vAlign w:val="center"/>
          </w:tcPr>
          <w:p w14:paraId="5B78A12B">
            <w:pPr>
              <w:spacing w:line="240" w:lineRule="exact"/>
              <w:jc w:val="center"/>
              <w:rPr>
                <w:rFonts w:ascii="Times New Roman" w:hAnsi="Times New Roman" w:cs="Times New Roman"/>
                <w:sz w:val="21"/>
                <w:szCs w:val="21"/>
              </w:rPr>
            </w:pPr>
            <w:r>
              <w:rPr>
                <w:rFonts w:ascii="Times New Roman" w:hAnsi="Times New Roman" w:cs="Times New Roman"/>
                <w:sz w:val="21"/>
                <w:szCs w:val="21"/>
              </w:rPr>
              <w:t>3.0</w:t>
            </w:r>
          </w:p>
        </w:tc>
        <w:tc>
          <w:tcPr>
            <w:tcW w:w="1420" w:type="dxa"/>
            <w:noWrap w:val="0"/>
            <w:vAlign w:val="center"/>
          </w:tcPr>
          <w:p w14:paraId="5B807343">
            <w:pPr>
              <w:spacing w:line="240" w:lineRule="exact"/>
              <w:jc w:val="center"/>
              <w:rPr>
                <w:rFonts w:ascii="Times New Roman" w:hAnsi="Times New Roman" w:cs="Times New Roman"/>
                <w:sz w:val="21"/>
                <w:szCs w:val="21"/>
              </w:rPr>
            </w:pPr>
            <w:r>
              <w:rPr>
                <w:rFonts w:ascii="Times New Roman" w:hAnsi="Times New Roman" w:cs="Times New Roman"/>
                <w:sz w:val="21"/>
                <w:szCs w:val="21"/>
              </w:rPr>
              <w:t>30</w:t>
            </w:r>
          </w:p>
        </w:tc>
        <w:tc>
          <w:tcPr>
            <w:tcW w:w="1420" w:type="dxa"/>
            <w:noWrap w:val="0"/>
            <w:vAlign w:val="center"/>
          </w:tcPr>
          <w:p w14:paraId="5EBC0ACF">
            <w:pPr>
              <w:spacing w:line="240" w:lineRule="exact"/>
              <w:jc w:val="center"/>
              <w:rPr>
                <w:rFonts w:ascii="Times New Roman" w:hAnsi="Times New Roman" w:cs="Times New Roman"/>
                <w:sz w:val="21"/>
                <w:szCs w:val="21"/>
              </w:rPr>
            </w:pPr>
            <w:r>
              <w:rPr>
                <w:rFonts w:ascii="Times New Roman" w:hAnsi="Times New Roman" w:cs="Times New Roman"/>
                <w:sz w:val="21"/>
                <w:szCs w:val="21"/>
              </w:rPr>
              <w:t>5.7</w:t>
            </w:r>
          </w:p>
        </w:tc>
        <w:tc>
          <w:tcPr>
            <w:tcW w:w="1324" w:type="dxa"/>
            <w:noWrap w:val="0"/>
            <w:vAlign w:val="center"/>
          </w:tcPr>
          <w:p w14:paraId="1AAA00F8">
            <w:pPr>
              <w:spacing w:line="240" w:lineRule="exact"/>
              <w:jc w:val="center"/>
              <w:rPr>
                <w:rFonts w:ascii="Times New Roman" w:hAnsi="Times New Roman" w:cs="Times New Roman"/>
                <w:sz w:val="21"/>
                <w:szCs w:val="21"/>
              </w:rPr>
            </w:pPr>
            <w:r>
              <w:rPr>
                <w:rFonts w:ascii="Times New Roman" w:hAnsi="Times New Roman" w:cs="Times New Roman"/>
                <w:sz w:val="21"/>
                <w:szCs w:val="21"/>
              </w:rPr>
              <w:t>78</w:t>
            </w:r>
          </w:p>
        </w:tc>
      </w:tr>
      <w:tr w14:paraId="2AAB4039">
        <w:tblPrEx>
          <w:tblBorders>
            <w:top w:val="thinThickSmallGap" w:color="auto" w:sz="12" w:space="0"/>
            <w:left w:val="none" w:color="auto" w:sz="0" w:space="0"/>
            <w:bottom w:val="thickThinSmallGap"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88" w:hRule="atLeast"/>
          <w:jc w:val="center"/>
        </w:trPr>
        <w:tc>
          <w:tcPr>
            <w:tcW w:w="756" w:type="dxa"/>
            <w:noWrap w:val="0"/>
            <w:vAlign w:val="center"/>
          </w:tcPr>
          <w:p w14:paraId="2C83DF81">
            <w:pPr>
              <w:jc w:val="center"/>
              <w:rPr>
                <w:rFonts w:ascii="Times New Roman" w:hAnsi="Times New Roman" w:cs="Times New Roman"/>
                <w:sz w:val="21"/>
                <w:szCs w:val="21"/>
              </w:rPr>
            </w:pPr>
            <w:r>
              <w:rPr>
                <w:rFonts w:ascii="Times New Roman" w:hAnsi="Times New Roman" w:cs="Times New Roman"/>
                <w:sz w:val="21"/>
                <w:szCs w:val="21"/>
              </w:rPr>
              <w:t>4</w:t>
            </w:r>
          </w:p>
        </w:tc>
        <w:tc>
          <w:tcPr>
            <w:tcW w:w="2272" w:type="dxa"/>
            <w:noWrap w:val="0"/>
            <w:vAlign w:val="center"/>
          </w:tcPr>
          <w:p w14:paraId="0678BCB9">
            <w:pPr>
              <w:jc w:val="center"/>
              <w:rPr>
                <w:rFonts w:ascii="Times New Roman" w:hAnsi="Times New Roman" w:cs="Times New Roman"/>
                <w:sz w:val="21"/>
                <w:szCs w:val="21"/>
              </w:rPr>
            </w:pPr>
            <w:r>
              <w:rPr>
                <w:rFonts w:ascii="Times New Roman" w:hAnsi="Times New Roman" w:cs="Times New Roman"/>
                <w:sz w:val="21"/>
                <w:szCs w:val="21"/>
              </w:rPr>
              <w:t>铜</w:t>
            </w:r>
          </w:p>
        </w:tc>
        <w:tc>
          <w:tcPr>
            <w:tcW w:w="1420" w:type="dxa"/>
            <w:noWrap w:val="0"/>
            <w:vAlign w:val="center"/>
          </w:tcPr>
          <w:p w14:paraId="13A8F9ED">
            <w:pPr>
              <w:spacing w:line="240" w:lineRule="exact"/>
              <w:jc w:val="center"/>
              <w:rPr>
                <w:rFonts w:ascii="Times New Roman" w:hAnsi="Times New Roman" w:cs="Times New Roman"/>
                <w:sz w:val="21"/>
                <w:szCs w:val="21"/>
              </w:rPr>
            </w:pPr>
            <w:r>
              <w:rPr>
                <w:rFonts w:ascii="Times New Roman" w:hAnsi="Times New Roman" w:cs="Times New Roman"/>
                <w:sz w:val="21"/>
                <w:szCs w:val="21"/>
              </w:rPr>
              <w:t>2000</w:t>
            </w:r>
          </w:p>
        </w:tc>
        <w:tc>
          <w:tcPr>
            <w:tcW w:w="1420" w:type="dxa"/>
            <w:noWrap w:val="0"/>
            <w:vAlign w:val="center"/>
          </w:tcPr>
          <w:p w14:paraId="7B5399E1">
            <w:pPr>
              <w:spacing w:line="240" w:lineRule="exact"/>
              <w:jc w:val="center"/>
              <w:rPr>
                <w:rFonts w:ascii="Times New Roman" w:hAnsi="Times New Roman" w:cs="Times New Roman"/>
                <w:sz w:val="21"/>
                <w:szCs w:val="21"/>
              </w:rPr>
            </w:pPr>
            <w:r>
              <w:rPr>
                <w:rFonts w:ascii="Times New Roman" w:hAnsi="Times New Roman" w:cs="Times New Roman"/>
                <w:sz w:val="21"/>
                <w:szCs w:val="21"/>
              </w:rPr>
              <w:t>8000</w:t>
            </w:r>
          </w:p>
        </w:tc>
        <w:tc>
          <w:tcPr>
            <w:tcW w:w="1420" w:type="dxa"/>
            <w:noWrap w:val="0"/>
            <w:vAlign w:val="center"/>
          </w:tcPr>
          <w:p w14:paraId="288DAF35">
            <w:pPr>
              <w:spacing w:line="240" w:lineRule="exact"/>
              <w:jc w:val="center"/>
              <w:rPr>
                <w:rFonts w:ascii="Times New Roman" w:hAnsi="Times New Roman" w:cs="Times New Roman"/>
                <w:sz w:val="21"/>
                <w:szCs w:val="21"/>
              </w:rPr>
            </w:pPr>
            <w:r>
              <w:rPr>
                <w:rFonts w:ascii="Times New Roman" w:hAnsi="Times New Roman" w:cs="Times New Roman"/>
                <w:sz w:val="21"/>
                <w:szCs w:val="21"/>
              </w:rPr>
              <w:t>18000</w:t>
            </w:r>
          </w:p>
        </w:tc>
        <w:tc>
          <w:tcPr>
            <w:tcW w:w="1324" w:type="dxa"/>
            <w:noWrap w:val="0"/>
            <w:vAlign w:val="center"/>
          </w:tcPr>
          <w:p w14:paraId="748A8878">
            <w:pPr>
              <w:spacing w:line="240" w:lineRule="exact"/>
              <w:jc w:val="center"/>
              <w:rPr>
                <w:rFonts w:ascii="Times New Roman" w:hAnsi="Times New Roman" w:cs="Times New Roman"/>
                <w:sz w:val="21"/>
                <w:szCs w:val="21"/>
              </w:rPr>
            </w:pPr>
            <w:r>
              <w:rPr>
                <w:rFonts w:ascii="Times New Roman" w:hAnsi="Times New Roman" w:cs="Times New Roman"/>
                <w:sz w:val="21"/>
                <w:szCs w:val="21"/>
              </w:rPr>
              <w:t>36000</w:t>
            </w:r>
          </w:p>
        </w:tc>
      </w:tr>
      <w:tr w14:paraId="16C60B89">
        <w:tblPrEx>
          <w:tblBorders>
            <w:top w:val="thinThickSmallGap" w:color="auto" w:sz="12" w:space="0"/>
            <w:left w:val="none" w:color="auto" w:sz="0" w:space="0"/>
            <w:bottom w:val="thickThinSmallGap"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88" w:hRule="atLeast"/>
          <w:jc w:val="center"/>
        </w:trPr>
        <w:tc>
          <w:tcPr>
            <w:tcW w:w="756" w:type="dxa"/>
            <w:noWrap w:val="0"/>
            <w:vAlign w:val="center"/>
          </w:tcPr>
          <w:p w14:paraId="54D2EDCC">
            <w:pPr>
              <w:jc w:val="center"/>
              <w:rPr>
                <w:rFonts w:ascii="Times New Roman" w:hAnsi="Times New Roman" w:cs="Times New Roman"/>
                <w:sz w:val="21"/>
                <w:szCs w:val="21"/>
              </w:rPr>
            </w:pPr>
            <w:r>
              <w:rPr>
                <w:rFonts w:ascii="Times New Roman" w:hAnsi="Times New Roman" w:cs="Times New Roman"/>
                <w:sz w:val="21"/>
                <w:szCs w:val="21"/>
              </w:rPr>
              <w:t>5</w:t>
            </w:r>
          </w:p>
        </w:tc>
        <w:tc>
          <w:tcPr>
            <w:tcW w:w="2272" w:type="dxa"/>
            <w:noWrap w:val="0"/>
            <w:vAlign w:val="center"/>
          </w:tcPr>
          <w:p w14:paraId="40AEA262">
            <w:pPr>
              <w:jc w:val="center"/>
              <w:rPr>
                <w:rFonts w:ascii="Times New Roman" w:hAnsi="Times New Roman" w:cs="Times New Roman"/>
                <w:sz w:val="21"/>
                <w:szCs w:val="21"/>
              </w:rPr>
            </w:pPr>
            <w:r>
              <w:rPr>
                <w:rFonts w:ascii="Times New Roman" w:hAnsi="Times New Roman" w:cs="Times New Roman"/>
                <w:sz w:val="21"/>
                <w:szCs w:val="21"/>
              </w:rPr>
              <w:t>铅</w:t>
            </w:r>
          </w:p>
        </w:tc>
        <w:tc>
          <w:tcPr>
            <w:tcW w:w="1420" w:type="dxa"/>
            <w:noWrap w:val="0"/>
            <w:vAlign w:val="center"/>
          </w:tcPr>
          <w:p w14:paraId="5561AF13">
            <w:pPr>
              <w:spacing w:line="240" w:lineRule="exact"/>
              <w:jc w:val="center"/>
              <w:rPr>
                <w:rFonts w:ascii="Times New Roman" w:hAnsi="Times New Roman" w:cs="Times New Roman"/>
                <w:sz w:val="21"/>
                <w:szCs w:val="21"/>
              </w:rPr>
            </w:pPr>
            <w:r>
              <w:rPr>
                <w:rFonts w:ascii="Times New Roman" w:hAnsi="Times New Roman" w:cs="Times New Roman"/>
                <w:sz w:val="21"/>
                <w:szCs w:val="21"/>
              </w:rPr>
              <w:t>400</w:t>
            </w:r>
          </w:p>
        </w:tc>
        <w:tc>
          <w:tcPr>
            <w:tcW w:w="1420" w:type="dxa"/>
            <w:noWrap w:val="0"/>
            <w:vAlign w:val="center"/>
          </w:tcPr>
          <w:p w14:paraId="627D039F">
            <w:pPr>
              <w:spacing w:line="240" w:lineRule="exact"/>
              <w:jc w:val="center"/>
              <w:rPr>
                <w:rFonts w:ascii="Times New Roman" w:hAnsi="Times New Roman" w:cs="Times New Roman"/>
                <w:sz w:val="21"/>
                <w:szCs w:val="21"/>
              </w:rPr>
            </w:pPr>
            <w:r>
              <w:rPr>
                <w:rFonts w:ascii="Times New Roman" w:hAnsi="Times New Roman" w:cs="Times New Roman"/>
                <w:sz w:val="21"/>
                <w:szCs w:val="21"/>
              </w:rPr>
              <w:t>800</w:t>
            </w:r>
          </w:p>
        </w:tc>
        <w:tc>
          <w:tcPr>
            <w:tcW w:w="1420" w:type="dxa"/>
            <w:noWrap w:val="0"/>
            <w:vAlign w:val="center"/>
          </w:tcPr>
          <w:p w14:paraId="4252677B">
            <w:pPr>
              <w:spacing w:line="240" w:lineRule="exact"/>
              <w:jc w:val="center"/>
              <w:rPr>
                <w:rFonts w:ascii="Times New Roman" w:hAnsi="Times New Roman" w:cs="Times New Roman"/>
                <w:sz w:val="21"/>
                <w:szCs w:val="21"/>
              </w:rPr>
            </w:pPr>
            <w:r>
              <w:rPr>
                <w:rFonts w:ascii="Times New Roman" w:hAnsi="Times New Roman" w:cs="Times New Roman"/>
                <w:sz w:val="21"/>
                <w:szCs w:val="21"/>
              </w:rPr>
              <w:t>800</w:t>
            </w:r>
          </w:p>
        </w:tc>
        <w:tc>
          <w:tcPr>
            <w:tcW w:w="1324" w:type="dxa"/>
            <w:noWrap w:val="0"/>
            <w:vAlign w:val="center"/>
          </w:tcPr>
          <w:p w14:paraId="4160DDB2">
            <w:pPr>
              <w:spacing w:line="240" w:lineRule="exact"/>
              <w:jc w:val="center"/>
              <w:rPr>
                <w:rFonts w:ascii="Times New Roman" w:hAnsi="Times New Roman" w:cs="Times New Roman"/>
                <w:sz w:val="21"/>
                <w:szCs w:val="21"/>
              </w:rPr>
            </w:pPr>
            <w:r>
              <w:rPr>
                <w:rFonts w:ascii="Times New Roman" w:hAnsi="Times New Roman" w:cs="Times New Roman"/>
                <w:sz w:val="21"/>
                <w:szCs w:val="21"/>
              </w:rPr>
              <w:t>2500</w:t>
            </w:r>
          </w:p>
        </w:tc>
      </w:tr>
      <w:tr w14:paraId="2227C69E">
        <w:tblPrEx>
          <w:tblBorders>
            <w:top w:val="thinThickSmallGap" w:color="auto" w:sz="12" w:space="0"/>
            <w:left w:val="none" w:color="auto" w:sz="0" w:space="0"/>
            <w:bottom w:val="thickThinSmallGap"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88" w:hRule="atLeast"/>
          <w:jc w:val="center"/>
        </w:trPr>
        <w:tc>
          <w:tcPr>
            <w:tcW w:w="756" w:type="dxa"/>
            <w:noWrap w:val="0"/>
            <w:vAlign w:val="center"/>
          </w:tcPr>
          <w:p w14:paraId="49C1EA6E">
            <w:pPr>
              <w:jc w:val="center"/>
              <w:rPr>
                <w:rFonts w:ascii="Times New Roman" w:hAnsi="Times New Roman" w:cs="Times New Roman"/>
                <w:sz w:val="21"/>
                <w:szCs w:val="21"/>
              </w:rPr>
            </w:pPr>
            <w:r>
              <w:rPr>
                <w:rFonts w:ascii="Times New Roman" w:hAnsi="Times New Roman" w:cs="Times New Roman"/>
                <w:sz w:val="21"/>
                <w:szCs w:val="21"/>
              </w:rPr>
              <w:t>6</w:t>
            </w:r>
          </w:p>
        </w:tc>
        <w:tc>
          <w:tcPr>
            <w:tcW w:w="2272" w:type="dxa"/>
            <w:noWrap w:val="0"/>
            <w:vAlign w:val="center"/>
          </w:tcPr>
          <w:p w14:paraId="692D76CF">
            <w:pPr>
              <w:jc w:val="center"/>
              <w:rPr>
                <w:rFonts w:ascii="Times New Roman" w:hAnsi="Times New Roman" w:cs="Times New Roman"/>
                <w:sz w:val="21"/>
                <w:szCs w:val="21"/>
              </w:rPr>
            </w:pPr>
            <w:r>
              <w:rPr>
                <w:rFonts w:ascii="Times New Roman" w:hAnsi="Times New Roman" w:cs="Times New Roman"/>
                <w:sz w:val="21"/>
                <w:szCs w:val="21"/>
              </w:rPr>
              <w:t>汞</w:t>
            </w:r>
          </w:p>
        </w:tc>
        <w:tc>
          <w:tcPr>
            <w:tcW w:w="1420" w:type="dxa"/>
            <w:noWrap w:val="0"/>
            <w:vAlign w:val="center"/>
          </w:tcPr>
          <w:p w14:paraId="11D2ED51">
            <w:pPr>
              <w:spacing w:line="240" w:lineRule="exact"/>
              <w:jc w:val="center"/>
              <w:rPr>
                <w:rFonts w:ascii="Times New Roman" w:hAnsi="Times New Roman" w:cs="Times New Roman"/>
                <w:sz w:val="21"/>
                <w:szCs w:val="21"/>
              </w:rPr>
            </w:pPr>
            <w:r>
              <w:rPr>
                <w:rFonts w:ascii="Times New Roman" w:hAnsi="Times New Roman" w:cs="Times New Roman"/>
                <w:sz w:val="21"/>
                <w:szCs w:val="21"/>
              </w:rPr>
              <w:t>8</w:t>
            </w:r>
          </w:p>
        </w:tc>
        <w:tc>
          <w:tcPr>
            <w:tcW w:w="1420" w:type="dxa"/>
            <w:noWrap w:val="0"/>
            <w:vAlign w:val="center"/>
          </w:tcPr>
          <w:p w14:paraId="4037961E">
            <w:pPr>
              <w:spacing w:line="240" w:lineRule="exact"/>
              <w:jc w:val="center"/>
              <w:rPr>
                <w:rFonts w:ascii="Times New Roman" w:hAnsi="Times New Roman" w:cs="Times New Roman"/>
                <w:sz w:val="21"/>
                <w:szCs w:val="21"/>
              </w:rPr>
            </w:pPr>
            <w:r>
              <w:rPr>
                <w:rFonts w:ascii="Times New Roman" w:hAnsi="Times New Roman" w:cs="Times New Roman"/>
                <w:sz w:val="21"/>
                <w:szCs w:val="21"/>
              </w:rPr>
              <w:t>33</w:t>
            </w:r>
          </w:p>
        </w:tc>
        <w:tc>
          <w:tcPr>
            <w:tcW w:w="1420" w:type="dxa"/>
            <w:noWrap w:val="0"/>
            <w:vAlign w:val="center"/>
          </w:tcPr>
          <w:p w14:paraId="4970E76D">
            <w:pPr>
              <w:spacing w:line="240" w:lineRule="exact"/>
              <w:jc w:val="center"/>
              <w:rPr>
                <w:rFonts w:ascii="Times New Roman" w:hAnsi="Times New Roman" w:cs="Times New Roman"/>
                <w:sz w:val="21"/>
                <w:szCs w:val="21"/>
              </w:rPr>
            </w:pPr>
            <w:r>
              <w:rPr>
                <w:rFonts w:ascii="Times New Roman" w:hAnsi="Times New Roman" w:cs="Times New Roman"/>
                <w:sz w:val="21"/>
                <w:szCs w:val="21"/>
              </w:rPr>
              <w:t>38</w:t>
            </w:r>
          </w:p>
        </w:tc>
        <w:tc>
          <w:tcPr>
            <w:tcW w:w="1324" w:type="dxa"/>
            <w:noWrap w:val="0"/>
            <w:vAlign w:val="center"/>
          </w:tcPr>
          <w:p w14:paraId="79A68608">
            <w:pPr>
              <w:spacing w:line="240" w:lineRule="exact"/>
              <w:jc w:val="center"/>
              <w:rPr>
                <w:rFonts w:ascii="Times New Roman" w:hAnsi="Times New Roman" w:cs="Times New Roman"/>
                <w:sz w:val="21"/>
                <w:szCs w:val="21"/>
              </w:rPr>
            </w:pPr>
            <w:r>
              <w:rPr>
                <w:rFonts w:ascii="Times New Roman" w:hAnsi="Times New Roman" w:cs="Times New Roman"/>
                <w:sz w:val="21"/>
                <w:szCs w:val="21"/>
              </w:rPr>
              <w:t>82</w:t>
            </w:r>
          </w:p>
        </w:tc>
      </w:tr>
      <w:tr w14:paraId="571207D7">
        <w:tblPrEx>
          <w:tblBorders>
            <w:top w:val="thinThickSmallGap" w:color="auto" w:sz="12" w:space="0"/>
            <w:left w:val="none" w:color="auto" w:sz="0" w:space="0"/>
            <w:bottom w:val="thickThinSmallGap"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88" w:hRule="atLeast"/>
          <w:jc w:val="center"/>
        </w:trPr>
        <w:tc>
          <w:tcPr>
            <w:tcW w:w="756" w:type="dxa"/>
            <w:noWrap w:val="0"/>
            <w:vAlign w:val="center"/>
          </w:tcPr>
          <w:p w14:paraId="0E5E458A">
            <w:pPr>
              <w:jc w:val="center"/>
              <w:rPr>
                <w:rFonts w:ascii="Times New Roman" w:hAnsi="Times New Roman" w:cs="Times New Roman"/>
                <w:sz w:val="21"/>
                <w:szCs w:val="21"/>
              </w:rPr>
            </w:pPr>
            <w:r>
              <w:rPr>
                <w:rFonts w:ascii="Times New Roman" w:hAnsi="Times New Roman" w:cs="Times New Roman"/>
                <w:sz w:val="21"/>
                <w:szCs w:val="21"/>
              </w:rPr>
              <w:t>7</w:t>
            </w:r>
          </w:p>
        </w:tc>
        <w:tc>
          <w:tcPr>
            <w:tcW w:w="2272" w:type="dxa"/>
            <w:noWrap w:val="0"/>
            <w:vAlign w:val="center"/>
          </w:tcPr>
          <w:p w14:paraId="186C7AB3">
            <w:pPr>
              <w:jc w:val="center"/>
              <w:rPr>
                <w:rFonts w:ascii="Times New Roman" w:hAnsi="Times New Roman" w:cs="Times New Roman"/>
                <w:sz w:val="21"/>
                <w:szCs w:val="21"/>
              </w:rPr>
            </w:pPr>
            <w:r>
              <w:rPr>
                <w:rFonts w:ascii="Times New Roman" w:hAnsi="Times New Roman" w:cs="Times New Roman"/>
                <w:sz w:val="21"/>
                <w:szCs w:val="21"/>
              </w:rPr>
              <w:t>镍</w:t>
            </w:r>
          </w:p>
        </w:tc>
        <w:tc>
          <w:tcPr>
            <w:tcW w:w="1420" w:type="dxa"/>
            <w:noWrap w:val="0"/>
            <w:vAlign w:val="center"/>
          </w:tcPr>
          <w:p w14:paraId="2DF8359B">
            <w:pPr>
              <w:spacing w:line="240" w:lineRule="exact"/>
              <w:jc w:val="center"/>
              <w:rPr>
                <w:rFonts w:ascii="Times New Roman" w:hAnsi="Times New Roman" w:cs="Times New Roman"/>
                <w:sz w:val="21"/>
                <w:szCs w:val="21"/>
              </w:rPr>
            </w:pPr>
            <w:r>
              <w:rPr>
                <w:rFonts w:ascii="Times New Roman" w:hAnsi="Times New Roman" w:cs="Times New Roman"/>
                <w:sz w:val="21"/>
                <w:szCs w:val="21"/>
              </w:rPr>
              <w:t>150</w:t>
            </w:r>
          </w:p>
        </w:tc>
        <w:tc>
          <w:tcPr>
            <w:tcW w:w="1420" w:type="dxa"/>
            <w:noWrap w:val="0"/>
            <w:vAlign w:val="center"/>
          </w:tcPr>
          <w:p w14:paraId="5C96539D">
            <w:pPr>
              <w:spacing w:line="240" w:lineRule="exact"/>
              <w:jc w:val="center"/>
              <w:rPr>
                <w:rFonts w:ascii="Times New Roman" w:hAnsi="Times New Roman" w:cs="Times New Roman"/>
                <w:sz w:val="21"/>
                <w:szCs w:val="21"/>
              </w:rPr>
            </w:pPr>
            <w:r>
              <w:rPr>
                <w:rFonts w:ascii="Times New Roman" w:hAnsi="Times New Roman" w:cs="Times New Roman"/>
                <w:sz w:val="21"/>
                <w:szCs w:val="21"/>
              </w:rPr>
              <w:t>600</w:t>
            </w:r>
          </w:p>
        </w:tc>
        <w:tc>
          <w:tcPr>
            <w:tcW w:w="1420" w:type="dxa"/>
            <w:noWrap w:val="0"/>
            <w:vAlign w:val="center"/>
          </w:tcPr>
          <w:p w14:paraId="46E7F805">
            <w:pPr>
              <w:spacing w:line="240" w:lineRule="exact"/>
              <w:jc w:val="center"/>
              <w:rPr>
                <w:rFonts w:ascii="Times New Roman" w:hAnsi="Times New Roman" w:cs="Times New Roman"/>
                <w:sz w:val="21"/>
                <w:szCs w:val="21"/>
              </w:rPr>
            </w:pPr>
            <w:r>
              <w:rPr>
                <w:rFonts w:ascii="Times New Roman" w:hAnsi="Times New Roman" w:cs="Times New Roman"/>
                <w:sz w:val="21"/>
                <w:szCs w:val="21"/>
              </w:rPr>
              <w:t>900</w:t>
            </w:r>
          </w:p>
        </w:tc>
        <w:tc>
          <w:tcPr>
            <w:tcW w:w="1324" w:type="dxa"/>
            <w:noWrap w:val="0"/>
            <w:vAlign w:val="center"/>
          </w:tcPr>
          <w:p w14:paraId="06E7AC89">
            <w:pPr>
              <w:spacing w:line="240" w:lineRule="exact"/>
              <w:jc w:val="center"/>
              <w:rPr>
                <w:rFonts w:ascii="Times New Roman" w:hAnsi="Times New Roman" w:cs="Times New Roman"/>
                <w:sz w:val="21"/>
                <w:szCs w:val="21"/>
              </w:rPr>
            </w:pPr>
            <w:r>
              <w:rPr>
                <w:rFonts w:ascii="Times New Roman" w:hAnsi="Times New Roman" w:cs="Times New Roman"/>
                <w:sz w:val="21"/>
                <w:szCs w:val="21"/>
              </w:rPr>
              <w:t>2000</w:t>
            </w:r>
          </w:p>
        </w:tc>
      </w:tr>
      <w:tr w14:paraId="7B86A5FB">
        <w:tblPrEx>
          <w:tblBorders>
            <w:top w:val="thinThickSmallGap" w:color="auto" w:sz="12" w:space="0"/>
            <w:left w:val="none" w:color="auto" w:sz="0" w:space="0"/>
            <w:bottom w:val="thickThinSmallGap"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88" w:hRule="atLeast"/>
          <w:jc w:val="center"/>
        </w:trPr>
        <w:tc>
          <w:tcPr>
            <w:tcW w:w="8612" w:type="dxa"/>
            <w:gridSpan w:val="6"/>
            <w:noWrap w:val="0"/>
            <w:vAlign w:val="center"/>
          </w:tcPr>
          <w:p w14:paraId="33CE278D">
            <w:pPr>
              <w:spacing w:line="240" w:lineRule="exact"/>
              <w:jc w:val="center"/>
              <w:rPr>
                <w:rFonts w:ascii="Times New Roman" w:hAnsi="Times New Roman" w:cs="Times New Roman"/>
                <w:sz w:val="21"/>
                <w:szCs w:val="21"/>
              </w:rPr>
            </w:pPr>
            <w:r>
              <w:rPr>
                <w:rFonts w:ascii="Times New Roman" w:hAnsi="Times New Roman" w:cs="Times New Roman"/>
                <w:sz w:val="21"/>
                <w:szCs w:val="21"/>
              </w:rPr>
              <w:t>挥发性有机物</w:t>
            </w:r>
          </w:p>
        </w:tc>
      </w:tr>
      <w:tr w14:paraId="5DBF9D68">
        <w:tblPrEx>
          <w:tblBorders>
            <w:top w:val="thinThickSmallGap" w:color="auto" w:sz="12" w:space="0"/>
            <w:left w:val="none" w:color="auto" w:sz="0" w:space="0"/>
            <w:bottom w:val="thickThinSmallGap"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88" w:hRule="atLeast"/>
          <w:jc w:val="center"/>
        </w:trPr>
        <w:tc>
          <w:tcPr>
            <w:tcW w:w="756" w:type="dxa"/>
            <w:noWrap w:val="0"/>
            <w:vAlign w:val="center"/>
          </w:tcPr>
          <w:p w14:paraId="3B486B81">
            <w:pPr>
              <w:jc w:val="center"/>
              <w:rPr>
                <w:rFonts w:ascii="Times New Roman" w:hAnsi="Times New Roman" w:cs="Times New Roman"/>
                <w:sz w:val="21"/>
                <w:szCs w:val="21"/>
              </w:rPr>
            </w:pPr>
            <w:r>
              <w:rPr>
                <w:rFonts w:ascii="Times New Roman" w:hAnsi="Times New Roman" w:cs="Times New Roman"/>
                <w:sz w:val="21"/>
                <w:szCs w:val="21"/>
              </w:rPr>
              <w:t>8</w:t>
            </w:r>
          </w:p>
        </w:tc>
        <w:tc>
          <w:tcPr>
            <w:tcW w:w="2272" w:type="dxa"/>
            <w:noWrap w:val="0"/>
            <w:vAlign w:val="center"/>
          </w:tcPr>
          <w:p w14:paraId="0101835E">
            <w:pPr>
              <w:jc w:val="center"/>
              <w:rPr>
                <w:rFonts w:ascii="Times New Roman" w:hAnsi="Times New Roman" w:cs="Times New Roman"/>
                <w:sz w:val="21"/>
                <w:szCs w:val="21"/>
              </w:rPr>
            </w:pPr>
            <w:r>
              <w:rPr>
                <w:rFonts w:ascii="Times New Roman" w:hAnsi="Times New Roman" w:cs="Times New Roman"/>
                <w:sz w:val="21"/>
                <w:szCs w:val="21"/>
              </w:rPr>
              <w:t>四氯化碳</w:t>
            </w:r>
          </w:p>
        </w:tc>
        <w:tc>
          <w:tcPr>
            <w:tcW w:w="1420" w:type="dxa"/>
            <w:noWrap w:val="0"/>
            <w:vAlign w:val="center"/>
          </w:tcPr>
          <w:p w14:paraId="5B72BF5D">
            <w:pPr>
              <w:spacing w:line="240" w:lineRule="exact"/>
              <w:jc w:val="center"/>
              <w:rPr>
                <w:rFonts w:ascii="Times New Roman" w:hAnsi="Times New Roman" w:cs="Times New Roman"/>
                <w:sz w:val="21"/>
                <w:szCs w:val="21"/>
              </w:rPr>
            </w:pPr>
            <w:r>
              <w:rPr>
                <w:rFonts w:ascii="Times New Roman" w:hAnsi="Times New Roman" w:cs="Times New Roman"/>
                <w:sz w:val="21"/>
                <w:szCs w:val="21"/>
              </w:rPr>
              <w:t>0.9</w:t>
            </w:r>
          </w:p>
        </w:tc>
        <w:tc>
          <w:tcPr>
            <w:tcW w:w="1420" w:type="dxa"/>
            <w:noWrap w:val="0"/>
            <w:vAlign w:val="center"/>
          </w:tcPr>
          <w:p w14:paraId="12F52DA9">
            <w:pPr>
              <w:spacing w:line="240" w:lineRule="exact"/>
              <w:jc w:val="center"/>
              <w:rPr>
                <w:rFonts w:ascii="Times New Roman" w:hAnsi="Times New Roman" w:cs="Times New Roman"/>
                <w:sz w:val="21"/>
                <w:szCs w:val="21"/>
              </w:rPr>
            </w:pPr>
            <w:r>
              <w:rPr>
                <w:rFonts w:ascii="Times New Roman" w:hAnsi="Times New Roman" w:cs="Times New Roman"/>
                <w:sz w:val="21"/>
                <w:szCs w:val="21"/>
              </w:rPr>
              <w:t>9</w:t>
            </w:r>
          </w:p>
        </w:tc>
        <w:tc>
          <w:tcPr>
            <w:tcW w:w="1420" w:type="dxa"/>
            <w:noWrap w:val="0"/>
            <w:vAlign w:val="center"/>
          </w:tcPr>
          <w:p w14:paraId="26D9AA7A">
            <w:pPr>
              <w:spacing w:line="240" w:lineRule="exact"/>
              <w:jc w:val="center"/>
              <w:rPr>
                <w:rFonts w:ascii="Times New Roman" w:hAnsi="Times New Roman" w:cs="Times New Roman"/>
                <w:sz w:val="21"/>
                <w:szCs w:val="21"/>
              </w:rPr>
            </w:pPr>
            <w:r>
              <w:rPr>
                <w:rFonts w:ascii="Times New Roman" w:hAnsi="Times New Roman" w:cs="Times New Roman"/>
                <w:sz w:val="21"/>
                <w:szCs w:val="21"/>
              </w:rPr>
              <w:t>2.8</w:t>
            </w:r>
          </w:p>
        </w:tc>
        <w:tc>
          <w:tcPr>
            <w:tcW w:w="1324" w:type="dxa"/>
            <w:noWrap w:val="0"/>
            <w:vAlign w:val="center"/>
          </w:tcPr>
          <w:p w14:paraId="5D1C828E">
            <w:pPr>
              <w:spacing w:line="240" w:lineRule="exact"/>
              <w:jc w:val="center"/>
              <w:rPr>
                <w:rFonts w:ascii="Times New Roman" w:hAnsi="Times New Roman" w:cs="Times New Roman"/>
                <w:sz w:val="21"/>
                <w:szCs w:val="21"/>
              </w:rPr>
            </w:pPr>
            <w:r>
              <w:rPr>
                <w:rFonts w:ascii="Times New Roman" w:hAnsi="Times New Roman" w:cs="Times New Roman"/>
                <w:sz w:val="21"/>
                <w:szCs w:val="21"/>
              </w:rPr>
              <w:t>36</w:t>
            </w:r>
          </w:p>
        </w:tc>
      </w:tr>
      <w:tr w14:paraId="0CA31BE4">
        <w:tblPrEx>
          <w:tblBorders>
            <w:top w:val="thinThickSmallGap" w:color="auto" w:sz="12" w:space="0"/>
            <w:left w:val="none" w:color="auto" w:sz="0" w:space="0"/>
            <w:bottom w:val="thickThinSmallGap"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88" w:hRule="atLeast"/>
          <w:jc w:val="center"/>
        </w:trPr>
        <w:tc>
          <w:tcPr>
            <w:tcW w:w="756" w:type="dxa"/>
            <w:noWrap w:val="0"/>
            <w:vAlign w:val="center"/>
          </w:tcPr>
          <w:p w14:paraId="6F366EA2">
            <w:pPr>
              <w:jc w:val="center"/>
              <w:rPr>
                <w:rFonts w:ascii="Times New Roman" w:hAnsi="Times New Roman" w:cs="Times New Roman"/>
                <w:sz w:val="21"/>
                <w:szCs w:val="21"/>
              </w:rPr>
            </w:pPr>
            <w:r>
              <w:rPr>
                <w:rFonts w:ascii="Times New Roman" w:hAnsi="Times New Roman" w:cs="Times New Roman"/>
                <w:sz w:val="21"/>
                <w:szCs w:val="21"/>
              </w:rPr>
              <w:t>9</w:t>
            </w:r>
          </w:p>
        </w:tc>
        <w:tc>
          <w:tcPr>
            <w:tcW w:w="2272" w:type="dxa"/>
            <w:noWrap w:val="0"/>
            <w:vAlign w:val="center"/>
          </w:tcPr>
          <w:p w14:paraId="15726E78">
            <w:pPr>
              <w:jc w:val="center"/>
              <w:rPr>
                <w:rFonts w:ascii="Times New Roman" w:hAnsi="Times New Roman" w:cs="Times New Roman"/>
                <w:sz w:val="21"/>
                <w:szCs w:val="21"/>
              </w:rPr>
            </w:pPr>
            <w:r>
              <w:rPr>
                <w:rFonts w:ascii="Times New Roman" w:hAnsi="Times New Roman" w:cs="Times New Roman"/>
                <w:sz w:val="21"/>
                <w:szCs w:val="21"/>
              </w:rPr>
              <w:t>氯仿</w:t>
            </w:r>
          </w:p>
        </w:tc>
        <w:tc>
          <w:tcPr>
            <w:tcW w:w="1420" w:type="dxa"/>
            <w:noWrap w:val="0"/>
            <w:vAlign w:val="center"/>
          </w:tcPr>
          <w:p w14:paraId="1B470CF5">
            <w:pPr>
              <w:spacing w:line="240" w:lineRule="exact"/>
              <w:jc w:val="center"/>
              <w:rPr>
                <w:rFonts w:ascii="Times New Roman" w:hAnsi="Times New Roman" w:cs="Times New Roman"/>
                <w:sz w:val="21"/>
                <w:szCs w:val="21"/>
              </w:rPr>
            </w:pPr>
            <w:r>
              <w:rPr>
                <w:rFonts w:ascii="Times New Roman" w:hAnsi="Times New Roman" w:cs="Times New Roman"/>
                <w:sz w:val="21"/>
                <w:szCs w:val="21"/>
              </w:rPr>
              <w:t>0.3</w:t>
            </w:r>
          </w:p>
        </w:tc>
        <w:tc>
          <w:tcPr>
            <w:tcW w:w="1420" w:type="dxa"/>
            <w:noWrap w:val="0"/>
            <w:vAlign w:val="center"/>
          </w:tcPr>
          <w:p w14:paraId="59F87B60">
            <w:pPr>
              <w:spacing w:line="240" w:lineRule="exact"/>
              <w:jc w:val="center"/>
              <w:rPr>
                <w:rFonts w:ascii="Times New Roman" w:hAnsi="Times New Roman" w:cs="Times New Roman"/>
                <w:sz w:val="21"/>
                <w:szCs w:val="21"/>
              </w:rPr>
            </w:pPr>
            <w:r>
              <w:rPr>
                <w:rFonts w:ascii="Times New Roman" w:hAnsi="Times New Roman" w:cs="Times New Roman"/>
                <w:sz w:val="21"/>
                <w:szCs w:val="21"/>
              </w:rPr>
              <w:t>10</w:t>
            </w:r>
          </w:p>
        </w:tc>
        <w:tc>
          <w:tcPr>
            <w:tcW w:w="1420" w:type="dxa"/>
            <w:noWrap w:val="0"/>
            <w:vAlign w:val="center"/>
          </w:tcPr>
          <w:p w14:paraId="71CA2F46">
            <w:pPr>
              <w:spacing w:line="240" w:lineRule="exact"/>
              <w:jc w:val="center"/>
              <w:rPr>
                <w:rFonts w:ascii="Times New Roman" w:hAnsi="Times New Roman" w:cs="Times New Roman"/>
                <w:sz w:val="21"/>
                <w:szCs w:val="21"/>
              </w:rPr>
            </w:pPr>
            <w:r>
              <w:rPr>
                <w:rFonts w:ascii="Times New Roman" w:hAnsi="Times New Roman" w:cs="Times New Roman"/>
                <w:sz w:val="21"/>
                <w:szCs w:val="21"/>
              </w:rPr>
              <w:t>0.9</w:t>
            </w:r>
          </w:p>
        </w:tc>
        <w:tc>
          <w:tcPr>
            <w:tcW w:w="1324" w:type="dxa"/>
            <w:noWrap w:val="0"/>
            <w:vAlign w:val="center"/>
          </w:tcPr>
          <w:p w14:paraId="1C5325F9">
            <w:pPr>
              <w:spacing w:line="240" w:lineRule="exact"/>
              <w:jc w:val="center"/>
              <w:rPr>
                <w:rFonts w:ascii="Times New Roman" w:hAnsi="Times New Roman" w:cs="Times New Roman"/>
                <w:sz w:val="21"/>
                <w:szCs w:val="21"/>
              </w:rPr>
            </w:pPr>
            <w:r>
              <w:rPr>
                <w:rFonts w:ascii="Times New Roman" w:hAnsi="Times New Roman" w:cs="Times New Roman"/>
                <w:sz w:val="21"/>
                <w:szCs w:val="21"/>
              </w:rPr>
              <w:t>10</w:t>
            </w:r>
          </w:p>
        </w:tc>
      </w:tr>
      <w:tr w14:paraId="061B5FA5">
        <w:tblPrEx>
          <w:tblBorders>
            <w:top w:val="thinThickSmallGap" w:color="auto" w:sz="12" w:space="0"/>
            <w:left w:val="none" w:color="auto" w:sz="0" w:space="0"/>
            <w:bottom w:val="thickThinSmallGap"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88" w:hRule="atLeast"/>
          <w:jc w:val="center"/>
        </w:trPr>
        <w:tc>
          <w:tcPr>
            <w:tcW w:w="756" w:type="dxa"/>
            <w:noWrap w:val="0"/>
            <w:vAlign w:val="center"/>
          </w:tcPr>
          <w:p w14:paraId="6328961E">
            <w:pPr>
              <w:jc w:val="center"/>
              <w:rPr>
                <w:rFonts w:ascii="Times New Roman" w:hAnsi="Times New Roman" w:cs="Times New Roman"/>
                <w:sz w:val="21"/>
                <w:szCs w:val="21"/>
              </w:rPr>
            </w:pPr>
            <w:r>
              <w:rPr>
                <w:rFonts w:ascii="Times New Roman" w:hAnsi="Times New Roman" w:cs="Times New Roman"/>
                <w:sz w:val="21"/>
                <w:szCs w:val="21"/>
              </w:rPr>
              <w:t>10</w:t>
            </w:r>
          </w:p>
        </w:tc>
        <w:tc>
          <w:tcPr>
            <w:tcW w:w="2272" w:type="dxa"/>
            <w:noWrap w:val="0"/>
            <w:vAlign w:val="center"/>
          </w:tcPr>
          <w:p w14:paraId="4470611A">
            <w:pPr>
              <w:jc w:val="center"/>
              <w:rPr>
                <w:rFonts w:ascii="Times New Roman" w:hAnsi="Times New Roman" w:cs="Times New Roman"/>
                <w:sz w:val="21"/>
                <w:szCs w:val="21"/>
              </w:rPr>
            </w:pPr>
            <w:r>
              <w:rPr>
                <w:rFonts w:ascii="Times New Roman" w:hAnsi="Times New Roman" w:cs="Times New Roman"/>
                <w:sz w:val="21"/>
                <w:szCs w:val="21"/>
              </w:rPr>
              <w:t>氯甲烷</w:t>
            </w:r>
          </w:p>
        </w:tc>
        <w:tc>
          <w:tcPr>
            <w:tcW w:w="1420" w:type="dxa"/>
            <w:noWrap w:val="0"/>
            <w:vAlign w:val="center"/>
          </w:tcPr>
          <w:p w14:paraId="1B57AEA9">
            <w:pPr>
              <w:spacing w:line="240" w:lineRule="exact"/>
              <w:jc w:val="center"/>
              <w:rPr>
                <w:rFonts w:ascii="Times New Roman" w:hAnsi="Times New Roman" w:cs="Times New Roman"/>
                <w:sz w:val="21"/>
                <w:szCs w:val="21"/>
              </w:rPr>
            </w:pPr>
            <w:r>
              <w:rPr>
                <w:rFonts w:ascii="Times New Roman" w:hAnsi="Times New Roman" w:cs="Times New Roman"/>
                <w:sz w:val="21"/>
                <w:szCs w:val="21"/>
              </w:rPr>
              <w:t>12</w:t>
            </w:r>
          </w:p>
        </w:tc>
        <w:tc>
          <w:tcPr>
            <w:tcW w:w="1420" w:type="dxa"/>
            <w:noWrap w:val="0"/>
            <w:vAlign w:val="center"/>
          </w:tcPr>
          <w:p w14:paraId="0D714D9C">
            <w:pPr>
              <w:spacing w:line="240" w:lineRule="exact"/>
              <w:jc w:val="center"/>
              <w:rPr>
                <w:rFonts w:ascii="Times New Roman" w:hAnsi="Times New Roman" w:cs="Times New Roman"/>
                <w:sz w:val="21"/>
                <w:szCs w:val="21"/>
              </w:rPr>
            </w:pPr>
            <w:r>
              <w:rPr>
                <w:rFonts w:ascii="Times New Roman" w:hAnsi="Times New Roman" w:cs="Times New Roman"/>
                <w:sz w:val="21"/>
                <w:szCs w:val="21"/>
              </w:rPr>
              <w:t>21</w:t>
            </w:r>
          </w:p>
        </w:tc>
        <w:tc>
          <w:tcPr>
            <w:tcW w:w="1420" w:type="dxa"/>
            <w:noWrap w:val="0"/>
            <w:vAlign w:val="center"/>
          </w:tcPr>
          <w:p w14:paraId="26C11678">
            <w:pPr>
              <w:spacing w:line="240" w:lineRule="exact"/>
              <w:jc w:val="center"/>
              <w:rPr>
                <w:rFonts w:ascii="Times New Roman" w:hAnsi="Times New Roman" w:cs="Times New Roman"/>
                <w:sz w:val="21"/>
                <w:szCs w:val="21"/>
              </w:rPr>
            </w:pPr>
            <w:r>
              <w:rPr>
                <w:rFonts w:ascii="Times New Roman" w:hAnsi="Times New Roman" w:cs="Times New Roman"/>
                <w:sz w:val="21"/>
                <w:szCs w:val="21"/>
              </w:rPr>
              <w:t>37</w:t>
            </w:r>
          </w:p>
        </w:tc>
        <w:tc>
          <w:tcPr>
            <w:tcW w:w="1324" w:type="dxa"/>
            <w:noWrap w:val="0"/>
            <w:vAlign w:val="center"/>
          </w:tcPr>
          <w:p w14:paraId="55712E16">
            <w:pPr>
              <w:spacing w:line="240" w:lineRule="exact"/>
              <w:jc w:val="center"/>
              <w:rPr>
                <w:rFonts w:ascii="Times New Roman" w:hAnsi="Times New Roman" w:cs="Times New Roman"/>
                <w:sz w:val="21"/>
                <w:szCs w:val="21"/>
              </w:rPr>
            </w:pPr>
            <w:r>
              <w:rPr>
                <w:rFonts w:ascii="Times New Roman" w:hAnsi="Times New Roman" w:cs="Times New Roman"/>
                <w:sz w:val="21"/>
                <w:szCs w:val="21"/>
              </w:rPr>
              <w:t>120</w:t>
            </w:r>
          </w:p>
        </w:tc>
      </w:tr>
      <w:tr w14:paraId="6A2352E5">
        <w:tblPrEx>
          <w:tblBorders>
            <w:top w:val="thinThickSmallGap" w:color="auto" w:sz="12" w:space="0"/>
            <w:left w:val="none" w:color="auto" w:sz="0" w:space="0"/>
            <w:bottom w:val="thickThinSmallGap"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88" w:hRule="atLeast"/>
          <w:jc w:val="center"/>
        </w:trPr>
        <w:tc>
          <w:tcPr>
            <w:tcW w:w="756" w:type="dxa"/>
            <w:noWrap w:val="0"/>
            <w:vAlign w:val="center"/>
          </w:tcPr>
          <w:p w14:paraId="58B2D47B">
            <w:pPr>
              <w:jc w:val="center"/>
              <w:rPr>
                <w:rFonts w:ascii="Times New Roman" w:hAnsi="Times New Roman" w:cs="Times New Roman"/>
                <w:sz w:val="21"/>
                <w:szCs w:val="21"/>
              </w:rPr>
            </w:pPr>
            <w:r>
              <w:rPr>
                <w:rFonts w:ascii="Times New Roman" w:hAnsi="Times New Roman" w:cs="Times New Roman"/>
                <w:sz w:val="21"/>
                <w:szCs w:val="21"/>
              </w:rPr>
              <w:t>11</w:t>
            </w:r>
          </w:p>
        </w:tc>
        <w:tc>
          <w:tcPr>
            <w:tcW w:w="2272" w:type="dxa"/>
            <w:noWrap w:val="0"/>
            <w:vAlign w:val="center"/>
          </w:tcPr>
          <w:p w14:paraId="2D70281F">
            <w:pPr>
              <w:jc w:val="center"/>
              <w:rPr>
                <w:rFonts w:ascii="Times New Roman" w:hAnsi="Times New Roman" w:cs="Times New Roman"/>
                <w:sz w:val="21"/>
                <w:szCs w:val="21"/>
              </w:rPr>
            </w:pPr>
            <w:r>
              <w:rPr>
                <w:rFonts w:ascii="Times New Roman" w:hAnsi="Times New Roman" w:cs="Times New Roman"/>
                <w:sz w:val="21"/>
                <w:szCs w:val="21"/>
              </w:rPr>
              <w:t>1,1-二氯乙烷</w:t>
            </w:r>
          </w:p>
        </w:tc>
        <w:tc>
          <w:tcPr>
            <w:tcW w:w="1420" w:type="dxa"/>
            <w:noWrap w:val="0"/>
            <w:vAlign w:val="center"/>
          </w:tcPr>
          <w:p w14:paraId="7D849A66">
            <w:pPr>
              <w:spacing w:line="240" w:lineRule="exact"/>
              <w:jc w:val="center"/>
              <w:rPr>
                <w:rFonts w:ascii="Times New Roman" w:hAnsi="Times New Roman" w:cs="Times New Roman"/>
                <w:sz w:val="21"/>
                <w:szCs w:val="21"/>
              </w:rPr>
            </w:pPr>
            <w:r>
              <w:rPr>
                <w:rFonts w:ascii="Times New Roman" w:hAnsi="Times New Roman" w:cs="Times New Roman"/>
                <w:sz w:val="21"/>
                <w:szCs w:val="21"/>
              </w:rPr>
              <w:t>3</w:t>
            </w:r>
          </w:p>
        </w:tc>
        <w:tc>
          <w:tcPr>
            <w:tcW w:w="1420" w:type="dxa"/>
            <w:noWrap w:val="0"/>
            <w:vAlign w:val="center"/>
          </w:tcPr>
          <w:p w14:paraId="7E4C2453">
            <w:pPr>
              <w:spacing w:line="240" w:lineRule="exact"/>
              <w:jc w:val="center"/>
              <w:rPr>
                <w:rFonts w:ascii="Times New Roman" w:hAnsi="Times New Roman" w:cs="Times New Roman"/>
                <w:sz w:val="21"/>
                <w:szCs w:val="21"/>
              </w:rPr>
            </w:pPr>
            <w:r>
              <w:rPr>
                <w:rFonts w:ascii="Times New Roman" w:hAnsi="Times New Roman" w:cs="Times New Roman"/>
                <w:sz w:val="21"/>
                <w:szCs w:val="21"/>
              </w:rPr>
              <w:t>20</w:t>
            </w:r>
          </w:p>
        </w:tc>
        <w:tc>
          <w:tcPr>
            <w:tcW w:w="1420" w:type="dxa"/>
            <w:noWrap w:val="0"/>
            <w:vAlign w:val="center"/>
          </w:tcPr>
          <w:p w14:paraId="046AB26E">
            <w:pPr>
              <w:spacing w:line="240" w:lineRule="exact"/>
              <w:jc w:val="center"/>
              <w:rPr>
                <w:rFonts w:ascii="Times New Roman" w:hAnsi="Times New Roman" w:cs="Times New Roman"/>
                <w:sz w:val="21"/>
                <w:szCs w:val="21"/>
              </w:rPr>
            </w:pPr>
            <w:r>
              <w:rPr>
                <w:rFonts w:ascii="Times New Roman" w:hAnsi="Times New Roman" w:cs="Times New Roman"/>
                <w:sz w:val="21"/>
                <w:szCs w:val="21"/>
              </w:rPr>
              <w:t>9</w:t>
            </w:r>
          </w:p>
        </w:tc>
        <w:tc>
          <w:tcPr>
            <w:tcW w:w="1324" w:type="dxa"/>
            <w:noWrap w:val="0"/>
            <w:vAlign w:val="center"/>
          </w:tcPr>
          <w:p w14:paraId="5FE46E43">
            <w:pPr>
              <w:spacing w:line="240" w:lineRule="exact"/>
              <w:jc w:val="center"/>
              <w:rPr>
                <w:rFonts w:ascii="Times New Roman" w:hAnsi="Times New Roman" w:cs="Times New Roman"/>
                <w:sz w:val="21"/>
                <w:szCs w:val="21"/>
              </w:rPr>
            </w:pPr>
            <w:r>
              <w:rPr>
                <w:rFonts w:ascii="Times New Roman" w:hAnsi="Times New Roman" w:cs="Times New Roman"/>
                <w:sz w:val="21"/>
                <w:szCs w:val="21"/>
              </w:rPr>
              <w:t>100</w:t>
            </w:r>
          </w:p>
        </w:tc>
      </w:tr>
      <w:tr w14:paraId="7FED7CBC">
        <w:tblPrEx>
          <w:tblBorders>
            <w:top w:val="thinThickSmallGap" w:color="auto" w:sz="12" w:space="0"/>
            <w:left w:val="none" w:color="auto" w:sz="0" w:space="0"/>
            <w:bottom w:val="thickThinSmallGap"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88" w:hRule="atLeast"/>
          <w:jc w:val="center"/>
        </w:trPr>
        <w:tc>
          <w:tcPr>
            <w:tcW w:w="756" w:type="dxa"/>
            <w:noWrap w:val="0"/>
            <w:vAlign w:val="center"/>
          </w:tcPr>
          <w:p w14:paraId="1858F3A1">
            <w:pPr>
              <w:jc w:val="center"/>
              <w:rPr>
                <w:rFonts w:ascii="Times New Roman" w:hAnsi="Times New Roman" w:cs="Times New Roman"/>
                <w:sz w:val="21"/>
                <w:szCs w:val="21"/>
              </w:rPr>
            </w:pPr>
            <w:r>
              <w:rPr>
                <w:rFonts w:ascii="Times New Roman" w:hAnsi="Times New Roman" w:cs="Times New Roman"/>
                <w:sz w:val="21"/>
                <w:szCs w:val="21"/>
              </w:rPr>
              <w:t>12</w:t>
            </w:r>
          </w:p>
        </w:tc>
        <w:tc>
          <w:tcPr>
            <w:tcW w:w="2272" w:type="dxa"/>
            <w:noWrap w:val="0"/>
            <w:vAlign w:val="center"/>
          </w:tcPr>
          <w:p w14:paraId="5127BE51">
            <w:pPr>
              <w:jc w:val="center"/>
              <w:rPr>
                <w:rFonts w:ascii="Times New Roman" w:hAnsi="Times New Roman" w:cs="Times New Roman"/>
                <w:sz w:val="21"/>
                <w:szCs w:val="21"/>
              </w:rPr>
            </w:pPr>
            <w:r>
              <w:rPr>
                <w:rFonts w:ascii="Times New Roman" w:hAnsi="Times New Roman" w:cs="Times New Roman"/>
                <w:sz w:val="21"/>
                <w:szCs w:val="21"/>
              </w:rPr>
              <w:t>1,2-二氯乙烷</w:t>
            </w:r>
          </w:p>
        </w:tc>
        <w:tc>
          <w:tcPr>
            <w:tcW w:w="1420" w:type="dxa"/>
            <w:noWrap w:val="0"/>
            <w:vAlign w:val="center"/>
          </w:tcPr>
          <w:p w14:paraId="0AE14510">
            <w:pPr>
              <w:spacing w:line="240" w:lineRule="exact"/>
              <w:jc w:val="center"/>
              <w:rPr>
                <w:rFonts w:ascii="Times New Roman" w:hAnsi="Times New Roman" w:cs="Times New Roman"/>
                <w:sz w:val="21"/>
                <w:szCs w:val="21"/>
              </w:rPr>
            </w:pPr>
            <w:r>
              <w:rPr>
                <w:rFonts w:ascii="Times New Roman" w:hAnsi="Times New Roman" w:cs="Times New Roman"/>
                <w:sz w:val="21"/>
                <w:szCs w:val="21"/>
              </w:rPr>
              <w:t>0.52</w:t>
            </w:r>
          </w:p>
        </w:tc>
        <w:tc>
          <w:tcPr>
            <w:tcW w:w="1420" w:type="dxa"/>
            <w:noWrap w:val="0"/>
            <w:vAlign w:val="center"/>
          </w:tcPr>
          <w:p w14:paraId="29C37629">
            <w:pPr>
              <w:spacing w:line="240" w:lineRule="exact"/>
              <w:jc w:val="center"/>
              <w:rPr>
                <w:rFonts w:ascii="Times New Roman" w:hAnsi="Times New Roman" w:cs="Times New Roman"/>
                <w:sz w:val="21"/>
                <w:szCs w:val="21"/>
              </w:rPr>
            </w:pPr>
            <w:r>
              <w:rPr>
                <w:rFonts w:ascii="Times New Roman" w:hAnsi="Times New Roman" w:cs="Times New Roman"/>
                <w:sz w:val="21"/>
                <w:szCs w:val="21"/>
              </w:rPr>
              <w:t>6</w:t>
            </w:r>
          </w:p>
        </w:tc>
        <w:tc>
          <w:tcPr>
            <w:tcW w:w="1420" w:type="dxa"/>
            <w:noWrap w:val="0"/>
            <w:vAlign w:val="center"/>
          </w:tcPr>
          <w:p w14:paraId="7AAE0518">
            <w:pPr>
              <w:spacing w:line="240" w:lineRule="exact"/>
              <w:jc w:val="center"/>
              <w:rPr>
                <w:rFonts w:ascii="Times New Roman" w:hAnsi="Times New Roman" w:cs="Times New Roman"/>
                <w:sz w:val="21"/>
                <w:szCs w:val="21"/>
              </w:rPr>
            </w:pPr>
            <w:r>
              <w:rPr>
                <w:rFonts w:ascii="Times New Roman" w:hAnsi="Times New Roman" w:cs="Times New Roman"/>
                <w:sz w:val="21"/>
                <w:szCs w:val="21"/>
              </w:rPr>
              <w:t>5</w:t>
            </w:r>
          </w:p>
        </w:tc>
        <w:tc>
          <w:tcPr>
            <w:tcW w:w="1324" w:type="dxa"/>
            <w:noWrap w:val="0"/>
            <w:vAlign w:val="center"/>
          </w:tcPr>
          <w:p w14:paraId="5E39292A">
            <w:pPr>
              <w:spacing w:line="240" w:lineRule="exact"/>
              <w:jc w:val="center"/>
              <w:rPr>
                <w:rFonts w:ascii="Times New Roman" w:hAnsi="Times New Roman" w:cs="Times New Roman"/>
                <w:sz w:val="21"/>
                <w:szCs w:val="21"/>
              </w:rPr>
            </w:pPr>
            <w:r>
              <w:rPr>
                <w:rFonts w:ascii="Times New Roman" w:hAnsi="Times New Roman" w:cs="Times New Roman"/>
                <w:sz w:val="21"/>
                <w:szCs w:val="21"/>
              </w:rPr>
              <w:t>21</w:t>
            </w:r>
          </w:p>
        </w:tc>
      </w:tr>
      <w:tr w14:paraId="073F9D27">
        <w:tblPrEx>
          <w:tblBorders>
            <w:top w:val="thinThickSmallGap" w:color="auto" w:sz="12" w:space="0"/>
            <w:left w:val="none" w:color="auto" w:sz="0" w:space="0"/>
            <w:bottom w:val="thickThinSmallGap"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88" w:hRule="atLeast"/>
          <w:jc w:val="center"/>
        </w:trPr>
        <w:tc>
          <w:tcPr>
            <w:tcW w:w="756" w:type="dxa"/>
            <w:noWrap w:val="0"/>
            <w:vAlign w:val="center"/>
          </w:tcPr>
          <w:p w14:paraId="0CC62749">
            <w:pPr>
              <w:jc w:val="center"/>
              <w:rPr>
                <w:rFonts w:ascii="Times New Roman" w:hAnsi="Times New Roman" w:cs="Times New Roman"/>
                <w:sz w:val="21"/>
                <w:szCs w:val="21"/>
              </w:rPr>
            </w:pPr>
            <w:r>
              <w:rPr>
                <w:rFonts w:ascii="Times New Roman" w:hAnsi="Times New Roman" w:cs="Times New Roman"/>
                <w:sz w:val="21"/>
                <w:szCs w:val="21"/>
              </w:rPr>
              <w:t>13</w:t>
            </w:r>
          </w:p>
        </w:tc>
        <w:tc>
          <w:tcPr>
            <w:tcW w:w="2272" w:type="dxa"/>
            <w:noWrap w:val="0"/>
            <w:vAlign w:val="center"/>
          </w:tcPr>
          <w:p w14:paraId="79A0CA92">
            <w:pPr>
              <w:jc w:val="center"/>
              <w:rPr>
                <w:rFonts w:ascii="Times New Roman" w:hAnsi="Times New Roman" w:cs="Times New Roman"/>
                <w:sz w:val="21"/>
                <w:szCs w:val="21"/>
              </w:rPr>
            </w:pPr>
            <w:r>
              <w:rPr>
                <w:rFonts w:ascii="Times New Roman" w:hAnsi="Times New Roman" w:cs="Times New Roman"/>
                <w:sz w:val="21"/>
                <w:szCs w:val="21"/>
              </w:rPr>
              <w:t>1,1-二氯乙烯</w:t>
            </w:r>
          </w:p>
        </w:tc>
        <w:tc>
          <w:tcPr>
            <w:tcW w:w="1420" w:type="dxa"/>
            <w:noWrap w:val="0"/>
            <w:vAlign w:val="center"/>
          </w:tcPr>
          <w:p w14:paraId="16FE2FDA">
            <w:pPr>
              <w:spacing w:line="240" w:lineRule="exact"/>
              <w:jc w:val="center"/>
              <w:rPr>
                <w:rFonts w:ascii="Times New Roman" w:hAnsi="Times New Roman" w:cs="Times New Roman"/>
                <w:sz w:val="21"/>
                <w:szCs w:val="21"/>
              </w:rPr>
            </w:pPr>
            <w:r>
              <w:rPr>
                <w:rFonts w:ascii="Times New Roman" w:hAnsi="Times New Roman" w:cs="Times New Roman"/>
                <w:sz w:val="21"/>
                <w:szCs w:val="21"/>
              </w:rPr>
              <w:t>12</w:t>
            </w:r>
          </w:p>
        </w:tc>
        <w:tc>
          <w:tcPr>
            <w:tcW w:w="1420" w:type="dxa"/>
            <w:noWrap w:val="0"/>
            <w:vAlign w:val="center"/>
          </w:tcPr>
          <w:p w14:paraId="348684B0">
            <w:pPr>
              <w:spacing w:line="240" w:lineRule="exact"/>
              <w:jc w:val="center"/>
              <w:rPr>
                <w:rFonts w:ascii="Times New Roman" w:hAnsi="Times New Roman" w:cs="Times New Roman"/>
                <w:sz w:val="21"/>
                <w:szCs w:val="21"/>
              </w:rPr>
            </w:pPr>
            <w:r>
              <w:rPr>
                <w:rFonts w:ascii="Times New Roman" w:hAnsi="Times New Roman" w:cs="Times New Roman"/>
                <w:sz w:val="21"/>
                <w:szCs w:val="21"/>
              </w:rPr>
              <w:t>40</w:t>
            </w:r>
          </w:p>
        </w:tc>
        <w:tc>
          <w:tcPr>
            <w:tcW w:w="1420" w:type="dxa"/>
            <w:noWrap w:val="0"/>
            <w:vAlign w:val="center"/>
          </w:tcPr>
          <w:p w14:paraId="77750C03">
            <w:pPr>
              <w:spacing w:line="240" w:lineRule="exact"/>
              <w:jc w:val="center"/>
              <w:rPr>
                <w:rFonts w:ascii="Times New Roman" w:hAnsi="Times New Roman" w:cs="Times New Roman"/>
                <w:sz w:val="21"/>
                <w:szCs w:val="21"/>
              </w:rPr>
            </w:pPr>
            <w:r>
              <w:rPr>
                <w:rFonts w:ascii="Times New Roman" w:hAnsi="Times New Roman" w:cs="Times New Roman"/>
                <w:sz w:val="21"/>
                <w:szCs w:val="21"/>
              </w:rPr>
              <w:t>66</w:t>
            </w:r>
          </w:p>
        </w:tc>
        <w:tc>
          <w:tcPr>
            <w:tcW w:w="1324" w:type="dxa"/>
            <w:noWrap w:val="0"/>
            <w:vAlign w:val="center"/>
          </w:tcPr>
          <w:p w14:paraId="2F25636F">
            <w:pPr>
              <w:spacing w:line="240" w:lineRule="exact"/>
              <w:jc w:val="center"/>
              <w:rPr>
                <w:rFonts w:ascii="Times New Roman" w:hAnsi="Times New Roman" w:cs="Times New Roman"/>
                <w:sz w:val="21"/>
                <w:szCs w:val="21"/>
              </w:rPr>
            </w:pPr>
            <w:r>
              <w:rPr>
                <w:rFonts w:ascii="Times New Roman" w:hAnsi="Times New Roman" w:cs="Times New Roman"/>
                <w:sz w:val="21"/>
                <w:szCs w:val="21"/>
              </w:rPr>
              <w:t>200</w:t>
            </w:r>
          </w:p>
        </w:tc>
      </w:tr>
      <w:tr w14:paraId="2A7D6AE6">
        <w:tblPrEx>
          <w:tblBorders>
            <w:top w:val="thinThickSmallGap" w:color="auto" w:sz="12" w:space="0"/>
            <w:left w:val="none" w:color="auto" w:sz="0" w:space="0"/>
            <w:bottom w:val="thickThinSmallGap"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88" w:hRule="atLeast"/>
          <w:jc w:val="center"/>
        </w:trPr>
        <w:tc>
          <w:tcPr>
            <w:tcW w:w="756" w:type="dxa"/>
            <w:noWrap w:val="0"/>
            <w:vAlign w:val="center"/>
          </w:tcPr>
          <w:p w14:paraId="13B0A7FD">
            <w:pPr>
              <w:jc w:val="center"/>
              <w:rPr>
                <w:rFonts w:ascii="Times New Roman" w:hAnsi="Times New Roman" w:cs="Times New Roman"/>
                <w:sz w:val="21"/>
                <w:szCs w:val="21"/>
              </w:rPr>
            </w:pPr>
            <w:r>
              <w:rPr>
                <w:rFonts w:ascii="Times New Roman" w:hAnsi="Times New Roman" w:cs="Times New Roman"/>
                <w:sz w:val="21"/>
                <w:szCs w:val="21"/>
              </w:rPr>
              <w:t>14</w:t>
            </w:r>
          </w:p>
        </w:tc>
        <w:tc>
          <w:tcPr>
            <w:tcW w:w="2272" w:type="dxa"/>
            <w:noWrap w:val="0"/>
            <w:vAlign w:val="center"/>
          </w:tcPr>
          <w:p w14:paraId="136B5EF2">
            <w:pPr>
              <w:jc w:val="center"/>
              <w:rPr>
                <w:rFonts w:ascii="Times New Roman" w:hAnsi="Times New Roman" w:cs="Times New Roman"/>
                <w:sz w:val="21"/>
                <w:szCs w:val="21"/>
              </w:rPr>
            </w:pPr>
            <w:r>
              <w:rPr>
                <w:rFonts w:ascii="Times New Roman" w:hAnsi="Times New Roman" w:cs="Times New Roman"/>
                <w:sz w:val="21"/>
                <w:szCs w:val="21"/>
              </w:rPr>
              <w:t>顺-1,2-二氯乙烯</w:t>
            </w:r>
          </w:p>
        </w:tc>
        <w:tc>
          <w:tcPr>
            <w:tcW w:w="1420" w:type="dxa"/>
            <w:noWrap w:val="0"/>
            <w:vAlign w:val="center"/>
          </w:tcPr>
          <w:p w14:paraId="5354E2EB">
            <w:pPr>
              <w:spacing w:line="240" w:lineRule="exact"/>
              <w:jc w:val="center"/>
              <w:rPr>
                <w:rFonts w:ascii="Times New Roman" w:hAnsi="Times New Roman" w:cs="Times New Roman"/>
                <w:sz w:val="21"/>
                <w:szCs w:val="21"/>
              </w:rPr>
            </w:pPr>
            <w:r>
              <w:rPr>
                <w:rFonts w:ascii="Times New Roman" w:hAnsi="Times New Roman" w:cs="Times New Roman"/>
                <w:sz w:val="21"/>
                <w:szCs w:val="21"/>
              </w:rPr>
              <w:t>66</w:t>
            </w:r>
          </w:p>
        </w:tc>
        <w:tc>
          <w:tcPr>
            <w:tcW w:w="1420" w:type="dxa"/>
            <w:noWrap w:val="0"/>
            <w:vAlign w:val="center"/>
          </w:tcPr>
          <w:p w14:paraId="5BC4E8BF">
            <w:pPr>
              <w:spacing w:line="240" w:lineRule="exact"/>
              <w:jc w:val="center"/>
              <w:rPr>
                <w:rFonts w:ascii="Times New Roman" w:hAnsi="Times New Roman" w:cs="Times New Roman"/>
                <w:sz w:val="21"/>
                <w:szCs w:val="21"/>
              </w:rPr>
            </w:pPr>
            <w:r>
              <w:rPr>
                <w:rFonts w:ascii="Times New Roman" w:hAnsi="Times New Roman" w:cs="Times New Roman"/>
                <w:sz w:val="21"/>
                <w:szCs w:val="21"/>
              </w:rPr>
              <w:t>200</w:t>
            </w:r>
          </w:p>
        </w:tc>
        <w:tc>
          <w:tcPr>
            <w:tcW w:w="1420" w:type="dxa"/>
            <w:noWrap w:val="0"/>
            <w:vAlign w:val="center"/>
          </w:tcPr>
          <w:p w14:paraId="39A14DE0">
            <w:pPr>
              <w:spacing w:line="240" w:lineRule="exact"/>
              <w:jc w:val="center"/>
              <w:rPr>
                <w:rFonts w:ascii="Times New Roman" w:hAnsi="Times New Roman" w:cs="Times New Roman"/>
                <w:sz w:val="21"/>
                <w:szCs w:val="21"/>
              </w:rPr>
            </w:pPr>
            <w:r>
              <w:rPr>
                <w:rFonts w:ascii="Times New Roman" w:hAnsi="Times New Roman" w:cs="Times New Roman"/>
                <w:sz w:val="21"/>
                <w:szCs w:val="21"/>
              </w:rPr>
              <w:t>596</w:t>
            </w:r>
          </w:p>
        </w:tc>
        <w:tc>
          <w:tcPr>
            <w:tcW w:w="1324" w:type="dxa"/>
            <w:noWrap w:val="0"/>
            <w:vAlign w:val="center"/>
          </w:tcPr>
          <w:p w14:paraId="0573DB61">
            <w:pPr>
              <w:spacing w:line="240" w:lineRule="exact"/>
              <w:jc w:val="center"/>
              <w:rPr>
                <w:rFonts w:ascii="Times New Roman" w:hAnsi="Times New Roman" w:cs="Times New Roman"/>
                <w:sz w:val="21"/>
                <w:szCs w:val="21"/>
              </w:rPr>
            </w:pPr>
            <w:r>
              <w:rPr>
                <w:rFonts w:ascii="Times New Roman" w:hAnsi="Times New Roman" w:cs="Times New Roman"/>
                <w:sz w:val="21"/>
                <w:szCs w:val="21"/>
              </w:rPr>
              <w:t>2000</w:t>
            </w:r>
          </w:p>
        </w:tc>
      </w:tr>
      <w:tr w14:paraId="043A8888">
        <w:tblPrEx>
          <w:tblBorders>
            <w:top w:val="thinThickSmallGap" w:color="auto" w:sz="12" w:space="0"/>
            <w:left w:val="none" w:color="auto" w:sz="0" w:space="0"/>
            <w:bottom w:val="thickThinSmallGap"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88" w:hRule="atLeast"/>
          <w:jc w:val="center"/>
        </w:trPr>
        <w:tc>
          <w:tcPr>
            <w:tcW w:w="756" w:type="dxa"/>
            <w:noWrap w:val="0"/>
            <w:vAlign w:val="center"/>
          </w:tcPr>
          <w:p w14:paraId="08B89AAD">
            <w:pPr>
              <w:jc w:val="center"/>
              <w:rPr>
                <w:rFonts w:ascii="Times New Roman" w:hAnsi="Times New Roman" w:cs="Times New Roman"/>
                <w:sz w:val="21"/>
                <w:szCs w:val="21"/>
              </w:rPr>
            </w:pPr>
            <w:r>
              <w:rPr>
                <w:rFonts w:ascii="Times New Roman" w:hAnsi="Times New Roman" w:cs="Times New Roman"/>
                <w:sz w:val="21"/>
                <w:szCs w:val="21"/>
              </w:rPr>
              <w:t>15</w:t>
            </w:r>
          </w:p>
        </w:tc>
        <w:tc>
          <w:tcPr>
            <w:tcW w:w="2272" w:type="dxa"/>
            <w:noWrap w:val="0"/>
            <w:vAlign w:val="center"/>
          </w:tcPr>
          <w:p w14:paraId="58FFEB66">
            <w:pPr>
              <w:jc w:val="center"/>
              <w:rPr>
                <w:rFonts w:ascii="Times New Roman" w:hAnsi="Times New Roman" w:cs="Times New Roman"/>
                <w:sz w:val="21"/>
                <w:szCs w:val="21"/>
              </w:rPr>
            </w:pPr>
            <w:r>
              <w:rPr>
                <w:rFonts w:ascii="Times New Roman" w:hAnsi="Times New Roman" w:cs="Times New Roman"/>
                <w:sz w:val="21"/>
                <w:szCs w:val="21"/>
              </w:rPr>
              <w:t>反-1,2-二氯乙烯</w:t>
            </w:r>
          </w:p>
        </w:tc>
        <w:tc>
          <w:tcPr>
            <w:tcW w:w="1420" w:type="dxa"/>
            <w:noWrap w:val="0"/>
            <w:vAlign w:val="center"/>
          </w:tcPr>
          <w:p w14:paraId="3632AABD">
            <w:pPr>
              <w:spacing w:line="240" w:lineRule="exact"/>
              <w:jc w:val="center"/>
              <w:rPr>
                <w:rFonts w:ascii="Times New Roman" w:hAnsi="Times New Roman" w:cs="Times New Roman"/>
                <w:sz w:val="21"/>
                <w:szCs w:val="21"/>
              </w:rPr>
            </w:pPr>
            <w:r>
              <w:rPr>
                <w:rFonts w:ascii="Times New Roman" w:hAnsi="Times New Roman" w:cs="Times New Roman"/>
                <w:sz w:val="21"/>
                <w:szCs w:val="21"/>
              </w:rPr>
              <w:t>10</w:t>
            </w:r>
          </w:p>
        </w:tc>
        <w:tc>
          <w:tcPr>
            <w:tcW w:w="1420" w:type="dxa"/>
            <w:noWrap w:val="0"/>
            <w:vAlign w:val="center"/>
          </w:tcPr>
          <w:p w14:paraId="337A297C">
            <w:pPr>
              <w:spacing w:line="240" w:lineRule="exact"/>
              <w:jc w:val="center"/>
              <w:rPr>
                <w:rFonts w:ascii="Times New Roman" w:hAnsi="Times New Roman" w:cs="Times New Roman"/>
                <w:sz w:val="21"/>
                <w:szCs w:val="21"/>
              </w:rPr>
            </w:pPr>
            <w:r>
              <w:rPr>
                <w:rFonts w:ascii="Times New Roman" w:hAnsi="Times New Roman" w:cs="Times New Roman"/>
                <w:sz w:val="21"/>
                <w:szCs w:val="21"/>
              </w:rPr>
              <w:t>31</w:t>
            </w:r>
          </w:p>
        </w:tc>
        <w:tc>
          <w:tcPr>
            <w:tcW w:w="1420" w:type="dxa"/>
            <w:noWrap w:val="0"/>
            <w:vAlign w:val="center"/>
          </w:tcPr>
          <w:p w14:paraId="3FF20B29">
            <w:pPr>
              <w:spacing w:line="240" w:lineRule="exact"/>
              <w:jc w:val="center"/>
              <w:rPr>
                <w:rFonts w:ascii="Times New Roman" w:hAnsi="Times New Roman" w:cs="Times New Roman"/>
                <w:sz w:val="21"/>
                <w:szCs w:val="21"/>
              </w:rPr>
            </w:pPr>
            <w:r>
              <w:rPr>
                <w:rFonts w:ascii="Times New Roman" w:hAnsi="Times New Roman" w:cs="Times New Roman"/>
                <w:sz w:val="21"/>
                <w:szCs w:val="21"/>
              </w:rPr>
              <w:t>54</w:t>
            </w:r>
          </w:p>
        </w:tc>
        <w:tc>
          <w:tcPr>
            <w:tcW w:w="1324" w:type="dxa"/>
            <w:noWrap w:val="0"/>
            <w:vAlign w:val="center"/>
          </w:tcPr>
          <w:p w14:paraId="5E58BAC7">
            <w:pPr>
              <w:spacing w:line="240" w:lineRule="exact"/>
              <w:jc w:val="center"/>
              <w:rPr>
                <w:rFonts w:ascii="Times New Roman" w:hAnsi="Times New Roman" w:cs="Times New Roman"/>
                <w:sz w:val="21"/>
                <w:szCs w:val="21"/>
              </w:rPr>
            </w:pPr>
            <w:r>
              <w:rPr>
                <w:rFonts w:ascii="Times New Roman" w:hAnsi="Times New Roman" w:cs="Times New Roman"/>
                <w:sz w:val="21"/>
                <w:szCs w:val="21"/>
              </w:rPr>
              <w:t>163</w:t>
            </w:r>
          </w:p>
        </w:tc>
      </w:tr>
      <w:tr w14:paraId="56780BCB">
        <w:tblPrEx>
          <w:tblBorders>
            <w:top w:val="thinThickSmallGap" w:color="auto" w:sz="12" w:space="0"/>
            <w:left w:val="none" w:color="auto" w:sz="0" w:space="0"/>
            <w:bottom w:val="thickThinSmallGap"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88" w:hRule="atLeast"/>
          <w:jc w:val="center"/>
        </w:trPr>
        <w:tc>
          <w:tcPr>
            <w:tcW w:w="756" w:type="dxa"/>
            <w:noWrap w:val="0"/>
            <w:vAlign w:val="center"/>
          </w:tcPr>
          <w:p w14:paraId="3F1DE26A">
            <w:pPr>
              <w:jc w:val="center"/>
              <w:rPr>
                <w:rFonts w:ascii="Times New Roman" w:hAnsi="Times New Roman" w:cs="Times New Roman"/>
                <w:sz w:val="21"/>
                <w:szCs w:val="21"/>
              </w:rPr>
            </w:pPr>
            <w:r>
              <w:rPr>
                <w:rFonts w:ascii="Times New Roman" w:hAnsi="Times New Roman" w:cs="Times New Roman"/>
                <w:sz w:val="21"/>
                <w:szCs w:val="21"/>
              </w:rPr>
              <w:t>16</w:t>
            </w:r>
          </w:p>
        </w:tc>
        <w:tc>
          <w:tcPr>
            <w:tcW w:w="2272" w:type="dxa"/>
            <w:noWrap w:val="0"/>
            <w:vAlign w:val="center"/>
          </w:tcPr>
          <w:p w14:paraId="759E1FBA">
            <w:pPr>
              <w:jc w:val="center"/>
              <w:rPr>
                <w:rFonts w:ascii="Times New Roman" w:hAnsi="Times New Roman" w:cs="Times New Roman"/>
                <w:sz w:val="21"/>
                <w:szCs w:val="21"/>
              </w:rPr>
            </w:pPr>
            <w:r>
              <w:rPr>
                <w:rFonts w:ascii="Times New Roman" w:hAnsi="Times New Roman" w:cs="Times New Roman"/>
                <w:sz w:val="21"/>
                <w:szCs w:val="21"/>
              </w:rPr>
              <w:t>二氯甲烷</w:t>
            </w:r>
          </w:p>
        </w:tc>
        <w:tc>
          <w:tcPr>
            <w:tcW w:w="1420" w:type="dxa"/>
            <w:noWrap w:val="0"/>
            <w:vAlign w:val="center"/>
          </w:tcPr>
          <w:p w14:paraId="5BE055C3">
            <w:pPr>
              <w:spacing w:line="240" w:lineRule="exact"/>
              <w:jc w:val="center"/>
              <w:rPr>
                <w:rFonts w:ascii="Times New Roman" w:hAnsi="Times New Roman" w:cs="Times New Roman"/>
                <w:sz w:val="21"/>
                <w:szCs w:val="21"/>
              </w:rPr>
            </w:pPr>
            <w:r>
              <w:rPr>
                <w:rFonts w:ascii="Times New Roman" w:hAnsi="Times New Roman" w:cs="Times New Roman"/>
                <w:sz w:val="21"/>
                <w:szCs w:val="21"/>
              </w:rPr>
              <w:t>94</w:t>
            </w:r>
          </w:p>
        </w:tc>
        <w:tc>
          <w:tcPr>
            <w:tcW w:w="1420" w:type="dxa"/>
            <w:noWrap w:val="0"/>
            <w:vAlign w:val="center"/>
          </w:tcPr>
          <w:p w14:paraId="14B04C8D">
            <w:pPr>
              <w:spacing w:line="240" w:lineRule="exact"/>
              <w:jc w:val="center"/>
              <w:rPr>
                <w:rFonts w:ascii="Times New Roman" w:hAnsi="Times New Roman" w:cs="Times New Roman"/>
                <w:sz w:val="21"/>
                <w:szCs w:val="21"/>
              </w:rPr>
            </w:pPr>
            <w:r>
              <w:rPr>
                <w:rFonts w:ascii="Times New Roman" w:hAnsi="Times New Roman" w:cs="Times New Roman"/>
                <w:sz w:val="21"/>
                <w:szCs w:val="21"/>
              </w:rPr>
              <w:t>300</w:t>
            </w:r>
          </w:p>
        </w:tc>
        <w:tc>
          <w:tcPr>
            <w:tcW w:w="1420" w:type="dxa"/>
            <w:noWrap w:val="0"/>
            <w:vAlign w:val="center"/>
          </w:tcPr>
          <w:p w14:paraId="1C07C5B6">
            <w:pPr>
              <w:spacing w:line="240" w:lineRule="exact"/>
              <w:jc w:val="center"/>
              <w:rPr>
                <w:rFonts w:ascii="Times New Roman" w:hAnsi="Times New Roman" w:cs="Times New Roman"/>
                <w:sz w:val="21"/>
                <w:szCs w:val="21"/>
              </w:rPr>
            </w:pPr>
            <w:r>
              <w:rPr>
                <w:rFonts w:ascii="Times New Roman" w:hAnsi="Times New Roman" w:cs="Times New Roman"/>
                <w:sz w:val="21"/>
                <w:szCs w:val="21"/>
              </w:rPr>
              <w:t>616</w:t>
            </w:r>
          </w:p>
        </w:tc>
        <w:tc>
          <w:tcPr>
            <w:tcW w:w="1324" w:type="dxa"/>
            <w:noWrap w:val="0"/>
            <w:vAlign w:val="center"/>
          </w:tcPr>
          <w:p w14:paraId="43A1A86D">
            <w:pPr>
              <w:spacing w:line="240" w:lineRule="exact"/>
              <w:jc w:val="center"/>
              <w:rPr>
                <w:rFonts w:ascii="Times New Roman" w:hAnsi="Times New Roman" w:cs="Times New Roman"/>
                <w:sz w:val="21"/>
                <w:szCs w:val="21"/>
              </w:rPr>
            </w:pPr>
            <w:r>
              <w:rPr>
                <w:rFonts w:ascii="Times New Roman" w:hAnsi="Times New Roman" w:cs="Times New Roman"/>
                <w:sz w:val="21"/>
                <w:szCs w:val="21"/>
              </w:rPr>
              <w:t>2000</w:t>
            </w:r>
          </w:p>
        </w:tc>
      </w:tr>
      <w:tr w14:paraId="75E2C476">
        <w:tblPrEx>
          <w:tblBorders>
            <w:top w:val="thinThickSmallGap" w:color="auto" w:sz="12" w:space="0"/>
            <w:left w:val="none" w:color="auto" w:sz="0" w:space="0"/>
            <w:bottom w:val="thickThinSmallGap"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88" w:hRule="atLeast"/>
          <w:jc w:val="center"/>
        </w:trPr>
        <w:tc>
          <w:tcPr>
            <w:tcW w:w="756" w:type="dxa"/>
            <w:noWrap w:val="0"/>
            <w:vAlign w:val="center"/>
          </w:tcPr>
          <w:p w14:paraId="63D6C665">
            <w:pPr>
              <w:jc w:val="center"/>
              <w:rPr>
                <w:rFonts w:ascii="Times New Roman" w:hAnsi="Times New Roman" w:cs="Times New Roman"/>
                <w:sz w:val="21"/>
                <w:szCs w:val="21"/>
              </w:rPr>
            </w:pPr>
            <w:r>
              <w:rPr>
                <w:rFonts w:ascii="Times New Roman" w:hAnsi="Times New Roman" w:cs="Times New Roman"/>
                <w:sz w:val="21"/>
                <w:szCs w:val="21"/>
              </w:rPr>
              <w:t>17</w:t>
            </w:r>
          </w:p>
        </w:tc>
        <w:tc>
          <w:tcPr>
            <w:tcW w:w="2272" w:type="dxa"/>
            <w:noWrap w:val="0"/>
            <w:vAlign w:val="center"/>
          </w:tcPr>
          <w:p w14:paraId="5E4ECD52">
            <w:pPr>
              <w:jc w:val="center"/>
              <w:rPr>
                <w:rFonts w:ascii="Times New Roman" w:hAnsi="Times New Roman" w:cs="Times New Roman"/>
                <w:sz w:val="21"/>
                <w:szCs w:val="21"/>
              </w:rPr>
            </w:pPr>
            <w:r>
              <w:rPr>
                <w:rFonts w:ascii="Times New Roman" w:hAnsi="Times New Roman" w:cs="Times New Roman"/>
                <w:sz w:val="21"/>
                <w:szCs w:val="21"/>
              </w:rPr>
              <w:t>1,2-二氯丙烷</w:t>
            </w:r>
          </w:p>
        </w:tc>
        <w:tc>
          <w:tcPr>
            <w:tcW w:w="1420" w:type="dxa"/>
            <w:noWrap w:val="0"/>
            <w:vAlign w:val="center"/>
          </w:tcPr>
          <w:p w14:paraId="750EA827">
            <w:pPr>
              <w:spacing w:line="240" w:lineRule="exact"/>
              <w:jc w:val="center"/>
              <w:rPr>
                <w:rFonts w:ascii="Times New Roman" w:hAnsi="Times New Roman" w:cs="Times New Roman"/>
                <w:sz w:val="21"/>
                <w:szCs w:val="21"/>
              </w:rPr>
            </w:pPr>
            <w:r>
              <w:rPr>
                <w:rFonts w:ascii="Times New Roman" w:hAnsi="Times New Roman" w:cs="Times New Roman"/>
                <w:sz w:val="21"/>
                <w:szCs w:val="21"/>
              </w:rPr>
              <w:t>1</w:t>
            </w:r>
          </w:p>
        </w:tc>
        <w:tc>
          <w:tcPr>
            <w:tcW w:w="1420" w:type="dxa"/>
            <w:noWrap w:val="0"/>
            <w:vAlign w:val="center"/>
          </w:tcPr>
          <w:p w14:paraId="4A6020EA">
            <w:pPr>
              <w:spacing w:line="240" w:lineRule="exact"/>
              <w:jc w:val="center"/>
              <w:rPr>
                <w:rFonts w:ascii="Times New Roman" w:hAnsi="Times New Roman" w:cs="Times New Roman"/>
                <w:sz w:val="21"/>
                <w:szCs w:val="21"/>
              </w:rPr>
            </w:pPr>
            <w:r>
              <w:rPr>
                <w:rFonts w:ascii="Times New Roman" w:hAnsi="Times New Roman" w:cs="Times New Roman"/>
                <w:sz w:val="21"/>
                <w:szCs w:val="21"/>
              </w:rPr>
              <w:t>5</w:t>
            </w:r>
          </w:p>
        </w:tc>
        <w:tc>
          <w:tcPr>
            <w:tcW w:w="1420" w:type="dxa"/>
            <w:noWrap w:val="0"/>
            <w:vAlign w:val="center"/>
          </w:tcPr>
          <w:p w14:paraId="58AAF5BA">
            <w:pPr>
              <w:spacing w:line="240" w:lineRule="exact"/>
              <w:jc w:val="center"/>
              <w:rPr>
                <w:rFonts w:ascii="Times New Roman" w:hAnsi="Times New Roman" w:cs="Times New Roman"/>
                <w:sz w:val="21"/>
                <w:szCs w:val="21"/>
              </w:rPr>
            </w:pPr>
            <w:r>
              <w:rPr>
                <w:rFonts w:ascii="Times New Roman" w:hAnsi="Times New Roman" w:cs="Times New Roman"/>
                <w:sz w:val="21"/>
                <w:szCs w:val="21"/>
              </w:rPr>
              <w:t>5</w:t>
            </w:r>
          </w:p>
        </w:tc>
        <w:tc>
          <w:tcPr>
            <w:tcW w:w="1324" w:type="dxa"/>
            <w:noWrap w:val="0"/>
            <w:vAlign w:val="center"/>
          </w:tcPr>
          <w:p w14:paraId="4BB935DC">
            <w:pPr>
              <w:spacing w:line="240" w:lineRule="exact"/>
              <w:jc w:val="center"/>
              <w:rPr>
                <w:rFonts w:ascii="Times New Roman" w:hAnsi="Times New Roman" w:cs="Times New Roman"/>
                <w:sz w:val="21"/>
                <w:szCs w:val="21"/>
              </w:rPr>
            </w:pPr>
            <w:r>
              <w:rPr>
                <w:rFonts w:ascii="Times New Roman" w:hAnsi="Times New Roman" w:cs="Times New Roman"/>
                <w:sz w:val="21"/>
                <w:szCs w:val="21"/>
              </w:rPr>
              <w:t>47</w:t>
            </w:r>
          </w:p>
        </w:tc>
      </w:tr>
      <w:tr w14:paraId="364E43C6">
        <w:tblPrEx>
          <w:tblBorders>
            <w:top w:val="thinThickSmallGap" w:color="auto" w:sz="12" w:space="0"/>
            <w:left w:val="none" w:color="auto" w:sz="0" w:space="0"/>
            <w:bottom w:val="thickThinSmallGap"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88" w:hRule="atLeast"/>
          <w:jc w:val="center"/>
        </w:trPr>
        <w:tc>
          <w:tcPr>
            <w:tcW w:w="756" w:type="dxa"/>
            <w:noWrap w:val="0"/>
            <w:vAlign w:val="center"/>
          </w:tcPr>
          <w:p w14:paraId="7675509D">
            <w:pPr>
              <w:jc w:val="center"/>
              <w:rPr>
                <w:rFonts w:ascii="Times New Roman" w:hAnsi="Times New Roman" w:cs="Times New Roman"/>
                <w:sz w:val="21"/>
                <w:szCs w:val="21"/>
              </w:rPr>
            </w:pPr>
            <w:r>
              <w:rPr>
                <w:rFonts w:ascii="Times New Roman" w:hAnsi="Times New Roman" w:cs="Times New Roman"/>
                <w:sz w:val="21"/>
                <w:szCs w:val="21"/>
              </w:rPr>
              <w:t>18</w:t>
            </w:r>
          </w:p>
        </w:tc>
        <w:tc>
          <w:tcPr>
            <w:tcW w:w="2272" w:type="dxa"/>
            <w:noWrap w:val="0"/>
            <w:vAlign w:val="center"/>
          </w:tcPr>
          <w:p w14:paraId="7BE308C8">
            <w:pPr>
              <w:jc w:val="center"/>
              <w:rPr>
                <w:rFonts w:ascii="Times New Roman" w:hAnsi="Times New Roman" w:cs="Times New Roman"/>
                <w:sz w:val="21"/>
                <w:szCs w:val="21"/>
              </w:rPr>
            </w:pPr>
            <w:r>
              <w:rPr>
                <w:rFonts w:ascii="Times New Roman" w:hAnsi="Times New Roman" w:cs="Times New Roman"/>
                <w:sz w:val="21"/>
                <w:szCs w:val="21"/>
              </w:rPr>
              <w:t>1,1,1,2-四氯乙烷</w:t>
            </w:r>
          </w:p>
        </w:tc>
        <w:tc>
          <w:tcPr>
            <w:tcW w:w="1420" w:type="dxa"/>
            <w:noWrap w:val="0"/>
            <w:vAlign w:val="center"/>
          </w:tcPr>
          <w:p w14:paraId="16476EE0">
            <w:pPr>
              <w:spacing w:line="240" w:lineRule="exact"/>
              <w:jc w:val="center"/>
              <w:rPr>
                <w:rFonts w:ascii="Times New Roman" w:hAnsi="Times New Roman" w:cs="Times New Roman"/>
                <w:sz w:val="21"/>
                <w:szCs w:val="21"/>
              </w:rPr>
            </w:pPr>
            <w:r>
              <w:rPr>
                <w:rFonts w:ascii="Times New Roman" w:hAnsi="Times New Roman" w:cs="Times New Roman"/>
                <w:sz w:val="21"/>
                <w:szCs w:val="21"/>
              </w:rPr>
              <w:t>2.6</w:t>
            </w:r>
          </w:p>
        </w:tc>
        <w:tc>
          <w:tcPr>
            <w:tcW w:w="1420" w:type="dxa"/>
            <w:noWrap w:val="0"/>
            <w:vAlign w:val="center"/>
          </w:tcPr>
          <w:p w14:paraId="50990C8C">
            <w:pPr>
              <w:spacing w:line="240" w:lineRule="exact"/>
              <w:jc w:val="center"/>
              <w:rPr>
                <w:rFonts w:ascii="Times New Roman" w:hAnsi="Times New Roman" w:cs="Times New Roman"/>
                <w:sz w:val="21"/>
                <w:szCs w:val="21"/>
              </w:rPr>
            </w:pPr>
            <w:r>
              <w:rPr>
                <w:rFonts w:ascii="Times New Roman" w:hAnsi="Times New Roman" w:cs="Times New Roman"/>
                <w:sz w:val="21"/>
                <w:szCs w:val="21"/>
              </w:rPr>
              <w:t>26</w:t>
            </w:r>
          </w:p>
        </w:tc>
        <w:tc>
          <w:tcPr>
            <w:tcW w:w="1420" w:type="dxa"/>
            <w:noWrap w:val="0"/>
            <w:vAlign w:val="center"/>
          </w:tcPr>
          <w:p w14:paraId="0B18888C">
            <w:pPr>
              <w:spacing w:line="240" w:lineRule="exact"/>
              <w:jc w:val="center"/>
              <w:rPr>
                <w:rFonts w:ascii="Times New Roman" w:hAnsi="Times New Roman" w:cs="Times New Roman"/>
                <w:sz w:val="21"/>
                <w:szCs w:val="21"/>
              </w:rPr>
            </w:pPr>
            <w:r>
              <w:rPr>
                <w:rFonts w:ascii="Times New Roman" w:hAnsi="Times New Roman" w:cs="Times New Roman"/>
                <w:sz w:val="21"/>
                <w:szCs w:val="21"/>
              </w:rPr>
              <w:t>10</w:t>
            </w:r>
          </w:p>
        </w:tc>
        <w:tc>
          <w:tcPr>
            <w:tcW w:w="1324" w:type="dxa"/>
            <w:noWrap w:val="0"/>
            <w:vAlign w:val="center"/>
          </w:tcPr>
          <w:p w14:paraId="6F734DAE">
            <w:pPr>
              <w:spacing w:line="240" w:lineRule="exact"/>
              <w:jc w:val="center"/>
              <w:rPr>
                <w:rFonts w:ascii="Times New Roman" w:hAnsi="Times New Roman" w:cs="Times New Roman"/>
                <w:sz w:val="21"/>
                <w:szCs w:val="21"/>
              </w:rPr>
            </w:pPr>
            <w:r>
              <w:rPr>
                <w:rFonts w:ascii="Times New Roman" w:hAnsi="Times New Roman" w:cs="Times New Roman"/>
                <w:sz w:val="21"/>
                <w:szCs w:val="21"/>
              </w:rPr>
              <w:t>100</w:t>
            </w:r>
          </w:p>
        </w:tc>
      </w:tr>
      <w:tr w14:paraId="5D09FCD7">
        <w:tblPrEx>
          <w:tblBorders>
            <w:top w:val="thinThickSmallGap" w:color="auto" w:sz="12" w:space="0"/>
            <w:left w:val="none" w:color="auto" w:sz="0" w:space="0"/>
            <w:bottom w:val="thickThinSmallGap"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88" w:hRule="atLeast"/>
          <w:jc w:val="center"/>
        </w:trPr>
        <w:tc>
          <w:tcPr>
            <w:tcW w:w="756" w:type="dxa"/>
            <w:noWrap w:val="0"/>
            <w:vAlign w:val="center"/>
          </w:tcPr>
          <w:p w14:paraId="5F09E7DF">
            <w:pPr>
              <w:jc w:val="center"/>
              <w:rPr>
                <w:rFonts w:ascii="Times New Roman" w:hAnsi="Times New Roman" w:cs="Times New Roman"/>
                <w:sz w:val="21"/>
                <w:szCs w:val="21"/>
              </w:rPr>
            </w:pPr>
            <w:r>
              <w:rPr>
                <w:rFonts w:ascii="Times New Roman" w:hAnsi="Times New Roman" w:cs="Times New Roman"/>
                <w:sz w:val="21"/>
                <w:szCs w:val="21"/>
              </w:rPr>
              <w:t>19</w:t>
            </w:r>
          </w:p>
        </w:tc>
        <w:tc>
          <w:tcPr>
            <w:tcW w:w="2272" w:type="dxa"/>
            <w:noWrap w:val="0"/>
            <w:vAlign w:val="center"/>
          </w:tcPr>
          <w:p w14:paraId="656C5698">
            <w:pPr>
              <w:jc w:val="center"/>
              <w:rPr>
                <w:rFonts w:ascii="Times New Roman" w:hAnsi="Times New Roman" w:cs="Times New Roman"/>
                <w:sz w:val="21"/>
                <w:szCs w:val="21"/>
              </w:rPr>
            </w:pPr>
            <w:r>
              <w:rPr>
                <w:rFonts w:ascii="Times New Roman" w:hAnsi="Times New Roman" w:cs="Times New Roman"/>
                <w:sz w:val="21"/>
                <w:szCs w:val="21"/>
              </w:rPr>
              <w:t>1,1,2,2-四氯乙烷</w:t>
            </w:r>
          </w:p>
        </w:tc>
        <w:tc>
          <w:tcPr>
            <w:tcW w:w="1420" w:type="dxa"/>
            <w:noWrap w:val="0"/>
            <w:vAlign w:val="center"/>
          </w:tcPr>
          <w:p w14:paraId="4F764D86">
            <w:pPr>
              <w:spacing w:line="240" w:lineRule="exact"/>
              <w:jc w:val="center"/>
              <w:rPr>
                <w:rFonts w:ascii="Times New Roman" w:hAnsi="Times New Roman" w:cs="Times New Roman"/>
                <w:sz w:val="21"/>
                <w:szCs w:val="21"/>
              </w:rPr>
            </w:pPr>
            <w:r>
              <w:rPr>
                <w:rFonts w:ascii="Times New Roman" w:hAnsi="Times New Roman" w:cs="Times New Roman"/>
                <w:sz w:val="21"/>
                <w:szCs w:val="21"/>
              </w:rPr>
              <w:t>1.6</w:t>
            </w:r>
          </w:p>
        </w:tc>
        <w:tc>
          <w:tcPr>
            <w:tcW w:w="1420" w:type="dxa"/>
            <w:noWrap w:val="0"/>
            <w:vAlign w:val="center"/>
          </w:tcPr>
          <w:p w14:paraId="31A45C5C">
            <w:pPr>
              <w:spacing w:line="240" w:lineRule="exact"/>
              <w:jc w:val="center"/>
              <w:rPr>
                <w:rFonts w:ascii="Times New Roman" w:hAnsi="Times New Roman" w:cs="Times New Roman"/>
                <w:sz w:val="21"/>
                <w:szCs w:val="21"/>
              </w:rPr>
            </w:pPr>
            <w:r>
              <w:rPr>
                <w:rFonts w:ascii="Times New Roman" w:hAnsi="Times New Roman" w:cs="Times New Roman"/>
                <w:sz w:val="21"/>
                <w:szCs w:val="21"/>
              </w:rPr>
              <w:t>14</w:t>
            </w:r>
          </w:p>
        </w:tc>
        <w:tc>
          <w:tcPr>
            <w:tcW w:w="1420" w:type="dxa"/>
            <w:noWrap w:val="0"/>
            <w:vAlign w:val="center"/>
          </w:tcPr>
          <w:p w14:paraId="17ACF730">
            <w:pPr>
              <w:spacing w:line="240" w:lineRule="exact"/>
              <w:jc w:val="center"/>
              <w:rPr>
                <w:rFonts w:ascii="Times New Roman" w:hAnsi="Times New Roman" w:cs="Times New Roman"/>
                <w:sz w:val="21"/>
                <w:szCs w:val="21"/>
              </w:rPr>
            </w:pPr>
            <w:r>
              <w:rPr>
                <w:rFonts w:ascii="Times New Roman" w:hAnsi="Times New Roman" w:cs="Times New Roman"/>
                <w:sz w:val="21"/>
                <w:szCs w:val="21"/>
              </w:rPr>
              <w:t>6.8</w:t>
            </w:r>
          </w:p>
        </w:tc>
        <w:tc>
          <w:tcPr>
            <w:tcW w:w="1324" w:type="dxa"/>
            <w:noWrap w:val="0"/>
            <w:vAlign w:val="center"/>
          </w:tcPr>
          <w:p w14:paraId="1E25F337">
            <w:pPr>
              <w:spacing w:line="240" w:lineRule="exact"/>
              <w:jc w:val="center"/>
              <w:rPr>
                <w:rFonts w:ascii="Times New Roman" w:hAnsi="Times New Roman" w:cs="Times New Roman"/>
                <w:sz w:val="21"/>
                <w:szCs w:val="21"/>
              </w:rPr>
            </w:pPr>
            <w:r>
              <w:rPr>
                <w:rFonts w:ascii="Times New Roman" w:hAnsi="Times New Roman" w:cs="Times New Roman"/>
                <w:sz w:val="21"/>
                <w:szCs w:val="21"/>
              </w:rPr>
              <w:t>50</w:t>
            </w:r>
          </w:p>
        </w:tc>
      </w:tr>
      <w:tr w14:paraId="68B6E9BA">
        <w:tblPrEx>
          <w:tblBorders>
            <w:top w:val="thinThickSmallGap" w:color="auto" w:sz="12" w:space="0"/>
            <w:left w:val="none" w:color="auto" w:sz="0" w:space="0"/>
            <w:bottom w:val="thickThinSmallGap"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88" w:hRule="atLeast"/>
          <w:jc w:val="center"/>
        </w:trPr>
        <w:tc>
          <w:tcPr>
            <w:tcW w:w="756" w:type="dxa"/>
            <w:noWrap w:val="0"/>
            <w:vAlign w:val="center"/>
          </w:tcPr>
          <w:p w14:paraId="745788F3">
            <w:pPr>
              <w:jc w:val="center"/>
              <w:rPr>
                <w:rFonts w:ascii="Times New Roman" w:hAnsi="Times New Roman" w:cs="Times New Roman"/>
                <w:sz w:val="21"/>
                <w:szCs w:val="21"/>
              </w:rPr>
            </w:pPr>
            <w:r>
              <w:rPr>
                <w:rFonts w:ascii="Times New Roman" w:hAnsi="Times New Roman" w:cs="Times New Roman"/>
                <w:sz w:val="21"/>
                <w:szCs w:val="21"/>
              </w:rPr>
              <w:t>20</w:t>
            </w:r>
          </w:p>
        </w:tc>
        <w:tc>
          <w:tcPr>
            <w:tcW w:w="2272" w:type="dxa"/>
            <w:noWrap w:val="0"/>
            <w:vAlign w:val="center"/>
          </w:tcPr>
          <w:p w14:paraId="3A6A8D12">
            <w:pPr>
              <w:jc w:val="center"/>
              <w:rPr>
                <w:rFonts w:ascii="Times New Roman" w:hAnsi="Times New Roman" w:cs="Times New Roman"/>
                <w:sz w:val="21"/>
                <w:szCs w:val="21"/>
              </w:rPr>
            </w:pPr>
            <w:r>
              <w:rPr>
                <w:rFonts w:ascii="Times New Roman" w:hAnsi="Times New Roman" w:cs="Times New Roman"/>
                <w:sz w:val="21"/>
                <w:szCs w:val="21"/>
              </w:rPr>
              <w:t>四氯乙烯</w:t>
            </w:r>
          </w:p>
        </w:tc>
        <w:tc>
          <w:tcPr>
            <w:tcW w:w="1420" w:type="dxa"/>
            <w:noWrap w:val="0"/>
            <w:vAlign w:val="center"/>
          </w:tcPr>
          <w:p w14:paraId="6BFE9528">
            <w:pPr>
              <w:spacing w:line="240" w:lineRule="exact"/>
              <w:jc w:val="center"/>
              <w:rPr>
                <w:rFonts w:ascii="Times New Roman" w:hAnsi="Times New Roman" w:cs="Times New Roman"/>
                <w:sz w:val="21"/>
                <w:szCs w:val="21"/>
              </w:rPr>
            </w:pPr>
            <w:r>
              <w:rPr>
                <w:rFonts w:ascii="Times New Roman" w:hAnsi="Times New Roman" w:cs="Times New Roman"/>
                <w:sz w:val="21"/>
                <w:szCs w:val="21"/>
              </w:rPr>
              <w:t>11</w:t>
            </w:r>
          </w:p>
        </w:tc>
        <w:tc>
          <w:tcPr>
            <w:tcW w:w="1420" w:type="dxa"/>
            <w:noWrap w:val="0"/>
            <w:vAlign w:val="center"/>
          </w:tcPr>
          <w:p w14:paraId="18B1F209">
            <w:pPr>
              <w:spacing w:line="240" w:lineRule="exact"/>
              <w:jc w:val="center"/>
              <w:rPr>
                <w:rFonts w:ascii="Times New Roman" w:hAnsi="Times New Roman" w:cs="Times New Roman"/>
                <w:sz w:val="21"/>
                <w:szCs w:val="21"/>
              </w:rPr>
            </w:pPr>
            <w:r>
              <w:rPr>
                <w:rFonts w:ascii="Times New Roman" w:hAnsi="Times New Roman" w:cs="Times New Roman"/>
                <w:sz w:val="21"/>
                <w:szCs w:val="21"/>
              </w:rPr>
              <w:t>34</w:t>
            </w:r>
          </w:p>
        </w:tc>
        <w:tc>
          <w:tcPr>
            <w:tcW w:w="1420" w:type="dxa"/>
            <w:noWrap w:val="0"/>
            <w:vAlign w:val="center"/>
          </w:tcPr>
          <w:p w14:paraId="6032D3EE">
            <w:pPr>
              <w:spacing w:line="240" w:lineRule="exact"/>
              <w:jc w:val="center"/>
              <w:rPr>
                <w:rFonts w:ascii="Times New Roman" w:hAnsi="Times New Roman" w:cs="Times New Roman"/>
                <w:sz w:val="21"/>
                <w:szCs w:val="21"/>
              </w:rPr>
            </w:pPr>
            <w:r>
              <w:rPr>
                <w:rFonts w:ascii="Times New Roman" w:hAnsi="Times New Roman" w:cs="Times New Roman"/>
                <w:sz w:val="21"/>
                <w:szCs w:val="21"/>
              </w:rPr>
              <w:t>53</w:t>
            </w:r>
          </w:p>
        </w:tc>
        <w:tc>
          <w:tcPr>
            <w:tcW w:w="1324" w:type="dxa"/>
            <w:noWrap w:val="0"/>
            <w:vAlign w:val="center"/>
          </w:tcPr>
          <w:p w14:paraId="3D8F3AEA">
            <w:pPr>
              <w:spacing w:line="240" w:lineRule="exact"/>
              <w:jc w:val="center"/>
              <w:rPr>
                <w:rFonts w:ascii="Times New Roman" w:hAnsi="Times New Roman" w:cs="Times New Roman"/>
                <w:sz w:val="21"/>
                <w:szCs w:val="21"/>
              </w:rPr>
            </w:pPr>
            <w:r>
              <w:rPr>
                <w:rFonts w:ascii="Times New Roman" w:hAnsi="Times New Roman" w:cs="Times New Roman"/>
                <w:sz w:val="21"/>
                <w:szCs w:val="21"/>
              </w:rPr>
              <w:t>183</w:t>
            </w:r>
          </w:p>
        </w:tc>
      </w:tr>
      <w:tr w14:paraId="15946416">
        <w:tblPrEx>
          <w:tblBorders>
            <w:top w:val="thinThickSmallGap" w:color="auto" w:sz="12" w:space="0"/>
            <w:left w:val="none" w:color="auto" w:sz="0" w:space="0"/>
            <w:bottom w:val="thickThinSmallGap"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88" w:hRule="atLeast"/>
          <w:jc w:val="center"/>
        </w:trPr>
        <w:tc>
          <w:tcPr>
            <w:tcW w:w="756" w:type="dxa"/>
            <w:noWrap w:val="0"/>
            <w:vAlign w:val="center"/>
          </w:tcPr>
          <w:p w14:paraId="7AACA432">
            <w:pPr>
              <w:jc w:val="center"/>
              <w:rPr>
                <w:rFonts w:ascii="Times New Roman" w:hAnsi="Times New Roman" w:cs="Times New Roman"/>
                <w:sz w:val="21"/>
                <w:szCs w:val="21"/>
              </w:rPr>
            </w:pPr>
            <w:r>
              <w:rPr>
                <w:rFonts w:ascii="Times New Roman" w:hAnsi="Times New Roman" w:cs="Times New Roman"/>
                <w:sz w:val="21"/>
                <w:szCs w:val="21"/>
              </w:rPr>
              <w:t>21</w:t>
            </w:r>
          </w:p>
        </w:tc>
        <w:tc>
          <w:tcPr>
            <w:tcW w:w="2272" w:type="dxa"/>
            <w:noWrap w:val="0"/>
            <w:vAlign w:val="center"/>
          </w:tcPr>
          <w:p w14:paraId="467CC6FC">
            <w:pPr>
              <w:jc w:val="center"/>
              <w:rPr>
                <w:rFonts w:ascii="Times New Roman" w:hAnsi="Times New Roman" w:cs="Times New Roman"/>
                <w:sz w:val="21"/>
                <w:szCs w:val="21"/>
              </w:rPr>
            </w:pPr>
            <w:r>
              <w:rPr>
                <w:rFonts w:ascii="Times New Roman" w:hAnsi="Times New Roman" w:cs="Times New Roman"/>
                <w:sz w:val="21"/>
                <w:szCs w:val="21"/>
              </w:rPr>
              <w:t>1,1,1-三氯乙烷</w:t>
            </w:r>
          </w:p>
        </w:tc>
        <w:tc>
          <w:tcPr>
            <w:tcW w:w="1420" w:type="dxa"/>
            <w:noWrap w:val="0"/>
            <w:vAlign w:val="center"/>
          </w:tcPr>
          <w:p w14:paraId="0A7C92DF">
            <w:pPr>
              <w:spacing w:line="240" w:lineRule="exact"/>
              <w:jc w:val="center"/>
              <w:rPr>
                <w:rFonts w:ascii="Times New Roman" w:hAnsi="Times New Roman" w:cs="Times New Roman"/>
                <w:sz w:val="21"/>
                <w:szCs w:val="21"/>
              </w:rPr>
            </w:pPr>
            <w:r>
              <w:rPr>
                <w:rFonts w:ascii="Times New Roman" w:hAnsi="Times New Roman" w:cs="Times New Roman"/>
                <w:sz w:val="21"/>
                <w:szCs w:val="21"/>
              </w:rPr>
              <w:t>701</w:t>
            </w:r>
          </w:p>
        </w:tc>
        <w:tc>
          <w:tcPr>
            <w:tcW w:w="1420" w:type="dxa"/>
            <w:noWrap w:val="0"/>
            <w:vAlign w:val="center"/>
          </w:tcPr>
          <w:p w14:paraId="385CFC24">
            <w:pPr>
              <w:spacing w:line="240" w:lineRule="exact"/>
              <w:jc w:val="center"/>
              <w:rPr>
                <w:rFonts w:ascii="Times New Roman" w:hAnsi="Times New Roman" w:cs="Times New Roman"/>
                <w:sz w:val="21"/>
                <w:szCs w:val="21"/>
              </w:rPr>
            </w:pPr>
            <w:r>
              <w:rPr>
                <w:rFonts w:ascii="Times New Roman" w:hAnsi="Times New Roman" w:cs="Times New Roman"/>
                <w:sz w:val="21"/>
                <w:szCs w:val="21"/>
              </w:rPr>
              <w:t>840</w:t>
            </w:r>
          </w:p>
        </w:tc>
        <w:tc>
          <w:tcPr>
            <w:tcW w:w="1420" w:type="dxa"/>
            <w:noWrap w:val="0"/>
            <w:vAlign w:val="center"/>
          </w:tcPr>
          <w:p w14:paraId="677AA4D3">
            <w:pPr>
              <w:spacing w:line="240" w:lineRule="exact"/>
              <w:jc w:val="center"/>
              <w:rPr>
                <w:rFonts w:ascii="Times New Roman" w:hAnsi="Times New Roman" w:cs="Times New Roman"/>
                <w:sz w:val="21"/>
                <w:szCs w:val="21"/>
              </w:rPr>
            </w:pPr>
            <w:r>
              <w:rPr>
                <w:rFonts w:ascii="Times New Roman" w:hAnsi="Times New Roman" w:cs="Times New Roman"/>
                <w:sz w:val="21"/>
                <w:szCs w:val="21"/>
              </w:rPr>
              <w:t>840</w:t>
            </w:r>
          </w:p>
        </w:tc>
        <w:tc>
          <w:tcPr>
            <w:tcW w:w="1324" w:type="dxa"/>
            <w:noWrap w:val="0"/>
            <w:vAlign w:val="center"/>
          </w:tcPr>
          <w:p w14:paraId="58B7228F">
            <w:pPr>
              <w:spacing w:line="240" w:lineRule="exact"/>
              <w:jc w:val="center"/>
              <w:rPr>
                <w:rFonts w:ascii="Times New Roman" w:hAnsi="Times New Roman" w:cs="Times New Roman"/>
                <w:sz w:val="21"/>
                <w:szCs w:val="21"/>
              </w:rPr>
            </w:pPr>
            <w:r>
              <w:rPr>
                <w:rFonts w:ascii="Times New Roman" w:hAnsi="Times New Roman" w:cs="Times New Roman"/>
                <w:sz w:val="21"/>
                <w:szCs w:val="21"/>
              </w:rPr>
              <w:t>840</w:t>
            </w:r>
          </w:p>
        </w:tc>
      </w:tr>
      <w:tr w14:paraId="27E31192">
        <w:tblPrEx>
          <w:tblBorders>
            <w:top w:val="thinThickSmallGap" w:color="auto" w:sz="12" w:space="0"/>
            <w:left w:val="none" w:color="auto" w:sz="0" w:space="0"/>
            <w:bottom w:val="thickThinSmallGap"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88" w:hRule="atLeast"/>
          <w:jc w:val="center"/>
        </w:trPr>
        <w:tc>
          <w:tcPr>
            <w:tcW w:w="756" w:type="dxa"/>
            <w:noWrap w:val="0"/>
            <w:vAlign w:val="center"/>
          </w:tcPr>
          <w:p w14:paraId="10A86F83">
            <w:pPr>
              <w:jc w:val="center"/>
              <w:rPr>
                <w:rFonts w:ascii="Times New Roman" w:hAnsi="Times New Roman" w:cs="Times New Roman"/>
                <w:sz w:val="21"/>
                <w:szCs w:val="21"/>
              </w:rPr>
            </w:pPr>
            <w:r>
              <w:rPr>
                <w:rFonts w:ascii="Times New Roman" w:hAnsi="Times New Roman" w:cs="Times New Roman"/>
                <w:sz w:val="21"/>
                <w:szCs w:val="21"/>
              </w:rPr>
              <w:t>22</w:t>
            </w:r>
          </w:p>
        </w:tc>
        <w:tc>
          <w:tcPr>
            <w:tcW w:w="2272" w:type="dxa"/>
            <w:noWrap w:val="0"/>
            <w:vAlign w:val="center"/>
          </w:tcPr>
          <w:p w14:paraId="171BEC2A">
            <w:pPr>
              <w:jc w:val="center"/>
              <w:rPr>
                <w:rFonts w:ascii="Times New Roman" w:hAnsi="Times New Roman" w:cs="Times New Roman"/>
                <w:sz w:val="21"/>
                <w:szCs w:val="21"/>
              </w:rPr>
            </w:pPr>
            <w:r>
              <w:rPr>
                <w:rFonts w:ascii="Times New Roman" w:hAnsi="Times New Roman" w:cs="Times New Roman"/>
                <w:sz w:val="21"/>
                <w:szCs w:val="21"/>
              </w:rPr>
              <w:t>1,1,2-三氯乙烷</w:t>
            </w:r>
          </w:p>
        </w:tc>
        <w:tc>
          <w:tcPr>
            <w:tcW w:w="1420" w:type="dxa"/>
            <w:noWrap w:val="0"/>
            <w:vAlign w:val="center"/>
          </w:tcPr>
          <w:p w14:paraId="7A47ADB4">
            <w:pPr>
              <w:spacing w:line="240" w:lineRule="exact"/>
              <w:jc w:val="center"/>
              <w:rPr>
                <w:rFonts w:ascii="Times New Roman" w:hAnsi="Times New Roman" w:cs="Times New Roman"/>
                <w:sz w:val="21"/>
                <w:szCs w:val="21"/>
              </w:rPr>
            </w:pPr>
            <w:r>
              <w:rPr>
                <w:rFonts w:ascii="Times New Roman" w:hAnsi="Times New Roman" w:cs="Times New Roman"/>
                <w:sz w:val="21"/>
                <w:szCs w:val="21"/>
              </w:rPr>
              <w:t>0.6</w:t>
            </w:r>
          </w:p>
        </w:tc>
        <w:tc>
          <w:tcPr>
            <w:tcW w:w="1420" w:type="dxa"/>
            <w:noWrap w:val="0"/>
            <w:vAlign w:val="center"/>
          </w:tcPr>
          <w:p w14:paraId="756C529F">
            <w:pPr>
              <w:spacing w:line="240" w:lineRule="exact"/>
              <w:jc w:val="center"/>
              <w:rPr>
                <w:rFonts w:ascii="Times New Roman" w:hAnsi="Times New Roman" w:cs="Times New Roman"/>
                <w:sz w:val="21"/>
                <w:szCs w:val="21"/>
              </w:rPr>
            </w:pPr>
            <w:r>
              <w:rPr>
                <w:rFonts w:ascii="Times New Roman" w:hAnsi="Times New Roman" w:cs="Times New Roman"/>
                <w:sz w:val="21"/>
                <w:szCs w:val="21"/>
              </w:rPr>
              <w:t>5</w:t>
            </w:r>
          </w:p>
        </w:tc>
        <w:tc>
          <w:tcPr>
            <w:tcW w:w="1420" w:type="dxa"/>
            <w:noWrap w:val="0"/>
            <w:vAlign w:val="center"/>
          </w:tcPr>
          <w:p w14:paraId="7C0CABC9">
            <w:pPr>
              <w:spacing w:line="240" w:lineRule="exact"/>
              <w:jc w:val="center"/>
              <w:rPr>
                <w:rFonts w:ascii="Times New Roman" w:hAnsi="Times New Roman" w:cs="Times New Roman"/>
                <w:sz w:val="21"/>
                <w:szCs w:val="21"/>
              </w:rPr>
            </w:pPr>
            <w:r>
              <w:rPr>
                <w:rFonts w:ascii="Times New Roman" w:hAnsi="Times New Roman" w:cs="Times New Roman"/>
                <w:sz w:val="21"/>
                <w:szCs w:val="21"/>
              </w:rPr>
              <w:t>2.8</w:t>
            </w:r>
          </w:p>
        </w:tc>
        <w:tc>
          <w:tcPr>
            <w:tcW w:w="1324" w:type="dxa"/>
            <w:noWrap w:val="0"/>
            <w:vAlign w:val="center"/>
          </w:tcPr>
          <w:p w14:paraId="51241FCC">
            <w:pPr>
              <w:spacing w:line="240" w:lineRule="exact"/>
              <w:jc w:val="center"/>
              <w:rPr>
                <w:rFonts w:ascii="Times New Roman" w:hAnsi="Times New Roman" w:cs="Times New Roman"/>
                <w:sz w:val="21"/>
                <w:szCs w:val="21"/>
              </w:rPr>
            </w:pPr>
            <w:r>
              <w:rPr>
                <w:rFonts w:ascii="Times New Roman" w:hAnsi="Times New Roman" w:cs="Times New Roman"/>
                <w:sz w:val="21"/>
                <w:szCs w:val="21"/>
              </w:rPr>
              <w:t>15</w:t>
            </w:r>
          </w:p>
        </w:tc>
      </w:tr>
      <w:tr w14:paraId="78872C51">
        <w:tblPrEx>
          <w:tblBorders>
            <w:top w:val="thinThickSmallGap" w:color="auto" w:sz="12" w:space="0"/>
            <w:left w:val="none" w:color="auto" w:sz="0" w:space="0"/>
            <w:bottom w:val="thickThinSmallGap"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88" w:hRule="atLeast"/>
          <w:jc w:val="center"/>
        </w:trPr>
        <w:tc>
          <w:tcPr>
            <w:tcW w:w="756" w:type="dxa"/>
            <w:noWrap w:val="0"/>
            <w:vAlign w:val="center"/>
          </w:tcPr>
          <w:p w14:paraId="3A1EC29C">
            <w:pPr>
              <w:jc w:val="center"/>
              <w:rPr>
                <w:rFonts w:ascii="Times New Roman" w:hAnsi="Times New Roman" w:cs="Times New Roman"/>
                <w:sz w:val="21"/>
                <w:szCs w:val="21"/>
              </w:rPr>
            </w:pPr>
            <w:r>
              <w:rPr>
                <w:rFonts w:ascii="Times New Roman" w:hAnsi="Times New Roman" w:cs="Times New Roman"/>
                <w:sz w:val="21"/>
                <w:szCs w:val="21"/>
              </w:rPr>
              <w:t>23</w:t>
            </w:r>
          </w:p>
        </w:tc>
        <w:tc>
          <w:tcPr>
            <w:tcW w:w="2272" w:type="dxa"/>
            <w:noWrap w:val="0"/>
            <w:vAlign w:val="center"/>
          </w:tcPr>
          <w:p w14:paraId="69CA22B3">
            <w:pPr>
              <w:jc w:val="center"/>
              <w:rPr>
                <w:rFonts w:ascii="Times New Roman" w:hAnsi="Times New Roman" w:cs="Times New Roman"/>
                <w:sz w:val="21"/>
                <w:szCs w:val="21"/>
              </w:rPr>
            </w:pPr>
            <w:r>
              <w:rPr>
                <w:rFonts w:ascii="Times New Roman" w:hAnsi="Times New Roman" w:cs="Times New Roman"/>
                <w:sz w:val="21"/>
                <w:szCs w:val="21"/>
              </w:rPr>
              <w:t>三氯乙烯</w:t>
            </w:r>
          </w:p>
        </w:tc>
        <w:tc>
          <w:tcPr>
            <w:tcW w:w="1420" w:type="dxa"/>
            <w:noWrap w:val="0"/>
            <w:vAlign w:val="center"/>
          </w:tcPr>
          <w:p w14:paraId="5463964D">
            <w:pPr>
              <w:spacing w:line="240" w:lineRule="exact"/>
              <w:jc w:val="center"/>
              <w:rPr>
                <w:rFonts w:ascii="Times New Roman" w:hAnsi="Times New Roman" w:cs="Times New Roman"/>
                <w:sz w:val="21"/>
                <w:szCs w:val="21"/>
              </w:rPr>
            </w:pPr>
            <w:r>
              <w:rPr>
                <w:rFonts w:ascii="Times New Roman" w:hAnsi="Times New Roman" w:cs="Times New Roman"/>
                <w:sz w:val="21"/>
                <w:szCs w:val="21"/>
              </w:rPr>
              <w:t>0.7</w:t>
            </w:r>
          </w:p>
        </w:tc>
        <w:tc>
          <w:tcPr>
            <w:tcW w:w="1420" w:type="dxa"/>
            <w:noWrap w:val="0"/>
            <w:vAlign w:val="center"/>
          </w:tcPr>
          <w:p w14:paraId="751271CC">
            <w:pPr>
              <w:spacing w:line="240" w:lineRule="exact"/>
              <w:jc w:val="center"/>
              <w:rPr>
                <w:rFonts w:ascii="Times New Roman" w:hAnsi="Times New Roman" w:cs="Times New Roman"/>
                <w:sz w:val="21"/>
                <w:szCs w:val="21"/>
              </w:rPr>
            </w:pPr>
            <w:r>
              <w:rPr>
                <w:rFonts w:ascii="Times New Roman" w:hAnsi="Times New Roman" w:cs="Times New Roman"/>
                <w:sz w:val="21"/>
                <w:szCs w:val="21"/>
              </w:rPr>
              <w:t>7</w:t>
            </w:r>
          </w:p>
        </w:tc>
        <w:tc>
          <w:tcPr>
            <w:tcW w:w="1420" w:type="dxa"/>
            <w:noWrap w:val="0"/>
            <w:vAlign w:val="center"/>
          </w:tcPr>
          <w:p w14:paraId="59526468">
            <w:pPr>
              <w:spacing w:line="240" w:lineRule="exact"/>
              <w:jc w:val="center"/>
              <w:rPr>
                <w:rFonts w:ascii="Times New Roman" w:hAnsi="Times New Roman" w:cs="Times New Roman"/>
                <w:sz w:val="21"/>
                <w:szCs w:val="21"/>
              </w:rPr>
            </w:pPr>
            <w:r>
              <w:rPr>
                <w:rFonts w:ascii="Times New Roman" w:hAnsi="Times New Roman" w:cs="Times New Roman"/>
                <w:sz w:val="21"/>
                <w:szCs w:val="21"/>
              </w:rPr>
              <w:t>2.8</w:t>
            </w:r>
          </w:p>
        </w:tc>
        <w:tc>
          <w:tcPr>
            <w:tcW w:w="1324" w:type="dxa"/>
            <w:noWrap w:val="0"/>
            <w:vAlign w:val="center"/>
          </w:tcPr>
          <w:p w14:paraId="319BC6F5">
            <w:pPr>
              <w:spacing w:line="240" w:lineRule="exact"/>
              <w:jc w:val="center"/>
              <w:rPr>
                <w:rFonts w:ascii="Times New Roman" w:hAnsi="Times New Roman" w:cs="Times New Roman"/>
                <w:sz w:val="21"/>
                <w:szCs w:val="21"/>
              </w:rPr>
            </w:pPr>
            <w:r>
              <w:rPr>
                <w:rFonts w:ascii="Times New Roman" w:hAnsi="Times New Roman" w:cs="Times New Roman"/>
                <w:sz w:val="21"/>
                <w:szCs w:val="21"/>
              </w:rPr>
              <w:t>20</w:t>
            </w:r>
          </w:p>
        </w:tc>
      </w:tr>
      <w:tr w14:paraId="33171939">
        <w:tblPrEx>
          <w:tblBorders>
            <w:top w:val="thinThickSmallGap" w:color="auto" w:sz="12" w:space="0"/>
            <w:left w:val="none" w:color="auto" w:sz="0" w:space="0"/>
            <w:bottom w:val="thickThinSmallGap"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88" w:hRule="atLeast"/>
          <w:jc w:val="center"/>
        </w:trPr>
        <w:tc>
          <w:tcPr>
            <w:tcW w:w="756" w:type="dxa"/>
            <w:noWrap w:val="0"/>
            <w:vAlign w:val="center"/>
          </w:tcPr>
          <w:p w14:paraId="69DBD075">
            <w:pPr>
              <w:jc w:val="center"/>
              <w:rPr>
                <w:rFonts w:ascii="Times New Roman" w:hAnsi="Times New Roman" w:cs="Times New Roman"/>
                <w:sz w:val="21"/>
                <w:szCs w:val="21"/>
              </w:rPr>
            </w:pPr>
            <w:r>
              <w:rPr>
                <w:rFonts w:ascii="Times New Roman" w:hAnsi="Times New Roman" w:cs="Times New Roman"/>
                <w:sz w:val="21"/>
                <w:szCs w:val="21"/>
              </w:rPr>
              <w:t>24</w:t>
            </w:r>
          </w:p>
        </w:tc>
        <w:tc>
          <w:tcPr>
            <w:tcW w:w="2272" w:type="dxa"/>
            <w:noWrap w:val="0"/>
            <w:vAlign w:val="center"/>
          </w:tcPr>
          <w:p w14:paraId="2F7E4D56">
            <w:pPr>
              <w:jc w:val="center"/>
              <w:rPr>
                <w:rFonts w:ascii="Times New Roman" w:hAnsi="Times New Roman" w:cs="Times New Roman"/>
                <w:sz w:val="21"/>
                <w:szCs w:val="21"/>
              </w:rPr>
            </w:pPr>
            <w:r>
              <w:rPr>
                <w:rFonts w:ascii="Times New Roman" w:hAnsi="Times New Roman" w:cs="Times New Roman"/>
                <w:sz w:val="21"/>
                <w:szCs w:val="21"/>
              </w:rPr>
              <w:t>1,2,3-三氯丙烷</w:t>
            </w:r>
          </w:p>
        </w:tc>
        <w:tc>
          <w:tcPr>
            <w:tcW w:w="1420" w:type="dxa"/>
            <w:noWrap w:val="0"/>
            <w:vAlign w:val="center"/>
          </w:tcPr>
          <w:p w14:paraId="13D2CD97">
            <w:pPr>
              <w:spacing w:line="240" w:lineRule="exact"/>
              <w:jc w:val="center"/>
              <w:rPr>
                <w:rFonts w:ascii="Times New Roman" w:hAnsi="Times New Roman" w:cs="Times New Roman"/>
                <w:sz w:val="21"/>
                <w:szCs w:val="21"/>
              </w:rPr>
            </w:pPr>
            <w:r>
              <w:rPr>
                <w:rFonts w:ascii="Times New Roman" w:hAnsi="Times New Roman" w:cs="Times New Roman"/>
                <w:sz w:val="21"/>
                <w:szCs w:val="21"/>
              </w:rPr>
              <w:t>0.05</w:t>
            </w:r>
          </w:p>
        </w:tc>
        <w:tc>
          <w:tcPr>
            <w:tcW w:w="1420" w:type="dxa"/>
            <w:noWrap w:val="0"/>
            <w:vAlign w:val="center"/>
          </w:tcPr>
          <w:p w14:paraId="11048798">
            <w:pPr>
              <w:spacing w:line="240" w:lineRule="exact"/>
              <w:jc w:val="center"/>
              <w:rPr>
                <w:rFonts w:ascii="Times New Roman" w:hAnsi="Times New Roman" w:cs="Times New Roman"/>
                <w:sz w:val="21"/>
                <w:szCs w:val="21"/>
              </w:rPr>
            </w:pPr>
            <w:r>
              <w:rPr>
                <w:rFonts w:ascii="Times New Roman" w:hAnsi="Times New Roman" w:cs="Times New Roman"/>
                <w:sz w:val="21"/>
                <w:szCs w:val="21"/>
              </w:rPr>
              <w:t>0.5</w:t>
            </w:r>
          </w:p>
        </w:tc>
        <w:tc>
          <w:tcPr>
            <w:tcW w:w="1420" w:type="dxa"/>
            <w:noWrap w:val="0"/>
            <w:vAlign w:val="center"/>
          </w:tcPr>
          <w:p w14:paraId="468F934C">
            <w:pPr>
              <w:spacing w:line="240" w:lineRule="exact"/>
              <w:jc w:val="center"/>
              <w:rPr>
                <w:rFonts w:ascii="Times New Roman" w:hAnsi="Times New Roman" w:cs="Times New Roman"/>
                <w:sz w:val="21"/>
                <w:szCs w:val="21"/>
              </w:rPr>
            </w:pPr>
            <w:r>
              <w:rPr>
                <w:rFonts w:ascii="Times New Roman" w:hAnsi="Times New Roman" w:cs="Times New Roman"/>
                <w:sz w:val="21"/>
                <w:szCs w:val="21"/>
              </w:rPr>
              <w:t>0.5</w:t>
            </w:r>
          </w:p>
        </w:tc>
        <w:tc>
          <w:tcPr>
            <w:tcW w:w="1324" w:type="dxa"/>
            <w:noWrap w:val="0"/>
            <w:vAlign w:val="center"/>
          </w:tcPr>
          <w:p w14:paraId="154B12C5">
            <w:pPr>
              <w:spacing w:line="240" w:lineRule="exact"/>
              <w:jc w:val="center"/>
              <w:rPr>
                <w:rFonts w:ascii="Times New Roman" w:hAnsi="Times New Roman" w:cs="Times New Roman"/>
                <w:sz w:val="21"/>
                <w:szCs w:val="21"/>
              </w:rPr>
            </w:pPr>
            <w:r>
              <w:rPr>
                <w:rFonts w:ascii="Times New Roman" w:hAnsi="Times New Roman" w:cs="Times New Roman"/>
                <w:sz w:val="21"/>
                <w:szCs w:val="21"/>
              </w:rPr>
              <w:t>5</w:t>
            </w:r>
          </w:p>
        </w:tc>
      </w:tr>
      <w:tr w14:paraId="51FD88BE">
        <w:tblPrEx>
          <w:tblBorders>
            <w:top w:val="thinThickSmallGap" w:color="auto" w:sz="12" w:space="0"/>
            <w:left w:val="none" w:color="auto" w:sz="0" w:space="0"/>
            <w:bottom w:val="thickThinSmallGap"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88" w:hRule="atLeast"/>
          <w:jc w:val="center"/>
        </w:trPr>
        <w:tc>
          <w:tcPr>
            <w:tcW w:w="756" w:type="dxa"/>
            <w:noWrap w:val="0"/>
            <w:vAlign w:val="center"/>
          </w:tcPr>
          <w:p w14:paraId="5AD871C9">
            <w:pPr>
              <w:jc w:val="center"/>
              <w:rPr>
                <w:rFonts w:ascii="Times New Roman" w:hAnsi="Times New Roman" w:cs="Times New Roman"/>
                <w:sz w:val="21"/>
                <w:szCs w:val="21"/>
              </w:rPr>
            </w:pPr>
            <w:r>
              <w:rPr>
                <w:rFonts w:ascii="Times New Roman" w:hAnsi="Times New Roman" w:cs="Times New Roman"/>
                <w:sz w:val="21"/>
                <w:szCs w:val="21"/>
              </w:rPr>
              <w:t>25</w:t>
            </w:r>
          </w:p>
        </w:tc>
        <w:tc>
          <w:tcPr>
            <w:tcW w:w="2272" w:type="dxa"/>
            <w:noWrap w:val="0"/>
            <w:vAlign w:val="center"/>
          </w:tcPr>
          <w:p w14:paraId="57CA74D3">
            <w:pPr>
              <w:jc w:val="center"/>
              <w:rPr>
                <w:rFonts w:ascii="Times New Roman" w:hAnsi="Times New Roman" w:cs="Times New Roman"/>
                <w:sz w:val="21"/>
                <w:szCs w:val="21"/>
              </w:rPr>
            </w:pPr>
            <w:r>
              <w:rPr>
                <w:rFonts w:ascii="Times New Roman" w:hAnsi="Times New Roman" w:cs="Times New Roman"/>
                <w:sz w:val="21"/>
                <w:szCs w:val="21"/>
              </w:rPr>
              <w:t>氯乙烯</w:t>
            </w:r>
          </w:p>
        </w:tc>
        <w:tc>
          <w:tcPr>
            <w:tcW w:w="1420" w:type="dxa"/>
            <w:noWrap w:val="0"/>
            <w:vAlign w:val="center"/>
          </w:tcPr>
          <w:p w14:paraId="13296CAA">
            <w:pPr>
              <w:spacing w:line="240" w:lineRule="exact"/>
              <w:jc w:val="center"/>
              <w:rPr>
                <w:rFonts w:ascii="Times New Roman" w:hAnsi="Times New Roman" w:cs="Times New Roman"/>
                <w:sz w:val="21"/>
                <w:szCs w:val="21"/>
              </w:rPr>
            </w:pPr>
            <w:r>
              <w:rPr>
                <w:rFonts w:ascii="Times New Roman" w:hAnsi="Times New Roman" w:cs="Times New Roman"/>
                <w:sz w:val="21"/>
                <w:szCs w:val="21"/>
              </w:rPr>
              <w:t>0.12</w:t>
            </w:r>
          </w:p>
        </w:tc>
        <w:tc>
          <w:tcPr>
            <w:tcW w:w="1420" w:type="dxa"/>
            <w:noWrap w:val="0"/>
            <w:vAlign w:val="center"/>
          </w:tcPr>
          <w:p w14:paraId="70511297">
            <w:pPr>
              <w:spacing w:line="240" w:lineRule="exact"/>
              <w:jc w:val="center"/>
              <w:rPr>
                <w:rFonts w:ascii="Times New Roman" w:hAnsi="Times New Roman" w:cs="Times New Roman"/>
                <w:sz w:val="21"/>
                <w:szCs w:val="21"/>
              </w:rPr>
            </w:pPr>
            <w:r>
              <w:rPr>
                <w:rFonts w:ascii="Times New Roman" w:hAnsi="Times New Roman" w:cs="Times New Roman"/>
                <w:sz w:val="21"/>
                <w:szCs w:val="21"/>
              </w:rPr>
              <w:t>1.2</w:t>
            </w:r>
          </w:p>
        </w:tc>
        <w:tc>
          <w:tcPr>
            <w:tcW w:w="1420" w:type="dxa"/>
            <w:noWrap w:val="0"/>
            <w:vAlign w:val="center"/>
          </w:tcPr>
          <w:p w14:paraId="5324AB02">
            <w:pPr>
              <w:spacing w:line="240" w:lineRule="exact"/>
              <w:jc w:val="center"/>
              <w:rPr>
                <w:rFonts w:ascii="Times New Roman" w:hAnsi="Times New Roman" w:cs="Times New Roman"/>
                <w:sz w:val="21"/>
                <w:szCs w:val="21"/>
              </w:rPr>
            </w:pPr>
            <w:r>
              <w:rPr>
                <w:rFonts w:ascii="Times New Roman" w:hAnsi="Times New Roman" w:cs="Times New Roman"/>
                <w:sz w:val="21"/>
                <w:szCs w:val="21"/>
              </w:rPr>
              <w:t>0.43</w:t>
            </w:r>
          </w:p>
        </w:tc>
        <w:tc>
          <w:tcPr>
            <w:tcW w:w="1324" w:type="dxa"/>
            <w:noWrap w:val="0"/>
            <w:vAlign w:val="center"/>
          </w:tcPr>
          <w:p w14:paraId="049F862C">
            <w:pPr>
              <w:spacing w:line="240" w:lineRule="exact"/>
              <w:jc w:val="center"/>
              <w:rPr>
                <w:rFonts w:ascii="Times New Roman" w:hAnsi="Times New Roman" w:cs="Times New Roman"/>
                <w:sz w:val="21"/>
                <w:szCs w:val="21"/>
              </w:rPr>
            </w:pPr>
            <w:r>
              <w:rPr>
                <w:rFonts w:ascii="Times New Roman" w:hAnsi="Times New Roman" w:cs="Times New Roman"/>
                <w:sz w:val="21"/>
                <w:szCs w:val="21"/>
              </w:rPr>
              <w:t>4.3</w:t>
            </w:r>
          </w:p>
        </w:tc>
      </w:tr>
      <w:tr w14:paraId="28C7F249">
        <w:tblPrEx>
          <w:tblBorders>
            <w:top w:val="thinThickSmallGap" w:color="auto" w:sz="12" w:space="0"/>
            <w:left w:val="none" w:color="auto" w:sz="0" w:space="0"/>
            <w:bottom w:val="thickThinSmallGap"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88" w:hRule="atLeast"/>
          <w:jc w:val="center"/>
        </w:trPr>
        <w:tc>
          <w:tcPr>
            <w:tcW w:w="756" w:type="dxa"/>
            <w:noWrap w:val="0"/>
            <w:vAlign w:val="center"/>
          </w:tcPr>
          <w:p w14:paraId="7985BED8">
            <w:pPr>
              <w:jc w:val="center"/>
              <w:rPr>
                <w:rFonts w:ascii="Times New Roman" w:hAnsi="Times New Roman" w:cs="Times New Roman"/>
                <w:sz w:val="21"/>
                <w:szCs w:val="21"/>
              </w:rPr>
            </w:pPr>
            <w:r>
              <w:rPr>
                <w:rFonts w:ascii="Times New Roman" w:hAnsi="Times New Roman" w:cs="Times New Roman"/>
                <w:sz w:val="21"/>
                <w:szCs w:val="21"/>
              </w:rPr>
              <w:t>26</w:t>
            </w:r>
          </w:p>
        </w:tc>
        <w:tc>
          <w:tcPr>
            <w:tcW w:w="2272" w:type="dxa"/>
            <w:noWrap w:val="0"/>
            <w:vAlign w:val="center"/>
          </w:tcPr>
          <w:p w14:paraId="0C6CB07A">
            <w:pPr>
              <w:jc w:val="center"/>
              <w:rPr>
                <w:rFonts w:ascii="Times New Roman" w:hAnsi="Times New Roman" w:cs="Times New Roman"/>
                <w:sz w:val="21"/>
                <w:szCs w:val="21"/>
              </w:rPr>
            </w:pPr>
            <w:r>
              <w:rPr>
                <w:rFonts w:ascii="Times New Roman" w:hAnsi="Times New Roman" w:cs="Times New Roman"/>
                <w:sz w:val="21"/>
                <w:szCs w:val="21"/>
              </w:rPr>
              <w:t>苯</w:t>
            </w:r>
          </w:p>
        </w:tc>
        <w:tc>
          <w:tcPr>
            <w:tcW w:w="1420" w:type="dxa"/>
            <w:noWrap w:val="0"/>
            <w:vAlign w:val="center"/>
          </w:tcPr>
          <w:p w14:paraId="7307AB53">
            <w:pPr>
              <w:spacing w:line="240" w:lineRule="exact"/>
              <w:jc w:val="center"/>
              <w:rPr>
                <w:rFonts w:ascii="Times New Roman" w:hAnsi="Times New Roman" w:cs="Times New Roman"/>
                <w:sz w:val="21"/>
                <w:szCs w:val="21"/>
              </w:rPr>
            </w:pPr>
            <w:r>
              <w:rPr>
                <w:rFonts w:ascii="Times New Roman" w:hAnsi="Times New Roman" w:cs="Times New Roman"/>
                <w:sz w:val="21"/>
                <w:szCs w:val="21"/>
              </w:rPr>
              <w:t>1</w:t>
            </w:r>
          </w:p>
        </w:tc>
        <w:tc>
          <w:tcPr>
            <w:tcW w:w="1420" w:type="dxa"/>
            <w:noWrap w:val="0"/>
            <w:vAlign w:val="center"/>
          </w:tcPr>
          <w:p w14:paraId="48B0545F">
            <w:pPr>
              <w:spacing w:line="240" w:lineRule="exact"/>
              <w:jc w:val="center"/>
              <w:rPr>
                <w:rFonts w:ascii="Times New Roman" w:hAnsi="Times New Roman" w:cs="Times New Roman"/>
                <w:sz w:val="21"/>
                <w:szCs w:val="21"/>
              </w:rPr>
            </w:pPr>
            <w:r>
              <w:rPr>
                <w:rFonts w:ascii="Times New Roman" w:hAnsi="Times New Roman" w:cs="Times New Roman"/>
                <w:sz w:val="21"/>
                <w:szCs w:val="21"/>
              </w:rPr>
              <w:t>10</w:t>
            </w:r>
          </w:p>
        </w:tc>
        <w:tc>
          <w:tcPr>
            <w:tcW w:w="1420" w:type="dxa"/>
            <w:noWrap w:val="0"/>
            <w:vAlign w:val="center"/>
          </w:tcPr>
          <w:p w14:paraId="330D4B08">
            <w:pPr>
              <w:spacing w:line="240" w:lineRule="exact"/>
              <w:jc w:val="center"/>
              <w:rPr>
                <w:rFonts w:ascii="Times New Roman" w:hAnsi="Times New Roman" w:cs="Times New Roman"/>
                <w:sz w:val="21"/>
                <w:szCs w:val="21"/>
              </w:rPr>
            </w:pPr>
            <w:r>
              <w:rPr>
                <w:rFonts w:ascii="Times New Roman" w:hAnsi="Times New Roman" w:cs="Times New Roman"/>
                <w:sz w:val="21"/>
                <w:szCs w:val="21"/>
              </w:rPr>
              <w:t>4</w:t>
            </w:r>
          </w:p>
        </w:tc>
        <w:tc>
          <w:tcPr>
            <w:tcW w:w="1324" w:type="dxa"/>
            <w:noWrap w:val="0"/>
            <w:vAlign w:val="center"/>
          </w:tcPr>
          <w:p w14:paraId="4101A56E">
            <w:pPr>
              <w:spacing w:line="240" w:lineRule="exact"/>
              <w:jc w:val="center"/>
              <w:rPr>
                <w:rFonts w:ascii="Times New Roman" w:hAnsi="Times New Roman" w:cs="Times New Roman"/>
                <w:sz w:val="21"/>
                <w:szCs w:val="21"/>
              </w:rPr>
            </w:pPr>
            <w:r>
              <w:rPr>
                <w:rFonts w:ascii="Times New Roman" w:hAnsi="Times New Roman" w:cs="Times New Roman"/>
                <w:sz w:val="21"/>
                <w:szCs w:val="21"/>
              </w:rPr>
              <w:t>40</w:t>
            </w:r>
          </w:p>
        </w:tc>
      </w:tr>
      <w:tr w14:paraId="2CA23175">
        <w:tblPrEx>
          <w:tblBorders>
            <w:top w:val="thinThickSmallGap" w:color="auto" w:sz="12" w:space="0"/>
            <w:left w:val="none" w:color="auto" w:sz="0" w:space="0"/>
            <w:bottom w:val="thickThinSmallGap"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88" w:hRule="atLeast"/>
          <w:jc w:val="center"/>
        </w:trPr>
        <w:tc>
          <w:tcPr>
            <w:tcW w:w="756" w:type="dxa"/>
            <w:noWrap w:val="0"/>
            <w:vAlign w:val="center"/>
          </w:tcPr>
          <w:p w14:paraId="0CB83693">
            <w:pPr>
              <w:jc w:val="center"/>
              <w:rPr>
                <w:rFonts w:ascii="Times New Roman" w:hAnsi="Times New Roman" w:cs="Times New Roman"/>
                <w:sz w:val="21"/>
                <w:szCs w:val="21"/>
              </w:rPr>
            </w:pPr>
            <w:r>
              <w:rPr>
                <w:rFonts w:ascii="Times New Roman" w:hAnsi="Times New Roman" w:cs="Times New Roman"/>
                <w:sz w:val="21"/>
                <w:szCs w:val="21"/>
              </w:rPr>
              <w:t>27</w:t>
            </w:r>
          </w:p>
        </w:tc>
        <w:tc>
          <w:tcPr>
            <w:tcW w:w="2272" w:type="dxa"/>
            <w:noWrap w:val="0"/>
            <w:vAlign w:val="center"/>
          </w:tcPr>
          <w:p w14:paraId="3AA7C925">
            <w:pPr>
              <w:jc w:val="center"/>
              <w:rPr>
                <w:rFonts w:ascii="Times New Roman" w:hAnsi="Times New Roman" w:cs="Times New Roman"/>
                <w:sz w:val="21"/>
                <w:szCs w:val="21"/>
              </w:rPr>
            </w:pPr>
            <w:r>
              <w:rPr>
                <w:rFonts w:ascii="Times New Roman" w:hAnsi="Times New Roman" w:cs="Times New Roman"/>
                <w:sz w:val="21"/>
                <w:szCs w:val="21"/>
              </w:rPr>
              <w:t>氯苯</w:t>
            </w:r>
          </w:p>
        </w:tc>
        <w:tc>
          <w:tcPr>
            <w:tcW w:w="1420" w:type="dxa"/>
            <w:noWrap w:val="0"/>
            <w:vAlign w:val="center"/>
          </w:tcPr>
          <w:p w14:paraId="40938FFD">
            <w:pPr>
              <w:spacing w:line="240" w:lineRule="exact"/>
              <w:jc w:val="center"/>
              <w:rPr>
                <w:rFonts w:ascii="Times New Roman" w:hAnsi="Times New Roman" w:cs="Times New Roman"/>
                <w:sz w:val="21"/>
                <w:szCs w:val="21"/>
              </w:rPr>
            </w:pPr>
            <w:r>
              <w:rPr>
                <w:rFonts w:ascii="Times New Roman" w:hAnsi="Times New Roman" w:cs="Times New Roman"/>
                <w:sz w:val="21"/>
                <w:szCs w:val="21"/>
              </w:rPr>
              <w:t>68</w:t>
            </w:r>
          </w:p>
        </w:tc>
        <w:tc>
          <w:tcPr>
            <w:tcW w:w="1420" w:type="dxa"/>
            <w:noWrap w:val="0"/>
            <w:vAlign w:val="center"/>
          </w:tcPr>
          <w:p w14:paraId="4471D87E">
            <w:pPr>
              <w:spacing w:line="240" w:lineRule="exact"/>
              <w:jc w:val="center"/>
              <w:rPr>
                <w:rFonts w:ascii="Times New Roman" w:hAnsi="Times New Roman" w:cs="Times New Roman"/>
                <w:sz w:val="21"/>
                <w:szCs w:val="21"/>
              </w:rPr>
            </w:pPr>
            <w:r>
              <w:rPr>
                <w:rFonts w:ascii="Times New Roman" w:hAnsi="Times New Roman" w:cs="Times New Roman"/>
                <w:sz w:val="21"/>
                <w:szCs w:val="21"/>
              </w:rPr>
              <w:t>200</w:t>
            </w:r>
          </w:p>
        </w:tc>
        <w:tc>
          <w:tcPr>
            <w:tcW w:w="1420" w:type="dxa"/>
            <w:noWrap w:val="0"/>
            <w:vAlign w:val="center"/>
          </w:tcPr>
          <w:p w14:paraId="02C70266">
            <w:pPr>
              <w:spacing w:line="240" w:lineRule="exact"/>
              <w:jc w:val="center"/>
              <w:rPr>
                <w:rFonts w:ascii="Times New Roman" w:hAnsi="Times New Roman" w:cs="Times New Roman"/>
                <w:sz w:val="21"/>
                <w:szCs w:val="21"/>
              </w:rPr>
            </w:pPr>
            <w:r>
              <w:rPr>
                <w:rFonts w:ascii="Times New Roman" w:hAnsi="Times New Roman" w:cs="Times New Roman"/>
                <w:sz w:val="21"/>
                <w:szCs w:val="21"/>
              </w:rPr>
              <w:t>270</w:t>
            </w:r>
          </w:p>
        </w:tc>
        <w:tc>
          <w:tcPr>
            <w:tcW w:w="1324" w:type="dxa"/>
            <w:noWrap w:val="0"/>
            <w:vAlign w:val="center"/>
          </w:tcPr>
          <w:p w14:paraId="519A4BC5">
            <w:pPr>
              <w:spacing w:line="240" w:lineRule="exact"/>
              <w:jc w:val="center"/>
              <w:rPr>
                <w:rFonts w:ascii="Times New Roman" w:hAnsi="Times New Roman" w:cs="Times New Roman"/>
                <w:sz w:val="21"/>
                <w:szCs w:val="21"/>
              </w:rPr>
            </w:pPr>
            <w:r>
              <w:rPr>
                <w:rFonts w:ascii="Times New Roman" w:hAnsi="Times New Roman" w:cs="Times New Roman"/>
                <w:sz w:val="21"/>
                <w:szCs w:val="21"/>
              </w:rPr>
              <w:t>1000</w:t>
            </w:r>
          </w:p>
        </w:tc>
      </w:tr>
      <w:tr w14:paraId="651815EE">
        <w:tblPrEx>
          <w:tblBorders>
            <w:top w:val="thinThickSmallGap" w:color="auto" w:sz="12" w:space="0"/>
            <w:left w:val="none" w:color="auto" w:sz="0" w:space="0"/>
            <w:bottom w:val="thickThinSmallGap"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88" w:hRule="atLeast"/>
          <w:jc w:val="center"/>
        </w:trPr>
        <w:tc>
          <w:tcPr>
            <w:tcW w:w="756" w:type="dxa"/>
            <w:noWrap w:val="0"/>
            <w:vAlign w:val="center"/>
          </w:tcPr>
          <w:p w14:paraId="4118A572">
            <w:pPr>
              <w:jc w:val="center"/>
              <w:rPr>
                <w:rFonts w:ascii="Times New Roman" w:hAnsi="Times New Roman" w:cs="Times New Roman"/>
                <w:sz w:val="21"/>
                <w:szCs w:val="21"/>
              </w:rPr>
            </w:pPr>
            <w:r>
              <w:rPr>
                <w:rFonts w:ascii="Times New Roman" w:hAnsi="Times New Roman" w:cs="Times New Roman"/>
                <w:sz w:val="21"/>
                <w:szCs w:val="21"/>
              </w:rPr>
              <w:t>28</w:t>
            </w:r>
          </w:p>
        </w:tc>
        <w:tc>
          <w:tcPr>
            <w:tcW w:w="2272" w:type="dxa"/>
            <w:noWrap w:val="0"/>
            <w:vAlign w:val="center"/>
          </w:tcPr>
          <w:p w14:paraId="016E17BA">
            <w:pPr>
              <w:jc w:val="center"/>
              <w:rPr>
                <w:rFonts w:ascii="Times New Roman" w:hAnsi="Times New Roman" w:cs="Times New Roman"/>
                <w:sz w:val="21"/>
                <w:szCs w:val="21"/>
              </w:rPr>
            </w:pPr>
            <w:r>
              <w:rPr>
                <w:rFonts w:ascii="Times New Roman" w:hAnsi="Times New Roman" w:cs="Times New Roman"/>
                <w:sz w:val="21"/>
                <w:szCs w:val="21"/>
              </w:rPr>
              <w:t>1,2-二氯苯</w:t>
            </w:r>
          </w:p>
        </w:tc>
        <w:tc>
          <w:tcPr>
            <w:tcW w:w="1420" w:type="dxa"/>
            <w:noWrap w:val="0"/>
            <w:vAlign w:val="center"/>
          </w:tcPr>
          <w:p w14:paraId="1E8428F8">
            <w:pPr>
              <w:spacing w:line="240" w:lineRule="exact"/>
              <w:jc w:val="center"/>
              <w:rPr>
                <w:rFonts w:ascii="Times New Roman" w:hAnsi="Times New Roman" w:cs="Times New Roman"/>
                <w:sz w:val="21"/>
                <w:szCs w:val="21"/>
              </w:rPr>
            </w:pPr>
            <w:r>
              <w:rPr>
                <w:rFonts w:ascii="Times New Roman" w:hAnsi="Times New Roman" w:cs="Times New Roman"/>
                <w:sz w:val="21"/>
                <w:szCs w:val="21"/>
              </w:rPr>
              <w:t>560</w:t>
            </w:r>
          </w:p>
        </w:tc>
        <w:tc>
          <w:tcPr>
            <w:tcW w:w="1420" w:type="dxa"/>
            <w:noWrap w:val="0"/>
            <w:vAlign w:val="center"/>
          </w:tcPr>
          <w:p w14:paraId="3196ABAF">
            <w:pPr>
              <w:spacing w:line="240" w:lineRule="exact"/>
              <w:jc w:val="center"/>
              <w:rPr>
                <w:rFonts w:ascii="Times New Roman" w:hAnsi="Times New Roman" w:cs="Times New Roman"/>
                <w:sz w:val="21"/>
                <w:szCs w:val="21"/>
              </w:rPr>
            </w:pPr>
            <w:r>
              <w:rPr>
                <w:rFonts w:ascii="Times New Roman" w:hAnsi="Times New Roman" w:cs="Times New Roman"/>
                <w:sz w:val="21"/>
                <w:szCs w:val="21"/>
              </w:rPr>
              <w:t>560</w:t>
            </w:r>
          </w:p>
        </w:tc>
        <w:tc>
          <w:tcPr>
            <w:tcW w:w="1420" w:type="dxa"/>
            <w:noWrap w:val="0"/>
            <w:vAlign w:val="center"/>
          </w:tcPr>
          <w:p w14:paraId="7ED4479B">
            <w:pPr>
              <w:spacing w:line="240" w:lineRule="exact"/>
              <w:jc w:val="center"/>
              <w:rPr>
                <w:rFonts w:ascii="Times New Roman" w:hAnsi="Times New Roman" w:cs="Times New Roman"/>
                <w:sz w:val="21"/>
                <w:szCs w:val="21"/>
              </w:rPr>
            </w:pPr>
            <w:r>
              <w:rPr>
                <w:rFonts w:ascii="Times New Roman" w:hAnsi="Times New Roman" w:cs="Times New Roman"/>
                <w:sz w:val="21"/>
                <w:szCs w:val="21"/>
              </w:rPr>
              <w:t>560</w:t>
            </w:r>
          </w:p>
        </w:tc>
        <w:tc>
          <w:tcPr>
            <w:tcW w:w="1324" w:type="dxa"/>
            <w:noWrap w:val="0"/>
            <w:vAlign w:val="center"/>
          </w:tcPr>
          <w:p w14:paraId="152B6BC4">
            <w:pPr>
              <w:spacing w:line="240" w:lineRule="exact"/>
              <w:jc w:val="center"/>
              <w:rPr>
                <w:rFonts w:ascii="Times New Roman" w:hAnsi="Times New Roman" w:cs="Times New Roman"/>
                <w:sz w:val="21"/>
                <w:szCs w:val="21"/>
              </w:rPr>
            </w:pPr>
            <w:r>
              <w:rPr>
                <w:rFonts w:ascii="Times New Roman" w:hAnsi="Times New Roman" w:cs="Times New Roman"/>
                <w:sz w:val="21"/>
                <w:szCs w:val="21"/>
              </w:rPr>
              <w:t>560</w:t>
            </w:r>
          </w:p>
        </w:tc>
      </w:tr>
      <w:tr w14:paraId="03933630">
        <w:tblPrEx>
          <w:tblBorders>
            <w:top w:val="thinThickSmallGap" w:color="auto" w:sz="12" w:space="0"/>
            <w:left w:val="none" w:color="auto" w:sz="0" w:space="0"/>
            <w:bottom w:val="thickThinSmallGap"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88" w:hRule="atLeast"/>
          <w:jc w:val="center"/>
        </w:trPr>
        <w:tc>
          <w:tcPr>
            <w:tcW w:w="756" w:type="dxa"/>
            <w:noWrap w:val="0"/>
            <w:vAlign w:val="center"/>
          </w:tcPr>
          <w:p w14:paraId="47496327">
            <w:pPr>
              <w:jc w:val="center"/>
              <w:rPr>
                <w:rFonts w:ascii="Times New Roman" w:hAnsi="Times New Roman" w:cs="Times New Roman"/>
                <w:sz w:val="21"/>
                <w:szCs w:val="21"/>
              </w:rPr>
            </w:pPr>
            <w:r>
              <w:rPr>
                <w:rFonts w:ascii="Times New Roman" w:hAnsi="Times New Roman" w:cs="Times New Roman"/>
                <w:sz w:val="21"/>
                <w:szCs w:val="21"/>
              </w:rPr>
              <w:t>29</w:t>
            </w:r>
          </w:p>
        </w:tc>
        <w:tc>
          <w:tcPr>
            <w:tcW w:w="2272" w:type="dxa"/>
            <w:noWrap w:val="0"/>
            <w:vAlign w:val="center"/>
          </w:tcPr>
          <w:p w14:paraId="4854D79C">
            <w:pPr>
              <w:jc w:val="center"/>
              <w:rPr>
                <w:rFonts w:ascii="Times New Roman" w:hAnsi="Times New Roman" w:cs="Times New Roman"/>
                <w:sz w:val="21"/>
                <w:szCs w:val="21"/>
              </w:rPr>
            </w:pPr>
            <w:r>
              <w:rPr>
                <w:rFonts w:ascii="Times New Roman" w:hAnsi="Times New Roman" w:cs="Times New Roman"/>
                <w:sz w:val="21"/>
                <w:szCs w:val="21"/>
              </w:rPr>
              <w:t>1,4-二氯苯</w:t>
            </w:r>
          </w:p>
        </w:tc>
        <w:tc>
          <w:tcPr>
            <w:tcW w:w="1420" w:type="dxa"/>
            <w:noWrap w:val="0"/>
            <w:vAlign w:val="center"/>
          </w:tcPr>
          <w:p w14:paraId="47B76FD5">
            <w:pPr>
              <w:spacing w:line="240" w:lineRule="exact"/>
              <w:jc w:val="center"/>
              <w:rPr>
                <w:rFonts w:ascii="Times New Roman" w:hAnsi="Times New Roman" w:cs="Times New Roman"/>
                <w:sz w:val="21"/>
                <w:szCs w:val="21"/>
              </w:rPr>
            </w:pPr>
            <w:r>
              <w:rPr>
                <w:rFonts w:ascii="Times New Roman" w:hAnsi="Times New Roman" w:cs="Times New Roman"/>
                <w:sz w:val="21"/>
                <w:szCs w:val="21"/>
              </w:rPr>
              <w:t>5.6</w:t>
            </w:r>
          </w:p>
        </w:tc>
        <w:tc>
          <w:tcPr>
            <w:tcW w:w="1420" w:type="dxa"/>
            <w:noWrap w:val="0"/>
            <w:vAlign w:val="center"/>
          </w:tcPr>
          <w:p w14:paraId="49F671C4">
            <w:pPr>
              <w:spacing w:line="240" w:lineRule="exact"/>
              <w:jc w:val="center"/>
              <w:rPr>
                <w:rFonts w:ascii="Times New Roman" w:hAnsi="Times New Roman" w:cs="Times New Roman"/>
                <w:sz w:val="21"/>
                <w:szCs w:val="21"/>
              </w:rPr>
            </w:pPr>
            <w:r>
              <w:rPr>
                <w:rFonts w:ascii="Times New Roman" w:hAnsi="Times New Roman" w:cs="Times New Roman"/>
                <w:sz w:val="21"/>
                <w:szCs w:val="21"/>
              </w:rPr>
              <w:t>56</w:t>
            </w:r>
          </w:p>
        </w:tc>
        <w:tc>
          <w:tcPr>
            <w:tcW w:w="1420" w:type="dxa"/>
            <w:noWrap w:val="0"/>
            <w:vAlign w:val="center"/>
          </w:tcPr>
          <w:p w14:paraId="5D49B82C">
            <w:pPr>
              <w:spacing w:line="240" w:lineRule="exact"/>
              <w:jc w:val="center"/>
              <w:rPr>
                <w:rFonts w:ascii="Times New Roman" w:hAnsi="Times New Roman" w:cs="Times New Roman"/>
                <w:sz w:val="21"/>
                <w:szCs w:val="21"/>
              </w:rPr>
            </w:pPr>
            <w:r>
              <w:rPr>
                <w:rFonts w:ascii="Times New Roman" w:hAnsi="Times New Roman" w:cs="Times New Roman"/>
                <w:sz w:val="21"/>
                <w:szCs w:val="21"/>
              </w:rPr>
              <w:t>20</w:t>
            </w:r>
          </w:p>
        </w:tc>
        <w:tc>
          <w:tcPr>
            <w:tcW w:w="1324" w:type="dxa"/>
            <w:noWrap w:val="0"/>
            <w:vAlign w:val="center"/>
          </w:tcPr>
          <w:p w14:paraId="5C696A7C">
            <w:pPr>
              <w:spacing w:line="240" w:lineRule="exact"/>
              <w:jc w:val="center"/>
              <w:rPr>
                <w:rFonts w:ascii="Times New Roman" w:hAnsi="Times New Roman" w:cs="Times New Roman"/>
                <w:sz w:val="21"/>
                <w:szCs w:val="21"/>
              </w:rPr>
            </w:pPr>
            <w:r>
              <w:rPr>
                <w:rFonts w:ascii="Times New Roman" w:hAnsi="Times New Roman" w:cs="Times New Roman"/>
                <w:sz w:val="21"/>
                <w:szCs w:val="21"/>
              </w:rPr>
              <w:t>200</w:t>
            </w:r>
          </w:p>
        </w:tc>
      </w:tr>
      <w:tr w14:paraId="04F4964A">
        <w:tblPrEx>
          <w:tblBorders>
            <w:top w:val="thinThickSmallGap" w:color="auto" w:sz="12" w:space="0"/>
            <w:left w:val="none" w:color="auto" w:sz="0" w:space="0"/>
            <w:bottom w:val="thickThinSmallGap"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88" w:hRule="atLeast"/>
          <w:jc w:val="center"/>
        </w:trPr>
        <w:tc>
          <w:tcPr>
            <w:tcW w:w="756" w:type="dxa"/>
            <w:noWrap w:val="0"/>
            <w:vAlign w:val="center"/>
          </w:tcPr>
          <w:p w14:paraId="0EBF9AB7">
            <w:pPr>
              <w:jc w:val="center"/>
              <w:rPr>
                <w:rFonts w:ascii="Times New Roman" w:hAnsi="Times New Roman" w:cs="Times New Roman"/>
                <w:sz w:val="21"/>
                <w:szCs w:val="21"/>
              </w:rPr>
            </w:pPr>
            <w:r>
              <w:rPr>
                <w:rFonts w:ascii="Times New Roman" w:hAnsi="Times New Roman" w:cs="Times New Roman"/>
                <w:sz w:val="21"/>
                <w:szCs w:val="21"/>
              </w:rPr>
              <w:t>30</w:t>
            </w:r>
          </w:p>
        </w:tc>
        <w:tc>
          <w:tcPr>
            <w:tcW w:w="2272" w:type="dxa"/>
            <w:noWrap w:val="0"/>
            <w:vAlign w:val="center"/>
          </w:tcPr>
          <w:p w14:paraId="78ED9671">
            <w:pPr>
              <w:jc w:val="center"/>
              <w:rPr>
                <w:rFonts w:ascii="Times New Roman" w:hAnsi="Times New Roman" w:cs="Times New Roman"/>
                <w:sz w:val="21"/>
                <w:szCs w:val="21"/>
              </w:rPr>
            </w:pPr>
            <w:r>
              <w:rPr>
                <w:rFonts w:ascii="Times New Roman" w:hAnsi="Times New Roman" w:cs="Times New Roman"/>
                <w:sz w:val="21"/>
                <w:szCs w:val="21"/>
              </w:rPr>
              <w:t>乙苯</w:t>
            </w:r>
          </w:p>
        </w:tc>
        <w:tc>
          <w:tcPr>
            <w:tcW w:w="1420" w:type="dxa"/>
            <w:noWrap w:val="0"/>
            <w:vAlign w:val="center"/>
          </w:tcPr>
          <w:p w14:paraId="722B050A">
            <w:pPr>
              <w:spacing w:line="240" w:lineRule="exact"/>
              <w:jc w:val="center"/>
              <w:rPr>
                <w:rFonts w:ascii="Times New Roman" w:hAnsi="Times New Roman" w:cs="Times New Roman"/>
                <w:sz w:val="21"/>
                <w:szCs w:val="21"/>
              </w:rPr>
            </w:pPr>
            <w:r>
              <w:rPr>
                <w:rFonts w:ascii="Times New Roman" w:hAnsi="Times New Roman" w:cs="Times New Roman"/>
                <w:sz w:val="21"/>
                <w:szCs w:val="21"/>
              </w:rPr>
              <w:t>7.2</w:t>
            </w:r>
          </w:p>
        </w:tc>
        <w:tc>
          <w:tcPr>
            <w:tcW w:w="1420" w:type="dxa"/>
            <w:noWrap w:val="0"/>
            <w:vAlign w:val="center"/>
          </w:tcPr>
          <w:p w14:paraId="11B0A9BC">
            <w:pPr>
              <w:spacing w:line="240" w:lineRule="exact"/>
              <w:jc w:val="center"/>
              <w:rPr>
                <w:rFonts w:ascii="Times New Roman" w:hAnsi="Times New Roman" w:cs="Times New Roman"/>
                <w:sz w:val="21"/>
                <w:szCs w:val="21"/>
              </w:rPr>
            </w:pPr>
            <w:r>
              <w:rPr>
                <w:rFonts w:ascii="Times New Roman" w:hAnsi="Times New Roman" w:cs="Times New Roman"/>
                <w:sz w:val="21"/>
                <w:szCs w:val="21"/>
              </w:rPr>
              <w:t>72</w:t>
            </w:r>
          </w:p>
        </w:tc>
        <w:tc>
          <w:tcPr>
            <w:tcW w:w="1420" w:type="dxa"/>
            <w:noWrap w:val="0"/>
            <w:vAlign w:val="center"/>
          </w:tcPr>
          <w:p w14:paraId="0609758E">
            <w:pPr>
              <w:spacing w:line="240" w:lineRule="exact"/>
              <w:jc w:val="center"/>
              <w:rPr>
                <w:rFonts w:ascii="Times New Roman" w:hAnsi="Times New Roman" w:cs="Times New Roman"/>
                <w:sz w:val="21"/>
                <w:szCs w:val="21"/>
              </w:rPr>
            </w:pPr>
            <w:r>
              <w:rPr>
                <w:rFonts w:ascii="Times New Roman" w:hAnsi="Times New Roman" w:cs="Times New Roman"/>
                <w:sz w:val="21"/>
                <w:szCs w:val="21"/>
              </w:rPr>
              <w:t>28</w:t>
            </w:r>
          </w:p>
        </w:tc>
        <w:tc>
          <w:tcPr>
            <w:tcW w:w="1324" w:type="dxa"/>
            <w:noWrap w:val="0"/>
            <w:vAlign w:val="center"/>
          </w:tcPr>
          <w:p w14:paraId="0C932D0A">
            <w:pPr>
              <w:spacing w:line="240" w:lineRule="exact"/>
              <w:jc w:val="center"/>
              <w:rPr>
                <w:rFonts w:ascii="Times New Roman" w:hAnsi="Times New Roman" w:cs="Times New Roman"/>
                <w:sz w:val="21"/>
                <w:szCs w:val="21"/>
              </w:rPr>
            </w:pPr>
            <w:r>
              <w:rPr>
                <w:rFonts w:ascii="Times New Roman" w:hAnsi="Times New Roman" w:cs="Times New Roman"/>
                <w:sz w:val="21"/>
                <w:szCs w:val="21"/>
              </w:rPr>
              <w:t>280</w:t>
            </w:r>
          </w:p>
        </w:tc>
      </w:tr>
      <w:tr w14:paraId="2B0F736F">
        <w:tblPrEx>
          <w:tblBorders>
            <w:top w:val="thinThickSmallGap" w:color="auto" w:sz="12" w:space="0"/>
            <w:left w:val="none" w:color="auto" w:sz="0" w:space="0"/>
            <w:bottom w:val="thickThinSmallGap"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88" w:hRule="atLeast"/>
          <w:jc w:val="center"/>
        </w:trPr>
        <w:tc>
          <w:tcPr>
            <w:tcW w:w="756" w:type="dxa"/>
            <w:noWrap w:val="0"/>
            <w:vAlign w:val="center"/>
          </w:tcPr>
          <w:p w14:paraId="19ED384F">
            <w:pPr>
              <w:jc w:val="center"/>
              <w:rPr>
                <w:rFonts w:ascii="Times New Roman" w:hAnsi="Times New Roman" w:cs="Times New Roman"/>
                <w:sz w:val="21"/>
                <w:szCs w:val="21"/>
              </w:rPr>
            </w:pPr>
            <w:r>
              <w:rPr>
                <w:rFonts w:ascii="Times New Roman" w:hAnsi="Times New Roman" w:cs="Times New Roman"/>
                <w:sz w:val="21"/>
                <w:szCs w:val="21"/>
              </w:rPr>
              <w:t>31</w:t>
            </w:r>
          </w:p>
        </w:tc>
        <w:tc>
          <w:tcPr>
            <w:tcW w:w="2272" w:type="dxa"/>
            <w:noWrap w:val="0"/>
            <w:vAlign w:val="center"/>
          </w:tcPr>
          <w:p w14:paraId="70015E70">
            <w:pPr>
              <w:jc w:val="center"/>
              <w:rPr>
                <w:rFonts w:ascii="Times New Roman" w:hAnsi="Times New Roman" w:cs="Times New Roman"/>
                <w:sz w:val="21"/>
                <w:szCs w:val="21"/>
              </w:rPr>
            </w:pPr>
            <w:r>
              <w:rPr>
                <w:rFonts w:ascii="Times New Roman" w:hAnsi="Times New Roman" w:cs="Times New Roman"/>
                <w:sz w:val="21"/>
                <w:szCs w:val="21"/>
              </w:rPr>
              <w:t>苯乙烯</w:t>
            </w:r>
          </w:p>
        </w:tc>
        <w:tc>
          <w:tcPr>
            <w:tcW w:w="1420" w:type="dxa"/>
            <w:noWrap w:val="0"/>
            <w:vAlign w:val="center"/>
          </w:tcPr>
          <w:p w14:paraId="7A45C313">
            <w:pPr>
              <w:spacing w:line="240" w:lineRule="exact"/>
              <w:jc w:val="center"/>
              <w:rPr>
                <w:rFonts w:ascii="Times New Roman" w:hAnsi="Times New Roman" w:cs="Times New Roman"/>
                <w:sz w:val="21"/>
                <w:szCs w:val="21"/>
              </w:rPr>
            </w:pPr>
            <w:r>
              <w:rPr>
                <w:rFonts w:ascii="Times New Roman" w:hAnsi="Times New Roman" w:cs="Times New Roman"/>
                <w:sz w:val="21"/>
                <w:szCs w:val="21"/>
              </w:rPr>
              <w:t>1290</w:t>
            </w:r>
          </w:p>
        </w:tc>
        <w:tc>
          <w:tcPr>
            <w:tcW w:w="1420" w:type="dxa"/>
            <w:noWrap w:val="0"/>
            <w:vAlign w:val="center"/>
          </w:tcPr>
          <w:p w14:paraId="1C90C835">
            <w:pPr>
              <w:spacing w:line="240" w:lineRule="exact"/>
              <w:jc w:val="center"/>
              <w:rPr>
                <w:rFonts w:ascii="Times New Roman" w:hAnsi="Times New Roman" w:cs="Times New Roman"/>
                <w:sz w:val="21"/>
                <w:szCs w:val="21"/>
              </w:rPr>
            </w:pPr>
            <w:r>
              <w:rPr>
                <w:rFonts w:ascii="Times New Roman" w:hAnsi="Times New Roman" w:cs="Times New Roman"/>
                <w:sz w:val="21"/>
                <w:szCs w:val="21"/>
              </w:rPr>
              <w:t>1290</w:t>
            </w:r>
          </w:p>
        </w:tc>
        <w:tc>
          <w:tcPr>
            <w:tcW w:w="1420" w:type="dxa"/>
            <w:noWrap w:val="0"/>
            <w:vAlign w:val="center"/>
          </w:tcPr>
          <w:p w14:paraId="44F232F0">
            <w:pPr>
              <w:spacing w:line="240" w:lineRule="exact"/>
              <w:jc w:val="center"/>
              <w:rPr>
                <w:rFonts w:ascii="Times New Roman" w:hAnsi="Times New Roman" w:cs="Times New Roman"/>
                <w:sz w:val="21"/>
                <w:szCs w:val="21"/>
              </w:rPr>
            </w:pPr>
            <w:r>
              <w:rPr>
                <w:rFonts w:ascii="Times New Roman" w:hAnsi="Times New Roman" w:cs="Times New Roman"/>
                <w:sz w:val="21"/>
                <w:szCs w:val="21"/>
              </w:rPr>
              <w:t>1290</w:t>
            </w:r>
          </w:p>
        </w:tc>
        <w:tc>
          <w:tcPr>
            <w:tcW w:w="1324" w:type="dxa"/>
            <w:noWrap w:val="0"/>
            <w:vAlign w:val="center"/>
          </w:tcPr>
          <w:p w14:paraId="59EC4847">
            <w:pPr>
              <w:spacing w:line="240" w:lineRule="exact"/>
              <w:jc w:val="center"/>
              <w:rPr>
                <w:rFonts w:ascii="Times New Roman" w:hAnsi="Times New Roman" w:cs="Times New Roman"/>
                <w:sz w:val="21"/>
                <w:szCs w:val="21"/>
              </w:rPr>
            </w:pPr>
            <w:r>
              <w:rPr>
                <w:rFonts w:ascii="Times New Roman" w:hAnsi="Times New Roman" w:cs="Times New Roman"/>
                <w:sz w:val="21"/>
                <w:szCs w:val="21"/>
              </w:rPr>
              <w:t>1290</w:t>
            </w:r>
          </w:p>
        </w:tc>
      </w:tr>
      <w:tr w14:paraId="41EB8D3E">
        <w:tblPrEx>
          <w:tblBorders>
            <w:top w:val="thinThickSmallGap" w:color="auto" w:sz="12" w:space="0"/>
            <w:left w:val="none" w:color="auto" w:sz="0" w:space="0"/>
            <w:bottom w:val="thickThinSmallGap"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88" w:hRule="atLeast"/>
          <w:jc w:val="center"/>
        </w:trPr>
        <w:tc>
          <w:tcPr>
            <w:tcW w:w="756" w:type="dxa"/>
            <w:noWrap w:val="0"/>
            <w:vAlign w:val="center"/>
          </w:tcPr>
          <w:p w14:paraId="06DA4B4B">
            <w:pPr>
              <w:jc w:val="center"/>
              <w:rPr>
                <w:rFonts w:ascii="Times New Roman" w:hAnsi="Times New Roman" w:cs="Times New Roman"/>
                <w:sz w:val="21"/>
                <w:szCs w:val="21"/>
              </w:rPr>
            </w:pPr>
            <w:r>
              <w:rPr>
                <w:rFonts w:ascii="Times New Roman" w:hAnsi="Times New Roman" w:cs="Times New Roman"/>
                <w:sz w:val="21"/>
                <w:szCs w:val="21"/>
              </w:rPr>
              <w:t>32</w:t>
            </w:r>
          </w:p>
        </w:tc>
        <w:tc>
          <w:tcPr>
            <w:tcW w:w="2272" w:type="dxa"/>
            <w:noWrap w:val="0"/>
            <w:vAlign w:val="center"/>
          </w:tcPr>
          <w:p w14:paraId="0A2EB160">
            <w:pPr>
              <w:jc w:val="center"/>
              <w:rPr>
                <w:rFonts w:ascii="Times New Roman" w:hAnsi="Times New Roman" w:cs="Times New Roman"/>
                <w:sz w:val="21"/>
                <w:szCs w:val="21"/>
              </w:rPr>
            </w:pPr>
            <w:r>
              <w:rPr>
                <w:rFonts w:ascii="Times New Roman" w:hAnsi="Times New Roman" w:cs="Times New Roman"/>
                <w:sz w:val="21"/>
                <w:szCs w:val="21"/>
              </w:rPr>
              <w:t>甲苯</w:t>
            </w:r>
          </w:p>
        </w:tc>
        <w:tc>
          <w:tcPr>
            <w:tcW w:w="1420" w:type="dxa"/>
            <w:noWrap w:val="0"/>
            <w:vAlign w:val="center"/>
          </w:tcPr>
          <w:p w14:paraId="33625583">
            <w:pPr>
              <w:spacing w:line="240" w:lineRule="exact"/>
              <w:jc w:val="center"/>
              <w:rPr>
                <w:rFonts w:ascii="Times New Roman" w:hAnsi="Times New Roman" w:cs="Times New Roman"/>
                <w:sz w:val="21"/>
                <w:szCs w:val="21"/>
              </w:rPr>
            </w:pPr>
            <w:r>
              <w:rPr>
                <w:rFonts w:ascii="Times New Roman" w:hAnsi="Times New Roman" w:cs="Times New Roman"/>
                <w:sz w:val="21"/>
                <w:szCs w:val="21"/>
              </w:rPr>
              <w:t>1200</w:t>
            </w:r>
          </w:p>
        </w:tc>
        <w:tc>
          <w:tcPr>
            <w:tcW w:w="1420" w:type="dxa"/>
            <w:noWrap w:val="0"/>
            <w:vAlign w:val="center"/>
          </w:tcPr>
          <w:p w14:paraId="1EAFBBBD">
            <w:pPr>
              <w:spacing w:line="240" w:lineRule="exact"/>
              <w:jc w:val="center"/>
              <w:rPr>
                <w:rFonts w:ascii="Times New Roman" w:hAnsi="Times New Roman" w:cs="Times New Roman"/>
                <w:sz w:val="21"/>
                <w:szCs w:val="21"/>
              </w:rPr>
            </w:pPr>
            <w:r>
              <w:rPr>
                <w:rFonts w:ascii="Times New Roman" w:hAnsi="Times New Roman" w:cs="Times New Roman"/>
                <w:sz w:val="21"/>
                <w:szCs w:val="21"/>
              </w:rPr>
              <w:t>1200</w:t>
            </w:r>
          </w:p>
        </w:tc>
        <w:tc>
          <w:tcPr>
            <w:tcW w:w="1420" w:type="dxa"/>
            <w:noWrap w:val="0"/>
            <w:vAlign w:val="center"/>
          </w:tcPr>
          <w:p w14:paraId="3F7A3AAA">
            <w:pPr>
              <w:spacing w:line="240" w:lineRule="exact"/>
              <w:jc w:val="center"/>
              <w:rPr>
                <w:rFonts w:ascii="Times New Roman" w:hAnsi="Times New Roman" w:cs="Times New Roman"/>
                <w:sz w:val="21"/>
                <w:szCs w:val="21"/>
              </w:rPr>
            </w:pPr>
            <w:r>
              <w:rPr>
                <w:rFonts w:ascii="Times New Roman" w:hAnsi="Times New Roman" w:cs="Times New Roman"/>
                <w:sz w:val="21"/>
                <w:szCs w:val="21"/>
              </w:rPr>
              <w:t>1200</w:t>
            </w:r>
          </w:p>
        </w:tc>
        <w:tc>
          <w:tcPr>
            <w:tcW w:w="1324" w:type="dxa"/>
            <w:noWrap w:val="0"/>
            <w:vAlign w:val="center"/>
          </w:tcPr>
          <w:p w14:paraId="1520AFD3">
            <w:pPr>
              <w:spacing w:line="240" w:lineRule="exact"/>
              <w:jc w:val="center"/>
              <w:rPr>
                <w:rFonts w:ascii="Times New Roman" w:hAnsi="Times New Roman" w:cs="Times New Roman"/>
                <w:sz w:val="21"/>
                <w:szCs w:val="21"/>
              </w:rPr>
            </w:pPr>
            <w:r>
              <w:rPr>
                <w:rFonts w:ascii="Times New Roman" w:hAnsi="Times New Roman" w:cs="Times New Roman"/>
                <w:sz w:val="21"/>
                <w:szCs w:val="21"/>
              </w:rPr>
              <w:t>1200</w:t>
            </w:r>
          </w:p>
        </w:tc>
      </w:tr>
      <w:tr w14:paraId="0C6D6555">
        <w:tblPrEx>
          <w:tblBorders>
            <w:top w:val="thinThickSmallGap" w:color="auto" w:sz="12" w:space="0"/>
            <w:left w:val="none" w:color="auto" w:sz="0" w:space="0"/>
            <w:bottom w:val="thickThinSmallGap"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88" w:hRule="atLeast"/>
          <w:jc w:val="center"/>
        </w:trPr>
        <w:tc>
          <w:tcPr>
            <w:tcW w:w="756" w:type="dxa"/>
            <w:noWrap w:val="0"/>
            <w:vAlign w:val="center"/>
          </w:tcPr>
          <w:p w14:paraId="7CF78A61">
            <w:pPr>
              <w:jc w:val="center"/>
              <w:rPr>
                <w:rFonts w:ascii="Times New Roman" w:hAnsi="Times New Roman" w:cs="Times New Roman"/>
                <w:sz w:val="21"/>
                <w:szCs w:val="21"/>
              </w:rPr>
            </w:pPr>
            <w:r>
              <w:rPr>
                <w:rFonts w:ascii="Times New Roman" w:hAnsi="Times New Roman" w:cs="Times New Roman"/>
                <w:sz w:val="21"/>
                <w:szCs w:val="21"/>
              </w:rPr>
              <w:t>33</w:t>
            </w:r>
          </w:p>
        </w:tc>
        <w:tc>
          <w:tcPr>
            <w:tcW w:w="2272" w:type="dxa"/>
            <w:noWrap w:val="0"/>
            <w:vAlign w:val="center"/>
          </w:tcPr>
          <w:p w14:paraId="05EBFEDE">
            <w:pPr>
              <w:jc w:val="center"/>
              <w:rPr>
                <w:rFonts w:ascii="Times New Roman" w:hAnsi="Times New Roman" w:cs="Times New Roman"/>
                <w:sz w:val="21"/>
                <w:szCs w:val="21"/>
              </w:rPr>
            </w:pPr>
            <w:r>
              <w:rPr>
                <w:rFonts w:ascii="Times New Roman" w:hAnsi="Times New Roman" w:cs="Times New Roman"/>
                <w:sz w:val="21"/>
                <w:szCs w:val="21"/>
              </w:rPr>
              <w:t>间二甲苯+对二甲苯</w:t>
            </w:r>
          </w:p>
        </w:tc>
        <w:tc>
          <w:tcPr>
            <w:tcW w:w="1420" w:type="dxa"/>
            <w:noWrap w:val="0"/>
            <w:vAlign w:val="center"/>
          </w:tcPr>
          <w:p w14:paraId="22D306D7">
            <w:pPr>
              <w:spacing w:line="240" w:lineRule="exact"/>
              <w:jc w:val="center"/>
              <w:rPr>
                <w:rFonts w:ascii="Times New Roman" w:hAnsi="Times New Roman" w:cs="Times New Roman"/>
                <w:sz w:val="21"/>
                <w:szCs w:val="21"/>
              </w:rPr>
            </w:pPr>
            <w:r>
              <w:rPr>
                <w:rFonts w:ascii="Times New Roman" w:hAnsi="Times New Roman" w:cs="Times New Roman"/>
                <w:sz w:val="21"/>
                <w:szCs w:val="21"/>
              </w:rPr>
              <w:t>163</w:t>
            </w:r>
          </w:p>
        </w:tc>
        <w:tc>
          <w:tcPr>
            <w:tcW w:w="1420" w:type="dxa"/>
            <w:noWrap w:val="0"/>
            <w:vAlign w:val="center"/>
          </w:tcPr>
          <w:p w14:paraId="5531A97E">
            <w:pPr>
              <w:spacing w:line="240" w:lineRule="exact"/>
              <w:jc w:val="center"/>
              <w:rPr>
                <w:rFonts w:ascii="Times New Roman" w:hAnsi="Times New Roman" w:cs="Times New Roman"/>
                <w:sz w:val="21"/>
                <w:szCs w:val="21"/>
              </w:rPr>
            </w:pPr>
            <w:r>
              <w:rPr>
                <w:rFonts w:ascii="Times New Roman" w:hAnsi="Times New Roman" w:cs="Times New Roman"/>
                <w:sz w:val="21"/>
                <w:szCs w:val="21"/>
              </w:rPr>
              <w:t>500</w:t>
            </w:r>
          </w:p>
        </w:tc>
        <w:tc>
          <w:tcPr>
            <w:tcW w:w="1420" w:type="dxa"/>
            <w:noWrap w:val="0"/>
            <w:vAlign w:val="center"/>
          </w:tcPr>
          <w:p w14:paraId="7FF24294">
            <w:pPr>
              <w:spacing w:line="240" w:lineRule="exact"/>
              <w:jc w:val="center"/>
              <w:rPr>
                <w:rFonts w:ascii="Times New Roman" w:hAnsi="Times New Roman" w:cs="Times New Roman"/>
                <w:sz w:val="21"/>
                <w:szCs w:val="21"/>
              </w:rPr>
            </w:pPr>
            <w:r>
              <w:rPr>
                <w:rFonts w:ascii="Times New Roman" w:hAnsi="Times New Roman" w:cs="Times New Roman"/>
                <w:sz w:val="21"/>
                <w:szCs w:val="21"/>
              </w:rPr>
              <w:t>570</w:t>
            </w:r>
          </w:p>
        </w:tc>
        <w:tc>
          <w:tcPr>
            <w:tcW w:w="1324" w:type="dxa"/>
            <w:noWrap w:val="0"/>
            <w:vAlign w:val="center"/>
          </w:tcPr>
          <w:p w14:paraId="62A13CB1">
            <w:pPr>
              <w:spacing w:line="240" w:lineRule="exact"/>
              <w:jc w:val="center"/>
              <w:rPr>
                <w:rFonts w:ascii="Times New Roman" w:hAnsi="Times New Roman" w:cs="Times New Roman"/>
                <w:sz w:val="21"/>
                <w:szCs w:val="21"/>
              </w:rPr>
            </w:pPr>
            <w:r>
              <w:rPr>
                <w:rFonts w:ascii="Times New Roman" w:hAnsi="Times New Roman" w:cs="Times New Roman"/>
                <w:sz w:val="21"/>
                <w:szCs w:val="21"/>
              </w:rPr>
              <w:t>570</w:t>
            </w:r>
          </w:p>
        </w:tc>
      </w:tr>
      <w:tr w14:paraId="50B4E575">
        <w:tblPrEx>
          <w:tblBorders>
            <w:top w:val="thinThickSmallGap" w:color="auto" w:sz="12" w:space="0"/>
            <w:left w:val="none" w:color="auto" w:sz="0" w:space="0"/>
            <w:bottom w:val="thickThinSmallGap"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88" w:hRule="atLeast"/>
          <w:jc w:val="center"/>
        </w:trPr>
        <w:tc>
          <w:tcPr>
            <w:tcW w:w="756" w:type="dxa"/>
            <w:noWrap w:val="0"/>
            <w:vAlign w:val="center"/>
          </w:tcPr>
          <w:p w14:paraId="4FBEDF77">
            <w:pPr>
              <w:jc w:val="center"/>
              <w:rPr>
                <w:rFonts w:ascii="Times New Roman" w:hAnsi="Times New Roman" w:cs="Times New Roman"/>
                <w:sz w:val="21"/>
                <w:szCs w:val="21"/>
              </w:rPr>
            </w:pPr>
            <w:r>
              <w:rPr>
                <w:rFonts w:ascii="Times New Roman" w:hAnsi="Times New Roman" w:cs="Times New Roman"/>
                <w:sz w:val="21"/>
                <w:szCs w:val="21"/>
              </w:rPr>
              <w:t>34</w:t>
            </w:r>
          </w:p>
        </w:tc>
        <w:tc>
          <w:tcPr>
            <w:tcW w:w="2272" w:type="dxa"/>
            <w:noWrap w:val="0"/>
            <w:vAlign w:val="center"/>
          </w:tcPr>
          <w:p w14:paraId="328EE1CE">
            <w:pPr>
              <w:jc w:val="center"/>
              <w:rPr>
                <w:rFonts w:ascii="Times New Roman" w:hAnsi="Times New Roman" w:cs="Times New Roman"/>
                <w:sz w:val="21"/>
                <w:szCs w:val="21"/>
              </w:rPr>
            </w:pPr>
            <w:r>
              <w:rPr>
                <w:rFonts w:ascii="Times New Roman" w:hAnsi="Times New Roman" w:cs="Times New Roman"/>
                <w:sz w:val="21"/>
                <w:szCs w:val="21"/>
              </w:rPr>
              <w:t>邻二甲苯</w:t>
            </w:r>
          </w:p>
        </w:tc>
        <w:tc>
          <w:tcPr>
            <w:tcW w:w="1420" w:type="dxa"/>
            <w:noWrap w:val="0"/>
            <w:vAlign w:val="center"/>
          </w:tcPr>
          <w:p w14:paraId="15EA231C">
            <w:pPr>
              <w:spacing w:line="240" w:lineRule="exact"/>
              <w:jc w:val="center"/>
              <w:rPr>
                <w:rFonts w:ascii="Times New Roman" w:hAnsi="Times New Roman" w:cs="Times New Roman"/>
                <w:sz w:val="21"/>
                <w:szCs w:val="21"/>
              </w:rPr>
            </w:pPr>
            <w:r>
              <w:rPr>
                <w:rFonts w:ascii="Times New Roman" w:hAnsi="Times New Roman" w:cs="Times New Roman"/>
                <w:sz w:val="21"/>
                <w:szCs w:val="21"/>
              </w:rPr>
              <w:t>222</w:t>
            </w:r>
          </w:p>
        </w:tc>
        <w:tc>
          <w:tcPr>
            <w:tcW w:w="1420" w:type="dxa"/>
            <w:noWrap w:val="0"/>
            <w:vAlign w:val="center"/>
          </w:tcPr>
          <w:p w14:paraId="2D65566F">
            <w:pPr>
              <w:spacing w:line="240" w:lineRule="exact"/>
              <w:jc w:val="center"/>
              <w:rPr>
                <w:rFonts w:ascii="Times New Roman" w:hAnsi="Times New Roman" w:cs="Times New Roman"/>
                <w:sz w:val="21"/>
                <w:szCs w:val="21"/>
              </w:rPr>
            </w:pPr>
            <w:r>
              <w:rPr>
                <w:rFonts w:ascii="Times New Roman" w:hAnsi="Times New Roman" w:cs="Times New Roman"/>
                <w:sz w:val="21"/>
                <w:szCs w:val="21"/>
              </w:rPr>
              <w:t>640</w:t>
            </w:r>
          </w:p>
        </w:tc>
        <w:tc>
          <w:tcPr>
            <w:tcW w:w="1420" w:type="dxa"/>
            <w:noWrap w:val="0"/>
            <w:vAlign w:val="center"/>
          </w:tcPr>
          <w:p w14:paraId="4469F318">
            <w:pPr>
              <w:spacing w:line="240" w:lineRule="exact"/>
              <w:jc w:val="center"/>
              <w:rPr>
                <w:rFonts w:ascii="Times New Roman" w:hAnsi="Times New Roman" w:cs="Times New Roman"/>
                <w:sz w:val="21"/>
                <w:szCs w:val="21"/>
              </w:rPr>
            </w:pPr>
            <w:r>
              <w:rPr>
                <w:rFonts w:ascii="Times New Roman" w:hAnsi="Times New Roman" w:cs="Times New Roman"/>
                <w:sz w:val="21"/>
                <w:szCs w:val="21"/>
              </w:rPr>
              <w:t>640</w:t>
            </w:r>
          </w:p>
        </w:tc>
        <w:tc>
          <w:tcPr>
            <w:tcW w:w="1324" w:type="dxa"/>
            <w:noWrap w:val="0"/>
            <w:vAlign w:val="center"/>
          </w:tcPr>
          <w:p w14:paraId="4F144A56">
            <w:pPr>
              <w:spacing w:line="240" w:lineRule="exact"/>
              <w:jc w:val="center"/>
              <w:rPr>
                <w:rFonts w:ascii="Times New Roman" w:hAnsi="Times New Roman" w:cs="Times New Roman"/>
                <w:sz w:val="21"/>
                <w:szCs w:val="21"/>
              </w:rPr>
            </w:pPr>
            <w:r>
              <w:rPr>
                <w:rFonts w:ascii="Times New Roman" w:hAnsi="Times New Roman" w:cs="Times New Roman"/>
                <w:sz w:val="21"/>
                <w:szCs w:val="21"/>
              </w:rPr>
              <w:t>640</w:t>
            </w:r>
          </w:p>
        </w:tc>
      </w:tr>
      <w:tr w14:paraId="2DE11D84">
        <w:tblPrEx>
          <w:tblBorders>
            <w:top w:val="thinThickSmallGap" w:color="auto" w:sz="12" w:space="0"/>
            <w:left w:val="none" w:color="auto" w:sz="0" w:space="0"/>
            <w:bottom w:val="thickThinSmallGap"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88" w:hRule="atLeast"/>
          <w:jc w:val="center"/>
        </w:trPr>
        <w:tc>
          <w:tcPr>
            <w:tcW w:w="8612" w:type="dxa"/>
            <w:gridSpan w:val="6"/>
            <w:noWrap w:val="0"/>
            <w:vAlign w:val="center"/>
          </w:tcPr>
          <w:p w14:paraId="700F1B6E">
            <w:pPr>
              <w:spacing w:line="240" w:lineRule="exact"/>
              <w:jc w:val="center"/>
              <w:rPr>
                <w:rFonts w:ascii="Times New Roman" w:hAnsi="Times New Roman" w:cs="Times New Roman"/>
                <w:sz w:val="21"/>
                <w:szCs w:val="21"/>
              </w:rPr>
            </w:pPr>
            <w:r>
              <w:rPr>
                <w:rFonts w:ascii="Times New Roman" w:hAnsi="Times New Roman" w:cs="Times New Roman"/>
                <w:sz w:val="21"/>
                <w:szCs w:val="21"/>
              </w:rPr>
              <w:t>半挥发性有机物</w:t>
            </w:r>
          </w:p>
        </w:tc>
      </w:tr>
      <w:tr w14:paraId="18EC14D3">
        <w:tblPrEx>
          <w:tblBorders>
            <w:top w:val="thinThickSmallGap" w:color="auto" w:sz="12" w:space="0"/>
            <w:left w:val="none" w:color="auto" w:sz="0" w:space="0"/>
            <w:bottom w:val="thickThinSmallGap"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88" w:hRule="atLeast"/>
          <w:jc w:val="center"/>
        </w:trPr>
        <w:tc>
          <w:tcPr>
            <w:tcW w:w="756" w:type="dxa"/>
            <w:noWrap w:val="0"/>
            <w:vAlign w:val="center"/>
          </w:tcPr>
          <w:p w14:paraId="2275AA6C">
            <w:pPr>
              <w:jc w:val="center"/>
              <w:rPr>
                <w:rFonts w:ascii="Times New Roman" w:hAnsi="Times New Roman" w:cs="Times New Roman"/>
                <w:sz w:val="21"/>
                <w:szCs w:val="21"/>
              </w:rPr>
            </w:pPr>
            <w:r>
              <w:rPr>
                <w:rFonts w:ascii="Times New Roman" w:hAnsi="Times New Roman" w:cs="Times New Roman"/>
                <w:sz w:val="21"/>
                <w:szCs w:val="21"/>
              </w:rPr>
              <w:t>35</w:t>
            </w:r>
          </w:p>
        </w:tc>
        <w:tc>
          <w:tcPr>
            <w:tcW w:w="2272" w:type="dxa"/>
            <w:noWrap w:val="0"/>
            <w:vAlign w:val="center"/>
          </w:tcPr>
          <w:p w14:paraId="3DC758D8">
            <w:pPr>
              <w:jc w:val="center"/>
              <w:rPr>
                <w:rFonts w:ascii="Times New Roman" w:hAnsi="Times New Roman" w:cs="Times New Roman"/>
                <w:sz w:val="21"/>
                <w:szCs w:val="21"/>
              </w:rPr>
            </w:pPr>
            <w:r>
              <w:rPr>
                <w:rFonts w:ascii="Times New Roman" w:hAnsi="Times New Roman" w:cs="Times New Roman"/>
                <w:sz w:val="21"/>
                <w:szCs w:val="21"/>
              </w:rPr>
              <w:t>硝基苯</w:t>
            </w:r>
          </w:p>
        </w:tc>
        <w:tc>
          <w:tcPr>
            <w:tcW w:w="1420" w:type="dxa"/>
            <w:noWrap w:val="0"/>
            <w:vAlign w:val="center"/>
          </w:tcPr>
          <w:p w14:paraId="2BDBFFFC">
            <w:pPr>
              <w:spacing w:line="240" w:lineRule="exact"/>
              <w:jc w:val="center"/>
              <w:rPr>
                <w:rFonts w:ascii="Times New Roman" w:hAnsi="Times New Roman" w:cs="Times New Roman"/>
                <w:sz w:val="21"/>
                <w:szCs w:val="21"/>
              </w:rPr>
            </w:pPr>
            <w:r>
              <w:rPr>
                <w:rFonts w:ascii="Times New Roman" w:hAnsi="Times New Roman" w:cs="Times New Roman"/>
                <w:sz w:val="21"/>
                <w:szCs w:val="21"/>
              </w:rPr>
              <w:t>34</w:t>
            </w:r>
          </w:p>
        </w:tc>
        <w:tc>
          <w:tcPr>
            <w:tcW w:w="1420" w:type="dxa"/>
            <w:noWrap w:val="0"/>
            <w:vAlign w:val="center"/>
          </w:tcPr>
          <w:p w14:paraId="059C8271">
            <w:pPr>
              <w:spacing w:line="240" w:lineRule="exact"/>
              <w:jc w:val="center"/>
              <w:rPr>
                <w:rFonts w:ascii="Times New Roman" w:hAnsi="Times New Roman" w:cs="Times New Roman"/>
                <w:sz w:val="21"/>
                <w:szCs w:val="21"/>
              </w:rPr>
            </w:pPr>
            <w:r>
              <w:rPr>
                <w:rFonts w:ascii="Times New Roman" w:hAnsi="Times New Roman" w:cs="Times New Roman"/>
                <w:sz w:val="21"/>
                <w:szCs w:val="21"/>
              </w:rPr>
              <w:t>190</w:t>
            </w:r>
          </w:p>
        </w:tc>
        <w:tc>
          <w:tcPr>
            <w:tcW w:w="1420" w:type="dxa"/>
            <w:noWrap w:val="0"/>
            <w:vAlign w:val="center"/>
          </w:tcPr>
          <w:p w14:paraId="2A8E69F7">
            <w:pPr>
              <w:spacing w:line="240" w:lineRule="exact"/>
              <w:jc w:val="center"/>
              <w:rPr>
                <w:rFonts w:ascii="Times New Roman" w:hAnsi="Times New Roman" w:cs="Times New Roman"/>
                <w:sz w:val="21"/>
                <w:szCs w:val="21"/>
              </w:rPr>
            </w:pPr>
            <w:r>
              <w:rPr>
                <w:rFonts w:ascii="Times New Roman" w:hAnsi="Times New Roman" w:cs="Times New Roman"/>
                <w:sz w:val="21"/>
                <w:szCs w:val="21"/>
              </w:rPr>
              <w:t>76</w:t>
            </w:r>
          </w:p>
        </w:tc>
        <w:tc>
          <w:tcPr>
            <w:tcW w:w="1324" w:type="dxa"/>
            <w:noWrap w:val="0"/>
            <w:vAlign w:val="center"/>
          </w:tcPr>
          <w:p w14:paraId="6AA781B5">
            <w:pPr>
              <w:spacing w:line="240" w:lineRule="exact"/>
              <w:jc w:val="center"/>
              <w:rPr>
                <w:rFonts w:ascii="Times New Roman" w:hAnsi="Times New Roman" w:cs="Times New Roman"/>
                <w:sz w:val="21"/>
                <w:szCs w:val="21"/>
              </w:rPr>
            </w:pPr>
            <w:r>
              <w:rPr>
                <w:rFonts w:ascii="Times New Roman" w:hAnsi="Times New Roman" w:cs="Times New Roman"/>
                <w:sz w:val="21"/>
                <w:szCs w:val="21"/>
              </w:rPr>
              <w:t>760</w:t>
            </w:r>
          </w:p>
        </w:tc>
      </w:tr>
      <w:tr w14:paraId="1610B2E3">
        <w:tblPrEx>
          <w:tblBorders>
            <w:top w:val="thinThickSmallGap" w:color="auto" w:sz="12" w:space="0"/>
            <w:left w:val="none" w:color="auto" w:sz="0" w:space="0"/>
            <w:bottom w:val="thickThinSmallGap"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88" w:hRule="atLeast"/>
          <w:jc w:val="center"/>
        </w:trPr>
        <w:tc>
          <w:tcPr>
            <w:tcW w:w="756" w:type="dxa"/>
            <w:noWrap w:val="0"/>
            <w:vAlign w:val="center"/>
          </w:tcPr>
          <w:p w14:paraId="076B88D2">
            <w:pPr>
              <w:jc w:val="center"/>
              <w:rPr>
                <w:rFonts w:ascii="Times New Roman" w:hAnsi="Times New Roman" w:cs="Times New Roman"/>
                <w:sz w:val="21"/>
                <w:szCs w:val="21"/>
              </w:rPr>
            </w:pPr>
            <w:r>
              <w:rPr>
                <w:rFonts w:ascii="Times New Roman" w:hAnsi="Times New Roman" w:cs="Times New Roman"/>
                <w:sz w:val="21"/>
                <w:szCs w:val="21"/>
              </w:rPr>
              <w:t>36</w:t>
            </w:r>
          </w:p>
        </w:tc>
        <w:tc>
          <w:tcPr>
            <w:tcW w:w="2272" w:type="dxa"/>
            <w:noWrap w:val="0"/>
            <w:vAlign w:val="center"/>
          </w:tcPr>
          <w:p w14:paraId="61389812">
            <w:pPr>
              <w:jc w:val="center"/>
              <w:rPr>
                <w:rFonts w:ascii="Times New Roman" w:hAnsi="Times New Roman" w:cs="Times New Roman"/>
                <w:sz w:val="21"/>
                <w:szCs w:val="21"/>
              </w:rPr>
            </w:pPr>
            <w:r>
              <w:rPr>
                <w:rFonts w:ascii="Times New Roman" w:hAnsi="Times New Roman" w:cs="Times New Roman"/>
                <w:sz w:val="21"/>
                <w:szCs w:val="21"/>
              </w:rPr>
              <w:t>苯胺</w:t>
            </w:r>
          </w:p>
        </w:tc>
        <w:tc>
          <w:tcPr>
            <w:tcW w:w="1420" w:type="dxa"/>
            <w:noWrap w:val="0"/>
            <w:vAlign w:val="center"/>
          </w:tcPr>
          <w:p w14:paraId="4E540EB9">
            <w:pPr>
              <w:spacing w:line="240" w:lineRule="exact"/>
              <w:jc w:val="center"/>
              <w:rPr>
                <w:rFonts w:ascii="Times New Roman" w:hAnsi="Times New Roman" w:cs="Times New Roman"/>
                <w:sz w:val="21"/>
                <w:szCs w:val="21"/>
              </w:rPr>
            </w:pPr>
            <w:r>
              <w:rPr>
                <w:rFonts w:ascii="Times New Roman" w:hAnsi="Times New Roman" w:cs="Times New Roman"/>
                <w:sz w:val="21"/>
                <w:szCs w:val="21"/>
              </w:rPr>
              <w:t>92</w:t>
            </w:r>
          </w:p>
        </w:tc>
        <w:tc>
          <w:tcPr>
            <w:tcW w:w="1420" w:type="dxa"/>
            <w:noWrap w:val="0"/>
            <w:vAlign w:val="center"/>
          </w:tcPr>
          <w:p w14:paraId="001939C8">
            <w:pPr>
              <w:spacing w:line="240" w:lineRule="exact"/>
              <w:jc w:val="center"/>
              <w:rPr>
                <w:rFonts w:ascii="Times New Roman" w:hAnsi="Times New Roman" w:cs="Times New Roman"/>
                <w:sz w:val="21"/>
                <w:szCs w:val="21"/>
              </w:rPr>
            </w:pPr>
            <w:r>
              <w:rPr>
                <w:rFonts w:ascii="Times New Roman" w:hAnsi="Times New Roman" w:cs="Times New Roman"/>
                <w:sz w:val="21"/>
                <w:szCs w:val="21"/>
              </w:rPr>
              <w:t>211</w:t>
            </w:r>
          </w:p>
        </w:tc>
        <w:tc>
          <w:tcPr>
            <w:tcW w:w="1420" w:type="dxa"/>
            <w:noWrap w:val="0"/>
            <w:vAlign w:val="center"/>
          </w:tcPr>
          <w:p w14:paraId="6F4AE523">
            <w:pPr>
              <w:spacing w:line="240" w:lineRule="exact"/>
              <w:jc w:val="center"/>
              <w:rPr>
                <w:rFonts w:ascii="Times New Roman" w:hAnsi="Times New Roman" w:cs="Times New Roman"/>
                <w:sz w:val="21"/>
                <w:szCs w:val="21"/>
              </w:rPr>
            </w:pPr>
            <w:r>
              <w:rPr>
                <w:rFonts w:ascii="Times New Roman" w:hAnsi="Times New Roman" w:cs="Times New Roman"/>
                <w:sz w:val="21"/>
                <w:szCs w:val="21"/>
              </w:rPr>
              <w:t>260</w:t>
            </w:r>
          </w:p>
        </w:tc>
        <w:tc>
          <w:tcPr>
            <w:tcW w:w="1324" w:type="dxa"/>
            <w:noWrap w:val="0"/>
            <w:vAlign w:val="center"/>
          </w:tcPr>
          <w:p w14:paraId="33628383">
            <w:pPr>
              <w:spacing w:line="240" w:lineRule="exact"/>
              <w:jc w:val="center"/>
              <w:rPr>
                <w:rFonts w:ascii="Times New Roman" w:hAnsi="Times New Roman" w:cs="Times New Roman"/>
                <w:sz w:val="21"/>
                <w:szCs w:val="21"/>
              </w:rPr>
            </w:pPr>
            <w:r>
              <w:rPr>
                <w:rFonts w:ascii="Times New Roman" w:hAnsi="Times New Roman" w:cs="Times New Roman"/>
                <w:sz w:val="21"/>
                <w:szCs w:val="21"/>
              </w:rPr>
              <w:t>663</w:t>
            </w:r>
          </w:p>
        </w:tc>
      </w:tr>
      <w:tr w14:paraId="1B2D8EDC">
        <w:tblPrEx>
          <w:tblBorders>
            <w:top w:val="thinThickSmallGap" w:color="auto" w:sz="12" w:space="0"/>
            <w:left w:val="none" w:color="auto" w:sz="0" w:space="0"/>
            <w:bottom w:val="thickThinSmallGap"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88" w:hRule="atLeast"/>
          <w:jc w:val="center"/>
        </w:trPr>
        <w:tc>
          <w:tcPr>
            <w:tcW w:w="756" w:type="dxa"/>
            <w:noWrap w:val="0"/>
            <w:vAlign w:val="center"/>
          </w:tcPr>
          <w:p w14:paraId="62890772">
            <w:pPr>
              <w:jc w:val="center"/>
              <w:rPr>
                <w:rFonts w:ascii="Times New Roman" w:hAnsi="Times New Roman" w:cs="Times New Roman"/>
                <w:sz w:val="21"/>
                <w:szCs w:val="21"/>
              </w:rPr>
            </w:pPr>
            <w:r>
              <w:rPr>
                <w:rFonts w:ascii="Times New Roman" w:hAnsi="Times New Roman" w:cs="Times New Roman"/>
                <w:sz w:val="21"/>
                <w:szCs w:val="21"/>
              </w:rPr>
              <w:t>37</w:t>
            </w:r>
          </w:p>
        </w:tc>
        <w:tc>
          <w:tcPr>
            <w:tcW w:w="2272" w:type="dxa"/>
            <w:noWrap w:val="0"/>
            <w:vAlign w:val="center"/>
          </w:tcPr>
          <w:p w14:paraId="4CD65F4F">
            <w:pPr>
              <w:jc w:val="center"/>
              <w:rPr>
                <w:rFonts w:ascii="Times New Roman" w:hAnsi="Times New Roman" w:cs="Times New Roman"/>
                <w:sz w:val="21"/>
                <w:szCs w:val="21"/>
              </w:rPr>
            </w:pPr>
            <w:r>
              <w:rPr>
                <w:rFonts w:ascii="Times New Roman" w:hAnsi="Times New Roman" w:cs="Times New Roman"/>
                <w:sz w:val="21"/>
                <w:szCs w:val="21"/>
              </w:rPr>
              <w:t>2-氯酚</w:t>
            </w:r>
          </w:p>
        </w:tc>
        <w:tc>
          <w:tcPr>
            <w:tcW w:w="1420" w:type="dxa"/>
            <w:noWrap w:val="0"/>
            <w:vAlign w:val="center"/>
          </w:tcPr>
          <w:p w14:paraId="053C5173">
            <w:pPr>
              <w:spacing w:line="240" w:lineRule="exact"/>
              <w:jc w:val="center"/>
              <w:rPr>
                <w:rFonts w:ascii="Times New Roman" w:hAnsi="Times New Roman" w:cs="Times New Roman"/>
                <w:sz w:val="21"/>
                <w:szCs w:val="21"/>
              </w:rPr>
            </w:pPr>
            <w:r>
              <w:rPr>
                <w:rFonts w:ascii="Times New Roman" w:hAnsi="Times New Roman" w:cs="Times New Roman"/>
                <w:sz w:val="21"/>
                <w:szCs w:val="21"/>
              </w:rPr>
              <w:t>250</w:t>
            </w:r>
          </w:p>
        </w:tc>
        <w:tc>
          <w:tcPr>
            <w:tcW w:w="1420" w:type="dxa"/>
            <w:noWrap w:val="0"/>
            <w:vAlign w:val="center"/>
          </w:tcPr>
          <w:p w14:paraId="4D44331C">
            <w:pPr>
              <w:spacing w:line="240" w:lineRule="exact"/>
              <w:jc w:val="center"/>
              <w:rPr>
                <w:rFonts w:ascii="Times New Roman" w:hAnsi="Times New Roman" w:cs="Times New Roman"/>
                <w:sz w:val="21"/>
                <w:szCs w:val="21"/>
              </w:rPr>
            </w:pPr>
            <w:r>
              <w:rPr>
                <w:rFonts w:ascii="Times New Roman" w:hAnsi="Times New Roman" w:cs="Times New Roman"/>
                <w:sz w:val="21"/>
                <w:szCs w:val="21"/>
              </w:rPr>
              <w:t>500</w:t>
            </w:r>
          </w:p>
        </w:tc>
        <w:tc>
          <w:tcPr>
            <w:tcW w:w="1420" w:type="dxa"/>
            <w:noWrap w:val="0"/>
            <w:vAlign w:val="center"/>
          </w:tcPr>
          <w:p w14:paraId="4B424750">
            <w:pPr>
              <w:spacing w:line="240" w:lineRule="exact"/>
              <w:jc w:val="center"/>
              <w:rPr>
                <w:rFonts w:ascii="Times New Roman" w:hAnsi="Times New Roman" w:cs="Times New Roman"/>
                <w:sz w:val="21"/>
                <w:szCs w:val="21"/>
              </w:rPr>
            </w:pPr>
            <w:r>
              <w:rPr>
                <w:rFonts w:ascii="Times New Roman" w:hAnsi="Times New Roman" w:cs="Times New Roman"/>
                <w:sz w:val="21"/>
                <w:szCs w:val="21"/>
              </w:rPr>
              <w:t>2256</w:t>
            </w:r>
          </w:p>
        </w:tc>
        <w:tc>
          <w:tcPr>
            <w:tcW w:w="1324" w:type="dxa"/>
            <w:noWrap w:val="0"/>
            <w:vAlign w:val="center"/>
          </w:tcPr>
          <w:p w14:paraId="53F08D51">
            <w:pPr>
              <w:spacing w:line="240" w:lineRule="exact"/>
              <w:jc w:val="center"/>
              <w:rPr>
                <w:rFonts w:ascii="Times New Roman" w:hAnsi="Times New Roman" w:cs="Times New Roman"/>
                <w:sz w:val="21"/>
                <w:szCs w:val="21"/>
              </w:rPr>
            </w:pPr>
            <w:r>
              <w:rPr>
                <w:rFonts w:ascii="Times New Roman" w:hAnsi="Times New Roman" w:cs="Times New Roman"/>
                <w:sz w:val="21"/>
                <w:szCs w:val="21"/>
              </w:rPr>
              <w:t>4500</w:t>
            </w:r>
          </w:p>
        </w:tc>
      </w:tr>
      <w:tr w14:paraId="12FD38DD">
        <w:tblPrEx>
          <w:tblBorders>
            <w:top w:val="thinThickSmallGap" w:color="auto" w:sz="12" w:space="0"/>
            <w:left w:val="none" w:color="auto" w:sz="0" w:space="0"/>
            <w:bottom w:val="thickThinSmallGap"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88" w:hRule="atLeast"/>
          <w:jc w:val="center"/>
        </w:trPr>
        <w:tc>
          <w:tcPr>
            <w:tcW w:w="756" w:type="dxa"/>
            <w:noWrap w:val="0"/>
            <w:vAlign w:val="center"/>
          </w:tcPr>
          <w:p w14:paraId="3BD26A02">
            <w:pPr>
              <w:jc w:val="center"/>
              <w:rPr>
                <w:rFonts w:ascii="Times New Roman" w:hAnsi="Times New Roman" w:cs="Times New Roman"/>
                <w:sz w:val="21"/>
                <w:szCs w:val="21"/>
              </w:rPr>
            </w:pPr>
            <w:r>
              <w:rPr>
                <w:rFonts w:ascii="Times New Roman" w:hAnsi="Times New Roman" w:cs="Times New Roman"/>
                <w:sz w:val="21"/>
                <w:szCs w:val="21"/>
              </w:rPr>
              <w:t>38</w:t>
            </w:r>
          </w:p>
        </w:tc>
        <w:tc>
          <w:tcPr>
            <w:tcW w:w="2272" w:type="dxa"/>
            <w:noWrap w:val="0"/>
            <w:vAlign w:val="center"/>
          </w:tcPr>
          <w:p w14:paraId="24480E42">
            <w:pPr>
              <w:jc w:val="center"/>
              <w:rPr>
                <w:rFonts w:ascii="Times New Roman" w:hAnsi="Times New Roman" w:cs="Times New Roman"/>
                <w:sz w:val="21"/>
                <w:szCs w:val="21"/>
              </w:rPr>
            </w:pPr>
            <w:r>
              <w:rPr>
                <w:rFonts w:ascii="Times New Roman" w:hAnsi="Times New Roman" w:cs="Times New Roman"/>
                <w:sz w:val="21"/>
                <w:szCs w:val="21"/>
              </w:rPr>
              <w:t>苯并[a]蒽</w:t>
            </w:r>
          </w:p>
        </w:tc>
        <w:tc>
          <w:tcPr>
            <w:tcW w:w="1420" w:type="dxa"/>
            <w:noWrap w:val="0"/>
            <w:vAlign w:val="center"/>
          </w:tcPr>
          <w:p w14:paraId="187DA69C">
            <w:pPr>
              <w:spacing w:line="240" w:lineRule="exact"/>
              <w:jc w:val="center"/>
              <w:rPr>
                <w:rFonts w:ascii="Times New Roman" w:hAnsi="Times New Roman" w:cs="Times New Roman"/>
                <w:sz w:val="21"/>
                <w:szCs w:val="21"/>
              </w:rPr>
            </w:pPr>
            <w:r>
              <w:rPr>
                <w:rFonts w:ascii="Times New Roman" w:hAnsi="Times New Roman" w:cs="Times New Roman"/>
                <w:sz w:val="21"/>
                <w:szCs w:val="21"/>
              </w:rPr>
              <w:t>5.5</w:t>
            </w:r>
          </w:p>
        </w:tc>
        <w:tc>
          <w:tcPr>
            <w:tcW w:w="1420" w:type="dxa"/>
            <w:noWrap w:val="0"/>
            <w:vAlign w:val="center"/>
          </w:tcPr>
          <w:p w14:paraId="324B9D45">
            <w:pPr>
              <w:spacing w:line="240" w:lineRule="exact"/>
              <w:jc w:val="center"/>
              <w:rPr>
                <w:rFonts w:ascii="Times New Roman" w:hAnsi="Times New Roman" w:cs="Times New Roman"/>
                <w:sz w:val="21"/>
                <w:szCs w:val="21"/>
              </w:rPr>
            </w:pPr>
            <w:r>
              <w:rPr>
                <w:rFonts w:ascii="Times New Roman" w:hAnsi="Times New Roman" w:cs="Times New Roman"/>
                <w:sz w:val="21"/>
                <w:szCs w:val="21"/>
              </w:rPr>
              <w:t>55</w:t>
            </w:r>
          </w:p>
        </w:tc>
        <w:tc>
          <w:tcPr>
            <w:tcW w:w="1420" w:type="dxa"/>
            <w:noWrap w:val="0"/>
            <w:vAlign w:val="center"/>
          </w:tcPr>
          <w:p w14:paraId="1FF1EC2F">
            <w:pPr>
              <w:spacing w:line="240" w:lineRule="exact"/>
              <w:jc w:val="center"/>
              <w:rPr>
                <w:rFonts w:ascii="Times New Roman" w:hAnsi="Times New Roman" w:cs="Times New Roman"/>
                <w:sz w:val="21"/>
                <w:szCs w:val="21"/>
              </w:rPr>
            </w:pPr>
            <w:r>
              <w:rPr>
                <w:rFonts w:ascii="Times New Roman" w:hAnsi="Times New Roman" w:cs="Times New Roman"/>
                <w:sz w:val="21"/>
                <w:szCs w:val="21"/>
              </w:rPr>
              <w:t>15</w:t>
            </w:r>
          </w:p>
        </w:tc>
        <w:tc>
          <w:tcPr>
            <w:tcW w:w="1324" w:type="dxa"/>
            <w:noWrap w:val="0"/>
            <w:vAlign w:val="center"/>
          </w:tcPr>
          <w:p w14:paraId="01A49542">
            <w:pPr>
              <w:spacing w:line="240" w:lineRule="exact"/>
              <w:jc w:val="center"/>
              <w:rPr>
                <w:rFonts w:ascii="Times New Roman" w:hAnsi="Times New Roman" w:cs="Times New Roman"/>
                <w:sz w:val="21"/>
                <w:szCs w:val="21"/>
              </w:rPr>
            </w:pPr>
            <w:r>
              <w:rPr>
                <w:rFonts w:ascii="Times New Roman" w:hAnsi="Times New Roman" w:cs="Times New Roman"/>
                <w:sz w:val="21"/>
                <w:szCs w:val="21"/>
              </w:rPr>
              <w:t>151</w:t>
            </w:r>
          </w:p>
        </w:tc>
      </w:tr>
      <w:tr w14:paraId="5F003379">
        <w:tblPrEx>
          <w:tblBorders>
            <w:top w:val="thinThickSmallGap" w:color="auto" w:sz="12" w:space="0"/>
            <w:left w:val="none" w:color="auto" w:sz="0" w:space="0"/>
            <w:bottom w:val="thickThinSmallGap"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88" w:hRule="atLeast"/>
          <w:jc w:val="center"/>
        </w:trPr>
        <w:tc>
          <w:tcPr>
            <w:tcW w:w="756" w:type="dxa"/>
            <w:noWrap w:val="0"/>
            <w:vAlign w:val="center"/>
          </w:tcPr>
          <w:p w14:paraId="1E38F95D">
            <w:pPr>
              <w:jc w:val="center"/>
              <w:rPr>
                <w:rFonts w:ascii="Times New Roman" w:hAnsi="Times New Roman" w:cs="Times New Roman"/>
                <w:sz w:val="21"/>
                <w:szCs w:val="21"/>
              </w:rPr>
            </w:pPr>
            <w:r>
              <w:rPr>
                <w:rFonts w:ascii="Times New Roman" w:hAnsi="Times New Roman" w:cs="Times New Roman"/>
                <w:sz w:val="21"/>
                <w:szCs w:val="21"/>
              </w:rPr>
              <w:t>39</w:t>
            </w:r>
          </w:p>
        </w:tc>
        <w:tc>
          <w:tcPr>
            <w:tcW w:w="2272" w:type="dxa"/>
            <w:noWrap w:val="0"/>
            <w:vAlign w:val="center"/>
          </w:tcPr>
          <w:p w14:paraId="519BC080">
            <w:pPr>
              <w:jc w:val="center"/>
              <w:rPr>
                <w:rFonts w:ascii="Times New Roman" w:hAnsi="Times New Roman" w:cs="Times New Roman"/>
                <w:sz w:val="21"/>
                <w:szCs w:val="21"/>
              </w:rPr>
            </w:pPr>
            <w:r>
              <w:rPr>
                <w:rFonts w:ascii="Times New Roman" w:hAnsi="Times New Roman" w:cs="Times New Roman"/>
                <w:sz w:val="21"/>
                <w:szCs w:val="21"/>
              </w:rPr>
              <w:t>苯并[a]芘</w:t>
            </w:r>
          </w:p>
        </w:tc>
        <w:tc>
          <w:tcPr>
            <w:tcW w:w="1420" w:type="dxa"/>
            <w:noWrap w:val="0"/>
            <w:vAlign w:val="center"/>
          </w:tcPr>
          <w:p w14:paraId="7DC18D6E">
            <w:pPr>
              <w:spacing w:line="240" w:lineRule="exact"/>
              <w:jc w:val="center"/>
              <w:rPr>
                <w:rFonts w:ascii="Times New Roman" w:hAnsi="Times New Roman" w:cs="Times New Roman"/>
                <w:sz w:val="21"/>
                <w:szCs w:val="21"/>
              </w:rPr>
            </w:pPr>
            <w:r>
              <w:rPr>
                <w:rFonts w:ascii="Times New Roman" w:hAnsi="Times New Roman" w:cs="Times New Roman"/>
                <w:sz w:val="21"/>
                <w:szCs w:val="21"/>
              </w:rPr>
              <w:t>0.55</w:t>
            </w:r>
          </w:p>
        </w:tc>
        <w:tc>
          <w:tcPr>
            <w:tcW w:w="1420" w:type="dxa"/>
            <w:noWrap w:val="0"/>
            <w:vAlign w:val="center"/>
          </w:tcPr>
          <w:p w14:paraId="6603A0E0">
            <w:pPr>
              <w:spacing w:line="240" w:lineRule="exact"/>
              <w:jc w:val="center"/>
              <w:rPr>
                <w:rFonts w:ascii="Times New Roman" w:hAnsi="Times New Roman" w:cs="Times New Roman"/>
                <w:sz w:val="21"/>
                <w:szCs w:val="21"/>
              </w:rPr>
            </w:pPr>
            <w:r>
              <w:rPr>
                <w:rFonts w:ascii="Times New Roman" w:hAnsi="Times New Roman" w:cs="Times New Roman"/>
                <w:sz w:val="21"/>
                <w:szCs w:val="21"/>
              </w:rPr>
              <w:t>5.5</w:t>
            </w:r>
          </w:p>
        </w:tc>
        <w:tc>
          <w:tcPr>
            <w:tcW w:w="1420" w:type="dxa"/>
            <w:noWrap w:val="0"/>
            <w:vAlign w:val="center"/>
          </w:tcPr>
          <w:p w14:paraId="7F21BAE0">
            <w:pPr>
              <w:spacing w:line="240" w:lineRule="exact"/>
              <w:jc w:val="center"/>
              <w:rPr>
                <w:rFonts w:ascii="Times New Roman" w:hAnsi="Times New Roman" w:cs="Times New Roman"/>
                <w:sz w:val="21"/>
                <w:szCs w:val="21"/>
              </w:rPr>
            </w:pPr>
            <w:r>
              <w:rPr>
                <w:rFonts w:ascii="Times New Roman" w:hAnsi="Times New Roman" w:cs="Times New Roman"/>
                <w:sz w:val="21"/>
                <w:szCs w:val="21"/>
              </w:rPr>
              <w:t>1.5</w:t>
            </w:r>
          </w:p>
        </w:tc>
        <w:tc>
          <w:tcPr>
            <w:tcW w:w="1324" w:type="dxa"/>
            <w:noWrap w:val="0"/>
            <w:vAlign w:val="center"/>
          </w:tcPr>
          <w:p w14:paraId="24FA8894">
            <w:pPr>
              <w:spacing w:line="240" w:lineRule="exact"/>
              <w:jc w:val="center"/>
              <w:rPr>
                <w:rFonts w:ascii="Times New Roman" w:hAnsi="Times New Roman" w:cs="Times New Roman"/>
                <w:sz w:val="21"/>
                <w:szCs w:val="21"/>
              </w:rPr>
            </w:pPr>
            <w:r>
              <w:rPr>
                <w:rFonts w:ascii="Times New Roman" w:hAnsi="Times New Roman" w:cs="Times New Roman"/>
                <w:sz w:val="21"/>
                <w:szCs w:val="21"/>
              </w:rPr>
              <w:t>15</w:t>
            </w:r>
          </w:p>
        </w:tc>
      </w:tr>
      <w:tr w14:paraId="435D10D4">
        <w:tblPrEx>
          <w:tblBorders>
            <w:top w:val="thinThickSmallGap" w:color="auto" w:sz="12" w:space="0"/>
            <w:left w:val="none" w:color="auto" w:sz="0" w:space="0"/>
            <w:bottom w:val="thickThinSmallGap"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88" w:hRule="atLeast"/>
          <w:jc w:val="center"/>
        </w:trPr>
        <w:tc>
          <w:tcPr>
            <w:tcW w:w="756" w:type="dxa"/>
            <w:noWrap w:val="0"/>
            <w:vAlign w:val="center"/>
          </w:tcPr>
          <w:p w14:paraId="481C6C9A">
            <w:pPr>
              <w:jc w:val="center"/>
              <w:rPr>
                <w:rFonts w:ascii="Times New Roman" w:hAnsi="Times New Roman" w:cs="Times New Roman"/>
                <w:sz w:val="21"/>
                <w:szCs w:val="21"/>
              </w:rPr>
            </w:pPr>
            <w:r>
              <w:rPr>
                <w:rFonts w:ascii="Times New Roman" w:hAnsi="Times New Roman" w:cs="Times New Roman"/>
                <w:sz w:val="21"/>
                <w:szCs w:val="21"/>
              </w:rPr>
              <w:t>40</w:t>
            </w:r>
          </w:p>
        </w:tc>
        <w:tc>
          <w:tcPr>
            <w:tcW w:w="2272" w:type="dxa"/>
            <w:noWrap w:val="0"/>
            <w:vAlign w:val="center"/>
          </w:tcPr>
          <w:p w14:paraId="41BB1249">
            <w:pPr>
              <w:jc w:val="center"/>
              <w:rPr>
                <w:rFonts w:ascii="Times New Roman" w:hAnsi="Times New Roman" w:cs="Times New Roman"/>
                <w:sz w:val="21"/>
                <w:szCs w:val="21"/>
              </w:rPr>
            </w:pPr>
            <w:r>
              <w:rPr>
                <w:rFonts w:ascii="Times New Roman" w:hAnsi="Times New Roman" w:cs="Times New Roman"/>
                <w:sz w:val="21"/>
                <w:szCs w:val="21"/>
              </w:rPr>
              <w:t>苯并[b]荧蒽</w:t>
            </w:r>
          </w:p>
        </w:tc>
        <w:tc>
          <w:tcPr>
            <w:tcW w:w="1420" w:type="dxa"/>
            <w:noWrap w:val="0"/>
            <w:vAlign w:val="center"/>
          </w:tcPr>
          <w:p w14:paraId="3817FEE4">
            <w:pPr>
              <w:spacing w:line="240" w:lineRule="exact"/>
              <w:jc w:val="center"/>
              <w:rPr>
                <w:rFonts w:ascii="Times New Roman" w:hAnsi="Times New Roman" w:cs="Times New Roman"/>
                <w:sz w:val="21"/>
                <w:szCs w:val="21"/>
              </w:rPr>
            </w:pPr>
            <w:r>
              <w:rPr>
                <w:rFonts w:ascii="Times New Roman" w:hAnsi="Times New Roman" w:cs="Times New Roman"/>
                <w:sz w:val="21"/>
                <w:szCs w:val="21"/>
              </w:rPr>
              <w:t>5.5</w:t>
            </w:r>
          </w:p>
        </w:tc>
        <w:tc>
          <w:tcPr>
            <w:tcW w:w="1420" w:type="dxa"/>
            <w:noWrap w:val="0"/>
            <w:vAlign w:val="center"/>
          </w:tcPr>
          <w:p w14:paraId="5244C358">
            <w:pPr>
              <w:spacing w:line="240" w:lineRule="exact"/>
              <w:jc w:val="center"/>
              <w:rPr>
                <w:rFonts w:ascii="Times New Roman" w:hAnsi="Times New Roman" w:cs="Times New Roman"/>
                <w:sz w:val="21"/>
                <w:szCs w:val="21"/>
              </w:rPr>
            </w:pPr>
            <w:r>
              <w:rPr>
                <w:rFonts w:ascii="Times New Roman" w:hAnsi="Times New Roman" w:cs="Times New Roman"/>
                <w:sz w:val="21"/>
                <w:szCs w:val="21"/>
              </w:rPr>
              <w:t>55</w:t>
            </w:r>
          </w:p>
        </w:tc>
        <w:tc>
          <w:tcPr>
            <w:tcW w:w="1420" w:type="dxa"/>
            <w:noWrap w:val="0"/>
            <w:vAlign w:val="center"/>
          </w:tcPr>
          <w:p w14:paraId="7B35DD52">
            <w:pPr>
              <w:spacing w:line="240" w:lineRule="exact"/>
              <w:jc w:val="center"/>
              <w:rPr>
                <w:rFonts w:ascii="Times New Roman" w:hAnsi="Times New Roman" w:cs="Times New Roman"/>
                <w:sz w:val="21"/>
                <w:szCs w:val="21"/>
              </w:rPr>
            </w:pPr>
            <w:r>
              <w:rPr>
                <w:rFonts w:ascii="Times New Roman" w:hAnsi="Times New Roman" w:cs="Times New Roman"/>
                <w:sz w:val="21"/>
                <w:szCs w:val="21"/>
              </w:rPr>
              <w:t>15</w:t>
            </w:r>
          </w:p>
        </w:tc>
        <w:tc>
          <w:tcPr>
            <w:tcW w:w="1324" w:type="dxa"/>
            <w:noWrap w:val="0"/>
            <w:vAlign w:val="center"/>
          </w:tcPr>
          <w:p w14:paraId="1C4A89FE">
            <w:pPr>
              <w:spacing w:line="240" w:lineRule="exact"/>
              <w:jc w:val="center"/>
              <w:rPr>
                <w:rFonts w:ascii="Times New Roman" w:hAnsi="Times New Roman" w:cs="Times New Roman"/>
                <w:sz w:val="21"/>
                <w:szCs w:val="21"/>
              </w:rPr>
            </w:pPr>
            <w:r>
              <w:rPr>
                <w:rFonts w:ascii="Times New Roman" w:hAnsi="Times New Roman" w:cs="Times New Roman"/>
                <w:sz w:val="21"/>
                <w:szCs w:val="21"/>
              </w:rPr>
              <w:t>151</w:t>
            </w:r>
          </w:p>
        </w:tc>
      </w:tr>
      <w:tr w14:paraId="3F35A9A5">
        <w:tblPrEx>
          <w:tblBorders>
            <w:top w:val="thinThickSmallGap" w:color="auto" w:sz="12" w:space="0"/>
            <w:left w:val="none" w:color="auto" w:sz="0" w:space="0"/>
            <w:bottom w:val="thickThinSmallGap"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88" w:hRule="atLeast"/>
          <w:jc w:val="center"/>
        </w:trPr>
        <w:tc>
          <w:tcPr>
            <w:tcW w:w="756" w:type="dxa"/>
            <w:noWrap w:val="0"/>
            <w:vAlign w:val="center"/>
          </w:tcPr>
          <w:p w14:paraId="1C4407EA">
            <w:pPr>
              <w:jc w:val="center"/>
              <w:rPr>
                <w:rFonts w:ascii="Times New Roman" w:hAnsi="Times New Roman" w:cs="Times New Roman"/>
                <w:sz w:val="21"/>
                <w:szCs w:val="21"/>
              </w:rPr>
            </w:pPr>
            <w:r>
              <w:rPr>
                <w:rFonts w:ascii="Times New Roman" w:hAnsi="Times New Roman" w:cs="Times New Roman"/>
                <w:sz w:val="21"/>
                <w:szCs w:val="21"/>
              </w:rPr>
              <w:t>41</w:t>
            </w:r>
          </w:p>
        </w:tc>
        <w:tc>
          <w:tcPr>
            <w:tcW w:w="2272" w:type="dxa"/>
            <w:noWrap w:val="0"/>
            <w:vAlign w:val="center"/>
          </w:tcPr>
          <w:p w14:paraId="257E52A2">
            <w:pPr>
              <w:jc w:val="center"/>
              <w:rPr>
                <w:rFonts w:ascii="Times New Roman" w:hAnsi="Times New Roman" w:cs="Times New Roman"/>
                <w:sz w:val="21"/>
                <w:szCs w:val="21"/>
              </w:rPr>
            </w:pPr>
            <w:r>
              <w:rPr>
                <w:rFonts w:ascii="Times New Roman" w:hAnsi="Times New Roman" w:cs="Times New Roman"/>
                <w:sz w:val="21"/>
                <w:szCs w:val="21"/>
              </w:rPr>
              <w:t>苯并[k]荧蒽</w:t>
            </w:r>
          </w:p>
        </w:tc>
        <w:tc>
          <w:tcPr>
            <w:tcW w:w="1420" w:type="dxa"/>
            <w:noWrap w:val="0"/>
            <w:vAlign w:val="center"/>
          </w:tcPr>
          <w:p w14:paraId="0B0336B5">
            <w:pPr>
              <w:spacing w:line="240" w:lineRule="exact"/>
              <w:jc w:val="center"/>
              <w:rPr>
                <w:rFonts w:ascii="Times New Roman" w:hAnsi="Times New Roman" w:cs="Times New Roman"/>
                <w:sz w:val="21"/>
                <w:szCs w:val="21"/>
              </w:rPr>
            </w:pPr>
            <w:r>
              <w:rPr>
                <w:rFonts w:ascii="Times New Roman" w:hAnsi="Times New Roman" w:cs="Times New Roman"/>
                <w:sz w:val="21"/>
                <w:szCs w:val="21"/>
              </w:rPr>
              <w:t>55</w:t>
            </w:r>
          </w:p>
        </w:tc>
        <w:tc>
          <w:tcPr>
            <w:tcW w:w="1420" w:type="dxa"/>
            <w:noWrap w:val="0"/>
            <w:vAlign w:val="center"/>
          </w:tcPr>
          <w:p w14:paraId="362EC707">
            <w:pPr>
              <w:spacing w:line="240" w:lineRule="exact"/>
              <w:jc w:val="center"/>
              <w:rPr>
                <w:rFonts w:ascii="Times New Roman" w:hAnsi="Times New Roman" w:cs="Times New Roman"/>
                <w:sz w:val="21"/>
                <w:szCs w:val="21"/>
              </w:rPr>
            </w:pPr>
            <w:r>
              <w:rPr>
                <w:rFonts w:ascii="Times New Roman" w:hAnsi="Times New Roman" w:cs="Times New Roman"/>
                <w:sz w:val="21"/>
                <w:szCs w:val="21"/>
              </w:rPr>
              <w:t>550</w:t>
            </w:r>
          </w:p>
        </w:tc>
        <w:tc>
          <w:tcPr>
            <w:tcW w:w="1420" w:type="dxa"/>
            <w:noWrap w:val="0"/>
            <w:vAlign w:val="center"/>
          </w:tcPr>
          <w:p w14:paraId="0C21C013">
            <w:pPr>
              <w:spacing w:line="240" w:lineRule="exact"/>
              <w:jc w:val="center"/>
              <w:rPr>
                <w:rFonts w:ascii="Times New Roman" w:hAnsi="Times New Roman" w:cs="Times New Roman"/>
                <w:sz w:val="21"/>
                <w:szCs w:val="21"/>
              </w:rPr>
            </w:pPr>
            <w:r>
              <w:rPr>
                <w:rFonts w:ascii="Times New Roman" w:hAnsi="Times New Roman" w:cs="Times New Roman"/>
                <w:sz w:val="21"/>
                <w:szCs w:val="21"/>
              </w:rPr>
              <w:t>151</w:t>
            </w:r>
          </w:p>
        </w:tc>
        <w:tc>
          <w:tcPr>
            <w:tcW w:w="1324" w:type="dxa"/>
            <w:noWrap w:val="0"/>
            <w:vAlign w:val="center"/>
          </w:tcPr>
          <w:p w14:paraId="29FDB6A4">
            <w:pPr>
              <w:spacing w:line="240" w:lineRule="exact"/>
              <w:jc w:val="center"/>
              <w:rPr>
                <w:rFonts w:ascii="Times New Roman" w:hAnsi="Times New Roman" w:cs="Times New Roman"/>
                <w:sz w:val="21"/>
                <w:szCs w:val="21"/>
              </w:rPr>
            </w:pPr>
            <w:r>
              <w:rPr>
                <w:rFonts w:ascii="Times New Roman" w:hAnsi="Times New Roman" w:cs="Times New Roman"/>
                <w:sz w:val="21"/>
                <w:szCs w:val="21"/>
              </w:rPr>
              <w:t>1500</w:t>
            </w:r>
          </w:p>
        </w:tc>
      </w:tr>
      <w:tr w14:paraId="36B11736">
        <w:tblPrEx>
          <w:tblBorders>
            <w:top w:val="thinThickSmallGap" w:color="auto" w:sz="12" w:space="0"/>
            <w:left w:val="none" w:color="auto" w:sz="0" w:space="0"/>
            <w:bottom w:val="thickThinSmallGap"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88" w:hRule="atLeast"/>
          <w:jc w:val="center"/>
        </w:trPr>
        <w:tc>
          <w:tcPr>
            <w:tcW w:w="756" w:type="dxa"/>
            <w:noWrap w:val="0"/>
            <w:vAlign w:val="center"/>
          </w:tcPr>
          <w:p w14:paraId="539BB977">
            <w:pPr>
              <w:jc w:val="center"/>
              <w:rPr>
                <w:rFonts w:ascii="Times New Roman" w:hAnsi="Times New Roman" w:cs="Times New Roman"/>
                <w:sz w:val="21"/>
                <w:szCs w:val="21"/>
              </w:rPr>
            </w:pPr>
            <w:r>
              <w:rPr>
                <w:rFonts w:ascii="Times New Roman" w:hAnsi="Times New Roman" w:cs="Times New Roman"/>
                <w:sz w:val="21"/>
                <w:szCs w:val="21"/>
              </w:rPr>
              <w:t>42</w:t>
            </w:r>
          </w:p>
        </w:tc>
        <w:tc>
          <w:tcPr>
            <w:tcW w:w="2272" w:type="dxa"/>
            <w:noWrap w:val="0"/>
            <w:vAlign w:val="center"/>
          </w:tcPr>
          <w:p w14:paraId="60E52E0F">
            <w:pPr>
              <w:jc w:val="center"/>
              <w:rPr>
                <w:rFonts w:ascii="Times New Roman" w:hAnsi="Times New Roman" w:cs="Times New Roman"/>
                <w:sz w:val="21"/>
                <w:szCs w:val="21"/>
              </w:rPr>
            </w:pPr>
            <w:r>
              <w:rPr>
                <w:rFonts w:ascii="Times New Roman" w:hAnsi="Times New Roman" w:cs="Times New Roman"/>
                <w:sz w:val="21"/>
                <w:szCs w:val="21"/>
              </w:rPr>
              <w:t>䓛</w:t>
            </w:r>
          </w:p>
        </w:tc>
        <w:tc>
          <w:tcPr>
            <w:tcW w:w="1420" w:type="dxa"/>
            <w:noWrap w:val="0"/>
            <w:vAlign w:val="center"/>
          </w:tcPr>
          <w:p w14:paraId="60AEA796">
            <w:pPr>
              <w:spacing w:line="240" w:lineRule="exact"/>
              <w:jc w:val="center"/>
              <w:rPr>
                <w:rFonts w:ascii="Times New Roman" w:hAnsi="Times New Roman" w:cs="Times New Roman"/>
                <w:sz w:val="21"/>
                <w:szCs w:val="21"/>
              </w:rPr>
            </w:pPr>
            <w:r>
              <w:rPr>
                <w:rFonts w:ascii="Times New Roman" w:hAnsi="Times New Roman" w:cs="Times New Roman"/>
                <w:sz w:val="21"/>
                <w:szCs w:val="21"/>
              </w:rPr>
              <w:t>490</w:t>
            </w:r>
          </w:p>
        </w:tc>
        <w:tc>
          <w:tcPr>
            <w:tcW w:w="1420" w:type="dxa"/>
            <w:noWrap w:val="0"/>
            <w:vAlign w:val="center"/>
          </w:tcPr>
          <w:p w14:paraId="5CBE4FFC">
            <w:pPr>
              <w:spacing w:line="240" w:lineRule="exact"/>
              <w:jc w:val="center"/>
              <w:rPr>
                <w:rFonts w:ascii="Times New Roman" w:hAnsi="Times New Roman" w:cs="Times New Roman"/>
                <w:sz w:val="21"/>
                <w:szCs w:val="21"/>
              </w:rPr>
            </w:pPr>
            <w:r>
              <w:rPr>
                <w:rFonts w:ascii="Times New Roman" w:hAnsi="Times New Roman" w:cs="Times New Roman"/>
                <w:sz w:val="21"/>
                <w:szCs w:val="21"/>
              </w:rPr>
              <w:t>4900</w:t>
            </w:r>
          </w:p>
        </w:tc>
        <w:tc>
          <w:tcPr>
            <w:tcW w:w="1420" w:type="dxa"/>
            <w:noWrap w:val="0"/>
            <w:vAlign w:val="center"/>
          </w:tcPr>
          <w:p w14:paraId="28E3F17A">
            <w:pPr>
              <w:spacing w:line="240" w:lineRule="exact"/>
              <w:jc w:val="center"/>
              <w:rPr>
                <w:rFonts w:ascii="Times New Roman" w:hAnsi="Times New Roman" w:cs="Times New Roman"/>
                <w:sz w:val="21"/>
                <w:szCs w:val="21"/>
              </w:rPr>
            </w:pPr>
            <w:r>
              <w:rPr>
                <w:rFonts w:ascii="Times New Roman" w:hAnsi="Times New Roman" w:cs="Times New Roman"/>
                <w:sz w:val="21"/>
                <w:szCs w:val="21"/>
              </w:rPr>
              <w:t>1293</w:t>
            </w:r>
          </w:p>
        </w:tc>
        <w:tc>
          <w:tcPr>
            <w:tcW w:w="1324" w:type="dxa"/>
            <w:noWrap w:val="0"/>
            <w:vAlign w:val="center"/>
          </w:tcPr>
          <w:p w14:paraId="183B053B">
            <w:pPr>
              <w:spacing w:line="240" w:lineRule="exact"/>
              <w:jc w:val="center"/>
              <w:rPr>
                <w:rFonts w:ascii="Times New Roman" w:hAnsi="Times New Roman" w:cs="Times New Roman"/>
                <w:sz w:val="21"/>
                <w:szCs w:val="21"/>
              </w:rPr>
            </w:pPr>
            <w:r>
              <w:rPr>
                <w:rFonts w:ascii="Times New Roman" w:hAnsi="Times New Roman" w:cs="Times New Roman"/>
                <w:sz w:val="21"/>
                <w:szCs w:val="21"/>
              </w:rPr>
              <w:t>12900</w:t>
            </w:r>
          </w:p>
        </w:tc>
      </w:tr>
      <w:tr w14:paraId="6C033065">
        <w:tblPrEx>
          <w:tblBorders>
            <w:top w:val="thinThickSmallGap" w:color="auto" w:sz="12" w:space="0"/>
            <w:left w:val="none" w:color="auto" w:sz="0" w:space="0"/>
            <w:bottom w:val="thickThinSmallGap"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88" w:hRule="atLeast"/>
          <w:jc w:val="center"/>
        </w:trPr>
        <w:tc>
          <w:tcPr>
            <w:tcW w:w="756" w:type="dxa"/>
            <w:noWrap w:val="0"/>
            <w:vAlign w:val="center"/>
          </w:tcPr>
          <w:p w14:paraId="2F077183">
            <w:pPr>
              <w:jc w:val="center"/>
              <w:rPr>
                <w:rFonts w:ascii="Times New Roman" w:hAnsi="Times New Roman" w:cs="Times New Roman"/>
                <w:sz w:val="21"/>
                <w:szCs w:val="21"/>
              </w:rPr>
            </w:pPr>
            <w:r>
              <w:rPr>
                <w:rFonts w:ascii="Times New Roman" w:hAnsi="Times New Roman" w:cs="Times New Roman"/>
                <w:sz w:val="21"/>
                <w:szCs w:val="21"/>
              </w:rPr>
              <w:t>43</w:t>
            </w:r>
          </w:p>
        </w:tc>
        <w:tc>
          <w:tcPr>
            <w:tcW w:w="2272" w:type="dxa"/>
            <w:noWrap w:val="0"/>
            <w:vAlign w:val="center"/>
          </w:tcPr>
          <w:p w14:paraId="24AD6A2F">
            <w:pPr>
              <w:jc w:val="center"/>
              <w:rPr>
                <w:rFonts w:ascii="Times New Roman" w:hAnsi="Times New Roman" w:cs="Times New Roman"/>
                <w:sz w:val="21"/>
                <w:szCs w:val="21"/>
              </w:rPr>
            </w:pPr>
            <w:r>
              <w:rPr>
                <w:rFonts w:ascii="Times New Roman" w:hAnsi="Times New Roman" w:cs="Times New Roman"/>
                <w:sz w:val="21"/>
                <w:szCs w:val="21"/>
              </w:rPr>
              <w:t>二苯并[a,h]蒽</w:t>
            </w:r>
          </w:p>
        </w:tc>
        <w:tc>
          <w:tcPr>
            <w:tcW w:w="1420" w:type="dxa"/>
            <w:noWrap w:val="0"/>
            <w:vAlign w:val="center"/>
          </w:tcPr>
          <w:p w14:paraId="6ADE1134">
            <w:pPr>
              <w:spacing w:line="240" w:lineRule="exact"/>
              <w:jc w:val="center"/>
              <w:rPr>
                <w:rFonts w:ascii="Times New Roman" w:hAnsi="Times New Roman" w:cs="Times New Roman"/>
                <w:sz w:val="21"/>
                <w:szCs w:val="21"/>
              </w:rPr>
            </w:pPr>
            <w:r>
              <w:rPr>
                <w:rFonts w:ascii="Times New Roman" w:hAnsi="Times New Roman" w:cs="Times New Roman"/>
                <w:sz w:val="21"/>
                <w:szCs w:val="21"/>
              </w:rPr>
              <w:t>0.55</w:t>
            </w:r>
          </w:p>
        </w:tc>
        <w:tc>
          <w:tcPr>
            <w:tcW w:w="1420" w:type="dxa"/>
            <w:noWrap w:val="0"/>
            <w:vAlign w:val="center"/>
          </w:tcPr>
          <w:p w14:paraId="04BAFB26">
            <w:pPr>
              <w:spacing w:line="240" w:lineRule="exact"/>
              <w:jc w:val="center"/>
              <w:rPr>
                <w:rFonts w:ascii="Times New Roman" w:hAnsi="Times New Roman" w:cs="Times New Roman"/>
                <w:sz w:val="21"/>
                <w:szCs w:val="21"/>
              </w:rPr>
            </w:pPr>
            <w:r>
              <w:rPr>
                <w:rFonts w:ascii="Times New Roman" w:hAnsi="Times New Roman" w:cs="Times New Roman"/>
                <w:sz w:val="21"/>
                <w:szCs w:val="21"/>
              </w:rPr>
              <w:t>5.5</w:t>
            </w:r>
          </w:p>
        </w:tc>
        <w:tc>
          <w:tcPr>
            <w:tcW w:w="1420" w:type="dxa"/>
            <w:noWrap w:val="0"/>
            <w:vAlign w:val="center"/>
          </w:tcPr>
          <w:p w14:paraId="11A6B500">
            <w:pPr>
              <w:spacing w:line="240" w:lineRule="exact"/>
              <w:jc w:val="center"/>
              <w:rPr>
                <w:rFonts w:ascii="Times New Roman" w:hAnsi="Times New Roman" w:cs="Times New Roman"/>
                <w:sz w:val="21"/>
                <w:szCs w:val="21"/>
              </w:rPr>
            </w:pPr>
            <w:r>
              <w:rPr>
                <w:rFonts w:ascii="Times New Roman" w:hAnsi="Times New Roman" w:cs="Times New Roman"/>
                <w:sz w:val="21"/>
                <w:szCs w:val="21"/>
              </w:rPr>
              <w:t>1.5</w:t>
            </w:r>
          </w:p>
        </w:tc>
        <w:tc>
          <w:tcPr>
            <w:tcW w:w="1324" w:type="dxa"/>
            <w:noWrap w:val="0"/>
            <w:vAlign w:val="center"/>
          </w:tcPr>
          <w:p w14:paraId="575E4D82">
            <w:pPr>
              <w:spacing w:line="240" w:lineRule="exact"/>
              <w:jc w:val="center"/>
              <w:rPr>
                <w:rFonts w:ascii="Times New Roman" w:hAnsi="Times New Roman" w:cs="Times New Roman"/>
                <w:sz w:val="21"/>
                <w:szCs w:val="21"/>
              </w:rPr>
            </w:pPr>
            <w:r>
              <w:rPr>
                <w:rFonts w:ascii="Times New Roman" w:hAnsi="Times New Roman" w:cs="Times New Roman"/>
                <w:sz w:val="21"/>
                <w:szCs w:val="21"/>
              </w:rPr>
              <w:t>15</w:t>
            </w:r>
          </w:p>
        </w:tc>
      </w:tr>
      <w:tr w14:paraId="3E59B923">
        <w:tblPrEx>
          <w:tblBorders>
            <w:top w:val="thinThickSmallGap" w:color="auto" w:sz="12" w:space="0"/>
            <w:left w:val="none" w:color="auto" w:sz="0" w:space="0"/>
            <w:bottom w:val="thickThinSmallGap"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88" w:hRule="atLeast"/>
          <w:jc w:val="center"/>
        </w:trPr>
        <w:tc>
          <w:tcPr>
            <w:tcW w:w="756" w:type="dxa"/>
            <w:noWrap w:val="0"/>
            <w:vAlign w:val="center"/>
          </w:tcPr>
          <w:p w14:paraId="7AB2B2D1">
            <w:pPr>
              <w:jc w:val="center"/>
              <w:rPr>
                <w:rFonts w:ascii="Times New Roman" w:hAnsi="Times New Roman" w:cs="Times New Roman"/>
                <w:sz w:val="21"/>
                <w:szCs w:val="21"/>
              </w:rPr>
            </w:pPr>
            <w:r>
              <w:rPr>
                <w:rFonts w:ascii="Times New Roman" w:hAnsi="Times New Roman" w:cs="Times New Roman"/>
                <w:sz w:val="21"/>
                <w:szCs w:val="21"/>
              </w:rPr>
              <w:t>44</w:t>
            </w:r>
          </w:p>
        </w:tc>
        <w:tc>
          <w:tcPr>
            <w:tcW w:w="2272" w:type="dxa"/>
            <w:noWrap w:val="0"/>
            <w:vAlign w:val="center"/>
          </w:tcPr>
          <w:p w14:paraId="2FE1DB30">
            <w:pPr>
              <w:jc w:val="center"/>
              <w:rPr>
                <w:rFonts w:ascii="Times New Roman" w:hAnsi="Times New Roman" w:cs="Times New Roman"/>
                <w:sz w:val="21"/>
                <w:szCs w:val="21"/>
              </w:rPr>
            </w:pPr>
            <w:r>
              <w:rPr>
                <w:rFonts w:ascii="Times New Roman" w:hAnsi="Times New Roman" w:cs="Times New Roman"/>
                <w:sz w:val="21"/>
                <w:szCs w:val="21"/>
              </w:rPr>
              <w:t>茚并[1,2,3-cd]芘</w:t>
            </w:r>
          </w:p>
        </w:tc>
        <w:tc>
          <w:tcPr>
            <w:tcW w:w="1420" w:type="dxa"/>
            <w:noWrap w:val="0"/>
            <w:vAlign w:val="center"/>
          </w:tcPr>
          <w:p w14:paraId="4D3D970E">
            <w:pPr>
              <w:spacing w:line="240" w:lineRule="exact"/>
              <w:jc w:val="center"/>
              <w:rPr>
                <w:rFonts w:ascii="Times New Roman" w:hAnsi="Times New Roman" w:cs="Times New Roman"/>
                <w:sz w:val="21"/>
                <w:szCs w:val="21"/>
              </w:rPr>
            </w:pPr>
            <w:r>
              <w:rPr>
                <w:rFonts w:ascii="Times New Roman" w:hAnsi="Times New Roman" w:cs="Times New Roman"/>
                <w:sz w:val="21"/>
                <w:szCs w:val="21"/>
              </w:rPr>
              <w:t>5.5</w:t>
            </w:r>
          </w:p>
        </w:tc>
        <w:tc>
          <w:tcPr>
            <w:tcW w:w="1420" w:type="dxa"/>
            <w:noWrap w:val="0"/>
            <w:vAlign w:val="center"/>
          </w:tcPr>
          <w:p w14:paraId="5A87C95A">
            <w:pPr>
              <w:spacing w:line="240" w:lineRule="exact"/>
              <w:jc w:val="center"/>
              <w:rPr>
                <w:rFonts w:ascii="Times New Roman" w:hAnsi="Times New Roman" w:cs="Times New Roman"/>
                <w:sz w:val="21"/>
                <w:szCs w:val="21"/>
              </w:rPr>
            </w:pPr>
            <w:r>
              <w:rPr>
                <w:rFonts w:ascii="Times New Roman" w:hAnsi="Times New Roman" w:cs="Times New Roman"/>
                <w:sz w:val="21"/>
                <w:szCs w:val="21"/>
              </w:rPr>
              <w:t>55</w:t>
            </w:r>
          </w:p>
        </w:tc>
        <w:tc>
          <w:tcPr>
            <w:tcW w:w="1420" w:type="dxa"/>
            <w:noWrap w:val="0"/>
            <w:vAlign w:val="center"/>
          </w:tcPr>
          <w:p w14:paraId="3F44FA42">
            <w:pPr>
              <w:spacing w:line="240" w:lineRule="exact"/>
              <w:jc w:val="center"/>
              <w:rPr>
                <w:rFonts w:ascii="Times New Roman" w:hAnsi="Times New Roman" w:cs="Times New Roman"/>
                <w:sz w:val="21"/>
                <w:szCs w:val="21"/>
              </w:rPr>
            </w:pPr>
            <w:r>
              <w:rPr>
                <w:rFonts w:ascii="Times New Roman" w:hAnsi="Times New Roman" w:cs="Times New Roman"/>
                <w:sz w:val="21"/>
                <w:szCs w:val="21"/>
              </w:rPr>
              <w:t>15</w:t>
            </w:r>
          </w:p>
        </w:tc>
        <w:tc>
          <w:tcPr>
            <w:tcW w:w="1324" w:type="dxa"/>
            <w:noWrap w:val="0"/>
            <w:vAlign w:val="center"/>
          </w:tcPr>
          <w:p w14:paraId="4DC4B94E">
            <w:pPr>
              <w:spacing w:line="240" w:lineRule="exact"/>
              <w:jc w:val="center"/>
              <w:rPr>
                <w:rFonts w:ascii="Times New Roman" w:hAnsi="Times New Roman" w:cs="Times New Roman"/>
                <w:sz w:val="21"/>
                <w:szCs w:val="21"/>
              </w:rPr>
            </w:pPr>
            <w:r>
              <w:rPr>
                <w:rFonts w:ascii="Times New Roman" w:hAnsi="Times New Roman" w:cs="Times New Roman"/>
                <w:sz w:val="21"/>
                <w:szCs w:val="21"/>
              </w:rPr>
              <w:t>151</w:t>
            </w:r>
          </w:p>
        </w:tc>
      </w:tr>
      <w:tr w14:paraId="3EE2A8F8">
        <w:tblPrEx>
          <w:tblBorders>
            <w:top w:val="thinThickSmallGap" w:color="auto" w:sz="12" w:space="0"/>
            <w:left w:val="none" w:color="auto" w:sz="0" w:space="0"/>
            <w:bottom w:val="thickThinSmallGap"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88" w:hRule="atLeast"/>
          <w:jc w:val="center"/>
        </w:trPr>
        <w:tc>
          <w:tcPr>
            <w:tcW w:w="756" w:type="dxa"/>
            <w:noWrap w:val="0"/>
            <w:vAlign w:val="center"/>
          </w:tcPr>
          <w:p w14:paraId="03861380">
            <w:pPr>
              <w:jc w:val="center"/>
              <w:rPr>
                <w:rFonts w:ascii="Times New Roman" w:hAnsi="Times New Roman" w:cs="Times New Roman"/>
                <w:sz w:val="21"/>
                <w:szCs w:val="21"/>
              </w:rPr>
            </w:pPr>
            <w:r>
              <w:rPr>
                <w:rFonts w:ascii="Times New Roman" w:hAnsi="Times New Roman" w:cs="Times New Roman"/>
                <w:sz w:val="21"/>
                <w:szCs w:val="21"/>
              </w:rPr>
              <w:t>45</w:t>
            </w:r>
          </w:p>
        </w:tc>
        <w:tc>
          <w:tcPr>
            <w:tcW w:w="2272" w:type="dxa"/>
            <w:noWrap w:val="0"/>
            <w:vAlign w:val="center"/>
          </w:tcPr>
          <w:p w14:paraId="55D9DFD3">
            <w:pPr>
              <w:jc w:val="center"/>
              <w:rPr>
                <w:rFonts w:ascii="Times New Roman" w:hAnsi="Times New Roman" w:cs="Times New Roman"/>
                <w:sz w:val="21"/>
                <w:szCs w:val="21"/>
              </w:rPr>
            </w:pPr>
            <w:r>
              <w:rPr>
                <w:rFonts w:ascii="Times New Roman" w:hAnsi="Times New Roman" w:cs="Times New Roman"/>
                <w:sz w:val="21"/>
                <w:szCs w:val="21"/>
              </w:rPr>
              <w:t>萘</w:t>
            </w:r>
          </w:p>
        </w:tc>
        <w:tc>
          <w:tcPr>
            <w:tcW w:w="1420" w:type="dxa"/>
            <w:noWrap w:val="0"/>
            <w:vAlign w:val="center"/>
          </w:tcPr>
          <w:p w14:paraId="5E31C6A4">
            <w:pPr>
              <w:spacing w:line="240" w:lineRule="exact"/>
              <w:jc w:val="center"/>
              <w:rPr>
                <w:rFonts w:ascii="Times New Roman" w:hAnsi="Times New Roman" w:cs="Times New Roman"/>
                <w:sz w:val="21"/>
                <w:szCs w:val="21"/>
              </w:rPr>
            </w:pPr>
            <w:r>
              <w:rPr>
                <w:rFonts w:ascii="Times New Roman" w:hAnsi="Times New Roman" w:cs="Times New Roman"/>
                <w:sz w:val="21"/>
                <w:szCs w:val="21"/>
              </w:rPr>
              <w:t>25</w:t>
            </w:r>
          </w:p>
        </w:tc>
        <w:tc>
          <w:tcPr>
            <w:tcW w:w="1420" w:type="dxa"/>
            <w:noWrap w:val="0"/>
            <w:vAlign w:val="center"/>
          </w:tcPr>
          <w:p w14:paraId="4AFE62AE">
            <w:pPr>
              <w:spacing w:line="240" w:lineRule="exact"/>
              <w:jc w:val="center"/>
              <w:rPr>
                <w:rFonts w:ascii="Times New Roman" w:hAnsi="Times New Roman" w:cs="Times New Roman"/>
                <w:sz w:val="21"/>
                <w:szCs w:val="21"/>
              </w:rPr>
            </w:pPr>
            <w:r>
              <w:rPr>
                <w:rFonts w:ascii="Times New Roman" w:hAnsi="Times New Roman" w:cs="Times New Roman"/>
                <w:sz w:val="21"/>
                <w:szCs w:val="21"/>
              </w:rPr>
              <w:t>255</w:t>
            </w:r>
          </w:p>
        </w:tc>
        <w:tc>
          <w:tcPr>
            <w:tcW w:w="1420" w:type="dxa"/>
            <w:noWrap w:val="0"/>
            <w:vAlign w:val="center"/>
          </w:tcPr>
          <w:p w14:paraId="022FA44B">
            <w:pPr>
              <w:spacing w:line="240" w:lineRule="exact"/>
              <w:jc w:val="center"/>
              <w:rPr>
                <w:rFonts w:ascii="Times New Roman" w:hAnsi="Times New Roman" w:cs="Times New Roman"/>
                <w:sz w:val="21"/>
                <w:szCs w:val="21"/>
              </w:rPr>
            </w:pPr>
            <w:r>
              <w:rPr>
                <w:rFonts w:ascii="Times New Roman" w:hAnsi="Times New Roman" w:cs="Times New Roman"/>
                <w:sz w:val="21"/>
                <w:szCs w:val="21"/>
              </w:rPr>
              <w:t>70</w:t>
            </w:r>
          </w:p>
        </w:tc>
        <w:tc>
          <w:tcPr>
            <w:tcW w:w="1324" w:type="dxa"/>
            <w:noWrap w:val="0"/>
            <w:vAlign w:val="center"/>
          </w:tcPr>
          <w:p w14:paraId="383707F8">
            <w:pPr>
              <w:spacing w:line="240" w:lineRule="exact"/>
              <w:jc w:val="center"/>
              <w:rPr>
                <w:rFonts w:ascii="Times New Roman" w:hAnsi="Times New Roman" w:cs="Times New Roman"/>
                <w:sz w:val="21"/>
                <w:szCs w:val="21"/>
              </w:rPr>
            </w:pPr>
            <w:r>
              <w:rPr>
                <w:rFonts w:ascii="Times New Roman" w:hAnsi="Times New Roman" w:cs="Times New Roman"/>
                <w:sz w:val="21"/>
                <w:szCs w:val="21"/>
              </w:rPr>
              <w:t>700</w:t>
            </w:r>
          </w:p>
        </w:tc>
      </w:tr>
    </w:tbl>
    <w:p w14:paraId="65FFD980">
      <w:pPr>
        <w:spacing w:line="500" w:lineRule="exact"/>
        <w:ind w:firstLine="354" w:firstLineChars="147"/>
        <w:rPr>
          <w:rFonts w:ascii="Times New Roman" w:hAnsi="Times New Roman" w:cs="Times New Roman"/>
          <w:b/>
        </w:rPr>
      </w:pPr>
      <w:r>
        <w:rPr>
          <w:rFonts w:ascii="Times New Roman" w:hAnsi="Times New Roman" w:cs="Times New Roman"/>
          <w:b/>
        </w:rPr>
        <w:t>（6）评价结果</w:t>
      </w:r>
    </w:p>
    <w:p w14:paraId="7DC62048">
      <w:pPr>
        <w:spacing w:line="500" w:lineRule="exact"/>
        <w:ind w:firstLine="480"/>
        <w:rPr>
          <w:rFonts w:ascii="Times New Roman" w:hAnsi="Times New Roman" w:cs="Times New Roman"/>
        </w:rPr>
      </w:pPr>
      <w:r>
        <w:rPr>
          <w:rFonts w:hint="eastAsia" w:ascii="Times New Roman" w:hAnsi="Times New Roman" w:cs="Times New Roman"/>
          <w:lang w:val="en-US" w:eastAsia="zh-CN"/>
        </w:rPr>
        <w:t>T4</w:t>
      </w:r>
      <w:r>
        <w:rPr>
          <w:rFonts w:ascii="Times New Roman" w:hAnsi="Times New Roman" w:cs="Times New Roman"/>
        </w:rPr>
        <w:t>点位</w:t>
      </w:r>
      <w:r>
        <w:rPr>
          <w:rFonts w:hint="eastAsia" w:ascii="Times New Roman" w:hAnsi="Times New Roman" w:cs="Times New Roman"/>
        </w:rPr>
        <w:t>、</w:t>
      </w:r>
      <w:r>
        <w:rPr>
          <w:rFonts w:hint="eastAsia" w:ascii="Times New Roman" w:hAnsi="Times New Roman" w:cs="Times New Roman"/>
          <w:lang w:val="en-US" w:eastAsia="zh-CN"/>
        </w:rPr>
        <w:t>T5</w:t>
      </w:r>
      <w:r>
        <w:rPr>
          <w:rFonts w:ascii="Times New Roman" w:hAnsi="Times New Roman" w:cs="Times New Roman"/>
        </w:rPr>
        <w:t>点位、</w:t>
      </w:r>
      <w:r>
        <w:rPr>
          <w:rFonts w:hint="eastAsia" w:ascii="Times New Roman" w:hAnsi="Times New Roman" w:cs="Times New Roman"/>
          <w:lang w:val="en-US" w:eastAsia="zh-CN"/>
        </w:rPr>
        <w:t>T6</w:t>
      </w:r>
      <w:r>
        <w:rPr>
          <w:rFonts w:ascii="Times New Roman" w:hAnsi="Times New Roman" w:cs="Times New Roman"/>
        </w:rPr>
        <w:t>点位土壤现状监测结果见表</w:t>
      </w:r>
      <w:r>
        <w:rPr>
          <w:rFonts w:hint="eastAsia" w:ascii="Times New Roman" w:hAnsi="Times New Roman" w:cs="Times New Roman"/>
        </w:rPr>
        <w:t>4.2-12</w:t>
      </w:r>
      <w:r>
        <w:rPr>
          <w:rFonts w:ascii="Times New Roman" w:hAnsi="Times New Roman" w:cs="Times New Roman"/>
        </w:rPr>
        <w:t>，</w:t>
      </w:r>
      <w:r>
        <w:rPr>
          <w:rFonts w:hint="eastAsia" w:ascii="Times New Roman" w:hAnsi="Times New Roman" w:cs="Times New Roman"/>
          <w:lang w:val="en-US" w:eastAsia="zh-CN"/>
        </w:rPr>
        <w:t>T1</w:t>
      </w:r>
      <w:r>
        <w:rPr>
          <w:rFonts w:ascii="Times New Roman" w:hAnsi="Times New Roman" w:cs="Times New Roman"/>
        </w:rPr>
        <w:t>点位</w:t>
      </w:r>
      <w:r>
        <w:rPr>
          <w:rFonts w:hint="eastAsia" w:ascii="Times New Roman" w:hAnsi="Times New Roman" w:cs="Times New Roman"/>
        </w:rPr>
        <w:t>~</w:t>
      </w:r>
      <w:r>
        <w:rPr>
          <w:rFonts w:hint="eastAsia" w:ascii="Times New Roman" w:hAnsi="Times New Roman" w:cs="Times New Roman"/>
          <w:lang w:val="en-US" w:eastAsia="zh-CN"/>
        </w:rPr>
        <w:t>T3</w:t>
      </w:r>
      <w:r>
        <w:rPr>
          <w:rFonts w:ascii="Times New Roman" w:hAnsi="Times New Roman" w:cs="Times New Roman"/>
        </w:rPr>
        <w:t>点位监测结果见表</w:t>
      </w:r>
      <w:r>
        <w:rPr>
          <w:rFonts w:hint="eastAsia" w:ascii="Times New Roman" w:hAnsi="Times New Roman" w:cs="Times New Roman"/>
        </w:rPr>
        <w:t>4.2-13~4.2-15，土壤理化性质见表4.2-16</w:t>
      </w:r>
      <w:r>
        <w:rPr>
          <w:rFonts w:ascii="Times New Roman" w:hAnsi="Times New Roman" w:cs="Times New Roman"/>
        </w:rPr>
        <w:t>。</w:t>
      </w:r>
    </w:p>
    <w:p w14:paraId="501C7902">
      <w:pPr>
        <w:pStyle w:val="131"/>
        <w:adjustRightInd/>
        <w:snapToGrid/>
        <w:spacing w:line="360" w:lineRule="auto"/>
        <w:ind w:left="0" w:firstLine="0"/>
        <w:rPr>
          <w:rFonts w:ascii="Times New Roman" w:hAnsi="Times New Roman" w:cs="Times New Roman"/>
        </w:rPr>
      </w:pPr>
      <w:r>
        <w:rPr>
          <w:rFonts w:ascii="Times New Roman" w:hAnsi="Times New Roman" w:cs="Times New Roman"/>
        </w:rPr>
        <w:t>表</w:t>
      </w:r>
      <w:r>
        <w:rPr>
          <w:rFonts w:hint="eastAsia" w:ascii="Times New Roman" w:hAnsi="Times New Roman" w:cs="Times New Roman"/>
        </w:rPr>
        <w:t>4.2-12</w:t>
      </w:r>
      <w:r>
        <w:rPr>
          <w:rFonts w:ascii="Times New Roman" w:hAnsi="Times New Roman" w:cs="Times New Roman"/>
        </w:rPr>
        <w:t xml:space="preserve">  </w:t>
      </w:r>
      <w:r>
        <w:rPr>
          <w:rFonts w:hint="eastAsia" w:ascii="Times New Roman" w:hAnsi="Times New Roman" w:cs="Times New Roman"/>
          <w:lang w:val="en-US" w:eastAsia="zh-CN"/>
        </w:rPr>
        <w:t>T4</w:t>
      </w:r>
      <w:r>
        <w:rPr>
          <w:rFonts w:hint="eastAsia" w:ascii="Times New Roman" w:hAnsi="Times New Roman" w:cs="Times New Roman"/>
        </w:rPr>
        <w:t>、</w:t>
      </w:r>
      <w:r>
        <w:rPr>
          <w:rFonts w:hint="eastAsia" w:ascii="Times New Roman" w:hAnsi="Times New Roman" w:cs="Times New Roman"/>
          <w:lang w:val="en-US" w:eastAsia="zh-CN"/>
        </w:rPr>
        <w:t>T5</w:t>
      </w:r>
      <w:r>
        <w:rPr>
          <w:rFonts w:hint="eastAsia" w:ascii="Times New Roman" w:hAnsi="Times New Roman" w:cs="Times New Roman"/>
        </w:rPr>
        <w:t>、</w:t>
      </w:r>
      <w:r>
        <w:rPr>
          <w:rFonts w:hint="eastAsia" w:ascii="Times New Roman" w:hAnsi="Times New Roman" w:cs="Times New Roman"/>
          <w:lang w:val="en-US" w:eastAsia="zh-CN"/>
        </w:rPr>
        <w:t>T6</w:t>
      </w:r>
      <w:r>
        <w:rPr>
          <w:rFonts w:hint="eastAsia" w:ascii="Times New Roman" w:hAnsi="Times New Roman" w:cs="Times New Roman"/>
        </w:rPr>
        <w:t>点位</w:t>
      </w:r>
      <w:r>
        <w:rPr>
          <w:rFonts w:ascii="Times New Roman" w:hAnsi="Times New Roman" w:cs="Times New Roman"/>
        </w:rPr>
        <w:t>土壤现状监测结果</w:t>
      </w:r>
    </w:p>
    <w:tbl>
      <w:tblPr>
        <w:tblStyle w:val="56"/>
        <w:tblW w:w="5000" w:type="pct"/>
        <w:jc w:val="center"/>
        <w:tblBorders>
          <w:top w:val="thinThickSmallGap" w:color="auto" w:sz="12" w:space="0"/>
          <w:left w:val="none" w:color="auto" w:sz="0" w:space="0"/>
          <w:bottom w:val="thickThinSmallGap" w:color="auto" w:sz="12" w:space="0"/>
          <w:right w:val="none" w:color="auto" w:sz="0" w:space="0"/>
          <w:insideH w:val="single" w:color="auto" w:sz="4" w:space="0"/>
          <w:insideV w:val="single" w:color="000000" w:sz="4" w:space="0"/>
        </w:tblBorders>
        <w:tblLayout w:type="autofit"/>
        <w:tblCellMar>
          <w:top w:w="0" w:type="dxa"/>
          <w:left w:w="108" w:type="dxa"/>
          <w:bottom w:w="0" w:type="dxa"/>
          <w:right w:w="108" w:type="dxa"/>
        </w:tblCellMar>
      </w:tblPr>
      <w:tblGrid>
        <w:gridCol w:w="1161"/>
        <w:gridCol w:w="1432"/>
        <w:gridCol w:w="1645"/>
        <w:gridCol w:w="1494"/>
        <w:gridCol w:w="1494"/>
        <w:gridCol w:w="1495"/>
      </w:tblGrid>
      <w:tr w14:paraId="56DA2EC8">
        <w:tblPrEx>
          <w:tblBorders>
            <w:top w:val="thinThickSmallGap" w:color="auto" w:sz="12" w:space="0"/>
            <w:left w:val="none" w:color="auto" w:sz="0" w:space="0"/>
            <w:bottom w:val="thickThinSmallGap" w:color="auto" w:sz="12" w:space="0"/>
            <w:right w:val="none" w:color="auto" w:sz="0" w:space="0"/>
            <w:insideH w:val="single" w:color="auto" w:sz="4" w:space="0"/>
            <w:insideV w:val="single" w:color="000000" w:sz="4" w:space="0"/>
          </w:tblBorders>
          <w:tblCellMar>
            <w:top w:w="0" w:type="dxa"/>
            <w:left w:w="108" w:type="dxa"/>
            <w:bottom w:w="0" w:type="dxa"/>
            <w:right w:w="108" w:type="dxa"/>
          </w:tblCellMar>
        </w:tblPrEx>
        <w:trPr>
          <w:trHeight w:val="340" w:hRule="atLeast"/>
          <w:tblHeader/>
          <w:jc w:val="center"/>
        </w:trPr>
        <w:tc>
          <w:tcPr>
            <w:tcW w:w="665" w:type="pct"/>
            <w:shd w:val="clear" w:color="auto" w:fill="D7D7D7"/>
            <w:noWrap w:val="0"/>
            <w:vAlign w:val="center"/>
          </w:tcPr>
          <w:p w14:paraId="6F3B6D2F">
            <w:pPr>
              <w:jc w:val="center"/>
              <w:rPr>
                <w:rFonts w:ascii="Times New Roman" w:hAnsi="Times New Roman" w:cs="Times New Roman"/>
                <w:bCs/>
                <w:sz w:val="21"/>
                <w:szCs w:val="21"/>
                <w:shd w:val="clear" w:color="auto" w:fill="auto"/>
              </w:rPr>
            </w:pPr>
            <w:r>
              <w:rPr>
                <w:rFonts w:ascii="Times New Roman" w:hAnsi="Times New Roman" w:cs="Times New Roman"/>
                <w:bCs/>
                <w:sz w:val="21"/>
                <w:szCs w:val="21"/>
                <w:shd w:val="clear" w:color="auto" w:fill="auto"/>
              </w:rPr>
              <w:t>时间</w:t>
            </w:r>
          </w:p>
        </w:tc>
        <w:tc>
          <w:tcPr>
            <w:tcW w:w="821" w:type="pct"/>
            <w:shd w:val="clear" w:color="auto" w:fill="D7D7D7"/>
            <w:noWrap w:val="0"/>
            <w:vAlign w:val="center"/>
          </w:tcPr>
          <w:p w14:paraId="696CB7A1">
            <w:pPr>
              <w:jc w:val="center"/>
              <w:rPr>
                <w:rFonts w:ascii="Times New Roman" w:hAnsi="Times New Roman" w:cs="Times New Roman"/>
                <w:bCs/>
                <w:sz w:val="21"/>
                <w:szCs w:val="21"/>
                <w:shd w:val="clear" w:color="auto" w:fill="auto"/>
              </w:rPr>
            </w:pPr>
            <w:r>
              <w:rPr>
                <w:rFonts w:ascii="Times New Roman" w:hAnsi="Times New Roman" w:cs="Times New Roman"/>
                <w:bCs/>
                <w:sz w:val="21"/>
                <w:szCs w:val="21"/>
                <w:shd w:val="clear" w:color="auto" w:fill="auto"/>
              </w:rPr>
              <w:t>检测项目</w:t>
            </w:r>
          </w:p>
        </w:tc>
        <w:tc>
          <w:tcPr>
            <w:tcW w:w="943" w:type="pct"/>
            <w:shd w:val="clear" w:color="auto" w:fill="D7D7D7"/>
            <w:noWrap w:val="0"/>
            <w:vAlign w:val="center"/>
          </w:tcPr>
          <w:p w14:paraId="266585EB">
            <w:pPr>
              <w:jc w:val="center"/>
              <w:rPr>
                <w:rFonts w:hint="default" w:ascii="Times New Roman" w:hAnsi="Times New Roman" w:eastAsia="宋体" w:cs="Times New Roman"/>
                <w:b w:val="0"/>
                <w:bCs w:val="0"/>
                <w:snapToGrid w:val="0"/>
                <w:color w:val="auto"/>
                <w:kern w:val="0"/>
                <w:sz w:val="21"/>
                <w:szCs w:val="21"/>
                <w:shd w:val="clear" w:color="auto" w:fill="auto"/>
                <w:lang w:val="en-US" w:eastAsia="zh-CN"/>
              </w:rPr>
            </w:pPr>
            <w:r>
              <w:rPr>
                <w:rFonts w:hint="default" w:ascii="Times New Roman" w:hAnsi="Times New Roman" w:eastAsia="宋体" w:cs="Times New Roman"/>
                <w:b w:val="0"/>
                <w:bCs w:val="0"/>
                <w:snapToGrid w:val="0"/>
                <w:color w:val="auto"/>
                <w:kern w:val="0"/>
                <w:sz w:val="21"/>
                <w:szCs w:val="21"/>
                <w:shd w:val="clear" w:color="auto" w:fill="auto"/>
                <w:lang w:val="en-US" w:eastAsia="zh-CN"/>
              </w:rPr>
              <w:t>单位</w:t>
            </w:r>
          </w:p>
        </w:tc>
        <w:tc>
          <w:tcPr>
            <w:tcW w:w="856" w:type="pct"/>
            <w:shd w:val="clear" w:color="auto" w:fill="D7D7D7"/>
            <w:noWrap w:val="0"/>
            <w:vAlign w:val="center"/>
          </w:tcPr>
          <w:p w14:paraId="5FEB345E">
            <w:pPr>
              <w:jc w:val="center"/>
              <w:rPr>
                <w:rFonts w:hint="default" w:ascii="Times New Roman" w:hAnsi="Times New Roman" w:eastAsia="宋体" w:cs="Times New Roman"/>
                <w:b w:val="0"/>
                <w:bCs w:val="0"/>
                <w:snapToGrid w:val="0"/>
                <w:color w:val="auto"/>
                <w:kern w:val="0"/>
                <w:sz w:val="21"/>
                <w:szCs w:val="21"/>
                <w:shd w:val="clear" w:color="auto" w:fill="auto"/>
                <w:lang w:val="en-US" w:eastAsia="zh-CN"/>
              </w:rPr>
            </w:pPr>
            <w:r>
              <w:rPr>
                <w:rFonts w:hint="default" w:ascii="Times New Roman" w:hAnsi="Times New Roman" w:eastAsia="宋体" w:cs="Times New Roman"/>
                <w:b w:val="0"/>
                <w:bCs w:val="0"/>
                <w:snapToGrid w:val="0"/>
                <w:color w:val="auto"/>
                <w:kern w:val="0"/>
                <w:sz w:val="21"/>
                <w:szCs w:val="21"/>
                <w:shd w:val="clear" w:color="auto" w:fill="auto"/>
                <w:lang w:val="en-US" w:eastAsia="zh-CN"/>
              </w:rPr>
              <w:t>T4烧结变电室附近</w:t>
            </w:r>
          </w:p>
        </w:tc>
        <w:tc>
          <w:tcPr>
            <w:tcW w:w="856" w:type="pct"/>
            <w:shd w:val="clear" w:color="auto" w:fill="D7D7D7"/>
            <w:noWrap w:val="0"/>
            <w:vAlign w:val="center"/>
          </w:tcPr>
          <w:p w14:paraId="459FD9AA">
            <w:pPr>
              <w:jc w:val="center"/>
              <w:rPr>
                <w:rFonts w:ascii="Times New Roman" w:hAnsi="Times New Roman" w:cs="Times New Roman"/>
                <w:bCs/>
                <w:sz w:val="21"/>
                <w:szCs w:val="21"/>
                <w:shd w:val="clear" w:color="auto" w:fill="auto"/>
              </w:rPr>
            </w:pPr>
            <w:r>
              <w:rPr>
                <w:rFonts w:hint="default" w:ascii="Times New Roman" w:hAnsi="Times New Roman" w:eastAsia="宋体" w:cs="Times New Roman"/>
                <w:b w:val="0"/>
                <w:bCs w:val="0"/>
                <w:snapToGrid w:val="0"/>
                <w:color w:val="auto"/>
                <w:kern w:val="0"/>
                <w:sz w:val="21"/>
                <w:szCs w:val="21"/>
                <w:shd w:val="clear" w:color="auto" w:fill="auto"/>
                <w:lang w:val="en-US" w:eastAsia="zh-CN"/>
              </w:rPr>
              <w:t>T5厂界东侧农地</w:t>
            </w:r>
          </w:p>
        </w:tc>
        <w:tc>
          <w:tcPr>
            <w:tcW w:w="857" w:type="pct"/>
            <w:shd w:val="clear" w:color="auto" w:fill="D7D7D7"/>
            <w:noWrap w:val="0"/>
            <w:vAlign w:val="top"/>
          </w:tcPr>
          <w:p w14:paraId="3CF72E4E">
            <w:pPr>
              <w:jc w:val="center"/>
              <w:rPr>
                <w:rFonts w:ascii="Times New Roman" w:hAnsi="Times New Roman" w:cs="Times New Roman"/>
                <w:bCs/>
                <w:sz w:val="21"/>
                <w:szCs w:val="21"/>
                <w:shd w:val="clear" w:color="auto" w:fill="auto"/>
              </w:rPr>
            </w:pPr>
            <w:r>
              <w:rPr>
                <w:rFonts w:hint="default" w:ascii="Times New Roman" w:hAnsi="Times New Roman" w:eastAsia="宋体" w:cs="Times New Roman"/>
                <w:b w:val="0"/>
                <w:bCs w:val="0"/>
                <w:snapToGrid w:val="0"/>
                <w:color w:val="auto"/>
                <w:kern w:val="0"/>
                <w:sz w:val="21"/>
                <w:szCs w:val="21"/>
                <w:shd w:val="clear" w:color="auto" w:fill="auto"/>
                <w:lang w:val="en-US" w:eastAsia="zh-CN"/>
              </w:rPr>
              <w:t>T6厂界西北</w:t>
            </w:r>
            <w:r>
              <w:rPr>
                <w:rFonts w:hint="default" w:ascii="Times New Roman" w:hAnsi="Times New Roman" w:cs="Times New Roman"/>
                <w:b w:val="0"/>
                <w:bCs w:val="0"/>
                <w:snapToGrid w:val="0"/>
                <w:color w:val="auto"/>
                <w:kern w:val="0"/>
                <w:sz w:val="21"/>
                <w:szCs w:val="21"/>
                <w:shd w:val="clear" w:color="auto" w:fill="auto"/>
                <w:lang w:val="en-US" w:eastAsia="zh-CN"/>
              </w:rPr>
              <w:t>侧</w:t>
            </w:r>
            <w:r>
              <w:rPr>
                <w:rFonts w:hint="default" w:ascii="Times New Roman" w:hAnsi="Times New Roman" w:eastAsia="宋体" w:cs="Times New Roman"/>
                <w:b w:val="0"/>
                <w:bCs w:val="0"/>
                <w:snapToGrid w:val="0"/>
                <w:color w:val="auto"/>
                <w:kern w:val="0"/>
                <w:sz w:val="21"/>
                <w:szCs w:val="21"/>
                <w:shd w:val="clear" w:color="auto" w:fill="auto"/>
                <w:lang w:val="en-US" w:eastAsia="zh-CN"/>
              </w:rPr>
              <w:t>农地</w:t>
            </w:r>
          </w:p>
        </w:tc>
      </w:tr>
      <w:tr w14:paraId="42EB2AF5">
        <w:tblPrEx>
          <w:tblBorders>
            <w:top w:val="thinThickSmallGap" w:color="auto" w:sz="12" w:space="0"/>
            <w:left w:val="none" w:color="auto" w:sz="0" w:space="0"/>
            <w:bottom w:val="thickThinSmallGap" w:color="auto" w:sz="12" w:space="0"/>
            <w:right w:val="none" w:color="auto" w:sz="0" w:space="0"/>
            <w:insideH w:val="single" w:color="auto" w:sz="4" w:space="0"/>
            <w:insideV w:val="single" w:color="000000" w:sz="4" w:space="0"/>
          </w:tblBorders>
          <w:tblCellMar>
            <w:top w:w="0" w:type="dxa"/>
            <w:left w:w="108" w:type="dxa"/>
            <w:bottom w:w="0" w:type="dxa"/>
            <w:right w:w="108" w:type="dxa"/>
          </w:tblCellMar>
        </w:tblPrEx>
        <w:trPr>
          <w:trHeight w:val="340" w:hRule="atLeast"/>
          <w:jc w:val="center"/>
        </w:trPr>
        <w:tc>
          <w:tcPr>
            <w:tcW w:w="665" w:type="pct"/>
            <w:vMerge w:val="restart"/>
            <w:noWrap w:val="0"/>
            <w:vAlign w:val="center"/>
          </w:tcPr>
          <w:p w14:paraId="0C8E28A3">
            <w:pPr>
              <w:jc w:val="center"/>
              <w:rPr>
                <w:rFonts w:ascii="Times New Roman" w:hAnsi="Times New Roman" w:cs="Times New Roman"/>
                <w:bCs/>
                <w:sz w:val="21"/>
                <w:szCs w:val="21"/>
              </w:rPr>
            </w:pPr>
            <w:r>
              <w:rPr>
                <w:rFonts w:hint="eastAsia" w:ascii="Times New Roman" w:hAnsi="Times New Roman" w:cs="Times New Roman"/>
                <w:bCs/>
                <w:sz w:val="21"/>
                <w:szCs w:val="21"/>
              </w:rPr>
              <w:t>2026.05.01</w:t>
            </w:r>
          </w:p>
        </w:tc>
        <w:tc>
          <w:tcPr>
            <w:tcW w:w="821" w:type="pct"/>
            <w:noWrap w:val="0"/>
            <w:vAlign w:val="center"/>
          </w:tcPr>
          <w:p w14:paraId="2374C911">
            <w:pPr>
              <w:jc w:val="center"/>
              <w:rPr>
                <w:rFonts w:ascii="Times New Roman" w:hAnsi="Times New Roman" w:cs="Times New Roman"/>
                <w:bCs/>
                <w:sz w:val="21"/>
                <w:szCs w:val="21"/>
              </w:rPr>
            </w:pPr>
            <w:r>
              <w:rPr>
                <w:rFonts w:ascii="Times New Roman" w:hAnsi="Times New Roman" w:cs="Times New Roman"/>
                <w:bCs/>
                <w:sz w:val="21"/>
                <w:szCs w:val="21"/>
              </w:rPr>
              <w:t>pH</w:t>
            </w:r>
          </w:p>
        </w:tc>
        <w:tc>
          <w:tcPr>
            <w:tcW w:w="943" w:type="pct"/>
            <w:noWrap w:val="0"/>
            <w:vAlign w:val="center"/>
          </w:tcPr>
          <w:p w14:paraId="17618525">
            <w:pPr>
              <w:jc w:val="center"/>
              <w:rPr>
                <w:rFonts w:ascii="Times New Roman" w:hAnsi="Times New Roman" w:cs="Times New Roman"/>
                <w:bCs/>
                <w:sz w:val="21"/>
                <w:szCs w:val="21"/>
              </w:rPr>
            </w:pPr>
            <w:r>
              <w:rPr>
                <w:rFonts w:ascii="Times New Roman" w:hAnsi="Times New Roman" w:cs="Times New Roman"/>
                <w:bCs/>
                <w:sz w:val="21"/>
                <w:szCs w:val="21"/>
              </w:rPr>
              <w:t>无量纲</w:t>
            </w:r>
          </w:p>
        </w:tc>
        <w:tc>
          <w:tcPr>
            <w:tcW w:w="856" w:type="pct"/>
            <w:noWrap w:val="0"/>
            <w:vAlign w:val="center"/>
          </w:tcPr>
          <w:p w14:paraId="28DD4363">
            <w:pPr>
              <w:keepNext w:val="0"/>
              <w:keepLines w:val="0"/>
              <w:widowControl/>
              <w:suppressLineNumbers w:val="0"/>
              <w:jc w:val="center"/>
              <w:textAlignment w:val="center"/>
              <w:rPr>
                <w:rFonts w:hint="default" w:ascii="Times New Roman" w:hAnsi="Times New Roman" w:eastAsia="宋体" w:cs="Times New Roman"/>
                <w:b w:val="0"/>
                <w:bCs w:val="0"/>
                <w:snapToGrid w:val="0"/>
                <w:color w:val="auto"/>
                <w:kern w:val="0"/>
                <w:sz w:val="21"/>
                <w:szCs w:val="21"/>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6.8</w:t>
            </w:r>
          </w:p>
        </w:tc>
        <w:tc>
          <w:tcPr>
            <w:tcW w:w="856" w:type="pct"/>
            <w:noWrap w:val="0"/>
            <w:vAlign w:val="center"/>
          </w:tcPr>
          <w:p w14:paraId="658C610B">
            <w:pPr>
              <w:keepNext w:val="0"/>
              <w:keepLines w:val="0"/>
              <w:widowControl/>
              <w:suppressLineNumbers w:val="0"/>
              <w:jc w:val="center"/>
              <w:textAlignment w:val="center"/>
              <w:rPr>
                <w:rFonts w:ascii="Times New Roman" w:hAnsi="Times New Roman" w:cs="Times New Roman"/>
                <w:bCs/>
                <w:sz w:val="21"/>
                <w:szCs w:val="21"/>
                <w:lang w:bidi="ar"/>
              </w:rPr>
            </w:pPr>
            <w:r>
              <w:rPr>
                <w:rFonts w:hint="default" w:ascii="Times New Roman" w:hAnsi="Times New Roman" w:eastAsia="宋体" w:cs="Times New Roman"/>
                <w:i w:val="0"/>
                <w:iCs w:val="0"/>
                <w:color w:val="000000"/>
                <w:kern w:val="0"/>
                <w:sz w:val="21"/>
                <w:szCs w:val="21"/>
                <w:u w:val="none"/>
                <w:lang w:val="en-US" w:eastAsia="zh-CN" w:bidi="ar"/>
              </w:rPr>
              <w:t>7</w:t>
            </w:r>
          </w:p>
        </w:tc>
        <w:tc>
          <w:tcPr>
            <w:tcW w:w="857" w:type="pct"/>
            <w:noWrap w:val="0"/>
            <w:vAlign w:val="center"/>
          </w:tcPr>
          <w:p w14:paraId="7914DB8C">
            <w:pPr>
              <w:keepNext w:val="0"/>
              <w:keepLines w:val="0"/>
              <w:widowControl/>
              <w:suppressLineNumbers w:val="0"/>
              <w:jc w:val="center"/>
              <w:textAlignment w:val="center"/>
              <w:rPr>
                <w:rFonts w:ascii="Times New Roman" w:hAnsi="Times New Roman" w:cs="Times New Roman"/>
                <w:bCs/>
                <w:sz w:val="21"/>
                <w:szCs w:val="21"/>
                <w:lang w:bidi="ar"/>
              </w:rPr>
            </w:pPr>
            <w:r>
              <w:rPr>
                <w:rFonts w:hint="default" w:ascii="Times New Roman" w:hAnsi="Times New Roman" w:eastAsia="宋体" w:cs="Times New Roman"/>
                <w:i w:val="0"/>
                <w:iCs w:val="0"/>
                <w:color w:val="000000"/>
                <w:kern w:val="0"/>
                <w:sz w:val="21"/>
                <w:szCs w:val="21"/>
                <w:u w:val="none"/>
                <w:lang w:val="en-US" w:eastAsia="zh-CN" w:bidi="ar"/>
              </w:rPr>
              <w:t>6.9</w:t>
            </w:r>
          </w:p>
        </w:tc>
      </w:tr>
      <w:tr w14:paraId="0E84A496">
        <w:tblPrEx>
          <w:tblBorders>
            <w:top w:val="thinThickSmallGap" w:color="auto" w:sz="12" w:space="0"/>
            <w:left w:val="none" w:color="auto" w:sz="0" w:space="0"/>
            <w:bottom w:val="thickThinSmallGap" w:color="auto" w:sz="12" w:space="0"/>
            <w:right w:val="none" w:color="auto" w:sz="0" w:space="0"/>
            <w:insideH w:val="single" w:color="auto" w:sz="4" w:space="0"/>
            <w:insideV w:val="single" w:color="000000" w:sz="4" w:space="0"/>
          </w:tblBorders>
          <w:tblCellMar>
            <w:top w:w="0" w:type="dxa"/>
            <w:left w:w="108" w:type="dxa"/>
            <w:bottom w:w="0" w:type="dxa"/>
            <w:right w:w="108" w:type="dxa"/>
          </w:tblCellMar>
        </w:tblPrEx>
        <w:trPr>
          <w:trHeight w:val="340" w:hRule="atLeast"/>
          <w:jc w:val="center"/>
        </w:trPr>
        <w:tc>
          <w:tcPr>
            <w:tcW w:w="665" w:type="pct"/>
            <w:vMerge w:val="continue"/>
            <w:noWrap w:val="0"/>
            <w:vAlign w:val="center"/>
          </w:tcPr>
          <w:p w14:paraId="47BBA89B">
            <w:pPr>
              <w:jc w:val="center"/>
              <w:rPr>
                <w:rFonts w:ascii="Times New Roman" w:hAnsi="Times New Roman" w:cs="Times New Roman"/>
                <w:bCs/>
                <w:sz w:val="21"/>
                <w:szCs w:val="21"/>
              </w:rPr>
            </w:pPr>
          </w:p>
        </w:tc>
        <w:tc>
          <w:tcPr>
            <w:tcW w:w="821" w:type="pct"/>
            <w:noWrap w:val="0"/>
            <w:vAlign w:val="center"/>
          </w:tcPr>
          <w:p w14:paraId="5249BD3E">
            <w:pPr>
              <w:jc w:val="center"/>
              <w:rPr>
                <w:rFonts w:ascii="Times New Roman" w:hAnsi="Times New Roman" w:cs="Times New Roman"/>
                <w:bCs/>
                <w:sz w:val="21"/>
                <w:szCs w:val="21"/>
                <w:highlight w:val="none"/>
              </w:rPr>
            </w:pPr>
            <w:r>
              <w:rPr>
                <w:rFonts w:ascii="Times New Roman" w:hAnsi="Times New Roman" w:cs="Times New Roman"/>
                <w:bCs/>
                <w:sz w:val="21"/>
                <w:szCs w:val="21"/>
                <w:highlight w:val="none"/>
              </w:rPr>
              <w:t>镍</w:t>
            </w:r>
          </w:p>
        </w:tc>
        <w:tc>
          <w:tcPr>
            <w:tcW w:w="943" w:type="pct"/>
            <w:noWrap w:val="0"/>
            <w:vAlign w:val="center"/>
          </w:tcPr>
          <w:p w14:paraId="14C0594F">
            <w:pPr>
              <w:jc w:val="center"/>
              <w:rPr>
                <w:rFonts w:ascii="Times New Roman" w:hAnsi="Times New Roman" w:cs="Times New Roman"/>
                <w:bCs/>
                <w:sz w:val="21"/>
                <w:szCs w:val="21"/>
                <w:highlight w:val="none"/>
              </w:rPr>
            </w:pPr>
            <w:r>
              <w:rPr>
                <w:rFonts w:ascii="Times New Roman" w:hAnsi="Times New Roman" w:cs="Times New Roman"/>
                <w:bCs/>
                <w:sz w:val="21"/>
                <w:szCs w:val="21"/>
                <w:highlight w:val="none"/>
              </w:rPr>
              <w:t>mg/kg</w:t>
            </w:r>
          </w:p>
        </w:tc>
        <w:tc>
          <w:tcPr>
            <w:tcW w:w="856" w:type="pct"/>
            <w:noWrap w:val="0"/>
            <w:vAlign w:val="center"/>
          </w:tcPr>
          <w:p w14:paraId="76F8612B">
            <w:pPr>
              <w:keepNext w:val="0"/>
              <w:keepLines w:val="0"/>
              <w:widowControl/>
              <w:suppressLineNumbers w:val="0"/>
              <w:jc w:val="center"/>
              <w:textAlignment w:val="center"/>
              <w:rPr>
                <w:rFonts w:ascii="Times New Roman" w:hAnsi="Times New Roman" w:cs="Times New Roman"/>
                <w:bCs/>
                <w:sz w:val="21"/>
                <w:szCs w:val="21"/>
                <w:highlight w:val="yellow"/>
                <w:lang w:bidi="ar"/>
              </w:rPr>
            </w:pPr>
            <w:r>
              <w:rPr>
                <w:rFonts w:hint="default" w:ascii="Times New Roman" w:hAnsi="Times New Roman" w:eastAsia="宋体" w:cs="Times New Roman"/>
                <w:i w:val="0"/>
                <w:iCs w:val="0"/>
                <w:color w:val="000000"/>
                <w:kern w:val="0"/>
                <w:sz w:val="21"/>
                <w:szCs w:val="21"/>
                <w:u w:val="none"/>
                <w:lang w:val="en-US" w:eastAsia="zh-CN" w:bidi="ar"/>
              </w:rPr>
              <w:t>30</w:t>
            </w:r>
          </w:p>
        </w:tc>
        <w:tc>
          <w:tcPr>
            <w:tcW w:w="856" w:type="pct"/>
            <w:noWrap w:val="0"/>
            <w:vAlign w:val="center"/>
          </w:tcPr>
          <w:p w14:paraId="324955AE">
            <w:pPr>
              <w:keepNext w:val="0"/>
              <w:keepLines w:val="0"/>
              <w:widowControl/>
              <w:suppressLineNumbers w:val="0"/>
              <w:jc w:val="center"/>
              <w:textAlignment w:val="center"/>
              <w:rPr>
                <w:rFonts w:ascii="Times New Roman" w:hAnsi="Times New Roman" w:cs="Times New Roman"/>
                <w:bCs/>
                <w:sz w:val="21"/>
                <w:szCs w:val="21"/>
                <w:highlight w:val="yellow"/>
                <w:lang w:bidi="ar"/>
              </w:rPr>
            </w:pPr>
            <w:r>
              <w:rPr>
                <w:rFonts w:hint="default" w:ascii="Times New Roman" w:hAnsi="Times New Roman" w:eastAsia="宋体" w:cs="Times New Roman"/>
                <w:i w:val="0"/>
                <w:iCs w:val="0"/>
                <w:color w:val="000000"/>
                <w:kern w:val="0"/>
                <w:sz w:val="21"/>
                <w:szCs w:val="21"/>
                <w:u w:val="none"/>
                <w:lang w:val="en-US" w:eastAsia="zh-CN" w:bidi="ar"/>
              </w:rPr>
              <w:t>18</w:t>
            </w:r>
          </w:p>
        </w:tc>
        <w:tc>
          <w:tcPr>
            <w:tcW w:w="857" w:type="pct"/>
            <w:noWrap w:val="0"/>
            <w:vAlign w:val="center"/>
          </w:tcPr>
          <w:p w14:paraId="087B4282">
            <w:pPr>
              <w:keepNext w:val="0"/>
              <w:keepLines w:val="0"/>
              <w:widowControl/>
              <w:suppressLineNumbers w:val="0"/>
              <w:jc w:val="center"/>
              <w:textAlignment w:val="center"/>
              <w:rPr>
                <w:rFonts w:ascii="Times New Roman" w:hAnsi="Times New Roman" w:cs="Times New Roman"/>
                <w:bCs/>
                <w:sz w:val="21"/>
                <w:szCs w:val="21"/>
                <w:highlight w:val="yellow"/>
                <w:lang w:bidi="ar"/>
              </w:rPr>
            </w:pPr>
            <w:r>
              <w:rPr>
                <w:rFonts w:hint="default" w:ascii="Times New Roman" w:hAnsi="Times New Roman" w:eastAsia="宋体" w:cs="Times New Roman"/>
                <w:i w:val="0"/>
                <w:iCs w:val="0"/>
                <w:color w:val="000000"/>
                <w:kern w:val="0"/>
                <w:sz w:val="21"/>
                <w:szCs w:val="21"/>
                <w:u w:val="none"/>
                <w:lang w:val="en-US" w:eastAsia="zh-CN" w:bidi="ar"/>
              </w:rPr>
              <w:t>14</w:t>
            </w:r>
          </w:p>
        </w:tc>
      </w:tr>
      <w:tr w14:paraId="7616AE12">
        <w:tblPrEx>
          <w:tblBorders>
            <w:top w:val="thinThickSmallGap" w:color="auto" w:sz="12" w:space="0"/>
            <w:left w:val="none" w:color="auto" w:sz="0" w:space="0"/>
            <w:bottom w:val="thickThinSmallGap" w:color="auto" w:sz="12" w:space="0"/>
            <w:right w:val="none" w:color="auto" w:sz="0" w:space="0"/>
            <w:insideH w:val="single" w:color="auto" w:sz="4" w:space="0"/>
            <w:insideV w:val="single" w:color="000000" w:sz="4" w:space="0"/>
          </w:tblBorders>
          <w:tblCellMar>
            <w:top w:w="0" w:type="dxa"/>
            <w:left w:w="108" w:type="dxa"/>
            <w:bottom w:w="0" w:type="dxa"/>
            <w:right w:w="108" w:type="dxa"/>
          </w:tblCellMar>
        </w:tblPrEx>
        <w:trPr>
          <w:trHeight w:val="340" w:hRule="atLeast"/>
          <w:jc w:val="center"/>
        </w:trPr>
        <w:tc>
          <w:tcPr>
            <w:tcW w:w="665" w:type="pct"/>
            <w:vMerge w:val="continue"/>
            <w:noWrap w:val="0"/>
            <w:vAlign w:val="center"/>
          </w:tcPr>
          <w:p w14:paraId="048BCCE9">
            <w:pPr>
              <w:jc w:val="center"/>
              <w:rPr>
                <w:rFonts w:ascii="Times New Roman" w:hAnsi="Times New Roman" w:cs="Times New Roman"/>
                <w:bCs/>
                <w:sz w:val="21"/>
                <w:szCs w:val="21"/>
              </w:rPr>
            </w:pPr>
          </w:p>
        </w:tc>
        <w:tc>
          <w:tcPr>
            <w:tcW w:w="821" w:type="pct"/>
            <w:noWrap w:val="0"/>
            <w:vAlign w:val="center"/>
          </w:tcPr>
          <w:p w14:paraId="32146FAE">
            <w:pPr>
              <w:jc w:val="center"/>
              <w:rPr>
                <w:rFonts w:ascii="Times New Roman" w:hAnsi="Times New Roman" w:cs="Times New Roman"/>
                <w:bCs/>
                <w:sz w:val="21"/>
                <w:szCs w:val="21"/>
                <w:highlight w:val="none"/>
              </w:rPr>
            </w:pPr>
            <w:r>
              <w:rPr>
                <w:rFonts w:ascii="Times New Roman" w:hAnsi="Times New Roman" w:cs="Times New Roman"/>
                <w:bCs/>
                <w:sz w:val="21"/>
                <w:szCs w:val="21"/>
                <w:highlight w:val="none"/>
              </w:rPr>
              <w:t>铅</w:t>
            </w:r>
          </w:p>
        </w:tc>
        <w:tc>
          <w:tcPr>
            <w:tcW w:w="943" w:type="pct"/>
            <w:noWrap w:val="0"/>
            <w:vAlign w:val="center"/>
          </w:tcPr>
          <w:p w14:paraId="228D5016">
            <w:pPr>
              <w:jc w:val="center"/>
              <w:rPr>
                <w:rFonts w:ascii="Times New Roman" w:hAnsi="Times New Roman" w:cs="Times New Roman"/>
                <w:bCs/>
                <w:sz w:val="21"/>
                <w:szCs w:val="21"/>
                <w:highlight w:val="none"/>
              </w:rPr>
            </w:pPr>
            <w:r>
              <w:rPr>
                <w:rFonts w:ascii="Times New Roman" w:hAnsi="Times New Roman" w:cs="Times New Roman"/>
                <w:bCs/>
                <w:sz w:val="21"/>
                <w:szCs w:val="21"/>
                <w:highlight w:val="none"/>
              </w:rPr>
              <w:t>mg/kg</w:t>
            </w:r>
          </w:p>
        </w:tc>
        <w:tc>
          <w:tcPr>
            <w:tcW w:w="856" w:type="pct"/>
            <w:noWrap w:val="0"/>
            <w:vAlign w:val="center"/>
          </w:tcPr>
          <w:p w14:paraId="34E2B7F2">
            <w:pPr>
              <w:keepNext w:val="0"/>
              <w:keepLines w:val="0"/>
              <w:widowControl/>
              <w:suppressLineNumbers w:val="0"/>
              <w:jc w:val="center"/>
              <w:textAlignment w:val="center"/>
              <w:rPr>
                <w:rFonts w:ascii="Times New Roman" w:hAnsi="Times New Roman" w:cs="Times New Roman"/>
                <w:bCs/>
                <w:sz w:val="21"/>
                <w:szCs w:val="21"/>
                <w:highlight w:val="yellow"/>
                <w:lang w:bidi="ar"/>
              </w:rPr>
            </w:pPr>
            <w:r>
              <w:rPr>
                <w:rFonts w:hint="default" w:ascii="Times New Roman" w:hAnsi="Times New Roman" w:eastAsia="宋体" w:cs="Times New Roman"/>
                <w:i w:val="0"/>
                <w:iCs w:val="0"/>
                <w:color w:val="000000"/>
                <w:kern w:val="0"/>
                <w:sz w:val="21"/>
                <w:szCs w:val="21"/>
                <w:u w:val="none"/>
                <w:lang w:val="en-US" w:eastAsia="zh-CN" w:bidi="ar"/>
              </w:rPr>
              <w:t>96</w:t>
            </w:r>
          </w:p>
        </w:tc>
        <w:tc>
          <w:tcPr>
            <w:tcW w:w="856" w:type="pct"/>
            <w:noWrap w:val="0"/>
            <w:vAlign w:val="center"/>
          </w:tcPr>
          <w:p w14:paraId="2491EE31">
            <w:pPr>
              <w:keepNext w:val="0"/>
              <w:keepLines w:val="0"/>
              <w:widowControl/>
              <w:suppressLineNumbers w:val="0"/>
              <w:jc w:val="center"/>
              <w:textAlignment w:val="center"/>
              <w:rPr>
                <w:rFonts w:ascii="Times New Roman" w:hAnsi="Times New Roman" w:cs="Times New Roman"/>
                <w:bCs/>
                <w:sz w:val="21"/>
                <w:szCs w:val="21"/>
                <w:highlight w:val="yellow"/>
                <w:lang w:bidi="ar"/>
              </w:rPr>
            </w:pPr>
            <w:r>
              <w:rPr>
                <w:rFonts w:hint="default" w:ascii="Times New Roman" w:hAnsi="Times New Roman" w:eastAsia="宋体" w:cs="Times New Roman"/>
                <w:i w:val="0"/>
                <w:iCs w:val="0"/>
                <w:color w:val="000000"/>
                <w:kern w:val="0"/>
                <w:sz w:val="21"/>
                <w:szCs w:val="21"/>
                <w:u w:val="none"/>
                <w:lang w:val="en-US" w:eastAsia="zh-CN" w:bidi="ar"/>
              </w:rPr>
              <w:t>33</w:t>
            </w:r>
          </w:p>
        </w:tc>
        <w:tc>
          <w:tcPr>
            <w:tcW w:w="857" w:type="pct"/>
            <w:noWrap w:val="0"/>
            <w:vAlign w:val="center"/>
          </w:tcPr>
          <w:p w14:paraId="730D5E7D">
            <w:pPr>
              <w:keepNext w:val="0"/>
              <w:keepLines w:val="0"/>
              <w:widowControl/>
              <w:suppressLineNumbers w:val="0"/>
              <w:jc w:val="center"/>
              <w:textAlignment w:val="center"/>
              <w:rPr>
                <w:rFonts w:ascii="Times New Roman" w:hAnsi="Times New Roman" w:cs="Times New Roman"/>
                <w:bCs/>
                <w:sz w:val="21"/>
                <w:szCs w:val="21"/>
                <w:highlight w:val="yellow"/>
                <w:lang w:bidi="ar"/>
              </w:rPr>
            </w:pPr>
            <w:r>
              <w:rPr>
                <w:rFonts w:hint="default" w:ascii="Times New Roman" w:hAnsi="Times New Roman" w:eastAsia="宋体" w:cs="Times New Roman"/>
                <w:i w:val="0"/>
                <w:iCs w:val="0"/>
                <w:color w:val="000000"/>
                <w:kern w:val="0"/>
                <w:sz w:val="21"/>
                <w:szCs w:val="21"/>
                <w:u w:val="none"/>
                <w:lang w:val="en-US" w:eastAsia="zh-CN" w:bidi="ar"/>
              </w:rPr>
              <w:t>34</w:t>
            </w:r>
          </w:p>
        </w:tc>
      </w:tr>
      <w:tr w14:paraId="25AB08FE">
        <w:tblPrEx>
          <w:tblBorders>
            <w:top w:val="thinThickSmallGap" w:color="auto" w:sz="12" w:space="0"/>
            <w:left w:val="none" w:color="auto" w:sz="0" w:space="0"/>
            <w:bottom w:val="thickThinSmallGap" w:color="auto" w:sz="12" w:space="0"/>
            <w:right w:val="none" w:color="auto" w:sz="0" w:space="0"/>
            <w:insideH w:val="single" w:color="auto" w:sz="4" w:space="0"/>
            <w:insideV w:val="single" w:color="000000" w:sz="4" w:space="0"/>
          </w:tblBorders>
          <w:tblCellMar>
            <w:top w:w="0" w:type="dxa"/>
            <w:left w:w="108" w:type="dxa"/>
            <w:bottom w:w="0" w:type="dxa"/>
            <w:right w:w="108" w:type="dxa"/>
          </w:tblCellMar>
        </w:tblPrEx>
        <w:trPr>
          <w:trHeight w:val="340" w:hRule="atLeast"/>
          <w:jc w:val="center"/>
        </w:trPr>
        <w:tc>
          <w:tcPr>
            <w:tcW w:w="665" w:type="pct"/>
            <w:vMerge w:val="continue"/>
            <w:noWrap w:val="0"/>
            <w:vAlign w:val="center"/>
          </w:tcPr>
          <w:p w14:paraId="3322D9CA">
            <w:pPr>
              <w:jc w:val="center"/>
              <w:rPr>
                <w:rFonts w:ascii="Times New Roman" w:hAnsi="Times New Roman" w:cs="Times New Roman"/>
                <w:bCs/>
                <w:sz w:val="21"/>
                <w:szCs w:val="21"/>
              </w:rPr>
            </w:pPr>
          </w:p>
        </w:tc>
        <w:tc>
          <w:tcPr>
            <w:tcW w:w="821" w:type="pct"/>
            <w:noWrap w:val="0"/>
            <w:vAlign w:val="center"/>
          </w:tcPr>
          <w:p w14:paraId="75526B56">
            <w:pPr>
              <w:jc w:val="center"/>
              <w:rPr>
                <w:rFonts w:ascii="Times New Roman" w:hAnsi="Times New Roman" w:cs="Times New Roman"/>
                <w:bCs/>
                <w:sz w:val="21"/>
                <w:szCs w:val="21"/>
                <w:highlight w:val="none"/>
              </w:rPr>
            </w:pPr>
            <w:r>
              <w:rPr>
                <w:rFonts w:ascii="Times New Roman" w:hAnsi="Times New Roman" w:cs="Times New Roman"/>
                <w:bCs/>
                <w:sz w:val="21"/>
                <w:szCs w:val="21"/>
                <w:highlight w:val="none"/>
              </w:rPr>
              <w:t>铜</w:t>
            </w:r>
          </w:p>
        </w:tc>
        <w:tc>
          <w:tcPr>
            <w:tcW w:w="943" w:type="pct"/>
            <w:noWrap w:val="0"/>
            <w:vAlign w:val="center"/>
          </w:tcPr>
          <w:p w14:paraId="541D5C44">
            <w:pPr>
              <w:jc w:val="center"/>
              <w:rPr>
                <w:rFonts w:ascii="Times New Roman" w:hAnsi="Times New Roman" w:cs="Times New Roman"/>
                <w:bCs/>
                <w:sz w:val="21"/>
                <w:szCs w:val="21"/>
                <w:highlight w:val="none"/>
              </w:rPr>
            </w:pPr>
            <w:r>
              <w:rPr>
                <w:rFonts w:ascii="Times New Roman" w:hAnsi="Times New Roman" w:cs="Times New Roman"/>
                <w:bCs/>
                <w:sz w:val="21"/>
                <w:szCs w:val="21"/>
                <w:highlight w:val="none"/>
              </w:rPr>
              <w:t>mg/kg</w:t>
            </w:r>
          </w:p>
        </w:tc>
        <w:tc>
          <w:tcPr>
            <w:tcW w:w="856" w:type="pct"/>
            <w:noWrap w:val="0"/>
            <w:vAlign w:val="center"/>
          </w:tcPr>
          <w:p w14:paraId="14ECAB01">
            <w:pPr>
              <w:keepNext w:val="0"/>
              <w:keepLines w:val="0"/>
              <w:widowControl/>
              <w:suppressLineNumbers w:val="0"/>
              <w:jc w:val="center"/>
              <w:textAlignment w:val="center"/>
              <w:rPr>
                <w:rFonts w:ascii="Times New Roman" w:hAnsi="Times New Roman" w:cs="Times New Roman"/>
                <w:bCs/>
                <w:sz w:val="21"/>
                <w:szCs w:val="21"/>
                <w:highlight w:val="yellow"/>
                <w:lang w:bidi="ar"/>
              </w:rPr>
            </w:pPr>
            <w:r>
              <w:rPr>
                <w:rFonts w:hint="default" w:ascii="Times New Roman" w:hAnsi="Times New Roman" w:eastAsia="宋体" w:cs="Times New Roman"/>
                <w:i w:val="0"/>
                <w:iCs w:val="0"/>
                <w:color w:val="000000"/>
                <w:kern w:val="0"/>
                <w:sz w:val="21"/>
                <w:szCs w:val="21"/>
                <w:u w:val="none"/>
                <w:lang w:val="en-US" w:eastAsia="zh-CN" w:bidi="ar"/>
              </w:rPr>
              <w:t>52</w:t>
            </w:r>
          </w:p>
        </w:tc>
        <w:tc>
          <w:tcPr>
            <w:tcW w:w="856" w:type="pct"/>
            <w:noWrap w:val="0"/>
            <w:vAlign w:val="center"/>
          </w:tcPr>
          <w:p w14:paraId="5A5BD312">
            <w:pPr>
              <w:keepNext w:val="0"/>
              <w:keepLines w:val="0"/>
              <w:widowControl/>
              <w:suppressLineNumbers w:val="0"/>
              <w:jc w:val="center"/>
              <w:textAlignment w:val="center"/>
              <w:rPr>
                <w:rFonts w:ascii="Times New Roman" w:hAnsi="Times New Roman" w:cs="Times New Roman"/>
                <w:bCs/>
                <w:sz w:val="21"/>
                <w:szCs w:val="21"/>
                <w:highlight w:val="yellow"/>
                <w:lang w:bidi="ar"/>
              </w:rPr>
            </w:pPr>
            <w:r>
              <w:rPr>
                <w:rFonts w:hint="default" w:ascii="Times New Roman" w:hAnsi="Times New Roman" w:eastAsia="宋体" w:cs="Times New Roman"/>
                <w:i w:val="0"/>
                <w:iCs w:val="0"/>
                <w:color w:val="000000"/>
                <w:kern w:val="0"/>
                <w:sz w:val="21"/>
                <w:szCs w:val="21"/>
                <w:u w:val="none"/>
                <w:lang w:val="en-US" w:eastAsia="zh-CN" w:bidi="ar"/>
              </w:rPr>
              <w:t>15</w:t>
            </w:r>
          </w:p>
        </w:tc>
        <w:tc>
          <w:tcPr>
            <w:tcW w:w="857" w:type="pct"/>
            <w:noWrap w:val="0"/>
            <w:vAlign w:val="center"/>
          </w:tcPr>
          <w:p w14:paraId="26063D6A">
            <w:pPr>
              <w:keepNext w:val="0"/>
              <w:keepLines w:val="0"/>
              <w:widowControl/>
              <w:suppressLineNumbers w:val="0"/>
              <w:jc w:val="center"/>
              <w:textAlignment w:val="center"/>
              <w:rPr>
                <w:rFonts w:ascii="Times New Roman" w:hAnsi="Times New Roman" w:cs="Times New Roman"/>
                <w:bCs/>
                <w:sz w:val="21"/>
                <w:szCs w:val="21"/>
                <w:highlight w:val="yellow"/>
                <w:lang w:bidi="ar"/>
              </w:rPr>
            </w:pPr>
            <w:r>
              <w:rPr>
                <w:rFonts w:hint="default" w:ascii="Times New Roman" w:hAnsi="Times New Roman" w:eastAsia="宋体" w:cs="Times New Roman"/>
                <w:i w:val="0"/>
                <w:iCs w:val="0"/>
                <w:color w:val="000000"/>
                <w:kern w:val="0"/>
                <w:sz w:val="21"/>
                <w:szCs w:val="21"/>
                <w:u w:val="none"/>
                <w:lang w:val="en-US" w:eastAsia="zh-CN" w:bidi="ar"/>
              </w:rPr>
              <w:t>20</w:t>
            </w:r>
          </w:p>
        </w:tc>
      </w:tr>
      <w:tr w14:paraId="6635AA11">
        <w:tblPrEx>
          <w:tblBorders>
            <w:top w:val="thinThickSmallGap" w:color="auto" w:sz="12" w:space="0"/>
            <w:left w:val="none" w:color="auto" w:sz="0" w:space="0"/>
            <w:bottom w:val="thickThinSmallGap" w:color="auto" w:sz="12" w:space="0"/>
            <w:right w:val="none" w:color="auto" w:sz="0" w:space="0"/>
            <w:insideH w:val="single" w:color="auto" w:sz="4" w:space="0"/>
            <w:insideV w:val="single" w:color="000000" w:sz="4" w:space="0"/>
          </w:tblBorders>
          <w:tblCellMar>
            <w:top w:w="0" w:type="dxa"/>
            <w:left w:w="108" w:type="dxa"/>
            <w:bottom w:w="0" w:type="dxa"/>
            <w:right w:w="108" w:type="dxa"/>
          </w:tblCellMar>
        </w:tblPrEx>
        <w:trPr>
          <w:trHeight w:val="340" w:hRule="atLeast"/>
          <w:jc w:val="center"/>
        </w:trPr>
        <w:tc>
          <w:tcPr>
            <w:tcW w:w="665" w:type="pct"/>
            <w:vMerge w:val="continue"/>
            <w:noWrap w:val="0"/>
            <w:vAlign w:val="center"/>
          </w:tcPr>
          <w:p w14:paraId="6C625757">
            <w:pPr>
              <w:jc w:val="center"/>
              <w:rPr>
                <w:rFonts w:ascii="Times New Roman" w:hAnsi="Times New Roman" w:cs="Times New Roman"/>
                <w:bCs/>
                <w:sz w:val="21"/>
                <w:szCs w:val="21"/>
              </w:rPr>
            </w:pPr>
          </w:p>
        </w:tc>
        <w:tc>
          <w:tcPr>
            <w:tcW w:w="821" w:type="pct"/>
            <w:noWrap w:val="0"/>
            <w:vAlign w:val="center"/>
          </w:tcPr>
          <w:p w14:paraId="65F9BF18">
            <w:pPr>
              <w:jc w:val="center"/>
              <w:rPr>
                <w:rFonts w:ascii="Times New Roman" w:hAnsi="Times New Roman" w:cs="Times New Roman"/>
                <w:bCs/>
                <w:sz w:val="21"/>
                <w:szCs w:val="21"/>
                <w:highlight w:val="none"/>
              </w:rPr>
            </w:pPr>
            <w:r>
              <w:rPr>
                <w:rFonts w:ascii="Times New Roman" w:hAnsi="Times New Roman" w:cs="Times New Roman"/>
                <w:bCs/>
                <w:sz w:val="21"/>
                <w:szCs w:val="21"/>
                <w:highlight w:val="none"/>
              </w:rPr>
              <w:t>汞</w:t>
            </w:r>
          </w:p>
        </w:tc>
        <w:tc>
          <w:tcPr>
            <w:tcW w:w="943" w:type="pct"/>
            <w:noWrap w:val="0"/>
            <w:vAlign w:val="center"/>
          </w:tcPr>
          <w:p w14:paraId="4E70A329">
            <w:pPr>
              <w:jc w:val="center"/>
              <w:rPr>
                <w:rFonts w:ascii="Times New Roman" w:hAnsi="Times New Roman" w:cs="Times New Roman"/>
                <w:bCs/>
                <w:sz w:val="21"/>
                <w:szCs w:val="21"/>
                <w:highlight w:val="none"/>
              </w:rPr>
            </w:pPr>
            <w:r>
              <w:rPr>
                <w:rFonts w:ascii="Times New Roman" w:hAnsi="Times New Roman" w:cs="Times New Roman"/>
                <w:bCs/>
                <w:sz w:val="21"/>
                <w:szCs w:val="21"/>
                <w:highlight w:val="none"/>
              </w:rPr>
              <w:t>mg/kg</w:t>
            </w:r>
          </w:p>
        </w:tc>
        <w:tc>
          <w:tcPr>
            <w:tcW w:w="856" w:type="pct"/>
            <w:noWrap w:val="0"/>
            <w:vAlign w:val="center"/>
          </w:tcPr>
          <w:p w14:paraId="114C60B6">
            <w:pPr>
              <w:keepNext w:val="0"/>
              <w:keepLines w:val="0"/>
              <w:widowControl/>
              <w:suppressLineNumbers w:val="0"/>
              <w:jc w:val="center"/>
              <w:textAlignment w:val="center"/>
              <w:rPr>
                <w:rFonts w:ascii="Times New Roman" w:hAnsi="Times New Roman" w:cs="Times New Roman"/>
                <w:bCs/>
                <w:sz w:val="21"/>
                <w:szCs w:val="21"/>
                <w:highlight w:val="yellow"/>
                <w:lang w:bidi="ar"/>
              </w:rPr>
            </w:pPr>
            <w:r>
              <w:rPr>
                <w:rFonts w:hint="default" w:ascii="Times New Roman" w:hAnsi="Times New Roman" w:eastAsia="宋体" w:cs="Times New Roman"/>
                <w:i w:val="0"/>
                <w:iCs w:val="0"/>
                <w:color w:val="000000"/>
                <w:kern w:val="0"/>
                <w:sz w:val="21"/>
                <w:szCs w:val="21"/>
                <w:u w:val="none"/>
                <w:lang w:val="en-US" w:eastAsia="zh-CN" w:bidi="ar"/>
              </w:rPr>
              <w:t>0.479</w:t>
            </w:r>
          </w:p>
        </w:tc>
        <w:tc>
          <w:tcPr>
            <w:tcW w:w="856" w:type="pct"/>
            <w:noWrap w:val="0"/>
            <w:vAlign w:val="center"/>
          </w:tcPr>
          <w:p w14:paraId="3C70C756">
            <w:pPr>
              <w:keepNext w:val="0"/>
              <w:keepLines w:val="0"/>
              <w:widowControl/>
              <w:suppressLineNumbers w:val="0"/>
              <w:jc w:val="center"/>
              <w:textAlignment w:val="center"/>
              <w:rPr>
                <w:rFonts w:ascii="Times New Roman" w:hAnsi="Times New Roman" w:cs="Times New Roman"/>
                <w:bCs/>
                <w:sz w:val="21"/>
                <w:szCs w:val="21"/>
                <w:highlight w:val="yellow"/>
                <w:lang w:bidi="ar"/>
              </w:rPr>
            </w:pPr>
            <w:r>
              <w:rPr>
                <w:rFonts w:hint="default" w:ascii="Times New Roman" w:hAnsi="Times New Roman" w:eastAsia="宋体" w:cs="Times New Roman"/>
                <w:i w:val="0"/>
                <w:iCs w:val="0"/>
                <w:color w:val="000000"/>
                <w:kern w:val="0"/>
                <w:sz w:val="21"/>
                <w:szCs w:val="21"/>
                <w:u w:val="none"/>
                <w:lang w:val="en-US" w:eastAsia="zh-CN" w:bidi="ar"/>
              </w:rPr>
              <w:t>0.234</w:t>
            </w:r>
          </w:p>
        </w:tc>
        <w:tc>
          <w:tcPr>
            <w:tcW w:w="857" w:type="pct"/>
            <w:noWrap w:val="0"/>
            <w:vAlign w:val="center"/>
          </w:tcPr>
          <w:p w14:paraId="1EC73F34">
            <w:pPr>
              <w:keepNext w:val="0"/>
              <w:keepLines w:val="0"/>
              <w:widowControl/>
              <w:suppressLineNumbers w:val="0"/>
              <w:jc w:val="center"/>
              <w:textAlignment w:val="center"/>
              <w:rPr>
                <w:rFonts w:ascii="Times New Roman" w:hAnsi="Times New Roman" w:cs="Times New Roman"/>
                <w:bCs/>
                <w:sz w:val="21"/>
                <w:szCs w:val="21"/>
                <w:highlight w:val="yellow"/>
                <w:lang w:bidi="ar"/>
              </w:rPr>
            </w:pPr>
            <w:r>
              <w:rPr>
                <w:rFonts w:hint="default" w:ascii="Times New Roman" w:hAnsi="Times New Roman" w:eastAsia="宋体" w:cs="Times New Roman"/>
                <w:i w:val="0"/>
                <w:iCs w:val="0"/>
                <w:color w:val="000000"/>
                <w:kern w:val="0"/>
                <w:sz w:val="21"/>
                <w:szCs w:val="21"/>
                <w:u w:val="none"/>
                <w:lang w:val="en-US" w:eastAsia="zh-CN" w:bidi="ar"/>
              </w:rPr>
              <w:t>0.282</w:t>
            </w:r>
          </w:p>
        </w:tc>
      </w:tr>
      <w:tr w14:paraId="0F939909">
        <w:tblPrEx>
          <w:tblBorders>
            <w:top w:val="thinThickSmallGap" w:color="auto" w:sz="12" w:space="0"/>
            <w:left w:val="none" w:color="auto" w:sz="0" w:space="0"/>
            <w:bottom w:val="thickThinSmallGap" w:color="auto" w:sz="12" w:space="0"/>
            <w:right w:val="none" w:color="auto" w:sz="0" w:space="0"/>
            <w:insideH w:val="single" w:color="auto" w:sz="4" w:space="0"/>
            <w:insideV w:val="single" w:color="000000" w:sz="4" w:space="0"/>
          </w:tblBorders>
          <w:tblCellMar>
            <w:top w:w="0" w:type="dxa"/>
            <w:left w:w="108" w:type="dxa"/>
            <w:bottom w:w="0" w:type="dxa"/>
            <w:right w:w="108" w:type="dxa"/>
          </w:tblCellMar>
        </w:tblPrEx>
        <w:trPr>
          <w:trHeight w:val="340" w:hRule="atLeast"/>
          <w:jc w:val="center"/>
        </w:trPr>
        <w:tc>
          <w:tcPr>
            <w:tcW w:w="665" w:type="pct"/>
            <w:vMerge w:val="continue"/>
            <w:noWrap w:val="0"/>
            <w:vAlign w:val="center"/>
          </w:tcPr>
          <w:p w14:paraId="294E327A">
            <w:pPr>
              <w:jc w:val="center"/>
              <w:rPr>
                <w:rFonts w:ascii="Times New Roman" w:hAnsi="Times New Roman" w:cs="Times New Roman"/>
                <w:bCs/>
                <w:sz w:val="21"/>
                <w:szCs w:val="21"/>
              </w:rPr>
            </w:pPr>
          </w:p>
        </w:tc>
        <w:tc>
          <w:tcPr>
            <w:tcW w:w="821" w:type="pct"/>
            <w:noWrap w:val="0"/>
            <w:vAlign w:val="center"/>
          </w:tcPr>
          <w:p w14:paraId="655830DD">
            <w:pPr>
              <w:jc w:val="center"/>
              <w:rPr>
                <w:rFonts w:ascii="Times New Roman" w:hAnsi="Times New Roman" w:cs="Times New Roman"/>
                <w:bCs/>
                <w:sz w:val="21"/>
                <w:szCs w:val="21"/>
                <w:highlight w:val="none"/>
              </w:rPr>
            </w:pPr>
            <w:r>
              <w:rPr>
                <w:rFonts w:ascii="Times New Roman" w:hAnsi="Times New Roman" w:cs="Times New Roman"/>
                <w:bCs/>
                <w:sz w:val="21"/>
                <w:szCs w:val="21"/>
                <w:highlight w:val="none"/>
              </w:rPr>
              <w:t>镉</w:t>
            </w:r>
          </w:p>
        </w:tc>
        <w:tc>
          <w:tcPr>
            <w:tcW w:w="943" w:type="pct"/>
            <w:noWrap w:val="0"/>
            <w:vAlign w:val="center"/>
          </w:tcPr>
          <w:p w14:paraId="6F7045BE">
            <w:pPr>
              <w:jc w:val="center"/>
              <w:rPr>
                <w:rFonts w:ascii="Times New Roman" w:hAnsi="Times New Roman" w:cs="Times New Roman"/>
                <w:bCs/>
                <w:sz w:val="21"/>
                <w:szCs w:val="21"/>
                <w:highlight w:val="none"/>
              </w:rPr>
            </w:pPr>
            <w:r>
              <w:rPr>
                <w:rFonts w:ascii="Times New Roman" w:hAnsi="Times New Roman" w:cs="Times New Roman"/>
                <w:bCs/>
                <w:sz w:val="21"/>
                <w:szCs w:val="21"/>
                <w:highlight w:val="none"/>
              </w:rPr>
              <w:t>mg/kg</w:t>
            </w:r>
          </w:p>
        </w:tc>
        <w:tc>
          <w:tcPr>
            <w:tcW w:w="856" w:type="pct"/>
            <w:noWrap w:val="0"/>
            <w:vAlign w:val="center"/>
          </w:tcPr>
          <w:p w14:paraId="03BF34D0">
            <w:pPr>
              <w:keepNext w:val="0"/>
              <w:keepLines w:val="0"/>
              <w:widowControl/>
              <w:suppressLineNumbers w:val="0"/>
              <w:jc w:val="center"/>
              <w:textAlignment w:val="center"/>
              <w:rPr>
                <w:rFonts w:ascii="Times New Roman" w:hAnsi="Times New Roman" w:cs="Times New Roman"/>
                <w:bCs/>
                <w:sz w:val="21"/>
                <w:szCs w:val="21"/>
                <w:highlight w:val="yellow"/>
                <w:lang w:bidi="ar"/>
              </w:rPr>
            </w:pPr>
            <w:r>
              <w:rPr>
                <w:rFonts w:hint="default" w:ascii="Times New Roman" w:hAnsi="Times New Roman" w:eastAsia="宋体" w:cs="Times New Roman"/>
                <w:i w:val="0"/>
                <w:iCs w:val="0"/>
                <w:color w:val="000000"/>
                <w:kern w:val="0"/>
                <w:sz w:val="21"/>
                <w:szCs w:val="21"/>
                <w:u w:val="none"/>
                <w:lang w:val="en-US" w:eastAsia="zh-CN" w:bidi="ar"/>
              </w:rPr>
              <w:t>0.15</w:t>
            </w:r>
          </w:p>
        </w:tc>
        <w:tc>
          <w:tcPr>
            <w:tcW w:w="856" w:type="pct"/>
            <w:noWrap w:val="0"/>
            <w:vAlign w:val="center"/>
          </w:tcPr>
          <w:p w14:paraId="33ECCDA2">
            <w:pPr>
              <w:keepNext w:val="0"/>
              <w:keepLines w:val="0"/>
              <w:widowControl/>
              <w:suppressLineNumbers w:val="0"/>
              <w:jc w:val="center"/>
              <w:textAlignment w:val="center"/>
              <w:rPr>
                <w:rFonts w:ascii="Times New Roman" w:hAnsi="Times New Roman" w:cs="Times New Roman"/>
                <w:bCs/>
                <w:sz w:val="21"/>
                <w:szCs w:val="21"/>
                <w:highlight w:val="yellow"/>
                <w:lang w:bidi="ar"/>
              </w:rPr>
            </w:pPr>
            <w:r>
              <w:rPr>
                <w:rFonts w:hint="default" w:ascii="Times New Roman" w:hAnsi="Times New Roman" w:eastAsia="宋体" w:cs="Times New Roman"/>
                <w:i w:val="0"/>
                <w:iCs w:val="0"/>
                <w:color w:val="000000"/>
                <w:kern w:val="0"/>
                <w:sz w:val="21"/>
                <w:szCs w:val="21"/>
                <w:u w:val="none"/>
                <w:lang w:val="en-US" w:eastAsia="zh-CN" w:bidi="ar"/>
              </w:rPr>
              <w:t>0.09</w:t>
            </w:r>
          </w:p>
        </w:tc>
        <w:tc>
          <w:tcPr>
            <w:tcW w:w="857" w:type="pct"/>
            <w:noWrap w:val="0"/>
            <w:vAlign w:val="center"/>
          </w:tcPr>
          <w:p w14:paraId="1E7074BE">
            <w:pPr>
              <w:keepNext w:val="0"/>
              <w:keepLines w:val="0"/>
              <w:widowControl/>
              <w:suppressLineNumbers w:val="0"/>
              <w:jc w:val="center"/>
              <w:textAlignment w:val="center"/>
              <w:rPr>
                <w:rFonts w:ascii="Times New Roman" w:hAnsi="Times New Roman" w:cs="Times New Roman"/>
                <w:bCs/>
                <w:sz w:val="21"/>
                <w:szCs w:val="21"/>
                <w:highlight w:val="yellow"/>
                <w:lang w:bidi="ar"/>
              </w:rPr>
            </w:pPr>
            <w:r>
              <w:rPr>
                <w:rFonts w:hint="default" w:ascii="Times New Roman" w:hAnsi="Times New Roman" w:eastAsia="宋体" w:cs="Times New Roman"/>
                <w:i w:val="0"/>
                <w:iCs w:val="0"/>
                <w:color w:val="000000"/>
                <w:kern w:val="0"/>
                <w:sz w:val="21"/>
                <w:szCs w:val="21"/>
                <w:u w:val="none"/>
                <w:lang w:val="en-US" w:eastAsia="zh-CN" w:bidi="ar"/>
              </w:rPr>
              <w:t>0.1</w:t>
            </w:r>
          </w:p>
        </w:tc>
      </w:tr>
      <w:tr w14:paraId="28ED2525">
        <w:tblPrEx>
          <w:tblBorders>
            <w:top w:val="thinThickSmallGap" w:color="auto" w:sz="12" w:space="0"/>
            <w:left w:val="none" w:color="auto" w:sz="0" w:space="0"/>
            <w:bottom w:val="thickThinSmallGap" w:color="auto" w:sz="12" w:space="0"/>
            <w:right w:val="none" w:color="auto" w:sz="0" w:space="0"/>
            <w:insideH w:val="single" w:color="auto" w:sz="4" w:space="0"/>
            <w:insideV w:val="single" w:color="000000" w:sz="4" w:space="0"/>
          </w:tblBorders>
          <w:tblCellMar>
            <w:top w:w="0" w:type="dxa"/>
            <w:left w:w="108" w:type="dxa"/>
            <w:bottom w:w="0" w:type="dxa"/>
            <w:right w:w="108" w:type="dxa"/>
          </w:tblCellMar>
        </w:tblPrEx>
        <w:trPr>
          <w:trHeight w:val="340" w:hRule="atLeast"/>
          <w:jc w:val="center"/>
        </w:trPr>
        <w:tc>
          <w:tcPr>
            <w:tcW w:w="665" w:type="pct"/>
            <w:vMerge w:val="continue"/>
            <w:noWrap w:val="0"/>
            <w:vAlign w:val="center"/>
          </w:tcPr>
          <w:p w14:paraId="6374BD0F">
            <w:pPr>
              <w:jc w:val="center"/>
              <w:rPr>
                <w:rFonts w:ascii="Times New Roman" w:hAnsi="Times New Roman" w:cs="Times New Roman"/>
                <w:bCs/>
                <w:sz w:val="21"/>
                <w:szCs w:val="21"/>
              </w:rPr>
            </w:pPr>
          </w:p>
        </w:tc>
        <w:tc>
          <w:tcPr>
            <w:tcW w:w="821" w:type="pct"/>
            <w:noWrap w:val="0"/>
            <w:vAlign w:val="center"/>
          </w:tcPr>
          <w:p w14:paraId="091D7817">
            <w:pPr>
              <w:jc w:val="center"/>
              <w:rPr>
                <w:rFonts w:ascii="Times New Roman" w:hAnsi="Times New Roman" w:cs="Times New Roman"/>
                <w:bCs/>
                <w:sz w:val="21"/>
                <w:szCs w:val="21"/>
                <w:highlight w:val="none"/>
              </w:rPr>
            </w:pPr>
            <w:r>
              <w:rPr>
                <w:rFonts w:ascii="Times New Roman" w:hAnsi="Times New Roman" w:cs="Times New Roman"/>
                <w:bCs/>
                <w:sz w:val="21"/>
                <w:szCs w:val="21"/>
                <w:highlight w:val="none"/>
              </w:rPr>
              <w:t>砷</w:t>
            </w:r>
          </w:p>
        </w:tc>
        <w:tc>
          <w:tcPr>
            <w:tcW w:w="943" w:type="pct"/>
            <w:noWrap w:val="0"/>
            <w:vAlign w:val="center"/>
          </w:tcPr>
          <w:p w14:paraId="237A0781">
            <w:pPr>
              <w:jc w:val="center"/>
              <w:rPr>
                <w:rFonts w:ascii="Times New Roman" w:hAnsi="Times New Roman" w:cs="Times New Roman"/>
                <w:bCs/>
                <w:sz w:val="21"/>
                <w:szCs w:val="21"/>
                <w:highlight w:val="none"/>
              </w:rPr>
            </w:pPr>
            <w:r>
              <w:rPr>
                <w:rFonts w:ascii="Times New Roman" w:hAnsi="Times New Roman" w:cs="Times New Roman"/>
                <w:bCs/>
                <w:sz w:val="21"/>
                <w:szCs w:val="21"/>
                <w:highlight w:val="none"/>
              </w:rPr>
              <w:t>mg/kg</w:t>
            </w:r>
          </w:p>
        </w:tc>
        <w:tc>
          <w:tcPr>
            <w:tcW w:w="856" w:type="pct"/>
            <w:noWrap w:val="0"/>
            <w:vAlign w:val="center"/>
          </w:tcPr>
          <w:p w14:paraId="31844391">
            <w:pPr>
              <w:keepNext w:val="0"/>
              <w:keepLines w:val="0"/>
              <w:widowControl/>
              <w:suppressLineNumbers w:val="0"/>
              <w:jc w:val="center"/>
              <w:textAlignment w:val="center"/>
              <w:rPr>
                <w:rFonts w:ascii="Times New Roman" w:hAnsi="Times New Roman" w:cs="Times New Roman"/>
                <w:bCs/>
                <w:sz w:val="21"/>
                <w:szCs w:val="21"/>
                <w:highlight w:val="yellow"/>
                <w:lang w:bidi="ar"/>
              </w:rPr>
            </w:pPr>
            <w:r>
              <w:rPr>
                <w:rFonts w:hint="default" w:ascii="Times New Roman" w:hAnsi="Times New Roman" w:eastAsia="宋体" w:cs="Times New Roman"/>
                <w:i w:val="0"/>
                <w:iCs w:val="0"/>
                <w:color w:val="000000"/>
                <w:kern w:val="0"/>
                <w:sz w:val="21"/>
                <w:szCs w:val="21"/>
                <w:u w:val="none"/>
                <w:lang w:val="en-US" w:eastAsia="zh-CN" w:bidi="ar"/>
              </w:rPr>
              <w:t>5.41</w:t>
            </w:r>
          </w:p>
        </w:tc>
        <w:tc>
          <w:tcPr>
            <w:tcW w:w="856" w:type="pct"/>
            <w:noWrap w:val="0"/>
            <w:vAlign w:val="center"/>
          </w:tcPr>
          <w:p w14:paraId="4497BF76">
            <w:pPr>
              <w:keepNext w:val="0"/>
              <w:keepLines w:val="0"/>
              <w:widowControl/>
              <w:suppressLineNumbers w:val="0"/>
              <w:jc w:val="center"/>
              <w:textAlignment w:val="center"/>
              <w:rPr>
                <w:rFonts w:ascii="Times New Roman" w:hAnsi="Times New Roman" w:cs="Times New Roman"/>
                <w:bCs/>
                <w:sz w:val="21"/>
                <w:szCs w:val="21"/>
                <w:highlight w:val="yellow"/>
                <w:lang w:bidi="ar"/>
              </w:rPr>
            </w:pPr>
            <w:r>
              <w:rPr>
                <w:rFonts w:hint="default" w:ascii="Times New Roman" w:hAnsi="Times New Roman" w:eastAsia="宋体" w:cs="Times New Roman"/>
                <w:i w:val="0"/>
                <w:iCs w:val="0"/>
                <w:color w:val="000000"/>
                <w:kern w:val="0"/>
                <w:sz w:val="21"/>
                <w:szCs w:val="21"/>
                <w:u w:val="none"/>
                <w:lang w:val="en-US" w:eastAsia="zh-CN" w:bidi="ar"/>
              </w:rPr>
              <w:t>2.22</w:t>
            </w:r>
          </w:p>
        </w:tc>
        <w:tc>
          <w:tcPr>
            <w:tcW w:w="857" w:type="pct"/>
            <w:noWrap w:val="0"/>
            <w:vAlign w:val="center"/>
          </w:tcPr>
          <w:p w14:paraId="282A2526">
            <w:pPr>
              <w:keepNext w:val="0"/>
              <w:keepLines w:val="0"/>
              <w:widowControl/>
              <w:suppressLineNumbers w:val="0"/>
              <w:jc w:val="center"/>
              <w:textAlignment w:val="center"/>
              <w:rPr>
                <w:rFonts w:ascii="Times New Roman" w:hAnsi="Times New Roman" w:cs="Times New Roman"/>
                <w:bCs/>
                <w:sz w:val="21"/>
                <w:szCs w:val="21"/>
                <w:highlight w:val="yellow"/>
                <w:lang w:bidi="ar"/>
              </w:rPr>
            </w:pPr>
            <w:r>
              <w:rPr>
                <w:rFonts w:hint="default" w:ascii="Times New Roman" w:hAnsi="Times New Roman" w:eastAsia="宋体" w:cs="Times New Roman"/>
                <w:i w:val="0"/>
                <w:iCs w:val="0"/>
                <w:color w:val="000000"/>
                <w:kern w:val="0"/>
                <w:sz w:val="21"/>
                <w:szCs w:val="21"/>
                <w:u w:val="none"/>
                <w:lang w:val="en-US" w:eastAsia="zh-CN" w:bidi="ar"/>
              </w:rPr>
              <w:t>2.98</w:t>
            </w:r>
          </w:p>
        </w:tc>
      </w:tr>
      <w:tr w14:paraId="2DC42902">
        <w:tblPrEx>
          <w:tblBorders>
            <w:top w:val="thinThickSmallGap" w:color="auto" w:sz="12" w:space="0"/>
            <w:left w:val="none" w:color="auto" w:sz="0" w:space="0"/>
            <w:bottom w:val="thickThinSmallGap" w:color="auto" w:sz="12" w:space="0"/>
            <w:right w:val="none" w:color="auto" w:sz="0" w:space="0"/>
            <w:insideH w:val="single" w:color="auto" w:sz="4" w:space="0"/>
            <w:insideV w:val="single" w:color="000000" w:sz="4" w:space="0"/>
          </w:tblBorders>
          <w:tblCellMar>
            <w:top w:w="0" w:type="dxa"/>
            <w:left w:w="108" w:type="dxa"/>
            <w:bottom w:w="0" w:type="dxa"/>
            <w:right w:w="108" w:type="dxa"/>
          </w:tblCellMar>
        </w:tblPrEx>
        <w:trPr>
          <w:trHeight w:val="340" w:hRule="atLeast"/>
          <w:jc w:val="center"/>
        </w:trPr>
        <w:tc>
          <w:tcPr>
            <w:tcW w:w="665" w:type="pct"/>
            <w:vMerge w:val="continue"/>
            <w:noWrap w:val="0"/>
            <w:vAlign w:val="center"/>
          </w:tcPr>
          <w:p w14:paraId="36803825">
            <w:pPr>
              <w:jc w:val="center"/>
              <w:rPr>
                <w:rFonts w:ascii="Times New Roman" w:hAnsi="Times New Roman" w:cs="Times New Roman"/>
                <w:bCs/>
                <w:sz w:val="21"/>
                <w:szCs w:val="21"/>
              </w:rPr>
            </w:pPr>
          </w:p>
        </w:tc>
        <w:tc>
          <w:tcPr>
            <w:tcW w:w="821" w:type="pct"/>
            <w:noWrap w:val="0"/>
            <w:vAlign w:val="center"/>
          </w:tcPr>
          <w:p w14:paraId="5A2D68CE">
            <w:pPr>
              <w:jc w:val="center"/>
              <w:rPr>
                <w:rFonts w:ascii="Times New Roman" w:hAnsi="Times New Roman" w:cs="Times New Roman"/>
                <w:bCs/>
                <w:sz w:val="21"/>
                <w:szCs w:val="21"/>
                <w:highlight w:val="none"/>
              </w:rPr>
            </w:pPr>
            <w:r>
              <w:rPr>
                <w:rFonts w:ascii="Times New Roman" w:hAnsi="Times New Roman" w:cs="Times New Roman"/>
                <w:bCs/>
                <w:sz w:val="21"/>
                <w:szCs w:val="21"/>
                <w:highlight w:val="none"/>
              </w:rPr>
              <w:t>铬（六价）</w:t>
            </w:r>
          </w:p>
        </w:tc>
        <w:tc>
          <w:tcPr>
            <w:tcW w:w="943" w:type="pct"/>
            <w:noWrap w:val="0"/>
            <w:vAlign w:val="center"/>
          </w:tcPr>
          <w:p w14:paraId="5C63C736">
            <w:pPr>
              <w:jc w:val="center"/>
              <w:rPr>
                <w:rFonts w:ascii="Times New Roman" w:hAnsi="Times New Roman" w:cs="Times New Roman"/>
                <w:bCs/>
                <w:sz w:val="21"/>
                <w:szCs w:val="21"/>
                <w:highlight w:val="none"/>
              </w:rPr>
            </w:pPr>
            <w:r>
              <w:rPr>
                <w:rFonts w:ascii="Times New Roman" w:hAnsi="Times New Roman" w:cs="Times New Roman"/>
                <w:bCs/>
                <w:sz w:val="21"/>
                <w:szCs w:val="21"/>
                <w:highlight w:val="none"/>
              </w:rPr>
              <w:t>mg/kg</w:t>
            </w:r>
          </w:p>
        </w:tc>
        <w:tc>
          <w:tcPr>
            <w:tcW w:w="856" w:type="pct"/>
            <w:noWrap w:val="0"/>
            <w:vAlign w:val="center"/>
          </w:tcPr>
          <w:p w14:paraId="145F44AA">
            <w:pPr>
              <w:keepNext w:val="0"/>
              <w:keepLines w:val="0"/>
              <w:widowControl/>
              <w:suppressLineNumbers w:val="0"/>
              <w:jc w:val="center"/>
              <w:textAlignment w:val="center"/>
              <w:rPr>
                <w:rFonts w:ascii="Times New Roman" w:hAnsi="Times New Roman" w:cs="Times New Roman"/>
                <w:bCs/>
                <w:sz w:val="21"/>
                <w:szCs w:val="21"/>
                <w:highlight w:val="yellow"/>
                <w:lang w:bidi="ar"/>
              </w:rPr>
            </w:pPr>
            <w:r>
              <w:rPr>
                <w:rFonts w:hint="default" w:ascii="Times New Roman" w:hAnsi="Times New Roman" w:eastAsia="宋体" w:cs="Times New Roman"/>
                <w:i w:val="0"/>
                <w:iCs w:val="0"/>
                <w:color w:val="000000"/>
                <w:kern w:val="0"/>
                <w:sz w:val="21"/>
                <w:szCs w:val="21"/>
                <w:u w:val="none"/>
                <w:lang w:val="en-US" w:eastAsia="zh-CN" w:bidi="ar"/>
              </w:rPr>
              <w:t>ND</w:t>
            </w:r>
          </w:p>
        </w:tc>
        <w:tc>
          <w:tcPr>
            <w:tcW w:w="856" w:type="pct"/>
            <w:noWrap w:val="0"/>
            <w:vAlign w:val="center"/>
          </w:tcPr>
          <w:p w14:paraId="2A188123">
            <w:pPr>
              <w:keepNext w:val="0"/>
              <w:keepLines w:val="0"/>
              <w:widowControl/>
              <w:suppressLineNumbers w:val="0"/>
              <w:jc w:val="center"/>
              <w:textAlignment w:val="center"/>
              <w:rPr>
                <w:rFonts w:ascii="Times New Roman" w:hAnsi="Times New Roman" w:cs="Times New Roman"/>
                <w:bCs/>
                <w:sz w:val="21"/>
                <w:szCs w:val="21"/>
                <w:highlight w:val="yellow"/>
                <w:lang w:bidi="ar"/>
              </w:rPr>
            </w:pPr>
            <w:r>
              <w:rPr>
                <w:rFonts w:hint="default" w:ascii="Times New Roman" w:hAnsi="Times New Roman" w:eastAsia="宋体" w:cs="Times New Roman"/>
                <w:i w:val="0"/>
                <w:iCs w:val="0"/>
                <w:color w:val="000000"/>
                <w:kern w:val="0"/>
                <w:sz w:val="21"/>
                <w:szCs w:val="21"/>
                <w:u w:val="none"/>
                <w:lang w:val="en-US" w:eastAsia="zh-CN" w:bidi="ar"/>
              </w:rPr>
              <w:t>ND</w:t>
            </w:r>
          </w:p>
        </w:tc>
        <w:tc>
          <w:tcPr>
            <w:tcW w:w="857" w:type="pct"/>
            <w:noWrap w:val="0"/>
            <w:vAlign w:val="center"/>
          </w:tcPr>
          <w:p w14:paraId="223FEDBA">
            <w:pPr>
              <w:keepNext w:val="0"/>
              <w:keepLines w:val="0"/>
              <w:widowControl/>
              <w:suppressLineNumbers w:val="0"/>
              <w:jc w:val="center"/>
              <w:textAlignment w:val="center"/>
              <w:rPr>
                <w:rFonts w:ascii="Times New Roman" w:hAnsi="Times New Roman" w:cs="Times New Roman"/>
                <w:bCs/>
                <w:sz w:val="21"/>
                <w:szCs w:val="21"/>
                <w:highlight w:val="yellow"/>
              </w:rPr>
            </w:pPr>
            <w:r>
              <w:rPr>
                <w:rFonts w:hint="default" w:ascii="Times New Roman" w:hAnsi="Times New Roman" w:eastAsia="宋体" w:cs="Times New Roman"/>
                <w:i w:val="0"/>
                <w:iCs w:val="0"/>
                <w:color w:val="000000"/>
                <w:kern w:val="0"/>
                <w:sz w:val="21"/>
                <w:szCs w:val="21"/>
                <w:u w:val="none"/>
                <w:lang w:val="en-US" w:eastAsia="zh-CN" w:bidi="ar"/>
              </w:rPr>
              <w:t>ND</w:t>
            </w:r>
          </w:p>
        </w:tc>
      </w:tr>
      <w:tr w14:paraId="536CA701">
        <w:tblPrEx>
          <w:tblBorders>
            <w:top w:val="thinThickSmallGap" w:color="auto" w:sz="12" w:space="0"/>
            <w:left w:val="none" w:color="auto" w:sz="0" w:space="0"/>
            <w:bottom w:val="thickThinSmallGap" w:color="auto" w:sz="12" w:space="0"/>
            <w:right w:val="none" w:color="auto" w:sz="0" w:space="0"/>
            <w:insideH w:val="single" w:color="auto" w:sz="4" w:space="0"/>
            <w:insideV w:val="single" w:color="000000" w:sz="4" w:space="0"/>
          </w:tblBorders>
          <w:tblCellMar>
            <w:top w:w="0" w:type="dxa"/>
            <w:left w:w="108" w:type="dxa"/>
            <w:bottom w:w="0" w:type="dxa"/>
            <w:right w:w="108" w:type="dxa"/>
          </w:tblCellMar>
        </w:tblPrEx>
        <w:trPr>
          <w:trHeight w:val="340" w:hRule="atLeast"/>
          <w:jc w:val="center"/>
        </w:trPr>
        <w:tc>
          <w:tcPr>
            <w:tcW w:w="665" w:type="pct"/>
            <w:vMerge w:val="continue"/>
            <w:noWrap w:val="0"/>
            <w:vAlign w:val="center"/>
          </w:tcPr>
          <w:p w14:paraId="24B0CBB1">
            <w:pPr>
              <w:jc w:val="center"/>
              <w:rPr>
                <w:rFonts w:ascii="Times New Roman" w:hAnsi="Times New Roman" w:cs="Times New Roman"/>
                <w:bCs/>
                <w:sz w:val="21"/>
                <w:szCs w:val="21"/>
              </w:rPr>
            </w:pPr>
          </w:p>
        </w:tc>
        <w:tc>
          <w:tcPr>
            <w:tcW w:w="821" w:type="pct"/>
            <w:noWrap w:val="0"/>
            <w:vAlign w:val="center"/>
          </w:tcPr>
          <w:p w14:paraId="6FB63986">
            <w:pPr>
              <w:jc w:val="center"/>
              <w:textAlignment w:val="center"/>
              <w:rPr>
                <w:rFonts w:ascii="Times New Roman" w:hAnsi="Times New Roman" w:cs="Times New Roman"/>
                <w:bCs/>
                <w:sz w:val="21"/>
                <w:szCs w:val="21"/>
                <w:highlight w:val="none"/>
              </w:rPr>
            </w:pPr>
            <w:r>
              <w:rPr>
                <w:rFonts w:ascii="Times New Roman" w:hAnsi="Times New Roman" w:cs="Times New Roman"/>
                <w:bCs/>
                <w:spacing w:val="-5"/>
                <w:sz w:val="21"/>
                <w:szCs w:val="21"/>
                <w:highlight w:val="none"/>
                <w:lang w:bidi="ar"/>
              </w:rPr>
              <w:t>氯甲烷</w:t>
            </w:r>
          </w:p>
        </w:tc>
        <w:tc>
          <w:tcPr>
            <w:tcW w:w="943" w:type="pct"/>
            <w:noWrap w:val="0"/>
            <w:vAlign w:val="center"/>
          </w:tcPr>
          <w:p w14:paraId="5F790C64">
            <w:pPr>
              <w:jc w:val="center"/>
              <w:rPr>
                <w:rFonts w:ascii="Times New Roman" w:hAnsi="Times New Roman" w:cs="Times New Roman"/>
                <w:bCs/>
                <w:sz w:val="21"/>
                <w:szCs w:val="21"/>
                <w:highlight w:val="none"/>
              </w:rPr>
            </w:pPr>
            <w:r>
              <w:rPr>
                <w:rFonts w:ascii="Times New Roman" w:hAnsi="Times New Roman" w:cs="Times New Roman"/>
                <w:bCs/>
                <w:sz w:val="21"/>
                <w:szCs w:val="21"/>
                <w:highlight w:val="none"/>
              </w:rPr>
              <w:t>μg/kg</w:t>
            </w:r>
          </w:p>
        </w:tc>
        <w:tc>
          <w:tcPr>
            <w:tcW w:w="856" w:type="pct"/>
            <w:noWrap w:val="0"/>
            <w:vAlign w:val="center"/>
          </w:tcPr>
          <w:p w14:paraId="2B5DD49D">
            <w:pPr>
              <w:keepNext w:val="0"/>
              <w:keepLines w:val="0"/>
              <w:widowControl/>
              <w:suppressLineNumbers w:val="0"/>
              <w:jc w:val="center"/>
              <w:textAlignment w:val="center"/>
              <w:rPr>
                <w:rFonts w:ascii="Times New Roman" w:hAnsi="Times New Roman" w:cs="Times New Roman"/>
                <w:bCs/>
                <w:sz w:val="21"/>
                <w:szCs w:val="21"/>
                <w:highlight w:val="yellow"/>
                <w:lang w:bidi="ar"/>
              </w:rPr>
            </w:pPr>
            <w:r>
              <w:rPr>
                <w:rFonts w:hint="default" w:ascii="Times New Roman" w:hAnsi="Times New Roman" w:eastAsia="宋体" w:cs="Times New Roman"/>
                <w:i w:val="0"/>
                <w:iCs w:val="0"/>
                <w:color w:val="000000"/>
                <w:kern w:val="0"/>
                <w:sz w:val="21"/>
                <w:szCs w:val="21"/>
                <w:u w:val="none"/>
                <w:lang w:val="en-US" w:eastAsia="zh-CN" w:bidi="ar"/>
              </w:rPr>
              <w:t>ND</w:t>
            </w:r>
          </w:p>
        </w:tc>
        <w:tc>
          <w:tcPr>
            <w:tcW w:w="856" w:type="pct"/>
            <w:noWrap w:val="0"/>
            <w:vAlign w:val="center"/>
          </w:tcPr>
          <w:p w14:paraId="01610217">
            <w:pPr>
              <w:keepNext w:val="0"/>
              <w:keepLines w:val="0"/>
              <w:widowControl/>
              <w:suppressLineNumbers w:val="0"/>
              <w:jc w:val="center"/>
              <w:textAlignment w:val="center"/>
              <w:rPr>
                <w:rFonts w:ascii="Times New Roman" w:hAnsi="Times New Roman" w:cs="Times New Roman"/>
                <w:bCs/>
                <w:sz w:val="21"/>
                <w:szCs w:val="21"/>
                <w:highlight w:val="yellow"/>
                <w:lang w:bidi="ar"/>
              </w:rPr>
            </w:pPr>
            <w:r>
              <w:rPr>
                <w:rFonts w:hint="default" w:ascii="Times New Roman" w:hAnsi="Times New Roman" w:eastAsia="宋体" w:cs="Times New Roman"/>
                <w:i w:val="0"/>
                <w:iCs w:val="0"/>
                <w:color w:val="000000"/>
                <w:kern w:val="0"/>
                <w:sz w:val="21"/>
                <w:szCs w:val="21"/>
                <w:u w:val="none"/>
                <w:lang w:val="en-US" w:eastAsia="zh-CN" w:bidi="ar"/>
              </w:rPr>
              <w:t>ND</w:t>
            </w:r>
          </w:p>
        </w:tc>
        <w:tc>
          <w:tcPr>
            <w:tcW w:w="857" w:type="pct"/>
            <w:noWrap w:val="0"/>
            <w:vAlign w:val="center"/>
          </w:tcPr>
          <w:p w14:paraId="2FF0D9B4">
            <w:pPr>
              <w:keepNext w:val="0"/>
              <w:keepLines w:val="0"/>
              <w:widowControl/>
              <w:suppressLineNumbers w:val="0"/>
              <w:jc w:val="center"/>
              <w:textAlignment w:val="center"/>
              <w:rPr>
                <w:rFonts w:ascii="Times New Roman" w:hAnsi="Times New Roman" w:cs="Times New Roman"/>
                <w:bCs/>
                <w:sz w:val="21"/>
                <w:szCs w:val="21"/>
                <w:highlight w:val="yellow"/>
                <w:lang w:bidi="ar"/>
              </w:rPr>
            </w:pPr>
            <w:r>
              <w:rPr>
                <w:rFonts w:hint="eastAsia" w:ascii="Times New Roman" w:hAnsi="Times New Roman" w:eastAsia="宋体" w:cs="Times New Roman"/>
                <w:i w:val="0"/>
                <w:iCs w:val="0"/>
                <w:color w:val="000000"/>
                <w:kern w:val="0"/>
                <w:sz w:val="21"/>
                <w:szCs w:val="21"/>
                <w:u w:val="none"/>
                <w:lang w:val="en-US" w:eastAsia="zh-CN" w:bidi="ar"/>
              </w:rPr>
              <w:t>-</w:t>
            </w:r>
          </w:p>
        </w:tc>
      </w:tr>
      <w:tr w14:paraId="67EE978B">
        <w:tblPrEx>
          <w:tblBorders>
            <w:top w:val="thinThickSmallGap" w:color="auto" w:sz="12" w:space="0"/>
            <w:left w:val="none" w:color="auto" w:sz="0" w:space="0"/>
            <w:bottom w:val="thickThinSmallGap" w:color="auto" w:sz="12" w:space="0"/>
            <w:right w:val="none" w:color="auto" w:sz="0" w:space="0"/>
            <w:insideH w:val="single" w:color="auto" w:sz="4" w:space="0"/>
            <w:insideV w:val="single" w:color="000000" w:sz="4" w:space="0"/>
          </w:tblBorders>
          <w:tblCellMar>
            <w:top w:w="0" w:type="dxa"/>
            <w:left w:w="108" w:type="dxa"/>
            <w:bottom w:w="0" w:type="dxa"/>
            <w:right w:w="108" w:type="dxa"/>
          </w:tblCellMar>
        </w:tblPrEx>
        <w:trPr>
          <w:trHeight w:val="340" w:hRule="atLeast"/>
          <w:jc w:val="center"/>
        </w:trPr>
        <w:tc>
          <w:tcPr>
            <w:tcW w:w="665" w:type="pct"/>
            <w:vMerge w:val="continue"/>
            <w:noWrap w:val="0"/>
            <w:vAlign w:val="center"/>
          </w:tcPr>
          <w:p w14:paraId="48A25D07">
            <w:pPr>
              <w:jc w:val="center"/>
              <w:rPr>
                <w:rFonts w:ascii="Times New Roman" w:hAnsi="Times New Roman" w:cs="Times New Roman"/>
                <w:bCs/>
                <w:sz w:val="21"/>
                <w:szCs w:val="21"/>
              </w:rPr>
            </w:pPr>
          </w:p>
        </w:tc>
        <w:tc>
          <w:tcPr>
            <w:tcW w:w="821" w:type="pct"/>
            <w:noWrap w:val="0"/>
            <w:vAlign w:val="center"/>
          </w:tcPr>
          <w:p w14:paraId="0796E442">
            <w:pPr>
              <w:jc w:val="center"/>
              <w:textAlignment w:val="center"/>
              <w:rPr>
                <w:rFonts w:ascii="Times New Roman" w:hAnsi="Times New Roman" w:cs="Times New Roman"/>
                <w:bCs/>
                <w:sz w:val="21"/>
                <w:szCs w:val="21"/>
                <w:highlight w:val="none"/>
              </w:rPr>
            </w:pPr>
            <w:r>
              <w:rPr>
                <w:rFonts w:ascii="Times New Roman" w:hAnsi="Times New Roman" w:cs="Times New Roman"/>
                <w:bCs/>
                <w:spacing w:val="-5"/>
                <w:sz w:val="21"/>
                <w:szCs w:val="21"/>
                <w:highlight w:val="none"/>
                <w:lang w:bidi="ar"/>
              </w:rPr>
              <w:t>1,1-二氯乙烯</w:t>
            </w:r>
          </w:p>
        </w:tc>
        <w:tc>
          <w:tcPr>
            <w:tcW w:w="943" w:type="pct"/>
            <w:noWrap w:val="0"/>
            <w:vAlign w:val="center"/>
          </w:tcPr>
          <w:p w14:paraId="332DC1D6">
            <w:pPr>
              <w:jc w:val="center"/>
              <w:rPr>
                <w:rFonts w:ascii="Times New Roman" w:hAnsi="Times New Roman" w:cs="Times New Roman"/>
                <w:bCs/>
                <w:sz w:val="21"/>
                <w:szCs w:val="21"/>
                <w:highlight w:val="none"/>
              </w:rPr>
            </w:pPr>
            <w:r>
              <w:rPr>
                <w:rFonts w:ascii="Times New Roman" w:hAnsi="Times New Roman" w:cs="Times New Roman"/>
                <w:bCs/>
                <w:sz w:val="21"/>
                <w:szCs w:val="21"/>
                <w:highlight w:val="none"/>
              </w:rPr>
              <w:t>μg/kg</w:t>
            </w:r>
          </w:p>
        </w:tc>
        <w:tc>
          <w:tcPr>
            <w:tcW w:w="856" w:type="pct"/>
            <w:noWrap w:val="0"/>
            <w:vAlign w:val="center"/>
          </w:tcPr>
          <w:p w14:paraId="661635A1">
            <w:pPr>
              <w:keepNext w:val="0"/>
              <w:keepLines w:val="0"/>
              <w:widowControl/>
              <w:suppressLineNumbers w:val="0"/>
              <w:jc w:val="center"/>
              <w:textAlignment w:val="center"/>
              <w:rPr>
                <w:rFonts w:ascii="Times New Roman" w:hAnsi="Times New Roman" w:cs="Times New Roman"/>
                <w:bCs/>
                <w:sz w:val="21"/>
                <w:szCs w:val="21"/>
                <w:highlight w:val="yellow"/>
                <w:lang w:bidi="ar"/>
              </w:rPr>
            </w:pPr>
            <w:r>
              <w:rPr>
                <w:rFonts w:hint="default" w:ascii="Times New Roman" w:hAnsi="Times New Roman" w:eastAsia="宋体" w:cs="Times New Roman"/>
                <w:i w:val="0"/>
                <w:iCs w:val="0"/>
                <w:color w:val="000000"/>
                <w:kern w:val="0"/>
                <w:sz w:val="21"/>
                <w:szCs w:val="21"/>
                <w:u w:val="none"/>
                <w:lang w:val="en-US" w:eastAsia="zh-CN" w:bidi="ar"/>
              </w:rPr>
              <w:t>ND</w:t>
            </w:r>
          </w:p>
        </w:tc>
        <w:tc>
          <w:tcPr>
            <w:tcW w:w="856" w:type="pct"/>
            <w:noWrap w:val="0"/>
            <w:vAlign w:val="center"/>
          </w:tcPr>
          <w:p w14:paraId="156A4154">
            <w:pPr>
              <w:keepNext w:val="0"/>
              <w:keepLines w:val="0"/>
              <w:widowControl/>
              <w:suppressLineNumbers w:val="0"/>
              <w:jc w:val="center"/>
              <w:textAlignment w:val="center"/>
              <w:rPr>
                <w:rFonts w:ascii="Times New Roman" w:hAnsi="Times New Roman" w:cs="Times New Roman"/>
                <w:bCs/>
                <w:sz w:val="21"/>
                <w:szCs w:val="21"/>
                <w:highlight w:val="yellow"/>
                <w:lang w:bidi="ar"/>
              </w:rPr>
            </w:pPr>
            <w:r>
              <w:rPr>
                <w:rFonts w:hint="default" w:ascii="Times New Roman" w:hAnsi="Times New Roman" w:eastAsia="宋体" w:cs="Times New Roman"/>
                <w:i w:val="0"/>
                <w:iCs w:val="0"/>
                <w:color w:val="000000"/>
                <w:kern w:val="0"/>
                <w:sz w:val="21"/>
                <w:szCs w:val="21"/>
                <w:u w:val="none"/>
                <w:lang w:val="en-US" w:eastAsia="zh-CN" w:bidi="ar"/>
              </w:rPr>
              <w:t>ND</w:t>
            </w:r>
          </w:p>
        </w:tc>
        <w:tc>
          <w:tcPr>
            <w:tcW w:w="857" w:type="pct"/>
            <w:noWrap w:val="0"/>
            <w:vAlign w:val="center"/>
          </w:tcPr>
          <w:p w14:paraId="6A8D10F8">
            <w:pPr>
              <w:jc w:val="center"/>
              <w:textAlignment w:val="center"/>
              <w:rPr>
                <w:rFonts w:ascii="Times New Roman" w:hAnsi="Times New Roman" w:cs="Times New Roman"/>
                <w:bCs/>
                <w:sz w:val="21"/>
                <w:szCs w:val="21"/>
                <w:highlight w:val="none"/>
                <w:lang w:bidi="ar"/>
              </w:rPr>
            </w:pPr>
            <w:r>
              <w:rPr>
                <w:rFonts w:ascii="Times New Roman" w:hAnsi="Times New Roman" w:cs="Times New Roman"/>
                <w:bCs/>
                <w:sz w:val="21"/>
                <w:szCs w:val="21"/>
                <w:highlight w:val="none"/>
              </w:rPr>
              <w:t>-</w:t>
            </w:r>
          </w:p>
        </w:tc>
      </w:tr>
      <w:tr w14:paraId="5C79B064">
        <w:tblPrEx>
          <w:tblBorders>
            <w:top w:val="thinThickSmallGap" w:color="auto" w:sz="12" w:space="0"/>
            <w:left w:val="none" w:color="auto" w:sz="0" w:space="0"/>
            <w:bottom w:val="thickThinSmallGap" w:color="auto" w:sz="12" w:space="0"/>
            <w:right w:val="none" w:color="auto" w:sz="0" w:space="0"/>
            <w:insideH w:val="single" w:color="auto" w:sz="4" w:space="0"/>
            <w:insideV w:val="single" w:color="000000" w:sz="4" w:space="0"/>
          </w:tblBorders>
          <w:tblCellMar>
            <w:top w:w="0" w:type="dxa"/>
            <w:left w:w="108" w:type="dxa"/>
            <w:bottom w:w="0" w:type="dxa"/>
            <w:right w:w="108" w:type="dxa"/>
          </w:tblCellMar>
        </w:tblPrEx>
        <w:trPr>
          <w:trHeight w:val="340" w:hRule="atLeast"/>
          <w:jc w:val="center"/>
        </w:trPr>
        <w:tc>
          <w:tcPr>
            <w:tcW w:w="665" w:type="pct"/>
            <w:vMerge w:val="continue"/>
            <w:noWrap w:val="0"/>
            <w:vAlign w:val="center"/>
          </w:tcPr>
          <w:p w14:paraId="3D835D0E">
            <w:pPr>
              <w:jc w:val="center"/>
              <w:rPr>
                <w:rFonts w:ascii="Times New Roman" w:hAnsi="Times New Roman" w:cs="Times New Roman"/>
                <w:bCs/>
                <w:sz w:val="21"/>
                <w:szCs w:val="21"/>
              </w:rPr>
            </w:pPr>
          </w:p>
        </w:tc>
        <w:tc>
          <w:tcPr>
            <w:tcW w:w="821" w:type="pct"/>
            <w:noWrap w:val="0"/>
            <w:vAlign w:val="center"/>
          </w:tcPr>
          <w:p w14:paraId="0462A2E8">
            <w:pPr>
              <w:jc w:val="center"/>
              <w:textAlignment w:val="center"/>
              <w:rPr>
                <w:rFonts w:ascii="Times New Roman" w:hAnsi="Times New Roman" w:cs="Times New Roman"/>
                <w:bCs/>
                <w:sz w:val="21"/>
                <w:szCs w:val="21"/>
                <w:highlight w:val="none"/>
              </w:rPr>
            </w:pPr>
            <w:r>
              <w:rPr>
                <w:rFonts w:ascii="Times New Roman" w:hAnsi="Times New Roman" w:cs="Times New Roman"/>
                <w:bCs/>
                <w:spacing w:val="-5"/>
                <w:sz w:val="21"/>
                <w:szCs w:val="21"/>
                <w:highlight w:val="none"/>
                <w:lang w:bidi="ar"/>
              </w:rPr>
              <w:t>二氯甲烷</w:t>
            </w:r>
          </w:p>
        </w:tc>
        <w:tc>
          <w:tcPr>
            <w:tcW w:w="943" w:type="pct"/>
            <w:noWrap w:val="0"/>
            <w:vAlign w:val="center"/>
          </w:tcPr>
          <w:p w14:paraId="0C7DC11D">
            <w:pPr>
              <w:jc w:val="center"/>
              <w:rPr>
                <w:rFonts w:ascii="Times New Roman" w:hAnsi="Times New Roman" w:cs="Times New Roman"/>
                <w:bCs/>
                <w:sz w:val="21"/>
                <w:szCs w:val="21"/>
                <w:highlight w:val="none"/>
              </w:rPr>
            </w:pPr>
            <w:r>
              <w:rPr>
                <w:rFonts w:ascii="Times New Roman" w:hAnsi="Times New Roman" w:cs="Times New Roman"/>
                <w:bCs/>
                <w:sz w:val="21"/>
                <w:szCs w:val="21"/>
                <w:highlight w:val="none"/>
              </w:rPr>
              <w:t>μg/kg</w:t>
            </w:r>
          </w:p>
        </w:tc>
        <w:tc>
          <w:tcPr>
            <w:tcW w:w="856" w:type="pct"/>
            <w:noWrap w:val="0"/>
            <w:vAlign w:val="center"/>
          </w:tcPr>
          <w:p w14:paraId="4081615A">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 xml:space="preserve">19.0 </w:t>
            </w:r>
          </w:p>
        </w:tc>
        <w:tc>
          <w:tcPr>
            <w:tcW w:w="856" w:type="pct"/>
            <w:noWrap w:val="0"/>
            <w:vAlign w:val="center"/>
          </w:tcPr>
          <w:p w14:paraId="4031D22C">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32.5</w:t>
            </w:r>
          </w:p>
        </w:tc>
        <w:tc>
          <w:tcPr>
            <w:tcW w:w="857" w:type="pct"/>
            <w:noWrap w:val="0"/>
            <w:vAlign w:val="center"/>
          </w:tcPr>
          <w:p w14:paraId="180DB4E6">
            <w:pPr>
              <w:jc w:val="center"/>
              <w:textAlignment w:val="center"/>
              <w:rPr>
                <w:rFonts w:ascii="Times New Roman" w:hAnsi="Times New Roman" w:cs="Times New Roman"/>
                <w:bCs/>
                <w:sz w:val="21"/>
                <w:szCs w:val="21"/>
                <w:highlight w:val="none"/>
                <w:lang w:bidi="ar"/>
              </w:rPr>
            </w:pPr>
            <w:r>
              <w:rPr>
                <w:rFonts w:ascii="Times New Roman" w:hAnsi="Times New Roman" w:cs="Times New Roman"/>
                <w:bCs/>
                <w:sz w:val="21"/>
                <w:szCs w:val="21"/>
                <w:highlight w:val="none"/>
              </w:rPr>
              <w:t>-</w:t>
            </w:r>
          </w:p>
        </w:tc>
      </w:tr>
      <w:tr w14:paraId="06B636AD">
        <w:tblPrEx>
          <w:tblBorders>
            <w:top w:val="thinThickSmallGap" w:color="auto" w:sz="12" w:space="0"/>
            <w:left w:val="none" w:color="auto" w:sz="0" w:space="0"/>
            <w:bottom w:val="thickThinSmallGap" w:color="auto" w:sz="12" w:space="0"/>
            <w:right w:val="none" w:color="auto" w:sz="0" w:space="0"/>
            <w:insideH w:val="single" w:color="auto" w:sz="4" w:space="0"/>
            <w:insideV w:val="single" w:color="000000" w:sz="4" w:space="0"/>
          </w:tblBorders>
          <w:tblCellMar>
            <w:top w:w="0" w:type="dxa"/>
            <w:left w:w="108" w:type="dxa"/>
            <w:bottom w:w="0" w:type="dxa"/>
            <w:right w:w="108" w:type="dxa"/>
          </w:tblCellMar>
        </w:tblPrEx>
        <w:trPr>
          <w:trHeight w:val="340" w:hRule="atLeast"/>
          <w:jc w:val="center"/>
        </w:trPr>
        <w:tc>
          <w:tcPr>
            <w:tcW w:w="665" w:type="pct"/>
            <w:vMerge w:val="continue"/>
            <w:noWrap w:val="0"/>
            <w:vAlign w:val="center"/>
          </w:tcPr>
          <w:p w14:paraId="668E0DCA">
            <w:pPr>
              <w:jc w:val="center"/>
              <w:rPr>
                <w:rFonts w:ascii="Times New Roman" w:hAnsi="Times New Roman" w:cs="Times New Roman"/>
                <w:bCs/>
                <w:sz w:val="21"/>
                <w:szCs w:val="21"/>
              </w:rPr>
            </w:pPr>
          </w:p>
        </w:tc>
        <w:tc>
          <w:tcPr>
            <w:tcW w:w="821" w:type="pct"/>
            <w:noWrap w:val="0"/>
            <w:vAlign w:val="center"/>
          </w:tcPr>
          <w:p w14:paraId="00AB2EDB">
            <w:pPr>
              <w:jc w:val="center"/>
              <w:textAlignment w:val="center"/>
              <w:rPr>
                <w:rFonts w:ascii="Times New Roman" w:hAnsi="Times New Roman" w:cs="Times New Roman"/>
                <w:bCs/>
                <w:sz w:val="21"/>
                <w:szCs w:val="21"/>
                <w:highlight w:val="none"/>
              </w:rPr>
            </w:pPr>
            <w:r>
              <w:rPr>
                <w:rFonts w:ascii="Times New Roman" w:hAnsi="Times New Roman" w:cs="Times New Roman"/>
                <w:bCs/>
                <w:spacing w:val="-5"/>
                <w:sz w:val="21"/>
                <w:szCs w:val="21"/>
                <w:highlight w:val="none"/>
                <w:lang w:bidi="ar"/>
              </w:rPr>
              <w:t>顺1,2-二氯乙烯</w:t>
            </w:r>
          </w:p>
        </w:tc>
        <w:tc>
          <w:tcPr>
            <w:tcW w:w="943" w:type="pct"/>
            <w:noWrap w:val="0"/>
            <w:vAlign w:val="center"/>
          </w:tcPr>
          <w:p w14:paraId="1A17F6C1">
            <w:pPr>
              <w:jc w:val="center"/>
              <w:rPr>
                <w:rFonts w:ascii="Times New Roman" w:hAnsi="Times New Roman" w:cs="Times New Roman"/>
                <w:bCs/>
                <w:sz w:val="21"/>
                <w:szCs w:val="21"/>
                <w:highlight w:val="none"/>
              </w:rPr>
            </w:pPr>
            <w:r>
              <w:rPr>
                <w:rFonts w:ascii="Times New Roman" w:hAnsi="Times New Roman" w:cs="Times New Roman"/>
                <w:bCs/>
                <w:sz w:val="21"/>
                <w:szCs w:val="21"/>
                <w:highlight w:val="none"/>
              </w:rPr>
              <w:t>μg/kg</w:t>
            </w:r>
          </w:p>
        </w:tc>
        <w:tc>
          <w:tcPr>
            <w:tcW w:w="856" w:type="pct"/>
            <w:noWrap w:val="0"/>
            <w:vAlign w:val="center"/>
          </w:tcPr>
          <w:p w14:paraId="56809B2F">
            <w:pPr>
              <w:keepNext w:val="0"/>
              <w:keepLines w:val="0"/>
              <w:widowControl/>
              <w:suppressLineNumbers w:val="0"/>
              <w:jc w:val="center"/>
              <w:textAlignment w:val="center"/>
              <w:rPr>
                <w:rFonts w:ascii="Times New Roman" w:hAnsi="Times New Roman" w:cs="Times New Roman"/>
                <w:bCs/>
                <w:sz w:val="21"/>
                <w:szCs w:val="21"/>
                <w:highlight w:val="yellow"/>
                <w:lang w:bidi="ar"/>
              </w:rPr>
            </w:pPr>
            <w:r>
              <w:rPr>
                <w:rFonts w:hint="default" w:ascii="Times New Roman" w:hAnsi="Times New Roman" w:eastAsia="宋体" w:cs="Times New Roman"/>
                <w:i w:val="0"/>
                <w:iCs w:val="0"/>
                <w:color w:val="000000"/>
                <w:kern w:val="0"/>
                <w:sz w:val="21"/>
                <w:szCs w:val="21"/>
                <w:u w:val="none"/>
                <w:lang w:val="en-US" w:eastAsia="zh-CN" w:bidi="ar"/>
              </w:rPr>
              <w:t>ND</w:t>
            </w:r>
          </w:p>
        </w:tc>
        <w:tc>
          <w:tcPr>
            <w:tcW w:w="856" w:type="pct"/>
            <w:noWrap w:val="0"/>
            <w:vAlign w:val="center"/>
          </w:tcPr>
          <w:p w14:paraId="5D831CEC">
            <w:pPr>
              <w:keepNext w:val="0"/>
              <w:keepLines w:val="0"/>
              <w:widowControl/>
              <w:suppressLineNumbers w:val="0"/>
              <w:jc w:val="center"/>
              <w:textAlignment w:val="center"/>
              <w:rPr>
                <w:rFonts w:ascii="Times New Roman" w:hAnsi="Times New Roman" w:cs="Times New Roman"/>
                <w:bCs/>
                <w:sz w:val="21"/>
                <w:szCs w:val="21"/>
                <w:highlight w:val="yellow"/>
                <w:lang w:bidi="ar"/>
              </w:rPr>
            </w:pPr>
            <w:r>
              <w:rPr>
                <w:rFonts w:hint="default" w:ascii="Times New Roman" w:hAnsi="Times New Roman" w:eastAsia="宋体" w:cs="Times New Roman"/>
                <w:i w:val="0"/>
                <w:iCs w:val="0"/>
                <w:color w:val="000000"/>
                <w:kern w:val="0"/>
                <w:sz w:val="21"/>
                <w:szCs w:val="21"/>
                <w:u w:val="none"/>
                <w:lang w:val="en-US" w:eastAsia="zh-CN" w:bidi="ar"/>
              </w:rPr>
              <w:t>ND</w:t>
            </w:r>
          </w:p>
        </w:tc>
        <w:tc>
          <w:tcPr>
            <w:tcW w:w="857" w:type="pct"/>
            <w:noWrap w:val="0"/>
            <w:vAlign w:val="center"/>
          </w:tcPr>
          <w:p w14:paraId="37B39BC4">
            <w:pPr>
              <w:jc w:val="center"/>
              <w:textAlignment w:val="center"/>
              <w:rPr>
                <w:rFonts w:ascii="Times New Roman" w:hAnsi="Times New Roman" w:cs="Times New Roman"/>
                <w:bCs/>
                <w:sz w:val="21"/>
                <w:szCs w:val="21"/>
                <w:highlight w:val="none"/>
                <w:lang w:bidi="ar"/>
              </w:rPr>
            </w:pPr>
            <w:r>
              <w:rPr>
                <w:rFonts w:ascii="Times New Roman" w:hAnsi="Times New Roman" w:cs="Times New Roman"/>
                <w:bCs/>
                <w:sz w:val="21"/>
                <w:szCs w:val="21"/>
                <w:highlight w:val="none"/>
              </w:rPr>
              <w:t>-</w:t>
            </w:r>
          </w:p>
        </w:tc>
      </w:tr>
      <w:tr w14:paraId="79D73B6C">
        <w:tblPrEx>
          <w:tblBorders>
            <w:top w:val="thinThickSmallGap" w:color="auto" w:sz="12" w:space="0"/>
            <w:left w:val="none" w:color="auto" w:sz="0" w:space="0"/>
            <w:bottom w:val="thickThinSmallGap" w:color="auto" w:sz="12" w:space="0"/>
            <w:right w:val="none" w:color="auto" w:sz="0" w:space="0"/>
            <w:insideH w:val="single" w:color="auto" w:sz="4" w:space="0"/>
            <w:insideV w:val="single" w:color="000000" w:sz="4" w:space="0"/>
          </w:tblBorders>
          <w:tblCellMar>
            <w:top w:w="0" w:type="dxa"/>
            <w:left w:w="108" w:type="dxa"/>
            <w:bottom w:w="0" w:type="dxa"/>
            <w:right w:w="108" w:type="dxa"/>
          </w:tblCellMar>
        </w:tblPrEx>
        <w:trPr>
          <w:trHeight w:val="340" w:hRule="atLeast"/>
          <w:jc w:val="center"/>
        </w:trPr>
        <w:tc>
          <w:tcPr>
            <w:tcW w:w="665" w:type="pct"/>
            <w:vMerge w:val="continue"/>
            <w:noWrap w:val="0"/>
            <w:vAlign w:val="center"/>
          </w:tcPr>
          <w:p w14:paraId="2E154534">
            <w:pPr>
              <w:jc w:val="center"/>
              <w:rPr>
                <w:rFonts w:ascii="Times New Roman" w:hAnsi="Times New Roman" w:cs="Times New Roman"/>
                <w:bCs/>
                <w:sz w:val="21"/>
                <w:szCs w:val="21"/>
              </w:rPr>
            </w:pPr>
          </w:p>
        </w:tc>
        <w:tc>
          <w:tcPr>
            <w:tcW w:w="821" w:type="pct"/>
            <w:noWrap w:val="0"/>
            <w:vAlign w:val="center"/>
          </w:tcPr>
          <w:p w14:paraId="639F4858">
            <w:pPr>
              <w:jc w:val="center"/>
              <w:textAlignment w:val="center"/>
              <w:rPr>
                <w:rFonts w:ascii="Times New Roman" w:hAnsi="Times New Roman" w:cs="Times New Roman"/>
                <w:bCs/>
                <w:sz w:val="21"/>
                <w:szCs w:val="21"/>
                <w:highlight w:val="none"/>
              </w:rPr>
            </w:pPr>
            <w:r>
              <w:rPr>
                <w:rFonts w:ascii="Times New Roman" w:hAnsi="Times New Roman" w:cs="Times New Roman"/>
                <w:bCs/>
                <w:spacing w:val="-5"/>
                <w:sz w:val="21"/>
                <w:szCs w:val="21"/>
                <w:highlight w:val="none"/>
                <w:lang w:bidi="ar"/>
              </w:rPr>
              <w:t>1,1-二氯乙烷</w:t>
            </w:r>
          </w:p>
        </w:tc>
        <w:tc>
          <w:tcPr>
            <w:tcW w:w="943" w:type="pct"/>
            <w:noWrap w:val="0"/>
            <w:vAlign w:val="center"/>
          </w:tcPr>
          <w:p w14:paraId="6A123600">
            <w:pPr>
              <w:jc w:val="center"/>
              <w:rPr>
                <w:rFonts w:ascii="Times New Roman" w:hAnsi="Times New Roman" w:cs="Times New Roman"/>
                <w:bCs/>
                <w:sz w:val="21"/>
                <w:szCs w:val="21"/>
                <w:highlight w:val="none"/>
              </w:rPr>
            </w:pPr>
            <w:r>
              <w:rPr>
                <w:rFonts w:ascii="Times New Roman" w:hAnsi="Times New Roman" w:cs="Times New Roman"/>
                <w:bCs/>
                <w:sz w:val="21"/>
                <w:szCs w:val="21"/>
                <w:highlight w:val="none"/>
              </w:rPr>
              <w:t>μg/kg</w:t>
            </w:r>
          </w:p>
        </w:tc>
        <w:tc>
          <w:tcPr>
            <w:tcW w:w="856" w:type="pct"/>
            <w:noWrap w:val="0"/>
            <w:vAlign w:val="center"/>
          </w:tcPr>
          <w:p w14:paraId="7B8128B3">
            <w:pPr>
              <w:keepNext w:val="0"/>
              <w:keepLines w:val="0"/>
              <w:widowControl/>
              <w:suppressLineNumbers w:val="0"/>
              <w:jc w:val="center"/>
              <w:textAlignment w:val="center"/>
              <w:rPr>
                <w:rFonts w:ascii="Times New Roman" w:hAnsi="Times New Roman" w:cs="Times New Roman"/>
                <w:bCs/>
                <w:sz w:val="21"/>
                <w:szCs w:val="21"/>
                <w:highlight w:val="yellow"/>
                <w:lang w:bidi="ar"/>
              </w:rPr>
            </w:pPr>
            <w:r>
              <w:rPr>
                <w:rFonts w:hint="default" w:ascii="Times New Roman" w:hAnsi="Times New Roman" w:eastAsia="宋体" w:cs="Times New Roman"/>
                <w:i w:val="0"/>
                <w:iCs w:val="0"/>
                <w:color w:val="000000"/>
                <w:kern w:val="0"/>
                <w:sz w:val="21"/>
                <w:szCs w:val="21"/>
                <w:u w:val="none"/>
                <w:lang w:val="en-US" w:eastAsia="zh-CN" w:bidi="ar"/>
              </w:rPr>
              <w:t>ND</w:t>
            </w:r>
          </w:p>
        </w:tc>
        <w:tc>
          <w:tcPr>
            <w:tcW w:w="856" w:type="pct"/>
            <w:noWrap w:val="0"/>
            <w:vAlign w:val="center"/>
          </w:tcPr>
          <w:p w14:paraId="233848E3">
            <w:pPr>
              <w:keepNext w:val="0"/>
              <w:keepLines w:val="0"/>
              <w:widowControl/>
              <w:suppressLineNumbers w:val="0"/>
              <w:jc w:val="center"/>
              <w:textAlignment w:val="center"/>
              <w:rPr>
                <w:rFonts w:ascii="Times New Roman" w:hAnsi="Times New Roman" w:cs="Times New Roman"/>
                <w:bCs/>
                <w:sz w:val="21"/>
                <w:szCs w:val="21"/>
                <w:highlight w:val="yellow"/>
                <w:lang w:bidi="ar"/>
              </w:rPr>
            </w:pPr>
            <w:r>
              <w:rPr>
                <w:rFonts w:hint="default" w:ascii="Times New Roman" w:hAnsi="Times New Roman" w:eastAsia="宋体" w:cs="Times New Roman"/>
                <w:i w:val="0"/>
                <w:iCs w:val="0"/>
                <w:color w:val="000000"/>
                <w:kern w:val="0"/>
                <w:sz w:val="21"/>
                <w:szCs w:val="21"/>
                <w:u w:val="none"/>
                <w:lang w:val="en-US" w:eastAsia="zh-CN" w:bidi="ar"/>
              </w:rPr>
              <w:t>ND</w:t>
            </w:r>
          </w:p>
        </w:tc>
        <w:tc>
          <w:tcPr>
            <w:tcW w:w="857" w:type="pct"/>
            <w:noWrap w:val="0"/>
            <w:vAlign w:val="center"/>
          </w:tcPr>
          <w:p w14:paraId="2D00A4ED">
            <w:pPr>
              <w:jc w:val="center"/>
              <w:textAlignment w:val="center"/>
              <w:rPr>
                <w:rFonts w:ascii="Times New Roman" w:hAnsi="Times New Roman" w:cs="Times New Roman"/>
                <w:bCs/>
                <w:sz w:val="21"/>
                <w:szCs w:val="21"/>
                <w:highlight w:val="none"/>
                <w:lang w:bidi="ar"/>
              </w:rPr>
            </w:pPr>
            <w:r>
              <w:rPr>
                <w:rFonts w:ascii="Times New Roman" w:hAnsi="Times New Roman" w:cs="Times New Roman"/>
                <w:bCs/>
                <w:sz w:val="21"/>
                <w:szCs w:val="21"/>
                <w:highlight w:val="none"/>
              </w:rPr>
              <w:t>-</w:t>
            </w:r>
          </w:p>
        </w:tc>
      </w:tr>
      <w:tr w14:paraId="1C1E0B31">
        <w:tblPrEx>
          <w:tblBorders>
            <w:top w:val="thinThickSmallGap" w:color="auto" w:sz="12" w:space="0"/>
            <w:left w:val="none" w:color="auto" w:sz="0" w:space="0"/>
            <w:bottom w:val="thickThinSmallGap" w:color="auto" w:sz="12" w:space="0"/>
            <w:right w:val="none" w:color="auto" w:sz="0" w:space="0"/>
            <w:insideH w:val="single" w:color="auto" w:sz="4" w:space="0"/>
            <w:insideV w:val="single" w:color="000000" w:sz="4" w:space="0"/>
          </w:tblBorders>
          <w:tblCellMar>
            <w:top w:w="0" w:type="dxa"/>
            <w:left w:w="108" w:type="dxa"/>
            <w:bottom w:w="0" w:type="dxa"/>
            <w:right w:w="108" w:type="dxa"/>
          </w:tblCellMar>
        </w:tblPrEx>
        <w:trPr>
          <w:trHeight w:val="340" w:hRule="atLeast"/>
          <w:jc w:val="center"/>
        </w:trPr>
        <w:tc>
          <w:tcPr>
            <w:tcW w:w="665" w:type="pct"/>
            <w:vMerge w:val="continue"/>
            <w:noWrap w:val="0"/>
            <w:vAlign w:val="center"/>
          </w:tcPr>
          <w:p w14:paraId="033A4F9D">
            <w:pPr>
              <w:jc w:val="center"/>
              <w:rPr>
                <w:rFonts w:ascii="Times New Roman" w:hAnsi="Times New Roman" w:cs="Times New Roman"/>
                <w:bCs/>
                <w:sz w:val="21"/>
                <w:szCs w:val="21"/>
              </w:rPr>
            </w:pPr>
          </w:p>
        </w:tc>
        <w:tc>
          <w:tcPr>
            <w:tcW w:w="821" w:type="pct"/>
            <w:noWrap w:val="0"/>
            <w:vAlign w:val="center"/>
          </w:tcPr>
          <w:p w14:paraId="34AFE6F5">
            <w:pPr>
              <w:jc w:val="center"/>
              <w:textAlignment w:val="center"/>
              <w:rPr>
                <w:rFonts w:ascii="Times New Roman" w:hAnsi="Times New Roman" w:cs="Times New Roman"/>
                <w:bCs/>
                <w:sz w:val="21"/>
                <w:szCs w:val="21"/>
                <w:highlight w:val="none"/>
              </w:rPr>
            </w:pPr>
            <w:r>
              <w:rPr>
                <w:rFonts w:ascii="Times New Roman" w:hAnsi="Times New Roman" w:cs="Times New Roman"/>
                <w:bCs/>
                <w:spacing w:val="-5"/>
                <w:sz w:val="21"/>
                <w:szCs w:val="21"/>
                <w:highlight w:val="none"/>
                <w:lang w:bidi="ar"/>
              </w:rPr>
              <w:t>反1,2-二氯乙烯</w:t>
            </w:r>
          </w:p>
        </w:tc>
        <w:tc>
          <w:tcPr>
            <w:tcW w:w="943" w:type="pct"/>
            <w:noWrap w:val="0"/>
            <w:vAlign w:val="center"/>
          </w:tcPr>
          <w:p w14:paraId="447E75C1">
            <w:pPr>
              <w:jc w:val="center"/>
              <w:rPr>
                <w:rFonts w:ascii="Times New Roman" w:hAnsi="Times New Roman" w:cs="Times New Roman"/>
                <w:bCs/>
                <w:sz w:val="21"/>
                <w:szCs w:val="21"/>
                <w:highlight w:val="none"/>
              </w:rPr>
            </w:pPr>
            <w:r>
              <w:rPr>
                <w:rFonts w:ascii="Times New Roman" w:hAnsi="Times New Roman" w:cs="Times New Roman"/>
                <w:bCs/>
                <w:sz w:val="21"/>
                <w:szCs w:val="21"/>
                <w:highlight w:val="none"/>
              </w:rPr>
              <w:t>μg/kg</w:t>
            </w:r>
          </w:p>
        </w:tc>
        <w:tc>
          <w:tcPr>
            <w:tcW w:w="856" w:type="pct"/>
            <w:noWrap w:val="0"/>
            <w:vAlign w:val="center"/>
          </w:tcPr>
          <w:p w14:paraId="22B827C8">
            <w:pPr>
              <w:keepNext w:val="0"/>
              <w:keepLines w:val="0"/>
              <w:widowControl/>
              <w:suppressLineNumbers w:val="0"/>
              <w:jc w:val="center"/>
              <w:textAlignment w:val="center"/>
              <w:rPr>
                <w:rFonts w:ascii="Times New Roman" w:hAnsi="Times New Roman" w:cs="Times New Roman"/>
                <w:bCs/>
                <w:sz w:val="21"/>
                <w:szCs w:val="21"/>
                <w:highlight w:val="yellow"/>
                <w:lang w:bidi="ar"/>
              </w:rPr>
            </w:pPr>
            <w:r>
              <w:rPr>
                <w:rFonts w:hint="default" w:ascii="Times New Roman" w:hAnsi="Times New Roman" w:eastAsia="宋体" w:cs="Times New Roman"/>
                <w:i w:val="0"/>
                <w:iCs w:val="0"/>
                <w:color w:val="000000"/>
                <w:kern w:val="0"/>
                <w:sz w:val="21"/>
                <w:szCs w:val="21"/>
                <w:u w:val="none"/>
                <w:lang w:val="en-US" w:eastAsia="zh-CN" w:bidi="ar"/>
              </w:rPr>
              <w:t>ND</w:t>
            </w:r>
          </w:p>
        </w:tc>
        <w:tc>
          <w:tcPr>
            <w:tcW w:w="856" w:type="pct"/>
            <w:noWrap w:val="0"/>
            <w:vAlign w:val="center"/>
          </w:tcPr>
          <w:p w14:paraId="4AA62CE9">
            <w:pPr>
              <w:keepNext w:val="0"/>
              <w:keepLines w:val="0"/>
              <w:widowControl/>
              <w:suppressLineNumbers w:val="0"/>
              <w:jc w:val="center"/>
              <w:textAlignment w:val="center"/>
              <w:rPr>
                <w:rFonts w:ascii="Times New Roman" w:hAnsi="Times New Roman" w:cs="Times New Roman"/>
                <w:bCs/>
                <w:sz w:val="21"/>
                <w:szCs w:val="21"/>
                <w:highlight w:val="yellow"/>
                <w:lang w:bidi="ar"/>
              </w:rPr>
            </w:pPr>
            <w:r>
              <w:rPr>
                <w:rFonts w:hint="default" w:ascii="Times New Roman" w:hAnsi="Times New Roman" w:eastAsia="宋体" w:cs="Times New Roman"/>
                <w:i w:val="0"/>
                <w:iCs w:val="0"/>
                <w:color w:val="000000"/>
                <w:kern w:val="0"/>
                <w:sz w:val="21"/>
                <w:szCs w:val="21"/>
                <w:u w:val="none"/>
                <w:lang w:val="en-US" w:eastAsia="zh-CN" w:bidi="ar"/>
              </w:rPr>
              <w:t>ND</w:t>
            </w:r>
          </w:p>
        </w:tc>
        <w:tc>
          <w:tcPr>
            <w:tcW w:w="857" w:type="pct"/>
            <w:noWrap w:val="0"/>
            <w:vAlign w:val="center"/>
          </w:tcPr>
          <w:p w14:paraId="2FC7D791">
            <w:pPr>
              <w:jc w:val="center"/>
              <w:textAlignment w:val="center"/>
              <w:rPr>
                <w:rFonts w:ascii="Times New Roman" w:hAnsi="Times New Roman" w:cs="Times New Roman"/>
                <w:bCs/>
                <w:sz w:val="21"/>
                <w:szCs w:val="21"/>
                <w:highlight w:val="none"/>
                <w:lang w:bidi="ar"/>
              </w:rPr>
            </w:pPr>
            <w:r>
              <w:rPr>
                <w:rFonts w:ascii="Times New Roman" w:hAnsi="Times New Roman" w:cs="Times New Roman"/>
                <w:bCs/>
                <w:sz w:val="21"/>
                <w:szCs w:val="21"/>
                <w:highlight w:val="none"/>
              </w:rPr>
              <w:t>-</w:t>
            </w:r>
          </w:p>
        </w:tc>
      </w:tr>
      <w:tr w14:paraId="7B10E3D3">
        <w:tblPrEx>
          <w:tblBorders>
            <w:top w:val="thinThickSmallGap" w:color="auto" w:sz="12" w:space="0"/>
            <w:left w:val="none" w:color="auto" w:sz="0" w:space="0"/>
            <w:bottom w:val="thickThinSmallGap" w:color="auto" w:sz="12" w:space="0"/>
            <w:right w:val="none" w:color="auto" w:sz="0" w:space="0"/>
            <w:insideH w:val="single" w:color="auto" w:sz="4" w:space="0"/>
            <w:insideV w:val="single" w:color="000000" w:sz="4" w:space="0"/>
          </w:tblBorders>
          <w:tblCellMar>
            <w:top w:w="0" w:type="dxa"/>
            <w:left w:w="108" w:type="dxa"/>
            <w:bottom w:w="0" w:type="dxa"/>
            <w:right w:w="108" w:type="dxa"/>
          </w:tblCellMar>
        </w:tblPrEx>
        <w:trPr>
          <w:trHeight w:val="340" w:hRule="atLeast"/>
          <w:jc w:val="center"/>
        </w:trPr>
        <w:tc>
          <w:tcPr>
            <w:tcW w:w="665" w:type="pct"/>
            <w:vMerge w:val="continue"/>
            <w:noWrap w:val="0"/>
            <w:vAlign w:val="center"/>
          </w:tcPr>
          <w:p w14:paraId="71FD3BB9">
            <w:pPr>
              <w:jc w:val="center"/>
              <w:rPr>
                <w:rFonts w:ascii="Times New Roman" w:hAnsi="Times New Roman" w:cs="Times New Roman"/>
                <w:bCs/>
                <w:sz w:val="21"/>
                <w:szCs w:val="21"/>
              </w:rPr>
            </w:pPr>
          </w:p>
        </w:tc>
        <w:tc>
          <w:tcPr>
            <w:tcW w:w="821" w:type="pct"/>
            <w:noWrap w:val="0"/>
            <w:vAlign w:val="center"/>
          </w:tcPr>
          <w:p w14:paraId="5928633F">
            <w:pPr>
              <w:jc w:val="center"/>
              <w:textAlignment w:val="center"/>
              <w:rPr>
                <w:rFonts w:hint="eastAsia" w:ascii="Times New Roman" w:hAnsi="Times New Roman" w:eastAsia="宋体" w:cs="Times New Roman"/>
                <w:bCs/>
                <w:sz w:val="21"/>
                <w:szCs w:val="21"/>
                <w:highlight w:val="none"/>
                <w:lang w:val="en-US" w:eastAsia="zh-CN"/>
              </w:rPr>
            </w:pPr>
            <w:r>
              <w:rPr>
                <w:rFonts w:ascii="Times New Roman" w:hAnsi="Times New Roman" w:cs="Times New Roman"/>
                <w:bCs/>
                <w:sz w:val="21"/>
                <w:szCs w:val="21"/>
                <w:highlight w:val="none"/>
              </w:rPr>
              <w:t>三氯甲烷</w:t>
            </w:r>
            <w:r>
              <w:rPr>
                <w:rFonts w:hint="eastAsia" w:ascii="Times New Roman" w:hAnsi="Times New Roman" w:cs="Times New Roman"/>
                <w:bCs/>
                <w:sz w:val="21"/>
                <w:szCs w:val="21"/>
                <w:highlight w:val="none"/>
                <w:lang w:eastAsia="zh-CN"/>
              </w:rPr>
              <w:t>（氯仿）</w:t>
            </w:r>
          </w:p>
        </w:tc>
        <w:tc>
          <w:tcPr>
            <w:tcW w:w="943" w:type="pct"/>
            <w:noWrap w:val="0"/>
            <w:vAlign w:val="center"/>
          </w:tcPr>
          <w:p w14:paraId="5C6DB744">
            <w:pPr>
              <w:jc w:val="center"/>
              <w:rPr>
                <w:rFonts w:ascii="Times New Roman" w:hAnsi="Times New Roman" w:cs="Times New Roman"/>
                <w:bCs/>
                <w:sz w:val="21"/>
                <w:szCs w:val="21"/>
                <w:highlight w:val="none"/>
              </w:rPr>
            </w:pPr>
            <w:r>
              <w:rPr>
                <w:rFonts w:ascii="Times New Roman" w:hAnsi="Times New Roman" w:cs="Times New Roman"/>
                <w:bCs/>
                <w:sz w:val="21"/>
                <w:szCs w:val="21"/>
                <w:highlight w:val="none"/>
              </w:rPr>
              <w:t>μg/kg</w:t>
            </w:r>
          </w:p>
        </w:tc>
        <w:tc>
          <w:tcPr>
            <w:tcW w:w="856" w:type="pct"/>
            <w:noWrap w:val="0"/>
            <w:vAlign w:val="center"/>
          </w:tcPr>
          <w:p w14:paraId="37399408">
            <w:pPr>
              <w:keepNext w:val="0"/>
              <w:keepLines w:val="0"/>
              <w:widowControl/>
              <w:suppressLineNumbers w:val="0"/>
              <w:jc w:val="center"/>
              <w:textAlignment w:val="center"/>
              <w:rPr>
                <w:rFonts w:ascii="Times New Roman" w:hAnsi="Times New Roman" w:cs="Times New Roman"/>
                <w:bCs/>
                <w:sz w:val="21"/>
                <w:szCs w:val="21"/>
                <w:highlight w:val="yellow"/>
                <w:lang w:bidi="ar"/>
              </w:rPr>
            </w:pPr>
            <w:r>
              <w:rPr>
                <w:rFonts w:hint="default" w:ascii="Times New Roman" w:hAnsi="Times New Roman" w:eastAsia="宋体" w:cs="Times New Roman"/>
                <w:i w:val="0"/>
                <w:iCs w:val="0"/>
                <w:color w:val="000000"/>
                <w:kern w:val="0"/>
                <w:sz w:val="21"/>
                <w:szCs w:val="21"/>
                <w:u w:val="none"/>
                <w:lang w:val="en-US" w:eastAsia="zh-CN" w:bidi="ar"/>
              </w:rPr>
              <w:t>ND</w:t>
            </w:r>
          </w:p>
        </w:tc>
        <w:tc>
          <w:tcPr>
            <w:tcW w:w="856" w:type="pct"/>
            <w:noWrap w:val="0"/>
            <w:vAlign w:val="center"/>
          </w:tcPr>
          <w:p w14:paraId="7110F498">
            <w:pPr>
              <w:keepNext w:val="0"/>
              <w:keepLines w:val="0"/>
              <w:widowControl/>
              <w:suppressLineNumbers w:val="0"/>
              <w:jc w:val="center"/>
              <w:textAlignment w:val="center"/>
              <w:rPr>
                <w:rFonts w:ascii="Times New Roman" w:hAnsi="Times New Roman" w:cs="Times New Roman"/>
                <w:bCs/>
                <w:sz w:val="21"/>
                <w:szCs w:val="21"/>
                <w:highlight w:val="yellow"/>
                <w:lang w:bidi="ar"/>
              </w:rPr>
            </w:pPr>
            <w:r>
              <w:rPr>
                <w:rFonts w:hint="default" w:ascii="Times New Roman" w:hAnsi="Times New Roman" w:eastAsia="宋体" w:cs="Times New Roman"/>
                <w:i w:val="0"/>
                <w:iCs w:val="0"/>
                <w:color w:val="000000"/>
                <w:kern w:val="0"/>
                <w:sz w:val="21"/>
                <w:szCs w:val="21"/>
                <w:u w:val="none"/>
                <w:lang w:val="en-US" w:eastAsia="zh-CN" w:bidi="ar"/>
              </w:rPr>
              <w:t>ND</w:t>
            </w:r>
          </w:p>
        </w:tc>
        <w:tc>
          <w:tcPr>
            <w:tcW w:w="857" w:type="pct"/>
            <w:noWrap w:val="0"/>
            <w:vAlign w:val="center"/>
          </w:tcPr>
          <w:p w14:paraId="4DE1A9DD">
            <w:pPr>
              <w:jc w:val="center"/>
              <w:textAlignment w:val="center"/>
              <w:rPr>
                <w:rFonts w:ascii="Times New Roman" w:hAnsi="Times New Roman" w:cs="Times New Roman"/>
                <w:bCs/>
                <w:sz w:val="21"/>
                <w:szCs w:val="21"/>
                <w:highlight w:val="none"/>
                <w:lang w:bidi="ar"/>
              </w:rPr>
            </w:pPr>
            <w:r>
              <w:rPr>
                <w:rFonts w:ascii="Times New Roman" w:hAnsi="Times New Roman" w:cs="Times New Roman"/>
                <w:bCs/>
                <w:sz w:val="21"/>
                <w:szCs w:val="21"/>
                <w:highlight w:val="none"/>
              </w:rPr>
              <w:t>-</w:t>
            </w:r>
          </w:p>
        </w:tc>
      </w:tr>
      <w:tr w14:paraId="49B09B52">
        <w:tblPrEx>
          <w:tblBorders>
            <w:top w:val="thinThickSmallGap" w:color="auto" w:sz="12" w:space="0"/>
            <w:left w:val="none" w:color="auto" w:sz="0" w:space="0"/>
            <w:bottom w:val="thickThinSmallGap" w:color="auto" w:sz="12" w:space="0"/>
            <w:right w:val="none" w:color="auto" w:sz="0" w:space="0"/>
            <w:insideH w:val="single" w:color="auto" w:sz="4" w:space="0"/>
            <w:insideV w:val="single" w:color="000000" w:sz="4" w:space="0"/>
          </w:tblBorders>
          <w:tblCellMar>
            <w:top w:w="0" w:type="dxa"/>
            <w:left w:w="108" w:type="dxa"/>
            <w:bottom w:w="0" w:type="dxa"/>
            <w:right w:w="108" w:type="dxa"/>
          </w:tblCellMar>
        </w:tblPrEx>
        <w:trPr>
          <w:trHeight w:val="340" w:hRule="atLeast"/>
          <w:jc w:val="center"/>
        </w:trPr>
        <w:tc>
          <w:tcPr>
            <w:tcW w:w="665" w:type="pct"/>
            <w:vMerge w:val="continue"/>
            <w:noWrap w:val="0"/>
            <w:vAlign w:val="center"/>
          </w:tcPr>
          <w:p w14:paraId="3C9FE1A9">
            <w:pPr>
              <w:jc w:val="center"/>
              <w:rPr>
                <w:rFonts w:ascii="Times New Roman" w:hAnsi="Times New Roman" w:cs="Times New Roman"/>
                <w:bCs/>
                <w:sz w:val="21"/>
                <w:szCs w:val="21"/>
              </w:rPr>
            </w:pPr>
          </w:p>
        </w:tc>
        <w:tc>
          <w:tcPr>
            <w:tcW w:w="821" w:type="pct"/>
            <w:noWrap w:val="0"/>
            <w:vAlign w:val="center"/>
          </w:tcPr>
          <w:p w14:paraId="253D8D99">
            <w:pPr>
              <w:jc w:val="center"/>
              <w:textAlignment w:val="center"/>
              <w:rPr>
                <w:rFonts w:ascii="Times New Roman" w:hAnsi="Times New Roman" w:cs="Times New Roman"/>
                <w:bCs/>
                <w:sz w:val="21"/>
                <w:szCs w:val="21"/>
                <w:highlight w:val="none"/>
              </w:rPr>
            </w:pPr>
            <w:r>
              <w:rPr>
                <w:rFonts w:ascii="Times New Roman" w:hAnsi="Times New Roman" w:cs="Times New Roman"/>
                <w:bCs/>
                <w:spacing w:val="-5"/>
                <w:sz w:val="21"/>
                <w:szCs w:val="21"/>
                <w:highlight w:val="none"/>
                <w:lang w:bidi="ar"/>
              </w:rPr>
              <w:t>氯乙烯</w:t>
            </w:r>
          </w:p>
        </w:tc>
        <w:tc>
          <w:tcPr>
            <w:tcW w:w="943" w:type="pct"/>
            <w:noWrap w:val="0"/>
            <w:vAlign w:val="center"/>
          </w:tcPr>
          <w:p w14:paraId="2D0F746C">
            <w:pPr>
              <w:jc w:val="center"/>
              <w:rPr>
                <w:rFonts w:ascii="Times New Roman" w:hAnsi="Times New Roman" w:cs="Times New Roman"/>
                <w:bCs/>
                <w:sz w:val="21"/>
                <w:szCs w:val="21"/>
                <w:highlight w:val="none"/>
              </w:rPr>
            </w:pPr>
            <w:r>
              <w:rPr>
                <w:rFonts w:ascii="Times New Roman" w:hAnsi="Times New Roman" w:cs="Times New Roman"/>
                <w:bCs/>
                <w:sz w:val="21"/>
                <w:szCs w:val="21"/>
                <w:highlight w:val="none"/>
              </w:rPr>
              <w:t>μg/kg</w:t>
            </w:r>
          </w:p>
        </w:tc>
        <w:tc>
          <w:tcPr>
            <w:tcW w:w="856" w:type="pct"/>
            <w:noWrap w:val="0"/>
            <w:vAlign w:val="center"/>
          </w:tcPr>
          <w:p w14:paraId="320F28FA">
            <w:pPr>
              <w:keepNext w:val="0"/>
              <w:keepLines w:val="0"/>
              <w:widowControl/>
              <w:suppressLineNumbers w:val="0"/>
              <w:jc w:val="center"/>
              <w:textAlignment w:val="center"/>
              <w:rPr>
                <w:rFonts w:ascii="Times New Roman" w:hAnsi="Times New Roman" w:cs="Times New Roman"/>
                <w:bCs/>
                <w:sz w:val="21"/>
                <w:szCs w:val="21"/>
                <w:highlight w:val="yellow"/>
                <w:lang w:bidi="ar"/>
              </w:rPr>
            </w:pPr>
            <w:r>
              <w:rPr>
                <w:rFonts w:hint="default" w:ascii="Times New Roman" w:hAnsi="Times New Roman" w:eastAsia="宋体" w:cs="Times New Roman"/>
                <w:i w:val="0"/>
                <w:iCs w:val="0"/>
                <w:color w:val="000000"/>
                <w:kern w:val="0"/>
                <w:sz w:val="21"/>
                <w:szCs w:val="21"/>
                <w:u w:val="none"/>
                <w:lang w:val="en-US" w:eastAsia="zh-CN" w:bidi="ar"/>
              </w:rPr>
              <w:t>ND</w:t>
            </w:r>
          </w:p>
        </w:tc>
        <w:tc>
          <w:tcPr>
            <w:tcW w:w="856" w:type="pct"/>
            <w:noWrap w:val="0"/>
            <w:vAlign w:val="center"/>
          </w:tcPr>
          <w:p w14:paraId="564D0CED">
            <w:pPr>
              <w:keepNext w:val="0"/>
              <w:keepLines w:val="0"/>
              <w:widowControl/>
              <w:suppressLineNumbers w:val="0"/>
              <w:jc w:val="center"/>
              <w:textAlignment w:val="center"/>
              <w:rPr>
                <w:rFonts w:ascii="Times New Roman" w:hAnsi="Times New Roman" w:cs="Times New Roman"/>
                <w:bCs/>
                <w:sz w:val="21"/>
                <w:szCs w:val="21"/>
                <w:highlight w:val="yellow"/>
                <w:lang w:bidi="ar"/>
              </w:rPr>
            </w:pPr>
            <w:r>
              <w:rPr>
                <w:rFonts w:hint="default" w:ascii="Times New Roman" w:hAnsi="Times New Roman" w:eastAsia="宋体" w:cs="Times New Roman"/>
                <w:i w:val="0"/>
                <w:iCs w:val="0"/>
                <w:color w:val="000000"/>
                <w:kern w:val="0"/>
                <w:sz w:val="21"/>
                <w:szCs w:val="21"/>
                <w:u w:val="none"/>
                <w:lang w:val="en-US" w:eastAsia="zh-CN" w:bidi="ar"/>
              </w:rPr>
              <w:t>ND</w:t>
            </w:r>
          </w:p>
        </w:tc>
        <w:tc>
          <w:tcPr>
            <w:tcW w:w="857" w:type="pct"/>
            <w:noWrap w:val="0"/>
            <w:vAlign w:val="center"/>
          </w:tcPr>
          <w:p w14:paraId="4E183C34">
            <w:pPr>
              <w:jc w:val="center"/>
              <w:textAlignment w:val="center"/>
              <w:rPr>
                <w:rFonts w:ascii="Times New Roman" w:hAnsi="Times New Roman" w:cs="Times New Roman"/>
                <w:bCs/>
                <w:sz w:val="21"/>
                <w:szCs w:val="21"/>
                <w:highlight w:val="none"/>
                <w:lang w:bidi="ar"/>
              </w:rPr>
            </w:pPr>
            <w:r>
              <w:rPr>
                <w:rFonts w:ascii="Times New Roman" w:hAnsi="Times New Roman" w:cs="Times New Roman"/>
                <w:bCs/>
                <w:sz w:val="21"/>
                <w:szCs w:val="21"/>
                <w:highlight w:val="none"/>
              </w:rPr>
              <w:t>-</w:t>
            </w:r>
          </w:p>
        </w:tc>
      </w:tr>
      <w:tr w14:paraId="3DEA8556">
        <w:tblPrEx>
          <w:tblBorders>
            <w:top w:val="thinThickSmallGap" w:color="auto" w:sz="12" w:space="0"/>
            <w:left w:val="none" w:color="auto" w:sz="0" w:space="0"/>
            <w:bottom w:val="thickThinSmallGap" w:color="auto" w:sz="12" w:space="0"/>
            <w:right w:val="none" w:color="auto" w:sz="0" w:space="0"/>
            <w:insideH w:val="single" w:color="auto" w:sz="4" w:space="0"/>
            <w:insideV w:val="single" w:color="000000" w:sz="4" w:space="0"/>
          </w:tblBorders>
          <w:tblCellMar>
            <w:top w:w="0" w:type="dxa"/>
            <w:left w:w="108" w:type="dxa"/>
            <w:bottom w:w="0" w:type="dxa"/>
            <w:right w:w="108" w:type="dxa"/>
          </w:tblCellMar>
        </w:tblPrEx>
        <w:trPr>
          <w:trHeight w:val="340" w:hRule="atLeast"/>
          <w:jc w:val="center"/>
        </w:trPr>
        <w:tc>
          <w:tcPr>
            <w:tcW w:w="665" w:type="pct"/>
            <w:vMerge w:val="continue"/>
            <w:noWrap w:val="0"/>
            <w:vAlign w:val="center"/>
          </w:tcPr>
          <w:p w14:paraId="3DD299EA">
            <w:pPr>
              <w:jc w:val="center"/>
              <w:rPr>
                <w:rFonts w:ascii="Times New Roman" w:hAnsi="Times New Roman" w:cs="Times New Roman"/>
                <w:bCs/>
                <w:sz w:val="21"/>
                <w:szCs w:val="21"/>
              </w:rPr>
            </w:pPr>
          </w:p>
        </w:tc>
        <w:tc>
          <w:tcPr>
            <w:tcW w:w="821" w:type="pct"/>
            <w:noWrap w:val="0"/>
            <w:vAlign w:val="center"/>
          </w:tcPr>
          <w:p w14:paraId="10870835">
            <w:pPr>
              <w:jc w:val="center"/>
              <w:textAlignment w:val="center"/>
              <w:rPr>
                <w:rFonts w:ascii="Times New Roman" w:hAnsi="Times New Roman" w:cs="Times New Roman"/>
                <w:bCs/>
                <w:sz w:val="21"/>
                <w:szCs w:val="21"/>
                <w:highlight w:val="none"/>
              </w:rPr>
            </w:pPr>
            <w:r>
              <w:rPr>
                <w:rFonts w:ascii="Times New Roman" w:hAnsi="Times New Roman" w:cs="Times New Roman"/>
                <w:bCs/>
                <w:spacing w:val="-5"/>
                <w:sz w:val="21"/>
                <w:szCs w:val="21"/>
                <w:highlight w:val="none"/>
                <w:lang w:bidi="ar"/>
              </w:rPr>
              <w:t>1,2-二氯乙烷</w:t>
            </w:r>
          </w:p>
        </w:tc>
        <w:tc>
          <w:tcPr>
            <w:tcW w:w="943" w:type="pct"/>
            <w:noWrap w:val="0"/>
            <w:vAlign w:val="center"/>
          </w:tcPr>
          <w:p w14:paraId="3493D77F">
            <w:pPr>
              <w:jc w:val="center"/>
              <w:rPr>
                <w:rFonts w:ascii="Times New Roman" w:hAnsi="Times New Roman" w:cs="Times New Roman"/>
                <w:bCs/>
                <w:sz w:val="21"/>
                <w:szCs w:val="21"/>
                <w:highlight w:val="none"/>
              </w:rPr>
            </w:pPr>
            <w:r>
              <w:rPr>
                <w:rFonts w:ascii="Times New Roman" w:hAnsi="Times New Roman" w:cs="Times New Roman"/>
                <w:bCs/>
                <w:sz w:val="21"/>
                <w:szCs w:val="21"/>
                <w:highlight w:val="none"/>
              </w:rPr>
              <w:t>μg/kg</w:t>
            </w:r>
          </w:p>
        </w:tc>
        <w:tc>
          <w:tcPr>
            <w:tcW w:w="856" w:type="pct"/>
            <w:noWrap w:val="0"/>
            <w:vAlign w:val="center"/>
          </w:tcPr>
          <w:p w14:paraId="62E91C6B">
            <w:pPr>
              <w:keepNext w:val="0"/>
              <w:keepLines w:val="0"/>
              <w:widowControl/>
              <w:suppressLineNumbers w:val="0"/>
              <w:jc w:val="center"/>
              <w:textAlignment w:val="center"/>
              <w:rPr>
                <w:rFonts w:ascii="Times New Roman" w:hAnsi="Times New Roman" w:cs="Times New Roman"/>
                <w:bCs/>
                <w:sz w:val="21"/>
                <w:szCs w:val="21"/>
                <w:highlight w:val="yellow"/>
                <w:lang w:bidi="ar"/>
              </w:rPr>
            </w:pPr>
            <w:r>
              <w:rPr>
                <w:rFonts w:hint="default" w:ascii="Times New Roman" w:hAnsi="Times New Roman" w:eastAsia="宋体" w:cs="Times New Roman"/>
                <w:i w:val="0"/>
                <w:iCs w:val="0"/>
                <w:color w:val="000000"/>
                <w:kern w:val="0"/>
                <w:sz w:val="21"/>
                <w:szCs w:val="21"/>
                <w:u w:val="none"/>
                <w:lang w:val="en-US" w:eastAsia="zh-CN" w:bidi="ar"/>
              </w:rPr>
              <w:t>ND</w:t>
            </w:r>
          </w:p>
        </w:tc>
        <w:tc>
          <w:tcPr>
            <w:tcW w:w="856" w:type="pct"/>
            <w:noWrap w:val="0"/>
            <w:vAlign w:val="center"/>
          </w:tcPr>
          <w:p w14:paraId="6F5D4C68">
            <w:pPr>
              <w:keepNext w:val="0"/>
              <w:keepLines w:val="0"/>
              <w:widowControl/>
              <w:suppressLineNumbers w:val="0"/>
              <w:jc w:val="center"/>
              <w:textAlignment w:val="center"/>
              <w:rPr>
                <w:rFonts w:ascii="Times New Roman" w:hAnsi="Times New Roman" w:cs="Times New Roman"/>
                <w:bCs/>
                <w:sz w:val="21"/>
                <w:szCs w:val="21"/>
                <w:highlight w:val="yellow"/>
                <w:lang w:bidi="ar"/>
              </w:rPr>
            </w:pPr>
            <w:r>
              <w:rPr>
                <w:rFonts w:hint="default" w:ascii="Times New Roman" w:hAnsi="Times New Roman" w:eastAsia="宋体" w:cs="Times New Roman"/>
                <w:i w:val="0"/>
                <w:iCs w:val="0"/>
                <w:color w:val="000000"/>
                <w:kern w:val="0"/>
                <w:sz w:val="21"/>
                <w:szCs w:val="21"/>
                <w:u w:val="none"/>
                <w:lang w:val="en-US" w:eastAsia="zh-CN" w:bidi="ar"/>
              </w:rPr>
              <w:t>ND</w:t>
            </w:r>
          </w:p>
        </w:tc>
        <w:tc>
          <w:tcPr>
            <w:tcW w:w="857" w:type="pct"/>
            <w:noWrap w:val="0"/>
            <w:vAlign w:val="center"/>
          </w:tcPr>
          <w:p w14:paraId="1D7CF937">
            <w:pPr>
              <w:jc w:val="center"/>
              <w:textAlignment w:val="center"/>
              <w:rPr>
                <w:rFonts w:ascii="Times New Roman" w:hAnsi="Times New Roman" w:cs="Times New Roman"/>
                <w:bCs/>
                <w:sz w:val="21"/>
                <w:szCs w:val="21"/>
                <w:highlight w:val="none"/>
                <w:lang w:bidi="ar"/>
              </w:rPr>
            </w:pPr>
            <w:r>
              <w:rPr>
                <w:rFonts w:ascii="Times New Roman" w:hAnsi="Times New Roman" w:cs="Times New Roman"/>
                <w:bCs/>
                <w:sz w:val="21"/>
                <w:szCs w:val="21"/>
                <w:highlight w:val="none"/>
              </w:rPr>
              <w:t>-</w:t>
            </w:r>
          </w:p>
        </w:tc>
      </w:tr>
      <w:tr w14:paraId="5D69D526">
        <w:tblPrEx>
          <w:tblBorders>
            <w:top w:val="thinThickSmallGap" w:color="auto" w:sz="12" w:space="0"/>
            <w:left w:val="none" w:color="auto" w:sz="0" w:space="0"/>
            <w:bottom w:val="thickThinSmallGap" w:color="auto" w:sz="12" w:space="0"/>
            <w:right w:val="none" w:color="auto" w:sz="0" w:space="0"/>
            <w:insideH w:val="single" w:color="auto" w:sz="4" w:space="0"/>
            <w:insideV w:val="single" w:color="000000" w:sz="4" w:space="0"/>
          </w:tblBorders>
          <w:tblCellMar>
            <w:top w:w="0" w:type="dxa"/>
            <w:left w:w="108" w:type="dxa"/>
            <w:bottom w:w="0" w:type="dxa"/>
            <w:right w:w="108" w:type="dxa"/>
          </w:tblCellMar>
        </w:tblPrEx>
        <w:trPr>
          <w:trHeight w:val="340" w:hRule="atLeast"/>
          <w:jc w:val="center"/>
        </w:trPr>
        <w:tc>
          <w:tcPr>
            <w:tcW w:w="665" w:type="pct"/>
            <w:vMerge w:val="continue"/>
            <w:noWrap w:val="0"/>
            <w:vAlign w:val="center"/>
          </w:tcPr>
          <w:p w14:paraId="77590117">
            <w:pPr>
              <w:jc w:val="center"/>
              <w:rPr>
                <w:rFonts w:ascii="Times New Roman" w:hAnsi="Times New Roman" w:cs="Times New Roman"/>
                <w:bCs/>
                <w:sz w:val="21"/>
                <w:szCs w:val="21"/>
              </w:rPr>
            </w:pPr>
          </w:p>
        </w:tc>
        <w:tc>
          <w:tcPr>
            <w:tcW w:w="821" w:type="pct"/>
            <w:noWrap w:val="0"/>
            <w:vAlign w:val="center"/>
          </w:tcPr>
          <w:p w14:paraId="0C3FCAE1">
            <w:pPr>
              <w:jc w:val="center"/>
              <w:textAlignment w:val="center"/>
              <w:rPr>
                <w:rFonts w:ascii="Times New Roman" w:hAnsi="Times New Roman" w:cs="Times New Roman"/>
                <w:bCs/>
                <w:sz w:val="21"/>
                <w:szCs w:val="21"/>
                <w:highlight w:val="none"/>
              </w:rPr>
            </w:pPr>
            <w:r>
              <w:rPr>
                <w:rFonts w:ascii="Times New Roman" w:hAnsi="Times New Roman" w:cs="Times New Roman"/>
                <w:bCs/>
                <w:spacing w:val="-5"/>
                <w:sz w:val="21"/>
                <w:szCs w:val="21"/>
                <w:highlight w:val="none"/>
                <w:lang w:bidi="ar"/>
              </w:rPr>
              <w:t>1,1,1-三氯乙烷</w:t>
            </w:r>
          </w:p>
        </w:tc>
        <w:tc>
          <w:tcPr>
            <w:tcW w:w="943" w:type="pct"/>
            <w:noWrap w:val="0"/>
            <w:vAlign w:val="center"/>
          </w:tcPr>
          <w:p w14:paraId="14EAF3EF">
            <w:pPr>
              <w:jc w:val="center"/>
              <w:rPr>
                <w:rFonts w:ascii="Times New Roman" w:hAnsi="Times New Roman" w:cs="Times New Roman"/>
                <w:bCs/>
                <w:sz w:val="21"/>
                <w:szCs w:val="21"/>
                <w:highlight w:val="none"/>
              </w:rPr>
            </w:pPr>
            <w:r>
              <w:rPr>
                <w:rFonts w:ascii="Times New Roman" w:hAnsi="Times New Roman" w:cs="Times New Roman"/>
                <w:bCs/>
                <w:sz w:val="21"/>
                <w:szCs w:val="21"/>
                <w:highlight w:val="none"/>
              </w:rPr>
              <w:t>μg/kg</w:t>
            </w:r>
          </w:p>
        </w:tc>
        <w:tc>
          <w:tcPr>
            <w:tcW w:w="856" w:type="pct"/>
            <w:noWrap w:val="0"/>
            <w:vAlign w:val="center"/>
          </w:tcPr>
          <w:p w14:paraId="5147504D">
            <w:pPr>
              <w:keepNext w:val="0"/>
              <w:keepLines w:val="0"/>
              <w:widowControl/>
              <w:suppressLineNumbers w:val="0"/>
              <w:jc w:val="center"/>
              <w:textAlignment w:val="center"/>
              <w:rPr>
                <w:rFonts w:ascii="Times New Roman" w:hAnsi="Times New Roman" w:cs="Times New Roman"/>
                <w:bCs/>
                <w:sz w:val="21"/>
                <w:szCs w:val="21"/>
                <w:highlight w:val="yellow"/>
                <w:lang w:bidi="ar"/>
              </w:rPr>
            </w:pPr>
            <w:r>
              <w:rPr>
                <w:rFonts w:hint="default" w:ascii="Times New Roman" w:hAnsi="Times New Roman" w:eastAsia="宋体" w:cs="Times New Roman"/>
                <w:i w:val="0"/>
                <w:iCs w:val="0"/>
                <w:color w:val="000000"/>
                <w:kern w:val="0"/>
                <w:sz w:val="21"/>
                <w:szCs w:val="21"/>
                <w:u w:val="none"/>
                <w:lang w:val="en-US" w:eastAsia="zh-CN" w:bidi="ar"/>
              </w:rPr>
              <w:t>ND</w:t>
            </w:r>
          </w:p>
        </w:tc>
        <w:tc>
          <w:tcPr>
            <w:tcW w:w="856" w:type="pct"/>
            <w:noWrap w:val="0"/>
            <w:vAlign w:val="center"/>
          </w:tcPr>
          <w:p w14:paraId="46709EDA">
            <w:pPr>
              <w:keepNext w:val="0"/>
              <w:keepLines w:val="0"/>
              <w:widowControl/>
              <w:suppressLineNumbers w:val="0"/>
              <w:jc w:val="center"/>
              <w:textAlignment w:val="center"/>
              <w:rPr>
                <w:rFonts w:ascii="Times New Roman" w:hAnsi="Times New Roman" w:cs="Times New Roman"/>
                <w:bCs/>
                <w:sz w:val="21"/>
                <w:szCs w:val="21"/>
                <w:highlight w:val="yellow"/>
                <w:lang w:bidi="ar"/>
              </w:rPr>
            </w:pPr>
            <w:r>
              <w:rPr>
                <w:rFonts w:hint="default" w:ascii="Times New Roman" w:hAnsi="Times New Roman" w:eastAsia="宋体" w:cs="Times New Roman"/>
                <w:i w:val="0"/>
                <w:iCs w:val="0"/>
                <w:color w:val="000000"/>
                <w:kern w:val="0"/>
                <w:sz w:val="21"/>
                <w:szCs w:val="21"/>
                <w:u w:val="none"/>
                <w:lang w:val="en-US" w:eastAsia="zh-CN" w:bidi="ar"/>
              </w:rPr>
              <w:t>ND</w:t>
            </w:r>
          </w:p>
        </w:tc>
        <w:tc>
          <w:tcPr>
            <w:tcW w:w="857" w:type="pct"/>
            <w:noWrap w:val="0"/>
            <w:vAlign w:val="center"/>
          </w:tcPr>
          <w:p w14:paraId="072685E2">
            <w:pPr>
              <w:jc w:val="center"/>
              <w:textAlignment w:val="center"/>
              <w:rPr>
                <w:rFonts w:ascii="Times New Roman" w:hAnsi="Times New Roman" w:cs="Times New Roman"/>
                <w:bCs/>
                <w:sz w:val="21"/>
                <w:szCs w:val="21"/>
                <w:highlight w:val="none"/>
                <w:lang w:bidi="ar"/>
              </w:rPr>
            </w:pPr>
            <w:r>
              <w:rPr>
                <w:rFonts w:ascii="Times New Roman" w:hAnsi="Times New Roman" w:cs="Times New Roman"/>
                <w:bCs/>
                <w:sz w:val="21"/>
                <w:szCs w:val="21"/>
                <w:highlight w:val="none"/>
              </w:rPr>
              <w:t>-</w:t>
            </w:r>
          </w:p>
        </w:tc>
      </w:tr>
      <w:tr w14:paraId="46EE18CE">
        <w:tblPrEx>
          <w:tblBorders>
            <w:top w:val="thinThickSmallGap" w:color="auto" w:sz="12" w:space="0"/>
            <w:left w:val="none" w:color="auto" w:sz="0" w:space="0"/>
            <w:bottom w:val="thickThinSmallGap" w:color="auto" w:sz="12" w:space="0"/>
            <w:right w:val="none" w:color="auto" w:sz="0" w:space="0"/>
            <w:insideH w:val="single" w:color="auto" w:sz="4" w:space="0"/>
            <w:insideV w:val="single" w:color="000000" w:sz="4" w:space="0"/>
          </w:tblBorders>
          <w:tblCellMar>
            <w:top w:w="0" w:type="dxa"/>
            <w:left w:w="108" w:type="dxa"/>
            <w:bottom w:w="0" w:type="dxa"/>
            <w:right w:w="108" w:type="dxa"/>
          </w:tblCellMar>
        </w:tblPrEx>
        <w:trPr>
          <w:trHeight w:val="340" w:hRule="atLeast"/>
          <w:jc w:val="center"/>
        </w:trPr>
        <w:tc>
          <w:tcPr>
            <w:tcW w:w="665" w:type="pct"/>
            <w:vMerge w:val="continue"/>
            <w:noWrap w:val="0"/>
            <w:vAlign w:val="center"/>
          </w:tcPr>
          <w:p w14:paraId="0417C894">
            <w:pPr>
              <w:jc w:val="center"/>
              <w:rPr>
                <w:rFonts w:ascii="Times New Roman" w:hAnsi="Times New Roman" w:cs="Times New Roman"/>
                <w:bCs/>
                <w:sz w:val="21"/>
                <w:szCs w:val="21"/>
              </w:rPr>
            </w:pPr>
          </w:p>
        </w:tc>
        <w:tc>
          <w:tcPr>
            <w:tcW w:w="821" w:type="pct"/>
            <w:noWrap w:val="0"/>
            <w:vAlign w:val="center"/>
          </w:tcPr>
          <w:p w14:paraId="3EBAD9CE">
            <w:pPr>
              <w:jc w:val="center"/>
              <w:textAlignment w:val="center"/>
              <w:rPr>
                <w:rFonts w:ascii="Times New Roman" w:hAnsi="Times New Roman" w:cs="Times New Roman"/>
                <w:bCs/>
                <w:sz w:val="21"/>
                <w:szCs w:val="21"/>
                <w:highlight w:val="none"/>
              </w:rPr>
            </w:pPr>
            <w:r>
              <w:rPr>
                <w:rFonts w:ascii="Times New Roman" w:hAnsi="Times New Roman" w:cs="Times New Roman"/>
                <w:bCs/>
                <w:spacing w:val="-5"/>
                <w:sz w:val="21"/>
                <w:szCs w:val="21"/>
                <w:highlight w:val="none"/>
                <w:lang w:bidi="ar"/>
              </w:rPr>
              <w:t>四氯化碳</w:t>
            </w:r>
          </w:p>
        </w:tc>
        <w:tc>
          <w:tcPr>
            <w:tcW w:w="943" w:type="pct"/>
            <w:noWrap w:val="0"/>
            <w:vAlign w:val="center"/>
          </w:tcPr>
          <w:p w14:paraId="5D808729">
            <w:pPr>
              <w:jc w:val="center"/>
              <w:rPr>
                <w:rFonts w:ascii="Times New Roman" w:hAnsi="Times New Roman" w:cs="Times New Roman"/>
                <w:bCs/>
                <w:sz w:val="21"/>
                <w:szCs w:val="21"/>
                <w:highlight w:val="none"/>
              </w:rPr>
            </w:pPr>
            <w:r>
              <w:rPr>
                <w:rFonts w:ascii="Times New Roman" w:hAnsi="Times New Roman" w:cs="Times New Roman"/>
                <w:bCs/>
                <w:sz w:val="21"/>
                <w:szCs w:val="21"/>
                <w:highlight w:val="none"/>
              </w:rPr>
              <w:t>μg/kg</w:t>
            </w:r>
          </w:p>
        </w:tc>
        <w:tc>
          <w:tcPr>
            <w:tcW w:w="856" w:type="pct"/>
            <w:noWrap w:val="0"/>
            <w:vAlign w:val="center"/>
          </w:tcPr>
          <w:p w14:paraId="4BBC6572">
            <w:pPr>
              <w:keepNext w:val="0"/>
              <w:keepLines w:val="0"/>
              <w:widowControl/>
              <w:suppressLineNumbers w:val="0"/>
              <w:jc w:val="center"/>
              <w:textAlignment w:val="center"/>
              <w:rPr>
                <w:rFonts w:ascii="Times New Roman" w:hAnsi="Times New Roman" w:cs="Times New Roman"/>
                <w:bCs/>
                <w:sz w:val="21"/>
                <w:szCs w:val="21"/>
                <w:highlight w:val="yellow"/>
                <w:lang w:bidi="ar"/>
              </w:rPr>
            </w:pPr>
            <w:r>
              <w:rPr>
                <w:rFonts w:hint="default" w:ascii="Times New Roman" w:hAnsi="Times New Roman" w:eastAsia="宋体" w:cs="Times New Roman"/>
                <w:i w:val="0"/>
                <w:iCs w:val="0"/>
                <w:color w:val="000000"/>
                <w:kern w:val="0"/>
                <w:sz w:val="21"/>
                <w:szCs w:val="21"/>
                <w:u w:val="none"/>
                <w:lang w:val="en-US" w:eastAsia="zh-CN" w:bidi="ar"/>
              </w:rPr>
              <w:t>ND</w:t>
            </w:r>
          </w:p>
        </w:tc>
        <w:tc>
          <w:tcPr>
            <w:tcW w:w="856" w:type="pct"/>
            <w:noWrap w:val="0"/>
            <w:vAlign w:val="center"/>
          </w:tcPr>
          <w:p w14:paraId="1E82164C">
            <w:pPr>
              <w:keepNext w:val="0"/>
              <w:keepLines w:val="0"/>
              <w:widowControl/>
              <w:suppressLineNumbers w:val="0"/>
              <w:jc w:val="center"/>
              <w:textAlignment w:val="center"/>
              <w:rPr>
                <w:rFonts w:ascii="Times New Roman" w:hAnsi="Times New Roman" w:cs="Times New Roman"/>
                <w:bCs/>
                <w:sz w:val="21"/>
                <w:szCs w:val="21"/>
                <w:highlight w:val="yellow"/>
                <w:lang w:bidi="ar"/>
              </w:rPr>
            </w:pPr>
            <w:r>
              <w:rPr>
                <w:rFonts w:hint="default" w:ascii="Times New Roman" w:hAnsi="Times New Roman" w:eastAsia="宋体" w:cs="Times New Roman"/>
                <w:i w:val="0"/>
                <w:iCs w:val="0"/>
                <w:color w:val="000000"/>
                <w:kern w:val="0"/>
                <w:sz w:val="21"/>
                <w:szCs w:val="21"/>
                <w:u w:val="none"/>
                <w:lang w:val="en-US" w:eastAsia="zh-CN" w:bidi="ar"/>
              </w:rPr>
              <w:t>ND</w:t>
            </w:r>
          </w:p>
        </w:tc>
        <w:tc>
          <w:tcPr>
            <w:tcW w:w="857" w:type="pct"/>
            <w:noWrap w:val="0"/>
            <w:vAlign w:val="center"/>
          </w:tcPr>
          <w:p w14:paraId="61962882">
            <w:pPr>
              <w:jc w:val="center"/>
              <w:textAlignment w:val="center"/>
              <w:rPr>
                <w:rFonts w:ascii="Times New Roman" w:hAnsi="Times New Roman" w:cs="Times New Roman"/>
                <w:bCs/>
                <w:sz w:val="21"/>
                <w:szCs w:val="21"/>
                <w:highlight w:val="none"/>
                <w:lang w:bidi="ar"/>
              </w:rPr>
            </w:pPr>
            <w:r>
              <w:rPr>
                <w:rFonts w:ascii="Times New Roman" w:hAnsi="Times New Roman" w:cs="Times New Roman"/>
                <w:bCs/>
                <w:sz w:val="21"/>
                <w:szCs w:val="21"/>
                <w:highlight w:val="none"/>
              </w:rPr>
              <w:t>-</w:t>
            </w:r>
          </w:p>
        </w:tc>
      </w:tr>
      <w:tr w14:paraId="1B782463">
        <w:tblPrEx>
          <w:tblBorders>
            <w:top w:val="thinThickSmallGap" w:color="auto" w:sz="12" w:space="0"/>
            <w:left w:val="none" w:color="auto" w:sz="0" w:space="0"/>
            <w:bottom w:val="thickThinSmallGap" w:color="auto" w:sz="12" w:space="0"/>
            <w:right w:val="none" w:color="auto" w:sz="0" w:space="0"/>
            <w:insideH w:val="single" w:color="auto" w:sz="4" w:space="0"/>
            <w:insideV w:val="single" w:color="000000" w:sz="4" w:space="0"/>
          </w:tblBorders>
          <w:tblCellMar>
            <w:top w:w="0" w:type="dxa"/>
            <w:left w:w="108" w:type="dxa"/>
            <w:bottom w:w="0" w:type="dxa"/>
            <w:right w:w="108" w:type="dxa"/>
          </w:tblCellMar>
        </w:tblPrEx>
        <w:trPr>
          <w:trHeight w:val="340" w:hRule="atLeast"/>
          <w:jc w:val="center"/>
        </w:trPr>
        <w:tc>
          <w:tcPr>
            <w:tcW w:w="665" w:type="pct"/>
            <w:vMerge w:val="continue"/>
            <w:noWrap w:val="0"/>
            <w:vAlign w:val="center"/>
          </w:tcPr>
          <w:p w14:paraId="25B33957">
            <w:pPr>
              <w:jc w:val="center"/>
              <w:rPr>
                <w:rFonts w:ascii="Times New Roman" w:hAnsi="Times New Roman" w:cs="Times New Roman"/>
                <w:bCs/>
                <w:sz w:val="21"/>
                <w:szCs w:val="21"/>
              </w:rPr>
            </w:pPr>
          </w:p>
        </w:tc>
        <w:tc>
          <w:tcPr>
            <w:tcW w:w="821" w:type="pct"/>
            <w:noWrap w:val="0"/>
            <w:vAlign w:val="center"/>
          </w:tcPr>
          <w:p w14:paraId="2824AA5B">
            <w:pPr>
              <w:jc w:val="center"/>
              <w:textAlignment w:val="center"/>
              <w:rPr>
                <w:rFonts w:ascii="Times New Roman" w:hAnsi="Times New Roman" w:cs="Times New Roman"/>
                <w:bCs/>
                <w:sz w:val="21"/>
                <w:szCs w:val="21"/>
                <w:highlight w:val="none"/>
              </w:rPr>
            </w:pPr>
            <w:r>
              <w:rPr>
                <w:rFonts w:ascii="Times New Roman" w:hAnsi="Times New Roman" w:cs="Times New Roman"/>
                <w:bCs/>
                <w:spacing w:val="-5"/>
                <w:sz w:val="21"/>
                <w:szCs w:val="21"/>
                <w:highlight w:val="none"/>
                <w:lang w:bidi="ar"/>
              </w:rPr>
              <w:t>苯</w:t>
            </w:r>
          </w:p>
        </w:tc>
        <w:tc>
          <w:tcPr>
            <w:tcW w:w="943" w:type="pct"/>
            <w:noWrap w:val="0"/>
            <w:vAlign w:val="center"/>
          </w:tcPr>
          <w:p w14:paraId="7E3A40C3">
            <w:pPr>
              <w:jc w:val="center"/>
              <w:rPr>
                <w:rFonts w:ascii="Times New Roman" w:hAnsi="Times New Roman" w:cs="Times New Roman"/>
                <w:bCs/>
                <w:sz w:val="21"/>
                <w:szCs w:val="21"/>
                <w:highlight w:val="none"/>
              </w:rPr>
            </w:pPr>
            <w:r>
              <w:rPr>
                <w:rFonts w:ascii="Times New Roman" w:hAnsi="Times New Roman" w:cs="Times New Roman"/>
                <w:bCs/>
                <w:sz w:val="21"/>
                <w:szCs w:val="21"/>
                <w:highlight w:val="none"/>
              </w:rPr>
              <w:t>μg/kg</w:t>
            </w:r>
          </w:p>
        </w:tc>
        <w:tc>
          <w:tcPr>
            <w:tcW w:w="856" w:type="pct"/>
            <w:noWrap w:val="0"/>
            <w:vAlign w:val="center"/>
          </w:tcPr>
          <w:p w14:paraId="76ACAC03">
            <w:pPr>
              <w:keepNext w:val="0"/>
              <w:keepLines w:val="0"/>
              <w:widowControl/>
              <w:suppressLineNumbers w:val="0"/>
              <w:jc w:val="center"/>
              <w:textAlignment w:val="center"/>
              <w:rPr>
                <w:rFonts w:ascii="Times New Roman" w:hAnsi="Times New Roman" w:cs="Times New Roman"/>
                <w:bCs/>
                <w:sz w:val="21"/>
                <w:szCs w:val="21"/>
                <w:highlight w:val="yellow"/>
                <w:lang w:bidi="ar"/>
              </w:rPr>
            </w:pPr>
            <w:r>
              <w:rPr>
                <w:rFonts w:hint="default" w:ascii="Times New Roman" w:hAnsi="Times New Roman" w:eastAsia="宋体" w:cs="Times New Roman"/>
                <w:i w:val="0"/>
                <w:iCs w:val="0"/>
                <w:color w:val="000000"/>
                <w:kern w:val="0"/>
                <w:sz w:val="21"/>
                <w:szCs w:val="21"/>
                <w:u w:val="none"/>
                <w:lang w:val="en-US" w:eastAsia="zh-CN" w:bidi="ar"/>
              </w:rPr>
              <w:t>ND</w:t>
            </w:r>
          </w:p>
        </w:tc>
        <w:tc>
          <w:tcPr>
            <w:tcW w:w="856" w:type="pct"/>
            <w:noWrap w:val="0"/>
            <w:vAlign w:val="center"/>
          </w:tcPr>
          <w:p w14:paraId="58392C82">
            <w:pPr>
              <w:keepNext w:val="0"/>
              <w:keepLines w:val="0"/>
              <w:widowControl/>
              <w:suppressLineNumbers w:val="0"/>
              <w:jc w:val="center"/>
              <w:textAlignment w:val="center"/>
              <w:rPr>
                <w:rFonts w:ascii="Times New Roman" w:hAnsi="Times New Roman" w:cs="Times New Roman"/>
                <w:bCs/>
                <w:sz w:val="21"/>
                <w:szCs w:val="21"/>
                <w:highlight w:val="yellow"/>
                <w:lang w:bidi="ar"/>
              </w:rPr>
            </w:pPr>
            <w:r>
              <w:rPr>
                <w:rFonts w:hint="default" w:ascii="Times New Roman" w:hAnsi="Times New Roman" w:eastAsia="宋体" w:cs="Times New Roman"/>
                <w:i w:val="0"/>
                <w:iCs w:val="0"/>
                <w:color w:val="000000"/>
                <w:kern w:val="0"/>
                <w:sz w:val="21"/>
                <w:szCs w:val="21"/>
                <w:u w:val="none"/>
                <w:lang w:val="en-US" w:eastAsia="zh-CN" w:bidi="ar"/>
              </w:rPr>
              <w:t>ND</w:t>
            </w:r>
          </w:p>
        </w:tc>
        <w:tc>
          <w:tcPr>
            <w:tcW w:w="857" w:type="pct"/>
            <w:noWrap w:val="0"/>
            <w:vAlign w:val="center"/>
          </w:tcPr>
          <w:p w14:paraId="42B89557">
            <w:pPr>
              <w:jc w:val="center"/>
              <w:textAlignment w:val="center"/>
              <w:rPr>
                <w:rFonts w:ascii="Times New Roman" w:hAnsi="Times New Roman" w:cs="Times New Roman"/>
                <w:bCs/>
                <w:sz w:val="21"/>
                <w:szCs w:val="21"/>
                <w:highlight w:val="none"/>
                <w:lang w:bidi="ar"/>
              </w:rPr>
            </w:pPr>
            <w:r>
              <w:rPr>
                <w:rFonts w:ascii="Times New Roman" w:hAnsi="Times New Roman" w:cs="Times New Roman"/>
                <w:bCs/>
                <w:sz w:val="21"/>
                <w:szCs w:val="21"/>
                <w:highlight w:val="none"/>
              </w:rPr>
              <w:t>-</w:t>
            </w:r>
          </w:p>
        </w:tc>
      </w:tr>
      <w:tr w14:paraId="6DE85681">
        <w:tblPrEx>
          <w:tblBorders>
            <w:top w:val="thinThickSmallGap" w:color="auto" w:sz="12" w:space="0"/>
            <w:left w:val="none" w:color="auto" w:sz="0" w:space="0"/>
            <w:bottom w:val="thickThinSmallGap" w:color="auto" w:sz="12" w:space="0"/>
            <w:right w:val="none" w:color="auto" w:sz="0" w:space="0"/>
            <w:insideH w:val="single" w:color="auto" w:sz="4" w:space="0"/>
            <w:insideV w:val="single" w:color="000000" w:sz="4" w:space="0"/>
          </w:tblBorders>
          <w:tblCellMar>
            <w:top w:w="0" w:type="dxa"/>
            <w:left w:w="108" w:type="dxa"/>
            <w:bottom w:w="0" w:type="dxa"/>
            <w:right w:w="108" w:type="dxa"/>
          </w:tblCellMar>
        </w:tblPrEx>
        <w:trPr>
          <w:trHeight w:val="340" w:hRule="atLeast"/>
          <w:jc w:val="center"/>
        </w:trPr>
        <w:tc>
          <w:tcPr>
            <w:tcW w:w="665" w:type="pct"/>
            <w:vMerge w:val="continue"/>
            <w:noWrap w:val="0"/>
            <w:vAlign w:val="center"/>
          </w:tcPr>
          <w:p w14:paraId="39868972">
            <w:pPr>
              <w:jc w:val="center"/>
              <w:rPr>
                <w:rFonts w:ascii="Times New Roman" w:hAnsi="Times New Roman" w:cs="Times New Roman"/>
                <w:bCs/>
                <w:sz w:val="21"/>
                <w:szCs w:val="21"/>
              </w:rPr>
            </w:pPr>
          </w:p>
        </w:tc>
        <w:tc>
          <w:tcPr>
            <w:tcW w:w="821" w:type="pct"/>
            <w:noWrap w:val="0"/>
            <w:vAlign w:val="center"/>
          </w:tcPr>
          <w:p w14:paraId="1F15B45B">
            <w:pPr>
              <w:jc w:val="center"/>
              <w:textAlignment w:val="center"/>
              <w:rPr>
                <w:rFonts w:ascii="Times New Roman" w:hAnsi="Times New Roman" w:cs="Times New Roman"/>
                <w:bCs/>
                <w:sz w:val="21"/>
                <w:szCs w:val="21"/>
                <w:highlight w:val="none"/>
              </w:rPr>
            </w:pPr>
            <w:r>
              <w:rPr>
                <w:rFonts w:ascii="Times New Roman" w:hAnsi="Times New Roman" w:cs="Times New Roman"/>
                <w:bCs/>
                <w:spacing w:val="-5"/>
                <w:sz w:val="21"/>
                <w:szCs w:val="21"/>
                <w:highlight w:val="none"/>
                <w:lang w:bidi="ar"/>
              </w:rPr>
              <w:t>1,2-二氯丙烷</w:t>
            </w:r>
          </w:p>
        </w:tc>
        <w:tc>
          <w:tcPr>
            <w:tcW w:w="943" w:type="pct"/>
            <w:noWrap w:val="0"/>
            <w:vAlign w:val="center"/>
          </w:tcPr>
          <w:p w14:paraId="3012C234">
            <w:pPr>
              <w:jc w:val="center"/>
              <w:rPr>
                <w:rFonts w:ascii="Times New Roman" w:hAnsi="Times New Roman" w:cs="Times New Roman"/>
                <w:bCs/>
                <w:sz w:val="21"/>
                <w:szCs w:val="21"/>
                <w:highlight w:val="none"/>
              </w:rPr>
            </w:pPr>
            <w:r>
              <w:rPr>
                <w:rFonts w:ascii="Times New Roman" w:hAnsi="Times New Roman" w:cs="Times New Roman"/>
                <w:bCs/>
                <w:sz w:val="21"/>
                <w:szCs w:val="21"/>
                <w:highlight w:val="none"/>
              </w:rPr>
              <w:t>μg/kg</w:t>
            </w:r>
          </w:p>
        </w:tc>
        <w:tc>
          <w:tcPr>
            <w:tcW w:w="856" w:type="pct"/>
            <w:noWrap w:val="0"/>
            <w:vAlign w:val="center"/>
          </w:tcPr>
          <w:p w14:paraId="67BA852E">
            <w:pPr>
              <w:keepNext w:val="0"/>
              <w:keepLines w:val="0"/>
              <w:widowControl/>
              <w:suppressLineNumbers w:val="0"/>
              <w:jc w:val="center"/>
              <w:textAlignment w:val="center"/>
              <w:rPr>
                <w:rFonts w:ascii="Times New Roman" w:hAnsi="Times New Roman" w:cs="Times New Roman"/>
                <w:bCs/>
                <w:sz w:val="21"/>
                <w:szCs w:val="21"/>
                <w:highlight w:val="yellow"/>
                <w:lang w:bidi="ar"/>
              </w:rPr>
            </w:pPr>
            <w:r>
              <w:rPr>
                <w:rFonts w:hint="default" w:ascii="Times New Roman" w:hAnsi="Times New Roman" w:eastAsia="宋体" w:cs="Times New Roman"/>
                <w:i w:val="0"/>
                <w:iCs w:val="0"/>
                <w:color w:val="000000"/>
                <w:kern w:val="0"/>
                <w:sz w:val="21"/>
                <w:szCs w:val="21"/>
                <w:u w:val="none"/>
                <w:lang w:val="en-US" w:eastAsia="zh-CN" w:bidi="ar"/>
              </w:rPr>
              <w:t>ND</w:t>
            </w:r>
          </w:p>
        </w:tc>
        <w:tc>
          <w:tcPr>
            <w:tcW w:w="856" w:type="pct"/>
            <w:noWrap w:val="0"/>
            <w:vAlign w:val="center"/>
          </w:tcPr>
          <w:p w14:paraId="1FC59BE2">
            <w:pPr>
              <w:keepNext w:val="0"/>
              <w:keepLines w:val="0"/>
              <w:widowControl/>
              <w:suppressLineNumbers w:val="0"/>
              <w:jc w:val="center"/>
              <w:textAlignment w:val="center"/>
              <w:rPr>
                <w:rFonts w:ascii="Times New Roman" w:hAnsi="Times New Roman" w:cs="Times New Roman"/>
                <w:bCs/>
                <w:sz w:val="21"/>
                <w:szCs w:val="21"/>
                <w:highlight w:val="yellow"/>
                <w:lang w:bidi="ar"/>
              </w:rPr>
            </w:pPr>
            <w:r>
              <w:rPr>
                <w:rFonts w:hint="default" w:ascii="Times New Roman" w:hAnsi="Times New Roman" w:eastAsia="宋体" w:cs="Times New Roman"/>
                <w:i w:val="0"/>
                <w:iCs w:val="0"/>
                <w:color w:val="000000"/>
                <w:kern w:val="0"/>
                <w:sz w:val="21"/>
                <w:szCs w:val="21"/>
                <w:u w:val="none"/>
                <w:lang w:val="en-US" w:eastAsia="zh-CN" w:bidi="ar"/>
              </w:rPr>
              <w:t>ND</w:t>
            </w:r>
          </w:p>
        </w:tc>
        <w:tc>
          <w:tcPr>
            <w:tcW w:w="857" w:type="pct"/>
            <w:noWrap w:val="0"/>
            <w:vAlign w:val="center"/>
          </w:tcPr>
          <w:p w14:paraId="2BF6CD8B">
            <w:pPr>
              <w:jc w:val="center"/>
              <w:textAlignment w:val="center"/>
              <w:rPr>
                <w:rFonts w:ascii="Times New Roman" w:hAnsi="Times New Roman" w:cs="Times New Roman"/>
                <w:bCs/>
                <w:sz w:val="21"/>
                <w:szCs w:val="21"/>
                <w:highlight w:val="none"/>
                <w:lang w:bidi="ar"/>
              </w:rPr>
            </w:pPr>
            <w:r>
              <w:rPr>
                <w:rFonts w:ascii="Times New Roman" w:hAnsi="Times New Roman" w:cs="Times New Roman"/>
                <w:bCs/>
                <w:sz w:val="21"/>
                <w:szCs w:val="21"/>
                <w:highlight w:val="none"/>
              </w:rPr>
              <w:t>-</w:t>
            </w:r>
          </w:p>
        </w:tc>
      </w:tr>
      <w:tr w14:paraId="4CB20D3C">
        <w:tblPrEx>
          <w:tblBorders>
            <w:top w:val="thinThickSmallGap" w:color="auto" w:sz="12" w:space="0"/>
            <w:left w:val="none" w:color="auto" w:sz="0" w:space="0"/>
            <w:bottom w:val="thickThinSmallGap" w:color="auto" w:sz="12" w:space="0"/>
            <w:right w:val="none" w:color="auto" w:sz="0" w:space="0"/>
            <w:insideH w:val="single" w:color="auto" w:sz="4" w:space="0"/>
            <w:insideV w:val="single" w:color="000000" w:sz="4" w:space="0"/>
          </w:tblBorders>
          <w:tblCellMar>
            <w:top w:w="0" w:type="dxa"/>
            <w:left w:w="108" w:type="dxa"/>
            <w:bottom w:w="0" w:type="dxa"/>
            <w:right w:w="108" w:type="dxa"/>
          </w:tblCellMar>
        </w:tblPrEx>
        <w:trPr>
          <w:trHeight w:val="340" w:hRule="atLeast"/>
          <w:jc w:val="center"/>
        </w:trPr>
        <w:tc>
          <w:tcPr>
            <w:tcW w:w="665" w:type="pct"/>
            <w:vMerge w:val="continue"/>
            <w:noWrap w:val="0"/>
            <w:vAlign w:val="center"/>
          </w:tcPr>
          <w:p w14:paraId="1C76E5CC">
            <w:pPr>
              <w:jc w:val="center"/>
              <w:rPr>
                <w:rFonts w:ascii="Times New Roman" w:hAnsi="Times New Roman" w:cs="Times New Roman"/>
                <w:bCs/>
                <w:sz w:val="21"/>
                <w:szCs w:val="21"/>
              </w:rPr>
            </w:pPr>
          </w:p>
        </w:tc>
        <w:tc>
          <w:tcPr>
            <w:tcW w:w="821" w:type="pct"/>
            <w:noWrap w:val="0"/>
            <w:vAlign w:val="center"/>
          </w:tcPr>
          <w:p w14:paraId="152562FF">
            <w:pPr>
              <w:jc w:val="center"/>
              <w:textAlignment w:val="center"/>
              <w:rPr>
                <w:rFonts w:ascii="Times New Roman" w:hAnsi="Times New Roman" w:cs="Times New Roman"/>
                <w:bCs/>
                <w:sz w:val="21"/>
                <w:szCs w:val="21"/>
                <w:highlight w:val="none"/>
              </w:rPr>
            </w:pPr>
            <w:r>
              <w:rPr>
                <w:rFonts w:ascii="Times New Roman" w:hAnsi="Times New Roman" w:cs="Times New Roman"/>
                <w:bCs/>
                <w:spacing w:val="-5"/>
                <w:sz w:val="21"/>
                <w:szCs w:val="21"/>
                <w:highlight w:val="none"/>
                <w:lang w:bidi="ar"/>
              </w:rPr>
              <w:t>三氯乙烯</w:t>
            </w:r>
          </w:p>
        </w:tc>
        <w:tc>
          <w:tcPr>
            <w:tcW w:w="943" w:type="pct"/>
            <w:noWrap w:val="0"/>
            <w:vAlign w:val="center"/>
          </w:tcPr>
          <w:p w14:paraId="131AB6B3">
            <w:pPr>
              <w:jc w:val="center"/>
              <w:rPr>
                <w:rFonts w:ascii="Times New Roman" w:hAnsi="Times New Roman" w:cs="Times New Roman"/>
                <w:bCs/>
                <w:sz w:val="21"/>
                <w:szCs w:val="21"/>
                <w:highlight w:val="none"/>
              </w:rPr>
            </w:pPr>
            <w:r>
              <w:rPr>
                <w:rFonts w:ascii="Times New Roman" w:hAnsi="Times New Roman" w:cs="Times New Roman"/>
                <w:bCs/>
                <w:sz w:val="21"/>
                <w:szCs w:val="21"/>
                <w:highlight w:val="none"/>
              </w:rPr>
              <w:t>μg/kg</w:t>
            </w:r>
          </w:p>
        </w:tc>
        <w:tc>
          <w:tcPr>
            <w:tcW w:w="856" w:type="pct"/>
            <w:noWrap w:val="0"/>
            <w:vAlign w:val="center"/>
          </w:tcPr>
          <w:p w14:paraId="752C0F45">
            <w:pPr>
              <w:keepNext w:val="0"/>
              <w:keepLines w:val="0"/>
              <w:widowControl/>
              <w:suppressLineNumbers w:val="0"/>
              <w:jc w:val="center"/>
              <w:textAlignment w:val="center"/>
              <w:rPr>
                <w:rFonts w:ascii="Times New Roman" w:hAnsi="Times New Roman" w:cs="Times New Roman"/>
                <w:bCs/>
                <w:sz w:val="21"/>
                <w:szCs w:val="21"/>
                <w:highlight w:val="yellow"/>
                <w:lang w:bidi="ar"/>
              </w:rPr>
            </w:pPr>
            <w:r>
              <w:rPr>
                <w:rFonts w:hint="default" w:ascii="Times New Roman" w:hAnsi="Times New Roman" w:eastAsia="宋体" w:cs="Times New Roman"/>
                <w:i w:val="0"/>
                <w:iCs w:val="0"/>
                <w:color w:val="000000"/>
                <w:kern w:val="0"/>
                <w:sz w:val="21"/>
                <w:szCs w:val="21"/>
                <w:u w:val="none"/>
                <w:lang w:val="en-US" w:eastAsia="zh-CN" w:bidi="ar"/>
              </w:rPr>
              <w:t>ND</w:t>
            </w:r>
          </w:p>
        </w:tc>
        <w:tc>
          <w:tcPr>
            <w:tcW w:w="856" w:type="pct"/>
            <w:noWrap w:val="0"/>
            <w:vAlign w:val="center"/>
          </w:tcPr>
          <w:p w14:paraId="627A6BD5">
            <w:pPr>
              <w:keepNext w:val="0"/>
              <w:keepLines w:val="0"/>
              <w:widowControl/>
              <w:suppressLineNumbers w:val="0"/>
              <w:jc w:val="center"/>
              <w:textAlignment w:val="center"/>
              <w:rPr>
                <w:rFonts w:ascii="Times New Roman" w:hAnsi="Times New Roman" w:cs="Times New Roman"/>
                <w:bCs/>
                <w:sz w:val="21"/>
                <w:szCs w:val="21"/>
                <w:highlight w:val="yellow"/>
                <w:lang w:bidi="ar"/>
              </w:rPr>
            </w:pPr>
            <w:r>
              <w:rPr>
                <w:rFonts w:hint="default" w:ascii="Times New Roman" w:hAnsi="Times New Roman" w:eastAsia="宋体" w:cs="Times New Roman"/>
                <w:i w:val="0"/>
                <w:iCs w:val="0"/>
                <w:color w:val="000000"/>
                <w:kern w:val="0"/>
                <w:sz w:val="21"/>
                <w:szCs w:val="21"/>
                <w:u w:val="none"/>
                <w:lang w:val="en-US" w:eastAsia="zh-CN" w:bidi="ar"/>
              </w:rPr>
              <w:t>ND</w:t>
            </w:r>
          </w:p>
        </w:tc>
        <w:tc>
          <w:tcPr>
            <w:tcW w:w="857" w:type="pct"/>
            <w:noWrap w:val="0"/>
            <w:vAlign w:val="center"/>
          </w:tcPr>
          <w:p w14:paraId="5322771C">
            <w:pPr>
              <w:jc w:val="center"/>
              <w:textAlignment w:val="center"/>
              <w:rPr>
                <w:rFonts w:ascii="Times New Roman" w:hAnsi="Times New Roman" w:cs="Times New Roman"/>
                <w:bCs/>
                <w:sz w:val="21"/>
                <w:szCs w:val="21"/>
                <w:highlight w:val="none"/>
                <w:lang w:bidi="ar"/>
              </w:rPr>
            </w:pPr>
            <w:r>
              <w:rPr>
                <w:rFonts w:ascii="Times New Roman" w:hAnsi="Times New Roman" w:cs="Times New Roman"/>
                <w:bCs/>
                <w:sz w:val="21"/>
                <w:szCs w:val="21"/>
                <w:highlight w:val="none"/>
              </w:rPr>
              <w:t>-</w:t>
            </w:r>
          </w:p>
        </w:tc>
      </w:tr>
      <w:tr w14:paraId="70430139">
        <w:tblPrEx>
          <w:tblBorders>
            <w:top w:val="thinThickSmallGap" w:color="auto" w:sz="12" w:space="0"/>
            <w:left w:val="none" w:color="auto" w:sz="0" w:space="0"/>
            <w:bottom w:val="thickThinSmallGap" w:color="auto" w:sz="12" w:space="0"/>
            <w:right w:val="none" w:color="auto" w:sz="0" w:space="0"/>
            <w:insideH w:val="single" w:color="auto" w:sz="4" w:space="0"/>
            <w:insideV w:val="single" w:color="000000" w:sz="4" w:space="0"/>
          </w:tblBorders>
          <w:tblCellMar>
            <w:top w:w="0" w:type="dxa"/>
            <w:left w:w="108" w:type="dxa"/>
            <w:bottom w:w="0" w:type="dxa"/>
            <w:right w:w="108" w:type="dxa"/>
          </w:tblCellMar>
        </w:tblPrEx>
        <w:trPr>
          <w:trHeight w:val="340" w:hRule="atLeast"/>
          <w:jc w:val="center"/>
        </w:trPr>
        <w:tc>
          <w:tcPr>
            <w:tcW w:w="665" w:type="pct"/>
            <w:vMerge w:val="continue"/>
            <w:noWrap w:val="0"/>
            <w:vAlign w:val="center"/>
          </w:tcPr>
          <w:p w14:paraId="6E16CA77">
            <w:pPr>
              <w:jc w:val="center"/>
              <w:rPr>
                <w:rFonts w:ascii="Times New Roman" w:hAnsi="Times New Roman" w:cs="Times New Roman"/>
                <w:bCs/>
                <w:sz w:val="21"/>
                <w:szCs w:val="21"/>
              </w:rPr>
            </w:pPr>
          </w:p>
        </w:tc>
        <w:tc>
          <w:tcPr>
            <w:tcW w:w="821" w:type="pct"/>
            <w:noWrap w:val="0"/>
            <w:vAlign w:val="center"/>
          </w:tcPr>
          <w:p w14:paraId="5A65434F">
            <w:pPr>
              <w:jc w:val="center"/>
              <w:textAlignment w:val="center"/>
              <w:rPr>
                <w:rFonts w:ascii="Times New Roman" w:hAnsi="Times New Roman" w:cs="Times New Roman"/>
                <w:bCs/>
                <w:sz w:val="21"/>
                <w:szCs w:val="21"/>
                <w:highlight w:val="none"/>
              </w:rPr>
            </w:pPr>
            <w:r>
              <w:rPr>
                <w:rFonts w:ascii="Times New Roman" w:hAnsi="Times New Roman" w:cs="Times New Roman"/>
                <w:bCs/>
                <w:spacing w:val="-5"/>
                <w:sz w:val="21"/>
                <w:szCs w:val="21"/>
                <w:highlight w:val="none"/>
                <w:lang w:bidi="ar"/>
              </w:rPr>
              <w:t>1,1,2-三氯乙烷</w:t>
            </w:r>
          </w:p>
        </w:tc>
        <w:tc>
          <w:tcPr>
            <w:tcW w:w="943" w:type="pct"/>
            <w:noWrap w:val="0"/>
            <w:vAlign w:val="center"/>
          </w:tcPr>
          <w:p w14:paraId="6B066526">
            <w:pPr>
              <w:jc w:val="center"/>
              <w:rPr>
                <w:rFonts w:ascii="Times New Roman" w:hAnsi="Times New Roman" w:cs="Times New Roman"/>
                <w:bCs/>
                <w:sz w:val="21"/>
                <w:szCs w:val="21"/>
                <w:highlight w:val="none"/>
              </w:rPr>
            </w:pPr>
            <w:r>
              <w:rPr>
                <w:rFonts w:ascii="Times New Roman" w:hAnsi="Times New Roman" w:cs="Times New Roman"/>
                <w:bCs/>
                <w:sz w:val="21"/>
                <w:szCs w:val="21"/>
                <w:highlight w:val="none"/>
              </w:rPr>
              <w:t>μg/kg</w:t>
            </w:r>
          </w:p>
        </w:tc>
        <w:tc>
          <w:tcPr>
            <w:tcW w:w="856" w:type="pct"/>
            <w:noWrap w:val="0"/>
            <w:vAlign w:val="center"/>
          </w:tcPr>
          <w:p w14:paraId="29F29C8E">
            <w:pPr>
              <w:keepNext w:val="0"/>
              <w:keepLines w:val="0"/>
              <w:widowControl/>
              <w:suppressLineNumbers w:val="0"/>
              <w:jc w:val="center"/>
              <w:textAlignment w:val="center"/>
              <w:rPr>
                <w:rFonts w:ascii="Times New Roman" w:hAnsi="Times New Roman" w:cs="Times New Roman"/>
                <w:bCs/>
                <w:sz w:val="21"/>
                <w:szCs w:val="21"/>
                <w:highlight w:val="yellow"/>
                <w:lang w:bidi="ar"/>
              </w:rPr>
            </w:pPr>
            <w:r>
              <w:rPr>
                <w:rFonts w:hint="default" w:ascii="Times New Roman" w:hAnsi="Times New Roman" w:eastAsia="宋体" w:cs="Times New Roman"/>
                <w:i w:val="0"/>
                <w:iCs w:val="0"/>
                <w:color w:val="000000"/>
                <w:kern w:val="0"/>
                <w:sz w:val="21"/>
                <w:szCs w:val="21"/>
                <w:u w:val="none"/>
                <w:lang w:val="en-US" w:eastAsia="zh-CN" w:bidi="ar"/>
              </w:rPr>
              <w:t>ND</w:t>
            </w:r>
          </w:p>
        </w:tc>
        <w:tc>
          <w:tcPr>
            <w:tcW w:w="856" w:type="pct"/>
            <w:noWrap w:val="0"/>
            <w:vAlign w:val="center"/>
          </w:tcPr>
          <w:p w14:paraId="46FE1AB2">
            <w:pPr>
              <w:keepNext w:val="0"/>
              <w:keepLines w:val="0"/>
              <w:widowControl/>
              <w:suppressLineNumbers w:val="0"/>
              <w:jc w:val="center"/>
              <w:textAlignment w:val="center"/>
              <w:rPr>
                <w:rFonts w:ascii="Times New Roman" w:hAnsi="Times New Roman" w:cs="Times New Roman"/>
                <w:bCs/>
                <w:sz w:val="21"/>
                <w:szCs w:val="21"/>
                <w:highlight w:val="yellow"/>
                <w:lang w:bidi="ar"/>
              </w:rPr>
            </w:pPr>
            <w:r>
              <w:rPr>
                <w:rFonts w:hint="default" w:ascii="Times New Roman" w:hAnsi="Times New Roman" w:eastAsia="宋体" w:cs="Times New Roman"/>
                <w:i w:val="0"/>
                <w:iCs w:val="0"/>
                <w:color w:val="000000"/>
                <w:kern w:val="0"/>
                <w:sz w:val="21"/>
                <w:szCs w:val="21"/>
                <w:u w:val="none"/>
                <w:lang w:val="en-US" w:eastAsia="zh-CN" w:bidi="ar"/>
              </w:rPr>
              <w:t>ND</w:t>
            </w:r>
          </w:p>
        </w:tc>
        <w:tc>
          <w:tcPr>
            <w:tcW w:w="857" w:type="pct"/>
            <w:noWrap w:val="0"/>
            <w:vAlign w:val="center"/>
          </w:tcPr>
          <w:p w14:paraId="2D124F6F">
            <w:pPr>
              <w:jc w:val="center"/>
              <w:textAlignment w:val="center"/>
              <w:rPr>
                <w:rFonts w:ascii="Times New Roman" w:hAnsi="Times New Roman" w:cs="Times New Roman"/>
                <w:bCs/>
                <w:sz w:val="21"/>
                <w:szCs w:val="21"/>
                <w:highlight w:val="none"/>
                <w:lang w:bidi="ar"/>
              </w:rPr>
            </w:pPr>
            <w:r>
              <w:rPr>
                <w:rFonts w:ascii="Times New Roman" w:hAnsi="Times New Roman" w:cs="Times New Roman"/>
                <w:bCs/>
                <w:sz w:val="21"/>
                <w:szCs w:val="21"/>
                <w:highlight w:val="none"/>
              </w:rPr>
              <w:t>-</w:t>
            </w:r>
          </w:p>
        </w:tc>
      </w:tr>
      <w:tr w14:paraId="790401D2">
        <w:tblPrEx>
          <w:tblBorders>
            <w:top w:val="thinThickSmallGap" w:color="auto" w:sz="12" w:space="0"/>
            <w:left w:val="none" w:color="auto" w:sz="0" w:space="0"/>
            <w:bottom w:val="thickThinSmallGap" w:color="auto" w:sz="12" w:space="0"/>
            <w:right w:val="none" w:color="auto" w:sz="0" w:space="0"/>
            <w:insideH w:val="single" w:color="auto" w:sz="4" w:space="0"/>
            <w:insideV w:val="single" w:color="000000" w:sz="4" w:space="0"/>
          </w:tblBorders>
          <w:tblCellMar>
            <w:top w:w="0" w:type="dxa"/>
            <w:left w:w="108" w:type="dxa"/>
            <w:bottom w:w="0" w:type="dxa"/>
            <w:right w:w="108" w:type="dxa"/>
          </w:tblCellMar>
        </w:tblPrEx>
        <w:trPr>
          <w:trHeight w:val="340" w:hRule="atLeast"/>
          <w:jc w:val="center"/>
        </w:trPr>
        <w:tc>
          <w:tcPr>
            <w:tcW w:w="665" w:type="pct"/>
            <w:vMerge w:val="continue"/>
            <w:noWrap w:val="0"/>
            <w:vAlign w:val="center"/>
          </w:tcPr>
          <w:p w14:paraId="46222CE9">
            <w:pPr>
              <w:jc w:val="center"/>
              <w:rPr>
                <w:rFonts w:ascii="Times New Roman" w:hAnsi="Times New Roman" w:cs="Times New Roman"/>
                <w:bCs/>
                <w:sz w:val="21"/>
                <w:szCs w:val="21"/>
              </w:rPr>
            </w:pPr>
          </w:p>
        </w:tc>
        <w:tc>
          <w:tcPr>
            <w:tcW w:w="821" w:type="pct"/>
            <w:noWrap w:val="0"/>
            <w:vAlign w:val="center"/>
          </w:tcPr>
          <w:p w14:paraId="3CA95F9D">
            <w:pPr>
              <w:jc w:val="center"/>
              <w:textAlignment w:val="center"/>
              <w:rPr>
                <w:rFonts w:ascii="Times New Roman" w:hAnsi="Times New Roman" w:cs="Times New Roman"/>
                <w:bCs/>
                <w:sz w:val="21"/>
                <w:szCs w:val="21"/>
                <w:highlight w:val="none"/>
              </w:rPr>
            </w:pPr>
            <w:r>
              <w:rPr>
                <w:rFonts w:ascii="Times New Roman" w:hAnsi="Times New Roman" w:cs="Times New Roman"/>
                <w:bCs/>
                <w:spacing w:val="-5"/>
                <w:sz w:val="21"/>
                <w:szCs w:val="21"/>
                <w:highlight w:val="none"/>
                <w:lang w:bidi="ar"/>
              </w:rPr>
              <w:t>甲苯</w:t>
            </w:r>
          </w:p>
        </w:tc>
        <w:tc>
          <w:tcPr>
            <w:tcW w:w="943" w:type="pct"/>
            <w:noWrap w:val="0"/>
            <w:vAlign w:val="center"/>
          </w:tcPr>
          <w:p w14:paraId="406AE136">
            <w:pPr>
              <w:jc w:val="center"/>
              <w:rPr>
                <w:rFonts w:ascii="Times New Roman" w:hAnsi="Times New Roman" w:cs="Times New Roman"/>
                <w:bCs/>
                <w:sz w:val="21"/>
                <w:szCs w:val="21"/>
                <w:highlight w:val="none"/>
              </w:rPr>
            </w:pPr>
            <w:r>
              <w:rPr>
                <w:rFonts w:ascii="Times New Roman" w:hAnsi="Times New Roman" w:cs="Times New Roman"/>
                <w:bCs/>
                <w:sz w:val="21"/>
                <w:szCs w:val="21"/>
                <w:highlight w:val="none"/>
              </w:rPr>
              <w:t>μg/kg</w:t>
            </w:r>
          </w:p>
        </w:tc>
        <w:tc>
          <w:tcPr>
            <w:tcW w:w="856" w:type="pct"/>
            <w:noWrap w:val="0"/>
            <w:vAlign w:val="center"/>
          </w:tcPr>
          <w:p w14:paraId="191ACE22">
            <w:pPr>
              <w:keepNext w:val="0"/>
              <w:keepLines w:val="0"/>
              <w:widowControl/>
              <w:suppressLineNumbers w:val="0"/>
              <w:jc w:val="center"/>
              <w:textAlignment w:val="center"/>
              <w:rPr>
                <w:rFonts w:ascii="Times New Roman" w:hAnsi="Times New Roman" w:cs="Times New Roman"/>
                <w:bCs/>
                <w:sz w:val="21"/>
                <w:szCs w:val="21"/>
                <w:highlight w:val="yellow"/>
                <w:lang w:bidi="ar"/>
              </w:rPr>
            </w:pPr>
            <w:r>
              <w:rPr>
                <w:rFonts w:hint="default" w:ascii="Times New Roman" w:hAnsi="Times New Roman" w:eastAsia="宋体" w:cs="Times New Roman"/>
                <w:i w:val="0"/>
                <w:iCs w:val="0"/>
                <w:color w:val="000000"/>
                <w:kern w:val="0"/>
                <w:sz w:val="21"/>
                <w:szCs w:val="21"/>
                <w:u w:val="none"/>
                <w:lang w:val="en-US" w:eastAsia="zh-CN" w:bidi="ar"/>
              </w:rPr>
              <w:t>ND</w:t>
            </w:r>
          </w:p>
        </w:tc>
        <w:tc>
          <w:tcPr>
            <w:tcW w:w="856" w:type="pct"/>
            <w:noWrap w:val="0"/>
            <w:vAlign w:val="center"/>
          </w:tcPr>
          <w:p w14:paraId="6B3FC1D8">
            <w:pPr>
              <w:keepNext w:val="0"/>
              <w:keepLines w:val="0"/>
              <w:widowControl/>
              <w:suppressLineNumbers w:val="0"/>
              <w:jc w:val="center"/>
              <w:textAlignment w:val="center"/>
              <w:rPr>
                <w:rFonts w:ascii="Times New Roman" w:hAnsi="Times New Roman" w:cs="Times New Roman"/>
                <w:bCs/>
                <w:sz w:val="21"/>
                <w:szCs w:val="21"/>
                <w:highlight w:val="yellow"/>
                <w:lang w:bidi="ar"/>
              </w:rPr>
            </w:pPr>
            <w:r>
              <w:rPr>
                <w:rFonts w:hint="default" w:ascii="Times New Roman" w:hAnsi="Times New Roman" w:eastAsia="宋体" w:cs="Times New Roman"/>
                <w:i w:val="0"/>
                <w:iCs w:val="0"/>
                <w:color w:val="000000"/>
                <w:kern w:val="0"/>
                <w:sz w:val="21"/>
                <w:szCs w:val="21"/>
                <w:u w:val="none"/>
                <w:lang w:val="en-US" w:eastAsia="zh-CN" w:bidi="ar"/>
              </w:rPr>
              <w:t>ND</w:t>
            </w:r>
          </w:p>
        </w:tc>
        <w:tc>
          <w:tcPr>
            <w:tcW w:w="857" w:type="pct"/>
            <w:noWrap w:val="0"/>
            <w:vAlign w:val="center"/>
          </w:tcPr>
          <w:p w14:paraId="3254976D">
            <w:pPr>
              <w:jc w:val="center"/>
              <w:textAlignment w:val="center"/>
              <w:rPr>
                <w:rFonts w:ascii="Times New Roman" w:hAnsi="Times New Roman" w:cs="Times New Roman"/>
                <w:bCs/>
                <w:sz w:val="21"/>
                <w:szCs w:val="21"/>
                <w:highlight w:val="none"/>
                <w:lang w:bidi="ar"/>
              </w:rPr>
            </w:pPr>
            <w:r>
              <w:rPr>
                <w:rFonts w:ascii="Times New Roman" w:hAnsi="Times New Roman" w:cs="Times New Roman"/>
                <w:bCs/>
                <w:sz w:val="21"/>
                <w:szCs w:val="21"/>
                <w:highlight w:val="none"/>
              </w:rPr>
              <w:t>-</w:t>
            </w:r>
          </w:p>
        </w:tc>
      </w:tr>
      <w:tr w14:paraId="66B8E204">
        <w:tblPrEx>
          <w:tblBorders>
            <w:top w:val="thinThickSmallGap" w:color="auto" w:sz="12" w:space="0"/>
            <w:left w:val="none" w:color="auto" w:sz="0" w:space="0"/>
            <w:bottom w:val="thickThinSmallGap" w:color="auto" w:sz="12" w:space="0"/>
            <w:right w:val="none" w:color="auto" w:sz="0" w:space="0"/>
            <w:insideH w:val="single" w:color="auto" w:sz="4" w:space="0"/>
            <w:insideV w:val="single" w:color="000000" w:sz="4" w:space="0"/>
          </w:tblBorders>
          <w:tblCellMar>
            <w:top w:w="0" w:type="dxa"/>
            <w:left w:w="108" w:type="dxa"/>
            <w:bottom w:w="0" w:type="dxa"/>
            <w:right w:w="108" w:type="dxa"/>
          </w:tblCellMar>
        </w:tblPrEx>
        <w:trPr>
          <w:trHeight w:val="340" w:hRule="atLeast"/>
          <w:jc w:val="center"/>
        </w:trPr>
        <w:tc>
          <w:tcPr>
            <w:tcW w:w="665" w:type="pct"/>
            <w:vMerge w:val="continue"/>
            <w:noWrap w:val="0"/>
            <w:vAlign w:val="center"/>
          </w:tcPr>
          <w:p w14:paraId="4CE7BEB0">
            <w:pPr>
              <w:jc w:val="center"/>
              <w:rPr>
                <w:rFonts w:ascii="Times New Roman" w:hAnsi="Times New Roman" w:cs="Times New Roman"/>
                <w:bCs/>
                <w:sz w:val="21"/>
                <w:szCs w:val="21"/>
              </w:rPr>
            </w:pPr>
          </w:p>
        </w:tc>
        <w:tc>
          <w:tcPr>
            <w:tcW w:w="821" w:type="pct"/>
            <w:noWrap w:val="0"/>
            <w:vAlign w:val="center"/>
          </w:tcPr>
          <w:p w14:paraId="3BB7A0F6">
            <w:pPr>
              <w:jc w:val="center"/>
              <w:textAlignment w:val="center"/>
              <w:rPr>
                <w:rFonts w:ascii="Times New Roman" w:hAnsi="Times New Roman" w:cs="Times New Roman"/>
                <w:bCs/>
                <w:sz w:val="21"/>
                <w:szCs w:val="21"/>
                <w:highlight w:val="none"/>
              </w:rPr>
            </w:pPr>
            <w:r>
              <w:rPr>
                <w:rFonts w:ascii="Times New Roman" w:hAnsi="Times New Roman" w:cs="Times New Roman"/>
                <w:bCs/>
                <w:spacing w:val="-5"/>
                <w:sz w:val="21"/>
                <w:szCs w:val="21"/>
                <w:highlight w:val="none"/>
                <w:lang w:bidi="ar"/>
              </w:rPr>
              <w:t>四氯乙烯</w:t>
            </w:r>
          </w:p>
        </w:tc>
        <w:tc>
          <w:tcPr>
            <w:tcW w:w="943" w:type="pct"/>
            <w:noWrap w:val="0"/>
            <w:vAlign w:val="center"/>
          </w:tcPr>
          <w:p w14:paraId="05A96C32">
            <w:pPr>
              <w:jc w:val="center"/>
              <w:rPr>
                <w:rFonts w:ascii="Times New Roman" w:hAnsi="Times New Roman" w:cs="Times New Roman"/>
                <w:bCs/>
                <w:sz w:val="21"/>
                <w:szCs w:val="21"/>
                <w:highlight w:val="none"/>
              </w:rPr>
            </w:pPr>
            <w:r>
              <w:rPr>
                <w:rFonts w:ascii="Times New Roman" w:hAnsi="Times New Roman" w:cs="Times New Roman"/>
                <w:bCs/>
                <w:sz w:val="21"/>
                <w:szCs w:val="21"/>
                <w:highlight w:val="none"/>
              </w:rPr>
              <w:t>μg/kg</w:t>
            </w:r>
          </w:p>
        </w:tc>
        <w:tc>
          <w:tcPr>
            <w:tcW w:w="856" w:type="pct"/>
            <w:noWrap w:val="0"/>
            <w:vAlign w:val="center"/>
          </w:tcPr>
          <w:p w14:paraId="6E41F8BD">
            <w:pPr>
              <w:keepNext w:val="0"/>
              <w:keepLines w:val="0"/>
              <w:widowControl/>
              <w:suppressLineNumbers w:val="0"/>
              <w:jc w:val="center"/>
              <w:textAlignment w:val="center"/>
              <w:rPr>
                <w:rFonts w:ascii="Times New Roman" w:hAnsi="Times New Roman" w:cs="Times New Roman"/>
                <w:bCs/>
                <w:sz w:val="21"/>
                <w:szCs w:val="21"/>
                <w:highlight w:val="yellow"/>
                <w:lang w:bidi="ar"/>
              </w:rPr>
            </w:pPr>
            <w:r>
              <w:rPr>
                <w:rFonts w:hint="default" w:ascii="Times New Roman" w:hAnsi="Times New Roman" w:eastAsia="宋体" w:cs="Times New Roman"/>
                <w:i w:val="0"/>
                <w:iCs w:val="0"/>
                <w:color w:val="000000"/>
                <w:kern w:val="0"/>
                <w:sz w:val="21"/>
                <w:szCs w:val="21"/>
                <w:u w:val="none"/>
                <w:lang w:val="en-US" w:eastAsia="zh-CN" w:bidi="ar"/>
              </w:rPr>
              <w:t>ND</w:t>
            </w:r>
          </w:p>
        </w:tc>
        <w:tc>
          <w:tcPr>
            <w:tcW w:w="856" w:type="pct"/>
            <w:noWrap w:val="0"/>
            <w:vAlign w:val="center"/>
          </w:tcPr>
          <w:p w14:paraId="07C5E4F1">
            <w:pPr>
              <w:keepNext w:val="0"/>
              <w:keepLines w:val="0"/>
              <w:widowControl/>
              <w:suppressLineNumbers w:val="0"/>
              <w:jc w:val="center"/>
              <w:textAlignment w:val="center"/>
              <w:rPr>
                <w:rFonts w:ascii="Times New Roman" w:hAnsi="Times New Roman" w:cs="Times New Roman"/>
                <w:bCs/>
                <w:sz w:val="21"/>
                <w:szCs w:val="21"/>
                <w:highlight w:val="yellow"/>
                <w:lang w:bidi="ar"/>
              </w:rPr>
            </w:pPr>
            <w:r>
              <w:rPr>
                <w:rFonts w:hint="default" w:ascii="Times New Roman" w:hAnsi="Times New Roman" w:eastAsia="宋体" w:cs="Times New Roman"/>
                <w:i w:val="0"/>
                <w:iCs w:val="0"/>
                <w:color w:val="000000"/>
                <w:kern w:val="0"/>
                <w:sz w:val="21"/>
                <w:szCs w:val="21"/>
                <w:u w:val="none"/>
                <w:lang w:val="en-US" w:eastAsia="zh-CN" w:bidi="ar"/>
              </w:rPr>
              <w:t>ND</w:t>
            </w:r>
          </w:p>
        </w:tc>
        <w:tc>
          <w:tcPr>
            <w:tcW w:w="857" w:type="pct"/>
            <w:noWrap w:val="0"/>
            <w:vAlign w:val="center"/>
          </w:tcPr>
          <w:p w14:paraId="773F499A">
            <w:pPr>
              <w:jc w:val="center"/>
              <w:textAlignment w:val="center"/>
              <w:rPr>
                <w:rFonts w:ascii="Times New Roman" w:hAnsi="Times New Roman" w:cs="Times New Roman"/>
                <w:bCs/>
                <w:sz w:val="21"/>
                <w:szCs w:val="21"/>
                <w:highlight w:val="none"/>
                <w:lang w:bidi="ar"/>
              </w:rPr>
            </w:pPr>
            <w:r>
              <w:rPr>
                <w:rFonts w:ascii="Times New Roman" w:hAnsi="Times New Roman" w:cs="Times New Roman"/>
                <w:bCs/>
                <w:sz w:val="21"/>
                <w:szCs w:val="21"/>
                <w:highlight w:val="none"/>
              </w:rPr>
              <w:t>-</w:t>
            </w:r>
          </w:p>
        </w:tc>
      </w:tr>
      <w:tr w14:paraId="376A8BCF">
        <w:tblPrEx>
          <w:tblBorders>
            <w:top w:val="thinThickSmallGap" w:color="auto" w:sz="12" w:space="0"/>
            <w:left w:val="none" w:color="auto" w:sz="0" w:space="0"/>
            <w:bottom w:val="thickThinSmallGap" w:color="auto" w:sz="12" w:space="0"/>
            <w:right w:val="none" w:color="auto" w:sz="0" w:space="0"/>
            <w:insideH w:val="single" w:color="auto" w:sz="4" w:space="0"/>
            <w:insideV w:val="single" w:color="000000" w:sz="4" w:space="0"/>
          </w:tblBorders>
          <w:tblCellMar>
            <w:top w:w="0" w:type="dxa"/>
            <w:left w:w="108" w:type="dxa"/>
            <w:bottom w:w="0" w:type="dxa"/>
            <w:right w:w="108" w:type="dxa"/>
          </w:tblCellMar>
        </w:tblPrEx>
        <w:trPr>
          <w:trHeight w:val="340" w:hRule="atLeast"/>
          <w:jc w:val="center"/>
        </w:trPr>
        <w:tc>
          <w:tcPr>
            <w:tcW w:w="665" w:type="pct"/>
            <w:vMerge w:val="continue"/>
            <w:noWrap w:val="0"/>
            <w:vAlign w:val="center"/>
          </w:tcPr>
          <w:p w14:paraId="286DF181">
            <w:pPr>
              <w:jc w:val="center"/>
              <w:rPr>
                <w:rFonts w:ascii="Times New Roman" w:hAnsi="Times New Roman" w:cs="Times New Roman"/>
                <w:bCs/>
                <w:sz w:val="21"/>
                <w:szCs w:val="21"/>
              </w:rPr>
            </w:pPr>
          </w:p>
        </w:tc>
        <w:tc>
          <w:tcPr>
            <w:tcW w:w="821" w:type="pct"/>
            <w:noWrap w:val="0"/>
            <w:vAlign w:val="center"/>
          </w:tcPr>
          <w:p w14:paraId="22EC3787">
            <w:pPr>
              <w:jc w:val="center"/>
              <w:textAlignment w:val="center"/>
              <w:rPr>
                <w:rFonts w:ascii="Times New Roman" w:hAnsi="Times New Roman" w:cs="Times New Roman"/>
                <w:bCs/>
                <w:sz w:val="21"/>
                <w:szCs w:val="21"/>
                <w:highlight w:val="none"/>
              </w:rPr>
            </w:pPr>
            <w:r>
              <w:rPr>
                <w:rFonts w:ascii="Times New Roman" w:hAnsi="Times New Roman" w:cs="Times New Roman"/>
                <w:bCs/>
                <w:spacing w:val="-5"/>
                <w:sz w:val="21"/>
                <w:szCs w:val="21"/>
                <w:highlight w:val="none"/>
                <w:lang w:bidi="ar"/>
              </w:rPr>
              <w:t>1,1,1,2-四氯乙烷</w:t>
            </w:r>
          </w:p>
        </w:tc>
        <w:tc>
          <w:tcPr>
            <w:tcW w:w="943" w:type="pct"/>
            <w:noWrap w:val="0"/>
            <w:vAlign w:val="center"/>
          </w:tcPr>
          <w:p w14:paraId="14949275">
            <w:pPr>
              <w:jc w:val="center"/>
              <w:rPr>
                <w:rFonts w:ascii="Times New Roman" w:hAnsi="Times New Roman" w:cs="Times New Roman"/>
                <w:bCs/>
                <w:sz w:val="21"/>
                <w:szCs w:val="21"/>
                <w:highlight w:val="none"/>
              </w:rPr>
            </w:pPr>
            <w:r>
              <w:rPr>
                <w:rFonts w:ascii="Times New Roman" w:hAnsi="Times New Roman" w:cs="Times New Roman"/>
                <w:bCs/>
                <w:sz w:val="21"/>
                <w:szCs w:val="21"/>
                <w:highlight w:val="none"/>
              </w:rPr>
              <w:t>μg/kg</w:t>
            </w:r>
          </w:p>
        </w:tc>
        <w:tc>
          <w:tcPr>
            <w:tcW w:w="856" w:type="pct"/>
            <w:noWrap w:val="0"/>
            <w:vAlign w:val="center"/>
          </w:tcPr>
          <w:p w14:paraId="5B53F6B7">
            <w:pPr>
              <w:keepNext w:val="0"/>
              <w:keepLines w:val="0"/>
              <w:widowControl/>
              <w:suppressLineNumbers w:val="0"/>
              <w:jc w:val="center"/>
              <w:textAlignment w:val="center"/>
              <w:rPr>
                <w:rFonts w:ascii="Times New Roman" w:hAnsi="Times New Roman" w:cs="Times New Roman"/>
                <w:bCs/>
                <w:sz w:val="21"/>
                <w:szCs w:val="21"/>
                <w:highlight w:val="yellow"/>
                <w:lang w:bidi="ar"/>
              </w:rPr>
            </w:pPr>
            <w:r>
              <w:rPr>
                <w:rFonts w:hint="default" w:ascii="Times New Roman" w:hAnsi="Times New Roman" w:eastAsia="宋体" w:cs="Times New Roman"/>
                <w:i w:val="0"/>
                <w:iCs w:val="0"/>
                <w:color w:val="000000"/>
                <w:kern w:val="0"/>
                <w:sz w:val="21"/>
                <w:szCs w:val="21"/>
                <w:u w:val="none"/>
                <w:lang w:val="en-US" w:eastAsia="zh-CN" w:bidi="ar"/>
              </w:rPr>
              <w:t>ND</w:t>
            </w:r>
          </w:p>
        </w:tc>
        <w:tc>
          <w:tcPr>
            <w:tcW w:w="856" w:type="pct"/>
            <w:noWrap w:val="0"/>
            <w:vAlign w:val="center"/>
          </w:tcPr>
          <w:p w14:paraId="0FB1D90D">
            <w:pPr>
              <w:keepNext w:val="0"/>
              <w:keepLines w:val="0"/>
              <w:widowControl/>
              <w:suppressLineNumbers w:val="0"/>
              <w:jc w:val="center"/>
              <w:textAlignment w:val="center"/>
              <w:rPr>
                <w:rFonts w:ascii="Times New Roman" w:hAnsi="Times New Roman" w:cs="Times New Roman"/>
                <w:bCs/>
                <w:sz w:val="21"/>
                <w:szCs w:val="21"/>
                <w:highlight w:val="yellow"/>
                <w:lang w:bidi="ar"/>
              </w:rPr>
            </w:pPr>
            <w:r>
              <w:rPr>
                <w:rFonts w:hint="default" w:ascii="Times New Roman" w:hAnsi="Times New Roman" w:eastAsia="宋体" w:cs="Times New Roman"/>
                <w:i w:val="0"/>
                <w:iCs w:val="0"/>
                <w:color w:val="000000"/>
                <w:kern w:val="0"/>
                <w:sz w:val="21"/>
                <w:szCs w:val="21"/>
                <w:u w:val="none"/>
                <w:lang w:val="en-US" w:eastAsia="zh-CN" w:bidi="ar"/>
              </w:rPr>
              <w:t>ND</w:t>
            </w:r>
          </w:p>
        </w:tc>
        <w:tc>
          <w:tcPr>
            <w:tcW w:w="857" w:type="pct"/>
            <w:noWrap w:val="0"/>
            <w:vAlign w:val="center"/>
          </w:tcPr>
          <w:p w14:paraId="28057CFE">
            <w:pPr>
              <w:jc w:val="center"/>
              <w:textAlignment w:val="center"/>
              <w:rPr>
                <w:rFonts w:ascii="Times New Roman" w:hAnsi="Times New Roman" w:cs="Times New Roman"/>
                <w:bCs/>
                <w:sz w:val="21"/>
                <w:szCs w:val="21"/>
                <w:highlight w:val="none"/>
                <w:lang w:bidi="ar"/>
              </w:rPr>
            </w:pPr>
            <w:r>
              <w:rPr>
                <w:rFonts w:ascii="Times New Roman" w:hAnsi="Times New Roman" w:cs="Times New Roman"/>
                <w:bCs/>
                <w:sz w:val="21"/>
                <w:szCs w:val="21"/>
                <w:highlight w:val="none"/>
              </w:rPr>
              <w:t>-</w:t>
            </w:r>
          </w:p>
        </w:tc>
      </w:tr>
      <w:tr w14:paraId="3B712B0A">
        <w:tblPrEx>
          <w:tblBorders>
            <w:top w:val="thinThickSmallGap" w:color="auto" w:sz="12" w:space="0"/>
            <w:left w:val="none" w:color="auto" w:sz="0" w:space="0"/>
            <w:bottom w:val="thickThinSmallGap" w:color="auto" w:sz="12" w:space="0"/>
            <w:right w:val="none" w:color="auto" w:sz="0" w:space="0"/>
            <w:insideH w:val="single" w:color="auto" w:sz="4" w:space="0"/>
            <w:insideV w:val="single" w:color="000000" w:sz="4" w:space="0"/>
          </w:tblBorders>
          <w:tblCellMar>
            <w:top w:w="0" w:type="dxa"/>
            <w:left w:w="108" w:type="dxa"/>
            <w:bottom w:w="0" w:type="dxa"/>
            <w:right w:w="108" w:type="dxa"/>
          </w:tblCellMar>
        </w:tblPrEx>
        <w:trPr>
          <w:trHeight w:val="340" w:hRule="atLeast"/>
          <w:jc w:val="center"/>
        </w:trPr>
        <w:tc>
          <w:tcPr>
            <w:tcW w:w="665" w:type="pct"/>
            <w:vMerge w:val="continue"/>
            <w:noWrap w:val="0"/>
            <w:vAlign w:val="center"/>
          </w:tcPr>
          <w:p w14:paraId="1E8BA583">
            <w:pPr>
              <w:jc w:val="center"/>
              <w:rPr>
                <w:rFonts w:ascii="Times New Roman" w:hAnsi="Times New Roman" w:cs="Times New Roman"/>
                <w:bCs/>
                <w:sz w:val="21"/>
                <w:szCs w:val="21"/>
              </w:rPr>
            </w:pPr>
          </w:p>
        </w:tc>
        <w:tc>
          <w:tcPr>
            <w:tcW w:w="821" w:type="pct"/>
            <w:noWrap w:val="0"/>
            <w:vAlign w:val="center"/>
          </w:tcPr>
          <w:p w14:paraId="11B7F15C">
            <w:pPr>
              <w:jc w:val="center"/>
              <w:textAlignment w:val="center"/>
              <w:rPr>
                <w:rFonts w:ascii="Times New Roman" w:hAnsi="Times New Roman" w:cs="Times New Roman"/>
                <w:bCs/>
                <w:sz w:val="21"/>
                <w:szCs w:val="21"/>
                <w:highlight w:val="none"/>
              </w:rPr>
            </w:pPr>
            <w:r>
              <w:rPr>
                <w:rFonts w:ascii="Times New Roman" w:hAnsi="Times New Roman" w:cs="Times New Roman"/>
                <w:bCs/>
                <w:spacing w:val="-5"/>
                <w:sz w:val="21"/>
                <w:szCs w:val="21"/>
                <w:highlight w:val="none"/>
                <w:lang w:bidi="ar"/>
              </w:rPr>
              <w:t>氯苯</w:t>
            </w:r>
          </w:p>
        </w:tc>
        <w:tc>
          <w:tcPr>
            <w:tcW w:w="943" w:type="pct"/>
            <w:noWrap w:val="0"/>
            <w:vAlign w:val="center"/>
          </w:tcPr>
          <w:p w14:paraId="41DD626B">
            <w:pPr>
              <w:jc w:val="center"/>
              <w:rPr>
                <w:rFonts w:ascii="Times New Roman" w:hAnsi="Times New Roman" w:cs="Times New Roman"/>
                <w:bCs/>
                <w:sz w:val="21"/>
                <w:szCs w:val="21"/>
                <w:highlight w:val="none"/>
              </w:rPr>
            </w:pPr>
            <w:r>
              <w:rPr>
                <w:rFonts w:ascii="Times New Roman" w:hAnsi="Times New Roman" w:cs="Times New Roman"/>
                <w:bCs/>
                <w:sz w:val="21"/>
                <w:szCs w:val="21"/>
                <w:highlight w:val="none"/>
              </w:rPr>
              <w:t>μg/kg</w:t>
            </w:r>
          </w:p>
        </w:tc>
        <w:tc>
          <w:tcPr>
            <w:tcW w:w="856" w:type="pct"/>
            <w:noWrap w:val="0"/>
            <w:vAlign w:val="center"/>
          </w:tcPr>
          <w:p w14:paraId="7FB487F9">
            <w:pPr>
              <w:keepNext w:val="0"/>
              <w:keepLines w:val="0"/>
              <w:widowControl/>
              <w:suppressLineNumbers w:val="0"/>
              <w:jc w:val="center"/>
              <w:textAlignment w:val="center"/>
              <w:rPr>
                <w:rFonts w:ascii="Times New Roman" w:hAnsi="Times New Roman" w:cs="Times New Roman"/>
                <w:bCs/>
                <w:sz w:val="21"/>
                <w:szCs w:val="21"/>
                <w:highlight w:val="yellow"/>
                <w:lang w:bidi="ar"/>
              </w:rPr>
            </w:pPr>
            <w:r>
              <w:rPr>
                <w:rFonts w:hint="default" w:ascii="Times New Roman" w:hAnsi="Times New Roman" w:eastAsia="宋体" w:cs="Times New Roman"/>
                <w:i w:val="0"/>
                <w:iCs w:val="0"/>
                <w:color w:val="000000"/>
                <w:kern w:val="0"/>
                <w:sz w:val="21"/>
                <w:szCs w:val="21"/>
                <w:u w:val="none"/>
                <w:lang w:val="en-US" w:eastAsia="zh-CN" w:bidi="ar"/>
              </w:rPr>
              <w:t>ND</w:t>
            </w:r>
          </w:p>
        </w:tc>
        <w:tc>
          <w:tcPr>
            <w:tcW w:w="856" w:type="pct"/>
            <w:noWrap w:val="0"/>
            <w:vAlign w:val="center"/>
          </w:tcPr>
          <w:p w14:paraId="28187F9C">
            <w:pPr>
              <w:keepNext w:val="0"/>
              <w:keepLines w:val="0"/>
              <w:widowControl/>
              <w:suppressLineNumbers w:val="0"/>
              <w:jc w:val="center"/>
              <w:textAlignment w:val="center"/>
              <w:rPr>
                <w:rFonts w:ascii="Times New Roman" w:hAnsi="Times New Roman" w:cs="Times New Roman"/>
                <w:bCs/>
                <w:sz w:val="21"/>
                <w:szCs w:val="21"/>
                <w:highlight w:val="yellow"/>
                <w:lang w:bidi="ar"/>
              </w:rPr>
            </w:pPr>
            <w:r>
              <w:rPr>
                <w:rFonts w:hint="default" w:ascii="Times New Roman" w:hAnsi="Times New Roman" w:eastAsia="宋体" w:cs="Times New Roman"/>
                <w:i w:val="0"/>
                <w:iCs w:val="0"/>
                <w:color w:val="000000"/>
                <w:kern w:val="0"/>
                <w:sz w:val="21"/>
                <w:szCs w:val="21"/>
                <w:u w:val="none"/>
                <w:lang w:val="en-US" w:eastAsia="zh-CN" w:bidi="ar"/>
              </w:rPr>
              <w:t>ND</w:t>
            </w:r>
          </w:p>
        </w:tc>
        <w:tc>
          <w:tcPr>
            <w:tcW w:w="857" w:type="pct"/>
            <w:noWrap w:val="0"/>
            <w:vAlign w:val="center"/>
          </w:tcPr>
          <w:p w14:paraId="032B88EE">
            <w:pPr>
              <w:jc w:val="center"/>
              <w:textAlignment w:val="center"/>
              <w:rPr>
                <w:rFonts w:ascii="Times New Roman" w:hAnsi="Times New Roman" w:cs="Times New Roman"/>
                <w:bCs/>
                <w:sz w:val="21"/>
                <w:szCs w:val="21"/>
                <w:highlight w:val="none"/>
                <w:lang w:bidi="ar"/>
              </w:rPr>
            </w:pPr>
            <w:r>
              <w:rPr>
                <w:rFonts w:ascii="Times New Roman" w:hAnsi="Times New Roman" w:cs="Times New Roman"/>
                <w:bCs/>
                <w:sz w:val="21"/>
                <w:szCs w:val="21"/>
                <w:highlight w:val="none"/>
              </w:rPr>
              <w:t>-</w:t>
            </w:r>
          </w:p>
        </w:tc>
      </w:tr>
      <w:tr w14:paraId="796AD2BB">
        <w:tblPrEx>
          <w:tblBorders>
            <w:top w:val="thinThickSmallGap" w:color="auto" w:sz="12" w:space="0"/>
            <w:left w:val="none" w:color="auto" w:sz="0" w:space="0"/>
            <w:bottom w:val="thickThinSmallGap" w:color="auto" w:sz="12" w:space="0"/>
            <w:right w:val="none" w:color="auto" w:sz="0" w:space="0"/>
            <w:insideH w:val="single" w:color="auto" w:sz="4" w:space="0"/>
            <w:insideV w:val="single" w:color="000000" w:sz="4" w:space="0"/>
          </w:tblBorders>
          <w:tblCellMar>
            <w:top w:w="0" w:type="dxa"/>
            <w:left w:w="108" w:type="dxa"/>
            <w:bottom w:w="0" w:type="dxa"/>
            <w:right w:w="108" w:type="dxa"/>
          </w:tblCellMar>
        </w:tblPrEx>
        <w:trPr>
          <w:trHeight w:val="340" w:hRule="atLeast"/>
          <w:jc w:val="center"/>
        </w:trPr>
        <w:tc>
          <w:tcPr>
            <w:tcW w:w="665" w:type="pct"/>
            <w:vMerge w:val="continue"/>
            <w:noWrap w:val="0"/>
            <w:vAlign w:val="center"/>
          </w:tcPr>
          <w:p w14:paraId="43812B48">
            <w:pPr>
              <w:jc w:val="center"/>
              <w:rPr>
                <w:rFonts w:ascii="Times New Roman" w:hAnsi="Times New Roman" w:cs="Times New Roman"/>
                <w:bCs/>
                <w:sz w:val="21"/>
                <w:szCs w:val="21"/>
              </w:rPr>
            </w:pPr>
          </w:p>
        </w:tc>
        <w:tc>
          <w:tcPr>
            <w:tcW w:w="821" w:type="pct"/>
            <w:noWrap w:val="0"/>
            <w:vAlign w:val="center"/>
          </w:tcPr>
          <w:p w14:paraId="5DEC61E5">
            <w:pPr>
              <w:jc w:val="center"/>
              <w:textAlignment w:val="center"/>
              <w:rPr>
                <w:rFonts w:ascii="Times New Roman" w:hAnsi="Times New Roman" w:cs="Times New Roman"/>
                <w:bCs/>
                <w:sz w:val="21"/>
                <w:szCs w:val="21"/>
                <w:highlight w:val="none"/>
              </w:rPr>
            </w:pPr>
            <w:r>
              <w:rPr>
                <w:rFonts w:ascii="Times New Roman" w:hAnsi="Times New Roman" w:cs="Times New Roman"/>
                <w:bCs/>
                <w:spacing w:val="-5"/>
                <w:sz w:val="21"/>
                <w:szCs w:val="21"/>
                <w:highlight w:val="none"/>
                <w:lang w:bidi="ar"/>
              </w:rPr>
              <w:t>乙苯</w:t>
            </w:r>
          </w:p>
        </w:tc>
        <w:tc>
          <w:tcPr>
            <w:tcW w:w="943" w:type="pct"/>
            <w:noWrap w:val="0"/>
            <w:vAlign w:val="center"/>
          </w:tcPr>
          <w:p w14:paraId="4B220FA5">
            <w:pPr>
              <w:jc w:val="center"/>
              <w:rPr>
                <w:rFonts w:ascii="Times New Roman" w:hAnsi="Times New Roman" w:cs="Times New Roman"/>
                <w:bCs/>
                <w:sz w:val="21"/>
                <w:szCs w:val="21"/>
                <w:highlight w:val="none"/>
              </w:rPr>
            </w:pPr>
            <w:r>
              <w:rPr>
                <w:rFonts w:ascii="Times New Roman" w:hAnsi="Times New Roman" w:cs="Times New Roman"/>
                <w:bCs/>
                <w:sz w:val="21"/>
                <w:szCs w:val="21"/>
                <w:highlight w:val="none"/>
              </w:rPr>
              <w:t>μg/kg</w:t>
            </w:r>
          </w:p>
        </w:tc>
        <w:tc>
          <w:tcPr>
            <w:tcW w:w="856" w:type="pct"/>
            <w:noWrap w:val="0"/>
            <w:vAlign w:val="center"/>
          </w:tcPr>
          <w:p w14:paraId="4453292F">
            <w:pPr>
              <w:keepNext w:val="0"/>
              <w:keepLines w:val="0"/>
              <w:widowControl/>
              <w:suppressLineNumbers w:val="0"/>
              <w:jc w:val="center"/>
              <w:textAlignment w:val="center"/>
              <w:rPr>
                <w:rFonts w:ascii="Times New Roman" w:hAnsi="Times New Roman" w:cs="Times New Roman"/>
                <w:bCs/>
                <w:sz w:val="21"/>
                <w:szCs w:val="21"/>
                <w:highlight w:val="yellow"/>
                <w:lang w:bidi="ar"/>
              </w:rPr>
            </w:pPr>
            <w:r>
              <w:rPr>
                <w:rFonts w:hint="default" w:ascii="Times New Roman" w:hAnsi="Times New Roman" w:eastAsia="宋体" w:cs="Times New Roman"/>
                <w:i w:val="0"/>
                <w:iCs w:val="0"/>
                <w:color w:val="000000"/>
                <w:kern w:val="0"/>
                <w:sz w:val="21"/>
                <w:szCs w:val="21"/>
                <w:u w:val="none"/>
                <w:lang w:val="en-US" w:eastAsia="zh-CN" w:bidi="ar"/>
              </w:rPr>
              <w:t>ND</w:t>
            </w:r>
          </w:p>
        </w:tc>
        <w:tc>
          <w:tcPr>
            <w:tcW w:w="856" w:type="pct"/>
            <w:noWrap w:val="0"/>
            <w:vAlign w:val="center"/>
          </w:tcPr>
          <w:p w14:paraId="1BCEE93C">
            <w:pPr>
              <w:keepNext w:val="0"/>
              <w:keepLines w:val="0"/>
              <w:widowControl/>
              <w:suppressLineNumbers w:val="0"/>
              <w:jc w:val="center"/>
              <w:textAlignment w:val="center"/>
              <w:rPr>
                <w:rFonts w:ascii="Times New Roman" w:hAnsi="Times New Roman" w:cs="Times New Roman"/>
                <w:bCs/>
                <w:sz w:val="21"/>
                <w:szCs w:val="21"/>
                <w:highlight w:val="yellow"/>
                <w:lang w:bidi="ar"/>
              </w:rPr>
            </w:pPr>
            <w:r>
              <w:rPr>
                <w:rFonts w:hint="default" w:ascii="Times New Roman" w:hAnsi="Times New Roman" w:eastAsia="宋体" w:cs="Times New Roman"/>
                <w:i w:val="0"/>
                <w:iCs w:val="0"/>
                <w:color w:val="000000"/>
                <w:kern w:val="0"/>
                <w:sz w:val="21"/>
                <w:szCs w:val="21"/>
                <w:u w:val="none"/>
                <w:lang w:val="en-US" w:eastAsia="zh-CN" w:bidi="ar"/>
              </w:rPr>
              <w:t>ND</w:t>
            </w:r>
          </w:p>
        </w:tc>
        <w:tc>
          <w:tcPr>
            <w:tcW w:w="857" w:type="pct"/>
            <w:noWrap w:val="0"/>
            <w:vAlign w:val="center"/>
          </w:tcPr>
          <w:p w14:paraId="600A81AA">
            <w:pPr>
              <w:jc w:val="center"/>
              <w:textAlignment w:val="center"/>
              <w:rPr>
                <w:rFonts w:ascii="Times New Roman" w:hAnsi="Times New Roman" w:cs="Times New Roman"/>
                <w:bCs/>
                <w:sz w:val="21"/>
                <w:szCs w:val="21"/>
                <w:highlight w:val="none"/>
                <w:lang w:bidi="ar"/>
              </w:rPr>
            </w:pPr>
            <w:r>
              <w:rPr>
                <w:rFonts w:ascii="Times New Roman" w:hAnsi="Times New Roman" w:cs="Times New Roman"/>
                <w:bCs/>
                <w:sz w:val="21"/>
                <w:szCs w:val="21"/>
                <w:highlight w:val="none"/>
              </w:rPr>
              <w:t>-</w:t>
            </w:r>
          </w:p>
        </w:tc>
      </w:tr>
      <w:tr w14:paraId="36EC9FE5">
        <w:tblPrEx>
          <w:tblBorders>
            <w:top w:val="thinThickSmallGap" w:color="auto" w:sz="12" w:space="0"/>
            <w:left w:val="none" w:color="auto" w:sz="0" w:space="0"/>
            <w:bottom w:val="thickThinSmallGap" w:color="auto" w:sz="12" w:space="0"/>
            <w:right w:val="none" w:color="auto" w:sz="0" w:space="0"/>
            <w:insideH w:val="single" w:color="auto" w:sz="4" w:space="0"/>
            <w:insideV w:val="single" w:color="000000" w:sz="4" w:space="0"/>
          </w:tblBorders>
          <w:tblCellMar>
            <w:top w:w="0" w:type="dxa"/>
            <w:left w:w="108" w:type="dxa"/>
            <w:bottom w:w="0" w:type="dxa"/>
            <w:right w:w="108" w:type="dxa"/>
          </w:tblCellMar>
        </w:tblPrEx>
        <w:trPr>
          <w:trHeight w:val="340" w:hRule="atLeast"/>
          <w:jc w:val="center"/>
        </w:trPr>
        <w:tc>
          <w:tcPr>
            <w:tcW w:w="665" w:type="pct"/>
            <w:vMerge w:val="continue"/>
            <w:noWrap w:val="0"/>
            <w:vAlign w:val="center"/>
          </w:tcPr>
          <w:p w14:paraId="3D7D5AB9">
            <w:pPr>
              <w:jc w:val="center"/>
              <w:rPr>
                <w:rFonts w:ascii="Times New Roman" w:hAnsi="Times New Roman" w:cs="Times New Roman"/>
                <w:bCs/>
                <w:sz w:val="21"/>
                <w:szCs w:val="21"/>
              </w:rPr>
            </w:pPr>
          </w:p>
        </w:tc>
        <w:tc>
          <w:tcPr>
            <w:tcW w:w="821" w:type="pct"/>
            <w:noWrap w:val="0"/>
            <w:vAlign w:val="center"/>
          </w:tcPr>
          <w:p w14:paraId="4E588946">
            <w:pPr>
              <w:jc w:val="center"/>
              <w:textAlignment w:val="center"/>
              <w:rPr>
                <w:rFonts w:ascii="Times New Roman" w:hAnsi="Times New Roman" w:cs="Times New Roman"/>
                <w:bCs/>
                <w:sz w:val="21"/>
                <w:szCs w:val="21"/>
                <w:highlight w:val="none"/>
              </w:rPr>
            </w:pPr>
            <w:r>
              <w:rPr>
                <w:rFonts w:ascii="Times New Roman" w:hAnsi="Times New Roman" w:cs="Times New Roman"/>
                <w:bCs/>
                <w:spacing w:val="-5"/>
                <w:sz w:val="21"/>
                <w:szCs w:val="21"/>
                <w:highlight w:val="none"/>
                <w:lang w:bidi="ar"/>
              </w:rPr>
              <w:t>对(间)二甲苯</w:t>
            </w:r>
          </w:p>
        </w:tc>
        <w:tc>
          <w:tcPr>
            <w:tcW w:w="943" w:type="pct"/>
            <w:noWrap w:val="0"/>
            <w:vAlign w:val="center"/>
          </w:tcPr>
          <w:p w14:paraId="7701889F">
            <w:pPr>
              <w:jc w:val="center"/>
              <w:rPr>
                <w:rFonts w:ascii="Times New Roman" w:hAnsi="Times New Roman" w:cs="Times New Roman"/>
                <w:bCs/>
                <w:sz w:val="21"/>
                <w:szCs w:val="21"/>
                <w:highlight w:val="none"/>
              </w:rPr>
            </w:pPr>
            <w:r>
              <w:rPr>
                <w:rFonts w:ascii="Times New Roman" w:hAnsi="Times New Roman" w:cs="Times New Roman"/>
                <w:bCs/>
                <w:sz w:val="21"/>
                <w:szCs w:val="21"/>
                <w:highlight w:val="none"/>
              </w:rPr>
              <w:t>μg/kg</w:t>
            </w:r>
          </w:p>
        </w:tc>
        <w:tc>
          <w:tcPr>
            <w:tcW w:w="856" w:type="pct"/>
            <w:noWrap w:val="0"/>
            <w:vAlign w:val="center"/>
          </w:tcPr>
          <w:p w14:paraId="1E3F3078">
            <w:pPr>
              <w:keepNext w:val="0"/>
              <w:keepLines w:val="0"/>
              <w:widowControl/>
              <w:suppressLineNumbers w:val="0"/>
              <w:jc w:val="center"/>
              <w:textAlignment w:val="center"/>
              <w:rPr>
                <w:rFonts w:ascii="Times New Roman" w:hAnsi="Times New Roman" w:cs="Times New Roman"/>
                <w:bCs/>
                <w:sz w:val="21"/>
                <w:szCs w:val="21"/>
                <w:highlight w:val="yellow"/>
                <w:lang w:bidi="ar"/>
              </w:rPr>
            </w:pPr>
            <w:r>
              <w:rPr>
                <w:rFonts w:hint="default" w:ascii="Times New Roman" w:hAnsi="Times New Roman" w:eastAsia="宋体" w:cs="Times New Roman"/>
                <w:i w:val="0"/>
                <w:iCs w:val="0"/>
                <w:color w:val="000000"/>
                <w:kern w:val="0"/>
                <w:sz w:val="21"/>
                <w:szCs w:val="21"/>
                <w:u w:val="none"/>
                <w:lang w:val="en-US" w:eastAsia="zh-CN" w:bidi="ar"/>
              </w:rPr>
              <w:t>ND</w:t>
            </w:r>
          </w:p>
        </w:tc>
        <w:tc>
          <w:tcPr>
            <w:tcW w:w="856" w:type="pct"/>
            <w:noWrap w:val="0"/>
            <w:vAlign w:val="center"/>
          </w:tcPr>
          <w:p w14:paraId="3BFFE097">
            <w:pPr>
              <w:keepNext w:val="0"/>
              <w:keepLines w:val="0"/>
              <w:widowControl/>
              <w:suppressLineNumbers w:val="0"/>
              <w:jc w:val="center"/>
              <w:textAlignment w:val="center"/>
              <w:rPr>
                <w:rFonts w:ascii="Times New Roman" w:hAnsi="Times New Roman" w:cs="Times New Roman"/>
                <w:bCs/>
                <w:sz w:val="21"/>
                <w:szCs w:val="21"/>
                <w:highlight w:val="yellow"/>
                <w:lang w:bidi="ar"/>
              </w:rPr>
            </w:pPr>
            <w:r>
              <w:rPr>
                <w:rFonts w:hint="default" w:ascii="Times New Roman" w:hAnsi="Times New Roman" w:eastAsia="宋体" w:cs="Times New Roman"/>
                <w:i w:val="0"/>
                <w:iCs w:val="0"/>
                <w:color w:val="000000"/>
                <w:kern w:val="0"/>
                <w:sz w:val="21"/>
                <w:szCs w:val="21"/>
                <w:u w:val="none"/>
                <w:lang w:val="en-US" w:eastAsia="zh-CN" w:bidi="ar"/>
              </w:rPr>
              <w:t>ND</w:t>
            </w:r>
          </w:p>
        </w:tc>
        <w:tc>
          <w:tcPr>
            <w:tcW w:w="857" w:type="pct"/>
            <w:noWrap w:val="0"/>
            <w:vAlign w:val="center"/>
          </w:tcPr>
          <w:p w14:paraId="650FBCF1">
            <w:pPr>
              <w:jc w:val="center"/>
              <w:textAlignment w:val="center"/>
              <w:rPr>
                <w:rFonts w:ascii="Times New Roman" w:hAnsi="Times New Roman" w:cs="Times New Roman"/>
                <w:bCs/>
                <w:sz w:val="21"/>
                <w:szCs w:val="21"/>
                <w:highlight w:val="none"/>
                <w:lang w:bidi="ar"/>
              </w:rPr>
            </w:pPr>
            <w:r>
              <w:rPr>
                <w:rFonts w:ascii="Times New Roman" w:hAnsi="Times New Roman" w:cs="Times New Roman"/>
                <w:bCs/>
                <w:sz w:val="21"/>
                <w:szCs w:val="21"/>
                <w:highlight w:val="none"/>
              </w:rPr>
              <w:t>-</w:t>
            </w:r>
          </w:p>
        </w:tc>
      </w:tr>
      <w:tr w14:paraId="3BD5C29A">
        <w:tblPrEx>
          <w:tblBorders>
            <w:top w:val="thinThickSmallGap" w:color="auto" w:sz="12" w:space="0"/>
            <w:left w:val="none" w:color="auto" w:sz="0" w:space="0"/>
            <w:bottom w:val="thickThinSmallGap" w:color="auto" w:sz="12" w:space="0"/>
            <w:right w:val="none" w:color="auto" w:sz="0" w:space="0"/>
            <w:insideH w:val="single" w:color="auto" w:sz="4" w:space="0"/>
            <w:insideV w:val="single" w:color="000000" w:sz="4" w:space="0"/>
          </w:tblBorders>
          <w:tblCellMar>
            <w:top w:w="0" w:type="dxa"/>
            <w:left w:w="108" w:type="dxa"/>
            <w:bottom w:w="0" w:type="dxa"/>
            <w:right w:w="108" w:type="dxa"/>
          </w:tblCellMar>
        </w:tblPrEx>
        <w:trPr>
          <w:trHeight w:val="340" w:hRule="atLeast"/>
          <w:jc w:val="center"/>
        </w:trPr>
        <w:tc>
          <w:tcPr>
            <w:tcW w:w="665" w:type="pct"/>
            <w:vMerge w:val="continue"/>
            <w:noWrap w:val="0"/>
            <w:vAlign w:val="center"/>
          </w:tcPr>
          <w:p w14:paraId="11A99561">
            <w:pPr>
              <w:jc w:val="center"/>
              <w:rPr>
                <w:rFonts w:ascii="Times New Roman" w:hAnsi="Times New Roman" w:cs="Times New Roman"/>
                <w:bCs/>
                <w:sz w:val="21"/>
                <w:szCs w:val="21"/>
              </w:rPr>
            </w:pPr>
          </w:p>
        </w:tc>
        <w:tc>
          <w:tcPr>
            <w:tcW w:w="821" w:type="pct"/>
            <w:noWrap w:val="0"/>
            <w:vAlign w:val="center"/>
          </w:tcPr>
          <w:p w14:paraId="06668F2F">
            <w:pPr>
              <w:jc w:val="center"/>
              <w:textAlignment w:val="center"/>
              <w:rPr>
                <w:rFonts w:ascii="Times New Roman" w:hAnsi="Times New Roman" w:cs="Times New Roman"/>
                <w:bCs/>
                <w:sz w:val="21"/>
                <w:szCs w:val="21"/>
                <w:highlight w:val="none"/>
              </w:rPr>
            </w:pPr>
            <w:r>
              <w:rPr>
                <w:rFonts w:ascii="Times New Roman" w:hAnsi="Times New Roman" w:cs="Times New Roman"/>
                <w:bCs/>
                <w:spacing w:val="-5"/>
                <w:sz w:val="21"/>
                <w:szCs w:val="21"/>
                <w:highlight w:val="none"/>
                <w:lang w:bidi="ar"/>
              </w:rPr>
              <w:t>苯乙烯</w:t>
            </w:r>
          </w:p>
        </w:tc>
        <w:tc>
          <w:tcPr>
            <w:tcW w:w="943" w:type="pct"/>
            <w:noWrap w:val="0"/>
            <w:vAlign w:val="center"/>
          </w:tcPr>
          <w:p w14:paraId="66D1C85E">
            <w:pPr>
              <w:jc w:val="center"/>
              <w:rPr>
                <w:rFonts w:ascii="Times New Roman" w:hAnsi="Times New Roman" w:cs="Times New Roman"/>
                <w:bCs/>
                <w:sz w:val="21"/>
                <w:szCs w:val="21"/>
                <w:highlight w:val="none"/>
              </w:rPr>
            </w:pPr>
            <w:r>
              <w:rPr>
                <w:rFonts w:ascii="Times New Roman" w:hAnsi="Times New Roman" w:cs="Times New Roman"/>
                <w:bCs/>
                <w:sz w:val="21"/>
                <w:szCs w:val="21"/>
                <w:highlight w:val="none"/>
              </w:rPr>
              <w:t>μg/kg</w:t>
            </w:r>
          </w:p>
        </w:tc>
        <w:tc>
          <w:tcPr>
            <w:tcW w:w="856" w:type="pct"/>
            <w:noWrap w:val="0"/>
            <w:vAlign w:val="center"/>
          </w:tcPr>
          <w:p w14:paraId="09F3AF30">
            <w:pPr>
              <w:keepNext w:val="0"/>
              <w:keepLines w:val="0"/>
              <w:widowControl/>
              <w:suppressLineNumbers w:val="0"/>
              <w:jc w:val="center"/>
              <w:textAlignment w:val="center"/>
              <w:rPr>
                <w:rFonts w:ascii="Times New Roman" w:hAnsi="Times New Roman" w:cs="Times New Roman"/>
                <w:bCs/>
                <w:sz w:val="21"/>
                <w:szCs w:val="21"/>
                <w:highlight w:val="yellow"/>
                <w:lang w:bidi="ar"/>
              </w:rPr>
            </w:pPr>
            <w:r>
              <w:rPr>
                <w:rFonts w:hint="default" w:ascii="Times New Roman" w:hAnsi="Times New Roman" w:eastAsia="宋体" w:cs="Times New Roman"/>
                <w:i w:val="0"/>
                <w:iCs w:val="0"/>
                <w:color w:val="000000"/>
                <w:kern w:val="0"/>
                <w:sz w:val="21"/>
                <w:szCs w:val="21"/>
                <w:u w:val="none"/>
                <w:lang w:val="en-US" w:eastAsia="zh-CN" w:bidi="ar"/>
              </w:rPr>
              <w:t>ND</w:t>
            </w:r>
          </w:p>
        </w:tc>
        <w:tc>
          <w:tcPr>
            <w:tcW w:w="856" w:type="pct"/>
            <w:noWrap w:val="0"/>
            <w:vAlign w:val="center"/>
          </w:tcPr>
          <w:p w14:paraId="6B976898">
            <w:pPr>
              <w:keepNext w:val="0"/>
              <w:keepLines w:val="0"/>
              <w:widowControl/>
              <w:suppressLineNumbers w:val="0"/>
              <w:jc w:val="center"/>
              <w:textAlignment w:val="center"/>
              <w:rPr>
                <w:rFonts w:ascii="Times New Roman" w:hAnsi="Times New Roman" w:cs="Times New Roman"/>
                <w:bCs/>
                <w:sz w:val="21"/>
                <w:szCs w:val="21"/>
                <w:highlight w:val="yellow"/>
                <w:lang w:bidi="ar"/>
              </w:rPr>
            </w:pPr>
            <w:r>
              <w:rPr>
                <w:rFonts w:hint="default" w:ascii="Times New Roman" w:hAnsi="Times New Roman" w:eastAsia="宋体" w:cs="Times New Roman"/>
                <w:i w:val="0"/>
                <w:iCs w:val="0"/>
                <w:color w:val="000000"/>
                <w:kern w:val="0"/>
                <w:sz w:val="21"/>
                <w:szCs w:val="21"/>
                <w:u w:val="none"/>
                <w:lang w:val="en-US" w:eastAsia="zh-CN" w:bidi="ar"/>
              </w:rPr>
              <w:t>ND</w:t>
            </w:r>
          </w:p>
        </w:tc>
        <w:tc>
          <w:tcPr>
            <w:tcW w:w="857" w:type="pct"/>
            <w:noWrap w:val="0"/>
            <w:vAlign w:val="center"/>
          </w:tcPr>
          <w:p w14:paraId="5AE404FA">
            <w:pPr>
              <w:jc w:val="center"/>
              <w:textAlignment w:val="center"/>
              <w:rPr>
                <w:rFonts w:ascii="Times New Roman" w:hAnsi="Times New Roman" w:cs="Times New Roman"/>
                <w:bCs/>
                <w:sz w:val="21"/>
                <w:szCs w:val="21"/>
                <w:highlight w:val="none"/>
                <w:lang w:bidi="ar"/>
              </w:rPr>
            </w:pPr>
            <w:r>
              <w:rPr>
                <w:rFonts w:ascii="Times New Roman" w:hAnsi="Times New Roman" w:cs="Times New Roman"/>
                <w:bCs/>
                <w:sz w:val="21"/>
                <w:szCs w:val="21"/>
                <w:highlight w:val="none"/>
              </w:rPr>
              <w:t>-</w:t>
            </w:r>
          </w:p>
        </w:tc>
      </w:tr>
      <w:tr w14:paraId="1CEEA558">
        <w:tblPrEx>
          <w:tblBorders>
            <w:top w:val="thinThickSmallGap" w:color="auto" w:sz="12" w:space="0"/>
            <w:left w:val="none" w:color="auto" w:sz="0" w:space="0"/>
            <w:bottom w:val="thickThinSmallGap" w:color="auto" w:sz="12" w:space="0"/>
            <w:right w:val="none" w:color="auto" w:sz="0" w:space="0"/>
            <w:insideH w:val="single" w:color="auto" w:sz="4" w:space="0"/>
            <w:insideV w:val="single" w:color="000000" w:sz="4" w:space="0"/>
          </w:tblBorders>
          <w:tblCellMar>
            <w:top w:w="0" w:type="dxa"/>
            <w:left w:w="108" w:type="dxa"/>
            <w:bottom w:w="0" w:type="dxa"/>
            <w:right w:w="108" w:type="dxa"/>
          </w:tblCellMar>
        </w:tblPrEx>
        <w:trPr>
          <w:trHeight w:val="340" w:hRule="atLeast"/>
          <w:jc w:val="center"/>
        </w:trPr>
        <w:tc>
          <w:tcPr>
            <w:tcW w:w="665" w:type="pct"/>
            <w:vMerge w:val="continue"/>
            <w:noWrap w:val="0"/>
            <w:vAlign w:val="center"/>
          </w:tcPr>
          <w:p w14:paraId="31B79342">
            <w:pPr>
              <w:jc w:val="center"/>
              <w:rPr>
                <w:rFonts w:ascii="Times New Roman" w:hAnsi="Times New Roman" w:cs="Times New Roman"/>
                <w:bCs/>
                <w:sz w:val="21"/>
                <w:szCs w:val="21"/>
              </w:rPr>
            </w:pPr>
          </w:p>
        </w:tc>
        <w:tc>
          <w:tcPr>
            <w:tcW w:w="821" w:type="pct"/>
            <w:noWrap w:val="0"/>
            <w:vAlign w:val="center"/>
          </w:tcPr>
          <w:p w14:paraId="7E43B5DF">
            <w:pPr>
              <w:jc w:val="center"/>
              <w:textAlignment w:val="center"/>
              <w:rPr>
                <w:rFonts w:ascii="Times New Roman" w:hAnsi="Times New Roman" w:cs="Times New Roman"/>
                <w:bCs/>
                <w:sz w:val="21"/>
                <w:szCs w:val="21"/>
                <w:highlight w:val="none"/>
              </w:rPr>
            </w:pPr>
            <w:r>
              <w:rPr>
                <w:rFonts w:ascii="Times New Roman" w:hAnsi="Times New Roman" w:cs="Times New Roman"/>
                <w:bCs/>
                <w:spacing w:val="-5"/>
                <w:sz w:val="21"/>
                <w:szCs w:val="21"/>
                <w:highlight w:val="none"/>
                <w:lang w:bidi="ar"/>
              </w:rPr>
              <w:t>邻二甲苯</w:t>
            </w:r>
          </w:p>
        </w:tc>
        <w:tc>
          <w:tcPr>
            <w:tcW w:w="943" w:type="pct"/>
            <w:noWrap w:val="0"/>
            <w:vAlign w:val="center"/>
          </w:tcPr>
          <w:p w14:paraId="4BDC14B5">
            <w:pPr>
              <w:jc w:val="center"/>
              <w:rPr>
                <w:rFonts w:ascii="Times New Roman" w:hAnsi="Times New Roman" w:cs="Times New Roman"/>
                <w:bCs/>
                <w:sz w:val="21"/>
                <w:szCs w:val="21"/>
                <w:highlight w:val="none"/>
              </w:rPr>
            </w:pPr>
            <w:r>
              <w:rPr>
                <w:rFonts w:ascii="Times New Roman" w:hAnsi="Times New Roman" w:cs="Times New Roman"/>
                <w:bCs/>
                <w:sz w:val="21"/>
                <w:szCs w:val="21"/>
                <w:highlight w:val="none"/>
              </w:rPr>
              <w:t>μg/kg</w:t>
            </w:r>
          </w:p>
        </w:tc>
        <w:tc>
          <w:tcPr>
            <w:tcW w:w="856" w:type="pct"/>
            <w:noWrap w:val="0"/>
            <w:vAlign w:val="center"/>
          </w:tcPr>
          <w:p w14:paraId="503B9163">
            <w:pPr>
              <w:keepNext w:val="0"/>
              <w:keepLines w:val="0"/>
              <w:widowControl/>
              <w:suppressLineNumbers w:val="0"/>
              <w:jc w:val="center"/>
              <w:textAlignment w:val="center"/>
              <w:rPr>
                <w:rFonts w:ascii="Times New Roman" w:hAnsi="Times New Roman" w:cs="Times New Roman"/>
                <w:bCs/>
                <w:sz w:val="21"/>
                <w:szCs w:val="21"/>
                <w:highlight w:val="yellow"/>
                <w:lang w:bidi="ar"/>
              </w:rPr>
            </w:pPr>
            <w:r>
              <w:rPr>
                <w:rFonts w:hint="default" w:ascii="Times New Roman" w:hAnsi="Times New Roman" w:eastAsia="宋体" w:cs="Times New Roman"/>
                <w:i w:val="0"/>
                <w:iCs w:val="0"/>
                <w:color w:val="000000"/>
                <w:kern w:val="0"/>
                <w:sz w:val="21"/>
                <w:szCs w:val="21"/>
                <w:u w:val="none"/>
                <w:lang w:val="en-US" w:eastAsia="zh-CN" w:bidi="ar"/>
              </w:rPr>
              <w:t>ND</w:t>
            </w:r>
          </w:p>
        </w:tc>
        <w:tc>
          <w:tcPr>
            <w:tcW w:w="856" w:type="pct"/>
            <w:noWrap w:val="0"/>
            <w:vAlign w:val="center"/>
          </w:tcPr>
          <w:p w14:paraId="66020731">
            <w:pPr>
              <w:keepNext w:val="0"/>
              <w:keepLines w:val="0"/>
              <w:widowControl/>
              <w:suppressLineNumbers w:val="0"/>
              <w:jc w:val="center"/>
              <w:textAlignment w:val="center"/>
              <w:rPr>
                <w:rFonts w:ascii="Times New Roman" w:hAnsi="Times New Roman" w:cs="Times New Roman"/>
                <w:bCs/>
                <w:sz w:val="21"/>
                <w:szCs w:val="21"/>
                <w:highlight w:val="yellow"/>
                <w:lang w:bidi="ar"/>
              </w:rPr>
            </w:pPr>
            <w:r>
              <w:rPr>
                <w:rFonts w:hint="default" w:ascii="Times New Roman" w:hAnsi="Times New Roman" w:eastAsia="宋体" w:cs="Times New Roman"/>
                <w:i w:val="0"/>
                <w:iCs w:val="0"/>
                <w:color w:val="000000"/>
                <w:kern w:val="0"/>
                <w:sz w:val="21"/>
                <w:szCs w:val="21"/>
                <w:u w:val="none"/>
                <w:lang w:val="en-US" w:eastAsia="zh-CN" w:bidi="ar"/>
              </w:rPr>
              <w:t>ND</w:t>
            </w:r>
          </w:p>
        </w:tc>
        <w:tc>
          <w:tcPr>
            <w:tcW w:w="857" w:type="pct"/>
            <w:noWrap w:val="0"/>
            <w:vAlign w:val="center"/>
          </w:tcPr>
          <w:p w14:paraId="173A9B30">
            <w:pPr>
              <w:jc w:val="center"/>
              <w:textAlignment w:val="center"/>
              <w:rPr>
                <w:rFonts w:ascii="Times New Roman" w:hAnsi="Times New Roman" w:cs="Times New Roman"/>
                <w:bCs/>
                <w:sz w:val="21"/>
                <w:szCs w:val="21"/>
                <w:highlight w:val="none"/>
                <w:lang w:bidi="ar"/>
              </w:rPr>
            </w:pPr>
            <w:r>
              <w:rPr>
                <w:rFonts w:ascii="Times New Roman" w:hAnsi="Times New Roman" w:cs="Times New Roman"/>
                <w:bCs/>
                <w:sz w:val="21"/>
                <w:szCs w:val="21"/>
                <w:highlight w:val="none"/>
              </w:rPr>
              <w:t>-</w:t>
            </w:r>
          </w:p>
        </w:tc>
      </w:tr>
      <w:tr w14:paraId="1FB7C699">
        <w:tblPrEx>
          <w:tblBorders>
            <w:top w:val="thinThickSmallGap" w:color="auto" w:sz="12" w:space="0"/>
            <w:left w:val="none" w:color="auto" w:sz="0" w:space="0"/>
            <w:bottom w:val="thickThinSmallGap" w:color="auto" w:sz="12" w:space="0"/>
            <w:right w:val="none" w:color="auto" w:sz="0" w:space="0"/>
            <w:insideH w:val="single" w:color="auto" w:sz="4" w:space="0"/>
            <w:insideV w:val="single" w:color="000000" w:sz="4" w:space="0"/>
          </w:tblBorders>
          <w:tblCellMar>
            <w:top w:w="0" w:type="dxa"/>
            <w:left w:w="108" w:type="dxa"/>
            <w:bottom w:w="0" w:type="dxa"/>
            <w:right w:w="108" w:type="dxa"/>
          </w:tblCellMar>
        </w:tblPrEx>
        <w:trPr>
          <w:trHeight w:val="340" w:hRule="atLeast"/>
          <w:jc w:val="center"/>
        </w:trPr>
        <w:tc>
          <w:tcPr>
            <w:tcW w:w="665" w:type="pct"/>
            <w:vMerge w:val="continue"/>
            <w:noWrap w:val="0"/>
            <w:vAlign w:val="center"/>
          </w:tcPr>
          <w:p w14:paraId="3CAA3D01">
            <w:pPr>
              <w:jc w:val="center"/>
              <w:rPr>
                <w:rFonts w:ascii="Times New Roman" w:hAnsi="Times New Roman" w:cs="Times New Roman"/>
                <w:bCs/>
                <w:sz w:val="21"/>
                <w:szCs w:val="21"/>
              </w:rPr>
            </w:pPr>
          </w:p>
        </w:tc>
        <w:tc>
          <w:tcPr>
            <w:tcW w:w="821" w:type="pct"/>
            <w:noWrap w:val="0"/>
            <w:vAlign w:val="center"/>
          </w:tcPr>
          <w:p w14:paraId="2E8456E0">
            <w:pPr>
              <w:jc w:val="center"/>
              <w:textAlignment w:val="center"/>
              <w:rPr>
                <w:rFonts w:ascii="Times New Roman" w:hAnsi="Times New Roman" w:cs="Times New Roman"/>
                <w:bCs/>
                <w:sz w:val="21"/>
                <w:szCs w:val="21"/>
                <w:highlight w:val="none"/>
              </w:rPr>
            </w:pPr>
            <w:r>
              <w:rPr>
                <w:rFonts w:ascii="Times New Roman" w:hAnsi="Times New Roman" w:cs="Times New Roman"/>
                <w:bCs/>
                <w:spacing w:val="-5"/>
                <w:sz w:val="21"/>
                <w:szCs w:val="21"/>
                <w:highlight w:val="none"/>
                <w:lang w:bidi="ar"/>
              </w:rPr>
              <w:t>1,2,3-三氯丙烷</w:t>
            </w:r>
          </w:p>
        </w:tc>
        <w:tc>
          <w:tcPr>
            <w:tcW w:w="943" w:type="pct"/>
            <w:noWrap w:val="0"/>
            <w:vAlign w:val="center"/>
          </w:tcPr>
          <w:p w14:paraId="3FB2BEA3">
            <w:pPr>
              <w:jc w:val="center"/>
              <w:rPr>
                <w:rFonts w:ascii="Times New Roman" w:hAnsi="Times New Roman" w:cs="Times New Roman"/>
                <w:bCs/>
                <w:sz w:val="21"/>
                <w:szCs w:val="21"/>
                <w:highlight w:val="none"/>
              </w:rPr>
            </w:pPr>
            <w:r>
              <w:rPr>
                <w:rFonts w:ascii="Times New Roman" w:hAnsi="Times New Roman" w:cs="Times New Roman"/>
                <w:bCs/>
                <w:sz w:val="21"/>
                <w:szCs w:val="21"/>
                <w:highlight w:val="none"/>
              </w:rPr>
              <w:t>μg/kg</w:t>
            </w:r>
          </w:p>
        </w:tc>
        <w:tc>
          <w:tcPr>
            <w:tcW w:w="856" w:type="pct"/>
            <w:noWrap w:val="0"/>
            <w:vAlign w:val="center"/>
          </w:tcPr>
          <w:p w14:paraId="122B6B27">
            <w:pPr>
              <w:keepNext w:val="0"/>
              <w:keepLines w:val="0"/>
              <w:widowControl/>
              <w:suppressLineNumbers w:val="0"/>
              <w:jc w:val="center"/>
              <w:textAlignment w:val="center"/>
              <w:rPr>
                <w:rFonts w:ascii="Times New Roman" w:hAnsi="Times New Roman" w:cs="Times New Roman"/>
                <w:bCs/>
                <w:sz w:val="21"/>
                <w:szCs w:val="21"/>
                <w:highlight w:val="yellow"/>
                <w:lang w:bidi="ar"/>
              </w:rPr>
            </w:pPr>
            <w:r>
              <w:rPr>
                <w:rFonts w:hint="default" w:ascii="Times New Roman" w:hAnsi="Times New Roman" w:eastAsia="宋体" w:cs="Times New Roman"/>
                <w:i w:val="0"/>
                <w:iCs w:val="0"/>
                <w:color w:val="000000"/>
                <w:kern w:val="0"/>
                <w:sz w:val="21"/>
                <w:szCs w:val="21"/>
                <w:u w:val="none"/>
                <w:lang w:val="en-US" w:eastAsia="zh-CN" w:bidi="ar"/>
              </w:rPr>
              <w:t>ND</w:t>
            </w:r>
          </w:p>
        </w:tc>
        <w:tc>
          <w:tcPr>
            <w:tcW w:w="856" w:type="pct"/>
            <w:noWrap w:val="0"/>
            <w:vAlign w:val="center"/>
          </w:tcPr>
          <w:p w14:paraId="6D989B94">
            <w:pPr>
              <w:keepNext w:val="0"/>
              <w:keepLines w:val="0"/>
              <w:widowControl/>
              <w:suppressLineNumbers w:val="0"/>
              <w:jc w:val="center"/>
              <w:textAlignment w:val="center"/>
              <w:rPr>
                <w:rFonts w:ascii="Times New Roman" w:hAnsi="Times New Roman" w:cs="Times New Roman"/>
                <w:bCs/>
                <w:sz w:val="21"/>
                <w:szCs w:val="21"/>
                <w:highlight w:val="yellow"/>
                <w:lang w:bidi="ar"/>
              </w:rPr>
            </w:pPr>
            <w:r>
              <w:rPr>
                <w:rFonts w:hint="default" w:ascii="Times New Roman" w:hAnsi="Times New Roman" w:eastAsia="宋体" w:cs="Times New Roman"/>
                <w:i w:val="0"/>
                <w:iCs w:val="0"/>
                <w:color w:val="000000"/>
                <w:kern w:val="0"/>
                <w:sz w:val="21"/>
                <w:szCs w:val="21"/>
                <w:u w:val="none"/>
                <w:lang w:val="en-US" w:eastAsia="zh-CN" w:bidi="ar"/>
              </w:rPr>
              <w:t>ND</w:t>
            </w:r>
          </w:p>
        </w:tc>
        <w:tc>
          <w:tcPr>
            <w:tcW w:w="857" w:type="pct"/>
            <w:noWrap w:val="0"/>
            <w:vAlign w:val="center"/>
          </w:tcPr>
          <w:p w14:paraId="5DC4E785">
            <w:pPr>
              <w:jc w:val="center"/>
              <w:textAlignment w:val="center"/>
              <w:rPr>
                <w:rFonts w:ascii="Times New Roman" w:hAnsi="Times New Roman" w:cs="Times New Roman"/>
                <w:bCs/>
                <w:sz w:val="21"/>
                <w:szCs w:val="21"/>
                <w:highlight w:val="none"/>
                <w:lang w:bidi="ar"/>
              </w:rPr>
            </w:pPr>
            <w:r>
              <w:rPr>
                <w:rFonts w:ascii="Times New Roman" w:hAnsi="Times New Roman" w:cs="Times New Roman"/>
                <w:bCs/>
                <w:sz w:val="21"/>
                <w:szCs w:val="21"/>
                <w:highlight w:val="none"/>
              </w:rPr>
              <w:t>-</w:t>
            </w:r>
          </w:p>
        </w:tc>
      </w:tr>
      <w:tr w14:paraId="72EEE5F3">
        <w:tblPrEx>
          <w:tblBorders>
            <w:top w:val="thinThickSmallGap" w:color="auto" w:sz="12" w:space="0"/>
            <w:left w:val="none" w:color="auto" w:sz="0" w:space="0"/>
            <w:bottom w:val="thickThinSmallGap" w:color="auto" w:sz="12" w:space="0"/>
            <w:right w:val="none" w:color="auto" w:sz="0" w:space="0"/>
            <w:insideH w:val="single" w:color="auto" w:sz="4" w:space="0"/>
            <w:insideV w:val="single" w:color="000000" w:sz="4" w:space="0"/>
          </w:tblBorders>
          <w:tblCellMar>
            <w:top w:w="0" w:type="dxa"/>
            <w:left w:w="108" w:type="dxa"/>
            <w:bottom w:w="0" w:type="dxa"/>
            <w:right w:w="108" w:type="dxa"/>
          </w:tblCellMar>
        </w:tblPrEx>
        <w:trPr>
          <w:trHeight w:val="340" w:hRule="atLeast"/>
          <w:jc w:val="center"/>
        </w:trPr>
        <w:tc>
          <w:tcPr>
            <w:tcW w:w="665" w:type="pct"/>
            <w:vMerge w:val="continue"/>
            <w:noWrap w:val="0"/>
            <w:vAlign w:val="center"/>
          </w:tcPr>
          <w:p w14:paraId="3D04FBD1">
            <w:pPr>
              <w:jc w:val="center"/>
              <w:rPr>
                <w:rFonts w:ascii="Times New Roman" w:hAnsi="Times New Roman" w:cs="Times New Roman"/>
                <w:bCs/>
                <w:sz w:val="21"/>
                <w:szCs w:val="21"/>
              </w:rPr>
            </w:pPr>
          </w:p>
        </w:tc>
        <w:tc>
          <w:tcPr>
            <w:tcW w:w="821" w:type="pct"/>
            <w:noWrap w:val="0"/>
            <w:vAlign w:val="center"/>
          </w:tcPr>
          <w:p w14:paraId="6F839CED">
            <w:pPr>
              <w:jc w:val="center"/>
              <w:textAlignment w:val="center"/>
              <w:rPr>
                <w:rFonts w:ascii="Times New Roman" w:hAnsi="Times New Roman" w:cs="Times New Roman"/>
                <w:bCs/>
                <w:sz w:val="21"/>
                <w:szCs w:val="21"/>
                <w:highlight w:val="none"/>
              </w:rPr>
            </w:pPr>
            <w:r>
              <w:rPr>
                <w:rFonts w:ascii="Times New Roman" w:hAnsi="Times New Roman" w:cs="Times New Roman"/>
                <w:bCs/>
                <w:spacing w:val="-5"/>
                <w:sz w:val="21"/>
                <w:szCs w:val="21"/>
                <w:highlight w:val="none"/>
                <w:lang w:bidi="ar"/>
              </w:rPr>
              <w:t>1,4-二氯苯</w:t>
            </w:r>
          </w:p>
        </w:tc>
        <w:tc>
          <w:tcPr>
            <w:tcW w:w="943" w:type="pct"/>
            <w:noWrap w:val="0"/>
            <w:vAlign w:val="center"/>
          </w:tcPr>
          <w:p w14:paraId="27EB29C9">
            <w:pPr>
              <w:jc w:val="center"/>
              <w:rPr>
                <w:rFonts w:ascii="Times New Roman" w:hAnsi="Times New Roman" w:cs="Times New Roman"/>
                <w:bCs/>
                <w:sz w:val="21"/>
                <w:szCs w:val="21"/>
                <w:highlight w:val="none"/>
              </w:rPr>
            </w:pPr>
            <w:r>
              <w:rPr>
                <w:rFonts w:ascii="Times New Roman" w:hAnsi="Times New Roman" w:cs="Times New Roman"/>
                <w:bCs/>
                <w:sz w:val="21"/>
                <w:szCs w:val="21"/>
                <w:highlight w:val="none"/>
              </w:rPr>
              <w:t>μg/kg</w:t>
            </w:r>
          </w:p>
        </w:tc>
        <w:tc>
          <w:tcPr>
            <w:tcW w:w="856" w:type="pct"/>
            <w:noWrap w:val="0"/>
            <w:vAlign w:val="center"/>
          </w:tcPr>
          <w:p w14:paraId="073C9D72">
            <w:pPr>
              <w:keepNext w:val="0"/>
              <w:keepLines w:val="0"/>
              <w:widowControl/>
              <w:suppressLineNumbers w:val="0"/>
              <w:jc w:val="center"/>
              <w:textAlignment w:val="center"/>
              <w:rPr>
                <w:rFonts w:ascii="Times New Roman" w:hAnsi="Times New Roman" w:cs="Times New Roman"/>
                <w:bCs/>
                <w:sz w:val="21"/>
                <w:szCs w:val="21"/>
                <w:highlight w:val="yellow"/>
                <w:lang w:bidi="ar"/>
              </w:rPr>
            </w:pPr>
            <w:r>
              <w:rPr>
                <w:rFonts w:hint="default" w:ascii="Times New Roman" w:hAnsi="Times New Roman" w:eastAsia="宋体" w:cs="Times New Roman"/>
                <w:i w:val="0"/>
                <w:iCs w:val="0"/>
                <w:color w:val="000000"/>
                <w:kern w:val="0"/>
                <w:sz w:val="21"/>
                <w:szCs w:val="21"/>
                <w:u w:val="none"/>
                <w:lang w:val="en-US" w:eastAsia="zh-CN" w:bidi="ar"/>
              </w:rPr>
              <w:t>ND</w:t>
            </w:r>
          </w:p>
        </w:tc>
        <w:tc>
          <w:tcPr>
            <w:tcW w:w="856" w:type="pct"/>
            <w:noWrap w:val="0"/>
            <w:vAlign w:val="center"/>
          </w:tcPr>
          <w:p w14:paraId="70ABEF31">
            <w:pPr>
              <w:keepNext w:val="0"/>
              <w:keepLines w:val="0"/>
              <w:widowControl/>
              <w:suppressLineNumbers w:val="0"/>
              <w:jc w:val="center"/>
              <w:textAlignment w:val="center"/>
              <w:rPr>
                <w:rFonts w:ascii="Times New Roman" w:hAnsi="Times New Roman" w:cs="Times New Roman"/>
                <w:bCs/>
                <w:sz w:val="21"/>
                <w:szCs w:val="21"/>
                <w:highlight w:val="yellow"/>
                <w:lang w:bidi="ar"/>
              </w:rPr>
            </w:pPr>
            <w:r>
              <w:rPr>
                <w:rFonts w:hint="default" w:ascii="Times New Roman" w:hAnsi="Times New Roman" w:eastAsia="宋体" w:cs="Times New Roman"/>
                <w:i w:val="0"/>
                <w:iCs w:val="0"/>
                <w:color w:val="000000"/>
                <w:kern w:val="0"/>
                <w:sz w:val="21"/>
                <w:szCs w:val="21"/>
                <w:u w:val="none"/>
                <w:lang w:val="en-US" w:eastAsia="zh-CN" w:bidi="ar"/>
              </w:rPr>
              <w:t>ND</w:t>
            </w:r>
          </w:p>
        </w:tc>
        <w:tc>
          <w:tcPr>
            <w:tcW w:w="857" w:type="pct"/>
            <w:noWrap w:val="0"/>
            <w:vAlign w:val="center"/>
          </w:tcPr>
          <w:p w14:paraId="26606939">
            <w:pPr>
              <w:jc w:val="center"/>
              <w:textAlignment w:val="center"/>
              <w:rPr>
                <w:rFonts w:ascii="Times New Roman" w:hAnsi="Times New Roman" w:cs="Times New Roman"/>
                <w:bCs/>
                <w:sz w:val="21"/>
                <w:szCs w:val="21"/>
                <w:highlight w:val="none"/>
                <w:lang w:bidi="ar"/>
              </w:rPr>
            </w:pPr>
            <w:r>
              <w:rPr>
                <w:rFonts w:ascii="Times New Roman" w:hAnsi="Times New Roman" w:cs="Times New Roman"/>
                <w:bCs/>
                <w:sz w:val="21"/>
                <w:szCs w:val="21"/>
                <w:highlight w:val="none"/>
              </w:rPr>
              <w:t>-</w:t>
            </w:r>
          </w:p>
        </w:tc>
      </w:tr>
      <w:tr w14:paraId="7ECEA066">
        <w:tblPrEx>
          <w:tblBorders>
            <w:top w:val="thinThickSmallGap" w:color="auto" w:sz="12" w:space="0"/>
            <w:left w:val="none" w:color="auto" w:sz="0" w:space="0"/>
            <w:bottom w:val="thickThinSmallGap" w:color="auto" w:sz="12" w:space="0"/>
            <w:right w:val="none" w:color="auto" w:sz="0" w:space="0"/>
            <w:insideH w:val="single" w:color="auto" w:sz="4" w:space="0"/>
            <w:insideV w:val="single" w:color="000000" w:sz="4" w:space="0"/>
          </w:tblBorders>
          <w:tblCellMar>
            <w:top w:w="0" w:type="dxa"/>
            <w:left w:w="108" w:type="dxa"/>
            <w:bottom w:w="0" w:type="dxa"/>
            <w:right w:w="108" w:type="dxa"/>
          </w:tblCellMar>
        </w:tblPrEx>
        <w:trPr>
          <w:trHeight w:val="340" w:hRule="atLeast"/>
          <w:jc w:val="center"/>
        </w:trPr>
        <w:tc>
          <w:tcPr>
            <w:tcW w:w="665" w:type="pct"/>
            <w:vMerge w:val="continue"/>
            <w:noWrap w:val="0"/>
            <w:vAlign w:val="center"/>
          </w:tcPr>
          <w:p w14:paraId="2A13FBB4">
            <w:pPr>
              <w:jc w:val="center"/>
              <w:rPr>
                <w:rFonts w:ascii="Times New Roman" w:hAnsi="Times New Roman" w:cs="Times New Roman"/>
                <w:bCs/>
                <w:sz w:val="21"/>
                <w:szCs w:val="21"/>
              </w:rPr>
            </w:pPr>
          </w:p>
        </w:tc>
        <w:tc>
          <w:tcPr>
            <w:tcW w:w="821" w:type="pct"/>
            <w:noWrap w:val="0"/>
            <w:vAlign w:val="center"/>
          </w:tcPr>
          <w:p w14:paraId="08657361">
            <w:pPr>
              <w:jc w:val="center"/>
              <w:textAlignment w:val="center"/>
              <w:rPr>
                <w:rFonts w:ascii="Times New Roman" w:hAnsi="Times New Roman" w:cs="Times New Roman"/>
                <w:bCs/>
                <w:sz w:val="21"/>
                <w:szCs w:val="21"/>
                <w:highlight w:val="none"/>
              </w:rPr>
            </w:pPr>
            <w:r>
              <w:rPr>
                <w:rFonts w:ascii="Times New Roman" w:hAnsi="Times New Roman" w:cs="Times New Roman"/>
                <w:bCs/>
                <w:spacing w:val="-5"/>
                <w:sz w:val="21"/>
                <w:szCs w:val="21"/>
                <w:highlight w:val="none"/>
                <w:lang w:bidi="ar"/>
              </w:rPr>
              <w:t>1,2-二氯苯</w:t>
            </w:r>
          </w:p>
        </w:tc>
        <w:tc>
          <w:tcPr>
            <w:tcW w:w="943" w:type="pct"/>
            <w:noWrap w:val="0"/>
            <w:vAlign w:val="center"/>
          </w:tcPr>
          <w:p w14:paraId="082D2906">
            <w:pPr>
              <w:jc w:val="center"/>
              <w:rPr>
                <w:rFonts w:ascii="Times New Roman" w:hAnsi="Times New Roman" w:cs="Times New Roman"/>
                <w:bCs/>
                <w:sz w:val="21"/>
                <w:szCs w:val="21"/>
                <w:highlight w:val="none"/>
              </w:rPr>
            </w:pPr>
            <w:r>
              <w:rPr>
                <w:rFonts w:ascii="Times New Roman" w:hAnsi="Times New Roman" w:cs="Times New Roman"/>
                <w:bCs/>
                <w:sz w:val="21"/>
                <w:szCs w:val="21"/>
                <w:highlight w:val="none"/>
              </w:rPr>
              <w:t>μg/kg</w:t>
            </w:r>
          </w:p>
        </w:tc>
        <w:tc>
          <w:tcPr>
            <w:tcW w:w="856" w:type="pct"/>
            <w:noWrap w:val="0"/>
            <w:vAlign w:val="center"/>
          </w:tcPr>
          <w:p w14:paraId="52A38BD3">
            <w:pPr>
              <w:keepNext w:val="0"/>
              <w:keepLines w:val="0"/>
              <w:widowControl/>
              <w:suppressLineNumbers w:val="0"/>
              <w:jc w:val="center"/>
              <w:textAlignment w:val="center"/>
              <w:rPr>
                <w:rFonts w:ascii="Times New Roman" w:hAnsi="Times New Roman" w:cs="Times New Roman"/>
                <w:bCs/>
                <w:sz w:val="21"/>
                <w:szCs w:val="21"/>
                <w:highlight w:val="yellow"/>
                <w:lang w:bidi="ar"/>
              </w:rPr>
            </w:pPr>
            <w:r>
              <w:rPr>
                <w:rFonts w:hint="default" w:ascii="Times New Roman" w:hAnsi="Times New Roman" w:eastAsia="宋体" w:cs="Times New Roman"/>
                <w:i w:val="0"/>
                <w:iCs w:val="0"/>
                <w:color w:val="000000"/>
                <w:kern w:val="0"/>
                <w:sz w:val="21"/>
                <w:szCs w:val="21"/>
                <w:u w:val="none"/>
                <w:lang w:val="en-US" w:eastAsia="zh-CN" w:bidi="ar"/>
              </w:rPr>
              <w:t>ND</w:t>
            </w:r>
          </w:p>
        </w:tc>
        <w:tc>
          <w:tcPr>
            <w:tcW w:w="856" w:type="pct"/>
            <w:noWrap w:val="0"/>
            <w:vAlign w:val="center"/>
          </w:tcPr>
          <w:p w14:paraId="6A5C4900">
            <w:pPr>
              <w:keepNext w:val="0"/>
              <w:keepLines w:val="0"/>
              <w:widowControl/>
              <w:suppressLineNumbers w:val="0"/>
              <w:jc w:val="center"/>
              <w:textAlignment w:val="center"/>
              <w:rPr>
                <w:rFonts w:ascii="Times New Roman" w:hAnsi="Times New Roman" w:cs="Times New Roman"/>
                <w:bCs/>
                <w:sz w:val="21"/>
                <w:szCs w:val="21"/>
                <w:highlight w:val="yellow"/>
                <w:lang w:bidi="ar"/>
              </w:rPr>
            </w:pPr>
            <w:r>
              <w:rPr>
                <w:rFonts w:hint="default" w:ascii="Times New Roman" w:hAnsi="Times New Roman" w:eastAsia="宋体" w:cs="Times New Roman"/>
                <w:i w:val="0"/>
                <w:iCs w:val="0"/>
                <w:color w:val="000000"/>
                <w:kern w:val="0"/>
                <w:sz w:val="21"/>
                <w:szCs w:val="21"/>
                <w:u w:val="none"/>
                <w:lang w:val="en-US" w:eastAsia="zh-CN" w:bidi="ar"/>
              </w:rPr>
              <w:t>ND</w:t>
            </w:r>
          </w:p>
        </w:tc>
        <w:tc>
          <w:tcPr>
            <w:tcW w:w="857" w:type="pct"/>
            <w:noWrap w:val="0"/>
            <w:vAlign w:val="center"/>
          </w:tcPr>
          <w:p w14:paraId="24B007CC">
            <w:pPr>
              <w:jc w:val="center"/>
              <w:textAlignment w:val="center"/>
              <w:rPr>
                <w:rFonts w:ascii="Times New Roman" w:hAnsi="Times New Roman" w:cs="Times New Roman"/>
                <w:bCs/>
                <w:sz w:val="21"/>
                <w:szCs w:val="21"/>
                <w:highlight w:val="none"/>
                <w:lang w:bidi="ar"/>
              </w:rPr>
            </w:pPr>
            <w:r>
              <w:rPr>
                <w:rFonts w:ascii="Times New Roman" w:hAnsi="Times New Roman" w:cs="Times New Roman"/>
                <w:bCs/>
                <w:sz w:val="21"/>
                <w:szCs w:val="21"/>
                <w:highlight w:val="none"/>
              </w:rPr>
              <w:t>-</w:t>
            </w:r>
          </w:p>
        </w:tc>
      </w:tr>
      <w:tr w14:paraId="5EE88B9D">
        <w:tblPrEx>
          <w:tblBorders>
            <w:top w:val="thinThickSmallGap" w:color="auto" w:sz="12" w:space="0"/>
            <w:left w:val="none" w:color="auto" w:sz="0" w:space="0"/>
            <w:bottom w:val="thickThinSmallGap" w:color="auto" w:sz="12" w:space="0"/>
            <w:right w:val="none" w:color="auto" w:sz="0" w:space="0"/>
            <w:insideH w:val="single" w:color="auto" w:sz="4" w:space="0"/>
            <w:insideV w:val="single" w:color="000000" w:sz="4" w:space="0"/>
          </w:tblBorders>
          <w:tblCellMar>
            <w:top w:w="0" w:type="dxa"/>
            <w:left w:w="108" w:type="dxa"/>
            <w:bottom w:w="0" w:type="dxa"/>
            <w:right w:w="108" w:type="dxa"/>
          </w:tblCellMar>
        </w:tblPrEx>
        <w:trPr>
          <w:trHeight w:val="340" w:hRule="atLeast"/>
          <w:jc w:val="center"/>
        </w:trPr>
        <w:tc>
          <w:tcPr>
            <w:tcW w:w="665" w:type="pct"/>
            <w:vMerge w:val="continue"/>
            <w:noWrap w:val="0"/>
            <w:vAlign w:val="center"/>
          </w:tcPr>
          <w:p w14:paraId="07AC1CEE">
            <w:pPr>
              <w:jc w:val="center"/>
              <w:rPr>
                <w:rFonts w:ascii="Times New Roman" w:hAnsi="Times New Roman" w:cs="Times New Roman"/>
                <w:bCs/>
                <w:sz w:val="21"/>
                <w:szCs w:val="21"/>
              </w:rPr>
            </w:pPr>
          </w:p>
        </w:tc>
        <w:tc>
          <w:tcPr>
            <w:tcW w:w="821" w:type="pct"/>
            <w:noWrap w:val="0"/>
            <w:vAlign w:val="center"/>
          </w:tcPr>
          <w:p w14:paraId="4D8633E0">
            <w:pPr>
              <w:jc w:val="center"/>
              <w:textAlignment w:val="center"/>
              <w:rPr>
                <w:rFonts w:ascii="Times New Roman" w:hAnsi="Times New Roman" w:cs="Times New Roman"/>
                <w:bCs/>
                <w:sz w:val="21"/>
                <w:szCs w:val="21"/>
                <w:highlight w:val="none"/>
              </w:rPr>
            </w:pPr>
            <w:r>
              <w:rPr>
                <w:rFonts w:ascii="Times New Roman" w:hAnsi="Times New Roman" w:cs="Times New Roman"/>
                <w:bCs/>
                <w:spacing w:val="-5"/>
                <w:sz w:val="21"/>
                <w:szCs w:val="21"/>
                <w:highlight w:val="none"/>
                <w:lang w:bidi="ar"/>
              </w:rPr>
              <w:t>1,1,2,2-四氯乙烷</w:t>
            </w:r>
          </w:p>
        </w:tc>
        <w:tc>
          <w:tcPr>
            <w:tcW w:w="943" w:type="pct"/>
            <w:noWrap w:val="0"/>
            <w:vAlign w:val="center"/>
          </w:tcPr>
          <w:p w14:paraId="35F332D0">
            <w:pPr>
              <w:jc w:val="center"/>
              <w:rPr>
                <w:rFonts w:ascii="Times New Roman" w:hAnsi="Times New Roman" w:cs="Times New Roman"/>
                <w:bCs/>
                <w:sz w:val="21"/>
                <w:szCs w:val="21"/>
                <w:highlight w:val="none"/>
              </w:rPr>
            </w:pPr>
            <w:r>
              <w:rPr>
                <w:rFonts w:ascii="Times New Roman" w:hAnsi="Times New Roman" w:cs="Times New Roman"/>
                <w:bCs/>
                <w:sz w:val="21"/>
                <w:szCs w:val="21"/>
                <w:highlight w:val="none"/>
              </w:rPr>
              <w:t>μg/kg</w:t>
            </w:r>
          </w:p>
        </w:tc>
        <w:tc>
          <w:tcPr>
            <w:tcW w:w="856" w:type="pct"/>
            <w:noWrap w:val="0"/>
            <w:vAlign w:val="center"/>
          </w:tcPr>
          <w:p w14:paraId="6A46A042">
            <w:pPr>
              <w:keepNext w:val="0"/>
              <w:keepLines w:val="0"/>
              <w:widowControl/>
              <w:suppressLineNumbers w:val="0"/>
              <w:jc w:val="center"/>
              <w:textAlignment w:val="center"/>
              <w:rPr>
                <w:rFonts w:ascii="Times New Roman" w:hAnsi="Times New Roman" w:cs="Times New Roman"/>
                <w:bCs/>
                <w:sz w:val="21"/>
                <w:szCs w:val="21"/>
                <w:highlight w:val="yellow"/>
                <w:lang w:bidi="ar"/>
              </w:rPr>
            </w:pPr>
            <w:r>
              <w:rPr>
                <w:rFonts w:hint="default" w:ascii="Times New Roman" w:hAnsi="Times New Roman" w:eastAsia="宋体" w:cs="Times New Roman"/>
                <w:i w:val="0"/>
                <w:iCs w:val="0"/>
                <w:color w:val="000000"/>
                <w:kern w:val="0"/>
                <w:sz w:val="21"/>
                <w:szCs w:val="21"/>
                <w:u w:val="none"/>
                <w:lang w:val="en-US" w:eastAsia="zh-CN" w:bidi="ar"/>
              </w:rPr>
              <w:t>ND</w:t>
            </w:r>
          </w:p>
        </w:tc>
        <w:tc>
          <w:tcPr>
            <w:tcW w:w="856" w:type="pct"/>
            <w:noWrap w:val="0"/>
            <w:vAlign w:val="center"/>
          </w:tcPr>
          <w:p w14:paraId="04E20CEA">
            <w:pPr>
              <w:keepNext w:val="0"/>
              <w:keepLines w:val="0"/>
              <w:widowControl/>
              <w:suppressLineNumbers w:val="0"/>
              <w:jc w:val="center"/>
              <w:textAlignment w:val="center"/>
              <w:rPr>
                <w:rFonts w:ascii="Times New Roman" w:hAnsi="Times New Roman" w:cs="Times New Roman"/>
                <w:bCs/>
                <w:sz w:val="21"/>
                <w:szCs w:val="21"/>
                <w:highlight w:val="yellow"/>
                <w:lang w:bidi="ar"/>
              </w:rPr>
            </w:pPr>
            <w:r>
              <w:rPr>
                <w:rFonts w:hint="default" w:ascii="Times New Roman" w:hAnsi="Times New Roman" w:eastAsia="宋体" w:cs="Times New Roman"/>
                <w:i w:val="0"/>
                <w:iCs w:val="0"/>
                <w:color w:val="000000"/>
                <w:kern w:val="0"/>
                <w:sz w:val="21"/>
                <w:szCs w:val="21"/>
                <w:u w:val="none"/>
                <w:lang w:val="en-US" w:eastAsia="zh-CN" w:bidi="ar"/>
              </w:rPr>
              <w:t>ND</w:t>
            </w:r>
          </w:p>
        </w:tc>
        <w:tc>
          <w:tcPr>
            <w:tcW w:w="857" w:type="pct"/>
            <w:noWrap w:val="0"/>
            <w:vAlign w:val="center"/>
          </w:tcPr>
          <w:p w14:paraId="3E10E761">
            <w:pPr>
              <w:jc w:val="center"/>
              <w:textAlignment w:val="center"/>
              <w:rPr>
                <w:rFonts w:ascii="Times New Roman" w:hAnsi="Times New Roman" w:cs="Times New Roman"/>
                <w:bCs/>
                <w:sz w:val="21"/>
                <w:szCs w:val="21"/>
                <w:highlight w:val="none"/>
                <w:lang w:bidi="ar"/>
              </w:rPr>
            </w:pPr>
            <w:r>
              <w:rPr>
                <w:rFonts w:ascii="Times New Roman" w:hAnsi="Times New Roman" w:cs="Times New Roman"/>
                <w:bCs/>
                <w:sz w:val="21"/>
                <w:szCs w:val="21"/>
                <w:highlight w:val="none"/>
              </w:rPr>
              <w:t>-</w:t>
            </w:r>
          </w:p>
        </w:tc>
      </w:tr>
      <w:tr w14:paraId="4467B80A">
        <w:tblPrEx>
          <w:tblBorders>
            <w:top w:val="thinThickSmallGap" w:color="auto" w:sz="12" w:space="0"/>
            <w:left w:val="none" w:color="auto" w:sz="0" w:space="0"/>
            <w:bottom w:val="thickThinSmallGap" w:color="auto" w:sz="12" w:space="0"/>
            <w:right w:val="none" w:color="auto" w:sz="0" w:space="0"/>
            <w:insideH w:val="single" w:color="auto" w:sz="4" w:space="0"/>
            <w:insideV w:val="single" w:color="000000" w:sz="4" w:space="0"/>
          </w:tblBorders>
          <w:tblCellMar>
            <w:top w:w="0" w:type="dxa"/>
            <w:left w:w="108" w:type="dxa"/>
            <w:bottom w:w="0" w:type="dxa"/>
            <w:right w:w="108" w:type="dxa"/>
          </w:tblCellMar>
        </w:tblPrEx>
        <w:trPr>
          <w:trHeight w:val="340" w:hRule="atLeast"/>
          <w:jc w:val="center"/>
        </w:trPr>
        <w:tc>
          <w:tcPr>
            <w:tcW w:w="665" w:type="pct"/>
            <w:vMerge w:val="continue"/>
            <w:noWrap w:val="0"/>
            <w:vAlign w:val="center"/>
          </w:tcPr>
          <w:p w14:paraId="0586495F">
            <w:pPr>
              <w:jc w:val="center"/>
              <w:rPr>
                <w:rFonts w:ascii="Times New Roman" w:hAnsi="Times New Roman" w:cs="Times New Roman"/>
                <w:bCs/>
                <w:sz w:val="21"/>
                <w:szCs w:val="21"/>
              </w:rPr>
            </w:pPr>
          </w:p>
        </w:tc>
        <w:tc>
          <w:tcPr>
            <w:tcW w:w="821" w:type="pct"/>
            <w:noWrap w:val="0"/>
            <w:vAlign w:val="center"/>
          </w:tcPr>
          <w:p w14:paraId="5AED18FD">
            <w:pPr>
              <w:jc w:val="center"/>
              <w:textAlignment w:val="center"/>
              <w:rPr>
                <w:rFonts w:ascii="Times New Roman" w:hAnsi="Times New Roman" w:cs="Times New Roman"/>
                <w:bCs/>
                <w:sz w:val="21"/>
                <w:szCs w:val="21"/>
                <w:highlight w:val="none"/>
              </w:rPr>
            </w:pPr>
            <w:r>
              <w:rPr>
                <w:rFonts w:ascii="Times New Roman" w:hAnsi="Times New Roman" w:cs="Times New Roman"/>
                <w:bCs/>
                <w:spacing w:val="-5"/>
                <w:sz w:val="21"/>
                <w:szCs w:val="21"/>
                <w:highlight w:val="none"/>
                <w:lang w:bidi="ar"/>
              </w:rPr>
              <w:t>2-</w:t>
            </w:r>
            <w:r>
              <w:rPr>
                <w:rFonts w:ascii="Times New Roman" w:hAnsi="Times New Roman" w:cs="Times New Roman"/>
                <w:bCs/>
                <w:sz w:val="21"/>
                <w:szCs w:val="21"/>
                <w:highlight w:val="none"/>
                <w:lang w:bidi="ar"/>
              </w:rPr>
              <w:t>氯苯酚</w:t>
            </w:r>
          </w:p>
        </w:tc>
        <w:tc>
          <w:tcPr>
            <w:tcW w:w="943" w:type="pct"/>
            <w:noWrap w:val="0"/>
            <w:vAlign w:val="center"/>
          </w:tcPr>
          <w:p w14:paraId="013FF349">
            <w:pPr>
              <w:jc w:val="center"/>
              <w:rPr>
                <w:rFonts w:ascii="Times New Roman" w:hAnsi="Times New Roman" w:cs="Times New Roman"/>
                <w:bCs/>
                <w:sz w:val="21"/>
                <w:szCs w:val="21"/>
                <w:highlight w:val="none"/>
              </w:rPr>
            </w:pPr>
            <w:r>
              <w:rPr>
                <w:rFonts w:ascii="Times New Roman" w:hAnsi="Times New Roman" w:cs="Times New Roman"/>
                <w:bCs/>
                <w:sz w:val="21"/>
                <w:szCs w:val="21"/>
                <w:highlight w:val="none"/>
              </w:rPr>
              <w:t>mg/kg</w:t>
            </w:r>
          </w:p>
        </w:tc>
        <w:tc>
          <w:tcPr>
            <w:tcW w:w="856" w:type="pct"/>
            <w:noWrap w:val="0"/>
            <w:vAlign w:val="center"/>
          </w:tcPr>
          <w:p w14:paraId="04730E0D">
            <w:pPr>
              <w:keepNext w:val="0"/>
              <w:keepLines w:val="0"/>
              <w:widowControl/>
              <w:suppressLineNumbers w:val="0"/>
              <w:jc w:val="center"/>
              <w:textAlignment w:val="center"/>
              <w:rPr>
                <w:rFonts w:ascii="Times New Roman" w:hAnsi="Times New Roman" w:cs="Times New Roman"/>
                <w:bCs/>
                <w:sz w:val="21"/>
                <w:szCs w:val="21"/>
                <w:highlight w:val="yellow"/>
                <w:lang w:bidi="ar"/>
              </w:rPr>
            </w:pPr>
            <w:r>
              <w:rPr>
                <w:rFonts w:hint="default" w:ascii="Times New Roman" w:hAnsi="Times New Roman" w:eastAsia="宋体" w:cs="Times New Roman"/>
                <w:i w:val="0"/>
                <w:iCs w:val="0"/>
                <w:color w:val="000000"/>
                <w:kern w:val="0"/>
                <w:sz w:val="21"/>
                <w:szCs w:val="21"/>
                <w:u w:val="none"/>
                <w:lang w:val="en-US" w:eastAsia="zh-CN" w:bidi="ar"/>
              </w:rPr>
              <w:t>ND</w:t>
            </w:r>
          </w:p>
        </w:tc>
        <w:tc>
          <w:tcPr>
            <w:tcW w:w="856" w:type="pct"/>
            <w:noWrap w:val="0"/>
            <w:vAlign w:val="center"/>
          </w:tcPr>
          <w:p w14:paraId="2F2E6CFE">
            <w:pPr>
              <w:keepNext w:val="0"/>
              <w:keepLines w:val="0"/>
              <w:widowControl/>
              <w:suppressLineNumbers w:val="0"/>
              <w:jc w:val="center"/>
              <w:textAlignment w:val="center"/>
              <w:rPr>
                <w:rFonts w:ascii="Times New Roman" w:hAnsi="Times New Roman" w:cs="Times New Roman"/>
                <w:bCs/>
                <w:sz w:val="21"/>
                <w:szCs w:val="21"/>
                <w:highlight w:val="yellow"/>
                <w:lang w:bidi="ar"/>
              </w:rPr>
            </w:pPr>
            <w:r>
              <w:rPr>
                <w:rFonts w:hint="default" w:ascii="Times New Roman" w:hAnsi="Times New Roman" w:eastAsia="宋体" w:cs="Times New Roman"/>
                <w:i w:val="0"/>
                <w:iCs w:val="0"/>
                <w:color w:val="000000"/>
                <w:kern w:val="0"/>
                <w:sz w:val="21"/>
                <w:szCs w:val="21"/>
                <w:u w:val="none"/>
                <w:lang w:val="en-US" w:eastAsia="zh-CN" w:bidi="ar"/>
              </w:rPr>
              <w:t>ND</w:t>
            </w:r>
          </w:p>
        </w:tc>
        <w:tc>
          <w:tcPr>
            <w:tcW w:w="857" w:type="pct"/>
            <w:noWrap w:val="0"/>
            <w:vAlign w:val="center"/>
          </w:tcPr>
          <w:p w14:paraId="5D6E66F2">
            <w:pPr>
              <w:jc w:val="center"/>
              <w:textAlignment w:val="center"/>
              <w:rPr>
                <w:rFonts w:ascii="Times New Roman" w:hAnsi="Times New Roman" w:cs="Times New Roman"/>
                <w:bCs/>
                <w:sz w:val="21"/>
                <w:szCs w:val="21"/>
                <w:highlight w:val="none"/>
                <w:lang w:bidi="ar"/>
              </w:rPr>
            </w:pPr>
            <w:r>
              <w:rPr>
                <w:rFonts w:ascii="Times New Roman" w:hAnsi="Times New Roman" w:cs="Times New Roman"/>
                <w:bCs/>
                <w:sz w:val="21"/>
                <w:szCs w:val="21"/>
                <w:highlight w:val="none"/>
              </w:rPr>
              <w:t>-</w:t>
            </w:r>
          </w:p>
        </w:tc>
      </w:tr>
      <w:tr w14:paraId="01867853">
        <w:tblPrEx>
          <w:tblBorders>
            <w:top w:val="thinThickSmallGap" w:color="auto" w:sz="12" w:space="0"/>
            <w:left w:val="none" w:color="auto" w:sz="0" w:space="0"/>
            <w:bottom w:val="thickThinSmallGap" w:color="auto" w:sz="12" w:space="0"/>
            <w:right w:val="none" w:color="auto" w:sz="0" w:space="0"/>
            <w:insideH w:val="single" w:color="auto" w:sz="4" w:space="0"/>
            <w:insideV w:val="single" w:color="000000" w:sz="4" w:space="0"/>
          </w:tblBorders>
          <w:tblCellMar>
            <w:top w:w="0" w:type="dxa"/>
            <w:left w:w="108" w:type="dxa"/>
            <w:bottom w:w="0" w:type="dxa"/>
            <w:right w:w="108" w:type="dxa"/>
          </w:tblCellMar>
        </w:tblPrEx>
        <w:trPr>
          <w:trHeight w:val="340" w:hRule="atLeast"/>
          <w:jc w:val="center"/>
        </w:trPr>
        <w:tc>
          <w:tcPr>
            <w:tcW w:w="665" w:type="pct"/>
            <w:vMerge w:val="continue"/>
            <w:noWrap w:val="0"/>
            <w:vAlign w:val="center"/>
          </w:tcPr>
          <w:p w14:paraId="4413DA51">
            <w:pPr>
              <w:jc w:val="center"/>
              <w:rPr>
                <w:rFonts w:ascii="Times New Roman" w:hAnsi="Times New Roman" w:cs="Times New Roman"/>
                <w:bCs/>
                <w:sz w:val="21"/>
                <w:szCs w:val="21"/>
              </w:rPr>
            </w:pPr>
          </w:p>
        </w:tc>
        <w:tc>
          <w:tcPr>
            <w:tcW w:w="821" w:type="pct"/>
            <w:noWrap w:val="0"/>
            <w:vAlign w:val="center"/>
          </w:tcPr>
          <w:p w14:paraId="5B912326">
            <w:pPr>
              <w:jc w:val="center"/>
              <w:textAlignment w:val="center"/>
              <w:rPr>
                <w:rFonts w:ascii="Times New Roman" w:hAnsi="Times New Roman" w:cs="Times New Roman"/>
                <w:bCs/>
                <w:sz w:val="21"/>
                <w:szCs w:val="21"/>
                <w:highlight w:val="none"/>
              </w:rPr>
            </w:pPr>
            <w:r>
              <w:rPr>
                <w:rFonts w:ascii="Times New Roman" w:hAnsi="Times New Roman" w:cs="Times New Roman"/>
                <w:bCs/>
                <w:spacing w:val="-5"/>
                <w:sz w:val="21"/>
                <w:szCs w:val="21"/>
                <w:highlight w:val="none"/>
                <w:lang w:bidi="ar"/>
              </w:rPr>
              <w:t>硝基苯</w:t>
            </w:r>
          </w:p>
        </w:tc>
        <w:tc>
          <w:tcPr>
            <w:tcW w:w="943" w:type="pct"/>
            <w:noWrap w:val="0"/>
            <w:vAlign w:val="center"/>
          </w:tcPr>
          <w:p w14:paraId="1DA4AA9A">
            <w:pPr>
              <w:jc w:val="center"/>
              <w:rPr>
                <w:rFonts w:ascii="Times New Roman" w:hAnsi="Times New Roman" w:cs="Times New Roman"/>
                <w:bCs/>
                <w:sz w:val="21"/>
                <w:szCs w:val="21"/>
                <w:highlight w:val="none"/>
              </w:rPr>
            </w:pPr>
            <w:r>
              <w:rPr>
                <w:rFonts w:ascii="Times New Roman" w:hAnsi="Times New Roman" w:cs="Times New Roman"/>
                <w:bCs/>
                <w:sz w:val="21"/>
                <w:szCs w:val="21"/>
                <w:highlight w:val="none"/>
              </w:rPr>
              <w:t>mg/kg</w:t>
            </w:r>
          </w:p>
        </w:tc>
        <w:tc>
          <w:tcPr>
            <w:tcW w:w="856" w:type="pct"/>
            <w:noWrap w:val="0"/>
            <w:vAlign w:val="center"/>
          </w:tcPr>
          <w:p w14:paraId="76041988">
            <w:pPr>
              <w:keepNext w:val="0"/>
              <w:keepLines w:val="0"/>
              <w:widowControl/>
              <w:suppressLineNumbers w:val="0"/>
              <w:jc w:val="center"/>
              <w:textAlignment w:val="center"/>
              <w:rPr>
                <w:rFonts w:ascii="Times New Roman" w:hAnsi="Times New Roman" w:cs="Times New Roman"/>
                <w:bCs/>
                <w:sz w:val="21"/>
                <w:szCs w:val="21"/>
                <w:highlight w:val="yellow"/>
                <w:lang w:bidi="ar"/>
              </w:rPr>
            </w:pPr>
            <w:r>
              <w:rPr>
                <w:rFonts w:hint="default" w:ascii="Times New Roman" w:hAnsi="Times New Roman" w:eastAsia="宋体" w:cs="Times New Roman"/>
                <w:i w:val="0"/>
                <w:iCs w:val="0"/>
                <w:color w:val="000000"/>
                <w:kern w:val="0"/>
                <w:sz w:val="21"/>
                <w:szCs w:val="21"/>
                <w:u w:val="none"/>
                <w:lang w:val="en-US" w:eastAsia="zh-CN" w:bidi="ar"/>
              </w:rPr>
              <w:t>ND</w:t>
            </w:r>
          </w:p>
        </w:tc>
        <w:tc>
          <w:tcPr>
            <w:tcW w:w="856" w:type="pct"/>
            <w:noWrap w:val="0"/>
            <w:vAlign w:val="center"/>
          </w:tcPr>
          <w:p w14:paraId="5AF2230D">
            <w:pPr>
              <w:keepNext w:val="0"/>
              <w:keepLines w:val="0"/>
              <w:widowControl/>
              <w:suppressLineNumbers w:val="0"/>
              <w:jc w:val="center"/>
              <w:textAlignment w:val="center"/>
              <w:rPr>
                <w:rFonts w:ascii="Times New Roman" w:hAnsi="Times New Roman" w:cs="Times New Roman"/>
                <w:bCs/>
                <w:sz w:val="21"/>
                <w:szCs w:val="21"/>
                <w:highlight w:val="yellow"/>
                <w:lang w:bidi="ar"/>
              </w:rPr>
            </w:pPr>
            <w:r>
              <w:rPr>
                <w:rFonts w:hint="default" w:ascii="Times New Roman" w:hAnsi="Times New Roman" w:eastAsia="宋体" w:cs="Times New Roman"/>
                <w:i w:val="0"/>
                <w:iCs w:val="0"/>
                <w:color w:val="000000"/>
                <w:kern w:val="0"/>
                <w:sz w:val="21"/>
                <w:szCs w:val="21"/>
                <w:u w:val="none"/>
                <w:lang w:val="en-US" w:eastAsia="zh-CN" w:bidi="ar"/>
              </w:rPr>
              <w:t>ND</w:t>
            </w:r>
          </w:p>
        </w:tc>
        <w:tc>
          <w:tcPr>
            <w:tcW w:w="857" w:type="pct"/>
            <w:noWrap w:val="0"/>
            <w:vAlign w:val="center"/>
          </w:tcPr>
          <w:p w14:paraId="239DAE86">
            <w:pPr>
              <w:jc w:val="center"/>
              <w:textAlignment w:val="center"/>
              <w:rPr>
                <w:rFonts w:ascii="Times New Roman" w:hAnsi="Times New Roman" w:cs="Times New Roman"/>
                <w:bCs/>
                <w:sz w:val="21"/>
                <w:szCs w:val="21"/>
                <w:highlight w:val="none"/>
                <w:lang w:bidi="ar"/>
              </w:rPr>
            </w:pPr>
            <w:r>
              <w:rPr>
                <w:rFonts w:ascii="Times New Roman" w:hAnsi="Times New Roman" w:cs="Times New Roman"/>
                <w:bCs/>
                <w:sz w:val="21"/>
                <w:szCs w:val="21"/>
                <w:highlight w:val="none"/>
              </w:rPr>
              <w:t>-</w:t>
            </w:r>
          </w:p>
        </w:tc>
      </w:tr>
      <w:tr w14:paraId="2F922E9F">
        <w:tblPrEx>
          <w:tblBorders>
            <w:top w:val="thinThickSmallGap" w:color="auto" w:sz="12" w:space="0"/>
            <w:left w:val="none" w:color="auto" w:sz="0" w:space="0"/>
            <w:bottom w:val="thickThinSmallGap" w:color="auto" w:sz="12" w:space="0"/>
            <w:right w:val="none" w:color="auto" w:sz="0" w:space="0"/>
            <w:insideH w:val="single" w:color="auto" w:sz="4" w:space="0"/>
            <w:insideV w:val="single" w:color="000000" w:sz="4" w:space="0"/>
          </w:tblBorders>
          <w:tblCellMar>
            <w:top w:w="0" w:type="dxa"/>
            <w:left w:w="108" w:type="dxa"/>
            <w:bottom w:w="0" w:type="dxa"/>
            <w:right w:w="108" w:type="dxa"/>
          </w:tblCellMar>
        </w:tblPrEx>
        <w:trPr>
          <w:trHeight w:val="340" w:hRule="atLeast"/>
          <w:jc w:val="center"/>
        </w:trPr>
        <w:tc>
          <w:tcPr>
            <w:tcW w:w="665" w:type="pct"/>
            <w:vMerge w:val="continue"/>
            <w:noWrap w:val="0"/>
            <w:vAlign w:val="center"/>
          </w:tcPr>
          <w:p w14:paraId="3D6817CC">
            <w:pPr>
              <w:jc w:val="center"/>
              <w:rPr>
                <w:rFonts w:ascii="Times New Roman" w:hAnsi="Times New Roman" w:cs="Times New Roman"/>
                <w:bCs/>
                <w:sz w:val="21"/>
                <w:szCs w:val="21"/>
              </w:rPr>
            </w:pPr>
          </w:p>
        </w:tc>
        <w:tc>
          <w:tcPr>
            <w:tcW w:w="821" w:type="pct"/>
            <w:noWrap w:val="0"/>
            <w:vAlign w:val="center"/>
          </w:tcPr>
          <w:p w14:paraId="6EF86193">
            <w:pPr>
              <w:jc w:val="center"/>
              <w:textAlignment w:val="center"/>
              <w:rPr>
                <w:rFonts w:ascii="Times New Roman" w:hAnsi="Times New Roman" w:cs="Times New Roman"/>
                <w:bCs/>
                <w:sz w:val="21"/>
                <w:szCs w:val="21"/>
                <w:highlight w:val="none"/>
              </w:rPr>
            </w:pPr>
            <w:r>
              <w:rPr>
                <w:rFonts w:ascii="Times New Roman" w:hAnsi="Times New Roman" w:cs="Times New Roman"/>
                <w:bCs/>
                <w:spacing w:val="-5"/>
                <w:sz w:val="21"/>
                <w:szCs w:val="21"/>
                <w:highlight w:val="none"/>
                <w:lang w:bidi="ar"/>
              </w:rPr>
              <w:t>萘</w:t>
            </w:r>
          </w:p>
        </w:tc>
        <w:tc>
          <w:tcPr>
            <w:tcW w:w="943" w:type="pct"/>
            <w:noWrap w:val="0"/>
            <w:vAlign w:val="center"/>
          </w:tcPr>
          <w:p w14:paraId="20F699BA">
            <w:pPr>
              <w:jc w:val="center"/>
              <w:rPr>
                <w:rFonts w:ascii="Times New Roman" w:hAnsi="Times New Roman" w:cs="Times New Roman"/>
                <w:bCs/>
                <w:sz w:val="21"/>
                <w:szCs w:val="21"/>
                <w:highlight w:val="none"/>
              </w:rPr>
            </w:pPr>
            <w:r>
              <w:rPr>
                <w:rFonts w:ascii="Times New Roman" w:hAnsi="Times New Roman" w:cs="Times New Roman"/>
                <w:bCs/>
                <w:sz w:val="21"/>
                <w:szCs w:val="21"/>
                <w:highlight w:val="none"/>
              </w:rPr>
              <w:t>mg/kg</w:t>
            </w:r>
          </w:p>
        </w:tc>
        <w:tc>
          <w:tcPr>
            <w:tcW w:w="856" w:type="pct"/>
            <w:noWrap w:val="0"/>
            <w:vAlign w:val="center"/>
          </w:tcPr>
          <w:p w14:paraId="66C74F4E">
            <w:pPr>
              <w:keepNext w:val="0"/>
              <w:keepLines w:val="0"/>
              <w:widowControl/>
              <w:suppressLineNumbers w:val="0"/>
              <w:jc w:val="center"/>
              <w:textAlignment w:val="center"/>
              <w:rPr>
                <w:rFonts w:ascii="Times New Roman" w:hAnsi="Times New Roman" w:cs="Times New Roman"/>
                <w:bCs/>
                <w:sz w:val="21"/>
                <w:szCs w:val="21"/>
                <w:highlight w:val="yellow"/>
                <w:lang w:bidi="ar"/>
              </w:rPr>
            </w:pPr>
            <w:r>
              <w:rPr>
                <w:rFonts w:hint="default" w:ascii="Times New Roman" w:hAnsi="Times New Roman" w:eastAsia="宋体" w:cs="Times New Roman"/>
                <w:i w:val="0"/>
                <w:iCs w:val="0"/>
                <w:color w:val="000000"/>
                <w:kern w:val="0"/>
                <w:sz w:val="21"/>
                <w:szCs w:val="21"/>
                <w:u w:val="none"/>
                <w:lang w:val="en-US" w:eastAsia="zh-CN" w:bidi="ar"/>
              </w:rPr>
              <w:t>ND</w:t>
            </w:r>
          </w:p>
        </w:tc>
        <w:tc>
          <w:tcPr>
            <w:tcW w:w="856" w:type="pct"/>
            <w:noWrap w:val="0"/>
            <w:vAlign w:val="center"/>
          </w:tcPr>
          <w:p w14:paraId="168EE8D3">
            <w:pPr>
              <w:keepNext w:val="0"/>
              <w:keepLines w:val="0"/>
              <w:widowControl/>
              <w:suppressLineNumbers w:val="0"/>
              <w:jc w:val="center"/>
              <w:textAlignment w:val="center"/>
              <w:rPr>
                <w:rFonts w:ascii="Times New Roman" w:hAnsi="Times New Roman" w:cs="Times New Roman"/>
                <w:bCs/>
                <w:sz w:val="21"/>
                <w:szCs w:val="21"/>
                <w:highlight w:val="yellow"/>
                <w:lang w:bidi="ar"/>
              </w:rPr>
            </w:pPr>
            <w:r>
              <w:rPr>
                <w:rFonts w:hint="default" w:ascii="Times New Roman" w:hAnsi="Times New Roman" w:eastAsia="宋体" w:cs="Times New Roman"/>
                <w:i w:val="0"/>
                <w:iCs w:val="0"/>
                <w:color w:val="000000"/>
                <w:kern w:val="0"/>
                <w:sz w:val="21"/>
                <w:szCs w:val="21"/>
                <w:u w:val="none"/>
                <w:lang w:val="en-US" w:eastAsia="zh-CN" w:bidi="ar"/>
              </w:rPr>
              <w:t>ND</w:t>
            </w:r>
          </w:p>
        </w:tc>
        <w:tc>
          <w:tcPr>
            <w:tcW w:w="857" w:type="pct"/>
            <w:noWrap w:val="0"/>
            <w:vAlign w:val="center"/>
          </w:tcPr>
          <w:p w14:paraId="3F9237BC">
            <w:pPr>
              <w:jc w:val="center"/>
              <w:textAlignment w:val="center"/>
              <w:rPr>
                <w:rFonts w:ascii="Times New Roman" w:hAnsi="Times New Roman" w:cs="Times New Roman"/>
                <w:bCs/>
                <w:sz w:val="21"/>
                <w:szCs w:val="21"/>
                <w:highlight w:val="none"/>
                <w:lang w:bidi="ar"/>
              </w:rPr>
            </w:pPr>
            <w:r>
              <w:rPr>
                <w:rFonts w:ascii="Times New Roman" w:hAnsi="Times New Roman" w:cs="Times New Roman"/>
                <w:bCs/>
                <w:sz w:val="21"/>
                <w:szCs w:val="21"/>
                <w:highlight w:val="none"/>
              </w:rPr>
              <w:t>-</w:t>
            </w:r>
          </w:p>
        </w:tc>
      </w:tr>
      <w:tr w14:paraId="22F7AF75">
        <w:tblPrEx>
          <w:tblBorders>
            <w:top w:val="thinThickSmallGap" w:color="auto" w:sz="12" w:space="0"/>
            <w:left w:val="none" w:color="auto" w:sz="0" w:space="0"/>
            <w:bottom w:val="thickThinSmallGap" w:color="auto" w:sz="12" w:space="0"/>
            <w:right w:val="none" w:color="auto" w:sz="0" w:space="0"/>
            <w:insideH w:val="single" w:color="auto" w:sz="4" w:space="0"/>
            <w:insideV w:val="single" w:color="000000" w:sz="4" w:space="0"/>
          </w:tblBorders>
          <w:tblCellMar>
            <w:top w:w="0" w:type="dxa"/>
            <w:left w:w="108" w:type="dxa"/>
            <w:bottom w:w="0" w:type="dxa"/>
            <w:right w:w="108" w:type="dxa"/>
          </w:tblCellMar>
        </w:tblPrEx>
        <w:trPr>
          <w:trHeight w:val="340" w:hRule="atLeast"/>
          <w:jc w:val="center"/>
        </w:trPr>
        <w:tc>
          <w:tcPr>
            <w:tcW w:w="665" w:type="pct"/>
            <w:vMerge w:val="continue"/>
            <w:noWrap w:val="0"/>
            <w:vAlign w:val="center"/>
          </w:tcPr>
          <w:p w14:paraId="560B0426">
            <w:pPr>
              <w:jc w:val="center"/>
              <w:rPr>
                <w:rFonts w:ascii="Times New Roman" w:hAnsi="Times New Roman" w:cs="Times New Roman"/>
                <w:bCs/>
                <w:sz w:val="21"/>
                <w:szCs w:val="21"/>
              </w:rPr>
            </w:pPr>
          </w:p>
        </w:tc>
        <w:tc>
          <w:tcPr>
            <w:tcW w:w="821" w:type="pct"/>
            <w:noWrap w:val="0"/>
            <w:vAlign w:val="center"/>
          </w:tcPr>
          <w:p w14:paraId="3F680B41">
            <w:pPr>
              <w:jc w:val="center"/>
              <w:textAlignment w:val="center"/>
              <w:rPr>
                <w:rFonts w:ascii="Times New Roman" w:hAnsi="Times New Roman" w:cs="Times New Roman"/>
                <w:bCs/>
                <w:sz w:val="21"/>
                <w:szCs w:val="21"/>
                <w:highlight w:val="none"/>
              </w:rPr>
            </w:pPr>
            <w:r>
              <w:rPr>
                <w:rFonts w:ascii="Times New Roman" w:hAnsi="Times New Roman" w:cs="Times New Roman"/>
                <w:bCs/>
                <w:spacing w:val="-5"/>
                <w:sz w:val="21"/>
                <w:szCs w:val="21"/>
                <w:highlight w:val="none"/>
                <w:lang w:bidi="ar"/>
              </w:rPr>
              <w:t>苯并</w:t>
            </w:r>
            <w:r>
              <w:rPr>
                <w:rFonts w:ascii="Times New Roman" w:hAnsi="Times New Roman" w:cs="Times New Roman"/>
                <w:bCs/>
                <w:spacing w:val="-10"/>
                <w:sz w:val="21"/>
                <w:szCs w:val="21"/>
                <w:highlight w:val="none"/>
              </w:rPr>
              <w:t>[</w:t>
            </w:r>
            <w:r>
              <w:rPr>
                <w:rFonts w:ascii="Times New Roman" w:hAnsi="Times New Roman" w:cs="Times New Roman"/>
                <w:bCs/>
                <w:spacing w:val="-5"/>
                <w:sz w:val="21"/>
                <w:szCs w:val="21"/>
                <w:highlight w:val="none"/>
                <w:lang w:bidi="ar"/>
              </w:rPr>
              <w:t>a</w:t>
            </w:r>
            <w:r>
              <w:rPr>
                <w:rFonts w:ascii="Times New Roman" w:hAnsi="Times New Roman" w:cs="Times New Roman"/>
                <w:bCs/>
                <w:spacing w:val="-10"/>
                <w:sz w:val="21"/>
                <w:szCs w:val="21"/>
                <w:highlight w:val="none"/>
              </w:rPr>
              <w:t>]</w:t>
            </w:r>
            <w:r>
              <w:rPr>
                <w:rFonts w:ascii="Times New Roman" w:hAnsi="Times New Roman" w:cs="Times New Roman"/>
                <w:bCs/>
                <w:spacing w:val="-5"/>
                <w:sz w:val="21"/>
                <w:szCs w:val="21"/>
                <w:highlight w:val="none"/>
                <w:lang w:bidi="ar"/>
              </w:rPr>
              <w:t>蒽</w:t>
            </w:r>
          </w:p>
        </w:tc>
        <w:tc>
          <w:tcPr>
            <w:tcW w:w="943" w:type="pct"/>
            <w:noWrap w:val="0"/>
            <w:vAlign w:val="center"/>
          </w:tcPr>
          <w:p w14:paraId="329E12E2">
            <w:pPr>
              <w:jc w:val="center"/>
              <w:rPr>
                <w:rFonts w:ascii="Times New Roman" w:hAnsi="Times New Roman" w:cs="Times New Roman"/>
                <w:bCs/>
                <w:sz w:val="21"/>
                <w:szCs w:val="21"/>
                <w:highlight w:val="none"/>
              </w:rPr>
            </w:pPr>
            <w:r>
              <w:rPr>
                <w:rFonts w:ascii="Times New Roman" w:hAnsi="Times New Roman" w:cs="Times New Roman"/>
                <w:bCs/>
                <w:sz w:val="21"/>
                <w:szCs w:val="21"/>
                <w:highlight w:val="none"/>
              </w:rPr>
              <w:t>mg/kg</w:t>
            </w:r>
          </w:p>
        </w:tc>
        <w:tc>
          <w:tcPr>
            <w:tcW w:w="856" w:type="pct"/>
            <w:noWrap w:val="0"/>
            <w:vAlign w:val="center"/>
          </w:tcPr>
          <w:p w14:paraId="3D5FF410">
            <w:pPr>
              <w:keepNext w:val="0"/>
              <w:keepLines w:val="0"/>
              <w:widowControl/>
              <w:suppressLineNumbers w:val="0"/>
              <w:jc w:val="center"/>
              <w:textAlignment w:val="center"/>
              <w:rPr>
                <w:rFonts w:ascii="Times New Roman" w:hAnsi="Times New Roman" w:cs="Times New Roman"/>
                <w:bCs/>
                <w:sz w:val="21"/>
                <w:szCs w:val="21"/>
                <w:highlight w:val="yellow"/>
                <w:lang w:bidi="ar"/>
              </w:rPr>
            </w:pPr>
            <w:r>
              <w:rPr>
                <w:rFonts w:hint="default" w:ascii="Times New Roman" w:hAnsi="Times New Roman" w:eastAsia="宋体" w:cs="Times New Roman"/>
                <w:i w:val="0"/>
                <w:iCs w:val="0"/>
                <w:color w:val="000000"/>
                <w:kern w:val="0"/>
                <w:sz w:val="21"/>
                <w:szCs w:val="21"/>
                <w:u w:val="none"/>
                <w:lang w:val="en-US" w:eastAsia="zh-CN" w:bidi="ar"/>
              </w:rPr>
              <w:t>ND</w:t>
            </w:r>
          </w:p>
        </w:tc>
        <w:tc>
          <w:tcPr>
            <w:tcW w:w="856" w:type="pct"/>
            <w:noWrap w:val="0"/>
            <w:vAlign w:val="center"/>
          </w:tcPr>
          <w:p w14:paraId="57C82D28">
            <w:pPr>
              <w:keepNext w:val="0"/>
              <w:keepLines w:val="0"/>
              <w:widowControl/>
              <w:suppressLineNumbers w:val="0"/>
              <w:jc w:val="center"/>
              <w:textAlignment w:val="center"/>
              <w:rPr>
                <w:rFonts w:ascii="Times New Roman" w:hAnsi="Times New Roman" w:cs="Times New Roman"/>
                <w:bCs/>
                <w:sz w:val="21"/>
                <w:szCs w:val="21"/>
                <w:highlight w:val="yellow"/>
                <w:lang w:bidi="ar"/>
              </w:rPr>
            </w:pPr>
            <w:r>
              <w:rPr>
                <w:rFonts w:hint="default" w:ascii="Times New Roman" w:hAnsi="Times New Roman" w:eastAsia="宋体" w:cs="Times New Roman"/>
                <w:i w:val="0"/>
                <w:iCs w:val="0"/>
                <w:color w:val="000000"/>
                <w:kern w:val="0"/>
                <w:sz w:val="21"/>
                <w:szCs w:val="21"/>
                <w:u w:val="none"/>
                <w:lang w:val="en-US" w:eastAsia="zh-CN" w:bidi="ar"/>
              </w:rPr>
              <w:t>ND</w:t>
            </w:r>
          </w:p>
        </w:tc>
        <w:tc>
          <w:tcPr>
            <w:tcW w:w="857" w:type="pct"/>
            <w:noWrap w:val="0"/>
            <w:vAlign w:val="center"/>
          </w:tcPr>
          <w:p w14:paraId="40846339">
            <w:pPr>
              <w:jc w:val="center"/>
              <w:textAlignment w:val="center"/>
              <w:rPr>
                <w:rFonts w:ascii="Times New Roman" w:hAnsi="Times New Roman" w:cs="Times New Roman"/>
                <w:bCs/>
                <w:sz w:val="21"/>
                <w:szCs w:val="21"/>
                <w:highlight w:val="none"/>
                <w:lang w:bidi="ar"/>
              </w:rPr>
            </w:pPr>
            <w:r>
              <w:rPr>
                <w:rFonts w:ascii="Times New Roman" w:hAnsi="Times New Roman" w:cs="Times New Roman"/>
                <w:bCs/>
                <w:sz w:val="21"/>
                <w:szCs w:val="21"/>
                <w:highlight w:val="none"/>
              </w:rPr>
              <w:t>-</w:t>
            </w:r>
          </w:p>
        </w:tc>
      </w:tr>
      <w:tr w14:paraId="14B30105">
        <w:tblPrEx>
          <w:tblBorders>
            <w:top w:val="thinThickSmallGap" w:color="auto" w:sz="12" w:space="0"/>
            <w:left w:val="none" w:color="auto" w:sz="0" w:space="0"/>
            <w:bottom w:val="thickThinSmallGap" w:color="auto" w:sz="12" w:space="0"/>
            <w:right w:val="none" w:color="auto" w:sz="0" w:space="0"/>
            <w:insideH w:val="single" w:color="auto" w:sz="4" w:space="0"/>
            <w:insideV w:val="single" w:color="000000" w:sz="4" w:space="0"/>
          </w:tblBorders>
          <w:tblCellMar>
            <w:top w:w="0" w:type="dxa"/>
            <w:left w:w="108" w:type="dxa"/>
            <w:bottom w:w="0" w:type="dxa"/>
            <w:right w:w="108" w:type="dxa"/>
          </w:tblCellMar>
        </w:tblPrEx>
        <w:trPr>
          <w:trHeight w:val="340" w:hRule="atLeast"/>
          <w:jc w:val="center"/>
        </w:trPr>
        <w:tc>
          <w:tcPr>
            <w:tcW w:w="665" w:type="pct"/>
            <w:vMerge w:val="continue"/>
            <w:noWrap w:val="0"/>
            <w:vAlign w:val="center"/>
          </w:tcPr>
          <w:p w14:paraId="69A75AE2">
            <w:pPr>
              <w:jc w:val="center"/>
              <w:rPr>
                <w:rFonts w:ascii="Times New Roman" w:hAnsi="Times New Roman" w:cs="Times New Roman"/>
                <w:bCs/>
                <w:sz w:val="21"/>
                <w:szCs w:val="21"/>
              </w:rPr>
            </w:pPr>
          </w:p>
        </w:tc>
        <w:tc>
          <w:tcPr>
            <w:tcW w:w="821" w:type="pct"/>
            <w:noWrap w:val="0"/>
            <w:vAlign w:val="center"/>
          </w:tcPr>
          <w:p w14:paraId="0E1899EC">
            <w:pPr>
              <w:jc w:val="center"/>
              <w:textAlignment w:val="center"/>
              <w:rPr>
                <w:rFonts w:ascii="Times New Roman" w:hAnsi="Times New Roman" w:cs="Times New Roman"/>
                <w:bCs/>
                <w:sz w:val="21"/>
                <w:szCs w:val="21"/>
                <w:highlight w:val="none"/>
              </w:rPr>
            </w:pPr>
            <w:r>
              <w:rPr>
                <w:rFonts w:ascii="Times New Roman" w:hAnsi="Times New Roman" w:cs="Times New Roman"/>
                <w:bCs/>
                <w:spacing w:val="-5"/>
                <w:sz w:val="21"/>
                <w:szCs w:val="21"/>
                <w:highlight w:val="none"/>
                <w:lang w:bidi="ar"/>
              </w:rPr>
              <w:t>䓛</w:t>
            </w:r>
          </w:p>
        </w:tc>
        <w:tc>
          <w:tcPr>
            <w:tcW w:w="943" w:type="pct"/>
            <w:noWrap w:val="0"/>
            <w:vAlign w:val="center"/>
          </w:tcPr>
          <w:p w14:paraId="6550EF39">
            <w:pPr>
              <w:jc w:val="center"/>
              <w:rPr>
                <w:rFonts w:ascii="Times New Roman" w:hAnsi="Times New Roman" w:cs="Times New Roman"/>
                <w:bCs/>
                <w:sz w:val="21"/>
                <w:szCs w:val="21"/>
                <w:highlight w:val="none"/>
              </w:rPr>
            </w:pPr>
            <w:r>
              <w:rPr>
                <w:rFonts w:ascii="Times New Roman" w:hAnsi="Times New Roman" w:cs="Times New Roman"/>
                <w:bCs/>
                <w:sz w:val="21"/>
                <w:szCs w:val="21"/>
                <w:highlight w:val="none"/>
              </w:rPr>
              <w:t>mg/kg</w:t>
            </w:r>
          </w:p>
        </w:tc>
        <w:tc>
          <w:tcPr>
            <w:tcW w:w="856" w:type="pct"/>
            <w:noWrap w:val="0"/>
            <w:vAlign w:val="center"/>
          </w:tcPr>
          <w:p w14:paraId="3EEBC0B7">
            <w:pPr>
              <w:keepNext w:val="0"/>
              <w:keepLines w:val="0"/>
              <w:widowControl/>
              <w:suppressLineNumbers w:val="0"/>
              <w:jc w:val="center"/>
              <w:textAlignment w:val="center"/>
              <w:rPr>
                <w:rFonts w:ascii="Times New Roman" w:hAnsi="Times New Roman" w:cs="Times New Roman"/>
                <w:bCs/>
                <w:sz w:val="21"/>
                <w:szCs w:val="21"/>
                <w:highlight w:val="yellow"/>
                <w:lang w:bidi="ar"/>
              </w:rPr>
            </w:pPr>
            <w:r>
              <w:rPr>
                <w:rFonts w:hint="default" w:ascii="Times New Roman" w:hAnsi="Times New Roman" w:eastAsia="宋体" w:cs="Times New Roman"/>
                <w:i w:val="0"/>
                <w:iCs w:val="0"/>
                <w:color w:val="000000"/>
                <w:kern w:val="0"/>
                <w:sz w:val="21"/>
                <w:szCs w:val="21"/>
                <w:u w:val="none"/>
                <w:lang w:val="en-US" w:eastAsia="zh-CN" w:bidi="ar"/>
              </w:rPr>
              <w:t>ND</w:t>
            </w:r>
          </w:p>
        </w:tc>
        <w:tc>
          <w:tcPr>
            <w:tcW w:w="856" w:type="pct"/>
            <w:noWrap w:val="0"/>
            <w:vAlign w:val="center"/>
          </w:tcPr>
          <w:p w14:paraId="27F394ED">
            <w:pPr>
              <w:keepNext w:val="0"/>
              <w:keepLines w:val="0"/>
              <w:widowControl/>
              <w:suppressLineNumbers w:val="0"/>
              <w:jc w:val="center"/>
              <w:textAlignment w:val="center"/>
              <w:rPr>
                <w:rFonts w:ascii="Times New Roman" w:hAnsi="Times New Roman" w:cs="Times New Roman"/>
                <w:bCs/>
                <w:sz w:val="21"/>
                <w:szCs w:val="21"/>
                <w:highlight w:val="yellow"/>
                <w:lang w:bidi="ar"/>
              </w:rPr>
            </w:pPr>
            <w:r>
              <w:rPr>
                <w:rFonts w:hint="default" w:ascii="Times New Roman" w:hAnsi="Times New Roman" w:eastAsia="宋体" w:cs="Times New Roman"/>
                <w:i w:val="0"/>
                <w:iCs w:val="0"/>
                <w:color w:val="000000"/>
                <w:kern w:val="0"/>
                <w:sz w:val="21"/>
                <w:szCs w:val="21"/>
                <w:u w:val="none"/>
                <w:lang w:val="en-US" w:eastAsia="zh-CN" w:bidi="ar"/>
              </w:rPr>
              <w:t>ND</w:t>
            </w:r>
          </w:p>
        </w:tc>
        <w:tc>
          <w:tcPr>
            <w:tcW w:w="857" w:type="pct"/>
            <w:noWrap w:val="0"/>
            <w:vAlign w:val="center"/>
          </w:tcPr>
          <w:p w14:paraId="407B4612">
            <w:pPr>
              <w:jc w:val="center"/>
              <w:textAlignment w:val="center"/>
              <w:rPr>
                <w:rFonts w:ascii="Times New Roman" w:hAnsi="Times New Roman" w:cs="Times New Roman"/>
                <w:bCs/>
                <w:sz w:val="21"/>
                <w:szCs w:val="21"/>
                <w:highlight w:val="none"/>
                <w:lang w:bidi="ar"/>
              </w:rPr>
            </w:pPr>
            <w:r>
              <w:rPr>
                <w:rFonts w:ascii="Times New Roman" w:hAnsi="Times New Roman" w:cs="Times New Roman"/>
                <w:bCs/>
                <w:sz w:val="21"/>
                <w:szCs w:val="21"/>
                <w:highlight w:val="none"/>
              </w:rPr>
              <w:t>-</w:t>
            </w:r>
          </w:p>
        </w:tc>
      </w:tr>
      <w:tr w14:paraId="150A1A59">
        <w:tblPrEx>
          <w:tblBorders>
            <w:top w:val="thinThickSmallGap" w:color="auto" w:sz="12" w:space="0"/>
            <w:left w:val="none" w:color="auto" w:sz="0" w:space="0"/>
            <w:bottom w:val="thickThinSmallGap" w:color="auto" w:sz="12" w:space="0"/>
            <w:right w:val="none" w:color="auto" w:sz="0" w:space="0"/>
            <w:insideH w:val="single" w:color="auto" w:sz="4" w:space="0"/>
            <w:insideV w:val="single" w:color="000000" w:sz="4" w:space="0"/>
          </w:tblBorders>
          <w:tblCellMar>
            <w:top w:w="0" w:type="dxa"/>
            <w:left w:w="108" w:type="dxa"/>
            <w:bottom w:w="0" w:type="dxa"/>
            <w:right w:w="108" w:type="dxa"/>
          </w:tblCellMar>
        </w:tblPrEx>
        <w:trPr>
          <w:trHeight w:val="340" w:hRule="atLeast"/>
          <w:jc w:val="center"/>
        </w:trPr>
        <w:tc>
          <w:tcPr>
            <w:tcW w:w="665" w:type="pct"/>
            <w:vMerge w:val="continue"/>
            <w:noWrap w:val="0"/>
            <w:vAlign w:val="center"/>
          </w:tcPr>
          <w:p w14:paraId="0C8E1367">
            <w:pPr>
              <w:jc w:val="center"/>
              <w:rPr>
                <w:rFonts w:ascii="Times New Roman" w:hAnsi="Times New Roman" w:cs="Times New Roman"/>
                <w:bCs/>
                <w:sz w:val="21"/>
                <w:szCs w:val="21"/>
              </w:rPr>
            </w:pPr>
          </w:p>
        </w:tc>
        <w:tc>
          <w:tcPr>
            <w:tcW w:w="821" w:type="pct"/>
            <w:noWrap w:val="0"/>
            <w:vAlign w:val="center"/>
          </w:tcPr>
          <w:p w14:paraId="65891498">
            <w:pPr>
              <w:jc w:val="center"/>
              <w:textAlignment w:val="center"/>
              <w:rPr>
                <w:rFonts w:ascii="Times New Roman" w:hAnsi="Times New Roman" w:cs="Times New Roman"/>
                <w:bCs/>
                <w:sz w:val="21"/>
                <w:szCs w:val="21"/>
                <w:highlight w:val="none"/>
              </w:rPr>
            </w:pPr>
            <w:r>
              <w:rPr>
                <w:rFonts w:ascii="Times New Roman" w:hAnsi="Times New Roman" w:cs="Times New Roman"/>
                <w:bCs/>
                <w:spacing w:val="-5"/>
                <w:sz w:val="21"/>
                <w:szCs w:val="21"/>
                <w:highlight w:val="none"/>
                <w:lang w:bidi="ar"/>
              </w:rPr>
              <w:t>苯并</w:t>
            </w:r>
            <w:r>
              <w:rPr>
                <w:rFonts w:ascii="Times New Roman" w:hAnsi="Times New Roman" w:cs="Times New Roman"/>
                <w:bCs/>
                <w:spacing w:val="-10"/>
                <w:sz w:val="21"/>
                <w:szCs w:val="21"/>
                <w:highlight w:val="none"/>
              </w:rPr>
              <w:t>[b]</w:t>
            </w:r>
            <w:r>
              <w:rPr>
                <w:rFonts w:ascii="Times New Roman" w:hAnsi="Times New Roman" w:cs="Times New Roman"/>
                <w:bCs/>
                <w:spacing w:val="-5"/>
                <w:sz w:val="21"/>
                <w:szCs w:val="21"/>
                <w:highlight w:val="none"/>
                <w:lang w:bidi="ar"/>
              </w:rPr>
              <w:t>荧蒽</w:t>
            </w:r>
          </w:p>
        </w:tc>
        <w:tc>
          <w:tcPr>
            <w:tcW w:w="943" w:type="pct"/>
            <w:noWrap w:val="0"/>
            <w:vAlign w:val="center"/>
          </w:tcPr>
          <w:p w14:paraId="35AFAB79">
            <w:pPr>
              <w:jc w:val="center"/>
              <w:rPr>
                <w:rFonts w:ascii="Times New Roman" w:hAnsi="Times New Roman" w:cs="Times New Roman"/>
                <w:bCs/>
                <w:sz w:val="21"/>
                <w:szCs w:val="21"/>
                <w:highlight w:val="none"/>
              </w:rPr>
            </w:pPr>
            <w:r>
              <w:rPr>
                <w:rFonts w:ascii="Times New Roman" w:hAnsi="Times New Roman" w:cs="Times New Roman"/>
                <w:bCs/>
                <w:sz w:val="21"/>
                <w:szCs w:val="21"/>
                <w:highlight w:val="none"/>
              </w:rPr>
              <w:t>mg/kg</w:t>
            </w:r>
          </w:p>
        </w:tc>
        <w:tc>
          <w:tcPr>
            <w:tcW w:w="856" w:type="pct"/>
            <w:noWrap w:val="0"/>
            <w:vAlign w:val="center"/>
          </w:tcPr>
          <w:p w14:paraId="21486520">
            <w:pPr>
              <w:keepNext w:val="0"/>
              <w:keepLines w:val="0"/>
              <w:widowControl/>
              <w:suppressLineNumbers w:val="0"/>
              <w:jc w:val="center"/>
              <w:textAlignment w:val="center"/>
              <w:rPr>
                <w:rFonts w:ascii="Times New Roman" w:hAnsi="Times New Roman" w:cs="Times New Roman"/>
                <w:bCs/>
                <w:sz w:val="21"/>
                <w:szCs w:val="21"/>
                <w:highlight w:val="yellow"/>
                <w:lang w:bidi="ar"/>
              </w:rPr>
            </w:pPr>
            <w:r>
              <w:rPr>
                <w:rFonts w:hint="default" w:ascii="Times New Roman" w:hAnsi="Times New Roman" w:eastAsia="宋体" w:cs="Times New Roman"/>
                <w:i w:val="0"/>
                <w:iCs w:val="0"/>
                <w:color w:val="000000"/>
                <w:kern w:val="0"/>
                <w:sz w:val="21"/>
                <w:szCs w:val="21"/>
                <w:u w:val="none"/>
                <w:lang w:val="en-US" w:eastAsia="zh-CN" w:bidi="ar"/>
              </w:rPr>
              <w:t>ND</w:t>
            </w:r>
          </w:p>
        </w:tc>
        <w:tc>
          <w:tcPr>
            <w:tcW w:w="856" w:type="pct"/>
            <w:noWrap w:val="0"/>
            <w:vAlign w:val="center"/>
          </w:tcPr>
          <w:p w14:paraId="3E666815">
            <w:pPr>
              <w:keepNext w:val="0"/>
              <w:keepLines w:val="0"/>
              <w:widowControl/>
              <w:suppressLineNumbers w:val="0"/>
              <w:jc w:val="center"/>
              <w:textAlignment w:val="center"/>
              <w:rPr>
                <w:rFonts w:ascii="Times New Roman" w:hAnsi="Times New Roman" w:cs="Times New Roman"/>
                <w:bCs/>
                <w:sz w:val="21"/>
                <w:szCs w:val="21"/>
                <w:highlight w:val="yellow"/>
                <w:lang w:bidi="ar"/>
              </w:rPr>
            </w:pPr>
            <w:r>
              <w:rPr>
                <w:rFonts w:hint="default" w:ascii="Times New Roman" w:hAnsi="Times New Roman" w:eastAsia="宋体" w:cs="Times New Roman"/>
                <w:i w:val="0"/>
                <w:iCs w:val="0"/>
                <w:color w:val="000000"/>
                <w:kern w:val="0"/>
                <w:sz w:val="21"/>
                <w:szCs w:val="21"/>
                <w:u w:val="none"/>
                <w:lang w:val="en-US" w:eastAsia="zh-CN" w:bidi="ar"/>
              </w:rPr>
              <w:t>ND</w:t>
            </w:r>
          </w:p>
        </w:tc>
        <w:tc>
          <w:tcPr>
            <w:tcW w:w="857" w:type="pct"/>
            <w:noWrap w:val="0"/>
            <w:vAlign w:val="center"/>
          </w:tcPr>
          <w:p w14:paraId="45D97D35">
            <w:pPr>
              <w:jc w:val="center"/>
              <w:textAlignment w:val="center"/>
              <w:rPr>
                <w:rFonts w:ascii="Times New Roman" w:hAnsi="Times New Roman" w:cs="Times New Roman"/>
                <w:bCs/>
                <w:sz w:val="21"/>
                <w:szCs w:val="21"/>
                <w:highlight w:val="none"/>
                <w:lang w:bidi="ar"/>
              </w:rPr>
            </w:pPr>
            <w:r>
              <w:rPr>
                <w:rFonts w:ascii="Times New Roman" w:hAnsi="Times New Roman" w:cs="Times New Roman"/>
                <w:bCs/>
                <w:sz w:val="21"/>
                <w:szCs w:val="21"/>
                <w:highlight w:val="none"/>
              </w:rPr>
              <w:t>-</w:t>
            </w:r>
          </w:p>
        </w:tc>
      </w:tr>
      <w:tr w14:paraId="19A83C7D">
        <w:tblPrEx>
          <w:tblBorders>
            <w:top w:val="thinThickSmallGap" w:color="auto" w:sz="12" w:space="0"/>
            <w:left w:val="none" w:color="auto" w:sz="0" w:space="0"/>
            <w:bottom w:val="thickThinSmallGap" w:color="auto" w:sz="12" w:space="0"/>
            <w:right w:val="none" w:color="auto" w:sz="0" w:space="0"/>
            <w:insideH w:val="single" w:color="auto" w:sz="4" w:space="0"/>
            <w:insideV w:val="single" w:color="000000" w:sz="4" w:space="0"/>
          </w:tblBorders>
          <w:tblCellMar>
            <w:top w:w="0" w:type="dxa"/>
            <w:left w:w="108" w:type="dxa"/>
            <w:bottom w:w="0" w:type="dxa"/>
            <w:right w:w="108" w:type="dxa"/>
          </w:tblCellMar>
        </w:tblPrEx>
        <w:trPr>
          <w:trHeight w:val="340" w:hRule="atLeast"/>
          <w:jc w:val="center"/>
        </w:trPr>
        <w:tc>
          <w:tcPr>
            <w:tcW w:w="665" w:type="pct"/>
            <w:vMerge w:val="continue"/>
            <w:noWrap w:val="0"/>
            <w:vAlign w:val="center"/>
          </w:tcPr>
          <w:p w14:paraId="451D8F27">
            <w:pPr>
              <w:jc w:val="center"/>
              <w:rPr>
                <w:rFonts w:ascii="Times New Roman" w:hAnsi="Times New Roman" w:cs="Times New Roman"/>
                <w:bCs/>
                <w:sz w:val="21"/>
                <w:szCs w:val="21"/>
              </w:rPr>
            </w:pPr>
          </w:p>
        </w:tc>
        <w:tc>
          <w:tcPr>
            <w:tcW w:w="821" w:type="pct"/>
            <w:noWrap w:val="0"/>
            <w:vAlign w:val="center"/>
          </w:tcPr>
          <w:p w14:paraId="631282A6">
            <w:pPr>
              <w:jc w:val="center"/>
              <w:textAlignment w:val="center"/>
              <w:rPr>
                <w:rFonts w:ascii="Times New Roman" w:hAnsi="Times New Roman" w:cs="Times New Roman"/>
                <w:bCs/>
                <w:sz w:val="21"/>
                <w:szCs w:val="21"/>
                <w:highlight w:val="none"/>
              </w:rPr>
            </w:pPr>
            <w:r>
              <w:rPr>
                <w:rFonts w:ascii="Times New Roman" w:hAnsi="Times New Roman" w:cs="Times New Roman"/>
                <w:bCs/>
                <w:spacing w:val="-5"/>
                <w:sz w:val="21"/>
                <w:szCs w:val="21"/>
                <w:highlight w:val="none"/>
                <w:lang w:bidi="ar"/>
              </w:rPr>
              <w:t>苯并</w:t>
            </w:r>
            <w:r>
              <w:rPr>
                <w:rFonts w:ascii="Times New Roman" w:hAnsi="Times New Roman" w:cs="Times New Roman"/>
                <w:bCs/>
                <w:spacing w:val="-10"/>
                <w:sz w:val="21"/>
                <w:szCs w:val="21"/>
                <w:highlight w:val="none"/>
              </w:rPr>
              <w:t>[k]</w:t>
            </w:r>
            <w:r>
              <w:rPr>
                <w:rFonts w:ascii="Times New Roman" w:hAnsi="Times New Roman" w:cs="Times New Roman"/>
                <w:bCs/>
                <w:spacing w:val="-5"/>
                <w:sz w:val="21"/>
                <w:szCs w:val="21"/>
                <w:highlight w:val="none"/>
                <w:lang w:bidi="ar"/>
              </w:rPr>
              <w:t>荧蒽</w:t>
            </w:r>
          </w:p>
        </w:tc>
        <w:tc>
          <w:tcPr>
            <w:tcW w:w="943" w:type="pct"/>
            <w:noWrap w:val="0"/>
            <w:vAlign w:val="center"/>
          </w:tcPr>
          <w:p w14:paraId="02B58D27">
            <w:pPr>
              <w:jc w:val="center"/>
              <w:rPr>
                <w:rFonts w:ascii="Times New Roman" w:hAnsi="Times New Roman" w:cs="Times New Roman"/>
                <w:bCs/>
                <w:sz w:val="21"/>
                <w:szCs w:val="21"/>
                <w:highlight w:val="none"/>
              </w:rPr>
            </w:pPr>
            <w:r>
              <w:rPr>
                <w:rFonts w:ascii="Times New Roman" w:hAnsi="Times New Roman" w:cs="Times New Roman"/>
                <w:bCs/>
                <w:sz w:val="21"/>
                <w:szCs w:val="21"/>
                <w:highlight w:val="none"/>
              </w:rPr>
              <w:t>mg/kg</w:t>
            </w:r>
          </w:p>
        </w:tc>
        <w:tc>
          <w:tcPr>
            <w:tcW w:w="856" w:type="pct"/>
            <w:noWrap w:val="0"/>
            <w:vAlign w:val="center"/>
          </w:tcPr>
          <w:p w14:paraId="15985E3C">
            <w:pPr>
              <w:keepNext w:val="0"/>
              <w:keepLines w:val="0"/>
              <w:widowControl/>
              <w:suppressLineNumbers w:val="0"/>
              <w:jc w:val="center"/>
              <w:textAlignment w:val="center"/>
              <w:rPr>
                <w:rFonts w:ascii="Times New Roman" w:hAnsi="Times New Roman" w:cs="Times New Roman"/>
                <w:bCs/>
                <w:sz w:val="21"/>
                <w:szCs w:val="21"/>
                <w:highlight w:val="yellow"/>
                <w:lang w:bidi="ar"/>
              </w:rPr>
            </w:pPr>
            <w:r>
              <w:rPr>
                <w:rFonts w:hint="default" w:ascii="Times New Roman" w:hAnsi="Times New Roman" w:eastAsia="宋体" w:cs="Times New Roman"/>
                <w:i w:val="0"/>
                <w:iCs w:val="0"/>
                <w:color w:val="000000"/>
                <w:kern w:val="0"/>
                <w:sz w:val="21"/>
                <w:szCs w:val="21"/>
                <w:u w:val="none"/>
                <w:lang w:val="en-US" w:eastAsia="zh-CN" w:bidi="ar"/>
              </w:rPr>
              <w:t>ND</w:t>
            </w:r>
          </w:p>
        </w:tc>
        <w:tc>
          <w:tcPr>
            <w:tcW w:w="856" w:type="pct"/>
            <w:noWrap w:val="0"/>
            <w:vAlign w:val="center"/>
          </w:tcPr>
          <w:p w14:paraId="71B9A880">
            <w:pPr>
              <w:keepNext w:val="0"/>
              <w:keepLines w:val="0"/>
              <w:widowControl/>
              <w:suppressLineNumbers w:val="0"/>
              <w:jc w:val="center"/>
              <w:textAlignment w:val="center"/>
              <w:rPr>
                <w:rFonts w:ascii="Times New Roman" w:hAnsi="Times New Roman" w:cs="Times New Roman"/>
                <w:bCs/>
                <w:sz w:val="21"/>
                <w:szCs w:val="21"/>
                <w:highlight w:val="yellow"/>
                <w:lang w:bidi="ar"/>
              </w:rPr>
            </w:pPr>
            <w:r>
              <w:rPr>
                <w:rFonts w:hint="default" w:ascii="Times New Roman" w:hAnsi="Times New Roman" w:eastAsia="宋体" w:cs="Times New Roman"/>
                <w:i w:val="0"/>
                <w:iCs w:val="0"/>
                <w:color w:val="000000"/>
                <w:kern w:val="0"/>
                <w:sz w:val="21"/>
                <w:szCs w:val="21"/>
                <w:u w:val="none"/>
                <w:lang w:val="en-US" w:eastAsia="zh-CN" w:bidi="ar"/>
              </w:rPr>
              <w:t>ND</w:t>
            </w:r>
          </w:p>
        </w:tc>
        <w:tc>
          <w:tcPr>
            <w:tcW w:w="857" w:type="pct"/>
            <w:noWrap w:val="0"/>
            <w:vAlign w:val="center"/>
          </w:tcPr>
          <w:p w14:paraId="4959391C">
            <w:pPr>
              <w:jc w:val="center"/>
              <w:textAlignment w:val="center"/>
              <w:rPr>
                <w:rFonts w:ascii="Times New Roman" w:hAnsi="Times New Roman" w:cs="Times New Roman"/>
                <w:bCs/>
                <w:sz w:val="21"/>
                <w:szCs w:val="21"/>
                <w:highlight w:val="none"/>
                <w:lang w:bidi="ar"/>
              </w:rPr>
            </w:pPr>
            <w:r>
              <w:rPr>
                <w:rFonts w:ascii="Times New Roman" w:hAnsi="Times New Roman" w:cs="Times New Roman"/>
                <w:bCs/>
                <w:sz w:val="21"/>
                <w:szCs w:val="21"/>
                <w:highlight w:val="none"/>
              </w:rPr>
              <w:t>-</w:t>
            </w:r>
          </w:p>
        </w:tc>
      </w:tr>
      <w:tr w14:paraId="0F20540F">
        <w:tblPrEx>
          <w:tblBorders>
            <w:top w:val="thinThickSmallGap" w:color="auto" w:sz="12" w:space="0"/>
            <w:left w:val="none" w:color="auto" w:sz="0" w:space="0"/>
            <w:bottom w:val="thickThinSmallGap" w:color="auto" w:sz="12" w:space="0"/>
            <w:right w:val="none" w:color="auto" w:sz="0" w:space="0"/>
            <w:insideH w:val="single" w:color="auto" w:sz="4" w:space="0"/>
            <w:insideV w:val="single" w:color="000000" w:sz="4" w:space="0"/>
          </w:tblBorders>
          <w:tblCellMar>
            <w:top w:w="0" w:type="dxa"/>
            <w:left w:w="108" w:type="dxa"/>
            <w:bottom w:w="0" w:type="dxa"/>
            <w:right w:w="108" w:type="dxa"/>
          </w:tblCellMar>
        </w:tblPrEx>
        <w:trPr>
          <w:trHeight w:val="340" w:hRule="atLeast"/>
          <w:jc w:val="center"/>
        </w:trPr>
        <w:tc>
          <w:tcPr>
            <w:tcW w:w="665" w:type="pct"/>
            <w:vMerge w:val="continue"/>
            <w:noWrap w:val="0"/>
            <w:vAlign w:val="center"/>
          </w:tcPr>
          <w:p w14:paraId="2CBBB6DB">
            <w:pPr>
              <w:jc w:val="center"/>
              <w:rPr>
                <w:rFonts w:ascii="Times New Roman" w:hAnsi="Times New Roman" w:cs="Times New Roman"/>
                <w:bCs/>
                <w:sz w:val="21"/>
                <w:szCs w:val="21"/>
              </w:rPr>
            </w:pPr>
          </w:p>
        </w:tc>
        <w:tc>
          <w:tcPr>
            <w:tcW w:w="821" w:type="pct"/>
            <w:noWrap w:val="0"/>
            <w:vAlign w:val="center"/>
          </w:tcPr>
          <w:p w14:paraId="68B67824">
            <w:pPr>
              <w:jc w:val="center"/>
              <w:textAlignment w:val="center"/>
              <w:rPr>
                <w:rFonts w:ascii="Times New Roman" w:hAnsi="Times New Roman" w:cs="Times New Roman"/>
                <w:bCs/>
                <w:sz w:val="21"/>
                <w:szCs w:val="21"/>
                <w:highlight w:val="none"/>
              </w:rPr>
            </w:pPr>
            <w:r>
              <w:rPr>
                <w:rFonts w:ascii="Times New Roman" w:hAnsi="Times New Roman" w:cs="Times New Roman"/>
                <w:bCs/>
                <w:spacing w:val="-5"/>
                <w:sz w:val="21"/>
                <w:szCs w:val="21"/>
                <w:highlight w:val="none"/>
                <w:lang w:bidi="ar"/>
              </w:rPr>
              <w:t>苯并</w:t>
            </w:r>
            <w:r>
              <w:rPr>
                <w:rFonts w:ascii="Times New Roman" w:hAnsi="Times New Roman" w:cs="Times New Roman"/>
                <w:bCs/>
                <w:spacing w:val="-10"/>
                <w:sz w:val="21"/>
                <w:szCs w:val="21"/>
                <w:highlight w:val="none"/>
              </w:rPr>
              <w:t>[a]</w:t>
            </w:r>
            <w:r>
              <w:rPr>
                <w:rFonts w:ascii="Times New Roman" w:hAnsi="Times New Roman" w:cs="Times New Roman"/>
                <w:bCs/>
                <w:spacing w:val="-5"/>
                <w:sz w:val="21"/>
                <w:szCs w:val="21"/>
                <w:highlight w:val="none"/>
                <w:lang w:bidi="ar"/>
              </w:rPr>
              <w:t>芘</w:t>
            </w:r>
          </w:p>
        </w:tc>
        <w:tc>
          <w:tcPr>
            <w:tcW w:w="943" w:type="pct"/>
            <w:noWrap w:val="0"/>
            <w:vAlign w:val="center"/>
          </w:tcPr>
          <w:p w14:paraId="7CFAC2EB">
            <w:pPr>
              <w:jc w:val="center"/>
              <w:rPr>
                <w:rFonts w:ascii="Times New Roman" w:hAnsi="Times New Roman" w:cs="Times New Roman"/>
                <w:bCs/>
                <w:sz w:val="21"/>
                <w:szCs w:val="21"/>
                <w:highlight w:val="none"/>
              </w:rPr>
            </w:pPr>
            <w:r>
              <w:rPr>
                <w:rFonts w:ascii="Times New Roman" w:hAnsi="Times New Roman" w:cs="Times New Roman"/>
                <w:bCs/>
                <w:sz w:val="21"/>
                <w:szCs w:val="21"/>
                <w:highlight w:val="none"/>
              </w:rPr>
              <w:t>mg/kg</w:t>
            </w:r>
          </w:p>
        </w:tc>
        <w:tc>
          <w:tcPr>
            <w:tcW w:w="856" w:type="pct"/>
            <w:noWrap w:val="0"/>
            <w:vAlign w:val="center"/>
          </w:tcPr>
          <w:p w14:paraId="74EBCC3A">
            <w:pPr>
              <w:keepNext w:val="0"/>
              <w:keepLines w:val="0"/>
              <w:widowControl/>
              <w:suppressLineNumbers w:val="0"/>
              <w:jc w:val="center"/>
              <w:textAlignment w:val="center"/>
              <w:rPr>
                <w:rFonts w:ascii="Times New Roman" w:hAnsi="Times New Roman" w:cs="Times New Roman"/>
                <w:bCs/>
                <w:sz w:val="21"/>
                <w:szCs w:val="21"/>
                <w:highlight w:val="yellow"/>
                <w:lang w:bidi="ar"/>
              </w:rPr>
            </w:pPr>
            <w:r>
              <w:rPr>
                <w:rFonts w:hint="default" w:ascii="Times New Roman" w:hAnsi="Times New Roman" w:eastAsia="宋体" w:cs="Times New Roman"/>
                <w:i w:val="0"/>
                <w:iCs w:val="0"/>
                <w:color w:val="000000"/>
                <w:kern w:val="0"/>
                <w:sz w:val="21"/>
                <w:szCs w:val="21"/>
                <w:u w:val="none"/>
                <w:lang w:val="en-US" w:eastAsia="zh-CN" w:bidi="ar"/>
              </w:rPr>
              <w:t>ND</w:t>
            </w:r>
          </w:p>
        </w:tc>
        <w:tc>
          <w:tcPr>
            <w:tcW w:w="856" w:type="pct"/>
            <w:noWrap w:val="0"/>
            <w:vAlign w:val="center"/>
          </w:tcPr>
          <w:p w14:paraId="450924B1">
            <w:pPr>
              <w:keepNext w:val="0"/>
              <w:keepLines w:val="0"/>
              <w:widowControl/>
              <w:suppressLineNumbers w:val="0"/>
              <w:jc w:val="center"/>
              <w:textAlignment w:val="center"/>
              <w:rPr>
                <w:rFonts w:ascii="Times New Roman" w:hAnsi="Times New Roman" w:cs="Times New Roman"/>
                <w:bCs/>
                <w:sz w:val="21"/>
                <w:szCs w:val="21"/>
                <w:highlight w:val="yellow"/>
                <w:lang w:bidi="ar"/>
              </w:rPr>
            </w:pPr>
            <w:r>
              <w:rPr>
                <w:rFonts w:hint="default" w:ascii="Times New Roman" w:hAnsi="Times New Roman" w:eastAsia="宋体" w:cs="Times New Roman"/>
                <w:i w:val="0"/>
                <w:iCs w:val="0"/>
                <w:color w:val="000000"/>
                <w:kern w:val="0"/>
                <w:sz w:val="21"/>
                <w:szCs w:val="21"/>
                <w:u w:val="none"/>
                <w:lang w:val="en-US" w:eastAsia="zh-CN" w:bidi="ar"/>
              </w:rPr>
              <w:t>ND</w:t>
            </w:r>
          </w:p>
        </w:tc>
        <w:tc>
          <w:tcPr>
            <w:tcW w:w="857" w:type="pct"/>
            <w:noWrap w:val="0"/>
            <w:vAlign w:val="center"/>
          </w:tcPr>
          <w:p w14:paraId="06821568">
            <w:pPr>
              <w:jc w:val="center"/>
              <w:textAlignment w:val="center"/>
              <w:rPr>
                <w:rFonts w:ascii="Times New Roman" w:hAnsi="Times New Roman" w:cs="Times New Roman"/>
                <w:bCs/>
                <w:sz w:val="21"/>
                <w:szCs w:val="21"/>
                <w:highlight w:val="none"/>
                <w:lang w:bidi="ar"/>
              </w:rPr>
            </w:pPr>
            <w:r>
              <w:rPr>
                <w:rFonts w:ascii="Times New Roman" w:hAnsi="Times New Roman" w:cs="Times New Roman"/>
                <w:bCs/>
                <w:sz w:val="21"/>
                <w:szCs w:val="21"/>
                <w:highlight w:val="none"/>
              </w:rPr>
              <w:t>-</w:t>
            </w:r>
          </w:p>
        </w:tc>
      </w:tr>
      <w:tr w14:paraId="53917D2B">
        <w:tblPrEx>
          <w:tblBorders>
            <w:top w:val="thinThickSmallGap" w:color="auto" w:sz="12" w:space="0"/>
            <w:left w:val="none" w:color="auto" w:sz="0" w:space="0"/>
            <w:bottom w:val="thickThinSmallGap" w:color="auto" w:sz="12" w:space="0"/>
            <w:right w:val="none" w:color="auto" w:sz="0" w:space="0"/>
            <w:insideH w:val="single" w:color="auto" w:sz="4" w:space="0"/>
            <w:insideV w:val="single" w:color="000000" w:sz="4" w:space="0"/>
          </w:tblBorders>
          <w:tblCellMar>
            <w:top w:w="0" w:type="dxa"/>
            <w:left w:w="108" w:type="dxa"/>
            <w:bottom w:w="0" w:type="dxa"/>
            <w:right w:w="108" w:type="dxa"/>
          </w:tblCellMar>
        </w:tblPrEx>
        <w:trPr>
          <w:trHeight w:val="340" w:hRule="atLeast"/>
          <w:jc w:val="center"/>
        </w:trPr>
        <w:tc>
          <w:tcPr>
            <w:tcW w:w="665" w:type="pct"/>
            <w:vMerge w:val="continue"/>
            <w:noWrap w:val="0"/>
            <w:vAlign w:val="center"/>
          </w:tcPr>
          <w:p w14:paraId="2BD25792">
            <w:pPr>
              <w:jc w:val="center"/>
              <w:rPr>
                <w:rFonts w:ascii="Times New Roman" w:hAnsi="Times New Roman" w:cs="Times New Roman"/>
                <w:bCs/>
                <w:sz w:val="21"/>
                <w:szCs w:val="21"/>
              </w:rPr>
            </w:pPr>
          </w:p>
        </w:tc>
        <w:tc>
          <w:tcPr>
            <w:tcW w:w="821" w:type="pct"/>
            <w:noWrap w:val="0"/>
            <w:vAlign w:val="center"/>
          </w:tcPr>
          <w:p w14:paraId="23483BAA">
            <w:pPr>
              <w:jc w:val="center"/>
              <w:textAlignment w:val="center"/>
              <w:rPr>
                <w:rFonts w:ascii="Times New Roman" w:hAnsi="Times New Roman" w:cs="Times New Roman"/>
                <w:bCs/>
                <w:sz w:val="21"/>
                <w:szCs w:val="21"/>
                <w:highlight w:val="none"/>
              </w:rPr>
            </w:pPr>
            <w:r>
              <w:rPr>
                <w:rFonts w:ascii="Times New Roman" w:hAnsi="Times New Roman" w:cs="Times New Roman"/>
                <w:bCs/>
                <w:spacing w:val="-5"/>
                <w:sz w:val="21"/>
                <w:szCs w:val="21"/>
                <w:highlight w:val="none"/>
                <w:lang w:bidi="ar"/>
              </w:rPr>
              <w:t>茚并</w:t>
            </w:r>
            <w:r>
              <w:rPr>
                <w:rFonts w:ascii="Times New Roman" w:hAnsi="Times New Roman" w:cs="Times New Roman"/>
                <w:bCs/>
                <w:spacing w:val="-10"/>
                <w:sz w:val="21"/>
                <w:szCs w:val="21"/>
                <w:highlight w:val="none"/>
              </w:rPr>
              <w:t>[1,2,3-cd]</w:t>
            </w:r>
            <w:r>
              <w:rPr>
                <w:rFonts w:ascii="Times New Roman" w:hAnsi="Times New Roman" w:cs="Times New Roman"/>
                <w:bCs/>
                <w:spacing w:val="-5"/>
                <w:sz w:val="21"/>
                <w:szCs w:val="21"/>
                <w:highlight w:val="none"/>
                <w:lang w:bidi="ar"/>
              </w:rPr>
              <w:t>芘</w:t>
            </w:r>
          </w:p>
        </w:tc>
        <w:tc>
          <w:tcPr>
            <w:tcW w:w="943" w:type="pct"/>
            <w:noWrap w:val="0"/>
            <w:vAlign w:val="center"/>
          </w:tcPr>
          <w:p w14:paraId="229BB022">
            <w:pPr>
              <w:jc w:val="center"/>
              <w:rPr>
                <w:rFonts w:ascii="Times New Roman" w:hAnsi="Times New Roman" w:cs="Times New Roman"/>
                <w:bCs/>
                <w:sz w:val="21"/>
                <w:szCs w:val="21"/>
                <w:highlight w:val="none"/>
              </w:rPr>
            </w:pPr>
            <w:r>
              <w:rPr>
                <w:rFonts w:ascii="Times New Roman" w:hAnsi="Times New Roman" w:cs="Times New Roman"/>
                <w:bCs/>
                <w:sz w:val="21"/>
                <w:szCs w:val="21"/>
                <w:highlight w:val="none"/>
              </w:rPr>
              <w:t>mg/kg</w:t>
            </w:r>
          </w:p>
        </w:tc>
        <w:tc>
          <w:tcPr>
            <w:tcW w:w="856" w:type="pct"/>
            <w:noWrap w:val="0"/>
            <w:vAlign w:val="center"/>
          </w:tcPr>
          <w:p w14:paraId="7808AC2A">
            <w:pPr>
              <w:keepNext w:val="0"/>
              <w:keepLines w:val="0"/>
              <w:widowControl/>
              <w:suppressLineNumbers w:val="0"/>
              <w:jc w:val="center"/>
              <w:textAlignment w:val="center"/>
              <w:rPr>
                <w:rFonts w:ascii="Times New Roman" w:hAnsi="Times New Roman" w:cs="Times New Roman"/>
                <w:bCs/>
                <w:sz w:val="21"/>
                <w:szCs w:val="21"/>
                <w:highlight w:val="yellow"/>
                <w:lang w:bidi="ar"/>
              </w:rPr>
            </w:pPr>
            <w:r>
              <w:rPr>
                <w:rFonts w:hint="default" w:ascii="Times New Roman" w:hAnsi="Times New Roman" w:eastAsia="宋体" w:cs="Times New Roman"/>
                <w:i w:val="0"/>
                <w:iCs w:val="0"/>
                <w:color w:val="000000"/>
                <w:kern w:val="0"/>
                <w:sz w:val="21"/>
                <w:szCs w:val="21"/>
                <w:u w:val="none"/>
                <w:lang w:val="en-US" w:eastAsia="zh-CN" w:bidi="ar"/>
              </w:rPr>
              <w:t>ND</w:t>
            </w:r>
          </w:p>
        </w:tc>
        <w:tc>
          <w:tcPr>
            <w:tcW w:w="856" w:type="pct"/>
            <w:noWrap w:val="0"/>
            <w:vAlign w:val="center"/>
          </w:tcPr>
          <w:p w14:paraId="0CC1C57A">
            <w:pPr>
              <w:keepNext w:val="0"/>
              <w:keepLines w:val="0"/>
              <w:widowControl/>
              <w:suppressLineNumbers w:val="0"/>
              <w:jc w:val="center"/>
              <w:textAlignment w:val="center"/>
              <w:rPr>
                <w:rFonts w:ascii="Times New Roman" w:hAnsi="Times New Roman" w:cs="Times New Roman"/>
                <w:bCs/>
                <w:sz w:val="21"/>
                <w:szCs w:val="21"/>
                <w:highlight w:val="yellow"/>
                <w:lang w:bidi="ar"/>
              </w:rPr>
            </w:pPr>
            <w:r>
              <w:rPr>
                <w:rFonts w:hint="default" w:ascii="Times New Roman" w:hAnsi="Times New Roman" w:eastAsia="宋体" w:cs="Times New Roman"/>
                <w:i w:val="0"/>
                <w:iCs w:val="0"/>
                <w:color w:val="000000"/>
                <w:kern w:val="0"/>
                <w:sz w:val="21"/>
                <w:szCs w:val="21"/>
                <w:u w:val="none"/>
                <w:lang w:val="en-US" w:eastAsia="zh-CN" w:bidi="ar"/>
              </w:rPr>
              <w:t>ND</w:t>
            </w:r>
          </w:p>
        </w:tc>
        <w:tc>
          <w:tcPr>
            <w:tcW w:w="857" w:type="pct"/>
            <w:noWrap w:val="0"/>
            <w:vAlign w:val="center"/>
          </w:tcPr>
          <w:p w14:paraId="52F5305F">
            <w:pPr>
              <w:jc w:val="center"/>
              <w:textAlignment w:val="center"/>
              <w:rPr>
                <w:rFonts w:ascii="Times New Roman" w:hAnsi="Times New Roman" w:cs="Times New Roman"/>
                <w:bCs/>
                <w:sz w:val="21"/>
                <w:szCs w:val="21"/>
                <w:highlight w:val="none"/>
                <w:lang w:bidi="ar"/>
              </w:rPr>
            </w:pPr>
            <w:r>
              <w:rPr>
                <w:rFonts w:ascii="Times New Roman" w:hAnsi="Times New Roman" w:cs="Times New Roman"/>
                <w:bCs/>
                <w:sz w:val="21"/>
                <w:szCs w:val="21"/>
                <w:highlight w:val="none"/>
              </w:rPr>
              <w:t>-</w:t>
            </w:r>
          </w:p>
        </w:tc>
      </w:tr>
      <w:tr w14:paraId="507B4C8E">
        <w:tblPrEx>
          <w:tblBorders>
            <w:top w:val="thinThickSmallGap" w:color="auto" w:sz="12" w:space="0"/>
            <w:left w:val="none" w:color="auto" w:sz="0" w:space="0"/>
            <w:bottom w:val="thickThinSmallGap" w:color="auto" w:sz="12" w:space="0"/>
            <w:right w:val="none" w:color="auto" w:sz="0" w:space="0"/>
            <w:insideH w:val="single" w:color="auto" w:sz="4" w:space="0"/>
            <w:insideV w:val="single" w:color="000000" w:sz="4" w:space="0"/>
          </w:tblBorders>
          <w:tblCellMar>
            <w:top w:w="0" w:type="dxa"/>
            <w:left w:w="108" w:type="dxa"/>
            <w:bottom w:w="0" w:type="dxa"/>
            <w:right w:w="108" w:type="dxa"/>
          </w:tblCellMar>
        </w:tblPrEx>
        <w:trPr>
          <w:trHeight w:val="340" w:hRule="atLeast"/>
          <w:jc w:val="center"/>
        </w:trPr>
        <w:tc>
          <w:tcPr>
            <w:tcW w:w="665" w:type="pct"/>
            <w:vMerge w:val="continue"/>
            <w:noWrap w:val="0"/>
            <w:vAlign w:val="center"/>
          </w:tcPr>
          <w:p w14:paraId="069D0670">
            <w:pPr>
              <w:jc w:val="center"/>
              <w:rPr>
                <w:rFonts w:ascii="Times New Roman" w:hAnsi="Times New Roman" w:cs="Times New Roman"/>
                <w:bCs/>
                <w:sz w:val="21"/>
                <w:szCs w:val="21"/>
              </w:rPr>
            </w:pPr>
          </w:p>
        </w:tc>
        <w:tc>
          <w:tcPr>
            <w:tcW w:w="821" w:type="pct"/>
            <w:noWrap w:val="0"/>
            <w:vAlign w:val="center"/>
          </w:tcPr>
          <w:p w14:paraId="04244765">
            <w:pPr>
              <w:jc w:val="center"/>
              <w:rPr>
                <w:rFonts w:ascii="Times New Roman" w:hAnsi="Times New Roman" w:cs="Times New Roman"/>
                <w:bCs/>
                <w:sz w:val="21"/>
                <w:szCs w:val="21"/>
                <w:highlight w:val="none"/>
              </w:rPr>
            </w:pPr>
            <w:r>
              <w:rPr>
                <w:rFonts w:ascii="Times New Roman" w:hAnsi="Times New Roman" w:cs="Times New Roman"/>
                <w:bCs/>
                <w:spacing w:val="-5"/>
                <w:sz w:val="21"/>
                <w:szCs w:val="21"/>
                <w:highlight w:val="none"/>
                <w:lang w:bidi="ar"/>
              </w:rPr>
              <w:t>二苯并</w:t>
            </w:r>
            <w:r>
              <w:rPr>
                <w:rFonts w:ascii="Times New Roman" w:hAnsi="Times New Roman" w:cs="Times New Roman"/>
                <w:bCs/>
                <w:spacing w:val="-10"/>
                <w:sz w:val="21"/>
                <w:szCs w:val="21"/>
                <w:highlight w:val="none"/>
              </w:rPr>
              <w:t>[a, h]</w:t>
            </w:r>
            <w:r>
              <w:rPr>
                <w:rFonts w:ascii="Times New Roman" w:hAnsi="Times New Roman" w:cs="Times New Roman"/>
                <w:bCs/>
                <w:spacing w:val="-5"/>
                <w:sz w:val="21"/>
                <w:szCs w:val="21"/>
                <w:highlight w:val="none"/>
                <w:lang w:bidi="ar"/>
              </w:rPr>
              <w:t>蒽</w:t>
            </w:r>
          </w:p>
        </w:tc>
        <w:tc>
          <w:tcPr>
            <w:tcW w:w="943" w:type="pct"/>
            <w:noWrap w:val="0"/>
            <w:vAlign w:val="center"/>
          </w:tcPr>
          <w:p w14:paraId="7A5C15E2">
            <w:pPr>
              <w:jc w:val="center"/>
              <w:rPr>
                <w:rFonts w:ascii="Times New Roman" w:hAnsi="Times New Roman" w:cs="Times New Roman"/>
                <w:bCs/>
                <w:sz w:val="21"/>
                <w:szCs w:val="21"/>
                <w:highlight w:val="none"/>
              </w:rPr>
            </w:pPr>
            <w:r>
              <w:rPr>
                <w:rFonts w:ascii="Times New Roman" w:hAnsi="Times New Roman" w:cs="Times New Roman"/>
                <w:bCs/>
                <w:sz w:val="21"/>
                <w:szCs w:val="21"/>
                <w:highlight w:val="none"/>
              </w:rPr>
              <w:t>mg/kg</w:t>
            </w:r>
          </w:p>
        </w:tc>
        <w:tc>
          <w:tcPr>
            <w:tcW w:w="856" w:type="pct"/>
            <w:noWrap w:val="0"/>
            <w:vAlign w:val="center"/>
          </w:tcPr>
          <w:p w14:paraId="478AE10A">
            <w:pPr>
              <w:keepNext w:val="0"/>
              <w:keepLines w:val="0"/>
              <w:widowControl/>
              <w:suppressLineNumbers w:val="0"/>
              <w:jc w:val="center"/>
              <w:textAlignment w:val="center"/>
              <w:rPr>
                <w:rFonts w:ascii="Times New Roman" w:hAnsi="Times New Roman" w:cs="Times New Roman"/>
                <w:bCs/>
                <w:sz w:val="21"/>
                <w:szCs w:val="21"/>
                <w:highlight w:val="yellow"/>
                <w:lang w:bidi="ar"/>
              </w:rPr>
            </w:pPr>
            <w:r>
              <w:rPr>
                <w:rFonts w:hint="default" w:ascii="Times New Roman" w:hAnsi="Times New Roman" w:eastAsia="宋体" w:cs="Times New Roman"/>
                <w:i w:val="0"/>
                <w:iCs w:val="0"/>
                <w:color w:val="000000"/>
                <w:kern w:val="0"/>
                <w:sz w:val="21"/>
                <w:szCs w:val="21"/>
                <w:u w:val="none"/>
                <w:lang w:val="en-US" w:eastAsia="zh-CN" w:bidi="ar"/>
              </w:rPr>
              <w:t>ND</w:t>
            </w:r>
          </w:p>
        </w:tc>
        <w:tc>
          <w:tcPr>
            <w:tcW w:w="856" w:type="pct"/>
            <w:noWrap w:val="0"/>
            <w:vAlign w:val="center"/>
          </w:tcPr>
          <w:p w14:paraId="3E40C595">
            <w:pPr>
              <w:keepNext w:val="0"/>
              <w:keepLines w:val="0"/>
              <w:widowControl/>
              <w:suppressLineNumbers w:val="0"/>
              <w:jc w:val="center"/>
              <w:textAlignment w:val="center"/>
              <w:rPr>
                <w:rFonts w:ascii="Times New Roman" w:hAnsi="Times New Roman" w:cs="Times New Roman"/>
                <w:bCs/>
                <w:sz w:val="21"/>
                <w:szCs w:val="21"/>
                <w:highlight w:val="yellow"/>
                <w:lang w:bidi="ar"/>
              </w:rPr>
            </w:pPr>
            <w:r>
              <w:rPr>
                <w:rFonts w:hint="default" w:ascii="Times New Roman" w:hAnsi="Times New Roman" w:eastAsia="宋体" w:cs="Times New Roman"/>
                <w:i w:val="0"/>
                <w:iCs w:val="0"/>
                <w:color w:val="000000"/>
                <w:kern w:val="0"/>
                <w:sz w:val="21"/>
                <w:szCs w:val="21"/>
                <w:u w:val="none"/>
                <w:lang w:val="en-US" w:eastAsia="zh-CN" w:bidi="ar"/>
              </w:rPr>
              <w:t>ND</w:t>
            </w:r>
          </w:p>
        </w:tc>
        <w:tc>
          <w:tcPr>
            <w:tcW w:w="857" w:type="pct"/>
            <w:noWrap w:val="0"/>
            <w:vAlign w:val="center"/>
          </w:tcPr>
          <w:p w14:paraId="0FAAA225">
            <w:pPr>
              <w:jc w:val="center"/>
              <w:textAlignment w:val="center"/>
              <w:rPr>
                <w:rFonts w:ascii="Times New Roman" w:hAnsi="Times New Roman" w:cs="Times New Roman"/>
                <w:bCs/>
                <w:sz w:val="21"/>
                <w:szCs w:val="21"/>
                <w:highlight w:val="none"/>
                <w:lang w:bidi="ar"/>
              </w:rPr>
            </w:pPr>
            <w:r>
              <w:rPr>
                <w:rFonts w:ascii="Times New Roman" w:hAnsi="Times New Roman" w:cs="Times New Roman"/>
                <w:bCs/>
                <w:sz w:val="21"/>
                <w:szCs w:val="21"/>
                <w:highlight w:val="none"/>
              </w:rPr>
              <w:t>-</w:t>
            </w:r>
          </w:p>
        </w:tc>
      </w:tr>
      <w:tr w14:paraId="2EBFBBD2">
        <w:tblPrEx>
          <w:tblBorders>
            <w:top w:val="thinThickSmallGap" w:color="auto" w:sz="12" w:space="0"/>
            <w:left w:val="none" w:color="auto" w:sz="0" w:space="0"/>
            <w:bottom w:val="thickThinSmallGap" w:color="auto" w:sz="12" w:space="0"/>
            <w:right w:val="none" w:color="auto" w:sz="0" w:space="0"/>
            <w:insideH w:val="single" w:color="auto" w:sz="4" w:space="0"/>
            <w:insideV w:val="single" w:color="000000" w:sz="4" w:space="0"/>
          </w:tblBorders>
          <w:tblCellMar>
            <w:top w:w="0" w:type="dxa"/>
            <w:left w:w="108" w:type="dxa"/>
            <w:bottom w:w="0" w:type="dxa"/>
            <w:right w:w="108" w:type="dxa"/>
          </w:tblCellMar>
        </w:tblPrEx>
        <w:trPr>
          <w:trHeight w:val="340" w:hRule="atLeast"/>
          <w:jc w:val="center"/>
        </w:trPr>
        <w:tc>
          <w:tcPr>
            <w:tcW w:w="665" w:type="pct"/>
            <w:vMerge w:val="continue"/>
            <w:noWrap w:val="0"/>
            <w:vAlign w:val="center"/>
          </w:tcPr>
          <w:p w14:paraId="26E00E5F">
            <w:pPr>
              <w:jc w:val="center"/>
              <w:rPr>
                <w:rFonts w:ascii="Times New Roman" w:hAnsi="Times New Roman" w:cs="Times New Roman"/>
                <w:bCs/>
                <w:sz w:val="21"/>
                <w:szCs w:val="21"/>
              </w:rPr>
            </w:pPr>
          </w:p>
        </w:tc>
        <w:tc>
          <w:tcPr>
            <w:tcW w:w="821" w:type="pct"/>
            <w:noWrap w:val="0"/>
            <w:vAlign w:val="center"/>
          </w:tcPr>
          <w:p w14:paraId="6B45E93B">
            <w:pPr>
              <w:jc w:val="center"/>
              <w:rPr>
                <w:rFonts w:ascii="Times New Roman" w:hAnsi="Times New Roman" w:cs="Times New Roman"/>
                <w:bCs/>
                <w:spacing w:val="-5"/>
                <w:sz w:val="21"/>
                <w:szCs w:val="21"/>
                <w:highlight w:val="none"/>
                <w:lang w:bidi="ar"/>
              </w:rPr>
            </w:pPr>
            <w:r>
              <w:rPr>
                <w:rFonts w:ascii="Times New Roman" w:hAnsi="Times New Roman" w:cs="Times New Roman"/>
                <w:bCs/>
                <w:sz w:val="21"/>
                <w:szCs w:val="21"/>
                <w:highlight w:val="none"/>
              </w:rPr>
              <w:t>苯胺</w:t>
            </w:r>
          </w:p>
        </w:tc>
        <w:tc>
          <w:tcPr>
            <w:tcW w:w="943" w:type="pct"/>
            <w:noWrap w:val="0"/>
            <w:vAlign w:val="center"/>
          </w:tcPr>
          <w:p w14:paraId="4AC78F28">
            <w:pPr>
              <w:jc w:val="center"/>
              <w:rPr>
                <w:rFonts w:ascii="Times New Roman" w:hAnsi="Times New Roman" w:cs="Times New Roman"/>
                <w:bCs/>
                <w:spacing w:val="-5"/>
                <w:sz w:val="21"/>
                <w:szCs w:val="21"/>
                <w:highlight w:val="none"/>
                <w:lang w:bidi="ar"/>
              </w:rPr>
            </w:pPr>
            <w:r>
              <w:rPr>
                <w:rFonts w:ascii="Times New Roman" w:hAnsi="Times New Roman" w:cs="Times New Roman"/>
                <w:bCs/>
                <w:sz w:val="21"/>
                <w:szCs w:val="21"/>
                <w:highlight w:val="none"/>
              </w:rPr>
              <w:t>mg/kg</w:t>
            </w:r>
          </w:p>
        </w:tc>
        <w:tc>
          <w:tcPr>
            <w:tcW w:w="856" w:type="pct"/>
            <w:noWrap w:val="0"/>
            <w:vAlign w:val="center"/>
          </w:tcPr>
          <w:p w14:paraId="6D59BC8B">
            <w:pPr>
              <w:keepNext w:val="0"/>
              <w:keepLines w:val="0"/>
              <w:widowControl/>
              <w:suppressLineNumbers w:val="0"/>
              <w:jc w:val="center"/>
              <w:textAlignment w:val="center"/>
              <w:rPr>
                <w:rFonts w:ascii="Times New Roman" w:hAnsi="Times New Roman" w:cs="Times New Roman"/>
                <w:bCs/>
                <w:sz w:val="21"/>
                <w:szCs w:val="21"/>
                <w:highlight w:val="yellow"/>
                <w:lang w:bidi="ar"/>
              </w:rPr>
            </w:pPr>
            <w:r>
              <w:rPr>
                <w:rFonts w:hint="default" w:ascii="Times New Roman" w:hAnsi="Times New Roman" w:eastAsia="宋体" w:cs="Times New Roman"/>
                <w:i w:val="0"/>
                <w:iCs w:val="0"/>
                <w:color w:val="000000"/>
                <w:kern w:val="0"/>
                <w:sz w:val="21"/>
                <w:szCs w:val="21"/>
                <w:u w:val="none"/>
                <w:lang w:val="en-US" w:eastAsia="zh-CN" w:bidi="ar"/>
              </w:rPr>
              <w:t>ND</w:t>
            </w:r>
          </w:p>
        </w:tc>
        <w:tc>
          <w:tcPr>
            <w:tcW w:w="856" w:type="pct"/>
            <w:noWrap w:val="0"/>
            <w:vAlign w:val="center"/>
          </w:tcPr>
          <w:p w14:paraId="3D5DDCC7">
            <w:pPr>
              <w:keepNext w:val="0"/>
              <w:keepLines w:val="0"/>
              <w:widowControl/>
              <w:suppressLineNumbers w:val="0"/>
              <w:jc w:val="center"/>
              <w:textAlignment w:val="center"/>
              <w:rPr>
                <w:rFonts w:ascii="Times New Roman" w:hAnsi="Times New Roman" w:cs="Times New Roman"/>
                <w:bCs/>
                <w:sz w:val="21"/>
                <w:szCs w:val="21"/>
                <w:highlight w:val="yellow"/>
                <w:lang w:bidi="ar"/>
              </w:rPr>
            </w:pPr>
            <w:r>
              <w:rPr>
                <w:rFonts w:hint="default" w:ascii="Times New Roman" w:hAnsi="Times New Roman" w:eastAsia="宋体" w:cs="Times New Roman"/>
                <w:i w:val="0"/>
                <w:iCs w:val="0"/>
                <w:color w:val="000000"/>
                <w:kern w:val="0"/>
                <w:sz w:val="21"/>
                <w:szCs w:val="21"/>
                <w:u w:val="none"/>
                <w:lang w:val="en-US" w:eastAsia="zh-CN" w:bidi="ar"/>
              </w:rPr>
              <w:t>ND</w:t>
            </w:r>
          </w:p>
        </w:tc>
        <w:tc>
          <w:tcPr>
            <w:tcW w:w="857" w:type="pct"/>
            <w:noWrap w:val="0"/>
            <w:vAlign w:val="center"/>
          </w:tcPr>
          <w:p w14:paraId="09A712C5">
            <w:pPr>
              <w:jc w:val="center"/>
              <w:textAlignment w:val="center"/>
              <w:rPr>
                <w:rFonts w:ascii="Times New Roman" w:hAnsi="Times New Roman" w:cs="Times New Roman"/>
                <w:bCs/>
                <w:sz w:val="21"/>
                <w:szCs w:val="21"/>
                <w:highlight w:val="none"/>
                <w:lang w:bidi="ar"/>
              </w:rPr>
            </w:pPr>
            <w:r>
              <w:rPr>
                <w:rFonts w:ascii="Times New Roman" w:hAnsi="Times New Roman" w:cs="Times New Roman"/>
                <w:bCs/>
                <w:sz w:val="21"/>
                <w:szCs w:val="21"/>
                <w:highlight w:val="none"/>
              </w:rPr>
              <w:t>-</w:t>
            </w:r>
          </w:p>
        </w:tc>
      </w:tr>
    </w:tbl>
    <w:p w14:paraId="71EB49E2">
      <w:pPr>
        <w:adjustRightInd w:val="0"/>
        <w:snapToGrid w:val="0"/>
        <w:rPr>
          <w:rFonts w:hint="eastAsia" w:ascii="Times New Roman" w:hAnsi="Times New Roman" w:cs="Times New Roman"/>
          <w:b/>
          <w:sz w:val="18"/>
          <w:szCs w:val="21"/>
        </w:rPr>
      </w:pPr>
      <w:r>
        <w:rPr>
          <w:rFonts w:ascii="Times New Roman" w:hAnsi="Times New Roman" w:cs="Times New Roman"/>
          <w:b/>
          <w:sz w:val="18"/>
        </w:rPr>
        <w:t>注：</w:t>
      </w:r>
      <w:r>
        <w:rPr>
          <w:rFonts w:ascii="Times New Roman" w:hAnsi="Times New Roman" w:cs="Times New Roman"/>
          <w:b/>
          <w:sz w:val="18"/>
          <w:szCs w:val="21"/>
        </w:rPr>
        <w:t>L表示结果低于</w:t>
      </w:r>
      <w:r>
        <w:rPr>
          <w:rFonts w:hint="eastAsia" w:ascii="Times New Roman" w:hAnsi="Times New Roman" w:cs="Times New Roman"/>
          <w:b/>
          <w:sz w:val="18"/>
          <w:szCs w:val="21"/>
        </w:rPr>
        <w:t>该</w:t>
      </w:r>
      <w:r>
        <w:rPr>
          <w:rFonts w:ascii="Times New Roman" w:hAnsi="Times New Roman" w:cs="Times New Roman"/>
          <w:b/>
          <w:sz w:val="18"/>
          <w:szCs w:val="21"/>
        </w:rPr>
        <w:t>检出限</w:t>
      </w:r>
      <w:r>
        <w:rPr>
          <w:rFonts w:hint="eastAsia" w:ascii="Times New Roman" w:hAnsi="Times New Roman" w:cs="Times New Roman"/>
          <w:b/>
          <w:sz w:val="18"/>
          <w:szCs w:val="21"/>
        </w:rPr>
        <w:t>，</w:t>
      </w:r>
      <w:r>
        <w:rPr>
          <w:rFonts w:ascii="Times New Roman" w:hAnsi="Times New Roman" w:cs="Times New Roman"/>
          <w:b/>
          <w:sz w:val="18"/>
          <w:szCs w:val="21"/>
        </w:rPr>
        <w:t>未检出</w:t>
      </w:r>
      <w:r>
        <w:rPr>
          <w:rFonts w:hint="eastAsia" w:ascii="Times New Roman" w:hAnsi="Times New Roman" w:cs="Times New Roman"/>
          <w:b/>
          <w:sz w:val="18"/>
          <w:szCs w:val="21"/>
        </w:rPr>
        <w:t>。</w:t>
      </w:r>
    </w:p>
    <w:p w14:paraId="75B0D32B">
      <w:pPr>
        <w:pStyle w:val="131"/>
        <w:adjustRightInd/>
        <w:snapToGrid/>
        <w:spacing w:line="360" w:lineRule="auto"/>
        <w:ind w:left="0" w:firstLine="0"/>
        <w:rPr>
          <w:rFonts w:ascii="Times New Roman" w:hAnsi="Times New Roman" w:cs="Times New Roman"/>
        </w:rPr>
      </w:pPr>
      <w:r>
        <w:rPr>
          <w:rFonts w:ascii="Times New Roman" w:hAnsi="Times New Roman" w:cs="Times New Roman"/>
        </w:rPr>
        <w:t>表</w:t>
      </w:r>
      <w:r>
        <w:rPr>
          <w:rFonts w:hint="eastAsia" w:ascii="Times New Roman" w:hAnsi="Times New Roman" w:cs="Times New Roman"/>
        </w:rPr>
        <w:t>4.2-13</w:t>
      </w:r>
      <w:r>
        <w:rPr>
          <w:rFonts w:ascii="Times New Roman" w:hAnsi="Times New Roman" w:cs="Times New Roman"/>
        </w:rPr>
        <w:t xml:space="preserve">  </w:t>
      </w:r>
      <w:r>
        <w:rPr>
          <w:rFonts w:hint="eastAsia" w:ascii="Times New Roman" w:hAnsi="Times New Roman" w:cs="Times New Roman"/>
          <w:lang w:val="en-US" w:eastAsia="zh-CN"/>
        </w:rPr>
        <w:t>T1</w:t>
      </w:r>
      <w:r>
        <w:rPr>
          <w:rFonts w:ascii="Times New Roman" w:hAnsi="Times New Roman" w:cs="Times New Roman"/>
        </w:rPr>
        <w:t>点位土壤现状监测结果</w:t>
      </w:r>
    </w:p>
    <w:tbl>
      <w:tblPr>
        <w:tblStyle w:val="56"/>
        <w:tblW w:w="9071" w:type="dxa"/>
        <w:jc w:val="center"/>
        <w:tblBorders>
          <w:top w:val="thinThickSmallGap" w:color="auto" w:sz="12" w:space="0"/>
          <w:left w:val="none" w:color="auto" w:sz="0" w:space="0"/>
          <w:bottom w:val="thickThinSmallGap" w:color="auto" w:sz="12" w:space="0"/>
          <w:right w:val="none" w:color="auto" w:sz="0" w:space="0"/>
          <w:insideH w:val="single" w:color="auto" w:sz="4" w:space="0"/>
          <w:insideV w:val="single" w:color="000000" w:sz="4" w:space="0"/>
        </w:tblBorders>
        <w:tblLayout w:type="fixed"/>
        <w:tblCellMar>
          <w:top w:w="0" w:type="dxa"/>
          <w:left w:w="108" w:type="dxa"/>
          <w:bottom w:w="0" w:type="dxa"/>
          <w:right w:w="108" w:type="dxa"/>
        </w:tblCellMar>
      </w:tblPr>
      <w:tblGrid>
        <w:gridCol w:w="684"/>
        <w:gridCol w:w="1401"/>
        <w:gridCol w:w="1004"/>
        <w:gridCol w:w="1994"/>
        <w:gridCol w:w="1994"/>
        <w:gridCol w:w="1994"/>
      </w:tblGrid>
      <w:tr w14:paraId="0C303DFD">
        <w:tblPrEx>
          <w:tblBorders>
            <w:top w:val="thinThickSmallGap" w:color="auto" w:sz="12" w:space="0"/>
            <w:left w:val="none" w:color="auto" w:sz="0" w:space="0"/>
            <w:bottom w:val="thickThinSmallGap" w:color="auto" w:sz="12" w:space="0"/>
            <w:right w:val="none" w:color="auto" w:sz="0" w:space="0"/>
            <w:insideH w:val="single" w:color="auto" w:sz="4" w:space="0"/>
            <w:insideV w:val="single" w:color="000000" w:sz="4" w:space="0"/>
          </w:tblBorders>
          <w:tblCellMar>
            <w:top w:w="0" w:type="dxa"/>
            <w:left w:w="108" w:type="dxa"/>
            <w:bottom w:w="0" w:type="dxa"/>
            <w:right w:w="108" w:type="dxa"/>
          </w:tblCellMar>
        </w:tblPrEx>
        <w:trPr>
          <w:trHeight w:val="340" w:hRule="atLeast"/>
          <w:tblHeader/>
          <w:jc w:val="center"/>
        </w:trPr>
        <w:tc>
          <w:tcPr>
            <w:tcW w:w="684" w:type="dxa"/>
            <w:shd w:val="clear" w:color="auto" w:fill="D9D9D9"/>
            <w:noWrap w:val="0"/>
            <w:vAlign w:val="center"/>
          </w:tcPr>
          <w:p w14:paraId="774B482F">
            <w:pPr>
              <w:jc w:val="center"/>
              <w:rPr>
                <w:rFonts w:ascii="Times New Roman" w:hAnsi="Times New Roman" w:cs="Times New Roman"/>
                <w:bCs/>
                <w:sz w:val="21"/>
                <w:szCs w:val="21"/>
              </w:rPr>
            </w:pPr>
            <w:r>
              <w:rPr>
                <w:rFonts w:ascii="Times New Roman" w:hAnsi="Times New Roman" w:cs="Times New Roman"/>
                <w:bCs/>
                <w:sz w:val="21"/>
                <w:szCs w:val="21"/>
              </w:rPr>
              <w:t>时间</w:t>
            </w:r>
          </w:p>
        </w:tc>
        <w:tc>
          <w:tcPr>
            <w:tcW w:w="1401" w:type="dxa"/>
            <w:shd w:val="clear" w:color="auto" w:fill="D9D9D9"/>
            <w:noWrap w:val="0"/>
            <w:vAlign w:val="center"/>
          </w:tcPr>
          <w:p w14:paraId="2FF4A903">
            <w:pPr>
              <w:jc w:val="center"/>
              <w:rPr>
                <w:rFonts w:ascii="Times New Roman" w:hAnsi="Times New Roman" w:cs="Times New Roman"/>
                <w:bCs/>
                <w:sz w:val="21"/>
                <w:szCs w:val="21"/>
              </w:rPr>
            </w:pPr>
            <w:r>
              <w:rPr>
                <w:rFonts w:ascii="Times New Roman" w:hAnsi="Times New Roman" w:cs="Times New Roman"/>
                <w:bCs/>
                <w:sz w:val="21"/>
                <w:szCs w:val="21"/>
              </w:rPr>
              <w:t>检测项目</w:t>
            </w:r>
          </w:p>
        </w:tc>
        <w:tc>
          <w:tcPr>
            <w:tcW w:w="1004" w:type="dxa"/>
            <w:shd w:val="clear" w:color="auto" w:fill="D9D9D9"/>
            <w:noWrap w:val="0"/>
            <w:vAlign w:val="center"/>
          </w:tcPr>
          <w:p w14:paraId="71F65B62">
            <w:pPr>
              <w:jc w:val="center"/>
              <w:rPr>
                <w:rFonts w:ascii="Times New Roman" w:hAnsi="Times New Roman" w:cs="Times New Roman"/>
                <w:bCs/>
                <w:sz w:val="21"/>
                <w:szCs w:val="21"/>
              </w:rPr>
            </w:pPr>
            <w:r>
              <w:rPr>
                <w:rFonts w:ascii="Times New Roman" w:hAnsi="Times New Roman" w:cs="Times New Roman"/>
                <w:bCs/>
                <w:sz w:val="21"/>
                <w:szCs w:val="21"/>
              </w:rPr>
              <w:t>单位</w:t>
            </w:r>
          </w:p>
        </w:tc>
        <w:tc>
          <w:tcPr>
            <w:tcW w:w="1994" w:type="dxa"/>
            <w:shd w:val="clear" w:color="auto" w:fill="D9D9D9"/>
            <w:noWrap w:val="0"/>
            <w:vAlign w:val="center"/>
          </w:tcPr>
          <w:p w14:paraId="0EBC1D32">
            <w:pPr>
              <w:keepNext w:val="0"/>
              <w:keepLines w:val="0"/>
              <w:widowControl/>
              <w:suppressLineNumbers w:val="0"/>
              <w:jc w:val="center"/>
              <w:textAlignment w:val="center"/>
              <w:rPr>
                <w:rFonts w:ascii="Times New Roman" w:hAnsi="Times New Roman" w:cs="Times New Roman"/>
                <w:bCs/>
                <w:sz w:val="21"/>
                <w:szCs w:val="21"/>
              </w:rPr>
            </w:pPr>
            <w:r>
              <w:rPr>
                <w:rFonts w:hint="default" w:ascii="Times New Roman" w:hAnsi="Times New Roman" w:eastAsia="宋体" w:cs="Times New Roman"/>
                <w:i w:val="0"/>
                <w:iCs w:val="0"/>
                <w:color w:val="000000"/>
                <w:kern w:val="0"/>
                <w:sz w:val="21"/>
                <w:szCs w:val="21"/>
                <w:u w:val="none"/>
                <w:lang w:val="en-US" w:eastAsia="zh-CN" w:bidi="ar"/>
              </w:rPr>
              <w:t>T1</w:t>
            </w:r>
            <w:r>
              <w:rPr>
                <w:rFonts w:hint="eastAsia" w:ascii="宋体" w:hAnsi="宋体" w:eastAsia="宋体" w:cs="宋体"/>
                <w:i w:val="0"/>
                <w:iCs w:val="0"/>
                <w:color w:val="000000"/>
                <w:kern w:val="0"/>
                <w:sz w:val="21"/>
                <w:szCs w:val="21"/>
                <w:u w:val="none"/>
                <w:lang w:val="en-US" w:eastAsia="zh-CN" w:bidi="ar"/>
              </w:rPr>
              <w:t>厂区内东北侧（</w:t>
            </w:r>
            <w:r>
              <w:rPr>
                <w:rFonts w:hint="default" w:ascii="Times New Roman" w:hAnsi="Times New Roman" w:eastAsia="宋体" w:cs="Times New Roman"/>
                <w:i w:val="0"/>
                <w:iCs w:val="0"/>
                <w:color w:val="000000"/>
                <w:kern w:val="0"/>
                <w:sz w:val="21"/>
                <w:szCs w:val="21"/>
                <w:u w:val="none"/>
                <w:lang w:val="en-US" w:eastAsia="zh-CN" w:bidi="ar"/>
              </w:rPr>
              <w:t>0.2m</w:t>
            </w:r>
            <w:r>
              <w:rPr>
                <w:rFonts w:hint="eastAsia" w:ascii="宋体" w:hAnsi="宋体" w:eastAsia="宋体" w:cs="宋体"/>
                <w:i w:val="0"/>
                <w:iCs w:val="0"/>
                <w:color w:val="000000"/>
                <w:kern w:val="0"/>
                <w:sz w:val="21"/>
                <w:szCs w:val="21"/>
                <w:u w:val="none"/>
                <w:lang w:val="en-US" w:eastAsia="zh-CN" w:bidi="ar"/>
              </w:rPr>
              <w:t>）</w:t>
            </w:r>
          </w:p>
        </w:tc>
        <w:tc>
          <w:tcPr>
            <w:tcW w:w="1994" w:type="dxa"/>
            <w:shd w:val="clear" w:color="auto" w:fill="D9D9D9"/>
            <w:noWrap w:val="0"/>
            <w:vAlign w:val="center"/>
          </w:tcPr>
          <w:p w14:paraId="4DC26B4B">
            <w:pPr>
              <w:keepNext w:val="0"/>
              <w:keepLines w:val="0"/>
              <w:widowControl/>
              <w:suppressLineNumbers w:val="0"/>
              <w:jc w:val="center"/>
              <w:textAlignment w:val="center"/>
              <w:rPr>
                <w:rFonts w:ascii="Times New Roman" w:hAnsi="Times New Roman" w:cs="Times New Roman"/>
                <w:bCs/>
                <w:sz w:val="21"/>
                <w:szCs w:val="21"/>
              </w:rPr>
            </w:pPr>
            <w:r>
              <w:rPr>
                <w:rFonts w:hint="default" w:ascii="Times New Roman" w:hAnsi="Times New Roman" w:eastAsia="宋体" w:cs="Times New Roman"/>
                <w:i w:val="0"/>
                <w:iCs w:val="0"/>
                <w:color w:val="000000"/>
                <w:kern w:val="0"/>
                <w:sz w:val="21"/>
                <w:szCs w:val="21"/>
                <w:u w:val="none"/>
                <w:lang w:val="en-US" w:eastAsia="zh-CN" w:bidi="ar"/>
              </w:rPr>
              <w:t>T1</w:t>
            </w:r>
            <w:r>
              <w:rPr>
                <w:rFonts w:hint="eastAsia" w:ascii="宋体" w:hAnsi="宋体" w:eastAsia="宋体" w:cs="宋体"/>
                <w:i w:val="0"/>
                <w:iCs w:val="0"/>
                <w:color w:val="000000"/>
                <w:kern w:val="0"/>
                <w:sz w:val="21"/>
                <w:szCs w:val="21"/>
                <w:u w:val="none"/>
                <w:lang w:val="en-US" w:eastAsia="zh-CN" w:bidi="ar"/>
              </w:rPr>
              <w:t>厂区内东北侧（</w:t>
            </w:r>
            <w:r>
              <w:rPr>
                <w:rFonts w:hint="default" w:ascii="Times New Roman" w:hAnsi="Times New Roman" w:eastAsia="宋体" w:cs="Times New Roman"/>
                <w:i w:val="0"/>
                <w:iCs w:val="0"/>
                <w:color w:val="000000"/>
                <w:kern w:val="0"/>
                <w:sz w:val="21"/>
                <w:szCs w:val="21"/>
                <w:u w:val="none"/>
                <w:lang w:val="en-US" w:eastAsia="zh-CN" w:bidi="ar"/>
              </w:rPr>
              <w:t>0.7m</w:t>
            </w:r>
            <w:r>
              <w:rPr>
                <w:rFonts w:hint="eastAsia" w:ascii="宋体" w:hAnsi="宋体" w:eastAsia="宋体" w:cs="宋体"/>
                <w:i w:val="0"/>
                <w:iCs w:val="0"/>
                <w:color w:val="000000"/>
                <w:kern w:val="0"/>
                <w:sz w:val="21"/>
                <w:szCs w:val="21"/>
                <w:u w:val="none"/>
                <w:lang w:val="en-US" w:eastAsia="zh-CN" w:bidi="ar"/>
              </w:rPr>
              <w:t>）</w:t>
            </w:r>
          </w:p>
        </w:tc>
        <w:tc>
          <w:tcPr>
            <w:tcW w:w="1994" w:type="dxa"/>
            <w:shd w:val="clear" w:color="auto" w:fill="D9D9D9"/>
            <w:noWrap w:val="0"/>
            <w:vAlign w:val="center"/>
          </w:tcPr>
          <w:p w14:paraId="4750A087">
            <w:pPr>
              <w:keepNext w:val="0"/>
              <w:keepLines w:val="0"/>
              <w:widowControl/>
              <w:suppressLineNumbers w:val="0"/>
              <w:jc w:val="center"/>
              <w:textAlignment w:val="center"/>
              <w:rPr>
                <w:rFonts w:ascii="Times New Roman" w:hAnsi="Times New Roman" w:cs="Times New Roman"/>
                <w:bCs/>
                <w:sz w:val="21"/>
                <w:szCs w:val="21"/>
              </w:rPr>
            </w:pPr>
            <w:r>
              <w:rPr>
                <w:rFonts w:hint="default" w:ascii="Times New Roman" w:hAnsi="Times New Roman" w:eastAsia="宋体" w:cs="Times New Roman"/>
                <w:i w:val="0"/>
                <w:iCs w:val="0"/>
                <w:color w:val="000000"/>
                <w:kern w:val="0"/>
                <w:sz w:val="21"/>
                <w:szCs w:val="21"/>
                <w:u w:val="none"/>
                <w:lang w:val="en-US" w:eastAsia="zh-CN" w:bidi="ar"/>
              </w:rPr>
              <w:t>T1</w:t>
            </w:r>
            <w:r>
              <w:rPr>
                <w:rFonts w:hint="eastAsia" w:ascii="宋体" w:hAnsi="宋体" w:eastAsia="宋体" w:cs="宋体"/>
                <w:i w:val="0"/>
                <w:iCs w:val="0"/>
                <w:color w:val="000000"/>
                <w:kern w:val="0"/>
                <w:sz w:val="21"/>
                <w:szCs w:val="21"/>
                <w:u w:val="none"/>
                <w:lang w:val="en-US" w:eastAsia="zh-CN" w:bidi="ar"/>
              </w:rPr>
              <w:t>厂区内东北侧（</w:t>
            </w:r>
            <w:r>
              <w:rPr>
                <w:rFonts w:hint="default" w:ascii="Times New Roman" w:hAnsi="Times New Roman" w:eastAsia="宋体" w:cs="Times New Roman"/>
                <w:i w:val="0"/>
                <w:iCs w:val="0"/>
                <w:color w:val="000000"/>
                <w:kern w:val="0"/>
                <w:sz w:val="21"/>
                <w:szCs w:val="21"/>
                <w:u w:val="none"/>
                <w:lang w:val="en-US" w:eastAsia="zh-CN" w:bidi="ar"/>
              </w:rPr>
              <w:t>1.8m</w:t>
            </w:r>
            <w:r>
              <w:rPr>
                <w:rFonts w:hint="eastAsia" w:ascii="宋体" w:hAnsi="宋体" w:eastAsia="宋体" w:cs="宋体"/>
                <w:i w:val="0"/>
                <w:iCs w:val="0"/>
                <w:color w:val="000000"/>
                <w:kern w:val="0"/>
                <w:sz w:val="21"/>
                <w:szCs w:val="21"/>
                <w:u w:val="none"/>
                <w:lang w:val="en-US" w:eastAsia="zh-CN" w:bidi="ar"/>
              </w:rPr>
              <w:t>）</w:t>
            </w:r>
          </w:p>
        </w:tc>
      </w:tr>
      <w:tr w14:paraId="3732897E">
        <w:tblPrEx>
          <w:tblBorders>
            <w:top w:val="thinThickSmallGap" w:color="auto" w:sz="12" w:space="0"/>
            <w:left w:val="none" w:color="auto" w:sz="0" w:space="0"/>
            <w:bottom w:val="thickThinSmallGap" w:color="auto" w:sz="12" w:space="0"/>
            <w:right w:val="none" w:color="auto" w:sz="0" w:space="0"/>
            <w:insideH w:val="single" w:color="auto" w:sz="4" w:space="0"/>
            <w:insideV w:val="single" w:color="000000" w:sz="4" w:space="0"/>
          </w:tblBorders>
          <w:tblCellMar>
            <w:top w:w="0" w:type="dxa"/>
            <w:left w:w="108" w:type="dxa"/>
            <w:bottom w:w="0" w:type="dxa"/>
            <w:right w:w="108" w:type="dxa"/>
          </w:tblCellMar>
        </w:tblPrEx>
        <w:trPr>
          <w:trHeight w:val="340" w:hRule="atLeast"/>
          <w:jc w:val="center"/>
        </w:trPr>
        <w:tc>
          <w:tcPr>
            <w:tcW w:w="684" w:type="dxa"/>
            <w:vMerge w:val="restart"/>
            <w:noWrap w:val="0"/>
            <w:vAlign w:val="center"/>
          </w:tcPr>
          <w:p w14:paraId="5FF2FBBD">
            <w:pPr>
              <w:jc w:val="center"/>
              <w:rPr>
                <w:rFonts w:ascii="Times New Roman" w:hAnsi="Times New Roman" w:cs="Times New Roman"/>
                <w:bCs/>
                <w:sz w:val="21"/>
                <w:szCs w:val="21"/>
              </w:rPr>
            </w:pPr>
            <w:r>
              <w:rPr>
                <w:rFonts w:hint="eastAsia" w:ascii="Times New Roman" w:hAnsi="Times New Roman" w:cs="Times New Roman"/>
                <w:bCs/>
                <w:sz w:val="21"/>
                <w:szCs w:val="21"/>
              </w:rPr>
              <w:t>2026.05.01</w:t>
            </w:r>
          </w:p>
        </w:tc>
        <w:tc>
          <w:tcPr>
            <w:tcW w:w="1401" w:type="dxa"/>
            <w:noWrap w:val="0"/>
            <w:vAlign w:val="center"/>
          </w:tcPr>
          <w:p w14:paraId="282D122E">
            <w:pPr>
              <w:jc w:val="center"/>
              <w:rPr>
                <w:rFonts w:hint="default" w:ascii="Times New Roman" w:hAnsi="Times New Roman" w:eastAsia="宋体" w:cs="Times New Roman"/>
                <w:bCs/>
                <w:sz w:val="21"/>
                <w:szCs w:val="21"/>
                <w:lang w:val="en-US" w:eastAsia="zh-CN"/>
              </w:rPr>
            </w:pPr>
            <w:r>
              <w:rPr>
                <w:rFonts w:hint="eastAsia" w:ascii="Times New Roman" w:hAnsi="Times New Roman" w:cs="Times New Roman"/>
                <w:bCs/>
                <w:sz w:val="21"/>
                <w:szCs w:val="21"/>
                <w:lang w:val="en-US" w:eastAsia="zh-CN"/>
              </w:rPr>
              <w:t>PH</w:t>
            </w:r>
          </w:p>
        </w:tc>
        <w:tc>
          <w:tcPr>
            <w:tcW w:w="1004" w:type="dxa"/>
            <w:noWrap w:val="0"/>
            <w:vAlign w:val="center"/>
          </w:tcPr>
          <w:p w14:paraId="042E329B">
            <w:pPr>
              <w:jc w:val="center"/>
              <w:rPr>
                <w:rFonts w:ascii="Times New Roman" w:hAnsi="Times New Roman" w:cs="Times New Roman"/>
                <w:bCs/>
                <w:sz w:val="21"/>
                <w:szCs w:val="21"/>
              </w:rPr>
            </w:pPr>
            <w:r>
              <w:rPr>
                <w:rFonts w:ascii="Times New Roman" w:hAnsi="Times New Roman" w:cs="Times New Roman"/>
                <w:bCs/>
                <w:sz w:val="21"/>
                <w:szCs w:val="21"/>
              </w:rPr>
              <w:t>无量纲</w:t>
            </w:r>
          </w:p>
        </w:tc>
        <w:tc>
          <w:tcPr>
            <w:tcW w:w="1994" w:type="dxa"/>
            <w:noWrap w:val="0"/>
            <w:vAlign w:val="center"/>
          </w:tcPr>
          <w:p w14:paraId="380177DD">
            <w:pPr>
              <w:keepNext w:val="0"/>
              <w:keepLines w:val="0"/>
              <w:widowControl/>
              <w:suppressLineNumbers w:val="0"/>
              <w:jc w:val="center"/>
              <w:textAlignment w:val="center"/>
              <w:rPr>
                <w:rFonts w:ascii="Times New Roman" w:hAnsi="Times New Roman" w:cs="Times New Roman"/>
                <w:bCs/>
                <w:sz w:val="21"/>
                <w:szCs w:val="21"/>
                <w:lang w:bidi="ar"/>
              </w:rPr>
            </w:pPr>
            <w:r>
              <w:rPr>
                <w:rFonts w:hint="default" w:ascii="Times New Roman" w:hAnsi="Times New Roman" w:eastAsia="宋体" w:cs="Times New Roman"/>
                <w:i w:val="0"/>
                <w:iCs w:val="0"/>
                <w:color w:val="000000"/>
                <w:kern w:val="0"/>
                <w:sz w:val="21"/>
                <w:szCs w:val="21"/>
                <w:u w:val="none"/>
                <w:lang w:val="en-US" w:eastAsia="zh-CN" w:bidi="ar"/>
              </w:rPr>
              <w:t>6.9</w:t>
            </w:r>
          </w:p>
        </w:tc>
        <w:tc>
          <w:tcPr>
            <w:tcW w:w="1994" w:type="dxa"/>
            <w:noWrap w:val="0"/>
            <w:vAlign w:val="center"/>
          </w:tcPr>
          <w:p w14:paraId="2D646D54">
            <w:pPr>
              <w:keepNext w:val="0"/>
              <w:keepLines w:val="0"/>
              <w:widowControl/>
              <w:suppressLineNumbers w:val="0"/>
              <w:jc w:val="center"/>
              <w:textAlignment w:val="center"/>
              <w:rPr>
                <w:rFonts w:hint="default" w:ascii="Times New Roman" w:hAnsi="Times New Roman" w:cs="Times New Roman"/>
                <w:bCs/>
                <w:sz w:val="21"/>
                <w:szCs w:val="21"/>
                <w:lang w:val="en-US" w:bidi="ar"/>
              </w:rPr>
            </w:pPr>
            <w:r>
              <w:rPr>
                <w:rFonts w:hint="default" w:ascii="Times New Roman" w:hAnsi="Times New Roman" w:eastAsia="宋体" w:cs="Times New Roman"/>
                <w:i w:val="0"/>
                <w:iCs w:val="0"/>
                <w:color w:val="000000"/>
                <w:kern w:val="0"/>
                <w:sz w:val="21"/>
                <w:szCs w:val="21"/>
                <w:u w:val="none"/>
                <w:lang w:val="en-US" w:eastAsia="zh-CN" w:bidi="ar"/>
              </w:rPr>
              <w:t>6.8</w:t>
            </w:r>
          </w:p>
        </w:tc>
        <w:tc>
          <w:tcPr>
            <w:tcW w:w="1994" w:type="dxa"/>
            <w:noWrap w:val="0"/>
            <w:vAlign w:val="center"/>
          </w:tcPr>
          <w:p w14:paraId="660F8D2F">
            <w:pPr>
              <w:keepNext w:val="0"/>
              <w:keepLines w:val="0"/>
              <w:widowControl/>
              <w:suppressLineNumbers w:val="0"/>
              <w:jc w:val="center"/>
              <w:textAlignment w:val="center"/>
              <w:rPr>
                <w:rFonts w:hint="default" w:ascii="Times New Roman" w:hAnsi="Times New Roman" w:cs="Times New Roman"/>
                <w:bCs/>
                <w:sz w:val="21"/>
                <w:szCs w:val="21"/>
                <w:lang w:val="en-US" w:bidi="ar"/>
              </w:rPr>
            </w:pPr>
            <w:r>
              <w:rPr>
                <w:rFonts w:hint="default" w:ascii="Times New Roman" w:hAnsi="Times New Roman" w:eastAsia="宋体" w:cs="Times New Roman"/>
                <w:i w:val="0"/>
                <w:iCs w:val="0"/>
                <w:color w:val="000000"/>
                <w:kern w:val="0"/>
                <w:sz w:val="21"/>
                <w:szCs w:val="21"/>
                <w:u w:val="none"/>
                <w:lang w:val="en-US" w:eastAsia="zh-CN" w:bidi="ar"/>
              </w:rPr>
              <w:t>7.1</w:t>
            </w:r>
          </w:p>
        </w:tc>
      </w:tr>
      <w:tr w14:paraId="22F0A2AD">
        <w:tblPrEx>
          <w:tblBorders>
            <w:top w:val="thinThickSmallGap" w:color="auto" w:sz="12" w:space="0"/>
            <w:left w:val="none" w:color="auto" w:sz="0" w:space="0"/>
            <w:bottom w:val="thickThinSmallGap" w:color="auto" w:sz="12" w:space="0"/>
            <w:right w:val="none" w:color="auto" w:sz="0" w:space="0"/>
            <w:insideH w:val="single" w:color="auto" w:sz="4" w:space="0"/>
            <w:insideV w:val="single" w:color="000000" w:sz="4" w:space="0"/>
          </w:tblBorders>
          <w:tblCellMar>
            <w:top w:w="0" w:type="dxa"/>
            <w:left w:w="108" w:type="dxa"/>
            <w:bottom w:w="0" w:type="dxa"/>
            <w:right w:w="108" w:type="dxa"/>
          </w:tblCellMar>
        </w:tblPrEx>
        <w:trPr>
          <w:trHeight w:val="340" w:hRule="atLeast"/>
          <w:jc w:val="center"/>
        </w:trPr>
        <w:tc>
          <w:tcPr>
            <w:tcW w:w="684" w:type="dxa"/>
            <w:vMerge w:val="continue"/>
            <w:noWrap w:val="0"/>
            <w:vAlign w:val="center"/>
          </w:tcPr>
          <w:p w14:paraId="330DFF50">
            <w:pPr>
              <w:jc w:val="center"/>
              <w:rPr>
                <w:rFonts w:ascii="Times New Roman" w:hAnsi="Times New Roman" w:cs="Times New Roman"/>
                <w:bCs/>
                <w:sz w:val="21"/>
                <w:szCs w:val="21"/>
              </w:rPr>
            </w:pPr>
          </w:p>
        </w:tc>
        <w:tc>
          <w:tcPr>
            <w:tcW w:w="1401" w:type="dxa"/>
            <w:noWrap w:val="0"/>
            <w:vAlign w:val="center"/>
          </w:tcPr>
          <w:p w14:paraId="3AE8CA6B">
            <w:pPr>
              <w:jc w:val="center"/>
              <w:rPr>
                <w:rFonts w:ascii="Times New Roman" w:hAnsi="Times New Roman" w:cs="Times New Roman"/>
                <w:bCs/>
                <w:sz w:val="21"/>
                <w:szCs w:val="21"/>
              </w:rPr>
            </w:pPr>
            <w:r>
              <w:rPr>
                <w:rFonts w:ascii="Times New Roman" w:hAnsi="Times New Roman" w:cs="Times New Roman"/>
                <w:bCs/>
                <w:sz w:val="21"/>
                <w:szCs w:val="21"/>
              </w:rPr>
              <w:t>镍</w:t>
            </w:r>
          </w:p>
        </w:tc>
        <w:tc>
          <w:tcPr>
            <w:tcW w:w="1004" w:type="dxa"/>
            <w:noWrap w:val="0"/>
            <w:vAlign w:val="center"/>
          </w:tcPr>
          <w:p w14:paraId="11EE06D6">
            <w:pPr>
              <w:jc w:val="center"/>
              <w:rPr>
                <w:rFonts w:ascii="Times New Roman" w:hAnsi="Times New Roman" w:cs="Times New Roman"/>
                <w:bCs/>
                <w:sz w:val="21"/>
                <w:szCs w:val="21"/>
              </w:rPr>
            </w:pPr>
            <w:r>
              <w:rPr>
                <w:rFonts w:ascii="Times New Roman" w:hAnsi="Times New Roman" w:cs="Times New Roman"/>
                <w:bCs/>
                <w:sz w:val="21"/>
                <w:szCs w:val="21"/>
              </w:rPr>
              <w:t>mg/kg</w:t>
            </w:r>
          </w:p>
        </w:tc>
        <w:tc>
          <w:tcPr>
            <w:tcW w:w="1994" w:type="dxa"/>
            <w:noWrap w:val="0"/>
            <w:vAlign w:val="center"/>
          </w:tcPr>
          <w:p w14:paraId="1130BE1E">
            <w:pPr>
              <w:keepNext w:val="0"/>
              <w:keepLines w:val="0"/>
              <w:widowControl/>
              <w:suppressLineNumbers w:val="0"/>
              <w:jc w:val="center"/>
              <w:textAlignment w:val="center"/>
              <w:rPr>
                <w:rFonts w:ascii="Times New Roman" w:hAnsi="Times New Roman" w:cs="Times New Roman"/>
                <w:bCs/>
                <w:sz w:val="21"/>
                <w:szCs w:val="21"/>
                <w:lang w:bidi="ar"/>
              </w:rPr>
            </w:pPr>
            <w:r>
              <w:rPr>
                <w:rFonts w:hint="default" w:ascii="Times New Roman" w:hAnsi="Times New Roman" w:eastAsia="宋体" w:cs="Times New Roman"/>
                <w:i w:val="0"/>
                <w:iCs w:val="0"/>
                <w:color w:val="000000"/>
                <w:kern w:val="0"/>
                <w:sz w:val="21"/>
                <w:szCs w:val="21"/>
                <w:u w:val="none"/>
                <w:lang w:val="en-US" w:eastAsia="zh-CN" w:bidi="ar"/>
              </w:rPr>
              <w:t>30</w:t>
            </w:r>
          </w:p>
        </w:tc>
        <w:tc>
          <w:tcPr>
            <w:tcW w:w="1994" w:type="dxa"/>
            <w:noWrap w:val="0"/>
            <w:vAlign w:val="center"/>
          </w:tcPr>
          <w:p w14:paraId="24343AC4">
            <w:pPr>
              <w:keepNext w:val="0"/>
              <w:keepLines w:val="0"/>
              <w:widowControl/>
              <w:suppressLineNumbers w:val="0"/>
              <w:jc w:val="center"/>
              <w:textAlignment w:val="center"/>
              <w:rPr>
                <w:rFonts w:ascii="Times New Roman" w:hAnsi="Times New Roman" w:cs="Times New Roman"/>
                <w:bCs/>
                <w:sz w:val="21"/>
                <w:szCs w:val="21"/>
                <w:lang w:bidi="ar"/>
              </w:rPr>
            </w:pPr>
            <w:r>
              <w:rPr>
                <w:rFonts w:hint="default" w:ascii="Times New Roman" w:hAnsi="Times New Roman" w:eastAsia="宋体" w:cs="Times New Roman"/>
                <w:i w:val="0"/>
                <w:iCs w:val="0"/>
                <w:color w:val="000000"/>
                <w:kern w:val="0"/>
                <w:sz w:val="21"/>
                <w:szCs w:val="21"/>
                <w:u w:val="none"/>
                <w:lang w:val="en-US" w:eastAsia="zh-CN" w:bidi="ar"/>
              </w:rPr>
              <w:t>22</w:t>
            </w:r>
          </w:p>
        </w:tc>
        <w:tc>
          <w:tcPr>
            <w:tcW w:w="1994" w:type="dxa"/>
            <w:noWrap w:val="0"/>
            <w:vAlign w:val="center"/>
          </w:tcPr>
          <w:p w14:paraId="529275E6">
            <w:pPr>
              <w:keepNext w:val="0"/>
              <w:keepLines w:val="0"/>
              <w:widowControl/>
              <w:suppressLineNumbers w:val="0"/>
              <w:jc w:val="center"/>
              <w:textAlignment w:val="center"/>
              <w:rPr>
                <w:rFonts w:ascii="Times New Roman" w:hAnsi="Times New Roman" w:cs="Times New Roman"/>
                <w:bCs/>
                <w:sz w:val="21"/>
                <w:szCs w:val="21"/>
                <w:lang w:bidi="ar"/>
              </w:rPr>
            </w:pPr>
            <w:r>
              <w:rPr>
                <w:rFonts w:hint="default" w:ascii="Times New Roman" w:hAnsi="Times New Roman" w:eastAsia="宋体" w:cs="Times New Roman"/>
                <w:i w:val="0"/>
                <w:iCs w:val="0"/>
                <w:color w:val="000000"/>
                <w:kern w:val="0"/>
                <w:sz w:val="21"/>
                <w:szCs w:val="21"/>
                <w:u w:val="none"/>
                <w:lang w:val="en-US" w:eastAsia="zh-CN" w:bidi="ar"/>
              </w:rPr>
              <w:t>14</w:t>
            </w:r>
          </w:p>
        </w:tc>
      </w:tr>
      <w:tr w14:paraId="4802C12F">
        <w:tblPrEx>
          <w:tblBorders>
            <w:top w:val="thinThickSmallGap" w:color="auto" w:sz="12" w:space="0"/>
            <w:left w:val="none" w:color="auto" w:sz="0" w:space="0"/>
            <w:bottom w:val="thickThinSmallGap" w:color="auto" w:sz="12" w:space="0"/>
            <w:right w:val="none" w:color="auto" w:sz="0" w:space="0"/>
            <w:insideH w:val="single" w:color="auto" w:sz="4" w:space="0"/>
            <w:insideV w:val="single" w:color="000000" w:sz="4" w:space="0"/>
          </w:tblBorders>
          <w:tblCellMar>
            <w:top w:w="0" w:type="dxa"/>
            <w:left w:w="108" w:type="dxa"/>
            <w:bottom w:w="0" w:type="dxa"/>
            <w:right w:w="108" w:type="dxa"/>
          </w:tblCellMar>
        </w:tblPrEx>
        <w:trPr>
          <w:trHeight w:val="340" w:hRule="atLeast"/>
          <w:jc w:val="center"/>
        </w:trPr>
        <w:tc>
          <w:tcPr>
            <w:tcW w:w="684" w:type="dxa"/>
            <w:vMerge w:val="continue"/>
            <w:noWrap w:val="0"/>
            <w:vAlign w:val="center"/>
          </w:tcPr>
          <w:p w14:paraId="4E265F5A">
            <w:pPr>
              <w:jc w:val="center"/>
              <w:rPr>
                <w:rFonts w:ascii="Times New Roman" w:hAnsi="Times New Roman" w:cs="Times New Roman"/>
                <w:bCs/>
                <w:sz w:val="21"/>
                <w:szCs w:val="21"/>
              </w:rPr>
            </w:pPr>
          </w:p>
        </w:tc>
        <w:tc>
          <w:tcPr>
            <w:tcW w:w="1401" w:type="dxa"/>
            <w:noWrap w:val="0"/>
            <w:vAlign w:val="center"/>
          </w:tcPr>
          <w:p w14:paraId="58C5C879">
            <w:pPr>
              <w:jc w:val="center"/>
              <w:rPr>
                <w:rFonts w:ascii="Times New Roman" w:hAnsi="Times New Roman" w:cs="Times New Roman"/>
                <w:bCs/>
                <w:sz w:val="21"/>
                <w:szCs w:val="21"/>
              </w:rPr>
            </w:pPr>
            <w:r>
              <w:rPr>
                <w:rFonts w:ascii="Times New Roman" w:hAnsi="Times New Roman" w:cs="Times New Roman"/>
                <w:bCs/>
                <w:sz w:val="21"/>
                <w:szCs w:val="21"/>
              </w:rPr>
              <w:t>铅</w:t>
            </w:r>
          </w:p>
        </w:tc>
        <w:tc>
          <w:tcPr>
            <w:tcW w:w="1004" w:type="dxa"/>
            <w:noWrap w:val="0"/>
            <w:vAlign w:val="center"/>
          </w:tcPr>
          <w:p w14:paraId="1D954803">
            <w:pPr>
              <w:jc w:val="center"/>
              <w:rPr>
                <w:rFonts w:ascii="Times New Roman" w:hAnsi="Times New Roman" w:cs="Times New Roman"/>
                <w:bCs/>
                <w:sz w:val="21"/>
                <w:szCs w:val="21"/>
              </w:rPr>
            </w:pPr>
            <w:r>
              <w:rPr>
                <w:rFonts w:ascii="Times New Roman" w:hAnsi="Times New Roman" w:cs="Times New Roman"/>
                <w:bCs/>
                <w:sz w:val="21"/>
                <w:szCs w:val="21"/>
              </w:rPr>
              <w:t>mg/kg</w:t>
            </w:r>
          </w:p>
        </w:tc>
        <w:tc>
          <w:tcPr>
            <w:tcW w:w="1994" w:type="dxa"/>
            <w:noWrap w:val="0"/>
            <w:vAlign w:val="center"/>
          </w:tcPr>
          <w:p w14:paraId="359D4B2B">
            <w:pPr>
              <w:keepNext w:val="0"/>
              <w:keepLines w:val="0"/>
              <w:widowControl/>
              <w:suppressLineNumbers w:val="0"/>
              <w:jc w:val="center"/>
              <w:textAlignment w:val="center"/>
              <w:rPr>
                <w:rFonts w:ascii="Times New Roman" w:hAnsi="Times New Roman" w:cs="Times New Roman"/>
                <w:bCs/>
                <w:sz w:val="21"/>
                <w:szCs w:val="21"/>
                <w:lang w:bidi="ar"/>
              </w:rPr>
            </w:pPr>
            <w:r>
              <w:rPr>
                <w:rFonts w:hint="default" w:ascii="Times New Roman" w:hAnsi="Times New Roman" w:eastAsia="宋体" w:cs="Times New Roman"/>
                <w:i w:val="0"/>
                <w:iCs w:val="0"/>
                <w:color w:val="000000"/>
                <w:kern w:val="0"/>
                <w:sz w:val="21"/>
                <w:szCs w:val="21"/>
                <w:u w:val="none"/>
                <w:lang w:val="en-US" w:eastAsia="zh-CN" w:bidi="ar"/>
              </w:rPr>
              <w:t>83</w:t>
            </w:r>
          </w:p>
        </w:tc>
        <w:tc>
          <w:tcPr>
            <w:tcW w:w="1994" w:type="dxa"/>
            <w:noWrap w:val="0"/>
            <w:vAlign w:val="center"/>
          </w:tcPr>
          <w:p w14:paraId="260749CA">
            <w:pPr>
              <w:keepNext w:val="0"/>
              <w:keepLines w:val="0"/>
              <w:widowControl/>
              <w:suppressLineNumbers w:val="0"/>
              <w:jc w:val="center"/>
              <w:textAlignment w:val="center"/>
              <w:rPr>
                <w:rFonts w:ascii="Times New Roman" w:hAnsi="Times New Roman" w:cs="Times New Roman"/>
                <w:bCs/>
                <w:sz w:val="21"/>
                <w:szCs w:val="21"/>
                <w:lang w:bidi="ar"/>
              </w:rPr>
            </w:pPr>
            <w:r>
              <w:rPr>
                <w:rFonts w:hint="default" w:ascii="Times New Roman" w:hAnsi="Times New Roman" w:eastAsia="宋体" w:cs="Times New Roman"/>
                <w:i w:val="0"/>
                <w:iCs w:val="0"/>
                <w:color w:val="000000"/>
                <w:kern w:val="0"/>
                <w:sz w:val="21"/>
                <w:szCs w:val="21"/>
                <w:u w:val="none"/>
                <w:lang w:val="en-US" w:eastAsia="zh-CN" w:bidi="ar"/>
              </w:rPr>
              <w:t>58</w:t>
            </w:r>
          </w:p>
        </w:tc>
        <w:tc>
          <w:tcPr>
            <w:tcW w:w="1994" w:type="dxa"/>
            <w:noWrap w:val="0"/>
            <w:vAlign w:val="center"/>
          </w:tcPr>
          <w:p w14:paraId="6F100963">
            <w:pPr>
              <w:keepNext w:val="0"/>
              <w:keepLines w:val="0"/>
              <w:widowControl/>
              <w:suppressLineNumbers w:val="0"/>
              <w:jc w:val="center"/>
              <w:textAlignment w:val="center"/>
              <w:rPr>
                <w:rFonts w:ascii="Times New Roman" w:hAnsi="Times New Roman" w:cs="Times New Roman"/>
                <w:bCs/>
                <w:sz w:val="21"/>
                <w:szCs w:val="21"/>
                <w:lang w:bidi="ar"/>
              </w:rPr>
            </w:pPr>
            <w:r>
              <w:rPr>
                <w:rFonts w:hint="default" w:ascii="Times New Roman" w:hAnsi="Times New Roman" w:eastAsia="宋体" w:cs="Times New Roman"/>
                <w:i w:val="0"/>
                <w:iCs w:val="0"/>
                <w:color w:val="000000"/>
                <w:kern w:val="0"/>
                <w:sz w:val="21"/>
                <w:szCs w:val="21"/>
                <w:u w:val="none"/>
                <w:lang w:val="en-US" w:eastAsia="zh-CN" w:bidi="ar"/>
              </w:rPr>
              <w:t>33</w:t>
            </w:r>
          </w:p>
        </w:tc>
      </w:tr>
      <w:tr w14:paraId="24F8DEC2">
        <w:tblPrEx>
          <w:tblBorders>
            <w:top w:val="thinThickSmallGap" w:color="auto" w:sz="12" w:space="0"/>
            <w:left w:val="none" w:color="auto" w:sz="0" w:space="0"/>
            <w:bottom w:val="thickThinSmallGap" w:color="auto" w:sz="12" w:space="0"/>
            <w:right w:val="none" w:color="auto" w:sz="0" w:space="0"/>
            <w:insideH w:val="single" w:color="auto" w:sz="4" w:space="0"/>
            <w:insideV w:val="single" w:color="000000" w:sz="4" w:space="0"/>
          </w:tblBorders>
          <w:tblCellMar>
            <w:top w:w="0" w:type="dxa"/>
            <w:left w:w="108" w:type="dxa"/>
            <w:bottom w:w="0" w:type="dxa"/>
            <w:right w:w="108" w:type="dxa"/>
          </w:tblCellMar>
        </w:tblPrEx>
        <w:trPr>
          <w:trHeight w:val="340" w:hRule="atLeast"/>
          <w:jc w:val="center"/>
        </w:trPr>
        <w:tc>
          <w:tcPr>
            <w:tcW w:w="684" w:type="dxa"/>
            <w:vMerge w:val="continue"/>
            <w:noWrap w:val="0"/>
            <w:vAlign w:val="center"/>
          </w:tcPr>
          <w:p w14:paraId="798E80AF">
            <w:pPr>
              <w:jc w:val="center"/>
              <w:rPr>
                <w:rFonts w:ascii="Times New Roman" w:hAnsi="Times New Roman" w:cs="Times New Roman"/>
                <w:bCs/>
                <w:sz w:val="21"/>
                <w:szCs w:val="21"/>
              </w:rPr>
            </w:pPr>
          </w:p>
        </w:tc>
        <w:tc>
          <w:tcPr>
            <w:tcW w:w="1401" w:type="dxa"/>
            <w:noWrap w:val="0"/>
            <w:vAlign w:val="center"/>
          </w:tcPr>
          <w:p w14:paraId="0A8B5EE7">
            <w:pPr>
              <w:jc w:val="center"/>
              <w:rPr>
                <w:rFonts w:ascii="Times New Roman" w:hAnsi="Times New Roman" w:cs="Times New Roman"/>
                <w:bCs/>
                <w:sz w:val="21"/>
                <w:szCs w:val="21"/>
              </w:rPr>
            </w:pPr>
            <w:r>
              <w:rPr>
                <w:rFonts w:ascii="Times New Roman" w:hAnsi="Times New Roman" w:cs="Times New Roman"/>
                <w:bCs/>
                <w:sz w:val="21"/>
                <w:szCs w:val="21"/>
              </w:rPr>
              <w:t>铜</w:t>
            </w:r>
          </w:p>
        </w:tc>
        <w:tc>
          <w:tcPr>
            <w:tcW w:w="1004" w:type="dxa"/>
            <w:noWrap w:val="0"/>
            <w:vAlign w:val="center"/>
          </w:tcPr>
          <w:p w14:paraId="04A0F96C">
            <w:pPr>
              <w:jc w:val="center"/>
              <w:rPr>
                <w:rFonts w:ascii="Times New Roman" w:hAnsi="Times New Roman" w:cs="Times New Roman"/>
                <w:bCs/>
                <w:sz w:val="21"/>
                <w:szCs w:val="21"/>
              </w:rPr>
            </w:pPr>
            <w:r>
              <w:rPr>
                <w:rFonts w:ascii="Times New Roman" w:hAnsi="Times New Roman" w:cs="Times New Roman"/>
                <w:bCs/>
                <w:sz w:val="21"/>
                <w:szCs w:val="21"/>
              </w:rPr>
              <w:t>mg/kg</w:t>
            </w:r>
          </w:p>
        </w:tc>
        <w:tc>
          <w:tcPr>
            <w:tcW w:w="1994" w:type="dxa"/>
            <w:noWrap w:val="0"/>
            <w:vAlign w:val="center"/>
          </w:tcPr>
          <w:p w14:paraId="33998BAC">
            <w:pPr>
              <w:keepNext w:val="0"/>
              <w:keepLines w:val="0"/>
              <w:widowControl/>
              <w:suppressLineNumbers w:val="0"/>
              <w:jc w:val="center"/>
              <w:textAlignment w:val="center"/>
              <w:rPr>
                <w:rFonts w:ascii="Times New Roman" w:hAnsi="Times New Roman" w:cs="Times New Roman"/>
                <w:bCs/>
                <w:sz w:val="21"/>
                <w:szCs w:val="21"/>
                <w:lang w:bidi="ar"/>
              </w:rPr>
            </w:pPr>
            <w:r>
              <w:rPr>
                <w:rFonts w:hint="default" w:ascii="Times New Roman" w:hAnsi="Times New Roman" w:eastAsia="宋体" w:cs="Times New Roman"/>
                <w:i w:val="0"/>
                <w:iCs w:val="0"/>
                <w:color w:val="000000"/>
                <w:kern w:val="0"/>
                <w:sz w:val="21"/>
                <w:szCs w:val="21"/>
                <w:u w:val="none"/>
                <w:lang w:val="en-US" w:eastAsia="zh-CN" w:bidi="ar"/>
              </w:rPr>
              <w:t>54</w:t>
            </w:r>
          </w:p>
        </w:tc>
        <w:tc>
          <w:tcPr>
            <w:tcW w:w="1994" w:type="dxa"/>
            <w:noWrap w:val="0"/>
            <w:vAlign w:val="center"/>
          </w:tcPr>
          <w:p w14:paraId="5DC36541">
            <w:pPr>
              <w:keepNext w:val="0"/>
              <w:keepLines w:val="0"/>
              <w:widowControl/>
              <w:suppressLineNumbers w:val="0"/>
              <w:jc w:val="center"/>
              <w:textAlignment w:val="center"/>
              <w:rPr>
                <w:rFonts w:ascii="Times New Roman" w:hAnsi="Times New Roman" w:cs="Times New Roman"/>
                <w:bCs/>
                <w:sz w:val="21"/>
                <w:szCs w:val="21"/>
                <w:lang w:bidi="ar"/>
              </w:rPr>
            </w:pPr>
            <w:r>
              <w:rPr>
                <w:rFonts w:hint="default" w:ascii="Times New Roman" w:hAnsi="Times New Roman" w:eastAsia="宋体" w:cs="Times New Roman"/>
                <w:i w:val="0"/>
                <w:iCs w:val="0"/>
                <w:color w:val="000000"/>
                <w:kern w:val="0"/>
                <w:sz w:val="21"/>
                <w:szCs w:val="21"/>
                <w:u w:val="none"/>
                <w:lang w:val="en-US" w:eastAsia="zh-CN" w:bidi="ar"/>
              </w:rPr>
              <w:t>39</w:t>
            </w:r>
          </w:p>
        </w:tc>
        <w:tc>
          <w:tcPr>
            <w:tcW w:w="1994" w:type="dxa"/>
            <w:noWrap w:val="0"/>
            <w:vAlign w:val="center"/>
          </w:tcPr>
          <w:p w14:paraId="3E178E01">
            <w:pPr>
              <w:keepNext w:val="0"/>
              <w:keepLines w:val="0"/>
              <w:widowControl/>
              <w:suppressLineNumbers w:val="0"/>
              <w:jc w:val="center"/>
              <w:textAlignment w:val="center"/>
              <w:rPr>
                <w:rFonts w:ascii="Times New Roman" w:hAnsi="Times New Roman" w:cs="Times New Roman"/>
                <w:bCs/>
                <w:sz w:val="21"/>
                <w:szCs w:val="21"/>
                <w:lang w:bidi="ar"/>
              </w:rPr>
            </w:pPr>
            <w:r>
              <w:rPr>
                <w:rFonts w:hint="default" w:ascii="Times New Roman" w:hAnsi="Times New Roman" w:eastAsia="宋体" w:cs="Times New Roman"/>
                <w:i w:val="0"/>
                <w:iCs w:val="0"/>
                <w:color w:val="000000"/>
                <w:kern w:val="0"/>
                <w:sz w:val="21"/>
                <w:szCs w:val="21"/>
                <w:u w:val="none"/>
                <w:lang w:val="en-US" w:eastAsia="zh-CN" w:bidi="ar"/>
              </w:rPr>
              <w:t>22</w:t>
            </w:r>
          </w:p>
        </w:tc>
      </w:tr>
      <w:tr w14:paraId="4B970387">
        <w:tblPrEx>
          <w:tblBorders>
            <w:top w:val="thinThickSmallGap" w:color="auto" w:sz="12" w:space="0"/>
            <w:left w:val="none" w:color="auto" w:sz="0" w:space="0"/>
            <w:bottom w:val="thickThinSmallGap" w:color="auto" w:sz="12" w:space="0"/>
            <w:right w:val="none" w:color="auto" w:sz="0" w:space="0"/>
            <w:insideH w:val="single" w:color="auto" w:sz="4" w:space="0"/>
            <w:insideV w:val="single" w:color="000000" w:sz="4" w:space="0"/>
          </w:tblBorders>
          <w:tblCellMar>
            <w:top w:w="0" w:type="dxa"/>
            <w:left w:w="108" w:type="dxa"/>
            <w:bottom w:w="0" w:type="dxa"/>
            <w:right w:w="108" w:type="dxa"/>
          </w:tblCellMar>
        </w:tblPrEx>
        <w:trPr>
          <w:trHeight w:val="340" w:hRule="atLeast"/>
          <w:jc w:val="center"/>
        </w:trPr>
        <w:tc>
          <w:tcPr>
            <w:tcW w:w="684" w:type="dxa"/>
            <w:vMerge w:val="continue"/>
            <w:noWrap w:val="0"/>
            <w:vAlign w:val="center"/>
          </w:tcPr>
          <w:p w14:paraId="2CC81A20">
            <w:pPr>
              <w:jc w:val="center"/>
              <w:rPr>
                <w:rFonts w:ascii="Times New Roman" w:hAnsi="Times New Roman" w:cs="Times New Roman"/>
                <w:bCs/>
                <w:sz w:val="21"/>
                <w:szCs w:val="21"/>
              </w:rPr>
            </w:pPr>
          </w:p>
        </w:tc>
        <w:tc>
          <w:tcPr>
            <w:tcW w:w="1401" w:type="dxa"/>
            <w:noWrap w:val="0"/>
            <w:vAlign w:val="center"/>
          </w:tcPr>
          <w:p w14:paraId="32837AF1">
            <w:pPr>
              <w:jc w:val="center"/>
              <w:rPr>
                <w:rFonts w:ascii="Times New Roman" w:hAnsi="Times New Roman" w:cs="Times New Roman"/>
                <w:bCs/>
                <w:sz w:val="21"/>
                <w:szCs w:val="21"/>
              </w:rPr>
            </w:pPr>
            <w:r>
              <w:rPr>
                <w:rFonts w:ascii="Times New Roman" w:hAnsi="Times New Roman" w:cs="Times New Roman"/>
                <w:bCs/>
                <w:sz w:val="21"/>
                <w:szCs w:val="21"/>
              </w:rPr>
              <w:t>汞</w:t>
            </w:r>
          </w:p>
        </w:tc>
        <w:tc>
          <w:tcPr>
            <w:tcW w:w="1004" w:type="dxa"/>
            <w:noWrap w:val="0"/>
            <w:vAlign w:val="center"/>
          </w:tcPr>
          <w:p w14:paraId="29CDB703">
            <w:pPr>
              <w:jc w:val="center"/>
              <w:rPr>
                <w:rFonts w:ascii="Times New Roman" w:hAnsi="Times New Roman" w:cs="Times New Roman"/>
                <w:bCs/>
                <w:sz w:val="21"/>
                <w:szCs w:val="21"/>
              </w:rPr>
            </w:pPr>
            <w:r>
              <w:rPr>
                <w:rFonts w:ascii="Times New Roman" w:hAnsi="Times New Roman" w:cs="Times New Roman"/>
                <w:bCs/>
                <w:sz w:val="21"/>
                <w:szCs w:val="21"/>
              </w:rPr>
              <w:t>mg/kg</w:t>
            </w:r>
          </w:p>
        </w:tc>
        <w:tc>
          <w:tcPr>
            <w:tcW w:w="1994" w:type="dxa"/>
            <w:noWrap w:val="0"/>
            <w:vAlign w:val="center"/>
          </w:tcPr>
          <w:p w14:paraId="09D39A30">
            <w:pPr>
              <w:keepNext w:val="0"/>
              <w:keepLines w:val="0"/>
              <w:widowControl/>
              <w:suppressLineNumbers w:val="0"/>
              <w:jc w:val="center"/>
              <w:textAlignment w:val="center"/>
              <w:rPr>
                <w:rFonts w:ascii="Times New Roman" w:hAnsi="Times New Roman" w:cs="Times New Roman"/>
                <w:bCs/>
                <w:sz w:val="21"/>
                <w:szCs w:val="21"/>
                <w:lang w:bidi="ar"/>
              </w:rPr>
            </w:pPr>
            <w:r>
              <w:rPr>
                <w:rFonts w:hint="default" w:ascii="Times New Roman" w:hAnsi="Times New Roman" w:eastAsia="宋体" w:cs="Times New Roman"/>
                <w:i w:val="0"/>
                <w:iCs w:val="0"/>
                <w:color w:val="000000"/>
                <w:kern w:val="0"/>
                <w:sz w:val="21"/>
                <w:szCs w:val="21"/>
                <w:u w:val="none"/>
                <w:lang w:val="en-US" w:eastAsia="zh-CN" w:bidi="ar"/>
              </w:rPr>
              <w:t>0.411</w:t>
            </w:r>
          </w:p>
        </w:tc>
        <w:tc>
          <w:tcPr>
            <w:tcW w:w="1994" w:type="dxa"/>
            <w:noWrap w:val="0"/>
            <w:vAlign w:val="center"/>
          </w:tcPr>
          <w:p w14:paraId="7B2FBF83">
            <w:pPr>
              <w:keepNext w:val="0"/>
              <w:keepLines w:val="0"/>
              <w:widowControl/>
              <w:suppressLineNumbers w:val="0"/>
              <w:jc w:val="center"/>
              <w:textAlignment w:val="center"/>
              <w:rPr>
                <w:rFonts w:ascii="Times New Roman" w:hAnsi="Times New Roman" w:cs="Times New Roman"/>
                <w:bCs/>
                <w:sz w:val="21"/>
                <w:szCs w:val="21"/>
                <w:lang w:bidi="ar"/>
              </w:rPr>
            </w:pPr>
            <w:r>
              <w:rPr>
                <w:rFonts w:hint="default" w:ascii="Times New Roman" w:hAnsi="Times New Roman" w:eastAsia="宋体" w:cs="Times New Roman"/>
                <w:i w:val="0"/>
                <w:iCs w:val="0"/>
                <w:color w:val="000000"/>
                <w:kern w:val="0"/>
                <w:sz w:val="21"/>
                <w:szCs w:val="21"/>
                <w:u w:val="none"/>
                <w:lang w:val="en-US" w:eastAsia="zh-CN" w:bidi="ar"/>
              </w:rPr>
              <w:t>0.336</w:t>
            </w:r>
          </w:p>
        </w:tc>
        <w:tc>
          <w:tcPr>
            <w:tcW w:w="1994" w:type="dxa"/>
            <w:noWrap w:val="0"/>
            <w:vAlign w:val="center"/>
          </w:tcPr>
          <w:p w14:paraId="588ED4D4">
            <w:pPr>
              <w:keepNext w:val="0"/>
              <w:keepLines w:val="0"/>
              <w:widowControl/>
              <w:suppressLineNumbers w:val="0"/>
              <w:jc w:val="center"/>
              <w:textAlignment w:val="center"/>
              <w:rPr>
                <w:rFonts w:ascii="Times New Roman" w:hAnsi="Times New Roman" w:cs="Times New Roman"/>
                <w:bCs/>
                <w:sz w:val="21"/>
                <w:szCs w:val="21"/>
                <w:lang w:bidi="ar"/>
              </w:rPr>
            </w:pPr>
            <w:r>
              <w:rPr>
                <w:rFonts w:hint="default" w:ascii="Times New Roman" w:hAnsi="Times New Roman" w:eastAsia="宋体" w:cs="Times New Roman"/>
                <w:i w:val="0"/>
                <w:iCs w:val="0"/>
                <w:color w:val="000000"/>
                <w:kern w:val="0"/>
                <w:sz w:val="21"/>
                <w:szCs w:val="21"/>
                <w:u w:val="none"/>
                <w:lang w:val="en-US" w:eastAsia="zh-CN" w:bidi="ar"/>
              </w:rPr>
              <w:t>0.306</w:t>
            </w:r>
          </w:p>
        </w:tc>
      </w:tr>
      <w:tr w14:paraId="53F8A1E0">
        <w:tblPrEx>
          <w:tblBorders>
            <w:top w:val="thinThickSmallGap" w:color="auto" w:sz="12" w:space="0"/>
            <w:left w:val="none" w:color="auto" w:sz="0" w:space="0"/>
            <w:bottom w:val="thickThinSmallGap" w:color="auto" w:sz="12" w:space="0"/>
            <w:right w:val="none" w:color="auto" w:sz="0" w:space="0"/>
            <w:insideH w:val="single" w:color="auto" w:sz="4" w:space="0"/>
            <w:insideV w:val="single" w:color="000000" w:sz="4" w:space="0"/>
          </w:tblBorders>
          <w:tblCellMar>
            <w:top w:w="0" w:type="dxa"/>
            <w:left w:w="108" w:type="dxa"/>
            <w:bottom w:w="0" w:type="dxa"/>
            <w:right w:w="108" w:type="dxa"/>
          </w:tblCellMar>
        </w:tblPrEx>
        <w:trPr>
          <w:trHeight w:val="340" w:hRule="atLeast"/>
          <w:jc w:val="center"/>
        </w:trPr>
        <w:tc>
          <w:tcPr>
            <w:tcW w:w="684" w:type="dxa"/>
            <w:vMerge w:val="continue"/>
            <w:noWrap w:val="0"/>
            <w:vAlign w:val="center"/>
          </w:tcPr>
          <w:p w14:paraId="3E13B3CE">
            <w:pPr>
              <w:jc w:val="center"/>
              <w:rPr>
                <w:rFonts w:ascii="Times New Roman" w:hAnsi="Times New Roman" w:cs="Times New Roman"/>
                <w:bCs/>
                <w:sz w:val="21"/>
                <w:szCs w:val="21"/>
              </w:rPr>
            </w:pPr>
          </w:p>
        </w:tc>
        <w:tc>
          <w:tcPr>
            <w:tcW w:w="1401" w:type="dxa"/>
            <w:noWrap w:val="0"/>
            <w:vAlign w:val="center"/>
          </w:tcPr>
          <w:p w14:paraId="583252BF">
            <w:pPr>
              <w:jc w:val="center"/>
              <w:rPr>
                <w:rFonts w:ascii="Times New Roman" w:hAnsi="Times New Roman" w:cs="Times New Roman"/>
                <w:bCs/>
                <w:sz w:val="21"/>
                <w:szCs w:val="21"/>
              </w:rPr>
            </w:pPr>
            <w:r>
              <w:rPr>
                <w:rFonts w:ascii="Times New Roman" w:hAnsi="Times New Roman" w:cs="Times New Roman"/>
                <w:bCs/>
                <w:sz w:val="21"/>
                <w:szCs w:val="21"/>
              </w:rPr>
              <w:t>镉</w:t>
            </w:r>
          </w:p>
        </w:tc>
        <w:tc>
          <w:tcPr>
            <w:tcW w:w="1004" w:type="dxa"/>
            <w:noWrap w:val="0"/>
            <w:vAlign w:val="center"/>
          </w:tcPr>
          <w:p w14:paraId="6FF08253">
            <w:pPr>
              <w:jc w:val="center"/>
              <w:rPr>
                <w:rFonts w:ascii="Times New Roman" w:hAnsi="Times New Roman" w:cs="Times New Roman"/>
                <w:bCs/>
                <w:sz w:val="21"/>
                <w:szCs w:val="21"/>
              </w:rPr>
            </w:pPr>
            <w:r>
              <w:rPr>
                <w:rFonts w:ascii="Times New Roman" w:hAnsi="Times New Roman" w:cs="Times New Roman"/>
                <w:bCs/>
                <w:sz w:val="21"/>
                <w:szCs w:val="21"/>
              </w:rPr>
              <w:t>mg/kg</w:t>
            </w:r>
          </w:p>
        </w:tc>
        <w:tc>
          <w:tcPr>
            <w:tcW w:w="1994" w:type="dxa"/>
            <w:noWrap w:val="0"/>
            <w:vAlign w:val="center"/>
          </w:tcPr>
          <w:p w14:paraId="11360B84">
            <w:pPr>
              <w:keepNext w:val="0"/>
              <w:keepLines w:val="0"/>
              <w:widowControl/>
              <w:suppressLineNumbers w:val="0"/>
              <w:jc w:val="center"/>
              <w:textAlignment w:val="center"/>
              <w:rPr>
                <w:rFonts w:ascii="Times New Roman" w:hAnsi="Times New Roman" w:cs="Times New Roman"/>
                <w:bCs/>
                <w:sz w:val="21"/>
                <w:szCs w:val="21"/>
                <w:lang w:bidi="ar"/>
              </w:rPr>
            </w:pPr>
            <w:r>
              <w:rPr>
                <w:rFonts w:hint="default" w:ascii="Times New Roman" w:hAnsi="Times New Roman" w:eastAsia="宋体" w:cs="Times New Roman"/>
                <w:i w:val="0"/>
                <w:iCs w:val="0"/>
                <w:color w:val="000000"/>
                <w:kern w:val="0"/>
                <w:sz w:val="21"/>
                <w:szCs w:val="21"/>
                <w:u w:val="none"/>
                <w:lang w:val="en-US" w:eastAsia="zh-CN" w:bidi="ar"/>
              </w:rPr>
              <w:t>0.14</w:t>
            </w:r>
          </w:p>
        </w:tc>
        <w:tc>
          <w:tcPr>
            <w:tcW w:w="1994" w:type="dxa"/>
            <w:noWrap w:val="0"/>
            <w:vAlign w:val="center"/>
          </w:tcPr>
          <w:p w14:paraId="183CD43C">
            <w:pPr>
              <w:keepNext w:val="0"/>
              <w:keepLines w:val="0"/>
              <w:widowControl/>
              <w:suppressLineNumbers w:val="0"/>
              <w:jc w:val="center"/>
              <w:textAlignment w:val="center"/>
              <w:rPr>
                <w:rFonts w:ascii="Times New Roman" w:hAnsi="Times New Roman" w:cs="Times New Roman"/>
                <w:bCs/>
                <w:sz w:val="21"/>
                <w:szCs w:val="21"/>
                <w:lang w:bidi="ar"/>
              </w:rPr>
            </w:pPr>
            <w:r>
              <w:rPr>
                <w:rFonts w:hint="default" w:ascii="Times New Roman" w:hAnsi="Times New Roman" w:eastAsia="宋体" w:cs="Times New Roman"/>
                <w:i w:val="0"/>
                <w:iCs w:val="0"/>
                <w:color w:val="000000"/>
                <w:kern w:val="0"/>
                <w:sz w:val="21"/>
                <w:szCs w:val="21"/>
                <w:u w:val="none"/>
                <w:lang w:val="en-US" w:eastAsia="zh-CN" w:bidi="ar"/>
              </w:rPr>
              <w:t>0.13</w:t>
            </w:r>
          </w:p>
        </w:tc>
        <w:tc>
          <w:tcPr>
            <w:tcW w:w="1994" w:type="dxa"/>
            <w:noWrap w:val="0"/>
            <w:vAlign w:val="center"/>
          </w:tcPr>
          <w:p w14:paraId="15477D2D">
            <w:pPr>
              <w:keepNext w:val="0"/>
              <w:keepLines w:val="0"/>
              <w:widowControl/>
              <w:suppressLineNumbers w:val="0"/>
              <w:jc w:val="center"/>
              <w:textAlignment w:val="center"/>
              <w:rPr>
                <w:rFonts w:ascii="Times New Roman" w:hAnsi="Times New Roman" w:cs="Times New Roman"/>
                <w:bCs/>
                <w:sz w:val="21"/>
                <w:szCs w:val="21"/>
                <w:lang w:bidi="ar"/>
              </w:rPr>
            </w:pPr>
            <w:r>
              <w:rPr>
                <w:rFonts w:hint="default" w:ascii="Times New Roman" w:hAnsi="Times New Roman" w:eastAsia="宋体" w:cs="Times New Roman"/>
                <w:i w:val="0"/>
                <w:iCs w:val="0"/>
                <w:color w:val="000000"/>
                <w:kern w:val="0"/>
                <w:sz w:val="21"/>
                <w:szCs w:val="21"/>
                <w:u w:val="none"/>
                <w:lang w:val="en-US" w:eastAsia="zh-CN" w:bidi="ar"/>
              </w:rPr>
              <w:t>0.1</w:t>
            </w:r>
          </w:p>
        </w:tc>
      </w:tr>
      <w:tr w14:paraId="3424A476">
        <w:tblPrEx>
          <w:tblBorders>
            <w:top w:val="thinThickSmallGap" w:color="auto" w:sz="12" w:space="0"/>
            <w:left w:val="none" w:color="auto" w:sz="0" w:space="0"/>
            <w:bottom w:val="thickThinSmallGap" w:color="auto" w:sz="12" w:space="0"/>
            <w:right w:val="none" w:color="auto" w:sz="0" w:space="0"/>
            <w:insideH w:val="single" w:color="auto" w:sz="4" w:space="0"/>
            <w:insideV w:val="single" w:color="000000" w:sz="4" w:space="0"/>
          </w:tblBorders>
          <w:tblCellMar>
            <w:top w:w="0" w:type="dxa"/>
            <w:left w:w="108" w:type="dxa"/>
            <w:bottom w:w="0" w:type="dxa"/>
            <w:right w:w="108" w:type="dxa"/>
          </w:tblCellMar>
        </w:tblPrEx>
        <w:trPr>
          <w:trHeight w:val="340" w:hRule="atLeast"/>
          <w:jc w:val="center"/>
        </w:trPr>
        <w:tc>
          <w:tcPr>
            <w:tcW w:w="684" w:type="dxa"/>
            <w:vMerge w:val="continue"/>
            <w:noWrap w:val="0"/>
            <w:vAlign w:val="center"/>
          </w:tcPr>
          <w:p w14:paraId="2EB03824">
            <w:pPr>
              <w:jc w:val="center"/>
              <w:rPr>
                <w:rFonts w:ascii="Times New Roman" w:hAnsi="Times New Roman" w:cs="Times New Roman"/>
                <w:bCs/>
                <w:sz w:val="21"/>
                <w:szCs w:val="21"/>
              </w:rPr>
            </w:pPr>
          </w:p>
        </w:tc>
        <w:tc>
          <w:tcPr>
            <w:tcW w:w="1401" w:type="dxa"/>
            <w:noWrap w:val="0"/>
            <w:vAlign w:val="center"/>
          </w:tcPr>
          <w:p w14:paraId="4D6D6193">
            <w:pPr>
              <w:jc w:val="center"/>
              <w:rPr>
                <w:rFonts w:ascii="Times New Roman" w:hAnsi="Times New Roman" w:cs="Times New Roman"/>
                <w:bCs/>
                <w:sz w:val="21"/>
                <w:szCs w:val="21"/>
              </w:rPr>
            </w:pPr>
            <w:r>
              <w:rPr>
                <w:rFonts w:ascii="Times New Roman" w:hAnsi="Times New Roman" w:cs="Times New Roman"/>
                <w:bCs/>
                <w:sz w:val="21"/>
                <w:szCs w:val="21"/>
              </w:rPr>
              <w:t>砷</w:t>
            </w:r>
          </w:p>
        </w:tc>
        <w:tc>
          <w:tcPr>
            <w:tcW w:w="1004" w:type="dxa"/>
            <w:noWrap w:val="0"/>
            <w:vAlign w:val="center"/>
          </w:tcPr>
          <w:p w14:paraId="40DE1E41">
            <w:pPr>
              <w:jc w:val="center"/>
              <w:rPr>
                <w:rFonts w:ascii="Times New Roman" w:hAnsi="Times New Roman" w:cs="Times New Roman"/>
                <w:bCs/>
                <w:sz w:val="21"/>
                <w:szCs w:val="21"/>
              </w:rPr>
            </w:pPr>
            <w:r>
              <w:rPr>
                <w:rFonts w:ascii="Times New Roman" w:hAnsi="Times New Roman" w:cs="Times New Roman"/>
                <w:bCs/>
                <w:sz w:val="21"/>
                <w:szCs w:val="21"/>
              </w:rPr>
              <w:t>mg/kg</w:t>
            </w:r>
          </w:p>
        </w:tc>
        <w:tc>
          <w:tcPr>
            <w:tcW w:w="1994" w:type="dxa"/>
            <w:noWrap w:val="0"/>
            <w:vAlign w:val="center"/>
          </w:tcPr>
          <w:p w14:paraId="042CEBE8">
            <w:pPr>
              <w:keepNext w:val="0"/>
              <w:keepLines w:val="0"/>
              <w:widowControl/>
              <w:suppressLineNumbers w:val="0"/>
              <w:jc w:val="center"/>
              <w:textAlignment w:val="center"/>
              <w:rPr>
                <w:rFonts w:ascii="Times New Roman" w:hAnsi="Times New Roman" w:cs="Times New Roman"/>
                <w:bCs/>
                <w:sz w:val="21"/>
                <w:szCs w:val="21"/>
                <w:lang w:bidi="ar"/>
              </w:rPr>
            </w:pPr>
            <w:r>
              <w:rPr>
                <w:rFonts w:hint="default" w:ascii="Times New Roman" w:hAnsi="Times New Roman" w:eastAsia="宋体" w:cs="Times New Roman"/>
                <w:i w:val="0"/>
                <w:iCs w:val="0"/>
                <w:color w:val="000000"/>
                <w:kern w:val="0"/>
                <w:sz w:val="21"/>
                <w:szCs w:val="21"/>
                <w:u w:val="none"/>
                <w:lang w:val="en-US" w:eastAsia="zh-CN" w:bidi="ar"/>
              </w:rPr>
              <w:t>4.09</w:t>
            </w:r>
          </w:p>
        </w:tc>
        <w:tc>
          <w:tcPr>
            <w:tcW w:w="1994" w:type="dxa"/>
            <w:noWrap w:val="0"/>
            <w:vAlign w:val="center"/>
          </w:tcPr>
          <w:p w14:paraId="45D92B09">
            <w:pPr>
              <w:keepNext w:val="0"/>
              <w:keepLines w:val="0"/>
              <w:widowControl/>
              <w:suppressLineNumbers w:val="0"/>
              <w:jc w:val="center"/>
              <w:textAlignment w:val="center"/>
              <w:rPr>
                <w:rFonts w:hint="default" w:ascii="Times New Roman" w:hAnsi="Times New Roman" w:cs="Times New Roman"/>
                <w:bCs/>
                <w:sz w:val="21"/>
                <w:szCs w:val="21"/>
                <w:lang w:val="en-US" w:bidi="ar"/>
              </w:rPr>
            </w:pPr>
            <w:r>
              <w:rPr>
                <w:rFonts w:hint="default" w:ascii="Times New Roman" w:hAnsi="Times New Roman" w:eastAsia="宋体" w:cs="Times New Roman"/>
                <w:i w:val="0"/>
                <w:iCs w:val="0"/>
                <w:color w:val="000000"/>
                <w:kern w:val="0"/>
                <w:sz w:val="21"/>
                <w:szCs w:val="21"/>
                <w:u w:val="none"/>
                <w:lang w:val="en-US" w:eastAsia="zh-CN" w:bidi="ar"/>
              </w:rPr>
              <w:t>3.36</w:t>
            </w:r>
          </w:p>
        </w:tc>
        <w:tc>
          <w:tcPr>
            <w:tcW w:w="1994" w:type="dxa"/>
            <w:noWrap w:val="0"/>
            <w:vAlign w:val="center"/>
          </w:tcPr>
          <w:p w14:paraId="3EF273C9">
            <w:pPr>
              <w:keepNext w:val="0"/>
              <w:keepLines w:val="0"/>
              <w:widowControl/>
              <w:suppressLineNumbers w:val="0"/>
              <w:jc w:val="center"/>
              <w:textAlignment w:val="center"/>
              <w:rPr>
                <w:rFonts w:ascii="Times New Roman" w:hAnsi="Times New Roman" w:cs="Times New Roman"/>
                <w:bCs/>
                <w:sz w:val="21"/>
                <w:szCs w:val="21"/>
                <w:lang w:bidi="ar"/>
              </w:rPr>
            </w:pPr>
            <w:r>
              <w:rPr>
                <w:rFonts w:hint="default" w:ascii="Times New Roman" w:hAnsi="Times New Roman" w:eastAsia="宋体" w:cs="Times New Roman"/>
                <w:i w:val="0"/>
                <w:iCs w:val="0"/>
                <w:color w:val="000000"/>
                <w:kern w:val="0"/>
                <w:sz w:val="21"/>
                <w:szCs w:val="21"/>
                <w:u w:val="none"/>
                <w:lang w:val="en-US" w:eastAsia="zh-CN" w:bidi="ar"/>
              </w:rPr>
              <w:t>3.05</w:t>
            </w:r>
          </w:p>
        </w:tc>
      </w:tr>
      <w:tr w14:paraId="70CD4A5C">
        <w:tblPrEx>
          <w:tblBorders>
            <w:top w:val="thinThickSmallGap" w:color="auto" w:sz="12" w:space="0"/>
            <w:left w:val="none" w:color="auto" w:sz="0" w:space="0"/>
            <w:bottom w:val="thickThinSmallGap" w:color="auto" w:sz="12" w:space="0"/>
            <w:right w:val="none" w:color="auto" w:sz="0" w:space="0"/>
            <w:insideH w:val="single" w:color="auto" w:sz="4" w:space="0"/>
            <w:insideV w:val="single" w:color="000000" w:sz="4" w:space="0"/>
          </w:tblBorders>
          <w:tblCellMar>
            <w:top w:w="0" w:type="dxa"/>
            <w:left w:w="108" w:type="dxa"/>
            <w:bottom w:w="0" w:type="dxa"/>
            <w:right w:w="108" w:type="dxa"/>
          </w:tblCellMar>
        </w:tblPrEx>
        <w:trPr>
          <w:trHeight w:val="340" w:hRule="atLeast"/>
          <w:jc w:val="center"/>
        </w:trPr>
        <w:tc>
          <w:tcPr>
            <w:tcW w:w="684" w:type="dxa"/>
            <w:vMerge w:val="continue"/>
            <w:noWrap w:val="0"/>
            <w:vAlign w:val="center"/>
          </w:tcPr>
          <w:p w14:paraId="1ADD544B">
            <w:pPr>
              <w:jc w:val="center"/>
              <w:rPr>
                <w:rFonts w:ascii="Times New Roman" w:hAnsi="Times New Roman" w:cs="Times New Roman"/>
                <w:bCs/>
                <w:sz w:val="21"/>
                <w:szCs w:val="21"/>
              </w:rPr>
            </w:pPr>
          </w:p>
        </w:tc>
        <w:tc>
          <w:tcPr>
            <w:tcW w:w="1401" w:type="dxa"/>
            <w:noWrap w:val="0"/>
            <w:vAlign w:val="center"/>
          </w:tcPr>
          <w:p w14:paraId="0A46407A">
            <w:pPr>
              <w:jc w:val="center"/>
              <w:rPr>
                <w:rFonts w:ascii="Times New Roman" w:hAnsi="Times New Roman" w:cs="Times New Roman"/>
                <w:bCs/>
                <w:sz w:val="21"/>
                <w:szCs w:val="21"/>
              </w:rPr>
            </w:pPr>
            <w:r>
              <w:rPr>
                <w:rFonts w:ascii="Times New Roman" w:hAnsi="Times New Roman" w:cs="Times New Roman"/>
                <w:bCs/>
                <w:sz w:val="21"/>
                <w:szCs w:val="21"/>
              </w:rPr>
              <w:t>铬（六价）</w:t>
            </w:r>
          </w:p>
        </w:tc>
        <w:tc>
          <w:tcPr>
            <w:tcW w:w="1004" w:type="dxa"/>
            <w:noWrap w:val="0"/>
            <w:vAlign w:val="center"/>
          </w:tcPr>
          <w:p w14:paraId="59B7F81B">
            <w:pPr>
              <w:jc w:val="center"/>
              <w:rPr>
                <w:rFonts w:ascii="Times New Roman" w:hAnsi="Times New Roman" w:cs="Times New Roman"/>
                <w:bCs/>
                <w:sz w:val="21"/>
                <w:szCs w:val="21"/>
              </w:rPr>
            </w:pPr>
            <w:r>
              <w:rPr>
                <w:rFonts w:ascii="Times New Roman" w:hAnsi="Times New Roman" w:cs="Times New Roman"/>
                <w:bCs/>
                <w:sz w:val="21"/>
                <w:szCs w:val="21"/>
              </w:rPr>
              <w:t>mg/kg</w:t>
            </w:r>
          </w:p>
        </w:tc>
        <w:tc>
          <w:tcPr>
            <w:tcW w:w="1994" w:type="dxa"/>
            <w:noWrap w:val="0"/>
            <w:vAlign w:val="center"/>
          </w:tcPr>
          <w:p w14:paraId="0F506851">
            <w:pPr>
              <w:keepNext w:val="0"/>
              <w:keepLines w:val="0"/>
              <w:widowControl/>
              <w:suppressLineNumbers w:val="0"/>
              <w:jc w:val="center"/>
              <w:textAlignment w:val="center"/>
              <w:rPr>
                <w:rFonts w:ascii="Times New Roman" w:hAnsi="Times New Roman" w:cs="Times New Roman"/>
                <w:bCs/>
                <w:sz w:val="21"/>
                <w:szCs w:val="21"/>
                <w:lang w:bidi="ar"/>
              </w:rPr>
            </w:pPr>
            <w:r>
              <w:rPr>
                <w:rFonts w:hint="default" w:ascii="Times New Roman" w:hAnsi="Times New Roman" w:eastAsia="宋体" w:cs="Times New Roman"/>
                <w:i w:val="0"/>
                <w:iCs w:val="0"/>
                <w:color w:val="000000"/>
                <w:kern w:val="0"/>
                <w:sz w:val="21"/>
                <w:szCs w:val="21"/>
                <w:u w:val="none"/>
                <w:lang w:val="en-US" w:eastAsia="zh-CN" w:bidi="ar"/>
              </w:rPr>
              <w:t>ND</w:t>
            </w:r>
          </w:p>
        </w:tc>
        <w:tc>
          <w:tcPr>
            <w:tcW w:w="1994" w:type="dxa"/>
            <w:noWrap w:val="0"/>
            <w:vAlign w:val="center"/>
          </w:tcPr>
          <w:p w14:paraId="62EBB9D2">
            <w:pPr>
              <w:keepNext w:val="0"/>
              <w:keepLines w:val="0"/>
              <w:widowControl/>
              <w:suppressLineNumbers w:val="0"/>
              <w:jc w:val="center"/>
              <w:textAlignment w:val="center"/>
              <w:rPr>
                <w:rFonts w:ascii="Times New Roman" w:hAnsi="Times New Roman" w:cs="Times New Roman"/>
                <w:bCs/>
                <w:sz w:val="21"/>
                <w:szCs w:val="21"/>
                <w:lang w:bidi="ar"/>
              </w:rPr>
            </w:pPr>
            <w:r>
              <w:rPr>
                <w:rFonts w:hint="default" w:ascii="Times New Roman" w:hAnsi="Times New Roman" w:eastAsia="宋体" w:cs="Times New Roman"/>
                <w:i w:val="0"/>
                <w:iCs w:val="0"/>
                <w:color w:val="000000"/>
                <w:kern w:val="0"/>
                <w:sz w:val="21"/>
                <w:szCs w:val="21"/>
                <w:u w:val="none"/>
                <w:lang w:val="en-US" w:eastAsia="zh-CN" w:bidi="ar"/>
              </w:rPr>
              <w:t>ND</w:t>
            </w:r>
          </w:p>
        </w:tc>
        <w:tc>
          <w:tcPr>
            <w:tcW w:w="1994" w:type="dxa"/>
            <w:noWrap w:val="0"/>
            <w:vAlign w:val="center"/>
          </w:tcPr>
          <w:p w14:paraId="00AEA7F5">
            <w:pPr>
              <w:keepNext w:val="0"/>
              <w:keepLines w:val="0"/>
              <w:widowControl/>
              <w:suppressLineNumbers w:val="0"/>
              <w:jc w:val="center"/>
              <w:textAlignment w:val="center"/>
              <w:rPr>
                <w:rFonts w:ascii="Times New Roman" w:hAnsi="Times New Roman" w:cs="Times New Roman"/>
                <w:bCs/>
                <w:sz w:val="21"/>
                <w:szCs w:val="21"/>
                <w:lang w:bidi="ar"/>
              </w:rPr>
            </w:pPr>
            <w:r>
              <w:rPr>
                <w:rFonts w:hint="default" w:ascii="Times New Roman" w:hAnsi="Times New Roman" w:eastAsia="宋体" w:cs="Times New Roman"/>
                <w:i w:val="0"/>
                <w:iCs w:val="0"/>
                <w:color w:val="000000"/>
                <w:kern w:val="0"/>
                <w:sz w:val="21"/>
                <w:szCs w:val="21"/>
                <w:u w:val="none"/>
                <w:lang w:val="en-US" w:eastAsia="zh-CN" w:bidi="ar"/>
              </w:rPr>
              <w:t>ND</w:t>
            </w:r>
          </w:p>
        </w:tc>
      </w:tr>
    </w:tbl>
    <w:p w14:paraId="78D51441">
      <w:pPr>
        <w:adjustRightInd w:val="0"/>
        <w:snapToGrid w:val="0"/>
        <w:rPr>
          <w:rFonts w:hint="eastAsia" w:ascii="Times New Roman" w:hAnsi="Times New Roman" w:cs="Times New Roman"/>
          <w:b/>
          <w:sz w:val="18"/>
          <w:szCs w:val="21"/>
        </w:rPr>
      </w:pPr>
      <w:r>
        <w:rPr>
          <w:rFonts w:ascii="Times New Roman" w:hAnsi="Times New Roman" w:cs="Times New Roman"/>
          <w:b/>
          <w:sz w:val="18"/>
        </w:rPr>
        <w:t>注：</w:t>
      </w:r>
      <w:r>
        <w:rPr>
          <w:rFonts w:ascii="Times New Roman" w:hAnsi="Times New Roman" w:cs="Times New Roman"/>
          <w:b/>
          <w:sz w:val="18"/>
          <w:szCs w:val="21"/>
        </w:rPr>
        <w:t>L表示结果低于</w:t>
      </w:r>
      <w:r>
        <w:rPr>
          <w:rFonts w:hint="eastAsia" w:ascii="Times New Roman" w:hAnsi="Times New Roman" w:cs="Times New Roman"/>
          <w:b/>
          <w:sz w:val="18"/>
          <w:szCs w:val="21"/>
        </w:rPr>
        <w:t>该</w:t>
      </w:r>
      <w:r>
        <w:rPr>
          <w:rFonts w:ascii="Times New Roman" w:hAnsi="Times New Roman" w:cs="Times New Roman"/>
          <w:b/>
          <w:sz w:val="18"/>
          <w:szCs w:val="21"/>
        </w:rPr>
        <w:t>检出限</w:t>
      </w:r>
      <w:r>
        <w:rPr>
          <w:rFonts w:hint="eastAsia" w:ascii="Times New Roman" w:hAnsi="Times New Roman" w:cs="Times New Roman"/>
          <w:b/>
          <w:sz w:val="18"/>
          <w:szCs w:val="21"/>
        </w:rPr>
        <w:t>，</w:t>
      </w:r>
      <w:r>
        <w:rPr>
          <w:rFonts w:ascii="Times New Roman" w:hAnsi="Times New Roman" w:cs="Times New Roman"/>
          <w:b/>
          <w:sz w:val="18"/>
          <w:szCs w:val="21"/>
        </w:rPr>
        <w:t>未检出</w:t>
      </w:r>
      <w:r>
        <w:rPr>
          <w:rFonts w:hint="eastAsia" w:ascii="Times New Roman" w:hAnsi="Times New Roman" w:cs="Times New Roman"/>
          <w:b/>
          <w:sz w:val="18"/>
          <w:szCs w:val="21"/>
        </w:rPr>
        <w:t>。</w:t>
      </w:r>
    </w:p>
    <w:p w14:paraId="1C446225">
      <w:pPr>
        <w:pStyle w:val="131"/>
        <w:adjustRightInd/>
        <w:snapToGrid/>
        <w:spacing w:line="360" w:lineRule="auto"/>
        <w:ind w:left="0" w:firstLine="0"/>
        <w:rPr>
          <w:rFonts w:ascii="Times New Roman" w:hAnsi="Times New Roman" w:cs="Times New Roman"/>
        </w:rPr>
      </w:pPr>
      <w:r>
        <w:rPr>
          <w:rFonts w:ascii="Times New Roman" w:hAnsi="Times New Roman" w:cs="Times New Roman"/>
        </w:rPr>
        <w:t>表</w:t>
      </w:r>
      <w:r>
        <w:rPr>
          <w:rFonts w:hint="eastAsia" w:ascii="Times New Roman" w:hAnsi="Times New Roman" w:cs="Times New Roman"/>
        </w:rPr>
        <w:t>4.2-14</w:t>
      </w:r>
      <w:r>
        <w:rPr>
          <w:rFonts w:ascii="Times New Roman" w:hAnsi="Times New Roman" w:cs="Times New Roman"/>
        </w:rPr>
        <w:t xml:space="preserve">  </w:t>
      </w:r>
      <w:r>
        <w:rPr>
          <w:rFonts w:hint="eastAsia" w:ascii="Times New Roman" w:hAnsi="Times New Roman" w:cs="Times New Roman"/>
          <w:lang w:val="en-US" w:eastAsia="zh-CN"/>
        </w:rPr>
        <w:t>T2</w:t>
      </w:r>
      <w:r>
        <w:rPr>
          <w:rFonts w:ascii="Times New Roman" w:hAnsi="Times New Roman" w:cs="Times New Roman"/>
        </w:rPr>
        <w:t>点位土壤现状监测结果</w:t>
      </w:r>
    </w:p>
    <w:tbl>
      <w:tblPr>
        <w:tblStyle w:val="56"/>
        <w:tblW w:w="9071" w:type="dxa"/>
        <w:jc w:val="center"/>
        <w:tblBorders>
          <w:top w:val="thinThickSmallGap" w:color="auto" w:sz="12" w:space="0"/>
          <w:left w:val="none" w:color="auto" w:sz="0" w:space="0"/>
          <w:bottom w:val="thickThinSmallGap" w:color="auto" w:sz="12" w:space="0"/>
          <w:right w:val="none" w:color="auto" w:sz="0" w:space="0"/>
          <w:insideH w:val="single" w:color="auto" w:sz="4" w:space="0"/>
          <w:insideV w:val="single" w:color="000000" w:sz="4" w:space="0"/>
        </w:tblBorders>
        <w:tblLayout w:type="fixed"/>
        <w:tblCellMar>
          <w:top w:w="0" w:type="dxa"/>
          <w:left w:w="108" w:type="dxa"/>
          <w:bottom w:w="0" w:type="dxa"/>
          <w:right w:w="108" w:type="dxa"/>
        </w:tblCellMar>
      </w:tblPr>
      <w:tblGrid>
        <w:gridCol w:w="643"/>
        <w:gridCol w:w="1442"/>
        <w:gridCol w:w="1004"/>
        <w:gridCol w:w="1994"/>
        <w:gridCol w:w="1994"/>
        <w:gridCol w:w="1994"/>
      </w:tblGrid>
      <w:tr w14:paraId="4A4ED777">
        <w:tblPrEx>
          <w:tblBorders>
            <w:top w:val="thinThickSmallGap" w:color="auto" w:sz="12" w:space="0"/>
            <w:left w:val="none" w:color="auto" w:sz="0" w:space="0"/>
            <w:bottom w:val="thickThinSmallGap" w:color="auto" w:sz="12" w:space="0"/>
            <w:right w:val="none" w:color="auto" w:sz="0" w:space="0"/>
            <w:insideH w:val="single" w:color="auto" w:sz="4" w:space="0"/>
            <w:insideV w:val="single" w:color="000000" w:sz="4" w:space="0"/>
          </w:tblBorders>
          <w:tblCellMar>
            <w:top w:w="0" w:type="dxa"/>
            <w:left w:w="108" w:type="dxa"/>
            <w:bottom w:w="0" w:type="dxa"/>
            <w:right w:w="108" w:type="dxa"/>
          </w:tblCellMar>
        </w:tblPrEx>
        <w:trPr>
          <w:trHeight w:val="340" w:hRule="atLeast"/>
          <w:tblHeader/>
          <w:jc w:val="center"/>
        </w:trPr>
        <w:tc>
          <w:tcPr>
            <w:tcW w:w="643" w:type="dxa"/>
            <w:shd w:val="clear" w:color="auto" w:fill="D9D9D9"/>
            <w:noWrap w:val="0"/>
            <w:vAlign w:val="center"/>
          </w:tcPr>
          <w:p w14:paraId="60F6FB0B">
            <w:pPr>
              <w:jc w:val="center"/>
              <w:rPr>
                <w:rFonts w:ascii="Times New Roman" w:hAnsi="Times New Roman" w:cs="Times New Roman"/>
                <w:bCs/>
                <w:sz w:val="21"/>
                <w:szCs w:val="21"/>
              </w:rPr>
            </w:pPr>
            <w:r>
              <w:rPr>
                <w:rFonts w:ascii="Times New Roman" w:hAnsi="Times New Roman" w:cs="Times New Roman"/>
                <w:bCs/>
                <w:sz w:val="21"/>
                <w:szCs w:val="21"/>
              </w:rPr>
              <w:t>时间</w:t>
            </w:r>
          </w:p>
        </w:tc>
        <w:tc>
          <w:tcPr>
            <w:tcW w:w="1442" w:type="dxa"/>
            <w:shd w:val="clear" w:color="auto" w:fill="D9D9D9"/>
            <w:noWrap w:val="0"/>
            <w:vAlign w:val="center"/>
          </w:tcPr>
          <w:p w14:paraId="09B15FCE">
            <w:pPr>
              <w:jc w:val="center"/>
              <w:rPr>
                <w:rFonts w:ascii="Times New Roman" w:hAnsi="Times New Roman" w:cs="Times New Roman"/>
                <w:bCs/>
                <w:sz w:val="21"/>
                <w:szCs w:val="21"/>
              </w:rPr>
            </w:pPr>
            <w:r>
              <w:rPr>
                <w:rFonts w:ascii="Times New Roman" w:hAnsi="Times New Roman" w:cs="Times New Roman"/>
                <w:bCs/>
                <w:sz w:val="21"/>
                <w:szCs w:val="21"/>
              </w:rPr>
              <w:t>检测项目</w:t>
            </w:r>
          </w:p>
        </w:tc>
        <w:tc>
          <w:tcPr>
            <w:tcW w:w="1004" w:type="dxa"/>
            <w:shd w:val="clear" w:color="auto" w:fill="D9D9D9"/>
            <w:noWrap w:val="0"/>
            <w:vAlign w:val="center"/>
          </w:tcPr>
          <w:p w14:paraId="19450A34">
            <w:pPr>
              <w:jc w:val="center"/>
              <w:rPr>
                <w:rFonts w:ascii="Times New Roman" w:hAnsi="Times New Roman" w:cs="Times New Roman"/>
                <w:bCs/>
                <w:sz w:val="21"/>
                <w:szCs w:val="21"/>
              </w:rPr>
            </w:pPr>
            <w:r>
              <w:rPr>
                <w:rFonts w:ascii="Times New Roman" w:hAnsi="Times New Roman" w:cs="Times New Roman"/>
                <w:bCs/>
                <w:sz w:val="21"/>
                <w:szCs w:val="21"/>
              </w:rPr>
              <w:t>单位</w:t>
            </w:r>
          </w:p>
        </w:tc>
        <w:tc>
          <w:tcPr>
            <w:tcW w:w="1994" w:type="dxa"/>
            <w:shd w:val="clear" w:color="auto" w:fill="D9D9D9"/>
            <w:noWrap w:val="0"/>
            <w:vAlign w:val="center"/>
          </w:tcPr>
          <w:p w14:paraId="7CCD68A1">
            <w:pPr>
              <w:keepNext w:val="0"/>
              <w:keepLines w:val="0"/>
              <w:widowControl/>
              <w:suppressLineNumbers w:val="0"/>
              <w:jc w:val="center"/>
              <w:textAlignment w:val="center"/>
              <w:rPr>
                <w:rFonts w:ascii="Times New Roman" w:hAnsi="Times New Roman" w:cs="Times New Roman"/>
                <w:bCs/>
                <w:sz w:val="21"/>
                <w:szCs w:val="21"/>
              </w:rPr>
            </w:pPr>
            <w:r>
              <w:rPr>
                <w:rFonts w:hint="default" w:ascii="Times New Roman" w:hAnsi="Times New Roman" w:eastAsia="宋体" w:cs="Times New Roman"/>
                <w:i w:val="0"/>
                <w:iCs w:val="0"/>
                <w:color w:val="000000"/>
                <w:kern w:val="0"/>
                <w:sz w:val="21"/>
                <w:szCs w:val="21"/>
                <w:u w:val="none"/>
                <w:lang w:val="en-US" w:eastAsia="zh-CN" w:bidi="ar"/>
              </w:rPr>
              <w:t>T2</w:t>
            </w:r>
            <w:r>
              <w:rPr>
                <w:rFonts w:hint="eastAsia" w:ascii="宋体" w:hAnsi="宋体" w:eastAsia="宋体" w:cs="宋体"/>
                <w:i w:val="0"/>
                <w:iCs w:val="0"/>
                <w:color w:val="000000"/>
                <w:kern w:val="0"/>
                <w:sz w:val="21"/>
                <w:szCs w:val="21"/>
                <w:u w:val="none"/>
                <w:lang w:val="en-US" w:eastAsia="zh-CN" w:bidi="ar"/>
              </w:rPr>
              <w:t>厂区内菜地（</w:t>
            </w:r>
            <w:r>
              <w:rPr>
                <w:rFonts w:hint="default" w:ascii="Times New Roman" w:hAnsi="Times New Roman" w:eastAsia="宋体" w:cs="Times New Roman"/>
                <w:i w:val="0"/>
                <w:iCs w:val="0"/>
                <w:color w:val="000000"/>
                <w:kern w:val="0"/>
                <w:sz w:val="21"/>
                <w:szCs w:val="21"/>
                <w:u w:val="none"/>
                <w:lang w:val="en-US" w:eastAsia="zh-CN" w:bidi="ar"/>
              </w:rPr>
              <w:t>0.2m</w:t>
            </w:r>
            <w:r>
              <w:rPr>
                <w:rFonts w:hint="eastAsia" w:ascii="宋体" w:hAnsi="宋体" w:eastAsia="宋体" w:cs="宋体"/>
                <w:i w:val="0"/>
                <w:iCs w:val="0"/>
                <w:color w:val="000000"/>
                <w:kern w:val="0"/>
                <w:sz w:val="21"/>
                <w:szCs w:val="21"/>
                <w:u w:val="none"/>
                <w:lang w:val="en-US" w:eastAsia="zh-CN" w:bidi="ar"/>
              </w:rPr>
              <w:t>）</w:t>
            </w:r>
          </w:p>
        </w:tc>
        <w:tc>
          <w:tcPr>
            <w:tcW w:w="1994" w:type="dxa"/>
            <w:shd w:val="clear" w:color="auto" w:fill="D9D9D9"/>
            <w:noWrap w:val="0"/>
            <w:vAlign w:val="center"/>
          </w:tcPr>
          <w:p w14:paraId="5E7CE418">
            <w:pPr>
              <w:keepNext w:val="0"/>
              <w:keepLines w:val="0"/>
              <w:widowControl/>
              <w:suppressLineNumbers w:val="0"/>
              <w:jc w:val="center"/>
              <w:textAlignment w:val="center"/>
              <w:rPr>
                <w:rFonts w:ascii="Times New Roman" w:hAnsi="Times New Roman" w:cs="Times New Roman"/>
                <w:bCs/>
                <w:sz w:val="21"/>
                <w:szCs w:val="21"/>
              </w:rPr>
            </w:pPr>
            <w:r>
              <w:rPr>
                <w:rFonts w:hint="default" w:ascii="Times New Roman" w:hAnsi="Times New Roman" w:eastAsia="宋体" w:cs="Times New Roman"/>
                <w:i w:val="0"/>
                <w:iCs w:val="0"/>
                <w:color w:val="000000"/>
                <w:kern w:val="0"/>
                <w:sz w:val="21"/>
                <w:szCs w:val="21"/>
                <w:u w:val="none"/>
                <w:lang w:val="en-US" w:eastAsia="zh-CN" w:bidi="ar"/>
              </w:rPr>
              <w:t>T2</w:t>
            </w:r>
            <w:r>
              <w:rPr>
                <w:rFonts w:hint="eastAsia" w:ascii="宋体" w:hAnsi="宋体" w:eastAsia="宋体" w:cs="宋体"/>
                <w:i w:val="0"/>
                <w:iCs w:val="0"/>
                <w:color w:val="000000"/>
                <w:kern w:val="0"/>
                <w:sz w:val="21"/>
                <w:szCs w:val="21"/>
                <w:u w:val="none"/>
                <w:lang w:val="en-US" w:eastAsia="zh-CN" w:bidi="ar"/>
              </w:rPr>
              <w:t>厂区内菜地（</w:t>
            </w:r>
            <w:r>
              <w:rPr>
                <w:rFonts w:hint="default" w:ascii="Times New Roman" w:hAnsi="Times New Roman" w:eastAsia="宋体" w:cs="Times New Roman"/>
                <w:i w:val="0"/>
                <w:iCs w:val="0"/>
                <w:color w:val="000000"/>
                <w:kern w:val="0"/>
                <w:sz w:val="21"/>
                <w:szCs w:val="21"/>
                <w:u w:val="none"/>
                <w:lang w:val="en-US" w:eastAsia="zh-CN" w:bidi="ar"/>
              </w:rPr>
              <w:t>0.7m</w:t>
            </w:r>
            <w:r>
              <w:rPr>
                <w:rFonts w:hint="eastAsia" w:ascii="宋体" w:hAnsi="宋体" w:eastAsia="宋体" w:cs="宋体"/>
                <w:i w:val="0"/>
                <w:iCs w:val="0"/>
                <w:color w:val="000000"/>
                <w:kern w:val="0"/>
                <w:sz w:val="21"/>
                <w:szCs w:val="21"/>
                <w:u w:val="none"/>
                <w:lang w:val="en-US" w:eastAsia="zh-CN" w:bidi="ar"/>
              </w:rPr>
              <w:t>）</w:t>
            </w:r>
          </w:p>
        </w:tc>
        <w:tc>
          <w:tcPr>
            <w:tcW w:w="1994" w:type="dxa"/>
            <w:shd w:val="clear" w:color="auto" w:fill="D9D9D9"/>
            <w:noWrap w:val="0"/>
            <w:vAlign w:val="center"/>
          </w:tcPr>
          <w:p w14:paraId="7A125B3D">
            <w:pPr>
              <w:keepNext w:val="0"/>
              <w:keepLines w:val="0"/>
              <w:widowControl/>
              <w:suppressLineNumbers w:val="0"/>
              <w:jc w:val="center"/>
              <w:textAlignment w:val="center"/>
              <w:rPr>
                <w:rFonts w:ascii="Times New Roman" w:hAnsi="Times New Roman" w:cs="Times New Roman"/>
                <w:bCs/>
                <w:sz w:val="21"/>
                <w:szCs w:val="21"/>
              </w:rPr>
            </w:pPr>
            <w:r>
              <w:rPr>
                <w:rFonts w:hint="default" w:ascii="Times New Roman" w:hAnsi="Times New Roman" w:eastAsia="宋体" w:cs="Times New Roman"/>
                <w:i w:val="0"/>
                <w:iCs w:val="0"/>
                <w:color w:val="000000"/>
                <w:kern w:val="0"/>
                <w:sz w:val="21"/>
                <w:szCs w:val="21"/>
                <w:u w:val="none"/>
                <w:lang w:val="en-US" w:eastAsia="zh-CN" w:bidi="ar"/>
              </w:rPr>
              <w:t>T2</w:t>
            </w:r>
            <w:r>
              <w:rPr>
                <w:rFonts w:hint="eastAsia" w:ascii="宋体" w:hAnsi="宋体" w:eastAsia="宋体" w:cs="宋体"/>
                <w:i w:val="0"/>
                <w:iCs w:val="0"/>
                <w:color w:val="000000"/>
                <w:kern w:val="0"/>
                <w:sz w:val="21"/>
                <w:szCs w:val="21"/>
                <w:u w:val="none"/>
                <w:lang w:val="en-US" w:eastAsia="zh-CN" w:bidi="ar"/>
              </w:rPr>
              <w:t>厂区内菜地（</w:t>
            </w:r>
            <w:r>
              <w:rPr>
                <w:rFonts w:hint="default" w:ascii="Times New Roman" w:hAnsi="Times New Roman" w:eastAsia="宋体" w:cs="Times New Roman"/>
                <w:i w:val="0"/>
                <w:iCs w:val="0"/>
                <w:color w:val="000000"/>
                <w:kern w:val="0"/>
                <w:sz w:val="21"/>
                <w:szCs w:val="21"/>
                <w:u w:val="none"/>
                <w:lang w:val="en-US" w:eastAsia="zh-CN" w:bidi="ar"/>
              </w:rPr>
              <w:t>1.6m</w:t>
            </w:r>
            <w:r>
              <w:rPr>
                <w:rFonts w:hint="eastAsia" w:ascii="宋体" w:hAnsi="宋体" w:eastAsia="宋体" w:cs="宋体"/>
                <w:i w:val="0"/>
                <w:iCs w:val="0"/>
                <w:color w:val="000000"/>
                <w:kern w:val="0"/>
                <w:sz w:val="21"/>
                <w:szCs w:val="21"/>
                <w:u w:val="none"/>
                <w:lang w:val="en-US" w:eastAsia="zh-CN" w:bidi="ar"/>
              </w:rPr>
              <w:t>）</w:t>
            </w:r>
          </w:p>
        </w:tc>
      </w:tr>
      <w:tr w14:paraId="6061329B">
        <w:tblPrEx>
          <w:tblBorders>
            <w:top w:val="thinThickSmallGap" w:color="auto" w:sz="12" w:space="0"/>
            <w:left w:val="none" w:color="auto" w:sz="0" w:space="0"/>
            <w:bottom w:val="thickThinSmallGap" w:color="auto" w:sz="12" w:space="0"/>
            <w:right w:val="none" w:color="auto" w:sz="0" w:space="0"/>
            <w:insideH w:val="single" w:color="auto" w:sz="4" w:space="0"/>
            <w:insideV w:val="single" w:color="000000" w:sz="4" w:space="0"/>
          </w:tblBorders>
          <w:tblCellMar>
            <w:top w:w="0" w:type="dxa"/>
            <w:left w:w="108" w:type="dxa"/>
            <w:bottom w:w="0" w:type="dxa"/>
            <w:right w:w="108" w:type="dxa"/>
          </w:tblCellMar>
        </w:tblPrEx>
        <w:trPr>
          <w:trHeight w:val="340" w:hRule="atLeast"/>
          <w:jc w:val="center"/>
        </w:trPr>
        <w:tc>
          <w:tcPr>
            <w:tcW w:w="643" w:type="dxa"/>
            <w:vMerge w:val="restart"/>
            <w:noWrap w:val="0"/>
            <w:vAlign w:val="center"/>
          </w:tcPr>
          <w:p w14:paraId="2CE5FAD2">
            <w:pPr>
              <w:jc w:val="center"/>
              <w:rPr>
                <w:rFonts w:ascii="Times New Roman" w:hAnsi="Times New Roman" w:cs="Times New Roman"/>
                <w:bCs/>
                <w:sz w:val="21"/>
                <w:szCs w:val="21"/>
              </w:rPr>
            </w:pPr>
            <w:r>
              <w:rPr>
                <w:rFonts w:hint="eastAsia" w:ascii="Times New Roman" w:hAnsi="Times New Roman" w:cs="Times New Roman"/>
                <w:bCs/>
                <w:sz w:val="21"/>
                <w:szCs w:val="21"/>
              </w:rPr>
              <w:t>2026.05.01</w:t>
            </w:r>
          </w:p>
        </w:tc>
        <w:tc>
          <w:tcPr>
            <w:tcW w:w="1442" w:type="dxa"/>
            <w:noWrap w:val="0"/>
            <w:vAlign w:val="center"/>
          </w:tcPr>
          <w:p w14:paraId="78295548">
            <w:pPr>
              <w:jc w:val="center"/>
              <w:rPr>
                <w:rFonts w:ascii="Times New Roman" w:hAnsi="Times New Roman" w:cs="Times New Roman"/>
                <w:bCs/>
                <w:sz w:val="21"/>
                <w:szCs w:val="21"/>
              </w:rPr>
            </w:pPr>
            <w:r>
              <w:rPr>
                <w:rFonts w:hint="eastAsia" w:ascii="Times New Roman" w:hAnsi="Times New Roman" w:cs="Times New Roman"/>
                <w:bCs/>
                <w:sz w:val="21"/>
                <w:szCs w:val="21"/>
                <w:lang w:val="en-US" w:eastAsia="zh-CN"/>
              </w:rPr>
              <w:t>PH</w:t>
            </w:r>
          </w:p>
        </w:tc>
        <w:tc>
          <w:tcPr>
            <w:tcW w:w="1004" w:type="dxa"/>
            <w:noWrap w:val="0"/>
            <w:vAlign w:val="center"/>
          </w:tcPr>
          <w:p w14:paraId="65C64667">
            <w:pPr>
              <w:jc w:val="center"/>
              <w:rPr>
                <w:rFonts w:ascii="Times New Roman" w:hAnsi="Times New Roman" w:cs="Times New Roman"/>
                <w:bCs/>
                <w:sz w:val="21"/>
                <w:szCs w:val="21"/>
              </w:rPr>
            </w:pPr>
            <w:r>
              <w:rPr>
                <w:rFonts w:ascii="Times New Roman" w:hAnsi="Times New Roman" w:cs="Times New Roman"/>
                <w:bCs/>
                <w:sz w:val="21"/>
                <w:szCs w:val="21"/>
              </w:rPr>
              <w:t>无量纲</w:t>
            </w:r>
          </w:p>
        </w:tc>
        <w:tc>
          <w:tcPr>
            <w:tcW w:w="1994" w:type="dxa"/>
            <w:noWrap w:val="0"/>
            <w:vAlign w:val="center"/>
          </w:tcPr>
          <w:p w14:paraId="1FBB20E4">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7.1</w:t>
            </w:r>
          </w:p>
        </w:tc>
        <w:tc>
          <w:tcPr>
            <w:tcW w:w="1994" w:type="dxa"/>
            <w:noWrap w:val="0"/>
            <w:vAlign w:val="center"/>
          </w:tcPr>
          <w:p w14:paraId="142BF449">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7.2</w:t>
            </w:r>
          </w:p>
        </w:tc>
        <w:tc>
          <w:tcPr>
            <w:tcW w:w="1994" w:type="dxa"/>
            <w:noWrap w:val="0"/>
            <w:vAlign w:val="center"/>
          </w:tcPr>
          <w:p w14:paraId="013FFB9A">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7.3</w:t>
            </w:r>
          </w:p>
        </w:tc>
      </w:tr>
      <w:tr w14:paraId="0E01947A">
        <w:tblPrEx>
          <w:tblBorders>
            <w:top w:val="thinThickSmallGap" w:color="auto" w:sz="12" w:space="0"/>
            <w:left w:val="none" w:color="auto" w:sz="0" w:space="0"/>
            <w:bottom w:val="thickThinSmallGap" w:color="auto" w:sz="12" w:space="0"/>
            <w:right w:val="none" w:color="auto" w:sz="0" w:space="0"/>
            <w:insideH w:val="single" w:color="auto" w:sz="4" w:space="0"/>
            <w:insideV w:val="single" w:color="000000" w:sz="4" w:space="0"/>
          </w:tblBorders>
          <w:tblCellMar>
            <w:top w:w="0" w:type="dxa"/>
            <w:left w:w="108" w:type="dxa"/>
            <w:bottom w:w="0" w:type="dxa"/>
            <w:right w:w="108" w:type="dxa"/>
          </w:tblCellMar>
        </w:tblPrEx>
        <w:trPr>
          <w:trHeight w:val="340" w:hRule="atLeast"/>
          <w:jc w:val="center"/>
        </w:trPr>
        <w:tc>
          <w:tcPr>
            <w:tcW w:w="643" w:type="dxa"/>
            <w:vMerge w:val="continue"/>
            <w:noWrap w:val="0"/>
            <w:vAlign w:val="center"/>
          </w:tcPr>
          <w:p w14:paraId="53EB4C0D">
            <w:pPr>
              <w:jc w:val="center"/>
              <w:rPr>
                <w:rFonts w:ascii="Times New Roman" w:hAnsi="Times New Roman" w:cs="Times New Roman"/>
                <w:bCs/>
                <w:sz w:val="21"/>
                <w:szCs w:val="21"/>
              </w:rPr>
            </w:pPr>
          </w:p>
        </w:tc>
        <w:tc>
          <w:tcPr>
            <w:tcW w:w="1442" w:type="dxa"/>
            <w:noWrap w:val="0"/>
            <w:vAlign w:val="center"/>
          </w:tcPr>
          <w:p w14:paraId="50321C14">
            <w:pPr>
              <w:jc w:val="center"/>
              <w:rPr>
                <w:rFonts w:ascii="Times New Roman" w:hAnsi="Times New Roman" w:cs="Times New Roman"/>
                <w:bCs/>
                <w:sz w:val="21"/>
                <w:szCs w:val="21"/>
              </w:rPr>
            </w:pPr>
            <w:r>
              <w:rPr>
                <w:rFonts w:ascii="Times New Roman" w:hAnsi="Times New Roman" w:cs="Times New Roman"/>
                <w:bCs/>
                <w:sz w:val="21"/>
                <w:szCs w:val="21"/>
              </w:rPr>
              <w:t>镍</w:t>
            </w:r>
          </w:p>
        </w:tc>
        <w:tc>
          <w:tcPr>
            <w:tcW w:w="1004" w:type="dxa"/>
            <w:noWrap w:val="0"/>
            <w:vAlign w:val="center"/>
          </w:tcPr>
          <w:p w14:paraId="18B77A93">
            <w:pPr>
              <w:jc w:val="center"/>
              <w:rPr>
                <w:rFonts w:ascii="Times New Roman" w:hAnsi="Times New Roman" w:cs="Times New Roman"/>
                <w:bCs/>
                <w:sz w:val="21"/>
                <w:szCs w:val="21"/>
              </w:rPr>
            </w:pPr>
            <w:r>
              <w:rPr>
                <w:rFonts w:ascii="Times New Roman" w:hAnsi="Times New Roman" w:cs="Times New Roman"/>
                <w:bCs/>
                <w:sz w:val="21"/>
                <w:szCs w:val="21"/>
              </w:rPr>
              <w:t>mg/kg</w:t>
            </w:r>
          </w:p>
        </w:tc>
        <w:tc>
          <w:tcPr>
            <w:tcW w:w="1994" w:type="dxa"/>
            <w:noWrap w:val="0"/>
            <w:vAlign w:val="center"/>
          </w:tcPr>
          <w:p w14:paraId="0BA8B20F">
            <w:pPr>
              <w:keepNext w:val="0"/>
              <w:keepLines w:val="0"/>
              <w:widowControl/>
              <w:suppressLineNumbers w:val="0"/>
              <w:jc w:val="center"/>
              <w:textAlignment w:val="center"/>
              <w:rPr>
                <w:rFonts w:ascii="Times New Roman" w:hAnsi="Times New Roman" w:cs="Times New Roman"/>
                <w:bCs/>
                <w:sz w:val="21"/>
                <w:szCs w:val="21"/>
                <w:lang w:bidi="ar"/>
              </w:rPr>
            </w:pPr>
            <w:r>
              <w:rPr>
                <w:rFonts w:hint="default" w:ascii="Times New Roman" w:hAnsi="Times New Roman" w:eastAsia="宋体" w:cs="Times New Roman"/>
                <w:i w:val="0"/>
                <w:iCs w:val="0"/>
                <w:color w:val="000000"/>
                <w:kern w:val="0"/>
                <w:sz w:val="21"/>
                <w:szCs w:val="21"/>
                <w:u w:val="none"/>
                <w:lang w:val="en-US" w:eastAsia="zh-CN" w:bidi="ar"/>
              </w:rPr>
              <w:t>26</w:t>
            </w:r>
          </w:p>
        </w:tc>
        <w:tc>
          <w:tcPr>
            <w:tcW w:w="1994" w:type="dxa"/>
            <w:noWrap w:val="0"/>
            <w:vAlign w:val="center"/>
          </w:tcPr>
          <w:p w14:paraId="249AB3F8">
            <w:pPr>
              <w:keepNext w:val="0"/>
              <w:keepLines w:val="0"/>
              <w:widowControl/>
              <w:suppressLineNumbers w:val="0"/>
              <w:jc w:val="center"/>
              <w:textAlignment w:val="center"/>
              <w:rPr>
                <w:rFonts w:ascii="Times New Roman" w:hAnsi="Times New Roman" w:cs="Times New Roman"/>
                <w:bCs/>
                <w:sz w:val="21"/>
                <w:szCs w:val="21"/>
                <w:lang w:bidi="ar"/>
              </w:rPr>
            </w:pPr>
            <w:r>
              <w:rPr>
                <w:rFonts w:hint="default" w:ascii="Times New Roman" w:hAnsi="Times New Roman" w:eastAsia="宋体" w:cs="Times New Roman"/>
                <w:i w:val="0"/>
                <w:iCs w:val="0"/>
                <w:color w:val="000000"/>
                <w:kern w:val="0"/>
                <w:sz w:val="21"/>
                <w:szCs w:val="21"/>
                <w:u w:val="none"/>
                <w:lang w:val="en-US" w:eastAsia="zh-CN" w:bidi="ar"/>
              </w:rPr>
              <w:t>18</w:t>
            </w:r>
          </w:p>
        </w:tc>
        <w:tc>
          <w:tcPr>
            <w:tcW w:w="1994" w:type="dxa"/>
            <w:noWrap w:val="0"/>
            <w:vAlign w:val="center"/>
          </w:tcPr>
          <w:p w14:paraId="3B46588E">
            <w:pPr>
              <w:keepNext w:val="0"/>
              <w:keepLines w:val="0"/>
              <w:widowControl/>
              <w:suppressLineNumbers w:val="0"/>
              <w:jc w:val="center"/>
              <w:textAlignment w:val="center"/>
              <w:rPr>
                <w:rFonts w:ascii="Times New Roman" w:hAnsi="Times New Roman" w:cs="Times New Roman"/>
                <w:bCs/>
                <w:sz w:val="21"/>
                <w:szCs w:val="21"/>
                <w:lang w:bidi="ar"/>
              </w:rPr>
            </w:pPr>
            <w:r>
              <w:rPr>
                <w:rFonts w:hint="default" w:ascii="Times New Roman" w:hAnsi="Times New Roman" w:eastAsia="宋体" w:cs="Times New Roman"/>
                <w:i w:val="0"/>
                <w:iCs w:val="0"/>
                <w:color w:val="000000"/>
                <w:kern w:val="0"/>
                <w:sz w:val="21"/>
                <w:szCs w:val="21"/>
                <w:u w:val="none"/>
                <w:lang w:val="en-US" w:eastAsia="zh-CN" w:bidi="ar"/>
              </w:rPr>
              <w:t>10</w:t>
            </w:r>
          </w:p>
        </w:tc>
      </w:tr>
      <w:tr w14:paraId="6C8FB535">
        <w:tblPrEx>
          <w:tblBorders>
            <w:top w:val="thinThickSmallGap" w:color="auto" w:sz="12" w:space="0"/>
            <w:left w:val="none" w:color="auto" w:sz="0" w:space="0"/>
            <w:bottom w:val="thickThinSmallGap" w:color="auto" w:sz="12" w:space="0"/>
            <w:right w:val="none" w:color="auto" w:sz="0" w:space="0"/>
            <w:insideH w:val="single" w:color="auto" w:sz="4" w:space="0"/>
            <w:insideV w:val="single" w:color="000000" w:sz="4" w:space="0"/>
          </w:tblBorders>
          <w:tblCellMar>
            <w:top w:w="0" w:type="dxa"/>
            <w:left w:w="108" w:type="dxa"/>
            <w:bottom w:w="0" w:type="dxa"/>
            <w:right w:w="108" w:type="dxa"/>
          </w:tblCellMar>
        </w:tblPrEx>
        <w:trPr>
          <w:trHeight w:val="340" w:hRule="atLeast"/>
          <w:jc w:val="center"/>
        </w:trPr>
        <w:tc>
          <w:tcPr>
            <w:tcW w:w="643" w:type="dxa"/>
            <w:vMerge w:val="continue"/>
            <w:noWrap w:val="0"/>
            <w:vAlign w:val="center"/>
          </w:tcPr>
          <w:p w14:paraId="7BA56C88">
            <w:pPr>
              <w:jc w:val="center"/>
              <w:rPr>
                <w:rFonts w:ascii="Times New Roman" w:hAnsi="Times New Roman" w:cs="Times New Roman"/>
                <w:bCs/>
                <w:sz w:val="21"/>
                <w:szCs w:val="21"/>
              </w:rPr>
            </w:pPr>
          </w:p>
        </w:tc>
        <w:tc>
          <w:tcPr>
            <w:tcW w:w="1442" w:type="dxa"/>
            <w:noWrap w:val="0"/>
            <w:vAlign w:val="center"/>
          </w:tcPr>
          <w:p w14:paraId="694ECF11">
            <w:pPr>
              <w:jc w:val="center"/>
              <w:rPr>
                <w:rFonts w:ascii="Times New Roman" w:hAnsi="Times New Roman" w:cs="Times New Roman"/>
                <w:bCs/>
                <w:sz w:val="21"/>
                <w:szCs w:val="21"/>
              </w:rPr>
            </w:pPr>
            <w:r>
              <w:rPr>
                <w:rFonts w:ascii="Times New Roman" w:hAnsi="Times New Roman" w:cs="Times New Roman"/>
                <w:bCs/>
                <w:sz w:val="21"/>
                <w:szCs w:val="21"/>
              </w:rPr>
              <w:t>铅</w:t>
            </w:r>
          </w:p>
        </w:tc>
        <w:tc>
          <w:tcPr>
            <w:tcW w:w="1004" w:type="dxa"/>
            <w:noWrap w:val="0"/>
            <w:vAlign w:val="center"/>
          </w:tcPr>
          <w:p w14:paraId="7E46E969">
            <w:pPr>
              <w:jc w:val="center"/>
              <w:rPr>
                <w:rFonts w:ascii="Times New Roman" w:hAnsi="Times New Roman" w:cs="Times New Roman"/>
                <w:bCs/>
                <w:sz w:val="21"/>
                <w:szCs w:val="21"/>
              </w:rPr>
            </w:pPr>
            <w:r>
              <w:rPr>
                <w:rFonts w:ascii="Times New Roman" w:hAnsi="Times New Roman" w:cs="Times New Roman"/>
                <w:bCs/>
                <w:sz w:val="21"/>
                <w:szCs w:val="21"/>
              </w:rPr>
              <w:t>mg/kg</w:t>
            </w:r>
          </w:p>
        </w:tc>
        <w:tc>
          <w:tcPr>
            <w:tcW w:w="1994" w:type="dxa"/>
            <w:noWrap w:val="0"/>
            <w:vAlign w:val="center"/>
          </w:tcPr>
          <w:p w14:paraId="429C46CE">
            <w:pPr>
              <w:keepNext w:val="0"/>
              <w:keepLines w:val="0"/>
              <w:widowControl/>
              <w:suppressLineNumbers w:val="0"/>
              <w:jc w:val="center"/>
              <w:textAlignment w:val="center"/>
              <w:rPr>
                <w:rFonts w:ascii="Times New Roman" w:hAnsi="Times New Roman" w:cs="Times New Roman"/>
                <w:bCs/>
                <w:sz w:val="21"/>
                <w:szCs w:val="21"/>
                <w:lang w:bidi="ar"/>
              </w:rPr>
            </w:pPr>
            <w:r>
              <w:rPr>
                <w:rFonts w:hint="default" w:ascii="Times New Roman" w:hAnsi="Times New Roman" w:eastAsia="宋体" w:cs="Times New Roman"/>
                <w:i w:val="0"/>
                <w:iCs w:val="0"/>
                <w:color w:val="000000"/>
                <w:kern w:val="0"/>
                <w:sz w:val="21"/>
                <w:szCs w:val="21"/>
                <w:u w:val="none"/>
                <w:lang w:val="en-US" w:eastAsia="zh-CN" w:bidi="ar"/>
              </w:rPr>
              <w:t>82</w:t>
            </w:r>
          </w:p>
        </w:tc>
        <w:tc>
          <w:tcPr>
            <w:tcW w:w="1994" w:type="dxa"/>
            <w:noWrap w:val="0"/>
            <w:vAlign w:val="center"/>
          </w:tcPr>
          <w:p w14:paraId="605FC010">
            <w:pPr>
              <w:keepNext w:val="0"/>
              <w:keepLines w:val="0"/>
              <w:widowControl/>
              <w:suppressLineNumbers w:val="0"/>
              <w:jc w:val="center"/>
              <w:textAlignment w:val="center"/>
              <w:rPr>
                <w:rFonts w:ascii="Times New Roman" w:hAnsi="Times New Roman" w:cs="Times New Roman"/>
                <w:bCs/>
                <w:sz w:val="21"/>
                <w:szCs w:val="21"/>
                <w:lang w:bidi="ar"/>
              </w:rPr>
            </w:pPr>
            <w:r>
              <w:rPr>
                <w:rFonts w:hint="default" w:ascii="Times New Roman" w:hAnsi="Times New Roman" w:eastAsia="宋体" w:cs="Times New Roman"/>
                <w:i w:val="0"/>
                <w:iCs w:val="0"/>
                <w:color w:val="000000"/>
                <w:kern w:val="0"/>
                <w:sz w:val="21"/>
                <w:szCs w:val="21"/>
                <w:u w:val="none"/>
                <w:lang w:val="en-US" w:eastAsia="zh-CN" w:bidi="ar"/>
              </w:rPr>
              <w:t>46</w:t>
            </w:r>
          </w:p>
        </w:tc>
        <w:tc>
          <w:tcPr>
            <w:tcW w:w="1994" w:type="dxa"/>
            <w:noWrap w:val="0"/>
            <w:vAlign w:val="center"/>
          </w:tcPr>
          <w:p w14:paraId="4096561D">
            <w:pPr>
              <w:keepNext w:val="0"/>
              <w:keepLines w:val="0"/>
              <w:widowControl/>
              <w:suppressLineNumbers w:val="0"/>
              <w:jc w:val="center"/>
              <w:textAlignment w:val="center"/>
              <w:rPr>
                <w:rFonts w:ascii="Times New Roman" w:hAnsi="Times New Roman" w:cs="Times New Roman"/>
                <w:bCs/>
                <w:sz w:val="21"/>
                <w:szCs w:val="21"/>
                <w:lang w:bidi="ar"/>
              </w:rPr>
            </w:pPr>
            <w:r>
              <w:rPr>
                <w:rFonts w:hint="default" w:ascii="Times New Roman" w:hAnsi="Times New Roman" w:eastAsia="宋体" w:cs="Times New Roman"/>
                <w:i w:val="0"/>
                <w:iCs w:val="0"/>
                <w:color w:val="000000"/>
                <w:kern w:val="0"/>
                <w:sz w:val="21"/>
                <w:szCs w:val="21"/>
                <w:u w:val="none"/>
                <w:lang w:val="en-US" w:eastAsia="zh-CN" w:bidi="ar"/>
              </w:rPr>
              <w:t>33</w:t>
            </w:r>
          </w:p>
        </w:tc>
      </w:tr>
      <w:tr w14:paraId="668DB290">
        <w:tblPrEx>
          <w:tblBorders>
            <w:top w:val="thinThickSmallGap" w:color="auto" w:sz="12" w:space="0"/>
            <w:left w:val="none" w:color="auto" w:sz="0" w:space="0"/>
            <w:bottom w:val="thickThinSmallGap" w:color="auto" w:sz="12" w:space="0"/>
            <w:right w:val="none" w:color="auto" w:sz="0" w:space="0"/>
            <w:insideH w:val="single" w:color="auto" w:sz="4" w:space="0"/>
            <w:insideV w:val="single" w:color="000000" w:sz="4" w:space="0"/>
          </w:tblBorders>
          <w:tblCellMar>
            <w:top w:w="0" w:type="dxa"/>
            <w:left w:w="108" w:type="dxa"/>
            <w:bottom w:w="0" w:type="dxa"/>
            <w:right w:w="108" w:type="dxa"/>
          </w:tblCellMar>
        </w:tblPrEx>
        <w:trPr>
          <w:trHeight w:val="340" w:hRule="atLeast"/>
          <w:jc w:val="center"/>
        </w:trPr>
        <w:tc>
          <w:tcPr>
            <w:tcW w:w="643" w:type="dxa"/>
            <w:vMerge w:val="continue"/>
            <w:noWrap w:val="0"/>
            <w:vAlign w:val="center"/>
          </w:tcPr>
          <w:p w14:paraId="7169A82D">
            <w:pPr>
              <w:jc w:val="center"/>
              <w:rPr>
                <w:rFonts w:ascii="Times New Roman" w:hAnsi="Times New Roman" w:cs="Times New Roman"/>
                <w:bCs/>
                <w:sz w:val="21"/>
                <w:szCs w:val="21"/>
              </w:rPr>
            </w:pPr>
          </w:p>
        </w:tc>
        <w:tc>
          <w:tcPr>
            <w:tcW w:w="1442" w:type="dxa"/>
            <w:noWrap w:val="0"/>
            <w:vAlign w:val="center"/>
          </w:tcPr>
          <w:p w14:paraId="62924027">
            <w:pPr>
              <w:jc w:val="center"/>
              <w:rPr>
                <w:rFonts w:ascii="Times New Roman" w:hAnsi="Times New Roman" w:cs="Times New Roman"/>
                <w:bCs/>
                <w:sz w:val="21"/>
                <w:szCs w:val="21"/>
              </w:rPr>
            </w:pPr>
            <w:r>
              <w:rPr>
                <w:rFonts w:ascii="Times New Roman" w:hAnsi="Times New Roman" w:cs="Times New Roman"/>
                <w:bCs/>
                <w:sz w:val="21"/>
                <w:szCs w:val="21"/>
              </w:rPr>
              <w:t>铜</w:t>
            </w:r>
          </w:p>
        </w:tc>
        <w:tc>
          <w:tcPr>
            <w:tcW w:w="1004" w:type="dxa"/>
            <w:noWrap w:val="0"/>
            <w:vAlign w:val="center"/>
          </w:tcPr>
          <w:p w14:paraId="717656E6">
            <w:pPr>
              <w:jc w:val="center"/>
              <w:rPr>
                <w:rFonts w:ascii="Times New Roman" w:hAnsi="Times New Roman" w:cs="Times New Roman"/>
                <w:bCs/>
                <w:sz w:val="21"/>
                <w:szCs w:val="21"/>
              </w:rPr>
            </w:pPr>
            <w:r>
              <w:rPr>
                <w:rFonts w:ascii="Times New Roman" w:hAnsi="Times New Roman" w:cs="Times New Roman"/>
                <w:bCs/>
                <w:sz w:val="21"/>
                <w:szCs w:val="21"/>
              </w:rPr>
              <w:t>mg/kg</w:t>
            </w:r>
          </w:p>
        </w:tc>
        <w:tc>
          <w:tcPr>
            <w:tcW w:w="1994" w:type="dxa"/>
            <w:noWrap w:val="0"/>
            <w:vAlign w:val="center"/>
          </w:tcPr>
          <w:p w14:paraId="664F3B00">
            <w:pPr>
              <w:keepNext w:val="0"/>
              <w:keepLines w:val="0"/>
              <w:widowControl/>
              <w:suppressLineNumbers w:val="0"/>
              <w:jc w:val="center"/>
              <w:textAlignment w:val="center"/>
              <w:rPr>
                <w:rFonts w:ascii="Times New Roman" w:hAnsi="Times New Roman" w:cs="Times New Roman"/>
                <w:bCs/>
                <w:sz w:val="21"/>
                <w:szCs w:val="21"/>
                <w:lang w:bidi="ar"/>
              </w:rPr>
            </w:pPr>
            <w:r>
              <w:rPr>
                <w:rFonts w:hint="default" w:ascii="Times New Roman" w:hAnsi="Times New Roman" w:eastAsia="宋体" w:cs="Times New Roman"/>
                <w:i w:val="0"/>
                <w:iCs w:val="0"/>
                <w:color w:val="000000"/>
                <w:kern w:val="0"/>
                <w:sz w:val="21"/>
                <w:szCs w:val="21"/>
                <w:u w:val="none"/>
                <w:lang w:val="en-US" w:eastAsia="zh-CN" w:bidi="ar"/>
              </w:rPr>
              <w:t>49</w:t>
            </w:r>
          </w:p>
        </w:tc>
        <w:tc>
          <w:tcPr>
            <w:tcW w:w="1994" w:type="dxa"/>
            <w:noWrap w:val="0"/>
            <w:vAlign w:val="center"/>
          </w:tcPr>
          <w:p w14:paraId="263D69DE">
            <w:pPr>
              <w:keepNext w:val="0"/>
              <w:keepLines w:val="0"/>
              <w:widowControl/>
              <w:suppressLineNumbers w:val="0"/>
              <w:jc w:val="center"/>
              <w:textAlignment w:val="center"/>
              <w:rPr>
                <w:rFonts w:ascii="Times New Roman" w:hAnsi="Times New Roman" w:cs="Times New Roman"/>
                <w:bCs/>
                <w:sz w:val="21"/>
                <w:szCs w:val="21"/>
                <w:lang w:bidi="ar"/>
              </w:rPr>
            </w:pPr>
            <w:r>
              <w:rPr>
                <w:rFonts w:hint="default" w:ascii="Times New Roman" w:hAnsi="Times New Roman" w:eastAsia="宋体" w:cs="Times New Roman"/>
                <w:i w:val="0"/>
                <w:iCs w:val="0"/>
                <w:color w:val="000000"/>
                <w:kern w:val="0"/>
                <w:sz w:val="21"/>
                <w:szCs w:val="21"/>
                <w:u w:val="none"/>
                <w:lang w:val="en-US" w:eastAsia="zh-CN" w:bidi="ar"/>
              </w:rPr>
              <w:t>38</w:t>
            </w:r>
          </w:p>
        </w:tc>
        <w:tc>
          <w:tcPr>
            <w:tcW w:w="1994" w:type="dxa"/>
            <w:noWrap w:val="0"/>
            <w:vAlign w:val="center"/>
          </w:tcPr>
          <w:p w14:paraId="62C109D4">
            <w:pPr>
              <w:keepNext w:val="0"/>
              <w:keepLines w:val="0"/>
              <w:widowControl/>
              <w:suppressLineNumbers w:val="0"/>
              <w:jc w:val="center"/>
              <w:textAlignment w:val="center"/>
              <w:rPr>
                <w:rFonts w:ascii="Times New Roman" w:hAnsi="Times New Roman" w:cs="Times New Roman"/>
                <w:bCs/>
                <w:sz w:val="21"/>
                <w:szCs w:val="21"/>
                <w:lang w:bidi="ar"/>
              </w:rPr>
            </w:pPr>
            <w:r>
              <w:rPr>
                <w:rFonts w:hint="default" w:ascii="Times New Roman" w:hAnsi="Times New Roman" w:eastAsia="宋体" w:cs="Times New Roman"/>
                <w:i w:val="0"/>
                <w:iCs w:val="0"/>
                <w:color w:val="000000"/>
                <w:kern w:val="0"/>
                <w:sz w:val="21"/>
                <w:szCs w:val="21"/>
                <w:u w:val="none"/>
                <w:lang w:val="en-US" w:eastAsia="zh-CN" w:bidi="ar"/>
              </w:rPr>
              <w:t>13</w:t>
            </w:r>
          </w:p>
        </w:tc>
      </w:tr>
      <w:tr w14:paraId="5AC02E63">
        <w:tblPrEx>
          <w:tblBorders>
            <w:top w:val="thinThickSmallGap" w:color="auto" w:sz="12" w:space="0"/>
            <w:left w:val="none" w:color="auto" w:sz="0" w:space="0"/>
            <w:bottom w:val="thickThinSmallGap" w:color="auto" w:sz="12" w:space="0"/>
            <w:right w:val="none" w:color="auto" w:sz="0" w:space="0"/>
            <w:insideH w:val="single" w:color="auto" w:sz="4" w:space="0"/>
            <w:insideV w:val="single" w:color="000000" w:sz="4" w:space="0"/>
          </w:tblBorders>
          <w:tblCellMar>
            <w:top w:w="0" w:type="dxa"/>
            <w:left w:w="108" w:type="dxa"/>
            <w:bottom w:w="0" w:type="dxa"/>
            <w:right w:w="108" w:type="dxa"/>
          </w:tblCellMar>
        </w:tblPrEx>
        <w:trPr>
          <w:trHeight w:val="340" w:hRule="atLeast"/>
          <w:jc w:val="center"/>
        </w:trPr>
        <w:tc>
          <w:tcPr>
            <w:tcW w:w="643" w:type="dxa"/>
            <w:vMerge w:val="continue"/>
            <w:noWrap w:val="0"/>
            <w:vAlign w:val="center"/>
          </w:tcPr>
          <w:p w14:paraId="608207A4">
            <w:pPr>
              <w:jc w:val="center"/>
              <w:rPr>
                <w:rFonts w:ascii="Times New Roman" w:hAnsi="Times New Roman" w:cs="Times New Roman"/>
                <w:bCs/>
                <w:sz w:val="21"/>
                <w:szCs w:val="21"/>
              </w:rPr>
            </w:pPr>
          </w:p>
        </w:tc>
        <w:tc>
          <w:tcPr>
            <w:tcW w:w="1442" w:type="dxa"/>
            <w:noWrap w:val="0"/>
            <w:vAlign w:val="center"/>
          </w:tcPr>
          <w:p w14:paraId="2B445199">
            <w:pPr>
              <w:jc w:val="center"/>
              <w:rPr>
                <w:rFonts w:ascii="Times New Roman" w:hAnsi="Times New Roman" w:cs="Times New Roman"/>
                <w:bCs/>
                <w:sz w:val="21"/>
                <w:szCs w:val="21"/>
              </w:rPr>
            </w:pPr>
            <w:r>
              <w:rPr>
                <w:rFonts w:ascii="Times New Roman" w:hAnsi="Times New Roman" w:cs="Times New Roman"/>
                <w:bCs/>
                <w:sz w:val="21"/>
                <w:szCs w:val="21"/>
              </w:rPr>
              <w:t>汞</w:t>
            </w:r>
          </w:p>
        </w:tc>
        <w:tc>
          <w:tcPr>
            <w:tcW w:w="1004" w:type="dxa"/>
            <w:noWrap w:val="0"/>
            <w:vAlign w:val="center"/>
          </w:tcPr>
          <w:p w14:paraId="288F5598">
            <w:pPr>
              <w:jc w:val="center"/>
              <w:rPr>
                <w:rFonts w:ascii="Times New Roman" w:hAnsi="Times New Roman" w:cs="Times New Roman"/>
                <w:bCs/>
                <w:sz w:val="21"/>
                <w:szCs w:val="21"/>
              </w:rPr>
            </w:pPr>
            <w:r>
              <w:rPr>
                <w:rFonts w:ascii="Times New Roman" w:hAnsi="Times New Roman" w:cs="Times New Roman"/>
                <w:bCs/>
                <w:sz w:val="21"/>
                <w:szCs w:val="21"/>
              </w:rPr>
              <w:t>mg/kg</w:t>
            </w:r>
          </w:p>
        </w:tc>
        <w:tc>
          <w:tcPr>
            <w:tcW w:w="1994" w:type="dxa"/>
            <w:noWrap w:val="0"/>
            <w:vAlign w:val="center"/>
          </w:tcPr>
          <w:p w14:paraId="6172F550">
            <w:pPr>
              <w:keepNext w:val="0"/>
              <w:keepLines w:val="0"/>
              <w:widowControl/>
              <w:suppressLineNumbers w:val="0"/>
              <w:jc w:val="center"/>
              <w:textAlignment w:val="center"/>
              <w:rPr>
                <w:rFonts w:ascii="Times New Roman" w:hAnsi="Times New Roman" w:cs="Times New Roman"/>
                <w:bCs/>
                <w:sz w:val="21"/>
                <w:szCs w:val="21"/>
                <w:lang w:bidi="ar"/>
              </w:rPr>
            </w:pPr>
            <w:r>
              <w:rPr>
                <w:rFonts w:hint="default" w:ascii="Times New Roman" w:hAnsi="Times New Roman" w:eastAsia="宋体" w:cs="Times New Roman"/>
                <w:i w:val="0"/>
                <w:iCs w:val="0"/>
                <w:color w:val="000000"/>
                <w:kern w:val="0"/>
                <w:sz w:val="21"/>
                <w:szCs w:val="21"/>
                <w:u w:val="none"/>
                <w:lang w:val="en-US" w:eastAsia="zh-CN" w:bidi="ar"/>
              </w:rPr>
              <w:t>0.445</w:t>
            </w:r>
          </w:p>
        </w:tc>
        <w:tc>
          <w:tcPr>
            <w:tcW w:w="1994" w:type="dxa"/>
            <w:noWrap w:val="0"/>
            <w:vAlign w:val="center"/>
          </w:tcPr>
          <w:p w14:paraId="77F575BC">
            <w:pPr>
              <w:keepNext w:val="0"/>
              <w:keepLines w:val="0"/>
              <w:widowControl/>
              <w:suppressLineNumbers w:val="0"/>
              <w:jc w:val="center"/>
              <w:textAlignment w:val="center"/>
              <w:rPr>
                <w:rFonts w:ascii="Times New Roman" w:hAnsi="Times New Roman" w:cs="Times New Roman"/>
                <w:bCs/>
                <w:sz w:val="21"/>
                <w:szCs w:val="21"/>
                <w:lang w:bidi="ar"/>
              </w:rPr>
            </w:pPr>
            <w:r>
              <w:rPr>
                <w:rFonts w:hint="default" w:ascii="Times New Roman" w:hAnsi="Times New Roman" w:eastAsia="宋体" w:cs="Times New Roman"/>
                <w:i w:val="0"/>
                <w:iCs w:val="0"/>
                <w:color w:val="000000"/>
                <w:kern w:val="0"/>
                <w:sz w:val="21"/>
                <w:szCs w:val="21"/>
                <w:u w:val="none"/>
                <w:lang w:val="en-US" w:eastAsia="zh-CN" w:bidi="ar"/>
              </w:rPr>
              <w:t>0.415</w:t>
            </w:r>
          </w:p>
        </w:tc>
        <w:tc>
          <w:tcPr>
            <w:tcW w:w="1994" w:type="dxa"/>
            <w:noWrap w:val="0"/>
            <w:vAlign w:val="center"/>
          </w:tcPr>
          <w:p w14:paraId="6C5F6528">
            <w:pPr>
              <w:keepNext w:val="0"/>
              <w:keepLines w:val="0"/>
              <w:widowControl/>
              <w:suppressLineNumbers w:val="0"/>
              <w:jc w:val="center"/>
              <w:textAlignment w:val="center"/>
              <w:rPr>
                <w:rFonts w:ascii="Times New Roman" w:hAnsi="Times New Roman" w:cs="Times New Roman"/>
                <w:bCs/>
                <w:sz w:val="21"/>
                <w:szCs w:val="21"/>
                <w:lang w:bidi="ar"/>
              </w:rPr>
            </w:pPr>
            <w:r>
              <w:rPr>
                <w:rFonts w:hint="default" w:ascii="Times New Roman" w:hAnsi="Times New Roman" w:eastAsia="宋体" w:cs="Times New Roman"/>
                <w:i w:val="0"/>
                <w:iCs w:val="0"/>
                <w:color w:val="000000"/>
                <w:kern w:val="0"/>
                <w:sz w:val="21"/>
                <w:szCs w:val="21"/>
                <w:u w:val="none"/>
                <w:lang w:val="en-US" w:eastAsia="zh-CN" w:bidi="ar"/>
              </w:rPr>
              <w:t>0.391</w:t>
            </w:r>
          </w:p>
        </w:tc>
      </w:tr>
      <w:tr w14:paraId="0128F74B">
        <w:tblPrEx>
          <w:tblBorders>
            <w:top w:val="thinThickSmallGap" w:color="auto" w:sz="12" w:space="0"/>
            <w:left w:val="none" w:color="auto" w:sz="0" w:space="0"/>
            <w:bottom w:val="thickThinSmallGap" w:color="auto" w:sz="12" w:space="0"/>
            <w:right w:val="none" w:color="auto" w:sz="0" w:space="0"/>
            <w:insideH w:val="single" w:color="auto" w:sz="4" w:space="0"/>
            <w:insideV w:val="single" w:color="000000" w:sz="4" w:space="0"/>
          </w:tblBorders>
          <w:tblCellMar>
            <w:top w:w="0" w:type="dxa"/>
            <w:left w:w="108" w:type="dxa"/>
            <w:bottom w:w="0" w:type="dxa"/>
            <w:right w:w="108" w:type="dxa"/>
          </w:tblCellMar>
        </w:tblPrEx>
        <w:trPr>
          <w:trHeight w:val="340" w:hRule="atLeast"/>
          <w:jc w:val="center"/>
        </w:trPr>
        <w:tc>
          <w:tcPr>
            <w:tcW w:w="643" w:type="dxa"/>
            <w:vMerge w:val="continue"/>
            <w:noWrap w:val="0"/>
            <w:vAlign w:val="center"/>
          </w:tcPr>
          <w:p w14:paraId="75C70233">
            <w:pPr>
              <w:jc w:val="center"/>
              <w:rPr>
                <w:rFonts w:ascii="Times New Roman" w:hAnsi="Times New Roman" w:cs="Times New Roman"/>
                <w:bCs/>
                <w:sz w:val="21"/>
                <w:szCs w:val="21"/>
              </w:rPr>
            </w:pPr>
          </w:p>
        </w:tc>
        <w:tc>
          <w:tcPr>
            <w:tcW w:w="1442" w:type="dxa"/>
            <w:noWrap w:val="0"/>
            <w:vAlign w:val="center"/>
          </w:tcPr>
          <w:p w14:paraId="38EE74C8">
            <w:pPr>
              <w:jc w:val="center"/>
              <w:rPr>
                <w:rFonts w:ascii="Times New Roman" w:hAnsi="Times New Roman" w:cs="Times New Roman"/>
                <w:bCs/>
                <w:sz w:val="21"/>
                <w:szCs w:val="21"/>
              </w:rPr>
            </w:pPr>
            <w:r>
              <w:rPr>
                <w:rFonts w:ascii="Times New Roman" w:hAnsi="Times New Roman" w:cs="Times New Roman"/>
                <w:bCs/>
                <w:sz w:val="21"/>
                <w:szCs w:val="21"/>
              </w:rPr>
              <w:t>镉</w:t>
            </w:r>
          </w:p>
        </w:tc>
        <w:tc>
          <w:tcPr>
            <w:tcW w:w="1004" w:type="dxa"/>
            <w:noWrap w:val="0"/>
            <w:vAlign w:val="center"/>
          </w:tcPr>
          <w:p w14:paraId="64A19E47">
            <w:pPr>
              <w:jc w:val="center"/>
              <w:rPr>
                <w:rFonts w:ascii="Times New Roman" w:hAnsi="Times New Roman" w:cs="Times New Roman"/>
                <w:bCs/>
                <w:sz w:val="21"/>
                <w:szCs w:val="21"/>
              </w:rPr>
            </w:pPr>
            <w:r>
              <w:rPr>
                <w:rFonts w:ascii="Times New Roman" w:hAnsi="Times New Roman" w:cs="Times New Roman"/>
                <w:bCs/>
                <w:sz w:val="21"/>
                <w:szCs w:val="21"/>
              </w:rPr>
              <w:t>mg/kg</w:t>
            </w:r>
          </w:p>
        </w:tc>
        <w:tc>
          <w:tcPr>
            <w:tcW w:w="1994" w:type="dxa"/>
            <w:noWrap w:val="0"/>
            <w:vAlign w:val="center"/>
          </w:tcPr>
          <w:p w14:paraId="48FB2F4D">
            <w:pPr>
              <w:keepNext w:val="0"/>
              <w:keepLines w:val="0"/>
              <w:widowControl/>
              <w:suppressLineNumbers w:val="0"/>
              <w:jc w:val="center"/>
              <w:textAlignment w:val="center"/>
              <w:rPr>
                <w:rFonts w:ascii="Times New Roman" w:hAnsi="Times New Roman" w:cs="Times New Roman"/>
                <w:bCs/>
                <w:sz w:val="21"/>
                <w:szCs w:val="21"/>
                <w:lang w:bidi="ar"/>
              </w:rPr>
            </w:pPr>
            <w:r>
              <w:rPr>
                <w:rFonts w:hint="default" w:ascii="Times New Roman" w:hAnsi="Times New Roman" w:eastAsia="宋体" w:cs="Times New Roman"/>
                <w:i w:val="0"/>
                <w:iCs w:val="0"/>
                <w:color w:val="000000"/>
                <w:kern w:val="0"/>
                <w:sz w:val="21"/>
                <w:szCs w:val="21"/>
                <w:u w:val="none"/>
                <w:lang w:val="en-US" w:eastAsia="zh-CN" w:bidi="ar"/>
              </w:rPr>
              <w:t>0.14</w:t>
            </w:r>
          </w:p>
        </w:tc>
        <w:tc>
          <w:tcPr>
            <w:tcW w:w="1994" w:type="dxa"/>
            <w:noWrap w:val="0"/>
            <w:vAlign w:val="center"/>
          </w:tcPr>
          <w:p w14:paraId="25D9EFA8">
            <w:pPr>
              <w:keepNext w:val="0"/>
              <w:keepLines w:val="0"/>
              <w:widowControl/>
              <w:suppressLineNumbers w:val="0"/>
              <w:jc w:val="center"/>
              <w:textAlignment w:val="center"/>
              <w:rPr>
                <w:rFonts w:ascii="Times New Roman" w:hAnsi="Times New Roman" w:cs="Times New Roman"/>
                <w:bCs/>
                <w:sz w:val="21"/>
                <w:szCs w:val="21"/>
                <w:lang w:bidi="ar"/>
              </w:rPr>
            </w:pPr>
            <w:r>
              <w:rPr>
                <w:rFonts w:hint="default" w:ascii="Times New Roman" w:hAnsi="Times New Roman" w:eastAsia="宋体" w:cs="Times New Roman"/>
                <w:i w:val="0"/>
                <w:iCs w:val="0"/>
                <w:color w:val="000000"/>
                <w:kern w:val="0"/>
                <w:sz w:val="21"/>
                <w:szCs w:val="21"/>
                <w:u w:val="none"/>
                <w:lang w:val="en-US" w:eastAsia="zh-CN" w:bidi="ar"/>
              </w:rPr>
              <w:t>0.12</w:t>
            </w:r>
          </w:p>
        </w:tc>
        <w:tc>
          <w:tcPr>
            <w:tcW w:w="1994" w:type="dxa"/>
            <w:noWrap w:val="0"/>
            <w:vAlign w:val="center"/>
          </w:tcPr>
          <w:p w14:paraId="045AD206">
            <w:pPr>
              <w:keepNext w:val="0"/>
              <w:keepLines w:val="0"/>
              <w:widowControl/>
              <w:suppressLineNumbers w:val="0"/>
              <w:jc w:val="center"/>
              <w:textAlignment w:val="center"/>
              <w:rPr>
                <w:rFonts w:ascii="Times New Roman" w:hAnsi="Times New Roman" w:cs="Times New Roman"/>
                <w:bCs/>
                <w:sz w:val="21"/>
                <w:szCs w:val="21"/>
                <w:lang w:bidi="ar"/>
              </w:rPr>
            </w:pPr>
            <w:r>
              <w:rPr>
                <w:rFonts w:hint="default" w:ascii="Times New Roman" w:hAnsi="Times New Roman" w:eastAsia="宋体" w:cs="Times New Roman"/>
                <w:i w:val="0"/>
                <w:iCs w:val="0"/>
                <w:color w:val="000000"/>
                <w:kern w:val="0"/>
                <w:sz w:val="21"/>
                <w:szCs w:val="21"/>
                <w:u w:val="none"/>
                <w:lang w:val="en-US" w:eastAsia="zh-CN" w:bidi="ar"/>
              </w:rPr>
              <w:t>0.09</w:t>
            </w:r>
          </w:p>
        </w:tc>
      </w:tr>
      <w:tr w14:paraId="7C4D2FBB">
        <w:tblPrEx>
          <w:tblBorders>
            <w:top w:val="thinThickSmallGap" w:color="auto" w:sz="12" w:space="0"/>
            <w:left w:val="none" w:color="auto" w:sz="0" w:space="0"/>
            <w:bottom w:val="thickThinSmallGap" w:color="auto" w:sz="12" w:space="0"/>
            <w:right w:val="none" w:color="auto" w:sz="0" w:space="0"/>
            <w:insideH w:val="single" w:color="auto" w:sz="4" w:space="0"/>
            <w:insideV w:val="single" w:color="000000" w:sz="4" w:space="0"/>
          </w:tblBorders>
          <w:tblCellMar>
            <w:top w:w="0" w:type="dxa"/>
            <w:left w:w="108" w:type="dxa"/>
            <w:bottom w:w="0" w:type="dxa"/>
            <w:right w:w="108" w:type="dxa"/>
          </w:tblCellMar>
        </w:tblPrEx>
        <w:trPr>
          <w:trHeight w:val="340" w:hRule="atLeast"/>
          <w:jc w:val="center"/>
        </w:trPr>
        <w:tc>
          <w:tcPr>
            <w:tcW w:w="643" w:type="dxa"/>
            <w:vMerge w:val="continue"/>
            <w:noWrap w:val="0"/>
            <w:vAlign w:val="center"/>
          </w:tcPr>
          <w:p w14:paraId="10C6EDF6">
            <w:pPr>
              <w:jc w:val="center"/>
              <w:rPr>
                <w:rFonts w:ascii="Times New Roman" w:hAnsi="Times New Roman" w:cs="Times New Roman"/>
                <w:bCs/>
                <w:sz w:val="21"/>
                <w:szCs w:val="21"/>
              </w:rPr>
            </w:pPr>
          </w:p>
        </w:tc>
        <w:tc>
          <w:tcPr>
            <w:tcW w:w="1442" w:type="dxa"/>
            <w:noWrap w:val="0"/>
            <w:vAlign w:val="center"/>
          </w:tcPr>
          <w:p w14:paraId="3EB9F1C5">
            <w:pPr>
              <w:jc w:val="center"/>
              <w:rPr>
                <w:rFonts w:ascii="Times New Roman" w:hAnsi="Times New Roman" w:cs="Times New Roman"/>
                <w:bCs/>
                <w:sz w:val="21"/>
                <w:szCs w:val="21"/>
              </w:rPr>
            </w:pPr>
            <w:r>
              <w:rPr>
                <w:rFonts w:ascii="Times New Roman" w:hAnsi="Times New Roman" w:cs="Times New Roman"/>
                <w:bCs/>
                <w:sz w:val="21"/>
                <w:szCs w:val="21"/>
              </w:rPr>
              <w:t>砷</w:t>
            </w:r>
          </w:p>
        </w:tc>
        <w:tc>
          <w:tcPr>
            <w:tcW w:w="1004" w:type="dxa"/>
            <w:noWrap w:val="0"/>
            <w:vAlign w:val="center"/>
          </w:tcPr>
          <w:p w14:paraId="55DE1558">
            <w:pPr>
              <w:jc w:val="center"/>
              <w:rPr>
                <w:rFonts w:ascii="Times New Roman" w:hAnsi="Times New Roman" w:cs="Times New Roman"/>
                <w:bCs/>
                <w:sz w:val="21"/>
                <w:szCs w:val="21"/>
              </w:rPr>
            </w:pPr>
            <w:r>
              <w:rPr>
                <w:rFonts w:ascii="Times New Roman" w:hAnsi="Times New Roman" w:cs="Times New Roman"/>
                <w:bCs/>
                <w:sz w:val="21"/>
                <w:szCs w:val="21"/>
              </w:rPr>
              <w:t>mg/kg</w:t>
            </w:r>
          </w:p>
        </w:tc>
        <w:tc>
          <w:tcPr>
            <w:tcW w:w="1994" w:type="dxa"/>
            <w:noWrap w:val="0"/>
            <w:vAlign w:val="center"/>
          </w:tcPr>
          <w:p w14:paraId="42BA6814">
            <w:pPr>
              <w:keepNext w:val="0"/>
              <w:keepLines w:val="0"/>
              <w:widowControl/>
              <w:suppressLineNumbers w:val="0"/>
              <w:jc w:val="center"/>
              <w:textAlignment w:val="center"/>
              <w:rPr>
                <w:rFonts w:ascii="Times New Roman" w:hAnsi="Times New Roman" w:cs="Times New Roman"/>
                <w:bCs/>
                <w:sz w:val="21"/>
                <w:szCs w:val="21"/>
                <w:lang w:bidi="ar"/>
              </w:rPr>
            </w:pPr>
            <w:r>
              <w:rPr>
                <w:rFonts w:hint="default" w:ascii="Times New Roman" w:hAnsi="Times New Roman" w:eastAsia="宋体" w:cs="Times New Roman"/>
                <w:i w:val="0"/>
                <w:iCs w:val="0"/>
                <w:color w:val="000000"/>
                <w:kern w:val="0"/>
                <w:sz w:val="21"/>
                <w:szCs w:val="21"/>
                <w:u w:val="none"/>
                <w:lang w:val="en-US" w:eastAsia="zh-CN" w:bidi="ar"/>
              </w:rPr>
              <w:t>4.23</w:t>
            </w:r>
          </w:p>
        </w:tc>
        <w:tc>
          <w:tcPr>
            <w:tcW w:w="1994" w:type="dxa"/>
            <w:noWrap w:val="0"/>
            <w:vAlign w:val="center"/>
          </w:tcPr>
          <w:p w14:paraId="184AE7B3">
            <w:pPr>
              <w:keepNext w:val="0"/>
              <w:keepLines w:val="0"/>
              <w:widowControl/>
              <w:suppressLineNumbers w:val="0"/>
              <w:jc w:val="center"/>
              <w:textAlignment w:val="center"/>
              <w:rPr>
                <w:rFonts w:ascii="Times New Roman" w:hAnsi="Times New Roman" w:cs="Times New Roman"/>
                <w:bCs/>
                <w:sz w:val="21"/>
                <w:szCs w:val="21"/>
                <w:lang w:bidi="ar"/>
              </w:rPr>
            </w:pPr>
            <w:r>
              <w:rPr>
                <w:rFonts w:hint="default" w:ascii="Times New Roman" w:hAnsi="Times New Roman" w:eastAsia="宋体" w:cs="Times New Roman"/>
                <w:i w:val="0"/>
                <w:iCs w:val="0"/>
                <w:color w:val="000000"/>
                <w:kern w:val="0"/>
                <w:sz w:val="21"/>
                <w:szCs w:val="21"/>
                <w:u w:val="none"/>
                <w:lang w:val="en-US" w:eastAsia="zh-CN" w:bidi="ar"/>
              </w:rPr>
              <w:t>3.82</w:t>
            </w:r>
          </w:p>
        </w:tc>
        <w:tc>
          <w:tcPr>
            <w:tcW w:w="1994" w:type="dxa"/>
            <w:noWrap w:val="0"/>
            <w:vAlign w:val="center"/>
          </w:tcPr>
          <w:p w14:paraId="6503A218">
            <w:pPr>
              <w:keepNext w:val="0"/>
              <w:keepLines w:val="0"/>
              <w:widowControl/>
              <w:suppressLineNumbers w:val="0"/>
              <w:jc w:val="center"/>
              <w:textAlignment w:val="center"/>
              <w:rPr>
                <w:rFonts w:ascii="Times New Roman" w:hAnsi="Times New Roman" w:cs="Times New Roman"/>
                <w:bCs/>
                <w:sz w:val="21"/>
                <w:szCs w:val="21"/>
                <w:lang w:bidi="ar"/>
              </w:rPr>
            </w:pPr>
            <w:r>
              <w:rPr>
                <w:rFonts w:hint="default" w:ascii="Times New Roman" w:hAnsi="Times New Roman" w:eastAsia="宋体" w:cs="Times New Roman"/>
                <w:i w:val="0"/>
                <w:iCs w:val="0"/>
                <w:color w:val="000000"/>
                <w:kern w:val="0"/>
                <w:sz w:val="21"/>
                <w:szCs w:val="21"/>
                <w:u w:val="none"/>
                <w:lang w:val="en-US" w:eastAsia="zh-CN" w:bidi="ar"/>
              </w:rPr>
              <w:t>3.43</w:t>
            </w:r>
          </w:p>
        </w:tc>
      </w:tr>
      <w:tr w14:paraId="6E76BAC3">
        <w:tblPrEx>
          <w:tblBorders>
            <w:top w:val="thinThickSmallGap" w:color="auto" w:sz="12" w:space="0"/>
            <w:left w:val="none" w:color="auto" w:sz="0" w:space="0"/>
            <w:bottom w:val="thickThinSmallGap" w:color="auto" w:sz="12" w:space="0"/>
            <w:right w:val="none" w:color="auto" w:sz="0" w:space="0"/>
            <w:insideH w:val="single" w:color="auto" w:sz="4" w:space="0"/>
            <w:insideV w:val="single" w:color="000000" w:sz="4" w:space="0"/>
          </w:tblBorders>
          <w:tblCellMar>
            <w:top w:w="0" w:type="dxa"/>
            <w:left w:w="108" w:type="dxa"/>
            <w:bottom w:w="0" w:type="dxa"/>
            <w:right w:w="108" w:type="dxa"/>
          </w:tblCellMar>
        </w:tblPrEx>
        <w:trPr>
          <w:trHeight w:val="340" w:hRule="atLeast"/>
          <w:jc w:val="center"/>
        </w:trPr>
        <w:tc>
          <w:tcPr>
            <w:tcW w:w="643" w:type="dxa"/>
            <w:vMerge w:val="continue"/>
            <w:noWrap w:val="0"/>
            <w:vAlign w:val="center"/>
          </w:tcPr>
          <w:p w14:paraId="6DAE18DE">
            <w:pPr>
              <w:jc w:val="center"/>
              <w:rPr>
                <w:rFonts w:ascii="Times New Roman" w:hAnsi="Times New Roman" w:cs="Times New Roman"/>
                <w:bCs/>
                <w:sz w:val="21"/>
                <w:szCs w:val="21"/>
              </w:rPr>
            </w:pPr>
          </w:p>
        </w:tc>
        <w:tc>
          <w:tcPr>
            <w:tcW w:w="1442" w:type="dxa"/>
            <w:noWrap w:val="0"/>
            <w:vAlign w:val="center"/>
          </w:tcPr>
          <w:p w14:paraId="3D112E1D">
            <w:pPr>
              <w:jc w:val="center"/>
              <w:rPr>
                <w:rFonts w:ascii="Times New Roman" w:hAnsi="Times New Roman" w:cs="Times New Roman"/>
                <w:bCs/>
                <w:sz w:val="21"/>
                <w:szCs w:val="21"/>
              </w:rPr>
            </w:pPr>
            <w:r>
              <w:rPr>
                <w:rFonts w:ascii="Times New Roman" w:hAnsi="Times New Roman" w:cs="Times New Roman"/>
                <w:bCs/>
                <w:sz w:val="21"/>
                <w:szCs w:val="21"/>
              </w:rPr>
              <w:t>铬（六价）</w:t>
            </w:r>
          </w:p>
        </w:tc>
        <w:tc>
          <w:tcPr>
            <w:tcW w:w="1004" w:type="dxa"/>
            <w:noWrap w:val="0"/>
            <w:vAlign w:val="center"/>
          </w:tcPr>
          <w:p w14:paraId="72ED17EA">
            <w:pPr>
              <w:jc w:val="center"/>
              <w:rPr>
                <w:rFonts w:ascii="Times New Roman" w:hAnsi="Times New Roman" w:cs="Times New Roman"/>
                <w:bCs/>
                <w:sz w:val="21"/>
                <w:szCs w:val="21"/>
              </w:rPr>
            </w:pPr>
            <w:r>
              <w:rPr>
                <w:rFonts w:ascii="Times New Roman" w:hAnsi="Times New Roman" w:cs="Times New Roman"/>
                <w:bCs/>
                <w:sz w:val="21"/>
                <w:szCs w:val="21"/>
              </w:rPr>
              <w:t>mg/kg</w:t>
            </w:r>
          </w:p>
        </w:tc>
        <w:tc>
          <w:tcPr>
            <w:tcW w:w="1994" w:type="dxa"/>
            <w:noWrap w:val="0"/>
            <w:vAlign w:val="center"/>
          </w:tcPr>
          <w:p w14:paraId="38B8EEB2">
            <w:pPr>
              <w:keepNext w:val="0"/>
              <w:keepLines w:val="0"/>
              <w:widowControl/>
              <w:suppressLineNumbers w:val="0"/>
              <w:jc w:val="center"/>
              <w:textAlignment w:val="center"/>
              <w:rPr>
                <w:rFonts w:ascii="Times New Roman" w:hAnsi="Times New Roman" w:cs="Times New Roman"/>
                <w:bCs/>
                <w:sz w:val="21"/>
                <w:szCs w:val="21"/>
                <w:lang w:bidi="ar"/>
              </w:rPr>
            </w:pPr>
            <w:r>
              <w:rPr>
                <w:rFonts w:hint="default" w:ascii="Times New Roman" w:hAnsi="Times New Roman" w:eastAsia="宋体" w:cs="Times New Roman"/>
                <w:i w:val="0"/>
                <w:iCs w:val="0"/>
                <w:color w:val="000000"/>
                <w:kern w:val="0"/>
                <w:sz w:val="21"/>
                <w:szCs w:val="21"/>
                <w:u w:val="none"/>
                <w:lang w:val="en-US" w:eastAsia="zh-CN" w:bidi="ar"/>
              </w:rPr>
              <w:t>ND</w:t>
            </w:r>
          </w:p>
        </w:tc>
        <w:tc>
          <w:tcPr>
            <w:tcW w:w="1994" w:type="dxa"/>
            <w:noWrap w:val="0"/>
            <w:vAlign w:val="center"/>
          </w:tcPr>
          <w:p w14:paraId="03158C20">
            <w:pPr>
              <w:keepNext w:val="0"/>
              <w:keepLines w:val="0"/>
              <w:widowControl/>
              <w:suppressLineNumbers w:val="0"/>
              <w:jc w:val="center"/>
              <w:textAlignment w:val="center"/>
              <w:rPr>
                <w:rFonts w:ascii="Times New Roman" w:hAnsi="Times New Roman" w:cs="Times New Roman"/>
                <w:bCs/>
                <w:sz w:val="21"/>
                <w:szCs w:val="21"/>
                <w:lang w:bidi="ar"/>
              </w:rPr>
            </w:pPr>
            <w:r>
              <w:rPr>
                <w:rFonts w:hint="default" w:ascii="Times New Roman" w:hAnsi="Times New Roman" w:eastAsia="宋体" w:cs="Times New Roman"/>
                <w:i w:val="0"/>
                <w:iCs w:val="0"/>
                <w:color w:val="000000"/>
                <w:kern w:val="0"/>
                <w:sz w:val="21"/>
                <w:szCs w:val="21"/>
                <w:u w:val="none"/>
                <w:lang w:val="en-US" w:eastAsia="zh-CN" w:bidi="ar"/>
              </w:rPr>
              <w:t>ND</w:t>
            </w:r>
          </w:p>
        </w:tc>
        <w:tc>
          <w:tcPr>
            <w:tcW w:w="1994" w:type="dxa"/>
            <w:noWrap w:val="0"/>
            <w:vAlign w:val="center"/>
          </w:tcPr>
          <w:p w14:paraId="168C74D8">
            <w:pPr>
              <w:keepNext w:val="0"/>
              <w:keepLines w:val="0"/>
              <w:widowControl/>
              <w:suppressLineNumbers w:val="0"/>
              <w:jc w:val="center"/>
              <w:textAlignment w:val="center"/>
              <w:rPr>
                <w:rFonts w:ascii="Times New Roman" w:hAnsi="Times New Roman" w:cs="Times New Roman"/>
                <w:bCs/>
                <w:sz w:val="21"/>
                <w:szCs w:val="21"/>
                <w:lang w:bidi="ar"/>
              </w:rPr>
            </w:pPr>
            <w:r>
              <w:rPr>
                <w:rFonts w:hint="default" w:ascii="Times New Roman" w:hAnsi="Times New Roman" w:eastAsia="宋体" w:cs="Times New Roman"/>
                <w:i w:val="0"/>
                <w:iCs w:val="0"/>
                <w:color w:val="000000"/>
                <w:kern w:val="0"/>
                <w:sz w:val="21"/>
                <w:szCs w:val="21"/>
                <w:u w:val="none"/>
                <w:lang w:val="en-US" w:eastAsia="zh-CN" w:bidi="ar"/>
              </w:rPr>
              <w:t>ND</w:t>
            </w:r>
          </w:p>
        </w:tc>
      </w:tr>
    </w:tbl>
    <w:p w14:paraId="711B4BD3">
      <w:pPr>
        <w:adjustRightInd w:val="0"/>
        <w:snapToGrid w:val="0"/>
        <w:rPr>
          <w:rFonts w:hint="eastAsia" w:ascii="Times New Roman" w:hAnsi="Times New Roman" w:cs="Times New Roman"/>
          <w:b/>
          <w:sz w:val="18"/>
          <w:szCs w:val="21"/>
        </w:rPr>
      </w:pPr>
      <w:r>
        <w:rPr>
          <w:rFonts w:ascii="Times New Roman" w:hAnsi="Times New Roman" w:cs="Times New Roman"/>
          <w:b/>
          <w:sz w:val="18"/>
        </w:rPr>
        <w:t>注：</w:t>
      </w:r>
      <w:r>
        <w:rPr>
          <w:rFonts w:ascii="Times New Roman" w:hAnsi="Times New Roman" w:cs="Times New Roman"/>
          <w:b/>
          <w:sz w:val="18"/>
          <w:szCs w:val="21"/>
        </w:rPr>
        <w:t>L表示结果低于</w:t>
      </w:r>
      <w:r>
        <w:rPr>
          <w:rFonts w:hint="eastAsia" w:ascii="Times New Roman" w:hAnsi="Times New Roman" w:cs="Times New Roman"/>
          <w:b/>
          <w:sz w:val="18"/>
          <w:szCs w:val="21"/>
        </w:rPr>
        <w:t>该</w:t>
      </w:r>
      <w:r>
        <w:rPr>
          <w:rFonts w:ascii="Times New Roman" w:hAnsi="Times New Roman" w:cs="Times New Roman"/>
          <w:b/>
          <w:sz w:val="18"/>
          <w:szCs w:val="21"/>
        </w:rPr>
        <w:t>检出限</w:t>
      </w:r>
      <w:r>
        <w:rPr>
          <w:rFonts w:hint="eastAsia" w:ascii="Times New Roman" w:hAnsi="Times New Roman" w:cs="Times New Roman"/>
          <w:b/>
          <w:sz w:val="18"/>
          <w:szCs w:val="21"/>
        </w:rPr>
        <w:t>，</w:t>
      </w:r>
      <w:r>
        <w:rPr>
          <w:rFonts w:ascii="Times New Roman" w:hAnsi="Times New Roman" w:cs="Times New Roman"/>
          <w:b/>
          <w:sz w:val="18"/>
          <w:szCs w:val="21"/>
        </w:rPr>
        <w:t>未检出</w:t>
      </w:r>
      <w:r>
        <w:rPr>
          <w:rFonts w:hint="eastAsia" w:ascii="Times New Roman" w:hAnsi="Times New Roman" w:cs="Times New Roman"/>
          <w:b/>
          <w:sz w:val="18"/>
          <w:szCs w:val="21"/>
        </w:rPr>
        <w:t>。</w:t>
      </w:r>
    </w:p>
    <w:p w14:paraId="61CFB73B">
      <w:pPr>
        <w:pStyle w:val="131"/>
        <w:adjustRightInd/>
        <w:snapToGrid/>
        <w:spacing w:line="360" w:lineRule="auto"/>
        <w:ind w:left="0" w:firstLine="0"/>
        <w:rPr>
          <w:rFonts w:ascii="Times New Roman" w:hAnsi="Times New Roman" w:cs="Times New Roman"/>
        </w:rPr>
      </w:pPr>
      <w:r>
        <w:rPr>
          <w:rFonts w:ascii="Times New Roman" w:hAnsi="Times New Roman" w:cs="Times New Roman"/>
        </w:rPr>
        <w:t>表</w:t>
      </w:r>
      <w:r>
        <w:rPr>
          <w:rFonts w:hint="eastAsia" w:ascii="Times New Roman" w:hAnsi="Times New Roman" w:cs="Times New Roman"/>
        </w:rPr>
        <w:t>4.2-15</w:t>
      </w:r>
      <w:r>
        <w:rPr>
          <w:rFonts w:ascii="Times New Roman" w:hAnsi="Times New Roman" w:cs="Times New Roman"/>
        </w:rPr>
        <w:t xml:space="preserve">  </w:t>
      </w:r>
      <w:r>
        <w:rPr>
          <w:rFonts w:hint="eastAsia" w:ascii="Times New Roman" w:hAnsi="Times New Roman" w:cs="Times New Roman"/>
        </w:rPr>
        <w:t>5</w:t>
      </w:r>
      <w:r>
        <w:rPr>
          <w:rFonts w:ascii="Times New Roman" w:hAnsi="Times New Roman" w:cs="Times New Roman"/>
        </w:rPr>
        <w:t>#点位土壤现状监测结果</w:t>
      </w:r>
    </w:p>
    <w:tbl>
      <w:tblPr>
        <w:tblStyle w:val="56"/>
        <w:tblW w:w="9071" w:type="dxa"/>
        <w:jc w:val="center"/>
        <w:tblBorders>
          <w:top w:val="thinThickSmallGap" w:color="auto" w:sz="12" w:space="0"/>
          <w:left w:val="none" w:color="auto" w:sz="0" w:space="0"/>
          <w:bottom w:val="thickThinSmallGap" w:color="auto" w:sz="12" w:space="0"/>
          <w:right w:val="none" w:color="auto" w:sz="0" w:space="0"/>
          <w:insideH w:val="single" w:color="auto" w:sz="4" w:space="0"/>
          <w:insideV w:val="single" w:color="000000" w:sz="4" w:space="0"/>
        </w:tblBorders>
        <w:tblLayout w:type="fixed"/>
        <w:tblCellMar>
          <w:top w:w="0" w:type="dxa"/>
          <w:left w:w="108" w:type="dxa"/>
          <w:bottom w:w="0" w:type="dxa"/>
          <w:right w:w="108" w:type="dxa"/>
        </w:tblCellMar>
      </w:tblPr>
      <w:tblGrid>
        <w:gridCol w:w="447"/>
        <w:gridCol w:w="1638"/>
        <w:gridCol w:w="1118"/>
        <w:gridCol w:w="1880"/>
        <w:gridCol w:w="1994"/>
        <w:gridCol w:w="1994"/>
      </w:tblGrid>
      <w:tr w14:paraId="306D03FC">
        <w:tblPrEx>
          <w:tblBorders>
            <w:top w:val="thinThickSmallGap" w:color="auto" w:sz="12" w:space="0"/>
            <w:left w:val="none" w:color="auto" w:sz="0" w:space="0"/>
            <w:bottom w:val="thickThinSmallGap" w:color="auto" w:sz="12" w:space="0"/>
            <w:right w:val="none" w:color="auto" w:sz="0" w:space="0"/>
            <w:insideH w:val="single" w:color="auto" w:sz="4" w:space="0"/>
            <w:insideV w:val="single" w:color="000000" w:sz="4" w:space="0"/>
          </w:tblBorders>
          <w:tblCellMar>
            <w:top w:w="0" w:type="dxa"/>
            <w:left w:w="108" w:type="dxa"/>
            <w:bottom w:w="0" w:type="dxa"/>
            <w:right w:w="108" w:type="dxa"/>
          </w:tblCellMar>
        </w:tblPrEx>
        <w:trPr>
          <w:trHeight w:val="340" w:hRule="atLeast"/>
          <w:tblHeader/>
          <w:jc w:val="center"/>
        </w:trPr>
        <w:tc>
          <w:tcPr>
            <w:tcW w:w="447" w:type="dxa"/>
            <w:shd w:val="clear" w:color="auto" w:fill="D9D9D9"/>
            <w:noWrap w:val="0"/>
            <w:vAlign w:val="center"/>
          </w:tcPr>
          <w:p w14:paraId="4F45988B">
            <w:pPr>
              <w:jc w:val="center"/>
              <w:rPr>
                <w:rFonts w:ascii="Times New Roman" w:hAnsi="Times New Roman" w:cs="Times New Roman"/>
                <w:bCs/>
                <w:sz w:val="21"/>
                <w:szCs w:val="21"/>
              </w:rPr>
            </w:pPr>
            <w:r>
              <w:rPr>
                <w:rFonts w:ascii="Times New Roman" w:hAnsi="Times New Roman" w:cs="Times New Roman"/>
                <w:bCs/>
                <w:sz w:val="21"/>
                <w:szCs w:val="21"/>
              </w:rPr>
              <w:t>时间</w:t>
            </w:r>
          </w:p>
        </w:tc>
        <w:tc>
          <w:tcPr>
            <w:tcW w:w="1638" w:type="dxa"/>
            <w:shd w:val="clear" w:color="auto" w:fill="D9D9D9"/>
            <w:noWrap w:val="0"/>
            <w:vAlign w:val="center"/>
          </w:tcPr>
          <w:p w14:paraId="5C849AB6">
            <w:pPr>
              <w:jc w:val="center"/>
              <w:rPr>
                <w:rFonts w:ascii="Times New Roman" w:hAnsi="Times New Roman" w:cs="Times New Roman"/>
                <w:bCs/>
                <w:sz w:val="21"/>
                <w:szCs w:val="21"/>
              </w:rPr>
            </w:pPr>
            <w:r>
              <w:rPr>
                <w:rFonts w:ascii="Times New Roman" w:hAnsi="Times New Roman" w:cs="Times New Roman"/>
                <w:bCs/>
                <w:sz w:val="21"/>
                <w:szCs w:val="21"/>
              </w:rPr>
              <w:t>检测项目</w:t>
            </w:r>
          </w:p>
        </w:tc>
        <w:tc>
          <w:tcPr>
            <w:tcW w:w="1118" w:type="dxa"/>
            <w:shd w:val="clear" w:color="auto" w:fill="D9D9D9"/>
            <w:noWrap w:val="0"/>
            <w:vAlign w:val="center"/>
          </w:tcPr>
          <w:p w14:paraId="605CF0DA">
            <w:pPr>
              <w:jc w:val="center"/>
              <w:rPr>
                <w:rFonts w:ascii="Times New Roman" w:hAnsi="Times New Roman" w:cs="Times New Roman"/>
                <w:bCs/>
                <w:sz w:val="21"/>
                <w:szCs w:val="21"/>
              </w:rPr>
            </w:pPr>
            <w:r>
              <w:rPr>
                <w:rFonts w:ascii="Times New Roman" w:hAnsi="Times New Roman" w:cs="Times New Roman"/>
                <w:bCs/>
                <w:sz w:val="21"/>
                <w:szCs w:val="21"/>
              </w:rPr>
              <w:t>单位</w:t>
            </w:r>
          </w:p>
        </w:tc>
        <w:tc>
          <w:tcPr>
            <w:tcW w:w="1880" w:type="dxa"/>
            <w:shd w:val="clear" w:color="auto" w:fill="D9D9D9"/>
            <w:noWrap w:val="0"/>
            <w:vAlign w:val="center"/>
          </w:tcPr>
          <w:p w14:paraId="0D45A549">
            <w:pPr>
              <w:keepNext w:val="0"/>
              <w:keepLines w:val="0"/>
              <w:widowControl/>
              <w:suppressLineNumbers w:val="0"/>
              <w:jc w:val="center"/>
              <w:textAlignment w:val="center"/>
              <w:rPr>
                <w:rFonts w:ascii="Times New Roman" w:hAnsi="Times New Roman" w:cs="Times New Roman"/>
                <w:bCs/>
                <w:sz w:val="21"/>
                <w:szCs w:val="21"/>
              </w:rPr>
            </w:pPr>
            <w:r>
              <w:rPr>
                <w:rFonts w:hint="default" w:ascii="Times New Roman" w:hAnsi="Times New Roman" w:eastAsia="宋体" w:cs="Times New Roman"/>
                <w:i w:val="0"/>
                <w:iCs w:val="0"/>
                <w:color w:val="000000"/>
                <w:kern w:val="0"/>
                <w:sz w:val="21"/>
                <w:szCs w:val="21"/>
                <w:u w:val="none"/>
                <w:lang w:val="en-US" w:eastAsia="zh-CN" w:bidi="ar"/>
              </w:rPr>
              <w:t>T3</w:t>
            </w:r>
            <w:r>
              <w:rPr>
                <w:rFonts w:hint="eastAsia" w:ascii="宋体" w:hAnsi="宋体" w:eastAsia="宋体" w:cs="宋体"/>
                <w:i w:val="0"/>
                <w:iCs w:val="0"/>
                <w:color w:val="000000"/>
                <w:kern w:val="0"/>
                <w:sz w:val="21"/>
                <w:szCs w:val="21"/>
                <w:u w:val="none"/>
                <w:lang w:val="en-US" w:eastAsia="zh-CN" w:bidi="ar"/>
              </w:rPr>
              <w:t>厂区内东侧（</w:t>
            </w:r>
            <w:r>
              <w:rPr>
                <w:rFonts w:hint="default" w:ascii="Times New Roman" w:hAnsi="Times New Roman" w:eastAsia="宋体" w:cs="Times New Roman"/>
                <w:i w:val="0"/>
                <w:iCs w:val="0"/>
                <w:color w:val="000000"/>
                <w:kern w:val="0"/>
                <w:sz w:val="21"/>
                <w:szCs w:val="21"/>
                <w:u w:val="none"/>
                <w:lang w:val="en-US" w:eastAsia="zh-CN" w:bidi="ar"/>
              </w:rPr>
              <w:t>0.2m</w:t>
            </w:r>
            <w:r>
              <w:rPr>
                <w:rFonts w:hint="eastAsia" w:ascii="宋体" w:hAnsi="宋体" w:eastAsia="宋体" w:cs="宋体"/>
                <w:i w:val="0"/>
                <w:iCs w:val="0"/>
                <w:color w:val="000000"/>
                <w:kern w:val="0"/>
                <w:sz w:val="21"/>
                <w:szCs w:val="21"/>
                <w:u w:val="none"/>
                <w:lang w:val="en-US" w:eastAsia="zh-CN" w:bidi="ar"/>
              </w:rPr>
              <w:t>）</w:t>
            </w:r>
          </w:p>
        </w:tc>
        <w:tc>
          <w:tcPr>
            <w:tcW w:w="1994" w:type="dxa"/>
            <w:shd w:val="clear" w:color="auto" w:fill="D9D9D9"/>
            <w:noWrap w:val="0"/>
            <w:vAlign w:val="center"/>
          </w:tcPr>
          <w:p w14:paraId="6FC5505B">
            <w:pPr>
              <w:keepNext w:val="0"/>
              <w:keepLines w:val="0"/>
              <w:widowControl/>
              <w:suppressLineNumbers w:val="0"/>
              <w:jc w:val="center"/>
              <w:textAlignment w:val="center"/>
              <w:rPr>
                <w:rFonts w:ascii="Times New Roman" w:hAnsi="Times New Roman" w:cs="Times New Roman"/>
                <w:bCs/>
                <w:sz w:val="21"/>
                <w:szCs w:val="21"/>
              </w:rPr>
            </w:pPr>
            <w:r>
              <w:rPr>
                <w:rFonts w:hint="default" w:ascii="Times New Roman" w:hAnsi="Times New Roman" w:eastAsia="宋体" w:cs="Times New Roman"/>
                <w:i w:val="0"/>
                <w:iCs w:val="0"/>
                <w:color w:val="000000"/>
                <w:kern w:val="0"/>
                <w:sz w:val="21"/>
                <w:szCs w:val="21"/>
                <w:u w:val="none"/>
                <w:lang w:val="en-US" w:eastAsia="zh-CN" w:bidi="ar"/>
              </w:rPr>
              <w:t>T3</w:t>
            </w:r>
            <w:r>
              <w:rPr>
                <w:rFonts w:hint="eastAsia" w:ascii="宋体" w:hAnsi="宋体" w:eastAsia="宋体" w:cs="宋体"/>
                <w:i w:val="0"/>
                <w:iCs w:val="0"/>
                <w:color w:val="000000"/>
                <w:kern w:val="0"/>
                <w:sz w:val="21"/>
                <w:szCs w:val="21"/>
                <w:u w:val="none"/>
                <w:lang w:val="en-US" w:eastAsia="zh-CN" w:bidi="ar"/>
              </w:rPr>
              <w:t>厂区内东侧（</w:t>
            </w:r>
            <w:r>
              <w:rPr>
                <w:rFonts w:hint="default" w:ascii="Times New Roman" w:hAnsi="Times New Roman" w:eastAsia="宋体" w:cs="Times New Roman"/>
                <w:i w:val="0"/>
                <w:iCs w:val="0"/>
                <w:color w:val="000000"/>
                <w:kern w:val="0"/>
                <w:sz w:val="21"/>
                <w:szCs w:val="21"/>
                <w:u w:val="none"/>
                <w:lang w:val="en-US" w:eastAsia="zh-CN" w:bidi="ar"/>
              </w:rPr>
              <w:t>0.7m</w:t>
            </w:r>
            <w:r>
              <w:rPr>
                <w:rFonts w:hint="eastAsia" w:ascii="宋体" w:hAnsi="宋体" w:eastAsia="宋体" w:cs="宋体"/>
                <w:i w:val="0"/>
                <w:iCs w:val="0"/>
                <w:color w:val="000000"/>
                <w:kern w:val="0"/>
                <w:sz w:val="21"/>
                <w:szCs w:val="21"/>
                <w:u w:val="none"/>
                <w:lang w:val="en-US" w:eastAsia="zh-CN" w:bidi="ar"/>
              </w:rPr>
              <w:t>）</w:t>
            </w:r>
          </w:p>
        </w:tc>
        <w:tc>
          <w:tcPr>
            <w:tcW w:w="1994" w:type="dxa"/>
            <w:shd w:val="clear" w:color="auto" w:fill="D9D9D9"/>
            <w:noWrap w:val="0"/>
            <w:vAlign w:val="center"/>
          </w:tcPr>
          <w:p w14:paraId="4B939CE7">
            <w:pPr>
              <w:keepNext w:val="0"/>
              <w:keepLines w:val="0"/>
              <w:widowControl/>
              <w:suppressLineNumbers w:val="0"/>
              <w:jc w:val="center"/>
              <w:textAlignment w:val="center"/>
              <w:rPr>
                <w:rFonts w:ascii="Times New Roman" w:hAnsi="Times New Roman" w:cs="Times New Roman"/>
                <w:bCs/>
                <w:sz w:val="21"/>
                <w:szCs w:val="21"/>
              </w:rPr>
            </w:pPr>
            <w:r>
              <w:rPr>
                <w:rFonts w:hint="default" w:ascii="Times New Roman" w:hAnsi="Times New Roman" w:eastAsia="宋体" w:cs="Times New Roman"/>
                <w:i w:val="0"/>
                <w:iCs w:val="0"/>
                <w:color w:val="000000"/>
                <w:kern w:val="0"/>
                <w:sz w:val="21"/>
                <w:szCs w:val="21"/>
                <w:u w:val="none"/>
                <w:lang w:val="en-US" w:eastAsia="zh-CN" w:bidi="ar"/>
              </w:rPr>
              <w:t>T3</w:t>
            </w:r>
            <w:r>
              <w:rPr>
                <w:rFonts w:hint="eastAsia" w:ascii="宋体" w:hAnsi="宋体" w:eastAsia="宋体" w:cs="宋体"/>
                <w:i w:val="0"/>
                <w:iCs w:val="0"/>
                <w:color w:val="000000"/>
                <w:kern w:val="0"/>
                <w:sz w:val="21"/>
                <w:szCs w:val="21"/>
                <w:u w:val="none"/>
                <w:lang w:val="en-US" w:eastAsia="zh-CN" w:bidi="ar"/>
              </w:rPr>
              <w:t>厂区内东侧（</w:t>
            </w:r>
            <w:r>
              <w:rPr>
                <w:rFonts w:hint="default" w:ascii="Times New Roman" w:hAnsi="Times New Roman" w:eastAsia="宋体" w:cs="Times New Roman"/>
                <w:i w:val="0"/>
                <w:iCs w:val="0"/>
                <w:color w:val="000000"/>
                <w:kern w:val="0"/>
                <w:sz w:val="21"/>
                <w:szCs w:val="21"/>
                <w:u w:val="none"/>
                <w:lang w:val="en-US" w:eastAsia="zh-CN" w:bidi="ar"/>
              </w:rPr>
              <w:t>1.8m</w:t>
            </w:r>
            <w:r>
              <w:rPr>
                <w:rFonts w:hint="eastAsia" w:ascii="宋体" w:hAnsi="宋体" w:eastAsia="宋体" w:cs="宋体"/>
                <w:i w:val="0"/>
                <w:iCs w:val="0"/>
                <w:color w:val="000000"/>
                <w:kern w:val="0"/>
                <w:sz w:val="21"/>
                <w:szCs w:val="21"/>
                <w:u w:val="none"/>
                <w:lang w:val="en-US" w:eastAsia="zh-CN" w:bidi="ar"/>
              </w:rPr>
              <w:t>）</w:t>
            </w:r>
          </w:p>
        </w:tc>
      </w:tr>
      <w:tr w14:paraId="2D097041">
        <w:tblPrEx>
          <w:tblBorders>
            <w:top w:val="thinThickSmallGap" w:color="auto" w:sz="12" w:space="0"/>
            <w:left w:val="none" w:color="auto" w:sz="0" w:space="0"/>
            <w:bottom w:val="thickThinSmallGap" w:color="auto" w:sz="12" w:space="0"/>
            <w:right w:val="none" w:color="auto" w:sz="0" w:space="0"/>
            <w:insideH w:val="single" w:color="auto" w:sz="4" w:space="0"/>
            <w:insideV w:val="single" w:color="000000" w:sz="4" w:space="0"/>
          </w:tblBorders>
          <w:tblCellMar>
            <w:top w:w="0" w:type="dxa"/>
            <w:left w:w="108" w:type="dxa"/>
            <w:bottom w:w="0" w:type="dxa"/>
            <w:right w:w="108" w:type="dxa"/>
          </w:tblCellMar>
        </w:tblPrEx>
        <w:trPr>
          <w:trHeight w:val="340" w:hRule="atLeast"/>
          <w:jc w:val="center"/>
        </w:trPr>
        <w:tc>
          <w:tcPr>
            <w:tcW w:w="447" w:type="dxa"/>
            <w:vMerge w:val="restart"/>
            <w:noWrap w:val="0"/>
            <w:vAlign w:val="center"/>
          </w:tcPr>
          <w:p w14:paraId="462AFFAF">
            <w:pPr>
              <w:jc w:val="center"/>
              <w:rPr>
                <w:rFonts w:ascii="Times New Roman" w:hAnsi="Times New Roman" w:cs="Times New Roman"/>
                <w:bCs/>
                <w:sz w:val="21"/>
                <w:szCs w:val="21"/>
              </w:rPr>
            </w:pPr>
            <w:r>
              <w:rPr>
                <w:rFonts w:hint="eastAsia" w:ascii="Times New Roman" w:hAnsi="Times New Roman" w:cs="Times New Roman"/>
                <w:bCs/>
                <w:sz w:val="21"/>
                <w:szCs w:val="21"/>
              </w:rPr>
              <w:t>2026.05.01</w:t>
            </w:r>
          </w:p>
        </w:tc>
        <w:tc>
          <w:tcPr>
            <w:tcW w:w="1638" w:type="dxa"/>
            <w:noWrap w:val="0"/>
            <w:vAlign w:val="center"/>
          </w:tcPr>
          <w:p w14:paraId="5798777A">
            <w:pPr>
              <w:jc w:val="center"/>
              <w:rPr>
                <w:rFonts w:ascii="Times New Roman" w:hAnsi="Times New Roman" w:cs="Times New Roman"/>
                <w:bCs/>
                <w:sz w:val="21"/>
                <w:szCs w:val="21"/>
              </w:rPr>
            </w:pPr>
            <w:r>
              <w:rPr>
                <w:rFonts w:hint="eastAsia" w:ascii="Times New Roman" w:hAnsi="Times New Roman" w:cs="Times New Roman"/>
                <w:bCs/>
                <w:sz w:val="21"/>
                <w:szCs w:val="21"/>
                <w:lang w:val="en-US" w:eastAsia="zh-CN"/>
              </w:rPr>
              <w:t>PH</w:t>
            </w:r>
          </w:p>
        </w:tc>
        <w:tc>
          <w:tcPr>
            <w:tcW w:w="1118" w:type="dxa"/>
            <w:noWrap w:val="0"/>
            <w:vAlign w:val="center"/>
          </w:tcPr>
          <w:p w14:paraId="681762C4">
            <w:pPr>
              <w:jc w:val="center"/>
              <w:rPr>
                <w:rFonts w:ascii="Times New Roman" w:hAnsi="Times New Roman" w:cs="Times New Roman"/>
                <w:bCs/>
                <w:sz w:val="21"/>
                <w:szCs w:val="21"/>
              </w:rPr>
            </w:pPr>
            <w:r>
              <w:rPr>
                <w:rFonts w:ascii="Times New Roman" w:hAnsi="Times New Roman" w:cs="Times New Roman"/>
                <w:bCs/>
                <w:sz w:val="21"/>
                <w:szCs w:val="21"/>
              </w:rPr>
              <w:t>无量纲</w:t>
            </w:r>
          </w:p>
        </w:tc>
        <w:tc>
          <w:tcPr>
            <w:tcW w:w="1880" w:type="dxa"/>
            <w:noWrap w:val="0"/>
            <w:vAlign w:val="center"/>
          </w:tcPr>
          <w:p w14:paraId="4B0B52F6">
            <w:pPr>
              <w:keepNext w:val="0"/>
              <w:keepLines w:val="0"/>
              <w:widowControl/>
              <w:suppressLineNumbers w:val="0"/>
              <w:jc w:val="center"/>
              <w:textAlignment w:val="center"/>
              <w:rPr>
                <w:rFonts w:ascii="Times New Roman" w:hAnsi="Times New Roman" w:cs="Times New Roman"/>
                <w:bCs/>
                <w:sz w:val="21"/>
                <w:szCs w:val="21"/>
                <w:lang w:bidi="ar"/>
              </w:rPr>
            </w:pPr>
            <w:r>
              <w:rPr>
                <w:rFonts w:hint="default" w:ascii="Times New Roman" w:hAnsi="Times New Roman" w:eastAsia="宋体" w:cs="Times New Roman"/>
                <w:i w:val="0"/>
                <w:iCs w:val="0"/>
                <w:color w:val="000000"/>
                <w:kern w:val="0"/>
                <w:sz w:val="21"/>
                <w:szCs w:val="21"/>
                <w:u w:val="none"/>
                <w:lang w:val="en-US" w:eastAsia="zh-CN" w:bidi="ar"/>
              </w:rPr>
              <w:t>7.2</w:t>
            </w:r>
          </w:p>
        </w:tc>
        <w:tc>
          <w:tcPr>
            <w:tcW w:w="1994" w:type="dxa"/>
            <w:noWrap w:val="0"/>
            <w:vAlign w:val="center"/>
          </w:tcPr>
          <w:p w14:paraId="5EB1C3FD">
            <w:pPr>
              <w:keepNext w:val="0"/>
              <w:keepLines w:val="0"/>
              <w:widowControl/>
              <w:suppressLineNumbers w:val="0"/>
              <w:jc w:val="center"/>
              <w:textAlignment w:val="center"/>
              <w:rPr>
                <w:rFonts w:ascii="Times New Roman" w:hAnsi="Times New Roman" w:cs="Times New Roman"/>
                <w:bCs/>
                <w:sz w:val="21"/>
                <w:szCs w:val="21"/>
                <w:lang w:bidi="ar"/>
              </w:rPr>
            </w:pPr>
            <w:r>
              <w:rPr>
                <w:rFonts w:hint="default" w:ascii="Times New Roman" w:hAnsi="Times New Roman" w:eastAsia="宋体" w:cs="Times New Roman"/>
                <w:i w:val="0"/>
                <w:iCs w:val="0"/>
                <w:color w:val="000000"/>
                <w:kern w:val="0"/>
                <w:sz w:val="21"/>
                <w:szCs w:val="21"/>
                <w:u w:val="none"/>
                <w:lang w:val="en-US" w:eastAsia="zh-CN" w:bidi="ar"/>
              </w:rPr>
              <w:t>7.4</w:t>
            </w:r>
          </w:p>
        </w:tc>
        <w:tc>
          <w:tcPr>
            <w:tcW w:w="1994" w:type="dxa"/>
            <w:noWrap w:val="0"/>
            <w:vAlign w:val="center"/>
          </w:tcPr>
          <w:p w14:paraId="593D913D">
            <w:pPr>
              <w:keepNext w:val="0"/>
              <w:keepLines w:val="0"/>
              <w:widowControl/>
              <w:suppressLineNumbers w:val="0"/>
              <w:jc w:val="center"/>
              <w:textAlignment w:val="center"/>
              <w:rPr>
                <w:rFonts w:ascii="Times New Roman" w:hAnsi="Times New Roman" w:cs="Times New Roman"/>
                <w:bCs/>
                <w:sz w:val="21"/>
                <w:szCs w:val="21"/>
                <w:lang w:bidi="ar"/>
              </w:rPr>
            </w:pPr>
            <w:r>
              <w:rPr>
                <w:rFonts w:hint="default" w:ascii="Times New Roman" w:hAnsi="Times New Roman" w:eastAsia="宋体" w:cs="Times New Roman"/>
                <w:i w:val="0"/>
                <w:iCs w:val="0"/>
                <w:color w:val="000000"/>
                <w:kern w:val="0"/>
                <w:sz w:val="21"/>
                <w:szCs w:val="21"/>
                <w:u w:val="none"/>
                <w:lang w:val="en-US" w:eastAsia="zh-CN" w:bidi="ar"/>
              </w:rPr>
              <w:t>7.5</w:t>
            </w:r>
          </w:p>
        </w:tc>
      </w:tr>
      <w:tr w14:paraId="25278DC7">
        <w:tblPrEx>
          <w:tblBorders>
            <w:top w:val="thinThickSmallGap" w:color="auto" w:sz="12" w:space="0"/>
            <w:left w:val="none" w:color="auto" w:sz="0" w:space="0"/>
            <w:bottom w:val="thickThinSmallGap" w:color="auto" w:sz="12" w:space="0"/>
            <w:right w:val="none" w:color="auto" w:sz="0" w:space="0"/>
            <w:insideH w:val="single" w:color="auto" w:sz="4" w:space="0"/>
            <w:insideV w:val="single" w:color="000000" w:sz="4" w:space="0"/>
          </w:tblBorders>
          <w:tblCellMar>
            <w:top w:w="0" w:type="dxa"/>
            <w:left w:w="108" w:type="dxa"/>
            <w:bottom w:w="0" w:type="dxa"/>
            <w:right w:w="108" w:type="dxa"/>
          </w:tblCellMar>
        </w:tblPrEx>
        <w:trPr>
          <w:trHeight w:val="340" w:hRule="atLeast"/>
          <w:jc w:val="center"/>
        </w:trPr>
        <w:tc>
          <w:tcPr>
            <w:tcW w:w="447" w:type="dxa"/>
            <w:vMerge w:val="continue"/>
            <w:noWrap w:val="0"/>
            <w:vAlign w:val="center"/>
          </w:tcPr>
          <w:p w14:paraId="5C6827BF">
            <w:pPr>
              <w:jc w:val="center"/>
              <w:rPr>
                <w:rFonts w:ascii="Times New Roman" w:hAnsi="Times New Roman" w:cs="Times New Roman"/>
                <w:bCs/>
                <w:sz w:val="21"/>
                <w:szCs w:val="21"/>
              </w:rPr>
            </w:pPr>
          </w:p>
        </w:tc>
        <w:tc>
          <w:tcPr>
            <w:tcW w:w="1638" w:type="dxa"/>
            <w:noWrap w:val="0"/>
            <w:vAlign w:val="center"/>
          </w:tcPr>
          <w:p w14:paraId="7FC716AB">
            <w:pPr>
              <w:jc w:val="center"/>
              <w:rPr>
                <w:rFonts w:ascii="Times New Roman" w:hAnsi="Times New Roman" w:cs="Times New Roman"/>
                <w:bCs/>
                <w:sz w:val="21"/>
                <w:szCs w:val="21"/>
              </w:rPr>
            </w:pPr>
            <w:r>
              <w:rPr>
                <w:rFonts w:ascii="Times New Roman" w:hAnsi="Times New Roman" w:cs="Times New Roman"/>
                <w:bCs/>
                <w:sz w:val="21"/>
                <w:szCs w:val="21"/>
              </w:rPr>
              <w:t>镍</w:t>
            </w:r>
          </w:p>
        </w:tc>
        <w:tc>
          <w:tcPr>
            <w:tcW w:w="1118" w:type="dxa"/>
            <w:noWrap w:val="0"/>
            <w:vAlign w:val="center"/>
          </w:tcPr>
          <w:p w14:paraId="558D5828">
            <w:pPr>
              <w:jc w:val="center"/>
              <w:rPr>
                <w:rFonts w:ascii="Times New Roman" w:hAnsi="Times New Roman" w:cs="Times New Roman"/>
                <w:bCs/>
                <w:sz w:val="21"/>
                <w:szCs w:val="21"/>
              </w:rPr>
            </w:pPr>
            <w:r>
              <w:rPr>
                <w:rFonts w:ascii="Times New Roman" w:hAnsi="Times New Roman" w:cs="Times New Roman"/>
                <w:bCs/>
                <w:sz w:val="21"/>
                <w:szCs w:val="21"/>
              </w:rPr>
              <w:t>mg/kg</w:t>
            </w:r>
          </w:p>
        </w:tc>
        <w:tc>
          <w:tcPr>
            <w:tcW w:w="1880" w:type="dxa"/>
            <w:noWrap w:val="0"/>
            <w:vAlign w:val="center"/>
          </w:tcPr>
          <w:p w14:paraId="2049547C">
            <w:pPr>
              <w:keepNext w:val="0"/>
              <w:keepLines w:val="0"/>
              <w:widowControl/>
              <w:suppressLineNumbers w:val="0"/>
              <w:jc w:val="center"/>
              <w:textAlignment w:val="center"/>
              <w:rPr>
                <w:rFonts w:ascii="Times New Roman" w:hAnsi="Times New Roman" w:cs="Times New Roman"/>
                <w:bCs/>
                <w:sz w:val="21"/>
                <w:szCs w:val="21"/>
                <w:lang w:bidi="ar"/>
              </w:rPr>
            </w:pPr>
            <w:r>
              <w:rPr>
                <w:rFonts w:hint="default" w:ascii="Times New Roman" w:hAnsi="Times New Roman" w:eastAsia="宋体" w:cs="Times New Roman"/>
                <w:i w:val="0"/>
                <w:iCs w:val="0"/>
                <w:color w:val="000000"/>
                <w:kern w:val="0"/>
                <w:sz w:val="21"/>
                <w:szCs w:val="21"/>
                <w:u w:val="none"/>
                <w:lang w:val="en-US" w:eastAsia="zh-CN" w:bidi="ar"/>
              </w:rPr>
              <w:t>30</w:t>
            </w:r>
          </w:p>
        </w:tc>
        <w:tc>
          <w:tcPr>
            <w:tcW w:w="1994" w:type="dxa"/>
            <w:noWrap w:val="0"/>
            <w:vAlign w:val="center"/>
          </w:tcPr>
          <w:p w14:paraId="13565A75">
            <w:pPr>
              <w:keepNext w:val="0"/>
              <w:keepLines w:val="0"/>
              <w:widowControl/>
              <w:suppressLineNumbers w:val="0"/>
              <w:jc w:val="center"/>
              <w:textAlignment w:val="center"/>
              <w:rPr>
                <w:rFonts w:ascii="Times New Roman" w:hAnsi="Times New Roman" w:cs="Times New Roman"/>
                <w:bCs/>
                <w:sz w:val="21"/>
                <w:szCs w:val="21"/>
                <w:lang w:bidi="ar"/>
              </w:rPr>
            </w:pPr>
            <w:r>
              <w:rPr>
                <w:rFonts w:hint="default" w:ascii="Times New Roman" w:hAnsi="Times New Roman" w:eastAsia="宋体" w:cs="Times New Roman"/>
                <w:i w:val="0"/>
                <w:iCs w:val="0"/>
                <w:color w:val="000000"/>
                <w:kern w:val="0"/>
                <w:sz w:val="21"/>
                <w:szCs w:val="21"/>
                <w:u w:val="none"/>
                <w:lang w:val="en-US" w:eastAsia="zh-CN" w:bidi="ar"/>
              </w:rPr>
              <w:t>22</w:t>
            </w:r>
          </w:p>
        </w:tc>
        <w:tc>
          <w:tcPr>
            <w:tcW w:w="1994" w:type="dxa"/>
            <w:noWrap w:val="0"/>
            <w:vAlign w:val="center"/>
          </w:tcPr>
          <w:p w14:paraId="38D6D9E5">
            <w:pPr>
              <w:keepNext w:val="0"/>
              <w:keepLines w:val="0"/>
              <w:widowControl/>
              <w:suppressLineNumbers w:val="0"/>
              <w:jc w:val="center"/>
              <w:textAlignment w:val="center"/>
              <w:rPr>
                <w:rFonts w:ascii="Times New Roman" w:hAnsi="Times New Roman" w:cs="Times New Roman"/>
                <w:bCs/>
                <w:sz w:val="21"/>
                <w:szCs w:val="21"/>
                <w:lang w:bidi="ar"/>
              </w:rPr>
            </w:pPr>
            <w:r>
              <w:rPr>
                <w:rFonts w:hint="default" w:ascii="Times New Roman" w:hAnsi="Times New Roman" w:eastAsia="宋体" w:cs="Times New Roman"/>
                <w:i w:val="0"/>
                <w:iCs w:val="0"/>
                <w:color w:val="000000"/>
                <w:kern w:val="0"/>
                <w:sz w:val="21"/>
                <w:szCs w:val="21"/>
                <w:u w:val="none"/>
                <w:lang w:val="en-US" w:eastAsia="zh-CN" w:bidi="ar"/>
              </w:rPr>
              <w:t>14</w:t>
            </w:r>
          </w:p>
        </w:tc>
      </w:tr>
      <w:tr w14:paraId="698697BD">
        <w:tblPrEx>
          <w:tblBorders>
            <w:top w:val="thinThickSmallGap" w:color="auto" w:sz="12" w:space="0"/>
            <w:left w:val="none" w:color="auto" w:sz="0" w:space="0"/>
            <w:bottom w:val="thickThinSmallGap" w:color="auto" w:sz="12" w:space="0"/>
            <w:right w:val="none" w:color="auto" w:sz="0" w:space="0"/>
            <w:insideH w:val="single" w:color="auto" w:sz="4" w:space="0"/>
            <w:insideV w:val="single" w:color="000000" w:sz="4" w:space="0"/>
          </w:tblBorders>
          <w:tblCellMar>
            <w:top w:w="0" w:type="dxa"/>
            <w:left w:w="108" w:type="dxa"/>
            <w:bottom w:w="0" w:type="dxa"/>
            <w:right w:w="108" w:type="dxa"/>
          </w:tblCellMar>
        </w:tblPrEx>
        <w:trPr>
          <w:trHeight w:val="340" w:hRule="atLeast"/>
          <w:jc w:val="center"/>
        </w:trPr>
        <w:tc>
          <w:tcPr>
            <w:tcW w:w="447" w:type="dxa"/>
            <w:vMerge w:val="continue"/>
            <w:noWrap w:val="0"/>
            <w:vAlign w:val="center"/>
          </w:tcPr>
          <w:p w14:paraId="308EAA5B">
            <w:pPr>
              <w:jc w:val="center"/>
              <w:rPr>
                <w:rFonts w:ascii="Times New Roman" w:hAnsi="Times New Roman" w:cs="Times New Roman"/>
                <w:bCs/>
                <w:sz w:val="21"/>
                <w:szCs w:val="21"/>
              </w:rPr>
            </w:pPr>
          </w:p>
        </w:tc>
        <w:tc>
          <w:tcPr>
            <w:tcW w:w="1638" w:type="dxa"/>
            <w:noWrap w:val="0"/>
            <w:vAlign w:val="center"/>
          </w:tcPr>
          <w:p w14:paraId="275B1B9F">
            <w:pPr>
              <w:jc w:val="center"/>
              <w:rPr>
                <w:rFonts w:ascii="Times New Roman" w:hAnsi="Times New Roman" w:cs="Times New Roman"/>
                <w:bCs/>
                <w:sz w:val="21"/>
                <w:szCs w:val="21"/>
              </w:rPr>
            </w:pPr>
            <w:r>
              <w:rPr>
                <w:rFonts w:ascii="Times New Roman" w:hAnsi="Times New Roman" w:cs="Times New Roman"/>
                <w:bCs/>
                <w:sz w:val="21"/>
                <w:szCs w:val="21"/>
              </w:rPr>
              <w:t>铅</w:t>
            </w:r>
          </w:p>
        </w:tc>
        <w:tc>
          <w:tcPr>
            <w:tcW w:w="1118" w:type="dxa"/>
            <w:noWrap w:val="0"/>
            <w:vAlign w:val="center"/>
          </w:tcPr>
          <w:p w14:paraId="019A81BB">
            <w:pPr>
              <w:jc w:val="center"/>
              <w:rPr>
                <w:rFonts w:ascii="Times New Roman" w:hAnsi="Times New Roman" w:cs="Times New Roman"/>
                <w:bCs/>
                <w:sz w:val="21"/>
                <w:szCs w:val="21"/>
              </w:rPr>
            </w:pPr>
            <w:r>
              <w:rPr>
                <w:rFonts w:ascii="Times New Roman" w:hAnsi="Times New Roman" w:cs="Times New Roman"/>
                <w:bCs/>
                <w:sz w:val="21"/>
                <w:szCs w:val="21"/>
              </w:rPr>
              <w:t>mg/kg</w:t>
            </w:r>
          </w:p>
        </w:tc>
        <w:tc>
          <w:tcPr>
            <w:tcW w:w="1880" w:type="dxa"/>
            <w:noWrap w:val="0"/>
            <w:vAlign w:val="center"/>
          </w:tcPr>
          <w:p w14:paraId="1004CC9C">
            <w:pPr>
              <w:keepNext w:val="0"/>
              <w:keepLines w:val="0"/>
              <w:widowControl/>
              <w:suppressLineNumbers w:val="0"/>
              <w:jc w:val="center"/>
              <w:textAlignment w:val="center"/>
              <w:rPr>
                <w:rFonts w:ascii="Times New Roman" w:hAnsi="Times New Roman" w:cs="Times New Roman"/>
                <w:bCs/>
                <w:sz w:val="21"/>
                <w:szCs w:val="21"/>
                <w:lang w:bidi="ar"/>
              </w:rPr>
            </w:pPr>
            <w:r>
              <w:rPr>
                <w:rFonts w:hint="default" w:ascii="Times New Roman" w:hAnsi="Times New Roman" w:eastAsia="宋体" w:cs="Times New Roman"/>
                <w:i w:val="0"/>
                <w:iCs w:val="0"/>
                <w:color w:val="000000"/>
                <w:kern w:val="0"/>
                <w:sz w:val="21"/>
                <w:szCs w:val="21"/>
                <w:u w:val="none"/>
                <w:lang w:val="en-US" w:eastAsia="zh-CN" w:bidi="ar"/>
              </w:rPr>
              <w:t>95</w:t>
            </w:r>
          </w:p>
        </w:tc>
        <w:tc>
          <w:tcPr>
            <w:tcW w:w="1994" w:type="dxa"/>
            <w:noWrap w:val="0"/>
            <w:vAlign w:val="center"/>
          </w:tcPr>
          <w:p w14:paraId="1C13CFDB">
            <w:pPr>
              <w:keepNext w:val="0"/>
              <w:keepLines w:val="0"/>
              <w:widowControl/>
              <w:suppressLineNumbers w:val="0"/>
              <w:jc w:val="center"/>
              <w:textAlignment w:val="center"/>
              <w:rPr>
                <w:rFonts w:ascii="Times New Roman" w:hAnsi="Times New Roman" w:cs="Times New Roman"/>
                <w:bCs/>
                <w:sz w:val="21"/>
                <w:szCs w:val="21"/>
                <w:lang w:bidi="ar"/>
              </w:rPr>
            </w:pPr>
            <w:r>
              <w:rPr>
                <w:rFonts w:hint="default" w:ascii="Times New Roman" w:hAnsi="Times New Roman" w:eastAsia="宋体" w:cs="Times New Roman"/>
                <w:i w:val="0"/>
                <w:iCs w:val="0"/>
                <w:color w:val="000000"/>
                <w:kern w:val="0"/>
                <w:sz w:val="21"/>
                <w:szCs w:val="21"/>
                <w:u w:val="none"/>
                <w:lang w:val="en-US" w:eastAsia="zh-CN" w:bidi="ar"/>
              </w:rPr>
              <w:t>58</w:t>
            </w:r>
          </w:p>
        </w:tc>
        <w:tc>
          <w:tcPr>
            <w:tcW w:w="1994" w:type="dxa"/>
            <w:noWrap w:val="0"/>
            <w:vAlign w:val="center"/>
          </w:tcPr>
          <w:p w14:paraId="62B93365">
            <w:pPr>
              <w:keepNext w:val="0"/>
              <w:keepLines w:val="0"/>
              <w:widowControl/>
              <w:suppressLineNumbers w:val="0"/>
              <w:jc w:val="center"/>
              <w:textAlignment w:val="center"/>
              <w:rPr>
                <w:rFonts w:ascii="Times New Roman" w:hAnsi="Times New Roman" w:cs="Times New Roman"/>
                <w:bCs/>
                <w:sz w:val="21"/>
                <w:szCs w:val="21"/>
                <w:lang w:bidi="ar"/>
              </w:rPr>
            </w:pPr>
            <w:r>
              <w:rPr>
                <w:rFonts w:hint="default" w:ascii="Times New Roman" w:hAnsi="Times New Roman" w:eastAsia="宋体" w:cs="Times New Roman"/>
                <w:i w:val="0"/>
                <w:iCs w:val="0"/>
                <w:color w:val="000000"/>
                <w:kern w:val="0"/>
                <w:sz w:val="21"/>
                <w:szCs w:val="21"/>
                <w:u w:val="none"/>
                <w:lang w:val="en-US" w:eastAsia="zh-CN" w:bidi="ar"/>
              </w:rPr>
              <w:t>33</w:t>
            </w:r>
          </w:p>
        </w:tc>
      </w:tr>
      <w:tr w14:paraId="6E037CBA">
        <w:tblPrEx>
          <w:tblBorders>
            <w:top w:val="thinThickSmallGap" w:color="auto" w:sz="12" w:space="0"/>
            <w:left w:val="none" w:color="auto" w:sz="0" w:space="0"/>
            <w:bottom w:val="thickThinSmallGap" w:color="auto" w:sz="12" w:space="0"/>
            <w:right w:val="none" w:color="auto" w:sz="0" w:space="0"/>
            <w:insideH w:val="single" w:color="auto" w:sz="4" w:space="0"/>
            <w:insideV w:val="single" w:color="000000" w:sz="4" w:space="0"/>
          </w:tblBorders>
          <w:tblCellMar>
            <w:top w:w="0" w:type="dxa"/>
            <w:left w:w="108" w:type="dxa"/>
            <w:bottom w:w="0" w:type="dxa"/>
            <w:right w:w="108" w:type="dxa"/>
          </w:tblCellMar>
        </w:tblPrEx>
        <w:trPr>
          <w:trHeight w:val="340" w:hRule="atLeast"/>
          <w:jc w:val="center"/>
        </w:trPr>
        <w:tc>
          <w:tcPr>
            <w:tcW w:w="447" w:type="dxa"/>
            <w:vMerge w:val="continue"/>
            <w:noWrap w:val="0"/>
            <w:vAlign w:val="center"/>
          </w:tcPr>
          <w:p w14:paraId="32F9D45B">
            <w:pPr>
              <w:jc w:val="center"/>
              <w:rPr>
                <w:rFonts w:ascii="Times New Roman" w:hAnsi="Times New Roman" w:cs="Times New Roman"/>
                <w:bCs/>
                <w:sz w:val="21"/>
                <w:szCs w:val="21"/>
              </w:rPr>
            </w:pPr>
          </w:p>
        </w:tc>
        <w:tc>
          <w:tcPr>
            <w:tcW w:w="1638" w:type="dxa"/>
            <w:noWrap w:val="0"/>
            <w:vAlign w:val="center"/>
          </w:tcPr>
          <w:p w14:paraId="33D9ED3B">
            <w:pPr>
              <w:jc w:val="center"/>
              <w:rPr>
                <w:rFonts w:ascii="Times New Roman" w:hAnsi="Times New Roman" w:cs="Times New Roman"/>
                <w:bCs/>
                <w:sz w:val="21"/>
                <w:szCs w:val="21"/>
              </w:rPr>
            </w:pPr>
            <w:r>
              <w:rPr>
                <w:rFonts w:ascii="Times New Roman" w:hAnsi="Times New Roman" w:cs="Times New Roman"/>
                <w:bCs/>
                <w:sz w:val="21"/>
                <w:szCs w:val="21"/>
              </w:rPr>
              <w:t>铜</w:t>
            </w:r>
          </w:p>
        </w:tc>
        <w:tc>
          <w:tcPr>
            <w:tcW w:w="1118" w:type="dxa"/>
            <w:noWrap w:val="0"/>
            <w:vAlign w:val="center"/>
          </w:tcPr>
          <w:p w14:paraId="7FD7D7AB">
            <w:pPr>
              <w:jc w:val="center"/>
              <w:rPr>
                <w:rFonts w:ascii="Times New Roman" w:hAnsi="Times New Roman" w:cs="Times New Roman"/>
                <w:bCs/>
                <w:sz w:val="21"/>
                <w:szCs w:val="21"/>
              </w:rPr>
            </w:pPr>
            <w:r>
              <w:rPr>
                <w:rFonts w:ascii="Times New Roman" w:hAnsi="Times New Roman" w:cs="Times New Roman"/>
                <w:bCs/>
                <w:sz w:val="21"/>
                <w:szCs w:val="21"/>
              </w:rPr>
              <w:t>mg/kg</w:t>
            </w:r>
          </w:p>
        </w:tc>
        <w:tc>
          <w:tcPr>
            <w:tcW w:w="1880" w:type="dxa"/>
            <w:noWrap w:val="0"/>
            <w:vAlign w:val="center"/>
          </w:tcPr>
          <w:p w14:paraId="4A663B08">
            <w:pPr>
              <w:keepNext w:val="0"/>
              <w:keepLines w:val="0"/>
              <w:widowControl/>
              <w:suppressLineNumbers w:val="0"/>
              <w:jc w:val="center"/>
              <w:textAlignment w:val="center"/>
              <w:rPr>
                <w:rFonts w:ascii="Times New Roman" w:hAnsi="Times New Roman" w:cs="Times New Roman"/>
                <w:bCs/>
                <w:sz w:val="21"/>
                <w:szCs w:val="21"/>
                <w:lang w:bidi="ar"/>
              </w:rPr>
            </w:pPr>
            <w:r>
              <w:rPr>
                <w:rFonts w:hint="default" w:ascii="Times New Roman" w:hAnsi="Times New Roman" w:eastAsia="宋体" w:cs="Times New Roman"/>
                <w:i w:val="0"/>
                <w:iCs w:val="0"/>
                <w:color w:val="000000"/>
                <w:kern w:val="0"/>
                <w:sz w:val="21"/>
                <w:szCs w:val="21"/>
                <w:u w:val="none"/>
                <w:lang w:val="en-US" w:eastAsia="zh-CN" w:bidi="ar"/>
              </w:rPr>
              <w:t>57</w:t>
            </w:r>
          </w:p>
        </w:tc>
        <w:tc>
          <w:tcPr>
            <w:tcW w:w="1994" w:type="dxa"/>
            <w:noWrap w:val="0"/>
            <w:vAlign w:val="center"/>
          </w:tcPr>
          <w:p w14:paraId="48109548">
            <w:pPr>
              <w:keepNext w:val="0"/>
              <w:keepLines w:val="0"/>
              <w:widowControl/>
              <w:suppressLineNumbers w:val="0"/>
              <w:jc w:val="center"/>
              <w:textAlignment w:val="center"/>
              <w:rPr>
                <w:rFonts w:ascii="Times New Roman" w:hAnsi="Times New Roman" w:cs="Times New Roman"/>
                <w:bCs/>
                <w:sz w:val="21"/>
                <w:szCs w:val="21"/>
                <w:lang w:bidi="ar"/>
              </w:rPr>
            </w:pPr>
            <w:r>
              <w:rPr>
                <w:rFonts w:hint="default" w:ascii="Times New Roman" w:hAnsi="Times New Roman" w:eastAsia="宋体" w:cs="Times New Roman"/>
                <w:i w:val="0"/>
                <w:iCs w:val="0"/>
                <w:color w:val="000000"/>
                <w:kern w:val="0"/>
                <w:sz w:val="21"/>
                <w:szCs w:val="21"/>
                <w:u w:val="none"/>
                <w:lang w:val="en-US" w:eastAsia="zh-CN" w:bidi="ar"/>
              </w:rPr>
              <w:t>42</w:t>
            </w:r>
          </w:p>
        </w:tc>
        <w:tc>
          <w:tcPr>
            <w:tcW w:w="1994" w:type="dxa"/>
            <w:noWrap w:val="0"/>
            <w:vAlign w:val="center"/>
          </w:tcPr>
          <w:p w14:paraId="57C20754">
            <w:pPr>
              <w:keepNext w:val="0"/>
              <w:keepLines w:val="0"/>
              <w:widowControl/>
              <w:suppressLineNumbers w:val="0"/>
              <w:jc w:val="center"/>
              <w:textAlignment w:val="center"/>
              <w:rPr>
                <w:rFonts w:ascii="Times New Roman" w:hAnsi="Times New Roman" w:cs="Times New Roman"/>
                <w:bCs/>
                <w:sz w:val="21"/>
                <w:szCs w:val="21"/>
                <w:lang w:bidi="ar"/>
              </w:rPr>
            </w:pPr>
            <w:r>
              <w:rPr>
                <w:rFonts w:hint="default" w:ascii="Times New Roman" w:hAnsi="Times New Roman" w:eastAsia="宋体" w:cs="Times New Roman"/>
                <w:i w:val="0"/>
                <w:iCs w:val="0"/>
                <w:color w:val="000000"/>
                <w:kern w:val="0"/>
                <w:sz w:val="21"/>
                <w:szCs w:val="21"/>
                <w:u w:val="none"/>
                <w:lang w:val="en-US" w:eastAsia="zh-CN" w:bidi="ar"/>
              </w:rPr>
              <w:t>24</w:t>
            </w:r>
          </w:p>
        </w:tc>
      </w:tr>
      <w:tr w14:paraId="110470F6">
        <w:tblPrEx>
          <w:tblBorders>
            <w:top w:val="thinThickSmallGap" w:color="auto" w:sz="12" w:space="0"/>
            <w:left w:val="none" w:color="auto" w:sz="0" w:space="0"/>
            <w:bottom w:val="thickThinSmallGap" w:color="auto" w:sz="12" w:space="0"/>
            <w:right w:val="none" w:color="auto" w:sz="0" w:space="0"/>
            <w:insideH w:val="single" w:color="auto" w:sz="4" w:space="0"/>
            <w:insideV w:val="single" w:color="000000" w:sz="4" w:space="0"/>
          </w:tblBorders>
          <w:tblCellMar>
            <w:top w:w="0" w:type="dxa"/>
            <w:left w:w="108" w:type="dxa"/>
            <w:bottom w:w="0" w:type="dxa"/>
            <w:right w:w="108" w:type="dxa"/>
          </w:tblCellMar>
        </w:tblPrEx>
        <w:trPr>
          <w:trHeight w:val="340" w:hRule="atLeast"/>
          <w:jc w:val="center"/>
        </w:trPr>
        <w:tc>
          <w:tcPr>
            <w:tcW w:w="447" w:type="dxa"/>
            <w:vMerge w:val="continue"/>
            <w:noWrap w:val="0"/>
            <w:vAlign w:val="center"/>
          </w:tcPr>
          <w:p w14:paraId="558F125A">
            <w:pPr>
              <w:jc w:val="center"/>
              <w:rPr>
                <w:rFonts w:ascii="Times New Roman" w:hAnsi="Times New Roman" w:cs="Times New Roman"/>
                <w:bCs/>
                <w:sz w:val="21"/>
                <w:szCs w:val="21"/>
              </w:rPr>
            </w:pPr>
          </w:p>
        </w:tc>
        <w:tc>
          <w:tcPr>
            <w:tcW w:w="1638" w:type="dxa"/>
            <w:noWrap w:val="0"/>
            <w:vAlign w:val="center"/>
          </w:tcPr>
          <w:p w14:paraId="03406451">
            <w:pPr>
              <w:jc w:val="center"/>
              <w:rPr>
                <w:rFonts w:ascii="Times New Roman" w:hAnsi="Times New Roman" w:cs="Times New Roman"/>
                <w:bCs/>
                <w:sz w:val="21"/>
                <w:szCs w:val="21"/>
              </w:rPr>
            </w:pPr>
            <w:r>
              <w:rPr>
                <w:rFonts w:ascii="Times New Roman" w:hAnsi="Times New Roman" w:cs="Times New Roman"/>
                <w:bCs/>
                <w:sz w:val="21"/>
                <w:szCs w:val="21"/>
              </w:rPr>
              <w:t>汞</w:t>
            </w:r>
          </w:p>
        </w:tc>
        <w:tc>
          <w:tcPr>
            <w:tcW w:w="1118" w:type="dxa"/>
            <w:noWrap w:val="0"/>
            <w:vAlign w:val="center"/>
          </w:tcPr>
          <w:p w14:paraId="14F94105">
            <w:pPr>
              <w:jc w:val="center"/>
              <w:rPr>
                <w:rFonts w:ascii="Times New Roman" w:hAnsi="Times New Roman" w:cs="Times New Roman"/>
                <w:bCs/>
                <w:sz w:val="21"/>
                <w:szCs w:val="21"/>
              </w:rPr>
            </w:pPr>
            <w:r>
              <w:rPr>
                <w:rFonts w:ascii="Times New Roman" w:hAnsi="Times New Roman" w:cs="Times New Roman"/>
                <w:bCs/>
                <w:sz w:val="21"/>
                <w:szCs w:val="21"/>
              </w:rPr>
              <w:t>mg/kg</w:t>
            </w:r>
          </w:p>
        </w:tc>
        <w:tc>
          <w:tcPr>
            <w:tcW w:w="1880" w:type="dxa"/>
            <w:noWrap w:val="0"/>
            <w:vAlign w:val="center"/>
          </w:tcPr>
          <w:p w14:paraId="308AAAF6">
            <w:pPr>
              <w:keepNext w:val="0"/>
              <w:keepLines w:val="0"/>
              <w:widowControl/>
              <w:suppressLineNumbers w:val="0"/>
              <w:jc w:val="center"/>
              <w:textAlignment w:val="center"/>
              <w:rPr>
                <w:rFonts w:ascii="Times New Roman" w:hAnsi="Times New Roman" w:cs="Times New Roman"/>
                <w:bCs/>
                <w:sz w:val="21"/>
                <w:szCs w:val="21"/>
                <w:lang w:bidi="ar"/>
              </w:rPr>
            </w:pPr>
            <w:r>
              <w:rPr>
                <w:rFonts w:hint="default" w:ascii="Times New Roman" w:hAnsi="Times New Roman" w:eastAsia="宋体" w:cs="Times New Roman"/>
                <w:i w:val="0"/>
                <w:iCs w:val="0"/>
                <w:color w:val="000000"/>
                <w:kern w:val="0"/>
                <w:sz w:val="21"/>
                <w:szCs w:val="21"/>
                <w:u w:val="none"/>
                <w:lang w:val="en-US" w:eastAsia="zh-CN" w:bidi="ar"/>
              </w:rPr>
              <w:t>0.35</w:t>
            </w:r>
          </w:p>
        </w:tc>
        <w:tc>
          <w:tcPr>
            <w:tcW w:w="1994" w:type="dxa"/>
            <w:noWrap w:val="0"/>
            <w:vAlign w:val="center"/>
          </w:tcPr>
          <w:p w14:paraId="24FE0DE5">
            <w:pPr>
              <w:keepNext w:val="0"/>
              <w:keepLines w:val="0"/>
              <w:widowControl/>
              <w:suppressLineNumbers w:val="0"/>
              <w:jc w:val="center"/>
              <w:textAlignment w:val="center"/>
              <w:rPr>
                <w:rFonts w:ascii="Times New Roman" w:hAnsi="Times New Roman" w:cs="Times New Roman"/>
                <w:bCs/>
                <w:sz w:val="21"/>
                <w:szCs w:val="21"/>
                <w:lang w:bidi="ar"/>
              </w:rPr>
            </w:pPr>
            <w:r>
              <w:rPr>
                <w:rFonts w:hint="default" w:ascii="Times New Roman" w:hAnsi="Times New Roman" w:eastAsia="宋体" w:cs="Times New Roman"/>
                <w:i w:val="0"/>
                <w:iCs w:val="0"/>
                <w:color w:val="000000"/>
                <w:kern w:val="0"/>
                <w:sz w:val="21"/>
                <w:szCs w:val="21"/>
                <w:u w:val="none"/>
                <w:lang w:val="en-US" w:eastAsia="zh-CN" w:bidi="ar"/>
              </w:rPr>
              <w:t>0.319</w:t>
            </w:r>
          </w:p>
        </w:tc>
        <w:tc>
          <w:tcPr>
            <w:tcW w:w="1994" w:type="dxa"/>
            <w:noWrap w:val="0"/>
            <w:vAlign w:val="center"/>
          </w:tcPr>
          <w:p w14:paraId="75D9A0CD">
            <w:pPr>
              <w:keepNext w:val="0"/>
              <w:keepLines w:val="0"/>
              <w:widowControl/>
              <w:suppressLineNumbers w:val="0"/>
              <w:jc w:val="center"/>
              <w:textAlignment w:val="center"/>
              <w:rPr>
                <w:rFonts w:ascii="Times New Roman" w:hAnsi="Times New Roman" w:cs="Times New Roman"/>
                <w:bCs/>
                <w:sz w:val="21"/>
                <w:szCs w:val="21"/>
                <w:lang w:bidi="ar"/>
              </w:rPr>
            </w:pPr>
            <w:r>
              <w:rPr>
                <w:rFonts w:hint="default" w:ascii="Times New Roman" w:hAnsi="Times New Roman" w:eastAsia="宋体" w:cs="Times New Roman"/>
                <w:i w:val="0"/>
                <w:iCs w:val="0"/>
                <w:color w:val="000000"/>
                <w:kern w:val="0"/>
                <w:sz w:val="21"/>
                <w:szCs w:val="21"/>
                <w:u w:val="none"/>
                <w:lang w:val="en-US" w:eastAsia="zh-CN" w:bidi="ar"/>
              </w:rPr>
              <w:t>0.292</w:t>
            </w:r>
          </w:p>
        </w:tc>
      </w:tr>
      <w:tr w14:paraId="2729AFBF">
        <w:tblPrEx>
          <w:tblBorders>
            <w:top w:val="thinThickSmallGap" w:color="auto" w:sz="12" w:space="0"/>
            <w:left w:val="none" w:color="auto" w:sz="0" w:space="0"/>
            <w:bottom w:val="thickThinSmallGap" w:color="auto" w:sz="12" w:space="0"/>
            <w:right w:val="none" w:color="auto" w:sz="0" w:space="0"/>
            <w:insideH w:val="single" w:color="auto" w:sz="4" w:space="0"/>
            <w:insideV w:val="single" w:color="000000" w:sz="4" w:space="0"/>
          </w:tblBorders>
          <w:tblCellMar>
            <w:top w:w="0" w:type="dxa"/>
            <w:left w:w="108" w:type="dxa"/>
            <w:bottom w:w="0" w:type="dxa"/>
            <w:right w:w="108" w:type="dxa"/>
          </w:tblCellMar>
        </w:tblPrEx>
        <w:trPr>
          <w:trHeight w:val="340" w:hRule="atLeast"/>
          <w:jc w:val="center"/>
        </w:trPr>
        <w:tc>
          <w:tcPr>
            <w:tcW w:w="447" w:type="dxa"/>
            <w:vMerge w:val="continue"/>
            <w:noWrap w:val="0"/>
            <w:vAlign w:val="center"/>
          </w:tcPr>
          <w:p w14:paraId="3C19DF84">
            <w:pPr>
              <w:jc w:val="center"/>
              <w:rPr>
                <w:rFonts w:ascii="Times New Roman" w:hAnsi="Times New Roman" w:cs="Times New Roman"/>
                <w:bCs/>
                <w:sz w:val="21"/>
                <w:szCs w:val="21"/>
              </w:rPr>
            </w:pPr>
          </w:p>
        </w:tc>
        <w:tc>
          <w:tcPr>
            <w:tcW w:w="1638" w:type="dxa"/>
            <w:noWrap w:val="0"/>
            <w:vAlign w:val="center"/>
          </w:tcPr>
          <w:p w14:paraId="004640BD">
            <w:pPr>
              <w:jc w:val="center"/>
              <w:rPr>
                <w:rFonts w:ascii="Times New Roman" w:hAnsi="Times New Roman" w:cs="Times New Roman"/>
                <w:bCs/>
                <w:sz w:val="21"/>
                <w:szCs w:val="21"/>
              </w:rPr>
            </w:pPr>
            <w:r>
              <w:rPr>
                <w:rFonts w:ascii="Times New Roman" w:hAnsi="Times New Roman" w:cs="Times New Roman"/>
                <w:bCs/>
                <w:sz w:val="21"/>
                <w:szCs w:val="21"/>
              </w:rPr>
              <w:t>镉</w:t>
            </w:r>
          </w:p>
        </w:tc>
        <w:tc>
          <w:tcPr>
            <w:tcW w:w="1118" w:type="dxa"/>
            <w:noWrap w:val="0"/>
            <w:vAlign w:val="center"/>
          </w:tcPr>
          <w:p w14:paraId="4D49116A">
            <w:pPr>
              <w:jc w:val="center"/>
              <w:rPr>
                <w:rFonts w:ascii="Times New Roman" w:hAnsi="Times New Roman" w:cs="Times New Roman"/>
                <w:bCs/>
                <w:sz w:val="21"/>
                <w:szCs w:val="21"/>
              </w:rPr>
            </w:pPr>
            <w:r>
              <w:rPr>
                <w:rFonts w:ascii="Times New Roman" w:hAnsi="Times New Roman" w:cs="Times New Roman"/>
                <w:bCs/>
                <w:sz w:val="21"/>
                <w:szCs w:val="21"/>
              </w:rPr>
              <w:t>mg/kg</w:t>
            </w:r>
          </w:p>
        </w:tc>
        <w:tc>
          <w:tcPr>
            <w:tcW w:w="1880" w:type="dxa"/>
            <w:noWrap w:val="0"/>
            <w:vAlign w:val="center"/>
          </w:tcPr>
          <w:p w14:paraId="16282781">
            <w:pPr>
              <w:keepNext w:val="0"/>
              <w:keepLines w:val="0"/>
              <w:widowControl/>
              <w:suppressLineNumbers w:val="0"/>
              <w:jc w:val="center"/>
              <w:textAlignment w:val="center"/>
              <w:rPr>
                <w:rFonts w:ascii="Times New Roman" w:hAnsi="Times New Roman" w:cs="Times New Roman"/>
                <w:bCs/>
                <w:sz w:val="21"/>
                <w:szCs w:val="21"/>
                <w:lang w:bidi="ar"/>
              </w:rPr>
            </w:pPr>
            <w:r>
              <w:rPr>
                <w:rFonts w:hint="default" w:ascii="Times New Roman" w:hAnsi="Times New Roman" w:eastAsia="宋体" w:cs="Times New Roman"/>
                <w:i w:val="0"/>
                <w:iCs w:val="0"/>
                <w:color w:val="000000"/>
                <w:kern w:val="0"/>
                <w:sz w:val="21"/>
                <w:szCs w:val="21"/>
                <w:u w:val="none"/>
                <w:lang w:val="en-US" w:eastAsia="zh-CN" w:bidi="ar"/>
              </w:rPr>
              <w:t>0.14</w:t>
            </w:r>
          </w:p>
        </w:tc>
        <w:tc>
          <w:tcPr>
            <w:tcW w:w="1994" w:type="dxa"/>
            <w:noWrap w:val="0"/>
            <w:vAlign w:val="center"/>
          </w:tcPr>
          <w:p w14:paraId="114F4C24">
            <w:pPr>
              <w:keepNext w:val="0"/>
              <w:keepLines w:val="0"/>
              <w:widowControl/>
              <w:suppressLineNumbers w:val="0"/>
              <w:jc w:val="center"/>
              <w:textAlignment w:val="center"/>
              <w:rPr>
                <w:rFonts w:ascii="Times New Roman" w:hAnsi="Times New Roman" w:cs="Times New Roman"/>
                <w:bCs/>
                <w:sz w:val="21"/>
                <w:szCs w:val="21"/>
                <w:lang w:bidi="ar"/>
              </w:rPr>
            </w:pPr>
            <w:r>
              <w:rPr>
                <w:rFonts w:hint="default" w:ascii="Times New Roman" w:hAnsi="Times New Roman" w:eastAsia="宋体" w:cs="Times New Roman"/>
                <w:i w:val="0"/>
                <w:iCs w:val="0"/>
                <w:color w:val="000000"/>
                <w:kern w:val="0"/>
                <w:sz w:val="21"/>
                <w:szCs w:val="21"/>
                <w:u w:val="none"/>
                <w:lang w:val="en-US" w:eastAsia="zh-CN" w:bidi="ar"/>
              </w:rPr>
              <w:t>0.12</w:t>
            </w:r>
          </w:p>
        </w:tc>
        <w:tc>
          <w:tcPr>
            <w:tcW w:w="1994" w:type="dxa"/>
            <w:noWrap w:val="0"/>
            <w:vAlign w:val="center"/>
          </w:tcPr>
          <w:p w14:paraId="5B5087E6">
            <w:pPr>
              <w:keepNext w:val="0"/>
              <w:keepLines w:val="0"/>
              <w:widowControl/>
              <w:suppressLineNumbers w:val="0"/>
              <w:jc w:val="center"/>
              <w:textAlignment w:val="center"/>
              <w:rPr>
                <w:rFonts w:ascii="Times New Roman" w:hAnsi="Times New Roman" w:cs="Times New Roman"/>
                <w:bCs/>
                <w:sz w:val="21"/>
                <w:szCs w:val="21"/>
                <w:lang w:bidi="ar"/>
              </w:rPr>
            </w:pPr>
            <w:r>
              <w:rPr>
                <w:rFonts w:hint="default" w:ascii="Times New Roman" w:hAnsi="Times New Roman" w:eastAsia="宋体" w:cs="Times New Roman"/>
                <w:i w:val="0"/>
                <w:iCs w:val="0"/>
                <w:color w:val="000000"/>
                <w:kern w:val="0"/>
                <w:sz w:val="21"/>
                <w:szCs w:val="21"/>
                <w:u w:val="none"/>
                <w:lang w:val="en-US" w:eastAsia="zh-CN" w:bidi="ar"/>
              </w:rPr>
              <w:t>0.09</w:t>
            </w:r>
          </w:p>
        </w:tc>
      </w:tr>
      <w:tr w14:paraId="7D3FFA1C">
        <w:tblPrEx>
          <w:tblBorders>
            <w:top w:val="thinThickSmallGap" w:color="auto" w:sz="12" w:space="0"/>
            <w:left w:val="none" w:color="auto" w:sz="0" w:space="0"/>
            <w:bottom w:val="thickThinSmallGap" w:color="auto" w:sz="12" w:space="0"/>
            <w:right w:val="none" w:color="auto" w:sz="0" w:space="0"/>
            <w:insideH w:val="single" w:color="auto" w:sz="4" w:space="0"/>
            <w:insideV w:val="single" w:color="000000" w:sz="4" w:space="0"/>
          </w:tblBorders>
          <w:tblCellMar>
            <w:top w:w="0" w:type="dxa"/>
            <w:left w:w="108" w:type="dxa"/>
            <w:bottom w:w="0" w:type="dxa"/>
            <w:right w:w="108" w:type="dxa"/>
          </w:tblCellMar>
        </w:tblPrEx>
        <w:trPr>
          <w:trHeight w:val="340" w:hRule="atLeast"/>
          <w:jc w:val="center"/>
        </w:trPr>
        <w:tc>
          <w:tcPr>
            <w:tcW w:w="447" w:type="dxa"/>
            <w:vMerge w:val="continue"/>
            <w:noWrap w:val="0"/>
            <w:vAlign w:val="center"/>
          </w:tcPr>
          <w:p w14:paraId="1984DE51">
            <w:pPr>
              <w:jc w:val="center"/>
              <w:rPr>
                <w:rFonts w:ascii="Times New Roman" w:hAnsi="Times New Roman" w:cs="Times New Roman"/>
                <w:bCs/>
                <w:sz w:val="21"/>
                <w:szCs w:val="21"/>
              </w:rPr>
            </w:pPr>
          </w:p>
        </w:tc>
        <w:tc>
          <w:tcPr>
            <w:tcW w:w="1638" w:type="dxa"/>
            <w:noWrap w:val="0"/>
            <w:vAlign w:val="center"/>
          </w:tcPr>
          <w:p w14:paraId="63B65048">
            <w:pPr>
              <w:jc w:val="center"/>
              <w:rPr>
                <w:rFonts w:ascii="Times New Roman" w:hAnsi="Times New Roman" w:cs="Times New Roman"/>
                <w:bCs/>
                <w:sz w:val="21"/>
                <w:szCs w:val="21"/>
              </w:rPr>
            </w:pPr>
            <w:r>
              <w:rPr>
                <w:rFonts w:ascii="Times New Roman" w:hAnsi="Times New Roman" w:cs="Times New Roman"/>
                <w:bCs/>
                <w:sz w:val="21"/>
                <w:szCs w:val="21"/>
              </w:rPr>
              <w:t>砷</w:t>
            </w:r>
          </w:p>
        </w:tc>
        <w:tc>
          <w:tcPr>
            <w:tcW w:w="1118" w:type="dxa"/>
            <w:noWrap w:val="0"/>
            <w:vAlign w:val="center"/>
          </w:tcPr>
          <w:p w14:paraId="3DB021D1">
            <w:pPr>
              <w:jc w:val="center"/>
              <w:rPr>
                <w:rFonts w:ascii="Times New Roman" w:hAnsi="Times New Roman" w:cs="Times New Roman"/>
                <w:bCs/>
                <w:sz w:val="21"/>
                <w:szCs w:val="21"/>
              </w:rPr>
            </w:pPr>
            <w:r>
              <w:rPr>
                <w:rFonts w:ascii="Times New Roman" w:hAnsi="Times New Roman" w:cs="Times New Roman"/>
                <w:bCs/>
                <w:sz w:val="21"/>
                <w:szCs w:val="21"/>
              </w:rPr>
              <w:t>mg/kg</w:t>
            </w:r>
          </w:p>
        </w:tc>
        <w:tc>
          <w:tcPr>
            <w:tcW w:w="1880" w:type="dxa"/>
            <w:noWrap w:val="0"/>
            <w:vAlign w:val="center"/>
          </w:tcPr>
          <w:p w14:paraId="542E8BC7">
            <w:pPr>
              <w:keepNext w:val="0"/>
              <w:keepLines w:val="0"/>
              <w:widowControl/>
              <w:suppressLineNumbers w:val="0"/>
              <w:jc w:val="center"/>
              <w:textAlignment w:val="center"/>
              <w:rPr>
                <w:rFonts w:ascii="Times New Roman" w:hAnsi="Times New Roman" w:cs="Times New Roman"/>
                <w:bCs/>
                <w:sz w:val="21"/>
                <w:szCs w:val="21"/>
                <w:lang w:bidi="ar"/>
              </w:rPr>
            </w:pPr>
            <w:r>
              <w:rPr>
                <w:rFonts w:hint="default" w:ascii="Times New Roman" w:hAnsi="Times New Roman" w:eastAsia="宋体" w:cs="Times New Roman"/>
                <w:i w:val="0"/>
                <w:iCs w:val="0"/>
                <w:color w:val="000000"/>
                <w:kern w:val="0"/>
                <w:sz w:val="21"/>
                <w:szCs w:val="21"/>
                <w:u w:val="none"/>
                <w:lang w:val="en-US" w:eastAsia="zh-CN" w:bidi="ar"/>
              </w:rPr>
              <w:t>5.1</w:t>
            </w:r>
          </w:p>
        </w:tc>
        <w:tc>
          <w:tcPr>
            <w:tcW w:w="1994" w:type="dxa"/>
            <w:noWrap w:val="0"/>
            <w:vAlign w:val="center"/>
          </w:tcPr>
          <w:p w14:paraId="63987C51">
            <w:pPr>
              <w:keepNext w:val="0"/>
              <w:keepLines w:val="0"/>
              <w:widowControl/>
              <w:suppressLineNumbers w:val="0"/>
              <w:jc w:val="center"/>
              <w:textAlignment w:val="center"/>
              <w:rPr>
                <w:rFonts w:ascii="Times New Roman" w:hAnsi="Times New Roman" w:cs="Times New Roman"/>
                <w:bCs/>
                <w:sz w:val="21"/>
                <w:szCs w:val="21"/>
                <w:lang w:bidi="ar"/>
              </w:rPr>
            </w:pPr>
            <w:r>
              <w:rPr>
                <w:rFonts w:hint="default" w:ascii="Times New Roman" w:hAnsi="Times New Roman" w:eastAsia="宋体" w:cs="Times New Roman"/>
                <w:i w:val="0"/>
                <w:iCs w:val="0"/>
                <w:color w:val="000000"/>
                <w:kern w:val="0"/>
                <w:sz w:val="21"/>
                <w:szCs w:val="21"/>
                <w:u w:val="none"/>
                <w:lang w:val="en-US" w:eastAsia="zh-CN" w:bidi="ar"/>
              </w:rPr>
              <w:t>4.96</w:t>
            </w:r>
          </w:p>
        </w:tc>
        <w:tc>
          <w:tcPr>
            <w:tcW w:w="1994" w:type="dxa"/>
            <w:noWrap w:val="0"/>
            <w:vAlign w:val="center"/>
          </w:tcPr>
          <w:p w14:paraId="06C35CC8">
            <w:pPr>
              <w:keepNext w:val="0"/>
              <w:keepLines w:val="0"/>
              <w:widowControl/>
              <w:suppressLineNumbers w:val="0"/>
              <w:jc w:val="center"/>
              <w:textAlignment w:val="center"/>
              <w:rPr>
                <w:rFonts w:ascii="Times New Roman" w:hAnsi="Times New Roman" w:cs="Times New Roman"/>
                <w:bCs/>
                <w:sz w:val="21"/>
                <w:szCs w:val="21"/>
                <w:lang w:bidi="ar"/>
              </w:rPr>
            </w:pPr>
            <w:r>
              <w:rPr>
                <w:rFonts w:hint="default" w:ascii="Times New Roman" w:hAnsi="Times New Roman" w:eastAsia="宋体" w:cs="Times New Roman"/>
                <w:i w:val="0"/>
                <w:iCs w:val="0"/>
                <w:color w:val="000000"/>
                <w:kern w:val="0"/>
                <w:sz w:val="21"/>
                <w:szCs w:val="21"/>
                <w:u w:val="none"/>
                <w:lang w:val="en-US" w:eastAsia="zh-CN" w:bidi="ar"/>
              </w:rPr>
              <w:t>4.61</w:t>
            </w:r>
          </w:p>
        </w:tc>
      </w:tr>
      <w:tr w14:paraId="1FC54E88">
        <w:tblPrEx>
          <w:tblBorders>
            <w:top w:val="thinThickSmallGap" w:color="auto" w:sz="12" w:space="0"/>
            <w:left w:val="none" w:color="auto" w:sz="0" w:space="0"/>
            <w:bottom w:val="thickThinSmallGap" w:color="auto" w:sz="12" w:space="0"/>
            <w:right w:val="none" w:color="auto" w:sz="0" w:space="0"/>
            <w:insideH w:val="single" w:color="auto" w:sz="4" w:space="0"/>
            <w:insideV w:val="single" w:color="000000" w:sz="4" w:space="0"/>
          </w:tblBorders>
          <w:tblCellMar>
            <w:top w:w="0" w:type="dxa"/>
            <w:left w:w="108" w:type="dxa"/>
            <w:bottom w:w="0" w:type="dxa"/>
            <w:right w:w="108" w:type="dxa"/>
          </w:tblCellMar>
        </w:tblPrEx>
        <w:trPr>
          <w:trHeight w:val="340" w:hRule="atLeast"/>
          <w:jc w:val="center"/>
        </w:trPr>
        <w:tc>
          <w:tcPr>
            <w:tcW w:w="447" w:type="dxa"/>
            <w:vMerge w:val="continue"/>
            <w:noWrap w:val="0"/>
            <w:vAlign w:val="center"/>
          </w:tcPr>
          <w:p w14:paraId="51F52157">
            <w:pPr>
              <w:jc w:val="center"/>
              <w:rPr>
                <w:rFonts w:ascii="Times New Roman" w:hAnsi="Times New Roman" w:cs="Times New Roman"/>
                <w:bCs/>
                <w:sz w:val="21"/>
                <w:szCs w:val="21"/>
              </w:rPr>
            </w:pPr>
          </w:p>
        </w:tc>
        <w:tc>
          <w:tcPr>
            <w:tcW w:w="1638" w:type="dxa"/>
            <w:noWrap w:val="0"/>
            <w:vAlign w:val="center"/>
          </w:tcPr>
          <w:p w14:paraId="14E76C13">
            <w:pPr>
              <w:jc w:val="center"/>
              <w:rPr>
                <w:rFonts w:ascii="Times New Roman" w:hAnsi="Times New Roman" w:cs="Times New Roman"/>
                <w:bCs/>
                <w:sz w:val="21"/>
                <w:szCs w:val="21"/>
              </w:rPr>
            </w:pPr>
            <w:r>
              <w:rPr>
                <w:rFonts w:ascii="Times New Roman" w:hAnsi="Times New Roman" w:cs="Times New Roman"/>
                <w:bCs/>
                <w:sz w:val="21"/>
                <w:szCs w:val="21"/>
              </w:rPr>
              <w:t>铬（六价）</w:t>
            </w:r>
          </w:p>
        </w:tc>
        <w:tc>
          <w:tcPr>
            <w:tcW w:w="1118" w:type="dxa"/>
            <w:noWrap w:val="0"/>
            <w:vAlign w:val="center"/>
          </w:tcPr>
          <w:p w14:paraId="35FB4BCC">
            <w:pPr>
              <w:jc w:val="center"/>
              <w:rPr>
                <w:rFonts w:ascii="Times New Roman" w:hAnsi="Times New Roman" w:cs="Times New Roman"/>
                <w:bCs/>
                <w:sz w:val="21"/>
                <w:szCs w:val="21"/>
              </w:rPr>
            </w:pPr>
            <w:r>
              <w:rPr>
                <w:rFonts w:ascii="Times New Roman" w:hAnsi="Times New Roman" w:cs="Times New Roman"/>
                <w:bCs/>
                <w:sz w:val="21"/>
                <w:szCs w:val="21"/>
              </w:rPr>
              <w:t>mg/kg</w:t>
            </w:r>
          </w:p>
        </w:tc>
        <w:tc>
          <w:tcPr>
            <w:tcW w:w="1880" w:type="dxa"/>
            <w:noWrap w:val="0"/>
            <w:vAlign w:val="center"/>
          </w:tcPr>
          <w:p w14:paraId="63F4CC09">
            <w:pPr>
              <w:keepNext w:val="0"/>
              <w:keepLines w:val="0"/>
              <w:widowControl/>
              <w:suppressLineNumbers w:val="0"/>
              <w:jc w:val="center"/>
              <w:textAlignment w:val="center"/>
              <w:rPr>
                <w:rFonts w:ascii="Times New Roman" w:hAnsi="Times New Roman" w:cs="Times New Roman"/>
                <w:bCs/>
                <w:sz w:val="21"/>
                <w:szCs w:val="21"/>
                <w:lang w:bidi="ar"/>
              </w:rPr>
            </w:pPr>
            <w:r>
              <w:rPr>
                <w:rFonts w:hint="default" w:ascii="Times New Roman" w:hAnsi="Times New Roman" w:eastAsia="宋体" w:cs="Times New Roman"/>
                <w:i w:val="0"/>
                <w:iCs w:val="0"/>
                <w:color w:val="000000"/>
                <w:kern w:val="0"/>
                <w:sz w:val="21"/>
                <w:szCs w:val="21"/>
                <w:u w:val="none"/>
                <w:lang w:val="en-US" w:eastAsia="zh-CN" w:bidi="ar"/>
              </w:rPr>
              <w:t>ND</w:t>
            </w:r>
          </w:p>
        </w:tc>
        <w:tc>
          <w:tcPr>
            <w:tcW w:w="1994" w:type="dxa"/>
            <w:noWrap w:val="0"/>
            <w:vAlign w:val="center"/>
          </w:tcPr>
          <w:p w14:paraId="3CA99250">
            <w:pPr>
              <w:keepNext w:val="0"/>
              <w:keepLines w:val="0"/>
              <w:widowControl/>
              <w:suppressLineNumbers w:val="0"/>
              <w:jc w:val="center"/>
              <w:textAlignment w:val="center"/>
              <w:rPr>
                <w:rFonts w:ascii="Times New Roman" w:hAnsi="Times New Roman" w:cs="Times New Roman"/>
                <w:bCs/>
                <w:sz w:val="21"/>
                <w:szCs w:val="21"/>
                <w:lang w:bidi="ar"/>
              </w:rPr>
            </w:pPr>
            <w:r>
              <w:rPr>
                <w:rFonts w:hint="default" w:ascii="Times New Roman" w:hAnsi="Times New Roman" w:eastAsia="宋体" w:cs="Times New Roman"/>
                <w:i w:val="0"/>
                <w:iCs w:val="0"/>
                <w:color w:val="000000"/>
                <w:kern w:val="0"/>
                <w:sz w:val="21"/>
                <w:szCs w:val="21"/>
                <w:u w:val="none"/>
                <w:lang w:val="en-US" w:eastAsia="zh-CN" w:bidi="ar"/>
              </w:rPr>
              <w:t>ND</w:t>
            </w:r>
          </w:p>
        </w:tc>
        <w:tc>
          <w:tcPr>
            <w:tcW w:w="1994" w:type="dxa"/>
            <w:noWrap w:val="0"/>
            <w:vAlign w:val="center"/>
          </w:tcPr>
          <w:p w14:paraId="7F3F23B7">
            <w:pPr>
              <w:keepNext w:val="0"/>
              <w:keepLines w:val="0"/>
              <w:widowControl/>
              <w:suppressLineNumbers w:val="0"/>
              <w:jc w:val="center"/>
              <w:textAlignment w:val="center"/>
              <w:rPr>
                <w:rFonts w:ascii="Times New Roman" w:hAnsi="Times New Roman" w:cs="Times New Roman"/>
                <w:bCs/>
                <w:sz w:val="21"/>
                <w:szCs w:val="21"/>
                <w:lang w:bidi="ar"/>
              </w:rPr>
            </w:pPr>
            <w:r>
              <w:rPr>
                <w:rFonts w:hint="default" w:ascii="Times New Roman" w:hAnsi="Times New Roman" w:eastAsia="宋体" w:cs="Times New Roman"/>
                <w:i w:val="0"/>
                <w:iCs w:val="0"/>
                <w:color w:val="000000"/>
                <w:kern w:val="0"/>
                <w:sz w:val="21"/>
                <w:szCs w:val="21"/>
                <w:u w:val="none"/>
                <w:lang w:val="en-US" w:eastAsia="zh-CN" w:bidi="ar"/>
              </w:rPr>
              <w:t>ND</w:t>
            </w:r>
          </w:p>
        </w:tc>
      </w:tr>
    </w:tbl>
    <w:p w14:paraId="4DA55191">
      <w:pPr>
        <w:adjustRightInd w:val="0"/>
        <w:snapToGrid w:val="0"/>
        <w:rPr>
          <w:rFonts w:hint="eastAsia" w:ascii="Times New Roman" w:hAnsi="Times New Roman" w:cs="Times New Roman"/>
          <w:b/>
          <w:sz w:val="18"/>
          <w:szCs w:val="21"/>
        </w:rPr>
      </w:pPr>
      <w:r>
        <w:rPr>
          <w:rFonts w:ascii="Times New Roman" w:hAnsi="Times New Roman" w:cs="Times New Roman"/>
          <w:b/>
          <w:sz w:val="18"/>
        </w:rPr>
        <w:t>注：</w:t>
      </w:r>
      <w:r>
        <w:rPr>
          <w:rFonts w:ascii="Times New Roman" w:hAnsi="Times New Roman" w:cs="Times New Roman"/>
          <w:b/>
          <w:sz w:val="18"/>
          <w:szCs w:val="21"/>
        </w:rPr>
        <w:t>L表示结果低于</w:t>
      </w:r>
      <w:r>
        <w:rPr>
          <w:rFonts w:hint="eastAsia" w:ascii="Times New Roman" w:hAnsi="Times New Roman" w:cs="Times New Roman"/>
          <w:b/>
          <w:sz w:val="18"/>
          <w:szCs w:val="21"/>
        </w:rPr>
        <w:t>该</w:t>
      </w:r>
      <w:r>
        <w:rPr>
          <w:rFonts w:ascii="Times New Roman" w:hAnsi="Times New Roman" w:cs="Times New Roman"/>
          <w:b/>
          <w:sz w:val="18"/>
          <w:szCs w:val="21"/>
        </w:rPr>
        <w:t>检出限</w:t>
      </w:r>
      <w:r>
        <w:rPr>
          <w:rFonts w:hint="eastAsia" w:ascii="Times New Roman" w:hAnsi="Times New Roman" w:cs="Times New Roman"/>
          <w:b/>
          <w:sz w:val="18"/>
          <w:szCs w:val="21"/>
        </w:rPr>
        <w:t>，</w:t>
      </w:r>
      <w:r>
        <w:rPr>
          <w:rFonts w:ascii="Times New Roman" w:hAnsi="Times New Roman" w:cs="Times New Roman"/>
          <w:b/>
          <w:sz w:val="18"/>
          <w:szCs w:val="21"/>
        </w:rPr>
        <w:t>未检出</w:t>
      </w:r>
      <w:r>
        <w:rPr>
          <w:rFonts w:hint="eastAsia" w:ascii="Times New Roman" w:hAnsi="Times New Roman" w:cs="Times New Roman"/>
          <w:b/>
          <w:sz w:val="18"/>
          <w:szCs w:val="21"/>
        </w:rPr>
        <w:t>。</w:t>
      </w:r>
    </w:p>
    <w:p w14:paraId="13386811">
      <w:pPr>
        <w:spacing w:line="500" w:lineRule="exact"/>
        <w:ind w:firstLine="480" w:firstLineChars="200"/>
        <w:rPr>
          <w:rFonts w:hint="eastAsia" w:ascii="Times New Roman" w:hAnsi="Times New Roman" w:cs="Times New Roman"/>
        </w:rPr>
      </w:pPr>
      <w:r>
        <w:rPr>
          <w:rFonts w:ascii="Times New Roman" w:hAnsi="Times New Roman" w:cs="Times New Roman"/>
        </w:rPr>
        <w:t>监测结果表明，本区域土壤本底质量较好，均未达到风险筛选值。</w:t>
      </w:r>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p>
    <w:p w14:paraId="14761AB4">
      <w:pPr>
        <w:pStyle w:val="131"/>
        <w:adjustRightInd/>
        <w:snapToGrid/>
        <w:spacing w:line="360" w:lineRule="auto"/>
        <w:ind w:left="0" w:firstLine="0"/>
        <w:rPr>
          <w:rFonts w:ascii="Times New Roman" w:hAnsi="Times New Roman" w:cs="Times New Roman"/>
        </w:rPr>
      </w:pPr>
      <w:r>
        <w:rPr>
          <w:rFonts w:ascii="Times New Roman" w:hAnsi="Times New Roman" w:cs="Times New Roman"/>
        </w:rPr>
        <w:t>表</w:t>
      </w:r>
      <w:r>
        <w:rPr>
          <w:rFonts w:hint="eastAsia" w:ascii="Times New Roman" w:hAnsi="Times New Roman" w:cs="Times New Roman"/>
        </w:rPr>
        <w:t>4.2-16</w:t>
      </w:r>
      <w:r>
        <w:rPr>
          <w:rFonts w:ascii="Times New Roman" w:hAnsi="Times New Roman" w:cs="Times New Roman"/>
        </w:rPr>
        <w:t xml:space="preserve">  土壤</w:t>
      </w:r>
      <w:r>
        <w:rPr>
          <w:rFonts w:hint="eastAsia" w:ascii="Times New Roman" w:hAnsi="Times New Roman" w:cs="Times New Roman"/>
        </w:rPr>
        <w:t>理化性质调查表</w:t>
      </w:r>
    </w:p>
    <w:tbl>
      <w:tblPr>
        <w:tblStyle w:val="56"/>
        <w:tblW w:w="4951" w:type="pct"/>
        <w:jc w:val="center"/>
        <w:tblBorders>
          <w:top w:val="thinThickSmallGap" w:color="auto" w:sz="12" w:space="0"/>
          <w:left w:val="none" w:color="auto" w:sz="0" w:space="0"/>
          <w:bottom w:val="thickThinSmallGap" w:color="auto" w:sz="12" w:space="0"/>
          <w:right w:val="none" w:color="auto" w:sz="0" w:space="0"/>
          <w:insideH w:val="single" w:color="auto" w:sz="4" w:space="0"/>
          <w:insideV w:val="single" w:color="000000" w:sz="4" w:space="0"/>
        </w:tblBorders>
        <w:tblLayout w:type="fixed"/>
        <w:tblCellMar>
          <w:top w:w="0" w:type="dxa"/>
          <w:left w:w="108" w:type="dxa"/>
          <w:bottom w:w="0" w:type="dxa"/>
          <w:right w:w="108" w:type="dxa"/>
        </w:tblCellMar>
      </w:tblPr>
      <w:tblGrid>
        <w:gridCol w:w="888"/>
        <w:gridCol w:w="715"/>
        <w:gridCol w:w="2410"/>
        <w:gridCol w:w="1676"/>
        <w:gridCol w:w="1466"/>
        <w:gridCol w:w="1480"/>
      </w:tblGrid>
      <w:tr w14:paraId="011913C6">
        <w:tblPrEx>
          <w:tblBorders>
            <w:top w:val="thinThickSmallGap" w:color="auto" w:sz="12" w:space="0"/>
            <w:left w:val="none" w:color="auto" w:sz="0" w:space="0"/>
            <w:bottom w:val="thickThinSmallGap" w:color="auto" w:sz="12" w:space="0"/>
            <w:right w:val="none" w:color="auto" w:sz="0" w:space="0"/>
            <w:insideH w:val="single" w:color="auto" w:sz="4" w:space="0"/>
            <w:insideV w:val="single" w:color="000000" w:sz="4" w:space="0"/>
          </w:tblBorders>
          <w:tblCellMar>
            <w:top w:w="0" w:type="dxa"/>
            <w:left w:w="108" w:type="dxa"/>
            <w:bottom w:w="0" w:type="dxa"/>
            <w:right w:w="108" w:type="dxa"/>
          </w:tblCellMar>
        </w:tblPrEx>
        <w:trPr>
          <w:trHeight w:val="397" w:hRule="atLeast"/>
          <w:tblHeader/>
          <w:jc w:val="center"/>
        </w:trPr>
        <w:tc>
          <w:tcPr>
            <w:tcW w:w="514" w:type="pct"/>
            <w:shd w:val="clear" w:color="auto" w:fill="D9D9D9"/>
            <w:noWrap w:val="0"/>
            <w:vAlign w:val="center"/>
          </w:tcPr>
          <w:p w14:paraId="69B0D7CD">
            <w:pPr>
              <w:jc w:val="center"/>
              <w:rPr>
                <w:rFonts w:ascii="Times New Roman" w:hAnsi="Times New Roman" w:cs="Times New Roman"/>
                <w:bCs/>
                <w:sz w:val="21"/>
                <w:szCs w:val="21"/>
              </w:rPr>
            </w:pPr>
            <w:r>
              <w:rPr>
                <w:rFonts w:ascii="Times New Roman" w:hAnsi="Times New Roman" w:cs="Times New Roman"/>
                <w:bCs/>
                <w:sz w:val="21"/>
                <w:szCs w:val="21"/>
              </w:rPr>
              <w:t>时间</w:t>
            </w:r>
          </w:p>
        </w:tc>
        <w:tc>
          <w:tcPr>
            <w:tcW w:w="1809" w:type="pct"/>
            <w:gridSpan w:val="2"/>
            <w:shd w:val="clear" w:color="auto" w:fill="D9D9D9"/>
            <w:noWrap w:val="0"/>
            <w:vAlign w:val="center"/>
          </w:tcPr>
          <w:p w14:paraId="754F9510">
            <w:pPr>
              <w:jc w:val="center"/>
              <w:rPr>
                <w:rFonts w:ascii="Times New Roman" w:hAnsi="Times New Roman" w:cs="Times New Roman"/>
                <w:bCs/>
                <w:sz w:val="21"/>
                <w:szCs w:val="21"/>
              </w:rPr>
            </w:pPr>
            <w:r>
              <w:rPr>
                <w:rFonts w:hint="eastAsia" w:ascii="Times New Roman" w:hAnsi="Times New Roman" w:cs="Times New Roman"/>
                <w:bCs/>
                <w:sz w:val="21"/>
                <w:szCs w:val="21"/>
              </w:rPr>
              <w:t>点位</w:t>
            </w:r>
          </w:p>
        </w:tc>
        <w:tc>
          <w:tcPr>
            <w:tcW w:w="2676" w:type="pct"/>
            <w:gridSpan w:val="3"/>
            <w:shd w:val="clear" w:color="auto" w:fill="D9D9D9"/>
            <w:noWrap w:val="0"/>
            <w:vAlign w:val="center"/>
          </w:tcPr>
          <w:p w14:paraId="433D155E">
            <w:pPr>
              <w:jc w:val="center"/>
              <w:rPr>
                <w:rFonts w:hint="eastAsia" w:ascii="Times New Roman" w:hAnsi="Times New Roman" w:cs="Times New Roman"/>
                <w:bCs/>
                <w:sz w:val="21"/>
                <w:szCs w:val="21"/>
              </w:rPr>
            </w:pPr>
            <w:r>
              <w:rPr>
                <w:rFonts w:hint="default" w:ascii="Times New Roman" w:hAnsi="Times New Roman" w:eastAsia="宋体" w:cs="Times New Roman"/>
                <w:b w:val="0"/>
                <w:bCs w:val="0"/>
                <w:snapToGrid w:val="0"/>
                <w:color w:val="auto"/>
                <w:kern w:val="0"/>
                <w:sz w:val="21"/>
                <w:szCs w:val="21"/>
                <w:lang w:val="en-US" w:eastAsia="zh-CN"/>
              </w:rPr>
              <w:t>T1厂区内东北侧</w:t>
            </w:r>
          </w:p>
        </w:tc>
      </w:tr>
      <w:tr w14:paraId="22F03F2C">
        <w:tblPrEx>
          <w:tblBorders>
            <w:top w:val="thinThickSmallGap" w:color="auto" w:sz="12" w:space="0"/>
            <w:left w:val="none" w:color="auto" w:sz="0" w:space="0"/>
            <w:bottom w:val="thickThinSmallGap" w:color="auto" w:sz="12" w:space="0"/>
            <w:right w:val="none" w:color="auto" w:sz="0" w:space="0"/>
            <w:insideH w:val="single" w:color="auto" w:sz="4" w:space="0"/>
            <w:insideV w:val="single" w:color="000000" w:sz="4" w:space="0"/>
          </w:tblBorders>
          <w:tblCellMar>
            <w:top w:w="0" w:type="dxa"/>
            <w:left w:w="108" w:type="dxa"/>
            <w:bottom w:w="0" w:type="dxa"/>
            <w:right w:w="108" w:type="dxa"/>
          </w:tblCellMar>
        </w:tblPrEx>
        <w:trPr>
          <w:trHeight w:val="397" w:hRule="atLeast"/>
          <w:jc w:val="center"/>
        </w:trPr>
        <w:tc>
          <w:tcPr>
            <w:tcW w:w="514" w:type="pct"/>
            <w:vMerge w:val="restart"/>
            <w:noWrap w:val="0"/>
            <w:vAlign w:val="center"/>
          </w:tcPr>
          <w:p w14:paraId="6C1A98C5">
            <w:pPr>
              <w:jc w:val="center"/>
              <w:rPr>
                <w:rFonts w:ascii="Times New Roman" w:hAnsi="Times New Roman" w:cs="Times New Roman"/>
                <w:bCs/>
                <w:sz w:val="21"/>
                <w:szCs w:val="21"/>
              </w:rPr>
            </w:pPr>
            <w:r>
              <w:rPr>
                <w:rFonts w:hint="eastAsia" w:ascii="Times New Roman" w:hAnsi="Times New Roman" w:cs="Times New Roman"/>
                <w:bCs/>
                <w:sz w:val="21"/>
                <w:szCs w:val="21"/>
              </w:rPr>
              <w:t>2026.05.01</w:t>
            </w:r>
          </w:p>
        </w:tc>
        <w:tc>
          <w:tcPr>
            <w:tcW w:w="413" w:type="pct"/>
            <w:vMerge w:val="restart"/>
            <w:noWrap w:val="0"/>
            <w:vAlign w:val="center"/>
          </w:tcPr>
          <w:p w14:paraId="51645B61">
            <w:pPr>
              <w:jc w:val="center"/>
              <w:rPr>
                <w:rFonts w:ascii="Times New Roman" w:hAnsi="Times New Roman" w:cs="Times New Roman"/>
                <w:bCs/>
                <w:sz w:val="21"/>
                <w:szCs w:val="21"/>
              </w:rPr>
            </w:pPr>
            <w:r>
              <w:rPr>
                <w:rFonts w:hint="eastAsia" w:ascii="Times New Roman" w:hAnsi="Times New Roman" w:cs="Times New Roman"/>
                <w:bCs/>
                <w:sz w:val="21"/>
                <w:szCs w:val="21"/>
              </w:rPr>
              <w:t>现</w:t>
            </w:r>
            <w:r>
              <w:rPr>
                <w:rFonts w:ascii="Times New Roman" w:hAnsi="Times New Roman" w:cs="Times New Roman"/>
                <w:bCs/>
                <w:sz w:val="21"/>
                <w:szCs w:val="21"/>
              </w:rPr>
              <w:t xml:space="preserve"> 场 记 录</w:t>
            </w:r>
          </w:p>
        </w:tc>
        <w:tc>
          <w:tcPr>
            <w:tcW w:w="1395" w:type="pct"/>
            <w:noWrap w:val="0"/>
            <w:vAlign w:val="center"/>
          </w:tcPr>
          <w:p w14:paraId="3D445C33">
            <w:pPr>
              <w:spacing w:line="240" w:lineRule="auto"/>
              <w:jc w:val="center"/>
              <w:rPr>
                <w:rFonts w:ascii="Times New Roman" w:hAnsi="Times New Roman" w:cs="Times New Roman"/>
                <w:sz w:val="21"/>
                <w:szCs w:val="21"/>
              </w:rPr>
            </w:pPr>
            <w:r>
              <w:rPr>
                <w:rFonts w:hint="eastAsia" w:ascii="Times New Roman" w:hAnsi="Times New Roman" w:eastAsia="宋体" w:cs="Times New Roman"/>
                <w:color w:val="auto"/>
                <w:sz w:val="21"/>
                <w:szCs w:val="21"/>
                <w:highlight w:val="none"/>
                <w:lang w:val="en-US" w:eastAsia="zh-CN"/>
              </w:rPr>
              <w:t>层次</w:t>
            </w:r>
          </w:p>
        </w:tc>
        <w:tc>
          <w:tcPr>
            <w:tcW w:w="970" w:type="pct"/>
            <w:noWrap w:val="0"/>
            <w:vAlign w:val="center"/>
          </w:tcPr>
          <w:p w14:paraId="20B2FF20">
            <w:pPr>
              <w:jc w:val="center"/>
              <w:rPr>
                <w:rFonts w:ascii="Times New Roman" w:hAnsi="Times New Roman" w:eastAsia="宋体" w:cs="Times New Roman"/>
                <w:bCs/>
                <w:sz w:val="21"/>
                <w:szCs w:val="21"/>
              </w:rPr>
            </w:pPr>
            <w:r>
              <w:rPr>
                <w:rFonts w:hint="eastAsia" w:ascii="Times New Roman" w:hAnsi="Times New Roman" w:eastAsia="宋体" w:cs="Times New Roman"/>
                <w:bCs/>
                <w:sz w:val="21"/>
                <w:szCs w:val="21"/>
                <w:lang w:val="en-US" w:eastAsia="zh-CN"/>
              </w:rPr>
              <w:t>0.2</w:t>
            </w:r>
            <w:r>
              <w:rPr>
                <w:rFonts w:hint="default" w:ascii="Times New Roman" w:hAnsi="Times New Roman" w:eastAsia="宋体" w:cs="Times New Roman"/>
                <w:bCs/>
                <w:sz w:val="21"/>
                <w:szCs w:val="21"/>
                <w:lang w:val="en-US" w:eastAsia="zh-CN"/>
              </w:rPr>
              <w:t>m</w:t>
            </w:r>
          </w:p>
        </w:tc>
        <w:tc>
          <w:tcPr>
            <w:tcW w:w="849" w:type="pct"/>
            <w:noWrap w:val="0"/>
            <w:vAlign w:val="center"/>
          </w:tcPr>
          <w:p w14:paraId="5A9C24B3">
            <w:pPr>
              <w:jc w:val="center"/>
              <w:rPr>
                <w:rFonts w:ascii="Times New Roman" w:hAnsi="Times New Roman" w:eastAsia="宋体" w:cs="Times New Roman"/>
                <w:bCs/>
                <w:sz w:val="21"/>
                <w:szCs w:val="21"/>
              </w:rPr>
            </w:pPr>
            <w:r>
              <w:rPr>
                <w:rFonts w:hint="eastAsia" w:ascii="Times New Roman" w:hAnsi="Times New Roman" w:eastAsia="宋体" w:cs="Times New Roman"/>
                <w:bCs/>
                <w:sz w:val="21"/>
                <w:szCs w:val="21"/>
                <w:lang w:val="en-US" w:eastAsia="zh-CN"/>
              </w:rPr>
              <w:t>0.7</w:t>
            </w:r>
            <w:r>
              <w:rPr>
                <w:rFonts w:hint="default" w:ascii="Times New Roman" w:hAnsi="Times New Roman" w:eastAsia="宋体" w:cs="Times New Roman"/>
                <w:bCs/>
                <w:sz w:val="21"/>
                <w:szCs w:val="21"/>
                <w:lang w:val="en-US" w:eastAsia="zh-CN"/>
              </w:rPr>
              <w:t>m</w:t>
            </w:r>
          </w:p>
        </w:tc>
        <w:tc>
          <w:tcPr>
            <w:tcW w:w="856" w:type="pct"/>
            <w:noWrap w:val="0"/>
            <w:vAlign w:val="center"/>
          </w:tcPr>
          <w:p w14:paraId="2FCADC85">
            <w:pPr>
              <w:jc w:val="center"/>
              <w:rPr>
                <w:rFonts w:ascii="Times New Roman" w:hAnsi="Times New Roman" w:eastAsia="宋体" w:cs="Times New Roman"/>
                <w:bCs/>
                <w:sz w:val="21"/>
                <w:szCs w:val="21"/>
              </w:rPr>
            </w:pPr>
            <w:r>
              <w:rPr>
                <w:rFonts w:hint="eastAsia" w:ascii="Times New Roman" w:hAnsi="Times New Roman" w:eastAsia="宋体" w:cs="Times New Roman"/>
                <w:bCs/>
                <w:sz w:val="21"/>
                <w:szCs w:val="21"/>
                <w:lang w:val="en-US" w:eastAsia="zh-CN"/>
              </w:rPr>
              <w:t>1.8</w:t>
            </w:r>
            <w:r>
              <w:rPr>
                <w:rFonts w:hint="default" w:ascii="Times New Roman" w:hAnsi="Times New Roman" w:eastAsia="宋体" w:cs="Times New Roman"/>
                <w:bCs/>
                <w:sz w:val="21"/>
                <w:szCs w:val="21"/>
                <w:lang w:val="en-US" w:eastAsia="zh-CN"/>
              </w:rPr>
              <w:t>m</w:t>
            </w:r>
          </w:p>
        </w:tc>
      </w:tr>
      <w:tr w14:paraId="30349CAB">
        <w:tblPrEx>
          <w:tblBorders>
            <w:top w:val="thinThickSmallGap" w:color="auto" w:sz="12" w:space="0"/>
            <w:left w:val="none" w:color="auto" w:sz="0" w:space="0"/>
            <w:bottom w:val="thickThinSmallGap" w:color="auto" w:sz="12" w:space="0"/>
            <w:right w:val="none" w:color="auto" w:sz="0" w:space="0"/>
            <w:insideH w:val="single" w:color="auto" w:sz="4" w:space="0"/>
            <w:insideV w:val="single" w:color="000000" w:sz="4" w:space="0"/>
          </w:tblBorders>
          <w:tblCellMar>
            <w:top w:w="0" w:type="dxa"/>
            <w:left w:w="108" w:type="dxa"/>
            <w:bottom w:w="0" w:type="dxa"/>
            <w:right w:w="108" w:type="dxa"/>
          </w:tblCellMar>
        </w:tblPrEx>
        <w:trPr>
          <w:trHeight w:val="397" w:hRule="atLeast"/>
          <w:jc w:val="center"/>
        </w:trPr>
        <w:tc>
          <w:tcPr>
            <w:tcW w:w="514" w:type="pct"/>
            <w:vMerge w:val="continue"/>
            <w:noWrap w:val="0"/>
            <w:vAlign w:val="center"/>
          </w:tcPr>
          <w:p w14:paraId="48E94CE0">
            <w:pPr>
              <w:jc w:val="center"/>
              <w:rPr>
                <w:rFonts w:ascii="Times New Roman" w:hAnsi="Times New Roman" w:cs="Times New Roman"/>
                <w:bCs/>
                <w:sz w:val="21"/>
                <w:szCs w:val="21"/>
              </w:rPr>
            </w:pPr>
          </w:p>
        </w:tc>
        <w:tc>
          <w:tcPr>
            <w:tcW w:w="413" w:type="pct"/>
            <w:vMerge w:val="continue"/>
            <w:noWrap w:val="0"/>
            <w:vAlign w:val="center"/>
          </w:tcPr>
          <w:p w14:paraId="3B182911">
            <w:pPr>
              <w:jc w:val="center"/>
              <w:rPr>
                <w:rFonts w:ascii="Times New Roman" w:hAnsi="Times New Roman" w:cs="Times New Roman"/>
                <w:bCs/>
                <w:sz w:val="21"/>
                <w:szCs w:val="21"/>
              </w:rPr>
            </w:pPr>
          </w:p>
        </w:tc>
        <w:tc>
          <w:tcPr>
            <w:tcW w:w="1395" w:type="pct"/>
            <w:noWrap w:val="0"/>
            <w:vAlign w:val="center"/>
          </w:tcPr>
          <w:p w14:paraId="32C86333">
            <w:pPr>
              <w:jc w:val="center"/>
              <w:rPr>
                <w:rFonts w:ascii="Times New Roman" w:hAnsi="Times New Roman" w:cs="Times New Roman"/>
                <w:sz w:val="21"/>
                <w:szCs w:val="21"/>
              </w:rPr>
            </w:pPr>
            <w:r>
              <w:rPr>
                <w:rFonts w:ascii="Times New Roman" w:hAnsi="Times New Roman" w:cs="Times New Roman"/>
                <w:sz w:val="21"/>
                <w:szCs w:val="21"/>
              </w:rPr>
              <w:t>颜色</w:t>
            </w:r>
          </w:p>
        </w:tc>
        <w:tc>
          <w:tcPr>
            <w:tcW w:w="970" w:type="pct"/>
            <w:noWrap w:val="0"/>
            <w:vAlign w:val="center"/>
          </w:tcPr>
          <w:p w14:paraId="61549973">
            <w:pPr>
              <w:jc w:val="center"/>
              <w:rPr>
                <w:rFonts w:ascii="Times New Roman" w:hAnsi="Times New Roman" w:eastAsia="宋体" w:cs="Times New Roman"/>
                <w:bCs/>
                <w:sz w:val="21"/>
                <w:szCs w:val="21"/>
              </w:rPr>
            </w:pPr>
            <w:r>
              <w:rPr>
                <w:rFonts w:hint="eastAsia" w:ascii="Times New Roman" w:hAnsi="Times New Roman" w:eastAsia="宋体" w:cs="Times New Roman"/>
                <w:bCs/>
                <w:sz w:val="21"/>
                <w:szCs w:val="21"/>
                <w:lang w:val="en-US" w:eastAsia="zh-CN"/>
              </w:rPr>
              <w:t>棕色</w:t>
            </w:r>
          </w:p>
        </w:tc>
        <w:tc>
          <w:tcPr>
            <w:tcW w:w="849" w:type="pct"/>
            <w:noWrap w:val="0"/>
            <w:vAlign w:val="center"/>
          </w:tcPr>
          <w:p w14:paraId="1AD3C1B3">
            <w:pPr>
              <w:jc w:val="center"/>
              <w:rPr>
                <w:rFonts w:ascii="Times New Roman" w:hAnsi="Times New Roman" w:eastAsia="宋体" w:cs="Times New Roman"/>
                <w:bCs/>
                <w:sz w:val="21"/>
                <w:szCs w:val="21"/>
              </w:rPr>
            </w:pPr>
            <w:r>
              <w:rPr>
                <w:rFonts w:hint="eastAsia" w:ascii="Times New Roman" w:hAnsi="Times New Roman" w:eastAsia="宋体" w:cs="Times New Roman"/>
                <w:bCs/>
                <w:sz w:val="21"/>
                <w:szCs w:val="21"/>
                <w:lang w:val="en-US" w:eastAsia="zh-CN"/>
              </w:rPr>
              <w:t>暗棕色</w:t>
            </w:r>
          </w:p>
        </w:tc>
        <w:tc>
          <w:tcPr>
            <w:tcW w:w="856" w:type="pct"/>
            <w:noWrap w:val="0"/>
            <w:vAlign w:val="center"/>
          </w:tcPr>
          <w:p w14:paraId="244057DA">
            <w:pPr>
              <w:jc w:val="center"/>
              <w:rPr>
                <w:rFonts w:ascii="Times New Roman" w:hAnsi="Times New Roman" w:eastAsia="宋体" w:cs="Times New Roman"/>
                <w:bCs/>
                <w:sz w:val="21"/>
                <w:szCs w:val="21"/>
              </w:rPr>
            </w:pPr>
            <w:r>
              <w:rPr>
                <w:rFonts w:hint="eastAsia" w:ascii="Times New Roman" w:hAnsi="Times New Roman" w:eastAsia="宋体" w:cs="Times New Roman"/>
                <w:bCs/>
                <w:sz w:val="21"/>
                <w:szCs w:val="21"/>
                <w:lang w:val="en-US" w:eastAsia="zh-CN"/>
              </w:rPr>
              <w:t>深棕色</w:t>
            </w:r>
          </w:p>
        </w:tc>
      </w:tr>
      <w:tr w14:paraId="07917FF5">
        <w:tblPrEx>
          <w:tblBorders>
            <w:top w:val="thinThickSmallGap" w:color="auto" w:sz="12" w:space="0"/>
            <w:left w:val="none" w:color="auto" w:sz="0" w:space="0"/>
            <w:bottom w:val="thickThinSmallGap" w:color="auto" w:sz="12" w:space="0"/>
            <w:right w:val="none" w:color="auto" w:sz="0" w:space="0"/>
            <w:insideH w:val="single" w:color="auto" w:sz="4" w:space="0"/>
            <w:insideV w:val="single" w:color="000000" w:sz="4" w:space="0"/>
          </w:tblBorders>
          <w:tblCellMar>
            <w:top w:w="0" w:type="dxa"/>
            <w:left w:w="108" w:type="dxa"/>
            <w:bottom w:w="0" w:type="dxa"/>
            <w:right w:w="108" w:type="dxa"/>
          </w:tblCellMar>
        </w:tblPrEx>
        <w:trPr>
          <w:trHeight w:val="397" w:hRule="atLeast"/>
          <w:jc w:val="center"/>
        </w:trPr>
        <w:tc>
          <w:tcPr>
            <w:tcW w:w="514" w:type="pct"/>
            <w:vMerge w:val="continue"/>
            <w:noWrap w:val="0"/>
            <w:vAlign w:val="center"/>
          </w:tcPr>
          <w:p w14:paraId="2D987889">
            <w:pPr>
              <w:jc w:val="center"/>
              <w:rPr>
                <w:rFonts w:ascii="Times New Roman" w:hAnsi="Times New Roman" w:cs="Times New Roman"/>
                <w:bCs/>
                <w:sz w:val="21"/>
                <w:szCs w:val="21"/>
              </w:rPr>
            </w:pPr>
          </w:p>
        </w:tc>
        <w:tc>
          <w:tcPr>
            <w:tcW w:w="413" w:type="pct"/>
            <w:vMerge w:val="continue"/>
            <w:noWrap w:val="0"/>
            <w:vAlign w:val="center"/>
          </w:tcPr>
          <w:p w14:paraId="752288C5">
            <w:pPr>
              <w:jc w:val="center"/>
              <w:rPr>
                <w:rFonts w:ascii="Times New Roman" w:hAnsi="Times New Roman" w:cs="Times New Roman"/>
                <w:bCs/>
                <w:sz w:val="21"/>
                <w:szCs w:val="21"/>
              </w:rPr>
            </w:pPr>
          </w:p>
        </w:tc>
        <w:tc>
          <w:tcPr>
            <w:tcW w:w="1395" w:type="pct"/>
            <w:noWrap w:val="0"/>
            <w:vAlign w:val="center"/>
          </w:tcPr>
          <w:p w14:paraId="70C34710">
            <w:pPr>
              <w:jc w:val="center"/>
              <w:rPr>
                <w:rFonts w:ascii="Times New Roman" w:hAnsi="Times New Roman" w:cs="Times New Roman"/>
                <w:sz w:val="21"/>
                <w:szCs w:val="21"/>
              </w:rPr>
            </w:pPr>
            <w:r>
              <w:rPr>
                <w:rFonts w:ascii="Times New Roman" w:hAnsi="Times New Roman" w:cs="Times New Roman"/>
                <w:sz w:val="21"/>
                <w:szCs w:val="21"/>
              </w:rPr>
              <w:t>质地</w:t>
            </w:r>
          </w:p>
        </w:tc>
        <w:tc>
          <w:tcPr>
            <w:tcW w:w="970" w:type="pct"/>
            <w:noWrap w:val="0"/>
            <w:vAlign w:val="center"/>
          </w:tcPr>
          <w:p w14:paraId="5FFB278F">
            <w:pPr>
              <w:jc w:val="center"/>
              <w:rPr>
                <w:rFonts w:ascii="Times New Roman" w:hAnsi="Times New Roman" w:eastAsia="宋体" w:cs="Times New Roman"/>
                <w:bCs/>
                <w:sz w:val="21"/>
                <w:szCs w:val="21"/>
              </w:rPr>
            </w:pPr>
            <w:r>
              <w:rPr>
                <w:rFonts w:hint="eastAsia" w:ascii="Times New Roman" w:hAnsi="Times New Roman" w:eastAsia="宋体" w:cs="Times New Roman"/>
                <w:bCs/>
                <w:sz w:val="21"/>
                <w:szCs w:val="21"/>
                <w:lang w:val="en-US" w:eastAsia="zh-CN"/>
              </w:rPr>
              <w:t>砂壤土</w:t>
            </w:r>
          </w:p>
        </w:tc>
        <w:tc>
          <w:tcPr>
            <w:tcW w:w="849" w:type="pct"/>
            <w:noWrap w:val="0"/>
            <w:vAlign w:val="center"/>
          </w:tcPr>
          <w:p w14:paraId="58CE6EBF">
            <w:pPr>
              <w:jc w:val="center"/>
              <w:rPr>
                <w:rFonts w:ascii="Times New Roman" w:hAnsi="Times New Roman" w:eastAsia="宋体" w:cs="Times New Roman"/>
                <w:bCs/>
                <w:sz w:val="21"/>
                <w:szCs w:val="21"/>
              </w:rPr>
            </w:pPr>
            <w:r>
              <w:rPr>
                <w:rFonts w:hint="eastAsia" w:ascii="Times New Roman" w:hAnsi="Times New Roman" w:eastAsia="宋体" w:cs="Times New Roman"/>
                <w:bCs/>
                <w:sz w:val="21"/>
                <w:szCs w:val="21"/>
                <w:lang w:val="en-US" w:eastAsia="zh-CN"/>
              </w:rPr>
              <w:t>轻</w:t>
            </w:r>
            <w:r>
              <w:rPr>
                <w:rFonts w:hint="eastAsia" w:ascii="Times New Roman" w:hAnsi="Times New Roman" w:eastAsia="宋体" w:cs="Times New Roman"/>
                <w:bCs/>
                <w:sz w:val="21"/>
                <w:szCs w:val="21"/>
                <w:lang w:eastAsia="zh-CN"/>
              </w:rPr>
              <w:t>壤</w:t>
            </w:r>
            <w:r>
              <w:rPr>
                <w:rFonts w:hint="eastAsia" w:ascii="Times New Roman" w:hAnsi="Times New Roman" w:eastAsia="宋体" w:cs="Times New Roman"/>
                <w:bCs/>
                <w:sz w:val="21"/>
                <w:szCs w:val="21"/>
              </w:rPr>
              <w:t>土</w:t>
            </w:r>
          </w:p>
        </w:tc>
        <w:tc>
          <w:tcPr>
            <w:tcW w:w="856" w:type="pct"/>
            <w:noWrap w:val="0"/>
            <w:vAlign w:val="center"/>
          </w:tcPr>
          <w:p w14:paraId="45AEE2A7">
            <w:pPr>
              <w:jc w:val="center"/>
              <w:rPr>
                <w:rFonts w:ascii="Times New Roman" w:hAnsi="Times New Roman" w:eastAsia="宋体" w:cs="Times New Roman"/>
                <w:bCs/>
                <w:sz w:val="21"/>
                <w:szCs w:val="21"/>
              </w:rPr>
            </w:pPr>
            <w:r>
              <w:rPr>
                <w:rFonts w:hint="eastAsia" w:ascii="Times New Roman" w:hAnsi="Times New Roman" w:eastAsia="宋体" w:cs="Times New Roman"/>
                <w:bCs/>
                <w:sz w:val="21"/>
                <w:szCs w:val="21"/>
                <w:lang w:val="en-US" w:eastAsia="zh-CN"/>
              </w:rPr>
              <w:t>中</w:t>
            </w:r>
            <w:r>
              <w:rPr>
                <w:rFonts w:hint="eastAsia" w:ascii="Times New Roman" w:hAnsi="Times New Roman" w:eastAsia="宋体" w:cs="Times New Roman"/>
                <w:bCs/>
                <w:sz w:val="21"/>
                <w:szCs w:val="21"/>
                <w:lang w:eastAsia="zh-CN"/>
              </w:rPr>
              <w:t>壤</w:t>
            </w:r>
            <w:r>
              <w:rPr>
                <w:rFonts w:hint="eastAsia" w:ascii="Times New Roman" w:hAnsi="Times New Roman" w:eastAsia="宋体" w:cs="Times New Roman"/>
                <w:bCs/>
                <w:sz w:val="21"/>
                <w:szCs w:val="21"/>
              </w:rPr>
              <w:t>土</w:t>
            </w:r>
          </w:p>
        </w:tc>
      </w:tr>
      <w:tr w14:paraId="3F7E797B">
        <w:tblPrEx>
          <w:tblBorders>
            <w:top w:val="thinThickSmallGap" w:color="auto" w:sz="12" w:space="0"/>
            <w:left w:val="none" w:color="auto" w:sz="0" w:space="0"/>
            <w:bottom w:val="thickThinSmallGap" w:color="auto" w:sz="12" w:space="0"/>
            <w:right w:val="none" w:color="auto" w:sz="0" w:space="0"/>
            <w:insideH w:val="single" w:color="auto" w:sz="4" w:space="0"/>
            <w:insideV w:val="single" w:color="000000" w:sz="4" w:space="0"/>
          </w:tblBorders>
          <w:tblCellMar>
            <w:top w:w="0" w:type="dxa"/>
            <w:left w:w="108" w:type="dxa"/>
            <w:bottom w:w="0" w:type="dxa"/>
            <w:right w:w="108" w:type="dxa"/>
          </w:tblCellMar>
        </w:tblPrEx>
        <w:trPr>
          <w:trHeight w:val="397" w:hRule="atLeast"/>
          <w:jc w:val="center"/>
        </w:trPr>
        <w:tc>
          <w:tcPr>
            <w:tcW w:w="514" w:type="pct"/>
            <w:vMerge w:val="continue"/>
            <w:noWrap w:val="0"/>
            <w:vAlign w:val="center"/>
          </w:tcPr>
          <w:p w14:paraId="2FA5E111">
            <w:pPr>
              <w:jc w:val="center"/>
              <w:rPr>
                <w:rFonts w:ascii="Times New Roman" w:hAnsi="Times New Roman" w:cs="Times New Roman"/>
                <w:bCs/>
                <w:sz w:val="21"/>
                <w:szCs w:val="21"/>
              </w:rPr>
            </w:pPr>
          </w:p>
        </w:tc>
        <w:tc>
          <w:tcPr>
            <w:tcW w:w="413" w:type="pct"/>
            <w:vMerge w:val="continue"/>
            <w:noWrap w:val="0"/>
            <w:vAlign w:val="center"/>
          </w:tcPr>
          <w:p w14:paraId="1F1C666F">
            <w:pPr>
              <w:jc w:val="center"/>
              <w:rPr>
                <w:rFonts w:ascii="Times New Roman" w:hAnsi="Times New Roman" w:cs="Times New Roman"/>
                <w:bCs/>
                <w:sz w:val="21"/>
                <w:szCs w:val="21"/>
              </w:rPr>
            </w:pPr>
          </w:p>
        </w:tc>
        <w:tc>
          <w:tcPr>
            <w:tcW w:w="1395" w:type="pct"/>
            <w:noWrap w:val="0"/>
            <w:vAlign w:val="center"/>
          </w:tcPr>
          <w:p w14:paraId="50F7999A">
            <w:pPr>
              <w:jc w:val="center"/>
              <w:rPr>
                <w:rFonts w:ascii="Times New Roman" w:hAnsi="Times New Roman" w:cs="Times New Roman"/>
                <w:sz w:val="21"/>
                <w:szCs w:val="21"/>
              </w:rPr>
            </w:pPr>
            <w:r>
              <w:rPr>
                <w:rFonts w:ascii="Times New Roman" w:hAnsi="Times New Roman" w:cs="Times New Roman"/>
                <w:sz w:val="21"/>
                <w:szCs w:val="21"/>
              </w:rPr>
              <w:t>其他异物</w:t>
            </w:r>
          </w:p>
        </w:tc>
        <w:tc>
          <w:tcPr>
            <w:tcW w:w="970" w:type="pct"/>
            <w:noWrap w:val="0"/>
            <w:vAlign w:val="center"/>
          </w:tcPr>
          <w:p w14:paraId="378E47BC">
            <w:pPr>
              <w:jc w:val="center"/>
              <w:rPr>
                <w:rFonts w:ascii="Times New Roman" w:hAnsi="Times New Roman" w:eastAsia="宋体" w:cs="Times New Roman"/>
                <w:bCs/>
                <w:sz w:val="21"/>
                <w:szCs w:val="21"/>
              </w:rPr>
            </w:pPr>
            <w:r>
              <w:rPr>
                <w:rFonts w:hint="eastAsia" w:ascii="Times New Roman" w:hAnsi="Times New Roman" w:eastAsia="宋体" w:cs="Times New Roman"/>
                <w:bCs/>
                <w:sz w:val="21"/>
                <w:szCs w:val="21"/>
                <w:lang w:val="en-US" w:eastAsia="zh-CN"/>
              </w:rPr>
              <w:t>无根系</w:t>
            </w:r>
          </w:p>
        </w:tc>
        <w:tc>
          <w:tcPr>
            <w:tcW w:w="849" w:type="pct"/>
            <w:noWrap w:val="0"/>
            <w:vAlign w:val="center"/>
          </w:tcPr>
          <w:p w14:paraId="463441A0">
            <w:pPr>
              <w:jc w:val="center"/>
              <w:rPr>
                <w:rFonts w:ascii="Times New Roman" w:hAnsi="Times New Roman" w:eastAsia="宋体" w:cs="Times New Roman"/>
                <w:bCs/>
                <w:sz w:val="21"/>
                <w:szCs w:val="21"/>
              </w:rPr>
            </w:pPr>
            <w:r>
              <w:rPr>
                <w:rFonts w:hint="eastAsia" w:ascii="Times New Roman" w:hAnsi="Times New Roman" w:eastAsia="宋体" w:cs="Times New Roman"/>
                <w:bCs/>
                <w:sz w:val="21"/>
                <w:szCs w:val="21"/>
                <w:lang w:val="en-US" w:eastAsia="zh-CN"/>
              </w:rPr>
              <w:t>少量根系</w:t>
            </w:r>
          </w:p>
        </w:tc>
        <w:tc>
          <w:tcPr>
            <w:tcW w:w="856" w:type="pct"/>
            <w:noWrap w:val="0"/>
            <w:vAlign w:val="center"/>
          </w:tcPr>
          <w:p w14:paraId="2FC8F44D">
            <w:pPr>
              <w:jc w:val="center"/>
              <w:rPr>
                <w:rFonts w:ascii="Times New Roman" w:hAnsi="Times New Roman" w:eastAsia="宋体" w:cs="Times New Roman"/>
                <w:bCs/>
                <w:sz w:val="21"/>
                <w:szCs w:val="21"/>
              </w:rPr>
            </w:pPr>
            <w:r>
              <w:rPr>
                <w:rFonts w:hint="eastAsia" w:ascii="Times New Roman" w:hAnsi="Times New Roman" w:eastAsia="宋体" w:cs="Times New Roman"/>
                <w:bCs/>
                <w:sz w:val="21"/>
                <w:szCs w:val="21"/>
                <w:lang w:val="en-US" w:eastAsia="zh-CN"/>
              </w:rPr>
              <w:t>少量根系</w:t>
            </w:r>
          </w:p>
        </w:tc>
      </w:tr>
      <w:tr w14:paraId="07E3FECB">
        <w:tblPrEx>
          <w:tblBorders>
            <w:top w:val="thinThickSmallGap" w:color="auto" w:sz="12" w:space="0"/>
            <w:left w:val="none" w:color="auto" w:sz="0" w:space="0"/>
            <w:bottom w:val="thickThinSmallGap" w:color="auto" w:sz="12" w:space="0"/>
            <w:right w:val="none" w:color="auto" w:sz="0" w:space="0"/>
            <w:insideH w:val="single" w:color="auto" w:sz="4" w:space="0"/>
            <w:insideV w:val="single" w:color="000000" w:sz="4" w:space="0"/>
          </w:tblBorders>
          <w:tblCellMar>
            <w:top w:w="0" w:type="dxa"/>
            <w:left w:w="108" w:type="dxa"/>
            <w:bottom w:w="0" w:type="dxa"/>
            <w:right w:w="108" w:type="dxa"/>
          </w:tblCellMar>
        </w:tblPrEx>
        <w:trPr>
          <w:trHeight w:val="397" w:hRule="atLeast"/>
          <w:jc w:val="center"/>
        </w:trPr>
        <w:tc>
          <w:tcPr>
            <w:tcW w:w="514" w:type="pct"/>
            <w:vMerge w:val="continue"/>
            <w:noWrap w:val="0"/>
            <w:vAlign w:val="center"/>
          </w:tcPr>
          <w:p w14:paraId="5F7DBCEC">
            <w:pPr>
              <w:jc w:val="center"/>
              <w:rPr>
                <w:rFonts w:ascii="Times New Roman" w:hAnsi="Times New Roman" w:cs="Times New Roman"/>
                <w:bCs/>
                <w:sz w:val="21"/>
                <w:szCs w:val="21"/>
              </w:rPr>
            </w:pPr>
          </w:p>
        </w:tc>
        <w:tc>
          <w:tcPr>
            <w:tcW w:w="413" w:type="pct"/>
            <w:vMerge w:val="restart"/>
            <w:noWrap w:val="0"/>
            <w:vAlign w:val="center"/>
          </w:tcPr>
          <w:p w14:paraId="16A871BD">
            <w:pPr>
              <w:jc w:val="center"/>
              <w:rPr>
                <w:rFonts w:ascii="Times New Roman" w:hAnsi="Times New Roman" w:cs="Times New Roman"/>
                <w:bCs/>
                <w:sz w:val="21"/>
                <w:szCs w:val="21"/>
              </w:rPr>
            </w:pPr>
            <w:r>
              <w:rPr>
                <w:rFonts w:hint="eastAsia" w:ascii="Times New Roman" w:hAnsi="Times New Roman" w:cs="Times New Roman"/>
                <w:bCs/>
                <w:sz w:val="21"/>
                <w:szCs w:val="21"/>
              </w:rPr>
              <w:t>实</w:t>
            </w:r>
            <w:r>
              <w:rPr>
                <w:rFonts w:ascii="Times New Roman" w:hAnsi="Times New Roman" w:cs="Times New Roman"/>
                <w:bCs/>
                <w:sz w:val="21"/>
                <w:szCs w:val="21"/>
              </w:rPr>
              <w:t xml:space="preserve"> 验 室 测 定</w:t>
            </w:r>
          </w:p>
        </w:tc>
        <w:tc>
          <w:tcPr>
            <w:tcW w:w="1395" w:type="pct"/>
            <w:noWrap w:val="0"/>
            <w:vAlign w:val="center"/>
          </w:tcPr>
          <w:p w14:paraId="1E306A7C">
            <w:pPr>
              <w:adjustRightInd w:val="0"/>
              <w:snapToGrid w:val="0"/>
              <w:jc w:val="center"/>
              <w:textAlignment w:val="center"/>
              <w:rPr>
                <w:rFonts w:ascii="Times New Roman" w:hAnsi="Times New Roman" w:cs="Times New Roman"/>
                <w:sz w:val="21"/>
                <w:szCs w:val="21"/>
              </w:rPr>
            </w:pPr>
            <w:r>
              <w:rPr>
                <w:rFonts w:ascii="Times New Roman" w:hAnsi="Times New Roman" w:cs="Times New Roman"/>
                <w:sz w:val="21"/>
                <w:szCs w:val="21"/>
                <w:lang w:bidi="ar"/>
              </w:rPr>
              <w:t>pH值</w:t>
            </w:r>
          </w:p>
        </w:tc>
        <w:tc>
          <w:tcPr>
            <w:tcW w:w="970" w:type="pct"/>
            <w:noWrap w:val="0"/>
            <w:vAlign w:val="center"/>
          </w:tcPr>
          <w:p w14:paraId="2436ED6F">
            <w:pPr>
              <w:jc w:val="center"/>
              <w:rPr>
                <w:rFonts w:ascii="Times New Roman" w:hAnsi="Times New Roman" w:eastAsia="宋体" w:cs="Times New Roman"/>
                <w:bCs/>
                <w:sz w:val="21"/>
                <w:szCs w:val="21"/>
              </w:rPr>
            </w:pPr>
            <w:r>
              <w:rPr>
                <w:rFonts w:hint="default" w:ascii="Times New Roman" w:hAnsi="Times New Roman" w:eastAsia="宋体" w:cs="Times New Roman"/>
                <w:bCs/>
                <w:sz w:val="21"/>
                <w:szCs w:val="21"/>
                <w:lang w:val="en-US" w:eastAsia="zh-CN"/>
              </w:rPr>
              <w:t>6.9</w:t>
            </w:r>
          </w:p>
        </w:tc>
        <w:tc>
          <w:tcPr>
            <w:tcW w:w="849" w:type="pct"/>
            <w:noWrap w:val="0"/>
            <w:vAlign w:val="center"/>
          </w:tcPr>
          <w:p w14:paraId="6E2BED6A">
            <w:pPr>
              <w:jc w:val="center"/>
              <w:rPr>
                <w:rFonts w:ascii="Times New Roman" w:hAnsi="Times New Roman" w:eastAsia="宋体" w:cs="Times New Roman"/>
                <w:bCs/>
                <w:sz w:val="21"/>
                <w:szCs w:val="21"/>
              </w:rPr>
            </w:pPr>
            <w:r>
              <w:rPr>
                <w:rFonts w:hint="default" w:ascii="Times New Roman" w:hAnsi="Times New Roman" w:eastAsia="宋体" w:cs="Times New Roman"/>
                <w:bCs/>
                <w:sz w:val="21"/>
                <w:szCs w:val="21"/>
                <w:lang w:val="en-US" w:eastAsia="zh-CN"/>
              </w:rPr>
              <w:t>6.8</w:t>
            </w:r>
          </w:p>
        </w:tc>
        <w:tc>
          <w:tcPr>
            <w:tcW w:w="856" w:type="pct"/>
            <w:noWrap w:val="0"/>
            <w:vAlign w:val="center"/>
          </w:tcPr>
          <w:p w14:paraId="03F66260">
            <w:pPr>
              <w:jc w:val="center"/>
              <w:rPr>
                <w:rFonts w:ascii="Times New Roman" w:hAnsi="Times New Roman" w:eastAsia="宋体" w:cs="Times New Roman"/>
                <w:bCs/>
                <w:sz w:val="21"/>
                <w:szCs w:val="21"/>
              </w:rPr>
            </w:pPr>
            <w:r>
              <w:rPr>
                <w:rFonts w:hint="default" w:ascii="Times New Roman" w:hAnsi="Times New Roman" w:eastAsia="宋体" w:cs="Times New Roman"/>
                <w:bCs/>
                <w:sz w:val="21"/>
                <w:szCs w:val="21"/>
                <w:lang w:val="en-US" w:eastAsia="zh-CN"/>
              </w:rPr>
              <w:t>7.1</w:t>
            </w:r>
          </w:p>
        </w:tc>
      </w:tr>
      <w:tr w14:paraId="017236B6">
        <w:tblPrEx>
          <w:tblBorders>
            <w:top w:val="thinThickSmallGap" w:color="auto" w:sz="12" w:space="0"/>
            <w:left w:val="none" w:color="auto" w:sz="0" w:space="0"/>
            <w:bottom w:val="thickThinSmallGap" w:color="auto" w:sz="12" w:space="0"/>
            <w:right w:val="none" w:color="auto" w:sz="0" w:space="0"/>
            <w:insideH w:val="single" w:color="auto" w:sz="4" w:space="0"/>
            <w:insideV w:val="single" w:color="000000" w:sz="4" w:space="0"/>
          </w:tblBorders>
          <w:tblCellMar>
            <w:top w:w="0" w:type="dxa"/>
            <w:left w:w="108" w:type="dxa"/>
            <w:bottom w:w="0" w:type="dxa"/>
            <w:right w:w="108" w:type="dxa"/>
          </w:tblCellMar>
        </w:tblPrEx>
        <w:trPr>
          <w:trHeight w:val="397" w:hRule="atLeast"/>
          <w:jc w:val="center"/>
        </w:trPr>
        <w:tc>
          <w:tcPr>
            <w:tcW w:w="514" w:type="pct"/>
            <w:vMerge w:val="continue"/>
            <w:noWrap w:val="0"/>
            <w:vAlign w:val="center"/>
          </w:tcPr>
          <w:p w14:paraId="600243C0">
            <w:pPr>
              <w:jc w:val="center"/>
              <w:rPr>
                <w:rFonts w:ascii="Times New Roman" w:hAnsi="Times New Roman" w:cs="Times New Roman"/>
                <w:bCs/>
                <w:sz w:val="21"/>
                <w:szCs w:val="21"/>
              </w:rPr>
            </w:pPr>
          </w:p>
        </w:tc>
        <w:tc>
          <w:tcPr>
            <w:tcW w:w="413" w:type="pct"/>
            <w:vMerge w:val="continue"/>
            <w:noWrap w:val="0"/>
            <w:vAlign w:val="center"/>
          </w:tcPr>
          <w:p w14:paraId="2B0E3B6D">
            <w:pPr>
              <w:jc w:val="center"/>
              <w:rPr>
                <w:rFonts w:ascii="Times New Roman" w:hAnsi="Times New Roman" w:cs="Times New Roman"/>
                <w:bCs/>
                <w:sz w:val="21"/>
                <w:szCs w:val="21"/>
              </w:rPr>
            </w:pPr>
          </w:p>
        </w:tc>
        <w:tc>
          <w:tcPr>
            <w:tcW w:w="1395" w:type="pct"/>
            <w:noWrap w:val="0"/>
            <w:vAlign w:val="center"/>
          </w:tcPr>
          <w:p w14:paraId="432591EB">
            <w:pPr>
              <w:adjustRightInd w:val="0"/>
              <w:snapToGrid w:val="0"/>
              <w:jc w:val="center"/>
              <w:textAlignment w:val="center"/>
              <w:rPr>
                <w:rFonts w:ascii="Times New Roman" w:hAnsi="Times New Roman" w:cs="Times New Roman"/>
                <w:sz w:val="21"/>
                <w:szCs w:val="21"/>
              </w:rPr>
            </w:pPr>
            <w:r>
              <w:rPr>
                <w:rFonts w:ascii="Times New Roman" w:hAnsi="Times New Roman" w:cs="Times New Roman"/>
                <w:sz w:val="21"/>
                <w:szCs w:val="21"/>
                <w:lang w:bidi="ar"/>
              </w:rPr>
              <w:t>阳离子交换量cmol(+)/kg</w:t>
            </w:r>
          </w:p>
        </w:tc>
        <w:tc>
          <w:tcPr>
            <w:tcW w:w="970" w:type="pct"/>
            <w:noWrap w:val="0"/>
            <w:vAlign w:val="center"/>
          </w:tcPr>
          <w:p w14:paraId="56A0C534">
            <w:pPr>
              <w:jc w:val="center"/>
              <w:rPr>
                <w:rFonts w:ascii="Times New Roman" w:hAnsi="Times New Roman" w:eastAsia="宋体" w:cs="Times New Roman"/>
                <w:bCs/>
                <w:sz w:val="21"/>
                <w:szCs w:val="21"/>
              </w:rPr>
            </w:pPr>
            <w:r>
              <w:rPr>
                <w:rFonts w:hint="default" w:ascii="Times New Roman" w:hAnsi="Times New Roman" w:eastAsia="宋体" w:cs="Times New Roman"/>
                <w:bCs/>
                <w:sz w:val="21"/>
                <w:szCs w:val="21"/>
                <w:lang w:val="en-US" w:eastAsia="zh-CN"/>
              </w:rPr>
              <w:t>12.62</w:t>
            </w:r>
          </w:p>
        </w:tc>
        <w:tc>
          <w:tcPr>
            <w:tcW w:w="849" w:type="pct"/>
            <w:noWrap w:val="0"/>
            <w:vAlign w:val="center"/>
          </w:tcPr>
          <w:p w14:paraId="09E93226">
            <w:pPr>
              <w:jc w:val="center"/>
              <w:rPr>
                <w:rFonts w:ascii="Times New Roman" w:hAnsi="Times New Roman" w:eastAsia="宋体" w:cs="Times New Roman"/>
                <w:bCs/>
                <w:sz w:val="21"/>
                <w:szCs w:val="21"/>
              </w:rPr>
            </w:pPr>
            <w:r>
              <w:rPr>
                <w:rFonts w:hint="default" w:ascii="Times New Roman" w:hAnsi="Times New Roman" w:eastAsia="宋体" w:cs="Times New Roman"/>
                <w:bCs/>
                <w:sz w:val="21"/>
                <w:szCs w:val="21"/>
                <w:lang w:val="en-US" w:eastAsia="zh-CN"/>
              </w:rPr>
              <w:t>12.67</w:t>
            </w:r>
          </w:p>
        </w:tc>
        <w:tc>
          <w:tcPr>
            <w:tcW w:w="856" w:type="pct"/>
            <w:noWrap w:val="0"/>
            <w:vAlign w:val="center"/>
          </w:tcPr>
          <w:p w14:paraId="43DBF221">
            <w:pPr>
              <w:jc w:val="center"/>
              <w:rPr>
                <w:rFonts w:ascii="Times New Roman" w:hAnsi="Times New Roman" w:eastAsia="宋体" w:cs="Times New Roman"/>
                <w:bCs/>
                <w:sz w:val="21"/>
                <w:szCs w:val="21"/>
              </w:rPr>
            </w:pPr>
            <w:r>
              <w:rPr>
                <w:rFonts w:hint="default" w:ascii="Times New Roman" w:hAnsi="Times New Roman" w:eastAsia="宋体" w:cs="Times New Roman"/>
                <w:bCs/>
                <w:sz w:val="21"/>
                <w:szCs w:val="21"/>
                <w:lang w:val="en-US" w:eastAsia="zh-CN"/>
              </w:rPr>
              <w:t>12.9</w:t>
            </w:r>
          </w:p>
        </w:tc>
      </w:tr>
      <w:tr w14:paraId="0F8004E8">
        <w:tblPrEx>
          <w:tblBorders>
            <w:top w:val="thinThickSmallGap" w:color="auto" w:sz="12" w:space="0"/>
            <w:left w:val="none" w:color="auto" w:sz="0" w:space="0"/>
            <w:bottom w:val="thickThinSmallGap" w:color="auto" w:sz="12" w:space="0"/>
            <w:right w:val="none" w:color="auto" w:sz="0" w:space="0"/>
            <w:insideH w:val="single" w:color="auto" w:sz="4" w:space="0"/>
            <w:insideV w:val="single" w:color="000000" w:sz="4" w:space="0"/>
          </w:tblBorders>
          <w:tblCellMar>
            <w:top w:w="0" w:type="dxa"/>
            <w:left w:w="108" w:type="dxa"/>
            <w:bottom w:w="0" w:type="dxa"/>
            <w:right w:w="108" w:type="dxa"/>
          </w:tblCellMar>
        </w:tblPrEx>
        <w:trPr>
          <w:trHeight w:val="397" w:hRule="atLeast"/>
          <w:jc w:val="center"/>
        </w:trPr>
        <w:tc>
          <w:tcPr>
            <w:tcW w:w="514" w:type="pct"/>
            <w:vMerge w:val="continue"/>
            <w:noWrap w:val="0"/>
            <w:vAlign w:val="center"/>
          </w:tcPr>
          <w:p w14:paraId="0A9CEAAD">
            <w:pPr>
              <w:jc w:val="center"/>
              <w:rPr>
                <w:rFonts w:ascii="Times New Roman" w:hAnsi="Times New Roman" w:cs="Times New Roman"/>
                <w:bCs/>
                <w:sz w:val="21"/>
                <w:szCs w:val="21"/>
              </w:rPr>
            </w:pPr>
          </w:p>
        </w:tc>
        <w:tc>
          <w:tcPr>
            <w:tcW w:w="413" w:type="pct"/>
            <w:vMerge w:val="continue"/>
            <w:noWrap w:val="0"/>
            <w:vAlign w:val="center"/>
          </w:tcPr>
          <w:p w14:paraId="3DF5C277">
            <w:pPr>
              <w:jc w:val="center"/>
              <w:rPr>
                <w:rFonts w:ascii="Times New Roman" w:hAnsi="Times New Roman" w:cs="Times New Roman"/>
                <w:bCs/>
                <w:sz w:val="21"/>
                <w:szCs w:val="21"/>
              </w:rPr>
            </w:pPr>
          </w:p>
        </w:tc>
        <w:tc>
          <w:tcPr>
            <w:tcW w:w="1395" w:type="pct"/>
            <w:noWrap w:val="0"/>
            <w:vAlign w:val="center"/>
          </w:tcPr>
          <w:p w14:paraId="407F297B">
            <w:pPr>
              <w:adjustRightInd w:val="0"/>
              <w:snapToGrid w:val="0"/>
              <w:jc w:val="center"/>
              <w:textAlignment w:val="center"/>
              <w:rPr>
                <w:rFonts w:ascii="Times New Roman" w:hAnsi="Times New Roman" w:cs="Times New Roman"/>
                <w:sz w:val="21"/>
                <w:szCs w:val="21"/>
              </w:rPr>
            </w:pPr>
            <w:r>
              <w:rPr>
                <w:rFonts w:ascii="Times New Roman" w:hAnsi="Times New Roman" w:cs="Times New Roman"/>
                <w:sz w:val="21"/>
                <w:szCs w:val="21"/>
                <w:lang w:bidi="ar"/>
              </w:rPr>
              <w:t>氧化还原电位mV</w:t>
            </w:r>
          </w:p>
        </w:tc>
        <w:tc>
          <w:tcPr>
            <w:tcW w:w="970" w:type="pct"/>
            <w:noWrap w:val="0"/>
            <w:vAlign w:val="center"/>
          </w:tcPr>
          <w:p w14:paraId="7DB09670">
            <w:pPr>
              <w:jc w:val="center"/>
              <w:rPr>
                <w:rFonts w:ascii="Times New Roman" w:hAnsi="Times New Roman" w:eastAsia="宋体" w:cs="Times New Roman"/>
                <w:bCs/>
                <w:sz w:val="21"/>
                <w:szCs w:val="21"/>
              </w:rPr>
            </w:pPr>
            <w:r>
              <w:rPr>
                <w:rFonts w:hint="default" w:ascii="Times New Roman" w:hAnsi="Times New Roman" w:eastAsia="宋体" w:cs="Times New Roman"/>
                <w:bCs/>
                <w:sz w:val="21"/>
                <w:szCs w:val="21"/>
                <w:lang w:val="en-US" w:eastAsia="zh-CN"/>
              </w:rPr>
              <w:t>340</w:t>
            </w:r>
          </w:p>
        </w:tc>
        <w:tc>
          <w:tcPr>
            <w:tcW w:w="849" w:type="pct"/>
            <w:noWrap w:val="0"/>
            <w:vAlign w:val="center"/>
          </w:tcPr>
          <w:p w14:paraId="12B00F4A">
            <w:pPr>
              <w:jc w:val="center"/>
              <w:rPr>
                <w:rFonts w:ascii="Times New Roman" w:hAnsi="Times New Roman" w:eastAsia="宋体" w:cs="Times New Roman"/>
                <w:bCs/>
                <w:sz w:val="21"/>
                <w:szCs w:val="21"/>
              </w:rPr>
            </w:pPr>
            <w:r>
              <w:rPr>
                <w:rFonts w:hint="default" w:ascii="Times New Roman" w:hAnsi="Times New Roman" w:eastAsia="宋体" w:cs="Times New Roman"/>
                <w:bCs/>
                <w:sz w:val="21"/>
                <w:szCs w:val="21"/>
                <w:lang w:val="en-US" w:eastAsia="zh-CN"/>
              </w:rPr>
              <w:t>222</w:t>
            </w:r>
          </w:p>
        </w:tc>
        <w:tc>
          <w:tcPr>
            <w:tcW w:w="856" w:type="pct"/>
            <w:noWrap w:val="0"/>
            <w:vAlign w:val="center"/>
          </w:tcPr>
          <w:p w14:paraId="3E73BFFF">
            <w:pPr>
              <w:jc w:val="center"/>
              <w:rPr>
                <w:rFonts w:ascii="Times New Roman" w:hAnsi="Times New Roman" w:eastAsia="宋体" w:cs="Times New Roman"/>
                <w:bCs/>
                <w:sz w:val="21"/>
                <w:szCs w:val="21"/>
              </w:rPr>
            </w:pPr>
            <w:r>
              <w:rPr>
                <w:rFonts w:hint="default" w:ascii="Times New Roman" w:hAnsi="Times New Roman" w:eastAsia="宋体" w:cs="Times New Roman"/>
                <w:bCs/>
                <w:sz w:val="21"/>
                <w:szCs w:val="21"/>
                <w:lang w:val="en-US" w:eastAsia="zh-CN"/>
              </w:rPr>
              <w:t>145</w:t>
            </w:r>
          </w:p>
        </w:tc>
      </w:tr>
      <w:tr w14:paraId="3E8F5A2F">
        <w:tblPrEx>
          <w:tblBorders>
            <w:top w:val="thinThickSmallGap" w:color="auto" w:sz="12" w:space="0"/>
            <w:left w:val="none" w:color="auto" w:sz="0" w:space="0"/>
            <w:bottom w:val="thickThinSmallGap" w:color="auto" w:sz="12" w:space="0"/>
            <w:right w:val="none" w:color="auto" w:sz="0" w:space="0"/>
            <w:insideH w:val="single" w:color="auto" w:sz="4" w:space="0"/>
            <w:insideV w:val="single" w:color="000000" w:sz="4" w:space="0"/>
          </w:tblBorders>
          <w:tblCellMar>
            <w:top w:w="0" w:type="dxa"/>
            <w:left w:w="108" w:type="dxa"/>
            <w:bottom w:w="0" w:type="dxa"/>
            <w:right w:w="108" w:type="dxa"/>
          </w:tblCellMar>
        </w:tblPrEx>
        <w:trPr>
          <w:trHeight w:val="397" w:hRule="atLeast"/>
          <w:jc w:val="center"/>
        </w:trPr>
        <w:tc>
          <w:tcPr>
            <w:tcW w:w="514" w:type="pct"/>
            <w:vMerge w:val="continue"/>
            <w:noWrap w:val="0"/>
            <w:vAlign w:val="center"/>
          </w:tcPr>
          <w:p w14:paraId="46CE3C4D">
            <w:pPr>
              <w:jc w:val="center"/>
              <w:rPr>
                <w:rFonts w:ascii="Times New Roman" w:hAnsi="Times New Roman" w:cs="Times New Roman"/>
                <w:bCs/>
                <w:sz w:val="21"/>
                <w:szCs w:val="21"/>
              </w:rPr>
            </w:pPr>
          </w:p>
        </w:tc>
        <w:tc>
          <w:tcPr>
            <w:tcW w:w="413" w:type="pct"/>
            <w:vMerge w:val="continue"/>
            <w:noWrap w:val="0"/>
            <w:vAlign w:val="center"/>
          </w:tcPr>
          <w:p w14:paraId="5E75C20A">
            <w:pPr>
              <w:jc w:val="center"/>
              <w:rPr>
                <w:rFonts w:ascii="Times New Roman" w:hAnsi="Times New Roman" w:cs="Times New Roman"/>
                <w:bCs/>
                <w:sz w:val="21"/>
                <w:szCs w:val="21"/>
              </w:rPr>
            </w:pPr>
          </w:p>
        </w:tc>
        <w:tc>
          <w:tcPr>
            <w:tcW w:w="1395" w:type="pct"/>
            <w:noWrap w:val="0"/>
            <w:vAlign w:val="center"/>
          </w:tcPr>
          <w:p w14:paraId="5FA877E4">
            <w:pPr>
              <w:adjustRightInd w:val="0"/>
              <w:snapToGrid w:val="0"/>
              <w:jc w:val="center"/>
              <w:textAlignment w:val="center"/>
              <w:rPr>
                <w:rFonts w:ascii="Times New Roman" w:hAnsi="Times New Roman" w:cs="Times New Roman"/>
                <w:sz w:val="21"/>
                <w:szCs w:val="21"/>
              </w:rPr>
            </w:pPr>
            <w:r>
              <w:rPr>
                <w:rFonts w:ascii="Times New Roman" w:hAnsi="Times New Roman" w:cs="Times New Roman"/>
                <w:sz w:val="21"/>
                <w:szCs w:val="21"/>
              </w:rPr>
              <w:t>饱和含水率K</w:t>
            </w:r>
            <w:r>
              <w:rPr>
                <w:rFonts w:ascii="Times New Roman" w:hAnsi="Times New Roman" w:cs="Times New Roman"/>
                <w:sz w:val="21"/>
                <w:szCs w:val="21"/>
                <w:vertAlign w:val="subscript"/>
              </w:rPr>
              <w:t>10</w:t>
            </w:r>
            <w:r>
              <w:rPr>
                <w:rFonts w:ascii="Times New Roman" w:hAnsi="Times New Roman" w:cs="Times New Roman"/>
                <w:sz w:val="21"/>
                <w:szCs w:val="21"/>
              </w:rPr>
              <w:t>（mm/min）</w:t>
            </w:r>
          </w:p>
        </w:tc>
        <w:tc>
          <w:tcPr>
            <w:tcW w:w="970" w:type="pct"/>
            <w:noWrap w:val="0"/>
            <w:vAlign w:val="center"/>
          </w:tcPr>
          <w:p w14:paraId="4CD2402A">
            <w:pPr>
              <w:jc w:val="center"/>
              <w:rPr>
                <w:rFonts w:ascii="Times New Roman" w:hAnsi="Times New Roman" w:eastAsia="宋体" w:cs="Times New Roman"/>
                <w:bCs/>
                <w:sz w:val="21"/>
                <w:szCs w:val="21"/>
              </w:rPr>
            </w:pPr>
            <w:r>
              <w:rPr>
                <w:rFonts w:hint="default" w:ascii="Times New Roman" w:hAnsi="Times New Roman" w:eastAsia="宋体" w:cs="Times New Roman"/>
                <w:bCs/>
                <w:sz w:val="21"/>
                <w:szCs w:val="21"/>
                <w:lang w:val="en-US" w:eastAsia="zh-CN"/>
              </w:rPr>
              <w:t>0.87</w:t>
            </w:r>
          </w:p>
        </w:tc>
        <w:tc>
          <w:tcPr>
            <w:tcW w:w="849" w:type="pct"/>
            <w:noWrap w:val="0"/>
            <w:vAlign w:val="center"/>
          </w:tcPr>
          <w:p w14:paraId="01330BBE">
            <w:pPr>
              <w:jc w:val="center"/>
              <w:rPr>
                <w:rFonts w:ascii="Times New Roman" w:hAnsi="Times New Roman" w:eastAsia="宋体" w:cs="Times New Roman"/>
                <w:bCs/>
                <w:sz w:val="21"/>
                <w:szCs w:val="21"/>
              </w:rPr>
            </w:pPr>
            <w:r>
              <w:rPr>
                <w:rFonts w:hint="default" w:ascii="Times New Roman" w:hAnsi="Times New Roman" w:eastAsia="宋体" w:cs="Times New Roman"/>
                <w:bCs/>
                <w:sz w:val="21"/>
                <w:szCs w:val="21"/>
                <w:lang w:val="en-US" w:eastAsia="zh-CN"/>
              </w:rPr>
              <w:t>0.93</w:t>
            </w:r>
          </w:p>
        </w:tc>
        <w:tc>
          <w:tcPr>
            <w:tcW w:w="856" w:type="pct"/>
            <w:noWrap w:val="0"/>
            <w:vAlign w:val="center"/>
          </w:tcPr>
          <w:p w14:paraId="36FDCA1E">
            <w:pPr>
              <w:jc w:val="center"/>
              <w:rPr>
                <w:rFonts w:ascii="Times New Roman" w:hAnsi="Times New Roman" w:eastAsia="宋体" w:cs="Times New Roman"/>
                <w:bCs/>
                <w:sz w:val="21"/>
                <w:szCs w:val="21"/>
              </w:rPr>
            </w:pPr>
            <w:r>
              <w:rPr>
                <w:rFonts w:hint="default" w:ascii="Times New Roman" w:hAnsi="Times New Roman" w:eastAsia="宋体" w:cs="Times New Roman"/>
                <w:bCs/>
                <w:sz w:val="21"/>
                <w:szCs w:val="21"/>
                <w:lang w:val="en-US" w:eastAsia="zh-CN"/>
              </w:rPr>
              <w:t>0.91</w:t>
            </w:r>
          </w:p>
        </w:tc>
      </w:tr>
      <w:tr w14:paraId="04110F54">
        <w:tblPrEx>
          <w:tblBorders>
            <w:top w:val="thinThickSmallGap" w:color="auto" w:sz="12" w:space="0"/>
            <w:left w:val="none" w:color="auto" w:sz="0" w:space="0"/>
            <w:bottom w:val="thickThinSmallGap" w:color="auto" w:sz="12" w:space="0"/>
            <w:right w:val="none" w:color="auto" w:sz="0" w:space="0"/>
            <w:insideH w:val="single" w:color="auto" w:sz="4" w:space="0"/>
            <w:insideV w:val="single" w:color="000000" w:sz="4" w:space="0"/>
          </w:tblBorders>
          <w:tblCellMar>
            <w:top w:w="0" w:type="dxa"/>
            <w:left w:w="108" w:type="dxa"/>
            <w:bottom w:w="0" w:type="dxa"/>
            <w:right w:w="108" w:type="dxa"/>
          </w:tblCellMar>
        </w:tblPrEx>
        <w:trPr>
          <w:trHeight w:val="397" w:hRule="atLeast"/>
          <w:jc w:val="center"/>
        </w:trPr>
        <w:tc>
          <w:tcPr>
            <w:tcW w:w="514" w:type="pct"/>
            <w:vMerge w:val="continue"/>
            <w:noWrap w:val="0"/>
            <w:vAlign w:val="center"/>
          </w:tcPr>
          <w:p w14:paraId="4931E9F7">
            <w:pPr>
              <w:jc w:val="center"/>
              <w:rPr>
                <w:rFonts w:ascii="Times New Roman" w:hAnsi="Times New Roman" w:cs="Times New Roman"/>
                <w:bCs/>
                <w:sz w:val="21"/>
                <w:szCs w:val="21"/>
              </w:rPr>
            </w:pPr>
          </w:p>
        </w:tc>
        <w:tc>
          <w:tcPr>
            <w:tcW w:w="413" w:type="pct"/>
            <w:vMerge w:val="continue"/>
            <w:noWrap w:val="0"/>
            <w:vAlign w:val="center"/>
          </w:tcPr>
          <w:p w14:paraId="46980C97">
            <w:pPr>
              <w:jc w:val="center"/>
              <w:rPr>
                <w:rFonts w:ascii="Times New Roman" w:hAnsi="Times New Roman" w:cs="Times New Roman"/>
                <w:bCs/>
                <w:sz w:val="21"/>
                <w:szCs w:val="21"/>
              </w:rPr>
            </w:pPr>
          </w:p>
        </w:tc>
        <w:tc>
          <w:tcPr>
            <w:tcW w:w="1395" w:type="pct"/>
            <w:noWrap w:val="0"/>
            <w:vAlign w:val="center"/>
          </w:tcPr>
          <w:p w14:paraId="3170CC14">
            <w:pPr>
              <w:adjustRightInd w:val="0"/>
              <w:snapToGrid w:val="0"/>
              <w:jc w:val="center"/>
              <w:textAlignment w:val="center"/>
              <w:rPr>
                <w:rFonts w:ascii="Times New Roman" w:hAnsi="Times New Roman" w:cs="Times New Roman"/>
                <w:sz w:val="21"/>
                <w:szCs w:val="21"/>
              </w:rPr>
            </w:pPr>
            <w:r>
              <w:rPr>
                <w:rFonts w:ascii="Times New Roman" w:hAnsi="Times New Roman" w:cs="Times New Roman"/>
                <w:sz w:val="21"/>
                <w:szCs w:val="21"/>
                <w:lang w:bidi="ar"/>
              </w:rPr>
              <w:t>土壤容重g/cm</w:t>
            </w:r>
            <w:r>
              <w:rPr>
                <w:rFonts w:ascii="Times New Roman" w:hAnsi="Times New Roman" w:cs="Times New Roman"/>
                <w:sz w:val="21"/>
                <w:szCs w:val="21"/>
                <w:vertAlign w:val="superscript"/>
                <w:lang w:bidi="ar"/>
              </w:rPr>
              <w:t>3</w:t>
            </w:r>
          </w:p>
        </w:tc>
        <w:tc>
          <w:tcPr>
            <w:tcW w:w="970" w:type="pct"/>
            <w:noWrap w:val="0"/>
            <w:vAlign w:val="center"/>
          </w:tcPr>
          <w:p w14:paraId="362E3746">
            <w:pPr>
              <w:jc w:val="center"/>
              <w:rPr>
                <w:rFonts w:ascii="Times New Roman" w:hAnsi="Times New Roman" w:eastAsia="宋体" w:cs="Times New Roman"/>
                <w:bCs/>
                <w:sz w:val="21"/>
                <w:szCs w:val="21"/>
              </w:rPr>
            </w:pPr>
            <w:r>
              <w:rPr>
                <w:rFonts w:hint="default" w:ascii="Times New Roman" w:hAnsi="Times New Roman" w:eastAsia="宋体" w:cs="Times New Roman"/>
                <w:bCs/>
                <w:sz w:val="21"/>
                <w:szCs w:val="21"/>
                <w:lang w:val="en-US" w:eastAsia="zh-CN"/>
              </w:rPr>
              <w:t>1.7</w:t>
            </w:r>
          </w:p>
        </w:tc>
        <w:tc>
          <w:tcPr>
            <w:tcW w:w="849" w:type="pct"/>
            <w:noWrap w:val="0"/>
            <w:vAlign w:val="center"/>
          </w:tcPr>
          <w:p w14:paraId="4F1D9A12">
            <w:pPr>
              <w:jc w:val="center"/>
              <w:rPr>
                <w:rFonts w:ascii="Times New Roman" w:hAnsi="Times New Roman" w:eastAsia="宋体" w:cs="Times New Roman"/>
                <w:bCs/>
                <w:sz w:val="21"/>
                <w:szCs w:val="21"/>
              </w:rPr>
            </w:pPr>
            <w:r>
              <w:rPr>
                <w:rFonts w:hint="default" w:ascii="Times New Roman" w:hAnsi="Times New Roman" w:eastAsia="宋体" w:cs="Times New Roman"/>
                <w:bCs/>
                <w:sz w:val="21"/>
                <w:szCs w:val="21"/>
                <w:lang w:val="en-US" w:eastAsia="zh-CN"/>
              </w:rPr>
              <w:t>1.74</w:t>
            </w:r>
          </w:p>
        </w:tc>
        <w:tc>
          <w:tcPr>
            <w:tcW w:w="856" w:type="pct"/>
            <w:noWrap w:val="0"/>
            <w:vAlign w:val="center"/>
          </w:tcPr>
          <w:p w14:paraId="788B940E">
            <w:pPr>
              <w:jc w:val="center"/>
              <w:rPr>
                <w:rFonts w:ascii="Times New Roman" w:hAnsi="Times New Roman" w:eastAsia="宋体" w:cs="Times New Roman"/>
                <w:bCs/>
                <w:sz w:val="21"/>
                <w:szCs w:val="21"/>
              </w:rPr>
            </w:pPr>
            <w:r>
              <w:rPr>
                <w:rFonts w:hint="default" w:ascii="Times New Roman" w:hAnsi="Times New Roman" w:eastAsia="宋体" w:cs="Times New Roman"/>
                <w:bCs/>
                <w:sz w:val="21"/>
                <w:szCs w:val="21"/>
                <w:lang w:val="en-US" w:eastAsia="zh-CN"/>
              </w:rPr>
              <w:t>1.79</w:t>
            </w:r>
          </w:p>
        </w:tc>
      </w:tr>
      <w:tr w14:paraId="1D95362A">
        <w:tblPrEx>
          <w:tblBorders>
            <w:top w:val="thinThickSmallGap" w:color="auto" w:sz="12" w:space="0"/>
            <w:left w:val="none" w:color="auto" w:sz="0" w:space="0"/>
            <w:bottom w:val="thickThinSmallGap" w:color="auto" w:sz="12" w:space="0"/>
            <w:right w:val="none" w:color="auto" w:sz="0" w:space="0"/>
            <w:insideH w:val="single" w:color="auto" w:sz="4" w:space="0"/>
            <w:insideV w:val="single" w:color="000000" w:sz="4" w:space="0"/>
          </w:tblBorders>
          <w:tblCellMar>
            <w:top w:w="0" w:type="dxa"/>
            <w:left w:w="108" w:type="dxa"/>
            <w:bottom w:w="0" w:type="dxa"/>
            <w:right w:w="108" w:type="dxa"/>
          </w:tblCellMar>
        </w:tblPrEx>
        <w:trPr>
          <w:trHeight w:val="397" w:hRule="atLeast"/>
          <w:jc w:val="center"/>
        </w:trPr>
        <w:tc>
          <w:tcPr>
            <w:tcW w:w="514" w:type="pct"/>
            <w:noWrap w:val="0"/>
            <w:vAlign w:val="center"/>
          </w:tcPr>
          <w:p w14:paraId="0BF4E6F5">
            <w:pPr>
              <w:jc w:val="center"/>
              <w:rPr>
                <w:rFonts w:ascii="Times New Roman" w:hAnsi="Times New Roman" w:cs="Times New Roman"/>
                <w:bCs/>
                <w:sz w:val="21"/>
                <w:szCs w:val="21"/>
              </w:rPr>
            </w:pPr>
            <w:bookmarkStart w:id="417" w:name="_Toc90026135"/>
            <w:r>
              <w:rPr>
                <w:rFonts w:ascii="Times New Roman" w:hAnsi="Times New Roman" w:cs="Times New Roman"/>
                <w:bCs/>
                <w:sz w:val="21"/>
                <w:szCs w:val="21"/>
              </w:rPr>
              <w:t>时间</w:t>
            </w:r>
          </w:p>
        </w:tc>
        <w:tc>
          <w:tcPr>
            <w:tcW w:w="1809" w:type="pct"/>
            <w:gridSpan w:val="2"/>
            <w:noWrap w:val="0"/>
            <w:vAlign w:val="center"/>
          </w:tcPr>
          <w:p w14:paraId="0C113EF4">
            <w:pPr>
              <w:jc w:val="center"/>
              <w:rPr>
                <w:rFonts w:ascii="Times New Roman" w:hAnsi="Times New Roman" w:cs="Times New Roman"/>
                <w:sz w:val="21"/>
                <w:szCs w:val="21"/>
                <w:lang w:bidi="ar"/>
              </w:rPr>
            </w:pPr>
            <w:r>
              <w:rPr>
                <w:rFonts w:hint="eastAsia" w:ascii="Times New Roman" w:hAnsi="Times New Roman" w:cs="Times New Roman"/>
                <w:bCs/>
                <w:sz w:val="21"/>
                <w:szCs w:val="21"/>
              </w:rPr>
              <w:t>点位</w:t>
            </w:r>
          </w:p>
        </w:tc>
        <w:tc>
          <w:tcPr>
            <w:tcW w:w="2676" w:type="pct"/>
            <w:gridSpan w:val="3"/>
            <w:noWrap w:val="0"/>
            <w:vAlign w:val="center"/>
          </w:tcPr>
          <w:p w14:paraId="5A933E33">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T2</w:t>
            </w:r>
            <w:r>
              <w:rPr>
                <w:rFonts w:hint="eastAsia" w:ascii="宋体" w:hAnsi="宋体" w:eastAsia="宋体" w:cs="宋体"/>
                <w:i w:val="0"/>
                <w:iCs w:val="0"/>
                <w:color w:val="000000"/>
                <w:kern w:val="0"/>
                <w:sz w:val="21"/>
                <w:szCs w:val="21"/>
                <w:u w:val="none"/>
                <w:lang w:val="en-US" w:eastAsia="zh-CN" w:bidi="ar"/>
              </w:rPr>
              <w:t>厂区内菜地</w:t>
            </w:r>
          </w:p>
        </w:tc>
      </w:tr>
      <w:tr w14:paraId="29601B60">
        <w:tblPrEx>
          <w:tblBorders>
            <w:top w:val="thinThickSmallGap" w:color="auto" w:sz="12" w:space="0"/>
            <w:left w:val="none" w:color="auto" w:sz="0" w:space="0"/>
            <w:bottom w:val="thickThinSmallGap" w:color="auto" w:sz="12" w:space="0"/>
            <w:right w:val="none" w:color="auto" w:sz="0" w:space="0"/>
            <w:insideH w:val="single" w:color="auto" w:sz="4" w:space="0"/>
            <w:insideV w:val="single" w:color="000000" w:sz="4" w:space="0"/>
          </w:tblBorders>
          <w:tblCellMar>
            <w:top w:w="0" w:type="dxa"/>
            <w:left w:w="108" w:type="dxa"/>
            <w:bottom w:w="0" w:type="dxa"/>
            <w:right w:w="108" w:type="dxa"/>
          </w:tblCellMar>
        </w:tblPrEx>
        <w:trPr>
          <w:trHeight w:val="397" w:hRule="atLeast"/>
          <w:jc w:val="center"/>
        </w:trPr>
        <w:tc>
          <w:tcPr>
            <w:tcW w:w="514" w:type="pct"/>
            <w:vMerge w:val="restart"/>
            <w:noWrap w:val="0"/>
            <w:vAlign w:val="center"/>
          </w:tcPr>
          <w:p w14:paraId="447EA14D">
            <w:pPr>
              <w:jc w:val="center"/>
              <w:rPr>
                <w:rFonts w:ascii="Times New Roman" w:hAnsi="Times New Roman" w:cs="Times New Roman"/>
                <w:bCs/>
                <w:sz w:val="21"/>
                <w:szCs w:val="21"/>
              </w:rPr>
            </w:pPr>
            <w:r>
              <w:rPr>
                <w:rFonts w:hint="eastAsia" w:ascii="Times New Roman" w:hAnsi="Times New Roman" w:cs="Times New Roman"/>
                <w:bCs/>
                <w:sz w:val="21"/>
                <w:szCs w:val="21"/>
              </w:rPr>
              <w:t>2026.05.01</w:t>
            </w:r>
          </w:p>
        </w:tc>
        <w:tc>
          <w:tcPr>
            <w:tcW w:w="413" w:type="pct"/>
            <w:vMerge w:val="restart"/>
            <w:noWrap w:val="0"/>
            <w:vAlign w:val="center"/>
          </w:tcPr>
          <w:p w14:paraId="0A205DCC">
            <w:pPr>
              <w:jc w:val="center"/>
              <w:rPr>
                <w:rFonts w:ascii="Times New Roman" w:hAnsi="Times New Roman" w:cs="Times New Roman"/>
                <w:bCs/>
                <w:sz w:val="21"/>
                <w:szCs w:val="21"/>
              </w:rPr>
            </w:pPr>
            <w:r>
              <w:rPr>
                <w:rFonts w:hint="eastAsia" w:ascii="Times New Roman" w:hAnsi="Times New Roman" w:cs="Times New Roman"/>
                <w:bCs/>
                <w:sz w:val="21"/>
                <w:szCs w:val="21"/>
              </w:rPr>
              <w:t>现</w:t>
            </w:r>
            <w:r>
              <w:rPr>
                <w:rFonts w:ascii="Times New Roman" w:hAnsi="Times New Roman" w:cs="Times New Roman"/>
                <w:bCs/>
                <w:sz w:val="21"/>
                <w:szCs w:val="21"/>
              </w:rPr>
              <w:t xml:space="preserve"> 场 记 录</w:t>
            </w:r>
          </w:p>
        </w:tc>
        <w:tc>
          <w:tcPr>
            <w:tcW w:w="1395" w:type="pct"/>
            <w:noWrap w:val="0"/>
            <w:vAlign w:val="center"/>
          </w:tcPr>
          <w:p w14:paraId="0AF2F633">
            <w:pPr>
              <w:spacing w:line="240" w:lineRule="auto"/>
              <w:jc w:val="center"/>
              <w:rPr>
                <w:rFonts w:ascii="Times New Roman" w:hAnsi="Times New Roman" w:cs="Times New Roman"/>
                <w:sz w:val="21"/>
                <w:szCs w:val="21"/>
                <w:lang w:bidi="ar"/>
              </w:rPr>
            </w:pPr>
            <w:r>
              <w:rPr>
                <w:rFonts w:hint="eastAsia" w:ascii="Times New Roman" w:hAnsi="Times New Roman" w:eastAsia="宋体" w:cs="Times New Roman"/>
                <w:color w:val="auto"/>
                <w:sz w:val="21"/>
                <w:szCs w:val="21"/>
                <w:highlight w:val="none"/>
                <w:lang w:val="en-US" w:eastAsia="zh-CN"/>
              </w:rPr>
              <w:t>层次</w:t>
            </w:r>
          </w:p>
        </w:tc>
        <w:tc>
          <w:tcPr>
            <w:tcW w:w="1676" w:type="dxa"/>
            <w:noWrap w:val="0"/>
            <w:vAlign w:val="center"/>
          </w:tcPr>
          <w:p w14:paraId="7EAB80E3">
            <w:pPr>
              <w:jc w:val="center"/>
              <w:rPr>
                <w:rFonts w:hint="default" w:ascii="Times New Roman" w:hAnsi="Times New Roman" w:eastAsia="宋体" w:cs="Times New Roman"/>
                <w:bCs/>
                <w:sz w:val="21"/>
                <w:szCs w:val="21"/>
                <w:lang w:val="en-US" w:eastAsia="zh-CN"/>
              </w:rPr>
            </w:pPr>
            <w:r>
              <w:rPr>
                <w:rFonts w:hint="eastAsia" w:ascii="Times New Roman" w:hAnsi="Times New Roman" w:eastAsia="宋体" w:cs="Times New Roman"/>
                <w:bCs/>
                <w:sz w:val="21"/>
                <w:szCs w:val="21"/>
                <w:lang w:val="en-US" w:eastAsia="zh-CN"/>
              </w:rPr>
              <w:t>0.2</w:t>
            </w:r>
            <w:r>
              <w:rPr>
                <w:rFonts w:hint="default" w:ascii="Times New Roman" w:hAnsi="Times New Roman" w:eastAsia="宋体" w:cs="Times New Roman"/>
                <w:bCs/>
                <w:sz w:val="21"/>
                <w:szCs w:val="21"/>
                <w:lang w:val="en-US" w:eastAsia="zh-CN"/>
              </w:rPr>
              <w:t>m</w:t>
            </w:r>
          </w:p>
        </w:tc>
        <w:tc>
          <w:tcPr>
            <w:tcW w:w="1467" w:type="dxa"/>
            <w:noWrap w:val="0"/>
            <w:vAlign w:val="center"/>
          </w:tcPr>
          <w:p w14:paraId="4BC91804">
            <w:pPr>
              <w:jc w:val="center"/>
              <w:rPr>
                <w:rFonts w:hint="default" w:ascii="Times New Roman" w:hAnsi="Times New Roman" w:eastAsia="宋体" w:cs="Times New Roman"/>
                <w:bCs/>
                <w:sz w:val="21"/>
                <w:szCs w:val="21"/>
                <w:lang w:val="en-US" w:eastAsia="zh-CN"/>
              </w:rPr>
            </w:pPr>
            <w:r>
              <w:rPr>
                <w:rFonts w:hint="eastAsia" w:ascii="Times New Roman" w:hAnsi="Times New Roman" w:eastAsia="宋体" w:cs="Times New Roman"/>
                <w:bCs/>
                <w:sz w:val="21"/>
                <w:szCs w:val="21"/>
                <w:lang w:val="en-US" w:eastAsia="zh-CN"/>
              </w:rPr>
              <w:t>0.7</w:t>
            </w:r>
            <w:r>
              <w:rPr>
                <w:rFonts w:hint="default" w:ascii="Times New Roman" w:hAnsi="Times New Roman" w:eastAsia="宋体" w:cs="Times New Roman"/>
                <w:bCs/>
                <w:sz w:val="21"/>
                <w:szCs w:val="21"/>
                <w:lang w:val="en-US" w:eastAsia="zh-CN"/>
              </w:rPr>
              <w:t>m</w:t>
            </w:r>
          </w:p>
        </w:tc>
        <w:tc>
          <w:tcPr>
            <w:tcW w:w="1480" w:type="dxa"/>
            <w:noWrap w:val="0"/>
            <w:vAlign w:val="center"/>
          </w:tcPr>
          <w:p w14:paraId="6FFB38B4">
            <w:pPr>
              <w:jc w:val="center"/>
              <w:rPr>
                <w:rFonts w:hint="default" w:ascii="Times New Roman" w:hAnsi="Times New Roman" w:eastAsia="宋体" w:cs="Times New Roman"/>
                <w:bCs/>
                <w:sz w:val="21"/>
                <w:szCs w:val="21"/>
                <w:lang w:val="en-US" w:eastAsia="zh-CN"/>
              </w:rPr>
            </w:pPr>
            <w:r>
              <w:rPr>
                <w:rFonts w:hint="eastAsia" w:ascii="Times New Roman" w:hAnsi="Times New Roman" w:eastAsia="宋体" w:cs="Times New Roman"/>
                <w:bCs/>
                <w:sz w:val="21"/>
                <w:szCs w:val="21"/>
                <w:lang w:val="en-US" w:eastAsia="zh-CN"/>
              </w:rPr>
              <w:t>1.8</w:t>
            </w:r>
            <w:r>
              <w:rPr>
                <w:rFonts w:hint="default" w:ascii="Times New Roman" w:hAnsi="Times New Roman" w:eastAsia="宋体" w:cs="Times New Roman"/>
                <w:bCs/>
                <w:sz w:val="21"/>
                <w:szCs w:val="21"/>
                <w:lang w:val="en-US" w:eastAsia="zh-CN"/>
              </w:rPr>
              <w:t>m</w:t>
            </w:r>
          </w:p>
        </w:tc>
      </w:tr>
      <w:tr w14:paraId="558A1B13">
        <w:tblPrEx>
          <w:tblBorders>
            <w:top w:val="thinThickSmallGap" w:color="auto" w:sz="12" w:space="0"/>
            <w:left w:val="none" w:color="auto" w:sz="0" w:space="0"/>
            <w:bottom w:val="thickThinSmallGap" w:color="auto" w:sz="12" w:space="0"/>
            <w:right w:val="none" w:color="auto" w:sz="0" w:space="0"/>
            <w:insideH w:val="single" w:color="auto" w:sz="4" w:space="0"/>
            <w:insideV w:val="single" w:color="000000" w:sz="4" w:space="0"/>
          </w:tblBorders>
          <w:tblCellMar>
            <w:top w:w="0" w:type="dxa"/>
            <w:left w:w="108" w:type="dxa"/>
            <w:bottom w:w="0" w:type="dxa"/>
            <w:right w:w="108" w:type="dxa"/>
          </w:tblCellMar>
        </w:tblPrEx>
        <w:trPr>
          <w:trHeight w:val="397" w:hRule="atLeast"/>
          <w:jc w:val="center"/>
        </w:trPr>
        <w:tc>
          <w:tcPr>
            <w:tcW w:w="514" w:type="pct"/>
            <w:vMerge w:val="continue"/>
            <w:noWrap w:val="0"/>
            <w:vAlign w:val="center"/>
          </w:tcPr>
          <w:p w14:paraId="7C4054FF">
            <w:pPr>
              <w:jc w:val="center"/>
              <w:rPr>
                <w:rFonts w:ascii="Times New Roman" w:hAnsi="Times New Roman" w:cs="Times New Roman"/>
                <w:bCs/>
                <w:sz w:val="21"/>
                <w:szCs w:val="21"/>
              </w:rPr>
            </w:pPr>
          </w:p>
        </w:tc>
        <w:tc>
          <w:tcPr>
            <w:tcW w:w="413" w:type="pct"/>
            <w:vMerge w:val="continue"/>
            <w:noWrap w:val="0"/>
            <w:vAlign w:val="center"/>
          </w:tcPr>
          <w:p w14:paraId="3E38FD25">
            <w:pPr>
              <w:jc w:val="center"/>
              <w:rPr>
                <w:rFonts w:ascii="Times New Roman" w:hAnsi="Times New Roman" w:cs="Times New Roman"/>
                <w:bCs/>
                <w:sz w:val="21"/>
                <w:szCs w:val="21"/>
              </w:rPr>
            </w:pPr>
          </w:p>
        </w:tc>
        <w:tc>
          <w:tcPr>
            <w:tcW w:w="1395" w:type="pct"/>
            <w:noWrap w:val="0"/>
            <w:vAlign w:val="center"/>
          </w:tcPr>
          <w:p w14:paraId="31B41206">
            <w:pPr>
              <w:jc w:val="center"/>
              <w:rPr>
                <w:rFonts w:ascii="Times New Roman" w:hAnsi="Times New Roman" w:cs="Times New Roman"/>
                <w:sz w:val="21"/>
                <w:szCs w:val="21"/>
                <w:lang w:bidi="ar"/>
              </w:rPr>
            </w:pPr>
            <w:r>
              <w:rPr>
                <w:rFonts w:ascii="Times New Roman" w:hAnsi="Times New Roman" w:cs="Times New Roman"/>
                <w:sz w:val="21"/>
                <w:szCs w:val="21"/>
              </w:rPr>
              <w:t>颜色</w:t>
            </w:r>
          </w:p>
        </w:tc>
        <w:tc>
          <w:tcPr>
            <w:tcW w:w="1676" w:type="dxa"/>
            <w:noWrap w:val="0"/>
            <w:vAlign w:val="center"/>
          </w:tcPr>
          <w:p w14:paraId="0E04DBF1">
            <w:pPr>
              <w:jc w:val="center"/>
              <w:rPr>
                <w:rFonts w:hint="default" w:ascii="Times New Roman" w:hAnsi="Times New Roman" w:eastAsia="宋体" w:cs="Times New Roman"/>
                <w:bCs/>
                <w:sz w:val="21"/>
                <w:szCs w:val="21"/>
                <w:lang w:val="en-US" w:eastAsia="zh-CN"/>
              </w:rPr>
            </w:pPr>
            <w:r>
              <w:rPr>
                <w:rFonts w:hint="eastAsia" w:ascii="Times New Roman" w:hAnsi="Times New Roman" w:eastAsia="宋体" w:cs="Times New Roman"/>
                <w:bCs/>
                <w:sz w:val="21"/>
                <w:szCs w:val="21"/>
                <w:lang w:val="en-US" w:eastAsia="zh-CN"/>
              </w:rPr>
              <w:t>棕色</w:t>
            </w:r>
          </w:p>
        </w:tc>
        <w:tc>
          <w:tcPr>
            <w:tcW w:w="1467" w:type="dxa"/>
            <w:noWrap w:val="0"/>
            <w:vAlign w:val="center"/>
          </w:tcPr>
          <w:p w14:paraId="39D8DE3B">
            <w:pPr>
              <w:jc w:val="center"/>
              <w:rPr>
                <w:rFonts w:hint="default" w:ascii="Times New Roman" w:hAnsi="Times New Roman" w:eastAsia="宋体" w:cs="Times New Roman"/>
                <w:bCs/>
                <w:sz w:val="21"/>
                <w:szCs w:val="21"/>
                <w:lang w:val="en-US" w:eastAsia="zh-CN"/>
              </w:rPr>
            </w:pPr>
            <w:r>
              <w:rPr>
                <w:rFonts w:hint="eastAsia" w:ascii="Times New Roman" w:hAnsi="Times New Roman" w:eastAsia="宋体" w:cs="Times New Roman"/>
                <w:bCs/>
                <w:sz w:val="21"/>
                <w:szCs w:val="21"/>
                <w:lang w:val="en-US" w:eastAsia="zh-CN"/>
              </w:rPr>
              <w:t>暗棕色</w:t>
            </w:r>
          </w:p>
        </w:tc>
        <w:tc>
          <w:tcPr>
            <w:tcW w:w="1480" w:type="dxa"/>
            <w:noWrap w:val="0"/>
            <w:vAlign w:val="center"/>
          </w:tcPr>
          <w:p w14:paraId="59CD6430">
            <w:pPr>
              <w:jc w:val="center"/>
              <w:rPr>
                <w:rFonts w:hint="default" w:ascii="Times New Roman" w:hAnsi="Times New Roman" w:eastAsia="宋体" w:cs="Times New Roman"/>
                <w:bCs/>
                <w:sz w:val="21"/>
                <w:szCs w:val="21"/>
                <w:lang w:val="en-US" w:eastAsia="zh-CN"/>
              </w:rPr>
            </w:pPr>
            <w:r>
              <w:rPr>
                <w:rFonts w:hint="eastAsia" w:ascii="Times New Roman" w:hAnsi="Times New Roman" w:eastAsia="宋体" w:cs="Times New Roman"/>
                <w:bCs/>
                <w:sz w:val="21"/>
                <w:szCs w:val="21"/>
                <w:lang w:val="en-US" w:eastAsia="zh-CN"/>
              </w:rPr>
              <w:t>深棕色</w:t>
            </w:r>
          </w:p>
        </w:tc>
      </w:tr>
      <w:tr w14:paraId="3DB50A4E">
        <w:tblPrEx>
          <w:tblBorders>
            <w:top w:val="thinThickSmallGap" w:color="auto" w:sz="12" w:space="0"/>
            <w:left w:val="none" w:color="auto" w:sz="0" w:space="0"/>
            <w:bottom w:val="thickThinSmallGap" w:color="auto" w:sz="12" w:space="0"/>
            <w:right w:val="none" w:color="auto" w:sz="0" w:space="0"/>
            <w:insideH w:val="single" w:color="auto" w:sz="4" w:space="0"/>
            <w:insideV w:val="single" w:color="000000" w:sz="4" w:space="0"/>
          </w:tblBorders>
          <w:tblCellMar>
            <w:top w:w="0" w:type="dxa"/>
            <w:left w:w="108" w:type="dxa"/>
            <w:bottom w:w="0" w:type="dxa"/>
            <w:right w:w="108" w:type="dxa"/>
          </w:tblCellMar>
        </w:tblPrEx>
        <w:trPr>
          <w:trHeight w:val="397" w:hRule="atLeast"/>
          <w:jc w:val="center"/>
        </w:trPr>
        <w:tc>
          <w:tcPr>
            <w:tcW w:w="514" w:type="pct"/>
            <w:vMerge w:val="continue"/>
            <w:noWrap w:val="0"/>
            <w:vAlign w:val="center"/>
          </w:tcPr>
          <w:p w14:paraId="43E94645">
            <w:pPr>
              <w:jc w:val="center"/>
              <w:rPr>
                <w:rFonts w:ascii="Times New Roman" w:hAnsi="Times New Roman" w:cs="Times New Roman"/>
                <w:bCs/>
                <w:sz w:val="21"/>
                <w:szCs w:val="21"/>
              </w:rPr>
            </w:pPr>
          </w:p>
        </w:tc>
        <w:tc>
          <w:tcPr>
            <w:tcW w:w="413" w:type="pct"/>
            <w:vMerge w:val="continue"/>
            <w:noWrap w:val="0"/>
            <w:vAlign w:val="center"/>
          </w:tcPr>
          <w:p w14:paraId="707DA1FE">
            <w:pPr>
              <w:jc w:val="center"/>
              <w:rPr>
                <w:rFonts w:ascii="Times New Roman" w:hAnsi="Times New Roman" w:cs="Times New Roman"/>
                <w:bCs/>
                <w:sz w:val="21"/>
                <w:szCs w:val="21"/>
              </w:rPr>
            </w:pPr>
          </w:p>
        </w:tc>
        <w:tc>
          <w:tcPr>
            <w:tcW w:w="1395" w:type="pct"/>
            <w:noWrap w:val="0"/>
            <w:vAlign w:val="center"/>
          </w:tcPr>
          <w:p w14:paraId="2F1E39C9">
            <w:pPr>
              <w:jc w:val="center"/>
              <w:rPr>
                <w:rFonts w:ascii="Times New Roman" w:hAnsi="Times New Roman" w:cs="Times New Roman"/>
                <w:sz w:val="21"/>
                <w:szCs w:val="21"/>
                <w:lang w:bidi="ar"/>
              </w:rPr>
            </w:pPr>
            <w:r>
              <w:rPr>
                <w:rFonts w:ascii="Times New Roman" w:hAnsi="Times New Roman" w:cs="Times New Roman"/>
                <w:sz w:val="21"/>
                <w:szCs w:val="21"/>
              </w:rPr>
              <w:t>质地</w:t>
            </w:r>
          </w:p>
        </w:tc>
        <w:tc>
          <w:tcPr>
            <w:tcW w:w="1676" w:type="dxa"/>
            <w:noWrap w:val="0"/>
            <w:vAlign w:val="center"/>
          </w:tcPr>
          <w:p w14:paraId="14D7D177">
            <w:pPr>
              <w:jc w:val="center"/>
              <w:rPr>
                <w:rFonts w:hint="default" w:ascii="Times New Roman" w:hAnsi="Times New Roman" w:eastAsia="宋体" w:cs="Times New Roman"/>
                <w:bCs/>
                <w:sz w:val="21"/>
                <w:szCs w:val="21"/>
                <w:lang w:val="en-US" w:eastAsia="zh-CN"/>
              </w:rPr>
            </w:pPr>
            <w:r>
              <w:rPr>
                <w:rFonts w:hint="eastAsia" w:ascii="Times New Roman" w:hAnsi="Times New Roman" w:eastAsia="宋体" w:cs="Times New Roman"/>
                <w:bCs/>
                <w:sz w:val="21"/>
                <w:szCs w:val="21"/>
                <w:lang w:val="en-US" w:eastAsia="zh-CN"/>
              </w:rPr>
              <w:t>砂壤土</w:t>
            </w:r>
          </w:p>
        </w:tc>
        <w:tc>
          <w:tcPr>
            <w:tcW w:w="1467" w:type="dxa"/>
            <w:noWrap w:val="0"/>
            <w:vAlign w:val="center"/>
          </w:tcPr>
          <w:p w14:paraId="0ABA15AE">
            <w:pPr>
              <w:jc w:val="center"/>
              <w:rPr>
                <w:rFonts w:hint="default" w:ascii="Times New Roman" w:hAnsi="Times New Roman" w:eastAsia="宋体" w:cs="Times New Roman"/>
                <w:bCs/>
                <w:sz w:val="21"/>
                <w:szCs w:val="21"/>
                <w:lang w:val="en-US" w:eastAsia="zh-CN"/>
              </w:rPr>
            </w:pPr>
            <w:r>
              <w:rPr>
                <w:rFonts w:hint="eastAsia" w:ascii="Times New Roman" w:hAnsi="Times New Roman" w:eastAsia="宋体" w:cs="Times New Roman"/>
                <w:bCs/>
                <w:sz w:val="21"/>
                <w:szCs w:val="21"/>
                <w:lang w:val="en-US" w:eastAsia="zh-CN"/>
              </w:rPr>
              <w:t>轻壤土</w:t>
            </w:r>
          </w:p>
        </w:tc>
        <w:tc>
          <w:tcPr>
            <w:tcW w:w="1480" w:type="dxa"/>
            <w:noWrap w:val="0"/>
            <w:vAlign w:val="center"/>
          </w:tcPr>
          <w:p w14:paraId="3E53225A">
            <w:pPr>
              <w:jc w:val="center"/>
              <w:rPr>
                <w:rFonts w:hint="default" w:ascii="Times New Roman" w:hAnsi="Times New Roman" w:eastAsia="宋体" w:cs="Times New Roman"/>
                <w:bCs/>
                <w:sz w:val="21"/>
                <w:szCs w:val="21"/>
                <w:lang w:val="en-US" w:eastAsia="zh-CN"/>
              </w:rPr>
            </w:pPr>
            <w:r>
              <w:rPr>
                <w:rFonts w:hint="eastAsia" w:ascii="Times New Roman" w:hAnsi="Times New Roman" w:eastAsia="宋体" w:cs="Times New Roman"/>
                <w:bCs/>
                <w:sz w:val="21"/>
                <w:szCs w:val="21"/>
                <w:lang w:val="en-US" w:eastAsia="zh-CN"/>
              </w:rPr>
              <w:t>中壤土</w:t>
            </w:r>
          </w:p>
        </w:tc>
      </w:tr>
      <w:tr w14:paraId="611B1F4F">
        <w:tblPrEx>
          <w:tblBorders>
            <w:top w:val="thinThickSmallGap" w:color="auto" w:sz="12" w:space="0"/>
            <w:left w:val="none" w:color="auto" w:sz="0" w:space="0"/>
            <w:bottom w:val="thickThinSmallGap" w:color="auto" w:sz="12" w:space="0"/>
            <w:right w:val="none" w:color="auto" w:sz="0" w:space="0"/>
            <w:insideH w:val="single" w:color="auto" w:sz="4" w:space="0"/>
            <w:insideV w:val="single" w:color="000000" w:sz="4" w:space="0"/>
          </w:tblBorders>
          <w:tblCellMar>
            <w:top w:w="0" w:type="dxa"/>
            <w:left w:w="108" w:type="dxa"/>
            <w:bottom w:w="0" w:type="dxa"/>
            <w:right w:w="108" w:type="dxa"/>
          </w:tblCellMar>
        </w:tblPrEx>
        <w:trPr>
          <w:trHeight w:val="397" w:hRule="atLeast"/>
          <w:jc w:val="center"/>
        </w:trPr>
        <w:tc>
          <w:tcPr>
            <w:tcW w:w="514" w:type="pct"/>
            <w:vMerge w:val="continue"/>
            <w:noWrap w:val="0"/>
            <w:vAlign w:val="center"/>
          </w:tcPr>
          <w:p w14:paraId="26ED4C61">
            <w:pPr>
              <w:jc w:val="center"/>
              <w:rPr>
                <w:rFonts w:ascii="Times New Roman" w:hAnsi="Times New Roman" w:cs="Times New Roman"/>
                <w:bCs/>
                <w:sz w:val="21"/>
                <w:szCs w:val="21"/>
              </w:rPr>
            </w:pPr>
          </w:p>
        </w:tc>
        <w:tc>
          <w:tcPr>
            <w:tcW w:w="413" w:type="pct"/>
            <w:vMerge w:val="continue"/>
            <w:noWrap w:val="0"/>
            <w:vAlign w:val="center"/>
          </w:tcPr>
          <w:p w14:paraId="1AD5D6F6">
            <w:pPr>
              <w:jc w:val="center"/>
              <w:rPr>
                <w:rFonts w:ascii="Times New Roman" w:hAnsi="Times New Roman" w:cs="Times New Roman"/>
                <w:bCs/>
                <w:sz w:val="21"/>
                <w:szCs w:val="21"/>
              </w:rPr>
            </w:pPr>
          </w:p>
        </w:tc>
        <w:tc>
          <w:tcPr>
            <w:tcW w:w="1395" w:type="pct"/>
            <w:noWrap w:val="0"/>
            <w:vAlign w:val="center"/>
          </w:tcPr>
          <w:p w14:paraId="26AF8F6A">
            <w:pPr>
              <w:jc w:val="center"/>
              <w:rPr>
                <w:rFonts w:ascii="Times New Roman" w:hAnsi="Times New Roman" w:cs="Times New Roman"/>
                <w:sz w:val="21"/>
                <w:szCs w:val="21"/>
                <w:lang w:bidi="ar"/>
              </w:rPr>
            </w:pPr>
            <w:r>
              <w:rPr>
                <w:rFonts w:ascii="Times New Roman" w:hAnsi="Times New Roman" w:cs="Times New Roman"/>
                <w:sz w:val="21"/>
                <w:szCs w:val="21"/>
              </w:rPr>
              <w:t>其他异物</w:t>
            </w:r>
          </w:p>
        </w:tc>
        <w:tc>
          <w:tcPr>
            <w:tcW w:w="1676" w:type="dxa"/>
            <w:noWrap w:val="0"/>
            <w:vAlign w:val="center"/>
          </w:tcPr>
          <w:p w14:paraId="1EA4C24E">
            <w:pPr>
              <w:jc w:val="center"/>
              <w:rPr>
                <w:rFonts w:hint="default" w:ascii="Times New Roman" w:hAnsi="Times New Roman" w:eastAsia="宋体" w:cs="Times New Roman"/>
                <w:bCs/>
                <w:sz w:val="21"/>
                <w:szCs w:val="21"/>
                <w:lang w:val="en-US" w:eastAsia="zh-CN"/>
              </w:rPr>
            </w:pPr>
            <w:r>
              <w:rPr>
                <w:rFonts w:hint="eastAsia" w:ascii="Times New Roman" w:hAnsi="Times New Roman" w:eastAsia="宋体" w:cs="Times New Roman"/>
                <w:bCs/>
                <w:sz w:val="21"/>
                <w:szCs w:val="21"/>
                <w:lang w:val="en-US" w:eastAsia="zh-CN"/>
              </w:rPr>
              <w:t>无根系</w:t>
            </w:r>
          </w:p>
        </w:tc>
        <w:tc>
          <w:tcPr>
            <w:tcW w:w="1467" w:type="dxa"/>
            <w:noWrap w:val="0"/>
            <w:vAlign w:val="center"/>
          </w:tcPr>
          <w:p w14:paraId="390007D6">
            <w:pPr>
              <w:jc w:val="center"/>
              <w:rPr>
                <w:rFonts w:hint="default" w:ascii="Times New Roman" w:hAnsi="Times New Roman" w:eastAsia="宋体" w:cs="Times New Roman"/>
                <w:bCs/>
                <w:sz w:val="21"/>
                <w:szCs w:val="21"/>
                <w:lang w:val="en-US" w:eastAsia="zh-CN"/>
              </w:rPr>
            </w:pPr>
            <w:r>
              <w:rPr>
                <w:rFonts w:hint="eastAsia" w:ascii="Times New Roman" w:hAnsi="Times New Roman" w:eastAsia="宋体" w:cs="Times New Roman"/>
                <w:bCs/>
                <w:sz w:val="21"/>
                <w:szCs w:val="21"/>
                <w:lang w:val="en-US" w:eastAsia="zh-CN"/>
              </w:rPr>
              <w:t>少量根系</w:t>
            </w:r>
          </w:p>
        </w:tc>
        <w:tc>
          <w:tcPr>
            <w:tcW w:w="1480" w:type="dxa"/>
            <w:noWrap w:val="0"/>
            <w:vAlign w:val="center"/>
          </w:tcPr>
          <w:p w14:paraId="6BAA81B8">
            <w:pPr>
              <w:jc w:val="center"/>
              <w:rPr>
                <w:rFonts w:hint="default" w:ascii="Times New Roman" w:hAnsi="Times New Roman" w:eastAsia="宋体" w:cs="Times New Roman"/>
                <w:bCs/>
                <w:sz w:val="21"/>
                <w:szCs w:val="21"/>
                <w:lang w:val="en-US" w:eastAsia="zh-CN"/>
              </w:rPr>
            </w:pPr>
            <w:r>
              <w:rPr>
                <w:rFonts w:hint="eastAsia" w:ascii="Times New Roman" w:hAnsi="Times New Roman" w:eastAsia="宋体" w:cs="Times New Roman"/>
                <w:bCs/>
                <w:sz w:val="21"/>
                <w:szCs w:val="21"/>
                <w:lang w:val="en-US" w:eastAsia="zh-CN"/>
              </w:rPr>
              <w:t>少量根系</w:t>
            </w:r>
          </w:p>
        </w:tc>
      </w:tr>
      <w:tr w14:paraId="2DDBE4D8">
        <w:tblPrEx>
          <w:tblBorders>
            <w:top w:val="thinThickSmallGap" w:color="auto" w:sz="12" w:space="0"/>
            <w:left w:val="none" w:color="auto" w:sz="0" w:space="0"/>
            <w:bottom w:val="thickThinSmallGap" w:color="auto" w:sz="12" w:space="0"/>
            <w:right w:val="none" w:color="auto" w:sz="0" w:space="0"/>
            <w:insideH w:val="single" w:color="auto" w:sz="4" w:space="0"/>
            <w:insideV w:val="single" w:color="000000" w:sz="4" w:space="0"/>
          </w:tblBorders>
          <w:tblCellMar>
            <w:top w:w="0" w:type="dxa"/>
            <w:left w:w="108" w:type="dxa"/>
            <w:bottom w:w="0" w:type="dxa"/>
            <w:right w:w="108" w:type="dxa"/>
          </w:tblCellMar>
        </w:tblPrEx>
        <w:trPr>
          <w:trHeight w:val="397" w:hRule="atLeast"/>
          <w:jc w:val="center"/>
        </w:trPr>
        <w:tc>
          <w:tcPr>
            <w:tcW w:w="514" w:type="pct"/>
            <w:vMerge w:val="continue"/>
            <w:noWrap w:val="0"/>
            <w:vAlign w:val="center"/>
          </w:tcPr>
          <w:p w14:paraId="0580F873">
            <w:pPr>
              <w:jc w:val="center"/>
              <w:rPr>
                <w:rFonts w:ascii="Times New Roman" w:hAnsi="Times New Roman" w:cs="Times New Roman"/>
                <w:bCs/>
                <w:sz w:val="21"/>
                <w:szCs w:val="21"/>
              </w:rPr>
            </w:pPr>
          </w:p>
        </w:tc>
        <w:tc>
          <w:tcPr>
            <w:tcW w:w="413" w:type="pct"/>
            <w:vMerge w:val="restart"/>
            <w:noWrap w:val="0"/>
            <w:vAlign w:val="center"/>
          </w:tcPr>
          <w:p w14:paraId="2F180ADB">
            <w:pPr>
              <w:jc w:val="center"/>
              <w:rPr>
                <w:rFonts w:ascii="Times New Roman" w:hAnsi="Times New Roman" w:cs="Times New Roman"/>
                <w:bCs/>
                <w:sz w:val="21"/>
                <w:szCs w:val="21"/>
              </w:rPr>
            </w:pPr>
            <w:r>
              <w:rPr>
                <w:rFonts w:hint="eastAsia" w:ascii="Times New Roman" w:hAnsi="Times New Roman" w:cs="Times New Roman"/>
                <w:bCs/>
                <w:sz w:val="21"/>
                <w:szCs w:val="21"/>
              </w:rPr>
              <w:t>实</w:t>
            </w:r>
            <w:r>
              <w:rPr>
                <w:rFonts w:ascii="Times New Roman" w:hAnsi="Times New Roman" w:cs="Times New Roman"/>
                <w:bCs/>
                <w:sz w:val="21"/>
                <w:szCs w:val="21"/>
              </w:rPr>
              <w:t xml:space="preserve"> 验 室 测 定</w:t>
            </w:r>
          </w:p>
        </w:tc>
        <w:tc>
          <w:tcPr>
            <w:tcW w:w="1395" w:type="pct"/>
            <w:noWrap w:val="0"/>
            <w:vAlign w:val="center"/>
          </w:tcPr>
          <w:p w14:paraId="7C0264FE">
            <w:pPr>
              <w:adjustRightInd w:val="0"/>
              <w:snapToGrid w:val="0"/>
              <w:jc w:val="center"/>
              <w:textAlignment w:val="center"/>
              <w:rPr>
                <w:rFonts w:ascii="Times New Roman" w:hAnsi="Times New Roman" w:cs="Times New Roman"/>
                <w:sz w:val="21"/>
                <w:szCs w:val="21"/>
                <w:lang w:bidi="ar"/>
              </w:rPr>
            </w:pPr>
            <w:r>
              <w:rPr>
                <w:rFonts w:ascii="Times New Roman" w:hAnsi="Times New Roman" w:cs="Times New Roman"/>
                <w:sz w:val="21"/>
                <w:szCs w:val="21"/>
                <w:lang w:bidi="ar"/>
              </w:rPr>
              <w:t>pH值</w:t>
            </w:r>
          </w:p>
        </w:tc>
        <w:tc>
          <w:tcPr>
            <w:tcW w:w="1676" w:type="dxa"/>
            <w:noWrap w:val="0"/>
            <w:vAlign w:val="center"/>
          </w:tcPr>
          <w:p w14:paraId="4A2D12FC">
            <w:pPr>
              <w:jc w:val="center"/>
              <w:rPr>
                <w:rFonts w:hint="default" w:ascii="Times New Roman" w:hAnsi="Times New Roman" w:eastAsia="宋体" w:cs="Times New Roman"/>
                <w:bCs/>
                <w:sz w:val="21"/>
                <w:szCs w:val="21"/>
                <w:lang w:val="en-US" w:eastAsia="zh-CN"/>
              </w:rPr>
            </w:pPr>
            <w:r>
              <w:rPr>
                <w:rFonts w:hint="default" w:ascii="Times New Roman" w:hAnsi="Times New Roman" w:eastAsia="宋体" w:cs="Times New Roman"/>
                <w:bCs/>
                <w:sz w:val="21"/>
                <w:szCs w:val="21"/>
                <w:lang w:val="en-US" w:eastAsia="zh-CN"/>
              </w:rPr>
              <w:t>7.1</w:t>
            </w:r>
          </w:p>
        </w:tc>
        <w:tc>
          <w:tcPr>
            <w:tcW w:w="1467" w:type="dxa"/>
            <w:noWrap w:val="0"/>
            <w:vAlign w:val="center"/>
          </w:tcPr>
          <w:p w14:paraId="33CEC0A6">
            <w:pPr>
              <w:jc w:val="center"/>
              <w:rPr>
                <w:rFonts w:hint="default" w:ascii="Times New Roman" w:hAnsi="Times New Roman" w:eastAsia="宋体" w:cs="Times New Roman"/>
                <w:bCs/>
                <w:sz w:val="21"/>
                <w:szCs w:val="21"/>
                <w:lang w:val="en-US" w:eastAsia="zh-CN"/>
              </w:rPr>
            </w:pPr>
            <w:r>
              <w:rPr>
                <w:rFonts w:hint="default" w:ascii="Times New Roman" w:hAnsi="Times New Roman" w:eastAsia="宋体" w:cs="Times New Roman"/>
                <w:bCs/>
                <w:sz w:val="21"/>
                <w:szCs w:val="21"/>
                <w:lang w:val="en-US" w:eastAsia="zh-CN"/>
              </w:rPr>
              <w:t>7.2</w:t>
            </w:r>
          </w:p>
        </w:tc>
        <w:tc>
          <w:tcPr>
            <w:tcW w:w="1480" w:type="dxa"/>
            <w:noWrap w:val="0"/>
            <w:vAlign w:val="center"/>
          </w:tcPr>
          <w:p w14:paraId="785DEB13">
            <w:pPr>
              <w:jc w:val="center"/>
              <w:rPr>
                <w:rFonts w:hint="default" w:ascii="Times New Roman" w:hAnsi="Times New Roman" w:eastAsia="宋体" w:cs="Times New Roman"/>
                <w:bCs/>
                <w:sz w:val="21"/>
                <w:szCs w:val="21"/>
                <w:lang w:val="en-US" w:eastAsia="zh-CN"/>
              </w:rPr>
            </w:pPr>
            <w:r>
              <w:rPr>
                <w:rFonts w:hint="default" w:ascii="Times New Roman" w:hAnsi="Times New Roman" w:eastAsia="宋体" w:cs="Times New Roman"/>
                <w:bCs/>
                <w:sz w:val="21"/>
                <w:szCs w:val="21"/>
                <w:lang w:val="en-US" w:eastAsia="zh-CN"/>
              </w:rPr>
              <w:t>7.3</w:t>
            </w:r>
          </w:p>
        </w:tc>
      </w:tr>
      <w:tr w14:paraId="580F9CC1">
        <w:tblPrEx>
          <w:tblBorders>
            <w:top w:val="thinThickSmallGap" w:color="auto" w:sz="12" w:space="0"/>
            <w:left w:val="none" w:color="auto" w:sz="0" w:space="0"/>
            <w:bottom w:val="thickThinSmallGap" w:color="auto" w:sz="12" w:space="0"/>
            <w:right w:val="none" w:color="auto" w:sz="0" w:space="0"/>
            <w:insideH w:val="single" w:color="auto" w:sz="4" w:space="0"/>
            <w:insideV w:val="single" w:color="000000" w:sz="4" w:space="0"/>
          </w:tblBorders>
          <w:tblCellMar>
            <w:top w:w="0" w:type="dxa"/>
            <w:left w:w="108" w:type="dxa"/>
            <w:bottom w:w="0" w:type="dxa"/>
            <w:right w:w="108" w:type="dxa"/>
          </w:tblCellMar>
        </w:tblPrEx>
        <w:trPr>
          <w:trHeight w:val="397" w:hRule="atLeast"/>
          <w:jc w:val="center"/>
        </w:trPr>
        <w:tc>
          <w:tcPr>
            <w:tcW w:w="514" w:type="pct"/>
            <w:vMerge w:val="continue"/>
            <w:noWrap w:val="0"/>
            <w:vAlign w:val="center"/>
          </w:tcPr>
          <w:p w14:paraId="3090898D">
            <w:pPr>
              <w:jc w:val="center"/>
              <w:rPr>
                <w:rFonts w:ascii="Times New Roman" w:hAnsi="Times New Roman" w:cs="Times New Roman"/>
                <w:bCs/>
                <w:sz w:val="21"/>
                <w:szCs w:val="21"/>
              </w:rPr>
            </w:pPr>
          </w:p>
        </w:tc>
        <w:tc>
          <w:tcPr>
            <w:tcW w:w="413" w:type="pct"/>
            <w:vMerge w:val="continue"/>
            <w:noWrap w:val="0"/>
            <w:vAlign w:val="center"/>
          </w:tcPr>
          <w:p w14:paraId="6347F380">
            <w:pPr>
              <w:jc w:val="center"/>
              <w:rPr>
                <w:rFonts w:ascii="Times New Roman" w:hAnsi="Times New Roman" w:cs="Times New Roman"/>
                <w:bCs/>
                <w:sz w:val="21"/>
                <w:szCs w:val="21"/>
              </w:rPr>
            </w:pPr>
          </w:p>
        </w:tc>
        <w:tc>
          <w:tcPr>
            <w:tcW w:w="1395" w:type="pct"/>
            <w:noWrap w:val="0"/>
            <w:vAlign w:val="center"/>
          </w:tcPr>
          <w:p w14:paraId="209B0F4D">
            <w:pPr>
              <w:adjustRightInd w:val="0"/>
              <w:snapToGrid w:val="0"/>
              <w:jc w:val="center"/>
              <w:textAlignment w:val="center"/>
              <w:rPr>
                <w:rFonts w:ascii="Times New Roman" w:hAnsi="Times New Roman" w:cs="Times New Roman"/>
                <w:sz w:val="21"/>
                <w:szCs w:val="21"/>
                <w:lang w:bidi="ar"/>
              </w:rPr>
            </w:pPr>
            <w:r>
              <w:rPr>
                <w:rFonts w:ascii="Times New Roman" w:hAnsi="Times New Roman" w:cs="Times New Roman"/>
                <w:sz w:val="21"/>
                <w:szCs w:val="21"/>
                <w:lang w:bidi="ar"/>
              </w:rPr>
              <w:t>阳离子交换量cmol(+)/kg</w:t>
            </w:r>
          </w:p>
        </w:tc>
        <w:tc>
          <w:tcPr>
            <w:tcW w:w="1676" w:type="dxa"/>
            <w:noWrap w:val="0"/>
            <w:vAlign w:val="center"/>
          </w:tcPr>
          <w:p w14:paraId="373C9505">
            <w:pPr>
              <w:jc w:val="center"/>
              <w:rPr>
                <w:rFonts w:hint="default" w:ascii="Times New Roman" w:hAnsi="Times New Roman" w:eastAsia="宋体" w:cs="Times New Roman"/>
                <w:bCs/>
                <w:sz w:val="21"/>
                <w:szCs w:val="21"/>
                <w:lang w:val="en-US" w:eastAsia="zh-CN"/>
              </w:rPr>
            </w:pPr>
            <w:r>
              <w:rPr>
                <w:rFonts w:hint="default" w:ascii="Times New Roman" w:hAnsi="Times New Roman" w:eastAsia="宋体" w:cs="Times New Roman"/>
                <w:bCs/>
                <w:sz w:val="21"/>
                <w:szCs w:val="21"/>
                <w:lang w:val="en-US" w:eastAsia="zh-CN"/>
              </w:rPr>
              <w:t>12.46</w:t>
            </w:r>
          </w:p>
        </w:tc>
        <w:tc>
          <w:tcPr>
            <w:tcW w:w="1467" w:type="dxa"/>
            <w:noWrap w:val="0"/>
            <w:vAlign w:val="center"/>
          </w:tcPr>
          <w:p w14:paraId="1E6F9DC7">
            <w:pPr>
              <w:jc w:val="center"/>
              <w:rPr>
                <w:rFonts w:hint="default" w:ascii="Times New Roman" w:hAnsi="Times New Roman" w:eastAsia="宋体" w:cs="Times New Roman"/>
                <w:bCs/>
                <w:sz w:val="21"/>
                <w:szCs w:val="21"/>
                <w:lang w:val="en-US" w:eastAsia="zh-CN"/>
              </w:rPr>
            </w:pPr>
            <w:r>
              <w:rPr>
                <w:rFonts w:hint="default" w:ascii="Times New Roman" w:hAnsi="Times New Roman" w:eastAsia="宋体" w:cs="Times New Roman"/>
                <w:bCs/>
                <w:sz w:val="21"/>
                <w:szCs w:val="21"/>
                <w:lang w:val="en-US" w:eastAsia="zh-CN"/>
              </w:rPr>
              <w:t>12.63</w:t>
            </w:r>
          </w:p>
        </w:tc>
        <w:tc>
          <w:tcPr>
            <w:tcW w:w="1480" w:type="dxa"/>
            <w:noWrap w:val="0"/>
            <w:vAlign w:val="center"/>
          </w:tcPr>
          <w:p w14:paraId="66E4D57E">
            <w:pPr>
              <w:jc w:val="center"/>
              <w:rPr>
                <w:rFonts w:hint="default" w:ascii="Times New Roman" w:hAnsi="Times New Roman" w:eastAsia="宋体" w:cs="Times New Roman"/>
                <w:bCs/>
                <w:sz w:val="21"/>
                <w:szCs w:val="21"/>
                <w:lang w:val="en-US" w:eastAsia="zh-CN"/>
              </w:rPr>
            </w:pPr>
            <w:r>
              <w:rPr>
                <w:rFonts w:hint="default" w:ascii="Times New Roman" w:hAnsi="Times New Roman" w:eastAsia="宋体" w:cs="Times New Roman"/>
                <w:bCs/>
                <w:sz w:val="21"/>
                <w:szCs w:val="21"/>
                <w:lang w:val="en-US" w:eastAsia="zh-CN"/>
              </w:rPr>
              <w:t>12.71</w:t>
            </w:r>
          </w:p>
        </w:tc>
      </w:tr>
      <w:tr w14:paraId="2AF895C5">
        <w:tblPrEx>
          <w:tblBorders>
            <w:top w:val="thinThickSmallGap" w:color="auto" w:sz="12" w:space="0"/>
            <w:left w:val="none" w:color="auto" w:sz="0" w:space="0"/>
            <w:bottom w:val="thickThinSmallGap" w:color="auto" w:sz="12" w:space="0"/>
            <w:right w:val="none" w:color="auto" w:sz="0" w:space="0"/>
            <w:insideH w:val="single" w:color="auto" w:sz="4" w:space="0"/>
            <w:insideV w:val="single" w:color="000000" w:sz="4" w:space="0"/>
          </w:tblBorders>
          <w:tblCellMar>
            <w:top w:w="0" w:type="dxa"/>
            <w:left w:w="108" w:type="dxa"/>
            <w:bottom w:w="0" w:type="dxa"/>
            <w:right w:w="108" w:type="dxa"/>
          </w:tblCellMar>
        </w:tblPrEx>
        <w:trPr>
          <w:trHeight w:val="397" w:hRule="atLeast"/>
          <w:jc w:val="center"/>
        </w:trPr>
        <w:tc>
          <w:tcPr>
            <w:tcW w:w="514" w:type="pct"/>
            <w:vMerge w:val="continue"/>
            <w:noWrap w:val="0"/>
            <w:vAlign w:val="center"/>
          </w:tcPr>
          <w:p w14:paraId="4CCA02DA">
            <w:pPr>
              <w:jc w:val="center"/>
              <w:rPr>
                <w:rFonts w:ascii="Times New Roman" w:hAnsi="Times New Roman" w:cs="Times New Roman"/>
                <w:bCs/>
                <w:sz w:val="21"/>
                <w:szCs w:val="21"/>
              </w:rPr>
            </w:pPr>
          </w:p>
        </w:tc>
        <w:tc>
          <w:tcPr>
            <w:tcW w:w="413" w:type="pct"/>
            <w:vMerge w:val="continue"/>
            <w:noWrap w:val="0"/>
            <w:vAlign w:val="center"/>
          </w:tcPr>
          <w:p w14:paraId="721B23FD">
            <w:pPr>
              <w:jc w:val="center"/>
              <w:rPr>
                <w:rFonts w:ascii="Times New Roman" w:hAnsi="Times New Roman" w:cs="Times New Roman"/>
                <w:bCs/>
                <w:sz w:val="21"/>
                <w:szCs w:val="21"/>
              </w:rPr>
            </w:pPr>
          </w:p>
        </w:tc>
        <w:tc>
          <w:tcPr>
            <w:tcW w:w="1395" w:type="pct"/>
            <w:noWrap w:val="0"/>
            <w:vAlign w:val="center"/>
          </w:tcPr>
          <w:p w14:paraId="61DD1E8B">
            <w:pPr>
              <w:adjustRightInd w:val="0"/>
              <w:snapToGrid w:val="0"/>
              <w:jc w:val="center"/>
              <w:textAlignment w:val="center"/>
              <w:rPr>
                <w:rFonts w:ascii="Times New Roman" w:hAnsi="Times New Roman" w:cs="Times New Roman"/>
                <w:sz w:val="21"/>
                <w:szCs w:val="21"/>
                <w:lang w:bidi="ar"/>
              </w:rPr>
            </w:pPr>
            <w:r>
              <w:rPr>
                <w:rFonts w:ascii="Times New Roman" w:hAnsi="Times New Roman" w:cs="Times New Roman"/>
                <w:sz w:val="21"/>
                <w:szCs w:val="21"/>
                <w:lang w:bidi="ar"/>
              </w:rPr>
              <w:t>氧化还原电位mV</w:t>
            </w:r>
          </w:p>
        </w:tc>
        <w:tc>
          <w:tcPr>
            <w:tcW w:w="1676" w:type="dxa"/>
            <w:noWrap w:val="0"/>
            <w:vAlign w:val="center"/>
          </w:tcPr>
          <w:p w14:paraId="2ADE4E16">
            <w:pPr>
              <w:jc w:val="center"/>
              <w:rPr>
                <w:rFonts w:hint="default" w:ascii="Times New Roman" w:hAnsi="Times New Roman" w:eastAsia="宋体" w:cs="Times New Roman"/>
                <w:bCs/>
                <w:sz w:val="21"/>
                <w:szCs w:val="21"/>
                <w:lang w:val="en-US" w:eastAsia="zh-CN"/>
              </w:rPr>
            </w:pPr>
            <w:r>
              <w:rPr>
                <w:rFonts w:hint="default" w:ascii="Times New Roman" w:hAnsi="Times New Roman" w:eastAsia="宋体" w:cs="Times New Roman"/>
                <w:bCs/>
                <w:sz w:val="21"/>
                <w:szCs w:val="21"/>
                <w:lang w:val="en-US" w:eastAsia="zh-CN"/>
              </w:rPr>
              <w:t>324</w:t>
            </w:r>
          </w:p>
        </w:tc>
        <w:tc>
          <w:tcPr>
            <w:tcW w:w="1467" w:type="dxa"/>
            <w:noWrap w:val="0"/>
            <w:vAlign w:val="center"/>
          </w:tcPr>
          <w:p w14:paraId="5D373881">
            <w:pPr>
              <w:jc w:val="center"/>
              <w:rPr>
                <w:rFonts w:hint="default" w:ascii="Times New Roman" w:hAnsi="Times New Roman" w:eastAsia="宋体" w:cs="Times New Roman"/>
                <w:bCs/>
                <w:sz w:val="21"/>
                <w:szCs w:val="21"/>
                <w:lang w:val="en-US" w:eastAsia="zh-CN"/>
              </w:rPr>
            </w:pPr>
            <w:r>
              <w:rPr>
                <w:rFonts w:hint="default" w:ascii="Times New Roman" w:hAnsi="Times New Roman" w:eastAsia="宋体" w:cs="Times New Roman"/>
                <w:bCs/>
                <w:sz w:val="21"/>
                <w:szCs w:val="21"/>
                <w:lang w:val="en-US" w:eastAsia="zh-CN"/>
              </w:rPr>
              <w:t>228</w:t>
            </w:r>
          </w:p>
        </w:tc>
        <w:tc>
          <w:tcPr>
            <w:tcW w:w="1480" w:type="dxa"/>
            <w:noWrap w:val="0"/>
            <w:vAlign w:val="center"/>
          </w:tcPr>
          <w:p w14:paraId="0EABDE03">
            <w:pPr>
              <w:jc w:val="center"/>
              <w:rPr>
                <w:rFonts w:hint="default" w:ascii="Times New Roman" w:hAnsi="Times New Roman" w:eastAsia="宋体" w:cs="Times New Roman"/>
                <w:bCs/>
                <w:sz w:val="21"/>
                <w:szCs w:val="21"/>
                <w:lang w:val="en-US" w:eastAsia="zh-CN"/>
              </w:rPr>
            </w:pPr>
            <w:r>
              <w:rPr>
                <w:rFonts w:hint="default" w:ascii="Times New Roman" w:hAnsi="Times New Roman" w:eastAsia="宋体" w:cs="Times New Roman"/>
                <w:bCs/>
                <w:sz w:val="21"/>
                <w:szCs w:val="21"/>
                <w:lang w:val="en-US" w:eastAsia="zh-CN"/>
              </w:rPr>
              <w:t>154</w:t>
            </w:r>
          </w:p>
        </w:tc>
      </w:tr>
      <w:tr w14:paraId="13F5B75E">
        <w:tblPrEx>
          <w:tblBorders>
            <w:top w:val="thinThickSmallGap" w:color="auto" w:sz="12" w:space="0"/>
            <w:left w:val="none" w:color="auto" w:sz="0" w:space="0"/>
            <w:bottom w:val="thickThinSmallGap" w:color="auto" w:sz="12" w:space="0"/>
            <w:right w:val="none" w:color="auto" w:sz="0" w:space="0"/>
            <w:insideH w:val="single" w:color="auto" w:sz="4" w:space="0"/>
            <w:insideV w:val="single" w:color="000000" w:sz="4" w:space="0"/>
          </w:tblBorders>
          <w:tblCellMar>
            <w:top w:w="0" w:type="dxa"/>
            <w:left w:w="108" w:type="dxa"/>
            <w:bottom w:w="0" w:type="dxa"/>
            <w:right w:w="108" w:type="dxa"/>
          </w:tblCellMar>
        </w:tblPrEx>
        <w:trPr>
          <w:trHeight w:val="397" w:hRule="atLeast"/>
          <w:jc w:val="center"/>
        </w:trPr>
        <w:tc>
          <w:tcPr>
            <w:tcW w:w="514" w:type="pct"/>
            <w:vMerge w:val="continue"/>
            <w:noWrap w:val="0"/>
            <w:vAlign w:val="center"/>
          </w:tcPr>
          <w:p w14:paraId="0EECEAAF">
            <w:pPr>
              <w:jc w:val="center"/>
              <w:rPr>
                <w:rFonts w:ascii="Times New Roman" w:hAnsi="Times New Roman" w:cs="Times New Roman"/>
                <w:bCs/>
                <w:sz w:val="21"/>
                <w:szCs w:val="21"/>
              </w:rPr>
            </w:pPr>
          </w:p>
        </w:tc>
        <w:tc>
          <w:tcPr>
            <w:tcW w:w="413" w:type="pct"/>
            <w:vMerge w:val="continue"/>
            <w:noWrap w:val="0"/>
            <w:vAlign w:val="center"/>
          </w:tcPr>
          <w:p w14:paraId="625FF126">
            <w:pPr>
              <w:jc w:val="center"/>
              <w:rPr>
                <w:rFonts w:ascii="Times New Roman" w:hAnsi="Times New Roman" w:cs="Times New Roman"/>
                <w:bCs/>
                <w:sz w:val="21"/>
                <w:szCs w:val="21"/>
              </w:rPr>
            </w:pPr>
          </w:p>
        </w:tc>
        <w:tc>
          <w:tcPr>
            <w:tcW w:w="1395" w:type="pct"/>
            <w:noWrap w:val="0"/>
            <w:vAlign w:val="center"/>
          </w:tcPr>
          <w:p w14:paraId="74BB25E2">
            <w:pPr>
              <w:adjustRightInd w:val="0"/>
              <w:snapToGrid w:val="0"/>
              <w:jc w:val="center"/>
              <w:textAlignment w:val="center"/>
              <w:rPr>
                <w:rFonts w:ascii="Times New Roman" w:hAnsi="Times New Roman" w:cs="Times New Roman"/>
                <w:sz w:val="21"/>
                <w:szCs w:val="21"/>
                <w:lang w:bidi="ar"/>
              </w:rPr>
            </w:pPr>
            <w:r>
              <w:rPr>
                <w:rFonts w:ascii="Times New Roman" w:hAnsi="Times New Roman" w:cs="Times New Roman"/>
                <w:sz w:val="21"/>
                <w:szCs w:val="21"/>
              </w:rPr>
              <w:t>饱和含水率K</w:t>
            </w:r>
            <w:r>
              <w:rPr>
                <w:rFonts w:ascii="Times New Roman" w:hAnsi="Times New Roman" w:cs="Times New Roman"/>
                <w:sz w:val="21"/>
                <w:szCs w:val="21"/>
                <w:vertAlign w:val="subscript"/>
              </w:rPr>
              <w:t>10</w:t>
            </w:r>
            <w:r>
              <w:rPr>
                <w:rFonts w:ascii="Times New Roman" w:hAnsi="Times New Roman" w:cs="Times New Roman"/>
                <w:sz w:val="21"/>
                <w:szCs w:val="21"/>
              </w:rPr>
              <w:t>（mm/min）</w:t>
            </w:r>
          </w:p>
        </w:tc>
        <w:tc>
          <w:tcPr>
            <w:tcW w:w="1676" w:type="dxa"/>
            <w:noWrap w:val="0"/>
            <w:vAlign w:val="center"/>
          </w:tcPr>
          <w:p w14:paraId="08D43660">
            <w:pPr>
              <w:jc w:val="center"/>
              <w:rPr>
                <w:rFonts w:hint="default" w:ascii="Times New Roman" w:hAnsi="Times New Roman" w:eastAsia="宋体" w:cs="Times New Roman"/>
                <w:bCs/>
                <w:sz w:val="21"/>
                <w:szCs w:val="21"/>
                <w:lang w:val="en-US" w:eastAsia="zh-CN"/>
              </w:rPr>
            </w:pPr>
            <w:r>
              <w:rPr>
                <w:rFonts w:hint="default" w:ascii="Times New Roman" w:hAnsi="Times New Roman" w:eastAsia="宋体" w:cs="Times New Roman"/>
                <w:bCs/>
                <w:sz w:val="21"/>
                <w:szCs w:val="21"/>
                <w:lang w:val="en-US" w:eastAsia="zh-CN"/>
              </w:rPr>
              <w:t>0.95</w:t>
            </w:r>
          </w:p>
        </w:tc>
        <w:tc>
          <w:tcPr>
            <w:tcW w:w="1467" w:type="dxa"/>
            <w:noWrap w:val="0"/>
            <w:vAlign w:val="center"/>
          </w:tcPr>
          <w:p w14:paraId="70DFF975">
            <w:pPr>
              <w:jc w:val="center"/>
              <w:rPr>
                <w:rFonts w:hint="default" w:ascii="Times New Roman" w:hAnsi="Times New Roman" w:eastAsia="宋体" w:cs="Times New Roman"/>
                <w:bCs/>
                <w:sz w:val="21"/>
                <w:szCs w:val="21"/>
                <w:lang w:val="en-US" w:eastAsia="zh-CN"/>
              </w:rPr>
            </w:pPr>
            <w:r>
              <w:rPr>
                <w:rFonts w:hint="default" w:ascii="Times New Roman" w:hAnsi="Times New Roman" w:eastAsia="宋体" w:cs="Times New Roman"/>
                <w:bCs/>
                <w:sz w:val="21"/>
                <w:szCs w:val="21"/>
                <w:lang w:val="en-US" w:eastAsia="zh-CN"/>
              </w:rPr>
              <w:t>0.85</w:t>
            </w:r>
          </w:p>
        </w:tc>
        <w:tc>
          <w:tcPr>
            <w:tcW w:w="1480" w:type="dxa"/>
            <w:noWrap w:val="0"/>
            <w:vAlign w:val="center"/>
          </w:tcPr>
          <w:p w14:paraId="7A68B4C0">
            <w:pPr>
              <w:jc w:val="center"/>
              <w:rPr>
                <w:rFonts w:hint="default" w:ascii="Times New Roman" w:hAnsi="Times New Roman" w:eastAsia="宋体" w:cs="Times New Roman"/>
                <w:bCs/>
                <w:sz w:val="21"/>
                <w:szCs w:val="21"/>
                <w:lang w:val="en-US" w:eastAsia="zh-CN"/>
              </w:rPr>
            </w:pPr>
            <w:r>
              <w:rPr>
                <w:rFonts w:hint="default" w:ascii="Times New Roman" w:hAnsi="Times New Roman" w:eastAsia="宋体" w:cs="Times New Roman"/>
                <w:bCs/>
                <w:sz w:val="21"/>
                <w:szCs w:val="21"/>
                <w:lang w:val="en-US" w:eastAsia="zh-CN"/>
              </w:rPr>
              <w:t>0.82</w:t>
            </w:r>
          </w:p>
        </w:tc>
      </w:tr>
      <w:tr w14:paraId="65EC2EB8">
        <w:tblPrEx>
          <w:tblBorders>
            <w:top w:val="thinThickSmallGap" w:color="auto" w:sz="12" w:space="0"/>
            <w:left w:val="none" w:color="auto" w:sz="0" w:space="0"/>
            <w:bottom w:val="thickThinSmallGap" w:color="auto" w:sz="12" w:space="0"/>
            <w:right w:val="none" w:color="auto" w:sz="0" w:space="0"/>
            <w:insideH w:val="single" w:color="auto" w:sz="4" w:space="0"/>
            <w:insideV w:val="single" w:color="000000" w:sz="4" w:space="0"/>
          </w:tblBorders>
          <w:tblCellMar>
            <w:top w:w="0" w:type="dxa"/>
            <w:left w:w="108" w:type="dxa"/>
            <w:bottom w:w="0" w:type="dxa"/>
            <w:right w:w="108" w:type="dxa"/>
          </w:tblCellMar>
        </w:tblPrEx>
        <w:trPr>
          <w:trHeight w:val="397" w:hRule="atLeast"/>
          <w:jc w:val="center"/>
        </w:trPr>
        <w:tc>
          <w:tcPr>
            <w:tcW w:w="514" w:type="pct"/>
            <w:vMerge w:val="continue"/>
            <w:noWrap w:val="0"/>
            <w:vAlign w:val="center"/>
          </w:tcPr>
          <w:p w14:paraId="5C76B12D">
            <w:pPr>
              <w:jc w:val="center"/>
              <w:rPr>
                <w:rFonts w:ascii="Times New Roman" w:hAnsi="Times New Roman" w:cs="Times New Roman"/>
                <w:bCs/>
                <w:sz w:val="21"/>
                <w:szCs w:val="21"/>
              </w:rPr>
            </w:pPr>
          </w:p>
        </w:tc>
        <w:tc>
          <w:tcPr>
            <w:tcW w:w="413" w:type="pct"/>
            <w:vMerge w:val="continue"/>
            <w:noWrap w:val="0"/>
            <w:vAlign w:val="center"/>
          </w:tcPr>
          <w:p w14:paraId="03489C62">
            <w:pPr>
              <w:jc w:val="center"/>
              <w:rPr>
                <w:rFonts w:ascii="Times New Roman" w:hAnsi="Times New Roman" w:cs="Times New Roman"/>
                <w:bCs/>
                <w:sz w:val="21"/>
                <w:szCs w:val="21"/>
              </w:rPr>
            </w:pPr>
          </w:p>
        </w:tc>
        <w:tc>
          <w:tcPr>
            <w:tcW w:w="1395" w:type="pct"/>
            <w:noWrap w:val="0"/>
            <w:vAlign w:val="center"/>
          </w:tcPr>
          <w:p w14:paraId="76CA0658">
            <w:pPr>
              <w:adjustRightInd w:val="0"/>
              <w:snapToGrid w:val="0"/>
              <w:jc w:val="center"/>
              <w:textAlignment w:val="center"/>
              <w:rPr>
                <w:rFonts w:ascii="Times New Roman" w:hAnsi="Times New Roman" w:cs="Times New Roman"/>
                <w:sz w:val="21"/>
                <w:szCs w:val="21"/>
                <w:lang w:bidi="ar"/>
              </w:rPr>
            </w:pPr>
            <w:r>
              <w:rPr>
                <w:rFonts w:ascii="Times New Roman" w:hAnsi="Times New Roman" w:cs="Times New Roman"/>
                <w:sz w:val="21"/>
                <w:szCs w:val="21"/>
                <w:lang w:bidi="ar"/>
              </w:rPr>
              <w:t>土壤容重g/cm</w:t>
            </w:r>
            <w:r>
              <w:rPr>
                <w:rFonts w:ascii="Times New Roman" w:hAnsi="Times New Roman" w:cs="Times New Roman"/>
                <w:sz w:val="21"/>
                <w:szCs w:val="21"/>
                <w:vertAlign w:val="superscript"/>
                <w:lang w:bidi="ar"/>
              </w:rPr>
              <w:t>3</w:t>
            </w:r>
          </w:p>
        </w:tc>
        <w:tc>
          <w:tcPr>
            <w:tcW w:w="1676" w:type="dxa"/>
            <w:noWrap w:val="0"/>
            <w:vAlign w:val="center"/>
          </w:tcPr>
          <w:p w14:paraId="3373338A">
            <w:pPr>
              <w:jc w:val="center"/>
              <w:rPr>
                <w:rFonts w:hint="default" w:ascii="Times New Roman" w:hAnsi="Times New Roman" w:eastAsia="宋体" w:cs="Times New Roman"/>
                <w:bCs/>
                <w:sz w:val="21"/>
                <w:szCs w:val="21"/>
                <w:lang w:val="en-US" w:eastAsia="zh-CN"/>
              </w:rPr>
            </w:pPr>
            <w:r>
              <w:rPr>
                <w:rFonts w:hint="default" w:ascii="Times New Roman" w:hAnsi="Times New Roman" w:eastAsia="宋体" w:cs="Times New Roman"/>
                <w:bCs/>
                <w:sz w:val="21"/>
                <w:szCs w:val="21"/>
                <w:lang w:val="en-US" w:eastAsia="zh-CN"/>
              </w:rPr>
              <w:t>1.73</w:t>
            </w:r>
          </w:p>
        </w:tc>
        <w:tc>
          <w:tcPr>
            <w:tcW w:w="1467" w:type="dxa"/>
            <w:noWrap w:val="0"/>
            <w:vAlign w:val="center"/>
          </w:tcPr>
          <w:p w14:paraId="3DD09A45">
            <w:pPr>
              <w:jc w:val="center"/>
              <w:rPr>
                <w:rFonts w:hint="default" w:ascii="Times New Roman" w:hAnsi="Times New Roman" w:eastAsia="宋体" w:cs="Times New Roman"/>
                <w:bCs/>
                <w:sz w:val="21"/>
                <w:szCs w:val="21"/>
                <w:lang w:val="en-US" w:eastAsia="zh-CN"/>
              </w:rPr>
            </w:pPr>
            <w:r>
              <w:rPr>
                <w:rFonts w:hint="default" w:ascii="Times New Roman" w:hAnsi="Times New Roman" w:eastAsia="宋体" w:cs="Times New Roman"/>
                <w:bCs/>
                <w:sz w:val="21"/>
                <w:szCs w:val="21"/>
                <w:lang w:val="en-US" w:eastAsia="zh-CN"/>
              </w:rPr>
              <w:t>1.78</w:t>
            </w:r>
          </w:p>
        </w:tc>
        <w:tc>
          <w:tcPr>
            <w:tcW w:w="1480" w:type="dxa"/>
            <w:noWrap w:val="0"/>
            <w:vAlign w:val="center"/>
          </w:tcPr>
          <w:p w14:paraId="1FB26D46">
            <w:pPr>
              <w:jc w:val="center"/>
              <w:rPr>
                <w:rFonts w:hint="default" w:ascii="Times New Roman" w:hAnsi="Times New Roman" w:eastAsia="宋体" w:cs="Times New Roman"/>
                <w:bCs/>
                <w:sz w:val="21"/>
                <w:szCs w:val="21"/>
                <w:lang w:val="en-US" w:eastAsia="zh-CN"/>
              </w:rPr>
            </w:pPr>
            <w:r>
              <w:rPr>
                <w:rFonts w:hint="default" w:ascii="Times New Roman" w:hAnsi="Times New Roman" w:eastAsia="宋体" w:cs="Times New Roman"/>
                <w:bCs/>
                <w:sz w:val="21"/>
                <w:szCs w:val="21"/>
                <w:lang w:val="en-US" w:eastAsia="zh-CN"/>
              </w:rPr>
              <w:t>1.82</w:t>
            </w:r>
          </w:p>
        </w:tc>
      </w:tr>
    </w:tbl>
    <w:p w14:paraId="67EAF4A5">
      <w:pPr>
        <w:pStyle w:val="7"/>
      </w:pPr>
      <w:bookmarkStart w:id="418" w:name="_Toc795"/>
      <w:r>
        <w:rPr>
          <w:rFonts w:hint="eastAsia"/>
          <w:lang w:eastAsia="zh-CN"/>
        </w:rPr>
        <w:t>4</w:t>
      </w:r>
      <w:r>
        <w:t>.2.</w:t>
      </w:r>
      <w:r>
        <w:rPr>
          <w:rFonts w:hint="eastAsia"/>
          <w:lang w:val="en-US" w:eastAsia="zh-CN"/>
        </w:rPr>
        <w:t>4</w:t>
      </w:r>
      <w:r>
        <w:t xml:space="preserve"> </w:t>
      </w:r>
      <w:r>
        <w:rPr>
          <w:rFonts w:hint="eastAsia"/>
          <w:lang w:val="en-US" w:eastAsia="zh-CN"/>
        </w:rPr>
        <w:t>地表水</w:t>
      </w:r>
      <w:r>
        <w:t>环境质量现状监测与评价</w:t>
      </w:r>
      <w:bookmarkEnd w:id="418"/>
    </w:p>
    <w:p w14:paraId="0C5007E9">
      <w:pPr>
        <w:spacing w:line="500" w:lineRule="exact"/>
        <w:ind w:firstLine="352" w:firstLineChars="147"/>
        <w:rPr>
          <w:rFonts w:hint="eastAsia" w:ascii="Times New Roman" w:hAnsi="Times New Roman" w:cs="Times New Roman"/>
          <w:b/>
        </w:rPr>
      </w:pPr>
      <w:r>
        <w:rPr>
          <w:rFonts w:hint="eastAsia" w:ascii="Times New Roman" w:hAnsi="Times New Roman" w:cs="Times New Roman"/>
        </w:rPr>
        <w:t>本次</w:t>
      </w:r>
      <w:r>
        <w:rPr>
          <w:rFonts w:hint="eastAsia" w:ascii="Times New Roman" w:hAnsi="Times New Roman" w:cs="Times New Roman"/>
          <w:lang w:val="en-US" w:eastAsia="zh-CN"/>
        </w:rPr>
        <w:t>地表水</w:t>
      </w:r>
      <w:r>
        <w:rPr>
          <w:rFonts w:hint="eastAsia" w:ascii="Times New Roman" w:hAnsi="Times New Roman" w:cs="Times New Roman"/>
        </w:rPr>
        <w:t>环境的现状调查</w:t>
      </w:r>
      <w:r>
        <w:rPr>
          <w:rFonts w:ascii="Times New Roman" w:hAnsi="Times New Roman" w:cs="Times New Roman"/>
        </w:rPr>
        <w:t>委托</w:t>
      </w:r>
      <w:r>
        <w:rPr>
          <w:rFonts w:hint="eastAsia" w:ascii="Times New Roman" w:hAnsi="Times New Roman" w:cs="Times New Roman"/>
        </w:rPr>
        <w:t>辽宁卓大环境检测有限公司</w:t>
      </w:r>
      <w:r>
        <w:rPr>
          <w:rFonts w:ascii="Times New Roman" w:hAnsi="Times New Roman" w:cs="Times New Roman"/>
        </w:rPr>
        <w:t>进行现场监测，检测报告见附件。</w:t>
      </w:r>
    </w:p>
    <w:p w14:paraId="31593113">
      <w:pPr>
        <w:numPr>
          <w:ilvl w:val="0"/>
          <w:numId w:val="30"/>
        </w:numPr>
        <w:spacing w:line="500" w:lineRule="exact"/>
        <w:ind w:firstLine="354" w:firstLineChars="147"/>
        <w:rPr>
          <w:rFonts w:ascii="Times New Roman" w:hAnsi="Times New Roman" w:cs="Times New Roman"/>
          <w:b/>
        </w:rPr>
      </w:pPr>
      <w:r>
        <w:rPr>
          <w:rFonts w:ascii="Times New Roman" w:hAnsi="Times New Roman" w:cs="Times New Roman"/>
          <w:b/>
        </w:rPr>
        <w:t>监测点位</w:t>
      </w:r>
    </w:p>
    <w:p w14:paraId="32A81ED2">
      <w:pPr>
        <w:spacing w:line="500" w:lineRule="exact"/>
        <w:ind w:firstLine="480"/>
        <w:rPr>
          <w:rFonts w:ascii="Times New Roman" w:hAnsi="Times New Roman" w:cs="Times New Roman"/>
        </w:rPr>
      </w:pPr>
      <w:r>
        <w:rPr>
          <w:rFonts w:ascii="Times New Roman" w:hAnsi="Times New Roman" w:cs="Times New Roman"/>
        </w:rPr>
        <w:t>本次</w:t>
      </w:r>
      <w:r>
        <w:rPr>
          <w:rFonts w:hint="eastAsia" w:ascii="Times New Roman" w:hAnsi="Times New Roman" w:cs="Times New Roman"/>
          <w:lang w:val="en-US" w:eastAsia="zh-CN"/>
        </w:rPr>
        <w:t>地表水</w:t>
      </w:r>
      <w:r>
        <w:rPr>
          <w:rFonts w:ascii="Times New Roman" w:hAnsi="Times New Roman" w:cs="Times New Roman"/>
        </w:rPr>
        <w:t>环境质量现状调查设置</w:t>
      </w:r>
      <w:r>
        <w:rPr>
          <w:rFonts w:hint="eastAsia" w:ascii="Times New Roman" w:hAnsi="Times New Roman" w:cs="Times New Roman"/>
          <w:lang w:val="en-US" w:eastAsia="zh-CN"/>
        </w:rPr>
        <w:t>1</w:t>
      </w:r>
      <w:r>
        <w:rPr>
          <w:rFonts w:ascii="Times New Roman" w:hAnsi="Times New Roman" w:cs="Times New Roman"/>
        </w:rPr>
        <w:t>个监测点位，具体位置见表</w:t>
      </w:r>
      <w:r>
        <w:rPr>
          <w:rFonts w:hint="eastAsia" w:ascii="Times New Roman" w:hAnsi="Times New Roman" w:cs="Times New Roman"/>
        </w:rPr>
        <w:t>4.2-</w:t>
      </w:r>
      <w:r>
        <w:rPr>
          <w:rFonts w:hint="eastAsia" w:ascii="Times New Roman" w:hAnsi="Times New Roman" w:cs="Times New Roman"/>
          <w:lang w:val="en-US" w:eastAsia="zh-CN"/>
        </w:rPr>
        <w:t>17</w:t>
      </w:r>
      <w:r>
        <w:rPr>
          <w:rFonts w:ascii="Times New Roman" w:hAnsi="Times New Roman" w:cs="Times New Roman"/>
        </w:rPr>
        <w:t>。</w:t>
      </w:r>
    </w:p>
    <w:p w14:paraId="43B5DEDC">
      <w:pPr>
        <w:pStyle w:val="131"/>
        <w:tabs>
          <w:tab w:val="left" w:pos="4305"/>
        </w:tabs>
        <w:adjustRightInd/>
        <w:snapToGrid/>
        <w:spacing w:line="360" w:lineRule="auto"/>
        <w:ind w:left="0" w:firstLine="0"/>
      </w:pPr>
      <w:r>
        <w:rPr>
          <w:rFonts w:ascii="Times New Roman" w:hAnsi="Times New Roman" w:cs="Times New Roman"/>
          <w:lang w:val="en-US" w:eastAsia="zh-CN"/>
        </w:rPr>
        <w:t>表</w:t>
      </w:r>
      <w:r>
        <w:rPr>
          <w:rFonts w:hint="eastAsia" w:ascii="Times New Roman" w:hAnsi="Times New Roman" w:cs="Times New Roman"/>
          <w:lang w:val="en-US" w:eastAsia="zh-CN"/>
        </w:rPr>
        <w:t>4.2-17</w:t>
      </w:r>
      <w:r>
        <w:rPr>
          <w:rFonts w:ascii="Times New Roman" w:hAnsi="Times New Roman" w:cs="Times New Roman"/>
          <w:lang w:val="en-US" w:eastAsia="zh-CN"/>
        </w:rPr>
        <w:t xml:space="preserve">  </w:t>
      </w:r>
      <w:r>
        <w:rPr>
          <w:rFonts w:hint="eastAsia" w:ascii="Times New Roman" w:hAnsi="Times New Roman" w:cs="Times New Roman"/>
          <w:lang w:val="en-US" w:eastAsia="zh-CN"/>
        </w:rPr>
        <w:t>地表水</w:t>
      </w:r>
      <w:r>
        <w:rPr>
          <w:rFonts w:ascii="Times New Roman" w:hAnsi="Times New Roman" w:cs="Times New Roman"/>
          <w:lang w:val="en-US" w:eastAsia="zh-CN"/>
        </w:rPr>
        <w:t>现状监测点位</w:t>
      </w:r>
    </w:p>
    <w:tbl>
      <w:tblPr>
        <w:tblStyle w:val="57"/>
        <w:tblW w:w="4980" w:type="pct"/>
        <w:jc w:val="center"/>
        <w:tblBorders>
          <w:top w:val="double" w:color="auto" w:sz="4" w:space="0"/>
          <w:left w:val="none" w:color="auto" w:sz="0" w:space="0"/>
          <w:bottom w:val="double" w:color="auto" w:sz="4"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5006"/>
        <w:gridCol w:w="3680"/>
      </w:tblGrid>
      <w:tr w14:paraId="74462785">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tblHeader/>
          <w:jc w:val="center"/>
        </w:trPr>
        <w:tc>
          <w:tcPr>
            <w:tcW w:w="2881" w:type="pct"/>
            <w:tcBorders>
              <w:tl2br w:val="nil"/>
              <w:tr2bl w:val="nil"/>
            </w:tcBorders>
            <w:noWrap w:val="0"/>
            <w:vAlign w:val="center"/>
          </w:tcPr>
          <w:p w14:paraId="4E998259">
            <w:pPr>
              <w:widowControl w:val="0"/>
              <w:jc w:val="center"/>
              <w:outlineLvl w:val="0"/>
              <w:rPr>
                <w:rFonts w:hint="default" w:ascii="Times New Roman" w:hAnsi="Times New Roman" w:eastAsia="宋体" w:cs="Times New Roman"/>
                <w:b/>
                <w:szCs w:val="21"/>
              </w:rPr>
            </w:pPr>
            <w:bookmarkStart w:id="419" w:name="_Toc20483"/>
            <w:r>
              <w:rPr>
                <w:rFonts w:hint="default" w:ascii="Times New Roman" w:hAnsi="Times New Roman" w:eastAsia="宋体" w:cs="Times New Roman"/>
                <w:b/>
                <w:szCs w:val="21"/>
                <w:lang w:eastAsia="zh-CN"/>
              </w:rPr>
              <w:t>检</w:t>
            </w:r>
            <w:r>
              <w:rPr>
                <w:rFonts w:hint="default" w:ascii="Times New Roman" w:hAnsi="Times New Roman" w:eastAsia="宋体" w:cs="Times New Roman"/>
                <w:b/>
                <w:szCs w:val="21"/>
              </w:rPr>
              <w:t>测点位</w:t>
            </w:r>
            <w:bookmarkEnd w:id="419"/>
          </w:p>
        </w:tc>
        <w:tc>
          <w:tcPr>
            <w:tcW w:w="2118" w:type="pct"/>
            <w:tcBorders>
              <w:tl2br w:val="nil"/>
              <w:tr2bl w:val="nil"/>
            </w:tcBorders>
            <w:noWrap w:val="0"/>
            <w:vAlign w:val="center"/>
          </w:tcPr>
          <w:p w14:paraId="636E21A6">
            <w:pPr>
              <w:widowControl w:val="0"/>
              <w:jc w:val="center"/>
              <w:outlineLvl w:val="0"/>
              <w:rPr>
                <w:rFonts w:hint="default" w:ascii="Times New Roman" w:hAnsi="Times New Roman" w:eastAsia="宋体" w:cs="Times New Roman"/>
                <w:b/>
                <w:szCs w:val="21"/>
              </w:rPr>
            </w:pPr>
            <w:bookmarkStart w:id="420" w:name="_Toc23356"/>
            <w:r>
              <w:rPr>
                <w:rFonts w:hint="default" w:ascii="Times New Roman" w:hAnsi="Times New Roman" w:eastAsia="宋体" w:cs="Times New Roman"/>
                <w:b/>
                <w:szCs w:val="21"/>
              </w:rPr>
              <w:t>经</w:t>
            </w:r>
            <w:r>
              <w:rPr>
                <w:rFonts w:hint="default" w:ascii="Times New Roman" w:hAnsi="Times New Roman" w:cs="Times New Roman"/>
                <w:b/>
                <w:szCs w:val="21"/>
                <w:lang w:eastAsia="zh-CN"/>
              </w:rPr>
              <w:t>纬</w:t>
            </w:r>
            <w:r>
              <w:rPr>
                <w:rFonts w:hint="default" w:ascii="Times New Roman" w:hAnsi="Times New Roman" w:eastAsia="宋体" w:cs="Times New Roman"/>
                <w:b/>
                <w:szCs w:val="21"/>
              </w:rPr>
              <w:t>度</w:t>
            </w:r>
            <w:bookmarkEnd w:id="420"/>
          </w:p>
        </w:tc>
      </w:tr>
      <w:tr w14:paraId="7D8B778A">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881" w:type="pct"/>
            <w:tcBorders>
              <w:tl2br w:val="nil"/>
              <w:tr2bl w:val="nil"/>
            </w:tcBorders>
            <w:noWrap w:val="0"/>
            <w:vAlign w:val="center"/>
          </w:tcPr>
          <w:p w14:paraId="1FDDBD77">
            <w:pPr>
              <w:widowControl w:val="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b w:val="0"/>
                <w:bCs w:val="0"/>
                <w:snapToGrid w:val="0"/>
                <w:color w:val="auto"/>
                <w:kern w:val="0"/>
                <w:sz w:val="21"/>
                <w:szCs w:val="21"/>
                <w:lang w:val="en-US" w:eastAsia="zh-CN"/>
              </w:rPr>
              <w:t>厂区西侧西河雨水排口下游</w:t>
            </w:r>
          </w:p>
        </w:tc>
        <w:tc>
          <w:tcPr>
            <w:tcW w:w="2118" w:type="pct"/>
            <w:tcBorders>
              <w:tl2br w:val="nil"/>
              <w:tr2bl w:val="nil"/>
            </w:tcBorders>
            <w:noWrap w:val="0"/>
            <w:vAlign w:val="center"/>
          </w:tcPr>
          <w:p w14:paraId="6700729E">
            <w:pPr>
              <w:widowControl w:val="0"/>
              <w:jc w:val="center"/>
              <w:outlineLvl w:val="0"/>
              <w:rPr>
                <w:rFonts w:hint="default" w:ascii="Times New Roman" w:hAnsi="Times New Roman" w:cs="Times New Roman"/>
                <w:bCs/>
                <w:color w:val="000000"/>
                <w:szCs w:val="21"/>
                <w:highlight w:val="none"/>
                <w:lang w:val="en-US" w:eastAsia="zh-CN"/>
              </w:rPr>
            </w:pPr>
            <w:bookmarkStart w:id="421" w:name="_Toc27887"/>
            <w:r>
              <w:rPr>
                <w:rFonts w:hint="default" w:ascii="Times New Roman" w:hAnsi="Times New Roman" w:cs="Times New Roman"/>
                <w:bCs/>
                <w:color w:val="000000"/>
                <w:szCs w:val="21"/>
                <w:highlight w:val="none"/>
                <w:lang w:val="en-US" w:eastAsia="zh-CN"/>
              </w:rPr>
              <w:t>E123°49′44.</w:t>
            </w:r>
            <w:r>
              <w:rPr>
                <w:rFonts w:hint="eastAsia" w:ascii="Times New Roman" w:hAnsi="Times New Roman" w:cs="Times New Roman"/>
                <w:bCs/>
                <w:color w:val="000000"/>
                <w:szCs w:val="21"/>
                <w:highlight w:val="none"/>
                <w:lang w:val="en-US" w:eastAsia="zh-CN"/>
              </w:rPr>
              <w:t>5</w:t>
            </w:r>
            <w:r>
              <w:rPr>
                <w:rFonts w:hint="default" w:ascii="Times New Roman" w:hAnsi="Times New Roman" w:cs="Times New Roman"/>
                <w:bCs/>
                <w:color w:val="000000"/>
                <w:szCs w:val="21"/>
                <w:highlight w:val="none"/>
                <w:lang w:val="en-US" w:eastAsia="zh-CN"/>
              </w:rPr>
              <w:t>″，N40°55′35.</w:t>
            </w:r>
            <w:r>
              <w:rPr>
                <w:rFonts w:hint="eastAsia" w:ascii="Times New Roman" w:hAnsi="Times New Roman" w:cs="Times New Roman"/>
                <w:bCs/>
                <w:color w:val="000000"/>
                <w:szCs w:val="21"/>
                <w:highlight w:val="none"/>
                <w:lang w:val="en-US" w:eastAsia="zh-CN"/>
              </w:rPr>
              <w:t>1</w:t>
            </w:r>
            <w:r>
              <w:rPr>
                <w:rFonts w:hint="default" w:ascii="Times New Roman" w:hAnsi="Times New Roman" w:cs="Times New Roman"/>
                <w:bCs/>
                <w:color w:val="000000"/>
                <w:szCs w:val="21"/>
                <w:highlight w:val="none"/>
                <w:lang w:val="en-US" w:eastAsia="zh-CN"/>
              </w:rPr>
              <w:t>″</w:t>
            </w:r>
            <w:bookmarkEnd w:id="421"/>
          </w:p>
        </w:tc>
      </w:tr>
    </w:tbl>
    <w:p w14:paraId="4804CD7A">
      <w:pPr>
        <w:spacing w:line="500" w:lineRule="exact"/>
        <w:ind w:firstLine="354" w:firstLineChars="147"/>
        <w:rPr>
          <w:rFonts w:hint="eastAsia" w:ascii="Times New Roman" w:hAnsi="Times New Roman" w:eastAsia="宋体" w:cs="Times New Roman"/>
          <w:b/>
        </w:rPr>
      </w:pPr>
      <w:r>
        <w:rPr>
          <w:rFonts w:ascii="Times New Roman" w:hAnsi="Times New Roman" w:eastAsia="宋体" w:cs="Times New Roman"/>
          <w:b/>
        </w:rPr>
        <w:t>（2）监测因子</w:t>
      </w:r>
    </w:p>
    <w:p w14:paraId="5158D7C8">
      <w:pPr>
        <w:tabs>
          <w:tab w:val="left" w:pos="6580"/>
        </w:tabs>
        <w:spacing w:line="500" w:lineRule="exact"/>
        <w:ind w:firstLine="480" w:firstLineChars="200"/>
        <w:jc w:val="both"/>
        <w:rPr>
          <w:rFonts w:hint="eastAsia" w:ascii="Times New Roman" w:hAnsi="Times New Roman" w:eastAsia="宋体" w:cs="Times New Roman"/>
          <w:highlight w:val="none"/>
        </w:rPr>
      </w:pPr>
      <w:r>
        <w:rPr>
          <w:rFonts w:hint="default" w:ascii="Times New Roman" w:hAnsi="Times New Roman" w:eastAsia="宋体" w:cs="Times New Roman"/>
          <w:highlight w:val="none"/>
          <w:lang w:val="en-US" w:eastAsia="zh-CN"/>
        </w:rPr>
        <w:t>pH</w:t>
      </w:r>
      <w:r>
        <w:rPr>
          <w:rFonts w:hint="eastAsia" w:ascii="Times New Roman" w:hAnsi="Times New Roman" w:eastAsia="宋体" w:cs="Times New Roman"/>
          <w:highlight w:val="none"/>
          <w:lang w:val="en-US" w:eastAsia="zh-CN"/>
        </w:rPr>
        <w:t>值</w:t>
      </w:r>
      <w:r>
        <w:rPr>
          <w:rFonts w:hint="default" w:ascii="Times New Roman" w:hAnsi="Times New Roman" w:eastAsia="宋体" w:cs="Times New Roman"/>
          <w:highlight w:val="none"/>
          <w:lang w:val="en-US" w:eastAsia="zh-CN"/>
        </w:rPr>
        <w:t>、水温、溶解氧、高锰酸盐指数、电导率、氟化物、化学需氧量、总磷、总氮、氨氮、五日生化需氧量、挥发酚、氰化物、砷、汞、铜、锌、铅、镉、六价铬、石油类、硫化物、粪大肠菌群、阴离子表面活性剂</w:t>
      </w:r>
    </w:p>
    <w:p w14:paraId="5C54061B">
      <w:pPr>
        <w:spacing w:line="500" w:lineRule="exact"/>
        <w:ind w:firstLine="354" w:firstLineChars="147"/>
        <w:rPr>
          <w:rFonts w:ascii="Times New Roman" w:hAnsi="Times New Roman" w:cs="Times New Roman"/>
          <w:b/>
        </w:rPr>
      </w:pPr>
      <w:r>
        <w:rPr>
          <w:rFonts w:ascii="Times New Roman" w:hAnsi="Times New Roman" w:cs="Times New Roman"/>
          <w:b/>
        </w:rPr>
        <w:t>（3）监测时间及频次</w:t>
      </w:r>
    </w:p>
    <w:p w14:paraId="414A2A7D">
      <w:pPr>
        <w:spacing w:line="500" w:lineRule="exact"/>
        <w:ind w:firstLine="480"/>
        <w:rPr>
          <w:rFonts w:ascii="Times New Roman" w:hAnsi="Times New Roman" w:cs="Times New Roman"/>
        </w:rPr>
      </w:pPr>
      <w:r>
        <w:rPr>
          <w:rFonts w:ascii="Times New Roman" w:hAnsi="Times New Roman" w:cs="Times New Roman"/>
        </w:rPr>
        <w:t>采样时间为202</w:t>
      </w:r>
      <w:r>
        <w:rPr>
          <w:rFonts w:hint="eastAsia" w:ascii="Times New Roman" w:hAnsi="Times New Roman" w:cs="Times New Roman"/>
          <w:lang w:val="en-US" w:eastAsia="zh-CN"/>
        </w:rPr>
        <w:t>6</w:t>
      </w:r>
      <w:r>
        <w:rPr>
          <w:rFonts w:ascii="Times New Roman" w:hAnsi="Times New Roman" w:cs="Times New Roman"/>
        </w:rPr>
        <w:t>年</w:t>
      </w:r>
      <w:r>
        <w:rPr>
          <w:rFonts w:hint="eastAsia" w:ascii="Times New Roman" w:hAnsi="Times New Roman" w:cs="Times New Roman"/>
          <w:lang w:val="en-US" w:eastAsia="zh-CN"/>
        </w:rPr>
        <w:t>5</w:t>
      </w:r>
      <w:r>
        <w:rPr>
          <w:rFonts w:ascii="Times New Roman" w:hAnsi="Times New Roman" w:cs="Times New Roman"/>
        </w:rPr>
        <w:t>月</w:t>
      </w:r>
      <w:r>
        <w:rPr>
          <w:rFonts w:hint="eastAsia" w:ascii="Times New Roman" w:hAnsi="Times New Roman" w:cs="Times New Roman"/>
          <w:lang w:val="en-US" w:eastAsia="zh-CN"/>
        </w:rPr>
        <w:t>1</w:t>
      </w:r>
      <w:r>
        <w:rPr>
          <w:rFonts w:ascii="Times New Roman" w:hAnsi="Times New Roman" w:cs="Times New Roman"/>
        </w:rPr>
        <w:t>日，</w:t>
      </w:r>
      <w:r>
        <w:rPr>
          <w:rFonts w:hint="eastAsia" w:ascii="Times New Roman" w:hAnsi="Times New Roman" w:cs="Times New Roman"/>
        </w:rPr>
        <w:t>采样频次为</w:t>
      </w:r>
      <w:r>
        <w:rPr>
          <w:rFonts w:ascii="Times New Roman" w:hAnsi="Times New Roman" w:cs="Times New Roman"/>
        </w:rPr>
        <w:t>一天、一次。</w:t>
      </w:r>
    </w:p>
    <w:p w14:paraId="2625B4C2">
      <w:pPr>
        <w:spacing w:line="500" w:lineRule="exact"/>
        <w:ind w:firstLine="354" w:firstLineChars="147"/>
        <w:rPr>
          <w:rFonts w:ascii="Times New Roman" w:hAnsi="Times New Roman" w:cs="Times New Roman"/>
          <w:b/>
        </w:rPr>
      </w:pPr>
      <w:r>
        <w:rPr>
          <w:rFonts w:ascii="Times New Roman" w:hAnsi="Times New Roman" w:cs="Times New Roman"/>
          <w:b/>
        </w:rPr>
        <w:t>（4）采样内容、分析方法</w:t>
      </w:r>
    </w:p>
    <w:p w14:paraId="012BE70A">
      <w:pPr>
        <w:spacing w:line="500" w:lineRule="exact"/>
        <w:ind w:firstLine="480"/>
        <w:rPr>
          <w:rFonts w:hint="eastAsia" w:ascii="Times New Roman" w:hAnsi="Times New Roman" w:cs="Times New Roman"/>
        </w:rPr>
      </w:pPr>
      <w:r>
        <w:rPr>
          <w:rFonts w:hint="eastAsia" w:ascii="Times New Roman" w:hAnsi="Times New Roman" w:cs="Times New Roman"/>
          <w:lang w:val="en-US" w:eastAsia="zh-CN"/>
        </w:rPr>
        <w:t>地表水</w:t>
      </w:r>
      <w:r>
        <w:rPr>
          <w:rFonts w:ascii="Times New Roman" w:hAnsi="Times New Roman" w:cs="Times New Roman"/>
        </w:rPr>
        <w:t>现状调查项目、分析方法及检出限见表</w:t>
      </w:r>
      <w:r>
        <w:rPr>
          <w:rFonts w:hint="eastAsia" w:ascii="Times New Roman" w:hAnsi="Times New Roman" w:cs="Times New Roman"/>
        </w:rPr>
        <w:t>4.2-</w:t>
      </w:r>
      <w:r>
        <w:rPr>
          <w:rFonts w:hint="eastAsia" w:ascii="Times New Roman" w:hAnsi="Times New Roman" w:cs="Times New Roman"/>
          <w:lang w:val="en-US" w:eastAsia="zh-CN"/>
        </w:rPr>
        <w:t>18</w:t>
      </w:r>
      <w:r>
        <w:rPr>
          <w:rFonts w:ascii="Times New Roman" w:hAnsi="Times New Roman" w:cs="Times New Roman"/>
        </w:rPr>
        <w:t>。</w:t>
      </w:r>
    </w:p>
    <w:p w14:paraId="3C951523">
      <w:pPr>
        <w:pStyle w:val="6"/>
        <w:spacing w:before="239"/>
        <w:jc w:val="center"/>
        <w:rPr>
          <w:rFonts w:hint="eastAsia"/>
        </w:rPr>
      </w:pPr>
      <w:bookmarkStart w:id="422" w:name="_Toc16940"/>
      <w:r>
        <w:rPr>
          <w:rFonts w:ascii="Times New Roman" w:hAnsi="Times New Roman" w:eastAsia="黑体" w:cs="Times New Roman"/>
          <w:b w:val="0"/>
          <w:sz w:val="24"/>
          <w:szCs w:val="21"/>
          <w:lang w:val="en-US" w:eastAsia="zh-CN" w:bidi="ar-SA"/>
        </w:rPr>
        <w:t>表</w:t>
      </w:r>
      <w:r>
        <w:rPr>
          <w:rFonts w:hint="eastAsia" w:ascii="Times New Roman" w:hAnsi="Times New Roman" w:eastAsia="黑体" w:cs="Times New Roman"/>
          <w:b w:val="0"/>
          <w:sz w:val="24"/>
          <w:szCs w:val="21"/>
          <w:lang w:val="en-US" w:eastAsia="zh-CN" w:bidi="ar-SA"/>
        </w:rPr>
        <w:t>4.2-18</w:t>
      </w:r>
      <w:r>
        <w:rPr>
          <w:rFonts w:ascii="Times New Roman" w:hAnsi="Times New Roman" w:eastAsia="黑体" w:cs="Times New Roman"/>
          <w:b w:val="0"/>
          <w:sz w:val="24"/>
          <w:szCs w:val="21"/>
          <w:lang w:val="en-US" w:eastAsia="zh-CN" w:bidi="ar-SA"/>
        </w:rPr>
        <w:t xml:space="preserve">  </w:t>
      </w:r>
      <w:r>
        <w:rPr>
          <w:rFonts w:hint="eastAsia" w:ascii="Times New Roman" w:hAnsi="Times New Roman" w:eastAsia="黑体" w:cs="Times New Roman"/>
          <w:b w:val="0"/>
          <w:sz w:val="24"/>
          <w:szCs w:val="21"/>
          <w:lang w:val="en-US" w:eastAsia="zh-CN" w:bidi="ar-SA"/>
        </w:rPr>
        <w:t>地表水</w:t>
      </w:r>
      <w:r>
        <w:rPr>
          <w:rFonts w:ascii="Times New Roman" w:hAnsi="Times New Roman" w:eastAsia="黑体" w:cs="Times New Roman"/>
          <w:b w:val="0"/>
          <w:sz w:val="24"/>
          <w:szCs w:val="21"/>
          <w:lang w:val="en-US" w:eastAsia="zh-CN" w:bidi="ar-SA"/>
        </w:rPr>
        <w:t>监测项目分析方法及检出限</w:t>
      </w:r>
      <w:bookmarkEnd w:id="422"/>
    </w:p>
    <w:tbl>
      <w:tblPr>
        <w:tblStyle w:val="57"/>
        <w:tblW w:w="8787" w:type="dxa"/>
        <w:tblInd w:w="0" w:type="dxa"/>
        <w:tblBorders>
          <w:top w:val="double" w:color="auto" w:sz="4" w:space="0"/>
          <w:left w:val="none" w:color="auto" w:sz="0" w:space="0"/>
          <w:bottom w:val="double" w:color="auto" w:sz="4"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609"/>
        <w:gridCol w:w="1188"/>
        <w:gridCol w:w="3991"/>
        <w:gridCol w:w="1874"/>
        <w:gridCol w:w="1125"/>
      </w:tblGrid>
      <w:tr w14:paraId="46992E5D">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652" w:hRule="atLeast"/>
          <w:tblHeader/>
        </w:trPr>
        <w:tc>
          <w:tcPr>
            <w:tcW w:w="668" w:type="dxa"/>
            <w:tcBorders>
              <w:tl2br w:val="nil"/>
              <w:tr2bl w:val="nil"/>
            </w:tcBorders>
            <w:noWrap w:val="0"/>
            <w:vAlign w:val="center"/>
          </w:tcPr>
          <w:p w14:paraId="2076C20B">
            <w:pPr>
              <w:widowControl/>
              <w:jc w:val="center"/>
              <w:textAlignment w:val="center"/>
              <w:rPr>
                <w:rFonts w:hint="default" w:ascii="Times New Roman" w:hAnsi="Times New Roman" w:eastAsia="宋体" w:cs="Times New Roman"/>
                <w:b/>
                <w:bCs/>
                <w:color w:val="000000"/>
                <w:kern w:val="2"/>
                <w:sz w:val="21"/>
                <w:szCs w:val="21"/>
                <w:lang w:val="en-US" w:eastAsia="zh-CN" w:bidi="ar-SA"/>
              </w:rPr>
            </w:pPr>
            <w:r>
              <w:rPr>
                <w:rFonts w:hint="default" w:ascii="Times New Roman" w:hAnsi="Times New Roman" w:eastAsia="宋体" w:cs="Times New Roman"/>
                <w:b/>
                <w:bCs/>
                <w:color w:val="000000"/>
                <w:sz w:val="21"/>
                <w:szCs w:val="21"/>
                <w:lang w:val="en-US" w:eastAsia="zh-CN"/>
              </w:rPr>
              <w:t>序号</w:t>
            </w:r>
          </w:p>
        </w:tc>
        <w:tc>
          <w:tcPr>
            <w:tcW w:w="1336" w:type="dxa"/>
            <w:tcBorders>
              <w:tl2br w:val="nil"/>
              <w:tr2bl w:val="nil"/>
            </w:tcBorders>
            <w:noWrap w:val="0"/>
            <w:vAlign w:val="center"/>
          </w:tcPr>
          <w:p w14:paraId="5C24CD7A">
            <w:pPr>
              <w:widowControl/>
              <w:jc w:val="center"/>
              <w:textAlignment w:val="center"/>
              <w:rPr>
                <w:rFonts w:hint="default" w:ascii="Times New Roman" w:hAnsi="Times New Roman" w:eastAsia="宋体" w:cs="Times New Roman"/>
                <w:b/>
                <w:bCs/>
                <w:color w:val="000000"/>
                <w:kern w:val="2"/>
                <w:sz w:val="21"/>
                <w:szCs w:val="21"/>
                <w:lang w:val="en-US" w:eastAsia="zh-CN" w:bidi="ar-SA"/>
              </w:rPr>
            </w:pPr>
            <w:r>
              <w:rPr>
                <w:rFonts w:hint="default" w:ascii="Times New Roman" w:hAnsi="Times New Roman" w:eastAsia="宋体" w:cs="Times New Roman"/>
                <w:b/>
                <w:bCs/>
                <w:color w:val="000000"/>
                <w:kern w:val="0"/>
                <w:sz w:val="21"/>
                <w:szCs w:val="21"/>
              </w:rPr>
              <w:t>检测项目</w:t>
            </w:r>
          </w:p>
        </w:tc>
        <w:tc>
          <w:tcPr>
            <w:tcW w:w="4568" w:type="dxa"/>
            <w:tcBorders>
              <w:tl2br w:val="nil"/>
              <w:tr2bl w:val="nil"/>
            </w:tcBorders>
            <w:noWrap w:val="0"/>
            <w:vAlign w:val="center"/>
          </w:tcPr>
          <w:p w14:paraId="0A1DBF16">
            <w:pPr>
              <w:widowControl/>
              <w:jc w:val="center"/>
              <w:textAlignment w:val="center"/>
              <w:rPr>
                <w:rFonts w:hint="default" w:ascii="Times New Roman" w:hAnsi="Times New Roman" w:eastAsia="宋体" w:cs="Times New Roman"/>
                <w:b/>
                <w:bCs/>
                <w:color w:val="000000"/>
                <w:kern w:val="2"/>
                <w:sz w:val="21"/>
                <w:szCs w:val="21"/>
                <w:lang w:val="en-US" w:eastAsia="zh-CN" w:bidi="ar-SA"/>
              </w:rPr>
            </w:pPr>
            <w:r>
              <w:rPr>
                <w:rFonts w:hint="default" w:ascii="Times New Roman" w:hAnsi="Times New Roman" w:eastAsia="宋体" w:cs="Times New Roman"/>
                <w:b/>
                <w:bCs/>
                <w:color w:val="000000"/>
                <w:kern w:val="0"/>
                <w:sz w:val="21"/>
                <w:szCs w:val="21"/>
              </w:rPr>
              <w:t>方法</w:t>
            </w:r>
            <w:r>
              <w:rPr>
                <w:rFonts w:hint="default" w:ascii="Times New Roman" w:hAnsi="Times New Roman" w:cs="Times New Roman"/>
                <w:b/>
                <w:bCs/>
                <w:color w:val="000000"/>
                <w:kern w:val="0"/>
                <w:sz w:val="21"/>
                <w:szCs w:val="21"/>
                <w:lang w:val="en-US" w:eastAsia="zh-CN"/>
              </w:rPr>
              <w:t>和依据</w:t>
            </w:r>
          </w:p>
        </w:tc>
        <w:tc>
          <w:tcPr>
            <w:tcW w:w="2127" w:type="dxa"/>
            <w:tcBorders>
              <w:tl2br w:val="nil"/>
              <w:tr2bl w:val="nil"/>
            </w:tcBorders>
            <w:noWrap w:val="0"/>
            <w:vAlign w:val="center"/>
          </w:tcPr>
          <w:p w14:paraId="5B38CC4B">
            <w:pPr>
              <w:widowControl/>
              <w:jc w:val="center"/>
              <w:textAlignment w:val="center"/>
              <w:rPr>
                <w:rFonts w:hint="default" w:ascii="Times New Roman" w:hAnsi="Times New Roman" w:eastAsia="宋体" w:cs="Times New Roman"/>
                <w:b/>
                <w:bCs/>
                <w:color w:val="000000"/>
                <w:kern w:val="2"/>
                <w:sz w:val="21"/>
                <w:szCs w:val="21"/>
                <w:lang w:val="en-US" w:eastAsia="zh-CN" w:bidi="ar-SA"/>
              </w:rPr>
            </w:pPr>
            <w:r>
              <w:rPr>
                <w:rFonts w:hint="default" w:ascii="Times New Roman" w:hAnsi="Times New Roman" w:eastAsia="宋体" w:cs="Times New Roman"/>
                <w:b/>
                <w:bCs/>
                <w:color w:val="000000"/>
                <w:kern w:val="0"/>
                <w:sz w:val="21"/>
                <w:szCs w:val="21"/>
                <w:lang w:eastAsia="zh-CN"/>
              </w:rPr>
              <w:t>主要仪器设备</w:t>
            </w:r>
          </w:p>
        </w:tc>
        <w:tc>
          <w:tcPr>
            <w:tcW w:w="1263" w:type="dxa"/>
            <w:tcBorders>
              <w:tl2br w:val="nil"/>
              <w:tr2bl w:val="nil"/>
            </w:tcBorders>
            <w:noWrap w:val="0"/>
            <w:vAlign w:val="center"/>
          </w:tcPr>
          <w:p w14:paraId="79B5F9EE">
            <w:pPr>
              <w:widowControl/>
              <w:jc w:val="center"/>
              <w:textAlignment w:val="center"/>
              <w:rPr>
                <w:rFonts w:hint="default" w:ascii="Times New Roman" w:hAnsi="Times New Roman" w:eastAsia="宋体" w:cs="Times New Roman"/>
                <w:b/>
                <w:bCs/>
                <w:color w:val="000000"/>
                <w:kern w:val="0"/>
                <w:sz w:val="21"/>
                <w:szCs w:val="21"/>
                <w:lang w:val="en-US" w:eastAsia="zh-CN" w:bidi="ar-SA"/>
              </w:rPr>
            </w:pPr>
            <w:r>
              <w:rPr>
                <w:rFonts w:hint="default" w:ascii="Times New Roman" w:hAnsi="Times New Roman" w:eastAsia="宋体" w:cs="Times New Roman"/>
                <w:b/>
                <w:bCs/>
                <w:color w:val="000000"/>
                <w:kern w:val="0"/>
                <w:sz w:val="21"/>
                <w:szCs w:val="21"/>
                <w:lang w:eastAsia="zh-CN"/>
              </w:rPr>
              <w:t>检出限</w:t>
            </w:r>
          </w:p>
        </w:tc>
      </w:tr>
      <w:tr w14:paraId="11637FD5">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652" w:hRule="atLeast"/>
        </w:trPr>
        <w:tc>
          <w:tcPr>
            <w:tcW w:w="668" w:type="dxa"/>
            <w:tcBorders>
              <w:tl2br w:val="nil"/>
              <w:tr2bl w:val="nil"/>
            </w:tcBorders>
            <w:noWrap w:val="0"/>
            <w:vAlign w:val="center"/>
          </w:tcPr>
          <w:p w14:paraId="44B76F7F">
            <w:pPr>
              <w:widowControl/>
              <w:jc w:val="center"/>
              <w:textAlignment w:val="center"/>
              <w:rPr>
                <w:rFonts w:hint="default" w:ascii="Times New Roman" w:hAnsi="Times New Roman" w:eastAsia="宋体" w:cs="Times New Roman"/>
                <w:sz w:val="21"/>
                <w:szCs w:val="21"/>
                <w:lang w:val="en-US" w:eastAsia="zh-CN"/>
              </w:rPr>
            </w:pPr>
            <w:r>
              <w:rPr>
                <w:rFonts w:hint="default" w:ascii="Times New Roman" w:hAnsi="Times New Roman" w:cs="Times New Roman"/>
                <w:sz w:val="21"/>
                <w:szCs w:val="21"/>
                <w:lang w:val="en-US" w:eastAsia="zh-CN"/>
              </w:rPr>
              <w:t>1</w:t>
            </w:r>
          </w:p>
        </w:tc>
        <w:tc>
          <w:tcPr>
            <w:tcW w:w="1336" w:type="dxa"/>
            <w:tcBorders>
              <w:tl2br w:val="nil"/>
              <w:tr2bl w:val="nil"/>
            </w:tcBorders>
            <w:noWrap w:val="0"/>
            <w:vAlign w:val="center"/>
          </w:tcPr>
          <w:p w14:paraId="2B9390E4">
            <w:pPr>
              <w:keepNext w:val="0"/>
              <w:keepLines w:val="0"/>
              <w:widowControl/>
              <w:suppressLineNumbers w:val="0"/>
              <w:jc w:val="center"/>
              <w:textAlignment w:val="center"/>
              <w:rPr>
                <w:rFonts w:hint="default" w:ascii="Times New Roman" w:hAnsi="Times New Roman" w:eastAsia="宋体" w:cs="Times New Roman"/>
                <w:color w:val="000000"/>
                <w:kern w:val="2"/>
                <w:sz w:val="21"/>
                <w:szCs w:val="21"/>
                <w:highlight w:val="none"/>
                <w:u w:val="none"/>
                <w:vertAlign w:val="baseline"/>
                <w:lang w:val="en-US" w:eastAsia="zh-CN" w:bidi="ar-SA"/>
              </w:rPr>
            </w:pPr>
            <w:r>
              <w:rPr>
                <w:rFonts w:hint="default" w:ascii="Times New Roman" w:hAnsi="Times New Roman" w:eastAsia="宋体" w:cs="Times New Roman"/>
                <w:i w:val="0"/>
                <w:iCs w:val="0"/>
                <w:color w:val="000000"/>
                <w:kern w:val="0"/>
                <w:sz w:val="21"/>
                <w:szCs w:val="21"/>
                <w:highlight w:val="none"/>
                <w:u w:val="none"/>
                <w:lang w:val="en-US" w:eastAsia="zh-CN" w:bidi="ar"/>
              </w:rPr>
              <w:t>pH值</w:t>
            </w:r>
          </w:p>
        </w:tc>
        <w:tc>
          <w:tcPr>
            <w:tcW w:w="4568" w:type="dxa"/>
            <w:tcBorders>
              <w:tl2br w:val="nil"/>
              <w:tr2bl w:val="nil"/>
            </w:tcBorders>
            <w:noWrap w:val="0"/>
            <w:vAlign w:val="center"/>
          </w:tcPr>
          <w:p w14:paraId="3CBAE259">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 xml:space="preserve">水质 pH值的测定 </w:t>
            </w:r>
          </w:p>
          <w:p w14:paraId="7B897174">
            <w:pPr>
              <w:keepNext w:val="0"/>
              <w:keepLines w:val="0"/>
              <w:widowControl/>
              <w:suppressLineNumbers w:val="0"/>
              <w:jc w:val="center"/>
              <w:textAlignment w:val="center"/>
              <w:rPr>
                <w:rFonts w:hint="default" w:ascii="Times New Roman" w:hAnsi="Times New Roman" w:eastAsia="宋体" w:cs="Times New Roman"/>
                <w:b w:val="0"/>
                <w:bCs w:val="0"/>
                <w:color w:val="000000"/>
                <w:kern w:val="0"/>
                <w:sz w:val="21"/>
                <w:szCs w:val="21"/>
                <w:highlight w:val="none"/>
                <w:lang w:val="en-US" w:eastAsia="zh-CN" w:bidi="ar-SA"/>
              </w:rPr>
            </w:pPr>
            <w:r>
              <w:rPr>
                <w:rFonts w:hint="default" w:ascii="Times New Roman" w:hAnsi="Times New Roman" w:eastAsia="宋体" w:cs="Times New Roman"/>
                <w:i w:val="0"/>
                <w:iCs w:val="0"/>
                <w:color w:val="000000"/>
                <w:kern w:val="0"/>
                <w:sz w:val="21"/>
                <w:szCs w:val="21"/>
                <w:highlight w:val="none"/>
                <w:u w:val="none"/>
                <w:lang w:val="en-US" w:eastAsia="zh-CN" w:bidi="ar"/>
              </w:rPr>
              <w:t>电极法 HJ 1147-2020</w:t>
            </w:r>
          </w:p>
        </w:tc>
        <w:tc>
          <w:tcPr>
            <w:tcW w:w="2127" w:type="dxa"/>
            <w:tcBorders>
              <w:tl2br w:val="nil"/>
              <w:tr2bl w:val="nil"/>
            </w:tcBorders>
            <w:noWrap w:val="0"/>
            <w:vAlign w:val="center"/>
          </w:tcPr>
          <w:p w14:paraId="24CA1C34">
            <w:pPr>
              <w:keepNext w:val="0"/>
              <w:keepLines w:val="0"/>
              <w:widowControl/>
              <w:suppressLineNumbers w:val="0"/>
              <w:jc w:val="center"/>
              <w:textAlignment w:val="center"/>
              <w:rPr>
                <w:rFonts w:hint="default" w:ascii="Times New Roman" w:hAnsi="Times New Roman" w:eastAsia="宋体" w:cs="Times New Roman"/>
                <w:color w:val="000000"/>
                <w:kern w:val="2"/>
                <w:sz w:val="21"/>
                <w:szCs w:val="21"/>
                <w:highlight w:val="none"/>
                <w:lang w:val="en-US" w:eastAsia="zh-CN" w:bidi="ar-SA"/>
              </w:rPr>
            </w:pPr>
            <w:r>
              <w:rPr>
                <w:rFonts w:hint="default" w:ascii="Times New Roman" w:hAnsi="Times New Roman" w:eastAsia="宋体" w:cs="Times New Roman"/>
                <w:color w:val="000000"/>
                <w:kern w:val="2"/>
                <w:sz w:val="21"/>
                <w:szCs w:val="21"/>
                <w:highlight w:val="none"/>
                <w:lang w:val="en-US" w:eastAsia="zh-CN" w:bidi="ar-SA"/>
              </w:rPr>
              <w:t>便携式多参数分析仪</w:t>
            </w:r>
          </w:p>
          <w:p w14:paraId="4AEACDD0">
            <w:pPr>
              <w:keepNext w:val="0"/>
              <w:keepLines w:val="0"/>
              <w:widowControl/>
              <w:suppressLineNumbers w:val="0"/>
              <w:jc w:val="center"/>
              <w:textAlignment w:val="center"/>
              <w:rPr>
                <w:rFonts w:hint="default" w:ascii="Times New Roman" w:hAnsi="Times New Roman" w:eastAsia="宋体" w:cs="Times New Roman"/>
                <w:b w:val="0"/>
                <w:bCs w:val="0"/>
                <w:color w:val="000000"/>
                <w:kern w:val="0"/>
                <w:sz w:val="21"/>
                <w:szCs w:val="21"/>
                <w:highlight w:val="none"/>
                <w:lang w:val="en-US" w:eastAsia="zh-CN" w:bidi="ar-SA"/>
              </w:rPr>
            </w:pPr>
            <w:r>
              <w:rPr>
                <w:rFonts w:hint="default" w:ascii="Times New Roman" w:hAnsi="Times New Roman" w:eastAsia="宋体" w:cs="Times New Roman"/>
                <w:color w:val="000000"/>
                <w:kern w:val="2"/>
                <w:sz w:val="21"/>
                <w:szCs w:val="21"/>
                <w:highlight w:val="none"/>
                <w:lang w:val="en-US" w:eastAsia="zh-CN" w:bidi="ar-SA"/>
              </w:rPr>
              <w:t>DZB-718</w:t>
            </w:r>
          </w:p>
        </w:tc>
        <w:tc>
          <w:tcPr>
            <w:tcW w:w="1263" w:type="dxa"/>
            <w:tcBorders>
              <w:tl2br w:val="nil"/>
              <w:tr2bl w:val="nil"/>
            </w:tcBorders>
            <w:noWrap w:val="0"/>
            <w:vAlign w:val="center"/>
          </w:tcPr>
          <w:p w14:paraId="5160DE07">
            <w:pPr>
              <w:keepNext w:val="0"/>
              <w:keepLines w:val="0"/>
              <w:widowControl/>
              <w:suppressLineNumbers w:val="0"/>
              <w:jc w:val="center"/>
              <w:textAlignment w:val="center"/>
              <w:rPr>
                <w:rFonts w:hint="default" w:ascii="Times New Roman" w:hAnsi="Times New Roman" w:eastAsia="宋体" w:cs="Times New Roman"/>
                <w:b w:val="0"/>
                <w:bCs w:val="0"/>
                <w:color w:val="000000"/>
                <w:kern w:val="0"/>
                <w:sz w:val="21"/>
                <w:szCs w:val="21"/>
                <w:highlight w:val="none"/>
                <w:lang w:val="en-US" w:eastAsia="zh-CN" w:bidi="ar-SA"/>
              </w:rPr>
            </w:pPr>
            <w:r>
              <w:rPr>
                <w:rFonts w:hint="default" w:ascii="Times New Roman" w:hAnsi="Times New Roman" w:eastAsia="宋体" w:cs="Times New Roman"/>
                <w:b w:val="0"/>
                <w:bCs w:val="0"/>
                <w:color w:val="000000"/>
                <w:sz w:val="21"/>
                <w:szCs w:val="21"/>
                <w:highlight w:val="none"/>
                <w:lang w:val="en-US" w:eastAsia="zh-CN"/>
              </w:rPr>
              <w:t>—</w:t>
            </w:r>
          </w:p>
        </w:tc>
      </w:tr>
      <w:tr w14:paraId="0703CD24">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652" w:hRule="atLeast"/>
        </w:trPr>
        <w:tc>
          <w:tcPr>
            <w:tcW w:w="668" w:type="dxa"/>
            <w:tcBorders>
              <w:tl2br w:val="nil"/>
              <w:tr2bl w:val="nil"/>
            </w:tcBorders>
            <w:noWrap w:val="0"/>
            <w:vAlign w:val="center"/>
          </w:tcPr>
          <w:p w14:paraId="0017E433">
            <w:pPr>
              <w:widowControl/>
              <w:jc w:val="center"/>
              <w:textAlignment w:val="center"/>
              <w:rPr>
                <w:rFonts w:hint="default" w:ascii="Times New Roman" w:hAnsi="Times New Roman" w:eastAsia="宋体" w:cs="Times New Roman"/>
                <w:sz w:val="21"/>
                <w:szCs w:val="21"/>
                <w:lang w:val="en-US" w:eastAsia="zh-CN"/>
              </w:rPr>
            </w:pPr>
            <w:r>
              <w:rPr>
                <w:rFonts w:hint="default" w:ascii="Times New Roman" w:hAnsi="Times New Roman" w:cs="Times New Roman"/>
                <w:sz w:val="21"/>
                <w:szCs w:val="21"/>
                <w:lang w:val="en-US" w:eastAsia="zh-CN"/>
              </w:rPr>
              <w:t>2</w:t>
            </w:r>
          </w:p>
        </w:tc>
        <w:tc>
          <w:tcPr>
            <w:tcW w:w="1336" w:type="dxa"/>
            <w:tcBorders>
              <w:tl2br w:val="nil"/>
              <w:tr2bl w:val="nil"/>
            </w:tcBorders>
            <w:noWrap w:val="0"/>
            <w:vAlign w:val="center"/>
          </w:tcPr>
          <w:p w14:paraId="58782E28">
            <w:pPr>
              <w:keepNext w:val="0"/>
              <w:keepLines w:val="0"/>
              <w:widowControl/>
              <w:suppressLineNumbers w:val="0"/>
              <w:jc w:val="center"/>
              <w:textAlignment w:val="center"/>
              <w:rPr>
                <w:rFonts w:hint="default" w:ascii="Times New Roman" w:hAnsi="Times New Roman" w:eastAsia="宋体" w:cs="Times New Roman"/>
                <w:color w:val="000000"/>
                <w:kern w:val="2"/>
                <w:sz w:val="21"/>
                <w:szCs w:val="21"/>
                <w:highlight w:val="none"/>
                <w:u w:val="none"/>
                <w:vertAlign w:val="baseline"/>
                <w:lang w:val="en-US" w:eastAsia="zh-CN" w:bidi="ar-SA"/>
              </w:rPr>
            </w:pPr>
            <w:r>
              <w:rPr>
                <w:rFonts w:hint="default" w:ascii="Times New Roman" w:hAnsi="Times New Roman" w:cs="Times New Roman"/>
                <w:color w:val="000000"/>
                <w:kern w:val="2"/>
                <w:sz w:val="21"/>
                <w:szCs w:val="21"/>
                <w:highlight w:val="none"/>
                <w:u w:val="none"/>
                <w:vertAlign w:val="baseline"/>
                <w:lang w:val="en-US" w:eastAsia="zh-CN" w:bidi="ar-SA"/>
              </w:rPr>
              <w:t>水温</w:t>
            </w:r>
          </w:p>
        </w:tc>
        <w:tc>
          <w:tcPr>
            <w:tcW w:w="4568" w:type="dxa"/>
            <w:tcBorders>
              <w:tl2br w:val="nil"/>
              <w:tr2bl w:val="nil"/>
            </w:tcBorders>
            <w:noWrap w:val="0"/>
            <w:vAlign w:val="center"/>
          </w:tcPr>
          <w:p w14:paraId="72CED71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水质</w:t>
            </w:r>
            <w:r>
              <w:rPr>
                <w:rStyle w:val="542"/>
                <w:rFonts w:hint="default" w:ascii="Times New Roman" w:hAnsi="Times New Roman" w:eastAsia="宋体" w:cs="Times New Roman"/>
                <w:color w:val="000000"/>
                <w:sz w:val="21"/>
                <w:szCs w:val="21"/>
                <w:highlight w:val="none"/>
                <w:lang w:val="en-US" w:eastAsia="zh-CN" w:bidi="ar"/>
              </w:rPr>
              <w:t xml:space="preserve"> </w:t>
            </w:r>
            <w:r>
              <w:rPr>
                <w:rFonts w:hint="default" w:ascii="Times New Roman" w:hAnsi="Times New Roman" w:eastAsia="宋体" w:cs="Times New Roman"/>
                <w:i w:val="0"/>
                <w:iCs w:val="0"/>
                <w:color w:val="000000"/>
                <w:kern w:val="0"/>
                <w:sz w:val="21"/>
                <w:szCs w:val="21"/>
                <w:highlight w:val="none"/>
                <w:u w:val="none"/>
                <w:lang w:val="en-US" w:eastAsia="zh-CN" w:bidi="ar"/>
              </w:rPr>
              <w:t>水温的测定</w:t>
            </w:r>
            <w:r>
              <w:rPr>
                <w:rStyle w:val="542"/>
                <w:rFonts w:hint="default" w:ascii="Times New Roman" w:hAnsi="Times New Roman" w:eastAsia="宋体" w:cs="Times New Roman"/>
                <w:color w:val="000000"/>
                <w:sz w:val="21"/>
                <w:szCs w:val="21"/>
                <w:highlight w:val="none"/>
                <w:lang w:val="en-US" w:eastAsia="zh-CN" w:bidi="ar"/>
              </w:rPr>
              <w:t xml:space="preserve"> </w:t>
            </w:r>
            <w:r>
              <w:rPr>
                <w:rFonts w:hint="default" w:ascii="Times New Roman" w:hAnsi="Times New Roman" w:eastAsia="宋体" w:cs="Times New Roman"/>
                <w:i w:val="0"/>
                <w:iCs w:val="0"/>
                <w:color w:val="000000"/>
                <w:kern w:val="0"/>
                <w:sz w:val="21"/>
                <w:szCs w:val="21"/>
                <w:highlight w:val="none"/>
                <w:u w:val="none"/>
                <w:lang w:val="en-US" w:eastAsia="zh-CN" w:bidi="ar"/>
              </w:rPr>
              <w:t>温度计或颠倒温度计测定法</w:t>
            </w:r>
          </w:p>
          <w:p w14:paraId="0D14CBB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宋体" w:cs="Times New Roman"/>
                <w:i w:val="0"/>
                <w:iCs w:val="0"/>
                <w:color w:val="000000"/>
                <w:kern w:val="2"/>
                <w:sz w:val="21"/>
                <w:szCs w:val="21"/>
                <w:highlight w:val="none"/>
                <w:u w:val="none"/>
                <w:lang w:val="en-US" w:eastAsia="zh-CN" w:bidi="ar-SA"/>
              </w:rPr>
            </w:pPr>
            <w:r>
              <w:rPr>
                <w:rStyle w:val="542"/>
                <w:rFonts w:hint="default" w:ascii="Times New Roman" w:hAnsi="Times New Roman" w:eastAsia="宋体" w:cs="Times New Roman"/>
                <w:color w:val="000000"/>
                <w:sz w:val="21"/>
                <w:szCs w:val="21"/>
                <w:highlight w:val="none"/>
                <w:lang w:val="en-US" w:eastAsia="zh-CN" w:bidi="ar"/>
              </w:rPr>
              <w:t xml:space="preserve">GB/T 13195-1991 4.1 </w:t>
            </w:r>
            <w:r>
              <w:rPr>
                <w:rFonts w:hint="default" w:ascii="Times New Roman" w:hAnsi="Times New Roman" w:eastAsia="宋体" w:cs="Times New Roman"/>
                <w:i w:val="0"/>
                <w:iCs w:val="0"/>
                <w:color w:val="000000"/>
                <w:kern w:val="0"/>
                <w:sz w:val="21"/>
                <w:szCs w:val="21"/>
                <w:highlight w:val="none"/>
                <w:u w:val="none"/>
                <w:lang w:val="en-US" w:eastAsia="zh-CN" w:bidi="ar"/>
              </w:rPr>
              <w:t>表层水温的测定</w:t>
            </w:r>
          </w:p>
        </w:tc>
        <w:tc>
          <w:tcPr>
            <w:tcW w:w="2127" w:type="dxa"/>
            <w:tcBorders>
              <w:tl2br w:val="nil"/>
              <w:tr2bl w:val="nil"/>
            </w:tcBorders>
            <w:noWrap w:val="0"/>
            <w:vAlign w:val="center"/>
          </w:tcPr>
          <w:p w14:paraId="492B12B9">
            <w:pPr>
              <w:keepNext w:val="0"/>
              <w:keepLines w:val="0"/>
              <w:widowControl/>
              <w:suppressLineNumbers w:val="0"/>
              <w:jc w:val="center"/>
              <w:textAlignment w:val="center"/>
              <w:rPr>
                <w:rFonts w:hint="default" w:ascii="Times New Roman" w:hAnsi="Times New Roman" w:cs="Times New Roman"/>
                <w:color w:val="000000"/>
                <w:kern w:val="2"/>
                <w:sz w:val="21"/>
                <w:szCs w:val="21"/>
                <w:highlight w:val="none"/>
                <w:lang w:val="en-US" w:eastAsia="zh-CN" w:bidi="ar-SA"/>
              </w:rPr>
            </w:pPr>
            <w:r>
              <w:rPr>
                <w:rFonts w:hint="default" w:ascii="Times New Roman" w:hAnsi="Times New Roman" w:cs="Times New Roman"/>
                <w:color w:val="000000"/>
                <w:kern w:val="2"/>
                <w:sz w:val="21"/>
                <w:szCs w:val="21"/>
                <w:highlight w:val="none"/>
                <w:lang w:val="en-US" w:eastAsia="zh-CN" w:bidi="ar-SA"/>
              </w:rPr>
              <w:t>水温表</w:t>
            </w:r>
          </w:p>
          <w:p w14:paraId="34BC575A">
            <w:pPr>
              <w:keepNext w:val="0"/>
              <w:keepLines w:val="0"/>
              <w:widowControl/>
              <w:suppressLineNumbers w:val="0"/>
              <w:jc w:val="center"/>
              <w:textAlignment w:val="center"/>
              <w:rPr>
                <w:rFonts w:hint="default" w:ascii="Times New Roman" w:hAnsi="Times New Roman" w:eastAsia="宋体" w:cs="Times New Roman"/>
                <w:color w:val="000000"/>
                <w:kern w:val="2"/>
                <w:sz w:val="21"/>
                <w:szCs w:val="21"/>
                <w:highlight w:val="none"/>
                <w:lang w:val="en-US" w:eastAsia="zh-CN" w:bidi="ar-SA"/>
              </w:rPr>
            </w:pPr>
            <w:r>
              <w:rPr>
                <w:rFonts w:hint="default" w:ascii="Times New Roman" w:hAnsi="Times New Roman" w:cs="Times New Roman"/>
                <w:color w:val="000000"/>
                <w:kern w:val="2"/>
                <w:sz w:val="21"/>
                <w:szCs w:val="21"/>
                <w:highlight w:val="none"/>
                <w:lang w:val="en-US" w:eastAsia="zh-CN" w:bidi="ar-SA"/>
              </w:rPr>
              <w:t>WQG-17</w:t>
            </w:r>
          </w:p>
        </w:tc>
        <w:tc>
          <w:tcPr>
            <w:tcW w:w="1263" w:type="dxa"/>
            <w:tcBorders>
              <w:tl2br w:val="nil"/>
              <w:tr2bl w:val="nil"/>
            </w:tcBorders>
            <w:noWrap w:val="0"/>
            <w:vAlign w:val="center"/>
          </w:tcPr>
          <w:p w14:paraId="2E7B2730">
            <w:pPr>
              <w:keepNext w:val="0"/>
              <w:keepLines w:val="0"/>
              <w:widowControl/>
              <w:suppressLineNumbers w:val="0"/>
              <w:jc w:val="center"/>
              <w:textAlignment w:val="center"/>
              <w:rPr>
                <w:rFonts w:hint="default" w:ascii="Times New Roman" w:hAnsi="Times New Roman" w:eastAsia="宋体" w:cs="Times New Roman"/>
                <w:b w:val="0"/>
                <w:bCs w:val="0"/>
                <w:color w:val="000000"/>
                <w:kern w:val="2"/>
                <w:sz w:val="21"/>
                <w:szCs w:val="21"/>
                <w:lang w:val="en-US" w:eastAsia="zh-CN" w:bidi="ar-SA"/>
              </w:rPr>
            </w:pPr>
            <w:r>
              <w:rPr>
                <w:rFonts w:hint="default" w:ascii="Times New Roman" w:hAnsi="Times New Roman" w:eastAsia="宋体" w:cs="Times New Roman"/>
                <w:b w:val="0"/>
                <w:bCs w:val="0"/>
                <w:color w:val="000000"/>
                <w:sz w:val="21"/>
                <w:szCs w:val="21"/>
                <w:highlight w:val="none"/>
                <w:lang w:val="en-US" w:eastAsia="zh-CN"/>
              </w:rPr>
              <w:t>—</w:t>
            </w:r>
          </w:p>
        </w:tc>
      </w:tr>
      <w:tr w14:paraId="7CA7E77B">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652" w:hRule="atLeast"/>
        </w:trPr>
        <w:tc>
          <w:tcPr>
            <w:tcW w:w="668" w:type="dxa"/>
            <w:tcBorders>
              <w:tl2br w:val="nil"/>
              <w:tr2bl w:val="nil"/>
            </w:tcBorders>
            <w:noWrap w:val="0"/>
            <w:vAlign w:val="center"/>
          </w:tcPr>
          <w:p w14:paraId="597DD514">
            <w:pPr>
              <w:widowControl/>
              <w:jc w:val="center"/>
              <w:textAlignment w:val="center"/>
              <w:rPr>
                <w:rFonts w:hint="default" w:ascii="Times New Roman" w:hAnsi="Times New Roman" w:eastAsia="宋体" w:cs="Times New Roman"/>
                <w:sz w:val="21"/>
                <w:szCs w:val="21"/>
                <w:lang w:val="en-US" w:eastAsia="zh-CN"/>
              </w:rPr>
            </w:pPr>
            <w:r>
              <w:rPr>
                <w:rFonts w:hint="default" w:ascii="Times New Roman" w:hAnsi="Times New Roman" w:cs="Times New Roman"/>
                <w:sz w:val="21"/>
                <w:szCs w:val="21"/>
                <w:lang w:val="en-US" w:eastAsia="zh-CN"/>
              </w:rPr>
              <w:t>3</w:t>
            </w:r>
          </w:p>
        </w:tc>
        <w:tc>
          <w:tcPr>
            <w:tcW w:w="1336" w:type="dxa"/>
            <w:tcBorders>
              <w:tl2br w:val="nil"/>
              <w:tr2bl w:val="nil"/>
            </w:tcBorders>
            <w:noWrap w:val="0"/>
            <w:vAlign w:val="center"/>
          </w:tcPr>
          <w:p w14:paraId="799F1CB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宋体" w:cs="Times New Roman"/>
                <w:color w:val="000000"/>
                <w:kern w:val="2"/>
                <w:sz w:val="21"/>
                <w:szCs w:val="21"/>
                <w:highlight w:val="none"/>
                <w:lang w:val="en-US" w:eastAsia="zh-CN" w:bidi="ar-SA"/>
              </w:rPr>
            </w:pPr>
            <w:r>
              <w:rPr>
                <w:rFonts w:hint="default" w:ascii="Times New Roman" w:hAnsi="Times New Roman" w:eastAsia="宋体" w:cs="Times New Roman"/>
                <w:i w:val="0"/>
                <w:iCs w:val="0"/>
                <w:color w:val="000000"/>
                <w:kern w:val="0"/>
                <w:sz w:val="21"/>
                <w:szCs w:val="21"/>
                <w:highlight w:val="none"/>
                <w:u w:val="none"/>
                <w:lang w:val="en-US" w:eastAsia="zh-CN" w:bidi="ar"/>
              </w:rPr>
              <w:t>溶解氧</w:t>
            </w:r>
          </w:p>
        </w:tc>
        <w:tc>
          <w:tcPr>
            <w:tcW w:w="4568" w:type="dxa"/>
            <w:tcBorders>
              <w:tl2br w:val="nil"/>
              <w:tr2bl w:val="nil"/>
            </w:tcBorders>
            <w:noWrap w:val="0"/>
            <w:vAlign w:val="center"/>
          </w:tcPr>
          <w:p w14:paraId="3961F72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Style w:val="542"/>
                <w:rFonts w:hint="default" w:ascii="Times New Roman" w:hAnsi="Times New Roman" w:eastAsia="宋体" w:cs="Times New Roman"/>
                <w:color w:val="000000"/>
                <w:sz w:val="21"/>
                <w:szCs w:val="21"/>
                <w:highlight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水质</w:t>
            </w:r>
            <w:r>
              <w:rPr>
                <w:rStyle w:val="542"/>
                <w:rFonts w:hint="default" w:ascii="Times New Roman" w:hAnsi="Times New Roman" w:eastAsia="宋体" w:cs="Times New Roman"/>
                <w:color w:val="000000"/>
                <w:sz w:val="21"/>
                <w:szCs w:val="21"/>
                <w:highlight w:val="none"/>
                <w:lang w:val="en-US" w:eastAsia="zh-CN" w:bidi="ar"/>
              </w:rPr>
              <w:t xml:space="preserve"> </w:t>
            </w:r>
            <w:r>
              <w:rPr>
                <w:rFonts w:hint="default" w:ascii="Times New Roman" w:hAnsi="Times New Roman" w:eastAsia="宋体" w:cs="Times New Roman"/>
                <w:i w:val="0"/>
                <w:iCs w:val="0"/>
                <w:color w:val="000000"/>
                <w:kern w:val="0"/>
                <w:sz w:val="21"/>
                <w:szCs w:val="21"/>
                <w:highlight w:val="none"/>
                <w:u w:val="none"/>
                <w:lang w:val="en-US" w:eastAsia="zh-CN" w:bidi="ar"/>
              </w:rPr>
              <w:t>溶解氧的测定</w:t>
            </w:r>
          </w:p>
          <w:p w14:paraId="7BEF6A1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 xml:space="preserve">电化学探头法 </w:t>
            </w:r>
            <w:r>
              <w:rPr>
                <w:rStyle w:val="542"/>
                <w:rFonts w:hint="default" w:ascii="Times New Roman" w:hAnsi="Times New Roman" w:eastAsia="宋体" w:cs="Times New Roman"/>
                <w:color w:val="000000"/>
                <w:sz w:val="21"/>
                <w:szCs w:val="21"/>
                <w:highlight w:val="none"/>
                <w:lang w:val="en-US" w:eastAsia="zh-CN" w:bidi="ar"/>
              </w:rPr>
              <w:t>HJ 506-2009</w:t>
            </w:r>
          </w:p>
        </w:tc>
        <w:tc>
          <w:tcPr>
            <w:tcW w:w="2127" w:type="dxa"/>
            <w:tcBorders>
              <w:tl2br w:val="nil"/>
              <w:tr2bl w:val="nil"/>
            </w:tcBorders>
            <w:noWrap w:val="0"/>
            <w:vAlign w:val="center"/>
          </w:tcPr>
          <w:p w14:paraId="7DECF27F">
            <w:pPr>
              <w:keepNext w:val="0"/>
              <w:keepLines w:val="0"/>
              <w:widowControl/>
              <w:suppressLineNumbers w:val="0"/>
              <w:jc w:val="center"/>
              <w:textAlignment w:val="center"/>
              <w:rPr>
                <w:rFonts w:hint="default" w:ascii="Times New Roman" w:hAnsi="Times New Roman" w:eastAsia="宋体" w:cs="Times New Roman"/>
                <w:color w:val="000000"/>
                <w:kern w:val="2"/>
                <w:sz w:val="21"/>
                <w:szCs w:val="21"/>
                <w:highlight w:val="none"/>
                <w:lang w:val="en-US" w:eastAsia="zh-CN" w:bidi="ar-SA"/>
              </w:rPr>
            </w:pPr>
            <w:r>
              <w:rPr>
                <w:rFonts w:hint="default" w:ascii="Times New Roman" w:hAnsi="Times New Roman" w:eastAsia="宋体" w:cs="Times New Roman"/>
                <w:color w:val="000000"/>
                <w:kern w:val="2"/>
                <w:sz w:val="21"/>
                <w:szCs w:val="21"/>
                <w:highlight w:val="none"/>
                <w:lang w:val="en-US" w:eastAsia="zh-CN" w:bidi="ar-SA"/>
              </w:rPr>
              <w:t>便携式多参数分析仪</w:t>
            </w:r>
          </w:p>
          <w:p w14:paraId="59299F0E">
            <w:pPr>
              <w:keepNext w:val="0"/>
              <w:keepLines w:val="0"/>
              <w:widowControl/>
              <w:suppressLineNumbers w:val="0"/>
              <w:jc w:val="center"/>
              <w:textAlignment w:val="center"/>
              <w:rPr>
                <w:rFonts w:hint="default" w:ascii="Times New Roman" w:hAnsi="Times New Roman" w:eastAsia="宋体" w:cs="Times New Roman"/>
                <w:b w:val="0"/>
                <w:bCs w:val="0"/>
                <w:color w:val="000000"/>
                <w:kern w:val="0"/>
                <w:sz w:val="21"/>
                <w:szCs w:val="21"/>
                <w:highlight w:val="none"/>
                <w:lang w:val="en-US" w:eastAsia="zh-CN" w:bidi="ar-SA"/>
              </w:rPr>
            </w:pPr>
            <w:r>
              <w:rPr>
                <w:rFonts w:hint="default" w:ascii="Times New Roman" w:hAnsi="Times New Roman" w:eastAsia="宋体" w:cs="Times New Roman"/>
                <w:color w:val="000000"/>
                <w:kern w:val="2"/>
                <w:sz w:val="21"/>
                <w:szCs w:val="21"/>
                <w:highlight w:val="none"/>
                <w:lang w:val="en-US" w:eastAsia="zh-CN" w:bidi="ar-SA"/>
              </w:rPr>
              <w:t>DZB-718</w:t>
            </w:r>
          </w:p>
        </w:tc>
        <w:tc>
          <w:tcPr>
            <w:tcW w:w="1263" w:type="dxa"/>
            <w:tcBorders>
              <w:tl2br w:val="nil"/>
              <w:tr2bl w:val="nil"/>
            </w:tcBorders>
            <w:noWrap w:val="0"/>
            <w:vAlign w:val="center"/>
          </w:tcPr>
          <w:p w14:paraId="203F877A">
            <w:pPr>
              <w:keepNext w:val="0"/>
              <w:keepLines w:val="0"/>
              <w:widowControl/>
              <w:suppressLineNumbers w:val="0"/>
              <w:jc w:val="center"/>
              <w:textAlignment w:val="center"/>
              <w:rPr>
                <w:rFonts w:hint="default" w:ascii="Times New Roman" w:hAnsi="Times New Roman" w:eastAsia="宋体" w:cs="Times New Roman"/>
                <w:b w:val="0"/>
                <w:bCs w:val="0"/>
                <w:color w:val="000000"/>
                <w:kern w:val="0"/>
                <w:sz w:val="21"/>
                <w:szCs w:val="21"/>
                <w:highlight w:val="none"/>
                <w:lang w:val="en-US" w:eastAsia="zh-CN" w:bidi="ar-SA"/>
              </w:rPr>
            </w:pPr>
            <w:r>
              <w:rPr>
                <w:rFonts w:hint="default" w:ascii="Times New Roman" w:hAnsi="Times New Roman" w:eastAsia="宋体" w:cs="Times New Roman"/>
                <w:b w:val="0"/>
                <w:bCs w:val="0"/>
                <w:color w:val="000000"/>
                <w:sz w:val="21"/>
                <w:szCs w:val="21"/>
                <w:highlight w:val="none"/>
                <w:lang w:val="en-US" w:eastAsia="zh-CN"/>
              </w:rPr>
              <w:t>—</w:t>
            </w:r>
          </w:p>
        </w:tc>
      </w:tr>
      <w:tr w14:paraId="17ED601C">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652" w:hRule="atLeast"/>
        </w:trPr>
        <w:tc>
          <w:tcPr>
            <w:tcW w:w="668" w:type="dxa"/>
            <w:tcBorders>
              <w:tl2br w:val="nil"/>
              <w:tr2bl w:val="nil"/>
            </w:tcBorders>
            <w:noWrap w:val="0"/>
            <w:vAlign w:val="center"/>
          </w:tcPr>
          <w:p w14:paraId="6B276CA5">
            <w:pPr>
              <w:widowControl/>
              <w:jc w:val="center"/>
              <w:textAlignment w:val="center"/>
              <w:rPr>
                <w:rFonts w:hint="default" w:ascii="Times New Roman" w:hAnsi="Times New Roman" w:eastAsia="宋体" w:cs="Times New Roman"/>
                <w:sz w:val="21"/>
                <w:szCs w:val="21"/>
                <w:lang w:val="en-US" w:eastAsia="zh-CN"/>
              </w:rPr>
            </w:pPr>
            <w:r>
              <w:rPr>
                <w:rFonts w:hint="default" w:ascii="Times New Roman" w:hAnsi="Times New Roman" w:cs="Times New Roman"/>
                <w:sz w:val="21"/>
                <w:szCs w:val="21"/>
                <w:lang w:val="en-US" w:eastAsia="zh-CN"/>
              </w:rPr>
              <w:t>4</w:t>
            </w:r>
          </w:p>
        </w:tc>
        <w:tc>
          <w:tcPr>
            <w:tcW w:w="1336" w:type="dxa"/>
            <w:tcBorders>
              <w:tl2br w:val="nil"/>
              <w:tr2bl w:val="nil"/>
            </w:tcBorders>
            <w:noWrap w:val="0"/>
            <w:vAlign w:val="center"/>
          </w:tcPr>
          <w:p w14:paraId="7B1A2014">
            <w:pPr>
              <w:keepNext w:val="0"/>
              <w:keepLines w:val="0"/>
              <w:widowControl/>
              <w:suppressLineNumbers w:val="0"/>
              <w:jc w:val="center"/>
              <w:textAlignment w:val="center"/>
              <w:rPr>
                <w:rFonts w:hint="default" w:ascii="Times New Roman" w:hAnsi="Times New Roman" w:cs="Times New Roman"/>
                <w:b w:val="0"/>
                <w:bCs w:val="0"/>
                <w:color w:val="000000"/>
                <w:sz w:val="21"/>
                <w:szCs w:val="21"/>
                <w:highlight w:val="none"/>
                <w:vertAlign w:val="baseline"/>
                <w:lang w:val="en-US" w:eastAsia="zh-CN"/>
              </w:rPr>
            </w:pPr>
            <w:r>
              <w:rPr>
                <w:rFonts w:hint="default" w:ascii="Times New Roman" w:hAnsi="Times New Roman" w:cs="Times New Roman"/>
                <w:b w:val="0"/>
                <w:bCs w:val="0"/>
                <w:color w:val="000000"/>
                <w:sz w:val="21"/>
                <w:szCs w:val="21"/>
                <w:highlight w:val="none"/>
                <w:vertAlign w:val="baseline"/>
                <w:lang w:val="en-US" w:eastAsia="zh-CN"/>
              </w:rPr>
              <w:t>高锰酸盐</w:t>
            </w:r>
          </w:p>
          <w:p w14:paraId="00D37419">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kern w:val="0"/>
                <w:sz w:val="21"/>
                <w:szCs w:val="21"/>
                <w:highlight w:val="none"/>
                <w:u w:val="none"/>
                <w:lang w:val="en-US" w:eastAsia="zh-CN" w:bidi="ar"/>
              </w:rPr>
            </w:pPr>
            <w:r>
              <w:rPr>
                <w:rFonts w:hint="default" w:ascii="Times New Roman" w:hAnsi="Times New Roman" w:cs="Times New Roman"/>
                <w:b w:val="0"/>
                <w:bCs w:val="0"/>
                <w:color w:val="000000"/>
                <w:sz w:val="21"/>
                <w:szCs w:val="21"/>
                <w:highlight w:val="none"/>
                <w:vertAlign w:val="baseline"/>
                <w:lang w:val="en-US" w:eastAsia="zh-CN"/>
              </w:rPr>
              <w:t>指数</w:t>
            </w:r>
          </w:p>
        </w:tc>
        <w:tc>
          <w:tcPr>
            <w:tcW w:w="4568" w:type="dxa"/>
            <w:tcBorders>
              <w:tl2br w:val="nil"/>
              <w:tr2bl w:val="nil"/>
            </w:tcBorders>
            <w:noWrap w:val="0"/>
            <w:vAlign w:val="center"/>
          </w:tcPr>
          <w:p w14:paraId="5286D4B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 xml:space="preserve">水质 高锰酸盐指数的测定 </w:t>
            </w:r>
          </w:p>
          <w:p w14:paraId="5B509C5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草酸钠还原酸性滴定法  HJ 1445-2026</w:t>
            </w:r>
          </w:p>
        </w:tc>
        <w:tc>
          <w:tcPr>
            <w:tcW w:w="2127" w:type="dxa"/>
            <w:tcBorders>
              <w:tl2br w:val="nil"/>
              <w:tr2bl w:val="nil"/>
            </w:tcBorders>
            <w:noWrap w:val="0"/>
            <w:vAlign w:val="center"/>
          </w:tcPr>
          <w:p w14:paraId="7359E17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滴定管</w:t>
            </w:r>
          </w:p>
        </w:tc>
        <w:tc>
          <w:tcPr>
            <w:tcW w:w="1263" w:type="dxa"/>
            <w:tcBorders>
              <w:tl2br w:val="nil"/>
              <w:tr2bl w:val="nil"/>
            </w:tcBorders>
            <w:noWrap w:val="0"/>
            <w:vAlign w:val="center"/>
          </w:tcPr>
          <w:p w14:paraId="36ABFDD1">
            <w:pPr>
              <w:widowControl/>
              <w:spacing w:line="240" w:lineRule="auto"/>
              <w:jc w:val="center"/>
              <w:textAlignment w:val="center"/>
              <w:rPr>
                <w:rFonts w:hint="default" w:ascii="Times New Roman" w:hAnsi="Times New Roman" w:eastAsia="宋体" w:cs="Times New Roman"/>
                <w:b w:val="0"/>
                <w:bCs w:val="0"/>
                <w:color w:val="000000"/>
                <w:kern w:val="0"/>
                <w:sz w:val="21"/>
                <w:szCs w:val="21"/>
                <w:lang w:val="en-US" w:eastAsia="zh-CN" w:bidi="ar-SA"/>
              </w:rPr>
            </w:pPr>
            <w:r>
              <w:rPr>
                <w:rFonts w:hint="default" w:ascii="Times New Roman" w:hAnsi="Times New Roman" w:eastAsia="宋体" w:cs="Times New Roman"/>
                <w:b w:val="0"/>
                <w:bCs w:val="0"/>
                <w:color w:val="000000"/>
                <w:kern w:val="0"/>
                <w:sz w:val="21"/>
                <w:szCs w:val="21"/>
                <w:lang w:val="en-US" w:eastAsia="zh-CN" w:bidi="ar-SA"/>
              </w:rPr>
              <w:t>0.4mg/L</w:t>
            </w:r>
          </w:p>
        </w:tc>
      </w:tr>
      <w:tr w14:paraId="651959EC">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652" w:hRule="atLeast"/>
        </w:trPr>
        <w:tc>
          <w:tcPr>
            <w:tcW w:w="668" w:type="dxa"/>
            <w:tcBorders>
              <w:tl2br w:val="nil"/>
              <w:tr2bl w:val="nil"/>
            </w:tcBorders>
            <w:noWrap w:val="0"/>
            <w:vAlign w:val="center"/>
          </w:tcPr>
          <w:p w14:paraId="6490ACCB">
            <w:pPr>
              <w:widowControl/>
              <w:jc w:val="center"/>
              <w:textAlignment w:val="center"/>
              <w:rPr>
                <w:rFonts w:hint="default" w:ascii="Times New Roman" w:hAnsi="Times New Roman" w:eastAsia="宋体" w:cs="Times New Roman"/>
                <w:sz w:val="21"/>
                <w:szCs w:val="21"/>
                <w:lang w:val="en-US" w:eastAsia="zh-CN"/>
              </w:rPr>
            </w:pPr>
            <w:r>
              <w:rPr>
                <w:rFonts w:hint="default" w:ascii="Times New Roman" w:hAnsi="Times New Roman" w:cs="Times New Roman"/>
                <w:sz w:val="21"/>
                <w:szCs w:val="21"/>
                <w:lang w:val="en-US" w:eastAsia="zh-CN"/>
              </w:rPr>
              <w:t>5</w:t>
            </w:r>
          </w:p>
        </w:tc>
        <w:tc>
          <w:tcPr>
            <w:tcW w:w="1336" w:type="dxa"/>
            <w:tcBorders>
              <w:tl2br w:val="nil"/>
              <w:tr2bl w:val="nil"/>
            </w:tcBorders>
            <w:noWrap w:val="0"/>
            <w:vAlign w:val="center"/>
          </w:tcPr>
          <w:p w14:paraId="1563A889">
            <w:pPr>
              <w:keepNext w:val="0"/>
              <w:keepLines w:val="0"/>
              <w:widowControl/>
              <w:suppressLineNumbers w:val="0"/>
              <w:jc w:val="center"/>
              <w:textAlignment w:val="center"/>
              <w:rPr>
                <w:rFonts w:hint="default" w:ascii="Times New Roman" w:hAnsi="Times New Roman" w:eastAsia="宋体" w:cs="Times New Roman"/>
                <w:b w:val="0"/>
                <w:bCs w:val="0"/>
                <w:color w:val="000000"/>
                <w:sz w:val="21"/>
                <w:szCs w:val="21"/>
                <w:highlight w:val="none"/>
                <w:vertAlign w:val="baseline"/>
                <w:lang w:val="en-US" w:eastAsia="zh-CN"/>
              </w:rPr>
            </w:pPr>
            <w:r>
              <w:rPr>
                <w:rFonts w:hint="default" w:ascii="Times New Roman" w:hAnsi="Times New Roman" w:eastAsia="宋体" w:cs="Times New Roman"/>
                <w:b w:val="0"/>
                <w:bCs w:val="0"/>
                <w:color w:val="000000"/>
                <w:sz w:val="21"/>
                <w:szCs w:val="21"/>
                <w:highlight w:val="none"/>
                <w:vertAlign w:val="baseline"/>
                <w:lang w:val="en-US" w:eastAsia="zh-CN"/>
              </w:rPr>
              <w:t>电导率</w:t>
            </w:r>
          </w:p>
        </w:tc>
        <w:tc>
          <w:tcPr>
            <w:tcW w:w="4568" w:type="dxa"/>
            <w:tcBorders>
              <w:tl2br w:val="nil"/>
              <w:tr2bl w:val="nil"/>
            </w:tcBorders>
            <w:noWrap w:val="0"/>
            <w:vAlign w:val="center"/>
          </w:tcPr>
          <w:p w14:paraId="1E3072EB">
            <w:pPr>
              <w:keepNext w:val="0"/>
              <w:keepLines w:val="0"/>
              <w:widowControl/>
              <w:suppressLineNumbers w:val="0"/>
              <w:jc w:val="center"/>
              <w:textAlignment w:val="center"/>
              <w:rPr>
                <w:rFonts w:hint="default" w:ascii="Times New Roman" w:hAnsi="Times New Roman" w:eastAsia="宋体" w:cs="Times New Roman"/>
                <w:b w:val="0"/>
                <w:bCs w:val="0"/>
                <w:color w:val="000000"/>
                <w:sz w:val="21"/>
                <w:szCs w:val="21"/>
                <w:highlight w:val="none"/>
                <w:vertAlign w:val="baseline"/>
                <w:lang w:val="en-US" w:eastAsia="zh-CN"/>
              </w:rPr>
            </w:pPr>
            <w:r>
              <w:rPr>
                <w:rFonts w:hint="default" w:ascii="Times New Roman" w:hAnsi="Times New Roman" w:eastAsia="宋体" w:cs="Times New Roman"/>
                <w:b w:val="0"/>
                <w:bCs w:val="0"/>
                <w:color w:val="000000"/>
                <w:sz w:val="21"/>
                <w:szCs w:val="21"/>
                <w:highlight w:val="none"/>
                <w:vertAlign w:val="baseline"/>
                <w:lang w:val="en-US" w:eastAsia="zh-CN"/>
              </w:rPr>
              <w:t>《水和废水监测分析方法》（第四版）</w:t>
            </w:r>
          </w:p>
          <w:p w14:paraId="1CB7739A">
            <w:pPr>
              <w:keepNext w:val="0"/>
              <w:keepLines w:val="0"/>
              <w:widowControl/>
              <w:suppressLineNumbers w:val="0"/>
              <w:jc w:val="center"/>
              <w:textAlignment w:val="center"/>
              <w:rPr>
                <w:rFonts w:hint="default" w:ascii="Times New Roman" w:hAnsi="Times New Roman" w:eastAsia="宋体" w:cs="Times New Roman"/>
                <w:b w:val="0"/>
                <w:bCs w:val="0"/>
                <w:color w:val="000000"/>
                <w:sz w:val="21"/>
                <w:szCs w:val="21"/>
                <w:highlight w:val="none"/>
                <w:vertAlign w:val="baseline"/>
                <w:lang w:val="en-US" w:eastAsia="zh-CN"/>
              </w:rPr>
            </w:pPr>
            <w:r>
              <w:rPr>
                <w:rFonts w:hint="default" w:ascii="Times New Roman" w:hAnsi="Times New Roman" w:eastAsia="宋体" w:cs="Times New Roman"/>
                <w:b w:val="0"/>
                <w:bCs w:val="0"/>
                <w:color w:val="000000"/>
                <w:sz w:val="21"/>
                <w:szCs w:val="21"/>
                <w:highlight w:val="none"/>
                <w:vertAlign w:val="baseline"/>
                <w:lang w:val="en-US" w:eastAsia="zh-CN"/>
              </w:rPr>
              <w:t>国家环境保护总局（2002年） 第三篇 第一章 九 （二） 实验室电导率仪法</w:t>
            </w:r>
          </w:p>
        </w:tc>
        <w:tc>
          <w:tcPr>
            <w:tcW w:w="2127" w:type="dxa"/>
            <w:tcBorders>
              <w:tl2br w:val="nil"/>
              <w:tr2bl w:val="nil"/>
            </w:tcBorders>
            <w:noWrap w:val="0"/>
            <w:vAlign w:val="center"/>
          </w:tcPr>
          <w:p w14:paraId="789D90AC">
            <w:pPr>
              <w:keepNext w:val="0"/>
              <w:keepLines w:val="0"/>
              <w:widowControl/>
              <w:suppressLineNumbers w:val="0"/>
              <w:spacing w:line="240" w:lineRule="auto"/>
              <w:jc w:val="center"/>
              <w:textAlignment w:val="center"/>
              <w:rPr>
                <w:rFonts w:hint="default" w:ascii="Times New Roman" w:hAnsi="Times New Roman" w:eastAsia="宋体" w:cs="Times New Roman"/>
                <w:i w:val="0"/>
                <w:color w:val="000000"/>
                <w:kern w:val="0"/>
                <w:sz w:val="21"/>
                <w:szCs w:val="21"/>
                <w:u w:val="none"/>
                <w:lang w:val="en-US" w:eastAsia="zh-CN" w:bidi="ar"/>
              </w:rPr>
            </w:pPr>
            <w:r>
              <w:rPr>
                <w:rFonts w:hint="default" w:ascii="Times New Roman" w:hAnsi="Times New Roman" w:eastAsia="宋体" w:cs="Times New Roman"/>
                <w:i w:val="0"/>
                <w:color w:val="000000"/>
                <w:kern w:val="0"/>
                <w:sz w:val="21"/>
                <w:szCs w:val="21"/>
                <w:u w:val="none"/>
                <w:lang w:val="en-US" w:eastAsia="zh-CN" w:bidi="ar"/>
              </w:rPr>
              <w:t>电导率仪</w:t>
            </w:r>
          </w:p>
          <w:p w14:paraId="6C943864">
            <w:pPr>
              <w:widowControl/>
              <w:spacing w:line="240" w:lineRule="auto"/>
              <w:jc w:val="center"/>
              <w:textAlignment w:val="center"/>
              <w:rPr>
                <w:rFonts w:hint="default" w:ascii="Times New Roman" w:hAnsi="Times New Roman" w:eastAsia="宋体" w:cs="Times New Roman"/>
                <w:b w:val="0"/>
                <w:bCs w:val="0"/>
                <w:color w:val="000000"/>
                <w:kern w:val="0"/>
                <w:sz w:val="21"/>
                <w:szCs w:val="21"/>
                <w:lang w:val="en-US" w:eastAsia="zh-CN" w:bidi="ar-SA"/>
              </w:rPr>
            </w:pPr>
            <w:r>
              <w:rPr>
                <w:rFonts w:hint="default" w:ascii="Times New Roman" w:hAnsi="Times New Roman" w:eastAsia="宋体" w:cs="Times New Roman"/>
                <w:i w:val="0"/>
                <w:color w:val="000000"/>
                <w:kern w:val="0"/>
                <w:sz w:val="21"/>
                <w:szCs w:val="21"/>
                <w:u w:val="none"/>
                <w:lang w:val="en-US" w:eastAsia="zh-CN" w:bidi="ar"/>
              </w:rPr>
              <w:t>CON600</w:t>
            </w:r>
          </w:p>
        </w:tc>
        <w:tc>
          <w:tcPr>
            <w:tcW w:w="1263" w:type="dxa"/>
            <w:tcBorders>
              <w:tl2br w:val="nil"/>
              <w:tr2bl w:val="nil"/>
            </w:tcBorders>
            <w:noWrap w:val="0"/>
            <w:vAlign w:val="center"/>
          </w:tcPr>
          <w:p w14:paraId="5457CE0B">
            <w:pPr>
              <w:widowControl/>
              <w:spacing w:line="240" w:lineRule="auto"/>
              <w:jc w:val="center"/>
              <w:textAlignment w:val="center"/>
              <w:rPr>
                <w:rFonts w:hint="default" w:ascii="Times New Roman" w:hAnsi="Times New Roman" w:eastAsia="宋体" w:cs="Times New Roman"/>
                <w:b w:val="0"/>
                <w:bCs w:val="0"/>
                <w:color w:val="000000"/>
                <w:kern w:val="0"/>
                <w:sz w:val="21"/>
                <w:szCs w:val="21"/>
                <w:lang w:val="en-US" w:eastAsia="zh-CN" w:bidi="ar-SA"/>
              </w:rPr>
            </w:pPr>
            <w:r>
              <w:rPr>
                <w:rFonts w:hint="default" w:ascii="Times New Roman" w:hAnsi="Times New Roman" w:eastAsia="宋体" w:cs="Times New Roman"/>
                <w:b w:val="0"/>
                <w:bCs w:val="0"/>
                <w:color w:val="000000"/>
                <w:kern w:val="0"/>
                <w:sz w:val="21"/>
                <w:szCs w:val="21"/>
                <w:highlight w:val="none"/>
                <w:lang w:val="en-US" w:eastAsia="zh-CN"/>
              </w:rPr>
              <w:t>—</w:t>
            </w:r>
          </w:p>
        </w:tc>
      </w:tr>
      <w:tr w14:paraId="36CDB8E9">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652" w:hRule="atLeast"/>
        </w:trPr>
        <w:tc>
          <w:tcPr>
            <w:tcW w:w="668" w:type="dxa"/>
            <w:tcBorders>
              <w:tl2br w:val="nil"/>
              <w:tr2bl w:val="nil"/>
            </w:tcBorders>
            <w:noWrap w:val="0"/>
            <w:vAlign w:val="center"/>
          </w:tcPr>
          <w:p w14:paraId="242D19A6">
            <w:pPr>
              <w:widowControl/>
              <w:jc w:val="center"/>
              <w:textAlignment w:val="center"/>
              <w:rPr>
                <w:rFonts w:hint="default" w:ascii="Times New Roman" w:hAnsi="Times New Roman" w:eastAsia="宋体" w:cs="Times New Roman"/>
                <w:sz w:val="21"/>
                <w:szCs w:val="21"/>
                <w:lang w:val="en-US" w:eastAsia="zh-CN"/>
              </w:rPr>
            </w:pPr>
            <w:r>
              <w:rPr>
                <w:rFonts w:hint="default" w:ascii="Times New Roman" w:hAnsi="Times New Roman" w:cs="Times New Roman"/>
                <w:sz w:val="21"/>
                <w:szCs w:val="21"/>
                <w:lang w:val="en-US" w:eastAsia="zh-CN"/>
              </w:rPr>
              <w:t>6</w:t>
            </w:r>
          </w:p>
        </w:tc>
        <w:tc>
          <w:tcPr>
            <w:tcW w:w="1336" w:type="dxa"/>
            <w:tcBorders>
              <w:tl2br w:val="nil"/>
              <w:tr2bl w:val="nil"/>
            </w:tcBorders>
            <w:noWrap w:val="0"/>
            <w:vAlign w:val="center"/>
          </w:tcPr>
          <w:p w14:paraId="5F5A3D57">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氟化物</w:t>
            </w:r>
          </w:p>
        </w:tc>
        <w:tc>
          <w:tcPr>
            <w:tcW w:w="4568" w:type="dxa"/>
            <w:tcBorders>
              <w:tl2br w:val="nil"/>
              <w:tr2bl w:val="nil"/>
            </w:tcBorders>
            <w:noWrap w:val="0"/>
            <w:vAlign w:val="center"/>
          </w:tcPr>
          <w:p w14:paraId="39EBA596">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 xml:space="preserve">水质 氟化物的测定  </w:t>
            </w:r>
          </w:p>
          <w:p w14:paraId="5AA460AA">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离子选择电极法 GB/T 7484-1987</w:t>
            </w:r>
          </w:p>
        </w:tc>
        <w:tc>
          <w:tcPr>
            <w:tcW w:w="2127" w:type="dxa"/>
            <w:tcBorders>
              <w:tl2br w:val="nil"/>
              <w:tr2bl w:val="nil"/>
            </w:tcBorders>
            <w:noWrap w:val="0"/>
            <w:vAlign w:val="center"/>
          </w:tcPr>
          <w:p w14:paraId="2D6FB3D8">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台式离子计</w:t>
            </w:r>
          </w:p>
          <w:p w14:paraId="5686F333">
            <w:pPr>
              <w:widowControl w:val="0"/>
              <w:spacing w:line="240" w:lineRule="auto"/>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ION930</w:t>
            </w:r>
          </w:p>
        </w:tc>
        <w:tc>
          <w:tcPr>
            <w:tcW w:w="1263" w:type="dxa"/>
            <w:tcBorders>
              <w:tl2br w:val="nil"/>
              <w:tr2bl w:val="nil"/>
            </w:tcBorders>
            <w:noWrap w:val="0"/>
            <w:vAlign w:val="center"/>
          </w:tcPr>
          <w:p w14:paraId="57F2B7C5">
            <w:pPr>
              <w:widowControl w:val="0"/>
              <w:spacing w:line="240" w:lineRule="auto"/>
              <w:jc w:val="center"/>
              <w:rPr>
                <w:rFonts w:hint="default" w:ascii="Times New Roman" w:hAnsi="Times New Roman" w:eastAsia="宋体" w:cs="Times New Roman"/>
                <w:b w:val="0"/>
                <w:bCs w:val="0"/>
                <w:color w:val="auto"/>
                <w:kern w:val="0"/>
                <w:sz w:val="21"/>
                <w:szCs w:val="21"/>
                <w:lang w:val="en-US" w:eastAsia="zh-CN" w:bidi="ar-SA"/>
              </w:rPr>
            </w:pPr>
            <w:r>
              <w:rPr>
                <w:rFonts w:hint="default" w:ascii="Times New Roman" w:hAnsi="Times New Roman" w:cs="Times New Roman"/>
                <w:color w:val="auto"/>
                <w:sz w:val="21"/>
                <w:szCs w:val="21"/>
                <w:lang w:val="en-US" w:eastAsia="zh-CN"/>
              </w:rPr>
              <w:t>0.05</w:t>
            </w:r>
            <w:r>
              <w:rPr>
                <w:rFonts w:hint="default" w:ascii="Times New Roman" w:hAnsi="Times New Roman" w:eastAsia="宋体" w:cs="Times New Roman"/>
                <w:color w:val="auto"/>
                <w:sz w:val="21"/>
                <w:szCs w:val="21"/>
                <w:lang w:val="en-US" w:eastAsia="zh-CN"/>
              </w:rPr>
              <w:t>mg/L</w:t>
            </w:r>
          </w:p>
        </w:tc>
      </w:tr>
      <w:tr w14:paraId="1546FA73">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652" w:hRule="atLeast"/>
        </w:trPr>
        <w:tc>
          <w:tcPr>
            <w:tcW w:w="668" w:type="dxa"/>
            <w:tcBorders>
              <w:tl2br w:val="nil"/>
              <w:tr2bl w:val="nil"/>
            </w:tcBorders>
            <w:noWrap w:val="0"/>
            <w:vAlign w:val="center"/>
          </w:tcPr>
          <w:p w14:paraId="59A3C37B">
            <w:pPr>
              <w:widowControl/>
              <w:jc w:val="center"/>
              <w:textAlignment w:val="center"/>
              <w:rPr>
                <w:rFonts w:hint="default" w:ascii="Times New Roman" w:hAnsi="Times New Roman" w:eastAsia="宋体" w:cs="Times New Roman"/>
                <w:sz w:val="21"/>
                <w:szCs w:val="21"/>
                <w:lang w:val="en-US" w:eastAsia="zh-CN"/>
              </w:rPr>
            </w:pPr>
            <w:r>
              <w:rPr>
                <w:rFonts w:hint="default" w:ascii="Times New Roman" w:hAnsi="Times New Roman" w:cs="Times New Roman"/>
                <w:sz w:val="21"/>
                <w:szCs w:val="21"/>
                <w:lang w:val="en-US" w:eastAsia="zh-CN"/>
              </w:rPr>
              <w:t>7</w:t>
            </w:r>
          </w:p>
        </w:tc>
        <w:tc>
          <w:tcPr>
            <w:tcW w:w="1336" w:type="dxa"/>
            <w:tcBorders>
              <w:tl2br w:val="nil"/>
              <w:tr2bl w:val="nil"/>
            </w:tcBorders>
            <w:noWrap w:val="0"/>
            <w:vAlign w:val="center"/>
          </w:tcPr>
          <w:p w14:paraId="220CB16C">
            <w:pPr>
              <w:keepNext w:val="0"/>
              <w:keepLines w:val="0"/>
              <w:widowControl/>
              <w:suppressLineNumbers w:val="0"/>
              <w:jc w:val="center"/>
              <w:textAlignment w:val="center"/>
              <w:rPr>
                <w:rFonts w:hint="default" w:ascii="Times New Roman" w:hAnsi="Times New Roman" w:eastAsia="宋体" w:cs="Times New Roman"/>
                <w:color w:val="000000"/>
                <w:kern w:val="2"/>
                <w:sz w:val="21"/>
                <w:szCs w:val="21"/>
                <w:highlight w:val="none"/>
                <w:lang w:val="en-US" w:eastAsia="zh-CN" w:bidi="ar-SA"/>
              </w:rPr>
            </w:pPr>
            <w:r>
              <w:rPr>
                <w:rFonts w:hint="default" w:ascii="Times New Roman" w:hAnsi="Times New Roman" w:eastAsia="宋体" w:cs="Times New Roman"/>
                <w:i w:val="0"/>
                <w:iCs w:val="0"/>
                <w:color w:val="000000"/>
                <w:kern w:val="0"/>
                <w:sz w:val="21"/>
                <w:szCs w:val="21"/>
                <w:highlight w:val="none"/>
                <w:u w:val="none"/>
                <w:lang w:val="en-US" w:eastAsia="zh-CN" w:bidi="ar"/>
              </w:rPr>
              <w:t>化学需氧量</w:t>
            </w:r>
          </w:p>
        </w:tc>
        <w:tc>
          <w:tcPr>
            <w:tcW w:w="4568" w:type="dxa"/>
            <w:tcBorders>
              <w:tl2br w:val="nil"/>
              <w:tr2bl w:val="nil"/>
            </w:tcBorders>
            <w:noWrap w:val="0"/>
            <w:vAlign w:val="center"/>
          </w:tcPr>
          <w:p w14:paraId="54650618">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水质 化学需氧量的测定</w:t>
            </w:r>
          </w:p>
          <w:p w14:paraId="4ED5110F">
            <w:pPr>
              <w:keepNext w:val="0"/>
              <w:keepLines w:val="0"/>
              <w:widowControl/>
              <w:suppressLineNumbers w:val="0"/>
              <w:jc w:val="center"/>
              <w:textAlignment w:val="center"/>
              <w:rPr>
                <w:rFonts w:hint="default" w:ascii="Times New Roman" w:hAnsi="Times New Roman" w:eastAsia="宋体" w:cs="Times New Roman"/>
                <w:b w:val="0"/>
                <w:bCs w:val="0"/>
                <w:color w:val="000000"/>
                <w:kern w:val="0"/>
                <w:sz w:val="21"/>
                <w:szCs w:val="21"/>
                <w:highlight w:val="none"/>
                <w:lang w:val="en-US" w:eastAsia="zh-CN" w:bidi="ar-SA"/>
              </w:rPr>
            </w:pPr>
            <w:r>
              <w:rPr>
                <w:rFonts w:hint="default" w:ascii="Times New Roman" w:hAnsi="Times New Roman" w:eastAsia="宋体" w:cs="Times New Roman"/>
                <w:i w:val="0"/>
                <w:iCs w:val="0"/>
                <w:color w:val="000000"/>
                <w:kern w:val="0"/>
                <w:sz w:val="21"/>
                <w:szCs w:val="21"/>
                <w:highlight w:val="none"/>
                <w:u w:val="none"/>
                <w:lang w:val="en-US" w:eastAsia="zh-CN" w:bidi="ar"/>
              </w:rPr>
              <w:t>重铬酸盐法HJ 828-2017</w:t>
            </w:r>
          </w:p>
        </w:tc>
        <w:tc>
          <w:tcPr>
            <w:tcW w:w="2127" w:type="dxa"/>
            <w:tcBorders>
              <w:tl2br w:val="nil"/>
              <w:tr2bl w:val="nil"/>
            </w:tcBorders>
            <w:noWrap w:val="0"/>
            <w:vAlign w:val="center"/>
          </w:tcPr>
          <w:p w14:paraId="2080DCE0">
            <w:pPr>
              <w:keepNext w:val="0"/>
              <w:keepLines w:val="0"/>
              <w:widowControl/>
              <w:suppressLineNumbers w:val="0"/>
              <w:jc w:val="center"/>
              <w:textAlignment w:val="center"/>
              <w:rPr>
                <w:rFonts w:hint="default" w:ascii="Times New Roman" w:hAnsi="Times New Roman" w:eastAsia="宋体" w:cs="Times New Roman"/>
                <w:b w:val="0"/>
                <w:bCs w:val="0"/>
                <w:color w:val="000000"/>
                <w:kern w:val="0"/>
                <w:sz w:val="21"/>
                <w:szCs w:val="21"/>
                <w:highlight w:val="none"/>
                <w:lang w:val="en-US" w:eastAsia="zh-CN" w:bidi="ar-SA"/>
              </w:rPr>
            </w:pPr>
            <w:r>
              <w:rPr>
                <w:rFonts w:hint="default" w:ascii="Times New Roman" w:hAnsi="Times New Roman" w:eastAsia="宋体" w:cs="Times New Roman"/>
                <w:i w:val="0"/>
                <w:iCs w:val="0"/>
                <w:color w:val="000000"/>
                <w:kern w:val="0"/>
                <w:sz w:val="21"/>
                <w:szCs w:val="21"/>
                <w:highlight w:val="none"/>
                <w:u w:val="none"/>
                <w:lang w:val="en-US" w:eastAsia="zh-CN" w:bidi="ar"/>
              </w:rPr>
              <w:t>滴定管</w:t>
            </w:r>
          </w:p>
        </w:tc>
        <w:tc>
          <w:tcPr>
            <w:tcW w:w="1263" w:type="dxa"/>
            <w:tcBorders>
              <w:tl2br w:val="nil"/>
              <w:tr2bl w:val="nil"/>
            </w:tcBorders>
            <w:noWrap w:val="0"/>
            <w:vAlign w:val="center"/>
          </w:tcPr>
          <w:p w14:paraId="2C1ED9CB">
            <w:pPr>
              <w:keepNext w:val="0"/>
              <w:keepLines w:val="0"/>
              <w:widowControl/>
              <w:suppressLineNumbers w:val="0"/>
              <w:jc w:val="center"/>
              <w:textAlignment w:val="center"/>
              <w:rPr>
                <w:rFonts w:hint="default" w:ascii="Times New Roman" w:hAnsi="Times New Roman" w:eastAsia="宋体" w:cs="Times New Roman"/>
                <w:b w:val="0"/>
                <w:bCs w:val="0"/>
                <w:color w:val="000000"/>
                <w:kern w:val="0"/>
                <w:sz w:val="21"/>
                <w:szCs w:val="21"/>
                <w:highlight w:val="none"/>
                <w:lang w:val="en-US" w:eastAsia="zh-CN" w:bidi="ar-SA"/>
              </w:rPr>
            </w:pPr>
            <w:r>
              <w:rPr>
                <w:rFonts w:hint="default" w:ascii="Times New Roman" w:hAnsi="Times New Roman" w:eastAsia="宋体" w:cs="Times New Roman"/>
                <w:i w:val="0"/>
                <w:iCs w:val="0"/>
                <w:color w:val="000000"/>
                <w:kern w:val="0"/>
                <w:sz w:val="21"/>
                <w:szCs w:val="21"/>
                <w:highlight w:val="none"/>
                <w:u w:val="none"/>
                <w:lang w:val="en-US" w:eastAsia="zh-CN" w:bidi="ar"/>
              </w:rPr>
              <w:t>4mg/L</w:t>
            </w:r>
          </w:p>
        </w:tc>
      </w:tr>
      <w:tr w14:paraId="37EF0096">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652" w:hRule="atLeast"/>
        </w:trPr>
        <w:tc>
          <w:tcPr>
            <w:tcW w:w="668" w:type="dxa"/>
            <w:tcBorders>
              <w:tl2br w:val="nil"/>
              <w:tr2bl w:val="nil"/>
            </w:tcBorders>
            <w:noWrap w:val="0"/>
            <w:vAlign w:val="center"/>
          </w:tcPr>
          <w:p w14:paraId="68E89D4C">
            <w:pPr>
              <w:widowControl/>
              <w:jc w:val="center"/>
              <w:textAlignment w:val="center"/>
              <w:rPr>
                <w:rFonts w:hint="default" w:ascii="Times New Roman" w:hAnsi="Times New Roman" w:eastAsia="宋体" w:cs="Times New Roman"/>
                <w:sz w:val="21"/>
                <w:szCs w:val="21"/>
                <w:lang w:val="en-US" w:eastAsia="zh-CN"/>
              </w:rPr>
            </w:pPr>
            <w:r>
              <w:rPr>
                <w:rFonts w:hint="default" w:ascii="Times New Roman" w:hAnsi="Times New Roman" w:cs="Times New Roman"/>
                <w:sz w:val="21"/>
                <w:szCs w:val="21"/>
                <w:lang w:val="en-US" w:eastAsia="zh-CN"/>
              </w:rPr>
              <w:t>8</w:t>
            </w:r>
          </w:p>
        </w:tc>
        <w:tc>
          <w:tcPr>
            <w:tcW w:w="1336" w:type="dxa"/>
            <w:tcBorders>
              <w:tl2br w:val="nil"/>
              <w:tr2bl w:val="nil"/>
            </w:tcBorders>
            <w:noWrap w:val="0"/>
            <w:vAlign w:val="center"/>
          </w:tcPr>
          <w:p w14:paraId="56382F4E">
            <w:pPr>
              <w:keepNext w:val="0"/>
              <w:keepLines w:val="0"/>
              <w:widowControl/>
              <w:suppressLineNumbers w:val="0"/>
              <w:jc w:val="center"/>
              <w:textAlignment w:val="center"/>
              <w:rPr>
                <w:rFonts w:hint="default" w:ascii="Times New Roman" w:hAnsi="Times New Roman" w:eastAsia="宋体" w:cs="Times New Roman"/>
                <w:color w:val="000000"/>
                <w:kern w:val="2"/>
                <w:sz w:val="21"/>
                <w:szCs w:val="21"/>
                <w:highlight w:val="none"/>
                <w:lang w:val="en-US" w:eastAsia="zh-CN" w:bidi="ar-SA"/>
              </w:rPr>
            </w:pPr>
            <w:r>
              <w:rPr>
                <w:rFonts w:hint="default" w:ascii="Times New Roman" w:hAnsi="Times New Roman" w:eastAsia="宋体" w:cs="Times New Roman"/>
                <w:i w:val="0"/>
                <w:iCs w:val="0"/>
                <w:color w:val="000000"/>
                <w:kern w:val="0"/>
                <w:sz w:val="21"/>
                <w:szCs w:val="21"/>
                <w:highlight w:val="none"/>
                <w:u w:val="none"/>
                <w:lang w:val="en-US" w:eastAsia="zh-CN" w:bidi="ar"/>
              </w:rPr>
              <w:t>总磷</w:t>
            </w:r>
          </w:p>
        </w:tc>
        <w:tc>
          <w:tcPr>
            <w:tcW w:w="4568" w:type="dxa"/>
            <w:tcBorders>
              <w:tl2br w:val="nil"/>
              <w:tr2bl w:val="nil"/>
            </w:tcBorders>
            <w:noWrap w:val="0"/>
            <w:vAlign w:val="center"/>
          </w:tcPr>
          <w:p w14:paraId="6EF83070">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水质 总磷的测定</w:t>
            </w:r>
          </w:p>
          <w:p w14:paraId="0DD3915A">
            <w:pPr>
              <w:keepNext w:val="0"/>
              <w:keepLines w:val="0"/>
              <w:widowControl/>
              <w:suppressLineNumbers w:val="0"/>
              <w:jc w:val="center"/>
              <w:textAlignment w:val="center"/>
              <w:rPr>
                <w:rFonts w:hint="default" w:ascii="Times New Roman" w:hAnsi="Times New Roman" w:eastAsia="宋体" w:cs="Times New Roman"/>
                <w:b w:val="0"/>
                <w:bCs w:val="0"/>
                <w:color w:val="000000"/>
                <w:kern w:val="0"/>
                <w:sz w:val="21"/>
                <w:szCs w:val="21"/>
                <w:highlight w:val="none"/>
                <w:lang w:val="en-US" w:eastAsia="zh-CN" w:bidi="ar-SA"/>
              </w:rPr>
            </w:pPr>
            <w:r>
              <w:rPr>
                <w:rFonts w:hint="default" w:ascii="Times New Roman" w:hAnsi="Times New Roman" w:eastAsia="宋体" w:cs="Times New Roman"/>
                <w:i w:val="0"/>
                <w:iCs w:val="0"/>
                <w:color w:val="000000"/>
                <w:kern w:val="0"/>
                <w:sz w:val="21"/>
                <w:szCs w:val="21"/>
                <w:highlight w:val="none"/>
                <w:u w:val="none"/>
                <w:lang w:val="en-US" w:eastAsia="zh-CN" w:bidi="ar"/>
              </w:rPr>
              <w:t>钼酸铵分光光度法GB/T 11893-1989</w:t>
            </w:r>
          </w:p>
        </w:tc>
        <w:tc>
          <w:tcPr>
            <w:tcW w:w="2127" w:type="dxa"/>
            <w:tcBorders>
              <w:tl2br w:val="nil"/>
              <w:tr2bl w:val="nil"/>
            </w:tcBorders>
            <w:noWrap w:val="0"/>
            <w:vAlign w:val="center"/>
          </w:tcPr>
          <w:p w14:paraId="4ECF63A3">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紫外可见分光光度计</w:t>
            </w:r>
          </w:p>
          <w:p w14:paraId="3E2D9CE4">
            <w:pPr>
              <w:widowControl/>
              <w:spacing w:line="240" w:lineRule="auto"/>
              <w:jc w:val="center"/>
              <w:textAlignment w:val="center"/>
              <w:rPr>
                <w:rFonts w:hint="default" w:ascii="Times New Roman" w:hAnsi="Times New Roman" w:eastAsia="宋体" w:cs="Times New Roman"/>
                <w:b w:val="0"/>
                <w:bCs w:val="0"/>
                <w:color w:val="000000"/>
                <w:kern w:val="0"/>
                <w:sz w:val="21"/>
                <w:szCs w:val="21"/>
                <w:highlight w:val="none"/>
                <w:lang w:val="en-US" w:eastAsia="zh-CN" w:bidi="ar-SA"/>
              </w:rPr>
            </w:pPr>
            <w:r>
              <w:rPr>
                <w:rFonts w:hint="default" w:ascii="Times New Roman" w:hAnsi="Times New Roman" w:eastAsia="宋体" w:cs="Times New Roman"/>
                <w:i w:val="0"/>
                <w:iCs w:val="0"/>
                <w:color w:val="000000"/>
                <w:kern w:val="0"/>
                <w:sz w:val="21"/>
                <w:szCs w:val="21"/>
                <w:highlight w:val="none"/>
                <w:u w:val="none"/>
                <w:lang w:val="en-US" w:eastAsia="zh-CN" w:bidi="ar"/>
              </w:rPr>
              <w:t>T6新世纪</w:t>
            </w:r>
          </w:p>
        </w:tc>
        <w:tc>
          <w:tcPr>
            <w:tcW w:w="1263" w:type="dxa"/>
            <w:tcBorders>
              <w:tl2br w:val="nil"/>
              <w:tr2bl w:val="nil"/>
            </w:tcBorders>
            <w:noWrap w:val="0"/>
            <w:vAlign w:val="center"/>
          </w:tcPr>
          <w:p w14:paraId="7A43FE92">
            <w:pPr>
              <w:widowControl/>
              <w:spacing w:line="240" w:lineRule="auto"/>
              <w:jc w:val="center"/>
              <w:textAlignment w:val="center"/>
              <w:rPr>
                <w:rFonts w:hint="default" w:ascii="Times New Roman" w:hAnsi="Times New Roman" w:eastAsia="宋体" w:cs="Times New Roman"/>
                <w:b w:val="0"/>
                <w:bCs w:val="0"/>
                <w:color w:val="000000"/>
                <w:kern w:val="0"/>
                <w:sz w:val="21"/>
                <w:szCs w:val="21"/>
                <w:highlight w:val="none"/>
                <w:lang w:val="en-US" w:eastAsia="zh-CN" w:bidi="ar-SA"/>
              </w:rPr>
            </w:pPr>
            <w:r>
              <w:rPr>
                <w:rFonts w:hint="default" w:ascii="Times New Roman" w:hAnsi="Times New Roman" w:eastAsia="宋体" w:cs="Times New Roman"/>
                <w:b w:val="0"/>
                <w:bCs w:val="0"/>
                <w:color w:val="000000"/>
                <w:kern w:val="0"/>
                <w:sz w:val="21"/>
                <w:szCs w:val="21"/>
                <w:highlight w:val="none"/>
                <w:lang w:val="en-US" w:eastAsia="zh-CN" w:bidi="ar-SA"/>
              </w:rPr>
              <w:t>0.01mg/L</w:t>
            </w:r>
          </w:p>
        </w:tc>
      </w:tr>
      <w:tr w14:paraId="2262F6BA">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652" w:hRule="atLeast"/>
        </w:trPr>
        <w:tc>
          <w:tcPr>
            <w:tcW w:w="668" w:type="dxa"/>
            <w:tcBorders>
              <w:tl2br w:val="nil"/>
              <w:tr2bl w:val="nil"/>
            </w:tcBorders>
            <w:noWrap w:val="0"/>
            <w:vAlign w:val="center"/>
          </w:tcPr>
          <w:p w14:paraId="410C9474">
            <w:pPr>
              <w:widowControl/>
              <w:jc w:val="center"/>
              <w:textAlignment w:val="center"/>
              <w:rPr>
                <w:rFonts w:hint="default" w:ascii="Times New Roman" w:hAnsi="Times New Roman" w:eastAsia="宋体" w:cs="Times New Roman"/>
                <w:sz w:val="21"/>
                <w:szCs w:val="21"/>
                <w:lang w:val="en-US" w:eastAsia="zh-CN"/>
              </w:rPr>
            </w:pPr>
            <w:r>
              <w:rPr>
                <w:rFonts w:hint="default" w:ascii="Times New Roman" w:hAnsi="Times New Roman" w:cs="Times New Roman"/>
                <w:sz w:val="21"/>
                <w:szCs w:val="21"/>
                <w:lang w:val="en-US" w:eastAsia="zh-CN"/>
              </w:rPr>
              <w:t>9</w:t>
            </w:r>
          </w:p>
        </w:tc>
        <w:tc>
          <w:tcPr>
            <w:tcW w:w="1336" w:type="dxa"/>
            <w:tcBorders>
              <w:tl2br w:val="nil"/>
              <w:tr2bl w:val="nil"/>
            </w:tcBorders>
            <w:noWrap w:val="0"/>
            <w:vAlign w:val="center"/>
          </w:tcPr>
          <w:p w14:paraId="7F33EAFA">
            <w:pPr>
              <w:keepNext w:val="0"/>
              <w:keepLines w:val="0"/>
              <w:widowControl/>
              <w:suppressLineNumbers w:val="0"/>
              <w:jc w:val="center"/>
              <w:textAlignment w:val="center"/>
              <w:rPr>
                <w:rFonts w:hint="default" w:ascii="Times New Roman" w:hAnsi="Times New Roman" w:eastAsia="宋体" w:cs="Times New Roman"/>
                <w:b w:val="0"/>
                <w:bCs w:val="0"/>
                <w:color w:val="000000"/>
                <w:kern w:val="2"/>
                <w:sz w:val="21"/>
                <w:szCs w:val="21"/>
                <w:lang w:val="en-US" w:eastAsia="zh-CN" w:bidi="ar-SA"/>
              </w:rPr>
            </w:pPr>
            <w:r>
              <w:rPr>
                <w:rFonts w:hint="default" w:ascii="Times New Roman" w:hAnsi="Times New Roman" w:eastAsia="宋体" w:cs="Times New Roman"/>
                <w:b w:val="0"/>
                <w:bCs w:val="0"/>
                <w:i w:val="0"/>
                <w:iCs w:val="0"/>
                <w:color w:val="000000"/>
                <w:kern w:val="0"/>
                <w:sz w:val="21"/>
                <w:szCs w:val="21"/>
                <w:u w:val="none"/>
                <w:lang w:val="en-US" w:eastAsia="zh-CN" w:bidi="ar"/>
              </w:rPr>
              <w:t>总氮</w:t>
            </w:r>
          </w:p>
        </w:tc>
        <w:tc>
          <w:tcPr>
            <w:tcW w:w="4568" w:type="dxa"/>
            <w:tcBorders>
              <w:tl2br w:val="nil"/>
              <w:tr2bl w:val="nil"/>
            </w:tcBorders>
            <w:noWrap w:val="0"/>
            <w:vAlign w:val="center"/>
          </w:tcPr>
          <w:p w14:paraId="4495D088">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kern w:val="0"/>
                <w:sz w:val="21"/>
                <w:szCs w:val="21"/>
                <w:u w:val="none"/>
                <w:lang w:val="en-US" w:eastAsia="zh-CN" w:bidi="ar"/>
              </w:rPr>
            </w:pPr>
            <w:r>
              <w:rPr>
                <w:rFonts w:hint="default" w:ascii="Times New Roman" w:hAnsi="Times New Roman" w:eastAsia="宋体" w:cs="Times New Roman"/>
                <w:b w:val="0"/>
                <w:bCs w:val="0"/>
                <w:i w:val="0"/>
                <w:iCs w:val="0"/>
                <w:color w:val="000000"/>
                <w:kern w:val="0"/>
                <w:sz w:val="21"/>
                <w:szCs w:val="21"/>
                <w:u w:val="none"/>
                <w:lang w:val="en-US" w:eastAsia="zh-CN" w:bidi="ar"/>
              </w:rPr>
              <w:t xml:space="preserve">水质 总氮的测定 </w:t>
            </w:r>
          </w:p>
          <w:p w14:paraId="447DB1FC">
            <w:pPr>
              <w:keepNext w:val="0"/>
              <w:keepLines w:val="0"/>
              <w:widowControl/>
              <w:suppressLineNumbers w:val="0"/>
              <w:jc w:val="center"/>
              <w:textAlignment w:val="center"/>
              <w:rPr>
                <w:rFonts w:hint="default" w:ascii="Times New Roman" w:hAnsi="Times New Roman" w:eastAsia="宋体" w:cs="Times New Roman"/>
                <w:b w:val="0"/>
                <w:bCs w:val="0"/>
                <w:color w:val="000000"/>
                <w:kern w:val="0"/>
                <w:sz w:val="21"/>
                <w:szCs w:val="21"/>
                <w:lang w:val="en-US" w:eastAsia="zh-CN" w:bidi="ar-SA"/>
              </w:rPr>
            </w:pPr>
            <w:r>
              <w:rPr>
                <w:rFonts w:hint="default" w:ascii="Times New Roman" w:hAnsi="Times New Roman" w:eastAsia="宋体" w:cs="Times New Roman"/>
                <w:b w:val="0"/>
                <w:bCs w:val="0"/>
                <w:i w:val="0"/>
                <w:iCs w:val="0"/>
                <w:color w:val="000000"/>
                <w:kern w:val="0"/>
                <w:sz w:val="21"/>
                <w:szCs w:val="21"/>
                <w:u w:val="none"/>
                <w:lang w:val="en-US" w:eastAsia="zh-CN" w:bidi="ar"/>
              </w:rPr>
              <w:t>碱性过硫酸钾消解紫外分光光度法HJ 636-2012</w:t>
            </w:r>
          </w:p>
        </w:tc>
        <w:tc>
          <w:tcPr>
            <w:tcW w:w="2127" w:type="dxa"/>
            <w:tcBorders>
              <w:tl2br w:val="nil"/>
              <w:tr2bl w:val="nil"/>
            </w:tcBorders>
            <w:noWrap w:val="0"/>
            <w:vAlign w:val="center"/>
          </w:tcPr>
          <w:p w14:paraId="72B87414">
            <w:pPr>
              <w:widowControl/>
              <w:spacing w:line="240" w:lineRule="auto"/>
              <w:jc w:val="center"/>
              <w:textAlignment w:val="center"/>
              <w:rPr>
                <w:rFonts w:hint="default" w:ascii="Times New Roman" w:hAnsi="Times New Roman" w:eastAsia="宋体" w:cs="Times New Roman"/>
                <w:b w:val="0"/>
                <w:bCs w:val="0"/>
                <w:i w:val="0"/>
                <w:iCs w:val="0"/>
                <w:color w:val="000000"/>
                <w:kern w:val="0"/>
                <w:sz w:val="21"/>
                <w:szCs w:val="21"/>
                <w:u w:val="none"/>
                <w:lang w:val="en-US" w:eastAsia="zh-CN" w:bidi="ar"/>
              </w:rPr>
            </w:pPr>
            <w:r>
              <w:rPr>
                <w:rFonts w:hint="default" w:ascii="Times New Roman" w:hAnsi="Times New Roman" w:eastAsia="宋体" w:cs="Times New Roman"/>
                <w:b w:val="0"/>
                <w:bCs w:val="0"/>
                <w:i w:val="0"/>
                <w:iCs w:val="0"/>
                <w:color w:val="000000"/>
                <w:kern w:val="0"/>
                <w:sz w:val="21"/>
                <w:szCs w:val="21"/>
                <w:u w:val="none"/>
                <w:lang w:val="en-US" w:eastAsia="zh-CN" w:bidi="ar"/>
              </w:rPr>
              <w:t>紫外可见分光光度计</w:t>
            </w:r>
          </w:p>
          <w:p w14:paraId="172F35FD">
            <w:pPr>
              <w:widowControl/>
              <w:spacing w:line="240" w:lineRule="auto"/>
              <w:jc w:val="center"/>
              <w:textAlignment w:val="center"/>
              <w:rPr>
                <w:rFonts w:hint="default" w:ascii="Times New Roman" w:hAnsi="Times New Roman" w:eastAsia="宋体" w:cs="Times New Roman"/>
                <w:b w:val="0"/>
                <w:bCs w:val="0"/>
                <w:color w:val="000000"/>
                <w:kern w:val="0"/>
                <w:sz w:val="21"/>
                <w:szCs w:val="21"/>
                <w:lang w:val="en-US" w:eastAsia="zh-CN" w:bidi="ar-SA"/>
              </w:rPr>
            </w:pPr>
            <w:r>
              <w:rPr>
                <w:rFonts w:hint="default" w:ascii="Times New Roman" w:hAnsi="Times New Roman" w:eastAsia="宋体" w:cs="Times New Roman"/>
                <w:b w:val="0"/>
                <w:bCs w:val="0"/>
                <w:i w:val="0"/>
                <w:iCs w:val="0"/>
                <w:color w:val="000000"/>
                <w:kern w:val="0"/>
                <w:sz w:val="21"/>
                <w:szCs w:val="21"/>
                <w:u w:val="none"/>
                <w:lang w:val="en-US" w:eastAsia="zh-CN" w:bidi="ar"/>
              </w:rPr>
              <w:t>T6新世纪</w:t>
            </w:r>
          </w:p>
        </w:tc>
        <w:tc>
          <w:tcPr>
            <w:tcW w:w="1263" w:type="dxa"/>
            <w:tcBorders>
              <w:tl2br w:val="nil"/>
              <w:tr2bl w:val="nil"/>
            </w:tcBorders>
            <w:noWrap w:val="0"/>
            <w:vAlign w:val="center"/>
          </w:tcPr>
          <w:p w14:paraId="0080F09C">
            <w:pPr>
              <w:widowControl/>
              <w:spacing w:line="240" w:lineRule="auto"/>
              <w:jc w:val="center"/>
              <w:textAlignment w:val="center"/>
              <w:rPr>
                <w:rFonts w:hint="default" w:ascii="Times New Roman" w:hAnsi="Times New Roman" w:eastAsia="宋体" w:cs="Times New Roman"/>
                <w:b w:val="0"/>
                <w:bCs w:val="0"/>
                <w:color w:val="000000"/>
                <w:kern w:val="0"/>
                <w:sz w:val="21"/>
                <w:szCs w:val="21"/>
                <w:lang w:val="en-US" w:eastAsia="zh-CN" w:bidi="ar-SA"/>
              </w:rPr>
            </w:pPr>
            <w:r>
              <w:rPr>
                <w:rFonts w:hint="default" w:ascii="Times New Roman" w:hAnsi="Times New Roman" w:eastAsia="宋体" w:cs="Times New Roman"/>
                <w:b w:val="0"/>
                <w:bCs w:val="0"/>
                <w:color w:val="000000"/>
                <w:kern w:val="0"/>
                <w:sz w:val="21"/>
                <w:szCs w:val="21"/>
                <w:lang w:val="en-US" w:eastAsia="zh-CN" w:bidi="ar-SA"/>
              </w:rPr>
              <w:t>0.05mg/L</w:t>
            </w:r>
          </w:p>
        </w:tc>
      </w:tr>
      <w:tr w14:paraId="2A4BEF2A">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652" w:hRule="atLeast"/>
        </w:trPr>
        <w:tc>
          <w:tcPr>
            <w:tcW w:w="668" w:type="dxa"/>
            <w:tcBorders>
              <w:tl2br w:val="nil"/>
              <w:tr2bl w:val="nil"/>
            </w:tcBorders>
            <w:noWrap w:val="0"/>
            <w:vAlign w:val="center"/>
          </w:tcPr>
          <w:p w14:paraId="3EF9F167">
            <w:pPr>
              <w:widowControl/>
              <w:jc w:val="center"/>
              <w:textAlignment w:val="center"/>
              <w:rPr>
                <w:rFonts w:hint="default" w:ascii="Times New Roman" w:hAnsi="Times New Roman" w:eastAsia="宋体" w:cs="Times New Roman"/>
                <w:sz w:val="21"/>
                <w:szCs w:val="21"/>
                <w:lang w:val="en-US" w:eastAsia="zh-CN"/>
              </w:rPr>
            </w:pPr>
            <w:r>
              <w:rPr>
                <w:rFonts w:hint="default" w:ascii="Times New Roman" w:hAnsi="Times New Roman" w:cs="Times New Roman"/>
                <w:sz w:val="21"/>
                <w:szCs w:val="21"/>
                <w:lang w:val="en-US" w:eastAsia="zh-CN"/>
              </w:rPr>
              <w:t>10</w:t>
            </w:r>
          </w:p>
        </w:tc>
        <w:tc>
          <w:tcPr>
            <w:tcW w:w="1336" w:type="dxa"/>
            <w:tcBorders>
              <w:tl2br w:val="nil"/>
              <w:tr2bl w:val="nil"/>
            </w:tcBorders>
            <w:noWrap w:val="0"/>
            <w:vAlign w:val="center"/>
          </w:tcPr>
          <w:p w14:paraId="2652A662">
            <w:pPr>
              <w:keepNext w:val="0"/>
              <w:keepLines w:val="0"/>
              <w:widowControl/>
              <w:suppressLineNumbers w:val="0"/>
              <w:jc w:val="center"/>
              <w:textAlignment w:val="center"/>
              <w:rPr>
                <w:rFonts w:hint="default" w:ascii="Times New Roman" w:hAnsi="Times New Roman" w:eastAsia="宋体" w:cs="Times New Roman"/>
                <w:color w:val="000000"/>
                <w:kern w:val="2"/>
                <w:sz w:val="21"/>
                <w:szCs w:val="21"/>
                <w:highlight w:val="none"/>
                <w:lang w:val="en-US" w:eastAsia="zh-CN" w:bidi="ar-SA"/>
              </w:rPr>
            </w:pPr>
            <w:r>
              <w:rPr>
                <w:rFonts w:hint="default" w:ascii="Times New Roman" w:hAnsi="Times New Roman" w:eastAsia="宋体" w:cs="Times New Roman"/>
                <w:i w:val="0"/>
                <w:iCs w:val="0"/>
                <w:color w:val="000000"/>
                <w:kern w:val="0"/>
                <w:sz w:val="21"/>
                <w:szCs w:val="21"/>
                <w:highlight w:val="none"/>
                <w:u w:val="none"/>
                <w:lang w:val="en-US" w:eastAsia="zh-CN" w:bidi="ar"/>
              </w:rPr>
              <w:t>氨氮</w:t>
            </w:r>
          </w:p>
        </w:tc>
        <w:tc>
          <w:tcPr>
            <w:tcW w:w="4568" w:type="dxa"/>
            <w:tcBorders>
              <w:tl2br w:val="nil"/>
              <w:tr2bl w:val="nil"/>
            </w:tcBorders>
            <w:noWrap w:val="0"/>
            <w:vAlign w:val="center"/>
          </w:tcPr>
          <w:p w14:paraId="79D9DF99">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水质 氨氮的测定</w:t>
            </w:r>
          </w:p>
          <w:p w14:paraId="275CAC2F">
            <w:pPr>
              <w:keepNext w:val="0"/>
              <w:keepLines w:val="0"/>
              <w:widowControl/>
              <w:suppressLineNumbers w:val="0"/>
              <w:jc w:val="center"/>
              <w:textAlignment w:val="center"/>
              <w:rPr>
                <w:rFonts w:hint="default" w:ascii="Times New Roman" w:hAnsi="Times New Roman" w:eastAsia="宋体" w:cs="Times New Roman"/>
                <w:b w:val="0"/>
                <w:bCs w:val="0"/>
                <w:color w:val="000000"/>
                <w:kern w:val="0"/>
                <w:sz w:val="21"/>
                <w:szCs w:val="21"/>
                <w:highlight w:val="none"/>
                <w:lang w:val="en-US" w:eastAsia="zh-CN" w:bidi="ar-SA"/>
              </w:rPr>
            </w:pPr>
            <w:r>
              <w:rPr>
                <w:rFonts w:hint="default" w:ascii="Times New Roman" w:hAnsi="Times New Roman" w:eastAsia="宋体" w:cs="Times New Roman"/>
                <w:i w:val="0"/>
                <w:iCs w:val="0"/>
                <w:color w:val="000000"/>
                <w:kern w:val="0"/>
                <w:sz w:val="21"/>
                <w:szCs w:val="21"/>
                <w:highlight w:val="none"/>
                <w:u w:val="none"/>
                <w:lang w:val="en-US" w:eastAsia="zh-CN" w:bidi="ar"/>
              </w:rPr>
              <w:t>纳氏试剂分光光度法 HJ 535-2009</w:t>
            </w:r>
          </w:p>
        </w:tc>
        <w:tc>
          <w:tcPr>
            <w:tcW w:w="2127" w:type="dxa"/>
            <w:tcBorders>
              <w:tl2br w:val="nil"/>
              <w:tr2bl w:val="nil"/>
            </w:tcBorders>
            <w:noWrap w:val="0"/>
            <w:vAlign w:val="center"/>
          </w:tcPr>
          <w:p w14:paraId="6F931A0A">
            <w:pPr>
              <w:widowControl/>
              <w:spacing w:line="240" w:lineRule="auto"/>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紫外可见分光光度计</w:t>
            </w:r>
          </w:p>
          <w:p w14:paraId="0142987E">
            <w:pPr>
              <w:widowControl/>
              <w:spacing w:line="240" w:lineRule="auto"/>
              <w:jc w:val="center"/>
              <w:textAlignment w:val="center"/>
              <w:rPr>
                <w:rFonts w:hint="default" w:ascii="Times New Roman" w:hAnsi="Times New Roman" w:eastAsia="宋体" w:cs="Times New Roman"/>
                <w:b w:val="0"/>
                <w:bCs w:val="0"/>
                <w:color w:val="000000"/>
                <w:kern w:val="0"/>
                <w:sz w:val="21"/>
                <w:szCs w:val="21"/>
                <w:highlight w:val="none"/>
                <w:lang w:val="en-US" w:eastAsia="zh-CN" w:bidi="ar-SA"/>
              </w:rPr>
            </w:pPr>
            <w:r>
              <w:rPr>
                <w:rFonts w:hint="default" w:ascii="Times New Roman" w:hAnsi="Times New Roman" w:eastAsia="宋体" w:cs="Times New Roman"/>
                <w:i w:val="0"/>
                <w:iCs w:val="0"/>
                <w:color w:val="000000"/>
                <w:kern w:val="0"/>
                <w:sz w:val="21"/>
                <w:szCs w:val="21"/>
                <w:highlight w:val="none"/>
                <w:u w:val="none"/>
                <w:lang w:val="en-US" w:eastAsia="zh-CN" w:bidi="ar"/>
              </w:rPr>
              <w:t>T6新世纪</w:t>
            </w:r>
          </w:p>
        </w:tc>
        <w:tc>
          <w:tcPr>
            <w:tcW w:w="1263" w:type="dxa"/>
            <w:tcBorders>
              <w:tl2br w:val="nil"/>
              <w:tr2bl w:val="nil"/>
            </w:tcBorders>
            <w:noWrap w:val="0"/>
            <w:vAlign w:val="center"/>
          </w:tcPr>
          <w:p w14:paraId="2AAFECE3">
            <w:pPr>
              <w:widowControl/>
              <w:spacing w:line="240" w:lineRule="auto"/>
              <w:jc w:val="center"/>
              <w:textAlignment w:val="center"/>
              <w:rPr>
                <w:rFonts w:hint="default" w:ascii="Times New Roman" w:hAnsi="Times New Roman" w:eastAsia="宋体" w:cs="Times New Roman"/>
                <w:b w:val="0"/>
                <w:bCs w:val="0"/>
                <w:color w:val="000000"/>
                <w:kern w:val="0"/>
                <w:sz w:val="21"/>
                <w:szCs w:val="21"/>
                <w:highlight w:val="none"/>
                <w:lang w:val="en-US" w:eastAsia="zh-CN" w:bidi="ar-SA"/>
              </w:rPr>
            </w:pPr>
            <w:r>
              <w:rPr>
                <w:rFonts w:hint="default" w:ascii="Times New Roman" w:hAnsi="Times New Roman" w:eastAsia="宋体" w:cs="Times New Roman"/>
                <w:b w:val="0"/>
                <w:bCs w:val="0"/>
                <w:color w:val="000000"/>
                <w:kern w:val="0"/>
                <w:sz w:val="21"/>
                <w:szCs w:val="21"/>
                <w:highlight w:val="none"/>
                <w:lang w:val="en-US" w:eastAsia="zh-CN" w:bidi="ar-SA"/>
              </w:rPr>
              <w:t>0.025mg/L</w:t>
            </w:r>
          </w:p>
        </w:tc>
      </w:tr>
      <w:tr w14:paraId="46CBA67C">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652" w:hRule="atLeast"/>
        </w:trPr>
        <w:tc>
          <w:tcPr>
            <w:tcW w:w="668" w:type="dxa"/>
            <w:tcBorders>
              <w:tl2br w:val="nil"/>
              <w:tr2bl w:val="nil"/>
            </w:tcBorders>
            <w:noWrap w:val="0"/>
            <w:vAlign w:val="center"/>
          </w:tcPr>
          <w:p w14:paraId="280C95CF">
            <w:pPr>
              <w:widowControl/>
              <w:jc w:val="center"/>
              <w:textAlignment w:val="center"/>
              <w:rPr>
                <w:rFonts w:hint="default" w:ascii="Times New Roman" w:hAnsi="Times New Roman" w:eastAsia="宋体" w:cs="Times New Roman"/>
                <w:sz w:val="21"/>
                <w:szCs w:val="21"/>
                <w:lang w:val="en-US" w:eastAsia="zh-CN"/>
              </w:rPr>
            </w:pPr>
            <w:r>
              <w:rPr>
                <w:rFonts w:hint="default" w:ascii="Times New Roman" w:hAnsi="Times New Roman" w:cs="Times New Roman"/>
                <w:sz w:val="21"/>
                <w:szCs w:val="21"/>
                <w:lang w:val="en-US" w:eastAsia="zh-CN"/>
              </w:rPr>
              <w:t>11</w:t>
            </w:r>
          </w:p>
        </w:tc>
        <w:tc>
          <w:tcPr>
            <w:tcW w:w="1336" w:type="dxa"/>
            <w:tcBorders>
              <w:tl2br w:val="nil"/>
              <w:tr2bl w:val="nil"/>
            </w:tcBorders>
            <w:noWrap w:val="0"/>
            <w:vAlign w:val="center"/>
          </w:tcPr>
          <w:p w14:paraId="61BEE78E">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五日</w:t>
            </w:r>
          </w:p>
          <w:p w14:paraId="71B9A05C">
            <w:pPr>
              <w:keepNext w:val="0"/>
              <w:keepLines w:val="0"/>
              <w:widowControl/>
              <w:suppressLineNumbers w:val="0"/>
              <w:jc w:val="center"/>
              <w:textAlignment w:val="center"/>
              <w:rPr>
                <w:rFonts w:hint="default" w:ascii="Times New Roman" w:hAnsi="Times New Roman" w:eastAsia="宋体" w:cs="Times New Roman"/>
                <w:color w:val="000000"/>
                <w:kern w:val="2"/>
                <w:sz w:val="21"/>
                <w:szCs w:val="21"/>
                <w:highlight w:val="none"/>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生化需氧量</w:t>
            </w:r>
          </w:p>
        </w:tc>
        <w:tc>
          <w:tcPr>
            <w:tcW w:w="4568" w:type="dxa"/>
            <w:tcBorders>
              <w:tl2br w:val="nil"/>
              <w:tr2bl w:val="nil"/>
            </w:tcBorders>
            <w:noWrap w:val="0"/>
            <w:vAlign w:val="center"/>
          </w:tcPr>
          <w:p w14:paraId="63F20845">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水质 五日生化需氧量（BOD</w:t>
            </w:r>
            <w:r>
              <w:rPr>
                <w:rFonts w:hint="default" w:ascii="Times New Roman" w:hAnsi="Times New Roman" w:eastAsia="宋体" w:cs="Times New Roman"/>
                <w:i w:val="0"/>
                <w:iCs w:val="0"/>
                <w:color w:val="000000"/>
                <w:kern w:val="0"/>
                <w:sz w:val="21"/>
                <w:szCs w:val="21"/>
                <w:u w:val="none"/>
                <w:vertAlign w:val="subscript"/>
                <w:lang w:val="en-US" w:eastAsia="zh-CN" w:bidi="ar"/>
              </w:rPr>
              <w:t>5</w:t>
            </w:r>
            <w:r>
              <w:rPr>
                <w:rFonts w:hint="default" w:ascii="Times New Roman" w:hAnsi="Times New Roman" w:eastAsia="宋体" w:cs="Times New Roman"/>
                <w:i w:val="0"/>
                <w:iCs w:val="0"/>
                <w:color w:val="000000"/>
                <w:kern w:val="0"/>
                <w:sz w:val="21"/>
                <w:szCs w:val="21"/>
                <w:u w:val="none"/>
                <w:lang w:val="en-US" w:eastAsia="zh-CN" w:bidi="ar"/>
              </w:rPr>
              <w:t>）的测定</w:t>
            </w:r>
          </w:p>
          <w:p w14:paraId="38290C6A">
            <w:pPr>
              <w:keepNext w:val="0"/>
              <w:keepLines w:val="0"/>
              <w:widowControl/>
              <w:suppressLineNumbers w:val="0"/>
              <w:jc w:val="center"/>
              <w:textAlignment w:val="center"/>
              <w:rPr>
                <w:rFonts w:hint="default" w:ascii="Times New Roman" w:hAnsi="Times New Roman" w:eastAsia="宋体" w:cs="Times New Roman"/>
                <w:b w:val="0"/>
                <w:bCs w:val="0"/>
                <w:color w:val="000000"/>
                <w:kern w:val="0"/>
                <w:sz w:val="21"/>
                <w:szCs w:val="21"/>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稀释与接种法 HJ 505-2009</w:t>
            </w:r>
          </w:p>
        </w:tc>
        <w:tc>
          <w:tcPr>
            <w:tcW w:w="2127" w:type="dxa"/>
            <w:tcBorders>
              <w:tl2br w:val="nil"/>
              <w:tr2bl w:val="nil"/>
            </w:tcBorders>
            <w:noWrap w:val="0"/>
            <w:vAlign w:val="center"/>
          </w:tcPr>
          <w:p w14:paraId="4C05CA54">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生化培养箱</w:t>
            </w:r>
          </w:p>
          <w:p w14:paraId="2400213A">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SPX-250B</w:t>
            </w:r>
          </w:p>
        </w:tc>
        <w:tc>
          <w:tcPr>
            <w:tcW w:w="1263" w:type="dxa"/>
            <w:tcBorders>
              <w:tl2br w:val="nil"/>
              <w:tr2bl w:val="nil"/>
            </w:tcBorders>
            <w:noWrap w:val="0"/>
            <w:vAlign w:val="center"/>
          </w:tcPr>
          <w:p w14:paraId="32FB798E">
            <w:pPr>
              <w:keepNext w:val="0"/>
              <w:keepLines w:val="0"/>
              <w:widowControl/>
              <w:suppressLineNumbers w:val="0"/>
              <w:jc w:val="center"/>
              <w:textAlignment w:val="center"/>
              <w:rPr>
                <w:rFonts w:hint="default" w:ascii="Times New Roman" w:hAnsi="Times New Roman" w:eastAsia="宋体" w:cs="Times New Roman"/>
                <w:b w:val="0"/>
                <w:bCs w:val="0"/>
                <w:color w:val="000000"/>
                <w:kern w:val="0"/>
                <w:sz w:val="21"/>
                <w:szCs w:val="21"/>
                <w:lang w:val="en-US" w:eastAsia="zh-CN" w:bidi="ar-SA"/>
              </w:rPr>
            </w:pPr>
            <w:r>
              <w:rPr>
                <w:rFonts w:hint="default" w:ascii="Times New Roman" w:hAnsi="Times New Roman" w:eastAsia="宋体" w:cs="Times New Roman"/>
                <w:b w:val="0"/>
                <w:bCs w:val="0"/>
                <w:color w:val="000000"/>
                <w:kern w:val="0"/>
                <w:sz w:val="21"/>
                <w:szCs w:val="21"/>
                <w:lang w:val="en-US" w:eastAsia="zh-CN" w:bidi="ar-SA"/>
              </w:rPr>
              <w:t>0.5mg/L</w:t>
            </w:r>
          </w:p>
        </w:tc>
      </w:tr>
      <w:tr w14:paraId="46FEDDF7">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652" w:hRule="atLeast"/>
        </w:trPr>
        <w:tc>
          <w:tcPr>
            <w:tcW w:w="668" w:type="dxa"/>
            <w:tcBorders>
              <w:tl2br w:val="nil"/>
              <w:tr2bl w:val="nil"/>
            </w:tcBorders>
            <w:noWrap w:val="0"/>
            <w:vAlign w:val="center"/>
          </w:tcPr>
          <w:p w14:paraId="6E318DD7">
            <w:pPr>
              <w:widowControl/>
              <w:jc w:val="center"/>
              <w:textAlignment w:val="center"/>
              <w:rPr>
                <w:rFonts w:hint="default" w:ascii="Times New Roman" w:hAnsi="Times New Roman" w:eastAsia="宋体" w:cs="Times New Roman"/>
                <w:sz w:val="21"/>
                <w:szCs w:val="21"/>
                <w:lang w:val="en-US" w:eastAsia="zh-CN"/>
              </w:rPr>
            </w:pPr>
            <w:r>
              <w:rPr>
                <w:rFonts w:hint="default" w:ascii="Times New Roman" w:hAnsi="Times New Roman" w:cs="Times New Roman"/>
                <w:sz w:val="21"/>
                <w:szCs w:val="21"/>
                <w:lang w:val="en-US" w:eastAsia="zh-CN"/>
              </w:rPr>
              <w:t>12</w:t>
            </w:r>
          </w:p>
        </w:tc>
        <w:tc>
          <w:tcPr>
            <w:tcW w:w="1336" w:type="dxa"/>
            <w:tcBorders>
              <w:tl2br w:val="nil"/>
              <w:tr2bl w:val="nil"/>
            </w:tcBorders>
            <w:noWrap w:val="0"/>
            <w:vAlign w:val="center"/>
          </w:tcPr>
          <w:p w14:paraId="1BFD8B31">
            <w:pPr>
              <w:keepNext w:val="0"/>
              <w:keepLines w:val="0"/>
              <w:widowControl/>
              <w:suppressLineNumbers w:val="0"/>
              <w:jc w:val="center"/>
              <w:textAlignment w:val="center"/>
              <w:rPr>
                <w:rFonts w:hint="default" w:ascii="Times New Roman" w:hAnsi="Times New Roman" w:eastAsia="宋体" w:cs="Times New Roman"/>
                <w:color w:val="000000"/>
                <w:kern w:val="2"/>
                <w:sz w:val="21"/>
                <w:szCs w:val="21"/>
                <w:highlight w:val="none"/>
                <w:u w:val="none"/>
                <w:vertAlign w:val="baseline"/>
                <w:lang w:val="en-US" w:eastAsia="zh-CN" w:bidi="ar-SA"/>
              </w:rPr>
            </w:pPr>
            <w:r>
              <w:rPr>
                <w:rFonts w:hint="default" w:ascii="Times New Roman" w:hAnsi="Times New Roman" w:eastAsia="宋体" w:cs="Times New Roman"/>
                <w:b w:val="0"/>
                <w:bCs w:val="0"/>
                <w:color w:val="000000"/>
                <w:sz w:val="21"/>
                <w:szCs w:val="21"/>
                <w:highlight w:val="none"/>
                <w:lang w:val="en-US" w:eastAsia="zh-CN"/>
              </w:rPr>
              <w:t>挥发酚</w:t>
            </w:r>
          </w:p>
        </w:tc>
        <w:tc>
          <w:tcPr>
            <w:tcW w:w="4568" w:type="dxa"/>
            <w:tcBorders>
              <w:tl2br w:val="nil"/>
              <w:tr2bl w:val="nil"/>
            </w:tcBorders>
            <w:noWrap w:val="0"/>
            <w:vAlign w:val="center"/>
          </w:tcPr>
          <w:p w14:paraId="318033AB">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Style w:val="542"/>
                <w:rFonts w:hint="default" w:ascii="Times New Roman" w:hAnsi="Times New Roman" w:eastAsia="宋体" w:cs="Times New Roman"/>
                <w:color w:val="000000"/>
                <w:sz w:val="21"/>
                <w:szCs w:val="21"/>
                <w:highlight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水质</w:t>
            </w:r>
            <w:r>
              <w:rPr>
                <w:rStyle w:val="542"/>
                <w:rFonts w:hint="default" w:ascii="Times New Roman" w:hAnsi="Times New Roman" w:eastAsia="宋体" w:cs="Times New Roman"/>
                <w:color w:val="000000"/>
                <w:sz w:val="21"/>
                <w:szCs w:val="21"/>
                <w:highlight w:val="none"/>
                <w:lang w:val="en-US" w:eastAsia="zh-CN" w:bidi="ar"/>
              </w:rPr>
              <w:t xml:space="preserve"> </w:t>
            </w:r>
            <w:r>
              <w:rPr>
                <w:rFonts w:hint="default" w:ascii="Times New Roman" w:hAnsi="Times New Roman" w:eastAsia="宋体" w:cs="Times New Roman"/>
                <w:i w:val="0"/>
                <w:iCs w:val="0"/>
                <w:color w:val="000000"/>
                <w:kern w:val="0"/>
                <w:sz w:val="21"/>
                <w:szCs w:val="21"/>
                <w:highlight w:val="none"/>
                <w:u w:val="none"/>
                <w:lang w:val="en-US" w:eastAsia="zh-CN" w:bidi="ar"/>
              </w:rPr>
              <w:t>挥发酚的测定</w:t>
            </w:r>
          </w:p>
          <w:p w14:paraId="4DE677C5">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default" w:ascii="Times New Roman" w:hAnsi="Times New Roman" w:eastAsia="宋体" w:cs="Times New Roman"/>
                <w:b w:val="0"/>
                <w:bCs w:val="0"/>
                <w:color w:val="000000"/>
                <w:kern w:val="0"/>
                <w:sz w:val="21"/>
                <w:szCs w:val="21"/>
                <w:lang w:val="en-US" w:eastAsia="zh-CN" w:bidi="ar-SA"/>
              </w:rPr>
            </w:pPr>
            <w:r>
              <w:rPr>
                <w:rStyle w:val="542"/>
                <w:rFonts w:hint="default" w:ascii="Times New Roman" w:hAnsi="Times New Roman" w:eastAsia="宋体" w:cs="Times New Roman"/>
                <w:color w:val="000000"/>
                <w:sz w:val="21"/>
                <w:szCs w:val="21"/>
                <w:highlight w:val="none"/>
                <w:lang w:val="en-US" w:eastAsia="zh-CN" w:bidi="ar"/>
              </w:rPr>
              <w:t>4-</w:t>
            </w:r>
            <w:r>
              <w:rPr>
                <w:rFonts w:hint="default" w:ascii="Times New Roman" w:hAnsi="Times New Roman" w:eastAsia="宋体" w:cs="Times New Roman"/>
                <w:i w:val="0"/>
                <w:iCs w:val="0"/>
                <w:color w:val="000000"/>
                <w:kern w:val="0"/>
                <w:sz w:val="21"/>
                <w:szCs w:val="21"/>
                <w:highlight w:val="none"/>
                <w:u w:val="none"/>
                <w:lang w:val="en-US" w:eastAsia="zh-CN" w:bidi="ar"/>
              </w:rPr>
              <w:t>氨基安替比林分光光度法</w:t>
            </w:r>
            <w:r>
              <w:rPr>
                <w:rStyle w:val="542"/>
                <w:rFonts w:hint="default" w:ascii="Times New Roman" w:hAnsi="Times New Roman" w:eastAsia="宋体" w:cs="Times New Roman"/>
                <w:color w:val="000000"/>
                <w:sz w:val="21"/>
                <w:szCs w:val="21"/>
                <w:highlight w:val="none"/>
                <w:lang w:val="en-US" w:eastAsia="zh-CN" w:bidi="ar"/>
              </w:rPr>
              <w:t>HJ 503-2009</w:t>
            </w:r>
          </w:p>
        </w:tc>
        <w:tc>
          <w:tcPr>
            <w:tcW w:w="2127" w:type="dxa"/>
            <w:tcBorders>
              <w:tl2br w:val="nil"/>
              <w:tr2bl w:val="nil"/>
            </w:tcBorders>
            <w:noWrap w:val="0"/>
            <w:vAlign w:val="center"/>
          </w:tcPr>
          <w:p w14:paraId="1D40D364">
            <w:pPr>
              <w:widowControl/>
              <w:spacing w:line="240" w:lineRule="auto"/>
              <w:jc w:val="center"/>
              <w:textAlignment w:val="center"/>
              <w:rPr>
                <w:rFonts w:hint="default" w:ascii="Times New Roman" w:hAnsi="Times New Roman" w:eastAsia="宋体" w:cs="Times New Roman"/>
                <w:b w:val="0"/>
                <w:bCs w:val="0"/>
                <w:color w:val="000000"/>
                <w:kern w:val="0"/>
                <w:sz w:val="21"/>
                <w:szCs w:val="21"/>
                <w:lang w:val="en-US" w:eastAsia="zh-CN" w:bidi="ar-SA"/>
              </w:rPr>
            </w:pPr>
            <w:r>
              <w:rPr>
                <w:rFonts w:hint="default" w:ascii="Times New Roman" w:hAnsi="Times New Roman" w:eastAsia="宋体" w:cs="Times New Roman"/>
                <w:b w:val="0"/>
                <w:bCs w:val="0"/>
                <w:color w:val="000000"/>
                <w:kern w:val="0"/>
                <w:sz w:val="21"/>
                <w:szCs w:val="21"/>
                <w:lang w:eastAsia="zh-CN"/>
              </w:rPr>
              <w:t>紫外可见分光光度计T6新世纪</w:t>
            </w:r>
          </w:p>
        </w:tc>
        <w:tc>
          <w:tcPr>
            <w:tcW w:w="1263" w:type="dxa"/>
            <w:tcBorders>
              <w:tl2br w:val="nil"/>
              <w:tr2bl w:val="nil"/>
            </w:tcBorders>
            <w:noWrap w:val="0"/>
            <w:vAlign w:val="center"/>
          </w:tcPr>
          <w:p w14:paraId="467FDB54">
            <w:pPr>
              <w:widowControl/>
              <w:spacing w:line="240" w:lineRule="auto"/>
              <w:jc w:val="center"/>
              <w:textAlignment w:val="center"/>
              <w:rPr>
                <w:rFonts w:hint="default" w:ascii="Times New Roman" w:hAnsi="Times New Roman" w:eastAsia="宋体" w:cs="Times New Roman"/>
                <w:b w:val="0"/>
                <w:bCs w:val="0"/>
                <w:color w:val="000000"/>
                <w:kern w:val="0"/>
                <w:sz w:val="21"/>
                <w:szCs w:val="21"/>
                <w:lang w:val="en-US" w:eastAsia="zh-CN" w:bidi="ar-SA"/>
              </w:rPr>
            </w:pPr>
            <w:r>
              <w:rPr>
                <w:rFonts w:hint="default" w:ascii="Times New Roman" w:hAnsi="Times New Roman" w:eastAsia="宋体" w:cs="Times New Roman"/>
                <w:b w:val="0"/>
                <w:bCs w:val="0"/>
                <w:color w:val="000000"/>
                <w:kern w:val="0"/>
                <w:sz w:val="21"/>
                <w:szCs w:val="21"/>
                <w:lang w:val="en-US" w:eastAsia="zh-CN" w:bidi="ar-SA"/>
              </w:rPr>
              <w:t>0.0003</w:t>
            </w:r>
            <w:r>
              <w:rPr>
                <w:rFonts w:hint="default" w:ascii="Times New Roman" w:hAnsi="Times New Roman" w:eastAsia="宋体" w:cs="Times New Roman"/>
                <w:b w:val="0"/>
                <w:bCs w:val="0"/>
                <w:color w:val="000000"/>
                <w:sz w:val="21"/>
                <w:szCs w:val="21"/>
                <w:lang w:val="en-US" w:eastAsia="zh-CN"/>
              </w:rPr>
              <w:t>mg/L</w:t>
            </w:r>
          </w:p>
        </w:tc>
      </w:tr>
      <w:tr w14:paraId="3A2E8192">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652" w:hRule="atLeast"/>
        </w:trPr>
        <w:tc>
          <w:tcPr>
            <w:tcW w:w="668" w:type="dxa"/>
            <w:tcBorders>
              <w:tl2br w:val="nil"/>
              <w:tr2bl w:val="nil"/>
            </w:tcBorders>
            <w:noWrap w:val="0"/>
            <w:vAlign w:val="center"/>
          </w:tcPr>
          <w:p w14:paraId="4249F1FB">
            <w:pPr>
              <w:widowControl/>
              <w:jc w:val="center"/>
              <w:textAlignment w:val="center"/>
              <w:rPr>
                <w:rFonts w:hint="default" w:ascii="Times New Roman" w:hAnsi="Times New Roman" w:eastAsia="宋体" w:cs="Times New Roman"/>
                <w:sz w:val="21"/>
                <w:szCs w:val="21"/>
                <w:lang w:val="en-US" w:eastAsia="zh-CN"/>
              </w:rPr>
            </w:pPr>
            <w:r>
              <w:rPr>
                <w:rFonts w:hint="default" w:ascii="Times New Roman" w:hAnsi="Times New Roman" w:cs="Times New Roman"/>
                <w:sz w:val="21"/>
                <w:szCs w:val="21"/>
                <w:lang w:val="en-US" w:eastAsia="zh-CN"/>
              </w:rPr>
              <w:t>13</w:t>
            </w:r>
          </w:p>
        </w:tc>
        <w:tc>
          <w:tcPr>
            <w:tcW w:w="1336" w:type="dxa"/>
            <w:tcBorders>
              <w:tl2br w:val="nil"/>
              <w:tr2bl w:val="nil"/>
            </w:tcBorders>
            <w:noWrap w:val="0"/>
            <w:vAlign w:val="center"/>
          </w:tcPr>
          <w:p w14:paraId="74967629">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cs="Times New Roman"/>
                <w:i w:val="0"/>
                <w:iCs w:val="0"/>
                <w:color w:val="000000"/>
                <w:kern w:val="0"/>
                <w:sz w:val="21"/>
                <w:szCs w:val="21"/>
                <w:u w:val="none"/>
                <w:lang w:val="en-US" w:eastAsia="zh-CN" w:bidi="ar"/>
              </w:rPr>
              <w:t>氰化物</w:t>
            </w:r>
          </w:p>
        </w:tc>
        <w:tc>
          <w:tcPr>
            <w:tcW w:w="4568" w:type="dxa"/>
            <w:tcBorders>
              <w:tl2br w:val="nil"/>
              <w:tr2bl w:val="nil"/>
            </w:tcBorders>
            <w:noWrap w:val="0"/>
            <w:vAlign w:val="center"/>
          </w:tcPr>
          <w:p w14:paraId="79194A4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Style w:val="542"/>
                <w:rFonts w:hint="default" w:ascii="Times New Roman" w:hAnsi="Times New Roman" w:eastAsia="宋体" w:cs="Times New Roman"/>
                <w:color w:val="000000"/>
                <w:sz w:val="21"/>
                <w:szCs w:val="21"/>
                <w:highlight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水质</w:t>
            </w:r>
            <w:r>
              <w:rPr>
                <w:rStyle w:val="542"/>
                <w:rFonts w:hint="default" w:ascii="Times New Roman" w:hAnsi="Times New Roman" w:eastAsia="宋体" w:cs="Times New Roman"/>
                <w:color w:val="000000"/>
                <w:sz w:val="21"/>
                <w:szCs w:val="21"/>
                <w:highlight w:val="none"/>
                <w:lang w:val="en-US" w:eastAsia="zh-CN" w:bidi="ar"/>
              </w:rPr>
              <w:t xml:space="preserve"> </w:t>
            </w:r>
            <w:r>
              <w:rPr>
                <w:rFonts w:hint="default" w:ascii="Times New Roman" w:hAnsi="Times New Roman" w:eastAsia="宋体" w:cs="Times New Roman"/>
                <w:i w:val="0"/>
                <w:iCs w:val="0"/>
                <w:color w:val="000000"/>
                <w:kern w:val="0"/>
                <w:sz w:val="21"/>
                <w:szCs w:val="21"/>
                <w:highlight w:val="none"/>
                <w:u w:val="none"/>
                <w:lang w:val="en-US" w:eastAsia="zh-CN" w:bidi="ar"/>
              </w:rPr>
              <w:t>氰化物的测定</w:t>
            </w:r>
            <w:r>
              <w:rPr>
                <w:rStyle w:val="542"/>
                <w:rFonts w:hint="default" w:ascii="Times New Roman" w:hAnsi="Times New Roman" w:eastAsia="宋体" w:cs="Times New Roman"/>
                <w:color w:val="000000"/>
                <w:sz w:val="21"/>
                <w:szCs w:val="21"/>
                <w:highlight w:val="none"/>
                <w:lang w:val="en-US" w:eastAsia="zh-CN" w:bidi="ar"/>
              </w:rPr>
              <w:t xml:space="preserve"> </w:t>
            </w:r>
          </w:p>
          <w:p w14:paraId="12D9ADA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Style w:val="542"/>
                <w:rFonts w:hint="default" w:ascii="Times New Roman" w:hAnsi="Times New Roman" w:eastAsia="宋体" w:cs="Times New Roman"/>
                <w:color w:val="000000"/>
                <w:sz w:val="21"/>
                <w:szCs w:val="21"/>
                <w:highlight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容量法和分光光度法</w:t>
            </w:r>
            <w:r>
              <w:rPr>
                <w:rStyle w:val="542"/>
                <w:rFonts w:hint="default" w:ascii="Times New Roman" w:hAnsi="Times New Roman" w:cs="Times New Roman"/>
                <w:color w:val="000000"/>
                <w:sz w:val="21"/>
                <w:szCs w:val="21"/>
                <w:highlight w:val="none"/>
                <w:lang w:val="en-US" w:eastAsia="zh-CN" w:bidi="ar"/>
              </w:rPr>
              <w:t xml:space="preserve"> </w:t>
            </w:r>
            <w:r>
              <w:rPr>
                <w:rStyle w:val="542"/>
                <w:rFonts w:hint="default" w:ascii="Times New Roman" w:hAnsi="Times New Roman" w:eastAsia="宋体" w:cs="Times New Roman"/>
                <w:color w:val="000000"/>
                <w:sz w:val="21"/>
                <w:szCs w:val="21"/>
                <w:highlight w:val="none"/>
                <w:lang w:val="en-US" w:eastAsia="zh-CN" w:bidi="ar"/>
              </w:rPr>
              <w:t xml:space="preserve">HJ 484-2009 </w:t>
            </w:r>
          </w:p>
          <w:p w14:paraId="1156C62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宋体" w:cs="Times New Roman"/>
                <w:color w:val="000000"/>
                <w:kern w:val="2"/>
                <w:sz w:val="21"/>
                <w:szCs w:val="21"/>
                <w:highlight w:val="none"/>
                <w:lang w:val="en-US" w:eastAsia="zh-CN" w:bidi="ar-SA"/>
              </w:rPr>
            </w:pPr>
            <w:r>
              <w:rPr>
                <w:rFonts w:hint="default" w:ascii="Times New Roman" w:hAnsi="Times New Roman" w:eastAsia="宋体" w:cs="Times New Roman"/>
                <w:i w:val="0"/>
                <w:iCs w:val="0"/>
                <w:color w:val="000000"/>
                <w:kern w:val="0"/>
                <w:sz w:val="21"/>
                <w:szCs w:val="21"/>
                <w:highlight w:val="none"/>
                <w:u w:val="none"/>
                <w:lang w:val="en-US" w:eastAsia="zh-CN" w:bidi="ar"/>
              </w:rPr>
              <w:t>第二部分 方法</w:t>
            </w:r>
            <w:r>
              <w:rPr>
                <w:rStyle w:val="542"/>
                <w:rFonts w:hint="default" w:ascii="Times New Roman" w:hAnsi="Times New Roman" w:eastAsia="宋体" w:cs="Times New Roman"/>
                <w:color w:val="000000"/>
                <w:sz w:val="21"/>
                <w:szCs w:val="21"/>
                <w:highlight w:val="none"/>
                <w:lang w:val="en-US" w:eastAsia="zh-CN" w:bidi="ar"/>
              </w:rPr>
              <w:t xml:space="preserve">2 </w:t>
            </w:r>
            <w:r>
              <w:rPr>
                <w:rFonts w:hint="default" w:ascii="Times New Roman" w:hAnsi="Times New Roman" w:eastAsia="宋体" w:cs="Times New Roman"/>
                <w:i w:val="0"/>
                <w:iCs w:val="0"/>
                <w:color w:val="000000"/>
                <w:kern w:val="0"/>
                <w:sz w:val="21"/>
                <w:szCs w:val="21"/>
                <w:highlight w:val="none"/>
                <w:u w:val="none"/>
                <w:lang w:val="en-US" w:eastAsia="zh-CN" w:bidi="ar"/>
              </w:rPr>
              <w:t>异烟酸</w:t>
            </w:r>
            <w:r>
              <w:rPr>
                <w:rStyle w:val="542"/>
                <w:rFonts w:hint="default" w:ascii="Times New Roman" w:hAnsi="Times New Roman" w:eastAsia="宋体" w:cs="Times New Roman"/>
                <w:color w:val="000000"/>
                <w:sz w:val="21"/>
                <w:szCs w:val="21"/>
                <w:highlight w:val="none"/>
                <w:lang w:val="en-US" w:eastAsia="zh-CN" w:bidi="ar"/>
              </w:rPr>
              <w:t>-</w:t>
            </w:r>
            <w:r>
              <w:rPr>
                <w:rFonts w:hint="default" w:ascii="Times New Roman" w:hAnsi="Times New Roman" w:eastAsia="宋体" w:cs="Times New Roman"/>
                <w:i w:val="0"/>
                <w:iCs w:val="0"/>
                <w:color w:val="000000"/>
                <w:kern w:val="0"/>
                <w:sz w:val="21"/>
                <w:szCs w:val="21"/>
                <w:highlight w:val="none"/>
                <w:u w:val="none"/>
                <w:lang w:val="en-US" w:eastAsia="zh-CN" w:bidi="ar"/>
              </w:rPr>
              <w:t>吡唑啉酮分光光度法</w:t>
            </w:r>
          </w:p>
        </w:tc>
        <w:tc>
          <w:tcPr>
            <w:tcW w:w="2127" w:type="dxa"/>
            <w:tcBorders>
              <w:tl2br w:val="nil"/>
              <w:tr2bl w:val="nil"/>
            </w:tcBorders>
            <w:noWrap w:val="0"/>
            <w:vAlign w:val="center"/>
          </w:tcPr>
          <w:p w14:paraId="51D36D27">
            <w:pPr>
              <w:widowControl w:val="0"/>
              <w:tabs>
                <w:tab w:val="left" w:pos="471"/>
              </w:tabs>
              <w:spacing w:line="240" w:lineRule="auto"/>
              <w:jc w:val="center"/>
              <w:rPr>
                <w:rFonts w:hint="default" w:ascii="Times New Roman" w:hAnsi="Times New Roman" w:eastAsia="宋体" w:cs="Times New Roman"/>
                <w:color w:val="000000"/>
                <w:kern w:val="2"/>
                <w:sz w:val="21"/>
                <w:szCs w:val="21"/>
                <w:highlight w:val="yellow"/>
                <w:lang w:val="en-US" w:eastAsia="zh-CN" w:bidi="ar-SA"/>
              </w:rPr>
            </w:pPr>
            <w:r>
              <w:rPr>
                <w:rFonts w:hint="default" w:ascii="Times New Roman" w:hAnsi="Times New Roman" w:eastAsia="宋体" w:cs="Times New Roman"/>
                <w:b w:val="0"/>
                <w:bCs w:val="0"/>
                <w:color w:val="000000"/>
                <w:kern w:val="0"/>
                <w:sz w:val="21"/>
                <w:szCs w:val="21"/>
                <w:lang w:eastAsia="zh-CN"/>
              </w:rPr>
              <w:t>紫外可见分光光度计T6新世纪</w:t>
            </w:r>
          </w:p>
        </w:tc>
        <w:tc>
          <w:tcPr>
            <w:tcW w:w="1263" w:type="dxa"/>
            <w:tcBorders>
              <w:tl2br w:val="nil"/>
              <w:tr2bl w:val="nil"/>
            </w:tcBorders>
            <w:noWrap w:val="0"/>
            <w:vAlign w:val="center"/>
          </w:tcPr>
          <w:p w14:paraId="01F13D76">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cs="Times New Roman"/>
                <w:i w:val="0"/>
                <w:iCs w:val="0"/>
                <w:color w:val="000000"/>
                <w:kern w:val="0"/>
                <w:sz w:val="21"/>
                <w:szCs w:val="21"/>
                <w:u w:val="none"/>
                <w:lang w:val="en-US" w:eastAsia="zh-CN" w:bidi="ar"/>
              </w:rPr>
              <w:t>0.004</w:t>
            </w:r>
            <w:r>
              <w:rPr>
                <w:rFonts w:hint="default" w:ascii="Times New Roman" w:hAnsi="Times New Roman" w:eastAsia="宋体" w:cs="Times New Roman"/>
                <w:b w:val="0"/>
                <w:bCs w:val="0"/>
                <w:color w:val="000000"/>
                <w:kern w:val="0"/>
                <w:sz w:val="21"/>
                <w:szCs w:val="21"/>
                <w:lang w:val="en-US" w:eastAsia="zh-CN" w:bidi="ar-SA"/>
              </w:rPr>
              <w:t>mg/L</w:t>
            </w:r>
          </w:p>
        </w:tc>
      </w:tr>
      <w:tr w14:paraId="520B9986">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652" w:hRule="atLeast"/>
        </w:trPr>
        <w:tc>
          <w:tcPr>
            <w:tcW w:w="668" w:type="dxa"/>
            <w:tcBorders>
              <w:tl2br w:val="nil"/>
              <w:tr2bl w:val="nil"/>
            </w:tcBorders>
            <w:noWrap w:val="0"/>
            <w:vAlign w:val="center"/>
          </w:tcPr>
          <w:p w14:paraId="1938A351">
            <w:pPr>
              <w:widowControl/>
              <w:jc w:val="center"/>
              <w:textAlignment w:val="center"/>
              <w:rPr>
                <w:rFonts w:hint="default" w:ascii="Times New Roman" w:hAnsi="Times New Roman" w:eastAsia="宋体" w:cs="Times New Roman"/>
                <w:sz w:val="21"/>
                <w:szCs w:val="21"/>
                <w:lang w:val="en-US" w:eastAsia="zh-CN"/>
              </w:rPr>
            </w:pPr>
            <w:r>
              <w:rPr>
                <w:rFonts w:hint="default" w:ascii="Times New Roman" w:hAnsi="Times New Roman" w:cs="Times New Roman"/>
                <w:sz w:val="21"/>
                <w:szCs w:val="21"/>
                <w:lang w:val="en-US" w:eastAsia="zh-CN"/>
              </w:rPr>
              <w:t>14</w:t>
            </w:r>
          </w:p>
        </w:tc>
        <w:tc>
          <w:tcPr>
            <w:tcW w:w="1336" w:type="dxa"/>
            <w:tcBorders>
              <w:tl2br w:val="nil"/>
              <w:tr2bl w:val="nil"/>
            </w:tcBorders>
            <w:noWrap w:val="0"/>
            <w:vAlign w:val="center"/>
          </w:tcPr>
          <w:p w14:paraId="74FF9163">
            <w:pPr>
              <w:keepNext w:val="0"/>
              <w:keepLines w:val="0"/>
              <w:widowControl/>
              <w:suppressLineNumbers w:val="0"/>
              <w:jc w:val="center"/>
              <w:textAlignment w:val="center"/>
              <w:rPr>
                <w:rFonts w:hint="default" w:ascii="Times New Roman" w:hAnsi="Times New Roman" w:eastAsia="宋体" w:cs="Times New Roman"/>
                <w:color w:val="000000"/>
                <w:kern w:val="2"/>
                <w:sz w:val="21"/>
                <w:szCs w:val="21"/>
                <w:highlight w:val="none"/>
                <w:u w:val="none"/>
                <w:vertAlign w:val="baseline"/>
                <w:lang w:val="en-US" w:eastAsia="zh-CN" w:bidi="ar-SA"/>
              </w:rPr>
            </w:pPr>
            <w:r>
              <w:rPr>
                <w:rFonts w:hint="default" w:ascii="Times New Roman" w:hAnsi="Times New Roman" w:eastAsia="宋体" w:cs="Times New Roman"/>
                <w:b w:val="0"/>
                <w:bCs w:val="0"/>
                <w:color w:val="000000"/>
                <w:sz w:val="21"/>
                <w:szCs w:val="21"/>
                <w:highlight w:val="none"/>
                <w:lang w:val="en-US" w:eastAsia="zh-CN"/>
              </w:rPr>
              <w:t>砷</w:t>
            </w:r>
          </w:p>
        </w:tc>
        <w:tc>
          <w:tcPr>
            <w:tcW w:w="4568" w:type="dxa"/>
            <w:tcBorders>
              <w:tl2br w:val="nil"/>
              <w:tr2bl w:val="nil"/>
            </w:tcBorders>
            <w:noWrap w:val="0"/>
            <w:vAlign w:val="center"/>
          </w:tcPr>
          <w:p w14:paraId="4DD95B7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Style w:val="542"/>
                <w:rFonts w:hint="default" w:ascii="Times New Roman" w:hAnsi="Times New Roman" w:eastAsia="宋体" w:cs="Times New Roman"/>
                <w:color w:val="000000"/>
                <w:sz w:val="21"/>
                <w:szCs w:val="21"/>
                <w:highlight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水质</w:t>
            </w:r>
            <w:r>
              <w:rPr>
                <w:rStyle w:val="542"/>
                <w:rFonts w:hint="default" w:ascii="Times New Roman" w:hAnsi="Times New Roman" w:eastAsia="宋体" w:cs="Times New Roman"/>
                <w:color w:val="000000"/>
                <w:sz w:val="21"/>
                <w:szCs w:val="21"/>
                <w:highlight w:val="none"/>
                <w:lang w:val="en-US" w:eastAsia="zh-CN" w:bidi="ar"/>
              </w:rPr>
              <w:t xml:space="preserve"> </w:t>
            </w:r>
            <w:r>
              <w:rPr>
                <w:rFonts w:hint="default" w:ascii="Times New Roman" w:hAnsi="Times New Roman" w:eastAsia="宋体" w:cs="Times New Roman"/>
                <w:i w:val="0"/>
                <w:iCs w:val="0"/>
                <w:color w:val="000000"/>
                <w:kern w:val="0"/>
                <w:sz w:val="21"/>
                <w:szCs w:val="21"/>
                <w:highlight w:val="none"/>
                <w:u w:val="none"/>
                <w:lang w:val="en-US" w:eastAsia="zh-CN" w:bidi="ar"/>
              </w:rPr>
              <w:t>汞、砷、硒、铋和锑的测定</w:t>
            </w:r>
          </w:p>
          <w:p w14:paraId="67CC61B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宋体" w:cs="Times New Roman"/>
                <w:b w:val="0"/>
                <w:bCs w:val="0"/>
                <w:color w:val="000000"/>
                <w:kern w:val="0"/>
                <w:sz w:val="21"/>
                <w:szCs w:val="21"/>
                <w:lang w:val="en-US" w:eastAsia="zh-CN" w:bidi="ar-SA"/>
              </w:rPr>
            </w:pPr>
            <w:r>
              <w:rPr>
                <w:rFonts w:hint="default" w:ascii="Times New Roman" w:hAnsi="Times New Roman" w:eastAsia="宋体" w:cs="Times New Roman"/>
                <w:i w:val="0"/>
                <w:iCs w:val="0"/>
                <w:color w:val="000000"/>
                <w:kern w:val="0"/>
                <w:sz w:val="21"/>
                <w:szCs w:val="21"/>
                <w:highlight w:val="none"/>
                <w:u w:val="none"/>
                <w:lang w:val="en-US" w:eastAsia="zh-CN" w:bidi="ar"/>
              </w:rPr>
              <w:t>原子荧光法</w:t>
            </w:r>
            <w:r>
              <w:rPr>
                <w:rStyle w:val="542"/>
                <w:rFonts w:hint="default" w:ascii="Times New Roman" w:hAnsi="Times New Roman" w:eastAsia="宋体" w:cs="Times New Roman"/>
                <w:color w:val="000000"/>
                <w:sz w:val="21"/>
                <w:szCs w:val="21"/>
                <w:highlight w:val="none"/>
                <w:lang w:val="en-US" w:eastAsia="zh-CN" w:bidi="ar"/>
              </w:rPr>
              <w:t>HJ 694-2014</w:t>
            </w:r>
          </w:p>
        </w:tc>
        <w:tc>
          <w:tcPr>
            <w:tcW w:w="2127" w:type="dxa"/>
            <w:tcBorders>
              <w:tl2br w:val="nil"/>
              <w:tr2bl w:val="nil"/>
            </w:tcBorders>
            <w:noWrap w:val="0"/>
            <w:vAlign w:val="center"/>
          </w:tcPr>
          <w:p w14:paraId="29D9027F">
            <w:pPr>
              <w:keepNext w:val="0"/>
              <w:keepLines w:val="0"/>
              <w:widowControl/>
              <w:suppressLineNumbers w:val="0"/>
              <w:jc w:val="center"/>
              <w:textAlignment w:val="center"/>
              <w:rPr>
                <w:rFonts w:hint="default" w:ascii="Times New Roman" w:hAnsi="Times New Roman" w:eastAsia="宋体" w:cs="Times New Roman"/>
                <w:b w:val="0"/>
                <w:bCs w:val="0"/>
                <w:color w:val="000000"/>
                <w:kern w:val="0"/>
                <w:sz w:val="21"/>
                <w:szCs w:val="21"/>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原子荧光光度计AFS-8220</w:t>
            </w:r>
          </w:p>
        </w:tc>
        <w:tc>
          <w:tcPr>
            <w:tcW w:w="1263" w:type="dxa"/>
            <w:tcBorders>
              <w:tl2br w:val="nil"/>
              <w:tr2bl w:val="nil"/>
            </w:tcBorders>
            <w:noWrap w:val="0"/>
            <w:vAlign w:val="center"/>
          </w:tcPr>
          <w:p w14:paraId="061D0117">
            <w:pPr>
              <w:keepNext w:val="0"/>
              <w:keepLines w:val="0"/>
              <w:widowControl/>
              <w:suppressLineNumbers w:val="0"/>
              <w:jc w:val="center"/>
              <w:textAlignment w:val="center"/>
              <w:rPr>
                <w:rFonts w:hint="default" w:ascii="Times New Roman" w:hAnsi="Times New Roman" w:eastAsia="宋体" w:cs="Times New Roman"/>
                <w:b w:val="0"/>
                <w:bCs w:val="0"/>
                <w:color w:val="000000"/>
                <w:kern w:val="0"/>
                <w:sz w:val="21"/>
                <w:szCs w:val="21"/>
                <w:lang w:val="en-US" w:eastAsia="zh-CN" w:bidi="ar-SA"/>
              </w:rPr>
            </w:pPr>
            <w:r>
              <w:rPr>
                <w:rFonts w:hint="default" w:ascii="Times New Roman" w:hAnsi="Times New Roman" w:eastAsia="宋体" w:cs="Times New Roman"/>
                <w:b w:val="0"/>
                <w:bCs w:val="0"/>
                <w:color w:val="000000"/>
                <w:kern w:val="0"/>
                <w:sz w:val="21"/>
                <w:szCs w:val="21"/>
                <w:lang w:val="en-US" w:eastAsia="zh-CN" w:bidi="ar-SA"/>
              </w:rPr>
              <w:t>0.3</w:t>
            </w:r>
            <w:r>
              <w:rPr>
                <w:rFonts w:hint="default" w:ascii="Times New Roman" w:hAnsi="Times New Roman" w:cs="Times New Roman"/>
                <w:b w:val="0"/>
                <w:bCs w:val="0"/>
                <w:color w:val="000000"/>
                <w:kern w:val="0"/>
                <w:sz w:val="21"/>
                <w:szCs w:val="21"/>
                <w:lang w:val="en-US" w:eastAsia="zh-CN" w:bidi="ar-SA"/>
              </w:rPr>
              <w:t>μ</w:t>
            </w:r>
            <w:r>
              <w:rPr>
                <w:rFonts w:hint="default" w:ascii="Times New Roman" w:hAnsi="Times New Roman" w:eastAsia="宋体" w:cs="Times New Roman"/>
                <w:b w:val="0"/>
                <w:bCs w:val="0"/>
                <w:color w:val="000000"/>
                <w:kern w:val="0"/>
                <w:sz w:val="21"/>
                <w:szCs w:val="21"/>
                <w:lang w:val="en-US" w:eastAsia="zh-CN" w:bidi="ar-SA"/>
              </w:rPr>
              <w:t>g/L</w:t>
            </w:r>
          </w:p>
        </w:tc>
      </w:tr>
      <w:tr w14:paraId="4FB15D04">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652" w:hRule="atLeast"/>
        </w:trPr>
        <w:tc>
          <w:tcPr>
            <w:tcW w:w="668" w:type="dxa"/>
            <w:tcBorders>
              <w:tl2br w:val="nil"/>
              <w:tr2bl w:val="nil"/>
            </w:tcBorders>
            <w:noWrap w:val="0"/>
            <w:vAlign w:val="center"/>
          </w:tcPr>
          <w:p w14:paraId="46FDEAD5">
            <w:pPr>
              <w:widowControl/>
              <w:jc w:val="center"/>
              <w:textAlignment w:val="center"/>
              <w:rPr>
                <w:rFonts w:hint="default" w:ascii="Times New Roman" w:hAnsi="Times New Roman" w:eastAsia="宋体" w:cs="Times New Roman"/>
                <w:sz w:val="21"/>
                <w:szCs w:val="21"/>
                <w:lang w:val="en-US" w:eastAsia="zh-CN"/>
              </w:rPr>
            </w:pPr>
            <w:r>
              <w:rPr>
                <w:rFonts w:hint="default" w:ascii="Times New Roman" w:hAnsi="Times New Roman" w:cs="Times New Roman"/>
                <w:sz w:val="21"/>
                <w:szCs w:val="21"/>
                <w:lang w:val="en-US" w:eastAsia="zh-CN"/>
              </w:rPr>
              <w:t>15</w:t>
            </w:r>
          </w:p>
        </w:tc>
        <w:tc>
          <w:tcPr>
            <w:tcW w:w="1336" w:type="dxa"/>
            <w:tcBorders>
              <w:tl2br w:val="nil"/>
              <w:tr2bl w:val="nil"/>
            </w:tcBorders>
            <w:noWrap w:val="0"/>
            <w:vAlign w:val="center"/>
          </w:tcPr>
          <w:p w14:paraId="1D2D8513">
            <w:pPr>
              <w:keepNext w:val="0"/>
              <w:keepLines w:val="0"/>
              <w:widowControl/>
              <w:suppressLineNumbers w:val="0"/>
              <w:jc w:val="center"/>
              <w:textAlignment w:val="center"/>
              <w:rPr>
                <w:rFonts w:hint="default" w:ascii="Times New Roman" w:hAnsi="Times New Roman" w:eastAsia="宋体" w:cs="Times New Roman"/>
                <w:color w:val="000000"/>
                <w:kern w:val="2"/>
                <w:sz w:val="21"/>
                <w:szCs w:val="21"/>
                <w:highlight w:val="none"/>
                <w:u w:val="none"/>
                <w:vertAlign w:val="baseline"/>
                <w:lang w:val="en-US" w:eastAsia="zh-CN" w:bidi="ar-SA"/>
              </w:rPr>
            </w:pPr>
            <w:r>
              <w:rPr>
                <w:rFonts w:hint="default" w:ascii="Times New Roman" w:hAnsi="Times New Roman" w:eastAsia="宋体" w:cs="Times New Roman"/>
                <w:b w:val="0"/>
                <w:bCs w:val="0"/>
                <w:color w:val="000000"/>
                <w:sz w:val="21"/>
                <w:szCs w:val="21"/>
                <w:highlight w:val="none"/>
                <w:lang w:val="en-US" w:eastAsia="zh-CN"/>
              </w:rPr>
              <w:t>汞</w:t>
            </w:r>
          </w:p>
        </w:tc>
        <w:tc>
          <w:tcPr>
            <w:tcW w:w="4568" w:type="dxa"/>
            <w:tcBorders>
              <w:tl2br w:val="nil"/>
              <w:tr2bl w:val="nil"/>
            </w:tcBorders>
            <w:noWrap w:val="0"/>
            <w:vAlign w:val="center"/>
          </w:tcPr>
          <w:p w14:paraId="3F435DE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Style w:val="542"/>
                <w:rFonts w:hint="default" w:ascii="Times New Roman" w:hAnsi="Times New Roman" w:eastAsia="宋体" w:cs="Times New Roman"/>
                <w:color w:val="000000"/>
                <w:sz w:val="21"/>
                <w:szCs w:val="21"/>
                <w:highlight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水质</w:t>
            </w:r>
            <w:r>
              <w:rPr>
                <w:rStyle w:val="542"/>
                <w:rFonts w:hint="default" w:ascii="Times New Roman" w:hAnsi="Times New Roman" w:eastAsia="宋体" w:cs="Times New Roman"/>
                <w:color w:val="000000"/>
                <w:sz w:val="21"/>
                <w:szCs w:val="21"/>
                <w:highlight w:val="none"/>
                <w:lang w:val="en-US" w:eastAsia="zh-CN" w:bidi="ar"/>
              </w:rPr>
              <w:t xml:space="preserve"> </w:t>
            </w:r>
            <w:r>
              <w:rPr>
                <w:rFonts w:hint="default" w:ascii="Times New Roman" w:hAnsi="Times New Roman" w:eastAsia="宋体" w:cs="Times New Roman"/>
                <w:i w:val="0"/>
                <w:iCs w:val="0"/>
                <w:color w:val="000000"/>
                <w:kern w:val="0"/>
                <w:sz w:val="21"/>
                <w:szCs w:val="21"/>
                <w:highlight w:val="none"/>
                <w:u w:val="none"/>
                <w:lang w:val="en-US" w:eastAsia="zh-CN" w:bidi="ar"/>
              </w:rPr>
              <w:t>汞、砷、硒、铋和锑的测定</w:t>
            </w:r>
          </w:p>
          <w:p w14:paraId="6C8996D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宋体" w:cs="Times New Roman"/>
                <w:b w:val="0"/>
                <w:bCs w:val="0"/>
                <w:color w:val="000000"/>
                <w:kern w:val="0"/>
                <w:sz w:val="21"/>
                <w:szCs w:val="21"/>
                <w:lang w:val="en-US" w:eastAsia="zh-CN" w:bidi="ar-SA"/>
              </w:rPr>
            </w:pPr>
            <w:r>
              <w:rPr>
                <w:rFonts w:hint="default" w:ascii="Times New Roman" w:hAnsi="Times New Roman" w:eastAsia="宋体" w:cs="Times New Roman"/>
                <w:i w:val="0"/>
                <w:iCs w:val="0"/>
                <w:color w:val="000000"/>
                <w:kern w:val="0"/>
                <w:sz w:val="21"/>
                <w:szCs w:val="21"/>
                <w:highlight w:val="none"/>
                <w:u w:val="none"/>
                <w:lang w:val="en-US" w:eastAsia="zh-CN" w:bidi="ar"/>
              </w:rPr>
              <w:t>原子荧光法</w:t>
            </w:r>
            <w:r>
              <w:rPr>
                <w:rStyle w:val="542"/>
                <w:rFonts w:hint="default" w:ascii="Times New Roman" w:hAnsi="Times New Roman" w:eastAsia="宋体" w:cs="Times New Roman"/>
                <w:color w:val="000000"/>
                <w:sz w:val="21"/>
                <w:szCs w:val="21"/>
                <w:highlight w:val="none"/>
                <w:lang w:val="en-US" w:eastAsia="zh-CN" w:bidi="ar"/>
              </w:rPr>
              <w:t>HJ 694-2014</w:t>
            </w:r>
          </w:p>
        </w:tc>
        <w:tc>
          <w:tcPr>
            <w:tcW w:w="2127" w:type="dxa"/>
            <w:tcBorders>
              <w:tl2br w:val="nil"/>
              <w:tr2bl w:val="nil"/>
            </w:tcBorders>
            <w:noWrap w:val="0"/>
            <w:vAlign w:val="center"/>
          </w:tcPr>
          <w:p w14:paraId="7D982CF4">
            <w:pPr>
              <w:widowControl/>
              <w:spacing w:line="240" w:lineRule="auto"/>
              <w:jc w:val="center"/>
              <w:textAlignment w:val="center"/>
              <w:rPr>
                <w:rFonts w:hint="default" w:ascii="Times New Roman" w:hAnsi="Times New Roman" w:eastAsia="宋体" w:cs="Times New Roman"/>
                <w:b w:val="0"/>
                <w:bCs w:val="0"/>
                <w:color w:val="000000"/>
                <w:kern w:val="0"/>
                <w:sz w:val="21"/>
                <w:szCs w:val="21"/>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原子荧光光度计AFS-8220</w:t>
            </w:r>
          </w:p>
        </w:tc>
        <w:tc>
          <w:tcPr>
            <w:tcW w:w="1263" w:type="dxa"/>
            <w:tcBorders>
              <w:tl2br w:val="nil"/>
              <w:tr2bl w:val="nil"/>
            </w:tcBorders>
            <w:noWrap w:val="0"/>
            <w:vAlign w:val="center"/>
          </w:tcPr>
          <w:p w14:paraId="15B196F3">
            <w:pPr>
              <w:keepNext w:val="0"/>
              <w:keepLines w:val="0"/>
              <w:widowControl/>
              <w:suppressLineNumbers w:val="0"/>
              <w:jc w:val="center"/>
              <w:textAlignment w:val="center"/>
              <w:rPr>
                <w:rFonts w:hint="default" w:ascii="Times New Roman" w:hAnsi="Times New Roman" w:eastAsia="宋体" w:cs="Times New Roman"/>
                <w:b w:val="0"/>
                <w:bCs w:val="0"/>
                <w:color w:val="000000"/>
                <w:kern w:val="0"/>
                <w:sz w:val="21"/>
                <w:szCs w:val="21"/>
                <w:lang w:val="en-US" w:eastAsia="zh-CN" w:bidi="ar-SA"/>
              </w:rPr>
            </w:pPr>
            <w:r>
              <w:rPr>
                <w:rFonts w:hint="default" w:ascii="Times New Roman" w:hAnsi="Times New Roman" w:eastAsia="宋体" w:cs="Times New Roman"/>
                <w:b w:val="0"/>
                <w:bCs w:val="0"/>
                <w:color w:val="000000"/>
                <w:kern w:val="0"/>
                <w:sz w:val="21"/>
                <w:szCs w:val="21"/>
                <w:lang w:val="en-US" w:eastAsia="zh-CN" w:bidi="ar-SA"/>
              </w:rPr>
              <w:t>0.04</w:t>
            </w:r>
            <w:r>
              <w:rPr>
                <w:rFonts w:hint="default" w:ascii="Times New Roman" w:hAnsi="Times New Roman" w:cs="Times New Roman"/>
                <w:b w:val="0"/>
                <w:bCs w:val="0"/>
                <w:color w:val="000000"/>
                <w:kern w:val="0"/>
                <w:sz w:val="21"/>
                <w:szCs w:val="21"/>
                <w:lang w:val="en-US" w:eastAsia="zh-CN" w:bidi="ar-SA"/>
              </w:rPr>
              <w:t>μ</w:t>
            </w:r>
            <w:r>
              <w:rPr>
                <w:rFonts w:hint="default" w:ascii="Times New Roman" w:hAnsi="Times New Roman" w:eastAsia="宋体" w:cs="Times New Roman"/>
                <w:b w:val="0"/>
                <w:bCs w:val="0"/>
                <w:color w:val="000000"/>
                <w:kern w:val="0"/>
                <w:sz w:val="21"/>
                <w:szCs w:val="21"/>
                <w:lang w:val="en-US" w:eastAsia="zh-CN" w:bidi="ar-SA"/>
              </w:rPr>
              <w:t>g/L</w:t>
            </w:r>
          </w:p>
        </w:tc>
      </w:tr>
      <w:tr w14:paraId="1497667F">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652" w:hRule="atLeast"/>
        </w:trPr>
        <w:tc>
          <w:tcPr>
            <w:tcW w:w="668" w:type="dxa"/>
            <w:tcBorders>
              <w:tl2br w:val="nil"/>
              <w:tr2bl w:val="nil"/>
            </w:tcBorders>
            <w:noWrap w:val="0"/>
            <w:vAlign w:val="center"/>
          </w:tcPr>
          <w:p w14:paraId="41AC582A">
            <w:pPr>
              <w:widowControl/>
              <w:jc w:val="center"/>
              <w:textAlignment w:val="center"/>
              <w:rPr>
                <w:rFonts w:hint="default" w:ascii="Times New Roman" w:hAnsi="Times New Roman" w:eastAsia="宋体" w:cs="Times New Roman"/>
                <w:sz w:val="21"/>
                <w:szCs w:val="21"/>
                <w:lang w:val="en-US" w:eastAsia="zh-CN"/>
              </w:rPr>
            </w:pPr>
            <w:r>
              <w:rPr>
                <w:rFonts w:hint="default" w:ascii="Times New Roman" w:hAnsi="Times New Roman" w:cs="Times New Roman"/>
                <w:sz w:val="21"/>
                <w:szCs w:val="21"/>
                <w:lang w:val="en-US" w:eastAsia="zh-CN"/>
              </w:rPr>
              <w:t>16</w:t>
            </w:r>
          </w:p>
        </w:tc>
        <w:tc>
          <w:tcPr>
            <w:tcW w:w="1336" w:type="dxa"/>
            <w:tcBorders>
              <w:tl2br w:val="nil"/>
              <w:tr2bl w:val="nil"/>
            </w:tcBorders>
            <w:noWrap w:val="0"/>
            <w:vAlign w:val="center"/>
          </w:tcPr>
          <w:p w14:paraId="3EEC453F">
            <w:pPr>
              <w:keepNext w:val="0"/>
              <w:keepLines w:val="0"/>
              <w:widowControl/>
              <w:suppressLineNumbers w:val="0"/>
              <w:jc w:val="center"/>
              <w:textAlignment w:val="center"/>
              <w:rPr>
                <w:rFonts w:hint="default" w:ascii="Times New Roman" w:hAnsi="Times New Roman" w:eastAsia="宋体" w:cs="Times New Roman"/>
                <w:color w:val="000000"/>
                <w:kern w:val="2"/>
                <w:sz w:val="21"/>
                <w:szCs w:val="21"/>
                <w:highlight w:val="none"/>
                <w:lang w:val="en-US" w:eastAsia="zh-CN" w:bidi="ar-SA"/>
              </w:rPr>
            </w:pPr>
            <w:r>
              <w:rPr>
                <w:rFonts w:hint="default" w:ascii="Times New Roman" w:hAnsi="Times New Roman" w:eastAsia="宋体" w:cs="Times New Roman"/>
                <w:b w:val="0"/>
                <w:bCs w:val="0"/>
                <w:color w:val="000000"/>
                <w:sz w:val="21"/>
                <w:szCs w:val="21"/>
                <w:highlight w:val="none"/>
                <w:lang w:val="en-US" w:eastAsia="zh-CN"/>
              </w:rPr>
              <w:t>铜</w:t>
            </w:r>
          </w:p>
        </w:tc>
        <w:tc>
          <w:tcPr>
            <w:tcW w:w="4568" w:type="dxa"/>
            <w:tcBorders>
              <w:tl2br w:val="nil"/>
              <w:tr2bl w:val="nil"/>
            </w:tcBorders>
            <w:noWrap w:val="0"/>
            <w:vAlign w:val="center"/>
          </w:tcPr>
          <w:p w14:paraId="7C24534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Style w:val="542"/>
                <w:rFonts w:hint="default" w:ascii="Times New Roman" w:hAnsi="Times New Roman" w:eastAsia="宋体" w:cs="Times New Roman"/>
                <w:color w:val="000000"/>
                <w:sz w:val="21"/>
                <w:szCs w:val="21"/>
                <w:highlight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水质</w:t>
            </w:r>
            <w:r>
              <w:rPr>
                <w:rStyle w:val="542"/>
                <w:rFonts w:hint="default" w:ascii="Times New Roman" w:hAnsi="Times New Roman" w:eastAsia="宋体" w:cs="Times New Roman"/>
                <w:color w:val="000000"/>
                <w:sz w:val="21"/>
                <w:szCs w:val="21"/>
                <w:highlight w:val="none"/>
                <w:lang w:val="en-US" w:eastAsia="zh-CN" w:bidi="ar"/>
              </w:rPr>
              <w:t xml:space="preserve"> </w:t>
            </w:r>
            <w:r>
              <w:rPr>
                <w:rFonts w:hint="default" w:ascii="Times New Roman" w:hAnsi="Times New Roman" w:eastAsia="宋体" w:cs="Times New Roman"/>
                <w:i w:val="0"/>
                <w:iCs w:val="0"/>
                <w:color w:val="000000"/>
                <w:kern w:val="0"/>
                <w:sz w:val="21"/>
                <w:szCs w:val="21"/>
                <w:highlight w:val="none"/>
                <w:u w:val="none"/>
                <w:lang w:val="en-US" w:eastAsia="zh-CN" w:bidi="ar"/>
              </w:rPr>
              <w:t>铜、锌、铅、镉的测定</w:t>
            </w:r>
          </w:p>
          <w:p w14:paraId="042603A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宋体" w:cs="Times New Roman"/>
                <w:bCs/>
                <w:color w:val="000000"/>
                <w:kern w:val="2"/>
                <w:sz w:val="21"/>
                <w:szCs w:val="21"/>
                <w:lang w:val="en-US" w:eastAsia="zh-CN" w:bidi="ar-SA"/>
              </w:rPr>
            </w:pPr>
            <w:r>
              <w:rPr>
                <w:rFonts w:hint="default" w:ascii="Times New Roman" w:hAnsi="Times New Roman" w:eastAsia="宋体" w:cs="Times New Roman"/>
                <w:i w:val="0"/>
                <w:iCs w:val="0"/>
                <w:color w:val="000000"/>
                <w:kern w:val="0"/>
                <w:sz w:val="21"/>
                <w:szCs w:val="21"/>
                <w:highlight w:val="none"/>
                <w:u w:val="none"/>
                <w:lang w:val="en-US" w:eastAsia="zh-CN" w:bidi="ar"/>
              </w:rPr>
              <w:t>原子吸收分光光度法</w:t>
            </w:r>
            <w:r>
              <w:rPr>
                <w:rStyle w:val="542"/>
                <w:rFonts w:hint="default" w:ascii="Times New Roman" w:hAnsi="Times New Roman" w:eastAsia="宋体" w:cs="Times New Roman"/>
                <w:color w:val="000000"/>
                <w:sz w:val="21"/>
                <w:szCs w:val="21"/>
                <w:highlight w:val="none"/>
                <w:lang w:val="en-US" w:eastAsia="zh-CN" w:bidi="ar"/>
              </w:rPr>
              <w:t xml:space="preserve"> GB/T 7475-1987</w:t>
            </w:r>
          </w:p>
        </w:tc>
        <w:tc>
          <w:tcPr>
            <w:tcW w:w="2127" w:type="dxa"/>
            <w:tcBorders>
              <w:tl2br w:val="nil"/>
              <w:tr2bl w:val="nil"/>
            </w:tcBorders>
            <w:noWrap w:val="0"/>
            <w:vAlign w:val="center"/>
          </w:tcPr>
          <w:p w14:paraId="25C7D41B">
            <w:pPr>
              <w:widowControl w:val="0"/>
              <w:tabs>
                <w:tab w:val="left" w:pos="471"/>
              </w:tabs>
              <w:spacing w:line="240" w:lineRule="auto"/>
              <w:jc w:val="center"/>
              <w:rPr>
                <w:rFonts w:hint="default" w:ascii="Times New Roman" w:hAnsi="Times New Roman" w:eastAsia="宋体" w:cs="Times New Roman"/>
                <w:b w:val="0"/>
                <w:bCs w:val="0"/>
                <w:color w:val="000000"/>
                <w:kern w:val="0"/>
                <w:sz w:val="21"/>
                <w:szCs w:val="21"/>
                <w:lang w:val="en-US" w:eastAsia="zh-CN" w:bidi="ar-SA"/>
              </w:rPr>
            </w:pPr>
            <w:r>
              <w:rPr>
                <w:rFonts w:hint="default" w:ascii="Times New Roman" w:hAnsi="Times New Roman" w:eastAsia="宋体" w:cs="Times New Roman"/>
                <w:color w:val="000000"/>
                <w:sz w:val="21"/>
                <w:szCs w:val="21"/>
                <w:lang w:val="en-US" w:eastAsia="zh-CN"/>
              </w:rPr>
              <w:t>原子吸收分光光度计TAS-990AFG</w:t>
            </w:r>
          </w:p>
        </w:tc>
        <w:tc>
          <w:tcPr>
            <w:tcW w:w="1263" w:type="dxa"/>
            <w:tcBorders>
              <w:tl2br w:val="nil"/>
              <w:tr2bl w:val="nil"/>
            </w:tcBorders>
            <w:noWrap w:val="0"/>
            <w:vAlign w:val="center"/>
          </w:tcPr>
          <w:p w14:paraId="1B9A3F2D">
            <w:pPr>
              <w:widowControl/>
              <w:spacing w:line="240" w:lineRule="auto"/>
              <w:jc w:val="center"/>
              <w:textAlignment w:val="center"/>
              <w:rPr>
                <w:rFonts w:hint="default" w:ascii="Times New Roman" w:hAnsi="Times New Roman" w:eastAsia="宋体" w:cs="Times New Roman"/>
                <w:b w:val="0"/>
                <w:bCs w:val="0"/>
                <w:color w:val="000000"/>
                <w:kern w:val="0"/>
                <w:sz w:val="21"/>
                <w:szCs w:val="21"/>
                <w:lang w:val="en-US" w:eastAsia="zh-CN" w:bidi="ar-SA"/>
              </w:rPr>
            </w:pPr>
            <w:r>
              <w:rPr>
                <w:rFonts w:hint="default" w:ascii="Times New Roman" w:hAnsi="Times New Roman" w:eastAsia="宋体" w:cs="Times New Roman"/>
                <w:b w:val="0"/>
                <w:bCs w:val="0"/>
                <w:color w:val="000000"/>
                <w:kern w:val="0"/>
                <w:sz w:val="21"/>
                <w:szCs w:val="21"/>
                <w:lang w:val="en-US" w:eastAsia="zh-CN" w:bidi="ar-SA"/>
              </w:rPr>
              <w:t>0.05mg/L</w:t>
            </w:r>
          </w:p>
        </w:tc>
      </w:tr>
      <w:tr w14:paraId="5741C3DD">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652" w:hRule="atLeast"/>
        </w:trPr>
        <w:tc>
          <w:tcPr>
            <w:tcW w:w="668" w:type="dxa"/>
            <w:tcBorders>
              <w:tl2br w:val="nil"/>
              <w:tr2bl w:val="nil"/>
            </w:tcBorders>
            <w:noWrap w:val="0"/>
            <w:vAlign w:val="center"/>
          </w:tcPr>
          <w:p w14:paraId="4FE94128">
            <w:pPr>
              <w:widowControl/>
              <w:jc w:val="center"/>
              <w:textAlignment w:val="center"/>
              <w:rPr>
                <w:rFonts w:hint="default" w:ascii="Times New Roman" w:hAnsi="Times New Roman" w:eastAsia="宋体" w:cs="Times New Roman"/>
                <w:sz w:val="21"/>
                <w:szCs w:val="21"/>
                <w:lang w:val="en-US" w:eastAsia="zh-CN"/>
              </w:rPr>
            </w:pPr>
            <w:r>
              <w:rPr>
                <w:rFonts w:hint="default" w:ascii="Times New Roman" w:hAnsi="Times New Roman" w:cs="Times New Roman"/>
                <w:sz w:val="21"/>
                <w:szCs w:val="21"/>
                <w:lang w:val="en-US" w:eastAsia="zh-CN"/>
              </w:rPr>
              <w:t>17</w:t>
            </w:r>
          </w:p>
        </w:tc>
        <w:tc>
          <w:tcPr>
            <w:tcW w:w="1336" w:type="dxa"/>
            <w:tcBorders>
              <w:tl2br w:val="nil"/>
              <w:tr2bl w:val="nil"/>
            </w:tcBorders>
            <w:noWrap w:val="0"/>
            <w:vAlign w:val="center"/>
          </w:tcPr>
          <w:p w14:paraId="05FDD894">
            <w:pPr>
              <w:keepNext w:val="0"/>
              <w:keepLines w:val="0"/>
              <w:widowControl/>
              <w:suppressLineNumbers w:val="0"/>
              <w:jc w:val="center"/>
              <w:textAlignment w:val="center"/>
              <w:rPr>
                <w:rFonts w:hint="default" w:ascii="Times New Roman" w:hAnsi="Times New Roman" w:eastAsia="宋体" w:cs="Times New Roman"/>
                <w:color w:val="000000"/>
                <w:kern w:val="2"/>
                <w:sz w:val="21"/>
                <w:szCs w:val="21"/>
                <w:highlight w:val="none"/>
                <w:lang w:val="en-US" w:eastAsia="zh-CN" w:bidi="ar-SA"/>
              </w:rPr>
            </w:pPr>
            <w:r>
              <w:rPr>
                <w:rFonts w:hint="default" w:ascii="Times New Roman" w:hAnsi="Times New Roman" w:eastAsia="宋体" w:cs="Times New Roman"/>
                <w:b w:val="0"/>
                <w:bCs w:val="0"/>
                <w:color w:val="000000"/>
                <w:sz w:val="21"/>
                <w:szCs w:val="21"/>
                <w:highlight w:val="none"/>
                <w:lang w:val="en-US" w:eastAsia="zh-CN"/>
              </w:rPr>
              <w:t>锌</w:t>
            </w:r>
          </w:p>
        </w:tc>
        <w:tc>
          <w:tcPr>
            <w:tcW w:w="4568" w:type="dxa"/>
            <w:tcBorders>
              <w:tl2br w:val="nil"/>
              <w:tr2bl w:val="nil"/>
            </w:tcBorders>
            <w:noWrap w:val="0"/>
            <w:vAlign w:val="center"/>
          </w:tcPr>
          <w:p w14:paraId="6B0F96E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Style w:val="542"/>
                <w:rFonts w:hint="default" w:ascii="Times New Roman" w:hAnsi="Times New Roman" w:eastAsia="宋体" w:cs="Times New Roman"/>
                <w:color w:val="000000"/>
                <w:sz w:val="21"/>
                <w:szCs w:val="21"/>
                <w:highlight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水质</w:t>
            </w:r>
            <w:r>
              <w:rPr>
                <w:rStyle w:val="542"/>
                <w:rFonts w:hint="default" w:ascii="Times New Roman" w:hAnsi="Times New Roman" w:eastAsia="宋体" w:cs="Times New Roman"/>
                <w:color w:val="000000"/>
                <w:sz w:val="21"/>
                <w:szCs w:val="21"/>
                <w:highlight w:val="none"/>
                <w:lang w:val="en-US" w:eastAsia="zh-CN" w:bidi="ar"/>
              </w:rPr>
              <w:t xml:space="preserve"> </w:t>
            </w:r>
            <w:r>
              <w:rPr>
                <w:rFonts w:hint="default" w:ascii="Times New Roman" w:hAnsi="Times New Roman" w:eastAsia="宋体" w:cs="Times New Roman"/>
                <w:i w:val="0"/>
                <w:iCs w:val="0"/>
                <w:color w:val="000000"/>
                <w:kern w:val="0"/>
                <w:sz w:val="21"/>
                <w:szCs w:val="21"/>
                <w:highlight w:val="none"/>
                <w:u w:val="none"/>
                <w:lang w:val="en-US" w:eastAsia="zh-CN" w:bidi="ar"/>
              </w:rPr>
              <w:t>铜、锌、铅、镉的测定</w:t>
            </w:r>
          </w:p>
          <w:p w14:paraId="618C911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宋体" w:cs="Times New Roman"/>
                <w:b w:val="0"/>
                <w:bCs w:val="0"/>
                <w:color w:val="000000"/>
                <w:kern w:val="0"/>
                <w:sz w:val="21"/>
                <w:szCs w:val="21"/>
                <w:lang w:val="en-US" w:eastAsia="zh-CN" w:bidi="ar-SA"/>
              </w:rPr>
            </w:pPr>
            <w:r>
              <w:rPr>
                <w:rFonts w:hint="default" w:ascii="Times New Roman" w:hAnsi="Times New Roman" w:eastAsia="宋体" w:cs="Times New Roman"/>
                <w:i w:val="0"/>
                <w:iCs w:val="0"/>
                <w:color w:val="000000"/>
                <w:kern w:val="0"/>
                <w:sz w:val="21"/>
                <w:szCs w:val="21"/>
                <w:highlight w:val="none"/>
                <w:u w:val="none"/>
                <w:lang w:val="en-US" w:eastAsia="zh-CN" w:bidi="ar"/>
              </w:rPr>
              <w:t>原子吸收分光光度法</w:t>
            </w:r>
            <w:r>
              <w:rPr>
                <w:rStyle w:val="542"/>
                <w:rFonts w:hint="default" w:ascii="Times New Roman" w:hAnsi="Times New Roman" w:eastAsia="宋体" w:cs="Times New Roman"/>
                <w:color w:val="000000"/>
                <w:sz w:val="21"/>
                <w:szCs w:val="21"/>
                <w:highlight w:val="none"/>
                <w:lang w:val="en-US" w:eastAsia="zh-CN" w:bidi="ar"/>
              </w:rPr>
              <w:t xml:space="preserve"> GB/T 7475-1987</w:t>
            </w:r>
          </w:p>
        </w:tc>
        <w:tc>
          <w:tcPr>
            <w:tcW w:w="2127" w:type="dxa"/>
            <w:tcBorders>
              <w:tl2br w:val="nil"/>
              <w:tr2bl w:val="nil"/>
            </w:tcBorders>
            <w:noWrap w:val="0"/>
            <w:vAlign w:val="center"/>
          </w:tcPr>
          <w:p w14:paraId="20530E7B">
            <w:pPr>
              <w:widowControl w:val="0"/>
              <w:tabs>
                <w:tab w:val="left" w:pos="471"/>
              </w:tabs>
              <w:spacing w:line="240" w:lineRule="auto"/>
              <w:jc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color w:val="000000"/>
                <w:sz w:val="21"/>
                <w:szCs w:val="21"/>
                <w:lang w:val="en-US" w:eastAsia="zh-CN"/>
              </w:rPr>
              <w:t>原子吸收分光光度计TAS-990AFG</w:t>
            </w:r>
          </w:p>
        </w:tc>
        <w:tc>
          <w:tcPr>
            <w:tcW w:w="1263" w:type="dxa"/>
            <w:tcBorders>
              <w:tl2br w:val="nil"/>
              <w:tr2bl w:val="nil"/>
            </w:tcBorders>
            <w:noWrap w:val="0"/>
            <w:vAlign w:val="center"/>
          </w:tcPr>
          <w:p w14:paraId="1C29F325">
            <w:pPr>
              <w:widowControl/>
              <w:spacing w:line="240" w:lineRule="auto"/>
              <w:jc w:val="center"/>
              <w:textAlignment w:val="center"/>
              <w:rPr>
                <w:rFonts w:hint="default" w:ascii="Times New Roman" w:hAnsi="Times New Roman" w:eastAsia="宋体" w:cs="Times New Roman"/>
                <w:b w:val="0"/>
                <w:bCs w:val="0"/>
                <w:color w:val="000000"/>
                <w:kern w:val="0"/>
                <w:sz w:val="21"/>
                <w:szCs w:val="21"/>
                <w:lang w:val="en-US" w:eastAsia="zh-CN" w:bidi="ar-SA"/>
              </w:rPr>
            </w:pPr>
            <w:r>
              <w:rPr>
                <w:rFonts w:hint="default" w:ascii="Times New Roman" w:hAnsi="Times New Roman" w:eastAsia="宋体" w:cs="Times New Roman"/>
                <w:b w:val="0"/>
                <w:bCs w:val="0"/>
                <w:color w:val="000000"/>
                <w:kern w:val="0"/>
                <w:sz w:val="21"/>
                <w:szCs w:val="21"/>
                <w:lang w:val="en-US" w:eastAsia="zh-CN" w:bidi="ar-SA"/>
              </w:rPr>
              <w:t>0.05mg/L</w:t>
            </w:r>
          </w:p>
        </w:tc>
      </w:tr>
      <w:tr w14:paraId="5FA8A09B">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652" w:hRule="atLeast"/>
        </w:trPr>
        <w:tc>
          <w:tcPr>
            <w:tcW w:w="668" w:type="dxa"/>
            <w:tcBorders>
              <w:tl2br w:val="nil"/>
              <w:tr2bl w:val="nil"/>
            </w:tcBorders>
            <w:noWrap w:val="0"/>
            <w:vAlign w:val="center"/>
          </w:tcPr>
          <w:p w14:paraId="7EDA65B0">
            <w:pPr>
              <w:widowControl/>
              <w:jc w:val="center"/>
              <w:textAlignment w:val="center"/>
              <w:rPr>
                <w:rFonts w:hint="default" w:ascii="Times New Roman" w:hAnsi="Times New Roman" w:eastAsia="宋体" w:cs="Times New Roman"/>
                <w:sz w:val="21"/>
                <w:szCs w:val="21"/>
                <w:lang w:val="en-US" w:eastAsia="zh-CN"/>
              </w:rPr>
            </w:pPr>
            <w:r>
              <w:rPr>
                <w:rFonts w:hint="default" w:ascii="Times New Roman" w:hAnsi="Times New Roman" w:cs="Times New Roman"/>
                <w:sz w:val="21"/>
                <w:szCs w:val="21"/>
                <w:lang w:val="en-US" w:eastAsia="zh-CN"/>
              </w:rPr>
              <w:t>18</w:t>
            </w:r>
          </w:p>
        </w:tc>
        <w:tc>
          <w:tcPr>
            <w:tcW w:w="1336" w:type="dxa"/>
            <w:tcBorders>
              <w:tl2br w:val="nil"/>
              <w:tr2bl w:val="nil"/>
            </w:tcBorders>
            <w:noWrap w:val="0"/>
            <w:vAlign w:val="center"/>
          </w:tcPr>
          <w:p w14:paraId="7D32B303">
            <w:pPr>
              <w:keepNext w:val="0"/>
              <w:keepLines w:val="0"/>
              <w:widowControl/>
              <w:suppressLineNumbers w:val="0"/>
              <w:jc w:val="center"/>
              <w:textAlignment w:val="center"/>
              <w:rPr>
                <w:rFonts w:hint="default" w:ascii="Times New Roman" w:hAnsi="Times New Roman" w:eastAsia="宋体" w:cs="Times New Roman"/>
                <w:color w:val="000000"/>
                <w:kern w:val="2"/>
                <w:sz w:val="21"/>
                <w:szCs w:val="21"/>
                <w:highlight w:val="none"/>
                <w:lang w:val="en-US" w:eastAsia="zh-CN" w:bidi="ar-SA"/>
              </w:rPr>
            </w:pPr>
            <w:r>
              <w:rPr>
                <w:rFonts w:hint="default" w:ascii="Times New Roman" w:hAnsi="Times New Roman" w:eastAsia="宋体" w:cs="Times New Roman"/>
                <w:b w:val="0"/>
                <w:bCs w:val="0"/>
                <w:color w:val="000000"/>
                <w:sz w:val="21"/>
                <w:szCs w:val="21"/>
                <w:highlight w:val="none"/>
                <w:lang w:val="en-US" w:eastAsia="zh-CN"/>
              </w:rPr>
              <w:t>铅</w:t>
            </w:r>
          </w:p>
        </w:tc>
        <w:tc>
          <w:tcPr>
            <w:tcW w:w="4568" w:type="dxa"/>
            <w:tcBorders>
              <w:tl2br w:val="nil"/>
              <w:tr2bl w:val="nil"/>
            </w:tcBorders>
            <w:noWrap w:val="0"/>
            <w:vAlign w:val="center"/>
          </w:tcPr>
          <w:p w14:paraId="765CCA9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《水和废水监测分析方法》（第四版）</w:t>
            </w:r>
          </w:p>
          <w:p w14:paraId="4CFDB7A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宋体" w:cs="Times New Roman"/>
                <w:b w:val="0"/>
                <w:bCs w:val="0"/>
                <w:color w:val="000000"/>
                <w:kern w:val="0"/>
                <w:sz w:val="21"/>
                <w:szCs w:val="21"/>
                <w:highlight w:val="none"/>
                <w:lang w:val="en-US" w:eastAsia="zh-CN" w:bidi="ar-SA"/>
              </w:rPr>
            </w:pPr>
            <w:r>
              <w:rPr>
                <w:rFonts w:hint="default" w:ascii="Times New Roman" w:hAnsi="Times New Roman" w:eastAsia="宋体" w:cs="Times New Roman"/>
                <w:i w:val="0"/>
                <w:iCs w:val="0"/>
                <w:color w:val="000000"/>
                <w:kern w:val="0"/>
                <w:sz w:val="21"/>
                <w:szCs w:val="21"/>
                <w:highlight w:val="none"/>
                <w:u w:val="none"/>
                <w:lang w:val="en-US" w:eastAsia="zh-CN" w:bidi="ar"/>
              </w:rPr>
              <w:t>国家环境保护总局（2002年）</w:t>
            </w:r>
            <w:r>
              <w:rPr>
                <w:rStyle w:val="542"/>
                <w:rFonts w:hint="default" w:ascii="Times New Roman" w:hAnsi="Times New Roman" w:eastAsia="宋体" w:cs="Times New Roman"/>
                <w:color w:val="000000"/>
                <w:sz w:val="21"/>
                <w:szCs w:val="21"/>
                <w:highlight w:val="none"/>
                <w:lang w:val="en-US" w:eastAsia="zh-CN" w:bidi="ar"/>
              </w:rPr>
              <w:t xml:space="preserve"> </w:t>
            </w:r>
            <w:r>
              <w:rPr>
                <w:rFonts w:hint="default" w:ascii="Times New Roman" w:hAnsi="Times New Roman" w:eastAsia="宋体" w:cs="Times New Roman"/>
                <w:i w:val="0"/>
                <w:iCs w:val="0"/>
                <w:color w:val="000000"/>
                <w:kern w:val="0"/>
                <w:sz w:val="21"/>
                <w:szCs w:val="21"/>
                <w:highlight w:val="none"/>
                <w:u w:val="none"/>
                <w:lang w:val="en-US" w:eastAsia="zh-CN" w:bidi="ar"/>
              </w:rPr>
              <w:t>第三篇 第四章</w:t>
            </w:r>
            <w:r>
              <w:rPr>
                <w:rStyle w:val="542"/>
                <w:rFonts w:hint="eastAsia" w:ascii="Times New Roman" w:hAnsi="Times New Roman" w:eastAsia="宋体" w:cs="Times New Roman"/>
                <w:color w:val="000000"/>
                <w:sz w:val="21"/>
                <w:szCs w:val="21"/>
                <w:highlight w:val="none"/>
                <w:lang w:val="en-US" w:eastAsia="zh-CN" w:bidi="ar"/>
              </w:rPr>
              <w:t xml:space="preserve"> </w:t>
            </w:r>
            <w:r>
              <w:rPr>
                <w:rFonts w:hint="default" w:ascii="Times New Roman" w:hAnsi="Times New Roman" w:eastAsia="宋体" w:cs="Times New Roman"/>
                <w:i w:val="0"/>
                <w:iCs w:val="0"/>
                <w:color w:val="000000"/>
                <w:kern w:val="0"/>
                <w:sz w:val="21"/>
                <w:szCs w:val="21"/>
                <w:highlight w:val="none"/>
                <w:u w:val="none"/>
                <w:lang w:val="en-US" w:eastAsia="zh-CN" w:bidi="ar"/>
              </w:rPr>
              <w:t>十六 （五） 石墨炉原子吸收法</w:t>
            </w:r>
          </w:p>
        </w:tc>
        <w:tc>
          <w:tcPr>
            <w:tcW w:w="2127" w:type="dxa"/>
            <w:tcBorders>
              <w:tl2br w:val="nil"/>
              <w:tr2bl w:val="nil"/>
            </w:tcBorders>
            <w:noWrap w:val="0"/>
            <w:vAlign w:val="center"/>
          </w:tcPr>
          <w:p w14:paraId="1AD3D8EE">
            <w:pPr>
              <w:widowControl w:val="0"/>
              <w:tabs>
                <w:tab w:val="left" w:pos="471"/>
              </w:tabs>
              <w:spacing w:line="240" w:lineRule="auto"/>
              <w:jc w:val="center"/>
              <w:rPr>
                <w:rFonts w:hint="default" w:ascii="Times New Roman" w:hAnsi="Times New Roman" w:eastAsia="宋体" w:cs="Times New Roman"/>
                <w:b w:val="0"/>
                <w:bCs w:val="0"/>
                <w:color w:val="000000"/>
                <w:kern w:val="0"/>
                <w:sz w:val="21"/>
                <w:szCs w:val="21"/>
                <w:highlight w:val="none"/>
                <w:lang w:val="en-US" w:eastAsia="zh-CN" w:bidi="ar-SA"/>
              </w:rPr>
            </w:pPr>
            <w:r>
              <w:rPr>
                <w:rFonts w:hint="default" w:ascii="Times New Roman" w:hAnsi="Times New Roman" w:eastAsia="宋体" w:cs="Times New Roman"/>
                <w:color w:val="000000"/>
                <w:sz w:val="21"/>
                <w:szCs w:val="21"/>
                <w:highlight w:val="none"/>
                <w:lang w:val="en-US" w:eastAsia="zh-CN"/>
              </w:rPr>
              <w:t>原子吸收分光光度计TAS-990AFG</w:t>
            </w:r>
          </w:p>
        </w:tc>
        <w:tc>
          <w:tcPr>
            <w:tcW w:w="1263" w:type="dxa"/>
            <w:tcBorders>
              <w:tl2br w:val="nil"/>
              <w:tr2bl w:val="nil"/>
            </w:tcBorders>
            <w:noWrap w:val="0"/>
            <w:vAlign w:val="center"/>
          </w:tcPr>
          <w:p w14:paraId="6DC100BA">
            <w:pPr>
              <w:widowControl/>
              <w:spacing w:line="240" w:lineRule="auto"/>
              <w:jc w:val="center"/>
              <w:textAlignment w:val="center"/>
              <w:rPr>
                <w:rFonts w:hint="default" w:ascii="Times New Roman" w:hAnsi="Times New Roman" w:eastAsia="宋体" w:cs="Times New Roman"/>
                <w:b w:val="0"/>
                <w:bCs w:val="0"/>
                <w:color w:val="000000"/>
                <w:kern w:val="0"/>
                <w:sz w:val="21"/>
                <w:szCs w:val="21"/>
                <w:highlight w:val="none"/>
                <w:lang w:val="en-US" w:eastAsia="zh-CN" w:bidi="ar-SA"/>
              </w:rPr>
            </w:pPr>
            <w:r>
              <w:rPr>
                <w:rFonts w:hint="default" w:ascii="Times New Roman" w:hAnsi="Times New Roman" w:cs="Times New Roman"/>
                <w:b w:val="0"/>
                <w:bCs w:val="0"/>
                <w:color w:val="000000"/>
                <w:kern w:val="0"/>
                <w:sz w:val="21"/>
                <w:szCs w:val="21"/>
                <w:highlight w:val="none"/>
                <w:lang w:val="en-US" w:eastAsia="zh-CN" w:bidi="ar-SA"/>
              </w:rPr>
              <w:t>1</w:t>
            </w:r>
            <w:r>
              <w:rPr>
                <w:rFonts w:hint="default" w:ascii="Times New Roman" w:hAnsi="Times New Roman" w:cs="Times New Roman"/>
                <w:b w:val="0"/>
                <w:bCs w:val="0"/>
                <w:color w:val="000000"/>
                <w:kern w:val="0"/>
                <w:sz w:val="21"/>
                <w:szCs w:val="21"/>
                <w:lang w:val="en-US" w:eastAsia="zh-CN" w:bidi="ar-SA"/>
              </w:rPr>
              <w:t>μ</w:t>
            </w:r>
            <w:r>
              <w:rPr>
                <w:rFonts w:hint="default" w:ascii="Times New Roman" w:hAnsi="Times New Roman" w:eastAsia="宋体" w:cs="Times New Roman"/>
                <w:b w:val="0"/>
                <w:bCs w:val="0"/>
                <w:color w:val="000000"/>
                <w:kern w:val="0"/>
                <w:sz w:val="21"/>
                <w:szCs w:val="21"/>
                <w:lang w:val="en-US" w:eastAsia="zh-CN" w:bidi="ar-SA"/>
              </w:rPr>
              <w:t>g/L</w:t>
            </w:r>
          </w:p>
        </w:tc>
      </w:tr>
      <w:tr w14:paraId="1B403670">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652" w:hRule="atLeast"/>
        </w:trPr>
        <w:tc>
          <w:tcPr>
            <w:tcW w:w="668" w:type="dxa"/>
            <w:tcBorders>
              <w:tl2br w:val="nil"/>
              <w:tr2bl w:val="nil"/>
            </w:tcBorders>
            <w:noWrap w:val="0"/>
            <w:vAlign w:val="center"/>
          </w:tcPr>
          <w:p w14:paraId="0E212D9C">
            <w:pPr>
              <w:widowControl/>
              <w:jc w:val="center"/>
              <w:textAlignment w:val="center"/>
              <w:rPr>
                <w:rFonts w:hint="default" w:ascii="Times New Roman" w:hAnsi="Times New Roman" w:eastAsia="宋体" w:cs="Times New Roman"/>
                <w:sz w:val="21"/>
                <w:szCs w:val="21"/>
                <w:lang w:val="en-US" w:eastAsia="zh-CN"/>
              </w:rPr>
            </w:pPr>
            <w:r>
              <w:rPr>
                <w:rFonts w:hint="default" w:ascii="Times New Roman" w:hAnsi="Times New Roman" w:cs="Times New Roman"/>
                <w:sz w:val="21"/>
                <w:szCs w:val="21"/>
                <w:lang w:val="en-US" w:eastAsia="zh-CN"/>
              </w:rPr>
              <w:t>19</w:t>
            </w:r>
          </w:p>
        </w:tc>
        <w:tc>
          <w:tcPr>
            <w:tcW w:w="1336" w:type="dxa"/>
            <w:tcBorders>
              <w:tl2br w:val="nil"/>
              <w:tr2bl w:val="nil"/>
            </w:tcBorders>
            <w:noWrap w:val="0"/>
            <w:vAlign w:val="center"/>
          </w:tcPr>
          <w:p w14:paraId="3FA45486">
            <w:pPr>
              <w:keepNext w:val="0"/>
              <w:keepLines w:val="0"/>
              <w:widowControl/>
              <w:suppressLineNumbers w:val="0"/>
              <w:jc w:val="center"/>
              <w:textAlignment w:val="center"/>
              <w:rPr>
                <w:rFonts w:hint="default" w:ascii="Times New Roman" w:hAnsi="Times New Roman" w:eastAsia="宋体" w:cs="Times New Roman"/>
                <w:color w:val="000000"/>
                <w:kern w:val="2"/>
                <w:sz w:val="21"/>
                <w:szCs w:val="21"/>
                <w:highlight w:val="none"/>
                <w:lang w:val="en-US" w:eastAsia="zh-CN" w:bidi="ar-SA"/>
              </w:rPr>
            </w:pPr>
            <w:r>
              <w:rPr>
                <w:rFonts w:hint="default" w:ascii="Times New Roman" w:hAnsi="Times New Roman" w:eastAsia="宋体" w:cs="Times New Roman"/>
                <w:b w:val="0"/>
                <w:bCs w:val="0"/>
                <w:color w:val="000000"/>
                <w:sz w:val="21"/>
                <w:szCs w:val="21"/>
                <w:highlight w:val="none"/>
                <w:lang w:val="en-US" w:eastAsia="zh-CN"/>
              </w:rPr>
              <w:t>镉</w:t>
            </w:r>
          </w:p>
        </w:tc>
        <w:tc>
          <w:tcPr>
            <w:tcW w:w="4568" w:type="dxa"/>
            <w:tcBorders>
              <w:tl2br w:val="nil"/>
              <w:tr2bl w:val="nil"/>
            </w:tcBorders>
            <w:noWrap w:val="0"/>
            <w:vAlign w:val="center"/>
          </w:tcPr>
          <w:p w14:paraId="06D97E8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《水和废水监测分析方法》（第四版）</w:t>
            </w:r>
          </w:p>
          <w:p w14:paraId="5E6A2E2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宋体" w:cs="Times New Roman"/>
                <w:b w:val="0"/>
                <w:bCs w:val="0"/>
                <w:color w:val="000000"/>
                <w:kern w:val="0"/>
                <w:sz w:val="21"/>
                <w:szCs w:val="21"/>
                <w:highlight w:val="none"/>
                <w:lang w:val="en-US" w:eastAsia="zh-CN" w:bidi="ar-SA"/>
              </w:rPr>
            </w:pPr>
            <w:r>
              <w:rPr>
                <w:rFonts w:hint="default" w:ascii="Times New Roman" w:hAnsi="Times New Roman" w:eastAsia="宋体" w:cs="Times New Roman"/>
                <w:i w:val="0"/>
                <w:iCs w:val="0"/>
                <w:color w:val="000000"/>
                <w:kern w:val="0"/>
                <w:sz w:val="21"/>
                <w:szCs w:val="21"/>
                <w:highlight w:val="none"/>
                <w:u w:val="none"/>
                <w:lang w:val="en-US" w:eastAsia="zh-CN" w:bidi="ar"/>
              </w:rPr>
              <w:t>国家环境保护总局（2002年）</w:t>
            </w:r>
            <w:r>
              <w:rPr>
                <w:rStyle w:val="542"/>
                <w:rFonts w:hint="default" w:ascii="Times New Roman" w:hAnsi="Times New Roman" w:eastAsia="宋体" w:cs="Times New Roman"/>
                <w:color w:val="000000"/>
                <w:sz w:val="21"/>
                <w:szCs w:val="21"/>
                <w:highlight w:val="none"/>
                <w:lang w:val="en-US" w:eastAsia="zh-CN" w:bidi="ar"/>
              </w:rPr>
              <w:t xml:space="preserve"> </w:t>
            </w:r>
            <w:r>
              <w:rPr>
                <w:rFonts w:hint="default" w:ascii="Times New Roman" w:hAnsi="Times New Roman" w:eastAsia="宋体" w:cs="Times New Roman"/>
                <w:i w:val="0"/>
                <w:iCs w:val="0"/>
                <w:color w:val="000000"/>
                <w:kern w:val="0"/>
                <w:sz w:val="21"/>
                <w:szCs w:val="21"/>
                <w:highlight w:val="none"/>
                <w:u w:val="none"/>
                <w:lang w:val="en-US" w:eastAsia="zh-CN" w:bidi="ar"/>
              </w:rPr>
              <w:t>第三篇 第四章</w:t>
            </w:r>
            <w:r>
              <w:rPr>
                <w:rStyle w:val="542"/>
                <w:rFonts w:hint="eastAsia" w:ascii="Times New Roman" w:hAnsi="Times New Roman" w:eastAsia="宋体" w:cs="Times New Roman"/>
                <w:color w:val="000000"/>
                <w:sz w:val="21"/>
                <w:szCs w:val="21"/>
                <w:highlight w:val="none"/>
                <w:lang w:val="en-US" w:eastAsia="zh-CN" w:bidi="ar"/>
              </w:rPr>
              <w:t xml:space="preserve"> </w:t>
            </w:r>
            <w:r>
              <w:rPr>
                <w:rFonts w:hint="default" w:ascii="Times New Roman" w:hAnsi="Times New Roman" w:eastAsia="宋体" w:cs="Times New Roman"/>
                <w:i w:val="0"/>
                <w:iCs w:val="0"/>
                <w:color w:val="000000"/>
                <w:kern w:val="0"/>
                <w:sz w:val="21"/>
                <w:szCs w:val="21"/>
                <w:highlight w:val="none"/>
                <w:u w:val="none"/>
                <w:lang w:val="en-US" w:eastAsia="zh-CN" w:bidi="ar"/>
              </w:rPr>
              <w:t>七 （四） 石墨炉原子吸收法测定镉、铜和铅</w:t>
            </w:r>
          </w:p>
        </w:tc>
        <w:tc>
          <w:tcPr>
            <w:tcW w:w="2127" w:type="dxa"/>
            <w:tcBorders>
              <w:tl2br w:val="nil"/>
              <w:tr2bl w:val="nil"/>
            </w:tcBorders>
            <w:noWrap w:val="0"/>
            <w:vAlign w:val="center"/>
          </w:tcPr>
          <w:p w14:paraId="6D5B5C7B">
            <w:pPr>
              <w:widowControl w:val="0"/>
              <w:tabs>
                <w:tab w:val="left" w:pos="471"/>
              </w:tabs>
              <w:spacing w:line="240" w:lineRule="auto"/>
              <w:jc w:val="center"/>
              <w:rPr>
                <w:rFonts w:hint="default" w:ascii="Times New Roman" w:hAnsi="Times New Roman" w:eastAsia="宋体" w:cs="Times New Roman"/>
                <w:b w:val="0"/>
                <w:bCs w:val="0"/>
                <w:color w:val="000000"/>
                <w:kern w:val="0"/>
                <w:sz w:val="21"/>
                <w:szCs w:val="21"/>
                <w:highlight w:val="none"/>
                <w:lang w:val="en-US" w:eastAsia="zh-CN" w:bidi="ar-SA"/>
              </w:rPr>
            </w:pPr>
            <w:r>
              <w:rPr>
                <w:rFonts w:hint="default" w:ascii="Times New Roman" w:hAnsi="Times New Roman" w:eastAsia="宋体" w:cs="Times New Roman"/>
                <w:color w:val="000000"/>
                <w:sz w:val="21"/>
                <w:szCs w:val="21"/>
                <w:highlight w:val="none"/>
                <w:lang w:val="en-US" w:eastAsia="zh-CN"/>
              </w:rPr>
              <w:t>原子吸收分光光度计TAS-990AFG</w:t>
            </w:r>
          </w:p>
        </w:tc>
        <w:tc>
          <w:tcPr>
            <w:tcW w:w="1263" w:type="dxa"/>
            <w:tcBorders>
              <w:tl2br w:val="nil"/>
              <w:tr2bl w:val="nil"/>
            </w:tcBorders>
            <w:noWrap w:val="0"/>
            <w:vAlign w:val="center"/>
          </w:tcPr>
          <w:p w14:paraId="77A18761">
            <w:pPr>
              <w:widowControl/>
              <w:spacing w:line="240" w:lineRule="auto"/>
              <w:jc w:val="center"/>
              <w:textAlignment w:val="center"/>
              <w:rPr>
                <w:rFonts w:hint="default" w:ascii="Times New Roman" w:hAnsi="Times New Roman" w:eastAsia="宋体" w:cs="Times New Roman"/>
                <w:b w:val="0"/>
                <w:bCs w:val="0"/>
                <w:color w:val="000000"/>
                <w:kern w:val="0"/>
                <w:sz w:val="21"/>
                <w:szCs w:val="21"/>
                <w:highlight w:val="none"/>
                <w:lang w:val="en-US" w:eastAsia="zh-CN" w:bidi="ar-SA"/>
              </w:rPr>
            </w:pPr>
            <w:r>
              <w:rPr>
                <w:rFonts w:hint="default" w:ascii="Times New Roman" w:hAnsi="Times New Roman" w:cs="Times New Roman"/>
                <w:b w:val="0"/>
                <w:bCs w:val="0"/>
                <w:color w:val="000000"/>
                <w:kern w:val="0"/>
                <w:sz w:val="21"/>
                <w:szCs w:val="21"/>
                <w:highlight w:val="none"/>
                <w:lang w:val="en-US" w:eastAsia="zh-CN" w:bidi="ar-SA"/>
              </w:rPr>
              <w:t>0.1</w:t>
            </w:r>
            <w:r>
              <w:rPr>
                <w:rFonts w:hint="default" w:ascii="Times New Roman" w:hAnsi="Times New Roman" w:cs="Times New Roman"/>
                <w:b w:val="0"/>
                <w:bCs w:val="0"/>
                <w:color w:val="000000"/>
                <w:kern w:val="0"/>
                <w:sz w:val="21"/>
                <w:szCs w:val="21"/>
                <w:lang w:val="en-US" w:eastAsia="zh-CN" w:bidi="ar-SA"/>
              </w:rPr>
              <w:t>μ</w:t>
            </w:r>
            <w:r>
              <w:rPr>
                <w:rFonts w:hint="default" w:ascii="Times New Roman" w:hAnsi="Times New Roman" w:eastAsia="宋体" w:cs="Times New Roman"/>
                <w:b w:val="0"/>
                <w:bCs w:val="0"/>
                <w:color w:val="000000"/>
                <w:kern w:val="0"/>
                <w:sz w:val="21"/>
                <w:szCs w:val="21"/>
                <w:lang w:val="en-US" w:eastAsia="zh-CN" w:bidi="ar-SA"/>
              </w:rPr>
              <w:t>g/L</w:t>
            </w:r>
          </w:p>
        </w:tc>
      </w:tr>
      <w:tr w14:paraId="2B828D89">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652" w:hRule="atLeast"/>
        </w:trPr>
        <w:tc>
          <w:tcPr>
            <w:tcW w:w="668" w:type="dxa"/>
            <w:tcBorders>
              <w:tl2br w:val="nil"/>
              <w:tr2bl w:val="nil"/>
            </w:tcBorders>
            <w:noWrap w:val="0"/>
            <w:vAlign w:val="center"/>
          </w:tcPr>
          <w:p w14:paraId="5562256B">
            <w:pPr>
              <w:widowControl/>
              <w:jc w:val="center"/>
              <w:textAlignment w:val="center"/>
              <w:rPr>
                <w:rFonts w:hint="default" w:ascii="Times New Roman" w:hAnsi="Times New Roman" w:eastAsia="宋体" w:cs="Times New Roman"/>
                <w:sz w:val="21"/>
                <w:szCs w:val="21"/>
                <w:lang w:val="en-US" w:eastAsia="zh-CN"/>
              </w:rPr>
            </w:pPr>
            <w:r>
              <w:rPr>
                <w:rFonts w:hint="default" w:ascii="Times New Roman" w:hAnsi="Times New Roman" w:cs="Times New Roman"/>
                <w:sz w:val="21"/>
                <w:szCs w:val="21"/>
                <w:lang w:val="en-US" w:eastAsia="zh-CN"/>
              </w:rPr>
              <w:t>20</w:t>
            </w:r>
          </w:p>
        </w:tc>
        <w:tc>
          <w:tcPr>
            <w:tcW w:w="1336" w:type="dxa"/>
            <w:tcBorders>
              <w:tl2br w:val="nil"/>
              <w:tr2bl w:val="nil"/>
            </w:tcBorders>
            <w:noWrap w:val="0"/>
            <w:vAlign w:val="center"/>
          </w:tcPr>
          <w:p w14:paraId="3F146B37">
            <w:pPr>
              <w:keepNext w:val="0"/>
              <w:keepLines w:val="0"/>
              <w:widowControl/>
              <w:suppressLineNumbers w:val="0"/>
              <w:jc w:val="center"/>
              <w:textAlignment w:val="center"/>
              <w:rPr>
                <w:rFonts w:hint="default" w:ascii="Times New Roman" w:hAnsi="Times New Roman" w:eastAsia="宋体" w:cs="Times New Roman"/>
                <w:color w:val="000000"/>
                <w:kern w:val="2"/>
                <w:sz w:val="21"/>
                <w:szCs w:val="21"/>
                <w:highlight w:val="none"/>
                <w:lang w:val="en-US" w:eastAsia="zh-CN" w:bidi="ar-SA"/>
              </w:rPr>
            </w:pPr>
            <w:r>
              <w:rPr>
                <w:rFonts w:hint="default" w:ascii="Times New Roman" w:hAnsi="Times New Roman" w:cs="Times New Roman"/>
                <w:color w:val="000000"/>
                <w:kern w:val="2"/>
                <w:sz w:val="21"/>
                <w:szCs w:val="21"/>
                <w:highlight w:val="none"/>
                <w:lang w:val="en-US" w:eastAsia="zh-CN" w:bidi="ar-SA"/>
              </w:rPr>
              <w:t>六价铬</w:t>
            </w:r>
          </w:p>
        </w:tc>
        <w:tc>
          <w:tcPr>
            <w:tcW w:w="4568" w:type="dxa"/>
            <w:tcBorders>
              <w:tl2br w:val="nil"/>
              <w:tr2bl w:val="nil"/>
            </w:tcBorders>
            <w:noWrap w:val="0"/>
            <w:vAlign w:val="center"/>
          </w:tcPr>
          <w:p w14:paraId="258D1A8B">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 xml:space="preserve">水质 六价铬的测定 </w:t>
            </w:r>
          </w:p>
          <w:p w14:paraId="4852E813">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二苯碳酰二肼分光光度法 GB/T 7467-1987</w:t>
            </w:r>
          </w:p>
        </w:tc>
        <w:tc>
          <w:tcPr>
            <w:tcW w:w="2127" w:type="dxa"/>
            <w:tcBorders>
              <w:tl2br w:val="nil"/>
              <w:tr2bl w:val="nil"/>
            </w:tcBorders>
            <w:noWrap w:val="0"/>
            <w:vAlign w:val="center"/>
          </w:tcPr>
          <w:p w14:paraId="039A5A72">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紫外可见分光光度计</w:t>
            </w:r>
          </w:p>
          <w:p w14:paraId="2297459A">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T6新世纪</w:t>
            </w:r>
          </w:p>
        </w:tc>
        <w:tc>
          <w:tcPr>
            <w:tcW w:w="1263" w:type="dxa"/>
            <w:tcBorders>
              <w:tl2br w:val="nil"/>
              <w:tr2bl w:val="nil"/>
            </w:tcBorders>
            <w:noWrap w:val="0"/>
            <w:vAlign w:val="center"/>
          </w:tcPr>
          <w:p w14:paraId="5CD123D2">
            <w:pPr>
              <w:widowControl/>
              <w:spacing w:line="240" w:lineRule="auto"/>
              <w:jc w:val="center"/>
              <w:textAlignment w:val="center"/>
              <w:rPr>
                <w:rFonts w:hint="default" w:ascii="Times New Roman" w:hAnsi="Times New Roman" w:eastAsia="宋体" w:cs="Times New Roman"/>
                <w:b w:val="0"/>
                <w:bCs w:val="0"/>
                <w:color w:val="000000"/>
                <w:kern w:val="0"/>
                <w:sz w:val="21"/>
                <w:szCs w:val="21"/>
                <w:highlight w:val="none"/>
                <w:lang w:val="en-US" w:eastAsia="zh-CN" w:bidi="ar-SA"/>
              </w:rPr>
            </w:pPr>
            <w:r>
              <w:rPr>
                <w:rFonts w:hint="default" w:ascii="Times New Roman" w:hAnsi="Times New Roman" w:eastAsia="宋体" w:cs="Times New Roman"/>
                <w:b w:val="0"/>
                <w:bCs w:val="0"/>
                <w:color w:val="000000"/>
                <w:kern w:val="0"/>
                <w:sz w:val="21"/>
                <w:szCs w:val="21"/>
                <w:highlight w:val="none"/>
                <w:lang w:val="en-US" w:eastAsia="zh-CN" w:bidi="ar-SA"/>
              </w:rPr>
              <w:t>0.004mg/L</w:t>
            </w:r>
          </w:p>
        </w:tc>
      </w:tr>
      <w:tr w14:paraId="4F0CDC5B">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652" w:hRule="atLeast"/>
        </w:trPr>
        <w:tc>
          <w:tcPr>
            <w:tcW w:w="668" w:type="dxa"/>
            <w:tcBorders>
              <w:tl2br w:val="nil"/>
              <w:tr2bl w:val="nil"/>
            </w:tcBorders>
            <w:noWrap w:val="0"/>
            <w:vAlign w:val="center"/>
          </w:tcPr>
          <w:p w14:paraId="1BDBADE7">
            <w:pPr>
              <w:widowControl/>
              <w:jc w:val="center"/>
              <w:textAlignment w:val="center"/>
              <w:rPr>
                <w:rFonts w:hint="default" w:ascii="Times New Roman" w:hAnsi="Times New Roman" w:eastAsia="宋体" w:cs="Times New Roman"/>
                <w:sz w:val="21"/>
                <w:szCs w:val="21"/>
                <w:lang w:val="en-US" w:eastAsia="zh-CN"/>
              </w:rPr>
            </w:pPr>
            <w:r>
              <w:rPr>
                <w:rFonts w:hint="default" w:ascii="Times New Roman" w:hAnsi="Times New Roman" w:cs="Times New Roman"/>
                <w:sz w:val="21"/>
                <w:szCs w:val="21"/>
                <w:lang w:val="en-US" w:eastAsia="zh-CN"/>
              </w:rPr>
              <w:t>21</w:t>
            </w:r>
          </w:p>
        </w:tc>
        <w:tc>
          <w:tcPr>
            <w:tcW w:w="1336" w:type="dxa"/>
            <w:tcBorders>
              <w:tl2br w:val="nil"/>
              <w:tr2bl w:val="nil"/>
            </w:tcBorders>
            <w:noWrap w:val="0"/>
            <w:vAlign w:val="center"/>
          </w:tcPr>
          <w:p w14:paraId="01F57D2A">
            <w:pPr>
              <w:keepNext w:val="0"/>
              <w:keepLines w:val="0"/>
              <w:widowControl/>
              <w:suppressLineNumbers w:val="0"/>
              <w:jc w:val="center"/>
              <w:textAlignment w:val="center"/>
              <w:rPr>
                <w:rFonts w:hint="default" w:ascii="Times New Roman" w:hAnsi="Times New Roman" w:eastAsia="宋体" w:cs="Times New Roman"/>
                <w:color w:val="000000"/>
                <w:kern w:val="2"/>
                <w:sz w:val="21"/>
                <w:szCs w:val="21"/>
                <w:highlight w:val="none"/>
                <w:lang w:val="en-US" w:eastAsia="zh-CN" w:bidi="ar-SA"/>
              </w:rPr>
            </w:pPr>
            <w:r>
              <w:rPr>
                <w:rFonts w:hint="default" w:ascii="Times New Roman" w:hAnsi="Times New Roman" w:eastAsia="宋体" w:cs="Times New Roman"/>
                <w:b w:val="0"/>
                <w:bCs w:val="0"/>
                <w:color w:val="000000"/>
                <w:sz w:val="21"/>
                <w:szCs w:val="21"/>
                <w:highlight w:val="none"/>
                <w:lang w:val="en-US" w:eastAsia="zh-CN"/>
              </w:rPr>
              <w:t>石油类</w:t>
            </w:r>
          </w:p>
        </w:tc>
        <w:tc>
          <w:tcPr>
            <w:tcW w:w="4568" w:type="dxa"/>
            <w:tcBorders>
              <w:tl2br w:val="nil"/>
              <w:tr2bl w:val="nil"/>
            </w:tcBorders>
            <w:noWrap w:val="0"/>
            <w:vAlign w:val="center"/>
          </w:tcPr>
          <w:p w14:paraId="5ABEA6F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水质</w:t>
            </w:r>
            <w:r>
              <w:rPr>
                <w:rStyle w:val="542"/>
                <w:rFonts w:hint="default" w:ascii="Times New Roman" w:hAnsi="Times New Roman" w:eastAsia="宋体" w:cs="Times New Roman"/>
                <w:color w:val="000000"/>
                <w:sz w:val="21"/>
                <w:szCs w:val="21"/>
                <w:highlight w:val="none"/>
                <w:lang w:val="en-US" w:eastAsia="zh-CN" w:bidi="ar"/>
              </w:rPr>
              <w:t xml:space="preserve"> </w:t>
            </w:r>
            <w:r>
              <w:rPr>
                <w:rFonts w:hint="default" w:ascii="Times New Roman" w:hAnsi="Times New Roman" w:eastAsia="宋体" w:cs="Times New Roman"/>
                <w:i w:val="0"/>
                <w:iCs w:val="0"/>
                <w:color w:val="000000"/>
                <w:kern w:val="0"/>
                <w:sz w:val="21"/>
                <w:szCs w:val="21"/>
                <w:highlight w:val="none"/>
                <w:u w:val="none"/>
                <w:lang w:val="en-US" w:eastAsia="zh-CN" w:bidi="ar"/>
              </w:rPr>
              <w:t>石油类的测定</w:t>
            </w:r>
          </w:p>
          <w:p w14:paraId="52A481A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宋体" w:cs="Times New Roman"/>
                <w:b w:val="0"/>
                <w:bCs w:val="0"/>
                <w:color w:val="000000"/>
                <w:kern w:val="0"/>
                <w:sz w:val="21"/>
                <w:szCs w:val="21"/>
                <w:lang w:val="en-US" w:eastAsia="zh-CN" w:bidi="ar-SA"/>
              </w:rPr>
            </w:pPr>
            <w:r>
              <w:rPr>
                <w:rFonts w:hint="default" w:ascii="Times New Roman" w:hAnsi="Times New Roman" w:eastAsia="宋体" w:cs="Times New Roman"/>
                <w:i w:val="0"/>
                <w:iCs w:val="0"/>
                <w:color w:val="000000"/>
                <w:kern w:val="0"/>
                <w:sz w:val="21"/>
                <w:szCs w:val="21"/>
                <w:highlight w:val="none"/>
                <w:u w:val="none"/>
                <w:lang w:val="en-US" w:eastAsia="zh-CN" w:bidi="ar"/>
              </w:rPr>
              <w:t>紫外分光光度法（试行）</w:t>
            </w:r>
            <w:r>
              <w:rPr>
                <w:rStyle w:val="542"/>
                <w:rFonts w:hint="default" w:ascii="Times New Roman" w:hAnsi="Times New Roman" w:eastAsia="宋体" w:cs="Times New Roman"/>
                <w:color w:val="000000"/>
                <w:sz w:val="21"/>
                <w:szCs w:val="21"/>
                <w:highlight w:val="none"/>
                <w:lang w:val="en-US" w:eastAsia="zh-CN" w:bidi="ar"/>
              </w:rPr>
              <w:t>HJ 970-2018</w:t>
            </w:r>
          </w:p>
        </w:tc>
        <w:tc>
          <w:tcPr>
            <w:tcW w:w="2127" w:type="dxa"/>
            <w:tcBorders>
              <w:tl2br w:val="nil"/>
              <w:tr2bl w:val="nil"/>
            </w:tcBorders>
            <w:noWrap w:val="0"/>
            <w:vAlign w:val="center"/>
          </w:tcPr>
          <w:p w14:paraId="3316EC86">
            <w:pPr>
              <w:widowControl/>
              <w:spacing w:line="240" w:lineRule="auto"/>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紫外可见分光光度计</w:t>
            </w:r>
          </w:p>
          <w:p w14:paraId="5B89A0C2">
            <w:pPr>
              <w:keepNext w:val="0"/>
              <w:keepLines w:val="0"/>
              <w:widowControl/>
              <w:suppressLineNumbers w:val="0"/>
              <w:jc w:val="center"/>
              <w:textAlignment w:val="center"/>
              <w:rPr>
                <w:rFonts w:hint="default" w:ascii="Times New Roman" w:hAnsi="Times New Roman" w:eastAsia="宋体" w:cs="Times New Roman"/>
                <w:b w:val="0"/>
                <w:bCs w:val="0"/>
                <w:color w:val="000000"/>
                <w:kern w:val="0"/>
                <w:sz w:val="21"/>
                <w:szCs w:val="21"/>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T6新世纪</w:t>
            </w:r>
          </w:p>
        </w:tc>
        <w:tc>
          <w:tcPr>
            <w:tcW w:w="1263" w:type="dxa"/>
            <w:tcBorders>
              <w:tl2br w:val="nil"/>
              <w:tr2bl w:val="nil"/>
            </w:tcBorders>
            <w:noWrap w:val="0"/>
            <w:vAlign w:val="center"/>
          </w:tcPr>
          <w:p w14:paraId="38E690B4">
            <w:pPr>
              <w:widowControl/>
              <w:spacing w:line="240" w:lineRule="auto"/>
              <w:jc w:val="center"/>
              <w:textAlignment w:val="center"/>
              <w:rPr>
                <w:rFonts w:hint="default" w:ascii="Times New Roman" w:hAnsi="Times New Roman" w:eastAsia="宋体" w:cs="Times New Roman"/>
                <w:b w:val="0"/>
                <w:bCs w:val="0"/>
                <w:color w:val="000000"/>
                <w:kern w:val="0"/>
                <w:sz w:val="21"/>
                <w:szCs w:val="21"/>
                <w:lang w:val="en-US" w:eastAsia="zh-CN" w:bidi="ar-SA"/>
              </w:rPr>
            </w:pPr>
            <w:r>
              <w:rPr>
                <w:rFonts w:hint="default" w:ascii="Times New Roman" w:hAnsi="Times New Roman" w:eastAsia="宋体" w:cs="Times New Roman"/>
                <w:b w:val="0"/>
                <w:bCs w:val="0"/>
                <w:color w:val="000000"/>
                <w:kern w:val="0"/>
                <w:sz w:val="21"/>
                <w:szCs w:val="21"/>
                <w:lang w:val="en-US" w:eastAsia="zh-CN" w:bidi="ar-SA"/>
              </w:rPr>
              <w:t>0.01mg/L</w:t>
            </w:r>
          </w:p>
        </w:tc>
      </w:tr>
      <w:tr w14:paraId="03D9A378">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652" w:hRule="atLeast"/>
        </w:trPr>
        <w:tc>
          <w:tcPr>
            <w:tcW w:w="668" w:type="dxa"/>
            <w:tcBorders>
              <w:tl2br w:val="nil"/>
              <w:tr2bl w:val="nil"/>
            </w:tcBorders>
            <w:noWrap w:val="0"/>
            <w:vAlign w:val="center"/>
          </w:tcPr>
          <w:p w14:paraId="5ECE596A">
            <w:pPr>
              <w:widowControl/>
              <w:jc w:val="center"/>
              <w:textAlignment w:val="center"/>
              <w:rPr>
                <w:rFonts w:hint="default" w:ascii="Times New Roman" w:hAnsi="Times New Roman" w:eastAsia="宋体" w:cs="Times New Roman"/>
                <w:sz w:val="21"/>
                <w:szCs w:val="21"/>
                <w:lang w:val="en-US" w:eastAsia="zh-CN"/>
              </w:rPr>
            </w:pPr>
            <w:r>
              <w:rPr>
                <w:rFonts w:hint="default" w:ascii="Times New Roman" w:hAnsi="Times New Roman" w:cs="Times New Roman"/>
                <w:sz w:val="21"/>
                <w:szCs w:val="21"/>
                <w:lang w:val="en-US" w:eastAsia="zh-CN"/>
              </w:rPr>
              <w:t>22</w:t>
            </w:r>
          </w:p>
        </w:tc>
        <w:tc>
          <w:tcPr>
            <w:tcW w:w="1336" w:type="dxa"/>
            <w:tcBorders>
              <w:tl2br w:val="nil"/>
              <w:tr2bl w:val="nil"/>
            </w:tcBorders>
            <w:noWrap w:val="0"/>
            <w:vAlign w:val="center"/>
          </w:tcPr>
          <w:p w14:paraId="0364A1AA">
            <w:pPr>
              <w:keepNext w:val="0"/>
              <w:keepLines w:val="0"/>
              <w:widowControl/>
              <w:suppressLineNumbers w:val="0"/>
              <w:jc w:val="center"/>
              <w:textAlignment w:val="center"/>
              <w:rPr>
                <w:rFonts w:hint="default" w:ascii="Times New Roman" w:hAnsi="Times New Roman" w:eastAsia="宋体" w:cs="Times New Roman"/>
                <w:color w:val="000000"/>
                <w:kern w:val="2"/>
                <w:sz w:val="21"/>
                <w:szCs w:val="21"/>
                <w:highlight w:val="none"/>
                <w:lang w:val="en-US" w:eastAsia="zh-CN" w:bidi="ar-SA"/>
              </w:rPr>
            </w:pPr>
            <w:r>
              <w:rPr>
                <w:rFonts w:hint="default" w:ascii="Times New Roman" w:hAnsi="Times New Roman" w:eastAsia="宋体" w:cs="Times New Roman"/>
                <w:b w:val="0"/>
                <w:bCs w:val="0"/>
                <w:color w:val="000000"/>
                <w:sz w:val="21"/>
                <w:szCs w:val="21"/>
                <w:highlight w:val="none"/>
                <w:lang w:val="en-US" w:eastAsia="zh-CN"/>
              </w:rPr>
              <w:t>硫化物</w:t>
            </w:r>
          </w:p>
        </w:tc>
        <w:tc>
          <w:tcPr>
            <w:tcW w:w="4568" w:type="dxa"/>
            <w:tcBorders>
              <w:tl2br w:val="nil"/>
              <w:tr2bl w:val="nil"/>
            </w:tcBorders>
            <w:noWrap w:val="0"/>
            <w:vAlign w:val="center"/>
          </w:tcPr>
          <w:p w14:paraId="4326485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Style w:val="542"/>
                <w:rFonts w:hint="default" w:ascii="Times New Roman" w:hAnsi="Times New Roman" w:eastAsia="宋体" w:cs="Times New Roman"/>
                <w:color w:val="000000"/>
                <w:sz w:val="21"/>
                <w:szCs w:val="21"/>
                <w:highlight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水质</w:t>
            </w:r>
            <w:r>
              <w:rPr>
                <w:rStyle w:val="542"/>
                <w:rFonts w:hint="default" w:ascii="Times New Roman" w:hAnsi="Times New Roman" w:eastAsia="宋体" w:cs="Times New Roman"/>
                <w:color w:val="000000"/>
                <w:sz w:val="21"/>
                <w:szCs w:val="21"/>
                <w:highlight w:val="none"/>
                <w:lang w:val="en-US" w:eastAsia="zh-CN" w:bidi="ar"/>
              </w:rPr>
              <w:t xml:space="preserve"> </w:t>
            </w:r>
            <w:r>
              <w:rPr>
                <w:rFonts w:hint="default" w:ascii="Times New Roman" w:hAnsi="Times New Roman" w:eastAsia="宋体" w:cs="Times New Roman"/>
                <w:i w:val="0"/>
                <w:iCs w:val="0"/>
                <w:color w:val="000000"/>
                <w:kern w:val="0"/>
                <w:sz w:val="21"/>
                <w:szCs w:val="21"/>
                <w:highlight w:val="none"/>
                <w:u w:val="none"/>
                <w:lang w:val="en-US" w:eastAsia="zh-CN" w:bidi="ar"/>
              </w:rPr>
              <w:t>硫化物的测定</w:t>
            </w:r>
          </w:p>
          <w:p w14:paraId="4F7C3A1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亚甲基蓝分光光度法</w:t>
            </w:r>
            <w:r>
              <w:rPr>
                <w:rStyle w:val="542"/>
                <w:rFonts w:hint="default" w:ascii="Times New Roman" w:hAnsi="Times New Roman" w:eastAsia="宋体" w:cs="Times New Roman"/>
                <w:color w:val="000000"/>
                <w:sz w:val="21"/>
                <w:szCs w:val="21"/>
                <w:highlight w:val="none"/>
                <w:lang w:val="en-US" w:eastAsia="zh-CN" w:bidi="ar"/>
              </w:rPr>
              <w:t xml:space="preserve"> HJ 1226-2021</w:t>
            </w:r>
          </w:p>
        </w:tc>
        <w:tc>
          <w:tcPr>
            <w:tcW w:w="2127" w:type="dxa"/>
            <w:tcBorders>
              <w:tl2br w:val="nil"/>
              <w:tr2bl w:val="nil"/>
            </w:tcBorders>
            <w:noWrap w:val="0"/>
            <w:vAlign w:val="center"/>
          </w:tcPr>
          <w:p w14:paraId="0CDCF2D0">
            <w:pPr>
              <w:widowControl/>
              <w:spacing w:line="240" w:lineRule="auto"/>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b w:val="0"/>
                <w:bCs w:val="0"/>
                <w:color w:val="000000"/>
                <w:kern w:val="0"/>
                <w:sz w:val="21"/>
                <w:szCs w:val="21"/>
                <w:lang w:eastAsia="zh-CN"/>
              </w:rPr>
              <w:t>紫外可见分光光度计T6新世纪</w:t>
            </w:r>
          </w:p>
        </w:tc>
        <w:tc>
          <w:tcPr>
            <w:tcW w:w="1263" w:type="dxa"/>
            <w:tcBorders>
              <w:tl2br w:val="nil"/>
              <w:tr2bl w:val="nil"/>
            </w:tcBorders>
            <w:noWrap w:val="0"/>
            <w:vAlign w:val="center"/>
          </w:tcPr>
          <w:p w14:paraId="5444A2BE">
            <w:pPr>
              <w:keepNext w:val="0"/>
              <w:keepLines w:val="0"/>
              <w:widowControl/>
              <w:suppressLineNumbers w:val="0"/>
              <w:jc w:val="center"/>
              <w:textAlignment w:val="center"/>
              <w:rPr>
                <w:rFonts w:hint="default" w:ascii="Times New Roman" w:hAnsi="Times New Roman" w:eastAsia="宋体" w:cs="Times New Roman"/>
                <w:b w:val="0"/>
                <w:bCs w:val="0"/>
                <w:color w:val="000000"/>
                <w:kern w:val="0"/>
                <w:sz w:val="21"/>
                <w:szCs w:val="21"/>
                <w:lang w:val="en-US" w:eastAsia="zh-CN" w:bidi="ar-SA"/>
              </w:rPr>
            </w:pPr>
            <w:r>
              <w:rPr>
                <w:rFonts w:hint="default" w:ascii="Times New Roman" w:hAnsi="Times New Roman" w:eastAsia="宋体" w:cs="Times New Roman"/>
                <w:i w:val="0"/>
                <w:iCs w:val="0"/>
                <w:color w:val="000000"/>
                <w:kern w:val="0"/>
                <w:sz w:val="21"/>
                <w:szCs w:val="21"/>
                <w:highlight w:val="none"/>
                <w:u w:val="none"/>
                <w:lang w:val="en-US" w:eastAsia="zh-CN" w:bidi="ar"/>
              </w:rPr>
              <w:t>0.01mg/L</w:t>
            </w:r>
          </w:p>
        </w:tc>
      </w:tr>
      <w:tr w14:paraId="32CB3E75">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652" w:hRule="atLeast"/>
        </w:trPr>
        <w:tc>
          <w:tcPr>
            <w:tcW w:w="668" w:type="dxa"/>
            <w:tcBorders>
              <w:tl2br w:val="nil"/>
              <w:tr2bl w:val="nil"/>
            </w:tcBorders>
            <w:noWrap w:val="0"/>
            <w:vAlign w:val="center"/>
          </w:tcPr>
          <w:p w14:paraId="0278AF3B">
            <w:pPr>
              <w:widowControl/>
              <w:jc w:val="center"/>
              <w:textAlignment w:val="center"/>
              <w:rPr>
                <w:rFonts w:hint="default" w:ascii="Times New Roman" w:hAnsi="Times New Roman" w:eastAsia="宋体" w:cs="Times New Roman"/>
                <w:sz w:val="21"/>
                <w:szCs w:val="21"/>
                <w:lang w:val="en-US" w:eastAsia="zh-CN"/>
              </w:rPr>
            </w:pPr>
            <w:r>
              <w:rPr>
                <w:rFonts w:hint="default" w:ascii="Times New Roman" w:hAnsi="Times New Roman" w:cs="Times New Roman"/>
                <w:sz w:val="21"/>
                <w:szCs w:val="21"/>
                <w:lang w:val="en-US" w:eastAsia="zh-CN"/>
              </w:rPr>
              <w:t>23</w:t>
            </w:r>
          </w:p>
        </w:tc>
        <w:tc>
          <w:tcPr>
            <w:tcW w:w="1336" w:type="dxa"/>
            <w:tcBorders>
              <w:tl2br w:val="nil"/>
              <w:tr2bl w:val="nil"/>
            </w:tcBorders>
            <w:noWrap w:val="0"/>
            <w:vAlign w:val="center"/>
          </w:tcPr>
          <w:p w14:paraId="69015A6D">
            <w:pPr>
              <w:keepNext w:val="0"/>
              <w:keepLines w:val="0"/>
              <w:widowControl/>
              <w:suppressLineNumbers w:val="0"/>
              <w:jc w:val="center"/>
              <w:textAlignment w:val="center"/>
              <w:rPr>
                <w:rFonts w:hint="default" w:ascii="Times New Roman" w:hAnsi="Times New Roman" w:eastAsia="宋体" w:cs="Times New Roman"/>
                <w:color w:val="000000"/>
                <w:kern w:val="2"/>
                <w:sz w:val="21"/>
                <w:szCs w:val="21"/>
                <w:highlight w:val="none"/>
                <w:lang w:val="en-US" w:eastAsia="zh-CN" w:bidi="ar-SA"/>
              </w:rPr>
            </w:pPr>
            <w:r>
              <w:rPr>
                <w:rFonts w:hint="default" w:ascii="Times New Roman" w:hAnsi="Times New Roman" w:eastAsia="宋体" w:cs="Times New Roman"/>
                <w:i w:val="0"/>
                <w:iCs w:val="0"/>
                <w:color w:val="000000"/>
                <w:kern w:val="0"/>
                <w:sz w:val="21"/>
                <w:szCs w:val="21"/>
                <w:highlight w:val="none"/>
                <w:u w:val="none"/>
                <w:lang w:val="en-US" w:eastAsia="zh-CN" w:bidi="ar"/>
              </w:rPr>
              <w:t>粪大肠菌群</w:t>
            </w:r>
          </w:p>
        </w:tc>
        <w:tc>
          <w:tcPr>
            <w:tcW w:w="4568" w:type="dxa"/>
            <w:tcBorders>
              <w:tl2br w:val="nil"/>
              <w:tr2bl w:val="nil"/>
            </w:tcBorders>
            <w:noWrap w:val="0"/>
            <w:vAlign w:val="center"/>
          </w:tcPr>
          <w:p w14:paraId="6D63353F">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 xml:space="preserve">水质 粪大肠菌群的测定 </w:t>
            </w:r>
          </w:p>
          <w:p w14:paraId="73093B68">
            <w:pPr>
              <w:keepNext w:val="0"/>
              <w:keepLines w:val="0"/>
              <w:widowControl/>
              <w:suppressLineNumbers w:val="0"/>
              <w:jc w:val="center"/>
              <w:textAlignment w:val="center"/>
              <w:rPr>
                <w:rFonts w:hint="default" w:ascii="Times New Roman" w:hAnsi="Times New Roman" w:eastAsia="宋体" w:cs="Times New Roman"/>
                <w:b w:val="0"/>
                <w:bCs w:val="0"/>
                <w:color w:val="000000"/>
                <w:kern w:val="0"/>
                <w:sz w:val="21"/>
                <w:szCs w:val="21"/>
                <w:highlight w:val="none"/>
                <w:lang w:val="en-US" w:eastAsia="zh-CN" w:bidi="ar-SA"/>
              </w:rPr>
            </w:pPr>
            <w:r>
              <w:rPr>
                <w:rFonts w:hint="default" w:ascii="Times New Roman" w:hAnsi="Times New Roman" w:eastAsia="宋体" w:cs="Times New Roman"/>
                <w:i w:val="0"/>
                <w:iCs w:val="0"/>
                <w:color w:val="000000"/>
                <w:kern w:val="0"/>
                <w:sz w:val="21"/>
                <w:szCs w:val="21"/>
                <w:highlight w:val="none"/>
                <w:u w:val="none"/>
                <w:lang w:val="en-US" w:eastAsia="zh-CN" w:bidi="ar"/>
              </w:rPr>
              <w:t>滤膜法 HJ 347.1-2018</w:t>
            </w:r>
          </w:p>
        </w:tc>
        <w:tc>
          <w:tcPr>
            <w:tcW w:w="2127" w:type="dxa"/>
            <w:tcBorders>
              <w:tl2br w:val="nil"/>
              <w:tr2bl w:val="nil"/>
            </w:tcBorders>
            <w:noWrap w:val="0"/>
            <w:vAlign w:val="center"/>
          </w:tcPr>
          <w:p w14:paraId="042D493A">
            <w:pPr>
              <w:keepNext w:val="0"/>
              <w:keepLines w:val="0"/>
              <w:widowControl/>
              <w:suppressLineNumbers w:val="0"/>
              <w:jc w:val="center"/>
              <w:textAlignment w:val="center"/>
              <w:rPr>
                <w:rFonts w:hint="default" w:ascii="Times New Roman" w:hAnsi="Times New Roman" w:eastAsia="宋体" w:cs="Times New Roman"/>
                <w:b w:val="0"/>
                <w:bCs w:val="0"/>
                <w:color w:val="000000"/>
                <w:kern w:val="0"/>
                <w:sz w:val="21"/>
                <w:szCs w:val="21"/>
                <w:highlight w:val="none"/>
                <w:lang w:val="en-US" w:eastAsia="zh-CN" w:bidi="ar-SA"/>
              </w:rPr>
            </w:pPr>
            <w:r>
              <w:rPr>
                <w:rFonts w:hint="default" w:ascii="Times New Roman" w:hAnsi="Times New Roman" w:eastAsia="宋体" w:cs="Times New Roman"/>
                <w:i w:val="0"/>
                <w:iCs w:val="0"/>
                <w:color w:val="000000"/>
                <w:kern w:val="0"/>
                <w:sz w:val="21"/>
                <w:szCs w:val="21"/>
                <w:highlight w:val="none"/>
                <w:u w:val="none"/>
                <w:lang w:val="en-US" w:eastAsia="zh-CN" w:bidi="ar"/>
              </w:rPr>
              <w:t>恒温恒湿培养箱</w:t>
            </w:r>
            <w:r>
              <w:rPr>
                <w:rFonts w:hint="default" w:ascii="Times New Roman" w:hAnsi="Times New Roman" w:eastAsia="微软雅黑" w:cs="Times New Roman"/>
                <w:i w:val="0"/>
                <w:iCs w:val="0"/>
                <w:color w:val="000000"/>
                <w:kern w:val="0"/>
                <w:sz w:val="21"/>
                <w:szCs w:val="21"/>
                <w:highlight w:val="none"/>
                <w:u w:val="none"/>
                <w:lang w:val="en-US" w:eastAsia="zh-CN" w:bidi="ar"/>
              </w:rPr>
              <w:t>HWS-250B</w:t>
            </w:r>
          </w:p>
        </w:tc>
        <w:tc>
          <w:tcPr>
            <w:tcW w:w="1263" w:type="dxa"/>
            <w:tcBorders>
              <w:tl2br w:val="nil"/>
              <w:tr2bl w:val="nil"/>
            </w:tcBorders>
            <w:noWrap w:val="0"/>
            <w:vAlign w:val="center"/>
          </w:tcPr>
          <w:p w14:paraId="6DA86AE1">
            <w:pPr>
              <w:keepNext w:val="0"/>
              <w:keepLines w:val="0"/>
              <w:widowControl/>
              <w:suppressLineNumbers w:val="0"/>
              <w:jc w:val="center"/>
              <w:textAlignment w:val="center"/>
              <w:rPr>
                <w:rFonts w:hint="default" w:ascii="Times New Roman" w:hAnsi="Times New Roman" w:eastAsia="宋体" w:cs="Times New Roman"/>
                <w:b w:val="0"/>
                <w:bCs w:val="0"/>
                <w:color w:val="000000"/>
                <w:kern w:val="0"/>
                <w:sz w:val="21"/>
                <w:szCs w:val="21"/>
                <w:highlight w:val="none"/>
                <w:lang w:val="en-US" w:eastAsia="zh-CN" w:bidi="ar-SA"/>
              </w:rPr>
            </w:pPr>
            <w:r>
              <w:rPr>
                <w:rFonts w:hint="default" w:ascii="Times New Roman" w:hAnsi="Times New Roman" w:eastAsia="宋体" w:cs="Times New Roman"/>
                <w:b w:val="0"/>
                <w:bCs w:val="0"/>
                <w:color w:val="000000"/>
                <w:kern w:val="0"/>
                <w:sz w:val="21"/>
                <w:szCs w:val="21"/>
                <w:highlight w:val="none"/>
                <w:lang w:val="en-US" w:eastAsia="zh-CN" w:bidi="ar-SA"/>
              </w:rPr>
              <w:t>10</w:t>
            </w:r>
            <w:r>
              <w:rPr>
                <w:rFonts w:hint="default" w:ascii="Times New Roman" w:hAnsi="Times New Roman" w:eastAsia="宋体" w:cs="Times New Roman"/>
                <w:i w:val="0"/>
                <w:color w:val="000000"/>
                <w:sz w:val="21"/>
                <w:szCs w:val="21"/>
                <w:highlight w:val="none"/>
                <w:u w:val="none"/>
                <w:lang w:val="en-US" w:eastAsia="zh-CN"/>
              </w:rPr>
              <w:t>CFU/L</w:t>
            </w:r>
          </w:p>
        </w:tc>
      </w:tr>
      <w:tr w14:paraId="01A768A5">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652" w:hRule="atLeast"/>
        </w:trPr>
        <w:tc>
          <w:tcPr>
            <w:tcW w:w="668" w:type="dxa"/>
            <w:tcBorders>
              <w:tl2br w:val="nil"/>
              <w:tr2bl w:val="nil"/>
            </w:tcBorders>
            <w:noWrap w:val="0"/>
            <w:vAlign w:val="center"/>
          </w:tcPr>
          <w:p w14:paraId="00C4BB9F">
            <w:pPr>
              <w:widowControl/>
              <w:jc w:val="center"/>
              <w:textAlignment w:val="center"/>
              <w:rPr>
                <w:rFonts w:hint="default" w:ascii="Times New Roman" w:hAnsi="Times New Roman" w:eastAsia="宋体" w:cs="Times New Roman"/>
                <w:sz w:val="21"/>
                <w:szCs w:val="21"/>
                <w:lang w:val="en-US" w:eastAsia="zh-CN"/>
              </w:rPr>
            </w:pPr>
            <w:r>
              <w:rPr>
                <w:rFonts w:hint="default" w:ascii="Times New Roman" w:hAnsi="Times New Roman" w:cs="Times New Roman"/>
                <w:sz w:val="21"/>
                <w:szCs w:val="21"/>
                <w:lang w:val="en-US" w:eastAsia="zh-CN"/>
              </w:rPr>
              <w:t>24</w:t>
            </w:r>
          </w:p>
        </w:tc>
        <w:tc>
          <w:tcPr>
            <w:tcW w:w="1336" w:type="dxa"/>
            <w:tcBorders>
              <w:tl2br w:val="nil"/>
              <w:tr2bl w:val="nil"/>
            </w:tcBorders>
            <w:noWrap w:val="0"/>
            <w:vAlign w:val="center"/>
          </w:tcPr>
          <w:p w14:paraId="0830BB06">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阴离子</w:t>
            </w:r>
          </w:p>
          <w:p w14:paraId="25737289">
            <w:pPr>
              <w:keepNext w:val="0"/>
              <w:keepLines w:val="0"/>
              <w:widowControl/>
              <w:suppressLineNumbers w:val="0"/>
              <w:jc w:val="center"/>
              <w:textAlignment w:val="center"/>
              <w:rPr>
                <w:rFonts w:hint="default" w:ascii="Times New Roman" w:hAnsi="Times New Roman" w:eastAsia="宋体" w:cs="Times New Roman"/>
                <w:color w:val="000000"/>
                <w:kern w:val="2"/>
                <w:sz w:val="21"/>
                <w:szCs w:val="21"/>
                <w:highlight w:val="none"/>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表面活性剂</w:t>
            </w:r>
          </w:p>
        </w:tc>
        <w:tc>
          <w:tcPr>
            <w:tcW w:w="4568" w:type="dxa"/>
            <w:tcBorders>
              <w:tl2br w:val="nil"/>
              <w:tr2bl w:val="nil"/>
            </w:tcBorders>
            <w:noWrap w:val="0"/>
            <w:vAlign w:val="center"/>
          </w:tcPr>
          <w:p w14:paraId="488ACB79">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 xml:space="preserve">水质 阴离子表面活性剂的测定 </w:t>
            </w:r>
          </w:p>
          <w:p w14:paraId="3262846A">
            <w:pPr>
              <w:keepNext w:val="0"/>
              <w:keepLines w:val="0"/>
              <w:widowControl/>
              <w:suppressLineNumbers w:val="0"/>
              <w:jc w:val="center"/>
              <w:textAlignment w:val="center"/>
              <w:rPr>
                <w:rFonts w:hint="default" w:ascii="Times New Roman" w:hAnsi="Times New Roman" w:eastAsia="宋体" w:cs="Times New Roman"/>
                <w:b w:val="0"/>
                <w:bCs w:val="0"/>
                <w:color w:val="000000"/>
                <w:kern w:val="0"/>
                <w:sz w:val="21"/>
                <w:szCs w:val="21"/>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亚甲蓝分光光度法 GB</w:t>
            </w:r>
            <w:r>
              <w:rPr>
                <w:rStyle w:val="542"/>
                <w:rFonts w:hint="default" w:ascii="Times New Roman" w:hAnsi="Times New Roman" w:eastAsia="宋体" w:cs="Times New Roman"/>
                <w:color w:val="000000"/>
                <w:sz w:val="21"/>
                <w:szCs w:val="21"/>
                <w:highlight w:val="none"/>
                <w:lang w:val="en-US" w:eastAsia="zh-CN" w:bidi="ar"/>
              </w:rPr>
              <w:t>/T</w:t>
            </w:r>
            <w:r>
              <w:rPr>
                <w:rFonts w:hint="default" w:ascii="Times New Roman" w:hAnsi="Times New Roman" w:eastAsia="宋体" w:cs="Times New Roman"/>
                <w:i w:val="0"/>
                <w:iCs w:val="0"/>
                <w:color w:val="000000"/>
                <w:kern w:val="0"/>
                <w:sz w:val="21"/>
                <w:szCs w:val="21"/>
                <w:u w:val="none"/>
                <w:lang w:val="en-US" w:eastAsia="zh-CN" w:bidi="ar"/>
              </w:rPr>
              <w:t xml:space="preserve"> 7494-1987</w:t>
            </w:r>
          </w:p>
        </w:tc>
        <w:tc>
          <w:tcPr>
            <w:tcW w:w="2127" w:type="dxa"/>
            <w:tcBorders>
              <w:tl2br w:val="nil"/>
              <w:tr2bl w:val="nil"/>
            </w:tcBorders>
            <w:noWrap w:val="0"/>
            <w:vAlign w:val="center"/>
          </w:tcPr>
          <w:p w14:paraId="12375639">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紫外可见分光光度计</w:t>
            </w:r>
          </w:p>
          <w:p w14:paraId="4AFB75E4">
            <w:pPr>
              <w:widowControl/>
              <w:spacing w:line="240" w:lineRule="auto"/>
              <w:jc w:val="center"/>
              <w:textAlignment w:val="center"/>
              <w:rPr>
                <w:rFonts w:hint="default" w:ascii="Times New Roman" w:hAnsi="Times New Roman" w:eastAsia="宋体" w:cs="Times New Roman"/>
                <w:b w:val="0"/>
                <w:bCs w:val="0"/>
                <w:color w:val="000000"/>
                <w:kern w:val="0"/>
                <w:sz w:val="21"/>
                <w:szCs w:val="21"/>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T6新世纪</w:t>
            </w:r>
          </w:p>
        </w:tc>
        <w:tc>
          <w:tcPr>
            <w:tcW w:w="1263" w:type="dxa"/>
            <w:tcBorders>
              <w:tl2br w:val="nil"/>
              <w:tr2bl w:val="nil"/>
            </w:tcBorders>
            <w:noWrap w:val="0"/>
            <w:vAlign w:val="center"/>
          </w:tcPr>
          <w:p w14:paraId="57F4B865">
            <w:pPr>
              <w:widowControl/>
              <w:spacing w:line="240" w:lineRule="auto"/>
              <w:jc w:val="center"/>
              <w:textAlignment w:val="center"/>
              <w:rPr>
                <w:rFonts w:hint="default" w:ascii="Times New Roman" w:hAnsi="Times New Roman" w:eastAsia="宋体" w:cs="Times New Roman"/>
                <w:b w:val="0"/>
                <w:bCs w:val="0"/>
                <w:color w:val="000000"/>
                <w:kern w:val="0"/>
                <w:sz w:val="21"/>
                <w:szCs w:val="21"/>
                <w:lang w:val="en-US" w:eastAsia="zh-CN" w:bidi="ar-SA"/>
              </w:rPr>
            </w:pPr>
            <w:r>
              <w:rPr>
                <w:rFonts w:hint="default" w:ascii="Times New Roman" w:hAnsi="Times New Roman" w:eastAsia="宋体" w:cs="Times New Roman"/>
                <w:b w:val="0"/>
                <w:bCs w:val="0"/>
                <w:color w:val="000000"/>
                <w:sz w:val="21"/>
                <w:szCs w:val="21"/>
                <w:lang w:val="en-US" w:eastAsia="zh-CN"/>
              </w:rPr>
              <w:t>0.05mg/L</w:t>
            </w:r>
          </w:p>
        </w:tc>
      </w:tr>
    </w:tbl>
    <w:p w14:paraId="59C78EC8">
      <w:pPr>
        <w:spacing w:line="500" w:lineRule="exact"/>
        <w:ind w:firstLine="354" w:firstLineChars="147"/>
        <w:rPr>
          <w:rFonts w:ascii="Times New Roman" w:hAnsi="Times New Roman" w:cs="Times New Roman"/>
          <w:b/>
        </w:rPr>
      </w:pPr>
      <w:r>
        <w:rPr>
          <w:rFonts w:ascii="Times New Roman" w:hAnsi="Times New Roman" w:cs="Times New Roman"/>
          <w:b/>
        </w:rPr>
        <w:t>（5）评价标准</w:t>
      </w:r>
    </w:p>
    <w:p w14:paraId="3C0D5FCF">
      <w:pPr>
        <w:keepNext w:val="0"/>
        <w:keepLines w:val="0"/>
        <w:widowControl/>
        <w:suppressLineNumbers w:val="0"/>
        <w:ind w:firstLine="480" w:firstLineChars="200"/>
        <w:jc w:val="left"/>
      </w:pPr>
      <w:r>
        <w:rPr>
          <w:rFonts w:hint="eastAsia" w:ascii="宋体" w:hAnsi="宋体" w:eastAsia="宋体" w:cs="宋体"/>
          <w:color w:val="000000"/>
          <w:kern w:val="0"/>
          <w:sz w:val="24"/>
          <w:szCs w:val="24"/>
          <w:lang w:val="en-US" w:eastAsia="zh-CN" w:bidi="ar"/>
        </w:rPr>
        <w:t>此次评价范围及布设各断面均位于Ⅲ类水体范围，执行《地表水环境质量标准》</w:t>
      </w:r>
      <w:r>
        <w:rPr>
          <w:rFonts w:hint="default" w:ascii="Times New Roman" w:hAnsi="Times New Roman" w:eastAsia="宋体" w:cs="Times New Roman"/>
          <w:color w:val="000000"/>
          <w:kern w:val="0"/>
          <w:sz w:val="24"/>
          <w:szCs w:val="24"/>
          <w:lang w:val="en-US" w:eastAsia="zh-CN" w:bidi="ar"/>
        </w:rPr>
        <w:t>(GB3838-2002)III</w:t>
      </w:r>
      <w:r>
        <w:rPr>
          <w:rFonts w:hint="eastAsia" w:ascii="宋体" w:hAnsi="宋体" w:eastAsia="宋体" w:cs="宋体"/>
          <w:color w:val="000000"/>
          <w:kern w:val="0"/>
          <w:sz w:val="24"/>
          <w:szCs w:val="24"/>
          <w:lang w:val="en-US" w:eastAsia="zh-CN" w:bidi="ar"/>
        </w:rPr>
        <w:t>类标准。</w:t>
      </w:r>
    </w:p>
    <w:p w14:paraId="61CFB549">
      <w:pPr>
        <w:spacing w:line="500" w:lineRule="exact"/>
        <w:ind w:firstLine="354" w:firstLineChars="147"/>
        <w:rPr>
          <w:rFonts w:ascii="Times New Roman" w:hAnsi="Times New Roman" w:cs="Times New Roman"/>
          <w:b/>
        </w:rPr>
      </w:pPr>
      <w:r>
        <w:rPr>
          <w:rFonts w:ascii="Times New Roman" w:hAnsi="Times New Roman" w:cs="Times New Roman"/>
          <w:b/>
        </w:rPr>
        <w:t>（6）评价结果</w:t>
      </w:r>
    </w:p>
    <w:p w14:paraId="0B565F2C">
      <w:pPr>
        <w:keepNext w:val="0"/>
        <w:keepLines w:val="0"/>
        <w:widowControl/>
        <w:suppressLineNumbers w:val="0"/>
        <w:ind w:firstLine="480" w:firstLineChars="200"/>
        <w:jc w:val="left"/>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评价采用单项污染指数法，即某种污染物监测结果与评价标准相比，大于</w:t>
      </w:r>
      <w:r>
        <w:rPr>
          <w:rFonts w:hint="default" w:ascii="宋体" w:hAnsi="宋体" w:eastAsia="宋体" w:cs="宋体"/>
          <w:color w:val="000000"/>
          <w:kern w:val="0"/>
          <w:sz w:val="24"/>
          <w:szCs w:val="24"/>
          <w:lang w:val="en-US" w:eastAsia="zh-CN" w:bidi="ar"/>
        </w:rPr>
        <w:t>1</w:t>
      </w:r>
      <w:r>
        <w:rPr>
          <w:rFonts w:hint="eastAsia" w:ascii="宋体" w:hAnsi="宋体" w:eastAsia="宋体" w:cs="宋体"/>
          <w:color w:val="000000"/>
          <w:kern w:val="0"/>
          <w:sz w:val="24"/>
          <w:szCs w:val="24"/>
          <w:lang w:val="en-US" w:eastAsia="zh-CN" w:bidi="ar"/>
        </w:rPr>
        <w:t>表示水质中某种污染物超标，小于</w:t>
      </w:r>
      <w:r>
        <w:rPr>
          <w:rFonts w:hint="default" w:ascii="宋体" w:hAnsi="宋体" w:eastAsia="宋体" w:cs="宋体"/>
          <w:color w:val="000000"/>
          <w:kern w:val="0"/>
          <w:sz w:val="24"/>
          <w:szCs w:val="24"/>
          <w:lang w:val="en-US" w:eastAsia="zh-CN" w:bidi="ar"/>
        </w:rPr>
        <w:t>1</w:t>
      </w:r>
      <w:r>
        <w:rPr>
          <w:rFonts w:hint="eastAsia" w:ascii="宋体" w:hAnsi="宋体" w:eastAsia="宋体" w:cs="宋体"/>
          <w:color w:val="000000"/>
          <w:kern w:val="0"/>
          <w:sz w:val="24"/>
          <w:szCs w:val="24"/>
          <w:lang w:val="en-US" w:eastAsia="zh-CN" w:bidi="ar"/>
        </w:rPr>
        <w:t xml:space="preserve">表示不超标。 </w:t>
      </w:r>
    </w:p>
    <w:p w14:paraId="31E9BBE1">
      <w:pPr>
        <w:keepNext w:val="0"/>
        <w:keepLines w:val="0"/>
        <w:widowControl/>
        <w:suppressLineNumbers w:val="0"/>
        <w:ind w:firstLine="480" w:firstLineChars="200"/>
        <w:jc w:val="left"/>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单项污染指数计算式：</w:t>
      </w:r>
    </w:p>
    <w:p w14:paraId="2E305DD0">
      <w:pPr>
        <w:pStyle w:val="3"/>
        <w:numPr>
          <w:ilvl w:val="0"/>
          <w:numId w:val="0"/>
        </w:numPr>
        <w:ind w:leftChars="100" w:right="0" w:rightChars="0"/>
        <w:jc w:val="center"/>
        <w:rPr>
          <w:rFonts w:hint="eastAsia" w:ascii="Times New Roman" w:hAnsi="Times New Roman" w:eastAsia="宋体" w:cs="Times New Roman"/>
          <w:lang w:eastAsia="zh-CN"/>
        </w:rPr>
      </w:pPr>
      <w:r>
        <w:rPr>
          <w:rFonts w:hint="eastAsia" w:ascii="Times New Roman" w:hAnsi="Times New Roman" w:eastAsia="宋体" w:cs="Times New Roman"/>
          <w:position w:val="-30"/>
          <w:lang w:eastAsia="zh-CN"/>
        </w:rPr>
        <w:object>
          <v:shape id="_x0000_i1029" o:spt="75" type="#_x0000_t75" style="height:36pt;width:42pt;" o:ole="t" filled="f" o:preferrelative="t" stroked="f" coordsize="21600,21600">
            <v:path/>
            <v:fill on="f" focussize="0,0"/>
            <v:stroke on="f"/>
            <v:imagedata r:id="rId55" o:title=""/>
            <o:lock v:ext="edit" aspectratio="t"/>
            <w10:wrap type="none"/>
            <w10:anchorlock/>
          </v:shape>
          <o:OLEObject Type="Embed" ProgID="Equation.KSEE3" ShapeID="_x0000_i1029" DrawAspect="Content" ObjectID="_1468075729" r:id="rId54">
            <o:LockedField>false</o:LockedField>
          </o:OLEObject>
        </w:object>
      </w:r>
    </w:p>
    <w:p w14:paraId="051E3A7F">
      <w:pPr>
        <w:keepNext w:val="0"/>
        <w:keepLines w:val="0"/>
        <w:widowControl/>
        <w:suppressLineNumbers w:val="0"/>
        <w:ind w:firstLine="480" w:firstLineChars="200"/>
        <w:jc w:val="left"/>
      </w:pPr>
      <w:r>
        <w:rPr>
          <w:rFonts w:hint="eastAsia" w:ascii="宋体" w:hAnsi="宋体" w:eastAsia="宋体" w:cs="宋体"/>
          <w:color w:val="000000"/>
          <w:kern w:val="0"/>
          <w:sz w:val="24"/>
          <w:szCs w:val="24"/>
          <w:lang w:val="en-US" w:eastAsia="zh-CN" w:bidi="ar"/>
        </w:rPr>
        <w:t>式中：</w:t>
      </w:r>
      <w:r>
        <w:rPr>
          <w:rFonts w:hint="default" w:ascii="Times New Roman" w:hAnsi="Times New Roman" w:eastAsia="宋体" w:cs="Times New Roman"/>
          <w:color w:val="000000"/>
          <w:kern w:val="0"/>
          <w:sz w:val="24"/>
          <w:szCs w:val="24"/>
          <w:lang w:val="en-US" w:eastAsia="zh-CN" w:bidi="ar"/>
        </w:rPr>
        <w:t>S</w:t>
      </w:r>
      <w:r>
        <w:rPr>
          <w:rFonts w:hint="default" w:ascii="Times New Roman" w:hAnsi="Times New Roman" w:eastAsia="宋体" w:cs="Times New Roman"/>
          <w:color w:val="000000"/>
          <w:kern w:val="0"/>
          <w:sz w:val="15"/>
          <w:szCs w:val="15"/>
          <w:lang w:val="en-US" w:eastAsia="zh-CN" w:bidi="ar"/>
        </w:rPr>
        <w:t>ij</w:t>
      </w:r>
      <w:r>
        <w:rPr>
          <w:rFonts w:hint="eastAsia" w:ascii="宋体" w:hAnsi="宋体" w:eastAsia="宋体" w:cs="宋体"/>
          <w:color w:val="000000"/>
          <w:kern w:val="0"/>
          <w:sz w:val="24"/>
          <w:szCs w:val="24"/>
          <w:lang w:val="en-US" w:eastAsia="zh-CN" w:bidi="ar"/>
        </w:rPr>
        <w:t>－单项水质参数</w:t>
      </w:r>
      <w:r>
        <w:rPr>
          <w:rFonts w:hint="default" w:ascii="Times New Roman" w:hAnsi="Times New Roman" w:eastAsia="宋体" w:cs="Times New Roman"/>
          <w:color w:val="000000"/>
          <w:kern w:val="0"/>
          <w:sz w:val="24"/>
          <w:szCs w:val="24"/>
          <w:lang w:val="en-US" w:eastAsia="zh-CN" w:bidi="ar"/>
        </w:rPr>
        <w:t>i</w:t>
      </w:r>
      <w:r>
        <w:rPr>
          <w:rFonts w:hint="eastAsia" w:ascii="宋体" w:hAnsi="宋体" w:eastAsia="宋体" w:cs="宋体"/>
          <w:color w:val="000000"/>
          <w:kern w:val="0"/>
          <w:sz w:val="24"/>
          <w:szCs w:val="24"/>
          <w:lang w:val="en-US" w:eastAsia="zh-CN" w:bidi="ar"/>
        </w:rPr>
        <w:t>在第</w:t>
      </w:r>
      <w:r>
        <w:rPr>
          <w:rFonts w:hint="default" w:ascii="Times New Roman" w:hAnsi="Times New Roman" w:eastAsia="宋体" w:cs="Times New Roman"/>
          <w:color w:val="000000"/>
          <w:kern w:val="0"/>
          <w:sz w:val="24"/>
          <w:szCs w:val="24"/>
          <w:lang w:val="en-US" w:eastAsia="zh-CN" w:bidi="ar"/>
        </w:rPr>
        <w:t>j</w:t>
      </w:r>
      <w:r>
        <w:rPr>
          <w:rFonts w:hint="eastAsia" w:ascii="宋体" w:hAnsi="宋体" w:eastAsia="宋体" w:cs="宋体"/>
          <w:color w:val="000000"/>
          <w:kern w:val="0"/>
          <w:sz w:val="24"/>
          <w:szCs w:val="24"/>
          <w:lang w:val="en-US" w:eastAsia="zh-CN" w:bidi="ar"/>
        </w:rPr>
        <w:t xml:space="preserve">点的污染指数； </w:t>
      </w:r>
    </w:p>
    <w:p w14:paraId="0CDECA49">
      <w:pPr>
        <w:keepNext w:val="0"/>
        <w:keepLines w:val="0"/>
        <w:widowControl/>
        <w:suppressLineNumbers w:val="0"/>
        <w:ind w:firstLine="1200" w:firstLineChars="500"/>
        <w:jc w:val="left"/>
      </w:pPr>
      <w:r>
        <w:rPr>
          <w:rFonts w:hint="default" w:ascii="Times New Roman" w:hAnsi="Times New Roman" w:eastAsia="宋体" w:cs="Times New Roman"/>
          <w:color w:val="000000"/>
          <w:kern w:val="0"/>
          <w:sz w:val="24"/>
          <w:szCs w:val="24"/>
          <w:lang w:val="en-US" w:eastAsia="zh-CN" w:bidi="ar"/>
        </w:rPr>
        <w:t>C</w:t>
      </w:r>
      <w:r>
        <w:rPr>
          <w:rFonts w:hint="default" w:ascii="Times New Roman" w:hAnsi="Times New Roman" w:eastAsia="宋体" w:cs="Times New Roman"/>
          <w:color w:val="000000"/>
          <w:kern w:val="0"/>
          <w:sz w:val="15"/>
          <w:szCs w:val="15"/>
          <w:lang w:val="en-US" w:eastAsia="zh-CN" w:bidi="ar"/>
        </w:rPr>
        <w:t>ij</w:t>
      </w:r>
      <w:r>
        <w:rPr>
          <w:rFonts w:hint="eastAsia" w:ascii="宋体" w:hAnsi="宋体" w:eastAsia="宋体" w:cs="宋体"/>
          <w:color w:val="000000"/>
          <w:kern w:val="0"/>
          <w:sz w:val="24"/>
          <w:szCs w:val="24"/>
          <w:lang w:val="en-US" w:eastAsia="zh-CN" w:bidi="ar"/>
        </w:rPr>
        <w:t>－为</w:t>
      </w:r>
      <w:r>
        <w:rPr>
          <w:rFonts w:hint="default" w:ascii="Times New Roman" w:hAnsi="Times New Roman" w:eastAsia="宋体" w:cs="Times New Roman"/>
          <w:color w:val="000000"/>
          <w:kern w:val="0"/>
          <w:sz w:val="24"/>
          <w:szCs w:val="24"/>
          <w:lang w:val="en-US" w:eastAsia="zh-CN" w:bidi="ar"/>
        </w:rPr>
        <w:t>i</w:t>
      </w:r>
      <w:r>
        <w:rPr>
          <w:rFonts w:hint="eastAsia" w:ascii="宋体" w:hAnsi="宋体" w:eastAsia="宋体" w:cs="宋体"/>
          <w:color w:val="000000"/>
          <w:kern w:val="0"/>
          <w:sz w:val="24"/>
          <w:szCs w:val="24"/>
          <w:lang w:val="en-US" w:eastAsia="zh-CN" w:bidi="ar"/>
        </w:rPr>
        <w:t>因子在</w:t>
      </w:r>
      <w:r>
        <w:rPr>
          <w:rFonts w:hint="default" w:ascii="Times New Roman" w:hAnsi="Times New Roman" w:eastAsia="宋体" w:cs="Times New Roman"/>
          <w:color w:val="000000"/>
          <w:kern w:val="0"/>
          <w:sz w:val="24"/>
          <w:szCs w:val="24"/>
          <w:lang w:val="en-US" w:eastAsia="zh-CN" w:bidi="ar"/>
        </w:rPr>
        <w:t>j</w:t>
      </w:r>
      <w:r>
        <w:rPr>
          <w:rFonts w:hint="eastAsia" w:ascii="宋体" w:hAnsi="宋体" w:eastAsia="宋体" w:cs="宋体"/>
          <w:color w:val="000000"/>
          <w:kern w:val="0"/>
          <w:sz w:val="24"/>
          <w:szCs w:val="24"/>
          <w:lang w:val="en-US" w:eastAsia="zh-CN" w:bidi="ar"/>
        </w:rPr>
        <w:t xml:space="preserve">断面的监测值； </w:t>
      </w:r>
    </w:p>
    <w:p w14:paraId="155EECC6">
      <w:pPr>
        <w:keepNext w:val="0"/>
        <w:keepLines w:val="0"/>
        <w:widowControl/>
        <w:suppressLineNumbers w:val="0"/>
        <w:ind w:firstLine="1200" w:firstLineChars="500"/>
        <w:jc w:val="left"/>
      </w:pPr>
      <w:r>
        <w:rPr>
          <w:rFonts w:hint="default" w:ascii="Times New Roman" w:hAnsi="Times New Roman" w:eastAsia="宋体" w:cs="Times New Roman"/>
          <w:color w:val="000000"/>
          <w:kern w:val="0"/>
          <w:sz w:val="24"/>
          <w:szCs w:val="24"/>
          <w:lang w:val="en-US" w:eastAsia="zh-CN" w:bidi="ar"/>
        </w:rPr>
        <w:t>C</w:t>
      </w:r>
      <w:r>
        <w:rPr>
          <w:rFonts w:hint="default" w:ascii="Times New Roman" w:hAnsi="Times New Roman" w:eastAsia="宋体" w:cs="Times New Roman"/>
          <w:color w:val="000000"/>
          <w:kern w:val="0"/>
          <w:sz w:val="15"/>
          <w:szCs w:val="15"/>
          <w:lang w:val="en-US" w:eastAsia="zh-CN" w:bidi="ar"/>
        </w:rPr>
        <w:t>0</w:t>
      </w:r>
      <w:r>
        <w:rPr>
          <w:rFonts w:hint="eastAsia" w:ascii="宋体" w:hAnsi="宋体" w:eastAsia="宋体" w:cs="宋体"/>
          <w:color w:val="000000"/>
          <w:kern w:val="0"/>
          <w:sz w:val="24"/>
          <w:szCs w:val="24"/>
          <w:lang w:val="en-US" w:eastAsia="zh-CN" w:bidi="ar"/>
        </w:rPr>
        <w:t>－为</w:t>
      </w:r>
      <w:r>
        <w:rPr>
          <w:rFonts w:hint="default" w:ascii="Times New Roman" w:hAnsi="Times New Roman" w:eastAsia="宋体" w:cs="Times New Roman"/>
          <w:color w:val="000000"/>
          <w:kern w:val="0"/>
          <w:sz w:val="24"/>
          <w:szCs w:val="24"/>
          <w:lang w:val="en-US" w:eastAsia="zh-CN" w:bidi="ar"/>
        </w:rPr>
        <w:t>i</w:t>
      </w:r>
      <w:r>
        <w:rPr>
          <w:rFonts w:hint="eastAsia" w:ascii="宋体" w:hAnsi="宋体" w:eastAsia="宋体" w:cs="宋体"/>
          <w:color w:val="000000"/>
          <w:kern w:val="0"/>
          <w:sz w:val="24"/>
          <w:szCs w:val="24"/>
          <w:lang w:val="en-US" w:eastAsia="zh-CN" w:bidi="ar"/>
        </w:rPr>
        <w:t>因子在</w:t>
      </w:r>
      <w:r>
        <w:rPr>
          <w:rFonts w:hint="default" w:ascii="Times New Roman" w:hAnsi="Times New Roman" w:eastAsia="宋体" w:cs="Times New Roman"/>
          <w:color w:val="000000"/>
          <w:kern w:val="0"/>
          <w:sz w:val="24"/>
          <w:szCs w:val="24"/>
          <w:lang w:val="en-US" w:eastAsia="zh-CN" w:bidi="ar"/>
        </w:rPr>
        <w:t>j</w:t>
      </w:r>
      <w:r>
        <w:rPr>
          <w:rFonts w:hint="eastAsia" w:ascii="宋体" w:hAnsi="宋体" w:eastAsia="宋体" w:cs="宋体"/>
          <w:color w:val="000000"/>
          <w:kern w:val="0"/>
          <w:sz w:val="24"/>
          <w:szCs w:val="24"/>
          <w:lang w:val="en-US" w:eastAsia="zh-CN" w:bidi="ar"/>
        </w:rPr>
        <w:t xml:space="preserve">断面的标准值。 </w:t>
      </w:r>
    </w:p>
    <w:p w14:paraId="632BAB3A">
      <w:pPr>
        <w:keepNext w:val="0"/>
        <w:keepLines w:val="0"/>
        <w:widowControl/>
        <w:suppressLineNumbers w:val="0"/>
        <w:ind w:firstLine="480" w:firstLineChars="200"/>
        <w:jc w:val="left"/>
      </w:pPr>
      <w:r>
        <w:rPr>
          <w:rFonts w:hint="default" w:ascii="Times New Roman" w:hAnsi="Times New Roman" w:eastAsia="宋体" w:cs="Times New Roman"/>
          <w:color w:val="000000"/>
          <w:kern w:val="0"/>
          <w:sz w:val="24"/>
          <w:szCs w:val="24"/>
          <w:lang w:val="en-US" w:eastAsia="zh-CN" w:bidi="ar"/>
        </w:rPr>
        <w:t>pH</w:t>
      </w:r>
      <w:r>
        <w:rPr>
          <w:rFonts w:hint="eastAsia" w:ascii="宋体" w:hAnsi="宋体" w:eastAsia="宋体" w:cs="宋体"/>
          <w:color w:val="000000"/>
          <w:kern w:val="0"/>
          <w:sz w:val="24"/>
          <w:szCs w:val="24"/>
          <w:lang w:val="en-US" w:eastAsia="zh-CN" w:bidi="ar"/>
        </w:rPr>
        <w:t>污染指数计算式：</w:t>
      </w:r>
    </w:p>
    <w:p w14:paraId="2A59FD55">
      <w:pPr>
        <w:pStyle w:val="3"/>
        <w:numPr>
          <w:ilvl w:val="0"/>
          <w:numId w:val="0"/>
        </w:numPr>
        <w:ind w:leftChars="100" w:right="0" w:rightChars="0"/>
        <w:jc w:val="center"/>
      </w:pPr>
      <w:r>
        <w:drawing>
          <wp:inline distT="0" distB="0" distL="114300" distR="114300">
            <wp:extent cx="2119630" cy="548640"/>
            <wp:effectExtent l="0" t="0" r="13970" b="3810"/>
            <wp:docPr id="96" name="图片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图片 152"/>
                    <pic:cNvPicPr>
                      <a:picLocks noChangeAspect="1"/>
                    </pic:cNvPicPr>
                  </pic:nvPicPr>
                  <pic:blipFill>
                    <a:blip r:embed="rId56"/>
                    <a:srcRect b="15543"/>
                    <a:stretch>
                      <a:fillRect/>
                    </a:stretch>
                  </pic:blipFill>
                  <pic:spPr>
                    <a:xfrm>
                      <a:off x="0" y="0"/>
                      <a:ext cx="2119630" cy="548640"/>
                    </a:xfrm>
                    <a:prstGeom prst="rect">
                      <a:avLst/>
                    </a:prstGeom>
                    <a:noFill/>
                    <a:ln>
                      <a:noFill/>
                    </a:ln>
                  </pic:spPr>
                </pic:pic>
              </a:graphicData>
            </a:graphic>
          </wp:inline>
        </w:drawing>
      </w:r>
    </w:p>
    <w:p w14:paraId="5E229C28">
      <w:pPr>
        <w:pStyle w:val="3"/>
        <w:numPr>
          <w:ilvl w:val="0"/>
          <w:numId w:val="0"/>
        </w:numPr>
        <w:ind w:leftChars="100" w:right="0" w:rightChars="0"/>
        <w:jc w:val="center"/>
        <w:rPr>
          <w:rFonts w:hint="eastAsia"/>
          <w:lang w:eastAsia="zh-CN"/>
        </w:rPr>
      </w:pPr>
      <w:r>
        <w:drawing>
          <wp:inline distT="0" distB="0" distL="114300" distR="114300">
            <wp:extent cx="2133600" cy="530225"/>
            <wp:effectExtent l="0" t="0" r="0" b="3175"/>
            <wp:docPr id="97" name="图片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 name="图片 153"/>
                    <pic:cNvPicPr>
                      <a:picLocks noChangeAspect="1"/>
                    </pic:cNvPicPr>
                  </pic:nvPicPr>
                  <pic:blipFill>
                    <a:blip r:embed="rId57"/>
                    <a:stretch>
                      <a:fillRect/>
                    </a:stretch>
                  </pic:blipFill>
                  <pic:spPr>
                    <a:xfrm>
                      <a:off x="0" y="0"/>
                      <a:ext cx="2133600" cy="530225"/>
                    </a:xfrm>
                    <a:prstGeom prst="rect">
                      <a:avLst/>
                    </a:prstGeom>
                    <a:noFill/>
                    <a:ln>
                      <a:noFill/>
                    </a:ln>
                  </pic:spPr>
                </pic:pic>
              </a:graphicData>
            </a:graphic>
          </wp:inline>
        </w:drawing>
      </w:r>
    </w:p>
    <w:p w14:paraId="68E59DBA">
      <w:pPr>
        <w:keepNext w:val="0"/>
        <w:keepLines w:val="0"/>
        <w:widowControl/>
        <w:suppressLineNumbers w:val="0"/>
        <w:ind w:firstLine="480" w:firstLineChars="200"/>
        <w:jc w:val="left"/>
      </w:pPr>
      <w:r>
        <w:rPr>
          <w:rFonts w:hint="eastAsia" w:ascii="宋体" w:hAnsi="宋体" w:eastAsia="宋体" w:cs="宋体"/>
          <w:color w:val="000000"/>
          <w:kern w:val="0"/>
          <w:sz w:val="24"/>
          <w:szCs w:val="24"/>
          <w:lang w:val="en-US" w:eastAsia="zh-CN" w:bidi="ar"/>
        </w:rPr>
        <w:t>式中：</w:t>
      </w:r>
      <w:r>
        <w:rPr>
          <w:rFonts w:hint="default" w:ascii="Times New Roman" w:hAnsi="Times New Roman" w:eastAsia="宋体" w:cs="Times New Roman"/>
          <w:color w:val="000000"/>
          <w:kern w:val="0"/>
          <w:sz w:val="24"/>
          <w:szCs w:val="24"/>
          <w:lang w:val="en-US" w:eastAsia="zh-CN" w:bidi="ar"/>
        </w:rPr>
        <w:t>S</w:t>
      </w:r>
      <w:r>
        <w:rPr>
          <w:rFonts w:hint="default" w:ascii="Times New Roman" w:hAnsi="Times New Roman" w:eastAsia="宋体" w:cs="Times New Roman"/>
          <w:color w:val="000000"/>
          <w:kern w:val="0"/>
          <w:sz w:val="15"/>
          <w:szCs w:val="15"/>
          <w:lang w:val="en-US" w:eastAsia="zh-CN" w:bidi="ar"/>
        </w:rPr>
        <w:t>pH</w:t>
      </w:r>
      <w:r>
        <w:rPr>
          <w:rFonts w:hint="eastAsia" w:ascii="宋体" w:hAnsi="宋体" w:eastAsia="宋体" w:cs="宋体"/>
          <w:color w:val="000000"/>
          <w:kern w:val="0"/>
          <w:sz w:val="24"/>
          <w:szCs w:val="24"/>
          <w:lang w:val="en-US" w:eastAsia="zh-CN" w:bidi="ar"/>
        </w:rPr>
        <w:t>－</w:t>
      </w:r>
      <w:r>
        <w:rPr>
          <w:rFonts w:hint="default" w:ascii="Times New Roman" w:hAnsi="Times New Roman" w:eastAsia="宋体" w:cs="Times New Roman"/>
          <w:color w:val="000000"/>
          <w:kern w:val="0"/>
          <w:sz w:val="24"/>
          <w:szCs w:val="24"/>
          <w:lang w:val="en-US" w:eastAsia="zh-CN" w:bidi="ar"/>
        </w:rPr>
        <w:t>pH</w:t>
      </w:r>
      <w:r>
        <w:rPr>
          <w:rFonts w:hint="eastAsia" w:ascii="宋体" w:hAnsi="宋体" w:eastAsia="宋体" w:cs="宋体"/>
          <w:color w:val="000000"/>
          <w:kern w:val="0"/>
          <w:sz w:val="24"/>
          <w:szCs w:val="24"/>
          <w:lang w:val="en-US" w:eastAsia="zh-CN" w:bidi="ar"/>
        </w:rPr>
        <w:t>在</w:t>
      </w:r>
      <w:r>
        <w:rPr>
          <w:rFonts w:hint="default" w:ascii="Times New Roman" w:hAnsi="Times New Roman" w:eastAsia="宋体" w:cs="Times New Roman"/>
          <w:color w:val="000000"/>
          <w:kern w:val="0"/>
          <w:sz w:val="24"/>
          <w:szCs w:val="24"/>
          <w:lang w:val="en-US" w:eastAsia="zh-CN" w:bidi="ar"/>
        </w:rPr>
        <w:t>j</w:t>
      </w:r>
      <w:r>
        <w:rPr>
          <w:rFonts w:hint="eastAsia" w:ascii="宋体" w:hAnsi="宋体" w:eastAsia="宋体" w:cs="宋体"/>
          <w:color w:val="000000"/>
          <w:kern w:val="0"/>
          <w:sz w:val="24"/>
          <w:szCs w:val="24"/>
          <w:lang w:val="en-US" w:eastAsia="zh-CN" w:bidi="ar"/>
        </w:rPr>
        <w:t xml:space="preserve">断面的污染指数； </w:t>
      </w:r>
    </w:p>
    <w:p w14:paraId="20B32301">
      <w:pPr>
        <w:keepNext w:val="0"/>
        <w:keepLines w:val="0"/>
        <w:widowControl/>
        <w:suppressLineNumbers w:val="0"/>
        <w:ind w:firstLine="1200" w:firstLineChars="500"/>
        <w:jc w:val="left"/>
      </w:pPr>
      <w:r>
        <w:rPr>
          <w:rFonts w:hint="default" w:ascii="Times New Roman" w:hAnsi="Times New Roman" w:eastAsia="宋体" w:cs="Times New Roman"/>
          <w:color w:val="000000"/>
          <w:kern w:val="0"/>
          <w:sz w:val="24"/>
          <w:szCs w:val="24"/>
          <w:lang w:val="en-US" w:eastAsia="zh-CN" w:bidi="ar"/>
        </w:rPr>
        <w:t>pH</w:t>
      </w:r>
      <w:r>
        <w:rPr>
          <w:rFonts w:hint="default" w:ascii="Times New Roman" w:hAnsi="Times New Roman" w:eastAsia="宋体" w:cs="Times New Roman"/>
          <w:color w:val="000000"/>
          <w:kern w:val="0"/>
          <w:sz w:val="15"/>
          <w:szCs w:val="15"/>
          <w:lang w:val="en-US" w:eastAsia="zh-CN" w:bidi="ar"/>
        </w:rPr>
        <w:t>j</w:t>
      </w:r>
      <w:r>
        <w:rPr>
          <w:rFonts w:hint="eastAsia" w:ascii="宋体" w:hAnsi="宋体" w:eastAsia="宋体" w:cs="宋体"/>
          <w:color w:val="000000"/>
          <w:kern w:val="0"/>
          <w:sz w:val="24"/>
          <w:szCs w:val="24"/>
          <w:lang w:val="en-US" w:eastAsia="zh-CN" w:bidi="ar"/>
        </w:rPr>
        <w:t>－</w:t>
      </w:r>
      <w:r>
        <w:rPr>
          <w:rFonts w:hint="default" w:ascii="Times New Roman" w:hAnsi="Times New Roman" w:eastAsia="宋体" w:cs="Times New Roman"/>
          <w:color w:val="000000"/>
          <w:kern w:val="0"/>
          <w:sz w:val="24"/>
          <w:szCs w:val="24"/>
          <w:lang w:val="en-US" w:eastAsia="zh-CN" w:bidi="ar"/>
        </w:rPr>
        <w:t>j</w:t>
      </w:r>
      <w:r>
        <w:rPr>
          <w:rFonts w:hint="eastAsia" w:ascii="宋体" w:hAnsi="宋体" w:eastAsia="宋体" w:cs="宋体"/>
          <w:color w:val="000000"/>
          <w:kern w:val="0"/>
          <w:sz w:val="24"/>
          <w:szCs w:val="24"/>
          <w:lang w:val="en-US" w:eastAsia="zh-CN" w:bidi="ar"/>
        </w:rPr>
        <w:t>断面的</w:t>
      </w:r>
      <w:r>
        <w:rPr>
          <w:rFonts w:hint="default" w:ascii="Times New Roman" w:hAnsi="Times New Roman" w:eastAsia="宋体" w:cs="Times New Roman"/>
          <w:color w:val="000000"/>
          <w:kern w:val="0"/>
          <w:sz w:val="24"/>
          <w:szCs w:val="24"/>
          <w:lang w:val="en-US" w:eastAsia="zh-CN" w:bidi="ar"/>
        </w:rPr>
        <w:t>pH</w:t>
      </w:r>
      <w:r>
        <w:rPr>
          <w:rFonts w:hint="eastAsia" w:ascii="宋体" w:hAnsi="宋体" w:eastAsia="宋体" w:cs="宋体"/>
          <w:color w:val="000000"/>
          <w:kern w:val="0"/>
          <w:sz w:val="24"/>
          <w:szCs w:val="24"/>
          <w:lang w:val="en-US" w:eastAsia="zh-CN" w:bidi="ar"/>
        </w:rPr>
        <w:t xml:space="preserve">实际监测值； </w:t>
      </w:r>
    </w:p>
    <w:p w14:paraId="1F1D853F">
      <w:pPr>
        <w:keepNext w:val="0"/>
        <w:keepLines w:val="0"/>
        <w:widowControl/>
        <w:suppressLineNumbers w:val="0"/>
        <w:ind w:firstLine="1200" w:firstLineChars="500"/>
        <w:jc w:val="left"/>
      </w:pPr>
      <w:r>
        <w:rPr>
          <w:rFonts w:hint="default" w:ascii="Times New Roman" w:hAnsi="Times New Roman" w:eastAsia="宋体" w:cs="Times New Roman"/>
          <w:color w:val="000000"/>
          <w:kern w:val="0"/>
          <w:sz w:val="24"/>
          <w:szCs w:val="24"/>
          <w:lang w:val="en-US" w:eastAsia="zh-CN" w:bidi="ar"/>
        </w:rPr>
        <w:t>pH</w:t>
      </w:r>
      <w:r>
        <w:rPr>
          <w:rFonts w:hint="default" w:ascii="Times New Roman" w:hAnsi="Times New Roman" w:eastAsia="宋体" w:cs="Times New Roman"/>
          <w:color w:val="000000"/>
          <w:kern w:val="0"/>
          <w:sz w:val="15"/>
          <w:szCs w:val="15"/>
          <w:lang w:val="en-US" w:eastAsia="zh-CN" w:bidi="ar"/>
        </w:rPr>
        <w:t>sd</w:t>
      </w:r>
      <w:r>
        <w:rPr>
          <w:rFonts w:hint="eastAsia" w:ascii="宋体" w:hAnsi="宋体" w:eastAsia="宋体" w:cs="宋体"/>
          <w:color w:val="000000"/>
          <w:kern w:val="0"/>
          <w:sz w:val="24"/>
          <w:szCs w:val="24"/>
          <w:lang w:val="en-US" w:eastAsia="zh-CN" w:bidi="ar"/>
        </w:rPr>
        <w:t>－</w:t>
      </w:r>
      <w:r>
        <w:rPr>
          <w:rFonts w:hint="default" w:ascii="Times New Roman" w:hAnsi="Times New Roman" w:eastAsia="宋体" w:cs="Times New Roman"/>
          <w:color w:val="000000"/>
          <w:kern w:val="0"/>
          <w:sz w:val="24"/>
          <w:szCs w:val="24"/>
          <w:lang w:val="en-US" w:eastAsia="zh-CN" w:bidi="ar"/>
        </w:rPr>
        <w:t>pH</w:t>
      </w:r>
      <w:r>
        <w:rPr>
          <w:rFonts w:hint="eastAsia" w:ascii="宋体" w:hAnsi="宋体" w:eastAsia="宋体" w:cs="宋体"/>
          <w:color w:val="000000"/>
          <w:kern w:val="0"/>
          <w:sz w:val="24"/>
          <w:szCs w:val="24"/>
          <w:lang w:val="en-US" w:eastAsia="zh-CN" w:bidi="ar"/>
        </w:rPr>
        <w:t xml:space="preserve">标准值下限； </w:t>
      </w:r>
    </w:p>
    <w:p w14:paraId="55EDCA9D">
      <w:pPr>
        <w:keepNext w:val="0"/>
        <w:keepLines w:val="0"/>
        <w:widowControl/>
        <w:suppressLineNumbers w:val="0"/>
        <w:ind w:firstLine="1200" w:firstLineChars="500"/>
        <w:jc w:val="left"/>
      </w:pPr>
      <w:r>
        <w:rPr>
          <w:rFonts w:hint="default" w:ascii="Times New Roman" w:hAnsi="Times New Roman" w:eastAsia="宋体" w:cs="Times New Roman"/>
          <w:color w:val="000000"/>
          <w:kern w:val="0"/>
          <w:sz w:val="24"/>
          <w:szCs w:val="24"/>
          <w:lang w:val="en-US" w:eastAsia="zh-CN" w:bidi="ar"/>
        </w:rPr>
        <w:t>pH</w:t>
      </w:r>
      <w:r>
        <w:rPr>
          <w:rFonts w:hint="default" w:ascii="Times New Roman" w:hAnsi="Times New Roman" w:eastAsia="宋体" w:cs="Times New Roman"/>
          <w:color w:val="000000"/>
          <w:kern w:val="0"/>
          <w:sz w:val="15"/>
          <w:szCs w:val="15"/>
          <w:lang w:val="en-US" w:eastAsia="zh-CN" w:bidi="ar"/>
        </w:rPr>
        <w:t>su</w:t>
      </w:r>
      <w:r>
        <w:rPr>
          <w:rFonts w:hint="eastAsia" w:ascii="宋体" w:hAnsi="宋体" w:eastAsia="宋体" w:cs="宋体"/>
          <w:color w:val="000000"/>
          <w:kern w:val="0"/>
          <w:sz w:val="24"/>
          <w:szCs w:val="24"/>
          <w:lang w:val="en-US" w:eastAsia="zh-CN" w:bidi="ar"/>
        </w:rPr>
        <w:t>－</w:t>
      </w:r>
      <w:r>
        <w:rPr>
          <w:rFonts w:hint="default" w:ascii="Times New Roman" w:hAnsi="Times New Roman" w:eastAsia="宋体" w:cs="Times New Roman"/>
          <w:color w:val="000000"/>
          <w:kern w:val="0"/>
          <w:sz w:val="24"/>
          <w:szCs w:val="24"/>
          <w:lang w:val="en-US" w:eastAsia="zh-CN" w:bidi="ar"/>
        </w:rPr>
        <w:t>pH</w:t>
      </w:r>
      <w:r>
        <w:rPr>
          <w:rFonts w:hint="eastAsia" w:ascii="宋体" w:hAnsi="宋体" w:eastAsia="宋体" w:cs="宋体"/>
          <w:color w:val="000000"/>
          <w:kern w:val="0"/>
          <w:sz w:val="24"/>
          <w:szCs w:val="24"/>
          <w:lang w:val="en-US" w:eastAsia="zh-CN" w:bidi="ar"/>
        </w:rPr>
        <w:t>标准值上限。</w:t>
      </w:r>
    </w:p>
    <w:p w14:paraId="4F556AE1">
      <w:pPr>
        <w:keepNext w:val="0"/>
        <w:keepLines w:val="0"/>
        <w:widowControl/>
        <w:suppressLineNumbers w:val="0"/>
        <w:jc w:val="left"/>
      </w:pPr>
      <w:r>
        <w:rPr>
          <w:rFonts w:hint="eastAsia" w:ascii="宋体" w:hAnsi="宋体" w:eastAsia="宋体" w:cs="宋体"/>
          <w:color w:val="000000"/>
          <w:kern w:val="0"/>
          <w:sz w:val="24"/>
          <w:szCs w:val="24"/>
          <w:lang w:val="en-US" w:eastAsia="zh-CN" w:bidi="ar"/>
        </w:rPr>
        <w:t>（</w:t>
      </w:r>
      <w:r>
        <w:rPr>
          <w:rFonts w:hint="default" w:ascii="Times New Roman" w:hAnsi="Times New Roman" w:eastAsia="宋体" w:cs="Times New Roman"/>
          <w:color w:val="000000"/>
          <w:kern w:val="0"/>
          <w:sz w:val="24"/>
          <w:szCs w:val="24"/>
          <w:lang w:val="en-US" w:eastAsia="zh-CN" w:bidi="ar"/>
        </w:rPr>
        <w:t>7</w:t>
      </w:r>
      <w:r>
        <w:rPr>
          <w:rFonts w:hint="eastAsia" w:ascii="宋体" w:hAnsi="宋体" w:eastAsia="宋体" w:cs="宋体"/>
          <w:color w:val="000000"/>
          <w:kern w:val="0"/>
          <w:sz w:val="24"/>
          <w:szCs w:val="24"/>
          <w:lang w:val="en-US" w:eastAsia="zh-CN" w:bidi="ar"/>
        </w:rPr>
        <w:t xml:space="preserve">）监测及评价结果 </w:t>
      </w:r>
    </w:p>
    <w:p w14:paraId="39E8CCEE">
      <w:pPr>
        <w:keepNext w:val="0"/>
        <w:keepLines w:val="0"/>
        <w:widowControl/>
        <w:suppressLineNumbers w:val="0"/>
        <w:jc w:val="left"/>
      </w:pPr>
      <w:r>
        <w:rPr>
          <w:rFonts w:hint="eastAsia" w:ascii="宋体" w:hAnsi="宋体" w:eastAsia="宋体" w:cs="宋体"/>
          <w:color w:val="000000"/>
          <w:kern w:val="0"/>
          <w:sz w:val="24"/>
          <w:szCs w:val="24"/>
          <w:lang w:val="en-US" w:eastAsia="zh-CN" w:bidi="ar"/>
        </w:rPr>
        <w:t>监测及评价结果见表</w:t>
      </w:r>
      <w:r>
        <w:rPr>
          <w:rFonts w:hint="eastAsia" w:ascii="Times New Roman" w:hAnsi="Times New Roman" w:eastAsia="黑体" w:cs="Times New Roman"/>
          <w:b w:val="0"/>
          <w:sz w:val="24"/>
          <w:szCs w:val="21"/>
          <w:lang w:val="en-US" w:eastAsia="zh-CN" w:bidi="ar-SA"/>
        </w:rPr>
        <w:t>4.2-19</w:t>
      </w:r>
      <w:r>
        <w:rPr>
          <w:rFonts w:hint="eastAsia" w:ascii="宋体" w:hAnsi="宋体" w:eastAsia="宋体" w:cs="宋体"/>
          <w:color w:val="000000"/>
          <w:kern w:val="0"/>
          <w:sz w:val="24"/>
          <w:szCs w:val="24"/>
          <w:lang w:val="en-US" w:eastAsia="zh-CN" w:bidi="ar"/>
        </w:rPr>
        <w:t>和表</w:t>
      </w:r>
      <w:r>
        <w:rPr>
          <w:rFonts w:hint="eastAsia" w:ascii="Times New Roman" w:hAnsi="Times New Roman" w:eastAsia="黑体" w:cs="Times New Roman"/>
          <w:b w:val="0"/>
          <w:sz w:val="24"/>
          <w:szCs w:val="21"/>
          <w:lang w:val="en-US" w:eastAsia="zh-CN" w:bidi="ar-SA"/>
        </w:rPr>
        <w:t>4.2-20</w:t>
      </w:r>
      <w:r>
        <w:rPr>
          <w:rFonts w:hint="eastAsia" w:ascii="宋体" w:hAnsi="宋体" w:eastAsia="宋体" w:cs="宋体"/>
          <w:color w:val="000000"/>
          <w:kern w:val="0"/>
          <w:sz w:val="24"/>
          <w:szCs w:val="24"/>
          <w:lang w:val="en-US" w:eastAsia="zh-CN" w:bidi="ar"/>
        </w:rPr>
        <w:t xml:space="preserve">。 </w:t>
      </w:r>
    </w:p>
    <w:p w14:paraId="35995157">
      <w:pPr>
        <w:keepNext w:val="0"/>
        <w:keepLines w:val="0"/>
        <w:widowControl/>
        <w:suppressLineNumbers w:val="0"/>
        <w:jc w:val="center"/>
      </w:pPr>
      <w:r>
        <w:rPr>
          <w:rFonts w:ascii="Times New Roman" w:hAnsi="Times New Roman" w:eastAsia="黑体" w:cs="Times New Roman"/>
          <w:b w:val="0"/>
          <w:sz w:val="24"/>
          <w:szCs w:val="21"/>
          <w:lang w:val="en-US" w:eastAsia="zh-CN" w:bidi="ar-SA"/>
        </w:rPr>
        <w:t>表</w:t>
      </w:r>
      <w:r>
        <w:rPr>
          <w:rFonts w:hint="eastAsia" w:ascii="Times New Roman" w:hAnsi="Times New Roman" w:eastAsia="黑体" w:cs="Times New Roman"/>
          <w:b w:val="0"/>
          <w:sz w:val="24"/>
          <w:szCs w:val="21"/>
          <w:lang w:val="en-US" w:eastAsia="zh-CN" w:bidi="ar-SA"/>
        </w:rPr>
        <w:t xml:space="preserve">4.2-19 </w:t>
      </w:r>
      <w:r>
        <w:rPr>
          <w:rFonts w:hint="default" w:ascii="Times New Roman" w:hAnsi="Times New Roman" w:eastAsia="黑体" w:cs="Times New Roman"/>
          <w:b w:val="0"/>
          <w:sz w:val="24"/>
          <w:szCs w:val="21"/>
          <w:lang w:val="en-US" w:eastAsia="zh-CN" w:bidi="ar-SA"/>
        </w:rPr>
        <w:t xml:space="preserve"> </w:t>
      </w:r>
      <w:r>
        <w:rPr>
          <w:rFonts w:hint="eastAsia" w:ascii="Times New Roman" w:hAnsi="Times New Roman" w:eastAsia="黑体" w:cs="Times New Roman"/>
          <w:b w:val="0"/>
          <w:sz w:val="24"/>
          <w:szCs w:val="21"/>
          <w:lang w:val="en-US" w:eastAsia="zh-CN" w:bidi="ar-SA"/>
        </w:rPr>
        <w:t>地表水监测结果一览表</w:t>
      </w:r>
    </w:p>
    <w:tbl>
      <w:tblPr>
        <w:tblStyle w:val="57"/>
        <w:tblW w:w="4795" w:type="pct"/>
        <w:jc w:val="center"/>
        <w:tblBorders>
          <w:top w:val="double" w:color="auto" w:sz="4" w:space="0"/>
          <w:left w:val="none" w:color="auto" w:sz="0" w:space="0"/>
          <w:bottom w:val="double" w:color="auto" w:sz="4"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581"/>
        <w:gridCol w:w="963"/>
        <w:gridCol w:w="1730"/>
        <w:gridCol w:w="1482"/>
        <w:gridCol w:w="1396"/>
        <w:gridCol w:w="1361"/>
        <w:gridCol w:w="850"/>
      </w:tblGrid>
      <w:tr w14:paraId="19462073">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atLeast"/>
          <w:tblHeader/>
          <w:jc w:val="center"/>
        </w:trPr>
        <w:tc>
          <w:tcPr>
            <w:tcW w:w="347" w:type="pct"/>
            <w:vMerge w:val="restart"/>
            <w:tcBorders>
              <w:tl2br w:val="nil"/>
              <w:tr2bl w:val="nil"/>
            </w:tcBorders>
            <w:noWrap w:val="0"/>
            <w:vAlign w:val="center"/>
          </w:tcPr>
          <w:p w14:paraId="6B948110">
            <w:pPr>
              <w:keepNext w:val="0"/>
              <w:keepLines w:val="0"/>
              <w:widowControl/>
              <w:suppressLineNumbers w:val="0"/>
              <w:jc w:val="center"/>
              <w:textAlignment w:val="center"/>
              <w:rPr>
                <w:rFonts w:hint="default" w:ascii="Times New Roman" w:hAnsi="Times New Roman" w:eastAsia="宋体" w:cs="Times New Roman"/>
                <w:b/>
                <w:bCs/>
                <w:i w:val="0"/>
                <w:color w:val="000000"/>
                <w:kern w:val="0"/>
                <w:sz w:val="21"/>
                <w:szCs w:val="21"/>
                <w:u w:val="none"/>
                <w:lang w:val="en-US" w:eastAsia="zh-CN" w:bidi="ar"/>
              </w:rPr>
            </w:pPr>
            <w:r>
              <w:rPr>
                <w:rFonts w:hint="default" w:ascii="Times New Roman" w:hAnsi="Times New Roman" w:cs="Times New Roman"/>
                <w:b/>
                <w:bCs/>
                <w:i w:val="0"/>
                <w:color w:val="000000"/>
                <w:kern w:val="0"/>
                <w:sz w:val="21"/>
                <w:szCs w:val="21"/>
                <w:u w:val="none"/>
                <w:lang w:val="en-US" w:eastAsia="zh-CN" w:bidi="ar"/>
              </w:rPr>
              <w:t>序号</w:t>
            </w:r>
          </w:p>
        </w:tc>
        <w:tc>
          <w:tcPr>
            <w:tcW w:w="575" w:type="pct"/>
            <w:vMerge w:val="restart"/>
            <w:tcBorders>
              <w:tl2br w:val="nil"/>
              <w:tr2bl w:val="nil"/>
            </w:tcBorders>
            <w:noWrap w:val="0"/>
            <w:vAlign w:val="center"/>
          </w:tcPr>
          <w:p w14:paraId="7E4EFB84">
            <w:pPr>
              <w:keepNext w:val="0"/>
              <w:keepLines w:val="0"/>
              <w:widowControl/>
              <w:suppressLineNumbers w:val="0"/>
              <w:jc w:val="center"/>
              <w:textAlignment w:val="center"/>
              <w:rPr>
                <w:rFonts w:hint="default" w:ascii="Times New Roman" w:hAnsi="Times New Roman" w:eastAsia="宋体" w:cs="Times New Roman"/>
                <w:b/>
                <w:bCs/>
                <w:i w:val="0"/>
                <w:color w:val="000000"/>
                <w:kern w:val="0"/>
                <w:sz w:val="21"/>
                <w:szCs w:val="21"/>
                <w:u w:val="none"/>
                <w:lang w:val="en-US" w:eastAsia="zh-CN" w:bidi="ar"/>
              </w:rPr>
            </w:pPr>
            <w:r>
              <w:rPr>
                <w:rFonts w:hint="eastAsia" w:ascii="Times New Roman" w:hAnsi="Times New Roman" w:eastAsia="宋体" w:cs="Times New Roman"/>
                <w:b/>
                <w:bCs/>
                <w:i w:val="0"/>
                <w:color w:val="000000"/>
                <w:kern w:val="0"/>
                <w:sz w:val="21"/>
                <w:szCs w:val="21"/>
                <w:u w:val="none"/>
                <w:lang w:val="en-US" w:eastAsia="zh-CN" w:bidi="ar"/>
              </w:rPr>
              <w:t>点位</w:t>
            </w:r>
          </w:p>
        </w:tc>
        <w:tc>
          <w:tcPr>
            <w:tcW w:w="1034" w:type="pct"/>
            <w:vMerge w:val="restart"/>
            <w:tcBorders>
              <w:tl2br w:val="nil"/>
              <w:tr2bl w:val="nil"/>
            </w:tcBorders>
            <w:noWrap w:val="0"/>
            <w:vAlign w:val="center"/>
          </w:tcPr>
          <w:p w14:paraId="6479DB94">
            <w:pPr>
              <w:keepNext w:val="0"/>
              <w:keepLines w:val="0"/>
              <w:widowControl/>
              <w:suppressLineNumbers w:val="0"/>
              <w:jc w:val="center"/>
              <w:textAlignment w:val="center"/>
              <w:rPr>
                <w:rFonts w:hint="default" w:ascii="Times New Roman" w:hAnsi="Times New Roman" w:eastAsia="宋体" w:cs="Times New Roman"/>
                <w:sz w:val="21"/>
                <w:szCs w:val="21"/>
                <w:vertAlign w:val="baseline"/>
                <w:lang w:val="en-US" w:eastAsia="zh-CN"/>
              </w:rPr>
            </w:pPr>
            <w:r>
              <w:rPr>
                <w:rFonts w:hint="default" w:ascii="Times New Roman" w:hAnsi="Times New Roman" w:eastAsia="宋体" w:cs="Times New Roman"/>
                <w:b/>
                <w:bCs/>
                <w:i w:val="0"/>
                <w:color w:val="000000"/>
                <w:kern w:val="0"/>
                <w:sz w:val="21"/>
                <w:szCs w:val="21"/>
                <w:u w:val="none"/>
                <w:lang w:val="en-US" w:eastAsia="zh-CN" w:bidi="ar"/>
              </w:rPr>
              <w:t>检测项目</w:t>
            </w:r>
          </w:p>
        </w:tc>
        <w:tc>
          <w:tcPr>
            <w:tcW w:w="2534" w:type="pct"/>
            <w:gridSpan w:val="3"/>
            <w:tcBorders>
              <w:tl2br w:val="nil"/>
              <w:tr2bl w:val="nil"/>
            </w:tcBorders>
            <w:noWrap w:val="0"/>
            <w:vAlign w:val="center"/>
          </w:tcPr>
          <w:p w14:paraId="4FE323E6">
            <w:pPr>
              <w:keepNext w:val="0"/>
              <w:keepLines w:val="0"/>
              <w:widowControl/>
              <w:suppressLineNumbers w:val="0"/>
              <w:jc w:val="center"/>
              <w:textAlignment w:val="center"/>
              <w:rPr>
                <w:rFonts w:hint="eastAsia" w:ascii="Times New Roman" w:hAnsi="Times New Roman" w:cs="Times New Roman"/>
                <w:i w:val="0"/>
                <w:color w:val="000000"/>
                <w:sz w:val="21"/>
                <w:szCs w:val="21"/>
                <w:u w:val="none"/>
                <w:lang w:val="en-US" w:eastAsia="zh-CN"/>
              </w:rPr>
            </w:pPr>
            <w:r>
              <w:rPr>
                <w:rFonts w:hint="eastAsia" w:ascii="Times New Roman" w:hAnsi="Times New Roman" w:cs="Times New Roman"/>
                <w:i w:val="0"/>
                <w:color w:val="000000"/>
                <w:sz w:val="21"/>
                <w:szCs w:val="21"/>
                <w:u w:val="none"/>
                <w:lang w:val="en-US" w:eastAsia="zh-CN"/>
              </w:rPr>
              <w:t>监测时间</w:t>
            </w:r>
          </w:p>
        </w:tc>
        <w:tc>
          <w:tcPr>
            <w:tcW w:w="508" w:type="pct"/>
            <w:vMerge w:val="restart"/>
            <w:tcBorders>
              <w:tl2br w:val="nil"/>
              <w:tr2bl w:val="nil"/>
            </w:tcBorders>
            <w:noWrap w:val="0"/>
            <w:vAlign w:val="center"/>
          </w:tcPr>
          <w:p w14:paraId="2DBA6B49">
            <w:pPr>
              <w:keepNext w:val="0"/>
              <w:keepLines w:val="0"/>
              <w:widowControl/>
              <w:suppressLineNumbers w:val="0"/>
              <w:jc w:val="center"/>
              <w:textAlignment w:val="center"/>
              <w:rPr>
                <w:rFonts w:hint="default" w:ascii="Times New Roman" w:hAnsi="Times New Roman" w:eastAsia="宋体" w:cs="Times New Roman"/>
                <w:sz w:val="21"/>
                <w:szCs w:val="21"/>
                <w:vertAlign w:val="baseline"/>
                <w:lang w:val="en-US" w:eastAsia="zh-CN"/>
              </w:rPr>
            </w:pPr>
            <w:r>
              <w:rPr>
                <w:rFonts w:hint="default" w:ascii="Times New Roman" w:hAnsi="Times New Roman" w:eastAsia="宋体" w:cs="Times New Roman"/>
                <w:b/>
                <w:bCs/>
                <w:i w:val="0"/>
                <w:color w:val="auto"/>
                <w:kern w:val="0"/>
                <w:sz w:val="21"/>
                <w:szCs w:val="21"/>
                <w:u w:val="none"/>
                <w:lang w:val="en-US" w:eastAsia="zh-CN" w:bidi="ar"/>
              </w:rPr>
              <w:t>单位</w:t>
            </w:r>
          </w:p>
        </w:tc>
      </w:tr>
      <w:tr w14:paraId="2E1A0E48">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atLeast"/>
          <w:tblHeader/>
          <w:jc w:val="center"/>
        </w:trPr>
        <w:tc>
          <w:tcPr>
            <w:tcW w:w="347" w:type="pct"/>
            <w:vMerge w:val="continue"/>
            <w:tcBorders>
              <w:tl2br w:val="nil"/>
              <w:tr2bl w:val="nil"/>
            </w:tcBorders>
            <w:noWrap w:val="0"/>
            <w:vAlign w:val="center"/>
          </w:tcPr>
          <w:p w14:paraId="0775B2B4">
            <w:pPr>
              <w:keepNext w:val="0"/>
              <w:keepLines w:val="0"/>
              <w:widowControl/>
              <w:suppressLineNumbers w:val="0"/>
              <w:jc w:val="center"/>
              <w:textAlignment w:val="center"/>
              <w:rPr>
                <w:rFonts w:hint="default" w:ascii="Times New Roman" w:hAnsi="Times New Roman" w:eastAsia="宋体" w:cs="Times New Roman"/>
                <w:b/>
                <w:bCs/>
                <w:i w:val="0"/>
                <w:color w:val="000000"/>
                <w:kern w:val="0"/>
                <w:sz w:val="21"/>
                <w:szCs w:val="21"/>
                <w:u w:val="none"/>
                <w:lang w:val="en-US" w:eastAsia="zh-CN" w:bidi="ar"/>
              </w:rPr>
            </w:pPr>
          </w:p>
        </w:tc>
        <w:tc>
          <w:tcPr>
            <w:tcW w:w="575" w:type="pct"/>
            <w:vMerge w:val="continue"/>
            <w:tcBorders>
              <w:tl2br w:val="nil"/>
              <w:tr2bl w:val="nil"/>
            </w:tcBorders>
            <w:noWrap w:val="0"/>
            <w:vAlign w:val="center"/>
          </w:tcPr>
          <w:p w14:paraId="477A94F8">
            <w:pPr>
              <w:keepNext w:val="0"/>
              <w:keepLines w:val="0"/>
              <w:widowControl/>
              <w:suppressLineNumbers w:val="0"/>
              <w:jc w:val="center"/>
              <w:textAlignment w:val="center"/>
              <w:rPr>
                <w:rFonts w:hint="default" w:ascii="Times New Roman" w:hAnsi="Times New Roman" w:eastAsia="宋体" w:cs="Times New Roman"/>
                <w:b/>
                <w:bCs/>
                <w:i w:val="0"/>
                <w:color w:val="000000"/>
                <w:kern w:val="0"/>
                <w:sz w:val="21"/>
                <w:szCs w:val="21"/>
                <w:u w:val="none"/>
                <w:lang w:val="en-US" w:eastAsia="zh-CN" w:bidi="ar"/>
              </w:rPr>
            </w:pPr>
          </w:p>
        </w:tc>
        <w:tc>
          <w:tcPr>
            <w:tcW w:w="1034" w:type="pct"/>
            <w:vMerge w:val="continue"/>
            <w:tcBorders>
              <w:tl2br w:val="nil"/>
              <w:tr2bl w:val="nil"/>
            </w:tcBorders>
            <w:noWrap w:val="0"/>
            <w:vAlign w:val="center"/>
          </w:tcPr>
          <w:p w14:paraId="3FE5BF87">
            <w:pPr>
              <w:keepNext w:val="0"/>
              <w:keepLines w:val="0"/>
              <w:widowControl/>
              <w:suppressLineNumbers w:val="0"/>
              <w:jc w:val="center"/>
              <w:textAlignment w:val="center"/>
              <w:rPr>
                <w:rFonts w:hint="default" w:ascii="Times New Roman" w:hAnsi="Times New Roman" w:eastAsia="宋体" w:cs="Times New Roman"/>
                <w:sz w:val="21"/>
                <w:szCs w:val="21"/>
                <w:vertAlign w:val="baseline"/>
                <w:lang w:val="en-US" w:eastAsia="zh-CN"/>
              </w:rPr>
            </w:pPr>
          </w:p>
        </w:tc>
        <w:tc>
          <w:tcPr>
            <w:tcW w:w="885" w:type="pct"/>
            <w:tcBorders>
              <w:tl2br w:val="nil"/>
              <w:tr2bl w:val="nil"/>
            </w:tcBorders>
            <w:noWrap w:val="0"/>
            <w:vAlign w:val="center"/>
          </w:tcPr>
          <w:p w14:paraId="2C161B16">
            <w:pPr>
              <w:keepNext w:val="0"/>
              <w:keepLines w:val="0"/>
              <w:widowControl/>
              <w:suppressLineNumbers w:val="0"/>
              <w:jc w:val="center"/>
              <w:textAlignment w:val="center"/>
              <w:rPr>
                <w:rFonts w:hint="default" w:ascii="Times New Roman" w:hAnsi="Times New Roman" w:eastAsia="宋体" w:cs="Times New Roman"/>
                <w:kern w:val="2"/>
                <w:sz w:val="21"/>
                <w:szCs w:val="21"/>
                <w:vertAlign w:val="baseline"/>
                <w:lang w:val="en-US" w:eastAsia="zh-CN" w:bidi="ar-SA"/>
              </w:rPr>
            </w:pPr>
            <w:r>
              <w:rPr>
                <w:rFonts w:hint="eastAsia" w:ascii="Times New Roman" w:hAnsi="Times New Roman" w:cs="Times New Roman"/>
                <w:i w:val="0"/>
                <w:color w:val="000000"/>
                <w:sz w:val="21"/>
                <w:szCs w:val="21"/>
                <w:u w:val="none"/>
                <w:lang w:val="en-US" w:eastAsia="zh-CN"/>
              </w:rPr>
              <w:t>2026.05.01</w:t>
            </w:r>
          </w:p>
        </w:tc>
        <w:tc>
          <w:tcPr>
            <w:tcW w:w="834" w:type="pct"/>
            <w:tcBorders>
              <w:tl2br w:val="nil"/>
              <w:tr2bl w:val="nil"/>
            </w:tcBorders>
            <w:noWrap w:val="0"/>
            <w:vAlign w:val="center"/>
          </w:tcPr>
          <w:p w14:paraId="37641149">
            <w:pPr>
              <w:keepNext w:val="0"/>
              <w:keepLines w:val="0"/>
              <w:widowControl/>
              <w:suppressLineNumbers w:val="0"/>
              <w:jc w:val="center"/>
              <w:textAlignment w:val="center"/>
              <w:rPr>
                <w:rFonts w:hint="default" w:ascii="Times New Roman" w:hAnsi="Times New Roman" w:eastAsia="宋体" w:cs="Times New Roman"/>
                <w:b/>
                <w:bCs/>
                <w:i w:val="0"/>
                <w:color w:val="000000"/>
                <w:kern w:val="0"/>
                <w:sz w:val="21"/>
                <w:szCs w:val="21"/>
                <w:u w:val="none"/>
                <w:lang w:val="en-US" w:eastAsia="zh-CN" w:bidi="ar"/>
              </w:rPr>
            </w:pPr>
            <w:r>
              <w:rPr>
                <w:rFonts w:hint="eastAsia" w:ascii="Times New Roman" w:hAnsi="Times New Roman" w:cs="Times New Roman"/>
                <w:i w:val="0"/>
                <w:color w:val="000000"/>
                <w:sz w:val="21"/>
                <w:szCs w:val="21"/>
                <w:u w:val="none"/>
                <w:lang w:val="en-US" w:eastAsia="zh-CN"/>
              </w:rPr>
              <w:t>2026.05.02</w:t>
            </w:r>
          </w:p>
        </w:tc>
        <w:tc>
          <w:tcPr>
            <w:tcW w:w="813" w:type="pct"/>
            <w:tcBorders>
              <w:tl2br w:val="nil"/>
              <w:tr2bl w:val="nil"/>
            </w:tcBorders>
            <w:noWrap w:val="0"/>
            <w:vAlign w:val="center"/>
          </w:tcPr>
          <w:p w14:paraId="32137140">
            <w:pPr>
              <w:keepNext w:val="0"/>
              <w:keepLines w:val="0"/>
              <w:widowControl/>
              <w:suppressLineNumbers w:val="0"/>
              <w:jc w:val="center"/>
              <w:textAlignment w:val="center"/>
              <w:rPr>
                <w:rFonts w:hint="default" w:ascii="Times New Roman" w:hAnsi="Times New Roman" w:eastAsia="宋体" w:cs="Times New Roman"/>
                <w:b/>
                <w:bCs/>
                <w:i w:val="0"/>
                <w:color w:val="000000"/>
                <w:kern w:val="0"/>
                <w:sz w:val="21"/>
                <w:szCs w:val="21"/>
                <w:u w:val="none"/>
                <w:lang w:val="en-US" w:eastAsia="zh-CN" w:bidi="ar"/>
              </w:rPr>
            </w:pPr>
            <w:r>
              <w:rPr>
                <w:rFonts w:hint="eastAsia" w:ascii="Times New Roman" w:hAnsi="Times New Roman" w:cs="Times New Roman"/>
                <w:i w:val="0"/>
                <w:color w:val="000000"/>
                <w:sz w:val="21"/>
                <w:szCs w:val="21"/>
                <w:u w:val="none"/>
                <w:lang w:val="en-US" w:eastAsia="zh-CN"/>
              </w:rPr>
              <w:t>2026.05.03</w:t>
            </w:r>
          </w:p>
        </w:tc>
        <w:tc>
          <w:tcPr>
            <w:tcW w:w="508" w:type="pct"/>
            <w:vMerge w:val="continue"/>
            <w:tcBorders>
              <w:tl2br w:val="nil"/>
              <w:tr2bl w:val="nil"/>
            </w:tcBorders>
            <w:noWrap w:val="0"/>
            <w:vAlign w:val="center"/>
          </w:tcPr>
          <w:p w14:paraId="612AADC7">
            <w:pPr>
              <w:keepNext w:val="0"/>
              <w:keepLines w:val="0"/>
              <w:widowControl/>
              <w:suppressLineNumbers w:val="0"/>
              <w:jc w:val="center"/>
              <w:textAlignment w:val="center"/>
              <w:rPr>
                <w:rFonts w:hint="default" w:ascii="Times New Roman" w:hAnsi="Times New Roman" w:eastAsia="宋体" w:cs="Times New Roman"/>
                <w:sz w:val="21"/>
                <w:szCs w:val="21"/>
                <w:vertAlign w:val="baseline"/>
                <w:lang w:val="en-US" w:eastAsia="zh-CN"/>
              </w:rPr>
            </w:pPr>
          </w:p>
        </w:tc>
      </w:tr>
      <w:tr w14:paraId="5E829040">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347" w:type="pct"/>
            <w:tcBorders>
              <w:tl2br w:val="nil"/>
              <w:tr2bl w:val="nil"/>
            </w:tcBorders>
            <w:noWrap w:val="0"/>
            <w:vAlign w:val="center"/>
          </w:tcPr>
          <w:p w14:paraId="0893C83C">
            <w:pPr>
              <w:widowControl w:val="0"/>
              <w:adjustRightInd w:val="0"/>
              <w:snapToGrid w:val="0"/>
              <w:jc w:val="center"/>
              <w:textAlignment w:val="center"/>
              <w:rPr>
                <w:rFonts w:hint="default" w:ascii="Times New Roman" w:hAnsi="Times New Roman" w:eastAsia="宋体" w:cs="Times New Roman"/>
                <w:sz w:val="21"/>
                <w:szCs w:val="21"/>
                <w:lang w:val="en-US" w:eastAsia="zh-CN" w:bidi="ar"/>
              </w:rPr>
            </w:pPr>
            <w:r>
              <w:rPr>
                <w:rFonts w:hint="default" w:ascii="Times New Roman" w:hAnsi="Times New Roman" w:eastAsia="宋体" w:cs="Times New Roman"/>
                <w:sz w:val="21"/>
                <w:szCs w:val="21"/>
                <w:lang w:val="en-US" w:eastAsia="zh-CN" w:bidi="ar"/>
              </w:rPr>
              <w:t>1</w:t>
            </w:r>
          </w:p>
        </w:tc>
        <w:tc>
          <w:tcPr>
            <w:tcW w:w="575" w:type="pct"/>
            <w:vMerge w:val="restart"/>
            <w:tcBorders>
              <w:tl2br w:val="nil"/>
              <w:tr2bl w:val="nil"/>
            </w:tcBorders>
            <w:noWrap w:val="0"/>
            <w:vAlign w:val="center"/>
          </w:tcPr>
          <w:p w14:paraId="71DDAFD4">
            <w:pPr>
              <w:widowControl w:val="0"/>
              <w:adjustRightInd w:val="0"/>
              <w:snapToGrid w:val="0"/>
              <w:jc w:val="center"/>
              <w:textAlignment w:val="center"/>
              <w:rPr>
                <w:rFonts w:hint="default" w:ascii="Times New Roman" w:hAnsi="Times New Roman" w:eastAsia="宋体" w:cs="Times New Roman"/>
                <w:sz w:val="21"/>
                <w:szCs w:val="21"/>
                <w:lang w:val="en-US" w:eastAsia="zh-CN" w:bidi="ar"/>
              </w:rPr>
            </w:pPr>
            <w:r>
              <w:rPr>
                <w:rFonts w:hint="default" w:ascii="Times New Roman" w:hAnsi="Times New Roman" w:eastAsia="宋体" w:cs="Times New Roman"/>
                <w:sz w:val="21"/>
                <w:szCs w:val="21"/>
                <w:lang w:val="en-US" w:eastAsia="zh-CN" w:bidi="ar"/>
              </w:rPr>
              <w:t>厂区西侧西河雨水排口下游</w:t>
            </w:r>
          </w:p>
        </w:tc>
        <w:tc>
          <w:tcPr>
            <w:tcW w:w="1034" w:type="pct"/>
            <w:tcBorders>
              <w:tl2br w:val="nil"/>
              <w:tr2bl w:val="nil"/>
            </w:tcBorders>
            <w:noWrap w:val="0"/>
            <w:vAlign w:val="center"/>
          </w:tcPr>
          <w:p w14:paraId="47D7A207">
            <w:pPr>
              <w:widowControl w:val="0"/>
              <w:adjustRightInd w:val="0"/>
              <w:snapToGrid w:val="0"/>
              <w:jc w:val="center"/>
              <w:textAlignment w:val="center"/>
              <w:rPr>
                <w:rFonts w:hint="default" w:ascii="Times New Roman" w:hAnsi="Times New Roman" w:eastAsia="宋体" w:cs="Times New Roman"/>
                <w:sz w:val="21"/>
                <w:szCs w:val="21"/>
                <w:lang w:val="en-US" w:eastAsia="zh-CN" w:bidi="ar"/>
              </w:rPr>
            </w:pPr>
            <w:r>
              <w:rPr>
                <w:rFonts w:hint="default" w:ascii="Times New Roman" w:hAnsi="Times New Roman" w:eastAsia="宋体" w:cs="Times New Roman"/>
                <w:sz w:val="21"/>
                <w:szCs w:val="21"/>
                <w:lang w:val="en-US" w:eastAsia="zh-CN" w:bidi="ar"/>
              </w:rPr>
              <w:t>pH值</w:t>
            </w:r>
          </w:p>
        </w:tc>
        <w:tc>
          <w:tcPr>
            <w:tcW w:w="885" w:type="pct"/>
            <w:tcBorders>
              <w:tl2br w:val="nil"/>
              <w:tr2bl w:val="nil"/>
            </w:tcBorders>
            <w:noWrap w:val="0"/>
            <w:vAlign w:val="center"/>
          </w:tcPr>
          <w:p w14:paraId="5FEAA460">
            <w:pPr>
              <w:widowControl w:val="0"/>
              <w:adjustRightInd w:val="0"/>
              <w:snapToGrid w:val="0"/>
              <w:jc w:val="center"/>
              <w:textAlignment w:val="center"/>
              <w:rPr>
                <w:rFonts w:hint="default" w:ascii="Times New Roman" w:hAnsi="Times New Roman" w:eastAsia="宋体" w:cs="Times New Roman"/>
                <w:sz w:val="21"/>
                <w:szCs w:val="21"/>
                <w:lang w:val="en-US" w:eastAsia="zh-CN" w:bidi="ar"/>
              </w:rPr>
            </w:pPr>
            <w:r>
              <w:rPr>
                <w:rFonts w:hint="eastAsia" w:ascii="Times New Roman" w:hAnsi="Times New Roman" w:eastAsia="宋体" w:cs="Times New Roman"/>
                <w:sz w:val="21"/>
                <w:szCs w:val="21"/>
                <w:lang w:val="en-US" w:eastAsia="zh-CN" w:bidi="ar"/>
              </w:rPr>
              <w:t>7.2</w:t>
            </w:r>
          </w:p>
        </w:tc>
        <w:tc>
          <w:tcPr>
            <w:tcW w:w="834" w:type="pct"/>
            <w:tcBorders>
              <w:tl2br w:val="nil"/>
              <w:tr2bl w:val="nil"/>
            </w:tcBorders>
            <w:noWrap w:val="0"/>
            <w:vAlign w:val="center"/>
          </w:tcPr>
          <w:p w14:paraId="63E69032">
            <w:pPr>
              <w:widowControl w:val="0"/>
              <w:adjustRightInd w:val="0"/>
              <w:snapToGrid w:val="0"/>
              <w:jc w:val="center"/>
              <w:textAlignment w:val="center"/>
              <w:rPr>
                <w:rFonts w:hint="default" w:ascii="Times New Roman" w:hAnsi="Times New Roman" w:eastAsia="宋体" w:cs="Times New Roman"/>
                <w:sz w:val="21"/>
                <w:szCs w:val="21"/>
                <w:lang w:val="en-US" w:eastAsia="zh-CN" w:bidi="ar"/>
              </w:rPr>
            </w:pPr>
            <w:r>
              <w:rPr>
                <w:rFonts w:hint="eastAsia" w:ascii="Times New Roman" w:hAnsi="Times New Roman" w:eastAsia="宋体" w:cs="Times New Roman"/>
                <w:sz w:val="21"/>
                <w:szCs w:val="21"/>
                <w:lang w:val="en-US" w:eastAsia="zh-CN" w:bidi="ar"/>
              </w:rPr>
              <w:t>7.3</w:t>
            </w:r>
          </w:p>
        </w:tc>
        <w:tc>
          <w:tcPr>
            <w:tcW w:w="813" w:type="pct"/>
            <w:tcBorders>
              <w:tl2br w:val="nil"/>
              <w:tr2bl w:val="nil"/>
            </w:tcBorders>
            <w:noWrap w:val="0"/>
            <w:vAlign w:val="center"/>
          </w:tcPr>
          <w:p w14:paraId="25827ECB">
            <w:pPr>
              <w:widowControl w:val="0"/>
              <w:adjustRightInd w:val="0"/>
              <w:snapToGrid w:val="0"/>
              <w:jc w:val="center"/>
              <w:textAlignment w:val="center"/>
              <w:rPr>
                <w:rFonts w:hint="default" w:ascii="Times New Roman" w:hAnsi="Times New Roman" w:eastAsia="宋体" w:cs="Times New Roman"/>
                <w:sz w:val="21"/>
                <w:szCs w:val="21"/>
                <w:lang w:val="en-US" w:eastAsia="zh-CN" w:bidi="ar"/>
              </w:rPr>
            </w:pPr>
            <w:r>
              <w:rPr>
                <w:rFonts w:hint="eastAsia" w:ascii="Times New Roman" w:hAnsi="Times New Roman" w:eastAsia="宋体" w:cs="Times New Roman"/>
                <w:sz w:val="21"/>
                <w:szCs w:val="21"/>
                <w:lang w:val="en-US" w:eastAsia="zh-CN" w:bidi="ar"/>
              </w:rPr>
              <w:t>7.2</w:t>
            </w:r>
          </w:p>
        </w:tc>
        <w:tc>
          <w:tcPr>
            <w:tcW w:w="508" w:type="pct"/>
            <w:tcBorders>
              <w:tl2br w:val="nil"/>
              <w:tr2bl w:val="nil"/>
            </w:tcBorders>
            <w:noWrap w:val="0"/>
            <w:vAlign w:val="center"/>
          </w:tcPr>
          <w:p w14:paraId="0EE8468F">
            <w:pPr>
              <w:widowControl w:val="0"/>
              <w:adjustRightInd w:val="0"/>
              <w:snapToGrid w:val="0"/>
              <w:jc w:val="center"/>
              <w:textAlignment w:val="center"/>
              <w:rPr>
                <w:rFonts w:hint="default" w:ascii="Times New Roman" w:hAnsi="Times New Roman" w:eastAsia="宋体" w:cs="Times New Roman"/>
                <w:sz w:val="21"/>
                <w:szCs w:val="21"/>
                <w:lang w:val="en-US" w:eastAsia="zh-CN" w:bidi="ar"/>
              </w:rPr>
            </w:pPr>
            <w:r>
              <w:rPr>
                <w:rFonts w:hint="default" w:ascii="Times New Roman" w:hAnsi="Times New Roman" w:eastAsia="宋体" w:cs="Times New Roman"/>
                <w:sz w:val="21"/>
                <w:szCs w:val="21"/>
                <w:lang w:val="en-US" w:eastAsia="zh-CN" w:bidi="ar"/>
              </w:rPr>
              <w:t>无量纲</w:t>
            </w:r>
          </w:p>
        </w:tc>
      </w:tr>
      <w:tr w14:paraId="62179F40">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347" w:type="pct"/>
            <w:tcBorders>
              <w:tl2br w:val="nil"/>
              <w:tr2bl w:val="nil"/>
            </w:tcBorders>
            <w:noWrap w:val="0"/>
            <w:vAlign w:val="center"/>
          </w:tcPr>
          <w:p w14:paraId="62238E41">
            <w:pPr>
              <w:widowControl w:val="0"/>
              <w:adjustRightInd w:val="0"/>
              <w:snapToGrid w:val="0"/>
              <w:jc w:val="center"/>
              <w:textAlignment w:val="center"/>
              <w:rPr>
                <w:rFonts w:hint="default" w:ascii="Times New Roman" w:hAnsi="Times New Roman" w:eastAsia="宋体" w:cs="Times New Roman"/>
                <w:sz w:val="21"/>
                <w:szCs w:val="21"/>
                <w:lang w:val="en-US" w:eastAsia="zh-CN" w:bidi="ar"/>
              </w:rPr>
            </w:pPr>
            <w:r>
              <w:rPr>
                <w:rFonts w:hint="default" w:ascii="Times New Roman" w:hAnsi="Times New Roman" w:eastAsia="宋体" w:cs="Times New Roman"/>
                <w:sz w:val="21"/>
                <w:szCs w:val="21"/>
                <w:lang w:val="en-US" w:eastAsia="zh-CN" w:bidi="ar"/>
              </w:rPr>
              <w:t>2</w:t>
            </w:r>
          </w:p>
        </w:tc>
        <w:tc>
          <w:tcPr>
            <w:tcW w:w="575" w:type="pct"/>
            <w:vMerge w:val="continue"/>
            <w:tcBorders>
              <w:tl2br w:val="nil"/>
              <w:tr2bl w:val="nil"/>
            </w:tcBorders>
            <w:noWrap w:val="0"/>
            <w:vAlign w:val="center"/>
          </w:tcPr>
          <w:p w14:paraId="3C99E580">
            <w:pPr>
              <w:widowControl w:val="0"/>
              <w:adjustRightInd w:val="0"/>
              <w:snapToGrid w:val="0"/>
              <w:jc w:val="center"/>
              <w:textAlignment w:val="center"/>
              <w:rPr>
                <w:rFonts w:hint="default" w:ascii="Times New Roman" w:hAnsi="Times New Roman" w:eastAsia="宋体" w:cs="Times New Roman"/>
                <w:sz w:val="21"/>
                <w:szCs w:val="21"/>
                <w:lang w:val="en-US" w:eastAsia="zh-CN" w:bidi="ar"/>
              </w:rPr>
            </w:pPr>
          </w:p>
        </w:tc>
        <w:tc>
          <w:tcPr>
            <w:tcW w:w="1034" w:type="pct"/>
            <w:tcBorders>
              <w:tl2br w:val="nil"/>
              <w:tr2bl w:val="nil"/>
            </w:tcBorders>
            <w:noWrap w:val="0"/>
            <w:vAlign w:val="center"/>
          </w:tcPr>
          <w:p w14:paraId="23C33675">
            <w:pPr>
              <w:widowControl w:val="0"/>
              <w:adjustRightInd w:val="0"/>
              <w:snapToGrid w:val="0"/>
              <w:jc w:val="center"/>
              <w:textAlignment w:val="center"/>
              <w:rPr>
                <w:rFonts w:hint="default" w:ascii="Times New Roman" w:hAnsi="Times New Roman" w:eastAsia="宋体" w:cs="Times New Roman"/>
                <w:sz w:val="21"/>
                <w:szCs w:val="21"/>
                <w:lang w:val="en-US" w:eastAsia="zh-CN" w:bidi="ar"/>
              </w:rPr>
            </w:pPr>
            <w:r>
              <w:rPr>
                <w:rFonts w:hint="default" w:ascii="Times New Roman" w:hAnsi="Times New Roman" w:eastAsia="宋体" w:cs="Times New Roman"/>
                <w:sz w:val="21"/>
                <w:szCs w:val="21"/>
                <w:lang w:val="en-US" w:eastAsia="zh-CN" w:bidi="ar"/>
              </w:rPr>
              <w:t>水温</w:t>
            </w:r>
          </w:p>
        </w:tc>
        <w:tc>
          <w:tcPr>
            <w:tcW w:w="885" w:type="pct"/>
            <w:tcBorders>
              <w:tl2br w:val="nil"/>
              <w:tr2bl w:val="nil"/>
            </w:tcBorders>
            <w:noWrap w:val="0"/>
            <w:vAlign w:val="center"/>
          </w:tcPr>
          <w:p w14:paraId="1C29CF47">
            <w:pPr>
              <w:widowControl w:val="0"/>
              <w:adjustRightInd w:val="0"/>
              <w:snapToGrid w:val="0"/>
              <w:jc w:val="center"/>
              <w:textAlignment w:val="center"/>
              <w:rPr>
                <w:rFonts w:hint="default" w:ascii="Times New Roman" w:hAnsi="Times New Roman" w:eastAsia="宋体" w:cs="Times New Roman"/>
                <w:sz w:val="21"/>
                <w:szCs w:val="21"/>
                <w:lang w:val="en-US" w:eastAsia="zh-CN" w:bidi="ar"/>
              </w:rPr>
            </w:pPr>
            <w:r>
              <w:rPr>
                <w:rFonts w:hint="eastAsia" w:ascii="Times New Roman" w:hAnsi="Times New Roman" w:eastAsia="宋体" w:cs="Times New Roman"/>
                <w:sz w:val="21"/>
                <w:szCs w:val="21"/>
                <w:lang w:val="en-US" w:eastAsia="zh-CN" w:bidi="ar"/>
              </w:rPr>
              <w:t>13.5</w:t>
            </w:r>
          </w:p>
        </w:tc>
        <w:tc>
          <w:tcPr>
            <w:tcW w:w="834" w:type="pct"/>
            <w:tcBorders>
              <w:tl2br w:val="nil"/>
              <w:tr2bl w:val="nil"/>
            </w:tcBorders>
            <w:noWrap w:val="0"/>
            <w:vAlign w:val="center"/>
          </w:tcPr>
          <w:p w14:paraId="49047E43">
            <w:pPr>
              <w:widowControl w:val="0"/>
              <w:adjustRightInd w:val="0"/>
              <w:snapToGrid w:val="0"/>
              <w:jc w:val="center"/>
              <w:textAlignment w:val="center"/>
              <w:rPr>
                <w:rFonts w:hint="default" w:ascii="Times New Roman" w:hAnsi="Times New Roman" w:eastAsia="宋体" w:cs="Times New Roman"/>
                <w:sz w:val="21"/>
                <w:szCs w:val="21"/>
                <w:lang w:val="en-US" w:eastAsia="zh-CN" w:bidi="ar"/>
              </w:rPr>
            </w:pPr>
            <w:r>
              <w:rPr>
                <w:rFonts w:hint="eastAsia" w:ascii="Times New Roman" w:hAnsi="Times New Roman" w:eastAsia="宋体" w:cs="Times New Roman"/>
                <w:sz w:val="21"/>
                <w:szCs w:val="21"/>
                <w:lang w:val="en-US" w:eastAsia="zh-CN" w:bidi="ar"/>
              </w:rPr>
              <w:t>12.6</w:t>
            </w:r>
          </w:p>
        </w:tc>
        <w:tc>
          <w:tcPr>
            <w:tcW w:w="813" w:type="pct"/>
            <w:tcBorders>
              <w:tl2br w:val="nil"/>
              <w:tr2bl w:val="nil"/>
            </w:tcBorders>
            <w:noWrap w:val="0"/>
            <w:vAlign w:val="center"/>
          </w:tcPr>
          <w:p w14:paraId="1CA691A8">
            <w:pPr>
              <w:widowControl w:val="0"/>
              <w:adjustRightInd w:val="0"/>
              <w:snapToGrid w:val="0"/>
              <w:jc w:val="center"/>
              <w:textAlignment w:val="center"/>
              <w:rPr>
                <w:rFonts w:hint="default" w:ascii="Times New Roman" w:hAnsi="Times New Roman" w:eastAsia="宋体" w:cs="Times New Roman"/>
                <w:sz w:val="21"/>
                <w:szCs w:val="21"/>
                <w:lang w:val="en-US" w:eastAsia="zh-CN" w:bidi="ar"/>
              </w:rPr>
            </w:pPr>
            <w:r>
              <w:rPr>
                <w:rFonts w:hint="eastAsia" w:ascii="Times New Roman" w:hAnsi="Times New Roman" w:eastAsia="宋体" w:cs="Times New Roman"/>
                <w:sz w:val="21"/>
                <w:szCs w:val="21"/>
                <w:lang w:val="en-US" w:eastAsia="zh-CN" w:bidi="ar"/>
              </w:rPr>
              <w:t>6.8</w:t>
            </w:r>
          </w:p>
        </w:tc>
        <w:tc>
          <w:tcPr>
            <w:tcW w:w="508" w:type="pct"/>
            <w:tcBorders>
              <w:tl2br w:val="nil"/>
              <w:tr2bl w:val="nil"/>
            </w:tcBorders>
            <w:noWrap w:val="0"/>
            <w:vAlign w:val="center"/>
          </w:tcPr>
          <w:p w14:paraId="19055BB9">
            <w:pPr>
              <w:widowControl w:val="0"/>
              <w:adjustRightInd w:val="0"/>
              <w:snapToGrid w:val="0"/>
              <w:jc w:val="center"/>
              <w:textAlignment w:val="center"/>
              <w:rPr>
                <w:rFonts w:hint="default" w:ascii="Times New Roman" w:hAnsi="Times New Roman" w:eastAsia="宋体" w:cs="Times New Roman"/>
                <w:sz w:val="21"/>
                <w:szCs w:val="21"/>
                <w:lang w:val="en-US" w:eastAsia="zh-CN" w:bidi="ar"/>
              </w:rPr>
            </w:pPr>
            <w:r>
              <w:rPr>
                <w:rFonts w:hint="default" w:ascii="Times New Roman" w:hAnsi="Times New Roman" w:eastAsia="宋体" w:cs="Times New Roman"/>
                <w:sz w:val="21"/>
                <w:szCs w:val="21"/>
                <w:lang w:val="en-US" w:eastAsia="zh-CN" w:bidi="ar"/>
              </w:rPr>
              <w:t>℃</w:t>
            </w:r>
          </w:p>
        </w:tc>
      </w:tr>
      <w:tr w14:paraId="1C7829D1">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347" w:type="pct"/>
            <w:tcBorders>
              <w:tl2br w:val="nil"/>
              <w:tr2bl w:val="nil"/>
            </w:tcBorders>
            <w:noWrap w:val="0"/>
            <w:vAlign w:val="center"/>
          </w:tcPr>
          <w:p w14:paraId="29819027">
            <w:pPr>
              <w:widowControl w:val="0"/>
              <w:adjustRightInd w:val="0"/>
              <w:snapToGrid w:val="0"/>
              <w:jc w:val="center"/>
              <w:textAlignment w:val="center"/>
              <w:rPr>
                <w:rFonts w:hint="default" w:ascii="Times New Roman" w:hAnsi="Times New Roman" w:eastAsia="宋体" w:cs="Times New Roman"/>
                <w:sz w:val="21"/>
                <w:szCs w:val="21"/>
                <w:lang w:val="en-US" w:eastAsia="zh-CN" w:bidi="ar"/>
              </w:rPr>
            </w:pPr>
            <w:r>
              <w:rPr>
                <w:rFonts w:hint="default" w:ascii="Times New Roman" w:hAnsi="Times New Roman" w:eastAsia="宋体" w:cs="Times New Roman"/>
                <w:sz w:val="21"/>
                <w:szCs w:val="21"/>
                <w:lang w:val="en-US" w:eastAsia="zh-CN" w:bidi="ar"/>
              </w:rPr>
              <w:t>3</w:t>
            </w:r>
          </w:p>
        </w:tc>
        <w:tc>
          <w:tcPr>
            <w:tcW w:w="575" w:type="pct"/>
            <w:vMerge w:val="continue"/>
            <w:tcBorders>
              <w:tl2br w:val="nil"/>
              <w:tr2bl w:val="nil"/>
            </w:tcBorders>
            <w:noWrap w:val="0"/>
            <w:vAlign w:val="center"/>
          </w:tcPr>
          <w:p w14:paraId="4B5FE666">
            <w:pPr>
              <w:widowControl w:val="0"/>
              <w:adjustRightInd w:val="0"/>
              <w:snapToGrid w:val="0"/>
              <w:jc w:val="center"/>
              <w:textAlignment w:val="center"/>
              <w:rPr>
                <w:rFonts w:hint="default" w:ascii="Times New Roman" w:hAnsi="Times New Roman" w:eastAsia="宋体" w:cs="Times New Roman"/>
                <w:sz w:val="21"/>
                <w:szCs w:val="21"/>
                <w:lang w:val="en-US" w:eastAsia="zh-CN" w:bidi="ar"/>
              </w:rPr>
            </w:pPr>
          </w:p>
        </w:tc>
        <w:tc>
          <w:tcPr>
            <w:tcW w:w="1034" w:type="pct"/>
            <w:tcBorders>
              <w:tl2br w:val="nil"/>
              <w:tr2bl w:val="nil"/>
            </w:tcBorders>
            <w:noWrap w:val="0"/>
            <w:vAlign w:val="center"/>
          </w:tcPr>
          <w:p w14:paraId="40539564">
            <w:pPr>
              <w:widowControl w:val="0"/>
              <w:adjustRightInd w:val="0"/>
              <w:snapToGrid w:val="0"/>
              <w:jc w:val="center"/>
              <w:textAlignment w:val="center"/>
              <w:rPr>
                <w:rFonts w:hint="default" w:ascii="Times New Roman" w:hAnsi="Times New Roman" w:eastAsia="宋体" w:cs="Times New Roman"/>
                <w:sz w:val="21"/>
                <w:szCs w:val="21"/>
                <w:lang w:val="en-US" w:eastAsia="zh-CN" w:bidi="ar"/>
              </w:rPr>
            </w:pPr>
            <w:r>
              <w:rPr>
                <w:rFonts w:hint="default" w:ascii="Times New Roman" w:hAnsi="Times New Roman" w:eastAsia="宋体" w:cs="Times New Roman"/>
                <w:sz w:val="21"/>
                <w:szCs w:val="21"/>
                <w:lang w:val="en-US" w:eastAsia="zh-CN" w:bidi="ar"/>
              </w:rPr>
              <w:t>溶解氧</w:t>
            </w:r>
          </w:p>
        </w:tc>
        <w:tc>
          <w:tcPr>
            <w:tcW w:w="885" w:type="pct"/>
            <w:tcBorders>
              <w:tl2br w:val="nil"/>
              <w:tr2bl w:val="nil"/>
            </w:tcBorders>
            <w:noWrap w:val="0"/>
            <w:vAlign w:val="center"/>
          </w:tcPr>
          <w:p w14:paraId="5A313F56">
            <w:pPr>
              <w:widowControl w:val="0"/>
              <w:adjustRightInd w:val="0"/>
              <w:snapToGrid w:val="0"/>
              <w:jc w:val="center"/>
              <w:textAlignment w:val="center"/>
              <w:rPr>
                <w:rFonts w:hint="default" w:ascii="Times New Roman" w:hAnsi="Times New Roman" w:eastAsia="宋体" w:cs="Times New Roman"/>
                <w:sz w:val="21"/>
                <w:szCs w:val="21"/>
                <w:lang w:val="en-US" w:eastAsia="zh-CN" w:bidi="ar"/>
              </w:rPr>
            </w:pPr>
            <w:r>
              <w:rPr>
                <w:rFonts w:hint="eastAsia" w:ascii="Times New Roman" w:hAnsi="Times New Roman" w:eastAsia="宋体" w:cs="Times New Roman"/>
                <w:sz w:val="21"/>
                <w:szCs w:val="21"/>
                <w:lang w:val="en-US" w:eastAsia="zh-CN" w:bidi="ar"/>
              </w:rPr>
              <w:t>7.3</w:t>
            </w:r>
          </w:p>
        </w:tc>
        <w:tc>
          <w:tcPr>
            <w:tcW w:w="834" w:type="pct"/>
            <w:tcBorders>
              <w:tl2br w:val="nil"/>
              <w:tr2bl w:val="nil"/>
            </w:tcBorders>
            <w:noWrap w:val="0"/>
            <w:vAlign w:val="center"/>
          </w:tcPr>
          <w:p w14:paraId="03937703">
            <w:pPr>
              <w:widowControl w:val="0"/>
              <w:adjustRightInd w:val="0"/>
              <w:snapToGrid w:val="0"/>
              <w:jc w:val="center"/>
              <w:textAlignment w:val="center"/>
              <w:rPr>
                <w:rFonts w:hint="default" w:ascii="Times New Roman" w:hAnsi="Times New Roman" w:eastAsia="宋体" w:cs="Times New Roman"/>
                <w:sz w:val="21"/>
                <w:szCs w:val="21"/>
                <w:lang w:val="en-US" w:eastAsia="zh-CN" w:bidi="ar"/>
              </w:rPr>
            </w:pPr>
            <w:r>
              <w:rPr>
                <w:rFonts w:hint="eastAsia" w:ascii="Times New Roman" w:hAnsi="Times New Roman" w:eastAsia="宋体" w:cs="Times New Roman"/>
                <w:sz w:val="21"/>
                <w:szCs w:val="21"/>
                <w:lang w:val="en-US" w:eastAsia="zh-CN" w:bidi="ar"/>
              </w:rPr>
              <w:t>7.4</w:t>
            </w:r>
          </w:p>
        </w:tc>
        <w:tc>
          <w:tcPr>
            <w:tcW w:w="813" w:type="pct"/>
            <w:tcBorders>
              <w:tl2br w:val="nil"/>
              <w:tr2bl w:val="nil"/>
            </w:tcBorders>
            <w:noWrap w:val="0"/>
            <w:vAlign w:val="center"/>
          </w:tcPr>
          <w:p w14:paraId="11CB8CDB">
            <w:pPr>
              <w:widowControl w:val="0"/>
              <w:adjustRightInd w:val="0"/>
              <w:snapToGrid w:val="0"/>
              <w:jc w:val="center"/>
              <w:textAlignment w:val="center"/>
              <w:rPr>
                <w:rFonts w:hint="default" w:ascii="Times New Roman" w:hAnsi="Times New Roman" w:eastAsia="宋体" w:cs="Times New Roman"/>
                <w:sz w:val="21"/>
                <w:szCs w:val="21"/>
                <w:lang w:val="en-US" w:eastAsia="zh-CN" w:bidi="ar"/>
              </w:rPr>
            </w:pPr>
            <w:r>
              <w:rPr>
                <w:rFonts w:hint="eastAsia" w:ascii="Times New Roman" w:hAnsi="Times New Roman" w:eastAsia="宋体" w:cs="Times New Roman"/>
                <w:sz w:val="21"/>
                <w:szCs w:val="21"/>
                <w:lang w:val="en-US" w:eastAsia="zh-CN" w:bidi="ar"/>
              </w:rPr>
              <w:t>7.4</w:t>
            </w:r>
          </w:p>
        </w:tc>
        <w:tc>
          <w:tcPr>
            <w:tcW w:w="508" w:type="pct"/>
            <w:tcBorders>
              <w:tl2br w:val="nil"/>
              <w:tr2bl w:val="nil"/>
            </w:tcBorders>
            <w:noWrap w:val="0"/>
            <w:vAlign w:val="center"/>
          </w:tcPr>
          <w:p w14:paraId="5B627179">
            <w:pPr>
              <w:widowControl w:val="0"/>
              <w:adjustRightInd w:val="0"/>
              <w:snapToGrid w:val="0"/>
              <w:jc w:val="center"/>
              <w:textAlignment w:val="center"/>
              <w:rPr>
                <w:rFonts w:hint="default" w:ascii="Times New Roman" w:hAnsi="Times New Roman" w:eastAsia="宋体" w:cs="Times New Roman"/>
                <w:sz w:val="21"/>
                <w:szCs w:val="21"/>
                <w:lang w:val="en-US" w:eastAsia="zh-CN" w:bidi="ar"/>
              </w:rPr>
            </w:pPr>
            <w:r>
              <w:rPr>
                <w:rFonts w:hint="default" w:ascii="Times New Roman" w:hAnsi="Times New Roman" w:eastAsia="宋体" w:cs="Times New Roman"/>
                <w:sz w:val="21"/>
                <w:szCs w:val="21"/>
                <w:lang w:val="en-US" w:eastAsia="zh-CN" w:bidi="ar"/>
              </w:rPr>
              <w:t>mg/L</w:t>
            </w:r>
          </w:p>
        </w:tc>
      </w:tr>
      <w:tr w14:paraId="419320C4">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347" w:type="pct"/>
            <w:tcBorders>
              <w:tl2br w:val="nil"/>
              <w:tr2bl w:val="nil"/>
            </w:tcBorders>
            <w:noWrap w:val="0"/>
            <w:vAlign w:val="center"/>
          </w:tcPr>
          <w:p w14:paraId="1A0A04E4">
            <w:pPr>
              <w:widowControl w:val="0"/>
              <w:adjustRightInd w:val="0"/>
              <w:snapToGrid w:val="0"/>
              <w:jc w:val="center"/>
              <w:textAlignment w:val="center"/>
              <w:rPr>
                <w:rFonts w:hint="default" w:ascii="Times New Roman" w:hAnsi="Times New Roman" w:eastAsia="宋体" w:cs="Times New Roman"/>
                <w:sz w:val="21"/>
                <w:szCs w:val="21"/>
                <w:lang w:val="en-US" w:eastAsia="zh-CN" w:bidi="ar"/>
              </w:rPr>
            </w:pPr>
            <w:r>
              <w:rPr>
                <w:rFonts w:hint="default" w:ascii="Times New Roman" w:hAnsi="Times New Roman" w:eastAsia="宋体" w:cs="Times New Roman"/>
                <w:sz w:val="21"/>
                <w:szCs w:val="21"/>
                <w:lang w:val="en-US" w:eastAsia="zh-CN" w:bidi="ar"/>
              </w:rPr>
              <w:t>4</w:t>
            </w:r>
          </w:p>
        </w:tc>
        <w:tc>
          <w:tcPr>
            <w:tcW w:w="575" w:type="pct"/>
            <w:vMerge w:val="continue"/>
            <w:tcBorders>
              <w:tl2br w:val="nil"/>
              <w:tr2bl w:val="nil"/>
            </w:tcBorders>
            <w:noWrap w:val="0"/>
            <w:vAlign w:val="center"/>
          </w:tcPr>
          <w:p w14:paraId="6C9F5086">
            <w:pPr>
              <w:widowControl w:val="0"/>
              <w:adjustRightInd w:val="0"/>
              <w:snapToGrid w:val="0"/>
              <w:jc w:val="center"/>
              <w:textAlignment w:val="center"/>
              <w:rPr>
                <w:rFonts w:hint="default" w:ascii="Times New Roman" w:hAnsi="Times New Roman" w:eastAsia="宋体" w:cs="Times New Roman"/>
                <w:sz w:val="21"/>
                <w:szCs w:val="21"/>
                <w:lang w:val="en-US" w:eastAsia="zh-CN" w:bidi="ar"/>
              </w:rPr>
            </w:pPr>
          </w:p>
        </w:tc>
        <w:tc>
          <w:tcPr>
            <w:tcW w:w="1034" w:type="pct"/>
            <w:tcBorders>
              <w:tl2br w:val="nil"/>
              <w:tr2bl w:val="nil"/>
            </w:tcBorders>
            <w:noWrap w:val="0"/>
            <w:vAlign w:val="center"/>
          </w:tcPr>
          <w:p w14:paraId="5660917D">
            <w:pPr>
              <w:widowControl w:val="0"/>
              <w:adjustRightInd w:val="0"/>
              <w:snapToGrid w:val="0"/>
              <w:jc w:val="center"/>
              <w:textAlignment w:val="center"/>
              <w:rPr>
                <w:rFonts w:hint="default" w:ascii="Times New Roman" w:hAnsi="Times New Roman" w:eastAsia="宋体" w:cs="Times New Roman"/>
                <w:sz w:val="21"/>
                <w:szCs w:val="21"/>
                <w:lang w:val="en-US" w:eastAsia="zh-CN" w:bidi="ar"/>
              </w:rPr>
            </w:pPr>
            <w:r>
              <w:rPr>
                <w:rFonts w:hint="default" w:ascii="Times New Roman" w:hAnsi="Times New Roman" w:eastAsia="宋体" w:cs="Times New Roman"/>
                <w:sz w:val="21"/>
                <w:szCs w:val="21"/>
                <w:lang w:val="en-US" w:eastAsia="zh-CN" w:bidi="ar"/>
              </w:rPr>
              <w:t>高锰酸盐</w:t>
            </w:r>
          </w:p>
          <w:p w14:paraId="0B95781B">
            <w:pPr>
              <w:widowControl w:val="0"/>
              <w:adjustRightInd w:val="0"/>
              <w:snapToGrid w:val="0"/>
              <w:jc w:val="center"/>
              <w:textAlignment w:val="center"/>
              <w:rPr>
                <w:rFonts w:hint="default" w:ascii="Times New Roman" w:hAnsi="Times New Roman" w:eastAsia="宋体" w:cs="Times New Roman"/>
                <w:sz w:val="21"/>
                <w:szCs w:val="21"/>
                <w:lang w:val="en-US" w:eastAsia="zh-CN" w:bidi="ar"/>
              </w:rPr>
            </w:pPr>
            <w:r>
              <w:rPr>
                <w:rFonts w:hint="default" w:ascii="Times New Roman" w:hAnsi="Times New Roman" w:eastAsia="宋体" w:cs="Times New Roman"/>
                <w:sz w:val="21"/>
                <w:szCs w:val="21"/>
                <w:lang w:val="en-US" w:eastAsia="zh-CN" w:bidi="ar"/>
              </w:rPr>
              <w:t>指数</w:t>
            </w:r>
          </w:p>
        </w:tc>
        <w:tc>
          <w:tcPr>
            <w:tcW w:w="885" w:type="pct"/>
            <w:tcBorders>
              <w:tl2br w:val="nil"/>
              <w:tr2bl w:val="nil"/>
            </w:tcBorders>
            <w:noWrap w:val="0"/>
            <w:vAlign w:val="center"/>
          </w:tcPr>
          <w:p w14:paraId="2C87B1D4">
            <w:pPr>
              <w:widowControl w:val="0"/>
              <w:adjustRightInd w:val="0"/>
              <w:snapToGrid w:val="0"/>
              <w:jc w:val="center"/>
              <w:textAlignment w:val="center"/>
              <w:rPr>
                <w:rFonts w:hint="default" w:ascii="Times New Roman" w:hAnsi="Times New Roman" w:eastAsia="宋体" w:cs="Times New Roman"/>
                <w:sz w:val="21"/>
                <w:szCs w:val="21"/>
                <w:lang w:val="en-US" w:eastAsia="zh-CN" w:bidi="ar"/>
              </w:rPr>
            </w:pPr>
            <w:r>
              <w:rPr>
                <w:rFonts w:hint="default" w:ascii="Times New Roman" w:hAnsi="Times New Roman" w:eastAsia="宋体" w:cs="Times New Roman"/>
                <w:sz w:val="21"/>
                <w:szCs w:val="21"/>
                <w:lang w:val="en-US" w:eastAsia="zh-CN" w:bidi="ar"/>
              </w:rPr>
              <w:t>2.23</w:t>
            </w:r>
          </w:p>
        </w:tc>
        <w:tc>
          <w:tcPr>
            <w:tcW w:w="834" w:type="pct"/>
            <w:tcBorders>
              <w:tl2br w:val="nil"/>
              <w:tr2bl w:val="nil"/>
            </w:tcBorders>
            <w:noWrap w:val="0"/>
            <w:vAlign w:val="center"/>
          </w:tcPr>
          <w:p w14:paraId="0594CAA6">
            <w:pPr>
              <w:widowControl w:val="0"/>
              <w:adjustRightInd w:val="0"/>
              <w:snapToGrid w:val="0"/>
              <w:jc w:val="center"/>
              <w:textAlignment w:val="center"/>
              <w:rPr>
                <w:rFonts w:hint="default" w:ascii="Times New Roman" w:hAnsi="Times New Roman" w:eastAsia="宋体" w:cs="Times New Roman"/>
                <w:sz w:val="21"/>
                <w:szCs w:val="21"/>
                <w:lang w:val="en-US" w:eastAsia="zh-CN" w:bidi="ar"/>
              </w:rPr>
            </w:pPr>
            <w:r>
              <w:rPr>
                <w:rFonts w:hint="eastAsia" w:ascii="Times New Roman" w:hAnsi="Times New Roman" w:eastAsia="宋体" w:cs="Times New Roman"/>
                <w:sz w:val="21"/>
                <w:szCs w:val="21"/>
                <w:lang w:val="en-US" w:eastAsia="zh-CN" w:bidi="ar"/>
              </w:rPr>
              <w:t>2.38</w:t>
            </w:r>
          </w:p>
        </w:tc>
        <w:tc>
          <w:tcPr>
            <w:tcW w:w="813" w:type="pct"/>
            <w:tcBorders>
              <w:tl2br w:val="nil"/>
              <w:tr2bl w:val="nil"/>
            </w:tcBorders>
            <w:noWrap w:val="0"/>
            <w:vAlign w:val="center"/>
          </w:tcPr>
          <w:p w14:paraId="08C19763">
            <w:pPr>
              <w:widowControl w:val="0"/>
              <w:adjustRightInd w:val="0"/>
              <w:snapToGrid w:val="0"/>
              <w:jc w:val="center"/>
              <w:textAlignment w:val="center"/>
              <w:rPr>
                <w:rFonts w:hint="default" w:ascii="Times New Roman" w:hAnsi="Times New Roman" w:eastAsia="宋体" w:cs="Times New Roman"/>
                <w:sz w:val="21"/>
                <w:szCs w:val="21"/>
                <w:lang w:val="en-US" w:eastAsia="zh-CN" w:bidi="ar"/>
              </w:rPr>
            </w:pPr>
            <w:r>
              <w:rPr>
                <w:rFonts w:hint="eastAsia" w:ascii="Times New Roman" w:hAnsi="Times New Roman" w:eastAsia="宋体" w:cs="Times New Roman"/>
                <w:sz w:val="21"/>
                <w:szCs w:val="21"/>
                <w:lang w:val="en-US" w:eastAsia="zh-CN" w:bidi="ar"/>
              </w:rPr>
              <w:t>2.18</w:t>
            </w:r>
          </w:p>
        </w:tc>
        <w:tc>
          <w:tcPr>
            <w:tcW w:w="508" w:type="pct"/>
            <w:tcBorders>
              <w:tl2br w:val="nil"/>
              <w:tr2bl w:val="nil"/>
            </w:tcBorders>
            <w:noWrap w:val="0"/>
            <w:vAlign w:val="center"/>
          </w:tcPr>
          <w:p w14:paraId="73547789">
            <w:pPr>
              <w:widowControl w:val="0"/>
              <w:adjustRightInd w:val="0"/>
              <w:snapToGrid w:val="0"/>
              <w:jc w:val="center"/>
              <w:textAlignment w:val="center"/>
              <w:rPr>
                <w:rFonts w:hint="default" w:ascii="Times New Roman" w:hAnsi="Times New Roman" w:eastAsia="宋体" w:cs="Times New Roman"/>
                <w:sz w:val="21"/>
                <w:szCs w:val="21"/>
                <w:lang w:val="en-US" w:eastAsia="zh-CN" w:bidi="ar"/>
              </w:rPr>
            </w:pPr>
            <w:r>
              <w:rPr>
                <w:rFonts w:hint="default" w:ascii="Times New Roman" w:hAnsi="Times New Roman" w:eastAsia="宋体" w:cs="Times New Roman"/>
                <w:sz w:val="21"/>
                <w:szCs w:val="21"/>
                <w:lang w:val="en-US" w:eastAsia="zh-CN" w:bidi="ar"/>
              </w:rPr>
              <w:t>mg/L</w:t>
            </w:r>
          </w:p>
        </w:tc>
      </w:tr>
      <w:tr w14:paraId="2744FE89">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347" w:type="pct"/>
            <w:tcBorders>
              <w:tl2br w:val="nil"/>
              <w:tr2bl w:val="nil"/>
            </w:tcBorders>
            <w:noWrap w:val="0"/>
            <w:vAlign w:val="center"/>
          </w:tcPr>
          <w:p w14:paraId="1D535FEA">
            <w:pPr>
              <w:widowControl w:val="0"/>
              <w:adjustRightInd w:val="0"/>
              <w:snapToGrid w:val="0"/>
              <w:jc w:val="center"/>
              <w:textAlignment w:val="center"/>
              <w:rPr>
                <w:rFonts w:hint="default" w:ascii="Times New Roman" w:hAnsi="Times New Roman" w:eastAsia="宋体" w:cs="Times New Roman"/>
                <w:sz w:val="21"/>
                <w:szCs w:val="21"/>
                <w:lang w:val="en-US" w:eastAsia="zh-CN" w:bidi="ar"/>
              </w:rPr>
            </w:pPr>
            <w:r>
              <w:rPr>
                <w:rFonts w:hint="default" w:ascii="Times New Roman" w:hAnsi="Times New Roman" w:eastAsia="宋体" w:cs="Times New Roman"/>
                <w:sz w:val="21"/>
                <w:szCs w:val="21"/>
                <w:lang w:val="en-US" w:eastAsia="zh-CN" w:bidi="ar"/>
              </w:rPr>
              <w:t>5</w:t>
            </w:r>
          </w:p>
        </w:tc>
        <w:tc>
          <w:tcPr>
            <w:tcW w:w="575" w:type="pct"/>
            <w:vMerge w:val="continue"/>
            <w:tcBorders>
              <w:tl2br w:val="nil"/>
              <w:tr2bl w:val="nil"/>
            </w:tcBorders>
            <w:noWrap w:val="0"/>
            <w:vAlign w:val="center"/>
          </w:tcPr>
          <w:p w14:paraId="000F7ADB">
            <w:pPr>
              <w:widowControl w:val="0"/>
              <w:adjustRightInd w:val="0"/>
              <w:snapToGrid w:val="0"/>
              <w:jc w:val="center"/>
              <w:textAlignment w:val="center"/>
              <w:rPr>
                <w:rFonts w:hint="default" w:ascii="Times New Roman" w:hAnsi="Times New Roman" w:eastAsia="宋体" w:cs="Times New Roman"/>
                <w:sz w:val="21"/>
                <w:szCs w:val="21"/>
                <w:lang w:val="en-US" w:eastAsia="zh-CN" w:bidi="ar"/>
              </w:rPr>
            </w:pPr>
          </w:p>
        </w:tc>
        <w:tc>
          <w:tcPr>
            <w:tcW w:w="1034" w:type="pct"/>
            <w:tcBorders>
              <w:tl2br w:val="nil"/>
              <w:tr2bl w:val="nil"/>
            </w:tcBorders>
            <w:noWrap w:val="0"/>
            <w:vAlign w:val="center"/>
          </w:tcPr>
          <w:p w14:paraId="688EC0AC">
            <w:pPr>
              <w:widowControl w:val="0"/>
              <w:adjustRightInd w:val="0"/>
              <w:snapToGrid w:val="0"/>
              <w:jc w:val="center"/>
              <w:textAlignment w:val="center"/>
              <w:rPr>
                <w:rFonts w:hint="default" w:ascii="Times New Roman" w:hAnsi="Times New Roman" w:eastAsia="宋体" w:cs="Times New Roman"/>
                <w:sz w:val="21"/>
                <w:szCs w:val="21"/>
                <w:lang w:val="en-US" w:eastAsia="zh-CN" w:bidi="ar"/>
              </w:rPr>
            </w:pPr>
            <w:r>
              <w:rPr>
                <w:rFonts w:hint="default" w:ascii="Times New Roman" w:hAnsi="Times New Roman" w:eastAsia="宋体" w:cs="Times New Roman"/>
                <w:sz w:val="21"/>
                <w:szCs w:val="21"/>
                <w:lang w:val="en-US" w:eastAsia="zh-CN" w:bidi="ar"/>
              </w:rPr>
              <w:t>电导率</w:t>
            </w:r>
          </w:p>
        </w:tc>
        <w:tc>
          <w:tcPr>
            <w:tcW w:w="885" w:type="pct"/>
            <w:tcBorders>
              <w:tl2br w:val="nil"/>
              <w:tr2bl w:val="nil"/>
            </w:tcBorders>
            <w:noWrap w:val="0"/>
            <w:vAlign w:val="center"/>
          </w:tcPr>
          <w:p w14:paraId="29E3C2E2">
            <w:pPr>
              <w:widowControl w:val="0"/>
              <w:adjustRightInd w:val="0"/>
              <w:snapToGrid w:val="0"/>
              <w:jc w:val="center"/>
              <w:textAlignment w:val="center"/>
              <w:rPr>
                <w:rFonts w:hint="default" w:ascii="Times New Roman" w:hAnsi="Times New Roman" w:eastAsia="宋体" w:cs="Times New Roman"/>
                <w:sz w:val="21"/>
                <w:szCs w:val="21"/>
                <w:lang w:val="en-US" w:eastAsia="zh-CN" w:bidi="ar"/>
              </w:rPr>
            </w:pPr>
            <w:r>
              <w:rPr>
                <w:rFonts w:hint="eastAsia" w:ascii="Times New Roman" w:hAnsi="Times New Roman" w:eastAsia="宋体" w:cs="Times New Roman"/>
                <w:sz w:val="21"/>
                <w:szCs w:val="21"/>
                <w:lang w:val="en-US" w:eastAsia="zh-CN" w:bidi="ar"/>
              </w:rPr>
              <w:t>154</w:t>
            </w:r>
          </w:p>
        </w:tc>
        <w:tc>
          <w:tcPr>
            <w:tcW w:w="834" w:type="pct"/>
            <w:tcBorders>
              <w:tl2br w:val="nil"/>
              <w:tr2bl w:val="nil"/>
            </w:tcBorders>
            <w:noWrap w:val="0"/>
            <w:vAlign w:val="center"/>
          </w:tcPr>
          <w:p w14:paraId="74B036FB">
            <w:pPr>
              <w:widowControl w:val="0"/>
              <w:adjustRightInd w:val="0"/>
              <w:snapToGrid w:val="0"/>
              <w:jc w:val="center"/>
              <w:textAlignment w:val="center"/>
              <w:rPr>
                <w:rFonts w:hint="default" w:ascii="Times New Roman" w:hAnsi="Times New Roman" w:eastAsia="宋体" w:cs="Times New Roman"/>
                <w:sz w:val="21"/>
                <w:szCs w:val="21"/>
                <w:lang w:val="en-US" w:eastAsia="zh-CN" w:bidi="ar"/>
              </w:rPr>
            </w:pPr>
            <w:r>
              <w:rPr>
                <w:rFonts w:hint="eastAsia" w:ascii="Times New Roman" w:hAnsi="Times New Roman" w:eastAsia="宋体" w:cs="Times New Roman"/>
                <w:sz w:val="21"/>
                <w:szCs w:val="21"/>
                <w:lang w:val="en-US" w:eastAsia="zh-CN" w:bidi="ar"/>
              </w:rPr>
              <w:t>209</w:t>
            </w:r>
          </w:p>
        </w:tc>
        <w:tc>
          <w:tcPr>
            <w:tcW w:w="813" w:type="pct"/>
            <w:tcBorders>
              <w:tl2br w:val="nil"/>
              <w:tr2bl w:val="nil"/>
            </w:tcBorders>
            <w:noWrap w:val="0"/>
            <w:vAlign w:val="center"/>
          </w:tcPr>
          <w:p w14:paraId="265BBFAD">
            <w:pPr>
              <w:widowControl w:val="0"/>
              <w:adjustRightInd w:val="0"/>
              <w:snapToGrid w:val="0"/>
              <w:jc w:val="center"/>
              <w:textAlignment w:val="center"/>
              <w:rPr>
                <w:rFonts w:hint="default" w:ascii="Times New Roman" w:hAnsi="Times New Roman" w:eastAsia="宋体" w:cs="Times New Roman"/>
                <w:sz w:val="21"/>
                <w:szCs w:val="21"/>
                <w:lang w:val="en-US" w:eastAsia="zh-CN" w:bidi="ar"/>
              </w:rPr>
            </w:pPr>
            <w:r>
              <w:rPr>
                <w:rFonts w:hint="eastAsia" w:ascii="Times New Roman" w:hAnsi="Times New Roman" w:eastAsia="宋体" w:cs="Times New Roman"/>
                <w:sz w:val="21"/>
                <w:szCs w:val="21"/>
                <w:lang w:val="en-US" w:eastAsia="zh-CN" w:bidi="ar"/>
              </w:rPr>
              <w:t>186</w:t>
            </w:r>
          </w:p>
        </w:tc>
        <w:tc>
          <w:tcPr>
            <w:tcW w:w="508" w:type="pct"/>
            <w:tcBorders>
              <w:tl2br w:val="nil"/>
              <w:tr2bl w:val="nil"/>
            </w:tcBorders>
            <w:noWrap w:val="0"/>
            <w:vAlign w:val="center"/>
          </w:tcPr>
          <w:p w14:paraId="24B92ACB">
            <w:pPr>
              <w:widowControl w:val="0"/>
              <w:adjustRightInd w:val="0"/>
              <w:snapToGrid w:val="0"/>
              <w:jc w:val="center"/>
              <w:textAlignment w:val="center"/>
              <w:rPr>
                <w:rFonts w:hint="default" w:ascii="Times New Roman" w:hAnsi="Times New Roman" w:eastAsia="宋体" w:cs="Times New Roman"/>
                <w:sz w:val="21"/>
                <w:szCs w:val="21"/>
                <w:lang w:val="en-US" w:eastAsia="zh-CN" w:bidi="ar"/>
              </w:rPr>
            </w:pPr>
            <w:r>
              <w:rPr>
                <w:rFonts w:hint="default" w:ascii="Times New Roman" w:hAnsi="Times New Roman" w:eastAsia="宋体" w:cs="Times New Roman"/>
                <w:sz w:val="21"/>
                <w:szCs w:val="21"/>
                <w:lang w:val="en-US" w:eastAsia="zh-CN" w:bidi="ar"/>
              </w:rPr>
              <w:t>μS/cm</w:t>
            </w:r>
          </w:p>
        </w:tc>
      </w:tr>
      <w:tr w14:paraId="68A69921">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347" w:type="pct"/>
            <w:tcBorders>
              <w:tl2br w:val="nil"/>
              <w:tr2bl w:val="nil"/>
            </w:tcBorders>
            <w:noWrap w:val="0"/>
            <w:vAlign w:val="center"/>
          </w:tcPr>
          <w:p w14:paraId="453CAD5A">
            <w:pPr>
              <w:widowControl w:val="0"/>
              <w:adjustRightInd w:val="0"/>
              <w:snapToGrid w:val="0"/>
              <w:jc w:val="center"/>
              <w:textAlignment w:val="center"/>
              <w:rPr>
                <w:rFonts w:hint="default" w:ascii="Times New Roman" w:hAnsi="Times New Roman" w:eastAsia="宋体" w:cs="Times New Roman"/>
                <w:sz w:val="21"/>
                <w:szCs w:val="21"/>
                <w:lang w:val="en-US" w:eastAsia="zh-CN" w:bidi="ar"/>
              </w:rPr>
            </w:pPr>
            <w:r>
              <w:rPr>
                <w:rFonts w:hint="default" w:ascii="Times New Roman" w:hAnsi="Times New Roman" w:eastAsia="宋体" w:cs="Times New Roman"/>
                <w:sz w:val="21"/>
                <w:szCs w:val="21"/>
                <w:lang w:val="en-US" w:eastAsia="zh-CN" w:bidi="ar"/>
              </w:rPr>
              <w:t>6</w:t>
            </w:r>
          </w:p>
        </w:tc>
        <w:tc>
          <w:tcPr>
            <w:tcW w:w="575" w:type="pct"/>
            <w:vMerge w:val="continue"/>
            <w:tcBorders>
              <w:tl2br w:val="nil"/>
              <w:tr2bl w:val="nil"/>
            </w:tcBorders>
            <w:noWrap w:val="0"/>
            <w:vAlign w:val="center"/>
          </w:tcPr>
          <w:p w14:paraId="44ADFEA0">
            <w:pPr>
              <w:widowControl w:val="0"/>
              <w:adjustRightInd w:val="0"/>
              <w:snapToGrid w:val="0"/>
              <w:jc w:val="center"/>
              <w:textAlignment w:val="center"/>
              <w:rPr>
                <w:rFonts w:hint="default" w:ascii="Times New Roman" w:hAnsi="Times New Roman" w:eastAsia="宋体" w:cs="Times New Roman"/>
                <w:sz w:val="21"/>
                <w:szCs w:val="21"/>
                <w:lang w:val="en-US" w:eastAsia="zh-CN" w:bidi="ar"/>
              </w:rPr>
            </w:pPr>
          </w:p>
        </w:tc>
        <w:tc>
          <w:tcPr>
            <w:tcW w:w="1034" w:type="pct"/>
            <w:tcBorders>
              <w:tl2br w:val="nil"/>
              <w:tr2bl w:val="nil"/>
            </w:tcBorders>
            <w:noWrap w:val="0"/>
            <w:vAlign w:val="center"/>
          </w:tcPr>
          <w:p w14:paraId="02BE6520">
            <w:pPr>
              <w:widowControl w:val="0"/>
              <w:adjustRightInd w:val="0"/>
              <w:snapToGrid w:val="0"/>
              <w:jc w:val="center"/>
              <w:textAlignment w:val="center"/>
              <w:rPr>
                <w:rFonts w:hint="default" w:ascii="Times New Roman" w:hAnsi="Times New Roman" w:eastAsia="宋体" w:cs="Times New Roman"/>
                <w:sz w:val="21"/>
                <w:szCs w:val="21"/>
                <w:lang w:val="en-US" w:eastAsia="zh-CN" w:bidi="ar"/>
              </w:rPr>
            </w:pPr>
            <w:r>
              <w:rPr>
                <w:rFonts w:hint="default" w:ascii="Times New Roman" w:hAnsi="Times New Roman" w:eastAsia="宋体" w:cs="Times New Roman"/>
                <w:sz w:val="21"/>
                <w:szCs w:val="21"/>
                <w:lang w:val="en-US" w:eastAsia="zh-CN" w:bidi="ar"/>
              </w:rPr>
              <w:t>氟化物</w:t>
            </w:r>
          </w:p>
        </w:tc>
        <w:tc>
          <w:tcPr>
            <w:tcW w:w="885" w:type="pct"/>
            <w:tcBorders>
              <w:tl2br w:val="nil"/>
              <w:tr2bl w:val="nil"/>
            </w:tcBorders>
            <w:noWrap w:val="0"/>
            <w:vAlign w:val="center"/>
          </w:tcPr>
          <w:p w14:paraId="6171593E">
            <w:pPr>
              <w:widowControl w:val="0"/>
              <w:adjustRightInd w:val="0"/>
              <w:snapToGrid w:val="0"/>
              <w:jc w:val="center"/>
              <w:textAlignment w:val="center"/>
              <w:rPr>
                <w:rFonts w:hint="default" w:ascii="Times New Roman" w:hAnsi="Times New Roman" w:eastAsia="宋体" w:cs="Times New Roman"/>
                <w:sz w:val="21"/>
                <w:szCs w:val="21"/>
                <w:lang w:val="en-US" w:eastAsia="zh-CN" w:bidi="ar"/>
              </w:rPr>
            </w:pPr>
            <w:r>
              <w:rPr>
                <w:rFonts w:hint="eastAsia" w:ascii="Times New Roman" w:hAnsi="Times New Roman" w:eastAsia="宋体" w:cs="Times New Roman"/>
                <w:sz w:val="21"/>
                <w:szCs w:val="21"/>
                <w:lang w:val="en-US" w:eastAsia="zh-CN" w:bidi="ar"/>
              </w:rPr>
              <w:t>0.38</w:t>
            </w:r>
          </w:p>
        </w:tc>
        <w:tc>
          <w:tcPr>
            <w:tcW w:w="834" w:type="pct"/>
            <w:tcBorders>
              <w:tl2br w:val="nil"/>
              <w:tr2bl w:val="nil"/>
            </w:tcBorders>
            <w:noWrap w:val="0"/>
            <w:vAlign w:val="center"/>
          </w:tcPr>
          <w:p w14:paraId="45093068">
            <w:pPr>
              <w:widowControl w:val="0"/>
              <w:adjustRightInd w:val="0"/>
              <w:snapToGrid w:val="0"/>
              <w:jc w:val="center"/>
              <w:textAlignment w:val="center"/>
              <w:rPr>
                <w:rFonts w:hint="default" w:ascii="Times New Roman" w:hAnsi="Times New Roman" w:eastAsia="宋体" w:cs="Times New Roman"/>
                <w:sz w:val="21"/>
                <w:szCs w:val="21"/>
                <w:lang w:val="en-US" w:eastAsia="zh-CN" w:bidi="ar"/>
              </w:rPr>
            </w:pPr>
            <w:r>
              <w:rPr>
                <w:rFonts w:hint="eastAsia" w:ascii="Times New Roman" w:hAnsi="Times New Roman" w:eastAsia="宋体" w:cs="Times New Roman"/>
                <w:sz w:val="21"/>
                <w:szCs w:val="21"/>
                <w:lang w:val="en-US" w:eastAsia="zh-CN" w:bidi="ar"/>
              </w:rPr>
              <w:t>0.44</w:t>
            </w:r>
          </w:p>
        </w:tc>
        <w:tc>
          <w:tcPr>
            <w:tcW w:w="813" w:type="pct"/>
            <w:tcBorders>
              <w:tl2br w:val="nil"/>
              <w:tr2bl w:val="nil"/>
            </w:tcBorders>
            <w:noWrap w:val="0"/>
            <w:vAlign w:val="center"/>
          </w:tcPr>
          <w:p w14:paraId="7C3457E3">
            <w:pPr>
              <w:widowControl w:val="0"/>
              <w:adjustRightInd w:val="0"/>
              <w:snapToGrid w:val="0"/>
              <w:jc w:val="center"/>
              <w:textAlignment w:val="center"/>
              <w:rPr>
                <w:rFonts w:hint="default" w:ascii="Times New Roman" w:hAnsi="Times New Roman" w:eastAsia="宋体" w:cs="Times New Roman"/>
                <w:sz w:val="21"/>
                <w:szCs w:val="21"/>
                <w:lang w:val="en-US" w:eastAsia="zh-CN" w:bidi="ar"/>
              </w:rPr>
            </w:pPr>
            <w:r>
              <w:rPr>
                <w:rFonts w:hint="eastAsia" w:ascii="Times New Roman" w:hAnsi="Times New Roman" w:eastAsia="宋体" w:cs="Times New Roman"/>
                <w:sz w:val="21"/>
                <w:szCs w:val="21"/>
                <w:lang w:val="en-US" w:eastAsia="zh-CN" w:bidi="ar"/>
              </w:rPr>
              <w:t>0.36</w:t>
            </w:r>
          </w:p>
        </w:tc>
        <w:tc>
          <w:tcPr>
            <w:tcW w:w="508" w:type="pct"/>
            <w:tcBorders>
              <w:tl2br w:val="nil"/>
              <w:tr2bl w:val="nil"/>
            </w:tcBorders>
            <w:noWrap w:val="0"/>
            <w:vAlign w:val="center"/>
          </w:tcPr>
          <w:p w14:paraId="4BD15D04">
            <w:pPr>
              <w:widowControl w:val="0"/>
              <w:adjustRightInd w:val="0"/>
              <w:snapToGrid w:val="0"/>
              <w:jc w:val="center"/>
              <w:textAlignment w:val="center"/>
              <w:rPr>
                <w:rFonts w:hint="default" w:ascii="Times New Roman" w:hAnsi="Times New Roman" w:eastAsia="宋体" w:cs="Times New Roman"/>
                <w:sz w:val="21"/>
                <w:szCs w:val="21"/>
                <w:lang w:val="en-US" w:eastAsia="zh-CN" w:bidi="ar"/>
              </w:rPr>
            </w:pPr>
            <w:r>
              <w:rPr>
                <w:rFonts w:hint="default" w:ascii="Times New Roman" w:hAnsi="Times New Roman" w:eastAsia="宋体" w:cs="Times New Roman"/>
                <w:sz w:val="21"/>
                <w:szCs w:val="21"/>
                <w:lang w:val="en-US" w:eastAsia="zh-CN" w:bidi="ar"/>
              </w:rPr>
              <w:t>mg/L</w:t>
            </w:r>
          </w:p>
        </w:tc>
      </w:tr>
      <w:tr w14:paraId="2242E324">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347" w:type="pct"/>
            <w:tcBorders>
              <w:tl2br w:val="nil"/>
              <w:tr2bl w:val="nil"/>
            </w:tcBorders>
            <w:noWrap w:val="0"/>
            <w:vAlign w:val="center"/>
          </w:tcPr>
          <w:p w14:paraId="67CE15D5">
            <w:pPr>
              <w:widowControl w:val="0"/>
              <w:adjustRightInd w:val="0"/>
              <w:snapToGrid w:val="0"/>
              <w:jc w:val="center"/>
              <w:textAlignment w:val="center"/>
              <w:rPr>
                <w:rFonts w:hint="default" w:ascii="Times New Roman" w:hAnsi="Times New Roman" w:eastAsia="宋体" w:cs="Times New Roman"/>
                <w:sz w:val="21"/>
                <w:szCs w:val="21"/>
                <w:lang w:val="en-US" w:eastAsia="zh-CN" w:bidi="ar"/>
              </w:rPr>
            </w:pPr>
            <w:r>
              <w:rPr>
                <w:rFonts w:hint="default" w:ascii="Times New Roman" w:hAnsi="Times New Roman" w:eastAsia="宋体" w:cs="Times New Roman"/>
                <w:sz w:val="21"/>
                <w:szCs w:val="21"/>
                <w:lang w:val="en-US" w:eastAsia="zh-CN" w:bidi="ar"/>
              </w:rPr>
              <w:t>7</w:t>
            </w:r>
          </w:p>
        </w:tc>
        <w:tc>
          <w:tcPr>
            <w:tcW w:w="575" w:type="pct"/>
            <w:vMerge w:val="continue"/>
            <w:tcBorders>
              <w:tl2br w:val="nil"/>
              <w:tr2bl w:val="nil"/>
            </w:tcBorders>
            <w:noWrap w:val="0"/>
            <w:vAlign w:val="center"/>
          </w:tcPr>
          <w:p w14:paraId="687C8CF8">
            <w:pPr>
              <w:widowControl w:val="0"/>
              <w:adjustRightInd w:val="0"/>
              <w:snapToGrid w:val="0"/>
              <w:jc w:val="center"/>
              <w:textAlignment w:val="center"/>
              <w:rPr>
                <w:rFonts w:hint="default" w:ascii="Times New Roman" w:hAnsi="Times New Roman" w:eastAsia="宋体" w:cs="Times New Roman"/>
                <w:sz w:val="21"/>
                <w:szCs w:val="21"/>
                <w:lang w:val="en-US" w:eastAsia="zh-CN" w:bidi="ar"/>
              </w:rPr>
            </w:pPr>
          </w:p>
        </w:tc>
        <w:tc>
          <w:tcPr>
            <w:tcW w:w="1034" w:type="pct"/>
            <w:tcBorders>
              <w:tl2br w:val="nil"/>
              <w:tr2bl w:val="nil"/>
            </w:tcBorders>
            <w:noWrap w:val="0"/>
            <w:vAlign w:val="center"/>
          </w:tcPr>
          <w:p w14:paraId="755E48AF">
            <w:pPr>
              <w:widowControl w:val="0"/>
              <w:adjustRightInd w:val="0"/>
              <w:snapToGrid w:val="0"/>
              <w:jc w:val="center"/>
              <w:textAlignment w:val="center"/>
              <w:rPr>
                <w:rFonts w:hint="default" w:ascii="Times New Roman" w:hAnsi="Times New Roman" w:eastAsia="宋体" w:cs="Times New Roman"/>
                <w:sz w:val="21"/>
                <w:szCs w:val="21"/>
                <w:lang w:val="en-US" w:eastAsia="zh-CN" w:bidi="ar"/>
              </w:rPr>
            </w:pPr>
            <w:r>
              <w:rPr>
                <w:rFonts w:hint="default" w:ascii="Times New Roman" w:hAnsi="Times New Roman" w:eastAsia="宋体" w:cs="Times New Roman"/>
                <w:sz w:val="21"/>
                <w:szCs w:val="21"/>
                <w:lang w:val="en-US" w:eastAsia="zh-CN" w:bidi="ar"/>
              </w:rPr>
              <w:t>化学需氧量</w:t>
            </w:r>
          </w:p>
        </w:tc>
        <w:tc>
          <w:tcPr>
            <w:tcW w:w="885" w:type="pct"/>
            <w:tcBorders>
              <w:tl2br w:val="nil"/>
              <w:tr2bl w:val="nil"/>
            </w:tcBorders>
            <w:noWrap w:val="0"/>
            <w:vAlign w:val="center"/>
          </w:tcPr>
          <w:p w14:paraId="1C2B2A02">
            <w:pPr>
              <w:widowControl w:val="0"/>
              <w:adjustRightInd w:val="0"/>
              <w:snapToGrid w:val="0"/>
              <w:jc w:val="center"/>
              <w:textAlignment w:val="center"/>
              <w:rPr>
                <w:rFonts w:hint="default" w:ascii="Times New Roman" w:hAnsi="Times New Roman" w:eastAsia="宋体" w:cs="Times New Roman"/>
                <w:sz w:val="21"/>
                <w:szCs w:val="21"/>
                <w:lang w:val="en-US" w:eastAsia="zh-CN" w:bidi="ar"/>
              </w:rPr>
            </w:pPr>
            <w:r>
              <w:rPr>
                <w:rFonts w:hint="eastAsia" w:ascii="Times New Roman" w:hAnsi="Times New Roman" w:eastAsia="宋体" w:cs="Times New Roman"/>
                <w:sz w:val="21"/>
                <w:szCs w:val="21"/>
                <w:lang w:val="en-US" w:eastAsia="zh-CN" w:bidi="ar"/>
              </w:rPr>
              <w:t>14</w:t>
            </w:r>
          </w:p>
        </w:tc>
        <w:tc>
          <w:tcPr>
            <w:tcW w:w="834" w:type="pct"/>
            <w:tcBorders>
              <w:tl2br w:val="nil"/>
              <w:tr2bl w:val="nil"/>
            </w:tcBorders>
            <w:noWrap w:val="0"/>
            <w:vAlign w:val="center"/>
          </w:tcPr>
          <w:p w14:paraId="7D7B9545">
            <w:pPr>
              <w:widowControl w:val="0"/>
              <w:adjustRightInd w:val="0"/>
              <w:snapToGrid w:val="0"/>
              <w:jc w:val="center"/>
              <w:textAlignment w:val="center"/>
              <w:rPr>
                <w:rFonts w:hint="default" w:ascii="Times New Roman" w:hAnsi="Times New Roman" w:eastAsia="宋体" w:cs="Times New Roman"/>
                <w:sz w:val="21"/>
                <w:szCs w:val="21"/>
                <w:lang w:val="en-US" w:eastAsia="zh-CN" w:bidi="ar"/>
              </w:rPr>
            </w:pPr>
            <w:r>
              <w:rPr>
                <w:rFonts w:hint="eastAsia" w:ascii="Times New Roman" w:hAnsi="Times New Roman" w:eastAsia="宋体" w:cs="Times New Roman"/>
                <w:sz w:val="21"/>
                <w:szCs w:val="21"/>
                <w:lang w:val="en-US" w:eastAsia="zh-CN" w:bidi="ar"/>
              </w:rPr>
              <w:t>16</w:t>
            </w:r>
          </w:p>
        </w:tc>
        <w:tc>
          <w:tcPr>
            <w:tcW w:w="813" w:type="pct"/>
            <w:tcBorders>
              <w:tl2br w:val="nil"/>
              <w:tr2bl w:val="nil"/>
            </w:tcBorders>
            <w:noWrap w:val="0"/>
            <w:vAlign w:val="center"/>
          </w:tcPr>
          <w:p w14:paraId="525F23BD">
            <w:pPr>
              <w:widowControl w:val="0"/>
              <w:adjustRightInd w:val="0"/>
              <w:snapToGrid w:val="0"/>
              <w:jc w:val="center"/>
              <w:textAlignment w:val="center"/>
              <w:rPr>
                <w:rFonts w:hint="default" w:ascii="Times New Roman" w:hAnsi="Times New Roman" w:eastAsia="宋体" w:cs="Times New Roman"/>
                <w:sz w:val="21"/>
                <w:szCs w:val="21"/>
                <w:lang w:val="en-US" w:eastAsia="zh-CN" w:bidi="ar"/>
              </w:rPr>
            </w:pPr>
            <w:r>
              <w:rPr>
                <w:rFonts w:hint="default" w:ascii="Times New Roman" w:hAnsi="Times New Roman" w:eastAsia="宋体" w:cs="Times New Roman"/>
                <w:sz w:val="21"/>
                <w:szCs w:val="21"/>
                <w:lang w:val="en-US" w:eastAsia="zh-CN" w:bidi="ar"/>
              </w:rPr>
              <w:t>14</w:t>
            </w:r>
          </w:p>
        </w:tc>
        <w:tc>
          <w:tcPr>
            <w:tcW w:w="508" w:type="pct"/>
            <w:tcBorders>
              <w:tl2br w:val="nil"/>
              <w:tr2bl w:val="nil"/>
            </w:tcBorders>
            <w:noWrap w:val="0"/>
            <w:vAlign w:val="center"/>
          </w:tcPr>
          <w:p w14:paraId="2F0E968D">
            <w:pPr>
              <w:widowControl w:val="0"/>
              <w:adjustRightInd w:val="0"/>
              <w:snapToGrid w:val="0"/>
              <w:jc w:val="center"/>
              <w:textAlignment w:val="center"/>
              <w:rPr>
                <w:rFonts w:hint="default" w:ascii="Times New Roman" w:hAnsi="Times New Roman" w:eastAsia="宋体" w:cs="Times New Roman"/>
                <w:sz w:val="21"/>
                <w:szCs w:val="21"/>
                <w:lang w:val="en-US" w:eastAsia="zh-CN" w:bidi="ar"/>
              </w:rPr>
            </w:pPr>
            <w:r>
              <w:rPr>
                <w:rFonts w:hint="default" w:ascii="Times New Roman" w:hAnsi="Times New Roman" w:eastAsia="宋体" w:cs="Times New Roman"/>
                <w:sz w:val="21"/>
                <w:szCs w:val="21"/>
                <w:lang w:val="en-US" w:eastAsia="zh-CN" w:bidi="ar"/>
              </w:rPr>
              <w:t>mg/L</w:t>
            </w:r>
          </w:p>
        </w:tc>
      </w:tr>
      <w:tr w14:paraId="25EC8C19">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347" w:type="pct"/>
            <w:tcBorders>
              <w:tl2br w:val="nil"/>
              <w:tr2bl w:val="nil"/>
            </w:tcBorders>
            <w:noWrap w:val="0"/>
            <w:vAlign w:val="center"/>
          </w:tcPr>
          <w:p w14:paraId="08B99A84">
            <w:pPr>
              <w:widowControl w:val="0"/>
              <w:adjustRightInd w:val="0"/>
              <w:snapToGrid w:val="0"/>
              <w:jc w:val="center"/>
              <w:textAlignment w:val="center"/>
              <w:rPr>
                <w:rFonts w:hint="default" w:ascii="Times New Roman" w:hAnsi="Times New Roman" w:eastAsia="宋体" w:cs="Times New Roman"/>
                <w:sz w:val="21"/>
                <w:szCs w:val="21"/>
                <w:lang w:val="en-US" w:eastAsia="zh-CN" w:bidi="ar"/>
              </w:rPr>
            </w:pPr>
            <w:r>
              <w:rPr>
                <w:rFonts w:hint="default" w:ascii="Times New Roman" w:hAnsi="Times New Roman" w:eastAsia="宋体" w:cs="Times New Roman"/>
                <w:sz w:val="21"/>
                <w:szCs w:val="21"/>
                <w:lang w:val="en-US" w:eastAsia="zh-CN" w:bidi="ar"/>
              </w:rPr>
              <w:t>8</w:t>
            </w:r>
          </w:p>
        </w:tc>
        <w:tc>
          <w:tcPr>
            <w:tcW w:w="575" w:type="pct"/>
            <w:vMerge w:val="continue"/>
            <w:tcBorders>
              <w:tl2br w:val="nil"/>
              <w:tr2bl w:val="nil"/>
            </w:tcBorders>
            <w:noWrap w:val="0"/>
            <w:vAlign w:val="center"/>
          </w:tcPr>
          <w:p w14:paraId="750A64D4">
            <w:pPr>
              <w:widowControl w:val="0"/>
              <w:adjustRightInd w:val="0"/>
              <w:snapToGrid w:val="0"/>
              <w:jc w:val="center"/>
              <w:textAlignment w:val="center"/>
              <w:rPr>
                <w:rFonts w:hint="default" w:ascii="Times New Roman" w:hAnsi="Times New Roman" w:eastAsia="宋体" w:cs="Times New Roman"/>
                <w:sz w:val="21"/>
                <w:szCs w:val="21"/>
                <w:lang w:val="en-US" w:eastAsia="zh-CN" w:bidi="ar"/>
              </w:rPr>
            </w:pPr>
          </w:p>
        </w:tc>
        <w:tc>
          <w:tcPr>
            <w:tcW w:w="1034" w:type="pct"/>
            <w:tcBorders>
              <w:tl2br w:val="nil"/>
              <w:tr2bl w:val="nil"/>
            </w:tcBorders>
            <w:noWrap w:val="0"/>
            <w:vAlign w:val="center"/>
          </w:tcPr>
          <w:p w14:paraId="01C81722">
            <w:pPr>
              <w:widowControl w:val="0"/>
              <w:adjustRightInd w:val="0"/>
              <w:snapToGrid w:val="0"/>
              <w:jc w:val="center"/>
              <w:textAlignment w:val="center"/>
              <w:rPr>
                <w:rFonts w:hint="default" w:ascii="Times New Roman" w:hAnsi="Times New Roman" w:eastAsia="宋体" w:cs="Times New Roman"/>
                <w:sz w:val="21"/>
                <w:szCs w:val="21"/>
                <w:lang w:val="en-US" w:eastAsia="zh-CN" w:bidi="ar"/>
              </w:rPr>
            </w:pPr>
            <w:r>
              <w:rPr>
                <w:rFonts w:hint="default" w:ascii="Times New Roman" w:hAnsi="Times New Roman" w:eastAsia="宋体" w:cs="Times New Roman"/>
                <w:sz w:val="21"/>
                <w:szCs w:val="21"/>
                <w:lang w:val="en-US" w:eastAsia="zh-CN" w:bidi="ar"/>
              </w:rPr>
              <w:t>总磷</w:t>
            </w:r>
          </w:p>
        </w:tc>
        <w:tc>
          <w:tcPr>
            <w:tcW w:w="885" w:type="pct"/>
            <w:tcBorders>
              <w:tl2br w:val="nil"/>
              <w:tr2bl w:val="nil"/>
            </w:tcBorders>
            <w:noWrap w:val="0"/>
            <w:vAlign w:val="center"/>
          </w:tcPr>
          <w:p w14:paraId="41AEEE08">
            <w:pPr>
              <w:widowControl w:val="0"/>
              <w:adjustRightInd w:val="0"/>
              <w:snapToGrid w:val="0"/>
              <w:jc w:val="center"/>
              <w:textAlignment w:val="center"/>
              <w:rPr>
                <w:rFonts w:hint="default" w:ascii="Times New Roman" w:hAnsi="Times New Roman" w:eastAsia="宋体" w:cs="Times New Roman"/>
                <w:sz w:val="21"/>
                <w:szCs w:val="21"/>
                <w:lang w:val="en-US" w:eastAsia="zh-CN" w:bidi="ar"/>
              </w:rPr>
            </w:pPr>
            <w:r>
              <w:rPr>
                <w:rFonts w:hint="eastAsia" w:ascii="Times New Roman" w:hAnsi="Times New Roman" w:eastAsia="宋体" w:cs="Times New Roman"/>
                <w:sz w:val="21"/>
                <w:szCs w:val="21"/>
                <w:lang w:val="en-US" w:eastAsia="zh-CN" w:bidi="ar"/>
              </w:rPr>
              <w:t>0.125</w:t>
            </w:r>
          </w:p>
        </w:tc>
        <w:tc>
          <w:tcPr>
            <w:tcW w:w="834" w:type="pct"/>
            <w:tcBorders>
              <w:tl2br w:val="nil"/>
              <w:tr2bl w:val="nil"/>
            </w:tcBorders>
            <w:noWrap w:val="0"/>
            <w:vAlign w:val="center"/>
          </w:tcPr>
          <w:p w14:paraId="7197DB63">
            <w:pPr>
              <w:widowControl w:val="0"/>
              <w:adjustRightInd w:val="0"/>
              <w:snapToGrid w:val="0"/>
              <w:jc w:val="center"/>
              <w:textAlignment w:val="center"/>
              <w:rPr>
                <w:rFonts w:hint="default" w:ascii="Times New Roman" w:hAnsi="Times New Roman" w:eastAsia="宋体" w:cs="Times New Roman"/>
                <w:sz w:val="21"/>
                <w:szCs w:val="21"/>
                <w:lang w:val="en-US" w:eastAsia="zh-CN" w:bidi="ar"/>
              </w:rPr>
            </w:pPr>
            <w:r>
              <w:rPr>
                <w:rFonts w:hint="eastAsia" w:ascii="Times New Roman" w:hAnsi="Times New Roman" w:eastAsia="宋体" w:cs="Times New Roman"/>
                <w:sz w:val="21"/>
                <w:szCs w:val="21"/>
                <w:lang w:val="en-US" w:eastAsia="zh-CN" w:bidi="ar"/>
              </w:rPr>
              <w:t>0.146</w:t>
            </w:r>
          </w:p>
        </w:tc>
        <w:tc>
          <w:tcPr>
            <w:tcW w:w="813" w:type="pct"/>
            <w:tcBorders>
              <w:tl2br w:val="nil"/>
              <w:tr2bl w:val="nil"/>
            </w:tcBorders>
            <w:noWrap w:val="0"/>
            <w:vAlign w:val="center"/>
          </w:tcPr>
          <w:p w14:paraId="098FAD38">
            <w:pPr>
              <w:widowControl w:val="0"/>
              <w:adjustRightInd w:val="0"/>
              <w:snapToGrid w:val="0"/>
              <w:jc w:val="center"/>
              <w:textAlignment w:val="center"/>
              <w:rPr>
                <w:rFonts w:hint="default" w:ascii="Times New Roman" w:hAnsi="Times New Roman" w:eastAsia="宋体" w:cs="Times New Roman"/>
                <w:sz w:val="21"/>
                <w:szCs w:val="21"/>
                <w:lang w:val="en-US" w:eastAsia="zh-CN" w:bidi="ar"/>
              </w:rPr>
            </w:pPr>
            <w:r>
              <w:rPr>
                <w:rFonts w:hint="eastAsia" w:ascii="Times New Roman" w:hAnsi="Times New Roman" w:eastAsia="宋体" w:cs="Times New Roman"/>
                <w:sz w:val="21"/>
                <w:szCs w:val="21"/>
                <w:lang w:val="en-US" w:eastAsia="zh-CN" w:bidi="ar"/>
              </w:rPr>
              <w:t>0.135</w:t>
            </w:r>
          </w:p>
        </w:tc>
        <w:tc>
          <w:tcPr>
            <w:tcW w:w="508" w:type="pct"/>
            <w:tcBorders>
              <w:tl2br w:val="nil"/>
              <w:tr2bl w:val="nil"/>
            </w:tcBorders>
            <w:noWrap w:val="0"/>
            <w:vAlign w:val="center"/>
          </w:tcPr>
          <w:p w14:paraId="6ECBCF19">
            <w:pPr>
              <w:widowControl w:val="0"/>
              <w:adjustRightInd w:val="0"/>
              <w:snapToGrid w:val="0"/>
              <w:jc w:val="center"/>
              <w:textAlignment w:val="center"/>
              <w:rPr>
                <w:rFonts w:hint="default" w:ascii="Times New Roman" w:hAnsi="Times New Roman" w:eastAsia="宋体" w:cs="Times New Roman"/>
                <w:sz w:val="21"/>
                <w:szCs w:val="21"/>
                <w:lang w:val="en-US" w:eastAsia="zh-CN" w:bidi="ar"/>
              </w:rPr>
            </w:pPr>
            <w:r>
              <w:rPr>
                <w:rFonts w:hint="default" w:ascii="Times New Roman" w:hAnsi="Times New Roman" w:eastAsia="宋体" w:cs="Times New Roman"/>
                <w:sz w:val="21"/>
                <w:szCs w:val="21"/>
                <w:lang w:val="en-US" w:eastAsia="zh-CN" w:bidi="ar"/>
              </w:rPr>
              <w:t>mg/L</w:t>
            </w:r>
          </w:p>
        </w:tc>
      </w:tr>
      <w:tr w14:paraId="4865D484">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347" w:type="pct"/>
            <w:tcBorders>
              <w:tl2br w:val="nil"/>
              <w:tr2bl w:val="nil"/>
            </w:tcBorders>
            <w:noWrap w:val="0"/>
            <w:vAlign w:val="center"/>
          </w:tcPr>
          <w:p w14:paraId="6DC14766">
            <w:pPr>
              <w:widowControl w:val="0"/>
              <w:adjustRightInd w:val="0"/>
              <w:snapToGrid w:val="0"/>
              <w:jc w:val="center"/>
              <w:textAlignment w:val="center"/>
              <w:rPr>
                <w:rFonts w:hint="default" w:ascii="Times New Roman" w:hAnsi="Times New Roman" w:eastAsia="宋体" w:cs="Times New Roman"/>
                <w:sz w:val="21"/>
                <w:szCs w:val="21"/>
                <w:lang w:val="en-US" w:eastAsia="zh-CN" w:bidi="ar"/>
              </w:rPr>
            </w:pPr>
            <w:r>
              <w:rPr>
                <w:rFonts w:hint="default" w:ascii="Times New Roman" w:hAnsi="Times New Roman" w:eastAsia="宋体" w:cs="Times New Roman"/>
                <w:sz w:val="21"/>
                <w:szCs w:val="21"/>
                <w:lang w:val="en-US" w:eastAsia="zh-CN" w:bidi="ar"/>
              </w:rPr>
              <w:t>9</w:t>
            </w:r>
          </w:p>
        </w:tc>
        <w:tc>
          <w:tcPr>
            <w:tcW w:w="575" w:type="pct"/>
            <w:vMerge w:val="continue"/>
            <w:tcBorders>
              <w:tl2br w:val="nil"/>
              <w:tr2bl w:val="nil"/>
            </w:tcBorders>
            <w:noWrap w:val="0"/>
            <w:vAlign w:val="center"/>
          </w:tcPr>
          <w:p w14:paraId="411950F8">
            <w:pPr>
              <w:widowControl w:val="0"/>
              <w:adjustRightInd w:val="0"/>
              <w:snapToGrid w:val="0"/>
              <w:jc w:val="center"/>
              <w:textAlignment w:val="center"/>
              <w:rPr>
                <w:rFonts w:hint="default" w:ascii="Times New Roman" w:hAnsi="Times New Roman" w:eastAsia="宋体" w:cs="Times New Roman"/>
                <w:sz w:val="21"/>
                <w:szCs w:val="21"/>
                <w:lang w:val="en-US" w:eastAsia="zh-CN" w:bidi="ar"/>
              </w:rPr>
            </w:pPr>
          </w:p>
        </w:tc>
        <w:tc>
          <w:tcPr>
            <w:tcW w:w="1034" w:type="pct"/>
            <w:tcBorders>
              <w:tl2br w:val="nil"/>
              <w:tr2bl w:val="nil"/>
            </w:tcBorders>
            <w:noWrap w:val="0"/>
            <w:vAlign w:val="center"/>
          </w:tcPr>
          <w:p w14:paraId="6A47CDC2">
            <w:pPr>
              <w:widowControl w:val="0"/>
              <w:adjustRightInd w:val="0"/>
              <w:snapToGrid w:val="0"/>
              <w:jc w:val="center"/>
              <w:textAlignment w:val="center"/>
              <w:rPr>
                <w:rFonts w:hint="default" w:ascii="Times New Roman" w:hAnsi="Times New Roman" w:eastAsia="宋体" w:cs="Times New Roman"/>
                <w:sz w:val="21"/>
                <w:szCs w:val="21"/>
                <w:lang w:val="en-US" w:eastAsia="zh-CN" w:bidi="ar"/>
              </w:rPr>
            </w:pPr>
            <w:r>
              <w:rPr>
                <w:rFonts w:hint="default" w:ascii="Times New Roman" w:hAnsi="Times New Roman" w:eastAsia="宋体" w:cs="Times New Roman"/>
                <w:sz w:val="21"/>
                <w:szCs w:val="21"/>
                <w:lang w:val="en-US" w:eastAsia="zh-CN" w:bidi="ar"/>
              </w:rPr>
              <w:t>总氮</w:t>
            </w:r>
          </w:p>
        </w:tc>
        <w:tc>
          <w:tcPr>
            <w:tcW w:w="885" w:type="pct"/>
            <w:tcBorders>
              <w:tl2br w:val="nil"/>
              <w:tr2bl w:val="nil"/>
            </w:tcBorders>
            <w:noWrap w:val="0"/>
            <w:vAlign w:val="center"/>
          </w:tcPr>
          <w:p w14:paraId="6C525F67">
            <w:pPr>
              <w:widowControl w:val="0"/>
              <w:adjustRightInd w:val="0"/>
              <w:snapToGrid w:val="0"/>
              <w:jc w:val="center"/>
              <w:textAlignment w:val="center"/>
              <w:rPr>
                <w:rFonts w:hint="default" w:ascii="Times New Roman" w:hAnsi="Times New Roman" w:eastAsia="宋体" w:cs="Times New Roman"/>
                <w:sz w:val="21"/>
                <w:szCs w:val="21"/>
                <w:lang w:val="en-US" w:eastAsia="zh-CN" w:bidi="ar"/>
              </w:rPr>
            </w:pPr>
            <w:r>
              <w:rPr>
                <w:rFonts w:hint="eastAsia" w:ascii="Times New Roman" w:hAnsi="Times New Roman" w:eastAsia="宋体" w:cs="Times New Roman"/>
                <w:sz w:val="21"/>
                <w:szCs w:val="21"/>
                <w:lang w:val="en-US" w:eastAsia="zh-CN" w:bidi="ar"/>
              </w:rPr>
              <w:t>0.82</w:t>
            </w:r>
          </w:p>
        </w:tc>
        <w:tc>
          <w:tcPr>
            <w:tcW w:w="834" w:type="pct"/>
            <w:tcBorders>
              <w:tl2br w:val="nil"/>
              <w:tr2bl w:val="nil"/>
            </w:tcBorders>
            <w:noWrap w:val="0"/>
            <w:vAlign w:val="center"/>
          </w:tcPr>
          <w:p w14:paraId="61AEAE64">
            <w:pPr>
              <w:widowControl w:val="0"/>
              <w:adjustRightInd w:val="0"/>
              <w:snapToGrid w:val="0"/>
              <w:jc w:val="center"/>
              <w:textAlignment w:val="center"/>
              <w:rPr>
                <w:rFonts w:hint="default" w:ascii="Times New Roman" w:hAnsi="Times New Roman" w:eastAsia="宋体" w:cs="Times New Roman"/>
                <w:sz w:val="21"/>
                <w:szCs w:val="21"/>
                <w:lang w:val="en-US" w:eastAsia="zh-CN" w:bidi="ar"/>
              </w:rPr>
            </w:pPr>
            <w:r>
              <w:rPr>
                <w:rFonts w:hint="eastAsia" w:ascii="Times New Roman" w:hAnsi="Times New Roman" w:eastAsia="宋体" w:cs="Times New Roman"/>
                <w:sz w:val="21"/>
                <w:szCs w:val="21"/>
                <w:lang w:val="en-US" w:eastAsia="zh-CN" w:bidi="ar"/>
              </w:rPr>
              <w:t>0.89</w:t>
            </w:r>
          </w:p>
        </w:tc>
        <w:tc>
          <w:tcPr>
            <w:tcW w:w="813" w:type="pct"/>
            <w:tcBorders>
              <w:tl2br w:val="nil"/>
              <w:tr2bl w:val="nil"/>
            </w:tcBorders>
            <w:noWrap w:val="0"/>
            <w:vAlign w:val="center"/>
          </w:tcPr>
          <w:p w14:paraId="507ADE16">
            <w:pPr>
              <w:widowControl w:val="0"/>
              <w:adjustRightInd w:val="0"/>
              <w:snapToGrid w:val="0"/>
              <w:jc w:val="center"/>
              <w:textAlignment w:val="center"/>
              <w:rPr>
                <w:rFonts w:hint="default" w:ascii="Times New Roman" w:hAnsi="Times New Roman" w:eastAsia="宋体" w:cs="Times New Roman"/>
                <w:sz w:val="21"/>
                <w:szCs w:val="21"/>
                <w:lang w:val="en-US" w:eastAsia="zh-CN" w:bidi="ar"/>
              </w:rPr>
            </w:pPr>
            <w:r>
              <w:rPr>
                <w:rFonts w:hint="eastAsia" w:ascii="Times New Roman" w:hAnsi="Times New Roman" w:eastAsia="宋体" w:cs="Times New Roman"/>
                <w:sz w:val="21"/>
                <w:szCs w:val="21"/>
                <w:lang w:val="en-US" w:eastAsia="zh-CN" w:bidi="ar"/>
              </w:rPr>
              <w:t>0.76</w:t>
            </w:r>
          </w:p>
        </w:tc>
        <w:tc>
          <w:tcPr>
            <w:tcW w:w="508" w:type="pct"/>
            <w:tcBorders>
              <w:tl2br w:val="nil"/>
              <w:tr2bl w:val="nil"/>
            </w:tcBorders>
            <w:noWrap w:val="0"/>
            <w:vAlign w:val="center"/>
          </w:tcPr>
          <w:p w14:paraId="1AD4DE59">
            <w:pPr>
              <w:widowControl w:val="0"/>
              <w:adjustRightInd w:val="0"/>
              <w:snapToGrid w:val="0"/>
              <w:jc w:val="center"/>
              <w:textAlignment w:val="center"/>
              <w:rPr>
                <w:rFonts w:hint="default" w:ascii="Times New Roman" w:hAnsi="Times New Roman" w:eastAsia="宋体" w:cs="Times New Roman"/>
                <w:sz w:val="21"/>
                <w:szCs w:val="21"/>
                <w:lang w:val="en-US" w:eastAsia="zh-CN" w:bidi="ar"/>
              </w:rPr>
            </w:pPr>
            <w:r>
              <w:rPr>
                <w:rFonts w:hint="default" w:ascii="Times New Roman" w:hAnsi="Times New Roman" w:eastAsia="宋体" w:cs="Times New Roman"/>
                <w:sz w:val="21"/>
                <w:szCs w:val="21"/>
                <w:lang w:val="en-US" w:eastAsia="zh-CN" w:bidi="ar"/>
              </w:rPr>
              <w:t>mg/L</w:t>
            </w:r>
          </w:p>
        </w:tc>
      </w:tr>
      <w:tr w14:paraId="0B696CED">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347" w:type="pct"/>
            <w:tcBorders>
              <w:tl2br w:val="nil"/>
              <w:tr2bl w:val="nil"/>
            </w:tcBorders>
            <w:noWrap w:val="0"/>
            <w:vAlign w:val="center"/>
          </w:tcPr>
          <w:p w14:paraId="200BE80C">
            <w:pPr>
              <w:widowControl w:val="0"/>
              <w:adjustRightInd w:val="0"/>
              <w:snapToGrid w:val="0"/>
              <w:jc w:val="center"/>
              <w:textAlignment w:val="center"/>
              <w:rPr>
                <w:rFonts w:hint="default" w:ascii="Times New Roman" w:hAnsi="Times New Roman" w:eastAsia="宋体" w:cs="Times New Roman"/>
                <w:sz w:val="21"/>
                <w:szCs w:val="21"/>
                <w:lang w:val="en-US" w:eastAsia="zh-CN" w:bidi="ar"/>
              </w:rPr>
            </w:pPr>
            <w:r>
              <w:rPr>
                <w:rFonts w:hint="default" w:ascii="Times New Roman" w:hAnsi="Times New Roman" w:eastAsia="宋体" w:cs="Times New Roman"/>
                <w:sz w:val="21"/>
                <w:szCs w:val="21"/>
                <w:lang w:val="en-US" w:eastAsia="zh-CN" w:bidi="ar"/>
              </w:rPr>
              <w:t>10</w:t>
            </w:r>
          </w:p>
        </w:tc>
        <w:tc>
          <w:tcPr>
            <w:tcW w:w="575" w:type="pct"/>
            <w:vMerge w:val="continue"/>
            <w:tcBorders>
              <w:tl2br w:val="nil"/>
              <w:tr2bl w:val="nil"/>
            </w:tcBorders>
            <w:noWrap w:val="0"/>
            <w:vAlign w:val="center"/>
          </w:tcPr>
          <w:p w14:paraId="29C217E8">
            <w:pPr>
              <w:widowControl w:val="0"/>
              <w:adjustRightInd w:val="0"/>
              <w:snapToGrid w:val="0"/>
              <w:jc w:val="center"/>
              <w:textAlignment w:val="center"/>
              <w:rPr>
                <w:rFonts w:hint="default" w:ascii="Times New Roman" w:hAnsi="Times New Roman" w:eastAsia="宋体" w:cs="Times New Roman"/>
                <w:sz w:val="21"/>
                <w:szCs w:val="21"/>
                <w:lang w:val="en-US" w:eastAsia="zh-CN" w:bidi="ar"/>
              </w:rPr>
            </w:pPr>
          </w:p>
        </w:tc>
        <w:tc>
          <w:tcPr>
            <w:tcW w:w="1034" w:type="pct"/>
            <w:tcBorders>
              <w:tl2br w:val="nil"/>
              <w:tr2bl w:val="nil"/>
            </w:tcBorders>
            <w:noWrap w:val="0"/>
            <w:vAlign w:val="center"/>
          </w:tcPr>
          <w:p w14:paraId="53594428">
            <w:pPr>
              <w:widowControl w:val="0"/>
              <w:adjustRightInd w:val="0"/>
              <w:snapToGrid w:val="0"/>
              <w:jc w:val="center"/>
              <w:textAlignment w:val="center"/>
              <w:rPr>
                <w:rFonts w:hint="default" w:ascii="Times New Roman" w:hAnsi="Times New Roman" w:eastAsia="宋体" w:cs="Times New Roman"/>
                <w:sz w:val="21"/>
                <w:szCs w:val="21"/>
                <w:lang w:val="en-US" w:eastAsia="zh-CN" w:bidi="ar"/>
              </w:rPr>
            </w:pPr>
            <w:r>
              <w:rPr>
                <w:rFonts w:hint="default" w:ascii="Times New Roman" w:hAnsi="Times New Roman" w:eastAsia="宋体" w:cs="Times New Roman"/>
                <w:sz w:val="21"/>
                <w:szCs w:val="21"/>
                <w:lang w:val="en-US" w:eastAsia="zh-CN" w:bidi="ar"/>
              </w:rPr>
              <w:t>氨氮</w:t>
            </w:r>
          </w:p>
        </w:tc>
        <w:tc>
          <w:tcPr>
            <w:tcW w:w="885" w:type="pct"/>
            <w:tcBorders>
              <w:tl2br w:val="nil"/>
              <w:tr2bl w:val="nil"/>
            </w:tcBorders>
            <w:noWrap w:val="0"/>
            <w:vAlign w:val="center"/>
          </w:tcPr>
          <w:p w14:paraId="01C968FE">
            <w:pPr>
              <w:widowControl w:val="0"/>
              <w:adjustRightInd w:val="0"/>
              <w:snapToGrid w:val="0"/>
              <w:jc w:val="center"/>
              <w:textAlignment w:val="center"/>
              <w:rPr>
                <w:rFonts w:hint="default" w:ascii="Times New Roman" w:hAnsi="Times New Roman" w:eastAsia="宋体" w:cs="Times New Roman"/>
                <w:sz w:val="21"/>
                <w:szCs w:val="21"/>
                <w:lang w:val="en-US" w:eastAsia="zh-CN" w:bidi="ar"/>
              </w:rPr>
            </w:pPr>
            <w:r>
              <w:rPr>
                <w:rFonts w:hint="eastAsia" w:ascii="Times New Roman" w:hAnsi="Times New Roman" w:eastAsia="宋体" w:cs="Times New Roman"/>
                <w:sz w:val="21"/>
                <w:szCs w:val="21"/>
                <w:lang w:val="en-US" w:eastAsia="zh-CN" w:bidi="ar"/>
              </w:rPr>
              <w:t>0.736</w:t>
            </w:r>
          </w:p>
        </w:tc>
        <w:tc>
          <w:tcPr>
            <w:tcW w:w="834" w:type="pct"/>
            <w:tcBorders>
              <w:tl2br w:val="nil"/>
              <w:tr2bl w:val="nil"/>
            </w:tcBorders>
            <w:noWrap w:val="0"/>
            <w:vAlign w:val="center"/>
          </w:tcPr>
          <w:p w14:paraId="2E625915">
            <w:pPr>
              <w:widowControl w:val="0"/>
              <w:adjustRightInd w:val="0"/>
              <w:snapToGrid w:val="0"/>
              <w:jc w:val="center"/>
              <w:textAlignment w:val="center"/>
              <w:rPr>
                <w:rFonts w:hint="default" w:ascii="Times New Roman" w:hAnsi="Times New Roman" w:eastAsia="宋体" w:cs="Times New Roman"/>
                <w:sz w:val="21"/>
                <w:szCs w:val="21"/>
                <w:lang w:val="en-US" w:eastAsia="zh-CN" w:bidi="ar"/>
              </w:rPr>
            </w:pPr>
            <w:r>
              <w:rPr>
                <w:rFonts w:hint="eastAsia" w:ascii="Times New Roman" w:hAnsi="Times New Roman" w:eastAsia="宋体" w:cs="Times New Roman"/>
                <w:sz w:val="21"/>
                <w:szCs w:val="21"/>
                <w:lang w:val="en-US" w:eastAsia="zh-CN" w:bidi="ar"/>
              </w:rPr>
              <w:t>0.724</w:t>
            </w:r>
          </w:p>
        </w:tc>
        <w:tc>
          <w:tcPr>
            <w:tcW w:w="813" w:type="pct"/>
            <w:tcBorders>
              <w:tl2br w:val="nil"/>
              <w:tr2bl w:val="nil"/>
            </w:tcBorders>
            <w:noWrap w:val="0"/>
            <w:vAlign w:val="center"/>
          </w:tcPr>
          <w:p w14:paraId="29FDCF05">
            <w:pPr>
              <w:widowControl w:val="0"/>
              <w:adjustRightInd w:val="0"/>
              <w:snapToGrid w:val="0"/>
              <w:jc w:val="center"/>
              <w:textAlignment w:val="center"/>
              <w:rPr>
                <w:rFonts w:hint="default" w:ascii="Times New Roman" w:hAnsi="Times New Roman" w:eastAsia="宋体" w:cs="Times New Roman"/>
                <w:sz w:val="21"/>
                <w:szCs w:val="21"/>
                <w:lang w:val="en-US" w:eastAsia="zh-CN" w:bidi="ar"/>
              </w:rPr>
            </w:pPr>
            <w:r>
              <w:rPr>
                <w:rFonts w:hint="eastAsia" w:ascii="Times New Roman" w:hAnsi="Times New Roman" w:eastAsia="宋体" w:cs="Times New Roman"/>
                <w:sz w:val="21"/>
                <w:szCs w:val="21"/>
                <w:lang w:val="en-US" w:eastAsia="zh-CN" w:bidi="ar"/>
              </w:rPr>
              <w:t>0.68</w:t>
            </w:r>
          </w:p>
        </w:tc>
        <w:tc>
          <w:tcPr>
            <w:tcW w:w="508" w:type="pct"/>
            <w:tcBorders>
              <w:tl2br w:val="nil"/>
              <w:tr2bl w:val="nil"/>
            </w:tcBorders>
            <w:noWrap w:val="0"/>
            <w:vAlign w:val="center"/>
          </w:tcPr>
          <w:p w14:paraId="7092209F">
            <w:pPr>
              <w:widowControl w:val="0"/>
              <w:adjustRightInd w:val="0"/>
              <w:snapToGrid w:val="0"/>
              <w:jc w:val="center"/>
              <w:textAlignment w:val="center"/>
              <w:rPr>
                <w:rFonts w:hint="default" w:ascii="Times New Roman" w:hAnsi="Times New Roman" w:eastAsia="宋体" w:cs="Times New Roman"/>
                <w:sz w:val="21"/>
                <w:szCs w:val="21"/>
                <w:lang w:val="en-US" w:eastAsia="zh-CN" w:bidi="ar"/>
              </w:rPr>
            </w:pPr>
            <w:r>
              <w:rPr>
                <w:rFonts w:hint="default" w:ascii="Times New Roman" w:hAnsi="Times New Roman" w:eastAsia="宋体" w:cs="Times New Roman"/>
                <w:sz w:val="21"/>
                <w:szCs w:val="21"/>
                <w:lang w:val="en-US" w:eastAsia="zh-CN" w:bidi="ar"/>
              </w:rPr>
              <w:t>mg/L</w:t>
            </w:r>
          </w:p>
        </w:tc>
      </w:tr>
      <w:tr w14:paraId="554504F9">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347" w:type="pct"/>
            <w:tcBorders>
              <w:tl2br w:val="nil"/>
              <w:tr2bl w:val="nil"/>
            </w:tcBorders>
            <w:noWrap w:val="0"/>
            <w:vAlign w:val="center"/>
          </w:tcPr>
          <w:p w14:paraId="276CCEDF">
            <w:pPr>
              <w:widowControl w:val="0"/>
              <w:adjustRightInd w:val="0"/>
              <w:snapToGrid w:val="0"/>
              <w:jc w:val="center"/>
              <w:textAlignment w:val="center"/>
              <w:rPr>
                <w:rFonts w:hint="default" w:ascii="Times New Roman" w:hAnsi="Times New Roman" w:eastAsia="宋体" w:cs="Times New Roman"/>
                <w:sz w:val="21"/>
                <w:szCs w:val="21"/>
                <w:lang w:val="en-US" w:eastAsia="zh-CN" w:bidi="ar"/>
              </w:rPr>
            </w:pPr>
            <w:r>
              <w:rPr>
                <w:rFonts w:hint="default" w:ascii="Times New Roman" w:hAnsi="Times New Roman" w:eastAsia="宋体" w:cs="Times New Roman"/>
                <w:sz w:val="21"/>
                <w:szCs w:val="21"/>
                <w:lang w:val="en-US" w:eastAsia="zh-CN" w:bidi="ar"/>
              </w:rPr>
              <w:t>11</w:t>
            </w:r>
          </w:p>
        </w:tc>
        <w:tc>
          <w:tcPr>
            <w:tcW w:w="575" w:type="pct"/>
            <w:vMerge w:val="continue"/>
            <w:tcBorders>
              <w:tl2br w:val="nil"/>
              <w:tr2bl w:val="nil"/>
            </w:tcBorders>
            <w:noWrap w:val="0"/>
            <w:vAlign w:val="center"/>
          </w:tcPr>
          <w:p w14:paraId="22E226FB">
            <w:pPr>
              <w:widowControl w:val="0"/>
              <w:adjustRightInd w:val="0"/>
              <w:snapToGrid w:val="0"/>
              <w:jc w:val="center"/>
              <w:textAlignment w:val="center"/>
              <w:rPr>
                <w:rFonts w:hint="default" w:ascii="Times New Roman" w:hAnsi="Times New Roman" w:eastAsia="宋体" w:cs="Times New Roman"/>
                <w:sz w:val="21"/>
                <w:szCs w:val="21"/>
                <w:lang w:val="en-US" w:eastAsia="zh-CN" w:bidi="ar"/>
              </w:rPr>
            </w:pPr>
          </w:p>
        </w:tc>
        <w:tc>
          <w:tcPr>
            <w:tcW w:w="1034" w:type="pct"/>
            <w:tcBorders>
              <w:tl2br w:val="nil"/>
              <w:tr2bl w:val="nil"/>
            </w:tcBorders>
            <w:noWrap w:val="0"/>
            <w:vAlign w:val="center"/>
          </w:tcPr>
          <w:p w14:paraId="7084F3F8">
            <w:pPr>
              <w:widowControl w:val="0"/>
              <w:adjustRightInd w:val="0"/>
              <w:snapToGrid w:val="0"/>
              <w:jc w:val="center"/>
              <w:textAlignment w:val="center"/>
              <w:rPr>
                <w:rFonts w:hint="default" w:ascii="Times New Roman" w:hAnsi="Times New Roman" w:eastAsia="宋体" w:cs="Times New Roman"/>
                <w:sz w:val="21"/>
                <w:szCs w:val="21"/>
                <w:lang w:val="en-US" w:eastAsia="zh-CN" w:bidi="ar"/>
              </w:rPr>
            </w:pPr>
            <w:r>
              <w:rPr>
                <w:rFonts w:hint="default" w:ascii="Times New Roman" w:hAnsi="Times New Roman" w:eastAsia="宋体" w:cs="Times New Roman"/>
                <w:sz w:val="21"/>
                <w:szCs w:val="21"/>
                <w:lang w:val="en-US" w:eastAsia="zh-CN" w:bidi="ar"/>
              </w:rPr>
              <w:t>五日生化需氧量</w:t>
            </w:r>
          </w:p>
        </w:tc>
        <w:tc>
          <w:tcPr>
            <w:tcW w:w="885" w:type="pct"/>
            <w:tcBorders>
              <w:tl2br w:val="nil"/>
              <w:tr2bl w:val="nil"/>
            </w:tcBorders>
            <w:noWrap w:val="0"/>
            <w:vAlign w:val="center"/>
          </w:tcPr>
          <w:p w14:paraId="516AE230">
            <w:pPr>
              <w:widowControl w:val="0"/>
              <w:adjustRightInd w:val="0"/>
              <w:snapToGrid w:val="0"/>
              <w:jc w:val="center"/>
              <w:textAlignment w:val="center"/>
              <w:rPr>
                <w:rFonts w:hint="default" w:ascii="Times New Roman" w:hAnsi="Times New Roman" w:eastAsia="宋体" w:cs="Times New Roman"/>
                <w:sz w:val="21"/>
                <w:szCs w:val="21"/>
                <w:lang w:val="en-US" w:eastAsia="zh-CN" w:bidi="ar"/>
              </w:rPr>
            </w:pPr>
            <w:r>
              <w:rPr>
                <w:rFonts w:hint="eastAsia" w:ascii="Times New Roman" w:hAnsi="Times New Roman" w:eastAsia="宋体" w:cs="Times New Roman"/>
                <w:sz w:val="21"/>
                <w:szCs w:val="21"/>
                <w:lang w:val="en-US" w:eastAsia="zh-CN" w:bidi="ar"/>
              </w:rPr>
              <w:t>3.8</w:t>
            </w:r>
          </w:p>
        </w:tc>
        <w:tc>
          <w:tcPr>
            <w:tcW w:w="834" w:type="pct"/>
            <w:tcBorders>
              <w:tl2br w:val="nil"/>
              <w:tr2bl w:val="nil"/>
            </w:tcBorders>
            <w:noWrap w:val="0"/>
            <w:vAlign w:val="center"/>
          </w:tcPr>
          <w:p w14:paraId="6400A8CC">
            <w:pPr>
              <w:widowControl w:val="0"/>
              <w:adjustRightInd w:val="0"/>
              <w:snapToGrid w:val="0"/>
              <w:jc w:val="center"/>
              <w:textAlignment w:val="center"/>
              <w:rPr>
                <w:rFonts w:hint="default" w:ascii="Times New Roman" w:hAnsi="Times New Roman" w:eastAsia="宋体" w:cs="Times New Roman"/>
                <w:sz w:val="21"/>
                <w:szCs w:val="21"/>
                <w:lang w:val="en-US" w:eastAsia="zh-CN" w:bidi="ar"/>
              </w:rPr>
            </w:pPr>
            <w:r>
              <w:rPr>
                <w:rFonts w:hint="eastAsia" w:ascii="Times New Roman" w:hAnsi="Times New Roman" w:eastAsia="宋体" w:cs="Times New Roman"/>
                <w:sz w:val="21"/>
                <w:szCs w:val="21"/>
                <w:lang w:val="en-US" w:eastAsia="zh-CN" w:bidi="ar"/>
              </w:rPr>
              <w:t>3.7</w:t>
            </w:r>
          </w:p>
        </w:tc>
        <w:tc>
          <w:tcPr>
            <w:tcW w:w="813" w:type="pct"/>
            <w:tcBorders>
              <w:tl2br w:val="nil"/>
              <w:tr2bl w:val="nil"/>
            </w:tcBorders>
            <w:noWrap w:val="0"/>
            <w:vAlign w:val="center"/>
          </w:tcPr>
          <w:p w14:paraId="07DBFBE1">
            <w:pPr>
              <w:widowControl w:val="0"/>
              <w:adjustRightInd w:val="0"/>
              <w:snapToGrid w:val="0"/>
              <w:jc w:val="center"/>
              <w:textAlignment w:val="center"/>
              <w:rPr>
                <w:rFonts w:hint="default" w:ascii="Times New Roman" w:hAnsi="Times New Roman" w:eastAsia="宋体" w:cs="Times New Roman"/>
                <w:sz w:val="21"/>
                <w:szCs w:val="21"/>
                <w:lang w:val="en-US" w:eastAsia="zh-CN" w:bidi="ar"/>
              </w:rPr>
            </w:pPr>
            <w:r>
              <w:rPr>
                <w:rFonts w:hint="eastAsia" w:ascii="Times New Roman" w:hAnsi="Times New Roman" w:eastAsia="宋体" w:cs="Times New Roman"/>
                <w:sz w:val="21"/>
                <w:szCs w:val="21"/>
                <w:lang w:val="en-US" w:eastAsia="zh-CN" w:bidi="ar"/>
              </w:rPr>
              <w:t>3.3</w:t>
            </w:r>
          </w:p>
        </w:tc>
        <w:tc>
          <w:tcPr>
            <w:tcW w:w="508" w:type="pct"/>
            <w:tcBorders>
              <w:tl2br w:val="nil"/>
              <w:tr2bl w:val="nil"/>
            </w:tcBorders>
            <w:noWrap w:val="0"/>
            <w:vAlign w:val="center"/>
          </w:tcPr>
          <w:p w14:paraId="3C700252">
            <w:pPr>
              <w:widowControl w:val="0"/>
              <w:adjustRightInd w:val="0"/>
              <w:snapToGrid w:val="0"/>
              <w:jc w:val="center"/>
              <w:textAlignment w:val="center"/>
              <w:rPr>
                <w:rFonts w:hint="default" w:ascii="Times New Roman" w:hAnsi="Times New Roman" w:eastAsia="宋体" w:cs="Times New Roman"/>
                <w:sz w:val="21"/>
                <w:szCs w:val="21"/>
                <w:lang w:val="en-US" w:eastAsia="zh-CN" w:bidi="ar"/>
              </w:rPr>
            </w:pPr>
            <w:r>
              <w:rPr>
                <w:rFonts w:hint="default" w:ascii="Times New Roman" w:hAnsi="Times New Roman" w:eastAsia="宋体" w:cs="Times New Roman"/>
                <w:sz w:val="21"/>
                <w:szCs w:val="21"/>
                <w:lang w:val="en-US" w:eastAsia="zh-CN" w:bidi="ar"/>
              </w:rPr>
              <w:t>mg/L</w:t>
            </w:r>
          </w:p>
        </w:tc>
      </w:tr>
      <w:tr w14:paraId="1D4589B6">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347" w:type="pct"/>
            <w:tcBorders>
              <w:tl2br w:val="nil"/>
              <w:tr2bl w:val="nil"/>
            </w:tcBorders>
            <w:noWrap w:val="0"/>
            <w:vAlign w:val="center"/>
          </w:tcPr>
          <w:p w14:paraId="15FF8338">
            <w:pPr>
              <w:widowControl w:val="0"/>
              <w:adjustRightInd w:val="0"/>
              <w:snapToGrid w:val="0"/>
              <w:jc w:val="center"/>
              <w:textAlignment w:val="center"/>
              <w:rPr>
                <w:rFonts w:hint="default" w:ascii="Times New Roman" w:hAnsi="Times New Roman" w:eastAsia="宋体" w:cs="Times New Roman"/>
                <w:sz w:val="21"/>
                <w:szCs w:val="21"/>
                <w:lang w:val="en-US" w:eastAsia="zh-CN" w:bidi="ar"/>
              </w:rPr>
            </w:pPr>
            <w:r>
              <w:rPr>
                <w:rFonts w:hint="default" w:ascii="Times New Roman" w:hAnsi="Times New Roman" w:eastAsia="宋体" w:cs="Times New Roman"/>
                <w:sz w:val="21"/>
                <w:szCs w:val="21"/>
                <w:lang w:val="en-US" w:eastAsia="zh-CN" w:bidi="ar"/>
              </w:rPr>
              <w:t>12</w:t>
            </w:r>
          </w:p>
        </w:tc>
        <w:tc>
          <w:tcPr>
            <w:tcW w:w="575" w:type="pct"/>
            <w:vMerge w:val="continue"/>
            <w:tcBorders>
              <w:tl2br w:val="nil"/>
              <w:tr2bl w:val="nil"/>
            </w:tcBorders>
            <w:noWrap w:val="0"/>
            <w:vAlign w:val="center"/>
          </w:tcPr>
          <w:p w14:paraId="3448A50C">
            <w:pPr>
              <w:widowControl w:val="0"/>
              <w:adjustRightInd w:val="0"/>
              <w:snapToGrid w:val="0"/>
              <w:jc w:val="center"/>
              <w:textAlignment w:val="center"/>
              <w:rPr>
                <w:rFonts w:hint="default" w:ascii="Times New Roman" w:hAnsi="Times New Roman" w:eastAsia="宋体" w:cs="Times New Roman"/>
                <w:sz w:val="21"/>
                <w:szCs w:val="21"/>
                <w:lang w:val="en-US" w:eastAsia="zh-CN" w:bidi="ar"/>
              </w:rPr>
            </w:pPr>
          </w:p>
        </w:tc>
        <w:tc>
          <w:tcPr>
            <w:tcW w:w="1034" w:type="pct"/>
            <w:tcBorders>
              <w:tl2br w:val="nil"/>
              <w:tr2bl w:val="nil"/>
            </w:tcBorders>
            <w:noWrap w:val="0"/>
            <w:vAlign w:val="center"/>
          </w:tcPr>
          <w:p w14:paraId="36B8C59B">
            <w:pPr>
              <w:widowControl w:val="0"/>
              <w:adjustRightInd w:val="0"/>
              <w:snapToGrid w:val="0"/>
              <w:jc w:val="center"/>
              <w:textAlignment w:val="center"/>
              <w:rPr>
                <w:rFonts w:hint="default" w:ascii="Times New Roman" w:hAnsi="Times New Roman" w:eastAsia="宋体" w:cs="Times New Roman"/>
                <w:sz w:val="21"/>
                <w:szCs w:val="21"/>
                <w:lang w:val="en-US" w:eastAsia="zh-CN" w:bidi="ar"/>
              </w:rPr>
            </w:pPr>
            <w:r>
              <w:rPr>
                <w:rFonts w:hint="default" w:ascii="Times New Roman" w:hAnsi="Times New Roman" w:eastAsia="宋体" w:cs="Times New Roman"/>
                <w:sz w:val="21"/>
                <w:szCs w:val="21"/>
                <w:lang w:val="en-US" w:eastAsia="zh-CN" w:bidi="ar"/>
              </w:rPr>
              <w:t>挥发酚</w:t>
            </w:r>
          </w:p>
        </w:tc>
        <w:tc>
          <w:tcPr>
            <w:tcW w:w="885" w:type="pct"/>
            <w:tcBorders>
              <w:tl2br w:val="nil"/>
              <w:tr2bl w:val="nil"/>
            </w:tcBorders>
            <w:noWrap w:val="0"/>
            <w:vAlign w:val="center"/>
          </w:tcPr>
          <w:p w14:paraId="6C111262">
            <w:pPr>
              <w:widowControl w:val="0"/>
              <w:adjustRightInd w:val="0"/>
              <w:snapToGrid w:val="0"/>
              <w:jc w:val="center"/>
              <w:textAlignment w:val="center"/>
              <w:rPr>
                <w:rFonts w:hint="default" w:ascii="Times New Roman" w:hAnsi="Times New Roman" w:eastAsia="宋体" w:cs="Times New Roman"/>
                <w:sz w:val="21"/>
                <w:szCs w:val="21"/>
                <w:lang w:val="en-US" w:eastAsia="zh-CN" w:bidi="ar"/>
              </w:rPr>
            </w:pPr>
            <w:r>
              <w:rPr>
                <w:rFonts w:hint="default" w:ascii="Times New Roman" w:hAnsi="Times New Roman" w:eastAsia="宋体" w:cs="Times New Roman"/>
                <w:sz w:val="21"/>
                <w:szCs w:val="21"/>
                <w:lang w:bidi="ar"/>
              </w:rPr>
              <w:t>0.0003L</w:t>
            </w:r>
          </w:p>
        </w:tc>
        <w:tc>
          <w:tcPr>
            <w:tcW w:w="834" w:type="pct"/>
            <w:tcBorders>
              <w:tl2br w:val="nil"/>
              <w:tr2bl w:val="nil"/>
            </w:tcBorders>
            <w:noWrap w:val="0"/>
            <w:vAlign w:val="center"/>
          </w:tcPr>
          <w:p w14:paraId="7832D22C">
            <w:pPr>
              <w:widowControl w:val="0"/>
              <w:adjustRightInd w:val="0"/>
              <w:snapToGrid w:val="0"/>
              <w:jc w:val="center"/>
              <w:textAlignment w:val="center"/>
              <w:rPr>
                <w:rFonts w:hint="default" w:ascii="Times New Roman" w:hAnsi="Times New Roman" w:eastAsia="宋体" w:cs="Times New Roman"/>
                <w:sz w:val="21"/>
                <w:szCs w:val="21"/>
                <w:lang w:val="en-US" w:eastAsia="zh-CN" w:bidi="ar"/>
              </w:rPr>
            </w:pPr>
            <w:r>
              <w:rPr>
                <w:rFonts w:hint="default" w:ascii="Times New Roman" w:hAnsi="Times New Roman" w:eastAsia="宋体" w:cs="Times New Roman"/>
                <w:sz w:val="21"/>
                <w:szCs w:val="21"/>
                <w:lang w:bidi="ar"/>
              </w:rPr>
              <w:t>0.0003L</w:t>
            </w:r>
          </w:p>
        </w:tc>
        <w:tc>
          <w:tcPr>
            <w:tcW w:w="813" w:type="pct"/>
            <w:tcBorders>
              <w:tl2br w:val="nil"/>
              <w:tr2bl w:val="nil"/>
            </w:tcBorders>
            <w:noWrap w:val="0"/>
            <w:vAlign w:val="center"/>
          </w:tcPr>
          <w:p w14:paraId="034E50A9">
            <w:pPr>
              <w:widowControl w:val="0"/>
              <w:adjustRightInd w:val="0"/>
              <w:snapToGrid w:val="0"/>
              <w:jc w:val="center"/>
              <w:textAlignment w:val="center"/>
              <w:rPr>
                <w:rFonts w:hint="default" w:ascii="Times New Roman" w:hAnsi="Times New Roman" w:eastAsia="宋体" w:cs="Times New Roman"/>
                <w:sz w:val="21"/>
                <w:szCs w:val="21"/>
                <w:lang w:val="en-US" w:eastAsia="zh-CN" w:bidi="ar"/>
              </w:rPr>
            </w:pPr>
            <w:r>
              <w:rPr>
                <w:rFonts w:hint="default" w:ascii="Times New Roman" w:hAnsi="Times New Roman" w:eastAsia="宋体" w:cs="Times New Roman"/>
                <w:sz w:val="21"/>
                <w:szCs w:val="21"/>
                <w:lang w:bidi="ar"/>
              </w:rPr>
              <w:t>0.0003L</w:t>
            </w:r>
          </w:p>
        </w:tc>
        <w:tc>
          <w:tcPr>
            <w:tcW w:w="508" w:type="pct"/>
            <w:tcBorders>
              <w:tl2br w:val="nil"/>
              <w:tr2bl w:val="nil"/>
            </w:tcBorders>
            <w:noWrap w:val="0"/>
            <w:vAlign w:val="center"/>
          </w:tcPr>
          <w:p w14:paraId="5790246B">
            <w:pPr>
              <w:widowControl w:val="0"/>
              <w:adjustRightInd w:val="0"/>
              <w:snapToGrid w:val="0"/>
              <w:jc w:val="center"/>
              <w:textAlignment w:val="center"/>
              <w:rPr>
                <w:rFonts w:hint="default" w:ascii="Times New Roman" w:hAnsi="Times New Roman" w:eastAsia="宋体" w:cs="Times New Roman"/>
                <w:sz w:val="21"/>
                <w:szCs w:val="21"/>
                <w:lang w:val="en-US" w:eastAsia="zh-CN" w:bidi="ar"/>
              </w:rPr>
            </w:pPr>
            <w:r>
              <w:rPr>
                <w:rFonts w:hint="default" w:ascii="Times New Roman" w:hAnsi="Times New Roman" w:eastAsia="宋体" w:cs="Times New Roman"/>
                <w:sz w:val="21"/>
                <w:szCs w:val="21"/>
                <w:lang w:val="en-US" w:eastAsia="zh-CN" w:bidi="ar"/>
              </w:rPr>
              <w:t>mg/L</w:t>
            </w:r>
          </w:p>
        </w:tc>
      </w:tr>
      <w:tr w14:paraId="2E837C02">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347" w:type="pct"/>
            <w:tcBorders>
              <w:tl2br w:val="nil"/>
              <w:tr2bl w:val="nil"/>
            </w:tcBorders>
            <w:noWrap w:val="0"/>
            <w:vAlign w:val="center"/>
          </w:tcPr>
          <w:p w14:paraId="345B7C71">
            <w:pPr>
              <w:widowControl w:val="0"/>
              <w:adjustRightInd w:val="0"/>
              <w:snapToGrid w:val="0"/>
              <w:jc w:val="center"/>
              <w:textAlignment w:val="center"/>
              <w:rPr>
                <w:rFonts w:hint="default" w:ascii="Times New Roman" w:hAnsi="Times New Roman" w:eastAsia="宋体" w:cs="Times New Roman"/>
                <w:sz w:val="21"/>
                <w:szCs w:val="21"/>
                <w:lang w:val="en-US" w:eastAsia="zh-CN" w:bidi="ar"/>
              </w:rPr>
            </w:pPr>
            <w:r>
              <w:rPr>
                <w:rFonts w:hint="default" w:ascii="Times New Roman" w:hAnsi="Times New Roman" w:eastAsia="宋体" w:cs="Times New Roman"/>
                <w:sz w:val="21"/>
                <w:szCs w:val="21"/>
                <w:lang w:val="en-US" w:eastAsia="zh-CN" w:bidi="ar"/>
              </w:rPr>
              <w:t>13</w:t>
            </w:r>
          </w:p>
        </w:tc>
        <w:tc>
          <w:tcPr>
            <w:tcW w:w="575" w:type="pct"/>
            <w:vMerge w:val="continue"/>
            <w:tcBorders>
              <w:tl2br w:val="nil"/>
              <w:tr2bl w:val="nil"/>
            </w:tcBorders>
            <w:noWrap w:val="0"/>
            <w:vAlign w:val="center"/>
          </w:tcPr>
          <w:p w14:paraId="79709976">
            <w:pPr>
              <w:widowControl w:val="0"/>
              <w:adjustRightInd w:val="0"/>
              <w:snapToGrid w:val="0"/>
              <w:jc w:val="center"/>
              <w:textAlignment w:val="center"/>
              <w:rPr>
                <w:rFonts w:hint="default" w:ascii="Times New Roman" w:hAnsi="Times New Roman" w:eastAsia="宋体" w:cs="Times New Roman"/>
                <w:sz w:val="21"/>
                <w:szCs w:val="21"/>
                <w:lang w:val="en-US" w:eastAsia="zh-CN" w:bidi="ar"/>
              </w:rPr>
            </w:pPr>
          </w:p>
        </w:tc>
        <w:tc>
          <w:tcPr>
            <w:tcW w:w="1034" w:type="pct"/>
            <w:tcBorders>
              <w:tl2br w:val="nil"/>
              <w:tr2bl w:val="nil"/>
            </w:tcBorders>
            <w:noWrap w:val="0"/>
            <w:vAlign w:val="center"/>
          </w:tcPr>
          <w:p w14:paraId="5375C2EE">
            <w:pPr>
              <w:widowControl w:val="0"/>
              <w:adjustRightInd w:val="0"/>
              <w:snapToGrid w:val="0"/>
              <w:jc w:val="center"/>
              <w:textAlignment w:val="center"/>
              <w:rPr>
                <w:rFonts w:hint="default" w:ascii="Times New Roman" w:hAnsi="Times New Roman" w:eastAsia="宋体" w:cs="Times New Roman"/>
                <w:sz w:val="21"/>
                <w:szCs w:val="21"/>
                <w:lang w:val="en-US" w:eastAsia="zh-CN" w:bidi="ar"/>
              </w:rPr>
            </w:pPr>
            <w:r>
              <w:rPr>
                <w:rFonts w:hint="default" w:ascii="Times New Roman" w:hAnsi="Times New Roman" w:eastAsia="宋体" w:cs="Times New Roman"/>
                <w:sz w:val="21"/>
                <w:szCs w:val="21"/>
                <w:lang w:val="en-US" w:eastAsia="zh-CN" w:bidi="ar"/>
              </w:rPr>
              <w:t>氰化物</w:t>
            </w:r>
          </w:p>
        </w:tc>
        <w:tc>
          <w:tcPr>
            <w:tcW w:w="885" w:type="pct"/>
            <w:tcBorders>
              <w:tl2br w:val="nil"/>
              <w:tr2bl w:val="nil"/>
            </w:tcBorders>
            <w:noWrap w:val="0"/>
            <w:vAlign w:val="center"/>
          </w:tcPr>
          <w:p w14:paraId="768938F5">
            <w:pPr>
              <w:widowControl w:val="0"/>
              <w:adjustRightInd w:val="0"/>
              <w:snapToGrid w:val="0"/>
              <w:jc w:val="center"/>
              <w:textAlignment w:val="center"/>
              <w:rPr>
                <w:rFonts w:hint="default" w:ascii="Times New Roman" w:hAnsi="Times New Roman" w:eastAsia="宋体" w:cs="Times New Roman"/>
                <w:sz w:val="21"/>
                <w:szCs w:val="21"/>
                <w:lang w:val="en-US" w:eastAsia="zh-CN" w:bidi="ar"/>
              </w:rPr>
            </w:pPr>
            <w:r>
              <w:rPr>
                <w:rFonts w:hint="default" w:ascii="Times New Roman" w:hAnsi="Times New Roman" w:eastAsia="宋体" w:cs="Times New Roman"/>
                <w:sz w:val="21"/>
                <w:szCs w:val="21"/>
                <w:lang w:bidi="ar"/>
              </w:rPr>
              <w:t>0.004L</w:t>
            </w:r>
          </w:p>
        </w:tc>
        <w:tc>
          <w:tcPr>
            <w:tcW w:w="834" w:type="pct"/>
            <w:tcBorders>
              <w:tl2br w:val="nil"/>
              <w:tr2bl w:val="nil"/>
            </w:tcBorders>
            <w:noWrap w:val="0"/>
            <w:vAlign w:val="center"/>
          </w:tcPr>
          <w:p w14:paraId="6968D600">
            <w:pPr>
              <w:widowControl w:val="0"/>
              <w:adjustRightInd w:val="0"/>
              <w:snapToGrid w:val="0"/>
              <w:jc w:val="center"/>
              <w:textAlignment w:val="center"/>
              <w:rPr>
                <w:rFonts w:hint="default" w:ascii="Times New Roman" w:hAnsi="Times New Roman" w:eastAsia="宋体" w:cs="Times New Roman"/>
                <w:sz w:val="21"/>
                <w:szCs w:val="21"/>
                <w:lang w:val="en-US" w:eastAsia="zh-CN" w:bidi="ar"/>
              </w:rPr>
            </w:pPr>
            <w:r>
              <w:rPr>
                <w:rFonts w:hint="default" w:ascii="Times New Roman" w:hAnsi="Times New Roman" w:eastAsia="宋体" w:cs="Times New Roman"/>
                <w:sz w:val="21"/>
                <w:szCs w:val="21"/>
                <w:lang w:bidi="ar"/>
              </w:rPr>
              <w:t>0.004L</w:t>
            </w:r>
          </w:p>
        </w:tc>
        <w:tc>
          <w:tcPr>
            <w:tcW w:w="813" w:type="pct"/>
            <w:tcBorders>
              <w:tl2br w:val="nil"/>
              <w:tr2bl w:val="nil"/>
            </w:tcBorders>
            <w:noWrap w:val="0"/>
            <w:vAlign w:val="center"/>
          </w:tcPr>
          <w:p w14:paraId="75102848">
            <w:pPr>
              <w:widowControl w:val="0"/>
              <w:adjustRightInd w:val="0"/>
              <w:snapToGrid w:val="0"/>
              <w:jc w:val="center"/>
              <w:textAlignment w:val="center"/>
              <w:rPr>
                <w:rFonts w:hint="default" w:ascii="Times New Roman" w:hAnsi="Times New Roman" w:eastAsia="宋体" w:cs="Times New Roman"/>
                <w:sz w:val="21"/>
                <w:szCs w:val="21"/>
                <w:lang w:val="en-US" w:eastAsia="zh-CN" w:bidi="ar"/>
              </w:rPr>
            </w:pPr>
            <w:r>
              <w:rPr>
                <w:rFonts w:hint="default" w:ascii="Times New Roman" w:hAnsi="Times New Roman" w:eastAsia="宋体" w:cs="Times New Roman"/>
                <w:sz w:val="21"/>
                <w:szCs w:val="21"/>
                <w:lang w:bidi="ar"/>
              </w:rPr>
              <w:t>0.004L</w:t>
            </w:r>
          </w:p>
        </w:tc>
        <w:tc>
          <w:tcPr>
            <w:tcW w:w="508" w:type="pct"/>
            <w:tcBorders>
              <w:tl2br w:val="nil"/>
              <w:tr2bl w:val="nil"/>
            </w:tcBorders>
            <w:noWrap w:val="0"/>
            <w:vAlign w:val="center"/>
          </w:tcPr>
          <w:p w14:paraId="7C849204">
            <w:pPr>
              <w:widowControl w:val="0"/>
              <w:adjustRightInd w:val="0"/>
              <w:snapToGrid w:val="0"/>
              <w:jc w:val="center"/>
              <w:textAlignment w:val="center"/>
              <w:rPr>
                <w:rFonts w:hint="default" w:ascii="Times New Roman" w:hAnsi="Times New Roman" w:eastAsia="宋体" w:cs="Times New Roman"/>
                <w:sz w:val="21"/>
                <w:szCs w:val="21"/>
                <w:lang w:val="en-US" w:eastAsia="zh-CN" w:bidi="ar"/>
              </w:rPr>
            </w:pPr>
            <w:r>
              <w:rPr>
                <w:rFonts w:hint="default" w:ascii="Times New Roman" w:hAnsi="Times New Roman" w:eastAsia="宋体" w:cs="Times New Roman"/>
                <w:sz w:val="21"/>
                <w:szCs w:val="21"/>
                <w:lang w:val="en-US" w:eastAsia="zh-CN" w:bidi="ar"/>
              </w:rPr>
              <w:t>mg/L</w:t>
            </w:r>
          </w:p>
        </w:tc>
      </w:tr>
      <w:tr w14:paraId="326900C8">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347" w:type="pct"/>
            <w:tcBorders>
              <w:tl2br w:val="nil"/>
              <w:tr2bl w:val="nil"/>
            </w:tcBorders>
            <w:noWrap w:val="0"/>
            <w:vAlign w:val="center"/>
          </w:tcPr>
          <w:p w14:paraId="737BC1AF">
            <w:pPr>
              <w:widowControl w:val="0"/>
              <w:adjustRightInd w:val="0"/>
              <w:snapToGrid w:val="0"/>
              <w:jc w:val="center"/>
              <w:textAlignment w:val="center"/>
              <w:rPr>
                <w:rFonts w:hint="default" w:ascii="Times New Roman" w:hAnsi="Times New Roman" w:eastAsia="宋体" w:cs="Times New Roman"/>
                <w:sz w:val="21"/>
                <w:szCs w:val="21"/>
                <w:lang w:val="en-US" w:eastAsia="zh-CN" w:bidi="ar"/>
              </w:rPr>
            </w:pPr>
            <w:r>
              <w:rPr>
                <w:rFonts w:hint="default" w:ascii="Times New Roman" w:hAnsi="Times New Roman" w:eastAsia="宋体" w:cs="Times New Roman"/>
                <w:sz w:val="21"/>
                <w:szCs w:val="21"/>
                <w:lang w:val="en-US" w:eastAsia="zh-CN" w:bidi="ar"/>
              </w:rPr>
              <w:t>14</w:t>
            </w:r>
          </w:p>
        </w:tc>
        <w:tc>
          <w:tcPr>
            <w:tcW w:w="575" w:type="pct"/>
            <w:vMerge w:val="continue"/>
            <w:tcBorders>
              <w:tl2br w:val="nil"/>
              <w:tr2bl w:val="nil"/>
            </w:tcBorders>
            <w:noWrap w:val="0"/>
            <w:vAlign w:val="center"/>
          </w:tcPr>
          <w:p w14:paraId="466FF598">
            <w:pPr>
              <w:widowControl w:val="0"/>
              <w:adjustRightInd w:val="0"/>
              <w:snapToGrid w:val="0"/>
              <w:jc w:val="center"/>
              <w:textAlignment w:val="center"/>
              <w:rPr>
                <w:rFonts w:hint="default" w:ascii="Times New Roman" w:hAnsi="Times New Roman" w:eastAsia="宋体" w:cs="Times New Roman"/>
                <w:sz w:val="21"/>
                <w:szCs w:val="21"/>
                <w:lang w:val="en-US" w:eastAsia="zh-CN" w:bidi="ar"/>
              </w:rPr>
            </w:pPr>
          </w:p>
        </w:tc>
        <w:tc>
          <w:tcPr>
            <w:tcW w:w="1034" w:type="pct"/>
            <w:tcBorders>
              <w:tl2br w:val="nil"/>
              <w:tr2bl w:val="nil"/>
            </w:tcBorders>
            <w:noWrap w:val="0"/>
            <w:vAlign w:val="center"/>
          </w:tcPr>
          <w:p w14:paraId="78331389">
            <w:pPr>
              <w:widowControl w:val="0"/>
              <w:adjustRightInd w:val="0"/>
              <w:snapToGrid w:val="0"/>
              <w:jc w:val="center"/>
              <w:textAlignment w:val="center"/>
              <w:rPr>
                <w:rFonts w:hint="default" w:ascii="Times New Roman" w:hAnsi="Times New Roman" w:eastAsia="宋体" w:cs="Times New Roman"/>
                <w:sz w:val="21"/>
                <w:szCs w:val="21"/>
                <w:lang w:val="en-US" w:eastAsia="zh-CN" w:bidi="ar"/>
              </w:rPr>
            </w:pPr>
            <w:r>
              <w:rPr>
                <w:rFonts w:hint="default" w:ascii="Times New Roman" w:hAnsi="Times New Roman" w:eastAsia="宋体" w:cs="Times New Roman"/>
                <w:sz w:val="21"/>
                <w:szCs w:val="21"/>
                <w:lang w:val="en-US" w:eastAsia="zh-CN" w:bidi="ar"/>
              </w:rPr>
              <w:t>砷</w:t>
            </w:r>
          </w:p>
        </w:tc>
        <w:tc>
          <w:tcPr>
            <w:tcW w:w="885" w:type="pct"/>
            <w:tcBorders>
              <w:tl2br w:val="nil"/>
              <w:tr2bl w:val="nil"/>
            </w:tcBorders>
            <w:noWrap w:val="0"/>
            <w:vAlign w:val="center"/>
          </w:tcPr>
          <w:p w14:paraId="686967F4">
            <w:pPr>
              <w:widowControl w:val="0"/>
              <w:adjustRightInd w:val="0"/>
              <w:snapToGrid w:val="0"/>
              <w:jc w:val="center"/>
              <w:textAlignment w:val="center"/>
              <w:rPr>
                <w:rFonts w:hint="default" w:ascii="Times New Roman" w:hAnsi="Times New Roman" w:eastAsia="宋体" w:cs="Times New Roman"/>
                <w:sz w:val="21"/>
                <w:szCs w:val="21"/>
                <w:lang w:val="en-US" w:eastAsia="zh-CN" w:bidi="ar"/>
              </w:rPr>
            </w:pPr>
            <w:r>
              <w:rPr>
                <w:rFonts w:hint="default" w:ascii="Times New Roman" w:hAnsi="Times New Roman" w:eastAsia="宋体" w:cs="Times New Roman"/>
                <w:sz w:val="21"/>
                <w:szCs w:val="21"/>
                <w:lang w:bidi="ar"/>
              </w:rPr>
              <w:t>0.3L</w:t>
            </w:r>
          </w:p>
        </w:tc>
        <w:tc>
          <w:tcPr>
            <w:tcW w:w="834" w:type="pct"/>
            <w:tcBorders>
              <w:tl2br w:val="nil"/>
              <w:tr2bl w:val="nil"/>
            </w:tcBorders>
            <w:noWrap w:val="0"/>
            <w:vAlign w:val="center"/>
          </w:tcPr>
          <w:p w14:paraId="64C402D2">
            <w:pPr>
              <w:widowControl w:val="0"/>
              <w:adjustRightInd w:val="0"/>
              <w:snapToGrid w:val="0"/>
              <w:jc w:val="center"/>
              <w:textAlignment w:val="center"/>
              <w:rPr>
                <w:rFonts w:hint="default" w:ascii="Times New Roman" w:hAnsi="Times New Roman" w:eastAsia="宋体" w:cs="Times New Roman"/>
                <w:sz w:val="21"/>
                <w:szCs w:val="21"/>
                <w:lang w:val="en-US" w:eastAsia="zh-CN" w:bidi="ar"/>
              </w:rPr>
            </w:pPr>
            <w:r>
              <w:rPr>
                <w:rFonts w:hint="default" w:ascii="Times New Roman" w:hAnsi="Times New Roman" w:eastAsia="宋体" w:cs="Times New Roman"/>
                <w:sz w:val="21"/>
                <w:szCs w:val="21"/>
                <w:lang w:bidi="ar"/>
              </w:rPr>
              <w:t>0.3L</w:t>
            </w:r>
          </w:p>
        </w:tc>
        <w:tc>
          <w:tcPr>
            <w:tcW w:w="813" w:type="pct"/>
            <w:tcBorders>
              <w:tl2br w:val="nil"/>
              <w:tr2bl w:val="nil"/>
            </w:tcBorders>
            <w:noWrap w:val="0"/>
            <w:vAlign w:val="center"/>
          </w:tcPr>
          <w:p w14:paraId="52CC87A5">
            <w:pPr>
              <w:widowControl w:val="0"/>
              <w:adjustRightInd w:val="0"/>
              <w:snapToGrid w:val="0"/>
              <w:jc w:val="center"/>
              <w:textAlignment w:val="center"/>
              <w:rPr>
                <w:rFonts w:hint="default" w:ascii="Times New Roman" w:hAnsi="Times New Roman" w:eastAsia="宋体" w:cs="Times New Roman"/>
                <w:sz w:val="21"/>
                <w:szCs w:val="21"/>
                <w:lang w:val="en-US" w:eastAsia="zh-CN" w:bidi="ar"/>
              </w:rPr>
            </w:pPr>
            <w:r>
              <w:rPr>
                <w:rFonts w:hint="default" w:ascii="Times New Roman" w:hAnsi="Times New Roman" w:eastAsia="宋体" w:cs="Times New Roman"/>
                <w:sz w:val="21"/>
                <w:szCs w:val="21"/>
                <w:lang w:bidi="ar"/>
              </w:rPr>
              <w:t>0.3L</w:t>
            </w:r>
          </w:p>
        </w:tc>
        <w:tc>
          <w:tcPr>
            <w:tcW w:w="508" w:type="pct"/>
            <w:tcBorders>
              <w:tl2br w:val="nil"/>
              <w:tr2bl w:val="nil"/>
            </w:tcBorders>
            <w:noWrap w:val="0"/>
            <w:vAlign w:val="center"/>
          </w:tcPr>
          <w:p w14:paraId="76DA690A">
            <w:pPr>
              <w:widowControl w:val="0"/>
              <w:adjustRightInd w:val="0"/>
              <w:snapToGrid w:val="0"/>
              <w:jc w:val="center"/>
              <w:textAlignment w:val="center"/>
              <w:rPr>
                <w:rFonts w:hint="default" w:ascii="Times New Roman" w:hAnsi="Times New Roman" w:eastAsia="宋体" w:cs="Times New Roman"/>
                <w:sz w:val="21"/>
                <w:szCs w:val="21"/>
                <w:lang w:val="en-US" w:eastAsia="zh-CN" w:bidi="ar"/>
              </w:rPr>
            </w:pPr>
            <w:r>
              <w:rPr>
                <w:rFonts w:hint="default" w:ascii="Times New Roman" w:hAnsi="Times New Roman" w:eastAsia="宋体" w:cs="Times New Roman"/>
                <w:sz w:val="21"/>
                <w:szCs w:val="21"/>
                <w:lang w:val="en-US" w:eastAsia="zh-CN" w:bidi="ar"/>
              </w:rPr>
              <w:t>μg/L</w:t>
            </w:r>
          </w:p>
        </w:tc>
      </w:tr>
      <w:tr w14:paraId="144AEF09">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347" w:type="pct"/>
            <w:tcBorders>
              <w:tl2br w:val="nil"/>
              <w:tr2bl w:val="nil"/>
            </w:tcBorders>
            <w:noWrap w:val="0"/>
            <w:vAlign w:val="center"/>
          </w:tcPr>
          <w:p w14:paraId="4EF9D5CC">
            <w:pPr>
              <w:widowControl w:val="0"/>
              <w:adjustRightInd w:val="0"/>
              <w:snapToGrid w:val="0"/>
              <w:jc w:val="center"/>
              <w:textAlignment w:val="center"/>
              <w:rPr>
                <w:rFonts w:hint="default" w:ascii="Times New Roman" w:hAnsi="Times New Roman" w:eastAsia="宋体" w:cs="Times New Roman"/>
                <w:sz w:val="21"/>
                <w:szCs w:val="21"/>
                <w:lang w:val="en-US" w:eastAsia="zh-CN" w:bidi="ar"/>
              </w:rPr>
            </w:pPr>
            <w:r>
              <w:rPr>
                <w:rFonts w:hint="default" w:ascii="Times New Roman" w:hAnsi="Times New Roman" w:eastAsia="宋体" w:cs="Times New Roman"/>
                <w:sz w:val="21"/>
                <w:szCs w:val="21"/>
                <w:lang w:val="en-US" w:eastAsia="zh-CN" w:bidi="ar"/>
              </w:rPr>
              <w:t>15</w:t>
            </w:r>
          </w:p>
        </w:tc>
        <w:tc>
          <w:tcPr>
            <w:tcW w:w="575" w:type="pct"/>
            <w:vMerge w:val="continue"/>
            <w:tcBorders>
              <w:tl2br w:val="nil"/>
              <w:tr2bl w:val="nil"/>
            </w:tcBorders>
            <w:noWrap w:val="0"/>
            <w:vAlign w:val="center"/>
          </w:tcPr>
          <w:p w14:paraId="02D5E69B">
            <w:pPr>
              <w:widowControl w:val="0"/>
              <w:adjustRightInd w:val="0"/>
              <w:snapToGrid w:val="0"/>
              <w:jc w:val="center"/>
              <w:textAlignment w:val="center"/>
              <w:rPr>
                <w:rFonts w:hint="default" w:ascii="Times New Roman" w:hAnsi="Times New Roman" w:eastAsia="宋体" w:cs="Times New Roman"/>
                <w:sz w:val="21"/>
                <w:szCs w:val="21"/>
                <w:lang w:val="en-US" w:eastAsia="zh-CN" w:bidi="ar"/>
              </w:rPr>
            </w:pPr>
          </w:p>
        </w:tc>
        <w:tc>
          <w:tcPr>
            <w:tcW w:w="1034" w:type="pct"/>
            <w:tcBorders>
              <w:tl2br w:val="nil"/>
              <w:tr2bl w:val="nil"/>
            </w:tcBorders>
            <w:noWrap w:val="0"/>
            <w:vAlign w:val="center"/>
          </w:tcPr>
          <w:p w14:paraId="062BF815">
            <w:pPr>
              <w:widowControl w:val="0"/>
              <w:adjustRightInd w:val="0"/>
              <w:snapToGrid w:val="0"/>
              <w:jc w:val="center"/>
              <w:textAlignment w:val="center"/>
              <w:rPr>
                <w:rFonts w:hint="default" w:ascii="Times New Roman" w:hAnsi="Times New Roman" w:eastAsia="宋体" w:cs="Times New Roman"/>
                <w:sz w:val="21"/>
                <w:szCs w:val="21"/>
                <w:lang w:val="en-US" w:eastAsia="zh-CN" w:bidi="ar"/>
              </w:rPr>
            </w:pPr>
            <w:r>
              <w:rPr>
                <w:rFonts w:hint="default" w:ascii="Times New Roman" w:hAnsi="Times New Roman" w:eastAsia="宋体" w:cs="Times New Roman"/>
                <w:sz w:val="21"/>
                <w:szCs w:val="21"/>
                <w:lang w:val="en-US" w:eastAsia="zh-CN" w:bidi="ar"/>
              </w:rPr>
              <w:t>汞</w:t>
            </w:r>
          </w:p>
        </w:tc>
        <w:tc>
          <w:tcPr>
            <w:tcW w:w="885" w:type="pct"/>
            <w:tcBorders>
              <w:tl2br w:val="nil"/>
              <w:tr2bl w:val="nil"/>
            </w:tcBorders>
            <w:noWrap w:val="0"/>
            <w:vAlign w:val="center"/>
          </w:tcPr>
          <w:p w14:paraId="3F9DABAC">
            <w:pPr>
              <w:widowControl w:val="0"/>
              <w:adjustRightInd w:val="0"/>
              <w:snapToGrid w:val="0"/>
              <w:jc w:val="center"/>
              <w:textAlignment w:val="center"/>
              <w:rPr>
                <w:rFonts w:hint="default" w:ascii="Times New Roman" w:hAnsi="Times New Roman" w:eastAsia="宋体" w:cs="Times New Roman"/>
                <w:sz w:val="21"/>
                <w:szCs w:val="21"/>
                <w:lang w:val="en-US" w:eastAsia="zh-CN" w:bidi="ar"/>
              </w:rPr>
            </w:pPr>
            <w:r>
              <w:rPr>
                <w:rFonts w:hint="default" w:ascii="Times New Roman" w:hAnsi="Times New Roman" w:eastAsia="宋体" w:cs="Times New Roman"/>
                <w:sz w:val="21"/>
                <w:szCs w:val="21"/>
                <w:lang w:bidi="ar"/>
              </w:rPr>
              <w:t>0.04L</w:t>
            </w:r>
          </w:p>
        </w:tc>
        <w:tc>
          <w:tcPr>
            <w:tcW w:w="834" w:type="pct"/>
            <w:tcBorders>
              <w:tl2br w:val="nil"/>
              <w:tr2bl w:val="nil"/>
            </w:tcBorders>
            <w:noWrap w:val="0"/>
            <w:vAlign w:val="center"/>
          </w:tcPr>
          <w:p w14:paraId="1EB53FD3">
            <w:pPr>
              <w:widowControl w:val="0"/>
              <w:adjustRightInd w:val="0"/>
              <w:snapToGrid w:val="0"/>
              <w:jc w:val="center"/>
              <w:textAlignment w:val="center"/>
              <w:rPr>
                <w:rFonts w:hint="default" w:ascii="Times New Roman" w:hAnsi="Times New Roman" w:eastAsia="宋体" w:cs="Times New Roman"/>
                <w:sz w:val="21"/>
                <w:szCs w:val="21"/>
                <w:lang w:val="en-US" w:eastAsia="zh-CN" w:bidi="ar"/>
              </w:rPr>
            </w:pPr>
            <w:r>
              <w:rPr>
                <w:rFonts w:hint="default" w:ascii="Times New Roman" w:hAnsi="Times New Roman" w:eastAsia="宋体" w:cs="Times New Roman"/>
                <w:sz w:val="21"/>
                <w:szCs w:val="21"/>
                <w:lang w:bidi="ar"/>
              </w:rPr>
              <w:t>0.04L</w:t>
            </w:r>
          </w:p>
        </w:tc>
        <w:tc>
          <w:tcPr>
            <w:tcW w:w="813" w:type="pct"/>
            <w:tcBorders>
              <w:tl2br w:val="nil"/>
              <w:tr2bl w:val="nil"/>
            </w:tcBorders>
            <w:noWrap w:val="0"/>
            <w:vAlign w:val="center"/>
          </w:tcPr>
          <w:p w14:paraId="2224B251">
            <w:pPr>
              <w:widowControl w:val="0"/>
              <w:adjustRightInd w:val="0"/>
              <w:snapToGrid w:val="0"/>
              <w:jc w:val="center"/>
              <w:textAlignment w:val="center"/>
              <w:rPr>
                <w:rFonts w:hint="default" w:ascii="Times New Roman" w:hAnsi="Times New Roman" w:eastAsia="宋体" w:cs="Times New Roman"/>
                <w:sz w:val="21"/>
                <w:szCs w:val="21"/>
                <w:lang w:val="en-US" w:eastAsia="zh-CN" w:bidi="ar"/>
              </w:rPr>
            </w:pPr>
            <w:r>
              <w:rPr>
                <w:rFonts w:hint="default" w:ascii="Times New Roman" w:hAnsi="Times New Roman" w:eastAsia="宋体" w:cs="Times New Roman"/>
                <w:sz w:val="21"/>
                <w:szCs w:val="21"/>
                <w:lang w:bidi="ar"/>
              </w:rPr>
              <w:t>0.04L</w:t>
            </w:r>
          </w:p>
        </w:tc>
        <w:tc>
          <w:tcPr>
            <w:tcW w:w="508" w:type="pct"/>
            <w:tcBorders>
              <w:tl2br w:val="nil"/>
              <w:tr2bl w:val="nil"/>
            </w:tcBorders>
            <w:noWrap w:val="0"/>
            <w:vAlign w:val="center"/>
          </w:tcPr>
          <w:p w14:paraId="7C664E96">
            <w:pPr>
              <w:widowControl w:val="0"/>
              <w:adjustRightInd w:val="0"/>
              <w:snapToGrid w:val="0"/>
              <w:jc w:val="center"/>
              <w:textAlignment w:val="center"/>
              <w:rPr>
                <w:rFonts w:hint="default" w:ascii="Times New Roman" w:hAnsi="Times New Roman" w:eastAsia="宋体" w:cs="Times New Roman"/>
                <w:sz w:val="21"/>
                <w:szCs w:val="21"/>
                <w:lang w:val="en-US" w:eastAsia="zh-CN" w:bidi="ar"/>
              </w:rPr>
            </w:pPr>
            <w:r>
              <w:rPr>
                <w:rFonts w:hint="default" w:ascii="Times New Roman" w:hAnsi="Times New Roman" w:eastAsia="宋体" w:cs="Times New Roman"/>
                <w:sz w:val="21"/>
                <w:szCs w:val="21"/>
                <w:lang w:val="en-US" w:eastAsia="zh-CN" w:bidi="ar"/>
              </w:rPr>
              <w:t>μg/L</w:t>
            </w:r>
          </w:p>
        </w:tc>
      </w:tr>
      <w:tr w14:paraId="0273F671">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347" w:type="pct"/>
            <w:tcBorders>
              <w:tl2br w:val="nil"/>
              <w:tr2bl w:val="nil"/>
            </w:tcBorders>
            <w:noWrap w:val="0"/>
            <w:vAlign w:val="center"/>
          </w:tcPr>
          <w:p w14:paraId="7505928D">
            <w:pPr>
              <w:widowControl w:val="0"/>
              <w:adjustRightInd w:val="0"/>
              <w:snapToGrid w:val="0"/>
              <w:jc w:val="center"/>
              <w:textAlignment w:val="center"/>
              <w:rPr>
                <w:rFonts w:hint="default" w:ascii="Times New Roman" w:hAnsi="Times New Roman" w:eastAsia="宋体" w:cs="Times New Roman"/>
                <w:sz w:val="21"/>
                <w:szCs w:val="21"/>
                <w:lang w:val="en-US" w:eastAsia="zh-CN" w:bidi="ar"/>
              </w:rPr>
            </w:pPr>
            <w:r>
              <w:rPr>
                <w:rFonts w:hint="default" w:ascii="Times New Roman" w:hAnsi="Times New Roman" w:eastAsia="宋体" w:cs="Times New Roman"/>
                <w:sz w:val="21"/>
                <w:szCs w:val="21"/>
                <w:lang w:val="en-US" w:eastAsia="zh-CN" w:bidi="ar"/>
              </w:rPr>
              <w:t>16</w:t>
            </w:r>
          </w:p>
        </w:tc>
        <w:tc>
          <w:tcPr>
            <w:tcW w:w="575" w:type="pct"/>
            <w:vMerge w:val="continue"/>
            <w:tcBorders>
              <w:tl2br w:val="nil"/>
              <w:tr2bl w:val="nil"/>
            </w:tcBorders>
            <w:noWrap w:val="0"/>
            <w:vAlign w:val="center"/>
          </w:tcPr>
          <w:p w14:paraId="306DE066">
            <w:pPr>
              <w:widowControl w:val="0"/>
              <w:adjustRightInd w:val="0"/>
              <w:snapToGrid w:val="0"/>
              <w:jc w:val="center"/>
              <w:textAlignment w:val="center"/>
              <w:rPr>
                <w:rFonts w:hint="default" w:ascii="Times New Roman" w:hAnsi="Times New Roman" w:eastAsia="宋体" w:cs="Times New Roman"/>
                <w:sz w:val="21"/>
                <w:szCs w:val="21"/>
                <w:lang w:val="en-US" w:eastAsia="zh-CN" w:bidi="ar"/>
              </w:rPr>
            </w:pPr>
          </w:p>
        </w:tc>
        <w:tc>
          <w:tcPr>
            <w:tcW w:w="1034" w:type="pct"/>
            <w:tcBorders>
              <w:tl2br w:val="nil"/>
              <w:tr2bl w:val="nil"/>
            </w:tcBorders>
            <w:noWrap w:val="0"/>
            <w:vAlign w:val="center"/>
          </w:tcPr>
          <w:p w14:paraId="4D94EDF7">
            <w:pPr>
              <w:widowControl w:val="0"/>
              <w:adjustRightInd w:val="0"/>
              <w:snapToGrid w:val="0"/>
              <w:jc w:val="center"/>
              <w:textAlignment w:val="center"/>
              <w:rPr>
                <w:rFonts w:hint="default" w:ascii="Times New Roman" w:hAnsi="Times New Roman" w:eastAsia="宋体" w:cs="Times New Roman"/>
                <w:sz w:val="21"/>
                <w:szCs w:val="21"/>
                <w:lang w:val="en-US" w:eastAsia="zh-CN" w:bidi="ar"/>
              </w:rPr>
            </w:pPr>
            <w:r>
              <w:rPr>
                <w:rFonts w:hint="default" w:ascii="Times New Roman" w:hAnsi="Times New Roman" w:eastAsia="宋体" w:cs="Times New Roman"/>
                <w:sz w:val="21"/>
                <w:szCs w:val="21"/>
                <w:lang w:val="en-US" w:eastAsia="zh-CN" w:bidi="ar"/>
              </w:rPr>
              <w:t>铜</w:t>
            </w:r>
          </w:p>
        </w:tc>
        <w:tc>
          <w:tcPr>
            <w:tcW w:w="885" w:type="pct"/>
            <w:tcBorders>
              <w:tl2br w:val="nil"/>
              <w:tr2bl w:val="nil"/>
            </w:tcBorders>
            <w:noWrap w:val="0"/>
            <w:vAlign w:val="center"/>
          </w:tcPr>
          <w:p w14:paraId="40DE8FB5">
            <w:pPr>
              <w:widowControl w:val="0"/>
              <w:adjustRightInd w:val="0"/>
              <w:snapToGrid w:val="0"/>
              <w:jc w:val="center"/>
              <w:textAlignment w:val="center"/>
              <w:rPr>
                <w:rFonts w:hint="default" w:ascii="Times New Roman" w:hAnsi="Times New Roman" w:eastAsia="宋体" w:cs="Times New Roman"/>
                <w:sz w:val="21"/>
                <w:szCs w:val="21"/>
                <w:lang w:val="en-US" w:eastAsia="zh-CN" w:bidi="ar"/>
              </w:rPr>
            </w:pPr>
            <w:r>
              <w:rPr>
                <w:rFonts w:hint="default" w:ascii="Times New Roman" w:hAnsi="Times New Roman" w:eastAsia="宋体" w:cs="Times New Roman"/>
                <w:sz w:val="21"/>
                <w:szCs w:val="21"/>
                <w:lang w:bidi="ar"/>
              </w:rPr>
              <w:t>0.05L</w:t>
            </w:r>
          </w:p>
        </w:tc>
        <w:tc>
          <w:tcPr>
            <w:tcW w:w="834" w:type="pct"/>
            <w:tcBorders>
              <w:tl2br w:val="nil"/>
              <w:tr2bl w:val="nil"/>
            </w:tcBorders>
            <w:noWrap w:val="0"/>
            <w:vAlign w:val="center"/>
          </w:tcPr>
          <w:p w14:paraId="542904CC">
            <w:pPr>
              <w:widowControl w:val="0"/>
              <w:adjustRightInd w:val="0"/>
              <w:snapToGrid w:val="0"/>
              <w:jc w:val="center"/>
              <w:textAlignment w:val="center"/>
              <w:rPr>
                <w:rFonts w:hint="default" w:ascii="Times New Roman" w:hAnsi="Times New Roman" w:eastAsia="宋体" w:cs="Times New Roman"/>
                <w:sz w:val="21"/>
                <w:szCs w:val="21"/>
                <w:lang w:val="en-US" w:eastAsia="zh-CN" w:bidi="ar"/>
              </w:rPr>
            </w:pPr>
            <w:r>
              <w:rPr>
                <w:rFonts w:hint="default" w:ascii="Times New Roman" w:hAnsi="Times New Roman" w:eastAsia="宋体" w:cs="Times New Roman"/>
                <w:sz w:val="21"/>
                <w:szCs w:val="21"/>
                <w:lang w:bidi="ar"/>
              </w:rPr>
              <w:t>0.05L</w:t>
            </w:r>
          </w:p>
        </w:tc>
        <w:tc>
          <w:tcPr>
            <w:tcW w:w="813" w:type="pct"/>
            <w:tcBorders>
              <w:tl2br w:val="nil"/>
              <w:tr2bl w:val="nil"/>
            </w:tcBorders>
            <w:noWrap w:val="0"/>
            <w:vAlign w:val="center"/>
          </w:tcPr>
          <w:p w14:paraId="27E21B89">
            <w:pPr>
              <w:widowControl w:val="0"/>
              <w:adjustRightInd w:val="0"/>
              <w:snapToGrid w:val="0"/>
              <w:jc w:val="center"/>
              <w:textAlignment w:val="center"/>
              <w:rPr>
                <w:rFonts w:hint="default" w:ascii="Times New Roman" w:hAnsi="Times New Roman" w:eastAsia="宋体" w:cs="Times New Roman"/>
                <w:sz w:val="21"/>
                <w:szCs w:val="21"/>
                <w:lang w:val="en-US" w:eastAsia="zh-CN" w:bidi="ar"/>
              </w:rPr>
            </w:pPr>
            <w:r>
              <w:rPr>
                <w:rFonts w:hint="default" w:ascii="Times New Roman" w:hAnsi="Times New Roman" w:eastAsia="宋体" w:cs="Times New Roman"/>
                <w:sz w:val="21"/>
                <w:szCs w:val="21"/>
                <w:lang w:bidi="ar"/>
              </w:rPr>
              <w:t>0.05L</w:t>
            </w:r>
          </w:p>
        </w:tc>
        <w:tc>
          <w:tcPr>
            <w:tcW w:w="508" w:type="pct"/>
            <w:tcBorders>
              <w:tl2br w:val="nil"/>
              <w:tr2bl w:val="nil"/>
            </w:tcBorders>
            <w:noWrap w:val="0"/>
            <w:vAlign w:val="center"/>
          </w:tcPr>
          <w:p w14:paraId="75CA9994">
            <w:pPr>
              <w:widowControl w:val="0"/>
              <w:adjustRightInd w:val="0"/>
              <w:snapToGrid w:val="0"/>
              <w:jc w:val="center"/>
              <w:textAlignment w:val="center"/>
              <w:rPr>
                <w:rFonts w:hint="default" w:ascii="Times New Roman" w:hAnsi="Times New Roman" w:eastAsia="宋体" w:cs="Times New Roman"/>
                <w:sz w:val="21"/>
                <w:szCs w:val="21"/>
                <w:lang w:val="en-US" w:eastAsia="zh-CN" w:bidi="ar"/>
              </w:rPr>
            </w:pPr>
            <w:r>
              <w:rPr>
                <w:rFonts w:hint="default" w:ascii="Times New Roman" w:hAnsi="Times New Roman" w:eastAsia="宋体" w:cs="Times New Roman"/>
                <w:sz w:val="21"/>
                <w:szCs w:val="21"/>
                <w:lang w:val="en-US" w:eastAsia="zh-CN" w:bidi="ar"/>
              </w:rPr>
              <w:t>mg/L</w:t>
            </w:r>
          </w:p>
        </w:tc>
      </w:tr>
      <w:tr w14:paraId="326DA38A">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347" w:type="pct"/>
            <w:tcBorders>
              <w:tl2br w:val="nil"/>
              <w:tr2bl w:val="nil"/>
            </w:tcBorders>
            <w:noWrap w:val="0"/>
            <w:vAlign w:val="center"/>
          </w:tcPr>
          <w:p w14:paraId="13C8AAB9">
            <w:pPr>
              <w:widowControl w:val="0"/>
              <w:adjustRightInd w:val="0"/>
              <w:snapToGrid w:val="0"/>
              <w:jc w:val="center"/>
              <w:textAlignment w:val="center"/>
              <w:rPr>
                <w:rFonts w:hint="default" w:ascii="Times New Roman" w:hAnsi="Times New Roman" w:eastAsia="宋体" w:cs="Times New Roman"/>
                <w:sz w:val="21"/>
                <w:szCs w:val="21"/>
                <w:lang w:val="en-US" w:eastAsia="zh-CN" w:bidi="ar"/>
              </w:rPr>
            </w:pPr>
            <w:r>
              <w:rPr>
                <w:rFonts w:hint="default" w:ascii="Times New Roman" w:hAnsi="Times New Roman" w:eastAsia="宋体" w:cs="Times New Roman"/>
                <w:sz w:val="21"/>
                <w:szCs w:val="21"/>
                <w:lang w:val="en-US" w:eastAsia="zh-CN" w:bidi="ar"/>
              </w:rPr>
              <w:t>17</w:t>
            </w:r>
          </w:p>
        </w:tc>
        <w:tc>
          <w:tcPr>
            <w:tcW w:w="575" w:type="pct"/>
            <w:vMerge w:val="continue"/>
            <w:tcBorders>
              <w:tl2br w:val="nil"/>
              <w:tr2bl w:val="nil"/>
            </w:tcBorders>
            <w:noWrap w:val="0"/>
            <w:vAlign w:val="center"/>
          </w:tcPr>
          <w:p w14:paraId="72348776">
            <w:pPr>
              <w:widowControl w:val="0"/>
              <w:adjustRightInd w:val="0"/>
              <w:snapToGrid w:val="0"/>
              <w:jc w:val="center"/>
              <w:textAlignment w:val="center"/>
              <w:rPr>
                <w:rFonts w:hint="default" w:ascii="Times New Roman" w:hAnsi="Times New Roman" w:eastAsia="宋体" w:cs="Times New Roman"/>
                <w:sz w:val="21"/>
                <w:szCs w:val="21"/>
                <w:lang w:val="en-US" w:eastAsia="zh-CN" w:bidi="ar"/>
              </w:rPr>
            </w:pPr>
          </w:p>
        </w:tc>
        <w:tc>
          <w:tcPr>
            <w:tcW w:w="1034" w:type="pct"/>
            <w:tcBorders>
              <w:tl2br w:val="nil"/>
              <w:tr2bl w:val="nil"/>
            </w:tcBorders>
            <w:noWrap w:val="0"/>
            <w:vAlign w:val="center"/>
          </w:tcPr>
          <w:p w14:paraId="70CFED75">
            <w:pPr>
              <w:widowControl w:val="0"/>
              <w:adjustRightInd w:val="0"/>
              <w:snapToGrid w:val="0"/>
              <w:jc w:val="center"/>
              <w:textAlignment w:val="center"/>
              <w:rPr>
                <w:rFonts w:hint="default" w:ascii="Times New Roman" w:hAnsi="Times New Roman" w:eastAsia="宋体" w:cs="Times New Roman"/>
                <w:sz w:val="21"/>
                <w:szCs w:val="21"/>
                <w:lang w:val="en-US" w:eastAsia="zh-CN" w:bidi="ar"/>
              </w:rPr>
            </w:pPr>
            <w:r>
              <w:rPr>
                <w:rFonts w:hint="default" w:ascii="Times New Roman" w:hAnsi="Times New Roman" w:eastAsia="宋体" w:cs="Times New Roman"/>
                <w:sz w:val="21"/>
                <w:szCs w:val="21"/>
                <w:lang w:val="en-US" w:eastAsia="zh-CN" w:bidi="ar"/>
              </w:rPr>
              <w:t>锌</w:t>
            </w:r>
          </w:p>
        </w:tc>
        <w:tc>
          <w:tcPr>
            <w:tcW w:w="885" w:type="pct"/>
            <w:tcBorders>
              <w:tl2br w:val="nil"/>
              <w:tr2bl w:val="nil"/>
            </w:tcBorders>
            <w:noWrap w:val="0"/>
            <w:vAlign w:val="center"/>
          </w:tcPr>
          <w:p w14:paraId="32E0445F">
            <w:pPr>
              <w:widowControl w:val="0"/>
              <w:adjustRightInd w:val="0"/>
              <w:snapToGrid w:val="0"/>
              <w:jc w:val="center"/>
              <w:textAlignment w:val="center"/>
              <w:rPr>
                <w:rFonts w:hint="default" w:ascii="Times New Roman" w:hAnsi="Times New Roman" w:eastAsia="宋体" w:cs="Times New Roman"/>
                <w:sz w:val="21"/>
                <w:szCs w:val="21"/>
                <w:lang w:val="en-US" w:eastAsia="zh-CN" w:bidi="ar"/>
              </w:rPr>
            </w:pPr>
            <w:r>
              <w:rPr>
                <w:rFonts w:hint="default" w:ascii="Times New Roman" w:hAnsi="Times New Roman" w:eastAsia="宋体" w:cs="Times New Roman"/>
                <w:sz w:val="21"/>
                <w:szCs w:val="21"/>
                <w:lang w:bidi="ar"/>
              </w:rPr>
              <w:t>0.05L</w:t>
            </w:r>
          </w:p>
        </w:tc>
        <w:tc>
          <w:tcPr>
            <w:tcW w:w="834" w:type="pct"/>
            <w:tcBorders>
              <w:tl2br w:val="nil"/>
              <w:tr2bl w:val="nil"/>
            </w:tcBorders>
            <w:noWrap w:val="0"/>
            <w:vAlign w:val="center"/>
          </w:tcPr>
          <w:p w14:paraId="2AB0565E">
            <w:pPr>
              <w:widowControl w:val="0"/>
              <w:adjustRightInd w:val="0"/>
              <w:snapToGrid w:val="0"/>
              <w:jc w:val="center"/>
              <w:textAlignment w:val="center"/>
              <w:rPr>
                <w:rFonts w:hint="default" w:ascii="Times New Roman" w:hAnsi="Times New Roman" w:eastAsia="宋体" w:cs="Times New Roman"/>
                <w:sz w:val="21"/>
                <w:szCs w:val="21"/>
                <w:lang w:val="en-US" w:eastAsia="zh-CN" w:bidi="ar"/>
              </w:rPr>
            </w:pPr>
            <w:r>
              <w:rPr>
                <w:rFonts w:hint="default" w:ascii="Times New Roman" w:hAnsi="Times New Roman" w:eastAsia="宋体" w:cs="Times New Roman"/>
                <w:sz w:val="21"/>
                <w:szCs w:val="21"/>
                <w:lang w:bidi="ar"/>
              </w:rPr>
              <w:t>0.05L</w:t>
            </w:r>
          </w:p>
        </w:tc>
        <w:tc>
          <w:tcPr>
            <w:tcW w:w="813" w:type="pct"/>
            <w:tcBorders>
              <w:tl2br w:val="nil"/>
              <w:tr2bl w:val="nil"/>
            </w:tcBorders>
            <w:noWrap w:val="0"/>
            <w:vAlign w:val="center"/>
          </w:tcPr>
          <w:p w14:paraId="30CFC83D">
            <w:pPr>
              <w:widowControl w:val="0"/>
              <w:adjustRightInd w:val="0"/>
              <w:snapToGrid w:val="0"/>
              <w:jc w:val="center"/>
              <w:textAlignment w:val="center"/>
              <w:rPr>
                <w:rFonts w:hint="default" w:ascii="Times New Roman" w:hAnsi="Times New Roman" w:eastAsia="宋体" w:cs="Times New Roman"/>
                <w:sz w:val="21"/>
                <w:szCs w:val="21"/>
                <w:lang w:val="en-US" w:eastAsia="zh-CN" w:bidi="ar"/>
              </w:rPr>
            </w:pPr>
            <w:r>
              <w:rPr>
                <w:rFonts w:hint="default" w:ascii="Times New Roman" w:hAnsi="Times New Roman" w:eastAsia="宋体" w:cs="Times New Roman"/>
                <w:sz w:val="21"/>
                <w:szCs w:val="21"/>
                <w:lang w:bidi="ar"/>
              </w:rPr>
              <w:t>0.05L</w:t>
            </w:r>
          </w:p>
        </w:tc>
        <w:tc>
          <w:tcPr>
            <w:tcW w:w="508" w:type="pct"/>
            <w:tcBorders>
              <w:tl2br w:val="nil"/>
              <w:tr2bl w:val="nil"/>
            </w:tcBorders>
            <w:noWrap w:val="0"/>
            <w:vAlign w:val="center"/>
          </w:tcPr>
          <w:p w14:paraId="5B791D8E">
            <w:pPr>
              <w:widowControl w:val="0"/>
              <w:adjustRightInd w:val="0"/>
              <w:snapToGrid w:val="0"/>
              <w:jc w:val="center"/>
              <w:textAlignment w:val="center"/>
              <w:rPr>
                <w:rFonts w:hint="default" w:ascii="Times New Roman" w:hAnsi="Times New Roman" w:eastAsia="宋体" w:cs="Times New Roman"/>
                <w:sz w:val="21"/>
                <w:szCs w:val="21"/>
                <w:lang w:val="en-US" w:eastAsia="zh-CN" w:bidi="ar"/>
              </w:rPr>
            </w:pPr>
            <w:r>
              <w:rPr>
                <w:rFonts w:hint="default" w:ascii="Times New Roman" w:hAnsi="Times New Roman" w:eastAsia="宋体" w:cs="Times New Roman"/>
                <w:sz w:val="21"/>
                <w:szCs w:val="21"/>
                <w:lang w:val="en-US" w:eastAsia="zh-CN" w:bidi="ar"/>
              </w:rPr>
              <w:t>mg/L</w:t>
            </w:r>
          </w:p>
        </w:tc>
      </w:tr>
      <w:tr w14:paraId="1C1BC039">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347" w:type="pct"/>
            <w:tcBorders>
              <w:tl2br w:val="nil"/>
              <w:tr2bl w:val="nil"/>
            </w:tcBorders>
            <w:noWrap w:val="0"/>
            <w:vAlign w:val="center"/>
          </w:tcPr>
          <w:p w14:paraId="06CFBF68">
            <w:pPr>
              <w:widowControl w:val="0"/>
              <w:adjustRightInd w:val="0"/>
              <w:snapToGrid w:val="0"/>
              <w:jc w:val="center"/>
              <w:textAlignment w:val="center"/>
              <w:rPr>
                <w:rFonts w:hint="default" w:ascii="Times New Roman" w:hAnsi="Times New Roman" w:eastAsia="宋体" w:cs="Times New Roman"/>
                <w:sz w:val="21"/>
                <w:szCs w:val="21"/>
                <w:lang w:val="en-US" w:eastAsia="zh-CN" w:bidi="ar"/>
              </w:rPr>
            </w:pPr>
            <w:r>
              <w:rPr>
                <w:rFonts w:hint="default" w:ascii="Times New Roman" w:hAnsi="Times New Roman" w:eastAsia="宋体" w:cs="Times New Roman"/>
                <w:sz w:val="21"/>
                <w:szCs w:val="21"/>
                <w:lang w:val="en-US" w:eastAsia="zh-CN" w:bidi="ar"/>
              </w:rPr>
              <w:t>18</w:t>
            </w:r>
          </w:p>
        </w:tc>
        <w:tc>
          <w:tcPr>
            <w:tcW w:w="575" w:type="pct"/>
            <w:vMerge w:val="continue"/>
            <w:tcBorders>
              <w:tl2br w:val="nil"/>
              <w:tr2bl w:val="nil"/>
            </w:tcBorders>
            <w:noWrap w:val="0"/>
            <w:vAlign w:val="center"/>
          </w:tcPr>
          <w:p w14:paraId="29D9841C">
            <w:pPr>
              <w:widowControl w:val="0"/>
              <w:adjustRightInd w:val="0"/>
              <w:snapToGrid w:val="0"/>
              <w:jc w:val="center"/>
              <w:textAlignment w:val="center"/>
              <w:rPr>
                <w:rFonts w:hint="default" w:ascii="Times New Roman" w:hAnsi="Times New Roman" w:eastAsia="宋体" w:cs="Times New Roman"/>
                <w:sz w:val="21"/>
                <w:szCs w:val="21"/>
                <w:lang w:val="en-US" w:eastAsia="zh-CN" w:bidi="ar"/>
              </w:rPr>
            </w:pPr>
          </w:p>
        </w:tc>
        <w:tc>
          <w:tcPr>
            <w:tcW w:w="1034" w:type="pct"/>
            <w:tcBorders>
              <w:tl2br w:val="nil"/>
              <w:tr2bl w:val="nil"/>
            </w:tcBorders>
            <w:noWrap w:val="0"/>
            <w:vAlign w:val="center"/>
          </w:tcPr>
          <w:p w14:paraId="010A6A66">
            <w:pPr>
              <w:widowControl w:val="0"/>
              <w:adjustRightInd w:val="0"/>
              <w:snapToGrid w:val="0"/>
              <w:jc w:val="center"/>
              <w:textAlignment w:val="center"/>
              <w:rPr>
                <w:rFonts w:hint="default" w:ascii="Times New Roman" w:hAnsi="Times New Roman" w:eastAsia="宋体" w:cs="Times New Roman"/>
                <w:sz w:val="21"/>
                <w:szCs w:val="21"/>
                <w:lang w:val="en-US" w:eastAsia="zh-CN" w:bidi="ar"/>
              </w:rPr>
            </w:pPr>
            <w:r>
              <w:rPr>
                <w:rFonts w:hint="default" w:ascii="Times New Roman" w:hAnsi="Times New Roman" w:eastAsia="宋体" w:cs="Times New Roman"/>
                <w:sz w:val="21"/>
                <w:szCs w:val="21"/>
                <w:lang w:val="en-US" w:eastAsia="zh-CN" w:bidi="ar"/>
              </w:rPr>
              <w:t>铅</w:t>
            </w:r>
          </w:p>
        </w:tc>
        <w:tc>
          <w:tcPr>
            <w:tcW w:w="885" w:type="pct"/>
            <w:tcBorders>
              <w:tl2br w:val="nil"/>
              <w:tr2bl w:val="nil"/>
            </w:tcBorders>
            <w:noWrap w:val="0"/>
            <w:vAlign w:val="center"/>
          </w:tcPr>
          <w:p w14:paraId="4D5EF8DC">
            <w:pPr>
              <w:widowControl w:val="0"/>
              <w:adjustRightInd w:val="0"/>
              <w:snapToGrid w:val="0"/>
              <w:jc w:val="center"/>
              <w:textAlignment w:val="center"/>
              <w:rPr>
                <w:rFonts w:hint="default" w:ascii="Times New Roman" w:hAnsi="Times New Roman" w:eastAsia="宋体" w:cs="Times New Roman"/>
                <w:sz w:val="21"/>
                <w:szCs w:val="21"/>
                <w:lang w:val="en-US" w:eastAsia="zh-CN" w:bidi="ar"/>
              </w:rPr>
            </w:pPr>
            <w:r>
              <w:rPr>
                <w:rFonts w:hint="default" w:ascii="Times New Roman" w:hAnsi="Times New Roman" w:eastAsia="宋体" w:cs="Times New Roman"/>
                <w:sz w:val="21"/>
                <w:szCs w:val="21"/>
                <w:lang w:bidi="ar"/>
              </w:rPr>
              <w:t>1L</w:t>
            </w:r>
          </w:p>
        </w:tc>
        <w:tc>
          <w:tcPr>
            <w:tcW w:w="834" w:type="pct"/>
            <w:tcBorders>
              <w:tl2br w:val="nil"/>
              <w:tr2bl w:val="nil"/>
            </w:tcBorders>
            <w:noWrap w:val="0"/>
            <w:vAlign w:val="center"/>
          </w:tcPr>
          <w:p w14:paraId="15272F98">
            <w:pPr>
              <w:widowControl w:val="0"/>
              <w:adjustRightInd w:val="0"/>
              <w:snapToGrid w:val="0"/>
              <w:jc w:val="center"/>
              <w:textAlignment w:val="center"/>
              <w:rPr>
                <w:rFonts w:hint="default" w:ascii="Times New Roman" w:hAnsi="Times New Roman" w:eastAsia="宋体" w:cs="Times New Roman"/>
                <w:sz w:val="21"/>
                <w:szCs w:val="21"/>
                <w:lang w:val="en-US" w:eastAsia="zh-CN" w:bidi="ar"/>
              </w:rPr>
            </w:pPr>
            <w:r>
              <w:rPr>
                <w:rFonts w:hint="default" w:ascii="Times New Roman" w:hAnsi="Times New Roman" w:eastAsia="宋体" w:cs="Times New Roman"/>
                <w:sz w:val="21"/>
                <w:szCs w:val="21"/>
                <w:lang w:bidi="ar"/>
              </w:rPr>
              <w:t>1L</w:t>
            </w:r>
          </w:p>
        </w:tc>
        <w:tc>
          <w:tcPr>
            <w:tcW w:w="813" w:type="pct"/>
            <w:tcBorders>
              <w:tl2br w:val="nil"/>
              <w:tr2bl w:val="nil"/>
            </w:tcBorders>
            <w:noWrap w:val="0"/>
            <w:vAlign w:val="center"/>
          </w:tcPr>
          <w:p w14:paraId="1A1AB057">
            <w:pPr>
              <w:widowControl w:val="0"/>
              <w:adjustRightInd w:val="0"/>
              <w:snapToGrid w:val="0"/>
              <w:jc w:val="center"/>
              <w:textAlignment w:val="center"/>
              <w:rPr>
                <w:rFonts w:hint="default" w:ascii="Times New Roman" w:hAnsi="Times New Roman" w:eastAsia="宋体" w:cs="Times New Roman"/>
                <w:sz w:val="21"/>
                <w:szCs w:val="21"/>
                <w:lang w:val="en-US" w:eastAsia="zh-CN" w:bidi="ar"/>
              </w:rPr>
            </w:pPr>
            <w:r>
              <w:rPr>
                <w:rFonts w:hint="default" w:ascii="Times New Roman" w:hAnsi="Times New Roman" w:eastAsia="宋体" w:cs="Times New Roman"/>
                <w:sz w:val="21"/>
                <w:szCs w:val="21"/>
                <w:lang w:bidi="ar"/>
              </w:rPr>
              <w:t>1L</w:t>
            </w:r>
          </w:p>
        </w:tc>
        <w:tc>
          <w:tcPr>
            <w:tcW w:w="508" w:type="pct"/>
            <w:tcBorders>
              <w:tl2br w:val="nil"/>
              <w:tr2bl w:val="nil"/>
            </w:tcBorders>
            <w:noWrap w:val="0"/>
            <w:vAlign w:val="center"/>
          </w:tcPr>
          <w:p w14:paraId="1625DCED">
            <w:pPr>
              <w:widowControl w:val="0"/>
              <w:adjustRightInd w:val="0"/>
              <w:snapToGrid w:val="0"/>
              <w:jc w:val="center"/>
              <w:textAlignment w:val="center"/>
              <w:rPr>
                <w:rFonts w:hint="default" w:ascii="Times New Roman" w:hAnsi="Times New Roman" w:eastAsia="宋体" w:cs="Times New Roman"/>
                <w:sz w:val="21"/>
                <w:szCs w:val="21"/>
                <w:lang w:val="en-US" w:eastAsia="zh-CN" w:bidi="ar"/>
              </w:rPr>
            </w:pPr>
            <w:r>
              <w:rPr>
                <w:rFonts w:hint="default" w:ascii="Times New Roman" w:hAnsi="Times New Roman" w:eastAsia="宋体" w:cs="Times New Roman"/>
                <w:sz w:val="21"/>
                <w:szCs w:val="21"/>
                <w:lang w:val="en-US" w:eastAsia="zh-CN" w:bidi="ar"/>
              </w:rPr>
              <w:t>μg/L</w:t>
            </w:r>
          </w:p>
        </w:tc>
      </w:tr>
      <w:tr w14:paraId="3F5BE949">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347" w:type="pct"/>
            <w:tcBorders>
              <w:tl2br w:val="nil"/>
              <w:tr2bl w:val="nil"/>
            </w:tcBorders>
            <w:noWrap w:val="0"/>
            <w:vAlign w:val="center"/>
          </w:tcPr>
          <w:p w14:paraId="438EB4DD">
            <w:pPr>
              <w:widowControl w:val="0"/>
              <w:adjustRightInd w:val="0"/>
              <w:snapToGrid w:val="0"/>
              <w:jc w:val="center"/>
              <w:textAlignment w:val="center"/>
              <w:rPr>
                <w:rFonts w:hint="default" w:ascii="Times New Roman" w:hAnsi="Times New Roman" w:eastAsia="宋体" w:cs="Times New Roman"/>
                <w:sz w:val="21"/>
                <w:szCs w:val="21"/>
                <w:lang w:val="en-US" w:eastAsia="zh-CN" w:bidi="ar"/>
              </w:rPr>
            </w:pPr>
            <w:r>
              <w:rPr>
                <w:rFonts w:hint="default" w:ascii="Times New Roman" w:hAnsi="Times New Roman" w:eastAsia="宋体" w:cs="Times New Roman"/>
                <w:sz w:val="21"/>
                <w:szCs w:val="21"/>
                <w:lang w:val="en-US" w:eastAsia="zh-CN" w:bidi="ar"/>
              </w:rPr>
              <w:t>19</w:t>
            </w:r>
          </w:p>
        </w:tc>
        <w:tc>
          <w:tcPr>
            <w:tcW w:w="575" w:type="pct"/>
            <w:vMerge w:val="continue"/>
            <w:tcBorders>
              <w:tl2br w:val="nil"/>
              <w:tr2bl w:val="nil"/>
            </w:tcBorders>
            <w:noWrap w:val="0"/>
            <w:vAlign w:val="center"/>
          </w:tcPr>
          <w:p w14:paraId="7713C215">
            <w:pPr>
              <w:widowControl w:val="0"/>
              <w:adjustRightInd w:val="0"/>
              <w:snapToGrid w:val="0"/>
              <w:jc w:val="center"/>
              <w:textAlignment w:val="center"/>
              <w:rPr>
                <w:rFonts w:hint="default" w:ascii="Times New Roman" w:hAnsi="Times New Roman" w:eastAsia="宋体" w:cs="Times New Roman"/>
                <w:sz w:val="21"/>
                <w:szCs w:val="21"/>
                <w:lang w:val="en-US" w:eastAsia="zh-CN" w:bidi="ar"/>
              </w:rPr>
            </w:pPr>
          </w:p>
        </w:tc>
        <w:tc>
          <w:tcPr>
            <w:tcW w:w="1034" w:type="pct"/>
            <w:tcBorders>
              <w:tl2br w:val="nil"/>
              <w:tr2bl w:val="nil"/>
            </w:tcBorders>
            <w:noWrap w:val="0"/>
            <w:vAlign w:val="center"/>
          </w:tcPr>
          <w:p w14:paraId="29C5EF9C">
            <w:pPr>
              <w:widowControl w:val="0"/>
              <w:adjustRightInd w:val="0"/>
              <w:snapToGrid w:val="0"/>
              <w:jc w:val="center"/>
              <w:textAlignment w:val="center"/>
              <w:rPr>
                <w:rFonts w:hint="default" w:ascii="Times New Roman" w:hAnsi="Times New Roman" w:eastAsia="宋体" w:cs="Times New Roman"/>
                <w:sz w:val="21"/>
                <w:szCs w:val="21"/>
                <w:lang w:val="en-US" w:eastAsia="zh-CN" w:bidi="ar"/>
              </w:rPr>
            </w:pPr>
            <w:r>
              <w:rPr>
                <w:rFonts w:hint="default" w:ascii="Times New Roman" w:hAnsi="Times New Roman" w:eastAsia="宋体" w:cs="Times New Roman"/>
                <w:sz w:val="21"/>
                <w:szCs w:val="21"/>
                <w:lang w:val="en-US" w:eastAsia="zh-CN" w:bidi="ar"/>
              </w:rPr>
              <w:t>镉</w:t>
            </w:r>
          </w:p>
        </w:tc>
        <w:tc>
          <w:tcPr>
            <w:tcW w:w="885" w:type="pct"/>
            <w:tcBorders>
              <w:tl2br w:val="nil"/>
              <w:tr2bl w:val="nil"/>
            </w:tcBorders>
            <w:noWrap w:val="0"/>
            <w:vAlign w:val="center"/>
          </w:tcPr>
          <w:p w14:paraId="0BE4E614">
            <w:pPr>
              <w:widowControl w:val="0"/>
              <w:adjustRightInd w:val="0"/>
              <w:snapToGrid w:val="0"/>
              <w:jc w:val="center"/>
              <w:textAlignment w:val="center"/>
              <w:rPr>
                <w:rFonts w:hint="default" w:ascii="Times New Roman" w:hAnsi="Times New Roman" w:eastAsia="宋体" w:cs="Times New Roman"/>
                <w:sz w:val="21"/>
                <w:szCs w:val="21"/>
                <w:lang w:val="en-US" w:eastAsia="zh-CN" w:bidi="ar"/>
              </w:rPr>
            </w:pPr>
            <w:r>
              <w:rPr>
                <w:rFonts w:hint="default" w:ascii="Times New Roman" w:hAnsi="Times New Roman" w:eastAsia="宋体" w:cs="Times New Roman"/>
                <w:sz w:val="21"/>
                <w:szCs w:val="21"/>
                <w:lang w:bidi="ar"/>
              </w:rPr>
              <w:t>0.1L</w:t>
            </w:r>
          </w:p>
        </w:tc>
        <w:tc>
          <w:tcPr>
            <w:tcW w:w="834" w:type="pct"/>
            <w:tcBorders>
              <w:tl2br w:val="nil"/>
              <w:tr2bl w:val="nil"/>
            </w:tcBorders>
            <w:noWrap w:val="0"/>
            <w:vAlign w:val="center"/>
          </w:tcPr>
          <w:p w14:paraId="3FD6A223">
            <w:pPr>
              <w:widowControl w:val="0"/>
              <w:adjustRightInd w:val="0"/>
              <w:snapToGrid w:val="0"/>
              <w:jc w:val="center"/>
              <w:textAlignment w:val="center"/>
              <w:rPr>
                <w:rFonts w:hint="default" w:ascii="Times New Roman" w:hAnsi="Times New Roman" w:eastAsia="宋体" w:cs="Times New Roman"/>
                <w:sz w:val="21"/>
                <w:szCs w:val="21"/>
                <w:lang w:val="en-US" w:eastAsia="zh-CN" w:bidi="ar"/>
              </w:rPr>
            </w:pPr>
            <w:r>
              <w:rPr>
                <w:rFonts w:hint="default" w:ascii="Times New Roman" w:hAnsi="Times New Roman" w:eastAsia="宋体" w:cs="Times New Roman"/>
                <w:sz w:val="21"/>
                <w:szCs w:val="21"/>
                <w:lang w:bidi="ar"/>
              </w:rPr>
              <w:t>0.1L</w:t>
            </w:r>
          </w:p>
        </w:tc>
        <w:tc>
          <w:tcPr>
            <w:tcW w:w="813" w:type="pct"/>
            <w:tcBorders>
              <w:tl2br w:val="nil"/>
              <w:tr2bl w:val="nil"/>
            </w:tcBorders>
            <w:noWrap w:val="0"/>
            <w:vAlign w:val="center"/>
          </w:tcPr>
          <w:p w14:paraId="1AAA1064">
            <w:pPr>
              <w:widowControl w:val="0"/>
              <w:adjustRightInd w:val="0"/>
              <w:snapToGrid w:val="0"/>
              <w:jc w:val="center"/>
              <w:textAlignment w:val="center"/>
              <w:rPr>
                <w:rFonts w:hint="default" w:ascii="Times New Roman" w:hAnsi="Times New Roman" w:eastAsia="宋体" w:cs="Times New Roman"/>
                <w:sz w:val="21"/>
                <w:szCs w:val="21"/>
                <w:lang w:val="en-US" w:eastAsia="zh-CN" w:bidi="ar"/>
              </w:rPr>
            </w:pPr>
            <w:r>
              <w:rPr>
                <w:rFonts w:hint="default" w:ascii="Times New Roman" w:hAnsi="Times New Roman" w:eastAsia="宋体" w:cs="Times New Roman"/>
                <w:sz w:val="21"/>
                <w:szCs w:val="21"/>
                <w:lang w:bidi="ar"/>
              </w:rPr>
              <w:t>0.1L</w:t>
            </w:r>
          </w:p>
        </w:tc>
        <w:tc>
          <w:tcPr>
            <w:tcW w:w="508" w:type="pct"/>
            <w:tcBorders>
              <w:tl2br w:val="nil"/>
              <w:tr2bl w:val="nil"/>
            </w:tcBorders>
            <w:noWrap w:val="0"/>
            <w:vAlign w:val="center"/>
          </w:tcPr>
          <w:p w14:paraId="293DA202">
            <w:pPr>
              <w:widowControl w:val="0"/>
              <w:adjustRightInd w:val="0"/>
              <w:snapToGrid w:val="0"/>
              <w:jc w:val="center"/>
              <w:textAlignment w:val="center"/>
              <w:rPr>
                <w:rFonts w:hint="default" w:ascii="Times New Roman" w:hAnsi="Times New Roman" w:eastAsia="宋体" w:cs="Times New Roman"/>
                <w:sz w:val="21"/>
                <w:szCs w:val="21"/>
                <w:lang w:val="en-US" w:eastAsia="zh-CN" w:bidi="ar"/>
              </w:rPr>
            </w:pPr>
            <w:r>
              <w:rPr>
                <w:rFonts w:hint="default" w:ascii="Times New Roman" w:hAnsi="Times New Roman" w:eastAsia="宋体" w:cs="Times New Roman"/>
                <w:sz w:val="21"/>
                <w:szCs w:val="21"/>
                <w:lang w:val="en-US" w:eastAsia="zh-CN" w:bidi="ar"/>
              </w:rPr>
              <w:t>μg/L</w:t>
            </w:r>
          </w:p>
        </w:tc>
      </w:tr>
      <w:tr w14:paraId="1C5A8491">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347" w:type="pct"/>
            <w:tcBorders>
              <w:tl2br w:val="nil"/>
              <w:tr2bl w:val="nil"/>
            </w:tcBorders>
            <w:noWrap w:val="0"/>
            <w:vAlign w:val="center"/>
          </w:tcPr>
          <w:p w14:paraId="79EEB6D0">
            <w:pPr>
              <w:widowControl w:val="0"/>
              <w:adjustRightInd w:val="0"/>
              <w:snapToGrid w:val="0"/>
              <w:jc w:val="center"/>
              <w:textAlignment w:val="center"/>
              <w:rPr>
                <w:rFonts w:hint="default" w:ascii="Times New Roman" w:hAnsi="Times New Roman" w:eastAsia="宋体" w:cs="Times New Roman"/>
                <w:sz w:val="21"/>
                <w:szCs w:val="21"/>
                <w:lang w:val="en-US" w:eastAsia="zh-CN" w:bidi="ar"/>
              </w:rPr>
            </w:pPr>
            <w:r>
              <w:rPr>
                <w:rFonts w:hint="default" w:ascii="Times New Roman" w:hAnsi="Times New Roman" w:eastAsia="宋体" w:cs="Times New Roman"/>
                <w:sz w:val="21"/>
                <w:szCs w:val="21"/>
                <w:lang w:val="en-US" w:eastAsia="zh-CN" w:bidi="ar"/>
              </w:rPr>
              <w:t>20</w:t>
            </w:r>
          </w:p>
        </w:tc>
        <w:tc>
          <w:tcPr>
            <w:tcW w:w="575" w:type="pct"/>
            <w:vMerge w:val="continue"/>
            <w:tcBorders>
              <w:tl2br w:val="nil"/>
              <w:tr2bl w:val="nil"/>
            </w:tcBorders>
            <w:noWrap w:val="0"/>
            <w:vAlign w:val="center"/>
          </w:tcPr>
          <w:p w14:paraId="0076FEC5">
            <w:pPr>
              <w:widowControl w:val="0"/>
              <w:adjustRightInd w:val="0"/>
              <w:snapToGrid w:val="0"/>
              <w:jc w:val="center"/>
              <w:textAlignment w:val="center"/>
              <w:rPr>
                <w:rFonts w:hint="default" w:ascii="Times New Roman" w:hAnsi="Times New Roman" w:eastAsia="宋体" w:cs="Times New Roman"/>
                <w:sz w:val="21"/>
                <w:szCs w:val="21"/>
                <w:lang w:val="en-US" w:eastAsia="zh-CN" w:bidi="ar"/>
              </w:rPr>
            </w:pPr>
          </w:p>
        </w:tc>
        <w:tc>
          <w:tcPr>
            <w:tcW w:w="1034" w:type="pct"/>
            <w:tcBorders>
              <w:tl2br w:val="nil"/>
              <w:tr2bl w:val="nil"/>
            </w:tcBorders>
            <w:noWrap w:val="0"/>
            <w:vAlign w:val="center"/>
          </w:tcPr>
          <w:p w14:paraId="7E264B9A">
            <w:pPr>
              <w:widowControl w:val="0"/>
              <w:adjustRightInd w:val="0"/>
              <w:snapToGrid w:val="0"/>
              <w:jc w:val="center"/>
              <w:textAlignment w:val="center"/>
              <w:rPr>
                <w:rFonts w:hint="default" w:ascii="Times New Roman" w:hAnsi="Times New Roman" w:eastAsia="宋体" w:cs="Times New Roman"/>
                <w:sz w:val="21"/>
                <w:szCs w:val="21"/>
                <w:lang w:val="en-US" w:eastAsia="zh-CN" w:bidi="ar"/>
              </w:rPr>
            </w:pPr>
            <w:r>
              <w:rPr>
                <w:rFonts w:hint="default" w:ascii="Times New Roman" w:hAnsi="Times New Roman" w:eastAsia="宋体" w:cs="Times New Roman"/>
                <w:sz w:val="21"/>
                <w:szCs w:val="21"/>
                <w:lang w:val="en-US" w:eastAsia="zh-CN" w:bidi="ar"/>
              </w:rPr>
              <w:t>六价铬</w:t>
            </w:r>
          </w:p>
        </w:tc>
        <w:tc>
          <w:tcPr>
            <w:tcW w:w="885" w:type="pct"/>
            <w:tcBorders>
              <w:tl2br w:val="nil"/>
              <w:tr2bl w:val="nil"/>
            </w:tcBorders>
            <w:noWrap w:val="0"/>
            <w:vAlign w:val="center"/>
          </w:tcPr>
          <w:p w14:paraId="3760C616">
            <w:pPr>
              <w:widowControl w:val="0"/>
              <w:adjustRightInd w:val="0"/>
              <w:snapToGrid w:val="0"/>
              <w:jc w:val="center"/>
              <w:textAlignment w:val="center"/>
              <w:rPr>
                <w:rFonts w:hint="default" w:ascii="Times New Roman" w:hAnsi="Times New Roman" w:eastAsia="宋体" w:cs="Times New Roman"/>
                <w:sz w:val="21"/>
                <w:szCs w:val="21"/>
                <w:lang w:val="en-US" w:eastAsia="zh-CN" w:bidi="ar"/>
              </w:rPr>
            </w:pPr>
            <w:r>
              <w:rPr>
                <w:rFonts w:hint="default" w:ascii="Times New Roman" w:hAnsi="Times New Roman" w:eastAsia="宋体" w:cs="Times New Roman"/>
                <w:sz w:val="21"/>
                <w:szCs w:val="21"/>
                <w:lang w:bidi="ar"/>
              </w:rPr>
              <w:t>0.004L</w:t>
            </w:r>
          </w:p>
        </w:tc>
        <w:tc>
          <w:tcPr>
            <w:tcW w:w="834" w:type="pct"/>
            <w:tcBorders>
              <w:tl2br w:val="nil"/>
              <w:tr2bl w:val="nil"/>
            </w:tcBorders>
            <w:noWrap w:val="0"/>
            <w:vAlign w:val="center"/>
          </w:tcPr>
          <w:p w14:paraId="29B45F8A">
            <w:pPr>
              <w:widowControl w:val="0"/>
              <w:adjustRightInd w:val="0"/>
              <w:snapToGrid w:val="0"/>
              <w:jc w:val="center"/>
              <w:textAlignment w:val="center"/>
              <w:rPr>
                <w:rFonts w:hint="default" w:ascii="Times New Roman" w:hAnsi="Times New Roman" w:eastAsia="宋体" w:cs="Times New Roman"/>
                <w:sz w:val="21"/>
                <w:szCs w:val="21"/>
                <w:lang w:val="en-US" w:eastAsia="zh-CN" w:bidi="ar"/>
              </w:rPr>
            </w:pPr>
            <w:r>
              <w:rPr>
                <w:rFonts w:hint="default" w:ascii="Times New Roman" w:hAnsi="Times New Roman" w:eastAsia="宋体" w:cs="Times New Roman"/>
                <w:sz w:val="21"/>
                <w:szCs w:val="21"/>
                <w:lang w:bidi="ar"/>
              </w:rPr>
              <w:t>0.004L</w:t>
            </w:r>
          </w:p>
        </w:tc>
        <w:tc>
          <w:tcPr>
            <w:tcW w:w="813" w:type="pct"/>
            <w:tcBorders>
              <w:tl2br w:val="nil"/>
              <w:tr2bl w:val="nil"/>
            </w:tcBorders>
            <w:noWrap w:val="0"/>
            <w:vAlign w:val="center"/>
          </w:tcPr>
          <w:p w14:paraId="0EC9E037">
            <w:pPr>
              <w:widowControl w:val="0"/>
              <w:adjustRightInd w:val="0"/>
              <w:snapToGrid w:val="0"/>
              <w:jc w:val="center"/>
              <w:textAlignment w:val="center"/>
              <w:rPr>
                <w:rFonts w:hint="default" w:ascii="Times New Roman" w:hAnsi="Times New Roman" w:eastAsia="宋体" w:cs="Times New Roman"/>
                <w:sz w:val="21"/>
                <w:szCs w:val="21"/>
                <w:lang w:val="en-US" w:eastAsia="zh-CN" w:bidi="ar"/>
              </w:rPr>
            </w:pPr>
            <w:r>
              <w:rPr>
                <w:rFonts w:hint="default" w:ascii="Times New Roman" w:hAnsi="Times New Roman" w:eastAsia="宋体" w:cs="Times New Roman"/>
                <w:sz w:val="21"/>
                <w:szCs w:val="21"/>
                <w:lang w:bidi="ar"/>
              </w:rPr>
              <w:t>0.004L</w:t>
            </w:r>
          </w:p>
        </w:tc>
        <w:tc>
          <w:tcPr>
            <w:tcW w:w="508" w:type="pct"/>
            <w:tcBorders>
              <w:tl2br w:val="nil"/>
              <w:tr2bl w:val="nil"/>
            </w:tcBorders>
            <w:noWrap w:val="0"/>
            <w:vAlign w:val="center"/>
          </w:tcPr>
          <w:p w14:paraId="51B242DA">
            <w:pPr>
              <w:widowControl w:val="0"/>
              <w:adjustRightInd w:val="0"/>
              <w:snapToGrid w:val="0"/>
              <w:jc w:val="center"/>
              <w:textAlignment w:val="center"/>
              <w:rPr>
                <w:rFonts w:hint="default" w:ascii="Times New Roman" w:hAnsi="Times New Roman" w:eastAsia="宋体" w:cs="Times New Roman"/>
                <w:sz w:val="21"/>
                <w:szCs w:val="21"/>
                <w:lang w:val="en-US" w:eastAsia="zh-CN" w:bidi="ar"/>
              </w:rPr>
            </w:pPr>
            <w:r>
              <w:rPr>
                <w:rFonts w:hint="default" w:ascii="Times New Roman" w:hAnsi="Times New Roman" w:eastAsia="宋体" w:cs="Times New Roman"/>
                <w:sz w:val="21"/>
                <w:szCs w:val="21"/>
                <w:lang w:val="en-US" w:eastAsia="zh-CN" w:bidi="ar"/>
              </w:rPr>
              <w:t>mg/L</w:t>
            </w:r>
          </w:p>
        </w:tc>
      </w:tr>
      <w:tr w14:paraId="58BED696">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347" w:type="pct"/>
            <w:tcBorders>
              <w:tl2br w:val="nil"/>
              <w:tr2bl w:val="nil"/>
            </w:tcBorders>
            <w:noWrap w:val="0"/>
            <w:vAlign w:val="center"/>
          </w:tcPr>
          <w:p w14:paraId="51272CC2">
            <w:pPr>
              <w:widowControl w:val="0"/>
              <w:adjustRightInd w:val="0"/>
              <w:snapToGrid w:val="0"/>
              <w:jc w:val="center"/>
              <w:textAlignment w:val="center"/>
              <w:rPr>
                <w:rFonts w:hint="default" w:ascii="Times New Roman" w:hAnsi="Times New Roman" w:eastAsia="宋体" w:cs="Times New Roman"/>
                <w:sz w:val="21"/>
                <w:szCs w:val="21"/>
                <w:lang w:val="en-US" w:eastAsia="zh-CN" w:bidi="ar"/>
              </w:rPr>
            </w:pPr>
            <w:r>
              <w:rPr>
                <w:rFonts w:hint="default" w:ascii="Times New Roman" w:hAnsi="Times New Roman" w:eastAsia="宋体" w:cs="Times New Roman"/>
                <w:sz w:val="21"/>
                <w:szCs w:val="21"/>
                <w:lang w:val="en-US" w:eastAsia="zh-CN" w:bidi="ar"/>
              </w:rPr>
              <w:t>21</w:t>
            </w:r>
          </w:p>
        </w:tc>
        <w:tc>
          <w:tcPr>
            <w:tcW w:w="575" w:type="pct"/>
            <w:vMerge w:val="continue"/>
            <w:tcBorders>
              <w:tl2br w:val="nil"/>
              <w:tr2bl w:val="nil"/>
            </w:tcBorders>
            <w:noWrap w:val="0"/>
            <w:vAlign w:val="center"/>
          </w:tcPr>
          <w:p w14:paraId="7E0A28E5">
            <w:pPr>
              <w:widowControl w:val="0"/>
              <w:adjustRightInd w:val="0"/>
              <w:snapToGrid w:val="0"/>
              <w:jc w:val="center"/>
              <w:textAlignment w:val="center"/>
              <w:rPr>
                <w:rFonts w:hint="default" w:ascii="Times New Roman" w:hAnsi="Times New Roman" w:eastAsia="宋体" w:cs="Times New Roman"/>
                <w:sz w:val="21"/>
                <w:szCs w:val="21"/>
                <w:lang w:val="en-US" w:eastAsia="zh-CN" w:bidi="ar"/>
              </w:rPr>
            </w:pPr>
          </w:p>
        </w:tc>
        <w:tc>
          <w:tcPr>
            <w:tcW w:w="1034" w:type="pct"/>
            <w:tcBorders>
              <w:tl2br w:val="nil"/>
              <w:tr2bl w:val="nil"/>
            </w:tcBorders>
            <w:noWrap w:val="0"/>
            <w:vAlign w:val="center"/>
          </w:tcPr>
          <w:p w14:paraId="2932401B">
            <w:pPr>
              <w:widowControl w:val="0"/>
              <w:adjustRightInd w:val="0"/>
              <w:snapToGrid w:val="0"/>
              <w:jc w:val="center"/>
              <w:textAlignment w:val="center"/>
              <w:rPr>
                <w:rFonts w:hint="default" w:ascii="Times New Roman" w:hAnsi="Times New Roman" w:eastAsia="宋体" w:cs="Times New Roman"/>
                <w:sz w:val="21"/>
                <w:szCs w:val="21"/>
                <w:lang w:val="en-US" w:eastAsia="zh-CN" w:bidi="ar"/>
              </w:rPr>
            </w:pPr>
            <w:r>
              <w:rPr>
                <w:rFonts w:hint="default" w:ascii="Times New Roman" w:hAnsi="Times New Roman" w:eastAsia="宋体" w:cs="Times New Roman"/>
                <w:sz w:val="21"/>
                <w:szCs w:val="21"/>
                <w:lang w:val="en-US" w:eastAsia="zh-CN" w:bidi="ar"/>
              </w:rPr>
              <w:t>石油类</w:t>
            </w:r>
          </w:p>
        </w:tc>
        <w:tc>
          <w:tcPr>
            <w:tcW w:w="885" w:type="pct"/>
            <w:tcBorders>
              <w:tl2br w:val="nil"/>
              <w:tr2bl w:val="nil"/>
            </w:tcBorders>
            <w:noWrap w:val="0"/>
            <w:vAlign w:val="center"/>
          </w:tcPr>
          <w:p w14:paraId="399A0C7A">
            <w:pPr>
              <w:widowControl w:val="0"/>
              <w:adjustRightInd w:val="0"/>
              <w:snapToGrid w:val="0"/>
              <w:jc w:val="center"/>
              <w:textAlignment w:val="center"/>
              <w:rPr>
                <w:rFonts w:hint="default" w:ascii="Times New Roman" w:hAnsi="Times New Roman" w:eastAsia="宋体" w:cs="Times New Roman"/>
                <w:sz w:val="21"/>
                <w:szCs w:val="21"/>
                <w:lang w:val="en-US" w:eastAsia="zh-CN" w:bidi="ar"/>
              </w:rPr>
            </w:pPr>
            <w:r>
              <w:rPr>
                <w:rFonts w:hint="default" w:ascii="Times New Roman" w:hAnsi="Times New Roman" w:eastAsia="宋体" w:cs="Times New Roman"/>
                <w:sz w:val="21"/>
                <w:szCs w:val="21"/>
                <w:lang w:bidi="ar"/>
              </w:rPr>
              <w:t>0.01L</w:t>
            </w:r>
          </w:p>
        </w:tc>
        <w:tc>
          <w:tcPr>
            <w:tcW w:w="834" w:type="pct"/>
            <w:tcBorders>
              <w:tl2br w:val="nil"/>
              <w:tr2bl w:val="nil"/>
            </w:tcBorders>
            <w:noWrap w:val="0"/>
            <w:vAlign w:val="center"/>
          </w:tcPr>
          <w:p w14:paraId="06BD28F6">
            <w:pPr>
              <w:widowControl w:val="0"/>
              <w:adjustRightInd w:val="0"/>
              <w:snapToGrid w:val="0"/>
              <w:jc w:val="center"/>
              <w:textAlignment w:val="center"/>
              <w:rPr>
                <w:rFonts w:hint="default" w:ascii="Times New Roman" w:hAnsi="Times New Roman" w:eastAsia="宋体" w:cs="Times New Roman"/>
                <w:sz w:val="21"/>
                <w:szCs w:val="21"/>
                <w:lang w:val="en-US" w:eastAsia="zh-CN" w:bidi="ar"/>
              </w:rPr>
            </w:pPr>
            <w:r>
              <w:rPr>
                <w:rFonts w:hint="default" w:ascii="Times New Roman" w:hAnsi="Times New Roman" w:eastAsia="宋体" w:cs="Times New Roman"/>
                <w:sz w:val="21"/>
                <w:szCs w:val="21"/>
                <w:lang w:bidi="ar"/>
              </w:rPr>
              <w:t>0.01L</w:t>
            </w:r>
          </w:p>
        </w:tc>
        <w:tc>
          <w:tcPr>
            <w:tcW w:w="813" w:type="pct"/>
            <w:tcBorders>
              <w:tl2br w:val="nil"/>
              <w:tr2bl w:val="nil"/>
            </w:tcBorders>
            <w:noWrap w:val="0"/>
            <w:vAlign w:val="center"/>
          </w:tcPr>
          <w:p w14:paraId="3E91F7CF">
            <w:pPr>
              <w:widowControl w:val="0"/>
              <w:adjustRightInd w:val="0"/>
              <w:snapToGrid w:val="0"/>
              <w:jc w:val="center"/>
              <w:textAlignment w:val="center"/>
              <w:rPr>
                <w:rFonts w:hint="default" w:ascii="Times New Roman" w:hAnsi="Times New Roman" w:eastAsia="宋体" w:cs="Times New Roman"/>
                <w:sz w:val="21"/>
                <w:szCs w:val="21"/>
                <w:lang w:val="en-US" w:eastAsia="zh-CN" w:bidi="ar"/>
              </w:rPr>
            </w:pPr>
            <w:r>
              <w:rPr>
                <w:rFonts w:hint="default" w:ascii="Times New Roman" w:hAnsi="Times New Roman" w:eastAsia="宋体" w:cs="Times New Roman"/>
                <w:sz w:val="21"/>
                <w:szCs w:val="21"/>
                <w:lang w:bidi="ar"/>
              </w:rPr>
              <w:t>0.01L</w:t>
            </w:r>
          </w:p>
        </w:tc>
        <w:tc>
          <w:tcPr>
            <w:tcW w:w="508" w:type="pct"/>
            <w:tcBorders>
              <w:tl2br w:val="nil"/>
              <w:tr2bl w:val="nil"/>
            </w:tcBorders>
            <w:noWrap w:val="0"/>
            <w:vAlign w:val="center"/>
          </w:tcPr>
          <w:p w14:paraId="2D3680D7">
            <w:pPr>
              <w:widowControl w:val="0"/>
              <w:adjustRightInd w:val="0"/>
              <w:snapToGrid w:val="0"/>
              <w:jc w:val="center"/>
              <w:textAlignment w:val="center"/>
              <w:rPr>
                <w:rFonts w:hint="default" w:ascii="Times New Roman" w:hAnsi="Times New Roman" w:eastAsia="宋体" w:cs="Times New Roman"/>
                <w:sz w:val="21"/>
                <w:szCs w:val="21"/>
                <w:lang w:val="en-US" w:eastAsia="zh-CN" w:bidi="ar"/>
              </w:rPr>
            </w:pPr>
            <w:r>
              <w:rPr>
                <w:rFonts w:hint="default" w:ascii="Times New Roman" w:hAnsi="Times New Roman" w:eastAsia="宋体" w:cs="Times New Roman"/>
                <w:sz w:val="21"/>
                <w:szCs w:val="21"/>
                <w:lang w:val="en-US" w:eastAsia="zh-CN" w:bidi="ar"/>
              </w:rPr>
              <w:t>mg/L</w:t>
            </w:r>
          </w:p>
        </w:tc>
      </w:tr>
      <w:tr w14:paraId="4EE70199">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347" w:type="pct"/>
            <w:tcBorders>
              <w:tl2br w:val="nil"/>
              <w:tr2bl w:val="nil"/>
            </w:tcBorders>
            <w:noWrap w:val="0"/>
            <w:vAlign w:val="center"/>
          </w:tcPr>
          <w:p w14:paraId="531E9860">
            <w:pPr>
              <w:widowControl w:val="0"/>
              <w:adjustRightInd w:val="0"/>
              <w:snapToGrid w:val="0"/>
              <w:jc w:val="center"/>
              <w:textAlignment w:val="center"/>
              <w:rPr>
                <w:rFonts w:hint="default" w:ascii="Times New Roman" w:hAnsi="Times New Roman" w:eastAsia="宋体" w:cs="Times New Roman"/>
                <w:sz w:val="21"/>
                <w:szCs w:val="21"/>
                <w:lang w:val="en-US" w:eastAsia="zh-CN" w:bidi="ar"/>
              </w:rPr>
            </w:pPr>
            <w:r>
              <w:rPr>
                <w:rFonts w:hint="default" w:ascii="Times New Roman" w:hAnsi="Times New Roman" w:eastAsia="宋体" w:cs="Times New Roman"/>
                <w:sz w:val="21"/>
                <w:szCs w:val="21"/>
                <w:lang w:val="en-US" w:eastAsia="zh-CN" w:bidi="ar"/>
              </w:rPr>
              <w:t>22</w:t>
            </w:r>
          </w:p>
        </w:tc>
        <w:tc>
          <w:tcPr>
            <w:tcW w:w="575" w:type="pct"/>
            <w:vMerge w:val="continue"/>
            <w:tcBorders>
              <w:tl2br w:val="nil"/>
              <w:tr2bl w:val="nil"/>
            </w:tcBorders>
            <w:noWrap w:val="0"/>
            <w:vAlign w:val="center"/>
          </w:tcPr>
          <w:p w14:paraId="23CC32B8">
            <w:pPr>
              <w:widowControl w:val="0"/>
              <w:adjustRightInd w:val="0"/>
              <w:snapToGrid w:val="0"/>
              <w:jc w:val="center"/>
              <w:textAlignment w:val="center"/>
              <w:rPr>
                <w:rFonts w:hint="default" w:ascii="Times New Roman" w:hAnsi="Times New Roman" w:eastAsia="宋体" w:cs="Times New Roman"/>
                <w:sz w:val="21"/>
                <w:szCs w:val="21"/>
                <w:lang w:val="en-US" w:eastAsia="zh-CN" w:bidi="ar"/>
              </w:rPr>
            </w:pPr>
          </w:p>
        </w:tc>
        <w:tc>
          <w:tcPr>
            <w:tcW w:w="1034" w:type="pct"/>
            <w:tcBorders>
              <w:tl2br w:val="nil"/>
              <w:tr2bl w:val="nil"/>
            </w:tcBorders>
            <w:noWrap w:val="0"/>
            <w:vAlign w:val="center"/>
          </w:tcPr>
          <w:p w14:paraId="36D30B4F">
            <w:pPr>
              <w:widowControl w:val="0"/>
              <w:adjustRightInd w:val="0"/>
              <w:snapToGrid w:val="0"/>
              <w:jc w:val="center"/>
              <w:textAlignment w:val="center"/>
              <w:rPr>
                <w:rFonts w:hint="default" w:ascii="Times New Roman" w:hAnsi="Times New Roman" w:eastAsia="宋体" w:cs="Times New Roman"/>
                <w:sz w:val="21"/>
                <w:szCs w:val="21"/>
                <w:lang w:val="en-US" w:eastAsia="zh-CN" w:bidi="ar"/>
              </w:rPr>
            </w:pPr>
            <w:r>
              <w:rPr>
                <w:rFonts w:hint="default" w:ascii="Times New Roman" w:hAnsi="Times New Roman" w:eastAsia="宋体" w:cs="Times New Roman"/>
                <w:sz w:val="21"/>
                <w:szCs w:val="21"/>
                <w:lang w:val="en-US" w:eastAsia="zh-CN" w:bidi="ar"/>
              </w:rPr>
              <w:t>硫化物</w:t>
            </w:r>
          </w:p>
        </w:tc>
        <w:tc>
          <w:tcPr>
            <w:tcW w:w="885" w:type="pct"/>
            <w:tcBorders>
              <w:tl2br w:val="nil"/>
              <w:tr2bl w:val="nil"/>
            </w:tcBorders>
            <w:noWrap w:val="0"/>
            <w:vAlign w:val="center"/>
          </w:tcPr>
          <w:p w14:paraId="563E2299">
            <w:pPr>
              <w:widowControl w:val="0"/>
              <w:adjustRightInd w:val="0"/>
              <w:snapToGrid w:val="0"/>
              <w:jc w:val="center"/>
              <w:textAlignment w:val="center"/>
              <w:rPr>
                <w:rFonts w:hint="default" w:ascii="Times New Roman" w:hAnsi="Times New Roman" w:eastAsia="宋体" w:cs="Times New Roman"/>
                <w:sz w:val="21"/>
                <w:szCs w:val="21"/>
                <w:lang w:val="en-US" w:eastAsia="zh-CN" w:bidi="ar"/>
              </w:rPr>
            </w:pPr>
            <w:r>
              <w:rPr>
                <w:rFonts w:hint="default" w:ascii="Times New Roman" w:hAnsi="Times New Roman" w:eastAsia="宋体" w:cs="Times New Roman"/>
                <w:sz w:val="21"/>
                <w:szCs w:val="21"/>
                <w:lang w:bidi="ar"/>
              </w:rPr>
              <w:t>0.01L</w:t>
            </w:r>
          </w:p>
        </w:tc>
        <w:tc>
          <w:tcPr>
            <w:tcW w:w="834" w:type="pct"/>
            <w:tcBorders>
              <w:tl2br w:val="nil"/>
              <w:tr2bl w:val="nil"/>
            </w:tcBorders>
            <w:noWrap w:val="0"/>
            <w:vAlign w:val="center"/>
          </w:tcPr>
          <w:p w14:paraId="2D6775B5">
            <w:pPr>
              <w:widowControl w:val="0"/>
              <w:adjustRightInd w:val="0"/>
              <w:snapToGrid w:val="0"/>
              <w:jc w:val="center"/>
              <w:textAlignment w:val="center"/>
              <w:rPr>
                <w:rFonts w:hint="default" w:ascii="Times New Roman" w:hAnsi="Times New Roman" w:eastAsia="宋体" w:cs="Times New Roman"/>
                <w:sz w:val="21"/>
                <w:szCs w:val="21"/>
                <w:lang w:val="en-US" w:eastAsia="zh-CN" w:bidi="ar"/>
              </w:rPr>
            </w:pPr>
            <w:r>
              <w:rPr>
                <w:rFonts w:hint="default" w:ascii="Times New Roman" w:hAnsi="Times New Roman" w:eastAsia="宋体" w:cs="Times New Roman"/>
                <w:sz w:val="21"/>
                <w:szCs w:val="21"/>
                <w:lang w:bidi="ar"/>
              </w:rPr>
              <w:t>0.01L</w:t>
            </w:r>
          </w:p>
        </w:tc>
        <w:tc>
          <w:tcPr>
            <w:tcW w:w="813" w:type="pct"/>
            <w:tcBorders>
              <w:tl2br w:val="nil"/>
              <w:tr2bl w:val="nil"/>
            </w:tcBorders>
            <w:noWrap w:val="0"/>
            <w:vAlign w:val="center"/>
          </w:tcPr>
          <w:p w14:paraId="1F1170BF">
            <w:pPr>
              <w:widowControl w:val="0"/>
              <w:adjustRightInd w:val="0"/>
              <w:snapToGrid w:val="0"/>
              <w:jc w:val="center"/>
              <w:textAlignment w:val="center"/>
              <w:rPr>
                <w:rFonts w:hint="default" w:ascii="Times New Roman" w:hAnsi="Times New Roman" w:eastAsia="宋体" w:cs="Times New Roman"/>
                <w:sz w:val="21"/>
                <w:szCs w:val="21"/>
                <w:lang w:val="en-US" w:eastAsia="zh-CN" w:bidi="ar"/>
              </w:rPr>
            </w:pPr>
            <w:r>
              <w:rPr>
                <w:rFonts w:hint="default" w:ascii="Times New Roman" w:hAnsi="Times New Roman" w:eastAsia="宋体" w:cs="Times New Roman"/>
                <w:sz w:val="21"/>
                <w:szCs w:val="21"/>
                <w:lang w:bidi="ar"/>
              </w:rPr>
              <w:t>0.01L</w:t>
            </w:r>
          </w:p>
        </w:tc>
        <w:tc>
          <w:tcPr>
            <w:tcW w:w="508" w:type="pct"/>
            <w:tcBorders>
              <w:tl2br w:val="nil"/>
              <w:tr2bl w:val="nil"/>
            </w:tcBorders>
            <w:noWrap w:val="0"/>
            <w:vAlign w:val="center"/>
          </w:tcPr>
          <w:p w14:paraId="6B5915A5">
            <w:pPr>
              <w:widowControl w:val="0"/>
              <w:adjustRightInd w:val="0"/>
              <w:snapToGrid w:val="0"/>
              <w:jc w:val="center"/>
              <w:textAlignment w:val="center"/>
              <w:rPr>
                <w:rFonts w:hint="default" w:ascii="Times New Roman" w:hAnsi="Times New Roman" w:eastAsia="宋体" w:cs="Times New Roman"/>
                <w:sz w:val="21"/>
                <w:szCs w:val="21"/>
                <w:lang w:val="en-US" w:eastAsia="zh-CN" w:bidi="ar"/>
              </w:rPr>
            </w:pPr>
            <w:r>
              <w:rPr>
                <w:rFonts w:hint="default" w:ascii="Times New Roman" w:hAnsi="Times New Roman" w:eastAsia="宋体" w:cs="Times New Roman"/>
                <w:sz w:val="21"/>
                <w:szCs w:val="21"/>
                <w:lang w:val="en-US" w:eastAsia="zh-CN" w:bidi="ar"/>
              </w:rPr>
              <w:t>mg/L</w:t>
            </w:r>
          </w:p>
        </w:tc>
      </w:tr>
      <w:tr w14:paraId="0C783818">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347" w:type="pct"/>
            <w:tcBorders>
              <w:tl2br w:val="nil"/>
              <w:tr2bl w:val="nil"/>
            </w:tcBorders>
            <w:noWrap w:val="0"/>
            <w:vAlign w:val="center"/>
          </w:tcPr>
          <w:p w14:paraId="2C02548C">
            <w:pPr>
              <w:widowControl w:val="0"/>
              <w:adjustRightInd w:val="0"/>
              <w:snapToGrid w:val="0"/>
              <w:jc w:val="center"/>
              <w:textAlignment w:val="center"/>
              <w:rPr>
                <w:rFonts w:hint="default" w:ascii="Times New Roman" w:hAnsi="Times New Roman" w:eastAsia="宋体" w:cs="Times New Roman"/>
                <w:sz w:val="21"/>
                <w:szCs w:val="21"/>
                <w:lang w:val="en-US" w:eastAsia="zh-CN" w:bidi="ar"/>
              </w:rPr>
            </w:pPr>
            <w:r>
              <w:rPr>
                <w:rFonts w:hint="default" w:ascii="Times New Roman" w:hAnsi="Times New Roman" w:eastAsia="宋体" w:cs="Times New Roman"/>
                <w:sz w:val="21"/>
                <w:szCs w:val="21"/>
                <w:lang w:val="en-US" w:eastAsia="zh-CN" w:bidi="ar"/>
              </w:rPr>
              <w:t>23</w:t>
            </w:r>
          </w:p>
        </w:tc>
        <w:tc>
          <w:tcPr>
            <w:tcW w:w="575" w:type="pct"/>
            <w:vMerge w:val="continue"/>
            <w:tcBorders>
              <w:tl2br w:val="nil"/>
              <w:tr2bl w:val="nil"/>
            </w:tcBorders>
            <w:noWrap w:val="0"/>
            <w:vAlign w:val="center"/>
          </w:tcPr>
          <w:p w14:paraId="65FD1B00">
            <w:pPr>
              <w:widowControl w:val="0"/>
              <w:adjustRightInd w:val="0"/>
              <w:snapToGrid w:val="0"/>
              <w:jc w:val="center"/>
              <w:textAlignment w:val="center"/>
              <w:rPr>
                <w:rFonts w:hint="default" w:ascii="Times New Roman" w:hAnsi="Times New Roman" w:eastAsia="宋体" w:cs="Times New Roman"/>
                <w:sz w:val="21"/>
                <w:szCs w:val="21"/>
                <w:lang w:val="en-US" w:eastAsia="zh-CN" w:bidi="ar"/>
              </w:rPr>
            </w:pPr>
          </w:p>
        </w:tc>
        <w:tc>
          <w:tcPr>
            <w:tcW w:w="1034" w:type="pct"/>
            <w:tcBorders>
              <w:tl2br w:val="nil"/>
              <w:tr2bl w:val="nil"/>
            </w:tcBorders>
            <w:noWrap w:val="0"/>
            <w:vAlign w:val="center"/>
          </w:tcPr>
          <w:p w14:paraId="7A997287">
            <w:pPr>
              <w:widowControl w:val="0"/>
              <w:adjustRightInd w:val="0"/>
              <w:snapToGrid w:val="0"/>
              <w:jc w:val="center"/>
              <w:textAlignment w:val="center"/>
              <w:rPr>
                <w:rFonts w:hint="default" w:ascii="Times New Roman" w:hAnsi="Times New Roman" w:eastAsia="宋体" w:cs="Times New Roman"/>
                <w:sz w:val="21"/>
                <w:szCs w:val="21"/>
                <w:lang w:val="en-US" w:eastAsia="zh-CN" w:bidi="ar"/>
              </w:rPr>
            </w:pPr>
            <w:r>
              <w:rPr>
                <w:rFonts w:hint="default" w:ascii="Times New Roman" w:hAnsi="Times New Roman" w:eastAsia="宋体" w:cs="Times New Roman"/>
                <w:sz w:val="21"/>
                <w:szCs w:val="21"/>
                <w:lang w:val="en-US" w:eastAsia="zh-CN" w:bidi="ar"/>
              </w:rPr>
              <w:t>粪大肠菌群</w:t>
            </w:r>
          </w:p>
        </w:tc>
        <w:tc>
          <w:tcPr>
            <w:tcW w:w="885" w:type="pct"/>
            <w:tcBorders>
              <w:tl2br w:val="nil"/>
              <w:tr2bl w:val="nil"/>
            </w:tcBorders>
            <w:noWrap w:val="0"/>
            <w:vAlign w:val="center"/>
          </w:tcPr>
          <w:p w14:paraId="3B704EF0">
            <w:pPr>
              <w:widowControl w:val="0"/>
              <w:adjustRightInd w:val="0"/>
              <w:snapToGrid w:val="0"/>
              <w:jc w:val="center"/>
              <w:textAlignment w:val="center"/>
              <w:rPr>
                <w:rFonts w:hint="default" w:ascii="Times New Roman" w:hAnsi="Times New Roman" w:eastAsia="宋体" w:cs="Times New Roman"/>
                <w:sz w:val="21"/>
                <w:szCs w:val="21"/>
                <w:lang w:val="en-US" w:eastAsia="zh-CN" w:bidi="ar"/>
              </w:rPr>
            </w:pPr>
            <w:r>
              <w:rPr>
                <w:rFonts w:hint="default" w:ascii="Times New Roman" w:hAnsi="Times New Roman" w:eastAsia="宋体" w:cs="Times New Roman"/>
                <w:sz w:val="21"/>
                <w:szCs w:val="21"/>
                <w:lang w:val="en-US" w:eastAsia="zh-CN" w:bidi="ar"/>
              </w:rPr>
              <w:t>2.8×10</w:t>
            </w:r>
            <w:r>
              <w:rPr>
                <w:rFonts w:hint="default" w:ascii="Times New Roman" w:hAnsi="Times New Roman" w:eastAsia="宋体" w:cs="Times New Roman"/>
                <w:sz w:val="21"/>
                <w:szCs w:val="21"/>
                <w:vertAlign w:val="superscript"/>
                <w:lang w:val="en-US" w:eastAsia="zh-CN" w:bidi="ar"/>
              </w:rPr>
              <w:t>2</w:t>
            </w:r>
          </w:p>
        </w:tc>
        <w:tc>
          <w:tcPr>
            <w:tcW w:w="834" w:type="pct"/>
            <w:tcBorders>
              <w:tl2br w:val="nil"/>
              <w:tr2bl w:val="nil"/>
            </w:tcBorders>
            <w:noWrap w:val="0"/>
            <w:vAlign w:val="center"/>
          </w:tcPr>
          <w:p w14:paraId="0FAF31EC">
            <w:pPr>
              <w:widowControl w:val="0"/>
              <w:adjustRightInd w:val="0"/>
              <w:snapToGrid w:val="0"/>
              <w:jc w:val="center"/>
              <w:textAlignment w:val="center"/>
              <w:rPr>
                <w:rFonts w:hint="default" w:ascii="Times New Roman" w:hAnsi="Times New Roman" w:eastAsia="宋体" w:cs="Times New Roman"/>
                <w:sz w:val="21"/>
                <w:szCs w:val="21"/>
                <w:lang w:val="en-US" w:eastAsia="zh-CN" w:bidi="ar"/>
              </w:rPr>
            </w:pPr>
            <w:r>
              <w:rPr>
                <w:rFonts w:hint="default" w:ascii="Times New Roman" w:hAnsi="Times New Roman" w:eastAsia="宋体" w:cs="Times New Roman"/>
                <w:sz w:val="21"/>
                <w:szCs w:val="21"/>
                <w:lang w:val="en-US" w:eastAsia="zh-CN" w:bidi="ar"/>
              </w:rPr>
              <w:t>3.2×10</w:t>
            </w:r>
            <w:r>
              <w:rPr>
                <w:rFonts w:hint="default" w:ascii="Times New Roman" w:hAnsi="Times New Roman" w:eastAsia="宋体" w:cs="Times New Roman"/>
                <w:sz w:val="21"/>
                <w:szCs w:val="21"/>
                <w:vertAlign w:val="superscript"/>
                <w:lang w:val="en-US" w:eastAsia="zh-CN" w:bidi="ar"/>
              </w:rPr>
              <w:t>2</w:t>
            </w:r>
          </w:p>
        </w:tc>
        <w:tc>
          <w:tcPr>
            <w:tcW w:w="813" w:type="pct"/>
            <w:tcBorders>
              <w:tl2br w:val="nil"/>
              <w:tr2bl w:val="nil"/>
            </w:tcBorders>
            <w:noWrap w:val="0"/>
            <w:vAlign w:val="center"/>
          </w:tcPr>
          <w:p w14:paraId="1CBCA256">
            <w:pPr>
              <w:widowControl w:val="0"/>
              <w:adjustRightInd w:val="0"/>
              <w:snapToGrid w:val="0"/>
              <w:jc w:val="center"/>
              <w:textAlignment w:val="center"/>
              <w:rPr>
                <w:rFonts w:hint="default" w:ascii="Times New Roman" w:hAnsi="Times New Roman" w:eastAsia="宋体" w:cs="Times New Roman"/>
                <w:sz w:val="21"/>
                <w:szCs w:val="21"/>
                <w:lang w:val="en-US" w:eastAsia="zh-CN" w:bidi="ar"/>
              </w:rPr>
            </w:pPr>
            <w:r>
              <w:rPr>
                <w:rFonts w:hint="default" w:ascii="Times New Roman" w:hAnsi="Times New Roman" w:eastAsia="宋体" w:cs="Times New Roman"/>
                <w:sz w:val="21"/>
                <w:szCs w:val="21"/>
                <w:lang w:val="en-US" w:eastAsia="zh-CN" w:bidi="ar"/>
              </w:rPr>
              <w:t>2.6×10</w:t>
            </w:r>
            <w:r>
              <w:rPr>
                <w:rFonts w:hint="default" w:ascii="Times New Roman" w:hAnsi="Times New Roman" w:eastAsia="宋体" w:cs="Times New Roman"/>
                <w:sz w:val="21"/>
                <w:szCs w:val="21"/>
                <w:vertAlign w:val="superscript"/>
                <w:lang w:val="en-US" w:eastAsia="zh-CN" w:bidi="ar"/>
              </w:rPr>
              <w:t>2</w:t>
            </w:r>
          </w:p>
        </w:tc>
        <w:tc>
          <w:tcPr>
            <w:tcW w:w="508" w:type="pct"/>
            <w:tcBorders>
              <w:tl2br w:val="nil"/>
              <w:tr2bl w:val="nil"/>
            </w:tcBorders>
            <w:noWrap w:val="0"/>
            <w:vAlign w:val="center"/>
          </w:tcPr>
          <w:p w14:paraId="2B1F9C01">
            <w:pPr>
              <w:widowControl w:val="0"/>
              <w:adjustRightInd w:val="0"/>
              <w:snapToGrid w:val="0"/>
              <w:jc w:val="center"/>
              <w:textAlignment w:val="center"/>
              <w:rPr>
                <w:rFonts w:hint="default" w:ascii="Times New Roman" w:hAnsi="Times New Roman" w:eastAsia="宋体" w:cs="Times New Roman"/>
                <w:sz w:val="21"/>
                <w:szCs w:val="21"/>
                <w:lang w:val="en-US" w:eastAsia="zh-CN" w:bidi="ar"/>
              </w:rPr>
            </w:pPr>
            <w:r>
              <w:rPr>
                <w:rFonts w:hint="default" w:ascii="Times New Roman" w:hAnsi="Times New Roman" w:eastAsia="宋体" w:cs="Times New Roman"/>
                <w:sz w:val="21"/>
                <w:szCs w:val="21"/>
                <w:lang w:val="en-US" w:eastAsia="zh-CN" w:bidi="ar"/>
              </w:rPr>
              <w:t>CFU/L</w:t>
            </w:r>
          </w:p>
        </w:tc>
      </w:tr>
      <w:tr w14:paraId="787E2900">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347" w:type="pct"/>
            <w:tcBorders>
              <w:tl2br w:val="nil"/>
              <w:tr2bl w:val="nil"/>
            </w:tcBorders>
            <w:noWrap w:val="0"/>
            <w:vAlign w:val="center"/>
          </w:tcPr>
          <w:p w14:paraId="0DF08805">
            <w:pPr>
              <w:widowControl w:val="0"/>
              <w:adjustRightInd w:val="0"/>
              <w:snapToGrid w:val="0"/>
              <w:jc w:val="center"/>
              <w:textAlignment w:val="center"/>
              <w:rPr>
                <w:rFonts w:hint="default" w:ascii="Times New Roman" w:hAnsi="Times New Roman" w:eastAsia="宋体" w:cs="Times New Roman"/>
                <w:sz w:val="21"/>
                <w:szCs w:val="21"/>
                <w:lang w:val="en-US" w:eastAsia="zh-CN" w:bidi="ar"/>
              </w:rPr>
            </w:pPr>
            <w:r>
              <w:rPr>
                <w:rFonts w:hint="default" w:ascii="Times New Roman" w:hAnsi="Times New Roman" w:eastAsia="宋体" w:cs="Times New Roman"/>
                <w:sz w:val="21"/>
                <w:szCs w:val="21"/>
                <w:lang w:val="en-US" w:eastAsia="zh-CN" w:bidi="ar"/>
              </w:rPr>
              <w:t>24</w:t>
            </w:r>
          </w:p>
        </w:tc>
        <w:tc>
          <w:tcPr>
            <w:tcW w:w="575" w:type="pct"/>
            <w:vMerge w:val="continue"/>
            <w:tcBorders>
              <w:tl2br w:val="nil"/>
              <w:tr2bl w:val="nil"/>
            </w:tcBorders>
            <w:noWrap w:val="0"/>
            <w:vAlign w:val="center"/>
          </w:tcPr>
          <w:p w14:paraId="22494547">
            <w:pPr>
              <w:widowControl w:val="0"/>
              <w:adjustRightInd w:val="0"/>
              <w:snapToGrid w:val="0"/>
              <w:jc w:val="center"/>
              <w:textAlignment w:val="center"/>
              <w:rPr>
                <w:rFonts w:hint="default" w:ascii="Times New Roman" w:hAnsi="Times New Roman" w:eastAsia="宋体" w:cs="Times New Roman"/>
                <w:sz w:val="21"/>
                <w:szCs w:val="21"/>
                <w:lang w:val="en-US" w:eastAsia="zh-CN" w:bidi="ar"/>
              </w:rPr>
            </w:pPr>
          </w:p>
        </w:tc>
        <w:tc>
          <w:tcPr>
            <w:tcW w:w="1034" w:type="pct"/>
            <w:tcBorders>
              <w:tl2br w:val="nil"/>
              <w:tr2bl w:val="nil"/>
            </w:tcBorders>
            <w:noWrap w:val="0"/>
            <w:vAlign w:val="center"/>
          </w:tcPr>
          <w:p w14:paraId="60A5B651">
            <w:pPr>
              <w:widowControl w:val="0"/>
              <w:adjustRightInd w:val="0"/>
              <w:snapToGrid w:val="0"/>
              <w:jc w:val="center"/>
              <w:textAlignment w:val="center"/>
              <w:rPr>
                <w:rFonts w:hint="default" w:ascii="Times New Roman" w:hAnsi="Times New Roman" w:eastAsia="宋体" w:cs="Times New Roman"/>
                <w:sz w:val="21"/>
                <w:szCs w:val="21"/>
                <w:lang w:val="en-US" w:eastAsia="zh-CN" w:bidi="ar"/>
              </w:rPr>
            </w:pPr>
            <w:r>
              <w:rPr>
                <w:rFonts w:hint="default" w:ascii="Times New Roman" w:hAnsi="Times New Roman" w:eastAsia="宋体" w:cs="Times New Roman"/>
                <w:sz w:val="21"/>
                <w:szCs w:val="21"/>
                <w:lang w:val="en-US" w:eastAsia="zh-CN" w:bidi="ar"/>
              </w:rPr>
              <w:t>阴离子</w:t>
            </w:r>
          </w:p>
          <w:p w14:paraId="5BE7AA37">
            <w:pPr>
              <w:widowControl w:val="0"/>
              <w:adjustRightInd w:val="0"/>
              <w:snapToGrid w:val="0"/>
              <w:jc w:val="center"/>
              <w:textAlignment w:val="center"/>
              <w:rPr>
                <w:rFonts w:hint="default" w:ascii="Times New Roman" w:hAnsi="Times New Roman" w:eastAsia="宋体" w:cs="Times New Roman"/>
                <w:sz w:val="21"/>
                <w:szCs w:val="21"/>
                <w:lang w:val="en-US" w:eastAsia="zh-CN" w:bidi="ar"/>
              </w:rPr>
            </w:pPr>
            <w:r>
              <w:rPr>
                <w:rFonts w:hint="default" w:ascii="Times New Roman" w:hAnsi="Times New Roman" w:eastAsia="宋体" w:cs="Times New Roman"/>
                <w:sz w:val="21"/>
                <w:szCs w:val="21"/>
                <w:lang w:val="en-US" w:eastAsia="zh-CN" w:bidi="ar"/>
              </w:rPr>
              <w:t>表面活性剂</w:t>
            </w:r>
          </w:p>
        </w:tc>
        <w:tc>
          <w:tcPr>
            <w:tcW w:w="885" w:type="pct"/>
            <w:tcBorders>
              <w:tl2br w:val="nil"/>
              <w:tr2bl w:val="nil"/>
            </w:tcBorders>
            <w:noWrap w:val="0"/>
            <w:vAlign w:val="center"/>
          </w:tcPr>
          <w:p w14:paraId="47E373B8">
            <w:pPr>
              <w:widowControl w:val="0"/>
              <w:adjustRightInd w:val="0"/>
              <w:snapToGrid w:val="0"/>
              <w:jc w:val="center"/>
              <w:textAlignment w:val="center"/>
              <w:rPr>
                <w:rFonts w:hint="default" w:ascii="Times New Roman" w:hAnsi="Times New Roman" w:eastAsia="宋体" w:cs="Times New Roman"/>
                <w:sz w:val="21"/>
                <w:szCs w:val="21"/>
                <w:lang w:val="en-US" w:eastAsia="zh-CN" w:bidi="ar"/>
              </w:rPr>
            </w:pPr>
            <w:r>
              <w:rPr>
                <w:rFonts w:hint="default" w:ascii="Times New Roman" w:hAnsi="Times New Roman" w:eastAsia="宋体" w:cs="Times New Roman"/>
                <w:sz w:val="21"/>
                <w:szCs w:val="21"/>
                <w:lang w:bidi="ar"/>
              </w:rPr>
              <w:t>0.05L</w:t>
            </w:r>
          </w:p>
        </w:tc>
        <w:tc>
          <w:tcPr>
            <w:tcW w:w="834" w:type="pct"/>
            <w:tcBorders>
              <w:tl2br w:val="nil"/>
              <w:tr2bl w:val="nil"/>
            </w:tcBorders>
            <w:noWrap w:val="0"/>
            <w:vAlign w:val="center"/>
          </w:tcPr>
          <w:p w14:paraId="3D6C008A">
            <w:pPr>
              <w:widowControl w:val="0"/>
              <w:adjustRightInd w:val="0"/>
              <w:snapToGrid w:val="0"/>
              <w:jc w:val="center"/>
              <w:textAlignment w:val="center"/>
              <w:rPr>
                <w:rFonts w:hint="default" w:ascii="Times New Roman" w:hAnsi="Times New Roman" w:eastAsia="宋体" w:cs="Times New Roman"/>
                <w:sz w:val="21"/>
                <w:szCs w:val="21"/>
                <w:lang w:val="en-US" w:eastAsia="zh-CN" w:bidi="ar"/>
              </w:rPr>
            </w:pPr>
            <w:r>
              <w:rPr>
                <w:rFonts w:hint="default" w:ascii="Times New Roman" w:hAnsi="Times New Roman" w:eastAsia="宋体" w:cs="Times New Roman"/>
                <w:sz w:val="21"/>
                <w:szCs w:val="21"/>
                <w:lang w:bidi="ar"/>
              </w:rPr>
              <w:t>0.05L</w:t>
            </w:r>
          </w:p>
        </w:tc>
        <w:tc>
          <w:tcPr>
            <w:tcW w:w="813" w:type="pct"/>
            <w:tcBorders>
              <w:tl2br w:val="nil"/>
              <w:tr2bl w:val="nil"/>
            </w:tcBorders>
            <w:noWrap w:val="0"/>
            <w:vAlign w:val="center"/>
          </w:tcPr>
          <w:p w14:paraId="4993545C">
            <w:pPr>
              <w:widowControl w:val="0"/>
              <w:adjustRightInd w:val="0"/>
              <w:snapToGrid w:val="0"/>
              <w:jc w:val="center"/>
              <w:textAlignment w:val="center"/>
              <w:rPr>
                <w:rFonts w:hint="default" w:ascii="Times New Roman" w:hAnsi="Times New Roman" w:eastAsia="宋体" w:cs="Times New Roman"/>
                <w:sz w:val="21"/>
                <w:szCs w:val="21"/>
                <w:lang w:val="en-US" w:eastAsia="zh-CN" w:bidi="ar"/>
              </w:rPr>
            </w:pPr>
            <w:r>
              <w:rPr>
                <w:rFonts w:hint="default" w:ascii="Times New Roman" w:hAnsi="Times New Roman" w:eastAsia="宋体" w:cs="Times New Roman"/>
                <w:sz w:val="21"/>
                <w:szCs w:val="21"/>
                <w:lang w:bidi="ar"/>
              </w:rPr>
              <w:t>0.05L</w:t>
            </w:r>
          </w:p>
        </w:tc>
        <w:tc>
          <w:tcPr>
            <w:tcW w:w="508" w:type="pct"/>
            <w:tcBorders>
              <w:tl2br w:val="nil"/>
              <w:tr2bl w:val="nil"/>
            </w:tcBorders>
            <w:noWrap w:val="0"/>
            <w:vAlign w:val="center"/>
          </w:tcPr>
          <w:p w14:paraId="26C849F6">
            <w:pPr>
              <w:widowControl w:val="0"/>
              <w:adjustRightInd w:val="0"/>
              <w:snapToGrid w:val="0"/>
              <w:jc w:val="center"/>
              <w:textAlignment w:val="center"/>
              <w:rPr>
                <w:rFonts w:hint="default" w:ascii="Times New Roman" w:hAnsi="Times New Roman" w:eastAsia="宋体" w:cs="Times New Roman"/>
                <w:sz w:val="21"/>
                <w:szCs w:val="21"/>
                <w:lang w:val="en-US" w:eastAsia="zh-CN" w:bidi="ar"/>
              </w:rPr>
            </w:pPr>
            <w:r>
              <w:rPr>
                <w:rFonts w:hint="default" w:ascii="Times New Roman" w:hAnsi="Times New Roman" w:eastAsia="宋体" w:cs="Times New Roman"/>
                <w:sz w:val="21"/>
                <w:szCs w:val="21"/>
                <w:lang w:val="en-US" w:eastAsia="zh-CN" w:bidi="ar"/>
              </w:rPr>
              <w:t>mg/L</w:t>
            </w:r>
          </w:p>
        </w:tc>
      </w:tr>
    </w:tbl>
    <w:p w14:paraId="60CCA2B1">
      <w:pPr>
        <w:pStyle w:val="3"/>
        <w:numPr>
          <w:ilvl w:val="0"/>
          <w:numId w:val="0"/>
        </w:numPr>
        <w:ind w:leftChars="100" w:right="0" w:rightChars="0"/>
        <w:rPr>
          <w:rFonts w:hint="eastAsia" w:ascii="Times New Roman" w:hAnsi="Times New Roman" w:cs="Times New Roman"/>
        </w:rPr>
      </w:pPr>
    </w:p>
    <w:p w14:paraId="04B76A26">
      <w:pPr>
        <w:keepNext w:val="0"/>
        <w:keepLines w:val="0"/>
        <w:widowControl/>
        <w:suppressLineNumbers w:val="0"/>
        <w:jc w:val="center"/>
      </w:pPr>
      <w:r>
        <w:rPr>
          <w:rFonts w:ascii="Times New Roman" w:hAnsi="Times New Roman" w:eastAsia="黑体" w:cs="Times New Roman"/>
          <w:b w:val="0"/>
          <w:sz w:val="24"/>
          <w:szCs w:val="21"/>
          <w:lang w:val="en-US" w:eastAsia="zh-CN" w:bidi="ar-SA"/>
        </w:rPr>
        <w:t>表</w:t>
      </w:r>
      <w:r>
        <w:rPr>
          <w:rFonts w:hint="eastAsia" w:ascii="Times New Roman" w:hAnsi="Times New Roman" w:eastAsia="黑体" w:cs="Times New Roman"/>
          <w:b w:val="0"/>
          <w:sz w:val="24"/>
          <w:szCs w:val="21"/>
          <w:lang w:val="en-US" w:eastAsia="zh-CN" w:bidi="ar-SA"/>
        </w:rPr>
        <w:t xml:space="preserve">4.2-20 </w:t>
      </w:r>
      <w:r>
        <w:rPr>
          <w:rFonts w:hint="default" w:ascii="Times New Roman" w:hAnsi="Times New Roman" w:eastAsia="黑体" w:cs="Times New Roman"/>
          <w:b w:val="0"/>
          <w:sz w:val="24"/>
          <w:szCs w:val="21"/>
          <w:lang w:val="en-US" w:eastAsia="zh-CN" w:bidi="ar-SA"/>
        </w:rPr>
        <w:t xml:space="preserve"> </w:t>
      </w:r>
      <w:r>
        <w:rPr>
          <w:rFonts w:hint="eastAsia" w:ascii="Times New Roman" w:hAnsi="Times New Roman" w:eastAsia="黑体" w:cs="Times New Roman"/>
          <w:b w:val="0"/>
          <w:sz w:val="24"/>
          <w:szCs w:val="21"/>
          <w:lang w:val="en-US" w:eastAsia="zh-CN" w:bidi="ar-SA"/>
        </w:rPr>
        <w:t>地表水现状评价结果一览表</w:t>
      </w:r>
    </w:p>
    <w:tbl>
      <w:tblPr>
        <w:tblStyle w:val="57"/>
        <w:tblW w:w="8787" w:type="dxa"/>
        <w:jc w:val="center"/>
        <w:tblBorders>
          <w:top w:val="double" w:color="auto" w:sz="4" w:space="0"/>
          <w:left w:val="none" w:color="auto" w:sz="0" w:space="0"/>
          <w:bottom w:val="double" w:color="auto" w:sz="4"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679"/>
        <w:gridCol w:w="1125"/>
        <w:gridCol w:w="2024"/>
        <w:gridCol w:w="1734"/>
        <w:gridCol w:w="1632"/>
        <w:gridCol w:w="1593"/>
      </w:tblGrid>
      <w:tr w14:paraId="0B01E081">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atLeast"/>
          <w:tblHeader/>
          <w:jc w:val="center"/>
        </w:trPr>
        <w:tc>
          <w:tcPr>
            <w:tcW w:w="386" w:type="pct"/>
            <w:vMerge w:val="restart"/>
            <w:tcBorders>
              <w:tl2br w:val="nil"/>
              <w:tr2bl w:val="nil"/>
            </w:tcBorders>
            <w:noWrap w:val="0"/>
            <w:vAlign w:val="center"/>
          </w:tcPr>
          <w:p w14:paraId="2E6741C7">
            <w:pPr>
              <w:keepNext w:val="0"/>
              <w:keepLines w:val="0"/>
              <w:widowControl/>
              <w:suppressLineNumbers w:val="0"/>
              <w:jc w:val="center"/>
              <w:textAlignment w:val="center"/>
              <w:rPr>
                <w:rFonts w:hint="default" w:ascii="Times New Roman" w:hAnsi="Times New Roman" w:eastAsia="宋体" w:cs="Times New Roman"/>
                <w:b/>
                <w:bCs/>
                <w:i w:val="0"/>
                <w:color w:val="000000"/>
                <w:kern w:val="0"/>
                <w:sz w:val="21"/>
                <w:szCs w:val="21"/>
                <w:u w:val="none"/>
                <w:lang w:val="en-US" w:eastAsia="zh-CN" w:bidi="ar"/>
              </w:rPr>
            </w:pPr>
            <w:r>
              <w:rPr>
                <w:rFonts w:hint="default" w:ascii="Times New Roman" w:hAnsi="Times New Roman" w:cs="Times New Roman"/>
                <w:b/>
                <w:bCs/>
                <w:i w:val="0"/>
                <w:color w:val="000000"/>
                <w:kern w:val="0"/>
                <w:sz w:val="21"/>
                <w:szCs w:val="21"/>
                <w:u w:val="none"/>
                <w:lang w:val="en-US" w:eastAsia="zh-CN" w:bidi="ar"/>
              </w:rPr>
              <w:t>序号</w:t>
            </w:r>
          </w:p>
        </w:tc>
        <w:tc>
          <w:tcPr>
            <w:tcW w:w="640" w:type="pct"/>
            <w:vMerge w:val="restart"/>
            <w:tcBorders>
              <w:tl2br w:val="nil"/>
              <w:tr2bl w:val="nil"/>
            </w:tcBorders>
            <w:noWrap w:val="0"/>
            <w:vAlign w:val="center"/>
          </w:tcPr>
          <w:p w14:paraId="6F0AE4B2">
            <w:pPr>
              <w:keepNext w:val="0"/>
              <w:keepLines w:val="0"/>
              <w:widowControl/>
              <w:suppressLineNumbers w:val="0"/>
              <w:jc w:val="center"/>
              <w:textAlignment w:val="center"/>
              <w:rPr>
                <w:rFonts w:hint="default" w:ascii="Times New Roman" w:hAnsi="Times New Roman" w:eastAsia="宋体" w:cs="Times New Roman"/>
                <w:b/>
                <w:bCs/>
                <w:i w:val="0"/>
                <w:color w:val="000000"/>
                <w:kern w:val="0"/>
                <w:sz w:val="21"/>
                <w:szCs w:val="21"/>
                <w:u w:val="none"/>
                <w:lang w:val="en-US" w:eastAsia="zh-CN" w:bidi="ar"/>
              </w:rPr>
            </w:pPr>
            <w:r>
              <w:rPr>
                <w:rFonts w:hint="eastAsia" w:ascii="Times New Roman" w:hAnsi="Times New Roman" w:eastAsia="宋体" w:cs="Times New Roman"/>
                <w:b/>
                <w:bCs/>
                <w:i w:val="0"/>
                <w:color w:val="000000"/>
                <w:kern w:val="0"/>
                <w:sz w:val="21"/>
                <w:szCs w:val="21"/>
                <w:u w:val="none"/>
                <w:lang w:val="en-US" w:eastAsia="zh-CN" w:bidi="ar"/>
              </w:rPr>
              <w:t>点位</w:t>
            </w:r>
          </w:p>
        </w:tc>
        <w:tc>
          <w:tcPr>
            <w:tcW w:w="1151" w:type="pct"/>
            <w:vMerge w:val="restart"/>
            <w:tcBorders>
              <w:tl2br w:val="nil"/>
              <w:tr2bl w:val="nil"/>
            </w:tcBorders>
            <w:noWrap w:val="0"/>
            <w:vAlign w:val="center"/>
          </w:tcPr>
          <w:p w14:paraId="61897CD9">
            <w:pPr>
              <w:keepNext w:val="0"/>
              <w:keepLines w:val="0"/>
              <w:widowControl/>
              <w:suppressLineNumbers w:val="0"/>
              <w:jc w:val="center"/>
              <w:textAlignment w:val="center"/>
              <w:rPr>
                <w:rFonts w:hint="default" w:ascii="Times New Roman" w:hAnsi="Times New Roman" w:eastAsia="宋体" w:cs="Times New Roman"/>
                <w:sz w:val="21"/>
                <w:szCs w:val="21"/>
                <w:vertAlign w:val="baseline"/>
                <w:lang w:val="en-US" w:eastAsia="zh-CN"/>
              </w:rPr>
            </w:pPr>
            <w:r>
              <w:rPr>
                <w:rFonts w:hint="default" w:ascii="Times New Roman" w:hAnsi="Times New Roman" w:eastAsia="宋体" w:cs="Times New Roman"/>
                <w:b/>
                <w:bCs/>
                <w:i w:val="0"/>
                <w:color w:val="000000"/>
                <w:kern w:val="0"/>
                <w:sz w:val="21"/>
                <w:szCs w:val="21"/>
                <w:u w:val="none"/>
                <w:lang w:val="en-US" w:eastAsia="zh-CN" w:bidi="ar"/>
              </w:rPr>
              <w:t>检测项目</w:t>
            </w:r>
          </w:p>
        </w:tc>
        <w:tc>
          <w:tcPr>
            <w:tcW w:w="2820" w:type="pct"/>
            <w:gridSpan w:val="3"/>
            <w:tcBorders>
              <w:tl2br w:val="nil"/>
              <w:tr2bl w:val="nil"/>
            </w:tcBorders>
            <w:noWrap w:val="0"/>
            <w:vAlign w:val="center"/>
          </w:tcPr>
          <w:p w14:paraId="01D91E1B">
            <w:pPr>
              <w:keepNext w:val="0"/>
              <w:keepLines w:val="0"/>
              <w:widowControl/>
              <w:suppressLineNumbers w:val="0"/>
              <w:jc w:val="center"/>
              <w:textAlignment w:val="center"/>
              <w:rPr>
                <w:rFonts w:hint="eastAsia" w:ascii="Times New Roman" w:hAnsi="Times New Roman" w:cs="Times New Roman"/>
                <w:i w:val="0"/>
                <w:color w:val="000000"/>
                <w:sz w:val="21"/>
                <w:szCs w:val="21"/>
                <w:u w:val="none"/>
                <w:lang w:val="en-US" w:eastAsia="zh-CN"/>
              </w:rPr>
            </w:pPr>
            <w:r>
              <w:rPr>
                <w:rFonts w:hint="eastAsia" w:ascii="Times New Roman" w:hAnsi="Times New Roman" w:cs="Times New Roman"/>
                <w:i w:val="0"/>
                <w:color w:val="000000"/>
                <w:sz w:val="21"/>
                <w:szCs w:val="21"/>
                <w:u w:val="none"/>
                <w:lang w:val="en-US" w:eastAsia="zh-CN"/>
              </w:rPr>
              <w:t>监测时间</w:t>
            </w:r>
          </w:p>
        </w:tc>
      </w:tr>
      <w:tr w14:paraId="75B58079">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atLeast"/>
          <w:tblHeader/>
          <w:jc w:val="center"/>
        </w:trPr>
        <w:tc>
          <w:tcPr>
            <w:tcW w:w="386" w:type="pct"/>
            <w:vMerge w:val="continue"/>
            <w:tcBorders>
              <w:tl2br w:val="nil"/>
              <w:tr2bl w:val="nil"/>
            </w:tcBorders>
            <w:noWrap w:val="0"/>
            <w:vAlign w:val="center"/>
          </w:tcPr>
          <w:p w14:paraId="11C391ED">
            <w:pPr>
              <w:keepNext w:val="0"/>
              <w:keepLines w:val="0"/>
              <w:widowControl/>
              <w:suppressLineNumbers w:val="0"/>
              <w:jc w:val="center"/>
              <w:textAlignment w:val="center"/>
              <w:rPr>
                <w:rFonts w:hint="default" w:ascii="Times New Roman" w:hAnsi="Times New Roman" w:eastAsia="宋体" w:cs="Times New Roman"/>
                <w:b/>
                <w:bCs/>
                <w:i w:val="0"/>
                <w:color w:val="000000"/>
                <w:kern w:val="0"/>
                <w:sz w:val="21"/>
                <w:szCs w:val="21"/>
                <w:u w:val="none"/>
                <w:lang w:val="en-US" w:eastAsia="zh-CN" w:bidi="ar"/>
              </w:rPr>
            </w:pPr>
          </w:p>
        </w:tc>
        <w:tc>
          <w:tcPr>
            <w:tcW w:w="640" w:type="pct"/>
            <w:vMerge w:val="continue"/>
            <w:tcBorders>
              <w:tl2br w:val="nil"/>
              <w:tr2bl w:val="nil"/>
            </w:tcBorders>
            <w:noWrap w:val="0"/>
            <w:vAlign w:val="center"/>
          </w:tcPr>
          <w:p w14:paraId="2BC6D7D4">
            <w:pPr>
              <w:keepNext w:val="0"/>
              <w:keepLines w:val="0"/>
              <w:widowControl/>
              <w:suppressLineNumbers w:val="0"/>
              <w:jc w:val="center"/>
              <w:textAlignment w:val="center"/>
              <w:rPr>
                <w:rFonts w:hint="default" w:ascii="Times New Roman" w:hAnsi="Times New Roman" w:eastAsia="宋体" w:cs="Times New Roman"/>
                <w:b/>
                <w:bCs/>
                <w:i w:val="0"/>
                <w:color w:val="000000"/>
                <w:kern w:val="0"/>
                <w:sz w:val="21"/>
                <w:szCs w:val="21"/>
                <w:u w:val="none"/>
                <w:lang w:val="en-US" w:eastAsia="zh-CN" w:bidi="ar"/>
              </w:rPr>
            </w:pPr>
          </w:p>
        </w:tc>
        <w:tc>
          <w:tcPr>
            <w:tcW w:w="1151" w:type="pct"/>
            <w:vMerge w:val="continue"/>
            <w:tcBorders>
              <w:tl2br w:val="nil"/>
              <w:tr2bl w:val="nil"/>
            </w:tcBorders>
            <w:noWrap w:val="0"/>
            <w:vAlign w:val="center"/>
          </w:tcPr>
          <w:p w14:paraId="050D92E9">
            <w:pPr>
              <w:keepNext w:val="0"/>
              <w:keepLines w:val="0"/>
              <w:widowControl/>
              <w:suppressLineNumbers w:val="0"/>
              <w:jc w:val="center"/>
              <w:textAlignment w:val="center"/>
              <w:rPr>
                <w:rFonts w:hint="default" w:ascii="Times New Roman" w:hAnsi="Times New Roman" w:eastAsia="宋体" w:cs="Times New Roman"/>
                <w:sz w:val="21"/>
                <w:szCs w:val="21"/>
                <w:vertAlign w:val="baseline"/>
                <w:lang w:val="en-US" w:eastAsia="zh-CN"/>
              </w:rPr>
            </w:pPr>
          </w:p>
        </w:tc>
        <w:tc>
          <w:tcPr>
            <w:tcW w:w="986" w:type="pct"/>
            <w:tcBorders>
              <w:tl2br w:val="nil"/>
              <w:tr2bl w:val="nil"/>
            </w:tcBorders>
            <w:noWrap w:val="0"/>
            <w:vAlign w:val="center"/>
          </w:tcPr>
          <w:p w14:paraId="6CAEEDE7">
            <w:pPr>
              <w:keepNext w:val="0"/>
              <w:keepLines w:val="0"/>
              <w:widowControl/>
              <w:suppressLineNumbers w:val="0"/>
              <w:jc w:val="center"/>
              <w:textAlignment w:val="center"/>
              <w:rPr>
                <w:rFonts w:hint="default" w:ascii="Times New Roman" w:hAnsi="Times New Roman" w:eastAsia="宋体" w:cs="Times New Roman"/>
                <w:kern w:val="2"/>
                <w:sz w:val="21"/>
                <w:szCs w:val="21"/>
                <w:vertAlign w:val="baseline"/>
                <w:lang w:val="en-US" w:eastAsia="zh-CN" w:bidi="ar-SA"/>
              </w:rPr>
            </w:pPr>
            <w:r>
              <w:rPr>
                <w:rFonts w:hint="eastAsia" w:ascii="Times New Roman" w:hAnsi="Times New Roman" w:cs="Times New Roman"/>
                <w:i w:val="0"/>
                <w:color w:val="000000"/>
                <w:sz w:val="21"/>
                <w:szCs w:val="21"/>
                <w:u w:val="none"/>
                <w:lang w:val="en-US" w:eastAsia="zh-CN"/>
              </w:rPr>
              <w:t>2026.05.01</w:t>
            </w:r>
          </w:p>
        </w:tc>
        <w:tc>
          <w:tcPr>
            <w:tcW w:w="928" w:type="pct"/>
            <w:tcBorders>
              <w:tl2br w:val="nil"/>
              <w:tr2bl w:val="nil"/>
            </w:tcBorders>
            <w:noWrap w:val="0"/>
            <w:vAlign w:val="center"/>
          </w:tcPr>
          <w:p w14:paraId="493E06EC">
            <w:pPr>
              <w:keepNext w:val="0"/>
              <w:keepLines w:val="0"/>
              <w:widowControl/>
              <w:suppressLineNumbers w:val="0"/>
              <w:jc w:val="center"/>
              <w:textAlignment w:val="center"/>
              <w:rPr>
                <w:rFonts w:hint="default" w:ascii="Times New Roman" w:hAnsi="Times New Roman" w:eastAsia="宋体" w:cs="Times New Roman"/>
                <w:b/>
                <w:bCs/>
                <w:i w:val="0"/>
                <w:color w:val="000000"/>
                <w:kern w:val="0"/>
                <w:sz w:val="21"/>
                <w:szCs w:val="21"/>
                <w:u w:val="none"/>
                <w:lang w:val="en-US" w:eastAsia="zh-CN" w:bidi="ar"/>
              </w:rPr>
            </w:pPr>
            <w:r>
              <w:rPr>
                <w:rFonts w:hint="eastAsia" w:ascii="Times New Roman" w:hAnsi="Times New Roman" w:cs="Times New Roman"/>
                <w:i w:val="0"/>
                <w:color w:val="000000"/>
                <w:sz w:val="21"/>
                <w:szCs w:val="21"/>
                <w:u w:val="none"/>
                <w:lang w:val="en-US" w:eastAsia="zh-CN"/>
              </w:rPr>
              <w:t>2026.05.02</w:t>
            </w:r>
          </w:p>
        </w:tc>
        <w:tc>
          <w:tcPr>
            <w:tcW w:w="905" w:type="pct"/>
            <w:tcBorders>
              <w:tl2br w:val="nil"/>
              <w:tr2bl w:val="nil"/>
            </w:tcBorders>
            <w:noWrap w:val="0"/>
            <w:vAlign w:val="center"/>
          </w:tcPr>
          <w:p w14:paraId="2F174F4C">
            <w:pPr>
              <w:keepNext w:val="0"/>
              <w:keepLines w:val="0"/>
              <w:widowControl/>
              <w:suppressLineNumbers w:val="0"/>
              <w:jc w:val="center"/>
              <w:textAlignment w:val="center"/>
              <w:rPr>
                <w:rFonts w:hint="default" w:ascii="Times New Roman" w:hAnsi="Times New Roman" w:eastAsia="宋体" w:cs="Times New Roman"/>
                <w:b/>
                <w:bCs/>
                <w:i w:val="0"/>
                <w:color w:val="000000"/>
                <w:kern w:val="0"/>
                <w:sz w:val="21"/>
                <w:szCs w:val="21"/>
                <w:u w:val="none"/>
                <w:lang w:val="en-US" w:eastAsia="zh-CN" w:bidi="ar"/>
              </w:rPr>
            </w:pPr>
            <w:r>
              <w:rPr>
                <w:rFonts w:hint="eastAsia" w:ascii="Times New Roman" w:hAnsi="Times New Roman" w:cs="Times New Roman"/>
                <w:i w:val="0"/>
                <w:color w:val="000000"/>
                <w:sz w:val="21"/>
                <w:szCs w:val="21"/>
                <w:u w:val="none"/>
                <w:lang w:val="en-US" w:eastAsia="zh-CN"/>
              </w:rPr>
              <w:t>2026.05.03</w:t>
            </w:r>
          </w:p>
        </w:tc>
      </w:tr>
      <w:tr w14:paraId="217ABFB6">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386" w:type="pct"/>
            <w:tcBorders>
              <w:tl2br w:val="nil"/>
              <w:tr2bl w:val="nil"/>
            </w:tcBorders>
            <w:noWrap w:val="0"/>
            <w:vAlign w:val="center"/>
          </w:tcPr>
          <w:p w14:paraId="21083983">
            <w:pPr>
              <w:widowControl w:val="0"/>
              <w:adjustRightInd w:val="0"/>
              <w:snapToGrid w:val="0"/>
              <w:jc w:val="center"/>
              <w:textAlignment w:val="center"/>
              <w:rPr>
                <w:rFonts w:hint="default" w:ascii="Times New Roman" w:hAnsi="Times New Roman" w:eastAsia="宋体" w:cs="Times New Roman"/>
                <w:sz w:val="21"/>
                <w:szCs w:val="21"/>
                <w:lang w:val="en-US" w:eastAsia="zh-CN" w:bidi="ar"/>
              </w:rPr>
            </w:pPr>
            <w:r>
              <w:rPr>
                <w:rFonts w:hint="default" w:ascii="Times New Roman" w:hAnsi="Times New Roman" w:eastAsia="宋体" w:cs="Times New Roman"/>
                <w:sz w:val="21"/>
                <w:szCs w:val="21"/>
                <w:lang w:val="en-US" w:eastAsia="zh-CN" w:bidi="ar"/>
              </w:rPr>
              <w:t>1</w:t>
            </w:r>
          </w:p>
        </w:tc>
        <w:tc>
          <w:tcPr>
            <w:tcW w:w="640" w:type="pct"/>
            <w:vMerge w:val="restart"/>
            <w:tcBorders>
              <w:tl2br w:val="nil"/>
              <w:tr2bl w:val="nil"/>
            </w:tcBorders>
            <w:noWrap w:val="0"/>
            <w:vAlign w:val="center"/>
          </w:tcPr>
          <w:p w14:paraId="0C74C949">
            <w:pPr>
              <w:widowControl w:val="0"/>
              <w:adjustRightInd w:val="0"/>
              <w:snapToGrid w:val="0"/>
              <w:jc w:val="center"/>
              <w:textAlignment w:val="center"/>
              <w:rPr>
                <w:rFonts w:hint="default" w:ascii="Times New Roman" w:hAnsi="Times New Roman" w:eastAsia="宋体" w:cs="Times New Roman"/>
                <w:sz w:val="21"/>
                <w:szCs w:val="21"/>
                <w:lang w:val="en-US" w:eastAsia="zh-CN" w:bidi="ar"/>
              </w:rPr>
            </w:pPr>
            <w:r>
              <w:rPr>
                <w:rFonts w:hint="default" w:ascii="Times New Roman" w:hAnsi="Times New Roman" w:eastAsia="宋体" w:cs="Times New Roman"/>
                <w:sz w:val="21"/>
                <w:szCs w:val="21"/>
                <w:lang w:val="en-US" w:eastAsia="zh-CN" w:bidi="ar"/>
              </w:rPr>
              <w:t>厂区西侧西河雨水排口下游</w:t>
            </w:r>
          </w:p>
        </w:tc>
        <w:tc>
          <w:tcPr>
            <w:tcW w:w="1151" w:type="pct"/>
            <w:tcBorders>
              <w:tl2br w:val="nil"/>
              <w:tr2bl w:val="nil"/>
            </w:tcBorders>
            <w:noWrap w:val="0"/>
            <w:vAlign w:val="center"/>
          </w:tcPr>
          <w:p w14:paraId="0E65D75D">
            <w:pPr>
              <w:widowControl w:val="0"/>
              <w:adjustRightInd w:val="0"/>
              <w:snapToGrid w:val="0"/>
              <w:jc w:val="center"/>
              <w:textAlignment w:val="center"/>
              <w:rPr>
                <w:rFonts w:hint="default" w:ascii="Times New Roman" w:hAnsi="Times New Roman" w:eastAsia="宋体" w:cs="Times New Roman"/>
                <w:sz w:val="21"/>
                <w:szCs w:val="21"/>
                <w:lang w:val="en-US" w:eastAsia="zh-CN" w:bidi="ar"/>
              </w:rPr>
            </w:pPr>
            <w:r>
              <w:rPr>
                <w:rFonts w:hint="default" w:ascii="Times New Roman" w:hAnsi="Times New Roman" w:eastAsia="宋体" w:cs="Times New Roman"/>
                <w:sz w:val="21"/>
                <w:szCs w:val="21"/>
                <w:lang w:val="en-US" w:eastAsia="zh-CN" w:bidi="ar"/>
              </w:rPr>
              <w:t>pH值</w:t>
            </w:r>
          </w:p>
        </w:tc>
        <w:tc>
          <w:tcPr>
            <w:tcW w:w="986" w:type="pct"/>
            <w:tcBorders>
              <w:tl2br w:val="nil"/>
              <w:tr2bl w:val="nil"/>
            </w:tcBorders>
            <w:noWrap w:val="0"/>
            <w:vAlign w:val="center"/>
          </w:tcPr>
          <w:p w14:paraId="74CFB950">
            <w:pPr>
              <w:widowControl w:val="0"/>
              <w:adjustRightInd w:val="0"/>
              <w:snapToGrid w:val="0"/>
              <w:jc w:val="center"/>
              <w:textAlignment w:val="center"/>
              <w:rPr>
                <w:rFonts w:hint="default" w:ascii="Times New Roman" w:hAnsi="Times New Roman" w:eastAsia="宋体" w:cs="Times New Roman"/>
                <w:sz w:val="21"/>
                <w:szCs w:val="21"/>
                <w:lang w:val="en-US" w:eastAsia="zh-CN" w:bidi="ar"/>
              </w:rPr>
            </w:pPr>
            <w:r>
              <w:rPr>
                <w:rFonts w:hint="eastAsia" w:ascii="Times New Roman" w:hAnsi="Times New Roman" w:eastAsia="宋体" w:cs="Times New Roman"/>
                <w:sz w:val="21"/>
                <w:szCs w:val="21"/>
                <w:lang w:val="en-US" w:eastAsia="zh-CN" w:bidi="ar"/>
              </w:rPr>
              <w:t>0.1</w:t>
            </w:r>
          </w:p>
        </w:tc>
        <w:tc>
          <w:tcPr>
            <w:tcW w:w="928" w:type="pct"/>
            <w:tcBorders>
              <w:tl2br w:val="nil"/>
              <w:tr2bl w:val="nil"/>
            </w:tcBorders>
            <w:noWrap w:val="0"/>
            <w:vAlign w:val="center"/>
          </w:tcPr>
          <w:p w14:paraId="6EC55CB8">
            <w:pPr>
              <w:widowControl w:val="0"/>
              <w:adjustRightInd w:val="0"/>
              <w:snapToGrid w:val="0"/>
              <w:jc w:val="center"/>
              <w:textAlignment w:val="center"/>
              <w:rPr>
                <w:rFonts w:hint="default" w:ascii="Times New Roman" w:hAnsi="Times New Roman" w:eastAsia="宋体" w:cs="Times New Roman"/>
                <w:sz w:val="21"/>
                <w:szCs w:val="21"/>
                <w:lang w:val="en-US" w:eastAsia="zh-CN" w:bidi="ar"/>
              </w:rPr>
            </w:pPr>
            <w:r>
              <w:rPr>
                <w:rFonts w:hint="eastAsia" w:ascii="Times New Roman" w:hAnsi="Times New Roman" w:eastAsia="宋体" w:cs="Times New Roman"/>
                <w:sz w:val="21"/>
                <w:szCs w:val="21"/>
                <w:lang w:val="en-US" w:eastAsia="zh-CN" w:bidi="ar"/>
              </w:rPr>
              <w:t>0.15</w:t>
            </w:r>
          </w:p>
        </w:tc>
        <w:tc>
          <w:tcPr>
            <w:tcW w:w="905" w:type="pct"/>
            <w:tcBorders>
              <w:tl2br w:val="nil"/>
              <w:tr2bl w:val="nil"/>
            </w:tcBorders>
            <w:noWrap w:val="0"/>
            <w:vAlign w:val="center"/>
          </w:tcPr>
          <w:p w14:paraId="002B49DF">
            <w:pPr>
              <w:widowControl w:val="0"/>
              <w:adjustRightInd w:val="0"/>
              <w:snapToGrid w:val="0"/>
              <w:jc w:val="center"/>
              <w:textAlignment w:val="center"/>
              <w:rPr>
                <w:rFonts w:hint="default" w:ascii="Times New Roman" w:hAnsi="Times New Roman" w:eastAsia="宋体" w:cs="Times New Roman"/>
                <w:sz w:val="21"/>
                <w:szCs w:val="21"/>
                <w:lang w:val="en-US" w:eastAsia="zh-CN" w:bidi="ar"/>
              </w:rPr>
            </w:pPr>
            <w:r>
              <w:rPr>
                <w:rFonts w:hint="eastAsia" w:ascii="Times New Roman" w:hAnsi="Times New Roman" w:eastAsia="宋体" w:cs="Times New Roman"/>
                <w:sz w:val="21"/>
                <w:szCs w:val="21"/>
                <w:lang w:val="en-US" w:eastAsia="zh-CN" w:bidi="ar"/>
              </w:rPr>
              <w:t>0.1</w:t>
            </w:r>
          </w:p>
        </w:tc>
      </w:tr>
      <w:tr w14:paraId="5372A4BA">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386" w:type="pct"/>
            <w:tcBorders>
              <w:tl2br w:val="nil"/>
              <w:tr2bl w:val="nil"/>
            </w:tcBorders>
            <w:noWrap w:val="0"/>
            <w:vAlign w:val="center"/>
          </w:tcPr>
          <w:p w14:paraId="181E90CA">
            <w:pPr>
              <w:widowControl w:val="0"/>
              <w:adjustRightInd w:val="0"/>
              <w:snapToGrid w:val="0"/>
              <w:jc w:val="center"/>
              <w:textAlignment w:val="center"/>
              <w:rPr>
                <w:rFonts w:hint="default" w:ascii="Times New Roman" w:hAnsi="Times New Roman" w:eastAsia="宋体" w:cs="Times New Roman"/>
                <w:sz w:val="21"/>
                <w:szCs w:val="21"/>
                <w:lang w:val="en-US" w:eastAsia="zh-CN" w:bidi="ar"/>
              </w:rPr>
            </w:pPr>
            <w:r>
              <w:rPr>
                <w:rFonts w:hint="default" w:ascii="Times New Roman" w:hAnsi="Times New Roman" w:eastAsia="宋体" w:cs="Times New Roman"/>
                <w:sz w:val="21"/>
                <w:szCs w:val="21"/>
                <w:lang w:val="en-US" w:eastAsia="zh-CN" w:bidi="ar"/>
              </w:rPr>
              <w:t>2</w:t>
            </w:r>
          </w:p>
        </w:tc>
        <w:tc>
          <w:tcPr>
            <w:tcW w:w="640" w:type="pct"/>
            <w:vMerge w:val="continue"/>
            <w:tcBorders>
              <w:tl2br w:val="nil"/>
              <w:tr2bl w:val="nil"/>
            </w:tcBorders>
            <w:noWrap w:val="0"/>
            <w:vAlign w:val="center"/>
          </w:tcPr>
          <w:p w14:paraId="05D2AEB2">
            <w:pPr>
              <w:widowControl w:val="0"/>
              <w:adjustRightInd w:val="0"/>
              <w:snapToGrid w:val="0"/>
              <w:jc w:val="center"/>
              <w:textAlignment w:val="center"/>
              <w:rPr>
                <w:rFonts w:hint="default" w:ascii="Times New Roman" w:hAnsi="Times New Roman" w:eastAsia="宋体" w:cs="Times New Roman"/>
                <w:sz w:val="21"/>
                <w:szCs w:val="21"/>
                <w:lang w:val="en-US" w:eastAsia="zh-CN" w:bidi="ar"/>
              </w:rPr>
            </w:pPr>
          </w:p>
        </w:tc>
        <w:tc>
          <w:tcPr>
            <w:tcW w:w="1151" w:type="pct"/>
            <w:tcBorders>
              <w:tl2br w:val="nil"/>
              <w:tr2bl w:val="nil"/>
            </w:tcBorders>
            <w:noWrap w:val="0"/>
            <w:vAlign w:val="center"/>
          </w:tcPr>
          <w:p w14:paraId="10636236">
            <w:pPr>
              <w:widowControl w:val="0"/>
              <w:adjustRightInd w:val="0"/>
              <w:snapToGrid w:val="0"/>
              <w:jc w:val="center"/>
              <w:textAlignment w:val="center"/>
              <w:rPr>
                <w:rFonts w:hint="default" w:ascii="Times New Roman" w:hAnsi="Times New Roman" w:eastAsia="宋体" w:cs="Times New Roman"/>
                <w:sz w:val="21"/>
                <w:szCs w:val="21"/>
                <w:lang w:val="en-US" w:eastAsia="zh-CN" w:bidi="ar"/>
              </w:rPr>
            </w:pPr>
            <w:r>
              <w:rPr>
                <w:rFonts w:hint="default" w:ascii="Times New Roman" w:hAnsi="Times New Roman" w:eastAsia="宋体" w:cs="Times New Roman"/>
                <w:sz w:val="21"/>
                <w:szCs w:val="21"/>
                <w:lang w:val="en-US" w:eastAsia="zh-CN" w:bidi="ar"/>
              </w:rPr>
              <w:t>水温</w:t>
            </w:r>
          </w:p>
        </w:tc>
        <w:tc>
          <w:tcPr>
            <w:tcW w:w="986" w:type="pct"/>
            <w:tcBorders>
              <w:tl2br w:val="nil"/>
              <w:tr2bl w:val="nil"/>
            </w:tcBorders>
            <w:noWrap w:val="0"/>
            <w:vAlign w:val="center"/>
          </w:tcPr>
          <w:p w14:paraId="50DEB6E3">
            <w:pPr>
              <w:widowControl w:val="0"/>
              <w:adjustRightInd w:val="0"/>
              <w:snapToGrid w:val="0"/>
              <w:jc w:val="center"/>
              <w:textAlignment w:val="center"/>
              <w:rPr>
                <w:rFonts w:hint="default" w:ascii="Times New Roman" w:hAnsi="Times New Roman" w:eastAsia="宋体" w:cs="Times New Roman"/>
                <w:sz w:val="21"/>
                <w:szCs w:val="21"/>
                <w:lang w:val="en-US" w:eastAsia="zh-CN" w:bidi="ar"/>
              </w:rPr>
            </w:pPr>
            <w:r>
              <w:rPr>
                <w:rFonts w:hint="eastAsia" w:ascii="Times New Roman" w:hAnsi="Times New Roman" w:eastAsia="宋体" w:cs="Times New Roman"/>
                <w:sz w:val="21"/>
                <w:szCs w:val="21"/>
                <w:lang w:val="en-US" w:eastAsia="zh-CN" w:bidi="ar"/>
              </w:rPr>
              <w:t>-</w:t>
            </w:r>
          </w:p>
        </w:tc>
        <w:tc>
          <w:tcPr>
            <w:tcW w:w="928" w:type="pct"/>
            <w:tcBorders>
              <w:tl2br w:val="nil"/>
              <w:tr2bl w:val="nil"/>
            </w:tcBorders>
            <w:noWrap w:val="0"/>
            <w:vAlign w:val="center"/>
          </w:tcPr>
          <w:p w14:paraId="0E047192">
            <w:pPr>
              <w:widowControl w:val="0"/>
              <w:adjustRightInd w:val="0"/>
              <w:snapToGrid w:val="0"/>
              <w:jc w:val="center"/>
              <w:textAlignment w:val="center"/>
              <w:rPr>
                <w:rFonts w:hint="default" w:ascii="Times New Roman" w:hAnsi="Times New Roman" w:eastAsia="宋体" w:cs="Times New Roman"/>
                <w:sz w:val="21"/>
                <w:szCs w:val="21"/>
                <w:lang w:val="en-US" w:eastAsia="zh-CN" w:bidi="ar"/>
              </w:rPr>
            </w:pPr>
            <w:r>
              <w:rPr>
                <w:rFonts w:hint="eastAsia" w:ascii="Times New Roman" w:hAnsi="Times New Roman" w:eastAsia="宋体" w:cs="Times New Roman"/>
                <w:sz w:val="21"/>
                <w:szCs w:val="21"/>
                <w:lang w:val="en-US" w:eastAsia="zh-CN" w:bidi="ar"/>
              </w:rPr>
              <w:t>-</w:t>
            </w:r>
          </w:p>
        </w:tc>
        <w:tc>
          <w:tcPr>
            <w:tcW w:w="905" w:type="pct"/>
            <w:tcBorders>
              <w:tl2br w:val="nil"/>
              <w:tr2bl w:val="nil"/>
            </w:tcBorders>
            <w:noWrap w:val="0"/>
            <w:vAlign w:val="center"/>
          </w:tcPr>
          <w:p w14:paraId="1297F965">
            <w:pPr>
              <w:widowControl w:val="0"/>
              <w:adjustRightInd w:val="0"/>
              <w:snapToGrid w:val="0"/>
              <w:jc w:val="center"/>
              <w:textAlignment w:val="center"/>
              <w:rPr>
                <w:rFonts w:hint="default" w:ascii="Times New Roman" w:hAnsi="Times New Roman" w:eastAsia="宋体" w:cs="Times New Roman"/>
                <w:sz w:val="21"/>
                <w:szCs w:val="21"/>
                <w:lang w:val="en-US" w:eastAsia="zh-CN" w:bidi="ar"/>
              </w:rPr>
            </w:pPr>
            <w:r>
              <w:rPr>
                <w:rFonts w:hint="eastAsia" w:ascii="Times New Roman" w:hAnsi="Times New Roman" w:eastAsia="宋体" w:cs="Times New Roman"/>
                <w:sz w:val="21"/>
                <w:szCs w:val="21"/>
                <w:lang w:val="en-US" w:eastAsia="zh-CN" w:bidi="ar"/>
              </w:rPr>
              <w:t>-</w:t>
            </w:r>
          </w:p>
        </w:tc>
      </w:tr>
      <w:tr w14:paraId="66729D24">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386" w:type="pct"/>
            <w:tcBorders>
              <w:tl2br w:val="nil"/>
              <w:tr2bl w:val="nil"/>
            </w:tcBorders>
            <w:noWrap w:val="0"/>
            <w:vAlign w:val="center"/>
          </w:tcPr>
          <w:p w14:paraId="7A232540">
            <w:pPr>
              <w:widowControl w:val="0"/>
              <w:adjustRightInd w:val="0"/>
              <w:snapToGrid w:val="0"/>
              <w:jc w:val="center"/>
              <w:textAlignment w:val="center"/>
              <w:rPr>
                <w:rFonts w:hint="default" w:ascii="Times New Roman" w:hAnsi="Times New Roman" w:eastAsia="宋体" w:cs="Times New Roman"/>
                <w:sz w:val="21"/>
                <w:szCs w:val="21"/>
                <w:lang w:val="en-US" w:eastAsia="zh-CN" w:bidi="ar"/>
              </w:rPr>
            </w:pPr>
            <w:r>
              <w:rPr>
                <w:rFonts w:hint="default" w:ascii="Times New Roman" w:hAnsi="Times New Roman" w:eastAsia="宋体" w:cs="Times New Roman"/>
                <w:sz w:val="21"/>
                <w:szCs w:val="21"/>
                <w:lang w:val="en-US" w:eastAsia="zh-CN" w:bidi="ar"/>
              </w:rPr>
              <w:t>3</w:t>
            </w:r>
          </w:p>
        </w:tc>
        <w:tc>
          <w:tcPr>
            <w:tcW w:w="640" w:type="pct"/>
            <w:vMerge w:val="continue"/>
            <w:tcBorders>
              <w:tl2br w:val="nil"/>
              <w:tr2bl w:val="nil"/>
            </w:tcBorders>
            <w:noWrap w:val="0"/>
            <w:vAlign w:val="center"/>
          </w:tcPr>
          <w:p w14:paraId="59503EA7">
            <w:pPr>
              <w:widowControl w:val="0"/>
              <w:adjustRightInd w:val="0"/>
              <w:snapToGrid w:val="0"/>
              <w:jc w:val="center"/>
              <w:textAlignment w:val="center"/>
              <w:rPr>
                <w:rFonts w:hint="default" w:ascii="Times New Roman" w:hAnsi="Times New Roman" w:eastAsia="宋体" w:cs="Times New Roman"/>
                <w:sz w:val="21"/>
                <w:szCs w:val="21"/>
                <w:lang w:val="en-US" w:eastAsia="zh-CN" w:bidi="ar"/>
              </w:rPr>
            </w:pPr>
          </w:p>
        </w:tc>
        <w:tc>
          <w:tcPr>
            <w:tcW w:w="1151" w:type="pct"/>
            <w:tcBorders>
              <w:tl2br w:val="nil"/>
              <w:tr2bl w:val="nil"/>
            </w:tcBorders>
            <w:noWrap w:val="0"/>
            <w:vAlign w:val="center"/>
          </w:tcPr>
          <w:p w14:paraId="0252B449">
            <w:pPr>
              <w:widowControl w:val="0"/>
              <w:adjustRightInd w:val="0"/>
              <w:snapToGrid w:val="0"/>
              <w:jc w:val="center"/>
              <w:textAlignment w:val="center"/>
              <w:rPr>
                <w:rFonts w:hint="default" w:ascii="Times New Roman" w:hAnsi="Times New Roman" w:eastAsia="宋体" w:cs="Times New Roman"/>
                <w:sz w:val="21"/>
                <w:szCs w:val="21"/>
                <w:lang w:val="en-US" w:eastAsia="zh-CN" w:bidi="ar"/>
              </w:rPr>
            </w:pPr>
            <w:r>
              <w:rPr>
                <w:rFonts w:hint="default" w:ascii="Times New Roman" w:hAnsi="Times New Roman" w:eastAsia="宋体" w:cs="Times New Roman"/>
                <w:sz w:val="21"/>
                <w:szCs w:val="21"/>
                <w:lang w:val="en-US" w:eastAsia="zh-CN" w:bidi="ar"/>
              </w:rPr>
              <w:t>溶解氧</w:t>
            </w:r>
          </w:p>
        </w:tc>
        <w:tc>
          <w:tcPr>
            <w:tcW w:w="986" w:type="pct"/>
            <w:tcBorders>
              <w:tl2br w:val="nil"/>
              <w:tr2bl w:val="nil"/>
            </w:tcBorders>
            <w:noWrap w:val="0"/>
            <w:vAlign w:val="center"/>
          </w:tcPr>
          <w:p w14:paraId="290F1672">
            <w:pPr>
              <w:widowControl w:val="0"/>
              <w:adjustRightInd w:val="0"/>
              <w:snapToGrid w:val="0"/>
              <w:jc w:val="center"/>
              <w:textAlignment w:val="center"/>
              <w:rPr>
                <w:rFonts w:hint="default" w:ascii="Times New Roman" w:hAnsi="Times New Roman" w:eastAsia="宋体" w:cs="Times New Roman"/>
                <w:sz w:val="21"/>
                <w:szCs w:val="21"/>
                <w:lang w:val="en-US" w:eastAsia="zh-CN" w:bidi="ar"/>
              </w:rPr>
            </w:pPr>
            <w:r>
              <w:rPr>
                <w:rFonts w:hint="eastAsia" w:ascii="Times New Roman" w:hAnsi="Times New Roman" w:eastAsia="宋体" w:cs="Times New Roman"/>
                <w:sz w:val="21"/>
                <w:szCs w:val="21"/>
                <w:lang w:val="en-US" w:eastAsia="zh-CN" w:bidi="ar"/>
              </w:rPr>
              <w:t>-</w:t>
            </w:r>
          </w:p>
        </w:tc>
        <w:tc>
          <w:tcPr>
            <w:tcW w:w="928" w:type="pct"/>
            <w:tcBorders>
              <w:tl2br w:val="nil"/>
              <w:tr2bl w:val="nil"/>
            </w:tcBorders>
            <w:noWrap w:val="0"/>
            <w:vAlign w:val="center"/>
          </w:tcPr>
          <w:p w14:paraId="3D8CD6DA">
            <w:pPr>
              <w:widowControl w:val="0"/>
              <w:adjustRightInd w:val="0"/>
              <w:snapToGrid w:val="0"/>
              <w:jc w:val="center"/>
              <w:textAlignment w:val="center"/>
              <w:rPr>
                <w:rFonts w:hint="default" w:ascii="Times New Roman" w:hAnsi="Times New Roman" w:eastAsia="宋体" w:cs="Times New Roman"/>
                <w:sz w:val="21"/>
                <w:szCs w:val="21"/>
                <w:lang w:val="en-US" w:eastAsia="zh-CN" w:bidi="ar"/>
              </w:rPr>
            </w:pPr>
            <w:r>
              <w:rPr>
                <w:rFonts w:hint="eastAsia" w:ascii="Times New Roman" w:hAnsi="Times New Roman" w:eastAsia="宋体" w:cs="Times New Roman"/>
                <w:sz w:val="21"/>
                <w:szCs w:val="21"/>
                <w:lang w:val="en-US" w:eastAsia="zh-CN" w:bidi="ar"/>
              </w:rPr>
              <w:t>-</w:t>
            </w:r>
          </w:p>
        </w:tc>
        <w:tc>
          <w:tcPr>
            <w:tcW w:w="905" w:type="pct"/>
            <w:tcBorders>
              <w:tl2br w:val="nil"/>
              <w:tr2bl w:val="nil"/>
            </w:tcBorders>
            <w:noWrap w:val="0"/>
            <w:vAlign w:val="center"/>
          </w:tcPr>
          <w:p w14:paraId="2AA0C325">
            <w:pPr>
              <w:widowControl w:val="0"/>
              <w:adjustRightInd w:val="0"/>
              <w:snapToGrid w:val="0"/>
              <w:jc w:val="center"/>
              <w:textAlignment w:val="center"/>
              <w:rPr>
                <w:rFonts w:hint="default" w:ascii="Times New Roman" w:hAnsi="Times New Roman" w:eastAsia="宋体" w:cs="Times New Roman"/>
                <w:sz w:val="21"/>
                <w:szCs w:val="21"/>
                <w:lang w:val="en-US" w:eastAsia="zh-CN" w:bidi="ar"/>
              </w:rPr>
            </w:pPr>
            <w:r>
              <w:rPr>
                <w:rFonts w:hint="eastAsia" w:ascii="Times New Roman" w:hAnsi="Times New Roman" w:eastAsia="宋体" w:cs="Times New Roman"/>
                <w:sz w:val="21"/>
                <w:szCs w:val="21"/>
                <w:lang w:val="en-US" w:eastAsia="zh-CN" w:bidi="ar"/>
              </w:rPr>
              <w:t>-</w:t>
            </w:r>
          </w:p>
        </w:tc>
      </w:tr>
      <w:tr w14:paraId="1A0CADE6">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386" w:type="pct"/>
            <w:tcBorders>
              <w:tl2br w:val="nil"/>
              <w:tr2bl w:val="nil"/>
            </w:tcBorders>
            <w:noWrap w:val="0"/>
            <w:vAlign w:val="center"/>
          </w:tcPr>
          <w:p w14:paraId="7C8C05B9">
            <w:pPr>
              <w:widowControl w:val="0"/>
              <w:adjustRightInd w:val="0"/>
              <w:snapToGrid w:val="0"/>
              <w:jc w:val="center"/>
              <w:textAlignment w:val="center"/>
              <w:rPr>
                <w:rFonts w:hint="default" w:ascii="Times New Roman" w:hAnsi="Times New Roman" w:eastAsia="宋体" w:cs="Times New Roman"/>
                <w:sz w:val="21"/>
                <w:szCs w:val="21"/>
                <w:lang w:val="en-US" w:eastAsia="zh-CN" w:bidi="ar"/>
              </w:rPr>
            </w:pPr>
            <w:r>
              <w:rPr>
                <w:rFonts w:hint="default" w:ascii="Times New Roman" w:hAnsi="Times New Roman" w:eastAsia="宋体" w:cs="Times New Roman"/>
                <w:sz w:val="21"/>
                <w:szCs w:val="21"/>
                <w:lang w:val="en-US" w:eastAsia="zh-CN" w:bidi="ar"/>
              </w:rPr>
              <w:t>4</w:t>
            </w:r>
          </w:p>
        </w:tc>
        <w:tc>
          <w:tcPr>
            <w:tcW w:w="640" w:type="pct"/>
            <w:vMerge w:val="continue"/>
            <w:tcBorders>
              <w:tl2br w:val="nil"/>
              <w:tr2bl w:val="nil"/>
            </w:tcBorders>
            <w:noWrap w:val="0"/>
            <w:vAlign w:val="center"/>
          </w:tcPr>
          <w:p w14:paraId="3C5BA087">
            <w:pPr>
              <w:widowControl w:val="0"/>
              <w:adjustRightInd w:val="0"/>
              <w:snapToGrid w:val="0"/>
              <w:jc w:val="center"/>
              <w:textAlignment w:val="center"/>
              <w:rPr>
                <w:rFonts w:hint="default" w:ascii="Times New Roman" w:hAnsi="Times New Roman" w:eastAsia="宋体" w:cs="Times New Roman"/>
                <w:sz w:val="21"/>
                <w:szCs w:val="21"/>
                <w:lang w:val="en-US" w:eastAsia="zh-CN" w:bidi="ar"/>
              </w:rPr>
            </w:pPr>
          </w:p>
        </w:tc>
        <w:tc>
          <w:tcPr>
            <w:tcW w:w="1151" w:type="pct"/>
            <w:tcBorders>
              <w:tl2br w:val="nil"/>
              <w:tr2bl w:val="nil"/>
            </w:tcBorders>
            <w:noWrap w:val="0"/>
            <w:vAlign w:val="center"/>
          </w:tcPr>
          <w:p w14:paraId="5E7A031D">
            <w:pPr>
              <w:widowControl w:val="0"/>
              <w:adjustRightInd w:val="0"/>
              <w:snapToGrid w:val="0"/>
              <w:jc w:val="center"/>
              <w:textAlignment w:val="center"/>
              <w:rPr>
                <w:rFonts w:hint="default" w:ascii="Times New Roman" w:hAnsi="Times New Roman" w:eastAsia="宋体" w:cs="Times New Roman"/>
                <w:sz w:val="21"/>
                <w:szCs w:val="21"/>
                <w:lang w:val="en-US" w:eastAsia="zh-CN" w:bidi="ar"/>
              </w:rPr>
            </w:pPr>
            <w:r>
              <w:rPr>
                <w:rFonts w:hint="default" w:ascii="Times New Roman" w:hAnsi="Times New Roman" w:eastAsia="宋体" w:cs="Times New Roman"/>
                <w:sz w:val="21"/>
                <w:szCs w:val="21"/>
                <w:lang w:val="en-US" w:eastAsia="zh-CN" w:bidi="ar"/>
              </w:rPr>
              <w:t>高锰酸盐</w:t>
            </w:r>
          </w:p>
          <w:p w14:paraId="5FC48941">
            <w:pPr>
              <w:widowControl w:val="0"/>
              <w:adjustRightInd w:val="0"/>
              <w:snapToGrid w:val="0"/>
              <w:jc w:val="center"/>
              <w:textAlignment w:val="center"/>
              <w:rPr>
                <w:rFonts w:hint="default" w:ascii="Times New Roman" w:hAnsi="Times New Roman" w:eastAsia="宋体" w:cs="Times New Roman"/>
                <w:sz w:val="21"/>
                <w:szCs w:val="21"/>
                <w:lang w:val="en-US" w:eastAsia="zh-CN" w:bidi="ar"/>
              </w:rPr>
            </w:pPr>
            <w:r>
              <w:rPr>
                <w:rFonts w:hint="default" w:ascii="Times New Roman" w:hAnsi="Times New Roman" w:eastAsia="宋体" w:cs="Times New Roman"/>
                <w:sz w:val="21"/>
                <w:szCs w:val="21"/>
                <w:lang w:val="en-US" w:eastAsia="zh-CN" w:bidi="ar"/>
              </w:rPr>
              <w:t>指数</w:t>
            </w:r>
          </w:p>
        </w:tc>
        <w:tc>
          <w:tcPr>
            <w:tcW w:w="986" w:type="pct"/>
            <w:tcBorders>
              <w:tl2br w:val="nil"/>
              <w:tr2bl w:val="nil"/>
            </w:tcBorders>
            <w:noWrap w:val="0"/>
            <w:vAlign w:val="center"/>
          </w:tcPr>
          <w:p w14:paraId="5A1EAC70">
            <w:pPr>
              <w:widowControl w:val="0"/>
              <w:adjustRightInd w:val="0"/>
              <w:snapToGrid w:val="0"/>
              <w:jc w:val="center"/>
              <w:textAlignment w:val="center"/>
              <w:rPr>
                <w:rFonts w:hint="default" w:ascii="Times New Roman" w:hAnsi="Times New Roman" w:eastAsia="宋体" w:cs="Times New Roman"/>
                <w:sz w:val="21"/>
                <w:szCs w:val="21"/>
                <w:lang w:val="en-US" w:eastAsia="zh-CN" w:bidi="ar"/>
              </w:rPr>
            </w:pPr>
            <w:r>
              <w:rPr>
                <w:rFonts w:hint="eastAsia" w:ascii="Times New Roman" w:hAnsi="Times New Roman" w:eastAsia="宋体" w:cs="Times New Roman"/>
                <w:sz w:val="21"/>
                <w:szCs w:val="21"/>
                <w:lang w:val="en-US" w:eastAsia="zh-CN" w:bidi="ar"/>
              </w:rPr>
              <w:t>0.37</w:t>
            </w:r>
          </w:p>
        </w:tc>
        <w:tc>
          <w:tcPr>
            <w:tcW w:w="928" w:type="pct"/>
            <w:tcBorders>
              <w:tl2br w:val="nil"/>
              <w:tr2bl w:val="nil"/>
            </w:tcBorders>
            <w:noWrap w:val="0"/>
            <w:vAlign w:val="center"/>
          </w:tcPr>
          <w:p w14:paraId="08B33B12">
            <w:pPr>
              <w:widowControl w:val="0"/>
              <w:adjustRightInd w:val="0"/>
              <w:snapToGrid w:val="0"/>
              <w:jc w:val="center"/>
              <w:textAlignment w:val="center"/>
              <w:rPr>
                <w:rFonts w:hint="default" w:ascii="Times New Roman" w:hAnsi="Times New Roman" w:eastAsia="宋体" w:cs="Times New Roman"/>
                <w:sz w:val="21"/>
                <w:szCs w:val="21"/>
                <w:lang w:val="en-US" w:eastAsia="zh-CN" w:bidi="ar"/>
              </w:rPr>
            </w:pPr>
            <w:r>
              <w:rPr>
                <w:rFonts w:hint="eastAsia" w:ascii="Times New Roman" w:hAnsi="Times New Roman" w:eastAsia="宋体" w:cs="Times New Roman"/>
                <w:sz w:val="21"/>
                <w:szCs w:val="21"/>
                <w:lang w:val="en-US" w:eastAsia="zh-CN" w:bidi="ar"/>
              </w:rPr>
              <w:t>0.40</w:t>
            </w:r>
          </w:p>
        </w:tc>
        <w:tc>
          <w:tcPr>
            <w:tcW w:w="905" w:type="pct"/>
            <w:tcBorders>
              <w:tl2br w:val="nil"/>
              <w:tr2bl w:val="nil"/>
            </w:tcBorders>
            <w:noWrap w:val="0"/>
            <w:vAlign w:val="center"/>
          </w:tcPr>
          <w:p w14:paraId="27DDBB39">
            <w:pPr>
              <w:widowControl w:val="0"/>
              <w:adjustRightInd w:val="0"/>
              <w:snapToGrid w:val="0"/>
              <w:jc w:val="center"/>
              <w:textAlignment w:val="center"/>
              <w:rPr>
                <w:rFonts w:hint="default" w:ascii="Times New Roman" w:hAnsi="Times New Roman" w:eastAsia="宋体" w:cs="Times New Roman"/>
                <w:sz w:val="21"/>
                <w:szCs w:val="21"/>
                <w:lang w:val="en-US" w:eastAsia="zh-CN" w:bidi="ar"/>
              </w:rPr>
            </w:pPr>
            <w:r>
              <w:rPr>
                <w:rFonts w:hint="eastAsia" w:ascii="Times New Roman" w:hAnsi="Times New Roman" w:eastAsia="宋体" w:cs="Times New Roman"/>
                <w:sz w:val="21"/>
                <w:szCs w:val="21"/>
                <w:lang w:val="en-US" w:eastAsia="zh-CN" w:bidi="ar"/>
              </w:rPr>
              <w:t>0.36</w:t>
            </w:r>
          </w:p>
        </w:tc>
      </w:tr>
      <w:tr w14:paraId="28B23929">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386" w:type="pct"/>
            <w:tcBorders>
              <w:tl2br w:val="nil"/>
              <w:tr2bl w:val="nil"/>
            </w:tcBorders>
            <w:noWrap w:val="0"/>
            <w:vAlign w:val="center"/>
          </w:tcPr>
          <w:p w14:paraId="2E8651E0">
            <w:pPr>
              <w:widowControl w:val="0"/>
              <w:adjustRightInd w:val="0"/>
              <w:snapToGrid w:val="0"/>
              <w:jc w:val="center"/>
              <w:textAlignment w:val="center"/>
              <w:rPr>
                <w:rFonts w:hint="default" w:ascii="Times New Roman" w:hAnsi="Times New Roman" w:eastAsia="宋体" w:cs="Times New Roman"/>
                <w:sz w:val="21"/>
                <w:szCs w:val="21"/>
                <w:lang w:val="en-US" w:eastAsia="zh-CN" w:bidi="ar"/>
              </w:rPr>
            </w:pPr>
            <w:r>
              <w:rPr>
                <w:rFonts w:hint="default" w:ascii="Times New Roman" w:hAnsi="Times New Roman" w:eastAsia="宋体" w:cs="Times New Roman"/>
                <w:sz w:val="21"/>
                <w:szCs w:val="21"/>
                <w:lang w:val="en-US" w:eastAsia="zh-CN" w:bidi="ar"/>
              </w:rPr>
              <w:t>5</w:t>
            </w:r>
          </w:p>
        </w:tc>
        <w:tc>
          <w:tcPr>
            <w:tcW w:w="640" w:type="pct"/>
            <w:vMerge w:val="continue"/>
            <w:tcBorders>
              <w:tl2br w:val="nil"/>
              <w:tr2bl w:val="nil"/>
            </w:tcBorders>
            <w:noWrap w:val="0"/>
            <w:vAlign w:val="center"/>
          </w:tcPr>
          <w:p w14:paraId="18F1CF63">
            <w:pPr>
              <w:widowControl w:val="0"/>
              <w:adjustRightInd w:val="0"/>
              <w:snapToGrid w:val="0"/>
              <w:jc w:val="center"/>
              <w:textAlignment w:val="center"/>
              <w:rPr>
                <w:rFonts w:hint="default" w:ascii="Times New Roman" w:hAnsi="Times New Roman" w:eastAsia="宋体" w:cs="Times New Roman"/>
                <w:sz w:val="21"/>
                <w:szCs w:val="21"/>
                <w:lang w:val="en-US" w:eastAsia="zh-CN" w:bidi="ar"/>
              </w:rPr>
            </w:pPr>
          </w:p>
        </w:tc>
        <w:tc>
          <w:tcPr>
            <w:tcW w:w="1151" w:type="pct"/>
            <w:tcBorders>
              <w:tl2br w:val="nil"/>
              <w:tr2bl w:val="nil"/>
            </w:tcBorders>
            <w:noWrap w:val="0"/>
            <w:vAlign w:val="center"/>
          </w:tcPr>
          <w:p w14:paraId="6501CE06">
            <w:pPr>
              <w:widowControl w:val="0"/>
              <w:adjustRightInd w:val="0"/>
              <w:snapToGrid w:val="0"/>
              <w:jc w:val="center"/>
              <w:textAlignment w:val="center"/>
              <w:rPr>
                <w:rFonts w:hint="default" w:ascii="Times New Roman" w:hAnsi="Times New Roman" w:eastAsia="宋体" w:cs="Times New Roman"/>
                <w:sz w:val="21"/>
                <w:szCs w:val="21"/>
                <w:lang w:val="en-US" w:eastAsia="zh-CN" w:bidi="ar"/>
              </w:rPr>
            </w:pPr>
            <w:r>
              <w:rPr>
                <w:rFonts w:hint="default" w:ascii="Times New Roman" w:hAnsi="Times New Roman" w:eastAsia="宋体" w:cs="Times New Roman"/>
                <w:sz w:val="21"/>
                <w:szCs w:val="21"/>
                <w:lang w:val="en-US" w:eastAsia="zh-CN" w:bidi="ar"/>
              </w:rPr>
              <w:t>电导率</w:t>
            </w:r>
          </w:p>
        </w:tc>
        <w:tc>
          <w:tcPr>
            <w:tcW w:w="986" w:type="pct"/>
            <w:tcBorders>
              <w:tl2br w:val="nil"/>
              <w:tr2bl w:val="nil"/>
            </w:tcBorders>
            <w:noWrap w:val="0"/>
            <w:vAlign w:val="center"/>
          </w:tcPr>
          <w:p w14:paraId="4A34F71A">
            <w:pPr>
              <w:widowControl w:val="0"/>
              <w:adjustRightInd w:val="0"/>
              <w:snapToGrid w:val="0"/>
              <w:jc w:val="center"/>
              <w:textAlignment w:val="center"/>
              <w:rPr>
                <w:rFonts w:hint="default" w:ascii="Times New Roman" w:hAnsi="Times New Roman" w:eastAsia="宋体" w:cs="Times New Roman"/>
                <w:sz w:val="21"/>
                <w:szCs w:val="21"/>
                <w:lang w:val="en-US" w:eastAsia="zh-CN" w:bidi="ar"/>
              </w:rPr>
            </w:pPr>
            <w:r>
              <w:rPr>
                <w:rFonts w:hint="eastAsia" w:ascii="Times New Roman" w:hAnsi="Times New Roman" w:eastAsia="宋体" w:cs="Times New Roman"/>
                <w:sz w:val="21"/>
                <w:szCs w:val="21"/>
                <w:lang w:val="en-US" w:eastAsia="zh-CN" w:bidi="ar"/>
              </w:rPr>
              <w:t>-</w:t>
            </w:r>
          </w:p>
        </w:tc>
        <w:tc>
          <w:tcPr>
            <w:tcW w:w="928" w:type="pct"/>
            <w:tcBorders>
              <w:tl2br w:val="nil"/>
              <w:tr2bl w:val="nil"/>
            </w:tcBorders>
            <w:noWrap w:val="0"/>
            <w:vAlign w:val="center"/>
          </w:tcPr>
          <w:p w14:paraId="7350B064">
            <w:pPr>
              <w:widowControl w:val="0"/>
              <w:adjustRightInd w:val="0"/>
              <w:snapToGrid w:val="0"/>
              <w:jc w:val="center"/>
              <w:textAlignment w:val="center"/>
              <w:rPr>
                <w:rFonts w:hint="default" w:ascii="Times New Roman" w:hAnsi="Times New Roman" w:eastAsia="宋体" w:cs="Times New Roman"/>
                <w:sz w:val="21"/>
                <w:szCs w:val="21"/>
                <w:lang w:val="en-US" w:eastAsia="zh-CN" w:bidi="ar"/>
              </w:rPr>
            </w:pPr>
            <w:r>
              <w:rPr>
                <w:rFonts w:hint="eastAsia" w:ascii="Times New Roman" w:hAnsi="Times New Roman" w:eastAsia="宋体" w:cs="Times New Roman"/>
                <w:sz w:val="21"/>
                <w:szCs w:val="21"/>
                <w:lang w:val="en-US" w:eastAsia="zh-CN" w:bidi="ar"/>
              </w:rPr>
              <w:t>-</w:t>
            </w:r>
          </w:p>
        </w:tc>
        <w:tc>
          <w:tcPr>
            <w:tcW w:w="905" w:type="pct"/>
            <w:tcBorders>
              <w:tl2br w:val="nil"/>
              <w:tr2bl w:val="nil"/>
            </w:tcBorders>
            <w:noWrap w:val="0"/>
            <w:vAlign w:val="center"/>
          </w:tcPr>
          <w:p w14:paraId="56858B6B">
            <w:pPr>
              <w:widowControl w:val="0"/>
              <w:adjustRightInd w:val="0"/>
              <w:snapToGrid w:val="0"/>
              <w:jc w:val="center"/>
              <w:textAlignment w:val="center"/>
              <w:rPr>
                <w:rFonts w:hint="default" w:ascii="Times New Roman" w:hAnsi="Times New Roman" w:eastAsia="宋体" w:cs="Times New Roman"/>
                <w:sz w:val="21"/>
                <w:szCs w:val="21"/>
                <w:lang w:val="en-US" w:eastAsia="zh-CN" w:bidi="ar"/>
              </w:rPr>
            </w:pPr>
            <w:r>
              <w:rPr>
                <w:rFonts w:hint="eastAsia" w:ascii="Times New Roman" w:hAnsi="Times New Roman" w:eastAsia="宋体" w:cs="Times New Roman"/>
                <w:sz w:val="21"/>
                <w:szCs w:val="21"/>
                <w:lang w:val="en-US" w:eastAsia="zh-CN" w:bidi="ar"/>
              </w:rPr>
              <w:t>-</w:t>
            </w:r>
          </w:p>
        </w:tc>
      </w:tr>
      <w:tr w14:paraId="4C2C1D1F">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386" w:type="pct"/>
            <w:tcBorders>
              <w:tl2br w:val="nil"/>
              <w:tr2bl w:val="nil"/>
            </w:tcBorders>
            <w:noWrap w:val="0"/>
            <w:vAlign w:val="center"/>
          </w:tcPr>
          <w:p w14:paraId="0C0EFF00">
            <w:pPr>
              <w:widowControl w:val="0"/>
              <w:adjustRightInd w:val="0"/>
              <w:snapToGrid w:val="0"/>
              <w:jc w:val="center"/>
              <w:textAlignment w:val="center"/>
              <w:rPr>
                <w:rFonts w:hint="default" w:ascii="Times New Roman" w:hAnsi="Times New Roman" w:eastAsia="宋体" w:cs="Times New Roman"/>
                <w:sz w:val="21"/>
                <w:szCs w:val="21"/>
                <w:lang w:val="en-US" w:eastAsia="zh-CN" w:bidi="ar"/>
              </w:rPr>
            </w:pPr>
            <w:r>
              <w:rPr>
                <w:rFonts w:hint="default" w:ascii="Times New Roman" w:hAnsi="Times New Roman" w:eastAsia="宋体" w:cs="Times New Roman"/>
                <w:sz w:val="21"/>
                <w:szCs w:val="21"/>
                <w:lang w:val="en-US" w:eastAsia="zh-CN" w:bidi="ar"/>
              </w:rPr>
              <w:t>6</w:t>
            </w:r>
          </w:p>
        </w:tc>
        <w:tc>
          <w:tcPr>
            <w:tcW w:w="640" w:type="pct"/>
            <w:vMerge w:val="continue"/>
            <w:tcBorders>
              <w:tl2br w:val="nil"/>
              <w:tr2bl w:val="nil"/>
            </w:tcBorders>
            <w:noWrap w:val="0"/>
            <w:vAlign w:val="center"/>
          </w:tcPr>
          <w:p w14:paraId="574DAE31">
            <w:pPr>
              <w:widowControl w:val="0"/>
              <w:adjustRightInd w:val="0"/>
              <w:snapToGrid w:val="0"/>
              <w:jc w:val="center"/>
              <w:textAlignment w:val="center"/>
              <w:rPr>
                <w:rFonts w:hint="default" w:ascii="Times New Roman" w:hAnsi="Times New Roman" w:eastAsia="宋体" w:cs="Times New Roman"/>
                <w:sz w:val="21"/>
                <w:szCs w:val="21"/>
                <w:lang w:val="en-US" w:eastAsia="zh-CN" w:bidi="ar"/>
              </w:rPr>
            </w:pPr>
          </w:p>
        </w:tc>
        <w:tc>
          <w:tcPr>
            <w:tcW w:w="1151" w:type="pct"/>
            <w:tcBorders>
              <w:tl2br w:val="nil"/>
              <w:tr2bl w:val="nil"/>
            </w:tcBorders>
            <w:noWrap w:val="0"/>
            <w:vAlign w:val="center"/>
          </w:tcPr>
          <w:p w14:paraId="2FD24ED5">
            <w:pPr>
              <w:widowControl w:val="0"/>
              <w:adjustRightInd w:val="0"/>
              <w:snapToGrid w:val="0"/>
              <w:jc w:val="center"/>
              <w:textAlignment w:val="center"/>
              <w:rPr>
                <w:rFonts w:hint="default" w:ascii="Times New Roman" w:hAnsi="Times New Roman" w:eastAsia="宋体" w:cs="Times New Roman"/>
                <w:sz w:val="21"/>
                <w:szCs w:val="21"/>
                <w:lang w:val="en-US" w:eastAsia="zh-CN" w:bidi="ar"/>
              </w:rPr>
            </w:pPr>
            <w:r>
              <w:rPr>
                <w:rFonts w:hint="default" w:ascii="Times New Roman" w:hAnsi="Times New Roman" w:eastAsia="宋体" w:cs="Times New Roman"/>
                <w:sz w:val="21"/>
                <w:szCs w:val="21"/>
                <w:lang w:val="en-US" w:eastAsia="zh-CN" w:bidi="ar"/>
              </w:rPr>
              <w:t>氟化物</w:t>
            </w:r>
          </w:p>
        </w:tc>
        <w:tc>
          <w:tcPr>
            <w:tcW w:w="986" w:type="pct"/>
            <w:tcBorders>
              <w:tl2br w:val="nil"/>
              <w:tr2bl w:val="nil"/>
            </w:tcBorders>
            <w:noWrap w:val="0"/>
            <w:vAlign w:val="center"/>
          </w:tcPr>
          <w:p w14:paraId="3FB47D6C">
            <w:pPr>
              <w:widowControl w:val="0"/>
              <w:adjustRightInd w:val="0"/>
              <w:snapToGrid w:val="0"/>
              <w:jc w:val="center"/>
              <w:textAlignment w:val="center"/>
              <w:rPr>
                <w:rFonts w:hint="default" w:ascii="Times New Roman" w:hAnsi="Times New Roman" w:eastAsia="宋体" w:cs="Times New Roman"/>
                <w:sz w:val="21"/>
                <w:szCs w:val="21"/>
                <w:lang w:val="en-US" w:eastAsia="zh-CN" w:bidi="ar"/>
              </w:rPr>
            </w:pPr>
            <w:r>
              <w:rPr>
                <w:rFonts w:hint="eastAsia" w:ascii="Times New Roman" w:hAnsi="Times New Roman" w:eastAsia="宋体" w:cs="Times New Roman"/>
                <w:sz w:val="21"/>
                <w:szCs w:val="21"/>
                <w:lang w:val="en-US" w:eastAsia="zh-CN" w:bidi="ar"/>
              </w:rPr>
              <w:t>0.38</w:t>
            </w:r>
          </w:p>
        </w:tc>
        <w:tc>
          <w:tcPr>
            <w:tcW w:w="928" w:type="pct"/>
            <w:tcBorders>
              <w:tl2br w:val="nil"/>
              <w:tr2bl w:val="nil"/>
            </w:tcBorders>
            <w:noWrap w:val="0"/>
            <w:vAlign w:val="center"/>
          </w:tcPr>
          <w:p w14:paraId="64FD5E62">
            <w:pPr>
              <w:widowControl w:val="0"/>
              <w:adjustRightInd w:val="0"/>
              <w:snapToGrid w:val="0"/>
              <w:jc w:val="center"/>
              <w:textAlignment w:val="center"/>
              <w:rPr>
                <w:rFonts w:hint="default" w:ascii="Times New Roman" w:hAnsi="Times New Roman" w:eastAsia="宋体" w:cs="Times New Roman"/>
                <w:sz w:val="21"/>
                <w:szCs w:val="21"/>
                <w:lang w:val="en-US" w:eastAsia="zh-CN" w:bidi="ar"/>
              </w:rPr>
            </w:pPr>
            <w:r>
              <w:rPr>
                <w:rFonts w:hint="eastAsia" w:ascii="Times New Roman" w:hAnsi="Times New Roman" w:eastAsia="宋体" w:cs="Times New Roman"/>
                <w:sz w:val="21"/>
                <w:szCs w:val="21"/>
                <w:lang w:val="en-US" w:eastAsia="zh-CN" w:bidi="ar"/>
              </w:rPr>
              <w:t>0.44</w:t>
            </w:r>
          </w:p>
        </w:tc>
        <w:tc>
          <w:tcPr>
            <w:tcW w:w="905" w:type="pct"/>
            <w:tcBorders>
              <w:tl2br w:val="nil"/>
              <w:tr2bl w:val="nil"/>
            </w:tcBorders>
            <w:noWrap w:val="0"/>
            <w:vAlign w:val="center"/>
          </w:tcPr>
          <w:p w14:paraId="16BCFE8F">
            <w:pPr>
              <w:widowControl w:val="0"/>
              <w:adjustRightInd w:val="0"/>
              <w:snapToGrid w:val="0"/>
              <w:jc w:val="center"/>
              <w:textAlignment w:val="center"/>
              <w:rPr>
                <w:rFonts w:hint="default" w:ascii="Times New Roman" w:hAnsi="Times New Roman" w:eastAsia="宋体" w:cs="Times New Roman"/>
                <w:sz w:val="21"/>
                <w:szCs w:val="21"/>
                <w:lang w:val="en-US" w:eastAsia="zh-CN" w:bidi="ar"/>
              </w:rPr>
            </w:pPr>
            <w:r>
              <w:rPr>
                <w:rFonts w:hint="eastAsia" w:ascii="Times New Roman" w:hAnsi="Times New Roman" w:eastAsia="宋体" w:cs="Times New Roman"/>
                <w:sz w:val="21"/>
                <w:szCs w:val="21"/>
                <w:lang w:val="en-US" w:eastAsia="zh-CN" w:bidi="ar"/>
              </w:rPr>
              <w:t>0.36</w:t>
            </w:r>
          </w:p>
        </w:tc>
      </w:tr>
      <w:tr w14:paraId="3116DC1F">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386" w:type="pct"/>
            <w:tcBorders>
              <w:tl2br w:val="nil"/>
              <w:tr2bl w:val="nil"/>
            </w:tcBorders>
            <w:noWrap w:val="0"/>
            <w:vAlign w:val="center"/>
          </w:tcPr>
          <w:p w14:paraId="28CDBBA4">
            <w:pPr>
              <w:widowControl w:val="0"/>
              <w:adjustRightInd w:val="0"/>
              <w:snapToGrid w:val="0"/>
              <w:jc w:val="center"/>
              <w:textAlignment w:val="center"/>
              <w:rPr>
                <w:rFonts w:hint="default" w:ascii="Times New Roman" w:hAnsi="Times New Roman" w:eastAsia="宋体" w:cs="Times New Roman"/>
                <w:sz w:val="21"/>
                <w:szCs w:val="21"/>
                <w:lang w:val="en-US" w:eastAsia="zh-CN" w:bidi="ar"/>
              </w:rPr>
            </w:pPr>
            <w:r>
              <w:rPr>
                <w:rFonts w:hint="default" w:ascii="Times New Roman" w:hAnsi="Times New Roman" w:eastAsia="宋体" w:cs="Times New Roman"/>
                <w:sz w:val="21"/>
                <w:szCs w:val="21"/>
                <w:lang w:val="en-US" w:eastAsia="zh-CN" w:bidi="ar"/>
              </w:rPr>
              <w:t>7</w:t>
            </w:r>
          </w:p>
        </w:tc>
        <w:tc>
          <w:tcPr>
            <w:tcW w:w="640" w:type="pct"/>
            <w:vMerge w:val="continue"/>
            <w:tcBorders>
              <w:tl2br w:val="nil"/>
              <w:tr2bl w:val="nil"/>
            </w:tcBorders>
            <w:noWrap w:val="0"/>
            <w:vAlign w:val="center"/>
          </w:tcPr>
          <w:p w14:paraId="20D0BE4A">
            <w:pPr>
              <w:widowControl w:val="0"/>
              <w:adjustRightInd w:val="0"/>
              <w:snapToGrid w:val="0"/>
              <w:jc w:val="center"/>
              <w:textAlignment w:val="center"/>
              <w:rPr>
                <w:rFonts w:hint="default" w:ascii="Times New Roman" w:hAnsi="Times New Roman" w:eastAsia="宋体" w:cs="Times New Roman"/>
                <w:sz w:val="21"/>
                <w:szCs w:val="21"/>
                <w:lang w:val="en-US" w:eastAsia="zh-CN" w:bidi="ar"/>
              </w:rPr>
            </w:pPr>
          </w:p>
        </w:tc>
        <w:tc>
          <w:tcPr>
            <w:tcW w:w="1151" w:type="pct"/>
            <w:tcBorders>
              <w:tl2br w:val="nil"/>
              <w:tr2bl w:val="nil"/>
            </w:tcBorders>
            <w:noWrap w:val="0"/>
            <w:vAlign w:val="center"/>
          </w:tcPr>
          <w:p w14:paraId="3FB118B3">
            <w:pPr>
              <w:widowControl w:val="0"/>
              <w:adjustRightInd w:val="0"/>
              <w:snapToGrid w:val="0"/>
              <w:jc w:val="center"/>
              <w:textAlignment w:val="center"/>
              <w:rPr>
                <w:rFonts w:hint="default" w:ascii="Times New Roman" w:hAnsi="Times New Roman" w:eastAsia="宋体" w:cs="Times New Roman"/>
                <w:sz w:val="21"/>
                <w:szCs w:val="21"/>
                <w:lang w:val="en-US" w:eastAsia="zh-CN" w:bidi="ar"/>
              </w:rPr>
            </w:pPr>
            <w:r>
              <w:rPr>
                <w:rFonts w:hint="default" w:ascii="Times New Roman" w:hAnsi="Times New Roman" w:eastAsia="宋体" w:cs="Times New Roman"/>
                <w:sz w:val="21"/>
                <w:szCs w:val="21"/>
                <w:lang w:val="en-US" w:eastAsia="zh-CN" w:bidi="ar"/>
              </w:rPr>
              <w:t>化学需氧量</w:t>
            </w:r>
          </w:p>
        </w:tc>
        <w:tc>
          <w:tcPr>
            <w:tcW w:w="986" w:type="pct"/>
            <w:tcBorders>
              <w:tl2br w:val="nil"/>
              <w:tr2bl w:val="nil"/>
            </w:tcBorders>
            <w:noWrap w:val="0"/>
            <w:vAlign w:val="center"/>
          </w:tcPr>
          <w:p w14:paraId="67738139">
            <w:pPr>
              <w:widowControl w:val="0"/>
              <w:adjustRightInd w:val="0"/>
              <w:snapToGrid w:val="0"/>
              <w:jc w:val="center"/>
              <w:textAlignment w:val="center"/>
              <w:rPr>
                <w:rFonts w:hint="default" w:ascii="Times New Roman" w:hAnsi="Times New Roman" w:eastAsia="宋体" w:cs="Times New Roman"/>
                <w:sz w:val="21"/>
                <w:szCs w:val="21"/>
                <w:lang w:val="en-US" w:eastAsia="zh-CN" w:bidi="ar"/>
              </w:rPr>
            </w:pPr>
            <w:r>
              <w:rPr>
                <w:rFonts w:hint="eastAsia" w:ascii="Times New Roman" w:hAnsi="Times New Roman" w:eastAsia="宋体" w:cs="Times New Roman"/>
                <w:sz w:val="21"/>
                <w:szCs w:val="21"/>
                <w:lang w:val="en-US" w:eastAsia="zh-CN" w:bidi="ar"/>
              </w:rPr>
              <w:t>0.7</w:t>
            </w:r>
          </w:p>
        </w:tc>
        <w:tc>
          <w:tcPr>
            <w:tcW w:w="928" w:type="pct"/>
            <w:tcBorders>
              <w:tl2br w:val="nil"/>
              <w:tr2bl w:val="nil"/>
            </w:tcBorders>
            <w:noWrap w:val="0"/>
            <w:vAlign w:val="center"/>
          </w:tcPr>
          <w:p w14:paraId="29773327">
            <w:pPr>
              <w:widowControl w:val="0"/>
              <w:adjustRightInd w:val="0"/>
              <w:snapToGrid w:val="0"/>
              <w:jc w:val="center"/>
              <w:textAlignment w:val="center"/>
              <w:rPr>
                <w:rFonts w:hint="default" w:ascii="Times New Roman" w:hAnsi="Times New Roman" w:eastAsia="宋体" w:cs="Times New Roman"/>
                <w:sz w:val="21"/>
                <w:szCs w:val="21"/>
                <w:lang w:val="en-US" w:eastAsia="zh-CN" w:bidi="ar"/>
              </w:rPr>
            </w:pPr>
            <w:r>
              <w:rPr>
                <w:rFonts w:hint="eastAsia" w:ascii="Times New Roman" w:hAnsi="Times New Roman" w:eastAsia="宋体" w:cs="Times New Roman"/>
                <w:sz w:val="21"/>
                <w:szCs w:val="21"/>
                <w:lang w:val="en-US" w:eastAsia="zh-CN" w:bidi="ar"/>
              </w:rPr>
              <w:t>0.8</w:t>
            </w:r>
          </w:p>
        </w:tc>
        <w:tc>
          <w:tcPr>
            <w:tcW w:w="905" w:type="pct"/>
            <w:tcBorders>
              <w:tl2br w:val="nil"/>
              <w:tr2bl w:val="nil"/>
            </w:tcBorders>
            <w:noWrap w:val="0"/>
            <w:vAlign w:val="center"/>
          </w:tcPr>
          <w:p w14:paraId="009D48D5">
            <w:pPr>
              <w:widowControl w:val="0"/>
              <w:adjustRightInd w:val="0"/>
              <w:snapToGrid w:val="0"/>
              <w:jc w:val="center"/>
              <w:textAlignment w:val="center"/>
              <w:rPr>
                <w:rFonts w:hint="default" w:ascii="Times New Roman" w:hAnsi="Times New Roman" w:eastAsia="宋体" w:cs="Times New Roman"/>
                <w:sz w:val="21"/>
                <w:szCs w:val="21"/>
                <w:lang w:val="en-US" w:eastAsia="zh-CN" w:bidi="ar"/>
              </w:rPr>
            </w:pPr>
            <w:r>
              <w:rPr>
                <w:rFonts w:hint="eastAsia" w:ascii="Times New Roman" w:hAnsi="Times New Roman" w:eastAsia="宋体" w:cs="Times New Roman"/>
                <w:sz w:val="21"/>
                <w:szCs w:val="21"/>
                <w:lang w:val="en-US" w:eastAsia="zh-CN" w:bidi="ar"/>
              </w:rPr>
              <w:t>0.7</w:t>
            </w:r>
          </w:p>
        </w:tc>
      </w:tr>
      <w:tr w14:paraId="4FE793DB">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386" w:type="pct"/>
            <w:tcBorders>
              <w:tl2br w:val="nil"/>
              <w:tr2bl w:val="nil"/>
            </w:tcBorders>
            <w:noWrap w:val="0"/>
            <w:vAlign w:val="center"/>
          </w:tcPr>
          <w:p w14:paraId="4EDD1285">
            <w:pPr>
              <w:widowControl w:val="0"/>
              <w:adjustRightInd w:val="0"/>
              <w:snapToGrid w:val="0"/>
              <w:jc w:val="center"/>
              <w:textAlignment w:val="center"/>
              <w:rPr>
                <w:rFonts w:hint="default" w:ascii="Times New Roman" w:hAnsi="Times New Roman" w:eastAsia="宋体" w:cs="Times New Roman"/>
                <w:sz w:val="21"/>
                <w:szCs w:val="21"/>
                <w:lang w:val="en-US" w:eastAsia="zh-CN" w:bidi="ar"/>
              </w:rPr>
            </w:pPr>
            <w:r>
              <w:rPr>
                <w:rFonts w:hint="default" w:ascii="Times New Roman" w:hAnsi="Times New Roman" w:eastAsia="宋体" w:cs="Times New Roman"/>
                <w:sz w:val="21"/>
                <w:szCs w:val="21"/>
                <w:lang w:val="en-US" w:eastAsia="zh-CN" w:bidi="ar"/>
              </w:rPr>
              <w:t>8</w:t>
            </w:r>
          </w:p>
        </w:tc>
        <w:tc>
          <w:tcPr>
            <w:tcW w:w="640" w:type="pct"/>
            <w:vMerge w:val="continue"/>
            <w:tcBorders>
              <w:tl2br w:val="nil"/>
              <w:tr2bl w:val="nil"/>
            </w:tcBorders>
            <w:noWrap w:val="0"/>
            <w:vAlign w:val="center"/>
          </w:tcPr>
          <w:p w14:paraId="789CD492">
            <w:pPr>
              <w:widowControl w:val="0"/>
              <w:adjustRightInd w:val="0"/>
              <w:snapToGrid w:val="0"/>
              <w:jc w:val="center"/>
              <w:textAlignment w:val="center"/>
              <w:rPr>
                <w:rFonts w:hint="default" w:ascii="Times New Roman" w:hAnsi="Times New Roman" w:eastAsia="宋体" w:cs="Times New Roman"/>
                <w:sz w:val="21"/>
                <w:szCs w:val="21"/>
                <w:lang w:val="en-US" w:eastAsia="zh-CN" w:bidi="ar"/>
              </w:rPr>
            </w:pPr>
          </w:p>
        </w:tc>
        <w:tc>
          <w:tcPr>
            <w:tcW w:w="1151" w:type="pct"/>
            <w:tcBorders>
              <w:tl2br w:val="nil"/>
              <w:tr2bl w:val="nil"/>
            </w:tcBorders>
            <w:noWrap w:val="0"/>
            <w:vAlign w:val="center"/>
          </w:tcPr>
          <w:p w14:paraId="7CF7F866">
            <w:pPr>
              <w:widowControl w:val="0"/>
              <w:adjustRightInd w:val="0"/>
              <w:snapToGrid w:val="0"/>
              <w:jc w:val="center"/>
              <w:textAlignment w:val="center"/>
              <w:rPr>
                <w:rFonts w:hint="default" w:ascii="Times New Roman" w:hAnsi="Times New Roman" w:eastAsia="宋体" w:cs="Times New Roman"/>
                <w:sz w:val="21"/>
                <w:szCs w:val="21"/>
                <w:lang w:val="en-US" w:eastAsia="zh-CN" w:bidi="ar"/>
              </w:rPr>
            </w:pPr>
            <w:r>
              <w:rPr>
                <w:rFonts w:hint="default" w:ascii="Times New Roman" w:hAnsi="Times New Roman" w:eastAsia="宋体" w:cs="Times New Roman"/>
                <w:sz w:val="21"/>
                <w:szCs w:val="21"/>
                <w:lang w:val="en-US" w:eastAsia="zh-CN" w:bidi="ar"/>
              </w:rPr>
              <w:t>总磷</w:t>
            </w:r>
          </w:p>
        </w:tc>
        <w:tc>
          <w:tcPr>
            <w:tcW w:w="986" w:type="pct"/>
            <w:tcBorders>
              <w:tl2br w:val="nil"/>
              <w:tr2bl w:val="nil"/>
            </w:tcBorders>
            <w:noWrap w:val="0"/>
            <w:vAlign w:val="center"/>
          </w:tcPr>
          <w:p w14:paraId="6F8FA76E">
            <w:pPr>
              <w:widowControl w:val="0"/>
              <w:adjustRightInd w:val="0"/>
              <w:snapToGrid w:val="0"/>
              <w:jc w:val="center"/>
              <w:textAlignment w:val="center"/>
              <w:rPr>
                <w:rFonts w:hint="default" w:ascii="Times New Roman" w:hAnsi="Times New Roman" w:eastAsia="宋体" w:cs="Times New Roman"/>
                <w:sz w:val="21"/>
                <w:szCs w:val="21"/>
                <w:lang w:val="en-US" w:eastAsia="zh-CN" w:bidi="ar"/>
              </w:rPr>
            </w:pPr>
            <w:r>
              <w:rPr>
                <w:rFonts w:hint="eastAsia" w:ascii="Times New Roman" w:hAnsi="Times New Roman" w:eastAsia="宋体" w:cs="Times New Roman"/>
                <w:sz w:val="21"/>
                <w:szCs w:val="21"/>
                <w:lang w:val="en-US" w:eastAsia="zh-CN" w:bidi="ar"/>
              </w:rPr>
              <w:t>0.625</w:t>
            </w:r>
          </w:p>
        </w:tc>
        <w:tc>
          <w:tcPr>
            <w:tcW w:w="928" w:type="pct"/>
            <w:tcBorders>
              <w:tl2br w:val="nil"/>
              <w:tr2bl w:val="nil"/>
            </w:tcBorders>
            <w:noWrap w:val="0"/>
            <w:vAlign w:val="center"/>
          </w:tcPr>
          <w:p w14:paraId="30726814">
            <w:pPr>
              <w:widowControl w:val="0"/>
              <w:adjustRightInd w:val="0"/>
              <w:snapToGrid w:val="0"/>
              <w:jc w:val="center"/>
              <w:textAlignment w:val="center"/>
              <w:rPr>
                <w:rFonts w:hint="default" w:ascii="Times New Roman" w:hAnsi="Times New Roman" w:eastAsia="宋体" w:cs="Times New Roman"/>
                <w:sz w:val="21"/>
                <w:szCs w:val="21"/>
                <w:lang w:val="en-US" w:eastAsia="zh-CN" w:bidi="ar"/>
              </w:rPr>
            </w:pPr>
            <w:r>
              <w:rPr>
                <w:rFonts w:hint="eastAsia" w:ascii="Times New Roman" w:hAnsi="Times New Roman" w:eastAsia="宋体" w:cs="Times New Roman"/>
                <w:sz w:val="21"/>
                <w:szCs w:val="21"/>
                <w:lang w:val="en-US" w:eastAsia="zh-CN" w:bidi="ar"/>
              </w:rPr>
              <w:t>0.73</w:t>
            </w:r>
          </w:p>
        </w:tc>
        <w:tc>
          <w:tcPr>
            <w:tcW w:w="905" w:type="pct"/>
            <w:tcBorders>
              <w:tl2br w:val="nil"/>
              <w:tr2bl w:val="nil"/>
            </w:tcBorders>
            <w:noWrap w:val="0"/>
            <w:vAlign w:val="center"/>
          </w:tcPr>
          <w:p w14:paraId="4121AC89">
            <w:pPr>
              <w:widowControl w:val="0"/>
              <w:adjustRightInd w:val="0"/>
              <w:snapToGrid w:val="0"/>
              <w:jc w:val="center"/>
              <w:textAlignment w:val="center"/>
              <w:rPr>
                <w:rFonts w:hint="default" w:ascii="Times New Roman" w:hAnsi="Times New Roman" w:eastAsia="宋体" w:cs="Times New Roman"/>
                <w:sz w:val="21"/>
                <w:szCs w:val="21"/>
                <w:lang w:val="en-US" w:eastAsia="zh-CN" w:bidi="ar"/>
              </w:rPr>
            </w:pPr>
            <w:r>
              <w:rPr>
                <w:rFonts w:hint="eastAsia" w:ascii="Times New Roman" w:hAnsi="Times New Roman" w:eastAsia="宋体" w:cs="Times New Roman"/>
                <w:sz w:val="21"/>
                <w:szCs w:val="21"/>
                <w:lang w:val="en-US" w:eastAsia="zh-CN" w:bidi="ar"/>
              </w:rPr>
              <w:t>0.675</w:t>
            </w:r>
          </w:p>
        </w:tc>
      </w:tr>
      <w:tr w14:paraId="251D9824">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386" w:type="pct"/>
            <w:tcBorders>
              <w:tl2br w:val="nil"/>
              <w:tr2bl w:val="nil"/>
            </w:tcBorders>
            <w:noWrap w:val="0"/>
            <w:vAlign w:val="center"/>
          </w:tcPr>
          <w:p w14:paraId="16E34D5A">
            <w:pPr>
              <w:widowControl w:val="0"/>
              <w:adjustRightInd w:val="0"/>
              <w:snapToGrid w:val="0"/>
              <w:jc w:val="center"/>
              <w:textAlignment w:val="center"/>
              <w:rPr>
                <w:rFonts w:hint="default" w:ascii="Times New Roman" w:hAnsi="Times New Roman" w:eastAsia="宋体" w:cs="Times New Roman"/>
                <w:sz w:val="21"/>
                <w:szCs w:val="21"/>
                <w:lang w:val="en-US" w:eastAsia="zh-CN" w:bidi="ar"/>
              </w:rPr>
            </w:pPr>
            <w:r>
              <w:rPr>
                <w:rFonts w:hint="default" w:ascii="Times New Roman" w:hAnsi="Times New Roman" w:eastAsia="宋体" w:cs="Times New Roman"/>
                <w:sz w:val="21"/>
                <w:szCs w:val="21"/>
                <w:lang w:val="en-US" w:eastAsia="zh-CN" w:bidi="ar"/>
              </w:rPr>
              <w:t>9</w:t>
            </w:r>
          </w:p>
        </w:tc>
        <w:tc>
          <w:tcPr>
            <w:tcW w:w="640" w:type="pct"/>
            <w:vMerge w:val="continue"/>
            <w:tcBorders>
              <w:tl2br w:val="nil"/>
              <w:tr2bl w:val="nil"/>
            </w:tcBorders>
            <w:noWrap w:val="0"/>
            <w:vAlign w:val="center"/>
          </w:tcPr>
          <w:p w14:paraId="55F20677">
            <w:pPr>
              <w:widowControl w:val="0"/>
              <w:adjustRightInd w:val="0"/>
              <w:snapToGrid w:val="0"/>
              <w:jc w:val="center"/>
              <w:textAlignment w:val="center"/>
              <w:rPr>
                <w:rFonts w:hint="default" w:ascii="Times New Roman" w:hAnsi="Times New Roman" w:eastAsia="宋体" w:cs="Times New Roman"/>
                <w:sz w:val="21"/>
                <w:szCs w:val="21"/>
                <w:lang w:val="en-US" w:eastAsia="zh-CN" w:bidi="ar"/>
              </w:rPr>
            </w:pPr>
          </w:p>
        </w:tc>
        <w:tc>
          <w:tcPr>
            <w:tcW w:w="1151" w:type="pct"/>
            <w:tcBorders>
              <w:tl2br w:val="nil"/>
              <w:tr2bl w:val="nil"/>
            </w:tcBorders>
            <w:noWrap w:val="0"/>
            <w:vAlign w:val="center"/>
          </w:tcPr>
          <w:p w14:paraId="40F6CCA9">
            <w:pPr>
              <w:widowControl w:val="0"/>
              <w:adjustRightInd w:val="0"/>
              <w:snapToGrid w:val="0"/>
              <w:jc w:val="center"/>
              <w:textAlignment w:val="center"/>
              <w:rPr>
                <w:rFonts w:hint="default" w:ascii="Times New Roman" w:hAnsi="Times New Roman" w:eastAsia="宋体" w:cs="Times New Roman"/>
                <w:sz w:val="21"/>
                <w:szCs w:val="21"/>
                <w:lang w:val="en-US" w:eastAsia="zh-CN" w:bidi="ar"/>
              </w:rPr>
            </w:pPr>
            <w:r>
              <w:rPr>
                <w:rFonts w:hint="default" w:ascii="Times New Roman" w:hAnsi="Times New Roman" w:eastAsia="宋体" w:cs="Times New Roman"/>
                <w:sz w:val="21"/>
                <w:szCs w:val="21"/>
                <w:lang w:val="en-US" w:eastAsia="zh-CN" w:bidi="ar"/>
              </w:rPr>
              <w:t>总氮</w:t>
            </w:r>
          </w:p>
        </w:tc>
        <w:tc>
          <w:tcPr>
            <w:tcW w:w="986" w:type="pct"/>
            <w:tcBorders>
              <w:tl2br w:val="nil"/>
              <w:tr2bl w:val="nil"/>
            </w:tcBorders>
            <w:noWrap w:val="0"/>
            <w:vAlign w:val="center"/>
          </w:tcPr>
          <w:p w14:paraId="7BAE65DF">
            <w:pPr>
              <w:widowControl w:val="0"/>
              <w:adjustRightInd w:val="0"/>
              <w:snapToGrid w:val="0"/>
              <w:jc w:val="center"/>
              <w:textAlignment w:val="center"/>
              <w:rPr>
                <w:rFonts w:hint="default" w:ascii="Times New Roman" w:hAnsi="Times New Roman" w:eastAsia="宋体" w:cs="Times New Roman"/>
                <w:sz w:val="21"/>
                <w:szCs w:val="21"/>
                <w:lang w:val="en-US" w:eastAsia="zh-CN" w:bidi="ar"/>
              </w:rPr>
            </w:pPr>
            <w:r>
              <w:rPr>
                <w:rFonts w:hint="eastAsia" w:ascii="Times New Roman" w:hAnsi="Times New Roman" w:eastAsia="宋体" w:cs="Times New Roman"/>
                <w:sz w:val="21"/>
                <w:szCs w:val="21"/>
                <w:lang w:val="en-US" w:eastAsia="zh-CN" w:bidi="ar"/>
              </w:rPr>
              <w:t>0.82</w:t>
            </w:r>
          </w:p>
        </w:tc>
        <w:tc>
          <w:tcPr>
            <w:tcW w:w="928" w:type="pct"/>
            <w:tcBorders>
              <w:tl2br w:val="nil"/>
              <w:tr2bl w:val="nil"/>
            </w:tcBorders>
            <w:noWrap w:val="0"/>
            <w:vAlign w:val="center"/>
          </w:tcPr>
          <w:p w14:paraId="6C9E25FC">
            <w:pPr>
              <w:widowControl w:val="0"/>
              <w:adjustRightInd w:val="0"/>
              <w:snapToGrid w:val="0"/>
              <w:jc w:val="center"/>
              <w:textAlignment w:val="center"/>
              <w:rPr>
                <w:rFonts w:hint="default" w:ascii="Times New Roman" w:hAnsi="Times New Roman" w:eastAsia="宋体" w:cs="Times New Roman"/>
                <w:sz w:val="21"/>
                <w:szCs w:val="21"/>
                <w:lang w:val="en-US" w:eastAsia="zh-CN" w:bidi="ar"/>
              </w:rPr>
            </w:pPr>
            <w:r>
              <w:rPr>
                <w:rFonts w:hint="eastAsia" w:ascii="Times New Roman" w:hAnsi="Times New Roman" w:eastAsia="宋体" w:cs="Times New Roman"/>
                <w:sz w:val="21"/>
                <w:szCs w:val="21"/>
                <w:lang w:val="en-US" w:eastAsia="zh-CN" w:bidi="ar"/>
              </w:rPr>
              <w:t>0.89</w:t>
            </w:r>
          </w:p>
        </w:tc>
        <w:tc>
          <w:tcPr>
            <w:tcW w:w="905" w:type="pct"/>
            <w:tcBorders>
              <w:tl2br w:val="nil"/>
              <w:tr2bl w:val="nil"/>
            </w:tcBorders>
            <w:noWrap w:val="0"/>
            <w:vAlign w:val="center"/>
          </w:tcPr>
          <w:p w14:paraId="5FA3A0A5">
            <w:pPr>
              <w:widowControl w:val="0"/>
              <w:adjustRightInd w:val="0"/>
              <w:snapToGrid w:val="0"/>
              <w:jc w:val="center"/>
              <w:textAlignment w:val="center"/>
              <w:rPr>
                <w:rFonts w:hint="default" w:ascii="Times New Roman" w:hAnsi="Times New Roman" w:eastAsia="宋体" w:cs="Times New Roman"/>
                <w:sz w:val="21"/>
                <w:szCs w:val="21"/>
                <w:lang w:val="en-US" w:eastAsia="zh-CN" w:bidi="ar"/>
              </w:rPr>
            </w:pPr>
            <w:r>
              <w:rPr>
                <w:rFonts w:hint="eastAsia" w:ascii="Times New Roman" w:hAnsi="Times New Roman" w:eastAsia="宋体" w:cs="Times New Roman"/>
                <w:sz w:val="21"/>
                <w:szCs w:val="21"/>
                <w:lang w:val="en-US" w:eastAsia="zh-CN" w:bidi="ar"/>
              </w:rPr>
              <w:t>0.76</w:t>
            </w:r>
          </w:p>
        </w:tc>
      </w:tr>
      <w:tr w14:paraId="63D47BC3">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386" w:type="pct"/>
            <w:tcBorders>
              <w:tl2br w:val="nil"/>
              <w:tr2bl w:val="nil"/>
            </w:tcBorders>
            <w:noWrap w:val="0"/>
            <w:vAlign w:val="center"/>
          </w:tcPr>
          <w:p w14:paraId="287A4046">
            <w:pPr>
              <w:widowControl w:val="0"/>
              <w:adjustRightInd w:val="0"/>
              <w:snapToGrid w:val="0"/>
              <w:jc w:val="center"/>
              <w:textAlignment w:val="center"/>
              <w:rPr>
                <w:rFonts w:hint="default" w:ascii="Times New Roman" w:hAnsi="Times New Roman" w:eastAsia="宋体" w:cs="Times New Roman"/>
                <w:sz w:val="21"/>
                <w:szCs w:val="21"/>
                <w:lang w:val="en-US" w:eastAsia="zh-CN" w:bidi="ar"/>
              </w:rPr>
            </w:pPr>
            <w:r>
              <w:rPr>
                <w:rFonts w:hint="default" w:ascii="Times New Roman" w:hAnsi="Times New Roman" w:eastAsia="宋体" w:cs="Times New Roman"/>
                <w:sz w:val="21"/>
                <w:szCs w:val="21"/>
                <w:lang w:val="en-US" w:eastAsia="zh-CN" w:bidi="ar"/>
              </w:rPr>
              <w:t>10</w:t>
            </w:r>
          </w:p>
        </w:tc>
        <w:tc>
          <w:tcPr>
            <w:tcW w:w="640" w:type="pct"/>
            <w:vMerge w:val="continue"/>
            <w:tcBorders>
              <w:tl2br w:val="nil"/>
              <w:tr2bl w:val="nil"/>
            </w:tcBorders>
            <w:noWrap w:val="0"/>
            <w:vAlign w:val="center"/>
          </w:tcPr>
          <w:p w14:paraId="22012496">
            <w:pPr>
              <w:widowControl w:val="0"/>
              <w:adjustRightInd w:val="0"/>
              <w:snapToGrid w:val="0"/>
              <w:jc w:val="center"/>
              <w:textAlignment w:val="center"/>
              <w:rPr>
                <w:rFonts w:hint="default" w:ascii="Times New Roman" w:hAnsi="Times New Roman" w:eastAsia="宋体" w:cs="Times New Roman"/>
                <w:sz w:val="21"/>
                <w:szCs w:val="21"/>
                <w:lang w:val="en-US" w:eastAsia="zh-CN" w:bidi="ar"/>
              </w:rPr>
            </w:pPr>
          </w:p>
        </w:tc>
        <w:tc>
          <w:tcPr>
            <w:tcW w:w="1151" w:type="pct"/>
            <w:tcBorders>
              <w:tl2br w:val="nil"/>
              <w:tr2bl w:val="nil"/>
            </w:tcBorders>
            <w:noWrap w:val="0"/>
            <w:vAlign w:val="center"/>
          </w:tcPr>
          <w:p w14:paraId="7ECA5D50">
            <w:pPr>
              <w:widowControl w:val="0"/>
              <w:adjustRightInd w:val="0"/>
              <w:snapToGrid w:val="0"/>
              <w:jc w:val="center"/>
              <w:textAlignment w:val="center"/>
              <w:rPr>
                <w:rFonts w:hint="default" w:ascii="Times New Roman" w:hAnsi="Times New Roman" w:eastAsia="宋体" w:cs="Times New Roman"/>
                <w:sz w:val="21"/>
                <w:szCs w:val="21"/>
                <w:lang w:val="en-US" w:eastAsia="zh-CN" w:bidi="ar"/>
              </w:rPr>
            </w:pPr>
            <w:r>
              <w:rPr>
                <w:rFonts w:hint="default" w:ascii="Times New Roman" w:hAnsi="Times New Roman" w:eastAsia="宋体" w:cs="Times New Roman"/>
                <w:sz w:val="21"/>
                <w:szCs w:val="21"/>
                <w:lang w:val="en-US" w:eastAsia="zh-CN" w:bidi="ar"/>
              </w:rPr>
              <w:t>氨氮</w:t>
            </w:r>
          </w:p>
        </w:tc>
        <w:tc>
          <w:tcPr>
            <w:tcW w:w="986" w:type="pct"/>
            <w:tcBorders>
              <w:tl2br w:val="nil"/>
              <w:tr2bl w:val="nil"/>
            </w:tcBorders>
            <w:noWrap w:val="0"/>
            <w:vAlign w:val="center"/>
          </w:tcPr>
          <w:p w14:paraId="5CFB7DAB">
            <w:pPr>
              <w:widowControl w:val="0"/>
              <w:adjustRightInd w:val="0"/>
              <w:snapToGrid w:val="0"/>
              <w:jc w:val="center"/>
              <w:textAlignment w:val="center"/>
              <w:rPr>
                <w:rFonts w:hint="default" w:ascii="Times New Roman" w:hAnsi="Times New Roman" w:eastAsia="宋体" w:cs="Times New Roman"/>
                <w:sz w:val="21"/>
                <w:szCs w:val="21"/>
                <w:lang w:val="en-US" w:eastAsia="zh-CN" w:bidi="ar"/>
              </w:rPr>
            </w:pPr>
            <w:r>
              <w:rPr>
                <w:rFonts w:hint="eastAsia" w:ascii="Times New Roman" w:hAnsi="Times New Roman" w:eastAsia="宋体" w:cs="Times New Roman"/>
                <w:sz w:val="21"/>
                <w:szCs w:val="21"/>
                <w:lang w:val="en-US" w:eastAsia="zh-CN" w:bidi="ar"/>
              </w:rPr>
              <w:t>0.736</w:t>
            </w:r>
          </w:p>
        </w:tc>
        <w:tc>
          <w:tcPr>
            <w:tcW w:w="928" w:type="pct"/>
            <w:tcBorders>
              <w:tl2br w:val="nil"/>
              <w:tr2bl w:val="nil"/>
            </w:tcBorders>
            <w:noWrap w:val="0"/>
            <w:vAlign w:val="center"/>
          </w:tcPr>
          <w:p w14:paraId="7D1BDCDD">
            <w:pPr>
              <w:widowControl w:val="0"/>
              <w:adjustRightInd w:val="0"/>
              <w:snapToGrid w:val="0"/>
              <w:jc w:val="center"/>
              <w:textAlignment w:val="center"/>
              <w:rPr>
                <w:rFonts w:hint="default" w:ascii="Times New Roman" w:hAnsi="Times New Roman" w:eastAsia="宋体" w:cs="Times New Roman"/>
                <w:sz w:val="21"/>
                <w:szCs w:val="21"/>
                <w:lang w:val="en-US" w:eastAsia="zh-CN" w:bidi="ar"/>
              </w:rPr>
            </w:pPr>
            <w:r>
              <w:rPr>
                <w:rFonts w:hint="eastAsia" w:ascii="Times New Roman" w:hAnsi="Times New Roman" w:eastAsia="宋体" w:cs="Times New Roman"/>
                <w:sz w:val="21"/>
                <w:szCs w:val="21"/>
                <w:lang w:val="en-US" w:eastAsia="zh-CN" w:bidi="ar"/>
              </w:rPr>
              <w:t>0.724</w:t>
            </w:r>
          </w:p>
        </w:tc>
        <w:tc>
          <w:tcPr>
            <w:tcW w:w="905" w:type="pct"/>
            <w:tcBorders>
              <w:tl2br w:val="nil"/>
              <w:tr2bl w:val="nil"/>
            </w:tcBorders>
            <w:noWrap w:val="0"/>
            <w:vAlign w:val="center"/>
          </w:tcPr>
          <w:p w14:paraId="010894FD">
            <w:pPr>
              <w:widowControl w:val="0"/>
              <w:adjustRightInd w:val="0"/>
              <w:snapToGrid w:val="0"/>
              <w:jc w:val="center"/>
              <w:textAlignment w:val="center"/>
              <w:rPr>
                <w:rFonts w:hint="default" w:ascii="Times New Roman" w:hAnsi="Times New Roman" w:eastAsia="宋体" w:cs="Times New Roman"/>
                <w:sz w:val="21"/>
                <w:szCs w:val="21"/>
                <w:lang w:val="en-US" w:eastAsia="zh-CN" w:bidi="ar"/>
              </w:rPr>
            </w:pPr>
            <w:r>
              <w:rPr>
                <w:rFonts w:hint="eastAsia" w:ascii="Times New Roman" w:hAnsi="Times New Roman" w:eastAsia="宋体" w:cs="Times New Roman"/>
                <w:sz w:val="21"/>
                <w:szCs w:val="21"/>
                <w:lang w:val="en-US" w:eastAsia="zh-CN" w:bidi="ar"/>
              </w:rPr>
              <w:t>0.68</w:t>
            </w:r>
          </w:p>
        </w:tc>
      </w:tr>
      <w:tr w14:paraId="3D257909">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386" w:type="pct"/>
            <w:tcBorders>
              <w:tl2br w:val="nil"/>
              <w:tr2bl w:val="nil"/>
            </w:tcBorders>
            <w:noWrap w:val="0"/>
            <w:vAlign w:val="center"/>
          </w:tcPr>
          <w:p w14:paraId="1C0AF956">
            <w:pPr>
              <w:widowControl w:val="0"/>
              <w:adjustRightInd w:val="0"/>
              <w:snapToGrid w:val="0"/>
              <w:jc w:val="center"/>
              <w:textAlignment w:val="center"/>
              <w:rPr>
                <w:rFonts w:hint="default" w:ascii="Times New Roman" w:hAnsi="Times New Roman" w:eastAsia="宋体" w:cs="Times New Roman"/>
                <w:sz w:val="21"/>
                <w:szCs w:val="21"/>
                <w:lang w:val="en-US" w:eastAsia="zh-CN" w:bidi="ar"/>
              </w:rPr>
            </w:pPr>
            <w:r>
              <w:rPr>
                <w:rFonts w:hint="default" w:ascii="Times New Roman" w:hAnsi="Times New Roman" w:eastAsia="宋体" w:cs="Times New Roman"/>
                <w:sz w:val="21"/>
                <w:szCs w:val="21"/>
                <w:lang w:val="en-US" w:eastAsia="zh-CN" w:bidi="ar"/>
              </w:rPr>
              <w:t>11</w:t>
            </w:r>
          </w:p>
        </w:tc>
        <w:tc>
          <w:tcPr>
            <w:tcW w:w="640" w:type="pct"/>
            <w:vMerge w:val="continue"/>
            <w:tcBorders>
              <w:tl2br w:val="nil"/>
              <w:tr2bl w:val="nil"/>
            </w:tcBorders>
            <w:noWrap w:val="0"/>
            <w:vAlign w:val="center"/>
          </w:tcPr>
          <w:p w14:paraId="392F8410">
            <w:pPr>
              <w:widowControl w:val="0"/>
              <w:adjustRightInd w:val="0"/>
              <w:snapToGrid w:val="0"/>
              <w:jc w:val="center"/>
              <w:textAlignment w:val="center"/>
              <w:rPr>
                <w:rFonts w:hint="default" w:ascii="Times New Roman" w:hAnsi="Times New Roman" w:eastAsia="宋体" w:cs="Times New Roman"/>
                <w:sz w:val="21"/>
                <w:szCs w:val="21"/>
                <w:lang w:val="en-US" w:eastAsia="zh-CN" w:bidi="ar"/>
              </w:rPr>
            </w:pPr>
          </w:p>
        </w:tc>
        <w:tc>
          <w:tcPr>
            <w:tcW w:w="1151" w:type="pct"/>
            <w:tcBorders>
              <w:tl2br w:val="nil"/>
              <w:tr2bl w:val="nil"/>
            </w:tcBorders>
            <w:noWrap w:val="0"/>
            <w:vAlign w:val="center"/>
          </w:tcPr>
          <w:p w14:paraId="1A9872C3">
            <w:pPr>
              <w:widowControl w:val="0"/>
              <w:adjustRightInd w:val="0"/>
              <w:snapToGrid w:val="0"/>
              <w:jc w:val="center"/>
              <w:textAlignment w:val="center"/>
              <w:rPr>
                <w:rFonts w:hint="default" w:ascii="Times New Roman" w:hAnsi="Times New Roman" w:eastAsia="宋体" w:cs="Times New Roman"/>
                <w:sz w:val="21"/>
                <w:szCs w:val="21"/>
                <w:lang w:val="en-US" w:eastAsia="zh-CN" w:bidi="ar"/>
              </w:rPr>
            </w:pPr>
            <w:r>
              <w:rPr>
                <w:rFonts w:hint="default" w:ascii="Times New Roman" w:hAnsi="Times New Roman" w:eastAsia="宋体" w:cs="Times New Roman"/>
                <w:sz w:val="21"/>
                <w:szCs w:val="21"/>
                <w:lang w:val="en-US" w:eastAsia="zh-CN" w:bidi="ar"/>
              </w:rPr>
              <w:t>五日生化需氧量</w:t>
            </w:r>
          </w:p>
        </w:tc>
        <w:tc>
          <w:tcPr>
            <w:tcW w:w="986" w:type="pct"/>
            <w:tcBorders>
              <w:tl2br w:val="nil"/>
              <w:tr2bl w:val="nil"/>
            </w:tcBorders>
            <w:noWrap w:val="0"/>
            <w:vAlign w:val="center"/>
          </w:tcPr>
          <w:p w14:paraId="648E2D62">
            <w:pPr>
              <w:widowControl w:val="0"/>
              <w:adjustRightInd w:val="0"/>
              <w:snapToGrid w:val="0"/>
              <w:jc w:val="center"/>
              <w:textAlignment w:val="center"/>
              <w:rPr>
                <w:rFonts w:hint="default" w:ascii="Times New Roman" w:hAnsi="Times New Roman" w:eastAsia="宋体" w:cs="Times New Roman"/>
                <w:sz w:val="21"/>
                <w:szCs w:val="21"/>
                <w:lang w:val="en-US" w:eastAsia="zh-CN" w:bidi="ar"/>
              </w:rPr>
            </w:pPr>
            <w:r>
              <w:rPr>
                <w:rFonts w:hint="eastAsia" w:ascii="Times New Roman" w:hAnsi="Times New Roman" w:eastAsia="宋体" w:cs="Times New Roman"/>
                <w:sz w:val="21"/>
                <w:szCs w:val="21"/>
                <w:lang w:val="en-US" w:eastAsia="zh-CN" w:bidi="ar"/>
              </w:rPr>
              <w:t>0.95</w:t>
            </w:r>
          </w:p>
        </w:tc>
        <w:tc>
          <w:tcPr>
            <w:tcW w:w="928" w:type="pct"/>
            <w:tcBorders>
              <w:tl2br w:val="nil"/>
              <w:tr2bl w:val="nil"/>
            </w:tcBorders>
            <w:noWrap w:val="0"/>
            <w:vAlign w:val="center"/>
          </w:tcPr>
          <w:p w14:paraId="2C3DEC4A">
            <w:pPr>
              <w:widowControl w:val="0"/>
              <w:adjustRightInd w:val="0"/>
              <w:snapToGrid w:val="0"/>
              <w:jc w:val="center"/>
              <w:textAlignment w:val="center"/>
              <w:rPr>
                <w:rFonts w:hint="default" w:ascii="Times New Roman" w:hAnsi="Times New Roman" w:eastAsia="宋体" w:cs="Times New Roman"/>
                <w:sz w:val="21"/>
                <w:szCs w:val="21"/>
                <w:lang w:val="en-US" w:eastAsia="zh-CN" w:bidi="ar"/>
              </w:rPr>
            </w:pPr>
            <w:r>
              <w:rPr>
                <w:rFonts w:hint="eastAsia" w:ascii="Times New Roman" w:hAnsi="Times New Roman" w:eastAsia="宋体" w:cs="Times New Roman"/>
                <w:sz w:val="21"/>
                <w:szCs w:val="21"/>
                <w:lang w:val="en-US" w:eastAsia="zh-CN" w:bidi="ar"/>
              </w:rPr>
              <w:t>0.925</w:t>
            </w:r>
          </w:p>
        </w:tc>
        <w:tc>
          <w:tcPr>
            <w:tcW w:w="905" w:type="pct"/>
            <w:tcBorders>
              <w:tl2br w:val="nil"/>
              <w:tr2bl w:val="nil"/>
            </w:tcBorders>
            <w:noWrap w:val="0"/>
            <w:vAlign w:val="center"/>
          </w:tcPr>
          <w:p w14:paraId="7E52269B">
            <w:pPr>
              <w:widowControl w:val="0"/>
              <w:adjustRightInd w:val="0"/>
              <w:snapToGrid w:val="0"/>
              <w:jc w:val="center"/>
              <w:textAlignment w:val="center"/>
              <w:rPr>
                <w:rFonts w:hint="default" w:ascii="Times New Roman" w:hAnsi="Times New Roman" w:eastAsia="宋体" w:cs="Times New Roman"/>
                <w:sz w:val="21"/>
                <w:szCs w:val="21"/>
                <w:lang w:val="en-US" w:eastAsia="zh-CN" w:bidi="ar"/>
              </w:rPr>
            </w:pPr>
            <w:r>
              <w:rPr>
                <w:rFonts w:hint="eastAsia" w:ascii="Times New Roman" w:hAnsi="Times New Roman" w:eastAsia="宋体" w:cs="Times New Roman"/>
                <w:sz w:val="21"/>
                <w:szCs w:val="21"/>
                <w:lang w:val="en-US" w:eastAsia="zh-CN" w:bidi="ar"/>
              </w:rPr>
              <w:t>0.825</w:t>
            </w:r>
          </w:p>
        </w:tc>
      </w:tr>
      <w:tr w14:paraId="45F25781">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386" w:type="pct"/>
            <w:tcBorders>
              <w:tl2br w:val="nil"/>
              <w:tr2bl w:val="nil"/>
            </w:tcBorders>
            <w:noWrap w:val="0"/>
            <w:vAlign w:val="center"/>
          </w:tcPr>
          <w:p w14:paraId="5C7DD617">
            <w:pPr>
              <w:widowControl w:val="0"/>
              <w:adjustRightInd w:val="0"/>
              <w:snapToGrid w:val="0"/>
              <w:jc w:val="center"/>
              <w:textAlignment w:val="center"/>
              <w:rPr>
                <w:rFonts w:hint="default" w:ascii="Times New Roman" w:hAnsi="Times New Roman" w:eastAsia="宋体" w:cs="Times New Roman"/>
                <w:sz w:val="21"/>
                <w:szCs w:val="21"/>
                <w:lang w:val="en-US" w:eastAsia="zh-CN" w:bidi="ar"/>
              </w:rPr>
            </w:pPr>
            <w:r>
              <w:rPr>
                <w:rFonts w:hint="default" w:ascii="Times New Roman" w:hAnsi="Times New Roman" w:eastAsia="宋体" w:cs="Times New Roman"/>
                <w:sz w:val="21"/>
                <w:szCs w:val="21"/>
                <w:lang w:val="en-US" w:eastAsia="zh-CN" w:bidi="ar"/>
              </w:rPr>
              <w:t>12</w:t>
            </w:r>
          </w:p>
        </w:tc>
        <w:tc>
          <w:tcPr>
            <w:tcW w:w="640" w:type="pct"/>
            <w:vMerge w:val="continue"/>
            <w:tcBorders>
              <w:tl2br w:val="nil"/>
              <w:tr2bl w:val="nil"/>
            </w:tcBorders>
            <w:noWrap w:val="0"/>
            <w:vAlign w:val="center"/>
          </w:tcPr>
          <w:p w14:paraId="7F1B845A">
            <w:pPr>
              <w:widowControl w:val="0"/>
              <w:adjustRightInd w:val="0"/>
              <w:snapToGrid w:val="0"/>
              <w:jc w:val="center"/>
              <w:textAlignment w:val="center"/>
              <w:rPr>
                <w:rFonts w:hint="default" w:ascii="Times New Roman" w:hAnsi="Times New Roman" w:eastAsia="宋体" w:cs="Times New Roman"/>
                <w:sz w:val="21"/>
                <w:szCs w:val="21"/>
                <w:lang w:val="en-US" w:eastAsia="zh-CN" w:bidi="ar"/>
              </w:rPr>
            </w:pPr>
          </w:p>
        </w:tc>
        <w:tc>
          <w:tcPr>
            <w:tcW w:w="1151" w:type="pct"/>
            <w:tcBorders>
              <w:tl2br w:val="nil"/>
              <w:tr2bl w:val="nil"/>
            </w:tcBorders>
            <w:noWrap w:val="0"/>
            <w:vAlign w:val="center"/>
          </w:tcPr>
          <w:p w14:paraId="437DC0A2">
            <w:pPr>
              <w:widowControl w:val="0"/>
              <w:adjustRightInd w:val="0"/>
              <w:snapToGrid w:val="0"/>
              <w:jc w:val="center"/>
              <w:textAlignment w:val="center"/>
              <w:rPr>
                <w:rFonts w:hint="default" w:ascii="Times New Roman" w:hAnsi="Times New Roman" w:eastAsia="宋体" w:cs="Times New Roman"/>
                <w:sz w:val="21"/>
                <w:szCs w:val="21"/>
                <w:lang w:val="en-US" w:eastAsia="zh-CN" w:bidi="ar"/>
              </w:rPr>
            </w:pPr>
            <w:r>
              <w:rPr>
                <w:rFonts w:hint="default" w:ascii="Times New Roman" w:hAnsi="Times New Roman" w:eastAsia="宋体" w:cs="Times New Roman"/>
                <w:sz w:val="21"/>
                <w:szCs w:val="21"/>
                <w:lang w:val="en-US" w:eastAsia="zh-CN" w:bidi="ar"/>
              </w:rPr>
              <w:t>挥发酚</w:t>
            </w:r>
          </w:p>
        </w:tc>
        <w:tc>
          <w:tcPr>
            <w:tcW w:w="986" w:type="pct"/>
            <w:tcBorders>
              <w:tl2br w:val="nil"/>
              <w:tr2bl w:val="nil"/>
            </w:tcBorders>
            <w:noWrap w:val="0"/>
            <w:vAlign w:val="center"/>
          </w:tcPr>
          <w:p w14:paraId="559E8A11">
            <w:pPr>
              <w:widowControl w:val="0"/>
              <w:adjustRightInd w:val="0"/>
              <w:snapToGrid w:val="0"/>
              <w:jc w:val="center"/>
              <w:textAlignment w:val="center"/>
              <w:rPr>
                <w:rFonts w:hint="eastAsia" w:ascii="Times New Roman" w:hAnsi="Times New Roman" w:eastAsia="宋体" w:cs="Times New Roman"/>
                <w:sz w:val="21"/>
                <w:szCs w:val="21"/>
                <w:lang w:val="en-US" w:eastAsia="zh-CN" w:bidi="ar"/>
              </w:rPr>
            </w:pPr>
            <w:r>
              <w:rPr>
                <w:rFonts w:hint="eastAsia" w:ascii="Times New Roman" w:hAnsi="Times New Roman" w:eastAsia="宋体" w:cs="Times New Roman"/>
                <w:sz w:val="21"/>
                <w:szCs w:val="21"/>
                <w:lang w:val="en-US" w:eastAsia="zh-CN" w:bidi="ar"/>
              </w:rPr>
              <w:t>-</w:t>
            </w:r>
          </w:p>
        </w:tc>
        <w:tc>
          <w:tcPr>
            <w:tcW w:w="928" w:type="pct"/>
            <w:tcBorders>
              <w:tl2br w:val="nil"/>
              <w:tr2bl w:val="nil"/>
            </w:tcBorders>
            <w:noWrap w:val="0"/>
            <w:vAlign w:val="center"/>
          </w:tcPr>
          <w:p w14:paraId="753CA96B">
            <w:pPr>
              <w:widowControl w:val="0"/>
              <w:adjustRightInd w:val="0"/>
              <w:snapToGrid w:val="0"/>
              <w:jc w:val="center"/>
              <w:textAlignment w:val="center"/>
              <w:rPr>
                <w:rFonts w:hint="eastAsia" w:ascii="Times New Roman" w:hAnsi="Times New Roman" w:eastAsia="宋体" w:cs="Times New Roman"/>
                <w:sz w:val="21"/>
                <w:szCs w:val="21"/>
                <w:lang w:val="en-US" w:eastAsia="zh-CN" w:bidi="ar"/>
              </w:rPr>
            </w:pPr>
            <w:r>
              <w:rPr>
                <w:rFonts w:hint="eastAsia" w:ascii="Times New Roman" w:hAnsi="Times New Roman" w:eastAsia="宋体" w:cs="Times New Roman"/>
                <w:sz w:val="21"/>
                <w:szCs w:val="21"/>
                <w:lang w:val="en-US" w:eastAsia="zh-CN" w:bidi="ar"/>
              </w:rPr>
              <w:t>-</w:t>
            </w:r>
          </w:p>
        </w:tc>
        <w:tc>
          <w:tcPr>
            <w:tcW w:w="905" w:type="pct"/>
            <w:tcBorders>
              <w:tl2br w:val="nil"/>
              <w:tr2bl w:val="nil"/>
            </w:tcBorders>
            <w:noWrap w:val="0"/>
            <w:vAlign w:val="center"/>
          </w:tcPr>
          <w:p w14:paraId="6FE0760E">
            <w:pPr>
              <w:widowControl w:val="0"/>
              <w:adjustRightInd w:val="0"/>
              <w:snapToGrid w:val="0"/>
              <w:jc w:val="center"/>
              <w:textAlignment w:val="center"/>
              <w:rPr>
                <w:rFonts w:hint="eastAsia" w:ascii="Times New Roman" w:hAnsi="Times New Roman" w:eastAsia="宋体" w:cs="Times New Roman"/>
                <w:sz w:val="21"/>
                <w:szCs w:val="21"/>
                <w:lang w:val="en-US" w:eastAsia="zh-CN" w:bidi="ar"/>
              </w:rPr>
            </w:pPr>
            <w:r>
              <w:rPr>
                <w:rFonts w:hint="eastAsia" w:ascii="Times New Roman" w:hAnsi="Times New Roman" w:eastAsia="宋体" w:cs="Times New Roman"/>
                <w:sz w:val="21"/>
                <w:szCs w:val="21"/>
                <w:lang w:val="en-US" w:eastAsia="zh-CN" w:bidi="ar"/>
              </w:rPr>
              <w:t>-</w:t>
            </w:r>
          </w:p>
        </w:tc>
      </w:tr>
      <w:tr w14:paraId="283742F9">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386" w:type="pct"/>
            <w:tcBorders>
              <w:tl2br w:val="nil"/>
              <w:tr2bl w:val="nil"/>
            </w:tcBorders>
            <w:noWrap w:val="0"/>
            <w:vAlign w:val="center"/>
          </w:tcPr>
          <w:p w14:paraId="65265321">
            <w:pPr>
              <w:widowControl w:val="0"/>
              <w:adjustRightInd w:val="0"/>
              <w:snapToGrid w:val="0"/>
              <w:jc w:val="center"/>
              <w:textAlignment w:val="center"/>
              <w:rPr>
                <w:rFonts w:hint="default" w:ascii="Times New Roman" w:hAnsi="Times New Roman" w:eastAsia="宋体" w:cs="Times New Roman"/>
                <w:sz w:val="21"/>
                <w:szCs w:val="21"/>
                <w:lang w:val="en-US" w:eastAsia="zh-CN" w:bidi="ar"/>
              </w:rPr>
            </w:pPr>
            <w:r>
              <w:rPr>
                <w:rFonts w:hint="default" w:ascii="Times New Roman" w:hAnsi="Times New Roman" w:eastAsia="宋体" w:cs="Times New Roman"/>
                <w:sz w:val="21"/>
                <w:szCs w:val="21"/>
                <w:lang w:val="en-US" w:eastAsia="zh-CN" w:bidi="ar"/>
              </w:rPr>
              <w:t>13</w:t>
            </w:r>
          </w:p>
        </w:tc>
        <w:tc>
          <w:tcPr>
            <w:tcW w:w="640" w:type="pct"/>
            <w:vMerge w:val="continue"/>
            <w:tcBorders>
              <w:tl2br w:val="nil"/>
              <w:tr2bl w:val="nil"/>
            </w:tcBorders>
            <w:noWrap w:val="0"/>
            <w:vAlign w:val="center"/>
          </w:tcPr>
          <w:p w14:paraId="09D1DDCB">
            <w:pPr>
              <w:widowControl w:val="0"/>
              <w:adjustRightInd w:val="0"/>
              <w:snapToGrid w:val="0"/>
              <w:jc w:val="center"/>
              <w:textAlignment w:val="center"/>
              <w:rPr>
                <w:rFonts w:hint="default" w:ascii="Times New Roman" w:hAnsi="Times New Roman" w:eastAsia="宋体" w:cs="Times New Roman"/>
                <w:sz w:val="21"/>
                <w:szCs w:val="21"/>
                <w:lang w:val="en-US" w:eastAsia="zh-CN" w:bidi="ar"/>
              </w:rPr>
            </w:pPr>
          </w:p>
        </w:tc>
        <w:tc>
          <w:tcPr>
            <w:tcW w:w="1151" w:type="pct"/>
            <w:tcBorders>
              <w:tl2br w:val="nil"/>
              <w:tr2bl w:val="nil"/>
            </w:tcBorders>
            <w:noWrap w:val="0"/>
            <w:vAlign w:val="center"/>
          </w:tcPr>
          <w:p w14:paraId="4686C3CC">
            <w:pPr>
              <w:widowControl w:val="0"/>
              <w:adjustRightInd w:val="0"/>
              <w:snapToGrid w:val="0"/>
              <w:jc w:val="center"/>
              <w:textAlignment w:val="center"/>
              <w:rPr>
                <w:rFonts w:hint="default" w:ascii="Times New Roman" w:hAnsi="Times New Roman" w:eastAsia="宋体" w:cs="Times New Roman"/>
                <w:sz w:val="21"/>
                <w:szCs w:val="21"/>
                <w:lang w:val="en-US" w:eastAsia="zh-CN" w:bidi="ar"/>
              </w:rPr>
            </w:pPr>
            <w:r>
              <w:rPr>
                <w:rFonts w:hint="default" w:ascii="Times New Roman" w:hAnsi="Times New Roman" w:eastAsia="宋体" w:cs="Times New Roman"/>
                <w:sz w:val="21"/>
                <w:szCs w:val="21"/>
                <w:lang w:val="en-US" w:eastAsia="zh-CN" w:bidi="ar"/>
              </w:rPr>
              <w:t>氰化物</w:t>
            </w:r>
          </w:p>
        </w:tc>
        <w:tc>
          <w:tcPr>
            <w:tcW w:w="986" w:type="pct"/>
            <w:tcBorders>
              <w:tl2br w:val="nil"/>
              <w:tr2bl w:val="nil"/>
            </w:tcBorders>
            <w:noWrap w:val="0"/>
            <w:vAlign w:val="center"/>
          </w:tcPr>
          <w:p w14:paraId="660BD639">
            <w:pPr>
              <w:widowControl w:val="0"/>
              <w:adjustRightInd w:val="0"/>
              <w:snapToGrid w:val="0"/>
              <w:jc w:val="center"/>
              <w:textAlignment w:val="center"/>
              <w:rPr>
                <w:rFonts w:hint="default" w:ascii="Times New Roman" w:hAnsi="Times New Roman" w:eastAsia="宋体" w:cs="Times New Roman"/>
                <w:sz w:val="21"/>
                <w:szCs w:val="21"/>
                <w:lang w:val="en-US" w:eastAsia="zh-CN" w:bidi="ar"/>
              </w:rPr>
            </w:pPr>
            <w:r>
              <w:rPr>
                <w:rFonts w:hint="eastAsia" w:ascii="Times New Roman" w:hAnsi="Times New Roman" w:eastAsia="宋体" w:cs="Times New Roman"/>
                <w:sz w:val="21"/>
                <w:szCs w:val="21"/>
                <w:lang w:val="en-US" w:eastAsia="zh-CN" w:bidi="ar"/>
              </w:rPr>
              <w:t>-</w:t>
            </w:r>
          </w:p>
        </w:tc>
        <w:tc>
          <w:tcPr>
            <w:tcW w:w="928" w:type="pct"/>
            <w:tcBorders>
              <w:tl2br w:val="nil"/>
              <w:tr2bl w:val="nil"/>
            </w:tcBorders>
            <w:noWrap w:val="0"/>
            <w:vAlign w:val="center"/>
          </w:tcPr>
          <w:p w14:paraId="2FC0733A">
            <w:pPr>
              <w:widowControl w:val="0"/>
              <w:adjustRightInd w:val="0"/>
              <w:snapToGrid w:val="0"/>
              <w:jc w:val="center"/>
              <w:textAlignment w:val="center"/>
              <w:rPr>
                <w:rFonts w:hint="default" w:ascii="Times New Roman" w:hAnsi="Times New Roman" w:eastAsia="宋体" w:cs="Times New Roman"/>
                <w:sz w:val="21"/>
                <w:szCs w:val="21"/>
                <w:lang w:val="en-US" w:eastAsia="zh-CN" w:bidi="ar"/>
              </w:rPr>
            </w:pPr>
            <w:r>
              <w:rPr>
                <w:rFonts w:hint="eastAsia" w:ascii="Times New Roman" w:hAnsi="Times New Roman" w:eastAsia="宋体" w:cs="Times New Roman"/>
                <w:sz w:val="21"/>
                <w:szCs w:val="21"/>
                <w:lang w:val="en-US" w:eastAsia="zh-CN" w:bidi="ar"/>
              </w:rPr>
              <w:t>-</w:t>
            </w:r>
          </w:p>
        </w:tc>
        <w:tc>
          <w:tcPr>
            <w:tcW w:w="905" w:type="pct"/>
            <w:tcBorders>
              <w:tl2br w:val="nil"/>
              <w:tr2bl w:val="nil"/>
            </w:tcBorders>
            <w:noWrap w:val="0"/>
            <w:vAlign w:val="center"/>
          </w:tcPr>
          <w:p w14:paraId="07016A90">
            <w:pPr>
              <w:widowControl w:val="0"/>
              <w:adjustRightInd w:val="0"/>
              <w:snapToGrid w:val="0"/>
              <w:jc w:val="center"/>
              <w:textAlignment w:val="center"/>
              <w:rPr>
                <w:rFonts w:hint="default" w:ascii="Times New Roman" w:hAnsi="Times New Roman" w:eastAsia="宋体" w:cs="Times New Roman"/>
                <w:sz w:val="21"/>
                <w:szCs w:val="21"/>
                <w:lang w:val="en-US" w:eastAsia="zh-CN" w:bidi="ar"/>
              </w:rPr>
            </w:pPr>
            <w:r>
              <w:rPr>
                <w:rFonts w:hint="eastAsia" w:ascii="Times New Roman" w:hAnsi="Times New Roman" w:eastAsia="宋体" w:cs="Times New Roman"/>
                <w:sz w:val="21"/>
                <w:szCs w:val="21"/>
                <w:lang w:val="en-US" w:eastAsia="zh-CN" w:bidi="ar"/>
              </w:rPr>
              <w:t>-</w:t>
            </w:r>
          </w:p>
        </w:tc>
      </w:tr>
      <w:tr w14:paraId="280DECC5">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386" w:type="pct"/>
            <w:tcBorders>
              <w:tl2br w:val="nil"/>
              <w:tr2bl w:val="nil"/>
            </w:tcBorders>
            <w:noWrap w:val="0"/>
            <w:vAlign w:val="center"/>
          </w:tcPr>
          <w:p w14:paraId="57919FD9">
            <w:pPr>
              <w:widowControl w:val="0"/>
              <w:adjustRightInd w:val="0"/>
              <w:snapToGrid w:val="0"/>
              <w:jc w:val="center"/>
              <w:textAlignment w:val="center"/>
              <w:rPr>
                <w:rFonts w:hint="default" w:ascii="Times New Roman" w:hAnsi="Times New Roman" w:eastAsia="宋体" w:cs="Times New Roman"/>
                <w:sz w:val="21"/>
                <w:szCs w:val="21"/>
                <w:lang w:val="en-US" w:eastAsia="zh-CN" w:bidi="ar"/>
              </w:rPr>
            </w:pPr>
            <w:r>
              <w:rPr>
                <w:rFonts w:hint="default" w:ascii="Times New Roman" w:hAnsi="Times New Roman" w:eastAsia="宋体" w:cs="Times New Roman"/>
                <w:sz w:val="21"/>
                <w:szCs w:val="21"/>
                <w:lang w:val="en-US" w:eastAsia="zh-CN" w:bidi="ar"/>
              </w:rPr>
              <w:t>14</w:t>
            </w:r>
          </w:p>
        </w:tc>
        <w:tc>
          <w:tcPr>
            <w:tcW w:w="640" w:type="pct"/>
            <w:vMerge w:val="continue"/>
            <w:tcBorders>
              <w:tl2br w:val="nil"/>
              <w:tr2bl w:val="nil"/>
            </w:tcBorders>
            <w:noWrap w:val="0"/>
            <w:vAlign w:val="center"/>
          </w:tcPr>
          <w:p w14:paraId="7412F7FA">
            <w:pPr>
              <w:widowControl w:val="0"/>
              <w:adjustRightInd w:val="0"/>
              <w:snapToGrid w:val="0"/>
              <w:jc w:val="center"/>
              <w:textAlignment w:val="center"/>
              <w:rPr>
                <w:rFonts w:hint="default" w:ascii="Times New Roman" w:hAnsi="Times New Roman" w:eastAsia="宋体" w:cs="Times New Roman"/>
                <w:sz w:val="21"/>
                <w:szCs w:val="21"/>
                <w:lang w:val="en-US" w:eastAsia="zh-CN" w:bidi="ar"/>
              </w:rPr>
            </w:pPr>
          </w:p>
        </w:tc>
        <w:tc>
          <w:tcPr>
            <w:tcW w:w="1151" w:type="pct"/>
            <w:tcBorders>
              <w:tl2br w:val="nil"/>
              <w:tr2bl w:val="nil"/>
            </w:tcBorders>
            <w:noWrap w:val="0"/>
            <w:vAlign w:val="center"/>
          </w:tcPr>
          <w:p w14:paraId="491F6BDC">
            <w:pPr>
              <w:widowControl w:val="0"/>
              <w:adjustRightInd w:val="0"/>
              <w:snapToGrid w:val="0"/>
              <w:jc w:val="center"/>
              <w:textAlignment w:val="center"/>
              <w:rPr>
                <w:rFonts w:hint="default" w:ascii="Times New Roman" w:hAnsi="Times New Roman" w:eastAsia="宋体" w:cs="Times New Roman"/>
                <w:sz w:val="21"/>
                <w:szCs w:val="21"/>
                <w:lang w:val="en-US" w:eastAsia="zh-CN" w:bidi="ar"/>
              </w:rPr>
            </w:pPr>
            <w:r>
              <w:rPr>
                <w:rFonts w:hint="default" w:ascii="Times New Roman" w:hAnsi="Times New Roman" w:eastAsia="宋体" w:cs="Times New Roman"/>
                <w:sz w:val="21"/>
                <w:szCs w:val="21"/>
                <w:lang w:val="en-US" w:eastAsia="zh-CN" w:bidi="ar"/>
              </w:rPr>
              <w:t>砷</w:t>
            </w:r>
          </w:p>
        </w:tc>
        <w:tc>
          <w:tcPr>
            <w:tcW w:w="986" w:type="pct"/>
            <w:tcBorders>
              <w:tl2br w:val="nil"/>
              <w:tr2bl w:val="nil"/>
            </w:tcBorders>
            <w:noWrap w:val="0"/>
            <w:vAlign w:val="center"/>
          </w:tcPr>
          <w:p w14:paraId="5A159EF6">
            <w:pPr>
              <w:widowControl w:val="0"/>
              <w:adjustRightInd w:val="0"/>
              <w:snapToGrid w:val="0"/>
              <w:jc w:val="center"/>
              <w:textAlignment w:val="center"/>
              <w:rPr>
                <w:rFonts w:hint="default" w:ascii="Times New Roman" w:hAnsi="Times New Roman" w:eastAsia="宋体" w:cs="Times New Roman"/>
                <w:sz w:val="21"/>
                <w:szCs w:val="21"/>
                <w:lang w:val="en-US" w:eastAsia="zh-CN" w:bidi="ar"/>
              </w:rPr>
            </w:pPr>
            <w:r>
              <w:rPr>
                <w:rFonts w:hint="eastAsia" w:ascii="Times New Roman" w:hAnsi="Times New Roman" w:eastAsia="宋体" w:cs="Times New Roman"/>
                <w:sz w:val="21"/>
                <w:szCs w:val="21"/>
                <w:lang w:val="en-US" w:eastAsia="zh-CN" w:bidi="ar"/>
              </w:rPr>
              <w:t>-</w:t>
            </w:r>
          </w:p>
        </w:tc>
        <w:tc>
          <w:tcPr>
            <w:tcW w:w="928" w:type="pct"/>
            <w:tcBorders>
              <w:tl2br w:val="nil"/>
              <w:tr2bl w:val="nil"/>
            </w:tcBorders>
            <w:noWrap w:val="0"/>
            <w:vAlign w:val="center"/>
          </w:tcPr>
          <w:p w14:paraId="55B670F9">
            <w:pPr>
              <w:widowControl w:val="0"/>
              <w:adjustRightInd w:val="0"/>
              <w:snapToGrid w:val="0"/>
              <w:jc w:val="center"/>
              <w:textAlignment w:val="center"/>
              <w:rPr>
                <w:rFonts w:hint="default" w:ascii="Times New Roman" w:hAnsi="Times New Roman" w:eastAsia="宋体" w:cs="Times New Roman"/>
                <w:sz w:val="21"/>
                <w:szCs w:val="21"/>
                <w:lang w:val="en-US" w:eastAsia="zh-CN" w:bidi="ar"/>
              </w:rPr>
            </w:pPr>
            <w:r>
              <w:rPr>
                <w:rFonts w:hint="eastAsia" w:ascii="Times New Roman" w:hAnsi="Times New Roman" w:eastAsia="宋体" w:cs="Times New Roman"/>
                <w:sz w:val="21"/>
                <w:szCs w:val="21"/>
                <w:lang w:val="en-US" w:eastAsia="zh-CN" w:bidi="ar"/>
              </w:rPr>
              <w:t>-</w:t>
            </w:r>
          </w:p>
        </w:tc>
        <w:tc>
          <w:tcPr>
            <w:tcW w:w="905" w:type="pct"/>
            <w:tcBorders>
              <w:tl2br w:val="nil"/>
              <w:tr2bl w:val="nil"/>
            </w:tcBorders>
            <w:noWrap w:val="0"/>
            <w:vAlign w:val="center"/>
          </w:tcPr>
          <w:p w14:paraId="1B6404F9">
            <w:pPr>
              <w:widowControl w:val="0"/>
              <w:adjustRightInd w:val="0"/>
              <w:snapToGrid w:val="0"/>
              <w:jc w:val="center"/>
              <w:textAlignment w:val="center"/>
              <w:rPr>
                <w:rFonts w:hint="default" w:ascii="Times New Roman" w:hAnsi="Times New Roman" w:eastAsia="宋体" w:cs="Times New Roman"/>
                <w:sz w:val="21"/>
                <w:szCs w:val="21"/>
                <w:lang w:val="en-US" w:eastAsia="zh-CN" w:bidi="ar"/>
              </w:rPr>
            </w:pPr>
            <w:r>
              <w:rPr>
                <w:rFonts w:hint="eastAsia" w:ascii="Times New Roman" w:hAnsi="Times New Roman" w:eastAsia="宋体" w:cs="Times New Roman"/>
                <w:sz w:val="21"/>
                <w:szCs w:val="21"/>
                <w:lang w:val="en-US" w:eastAsia="zh-CN" w:bidi="ar"/>
              </w:rPr>
              <w:t>-</w:t>
            </w:r>
          </w:p>
        </w:tc>
      </w:tr>
      <w:tr w14:paraId="26D134A3">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386" w:type="pct"/>
            <w:tcBorders>
              <w:tl2br w:val="nil"/>
              <w:tr2bl w:val="nil"/>
            </w:tcBorders>
            <w:noWrap w:val="0"/>
            <w:vAlign w:val="center"/>
          </w:tcPr>
          <w:p w14:paraId="1873B3FF">
            <w:pPr>
              <w:widowControl w:val="0"/>
              <w:adjustRightInd w:val="0"/>
              <w:snapToGrid w:val="0"/>
              <w:jc w:val="center"/>
              <w:textAlignment w:val="center"/>
              <w:rPr>
                <w:rFonts w:hint="default" w:ascii="Times New Roman" w:hAnsi="Times New Roman" w:eastAsia="宋体" w:cs="Times New Roman"/>
                <w:sz w:val="21"/>
                <w:szCs w:val="21"/>
                <w:lang w:val="en-US" w:eastAsia="zh-CN" w:bidi="ar"/>
              </w:rPr>
            </w:pPr>
            <w:r>
              <w:rPr>
                <w:rFonts w:hint="default" w:ascii="Times New Roman" w:hAnsi="Times New Roman" w:eastAsia="宋体" w:cs="Times New Roman"/>
                <w:sz w:val="21"/>
                <w:szCs w:val="21"/>
                <w:lang w:val="en-US" w:eastAsia="zh-CN" w:bidi="ar"/>
              </w:rPr>
              <w:t>15</w:t>
            </w:r>
          </w:p>
        </w:tc>
        <w:tc>
          <w:tcPr>
            <w:tcW w:w="640" w:type="pct"/>
            <w:vMerge w:val="continue"/>
            <w:tcBorders>
              <w:tl2br w:val="nil"/>
              <w:tr2bl w:val="nil"/>
            </w:tcBorders>
            <w:noWrap w:val="0"/>
            <w:vAlign w:val="center"/>
          </w:tcPr>
          <w:p w14:paraId="7B119895">
            <w:pPr>
              <w:widowControl w:val="0"/>
              <w:adjustRightInd w:val="0"/>
              <w:snapToGrid w:val="0"/>
              <w:jc w:val="center"/>
              <w:textAlignment w:val="center"/>
              <w:rPr>
                <w:rFonts w:hint="default" w:ascii="Times New Roman" w:hAnsi="Times New Roman" w:eastAsia="宋体" w:cs="Times New Roman"/>
                <w:sz w:val="21"/>
                <w:szCs w:val="21"/>
                <w:lang w:val="en-US" w:eastAsia="zh-CN" w:bidi="ar"/>
              </w:rPr>
            </w:pPr>
          </w:p>
        </w:tc>
        <w:tc>
          <w:tcPr>
            <w:tcW w:w="1151" w:type="pct"/>
            <w:tcBorders>
              <w:tl2br w:val="nil"/>
              <w:tr2bl w:val="nil"/>
            </w:tcBorders>
            <w:noWrap w:val="0"/>
            <w:vAlign w:val="center"/>
          </w:tcPr>
          <w:p w14:paraId="23201076">
            <w:pPr>
              <w:widowControl w:val="0"/>
              <w:adjustRightInd w:val="0"/>
              <w:snapToGrid w:val="0"/>
              <w:jc w:val="center"/>
              <w:textAlignment w:val="center"/>
              <w:rPr>
                <w:rFonts w:hint="default" w:ascii="Times New Roman" w:hAnsi="Times New Roman" w:eastAsia="宋体" w:cs="Times New Roman"/>
                <w:sz w:val="21"/>
                <w:szCs w:val="21"/>
                <w:lang w:val="en-US" w:eastAsia="zh-CN" w:bidi="ar"/>
              </w:rPr>
            </w:pPr>
            <w:r>
              <w:rPr>
                <w:rFonts w:hint="default" w:ascii="Times New Roman" w:hAnsi="Times New Roman" w:eastAsia="宋体" w:cs="Times New Roman"/>
                <w:sz w:val="21"/>
                <w:szCs w:val="21"/>
                <w:lang w:val="en-US" w:eastAsia="zh-CN" w:bidi="ar"/>
              </w:rPr>
              <w:t>汞</w:t>
            </w:r>
          </w:p>
        </w:tc>
        <w:tc>
          <w:tcPr>
            <w:tcW w:w="986" w:type="pct"/>
            <w:tcBorders>
              <w:tl2br w:val="nil"/>
              <w:tr2bl w:val="nil"/>
            </w:tcBorders>
            <w:noWrap w:val="0"/>
            <w:vAlign w:val="center"/>
          </w:tcPr>
          <w:p w14:paraId="72C9C1A3">
            <w:pPr>
              <w:widowControl w:val="0"/>
              <w:adjustRightInd w:val="0"/>
              <w:snapToGrid w:val="0"/>
              <w:jc w:val="center"/>
              <w:textAlignment w:val="center"/>
              <w:rPr>
                <w:rFonts w:hint="default" w:ascii="Times New Roman" w:hAnsi="Times New Roman" w:eastAsia="宋体" w:cs="Times New Roman"/>
                <w:sz w:val="21"/>
                <w:szCs w:val="21"/>
                <w:lang w:val="en-US" w:eastAsia="zh-CN" w:bidi="ar"/>
              </w:rPr>
            </w:pPr>
            <w:r>
              <w:rPr>
                <w:rFonts w:hint="eastAsia" w:ascii="Times New Roman" w:hAnsi="Times New Roman" w:eastAsia="宋体" w:cs="Times New Roman"/>
                <w:sz w:val="21"/>
                <w:szCs w:val="21"/>
                <w:lang w:val="en-US" w:eastAsia="zh-CN" w:bidi="ar"/>
              </w:rPr>
              <w:t>-</w:t>
            </w:r>
          </w:p>
        </w:tc>
        <w:tc>
          <w:tcPr>
            <w:tcW w:w="928" w:type="pct"/>
            <w:tcBorders>
              <w:tl2br w:val="nil"/>
              <w:tr2bl w:val="nil"/>
            </w:tcBorders>
            <w:noWrap w:val="0"/>
            <w:vAlign w:val="center"/>
          </w:tcPr>
          <w:p w14:paraId="5A70A2D2">
            <w:pPr>
              <w:widowControl w:val="0"/>
              <w:adjustRightInd w:val="0"/>
              <w:snapToGrid w:val="0"/>
              <w:jc w:val="center"/>
              <w:textAlignment w:val="center"/>
              <w:rPr>
                <w:rFonts w:hint="default" w:ascii="Times New Roman" w:hAnsi="Times New Roman" w:eastAsia="宋体" w:cs="Times New Roman"/>
                <w:sz w:val="21"/>
                <w:szCs w:val="21"/>
                <w:lang w:val="en-US" w:eastAsia="zh-CN" w:bidi="ar"/>
              </w:rPr>
            </w:pPr>
            <w:r>
              <w:rPr>
                <w:rFonts w:hint="eastAsia" w:ascii="Times New Roman" w:hAnsi="Times New Roman" w:eastAsia="宋体" w:cs="Times New Roman"/>
                <w:sz w:val="21"/>
                <w:szCs w:val="21"/>
                <w:lang w:val="en-US" w:eastAsia="zh-CN" w:bidi="ar"/>
              </w:rPr>
              <w:t>-</w:t>
            </w:r>
          </w:p>
        </w:tc>
        <w:tc>
          <w:tcPr>
            <w:tcW w:w="905" w:type="pct"/>
            <w:tcBorders>
              <w:tl2br w:val="nil"/>
              <w:tr2bl w:val="nil"/>
            </w:tcBorders>
            <w:noWrap w:val="0"/>
            <w:vAlign w:val="center"/>
          </w:tcPr>
          <w:p w14:paraId="27367518">
            <w:pPr>
              <w:widowControl w:val="0"/>
              <w:adjustRightInd w:val="0"/>
              <w:snapToGrid w:val="0"/>
              <w:jc w:val="center"/>
              <w:textAlignment w:val="center"/>
              <w:rPr>
                <w:rFonts w:hint="default" w:ascii="Times New Roman" w:hAnsi="Times New Roman" w:eastAsia="宋体" w:cs="Times New Roman"/>
                <w:sz w:val="21"/>
                <w:szCs w:val="21"/>
                <w:lang w:val="en-US" w:eastAsia="zh-CN" w:bidi="ar"/>
              </w:rPr>
            </w:pPr>
            <w:r>
              <w:rPr>
                <w:rFonts w:hint="eastAsia" w:ascii="Times New Roman" w:hAnsi="Times New Roman" w:eastAsia="宋体" w:cs="Times New Roman"/>
                <w:sz w:val="21"/>
                <w:szCs w:val="21"/>
                <w:lang w:val="en-US" w:eastAsia="zh-CN" w:bidi="ar"/>
              </w:rPr>
              <w:t>-</w:t>
            </w:r>
          </w:p>
        </w:tc>
      </w:tr>
      <w:tr w14:paraId="1D187318">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386" w:type="pct"/>
            <w:tcBorders>
              <w:tl2br w:val="nil"/>
              <w:tr2bl w:val="nil"/>
            </w:tcBorders>
            <w:noWrap w:val="0"/>
            <w:vAlign w:val="center"/>
          </w:tcPr>
          <w:p w14:paraId="030B1411">
            <w:pPr>
              <w:widowControl w:val="0"/>
              <w:adjustRightInd w:val="0"/>
              <w:snapToGrid w:val="0"/>
              <w:jc w:val="center"/>
              <w:textAlignment w:val="center"/>
              <w:rPr>
                <w:rFonts w:hint="default" w:ascii="Times New Roman" w:hAnsi="Times New Roman" w:eastAsia="宋体" w:cs="Times New Roman"/>
                <w:sz w:val="21"/>
                <w:szCs w:val="21"/>
                <w:lang w:val="en-US" w:eastAsia="zh-CN" w:bidi="ar"/>
              </w:rPr>
            </w:pPr>
            <w:r>
              <w:rPr>
                <w:rFonts w:hint="default" w:ascii="Times New Roman" w:hAnsi="Times New Roman" w:eastAsia="宋体" w:cs="Times New Roman"/>
                <w:sz w:val="21"/>
                <w:szCs w:val="21"/>
                <w:lang w:val="en-US" w:eastAsia="zh-CN" w:bidi="ar"/>
              </w:rPr>
              <w:t>16</w:t>
            </w:r>
          </w:p>
        </w:tc>
        <w:tc>
          <w:tcPr>
            <w:tcW w:w="640" w:type="pct"/>
            <w:vMerge w:val="continue"/>
            <w:tcBorders>
              <w:tl2br w:val="nil"/>
              <w:tr2bl w:val="nil"/>
            </w:tcBorders>
            <w:noWrap w:val="0"/>
            <w:vAlign w:val="center"/>
          </w:tcPr>
          <w:p w14:paraId="349400F1">
            <w:pPr>
              <w:widowControl w:val="0"/>
              <w:adjustRightInd w:val="0"/>
              <w:snapToGrid w:val="0"/>
              <w:jc w:val="center"/>
              <w:textAlignment w:val="center"/>
              <w:rPr>
                <w:rFonts w:hint="default" w:ascii="Times New Roman" w:hAnsi="Times New Roman" w:eastAsia="宋体" w:cs="Times New Roman"/>
                <w:sz w:val="21"/>
                <w:szCs w:val="21"/>
                <w:lang w:val="en-US" w:eastAsia="zh-CN" w:bidi="ar"/>
              </w:rPr>
            </w:pPr>
          </w:p>
        </w:tc>
        <w:tc>
          <w:tcPr>
            <w:tcW w:w="1151" w:type="pct"/>
            <w:tcBorders>
              <w:tl2br w:val="nil"/>
              <w:tr2bl w:val="nil"/>
            </w:tcBorders>
            <w:noWrap w:val="0"/>
            <w:vAlign w:val="center"/>
          </w:tcPr>
          <w:p w14:paraId="69C20B8F">
            <w:pPr>
              <w:widowControl w:val="0"/>
              <w:adjustRightInd w:val="0"/>
              <w:snapToGrid w:val="0"/>
              <w:jc w:val="center"/>
              <w:textAlignment w:val="center"/>
              <w:rPr>
                <w:rFonts w:hint="default" w:ascii="Times New Roman" w:hAnsi="Times New Roman" w:eastAsia="宋体" w:cs="Times New Roman"/>
                <w:sz w:val="21"/>
                <w:szCs w:val="21"/>
                <w:lang w:val="en-US" w:eastAsia="zh-CN" w:bidi="ar"/>
              </w:rPr>
            </w:pPr>
            <w:r>
              <w:rPr>
                <w:rFonts w:hint="default" w:ascii="Times New Roman" w:hAnsi="Times New Roman" w:eastAsia="宋体" w:cs="Times New Roman"/>
                <w:sz w:val="21"/>
                <w:szCs w:val="21"/>
                <w:lang w:val="en-US" w:eastAsia="zh-CN" w:bidi="ar"/>
              </w:rPr>
              <w:t>铜</w:t>
            </w:r>
          </w:p>
        </w:tc>
        <w:tc>
          <w:tcPr>
            <w:tcW w:w="986" w:type="pct"/>
            <w:tcBorders>
              <w:tl2br w:val="nil"/>
              <w:tr2bl w:val="nil"/>
            </w:tcBorders>
            <w:noWrap w:val="0"/>
            <w:vAlign w:val="center"/>
          </w:tcPr>
          <w:p w14:paraId="4C8B6D3A">
            <w:pPr>
              <w:widowControl w:val="0"/>
              <w:adjustRightInd w:val="0"/>
              <w:snapToGrid w:val="0"/>
              <w:jc w:val="center"/>
              <w:textAlignment w:val="center"/>
              <w:rPr>
                <w:rFonts w:hint="default" w:ascii="Times New Roman" w:hAnsi="Times New Roman" w:eastAsia="宋体" w:cs="Times New Roman"/>
                <w:sz w:val="21"/>
                <w:szCs w:val="21"/>
                <w:lang w:val="en-US" w:eastAsia="zh-CN" w:bidi="ar"/>
              </w:rPr>
            </w:pPr>
            <w:r>
              <w:rPr>
                <w:rFonts w:hint="eastAsia" w:ascii="Times New Roman" w:hAnsi="Times New Roman" w:eastAsia="宋体" w:cs="Times New Roman"/>
                <w:sz w:val="21"/>
                <w:szCs w:val="21"/>
                <w:lang w:val="en-US" w:eastAsia="zh-CN" w:bidi="ar"/>
              </w:rPr>
              <w:t>-</w:t>
            </w:r>
          </w:p>
        </w:tc>
        <w:tc>
          <w:tcPr>
            <w:tcW w:w="928" w:type="pct"/>
            <w:tcBorders>
              <w:tl2br w:val="nil"/>
              <w:tr2bl w:val="nil"/>
            </w:tcBorders>
            <w:noWrap w:val="0"/>
            <w:vAlign w:val="center"/>
          </w:tcPr>
          <w:p w14:paraId="1B08C7A6">
            <w:pPr>
              <w:widowControl w:val="0"/>
              <w:adjustRightInd w:val="0"/>
              <w:snapToGrid w:val="0"/>
              <w:jc w:val="center"/>
              <w:textAlignment w:val="center"/>
              <w:rPr>
                <w:rFonts w:hint="default" w:ascii="Times New Roman" w:hAnsi="Times New Roman" w:eastAsia="宋体" w:cs="Times New Roman"/>
                <w:sz w:val="21"/>
                <w:szCs w:val="21"/>
                <w:lang w:val="en-US" w:eastAsia="zh-CN" w:bidi="ar"/>
              </w:rPr>
            </w:pPr>
            <w:r>
              <w:rPr>
                <w:rFonts w:hint="eastAsia" w:ascii="Times New Roman" w:hAnsi="Times New Roman" w:eastAsia="宋体" w:cs="Times New Roman"/>
                <w:sz w:val="21"/>
                <w:szCs w:val="21"/>
                <w:lang w:val="en-US" w:eastAsia="zh-CN" w:bidi="ar"/>
              </w:rPr>
              <w:t>-</w:t>
            </w:r>
          </w:p>
        </w:tc>
        <w:tc>
          <w:tcPr>
            <w:tcW w:w="905" w:type="pct"/>
            <w:tcBorders>
              <w:tl2br w:val="nil"/>
              <w:tr2bl w:val="nil"/>
            </w:tcBorders>
            <w:noWrap w:val="0"/>
            <w:vAlign w:val="center"/>
          </w:tcPr>
          <w:p w14:paraId="0B418FFF">
            <w:pPr>
              <w:widowControl w:val="0"/>
              <w:adjustRightInd w:val="0"/>
              <w:snapToGrid w:val="0"/>
              <w:jc w:val="center"/>
              <w:textAlignment w:val="center"/>
              <w:rPr>
                <w:rFonts w:hint="default" w:ascii="Times New Roman" w:hAnsi="Times New Roman" w:eastAsia="宋体" w:cs="Times New Roman"/>
                <w:sz w:val="21"/>
                <w:szCs w:val="21"/>
                <w:lang w:val="en-US" w:eastAsia="zh-CN" w:bidi="ar"/>
              </w:rPr>
            </w:pPr>
            <w:r>
              <w:rPr>
                <w:rFonts w:hint="eastAsia" w:ascii="Times New Roman" w:hAnsi="Times New Roman" w:eastAsia="宋体" w:cs="Times New Roman"/>
                <w:sz w:val="21"/>
                <w:szCs w:val="21"/>
                <w:lang w:val="en-US" w:eastAsia="zh-CN" w:bidi="ar"/>
              </w:rPr>
              <w:t>-</w:t>
            </w:r>
          </w:p>
        </w:tc>
      </w:tr>
      <w:tr w14:paraId="56F6670D">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386" w:type="pct"/>
            <w:tcBorders>
              <w:tl2br w:val="nil"/>
              <w:tr2bl w:val="nil"/>
            </w:tcBorders>
            <w:noWrap w:val="0"/>
            <w:vAlign w:val="center"/>
          </w:tcPr>
          <w:p w14:paraId="5E4BE9DC">
            <w:pPr>
              <w:widowControl w:val="0"/>
              <w:adjustRightInd w:val="0"/>
              <w:snapToGrid w:val="0"/>
              <w:jc w:val="center"/>
              <w:textAlignment w:val="center"/>
              <w:rPr>
                <w:rFonts w:hint="default" w:ascii="Times New Roman" w:hAnsi="Times New Roman" w:eastAsia="宋体" w:cs="Times New Roman"/>
                <w:sz w:val="21"/>
                <w:szCs w:val="21"/>
                <w:lang w:val="en-US" w:eastAsia="zh-CN" w:bidi="ar"/>
              </w:rPr>
            </w:pPr>
            <w:r>
              <w:rPr>
                <w:rFonts w:hint="default" w:ascii="Times New Roman" w:hAnsi="Times New Roman" w:eastAsia="宋体" w:cs="Times New Roman"/>
                <w:sz w:val="21"/>
                <w:szCs w:val="21"/>
                <w:lang w:val="en-US" w:eastAsia="zh-CN" w:bidi="ar"/>
              </w:rPr>
              <w:t>17</w:t>
            </w:r>
          </w:p>
        </w:tc>
        <w:tc>
          <w:tcPr>
            <w:tcW w:w="640" w:type="pct"/>
            <w:vMerge w:val="continue"/>
            <w:tcBorders>
              <w:tl2br w:val="nil"/>
              <w:tr2bl w:val="nil"/>
            </w:tcBorders>
            <w:noWrap w:val="0"/>
            <w:vAlign w:val="center"/>
          </w:tcPr>
          <w:p w14:paraId="5323A993">
            <w:pPr>
              <w:widowControl w:val="0"/>
              <w:adjustRightInd w:val="0"/>
              <w:snapToGrid w:val="0"/>
              <w:jc w:val="center"/>
              <w:textAlignment w:val="center"/>
              <w:rPr>
                <w:rFonts w:hint="default" w:ascii="Times New Roman" w:hAnsi="Times New Roman" w:eastAsia="宋体" w:cs="Times New Roman"/>
                <w:sz w:val="21"/>
                <w:szCs w:val="21"/>
                <w:lang w:val="en-US" w:eastAsia="zh-CN" w:bidi="ar"/>
              </w:rPr>
            </w:pPr>
          </w:p>
        </w:tc>
        <w:tc>
          <w:tcPr>
            <w:tcW w:w="1151" w:type="pct"/>
            <w:tcBorders>
              <w:tl2br w:val="nil"/>
              <w:tr2bl w:val="nil"/>
            </w:tcBorders>
            <w:noWrap w:val="0"/>
            <w:vAlign w:val="center"/>
          </w:tcPr>
          <w:p w14:paraId="0B542500">
            <w:pPr>
              <w:widowControl w:val="0"/>
              <w:adjustRightInd w:val="0"/>
              <w:snapToGrid w:val="0"/>
              <w:jc w:val="center"/>
              <w:textAlignment w:val="center"/>
              <w:rPr>
                <w:rFonts w:hint="default" w:ascii="Times New Roman" w:hAnsi="Times New Roman" w:eastAsia="宋体" w:cs="Times New Roman"/>
                <w:sz w:val="21"/>
                <w:szCs w:val="21"/>
                <w:lang w:val="en-US" w:eastAsia="zh-CN" w:bidi="ar"/>
              </w:rPr>
            </w:pPr>
            <w:r>
              <w:rPr>
                <w:rFonts w:hint="default" w:ascii="Times New Roman" w:hAnsi="Times New Roman" w:eastAsia="宋体" w:cs="Times New Roman"/>
                <w:sz w:val="21"/>
                <w:szCs w:val="21"/>
                <w:lang w:val="en-US" w:eastAsia="zh-CN" w:bidi="ar"/>
              </w:rPr>
              <w:t>锌</w:t>
            </w:r>
          </w:p>
        </w:tc>
        <w:tc>
          <w:tcPr>
            <w:tcW w:w="986" w:type="pct"/>
            <w:tcBorders>
              <w:tl2br w:val="nil"/>
              <w:tr2bl w:val="nil"/>
            </w:tcBorders>
            <w:noWrap w:val="0"/>
            <w:vAlign w:val="center"/>
          </w:tcPr>
          <w:p w14:paraId="69446E91">
            <w:pPr>
              <w:widowControl w:val="0"/>
              <w:adjustRightInd w:val="0"/>
              <w:snapToGrid w:val="0"/>
              <w:jc w:val="center"/>
              <w:textAlignment w:val="center"/>
              <w:rPr>
                <w:rFonts w:hint="default" w:ascii="Times New Roman" w:hAnsi="Times New Roman" w:eastAsia="宋体" w:cs="Times New Roman"/>
                <w:sz w:val="21"/>
                <w:szCs w:val="21"/>
                <w:lang w:val="en-US" w:eastAsia="zh-CN" w:bidi="ar"/>
              </w:rPr>
            </w:pPr>
            <w:r>
              <w:rPr>
                <w:rFonts w:hint="eastAsia" w:ascii="Times New Roman" w:hAnsi="Times New Roman" w:eastAsia="宋体" w:cs="Times New Roman"/>
                <w:sz w:val="21"/>
                <w:szCs w:val="21"/>
                <w:lang w:val="en-US" w:eastAsia="zh-CN" w:bidi="ar"/>
              </w:rPr>
              <w:t>-</w:t>
            </w:r>
          </w:p>
        </w:tc>
        <w:tc>
          <w:tcPr>
            <w:tcW w:w="928" w:type="pct"/>
            <w:tcBorders>
              <w:tl2br w:val="nil"/>
              <w:tr2bl w:val="nil"/>
            </w:tcBorders>
            <w:noWrap w:val="0"/>
            <w:vAlign w:val="center"/>
          </w:tcPr>
          <w:p w14:paraId="29EB47E7">
            <w:pPr>
              <w:widowControl w:val="0"/>
              <w:adjustRightInd w:val="0"/>
              <w:snapToGrid w:val="0"/>
              <w:jc w:val="center"/>
              <w:textAlignment w:val="center"/>
              <w:rPr>
                <w:rFonts w:hint="default" w:ascii="Times New Roman" w:hAnsi="Times New Roman" w:eastAsia="宋体" w:cs="Times New Roman"/>
                <w:sz w:val="21"/>
                <w:szCs w:val="21"/>
                <w:lang w:val="en-US" w:eastAsia="zh-CN" w:bidi="ar"/>
              </w:rPr>
            </w:pPr>
            <w:r>
              <w:rPr>
                <w:rFonts w:hint="eastAsia" w:ascii="Times New Roman" w:hAnsi="Times New Roman" w:eastAsia="宋体" w:cs="Times New Roman"/>
                <w:sz w:val="21"/>
                <w:szCs w:val="21"/>
                <w:lang w:val="en-US" w:eastAsia="zh-CN" w:bidi="ar"/>
              </w:rPr>
              <w:t>-</w:t>
            </w:r>
          </w:p>
        </w:tc>
        <w:tc>
          <w:tcPr>
            <w:tcW w:w="905" w:type="pct"/>
            <w:tcBorders>
              <w:tl2br w:val="nil"/>
              <w:tr2bl w:val="nil"/>
            </w:tcBorders>
            <w:noWrap w:val="0"/>
            <w:vAlign w:val="center"/>
          </w:tcPr>
          <w:p w14:paraId="121FA25D">
            <w:pPr>
              <w:widowControl w:val="0"/>
              <w:adjustRightInd w:val="0"/>
              <w:snapToGrid w:val="0"/>
              <w:jc w:val="center"/>
              <w:textAlignment w:val="center"/>
              <w:rPr>
                <w:rFonts w:hint="default" w:ascii="Times New Roman" w:hAnsi="Times New Roman" w:eastAsia="宋体" w:cs="Times New Roman"/>
                <w:sz w:val="21"/>
                <w:szCs w:val="21"/>
                <w:lang w:val="en-US" w:eastAsia="zh-CN" w:bidi="ar"/>
              </w:rPr>
            </w:pPr>
            <w:r>
              <w:rPr>
                <w:rFonts w:hint="eastAsia" w:ascii="Times New Roman" w:hAnsi="Times New Roman" w:eastAsia="宋体" w:cs="Times New Roman"/>
                <w:sz w:val="21"/>
                <w:szCs w:val="21"/>
                <w:lang w:val="en-US" w:eastAsia="zh-CN" w:bidi="ar"/>
              </w:rPr>
              <w:t>-</w:t>
            </w:r>
          </w:p>
        </w:tc>
      </w:tr>
      <w:tr w14:paraId="7AD6CBC1">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386" w:type="pct"/>
            <w:tcBorders>
              <w:tl2br w:val="nil"/>
              <w:tr2bl w:val="nil"/>
            </w:tcBorders>
            <w:noWrap w:val="0"/>
            <w:vAlign w:val="center"/>
          </w:tcPr>
          <w:p w14:paraId="57349E90">
            <w:pPr>
              <w:widowControl w:val="0"/>
              <w:adjustRightInd w:val="0"/>
              <w:snapToGrid w:val="0"/>
              <w:jc w:val="center"/>
              <w:textAlignment w:val="center"/>
              <w:rPr>
                <w:rFonts w:hint="default" w:ascii="Times New Roman" w:hAnsi="Times New Roman" w:eastAsia="宋体" w:cs="Times New Roman"/>
                <w:sz w:val="21"/>
                <w:szCs w:val="21"/>
                <w:lang w:val="en-US" w:eastAsia="zh-CN" w:bidi="ar"/>
              </w:rPr>
            </w:pPr>
            <w:r>
              <w:rPr>
                <w:rFonts w:hint="default" w:ascii="Times New Roman" w:hAnsi="Times New Roman" w:eastAsia="宋体" w:cs="Times New Roman"/>
                <w:sz w:val="21"/>
                <w:szCs w:val="21"/>
                <w:lang w:val="en-US" w:eastAsia="zh-CN" w:bidi="ar"/>
              </w:rPr>
              <w:t>18</w:t>
            </w:r>
          </w:p>
        </w:tc>
        <w:tc>
          <w:tcPr>
            <w:tcW w:w="640" w:type="pct"/>
            <w:vMerge w:val="continue"/>
            <w:tcBorders>
              <w:tl2br w:val="nil"/>
              <w:tr2bl w:val="nil"/>
            </w:tcBorders>
            <w:noWrap w:val="0"/>
            <w:vAlign w:val="center"/>
          </w:tcPr>
          <w:p w14:paraId="21CC9A4D">
            <w:pPr>
              <w:widowControl w:val="0"/>
              <w:adjustRightInd w:val="0"/>
              <w:snapToGrid w:val="0"/>
              <w:jc w:val="center"/>
              <w:textAlignment w:val="center"/>
              <w:rPr>
                <w:rFonts w:hint="default" w:ascii="Times New Roman" w:hAnsi="Times New Roman" w:eastAsia="宋体" w:cs="Times New Roman"/>
                <w:sz w:val="21"/>
                <w:szCs w:val="21"/>
                <w:lang w:val="en-US" w:eastAsia="zh-CN" w:bidi="ar"/>
              </w:rPr>
            </w:pPr>
          </w:p>
        </w:tc>
        <w:tc>
          <w:tcPr>
            <w:tcW w:w="1151" w:type="pct"/>
            <w:tcBorders>
              <w:tl2br w:val="nil"/>
              <w:tr2bl w:val="nil"/>
            </w:tcBorders>
            <w:noWrap w:val="0"/>
            <w:vAlign w:val="center"/>
          </w:tcPr>
          <w:p w14:paraId="31CA379A">
            <w:pPr>
              <w:widowControl w:val="0"/>
              <w:adjustRightInd w:val="0"/>
              <w:snapToGrid w:val="0"/>
              <w:jc w:val="center"/>
              <w:textAlignment w:val="center"/>
              <w:rPr>
                <w:rFonts w:hint="default" w:ascii="Times New Roman" w:hAnsi="Times New Roman" w:eastAsia="宋体" w:cs="Times New Roman"/>
                <w:sz w:val="21"/>
                <w:szCs w:val="21"/>
                <w:lang w:val="en-US" w:eastAsia="zh-CN" w:bidi="ar"/>
              </w:rPr>
            </w:pPr>
            <w:r>
              <w:rPr>
                <w:rFonts w:hint="default" w:ascii="Times New Roman" w:hAnsi="Times New Roman" w:eastAsia="宋体" w:cs="Times New Roman"/>
                <w:sz w:val="21"/>
                <w:szCs w:val="21"/>
                <w:lang w:val="en-US" w:eastAsia="zh-CN" w:bidi="ar"/>
              </w:rPr>
              <w:t>铅</w:t>
            </w:r>
          </w:p>
        </w:tc>
        <w:tc>
          <w:tcPr>
            <w:tcW w:w="986" w:type="pct"/>
            <w:tcBorders>
              <w:tl2br w:val="nil"/>
              <w:tr2bl w:val="nil"/>
            </w:tcBorders>
            <w:noWrap w:val="0"/>
            <w:vAlign w:val="center"/>
          </w:tcPr>
          <w:p w14:paraId="0F70C6A4">
            <w:pPr>
              <w:widowControl w:val="0"/>
              <w:adjustRightInd w:val="0"/>
              <w:snapToGrid w:val="0"/>
              <w:jc w:val="center"/>
              <w:textAlignment w:val="center"/>
              <w:rPr>
                <w:rFonts w:hint="default" w:ascii="Times New Roman" w:hAnsi="Times New Roman" w:eastAsia="宋体" w:cs="Times New Roman"/>
                <w:sz w:val="21"/>
                <w:szCs w:val="21"/>
                <w:lang w:val="en-US" w:eastAsia="zh-CN" w:bidi="ar"/>
              </w:rPr>
            </w:pPr>
            <w:r>
              <w:rPr>
                <w:rFonts w:hint="eastAsia" w:ascii="Times New Roman" w:hAnsi="Times New Roman" w:eastAsia="宋体" w:cs="Times New Roman"/>
                <w:sz w:val="21"/>
                <w:szCs w:val="21"/>
                <w:lang w:val="en-US" w:eastAsia="zh-CN" w:bidi="ar"/>
              </w:rPr>
              <w:t>-</w:t>
            </w:r>
          </w:p>
        </w:tc>
        <w:tc>
          <w:tcPr>
            <w:tcW w:w="928" w:type="pct"/>
            <w:tcBorders>
              <w:tl2br w:val="nil"/>
              <w:tr2bl w:val="nil"/>
            </w:tcBorders>
            <w:noWrap w:val="0"/>
            <w:vAlign w:val="center"/>
          </w:tcPr>
          <w:p w14:paraId="444ED862">
            <w:pPr>
              <w:widowControl w:val="0"/>
              <w:adjustRightInd w:val="0"/>
              <w:snapToGrid w:val="0"/>
              <w:jc w:val="center"/>
              <w:textAlignment w:val="center"/>
              <w:rPr>
                <w:rFonts w:hint="default" w:ascii="Times New Roman" w:hAnsi="Times New Roman" w:eastAsia="宋体" w:cs="Times New Roman"/>
                <w:sz w:val="21"/>
                <w:szCs w:val="21"/>
                <w:lang w:val="en-US" w:eastAsia="zh-CN" w:bidi="ar"/>
              </w:rPr>
            </w:pPr>
            <w:r>
              <w:rPr>
                <w:rFonts w:hint="eastAsia" w:ascii="Times New Roman" w:hAnsi="Times New Roman" w:eastAsia="宋体" w:cs="Times New Roman"/>
                <w:sz w:val="21"/>
                <w:szCs w:val="21"/>
                <w:lang w:val="en-US" w:eastAsia="zh-CN" w:bidi="ar"/>
              </w:rPr>
              <w:t>-</w:t>
            </w:r>
          </w:p>
        </w:tc>
        <w:tc>
          <w:tcPr>
            <w:tcW w:w="905" w:type="pct"/>
            <w:tcBorders>
              <w:tl2br w:val="nil"/>
              <w:tr2bl w:val="nil"/>
            </w:tcBorders>
            <w:noWrap w:val="0"/>
            <w:vAlign w:val="center"/>
          </w:tcPr>
          <w:p w14:paraId="025FE749">
            <w:pPr>
              <w:widowControl w:val="0"/>
              <w:adjustRightInd w:val="0"/>
              <w:snapToGrid w:val="0"/>
              <w:jc w:val="center"/>
              <w:textAlignment w:val="center"/>
              <w:rPr>
                <w:rFonts w:hint="default" w:ascii="Times New Roman" w:hAnsi="Times New Roman" w:eastAsia="宋体" w:cs="Times New Roman"/>
                <w:sz w:val="21"/>
                <w:szCs w:val="21"/>
                <w:lang w:val="en-US" w:eastAsia="zh-CN" w:bidi="ar"/>
              </w:rPr>
            </w:pPr>
            <w:r>
              <w:rPr>
                <w:rFonts w:hint="eastAsia" w:ascii="Times New Roman" w:hAnsi="Times New Roman" w:eastAsia="宋体" w:cs="Times New Roman"/>
                <w:sz w:val="21"/>
                <w:szCs w:val="21"/>
                <w:lang w:val="en-US" w:eastAsia="zh-CN" w:bidi="ar"/>
              </w:rPr>
              <w:t>-</w:t>
            </w:r>
          </w:p>
        </w:tc>
      </w:tr>
      <w:tr w14:paraId="252A26C7">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386" w:type="pct"/>
            <w:tcBorders>
              <w:tl2br w:val="nil"/>
              <w:tr2bl w:val="nil"/>
            </w:tcBorders>
            <w:noWrap w:val="0"/>
            <w:vAlign w:val="center"/>
          </w:tcPr>
          <w:p w14:paraId="3ADBF43E">
            <w:pPr>
              <w:widowControl w:val="0"/>
              <w:adjustRightInd w:val="0"/>
              <w:snapToGrid w:val="0"/>
              <w:jc w:val="center"/>
              <w:textAlignment w:val="center"/>
              <w:rPr>
                <w:rFonts w:hint="default" w:ascii="Times New Roman" w:hAnsi="Times New Roman" w:eastAsia="宋体" w:cs="Times New Roman"/>
                <w:sz w:val="21"/>
                <w:szCs w:val="21"/>
                <w:lang w:val="en-US" w:eastAsia="zh-CN" w:bidi="ar"/>
              </w:rPr>
            </w:pPr>
            <w:r>
              <w:rPr>
                <w:rFonts w:hint="default" w:ascii="Times New Roman" w:hAnsi="Times New Roman" w:eastAsia="宋体" w:cs="Times New Roman"/>
                <w:sz w:val="21"/>
                <w:szCs w:val="21"/>
                <w:lang w:val="en-US" w:eastAsia="zh-CN" w:bidi="ar"/>
              </w:rPr>
              <w:t>19</w:t>
            </w:r>
          </w:p>
        </w:tc>
        <w:tc>
          <w:tcPr>
            <w:tcW w:w="640" w:type="pct"/>
            <w:vMerge w:val="continue"/>
            <w:tcBorders>
              <w:tl2br w:val="nil"/>
              <w:tr2bl w:val="nil"/>
            </w:tcBorders>
            <w:noWrap w:val="0"/>
            <w:vAlign w:val="center"/>
          </w:tcPr>
          <w:p w14:paraId="31C4280D">
            <w:pPr>
              <w:widowControl w:val="0"/>
              <w:adjustRightInd w:val="0"/>
              <w:snapToGrid w:val="0"/>
              <w:jc w:val="center"/>
              <w:textAlignment w:val="center"/>
              <w:rPr>
                <w:rFonts w:hint="default" w:ascii="Times New Roman" w:hAnsi="Times New Roman" w:eastAsia="宋体" w:cs="Times New Roman"/>
                <w:sz w:val="21"/>
                <w:szCs w:val="21"/>
                <w:lang w:val="en-US" w:eastAsia="zh-CN" w:bidi="ar"/>
              </w:rPr>
            </w:pPr>
          </w:p>
        </w:tc>
        <w:tc>
          <w:tcPr>
            <w:tcW w:w="1151" w:type="pct"/>
            <w:tcBorders>
              <w:tl2br w:val="nil"/>
              <w:tr2bl w:val="nil"/>
            </w:tcBorders>
            <w:noWrap w:val="0"/>
            <w:vAlign w:val="center"/>
          </w:tcPr>
          <w:p w14:paraId="7BE94CFA">
            <w:pPr>
              <w:widowControl w:val="0"/>
              <w:adjustRightInd w:val="0"/>
              <w:snapToGrid w:val="0"/>
              <w:jc w:val="center"/>
              <w:textAlignment w:val="center"/>
              <w:rPr>
                <w:rFonts w:hint="default" w:ascii="Times New Roman" w:hAnsi="Times New Roman" w:eastAsia="宋体" w:cs="Times New Roman"/>
                <w:sz w:val="21"/>
                <w:szCs w:val="21"/>
                <w:lang w:val="en-US" w:eastAsia="zh-CN" w:bidi="ar"/>
              </w:rPr>
            </w:pPr>
            <w:r>
              <w:rPr>
                <w:rFonts w:hint="default" w:ascii="Times New Roman" w:hAnsi="Times New Roman" w:eastAsia="宋体" w:cs="Times New Roman"/>
                <w:sz w:val="21"/>
                <w:szCs w:val="21"/>
                <w:lang w:val="en-US" w:eastAsia="zh-CN" w:bidi="ar"/>
              </w:rPr>
              <w:t>镉</w:t>
            </w:r>
          </w:p>
        </w:tc>
        <w:tc>
          <w:tcPr>
            <w:tcW w:w="986" w:type="pct"/>
            <w:tcBorders>
              <w:tl2br w:val="nil"/>
              <w:tr2bl w:val="nil"/>
            </w:tcBorders>
            <w:noWrap w:val="0"/>
            <w:vAlign w:val="center"/>
          </w:tcPr>
          <w:p w14:paraId="5BA623FA">
            <w:pPr>
              <w:widowControl w:val="0"/>
              <w:adjustRightInd w:val="0"/>
              <w:snapToGrid w:val="0"/>
              <w:jc w:val="center"/>
              <w:textAlignment w:val="center"/>
              <w:rPr>
                <w:rFonts w:hint="default" w:ascii="Times New Roman" w:hAnsi="Times New Roman" w:eastAsia="宋体" w:cs="Times New Roman"/>
                <w:sz w:val="21"/>
                <w:szCs w:val="21"/>
                <w:lang w:val="en-US" w:eastAsia="zh-CN" w:bidi="ar"/>
              </w:rPr>
            </w:pPr>
            <w:r>
              <w:rPr>
                <w:rFonts w:hint="eastAsia" w:ascii="Times New Roman" w:hAnsi="Times New Roman" w:eastAsia="宋体" w:cs="Times New Roman"/>
                <w:sz w:val="21"/>
                <w:szCs w:val="21"/>
                <w:lang w:val="en-US" w:eastAsia="zh-CN" w:bidi="ar"/>
              </w:rPr>
              <w:t>-</w:t>
            </w:r>
          </w:p>
        </w:tc>
        <w:tc>
          <w:tcPr>
            <w:tcW w:w="928" w:type="pct"/>
            <w:tcBorders>
              <w:tl2br w:val="nil"/>
              <w:tr2bl w:val="nil"/>
            </w:tcBorders>
            <w:noWrap w:val="0"/>
            <w:vAlign w:val="center"/>
          </w:tcPr>
          <w:p w14:paraId="53E1F1AF">
            <w:pPr>
              <w:widowControl w:val="0"/>
              <w:adjustRightInd w:val="0"/>
              <w:snapToGrid w:val="0"/>
              <w:jc w:val="center"/>
              <w:textAlignment w:val="center"/>
              <w:rPr>
                <w:rFonts w:hint="default" w:ascii="Times New Roman" w:hAnsi="Times New Roman" w:eastAsia="宋体" w:cs="Times New Roman"/>
                <w:sz w:val="21"/>
                <w:szCs w:val="21"/>
                <w:lang w:val="en-US" w:eastAsia="zh-CN" w:bidi="ar"/>
              </w:rPr>
            </w:pPr>
            <w:r>
              <w:rPr>
                <w:rFonts w:hint="eastAsia" w:ascii="Times New Roman" w:hAnsi="Times New Roman" w:eastAsia="宋体" w:cs="Times New Roman"/>
                <w:sz w:val="21"/>
                <w:szCs w:val="21"/>
                <w:lang w:val="en-US" w:eastAsia="zh-CN" w:bidi="ar"/>
              </w:rPr>
              <w:t>-</w:t>
            </w:r>
          </w:p>
        </w:tc>
        <w:tc>
          <w:tcPr>
            <w:tcW w:w="905" w:type="pct"/>
            <w:tcBorders>
              <w:tl2br w:val="nil"/>
              <w:tr2bl w:val="nil"/>
            </w:tcBorders>
            <w:noWrap w:val="0"/>
            <w:vAlign w:val="center"/>
          </w:tcPr>
          <w:p w14:paraId="73D5DDC9">
            <w:pPr>
              <w:widowControl w:val="0"/>
              <w:adjustRightInd w:val="0"/>
              <w:snapToGrid w:val="0"/>
              <w:jc w:val="center"/>
              <w:textAlignment w:val="center"/>
              <w:rPr>
                <w:rFonts w:hint="default" w:ascii="Times New Roman" w:hAnsi="Times New Roman" w:eastAsia="宋体" w:cs="Times New Roman"/>
                <w:sz w:val="21"/>
                <w:szCs w:val="21"/>
                <w:lang w:val="en-US" w:eastAsia="zh-CN" w:bidi="ar"/>
              </w:rPr>
            </w:pPr>
            <w:r>
              <w:rPr>
                <w:rFonts w:hint="eastAsia" w:ascii="Times New Roman" w:hAnsi="Times New Roman" w:eastAsia="宋体" w:cs="Times New Roman"/>
                <w:sz w:val="21"/>
                <w:szCs w:val="21"/>
                <w:lang w:val="en-US" w:eastAsia="zh-CN" w:bidi="ar"/>
              </w:rPr>
              <w:t>-</w:t>
            </w:r>
          </w:p>
        </w:tc>
      </w:tr>
      <w:tr w14:paraId="47D317A3">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386" w:type="pct"/>
            <w:tcBorders>
              <w:tl2br w:val="nil"/>
              <w:tr2bl w:val="nil"/>
            </w:tcBorders>
            <w:noWrap w:val="0"/>
            <w:vAlign w:val="center"/>
          </w:tcPr>
          <w:p w14:paraId="53DCD2E8">
            <w:pPr>
              <w:widowControl w:val="0"/>
              <w:adjustRightInd w:val="0"/>
              <w:snapToGrid w:val="0"/>
              <w:jc w:val="center"/>
              <w:textAlignment w:val="center"/>
              <w:rPr>
                <w:rFonts w:hint="default" w:ascii="Times New Roman" w:hAnsi="Times New Roman" w:eastAsia="宋体" w:cs="Times New Roman"/>
                <w:sz w:val="21"/>
                <w:szCs w:val="21"/>
                <w:lang w:val="en-US" w:eastAsia="zh-CN" w:bidi="ar"/>
              </w:rPr>
            </w:pPr>
            <w:r>
              <w:rPr>
                <w:rFonts w:hint="default" w:ascii="Times New Roman" w:hAnsi="Times New Roman" w:eastAsia="宋体" w:cs="Times New Roman"/>
                <w:sz w:val="21"/>
                <w:szCs w:val="21"/>
                <w:lang w:val="en-US" w:eastAsia="zh-CN" w:bidi="ar"/>
              </w:rPr>
              <w:t>20</w:t>
            </w:r>
          </w:p>
        </w:tc>
        <w:tc>
          <w:tcPr>
            <w:tcW w:w="640" w:type="pct"/>
            <w:vMerge w:val="continue"/>
            <w:tcBorders>
              <w:tl2br w:val="nil"/>
              <w:tr2bl w:val="nil"/>
            </w:tcBorders>
            <w:noWrap w:val="0"/>
            <w:vAlign w:val="center"/>
          </w:tcPr>
          <w:p w14:paraId="14BF3A00">
            <w:pPr>
              <w:widowControl w:val="0"/>
              <w:adjustRightInd w:val="0"/>
              <w:snapToGrid w:val="0"/>
              <w:jc w:val="center"/>
              <w:textAlignment w:val="center"/>
              <w:rPr>
                <w:rFonts w:hint="default" w:ascii="Times New Roman" w:hAnsi="Times New Roman" w:eastAsia="宋体" w:cs="Times New Roman"/>
                <w:sz w:val="21"/>
                <w:szCs w:val="21"/>
                <w:lang w:val="en-US" w:eastAsia="zh-CN" w:bidi="ar"/>
              </w:rPr>
            </w:pPr>
          </w:p>
        </w:tc>
        <w:tc>
          <w:tcPr>
            <w:tcW w:w="1151" w:type="pct"/>
            <w:tcBorders>
              <w:tl2br w:val="nil"/>
              <w:tr2bl w:val="nil"/>
            </w:tcBorders>
            <w:noWrap w:val="0"/>
            <w:vAlign w:val="center"/>
          </w:tcPr>
          <w:p w14:paraId="1ACE6A41">
            <w:pPr>
              <w:widowControl w:val="0"/>
              <w:adjustRightInd w:val="0"/>
              <w:snapToGrid w:val="0"/>
              <w:jc w:val="center"/>
              <w:textAlignment w:val="center"/>
              <w:rPr>
                <w:rFonts w:hint="default" w:ascii="Times New Roman" w:hAnsi="Times New Roman" w:eastAsia="宋体" w:cs="Times New Roman"/>
                <w:sz w:val="21"/>
                <w:szCs w:val="21"/>
                <w:lang w:val="en-US" w:eastAsia="zh-CN" w:bidi="ar"/>
              </w:rPr>
            </w:pPr>
            <w:r>
              <w:rPr>
                <w:rFonts w:hint="default" w:ascii="Times New Roman" w:hAnsi="Times New Roman" w:eastAsia="宋体" w:cs="Times New Roman"/>
                <w:sz w:val="21"/>
                <w:szCs w:val="21"/>
                <w:lang w:val="en-US" w:eastAsia="zh-CN" w:bidi="ar"/>
              </w:rPr>
              <w:t>六价铬</w:t>
            </w:r>
          </w:p>
        </w:tc>
        <w:tc>
          <w:tcPr>
            <w:tcW w:w="986" w:type="pct"/>
            <w:tcBorders>
              <w:tl2br w:val="nil"/>
              <w:tr2bl w:val="nil"/>
            </w:tcBorders>
            <w:noWrap w:val="0"/>
            <w:vAlign w:val="center"/>
          </w:tcPr>
          <w:p w14:paraId="187289C6">
            <w:pPr>
              <w:widowControl w:val="0"/>
              <w:adjustRightInd w:val="0"/>
              <w:snapToGrid w:val="0"/>
              <w:jc w:val="center"/>
              <w:textAlignment w:val="center"/>
              <w:rPr>
                <w:rFonts w:hint="default" w:ascii="Times New Roman" w:hAnsi="Times New Roman" w:eastAsia="宋体" w:cs="Times New Roman"/>
                <w:sz w:val="21"/>
                <w:szCs w:val="21"/>
                <w:lang w:val="en-US" w:eastAsia="zh-CN" w:bidi="ar"/>
              </w:rPr>
            </w:pPr>
            <w:r>
              <w:rPr>
                <w:rFonts w:hint="eastAsia" w:ascii="Times New Roman" w:hAnsi="Times New Roman" w:eastAsia="宋体" w:cs="Times New Roman"/>
                <w:sz w:val="21"/>
                <w:szCs w:val="21"/>
                <w:lang w:val="en-US" w:eastAsia="zh-CN" w:bidi="ar"/>
              </w:rPr>
              <w:t>-</w:t>
            </w:r>
          </w:p>
        </w:tc>
        <w:tc>
          <w:tcPr>
            <w:tcW w:w="928" w:type="pct"/>
            <w:tcBorders>
              <w:tl2br w:val="nil"/>
              <w:tr2bl w:val="nil"/>
            </w:tcBorders>
            <w:noWrap w:val="0"/>
            <w:vAlign w:val="center"/>
          </w:tcPr>
          <w:p w14:paraId="671557A0">
            <w:pPr>
              <w:widowControl w:val="0"/>
              <w:adjustRightInd w:val="0"/>
              <w:snapToGrid w:val="0"/>
              <w:jc w:val="center"/>
              <w:textAlignment w:val="center"/>
              <w:rPr>
                <w:rFonts w:hint="default" w:ascii="Times New Roman" w:hAnsi="Times New Roman" w:eastAsia="宋体" w:cs="Times New Roman"/>
                <w:sz w:val="21"/>
                <w:szCs w:val="21"/>
                <w:lang w:val="en-US" w:eastAsia="zh-CN" w:bidi="ar"/>
              </w:rPr>
            </w:pPr>
            <w:r>
              <w:rPr>
                <w:rFonts w:hint="eastAsia" w:ascii="Times New Roman" w:hAnsi="Times New Roman" w:eastAsia="宋体" w:cs="Times New Roman"/>
                <w:sz w:val="21"/>
                <w:szCs w:val="21"/>
                <w:lang w:val="en-US" w:eastAsia="zh-CN" w:bidi="ar"/>
              </w:rPr>
              <w:t>-</w:t>
            </w:r>
          </w:p>
        </w:tc>
        <w:tc>
          <w:tcPr>
            <w:tcW w:w="905" w:type="pct"/>
            <w:tcBorders>
              <w:tl2br w:val="nil"/>
              <w:tr2bl w:val="nil"/>
            </w:tcBorders>
            <w:noWrap w:val="0"/>
            <w:vAlign w:val="center"/>
          </w:tcPr>
          <w:p w14:paraId="72CDBC13">
            <w:pPr>
              <w:widowControl w:val="0"/>
              <w:adjustRightInd w:val="0"/>
              <w:snapToGrid w:val="0"/>
              <w:jc w:val="center"/>
              <w:textAlignment w:val="center"/>
              <w:rPr>
                <w:rFonts w:hint="default" w:ascii="Times New Roman" w:hAnsi="Times New Roman" w:eastAsia="宋体" w:cs="Times New Roman"/>
                <w:sz w:val="21"/>
                <w:szCs w:val="21"/>
                <w:lang w:val="en-US" w:eastAsia="zh-CN" w:bidi="ar"/>
              </w:rPr>
            </w:pPr>
            <w:r>
              <w:rPr>
                <w:rFonts w:hint="eastAsia" w:ascii="Times New Roman" w:hAnsi="Times New Roman" w:eastAsia="宋体" w:cs="Times New Roman"/>
                <w:sz w:val="21"/>
                <w:szCs w:val="21"/>
                <w:lang w:val="en-US" w:eastAsia="zh-CN" w:bidi="ar"/>
              </w:rPr>
              <w:t>-</w:t>
            </w:r>
          </w:p>
        </w:tc>
      </w:tr>
      <w:tr w14:paraId="4F09DE1E">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386" w:type="pct"/>
            <w:tcBorders>
              <w:tl2br w:val="nil"/>
              <w:tr2bl w:val="nil"/>
            </w:tcBorders>
            <w:noWrap w:val="0"/>
            <w:vAlign w:val="center"/>
          </w:tcPr>
          <w:p w14:paraId="381C470A">
            <w:pPr>
              <w:widowControl w:val="0"/>
              <w:adjustRightInd w:val="0"/>
              <w:snapToGrid w:val="0"/>
              <w:jc w:val="center"/>
              <w:textAlignment w:val="center"/>
              <w:rPr>
                <w:rFonts w:hint="default" w:ascii="Times New Roman" w:hAnsi="Times New Roman" w:eastAsia="宋体" w:cs="Times New Roman"/>
                <w:sz w:val="21"/>
                <w:szCs w:val="21"/>
                <w:lang w:val="en-US" w:eastAsia="zh-CN" w:bidi="ar"/>
              </w:rPr>
            </w:pPr>
            <w:r>
              <w:rPr>
                <w:rFonts w:hint="default" w:ascii="Times New Roman" w:hAnsi="Times New Roman" w:eastAsia="宋体" w:cs="Times New Roman"/>
                <w:sz w:val="21"/>
                <w:szCs w:val="21"/>
                <w:lang w:val="en-US" w:eastAsia="zh-CN" w:bidi="ar"/>
              </w:rPr>
              <w:t>21</w:t>
            </w:r>
          </w:p>
        </w:tc>
        <w:tc>
          <w:tcPr>
            <w:tcW w:w="640" w:type="pct"/>
            <w:vMerge w:val="continue"/>
            <w:tcBorders>
              <w:tl2br w:val="nil"/>
              <w:tr2bl w:val="nil"/>
            </w:tcBorders>
            <w:noWrap w:val="0"/>
            <w:vAlign w:val="center"/>
          </w:tcPr>
          <w:p w14:paraId="4D93FF10">
            <w:pPr>
              <w:widowControl w:val="0"/>
              <w:adjustRightInd w:val="0"/>
              <w:snapToGrid w:val="0"/>
              <w:jc w:val="center"/>
              <w:textAlignment w:val="center"/>
              <w:rPr>
                <w:rFonts w:hint="default" w:ascii="Times New Roman" w:hAnsi="Times New Roman" w:eastAsia="宋体" w:cs="Times New Roman"/>
                <w:sz w:val="21"/>
                <w:szCs w:val="21"/>
                <w:lang w:val="en-US" w:eastAsia="zh-CN" w:bidi="ar"/>
              </w:rPr>
            </w:pPr>
          </w:p>
        </w:tc>
        <w:tc>
          <w:tcPr>
            <w:tcW w:w="1151" w:type="pct"/>
            <w:tcBorders>
              <w:tl2br w:val="nil"/>
              <w:tr2bl w:val="nil"/>
            </w:tcBorders>
            <w:noWrap w:val="0"/>
            <w:vAlign w:val="center"/>
          </w:tcPr>
          <w:p w14:paraId="0DDF3A59">
            <w:pPr>
              <w:widowControl w:val="0"/>
              <w:adjustRightInd w:val="0"/>
              <w:snapToGrid w:val="0"/>
              <w:jc w:val="center"/>
              <w:textAlignment w:val="center"/>
              <w:rPr>
                <w:rFonts w:hint="default" w:ascii="Times New Roman" w:hAnsi="Times New Roman" w:eastAsia="宋体" w:cs="Times New Roman"/>
                <w:sz w:val="21"/>
                <w:szCs w:val="21"/>
                <w:lang w:val="en-US" w:eastAsia="zh-CN" w:bidi="ar"/>
              </w:rPr>
            </w:pPr>
            <w:r>
              <w:rPr>
                <w:rFonts w:hint="default" w:ascii="Times New Roman" w:hAnsi="Times New Roman" w:eastAsia="宋体" w:cs="Times New Roman"/>
                <w:sz w:val="21"/>
                <w:szCs w:val="21"/>
                <w:lang w:val="en-US" w:eastAsia="zh-CN" w:bidi="ar"/>
              </w:rPr>
              <w:t>石油类</w:t>
            </w:r>
          </w:p>
        </w:tc>
        <w:tc>
          <w:tcPr>
            <w:tcW w:w="986" w:type="pct"/>
            <w:tcBorders>
              <w:tl2br w:val="nil"/>
              <w:tr2bl w:val="nil"/>
            </w:tcBorders>
            <w:noWrap w:val="0"/>
            <w:vAlign w:val="center"/>
          </w:tcPr>
          <w:p w14:paraId="218AF3BA">
            <w:pPr>
              <w:widowControl w:val="0"/>
              <w:adjustRightInd w:val="0"/>
              <w:snapToGrid w:val="0"/>
              <w:jc w:val="center"/>
              <w:textAlignment w:val="center"/>
              <w:rPr>
                <w:rFonts w:hint="default" w:ascii="Times New Roman" w:hAnsi="Times New Roman" w:eastAsia="宋体" w:cs="Times New Roman"/>
                <w:sz w:val="21"/>
                <w:szCs w:val="21"/>
                <w:lang w:val="en-US" w:eastAsia="zh-CN" w:bidi="ar"/>
              </w:rPr>
            </w:pPr>
            <w:r>
              <w:rPr>
                <w:rFonts w:hint="eastAsia" w:ascii="Times New Roman" w:hAnsi="Times New Roman" w:eastAsia="宋体" w:cs="Times New Roman"/>
                <w:sz w:val="21"/>
                <w:szCs w:val="21"/>
                <w:lang w:val="en-US" w:eastAsia="zh-CN" w:bidi="ar"/>
              </w:rPr>
              <w:t>-</w:t>
            </w:r>
          </w:p>
        </w:tc>
        <w:tc>
          <w:tcPr>
            <w:tcW w:w="928" w:type="pct"/>
            <w:tcBorders>
              <w:tl2br w:val="nil"/>
              <w:tr2bl w:val="nil"/>
            </w:tcBorders>
            <w:noWrap w:val="0"/>
            <w:vAlign w:val="center"/>
          </w:tcPr>
          <w:p w14:paraId="0E4ED920">
            <w:pPr>
              <w:widowControl w:val="0"/>
              <w:adjustRightInd w:val="0"/>
              <w:snapToGrid w:val="0"/>
              <w:jc w:val="center"/>
              <w:textAlignment w:val="center"/>
              <w:rPr>
                <w:rFonts w:hint="default" w:ascii="Times New Roman" w:hAnsi="Times New Roman" w:eastAsia="宋体" w:cs="Times New Roman"/>
                <w:sz w:val="21"/>
                <w:szCs w:val="21"/>
                <w:lang w:val="en-US" w:eastAsia="zh-CN" w:bidi="ar"/>
              </w:rPr>
            </w:pPr>
            <w:r>
              <w:rPr>
                <w:rFonts w:hint="eastAsia" w:ascii="Times New Roman" w:hAnsi="Times New Roman" w:eastAsia="宋体" w:cs="Times New Roman"/>
                <w:sz w:val="21"/>
                <w:szCs w:val="21"/>
                <w:lang w:val="en-US" w:eastAsia="zh-CN" w:bidi="ar"/>
              </w:rPr>
              <w:t>-</w:t>
            </w:r>
          </w:p>
        </w:tc>
        <w:tc>
          <w:tcPr>
            <w:tcW w:w="905" w:type="pct"/>
            <w:tcBorders>
              <w:tl2br w:val="nil"/>
              <w:tr2bl w:val="nil"/>
            </w:tcBorders>
            <w:noWrap w:val="0"/>
            <w:vAlign w:val="center"/>
          </w:tcPr>
          <w:p w14:paraId="11C95443">
            <w:pPr>
              <w:widowControl w:val="0"/>
              <w:adjustRightInd w:val="0"/>
              <w:snapToGrid w:val="0"/>
              <w:jc w:val="center"/>
              <w:textAlignment w:val="center"/>
              <w:rPr>
                <w:rFonts w:hint="default" w:ascii="Times New Roman" w:hAnsi="Times New Roman" w:eastAsia="宋体" w:cs="Times New Roman"/>
                <w:sz w:val="21"/>
                <w:szCs w:val="21"/>
                <w:lang w:val="en-US" w:eastAsia="zh-CN" w:bidi="ar"/>
              </w:rPr>
            </w:pPr>
            <w:r>
              <w:rPr>
                <w:rFonts w:hint="eastAsia" w:ascii="Times New Roman" w:hAnsi="Times New Roman" w:eastAsia="宋体" w:cs="Times New Roman"/>
                <w:sz w:val="21"/>
                <w:szCs w:val="21"/>
                <w:lang w:val="en-US" w:eastAsia="zh-CN" w:bidi="ar"/>
              </w:rPr>
              <w:t>-</w:t>
            </w:r>
          </w:p>
        </w:tc>
      </w:tr>
      <w:tr w14:paraId="2C34673A">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386" w:type="pct"/>
            <w:tcBorders>
              <w:tl2br w:val="nil"/>
              <w:tr2bl w:val="nil"/>
            </w:tcBorders>
            <w:noWrap w:val="0"/>
            <w:vAlign w:val="center"/>
          </w:tcPr>
          <w:p w14:paraId="28EA9F11">
            <w:pPr>
              <w:widowControl w:val="0"/>
              <w:adjustRightInd w:val="0"/>
              <w:snapToGrid w:val="0"/>
              <w:jc w:val="center"/>
              <w:textAlignment w:val="center"/>
              <w:rPr>
                <w:rFonts w:hint="default" w:ascii="Times New Roman" w:hAnsi="Times New Roman" w:eastAsia="宋体" w:cs="Times New Roman"/>
                <w:sz w:val="21"/>
                <w:szCs w:val="21"/>
                <w:lang w:val="en-US" w:eastAsia="zh-CN" w:bidi="ar"/>
              </w:rPr>
            </w:pPr>
            <w:r>
              <w:rPr>
                <w:rFonts w:hint="default" w:ascii="Times New Roman" w:hAnsi="Times New Roman" w:eastAsia="宋体" w:cs="Times New Roman"/>
                <w:sz w:val="21"/>
                <w:szCs w:val="21"/>
                <w:lang w:val="en-US" w:eastAsia="zh-CN" w:bidi="ar"/>
              </w:rPr>
              <w:t>22</w:t>
            </w:r>
          </w:p>
        </w:tc>
        <w:tc>
          <w:tcPr>
            <w:tcW w:w="640" w:type="pct"/>
            <w:vMerge w:val="continue"/>
            <w:tcBorders>
              <w:tl2br w:val="nil"/>
              <w:tr2bl w:val="nil"/>
            </w:tcBorders>
            <w:noWrap w:val="0"/>
            <w:vAlign w:val="center"/>
          </w:tcPr>
          <w:p w14:paraId="5D094947">
            <w:pPr>
              <w:widowControl w:val="0"/>
              <w:adjustRightInd w:val="0"/>
              <w:snapToGrid w:val="0"/>
              <w:jc w:val="center"/>
              <w:textAlignment w:val="center"/>
              <w:rPr>
                <w:rFonts w:hint="default" w:ascii="Times New Roman" w:hAnsi="Times New Roman" w:eastAsia="宋体" w:cs="Times New Roman"/>
                <w:sz w:val="21"/>
                <w:szCs w:val="21"/>
                <w:lang w:val="en-US" w:eastAsia="zh-CN" w:bidi="ar"/>
              </w:rPr>
            </w:pPr>
          </w:p>
        </w:tc>
        <w:tc>
          <w:tcPr>
            <w:tcW w:w="1151" w:type="pct"/>
            <w:tcBorders>
              <w:tl2br w:val="nil"/>
              <w:tr2bl w:val="nil"/>
            </w:tcBorders>
            <w:noWrap w:val="0"/>
            <w:vAlign w:val="center"/>
          </w:tcPr>
          <w:p w14:paraId="4C5B873F">
            <w:pPr>
              <w:widowControl w:val="0"/>
              <w:adjustRightInd w:val="0"/>
              <w:snapToGrid w:val="0"/>
              <w:jc w:val="center"/>
              <w:textAlignment w:val="center"/>
              <w:rPr>
                <w:rFonts w:hint="default" w:ascii="Times New Roman" w:hAnsi="Times New Roman" w:eastAsia="宋体" w:cs="Times New Roman"/>
                <w:sz w:val="21"/>
                <w:szCs w:val="21"/>
                <w:lang w:val="en-US" w:eastAsia="zh-CN" w:bidi="ar"/>
              </w:rPr>
            </w:pPr>
            <w:r>
              <w:rPr>
                <w:rFonts w:hint="default" w:ascii="Times New Roman" w:hAnsi="Times New Roman" w:eastAsia="宋体" w:cs="Times New Roman"/>
                <w:sz w:val="21"/>
                <w:szCs w:val="21"/>
                <w:lang w:val="en-US" w:eastAsia="zh-CN" w:bidi="ar"/>
              </w:rPr>
              <w:t>硫化物</w:t>
            </w:r>
          </w:p>
        </w:tc>
        <w:tc>
          <w:tcPr>
            <w:tcW w:w="986" w:type="pct"/>
            <w:tcBorders>
              <w:tl2br w:val="nil"/>
              <w:tr2bl w:val="nil"/>
            </w:tcBorders>
            <w:noWrap w:val="0"/>
            <w:vAlign w:val="center"/>
          </w:tcPr>
          <w:p w14:paraId="5E4B1363">
            <w:pPr>
              <w:widowControl w:val="0"/>
              <w:adjustRightInd w:val="0"/>
              <w:snapToGrid w:val="0"/>
              <w:jc w:val="center"/>
              <w:textAlignment w:val="center"/>
              <w:rPr>
                <w:rFonts w:hint="default" w:ascii="Times New Roman" w:hAnsi="Times New Roman" w:eastAsia="宋体" w:cs="Times New Roman"/>
                <w:sz w:val="21"/>
                <w:szCs w:val="21"/>
                <w:lang w:val="en-US" w:eastAsia="zh-CN" w:bidi="ar"/>
              </w:rPr>
            </w:pPr>
            <w:r>
              <w:rPr>
                <w:rFonts w:hint="eastAsia" w:ascii="Times New Roman" w:hAnsi="Times New Roman" w:eastAsia="宋体" w:cs="Times New Roman"/>
                <w:sz w:val="21"/>
                <w:szCs w:val="21"/>
                <w:lang w:val="en-US" w:eastAsia="zh-CN" w:bidi="ar"/>
              </w:rPr>
              <w:t>-</w:t>
            </w:r>
          </w:p>
        </w:tc>
        <w:tc>
          <w:tcPr>
            <w:tcW w:w="928" w:type="pct"/>
            <w:tcBorders>
              <w:tl2br w:val="nil"/>
              <w:tr2bl w:val="nil"/>
            </w:tcBorders>
            <w:noWrap w:val="0"/>
            <w:vAlign w:val="center"/>
          </w:tcPr>
          <w:p w14:paraId="292D4DAA">
            <w:pPr>
              <w:widowControl w:val="0"/>
              <w:adjustRightInd w:val="0"/>
              <w:snapToGrid w:val="0"/>
              <w:jc w:val="center"/>
              <w:textAlignment w:val="center"/>
              <w:rPr>
                <w:rFonts w:hint="default" w:ascii="Times New Roman" w:hAnsi="Times New Roman" w:eastAsia="宋体" w:cs="Times New Roman"/>
                <w:sz w:val="21"/>
                <w:szCs w:val="21"/>
                <w:lang w:val="en-US" w:eastAsia="zh-CN" w:bidi="ar"/>
              </w:rPr>
            </w:pPr>
            <w:r>
              <w:rPr>
                <w:rFonts w:hint="eastAsia" w:ascii="Times New Roman" w:hAnsi="Times New Roman" w:eastAsia="宋体" w:cs="Times New Roman"/>
                <w:sz w:val="21"/>
                <w:szCs w:val="21"/>
                <w:lang w:val="en-US" w:eastAsia="zh-CN" w:bidi="ar"/>
              </w:rPr>
              <w:t>-</w:t>
            </w:r>
          </w:p>
        </w:tc>
        <w:tc>
          <w:tcPr>
            <w:tcW w:w="905" w:type="pct"/>
            <w:tcBorders>
              <w:tl2br w:val="nil"/>
              <w:tr2bl w:val="nil"/>
            </w:tcBorders>
            <w:noWrap w:val="0"/>
            <w:vAlign w:val="center"/>
          </w:tcPr>
          <w:p w14:paraId="1B4CAF62">
            <w:pPr>
              <w:widowControl w:val="0"/>
              <w:adjustRightInd w:val="0"/>
              <w:snapToGrid w:val="0"/>
              <w:jc w:val="center"/>
              <w:textAlignment w:val="center"/>
              <w:rPr>
                <w:rFonts w:hint="default" w:ascii="Times New Roman" w:hAnsi="Times New Roman" w:eastAsia="宋体" w:cs="Times New Roman"/>
                <w:sz w:val="21"/>
                <w:szCs w:val="21"/>
                <w:lang w:val="en-US" w:eastAsia="zh-CN" w:bidi="ar"/>
              </w:rPr>
            </w:pPr>
            <w:r>
              <w:rPr>
                <w:rFonts w:hint="eastAsia" w:ascii="Times New Roman" w:hAnsi="Times New Roman" w:eastAsia="宋体" w:cs="Times New Roman"/>
                <w:sz w:val="21"/>
                <w:szCs w:val="21"/>
                <w:lang w:val="en-US" w:eastAsia="zh-CN" w:bidi="ar"/>
              </w:rPr>
              <w:t>-</w:t>
            </w:r>
          </w:p>
        </w:tc>
      </w:tr>
      <w:tr w14:paraId="5202163E">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386" w:type="pct"/>
            <w:tcBorders>
              <w:tl2br w:val="nil"/>
              <w:tr2bl w:val="nil"/>
            </w:tcBorders>
            <w:noWrap w:val="0"/>
            <w:vAlign w:val="center"/>
          </w:tcPr>
          <w:p w14:paraId="4E2DB0EA">
            <w:pPr>
              <w:widowControl w:val="0"/>
              <w:adjustRightInd w:val="0"/>
              <w:snapToGrid w:val="0"/>
              <w:jc w:val="center"/>
              <w:textAlignment w:val="center"/>
              <w:rPr>
                <w:rFonts w:hint="default" w:ascii="Times New Roman" w:hAnsi="Times New Roman" w:eastAsia="宋体" w:cs="Times New Roman"/>
                <w:sz w:val="21"/>
                <w:szCs w:val="21"/>
                <w:lang w:val="en-US" w:eastAsia="zh-CN" w:bidi="ar"/>
              </w:rPr>
            </w:pPr>
            <w:r>
              <w:rPr>
                <w:rFonts w:hint="default" w:ascii="Times New Roman" w:hAnsi="Times New Roman" w:eastAsia="宋体" w:cs="Times New Roman"/>
                <w:sz w:val="21"/>
                <w:szCs w:val="21"/>
                <w:lang w:val="en-US" w:eastAsia="zh-CN" w:bidi="ar"/>
              </w:rPr>
              <w:t>23</w:t>
            </w:r>
          </w:p>
        </w:tc>
        <w:tc>
          <w:tcPr>
            <w:tcW w:w="640" w:type="pct"/>
            <w:vMerge w:val="continue"/>
            <w:tcBorders>
              <w:tl2br w:val="nil"/>
              <w:tr2bl w:val="nil"/>
            </w:tcBorders>
            <w:noWrap w:val="0"/>
            <w:vAlign w:val="center"/>
          </w:tcPr>
          <w:p w14:paraId="4BC4608A">
            <w:pPr>
              <w:widowControl w:val="0"/>
              <w:adjustRightInd w:val="0"/>
              <w:snapToGrid w:val="0"/>
              <w:jc w:val="center"/>
              <w:textAlignment w:val="center"/>
              <w:rPr>
                <w:rFonts w:hint="default" w:ascii="Times New Roman" w:hAnsi="Times New Roman" w:eastAsia="宋体" w:cs="Times New Roman"/>
                <w:sz w:val="21"/>
                <w:szCs w:val="21"/>
                <w:lang w:val="en-US" w:eastAsia="zh-CN" w:bidi="ar"/>
              </w:rPr>
            </w:pPr>
          </w:p>
        </w:tc>
        <w:tc>
          <w:tcPr>
            <w:tcW w:w="1151" w:type="pct"/>
            <w:tcBorders>
              <w:tl2br w:val="nil"/>
              <w:tr2bl w:val="nil"/>
            </w:tcBorders>
            <w:noWrap w:val="0"/>
            <w:vAlign w:val="center"/>
          </w:tcPr>
          <w:p w14:paraId="72FFA952">
            <w:pPr>
              <w:widowControl w:val="0"/>
              <w:adjustRightInd w:val="0"/>
              <w:snapToGrid w:val="0"/>
              <w:jc w:val="center"/>
              <w:textAlignment w:val="center"/>
              <w:rPr>
                <w:rFonts w:hint="default" w:ascii="Times New Roman" w:hAnsi="Times New Roman" w:eastAsia="宋体" w:cs="Times New Roman"/>
                <w:sz w:val="21"/>
                <w:szCs w:val="21"/>
                <w:lang w:val="en-US" w:eastAsia="zh-CN" w:bidi="ar"/>
              </w:rPr>
            </w:pPr>
            <w:r>
              <w:rPr>
                <w:rFonts w:hint="default" w:ascii="Times New Roman" w:hAnsi="Times New Roman" w:eastAsia="宋体" w:cs="Times New Roman"/>
                <w:sz w:val="21"/>
                <w:szCs w:val="21"/>
                <w:lang w:val="en-US" w:eastAsia="zh-CN" w:bidi="ar"/>
              </w:rPr>
              <w:t>粪大肠菌群</w:t>
            </w:r>
          </w:p>
        </w:tc>
        <w:tc>
          <w:tcPr>
            <w:tcW w:w="986" w:type="pct"/>
            <w:tcBorders>
              <w:tl2br w:val="nil"/>
              <w:tr2bl w:val="nil"/>
            </w:tcBorders>
            <w:noWrap w:val="0"/>
            <w:vAlign w:val="center"/>
          </w:tcPr>
          <w:p w14:paraId="352B106D">
            <w:pPr>
              <w:widowControl w:val="0"/>
              <w:adjustRightInd w:val="0"/>
              <w:snapToGrid w:val="0"/>
              <w:jc w:val="center"/>
              <w:textAlignment w:val="center"/>
              <w:rPr>
                <w:rFonts w:hint="default" w:ascii="Times New Roman" w:hAnsi="Times New Roman" w:eastAsia="宋体" w:cs="Times New Roman"/>
                <w:sz w:val="21"/>
                <w:szCs w:val="21"/>
                <w:lang w:val="en-US" w:eastAsia="zh-CN" w:bidi="ar"/>
              </w:rPr>
            </w:pPr>
            <w:r>
              <w:rPr>
                <w:rFonts w:hint="eastAsia" w:ascii="Times New Roman" w:hAnsi="Times New Roman" w:eastAsia="宋体" w:cs="Times New Roman"/>
                <w:sz w:val="21"/>
                <w:szCs w:val="21"/>
                <w:lang w:val="en-US" w:eastAsia="zh-CN" w:bidi="ar"/>
              </w:rPr>
              <w:t>0.028</w:t>
            </w:r>
          </w:p>
        </w:tc>
        <w:tc>
          <w:tcPr>
            <w:tcW w:w="928" w:type="pct"/>
            <w:tcBorders>
              <w:tl2br w:val="nil"/>
              <w:tr2bl w:val="nil"/>
            </w:tcBorders>
            <w:noWrap w:val="0"/>
            <w:vAlign w:val="center"/>
          </w:tcPr>
          <w:p w14:paraId="72D5DC79">
            <w:pPr>
              <w:widowControl w:val="0"/>
              <w:adjustRightInd w:val="0"/>
              <w:snapToGrid w:val="0"/>
              <w:jc w:val="center"/>
              <w:textAlignment w:val="center"/>
              <w:rPr>
                <w:rFonts w:hint="default" w:ascii="Times New Roman" w:hAnsi="Times New Roman" w:eastAsia="宋体" w:cs="Times New Roman"/>
                <w:sz w:val="21"/>
                <w:szCs w:val="21"/>
                <w:lang w:val="en-US" w:eastAsia="zh-CN" w:bidi="ar"/>
              </w:rPr>
            </w:pPr>
            <w:r>
              <w:rPr>
                <w:rFonts w:hint="eastAsia" w:ascii="Times New Roman" w:hAnsi="Times New Roman" w:eastAsia="宋体" w:cs="Times New Roman"/>
                <w:sz w:val="21"/>
                <w:szCs w:val="21"/>
                <w:lang w:val="en-US" w:eastAsia="zh-CN" w:bidi="ar"/>
              </w:rPr>
              <w:t>0.032</w:t>
            </w:r>
          </w:p>
        </w:tc>
        <w:tc>
          <w:tcPr>
            <w:tcW w:w="905" w:type="pct"/>
            <w:tcBorders>
              <w:tl2br w:val="nil"/>
              <w:tr2bl w:val="nil"/>
            </w:tcBorders>
            <w:noWrap w:val="0"/>
            <w:vAlign w:val="center"/>
          </w:tcPr>
          <w:p w14:paraId="0FB7C4E4">
            <w:pPr>
              <w:widowControl w:val="0"/>
              <w:adjustRightInd w:val="0"/>
              <w:snapToGrid w:val="0"/>
              <w:jc w:val="center"/>
              <w:textAlignment w:val="center"/>
              <w:rPr>
                <w:rFonts w:hint="default" w:ascii="Times New Roman" w:hAnsi="Times New Roman" w:eastAsia="宋体" w:cs="Times New Roman"/>
                <w:sz w:val="21"/>
                <w:szCs w:val="21"/>
                <w:lang w:val="en-US" w:eastAsia="zh-CN" w:bidi="ar"/>
              </w:rPr>
            </w:pPr>
            <w:r>
              <w:rPr>
                <w:rFonts w:hint="eastAsia" w:ascii="Times New Roman" w:hAnsi="Times New Roman" w:eastAsia="宋体" w:cs="Times New Roman"/>
                <w:sz w:val="21"/>
                <w:szCs w:val="21"/>
                <w:lang w:val="en-US" w:eastAsia="zh-CN" w:bidi="ar"/>
              </w:rPr>
              <w:t>0.026</w:t>
            </w:r>
          </w:p>
        </w:tc>
      </w:tr>
      <w:tr w14:paraId="0210BCB5">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386" w:type="pct"/>
            <w:tcBorders>
              <w:tl2br w:val="nil"/>
              <w:tr2bl w:val="nil"/>
            </w:tcBorders>
            <w:noWrap w:val="0"/>
            <w:vAlign w:val="center"/>
          </w:tcPr>
          <w:p w14:paraId="10D9709F">
            <w:pPr>
              <w:widowControl w:val="0"/>
              <w:adjustRightInd w:val="0"/>
              <w:snapToGrid w:val="0"/>
              <w:jc w:val="center"/>
              <w:textAlignment w:val="center"/>
              <w:rPr>
                <w:rFonts w:hint="default" w:ascii="Times New Roman" w:hAnsi="Times New Roman" w:eastAsia="宋体" w:cs="Times New Roman"/>
                <w:sz w:val="21"/>
                <w:szCs w:val="21"/>
                <w:lang w:val="en-US" w:eastAsia="zh-CN" w:bidi="ar"/>
              </w:rPr>
            </w:pPr>
            <w:r>
              <w:rPr>
                <w:rFonts w:hint="default" w:ascii="Times New Roman" w:hAnsi="Times New Roman" w:eastAsia="宋体" w:cs="Times New Roman"/>
                <w:sz w:val="21"/>
                <w:szCs w:val="21"/>
                <w:lang w:val="en-US" w:eastAsia="zh-CN" w:bidi="ar"/>
              </w:rPr>
              <w:t>24</w:t>
            </w:r>
          </w:p>
        </w:tc>
        <w:tc>
          <w:tcPr>
            <w:tcW w:w="640" w:type="pct"/>
            <w:vMerge w:val="continue"/>
            <w:tcBorders>
              <w:tl2br w:val="nil"/>
              <w:tr2bl w:val="nil"/>
            </w:tcBorders>
            <w:noWrap w:val="0"/>
            <w:vAlign w:val="center"/>
          </w:tcPr>
          <w:p w14:paraId="69A37989">
            <w:pPr>
              <w:widowControl w:val="0"/>
              <w:adjustRightInd w:val="0"/>
              <w:snapToGrid w:val="0"/>
              <w:jc w:val="center"/>
              <w:textAlignment w:val="center"/>
              <w:rPr>
                <w:rFonts w:hint="default" w:ascii="Times New Roman" w:hAnsi="Times New Roman" w:eastAsia="宋体" w:cs="Times New Roman"/>
                <w:sz w:val="21"/>
                <w:szCs w:val="21"/>
                <w:lang w:val="en-US" w:eastAsia="zh-CN" w:bidi="ar"/>
              </w:rPr>
            </w:pPr>
          </w:p>
        </w:tc>
        <w:tc>
          <w:tcPr>
            <w:tcW w:w="1151" w:type="pct"/>
            <w:tcBorders>
              <w:tl2br w:val="nil"/>
              <w:tr2bl w:val="nil"/>
            </w:tcBorders>
            <w:noWrap w:val="0"/>
            <w:vAlign w:val="center"/>
          </w:tcPr>
          <w:p w14:paraId="02FE8050">
            <w:pPr>
              <w:widowControl w:val="0"/>
              <w:adjustRightInd w:val="0"/>
              <w:snapToGrid w:val="0"/>
              <w:jc w:val="center"/>
              <w:textAlignment w:val="center"/>
              <w:rPr>
                <w:rFonts w:hint="default" w:ascii="Times New Roman" w:hAnsi="Times New Roman" w:eastAsia="宋体" w:cs="Times New Roman"/>
                <w:sz w:val="21"/>
                <w:szCs w:val="21"/>
                <w:lang w:val="en-US" w:eastAsia="zh-CN" w:bidi="ar"/>
              </w:rPr>
            </w:pPr>
            <w:r>
              <w:rPr>
                <w:rFonts w:hint="default" w:ascii="Times New Roman" w:hAnsi="Times New Roman" w:eastAsia="宋体" w:cs="Times New Roman"/>
                <w:sz w:val="21"/>
                <w:szCs w:val="21"/>
                <w:lang w:val="en-US" w:eastAsia="zh-CN" w:bidi="ar"/>
              </w:rPr>
              <w:t>阴离子</w:t>
            </w:r>
          </w:p>
          <w:p w14:paraId="698962E0">
            <w:pPr>
              <w:widowControl w:val="0"/>
              <w:adjustRightInd w:val="0"/>
              <w:snapToGrid w:val="0"/>
              <w:jc w:val="center"/>
              <w:textAlignment w:val="center"/>
              <w:rPr>
                <w:rFonts w:hint="default" w:ascii="Times New Roman" w:hAnsi="Times New Roman" w:eastAsia="宋体" w:cs="Times New Roman"/>
                <w:sz w:val="21"/>
                <w:szCs w:val="21"/>
                <w:lang w:val="en-US" w:eastAsia="zh-CN" w:bidi="ar"/>
              </w:rPr>
            </w:pPr>
            <w:r>
              <w:rPr>
                <w:rFonts w:hint="default" w:ascii="Times New Roman" w:hAnsi="Times New Roman" w:eastAsia="宋体" w:cs="Times New Roman"/>
                <w:sz w:val="21"/>
                <w:szCs w:val="21"/>
                <w:lang w:val="en-US" w:eastAsia="zh-CN" w:bidi="ar"/>
              </w:rPr>
              <w:t>表面活性剂</w:t>
            </w:r>
          </w:p>
        </w:tc>
        <w:tc>
          <w:tcPr>
            <w:tcW w:w="986" w:type="pct"/>
            <w:tcBorders>
              <w:tl2br w:val="nil"/>
              <w:tr2bl w:val="nil"/>
            </w:tcBorders>
            <w:noWrap w:val="0"/>
            <w:vAlign w:val="center"/>
          </w:tcPr>
          <w:p w14:paraId="4A883E64">
            <w:pPr>
              <w:widowControl w:val="0"/>
              <w:adjustRightInd w:val="0"/>
              <w:snapToGrid w:val="0"/>
              <w:jc w:val="center"/>
              <w:textAlignment w:val="center"/>
              <w:rPr>
                <w:rFonts w:hint="default" w:ascii="Times New Roman" w:hAnsi="Times New Roman" w:eastAsia="宋体" w:cs="Times New Roman"/>
                <w:sz w:val="21"/>
                <w:szCs w:val="21"/>
                <w:lang w:val="en-US" w:eastAsia="zh-CN" w:bidi="ar"/>
              </w:rPr>
            </w:pPr>
            <w:r>
              <w:rPr>
                <w:rFonts w:hint="eastAsia" w:ascii="Times New Roman" w:hAnsi="Times New Roman" w:eastAsia="宋体" w:cs="Times New Roman"/>
                <w:sz w:val="21"/>
                <w:szCs w:val="21"/>
                <w:lang w:val="en-US" w:eastAsia="zh-CN" w:bidi="ar"/>
              </w:rPr>
              <w:t>-</w:t>
            </w:r>
          </w:p>
        </w:tc>
        <w:tc>
          <w:tcPr>
            <w:tcW w:w="928" w:type="pct"/>
            <w:tcBorders>
              <w:tl2br w:val="nil"/>
              <w:tr2bl w:val="nil"/>
            </w:tcBorders>
            <w:noWrap w:val="0"/>
            <w:vAlign w:val="center"/>
          </w:tcPr>
          <w:p w14:paraId="415A2B68">
            <w:pPr>
              <w:widowControl w:val="0"/>
              <w:adjustRightInd w:val="0"/>
              <w:snapToGrid w:val="0"/>
              <w:jc w:val="center"/>
              <w:textAlignment w:val="center"/>
              <w:rPr>
                <w:rFonts w:hint="default" w:ascii="Times New Roman" w:hAnsi="Times New Roman" w:eastAsia="宋体" w:cs="Times New Roman"/>
                <w:sz w:val="21"/>
                <w:szCs w:val="21"/>
                <w:lang w:val="en-US" w:eastAsia="zh-CN" w:bidi="ar"/>
              </w:rPr>
            </w:pPr>
            <w:r>
              <w:rPr>
                <w:rFonts w:hint="eastAsia" w:ascii="Times New Roman" w:hAnsi="Times New Roman" w:eastAsia="宋体" w:cs="Times New Roman"/>
                <w:sz w:val="21"/>
                <w:szCs w:val="21"/>
                <w:lang w:val="en-US" w:eastAsia="zh-CN" w:bidi="ar"/>
              </w:rPr>
              <w:t>-</w:t>
            </w:r>
          </w:p>
        </w:tc>
        <w:tc>
          <w:tcPr>
            <w:tcW w:w="905" w:type="pct"/>
            <w:tcBorders>
              <w:tl2br w:val="nil"/>
              <w:tr2bl w:val="nil"/>
            </w:tcBorders>
            <w:noWrap w:val="0"/>
            <w:vAlign w:val="center"/>
          </w:tcPr>
          <w:p w14:paraId="5B8CC785">
            <w:pPr>
              <w:widowControl w:val="0"/>
              <w:adjustRightInd w:val="0"/>
              <w:snapToGrid w:val="0"/>
              <w:jc w:val="center"/>
              <w:textAlignment w:val="center"/>
              <w:rPr>
                <w:rFonts w:hint="default" w:ascii="Times New Roman" w:hAnsi="Times New Roman" w:eastAsia="宋体" w:cs="Times New Roman"/>
                <w:sz w:val="21"/>
                <w:szCs w:val="21"/>
                <w:lang w:val="en-US" w:eastAsia="zh-CN" w:bidi="ar"/>
              </w:rPr>
            </w:pPr>
            <w:r>
              <w:rPr>
                <w:rFonts w:hint="eastAsia" w:ascii="Times New Roman" w:hAnsi="Times New Roman" w:eastAsia="宋体" w:cs="Times New Roman"/>
                <w:sz w:val="21"/>
                <w:szCs w:val="21"/>
                <w:lang w:val="en-US" w:eastAsia="zh-CN" w:bidi="ar"/>
              </w:rPr>
              <w:t>-</w:t>
            </w:r>
          </w:p>
        </w:tc>
      </w:tr>
    </w:tbl>
    <w:p w14:paraId="5CDDCC65">
      <w:pPr>
        <w:keepNext w:val="0"/>
        <w:keepLines w:val="0"/>
        <w:widowControl/>
        <w:suppressLineNumbers w:val="0"/>
        <w:ind w:firstLine="480" w:firstLineChars="200"/>
        <w:jc w:val="left"/>
      </w:pPr>
      <w:r>
        <w:rPr>
          <w:rFonts w:hint="eastAsia" w:ascii="宋体" w:hAnsi="宋体" w:eastAsia="宋体" w:cs="宋体"/>
          <w:color w:val="000000"/>
          <w:kern w:val="0"/>
          <w:sz w:val="24"/>
          <w:szCs w:val="24"/>
          <w:lang w:val="en-US" w:eastAsia="zh-CN" w:bidi="ar"/>
        </w:rPr>
        <w:t>根据监测数据分析可知，本项目所在地区地表水体</w:t>
      </w:r>
      <w:r>
        <w:rPr>
          <w:rFonts w:hint="default" w:ascii="Times New Roman" w:hAnsi="Times New Roman" w:eastAsia="宋体" w:cs="Times New Roman"/>
          <w:color w:val="000000"/>
          <w:kern w:val="0"/>
          <w:sz w:val="24"/>
          <w:szCs w:val="24"/>
          <w:lang w:val="en-US" w:eastAsia="zh-CN" w:bidi="ar"/>
        </w:rPr>
        <w:t>—</w:t>
      </w:r>
      <w:r>
        <w:rPr>
          <w:rFonts w:hint="eastAsia" w:eastAsia="宋体" w:cs="宋体"/>
          <w:color w:val="000000"/>
          <w:kern w:val="0"/>
          <w:sz w:val="24"/>
          <w:szCs w:val="24"/>
          <w:lang w:val="en-US" w:eastAsia="zh-CN" w:bidi="ar"/>
        </w:rPr>
        <w:t>细河</w:t>
      </w:r>
      <w:r>
        <w:rPr>
          <w:rFonts w:hint="default" w:ascii="Times New Roman" w:hAnsi="Times New Roman" w:eastAsia="宋体" w:cs="Times New Roman"/>
          <w:color w:val="000000"/>
          <w:kern w:val="0"/>
          <w:sz w:val="24"/>
          <w:szCs w:val="24"/>
          <w:lang w:val="en-US" w:eastAsia="zh-CN" w:bidi="ar"/>
        </w:rPr>
        <w:t>pH</w:t>
      </w:r>
      <w:r>
        <w:rPr>
          <w:rFonts w:hint="eastAsia" w:ascii="宋体" w:hAnsi="宋体" w:eastAsia="宋体" w:cs="宋体"/>
          <w:color w:val="000000"/>
          <w:kern w:val="0"/>
          <w:sz w:val="24"/>
          <w:szCs w:val="24"/>
          <w:lang w:val="en-US" w:eastAsia="zh-CN" w:bidi="ar"/>
        </w:rPr>
        <w:t>、</w:t>
      </w:r>
      <w:r>
        <w:rPr>
          <w:rFonts w:hint="default" w:ascii="Times New Roman" w:hAnsi="Times New Roman" w:eastAsia="宋体" w:cs="Times New Roman"/>
          <w:color w:val="000000"/>
          <w:kern w:val="0"/>
          <w:sz w:val="24"/>
          <w:szCs w:val="24"/>
          <w:lang w:val="en-US" w:eastAsia="zh-CN" w:bidi="ar"/>
        </w:rPr>
        <w:t>COD</w:t>
      </w:r>
      <w:r>
        <w:rPr>
          <w:rFonts w:hint="eastAsia" w:ascii="宋体" w:hAnsi="宋体" w:eastAsia="宋体" w:cs="宋体"/>
          <w:color w:val="000000"/>
          <w:kern w:val="0"/>
          <w:sz w:val="24"/>
          <w:szCs w:val="24"/>
          <w:lang w:val="en-US" w:eastAsia="zh-CN" w:bidi="ar"/>
        </w:rPr>
        <w:t>、</w:t>
      </w:r>
      <w:r>
        <w:rPr>
          <w:rFonts w:hint="default" w:ascii="Times New Roman" w:hAnsi="Times New Roman" w:eastAsia="宋体" w:cs="Times New Roman"/>
          <w:color w:val="000000"/>
          <w:kern w:val="0"/>
          <w:sz w:val="24"/>
          <w:szCs w:val="24"/>
          <w:lang w:val="en-US" w:eastAsia="zh-CN" w:bidi="ar"/>
        </w:rPr>
        <w:t>BOD</w:t>
      </w:r>
      <w:r>
        <w:rPr>
          <w:rFonts w:hint="default" w:ascii="Times New Roman" w:hAnsi="Times New Roman" w:eastAsia="宋体" w:cs="Times New Roman"/>
          <w:color w:val="000000"/>
          <w:kern w:val="0"/>
          <w:sz w:val="15"/>
          <w:szCs w:val="15"/>
          <w:lang w:val="en-US" w:eastAsia="zh-CN" w:bidi="ar"/>
        </w:rPr>
        <w:t>5</w:t>
      </w:r>
      <w:r>
        <w:rPr>
          <w:rFonts w:hint="eastAsia" w:ascii="宋体" w:hAnsi="宋体" w:eastAsia="宋体" w:cs="宋体"/>
          <w:color w:val="000000"/>
          <w:kern w:val="0"/>
          <w:sz w:val="24"/>
          <w:szCs w:val="24"/>
          <w:lang w:val="en-US" w:eastAsia="zh-CN" w:bidi="ar"/>
        </w:rPr>
        <w:t>、</w:t>
      </w:r>
      <w:r>
        <w:rPr>
          <w:rFonts w:hint="default" w:ascii="Times New Roman" w:hAnsi="Times New Roman" w:eastAsia="宋体" w:cs="Times New Roman"/>
          <w:color w:val="000000"/>
          <w:kern w:val="0"/>
          <w:sz w:val="24"/>
          <w:szCs w:val="24"/>
          <w:lang w:val="en-US" w:eastAsia="zh-CN" w:bidi="ar"/>
        </w:rPr>
        <w:t>SS</w:t>
      </w:r>
      <w:r>
        <w:rPr>
          <w:rFonts w:hint="eastAsia" w:ascii="宋体" w:hAnsi="宋体" w:eastAsia="宋体" w:cs="宋体"/>
          <w:color w:val="000000"/>
          <w:kern w:val="0"/>
          <w:sz w:val="24"/>
          <w:szCs w:val="24"/>
          <w:lang w:val="en-US" w:eastAsia="zh-CN" w:bidi="ar"/>
        </w:rPr>
        <w:t>、氨氮、氟化物等因子监测中的各项污染物均满足</w:t>
      </w:r>
      <w:r>
        <w:rPr>
          <w:rFonts w:hint="default" w:ascii="Times New Roman" w:hAnsi="Times New Roman" w:eastAsia="宋体" w:cs="Times New Roman"/>
          <w:color w:val="000000"/>
          <w:kern w:val="0"/>
          <w:sz w:val="24"/>
          <w:szCs w:val="24"/>
          <w:lang w:val="en-US" w:eastAsia="zh-CN" w:bidi="ar"/>
        </w:rPr>
        <w:t>GB3838-2002</w:t>
      </w:r>
      <w:r>
        <w:rPr>
          <w:rFonts w:hint="eastAsia" w:ascii="宋体" w:hAnsi="宋体" w:eastAsia="宋体" w:cs="宋体"/>
          <w:color w:val="000000"/>
          <w:kern w:val="0"/>
          <w:sz w:val="24"/>
          <w:szCs w:val="24"/>
          <w:lang w:val="en-US" w:eastAsia="zh-CN" w:bidi="ar"/>
        </w:rPr>
        <w:t>《地表水环境质量标准》中</w:t>
      </w:r>
      <w:r>
        <w:rPr>
          <w:rFonts w:hint="default" w:ascii="Times New Roman" w:hAnsi="Times New Roman" w:eastAsia="宋体" w:cs="Times New Roman"/>
          <w:color w:val="000000"/>
          <w:kern w:val="0"/>
          <w:sz w:val="24"/>
          <w:szCs w:val="24"/>
          <w:lang w:val="en-US" w:eastAsia="zh-CN" w:bidi="ar"/>
        </w:rPr>
        <w:t>III</w:t>
      </w:r>
      <w:r>
        <w:rPr>
          <w:rFonts w:hint="eastAsia" w:ascii="宋体" w:hAnsi="宋体" w:eastAsia="宋体" w:cs="宋体"/>
          <w:color w:val="000000"/>
          <w:kern w:val="0"/>
          <w:sz w:val="24"/>
          <w:szCs w:val="24"/>
          <w:lang w:val="en-US" w:eastAsia="zh-CN" w:bidi="ar"/>
        </w:rPr>
        <w:t>类标准要求。说明其水质较好，尚有一定余量。</w:t>
      </w:r>
    </w:p>
    <w:p w14:paraId="7EA01A95">
      <w:pPr>
        <w:pStyle w:val="6"/>
        <w:spacing w:before="239"/>
      </w:pPr>
      <w:bookmarkStart w:id="423" w:name="_Toc30248"/>
      <w:r>
        <w:rPr>
          <w:rFonts w:hint="eastAsia"/>
        </w:rPr>
        <w:t>4</w:t>
      </w:r>
      <w:r>
        <w:t>.3 区域污染源调查</w:t>
      </w:r>
      <w:bookmarkEnd w:id="417"/>
      <w:bookmarkEnd w:id="423"/>
    </w:p>
    <w:p w14:paraId="4EDA5685">
      <w:pPr>
        <w:tabs>
          <w:tab w:val="left" w:pos="6580"/>
        </w:tabs>
        <w:spacing w:line="500" w:lineRule="exact"/>
        <w:ind w:firstLine="480" w:firstLineChars="200"/>
        <w:jc w:val="both"/>
        <w:rPr>
          <w:rFonts w:ascii="Times New Roman" w:hAnsi="Times New Roman" w:cs="Times New Roman"/>
          <w:b/>
          <w:highlight w:val="none"/>
        </w:rPr>
      </w:pPr>
      <w:r>
        <w:rPr>
          <w:rFonts w:ascii="Times New Roman" w:hAnsi="Times New Roman" w:cs="Times New Roman"/>
          <w:highlight w:val="none"/>
        </w:rPr>
        <w:t>通过现场调查并调阅</w:t>
      </w:r>
      <w:r>
        <w:rPr>
          <w:rFonts w:hint="eastAsia" w:ascii="Times New Roman" w:hAnsi="Times New Roman" w:cs="Times New Roman"/>
          <w:highlight w:val="none"/>
          <w:lang w:val="en-US" w:eastAsia="zh-CN"/>
        </w:rPr>
        <w:t>本溪</w:t>
      </w:r>
      <w:r>
        <w:rPr>
          <w:rFonts w:ascii="Times New Roman" w:hAnsi="Times New Roman" w:cs="Times New Roman"/>
          <w:highlight w:val="none"/>
        </w:rPr>
        <w:t>环保部门审批公示资料，本项目评价范围内</w:t>
      </w:r>
      <w:r>
        <w:rPr>
          <w:rFonts w:hint="eastAsia" w:ascii="Times New Roman" w:hAnsi="Times New Roman" w:cs="Times New Roman"/>
          <w:highlight w:val="none"/>
        </w:rPr>
        <w:t>没有</w:t>
      </w:r>
      <w:r>
        <w:rPr>
          <w:rFonts w:ascii="Times New Roman" w:hAnsi="Times New Roman" w:cs="Times New Roman"/>
          <w:highlight w:val="none"/>
        </w:rPr>
        <w:t>与本项目排放污染物有关的其它在建项目、已批复环评文件的拟建项目。</w:t>
      </w:r>
    </w:p>
    <w:p w14:paraId="382A1EC9">
      <w:pPr>
        <w:spacing w:line="500" w:lineRule="exact"/>
        <w:ind w:firstLine="354" w:firstLineChars="147"/>
        <w:rPr>
          <w:rFonts w:ascii="Times New Roman" w:hAnsi="Times New Roman" w:cs="Times New Roman"/>
          <w:b/>
        </w:rPr>
      </w:pPr>
    </w:p>
    <w:p w14:paraId="7A29CF72">
      <w:pPr>
        <w:spacing w:line="500" w:lineRule="exact"/>
        <w:ind w:firstLine="354" w:firstLineChars="147"/>
        <w:rPr>
          <w:rFonts w:ascii="Times New Roman" w:hAnsi="Times New Roman" w:cs="Times New Roman"/>
          <w:b/>
        </w:rPr>
        <w:sectPr>
          <w:pgSz w:w="11907" w:h="16840"/>
          <w:pgMar w:top="1701" w:right="1701" w:bottom="1701" w:left="1701" w:header="851" w:footer="1077" w:gutter="0"/>
          <w:pgBorders w:offsetFrom="page">
            <w:top w:val="none" w:sz="0" w:space="0"/>
            <w:left w:val="none" w:sz="0" w:space="0"/>
            <w:bottom w:val="none" w:sz="0" w:space="0"/>
            <w:right w:val="none" w:sz="0" w:space="0"/>
          </w:pgBorders>
          <w:pgNumType w:fmt="decimal"/>
          <w:cols w:space="720" w:num="1"/>
          <w:docGrid w:type="lines" w:linePitch="479" w:charSpace="0"/>
        </w:sectPr>
      </w:pPr>
    </w:p>
    <w:p w14:paraId="2C48B688">
      <w:pPr>
        <w:pStyle w:val="5"/>
      </w:pPr>
      <w:bookmarkStart w:id="424" w:name="_Toc175714276"/>
      <w:bookmarkStart w:id="425" w:name="_Toc175711443"/>
      <w:bookmarkStart w:id="426" w:name="_Toc1808"/>
      <w:bookmarkStart w:id="427" w:name="_Toc90026136"/>
      <w:r>
        <w:rPr>
          <w:rFonts w:hint="eastAsia"/>
          <w:lang w:eastAsia="zh-CN"/>
        </w:rPr>
        <w:t>5</w:t>
      </w:r>
      <w:r>
        <w:t>. 环境影响预测与</w:t>
      </w:r>
      <w:bookmarkEnd w:id="424"/>
      <w:bookmarkEnd w:id="425"/>
      <w:r>
        <w:t>评价</w:t>
      </w:r>
      <w:bookmarkEnd w:id="426"/>
      <w:bookmarkEnd w:id="427"/>
    </w:p>
    <w:p w14:paraId="25FD29B7">
      <w:pPr>
        <w:pStyle w:val="6"/>
        <w:spacing w:before="239"/>
        <w:rPr>
          <w:color w:val="0000FF"/>
        </w:rPr>
      </w:pPr>
      <w:bookmarkStart w:id="428" w:name="_Toc90026137"/>
      <w:bookmarkStart w:id="429" w:name="_Toc13811"/>
      <w:bookmarkStart w:id="430" w:name="_Toc90026300"/>
      <w:r>
        <w:rPr>
          <w:rFonts w:hint="eastAsia"/>
          <w:color w:val="0000FF"/>
        </w:rPr>
        <w:t>5</w:t>
      </w:r>
      <w:r>
        <w:rPr>
          <w:color w:val="0000FF"/>
        </w:rPr>
        <w:t>.1 大气环境影响预测与分析</w:t>
      </w:r>
      <w:bookmarkEnd w:id="428"/>
      <w:bookmarkEnd w:id="429"/>
    </w:p>
    <w:p w14:paraId="613F6232">
      <w:pPr>
        <w:pStyle w:val="7"/>
        <w:rPr>
          <w:color w:val="0000FF"/>
        </w:rPr>
      </w:pPr>
      <w:bookmarkStart w:id="431" w:name="_Toc90026290"/>
      <w:bookmarkStart w:id="432" w:name="_Toc3049"/>
      <w:r>
        <w:rPr>
          <w:rFonts w:hint="eastAsia"/>
          <w:color w:val="0000FF"/>
          <w:lang w:eastAsia="zh-CN"/>
        </w:rPr>
        <w:t>5</w:t>
      </w:r>
      <w:r>
        <w:rPr>
          <w:color w:val="0000FF"/>
        </w:rPr>
        <w:t>.1.1 预测因子</w:t>
      </w:r>
      <w:bookmarkEnd w:id="431"/>
      <w:bookmarkEnd w:id="432"/>
    </w:p>
    <w:p w14:paraId="70B4857D">
      <w:pPr>
        <w:spacing w:line="500" w:lineRule="exact"/>
        <w:ind w:firstLine="480" w:firstLineChars="200"/>
        <w:jc w:val="both"/>
        <w:rPr>
          <w:rFonts w:ascii="Times New Roman" w:hAnsi="Times New Roman" w:cs="Times New Roman"/>
        </w:rPr>
      </w:pPr>
      <w:r>
        <w:rPr>
          <w:rFonts w:ascii="Times New Roman" w:hAnsi="Times New Roman" w:cs="Times New Roman"/>
          <w:color w:val="0000FF"/>
        </w:rPr>
        <w:t>根据大气导则要求，预测因子根据评价因子而定，选取有环境质量标准的评价因子作为预测因子，</w:t>
      </w:r>
      <w:r>
        <w:rPr>
          <w:rFonts w:ascii="Times New Roman" w:hAnsi="Times New Roman" w:cs="Times New Roman"/>
          <w:color w:val="0000FF"/>
          <w:highlight w:val="none"/>
        </w:rPr>
        <w:t>综合工程分析结果，本次评价选取TSP、</w:t>
      </w:r>
      <w:r>
        <w:rPr>
          <w:rFonts w:hint="eastAsia" w:ascii="Times New Roman" w:hAnsi="Times New Roman" w:cs="Times New Roman"/>
          <w:color w:val="0000FF"/>
          <w:highlight w:val="none"/>
          <w:lang w:val="en-US" w:eastAsia="zh-CN"/>
        </w:rPr>
        <w:t>SO</w:t>
      </w:r>
      <w:r>
        <w:rPr>
          <w:rFonts w:hint="eastAsia" w:ascii="Times New Roman" w:hAnsi="Times New Roman" w:cs="Times New Roman"/>
          <w:color w:val="0000FF"/>
          <w:highlight w:val="none"/>
          <w:vertAlign w:val="subscript"/>
          <w:lang w:val="en-US" w:eastAsia="zh-CN"/>
        </w:rPr>
        <w:t>2</w:t>
      </w:r>
      <w:r>
        <w:rPr>
          <w:rFonts w:hint="eastAsia" w:ascii="Times New Roman" w:hAnsi="Times New Roman" w:cs="Times New Roman"/>
          <w:color w:val="0000FF"/>
          <w:highlight w:val="none"/>
          <w:lang w:val="en-US" w:eastAsia="zh-CN"/>
        </w:rPr>
        <w:t>、</w:t>
      </w:r>
      <w:r>
        <w:rPr>
          <w:rFonts w:hint="eastAsia" w:ascii="Times New Roman" w:hAnsi="Times New Roman" w:cs="Times New Roman"/>
          <w:color w:val="0000FF"/>
          <w:highlight w:val="none"/>
        </w:rPr>
        <w:t>NOx</w:t>
      </w:r>
      <w:r>
        <w:rPr>
          <w:rFonts w:hint="eastAsia" w:ascii="Times New Roman" w:hAnsi="Times New Roman" w:cs="Times New Roman"/>
          <w:color w:val="0000FF"/>
          <w:highlight w:val="none"/>
          <w:lang w:eastAsia="zh-CN"/>
        </w:rPr>
        <w:t>、</w:t>
      </w:r>
      <w:r>
        <w:rPr>
          <w:rFonts w:hint="eastAsia" w:ascii="Times New Roman" w:hAnsi="Times New Roman" w:cs="Times New Roman"/>
          <w:color w:val="0000FF"/>
          <w:highlight w:val="none"/>
          <w:lang w:val="en-US" w:eastAsia="zh-CN"/>
        </w:rPr>
        <w:t>氟化物</w:t>
      </w:r>
      <w:r>
        <w:rPr>
          <w:rFonts w:ascii="Times New Roman" w:hAnsi="Times New Roman" w:cs="Times New Roman"/>
          <w:color w:val="0000FF"/>
          <w:highlight w:val="none"/>
        </w:rPr>
        <w:t>、</w:t>
      </w:r>
      <w:r>
        <w:rPr>
          <w:rFonts w:hint="eastAsia" w:ascii="Times New Roman" w:hAnsi="Times New Roman" w:cs="Times New Roman"/>
          <w:color w:val="0000FF"/>
          <w:highlight w:val="none"/>
          <w:lang w:val="en-US" w:eastAsia="zh-CN"/>
        </w:rPr>
        <w:t>氨</w:t>
      </w:r>
      <w:r>
        <w:rPr>
          <w:rFonts w:hint="eastAsia" w:ascii="Times New Roman" w:hAnsi="Times New Roman" w:cs="Times New Roman"/>
          <w:color w:val="0000FF"/>
          <w:highlight w:val="none"/>
        </w:rPr>
        <w:t>、</w:t>
      </w:r>
      <w:r>
        <w:rPr>
          <w:rFonts w:hint="eastAsia" w:ascii="Times New Roman" w:hAnsi="Times New Roman" w:cs="Times New Roman"/>
          <w:color w:val="0000FF"/>
          <w:highlight w:val="none"/>
          <w:lang w:val="en-US" w:eastAsia="zh-CN"/>
        </w:rPr>
        <w:t>二噁英</w:t>
      </w:r>
      <w:r>
        <w:rPr>
          <w:rFonts w:ascii="Times New Roman" w:hAnsi="Times New Roman" w:cs="Times New Roman"/>
          <w:color w:val="0000FF"/>
          <w:highlight w:val="none"/>
        </w:rPr>
        <w:t>为预测因子。</w:t>
      </w:r>
    </w:p>
    <w:p w14:paraId="6AB01CFC">
      <w:pPr>
        <w:pStyle w:val="7"/>
      </w:pPr>
      <w:bookmarkStart w:id="433" w:name="_Toc90026291"/>
      <w:bookmarkStart w:id="434" w:name="_Toc3035"/>
      <w:r>
        <w:rPr>
          <w:rFonts w:hint="eastAsia"/>
          <w:lang w:eastAsia="zh-CN"/>
        </w:rPr>
        <w:t>5</w:t>
      </w:r>
      <w:r>
        <w:t>.1.</w:t>
      </w:r>
      <w:r>
        <w:rPr>
          <w:lang w:eastAsia="zh-CN"/>
        </w:rPr>
        <w:t>2</w:t>
      </w:r>
      <w:r>
        <w:t xml:space="preserve"> 预测</w:t>
      </w:r>
      <w:r>
        <w:rPr>
          <w:lang w:eastAsia="zh-CN"/>
        </w:rPr>
        <w:t>周期</w:t>
      </w:r>
      <w:bookmarkEnd w:id="433"/>
      <w:bookmarkEnd w:id="434"/>
    </w:p>
    <w:p w14:paraId="071BFA8C">
      <w:pPr>
        <w:spacing w:line="500" w:lineRule="exact"/>
        <w:ind w:firstLine="480" w:firstLineChars="200"/>
        <w:rPr>
          <w:rFonts w:ascii="Times New Roman" w:hAnsi="Times New Roman" w:cs="Times New Roman"/>
          <w:color w:val="0000FF"/>
        </w:rPr>
      </w:pPr>
      <w:r>
        <w:rPr>
          <w:rFonts w:hint="eastAsia" w:ascii="Times New Roman" w:hAnsi="Times New Roman" w:cs="Times New Roman"/>
          <w:color w:val="0000FF"/>
        </w:rPr>
        <w:t>根据本次大气预测工作中所需的气象资料数据和区域环境空气质量现状数据的获取情况，选取2024年作为评价基准年，预测时段连续取1个完整日历年。具体筛选结果见本评价下表。</w:t>
      </w:r>
    </w:p>
    <w:p w14:paraId="762C2670">
      <w:pPr>
        <w:jc w:val="center"/>
        <w:rPr>
          <w:rFonts w:hint="default" w:ascii="Times New Roman" w:hAnsi="Times New Roman" w:eastAsia="黑体" w:cs="Times New Roman"/>
          <w:color w:val="0000FF"/>
        </w:rPr>
      </w:pPr>
      <w:r>
        <w:rPr>
          <w:rFonts w:hint="default" w:ascii="Times New Roman" w:hAnsi="Times New Roman" w:eastAsia="黑体" w:cs="Times New Roman"/>
          <w:color w:val="0000FF"/>
        </w:rPr>
        <w:t>表</w:t>
      </w:r>
      <w:r>
        <w:rPr>
          <w:rFonts w:hint="eastAsia" w:ascii="Times New Roman" w:hAnsi="Times New Roman" w:eastAsia="黑体" w:cs="Times New Roman"/>
          <w:color w:val="0000FF"/>
          <w:lang w:val="en-US" w:eastAsia="zh-CN"/>
        </w:rPr>
        <w:t>5.1</w:t>
      </w:r>
      <w:r>
        <w:rPr>
          <w:rFonts w:hint="default" w:ascii="Times New Roman" w:hAnsi="Times New Roman" w:eastAsia="黑体" w:cs="Times New Roman"/>
          <w:color w:val="0000FF"/>
          <w:lang w:val="en-US" w:eastAsia="zh-CN"/>
        </w:rPr>
        <w:t>-1</w:t>
      </w:r>
      <w:r>
        <w:rPr>
          <w:rFonts w:hint="default" w:ascii="Times New Roman" w:hAnsi="Times New Roman" w:eastAsia="黑体" w:cs="Times New Roman"/>
          <w:color w:val="0000FF"/>
        </w:rPr>
        <w:t>评价基准年筛选结果</w:t>
      </w:r>
    </w:p>
    <w:tbl>
      <w:tblPr>
        <w:tblStyle w:val="56"/>
        <w:tblW w:w="5000" w:type="pct"/>
        <w:tblInd w:w="0" w:type="dxa"/>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autofit"/>
        <w:tblCellMar>
          <w:top w:w="0" w:type="dxa"/>
          <w:left w:w="108" w:type="dxa"/>
          <w:bottom w:w="0" w:type="dxa"/>
          <w:right w:w="108" w:type="dxa"/>
        </w:tblCellMar>
      </w:tblPr>
      <w:tblGrid>
        <w:gridCol w:w="3451"/>
        <w:gridCol w:w="2228"/>
        <w:gridCol w:w="2844"/>
      </w:tblGrid>
      <w:tr w14:paraId="5D422400">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2024" w:type="pct"/>
            <w:tcBorders>
              <w:top w:val="double" w:color="auto" w:sz="4" w:space="0"/>
            </w:tcBorders>
            <w:noWrap w:val="0"/>
            <w:vAlign w:val="center"/>
          </w:tcPr>
          <w:p w14:paraId="7154CCFE">
            <w:pPr>
              <w:keepLines w:val="0"/>
              <w:pageBreakBefore w:val="0"/>
              <w:widowControl/>
              <w:kinsoku/>
              <w:wordWrap/>
              <w:overflowPunct/>
              <w:topLinePunct w:val="0"/>
              <w:autoSpaceDE/>
              <w:autoSpaceDN/>
              <w:bidi w:val="0"/>
              <w:adjustRightInd/>
              <w:snapToGrid/>
              <w:spacing w:line="240" w:lineRule="auto"/>
              <w:ind w:firstLine="0" w:firstLineChars="0"/>
              <w:contextualSpacing/>
              <w:jc w:val="center"/>
              <w:textAlignment w:val="auto"/>
              <w:rPr>
                <w:rFonts w:hint="default" w:ascii="Times New Roman" w:hAnsi="Times New Roman" w:eastAsia="宋体" w:cs="Times New Roman"/>
                <w:b/>
                <w:color w:val="0000FF"/>
                <w:sz w:val="21"/>
                <w:szCs w:val="21"/>
                <w:highlight w:val="none"/>
              </w:rPr>
            </w:pPr>
            <w:r>
              <w:rPr>
                <w:rFonts w:hint="default" w:ascii="Times New Roman" w:hAnsi="Times New Roman" w:eastAsia="宋体" w:cs="Times New Roman"/>
                <w:b/>
                <w:color w:val="0000FF"/>
                <w:sz w:val="21"/>
                <w:szCs w:val="21"/>
                <w:highlight w:val="none"/>
              </w:rPr>
              <w:t>资料名称</w:t>
            </w:r>
          </w:p>
        </w:tc>
        <w:tc>
          <w:tcPr>
            <w:tcW w:w="1307" w:type="pct"/>
            <w:tcBorders>
              <w:top w:val="double" w:color="auto" w:sz="4" w:space="0"/>
            </w:tcBorders>
            <w:noWrap w:val="0"/>
            <w:vAlign w:val="center"/>
          </w:tcPr>
          <w:p w14:paraId="03639D40">
            <w:pPr>
              <w:keepLines w:val="0"/>
              <w:pageBreakBefore w:val="0"/>
              <w:widowControl/>
              <w:kinsoku/>
              <w:wordWrap/>
              <w:overflowPunct/>
              <w:topLinePunct w:val="0"/>
              <w:autoSpaceDE/>
              <w:autoSpaceDN/>
              <w:bidi w:val="0"/>
              <w:adjustRightInd/>
              <w:snapToGrid/>
              <w:spacing w:line="240" w:lineRule="auto"/>
              <w:ind w:firstLine="0" w:firstLineChars="0"/>
              <w:contextualSpacing/>
              <w:jc w:val="center"/>
              <w:textAlignment w:val="auto"/>
              <w:rPr>
                <w:rFonts w:hint="default" w:ascii="Times New Roman" w:hAnsi="Times New Roman" w:eastAsia="宋体" w:cs="Times New Roman"/>
                <w:b/>
                <w:color w:val="0000FF"/>
                <w:sz w:val="21"/>
                <w:szCs w:val="21"/>
                <w:highlight w:val="none"/>
              </w:rPr>
            </w:pPr>
            <w:r>
              <w:rPr>
                <w:rFonts w:hint="default" w:ascii="Times New Roman" w:hAnsi="Times New Roman" w:eastAsia="宋体" w:cs="Times New Roman"/>
                <w:b/>
                <w:color w:val="0000FF"/>
                <w:sz w:val="21"/>
                <w:szCs w:val="21"/>
                <w:highlight w:val="none"/>
              </w:rPr>
              <w:t>数据获取情况</w:t>
            </w:r>
          </w:p>
        </w:tc>
        <w:tc>
          <w:tcPr>
            <w:tcW w:w="1668" w:type="pct"/>
            <w:tcBorders>
              <w:top w:val="double" w:color="auto" w:sz="4" w:space="0"/>
            </w:tcBorders>
            <w:noWrap w:val="0"/>
            <w:vAlign w:val="center"/>
          </w:tcPr>
          <w:p w14:paraId="22BEE039">
            <w:pPr>
              <w:keepLines w:val="0"/>
              <w:pageBreakBefore w:val="0"/>
              <w:widowControl/>
              <w:kinsoku/>
              <w:wordWrap/>
              <w:overflowPunct/>
              <w:topLinePunct w:val="0"/>
              <w:autoSpaceDE/>
              <w:autoSpaceDN/>
              <w:bidi w:val="0"/>
              <w:adjustRightInd/>
              <w:snapToGrid/>
              <w:spacing w:line="240" w:lineRule="auto"/>
              <w:ind w:firstLine="0" w:firstLineChars="0"/>
              <w:contextualSpacing/>
              <w:jc w:val="center"/>
              <w:textAlignment w:val="auto"/>
              <w:rPr>
                <w:rFonts w:hint="default" w:ascii="Times New Roman" w:hAnsi="Times New Roman" w:eastAsia="宋体" w:cs="Times New Roman"/>
                <w:b/>
                <w:color w:val="0000FF"/>
                <w:sz w:val="21"/>
                <w:szCs w:val="21"/>
                <w:highlight w:val="none"/>
              </w:rPr>
            </w:pPr>
            <w:r>
              <w:rPr>
                <w:rFonts w:hint="default" w:ascii="Times New Roman" w:hAnsi="Times New Roman" w:eastAsia="宋体" w:cs="Times New Roman"/>
                <w:b/>
                <w:color w:val="0000FF"/>
                <w:sz w:val="21"/>
                <w:szCs w:val="21"/>
                <w:highlight w:val="none"/>
              </w:rPr>
              <w:t>评价基准年筛选</w:t>
            </w:r>
          </w:p>
        </w:tc>
      </w:tr>
      <w:tr w14:paraId="65D23824">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2024" w:type="pct"/>
            <w:tcBorders>
              <w:bottom w:val="double" w:color="auto" w:sz="4" w:space="0"/>
            </w:tcBorders>
            <w:noWrap w:val="0"/>
            <w:vAlign w:val="center"/>
          </w:tcPr>
          <w:p w14:paraId="59B2A044">
            <w:pPr>
              <w:keepLines w:val="0"/>
              <w:pageBreakBefore w:val="0"/>
              <w:widowControl/>
              <w:kinsoku/>
              <w:wordWrap/>
              <w:overflowPunct/>
              <w:topLinePunct w:val="0"/>
              <w:autoSpaceDE/>
              <w:autoSpaceDN/>
              <w:bidi w:val="0"/>
              <w:adjustRightInd/>
              <w:snapToGrid/>
              <w:spacing w:line="240" w:lineRule="auto"/>
              <w:ind w:firstLine="0" w:firstLineChars="0"/>
              <w:contextualSpacing/>
              <w:jc w:val="center"/>
              <w:textAlignment w:val="auto"/>
              <w:rPr>
                <w:rFonts w:hint="default" w:ascii="Times New Roman" w:hAnsi="Times New Roman" w:eastAsia="宋体" w:cs="Times New Roman"/>
                <w:color w:val="0000FF"/>
                <w:sz w:val="21"/>
                <w:szCs w:val="21"/>
                <w:highlight w:val="none"/>
                <w:lang w:eastAsia="zh-CN"/>
              </w:rPr>
            </w:pPr>
            <w:r>
              <w:rPr>
                <w:rFonts w:hint="default" w:ascii="Times New Roman" w:hAnsi="Times New Roman" w:eastAsia="宋体" w:cs="Times New Roman"/>
                <w:color w:val="0000FF"/>
                <w:sz w:val="21"/>
                <w:szCs w:val="21"/>
                <w:highlight w:val="none"/>
              </w:rPr>
              <w:t>环境空气质量现状资料</w:t>
            </w:r>
            <w:r>
              <w:rPr>
                <w:rFonts w:hint="default" w:ascii="Times New Roman" w:hAnsi="Times New Roman" w:cs="Times New Roman"/>
                <w:color w:val="0000FF"/>
                <w:sz w:val="21"/>
                <w:szCs w:val="21"/>
                <w:highlight w:val="none"/>
                <w:lang w:eastAsia="zh-CN"/>
              </w:rPr>
              <w:t>、</w:t>
            </w:r>
            <w:r>
              <w:rPr>
                <w:rFonts w:hint="default" w:ascii="Times New Roman" w:hAnsi="Times New Roman" w:eastAsia="宋体" w:cs="Times New Roman"/>
                <w:color w:val="0000FF"/>
                <w:sz w:val="21"/>
                <w:szCs w:val="21"/>
                <w:highlight w:val="none"/>
              </w:rPr>
              <w:t>气象资料</w:t>
            </w:r>
          </w:p>
        </w:tc>
        <w:tc>
          <w:tcPr>
            <w:tcW w:w="1307" w:type="pct"/>
            <w:tcBorders>
              <w:bottom w:val="double" w:color="auto" w:sz="4" w:space="0"/>
            </w:tcBorders>
            <w:noWrap w:val="0"/>
            <w:vAlign w:val="center"/>
          </w:tcPr>
          <w:p w14:paraId="11558992">
            <w:pPr>
              <w:keepLines w:val="0"/>
              <w:pageBreakBefore w:val="0"/>
              <w:widowControl/>
              <w:kinsoku/>
              <w:wordWrap/>
              <w:overflowPunct/>
              <w:topLinePunct w:val="0"/>
              <w:autoSpaceDE/>
              <w:autoSpaceDN/>
              <w:bidi w:val="0"/>
              <w:adjustRightInd/>
              <w:snapToGrid/>
              <w:spacing w:line="240" w:lineRule="auto"/>
              <w:ind w:firstLine="0" w:firstLineChars="0"/>
              <w:contextualSpacing/>
              <w:jc w:val="center"/>
              <w:textAlignment w:val="auto"/>
              <w:rPr>
                <w:rFonts w:hint="default" w:ascii="Times New Roman" w:hAnsi="Times New Roman" w:eastAsia="宋体" w:cs="Times New Roman"/>
                <w:color w:val="0000FF"/>
                <w:sz w:val="21"/>
                <w:szCs w:val="21"/>
                <w:highlight w:val="none"/>
              </w:rPr>
            </w:pPr>
            <w:r>
              <w:rPr>
                <w:rFonts w:hint="default" w:ascii="Times New Roman" w:hAnsi="Times New Roman" w:eastAsia="宋体" w:cs="Times New Roman"/>
                <w:color w:val="0000FF"/>
                <w:sz w:val="21"/>
                <w:szCs w:val="21"/>
                <w:highlight w:val="none"/>
              </w:rPr>
              <w:t>202</w:t>
            </w:r>
            <w:r>
              <w:rPr>
                <w:rFonts w:hint="default" w:ascii="Times New Roman" w:hAnsi="Times New Roman" w:cs="Times New Roman"/>
                <w:color w:val="0000FF"/>
                <w:sz w:val="21"/>
                <w:szCs w:val="21"/>
                <w:highlight w:val="none"/>
                <w:lang w:val="en-US" w:eastAsia="zh-CN"/>
              </w:rPr>
              <w:t>4</w:t>
            </w:r>
            <w:r>
              <w:rPr>
                <w:rFonts w:hint="default" w:ascii="Times New Roman" w:hAnsi="Times New Roman" w:eastAsia="宋体" w:cs="Times New Roman"/>
                <w:color w:val="0000FF"/>
                <w:sz w:val="21"/>
                <w:szCs w:val="21"/>
                <w:highlight w:val="none"/>
              </w:rPr>
              <w:t>年</w:t>
            </w:r>
          </w:p>
        </w:tc>
        <w:tc>
          <w:tcPr>
            <w:tcW w:w="1668" w:type="pct"/>
            <w:tcBorders>
              <w:bottom w:val="double" w:color="auto" w:sz="4" w:space="0"/>
            </w:tcBorders>
            <w:noWrap w:val="0"/>
            <w:vAlign w:val="center"/>
          </w:tcPr>
          <w:p w14:paraId="596F8F08">
            <w:pPr>
              <w:keepLines w:val="0"/>
              <w:pageBreakBefore w:val="0"/>
              <w:widowControl/>
              <w:kinsoku/>
              <w:wordWrap/>
              <w:overflowPunct/>
              <w:topLinePunct w:val="0"/>
              <w:autoSpaceDE/>
              <w:autoSpaceDN/>
              <w:bidi w:val="0"/>
              <w:adjustRightInd/>
              <w:snapToGrid/>
              <w:spacing w:line="240" w:lineRule="auto"/>
              <w:ind w:firstLine="0" w:firstLineChars="0"/>
              <w:contextualSpacing/>
              <w:jc w:val="center"/>
              <w:textAlignment w:val="auto"/>
              <w:rPr>
                <w:rFonts w:hint="default" w:ascii="Times New Roman" w:hAnsi="Times New Roman" w:eastAsia="宋体" w:cs="Times New Roman"/>
                <w:color w:val="0000FF"/>
                <w:sz w:val="21"/>
                <w:szCs w:val="21"/>
                <w:highlight w:val="none"/>
              </w:rPr>
            </w:pPr>
            <w:r>
              <w:rPr>
                <w:rFonts w:hint="default" w:ascii="Times New Roman" w:hAnsi="Times New Roman" w:eastAsia="宋体" w:cs="Times New Roman"/>
                <w:color w:val="0000FF"/>
                <w:sz w:val="21"/>
                <w:szCs w:val="21"/>
                <w:highlight w:val="none"/>
                <w:lang w:val="en-US" w:eastAsia="zh-CN"/>
              </w:rPr>
              <w:t>20</w:t>
            </w:r>
            <w:r>
              <w:rPr>
                <w:rFonts w:hint="default" w:ascii="Times New Roman" w:hAnsi="Times New Roman" w:eastAsia="宋体" w:cs="Times New Roman"/>
                <w:color w:val="0000FF"/>
                <w:sz w:val="21"/>
                <w:szCs w:val="21"/>
                <w:highlight w:val="none"/>
              </w:rPr>
              <w:t>2</w:t>
            </w:r>
            <w:r>
              <w:rPr>
                <w:rFonts w:hint="default" w:ascii="Times New Roman" w:hAnsi="Times New Roman" w:eastAsia="宋体" w:cs="Times New Roman"/>
                <w:color w:val="0000FF"/>
                <w:sz w:val="21"/>
                <w:szCs w:val="21"/>
                <w:highlight w:val="none"/>
                <w:lang w:val="en-US" w:eastAsia="zh-CN"/>
              </w:rPr>
              <w:t>4</w:t>
            </w:r>
            <w:r>
              <w:rPr>
                <w:rFonts w:hint="default" w:ascii="Times New Roman" w:hAnsi="Times New Roman" w:eastAsia="宋体" w:cs="Times New Roman"/>
                <w:color w:val="0000FF"/>
                <w:sz w:val="21"/>
                <w:szCs w:val="21"/>
                <w:highlight w:val="none"/>
              </w:rPr>
              <w:t>年</w:t>
            </w:r>
          </w:p>
        </w:tc>
      </w:tr>
    </w:tbl>
    <w:p w14:paraId="74ED0C68">
      <w:pPr>
        <w:pStyle w:val="7"/>
      </w:pPr>
      <w:bookmarkStart w:id="435" w:name="_Toc18809"/>
      <w:bookmarkStart w:id="436" w:name="_Toc90026292"/>
      <w:r>
        <w:rPr>
          <w:rFonts w:hint="eastAsia"/>
          <w:lang w:eastAsia="zh-CN"/>
        </w:rPr>
        <w:t>5</w:t>
      </w:r>
      <w:r>
        <w:t>.1.</w:t>
      </w:r>
      <w:r>
        <w:rPr>
          <w:lang w:eastAsia="zh-CN"/>
        </w:rPr>
        <w:t>3</w:t>
      </w:r>
      <w:r>
        <w:t xml:space="preserve"> 预测模型</w:t>
      </w:r>
      <w:bookmarkEnd w:id="435"/>
      <w:bookmarkEnd w:id="436"/>
    </w:p>
    <w:p w14:paraId="126B3148">
      <w:pPr>
        <w:adjustRightInd w:val="0"/>
        <w:snapToGrid w:val="0"/>
        <w:spacing w:line="360" w:lineRule="auto"/>
        <w:ind w:firstLine="480" w:firstLineChars="200"/>
        <w:rPr>
          <w:rFonts w:hint="default" w:ascii="Times New Roman" w:hAnsi="Times New Roman" w:eastAsia="宋体" w:cs="Times New Roman"/>
          <w:color w:val="0000FF"/>
          <w:kern w:val="2"/>
          <w:sz w:val="24"/>
          <w:szCs w:val="21"/>
          <w:highlight w:val="none"/>
          <w:lang w:val="en-US" w:eastAsia="zh-CN" w:bidi="ar-SA"/>
        </w:rPr>
      </w:pPr>
      <w:r>
        <w:rPr>
          <w:rFonts w:hint="default" w:ascii="Times New Roman" w:hAnsi="Times New Roman" w:eastAsia="宋体" w:cs="Times New Roman"/>
          <w:color w:val="0000FF"/>
          <w:kern w:val="2"/>
          <w:sz w:val="24"/>
          <w:szCs w:val="21"/>
          <w:highlight w:val="none"/>
          <w:lang w:val="en-US" w:eastAsia="zh-CN" w:bidi="ar-SA"/>
        </w:rPr>
        <w:t>（1）预测模型</w:t>
      </w:r>
    </w:p>
    <w:p w14:paraId="53051D94">
      <w:pPr>
        <w:adjustRightInd w:val="0"/>
        <w:snapToGrid w:val="0"/>
        <w:spacing w:line="360" w:lineRule="auto"/>
        <w:ind w:firstLine="480" w:firstLineChars="200"/>
        <w:rPr>
          <w:rFonts w:hint="default" w:ascii="Times New Roman" w:hAnsi="Times New Roman" w:eastAsia="宋体" w:cs="Times New Roman"/>
          <w:color w:val="0000FF"/>
          <w:kern w:val="2"/>
          <w:sz w:val="24"/>
          <w:szCs w:val="21"/>
          <w:highlight w:val="none"/>
          <w:lang w:val="en-US" w:eastAsia="zh-CN" w:bidi="ar-SA"/>
        </w:rPr>
      </w:pPr>
      <w:r>
        <w:rPr>
          <w:rFonts w:hint="default" w:ascii="Times New Roman" w:hAnsi="Times New Roman" w:eastAsia="宋体" w:cs="Times New Roman"/>
          <w:color w:val="0000FF"/>
          <w:kern w:val="2"/>
          <w:sz w:val="24"/>
          <w:szCs w:val="21"/>
          <w:highlight w:val="none"/>
          <w:lang w:val="en-US" w:eastAsia="zh-CN" w:bidi="ar-SA"/>
        </w:rPr>
        <w:t>根据估算模型AerScreen计算结果，本项目环境空气评价等级为一级，按照《环境影响评价技术导则大气环境》（HJ2.2-2018）中的要求，应采用进一步预测模型开展大气环境影响预测与评价。根据HJ2.2-2018推荐的进一步预测模型适用范围，满足本项目进一步预测的模型有Calpuff、Aermod和ADMS。</w:t>
      </w:r>
    </w:p>
    <w:p w14:paraId="0CA73E51">
      <w:pPr>
        <w:adjustRightInd w:val="0"/>
        <w:snapToGrid w:val="0"/>
        <w:spacing w:line="360" w:lineRule="auto"/>
        <w:ind w:firstLine="480" w:firstLineChars="200"/>
        <w:rPr>
          <w:rFonts w:hint="default" w:ascii="Times New Roman" w:hAnsi="Times New Roman" w:eastAsia="宋体" w:cs="Times New Roman"/>
          <w:color w:val="0000FF"/>
          <w:kern w:val="2"/>
          <w:sz w:val="24"/>
          <w:szCs w:val="21"/>
          <w:highlight w:val="none"/>
          <w:lang w:val="en-US" w:eastAsia="zh-CN" w:bidi="ar-SA"/>
        </w:rPr>
      </w:pPr>
      <w:r>
        <w:rPr>
          <w:rFonts w:hint="default" w:ascii="Times New Roman" w:hAnsi="Times New Roman" w:eastAsia="宋体" w:cs="Times New Roman"/>
          <w:color w:val="0000FF"/>
          <w:kern w:val="2"/>
          <w:sz w:val="24"/>
          <w:szCs w:val="21"/>
          <w:highlight w:val="none"/>
          <w:lang w:val="en-US" w:eastAsia="zh-CN" w:bidi="ar-SA"/>
        </w:rPr>
        <w:t>周边3.0km范围内不存在大型水体，估算时不考虑岸边熏烟，因此不需要采用Calpuff模型进行进一步预测。</w:t>
      </w:r>
    </w:p>
    <w:p w14:paraId="51BFB36F">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eastAsia="宋体" w:cs="Times New Roman"/>
          <w:color w:val="0000FF"/>
          <w:kern w:val="2"/>
          <w:sz w:val="24"/>
          <w:szCs w:val="21"/>
          <w:highlight w:val="none"/>
          <w:lang w:val="en-US" w:eastAsia="zh-CN" w:bidi="ar-SA"/>
        </w:rPr>
      </w:pPr>
      <w:r>
        <w:rPr>
          <w:rFonts w:hint="default" w:ascii="Times New Roman" w:hAnsi="Times New Roman" w:eastAsia="宋体" w:cs="Times New Roman"/>
          <w:color w:val="0000FF"/>
          <w:kern w:val="2"/>
          <w:sz w:val="24"/>
          <w:szCs w:val="21"/>
          <w:highlight w:val="none"/>
          <w:lang w:val="en-US" w:eastAsia="zh-CN" w:bidi="ar-SA"/>
        </w:rPr>
        <w:t>Aermod是稳态烟羽扩散模式，可基于大气边界层数据特征模拟点源、线源、面源、体源等排放出的污染物在短期（1h平均、24h平均）和长期（年平均）的浓度场分布，并适用于农村或城市地区、简单或复杂地形的局地尺度（≤50km）范围内的环境空气质量预测。因此，本次评价采用导则推荐的Aermod模型进行大气环境影响预测计算。本次计算过程按保守进行，不考虑建筑物下洗、不考虑颗粒物干湿沉降和化学转化，不考虑NO</w:t>
      </w:r>
      <w:r>
        <w:rPr>
          <w:rFonts w:hint="default" w:ascii="Times New Roman" w:hAnsi="Times New Roman" w:eastAsia="宋体" w:cs="Times New Roman"/>
          <w:color w:val="0000FF"/>
          <w:kern w:val="2"/>
          <w:sz w:val="24"/>
          <w:szCs w:val="21"/>
          <w:highlight w:val="none"/>
          <w:vertAlign w:val="subscript"/>
          <w:lang w:val="en-US" w:eastAsia="zh-CN" w:bidi="ar-SA"/>
        </w:rPr>
        <w:t>X</w:t>
      </w:r>
      <w:r>
        <w:rPr>
          <w:rFonts w:hint="default" w:ascii="Times New Roman" w:hAnsi="Times New Roman" w:eastAsia="宋体" w:cs="Times New Roman"/>
          <w:color w:val="0000FF"/>
          <w:kern w:val="2"/>
          <w:sz w:val="24"/>
          <w:szCs w:val="21"/>
          <w:highlight w:val="none"/>
          <w:lang w:val="en-US" w:eastAsia="zh-CN" w:bidi="ar-SA"/>
        </w:rPr>
        <w:t>的化学转化。</w:t>
      </w:r>
    </w:p>
    <w:p w14:paraId="3E13F33B">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eastAsia="宋体" w:cs="Times New Roman"/>
          <w:color w:val="0000FF"/>
          <w:kern w:val="2"/>
          <w:sz w:val="24"/>
          <w:szCs w:val="21"/>
          <w:highlight w:val="none"/>
          <w:lang w:val="en-US" w:eastAsia="zh-CN" w:bidi="ar-SA"/>
        </w:rPr>
      </w:pPr>
      <w:r>
        <w:rPr>
          <w:rFonts w:hint="default" w:ascii="Times New Roman" w:hAnsi="Times New Roman" w:eastAsia="宋体" w:cs="Times New Roman"/>
          <w:color w:val="0000FF"/>
          <w:kern w:val="2"/>
          <w:sz w:val="24"/>
          <w:szCs w:val="21"/>
          <w:highlight w:val="none"/>
          <w:lang w:val="en-US" w:eastAsia="zh-CN" w:bidi="ar-SA"/>
        </w:rPr>
        <w:t>（2）预测模型参数选取</w:t>
      </w:r>
    </w:p>
    <w:p w14:paraId="503D4668">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eastAsia="宋体" w:cs="Times New Roman"/>
          <w:color w:val="0000FF"/>
          <w:kern w:val="2"/>
          <w:sz w:val="24"/>
          <w:szCs w:val="21"/>
          <w:highlight w:val="none"/>
          <w:lang w:val="en-US" w:eastAsia="zh-CN" w:bidi="ar-SA"/>
        </w:rPr>
      </w:pPr>
      <w:r>
        <w:rPr>
          <w:rFonts w:hint="default" w:ascii="Times New Roman" w:hAnsi="Times New Roman" w:eastAsia="宋体" w:cs="Times New Roman"/>
          <w:color w:val="0000FF"/>
          <w:kern w:val="2"/>
          <w:sz w:val="24"/>
          <w:szCs w:val="21"/>
          <w:highlight w:val="none"/>
          <w:lang w:val="en-US" w:eastAsia="zh-CN" w:bidi="ar-SA"/>
        </w:rPr>
        <w:t>①Aermod预测地面特征参数</w:t>
      </w:r>
    </w:p>
    <w:p w14:paraId="35AD9B85">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imes New Roman" w:hAnsi="Times New Roman" w:cs="Times New Roman"/>
          <w:bCs/>
          <w:color w:val="0000FF"/>
        </w:rPr>
      </w:pPr>
      <w:r>
        <w:rPr>
          <w:rFonts w:hint="default" w:ascii="Times New Roman" w:hAnsi="Times New Roman" w:eastAsia="宋体" w:cs="Times New Roman"/>
          <w:color w:val="0000FF"/>
          <w:kern w:val="2"/>
          <w:sz w:val="24"/>
          <w:szCs w:val="21"/>
          <w:highlight w:val="none"/>
          <w:lang w:val="en-US" w:eastAsia="zh-CN" w:bidi="ar-SA"/>
        </w:rPr>
        <w:t>根据中国干湿地区划分图，本项目所在区域属于半湿润区，中等潮湿气候。根据地表特征，将地面分成4个扇区，</w:t>
      </w:r>
      <w:r>
        <w:rPr>
          <w:rFonts w:hint="eastAsia" w:ascii="Times New Roman" w:hAnsi="Times New Roman" w:eastAsia="宋体" w:cs="Times New Roman"/>
          <w:color w:val="0000FF"/>
          <w:kern w:val="2"/>
          <w:sz w:val="24"/>
          <w:szCs w:val="21"/>
          <w:highlight w:val="none"/>
          <w:lang w:val="en-US" w:eastAsia="zh-CN" w:bidi="ar-SA"/>
        </w:rPr>
        <w:t>15</w:t>
      </w:r>
      <w:r>
        <w:rPr>
          <w:rFonts w:hint="default" w:ascii="Times New Roman" w:hAnsi="Times New Roman" w:eastAsia="宋体" w:cs="Times New Roman"/>
          <w:color w:val="0000FF"/>
          <w:kern w:val="2"/>
          <w:sz w:val="24"/>
          <w:szCs w:val="21"/>
          <w:highlight w:val="none"/>
          <w:lang w:val="en-US" w:eastAsia="zh-CN" w:bidi="ar-SA"/>
        </w:rPr>
        <w:t>°~</w:t>
      </w:r>
      <w:r>
        <w:rPr>
          <w:rFonts w:hint="eastAsia" w:ascii="Times New Roman" w:hAnsi="Times New Roman" w:eastAsia="宋体" w:cs="Times New Roman"/>
          <w:color w:val="0000FF"/>
          <w:kern w:val="2"/>
          <w:sz w:val="24"/>
          <w:szCs w:val="21"/>
          <w:highlight w:val="none"/>
          <w:lang w:val="en-US" w:eastAsia="zh-CN" w:bidi="ar-SA"/>
        </w:rPr>
        <w:t>45</w:t>
      </w:r>
      <w:r>
        <w:rPr>
          <w:rFonts w:hint="default" w:ascii="Times New Roman" w:hAnsi="Times New Roman" w:eastAsia="宋体" w:cs="Times New Roman"/>
          <w:color w:val="0000FF"/>
          <w:kern w:val="2"/>
          <w:sz w:val="24"/>
          <w:szCs w:val="21"/>
          <w:highlight w:val="none"/>
          <w:lang w:val="en-US" w:eastAsia="zh-CN" w:bidi="ar-SA"/>
        </w:rPr>
        <w:t>°、</w:t>
      </w:r>
      <w:r>
        <w:rPr>
          <w:rFonts w:hint="eastAsia" w:ascii="Times New Roman" w:hAnsi="Times New Roman" w:eastAsia="宋体" w:cs="Times New Roman"/>
          <w:color w:val="0000FF"/>
          <w:kern w:val="2"/>
          <w:sz w:val="24"/>
          <w:szCs w:val="21"/>
          <w:highlight w:val="none"/>
          <w:lang w:val="en-US" w:eastAsia="zh-CN" w:bidi="ar-SA"/>
        </w:rPr>
        <w:t>24</w:t>
      </w:r>
      <w:r>
        <w:rPr>
          <w:rFonts w:hint="default" w:ascii="Times New Roman" w:hAnsi="Times New Roman" w:eastAsia="宋体" w:cs="Times New Roman"/>
          <w:color w:val="0000FF"/>
          <w:kern w:val="2"/>
          <w:sz w:val="24"/>
          <w:szCs w:val="21"/>
          <w:highlight w:val="none"/>
          <w:lang w:val="en-US" w:eastAsia="zh-CN" w:bidi="ar-SA"/>
        </w:rPr>
        <w:t>0°~</w:t>
      </w:r>
      <w:r>
        <w:rPr>
          <w:rFonts w:hint="eastAsia" w:ascii="Times New Roman" w:hAnsi="Times New Roman" w:eastAsia="宋体" w:cs="Times New Roman"/>
          <w:color w:val="0000FF"/>
          <w:kern w:val="2"/>
          <w:sz w:val="24"/>
          <w:szCs w:val="21"/>
          <w:highlight w:val="none"/>
          <w:lang w:val="en-US" w:eastAsia="zh-CN" w:bidi="ar-SA"/>
        </w:rPr>
        <w:t>310</w:t>
      </w:r>
      <w:r>
        <w:rPr>
          <w:rFonts w:hint="default" w:ascii="Times New Roman" w:hAnsi="Times New Roman" w:eastAsia="宋体" w:cs="Times New Roman"/>
          <w:color w:val="0000FF"/>
          <w:kern w:val="2"/>
          <w:sz w:val="24"/>
          <w:szCs w:val="21"/>
          <w:highlight w:val="none"/>
          <w:lang w:val="en-US" w:eastAsia="zh-CN" w:bidi="ar-SA"/>
        </w:rPr>
        <w:t>°通用地表类型为落叶林，通用地表均湿度“中等湿度气候”，</w:t>
      </w:r>
      <w:r>
        <w:rPr>
          <w:rFonts w:hint="eastAsia" w:ascii="Times New Roman" w:hAnsi="Times New Roman" w:eastAsia="宋体" w:cs="Times New Roman"/>
          <w:color w:val="0000FF"/>
          <w:kern w:val="2"/>
          <w:sz w:val="24"/>
          <w:szCs w:val="21"/>
          <w:highlight w:val="none"/>
          <w:lang w:val="en-US" w:eastAsia="zh-CN" w:bidi="ar-SA"/>
        </w:rPr>
        <w:t>45</w:t>
      </w:r>
      <w:r>
        <w:rPr>
          <w:rFonts w:hint="default" w:ascii="Times New Roman" w:hAnsi="Times New Roman" w:eastAsia="宋体" w:cs="Times New Roman"/>
          <w:color w:val="0000FF"/>
          <w:kern w:val="2"/>
          <w:sz w:val="24"/>
          <w:szCs w:val="21"/>
          <w:highlight w:val="none"/>
          <w:lang w:val="en-US" w:eastAsia="zh-CN" w:bidi="ar-SA"/>
        </w:rPr>
        <w:t>°~</w:t>
      </w:r>
      <w:r>
        <w:rPr>
          <w:rFonts w:hint="eastAsia" w:ascii="Times New Roman" w:hAnsi="Times New Roman" w:eastAsia="宋体" w:cs="Times New Roman"/>
          <w:color w:val="0000FF"/>
          <w:kern w:val="2"/>
          <w:sz w:val="24"/>
          <w:szCs w:val="21"/>
          <w:highlight w:val="none"/>
          <w:lang w:val="en-US" w:eastAsia="zh-CN" w:bidi="ar-SA"/>
        </w:rPr>
        <w:t>240</w:t>
      </w:r>
      <w:r>
        <w:rPr>
          <w:rFonts w:hint="default" w:ascii="Times New Roman" w:hAnsi="Times New Roman" w:eastAsia="宋体" w:cs="Times New Roman"/>
          <w:color w:val="0000FF"/>
          <w:kern w:val="2"/>
          <w:sz w:val="24"/>
          <w:szCs w:val="21"/>
          <w:highlight w:val="none"/>
          <w:lang w:val="en-US" w:eastAsia="zh-CN" w:bidi="ar-SA"/>
        </w:rPr>
        <w:t>°、</w:t>
      </w:r>
      <w:r>
        <w:rPr>
          <w:rFonts w:hint="eastAsia" w:ascii="Times New Roman" w:hAnsi="Times New Roman" w:eastAsia="宋体" w:cs="Times New Roman"/>
          <w:color w:val="0000FF"/>
          <w:kern w:val="2"/>
          <w:sz w:val="24"/>
          <w:szCs w:val="21"/>
          <w:highlight w:val="none"/>
          <w:lang w:val="en-US" w:eastAsia="zh-CN" w:bidi="ar-SA"/>
        </w:rPr>
        <w:t>75</w:t>
      </w:r>
      <w:r>
        <w:rPr>
          <w:rFonts w:hint="default" w:ascii="Times New Roman" w:hAnsi="Times New Roman" w:eastAsia="宋体" w:cs="Times New Roman"/>
          <w:color w:val="0000FF"/>
          <w:kern w:val="2"/>
          <w:sz w:val="24"/>
          <w:szCs w:val="21"/>
          <w:highlight w:val="none"/>
          <w:lang w:val="en-US" w:eastAsia="zh-CN" w:bidi="ar-SA"/>
        </w:rPr>
        <w:t>°~</w:t>
      </w:r>
      <w:r>
        <w:rPr>
          <w:rFonts w:hint="eastAsia" w:ascii="Times New Roman" w:hAnsi="Times New Roman" w:eastAsia="宋体" w:cs="Times New Roman"/>
          <w:color w:val="0000FF"/>
          <w:kern w:val="2"/>
          <w:sz w:val="24"/>
          <w:szCs w:val="21"/>
          <w:highlight w:val="none"/>
          <w:lang w:val="en-US" w:eastAsia="zh-CN" w:bidi="ar-SA"/>
        </w:rPr>
        <w:t>140</w:t>
      </w:r>
      <w:r>
        <w:rPr>
          <w:rFonts w:hint="default" w:ascii="Times New Roman" w:hAnsi="Times New Roman" w:eastAsia="宋体" w:cs="Times New Roman"/>
          <w:color w:val="0000FF"/>
          <w:kern w:val="2"/>
          <w:sz w:val="24"/>
          <w:szCs w:val="21"/>
          <w:highlight w:val="none"/>
          <w:lang w:val="en-US" w:eastAsia="zh-CN" w:bidi="ar-SA"/>
        </w:rPr>
        <w:t>°通用地表类型为城市，通用地表均湿度“中等湿度气候”，预测气象地面特征参数见下表</w:t>
      </w:r>
      <w:r>
        <w:rPr>
          <w:rFonts w:ascii="Times New Roman" w:hAnsi="Times New Roman" w:cs="Times New Roman"/>
          <w:bCs/>
          <w:color w:val="0000FF"/>
        </w:rPr>
        <w:t>。</w:t>
      </w:r>
    </w:p>
    <w:p w14:paraId="21982775">
      <w:pPr>
        <w:jc w:val="center"/>
        <w:rPr>
          <w:rFonts w:hint="default" w:ascii="Times New Roman" w:hAnsi="Times New Roman" w:eastAsia="黑体" w:cs="Times New Roman"/>
          <w:color w:val="0000FF"/>
        </w:rPr>
      </w:pPr>
      <w:r>
        <w:rPr>
          <w:rFonts w:hint="default" w:ascii="Times New Roman" w:hAnsi="Times New Roman" w:eastAsia="黑体" w:cs="Times New Roman"/>
          <w:color w:val="0000FF"/>
        </w:rPr>
        <w:t>表</w:t>
      </w:r>
      <w:r>
        <w:rPr>
          <w:rFonts w:hint="eastAsia" w:ascii="Times New Roman" w:hAnsi="Times New Roman" w:eastAsia="黑体" w:cs="Times New Roman"/>
          <w:color w:val="0000FF"/>
          <w:lang w:val="en-US" w:eastAsia="zh-CN"/>
        </w:rPr>
        <w:t>5.1</w:t>
      </w:r>
      <w:r>
        <w:rPr>
          <w:rFonts w:hint="default" w:ascii="Times New Roman" w:hAnsi="Times New Roman" w:eastAsia="黑体" w:cs="Times New Roman"/>
          <w:color w:val="0000FF"/>
          <w:lang w:val="en-US" w:eastAsia="zh-CN"/>
        </w:rPr>
        <w:t>-</w:t>
      </w:r>
      <w:r>
        <w:rPr>
          <w:rFonts w:hint="eastAsia" w:ascii="Times New Roman" w:hAnsi="Times New Roman" w:eastAsia="黑体" w:cs="Times New Roman"/>
          <w:color w:val="0000FF"/>
          <w:lang w:val="en-US" w:eastAsia="zh-CN"/>
        </w:rPr>
        <w:t>2</w:t>
      </w:r>
      <w:r>
        <w:rPr>
          <w:rFonts w:hint="default" w:ascii="Times New Roman" w:hAnsi="Times New Roman" w:eastAsia="黑体" w:cs="Times New Roman"/>
          <w:color w:val="0000FF"/>
        </w:rPr>
        <w:t>预测气象地面特征参数</w:t>
      </w:r>
    </w:p>
    <w:tbl>
      <w:tblPr>
        <w:tblStyle w:val="56"/>
        <w:tblW w:w="4998"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301"/>
        <w:gridCol w:w="1301"/>
        <w:gridCol w:w="2012"/>
        <w:gridCol w:w="1302"/>
        <w:gridCol w:w="1302"/>
        <w:gridCol w:w="1302"/>
      </w:tblGrid>
      <w:tr w14:paraId="0A5DF72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763" w:type="pct"/>
            <w:tcBorders>
              <w:top w:val="double" w:color="auto" w:sz="4" w:space="0"/>
              <w:left w:val="nil"/>
              <w:bottom w:val="single" w:color="auto" w:sz="4" w:space="0"/>
              <w:right w:val="single" w:color="auto" w:sz="4" w:space="0"/>
            </w:tcBorders>
            <w:shd w:val="clear" w:color="auto" w:fill="auto"/>
            <w:noWrap/>
            <w:vAlign w:val="center"/>
          </w:tcPr>
          <w:p w14:paraId="2DBE15AB">
            <w:pPr>
              <w:keepNext w:val="0"/>
              <w:keepLines w:val="0"/>
              <w:pageBreakBefore w:val="0"/>
              <w:widowControl w:val="0"/>
              <w:kinsoku/>
              <w:wordWrap/>
              <w:overflowPunct/>
              <w:topLinePunct w:val="0"/>
              <w:autoSpaceDE/>
              <w:autoSpaceDN/>
              <w:bidi w:val="0"/>
              <w:adjustRightInd/>
              <w:snapToGrid w:val="0"/>
              <w:spacing w:line="264" w:lineRule="auto"/>
              <w:ind w:firstLine="0" w:firstLineChars="0"/>
              <w:jc w:val="center"/>
              <w:textAlignment w:val="auto"/>
              <w:rPr>
                <w:rFonts w:hint="default" w:ascii="Times New Roman" w:hAnsi="Times New Roman" w:eastAsia="宋体" w:cs="Times New Roman"/>
                <w:b w:val="0"/>
                <w:bCs/>
                <w:color w:val="0000FF"/>
                <w:sz w:val="21"/>
                <w:szCs w:val="21"/>
                <w:highlight w:val="none"/>
                <w:lang w:val="en-US" w:eastAsia="zh-CN"/>
              </w:rPr>
            </w:pPr>
            <w:r>
              <w:rPr>
                <w:rFonts w:hint="default" w:ascii="Times New Roman" w:hAnsi="Times New Roman" w:cs="Times New Roman"/>
                <w:color w:val="0000FF"/>
                <w:sz w:val="21"/>
                <w:szCs w:val="21"/>
              </w:rPr>
              <w:t>序号</w:t>
            </w:r>
          </w:p>
        </w:tc>
        <w:tc>
          <w:tcPr>
            <w:tcW w:w="763" w:type="pct"/>
            <w:tcBorders>
              <w:top w:val="double" w:color="auto" w:sz="4" w:space="0"/>
              <w:left w:val="single" w:color="auto" w:sz="4" w:space="0"/>
              <w:bottom w:val="single" w:color="auto" w:sz="4" w:space="0"/>
              <w:right w:val="single" w:color="auto" w:sz="4" w:space="0"/>
            </w:tcBorders>
            <w:shd w:val="clear" w:color="auto" w:fill="auto"/>
            <w:noWrap/>
            <w:vAlign w:val="center"/>
          </w:tcPr>
          <w:p w14:paraId="4A2568C3">
            <w:pPr>
              <w:keepNext w:val="0"/>
              <w:keepLines w:val="0"/>
              <w:pageBreakBefore w:val="0"/>
              <w:widowControl w:val="0"/>
              <w:kinsoku/>
              <w:wordWrap/>
              <w:overflowPunct/>
              <w:topLinePunct w:val="0"/>
              <w:autoSpaceDE/>
              <w:autoSpaceDN/>
              <w:bidi w:val="0"/>
              <w:adjustRightInd/>
              <w:snapToGrid w:val="0"/>
              <w:spacing w:line="264" w:lineRule="auto"/>
              <w:ind w:firstLine="0" w:firstLineChars="0"/>
              <w:jc w:val="center"/>
              <w:textAlignment w:val="auto"/>
              <w:rPr>
                <w:rFonts w:hint="default" w:ascii="Times New Roman" w:hAnsi="Times New Roman" w:eastAsia="宋体" w:cs="Times New Roman"/>
                <w:b w:val="0"/>
                <w:bCs/>
                <w:color w:val="0000FF"/>
                <w:sz w:val="21"/>
                <w:szCs w:val="21"/>
                <w:highlight w:val="none"/>
                <w:lang w:val="en-US" w:eastAsia="zh-CN"/>
              </w:rPr>
            </w:pPr>
            <w:r>
              <w:rPr>
                <w:rFonts w:hint="default" w:ascii="Times New Roman" w:hAnsi="Times New Roman" w:cs="Times New Roman"/>
                <w:color w:val="0000FF"/>
                <w:sz w:val="21"/>
                <w:szCs w:val="21"/>
              </w:rPr>
              <w:t>扇区</w:t>
            </w:r>
          </w:p>
        </w:tc>
        <w:tc>
          <w:tcPr>
            <w:tcW w:w="1180" w:type="pct"/>
            <w:tcBorders>
              <w:top w:val="double" w:color="auto" w:sz="4" w:space="0"/>
              <w:left w:val="single" w:color="auto" w:sz="4" w:space="0"/>
              <w:bottom w:val="single" w:color="auto" w:sz="4" w:space="0"/>
              <w:right w:val="single" w:color="auto" w:sz="4" w:space="0"/>
            </w:tcBorders>
            <w:shd w:val="clear" w:color="auto" w:fill="auto"/>
            <w:noWrap/>
            <w:vAlign w:val="center"/>
          </w:tcPr>
          <w:p w14:paraId="2E6B6E0F">
            <w:pPr>
              <w:keepNext w:val="0"/>
              <w:keepLines w:val="0"/>
              <w:pageBreakBefore w:val="0"/>
              <w:widowControl w:val="0"/>
              <w:kinsoku/>
              <w:wordWrap/>
              <w:overflowPunct/>
              <w:topLinePunct w:val="0"/>
              <w:autoSpaceDE/>
              <w:autoSpaceDN/>
              <w:bidi w:val="0"/>
              <w:adjustRightInd/>
              <w:snapToGrid w:val="0"/>
              <w:spacing w:line="264" w:lineRule="auto"/>
              <w:ind w:firstLine="0" w:firstLineChars="0"/>
              <w:jc w:val="center"/>
              <w:textAlignment w:val="auto"/>
              <w:rPr>
                <w:rFonts w:hint="default" w:ascii="Times New Roman" w:hAnsi="Times New Roman" w:eastAsia="宋体" w:cs="Times New Roman"/>
                <w:b w:val="0"/>
                <w:bCs/>
                <w:color w:val="0000FF"/>
                <w:sz w:val="21"/>
                <w:szCs w:val="21"/>
                <w:highlight w:val="none"/>
                <w:lang w:val="en-US" w:eastAsia="zh-CN"/>
              </w:rPr>
            </w:pPr>
            <w:r>
              <w:rPr>
                <w:rFonts w:hint="default" w:ascii="Times New Roman" w:hAnsi="Times New Roman" w:cs="Times New Roman"/>
                <w:color w:val="0000FF"/>
                <w:sz w:val="21"/>
                <w:szCs w:val="21"/>
              </w:rPr>
              <w:t>时段</w:t>
            </w:r>
          </w:p>
        </w:tc>
        <w:tc>
          <w:tcPr>
            <w:tcW w:w="763" w:type="pct"/>
            <w:tcBorders>
              <w:top w:val="double" w:color="auto" w:sz="4" w:space="0"/>
              <w:left w:val="single" w:color="auto" w:sz="4" w:space="0"/>
              <w:bottom w:val="single" w:color="auto" w:sz="4" w:space="0"/>
              <w:right w:val="single" w:color="auto" w:sz="4" w:space="0"/>
            </w:tcBorders>
            <w:shd w:val="clear" w:color="auto" w:fill="auto"/>
            <w:noWrap/>
            <w:vAlign w:val="center"/>
          </w:tcPr>
          <w:p w14:paraId="7558C42E">
            <w:pPr>
              <w:keepNext w:val="0"/>
              <w:keepLines w:val="0"/>
              <w:pageBreakBefore w:val="0"/>
              <w:widowControl w:val="0"/>
              <w:kinsoku/>
              <w:wordWrap/>
              <w:overflowPunct/>
              <w:topLinePunct w:val="0"/>
              <w:autoSpaceDE/>
              <w:autoSpaceDN/>
              <w:bidi w:val="0"/>
              <w:adjustRightInd/>
              <w:snapToGrid w:val="0"/>
              <w:spacing w:line="264" w:lineRule="auto"/>
              <w:ind w:firstLine="0" w:firstLineChars="0"/>
              <w:jc w:val="center"/>
              <w:textAlignment w:val="auto"/>
              <w:rPr>
                <w:rFonts w:hint="default" w:ascii="Times New Roman" w:hAnsi="Times New Roman" w:eastAsia="宋体" w:cs="Times New Roman"/>
                <w:b w:val="0"/>
                <w:bCs/>
                <w:color w:val="0000FF"/>
                <w:sz w:val="21"/>
                <w:szCs w:val="21"/>
                <w:highlight w:val="none"/>
                <w:lang w:val="en-US" w:eastAsia="zh-CN"/>
              </w:rPr>
            </w:pPr>
            <w:r>
              <w:rPr>
                <w:rFonts w:hint="default" w:ascii="Times New Roman" w:hAnsi="Times New Roman" w:cs="Times New Roman"/>
                <w:color w:val="0000FF"/>
                <w:sz w:val="21"/>
                <w:szCs w:val="21"/>
              </w:rPr>
              <w:t>正午反照率</w:t>
            </w:r>
          </w:p>
        </w:tc>
        <w:tc>
          <w:tcPr>
            <w:tcW w:w="763" w:type="pct"/>
            <w:tcBorders>
              <w:top w:val="double" w:color="auto" w:sz="4" w:space="0"/>
              <w:left w:val="single" w:color="auto" w:sz="4" w:space="0"/>
              <w:bottom w:val="single" w:color="auto" w:sz="4" w:space="0"/>
              <w:right w:val="single" w:color="auto" w:sz="4" w:space="0"/>
            </w:tcBorders>
            <w:shd w:val="clear" w:color="auto" w:fill="auto"/>
            <w:noWrap/>
            <w:vAlign w:val="center"/>
          </w:tcPr>
          <w:p w14:paraId="55E17FDD">
            <w:pPr>
              <w:keepNext w:val="0"/>
              <w:keepLines w:val="0"/>
              <w:pageBreakBefore w:val="0"/>
              <w:widowControl w:val="0"/>
              <w:kinsoku/>
              <w:wordWrap/>
              <w:overflowPunct/>
              <w:topLinePunct w:val="0"/>
              <w:autoSpaceDE/>
              <w:autoSpaceDN/>
              <w:bidi w:val="0"/>
              <w:adjustRightInd/>
              <w:snapToGrid w:val="0"/>
              <w:spacing w:line="264" w:lineRule="auto"/>
              <w:ind w:firstLine="0" w:firstLineChars="0"/>
              <w:jc w:val="center"/>
              <w:textAlignment w:val="auto"/>
              <w:rPr>
                <w:rFonts w:hint="default" w:ascii="Times New Roman" w:hAnsi="Times New Roman" w:eastAsia="宋体" w:cs="Times New Roman"/>
                <w:b w:val="0"/>
                <w:bCs/>
                <w:color w:val="0000FF"/>
                <w:sz w:val="21"/>
                <w:szCs w:val="21"/>
                <w:highlight w:val="none"/>
                <w:lang w:val="en-US" w:eastAsia="zh-CN"/>
              </w:rPr>
            </w:pPr>
            <w:r>
              <w:rPr>
                <w:rFonts w:hint="default" w:ascii="Times New Roman" w:hAnsi="Times New Roman" w:cs="Times New Roman"/>
                <w:color w:val="0000FF"/>
                <w:sz w:val="21"/>
                <w:szCs w:val="21"/>
              </w:rPr>
              <w:t>BOWEN</w:t>
            </w:r>
          </w:p>
        </w:tc>
        <w:tc>
          <w:tcPr>
            <w:tcW w:w="763" w:type="pct"/>
            <w:tcBorders>
              <w:top w:val="double" w:color="auto" w:sz="4" w:space="0"/>
              <w:left w:val="single" w:color="auto" w:sz="4" w:space="0"/>
              <w:bottom w:val="single" w:color="auto" w:sz="4" w:space="0"/>
              <w:right w:val="nil"/>
            </w:tcBorders>
            <w:shd w:val="clear" w:color="auto" w:fill="auto"/>
            <w:noWrap/>
            <w:vAlign w:val="center"/>
          </w:tcPr>
          <w:p w14:paraId="15071570">
            <w:pPr>
              <w:keepNext w:val="0"/>
              <w:keepLines w:val="0"/>
              <w:pageBreakBefore w:val="0"/>
              <w:widowControl w:val="0"/>
              <w:kinsoku/>
              <w:wordWrap/>
              <w:overflowPunct/>
              <w:topLinePunct w:val="0"/>
              <w:autoSpaceDE/>
              <w:autoSpaceDN/>
              <w:bidi w:val="0"/>
              <w:adjustRightInd/>
              <w:snapToGrid w:val="0"/>
              <w:spacing w:line="264" w:lineRule="auto"/>
              <w:ind w:firstLine="0" w:firstLineChars="0"/>
              <w:jc w:val="center"/>
              <w:textAlignment w:val="auto"/>
              <w:rPr>
                <w:rFonts w:hint="default" w:ascii="Times New Roman" w:hAnsi="Times New Roman" w:eastAsia="宋体" w:cs="Times New Roman"/>
                <w:b w:val="0"/>
                <w:bCs/>
                <w:color w:val="0000FF"/>
                <w:sz w:val="21"/>
                <w:szCs w:val="21"/>
                <w:highlight w:val="none"/>
                <w:lang w:val="en-US" w:eastAsia="zh-CN"/>
              </w:rPr>
            </w:pPr>
            <w:r>
              <w:rPr>
                <w:rFonts w:hint="default" w:ascii="Times New Roman" w:hAnsi="Times New Roman" w:cs="Times New Roman"/>
                <w:color w:val="0000FF"/>
                <w:sz w:val="21"/>
                <w:szCs w:val="21"/>
              </w:rPr>
              <w:t>粗糙度</w:t>
            </w:r>
          </w:p>
        </w:tc>
      </w:tr>
      <w:tr w14:paraId="21C9031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763" w:type="pct"/>
            <w:tcBorders>
              <w:top w:val="single" w:color="auto" w:sz="4" w:space="0"/>
              <w:left w:val="nil"/>
              <w:bottom w:val="single" w:color="auto" w:sz="4" w:space="0"/>
              <w:right w:val="single" w:color="auto" w:sz="4" w:space="0"/>
            </w:tcBorders>
            <w:shd w:val="clear" w:color="auto" w:fill="auto"/>
            <w:noWrap/>
            <w:vAlign w:val="center"/>
          </w:tcPr>
          <w:p w14:paraId="59B4A020">
            <w:pPr>
              <w:keepNext w:val="0"/>
              <w:keepLines w:val="0"/>
              <w:pageBreakBefore w:val="0"/>
              <w:widowControl w:val="0"/>
              <w:kinsoku/>
              <w:wordWrap/>
              <w:overflowPunct/>
              <w:topLinePunct w:val="0"/>
              <w:autoSpaceDE/>
              <w:autoSpaceDN/>
              <w:bidi w:val="0"/>
              <w:adjustRightInd/>
              <w:snapToGrid w:val="0"/>
              <w:spacing w:line="264" w:lineRule="auto"/>
              <w:ind w:firstLine="0" w:firstLineChars="0"/>
              <w:jc w:val="center"/>
              <w:textAlignment w:val="auto"/>
              <w:rPr>
                <w:rFonts w:hint="default" w:ascii="Times New Roman" w:hAnsi="Times New Roman" w:eastAsia="宋体" w:cs="Times New Roman"/>
                <w:b w:val="0"/>
                <w:bCs/>
                <w:color w:val="0000FF"/>
                <w:sz w:val="21"/>
                <w:szCs w:val="21"/>
                <w:highlight w:val="none"/>
                <w:lang w:val="en-US" w:eastAsia="zh-CN"/>
              </w:rPr>
            </w:pPr>
            <w:r>
              <w:rPr>
                <w:rFonts w:hint="default" w:ascii="Times New Roman" w:hAnsi="Times New Roman" w:cs="Times New Roman"/>
                <w:color w:val="0000FF"/>
                <w:sz w:val="21"/>
                <w:szCs w:val="21"/>
              </w:rPr>
              <w:t>1</w:t>
            </w:r>
          </w:p>
        </w:tc>
        <w:tc>
          <w:tcPr>
            <w:tcW w:w="763"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EC7ABC2">
            <w:pPr>
              <w:keepNext w:val="0"/>
              <w:keepLines w:val="0"/>
              <w:pageBreakBefore w:val="0"/>
              <w:widowControl w:val="0"/>
              <w:kinsoku/>
              <w:wordWrap/>
              <w:overflowPunct/>
              <w:topLinePunct w:val="0"/>
              <w:autoSpaceDE/>
              <w:autoSpaceDN/>
              <w:bidi w:val="0"/>
              <w:adjustRightInd/>
              <w:snapToGrid w:val="0"/>
              <w:spacing w:line="264" w:lineRule="auto"/>
              <w:ind w:firstLine="0" w:firstLineChars="0"/>
              <w:jc w:val="center"/>
              <w:textAlignment w:val="auto"/>
              <w:rPr>
                <w:rFonts w:hint="default" w:ascii="Times New Roman" w:hAnsi="Times New Roman" w:eastAsia="宋体" w:cs="Times New Roman"/>
                <w:b w:val="0"/>
                <w:bCs/>
                <w:color w:val="0000FF"/>
                <w:sz w:val="21"/>
                <w:szCs w:val="21"/>
                <w:highlight w:val="none"/>
                <w:lang w:val="en-US" w:eastAsia="zh-CN"/>
              </w:rPr>
            </w:pPr>
            <w:r>
              <w:rPr>
                <w:rFonts w:hint="default" w:ascii="Times New Roman" w:hAnsi="Times New Roman" w:cs="Times New Roman"/>
                <w:color w:val="0000FF"/>
                <w:sz w:val="21"/>
                <w:szCs w:val="21"/>
              </w:rPr>
              <w:t>15-45</w:t>
            </w:r>
          </w:p>
        </w:tc>
        <w:tc>
          <w:tcPr>
            <w:tcW w:w="118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6B4A743">
            <w:pPr>
              <w:keepNext w:val="0"/>
              <w:keepLines w:val="0"/>
              <w:pageBreakBefore w:val="0"/>
              <w:widowControl w:val="0"/>
              <w:kinsoku/>
              <w:wordWrap/>
              <w:overflowPunct/>
              <w:topLinePunct w:val="0"/>
              <w:autoSpaceDE/>
              <w:autoSpaceDN/>
              <w:bidi w:val="0"/>
              <w:adjustRightInd/>
              <w:snapToGrid w:val="0"/>
              <w:spacing w:line="264" w:lineRule="auto"/>
              <w:ind w:firstLine="0" w:firstLineChars="0"/>
              <w:jc w:val="center"/>
              <w:textAlignment w:val="auto"/>
              <w:rPr>
                <w:rFonts w:hint="default" w:ascii="Times New Roman" w:hAnsi="Times New Roman" w:eastAsia="宋体" w:cs="Times New Roman"/>
                <w:b w:val="0"/>
                <w:bCs/>
                <w:color w:val="0000FF"/>
                <w:sz w:val="21"/>
                <w:szCs w:val="21"/>
                <w:highlight w:val="none"/>
                <w:lang w:val="en-US" w:eastAsia="zh-CN"/>
              </w:rPr>
            </w:pPr>
            <w:r>
              <w:rPr>
                <w:rFonts w:hint="default" w:ascii="Times New Roman" w:hAnsi="Times New Roman" w:cs="Times New Roman"/>
                <w:color w:val="0000FF"/>
                <w:sz w:val="21"/>
                <w:szCs w:val="21"/>
              </w:rPr>
              <w:t>冬季(12,1,2月)</w:t>
            </w:r>
          </w:p>
        </w:tc>
        <w:tc>
          <w:tcPr>
            <w:tcW w:w="763"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19A4EBB">
            <w:pPr>
              <w:keepNext w:val="0"/>
              <w:keepLines w:val="0"/>
              <w:pageBreakBefore w:val="0"/>
              <w:widowControl w:val="0"/>
              <w:kinsoku/>
              <w:wordWrap/>
              <w:overflowPunct/>
              <w:topLinePunct w:val="0"/>
              <w:autoSpaceDE/>
              <w:autoSpaceDN/>
              <w:bidi w:val="0"/>
              <w:adjustRightInd/>
              <w:snapToGrid w:val="0"/>
              <w:spacing w:line="264" w:lineRule="auto"/>
              <w:ind w:firstLine="0" w:firstLineChars="0"/>
              <w:jc w:val="center"/>
              <w:textAlignment w:val="auto"/>
              <w:rPr>
                <w:rFonts w:hint="default" w:ascii="Times New Roman" w:hAnsi="Times New Roman" w:eastAsia="宋体" w:cs="Times New Roman"/>
                <w:b w:val="0"/>
                <w:bCs/>
                <w:color w:val="0000FF"/>
                <w:sz w:val="21"/>
                <w:szCs w:val="21"/>
                <w:highlight w:val="none"/>
                <w:lang w:val="en-US" w:eastAsia="zh-CN"/>
              </w:rPr>
            </w:pPr>
            <w:r>
              <w:rPr>
                <w:rFonts w:hint="default" w:ascii="Times New Roman" w:hAnsi="Times New Roman" w:cs="Times New Roman"/>
                <w:color w:val="0000FF"/>
                <w:sz w:val="21"/>
                <w:szCs w:val="21"/>
              </w:rPr>
              <w:t>0.35</w:t>
            </w:r>
          </w:p>
        </w:tc>
        <w:tc>
          <w:tcPr>
            <w:tcW w:w="763"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9DF7965">
            <w:pPr>
              <w:keepNext w:val="0"/>
              <w:keepLines w:val="0"/>
              <w:pageBreakBefore w:val="0"/>
              <w:widowControl w:val="0"/>
              <w:kinsoku/>
              <w:wordWrap/>
              <w:overflowPunct/>
              <w:topLinePunct w:val="0"/>
              <w:autoSpaceDE/>
              <w:autoSpaceDN/>
              <w:bidi w:val="0"/>
              <w:adjustRightInd/>
              <w:snapToGrid w:val="0"/>
              <w:spacing w:line="264" w:lineRule="auto"/>
              <w:ind w:firstLine="0" w:firstLineChars="0"/>
              <w:jc w:val="center"/>
              <w:textAlignment w:val="auto"/>
              <w:rPr>
                <w:rFonts w:hint="default" w:ascii="Times New Roman" w:hAnsi="Times New Roman" w:eastAsia="宋体" w:cs="Times New Roman"/>
                <w:b w:val="0"/>
                <w:bCs/>
                <w:color w:val="0000FF"/>
                <w:sz w:val="21"/>
                <w:szCs w:val="21"/>
                <w:highlight w:val="none"/>
                <w:lang w:val="en-US" w:eastAsia="zh-CN"/>
              </w:rPr>
            </w:pPr>
            <w:r>
              <w:rPr>
                <w:rFonts w:hint="default" w:ascii="Times New Roman" w:hAnsi="Times New Roman" w:cs="Times New Roman"/>
                <w:color w:val="0000FF"/>
                <w:sz w:val="21"/>
                <w:szCs w:val="21"/>
              </w:rPr>
              <w:t>1.5</w:t>
            </w:r>
          </w:p>
        </w:tc>
        <w:tc>
          <w:tcPr>
            <w:tcW w:w="763" w:type="pct"/>
            <w:tcBorders>
              <w:top w:val="single" w:color="auto" w:sz="4" w:space="0"/>
              <w:left w:val="single" w:color="auto" w:sz="4" w:space="0"/>
              <w:bottom w:val="single" w:color="auto" w:sz="4" w:space="0"/>
              <w:right w:val="nil"/>
            </w:tcBorders>
            <w:shd w:val="clear" w:color="auto" w:fill="auto"/>
            <w:noWrap/>
            <w:vAlign w:val="center"/>
          </w:tcPr>
          <w:p w14:paraId="30A968CB">
            <w:pPr>
              <w:keepNext w:val="0"/>
              <w:keepLines w:val="0"/>
              <w:pageBreakBefore w:val="0"/>
              <w:widowControl w:val="0"/>
              <w:kinsoku/>
              <w:wordWrap/>
              <w:overflowPunct/>
              <w:topLinePunct w:val="0"/>
              <w:autoSpaceDE/>
              <w:autoSpaceDN/>
              <w:bidi w:val="0"/>
              <w:adjustRightInd/>
              <w:snapToGrid w:val="0"/>
              <w:spacing w:line="264" w:lineRule="auto"/>
              <w:ind w:firstLine="0" w:firstLineChars="0"/>
              <w:jc w:val="center"/>
              <w:textAlignment w:val="auto"/>
              <w:rPr>
                <w:rFonts w:hint="default" w:ascii="Times New Roman" w:hAnsi="Times New Roman" w:eastAsia="宋体" w:cs="Times New Roman"/>
                <w:b w:val="0"/>
                <w:bCs/>
                <w:color w:val="0000FF"/>
                <w:sz w:val="21"/>
                <w:szCs w:val="21"/>
                <w:highlight w:val="none"/>
                <w:lang w:val="en-US" w:eastAsia="zh-CN"/>
              </w:rPr>
            </w:pPr>
            <w:r>
              <w:rPr>
                <w:rFonts w:hint="default" w:ascii="Times New Roman" w:hAnsi="Times New Roman" w:cs="Times New Roman"/>
                <w:color w:val="0000FF"/>
                <w:sz w:val="21"/>
                <w:szCs w:val="21"/>
              </w:rPr>
              <w:t>1</w:t>
            </w:r>
          </w:p>
        </w:tc>
      </w:tr>
      <w:tr w14:paraId="7B1D8EB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763" w:type="pct"/>
            <w:tcBorders>
              <w:top w:val="single" w:color="auto" w:sz="4" w:space="0"/>
              <w:left w:val="nil"/>
              <w:bottom w:val="single" w:color="auto" w:sz="4" w:space="0"/>
              <w:right w:val="single" w:color="auto" w:sz="4" w:space="0"/>
            </w:tcBorders>
            <w:shd w:val="clear" w:color="auto" w:fill="auto"/>
            <w:noWrap/>
            <w:vAlign w:val="center"/>
          </w:tcPr>
          <w:p w14:paraId="684E0A59">
            <w:pPr>
              <w:keepNext w:val="0"/>
              <w:keepLines w:val="0"/>
              <w:pageBreakBefore w:val="0"/>
              <w:widowControl w:val="0"/>
              <w:kinsoku/>
              <w:wordWrap/>
              <w:overflowPunct/>
              <w:topLinePunct w:val="0"/>
              <w:autoSpaceDE/>
              <w:autoSpaceDN/>
              <w:bidi w:val="0"/>
              <w:adjustRightInd/>
              <w:snapToGrid w:val="0"/>
              <w:spacing w:line="264" w:lineRule="auto"/>
              <w:ind w:firstLine="0" w:firstLineChars="0"/>
              <w:jc w:val="center"/>
              <w:textAlignment w:val="auto"/>
              <w:rPr>
                <w:rFonts w:hint="default" w:ascii="Times New Roman" w:hAnsi="Times New Roman" w:eastAsia="宋体" w:cs="Times New Roman"/>
                <w:b w:val="0"/>
                <w:bCs/>
                <w:color w:val="0000FF"/>
                <w:sz w:val="21"/>
                <w:szCs w:val="21"/>
                <w:highlight w:val="none"/>
                <w:lang w:val="en-US" w:eastAsia="zh-CN"/>
              </w:rPr>
            </w:pPr>
            <w:r>
              <w:rPr>
                <w:rFonts w:hint="default" w:ascii="Times New Roman" w:hAnsi="Times New Roman" w:cs="Times New Roman"/>
                <w:color w:val="0000FF"/>
                <w:sz w:val="21"/>
                <w:szCs w:val="21"/>
              </w:rPr>
              <w:t>2</w:t>
            </w:r>
          </w:p>
        </w:tc>
        <w:tc>
          <w:tcPr>
            <w:tcW w:w="763"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47A4E34">
            <w:pPr>
              <w:keepNext w:val="0"/>
              <w:keepLines w:val="0"/>
              <w:pageBreakBefore w:val="0"/>
              <w:widowControl w:val="0"/>
              <w:kinsoku/>
              <w:wordWrap/>
              <w:overflowPunct/>
              <w:topLinePunct w:val="0"/>
              <w:autoSpaceDE/>
              <w:autoSpaceDN/>
              <w:bidi w:val="0"/>
              <w:adjustRightInd/>
              <w:snapToGrid w:val="0"/>
              <w:spacing w:line="264" w:lineRule="auto"/>
              <w:ind w:firstLine="0" w:firstLineChars="0"/>
              <w:jc w:val="center"/>
              <w:textAlignment w:val="auto"/>
              <w:rPr>
                <w:rFonts w:hint="default" w:ascii="Times New Roman" w:hAnsi="Times New Roman" w:eastAsia="宋体" w:cs="Times New Roman"/>
                <w:b w:val="0"/>
                <w:bCs/>
                <w:color w:val="0000FF"/>
                <w:sz w:val="21"/>
                <w:szCs w:val="21"/>
                <w:highlight w:val="none"/>
                <w:lang w:val="en-US" w:eastAsia="zh-CN"/>
              </w:rPr>
            </w:pPr>
            <w:r>
              <w:rPr>
                <w:rFonts w:hint="default" w:ascii="Times New Roman" w:hAnsi="Times New Roman" w:cs="Times New Roman"/>
                <w:color w:val="0000FF"/>
                <w:sz w:val="21"/>
                <w:szCs w:val="21"/>
              </w:rPr>
              <w:t>15-45</w:t>
            </w:r>
          </w:p>
        </w:tc>
        <w:tc>
          <w:tcPr>
            <w:tcW w:w="118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7701DF4">
            <w:pPr>
              <w:keepNext w:val="0"/>
              <w:keepLines w:val="0"/>
              <w:pageBreakBefore w:val="0"/>
              <w:widowControl w:val="0"/>
              <w:kinsoku/>
              <w:wordWrap/>
              <w:overflowPunct/>
              <w:topLinePunct w:val="0"/>
              <w:autoSpaceDE/>
              <w:autoSpaceDN/>
              <w:bidi w:val="0"/>
              <w:adjustRightInd/>
              <w:snapToGrid w:val="0"/>
              <w:spacing w:line="264" w:lineRule="auto"/>
              <w:ind w:firstLine="0" w:firstLineChars="0"/>
              <w:jc w:val="center"/>
              <w:textAlignment w:val="auto"/>
              <w:rPr>
                <w:rFonts w:hint="default" w:ascii="Times New Roman" w:hAnsi="Times New Roman" w:eastAsia="宋体" w:cs="Times New Roman"/>
                <w:b w:val="0"/>
                <w:bCs/>
                <w:color w:val="0000FF"/>
                <w:sz w:val="21"/>
                <w:szCs w:val="21"/>
                <w:highlight w:val="none"/>
                <w:lang w:val="en-US" w:eastAsia="zh-CN"/>
              </w:rPr>
            </w:pPr>
            <w:r>
              <w:rPr>
                <w:rFonts w:hint="default" w:ascii="Times New Roman" w:hAnsi="Times New Roman" w:cs="Times New Roman"/>
                <w:color w:val="0000FF"/>
                <w:sz w:val="21"/>
                <w:szCs w:val="21"/>
              </w:rPr>
              <w:t>春季(3,4,5月)</w:t>
            </w:r>
          </w:p>
        </w:tc>
        <w:tc>
          <w:tcPr>
            <w:tcW w:w="763"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A39E812">
            <w:pPr>
              <w:keepNext w:val="0"/>
              <w:keepLines w:val="0"/>
              <w:pageBreakBefore w:val="0"/>
              <w:widowControl w:val="0"/>
              <w:kinsoku/>
              <w:wordWrap/>
              <w:overflowPunct/>
              <w:topLinePunct w:val="0"/>
              <w:autoSpaceDE/>
              <w:autoSpaceDN/>
              <w:bidi w:val="0"/>
              <w:adjustRightInd/>
              <w:snapToGrid w:val="0"/>
              <w:spacing w:line="264" w:lineRule="auto"/>
              <w:ind w:firstLine="0" w:firstLineChars="0"/>
              <w:jc w:val="center"/>
              <w:textAlignment w:val="auto"/>
              <w:rPr>
                <w:rFonts w:hint="default" w:ascii="Times New Roman" w:hAnsi="Times New Roman" w:eastAsia="宋体" w:cs="Times New Roman"/>
                <w:b w:val="0"/>
                <w:bCs/>
                <w:color w:val="0000FF"/>
                <w:sz w:val="21"/>
                <w:szCs w:val="21"/>
                <w:highlight w:val="none"/>
                <w:lang w:val="en-US" w:eastAsia="zh-CN"/>
              </w:rPr>
            </w:pPr>
            <w:r>
              <w:rPr>
                <w:rFonts w:hint="default" w:ascii="Times New Roman" w:hAnsi="Times New Roman" w:cs="Times New Roman"/>
                <w:color w:val="0000FF"/>
                <w:sz w:val="21"/>
                <w:szCs w:val="21"/>
              </w:rPr>
              <w:t>0.14</w:t>
            </w:r>
          </w:p>
        </w:tc>
        <w:tc>
          <w:tcPr>
            <w:tcW w:w="763"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4325C97">
            <w:pPr>
              <w:keepNext w:val="0"/>
              <w:keepLines w:val="0"/>
              <w:pageBreakBefore w:val="0"/>
              <w:widowControl w:val="0"/>
              <w:kinsoku/>
              <w:wordWrap/>
              <w:overflowPunct/>
              <w:topLinePunct w:val="0"/>
              <w:autoSpaceDE/>
              <w:autoSpaceDN/>
              <w:bidi w:val="0"/>
              <w:adjustRightInd/>
              <w:snapToGrid w:val="0"/>
              <w:spacing w:line="264" w:lineRule="auto"/>
              <w:ind w:firstLine="0" w:firstLineChars="0"/>
              <w:jc w:val="center"/>
              <w:textAlignment w:val="auto"/>
              <w:rPr>
                <w:rFonts w:hint="default" w:ascii="Times New Roman" w:hAnsi="Times New Roman" w:eastAsia="宋体" w:cs="Times New Roman"/>
                <w:b w:val="0"/>
                <w:bCs/>
                <w:color w:val="0000FF"/>
                <w:sz w:val="21"/>
                <w:szCs w:val="21"/>
                <w:highlight w:val="none"/>
                <w:lang w:val="en-US" w:eastAsia="zh-CN"/>
              </w:rPr>
            </w:pPr>
            <w:r>
              <w:rPr>
                <w:rFonts w:hint="default" w:ascii="Times New Roman" w:hAnsi="Times New Roman" w:cs="Times New Roman"/>
                <w:color w:val="0000FF"/>
                <w:sz w:val="21"/>
                <w:szCs w:val="21"/>
              </w:rPr>
              <w:t>1</w:t>
            </w:r>
          </w:p>
        </w:tc>
        <w:tc>
          <w:tcPr>
            <w:tcW w:w="763" w:type="pct"/>
            <w:tcBorders>
              <w:top w:val="single" w:color="auto" w:sz="4" w:space="0"/>
              <w:left w:val="single" w:color="auto" w:sz="4" w:space="0"/>
              <w:bottom w:val="single" w:color="auto" w:sz="4" w:space="0"/>
              <w:right w:val="nil"/>
            </w:tcBorders>
            <w:shd w:val="clear" w:color="auto" w:fill="auto"/>
            <w:noWrap/>
            <w:vAlign w:val="center"/>
          </w:tcPr>
          <w:p w14:paraId="1AE8A956">
            <w:pPr>
              <w:keepNext w:val="0"/>
              <w:keepLines w:val="0"/>
              <w:pageBreakBefore w:val="0"/>
              <w:widowControl w:val="0"/>
              <w:kinsoku/>
              <w:wordWrap/>
              <w:overflowPunct/>
              <w:topLinePunct w:val="0"/>
              <w:autoSpaceDE/>
              <w:autoSpaceDN/>
              <w:bidi w:val="0"/>
              <w:adjustRightInd/>
              <w:snapToGrid w:val="0"/>
              <w:spacing w:line="264" w:lineRule="auto"/>
              <w:ind w:firstLine="0" w:firstLineChars="0"/>
              <w:jc w:val="center"/>
              <w:textAlignment w:val="auto"/>
              <w:rPr>
                <w:rFonts w:hint="default" w:ascii="Times New Roman" w:hAnsi="Times New Roman" w:eastAsia="宋体" w:cs="Times New Roman"/>
                <w:b w:val="0"/>
                <w:bCs/>
                <w:color w:val="0000FF"/>
                <w:sz w:val="21"/>
                <w:szCs w:val="21"/>
                <w:highlight w:val="none"/>
                <w:lang w:val="en-US" w:eastAsia="zh-CN"/>
              </w:rPr>
            </w:pPr>
            <w:r>
              <w:rPr>
                <w:rFonts w:hint="default" w:ascii="Times New Roman" w:hAnsi="Times New Roman" w:cs="Times New Roman"/>
                <w:color w:val="0000FF"/>
                <w:sz w:val="21"/>
                <w:szCs w:val="21"/>
              </w:rPr>
              <w:t>1</w:t>
            </w:r>
          </w:p>
        </w:tc>
      </w:tr>
      <w:tr w14:paraId="46B3E86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763" w:type="pct"/>
            <w:tcBorders>
              <w:top w:val="single" w:color="auto" w:sz="4" w:space="0"/>
              <w:left w:val="nil"/>
              <w:bottom w:val="single" w:color="auto" w:sz="4" w:space="0"/>
              <w:right w:val="single" w:color="auto" w:sz="4" w:space="0"/>
            </w:tcBorders>
            <w:shd w:val="clear" w:color="auto" w:fill="auto"/>
            <w:noWrap/>
            <w:vAlign w:val="center"/>
          </w:tcPr>
          <w:p w14:paraId="1D1987BC">
            <w:pPr>
              <w:keepNext w:val="0"/>
              <w:keepLines w:val="0"/>
              <w:pageBreakBefore w:val="0"/>
              <w:widowControl w:val="0"/>
              <w:kinsoku/>
              <w:wordWrap/>
              <w:overflowPunct/>
              <w:topLinePunct w:val="0"/>
              <w:autoSpaceDE/>
              <w:autoSpaceDN/>
              <w:bidi w:val="0"/>
              <w:adjustRightInd/>
              <w:snapToGrid w:val="0"/>
              <w:spacing w:line="264" w:lineRule="auto"/>
              <w:ind w:firstLine="0" w:firstLineChars="0"/>
              <w:jc w:val="center"/>
              <w:textAlignment w:val="auto"/>
              <w:rPr>
                <w:rFonts w:hint="default" w:ascii="Times New Roman" w:hAnsi="Times New Roman" w:eastAsia="宋体" w:cs="Times New Roman"/>
                <w:b w:val="0"/>
                <w:bCs/>
                <w:color w:val="0000FF"/>
                <w:sz w:val="21"/>
                <w:szCs w:val="21"/>
                <w:highlight w:val="none"/>
                <w:lang w:val="en-US" w:eastAsia="zh-CN"/>
              </w:rPr>
            </w:pPr>
            <w:r>
              <w:rPr>
                <w:rFonts w:hint="default" w:ascii="Times New Roman" w:hAnsi="Times New Roman" w:cs="Times New Roman"/>
                <w:color w:val="0000FF"/>
                <w:sz w:val="21"/>
                <w:szCs w:val="21"/>
              </w:rPr>
              <w:t>3</w:t>
            </w:r>
          </w:p>
        </w:tc>
        <w:tc>
          <w:tcPr>
            <w:tcW w:w="763"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0BB871B">
            <w:pPr>
              <w:keepNext w:val="0"/>
              <w:keepLines w:val="0"/>
              <w:pageBreakBefore w:val="0"/>
              <w:widowControl w:val="0"/>
              <w:kinsoku/>
              <w:wordWrap/>
              <w:overflowPunct/>
              <w:topLinePunct w:val="0"/>
              <w:autoSpaceDE/>
              <w:autoSpaceDN/>
              <w:bidi w:val="0"/>
              <w:adjustRightInd/>
              <w:snapToGrid w:val="0"/>
              <w:spacing w:line="264" w:lineRule="auto"/>
              <w:ind w:firstLine="0" w:firstLineChars="0"/>
              <w:jc w:val="center"/>
              <w:textAlignment w:val="auto"/>
              <w:rPr>
                <w:rFonts w:hint="default" w:ascii="Times New Roman" w:hAnsi="Times New Roman" w:eastAsia="宋体" w:cs="Times New Roman"/>
                <w:b w:val="0"/>
                <w:bCs/>
                <w:color w:val="0000FF"/>
                <w:sz w:val="21"/>
                <w:szCs w:val="21"/>
                <w:highlight w:val="none"/>
                <w:lang w:val="en-US" w:eastAsia="zh-CN"/>
              </w:rPr>
            </w:pPr>
            <w:r>
              <w:rPr>
                <w:rFonts w:hint="default" w:ascii="Times New Roman" w:hAnsi="Times New Roman" w:cs="Times New Roman"/>
                <w:color w:val="0000FF"/>
                <w:sz w:val="21"/>
                <w:szCs w:val="21"/>
              </w:rPr>
              <w:t>15-45</w:t>
            </w:r>
          </w:p>
        </w:tc>
        <w:tc>
          <w:tcPr>
            <w:tcW w:w="118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2813626">
            <w:pPr>
              <w:keepNext w:val="0"/>
              <w:keepLines w:val="0"/>
              <w:pageBreakBefore w:val="0"/>
              <w:widowControl w:val="0"/>
              <w:kinsoku/>
              <w:wordWrap/>
              <w:overflowPunct/>
              <w:topLinePunct w:val="0"/>
              <w:autoSpaceDE/>
              <w:autoSpaceDN/>
              <w:bidi w:val="0"/>
              <w:adjustRightInd/>
              <w:snapToGrid w:val="0"/>
              <w:spacing w:line="264" w:lineRule="auto"/>
              <w:ind w:firstLine="0" w:firstLineChars="0"/>
              <w:jc w:val="center"/>
              <w:textAlignment w:val="auto"/>
              <w:rPr>
                <w:rFonts w:hint="default" w:ascii="Times New Roman" w:hAnsi="Times New Roman" w:eastAsia="宋体" w:cs="Times New Roman"/>
                <w:b w:val="0"/>
                <w:bCs/>
                <w:color w:val="0000FF"/>
                <w:sz w:val="21"/>
                <w:szCs w:val="21"/>
                <w:highlight w:val="none"/>
                <w:lang w:val="en-US" w:eastAsia="zh-CN"/>
              </w:rPr>
            </w:pPr>
            <w:r>
              <w:rPr>
                <w:rFonts w:hint="default" w:ascii="Times New Roman" w:hAnsi="Times New Roman" w:cs="Times New Roman"/>
                <w:color w:val="0000FF"/>
                <w:sz w:val="21"/>
                <w:szCs w:val="21"/>
              </w:rPr>
              <w:t>夏季(6,7,8月)</w:t>
            </w:r>
          </w:p>
        </w:tc>
        <w:tc>
          <w:tcPr>
            <w:tcW w:w="763"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398EE09">
            <w:pPr>
              <w:keepNext w:val="0"/>
              <w:keepLines w:val="0"/>
              <w:pageBreakBefore w:val="0"/>
              <w:widowControl w:val="0"/>
              <w:kinsoku/>
              <w:wordWrap/>
              <w:overflowPunct/>
              <w:topLinePunct w:val="0"/>
              <w:autoSpaceDE/>
              <w:autoSpaceDN/>
              <w:bidi w:val="0"/>
              <w:adjustRightInd/>
              <w:snapToGrid w:val="0"/>
              <w:spacing w:line="264" w:lineRule="auto"/>
              <w:ind w:firstLine="0" w:firstLineChars="0"/>
              <w:jc w:val="center"/>
              <w:textAlignment w:val="auto"/>
              <w:rPr>
                <w:rFonts w:hint="default" w:ascii="Times New Roman" w:hAnsi="Times New Roman" w:eastAsia="宋体" w:cs="Times New Roman"/>
                <w:b w:val="0"/>
                <w:bCs/>
                <w:color w:val="0000FF"/>
                <w:sz w:val="21"/>
                <w:szCs w:val="21"/>
                <w:highlight w:val="none"/>
                <w:lang w:val="en-US" w:eastAsia="zh-CN"/>
              </w:rPr>
            </w:pPr>
            <w:r>
              <w:rPr>
                <w:rFonts w:hint="default" w:ascii="Times New Roman" w:hAnsi="Times New Roman" w:cs="Times New Roman"/>
                <w:color w:val="0000FF"/>
                <w:sz w:val="21"/>
                <w:szCs w:val="21"/>
              </w:rPr>
              <w:t>0.16</w:t>
            </w:r>
          </w:p>
        </w:tc>
        <w:tc>
          <w:tcPr>
            <w:tcW w:w="763"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7BB7D54">
            <w:pPr>
              <w:keepNext w:val="0"/>
              <w:keepLines w:val="0"/>
              <w:pageBreakBefore w:val="0"/>
              <w:widowControl w:val="0"/>
              <w:kinsoku/>
              <w:wordWrap/>
              <w:overflowPunct/>
              <w:topLinePunct w:val="0"/>
              <w:autoSpaceDE/>
              <w:autoSpaceDN/>
              <w:bidi w:val="0"/>
              <w:adjustRightInd/>
              <w:snapToGrid w:val="0"/>
              <w:spacing w:line="264" w:lineRule="auto"/>
              <w:ind w:firstLine="0" w:firstLineChars="0"/>
              <w:jc w:val="center"/>
              <w:textAlignment w:val="auto"/>
              <w:rPr>
                <w:rFonts w:hint="default" w:ascii="Times New Roman" w:hAnsi="Times New Roman" w:eastAsia="宋体" w:cs="Times New Roman"/>
                <w:b w:val="0"/>
                <w:bCs/>
                <w:color w:val="0000FF"/>
                <w:sz w:val="21"/>
                <w:szCs w:val="21"/>
                <w:highlight w:val="none"/>
                <w:lang w:val="en-US" w:eastAsia="zh-CN"/>
              </w:rPr>
            </w:pPr>
            <w:r>
              <w:rPr>
                <w:rFonts w:hint="default" w:ascii="Times New Roman" w:hAnsi="Times New Roman" w:cs="Times New Roman"/>
                <w:color w:val="0000FF"/>
                <w:sz w:val="21"/>
                <w:szCs w:val="21"/>
              </w:rPr>
              <w:t>2</w:t>
            </w:r>
          </w:p>
        </w:tc>
        <w:tc>
          <w:tcPr>
            <w:tcW w:w="763" w:type="pct"/>
            <w:tcBorders>
              <w:top w:val="single" w:color="auto" w:sz="4" w:space="0"/>
              <w:left w:val="single" w:color="auto" w:sz="4" w:space="0"/>
              <w:bottom w:val="single" w:color="auto" w:sz="4" w:space="0"/>
              <w:right w:val="nil"/>
            </w:tcBorders>
            <w:shd w:val="clear" w:color="auto" w:fill="auto"/>
            <w:noWrap/>
            <w:vAlign w:val="center"/>
          </w:tcPr>
          <w:p w14:paraId="578C19EE">
            <w:pPr>
              <w:keepNext w:val="0"/>
              <w:keepLines w:val="0"/>
              <w:pageBreakBefore w:val="0"/>
              <w:widowControl w:val="0"/>
              <w:kinsoku/>
              <w:wordWrap/>
              <w:overflowPunct/>
              <w:topLinePunct w:val="0"/>
              <w:autoSpaceDE/>
              <w:autoSpaceDN/>
              <w:bidi w:val="0"/>
              <w:adjustRightInd/>
              <w:snapToGrid w:val="0"/>
              <w:spacing w:line="264" w:lineRule="auto"/>
              <w:ind w:firstLine="0" w:firstLineChars="0"/>
              <w:jc w:val="center"/>
              <w:textAlignment w:val="auto"/>
              <w:rPr>
                <w:rFonts w:hint="default" w:ascii="Times New Roman" w:hAnsi="Times New Roman" w:eastAsia="宋体" w:cs="Times New Roman"/>
                <w:b w:val="0"/>
                <w:bCs/>
                <w:color w:val="0000FF"/>
                <w:sz w:val="21"/>
                <w:szCs w:val="21"/>
                <w:highlight w:val="none"/>
                <w:lang w:val="en-US" w:eastAsia="zh-CN"/>
              </w:rPr>
            </w:pPr>
            <w:r>
              <w:rPr>
                <w:rFonts w:hint="default" w:ascii="Times New Roman" w:hAnsi="Times New Roman" w:cs="Times New Roman"/>
                <w:color w:val="0000FF"/>
                <w:sz w:val="21"/>
                <w:szCs w:val="21"/>
              </w:rPr>
              <w:t>1</w:t>
            </w:r>
          </w:p>
        </w:tc>
      </w:tr>
      <w:tr w14:paraId="6C1FFF5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763" w:type="pct"/>
            <w:tcBorders>
              <w:top w:val="single" w:color="auto" w:sz="4" w:space="0"/>
              <w:left w:val="nil"/>
              <w:bottom w:val="single" w:color="auto" w:sz="4" w:space="0"/>
              <w:right w:val="single" w:color="auto" w:sz="4" w:space="0"/>
            </w:tcBorders>
            <w:shd w:val="clear" w:color="auto" w:fill="auto"/>
            <w:noWrap/>
            <w:vAlign w:val="center"/>
          </w:tcPr>
          <w:p w14:paraId="55716798">
            <w:pPr>
              <w:keepNext w:val="0"/>
              <w:keepLines w:val="0"/>
              <w:pageBreakBefore w:val="0"/>
              <w:widowControl w:val="0"/>
              <w:kinsoku/>
              <w:wordWrap/>
              <w:overflowPunct/>
              <w:topLinePunct w:val="0"/>
              <w:autoSpaceDE/>
              <w:autoSpaceDN/>
              <w:bidi w:val="0"/>
              <w:adjustRightInd/>
              <w:snapToGrid w:val="0"/>
              <w:spacing w:line="264" w:lineRule="auto"/>
              <w:ind w:firstLine="0" w:firstLineChars="0"/>
              <w:jc w:val="center"/>
              <w:textAlignment w:val="auto"/>
              <w:rPr>
                <w:rFonts w:hint="default" w:ascii="Times New Roman" w:hAnsi="Times New Roman" w:eastAsia="宋体" w:cs="Times New Roman"/>
                <w:b w:val="0"/>
                <w:bCs/>
                <w:color w:val="0000FF"/>
                <w:sz w:val="21"/>
                <w:szCs w:val="21"/>
                <w:highlight w:val="none"/>
                <w:lang w:val="en-US" w:eastAsia="zh-CN"/>
              </w:rPr>
            </w:pPr>
            <w:r>
              <w:rPr>
                <w:rFonts w:hint="default" w:ascii="Times New Roman" w:hAnsi="Times New Roman" w:cs="Times New Roman"/>
                <w:color w:val="0000FF"/>
                <w:sz w:val="21"/>
                <w:szCs w:val="21"/>
              </w:rPr>
              <w:t>4</w:t>
            </w:r>
          </w:p>
        </w:tc>
        <w:tc>
          <w:tcPr>
            <w:tcW w:w="763"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42C5819">
            <w:pPr>
              <w:keepNext w:val="0"/>
              <w:keepLines w:val="0"/>
              <w:pageBreakBefore w:val="0"/>
              <w:widowControl w:val="0"/>
              <w:kinsoku/>
              <w:wordWrap/>
              <w:overflowPunct/>
              <w:topLinePunct w:val="0"/>
              <w:autoSpaceDE/>
              <w:autoSpaceDN/>
              <w:bidi w:val="0"/>
              <w:adjustRightInd/>
              <w:snapToGrid w:val="0"/>
              <w:spacing w:line="264" w:lineRule="auto"/>
              <w:ind w:firstLine="0" w:firstLineChars="0"/>
              <w:jc w:val="center"/>
              <w:textAlignment w:val="auto"/>
              <w:rPr>
                <w:rFonts w:hint="default" w:ascii="Times New Roman" w:hAnsi="Times New Roman" w:eastAsia="宋体" w:cs="Times New Roman"/>
                <w:b w:val="0"/>
                <w:bCs/>
                <w:color w:val="0000FF"/>
                <w:sz w:val="21"/>
                <w:szCs w:val="21"/>
                <w:highlight w:val="none"/>
                <w:lang w:val="en-US" w:eastAsia="zh-CN"/>
              </w:rPr>
            </w:pPr>
            <w:r>
              <w:rPr>
                <w:rFonts w:hint="default" w:ascii="Times New Roman" w:hAnsi="Times New Roman" w:cs="Times New Roman"/>
                <w:color w:val="0000FF"/>
                <w:sz w:val="21"/>
                <w:szCs w:val="21"/>
              </w:rPr>
              <w:t>15-45</w:t>
            </w:r>
          </w:p>
        </w:tc>
        <w:tc>
          <w:tcPr>
            <w:tcW w:w="118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6425616">
            <w:pPr>
              <w:keepNext w:val="0"/>
              <w:keepLines w:val="0"/>
              <w:pageBreakBefore w:val="0"/>
              <w:widowControl w:val="0"/>
              <w:kinsoku/>
              <w:wordWrap/>
              <w:overflowPunct/>
              <w:topLinePunct w:val="0"/>
              <w:autoSpaceDE/>
              <w:autoSpaceDN/>
              <w:bidi w:val="0"/>
              <w:adjustRightInd/>
              <w:snapToGrid w:val="0"/>
              <w:spacing w:line="264" w:lineRule="auto"/>
              <w:ind w:firstLine="0" w:firstLineChars="0"/>
              <w:jc w:val="center"/>
              <w:textAlignment w:val="auto"/>
              <w:rPr>
                <w:rFonts w:hint="default" w:ascii="Times New Roman" w:hAnsi="Times New Roman" w:eastAsia="宋体" w:cs="Times New Roman"/>
                <w:b w:val="0"/>
                <w:bCs/>
                <w:color w:val="0000FF"/>
                <w:sz w:val="21"/>
                <w:szCs w:val="21"/>
                <w:highlight w:val="none"/>
                <w:lang w:val="en-US" w:eastAsia="zh-CN"/>
              </w:rPr>
            </w:pPr>
            <w:r>
              <w:rPr>
                <w:rFonts w:hint="default" w:ascii="Times New Roman" w:hAnsi="Times New Roman" w:cs="Times New Roman"/>
                <w:color w:val="0000FF"/>
                <w:sz w:val="21"/>
                <w:szCs w:val="21"/>
              </w:rPr>
              <w:t>秋季(9,10,11月)</w:t>
            </w:r>
          </w:p>
        </w:tc>
        <w:tc>
          <w:tcPr>
            <w:tcW w:w="763"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4A8DD95">
            <w:pPr>
              <w:keepNext w:val="0"/>
              <w:keepLines w:val="0"/>
              <w:pageBreakBefore w:val="0"/>
              <w:widowControl w:val="0"/>
              <w:kinsoku/>
              <w:wordWrap/>
              <w:overflowPunct/>
              <w:topLinePunct w:val="0"/>
              <w:autoSpaceDE/>
              <w:autoSpaceDN/>
              <w:bidi w:val="0"/>
              <w:adjustRightInd/>
              <w:snapToGrid w:val="0"/>
              <w:spacing w:line="264" w:lineRule="auto"/>
              <w:ind w:firstLine="0" w:firstLineChars="0"/>
              <w:jc w:val="center"/>
              <w:textAlignment w:val="auto"/>
              <w:rPr>
                <w:rFonts w:hint="default" w:ascii="Times New Roman" w:hAnsi="Times New Roman" w:eastAsia="宋体" w:cs="Times New Roman"/>
                <w:b w:val="0"/>
                <w:bCs/>
                <w:color w:val="0000FF"/>
                <w:sz w:val="21"/>
                <w:szCs w:val="21"/>
                <w:highlight w:val="none"/>
                <w:lang w:val="en-US" w:eastAsia="zh-CN"/>
              </w:rPr>
            </w:pPr>
            <w:r>
              <w:rPr>
                <w:rFonts w:hint="default" w:ascii="Times New Roman" w:hAnsi="Times New Roman" w:cs="Times New Roman"/>
                <w:color w:val="0000FF"/>
                <w:sz w:val="21"/>
                <w:szCs w:val="21"/>
              </w:rPr>
              <w:t>0.18</w:t>
            </w:r>
          </w:p>
        </w:tc>
        <w:tc>
          <w:tcPr>
            <w:tcW w:w="763"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03B6DC9">
            <w:pPr>
              <w:keepNext w:val="0"/>
              <w:keepLines w:val="0"/>
              <w:pageBreakBefore w:val="0"/>
              <w:widowControl w:val="0"/>
              <w:kinsoku/>
              <w:wordWrap/>
              <w:overflowPunct/>
              <w:topLinePunct w:val="0"/>
              <w:autoSpaceDE/>
              <w:autoSpaceDN/>
              <w:bidi w:val="0"/>
              <w:adjustRightInd/>
              <w:snapToGrid w:val="0"/>
              <w:spacing w:line="264" w:lineRule="auto"/>
              <w:ind w:firstLine="0" w:firstLineChars="0"/>
              <w:jc w:val="center"/>
              <w:textAlignment w:val="auto"/>
              <w:rPr>
                <w:rFonts w:hint="default" w:ascii="Times New Roman" w:hAnsi="Times New Roman" w:eastAsia="宋体" w:cs="Times New Roman"/>
                <w:b w:val="0"/>
                <w:bCs/>
                <w:color w:val="0000FF"/>
                <w:sz w:val="21"/>
                <w:szCs w:val="21"/>
                <w:highlight w:val="none"/>
                <w:lang w:val="en-US" w:eastAsia="zh-CN"/>
              </w:rPr>
            </w:pPr>
            <w:r>
              <w:rPr>
                <w:rFonts w:hint="default" w:ascii="Times New Roman" w:hAnsi="Times New Roman" w:cs="Times New Roman"/>
                <w:color w:val="0000FF"/>
                <w:sz w:val="21"/>
                <w:szCs w:val="21"/>
              </w:rPr>
              <w:t>2</w:t>
            </w:r>
          </w:p>
        </w:tc>
        <w:tc>
          <w:tcPr>
            <w:tcW w:w="763" w:type="pct"/>
            <w:tcBorders>
              <w:top w:val="single" w:color="auto" w:sz="4" w:space="0"/>
              <w:left w:val="single" w:color="auto" w:sz="4" w:space="0"/>
              <w:bottom w:val="single" w:color="auto" w:sz="4" w:space="0"/>
              <w:right w:val="nil"/>
            </w:tcBorders>
            <w:shd w:val="clear" w:color="auto" w:fill="auto"/>
            <w:noWrap/>
            <w:vAlign w:val="center"/>
          </w:tcPr>
          <w:p w14:paraId="4867103F">
            <w:pPr>
              <w:keepNext w:val="0"/>
              <w:keepLines w:val="0"/>
              <w:pageBreakBefore w:val="0"/>
              <w:widowControl w:val="0"/>
              <w:kinsoku/>
              <w:wordWrap/>
              <w:overflowPunct/>
              <w:topLinePunct w:val="0"/>
              <w:autoSpaceDE/>
              <w:autoSpaceDN/>
              <w:bidi w:val="0"/>
              <w:adjustRightInd/>
              <w:snapToGrid w:val="0"/>
              <w:spacing w:line="264" w:lineRule="auto"/>
              <w:ind w:firstLine="0" w:firstLineChars="0"/>
              <w:jc w:val="center"/>
              <w:textAlignment w:val="auto"/>
              <w:rPr>
                <w:rFonts w:hint="default" w:ascii="Times New Roman" w:hAnsi="Times New Roman" w:eastAsia="宋体" w:cs="Times New Roman"/>
                <w:b w:val="0"/>
                <w:bCs/>
                <w:color w:val="0000FF"/>
                <w:sz w:val="21"/>
                <w:szCs w:val="21"/>
                <w:highlight w:val="none"/>
                <w:lang w:val="en-US" w:eastAsia="zh-CN"/>
              </w:rPr>
            </w:pPr>
            <w:r>
              <w:rPr>
                <w:rFonts w:hint="default" w:ascii="Times New Roman" w:hAnsi="Times New Roman" w:cs="Times New Roman"/>
                <w:color w:val="0000FF"/>
                <w:sz w:val="21"/>
                <w:szCs w:val="21"/>
              </w:rPr>
              <w:t>1</w:t>
            </w:r>
          </w:p>
        </w:tc>
      </w:tr>
      <w:tr w14:paraId="02A41B5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763" w:type="pct"/>
            <w:tcBorders>
              <w:top w:val="single" w:color="auto" w:sz="4" w:space="0"/>
              <w:left w:val="nil"/>
              <w:bottom w:val="single" w:color="auto" w:sz="4" w:space="0"/>
              <w:right w:val="single" w:color="auto" w:sz="4" w:space="0"/>
            </w:tcBorders>
            <w:shd w:val="clear" w:color="auto" w:fill="auto"/>
            <w:noWrap/>
            <w:vAlign w:val="center"/>
          </w:tcPr>
          <w:p w14:paraId="2B95CE88">
            <w:pPr>
              <w:keepNext w:val="0"/>
              <w:keepLines w:val="0"/>
              <w:pageBreakBefore w:val="0"/>
              <w:widowControl w:val="0"/>
              <w:kinsoku/>
              <w:wordWrap/>
              <w:overflowPunct/>
              <w:topLinePunct w:val="0"/>
              <w:autoSpaceDE/>
              <w:autoSpaceDN/>
              <w:bidi w:val="0"/>
              <w:adjustRightInd/>
              <w:snapToGrid w:val="0"/>
              <w:spacing w:line="264" w:lineRule="auto"/>
              <w:ind w:firstLine="0" w:firstLineChars="0"/>
              <w:jc w:val="center"/>
              <w:textAlignment w:val="auto"/>
              <w:rPr>
                <w:rFonts w:hint="default" w:ascii="Times New Roman" w:hAnsi="Times New Roman" w:eastAsia="宋体" w:cs="Times New Roman"/>
                <w:b w:val="0"/>
                <w:bCs/>
                <w:color w:val="0000FF"/>
                <w:sz w:val="21"/>
                <w:szCs w:val="21"/>
                <w:highlight w:val="none"/>
                <w:lang w:val="en-US" w:eastAsia="zh-CN"/>
              </w:rPr>
            </w:pPr>
            <w:r>
              <w:rPr>
                <w:rFonts w:hint="default" w:ascii="Times New Roman" w:hAnsi="Times New Roman" w:cs="Times New Roman"/>
                <w:color w:val="0000FF"/>
                <w:sz w:val="21"/>
                <w:szCs w:val="21"/>
              </w:rPr>
              <w:t>5</w:t>
            </w:r>
          </w:p>
        </w:tc>
        <w:tc>
          <w:tcPr>
            <w:tcW w:w="763"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81533DC">
            <w:pPr>
              <w:keepNext w:val="0"/>
              <w:keepLines w:val="0"/>
              <w:pageBreakBefore w:val="0"/>
              <w:widowControl w:val="0"/>
              <w:kinsoku/>
              <w:wordWrap/>
              <w:overflowPunct/>
              <w:topLinePunct w:val="0"/>
              <w:autoSpaceDE/>
              <w:autoSpaceDN/>
              <w:bidi w:val="0"/>
              <w:adjustRightInd/>
              <w:snapToGrid w:val="0"/>
              <w:spacing w:line="264" w:lineRule="auto"/>
              <w:ind w:firstLine="0" w:firstLineChars="0"/>
              <w:jc w:val="center"/>
              <w:textAlignment w:val="auto"/>
              <w:rPr>
                <w:rFonts w:hint="default" w:ascii="Times New Roman" w:hAnsi="Times New Roman" w:eastAsia="宋体" w:cs="Times New Roman"/>
                <w:b w:val="0"/>
                <w:bCs/>
                <w:color w:val="0000FF"/>
                <w:sz w:val="21"/>
                <w:szCs w:val="21"/>
                <w:highlight w:val="none"/>
                <w:lang w:val="en-US" w:eastAsia="zh-CN"/>
              </w:rPr>
            </w:pPr>
            <w:r>
              <w:rPr>
                <w:rFonts w:hint="default" w:ascii="Times New Roman" w:hAnsi="Times New Roman" w:cs="Times New Roman"/>
                <w:color w:val="0000FF"/>
                <w:sz w:val="21"/>
                <w:szCs w:val="21"/>
              </w:rPr>
              <w:t>45-240</w:t>
            </w:r>
          </w:p>
        </w:tc>
        <w:tc>
          <w:tcPr>
            <w:tcW w:w="118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4B0B393">
            <w:pPr>
              <w:keepNext w:val="0"/>
              <w:keepLines w:val="0"/>
              <w:pageBreakBefore w:val="0"/>
              <w:widowControl w:val="0"/>
              <w:kinsoku/>
              <w:wordWrap/>
              <w:overflowPunct/>
              <w:topLinePunct w:val="0"/>
              <w:autoSpaceDE/>
              <w:autoSpaceDN/>
              <w:bidi w:val="0"/>
              <w:adjustRightInd/>
              <w:snapToGrid w:val="0"/>
              <w:spacing w:line="264" w:lineRule="auto"/>
              <w:ind w:firstLine="0" w:firstLineChars="0"/>
              <w:jc w:val="center"/>
              <w:textAlignment w:val="auto"/>
              <w:rPr>
                <w:rFonts w:hint="default" w:ascii="Times New Roman" w:hAnsi="Times New Roman" w:eastAsia="宋体" w:cs="Times New Roman"/>
                <w:b w:val="0"/>
                <w:bCs/>
                <w:color w:val="0000FF"/>
                <w:sz w:val="21"/>
                <w:szCs w:val="21"/>
                <w:highlight w:val="none"/>
                <w:lang w:val="en-US" w:eastAsia="zh-CN"/>
              </w:rPr>
            </w:pPr>
            <w:r>
              <w:rPr>
                <w:rFonts w:hint="default" w:ascii="Times New Roman" w:hAnsi="Times New Roman" w:cs="Times New Roman"/>
                <w:color w:val="0000FF"/>
                <w:sz w:val="21"/>
                <w:szCs w:val="21"/>
              </w:rPr>
              <w:t>冬季(12,1,2月)</w:t>
            </w:r>
          </w:p>
        </w:tc>
        <w:tc>
          <w:tcPr>
            <w:tcW w:w="763"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FFD5201">
            <w:pPr>
              <w:keepNext w:val="0"/>
              <w:keepLines w:val="0"/>
              <w:pageBreakBefore w:val="0"/>
              <w:widowControl w:val="0"/>
              <w:kinsoku/>
              <w:wordWrap/>
              <w:overflowPunct/>
              <w:topLinePunct w:val="0"/>
              <w:autoSpaceDE/>
              <w:autoSpaceDN/>
              <w:bidi w:val="0"/>
              <w:adjustRightInd/>
              <w:snapToGrid w:val="0"/>
              <w:spacing w:line="264" w:lineRule="auto"/>
              <w:ind w:firstLine="0" w:firstLineChars="0"/>
              <w:jc w:val="center"/>
              <w:textAlignment w:val="auto"/>
              <w:rPr>
                <w:rFonts w:hint="default" w:ascii="Times New Roman" w:hAnsi="Times New Roman" w:eastAsia="宋体" w:cs="Times New Roman"/>
                <w:b w:val="0"/>
                <w:bCs/>
                <w:color w:val="0000FF"/>
                <w:sz w:val="21"/>
                <w:szCs w:val="21"/>
                <w:highlight w:val="none"/>
                <w:lang w:val="en-US" w:eastAsia="zh-CN"/>
              </w:rPr>
            </w:pPr>
            <w:r>
              <w:rPr>
                <w:rFonts w:hint="default" w:ascii="Times New Roman" w:hAnsi="Times New Roman" w:cs="Times New Roman"/>
                <w:color w:val="0000FF"/>
                <w:sz w:val="21"/>
                <w:szCs w:val="21"/>
              </w:rPr>
              <w:t>0.5</w:t>
            </w:r>
          </w:p>
        </w:tc>
        <w:tc>
          <w:tcPr>
            <w:tcW w:w="763"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399A835">
            <w:pPr>
              <w:keepNext w:val="0"/>
              <w:keepLines w:val="0"/>
              <w:pageBreakBefore w:val="0"/>
              <w:widowControl w:val="0"/>
              <w:kinsoku/>
              <w:wordWrap/>
              <w:overflowPunct/>
              <w:topLinePunct w:val="0"/>
              <w:autoSpaceDE/>
              <w:autoSpaceDN/>
              <w:bidi w:val="0"/>
              <w:adjustRightInd/>
              <w:snapToGrid w:val="0"/>
              <w:spacing w:line="264" w:lineRule="auto"/>
              <w:ind w:firstLine="0" w:firstLineChars="0"/>
              <w:jc w:val="center"/>
              <w:textAlignment w:val="auto"/>
              <w:rPr>
                <w:rFonts w:hint="default" w:ascii="Times New Roman" w:hAnsi="Times New Roman" w:eastAsia="宋体" w:cs="Times New Roman"/>
                <w:b w:val="0"/>
                <w:bCs/>
                <w:color w:val="0000FF"/>
                <w:sz w:val="21"/>
                <w:szCs w:val="21"/>
                <w:highlight w:val="none"/>
                <w:lang w:val="en-US" w:eastAsia="zh-CN"/>
              </w:rPr>
            </w:pPr>
            <w:r>
              <w:rPr>
                <w:rFonts w:hint="default" w:ascii="Times New Roman" w:hAnsi="Times New Roman" w:cs="Times New Roman"/>
                <w:color w:val="0000FF"/>
                <w:sz w:val="21"/>
                <w:szCs w:val="21"/>
              </w:rPr>
              <w:t>1.5</w:t>
            </w:r>
          </w:p>
        </w:tc>
        <w:tc>
          <w:tcPr>
            <w:tcW w:w="763" w:type="pct"/>
            <w:tcBorders>
              <w:top w:val="single" w:color="auto" w:sz="4" w:space="0"/>
              <w:left w:val="single" w:color="auto" w:sz="4" w:space="0"/>
              <w:bottom w:val="single" w:color="auto" w:sz="4" w:space="0"/>
              <w:right w:val="nil"/>
            </w:tcBorders>
            <w:shd w:val="clear" w:color="auto" w:fill="auto"/>
            <w:noWrap/>
            <w:vAlign w:val="center"/>
          </w:tcPr>
          <w:p w14:paraId="583F9E2A">
            <w:pPr>
              <w:keepNext w:val="0"/>
              <w:keepLines w:val="0"/>
              <w:pageBreakBefore w:val="0"/>
              <w:widowControl w:val="0"/>
              <w:kinsoku/>
              <w:wordWrap/>
              <w:overflowPunct/>
              <w:topLinePunct w:val="0"/>
              <w:autoSpaceDE/>
              <w:autoSpaceDN/>
              <w:bidi w:val="0"/>
              <w:adjustRightInd/>
              <w:snapToGrid w:val="0"/>
              <w:spacing w:line="264" w:lineRule="auto"/>
              <w:ind w:firstLine="0" w:firstLineChars="0"/>
              <w:jc w:val="center"/>
              <w:textAlignment w:val="auto"/>
              <w:rPr>
                <w:rFonts w:hint="default" w:ascii="Times New Roman" w:hAnsi="Times New Roman" w:eastAsia="宋体" w:cs="Times New Roman"/>
                <w:b w:val="0"/>
                <w:bCs/>
                <w:color w:val="0000FF"/>
                <w:sz w:val="21"/>
                <w:szCs w:val="21"/>
                <w:highlight w:val="none"/>
                <w:lang w:val="en-US" w:eastAsia="zh-CN"/>
              </w:rPr>
            </w:pPr>
            <w:r>
              <w:rPr>
                <w:rFonts w:hint="default" w:ascii="Times New Roman" w:hAnsi="Times New Roman" w:cs="Times New Roman"/>
                <w:color w:val="0000FF"/>
                <w:sz w:val="21"/>
                <w:szCs w:val="21"/>
              </w:rPr>
              <w:t>0.5</w:t>
            </w:r>
          </w:p>
        </w:tc>
      </w:tr>
      <w:tr w14:paraId="57C84FE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763" w:type="pct"/>
            <w:tcBorders>
              <w:top w:val="single" w:color="auto" w:sz="4" w:space="0"/>
              <w:left w:val="nil"/>
              <w:bottom w:val="single" w:color="auto" w:sz="4" w:space="0"/>
              <w:right w:val="single" w:color="auto" w:sz="4" w:space="0"/>
            </w:tcBorders>
            <w:shd w:val="clear" w:color="auto" w:fill="auto"/>
            <w:noWrap/>
            <w:vAlign w:val="center"/>
          </w:tcPr>
          <w:p w14:paraId="433D1650">
            <w:pPr>
              <w:keepNext w:val="0"/>
              <w:keepLines w:val="0"/>
              <w:pageBreakBefore w:val="0"/>
              <w:widowControl w:val="0"/>
              <w:kinsoku/>
              <w:wordWrap/>
              <w:overflowPunct/>
              <w:topLinePunct w:val="0"/>
              <w:autoSpaceDE/>
              <w:autoSpaceDN/>
              <w:bidi w:val="0"/>
              <w:adjustRightInd/>
              <w:snapToGrid w:val="0"/>
              <w:spacing w:line="264" w:lineRule="auto"/>
              <w:ind w:firstLine="0" w:firstLineChars="0"/>
              <w:jc w:val="center"/>
              <w:textAlignment w:val="auto"/>
              <w:rPr>
                <w:rFonts w:hint="default" w:ascii="Times New Roman" w:hAnsi="Times New Roman" w:eastAsia="宋体" w:cs="Times New Roman"/>
                <w:b w:val="0"/>
                <w:bCs/>
                <w:color w:val="0000FF"/>
                <w:sz w:val="21"/>
                <w:szCs w:val="21"/>
                <w:highlight w:val="none"/>
                <w:lang w:val="en-US" w:eastAsia="zh-CN"/>
              </w:rPr>
            </w:pPr>
            <w:r>
              <w:rPr>
                <w:rFonts w:hint="default" w:ascii="Times New Roman" w:hAnsi="Times New Roman" w:cs="Times New Roman"/>
                <w:color w:val="0000FF"/>
                <w:sz w:val="21"/>
                <w:szCs w:val="21"/>
              </w:rPr>
              <w:t>6</w:t>
            </w:r>
          </w:p>
        </w:tc>
        <w:tc>
          <w:tcPr>
            <w:tcW w:w="763"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A321EDF">
            <w:pPr>
              <w:keepNext w:val="0"/>
              <w:keepLines w:val="0"/>
              <w:pageBreakBefore w:val="0"/>
              <w:widowControl w:val="0"/>
              <w:kinsoku/>
              <w:wordWrap/>
              <w:overflowPunct/>
              <w:topLinePunct w:val="0"/>
              <w:autoSpaceDE/>
              <w:autoSpaceDN/>
              <w:bidi w:val="0"/>
              <w:adjustRightInd/>
              <w:snapToGrid w:val="0"/>
              <w:spacing w:line="264" w:lineRule="auto"/>
              <w:ind w:firstLine="0" w:firstLineChars="0"/>
              <w:jc w:val="center"/>
              <w:textAlignment w:val="auto"/>
              <w:rPr>
                <w:rFonts w:hint="default" w:ascii="Times New Roman" w:hAnsi="Times New Roman" w:eastAsia="宋体" w:cs="Times New Roman"/>
                <w:b w:val="0"/>
                <w:bCs/>
                <w:color w:val="0000FF"/>
                <w:sz w:val="21"/>
                <w:szCs w:val="21"/>
                <w:highlight w:val="none"/>
                <w:lang w:val="en-US" w:eastAsia="zh-CN"/>
              </w:rPr>
            </w:pPr>
            <w:r>
              <w:rPr>
                <w:rFonts w:hint="default" w:ascii="Times New Roman" w:hAnsi="Times New Roman" w:cs="Times New Roman"/>
                <w:color w:val="0000FF"/>
                <w:sz w:val="21"/>
                <w:szCs w:val="21"/>
              </w:rPr>
              <w:t>45-240</w:t>
            </w:r>
          </w:p>
        </w:tc>
        <w:tc>
          <w:tcPr>
            <w:tcW w:w="118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3C6E96B">
            <w:pPr>
              <w:keepNext w:val="0"/>
              <w:keepLines w:val="0"/>
              <w:pageBreakBefore w:val="0"/>
              <w:widowControl w:val="0"/>
              <w:kinsoku/>
              <w:wordWrap/>
              <w:overflowPunct/>
              <w:topLinePunct w:val="0"/>
              <w:autoSpaceDE/>
              <w:autoSpaceDN/>
              <w:bidi w:val="0"/>
              <w:adjustRightInd/>
              <w:snapToGrid w:val="0"/>
              <w:spacing w:line="264" w:lineRule="auto"/>
              <w:ind w:firstLine="0" w:firstLineChars="0"/>
              <w:jc w:val="center"/>
              <w:textAlignment w:val="auto"/>
              <w:rPr>
                <w:rFonts w:hint="default" w:ascii="Times New Roman" w:hAnsi="Times New Roman" w:eastAsia="宋体" w:cs="Times New Roman"/>
                <w:b w:val="0"/>
                <w:bCs/>
                <w:color w:val="0000FF"/>
                <w:sz w:val="21"/>
                <w:szCs w:val="21"/>
                <w:highlight w:val="none"/>
                <w:lang w:val="en-US" w:eastAsia="zh-CN"/>
              </w:rPr>
            </w:pPr>
            <w:r>
              <w:rPr>
                <w:rFonts w:hint="default" w:ascii="Times New Roman" w:hAnsi="Times New Roman" w:cs="Times New Roman"/>
                <w:color w:val="0000FF"/>
                <w:sz w:val="21"/>
                <w:szCs w:val="21"/>
              </w:rPr>
              <w:t>春季(3,4,5月)</w:t>
            </w:r>
          </w:p>
        </w:tc>
        <w:tc>
          <w:tcPr>
            <w:tcW w:w="763"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C989EC6">
            <w:pPr>
              <w:keepNext w:val="0"/>
              <w:keepLines w:val="0"/>
              <w:pageBreakBefore w:val="0"/>
              <w:widowControl w:val="0"/>
              <w:kinsoku/>
              <w:wordWrap/>
              <w:overflowPunct/>
              <w:topLinePunct w:val="0"/>
              <w:autoSpaceDE/>
              <w:autoSpaceDN/>
              <w:bidi w:val="0"/>
              <w:adjustRightInd/>
              <w:snapToGrid w:val="0"/>
              <w:spacing w:line="264" w:lineRule="auto"/>
              <w:ind w:firstLine="0" w:firstLineChars="0"/>
              <w:jc w:val="center"/>
              <w:textAlignment w:val="auto"/>
              <w:rPr>
                <w:rFonts w:hint="default" w:ascii="Times New Roman" w:hAnsi="Times New Roman" w:eastAsia="宋体" w:cs="Times New Roman"/>
                <w:b w:val="0"/>
                <w:bCs/>
                <w:color w:val="0000FF"/>
                <w:sz w:val="21"/>
                <w:szCs w:val="21"/>
                <w:highlight w:val="none"/>
                <w:lang w:val="en-US" w:eastAsia="zh-CN"/>
              </w:rPr>
            </w:pPr>
            <w:r>
              <w:rPr>
                <w:rFonts w:hint="default" w:ascii="Times New Roman" w:hAnsi="Times New Roman" w:cs="Times New Roman"/>
                <w:color w:val="0000FF"/>
                <w:sz w:val="21"/>
                <w:szCs w:val="21"/>
              </w:rPr>
              <w:t>0.12</w:t>
            </w:r>
          </w:p>
        </w:tc>
        <w:tc>
          <w:tcPr>
            <w:tcW w:w="763"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7DF2672">
            <w:pPr>
              <w:keepNext w:val="0"/>
              <w:keepLines w:val="0"/>
              <w:pageBreakBefore w:val="0"/>
              <w:widowControl w:val="0"/>
              <w:kinsoku/>
              <w:wordWrap/>
              <w:overflowPunct/>
              <w:topLinePunct w:val="0"/>
              <w:autoSpaceDE/>
              <w:autoSpaceDN/>
              <w:bidi w:val="0"/>
              <w:adjustRightInd/>
              <w:snapToGrid w:val="0"/>
              <w:spacing w:line="264" w:lineRule="auto"/>
              <w:ind w:firstLine="0" w:firstLineChars="0"/>
              <w:jc w:val="center"/>
              <w:textAlignment w:val="auto"/>
              <w:rPr>
                <w:rFonts w:hint="default" w:ascii="Times New Roman" w:hAnsi="Times New Roman" w:eastAsia="宋体" w:cs="Times New Roman"/>
                <w:b w:val="0"/>
                <w:bCs/>
                <w:color w:val="0000FF"/>
                <w:sz w:val="21"/>
                <w:szCs w:val="21"/>
                <w:highlight w:val="none"/>
                <w:lang w:val="en-US" w:eastAsia="zh-CN"/>
              </w:rPr>
            </w:pPr>
            <w:r>
              <w:rPr>
                <w:rFonts w:hint="default" w:ascii="Times New Roman" w:hAnsi="Times New Roman" w:cs="Times New Roman"/>
                <w:color w:val="0000FF"/>
                <w:sz w:val="21"/>
                <w:szCs w:val="21"/>
              </w:rPr>
              <w:t>0.7</w:t>
            </w:r>
          </w:p>
        </w:tc>
        <w:tc>
          <w:tcPr>
            <w:tcW w:w="763" w:type="pct"/>
            <w:tcBorders>
              <w:top w:val="single" w:color="auto" w:sz="4" w:space="0"/>
              <w:left w:val="single" w:color="auto" w:sz="4" w:space="0"/>
              <w:bottom w:val="single" w:color="auto" w:sz="4" w:space="0"/>
              <w:right w:val="nil"/>
            </w:tcBorders>
            <w:shd w:val="clear" w:color="auto" w:fill="auto"/>
            <w:noWrap/>
            <w:vAlign w:val="center"/>
          </w:tcPr>
          <w:p w14:paraId="7359936B">
            <w:pPr>
              <w:keepNext w:val="0"/>
              <w:keepLines w:val="0"/>
              <w:pageBreakBefore w:val="0"/>
              <w:widowControl w:val="0"/>
              <w:kinsoku/>
              <w:wordWrap/>
              <w:overflowPunct/>
              <w:topLinePunct w:val="0"/>
              <w:autoSpaceDE/>
              <w:autoSpaceDN/>
              <w:bidi w:val="0"/>
              <w:adjustRightInd/>
              <w:snapToGrid w:val="0"/>
              <w:spacing w:line="264" w:lineRule="auto"/>
              <w:ind w:firstLine="0" w:firstLineChars="0"/>
              <w:jc w:val="center"/>
              <w:textAlignment w:val="auto"/>
              <w:rPr>
                <w:rFonts w:hint="default" w:ascii="Times New Roman" w:hAnsi="Times New Roman" w:eastAsia="宋体" w:cs="Times New Roman"/>
                <w:b w:val="0"/>
                <w:bCs/>
                <w:color w:val="0000FF"/>
                <w:sz w:val="21"/>
                <w:szCs w:val="21"/>
                <w:highlight w:val="none"/>
                <w:lang w:val="en-US" w:eastAsia="zh-CN"/>
              </w:rPr>
            </w:pPr>
            <w:r>
              <w:rPr>
                <w:rFonts w:hint="default" w:ascii="Times New Roman" w:hAnsi="Times New Roman" w:cs="Times New Roman"/>
                <w:color w:val="0000FF"/>
                <w:sz w:val="21"/>
                <w:szCs w:val="21"/>
              </w:rPr>
              <w:t>1</w:t>
            </w:r>
          </w:p>
        </w:tc>
      </w:tr>
      <w:tr w14:paraId="625152A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763" w:type="pct"/>
            <w:tcBorders>
              <w:top w:val="single" w:color="auto" w:sz="4" w:space="0"/>
              <w:left w:val="nil"/>
              <w:bottom w:val="single" w:color="auto" w:sz="4" w:space="0"/>
              <w:right w:val="single" w:color="auto" w:sz="4" w:space="0"/>
            </w:tcBorders>
            <w:shd w:val="clear" w:color="auto" w:fill="auto"/>
            <w:noWrap/>
            <w:vAlign w:val="center"/>
          </w:tcPr>
          <w:p w14:paraId="4AE9B92A">
            <w:pPr>
              <w:keepNext w:val="0"/>
              <w:keepLines w:val="0"/>
              <w:pageBreakBefore w:val="0"/>
              <w:widowControl w:val="0"/>
              <w:kinsoku/>
              <w:wordWrap/>
              <w:overflowPunct/>
              <w:topLinePunct w:val="0"/>
              <w:autoSpaceDE/>
              <w:autoSpaceDN/>
              <w:bidi w:val="0"/>
              <w:adjustRightInd/>
              <w:snapToGrid w:val="0"/>
              <w:spacing w:line="264" w:lineRule="auto"/>
              <w:ind w:firstLine="0" w:firstLineChars="0"/>
              <w:jc w:val="center"/>
              <w:textAlignment w:val="auto"/>
              <w:rPr>
                <w:rFonts w:hint="default" w:ascii="Times New Roman" w:hAnsi="Times New Roman" w:eastAsia="宋体" w:cs="Times New Roman"/>
                <w:b w:val="0"/>
                <w:bCs/>
                <w:color w:val="0000FF"/>
                <w:sz w:val="21"/>
                <w:szCs w:val="21"/>
                <w:highlight w:val="none"/>
                <w:lang w:val="en-US" w:eastAsia="zh-CN"/>
              </w:rPr>
            </w:pPr>
            <w:r>
              <w:rPr>
                <w:rFonts w:hint="default" w:ascii="Times New Roman" w:hAnsi="Times New Roman" w:cs="Times New Roman"/>
                <w:color w:val="0000FF"/>
                <w:sz w:val="21"/>
                <w:szCs w:val="21"/>
              </w:rPr>
              <w:t>7</w:t>
            </w:r>
          </w:p>
        </w:tc>
        <w:tc>
          <w:tcPr>
            <w:tcW w:w="763"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8904C4F">
            <w:pPr>
              <w:keepNext w:val="0"/>
              <w:keepLines w:val="0"/>
              <w:pageBreakBefore w:val="0"/>
              <w:widowControl w:val="0"/>
              <w:kinsoku/>
              <w:wordWrap/>
              <w:overflowPunct/>
              <w:topLinePunct w:val="0"/>
              <w:autoSpaceDE/>
              <w:autoSpaceDN/>
              <w:bidi w:val="0"/>
              <w:adjustRightInd/>
              <w:snapToGrid w:val="0"/>
              <w:spacing w:line="264" w:lineRule="auto"/>
              <w:ind w:firstLine="0" w:firstLineChars="0"/>
              <w:jc w:val="center"/>
              <w:textAlignment w:val="auto"/>
              <w:rPr>
                <w:rFonts w:hint="default" w:ascii="Times New Roman" w:hAnsi="Times New Roman" w:eastAsia="宋体" w:cs="Times New Roman"/>
                <w:b w:val="0"/>
                <w:bCs/>
                <w:color w:val="0000FF"/>
                <w:sz w:val="21"/>
                <w:szCs w:val="21"/>
                <w:highlight w:val="none"/>
                <w:lang w:val="en-US" w:eastAsia="zh-CN"/>
              </w:rPr>
            </w:pPr>
            <w:r>
              <w:rPr>
                <w:rFonts w:hint="default" w:ascii="Times New Roman" w:hAnsi="Times New Roman" w:cs="Times New Roman"/>
                <w:color w:val="0000FF"/>
                <w:sz w:val="21"/>
                <w:szCs w:val="21"/>
              </w:rPr>
              <w:t>45-240</w:t>
            </w:r>
          </w:p>
        </w:tc>
        <w:tc>
          <w:tcPr>
            <w:tcW w:w="118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9A4EED3">
            <w:pPr>
              <w:keepNext w:val="0"/>
              <w:keepLines w:val="0"/>
              <w:pageBreakBefore w:val="0"/>
              <w:widowControl w:val="0"/>
              <w:kinsoku/>
              <w:wordWrap/>
              <w:overflowPunct/>
              <w:topLinePunct w:val="0"/>
              <w:autoSpaceDE/>
              <w:autoSpaceDN/>
              <w:bidi w:val="0"/>
              <w:adjustRightInd/>
              <w:snapToGrid w:val="0"/>
              <w:spacing w:line="264" w:lineRule="auto"/>
              <w:ind w:firstLine="0" w:firstLineChars="0"/>
              <w:jc w:val="center"/>
              <w:textAlignment w:val="auto"/>
              <w:rPr>
                <w:rFonts w:hint="default" w:ascii="Times New Roman" w:hAnsi="Times New Roman" w:eastAsia="宋体" w:cs="Times New Roman"/>
                <w:b w:val="0"/>
                <w:bCs/>
                <w:color w:val="0000FF"/>
                <w:sz w:val="21"/>
                <w:szCs w:val="21"/>
                <w:highlight w:val="none"/>
                <w:lang w:val="en-US" w:eastAsia="zh-CN"/>
              </w:rPr>
            </w:pPr>
            <w:r>
              <w:rPr>
                <w:rFonts w:hint="default" w:ascii="Times New Roman" w:hAnsi="Times New Roman" w:cs="Times New Roman"/>
                <w:color w:val="0000FF"/>
                <w:sz w:val="21"/>
                <w:szCs w:val="21"/>
              </w:rPr>
              <w:t>夏季(6,7,8月)</w:t>
            </w:r>
          </w:p>
        </w:tc>
        <w:tc>
          <w:tcPr>
            <w:tcW w:w="763"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C4CD424">
            <w:pPr>
              <w:keepNext w:val="0"/>
              <w:keepLines w:val="0"/>
              <w:pageBreakBefore w:val="0"/>
              <w:widowControl w:val="0"/>
              <w:kinsoku/>
              <w:wordWrap/>
              <w:overflowPunct/>
              <w:topLinePunct w:val="0"/>
              <w:autoSpaceDE/>
              <w:autoSpaceDN/>
              <w:bidi w:val="0"/>
              <w:adjustRightInd/>
              <w:snapToGrid w:val="0"/>
              <w:spacing w:line="264" w:lineRule="auto"/>
              <w:ind w:firstLine="0" w:firstLineChars="0"/>
              <w:jc w:val="center"/>
              <w:textAlignment w:val="auto"/>
              <w:rPr>
                <w:rFonts w:hint="default" w:ascii="Times New Roman" w:hAnsi="Times New Roman" w:eastAsia="宋体" w:cs="Times New Roman"/>
                <w:b w:val="0"/>
                <w:bCs/>
                <w:color w:val="0000FF"/>
                <w:sz w:val="21"/>
                <w:szCs w:val="21"/>
                <w:highlight w:val="none"/>
                <w:lang w:val="en-US" w:eastAsia="zh-CN"/>
              </w:rPr>
            </w:pPr>
            <w:r>
              <w:rPr>
                <w:rFonts w:hint="default" w:ascii="Times New Roman" w:hAnsi="Times New Roman" w:cs="Times New Roman"/>
                <w:color w:val="0000FF"/>
                <w:sz w:val="21"/>
                <w:szCs w:val="21"/>
              </w:rPr>
              <w:t>0.12</w:t>
            </w:r>
          </w:p>
        </w:tc>
        <w:tc>
          <w:tcPr>
            <w:tcW w:w="763"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7C41F29">
            <w:pPr>
              <w:keepNext w:val="0"/>
              <w:keepLines w:val="0"/>
              <w:pageBreakBefore w:val="0"/>
              <w:widowControl w:val="0"/>
              <w:kinsoku/>
              <w:wordWrap/>
              <w:overflowPunct/>
              <w:topLinePunct w:val="0"/>
              <w:autoSpaceDE/>
              <w:autoSpaceDN/>
              <w:bidi w:val="0"/>
              <w:adjustRightInd/>
              <w:snapToGrid w:val="0"/>
              <w:spacing w:line="264" w:lineRule="auto"/>
              <w:ind w:firstLine="0" w:firstLineChars="0"/>
              <w:jc w:val="center"/>
              <w:textAlignment w:val="auto"/>
              <w:rPr>
                <w:rFonts w:hint="default" w:ascii="Times New Roman" w:hAnsi="Times New Roman" w:eastAsia="宋体" w:cs="Times New Roman"/>
                <w:b w:val="0"/>
                <w:bCs/>
                <w:color w:val="0000FF"/>
                <w:sz w:val="21"/>
                <w:szCs w:val="21"/>
                <w:highlight w:val="none"/>
                <w:lang w:val="en-US" w:eastAsia="zh-CN"/>
              </w:rPr>
            </w:pPr>
            <w:r>
              <w:rPr>
                <w:rFonts w:hint="default" w:ascii="Times New Roman" w:hAnsi="Times New Roman" w:cs="Times New Roman"/>
                <w:color w:val="0000FF"/>
                <w:sz w:val="21"/>
                <w:szCs w:val="21"/>
              </w:rPr>
              <w:t>0.3</w:t>
            </w:r>
          </w:p>
        </w:tc>
        <w:tc>
          <w:tcPr>
            <w:tcW w:w="763" w:type="pct"/>
            <w:tcBorders>
              <w:top w:val="single" w:color="auto" w:sz="4" w:space="0"/>
              <w:left w:val="single" w:color="auto" w:sz="4" w:space="0"/>
              <w:bottom w:val="single" w:color="auto" w:sz="4" w:space="0"/>
              <w:right w:val="nil"/>
            </w:tcBorders>
            <w:shd w:val="clear" w:color="auto" w:fill="auto"/>
            <w:noWrap/>
            <w:vAlign w:val="center"/>
          </w:tcPr>
          <w:p w14:paraId="1A40C151">
            <w:pPr>
              <w:keepNext w:val="0"/>
              <w:keepLines w:val="0"/>
              <w:pageBreakBefore w:val="0"/>
              <w:widowControl w:val="0"/>
              <w:kinsoku/>
              <w:wordWrap/>
              <w:overflowPunct/>
              <w:topLinePunct w:val="0"/>
              <w:autoSpaceDE/>
              <w:autoSpaceDN/>
              <w:bidi w:val="0"/>
              <w:adjustRightInd/>
              <w:snapToGrid w:val="0"/>
              <w:spacing w:line="264" w:lineRule="auto"/>
              <w:ind w:firstLine="0" w:firstLineChars="0"/>
              <w:jc w:val="center"/>
              <w:textAlignment w:val="auto"/>
              <w:rPr>
                <w:rFonts w:hint="default" w:ascii="Times New Roman" w:hAnsi="Times New Roman" w:eastAsia="宋体" w:cs="Times New Roman"/>
                <w:b w:val="0"/>
                <w:bCs/>
                <w:color w:val="0000FF"/>
                <w:sz w:val="21"/>
                <w:szCs w:val="21"/>
                <w:highlight w:val="none"/>
                <w:lang w:val="en-US" w:eastAsia="zh-CN"/>
              </w:rPr>
            </w:pPr>
            <w:r>
              <w:rPr>
                <w:rFonts w:hint="default" w:ascii="Times New Roman" w:hAnsi="Times New Roman" w:cs="Times New Roman"/>
                <w:color w:val="0000FF"/>
                <w:sz w:val="21"/>
                <w:szCs w:val="21"/>
              </w:rPr>
              <w:t>1.3</w:t>
            </w:r>
          </w:p>
        </w:tc>
      </w:tr>
      <w:tr w14:paraId="7143957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763" w:type="pct"/>
            <w:tcBorders>
              <w:top w:val="single" w:color="auto" w:sz="4" w:space="0"/>
              <w:left w:val="nil"/>
              <w:bottom w:val="single" w:color="auto" w:sz="4" w:space="0"/>
              <w:right w:val="single" w:color="auto" w:sz="4" w:space="0"/>
            </w:tcBorders>
            <w:shd w:val="clear" w:color="auto" w:fill="auto"/>
            <w:noWrap/>
            <w:vAlign w:val="center"/>
          </w:tcPr>
          <w:p w14:paraId="40F19643">
            <w:pPr>
              <w:keepNext w:val="0"/>
              <w:keepLines w:val="0"/>
              <w:pageBreakBefore w:val="0"/>
              <w:widowControl w:val="0"/>
              <w:kinsoku/>
              <w:wordWrap/>
              <w:overflowPunct/>
              <w:topLinePunct w:val="0"/>
              <w:autoSpaceDE/>
              <w:autoSpaceDN/>
              <w:bidi w:val="0"/>
              <w:adjustRightInd/>
              <w:snapToGrid w:val="0"/>
              <w:spacing w:line="264" w:lineRule="auto"/>
              <w:ind w:firstLine="0" w:firstLineChars="0"/>
              <w:jc w:val="center"/>
              <w:textAlignment w:val="auto"/>
              <w:rPr>
                <w:rFonts w:hint="default" w:ascii="Times New Roman" w:hAnsi="Times New Roman" w:eastAsia="宋体" w:cs="Times New Roman"/>
                <w:b w:val="0"/>
                <w:bCs/>
                <w:color w:val="0000FF"/>
                <w:sz w:val="21"/>
                <w:szCs w:val="21"/>
                <w:highlight w:val="none"/>
                <w:lang w:val="en-US" w:eastAsia="zh-CN"/>
              </w:rPr>
            </w:pPr>
            <w:r>
              <w:rPr>
                <w:rFonts w:hint="default" w:ascii="Times New Roman" w:hAnsi="Times New Roman" w:cs="Times New Roman"/>
                <w:color w:val="0000FF"/>
                <w:sz w:val="21"/>
                <w:szCs w:val="21"/>
              </w:rPr>
              <w:t>8</w:t>
            </w:r>
          </w:p>
        </w:tc>
        <w:tc>
          <w:tcPr>
            <w:tcW w:w="763"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FCB20A0">
            <w:pPr>
              <w:keepNext w:val="0"/>
              <w:keepLines w:val="0"/>
              <w:pageBreakBefore w:val="0"/>
              <w:widowControl w:val="0"/>
              <w:kinsoku/>
              <w:wordWrap/>
              <w:overflowPunct/>
              <w:topLinePunct w:val="0"/>
              <w:autoSpaceDE/>
              <w:autoSpaceDN/>
              <w:bidi w:val="0"/>
              <w:adjustRightInd/>
              <w:snapToGrid w:val="0"/>
              <w:spacing w:line="264" w:lineRule="auto"/>
              <w:ind w:firstLine="0" w:firstLineChars="0"/>
              <w:jc w:val="center"/>
              <w:textAlignment w:val="auto"/>
              <w:rPr>
                <w:rFonts w:hint="default" w:ascii="Times New Roman" w:hAnsi="Times New Roman" w:eastAsia="宋体" w:cs="Times New Roman"/>
                <w:b w:val="0"/>
                <w:bCs/>
                <w:color w:val="0000FF"/>
                <w:sz w:val="21"/>
                <w:szCs w:val="21"/>
                <w:highlight w:val="none"/>
                <w:lang w:val="en-US" w:eastAsia="zh-CN"/>
              </w:rPr>
            </w:pPr>
            <w:r>
              <w:rPr>
                <w:rFonts w:hint="default" w:ascii="Times New Roman" w:hAnsi="Times New Roman" w:cs="Times New Roman"/>
                <w:color w:val="0000FF"/>
                <w:sz w:val="21"/>
                <w:szCs w:val="21"/>
              </w:rPr>
              <w:t>45-240</w:t>
            </w:r>
          </w:p>
        </w:tc>
        <w:tc>
          <w:tcPr>
            <w:tcW w:w="118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EC5FEA4">
            <w:pPr>
              <w:keepNext w:val="0"/>
              <w:keepLines w:val="0"/>
              <w:pageBreakBefore w:val="0"/>
              <w:widowControl w:val="0"/>
              <w:kinsoku/>
              <w:wordWrap/>
              <w:overflowPunct/>
              <w:topLinePunct w:val="0"/>
              <w:autoSpaceDE/>
              <w:autoSpaceDN/>
              <w:bidi w:val="0"/>
              <w:adjustRightInd/>
              <w:snapToGrid w:val="0"/>
              <w:spacing w:line="264" w:lineRule="auto"/>
              <w:ind w:firstLine="0" w:firstLineChars="0"/>
              <w:jc w:val="center"/>
              <w:textAlignment w:val="auto"/>
              <w:rPr>
                <w:rFonts w:hint="default" w:ascii="Times New Roman" w:hAnsi="Times New Roman" w:eastAsia="宋体" w:cs="Times New Roman"/>
                <w:b w:val="0"/>
                <w:bCs/>
                <w:color w:val="0000FF"/>
                <w:sz w:val="21"/>
                <w:szCs w:val="21"/>
                <w:highlight w:val="none"/>
                <w:lang w:val="en-US" w:eastAsia="zh-CN"/>
              </w:rPr>
            </w:pPr>
            <w:r>
              <w:rPr>
                <w:rFonts w:hint="default" w:ascii="Times New Roman" w:hAnsi="Times New Roman" w:cs="Times New Roman"/>
                <w:color w:val="0000FF"/>
                <w:sz w:val="21"/>
                <w:szCs w:val="21"/>
              </w:rPr>
              <w:t>秋季(9,10,11月)</w:t>
            </w:r>
          </w:p>
        </w:tc>
        <w:tc>
          <w:tcPr>
            <w:tcW w:w="763"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341A258">
            <w:pPr>
              <w:keepNext w:val="0"/>
              <w:keepLines w:val="0"/>
              <w:pageBreakBefore w:val="0"/>
              <w:widowControl w:val="0"/>
              <w:kinsoku/>
              <w:wordWrap/>
              <w:overflowPunct/>
              <w:topLinePunct w:val="0"/>
              <w:autoSpaceDE/>
              <w:autoSpaceDN/>
              <w:bidi w:val="0"/>
              <w:adjustRightInd/>
              <w:snapToGrid w:val="0"/>
              <w:spacing w:line="264" w:lineRule="auto"/>
              <w:ind w:firstLine="0" w:firstLineChars="0"/>
              <w:jc w:val="center"/>
              <w:textAlignment w:val="auto"/>
              <w:rPr>
                <w:rFonts w:hint="default" w:ascii="Times New Roman" w:hAnsi="Times New Roman" w:eastAsia="宋体" w:cs="Times New Roman"/>
                <w:b w:val="0"/>
                <w:bCs/>
                <w:color w:val="0000FF"/>
                <w:sz w:val="21"/>
                <w:szCs w:val="21"/>
                <w:highlight w:val="none"/>
                <w:lang w:val="en-US" w:eastAsia="zh-CN"/>
              </w:rPr>
            </w:pPr>
            <w:r>
              <w:rPr>
                <w:rFonts w:hint="default" w:ascii="Times New Roman" w:hAnsi="Times New Roman" w:cs="Times New Roman"/>
                <w:color w:val="0000FF"/>
                <w:sz w:val="21"/>
                <w:szCs w:val="21"/>
              </w:rPr>
              <w:t>0.12</w:t>
            </w:r>
          </w:p>
        </w:tc>
        <w:tc>
          <w:tcPr>
            <w:tcW w:w="763"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0A82B36">
            <w:pPr>
              <w:keepNext w:val="0"/>
              <w:keepLines w:val="0"/>
              <w:pageBreakBefore w:val="0"/>
              <w:widowControl w:val="0"/>
              <w:kinsoku/>
              <w:wordWrap/>
              <w:overflowPunct/>
              <w:topLinePunct w:val="0"/>
              <w:autoSpaceDE/>
              <w:autoSpaceDN/>
              <w:bidi w:val="0"/>
              <w:adjustRightInd/>
              <w:snapToGrid w:val="0"/>
              <w:spacing w:line="264" w:lineRule="auto"/>
              <w:ind w:firstLine="0" w:firstLineChars="0"/>
              <w:jc w:val="center"/>
              <w:textAlignment w:val="auto"/>
              <w:rPr>
                <w:rFonts w:hint="default" w:ascii="Times New Roman" w:hAnsi="Times New Roman" w:eastAsia="宋体" w:cs="Times New Roman"/>
                <w:b w:val="0"/>
                <w:bCs/>
                <w:color w:val="0000FF"/>
                <w:sz w:val="21"/>
                <w:szCs w:val="21"/>
                <w:highlight w:val="none"/>
                <w:lang w:val="en-US" w:eastAsia="zh-CN"/>
              </w:rPr>
            </w:pPr>
            <w:r>
              <w:rPr>
                <w:rFonts w:hint="default" w:ascii="Times New Roman" w:hAnsi="Times New Roman" w:cs="Times New Roman"/>
                <w:color w:val="0000FF"/>
                <w:sz w:val="21"/>
                <w:szCs w:val="21"/>
              </w:rPr>
              <w:t>1</w:t>
            </w:r>
          </w:p>
        </w:tc>
        <w:tc>
          <w:tcPr>
            <w:tcW w:w="763" w:type="pct"/>
            <w:tcBorders>
              <w:top w:val="single" w:color="auto" w:sz="4" w:space="0"/>
              <w:left w:val="single" w:color="auto" w:sz="4" w:space="0"/>
              <w:bottom w:val="single" w:color="auto" w:sz="4" w:space="0"/>
              <w:right w:val="nil"/>
            </w:tcBorders>
            <w:shd w:val="clear" w:color="auto" w:fill="auto"/>
            <w:noWrap/>
            <w:vAlign w:val="center"/>
          </w:tcPr>
          <w:p w14:paraId="04C66D30">
            <w:pPr>
              <w:keepNext w:val="0"/>
              <w:keepLines w:val="0"/>
              <w:pageBreakBefore w:val="0"/>
              <w:widowControl w:val="0"/>
              <w:kinsoku/>
              <w:wordWrap/>
              <w:overflowPunct/>
              <w:topLinePunct w:val="0"/>
              <w:autoSpaceDE/>
              <w:autoSpaceDN/>
              <w:bidi w:val="0"/>
              <w:adjustRightInd/>
              <w:snapToGrid w:val="0"/>
              <w:spacing w:line="264" w:lineRule="auto"/>
              <w:ind w:firstLine="0" w:firstLineChars="0"/>
              <w:jc w:val="center"/>
              <w:textAlignment w:val="auto"/>
              <w:rPr>
                <w:rFonts w:hint="default" w:ascii="Times New Roman" w:hAnsi="Times New Roman" w:eastAsia="宋体" w:cs="Times New Roman"/>
                <w:b w:val="0"/>
                <w:bCs/>
                <w:color w:val="0000FF"/>
                <w:sz w:val="21"/>
                <w:szCs w:val="21"/>
                <w:highlight w:val="none"/>
                <w:lang w:val="en-US" w:eastAsia="zh-CN"/>
              </w:rPr>
            </w:pPr>
            <w:r>
              <w:rPr>
                <w:rFonts w:hint="default" w:ascii="Times New Roman" w:hAnsi="Times New Roman" w:cs="Times New Roman"/>
                <w:color w:val="0000FF"/>
                <w:sz w:val="21"/>
                <w:szCs w:val="21"/>
              </w:rPr>
              <w:t>0.8</w:t>
            </w:r>
          </w:p>
        </w:tc>
      </w:tr>
      <w:tr w14:paraId="4A5CF1F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763" w:type="pct"/>
            <w:tcBorders>
              <w:top w:val="single" w:color="auto" w:sz="4" w:space="0"/>
              <w:left w:val="nil"/>
              <w:bottom w:val="single" w:color="auto" w:sz="4" w:space="0"/>
              <w:right w:val="single" w:color="auto" w:sz="4" w:space="0"/>
            </w:tcBorders>
            <w:shd w:val="clear" w:color="auto" w:fill="auto"/>
            <w:noWrap/>
            <w:vAlign w:val="center"/>
          </w:tcPr>
          <w:p w14:paraId="43410A83">
            <w:pPr>
              <w:keepNext w:val="0"/>
              <w:keepLines w:val="0"/>
              <w:pageBreakBefore w:val="0"/>
              <w:widowControl w:val="0"/>
              <w:kinsoku/>
              <w:wordWrap/>
              <w:overflowPunct/>
              <w:topLinePunct w:val="0"/>
              <w:autoSpaceDE/>
              <w:autoSpaceDN/>
              <w:bidi w:val="0"/>
              <w:adjustRightInd/>
              <w:snapToGrid w:val="0"/>
              <w:spacing w:line="264" w:lineRule="auto"/>
              <w:ind w:firstLine="0" w:firstLineChars="0"/>
              <w:jc w:val="center"/>
              <w:textAlignment w:val="auto"/>
              <w:rPr>
                <w:rFonts w:hint="default" w:ascii="Times New Roman" w:hAnsi="Times New Roman" w:eastAsia="宋体" w:cs="Times New Roman"/>
                <w:b w:val="0"/>
                <w:bCs/>
                <w:color w:val="0000FF"/>
                <w:sz w:val="21"/>
                <w:szCs w:val="21"/>
                <w:highlight w:val="none"/>
                <w:lang w:val="en-US" w:eastAsia="zh-CN"/>
              </w:rPr>
            </w:pPr>
            <w:r>
              <w:rPr>
                <w:rFonts w:hint="default" w:ascii="Times New Roman" w:hAnsi="Times New Roman" w:cs="Times New Roman"/>
                <w:color w:val="0000FF"/>
                <w:sz w:val="21"/>
                <w:szCs w:val="21"/>
              </w:rPr>
              <w:t>9</w:t>
            </w:r>
          </w:p>
        </w:tc>
        <w:tc>
          <w:tcPr>
            <w:tcW w:w="763"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FDF6ADA">
            <w:pPr>
              <w:keepNext w:val="0"/>
              <w:keepLines w:val="0"/>
              <w:pageBreakBefore w:val="0"/>
              <w:widowControl w:val="0"/>
              <w:kinsoku/>
              <w:wordWrap/>
              <w:overflowPunct/>
              <w:topLinePunct w:val="0"/>
              <w:autoSpaceDE/>
              <w:autoSpaceDN/>
              <w:bidi w:val="0"/>
              <w:adjustRightInd/>
              <w:snapToGrid w:val="0"/>
              <w:spacing w:line="264" w:lineRule="auto"/>
              <w:ind w:firstLine="0" w:firstLineChars="0"/>
              <w:jc w:val="center"/>
              <w:textAlignment w:val="auto"/>
              <w:rPr>
                <w:rFonts w:hint="default" w:ascii="Times New Roman" w:hAnsi="Times New Roman" w:eastAsia="宋体" w:cs="Times New Roman"/>
                <w:b w:val="0"/>
                <w:bCs/>
                <w:color w:val="0000FF"/>
                <w:sz w:val="21"/>
                <w:szCs w:val="21"/>
                <w:highlight w:val="none"/>
                <w:lang w:val="en-US" w:eastAsia="zh-CN"/>
              </w:rPr>
            </w:pPr>
            <w:r>
              <w:rPr>
                <w:rFonts w:hint="default" w:ascii="Times New Roman" w:hAnsi="Times New Roman" w:cs="Times New Roman"/>
                <w:color w:val="0000FF"/>
                <w:sz w:val="21"/>
                <w:szCs w:val="21"/>
              </w:rPr>
              <w:t>240-310</w:t>
            </w:r>
          </w:p>
        </w:tc>
        <w:tc>
          <w:tcPr>
            <w:tcW w:w="118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07CB691">
            <w:pPr>
              <w:keepNext w:val="0"/>
              <w:keepLines w:val="0"/>
              <w:pageBreakBefore w:val="0"/>
              <w:widowControl w:val="0"/>
              <w:kinsoku/>
              <w:wordWrap/>
              <w:overflowPunct/>
              <w:topLinePunct w:val="0"/>
              <w:autoSpaceDE/>
              <w:autoSpaceDN/>
              <w:bidi w:val="0"/>
              <w:adjustRightInd/>
              <w:snapToGrid w:val="0"/>
              <w:spacing w:line="264" w:lineRule="auto"/>
              <w:ind w:firstLine="0" w:firstLineChars="0"/>
              <w:jc w:val="center"/>
              <w:textAlignment w:val="auto"/>
              <w:rPr>
                <w:rFonts w:hint="default" w:ascii="Times New Roman" w:hAnsi="Times New Roman" w:eastAsia="宋体" w:cs="Times New Roman"/>
                <w:b w:val="0"/>
                <w:bCs/>
                <w:color w:val="0000FF"/>
                <w:sz w:val="21"/>
                <w:szCs w:val="21"/>
                <w:highlight w:val="none"/>
                <w:lang w:val="en-US" w:eastAsia="zh-CN"/>
              </w:rPr>
            </w:pPr>
            <w:r>
              <w:rPr>
                <w:rFonts w:hint="default" w:ascii="Times New Roman" w:hAnsi="Times New Roman" w:cs="Times New Roman"/>
                <w:color w:val="0000FF"/>
                <w:sz w:val="21"/>
                <w:szCs w:val="21"/>
              </w:rPr>
              <w:t>冬季(12,1,2月)</w:t>
            </w:r>
          </w:p>
        </w:tc>
        <w:tc>
          <w:tcPr>
            <w:tcW w:w="763"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B3535A9">
            <w:pPr>
              <w:keepNext w:val="0"/>
              <w:keepLines w:val="0"/>
              <w:pageBreakBefore w:val="0"/>
              <w:widowControl w:val="0"/>
              <w:kinsoku/>
              <w:wordWrap/>
              <w:overflowPunct/>
              <w:topLinePunct w:val="0"/>
              <w:autoSpaceDE/>
              <w:autoSpaceDN/>
              <w:bidi w:val="0"/>
              <w:adjustRightInd/>
              <w:snapToGrid w:val="0"/>
              <w:spacing w:line="264" w:lineRule="auto"/>
              <w:ind w:firstLine="0" w:firstLineChars="0"/>
              <w:jc w:val="center"/>
              <w:textAlignment w:val="auto"/>
              <w:rPr>
                <w:rFonts w:hint="default" w:ascii="Times New Roman" w:hAnsi="Times New Roman" w:eastAsia="宋体" w:cs="Times New Roman"/>
                <w:b w:val="0"/>
                <w:bCs/>
                <w:color w:val="0000FF"/>
                <w:sz w:val="21"/>
                <w:szCs w:val="21"/>
                <w:highlight w:val="none"/>
                <w:lang w:val="en-US" w:eastAsia="zh-CN"/>
              </w:rPr>
            </w:pPr>
            <w:r>
              <w:rPr>
                <w:rFonts w:hint="default" w:ascii="Times New Roman" w:hAnsi="Times New Roman" w:cs="Times New Roman"/>
                <w:color w:val="0000FF"/>
                <w:sz w:val="21"/>
                <w:szCs w:val="21"/>
              </w:rPr>
              <w:t>0.35</w:t>
            </w:r>
          </w:p>
        </w:tc>
        <w:tc>
          <w:tcPr>
            <w:tcW w:w="763"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664F448">
            <w:pPr>
              <w:keepNext w:val="0"/>
              <w:keepLines w:val="0"/>
              <w:pageBreakBefore w:val="0"/>
              <w:widowControl w:val="0"/>
              <w:kinsoku/>
              <w:wordWrap/>
              <w:overflowPunct/>
              <w:topLinePunct w:val="0"/>
              <w:autoSpaceDE/>
              <w:autoSpaceDN/>
              <w:bidi w:val="0"/>
              <w:adjustRightInd/>
              <w:snapToGrid w:val="0"/>
              <w:spacing w:line="264" w:lineRule="auto"/>
              <w:ind w:firstLine="0" w:firstLineChars="0"/>
              <w:jc w:val="center"/>
              <w:textAlignment w:val="auto"/>
              <w:rPr>
                <w:rFonts w:hint="default" w:ascii="Times New Roman" w:hAnsi="Times New Roman" w:eastAsia="宋体" w:cs="Times New Roman"/>
                <w:b w:val="0"/>
                <w:bCs/>
                <w:color w:val="0000FF"/>
                <w:sz w:val="21"/>
                <w:szCs w:val="21"/>
                <w:highlight w:val="none"/>
                <w:lang w:val="en-US" w:eastAsia="zh-CN"/>
              </w:rPr>
            </w:pPr>
            <w:r>
              <w:rPr>
                <w:rFonts w:hint="default" w:ascii="Times New Roman" w:hAnsi="Times New Roman" w:cs="Times New Roman"/>
                <w:color w:val="0000FF"/>
                <w:sz w:val="21"/>
                <w:szCs w:val="21"/>
              </w:rPr>
              <w:t>1.5</w:t>
            </w:r>
          </w:p>
        </w:tc>
        <w:tc>
          <w:tcPr>
            <w:tcW w:w="763" w:type="pct"/>
            <w:tcBorders>
              <w:top w:val="single" w:color="auto" w:sz="4" w:space="0"/>
              <w:left w:val="single" w:color="auto" w:sz="4" w:space="0"/>
              <w:bottom w:val="single" w:color="auto" w:sz="4" w:space="0"/>
              <w:right w:val="nil"/>
            </w:tcBorders>
            <w:shd w:val="clear" w:color="auto" w:fill="auto"/>
            <w:noWrap/>
            <w:vAlign w:val="center"/>
          </w:tcPr>
          <w:p w14:paraId="7E141842">
            <w:pPr>
              <w:keepNext w:val="0"/>
              <w:keepLines w:val="0"/>
              <w:pageBreakBefore w:val="0"/>
              <w:widowControl w:val="0"/>
              <w:kinsoku/>
              <w:wordWrap/>
              <w:overflowPunct/>
              <w:topLinePunct w:val="0"/>
              <w:autoSpaceDE/>
              <w:autoSpaceDN/>
              <w:bidi w:val="0"/>
              <w:adjustRightInd/>
              <w:snapToGrid w:val="0"/>
              <w:spacing w:line="264" w:lineRule="auto"/>
              <w:ind w:firstLine="0" w:firstLineChars="0"/>
              <w:jc w:val="center"/>
              <w:textAlignment w:val="auto"/>
              <w:rPr>
                <w:rFonts w:hint="default" w:ascii="Times New Roman" w:hAnsi="Times New Roman" w:eastAsia="宋体" w:cs="Times New Roman"/>
                <w:b w:val="0"/>
                <w:bCs/>
                <w:color w:val="0000FF"/>
                <w:sz w:val="21"/>
                <w:szCs w:val="21"/>
                <w:highlight w:val="none"/>
                <w:lang w:val="en-US" w:eastAsia="zh-CN"/>
              </w:rPr>
            </w:pPr>
            <w:r>
              <w:rPr>
                <w:rFonts w:hint="default" w:ascii="Times New Roman" w:hAnsi="Times New Roman" w:cs="Times New Roman"/>
                <w:color w:val="0000FF"/>
                <w:sz w:val="21"/>
                <w:szCs w:val="21"/>
              </w:rPr>
              <w:t>1</w:t>
            </w:r>
          </w:p>
        </w:tc>
      </w:tr>
      <w:tr w14:paraId="0590A82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763" w:type="pct"/>
            <w:tcBorders>
              <w:top w:val="single" w:color="auto" w:sz="4" w:space="0"/>
              <w:left w:val="nil"/>
              <w:bottom w:val="single" w:color="auto" w:sz="4" w:space="0"/>
              <w:right w:val="single" w:color="auto" w:sz="4" w:space="0"/>
            </w:tcBorders>
            <w:shd w:val="clear" w:color="auto" w:fill="auto"/>
            <w:noWrap/>
            <w:vAlign w:val="center"/>
          </w:tcPr>
          <w:p w14:paraId="63B78CE2">
            <w:pPr>
              <w:keepNext w:val="0"/>
              <w:keepLines w:val="0"/>
              <w:pageBreakBefore w:val="0"/>
              <w:widowControl w:val="0"/>
              <w:kinsoku/>
              <w:wordWrap/>
              <w:overflowPunct/>
              <w:topLinePunct w:val="0"/>
              <w:autoSpaceDE/>
              <w:autoSpaceDN/>
              <w:bidi w:val="0"/>
              <w:adjustRightInd/>
              <w:snapToGrid w:val="0"/>
              <w:spacing w:line="264" w:lineRule="auto"/>
              <w:ind w:firstLine="0" w:firstLineChars="0"/>
              <w:jc w:val="center"/>
              <w:textAlignment w:val="auto"/>
              <w:rPr>
                <w:rFonts w:hint="default" w:ascii="Times New Roman" w:hAnsi="Times New Roman" w:eastAsia="宋体" w:cs="Times New Roman"/>
                <w:b w:val="0"/>
                <w:bCs/>
                <w:color w:val="0000FF"/>
                <w:sz w:val="21"/>
                <w:szCs w:val="21"/>
                <w:highlight w:val="none"/>
                <w:lang w:val="en-US" w:eastAsia="zh-CN"/>
              </w:rPr>
            </w:pPr>
            <w:r>
              <w:rPr>
                <w:rFonts w:hint="default" w:ascii="Times New Roman" w:hAnsi="Times New Roman" w:cs="Times New Roman"/>
                <w:color w:val="0000FF"/>
                <w:sz w:val="21"/>
                <w:szCs w:val="21"/>
              </w:rPr>
              <w:t>10</w:t>
            </w:r>
          </w:p>
        </w:tc>
        <w:tc>
          <w:tcPr>
            <w:tcW w:w="763"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27DC246">
            <w:pPr>
              <w:keepNext w:val="0"/>
              <w:keepLines w:val="0"/>
              <w:pageBreakBefore w:val="0"/>
              <w:widowControl w:val="0"/>
              <w:kinsoku/>
              <w:wordWrap/>
              <w:overflowPunct/>
              <w:topLinePunct w:val="0"/>
              <w:autoSpaceDE/>
              <w:autoSpaceDN/>
              <w:bidi w:val="0"/>
              <w:adjustRightInd/>
              <w:snapToGrid w:val="0"/>
              <w:spacing w:line="264" w:lineRule="auto"/>
              <w:ind w:firstLine="0" w:firstLineChars="0"/>
              <w:jc w:val="center"/>
              <w:textAlignment w:val="auto"/>
              <w:rPr>
                <w:rFonts w:hint="default" w:ascii="Times New Roman" w:hAnsi="Times New Roman" w:eastAsia="宋体" w:cs="Times New Roman"/>
                <w:b w:val="0"/>
                <w:bCs/>
                <w:color w:val="0000FF"/>
                <w:sz w:val="21"/>
                <w:szCs w:val="21"/>
                <w:highlight w:val="none"/>
                <w:lang w:val="en-US" w:eastAsia="zh-CN"/>
              </w:rPr>
            </w:pPr>
            <w:r>
              <w:rPr>
                <w:rFonts w:hint="default" w:ascii="Times New Roman" w:hAnsi="Times New Roman" w:cs="Times New Roman"/>
                <w:color w:val="0000FF"/>
                <w:sz w:val="21"/>
                <w:szCs w:val="21"/>
              </w:rPr>
              <w:t>240-310</w:t>
            </w:r>
          </w:p>
        </w:tc>
        <w:tc>
          <w:tcPr>
            <w:tcW w:w="118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17A7BC5">
            <w:pPr>
              <w:keepNext w:val="0"/>
              <w:keepLines w:val="0"/>
              <w:pageBreakBefore w:val="0"/>
              <w:widowControl w:val="0"/>
              <w:kinsoku/>
              <w:wordWrap/>
              <w:overflowPunct/>
              <w:topLinePunct w:val="0"/>
              <w:autoSpaceDE/>
              <w:autoSpaceDN/>
              <w:bidi w:val="0"/>
              <w:adjustRightInd/>
              <w:snapToGrid w:val="0"/>
              <w:spacing w:line="264" w:lineRule="auto"/>
              <w:ind w:firstLine="0" w:firstLineChars="0"/>
              <w:jc w:val="center"/>
              <w:textAlignment w:val="auto"/>
              <w:rPr>
                <w:rFonts w:hint="default" w:ascii="Times New Roman" w:hAnsi="Times New Roman" w:eastAsia="宋体" w:cs="Times New Roman"/>
                <w:b w:val="0"/>
                <w:bCs/>
                <w:color w:val="0000FF"/>
                <w:sz w:val="21"/>
                <w:szCs w:val="21"/>
                <w:highlight w:val="none"/>
                <w:lang w:val="en-US" w:eastAsia="zh-CN"/>
              </w:rPr>
            </w:pPr>
            <w:r>
              <w:rPr>
                <w:rFonts w:hint="default" w:ascii="Times New Roman" w:hAnsi="Times New Roman" w:cs="Times New Roman"/>
                <w:color w:val="0000FF"/>
                <w:sz w:val="21"/>
                <w:szCs w:val="21"/>
              </w:rPr>
              <w:t>春季(3,4,5月)</w:t>
            </w:r>
          </w:p>
        </w:tc>
        <w:tc>
          <w:tcPr>
            <w:tcW w:w="763"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EE91161">
            <w:pPr>
              <w:keepNext w:val="0"/>
              <w:keepLines w:val="0"/>
              <w:pageBreakBefore w:val="0"/>
              <w:widowControl w:val="0"/>
              <w:kinsoku/>
              <w:wordWrap/>
              <w:overflowPunct/>
              <w:topLinePunct w:val="0"/>
              <w:autoSpaceDE/>
              <w:autoSpaceDN/>
              <w:bidi w:val="0"/>
              <w:adjustRightInd/>
              <w:snapToGrid w:val="0"/>
              <w:spacing w:line="264" w:lineRule="auto"/>
              <w:ind w:firstLine="0" w:firstLineChars="0"/>
              <w:jc w:val="center"/>
              <w:textAlignment w:val="auto"/>
              <w:rPr>
                <w:rFonts w:hint="default" w:ascii="Times New Roman" w:hAnsi="Times New Roman" w:eastAsia="宋体" w:cs="Times New Roman"/>
                <w:b w:val="0"/>
                <w:bCs/>
                <w:color w:val="0000FF"/>
                <w:sz w:val="21"/>
                <w:szCs w:val="21"/>
                <w:highlight w:val="none"/>
                <w:lang w:val="en-US" w:eastAsia="zh-CN"/>
              </w:rPr>
            </w:pPr>
            <w:r>
              <w:rPr>
                <w:rFonts w:hint="default" w:ascii="Times New Roman" w:hAnsi="Times New Roman" w:cs="Times New Roman"/>
                <w:color w:val="0000FF"/>
                <w:sz w:val="21"/>
                <w:szCs w:val="21"/>
              </w:rPr>
              <w:t>0.14</w:t>
            </w:r>
          </w:p>
        </w:tc>
        <w:tc>
          <w:tcPr>
            <w:tcW w:w="763"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B72C3FA">
            <w:pPr>
              <w:keepNext w:val="0"/>
              <w:keepLines w:val="0"/>
              <w:pageBreakBefore w:val="0"/>
              <w:widowControl w:val="0"/>
              <w:kinsoku/>
              <w:wordWrap/>
              <w:overflowPunct/>
              <w:topLinePunct w:val="0"/>
              <w:autoSpaceDE/>
              <w:autoSpaceDN/>
              <w:bidi w:val="0"/>
              <w:adjustRightInd/>
              <w:snapToGrid w:val="0"/>
              <w:spacing w:line="264" w:lineRule="auto"/>
              <w:ind w:firstLine="0" w:firstLineChars="0"/>
              <w:jc w:val="center"/>
              <w:textAlignment w:val="auto"/>
              <w:rPr>
                <w:rFonts w:hint="default" w:ascii="Times New Roman" w:hAnsi="Times New Roman" w:eastAsia="宋体" w:cs="Times New Roman"/>
                <w:b w:val="0"/>
                <w:bCs/>
                <w:color w:val="0000FF"/>
                <w:sz w:val="21"/>
                <w:szCs w:val="21"/>
                <w:highlight w:val="none"/>
                <w:lang w:val="en-US" w:eastAsia="zh-CN"/>
              </w:rPr>
            </w:pPr>
            <w:r>
              <w:rPr>
                <w:rFonts w:hint="default" w:ascii="Times New Roman" w:hAnsi="Times New Roman" w:cs="Times New Roman"/>
                <w:color w:val="0000FF"/>
                <w:sz w:val="21"/>
                <w:szCs w:val="21"/>
              </w:rPr>
              <w:t>1</w:t>
            </w:r>
          </w:p>
        </w:tc>
        <w:tc>
          <w:tcPr>
            <w:tcW w:w="763" w:type="pct"/>
            <w:tcBorders>
              <w:top w:val="single" w:color="auto" w:sz="4" w:space="0"/>
              <w:left w:val="single" w:color="auto" w:sz="4" w:space="0"/>
              <w:bottom w:val="single" w:color="auto" w:sz="4" w:space="0"/>
              <w:right w:val="nil"/>
            </w:tcBorders>
            <w:shd w:val="clear" w:color="auto" w:fill="auto"/>
            <w:noWrap/>
            <w:vAlign w:val="center"/>
          </w:tcPr>
          <w:p w14:paraId="3E31CBA5">
            <w:pPr>
              <w:keepNext w:val="0"/>
              <w:keepLines w:val="0"/>
              <w:pageBreakBefore w:val="0"/>
              <w:widowControl w:val="0"/>
              <w:kinsoku/>
              <w:wordWrap/>
              <w:overflowPunct/>
              <w:topLinePunct w:val="0"/>
              <w:autoSpaceDE/>
              <w:autoSpaceDN/>
              <w:bidi w:val="0"/>
              <w:adjustRightInd/>
              <w:snapToGrid w:val="0"/>
              <w:spacing w:line="264" w:lineRule="auto"/>
              <w:ind w:firstLine="0" w:firstLineChars="0"/>
              <w:jc w:val="center"/>
              <w:textAlignment w:val="auto"/>
              <w:rPr>
                <w:rFonts w:hint="default" w:ascii="Times New Roman" w:hAnsi="Times New Roman" w:eastAsia="宋体" w:cs="Times New Roman"/>
                <w:b w:val="0"/>
                <w:bCs/>
                <w:color w:val="0000FF"/>
                <w:sz w:val="21"/>
                <w:szCs w:val="21"/>
                <w:highlight w:val="none"/>
                <w:lang w:val="en-US" w:eastAsia="zh-CN"/>
              </w:rPr>
            </w:pPr>
            <w:r>
              <w:rPr>
                <w:rFonts w:hint="default" w:ascii="Times New Roman" w:hAnsi="Times New Roman" w:cs="Times New Roman"/>
                <w:color w:val="0000FF"/>
                <w:sz w:val="21"/>
                <w:szCs w:val="21"/>
              </w:rPr>
              <w:t>1</w:t>
            </w:r>
          </w:p>
        </w:tc>
      </w:tr>
      <w:tr w14:paraId="4487DBA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763" w:type="pct"/>
            <w:tcBorders>
              <w:top w:val="single" w:color="auto" w:sz="4" w:space="0"/>
              <w:left w:val="nil"/>
              <w:bottom w:val="single" w:color="auto" w:sz="4" w:space="0"/>
              <w:right w:val="single" w:color="auto" w:sz="4" w:space="0"/>
            </w:tcBorders>
            <w:shd w:val="clear" w:color="auto" w:fill="auto"/>
            <w:noWrap/>
            <w:vAlign w:val="center"/>
          </w:tcPr>
          <w:p w14:paraId="2D8F51A8">
            <w:pPr>
              <w:keepNext w:val="0"/>
              <w:keepLines w:val="0"/>
              <w:pageBreakBefore w:val="0"/>
              <w:widowControl w:val="0"/>
              <w:kinsoku/>
              <w:wordWrap/>
              <w:overflowPunct/>
              <w:topLinePunct w:val="0"/>
              <w:autoSpaceDE/>
              <w:autoSpaceDN/>
              <w:bidi w:val="0"/>
              <w:adjustRightInd/>
              <w:snapToGrid w:val="0"/>
              <w:spacing w:line="264" w:lineRule="auto"/>
              <w:ind w:firstLine="0" w:firstLineChars="0"/>
              <w:jc w:val="center"/>
              <w:textAlignment w:val="auto"/>
              <w:rPr>
                <w:rFonts w:hint="default" w:ascii="Times New Roman" w:hAnsi="Times New Roman" w:eastAsia="宋体" w:cs="Times New Roman"/>
                <w:b w:val="0"/>
                <w:bCs/>
                <w:color w:val="0000FF"/>
                <w:sz w:val="21"/>
                <w:szCs w:val="21"/>
                <w:highlight w:val="none"/>
                <w:lang w:val="en-US" w:eastAsia="zh-CN"/>
              </w:rPr>
            </w:pPr>
            <w:r>
              <w:rPr>
                <w:rFonts w:hint="default" w:ascii="Times New Roman" w:hAnsi="Times New Roman" w:cs="Times New Roman"/>
                <w:color w:val="0000FF"/>
                <w:sz w:val="21"/>
                <w:szCs w:val="21"/>
              </w:rPr>
              <w:t>11</w:t>
            </w:r>
          </w:p>
        </w:tc>
        <w:tc>
          <w:tcPr>
            <w:tcW w:w="763"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A6832A3">
            <w:pPr>
              <w:keepNext w:val="0"/>
              <w:keepLines w:val="0"/>
              <w:pageBreakBefore w:val="0"/>
              <w:widowControl w:val="0"/>
              <w:kinsoku/>
              <w:wordWrap/>
              <w:overflowPunct/>
              <w:topLinePunct w:val="0"/>
              <w:autoSpaceDE/>
              <w:autoSpaceDN/>
              <w:bidi w:val="0"/>
              <w:adjustRightInd/>
              <w:snapToGrid w:val="0"/>
              <w:spacing w:line="264" w:lineRule="auto"/>
              <w:ind w:firstLine="0" w:firstLineChars="0"/>
              <w:jc w:val="center"/>
              <w:textAlignment w:val="auto"/>
              <w:rPr>
                <w:rFonts w:hint="default" w:ascii="Times New Roman" w:hAnsi="Times New Roman" w:eastAsia="宋体" w:cs="Times New Roman"/>
                <w:b w:val="0"/>
                <w:bCs/>
                <w:color w:val="0000FF"/>
                <w:sz w:val="21"/>
                <w:szCs w:val="21"/>
                <w:highlight w:val="none"/>
                <w:lang w:val="en-US" w:eastAsia="zh-CN"/>
              </w:rPr>
            </w:pPr>
            <w:r>
              <w:rPr>
                <w:rFonts w:hint="default" w:ascii="Times New Roman" w:hAnsi="Times New Roman" w:cs="Times New Roman"/>
                <w:color w:val="0000FF"/>
                <w:sz w:val="21"/>
                <w:szCs w:val="21"/>
              </w:rPr>
              <w:t>240-310</w:t>
            </w:r>
          </w:p>
        </w:tc>
        <w:tc>
          <w:tcPr>
            <w:tcW w:w="118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5AC1E91">
            <w:pPr>
              <w:keepNext w:val="0"/>
              <w:keepLines w:val="0"/>
              <w:pageBreakBefore w:val="0"/>
              <w:widowControl w:val="0"/>
              <w:kinsoku/>
              <w:wordWrap/>
              <w:overflowPunct/>
              <w:topLinePunct w:val="0"/>
              <w:autoSpaceDE/>
              <w:autoSpaceDN/>
              <w:bidi w:val="0"/>
              <w:adjustRightInd/>
              <w:snapToGrid w:val="0"/>
              <w:spacing w:line="264" w:lineRule="auto"/>
              <w:ind w:firstLine="0" w:firstLineChars="0"/>
              <w:jc w:val="center"/>
              <w:textAlignment w:val="auto"/>
              <w:rPr>
                <w:rFonts w:hint="default" w:ascii="Times New Roman" w:hAnsi="Times New Roman" w:eastAsia="宋体" w:cs="Times New Roman"/>
                <w:b w:val="0"/>
                <w:bCs/>
                <w:color w:val="0000FF"/>
                <w:sz w:val="21"/>
                <w:szCs w:val="21"/>
                <w:highlight w:val="none"/>
                <w:lang w:val="en-US" w:eastAsia="zh-CN"/>
              </w:rPr>
            </w:pPr>
            <w:r>
              <w:rPr>
                <w:rFonts w:hint="default" w:ascii="Times New Roman" w:hAnsi="Times New Roman" w:cs="Times New Roman"/>
                <w:color w:val="0000FF"/>
                <w:sz w:val="21"/>
                <w:szCs w:val="21"/>
              </w:rPr>
              <w:t>夏季(6,7,8月)</w:t>
            </w:r>
          </w:p>
        </w:tc>
        <w:tc>
          <w:tcPr>
            <w:tcW w:w="763"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4EE1FDE">
            <w:pPr>
              <w:keepNext w:val="0"/>
              <w:keepLines w:val="0"/>
              <w:pageBreakBefore w:val="0"/>
              <w:widowControl w:val="0"/>
              <w:kinsoku/>
              <w:wordWrap/>
              <w:overflowPunct/>
              <w:topLinePunct w:val="0"/>
              <w:autoSpaceDE/>
              <w:autoSpaceDN/>
              <w:bidi w:val="0"/>
              <w:adjustRightInd/>
              <w:snapToGrid w:val="0"/>
              <w:spacing w:line="264" w:lineRule="auto"/>
              <w:ind w:firstLine="0" w:firstLineChars="0"/>
              <w:jc w:val="center"/>
              <w:textAlignment w:val="auto"/>
              <w:rPr>
                <w:rFonts w:hint="default" w:ascii="Times New Roman" w:hAnsi="Times New Roman" w:eastAsia="宋体" w:cs="Times New Roman"/>
                <w:b w:val="0"/>
                <w:bCs/>
                <w:color w:val="0000FF"/>
                <w:sz w:val="21"/>
                <w:szCs w:val="21"/>
                <w:highlight w:val="none"/>
                <w:lang w:val="en-US" w:eastAsia="zh-CN"/>
              </w:rPr>
            </w:pPr>
            <w:r>
              <w:rPr>
                <w:rFonts w:hint="default" w:ascii="Times New Roman" w:hAnsi="Times New Roman" w:cs="Times New Roman"/>
                <w:color w:val="0000FF"/>
                <w:sz w:val="21"/>
                <w:szCs w:val="21"/>
              </w:rPr>
              <w:t>0.16</w:t>
            </w:r>
          </w:p>
        </w:tc>
        <w:tc>
          <w:tcPr>
            <w:tcW w:w="763"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2854C30">
            <w:pPr>
              <w:keepNext w:val="0"/>
              <w:keepLines w:val="0"/>
              <w:pageBreakBefore w:val="0"/>
              <w:widowControl w:val="0"/>
              <w:kinsoku/>
              <w:wordWrap/>
              <w:overflowPunct/>
              <w:topLinePunct w:val="0"/>
              <w:autoSpaceDE/>
              <w:autoSpaceDN/>
              <w:bidi w:val="0"/>
              <w:adjustRightInd/>
              <w:snapToGrid w:val="0"/>
              <w:spacing w:line="264" w:lineRule="auto"/>
              <w:ind w:firstLine="0" w:firstLineChars="0"/>
              <w:jc w:val="center"/>
              <w:textAlignment w:val="auto"/>
              <w:rPr>
                <w:rFonts w:hint="default" w:ascii="Times New Roman" w:hAnsi="Times New Roman" w:eastAsia="宋体" w:cs="Times New Roman"/>
                <w:b w:val="0"/>
                <w:bCs/>
                <w:color w:val="0000FF"/>
                <w:sz w:val="21"/>
                <w:szCs w:val="21"/>
                <w:highlight w:val="none"/>
                <w:lang w:val="en-US" w:eastAsia="zh-CN"/>
              </w:rPr>
            </w:pPr>
            <w:r>
              <w:rPr>
                <w:rFonts w:hint="default" w:ascii="Times New Roman" w:hAnsi="Times New Roman" w:cs="Times New Roman"/>
                <w:color w:val="0000FF"/>
                <w:sz w:val="21"/>
                <w:szCs w:val="21"/>
              </w:rPr>
              <w:t>2</w:t>
            </w:r>
          </w:p>
        </w:tc>
        <w:tc>
          <w:tcPr>
            <w:tcW w:w="763" w:type="pct"/>
            <w:tcBorders>
              <w:top w:val="single" w:color="auto" w:sz="4" w:space="0"/>
              <w:left w:val="single" w:color="auto" w:sz="4" w:space="0"/>
              <w:bottom w:val="single" w:color="auto" w:sz="4" w:space="0"/>
              <w:right w:val="nil"/>
            </w:tcBorders>
            <w:shd w:val="clear" w:color="auto" w:fill="auto"/>
            <w:noWrap/>
            <w:vAlign w:val="center"/>
          </w:tcPr>
          <w:p w14:paraId="3F0361CE">
            <w:pPr>
              <w:keepNext w:val="0"/>
              <w:keepLines w:val="0"/>
              <w:pageBreakBefore w:val="0"/>
              <w:widowControl w:val="0"/>
              <w:kinsoku/>
              <w:wordWrap/>
              <w:overflowPunct/>
              <w:topLinePunct w:val="0"/>
              <w:autoSpaceDE/>
              <w:autoSpaceDN/>
              <w:bidi w:val="0"/>
              <w:adjustRightInd/>
              <w:snapToGrid w:val="0"/>
              <w:spacing w:line="264" w:lineRule="auto"/>
              <w:ind w:firstLine="0" w:firstLineChars="0"/>
              <w:jc w:val="center"/>
              <w:textAlignment w:val="auto"/>
              <w:rPr>
                <w:rFonts w:hint="default" w:ascii="Times New Roman" w:hAnsi="Times New Roman" w:eastAsia="宋体" w:cs="Times New Roman"/>
                <w:b w:val="0"/>
                <w:bCs/>
                <w:color w:val="0000FF"/>
                <w:sz w:val="21"/>
                <w:szCs w:val="21"/>
                <w:highlight w:val="none"/>
                <w:lang w:val="en-US" w:eastAsia="zh-CN"/>
              </w:rPr>
            </w:pPr>
            <w:r>
              <w:rPr>
                <w:rFonts w:hint="default" w:ascii="Times New Roman" w:hAnsi="Times New Roman" w:cs="Times New Roman"/>
                <w:color w:val="0000FF"/>
                <w:sz w:val="21"/>
                <w:szCs w:val="21"/>
              </w:rPr>
              <w:t>1</w:t>
            </w:r>
          </w:p>
        </w:tc>
      </w:tr>
      <w:tr w14:paraId="36EAF28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763" w:type="pct"/>
            <w:tcBorders>
              <w:top w:val="single" w:color="auto" w:sz="4" w:space="0"/>
              <w:left w:val="nil"/>
              <w:bottom w:val="single" w:color="auto" w:sz="4" w:space="0"/>
              <w:right w:val="single" w:color="auto" w:sz="4" w:space="0"/>
            </w:tcBorders>
            <w:shd w:val="clear" w:color="auto" w:fill="auto"/>
            <w:noWrap/>
            <w:vAlign w:val="center"/>
          </w:tcPr>
          <w:p w14:paraId="77A0B359">
            <w:pPr>
              <w:keepNext w:val="0"/>
              <w:keepLines w:val="0"/>
              <w:pageBreakBefore w:val="0"/>
              <w:widowControl w:val="0"/>
              <w:kinsoku/>
              <w:wordWrap/>
              <w:overflowPunct/>
              <w:topLinePunct w:val="0"/>
              <w:autoSpaceDE/>
              <w:autoSpaceDN/>
              <w:bidi w:val="0"/>
              <w:adjustRightInd/>
              <w:snapToGrid w:val="0"/>
              <w:spacing w:line="264" w:lineRule="auto"/>
              <w:ind w:firstLine="0" w:firstLineChars="0"/>
              <w:jc w:val="center"/>
              <w:textAlignment w:val="auto"/>
              <w:rPr>
                <w:rFonts w:hint="default" w:ascii="Times New Roman" w:hAnsi="Times New Roman" w:eastAsia="宋体" w:cs="Times New Roman"/>
                <w:b w:val="0"/>
                <w:bCs/>
                <w:color w:val="0000FF"/>
                <w:sz w:val="21"/>
                <w:szCs w:val="21"/>
                <w:highlight w:val="none"/>
                <w:lang w:val="en-US" w:eastAsia="zh-CN"/>
              </w:rPr>
            </w:pPr>
            <w:r>
              <w:rPr>
                <w:rFonts w:hint="default" w:ascii="Times New Roman" w:hAnsi="Times New Roman" w:cs="Times New Roman"/>
                <w:color w:val="0000FF"/>
                <w:sz w:val="21"/>
                <w:szCs w:val="21"/>
              </w:rPr>
              <w:t>12</w:t>
            </w:r>
          </w:p>
        </w:tc>
        <w:tc>
          <w:tcPr>
            <w:tcW w:w="763"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12706FE">
            <w:pPr>
              <w:keepNext w:val="0"/>
              <w:keepLines w:val="0"/>
              <w:pageBreakBefore w:val="0"/>
              <w:widowControl w:val="0"/>
              <w:kinsoku/>
              <w:wordWrap/>
              <w:overflowPunct/>
              <w:topLinePunct w:val="0"/>
              <w:autoSpaceDE/>
              <w:autoSpaceDN/>
              <w:bidi w:val="0"/>
              <w:adjustRightInd/>
              <w:snapToGrid w:val="0"/>
              <w:spacing w:line="264" w:lineRule="auto"/>
              <w:ind w:firstLine="0" w:firstLineChars="0"/>
              <w:jc w:val="center"/>
              <w:textAlignment w:val="auto"/>
              <w:rPr>
                <w:rFonts w:hint="default" w:ascii="Times New Roman" w:hAnsi="Times New Roman" w:eastAsia="宋体" w:cs="Times New Roman"/>
                <w:b w:val="0"/>
                <w:bCs/>
                <w:color w:val="0000FF"/>
                <w:sz w:val="21"/>
                <w:szCs w:val="21"/>
                <w:highlight w:val="none"/>
                <w:lang w:val="en-US" w:eastAsia="zh-CN"/>
              </w:rPr>
            </w:pPr>
            <w:r>
              <w:rPr>
                <w:rFonts w:hint="default" w:ascii="Times New Roman" w:hAnsi="Times New Roman" w:cs="Times New Roman"/>
                <w:color w:val="0000FF"/>
                <w:sz w:val="21"/>
                <w:szCs w:val="21"/>
              </w:rPr>
              <w:t>240-310</w:t>
            </w:r>
          </w:p>
        </w:tc>
        <w:tc>
          <w:tcPr>
            <w:tcW w:w="118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3A9F10E">
            <w:pPr>
              <w:keepNext w:val="0"/>
              <w:keepLines w:val="0"/>
              <w:pageBreakBefore w:val="0"/>
              <w:widowControl w:val="0"/>
              <w:kinsoku/>
              <w:wordWrap/>
              <w:overflowPunct/>
              <w:topLinePunct w:val="0"/>
              <w:autoSpaceDE/>
              <w:autoSpaceDN/>
              <w:bidi w:val="0"/>
              <w:adjustRightInd/>
              <w:snapToGrid w:val="0"/>
              <w:spacing w:line="264" w:lineRule="auto"/>
              <w:ind w:firstLine="0" w:firstLineChars="0"/>
              <w:jc w:val="center"/>
              <w:textAlignment w:val="auto"/>
              <w:rPr>
                <w:rFonts w:hint="default" w:ascii="Times New Roman" w:hAnsi="Times New Roman" w:eastAsia="宋体" w:cs="Times New Roman"/>
                <w:b w:val="0"/>
                <w:bCs/>
                <w:color w:val="0000FF"/>
                <w:sz w:val="21"/>
                <w:szCs w:val="21"/>
                <w:highlight w:val="none"/>
                <w:lang w:val="en-US" w:eastAsia="zh-CN"/>
              </w:rPr>
            </w:pPr>
            <w:r>
              <w:rPr>
                <w:rFonts w:hint="default" w:ascii="Times New Roman" w:hAnsi="Times New Roman" w:cs="Times New Roman"/>
                <w:color w:val="0000FF"/>
                <w:sz w:val="21"/>
                <w:szCs w:val="21"/>
              </w:rPr>
              <w:t>秋季(9,10,11月)</w:t>
            </w:r>
          </w:p>
        </w:tc>
        <w:tc>
          <w:tcPr>
            <w:tcW w:w="763"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54B6CB8">
            <w:pPr>
              <w:keepNext w:val="0"/>
              <w:keepLines w:val="0"/>
              <w:pageBreakBefore w:val="0"/>
              <w:widowControl w:val="0"/>
              <w:kinsoku/>
              <w:wordWrap/>
              <w:overflowPunct/>
              <w:topLinePunct w:val="0"/>
              <w:autoSpaceDE/>
              <w:autoSpaceDN/>
              <w:bidi w:val="0"/>
              <w:adjustRightInd/>
              <w:snapToGrid w:val="0"/>
              <w:spacing w:line="264" w:lineRule="auto"/>
              <w:ind w:firstLine="0" w:firstLineChars="0"/>
              <w:jc w:val="center"/>
              <w:textAlignment w:val="auto"/>
              <w:rPr>
                <w:rFonts w:hint="default" w:ascii="Times New Roman" w:hAnsi="Times New Roman" w:eastAsia="宋体" w:cs="Times New Roman"/>
                <w:b w:val="0"/>
                <w:bCs/>
                <w:color w:val="0000FF"/>
                <w:sz w:val="21"/>
                <w:szCs w:val="21"/>
                <w:highlight w:val="none"/>
                <w:lang w:val="en-US" w:eastAsia="zh-CN"/>
              </w:rPr>
            </w:pPr>
            <w:r>
              <w:rPr>
                <w:rFonts w:hint="default" w:ascii="Times New Roman" w:hAnsi="Times New Roman" w:cs="Times New Roman"/>
                <w:color w:val="0000FF"/>
                <w:sz w:val="21"/>
                <w:szCs w:val="21"/>
              </w:rPr>
              <w:t>0.18</w:t>
            </w:r>
          </w:p>
        </w:tc>
        <w:tc>
          <w:tcPr>
            <w:tcW w:w="763"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BE51216">
            <w:pPr>
              <w:keepNext w:val="0"/>
              <w:keepLines w:val="0"/>
              <w:pageBreakBefore w:val="0"/>
              <w:widowControl w:val="0"/>
              <w:kinsoku/>
              <w:wordWrap/>
              <w:overflowPunct/>
              <w:topLinePunct w:val="0"/>
              <w:autoSpaceDE/>
              <w:autoSpaceDN/>
              <w:bidi w:val="0"/>
              <w:adjustRightInd/>
              <w:snapToGrid w:val="0"/>
              <w:spacing w:line="264" w:lineRule="auto"/>
              <w:ind w:firstLine="0" w:firstLineChars="0"/>
              <w:jc w:val="center"/>
              <w:textAlignment w:val="auto"/>
              <w:rPr>
                <w:rFonts w:hint="default" w:ascii="Times New Roman" w:hAnsi="Times New Roman" w:eastAsia="宋体" w:cs="Times New Roman"/>
                <w:b w:val="0"/>
                <w:bCs/>
                <w:color w:val="0000FF"/>
                <w:sz w:val="21"/>
                <w:szCs w:val="21"/>
                <w:highlight w:val="none"/>
                <w:lang w:val="en-US" w:eastAsia="zh-CN"/>
              </w:rPr>
            </w:pPr>
            <w:r>
              <w:rPr>
                <w:rFonts w:hint="default" w:ascii="Times New Roman" w:hAnsi="Times New Roman" w:cs="Times New Roman"/>
                <w:color w:val="0000FF"/>
                <w:sz w:val="21"/>
                <w:szCs w:val="21"/>
              </w:rPr>
              <w:t>2</w:t>
            </w:r>
          </w:p>
        </w:tc>
        <w:tc>
          <w:tcPr>
            <w:tcW w:w="763" w:type="pct"/>
            <w:tcBorders>
              <w:top w:val="single" w:color="auto" w:sz="4" w:space="0"/>
              <w:left w:val="single" w:color="auto" w:sz="4" w:space="0"/>
              <w:bottom w:val="single" w:color="auto" w:sz="4" w:space="0"/>
              <w:right w:val="nil"/>
            </w:tcBorders>
            <w:shd w:val="clear" w:color="auto" w:fill="auto"/>
            <w:noWrap/>
            <w:vAlign w:val="center"/>
          </w:tcPr>
          <w:p w14:paraId="4B999CC2">
            <w:pPr>
              <w:keepNext w:val="0"/>
              <w:keepLines w:val="0"/>
              <w:pageBreakBefore w:val="0"/>
              <w:widowControl w:val="0"/>
              <w:kinsoku/>
              <w:wordWrap/>
              <w:overflowPunct/>
              <w:topLinePunct w:val="0"/>
              <w:autoSpaceDE/>
              <w:autoSpaceDN/>
              <w:bidi w:val="0"/>
              <w:adjustRightInd/>
              <w:snapToGrid w:val="0"/>
              <w:spacing w:line="264" w:lineRule="auto"/>
              <w:ind w:firstLine="0" w:firstLineChars="0"/>
              <w:jc w:val="center"/>
              <w:textAlignment w:val="auto"/>
              <w:rPr>
                <w:rFonts w:hint="default" w:ascii="Times New Roman" w:hAnsi="Times New Roman" w:eastAsia="宋体" w:cs="Times New Roman"/>
                <w:b w:val="0"/>
                <w:bCs/>
                <w:color w:val="0000FF"/>
                <w:sz w:val="21"/>
                <w:szCs w:val="21"/>
                <w:highlight w:val="none"/>
                <w:lang w:val="en-US" w:eastAsia="zh-CN"/>
              </w:rPr>
            </w:pPr>
            <w:r>
              <w:rPr>
                <w:rFonts w:hint="default" w:ascii="Times New Roman" w:hAnsi="Times New Roman" w:cs="Times New Roman"/>
                <w:color w:val="0000FF"/>
                <w:sz w:val="21"/>
                <w:szCs w:val="21"/>
              </w:rPr>
              <w:t>1</w:t>
            </w:r>
          </w:p>
        </w:tc>
      </w:tr>
      <w:tr w14:paraId="25A615E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763" w:type="pct"/>
            <w:tcBorders>
              <w:top w:val="single" w:color="auto" w:sz="4" w:space="0"/>
              <w:left w:val="nil"/>
              <w:bottom w:val="single" w:color="auto" w:sz="4" w:space="0"/>
              <w:right w:val="single" w:color="auto" w:sz="4" w:space="0"/>
            </w:tcBorders>
            <w:shd w:val="clear" w:color="auto" w:fill="auto"/>
            <w:noWrap/>
            <w:vAlign w:val="center"/>
          </w:tcPr>
          <w:p w14:paraId="17E504C8">
            <w:pPr>
              <w:keepNext w:val="0"/>
              <w:keepLines w:val="0"/>
              <w:pageBreakBefore w:val="0"/>
              <w:widowControl w:val="0"/>
              <w:kinsoku/>
              <w:wordWrap/>
              <w:overflowPunct/>
              <w:topLinePunct w:val="0"/>
              <w:autoSpaceDE/>
              <w:autoSpaceDN/>
              <w:bidi w:val="0"/>
              <w:adjustRightInd/>
              <w:snapToGrid w:val="0"/>
              <w:spacing w:line="264" w:lineRule="auto"/>
              <w:ind w:firstLine="0" w:firstLineChars="0"/>
              <w:jc w:val="center"/>
              <w:textAlignment w:val="auto"/>
              <w:rPr>
                <w:rFonts w:hint="default" w:ascii="Times New Roman" w:hAnsi="Times New Roman" w:eastAsia="宋体" w:cs="Times New Roman"/>
                <w:b w:val="0"/>
                <w:bCs/>
                <w:color w:val="0000FF"/>
                <w:sz w:val="21"/>
                <w:szCs w:val="21"/>
                <w:highlight w:val="none"/>
                <w:lang w:val="en-US" w:eastAsia="zh-CN"/>
              </w:rPr>
            </w:pPr>
            <w:r>
              <w:rPr>
                <w:rFonts w:hint="default" w:ascii="Times New Roman" w:hAnsi="Times New Roman" w:cs="Times New Roman"/>
                <w:color w:val="0000FF"/>
                <w:sz w:val="21"/>
                <w:szCs w:val="21"/>
              </w:rPr>
              <w:t>13</w:t>
            </w:r>
          </w:p>
        </w:tc>
        <w:tc>
          <w:tcPr>
            <w:tcW w:w="763"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C713376">
            <w:pPr>
              <w:keepNext w:val="0"/>
              <w:keepLines w:val="0"/>
              <w:pageBreakBefore w:val="0"/>
              <w:widowControl w:val="0"/>
              <w:kinsoku/>
              <w:wordWrap/>
              <w:overflowPunct/>
              <w:topLinePunct w:val="0"/>
              <w:autoSpaceDE/>
              <w:autoSpaceDN/>
              <w:bidi w:val="0"/>
              <w:adjustRightInd/>
              <w:snapToGrid w:val="0"/>
              <w:spacing w:line="264" w:lineRule="auto"/>
              <w:ind w:firstLine="0" w:firstLineChars="0"/>
              <w:jc w:val="center"/>
              <w:textAlignment w:val="auto"/>
              <w:rPr>
                <w:rFonts w:hint="default" w:ascii="Times New Roman" w:hAnsi="Times New Roman" w:eastAsia="宋体" w:cs="Times New Roman"/>
                <w:b w:val="0"/>
                <w:bCs/>
                <w:color w:val="0000FF"/>
                <w:sz w:val="21"/>
                <w:szCs w:val="21"/>
                <w:highlight w:val="none"/>
                <w:lang w:val="en-US" w:eastAsia="zh-CN"/>
              </w:rPr>
            </w:pPr>
            <w:r>
              <w:rPr>
                <w:rFonts w:hint="default" w:ascii="Times New Roman" w:hAnsi="Times New Roman" w:cs="Times New Roman"/>
                <w:color w:val="0000FF"/>
                <w:sz w:val="21"/>
                <w:szCs w:val="21"/>
              </w:rPr>
              <w:t>310-15</w:t>
            </w:r>
          </w:p>
        </w:tc>
        <w:tc>
          <w:tcPr>
            <w:tcW w:w="118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5795186">
            <w:pPr>
              <w:keepNext w:val="0"/>
              <w:keepLines w:val="0"/>
              <w:pageBreakBefore w:val="0"/>
              <w:widowControl w:val="0"/>
              <w:kinsoku/>
              <w:wordWrap/>
              <w:overflowPunct/>
              <w:topLinePunct w:val="0"/>
              <w:autoSpaceDE/>
              <w:autoSpaceDN/>
              <w:bidi w:val="0"/>
              <w:adjustRightInd/>
              <w:snapToGrid w:val="0"/>
              <w:spacing w:line="264" w:lineRule="auto"/>
              <w:ind w:firstLine="0" w:firstLineChars="0"/>
              <w:jc w:val="center"/>
              <w:textAlignment w:val="auto"/>
              <w:rPr>
                <w:rFonts w:hint="default" w:ascii="Times New Roman" w:hAnsi="Times New Roman" w:eastAsia="宋体" w:cs="Times New Roman"/>
                <w:b w:val="0"/>
                <w:bCs/>
                <w:color w:val="0000FF"/>
                <w:sz w:val="21"/>
                <w:szCs w:val="21"/>
                <w:highlight w:val="none"/>
                <w:lang w:val="en-US" w:eastAsia="zh-CN"/>
              </w:rPr>
            </w:pPr>
            <w:r>
              <w:rPr>
                <w:rFonts w:hint="default" w:ascii="Times New Roman" w:hAnsi="Times New Roman" w:cs="Times New Roman"/>
                <w:color w:val="0000FF"/>
                <w:sz w:val="21"/>
                <w:szCs w:val="21"/>
              </w:rPr>
              <w:t>冬季(12,1,2月)</w:t>
            </w:r>
          </w:p>
        </w:tc>
        <w:tc>
          <w:tcPr>
            <w:tcW w:w="763"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6A3D26B">
            <w:pPr>
              <w:keepNext w:val="0"/>
              <w:keepLines w:val="0"/>
              <w:pageBreakBefore w:val="0"/>
              <w:widowControl w:val="0"/>
              <w:kinsoku/>
              <w:wordWrap/>
              <w:overflowPunct/>
              <w:topLinePunct w:val="0"/>
              <w:autoSpaceDE/>
              <w:autoSpaceDN/>
              <w:bidi w:val="0"/>
              <w:adjustRightInd/>
              <w:snapToGrid w:val="0"/>
              <w:spacing w:line="264" w:lineRule="auto"/>
              <w:ind w:firstLine="0" w:firstLineChars="0"/>
              <w:jc w:val="center"/>
              <w:textAlignment w:val="auto"/>
              <w:rPr>
                <w:rFonts w:hint="default" w:ascii="Times New Roman" w:hAnsi="Times New Roman" w:eastAsia="宋体" w:cs="Times New Roman"/>
                <w:b w:val="0"/>
                <w:bCs/>
                <w:color w:val="0000FF"/>
                <w:sz w:val="21"/>
                <w:szCs w:val="21"/>
                <w:highlight w:val="none"/>
                <w:lang w:val="en-US" w:eastAsia="zh-CN"/>
              </w:rPr>
            </w:pPr>
            <w:r>
              <w:rPr>
                <w:rFonts w:hint="default" w:ascii="Times New Roman" w:hAnsi="Times New Roman" w:cs="Times New Roman"/>
                <w:color w:val="0000FF"/>
                <w:sz w:val="21"/>
                <w:szCs w:val="21"/>
              </w:rPr>
              <w:t>0.5</w:t>
            </w:r>
          </w:p>
        </w:tc>
        <w:tc>
          <w:tcPr>
            <w:tcW w:w="763"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36667D7">
            <w:pPr>
              <w:keepNext w:val="0"/>
              <w:keepLines w:val="0"/>
              <w:pageBreakBefore w:val="0"/>
              <w:widowControl w:val="0"/>
              <w:kinsoku/>
              <w:wordWrap/>
              <w:overflowPunct/>
              <w:topLinePunct w:val="0"/>
              <w:autoSpaceDE/>
              <w:autoSpaceDN/>
              <w:bidi w:val="0"/>
              <w:adjustRightInd/>
              <w:snapToGrid w:val="0"/>
              <w:spacing w:line="264" w:lineRule="auto"/>
              <w:ind w:firstLine="0" w:firstLineChars="0"/>
              <w:jc w:val="center"/>
              <w:textAlignment w:val="auto"/>
              <w:rPr>
                <w:rFonts w:hint="default" w:ascii="Times New Roman" w:hAnsi="Times New Roman" w:eastAsia="宋体" w:cs="Times New Roman"/>
                <w:b w:val="0"/>
                <w:bCs/>
                <w:color w:val="0000FF"/>
                <w:sz w:val="21"/>
                <w:szCs w:val="21"/>
                <w:highlight w:val="none"/>
                <w:lang w:val="en-US" w:eastAsia="zh-CN"/>
              </w:rPr>
            </w:pPr>
            <w:r>
              <w:rPr>
                <w:rFonts w:hint="default" w:ascii="Times New Roman" w:hAnsi="Times New Roman" w:cs="Times New Roman"/>
                <w:color w:val="0000FF"/>
                <w:sz w:val="21"/>
                <w:szCs w:val="21"/>
              </w:rPr>
              <w:t>1.5</w:t>
            </w:r>
          </w:p>
        </w:tc>
        <w:tc>
          <w:tcPr>
            <w:tcW w:w="763" w:type="pct"/>
            <w:tcBorders>
              <w:top w:val="single" w:color="auto" w:sz="4" w:space="0"/>
              <w:left w:val="single" w:color="auto" w:sz="4" w:space="0"/>
              <w:bottom w:val="single" w:color="auto" w:sz="4" w:space="0"/>
              <w:right w:val="nil"/>
            </w:tcBorders>
            <w:shd w:val="clear" w:color="auto" w:fill="auto"/>
            <w:noWrap/>
            <w:vAlign w:val="center"/>
          </w:tcPr>
          <w:p w14:paraId="3C349399">
            <w:pPr>
              <w:keepNext w:val="0"/>
              <w:keepLines w:val="0"/>
              <w:pageBreakBefore w:val="0"/>
              <w:widowControl w:val="0"/>
              <w:kinsoku/>
              <w:wordWrap/>
              <w:overflowPunct/>
              <w:topLinePunct w:val="0"/>
              <w:autoSpaceDE/>
              <w:autoSpaceDN/>
              <w:bidi w:val="0"/>
              <w:adjustRightInd/>
              <w:snapToGrid w:val="0"/>
              <w:spacing w:line="264" w:lineRule="auto"/>
              <w:ind w:firstLine="0" w:firstLineChars="0"/>
              <w:jc w:val="center"/>
              <w:textAlignment w:val="auto"/>
              <w:rPr>
                <w:rFonts w:hint="default" w:ascii="Times New Roman" w:hAnsi="Times New Roman" w:eastAsia="宋体" w:cs="Times New Roman"/>
                <w:b w:val="0"/>
                <w:bCs/>
                <w:color w:val="0000FF"/>
                <w:sz w:val="21"/>
                <w:szCs w:val="21"/>
                <w:highlight w:val="none"/>
                <w:lang w:val="en-US" w:eastAsia="zh-CN"/>
              </w:rPr>
            </w:pPr>
            <w:r>
              <w:rPr>
                <w:rFonts w:hint="default" w:ascii="Times New Roman" w:hAnsi="Times New Roman" w:cs="Times New Roman"/>
                <w:color w:val="0000FF"/>
                <w:sz w:val="21"/>
                <w:szCs w:val="21"/>
              </w:rPr>
              <w:t>0.5</w:t>
            </w:r>
          </w:p>
        </w:tc>
      </w:tr>
      <w:tr w14:paraId="3826113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763" w:type="pct"/>
            <w:tcBorders>
              <w:top w:val="single" w:color="auto" w:sz="4" w:space="0"/>
              <w:left w:val="nil"/>
              <w:bottom w:val="single" w:color="auto" w:sz="4" w:space="0"/>
              <w:right w:val="single" w:color="auto" w:sz="4" w:space="0"/>
            </w:tcBorders>
            <w:shd w:val="clear" w:color="auto" w:fill="auto"/>
            <w:noWrap/>
            <w:vAlign w:val="center"/>
          </w:tcPr>
          <w:p w14:paraId="6F704D68">
            <w:pPr>
              <w:keepNext w:val="0"/>
              <w:keepLines w:val="0"/>
              <w:pageBreakBefore w:val="0"/>
              <w:widowControl w:val="0"/>
              <w:kinsoku/>
              <w:wordWrap/>
              <w:overflowPunct/>
              <w:topLinePunct w:val="0"/>
              <w:autoSpaceDE/>
              <w:autoSpaceDN/>
              <w:bidi w:val="0"/>
              <w:adjustRightInd/>
              <w:snapToGrid w:val="0"/>
              <w:spacing w:line="264" w:lineRule="auto"/>
              <w:ind w:firstLine="0" w:firstLineChars="0"/>
              <w:jc w:val="center"/>
              <w:textAlignment w:val="auto"/>
              <w:rPr>
                <w:rFonts w:hint="default" w:ascii="Times New Roman" w:hAnsi="Times New Roman" w:eastAsia="宋体" w:cs="Times New Roman"/>
                <w:b w:val="0"/>
                <w:bCs/>
                <w:color w:val="0000FF"/>
                <w:sz w:val="21"/>
                <w:szCs w:val="21"/>
                <w:highlight w:val="none"/>
                <w:lang w:val="en-US" w:eastAsia="zh-CN"/>
              </w:rPr>
            </w:pPr>
            <w:r>
              <w:rPr>
                <w:rFonts w:hint="default" w:ascii="Times New Roman" w:hAnsi="Times New Roman" w:cs="Times New Roman"/>
                <w:color w:val="0000FF"/>
                <w:sz w:val="21"/>
                <w:szCs w:val="21"/>
              </w:rPr>
              <w:t>14</w:t>
            </w:r>
          </w:p>
        </w:tc>
        <w:tc>
          <w:tcPr>
            <w:tcW w:w="763"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ACF4F92">
            <w:pPr>
              <w:keepNext w:val="0"/>
              <w:keepLines w:val="0"/>
              <w:pageBreakBefore w:val="0"/>
              <w:widowControl w:val="0"/>
              <w:kinsoku/>
              <w:wordWrap/>
              <w:overflowPunct/>
              <w:topLinePunct w:val="0"/>
              <w:autoSpaceDE/>
              <w:autoSpaceDN/>
              <w:bidi w:val="0"/>
              <w:adjustRightInd/>
              <w:snapToGrid w:val="0"/>
              <w:spacing w:line="264" w:lineRule="auto"/>
              <w:ind w:firstLine="0" w:firstLineChars="0"/>
              <w:jc w:val="center"/>
              <w:textAlignment w:val="auto"/>
              <w:rPr>
                <w:rFonts w:hint="default" w:ascii="Times New Roman" w:hAnsi="Times New Roman" w:eastAsia="宋体" w:cs="Times New Roman"/>
                <w:b w:val="0"/>
                <w:bCs/>
                <w:color w:val="0000FF"/>
                <w:sz w:val="21"/>
                <w:szCs w:val="21"/>
                <w:highlight w:val="none"/>
                <w:lang w:val="en-US" w:eastAsia="zh-CN"/>
              </w:rPr>
            </w:pPr>
            <w:r>
              <w:rPr>
                <w:rFonts w:hint="default" w:ascii="Times New Roman" w:hAnsi="Times New Roman" w:cs="Times New Roman"/>
                <w:color w:val="0000FF"/>
                <w:sz w:val="21"/>
                <w:szCs w:val="21"/>
              </w:rPr>
              <w:t>310-15</w:t>
            </w:r>
          </w:p>
        </w:tc>
        <w:tc>
          <w:tcPr>
            <w:tcW w:w="118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7B8937D">
            <w:pPr>
              <w:keepNext w:val="0"/>
              <w:keepLines w:val="0"/>
              <w:pageBreakBefore w:val="0"/>
              <w:widowControl w:val="0"/>
              <w:kinsoku/>
              <w:wordWrap/>
              <w:overflowPunct/>
              <w:topLinePunct w:val="0"/>
              <w:autoSpaceDE/>
              <w:autoSpaceDN/>
              <w:bidi w:val="0"/>
              <w:adjustRightInd/>
              <w:snapToGrid w:val="0"/>
              <w:spacing w:line="264" w:lineRule="auto"/>
              <w:ind w:firstLine="0" w:firstLineChars="0"/>
              <w:jc w:val="center"/>
              <w:textAlignment w:val="auto"/>
              <w:rPr>
                <w:rFonts w:hint="default" w:ascii="Times New Roman" w:hAnsi="Times New Roman" w:eastAsia="宋体" w:cs="Times New Roman"/>
                <w:b w:val="0"/>
                <w:bCs/>
                <w:color w:val="0000FF"/>
                <w:sz w:val="21"/>
                <w:szCs w:val="21"/>
                <w:highlight w:val="none"/>
                <w:lang w:val="en-US" w:eastAsia="zh-CN"/>
              </w:rPr>
            </w:pPr>
            <w:r>
              <w:rPr>
                <w:rFonts w:hint="default" w:ascii="Times New Roman" w:hAnsi="Times New Roman" w:cs="Times New Roman"/>
                <w:color w:val="0000FF"/>
                <w:sz w:val="21"/>
                <w:szCs w:val="21"/>
              </w:rPr>
              <w:t>春季(3,4,5月)</w:t>
            </w:r>
          </w:p>
        </w:tc>
        <w:tc>
          <w:tcPr>
            <w:tcW w:w="763"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BECA42E">
            <w:pPr>
              <w:keepNext w:val="0"/>
              <w:keepLines w:val="0"/>
              <w:pageBreakBefore w:val="0"/>
              <w:widowControl w:val="0"/>
              <w:kinsoku/>
              <w:wordWrap/>
              <w:overflowPunct/>
              <w:topLinePunct w:val="0"/>
              <w:autoSpaceDE/>
              <w:autoSpaceDN/>
              <w:bidi w:val="0"/>
              <w:adjustRightInd/>
              <w:snapToGrid w:val="0"/>
              <w:spacing w:line="264" w:lineRule="auto"/>
              <w:ind w:firstLine="0" w:firstLineChars="0"/>
              <w:jc w:val="center"/>
              <w:textAlignment w:val="auto"/>
              <w:rPr>
                <w:rFonts w:hint="default" w:ascii="Times New Roman" w:hAnsi="Times New Roman" w:eastAsia="宋体" w:cs="Times New Roman"/>
                <w:b w:val="0"/>
                <w:bCs/>
                <w:color w:val="0000FF"/>
                <w:sz w:val="21"/>
                <w:szCs w:val="21"/>
                <w:highlight w:val="none"/>
                <w:lang w:val="en-US" w:eastAsia="zh-CN"/>
              </w:rPr>
            </w:pPr>
            <w:r>
              <w:rPr>
                <w:rFonts w:hint="default" w:ascii="Times New Roman" w:hAnsi="Times New Roman" w:cs="Times New Roman"/>
                <w:color w:val="0000FF"/>
                <w:sz w:val="21"/>
                <w:szCs w:val="21"/>
              </w:rPr>
              <w:t>0.12</w:t>
            </w:r>
          </w:p>
        </w:tc>
        <w:tc>
          <w:tcPr>
            <w:tcW w:w="763"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907B9CE">
            <w:pPr>
              <w:keepNext w:val="0"/>
              <w:keepLines w:val="0"/>
              <w:pageBreakBefore w:val="0"/>
              <w:widowControl w:val="0"/>
              <w:kinsoku/>
              <w:wordWrap/>
              <w:overflowPunct/>
              <w:topLinePunct w:val="0"/>
              <w:autoSpaceDE/>
              <w:autoSpaceDN/>
              <w:bidi w:val="0"/>
              <w:adjustRightInd/>
              <w:snapToGrid w:val="0"/>
              <w:spacing w:line="264" w:lineRule="auto"/>
              <w:ind w:firstLine="0" w:firstLineChars="0"/>
              <w:jc w:val="center"/>
              <w:textAlignment w:val="auto"/>
              <w:rPr>
                <w:rFonts w:hint="default" w:ascii="Times New Roman" w:hAnsi="Times New Roman" w:eastAsia="宋体" w:cs="Times New Roman"/>
                <w:b w:val="0"/>
                <w:bCs/>
                <w:color w:val="0000FF"/>
                <w:sz w:val="21"/>
                <w:szCs w:val="21"/>
                <w:highlight w:val="none"/>
                <w:lang w:val="en-US" w:eastAsia="zh-CN"/>
              </w:rPr>
            </w:pPr>
            <w:r>
              <w:rPr>
                <w:rFonts w:hint="default" w:ascii="Times New Roman" w:hAnsi="Times New Roman" w:cs="Times New Roman"/>
                <w:color w:val="0000FF"/>
                <w:sz w:val="21"/>
                <w:szCs w:val="21"/>
              </w:rPr>
              <w:t>0.7</w:t>
            </w:r>
          </w:p>
        </w:tc>
        <w:tc>
          <w:tcPr>
            <w:tcW w:w="763" w:type="pct"/>
            <w:tcBorders>
              <w:top w:val="single" w:color="auto" w:sz="4" w:space="0"/>
              <w:left w:val="single" w:color="auto" w:sz="4" w:space="0"/>
              <w:bottom w:val="single" w:color="auto" w:sz="4" w:space="0"/>
              <w:right w:val="nil"/>
            </w:tcBorders>
            <w:shd w:val="clear" w:color="auto" w:fill="auto"/>
            <w:noWrap/>
            <w:vAlign w:val="center"/>
          </w:tcPr>
          <w:p w14:paraId="6163F1CE">
            <w:pPr>
              <w:keepNext w:val="0"/>
              <w:keepLines w:val="0"/>
              <w:pageBreakBefore w:val="0"/>
              <w:widowControl w:val="0"/>
              <w:kinsoku/>
              <w:wordWrap/>
              <w:overflowPunct/>
              <w:topLinePunct w:val="0"/>
              <w:autoSpaceDE/>
              <w:autoSpaceDN/>
              <w:bidi w:val="0"/>
              <w:adjustRightInd/>
              <w:snapToGrid w:val="0"/>
              <w:spacing w:line="264" w:lineRule="auto"/>
              <w:ind w:firstLine="0" w:firstLineChars="0"/>
              <w:jc w:val="center"/>
              <w:textAlignment w:val="auto"/>
              <w:rPr>
                <w:rFonts w:hint="default" w:ascii="Times New Roman" w:hAnsi="Times New Roman" w:eastAsia="宋体" w:cs="Times New Roman"/>
                <w:b w:val="0"/>
                <w:bCs/>
                <w:color w:val="0000FF"/>
                <w:sz w:val="21"/>
                <w:szCs w:val="21"/>
                <w:highlight w:val="none"/>
                <w:lang w:val="en-US" w:eastAsia="zh-CN"/>
              </w:rPr>
            </w:pPr>
            <w:r>
              <w:rPr>
                <w:rFonts w:hint="default" w:ascii="Times New Roman" w:hAnsi="Times New Roman" w:cs="Times New Roman"/>
                <w:color w:val="0000FF"/>
                <w:sz w:val="21"/>
                <w:szCs w:val="21"/>
              </w:rPr>
              <w:t>1</w:t>
            </w:r>
          </w:p>
        </w:tc>
      </w:tr>
      <w:tr w14:paraId="681B27F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763" w:type="pct"/>
            <w:tcBorders>
              <w:top w:val="single" w:color="auto" w:sz="4" w:space="0"/>
              <w:left w:val="nil"/>
              <w:bottom w:val="single" w:color="auto" w:sz="4" w:space="0"/>
              <w:right w:val="single" w:color="auto" w:sz="4" w:space="0"/>
            </w:tcBorders>
            <w:shd w:val="clear" w:color="auto" w:fill="auto"/>
            <w:noWrap/>
            <w:vAlign w:val="center"/>
          </w:tcPr>
          <w:p w14:paraId="6D67E1EC">
            <w:pPr>
              <w:keepNext w:val="0"/>
              <w:keepLines w:val="0"/>
              <w:pageBreakBefore w:val="0"/>
              <w:widowControl w:val="0"/>
              <w:kinsoku/>
              <w:wordWrap/>
              <w:overflowPunct/>
              <w:topLinePunct w:val="0"/>
              <w:autoSpaceDE/>
              <w:autoSpaceDN/>
              <w:bidi w:val="0"/>
              <w:adjustRightInd/>
              <w:snapToGrid w:val="0"/>
              <w:spacing w:line="264" w:lineRule="auto"/>
              <w:ind w:firstLine="0" w:firstLineChars="0"/>
              <w:jc w:val="center"/>
              <w:textAlignment w:val="auto"/>
              <w:rPr>
                <w:rFonts w:hint="default" w:ascii="Times New Roman" w:hAnsi="Times New Roman" w:eastAsia="宋体" w:cs="Times New Roman"/>
                <w:b w:val="0"/>
                <w:bCs/>
                <w:color w:val="0000FF"/>
                <w:sz w:val="21"/>
                <w:szCs w:val="21"/>
                <w:highlight w:val="none"/>
                <w:lang w:val="en-US" w:eastAsia="zh-CN"/>
              </w:rPr>
            </w:pPr>
            <w:r>
              <w:rPr>
                <w:rFonts w:hint="default" w:ascii="Times New Roman" w:hAnsi="Times New Roman" w:cs="Times New Roman"/>
                <w:color w:val="0000FF"/>
                <w:sz w:val="21"/>
                <w:szCs w:val="21"/>
              </w:rPr>
              <w:t>15</w:t>
            </w:r>
          </w:p>
        </w:tc>
        <w:tc>
          <w:tcPr>
            <w:tcW w:w="763"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610A6D6">
            <w:pPr>
              <w:keepNext w:val="0"/>
              <w:keepLines w:val="0"/>
              <w:pageBreakBefore w:val="0"/>
              <w:widowControl w:val="0"/>
              <w:kinsoku/>
              <w:wordWrap/>
              <w:overflowPunct/>
              <w:topLinePunct w:val="0"/>
              <w:autoSpaceDE/>
              <w:autoSpaceDN/>
              <w:bidi w:val="0"/>
              <w:adjustRightInd/>
              <w:snapToGrid w:val="0"/>
              <w:spacing w:line="264" w:lineRule="auto"/>
              <w:ind w:firstLine="0" w:firstLineChars="0"/>
              <w:jc w:val="center"/>
              <w:textAlignment w:val="auto"/>
              <w:rPr>
                <w:rFonts w:hint="default" w:ascii="Times New Roman" w:hAnsi="Times New Roman" w:eastAsia="宋体" w:cs="Times New Roman"/>
                <w:b w:val="0"/>
                <w:bCs/>
                <w:color w:val="0000FF"/>
                <w:sz w:val="21"/>
                <w:szCs w:val="21"/>
                <w:highlight w:val="none"/>
                <w:lang w:val="en-US" w:eastAsia="zh-CN"/>
              </w:rPr>
            </w:pPr>
            <w:r>
              <w:rPr>
                <w:rFonts w:hint="default" w:ascii="Times New Roman" w:hAnsi="Times New Roman" w:cs="Times New Roman"/>
                <w:color w:val="0000FF"/>
                <w:sz w:val="21"/>
                <w:szCs w:val="21"/>
              </w:rPr>
              <w:t>310-15</w:t>
            </w:r>
          </w:p>
        </w:tc>
        <w:tc>
          <w:tcPr>
            <w:tcW w:w="118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0300B8A">
            <w:pPr>
              <w:keepNext w:val="0"/>
              <w:keepLines w:val="0"/>
              <w:pageBreakBefore w:val="0"/>
              <w:widowControl w:val="0"/>
              <w:kinsoku/>
              <w:wordWrap/>
              <w:overflowPunct/>
              <w:topLinePunct w:val="0"/>
              <w:autoSpaceDE/>
              <w:autoSpaceDN/>
              <w:bidi w:val="0"/>
              <w:adjustRightInd/>
              <w:snapToGrid w:val="0"/>
              <w:spacing w:line="264" w:lineRule="auto"/>
              <w:ind w:firstLine="0" w:firstLineChars="0"/>
              <w:jc w:val="center"/>
              <w:textAlignment w:val="auto"/>
              <w:rPr>
                <w:rFonts w:hint="default" w:ascii="Times New Roman" w:hAnsi="Times New Roman" w:eastAsia="宋体" w:cs="Times New Roman"/>
                <w:b w:val="0"/>
                <w:bCs/>
                <w:color w:val="0000FF"/>
                <w:sz w:val="21"/>
                <w:szCs w:val="21"/>
                <w:highlight w:val="none"/>
                <w:lang w:val="en-US" w:eastAsia="zh-CN"/>
              </w:rPr>
            </w:pPr>
            <w:r>
              <w:rPr>
                <w:rFonts w:hint="default" w:ascii="Times New Roman" w:hAnsi="Times New Roman" w:cs="Times New Roman"/>
                <w:color w:val="0000FF"/>
                <w:sz w:val="21"/>
                <w:szCs w:val="21"/>
              </w:rPr>
              <w:t>夏季(6,7,8月)</w:t>
            </w:r>
          </w:p>
        </w:tc>
        <w:tc>
          <w:tcPr>
            <w:tcW w:w="763"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60FFFEC">
            <w:pPr>
              <w:keepNext w:val="0"/>
              <w:keepLines w:val="0"/>
              <w:pageBreakBefore w:val="0"/>
              <w:widowControl w:val="0"/>
              <w:kinsoku/>
              <w:wordWrap/>
              <w:overflowPunct/>
              <w:topLinePunct w:val="0"/>
              <w:autoSpaceDE/>
              <w:autoSpaceDN/>
              <w:bidi w:val="0"/>
              <w:adjustRightInd/>
              <w:snapToGrid w:val="0"/>
              <w:spacing w:line="264" w:lineRule="auto"/>
              <w:ind w:firstLine="0" w:firstLineChars="0"/>
              <w:jc w:val="center"/>
              <w:textAlignment w:val="auto"/>
              <w:rPr>
                <w:rFonts w:hint="default" w:ascii="Times New Roman" w:hAnsi="Times New Roman" w:eastAsia="宋体" w:cs="Times New Roman"/>
                <w:b w:val="0"/>
                <w:bCs/>
                <w:color w:val="0000FF"/>
                <w:sz w:val="21"/>
                <w:szCs w:val="21"/>
                <w:highlight w:val="none"/>
                <w:lang w:val="en-US" w:eastAsia="zh-CN"/>
              </w:rPr>
            </w:pPr>
            <w:r>
              <w:rPr>
                <w:rFonts w:hint="default" w:ascii="Times New Roman" w:hAnsi="Times New Roman" w:cs="Times New Roman"/>
                <w:color w:val="0000FF"/>
                <w:sz w:val="21"/>
                <w:szCs w:val="21"/>
              </w:rPr>
              <w:t>0.12</w:t>
            </w:r>
          </w:p>
        </w:tc>
        <w:tc>
          <w:tcPr>
            <w:tcW w:w="763"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CDD7A43">
            <w:pPr>
              <w:keepNext w:val="0"/>
              <w:keepLines w:val="0"/>
              <w:pageBreakBefore w:val="0"/>
              <w:widowControl w:val="0"/>
              <w:kinsoku/>
              <w:wordWrap/>
              <w:overflowPunct/>
              <w:topLinePunct w:val="0"/>
              <w:autoSpaceDE/>
              <w:autoSpaceDN/>
              <w:bidi w:val="0"/>
              <w:adjustRightInd/>
              <w:snapToGrid w:val="0"/>
              <w:spacing w:line="264" w:lineRule="auto"/>
              <w:ind w:firstLine="0" w:firstLineChars="0"/>
              <w:jc w:val="center"/>
              <w:textAlignment w:val="auto"/>
              <w:rPr>
                <w:rFonts w:hint="default" w:ascii="Times New Roman" w:hAnsi="Times New Roman" w:eastAsia="宋体" w:cs="Times New Roman"/>
                <w:b w:val="0"/>
                <w:bCs/>
                <w:color w:val="0000FF"/>
                <w:sz w:val="21"/>
                <w:szCs w:val="21"/>
                <w:highlight w:val="none"/>
                <w:lang w:val="en-US" w:eastAsia="zh-CN"/>
              </w:rPr>
            </w:pPr>
            <w:r>
              <w:rPr>
                <w:rFonts w:hint="default" w:ascii="Times New Roman" w:hAnsi="Times New Roman" w:cs="Times New Roman"/>
                <w:color w:val="0000FF"/>
                <w:sz w:val="21"/>
                <w:szCs w:val="21"/>
              </w:rPr>
              <w:t>0.3</w:t>
            </w:r>
          </w:p>
        </w:tc>
        <w:tc>
          <w:tcPr>
            <w:tcW w:w="763" w:type="pct"/>
            <w:tcBorders>
              <w:top w:val="single" w:color="auto" w:sz="4" w:space="0"/>
              <w:left w:val="single" w:color="auto" w:sz="4" w:space="0"/>
              <w:bottom w:val="single" w:color="auto" w:sz="4" w:space="0"/>
              <w:right w:val="nil"/>
            </w:tcBorders>
            <w:shd w:val="clear" w:color="auto" w:fill="auto"/>
            <w:noWrap/>
            <w:vAlign w:val="center"/>
          </w:tcPr>
          <w:p w14:paraId="42369066">
            <w:pPr>
              <w:keepNext w:val="0"/>
              <w:keepLines w:val="0"/>
              <w:pageBreakBefore w:val="0"/>
              <w:widowControl w:val="0"/>
              <w:kinsoku/>
              <w:wordWrap/>
              <w:overflowPunct/>
              <w:topLinePunct w:val="0"/>
              <w:autoSpaceDE/>
              <w:autoSpaceDN/>
              <w:bidi w:val="0"/>
              <w:adjustRightInd/>
              <w:snapToGrid w:val="0"/>
              <w:spacing w:line="264" w:lineRule="auto"/>
              <w:ind w:firstLine="0" w:firstLineChars="0"/>
              <w:jc w:val="center"/>
              <w:textAlignment w:val="auto"/>
              <w:rPr>
                <w:rFonts w:hint="default" w:ascii="Times New Roman" w:hAnsi="Times New Roman" w:eastAsia="宋体" w:cs="Times New Roman"/>
                <w:b w:val="0"/>
                <w:bCs/>
                <w:color w:val="0000FF"/>
                <w:sz w:val="21"/>
                <w:szCs w:val="21"/>
                <w:highlight w:val="none"/>
                <w:lang w:val="en-US" w:eastAsia="zh-CN"/>
              </w:rPr>
            </w:pPr>
            <w:r>
              <w:rPr>
                <w:rFonts w:hint="default" w:ascii="Times New Roman" w:hAnsi="Times New Roman" w:cs="Times New Roman"/>
                <w:color w:val="0000FF"/>
                <w:sz w:val="21"/>
                <w:szCs w:val="21"/>
              </w:rPr>
              <w:t>1.3</w:t>
            </w:r>
          </w:p>
        </w:tc>
      </w:tr>
      <w:tr w14:paraId="236164F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763" w:type="pct"/>
            <w:tcBorders>
              <w:top w:val="single" w:color="auto" w:sz="4" w:space="0"/>
              <w:left w:val="nil"/>
              <w:bottom w:val="double" w:color="auto" w:sz="4" w:space="0"/>
              <w:right w:val="single" w:color="auto" w:sz="4" w:space="0"/>
            </w:tcBorders>
            <w:shd w:val="clear" w:color="auto" w:fill="auto"/>
            <w:noWrap/>
            <w:vAlign w:val="center"/>
          </w:tcPr>
          <w:p w14:paraId="45EA0DDD">
            <w:pPr>
              <w:keepNext w:val="0"/>
              <w:keepLines w:val="0"/>
              <w:pageBreakBefore w:val="0"/>
              <w:widowControl w:val="0"/>
              <w:kinsoku/>
              <w:wordWrap/>
              <w:overflowPunct/>
              <w:topLinePunct w:val="0"/>
              <w:autoSpaceDE/>
              <w:autoSpaceDN/>
              <w:bidi w:val="0"/>
              <w:adjustRightInd/>
              <w:snapToGrid w:val="0"/>
              <w:spacing w:line="264" w:lineRule="auto"/>
              <w:ind w:firstLine="0" w:firstLineChars="0"/>
              <w:jc w:val="center"/>
              <w:textAlignment w:val="auto"/>
              <w:rPr>
                <w:rFonts w:hint="default" w:ascii="Times New Roman" w:hAnsi="Times New Roman" w:eastAsia="宋体" w:cs="Times New Roman"/>
                <w:b w:val="0"/>
                <w:bCs/>
                <w:color w:val="0000FF"/>
                <w:sz w:val="21"/>
                <w:szCs w:val="21"/>
                <w:highlight w:val="none"/>
                <w:lang w:val="en-US" w:eastAsia="zh-CN"/>
              </w:rPr>
            </w:pPr>
            <w:r>
              <w:rPr>
                <w:rFonts w:hint="default" w:ascii="Times New Roman" w:hAnsi="Times New Roman" w:cs="Times New Roman"/>
                <w:color w:val="0000FF"/>
                <w:sz w:val="21"/>
                <w:szCs w:val="21"/>
              </w:rPr>
              <w:t>16</w:t>
            </w:r>
          </w:p>
        </w:tc>
        <w:tc>
          <w:tcPr>
            <w:tcW w:w="763" w:type="pct"/>
            <w:tcBorders>
              <w:top w:val="single" w:color="auto" w:sz="4" w:space="0"/>
              <w:left w:val="single" w:color="auto" w:sz="4" w:space="0"/>
              <w:bottom w:val="double" w:color="auto" w:sz="4" w:space="0"/>
              <w:right w:val="single" w:color="auto" w:sz="4" w:space="0"/>
            </w:tcBorders>
            <w:shd w:val="clear" w:color="auto" w:fill="auto"/>
            <w:noWrap/>
            <w:vAlign w:val="center"/>
          </w:tcPr>
          <w:p w14:paraId="3C95F46E">
            <w:pPr>
              <w:keepNext w:val="0"/>
              <w:keepLines w:val="0"/>
              <w:pageBreakBefore w:val="0"/>
              <w:widowControl w:val="0"/>
              <w:kinsoku/>
              <w:wordWrap/>
              <w:overflowPunct/>
              <w:topLinePunct w:val="0"/>
              <w:autoSpaceDE/>
              <w:autoSpaceDN/>
              <w:bidi w:val="0"/>
              <w:adjustRightInd/>
              <w:snapToGrid w:val="0"/>
              <w:spacing w:line="264" w:lineRule="auto"/>
              <w:ind w:firstLine="0" w:firstLineChars="0"/>
              <w:jc w:val="center"/>
              <w:textAlignment w:val="auto"/>
              <w:rPr>
                <w:rFonts w:hint="default" w:ascii="Times New Roman" w:hAnsi="Times New Roman" w:eastAsia="宋体" w:cs="Times New Roman"/>
                <w:b w:val="0"/>
                <w:bCs/>
                <w:color w:val="0000FF"/>
                <w:sz w:val="21"/>
                <w:szCs w:val="21"/>
                <w:highlight w:val="none"/>
                <w:lang w:val="en-US" w:eastAsia="zh-CN"/>
              </w:rPr>
            </w:pPr>
            <w:r>
              <w:rPr>
                <w:rFonts w:hint="default" w:ascii="Times New Roman" w:hAnsi="Times New Roman" w:cs="Times New Roman"/>
                <w:color w:val="0000FF"/>
                <w:sz w:val="21"/>
                <w:szCs w:val="21"/>
              </w:rPr>
              <w:t>310-15</w:t>
            </w:r>
          </w:p>
        </w:tc>
        <w:tc>
          <w:tcPr>
            <w:tcW w:w="1180" w:type="pct"/>
            <w:tcBorders>
              <w:top w:val="single" w:color="auto" w:sz="4" w:space="0"/>
              <w:left w:val="single" w:color="auto" w:sz="4" w:space="0"/>
              <w:bottom w:val="double" w:color="auto" w:sz="4" w:space="0"/>
              <w:right w:val="single" w:color="auto" w:sz="4" w:space="0"/>
            </w:tcBorders>
            <w:shd w:val="clear" w:color="auto" w:fill="auto"/>
            <w:noWrap/>
            <w:vAlign w:val="center"/>
          </w:tcPr>
          <w:p w14:paraId="2757A0B0">
            <w:pPr>
              <w:keepNext w:val="0"/>
              <w:keepLines w:val="0"/>
              <w:pageBreakBefore w:val="0"/>
              <w:widowControl w:val="0"/>
              <w:kinsoku/>
              <w:wordWrap/>
              <w:overflowPunct/>
              <w:topLinePunct w:val="0"/>
              <w:autoSpaceDE/>
              <w:autoSpaceDN/>
              <w:bidi w:val="0"/>
              <w:adjustRightInd/>
              <w:snapToGrid w:val="0"/>
              <w:spacing w:line="264" w:lineRule="auto"/>
              <w:ind w:firstLine="0" w:firstLineChars="0"/>
              <w:jc w:val="center"/>
              <w:textAlignment w:val="auto"/>
              <w:rPr>
                <w:rFonts w:hint="default" w:ascii="Times New Roman" w:hAnsi="Times New Roman" w:eastAsia="宋体" w:cs="Times New Roman"/>
                <w:b w:val="0"/>
                <w:bCs/>
                <w:color w:val="0000FF"/>
                <w:sz w:val="21"/>
                <w:szCs w:val="21"/>
                <w:highlight w:val="none"/>
                <w:lang w:val="en-US" w:eastAsia="zh-CN"/>
              </w:rPr>
            </w:pPr>
            <w:r>
              <w:rPr>
                <w:rFonts w:hint="default" w:ascii="Times New Roman" w:hAnsi="Times New Roman" w:cs="Times New Roman"/>
                <w:color w:val="0000FF"/>
                <w:sz w:val="21"/>
                <w:szCs w:val="21"/>
              </w:rPr>
              <w:t>秋季(9,10,11月)</w:t>
            </w:r>
          </w:p>
        </w:tc>
        <w:tc>
          <w:tcPr>
            <w:tcW w:w="763" w:type="pct"/>
            <w:tcBorders>
              <w:top w:val="single" w:color="auto" w:sz="4" w:space="0"/>
              <w:left w:val="single" w:color="auto" w:sz="4" w:space="0"/>
              <w:bottom w:val="double" w:color="auto" w:sz="4" w:space="0"/>
              <w:right w:val="single" w:color="auto" w:sz="4" w:space="0"/>
            </w:tcBorders>
            <w:shd w:val="clear" w:color="auto" w:fill="auto"/>
            <w:noWrap/>
            <w:vAlign w:val="center"/>
          </w:tcPr>
          <w:p w14:paraId="097474D1">
            <w:pPr>
              <w:keepNext w:val="0"/>
              <w:keepLines w:val="0"/>
              <w:pageBreakBefore w:val="0"/>
              <w:widowControl w:val="0"/>
              <w:kinsoku/>
              <w:wordWrap/>
              <w:overflowPunct/>
              <w:topLinePunct w:val="0"/>
              <w:autoSpaceDE/>
              <w:autoSpaceDN/>
              <w:bidi w:val="0"/>
              <w:adjustRightInd/>
              <w:snapToGrid w:val="0"/>
              <w:spacing w:line="264" w:lineRule="auto"/>
              <w:ind w:firstLine="0" w:firstLineChars="0"/>
              <w:jc w:val="center"/>
              <w:textAlignment w:val="auto"/>
              <w:rPr>
                <w:rFonts w:hint="default" w:ascii="Times New Roman" w:hAnsi="Times New Roman" w:eastAsia="宋体" w:cs="Times New Roman"/>
                <w:b w:val="0"/>
                <w:bCs/>
                <w:color w:val="0000FF"/>
                <w:sz w:val="21"/>
                <w:szCs w:val="21"/>
                <w:highlight w:val="none"/>
                <w:lang w:val="en-US" w:eastAsia="zh-CN"/>
              </w:rPr>
            </w:pPr>
            <w:r>
              <w:rPr>
                <w:rFonts w:hint="default" w:ascii="Times New Roman" w:hAnsi="Times New Roman" w:cs="Times New Roman"/>
                <w:color w:val="0000FF"/>
                <w:sz w:val="21"/>
                <w:szCs w:val="21"/>
              </w:rPr>
              <w:t>0.12</w:t>
            </w:r>
          </w:p>
        </w:tc>
        <w:tc>
          <w:tcPr>
            <w:tcW w:w="763" w:type="pct"/>
            <w:tcBorders>
              <w:top w:val="single" w:color="auto" w:sz="4" w:space="0"/>
              <w:left w:val="single" w:color="auto" w:sz="4" w:space="0"/>
              <w:bottom w:val="double" w:color="auto" w:sz="4" w:space="0"/>
              <w:right w:val="single" w:color="auto" w:sz="4" w:space="0"/>
            </w:tcBorders>
            <w:shd w:val="clear" w:color="auto" w:fill="auto"/>
            <w:noWrap/>
            <w:vAlign w:val="center"/>
          </w:tcPr>
          <w:p w14:paraId="56BFAC57">
            <w:pPr>
              <w:keepNext w:val="0"/>
              <w:keepLines w:val="0"/>
              <w:pageBreakBefore w:val="0"/>
              <w:widowControl w:val="0"/>
              <w:kinsoku/>
              <w:wordWrap/>
              <w:overflowPunct/>
              <w:topLinePunct w:val="0"/>
              <w:autoSpaceDE/>
              <w:autoSpaceDN/>
              <w:bidi w:val="0"/>
              <w:adjustRightInd/>
              <w:snapToGrid w:val="0"/>
              <w:spacing w:line="264" w:lineRule="auto"/>
              <w:ind w:firstLine="0" w:firstLineChars="0"/>
              <w:jc w:val="center"/>
              <w:textAlignment w:val="auto"/>
              <w:rPr>
                <w:rFonts w:hint="default" w:ascii="Times New Roman" w:hAnsi="Times New Roman" w:eastAsia="宋体" w:cs="Times New Roman"/>
                <w:b w:val="0"/>
                <w:bCs/>
                <w:color w:val="0000FF"/>
                <w:sz w:val="21"/>
                <w:szCs w:val="21"/>
                <w:highlight w:val="none"/>
                <w:lang w:val="en-US" w:eastAsia="zh-CN"/>
              </w:rPr>
            </w:pPr>
            <w:r>
              <w:rPr>
                <w:rFonts w:hint="default" w:ascii="Times New Roman" w:hAnsi="Times New Roman" w:cs="Times New Roman"/>
                <w:color w:val="0000FF"/>
                <w:sz w:val="21"/>
                <w:szCs w:val="21"/>
              </w:rPr>
              <w:t>1</w:t>
            </w:r>
          </w:p>
        </w:tc>
        <w:tc>
          <w:tcPr>
            <w:tcW w:w="763" w:type="pct"/>
            <w:tcBorders>
              <w:top w:val="single" w:color="auto" w:sz="4" w:space="0"/>
              <w:left w:val="single" w:color="auto" w:sz="4" w:space="0"/>
              <w:bottom w:val="double" w:color="auto" w:sz="4" w:space="0"/>
              <w:right w:val="nil"/>
            </w:tcBorders>
            <w:shd w:val="clear" w:color="auto" w:fill="auto"/>
            <w:noWrap/>
            <w:vAlign w:val="center"/>
          </w:tcPr>
          <w:p w14:paraId="6019CA8F">
            <w:pPr>
              <w:keepNext w:val="0"/>
              <w:keepLines w:val="0"/>
              <w:pageBreakBefore w:val="0"/>
              <w:widowControl w:val="0"/>
              <w:kinsoku/>
              <w:wordWrap/>
              <w:overflowPunct/>
              <w:topLinePunct w:val="0"/>
              <w:autoSpaceDE/>
              <w:autoSpaceDN/>
              <w:bidi w:val="0"/>
              <w:adjustRightInd/>
              <w:snapToGrid w:val="0"/>
              <w:spacing w:line="264" w:lineRule="auto"/>
              <w:ind w:firstLine="0" w:firstLineChars="0"/>
              <w:jc w:val="center"/>
              <w:textAlignment w:val="auto"/>
              <w:rPr>
                <w:rFonts w:hint="default" w:ascii="Times New Roman" w:hAnsi="Times New Roman" w:eastAsia="宋体" w:cs="Times New Roman"/>
                <w:b w:val="0"/>
                <w:bCs/>
                <w:color w:val="0000FF"/>
                <w:sz w:val="21"/>
                <w:szCs w:val="21"/>
                <w:highlight w:val="none"/>
                <w:lang w:val="en-US" w:eastAsia="zh-CN"/>
              </w:rPr>
            </w:pPr>
            <w:r>
              <w:rPr>
                <w:rFonts w:hint="default" w:ascii="Times New Roman" w:hAnsi="Times New Roman" w:cs="Times New Roman"/>
                <w:color w:val="0000FF"/>
                <w:sz w:val="21"/>
                <w:szCs w:val="21"/>
              </w:rPr>
              <w:t>0.8</w:t>
            </w:r>
          </w:p>
        </w:tc>
      </w:tr>
    </w:tbl>
    <w:p w14:paraId="70CDE796">
      <w:pPr>
        <w:pStyle w:val="7"/>
      </w:pPr>
      <w:bookmarkStart w:id="437" w:name="_Toc90026293"/>
      <w:bookmarkStart w:id="438" w:name="_Toc20337"/>
      <w:r>
        <w:rPr>
          <w:rFonts w:hint="eastAsia"/>
          <w:lang w:eastAsia="zh-CN"/>
        </w:rPr>
        <w:t>5</w:t>
      </w:r>
      <w:r>
        <w:t>.1.</w:t>
      </w:r>
      <w:r>
        <w:rPr>
          <w:lang w:eastAsia="zh-CN"/>
        </w:rPr>
        <w:t>4</w:t>
      </w:r>
      <w:r>
        <w:t xml:space="preserve"> 气象参数</w:t>
      </w:r>
      <w:bookmarkEnd w:id="437"/>
      <w:bookmarkEnd w:id="438"/>
    </w:p>
    <w:p w14:paraId="332927FB">
      <w:pPr>
        <w:pStyle w:val="133"/>
      </w:pPr>
      <w:r>
        <w:rPr>
          <w:rFonts w:hint="eastAsia"/>
          <w:lang w:eastAsia="zh-CN"/>
        </w:rPr>
        <w:t>5</w:t>
      </w:r>
      <w:r>
        <w:t>.1.4.1 气象资料来源</w:t>
      </w:r>
    </w:p>
    <w:p w14:paraId="19CA3EE9">
      <w:pPr>
        <w:keepNext w:val="0"/>
        <w:keepLines w:val="0"/>
        <w:pageBreakBefore w:val="0"/>
        <w:widowControl/>
        <w:kinsoku/>
        <w:wordWrap/>
        <w:overflowPunct/>
        <w:topLinePunct w:val="0"/>
        <w:autoSpaceDE/>
        <w:autoSpaceDN/>
        <w:bidi w:val="0"/>
        <w:adjustRightInd/>
        <w:snapToGrid w:val="0"/>
        <w:spacing w:line="360" w:lineRule="auto"/>
        <w:ind w:firstLine="480" w:firstLineChars="200"/>
        <w:jc w:val="both"/>
        <w:textAlignment w:val="auto"/>
        <w:rPr>
          <w:rFonts w:ascii="Times New Roman" w:hAnsi="Times New Roman" w:cs="Times New Roman"/>
          <w:color w:val="0000FF"/>
        </w:rPr>
      </w:pPr>
      <w:r>
        <w:rPr>
          <w:rFonts w:ascii="Times New Roman" w:hAnsi="Times New Roman" w:cs="Times New Roman"/>
          <w:color w:val="0000FF"/>
        </w:rPr>
        <w:t>本次预测所采用的气象数据主要为地面气象数据和高空气象数据两种。</w:t>
      </w:r>
    </w:p>
    <w:p w14:paraId="774FE29D">
      <w:pPr>
        <w:keepNext w:val="0"/>
        <w:keepLines w:val="0"/>
        <w:pageBreakBefore w:val="0"/>
        <w:widowControl/>
        <w:kinsoku/>
        <w:wordWrap/>
        <w:overflowPunct/>
        <w:topLinePunct w:val="0"/>
        <w:autoSpaceDE/>
        <w:autoSpaceDN/>
        <w:bidi w:val="0"/>
        <w:adjustRightInd/>
        <w:snapToGrid w:val="0"/>
        <w:spacing w:line="360" w:lineRule="auto"/>
        <w:ind w:firstLine="482" w:firstLineChars="200"/>
        <w:jc w:val="both"/>
        <w:textAlignment w:val="auto"/>
        <w:rPr>
          <w:rFonts w:ascii="Times New Roman" w:hAnsi="Times New Roman" w:cs="Times New Roman"/>
          <w:b/>
        </w:rPr>
      </w:pPr>
      <w:r>
        <w:rPr>
          <w:rFonts w:ascii="Times New Roman" w:hAnsi="Times New Roman" w:cs="Times New Roman"/>
          <w:b/>
        </w:rPr>
        <w:t>（1）地面常规气象数据</w:t>
      </w:r>
    </w:p>
    <w:p w14:paraId="0217C907">
      <w:pPr>
        <w:keepNext w:val="0"/>
        <w:keepLines w:val="0"/>
        <w:pageBreakBefore w:val="0"/>
        <w:widowControl/>
        <w:kinsoku/>
        <w:wordWrap/>
        <w:overflowPunct/>
        <w:topLinePunct w:val="0"/>
        <w:autoSpaceDE/>
        <w:autoSpaceDN/>
        <w:bidi w:val="0"/>
        <w:adjustRightInd/>
        <w:snapToGrid w:val="0"/>
        <w:spacing w:line="360" w:lineRule="auto"/>
        <w:ind w:firstLine="480" w:firstLineChars="200"/>
        <w:jc w:val="both"/>
        <w:textAlignment w:val="auto"/>
        <w:rPr>
          <w:rFonts w:hint="default" w:ascii="Times New Roman" w:hAnsi="Times New Roman" w:eastAsia="宋体" w:cs="Times New Roman"/>
          <w:color w:val="0000FF"/>
          <w:kern w:val="2"/>
          <w:sz w:val="24"/>
          <w:szCs w:val="21"/>
          <w:highlight w:val="none"/>
          <w:lang w:val="en-US" w:eastAsia="zh-CN" w:bidi="ar-SA"/>
        </w:rPr>
      </w:pPr>
      <w:r>
        <w:rPr>
          <w:rFonts w:ascii="Times New Roman" w:hAnsi="Times New Roman" w:cs="Times New Roman"/>
          <w:color w:val="0000FF"/>
        </w:rPr>
        <w:t>本项目位于</w:t>
      </w:r>
      <w:r>
        <w:rPr>
          <w:rFonts w:hint="eastAsia" w:ascii="Times New Roman" w:hAnsi="Times New Roman" w:cs="Times New Roman"/>
          <w:color w:val="0000FF"/>
          <w:lang w:eastAsia="zh-CN"/>
        </w:rPr>
        <w:t>本溪市本溪满族自治县草河口镇祁家堡村</w:t>
      </w:r>
      <w:r>
        <w:rPr>
          <w:rFonts w:ascii="Times New Roman" w:hAnsi="Times New Roman" w:cs="Times New Roman"/>
          <w:color w:val="0000FF"/>
        </w:rPr>
        <w:t>，</w:t>
      </w:r>
      <w:r>
        <w:rPr>
          <w:rFonts w:hint="eastAsia" w:ascii="Times New Roman" w:hAnsi="Times New Roman" w:cs="Times New Roman"/>
          <w:color w:val="0000FF"/>
          <w:lang w:val="en-US" w:eastAsia="zh-CN"/>
        </w:rPr>
        <w:t>选取</w:t>
      </w:r>
      <w:r>
        <w:rPr>
          <w:rFonts w:ascii="Times New Roman" w:hAnsi="Times New Roman" w:cs="Times New Roman"/>
          <w:color w:val="0000FF"/>
        </w:rPr>
        <w:t>距离本项目</w:t>
      </w:r>
      <w:r>
        <w:rPr>
          <w:rFonts w:hint="eastAsia" w:ascii="Times New Roman" w:hAnsi="Times New Roman" w:cs="Times New Roman"/>
          <w:color w:val="0000FF"/>
          <w:lang w:val="en-US" w:eastAsia="zh-CN"/>
        </w:rPr>
        <w:t>42.28km</w:t>
      </w:r>
      <w:r>
        <w:rPr>
          <w:rFonts w:ascii="Times New Roman" w:hAnsi="Times New Roman" w:cs="Times New Roman"/>
          <w:color w:val="0000FF"/>
        </w:rPr>
        <w:t>的常规气象观测站</w:t>
      </w:r>
      <w:r>
        <w:rPr>
          <w:rFonts w:hint="default" w:ascii="Times New Roman" w:hAnsi="Times New Roman" w:eastAsia="宋体" w:cs="Times New Roman"/>
          <w:color w:val="0000FF"/>
          <w:kern w:val="2"/>
          <w:sz w:val="24"/>
          <w:szCs w:val="21"/>
          <w:highlight w:val="none"/>
          <w:lang w:val="en-US" w:eastAsia="zh-CN" w:bidi="ar-SA"/>
        </w:rPr>
        <w:t>本溪市气象站</w:t>
      </w:r>
      <w:r>
        <w:rPr>
          <w:rFonts w:ascii="Times New Roman" w:hAnsi="Times New Roman" w:cs="Times New Roman"/>
          <w:color w:val="0000FF"/>
        </w:rPr>
        <w:t>（</w:t>
      </w:r>
      <w:r>
        <w:rPr>
          <w:rFonts w:hint="eastAsia" w:ascii="Times New Roman" w:hAnsi="Times New Roman" w:cs="Times New Roman"/>
          <w:color w:val="0000FF"/>
        </w:rPr>
        <w:t>54346</w:t>
      </w:r>
      <w:r>
        <w:rPr>
          <w:rFonts w:ascii="Times New Roman" w:hAnsi="Times New Roman" w:cs="Times New Roman"/>
          <w:color w:val="0000FF"/>
        </w:rPr>
        <w:t>站）。该地面观测站地理坐标为E</w:t>
      </w:r>
      <w:r>
        <w:rPr>
          <w:rFonts w:hint="default" w:ascii="Times New Roman" w:hAnsi="Times New Roman" w:eastAsia="宋体" w:cs="Times New Roman"/>
          <w:color w:val="0000FF"/>
          <w:kern w:val="2"/>
          <w:sz w:val="24"/>
          <w:szCs w:val="21"/>
          <w:highlight w:val="none"/>
          <w:lang w:val="en-US" w:eastAsia="zh-CN" w:bidi="ar-SA"/>
        </w:rPr>
        <w:t>122°10′24″</w:t>
      </w:r>
      <w:r>
        <w:rPr>
          <w:rFonts w:ascii="Times New Roman" w:hAnsi="Times New Roman" w:cs="Times New Roman"/>
          <w:color w:val="0000FF"/>
        </w:rPr>
        <w:t>、N</w:t>
      </w:r>
      <w:r>
        <w:rPr>
          <w:rFonts w:hint="default" w:ascii="Times New Roman" w:hAnsi="Times New Roman" w:eastAsia="宋体" w:cs="Times New Roman"/>
          <w:color w:val="0000FF"/>
          <w:kern w:val="2"/>
          <w:sz w:val="24"/>
          <w:szCs w:val="21"/>
          <w:highlight w:val="none"/>
          <w:lang w:val="en-US" w:eastAsia="zh-CN" w:bidi="ar-SA"/>
        </w:rPr>
        <w:t>40°39′56″</w:t>
      </w:r>
      <w:r>
        <w:rPr>
          <w:rFonts w:ascii="Times New Roman" w:hAnsi="Times New Roman" w:cs="Times New Roman"/>
          <w:color w:val="0000FF"/>
        </w:rPr>
        <w:t>，站点性质为</w:t>
      </w:r>
      <w:r>
        <w:rPr>
          <w:rFonts w:hint="eastAsia" w:ascii="Times New Roman" w:hAnsi="Times New Roman" w:cs="Times New Roman"/>
          <w:color w:val="0000FF"/>
          <w:lang w:val="en-US" w:eastAsia="zh-CN"/>
        </w:rPr>
        <w:t>基本</w:t>
      </w:r>
      <w:r>
        <w:rPr>
          <w:rFonts w:ascii="Times New Roman" w:hAnsi="Times New Roman" w:cs="Times New Roman"/>
          <w:color w:val="0000FF"/>
        </w:rPr>
        <w:t>站，与评价范围内的地理特征基本一致。根据《环境影响评价技术导则 大气环境》（HJ2.2-2018）规定，“地面气象数据选择距离项目最近或气象特征基本一致的气象站的逐时地面气象数据</w:t>
      </w:r>
      <w:r>
        <w:rPr>
          <w:rFonts w:hint="default" w:ascii="Times New Roman" w:hAnsi="Times New Roman" w:eastAsia="宋体" w:cs="Times New Roman"/>
          <w:color w:val="0000FF"/>
          <w:kern w:val="2"/>
          <w:sz w:val="24"/>
          <w:szCs w:val="21"/>
          <w:highlight w:val="none"/>
          <w:lang w:val="en-US" w:eastAsia="zh-CN" w:bidi="ar-SA"/>
        </w:rPr>
        <w:t>，要素至少包括风速、风向、总云量和干球温度</w:t>
      </w:r>
      <w:r>
        <w:rPr>
          <w:rFonts w:ascii="Times New Roman" w:hAnsi="Times New Roman" w:cs="Times New Roman"/>
          <w:color w:val="0000FF"/>
        </w:rPr>
        <w:t>”，本项目地面气象资料采用</w:t>
      </w:r>
      <w:r>
        <w:rPr>
          <w:rFonts w:hint="default" w:ascii="Times New Roman" w:hAnsi="Times New Roman" w:eastAsia="宋体" w:cs="Times New Roman"/>
          <w:color w:val="0000FF"/>
          <w:kern w:val="2"/>
          <w:sz w:val="24"/>
          <w:szCs w:val="21"/>
          <w:highlight w:val="none"/>
          <w:lang w:val="en-US" w:eastAsia="zh-CN" w:bidi="ar-SA"/>
        </w:rPr>
        <w:t>本溪市气象站</w:t>
      </w:r>
      <w:r>
        <w:rPr>
          <w:rFonts w:ascii="Times New Roman" w:hAnsi="Times New Roman" w:cs="Times New Roman"/>
          <w:color w:val="0000FF"/>
        </w:rPr>
        <w:t>的常规地面气象观测资料，符合导则要求。</w:t>
      </w:r>
      <w:r>
        <w:rPr>
          <w:rFonts w:hint="default" w:ascii="Times New Roman" w:hAnsi="Times New Roman" w:eastAsia="宋体" w:cs="Times New Roman"/>
          <w:color w:val="0000FF"/>
          <w:kern w:val="2"/>
          <w:sz w:val="24"/>
          <w:szCs w:val="21"/>
          <w:highlight w:val="none"/>
          <w:lang w:val="en-US" w:eastAsia="zh-CN" w:bidi="ar-SA"/>
        </w:rPr>
        <w:t>气象站观测气象数据信息见下表。</w:t>
      </w:r>
    </w:p>
    <w:p w14:paraId="08DDA3DD">
      <w:pPr>
        <w:jc w:val="center"/>
        <w:rPr>
          <w:rFonts w:hint="default" w:ascii="Times New Roman" w:hAnsi="Times New Roman" w:eastAsia="黑体" w:cs="Times New Roman"/>
          <w:color w:val="0000FF"/>
        </w:rPr>
      </w:pPr>
      <w:r>
        <w:rPr>
          <w:rFonts w:hint="default" w:ascii="Times New Roman" w:hAnsi="Times New Roman" w:eastAsia="黑体" w:cs="Times New Roman"/>
          <w:color w:val="0000FF"/>
        </w:rPr>
        <w:t>表</w:t>
      </w:r>
      <w:r>
        <w:rPr>
          <w:rFonts w:hint="eastAsia" w:ascii="Times New Roman" w:hAnsi="Times New Roman" w:eastAsia="黑体" w:cs="Times New Roman"/>
          <w:color w:val="0000FF"/>
          <w:lang w:val="en-US" w:eastAsia="zh-CN"/>
        </w:rPr>
        <w:t>5.1</w:t>
      </w:r>
      <w:r>
        <w:rPr>
          <w:rFonts w:hint="default" w:ascii="Times New Roman" w:hAnsi="Times New Roman" w:eastAsia="黑体" w:cs="Times New Roman"/>
          <w:color w:val="0000FF"/>
          <w:lang w:val="en-US" w:eastAsia="zh-CN"/>
        </w:rPr>
        <w:t>-</w:t>
      </w:r>
      <w:r>
        <w:rPr>
          <w:rFonts w:hint="eastAsia" w:ascii="Times New Roman" w:hAnsi="Times New Roman" w:eastAsia="黑体" w:cs="Times New Roman"/>
          <w:color w:val="0000FF"/>
          <w:lang w:val="en-US" w:eastAsia="zh-CN"/>
        </w:rPr>
        <w:t>3</w:t>
      </w:r>
      <w:r>
        <w:rPr>
          <w:rFonts w:hint="default" w:ascii="Times New Roman" w:hAnsi="Times New Roman" w:eastAsia="黑体" w:cs="Times New Roman"/>
          <w:color w:val="0000FF"/>
        </w:rPr>
        <w:t>地面气象观测站基本情况</w:t>
      </w:r>
    </w:p>
    <w:tbl>
      <w:tblPr>
        <w:tblStyle w:val="56"/>
        <w:tblW w:w="5000" w:type="pct"/>
        <w:tblInd w:w="0" w:type="dxa"/>
        <w:tblBorders>
          <w:top w:val="double" w:color="auto" w:sz="4" w:space="0"/>
          <w:left w:val="none" w:color="auto" w:sz="0" w:space="0"/>
          <w:bottom w:val="double" w:color="auto" w:sz="4" w:space="0"/>
          <w:right w:val="none" w:color="auto" w:sz="0" w:space="0"/>
          <w:insideH w:val="single" w:color="auto" w:sz="4" w:space="0"/>
          <w:insideV w:val="single" w:color="auto" w:sz="4" w:space="0"/>
        </w:tblBorders>
        <w:tblLayout w:type="autofit"/>
        <w:tblCellMar>
          <w:top w:w="0" w:type="dxa"/>
          <w:left w:w="0" w:type="dxa"/>
          <w:bottom w:w="0" w:type="dxa"/>
          <w:right w:w="0" w:type="dxa"/>
        </w:tblCellMar>
      </w:tblPr>
      <w:tblGrid>
        <w:gridCol w:w="821"/>
        <w:gridCol w:w="751"/>
        <w:gridCol w:w="739"/>
        <w:gridCol w:w="857"/>
        <w:gridCol w:w="859"/>
        <w:gridCol w:w="889"/>
        <w:gridCol w:w="635"/>
        <w:gridCol w:w="942"/>
        <w:gridCol w:w="1814"/>
      </w:tblGrid>
      <w:tr w14:paraId="66EF9732">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173" w:hRule="atLeast"/>
        </w:trPr>
        <w:tc>
          <w:tcPr>
            <w:tcW w:w="494" w:type="pct"/>
            <w:vMerge w:val="restart"/>
            <w:tcBorders>
              <w:tl2br w:val="nil"/>
              <w:tr2bl w:val="nil"/>
            </w:tcBorders>
            <w:noWrap w:val="0"/>
            <w:vAlign w:val="center"/>
          </w:tcPr>
          <w:p w14:paraId="25596ED7">
            <w:pPr>
              <w:pStyle w:val="724"/>
              <w:keepNext w:val="0"/>
              <w:keepLines w:val="0"/>
              <w:pageBreakBefore w:val="0"/>
              <w:widowControl w:val="0"/>
              <w:kinsoku/>
              <w:wordWrap/>
              <w:overflowPunct/>
              <w:topLinePunct w:val="0"/>
              <w:autoSpaceDE/>
              <w:autoSpaceDN/>
              <w:bidi w:val="0"/>
              <w:adjustRightInd/>
              <w:snapToGrid w:val="0"/>
              <w:spacing w:line="264" w:lineRule="auto"/>
              <w:ind w:firstLine="0" w:firstLineChars="0"/>
              <w:jc w:val="center"/>
              <w:textAlignment w:val="auto"/>
              <w:rPr>
                <w:rFonts w:hint="default" w:ascii="Times New Roman" w:hAnsi="Times New Roman" w:eastAsia="宋体" w:cs="Times New Roman"/>
                <w:b w:val="0"/>
                <w:bCs/>
                <w:color w:val="0000FF"/>
                <w:sz w:val="21"/>
                <w:szCs w:val="21"/>
                <w:highlight w:val="none"/>
                <w:lang w:val="en-US" w:eastAsia="zh-CN"/>
              </w:rPr>
            </w:pPr>
            <w:r>
              <w:rPr>
                <w:rFonts w:hint="default" w:ascii="Times New Roman" w:hAnsi="Times New Roman" w:eastAsia="宋体" w:cs="Times New Roman"/>
                <w:b w:val="0"/>
                <w:bCs/>
                <w:color w:val="0000FF"/>
                <w:sz w:val="21"/>
                <w:szCs w:val="21"/>
                <w:highlight w:val="none"/>
                <w:lang w:val="en-US" w:eastAsia="zh-CN"/>
              </w:rPr>
              <w:t>气象站名称</w:t>
            </w:r>
          </w:p>
        </w:tc>
        <w:tc>
          <w:tcPr>
            <w:tcW w:w="452" w:type="pct"/>
            <w:vMerge w:val="restart"/>
            <w:tcBorders>
              <w:tl2br w:val="nil"/>
              <w:tr2bl w:val="nil"/>
            </w:tcBorders>
            <w:noWrap w:val="0"/>
            <w:vAlign w:val="center"/>
          </w:tcPr>
          <w:p w14:paraId="1FCE0840">
            <w:pPr>
              <w:pStyle w:val="724"/>
              <w:keepNext w:val="0"/>
              <w:keepLines w:val="0"/>
              <w:pageBreakBefore w:val="0"/>
              <w:widowControl w:val="0"/>
              <w:kinsoku/>
              <w:wordWrap/>
              <w:overflowPunct/>
              <w:topLinePunct w:val="0"/>
              <w:autoSpaceDE/>
              <w:autoSpaceDN/>
              <w:bidi w:val="0"/>
              <w:adjustRightInd/>
              <w:snapToGrid w:val="0"/>
              <w:spacing w:line="264" w:lineRule="auto"/>
              <w:ind w:firstLine="0" w:firstLineChars="0"/>
              <w:jc w:val="center"/>
              <w:textAlignment w:val="auto"/>
              <w:rPr>
                <w:rFonts w:hint="default" w:ascii="Times New Roman" w:hAnsi="Times New Roman" w:eastAsia="宋体" w:cs="Times New Roman"/>
                <w:b w:val="0"/>
                <w:bCs/>
                <w:color w:val="0000FF"/>
                <w:sz w:val="21"/>
                <w:szCs w:val="21"/>
                <w:highlight w:val="none"/>
                <w:lang w:val="en-US" w:eastAsia="zh-CN"/>
              </w:rPr>
            </w:pPr>
            <w:r>
              <w:rPr>
                <w:rFonts w:hint="default" w:ascii="Times New Roman" w:hAnsi="Times New Roman" w:eastAsia="宋体" w:cs="Times New Roman"/>
                <w:b w:val="0"/>
                <w:bCs/>
                <w:color w:val="0000FF"/>
                <w:sz w:val="21"/>
                <w:szCs w:val="21"/>
                <w:highlight w:val="none"/>
                <w:lang w:val="en-US" w:eastAsia="zh-CN"/>
              </w:rPr>
              <w:t>气象站编号</w:t>
            </w:r>
          </w:p>
        </w:tc>
        <w:tc>
          <w:tcPr>
            <w:tcW w:w="445" w:type="pct"/>
            <w:vMerge w:val="restart"/>
            <w:tcBorders>
              <w:tl2br w:val="nil"/>
              <w:tr2bl w:val="nil"/>
            </w:tcBorders>
            <w:noWrap w:val="0"/>
            <w:vAlign w:val="center"/>
          </w:tcPr>
          <w:p w14:paraId="3B025F94">
            <w:pPr>
              <w:pStyle w:val="724"/>
              <w:keepNext w:val="0"/>
              <w:keepLines w:val="0"/>
              <w:pageBreakBefore w:val="0"/>
              <w:widowControl w:val="0"/>
              <w:kinsoku/>
              <w:wordWrap/>
              <w:overflowPunct/>
              <w:topLinePunct w:val="0"/>
              <w:autoSpaceDE/>
              <w:autoSpaceDN/>
              <w:bidi w:val="0"/>
              <w:adjustRightInd/>
              <w:snapToGrid w:val="0"/>
              <w:spacing w:line="264" w:lineRule="auto"/>
              <w:ind w:firstLine="0" w:firstLineChars="0"/>
              <w:jc w:val="center"/>
              <w:textAlignment w:val="auto"/>
              <w:rPr>
                <w:rFonts w:hint="default" w:ascii="Times New Roman" w:hAnsi="Times New Roman" w:eastAsia="宋体" w:cs="Times New Roman"/>
                <w:b w:val="0"/>
                <w:bCs/>
                <w:color w:val="0000FF"/>
                <w:sz w:val="21"/>
                <w:szCs w:val="21"/>
                <w:highlight w:val="none"/>
                <w:lang w:val="en-US" w:eastAsia="zh-CN"/>
              </w:rPr>
            </w:pPr>
            <w:r>
              <w:rPr>
                <w:rFonts w:hint="default" w:ascii="Times New Roman" w:hAnsi="Times New Roman" w:eastAsia="宋体" w:cs="Times New Roman"/>
                <w:b w:val="0"/>
                <w:bCs/>
                <w:color w:val="0000FF"/>
                <w:sz w:val="21"/>
                <w:szCs w:val="21"/>
                <w:highlight w:val="none"/>
                <w:lang w:val="en-US" w:eastAsia="zh-CN"/>
              </w:rPr>
              <w:t>气象站等级</w:t>
            </w:r>
          </w:p>
        </w:tc>
        <w:tc>
          <w:tcPr>
            <w:tcW w:w="1033" w:type="pct"/>
            <w:gridSpan w:val="2"/>
            <w:tcBorders>
              <w:tl2br w:val="nil"/>
              <w:tr2bl w:val="nil"/>
            </w:tcBorders>
            <w:noWrap w:val="0"/>
            <w:vAlign w:val="center"/>
          </w:tcPr>
          <w:p w14:paraId="6D63310F">
            <w:pPr>
              <w:pStyle w:val="724"/>
              <w:keepNext w:val="0"/>
              <w:keepLines w:val="0"/>
              <w:pageBreakBefore w:val="0"/>
              <w:widowControl w:val="0"/>
              <w:kinsoku/>
              <w:wordWrap/>
              <w:overflowPunct/>
              <w:topLinePunct w:val="0"/>
              <w:autoSpaceDE/>
              <w:autoSpaceDN/>
              <w:bidi w:val="0"/>
              <w:adjustRightInd/>
              <w:snapToGrid w:val="0"/>
              <w:spacing w:line="264" w:lineRule="auto"/>
              <w:ind w:firstLine="0" w:firstLineChars="0"/>
              <w:jc w:val="center"/>
              <w:textAlignment w:val="auto"/>
              <w:rPr>
                <w:rFonts w:hint="default" w:ascii="Times New Roman" w:hAnsi="Times New Roman" w:eastAsia="宋体" w:cs="Times New Roman"/>
                <w:b w:val="0"/>
                <w:bCs/>
                <w:color w:val="0000FF"/>
                <w:sz w:val="21"/>
                <w:szCs w:val="21"/>
                <w:highlight w:val="none"/>
                <w:lang w:val="en-US" w:eastAsia="zh-CN"/>
              </w:rPr>
            </w:pPr>
            <w:r>
              <w:rPr>
                <w:rFonts w:hint="default" w:ascii="Times New Roman" w:hAnsi="Times New Roman" w:eastAsia="宋体" w:cs="Times New Roman"/>
                <w:b w:val="0"/>
                <w:bCs/>
                <w:color w:val="0000FF"/>
                <w:sz w:val="21"/>
                <w:szCs w:val="21"/>
                <w:highlight w:val="none"/>
                <w:lang w:val="en-US" w:eastAsia="zh-CN"/>
              </w:rPr>
              <w:t>位置</w:t>
            </w:r>
          </w:p>
        </w:tc>
        <w:tc>
          <w:tcPr>
            <w:tcW w:w="535" w:type="pct"/>
            <w:vMerge w:val="restart"/>
            <w:tcBorders>
              <w:tl2br w:val="nil"/>
              <w:tr2bl w:val="nil"/>
            </w:tcBorders>
            <w:noWrap w:val="0"/>
            <w:vAlign w:val="center"/>
          </w:tcPr>
          <w:p w14:paraId="044C80B7">
            <w:pPr>
              <w:pStyle w:val="724"/>
              <w:keepNext w:val="0"/>
              <w:keepLines w:val="0"/>
              <w:pageBreakBefore w:val="0"/>
              <w:widowControl w:val="0"/>
              <w:kinsoku/>
              <w:wordWrap/>
              <w:overflowPunct/>
              <w:topLinePunct w:val="0"/>
              <w:autoSpaceDE/>
              <w:autoSpaceDN/>
              <w:bidi w:val="0"/>
              <w:adjustRightInd/>
              <w:snapToGrid w:val="0"/>
              <w:spacing w:line="264" w:lineRule="auto"/>
              <w:ind w:firstLine="0" w:firstLineChars="0"/>
              <w:jc w:val="center"/>
              <w:textAlignment w:val="auto"/>
              <w:rPr>
                <w:rFonts w:hint="default" w:ascii="Times New Roman" w:hAnsi="Times New Roman" w:eastAsia="宋体" w:cs="Times New Roman"/>
                <w:b w:val="0"/>
                <w:bCs/>
                <w:color w:val="0000FF"/>
                <w:sz w:val="21"/>
                <w:szCs w:val="21"/>
                <w:highlight w:val="none"/>
                <w:lang w:val="en-US" w:eastAsia="zh-CN"/>
              </w:rPr>
            </w:pPr>
            <w:r>
              <w:rPr>
                <w:rFonts w:hint="default" w:ascii="Times New Roman" w:hAnsi="Times New Roman" w:eastAsia="宋体" w:cs="Times New Roman"/>
                <w:b w:val="0"/>
                <w:bCs/>
                <w:color w:val="0000FF"/>
                <w:sz w:val="21"/>
                <w:szCs w:val="21"/>
                <w:highlight w:val="none"/>
                <w:lang w:val="en-US" w:eastAsia="zh-CN"/>
              </w:rPr>
              <w:t>相对距离/km</w:t>
            </w:r>
          </w:p>
        </w:tc>
        <w:tc>
          <w:tcPr>
            <w:tcW w:w="382" w:type="pct"/>
            <w:vMerge w:val="restart"/>
            <w:tcBorders>
              <w:tl2br w:val="nil"/>
              <w:tr2bl w:val="nil"/>
            </w:tcBorders>
            <w:noWrap w:val="0"/>
            <w:vAlign w:val="center"/>
          </w:tcPr>
          <w:p w14:paraId="06C98FF1">
            <w:pPr>
              <w:pStyle w:val="724"/>
              <w:keepNext w:val="0"/>
              <w:keepLines w:val="0"/>
              <w:pageBreakBefore w:val="0"/>
              <w:widowControl w:val="0"/>
              <w:kinsoku/>
              <w:wordWrap/>
              <w:overflowPunct/>
              <w:topLinePunct w:val="0"/>
              <w:autoSpaceDE/>
              <w:autoSpaceDN/>
              <w:bidi w:val="0"/>
              <w:adjustRightInd/>
              <w:snapToGrid w:val="0"/>
              <w:spacing w:line="264" w:lineRule="auto"/>
              <w:ind w:firstLine="0" w:firstLineChars="0"/>
              <w:jc w:val="center"/>
              <w:textAlignment w:val="auto"/>
              <w:rPr>
                <w:rFonts w:hint="default" w:ascii="Times New Roman" w:hAnsi="Times New Roman" w:eastAsia="宋体" w:cs="Times New Roman"/>
                <w:b w:val="0"/>
                <w:bCs/>
                <w:color w:val="0000FF"/>
                <w:sz w:val="21"/>
                <w:szCs w:val="21"/>
                <w:highlight w:val="none"/>
                <w:lang w:val="en-US" w:eastAsia="zh-CN"/>
              </w:rPr>
            </w:pPr>
            <w:r>
              <w:rPr>
                <w:rFonts w:hint="default" w:ascii="Times New Roman" w:hAnsi="Times New Roman" w:eastAsia="宋体" w:cs="Times New Roman"/>
                <w:b w:val="0"/>
                <w:bCs/>
                <w:color w:val="0000FF"/>
                <w:sz w:val="21"/>
                <w:szCs w:val="21"/>
                <w:highlight w:val="none"/>
                <w:lang w:val="en-US" w:eastAsia="zh-CN"/>
              </w:rPr>
              <w:t>海拔高度/m</w:t>
            </w:r>
          </w:p>
        </w:tc>
        <w:tc>
          <w:tcPr>
            <w:tcW w:w="567" w:type="pct"/>
            <w:vMerge w:val="restart"/>
            <w:tcBorders>
              <w:tl2br w:val="nil"/>
              <w:tr2bl w:val="nil"/>
            </w:tcBorders>
            <w:noWrap w:val="0"/>
            <w:vAlign w:val="center"/>
          </w:tcPr>
          <w:p w14:paraId="76A79AEA">
            <w:pPr>
              <w:pStyle w:val="724"/>
              <w:keepNext w:val="0"/>
              <w:keepLines w:val="0"/>
              <w:pageBreakBefore w:val="0"/>
              <w:widowControl w:val="0"/>
              <w:kinsoku/>
              <w:wordWrap/>
              <w:overflowPunct/>
              <w:topLinePunct w:val="0"/>
              <w:autoSpaceDE/>
              <w:autoSpaceDN/>
              <w:bidi w:val="0"/>
              <w:adjustRightInd/>
              <w:snapToGrid w:val="0"/>
              <w:spacing w:line="264" w:lineRule="auto"/>
              <w:ind w:firstLine="0" w:firstLineChars="0"/>
              <w:jc w:val="center"/>
              <w:textAlignment w:val="auto"/>
              <w:rPr>
                <w:rFonts w:hint="default" w:ascii="Times New Roman" w:hAnsi="Times New Roman" w:eastAsia="宋体" w:cs="Times New Roman"/>
                <w:b w:val="0"/>
                <w:bCs/>
                <w:color w:val="0000FF"/>
                <w:sz w:val="21"/>
                <w:szCs w:val="21"/>
                <w:highlight w:val="none"/>
                <w:lang w:val="en-US" w:eastAsia="zh-CN"/>
              </w:rPr>
            </w:pPr>
            <w:r>
              <w:rPr>
                <w:rFonts w:hint="default" w:ascii="Times New Roman" w:hAnsi="Times New Roman" w:eastAsia="宋体" w:cs="Times New Roman"/>
                <w:b w:val="0"/>
                <w:bCs/>
                <w:color w:val="0000FF"/>
                <w:sz w:val="21"/>
                <w:szCs w:val="21"/>
                <w:highlight w:val="none"/>
                <w:lang w:val="en-US" w:eastAsia="zh-CN"/>
              </w:rPr>
              <w:t>数据</w:t>
            </w:r>
          </w:p>
          <w:p w14:paraId="47B56F6F">
            <w:pPr>
              <w:pStyle w:val="724"/>
              <w:keepNext w:val="0"/>
              <w:keepLines w:val="0"/>
              <w:pageBreakBefore w:val="0"/>
              <w:widowControl w:val="0"/>
              <w:kinsoku/>
              <w:wordWrap/>
              <w:overflowPunct/>
              <w:topLinePunct w:val="0"/>
              <w:autoSpaceDE/>
              <w:autoSpaceDN/>
              <w:bidi w:val="0"/>
              <w:adjustRightInd/>
              <w:snapToGrid w:val="0"/>
              <w:spacing w:line="264" w:lineRule="auto"/>
              <w:ind w:firstLine="0" w:firstLineChars="0"/>
              <w:jc w:val="center"/>
              <w:textAlignment w:val="auto"/>
              <w:rPr>
                <w:rFonts w:hint="default" w:ascii="Times New Roman" w:hAnsi="Times New Roman" w:eastAsia="宋体" w:cs="Times New Roman"/>
                <w:b w:val="0"/>
                <w:bCs/>
                <w:color w:val="0000FF"/>
                <w:sz w:val="21"/>
                <w:szCs w:val="21"/>
                <w:highlight w:val="none"/>
                <w:lang w:val="en-US" w:eastAsia="zh-CN"/>
              </w:rPr>
            </w:pPr>
            <w:r>
              <w:rPr>
                <w:rFonts w:hint="default" w:ascii="Times New Roman" w:hAnsi="Times New Roman" w:eastAsia="宋体" w:cs="Times New Roman"/>
                <w:b w:val="0"/>
                <w:bCs/>
                <w:color w:val="0000FF"/>
                <w:sz w:val="21"/>
                <w:szCs w:val="21"/>
                <w:highlight w:val="none"/>
                <w:lang w:val="en-US" w:eastAsia="zh-CN"/>
              </w:rPr>
              <w:t>年份</w:t>
            </w:r>
          </w:p>
        </w:tc>
        <w:tc>
          <w:tcPr>
            <w:tcW w:w="1092" w:type="pct"/>
            <w:vMerge w:val="restart"/>
            <w:tcBorders>
              <w:tl2br w:val="nil"/>
              <w:tr2bl w:val="nil"/>
            </w:tcBorders>
            <w:noWrap w:val="0"/>
            <w:vAlign w:val="center"/>
          </w:tcPr>
          <w:p w14:paraId="5082A22B">
            <w:pPr>
              <w:pStyle w:val="724"/>
              <w:keepNext w:val="0"/>
              <w:keepLines w:val="0"/>
              <w:pageBreakBefore w:val="0"/>
              <w:widowControl w:val="0"/>
              <w:kinsoku/>
              <w:wordWrap/>
              <w:overflowPunct/>
              <w:topLinePunct w:val="0"/>
              <w:autoSpaceDE/>
              <w:autoSpaceDN/>
              <w:bidi w:val="0"/>
              <w:adjustRightInd/>
              <w:snapToGrid w:val="0"/>
              <w:spacing w:line="264" w:lineRule="auto"/>
              <w:ind w:firstLine="0" w:firstLineChars="0"/>
              <w:jc w:val="center"/>
              <w:textAlignment w:val="auto"/>
              <w:rPr>
                <w:rFonts w:hint="default" w:ascii="Times New Roman" w:hAnsi="Times New Roman" w:eastAsia="宋体" w:cs="Times New Roman"/>
                <w:b w:val="0"/>
                <w:bCs/>
                <w:color w:val="0000FF"/>
                <w:sz w:val="21"/>
                <w:szCs w:val="21"/>
                <w:highlight w:val="none"/>
                <w:lang w:val="en-US" w:eastAsia="zh-CN"/>
              </w:rPr>
            </w:pPr>
            <w:r>
              <w:rPr>
                <w:rFonts w:hint="default" w:ascii="Times New Roman" w:hAnsi="Times New Roman" w:eastAsia="宋体" w:cs="Times New Roman"/>
                <w:b w:val="0"/>
                <w:bCs/>
                <w:color w:val="0000FF"/>
                <w:sz w:val="21"/>
                <w:szCs w:val="21"/>
                <w:highlight w:val="none"/>
                <w:lang w:val="en-US" w:eastAsia="zh-CN"/>
              </w:rPr>
              <w:t>气象要素</w:t>
            </w:r>
          </w:p>
        </w:tc>
      </w:tr>
      <w:tr w14:paraId="2685BFD1">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0" w:type="dxa"/>
            <w:bottom w:w="0" w:type="dxa"/>
            <w:right w:w="0" w:type="dxa"/>
          </w:tblCellMar>
        </w:tblPrEx>
        <w:tc>
          <w:tcPr>
            <w:tcW w:w="494" w:type="pct"/>
            <w:vMerge w:val="continue"/>
            <w:tcBorders>
              <w:tl2br w:val="nil"/>
              <w:tr2bl w:val="nil"/>
            </w:tcBorders>
            <w:noWrap w:val="0"/>
            <w:vAlign w:val="center"/>
          </w:tcPr>
          <w:p w14:paraId="7189FCC9">
            <w:pPr>
              <w:pStyle w:val="724"/>
              <w:keepNext w:val="0"/>
              <w:keepLines w:val="0"/>
              <w:pageBreakBefore w:val="0"/>
              <w:widowControl w:val="0"/>
              <w:kinsoku/>
              <w:wordWrap/>
              <w:overflowPunct/>
              <w:topLinePunct w:val="0"/>
              <w:autoSpaceDE/>
              <w:autoSpaceDN/>
              <w:bidi w:val="0"/>
              <w:adjustRightInd/>
              <w:snapToGrid w:val="0"/>
              <w:spacing w:line="264" w:lineRule="auto"/>
              <w:ind w:firstLine="0" w:firstLineChars="0"/>
              <w:jc w:val="center"/>
              <w:textAlignment w:val="auto"/>
              <w:rPr>
                <w:rFonts w:hint="default" w:ascii="Times New Roman" w:hAnsi="Times New Roman" w:eastAsia="宋体" w:cs="Times New Roman"/>
                <w:b w:val="0"/>
                <w:bCs/>
                <w:color w:val="0000FF"/>
                <w:sz w:val="21"/>
                <w:szCs w:val="21"/>
                <w:highlight w:val="none"/>
                <w:lang w:val="en-US" w:eastAsia="zh-CN"/>
              </w:rPr>
            </w:pPr>
          </w:p>
        </w:tc>
        <w:tc>
          <w:tcPr>
            <w:tcW w:w="452" w:type="pct"/>
            <w:vMerge w:val="continue"/>
            <w:tcBorders>
              <w:tl2br w:val="nil"/>
              <w:tr2bl w:val="nil"/>
            </w:tcBorders>
            <w:noWrap w:val="0"/>
            <w:vAlign w:val="center"/>
          </w:tcPr>
          <w:p w14:paraId="2E871CD4">
            <w:pPr>
              <w:pStyle w:val="724"/>
              <w:keepNext w:val="0"/>
              <w:keepLines w:val="0"/>
              <w:pageBreakBefore w:val="0"/>
              <w:widowControl w:val="0"/>
              <w:kinsoku/>
              <w:wordWrap/>
              <w:overflowPunct/>
              <w:topLinePunct w:val="0"/>
              <w:autoSpaceDE/>
              <w:autoSpaceDN/>
              <w:bidi w:val="0"/>
              <w:adjustRightInd/>
              <w:snapToGrid w:val="0"/>
              <w:spacing w:line="264" w:lineRule="auto"/>
              <w:ind w:firstLine="0" w:firstLineChars="0"/>
              <w:jc w:val="center"/>
              <w:textAlignment w:val="auto"/>
              <w:rPr>
                <w:rFonts w:hint="default" w:ascii="Times New Roman" w:hAnsi="Times New Roman" w:eastAsia="宋体" w:cs="Times New Roman"/>
                <w:b w:val="0"/>
                <w:bCs/>
                <w:color w:val="0000FF"/>
                <w:sz w:val="21"/>
                <w:szCs w:val="21"/>
                <w:highlight w:val="none"/>
                <w:lang w:val="en-US" w:eastAsia="zh-CN"/>
              </w:rPr>
            </w:pPr>
          </w:p>
        </w:tc>
        <w:tc>
          <w:tcPr>
            <w:tcW w:w="445" w:type="pct"/>
            <w:vMerge w:val="continue"/>
            <w:tcBorders>
              <w:tl2br w:val="nil"/>
              <w:tr2bl w:val="nil"/>
            </w:tcBorders>
            <w:noWrap w:val="0"/>
            <w:vAlign w:val="center"/>
          </w:tcPr>
          <w:p w14:paraId="07E6F88D">
            <w:pPr>
              <w:pStyle w:val="724"/>
              <w:keepNext w:val="0"/>
              <w:keepLines w:val="0"/>
              <w:pageBreakBefore w:val="0"/>
              <w:widowControl w:val="0"/>
              <w:kinsoku/>
              <w:wordWrap/>
              <w:overflowPunct/>
              <w:topLinePunct w:val="0"/>
              <w:autoSpaceDE/>
              <w:autoSpaceDN/>
              <w:bidi w:val="0"/>
              <w:adjustRightInd/>
              <w:snapToGrid w:val="0"/>
              <w:spacing w:line="264" w:lineRule="auto"/>
              <w:ind w:firstLine="0" w:firstLineChars="0"/>
              <w:jc w:val="center"/>
              <w:textAlignment w:val="auto"/>
              <w:rPr>
                <w:rFonts w:hint="default" w:ascii="Times New Roman" w:hAnsi="Times New Roman" w:eastAsia="宋体" w:cs="Times New Roman"/>
                <w:b w:val="0"/>
                <w:bCs/>
                <w:color w:val="0000FF"/>
                <w:sz w:val="21"/>
                <w:szCs w:val="21"/>
                <w:highlight w:val="none"/>
                <w:lang w:val="en-US" w:eastAsia="zh-CN"/>
              </w:rPr>
            </w:pPr>
          </w:p>
        </w:tc>
        <w:tc>
          <w:tcPr>
            <w:tcW w:w="516" w:type="pct"/>
            <w:tcBorders>
              <w:tl2br w:val="nil"/>
              <w:tr2bl w:val="nil"/>
            </w:tcBorders>
            <w:noWrap w:val="0"/>
            <w:vAlign w:val="center"/>
          </w:tcPr>
          <w:p w14:paraId="6E098B53">
            <w:pPr>
              <w:pStyle w:val="724"/>
              <w:keepNext w:val="0"/>
              <w:keepLines w:val="0"/>
              <w:pageBreakBefore w:val="0"/>
              <w:widowControl w:val="0"/>
              <w:kinsoku/>
              <w:wordWrap/>
              <w:overflowPunct/>
              <w:topLinePunct w:val="0"/>
              <w:autoSpaceDE/>
              <w:autoSpaceDN/>
              <w:bidi w:val="0"/>
              <w:adjustRightInd/>
              <w:snapToGrid w:val="0"/>
              <w:spacing w:line="264" w:lineRule="auto"/>
              <w:ind w:firstLine="0" w:firstLineChars="0"/>
              <w:jc w:val="center"/>
              <w:textAlignment w:val="auto"/>
              <w:rPr>
                <w:rFonts w:hint="default" w:ascii="Times New Roman" w:hAnsi="Times New Roman" w:eastAsia="宋体" w:cs="Times New Roman"/>
                <w:b w:val="0"/>
                <w:bCs/>
                <w:color w:val="0000FF"/>
                <w:sz w:val="21"/>
                <w:szCs w:val="21"/>
                <w:highlight w:val="none"/>
                <w:lang w:val="en-US" w:eastAsia="zh-CN"/>
              </w:rPr>
            </w:pPr>
            <w:r>
              <w:rPr>
                <w:rFonts w:hint="default" w:ascii="Times New Roman" w:hAnsi="Times New Roman" w:eastAsia="宋体" w:cs="Times New Roman"/>
                <w:b w:val="0"/>
                <w:bCs/>
                <w:color w:val="0000FF"/>
                <w:sz w:val="21"/>
                <w:szCs w:val="21"/>
                <w:highlight w:val="none"/>
                <w:lang w:val="en-US" w:eastAsia="zh-CN"/>
              </w:rPr>
              <w:t>经度</w:t>
            </w:r>
          </w:p>
        </w:tc>
        <w:tc>
          <w:tcPr>
            <w:tcW w:w="517" w:type="pct"/>
            <w:tcBorders>
              <w:tl2br w:val="nil"/>
              <w:tr2bl w:val="nil"/>
            </w:tcBorders>
            <w:noWrap w:val="0"/>
            <w:vAlign w:val="center"/>
          </w:tcPr>
          <w:p w14:paraId="492A6A50">
            <w:pPr>
              <w:pStyle w:val="724"/>
              <w:keepNext w:val="0"/>
              <w:keepLines w:val="0"/>
              <w:pageBreakBefore w:val="0"/>
              <w:widowControl w:val="0"/>
              <w:kinsoku/>
              <w:wordWrap/>
              <w:overflowPunct/>
              <w:topLinePunct w:val="0"/>
              <w:autoSpaceDE/>
              <w:autoSpaceDN/>
              <w:bidi w:val="0"/>
              <w:adjustRightInd/>
              <w:snapToGrid w:val="0"/>
              <w:spacing w:line="264" w:lineRule="auto"/>
              <w:ind w:firstLine="0" w:firstLineChars="0"/>
              <w:jc w:val="center"/>
              <w:textAlignment w:val="auto"/>
              <w:rPr>
                <w:rFonts w:hint="default" w:ascii="Times New Roman" w:hAnsi="Times New Roman" w:eastAsia="宋体" w:cs="Times New Roman"/>
                <w:b w:val="0"/>
                <w:bCs/>
                <w:color w:val="0000FF"/>
                <w:sz w:val="21"/>
                <w:szCs w:val="21"/>
                <w:highlight w:val="none"/>
                <w:lang w:val="en-US" w:eastAsia="zh-CN"/>
              </w:rPr>
            </w:pPr>
            <w:r>
              <w:rPr>
                <w:rFonts w:hint="default" w:ascii="Times New Roman" w:hAnsi="Times New Roman" w:eastAsia="宋体" w:cs="Times New Roman"/>
                <w:b w:val="0"/>
                <w:bCs/>
                <w:color w:val="0000FF"/>
                <w:sz w:val="21"/>
                <w:szCs w:val="21"/>
                <w:highlight w:val="none"/>
                <w:lang w:val="en-US" w:eastAsia="zh-CN"/>
              </w:rPr>
              <w:t>纬度</w:t>
            </w:r>
          </w:p>
        </w:tc>
        <w:tc>
          <w:tcPr>
            <w:tcW w:w="535" w:type="pct"/>
            <w:vMerge w:val="continue"/>
            <w:tcBorders>
              <w:tl2br w:val="nil"/>
              <w:tr2bl w:val="nil"/>
            </w:tcBorders>
            <w:noWrap w:val="0"/>
            <w:vAlign w:val="center"/>
          </w:tcPr>
          <w:p w14:paraId="7917E39A">
            <w:pPr>
              <w:pStyle w:val="724"/>
              <w:keepNext w:val="0"/>
              <w:keepLines w:val="0"/>
              <w:pageBreakBefore w:val="0"/>
              <w:widowControl w:val="0"/>
              <w:kinsoku/>
              <w:wordWrap/>
              <w:overflowPunct/>
              <w:topLinePunct w:val="0"/>
              <w:autoSpaceDE/>
              <w:autoSpaceDN/>
              <w:bidi w:val="0"/>
              <w:adjustRightInd/>
              <w:snapToGrid w:val="0"/>
              <w:spacing w:line="264" w:lineRule="auto"/>
              <w:ind w:firstLine="0" w:firstLineChars="0"/>
              <w:jc w:val="center"/>
              <w:textAlignment w:val="auto"/>
              <w:rPr>
                <w:rFonts w:hint="default" w:ascii="Times New Roman" w:hAnsi="Times New Roman" w:eastAsia="宋体" w:cs="Times New Roman"/>
                <w:b w:val="0"/>
                <w:bCs/>
                <w:color w:val="0000FF"/>
                <w:sz w:val="21"/>
                <w:szCs w:val="21"/>
                <w:highlight w:val="none"/>
                <w:lang w:val="en-US" w:eastAsia="zh-CN"/>
              </w:rPr>
            </w:pPr>
          </w:p>
        </w:tc>
        <w:tc>
          <w:tcPr>
            <w:tcW w:w="382" w:type="pct"/>
            <w:vMerge w:val="continue"/>
            <w:tcBorders>
              <w:tl2br w:val="nil"/>
              <w:tr2bl w:val="nil"/>
            </w:tcBorders>
            <w:noWrap w:val="0"/>
            <w:vAlign w:val="center"/>
          </w:tcPr>
          <w:p w14:paraId="2E17BC16">
            <w:pPr>
              <w:pStyle w:val="724"/>
              <w:keepNext w:val="0"/>
              <w:keepLines w:val="0"/>
              <w:pageBreakBefore w:val="0"/>
              <w:widowControl w:val="0"/>
              <w:kinsoku/>
              <w:wordWrap/>
              <w:overflowPunct/>
              <w:topLinePunct w:val="0"/>
              <w:autoSpaceDE/>
              <w:autoSpaceDN/>
              <w:bidi w:val="0"/>
              <w:adjustRightInd/>
              <w:snapToGrid w:val="0"/>
              <w:spacing w:line="264" w:lineRule="auto"/>
              <w:ind w:firstLine="0" w:firstLineChars="0"/>
              <w:jc w:val="center"/>
              <w:textAlignment w:val="auto"/>
              <w:rPr>
                <w:rFonts w:hint="default" w:ascii="Times New Roman" w:hAnsi="Times New Roman" w:eastAsia="宋体" w:cs="Times New Roman"/>
                <w:b w:val="0"/>
                <w:bCs/>
                <w:color w:val="0000FF"/>
                <w:sz w:val="21"/>
                <w:szCs w:val="21"/>
                <w:highlight w:val="none"/>
                <w:lang w:val="en-US" w:eastAsia="zh-CN"/>
              </w:rPr>
            </w:pPr>
          </w:p>
        </w:tc>
        <w:tc>
          <w:tcPr>
            <w:tcW w:w="567" w:type="pct"/>
            <w:vMerge w:val="continue"/>
            <w:tcBorders>
              <w:tl2br w:val="nil"/>
              <w:tr2bl w:val="nil"/>
            </w:tcBorders>
            <w:noWrap w:val="0"/>
            <w:vAlign w:val="center"/>
          </w:tcPr>
          <w:p w14:paraId="2C1858A4">
            <w:pPr>
              <w:pStyle w:val="724"/>
              <w:keepNext w:val="0"/>
              <w:keepLines w:val="0"/>
              <w:pageBreakBefore w:val="0"/>
              <w:widowControl w:val="0"/>
              <w:kinsoku/>
              <w:wordWrap/>
              <w:overflowPunct/>
              <w:topLinePunct w:val="0"/>
              <w:autoSpaceDE/>
              <w:autoSpaceDN/>
              <w:bidi w:val="0"/>
              <w:adjustRightInd/>
              <w:snapToGrid w:val="0"/>
              <w:spacing w:line="264" w:lineRule="auto"/>
              <w:ind w:firstLine="0" w:firstLineChars="0"/>
              <w:jc w:val="center"/>
              <w:textAlignment w:val="auto"/>
              <w:rPr>
                <w:rFonts w:hint="default" w:ascii="Times New Roman" w:hAnsi="Times New Roman" w:eastAsia="宋体" w:cs="Times New Roman"/>
                <w:b w:val="0"/>
                <w:bCs/>
                <w:color w:val="0000FF"/>
                <w:sz w:val="21"/>
                <w:szCs w:val="21"/>
                <w:highlight w:val="none"/>
                <w:lang w:val="en-US" w:eastAsia="zh-CN"/>
              </w:rPr>
            </w:pPr>
          </w:p>
        </w:tc>
        <w:tc>
          <w:tcPr>
            <w:tcW w:w="1092" w:type="pct"/>
            <w:vMerge w:val="continue"/>
            <w:tcBorders>
              <w:tl2br w:val="nil"/>
              <w:tr2bl w:val="nil"/>
            </w:tcBorders>
            <w:noWrap w:val="0"/>
            <w:vAlign w:val="center"/>
          </w:tcPr>
          <w:p w14:paraId="22CDB347">
            <w:pPr>
              <w:pStyle w:val="724"/>
              <w:keepNext w:val="0"/>
              <w:keepLines w:val="0"/>
              <w:pageBreakBefore w:val="0"/>
              <w:widowControl w:val="0"/>
              <w:kinsoku/>
              <w:wordWrap/>
              <w:overflowPunct/>
              <w:topLinePunct w:val="0"/>
              <w:autoSpaceDE/>
              <w:autoSpaceDN/>
              <w:bidi w:val="0"/>
              <w:adjustRightInd/>
              <w:snapToGrid w:val="0"/>
              <w:spacing w:line="264" w:lineRule="auto"/>
              <w:ind w:firstLine="0" w:firstLineChars="0"/>
              <w:jc w:val="center"/>
              <w:textAlignment w:val="auto"/>
              <w:rPr>
                <w:rFonts w:hint="default" w:ascii="Times New Roman" w:hAnsi="Times New Roman" w:eastAsia="宋体" w:cs="Times New Roman"/>
                <w:b w:val="0"/>
                <w:bCs/>
                <w:color w:val="0000FF"/>
                <w:sz w:val="21"/>
                <w:szCs w:val="21"/>
                <w:highlight w:val="none"/>
                <w:lang w:val="en-US" w:eastAsia="zh-CN"/>
              </w:rPr>
            </w:pPr>
          </w:p>
        </w:tc>
      </w:tr>
      <w:tr w14:paraId="45AD87A2">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0" w:type="dxa"/>
            <w:bottom w:w="0" w:type="dxa"/>
            <w:right w:w="0" w:type="dxa"/>
          </w:tblCellMar>
        </w:tblPrEx>
        <w:tc>
          <w:tcPr>
            <w:tcW w:w="494" w:type="pct"/>
            <w:tcBorders>
              <w:tl2br w:val="nil"/>
              <w:tr2bl w:val="nil"/>
            </w:tcBorders>
            <w:noWrap w:val="0"/>
            <w:vAlign w:val="center"/>
          </w:tcPr>
          <w:p w14:paraId="15A560CE">
            <w:pPr>
              <w:pStyle w:val="724"/>
              <w:keepNext w:val="0"/>
              <w:keepLines w:val="0"/>
              <w:pageBreakBefore w:val="0"/>
              <w:widowControl w:val="0"/>
              <w:kinsoku/>
              <w:wordWrap/>
              <w:overflowPunct/>
              <w:topLinePunct w:val="0"/>
              <w:autoSpaceDE/>
              <w:autoSpaceDN/>
              <w:bidi w:val="0"/>
              <w:adjustRightInd/>
              <w:snapToGrid w:val="0"/>
              <w:spacing w:line="264" w:lineRule="auto"/>
              <w:ind w:firstLine="0" w:firstLineChars="0"/>
              <w:jc w:val="center"/>
              <w:textAlignment w:val="auto"/>
              <w:rPr>
                <w:rFonts w:hint="default" w:ascii="Times New Roman" w:hAnsi="Times New Roman" w:eastAsia="宋体" w:cs="Times New Roman"/>
                <w:b w:val="0"/>
                <w:bCs/>
                <w:color w:val="0000FF"/>
                <w:sz w:val="21"/>
                <w:szCs w:val="21"/>
                <w:highlight w:val="none"/>
                <w:lang w:val="en-US" w:eastAsia="zh-CN"/>
              </w:rPr>
            </w:pPr>
            <w:bookmarkStart w:id="439" w:name="OLE_LINK7"/>
            <w:r>
              <w:rPr>
                <w:rFonts w:hint="default" w:ascii="Times New Roman" w:hAnsi="Times New Roman" w:eastAsia="宋体" w:cs="Times New Roman"/>
                <w:b w:val="0"/>
                <w:bCs/>
                <w:color w:val="0000FF"/>
                <w:sz w:val="21"/>
                <w:szCs w:val="21"/>
                <w:highlight w:val="none"/>
                <w:lang w:val="en-US" w:eastAsia="zh-CN"/>
              </w:rPr>
              <w:t>本溪市气象站</w:t>
            </w:r>
            <w:bookmarkEnd w:id="439"/>
          </w:p>
        </w:tc>
        <w:tc>
          <w:tcPr>
            <w:tcW w:w="452" w:type="pct"/>
            <w:tcBorders>
              <w:tl2br w:val="nil"/>
              <w:tr2bl w:val="nil"/>
            </w:tcBorders>
            <w:noWrap w:val="0"/>
            <w:vAlign w:val="center"/>
          </w:tcPr>
          <w:p w14:paraId="55303FDC">
            <w:pPr>
              <w:pStyle w:val="724"/>
              <w:keepNext w:val="0"/>
              <w:keepLines w:val="0"/>
              <w:pageBreakBefore w:val="0"/>
              <w:widowControl w:val="0"/>
              <w:kinsoku/>
              <w:wordWrap/>
              <w:overflowPunct/>
              <w:topLinePunct w:val="0"/>
              <w:autoSpaceDE/>
              <w:autoSpaceDN/>
              <w:bidi w:val="0"/>
              <w:adjustRightInd/>
              <w:snapToGrid w:val="0"/>
              <w:spacing w:line="264" w:lineRule="auto"/>
              <w:ind w:firstLine="0" w:firstLineChars="0"/>
              <w:jc w:val="center"/>
              <w:textAlignment w:val="auto"/>
              <w:rPr>
                <w:rFonts w:hint="default" w:ascii="Times New Roman" w:hAnsi="Times New Roman" w:eastAsia="宋体" w:cs="Times New Roman"/>
                <w:b w:val="0"/>
                <w:bCs/>
                <w:color w:val="0000FF"/>
                <w:sz w:val="21"/>
                <w:szCs w:val="21"/>
                <w:highlight w:val="none"/>
                <w:lang w:val="en-US" w:eastAsia="zh-CN"/>
              </w:rPr>
            </w:pPr>
            <w:r>
              <w:rPr>
                <w:rFonts w:hint="default" w:ascii="Times New Roman" w:hAnsi="Times New Roman" w:eastAsia="宋体" w:cs="Times New Roman"/>
                <w:b w:val="0"/>
                <w:bCs/>
                <w:color w:val="0000FF"/>
                <w:sz w:val="21"/>
                <w:szCs w:val="21"/>
                <w:highlight w:val="none"/>
                <w:lang w:val="en-US" w:eastAsia="zh-CN"/>
              </w:rPr>
              <w:t>54346</w:t>
            </w:r>
          </w:p>
        </w:tc>
        <w:tc>
          <w:tcPr>
            <w:tcW w:w="445" w:type="pct"/>
            <w:tcBorders>
              <w:tl2br w:val="nil"/>
              <w:tr2bl w:val="nil"/>
            </w:tcBorders>
            <w:noWrap w:val="0"/>
            <w:vAlign w:val="center"/>
          </w:tcPr>
          <w:p w14:paraId="1897AD01">
            <w:pPr>
              <w:pStyle w:val="724"/>
              <w:keepNext w:val="0"/>
              <w:keepLines w:val="0"/>
              <w:pageBreakBefore w:val="0"/>
              <w:widowControl w:val="0"/>
              <w:kinsoku/>
              <w:wordWrap/>
              <w:overflowPunct/>
              <w:topLinePunct w:val="0"/>
              <w:autoSpaceDE/>
              <w:autoSpaceDN/>
              <w:bidi w:val="0"/>
              <w:adjustRightInd/>
              <w:snapToGrid w:val="0"/>
              <w:spacing w:line="264" w:lineRule="auto"/>
              <w:ind w:firstLine="0" w:firstLineChars="0"/>
              <w:jc w:val="center"/>
              <w:textAlignment w:val="auto"/>
              <w:rPr>
                <w:rFonts w:hint="default" w:ascii="Times New Roman" w:hAnsi="Times New Roman" w:eastAsia="宋体" w:cs="Times New Roman"/>
                <w:b w:val="0"/>
                <w:bCs/>
                <w:color w:val="0000FF"/>
                <w:sz w:val="21"/>
                <w:szCs w:val="21"/>
                <w:highlight w:val="none"/>
                <w:lang w:val="en-US" w:eastAsia="zh-CN"/>
              </w:rPr>
            </w:pPr>
            <w:r>
              <w:rPr>
                <w:rFonts w:hint="default" w:ascii="Times New Roman" w:hAnsi="Times New Roman" w:eastAsia="宋体" w:cs="Times New Roman"/>
                <w:b w:val="0"/>
                <w:bCs/>
                <w:color w:val="0000FF"/>
                <w:sz w:val="21"/>
                <w:szCs w:val="21"/>
                <w:highlight w:val="none"/>
                <w:lang w:val="en-US" w:eastAsia="zh-CN"/>
              </w:rPr>
              <w:t>基本站</w:t>
            </w:r>
          </w:p>
        </w:tc>
        <w:tc>
          <w:tcPr>
            <w:tcW w:w="516" w:type="pct"/>
            <w:tcBorders>
              <w:tl2br w:val="nil"/>
              <w:tr2bl w:val="nil"/>
            </w:tcBorders>
            <w:noWrap w:val="0"/>
            <w:vAlign w:val="center"/>
          </w:tcPr>
          <w:p w14:paraId="27DA1626">
            <w:pPr>
              <w:pStyle w:val="724"/>
              <w:keepNext w:val="0"/>
              <w:keepLines w:val="0"/>
              <w:pageBreakBefore w:val="0"/>
              <w:widowControl w:val="0"/>
              <w:kinsoku/>
              <w:wordWrap/>
              <w:overflowPunct/>
              <w:topLinePunct w:val="0"/>
              <w:autoSpaceDE/>
              <w:autoSpaceDN/>
              <w:bidi w:val="0"/>
              <w:adjustRightInd/>
              <w:snapToGrid w:val="0"/>
              <w:spacing w:line="264" w:lineRule="auto"/>
              <w:ind w:firstLine="0" w:firstLineChars="0"/>
              <w:jc w:val="center"/>
              <w:textAlignment w:val="auto"/>
              <w:rPr>
                <w:rFonts w:hint="default" w:ascii="Times New Roman" w:hAnsi="Times New Roman" w:eastAsia="宋体" w:cs="Times New Roman"/>
                <w:b w:val="0"/>
                <w:bCs/>
                <w:color w:val="0000FF"/>
                <w:sz w:val="21"/>
                <w:szCs w:val="21"/>
                <w:highlight w:val="none"/>
              </w:rPr>
            </w:pPr>
            <w:bookmarkStart w:id="440" w:name="OLE_LINK2"/>
            <w:r>
              <w:rPr>
                <w:rFonts w:hint="default" w:ascii="Times New Roman" w:hAnsi="Times New Roman" w:eastAsia="宋体" w:cs="Times New Roman"/>
                <w:b w:val="0"/>
                <w:bCs/>
                <w:color w:val="0000FF"/>
                <w:sz w:val="21"/>
                <w:szCs w:val="21"/>
                <w:highlight w:val="none"/>
                <w:lang w:val="en-US" w:eastAsia="zh-CN"/>
              </w:rPr>
              <w:t>123.775</w:t>
            </w:r>
            <w:bookmarkEnd w:id="440"/>
            <w:r>
              <w:rPr>
                <w:rFonts w:hint="default" w:ascii="Times New Roman" w:hAnsi="Times New Roman" w:eastAsia="宋体" w:cs="Times New Roman"/>
                <w:b w:val="0"/>
                <w:bCs/>
                <w:color w:val="0000FF"/>
                <w:sz w:val="21"/>
                <w:szCs w:val="21"/>
                <w:highlight w:val="none"/>
              </w:rPr>
              <w:t>E</w:t>
            </w:r>
          </w:p>
        </w:tc>
        <w:tc>
          <w:tcPr>
            <w:tcW w:w="517" w:type="pct"/>
            <w:tcBorders>
              <w:tl2br w:val="nil"/>
              <w:tr2bl w:val="nil"/>
            </w:tcBorders>
            <w:noWrap w:val="0"/>
            <w:vAlign w:val="center"/>
          </w:tcPr>
          <w:p w14:paraId="2334AF36">
            <w:pPr>
              <w:pStyle w:val="724"/>
              <w:keepNext w:val="0"/>
              <w:keepLines w:val="0"/>
              <w:pageBreakBefore w:val="0"/>
              <w:widowControl w:val="0"/>
              <w:kinsoku/>
              <w:wordWrap/>
              <w:overflowPunct/>
              <w:topLinePunct w:val="0"/>
              <w:autoSpaceDE/>
              <w:autoSpaceDN/>
              <w:bidi w:val="0"/>
              <w:adjustRightInd/>
              <w:snapToGrid w:val="0"/>
              <w:spacing w:line="264" w:lineRule="auto"/>
              <w:ind w:firstLine="0" w:firstLineChars="0"/>
              <w:jc w:val="center"/>
              <w:textAlignment w:val="auto"/>
              <w:rPr>
                <w:rFonts w:hint="default" w:ascii="Times New Roman" w:hAnsi="Times New Roman" w:eastAsia="宋体" w:cs="Times New Roman"/>
                <w:b w:val="0"/>
                <w:bCs/>
                <w:color w:val="0000FF"/>
                <w:sz w:val="21"/>
                <w:szCs w:val="21"/>
                <w:highlight w:val="none"/>
              </w:rPr>
            </w:pPr>
            <w:bookmarkStart w:id="441" w:name="OLE_LINK6"/>
            <w:r>
              <w:rPr>
                <w:rFonts w:hint="default" w:ascii="Times New Roman" w:hAnsi="Times New Roman" w:eastAsia="宋体" w:cs="Times New Roman"/>
                <w:b w:val="0"/>
                <w:bCs/>
                <w:color w:val="0000FF"/>
                <w:sz w:val="21"/>
                <w:szCs w:val="21"/>
                <w:highlight w:val="none"/>
                <w:lang w:val="en-US" w:eastAsia="zh-CN"/>
              </w:rPr>
              <w:t>41.307</w:t>
            </w:r>
            <w:bookmarkEnd w:id="441"/>
            <w:r>
              <w:rPr>
                <w:rFonts w:hint="default" w:ascii="Times New Roman" w:hAnsi="Times New Roman" w:eastAsia="宋体" w:cs="Times New Roman"/>
                <w:b w:val="0"/>
                <w:bCs/>
                <w:color w:val="0000FF"/>
                <w:sz w:val="21"/>
                <w:szCs w:val="21"/>
                <w:highlight w:val="none"/>
              </w:rPr>
              <w:t>N</w:t>
            </w:r>
          </w:p>
        </w:tc>
        <w:tc>
          <w:tcPr>
            <w:tcW w:w="535" w:type="pct"/>
            <w:tcBorders>
              <w:tl2br w:val="nil"/>
              <w:tr2bl w:val="nil"/>
            </w:tcBorders>
            <w:noWrap w:val="0"/>
            <w:vAlign w:val="center"/>
          </w:tcPr>
          <w:p w14:paraId="6C2FE3A7">
            <w:pPr>
              <w:pStyle w:val="724"/>
              <w:keepNext w:val="0"/>
              <w:keepLines w:val="0"/>
              <w:pageBreakBefore w:val="0"/>
              <w:widowControl w:val="0"/>
              <w:kinsoku/>
              <w:wordWrap/>
              <w:overflowPunct/>
              <w:topLinePunct w:val="0"/>
              <w:autoSpaceDE/>
              <w:autoSpaceDN/>
              <w:bidi w:val="0"/>
              <w:adjustRightInd/>
              <w:snapToGrid w:val="0"/>
              <w:spacing w:line="264" w:lineRule="auto"/>
              <w:ind w:firstLine="0" w:firstLineChars="0"/>
              <w:jc w:val="center"/>
              <w:textAlignment w:val="auto"/>
              <w:rPr>
                <w:rFonts w:hint="default" w:ascii="Times New Roman" w:hAnsi="Times New Roman" w:eastAsia="宋体" w:cs="Times New Roman"/>
                <w:b w:val="0"/>
                <w:bCs/>
                <w:color w:val="0000FF"/>
                <w:sz w:val="21"/>
                <w:szCs w:val="21"/>
                <w:highlight w:val="none"/>
                <w:lang w:val="en-US" w:eastAsia="zh-CN"/>
              </w:rPr>
            </w:pPr>
            <w:r>
              <w:rPr>
                <w:rFonts w:hint="eastAsia" w:ascii="Times New Roman" w:hAnsi="Times New Roman" w:eastAsia="宋体" w:cs="Times New Roman"/>
                <w:b w:val="0"/>
                <w:bCs/>
                <w:color w:val="0000FF"/>
                <w:sz w:val="21"/>
                <w:szCs w:val="21"/>
                <w:highlight w:val="none"/>
                <w:lang w:val="en-US" w:eastAsia="zh-CN"/>
              </w:rPr>
              <w:t>42.28</w:t>
            </w:r>
          </w:p>
        </w:tc>
        <w:tc>
          <w:tcPr>
            <w:tcW w:w="382" w:type="pct"/>
            <w:tcBorders>
              <w:tl2br w:val="nil"/>
              <w:tr2bl w:val="nil"/>
            </w:tcBorders>
            <w:noWrap w:val="0"/>
            <w:vAlign w:val="center"/>
          </w:tcPr>
          <w:p w14:paraId="4EEDFEC6">
            <w:pPr>
              <w:pStyle w:val="724"/>
              <w:keepNext w:val="0"/>
              <w:keepLines w:val="0"/>
              <w:pageBreakBefore w:val="0"/>
              <w:widowControl w:val="0"/>
              <w:kinsoku/>
              <w:wordWrap/>
              <w:overflowPunct/>
              <w:topLinePunct w:val="0"/>
              <w:autoSpaceDE/>
              <w:autoSpaceDN/>
              <w:bidi w:val="0"/>
              <w:adjustRightInd/>
              <w:snapToGrid w:val="0"/>
              <w:spacing w:line="264" w:lineRule="auto"/>
              <w:ind w:firstLine="0" w:firstLineChars="0"/>
              <w:jc w:val="center"/>
              <w:textAlignment w:val="auto"/>
              <w:rPr>
                <w:rFonts w:hint="default" w:ascii="Times New Roman" w:hAnsi="Times New Roman" w:eastAsia="宋体" w:cs="Times New Roman"/>
                <w:b w:val="0"/>
                <w:bCs/>
                <w:color w:val="0000FF"/>
                <w:sz w:val="21"/>
                <w:szCs w:val="21"/>
                <w:highlight w:val="none"/>
                <w:lang w:val="en-US" w:eastAsia="zh-CN"/>
              </w:rPr>
            </w:pPr>
            <w:r>
              <w:rPr>
                <w:rFonts w:hint="default" w:ascii="Times New Roman" w:hAnsi="Times New Roman" w:eastAsia="宋体" w:cs="Times New Roman"/>
                <w:b w:val="0"/>
                <w:bCs/>
                <w:color w:val="0000FF"/>
                <w:sz w:val="21"/>
                <w:szCs w:val="21"/>
                <w:highlight w:val="none"/>
                <w:lang w:val="en-US" w:eastAsia="zh-CN"/>
              </w:rPr>
              <w:t>185.4</w:t>
            </w:r>
          </w:p>
        </w:tc>
        <w:tc>
          <w:tcPr>
            <w:tcW w:w="567" w:type="pct"/>
            <w:tcBorders>
              <w:tl2br w:val="nil"/>
              <w:tr2bl w:val="nil"/>
            </w:tcBorders>
            <w:noWrap w:val="0"/>
            <w:vAlign w:val="center"/>
          </w:tcPr>
          <w:p w14:paraId="29E1C897">
            <w:pPr>
              <w:pStyle w:val="724"/>
              <w:keepNext w:val="0"/>
              <w:keepLines w:val="0"/>
              <w:pageBreakBefore w:val="0"/>
              <w:widowControl w:val="0"/>
              <w:kinsoku/>
              <w:wordWrap/>
              <w:overflowPunct/>
              <w:topLinePunct w:val="0"/>
              <w:autoSpaceDE/>
              <w:autoSpaceDN/>
              <w:bidi w:val="0"/>
              <w:adjustRightInd/>
              <w:snapToGrid w:val="0"/>
              <w:spacing w:line="264" w:lineRule="auto"/>
              <w:ind w:firstLine="0" w:firstLineChars="0"/>
              <w:jc w:val="center"/>
              <w:textAlignment w:val="auto"/>
              <w:rPr>
                <w:rFonts w:hint="default" w:ascii="Times New Roman" w:hAnsi="Times New Roman" w:eastAsia="宋体" w:cs="Times New Roman"/>
                <w:b w:val="0"/>
                <w:bCs/>
                <w:color w:val="0000FF"/>
                <w:sz w:val="21"/>
                <w:szCs w:val="21"/>
                <w:highlight w:val="none"/>
                <w:lang w:val="en-US" w:eastAsia="zh-CN"/>
              </w:rPr>
            </w:pPr>
            <w:r>
              <w:rPr>
                <w:rFonts w:hint="default" w:ascii="Times New Roman" w:hAnsi="Times New Roman" w:eastAsia="宋体" w:cs="Times New Roman"/>
                <w:b w:val="0"/>
                <w:bCs/>
                <w:color w:val="0000FF"/>
                <w:sz w:val="21"/>
                <w:szCs w:val="21"/>
                <w:highlight w:val="none"/>
                <w:lang w:val="en-US" w:eastAsia="zh-CN"/>
              </w:rPr>
              <w:t>2024年</w:t>
            </w:r>
          </w:p>
        </w:tc>
        <w:tc>
          <w:tcPr>
            <w:tcW w:w="1092" w:type="pct"/>
            <w:tcBorders>
              <w:tl2br w:val="nil"/>
              <w:tr2bl w:val="nil"/>
            </w:tcBorders>
            <w:noWrap w:val="0"/>
            <w:vAlign w:val="center"/>
          </w:tcPr>
          <w:p w14:paraId="205EA89A">
            <w:pPr>
              <w:pStyle w:val="724"/>
              <w:keepNext w:val="0"/>
              <w:keepLines w:val="0"/>
              <w:pageBreakBefore w:val="0"/>
              <w:widowControl w:val="0"/>
              <w:kinsoku/>
              <w:wordWrap/>
              <w:overflowPunct/>
              <w:topLinePunct w:val="0"/>
              <w:autoSpaceDE/>
              <w:autoSpaceDN/>
              <w:bidi w:val="0"/>
              <w:adjustRightInd/>
              <w:snapToGrid w:val="0"/>
              <w:spacing w:line="264" w:lineRule="auto"/>
              <w:ind w:firstLine="0" w:firstLineChars="0"/>
              <w:jc w:val="center"/>
              <w:textAlignment w:val="auto"/>
              <w:rPr>
                <w:rFonts w:hint="default" w:ascii="Times New Roman" w:hAnsi="Times New Roman" w:eastAsia="宋体" w:cs="Times New Roman"/>
                <w:b w:val="0"/>
                <w:bCs/>
                <w:color w:val="0000FF"/>
                <w:sz w:val="21"/>
                <w:szCs w:val="21"/>
                <w:highlight w:val="none"/>
                <w:lang w:val="en-US" w:eastAsia="zh-CN"/>
              </w:rPr>
            </w:pPr>
            <w:r>
              <w:rPr>
                <w:rFonts w:hint="default" w:ascii="Times New Roman" w:hAnsi="Times New Roman" w:cs="Times New Roman"/>
                <w:color w:val="0000FF"/>
                <w:sz w:val="21"/>
                <w:szCs w:val="21"/>
                <w:highlight w:val="none"/>
                <w:lang w:val="zh-CN"/>
              </w:rPr>
              <w:t>风向、风速、干球</w:t>
            </w:r>
            <w:r>
              <w:rPr>
                <w:rFonts w:hint="default" w:ascii="Times New Roman" w:hAnsi="Times New Roman" w:cs="Times New Roman"/>
                <w:color w:val="0000FF"/>
                <w:sz w:val="21"/>
                <w:szCs w:val="21"/>
                <w:highlight w:val="none"/>
                <w:lang w:val="en-US" w:eastAsia="zh-CN"/>
              </w:rPr>
              <w:t>温度、相对</w:t>
            </w:r>
            <w:r>
              <w:rPr>
                <w:rFonts w:hint="default" w:ascii="Times New Roman" w:hAnsi="Times New Roman" w:cs="Times New Roman"/>
                <w:color w:val="0000FF"/>
                <w:sz w:val="21"/>
                <w:szCs w:val="21"/>
                <w:highlight w:val="none"/>
                <w:lang w:val="zh-CN"/>
              </w:rPr>
              <w:t>湿度、总云量、低云量</w:t>
            </w:r>
          </w:p>
        </w:tc>
      </w:tr>
    </w:tbl>
    <w:p w14:paraId="3D896C50">
      <w:pPr>
        <w:spacing w:line="500" w:lineRule="exact"/>
        <w:ind w:firstLine="482" w:firstLineChars="200"/>
        <w:jc w:val="both"/>
        <w:rPr>
          <w:rFonts w:ascii="Times New Roman" w:hAnsi="Times New Roman" w:cs="Times New Roman"/>
          <w:b/>
        </w:rPr>
      </w:pPr>
      <w:r>
        <w:rPr>
          <w:rFonts w:ascii="Times New Roman" w:hAnsi="Times New Roman" w:cs="Times New Roman"/>
          <w:b/>
        </w:rPr>
        <w:t>（2）高空气象数据</w:t>
      </w:r>
    </w:p>
    <w:p w14:paraId="05E3ACFD">
      <w:pPr>
        <w:spacing w:line="500" w:lineRule="exact"/>
        <w:ind w:firstLine="480" w:firstLineChars="200"/>
        <w:jc w:val="both"/>
        <w:rPr>
          <w:rFonts w:hint="default" w:ascii="Times New Roman" w:hAnsi="Times New Roman" w:cs="Times New Roman"/>
          <w:color w:val="0000FF"/>
        </w:rPr>
      </w:pPr>
      <w:r>
        <w:rPr>
          <w:rFonts w:hint="default" w:ascii="Times New Roman" w:hAnsi="Times New Roman" w:cs="Times New Roman"/>
          <w:color w:val="0000FF"/>
        </w:rPr>
        <w:t>高空气象数据来源于中尺度气象模式WRF模拟，WWRF模式版本为v43，采用美国环境预报中心NCEP)的ENIL再分析资料作为边界条件和初始场，地形数据和下华面土地利用分类数据采用USGS全球数据。模拟范围覆全中国，采用2 层观向嵌套，细网格分辨率为27</w:t>
      </w:r>
      <w:r>
        <w:rPr>
          <w:rFonts w:hint="default" w:ascii="Times New Roman" w:hAnsi="Times New Roman" w:cs="Times New Roman"/>
          <w:color w:val="0000FF"/>
          <w:lang w:val="en-US" w:eastAsia="zh-CN"/>
        </w:rPr>
        <w:t>×</w:t>
      </w:r>
      <w:r>
        <w:rPr>
          <w:rFonts w:hint="default" w:ascii="Times New Roman" w:hAnsi="Times New Roman" w:cs="Times New Roman"/>
          <w:color w:val="0000FF"/>
        </w:rPr>
        <w:t>27km，全国共划分为192</w:t>
      </w:r>
      <w:r>
        <w:rPr>
          <w:rFonts w:hint="default" w:ascii="Times New Roman" w:hAnsi="Times New Roman" w:cs="Times New Roman"/>
          <w:color w:val="0000FF"/>
          <w:lang w:val="en-US" w:eastAsia="zh-CN"/>
        </w:rPr>
        <w:t>×</w:t>
      </w:r>
      <w:r>
        <w:rPr>
          <w:rFonts w:hint="default" w:ascii="Times New Roman" w:hAnsi="Times New Roman" w:cs="Times New Roman"/>
          <w:color w:val="0000FF"/>
        </w:rPr>
        <w:t>162个网格，垂直方向上共设置 28层。站台编号为30511，站点经纬度为北纬40.434N°、东经123.683E°。</w:t>
      </w:r>
    </w:p>
    <w:p w14:paraId="2CE85C9A">
      <w:pPr>
        <w:pStyle w:val="133"/>
      </w:pPr>
      <w:r>
        <w:rPr>
          <w:rFonts w:hint="eastAsia"/>
          <w:lang w:eastAsia="zh-CN"/>
        </w:rPr>
        <w:t>5</w:t>
      </w:r>
      <w:r>
        <w:t>.1.4.2 常规地面气象观测资料分析</w:t>
      </w:r>
    </w:p>
    <w:p w14:paraId="7196C214">
      <w:pPr>
        <w:pStyle w:val="135"/>
        <w:keepNext w:val="0"/>
        <w:keepLines w:val="0"/>
        <w:pageBreakBefore w:val="0"/>
        <w:widowControl/>
        <w:numPr>
          <w:ilvl w:val="0"/>
          <w:numId w:val="0"/>
        </w:numPr>
        <w:kinsoku/>
        <w:wordWrap/>
        <w:overflowPunct/>
        <w:topLinePunct w:val="0"/>
        <w:autoSpaceDE/>
        <w:autoSpaceDN/>
        <w:bidi w:val="0"/>
        <w:adjustRightInd/>
        <w:snapToGrid w:val="0"/>
        <w:spacing w:line="360" w:lineRule="auto"/>
        <w:ind w:left="0" w:leftChars="0" w:firstLine="482" w:firstLineChars="200"/>
        <w:contextualSpacing/>
        <w:textAlignment w:val="auto"/>
        <w:rPr>
          <w:rFonts w:hint="default" w:ascii="Times New Roman" w:hAnsi="Times New Roman" w:eastAsia="宋体" w:cs="Times New Roman"/>
          <w:b/>
          <w:bCs/>
          <w:color w:val="auto"/>
          <w:kern w:val="2"/>
          <w:sz w:val="24"/>
          <w:szCs w:val="22"/>
          <w:highlight w:val="none"/>
          <w:lang w:val="en-US" w:eastAsia="zh-CN" w:bidi="ar-SA"/>
        </w:rPr>
      </w:pPr>
      <w:r>
        <w:rPr>
          <w:rFonts w:hint="eastAsia" w:ascii="Times New Roman" w:hAnsi="Times New Roman" w:cs="Times New Roman"/>
          <w:b/>
          <w:bCs/>
          <w:color w:val="auto"/>
          <w:kern w:val="2"/>
          <w:sz w:val="24"/>
          <w:szCs w:val="22"/>
          <w:highlight w:val="none"/>
          <w:lang w:val="en-US" w:eastAsia="zh-CN" w:bidi="ar-SA"/>
        </w:rPr>
        <w:t>（1）</w:t>
      </w:r>
      <w:r>
        <w:rPr>
          <w:rFonts w:hint="default" w:ascii="Times New Roman" w:hAnsi="Times New Roman" w:eastAsia="宋体" w:cs="Times New Roman"/>
          <w:b/>
          <w:bCs/>
          <w:color w:val="auto"/>
          <w:kern w:val="2"/>
          <w:sz w:val="24"/>
          <w:szCs w:val="22"/>
          <w:highlight w:val="none"/>
          <w:lang w:val="en-US" w:eastAsia="zh-CN" w:bidi="ar-SA"/>
        </w:rPr>
        <w:t>气象概况</w:t>
      </w:r>
    </w:p>
    <w:p w14:paraId="0B9CB45B">
      <w:pPr>
        <w:jc w:val="center"/>
        <w:rPr>
          <w:rFonts w:hint="default" w:ascii="Times New Roman" w:hAnsi="Times New Roman" w:eastAsia="黑体" w:cs="Times New Roman"/>
          <w:color w:val="0000FF"/>
        </w:rPr>
      </w:pPr>
      <w:r>
        <w:rPr>
          <w:rFonts w:hint="default" w:ascii="Times New Roman" w:hAnsi="Times New Roman" w:eastAsia="黑体" w:cs="Times New Roman"/>
          <w:color w:val="0000FF"/>
        </w:rPr>
        <w:t>表</w:t>
      </w:r>
      <w:r>
        <w:rPr>
          <w:rFonts w:hint="eastAsia" w:ascii="Times New Roman" w:hAnsi="Times New Roman" w:eastAsia="黑体" w:cs="Times New Roman"/>
          <w:color w:val="0000FF"/>
          <w:lang w:val="en-US" w:eastAsia="zh-CN"/>
        </w:rPr>
        <w:t>5.1</w:t>
      </w:r>
      <w:r>
        <w:rPr>
          <w:rFonts w:hint="default" w:ascii="Times New Roman" w:hAnsi="Times New Roman" w:eastAsia="黑体" w:cs="Times New Roman"/>
          <w:color w:val="0000FF"/>
          <w:lang w:val="en-US" w:eastAsia="zh-CN"/>
        </w:rPr>
        <w:t>-</w:t>
      </w:r>
      <w:r>
        <w:rPr>
          <w:rFonts w:hint="eastAsia" w:ascii="Times New Roman" w:hAnsi="Times New Roman" w:eastAsia="黑体" w:cs="Times New Roman"/>
          <w:color w:val="0000FF"/>
          <w:lang w:val="en-US" w:eastAsia="zh-CN"/>
        </w:rPr>
        <w:t>4</w:t>
      </w:r>
      <w:r>
        <w:rPr>
          <w:rFonts w:hint="default" w:ascii="Times New Roman" w:hAnsi="Times New Roman" w:eastAsia="黑体" w:cs="Times New Roman"/>
          <w:color w:val="0000FF"/>
        </w:rPr>
        <w:t xml:space="preserve"> 本溪气象站【54346】近20年(2005-2024)主要气候特征统计表</w:t>
      </w:r>
    </w:p>
    <w:tbl>
      <w:tblPr>
        <w:tblStyle w:val="56"/>
        <w:tblW w:w="5000"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Layout w:type="autofit"/>
        <w:tblCellMar>
          <w:top w:w="0" w:type="dxa"/>
          <w:left w:w="108" w:type="dxa"/>
          <w:bottom w:w="0" w:type="dxa"/>
          <w:right w:w="108" w:type="dxa"/>
        </w:tblCellMar>
      </w:tblPr>
      <w:tblGrid>
        <w:gridCol w:w="693"/>
        <w:gridCol w:w="1837"/>
        <w:gridCol w:w="1151"/>
        <w:gridCol w:w="694"/>
        <w:gridCol w:w="694"/>
        <w:gridCol w:w="1609"/>
        <w:gridCol w:w="1151"/>
        <w:gridCol w:w="694"/>
      </w:tblGrid>
      <w:tr w14:paraId="6E25AF5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340" w:hRule="atLeast"/>
        </w:trPr>
        <w:tc>
          <w:tcPr>
            <w:tcW w:w="407" w:type="pct"/>
            <w:tcBorders>
              <w:top w:val="double" w:color="000000" w:sz="4" w:space="0"/>
              <w:left w:val="nil"/>
              <w:bottom w:val="single" w:color="000000" w:sz="4" w:space="0"/>
              <w:right w:val="single" w:color="000000" w:sz="4" w:space="0"/>
            </w:tcBorders>
            <w:shd w:val="clear" w:color="auto" w:fill="auto"/>
            <w:vAlign w:val="center"/>
          </w:tcPr>
          <w:p w14:paraId="7931ED44">
            <w:pPr>
              <w:pStyle w:val="724"/>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color w:val="0000FF"/>
                <w:sz w:val="21"/>
                <w:szCs w:val="21"/>
                <w:highlight w:val="none"/>
                <w:lang w:val="en-US" w:eastAsia="zh-CN"/>
              </w:rPr>
            </w:pPr>
            <w:r>
              <w:rPr>
                <w:rFonts w:hint="default" w:ascii="Times New Roman" w:hAnsi="Times New Roman" w:eastAsia="宋体" w:cs="Times New Roman"/>
                <w:b w:val="0"/>
                <w:bCs/>
                <w:color w:val="0000FF"/>
                <w:sz w:val="21"/>
                <w:szCs w:val="21"/>
                <w:highlight w:val="none"/>
                <w:lang w:val="en-US" w:eastAsia="zh-CN"/>
              </w:rPr>
              <w:t>序号</w:t>
            </w:r>
          </w:p>
        </w:tc>
        <w:tc>
          <w:tcPr>
            <w:tcW w:w="1078" w:type="pct"/>
            <w:tcBorders>
              <w:top w:val="double" w:color="000000" w:sz="4" w:space="0"/>
              <w:left w:val="single" w:color="000000" w:sz="4" w:space="0"/>
              <w:bottom w:val="single" w:color="000000" w:sz="4" w:space="0"/>
              <w:right w:val="single" w:color="000000" w:sz="4" w:space="0"/>
            </w:tcBorders>
            <w:shd w:val="clear" w:color="auto" w:fill="auto"/>
            <w:vAlign w:val="center"/>
          </w:tcPr>
          <w:p w14:paraId="79A0E860">
            <w:pPr>
              <w:pStyle w:val="724"/>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color w:val="0000FF"/>
                <w:sz w:val="21"/>
                <w:szCs w:val="21"/>
                <w:highlight w:val="none"/>
                <w:lang w:val="en-US" w:eastAsia="zh-CN"/>
              </w:rPr>
            </w:pPr>
            <w:r>
              <w:rPr>
                <w:rFonts w:hint="default" w:ascii="Times New Roman" w:hAnsi="Times New Roman" w:eastAsia="宋体" w:cs="Times New Roman"/>
                <w:b w:val="0"/>
                <w:bCs/>
                <w:color w:val="0000FF"/>
                <w:sz w:val="21"/>
                <w:szCs w:val="21"/>
                <w:highlight w:val="none"/>
                <w:lang w:val="en-US" w:eastAsia="zh-CN"/>
              </w:rPr>
              <w:t>项目</w:t>
            </w:r>
          </w:p>
        </w:tc>
        <w:tc>
          <w:tcPr>
            <w:tcW w:w="675" w:type="pct"/>
            <w:tcBorders>
              <w:top w:val="double" w:color="000000" w:sz="4" w:space="0"/>
              <w:left w:val="single" w:color="000000" w:sz="4" w:space="0"/>
              <w:bottom w:val="single" w:color="000000" w:sz="4" w:space="0"/>
              <w:right w:val="single" w:color="000000" w:sz="4" w:space="0"/>
            </w:tcBorders>
            <w:shd w:val="clear" w:color="auto" w:fill="auto"/>
            <w:vAlign w:val="center"/>
          </w:tcPr>
          <w:p w14:paraId="73E7B9BF">
            <w:pPr>
              <w:pStyle w:val="724"/>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color w:val="0000FF"/>
                <w:sz w:val="21"/>
                <w:szCs w:val="21"/>
                <w:highlight w:val="none"/>
                <w:lang w:val="en-US" w:eastAsia="zh-CN"/>
              </w:rPr>
            </w:pPr>
            <w:r>
              <w:rPr>
                <w:rFonts w:hint="default" w:ascii="Times New Roman" w:hAnsi="Times New Roman" w:eastAsia="宋体" w:cs="Times New Roman"/>
                <w:b w:val="0"/>
                <w:bCs/>
                <w:color w:val="0000FF"/>
                <w:sz w:val="21"/>
                <w:szCs w:val="21"/>
                <w:highlight w:val="none"/>
                <w:lang w:val="en-US" w:eastAsia="zh-CN"/>
              </w:rPr>
              <w:t>统计结果</w:t>
            </w:r>
          </w:p>
        </w:tc>
        <w:tc>
          <w:tcPr>
            <w:tcW w:w="407" w:type="pct"/>
            <w:tcBorders>
              <w:top w:val="double" w:color="000000" w:sz="4" w:space="0"/>
              <w:left w:val="single" w:color="000000" w:sz="4" w:space="0"/>
              <w:bottom w:val="single" w:color="000000" w:sz="4" w:space="0"/>
              <w:right w:val="single" w:color="000000" w:sz="4" w:space="0"/>
            </w:tcBorders>
            <w:shd w:val="clear" w:color="auto" w:fill="auto"/>
            <w:vAlign w:val="center"/>
          </w:tcPr>
          <w:p w14:paraId="46B01886">
            <w:pPr>
              <w:pStyle w:val="724"/>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color w:val="0000FF"/>
                <w:sz w:val="21"/>
                <w:szCs w:val="21"/>
                <w:highlight w:val="none"/>
                <w:lang w:val="en-US" w:eastAsia="zh-CN"/>
              </w:rPr>
            </w:pPr>
            <w:r>
              <w:rPr>
                <w:rFonts w:hint="default" w:ascii="Times New Roman" w:hAnsi="Times New Roman" w:eastAsia="宋体" w:cs="Times New Roman"/>
                <w:b w:val="0"/>
                <w:bCs/>
                <w:color w:val="0000FF"/>
                <w:sz w:val="21"/>
                <w:szCs w:val="21"/>
                <w:highlight w:val="none"/>
                <w:lang w:val="en-US" w:eastAsia="zh-CN"/>
              </w:rPr>
              <w:t>单位</w:t>
            </w:r>
          </w:p>
        </w:tc>
        <w:tc>
          <w:tcPr>
            <w:tcW w:w="407" w:type="pct"/>
            <w:tcBorders>
              <w:top w:val="double" w:color="000000" w:sz="4" w:space="0"/>
              <w:left w:val="single" w:color="000000" w:sz="4" w:space="0"/>
              <w:bottom w:val="single" w:color="000000" w:sz="4" w:space="0"/>
              <w:right w:val="single" w:color="000000" w:sz="4" w:space="0"/>
            </w:tcBorders>
            <w:shd w:val="clear" w:color="auto" w:fill="auto"/>
            <w:vAlign w:val="center"/>
          </w:tcPr>
          <w:p w14:paraId="3FFA28D3">
            <w:pPr>
              <w:pStyle w:val="724"/>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color w:val="0000FF"/>
                <w:sz w:val="21"/>
                <w:szCs w:val="21"/>
                <w:highlight w:val="none"/>
                <w:lang w:val="en-US" w:eastAsia="zh-CN"/>
              </w:rPr>
            </w:pPr>
            <w:r>
              <w:rPr>
                <w:rFonts w:hint="default" w:ascii="Times New Roman" w:hAnsi="Times New Roman" w:eastAsia="宋体" w:cs="Times New Roman"/>
                <w:b w:val="0"/>
                <w:bCs/>
                <w:color w:val="0000FF"/>
                <w:sz w:val="21"/>
                <w:szCs w:val="21"/>
                <w:highlight w:val="none"/>
                <w:lang w:val="en-US" w:eastAsia="zh-CN"/>
              </w:rPr>
              <w:t>序号</w:t>
            </w:r>
          </w:p>
        </w:tc>
        <w:tc>
          <w:tcPr>
            <w:tcW w:w="944" w:type="pct"/>
            <w:tcBorders>
              <w:top w:val="double" w:color="000000" w:sz="4" w:space="0"/>
              <w:left w:val="single" w:color="000000" w:sz="4" w:space="0"/>
              <w:bottom w:val="single" w:color="000000" w:sz="4" w:space="0"/>
              <w:right w:val="single" w:color="000000" w:sz="4" w:space="0"/>
            </w:tcBorders>
            <w:shd w:val="clear" w:color="auto" w:fill="auto"/>
            <w:vAlign w:val="center"/>
          </w:tcPr>
          <w:p w14:paraId="47AE1E13">
            <w:pPr>
              <w:pStyle w:val="724"/>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color w:val="0000FF"/>
                <w:sz w:val="21"/>
                <w:szCs w:val="21"/>
                <w:highlight w:val="none"/>
                <w:lang w:val="en-US" w:eastAsia="zh-CN"/>
              </w:rPr>
            </w:pPr>
            <w:r>
              <w:rPr>
                <w:rFonts w:hint="default" w:ascii="Times New Roman" w:hAnsi="Times New Roman" w:eastAsia="宋体" w:cs="Times New Roman"/>
                <w:b w:val="0"/>
                <w:bCs/>
                <w:color w:val="0000FF"/>
                <w:sz w:val="21"/>
                <w:szCs w:val="21"/>
                <w:highlight w:val="none"/>
                <w:lang w:val="en-US" w:eastAsia="zh-CN"/>
              </w:rPr>
              <w:t>项目</w:t>
            </w:r>
          </w:p>
        </w:tc>
        <w:tc>
          <w:tcPr>
            <w:tcW w:w="675" w:type="pct"/>
            <w:tcBorders>
              <w:top w:val="double" w:color="000000" w:sz="4" w:space="0"/>
              <w:left w:val="single" w:color="000000" w:sz="4" w:space="0"/>
              <w:bottom w:val="single" w:color="000000" w:sz="4" w:space="0"/>
              <w:right w:val="single" w:color="000000" w:sz="4" w:space="0"/>
            </w:tcBorders>
            <w:shd w:val="clear" w:color="auto" w:fill="auto"/>
            <w:vAlign w:val="center"/>
          </w:tcPr>
          <w:p w14:paraId="02591874">
            <w:pPr>
              <w:pStyle w:val="724"/>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color w:val="0000FF"/>
                <w:sz w:val="21"/>
                <w:szCs w:val="21"/>
                <w:highlight w:val="none"/>
                <w:lang w:val="en-US" w:eastAsia="zh-CN"/>
              </w:rPr>
            </w:pPr>
            <w:r>
              <w:rPr>
                <w:rFonts w:hint="default" w:ascii="Times New Roman" w:hAnsi="Times New Roman" w:eastAsia="宋体" w:cs="Times New Roman"/>
                <w:b w:val="0"/>
                <w:bCs/>
                <w:color w:val="0000FF"/>
                <w:sz w:val="21"/>
                <w:szCs w:val="21"/>
                <w:highlight w:val="none"/>
                <w:lang w:val="en-US" w:eastAsia="zh-CN"/>
              </w:rPr>
              <w:t>统计结果</w:t>
            </w:r>
          </w:p>
        </w:tc>
        <w:tc>
          <w:tcPr>
            <w:tcW w:w="407" w:type="pct"/>
            <w:tcBorders>
              <w:top w:val="double" w:color="000000" w:sz="4" w:space="0"/>
              <w:left w:val="single" w:color="000000" w:sz="4" w:space="0"/>
              <w:bottom w:val="single" w:color="000000" w:sz="4" w:space="0"/>
              <w:right w:val="nil"/>
            </w:tcBorders>
            <w:shd w:val="clear" w:color="auto" w:fill="auto"/>
            <w:vAlign w:val="center"/>
          </w:tcPr>
          <w:p w14:paraId="639A3AAB">
            <w:pPr>
              <w:pStyle w:val="724"/>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color w:val="0000FF"/>
                <w:sz w:val="21"/>
                <w:szCs w:val="21"/>
                <w:highlight w:val="none"/>
                <w:lang w:val="en-US" w:eastAsia="zh-CN"/>
              </w:rPr>
            </w:pPr>
            <w:r>
              <w:rPr>
                <w:rFonts w:hint="default" w:ascii="Times New Roman" w:hAnsi="Times New Roman" w:eastAsia="宋体" w:cs="Times New Roman"/>
                <w:b w:val="0"/>
                <w:bCs/>
                <w:color w:val="0000FF"/>
                <w:sz w:val="21"/>
                <w:szCs w:val="21"/>
                <w:highlight w:val="none"/>
                <w:lang w:val="en-US" w:eastAsia="zh-CN"/>
              </w:rPr>
              <w:t>单位</w:t>
            </w:r>
          </w:p>
        </w:tc>
      </w:tr>
      <w:tr w14:paraId="1CF3F8C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340" w:hRule="atLeast"/>
        </w:trPr>
        <w:tc>
          <w:tcPr>
            <w:tcW w:w="407" w:type="pct"/>
            <w:tcBorders>
              <w:top w:val="single" w:color="000000" w:sz="4" w:space="0"/>
              <w:left w:val="nil"/>
              <w:bottom w:val="single" w:color="000000" w:sz="4" w:space="0"/>
              <w:right w:val="single" w:color="000000" w:sz="4" w:space="0"/>
            </w:tcBorders>
            <w:shd w:val="clear" w:color="auto" w:fill="auto"/>
            <w:vAlign w:val="center"/>
          </w:tcPr>
          <w:p w14:paraId="755BA296">
            <w:pPr>
              <w:pStyle w:val="724"/>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color w:val="0000FF"/>
                <w:sz w:val="21"/>
                <w:szCs w:val="21"/>
                <w:highlight w:val="none"/>
                <w:lang w:val="en-US" w:eastAsia="zh-CN"/>
              </w:rPr>
            </w:pPr>
            <w:bookmarkStart w:id="442" w:name="_Hlk536111362"/>
            <w:r>
              <w:rPr>
                <w:rFonts w:hint="default" w:ascii="Times New Roman" w:hAnsi="Times New Roman" w:eastAsia="宋体" w:cs="Times New Roman"/>
                <w:b w:val="0"/>
                <w:bCs/>
                <w:color w:val="0000FF"/>
                <w:sz w:val="21"/>
                <w:szCs w:val="21"/>
                <w:highlight w:val="none"/>
                <w:lang w:val="en-US" w:eastAsia="zh-CN"/>
              </w:rPr>
              <w:t>1</w:t>
            </w:r>
          </w:p>
        </w:tc>
        <w:tc>
          <w:tcPr>
            <w:tcW w:w="10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D36855">
            <w:pPr>
              <w:pStyle w:val="724"/>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color w:val="0000FF"/>
                <w:sz w:val="21"/>
                <w:szCs w:val="21"/>
                <w:highlight w:val="none"/>
                <w:lang w:val="en-US" w:eastAsia="zh-CN"/>
              </w:rPr>
            </w:pPr>
            <w:r>
              <w:rPr>
                <w:rFonts w:hint="default" w:ascii="Times New Roman" w:hAnsi="Times New Roman" w:eastAsia="宋体" w:cs="Times New Roman"/>
                <w:b w:val="0"/>
                <w:bCs/>
                <w:color w:val="0000FF"/>
                <w:sz w:val="21"/>
                <w:szCs w:val="21"/>
                <w:highlight w:val="none"/>
                <w:lang w:val="en-US" w:eastAsia="zh-CN"/>
              </w:rPr>
              <w:t>年平均风速</w:t>
            </w:r>
          </w:p>
        </w:tc>
        <w:tc>
          <w:tcPr>
            <w:tcW w:w="6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D21FB2">
            <w:pPr>
              <w:pStyle w:val="724"/>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color w:val="0000FF"/>
                <w:sz w:val="21"/>
                <w:szCs w:val="21"/>
                <w:highlight w:val="none"/>
                <w:lang w:val="en-US" w:eastAsia="zh-CN"/>
              </w:rPr>
            </w:pPr>
            <w:r>
              <w:rPr>
                <w:rFonts w:hint="default" w:ascii="Times New Roman" w:hAnsi="Times New Roman" w:eastAsia="宋体" w:cs="Times New Roman"/>
                <w:b w:val="0"/>
                <w:bCs/>
                <w:color w:val="0000FF"/>
                <w:sz w:val="21"/>
                <w:szCs w:val="21"/>
                <w:highlight w:val="none"/>
                <w:lang w:val="en-US" w:eastAsia="zh-CN"/>
              </w:rPr>
              <w:t>2.1</w:t>
            </w:r>
          </w:p>
        </w:tc>
        <w:tc>
          <w:tcPr>
            <w:tcW w:w="4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F7E8C5">
            <w:pPr>
              <w:pStyle w:val="724"/>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color w:val="0000FF"/>
                <w:sz w:val="21"/>
                <w:szCs w:val="21"/>
                <w:highlight w:val="none"/>
                <w:lang w:val="en-US" w:eastAsia="zh-CN"/>
              </w:rPr>
            </w:pPr>
            <w:r>
              <w:rPr>
                <w:rFonts w:hint="default" w:ascii="Times New Roman" w:hAnsi="Times New Roman" w:eastAsia="宋体" w:cs="Times New Roman"/>
                <w:b w:val="0"/>
                <w:bCs/>
                <w:color w:val="0000FF"/>
                <w:sz w:val="21"/>
                <w:szCs w:val="21"/>
                <w:highlight w:val="none"/>
                <w:lang w:val="en-US" w:eastAsia="zh-CN"/>
              </w:rPr>
              <w:t>m/s</w:t>
            </w:r>
          </w:p>
        </w:tc>
        <w:tc>
          <w:tcPr>
            <w:tcW w:w="4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B3B40A">
            <w:pPr>
              <w:pStyle w:val="724"/>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color w:val="0000FF"/>
                <w:sz w:val="21"/>
                <w:szCs w:val="21"/>
                <w:highlight w:val="none"/>
                <w:lang w:val="en-US" w:eastAsia="zh-CN"/>
              </w:rPr>
            </w:pPr>
            <w:r>
              <w:rPr>
                <w:rFonts w:hint="default" w:ascii="Times New Roman" w:hAnsi="Times New Roman" w:eastAsia="宋体" w:cs="Times New Roman"/>
                <w:b w:val="0"/>
                <w:bCs/>
                <w:color w:val="0000FF"/>
                <w:sz w:val="21"/>
                <w:szCs w:val="21"/>
                <w:highlight w:val="none"/>
                <w:lang w:val="en-US" w:eastAsia="zh-CN"/>
              </w:rPr>
              <w:t>7</w:t>
            </w:r>
          </w:p>
        </w:tc>
        <w:tc>
          <w:tcPr>
            <w:tcW w:w="9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85B288">
            <w:pPr>
              <w:pStyle w:val="724"/>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color w:val="0000FF"/>
                <w:sz w:val="21"/>
                <w:szCs w:val="21"/>
                <w:highlight w:val="none"/>
                <w:lang w:val="en-US" w:eastAsia="zh-CN"/>
              </w:rPr>
            </w:pPr>
            <w:r>
              <w:rPr>
                <w:rFonts w:hint="default" w:ascii="Times New Roman" w:hAnsi="Times New Roman" w:eastAsia="宋体" w:cs="Times New Roman"/>
                <w:b w:val="0"/>
                <w:bCs/>
                <w:color w:val="0000FF"/>
                <w:sz w:val="21"/>
                <w:szCs w:val="21"/>
                <w:highlight w:val="none"/>
                <w:lang w:val="en-US" w:eastAsia="zh-CN"/>
              </w:rPr>
              <w:t>年平均降水量</w:t>
            </w:r>
          </w:p>
        </w:tc>
        <w:tc>
          <w:tcPr>
            <w:tcW w:w="6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49735D">
            <w:pPr>
              <w:pStyle w:val="724"/>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color w:val="0000FF"/>
                <w:sz w:val="21"/>
                <w:szCs w:val="21"/>
                <w:highlight w:val="none"/>
                <w:lang w:val="en-US" w:eastAsia="zh-CN"/>
              </w:rPr>
            </w:pPr>
            <w:r>
              <w:rPr>
                <w:rFonts w:hint="default" w:ascii="Times New Roman" w:hAnsi="Times New Roman" w:eastAsia="宋体" w:cs="Times New Roman"/>
                <w:b w:val="0"/>
                <w:bCs/>
                <w:color w:val="0000FF"/>
                <w:sz w:val="21"/>
                <w:szCs w:val="21"/>
                <w:highlight w:val="none"/>
                <w:lang w:val="en-US" w:eastAsia="zh-CN"/>
              </w:rPr>
              <w:t>834.3</w:t>
            </w:r>
          </w:p>
        </w:tc>
        <w:tc>
          <w:tcPr>
            <w:tcW w:w="407" w:type="pct"/>
            <w:tcBorders>
              <w:top w:val="single" w:color="000000" w:sz="4" w:space="0"/>
              <w:left w:val="single" w:color="000000" w:sz="4" w:space="0"/>
              <w:bottom w:val="single" w:color="000000" w:sz="4" w:space="0"/>
              <w:right w:val="nil"/>
            </w:tcBorders>
            <w:shd w:val="clear" w:color="auto" w:fill="auto"/>
            <w:vAlign w:val="center"/>
          </w:tcPr>
          <w:p w14:paraId="701AE086">
            <w:pPr>
              <w:pStyle w:val="724"/>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color w:val="0000FF"/>
                <w:sz w:val="21"/>
                <w:szCs w:val="21"/>
                <w:highlight w:val="none"/>
                <w:lang w:val="en-US" w:eastAsia="zh-CN"/>
              </w:rPr>
            </w:pPr>
            <w:r>
              <w:rPr>
                <w:rFonts w:hint="default" w:ascii="Times New Roman" w:hAnsi="Times New Roman" w:eastAsia="宋体" w:cs="Times New Roman"/>
                <w:b w:val="0"/>
                <w:bCs/>
                <w:color w:val="0000FF"/>
                <w:sz w:val="21"/>
                <w:szCs w:val="21"/>
                <w:highlight w:val="none"/>
                <w:lang w:val="en-US" w:eastAsia="zh-CN"/>
              </w:rPr>
              <w:t>mm</w:t>
            </w:r>
          </w:p>
        </w:tc>
      </w:tr>
      <w:bookmarkEnd w:id="442"/>
      <w:tr w14:paraId="580A55E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340" w:hRule="atLeast"/>
        </w:trPr>
        <w:tc>
          <w:tcPr>
            <w:tcW w:w="407" w:type="pct"/>
            <w:tcBorders>
              <w:top w:val="single" w:color="000000" w:sz="4" w:space="0"/>
              <w:left w:val="nil"/>
              <w:bottom w:val="single" w:color="000000" w:sz="4" w:space="0"/>
              <w:right w:val="single" w:color="000000" w:sz="4" w:space="0"/>
            </w:tcBorders>
            <w:shd w:val="clear" w:color="auto" w:fill="auto"/>
            <w:vAlign w:val="center"/>
          </w:tcPr>
          <w:p w14:paraId="054A9603">
            <w:pPr>
              <w:pStyle w:val="724"/>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color w:val="0000FF"/>
                <w:sz w:val="21"/>
                <w:szCs w:val="21"/>
                <w:highlight w:val="none"/>
                <w:lang w:val="en-US" w:eastAsia="zh-CN"/>
              </w:rPr>
            </w:pPr>
            <w:r>
              <w:rPr>
                <w:rFonts w:hint="default" w:ascii="Times New Roman" w:hAnsi="Times New Roman" w:eastAsia="宋体" w:cs="Times New Roman"/>
                <w:b w:val="0"/>
                <w:bCs/>
                <w:color w:val="0000FF"/>
                <w:sz w:val="21"/>
                <w:szCs w:val="21"/>
                <w:highlight w:val="none"/>
                <w:lang w:val="en-US" w:eastAsia="zh-CN"/>
              </w:rPr>
              <w:t>2</w:t>
            </w:r>
          </w:p>
        </w:tc>
        <w:tc>
          <w:tcPr>
            <w:tcW w:w="10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247EDD">
            <w:pPr>
              <w:pStyle w:val="724"/>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color w:val="0000FF"/>
                <w:sz w:val="21"/>
                <w:szCs w:val="21"/>
                <w:highlight w:val="none"/>
                <w:lang w:val="en-US" w:eastAsia="zh-CN"/>
              </w:rPr>
            </w:pPr>
            <w:bookmarkStart w:id="443" w:name="OLE_LINK13"/>
            <w:bookmarkStart w:id="444" w:name="OLE_LINK12"/>
            <w:r>
              <w:rPr>
                <w:rFonts w:hint="default" w:ascii="Times New Roman" w:hAnsi="Times New Roman" w:eastAsia="宋体" w:cs="Times New Roman"/>
                <w:b w:val="0"/>
                <w:bCs/>
                <w:color w:val="0000FF"/>
                <w:sz w:val="21"/>
                <w:szCs w:val="21"/>
                <w:highlight w:val="none"/>
                <w:lang w:val="en-US" w:eastAsia="zh-CN"/>
              </w:rPr>
              <w:t>年平均</w:t>
            </w:r>
            <w:bookmarkEnd w:id="443"/>
            <w:bookmarkEnd w:id="444"/>
            <w:r>
              <w:rPr>
                <w:rFonts w:hint="default" w:ascii="Times New Roman" w:hAnsi="Times New Roman" w:eastAsia="宋体" w:cs="Times New Roman"/>
                <w:b w:val="0"/>
                <w:bCs/>
                <w:color w:val="0000FF"/>
                <w:sz w:val="21"/>
                <w:szCs w:val="21"/>
                <w:highlight w:val="none"/>
                <w:lang w:val="en-US" w:eastAsia="zh-CN"/>
              </w:rPr>
              <w:t>气压</w:t>
            </w:r>
          </w:p>
        </w:tc>
        <w:tc>
          <w:tcPr>
            <w:tcW w:w="6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DC942C">
            <w:pPr>
              <w:pStyle w:val="724"/>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color w:val="0000FF"/>
                <w:sz w:val="21"/>
                <w:szCs w:val="21"/>
                <w:highlight w:val="none"/>
                <w:lang w:val="en-US" w:eastAsia="zh-CN"/>
              </w:rPr>
            </w:pPr>
            <w:r>
              <w:rPr>
                <w:rFonts w:hint="default" w:ascii="Times New Roman" w:hAnsi="Times New Roman" w:eastAsia="宋体" w:cs="Times New Roman"/>
                <w:b w:val="0"/>
                <w:bCs/>
                <w:color w:val="0000FF"/>
                <w:sz w:val="21"/>
                <w:szCs w:val="21"/>
                <w:highlight w:val="none"/>
                <w:lang w:val="en-US" w:eastAsia="zh-CN"/>
              </w:rPr>
              <w:t>994.3</w:t>
            </w:r>
          </w:p>
        </w:tc>
        <w:tc>
          <w:tcPr>
            <w:tcW w:w="4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1C71AB">
            <w:pPr>
              <w:pStyle w:val="724"/>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color w:val="0000FF"/>
                <w:sz w:val="21"/>
                <w:szCs w:val="21"/>
                <w:highlight w:val="none"/>
                <w:lang w:val="en-US" w:eastAsia="zh-CN"/>
              </w:rPr>
            </w:pPr>
            <w:r>
              <w:rPr>
                <w:rFonts w:hint="default" w:ascii="Times New Roman" w:hAnsi="Times New Roman" w:eastAsia="宋体" w:cs="Times New Roman"/>
                <w:b w:val="0"/>
                <w:bCs/>
                <w:color w:val="0000FF"/>
                <w:sz w:val="21"/>
                <w:szCs w:val="21"/>
                <w:highlight w:val="none"/>
                <w:lang w:val="en-US" w:eastAsia="zh-CN"/>
              </w:rPr>
              <w:t>hPa</w:t>
            </w:r>
          </w:p>
        </w:tc>
        <w:tc>
          <w:tcPr>
            <w:tcW w:w="4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A8099E">
            <w:pPr>
              <w:pStyle w:val="724"/>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color w:val="0000FF"/>
                <w:sz w:val="21"/>
                <w:szCs w:val="21"/>
                <w:highlight w:val="none"/>
                <w:lang w:val="en-US" w:eastAsia="zh-CN"/>
              </w:rPr>
            </w:pPr>
            <w:r>
              <w:rPr>
                <w:rFonts w:hint="default" w:ascii="Times New Roman" w:hAnsi="Times New Roman" w:eastAsia="宋体" w:cs="Times New Roman"/>
                <w:b w:val="0"/>
                <w:bCs/>
                <w:color w:val="0000FF"/>
                <w:sz w:val="21"/>
                <w:szCs w:val="21"/>
                <w:highlight w:val="none"/>
                <w:lang w:val="en-US" w:eastAsia="zh-CN"/>
              </w:rPr>
              <w:t>8</w:t>
            </w:r>
          </w:p>
        </w:tc>
        <w:tc>
          <w:tcPr>
            <w:tcW w:w="9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92BBCA">
            <w:pPr>
              <w:pStyle w:val="724"/>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color w:val="0000FF"/>
                <w:sz w:val="21"/>
                <w:szCs w:val="21"/>
                <w:highlight w:val="none"/>
                <w:lang w:val="en-US" w:eastAsia="zh-CN"/>
              </w:rPr>
            </w:pPr>
            <w:r>
              <w:rPr>
                <w:rFonts w:hint="default" w:ascii="Times New Roman" w:hAnsi="Times New Roman" w:eastAsia="宋体" w:cs="Times New Roman"/>
                <w:b w:val="0"/>
                <w:bCs/>
                <w:color w:val="0000FF"/>
                <w:sz w:val="21"/>
                <w:szCs w:val="21"/>
                <w:highlight w:val="none"/>
                <w:lang w:val="en-US" w:eastAsia="zh-CN"/>
              </w:rPr>
              <w:t>最大年降水量</w:t>
            </w:r>
          </w:p>
        </w:tc>
        <w:tc>
          <w:tcPr>
            <w:tcW w:w="6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1F86A4">
            <w:pPr>
              <w:pStyle w:val="724"/>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color w:val="0000FF"/>
                <w:sz w:val="21"/>
                <w:szCs w:val="21"/>
                <w:highlight w:val="none"/>
                <w:lang w:val="en-US" w:eastAsia="zh-CN"/>
              </w:rPr>
            </w:pPr>
            <w:r>
              <w:rPr>
                <w:rFonts w:hint="default" w:ascii="Times New Roman" w:hAnsi="Times New Roman" w:eastAsia="宋体" w:cs="Times New Roman"/>
                <w:b w:val="0"/>
                <w:bCs/>
                <w:color w:val="0000FF"/>
                <w:sz w:val="21"/>
                <w:szCs w:val="21"/>
                <w:highlight w:val="none"/>
                <w:lang w:val="en-US" w:eastAsia="zh-CN"/>
              </w:rPr>
              <w:t>1259.8</w:t>
            </w:r>
          </w:p>
        </w:tc>
        <w:tc>
          <w:tcPr>
            <w:tcW w:w="407" w:type="pct"/>
            <w:tcBorders>
              <w:top w:val="single" w:color="000000" w:sz="4" w:space="0"/>
              <w:left w:val="single" w:color="000000" w:sz="4" w:space="0"/>
              <w:bottom w:val="single" w:color="000000" w:sz="4" w:space="0"/>
              <w:right w:val="nil"/>
            </w:tcBorders>
            <w:shd w:val="clear" w:color="auto" w:fill="auto"/>
            <w:vAlign w:val="center"/>
          </w:tcPr>
          <w:p w14:paraId="52DA82D9">
            <w:pPr>
              <w:pStyle w:val="724"/>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color w:val="0000FF"/>
                <w:sz w:val="21"/>
                <w:szCs w:val="21"/>
                <w:highlight w:val="none"/>
                <w:lang w:val="en-US" w:eastAsia="zh-CN"/>
              </w:rPr>
            </w:pPr>
            <w:r>
              <w:rPr>
                <w:rFonts w:hint="default" w:ascii="Times New Roman" w:hAnsi="Times New Roman" w:eastAsia="宋体" w:cs="Times New Roman"/>
                <w:b w:val="0"/>
                <w:bCs/>
                <w:color w:val="0000FF"/>
                <w:sz w:val="21"/>
                <w:szCs w:val="21"/>
                <w:highlight w:val="none"/>
                <w:lang w:val="en-US" w:eastAsia="zh-CN"/>
              </w:rPr>
              <w:t>mm</w:t>
            </w:r>
          </w:p>
        </w:tc>
      </w:tr>
      <w:tr w14:paraId="6406F8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340" w:hRule="atLeast"/>
        </w:trPr>
        <w:tc>
          <w:tcPr>
            <w:tcW w:w="407" w:type="pct"/>
            <w:tcBorders>
              <w:top w:val="single" w:color="000000" w:sz="4" w:space="0"/>
              <w:left w:val="nil"/>
              <w:bottom w:val="single" w:color="000000" w:sz="4" w:space="0"/>
              <w:right w:val="single" w:color="000000" w:sz="4" w:space="0"/>
            </w:tcBorders>
            <w:shd w:val="clear" w:color="auto" w:fill="auto"/>
            <w:vAlign w:val="center"/>
          </w:tcPr>
          <w:p w14:paraId="63A171D5">
            <w:pPr>
              <w:pStyle w:val="724"/>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color w:val="0000FF"/>
                <w:sz w:val="21"/>
                <w:szCs w:val="21"/>
                <w:highlight w:val="none"/>
                <w:lang w:val="en-US" w:eastAsia="zh-CN"/>
              </w:rPr>
            </w:pPr>
            <w:r>
              <w:rPr>
                <w:rFonts w:hint="default" w:ascii="Times New Roman" w:hAnsi="Times New Roman" w:eastAsia="宋体" w:cs="Times New Roman"/>
                <w:b w:val="0"/>
                <w:bCs/>
                <w:color w:val="0000FF"/>
                <w:sz w:val="21"/>
                <w:szCs w:val="21"/>
                <w:highlight w:val="none"/>
                <w:lang w:val="en-US" w:eastAsia="zh-CN"/>
              </w:rPr>
              <w:t>3</w:t>
            </w:r>
          </w:p>
        </w:tc>
        <w:tc>
          <w:tcPr>
            <w:tcW w:w="10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71A2A5">
            <w:pPr>
              <w:pStyle w:val="724"/>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color w:val="0000FF"/>
                <w:sz w:val="21"/>
                <w:szCs w:val="21"/>
                <w:highlight w:val="none"/>
                <w:lang w:val="en-US" w:eastAsia="zh-CN"/>
              </w:rPr>
            </w:pPr>
            <w:r>
              <w:rPr>
                <w:rFonts w:hint="default" w:ascii="Times New Roman" w:hAnsi="Times New Roman" w:eastAsia="宋体" w:cs="Times New Roman"/>
                <w:b w:val="0"/>
                <w:bCs/>
                <w:color w:val="0000FF"/>
                <w:sz w:val="21"/>
                <w:szCs w:val="21"/>
                <w:highlight w:val="none"/>
                <w:lang w:val="en-US" w:eastAsia="zh-CN"/>
              </w:rPr>
              <w:t>年平均气温</w:t>
            </w:r>
          </w:p>
        </w:tc>
        <w:tc>
          <w:tcPr>
            <w:tcW w:w="6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6047BE">
            <w:pPr>
              <w:pStyle w:val="724"/>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color w:val="0000FF"/>
                <w:sz w:val="21"/>
                <w:szCs w:val="21"/>
                <w:highlight w:val="none"/>
                <w:lang w:val="en-US" w:eastAsia="zh-CN"/>
              </w:rPr>
            </w:pPr>
            <w:r>
              <w:rPr>
                <w:rFonts w:hint="default" w:ascii="Times New Roman" w:hAnsi="Times New Roman" w:eastAsia="宋体" w:cs="Times New Roman"/>
                <w:b w:val="0"/>
                <w:bCs/>
                <w:color w:val="0000FF"/>
                <w:sz w:val="21"/>
                <w:szCs w:val="21"/>
                <w:highlight w:val="none"/>
                <w:lang w:val="en-US" w:eastAsia="zh-CN"/>
              </w:rPr>
              <w:t>8.8</w:t>
            </w:r>
          </w:p>
        </w:tc>
        <w:tc>
          <w:tcPr>
            <w:tcW w:w="4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A7EF37">
            <w:pPr>
              <w:pStyle w:val="724"/>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color w:val="0000FF"/>
                <w:sz w:val="21"/>
                <w:szCs w:val="21"/>
                <w:highlight w:val="none"/>
                <w:lang w:val="en-US" w:eastAsia="zh-CN"/>
              </w:rPr>
            </w:pPr>
            <w:r>
              <w:rPr>
                <w:rFonts w:hint="default" w:ascii="Times New Roman" w:hAnsi="Times New Roman" w:eastAsia="宋体" w:cs="Times New Roman"/>
                <w:b w:val="0"/>
                <w:bCs/>
                <w:color w:val="0000FF"/>
                <w:sz w:val="21"/>
                <w:szCs w:val="21"/>
                <w:highlight w:val="none"/>
                <w:lang w:val="en-US" w:eastAsia="zh-CN"/>
              </w:rPr>
              <w:t>℃</w:t>
            </w:r>
          </w:p>
        </w:tc>
        <w:tc>
          <w:tcPr>
            <w:tcW w:w="4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7CED39">
            <w:pPr>
              <w:pStyle w:val="724"/>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color w:val="0000FF"/>
                <w:sz w:val="21"/>
                <w:szCs w:val="21"/>
                <w:highlight w:val="none"/>
                <w:lang w:val="en-US" w:eastAsia="zh-CN"/>
              </w:rPr>
            </w:pPr>
            <w:r>
              <w:rPr>
                <w:rFonts w:hint="default" w:ascii="Times New Roman" w:hAnsi="Times New Roman" w:eastAsia="宋体" w:cs="Times New Roman"/>
                <w:b w:val="0"/>
                <w:bCs/>
                <w:color w:val="0000FF"/>
                <w:sz w:val="21"/>
                <w:szCs w:val="21"/>
                <w:highlight w:val="none"/>
                <w:lang w:val="en-US" w:eastAsia="zh-CN"/>
              </w:rPr>
              <w:t>9</w:t>
            </w:r>
          </w:p>
        </w:tc>
        <w:tc>
          <w:tcPr>
            <w:tcW w:w="9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786AD4">
            <w:pPr>
              <w:pStyle w:val="724"/>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color w:val="0000FF"/>
                <w:sz w:val="21"/>
                <w:szCs w:val="21"/>
                <w:highlight w:val="none"/>
                <w:lang w:val="en-US" w:eastAsia="zh-CN"/>
              </w:rPr>
            </w:pPr>
            <w:r>
              <w:rPr>
                <w:rFonts w:hint="default" w:ascii="Times New Roman" w:hAnsi="Times New Roman" w:eastAsia="宋体" w:cs="Times New Roman"/>
                <w:b w:val="0"/>
                <w:bCs/>
                <w:color w:val="0000FF"/>
                <w:sz w:val="21"/>
                <w:szCs w:val="21"/>
                <w:highlight w:val="none"/>
                <w:lang w:val="en-US" w:eastAsia="zh-CN"/>
              </w:rPr>
              <w:t>最小年降水量</w:t>
            </w:r>
          </w:p>
        </w:tc>
        <w:tc>
          <w:tcPr>
            <w:tcW w:w="6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ABE095">
            <w:pPr>
              <w:pStyle w:val="724"/>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color w:val="0000FF"/>
                <w:sz w:val="21"/>
                <w:szCs w:val="21"/>
                <w:highlight w:val="none"/>
                <w:lang w:val="en-US" w:eastAsia="zh-CN"/>
              </w:rPr>
            </w:pPr>
            <w:r>
              <w:rPr>
                <w:rFonts w:hint="default" w:ascii="Times New Roman" w:hAnsi="Times New Roman" w:eastAsia="宋体" w:cs="Times New Roman"/>
                <w:b w:val="0"/>
                <w:bCs/>
                <w:color w:val="0000FF"/>
                <w:sz w:val="21"/>
                <w:szCs w:val="21"/>
                <w:highlight w:val="none"/>
                <w:lang w:val="en-US" w:eastAsia="zh-CN"/>
              </w:rPr>
              <w:t>535.2</w:t>
            </w:r>
          </w:p>
        </w:tc>
        <w:tc>
          <w:tcPr>
            <w:tcW w:w="407" w:type="pct"/>
            <w:tcBorders>
              <w:top w:val="single" w:color="000000" w:sz="4" w:space="0"/>
              <w:left w:val="single" w:color="000000" w:sz="4" w:space="0"/>
              <w:bottom w:val="single" w:color="000000" w:sz="4" w:space="0"/>
              <w:right w:val="nil"/>
            </w:tcBorders>
            <w:shd w:val="clear" w:color="auto" w:fill="auto"/>
            <w:vAlign w:val="center"/>
          </w:tcPr>
          <w:p w14:paraId="1AA3A770">
            <w:pPr>
              <w:pStyle w:val="724"/>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color w:val="0000FF"/>
                <w:sz w:val="21"/>
                <w:szCs w:val="21"/>
                <w:highlight w:val="none"/>
                <w:lang w:val="en-US" w:eastAsia="zh-CN"/>
              </w:rPr>
            </w:pPr>
            <w:r>
              <w:rPr>
                <w:rFonts w:hint="default" w:ascii="Times New Roman" w:hAnsi="Times New Roman" w:eastAsia="宋体" w:cs="Times New Roman"/>
                <w:b w:val="0"/>
                <w:bCs/>
                <w:color w:val="0000FF"/>
                <w:sz w:val="21"/>
                <w:szCs w:val="21"/>
                <w:highlight w:val="none"/>
                <w:lang w:val="en-US" w:eastAsia="zh-CN"/>
              </w:rPr>
              <w:t>mm</w:t>
            </w:r>
          </w:p>
        </w:tc>
      </w:tr>
      <w:tr w14:paraId="7AE34A6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340" w:hRule="atLeast"/>
        </w:trPr>
        <w:tc>
          <w:tcPr>
            <w:tcW w:w="407" w:type="pct"/>
            <w:tcBorders>
              <w:top w:val="single" w:color="000000" w:sz="4" w:space="0"/>
              <w:left w:val="nil"/>
              <w:bottom w:val="single" w:color="000000" w:sz="4" w:space="0"/>
              <w:right w:val="single" w:color="000000" w:sz="4" w:space="0"/>
            </w:tcBorders>
            <w:shd w:val="clear" w:color="auto" w:fill="auto"/>
            <w:vAlign w:val="center"/>
          </w:tcPr>
          <w:p w14:paraId="6EB82811">
            <w:pPr>
              <w:pStyle w:val="724"/>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color w:val="0000FF"/>
                <w:sz w:val="21"/>
                <w:szCs w:val="21"/>
                <w:highlight w:val="none"/>
                <w:lang w:val="en-US" w:eastAsia="zh-CN"/>
              </w:rPr>
            </w:pPr>
            <w:r>
              <w:rPr>
                <w:rFonts w:hint="default" w:ascii="Times New Roman" w:hAnsi="Times New Roman" w:eastAsia="宋体" w:cs="Times New Roman"/>
                <w:b w:val="0"/>
                <w:bCs/>
                <w:color w:val="0000FF"/>
                <w:sz w:val="21"/>
                <w:szCs w:val="21"/>
                <w:highlight w:val="none"/>
                <w:lang w:val="en-US" w:eastAsia="zh-CN"/>
              </w:rPr>
              <w:t>4</w:t>
            </w:r>
          </w:p>
        </w:tc>
        <w:tc>
          <w:tcPr>
            <w:tcW w:w="10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2F1C06">
            <w:pPr>
              <w:pStyle w:val="724"/>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color w:val="0000FF"/>
                <w:sz w:val="21"/>
                <w:szCs w:val="21"/>
                <w:highlight w:val="none"/>
                <w:lang w:val="en-US" w:eastAsia="zh-CN"/>
              </w:rPr>
            </w:pPr>
            <w:r>
              <w:rPr>
                <w:rFonts w:hint="default" w:ascii="Times New Roman" w:hAnsi="Times New Roman" w:eastAsia="宋体" w:cs="Times New Roman"/>
                <w:b w:val="0"/>
                <w:bCs/>
                <w:color w:val="0000FF"/>
                <w:sz w:val="21"/>
                <w:szCs w:val="21"/>
                <w:highlight w:val="none"/>
                <w:lang w:val="en-US" w:eastAsia="zh-CN"/>
              </w:rPr>
              <w:t>极端最高气温</w:t>
            </w:r>
          </w:p>
        </w:tc>
        <w:tc>
          <w:tcPr>
            <w:tcW w:w="6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EDC233">
            <w:pPr>
              <w:pStyle w:val="724"/>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color w:val="0000FF"/>
                <w:sz w:val="21"/>
                <w:szCs w:val="21"/>
                <w:highlight w:val="none"/>
                <w:lang w:val="en-US" w:eastAsia="zh-CN"/>
              </w:rPr>
            </w:pPr>
            <w:r>
              <w:rPr>
                <w:rFonts w:hint="default" w:ascii="Times New Roman" w:hAnsi="Times New Roman" w:eastAsia="宋体" w:cs="Times New Roman"/>
                <w:b w:val="0"/>
                <w:bCs/>
                <w:color w:val="0000FF"/>
                <w:sz w:val="21"/>
                <w:szCs w:val="21"/>
                <w:highlight w:val="none"/>
                <w:lang w:val="en-US" w:eastAsia="zh-CN"/>
              </w:rPr>
              <w:t>39.4</w:t>
            </w:r>
          </w:p>
        </w:tc>
        <w:tc>
          <w:tcPr>
            <w:tcW w:w="4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21D37B">
            <w:pPr>
              <w:pStyle w:val="724"/>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color w:val="0000FF"/>
                <w:sz w:val="21"/>
                <w:szCs w:val="21"/>
                <w:highlight w:val="none"/>
                <w:lang w:val="en-US" w:eastAsia="zh-CN"/>
              </w:rPr>
            </w:pPr>
            <w:r>
              <w:rPr>
                <w:rFonts w:hint="default" w:ascii="Times New Roman" w:hAnsi="Times New Roman" w:eastAsia="宋体" w:cs="Times New Roman"/>
                <w:b w:val="0"/>
                <w:bCs/>
                <w:color w:val="0000FF"/>
                <w:sz w:val="21"/>
                <w:szCs w:val="21"/>
                <w:highlight w:val="none"/>
                <w:lang w:val="en-US" w:eastAsia="zh-CN"/>
              </w:rPr>
              <w:t>℃</w:t>
            </w:r>
          </w:p>
        </w:tc>
        <w:tc>
          <w:tcPr>
            <w:tcW w:w="4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9AC866">
            <w:pPr>
              <w:pStyle w:val="724"/>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color w:val="0000FF"/>
                <w:sz w:val="21"/>
                <w:szCs w:val="21"/>
                <w:highlight w:val="none"/>
                <w:lang w:val="en-US" w:eastAsia="zh-CN"/>
              </w:rPr>
            </w:pPr>
            <w:r>
              <w:rPr>
                <w:rFonts w:hint="default" w:ascii="Times New Roman" w:hAnsi="Times New Roman" w:eastAsia="宋体" w:cs="Times New Roman"/>
                <w:b w:val="0"/>
                <w:bCs/>
                <w:color w:val="0000FF"/>
                <w:sz w:val="21"/>
                <w:szCs w:val="21"/>
                <w:highlight w:val="none"/>
                <w:lang w:val="en-US" w:eastAsia="zh-CN"/>
              </w:rPr>
              <w:t>10</w:t>
            </w:r>
          </w:p>
        </w:tc>
        <w:tc>
          <w:tcPr>
            <w:tcW w:w="9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6D1523">
            <w:pPr>
              <w:pStyle w:val="724"/>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color w:val="0000FF"/>
                <w:sz w:val="21"/>
                <w:szCs w:val="21"/>
                <w:highlight w:val="none"/>
                <w:lang w:val="en-US" w:eastAsia="zh-CN"/>
              </w:rPr>
            </w:pPr>
            <w:r>
              <w:rPr>
                <w:rFonts w:hint="default" w:ascii="Times New Roman" w:hAnsi="Times New Roman" w:eastAsia="宋体" w:cs="Times New Roman"/>
                <w:b w:val="0"/>
                <w:bCs/>
                <w:color w:val="0000FF"/>
                <w:sz w:val="21"/>
                <w:szCs w:val="21"/>
                <w:highlight w:val="none"/>
                <w:lang w:val="en-US" w:eastAsia="zh-CN"/>
              </w:rPr>
              <w:t>年日照时数</w:t>
            </w:r>
          </w:p>
        </w:tc>
        <w:tc>
          <w:tcPr>
            <w:tcW w:w="6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6E16C3">
            <w:pPr>
              <w:pStyle w:val="724"/>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color w:val="0000FF"/>
                <w:sz w:val="21"/>
                <w:szCs w:val="21"/>
                <w:highlight w:val="none"/>
                <w:lang w:val="en-US" w:eastAsia="zh-CN"/>
              </w:rPr>
            </w:pPr>
            <w:r>
              <w:rPr>
                <w:rFonts w:hint="default" w:ascii="Times New Roman" w:hAnsi="Times New Roman" w:eastAsia="宋体" w:cs="Times New Roman"/>
                <w:b w:val="0"/>
                <w:bCs/>
                <w:color w:val="0000FF"/>
                <w:sz w:val="21"/>
                <w:szCs w:val="21"/>
                <w:highlight w:val="none"/>
                <w:lang w:val="en-US" w:eastAsia="zh-CN"/>
              </w:rPr>
              <w:t>2564.0</w:t>
            </w:r>
          </w:p>
        </w:tc>
        <w:tc>
          <w:tcPr>
            <w:tcW w:w="407" w:type="pct"/>
            <w:tcBorders>
              <w:top w:val="single" w:color="000000" w:sz="4" w:space="0"/>
              <w:left w:val="single" w:color="000000" w:sz="4" w:space="0"/>
              <w:bottom w:val="single" w:color="000000" w:sz="4" w:space="0"/>
              <w:right w:val="nil"/>
            </w:tcBorders>
            <w:shd w:val="clear" w:color="auto" w:fill="auto"/>
            <w:vAlign w:val="center"/>
          </w:tcPr>
          <w:p w14:paraId="3F4D1454">
            <w:pPr>
              <w:pStyle w:val="724"/>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color w:val="0000FF"/>
                <w:sz w:val="21"/>
                <w:szCs w:val="21"/>
                <w:highlight w:val="none"/>
                <w:lang w:val="en-US" w:eastAsia="zh-CN"/>
              </w:rPr>
            </w:pPr>
            <w:r>
              <w:rPr>
                <w:rFonts w:hint="default" w:ascii="Times New Roman" w:hAnsi="Times New Roman" w:eastAsia="宋体" w:cs="Times New Roman"/>
                <w:b w:val="0"/>
                <w:bCs/>
                <w:color w:val="0000FF"/>
                <w:sz w:val="21"/>
                <w:szCs w:val="21"/>
                <w:highlight w:val="none"/>
                <w:lang w:val="en-US" w:eastAsia="zh-CN"/>
              </w:rPr>
              <w:t>h</w:t>
            </w:r>
          </w:p>
        </w:tc>
      </w:tr>
      <w:tr w14:paraId="62E1CA9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340" w:hRule="atLeast"/>
        </w:trPr>
        <w:tc>
          <w:tcPr>
            <w:tcW w:w="407" w:type="pct"/>
            <w:tcBorders>
              <w:top w:val="single" w:color="000000" w:sz="4" w:space="0"/>
              <w:left w:val="nil"/>
              <w:bottom w:val="single" w:color="000000" w:sz="4" w:space="0"/>
              <w:right w:val="single" w:color="000000" w:sz="4" w:space="0"/>
            </w:tcBorders>
            <w:shd w:val="clear" w:color="auto" w:fill="auto"/>
            <w:vAlign w:val="center"/>
          </w:tcPr>
          <w:p w14:paraId="58F32784">
            <w:pPr>
              <w:pStyle w:val="724"/>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color w:val="0000FF"/>
                <w:sz w:val="21"/>
                <w:szCs w:val="21"/>
                <w:highlight w:val="none"/>
                <w:lang w:val="en-US" w:eastAsia="zh-CN"/>
              </w:rPr>
            </w:pPr>
            <w:r>
              <w:rPr>
                <w:rFonts w:hint="default" w:ascii="Times New Roman" w:hAnsi="Times New Roman" w:eastAsia="宋体" w:cs="Times New Roman"/>
                <w:b w:val="0"/>
                <w:bCs/>
                <w:color w:val="0000FF"/>
                <w:sz w:val="21"/>
                <w:szCs w:val="21"/>
                <w:highlight w:val="none"/>
                <w:lang w:val="en-US" w:eastAsia="zh-CN"/>
              </w:rPr>
              <w:t>5</w:t>
            </w:r>
          </w:p>
        </w:tc>
        <w:tc>
          <w:tcPr>
            <w:tcW w:w="10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26A3AA">
            <w:pPr>
              <w:pStyle w:val="724"/>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color w:val="0000FF"/>
                <w:sz w:val="21"/>
                <w:szCs w:val="21"/>
                <w:highlight w:val="none"/>
                <w:lang w:val="en-US" w:eastAsia="zh-CN"/>
              </w:rPr>
            </w:pPr>
            <w:r>
              <w:rPr>
                <w:rFonts w:hint="default" w:ascii="Times New Roman" w:hAnsi="Times New Roman" w:eastAsia="宋体" w:cs="Times New Roman"/>
                <w:b w:val="0"/>
                <w:bCs/>
                <w:color w:val="0000FF"/>
                <w:sz w:val="21"/>
                <w:szCs w:val="21"/>
                <w:highlight w:val="none"/>
                <w:lang w:val="en-US" w:eastAsia="zh-CN"/>
              </w:rPr>
              <w:t>极端最低气温</w:t>
            </w:r>
          </w:p>
        </w:tc>
        <w:tc>
          <w:tcPr>
            <w:tcW w:w="6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CC2FA6">
            <w:pPr>
              <w:pStyle w:val="724"/>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color w:val="0000FF"/>
                <w:sz w:val="21"/>
                <w:szCs w:val="21"/>
                <w:highlight w:val="none"/>
                <w:lang w:val="en-US" w:eastAsia="zh-CN"/>
              </w:rPr>
            </w:pPr>
            <w:r>
              <w:rPr>
                <w:rFonts w:hint="default" w:ascii="Times New Roman" w:hAnsi="Times New Roman" w:eastAsia="宋体" w:cs="Times New Roman"/>
                <w:b w:val="0"/>
                <w:bCs/>
                <w:color w:val="0000FF"/>
                <w:sz w:val="21"/>
                <w:szCs w:val="21"/>
                <w:highlight w:val="none"/>
                <w:lang w:val="en-US" w:eastAsia="zh-CN"/>
              </w:rPr>
              <w:t>-27.7</w:t>
            </w:r>
          </w:p>
        </w:tc>
        <w:tc>
          <w:tcPr>
            <w:tcW w:w="4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8631FD">
            <w:pPr>
              <w:pStyle w:val="724"/>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color w:val="0000FF"/>
                <w:sz w:val="21"/>
                <w:szCs w:val="21"/>
                <w:highlight w:val="none"/>
                <w:lang w:val="en-US" w:eastAsia="zh-CN"/>
              </w:rPr>
            </w:pPr>
            <w:r>
              <w:rPr>
                <w:rFonts w:hint="default" w:ascii="Times New Roman" w:hAnsi="Times New Roman" w:eastAsia="宋体" w:cs="Times New Roman"/>
                <w:b w:val="0"/>
                <w:bCs/>
                <w:color w:val="0000FF"/>
                <w:sz w:val="21"/>
                <w:szCs w:val="21"/>
                <w:highlight w:val="none"/>
                <w:lang w:val="en-US" w:eastAsia="zh-CN"/>
              </w:rPr>
              <w:t>℃</w:t>
            </w:r>
          </w:p>
        </w:tc>
        <w:tc>
          <w:tcPr>
            <w:tcW w:w="4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860F18">
            <w:pPr>
              <w:pStyle w:val="724"/>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color w:val="0000FF"/>
                <w:sz w:val="21"/>
                <w:szCs w:val="21"/>
                <w:highlight w:val="none"/>
                <w:lang w:val="en-US" w:eastAsia="zh-CN"/>
              </w:rPr>
            </w:pPr>
            <w:r>
              <w:rPr>
                <w:rFonts w:hint="default" w:ascii="Times New Roman" w:hAnsi="Times New Roman" w:eastAsia="宋体" w:cs="Times New Roman"/>
                <w:b w:val="0"/>
                <w:bCs/>
                <w:color w:val="0000FF"/>
                <w:sz w:val="21"/>
                <w:szCs w:val="21"/>
                <w:highlight w:val="none"/>
                <w:lang w:val="en-US" w:eastAsia="zh-CN"/>
              </w:rPr>
              <w:t>11</w:t>
            </w:r>
          </w:p>
        </w:tc>
        <w:tc>
          <w:tcPr>
            <w:tcW w:w="9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486770">
            <w:pPr>
              <w:pStyle w:val="724"/>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color w:val="0000FF"/>
                <w:sz w:val="21"/>
                <w:szCs w:val="21"/>
                <w:highlight w:val="none"/>
                <w:lang w:val="en-US" w:eastAsia="zh-CN"/>
              </w:rPr>
            </w:pPr>
            <w:r>
              <w:rPr>
                <w:rFonts w:hint="default" w:ascii="Times New Roman" w:hAnsi="Times New Roman" w:eastAsia="宋体" w:cs="Times New Roman"/>
                <w:b w:val="0"/>
                <w:bCs/>
                <w:color w:val="0000FF"/>
                <w:sz w:val="21"/>
                <w:szCs w:val="21"/>
                <w:highlight w:val="none"/>
                <w:lang w:val="en-US" w:eastAsia="zh-CN"/>
              </w:rPr>
              <w:t>年最多风向</w:t>
            </w:r>
          </w:p>
        </w:tc>
        <w:tc>
          <w:tcPr>
            <w:tcW w:w="6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9FE6C4">
            <w:pPr>
              <w:pStyle w:val="724"/>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color w:val="0000FF"/>
                <w:sz w:val="21"/>
                <w:szCs w:val="21"/>
                <w:highlight w:val="none"/>
                <w:lang w:val="en-US" w:eastAsia="zh-CN"/>
              </w:rPr>
            </w:pPr>
            <w:r>
              <w:rPr>
                <w:rFonts w:hint="default" w:ascii="Times New Roman" w:hAnsi="Times New Roman" w:eastAsia="宋体" w:cs="Times New Roman"/>
                <w:b w:val="0"/>
                <w:bCs/>
                <w:color w:val="0000FF"/>
                <w:sz w:val="21"/>
                <w:szCs w:val="21"/>
                <w:highlight w:val="none"/>
                <w:lang w:val="en-US" w:eastAsia="zh-CN"/>
              </w:rPr>
              <w:t>E</w:t>
            </w:r>
          </w:p>
        </w:tc>
        <w:tc>
          <w:tcPr>
            <w:tcW w:w="407" w:type="pct"/>
            <w:tcBorders>
              <w:top w:val="single" w:color="000000" w:sz="4" w:space="0"/>
              <w:left w:val="single" w:color="000000" w:sz="4" w:space="0"/>
              <w:bottom w:val="single" w:color="000000" w:sz="4" w:space="0"/>
              <w:right w:val="nil"/>
            </w:tcBorders>
            <w:shd w:val="clear" w:color="auto" w:fill="auto"/>
            <w:vAlign w:val="center"/>
          </w:tcPr>
          <w:p w14:paraId="1F73928D">
            <w:pPr>
              <w:pStyle w:val="724"/>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color w:val="0000FF"/>
                <w:sz w:val="21"/>
                <w:szCs w:val="21"/>
                <w:highlight w:val="none"/>
                <w:lang w:val="en-US" w:eastAsia="zh-CN"/>
              </w:rPr>
            </w:pPr>
            <w:r>
              <w:rPr>
                <w:rFonts w:hint="default" w:ascii="Times New Roman" w:hAnsi="Times New Roman" w:eastAsia="宋体" w:cs="Times New Roman"/>
                <w:b w:val="0"/>
                <w:bCs/>
                <w:color w:val="0000FF"/>
                <w:sz w:val="21"/>
                <w:szCs w:val="21"/>
                <w:highlight w:val="none"/>
                <w:lang w:val="en-US" w:eastAsia="zh-CN"/>
              </w:rPr>
              <w:t>/</w:t>
            </w:r>
          </w:p>
        </w:tc>
      </w:tr>
      <w:tr w14:paraId="2CDA861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340" w:hRule="atLeast"/>
        </w:trPr>
        <w:tc>
          <w:tcPr>
            <w:tcW w:w="407" w:type="pct"/>
            <w:tcBorders>
              <w:top w:val="single" w:color="000000" w:sz="4" w:space="0"/>
              <w:left w:val="nil"/>
              <w:bottom w:val="double" w:color="000000" w:sz="4" w:space="0"/>
              <w:right w:val="single" w:color="000000" w:sz="4" w:space="0"/>
            </w:tcBorders>
            <w:shd w:val="clear" w:color="auto" w:fill="auto"/>
            <w:vAlign w:val="center"/>
          </w:tcPr>
          <w:p w14:paraId="65F486EF">
            <w:pPr>
              <w:pStyle w:val="724"/>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color w:val="0000FF"/>
                <w:sz w:val="21"/>
                <w:szCs w:val="21"/>
                <w:highlight w:val="none"/>
                <w:lang w:val="en-US" w:eastAsia="zh-CN"/>
              </w:rPr>
            </w:pPr>
            <w:r>
              <w:rPr>
                <w:rFonts w:hint="default" w:ascii="Times New Roman" w:hAnsi="Times New Roman" w:eastAsia="宋体" w:cs="Times New Roman"/>
                <w:b w:val="0"/>
                <w:bCs/>
                <w:color w:val="0000FF"/>
                <w:sz w:val="21"/>
                <w:szCs w:val="21"/>
                <w:highlight w:val="none"/>
                <w:lang w:val="en-US" w:eastAsia="zh-CN"/>
              </w:rPr>
              <w:t>6</w:t>
            </w:r>
          </w:p>
        </w:tc>
        <w:tc>
          <w:tcPr>
            <w:tcW w:w="1078" w:type="pct"/>
            <w:tcBorders>
              <w:top w:val="single" w:color="000000" w:sz="4" w:space="0"/>
              <w:left w:val="single" w:color="000000" w:sz="4" w:space="0"/>
              <w:bottom w:val="double" w:color="000000" w:sz="4" w:space="0"/>
              <w:right w:val="single" w:color="000000" w:sz="4" w:space="0"/>
            </w:tcBorders>
            <w:shd w:val="clear" w:color="auto" w:fill="auto"/>
            <w:vAlign w:val="center"/>
          </w:tcPr>
          <w:p w14:paraId="79D90037">
            <w:pPr>
              <w:pStyle w:val="724"/>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color w:val="0000FF"/>
                <w:sz w:val="21"/>
                <w:szCs w:val="21"/>
                <w:highlight w:val="none"/>
                <w:lang w:val="en-US" w:eastAsia="zh-CN"/>
              </w:rPr>
            </w:pPr>
            <w:r>
              <w:rPr>
                <w:rFonts w:hint="default" w:ascii="Times New Roman" w:hAnsi="Times New Roman" w:eastAsia="宋体" w:cs="Times New Roman"/>
                <w:b w:val="0"/>
                <w:bCs/>
                <w:color w:val="0000FF"/>
                <w:sz w:val="21"/>
                <w:szCs w:val="21"/>
                <w:highlight w:val="none"/>
                <w:lang w:val="en-US" w:eastAsia="zh-CN"/>
              </w:rPr>
              <w:t>年平均相对湿度</w:t>
            </w:r>
          </w:p>
        </w:tc>
        <w:tc>
          <w:tcPr>
            <w:tcW w:w="675" w:type="pct"/>
            <w:tcBorders>
              <w:top w:val="single" w:color="000000" w:sz="4" w:space="0"/>
              <w:left w:val="single" w:color="000000" w:sz="4" w:space="0"/>
              <w:bottom w:val="double" w:color="000000" w:sz="4" w:space="0"/>
              <w:right w:val="single" w:color="000000" w:sz="4" w:space="0"/>
            </w:tcBorders>
            <w:shd w:val="clear" w:color="auto" w:fill="auto"/>
            <w:vAlign w:val="center"/>
          </w:tcPr>
          <w:p w14:paraId="43AFF0B9">
            <w:pPr>
              <w:pStyle w:val="724"/>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color w:val="0000FF"/>
                <w:sz w:val="21"/>
                <w:szCs w:val="21"/>
                <w:highlight w:val="none"/>
                <w:lang w:val="en-US" w:eastAsia="zh-CN"/>
              </w:rPr>
            </w:pPr>
            <w:r>
              <w:rPr>
                <w:rFonts w:hint="default" w:ascii="Times New Roman" w:hAnsi="Times New Roman" w:eastAsia="宋体" w:cs="Times New Roman"/>
                <w:b w:val="0"/>
                <w:bCs/>
                <w:color w:val="0000FF"/>
                <w:sz w:val="21"/>
                <w:szCs w:val="21"/>
                <w:highlight w:val="none"/>
                <w:lang w:val="en-US" w:eastAsia="zh-CN"/>
              </w:rPr>
              <w:t>63.3</w:t>
            </w:r>
          </w:p>
        </w:tc>
        <w:tc>
          <w:tcPr>
            <w:tcW w:w="407" w:type="pct"/>
            <w:tcBorders>
              <w:top w:val="single" w:color="000000" w:sz="4" w:space="0"/>
              <w:left w:val="single" w:color="000000" w:sz="4" w:space="0"/>
              <w:bottom w:val="double" w:color="000000" w:sz="4" w:space="0"/>
              <w:right w:val="single" w:color="000000" w:sz="4" w:space="0"/>
            </w:tcBorders>
            <w:shd w:val="clear" w:color="auto" w:fill="auto"/>
            <w:vAlign w:val="center"/>
          </w:tcPr>
          <w:p w14:paraId="29FD8E79">
            <w:pPr>
              <w:pStyle w:val="724"/>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color w:val="0000FF"/>
                <w:sz w:val="21"/>
                <w:szCs w:val="21"/>
                <w:highlight w:val="none"/>
                <w:lang w:val="en-US" w:eastAsia="zh-CN"/>
              </w:rPr>
            </w:pPr>
            <w:r>
              <w:rPr>
                <w:rFonts w:hint="default" w:ascii="Times New Roman" w:hAnsi="Times New Roman" w:eastAsia="宋体" w:cs="Times New Roman"/>
                <w:b w:val="0"/>
                <w:bCs/>
                <w:color w:val="0000FF"/>
                <w:sz w:val="21"/>
                <w:szCs w:val="21"/>
                <w:highlight w:val="none"/>
                <w:lang w:val="en-US" w:eastAsia="zh-CN"/>
              </w:rPr>
              <w:t>%</w:t>
            </w:r>
          </w:p>
        </w:tc>
        <w:tc>
          <w:tcPr>
            <w:tcW w:w="407" w:type="pct"/>
            <w:tcBorders>
              <w:top w:val="single" w:color="000000" w:sz="4" w:space="0"/>
              <w:left w:val="single" w:color="000000" w:sz="4" w:space="0"/>
              <w:bottom w:val="double" w:color="000000" w:sz="4" w:space="0"/>
              <w:right w:val="single" w:color="000000" w:sz="4" w:space="0"/>
            </w:tcBorders>
            <w:shd w:val="clear" w:color="auto" w:fill="auto"/>
            <w:vAlign w:val="center"/>
          </w:tcPr>
          <w:p w14:paraId="615761F7">
            <w:pPr>
              <w:pStyle w:val="724"/>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color w:val="0000FF"/>
                <w:sz w:val="21"/>
                <w:szCs w:val="21"/>
                <w:highlight w:val="none"/>
                <w:lang w:val="en-US" w:eastAsia="zh-CN"/>
              </w:rPr>
            </w:pPr>
            <w:r>
              <w:rPr>
                <w:rFonts w:hint="default" w:ascii="Times New Roman" w:hAnsi="Times New Roman" w:eastAsia="宋体" w:cs="Times New Roman"/>
                <w:b w:val="0"/>
                <w:bCs/>
                <w:color w:val="0000FF"/>
                <w:sz w:val="21"/>
                <w:szCs w:val="21"/>
                <w:highlight w:val="none"/>
                <w:lang w:val="en-US" w:eastAsia="zh-CN"/>
              </w:rPr>
              <w:t>12</w:t>
            </w:r>
          </w:p>
        </w:tc>
        <w:tc>
          <w:tcPr>
            <w:tcW w:w="944" w:type="pct"/>
            <w:tcBorders>
              <w:top w:val="single" w:color="000000" w:sz="4" w:space="0"/>
              <w:left w:val="single" w:color="000000" w:sz="4" w:space="0"/>
              <w:bottom w:val="double" w:color="000000" w:sz="4" w:space="0"/>
              <w:right w:val="single" w:color="000000" w:sz="4" w:space="0"/>
            </w:tcBorders>
            <w:shd w:val="clear" w:color="auto" w:fill="auto"/>
            <w:vAlign w:val="center"/>
          </w:tcPr>
          <w:p w14:paraId="68C9845B">
            <w:pPr>
              <w:pStyle w:val="724"/>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color w:val="0000FF"/>
                <w:sz w:val="21"/>
                <w:szCs w:val="21"/>
                <w:highlight w:val="none"/>
                <w:lang w:val="en-US" w:eastAsia="zh-CN"/>
              </w:rPr>
            </w:pPr>
            <w:r>
              <w:rPr>
                <w:rFonts w:hint="default" w:ascii="Times New Roman" w:hAnsi="Times New Roman" w:eastAsia="宋体" w:cs="Times New Roman"/>
                <w:b w:val="0"/>
                <w:bCs/>
                <w:color w:val="0000FF"/>
                <w:sz w:val="21"/>
                <w:szCs w:val="21"/>
                <w:highlight w:val="none"/>
                <w:lang w:val="en-US" w:eastAsia="zh-CN"/>
              </w:rPr>
              <w:t>年均静风频率</w:t>
            </w:r>
          </w:p>
        </w:tc>
        <w:tc>
          <w:tcPr>
            <w:tcW w:w="675" w:type="pct"/>
            <w:tcBorders>
              <w:top w:val="single" w:color="000000" w:sz="4" w:space="0"/>
              <w:left w:val="single" w:color="000000" w:sz="4" w:space="0"/>
              <w:bottom w:val="double" w:color="000000" w:sz="4" w:space="0"/>
              <w:right w:val="single" w:color="000000" w:sz="4" w:space="0"/>
            </w:tcBorders>
            <w:shd w:val="clear" w:color="auto" w:fill="auto"/>
            <w:vAlign w:val="center"/>
          </w:tcPr>
          <w:p w14:paraId="6E2A4545">
            <w:pPr>
              <w:pStyle w:val="724"/>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color w:val="0000FF"/>
                <w:sz w:val="21"/>
                <w:szCs w:val="21"/>
                <w:highlight w:val="none"/>
                <w:lang w:val="en-US" w:eastAsia="zh-CN"/>
              </w:rPr>
            </w:pPr>
            <w:r>
              <w:rPr>
                <w:rFonts w:hint="default" w:ascii="Times New Roman" w:hAnsi="Times New Roman" w:eastAsia="宋体" w:cs="Times New Roman"/>
                <w:b w:val="0"/>
                <w:bCs/>
                <w:color w:val="0000FF"/>
                <w:sz w:val="21"/>
                <w:szCs w:val="21"/>
                <w:highlight w:val="none"/>
                <w:lang w:val="en-US" w:eastAsia="zh-CN"/>
              </w:rPr>
              <w:t>1.4</w:t>
            </w:r>
          </w:p>
        </w:tc>
        <w:tc>
          <w:tcPr>
            <w:tcW w:w="407" w:type="pct"/>
            <w:tcBorders>
              <w:top w:val="single" w:color="000000" w:sz="4" w:space="0"/>
              <w:left w:val="single" w:color="000000" w:sz="4" w:space="0"/>
              <w:bottom w:val="double" w:color="000000" w:sz="4" w:space="0"/>
              <w:right w:val="nil"/>
            </w:tcBorders>
            <w:shd w:val="clear" w:color="auto" w:fill="auto"/>
            <w:vAlign w:val="center"/>
          </w:tcPr>
          <w:p w14:paraId="73337B6D">
            <w:pPr>
              <w:pStyle w:val="724"/>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color w:val="0000FF"/>
                <w:sz w:val="21"/>
                <w:szCs w:val="21"/>
                <w:highlight w:val="none"/>
                <w:lang w:val="en-US" w:eastAsia="zh-CN"/>
              </w:rPr>
            </w:pPr>
            <w:r>
              <w:rPr>
                <w:rFonts w:hint="default" w:ascii="Times New Roman" w:hAnsi="Times New Roman" w:eastAsia="宋体" w:cs="Times New Roman"/>
                <w:b w:val="0"/>
                <w:bCs/>
                <w:color w:val="0000FF"/>
                <w:sz w:val="21"/>
                <w:szCs w:val="21"/>
                <w:highlight w:val="none"/>
                <w:lang w:val="en-US" w:eastAsia="zh-CN"/>
              </w:rPr>
              <w:t>%</w:t>
            </w:r>
          </w:p>
        </w:tc>
      </w:tr>
    </w:tbl>
    <w:p w14:paraId="6B63140C">
      <w:pPr>
        <w:pStyle w:val="310"/>
        <w:numPr>
          <w:ilvl w:val="0"/>
          <w:numId w:val="31"/>
        </w:numPr>
        <w:snapToGrid/>
        <w:spacing w:line="500" w:lineRule="exact"/>
        <w:rPr>
          <w:b/>
        </w:rPr>
      </w:pPr>
      <w:r>
        <w:rPr>
          <w:b/>
        </w:rPr>
        <w:t>温度统计量</w:t>
      </w:r>
    </w:p>
    <w:p w14:paraId="3486AF41">
      <w:pPr>
        <w:pStyle w:val="20"/>
        <w:keepNext/>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黑体" w:cs="Times New Roman"/>
          <w:color w:val="0000FF"/>
          <w:kern w:val="0"/>
          <w:sz w:val="24"/>
          <w:szCs w:val="24"/>
          <w:lang w:val="en-US" w:eastAsia="zh-CN" w:bidi="ar-SA"/>
        </w:rPr>
      </w:pPr>
      <w:r>
        <w:rPr>
          <w:rFonts w:hint="default" w:ascii="Times New Roman" w:hAnsi="Times New Roman" w:eastAsia="黑体" w:cs="Times New Roman"/>
          <w:color w:val="0000FF"/>
          <w:kern w:val="0"/>
          <w:sz w:val="24"/>
          <w:szCs w:val="24"/>
          <w:lang w:val="en-US" w:eastAsia="zh-CN" w:bidi="ar-SA"/>
        </w:rPr>
        <w:t>表</w:t>
      </w:r>
      <w:r>
        <w:rPr>
          <w:rFonts w:hint="eastAsia" w:ascii="Times New Roman" w:hAnsi="Times New Roman" w:cs="Times New Roman"/>
          <w:color w:val="0000FF"/>
          <w:kern w:val="0"/>
          <w:sz w:val="24"/>
          <w:szCs w:val="24"/>
          <w:lang w:val="en-US" w:eastAsia="zh-CN" w:bidi="ar-SA"/>
        </w:rPr>
        <w:t>5.1</w:t>
      </w:r>
      <w:r>
        <w:rPr>
          <w:rFonts w:hint="default" w:ascii="Times New Roman" w:hAnsi="Times New Roman" w:eastAsia="黑体" w:cs="Times New Roman"/>
          <w:color w:val="0000FF"/>
          <w:kern w:val="0"/>
          <w:sz w:val="24"/>
          <w:szCs w:val="24"/>
          <w:lang w:val="en-US" w:eastAsia="zh-CN" w:bidi="ar-SA"/>
        </w:rPr>
        <w:t>-</w:t>
      </w:r>
      <w:r>
        <w:rPr>
          <w:rFonts w:hint="eastAsia" w:ascii="Times New Roman" w:hAnsi="Times New Roman" w:cs="Times New Roman"/>
          <w:color w:val="0000FF"/>
          <w:kern w:val="0"/>
          <w:sz w:val="24"/>
          <w:szCs w:val="24"/>
          <w:lang w:val="en-US" w:eastAsia="zh-CN" w:bidi="ar-SA"/>
        </w:rPr>
        <w:t>5</w:t>
      </w:r>
      <w:r>
        <w:rPr>
          <w:rFonts w:hint="default" w:ascii="Times New Roman" w:hAnsi="Times New Roman" w:eastAsia="黑体" w:cs="Times New Roman"/>
          <w:color w:val="0000FF"/>
          <w:kern w:val="0"/>
          <w:sz w:val="24"/>
          <w:szCs w:val="24"/>
          <w:lang w:val="en-US" w:eastAsia="zh-CN" w:bidi="ar-SA"/>
        </w:rPr>
        <w:t xml:space="preserve"> 本溪气象站【54346】近20年(2005-2024)累年逐月气候要素变化</w:t>
      </w:r>
    </w:p>
    <w:tbl>
      <w:tblPr>
        <w:tblStyle w:val="57"/>
        <w:tblW w:w="5000" w:type="pct"/>
        <w:tblInd w:w="0" w:type="dxa"/>
        <w:tblBorders>
          <w:top w:val="double" w:color="auto" w:sz="4" w:space="0"/>
          <w:left w:val="none" w:color="auto" w:sz="0" w:space="0"/>
          <w:bottom w:val="double" w:color="auto" w:sz="4"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1126"/>
        <w:gridCol w:w="563"/>
        <w:gridCol w:w="563"/>
        <w:gridCol w:w="563"/>
        <w:gridCol w:w="563"/>
        <w:gridCol w:w="563"/>
        <w:gridCol w:w="563"/>
        <w:gridCol w:w="563"/>
        <w:gridCol w:w="563"/>
        <w:gridCol w:w="563"/>
        <w:gridCol w:w="563"/>
        <w:gridCol w:w="563"/>
        <w:gridCol w:w="563"/>
        <w:gridCol w:w="641"/>
      </w:tblGrid>
      <w:tr w14:paraId="08D98223">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PrEx>
        <w:trPr>
          <w:trHeight w:val="454" w:hRule="atLeast"/>
        </w:trPr>
        <w:tc>
          <w:tcPr>
            <w:tcW w:w="661" w:type="pct"/>
            <w:tcBorders>
              <w:tl2br w:val="nil"/>
              <w:tr2bl w:val="nil"/>
            </w:tcBorders>
            <w:shd w:val="clear" w:color="auto" w:fill="auto"/>
            <w:vAlign w:val="center"/>
            <mc:AlternateContent>
              <mc:Choice Requires="wpsCustomData">
                <wpsCustomData:diagonals>
                  <wpsCustomData:diagonal from="10000" to="30000">
                    <wpsCustomData:border w:val="single" w:color="auto" w:sz="4" w:space="0"/>
                  </wpsCustomData:diagonal>
                </wpsCustomData:diagonals>
              </mc:Choice>
            </mc:AlternateContent>
          </w:tcPr>
          <w:p w14:paraId="245F9DE2">
            <w:pPr>
              <w:widowControl w:val="0"/>
              <w:adjustRightInd w:val="0"/>
              <w:snapToGrid w:val="0"/>
              <w:spacing w:line="240" w:lineRule="auto"/>
              <w:jc w:val="left"/>
              <mc:AlternateContent>
                <mc:Choice Requires="wpsCustomData">
                  <wpsCustomData:diagonalParaType/>
                </mc:Choice>
              </mc:AlternateContent>
              <w:rPr>
                <w:rFonts w:hint="default" w:ascii="Times New Roman" w:hAnsi="Times New Roman" w:eastAsia="宋体" w:cs="Times New Roman"/>
                <w:color w:val="0000FF"/>
                <w:sz w:val="16"/>
                <w:szCs w:val="16"/>
              </w:rPr>
            </w:pPr>
            <w:bookmarkStart w:id="445" w:name="_Hlk536105037"/>
            <w:r>
              <w:rPr>
                <w:rFonts w:hint="default" w:ascii="Times New Roman" w:hAnsi="Times New Roman" w:eastAsia="宋体" w:cs="Times New Roman"/>
                <w:color w:val="0000FF"/>
                <w:sz w:val="16"/>
                <w:szCs w:val="16"/>
              </w:rPr>
              <w:t>项目</w:t>
            </w:r>
          </w:p>
          <w:p w14:paraId="2DB69D84">
            <w:pPr>
              <w:widowControl w:val="0"/>
              <w:adjustRightInd w:val="0"/>
              <w:snapToGrid w:val="0"/>
              <w:jc w:val="right"/>
              <w:rPr>
                <w:rFonts w:hint="default" w:ascii="Times New Roman" w:hAnsi="Times New Roman" w:eastAsia="宋体" w:cs="Times New Roman"/>
                <w:color w:val="0000FF"/>
                <w:sz w:val="16"/>
                <w:szCs w:val="16"/>
              </w:rPr>
            </w:pPr>
            <w:r>
              <w:rPr>
                <w:rFonts w:hint="default" w:ascii="Times New Roman" w:hAnsi="Times New Roman" w:eastAsia="宋体" w:cs="Times New Roman"/>
                <w:color w:val="0000FF"/>
                <w:sz w:val="16"/>
                <w:szCs w:val="16"/>
              </w:rPr>
              <w:t>月份</w:t>
            </w:r>
          </w:p>
          <w:p w14:paraId="7B43DC80">
            <w:pPr>
              <w:widowControl w:val="0"/>
              <w:adjustRightInd w:val="0"/>
              <w:snapToGrid w:val="0"/>
              <w:jc w:val="left"/>
              <w:rPr>
                <w:rFonts w:hint="default" w:ascii="Times New Roman" w:hAnsi="Times New Roman" w:eastAsia="宋体" w:cs="Times New Roman"/>
                <w:color w:val="0000FF"/>
                <w:sz w:val="16"/>
                <w:szCs w:val="16"/>
              </w:rPr>
            </w:pPr>
          </w:p>
        </w:tc>
        <w:tc>
          <w:tcPr>
            <w:tcW w:w="330" w:type="pct"/>
            <w:tcBorders>
              <w:tl2br w:val="nil"/>
              <w:tr2bl w:val="nil"/>
            </w:tcBorders>
            <w:shd w:val="clear" w:color="auto" w:fill="auto"/>
            <w:vAlign w:val="center"/>
          </w:tcPr>
          <w:p w14:paraId="44764C1D">
            <w:pPr>
              <w:widowControl w:val="0"/>
              <w:adjustRightInd w:val="0"/>
              <w:snapToGrid w:val="0"/>
              <w:jc w:val="center"/>
              <w:rPr>
                <w:rFonts w:hint="default" w:ascii="Times New Roman" w:hAnsi="Times New Roman" w:eastAsia="宋体" w:cs="Times New Roman"/>
                <w:b/>
                <w:color w:val="0000FF"/>
                <w:sz w:val="16"/>
                <w:szCs w:val="16"/>
              </w:rPr>
            </w:pPr>
            <w:r>
              <w:rPr>
                <w:rFonts w:hint="default" w:ascii="Times New Roman" w:hAnsi="Times New Roman" w:eastAsia="宋体" w:cs="Times New Roman"/>
                <w:b/>
                <w:color w:val="0000FF"/>
                <w:sz w:val="16"/>
                <w:szCs w:val="16"/>
              </w:rPr>
              <w:t>1</w:t>
            </w:r>
          </w:p>
        </w:tc>
        <w:tc>
          <w:tcPr>
            <w:tcW w:w="330" w:type="pct"/>
            <w:tcBorders>
              <w:tl2br w:val="nil"/>
              <w:tr2bl w:val="nil"/>
            </w:tcBorders>
            <w:shd w:val="clear" w:color="auto" w:fill="auto"/>
            <w:vAlign w:val="center"/>
          </w:tcPr>
          <w:p w14:paraId="7410933E">
            <w:pPr>
              <w:widowControl w:val="0"/>
              <w:adjustRightInd w:val="0"/>
              <w:snapToGrid w:val="0"/>
              <w:jc w:val="center"/>
              <w:rPr>
                <w:rFonts w:hint="default" w:ascii="Times New Roman" w:hAnsi="Times New Roman" w:eastAsia="宋体" w:cs="Times New Roman"/>
                <w:b/>
                <w:color w:val="0000FF"/>
                <w:sz w:val="16"/>
                <w:szCs w:val="16"/>
              </w:rPr>
            </w:pPr>
            <w:r>
              <w:rPr>
                <w:rFonts w:hint="default" w:ascii="Times New Roman" w:hAnsi="Times New Roman" w:eastAsia="宋体" w:cs="Times New Roman"/>
                <w:b/>
                <w:color w:val="0000FF"/>
                <w:sz w:val="16"/>
                <w:szCs w:val="16"/>
              </w:rPr>
              <w:t>2</w:t>
            </w:r>
          </w:p>
        </w:tc>
        <w:tc>
          <w:tcPr>
            <w:tcW w:w="330" w:type="pct"/>
            <w:tcBorders>
              <w:tl2br w:val="nil"/>
              <w:tr2bl w:val="nil"/>
            </w:tcBorders>
            <w:shd w:val="clear" w:color="auto" w:fill="auto"/>
            <w:vAlign w:val="center"/>
          </w:tcPr>
          <w:p w14:paraId="27CB52C9">
            <w:pPr>
              <w:widowControl w:val="0"/>
              <w:adjustRightInd w:val="0"/>
              <w:snapToGrid w:val="0"/>
              <w:jc w:val="center"/>
              <w:rPr>
                <w:rFonts w:hint="default" w:ascii="Times New Roman" w:hAnsi="Times New Roman" w:eastAsia="宋体" w:cs="Times New Roman"/>
                <w:b/>
                <w:color w:val="0000FF"/>
                <w:sz w:val="16"/>
                <w:szCs w:val="16"/>
              </w:rPr>
            </w:pPr>
            <w:r>
              <w:rPr>
                <w:rFonts w:hint="default" w:ascii="Times New Roman" w:hAnsi="Times New Roman" w:eastAsia="宋体" w:cs="Times New Roman"/>
                <w:b/>
                <w:color w:val="0000FF"/>
                <w:sz w:val="16"/>
                <w:szCs w:val="16"/>
              </w:rPr>
              <w:t>3</w:t>
            </w:r>
          </w:p>
        </w:tc>
        <w:tc>
          <w:tcPr>
            <w:tcW w:w="330" w:type="pct"/>
            <w:tcBorders>
              <w:tl2br w:val="nil"/>
              <w:tr2bl w:val="nil"/>
            </w:tcBorders>
            <w:shd w:val="clear" w:color="auto" w:fill="auto"/>
            <w:vAlign w:val="center"/>
          </w:tcPr>
          <w:p w14:paraId="0F8148D4">
            <w:pPr>
              <w:widowControl w:val="0"/>
              <w:adjustRightInd w:val="0"/>
              <w:snapToGrid w:val="0"/>
              <w:jc w:val="center"/>
              <w:rPr>
                <w:rFonts w:hint="default" w:ascii="Times New Roman" w:hAnsi="Times New Roman" w:eastAsia="宋体" w:cs="Times New Roman"/>
                <w:b/>
                <w:color w:val="0000FF"/>
                <w:sz w:val="16"/>
                <w:szCs w:val="16"/>
              </w:rPr>
            </w:pPr>
            <w:r>
              <w:rPr>
                <w:rFonts w:hint="default" w:ascii="Times New Roman" w:hAnsi="Times New Roman" w:eastAsia="宋体" w:cs="Times New Roman"/>
                <w:b/>
                <w:color w:val="0000FF"/>
                <w:sz w:val="16"/>
                <w:szCs w:val="16"/>
              </w:rPr>
              <w:t>4</w:t>
            </w:r>
          </w:p>
        </w:tc>
        <w:tc>
          <w:tcPr>
            <w:tcW w:w="330" w:type="pct"/>
            <w:tcBorders>
              <w:tl2br w:val="nil"/>
              <w:tr2bl w:val="nil"/>
            </w:tcBorders>
            <w:shd w:val="clear" w:color="auto" w:fill="auto"/>
            <w:vAlign w:val="center"/>
          </w:tcPr>
          <w:p w14:paraId="0A7EB293">
            <w:pPr>
              <w:widowControl w:val="0"/>
              <w:adjustRightInd w:val="0"/>
              <w:snapToGrid w:val="0"/>
              <w:jc w:val="center"/>
              <w:rPr>
                <w:rFonts w:hint="default" w:ascii="Times New Roman" w:hAnsi="Times New Roman" w:eastAsia="宋体" w:cs="Times New Roman"/>
                <w:b/>
                <w:color w:val="0000FF"/>
                <w:sz w:val="16"/>
                <w:szCs w:val="16"/>
              </w:rPr>
            </w:pPr>
            <w:r>
              <w:rPr>
                <w:rFonts w:hint="default" w:ascii="Times New Roman" w:hAnsi="Times New Roman" w:eastAsia="宋体" w:cs="Times New Roman"/>
                <w:b/>
                <w:color w:val="0000FF"/>
                <w:sz w:val="16"/>
                <w:szCs w:val="16"/>
              </w:rPr>
              <w:t>5</w:t>
            </w:r>
          </w:p>
        </w:tc>
        <w:tc>
          <w:tcPr>
            <w:tcW w:w="330" w:type="pct"/>
            <w:tcBorders>
              <w:tl2br w:val="nil"/>
              <w:tr2bl w:val="nil"/>
            </w:tcBorders>
            <w:shd w:val="clear" w:color="auto" w:fill="auto"/>
            <w:vAlign w:val="center"/>
          </w:tcPr>
          <w:p w14:paraId="2C6E1F8F">
            <w:pPr>
              <w:widowControl w:val="0"/>
              <w:adjustRightInd w:val="0"/>
              <w:snapToGrid w:val="0"/>
              <w:jc w:val="center"/>
              <w:rPr>
                <w:rFonts w:hint="default" w:ascii="Times New Roman" w:hAnsi="Times New Roman" w:eastAsia="宋体" w:cs="Times New Roman"/>
                <w:b/>
                <w:color w:val="0000FF"/>
                <w:sz w:val="16"/>
                <w:szCs w:val="16"/>
              </w:rPr>
            </w:pPr>
            <w:r>
              <w:rPr>
                <w:rFonts w:hint="default" w:ascii="Times New Roman" w:hAnsi="Times New Roman" w:eastAsia="宋体" w:cs="Times New Roman"/>
                <w:b/>
                <w:color w:val="0000FF"/>
                <w:sz w:val="16"/>
                <w:szCs w:val="16"/>
              </w:rPr>
              <w:t>6</w:t>
            </w:r>
          </w:p>
        </w:tc>
        <w:tc>
          <w:tcPr>
            <w:tcW w:w="330" w:type="pct"/>
            <w:tcBorders>
              <w:tl2br w:val="nil"/>
              <w:tr2bl w:val="nil"/>
            </w:tcBorders>
            <w:shd w:val="clear" w:color="auto" w:fill="auto"/>
            <w:vAlign w:val="center"/>
          </w:tcPr>
          <w:p w14:paraId="71A7EC74">
            <w:pPr>
              <w:widowControl w:val="0"/>
              <w:adjustRightInd w:val="0"/>
              <w:snapToGrid w:val="0"/>
              <w:jc w:val="center"/>
              <w:rPr>
                <w:rFonts w:hint="default" w:ascii="Times New Roman" w:hAnsi="Times New Roman" w:eastAsia="宋体" w:cs="Times New Roman"/>
                <w:b/>
                <w:color w:val="0000FF"/>
                <w:sz w:val="16"/>
                <w:szCs w:val="16"/>
              </w:rPr>
            </w:pPr>
            <w:r>
              <w:rPr>
                <w:rFonts w:hint="default" w:ascii="Times New Roman" w:hAnsi="Times New Roman" w:eastAsia="宋体" w:cs="Times New Roman"/>
                <w:b/>
                <w:color w:val="0000FF"/>
                <w:sz w:val="16"/>
                <w:szCs w:val="16"/>
              </w:rPr>
              <w:t>7</w:t>
            </w:r>
          </w:p>
        </w:tc>
        <w:tc>
          <w:tcPr>
            <w:tcW w:w="330" w:type="pct"/>
            <w:tcBorders>
              <w:tl2br w:val="nil"/>
              <w:tr2bl w:val="nil"/>
            </w:tcBorders>
            <w:shd w:val="clear" w:color="auto" w:fill="auto"/>
            <w:vAlign w:val="center"/>
          </w:tcPr>
          <w:p w14:paraId="529DCEC4">
            <w:pPr>
              <w:widowControl w:val="0"/>
              <w:adjustRightInd w:val="0"/>
              <w:snapToGrid w:val="0"/>
              <w:jc w:val="center"/>
              <w:rPr>
                <w:rFonts w:hint="default" w:ascii="Times New Roman" w:hAnsi="Times New Roman" w:eastAsia="宋体" w:cs="Times New Roman"/>
                <w:b/>
                <w:color w:val="0000FF"/>
                <w:sz w:val="16"/>
                <w:szCs w:val="16"/>
              </w:rPr>
            </w:pPr>
            <w:r>
              <w:rPr>
                <w:rFonts w:hint="default" w:ascii="Times New Roman" w:hAnsi="Times New Roman" w:eastAsia="宋体" w:cs="Times New Roman"/>
                <w:b/>
                <w:color w:val="0000FF"/>
                <w:sz w:val="16"/>
                <w:szCs w:val="16"/>
              </w:rPr>
              <w:t>8</w:t>
            </w:r>
          </w:p>
        </w:tc>
        <w:tc>
          <w:tcPr>
            <w:tcW w:w="330" w:type="pct"/>
            <w:tcBorders>
              <w:tl2br w:val="nil"/>
              <w:tr2bl w:val="nil"/>
            </w:tcBorders>
            <w:shd w:val="clear" w:color="auto" w:fill="auto"/>
            <w:vAlign w:val="center"/>
          </w:tcPr>
          <w:p w14:paraId="0D93151D">
            <w:pPr>
              <w:widowControl w:val="0"/>
              <w:adjustRightInd w:val="0"/>
              <w:snapToGrid w:val="0"/>
              <w:jc w:val="center"/>
              <w:rPr>
                <w:rFonts w:hint="default" w:ascii="Times New Roman" w:hAnsi="Times New Roman" w:eastAsia="宋体" w:cs="Times New Roman"/>
                <w:b/>
                <w:color w:val="0000FF"/>
                <w:sz w:val="16"/>
                <w:szCs w:val="16"/>
              </w:rPr>
            </w:pPr>
            <w:r>
              <w:rPr>
                <w:rFonts w:hint="default" w:ascii="Times New Roman" w:hAnsi="Times New Roman" w:eastAsia="宋体" w:cs="Times New Roman"/>
                <w:b/>
                <w:color w:val="0000FF"/>
                <w:sz w:val="16"/>
                <w:szCs w:val="16"/>
              </w:rPr>
              <w:t>9</w:t>
            </w:r>
          </w:p>
        </w:tc>
        <w:tc>
          <w:tcPr>
            <w:tcW w:w="330" w:type="pct"/>
            <w:tcBorders>
              <w:tl2br w:val="nil"/>
              <w:tr2bl w:val="nil"/>
            </w:tcBorders>
            <w:shd w:val="clear" w:color="auto" w:fill="auto"/>
            <w:vAlign w:val="center"/>
          </w:tcPr>
          <w:p w14:paraId="22FFB222">
            <w:pPr>
              <w:widowControl w:val="0"/>
              <w:adjustRightInd w:val="0"/>
              <w:snapToGrid w:val="0"/>
              <w:jc w:val="center"/>
              <w:rPr>
                <w:rFonts w:hint="default" w:ascii="Times New Roman" w:hAnsi="Times New Roman" w:eastAsia="宋体" w:cs="Times New Roman"/>
                <w:b/>
                <w:color w:val="0000FF"/>
                <w:sz w:val="16"/>
                <w:szCs w:val="16"/>
              </w:rPr>
            </w:pPr>
            <w:r>
              <w:rPr>
                <w:rFonts w:hint="default" w:ascii="Times New Roman" w:hAnsi="Times New Roman" w:eastAsia="宋体" w:cs="Times New Roman"/>
                <w:b/>
                <w:color w:val="0000FF"/>
                <w:sz w:val="16"/>
                <w:szCs w:val="16"/>
              </w:rPr>
              <w:t>10</w:t>
            </w:r>
          </w:p>
        </w:tc>
        <w:tc>
          <w:tcPr>
            <w:tcW w:w="330" w:type="pct"/>
            <w:tcBorders>
              <w:tl2br w:val="nil"/>
              <w:tr2bl w:val="nil"/>
            </w:tcBorders>
            <w:shd w:val="clear" w:color="auto" w:fill="auto"/>
            <w:vAlign w:val="center"/>
          </w:tcPr>
          <w:p w14:paraId="1F835D49">
            <w:pPr>
              <w:widowControl w:val="0"/>
              <w:adjustRightInd w:val="0"/>
              <w:snapToGrid w:val="0"/>
              <w:jc w:val="center"/>
              <w:rPr>
                <w:rFonts w:hint="default" w:ascii="Times New Roman" w:hAnsi="Times New Roman" w:eastAsia="宋体" w:cs="Times New Roman"/>
                <w:b/>
                <w:color w:val="0000FF"/>
                <w:sz w:val="16"/>
                <w:szCs w:val="16"/>
              </w:rPr>
            </w:pPr>
            <w:r>
              <w:rPr>
                <w:rFonts w:hint="default" w:ascii="Times New Roman" w:hAnsi="Times New Roman" w:eastAsia="宋体" w:cs="Times New Roman"/>
                <w:b/>
                <w:color w:val="0000FF"/>
                <w:sz w:val="16"/>
                <w:szCs w:val="16"/>
              </w:rPr>
              <w:t>11</w:t>
            </w:r>
          </w:p>
        </w:tc>
        <w:tc>
          <w:tcPr>
            <w:tcW w:w="330" w:type="pct"/>
            <w:tcBorders>
              <w:tl2br w:val="nil"/>
              <w:tr2bl w:val="nil"/>
            </w:tcBorders>
            <w:shd w:val="clear" w:color="auto" w:fill="auto"/>
            <w:vAlign w:val="center"/>
          </w:tcPr>
          <w:p w14:paraId="7AE199A2">
            <w:pPr>
              <w:widowControl w:val="0"/>
              <w:adjustRightInd w:val="0"/>
              <w:snapToGrid w:val="0"/>
              <w:jc w:val="center"/>
              <w:rPr>
                <w:rFonts w:hint="default" w:ascii="Times New Roman" w:hAnsi="Times New Roman" w:eastAsia="宋体" w:cs="Times New Roman"/>
                <w:b/>
                <w:color w:val="0000FF"/>
                <w:sz w:val="16"/>
                <w:szCs w:val="16"/>
              </w:rPr>
            </w:pPr>
            <w:r>
              <w:rPr>
                <w:rFonts w:hint="default" w:ascii="Times New Roman" w:hAnsi="Times New Roman" w:eastAsia="宋体" w:cs="Times New Roman"/>
                <w:b/>
                <w:color w:val="0000FF"/>
                <w:sz w:val="16"/>
                <w:szCs w:val="16"/>
              </w:rPr>
              <w:t>12</w:t>
            </w:r>
          </w:p>
        </w:tc>
        <w:tc>
          <w:tcPr>
            <w:tcW w:w="376" w:type="pct"/>
            <w:tcBorders>
              <w:tl2br w:val="nil"/>
              <w:tr2bl w:val="nil"/>
            </w:tcBorders>
            <w:shd w:val="clear" w:color="auto" w:fill="auto"/>
            <w:vAlign w:val="center"/>
          </w:tcPr>
          <w:p w14:paraId="2275C450">
            <w:pPr>
              <w:widowControl w:val="0"/>
              <w:adjustRightInd w:val="0"/>
              <w:snapToGrid w:val="0"/>
              <w:jc w:val="center"/>
              <w:rPr>
                <w:rFonts w:hint="default" w:ascii="Times New Roman" w:hAnsi="Times New Roman" w:eastAsia="宋体" w:cs="Times New Roman"/>
                <w:color w:val="0000FF"/>
                <w:sz w:val="16"/>
                <w:szCs w:val="16"/>
              </w:rPr>
            </w:pPr>
            <w:r>
              <w:rPr>
                <w:rFonts w:hint="default" w:ascii="Times New Roman" w:hAnsi="Times New Roman" w:eastAsia="宋体" w:cs="Times New Roman"/>
                <w:color w:val="0000FF"/>
                <w:sz w:val="16"/>
                <w:szCs w:val="16"/>
              </w:rPr>
              <w:t>全年</w:t>
            </w:r>
          </w:p>
        </w:tc>
      </w:tr>
      <w:tr w14:paraId="036D0F39">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46" w:hRule="atLeast"/>
        </w:trPr>
        <w:tc>
          <w:tcPr>
            <w:tcW w:w="661" w:type="pct"/>
            <w:tcBorders>
              <w:tl2br w:val="nil"/>
              <w:tr2bl w:val="nil"/>
            </w:tcBorders>
            <w:shd w:val="clear" w:color="auto" w:fill="auto"/>
            <w:vAlign w:val="center"/>
          </w:tcPr>
          <w:p w14:paraId="123BEC30">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FF"/>
                <w:sz w:val="16"/>
                <w:szCs w:val="16"/>
              </w:rPr>
            </w:pPr>
            <w:r>
              <w:rPr>
                <w:rFonts w:hint="default" w:ascii="Times New Roman" w:hAnsi="Times New Roman" w:eastAsia="宋体" w:cs="Times New Roman"/>
                <w:color w:val="0000FF"/>
                <w:sz w:val="16"/>
                <w:szCs w:val="16"/>
              </w:rPr>
              <w:t>平均气温℃</w:t>
            </w:r>
          </w:p>
        </w:tc>
        <w:tc>
          <w:tcPr>
            <w:tcW w:w="330" w:type="pct"/>
            <w:tcBorders>
              <w:tl2br w:val="nil"/>
              <w:tr2bl w:val="nil"/>
            </w:tcBorders>
            <w:shd w:val="clear" w:color="auto" w:fill="auto"/>
            <w:vAlign w:val="center"/>
          </w:tcPr>
          <w:p w14:paraId="0D9BA253">
            <w:pPr>
              <w:widowControl w:val="0"/>
              <w:jc w:val="center"/>
              <w:rPr>
                <w:rFonts w:hint="default" w:ascii="Times New Roman" w:hAnsi="Times New Roman" w:eastAsia="宋体" w:cs="Times New Roman"/>
                <w:color w:val="0000FF"/>
                <w:sz w:val="16"/>
                <w:szCs w:val="16"/>
              </w:rPr>
            </w:pPr>
            <w:r>
              <w:rPr>
                <w:rFonts w:hint="default" w:ascii="Times New Roman" w:hAnsi="Times New Roman" w:eastAsia="宋体" w:cs="Times New Roman"/>
                <w:color w:val="0000FF"/>
                <w:sz w:val="16"/>
                <w:szCs w:val="16"/>
              </w:rPr>
              <w:t>-10.2</w:t>
            </w:r>
          </w:p>
        </w:tc>
        <w:tc>
          <w:tcPr>
            <w:tcW w:w="330" w:type="pct"/>
            <w:tcBorders>
              <w:tl2br w:val="nil"/>
              <w:tr2bl w:val="nil"/>
            </w:tcBorders>
            <w:shd w:val="clear" w:color="auto" w:fill="auto"/>
            <w:vAlign w:val="center"/>
          </w:tcPr>
          <w:p w14:paraId="414193A5">
            <w:pPr>
              <w:widowControl w:val="0"/>
              <w:jc w:val="center"/>
              <w:rPr>
                <w:rFonts w:hint="default" w:ascii="Times New Roman" w:hAnsi="Times New Roman" w:eastAsia="宋体" w:cs="Times New Roman"/>
                <w:color w:val="0000FF"/>
                <w:sz w:val="16"/>
                <w:szCs w:val="16"/>
              </w:rPr>
            </w:pPr>
            <w:r>
              <w:rPr>
                <w:rFonts w:hint="default" w:ascii="Times New Roman" w:hAnsi="Times New Roman" w:eastAsia="宋体" w:cs="Times New Roman"/>
                <w:color w:val="0000FF"/>
                <w:sz w:val="16"/>
                <w:szCs w:val="16"/>
              </w:rPr>
              <w:t>-5.9</w:t>
            </w:r>
          </w:p>
        </w:tc>
        <w:tc>
          <w:tcPr>
            <w:tcW w:w="330" w:type="pct"/>
            <w:tcBorders>
              <w:tl2br w:val="nil"/>
              <w:tr2bl w:val="nil"/>
            </w:tcBorders>
            <w:shd w:val="clear" w:color="auto" w:fill="auto"/>
            <w:vAlign w:val="center"/>
          </w:tcPr>
          <w:p w14:paraId="230C01DE">
            <w:pPr>
              <w:widowControl w:val="0"/>
              <w:jc w:val="center"/>
              <w:rPr>
                <w:rFonts w:hint="default" w:ascii="Times New Roman" w:hAnsi="Times New Roman" w:eastAsia="宋体" w:cs="Times New Roman"/>
                <w:color w:val="0000FF"/>
                <w:sz w:val="16"/>
                <w:szCs w:val="16"/>
              </w:rPr>
            </w:pPr>
            <w:r>
              <w:rPr>
                <w:rFonts w:hint="default" w:ascii="Times New Roman" w:hAnsi="Times New Roman" w:eastAsia="宋体" w:cs="Times New Roman"/>
                <w:color w:val="0000FF"/>
                <w:sz w:val="16"/>
                <w:szCs w:val="16"/>
              </w:rPr>
              <w:t>2.2</w:t>
            </w:r>
          </w:p>
        </w:tc>
        <w:tc>
          <w:tcPr>
            <w:tcW w:w="330" w:type="pct"/>
            <w:tcBorders>
              <w:tl2br w:val="nil"/>
              <w:tr2bl w:val="nil"/>
            </w:tcBorders>
            <w:shd w:val="clear" w:color="auto" w:fill="auto"/>
            <w:vAlign w:val="center"/>
          </w:tcPr>
          <w:p w14:paraId="5AFCC41C">
            <w:pPr>
              <w:widowControl w:val="0"/>
              <w:jc w:val="center"/>
              <w:rPr>
                <w:rFonts w:hint="default" w:ascii="Times New Roman" w:hAnsi="Times New Roman" w:eastAsia="宋体" w:cs="Times New Roman"/>
                <w:color w:val="0000FF"/>
                <w:sz w:val="16"/>
                <w:szCs w:val="16"/>
              </w:rPr>
            </w:pPr>
            <w:r>
              <w:rPr>
                <w:rFonts w:hint="default" w:ascii="Times New Roman" w:hAnsi="Times New Roman" w:eastAsia="宋体" w:cs="Times New Roman"/>
                <w:color w:val="0000FF"/>
                <w:sz w:val="16"/>
                <w:szCs w:val="16"/>
              </w:rPr>
              <w:t>10.6</w:t>
            </w:r>
          </w:p>
        </w:tc>
        <w:tc>
          <w:tcPr>
            <w:tcW w:w="330" w:type="pct"/>
            <w:tcBorders>
              <w:tl2br w:val="nil"/>
              <w:tr2bl w:val="nil"/>
            </w:tcBorders>
            <w:shd w:val="clear" w:color="auto" w:fill="auto"/>
            <w:vAlign w:val="center"/>
          </w:tcPr>
          <w:p w14:paraId="0600D26A">
            <w:pPr>
              <w:widowControl w:val="0"/>
              <w:jc w:val="center"/>
              <w:rPr>
                <w:rFonts w:hint="default" w:ascii="Times New Roman" w:hAnsi="Times New Roman" w:eastAsia="宋体" w:cs="Times New Roman"/>
                <w:color w:val="0000FF"/>
                <w:sz w:val="16"/>
                <w:szCs w:val="16"/>
              </w:rPr>
            </w:pPr>
            <w:r>
              <w:rPr>
                <w:rFonts w:hint="default" w:ascii="Times New Roman" w:hAnsi="Times New Roman" w:eastAsia="宋体" w:cs="Times New Roman"/>
                <w:color w:val="0000FF"/>
                <w:sz w:val="16"/>
                <w:szCs w:val="16"/>
              </w:rPr>
              <w:t>17.3</w:t>
            </w:r>
          </w:p>
        </w:tc>
        <w:tc>
          <w:tcPr>
            <w:tcW w:w="330" w:type="pct"/>
            <w:tcBorders>
              <w:tl2br w:val="nil"/>
              <w:tr2bl w:val="nil"/>
            </w:tcBorders>
            <w:shd w:val="clear" w:color="auto" w:fill="auto"/>
            <w:vAlign w:val="center"/>
          </w:tcPr>
          <w:p w14:paraId="64A18186">
            <w:pPr>
              <w:widowControl w:val="0"/>
              <w:jc w:val="center"/>
              <w:rPr>
                <w:rFonts w:hint="default" w:ascii="Times New Roman" w:hAnsi="Times New Roman" w:eastAsia="宋体" w:cs="Times New Roman"/>
                <w:color w:val="0000FF"/>
                <w:sz w:val="16"/>
                <w:szCs w:val="16"/>
              </w:rPr>
            </w:pPr>
            <w:r>
              <w:rPr>
                <w:rFonts w:hint="default" w:ascii="Times New Roman" w:hAnsi="Times New Roman" w:eastAsia="宋体" w:cs="Times New Roman"/>
                <w:color w:val="0000FF"/>
                <w:sz w:val="16"/>
                <w:szCs w:val="16"/>
              </w:rPr>
              <w:t>21.7</w:t>
            </w:r>
          </w:p>
        </w:tc>
        <w:tc>
          <w:tcPr>
            <w:tcW w:w="330" w:type="pct"/>
            <w:tcBorders>
              <w:tl2br w:val="nil"/>
              <w:tr2bl w:val="nil"/>
            </w:tcBorders>
            <w:shd w:val="clear" w:color="auto" w:fill="auto"/>
            <w:vAlign w:val="center"/>
          </w:tcPr>
          <w:p w14:paraId="0F15BF6B">
            <w:pPr>
              <w:widowControl w:val="0"/>
              <w:jc w:val="center"/>
              <w:rPr>
                <w:rFonts w:hint="default" w:ascii="Times New Roman" w:hAnsi="Times New Roman" w:eastAsia="宋体" w:cs="Times New Roman"/>
                <w:color w:val="0000FF"/>
                <w:sz w:val="16"/>
                <w:szCs w:val="16"/>
              </w:rPr>
            </w:pPr>
            <w:r>
              <w:rPr>
                <w:rFonts w:hint="default" w:ascii="Times New Roman" w:hAnsi="Times New Roman" w:eastAsia="宋体" w:cs="Times New Roman"/>
                <w:color w:val="0000FF"/>
                <w:sz w:val="16"/>
                <w:szCs w:val="16"/>
              </w:rPr>
              <w:t>24.9</w:t>
            </w:r>
          </w:p>
        </w:tc>
        <w:tc>
          <w:tcPr>
            <w:tcW w:w="330" w:type="pct"/>
            <w:tcBorders>
              <w:tl2br w:val="nil"/>
              <w:tr2bl w:val="nil"/>
            </w:tcBorders>
            <w:shd w:val="clear" w:color="auto" w:fill="auto"/>
            <w:vAlign w:val="center"/>
          </w:tcPr>
          <w:p w14:paraId="3BD3147A">
            <w:pPr>
              <w:widowControl w:val="0"/>
              <w:jc w:val="center"/>
              <w:rPr>
                <w:rFonts w:hint="default" w:ascii="Times New Roman" w:hAnsi="Times New Roman" w:eastAsia="宋体" w:cs="Times New Roman"/>
                <w:color w:val="0000FF"/>
                <w:sz w:val="16"/>
                <w:szCs w:val="16"/>
              </w:rPr>
            </w:pPr>
            <w:r>
              <w:rPr>
                <w:rFonts w:hint="default" w:ascii="Times New Roman" w:hAnsi="Times New Roman" w:eastAsia="宋体" w:cs="Times New Roman"/>
                <w:color w:val="0000FF"/>
                <w:sz w:val="16"/>
                <w:szCs w:val="16"/>
              </w:rPr>
              <w:t>23.6</w:t>
            </w:r>
          </w:p>
        </w:tc>
        <w:tc>
          <w:tcPr>
            <w:tcW w:w="330" w:type="pct"/>
            <w:tcBorders>
              <w:tl2br w:val="nil"/>
              <w:tr2bl w:val="nil"/>
            </w:tcBorders>
            <w:shd w:val="clear" w:color="auto" w:fill="auto"/>
            <w:vAlign w:val="center"/>
          </w:tcPr>
          <w:p w14:paraId="5EEC9271">
            <w:pPr>
              <w:widowControl w:val="0"/>
              <w:jc w:val="center"/>
              <w:rPr>
                <w:rFonts w:hint="default" w:ascii="Times New Roman" w:hAnsi="Times New Roman" w:eastAsia="宋体" w:cs="Times New Roman"/>
                <w:color w:val="0000FF"/>
                <w:sz w:val="16"/>
                <w:szCs w:val="16"/>
              </w:rPr>
            </w:pPr>
            <w:r>
              <w:rPr>
                <w:rFonts w:hint="default" w:ascii="Times New Roman" w:hAnsi="Times New Roman" w:eastAsia="宋体" w:cs="Times New Roman"/>
                <w:color w:val="0000FF"/>
                <w:sz w:val="16"/>
                <w:szCs w:val="16"/>
              </w:rPr>
              <w:t>18.0</w:t>
            </w:r>
          </w:p>
        </w:tc>
        <w:tc>
          <w:tcPr>
            <w:tcW w:w="330" w:type="pct"/>
            <w:tcBorders>
              <w:tl2br w:val="nil"/>
              <w:tr2bl w:val="nil"/>
            </w:tcBorders>
            <w:shd w:val="clear" w:color="auto" w:fill="auto"/>
            <w:vAlign w:val="center"/>
          </w:tcPr>
          <w:p w14:paraId="7297387C">
            <w:pPr>
              <w:widowControl w:val="0"/>
              <w:jc w:val="center"/>
              <w:rPr>
                <w:rFonts w:hint="default" w:ascii="Times New Roman" w:hAnsi="Times New Roman" w:eastAsia="宋体" w:cs="Times New Roman"/>
                <w:color w:val="0000FF"/>
                <w:sz w:val="16"/>
                <w:szCs w:val="16"/>
              </w:rPr>
            </w:pPr>
            <w:r>
              <w:rPr>
                <w:rFonts w:hint="default" w:ascii="Times New Roman" w:hAnsi="Times New Roman" w:eastAsia="宋体" w:cs="Times New Roman"/>
                <w:color w:val="0000FF"/>
                <w:sz w:val="16"/>
                <w:szCs w:val="16"/>
              </w:rPr>
              <w:t>10.2</w:t>
            </w:r>
          </w:p>
        </w:tc>
        <w:tc>
          <w:tcPr>
            <w:tcW w:w="330" w:type="pct"/>
            <w:tcBorders>
              <w:tl2br w:val="nil"/>
              <w:tr2bl w:val="nil"/>
            </w:tcBorders>
            <w:shd w:val="clear" w:color="auto" w:fill="auto"/>
            <w:vAlign w:val="center"/>
          </w:tcPr>
          <w:p w14:paraId="7E155B20">
            <w:pPr>
              <w:widowControl w:val="0"/>
              <w:jc w:val="center"/>
              <w:rPr>
                <w:rFonts w:hint="default" w:ascii="Times New Roman" w:hAnsi="Times New Roman" w:eastAsia="宋体" w:cs="Times New Roman"/>
                <w:color w:val="0000FF"/>
                <w:sz w:val="16"/>
                <w:szCs w:val="16"/>
              </w:rPr>
            </w:pPr>
            <w:r>
              <w:rPr>
                <w:rFonts w:hint="default" w:ascii="Times New Roman" w:hAnsi="Times New Roman" w:eastAsia="宋体" w:cs="Times New Roman"/>
                <w:color w:val="0000FF"/>
                <w:sz w:val="16"/>
                <w:szCs w:val="16"/>
              </w:rPr>
              <w:t>1.2</w:t>
            </w:r>
          </w:p>
        </w:tc>
        <w:tc>
          <w:tcPr>
            <w:tcW w:w="330" w:type="pct"/>
            <w:tcBorders>
              <w:tl2br w:val="nil"/>
              <w:tr2bl w:val="nil"/>
            </w:tcBorders>
            <w:shd w:val="clear" w:color="auto" w:fill="auto"/>
            <w:vAlign w:val="center"/>
          </w:tcPr>
          <w:p w14:paraId="7CB973D2">
            <w:pPr>
              <w:widowControl w:val="0"/>
              <w:jc w:val="center"/>
              <w:rPr>
                <w:rFonts w:hint="default" w:ascii="Times New Roman" w:hAnsi="Times New Roman" w:eastAsia="宋体" w:cs="Times New Roman"/>
                <w:color w:val="0000FF"/>
                <w:sz w:val="16"/>
                <w:szCs w:val="16"/>
              </w:rPr>
            </w:pPr>
            <w:r>
              <w:rPr>
                <w:rFonts w:hint="default" w:ascii="Times New Roman" w:hAnsi="Times New Roman" w:eastAsia="宋体" w:cs="Times New Roman"/>
                <w:color w:val="0000FF"/>
                <w:sz w:val="16"/>
                <w:szCs w:val="16"/>
              </w:rPr>
              <w:t>-7.8</w:t>
            </w:r>
          </w:p>
        </w:tc>
        <w:tc>
          <w:tcPr>
            <w:tcW w:w="376" w:type="pct"/>
            <w:tcBorders>
              <w:tl2br w:val="nil"/>
              <w:tr2bl w:val="nil"/>
            </w:tcBorders>
            <w:shd w:val="clear" w:color="auto" w:fill="auto"/>
            <w:vAlign w:val="center"/>
          </w:tcPr>
          <w:p w14:paraId="48977FB7">
            <w:pPr>
              <w:widowControl w:val="0"/>
              <w:jc w:val="center"/>
              <w:rPr>
                <w:rFonts w:hint="default" w:ascii="Times New Roman" w:hAnsi="Times New Roman" w:eastAsia="宋体" w:cs="Times New Roman"/>
                <w:color w:val="0000FF"/>
                <w:sz w:val="16"/>
                <w:szCs w:val="16"/>
              </w:rPr>
            </w:pPr>
            <w:r>
              <w:rPr>
                <w:rFonts w:hint="default" w:ascii="Times New Roman" w:hAnsi="Times New Roman" w:eastAsia="宋体" w:cs="Times New Roman"/>
                <w:color w:val="0000FF"/>
                <w:sz w:val="16"/>
                <w:szCs w:val="16"/>
              </w:rPr>
              <w:t>8.8</w:t>
            </w:r>
          </w:p>
        </w:tc>
      </w:tr>
      <w:bookmarkEnd w:id="445"/>
    </w:tbl>
    <w:p w14:paraId="53874210">
      <w:pPr>
        <w:jc w:val="center"/>
        <w:rPr>
          <w:color w:val="0000FF"/>
        </w:rPr>
      </w:pPr>
      <w:r>
        <w:rPr>
          <w:color w:val="0000FF"/>
        </w:rPr>
        <w:t>统计全年气象资料中每月平均温度变化情况，并绘制年平均温度月变化曲线图</w:t>
      </w:r>
      <w:r>
        <w:rPr>
          <w:rFonts w:hint="eastAsia"/>
          <w:color w:val="0000FF"/>
          <w:lang w:eastAsia="zh-CN"/>
        </w:rPr>
        <w:t>。</w:t>
      </w:r>
    </w:p>
    <w:p w14:paraId="2595A42F">
      <w:pPr>
        <w:pStyle w:val="2"/>
        <w:ind w:left="0" w:leftChars="0" w:firstLine="0" w:firstLineChars="0"/>
        <w:rPr>
          <w:rFonts w:hint="eastAsia" w:eastAsia="方正书宋简体"/>
          <w:lang w:eastAsia="zh-CN"/>
        </w:rPr>
      </w:pPr>
      <w:r>
        <w:rPr>
          <w:rFonts w:hint="eastAsia" w:eastAsia="方正书宋简体"/>
          <w:lang w:eastAsia="zh-CN"/>
        </w:rPr>
        <w:drawing>
          <wp:inline distT="0" distB="0" distL="114300" distR="114300">
            <wp:extent cx="5256530" cy="2322830"/>
            <wp:effectExtent l="4445" t="4445" r="15875" b="15875"/>
            <wp:docPr id="65" name="图表 65"/>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inline>
        </w:drawing>
      </w:r>
    </w:p>
    <w:p w14:paraId="05753D00">
      <w:pPr>
        <w:adjustRightInd w:val="0"/>
        <w:jc w:val="center"/>
        <w:rPr>
          <w:rFonts w:ascii="Times New Roman" w:hAnsi="Times New Roman" w:eastAsia="黑体" w:cs="Times New Roman"/>
          <w:color w:val="0000FF"/>
        </w:rPr>
      </w:pPr>
      <w:r>
        <w:rPr>
          <w:rFonts w:ascii="Times New Roman" w:hAnsi="Times New Roman" w:eastAsia="黑体" w:cs="Times New Roman"/>
          <w:color w:val="0000FF"/>
        </w:rPr>
        <w:t>图</w:t>
      </w:r>
      <w:r>
        <w:rPr>
          <w:rFonts w:hint="eastAsia" w:ascii="Times New Roman" w:hAnsi="Times New Roman" w:eastAsia="黑体" w:cs="Times New Roman"/>
          <w:color w:val="0000FF"/>
        </w:rPr>
        <w:t>5.1</w:t>
      </w:r>
      <w:r>
        <w:rPr>
          <w:rFonts w:ascii="Times New Roman" w:hAnsi="Times New Roman" w:eastAsia="黑体" w:cs="Times New Roman"/>
          <w:color w:val="0000FF"/>
        </w:rPr>
        <w:t>-1  平均温度月变化曲线图</w:t>
      </w:r>
    </w:p>
    <w:p w14:paraId="244EB5B4">
      <w:pPr>
        <w:snapToGrid w:val="0"/>
        <w:spacing w:line="500" w:lineRule="exact"/>
        <w:ind w:firstLine="482" w:firstLineChars="200"/>
        <w:rPr>
          <w:rFonts w:ascii="Times New Roman" w:hAnsi="Times New Roman" w:cs="Times New Roman"/>
        </w:rPr>
      </w:pPr>
      <w:r>
        <w:rPr>
          <w:rFonts w:ascii="Times New Roman" w:hAnsi="Times New Roman" w:cs="Times New Roman"/>
          <w:b/>
        </w:rPr>
        <w:t>（</w:t>
      </w:r>
      <w:r>
        <w:rPr>
          <w:rFonts w:hint="eastAsia" w:ascii="Times New Roman" w:hAnsi="Times New Roman" w:cs="Times New Roman"/>
          <w:b/>
          <w:lang w:val="en-US" w:eastAsia="zh-CN"/>
        </w:rPr>
        <w:t>3</w:t>
      </w:r>
      <w:r>
        <w:rPr>
          <w:rFonts w:ascii="Times New Roman" w:hAnsi="Times New Roman" w:cs="Times New Roman"/>
          <w:b/>
        </w:rPr>
        <w:t>）风速统计量</w:t>
      </w:r>
    </w:p>
    <w:p w14:paraId="1B62538B">
      <w:pPr>
        <w:snapToGrid w:val="0"/>
        <w:spacing w:line="500" w:lineRule="exact"/>
        <w:ind w:firstLine="480" w:firstLineChars="200"/>
        <w:jc w:val="both"/>
        <w:rPr>
          <w:rFonts w:ascii="Times New Roman" w:hAnsi="Times New Roman" w:cs="Times New Roman"/>
        </w:rPr>
      </w:pPr>
      <w:r>
        <w:rPr>
          <w:rFonts w:ascii="Times New Roman" w:hAnsi="Times New Roman" w:cs="Times New Roman"/>
        </w:rPr>
        <w:t>统计全年每月平均风速变化情况见表</w:t>
      </w:r>
      <w:r>
        <w:rPr>
          <w:rFonts w:hint="eastAsia" w:ascii="Times New Roman" w:hAnsi="Times New Roman" w:cs="Times New Roman"/>
        </w:rPr>
        <w:t>5</w:t>
      </w:r>
      <w:r>
        <w:rPr>
          <w:rFonts w:ascii="Times New Roman" w:hAnsi="Times New Roman" w:cs="Times New Roman"/>
        </w:rPr>
        <w:t>.1-</w:t>
      </w:r>
      <w:r>
        <w:rPr>
          <w:rFonts w:hint="eastAsia" w:ascii="Times New Roman" w:hAnsi="Times New Roman" w:cs="Times New Roman"/>
          <w:lang w:val="en-US" w:eastAsia="zh-CN"/>
        </w:rPr>
        <w:t>6</w:t>
      </w:r>
      <w:r>
        <w:rPr>
          <w:rFonts w:ascii="Times New Roman" w:hAnsi="Times New Roman" w:cs="Times New Roman"/>
        </w:rPr>
        <w:t>，并绘制平均风速的月变化曲线图。</w:t>
      </w:r>
    </w:p>
    <w:p w14:paraId="0A428683">
      <w:pPr>
        <w:jc w:val="center"/>
        <w:rPr>
          <w:rFonts w:ascii="Times New Roman" w:hAnsi="Times New Roman" w:eastAsia="黑体" w:cs="Times New Roman"/>
          <w:color w:val="0000FF"/>
        </w:rPr>
      </w:pPr>
      <w:r>
        <w:rPr>
          <w:rFonts w:ascii="Times New Roman" w:hAnsi="Times New Roman" w:eastAsia="黑体" w:cs="Times New Roman"/>
          <w:color w:val="0000FF"/>
        </w:rPr>
        <w:t>表</w:t>
      </w:r>
      <w:r>
        <w:rPr>
          <w:rFonts w:hint="eastAsia" w:ascii="Times New Roman" w:hAnsi="Times New Roman" w:eastAsia="黑体" w:cs="Times New Roman"/>
          <w:color w:val="0000FF"/>
        </w:rPr>
        <w:t>5</w:t>
      </w:r>
      <w:r>
        <w:rPr>
          <w:rFonts w:ascii="Times New Roman" w:hAnsi="Times New Roman" w:eastAsia="黑体" w:cs="Times New Roman"/>
          <w:color w:val="0000FF"/>
        </w:rPr>
        <w:t>.1-</w:t>
      </w:r>
      <w:r>
        <w:rPr>
          <w:rFonts w:hint="eastAsia" w:ascii="Times New Roman" w:hAnsi="Times New Roman" w:eastAsia="黑体" w:cs="Times New Roman"/>
          <w:color w:val="0000FF"/>
          <w:lang w:val="en-US" w:eastAsia="zh-CN"/>
        </w:rPr>
        <w:t>6</w:t>
      </w:r>
      <w:r>
        <w:rPr>
          <w:rFonts w:ascii="Times New Roman" w:hAnsi="Times New Roman" w:eastAsia="黑体" w:cs="Times New Roman"/>
          <w:color w:val="0000FF"/>
        </w:rPr>
        <w:t xml:space="preserve">  全年平均风速的月变化统计表</w:t>
      </w:r>
    </w:p>
    <w:tbl>
      <w:tblPr>
        <w:tblStyle w:val="57"/>
        <w:tblW w:w="5000" w:type="pct"/>
        <w:tblInd w:w="0" w:type="dxa"/>
        <w:tblBorders>
          <w:top w:val="single" w:color="auto" w:sz="4" w:space="0"/>
          <w:left w:val="single" w:color="auto" w:sz="4" w:space="0"/>
          <w:bottom w:val="none" w:color="auto" w:sz="0"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55"/>
        <w:gridCol w:w="576"/>
        <w:gridCol w:w="576"/>
        <w:gridCol w:w="576"/>
        <w:gridCol w:w="576"/>
        <w:gridCol w:w="576"/>
        <w:gridCol w:w="576"/>
        <w:gridCol w:w="576"/>
        <w:gridCol w:w="576"/>
        <w:gridCol w:w="576"/>
        <w:gridCol w:w="576"/>
        <w:gridCol w:w="576"/>
        <w:gridCol w:w="576"/>
        <w:gridCol w:w="656"/>
      </w:tblGrid>
      <w:tr w14:paraId="2F83773B">
        <w:tblPrEx>
          <w:tblBorders>
            <w:top w:val="single" w:color="auto" w:sz="4" w:space="0"/>
            <w:left w:val="single" w:color="auto" w:sz="4" w:space="0"/>
            <w:bottom w:val="none" w:color="auto" w:sz="0"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61" w:type="pct"/>
            <w:tcBorders>
              <w:top w:val="double" w:color="auto" w:sz="4" w:space="0"/>
              <w:left w:val="nil"/>
              <w:bottom w:val="single" w:color="auto" w:sz="4" w:space="0"/>
            </w:tcBorders>
            <w:shd w:val="clear" w:color="auto" w:fill="auto"/>
            <w:vAlign w:val="center"/>
            <mc:AlternateContent>
              <mc:Choice Requires="wpsCustomData">
                <wpsCustomData:diagonals>
                  <wpsCustomData:diagonal from="10000" to="30000">
                    <wpsCustomData:border w:val="single" w:color="auto" w:sz="4" w:space="0"/>
                  </wpsCustomData:diagonal>
                </wpsCustomData:diagonals>
              </mc:Choice>
            </mc:AlternateContent>
          </w:tcPr>
          <w:p w14:paraId="1790CCA2">
            <w:pPr>
              <w:widowControl w:val="0"/>
              <w:adjustRightInd w:val="0"/>
              <w:snapToGrid w:val="0"/>
              <w:spacing w:line="240" w:lineRule="auto"/>
              <w:jc w:val="left"/>
              <mc:AlternateContent>
                <mc:Choice Requires="wpsCustomData">
                  <wpsCustomData:diagonalParaType/>
                </mc:Choice>
              </mc:AlternateContent>
              <w:rPr>
                <w:rFonts w:hint="default" w:ascii="Times New Roman" w:hAnsi="Times New Roman" w:eastAsia="宋体" w:cs="Times New Roman"/>
                <w:color w:val="0000FF"/>
                <w:sz w:val="16"/>
                <w:szCs w:val="16"/>
              </w:rPr>
            </w:pPr>
            <w:r>
              <w:rPr>
                <w:rFonts w:hint="default" w:ascii="Times New Roman" w:hAnsi="Times New Roman" w:eastAsia="宋体" w:cs="Times New Roman"/>
                <w:color w:val="0000FF"/>
                <w:sz w:val="16"/>
                <w:szCs w:val="16"/>
              </w:rPr>
              <w:t>项目</w:t>
            </w:r>
          </w:p>
          <w:p w14:paraId="5FB6168F">
            <w:pPr>
              <w:widowControl w:val="0"/>
              <w:adjustRightInd w:val="0"/>
              <w:snapToGrid w:val="0"/>
              <w:jc w:val="right"/>
              <w:rPr>
                <w:rFonts w:hint="default" w:ascii="Times New Roman" w:hAnsi="Times New Roman" w:eastAsia="宋体" w:cs="Times New Roman"/>
                <w:color w:val="0000FF"/>
                <w:sz w:val="16"/>
                <w:szCs w:val="16"/>
              </w:rPr>
            </w:pPr>
            <w:r>
              <w:rPr>
                <w:rFonts w:hint="default" w:ascii="Times New Roman" w:hAnsi="Times New Roman" w:eastAsia="宋体" w:cs="Times New Roman"/>
                <w:color w:val="0000FF"/>
                <w:sz w:val="16"/>
                <w:szCs w:val="16"/>
              </w:rPr>
              <w:t>月份</w:t>
            </w:r>
          </w:p>
          <w:p w14:paraId="228E29CB">
            <w:pPr>
              <w:widowControl w:val="0"/>
              <w:adjustRightInd w:val="0"/>
              <w:snapToGrid w:val="0"/>
              <w:jc w:val="left"/>
              <w:rPr>
                <w:rFonts w:hint="default" w:ascii="Times New Roman" w:hAnsi="Times New Roman" w:eastAsia="宋体" w:cs="Times New Roman"/>
                <w:color w:val="0000FF"/>
                <w:sz w:val="16"/>
                <w:szCs w:val="16"/>
              </w:rPr>
            </w:pPr>
          </w:p>
        </w:tc>
        <w:tc>
          <w:tcPr>
            <w:tcW w:w="330" w:type="pct"/>
            <w:tcBorders>
              <w:top w:val="double" w:color="auto" w:sz="4" w:space="0"/>
              <w:bottom w:val="single" w:color="auto" w:sz="4" w:space="0"/>
            </w:tcBorders>
            <w:shd w:val="clear" w:color="auto" w:fill="auto"/>
            <w:vAlign w:val="center"/>
          </w:tcPr>
          <w:p w14:paraId="6384C01B">
            <w:pPr>
              <w:widowControl w:val="0"/>
              <w:adjustRightInd w:val="0"/>
              <w:snapToGrid w:val="0"/>
              <w:jc w:val="center"/>
              <w:rPr>
                <w:rFonts w:hint="default" w:ascii="Times New Roman" w:hAnsi="Times New Roman" w:eastAsia="宋体" w:cs="Times New Roman"/>
                <w:b/>
                <w:color w:val="0000FF"/>
                <w:sz w:val="16"/>
                <w:szCs w:val="16"/>
              </w:rPr>
            </w:pPr>
            <w:r>
              <w:rPr>
                <w:rFonts w:hint="default" w:ascii="Times New Roman" w:hAnsi="Times New Roman" w:eastAsia="宋体" w:cs="Times New Roman"/>
                <w:b/>
                <w:color w:val="0000FF"/>
                <w:sz w:val="16"/>
                <w:szCs w:val="16"/>
              </w:rPr>
              <w:t>1</w:t>
            </w:r>
          </w:p>
        </w:tc>
        <w:tc>
          <w:tcPr>
            <w:tcW w:w="330" w:type="pct"/>
            <w:tcBorders>
              <w:top w:val="double" w:color="auto" w:sz="4" w:space="0"/>
              <w:bottom w:val="single" w:color="auto" w:sz="4" w:space="0"/>
            </w:tcBorders>
            <w:shd w:val="clear" w:color="auto" w:fill="auto"/>
            <w:vAlign w:val="center"/>
          </w:tcPr>
          <w:p w14:paraId="2DECAACE">
            <w:pPr>
              <w:widowControl w:val="0"/>
              <w:adjustRightInd w:val="0"/>
              <w:snapToGrid w:val="0"/>
              <w:jc w:val="center"/>
              <w:rPr>
                <w:rFonts w:hint="default" w:ascii="Times New Roman" w:hAnsi="Times New Roman" w:eastAsia="宋体" w:cs="Times New Roman"/>
                <w:b/>
                <w:color w:val="0000FF"/>
                <w:sz w:val="16"/>
                <w:szCs w:val="16"/>
              </w:rPr>
            </w:pPr>
            <w:r>
              <w:rPr>
                <w:rFonts w:hint="default" w:ascii="Times New Roman" w:hAnsi="Times New Roman" w:eastAsia="宋体" w:cs="Times New Roman"/>
                <w:b/>
                <w:color w:val="0000FF"/>
                <w:sz w:val="16"/>
                <w:szCs w:val="16"/>
              </w:rPr>
              <w:t>2</w:t>
            </w:r>
          </w:p>
        </w:tc>
        <w:tc>
          <w:tcPr>
            <w:tcW w:w="330" w:type="pct"/>
            <w:tcBorders>
              <w:top w:val="double" w:color="auto" w:sz="4" w:space="0"/>
              <w:bottom w:val="single" w:color="auto" w:sz="4" w:space="0"/>
            </w:tcBorders>
            <w:shd w:val="clear" w:color="auto" w:fill="auto"/>
            <w:vAlign w:val="center"/>
          </w:tcPr>
          <w:p w14:paraId="6CB5D82F">
            <w:pPr>
              <w:widowControl w:val="0"/>
              <w:adjustRightInd w:val="0"/>
              <w:snapToGrid w:val="0"/>
              <w:jc w:val="center"/>
              <w:rPr>
                <w:rFonts w:hint="default" w:ascii="Times New Roman" w:hAnsi="Times New Roman" w:eastAsia="宋体" w:cs="Times New Roman"/>
                <w:b/>
                <w:color w:val="0000FF"/>
                <w:sz w:val="16"/>
                <w:szCs w:val="16"/>
              </w:rPr>
            </w:pPr>
            <w:r>
              <w:rPr>
                <w:rFonts w:hint="default" w:ascii="Times New Roman" w:hAnsi="Times New Roman" w:eastAsia="宋体" w:cs="Times New Roman"/>
                <w:b/>
                <w:color w:val="0000FF"/>
                <w:sz w:val="16"/>
                <w:szCs w:val="16"/>
              </w:rPr>
              <w:t>3</w:t>
            </w:r>
          </w:p>
        </w:tc>
        <w:tc>
          <w:tcPr>
            <w:tcW w:w="330" w:type="pct"/>
            <w:tcBorders>
              <w:top w:val="double" w:color="auto" w:sz="4" w:space="0"/>
              <w:bottom w:val="single" w:color="auto" w:sz="4" w:space="0"/>
            </w:tcBorders>
            <w:shd w:val="clear" w:color="auto" w:fill="auto"/>
            <w:vAlign w:val="center"/>
          </w:tcPr>
          <w:p w14:paraId="23AD27DA">
            <w:pPr>
              <w:widowControl w:val="0"/>
              <w:adjustRightInd w:val="0"/>
              <w:snapToGrid w:val="0"/>
              <w:jc w:val="center"/>
              <w:rPr>
                <w:rFonts w:hint="default" w:ascii="Times New Roman" w:hAnsi="Times New Roman" w:eastAsia="宋体" w:cs="Times New Roman"/>
                <w:b/>
                <w:color w:val="0000FF"/>
                <w:sz w:val="16"/>
                <w:szCs w:val="16"/>
              </w:rPr>
            </w:pPr>
            <w:r>
              <w:rPr>
                <w:rFonts w:hint="default" w:ascii="Times New Roman" w:hAnsi="Times New Roman" w:eastAsia="宋体" w:cs="Times New Roman"/>
                <w:b/>
                <w:color w:val="0000FF"/>
                <w:sz w:val="16"/>
                <w:szCs w:val="16"/>
              </w:rPr>
              <w:t>4</w:t>
            </w:r>
          </w:p>
        </w:tc>
        <w:tc>
          <w:tcPr>
            <w:tcW w:w="330" w:type="pct"/>
            <w:tcBorders>
              <w:top w:val="double" w:color="auto" w:sz="4" w:space="0"/>
              <w:bottom w:val="single" w:color="auto" w:sz="4" w:space="0"/>
            </w:tcBorders>
            <w:shd w:val="clear" w:color="auto" w:fill="auto"/>
            <w:vAlign w:val="center"/>
          </w:tcPr>
          <w:p w14:paraId="700A5D05">
            <w:pPr>
              <w:widowControl w:val="0"/>
              <w:adjustRightInd w:val="0"/>
              <w:snapToGrid w:val="0"/>
              <w:jc w:val="center"/>
              <w:rPr>
                <w:rFonts w:hint="default" w:ascii="Times New Roman" w:hAnsi="Times New Roman" w:eastAsia="宋体" w:cs="Times New Roman"/>
                <w:b/>
                <w:color w:val="0000FF"/>
                <w:sz w:val="16"/>
                <w:szCs w:val="16"/>
              </w:rPr>
            </w:pPr>
            <w:r>
              <w:rPr>
                <w:rFonts w:hint="default" w:ascii="Times New Roman" w:hAnsi="Times New Roman" w:eastAsia="宋体" w:cs="Times New Roman"/>
                <w:b/>
                <w:color w:val="0000FF"/>
                <w:sz w:val="16"/>
                <w:szCs w:val="16"/>
              </w:rPr>
              <w:t>5</w:t>
            </w:r>
          </w:p>
        </w:tc>
        <w:tc>
          <w:tcPr>
            <w:tcW w:w="330" w:type="pct"/>
            <w:tcBorders>
              <w:top w:val="double" w:color="auto" w:sz="4" w:space="0"/>
              <w:bottom w:val="single" w:color="auto" w:sz="4" w:space="0"/>
            </w:tcBorders>
            <w:shd w:val="clear" w:color="auto" w:fill="auto"/>
            <w:vAlign w:val="center"/>
          </w:tcPr>
          <w:p w14:paraId="16C39B3A">
            <w:pPr>
              <w:widowControl w:val="0"/>
              <w:adjustRightInd w:val="0"/>
              <w:snapToGrid w:val="0"/>
              <w:jc w:val="center"/>
              <w:rPr>
                <w:rFonts w:hint="default" w:ascii="Times New Roman" w:hAnsi="Times New Roman" w:eastAsia="宋体" w:cs="Times New Roman"/>
                <w:b/>
                <w:color w:val="0000FF"/>
                <w:sz w:val="16"/>
                <w:szCs w:val="16"/>
              </w:rPr>
            </w:pPr>
            <w:r>
              <w:rPr>
                <w:rFonts w:hint="default" w:ascii="Times New Roman" w:hAnsi="Times New Roman" w:eastAsia="宋体" w:cs="Times New Roman"/>
                <w:b/>
                <w:color w:val="0000FF"/>
                <w:sz w:val="16"/>
                <w:szCs w:val="16"/>
              </w:rPr>
              <w:t>6</w:t>
            </w:r>
          </w:p>
        </w:tc>
        <w:tc>
          <w:tcPr>
            <w:tcW w:w="330" w:type="pct"/>
            <w:tcBorders>
              <w:top w:val="double" w:color="auto" w:sz="4" w:space="0"/>
              <w:bottom w:val="single" w:color="auto" w:sz="4" w:space="0"/>
            </w:tcBorders>
            <w:shd w:val="clear" w:color="auto" w:fill="auto"/>
            <w:vAlign w:val="center"/>
          </w:tcPr>
          <w:p w14:paraId="619D0183">
            <w:pPr>
              <w:widowControl w:val="0"/>
              <w:adjustRightInd w:val="0"/>
              <w:snapToGrid w:val="0"/>
              <w:jc w:val="center"/>
              <w:rPr>
                <w:rFonts w:hint="default" w:ascii="Times New Roman" w:hAnsi="Times New Roman" w:eastAsia="宋体" w:cs="Times New Roman"/>
                <w:b/>
                <w:color w:val="0000FF"/>
                <w:sz w:val="16"/>
                <w:szCs w:val="16"/>
              </w:rPr>
            </w:pPr>
            <w:r>
              <w:rPr>
                <w:rFonts w:hint="default" w:ascii="Times New Roman" w:hAnsi="Times New Roman" w:eastAsia="宋体" w:cs="Times New Roman"/>
                <w:b/>
                <w:color w:val="0000FF"/>
                <w:sz w:val="16"/>
                <w:szCs w:val="16"/>
              </w:rPr>
              <w:t>7</w:t>
            </w:r>
          </w:p>
        </w:tc>
        <w:tc>
          <w:tcPr>
            <w:tcW w:w="330" w:type="pct"/>
            <w:tcBorders>
              <w:top w:val="double" w:color="auto" w:sz="4" w:space="0"/>
              <w:bottom w:val="single" w:color="auto" w:sz="4" w:space="0"/>
            </w:tcBorders>
            <w:shd w:val="clear" w:color="auto" w:fill="auto"/>
            <w:vAlign w:val="center"/>
          </w:tcPr>
          <w:p w14:paraId="29E94CDA">
            <w:pPr>
              <w:widowControl w:val="0"/>
              <w:adjustRightInd w:val="0"/>
              <w:snapToGrid w:val="0"/>
              <w:jc w:val="center"/>
              <w:rPr>
                <w:rFonts w:hint="default" w:ascii="Times New Roman" w:hAnsi="Times New Roman" w:eastAsia="宋体" w:cs="Times New Roman"/>
                <w:b/>
                <w:color w:val="0000FF"/>
                <w:sz w:val="16"/>
                <w:szCs w:val="16"/>
              </w:rPr>
            </w:pPr>
            <w:r>
              <w:rPr>
                <w:rFonts w:hint="default" w:ascii="Times New Roman" w:hAnsi="Times New Roman" w:eastAsia="宋体" w:cs="Times New Roman"/>
                <w:b/>
                <w:color w:val="0000FF"/>
                <w:sz w:val="16"/>
                <w:szCs w:val="16"/>
              </w:rPr>
              <w:t>8</w:t>
            </w:r>
          </w:p>
        </w:tc>
        <w:tc>
          <w:tcPr>
            <w:tcW w:w="330" w:type="pct"/>
            <w:tcBorders>
              <w:top w:val="double" w:color="auto" w:sz="4" w:space="0"/>
              <w:bottom w:val="single" w:color="auto" w:sz="4" w:space="0"/>
            </w:tcBorders>
            <w:shd w:val="clear" w:color="auto" w:fill="auto"/>
            <w:vAlign w:val="center"/>
          </w:tcPr>
          <w:p w14:paraId="5CA805FA">
            <w:pPr>
              <w:widowControl w:val="0"/>
              <w:adjustRightInd w:val="0"/>
              <w:snapToGrid w:val="0"/>
              <w:jc w:val="center"/>
              <w:rPr>
                <w:rFonts w:hint="default" w:ascii="Times New Roman" w:hAnsi="Times New Roman" w:eastAsia="宋体" w:cs="Times New Roman"/>
                <w:b/>
                <w:color w:val="0000FF"/>
                <w:sz w:val="16"/>
                <w:szCs w:val="16"/>
              </w:rPr>
            </w:pPr>
            <w:r>
              <w:rPr>
                <w:rFonts w:hint="default" w:ascii="Times New Roman" w:hAnsi="Times New Roman" w:eastAsia="宋体" w:cs="Times New Roman"/>
                <w:b/>
                <w:color w:val="0000FF"/>
                <w:sz w:val="16"/>
                <w:szCs w:val="16"/>
              </w:rPr>
              <w:t>9</w:t>
            </w:r>
          </w:p>
        </w:tc>
        <w:tc>
          <w:tcPr>
            <w:tcW w:w="330" w:type="pct"/>
            <w:tcBorders>
              <w:top w:val="double" w:color="auto" w:sz="4" w:space="0"/>
              <w:bottom w:val="single" w:color="auto" w:sz="4" w:space="0"/>
            </w:tcBorders>
            <w:shd w:val="clear" w:color="auto" w:fill="auto"/>
            <w:vAlign w:val="center"/>
          </w:tcPr>
          <w:p w14:paraId="6620E7C0">
            <w:pPr>
              <w:widowControl w:val="0"/>
              <w:adjustRightInd w:val="0"/>
              <w:snapToGrid w:val="0"/>
              <w:jc w:val="center"/>
              <w:rPr>
                <w:rFonts w:hint="default" w:ascii="Times New Roman" w:hAnsi="Times New Roman" w:eastAsia="宋体" w:cs="Times New Roman"/>
                <w:b/>
                <w:color w:val="0000FF"/>
                <w:sz w:val="16"/>
                <w:szCs w:val="16"/>
              </w:rPr>
            </w:pPr>
            <w:r>
              <w:rPr>
                <w:rFonts w:hint="default" w:ascii="Times New Roman" w:hAnsi="Times New Roman" w:eastAsia="宋体" w:cs="Times New Roman"/>
                <w:b/>
                <w:color w:val="0000FF"/>
                <w:sz w:val="16"/>
                <w:szCs w:val="16"/>
              </w:rPr>
              <w:t>10</w:t>
            </w:r>
          </w:p>
        </w:tc>
        <w:tc>
          <w:tcPr>
            <w:tcW w:w="330" w:type="pct"/>
            <w:tcBorders>
              <w:top w:val="double" w:color="auto" w:sz="4" w:space="0"/>
              <w:bottom w:val="single" w:color="auto" w:sz="4" w:space="0"/>
            </w:tcBorders>
            <w:shd w:val="clear" w:color="auto" w:fill="auto"/>
            <w:vAlign w:val="center"/>
          </w:tcPr>
          <w:p w14:paraId="22AF8D7A">
            <w:pPr>
              <w:widowControl w:val="0"/>
              <w:adjustRightInd w:val="0"/>
              <w:snapToGrid w:val="0"/>
              <w:jc w:val="center"/>
              <w:rPr>
                <w:rFonts w:hint="default" w:ascii="Times New Roman" w:hAnsi="Times New Roman" w:eastAsia="宋体" w:cs="Times New Roman"/>
                <w:b/>
                <w:color w:val="0000FF"/>
                <w:sz w:val="16"/>
                <w:szCs w:val="16"/>
              </w:rPr>
            </w:pPr>
            <w:r>
              <w:rPr>
                <w:rFonts w:hint="default" w:ascii="Times New Roman" w:hAnsi="Times New Roman" w:eastAsia="宋体" w:cs="Times New Roman"/>
                <w:b/>
                <w:color w:val="0000FF"/>
                <w:sz w:val="16"/>
                <w:szCs w:val="16"/>
              </w:rPr>
              <w:t>11</w:t>
            </w:r>
          </w:p>
        </w:tc>
        <w:tc>
          <w:tcPr>
            <w:tcW w:w="330" w:type="pct"/>
            <w:tcBorders>
              <w:top w:val="double" w:color="auto" w:sz="4" w:space="0"/>
              <w:bottom w:val="single" w:color="auto" w:sz="4" w:space="0"/>
            </w:tcBorders>
            <w:shd w:val="clear" w:color="auto" w:fill="auto"/>
            <w:vAlign w:val="center"/>
          </w:tcPr>
          <w:p w14:paraId="7552B257">
            <w:pPr>
              <w:widowControl w:val="0"/>
              <w:adjustRightInd w:val="0"/>
              <w:snapToGrid w:val="0"/>
              <w:jc w:val="center"/>
              <w:rPr>
                <w:rFonts w:hint="default" w:ascii="Times New Roman" w:hAnsi="Times New Roman" w:eastAsia="宋体" w:cs="Times New Roman"/>
                <w:b/>
                <w:color w:val="0000FF"/>
                <w:sz w:val="16"/>
                <w:szCs w:val="16"/>
              </w:rPr>
            </w:pPr>
            <w:r>
              <w:rPr>
                <w:rFonts w:hint="default" w:ascii="Times New Roman" w:hAnsi="Times New Roman" w:eastAsia="宋体" w:cs="Times New Roman"/>
                <w:b/>
                <w:color w:val="0000FF"/>
                <w:sz w:val="16"/>
                <w:szCs w:val="16"/>
              </w:rPr>
              <w:t>12</w:t>
            </w:r>
          </w:p>
        </w:tc>
        <w:tc>
          <w:tcPr>
            <w:tcW w:w="376" w:type="pct"/>
            <w:tcBorders>
              <w:top w:val="double" w:color="auto" w:sz="4" w:space="0"/>
              <w:bottom w:val="single" w:color="auto" w:sz="4" w:space="0"/>
              <w:right w:val="nil"/>
            </w:tcBorders>
            <w:shd w:val="clear" w:color="auto" w:fill="auto"/>
            <w:vAlign w:val="center"/>
          </w:tcPr>
          <w:p w14:paraId="6AB96AE4">
            <w:pPr>
              <w:widowControl w:val="0"/>
              <w:adjustRightInd w:val="0"/>
              <w:snapToGrid w:val="0"/>
              <w:jc w:val="center"/>
              <w:rPr>
                <w:rFonts w:hint="default" w:ascii="Times New Roman" w:hAnsi="Times New Roman" w:eastAsia="宋体" w:cs="Times New Roman"/>
                <w:color w:val="0000FF"/>
                <w:sz w:val="16"/>
                <w:szCs w:val="16"/>
              </w:rPr>
            </w:pPr>
            <w:r>
              <w:rPr>
                <w:rFonts w:hint="default" w:ascii="Times New Roman" w:hAnsi="Times New Roman" w:eastAsia="宋体" w:cs="Times New Roman"/>
                <w:color w:val="0000FF"/>
                <w:sz w:val="16"/>
                <w:szCs w:val="16"/>
              </w:rPr>
              <w:t>全年</w:t>
            </w:r>
          </w:p>
        </w:tc>
      </w:tr>
      <w:tr w14:paraId="4C00EE73">
        <w:tblPrEx>
          <w:tblBorders>
            <w:top w:val="single" w:color="auto" w:sz="4" w:space="0"/>
            <w:left w:val="single" w:color="auto" w:sz="4" w:space="0"/>
            <w:bottom w:val="none" w:color="auto" w:sz="0"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6" w:hRule="atLeast"/>
        </w:trPr>
        <w:tc>
          <w:tcPr>
            <w:tcW w:w="661" w:type="pct"/>
            <w:tcBorders>
              <w:left w:val="nil"/>
              <w:bottom w:val="single" w:color="auto" w:sz="4" w:space="0"/>
            </w:tcBorders>
            <w:shd w:val="clear" w:color="auto" w:fill="auto"/>
            <w:vAlign w:val="center"/>
          </w:tcPr>
          <w:p w14:paraId="7187A6A0">
            <w:pPr>
              <w:widowControl w:val="0"/>
              <w:adjustRightInd w:val="0"/>
              <w:snapToGrid w:val="0"/>
              <w:jc w:val="center"/>
              <w:rPr>
                <w:rFonts w:hint="default" w:ascii="Times New Roman" w:hAnsi="Times New Roman" w:eastAsia="宋体" w:cs="Times New Roman"/>
                <w:color w:val="0000FF"/>
                <w:sz w:val="16"/>
                <w:szCs w:val="16"/>
              </w:rPr>
            </w:pPr>
            <w:r>
              <w:rPr>
                <w:rFonts w:hint="default" w:ascii="Times New Roman" w:hAnsi="Times New Roman" w:eastAsia="宋体" w:cs="Times New Roman"/>
                <w:color w:val="0000FF"/>
                <w:sz w:val="16"/>
                <w:szCs w:val="16"/>
              </w:rPr>
              <w:t>平均风速m/s</w:t>
            </w:r>
          </w:p>
        </w:tc>
        <w:tc>
          <w:tcPr>
            <w:tcW w:w="330" w:type="pct"/>
            <w:tcBorders>
              <w:bottom w:val="single" w:color="auto" w:sz="4" w:space="0"/>
            </w:tcBorders>
            <w:shd w:val="clear" w:color="auto" w:fill="auto"/>
            <w:vAlign w:val="center"/>
          </w:tcPr>
          <w:p w14:paraId="00D2F501">
            <w:pPr>
              <w:widowControl w:val="0"/>
              <w:adjustRightInd w:val="0"/>
              <w:snapToGrid w:val="0"/>
              <w:jc w:val="center"/>
              <w:rPr>
                <w:rFonts w:hint="default" w:ascii="Times New Roman" w:hAnsi="Times New Roman" w:eastAsia="宋体" w:cs="Times New Roman"/>
                <w:color w:val="0000FF"/>
                <w:sz w:val="16"/>
                <w:szCs w:val="16"/>
              </w:rPr>
            </w:pPr>
            <w:r>
              <w:rPr>
                <w:rFonts w:hint="default" w:ascii="Times New Roman" w:hAnsi="Times New Roman" w:eastAsia="宋体" w:cs="Times New Roman"/>
                <w:color w:val="0000FF"/>
                <w:sz w:val="16"/>
                <w:szCs w:val="16"/>
              </w:rPr>
              <w:t>1.9</w:t>
            </w:r>
          </w:p>
        </w:tc>
        <w:tc>
          <w:tcPr>
            <w:tcW w:w="330" w:type="pct"/>
            <w:tcBorders>
              <w:bottom w:val="single" w:color="auto" w:sz="4" w:space="0"/>
            </w:tcBorders>
            <w:shd w:val="clear" w:color="auto" w:fill="auto"/>
            <w:vAlign w:val="center"/>
          </w:tcPr>
          <w:p w14:paraId="4A11B02A">
            <w:pPr>
              <w:widowControl w:val="0"/>
              <w:adjustRightInd w:val="0"/>
              <w:snapToGrid w:val="0"/>
              <w:jc w:val="center"/>
              <w:rPr>
                <w:rFonts w:hint="default" w:ascii="Times New Roman" w:hAnsi="Times New Roman" w:eastAsia="宋体" w:cs="Times New Roman"/>
                <w:color w:val="0000FF"/>
                <w:sz w:val="16"/>
                <w:szCs w:val="16"/>
              </w:rPr>
            </w:pPr>
            <w:r>
              <w:rPr>
                <w:rFonts w:hint="default" w:ascii="Times New Roman" w:hAnsi="Times New Roman" w:eastAsia="宋体" w:cs="Times New Roman"/>
                <w:color w:val="0000FF"/>
                <w:sz w:val="16"/>
                <w:szCs w:val="16"/>
              </w:rPr>
              <w:t>2.1</w:t>
            </w:r>
          </w:p>
        </w:tc>
        <w:tc>
          <w:tcPr>
            <w:tcW w:w="330" w:type="pct"/>
            <w:tcBorders>
              <w:bottom w:val="single" w:color="auto" w:sz="4" w:space="0"/>
            </w:tcBorders>
            <w:shd w:val="clear" w:color="auto" w:fill="auto"/>
            <w:vAlign w:val="center"/>
          </w:tcPr>
          <w:p w14:paraId="03C9B5C8">
            <w:pPr>
              <w:widowControl w:val="0"/>
              <w:adjustRightInd w:val="0"/>
              <w:snapToGrid w:val="0"/>
              <w:jc w:val="center"/>
              <w:rPr>
                <w:rFonts w:hint="default" w:ascii="Times New Roman" w:hAnsi="Times New Roman" w:eastAsia="宋体" w:cs="Times New Roman"/>
                <w:color w:val="0000FF"/>
                <w:sz w:val="16"/>
                <w:szCs w:val="16"/>
              </w:rPr>
            </w:pPr>
            <w:r>
              <w:rPr>
                <w:rFonts w:hint="default" w:ascii="Times New Roman" w:hAnsi="Times New Roman" w:eastAsia="宋体" w:cs="Times New Roman"/>
                <w:color w:val="0000FF"/>
                <w:sz w:val="16"/>
                <w:szCs w:val="16"/>
              </w:rPr>
              <w:t>2.3</w:t>
            </w:r>
          </w:p>
        </w:tc>
        <w:tc>
          <w:tcPr>
            <w:tcW w:w="330" w:type="pct"/>
            <w:tcBorders>
              <w:bottom w:val="single" w:color="auto" w:sz="4" w:space="0"/>
            </w:tcBorders>
            <w:shd w:val="clear" w:color="auto" w:fill="auto"/>
            <w:vAlign w:val="center"/>
          </w:tcPr>
          <w:p w14:paraId="34AA8B42">
            <w:pPr>
              <w:widowControl w:val="0"/>
              <w:adjustRightInd w:val="0"/>
              <w:snapToGrid w:val="0"/>
              <w:jc w:val="center"/>
              <w:rPr>
                <w:rFonts w:hint="default" w:ascii="Times New Roman" w:hAnsi="Times New Roman" w:eastAsia="宋体" w:cs="Times New Roman"/>
                <w:color w:val="0000FF"/>
                <w:sz w:val="16"/>
                <w:szCs w:val="16"/>
              </w:rPr>
            </w:pPr>
            <w:r>
              <w:rPr>
                <w:rFonts w:hint="default" w:ascii="Times New Roman" w:hAnsi="Times New Roman" w:eastAsia="宋体" w:cs="Times New Roman"/>
                <w:color w:val="0000FF"/>
                <w:sz w:val="16"/>
                <w:szCs w:val="16"/>
              </w:rPr>
              <w:t>2.4</w:t>
            </w:r>
          </w:p>
        </w:tc>
        <w:tc>
          <w:tcPr>
            <w:tcW w:w="330" w:type="pct"/>
            <w:tcBorders>
              <w:bottom w:val="single" w:color="auto" w:sz="4" w:space="0"/>
            </w:tcBorders>
            <w:shd w:val="clear" w:color="auto" w:fill="auto"/>
            <w:vAlign w:val="center"/>
          </w:tcPr>
          <w:p w14:paraId="50FE83FE">
            <w:pPr>
              <w:widowControl w:val="0"/>
              <w:adjustRightInd w:val="0"/>
              <w:snapToGrid w:val="0"/>
              <w:jc w:val="center"/>
              <w:rPr>
                <w:rFonts w:hint="default" w:ascii="Times New Roman" w:hAnsi="Times New Roman" w:eastAsia="宋体" w:cs="Times New Roman"/>
                <w:color w:val="0000FF"/>
                <w:sz w:val="16"/>
                <w:szCs w:val="16"/>
              </w:rPr>
            </w:pPr>
            <w:r>
              <w:rPr>
                <w:rFonts w:hint="default" w:ascii="Times New Roman" w:hAnsi="Times New Roman" w:eastAsia="宋体" w:cs="Times New Roman"/>
                <w:color w:val="0000FF"/>
                <w:sz w:val="16"/>
                <w:szCs w:val="16"/>
              </w:rPr>
              <w:t>2.4</w:t>
            </w:r>
          </w:p>
        </w:tc>
        <w:tc>
          <w:tcPr>
            <w:tcW w:w="330" w:type="pct"/>
            <w:tcBorders>
              <w:bottom w:val="single" w:color="auto" w:sz="4" w:space="0"/>
            </w:tcBorders>
            <w:shd w:val="clear" w:color="auto" w:fill="auto"/>
            <w:vAlign w:val="center"/>
          </w:tcPr>
          <w:p w14:paraId="36299DA1">
            <w:pPr>
              <w:widowControl w:val="0"/>
              <w:adjustRightInd w:val="0"/>
              <w:snapToGrid w:val="0"/>
              <w:jc w:val="center"/>
              <w:rPr>
                <w:rFonts w:hint="default" w:ascii="Times New Roman" w:hAnsi="Times New Roman" w:eastAsia="宋体" w:cs="Times New Roman"/>
                <w:color w:val="0000FF"/>
                <w:sz w:val="16"/>
                <w:szCs w:val="16"/>
              </w:rPr>
            </w:pPr>
            <w:r>
              <w:rPr>
                <w:rFonts w:hint="default" w:ascii="Times New Roman" w:hAnsi="Times New Roman" w:eastAsia="宋体" w:cs="Times New Roman"/>
                <w:color w:val="0000FF"/>
                <w:sz w:val="16"/>
                <w:szCs w:val="16"/>
              </w:rPr>
              <w:t>2.0</w:t>
            </w:r>
          </w:p>
        </w:tc>
        <w:tc>
          <w:tcPr>
            <w:tcW w:w="330" w:type="pct"/>
            <w:tcBorders>
              <w:bottom w:val="single" w:color="auto" w:sz="4" w:space="0"/>
            </w:tcBorders>
            <w:shd w:val="clear" w:color="auto" w:fill="auto"/>
            <w:vAlign w:val="center"/>
          </w:tcPr>
          <w:p w14:paraId="44299C91">
            <w:pPr>
              <w:widowControl w:val="0"/>
              <w:adjustRightInd w:val="0"/>
              <w:snapToGrid w:val="0"/>
              <w:jc w:val="center"/>
              <w:rPr>
                <w:rFonts w:hint="default" w:ascii="Times New Roman" w:hAnsi="Times New Roman" w:eastAsia="宋体" w:cs="Times New Roman"/>
                <w:color w:val="0000FF"/>
                <w:sz w:val="16"/>
                <w:szCs w:val="16"/>
              </w:rPr>
            </w:pPr>
            <w:r>
              <w:rPr>
                <w:rFonts w:hint="default" w:ascii="Times New Roman" w:hAnsi="Times New Roman" w:eastAsia="宋体" w:cs="Times New Roman"/>
                <w:color w:val="0000FF"/>
                <w:sz w:val="16"/>
                <w:szCs w:val="16"/>
              </w:rPr>
              <w:t>1.9</w:t>
            </w:r>
          </w:p>
        </w:tc>
        <w:tc>
          <w:tcPr>
            <w:tcW w:w="330" w:type="pct"/>
            <w:tcBorders>
              <w:bottom w:val="single" w:color="auto" w:sz="4" w:space="0"/>
            </w:tcBorders>
            <w:shd w:val="clear" w:color="auto" w:fill="auto"/>
            <w:vAlign w:val="center"/>
          </w:tcPr>
          <w:p w14:paraId="4AC09714">
            <w:pPr>
              <w:widowControl w:val="0"/>
              <w:adjustRightInd w:val="0"/>
              <w:snapToGrid w:val="0"/>
              <w:jc w:val="center"/>
              <w:rPr>
                <w:rFonts w:hint="default" w:ascii="Times New Roman" w:hAnsi="Times New Roman" w:eastAsia="宋体" w:cs="Times New Roman"/>
                <w:color w:val="0000FF"/>
                <w:sz w:val="16"/>
                <w:szCs w:val="16"/>
              </w:rPr>
            </w:pPr>
            <w:r>
              <w:rPr>
                <w:rFonts w:hint="default" w:ascii="Times New Roman" w:hAnsi="Times New Roman" w:eastAsia="宋体" w:cs="Times New Roman"/>
                <w:color w:val="0000FF"/>
                <w:sz w:val="16"/>
                <w:szCs w:val="16"/>
              </w:rPr>
              <w:t>1.8</w:t>
            </w:r>
          </w:p>
        </w:tc>
        <w:tc>
          <w:tcPr>
            <w:tcW w:w="330" w:type="pct"/>
            <w:tcBorders>
              <w:bottom w:val="single" w:color="auto" w:sz="4" w:space="0"/>
            </w:tcBorders>
            <w:shd w:val="clear" w:color="auto" w:fill="auto"/>
            <w:vAlign w:val="center"/>
          </w:tcPr>
          <w:p w14:paraId="4685D9C8">
            <w:pPr>
              <w:widowControl w:val="0"/>
              <w:adjustRightInd w:val="0"/>
              <w:snapToGrid w:val="0"/>
              <w:jc w:val="center"/>
              <w:rPr>
                <w:rFonts w:hint="default" w:ascii="Times New Roman" w:hAnsi="Times New Roman" w:eastAsia="宋体" w:cs="Times New Roman"/>
                <w:color w:val="0000FF"/>
                <w:sz w:val="16"/>
                <w:szCs w:val="16"/>
              </w:rPr>
            </w:pPr>
            <w:r>
              <w:rPr>
                <w:rFonts w:hint="default" w:ascii="Times New Roman" w:hAnsi="Times New Roman" w:eastAsia="宋体" w:cs="Times New Roman"/>
                <w:color w:val="0000FF"/>
                <w:sz w:val="16"/>
                <w:szCs w:val="16"/>
              </w:rPr>
              <w:t>1.9</w:t>
            </w:r>
          </w:p>
        </w:tc>
        <w:tc>
          <w:tcPr>
            <w:tcW w:w="330" w:type="pct"/>
            <w:tcBorders>
              <w:bottom w:val="single" w:color="auto" w:sz="4" w:space="0"/>
            </w:tcBorders>
            <w:shd w:val="clear" w:color="auto" w:fill="auto"/>
            <w:vAlign w:val="center"/>
          </w:tcPr>
          <w:p w14:paraId="161D2940">
            <w:pPr>
              <w:widowControl w:val="0"/>
              <w:adjustRightInd w:val="0"/>
              <w:snapToGrid w:val="0"/>
              <w:jc w:val="center"/>
              <w:rPr>
                <w:rFonts w:hint="default" w:ascii="Times New Roman" w:hAnsi="Times New Roman" w:eastAsia="宋体" w:cs="Times New Roman"/>
                <w:color w:val="0000FF"/>
                <w:sz w:val="16"/>
                <w:szCs w:val="16"/>
              </w:rPr>
            </w:pPr>
            <w:r>
              <w:rPr>
                <w:rFonts w:hint="default" w:ascii="Times New Roman" w:hAnsi="Times New Roman" w:eastAsia="宋体" w:cs="Times New Roman"/>
                <w:color w:val="0000FF"/>
                <w:sz w:val="16"/>
                <w:szCs w:val="16"/>
              </w:rPr>
              <w:t>2.0</w:t>
            </w:r>
          </w:p>
        </w:tc>
        <w:tc>
          <w:tcPr>
            <w:tcW w:w="330" w:type="pct"/>
            <w:tcBorders>
              <w:bottom w:val="single" w:color="auto" w:sz="4" w:space="0"/>
            </w:tcBorders>
            <w:shd w:val="clear" w:color="auto" w:fill="auto"/>
            <w:vAlign w:val="center"/>
          </w:tcPr>
          <w:p w14:paraId="46183C7B">
            <w:pPr>
              <w:widowControl w:val="0"/>
              <w:adjustRightInd w:val="0"/>
              <w:snapToGrid w:val="0"/>
              <w:jc w:val="center"/>
              <w:rPr>
                <w:rFonts w:hint="default" w:ascii="Times New Roman" w:hAnsi="Times New Roman" w:eastAsia="宋体" w:cs="Times New Roman"/>
                <w:color w:val="0000FF"/>
                <w:sz w:val="16"/>
                <w:szCs w:val="16"/>
              </w:rPr>
            </w:pPr>
            <w:r>
              <w:rPr>
                <w:rFonts w:hint="default" w:ascii="Times New Roman" w:hAnsi="Times New Roman" w:eastAsia="宋体" w:cs="Times New Roman"/>
                <w:color w:val="0000FF"/>
                <w:sz w:val="16"/>
                <w:szCs w:val="16"/>
              </w:rPr>
              <w:t>2.1</w:t>
            </w:r>
          </w:p>
        </w:tc>
        <w:tc>
          <w:tcPr>
            <w:tcW w:w="330" w:type="pct"/>
            <w:tcBorders>
              <w:bottom w:val="single" w:color="auto" w:sz="4" w:space="0"/>
            </w:tcBorders>
            <w:shd w:val="clear" w:color="auto" w:fill="auto"/>
            <w:vAlign w:val="center"/>
          </w:tcPr>
          <w:p w14:paraId="74C66980">
            <w:pPr>
              <w:widowControl w:val="0"/>
              <w:adjustRightInd w:val="0"/>
              <w:snapToGrid w:val="0"/>
              <w:jc w:val="center"/>
              <w:rPr>
                <w:rFonts w:hint="default" w:ascii="Times New Roman" w:hAnsi="Times New Roman" w:eastAsia="宋体" w:cs="Times New Roman"/>
                <w:color w:val="0000FF"/>
                <w:sz w:val="16"/>
                <w:szCs w:val="16"/>
              </w:rPr>
            </w:pPr>
            <w:r>
              <w:rPr>
                <w:rFonts w:hint="default" w:ascii="Times New Roman" w:hAnsi="Times New Roman" w:eastAsia="宋体" w:cs="Times New Roman"/>
                <w:color w:val="0000FF"/>
                <w:sz w:val="16"/>
                <w:szCs w:val="16"/>
              </w:rPr>
              <w:t>2.0</w:t>
            </w:r>
          </w:p>
        </w:tc>
        <w:tc>
          <w:tcPr>
            <w:tcW w:w="376" w:type="pct"/>
            <w:tcBorders>
              <w:bottom w:val="single" w:color="auto" w:sz="4" w:space="0"/>
              <w:right w:val="nil"/>
            </w:tcBorders>
            <w:shd w:val="clear" w:color="auto" w:fill="auto"/>
            <w:vAlign w:val="center"/>
          </w:tcPr>
          <w:p w14:paraId="23B1304C">
            <w:pPr>
              <w:widowControl w:val="0"/>
              <w:adjustRightInd w:val="0"/>
              <w:snapToGrid w:val="0"/>
              <w:jc w:val="center"/>
              <w:rPr>
                <w:rFonts w:hint="default" w:ascii="Times New Roman" w:hAnsi="Times New Roman" w:eastAsia="宋体" w:cs="Times New Roman"/>
                <w:color w:val="0000FF"/>
                <w:sz w:val="16"/>
                <w:szCs w:val="16"/>
              </w:rPr>
            </w:pPr>
            <w:r>
              <w:rPr>
                <w:rFonts w:hint="default" w:ascii="Times New Roman" w:hAnsi="Times New Roman" w:eastAsia="宋体" w:cs="Times New Roman"/>
                <w:color w:val="0000FF"/>
                <w:sz w:val="16"/>
                <w:szCs w:val="16"/>
              </w:rPr>
              <w:t>2.1</w:t>
            </w:r>
          </w:p>
        </w:tc>
      </w:tr>
      <w:tr w14:paraId="25DE3456">
        <w:tblPrEx>
          <w:tblBorders>
            <w:top w:val="single" w:color="auto" w:sz="4" w:space="0"/>
            <w:left w:val="single" w:color="auto" w:sz="4" w:space="0"/>
            <w:bottom w:val="none" w:color="auto" w:sz="0"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6" w:hRule="atLeast"/>
        </w:trPr>
        <w:tc>
          <w:tcPr>
            <w:tcW w:w="661" w:type="pct"/>
            <w:tcBorders>
              <w:left w:val="nil"/>
              <w:bottom w:val="single" w:color="auto" w:sz="4" w:space="0"/>
            </w:tcBorders>
            <w:shd w:val="clear" w:color="auto" w:fill="auto"/>
            <w:vAlign w:val="center"/>
          </w:tcPr>
          <w:p w14:paraId="1A6FAC54">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FF"/>
                <w:sz w:val="16"/>
                <w:szCs w:val="16"/>
              </w:rPr>
            </w:pPr>
            <w:r>
              <w:rPr>
                <w:rFonts w:hint="default" w:ascii="Times New Roman" w:hAnsi="Times New Roman" w:eastAsia="宋体" w:cs="Times New Roman"/>
                <w:color w:val="0000FF"/>
                <w:sz w:val="16"/>
                <w:szCs w:val="16"/>
              </w:rPr>
              <w:t>平均相对湿度%</w:t>
            </w:r>
          </w:p>
        </w:tc>
        <w:tc>
          <w:tcPr>
            <w:tcW w:w="330" w:type="pct"/>
            <w:tcBorders>
              <w:bottom w:val="single" w:color="auto" w:sz="4" w:space="0"/>
            </w:tcBorders>
            <w:shd w:val="clear" w:color="auto" w:fill="auto"/>
            <w:vAlign w:val="center"/>
          </w:tcPr>
          <w:p w14:paraId="25050468">
            <w:pPr>
              <w:widowControl w:val="0"/>
              <w:adjustRightInd w:val="0"/>
              <w:snapToGrid w:val="0"/>
              <w:jc w:val="center"/>
              <w:rPr>
                <w:rFonts w:hint="default" w:ascii="Times New Roman" w:hAnsi="Times New Roman" w:eastAsia="宋体" w:cs="Times New Roman"/>
                <w:color w:val="0000FF"/>
                <w:sz w:val="16"/>
                <w:szCs w:val="16"/>
              </w:rPr>
            </w:pPr>
            <w:r>
              <w:rPr>
                <w:rFonts w:hint="default" w:ascii="Times New Roman" w:hAnsi="Times New Roman" w:eastAsia="宋体" w:cs="Times New Roman"/>
                <w:color w:val="0000FF"/>
                <w:sz w:val="16"/>
                <w:szCs w:val="16"/>
              </w:rPr>
              <w:t>62.7</w:t>
            </w:r>
          </w:p>
        </w:tc>
        <w:tc>
          <w:tcPr>
            <w:tcW w:w="330" w:type="pct"/>
            <w:tcBorders>
              <w:bottom w:val="single" w:color="auto" w:sz="4" w:space="0"/>
            </w:tcBorders>
            <w:shd w:val="clear" w:color="auto" w:fill="auto"/>
            <w:vAlign w:val="center"/>
          </w:tcPr>
          <w:p w14:paraId="5BFFA9E3">
            <w:pPr>
              <w:widowControl w:val="0"/>
              <w:adjustRightInd w:val="0"/>
              <w:snapToGrid w:val="0"/>
              <w:jc w:val="center"/>
              <w:rPr>
                <w:rFonts w:hint="default" w:ascii="Times New Roman" w:hAnsi="Times New Roman" w:eastAsia="宋体" w:cs="Times New Roman"/>
                <w:color w:val="0000FF"/>
                <w:sz w:val="16"/>
                <w:szCs w:val="16"/>
              </w:rPr>
            </w:pPr>
            <w:r>
              <w:rPr>
                <w:rFonts w:hint="default" w:ascii="Times New Roman" w:hAnsi="Times New Roman" w:eastAsia="宋体" w:cs="Times New Roman"/>
                <w:color w:val="0000FF"/>
                <w:sz w:val="16"/>
                <w:szCs w:val="16"/>
              </w:rPr>
              <w:t>57.0</w:t>
            </w:r>
          </w:p>
        </w:tc>
        <w:tc>
          <w:tcPr>
            <w:tcW w:w="330" w:type="pct"/>
            <w:tcBorders>
              <w:bottom w:val="single" w:color="auto" w:sz="4" w:space="0"/>
            </w:tcBorders>
            <w:shd w:val="clear" w:color="auto" w:fill="auto"/>
            <w:vAlign w:val="center"/>
          </w:tcPr>
          <w:p w14:paraId="080CB9E0">
            <w:pPr>
              <w:widowControl w:val="0"/>
              <w:adjustRightInd w:val="0"/>
              <w:snapToGrid w:val="0"/>
              <w:jc w:val="center"/>
              <w:rPr>
                <w:rFonts w:hint="default" w:ascii="Times New Roman" w:hAnsi="Times New Roman" w:eastAsia="宋体" w:cs="Times New Roman"/>
                <w:color w:val="0000FF"/>
                <w:sz w:val="16"/>
                <w:szCs w:val="16"/>
              </w:rPr>
            </w:pPr>
            <w:r>
              <w:rPr>
                <w:rFonts w:hint="default" w:ascii="Times New Roman" w:hAnsi="Times New Roman" w:eastAsia="宋体" w:cs="Times New Roman"/>
                <w:color w:val="0000FF"/>
                <w:sz w:val="16"/>
                <w:szCs w:val="16"/>
              </w:rPr>
              <w:t>51.4</w:t>
            </w:r>
          </w:p>
        </w:tc>
        <w:tc>
          <w:tcPr>
            <w:tcW w:w="330" w:type="pct"/>
            <w:tcBorders>
              <w:bottom w:val="single" w:color="auto" w:sz="4" w:space="0"/>
            </w:tcBorders>
            <w:shd w:val="clear" w:color="auto" w:fill="auto"/>
            <w:vAlign w:val="center"/>
          </w:tcPr>
          <w:p w14:paraId="3028050C">
            <w:pPr>
              <w:widowControl w:val="0"/>
              <w:adjustRightInd w:val="0"/>
              <w:snapToGrid w:val="0"/>
              <w:jc w:val="center"/>
              <w:rPr>
                <w:rFonts w:hint="default" w:ascii="Times New Roman" w:hAnsi="Times New Roman" w:eastAsia="宋体" w:cs="Times New Roman"/>
                <w:color w:val="0000FF"/>
                <w:sz w:val="16"/>
                <w:szCs w:val="16"/>
              </w:rPr>
            </w:pPr>
            <w:r>
              <w:rPr>
                <w:rFonts w:hint="default" w:ascii="Times New Roman" w:hAnsi="Times New Roman" w:eastAsia="宋体" w:cs="Times New Roman"/>
                <w:color w:val="0000FF"/>
                <w:sz w:val="16"/>
                <w:szCs w:val="16"/>
              </w:rPr>
              <w:t>48.2</w:t>
            </w:r>
          </w:p>
        </w:tc>
        <w:tc>
          <w:tcPr>
            <w:tcW w:w="330" w:type="pct"/>
            <w:tcBorders>
              <w:bottom w:val="single" w:color="auto" w:sz="4" w:space="0"/>
            </w:tcBorders>
            <w:shd w:val="clear" w:color="auto" w:fill="auto"/>
            <w:vAlign w:val="center"/>
          </w:tcPr>
          <w:p w14:paraId="3B29B892">
            <w:pPr>
              <w:widowControl w:val="0"/>
              <w:adjustRightInd w:val="0"/>
              <w:snapToGrid w:val="0"/>
              <w:jc w:val="center"/>
              <w:rPr>
                <w:rFonts w:hint="default" w:ascii="Times New Roman" w:hAnsi="Times New Roman" w:eastAsia="宋体" w:cs="Times New Roman"/>
                <w:color w:val="0000FF"/>
                <w:sz w:val="16"/>
                <w:szCs w:val="16"/>
              </w:rPr>
            </w:pPr>
            <w:r>
              <w:rPr>
                <w:rFonts w:hint="default" w:ascii="Times New Roman" w:hAnsi="Times New Roman" w:eastAsia="宋体" w:cs="Times New Roman"/>
                <w:color w:val="0000FF"/>
                <w:sz w:val="16"/>
                <w:szCs w:val="16"/>
              </w:rPr>
              <w:t>55.0</w:t>
            </w:r>
          </w:p>
        </w:tc>
        <w:tc>
          <w:tcPr>
            <w:tcW w:w="330" w:type="pct"/>
            <w:tcBorders>
              <w:bottom w:val="single" w:color="auto" w:sz="4" w:space="0"/>
            </w:tcBorders>
            <w:shd w:val="clear" w:color="auto" w:fill="auto"/>
            <w:vAlign w:val="center"/>
          </w:tcPr>
          <w:p w14:paraId="2C4E6DFE">
            <w:pPr>
              <w:widowControl w:val="0"/>
              <w:adjustRightInd w:val="0"/>
              <w:snapToGrid w:val="0"/>
              <w:jc w:val="center"/>
              <w:rPr>
                <w:rFonts w:hint="default" w:ascii="Times New Roman" w:hAnsi="Times New Roman" w:eastAsia="宋体" w:cs="Times New Roman"/>
                <w:color w:val="0000FF"/>
                <w:sz w:val="16"/>
                <w:szCs w:val="16"/>
              </w:rPr>
            </w:pPr>
            <w:r>
              <w:rPr>
                <w:rFonts w:hint="default" w:ascii="Times New Roman" w:hAnsi="Times New Roman" w:eastAsia="宋体" w:cs="Times New Roman"/>
                <w:color w:val="0000FF"/>
                <w:sz w:val="16"/>
                <w:szCs w:val="16"/>
              </w:rPr>
              <w:t>67.2</w:t>
            </w:r>
          </w:p>
        </w:tc>
        <w:tc>
          <w:tcPr>
            <w:tcW w:w="330" w:type="pct"/>
            <w:tcBorders>
              <w:bottom w:val="single" w:color="auto" w:sz="4" w:space="0"/>
            </w:tcBorders>
            <w:shd w:val="clear" w:color="auto" w:fill="auto"/>
            <w:vAlign w:val="center"/>
          </w:tcPr>
          <w:p w14:paraId="6822BF23">
            <w:pPr>
              <w:widowControl w:val="0"/>
              <w:adjustRightInd w:val="0"/>
              <w:snapToGrid w:val="0"/>
              <w:jc w:val="center"/>
              <w:rPr>
                <w:rFonts w:hint="default" w:ascii="Times New Roman" w:hAnsi="Times New Roman" w:eastAsia="宋体" w:cs="Times New Roman"/>
                <w:color w:val="0000FF"/>
                <w:sz w:val="16"/>
                <w:szCs w:val="16"/>
              </w:rPr>
            </w:pPr>
            <w:r>
              <w:rPr>
                <w:rFonts w:hint="default" w:ascii="Times New Roman" w:hAnsi="Times New Roman" w:eastAsia="宋体" w:cs="Times New Roman"/>
                <w:color w:val="0000FF"/>
                <w:sz w:val="16"/>
                <w:szCs w:val="16"/>
              </w:rPr>
              <w:t>75.0</w:t>
            </w:r>
          </w:p>
        </w:tc>
        <w:tc>
          <w:tcPr>
            <w:tcW w:w="330" w:type="pct"/>
            <w:tcBorders>
              <w:bottom w:val="single" w:color="auto" w:sz="4" w:space="0"/>
            </w:tcBorders>
            <w:shd w:val="clear" w:color="auto" w:fill="auto"/>
            <w:vAlign w:val="center"/>
          </w:tcPr>
          <w:p w14:paraId="03C4D310">
            <w:pPr>
              <w:widowControl w:val="0"/>
              <w:adjustRightInd w:val="0"/>
              <w:snapToGrid w:val="0"/>
              <w:jc w:val="center"/>
              <w:rPr>
                <w:rFonts w:hint="default" w:ascii="Times New Roman" w:hAnsi="Times New Roman" w:eastAsia="宋体" w:cs="Times New Roman"/>
                <w:color w:val="0000FF"/>
                <w:sz w:val="16"/>
                <w:szCs w:val="16"/>
              </w:rPr>
            </w:pPr>
            <w:r>
              <w:rPr>
                <w:rFonts w:hint="default" w:ascii="Times New Roman" w:hAnsi="Times New Roman" w:eastAsia="宋体" w:cs="Times New Roman"/>
                <w:color w:val="0000FF"/>
                <w:sz w:val="16"/>
                <w:szCs w:val="16"/>
              </w:rPr>
              <w:t>78.2</w:t>
            </w:r>
          </w:p>
        </w:tc>
        <w:tc>
          <w:tcPr>
            <w:tcW w:w="330" w:type="pct"/>
            <w:tcBorders>
              <w:bottom w:val="single" w:color="auto" w:sz="4" w:space="0"/>
            </w:tcBorders>
            <w:shd w:val="clear" w:color="auto" w:fill="auto"/>
            <w:vAlign w:val="center"/>
          </w:tcPr>
          <w:p w14:paraId="311F0CE7">
            <w:pPr>
              <w:widowControl w:val="0"/>
              <w:adjustRightInd w:val="0"/>
              <w:snapToGrid w:val="0"/>
              <w:jc w:val="center"/>
              <w:rPr>
                <w:rFonts w:hint="default" w:ascii="Times New Roman" w:hAnsi="Times New Roman" w:eastAsia="宋体" w:cs="Times New Roman"/>
                <w:color w:val="0000FF"/>
                <w:sz w:val="16"/>
                <w:szCs w:val="16"/>
              </w:rPr>
            </w:pPr>
            <w:r>
              <w:rPr>
                <w:rFonts w:hint="default" w:ascii="Times New Roman" w:hAnsi="Times New Roman" w:eastAsia="宋体" w:cs="Times New Roman"/>
                <w:color w:val="0000FF"/>
                <w:sz w:val="16"/>
                <w:szCs w:val="16"/>
              </w:rPr>
              <w:t>72.8</w:t>
            </w:r>
          </w:p>
        </w:tc>
        <w:tc>
          <w:tcPr>
            <w:tcW w:w="330" w:type="pct"/>
            <w:tcBorders>
              <w:bottom w:val="single" w:color="auto" w:sz="4" w:space="0"/>
            </w:tcBorders>
            <w:shd w:val="clear" w:color="auto" w:fill="auto"/>
            <w:vAlign w:val="center"/>
          </w:tcPr>
          <w:p w14:paraId="46E8060D">
            <w:pPr>
              <w:widowControl w:val="0"/>
              <w:adjustRightInd w:val="0"/>
              <w:snapToGrid w:val="0"/>
              <w:jc w:val="center"/>
              <w:rPr>
                <w:rFonts w:hint="default" w:ascii="Times New Roman" w:hAnsi="Times New Roman" w:eastAsia="宋体" w:cs="Times New Roman"/>
                <w:color w:val="0000FF"/>
                <w:sz w:val="16"/>
                <w:szCs w:val="16"/>
              </w:rPr>
            </w:pPr>
            <w:r>
              <w:rPr>
                <w:rFonts w:hint="default" w:ascii="Times New Roman" w:hAnsi="Times New Roman" w:eastAsia="宋体" w:cs="Times New Roman"/>
                <w:color w:val="0000FF"/>
                <w:sz w:val="16"/>
                <w:szCs w:val="16"/>
              </w:rPr>
              <w:t>64.7</w:t>
            </w:r>
          </w:p>
        </w:tc>
        <w:tc>
          <w:tcPr>
            <w:tcW w:w="330" w:type="pct"/>
            <w:tcBorders>
              <w:bottom w:val="single" w:color="auto" w:sz="4" w:space="0"/>
            </w:tcBorders>
            <w:shd w:val="clear" w:color="auto" w:fill="auto"/>
            <w:vAlign w:val="center"/>
          </w:tcPr>
          <w:p w14:paraId="785DAB8F">
            <w:pPr>
              <w:widowControl w:val="0"/>
              <w:adjustRightInd w:val="0"/>
              <w:snapToGrid w:val="0"/>
              <w:jc w:val="center"/>
              <w:rPr>
                <w:rFonts w:hint="default" w:ascii="Times New Roman" w:hAnsi="Times New Roman" w:eastAsia="宋体" w:cs="Times New Roman"/>
                <w:color w:val="0000FF"/>
                <w:sz w:val="16"/>
                <w:szCs w:val="16"/>
              </w:rPr>
            </w:pPr>
            <w:r>
              <w:rPr>
                <w:rFonts w:hint="default" w:ascii="Times New Roman" w:hAnsi="Times New Roman" w:eastAsia="宋体" w:cs="Times New Roman"/>
                <w:color w:val="0000FF"/>
                <w:sz w:val="16"/>
                <w:szCs w:val="16"/>
              </w:rPr>
              <w:t>63.7</w:t>
            </w:r>
          </w:p>
        </w:tc>
        <w:tc>
          <w:tcPr>
            <w:tcW w:w="330" w:type="pct"/>
            <w:tcBorders>
              <w:bottom w:val="single" w:color="auto" w:sz="4" w:space="0"/>
            </w:tcBorders>
            <w:shd w:val="clear" w:color="auto" w:fill="auto"/>
            <w:vAlign w:val="center"/>
          </w:tcPr>
          <w:p w14:paraId="3C82E595">
            <w:pPr>
              <w:widowControl w:val="0"/>
              <w:adjustRightInd w:val="0"/>
              <w:snapToGrid w:val="0"/>
              <w:jc w:val="center"/>
              <w:rPr>
                <w:rFonts w:hint="default" w:ascii="Times New Roman" w:hAnsi="Times New Roman" w:eastAsia="宋体" w:cs="Times New Roman"/>
                <w:color w:val="0000FF"/>
                <w:sz w:val="16"/>
                <w:szCs w:val="16"/>
              </w:rPr>
            </w:pPr>
            <w:r>
              <w:rPr>
                <w:rFonts w:hint="default" w:ascii="Times New Roman" w:hAnsi="Times New Roman" w:eastAsia="宋体" w:cs="Times New Roman"/>
                <w:color w:val="0000FF"/>
                <w:sz w:val="16"/>
                <w:szCs w:val="16"/>
              </w:rPr>
              <w:t>63.4</w:t>
            </w:r>
          </w:p>
        </w:tc>
        <w:tc>
          <w:tcPr>
            <w:tcW w:w="376" w:type="pct"/>
            <w:tcBorders>
              <w:bottom w:val="single" w:color="auto" w:sz="4" w:space="0"/>
              <w:right w:val="nil"/>
            </w:tcBorders>
            <w:shd w:val="clear" w:color="auto" w:fill="auto"/>
            <w:vAlign w:val="center"/>
          </w:tcPr>
          <w:p w14:paraId="4E94561C">
            <w:pPr>
              <w:widowControl w:val="0"/>
              <w:adjustRightInd w:val="0"/>
              <w:snapToGrid w:val="0"/>
              <w:jc w:val="center"/>
              <w:rPr>
                <w:rFonts w:hint="default" w:ascii="Times New Roman" w:hAnsi="Times New Roman" w:eastAsia="宋体" w:cs="Times New Roman"/>
                <w:color w:val="0000FF"/>
                <w:sz w:val="16"/>
                <w:szCs w:val="16"/>
              </w:rPr>
            </w:pPr>
            <w:r>
              <w:rPr>
                <w:rFonts w:hint="default" w:ascii="Times New Roman" w:hAnsi="Times New Roman" w:eastAsia="宋体" w:cs="Times New Roman"/>
                <w:color w:val="0000FF"/>
                <w:sz w:val="16"/>
                <w:szCs w:val="16"/>
              </w:rPr>
              <w:t>63.3</w:t>
            </w:r>
          </w:p>
        </w:tc>
      </w:tr>
      <w:tr w14:paraId="1C8EFFC7">
        <w:tblPrEx>
          <w:tblBorders>
            <w:top w:val="single" w:color="auto" w:sz="4" w:space="0"/>
            <w:left w:val="single" w:color="auto" w:sz="4" w:space="0"/>
            <w:bottom w:val="none" w:color="auto" w:sz="0"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6" w:hRule="atLeast"/>
        </w:trPr>
        <w:tc>
          <w:tcPr>
            <w:tcW w:w="661" w:type="pct"/>
            <w:tcBorders>
              <w:left w:val="nil"/>
              <w:bottom w:val="single" w:color="auto" w:sz="4" w:space="0"/>
            </w:tcBorders>
            <w:shd w:val="clear" w:color="auto" w:fill="auto"/>
            <w:vAlign w:val="center"/>
          </w:tcPr>
          <w:p w14:paraId="3C55EB29">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FF"/>
                <w:sz w:val="16"/>
                <w:szCs w:val="16"/>
              </w:rPr>
            </w:pPr>
            <w:r>
              <w:rPr>
                <w:rFonts w:hint="default" w:ascii="Times New Roman" w:hAnsi="Times New Roman" w:eastAsia="宋体" w:cs="Times New Roman"/>
                <w:color w:val="0000FF"/>
                <w:sz w:val="16"/>
                <w:szCs w:val="16"/>
              </w:rPr>
              <w:t>降水量mm</w:t>
            </w:r>
          </w:p>
        </w:tc>
        <w:tc>
          <w:tcPr>
            <w:tcW w:w="330" w:type="pct"/>
            <w:tcBorders>
              <w:bottom w:val="single" w:color="auto" w:sz="4" w:space="0"/>
            </w:tcBorders>
            <w:shd w:val="clear" w:color="auto" w:fill="auto"/>
            <w:vAlign w:val="center"/>
          </w:tcPr>
          <w:p w14:paraId="01F1CC2D">
            <w:pPr>
              <w:widowControl w:val="0"/>
              <w:jc w:val="center"/>
              <w:rPr>
                <w:rFonts w:hint="default" w:ascii="Times New Roman" w:hAnsi="Times New Roman" w:eastAsia="宋体" w:cs="Times New Roman"/>
                <w:color w:val="0000FF"/>
                <w:sz w:val="16"/>
                <w:szCs w:val="16"/>
              </w:rPr>
            </w:pPr>
            <w:r>
              <w:rPr>
                <w:rFonts w:hint="default" w:ascii="Times New Roman" w:hAnsi="Times New Roman" w:eastAsia="宋体" w:cs="Times New Roman"/>
                <w:color w:val="0000FF"/>
                <w:sz w:val="16"/>
                <w:szCs w:val="16"/>
              </w:rPr>
              <w:t>8.5</w:t>
            </w:r>
          </w:p>
        </w:tc>
        <w:tc>
          <w:tcPr>
            <w:tcW w:w="330" w:type="pct"/>
            <w:tcBorders>
              <w:bottom w:val="single" w:color="auto" w:sz="4" w:space="0"/>
            </w:tcBorders>
            <w:shd w:val="clear" w:color="auto" w:fill="auto"/>
            <w:vAlign w:val="center"/>
          </w:tcPr>
          <w:p w14:paraId="0A6306C7">
            <w:pPr>
              <w:widowControl w:val="0"/>
              <w:jc w:val="center"/>
              <w:rPr>
                <w:rFonts w:hint="default" w:ascii="Times New Roman" w:hAnsi="Times New Roman" w:eastAsia="宋体" w:cs="Times New Roman"/>
                <w:color w:val="0000FF"/>
                <w:sz w:val="16"/>
                <w:szCs w:val="16"/>
              </w:rPr>
            </w:pPr>
            <w:r>
              <w:rPr>
                <w:rFonts w:hint="default" w:ascii="Times New Roman" w:hAnsi="Times New Roman" w:eastAsia="宋体" w:cs="Times New Roman"/>
                <w:color w:val="0000FF"/>
                <w:sz w:val="16"/>
                <w:szCs w:val="16"/>
              </w:rPr>
              <w:t>15.1</w:t>
            </w:r>
          </w:p>
        </w:tc>
        <w:tc>
          <w:tcPr>
            <w:tcW w:w="330" w:type="pct"/>
            <w:tcBorders>
              <w:bottom w:val="single" w:color="auto" w:sz="4" w:space="0"/>
            </w:tcBorders>
            <w:shd w:val="clear" w:color="auto" w:fill="auto"/>
            <w:vAlign w:val="center"/>
          </w:tcPr>
          <w:p w14:paraId="1ECF5814">
            <w:pPr>
              <w:widowControl w:val="0"/>
              <w:jc w:val="center"/>
              <w:rPr>
                <w:rFonts w:hint="default" w:ascii="Times New Roman" w:hAnsi="Times New Roman" w:eastAsia="宋体" w:cs="Times New Roman"/>
                <w:color w:val="0000FF"/>
                <w:sz w:val="16"/>
                <w:szCs w:val="16"/>
              </w:rPr>
            </w:pPr>
            <w:r>
              <w:rPr>
                <w:rFonts w:hint="default" w:ascii="Times New Roman" w:hAnsi="Times New Roman" w:eastAsia="宋体" w:cs="Times New Roman"/>
                <w:color w:val="0000FF"/>
                <w:sz w:val="16"/>
                <w:szCs w:val="16"/>
              </w:rPr>
              <w:t>19.5</w:t>
            </w:r>
          </w:p>
        </w:tc>
        <w:tc>
          <w:tcPr>
            <w:tcW w:w="330" w:type="pct"/>
            <w:tcBorders>
              <w:bottom w:val="single" w:color="auto" w:sz="4" w:space="0"/>
            </w:tcBorders>
            <w:shd w:val="clear" w:color="auto" w:fill="auto"/>
            <w:vAlign w:val="center"/>
          </w:tcPr>
          <w:p w14:paraId="0BBF30F4">
            <w:pPr>
              <w:widowControl w:val="0"/>
              <w:jc w:val="center"/>
              <w:rPr>
                <w:rFonts w:hint="default" w:ascii="Times New Roman" w:hAnsi="Times New Roman" w:eastAsia="宋体" w:cs="Times New Roman"/>
                <w:color w:val="0000FF"/>
                <w:sz w:val="16"/>
                <w:szCs w:val="16"/>
              </w:rPr>
            </w:pPr>
            <w:r>
              <w:rPr>
                <w:rFonts w:hint="default" w:ascii="Times New Roman" w:hAnsi="Times New Roman" w:eastAsia="宋体" w:cs="Times New Roman"/>
                <w:color w:val="0000FF"/>
                <w:sz w:val="16"/>
                <w:szCs w:val="16"/>
              </w:rPr>
              <w:t>45.1</w:t>
            </w:r>
          </w:p>
        </w:tc>
        <w:tc>
          <w:tcPr>
            <w:tcW w:w="330" w:type="pct"/>
            <w:tcBorders>
              <w:bottom w:val="single" w:color="auto" w:sz="4" w:space="0"/>
            </w:tcBorders>
            <w:shd w:val="clear" w:color="auto" w:fill="auto"/>
            <w:vAlign w:val="center"/>
          </w:tcPr>
          <w:p w14:paraId="55BDA7FD">
            <w:pPr>
              <w:widowControl w:val="0"/>
              <w:jc w:val="center"/>
              <w:rPr>
                <w:rFonts w:hint="default" w:ascii="Times New Roman" w:hAnsi="Times New Roman" w:eastAsia="宋体" w:cs="Times New Roman"/>
                <w:color w:val="0000FF"/>
                <w:sz w:val="16"/>
                <w:szCs w:val="16"/>
              </w:rPr>
            </w:pPr>
            <w:r>
              <w:rPr>
                <w:rFonts w:hint="default" w:ascii="Times New Roman" w:hAnsi="Times New Roman" w:eastAsia="宋体" w:cs="Times New Roman"/>
                <w:color w:val="0000FF"/>
                <w:sz w:val="16"/>
                <w:szCs w:val="16"/>
              </w:rPr>
              <w:t>76.1</w:t>
            </w:r>
          </w:p>
        </w:tc>
        <w:tc>
          <w:tcPr>
            <w:tcW w:w="330" w:type="pct"/>
            <w:tcBorders>
              <w:bottom w:val="single" w:color="auto" w:sz="4" w:space="0"/>
            </w:tcBorders>
            <w:shd w:val="clear" w:color="auto" w:fill="auto"/>
            <w:vAlign w:val="center"/>
          </w:tcPr>
          <w:p w14:paraId="5C22D07F">
            <w:pPr>
              <w:widowControl w:val="0"/>
              <w:jc w:val="center"/>
              <w:rPr>
                <w:rFonts w:hint="default" w:ascii="Times New Roman" w:hAnsi="Times New Roman" w:eastAsia="宋体" w:cs="Times New Roman"/>
                <w:color w:val="0000FF"/>
                <w:sz w:val="16"/>
                <w:szCs w:val="16"/>
              </w:rPr>
            </w:pPr>
            <w:r>
              <w:rPr>
                <w:rFonts w:hint="default" w:ascii="Times New Roman" w:hAnsi="Times New Roman" w:eastAsia="宋体" w:cs="Times New Roman"/>
                <w:color w:val="0000FF"/>
                <w:sz w:val="16"/>
                <w:szCs w:val="16"/>
              </w:rPr>
              <w:t>116.4</w:t>
            </w:r>
          </w:p>
        </w:tc>
        <w:tc>
          <w:tcPr>
            <w:tcW w:w="330" w:type="pct"/>
            <w:tcBorders>
              <w:bottom w:val="single" w:color="auto" w:sz="4" w:space="0"/>
            </w:tcBorders>
            <w:shd w:val="clear" w:color="auto" w:fill="auto"/>
            <w:vAlign w:val="center"/>
          </w:tcPr>
          <w:p w14:paraId="7BAEFC5B">
            <w:pPr>
              <w:widowControl w:val="0"/>
              <w:jc w:val="center"/>
              <w:rPr>
                <w:rFonts w:hint="default" w:ascii="Times New Roman" w:hAnsi="Times New Roman" w:eastAsia="宋体" w:cs="Times New Roman"/>
                <w:color w:val="0000FF"/>
                <w:sz w:val="16"/>
                <w:szCs w:val="16"/>
              </w:rPr>
            </w:pPr>
            <w:r>
              <w:rPr>
                <w:rFonts w:hint="default" w:ascii="Times New Roman" w:hAnsi="Times New Roman" w:eastAsia="宋体" w:cs="Times New Roman"/>
                <w:color w:val="0000FF"/>
                <w:sz w:val="16"/>
                <w:szCs w:val="16"/>
              </w:rPr>
              <w:t>162.2</w:t>
            </w:r>
          </w:p>
        </w:tc>
        <w:tc>
          <w:tcPr>
            <w:tcW w:w="330" w:type="pct"/>
            <w:tcBorders>
              <w:bottom w:val="single" w:color="auto" w:sz="4" w:space="0"/>
            </w:tcBorders>
            <w:shd w:val="clear" w:color="auto" w:fill="auto"/>
            <w:vAlign w:val="center"/>
          </w:tcPr>
          <w:p w14:paraId="45CA9262">
            <w:pPr>
              <w:widowControl w:val="0"/>
              <w:jc w:val="center"/>
              <w:rPr>
                <w:rFonts w:hint="default" w:ascii="Times New Roman" w:hAnsi="Times New Roman" w:eastAsia="宋体" w:cs="Times New Roman"/>
                <w:color w:val="0000FF"/>
                <w:sz w:val="16"/>
                <w:szCs w:val="16"/>
              </w:rPr>
            </w:pPr>
            <w:r>
              <w:rPr>
                <w:rFonts w:hint="default" w:ascii="Times New Roman" w:hAnsi="Times New Roman" w:eastAsia="宋体" w:cs="Times New Roman"/>
                <w:color w:val="0000FF"/>
                <w:sz w:val="16"/>
                <w:szCs w:val="16"/>
              </w:rPr>
              <w:t>211.6</w:t>
            </w:r>
          </w:p>
        </w:tc>
        <w:tc>
          <w:tcPr>
            <w:tcW w:w="330" w:type="pct"/>
            <w:tcBorders>
              <w:bottom w:val="single" w:color="auto" w:sz="4" w:space="0"/>
            </w:tcBorders>
            <w:shd w:val="clear" w:color="auto" w:fill="auto"/>
            <w:vAlign w:val="center"/>
          </w:tcPr>
          <w:p w14:paraId="36030219">
            <w:pPr>
              <w:widowControl w:val="0"/>
              <w:jc w:val="center"/>
              <w:rPr>
                <w:rFonts w:hint="default" w:ascii="Times New Roman" w:hAnsi="Times New Roman" w:eastAsia="宋体" w:cs="Times New Roman"/>
                <w:color w:val="0000FF"/>
                <w:sz w:val="16"/>
                <w:szCs w:val="16"/>
              </w:rPr>
            </w:pPr>
            <w:r>
              <w:rPr>
                <w:rFonts w:hint="default" w:ascii="Times New Roman" w:hAnsi="Times New Roman" w:eastAsia="宋体" w:cs="Times New Roman"/>
                <w:color w:val="0000FF"/>
                <w:sz w:val="16"/>
                <w:szCs w:val="16"/>
              </w:rPr>
              <w:t>67.6</w:t>
            </w:r>
          </w:p>
        </w:tc>
        <w:tc>
          <w:tcPr>
            <w:tcW w:w="330" w:type="pct"/>
            <w:tcBorders>
              <w:bottom w:val="single" w:color="auto" w:sz="4" w:space="0"/>
            </w:tcBorders>
            <w:shd w:val="clear" w:color="auto" w:fill="auto"/>
            <w:vAlign w:val="center"/>
          </w:tcPr>
          <w:p w14:paraId="66246718">
            <w:pPr>
              <w:widowControl w:val="0"/>
              <w:jc w:val="center"/>
              <w:rPr>
                <w:rFonts w:hint="default" w:ascii="Times New Roman" w:hAnsi="Times New Roman" w:eastAsia="宋体" w:cs="Times New Roman"/>
                <w:color w:val="0000FF"/>
                <w:sz w:val="16"/>
                <w:szCs w:val="16"/>
              </w:rPr>
            </w:pPr>
            <w:r>
              <w:rPr>
                <w:rFonts w:hint="default" w:ascii="Times New Roman" w:hAnsi="Times New Roman" w:eastAsia="宋体" w:cs="Times New Roman"/>
                <w:color w:val="0000FF"/>
                <w:sz w:val="16"/>
                <w:szCs w:val="16"/>
              </w:rPr>
              <w:t>59.4</w:t>
            </w:r>
          </w:p>
        </w:tc>
        <w:tc>
          <w:tcPr>
            <w:tcW w:w="330" w:type="pct"/>
            <w:tcBorders>
              <w:bottom w:val="single" w:color="auto" w:sz="4" w:space="0"/>
            </w:tcBorders>
            <w:shd w:val="clear" w:color="auto" w:fill="auto"/>
            <w:vAlign w:val="center"/>
          </w:tcPr>
          <w:p w14:paraId="4797655C">
            <w:pPr>
              <w:widowControl w:val="0"/>
              <w:jc w:val="center"/>
              <w:rPr>
                <w:rFonts w:hint="default" w:ascii="Times New Roman" w:hAnsi="Times New Roman" w:eastAsia="宋体" w:cs="Times New Roman"/>
                <w:color w:val="0000FF"/>
                <w:sz w:val="16"/>
                <w:szCs w:val="16"/>
              </w:rPr>
            </w:pPr>
            <w:r>
              <w:rPr>
                <w:rFonts w:hint="default" w:ascii="Times New Roman" w:hAnsi="Times New Roman" w:eastAsia="宋体" w:cs="Times New Roman"/>
                <w:color w:val="0000FF"/>
                <w:sz w:val="16"/>
                <w:szCs w:val="16"/>
              </w:rPr>
              <w:t>41.4</w:t>
            </w:r>
          </w:p>
        </w:tc>
        <w:tc>
          <w:tcPr>
            <w:tcW w:w="330" w:type="pct"/>
            <w:tcBorders>
              <w:bottom w:val="single" w:color="auto" w:sz="4" w:space="0"/>
            </w:tcBorders>
            <w:shd w:val="clear" w:color="auto" w:fill="auto"/>
            <w:vAlign w:val="center"/>
          </w:tcPr>
          <w:p w14:paraId="2AA1FD16">
            <w:pPr>
              <w:widowControl w:val="0"/>
              <w:jc w:val="center"/>
              <w:rPr>
                <w:rFonts w:hint="default" w:ascii="Times New Roman" w:hAnsi="Times New Roman" w:eastAsia="宋体" w:cs="Times New Roman"/>
                <w:color w:val="0000FF"/>
                <w:sz w:val="16"/>
                <w:szCs w:val="16"/>
              </w:rPr>
            </w:pPr>
            <w:r>
              <w:rPr>
                <w:rFonts w:hint="default" w:ascii="Times New Roman" w:hAnsi="Times New Roman" w:eastAsia="宋体" w:cs="Times New Roman"/>
                <w:color w:val="0000FF"/>
                <w:sz w:val="16"/>
                <w:szCs w:val="16"/>
              </w:rPr>
              <w:t>11.7</w:t>
            </w:r>
          </w:p>
        </w:tc>
        <w:tc>
          <w:tcPr>
            <w:tcW w:w="376" w:type="pct"/>
            <w:tcBorders>
              <w:bottom w:val="single" w:color="auto" w:sz="4" w:space="0"/>
              <w:right w:val="nil"/>
            </w:tcBorders>
            <w:shd w:val="clear" w:color="auto" w:fill="auto"/>
            <w:vAlign w:val="center"/>
          </w:tcPr>
          <w:p w14:paraId="1B518835">
            <w:pPr>
              <w:widowControl w:val="0"/>
              <w:jc w:val="center"/>
              <w:rPr>
                <w:rFonts w:hint="default" w:ascii="Times New Roman" w:hAnsi="Times New Roman" w:eastAsia="宋体" w:cs="Times New Roman"/>
                <w:color w:val="0000FF"/>
                <w:sz w:val="16"/>
                <w:szCs w:val="16"/>
              </w:rPr>
            </w:pPr>
            <w:r>
              <w:rPr>
                <w:rFonts w:hint="default" w:ascii="Times New Roman" w:hAnsi="Times New Roman" w:eastAsia="宋体" w:cs="Times New Roman"/>
                <w:color w:val="0000FF"/>
                <w:sz w:val="16"/>
                <w:szCs w:val="16"/>
              </w:rPr>
              <w:t>834.3</w:t>
            </w:r>
          </w:p>
        </w:tc>
      </w:tr>
      <w:tr w14:paraId="17220E66">
        <w:tblPrEx>
          <w:tblBorders>
            <w:top w:val="single" w:color="auto" w:sz="4" w:space="0"/>
            <w:left w:val="single" w:color="auto" w:sz="4" w:space="0"/>
            <w:bottom w:val="none" w:color="auto" w:sz="0"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6" w:hRule="atLeast"/>
        </w:trPr>
        <w:tc>
          <w:tcPr>
            <w:tcW w:w="661" w:type="pct"/>
            <w:tcBorders>
              <w:left w:val="nil"/>
              <w:bottom w:val="double" w:color="auto" w:sz="4" w:space="0"/>
            </w:tcBorders>
            <w:shd w:val="clear" w:color="auto" w:fill="auto"/>
            <w:vAlign w:val="center"/>
          </w:tcPr>
          <w:p w14:paraId="2E2F889F">
            <w:pPr>
              <w:widowControl w:val="0"/>
              <w:jc w:val="center"/>
              <w:rPr>
                <w:rFonts w:hint="default" w:ascii="Times New Roman" w:hAnsi="Times New Roman" w:eastAsia="宋体" w:cs="Times New Roman"/>
                <w:color w:val="0000FF"/>
                <w:sz w:val="16"/>
                <w:szCs w:val="16"/>
              </w:rPr>
            </w:pPr>
            <w:r>
              <w:rPr>
                <w:rFonts w:hint="default" w:ascii="Times New Roman" w:hAnsi="Times New Roman" w:eastAsia="宋体" w:cs="Times New Roman"/>
                <w:color w:val="0000FF"/>
                <w:sz w:val="16"/>
                <w:szCs w:val="16"/>
              </w:rPr>
              <w:t>日照时数h</w:t>
            </w:r>
          </w:p>
        </w:tc>
        <w:tc>
          <w:tcPr>
            <w:tcW w:w="330" w:type="pct"/>
            <w:tcBorders>
              <w:bottom w:val="double" w:color="auto" w:sz="4" w:space="0"/>
            </w:tcBorders>
            <w:shd w:val="clear" w:color="auto" w:fill="auto"/>
            <w:vAlign w:val="center"/>
          </w:tcPr>
          <w:p w14:paraId="6E328EAC">
            <w:pPr>
              <w:widowControl w:val="0"/>
              <w:jc w:val="center"/>
              <w:rPr>
                <w:rFonts w:hint="default" w:ascii="Times New Roman" w:hAnsi="Times New Roman" w:eastAsia="宋体" w:cs="Times New Roman"/>
                <w:color w:val="0000FF"/>
                <w:sz w:val="16"/>
                <w:szCs w:val="16"/>
              </w:rPr>
            </w:pPr>
            <w:r>
              <w:rPr>
                <w:rFonts w:hint="default" w:ascii="Times New Roman" w:hAnsi="Times New Roman" w:eastAsia="宋体" w:cs="Times New Roman"/>
                <w:color w:val="0000FF"/>
                <w:sz w:val="16"/>
                <w:szCs w:val="16"/>
              </w:rPr>
              <w:t>204.6</w:t>
            </w:r>
          </w:p>
        </w:tc>
        <w:tc>
          <w:tcPr>
            <w:tcW w:w="330" w:type="pct"/>
            <w:tcBorders>
              <w:bottom w:val="double" w:color="auto" w:sz="4" w:space="0"/>
            </w:tcBorders>
            <w:shd w:val="clear" w:color="auto" w:fill="auto"/>
            <w:vAlign w:val="center"/>
          </w:tcPr>
          <w:p w14:paraId="68F08E04">
            <w:pPr>
              <w:widowControl w:val="0"/>
              <w:jc w:val="center"/>
              <w:rPr>
                <w:rFonts w:hint="default" w:ascii="Times New Roman" w:hAnsi="Times New Roman" w:eastAsia="宋体" w:cs="Times New Roman"/>
                <w:color w:val="0000FF"/>
                <w:sz w:val="16"/>
                <w:szCs w:val="16"/>
              </w:rPr>
            </w:pPr>
            <w:r>
              <w:rPr>
                <w:rFonts w:hint="default" w:ascii="Times New Roman" w:hAnsi="Times New Roman" w:eastAsia="宋体" w:cs="Times New Roman"/>
                <w:color w:val="0000FF"/>
                <w:sz w:val="16"/>
                <w:szCs w:val="16"/>
              </w:rPr>
              <w:t>205.3</w:t>
            </w:r>
          </w:p>
        </w:tc>
        <w:tc>
          <w:tcPr>
            <w:tcW w:w="330" w:type="pct"/>
            <w:tcBorders>
              <w:bottom w:val="double" w:color="auto" w:sz="4" w:space="0"/>
            </w:tcBorders>
            <w:shd w:val="clear" w:color="auto" w:fill="auto"/>
            <w:vAlign w:val="center"/>
          </w:tcPr>
          <w:p w14:paraId="3ED47C61">
            <w:pPr>
              <w:widowControl w:val="0"/>
              <w:jc w:val="center"/>
              <w:rPr>
                <w:rFonts w:hint="default" w:ascii="Times New Roman" w:hAnsi="Times New Roman" w:eastAsia="宋体" w:cs="Times New Roman"/>
                <w:color w:val="0000FF"/>
                <w:sz w:val="16"/>
                <w:szCs w:val="16"/>
              </w:rPr>
            </w:pPr>
            <w:r>
              <w:rPr>
                <w:rFonts w:hint="default" w:ascii="Times New Roman" w:hAnsi="Times New Roman" w:eastAsia="宋体" w:cs="Times New Roman"/>
                <w:color w:val="0000FF"/>
                <w:sz w:val="16"/>
                <w:szCs w:val="16"/>
              </w:rPr>
              <w:t>246.8</w:t>
            </w:r>
          </w:p>
        </w:tc>
        <w:tc>
          <w:tcPr>
            <w:tcW w:w="330" w:type="pct"/>
            <w:tcBorders>
              <w:bottom w:val="double" w:color="auto" w:sz="4" w:space="0"/>
            </w:tcBorders>
            <w:shd w:val="clear" w:color="auto" w:fill="auto"/>
            <w:vAlign w:val="center"/>
          </w:tcPr>
          <w:p w14:paraId="6ECCF05B">
            <w:pPr>
              <w:widowControl w:val="0"/>
              <w:jc w:val="center"/>
              <w:rPr>
                <w:rFonts w:hint="default" w:ascii="Times New Roman" w:hAnsi="Times New Roman" w:eastAsia="宋体" w:cs="Times New Roman"/>
                <w:color w:val="0000FF"/>
                <w:sz w:val="16"/>
                <w:szCs w:val="16"/>
              </w:rPr>
            </w:pPr>
            <w:r>
              <w:rPr>
                <w:rFonts w:hint="default" w:ascii="Times New Roman" w:hAnsi="Times New Roman" w:eastAsia="宋体" w:cs="Times New Roman"/>
                <w:color w:val="0000FF"/>
                <w:sz w:val="16"/>
                <w:szCs w:val="16"/>
              </w:rPr>
              <w:t>244.4</w:t>
            </w:r>
          </w:p>
        </w:tc>
        <w:tc>
          <w:tcPr>
            <w:tcW w:w="330" w:type="pct"/>
            <w:tcBorders>
              <w:bottom w:val="double" w:color="auto" w:sz="4" w:space="0"/>
            </w:tcBorders>
            <w:shd w:val="clear" w:color="auto" w:fill="auto"/>
            <w:vAlign w:val="center"/>
          </w:tcPr>
          <w:p w14:paraId="215720CE">
            <w:pPr>
              <w:widowControl w:val="0"/>
              <w:jc w:val="center"/>
              <w:rPr>
                <w:rFonts w:hint="default" w:ascii="Times New Roman" w:hAnsi="Times New Roman" w:eastAsia="宋体" w:cs="Times New Roman"/>
                <w:color w:val="0000FF"/>
                <w:sz w:val="16"/>
                <w:szCs w:val="16"/>
              </w:rPr>
            </w:pPr>
            <w:r>
              <w:rPr>
                <w:rFonts w:hint="default" w:ascii="Times New Roman" w:hAnsi="Times New Roman" w:eastAsia="宋体" w:cs="Times New Roman"/>
                <w:color w:val="0000FF"/>
                <w:sz w:val="16"/>
                <w:szCs w:val="16"/>
              </w:rPr>
              <w:t>265.7</w:t>
            </w:r>
          </w:p>
        </w:tc>
        <w:tc>
          <w:tcPr>
            <w:tcW w:w="330" w:type="pct"/>
            <w:tcBorders>
              <w:bottom w:val="double" w:color="auto" w:sz="4" w:space="0"/>
            </w:tcBorders>
            <w:shd w:val="clear" w:color="auto" w:fill="auto"/>
            <w:vAlign w:val="center"/>
          </w:tcPr>
          <w:p w14:paraId="15D20FD1">
            <w:pPr>
              <w:widowControl w:val="0"/>
              <w:jc w:val="center"/>
              <w:rPr>
                <w:rFonts w:hint="default" w:ascii="Times New Roman" w:hAnsi="Times New Roman" w:eastAsia="宋体" w:cs="Times New Roman"/>
                <w:color w:val="0000FF"/>
                <w:sz w:val="16"/>
                <w:szCs w:val="16"/>
              </w:rPr>
            </w:pPr>
            <w:r>
              <w:rPr>
                <w:rFonts w:hint="default" w:ascii="Times New Roman" w:hAnsi="Times New Roman" w:eastAsia="宋体" w:cs="Times New Roman"/>
                <w:color w:val="0000FF"/>
                <w:sz w:val="16"/>
                <w:szCs w:val="16"/>
              </w:rPr>
              <w:t>220.8</w:t>
            </w:r>
          </w:p>
        </w:tc>
        <w:tc>
          <w:tcPr>
            <w:tcW w:w="330" w:type="pct"/>
            <w:tcBorders>
              <w:bottom w:val="double" w:color="auto" w:sz="4" w:space="0"/>
            </w:tcBorders>
            <w:shd w:val="clear" w:color="auto" w:fill="auto"/>
            <w:vAlign w:val="center"/>
          </w:tcPr>
          <w:p w14:paraId="5059CBF8">
            <w:pPr>
              <w:widowControl w:val="0"/>
              <w:jc w:val="center"/>
              <w:rPr>
                <w:rFonts w:hint="default" w:ascii="Times New Roman" w:hAnsi="Times New Roman" w:eastAsia="宋体" w:cs="Times New Roman"/>
                <w:color w:val="0000FF"/>
                <w:sz w:val="16"/>
                <w:szCs w:val="16"/>
              </w:rPr>
            </w:pPr>
            <w:r>
              <w:rPr>
                <w:rFonts w:hint="default" w:ascii="Times New Roman" w:hAnsi="Times New Roman" w:eastAsia="宋体" w:cs="Times New Roman"/>
                <w:color w:val="0000FF"/>
                <w:sz w:val="16"/>
                <w:szCs w:val="16"/>
              </w:rPr>
              <w:t>193.0</w:t>
            </w:r>
          </w:p>
        </w:tc>
        <w:tc>
          <w:tcPr>
            <w:tcW w:w="330" w:type="pct"/>
            <w:tcBorders>
              <w:bottom w:val="double" w:color="auto" w:sz="4" w:space="0"/>
            </w:tcBorders>
            <w:shd w:val="clear" w:color="auto" w:fill="auto"/>
            <w:vAlign w:val="center"/>
          </w:tcPr>
          <w:p w14:paraId="545B96AF">
            <w:pPr>
              <w:widowControl w:val="0"/>
              <w:jc w:val="center"/>
              <w:rPr>
                <w:rFonts w:hint="default" w:ascii="Times New Roman" w:hAnsi="Times New Roman" w:eastAsia="宋体" w:cs="Times New Roman"/>
                <w:color w:val="0000FF"/>
                <w:sz w:val="16"/>
                <w:szCs w:val="16"/>
              </w:rPr>
            </w:pPr>
            <w:r>
              <w:rPr>
                <w:rFonts w:hint="default" w:ascii="Times New Roman" w:hAnsi="Times New Roman" w:eastAsia="宋体" w:cs="Times New Roman"/>
                <w:color w:val="0000FF"/>
                <w:sz w:val="16"/>
                <w:szCs w:val="16"/>
              </w:rPr>
              <w:t>199.7</w:t>
            </w:r>
          </w:p>
        </w:tc>
        <w:tc>
          <w:tcPr>
            <w:tcW w:w="330" w:type="pct"/>
            <w:tcBorders>
              <w:bottom w:val="double" w:color="auto" w:sz="4" w:space="0"/>
            </w:tcBorders>
            <w:shd w:val="clear" w:color="auto" w:fill="auto"/>
            <w:vAlign w:val="center"/>
          </w:tcPr>
          <w:p w14:paraId="1C8DF331">
            <w:pPr>
              <w:widowControl w:val="0"/>
              <w:jc w:val="center"/>
              <w:rPr>
                <w:rFonts w:hint="default" w:ascii="Times New Roman" w:hAnsi="Times New Roman" w:eastAsia="宋体" w:cs="Times New Roman"/>
                <w:color w:val="0000FF"/>
                <w:sz w:val="16"/>
                <w:szCs w:val="16"/>
              </w:rPr>
            </w:pPr>
            <w:r>
              <w:rPr>
                <w:rFonts w:hint="default" w:ascii="Times New Roman" w:hAnsi="Times New Roman" w:eastAsia="宋体" w:cs="Times New Roman"/>
                <w:color w:val="0000FF"/>
                <w:sz w:val="16"/>
                <w:szCs w:val="16"/>
              </w:rPr>
              <w:t>227.9</w:t>
            </w:r>
          </w:p>
        </w:tc>
        <w:tc>
          <w:tcPr>
            <w:tcW w:w="330" w:type="pct"/>
            <w:tcBorders>
              <w:bottom w:val="double" w:color="auto" w:sz="4" w:space="0"/>
            </w:tcBorders>
            <w:shd w:val="clear" w:color="auto" w:fill="auto"/>
            <w:vAlign w:val="center"/>
          </w:tcPr>
          <w:p w14:paraId="1ACC255E">
            <w:pPr>
              <w:widowControl w:val="0"/>
              <w:jc w:val="center"/>
              <w:rPr>
                <w:rFonts w:hint="default" w:ascii="Times New Roman" w:hAnsi="Times New Roman" w:eastAsia="宋体" w:cs="Times New Roman"/>
                <w:color w:val="0000FF"/>
                <w:sz w:val="16"/>
                <w:szCs w:val="16"/>
              </w:rPr>
            </w:pPr>
            <w:r>
              <w:rPr>
                <w:rFonts w:hint="default" w:ascii="Times New Roman" w:hAnsi="Times New Roman" w:eastAsia="宋体" w:cs="Times New Roman"/>
                <w:color w:val="0000FF"/>
                <w:sz w:val="16"/>
                <w:szCs w:val="16"/>
              </w:rPr>
              <w:t>219.5</w:t>
            </w:r>
          </w:p>
        </w:tc>
        <w:tc>
          <w:tcPr>
            <w:tcW w:w="330" w:type="pct"/>
            <w:tcBorders>
              <w:bottom w:val="double" w:color="auto" w:sz="4" w:space="0"/>
            </w:tcBorders>
            <w:shd w:val="clear" w:color="auto" w:fill="auto"/>
            <w:vAlign w:val="center"/>
          </w:tcPr>
          <w:p w14:paraId="49CBF913">
            <w:pPr>
              <w:widowControl w:val="0"/>
              <w:jc w:val="center"/>
              <w:rPr>
                <w:rFonts w:hint="default" w:ascii="Times New Roman" w:hAnsi="Times New Roman" w:eastAsia="宋体" w:cs="Times New Roman"/>
                <w:color w:val="0000FF"/>
                <w:sz w:val="16"/>
                <w:szCs w:val="16"/>
              </w:rPr>
            </w:pPr>
            <w:r>
              <w:rPr>
                <w:rFonts w:hint="default" w:ascii="Times New Roman" w:hAnsi="Times New Roman" w:eastAsia="宋体" w:cs="Times New Roman"/>
                <w:color w:val="0000FF"/>
                <w:sz w:val="16"/>
                <w:szCs w:val="16"/>
              </w:rPr>
              <w:t>171.9</w:t>
            </w:r>
          </w:p>
        </w:tc>
        <w:tc>
          <w:tcPr>
            <w:tcW w:w="330" w:type="pct"/>
            <w:tcBorders>
              <w:bottom w:val="double" w:color="auto" w:sz="4" w:space="0"/>
            </w:tcBorders>
            <w:shd w:val="clear" w:color="auto" w:fill="auto"/>
            <w:vAlign w:val="center"/>
          </w:tcPr>
          <w:p w14:paraId="690DCBB7">
            <w:pPr>
              <w:widowControl w:val="0"/>
              <w:jc w:val="center"/>
              <w:rPr>
                <w:rFonts w:hint="default" w:ascii="Times New Roman" w:hAnsi="Times New Roman" w:eastAsia="宋体" w:cs="Times New Roman"/>
                <w:color w:val="0000FF"/>
                <w:sz w:val="16"/>
                <w:szCs w:val="16"/>
              </w:rPr>
            </w:pPr>
            <w:r>
              <w:rPr>
                <w:rFonts w:hint="default" w:ascii="Times New Roman" w:hAnsi="Times New Roman" w:eastAsia="宋体" w:cs="Times New Roman"/>
                <w:color w:val="0000FF"/>
                <w:sz w:val="16"/>
                <w:szCs w:val="16"/>
              </w:rPr>
              <w:t>184.7</w:t>
            </w:r>
          </w:p>
        </w:tc>
        <w:tc>
          <w:tcPr>
            <w:tcW w:w="376" w:type="pct"/>
            <w:tcBorders>
              <w:bottom w:val="double" w:color="auto" w:sz="4" w:space="0"/>
              <w:right w:val="nil"/>
            </w:tcBorders>
            <w:shd w:val="clear" w:color="auto" w:fill="auto"/>
            <w:vAlign w:val="center"/>
          </w:tcPr>
          <w:p w14:paraId="40951B77">
            <w:pPr>
              <w:widowControl w:val="0"/>
              <w:jc w:val="center"/>
              <w:rPr>
                <w:rFonts w:hint="default" w:ascii="Times New Roman" w:hAnsi="Times New Roman" w:eastAsia="宋体" w:cs="Times New Roman"/>
                <w:color w:val="0000FF"/>
                <w:sz w:val="16"/>
                <w:szCs w:val="16"/>
              </w:rPr>
            </w:pPr>
            <w:r>
              <w:rPr>
                <w:rFonts w:hint="default" w:ascii="Times New Roman" w:hAnsi="Times New Roman" w:eastAsia="宋体" w:cs="Times New Roman"/>
                <w:color w:val="0000FF"/>
                <w:sz w:val="16"/>
                <w:szCs w:val="16"/>
              </w:rPr>
              <w:t>2564.0</w:t>
            </w:r>
          </w:p>
        </w:tc>
      </w:tr>
    </w:tbl>
    <w:p w14:paraId="4A5A65FD">
      <w:pPr>
        <w:rPr>
          <w:rFonts w:hint="eastAsia" w:eastAsia="方正书宋简体"/>
          <w:lang w:eastAsia="zh-CN"/>
        </w:rPr>
      </w:pPr>
      <w:r>
        <w:rPr>
          <w:rFonts w:hint="eastAsia" w:eastAsia="方正书宋简体"/>
          <w:lang w:eastAsia="zh-CN"/>
        </w:rPr>
        <w:drawing>
          <wp:inline distT="0" distB="0" distL="114300" distR="114300">
            <wp:extent cx="5256530" cy="2322830"/>
            <wp:effectExtent l="4445" t="4445" r="15875" b="15875"/>
            <wp:docPr id="68" name="图表 68"/>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p>
    <w:p w14:paraId="2A579A19">
      <w:pPr>
        <w:adjustRightInd w:val="0"/>
        <w:snapToGrid w:val="0"/>
        <w:jc w:val="center"/>
        <w:rPr>
          <w:rFonts w:ascii="Times New Roman" w:hAnsi="Times New Roman" w:eastAsia="黑体" w:cs="Times New Roman"/>
          <w:color w:val="0000FF"/>
        </w:rPr>
      </w:pPr>
      <w:r>
        <w:rPr>
          <w:rFonts w:ascii="Times New Roman" w:hAnsi="Times New Roman" w:eastAsia="黑体" w:cs="Times New Roman"/>
          <w:color w:val="0000FF"/>
        </w:rPr>
        <w:t>图</w:t>
      </w:r>
      <w:r>
        <w:rPr>
          <w:rFonts w:hint="eastAsia" w:ascii="Times New Roman" w:hAnsi="Times New Roman" w:eastAsia="黑体" w:cs="Times New Roman"/>
          <w:color w:val="0000FF"/>
        </w:rPr>
        <w:t>5.1-2</w:t>
      </w:r>
      <w:r>
        <w:rPr>
          <w:rFonts w:ascii="Times New Roman" w:hAnsi="Times New Roman" w:eastAsia="黑体" w:cs="Times New Roman"/>
          <w:color w:val="0000FF"/>
        </w:rPr>
        <w:t xml:space="preserve">  平均风速月变化曲线图</w:t>
      </w:r>
    </w:p>
    <w:p w14:paraId="4FF22D6F">
      <w:pPr>
        <w:spacing w:line="500" w:lineRule="exact"/>
        <w:ind w:firstLine="482"/>
        <w:rPr>
          <w:rFonts w:ascii="Times New Roman" w:hAnsi="Times New Roman" w:cs="Times New Roman"/>
        </w:rPr>
      </w:pPr>
      <w:r>
        <w:rPr>
          <w:rFonts w:ascii="Times New Roman" w:hAnsi="Times New Roman" w:cs="Times New Roman"/>
          <w:b/>
        </w:rPr>
        <w:t>（</w:t>
      </w:r>
      <w:r>
        <w:rPr>
          <w:rFonts w:hint="eastAsia" w:ascii="Times New Roman" w:hAnsi="Times New Roman" w:cs="Times New Roman"/>
          <w:b/>
          <w:lang w:val="en-US" w:eastAsia="zh-CN"/>
        </w:rPr>
        <w:t>4</w:t>
      </w:r>
      <w:r>
        <w:rPr>
          <w:rFonts w:ascii="Times New Roman" w:hAnsi="Times New Roman" w:cs="Times New Roman"/>
          <w:b/>
        </w:rPr>
        <w:t>）风频统计量</w:t>
      </w:r>
    </w:p>
    <w:p w14:paraId="6EE47CF3">
      <w:pPr>
        <w:spacing w:line="500" w:lineRule="exact"/>
        <w:ind w:firstLine="482"/>
        <w:rPr>
          <w:rFonts w:ascii="Times New Roman" w:hAnsi="Times New Roman" w:cs="Times New Roman"/>
        </w:rPr>
      </w:pPr>
      <w:r>
        <w:rPr>
          <w:rFonts w:ascii="Times New Roman" w:hAnsi="Times New Roman" w:cs="Times New Roman"/>
        </w:rPr>
        <w:t>统计每月、各季及全年平均各风向风频变化情况见表</w:t>
      </w:r>
      <w:r>
        <w:rPr>
          <w:rFonts w:hint="eastAsia" w:ascii="Times New Roman" w:hAnsi="Times New Roman" w:cs="Times New Roman"/>
        </w:rPr>
        <w:t>5</w:t>
      </w:r>
      <w:r>
        <w:rPr>
          <w:rFonts w:ascii="Times New Roman" w:hAnsi="Times New Roman" w:cs="Times New Roman"/>
        </w:rPr>
        <w:t>.1-</w:t>
      </w:r>
      <w:r>
        <w:rPr>
          <w:rFonts w:hint="eastAsia" w:ascii="Times New Roman" w:hAnsi="Times New Roman" w:cs="Times New Roman"/>
          <w:lang w:val="en-US" w:eastAsia="zh-CN"/>
        </w:rPr>
        <w:t>7</w:t>
      </w:r>
      <w:r>
        <w:rPr>
          <w:rFonts w:ascii="Times New Roman" w:hAnsi="Times New Roman" w:cs="Times New Roman"/>
        </w:rPr>
        <w:t>和表</w:t>
      </w:r>
      <w:r>
        <w:rPr>
          <w:rFonts w:hint="eastAsia" w:ascii="Times New Roman" w:hAnsi="Times New Roman" w:cs="Times New Roman"/>
        </w:rPr>
        <w:t>5</w:t>
      </w:r>
      <w:r>
        <w:rPr>
          <w:rFonts w:ascii="Times New Roman" w:hAnsi="Times New Roman" w:cs="Times New Roman"/>
        </w:rPr>
        <w:t>.1-</w:t>
      </w:r>
      <w:r>
        <w:rPr>
          <w:rFonts w:hint="eastAsia" w:ascii="Times New Roman" w:hAnsi="Times New Roman" w:cs="Times New Roman"/>
          <w:lang w:val="en-US" w:eastAsia="zh-CN"/>
        </w:rPr>
        <w:t>8</w:t>
      </w:r>
      <w:r>
        <w:rPr>
          <w:rFonts w:ascii="Times New Roman" w:hAnsi="Times New Roman" w:cs="Times New Roman"/>
        </w:rPr>
        <w:t>，各月、各季及全年风向频率玫瑰见图</w:t>
      </w:r>
      <w:r>
        <w:rPr>
          <w:rFonts w:hint="eastAsia" w:ascii="Times New Roman" w:hAnsi="Times New Roman" w:cs="Times New Roman"/>
        </w:rPr>
        <w:t>5.1-4</w:t>
      </w:r>
      <w:r>
        <w:rPr>
          <w:rFonts w:ascii="Times New Roman" w:hAnsi="Times New Roman" w:cs="Times New Roman"/>
        </w:rPr>
        <w:t>。</w:t>
      </w:r>
    </w:p>
    <w:p w14:paraId="2C00238A">
      <w:pPr>
        <w:jc w:val="center"/>
        <w:rPr>
          <w:rFonts w:hint="default" w:ascii="Times New Roman" w:hAnsi="Times New Roman" w:eastAsia="黑体" w:cs="Times New Roman"/>
          <w:color w:val="0000FF"/>
        </w:rPr>
      </w:pPr>
      <w:r>
        <w:rPr>
          <w:rFonts w:hint="default" w:ascii="Times New Roman" w:hAnsi="Times New Roman" w:eastAsia="黑体" w:cs="Times New Roman"/>
          <w:color w:val="0000FF"/>
        </w:rPr>
        <w:t>表</w:t>
      </w:r>
      <w:r>
        <w:rPr>
          <w:rFonts w:hint="eastAsia" w:ascii="Times New Roman" w:hAnsi="Times New Roman" w:eastAsia="黑体" w:cs="Times New Roman"/>
          <w:color w:val="0000FF"/>
          <w:lang w:val="en-US" w:eastAsia="zh-CN"/>
        </w:rPr>
        <w:t>5.1-7</w:t>
      </w:r>
      <w:r>
        <w:rPr>
          <w:rFonts w:hint="default" w:ascii="Times New Roman" w:hAnsi="Times New Roman" w:eastAsia="黑体" w:cs="Times New Roman"/>
          <w:color w:val="0000FF"/>
        </w:rPr>
        <w:t xml:space="preserve"> 本溪气象站【54346】近20年(2005-2024)风向频率统计表</w:t>
      </w:r>
    </w:p>
    <w:tbl>
      <w:tblPr>
        <w:tblStyle w:val="5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86"/>
        <w:gridCol w:w="545"/>
        <w:gridCol w:w="430"/>
        <w:gridCol w:w="528"/>
        <w:gridCol w:w="479"/>
        <w:gridCol w:w="501"/>
        <w:gridCol w:w="419"/>
        <w:gridCol w:w="492"/>
        <w:gridCol w:w="430"/>
        <w:gridCol w:w="545"/>
        <w:gridCol w:w="456"/>
        <w:gridCol w:w="608"/>
        <w:gridCol w:w="404"/>
        <w:gridCol w:w="634"/>
        <w:gridCol w:w="483"/>
        <w:gridCol w:w="599"/>
        <w:gridCol w:w="484"/>
      </w:tblGrid>
      <w:tr w14:paraId="68F0A5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8" w:type="pct"/>
            <w:tcBorders>
              <w:top w:val="double" w:color="auto" w:sz="4" w:space="0"/>
              <w:left w:val="nil"/>
            </w:tcBorders>
            <w:shd w:val="clear" w:color="auto" w:fill="auto"/>
          </w:tcPr>
          <w:p w14:paraId="13CB4016">
            <w:pPr>
              <w:widowControl w:val="0"/>
              <w:jc w:val="center"/>
              <w:rPr>
                <w:rFonts w:hint="default" w:ascii="Times New Roman" w:hAnsi="Times New Roman" w:cs="Times New Roman"/>
                <w:color w:val="0000FF"/>
                <w:sz w:val="16"/>
                <w:szCs w:val="16"/>
              </w:rPr>
            </w:pPr>
            <w:r>
              <w:rPr>
                <w:rFonts w:hint="default" w:ascii="Times New Roman" w:hAnsi="Times New Roman" w:cs="Times New Roman"/>
                <w:color w:val="0000FF"/>
                <w:sz w:val="16"/>
                <w:szCs w:val="16"/>
              </w:rPr>
              <w:t>N</w:t>
            </w:r>
          </w:p>
        </w:tc>
        <w:tc>
          <w:tcPr>
            <w:tcW w:w="305" w:type="pct"/>
            <w:tcBorders>
              <w:top w:val="double" w:color="auto" w:sz="4" w:space="0"/>
            </w:tcBorders>
            <w:shd w:val="clear" w:color="auto" w:fill="auto"/>
          </w:tcPr>
          <w:p w14:paraId="4DB70E1A">
            <w:pPr>
              <w:widowControl w:val="0"/>
              <w:jc w:val="center"/>
              <w:rPr>
                <w:rFonts w:hint="default" w:ascii="Times New Roman" w:hAnsi="Times New Roman" w:cs="Times New Roman"/>
                <w:color w:val="0000FF"/>
                <w:sz w:val="16"/>
                <w:szCs w:val="16"/>
              </w:rPr>
            </w:pPr>
            <w:r>
              <w:rPr>
                <w:rFonts w:hint="default" w:ascii="Times New Roman" w:hAnsi="Times New Roman" w:cs="Times New Roman"/>
                <w:color w:val="0000FF"/>
                <w:sz w:val="16"/>
                <w:szCs w:val="16"/>
              </w:rPr>
              <w:t>NNE</w:t>
            </w:r>
          </w:p>
        </w:tc>
        <w:tc>
          <w:tcPr>
            <w:tcW w:w="273" w:type="pct"/>
            <w:tcBorders>
              <w:top w:val="double" w:color="auto" w:sz="4" w:space="0"/>
            </w:tcBorders>
            <w:shd w:val="clear" w:color="auto" w:fill="auto"/>
          </w:tcPr>
          <w:p w14:paraId="68374645">
            <w:pPr>
              <w:widowControl w:val="0"/>
              <w:jc w:val="center"/>
              <w:rPr>
                <w:rFonts w:hint="default" w:ascii="Times New Roman" w:hAnsi="Times New Roman" w:cs="Times New Roman"/>
                <w:color w:val="0000FF"/>
                <w:sz w:val="16"/>
                <w:szCs w:val="16"/>
              </w:rPr>
            </w:pPr>
            <w:r>
              <w:rPr>
                <w:rFonts w:hint="default" w:ascii="Times New Roman" w:hAnsi="Times New Roman" w:cs="Times New Roman"/>
                <w:color w:val="0000FF"/>
                <w:sz w:val="16"/>
                <w:szCs w:val="16"/>
              </w:rPr>
              <w:t>NE</w:t>
            </w:r>
          </w:p>
        </w:tc>
        <w:tc>
          <w:tcPr>
            <w:tcW w:w="290" w:type="pct"/>
            <w:tcBorders>
              <w:top w:val="double" w:color="auto" w:sz="4" w:space="0"/>
            </w:tcBorders>
            <w:shd w:val="clear" w:color="auto" w:fill="auto"/>
          </w:tcPr>
          <w:p w14:paraId="11C25D96">
            <w:pPr>
              <w:widowControl w:val="0"/>
              <w:jc w:val="center"/>
              <w:rPr>
                <w:rFonts w:hint="default" w:ascii="Times New Roman" w:hAnsi="Times New Roman" w:cs="Times New Roman"/>
                <w:color w:val="0000FF"/>
                <w:sz w:val="16"/>
                <w:szCs w:val="16"/>
              </w:rPr>
            </w:pPr>
            <w:r>
              <w:rPr>
                <w:rFonts w:hint="default" w:ascii="Times New Roman" w:hAnsi="Times New Roman" w:cs="Times New Roman"/>
                <w:color w:val="0000FF"/>
                <w:sz w:val="16"/>
                <w:szCs w:val="16"/>
              </w:rPr>
              <w:t>ENE</w:t>
            </w:r>
          </w:p>
        </w:tc>
        <w:tc>
          <w:tcPr>
            <w:tcW w:w="302" w:type="pct"/>
            <w:tcBorders>
              <w:top w:val="double" w:color="auto" w:sz="4" w:space="0"/>
            </w:tcBorders>
            <w:shd w:val="clear" w:color="auto" w:fill="auto"/>
          </w:tcPr>
          <w:p w14:paraId="00BFDD29">
            <w:pPr>
              <w:widowControl w:val="0"/>
              <w:jc w:val="center"/>
              <w:rPr>
                <w:rFonts w:hint="default" w:ascii="Times New Roman" w:hAnsi="Times New Roman" w:cs="Times New Roman"/>
                <w:color w:val="0000FF"/>
                <w:sz w:val="16"/>
                <w:szCs w:val="16"/>
              </w:rPr>
            </w:pPr>
            <w:r>
              <w:rPr>
                <w:rFonts w:hint="default" w:ascii="Times New Roman" w:hAnsi="Times New Roman" w:cs="Times New Roman"/>
                <w:color w:val="0000FF"/>
                <w:sz w:val="16"/>
                <w:szCs w:val="16"/>
              </w:rPr>
              <w:t>E</w:t>
            </w:r>
          </w:p>
        </w:tc>
        <w:tc>
          <w:tcPr>
            <w:tcW w:w="276" w:type="pct"/>
            <w:tcBorders>
              <w:top w:val="double" w:color="auto" w:sz="4" w:space="0"/>
            </w:tcBorders>
            <w:shd w:val="clear" w:color="auto" w:fill="auto"/>
          </w:tcPr>
          <w:p w14:paraId="3441921F">
            <w:pPr>
              <w:widowControl w:val="0"/>
              <w:jc w:val="center"/>
              <w:rPr>
                <w:rFonts w:hint="default" w:ascii="Times New Roman" w:hAnsi="Times New Roman" w:cs="Times New Roman"/>
                <w:color w:val="0000FF"/>
                <w:sz w:val="16"/>
                <w:szCs w:val="16"/>
              </w:rPr>
            </w:pPr>
            <w:r>
              <w:rPr>
                <w:rFonts w:hint="default" w:ascii="Times New Roman" w:hAnsi="Times New Roman" w:cs="Times New Roman"/>
                <w:color w:val="0000FF"/>
                <w:sz w:val="16"/>
                <w:szCs w:val="16"/>
              </w:rPr>
              <w:t>ESE</w:t>
            </w:r>
          </w:p>
        </w:tc>
        <w:tc>
          <w:tcPr>
            <w:tcW w:w="273" w:type="pct"/>
            <w:tcBorders>
              <w:top w:val="double" w:color="auto" w:sz="4" w:space="0"/>
            </w:tcBorders>
            <w:shd w:val="clear" w:color="auto" w:fill="auto"/>
          </w:tcPr>
          <w:p w14:paraId="44987C8B">
            <w:pPr>
              <w:widowControl w:val="0"/>
              <w:jc w:val="center"/>
              <w:rPr>
                <w:rFonts w:hint="default" w:ascii="Times New Roman" w:hAnsi="Times New Roman" w:cs="Times New Roman"/>
                <w:color w:val="0000FF"/>
                <w:sz w:val="16"/>
                <w:szCs w:val="16"/>
              </w:rPr>
            </w:pPr>
            <w:r>
              <w:rPr>
                <w:rFonts w:hint="default" w:ascii="Times New Roman" w:hAnsi="Times New Roman" w:cs="Times New Roman"/>
                <w:color w:val="0000FF"/>
                <w:sz w:val="16"/>
                <w:szCs w:val="16"/>
              </w:rPr>
              <w:t>SE</w:t>
            </w:r>
          </w:p>
        </w:tc>
        <w:tc>
          <w:tcPr>
            <w:tcW w:w="275" w:type="pct"/>
            <w:tcBorders>
              <w:top w:val="double" w:color="auto" w:sz="4" w:space="0"/>
            </w:tcBorders>
            <w:shd w:val="clear" w:color="auto" w:fill="auto"/>
          </w:tcPr>
          <w:p w14:paraId="11E23BBC">
            <w:pPr>
              <w:widowControl w:val="0"/>
              <w:jc w:val="center"/>
              <w:rPr>
                <w:rFonts w:hint="default" w:ascii="Times New Roman" w:hAnsi="Times New Roman" w:cs="Times New Roman"/>
                <w:color w:val="0000FF"/>
                <w:sz w:val="16"/>
                <w:szCs w:val="16"/>
              </w:rPr>
            </w:pPr>
            <w:r>
              <w:rPr>
                <w:rFonts w:hint="default" w:ascii="Times New Roman" w:hAnsi="Times New Roman" w:cs="Times New Roman"/>
                <w:color w:val="0000FF"/>
                <w:sz w:val="16"/>
                <w:szCs w:val="16"/>
              </w:rPr>
              <w:t>SSE</w:t>
            </w:r>
          </w:p>
        </w:tc>
        <w:tc>
          <w:tcPr>
            <w:tcW w:w="275" w:type="pct"/>
            <w:tcBorders>
              <w:top w:val="double" w:color="auto" w:sz="4" w:space="0"/>
            </w:tcBorders>
            <w:shd w:val="clear" w:color="auto" w:fill="auto"/>
          </w:tcPr>
          <w:p w14:paraId="357F5860">
            <w:pPr>
              <w:widowControl w:val="0"/>
              <w:jc w:val="center"/>
              <w:rPr>
                <w:rFonts w:hint="default" w:ascii="Times New Roman" w:hAnsi="Times New Roman" w:cs="Times New Roman"/>
                <w:color w:val="0000FF"/>
                <w:sz w:val="16"/>
                <w:szCs w:val="16"/>
              </w:rPr>
            </w:pPr>
            <w:r>
              <w:rPr>
                <w:rFonts w:hint="default" w:ascii="Times New Roman" w:hAnsi="Times New Roman" w:cs="Times New Roman"/>
                <w:color w:val="0000FF"/>
                <w:sz w:val="16"/>
                <w:szCs w:val="16"/>
              </w:rPr>
              <w:t>S</w:t>
            </w:r>
          </w:p>
        </w:tc>
        <w:tc>
          <w:tcPr>
            <w:tcW w:w="294" w:type="pct"/>
            <w:tcBorders>
              <w:top w:val="double" w:color="auto" w:sz="4" w:space="0"/>
            </w:tcBorders>
            <w:shd w:val="clear" w:color="auto" w:fill="auto"/>
          </w:tcPr>
          <w:p w14:paraId="03CA961E">
            <w:pPr>
              <w:widowControl w:val="0"/>
              <w:jc w:val="center"/>
              <w:rPr>
                <w:rFonts w:hint="default" w:ascii="Times New Roman" w:hAnsi="Times New Roman" w:cs="Times New Roman"/>
                <w:color w:val="0000FF"/>
                <w:sz w:val="16"/>
                <w:szCs w:val="16"/>
              </w:rPr>
            </w:pPr>
            <w:r>
              <w:rPr>
                <w:rFonts w:hint="default" w:ascii="Times New Roman" w:hAnsi="Times New Roman" w:cs="Times New Roman"/>
                <w:color w:val="0000FF"/>
                <w:sz w:val="16"/>
                <w:szCs w:val="16"/>
              </w:rPr>
              <w:t>SSW</w:t>
            </w:r>
          </w:p>
        </w:tc>
        <w:tc>
          <w:tcPr>
            <w:tcW w:w="275" w:type="pct"/>
            <w:tcBorders>
              <w:top w:val="double" w:color="auto" w:sz="4" w:space="0"/>
            </w:tcBorders>
            <w:shd w:val="clear" w:color="auto" w:fill="auto"/>
          </w:tcPr>
          <w:p w14:paraId="3B8B1F99">
            <w:pPr>
              <w:widowControl w:val="0"/>
              <w:jc w:val="center"/>
              <w:rPr>
                <w:rFonts w:hint="default" w:ascii="Times New Roman" w:hAnsi="Times New Roman" w:cs="Times New Roman"/>
                <w:color w:val="0000FF"/>
                <w:sz w:val="16"/>
                <w:szCs w:val="16"/>
              </w:rPr>
            </w:pPr>
            <w:r>
              <w:rPr>
                <w:rFonts w:hint="default" w:ascii="Times New Roman" w:hAnsi="Times New Roman" w:cs="Times New Roman"/>
                <w:color w:val="0000FF"/>
                <w:sz w:val="16"/>
                <w:szCs w:val="16"/>
              </w:rPr>
              <w:t>SW</w:t>
            </w:r>
          </w:p>
        </w:tc>
        <w:tc>
          <w:tcPr>
            <w:tcW w:w="331" w:type="pct"/>
            <w:tcBorders>
              <w:top w:val="double" w:color="auto" w:sz="4" w:space="0"/>
            </w:tcBorders>
            <w:shd w:val="clear" w:color="auto" w:fill="auto"/>
          </w:tcPr>
          <w:p w14:paraId="43934626">
            <w:pPr>
              <w:widowControl w:val="0"/>
              <w:jc w:val="center"/>
              <w:rPr>
                <w:rFonts w:hint="default" w:ascii="Times New Roman" w:hAnsi="Times New Roman" w:cs="Times New Roman"/>
                <w:color w:val="0000FF"/>
                <w:sz w:val="16"/>
                <w:szCs w:val="16"/>
              </w:rPr>
            </w:pPr>
            <w:r>
              <w:rPr>
                <w:rFonts w:hint="default" w:ascii="Times New Roman" w:hAnsi="Times New Roman" w:cs="Times New Roman"/>
                <w:color w:val="0000FF"/>
                <w:sz w:val="16"/>
                <w:szCs w:val="16"/>
              </w:rPr>
              <w:t>WSW</w:t>
            </w:r>
          </w:p>
        </w:tc>
        <w:tc>
          <w:tcPr>
            <w:tcW w:w="275" w:type="pct"/>
            <w:tcBorders>
              <w:top w:val="double" w:color="auto" w:sz="4" w:space="0"/>
            </w:tcBorders>
            <w:shd w:val="clear" w:color="auto" w:fill="auto"/>
          </w:tcPr>
          <w:p w14:paraId="59EB06A2">
            <w:pPr>
              <w:widowControl w:val="0"/>
              <w:jc w:val="center"/>
              <w:rPr>
                <w:rFonts w:hint="default" w:ascii="Times New Roman" w:hAnsi="Times New Roman" w:cs="Times New Roman"/>
                <w:color w:val="0000FF"/>
                <w:sz w:val="16"/>
                <w:szCs w:val="16"/>
              </w:rPr>
            </w:pPr>
            <w:r>
              <w:rPr>
                <w:rFonts w:hint="default" w:ascii="Times New Roman" w:hAnsi="Times New Roman" w:cs="Times New Roman"/>
                <w:color w:val="0000FF"/>
                <w:sz w:val="16"/>
                <w:szCs w:val="16"/>
              </w:rPr>
              <w:t>W</w:t>
            </w:r>
          </w:p>
        </w:tc>
        <w:tc>
          <w:tcPr>
            <w:tcW w:w="345" w:type="pct"/>
            <w:tcBorders>
              <w:top w:val="double" w:color="auto" w:sz="4" w:space="0"/>
            </w:tcBorders>
            <w:shd w:val="clear" w:color="auto" w:fill="auto"/>
          </w:tcPr>
          <w:p w14:paraId="759BAE03">
            <w:pPr>
              <w:widowControl w:val="0"/>
              <w:jc w:val="center"/>
              <w:rPr>
                <w:rFonts w:hint="default" w:ascii="Times New Roman" w:hAnsi="Times New Roman" w:cs="Times New Roman"/>
                <w:color w:val="0000FF"/>
                <w:sz w:val="16"/>
                <w:szCs w:val="16"/>
              </w:rPr>
            </w:pPr>
            <w:r>
              <w:rPr>
                <w:rFonts w:hint="default" w:ascii="Times New Roman" w:hAnsi="Times New Roman" w:cs="Times New Roman"/>
                <w:color w:val="0000FF"/>
                <w:sz w:val="16"/>
                <w:szCs w:val="16"/>
              </w:rPr>
              <w:t>WNW</w:t>
            </w:r>
          </w:p>
        </w:tc>
        <w:tc>
          <w:tcPr>
            <w:tcW w:w="275" w:type="pct"/>
            <w:tcBorders>
              <w:top w:val="double" w:color="auto" w:sz="4" w:space="0"/>
            </w:tcBorders>
            <w:shd w:val="clear" w:color="auto" w:fill="auto"/>
          </w:tcPr>
          <w:p w14:paraId="10AB65C4">
            <w:pPr>
              <w:widowControl w:val="0"/>
              <w:jc w:val="center"/>
              <w:rPr>
                <w:rFonts w:hint="default" w:ascii="Times New Roman" w:hAnsi="Times New Roman" w:cs="Times New Roman"/>
                <w:color w:val="0000FF"/>
                <w:sz w:val="16"/>
                <w:szCs w:val="16"/>
              </w:rPr>
            </w:pPr>
            <w:r>
              <w:rPr>
                <w:rFonts w:hint="default" w:ascii="Times New Roman" w:hAnsi="Times New Roman" w:cs="Times New Roman"/>
                <w:color w:val="0000FF"/>
                <w:sz w:val="16"/>
                <w:szCs w:val="16"/>
              </w:rPr>
              <w:t>NW</w:t>
            </w:r>
          </w:p>
        </w:tc>
        <w:tc>
          <w:tcPr>
            <w:tcW w:w="322" w:type="pct"/>
            <w:tcBorders>
              <w:top w:val="double" w:color="auto" w:sz="4" w:space="0"/>
            </w:tcBorders>
            <w:shd w:val="clear" w:color="auto" w:fill="auto"/>
          </w:tcPr>
          <w:p w14:paraId="5BAD291A">
            <w:pPr>
              <w:widowControl w:val="0"/>
              <w:jc w:val="center"/>
              <w:rPr>
                <w:rFonts w:hint="default" w:ascii="Times New Roman" w:hAnsi="Times New Roman" w:cs="Times New Roman"/>
                <w:color w:val="0000FF"/>
                <w:sz w:val="16"/>
                <w:szCs w:val="16"/>
              </w:rPr>
            </w:pPr>
            <w:r>
              <w:rPr>
                <w:rFonts w:hint="default" w:ascii="Times New Roman" w:hAnsi="Times New Roman" w:cs="Times New Roman"/>
                <w:color w:val="0000FF"/>
                <w:sz w:val="16"/>
                <w:szCs w:val="16"/>
              </w:rPr>
              <w:t>NNW</w:t>
            </w:r>
          </w:p>
        </w:tc>
        <w:tc>
          <w:tcPr>
            <w:tcW w:w="307" w:type="pct"/>
            <w:tcBorders>
              <w:top w:val="double" w:color="auto" w:sz="4" w:space="0"/>
              <w:right w:val="nil"/>
            </w:tcBorders>
            <w:shd w:val="clear" w:color="auto" w:fill="auto"/>
          </w:tcPr>
          <w:p w14:paraId="6AE10098">
            <w:pPr>
              <w:widowControl w:val="0"/>
              <w:jc w:val="center"/>
              <w:rPr>
                <w:rFonts w:hint="default" w:ascii="Times New Roman" w:hAnsi="Times New Roman" w:cs="Times New Roman"/>
                <w:color w:val="0000FF"/>
                <w:sz w:val="16"/>
                <w:szCs w:val="16"/>
              </w:rPr>
            </w:pPr>
            <w:r>
              <w:rPr>
                <w:rFonts w:hint="default" w:ascii="Times New Roman" w:hAnsi="Times New Roman" w:cs="Times New Roman"/>
                <w:color w:val="0000FF"/>
                <w:sz w:val="16"/>
                <w:szCs w:val="16"/>
              </w:rPr>
              <w:t>C</w:t>
            </w:r>
          </w:p>
        </w:tc>
      </w:tr>
      <w:tr w14:paraId="3237EC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8" w:type="pct"/>
            <w:tcBorders>
              <w:left w:val="nil"/>
              <w:bottom w:val="double" w:color="auto" w:sz="4" w:space="0"/>
            </w:tcBorders>
            <w:shd w:val="clear" w:color="auto" w:fill="auto"/>
          </w:tcPr>
          <w:p w14:paraId="24FF8DA6">
            <w:pPr>
              <w:widowControl w:val="0"/>
              <w:jc w:val="center"/>
              <w:rPr>
                <w:rFonts w:hint="default" w:ascii="Times New Roman" w:hAnsi="Times New Roman" w:cs="Times New Roman"/>
                <w:color w:val="0000FF"/>
                <w:sz w:val="13"/>
                <w:szCs w:val="13"/>
              </w:rPr>
            </w:pPr>
            <w:r>
              <w:rPr>
                <w:rFonts w:hint="default" w:ascii="Times New Roman" w:hAnsi="Times New Roman" w:cs="Times New Roman"/>
                <w:color w:val="0000FF"/>
                <w:sz w:val="15"/>
                <w:szCs w:val="22"/>
              </w:rPr>
              <w:t>4.8</w:t>
            </w:r>
          </w:p>
        </w:tc>
        <w:tc>
          <w:tcPr>
            <w:tcW w:w="305" w:type="pct"/>
            <w:tcBorders>
              <w:bottom w:val="double" w:color="auto" w:sz="4" w:space="0"/>
            </w:tcBorders>
            <w:shd w:val="clear" w:color="auto" w:fill="auto"/>
          </w:tcPr>
          <w:p w14:paraId="40816AB2">
            <w:pPr>
              <w:widowControl w:val="0"/>
              <w:jc w:val="center"/>
              <w:rPr>
                <w:rFonts w:hint="default" w:ascii="Times New Roman" w:hAnsi="Times New Roman" w:cs="Times New Roman"/>
                <w:color w:val="0000FF"/>
                <w:sz w:val="13"/>
                <w:szCs w:val="13"/>
              </w:rPr>
            </w:pPr>
            <w:r>
              <w:rPr>
                <w:rFonts w:hint="default" w:ascii="Times New Roman" w:hAnsi="Times New Roman" w:cs="Times New Roman"/>
                <w:color w:val="0000FF"/>
                <w:sz w:val="15"/>
                <w:szCs w:val="22"/>
              </w:rPr>
              <w:t>3.7</w:t>
            </w:r>
          </w:p>
        </w:tc>
        <w:tc>
          <w:tcPr>
            <w:tcW w:w="273" w:type="pct"/>
            <w:tcBorders>
              <w:bottom w:val="double" w:color="auto" w:sz="4" w:space="0"/>
            </w:tcBorders>
            <w:shd w:val="clear" w:color="auto" w:fill="auto"/>
          </w:tcPr>
          <w:p w14:paraId="69144755">
            <w:pPr>
              <w:widowControl w:val="0"/>
              <w:jc w:val="center"/>
              <w:rPr>
                <w:rFonts w:hint="default" w:ascii="Times New Roman" w:hAnsi="Times New Roman" w:cs="Times New Roman"/>
                <w:color w:val="0000FF"/>
                <w:sz w:val="13"/>
                <w:szCs w:val="13"/>
              </w:rPr>
            </w:pPr>
            <w:r>
              <w:rPr>
                <w:rFonts w:hint="default" w:ascii="Times New Roman" w:hAnsi="Times New Roman" w:cs="Times New Roman"/>
                <w:color w:val="0000FF"/>
                <w:sz w:val="15"/>
                <w:szCs w:val="22"/>
              </w:rPr>
              <w:t>3.0</w:t>
            </w:r>
          </w:p>
        </w:tc>
        <w:tc>
          <w:tcPr>
            <w:tcW w:w="290" w:type="pct"/>
            <w:tcBorders>
              <w:bottom w:val="double" w:color="auto" w:sz="4" w:space="0"/>
            </w:tcBorders>
            <w:shd w:val="clear" w:color="auto" w:fill="auto"/>
          </w:tcPr>
          <w:p w14:paraId="0C3F269B">
            <w:pPr>
              <w:widowControl w:val="0"/>
              <w:jc w:val="center"/>
              <w:rPr>
                <w:rFonts w:hint="default" w:ascii="Times New Roman" w:hAnsi="Times New Roman" w:cs="Times New Roman"/>
                <w:color w:val="0000FF"/>
                <w:sz w:val="13"/>
                <w:szCs w:val="13"/>
              </w:rPr>
            </w:pPr>
            <w:r>
              <w:rPr>
                <w:rFonts w:hint="default" w:ascii="Times New Roman" w:hAnsi="Times New Roman" w:cs="Times New Roman"/>
                <w:color w:val="0000FF"/>
                <w:sz w:val="15"/>
                <w:szCs w:val="22"/>
              </w:rPr>
              <w:t>4.3</w:t>
            </w:r>
          </w:p>
        </w:tc>
        <w:tc>
          <w:tcPr>
            <w:tcW w:w="302" w:type="pct"/>
            <w:tcBorders>
              <w:bottom w:val="double" w:color="auto" w:sz="4" w:space="0"/>
            </w:tcBorders>
            <w:shd w:val="clear" w:color="auto" w:fill="auto"/>
          </w:tcPr>
          <w:p w14:paraId="5E2862F3">
            <w:pPr>
              <w:widowControl w:val="0"/>
              <w:jc w:val="center"/>
              <w:rPr>
                <w:rFonts w:hint="default" w:ascii="Times New Roman" w:hAnsi="Times New Roman" w:cs="Times New Roman"/>
                <w:color w:val="0000FF"/>
                <w:sz w:val="13"/>
                <w:szCs w:val="13"/>
              </w:rPr>
            </w:pPr>
            <w:r>
              <w:rPr>
                <w:rFonts w:hint="default" w:ascii="Times New Roman" w:hAnsi="Times New Roman" w:cs="Times New Roman"/>
                <w:color w:val="0000FF"/>
                <w:sz w:val="15"/>
                <w:szCs w:val="22"/>
              </w:rPr>
              <w:t>19.2</w:t>
            </w:r>
          </w:p>
        </w:tc>
        <w:tc>
          <w:tcPr>
            <w:tcW w:w="276" w:type="pct"/>
            <w:tcBorders>
              <w:bottom w:val="double" w:color="auto" w:sz="4" w:space="0"/>
            </w:tcBorders>
            <w:shd w:val="clear" w:color="auto" w:fill="auto"/>
          </w:tcPr>
          <w:p w14:paraId="38F4738B">
            <w:pPr>
              <w:widowControl w:val="0"/>
              <w:jc w:val="center"/>
              <w:rPr>
                <w:rFonts w:hint="default" w:ascii="Times New Roman" w:hAnsi="Times New Roman" w:cs="Times New Roman"/>
                <w:color w:val="0000FF"/>
                <w:sz w:val="13"/>
                <w:szCs w:val="13"/>
              </w:rPr>
            </w:pPr>
            <w:r>
              <w:rPr>
                <w:rFonts w:hint="default" w:ascii="Times New Roman" w:hAnsi="Times New Roman" w:cs="Times New Roman"/>
                <w:color w:val="0000FF"/>
                <w:sz w:val="15"/>
                <w:szCs w:val="22"/>
              </w:rPr>
              <w:t>15.7</w:t>
            </w:r>
          </w:p>
        </w:tc>
        <w:tc>
          <w:tcPr>
            <w:tcW w:w="273" w:type="pct"/>
            <w:tcBorders>
              <w:bottom w:val="double" w:color="auto" w:sz="4" w:space="0"/>
            </w:tcBorders>
            <w:shd w:val="clear" w:color="auto" w:fill="auto"/>
          </w:tcPr>
          <w:p w14:paraId="60CE9F38">
            <w:pPr>
              <w:widowControl w:val="0"/>
              <w:jc w:val="center"/>
              <w:rPr>
                <w:rFonts w:hint="default" w:ascii="Times New Roman" w:hAnsi="Times New Roman" w:cs="Times New Roman"/>
                <w:color w:val="0000FF"/>
                <w:sz w:val="13"/>
                <w:szCs w:val="13"/>
              </w:rPr>
            </w:pPr>
            <w:r>
              <w:rPr>
                <w:rFonts w:hint="default" w:ascii="Times New Roman" w:hAnsi="Times New Roman" w:cs="Times New Roman"/>
                <w:color w:val="0000FF"/>
                <w:sz w:val="15"/>
                <w:szCs w:val="22"/>
              </w:rPr>
              <w:t>2.0</w:t>
            </w:r>
          </w:p>
        </w:tc>
        <w:tc>
          <w:tcPr>
            <w:tcW w:w="275" w:type="pct"/>
            <w:tcBorders>
              <w:bottom w:val="double" w:color="auto" w:sz="4" w:space="0"/>
            </w:tcBorders>
            <w:shd w:val="clear" w:color="auto" w:fill="auto"/>
          </w:tcPr>
          <w:p w14:paraId="310A1EA0">
            <w:pPr>
              <w:widowControl w:val="0"/>
              <w:jc w:val="center"/>
              <w:rPr>
                <w:rFonts w:hint="default" w:ascii="Times New Roman" w:hAnsi="Times New Roman" w:cs="Times New Roman"/>
                <w:color w:val="0000FF"/>
                <w:sz w:val="13"/>
                <w:szCs w:val="13"/>
              </w:rPr>
            </w:pPr>
            <w:r>
              <w:rPr>
                <w:rFonts w:hint="default" w:ascii="Times New Roman" w:hAnsi="Times New Roman" w:cs="Times New Roman"/>
                <w:color w:val="0000FF"/>
                <w:sz w:val="15"/>
                <w:szCs w:val="22"/>
              </w:rPr>
              <w:t>2.0</w:t>
            </w:r>
          </w:p>
        </w:tc>
        <w:tc>
          <w:tcPr>
            <w:tcW w:w="275" w:type="pct"/>
            <w:tcBorders>
              <w:bottom w:val="double" w:color="auto" w:sz="4" w:space="0"/>
            </w:tcBorders>
            <w:shd w:val="clear" w:color="auto" w:fill="auto"/>
          </w:tcPr>
          <w:p w14:paraId="6D90EF45">
            <w:pPr>
              <w:widowControl w:val="0"/>
              <w:jc w:val="center"/>
              <w:rPr>
                <w:rFonts w:hint="default" w:ascii="Times New Roman" w:hAnsi="Times New Roman" w:cs="Times New Roman"/>
                <w:color w:val="0000FF"/>
                <w:sz w:val="13"/>
                <w:szCs w:val="13"/>
              </w:rPr>
            </w:pPr>
            <w:r>
              <w:rPr>
                <w:rFonts w:hint="default" w:ascii="Times New Roman" w:hAnsi="Times New Roman" w:cs="Times New Roman"/>
                <w:color w:val="0000FF"/>
                <w:sz w:val="15"/>
                <w:szCs w:val="22"/>
              </w:rPr>
              <w:t>4.5</w:t>
            </w:r>
          </w:p>
        </w:tc>
        <w:tc>
          <w:tcPr>
            <w:tcW w:w="294" w:type="pct"/>
            <w:tcBorders>
              <w:bottom w:val="double" w:color="auto" w:sz="4" w:space="0"/>
            </w:tcBorders>
            <w:shd w:val="clear" w:color="auto" w:fill="auto"/>
          </w:tcPr>
          <w:p w14:paraId="65F59211">
            <w:pPr>
              <w:widowControl w:val="0"/>
              <w:jc w:val="center"/>
              <w:rPr>
                <w:rFonts w:hint="default" w:ascii="Times New Roman" w:hAnsi="Times New Roman" w:cs="Times New Roman"/>
                <w:color w:val="0000FF"/>
                <w:sz w:val="13"/>
                <w:szCs w:val="13"/>
              </w:rPr>
            </w:pPr>
            <w:r>
              <w:rPr>
                <w:rFonts w:hint="default" w:ascii="Times New Roman" w:hAnsi="Times New Roman" w:cs="Times New Roman"/>
                <w:color w:val="0000FF"/>
                <w:sz w:val="15"/>
                <w:szCs w:val="22"/>
              </w:rPr>
              <w:t>7.4</w:t>
            </w:r>
          </w:p>
        </w:tc>
        <w:tc>
          <w:tcPr>
            <w:tcW w:w="275" w:type="pct"/>
            <w:tcBorders>
              <w:bottom w:val="double" w:color="auto" w:sz="4" w:space="0"/>
            </w:tcBorders>
            <w:shd w:val="clear" w:color="auto" w:fill="auto"/>
          </w:tcPr>
          <w:p w14:paraId="1AA22789">
            <w:pPr>
              <w:widowControl w:val="0"/>
              <w:jc w:val="center"/>
              <w:rPr>
                <w:rFonts w:hint="default" w:ascii="Times New Roman" w:hAnsi="Times New Roman" w:cs="Times New Roman"/>
                <w:color w:val="0000FF"/>
                <w:sz w:val="13"/>
                <w:szCs w:val="13"/>
              </w:rPr>
            </w:pPr>
            <w:r>
              <w:rPr>
                <w:rFonts w:hint="default" w:ascii="Times New Roman" w:hAnsi="Times New Roman" w:cs="Times New Roman"/>
                <w:color w:val="0000FF"/>
                <w:sz w:val="15"/>
                <w:szCs w:val="22"/>
              </w:rPr>
              <w:t>5.5</w:t>
            </w:r>
          </w:p>
        </w:tc>
        <w:tc>
          <w:tcPr>
            <w:tcW w:w="331" w:type="pct"/>
            <w:tcBorders>
              <w:bottom w:val="double" w:color="auto" w:sz="4" w:space="0"/>
            </w:tcBorders>
            <w:shd w:val="clear" w:color="auto" w:fill="auto"/>
          </w:tcPr>
          <w:p w14:paraId="397FC601">
            <w:pPr>
              <w:widowControl w:val="0"/>
              <w:jc w:val="center"/>
              <w:rPr>
                <w:rFonts w:hint="default" w:ascii="Times New Roman" w:hAnsi="Times New Roman" w:cs="Times New Roman"/>
                <w:color w:val="0000FF"/>
                <w:sz w:val="13"/>
                <w:szCs w:val="13"/>
              </w:rPr>
            </w:pPr>
            <w:r>
              <w:rPr>
                <w:rFonts w:hint="default" w:ascii="Times New Roman" w:hAnsi="Times New Roman" w:cs="Times New Roman"/>
                <w:color w:val="0000FF"/>
                <w:sz w:val="15"/>
                <w:szCs w:val="22"/>
              </w:rPr>
              <w:t>4.5</w:t>
            </w:r>
          </w:p>
        </w:tc>
        <w:tc>
          <w:tcPr>
            <w:tcW w:w="275" w:type="pct"/>
            <w:tcBorders>
              <w:bottom w:val="double" w:color="auto" w:sz="4" w:space="0"/>
            </w:tcBorders>
            <w:shd w:val="clear" w:color="auto" w:fill="auto"/>
          </w:tcPr>
          <w:p w14:paraId="7DEE03E5">
            <w:pPr>
              <w:widowControl w:val="0"/>
              <w:jc w:val="center"/>
              <w:rPr>
                <w:rFonts w:hint="default" w:ascii="Times New Roman" w:hAnsi="Times New Roman" w:cs="Times New Roman"/>
                <w:color w:val="0000FF"/>
                <w:sz w:val="13"/>
                <w:szCs w:val="13"/>
              </w:rPr>
            </w:pPr>
            <w:r>
              <w:rPr>
                <w:rFonts w:hint="default" w:ascii="Times New Roman" w:hAnsi="Times New Roman" w:cs="Times New Roman"/>
                <w:color w:val="0000FF"/>
                <w:sz w:val="15"/>
                <w:szCs w:val="22"/>
              </w:rPr>
              <w:t>6.7</w:t>
            </w:r>
          </w:p>
        </w:tc>
        <w:tc>
          <w:tcPr>
            <w:tcW w:w="345" w:type="pct"/>
            <w:tcBorders>
              <w:bottom w:val="double" w:color="auto" w:sz="4" w:space="0"/>
            </w:tcBorders>
            <w:shd w:val="clear" w:color="auto" w:fill="auto"/>
          </w:tcPr>
          <w:p w14:paraId="40BC8583">
            <w:pPr>
              <w:widowControl w:val="0"/>
              <w:jc w:val="center"/>
              <w:rPr>
                <w:rFonts w:hint="default" w:ascii="Times New Roman" w:hAnsi="Times New Roman" w:cs="Times New Roman"/>
                <w:color w:val="0000FF"/>
                <w:sz w:val="13"/>
                <w:szCs w:val="13"/>
              </w:rPr>
            </w:pPr>
            <w:r>
              <w:rPr>
                <w:rFonts w:hint="default" w:ascii="Times New Roman" w:hAnsi="Times New Roman" w:cs="Times New Roman"/>
                <w:color w:val="0000FF"/>
                <w:sz w:val="15"/>
                <w:szCs w:val="22"/>
              </w:rPr>
              <w:t>6.5</w:t>
            </w:r>
          </w:p>
        </w:tc>
        <w:tc>
          <w:tcPr>
            <w:tcW w:w="275" w:type="pct"/>
            <w:tcBorders>
              <w:bottom w:val="double" w:color="auto" w:sz="4" w:space="0"/>
            </w:tcBorders>
            <w:shd w:val="clear" w:color="auto" w:fill="auto"/>
          </w:tcPr>
          <w:p w14:paraId="7FDBC7A4">
            <w:pPr>
              <w:widowControl w:val="0"/>
              <w:jc w:val="center"/>
              <w:rPr>
                <w:rFonts w:hint="default" w:ascii="Times New Roman" w:hAnsi="Times New Roman" w:cs="Times New Roman"/>
                <w:color w:val="0000FF"/>
                <w:sz w:val="13"/>
                <w:szCs w:val="13"/>
              </w:rPr>
            </w:pPr>
            <w:r>
              <w:rPr>
                <w:rFonts w:hint="default" w:ascii="Times New Roman" w:hAnsi="Times New Roman" w:cs="Times New Roman"/>
                <w:color w:val="0000FF"/>
                <w:sz w:val="15"/>
                <w:szCs w:val="22"/>
              </w:rPr>
              <w:t>4.5</w:t>
            </w:r>
          </w:p>
        </w:tc>
        <w:tc>
          <w:tcPr>
            <w:tcW w:w="322" w:type="pct"/>
            <w:tcBorders>
              <w:bottom w:val="double" w:color="auto" w:sz="4" w:space="0"/>
            </w:tcBorders>
            <w:shd w:val="clear" w:color="auto" w:fill="auto"/>
          </w:tcPr>
          <w:p w14:paraId="66D1BEA1">
            <w:pPr>
              <w:widowControl w:val="0"/>
              <w:jc w:val="center"/>
              <w:rPr>
                <w:rFonts w:hint="default" w:ascii="Times New Roman" w:hAnsi="Times New Roman" w:cs="Times New Roman"/>
                <w:color w:val="0000FF"/>
                <w:sz w:val="13"/>
                <w:szCs w:val="13"/>
              </w:rPr>
            </w:pPr>
            <w:r>
              <w:rPr>
                <w:rFonts w:hint="default" w:ascii="Times New Roman" w:hAnsi="Times New Roman" w:cs="Times New Roman"/>
                <w:color w:val="0000FF"/>
                <w:sz w:val="15"/>
                <w:szCs w:val="22"/>
              </w:rPr>
              <w:t>4.3</w:t>
            </w:r>
          </w:p>
        </w:tc>
        <w:tc>
          <w:tcPr>
            <w:tcW w:w="307" w:type="pct"/>
            <w:tcBorders>
              <w:bottom w:val="double" w:color="auto" w:sz="4" w:space="0"/>
              <w:right w:val="nil"/>
            </w:tcBorders>
            <w:shd w:val="clear" w:color="auto" w:fill="auto"/>
          </w:tcPr>
          <w:p w14:paraId="0E20CE63">
            <w:pPr>
              <w:widowControl w:val="0"/>
              <w:jc w:val="center"/>
              <w:rPr>
                <w:rFonts w:hint="default" w:ascii="Times New Roman" w:hAnsi="Times New Roman" w:cs="Times New Roman"/>
                <w:color w:val="0000FF"/>
                <w:sz w:val="13"/>
                <w:szCs w:val="13"/>
              </w:rPr>
            </w:pPr>
            <w:r>
              <w:rPr>
                <w:rFonts w:hint="default" w:ascii="Times New Roman" w:hAnsi="Times New Roman" w:cs="Times New Roman"/>
                <w:color w:val="0000FF"/>
                <w:sz w:val="15"/>
                <w:szCs w:val="22"/>
              </w:rPr>
              <w:t>1.4</w:t>
            </w:r>
          </w:p>
        </w:tc>
      </w:tr>
    </w:tbl>
    <w:p w14:paraId="3075DF07">
      <w:pPr>
        <w:jc w:val="center"/>
        <w:rPr>
          <w:rFonts w:hint="default" w:ascii="Times New Roman" w:hAnsi="Times New Roman" w:eastAsia="黑体" w:cs="Times New Roman"/>
          <w:color w:val="0000FF"/>
        </w:rPr>
      </w:pPr>
      <w:r>
        <w:rPr>
          <w:rFonts w:hint="default" w:ascii="Times New Roman" w:hAnsi="Times New Roman" w:eastAsia="黑体" w:cs="Times New Roman"/>
          <w:color w:val="0000FF"/>
        </w:rPr>
        <w:t>表</w:t>
      </w:r>
      <w:r>
        <w:rPr>
          <w:rFonts w:hint="eastAsia" w:ascii="Times New Roman" w:hAnsi="Times New Roman" w:eastAsia="黑体" w:cs="Times New Roman"/>
          <w:color w:val="0000FF"/>
          <w:lang w:val="en-US" w:eastAsia="zh-CN"/>
        </w:rPr>
        <w:t>5.1-8</w:t>
      </w:r>
      <w:r>
        <w:rPr>
          <w:rFonts w:hint="default" w:ascii="Times New Roman" w:hAnsi="Times New Roman" w:eastAsia="黑体" w:cs="Times New Roman"/>
          <w:color w:val="0000FF"/>
        </w:rPr>
        <w:t xml:space="preserve"> 本溪气象站【54346】近20年(2005-2024)月风向频率统计表</w:t>
      </w:r>
    </w:p>
    <w:tbl>
      <w:tblPr>
        <w:tblStyle w:val="57"/>
        <w:tblW w:w="4994" w:type="pct"/>
        <w:jc w:val="center"/>
        <w:tblBorders>
          <w:top w:val="double" w:color="auto" w:sz="4" w:space="0"/>
          <w:left w:val="none" w:color="auto" w:sz="0" w:space="0"/>
          <w:bottom w:val="double" w:color="auto" w:sz="4" w:space="0"/>
          <w:right w:val="none" w:color="auto" w:sz="0" w:space="0"/>
          <w:insideH w:val="single" w:color="auto" w:sz="4" w:space="0"/>
          <w:insideV w:val="single" w:color="auto" w:sz="4" w:space="0"/>
        </w:tblBorders>
        <w:shd w:val="clear" w:color="auto" w:fill="auto"/>
        <w:tblLayout w:type="autofit"/>
        <w:tblCellMar>
          <w:top w:w="0" w:type="dxa"/>
          <w:left w:w="108" w:type="dxa"/>
          <w:bottom w:w="0" w:type="dxa"/>
          <w:right w:w="108" w:type="dxa"/>
        </w:tblCellMar>
      </w:tblPr>
      <w:tblGrid>
        <w:gridCol w:w="487"/>
        <w:gridCol w:w="332"/>
        <w:gridCol w:w="546"/>
        <w:gridCol w:w="435"/>
        <w:gridCol w:w="538"/>
        <w:gridCol w:w="386"/>
        <w:gridCol w:w="512"/>
        <w:gridCol w:w="410"/>
        <w:gridCol w:w="495"/>
        <w:gridCol w:w="307"/>
        <w:gridCol w:w="546"/>
        <w:gridCol w:w="461"/>
        <w:gridCol w:w="616"/>
        <w:gridCol w:w="386"/>
        <w:gridCol w:w="640"/>
        <w:gridCol w:w="486"/>
        <w:gridCol w:w="597"/>
        <w:gridCol w:w="333"/>
      </w:tblGrid>
      <w:tr w14:paraId="19EA01B4">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 w:hRule="atLeast"/>
          <w:jc w:val="center"/>
        </w:trPr>
        <w:tc>
          <w:tcPr>
            <w:tcW w:w="286" w:type="pct"/>
            <w:tcBorders>
              <w:tl2br w:val="nil"/>
              <w:tr2bl w:val="nil"/>
            </w:tcBorders>
            <w:shd w:val="clear" w:color="auto" w:fill="auto"/>
            <w:vAlign w:val="center"/>
          </w:tcPr>
          <w:p w14:paraId="1F34545F">
            <w:pPr>
              <w:keepNext w:val="0"/>
              <w:keepLines w:val="0"/>
              <w:pageBreakBefore w:val="0"/>
              <w:widowControl/>
              <w:kinsoku/>
              <w:wordWrap/>
              <w:overflowPunct/>
              <w:topLinePunct w:val="0"/>
              <w:autoSpaceDE/>
              <w:autoSpaceDN/>
              <w:bidi w:val="0"/>
              <w:adjustRightInd w:val="0"/>
              <w:snapToGrid w:val="0"/>
              <w:spacing w:line="240" w:lineRule="auto"/>
              <w:jc w:val="right"/>
              <w:textAlignment w:val="auto"/>
              <w:rPr>
                <w:rFonts w:hint="default" w:ascii="Times New Roman" w:hAnsi="Times New Roman" w:cs="Times New Roman" w:eastAsiaTheme="minorEastAsia"/>
                <w:b w:val="0"/>
                <w:bCs/>
                <w:color w:val="0000FF"/>
                <w:sz w:val="13"/>
                <w:szCs w:val="13"/>
              </w:rPr>
            </w:pPr>
            <w:r>
              <w:rPr>
                <w:rFonts w:hint="default" w:ascii="Times New Roman" w:hAnsi="Times New Roman" w:cs="Times New Roman" w:eastAsiaTheme="minorEastAsia"/>
                <w:b w:val="0"/>
                <w:bCs/>
                <w:color w:val="0000FF"/>
                <w:sz w:val="13"/>
                <w:szCs w:val="13"/>
              </w:rPr>
              <w:t>频率</w:t>
            </w:r>
          </w:p>
          <w:p w14:paraId="32C383FE">
            <w:pPr>
              <w:keepNext w:val="0"/>
              <w:keepLines w:val="0"/>
              <w:pageBreakBefore w:val="0"/>
              <w:widowControl/>
              <w:kinsoku/>
              <w:wordWrap/>
              <w:overflowPunct/>
              <w:topLinePunct w:val="0"/>
              <w:autoSpaceDE/>
              <w:autoSpaceDN/>
              <w:bidi w:val="0"/>
              <w:adjustRightInd w:val="0"/>
              <w:snapToGrid w:val="0"/>
              <w:spacing w:line="240" w:lineRule="auto"/>
              <w:jc w:val="left"/>
              <w:textAlignment w:val="auto"/>
              <w:rPr>
                <w:rFonts w:hint="default" w:ascii="Times New Roman" w:hAnsi="Times New Roman" w:cs="Times New Roman" w:eastAsiaTheme="minorEastAsia"/>
                <w:b w:val="0"/>
                <w:bCs/>
                <w:color w:val="0000FF"/>
                <w:sz w:val="18"/>
                <w:szCs w:val="18"/>
              </w:rPr>
            </w:pPr>
            <w:r>
              <w:rPr>
                <w:rFonts w:hint="default" w:ascii="Times New Roman" w:hAnsi="Times New Roman" w:cs="Times New Roman" w:eastAsiaTheme="minorEastAsia"/>
                <w:b w:val="0"/>
                <w:bCs/>
                <w:color w:val="0000FF"/>
                <w:sz w:val="13"/>
                <w:szCs w:val="13"/>
              </w:rPr>
              <w:t>月份</w:t>
            </w:r>
          </w:p>
        </w:tc>
        <w:tc>
          <w:tcPr>
            <w:tcW w:w="195" w:type="pct"/>
            <w:tcBorders>
              <w:tl2br w:val="nil"/>
              <w:tr2bl w:val="nil"/>
            </w:tcBorders>
            <w:shd w:val="clear" w:color="auto" w:fill="auto"/>
            <w:vAlign w:val="center"/>
          </w:tcPr>
          <w:p w14:paraId="3408E663">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eastAsiaTheme="minorEastAsia"/>
                <w:b/>
                <w:color w:val="0000FF"/>
                <w:sz w:val="15"/>
                <w:szCs w:val="15"/>
              </w:rPr>
            </w:pPr>
            <w:r>
              <w:rPr>
                <w:rFonts w:hint="default" w:ascii="Times New Roman" w:hAnsi="Times New Roman" w:cs="Times New Roman" w:eastAsiaTheme="minorEastAsia"/>
                <w:b/>
                <w:color w:val="0000FF"/>
                <w:sz w:val="15"/>
                <w:szCs w:val="15"/>
              </w:rPr>
              <w:t>N</w:t>
            </w:r>
          </w:p>
        </w:tc>
        <w:tc>
          <w:tcPr>
            <w:tcW w:w="320" w:type="pct"/>
            <w:tcBorders>
              <w:tl2br w:val="nil"/>
              <w:tr2bl w:val="nil"/>
            </w:tcBorders>
            <w:shd w:val="clear" w:color="auto" w:fill="auto"/>
            <w:vAlign w:val="center"/>
          </w:tcPr>
          <w:p w14:paraId="00940A03">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eastAsiaTheme="minorEastAsia"/>
                <w:b/>
                <w:color w:val="0000FF"/>
                <w:sz w:val="15"/>
                <w:szCs w:val="15"/>
              </w:rPr>
            </w:pPr>
            <w:r>
              <w:rPr>
                <w:rFonts w:hint="default" w:ascii="Times New Roman" w:hAnsi="Times New Roman" w:cs="Times New Roman" w:eastAsiaTheme="minorEastAsia"/>
                <w:b/>
                <w:color w:val="0000FF"/>
                <w:sz w:val="15"/>
                <w:szCs w:val="15"/>
              </w:rPr>
              <w:t>NNE</w:t>
            </w:r>
          </w:p>
        </w:tc>
        <w:tc>
          <w:tcPr>
            <w:tcW w:w="255" w:type="pct"/>
            <w:tcBorders>
              <w:tl2br w:val="nil"/>
              <w:tr2bl w:val="nil"/>
            </w:tcBorders>
            <w:shd w:val="clear" w:color="auto" w:fill="auto"/>
            <w:vAlign w:val="center"/>
          </w:tcPr>
          <w:p w14:paraId="7EBAB646">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eastAsiaTheme="minorEastAsia"/>
                <w:b/>
                <w:color w:val="0000FF"/>
                <w:sz w:val="15"/>
                <w:szCs w:val="15"/>
              </w:rPr>
            </w:pPr>
            <w:r>
              <w:rPr>
                <w:rFonts w:hint="default" w:ascii="Times New Roman" w:hAnsi="Times New Roman" w:cs="Times New Roman" w:eastAsiaTheme="minorEastAsia"/>
                <w:b/>
                <w:color w:val="0000FF"/>
                <w:sz w:val="15"/>
                <w:szCs w:val="15"/>
              </w:rPr>
              <w:t>NE</w:t>
            </w:r>
          </w:p>
        </w:tc>
        <w:tc>
          <w:tcPr>
            <w:tcW w:w="315" w:type="pct"/>
            <w:tcBorders>
              <w:tl2br w:val="nil"/>
              <w:tr2bl w:val="nil"/>
            </w:tcBorders>
            <w:shd w:val="clear" w:color="auto" w:fill="auto"/>
            <w:vAlign w:val="center"/>
          </w:tcPr>
          <w:p w14:paraId="76A87EDE">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eastAsiaTheme="minorEastAsia"/>
                <w:b/>
                <w:color w:val="0000FF"/>
                <w:sz w:val="15"/>
                <w:szCs w:val="15"/>
              </w:rPr>
            </w:pPr>
            <w:r>
              <w:rPr>
                <w:rFonts w:hint="default" w:ascii="Times New Roman" w:hAnsi="Times New Roman" w:cs="Times New Roman" w:eastAsiaTheme="minorEastAsia"/>
                <w:b/>
                <w:color w:val="0000FF"/>
                <w:sz w:val="15"/>
                <w:szCs w:val="15"/>
              </w:rPr>
              <w:t>ENE</w:t>
            </w:r>
          </w:p>
        </w:tc>
        <w:tc>
          <w:tcPr>
            <w:tcW w:w="226" w:type="pct"/>
            <w:tcBorders>
              <w:tl2br w:val="nil"/>
              <w:tr2bl w:val="nil"/>
            </w:tcBorders>
            <w:shd w:val="clear" w:color="auto" w:fill="auto"/>
            <w:vAlign w:val="center"/>
          </w:tcPr>
          <w:p w14:paraId="288F3C43">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eastAsiaTheme="minorEastAsia"/>
                <w:b/>
                <w:color w:val="0000FF"/>
                <w:sz w:val="15"/>
                <w:szCs w:val="15"/>
              </w:rPr>
            </w:pPr>
            <w:r>
              <w:rPr>
                <w:rFonts w:hint="default" w:ascii="Times New Roman" w:hAnsi="Times New Roman" w:cs="Times New Roman" w:eastAsiaTheme="minorEastAsia"/>
                <w:b/>
                <w:color w:val="0000FF"/>
                <w:sz w:val="15"/>
                <w:szCs w:val="15"/>
              </w:rPr>
              <w:t>E</w:t>
            </w:r>
          </w:p>
        </w:tc>
        <w:tc>
          <w:tcPr>
            <w:tcW w:w="300" w:type="pct"/>
            <w:tcBorders>
              <w:tl2br w:val="nil"/>
              <w:tr2bl w:val="nil"/>
            </w:tcBorders>
            <w:shd w:val="clear" w:color="auto" w:fill="auto"/>
            <w:vAlign w:val="center"/>
          </w:tcPr>
          <w:p w14:paraId="10907054">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eastAsiaTheme="minorEastAsia"/>
                <w:b/>
                <w:color w:val="0000FF"/>
                <w:sz w:val="15"/>
                <w:szCs w:val="15"/>
              </w:rPr>
            </w:pPr>
            <w:r>
              <w:rPr>
                <w:rFonts w:hint="default" w:ascii="Times New Roman" w:hAnsi="Times New Roman" w:cs="Times New Roman" w:eastAsiaTheme="minorEastAsia"/>
                <w:b/>
                <w:color w:val="0000FF"/>
                <w:sz w:val="15"/>
                <w:szCs w:val="15"/>
              </w:rPr>
              <w:t>ESE</w:t>
            </w:r>
          </w:p>
        </w:tc>
        <w:tc>
          <w:tcPr>
            <w:tcW w:w="240" w:type="pct"/>
            <w:tcBorders>
              <w:tl2br w:val="nil"/>
              <w:tr2bl w:val="nil"/>
            </w:tcBorders>
            <w:shd w:val="clear" w:color="auto" w:fill="auto"/>
            <w:vAlign w:val="center"/>
          </w:tcPr>
          <w:p w14:paraId="72A48663">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eastAsiaTheme="minorEastAsia"/>
                <w:b/>
                <w:color w:val="0000FF"/>
                <w:sz w:val="15"/>
                <w:szCs w:val="15"/>
              </w:rPr>
            </w:pPr>
            <w:r>
              <w:rPr>
                <w:rFonts w:hint="default" w:ascii="Times New Roman" w:hAnsi="Times New Roman" w:cs="Times New Roman" w:eastAsiaTheme="minorEastAsia"/>
                <w:b/>
                <w:color w:val="0000FF"/>
                <w:sz w:val="15"/>
                <w:szCs w:val="15"/>
              </w:rPr>
              <w:t>SE</w:t>
            </w:r>
          </w:p>
        </w:tc>
        <w:tc>
          <w:tcPr>
            <w:tcW w:w="290" w:type="pct"/>
            <w:tcBorders>
              <w:tl2br w:val="nil"/>
              <w:tr2bl w:val="nil"/>
            </w:tcBorders>
            <w:shd w:val="clear" w:color="auto" w:fill="auto"/>
            <w:vAlign w:val="center"/>
          </w:tcPr>
          <w:p w14:paraId="0BC0883C">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eastAsiaTheme="minorEastAsia"/>
                <w:b/>
                <w:color w:val="0000FF"/>
                <w:sz w:val="15"/>
                <w:szCs w:val="15"/>
              </w:rPr>
            </w:pPr>
            <w:r>
              <w:rPr>
                <w:rFonts w:hint="default" w:ascii="Times New Roman" w:hAnsi="Times New Roman" w:cs="Times New Roman" w:eastAsiaTheme="minorEastAsia"/>
                <w:b/>
                <w:color w:val="0000FF"/>
                <w:sz w:val="15"/>
                <w:szCs w:val="15"/>
              </w:rPr>
              <w:t>SSE</w:t>
            </w:r>
          </w:p>
        </w:tc>
        <w:tc>
          <w:tcPr>
            <w:tcW w:w="180" w:type="pct"/>
            <w:tcBorders>
              <w:tl2br w:val="nil"/>
              <w:tr2bl w:val="nil"/>
            </w:tcBorders>
            <w:shd w:val="clear" w:color="auto" w:fill="auto"/>
            <w:vAlign w:val="center"/>
          </w:tcPr>
          <w:p w14:paraId="2B797E11">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eastAsiaTheme="minorEastAsia"/>
                <w:b/>
                <w:color w:val="0000FF"/>
                <w:sz w:val="15"/>
                <w:szCs w:val="15"/>
              </w:rPr>
            </w:pPr>
            <w:r>
              <w:rPr>
                <w:rFonts w:hint="default" w:ascii="Times New Roman" w:hAnsi="Times New Roman" w:cs="Times New Roman" w:eastAsiaTheme="minorEastAsia"/>
                <w:b/>
                <w:color w:val="0000FF"/>
                <w:sz w:val="15"/>
                <w:szCs w:val="15"/>
              </w:rPr>
              <w:t>S</w:t>
            </w:r>
          </w:p>
        </w:tc>
        <w:tc>
          <w:tcPr>
            <w:tcW w:w="320" w:type="pct"/>
            <w:tcBorders>
              <w:tl2br w:val="nil"/>
              <w:tr2bl w:val="nil"/>
            </w:tcBorders>
            <w:shd w:val="clear" w:color="auto" w:fill="auto"/>
            <w:vAlign w:val="center"/>
          </w:tcPr>
          <w:p w14:paraId="39CA010E">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eastAsiaTheme="minorEastAsia"/>
                <w:b/>
                <w:color w:val="0000FF"/>
                <w:sz w:val="15"/>
                <w:szCs w:val="15"/>
              </w:rPr>
            </w:pPr>
            <w:r>
              <w:rPr>
                <w:rFonts w:hint="default" w:ascii="Times New Roman" w:hAnsi="Times New Roman" w:cs="Times New Roman" w:eastAsiaTheme="minorEastAsia"/>
                <w:b/>
                <w:color w:val="0000FF"/>
                <w:sz w:val="15"/>
                <w:szCs w:val="15"/>
              </w:rPr>
              <w:t>SSW</w:t>
            </w:r>
          </w:p>
        </w:tc>
        <w:tc>
          <w:tcPr>
            <w:tcW w:w="270" w:type="pct"/>
            <w:tcBorders>
              <w:tl2br w:val="nil"/>
              <w:tr2bl w:val="nil"/>
            </w:tcBorders>
            <w:shd w:val="clear" w:color="auto" w:fill="auto"/>
            <w:vAlign w:val="center"/>
          </w:tcPr>
          <w:p w14:paraId="333E7211">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eastAsiaTheme="minorEastAsia"/>
                <w:b/>
                <w:color w:val="0000FF"/>
                <w:sz w:val="15"/>
                <w:szCs w:val="15"/>
              </w:rPr>
            </w:pPr>
            <w:r>
              <w:rPr>
                <w:rFonts w:hint="default" w:ascii="Times New Roman" w:hAnsi="Times New Roman" w:cs="Times New Roman" w:eastAsiaTheme="minorEastAsia"/>
                <w:b/>
                <w:color w:val="0000FF"/>
                <w:sz w:val="15"/>
                <w:szCs w:val="15"/>
              </w:rPr>
              <w:t>SW</w:t>
            </w:r>
          </w:p>
        </w:tc>
        <w:tc>
          <w:tcPr>
            <w:tcW w:w="361" w:type="pct"/>
            <w:tcBorders>
              <w:tl2br w:val="nil"/>
              <w:tr2bl w:val="nil"/>
            </w:tcBorders>
            <w:shd w:val="clear" w:color="auto" w:fill="auto"/>
            <w:vAlign w:val="center"/>
          </w:tcPr>
          <w:p w14:paraId="1D456F94">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eastAsiaTheme="minorEastAsia"/>
                <w:b/>
                <w:color w:val="0000FF"/>
                <w:sz w:val="15"/>
                <w:szCs w:val="15"/>
              </w:rPr>
            </w:pPr>
            <w:r>
              <w:rPr>
                <w:rFonts w:hint="default" w:ascii="Times New Roman" w:hAnsi="Times New Roman" w:cs="Times New Roman" w:eastAsiaTheme="minorEastAsia"/>
                <w:b/>
                <w:color w:val="0000FF"/>
                <w:sz w:val="15"/>
                <w:szCs w:val="15"/>
              </w:rPr>
              <w:t>WSW</w:t>
            </w:r>
          </w:p>
        </w:tc>
        <w:tc>
          <w:tcPr>
            <w:tcW w:w="226" w:type="pct"/>
            <w:tcBorders>
              <w:tl2br w:val="nil"/>
              <w:tr2bl w:val="nil"/>
            </w:tcBorders>
            <w:shd w:val="clear" w:color="auto" w:fill="auto"/>
            <w:vAlign w:val="center"/>
          </w:tcPr>
          <w:p w14:paraId="147A0BB8">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eastAsiaTheme="minorEastAsia"/>
                <w:b/>
                <w:color w:val="0000FF"/>
                <w:sz w:val="15"/>
                <w:szCs w:val="15"/>
              </w:rPr>
            </w:pPr>
            <w:r>
              <w:rPr>
                <w:rFonts w:hint="default" w:ascii="Times New Roman" w:hAnsi="Times New Roman" w:cs="Times New Roman" w:eastAsiaTheme="minorEastAsia"/>
                <w:b/>
                <w:color w:val="0000FF"/>
                <w:sz w:val="15"/>
                <w:szCs w:val="15"/>
              </w:rPr>
              <w:t>W</w:t>
            </w:r>
          </w:p>
        </w:tc>
        <w:tc>
          <w:tcPr>
            <w:tcW w:w="375" w:type="pct"/>
            <w:tcBorders>
              <w:tl2br w:val="nil"/>
              <w:tr2bl w:val="nil"/>
            </w:tcBorders>
            <w:shd w:val="clear" w:color="auto" w:fill="auto"/>
            <w:vAlign w:val="center"/>
          </w:tcPr>
          <w:p w14:paraId="646E7D56">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eastAsiaTheme="minorEastAsia"/>
                <w:b/>
                <w:color w:val="0000FF"/>
                <w:sz w:val="15"/>
                <w:szCs w:val="15"/>
              </w:rPr>
            </w:pPr>
            <w:r>
              <w:rPr>
                <w:rFonts w:hint="default" w:ascii="Times New Roman" w:hAnsi="Times New Roman" w:cs="Times New Roman" w:eastAsiaTheme="minorEastAsia"/>
                <w:b/>
                <w:color w:val="0000FF"/>
                <w:sz w:val="15"/>
                <w:szCs w:val="15"/>
              </w:rPr>
              <w:t>WNW</w:t>
            </w:r>
          </w:p>
        </w:tc>
        <w:tc>
          <w:tcPr>
            <w:tcW w:w="285" w:type="pct"/>
            <w:tcBorders>
              <w:tl2br w:val="nil"/>
              <w:tr2bl w:val="nil"/>
            </w:tcBorders>
            <w:shd w:val="clear" w:color="auto" w:fill="auto"/>
            <w:vAlign w:val="center"/>
          </w:tcPr>
          <w:p w14:paraId="71B52B58">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eastAsiaTheme="minorEastAsia"/>
                <w:b/>
                <w:color w:val="0000FF"/>
                <w:sz w:val="15"/>
                <w:szCs w:val="15"/>
              </w:rPr>
            </w:pPr>
            <w:r>
              <w:rPr>
                <w:rFonts w:hint="default" w:ascii="Times New Roman" w:hAnsi="Times New Roman" w:cs="Times New Roman" w:eastAsiaTheme="minorEastAsia"/>
                <w:b/>
                <w:color w:val="0000FF"/>
                <w:sz w:val="15"/>
                <w:szCs w:val="15"/>
              </w:rPr>
              <w:t>NW</w:t>
            </w:r>
          </w:p>
        </w:tc>
        <w:tc>
          <w:tcPr>
            <w:tcW w:w="350" w:type="pct"/>
            <w:tcBorders>
              <w:tl2br w:val="nil"/>
              <w:tr2bl w:val="nil"/>
            </w:tcBorders>
            <w:shd w:val="clear" w:color="auto" w:fill="auto"/>
            <w:vAlign w:val="center"/>
          </w:tcPr>
          <w:p w14:paraId="18005984">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eastAsiaTheme="minorEastAsia"/>
                <w:b/>
                <w:color w:val="0000FF"/>
                <w:sz w:val="15"/>
                <w:szCs w:val="15"/>
              </w:rPr>
            </w:pPr>
            <w:r>
              <w:rPr>
                <w:rFonts w:hint="default" w:ascii="Times New Roman" w:hAnsi="Times New Roman" w:cs="Times New Roman" w:eastAsiaTheme="minorEastAsia"/>
                <w:b/>
                <w:color w:val="0000FF"/>
                <w:sz w:val="15"/>
                <w:szCs w:val="15"/>
              </w:rPr>
              <w:t>NNW</w:t>
            </w:r>
          </w:p>
        </w:tc>
        <w:tc>
          <w:tcPr>
            <w:tcW w:w="195" w:type="pct"/>
            <w:tcBorders>
              <w:tl2br w:val="nil"/>
              <w:tr2bl w:val="nil"/>
            </w:tcBorders>
            <w:shd w:val="clear" w:color="auto" w:fill="auto"/>
            <w:vAlign w:val="center"/>
          </w:tcPr>
          <w:p w14:paraId="6F4B32BA">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eastAsiaTheme="minorEastAsia"/>
                <w:b/>
                <w:color w:val="0000FF"/>
                <w:sz w:val="15"/>
                <w:szCs w:val="15"/>
              </w:rPr>
            </w:pPr>
            <w:r>
              <w:rPr>
                <w:rFonts w:hint="default" w:ascii="Times New Roman" w:hAnsi="Times New Roman" w:cs="Times New Roman" w:eastAsiaTheme="minorEastAsia"/>
                <w:b/>
                <w:color w:val="0000FF"/>
                <w:sz w:val="15"/>
                <w:szCs w:val="15"/>
              </w:rPr>
              <w:t>C</w:t>
            </w:r>
          </w:p>
        </w:tc>
      </w:tr>
      <w:tr w14:paraId="0129DE62">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 w:hRule="atLeast"/>
          <w:jc w:val="center"/>
        </w:trPr>
        <w:tc>
          <w:tcPr>
            <w:tcW w:w="286" w:type="pct"/>
            <w:tcBorders>
              <w:tl2br w:val="nil"/>
              <w:tr2bl w:val="nil"/>
            </w:tcBorders>
            <w:shd w:val="clear" w:color="auto" w:fill="auto"/>
            <w:vAlign w:val="center"/>
          </w:tcPr>
          <w:p w14:paraId="02ABA263">
            <w:pPr>
              <w:keepNext w:val="0"/>
              <w:keepLines w:val="0"/>
              <w:pageBreakBefore w:val="0"/>
              <w:widowControl/>
              <w:kinsoku/>
              <w:wordWrap/>
              <w:overflowPunct/>
              <w:topLinePunct w:val="0"/>
              <w:autoSpaceDE/>
              <w:autoSpaceDN/>
              <w:bidi w:val="0"/>
              <w:snapToGrid w:val="0"/>
              <w:spacing w:line="240" w:lineRule="auto"/>
              <w:jc w:val="center"/>
              <w:textAlignment w:val="auto"/>
              <w:rPr>
                <w:rFonts w:hint="default" w:ascii="Times New Roman" w:hAnsi="Times New Roman" w:cs="Times New Roman" w:eastAsiaTheme="minorEastAsia"/>
                <w:b w:val="0"/>
                <w:bCs/>
                <w:color w:val="0000FF"/>
                <w:sz w:val="18"/>
                <w:szCs w:val="18"/>
              </w:rPr>
            </w:pPr>
            <w:r>
              <w:rPr>
                <w:rFonts w:hint="default" w:ascii="Times New Roman" w:hAnsi="Times New Roman" w:cs="Times New Roman" w:eastAsiaTheme="minorEastAsia"/>
                <w:b w:val="0"/>
                <w:bCs/>
                <w:color w:val="0000FF"/>
                <w:sz w:val="18"/>
                <w:szCs w:val="18"/>
              </w:rPr>
              <w:t>1</w:t>
            </w:r>
          </w:p>
        </w:tc>
        <w:tc>
          <w:tcPr>
            <w:tcW w:w="195" w:type="pct"/>
            <w:tcBorders>
              <w:tl2br w:val="nil"/>
              <w:tr2bl w:val="nil"/>
            </w:tcBorders>
            <w:shd w:val="clear" w:color="auto" w:fill="auto"/>
            <w:vAlign w:val="center"/>
          </w:tcPr>
          <w:p w14:paraId="54DA8438">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eastAsiaTheme="minorEastAsia"/>
                <w:color w:val="0000FF"/>
                <w:sz w:val="18"/>
                <w:szCs w:val="18"/>
              </w:rPr>
            </w:pPr>
            <w:r>
              <w:rPr>
                <w:rFonts w:hint="default" w:ascii="Times New Roman" w:hAnsi="Times New Roman" w:cs="Times New Roman"/>
                <w:color w:val="0000FF"/>
                <w:sz w:val="16"/>
              </w:rPr>
              <w:t>5</w:t>
            </w:r>
          </w:p>
        </w:tc>
        <w:tc>
          <w:tcPr>
            <w:tcW w:w="320" w:type="pct"/>
            <w:tcBorders>
              <w:tl2br w:val="nil"/>
              <w:tr2bl w:val="nil"/>
            </w:tcBorders>
            <w:shd w:val="clear" w:color="auto" w:fill="auto"/>
            <w:vAlign w:val="center"/>
          </w:tcPr>
          <w:p w14:paraId="582E3254">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eastAsiaTheme="minorEastAsia"/>
                <w:color w:val="0000FF"/>
                <w:sz w:val="18"/>
                <w:szCs w:val="18"/>
              </w:rPr>
            </w:pPr>
            <w:r>
              <w:rPr>
                <w:rFonts w:hint="default" w:ascii="Times New Roman" w:hAnsi="Times New Roman" w:cs="Times New Roman"/>
                <w:color w:val="0000FF"/>
                <w:sz w:val="16"/>
              </w:rPr>
              <w:t>3</w:t>
            </w:r>
          </w:p>
        </w:tc>
        <w:tc>
          <w:tcPr>
            <w:tcW w:w="255" w:type="pct"/>
            <w:tcBorders>
              <w:tl2br w:val="nil"/>
              <w:tr2bl w:val="nil"/>
            </w:tcBorders>
            <w:shd w:val="clear" w:color="auto" w:fill="auto"/>
            <w:vAlign w:val="center"/>
          </w:tcPr>
          <w:p w14:paraId="63EFBF7D">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eastAsiaTheme="minorEastAsia"/>
                <w:color w:val="0000FF"/>
                <w:sz w:val="18"/>
                <w:szCs w:val="18"/>
              </w:rPr>
            </w:pPr>
            <w:r>
              <w:rPr>
                <w:rFonts w:hint="default" w:ascii="Times New Roman" w:hAnsi="Times New Roman" w:cs="Times New Roman"/>
                <w:color w:val="0000FF"/>
                <w:sz w:val="16"/>
              </w:rPr>
              <w:t>2</w:t>
            </w:r>
          </w:p>
        </w:tc>
        <w:tc>
          <w:tcPr>
            <w:tcW w:w="315" w:type="pct"/>
            <w:tcBorders>
              <w:tl2br w:val="nil"/>
              <w:tr2bl w:val="nil"/>
            </w:tcBorders>
            <w:shd w:val="clear" w:color="auto" w:fill="auto"/>
            <w:vAlign w:val="center"/>
          </w:tcPr>
          <w:p w14:paraId="6F3154E8">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eastAsiaTheme="minorEastAsia"/>
                <w:color w:val="0000FF"/>
                <w:sz w:val="18"/>
                <w:szCs w:val="18"/>
              </w:rPr>
            </w:pPr>
            <w:r>
              <w:rPr>
                <w:rFonts w:hint="default" w:ascii="Times New Roman" w:hAnsi="Times New Roman" w:cs="Times New Roman"/>
                <w:color w:val="0000FF"/>
                <w:sz w:val="16"/>
              </w:rPr>
              <w:t>5</w:t>
            </w:r>
          </w:p>
        </w:tc>
        <w:tc>
          <w:tcPr>
            <w:tcW w:w="226" w:type="pct"/>
            <w:tcBorders>
              <w:tl2br w:val="nil"/>
              <w:tr2bl w:val="nil"/>
            </w:tcBorders>
            <w:shd w:val="clear" w:color="auto" w:fill="auto"/>
            <w:vAlign w:val="center"/>
          </w:tcPr>
          <w:p w14:paraId="08B745A4">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eastAsiaTheme="minorEastAsia"/>
                <w:color w:val="0000FF"/>
                <w:sz w:val="18"/>
                <w:szCs w:val="18"/>
              </w:rPr>
            </w:pPr>
            <w:r>
              <w:rPr>
                <w:rFonts w:hint="default" w:ascii="Times New Roman" w:hAnsi="Times New Roman" w:cs="Times New Roman"/>
                <w:color w:val="0000FF"/>
                <w:sz w:val="16"/>
              </w:rPr>
              <w:t>24</w:t>
            </w:r>
          </w:p>
        </w:tc>
        <w:tc>
          <w:tcPr>
            <w:tcW w:w="300" w:type="pct"/>
            <w:tcBorders>
              <w:tl2br w:val="nil"/>
              <w:tr2bl w:val="nil"/>
            </w:tcBorders>
            <w:shd w:val="clear" w:color="auto" w:fill="auto"/>
            <w:vAlign w:val="center"/>
          </w:tcPr>
          <w:p w14:paraId="7AFB3DFC">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eastAsiaTheme="minorEastAsia"/>
                <w:color w:val="0000FF"/>
                <w:sz w:val="18"/>
                <w:szCs w:val="18"/>
              </w:rPr>
            </w:pPr>
            <w:r>
              <w:rPr>
                <w:rFonts w:hint="default" w:ascii="Times New Roman" w:hAnsi="Times New Roman" w:cs="Times New Roman"/>
                <w:color w:val="0000FF"/>
                <w:sz w:val="16"/>
              </w:rPr>
              <w:t>23</w:t>
            </w:r>
          </w:p>
        </w:tc>
        <w:tc>
          <w:tcPr>
            <w:tcW w:w="240" w:type="pct"/>
            <w:tcBorders>
              <w:tl2br w:val="nil"/>
              <w:tr2bl w:val="nil"/>
            </w:tcBorders>
            <w:shd w:val="clear" w:color="auto" w:fill="auto"/>
            <w:vAlign w:val="center"/>
          </w:tcPr>
          <w:p w14:paraId="0D6E5FF0">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eastAsiaTheme="minorEastAsia"/>
                <w:color w:val="0000FF"/>
                <w:sz w:val="18"/>
                <w:szCs w:val="18"/>
              </w:rPr>
            </w:pPr>
            <w:r>
              <w:rPr>
                <w:rFonts w:hint="default" w:ascii="Times New Roman" w:hAnsi="Times New Roman" w:cs="Times New Roman"/>
                <w:color w:val="0000FF"/>
                <w:sz w:val="16"/>
              </w:rPr>
              <w:t>1</w:t>
            </w:r>
          </w:p>
        </w:tc>
        <w:tc>
          <w:tcPr>
            <w:tcW w:w="290" w:type="pct"/>
            <w:tcBorders>
              <w:tl2br w:val="nil"/>
              <w:tr2bl w:val="nil"/>
            </w:tcBorders>
            <w:shd w:val="clear" w:color="auto" w:fill="auto"/>
            <w:vAlign w:val="center"/>
          </w:tcPr>
          <w:p w14:paraId="59EB68FC">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eastAsiaTheme="minorEastAsia"/>
                <w:color w:val="0000FF"/>
                <w:sz w:val="18"/>
                <w:szCs w:val="18"/>
              </w:rPr>
            </w:pPr>
            <w:r>
              <w:rPr>
                <w:rFonts w:hint="default" w:ascii="Times New Roman" w:hAnsi="Times New Roman" w:cs="Times New Roman"/>
                <w:color w:val="0000FF"/>
                <w:sz w:val="16"/>
              </w:rPr>
              <w:t>1</w:t>
            </w:r>
          </w:p>
        </w:tc>
        <w:tc>
          <w:tcPr>
            <w:tcW w:w="180" w:type="pct"/>
            <w:tcBorders>
              <w:tl2br w:val="nil"/>
              <w:tr2bl w:val="nil"/>
            </w:tcBorders>
            <w:shd w:val="clear" w:color="auto" w:fill="auto"/>
            <w:vAlign w:val="center"/>
          </w:tcPr>
          <w:p w14:paraId="3D746322">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eastAsiaTheme="minorEastAsia"/>
                <w:color w:val="0000FF"/>
                <w:sz w:val="18"/>
                <w:szCs w:val="18"/>
              </w:rPr>
            </w:pPr>
            <w:r>
              <w:rPr>
                <w:rFonts w:hint="default" w:ascii="Times New Roman" w:hAnsi="Times New Roman" w:cs="Times New Roman"/>
                <w:color w:val="0000FF"/>
                <w:sz w:val="16"/>
              </w:rPr>
              <w:t>2</w:t>
            </w:r>
          </w:p>
        </w:tc>
        <w:tc>
          <w:tcPr>
            <w:tcW w:w="320" w:type="pct"/>
            <w:tcBorders>
              <w:tl2br w:val="nil"/>
              <w:tr2bl w:val="nil"/>
            </w:tcBorders>
            <w:shd w:val="clear" w:color="auto" w:fill="auto"/>
            <w:vAlign w:val="center"/>
          </w:tcPr>
          <w:p w14:paraId="09DDF613">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eastAsiaTheme="minorEastAsia"/>
                <w:color w:val="0000FF"/>
                <w:sz w:val="18"/>
                <w:szCs w:val="18"/>
              </w:rPr>
            </w:pPr>
            <w:r>
              <w:rPr>
                <w:rFonts w:hint="default" w:ascii="Times New Roman" w:hAnsi="Times New Roman" w:cs="Times New Roman"/>
                <w:color w:val="0000FF"/>
                <w:sz w:val="16"/>
              </w:rPr>
              <w:t>5</w:t>
            </w:r>
          </w:p>
        </w:tc>
        <w:tc>
          <w:tcPr>
            <w:tcW w:w="270" w:type="pct"/>
            <w:tcBorders>
              <w:tl2br w:val="nil"/>
              <w:tr2bl w:val="nil"/>
            </w:tcBorders>
            <w:shd w:val="clear" w:color="auto" w:fill="auto"/>
            <w:vAlign w:val="center"/>
          </w:tcPr>
          <w:p w14:paraId="19E314A5">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eastAsiaTheme="minorEastAsia"/>
                <w:color w:val="0000FF"/>
                <w:sz w:val="18"/>
                <w:szCs w:val="18"/>
              </w:rPr>
            </w:pPr>
            <w:r>
              <w:rPr>
                <w:rFonts w:hint="default" w:ascii="Times New Roman" w:hAnsi="Times New Roman" w:cs="Times New Roman"/>
                <w:color w:val="0000FF"/>
                <w:sz w:val="16"/>
              </w:rPr>
              <w:t>3</w:t>
            </w:r>
          </w:p>
        </w:tc>
        <w:tc>
          <w:tcPr>
            <w:tcW w:w="361" w:type="pct"/>
            <w:tcBorders>
              <w:tl2br w:val="nil"/>
              <w:tr2bl w:val="nil"/>
            </w:tcBorders>
            <w:shd w:val="clear" w:color="auto" w:fill="auto"/>
            <w:vAlign w:val="center"/>
          </w:tcPr>
          <w:p w14:paraId="768806D5">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eastAsiaTheme="minorEastAsia"/>
                <w:color w:val="0000FF"/>
                <w:sz w:val="18"/>
                <w:szCs w:val="18"/>
              </w:rPr>
            </w:pPr>
            <w:r>
              <w:rPr>
                <w:rFonts w:hint="default" w:ascii="Times New Roman" w:hAnsi="Times New Roman" w:cs="Times New Roman"/>
                <w:color w:val="0000FF"/>
                <w:sz w:val="16"/>
              </w:rPr>
              <w:t>3</w:t>
            </w:r>
          </w:p>
        </w:tc>
        <w:tc>
          <w:tcPr>
            <w:tcW w:w="226" w:type="pct"/>
            <w:tcBorders>
              <w:tl2br w:val="nil"/>
              <w:tr2bl w:val="nil"/>
            </w:tcBorders>
            <w:shd w:val="clear" w:color="auto" w:fill="auto"/>
            <w:vAlign w:val="center"/>
          </w:tcPr>
          <w:p w14:paraId="59EB453A">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eastAsiaTheme="minorEastAsia"/>
                <w:color w:val="0000FF"/>
                <w:sz w:val="18"/>
                <w:szCs w:val="18"/>
              </w:rPr>
            </w:pPr>
            <w:r>
              <w:rPr>
                <w:rFonts w:hint="default" w:ascii="Times New Roman" w:hAnsi="Times New Roman" w:cs="Times New Roman"/>
                <w:color w:val="0000FF"/>
                <w:sz w:val="16"/>
              </w:rPr>
              <w:t>5</w:t>
            </w:r>
          </w:p>
        </w:tc>
        <w:tc>
          <w:tcPr>
            <w:tcW w:w="375" w:type="pct"/>
            <w:tcBorders>
              <w:tl2br w:val="nil"/>
              <w:tr2bl w:val="nil"/>
            </w:tcBorders>
            <w:shd w:val="clear" w:color="auto" w:fill="auto"/>
            <w:vAlign w:val="center"/>
          </w:tcPr>
          <w:p w14:paraId="35850173">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eastAsiaTheme="minorEastAsia"/>
                <w:color w:val="0000FF"/>
                <w:sz w:val="18"/>
                <w:szCs w:val="18"/>
              </w:rPr>
            </w:pPr>
            <w:r>
              <w:rPr>
                <w:rFonts w:hint="default" w:ascii="Times New Roman" w:hAnsi="Times New Roman" w:cs="Times New Roman"/>
                <w:color w:val="0000FF"/>
                <w:sz w:val="16"/>
              </w:rPr>
              <w:t>6</w:t>
            </w:r>
          </w:p>
        </w:tc>
        <w:tc>
          <w:tcPr>
            <w:tcW w:w="285" w:type="pct"/>
            <w:tcBorders>
              <w:tl2br w:val="nil"/>
              <w:tr2bl w:val="nil"/>
            </w:tcBorders>
            <w:shd w:val="clear" w:color="auto" w:fill="auto"/>
            <w:vAlign w:val="center"/>
          </w:tcPr>
          <w:p w14:paraId="4064C3C2">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eastAsiaTheme="minorEastAsia"/>
                <w:color w:val="0000FF"/>
                <w:sz w:val="18"/>
                <w:szCs w:val="18"/>
              </w:rPr>
            </w:pPr>
            <w:r>
              <w:rPr>
                <w:rFonts w:hint="default" w:ascii="Times New Roman" w:hAnsi="Times New Roman" w:cs="Times New Roman"/>
                <w:color w:val="0000FF"/>
                <w:sz w:val="16"/>
              </w:rPr>
              <w:t>6</w:t>
            </w:r>
          </w:p>
        </w:tc>
        <w:tc>
          <w:tcPr>
            <w:tcW w:w="350" w:type="pct"/>
            <w:tcBorders>
              <w:tl2br w:val="nil"/>
              <w:tr2bl w:val="nil"/>
            </w:tcBorders>
            <w:shd w:val="clear" w:color="auto" w:fill="auto"/>
            <w:vAlign w:val="center"/>
          </w:tcPr>
          <w:p w14:paraId="6099735D">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eastAsiaTheme="minorEastAsia"/>
                <w:color w:val="0000FF"/>
                <w:sz w:val="18"/>
                <w:szCs w:val="18"/>
              </w:rPr>
            </w:pPr>
            <w:r>
              <w:rPr>
                <w:rFonts w:hint="default" w:ascii="Times New Roman" w:hAnsi="Times New Roman" w:cs="Times New Roman"/>
                <w:color w:val="0000FF"/>
                <w:sz w:val="16"/>
              </w:rPr>
              <w:t>5</w:t>
            </w:r>
          </w:p>
        </w:tc>
        <w:tc>
          <w:tcPr>
            <w:tcW w:w="195" w:type="pct"/>
            <w:tcBorders>
              <w:tl2br w:val="nil"/>
              <w:tr2bl w:val="nil"/>
            </w:tcBorders>
            <w:shd w:val="clear" w:color="auto" w:fill="auto"/>
            <w:vAlign w:val="center"/>
          </w:tcPr>
          <w:p w14:paraId="5710492F">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eastAsiaTheme="minorEastAsia"/>
                <w:color w:val="0000FF"/>
                <w:sz w:val="18"/>
                <w:szCs w:val="18"/>
              </w:rPr>
            </w:pPr>
            <w:r>
              <w:rPr>
                <w:rFonts w:hint="default" w:ascii="Times New Roman" w:hAnsi="Times New Roman" w:cs="Times New Roman"/>
                <w:color w:val="0000FF"/>
                <w:sz w:val="16"/>
              </w:rPr>
              <w:t>1</w:t>
            </w:r>
          </w:p>
        </w:tc>
      </w:tr>
      <w:tr w14:paraId="2EDE2803">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 w:hRule="atLeast"/>
          <w:jc w:val="center"/>
        </w:trPr>
        <w:tc>
          <w:tcPr>
            <w:tcW w:w="286" w:type="pct"/>
            <w:tcBorders>
              <w:tl2br w:val="nil"/>
              <w:tr2bl w:val="nil"/>
            </w:tcBorders>
            <w:shd w:val="clear" w:color="auto" w:fill="auto"/>
            <w:vAlign w:val="center"/>
          </w:tcPr>
          <w:p w14:paraId="679B785B">
            <w:pPr>
              <w:keepNext w:val="0"/>
              <w:keepLines w:val="0"/>
              <w:pageBreakBefore w:val="0"/>
              <w:widowControl/>
              <w:kinsoku/>
              <w:wordWrap/>
              <w:overflowPunct/>
              <w:topLinePunct w:val="0"/>
              <w:autoSpaceDE/>
              <w:autoSpaceDN/>
              <w:bidi w:val="0"/>
              <w:snapToGrid w:val="0"/>
              <w:spacing w:line="240" w:lineRule="auto"/>
              <w:jc w:val="center"/>
              <w:textAlignment w:val="auto"/>
              <w:rPr>
                <w:rFonts w:hint="default" w:ascii="Times New Roman" w:hAnsi="Times New Roman" w:cs="Times New Roman" w:eastAsiaTheme="minorEastAsia"/>
                <w:b w:val="0"/>
                <w:bCs/>
                <w:color w:val="0000FF"/>
                <w:sz w:val="18"/>
                <w:szCs w:val="18"/>
              </w:rPr>
            </w:pPr>
            <w:r>
              <w:rPr>
                <w:rFonts w:hint="default" w:ascii="Times New Roman" w:hAnsi="Times New Roman" w:cs="Times New Roman" w:eastAsiaTheme="minorEastAsia"/>
                <w:b w:val="0"/>
                <w:bCs/>
                <w:color w:val="0000FF"/>
                <w:sz w:val="18"/>
                <w:szCs w:val="18"/>
              </w:rPr>
              <w:t>2</w:t>
            </w:r>
          </w:p>
        </w:tc>
        <w:tc>
          <w:tcPr>
            <w:tcW w:w="195" w:type="pct"/>
            <w:tcBorders>
              <w:tl2br w:val="nil"/>
              <w:tr2bl w:val="nil"/>
            </w:tcBorders>
            <w:shd w:val="clear" w:color="auto" w:fill="auto"/>
            <w:vAlign w:val="center"/>
          </w:tcPr>
          <w:p w14:paraId="7036C7C8">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eastAsiaTheme="minorEastAsia"/>
                <w:color w:val="0000FF"/>
                <w:sz w:val="18"/>
                <w:szCs w:val="18"/>
              </w:rPr>
            </w:pPr>
            <w:r>
              <w:rPr>
                <w:rFonts w:hint="default" w:ascii="Times New Roman" w:hAnsi="Times New Roman" w:cs="Times New Roman"/>
                <w:color w:val="0000FF"/>
                <w:sz w:val="16"/>
              </w:rPr>
              <w:t>5</w:t>
            </w:r>
          </w:p>
        </w:tc>
        <w:tc>
          <w:tcPr>
            <w:tcW w:w="320" w:type="pct"/>
            <w:tcBorders>
              <w:tl2br w:val="nil"/>
              <w:tr2bl w:val="nil"/>
            </w:tcBorders>
            <w:shd w:val="clear" w:color="auto" w:fill="auto"/>
            <w:vAlign w:val="center"/>
          </w:tcPr>
          <w:p w14:paraId="55B864F0">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eastAsiaTheme="minorEastAsia"/>
                <w:color w:val="0000FF"/>
                <w:sz w:val="18"/>
                <w:szCs w:val="18"/>
              </w:rPr>
            </w:pPr>
            <w:r>
              <w:rPr>
                <w:rFonts w:hint="default" w:ascii="Times New Roman" w:hAnsi="Times New Roman" w:cs="Times New Roman"/>
                <w:color w:val="0000FF"/>
                <w:sz w:val="16"/>
              </w:rPr>
              <w:t>4</w:t>
            </w:r>
          </w:p>
        </w:tc>
        <w:tc>
          <w:tcPr>
            <w:tcW w:w="255" w:type="pct"/>
            <w:tcBorders>
              <w:tl2br w:val="nil"/>
              <w:tr2bl w:val="nil"/>
            </w:tcBorders>
            <w:shd w:val="clear" w:color="auto" w:fill="auto"/>
            <w:vAlign w:val="center"/>
          </w:tcPr>
          <w:p w14:paraId="173DC7E9">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eastAsiaTheme="minorEastAsia"/>
                <w:color w:val="0000FF"/>
                <w:sz w:val="18"/>
                <w:szCs w:val="18"/>
              </w:rPr>
            </w:pPr>
            <w:r>
              <w:rPr>
                <w:rFonts w:hint="default" w:ascii="Times New Roman" w:hAnsi="Times New Roman" w:cs="Times New Roman"/>
                <w:color w:val="0000FF"/>
                <w:sz w:val="16"/>
              </w:rPr>
              <w:t>3</w:t>
            </w:r>
          </w:p>
        </w:tc>
        <w:tc>
          <w:tcPr>
            <w:tcW w:w="315" w:type="pct"/>
            <w:tcBorders>
              <w:tl2br w:val="nil"/>
              <w:tr2bl w:val="nil"/>
            </w:tcBorders>
            <w:shd w:val="clear" w:color="auto" w:fill="auto"/>
            <w:vAlign w:val="center"/>
          </w:tcPr>
          <w:p w14:paraId="4A8C0FB6">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eastAsiaTheme="minorEastAsia"/>
                <w:color w:val="0000FF"/>
                <w:sz w:val="18"/>
                <w:szCs w:val="18"/>
              </w:rPr>
            </w:pPr>
            <w:r>
              <w:rPr>
                <w:rFonts w:hint="default" w:ascii="Times New Roman" w:hAnsi="Times New Roman" w:cs="Times New Roman"/>
                <w:color w:val="0000FF"/>
                <w:sz w:val="16"/>
              </w:rPr>
              <w:t>4</w:t>
            </w:r>
          </w:p>
        </w:tc>
        <w:tc>
          <w:tcPr>
            <w:tcW w:w="226" w:type="pct"/>
            <w:tcBorders>
              <w:tl2br w:val="nil"/>
              <w:tr2bl w:val="nil"/>
            </w:tcBorders>
            <w:shd w:val="clear" w:color="auto" w:fill="auto"/>
            <w:vAlign w:val="center"/>
          </w:tcPr>
          <w:p w14:paraId="6102CB94">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eastAsiaTheme="minorEastAsia"/>
                <w:color w:val="0000FF"/>
                <w:sz w:val="18"/>
                <w:szCs w:val="18"/>
              </w:rPr>
            </w:pPr>
            <w:r>
              <w:rPr>
                <w:rFonts w:hint="default" w:ascii="Times New Roman" w:hAnsi="Times New Roman" w:cs="Times New Roman"/>
                <w:color w:val="0000FF"/>
                <w:sz w:val="16"/>
              </w:rPr>
              <w:t>19</w:t>
            </w:r>
          </w:p>
        </w:tc>
        <w:tc>
          <w:tcPr>
            <w:tcW w:w="300" w:type="pct"/>
            <w:tcBorders>
              <w:tl2br w:val="nil"/>
              <w:tr2bl w:val="nil"/>
            </w:tcBorders>
            <w:shd w:val="clear" w:color="auto" w:fill="auto"/>
            <w:vAlign w:val="center"/>
          </w:tcPr>
          <w:p w14:paraId="244B0C36">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eastAsiaTheme="minorEastAsia"/>
                <w:color w:val="0000FF"/>
                <w:sz w:val="18"/>
                <w:szCs w:val="18"/>
              </w:rPr>
            </w:pPr>
            <w:r>
              <w:rPr>
                <w:rFonts w:hint="default" w:ascii="Times New Roman" w:hAnsi="Times New Roman" w:cs="Times New Roman"/>
                <w:color w:val="0000FF"/>
                <w:sz w:val="16"/>
              </w:rPr>
              <w:t>19</w:t>
            </w:r>
          </w:p>
        </w:tc>
        <w:tc>
          <w:tcPr>
            <w:tcW w:w="240" w:type="pct"/>
            <w:tcBorders>
              <w:tl2br w:val="nil"/>
              <w:tr2bl w:val="nil"/>
            </w:tcBorders>
            <w:shd w:val="clear" w:color="auto" w:fill="auto"/>
            <w:vAlign w:val="center"/>
          </w:tcPr>
          <w:p w14:paraId="52D1C8FF">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eastAsiaTheme="minorEastAsia"/>
                <w:color w:val="0000FF"/>
                <w:sz w:val="18"/>
                <w:szCs w:val="18"/>
              </w:rPr>
            </w:pPr>
            <w:r>
              <w:rPr>
                <w:rFonts w:hint="default" w:ascii="Times New Roman" w:hAnsi="Times New Roman" w:cs="Times New Roman"/>
                <w:color w:val="0000FF"/>
                <w:sz w:val="16"/>
              </w:rPr>
              <w:t>1</w:t>
            </w:r>
          </w:p>
        </w:tc>
        <w:tc>
          <w:tcPr>
            <w:tcW w:w="290" w:type="pct"/>
            <w:tcBorders>
              <w:tl2br w:val="nil"/>
              <w:tr2bl w:val="nil"/>
            </w:tcBorders>
            <w:shd w:val="clear" w:color="auto" w:fill="auto"/>
            <w:vAlign w:val="center"/>
          </w:tcPr>
          <w:p w14:paraId="4B98E996">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eastAsiaTheme="minorEastAsia"/>
                <w:color w:val="0000FF"/>
                <w:sz w:val="18"/>
                <w:szCs w:val="18"/>
              </w:rPr>
            </w:pPr>
            <w:r>
              <w:rPr>
                <w:rFonts w:hint="default" w:ascii="Times New Roman" w:hAnsi="Times New Roman" w:cs="Times New Roman"/>
                <w:color w:val="0000FF"/>
                <w:sz w:val="16"/>
              </w:rPr>
              <w:t>1</w:t>
            </w:r>
          </w:p>
        </w:tc>
        <w:tc>
          <w:tcPr>
            <w:tcW w:w="180" w:type="pct"/>
            <w:tcBorders>
              <w:tl2br w:val="nil"/>
              <w:tr2bl w:val="nil"/>
            </w:tcBorders>
            <w:shd w:val="clear" w:color="auto" w:fill="auto"/>
            <w:vAlign w:val="center"/>
          </w:tcPr>
          <w:p w14:paraId="61BF03DA">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eastAsiaTheme="minorEastAsia"/>
                <w:color w:val="0000FF"/>
                <w:sz w:val="18"/>
                <w:szCs w:val="18"/>
              </w:rPr>
            </w:pPr>
            <w:r>
              <w:rPr>
                <w:rFonts w:hint="default" w:ascii="Times New Roman" w:hAnsi="Times New Roman" w:cs="Times New Roman"/>
                <w:color w:val="0000FF"/>
                <w:sz w:val="16"/>
              </w:rPr>
              <w:t>3</w:t>
            </w:r>
          </w:p>
        </w:tc>
        <w:tc>
          <w:tcPr>
            <w:tcW w:w="320" w:type="pct"/>
            <w:tcBorders>
              <w:tl2br w:val="nil"/>
              <w:tr2bl w:val="nil"/>
            </w:tcBorders>
            <w:shd w:val="clear" w:color="auto" w:fill="auto"/>
            <w:vAlign w:val="center"/>
          </w:tcPr>
          <w:p w14:paraId="2139FF4C">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eastAsiaTheme="minorEastAsia"/>
                <w:color w:val="0000FF"/>
                <w:sz w:val="18"/>
                <w:szCs w:val="18"/>
              </w:rPr>
            </w:pPr>
            <w:r>
              <w:rPr>
                <w:rFonts w:hint="default" w:ascii="Times New Roman" w:hAnsi="Times New Roman" w:cs="Times New Roman"/>
                <w:color w:val="0000FF"/>
                <w:sz w:val="16"/>
              </w:rPr>
              <w:t>6</w:t>
            </w:r>
          </w:p>
        </w:tc>
        <w:tc>
          <w:tcPr>
            <w:tcW w:w="270" w:type="pct"/>
            <w:tcBorders>
              <w:tl2br w:val="nil"/>
              <w:tr2bl w:val="nil"/>
            </w:tcBorders>
            <w:shd w:val="clear" w:color="auto" w:fill="auto"/>
            <w:vAlign w:val="center"/>
          </w:tcPr>
          <w:p w14:paraId="684676BD">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eastAsiaTheme="minorEastAsia"/>
                <w:color w:val="0000FF"/>
                <w:sz w:val="18"/>
                <w:szCs w:val="18"/>
              </w:rPr>
            </w:pPr>
            <w:r>
              <w:rPr>
                <w:rFonts w:hint="default" w:ascii="Times New Roman" w:hAnsi="Times New Roman" w:cs="Times New Roman"/>
                <w:color w:val="0000FF"/>
                <w:sz w:val="16"/>
              </w:rPr>
              <w:t>4</w:t>
            </w:r>
          </w:p>
        </w:tc>
        <w:tc>
          <w:tcPr>
            <w:tcW w:w="361" w:type="pct"/>
            <w:tcBorders>
              <w:tl2br w:val="nil"/>
              <w:tr2bl w:val="nil"/>
            </w:tcBorders>
            <w:shd w:val="clear" w:color="auto" w:fill="auto"/>
            <w:vAlign w:val="center"/>
          </w:tcPr>
          <w:p w14:paraId="36EDC1D2">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eastAsiaTheme="minorEastAsia"/>
                <w:color w:val="0000FF"/>
                <w:sz w:val="18"/>
                <w:szCs w:val="18"/>
              </w:rPr>
            </w:pPr>
            <w:r>
              <w:rPr>
                <w:rFonts w:hint="default" w:ascii="Times New Roman" w:hAnsi="Times New Roman" w:cs="Times New Roman"/>
                <w:color w:val="0000FF"/>
                <w:sz w:val="16"/>
              </w:rPr>
              <w:t>4</w:t>
            </w:r>
          </w:p>
        </w:tc>
        <w:tc>
          <w:tcPr>
            <w:tcW w:w="226" w:type="pct"/>
            <w:tcBorders>
              <w:tl2br w:val="nil"/>
              <w:tr2bl w:val="nil"/>
            </w:tcBorders>
            <w:shd w:val="clear" w:color="auto" w:fill="auto"/>
            <w:vAlign w:val="center"/>
          </w:tcPr>
          <w:p w14:paraId="784A5E7A">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eastAsiaTheme="minorEastAsia"/>
                <w:color w:val="0000FF"/>
                <w:sz w:val="18"/>
                <w:szCs w:val="18"/>
              </w:rPr>
            </w:pPr>
            <w:r>
              <w:rPr>
                <w:rFonts w:hint="default" w:ascii="Times New Roman" w:hAnsi="Times New Roman" w:cs="Times New Roman"/>
                <w:color w:val="0000FF"/>
                <w:sz w:val="16"/>
              </w:rPr>
              <w:t>7</w:t>
            </w:r>
          </w:p>
        </w:tc>
        <w:tc>
          <w:tcPr>
            <w:tcW w:w="375" w:type="pct"/>
            <w:tcBorders>
              <w:tl2br w:val="nil"/>
              <w:tr2bl w:val="nil"/>
            </w:tcBorders>
            <w:shd w:val="clear" w:color="auto" w:fill="auto"/>
            <w:vAlign w:val="center"/>
          </w:tcPr>
          <w:p w14:paraId="30863156">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eastAsiaTheme="minorEastAsia"/>
                <w:color w:val="0000FF"/>
                <w:sz w:val="18"/>
                <w:szCs w:val="18"/>
              </w:rPr>
            </w:pPr>
            <w:r>
              <w:rPr>
                <w:rFonts w:hint="default" w:ascii="Times New Roman" w:hAnsi="Times New Roman" w:cs="Times New Roman"/>
                <w:color w:val="0000FF"/>
                <w:sz w:val="16"/>
              </w:rPr>
              <w:t>8</w:t>
            </w:r>
          </w:p>
        </w:tc>
        <w:tc>
          <w:tcPr>
            <w:tcW w:w="285" w:type="pct"/>
            <w:tcBorders>
              <w:tl2br w:val="nil"/>
              <w:tr2bl w:val="nil"/>
            </w:tcBorders>
            <w:shd w:val="clear" w:color="auto" w:fill="auto"/>
            <w:vAlign w:val="center"/>
          </w:tcPr>
          <w:p w14:paraId="5B5AB93D">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eastAsiaTheme="minorEastAsia"/>
                <w:color w:val="0000FF"/>
                <w:sz w:val="18"/>
                <w:szCs w:val="18"/>
              </w:rPr>
            </w:pPr>
            <w:r>
              <w:rPr>
                <w:rFonts w:hint="default" w:ascii="Times New Roman" w:hAnsi="Times New Roman" w:cs="Times New Roman"/>
                <w:color w:val="0000FF"/>
                <w:sz w:val="16"/>
              </w:rPr>
              <w:t>6</w:t>
            </w:r>
          </w:p>
        </w:tc>
        <w:tc>
          <w:tcPr>
            <w:tcW w:w="350" w:type="pct"/>
            <w:tcBorders>
              <w:tl2br w:val="nil"/>
              <w:tr2bl w:val="nil"/>
            </w:tcBorders>
            <w:shd w:val="clear" w:color="auto" w:fill="auto"/>
            <w:vAlign w:val="center"/>
          </w:tcPr>
          <w:p w14:paraId="6D386FB9">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eastAsiaTheme="minorEastAsia"/>
                <w:color w:val="0000FF"/>
                <w:sz w:val="18"/>
                <w:szCs w:val="18"/>
              </w:rPr>
            </w:pPr>
            <w:r>
              <w:rPr>
                <w:rFonts w:hint="default" w:ascii="Times New Roman" w:hAnsi="Times New Roman" w:cs="Times New Roman"/>
                <w:color w:val="0000FF"/>
                <w:sz w:val="16"/>
              </w:rPr>
              <w:t>6</w:t>
            </w:r>
          </w:p>
        </w:tc>
        <w:tc>
          <w:tcPr>
            <w:tcW w:w="195" w:type="pct"/>
            <w:tcBorders>
              <w:tl2br w:val="nil"/>
              <w:tr2bl w:val="nil"/>
            </w:tcBorders>
            <w:shd w:val="clear" w:color="auto" w:fill="auto"/>
            <w:vAlign w:val="center"/>
          </w:tcPr>
          <w:p w14:paraId="532E4309">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eastAsiaTheme="minorEastAsia"/>
                <w:color w:val="0000FF"/>
                <w:sz w:val="18"/>
                <w:szCs w:val="18"/>
              </w:rPr>
            </w:pPr>
            <w:r>
              <w:rPr>
                <w:rFonts w:hint="default" w:ascii="Times New Roman" w:hAnsi="Times New Roman" w:cs="Times New Roman"/>
                <w:color w:val="0000FF"/>
                <w:sz w:val="16"/>
              </w:rPr>
              <w:t>1</w:t>
            </w:r>
          </w:p>
        </w:tc>
      </w:tr>
      <w:tr w14:paraId="0CFD6E29">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 w:hRule="atLeast"/>
          <w:jc w:val="center"/>
        </w:trPr>
        <w:tc>
          <w:tcPr>
            <w:tcW w:w="286" w:type="pct"/>
            <w:tcBorders>
              <w:tl2br w:val="nil"/>
              <w:tr2bl w:val="nil"/>
            </w:tcBorders>
            <w:shd w:val="clear" w:color="auto" w:fill="auto"/>
            <w:vAlign w:val="center"/>
          </w:tcPr>
          <w:p w14:paraId="6B3D999F">
            <w:pPr>
              <w:keepNext w:val="0"/>
              <w:keepLines w:val="0"/>
              <w:pageBreakBefore w:val="0"/>
              <w:widowControl/>
              <w:kinsoku/>
              <w:wordWrap/>
              <w:overflowPunct/>
              <w:topLinePunct w:val="0"/>
              <w:autoSpaceDE/>
              <w:autoSpaceDN/>
              <w:bidi w:val="0"/>
              <w:snapToGrid w:val="0"/>
              <w:spacing w:line="240" w:lineRule="auto"/>
              <w:jc w:val="center"/>
              <w:textAlignment w:val="auto"/>
              <w:rPr>
                <w:rFonts w:hint="default" w:ascii="Times New Roman" w:hAnsi="Times New Roman" w:cs="Times New Roman" w:eastAsiaTheme="minorEastAsia"/>
                <w:b w:val="0"/>
                <w:bCs/>
                <w:color w:val="0000FF"/>
                <w:sz w:val="18"/>
                <w:szCs w:val="18"/>
              </w:rPr>
            </w:pPr>
            <w:r>
              <w:rPr>
                <w:rFonts w:hint="default" w:ascii="Times New Roman" w:hAnsi="Times New Roman" w:cs="Times New Roman" w:eastAsiaTheme="minorEastAsia"/>
                <w:b w:val="0"/>
                <w:bCs/>
                <w:color w:val="0000FF"/>
                <w:sz w:val="18"/>
                <w:szCs w:val="18"/>
              </w:rPr>
              <w:t>3</w:t>
            </w:r>
          </w:p>
        </w:tc>
        <w:tc>
          <w:tcPr>
            <w:tcW w:w="195" w:type="pct"/>
            <w:tcBorders>
              <w:tl2br w:val="nil"/>
              <w:tr2bl w:val="nil"/>
            </w:tcBorders>
            <w:shd w:val="clear" w:color="auto" w:fill="auto"/>
            <w:vAlign w:val="center"/>
          </w:tcPr>
          <w:p w14:paraId="0D53C8A6">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eastAsiaTheme="minorEastAsia"/>
                <w:color w:val="0000FF"/>
                <w:sz w:val="18"/>
                <w:szCs w:val="18"/>
              </w:rPr>
            </w:pPr>
            <w:r>
              <w:rPr>
                <w:rFonts w:hint="default" w:ascii="Times New Roman" w:hAnsi="Times New Roman" w:cs="Times New Roman"/>
                <w:color w:val="0000FF"/>
                <w:sz w:val="16"/>
              </w:rPr>
              <w:t>6</w:t>
            </w:r>
          </w:p>
        </w:tc>
        <w:tc>
          <w:tcPr>
            <w:tcW w:w="320" w:type="pct"/>
            <w:tcBorders>
              <w:tl2br w:val="nil"/>
              <w:tr2bl w:val="nil"/>
            </w:tcBorders>
            <w:shd w:val="clear" w:color="auto" w:fill="auto"/>
            <w:vAlign w:val="center"/>
          </w:tcPr>
          <w:p w14:paraId="6BE414FB">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eastAsiaTheme="minorEastAsia"/>
                <w:color w:val="0000FF"/>
                <w:sz w:val="18"/>
                <w:szCs w:val="18"/>
              </w:rPr>
            </w:pPr>
            <w:r>
              <w:rPr>
                <w:rFonts w:hint="default" w:ascii="Times New Roman" w:hAnsi="Times New Roman" w:cs="Times New Roman"/>
                <w:color w:val="0000FF"/>
                <w:sz w:val="16"/>
              </w:rPr>
              <w:t>4</w:t>
            </w:r>
          </w:p>
        </w:tc>
        <w:tc>
          <w:tcPr>
            <w:tcW w:w="255" w:type="pct"/>
            <w:tcBorders>
              <w:tl2br w:val="nil"/>
              <w:tr2bl w:val="nil"/>
            </w:tcBorders>
            <w:shd w:val="clear" w:color="auto" w:fill="auto"/>
            <w:vAlign w:val="center"/>
          </w:tcPr>
          <w:p w14:paraId="2583E135">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eastAsiaTheme="minorEastAsia"/>
                <w:color w:val="0000FF"/>
                <w:sz w:val="18"/>
                <w:szCs w:val="18"/>
              </w:rPr>
            </w:pPr>
            <w:r>
              <w:rPr>
                <w:rFonts w:hint="default" w:ascii="Times New Roman" w:hAnsi="Times New Roman" w:cs="Times New Roman"/>
                <w:color w:val="0000FF"/>
                <w:sz w:val="16"/>
              </w:rPr>
              <w:t>3</w:t>
            </w:r>
          </w:p>
        </w:tc>
        <w:tc>
          <w:tcPr>
            <w:tcW w:w="315" w:type="pct"/>
            <w:tcBorders>
              <w:tl2br w:val="nil"/>
              <w:tr2bl w:val="nil"/>
            </w:tcBorders>
            <w:shd w:val="clear" w:color="auto" w:fill="auto"/>
            <w:vAlign w:val="center"/>
          </w:tcPr>
          <w:p w14:paraId="131E87D6">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eastAsiaTheme="minorEastAsia"/>
                <w:color w:val="0000FF"/>
                <w:sz w:val="18"/>
                <w:szCs w:val="18"/>
              </w:rPr>
            </w:pPr>
            <w:r>
              <w:rPr>
                <w:rFonts w:hint="default" w:ascii="Times New Roman" w:hAnsi="Times New Roman" w:cs="Times New Roman"/>
                <w:color w:val="0000FF"/>
                <w:sz w:val="16"/>
              </w:rPr>
              <w:t>3</w:t>
            </w:r>
          </w:p>
        </w:tc>
        <w:tc>
          <w:tcPr>
            <w:tcW w:w="226" w:type="pct"/>
            <w:tcBorders>
              <w:tl2br w:val="nil"/>
              <w:tr2bl w:val="nil"/>
            </w:tcBorders>
            <w:shd w:val="clear" w:color="auto" w:fill="auto"/>
            <w:vAlign w:val="center"/>
          </w:tcPr>
          <w:p w14:paraId="10EBEE76">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eastAsiaTheme="minorEastAsia"/>
                <w:color w:val="0000FF"/>
                <w:sz w:val="18"/>
                <w:szCs w:val="18"/>
              </w:rPr>
            </w:pPr>
            <w:r>
              <w:rPr>
                <w:rFonts w:hint="default" w:ascii="Times New Roman" w:hAnsi="Times New Roman" w:cs="Times New Roman"/>
                <w:color w:val="0000FF"/>
                <w:sz w:val="16"/>
              </w:rPr>
              <w:t>13</w:t>
            </w:r>
          </w:p>
        </w:tc>
        <w:tc>
          <w:tcPr>
            <w:tcW w:w="300" w:type="pct"/>
            <w:tcBorders>
              <w:tl2br w:val="nil"/>
              <w:tr2bl w:val="nil"/>
            </w:tcBorders>
            <w:shd w:val="clear" w:color="auto" w:fill="auto"/>
            <w:vAlign w:val="center"/>
          </w:tcPr>
          <w:p w14:paraId="4F0CEB3D">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eastAsiaTheme="minorEastAsia"/>
                <w:color w:val="0000FF"/>
                <w:sz w:val="18"/>
                <w:szCs w:val="18"/>
              </w:rPr>
            </w:pPr>
            <w:r>
              <w:rPr>
                <w:rFonts w:hint="default" w:ascii="Times New Roman" w:hAnsi="Times New Roman" w:cs="Times New Roman"/>
                <w:color w:val="0000FF"/>
                <w:sz w:val="16"/>
              </w:rPr>
              <w:t>14</w:t>
            </w:r>
          </w:p>
        </w:tc>
        <w:tc>
          <w:tcPr>
            <w:tcW w:w="240" w:type="pct"/>
            <w:tcBorders>
              <w:tl2br w:val="nil"/>
              <w:tr2bl w:val="nil"/>
            </w:tcBorders>
            <w:shd w:val="clear" w:color="auto" w:fill="auto"/>
            <w:vAlign w:val="center"/>
          </w:tcPr>
          <w:p w14:paraId="3082E949">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eastAsiaTheme="minorEastAsia"/>
                <w:color w:val="0000FF"/>
                <w:sz w:val="18"/>
                <w:szCs w:val="18"/>
              </w:rPr>
            </w:pPr>
            <w:r>
              <w:rPr>
                <w:rFonts w:hint="default" w:ascii="Times New Roman" w:hAnsi="Times New Roman" w:cs="Times New Roman"/>
                <w:color w:val="0000FF"/>
                <w:sz w:val="16"/>
              </w:rPr>
              <w:t>2</w:t>
            </w:r>
          </w:p>
        </w:tc>
        <w:tc>
          <w:tcPr>
            <w:tcW w:w="290" w:type="pct"/>
            <w:tcBorders>
              <w:tl2br w:val="nil"/>
              <w:tr2bl w:val="nil"/>
            </w:tcBorders>
            <w:shd w:val="clear" w:color="auto" w:fill="auto"/>
            <w:vAlign w:val="center"/>
          </w:tcPr>
          <w:p w14:paraId="13B5902F">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eastAsiaTheme="minorEastAsia"/>
                <w:color w:val="0000FF"/>
                <w:sz w:val="18"/>
                <w:szCs w:val="18"/>
              </w:rPr>
            </w:pPr>
            <w:r>
              <w:rPr>
                <w:rFonts w:hint="default" w:ascii="Times New Roman" w:hAnsi="Times New Roman" w:cs="Times New Roman"/>
                <w:color w:val="0000FF"/>
                <w:sz w:val="16"/>
              </w:rPr>
              <w:t>2</w:t>
            </w:r>
          </w:p>
        </w:tc>
        <w:tc>
          <w:tcPr>
            <w:tcW w:w="180" w:type="pct"/>
            <w:tcBorders>
              <w:tl2br w:val="nil"/>
              <w:tr2bl w:val="nil"/>
            </w:tcBorders>
            <w:shd w:val="clear" w:color="auto" w:fill="auto"/>
            <w:vAlign w:val="center"/>
          </w:tcPr>
          <w:p w14:paraId="29666262">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eastAsiaTheme="minorEastAsia"/>
                <w:color w:val="0000FF"/>
                <w:sz w:val="18"/>
                <w:szCs w:val="18"/>
              </w:rPr>
            </w:pPr>
            <w:r>
              <w:rPr>
                <w:rFonts w:hint="default" w:ascii="Times New Roman" w:hAnsi="Times New Roman" w:cs="Times New Roman"/>
                <w:color w:val="0000FF"/>
                <w:sz w:val="16"/>
              </w:rPr>
              <w:t>4</w:t>
            </w:r>
          </w:p>
        </w:tc>
        <w:tc>
          <w:tcPr>
            <w:tcW w:w="320" w:type="pct"/>
            <w:tcBorders>
              <w:tl2br w:val="nil"/>
              <w:tr2bl w:val="nil"/>
            </w:tcBorders>
            <w:shd w:val="clear" w:color="auto" w:fill="auto"/>
            <w:vAlign w:val="center"/>
          </w:tcPr>
          <w:p w14:paraId="28ED3950">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eastAsiaTheme="minorEastAsia"/>
                <w:color w:val="0000FF"/>
                <w:sz w:val="18"/>
                <w:szCs w:val="18"/>
              </w:rPr>
            </w:pPr>
            <w:r>
              <w:rPr>
                <w:rFonts w:hint="default" w:ascii="Times New Roman" w:hAnsi="Times New Roman" w:cs="Times New Roman"/>
                <w:color w:val="0000FF"/>
                <w:sz w:val="16"/>
              </w:rPr>
              <w:t>8</w:t>
            </w:r>
          </w:p>
        </w:tc>
        <w:tc>
          <w:tcPr>
            <w:tcW w:w="270" w:type="pct"/>
            <w:tcBorders>
              <w:tl2br w:val="nil"/>
              <w:tr2bl w:val="nil"/>
            </w:tcBorders>
            <w:shd w:val="clear" w:color="auto" w:fill="auto"/>
            <w:vAlign w:val="center"/>
          </w:tcPr>
          <w:p w14:paraId="56E6C6AB">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eastAsiaTheme="minorEastAsia"/>
                <w:color w:val="0000FF"/>
                <w:sz w:val="18"/>
                <w:szCs w:val="18"/>
              </w:rPr>
            </w:pPr>
            <w:r>
              <w:rPr>
                <w:rFonts w:hint="default" w:ascii="Times New Roman" w:hAnsi="Times New Roman" w:cs="Times New Roman"/>
                <w:color w:val="0000FF"/>
                <w:sz w:val="16"/>
              </w:rPr>
              <w:t>6</w:t>
            </w:r>
          </w:p>
        </w:tc>
        <w:tc>
          <w:tcPr>
            <w:tcW w:w="361" w:type="pct"/>
            <w:tcBorders>
              <w:tl2br w:val="nil"/>
              <w:tr2bl w:val="nil"/>
            </w:tcBorders>
            <w:shd w:val="clear" w:color="auto" w:fill="auto"/>
            <w:vAlign w:val="center"/>
          </w:tcPr>
          <w:p w14:paraId="788B8FE5">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eastAsiaTheme="minorEastAsia"/>
                <w:color w:val="0000FF"/>
                <w:sz w:val="18"/>
                <w:szCs w:val="18"/>
              </w:rPr>
            </w:pPr>
            <w:r>
              <w:rPr>
                <w:rFonts w:hint="default" w:ascii="Times New Roman" w:hAnsi="Times New Roman" w:cs="Times New Roman"/>
                <w:color w:val="0000FF"/>
                <w:sz w:val="16"/>
              </w:rPr>
              <w:t>5</w:t>
            </w:r>
          </w:p>
        </w:tc>
        <w:tc>
          <w:tcPr>
            <w:tcW w:w="226" w:type="pct"/>
            <w:tcBorders>
              <w:tl2br w:val="nil"/>
              <w:tr2bl w:val="nil"/>
            </w:tcBorders>
            <w:shd w:val="clear" w:color="auto" w:fill="auto"/>
            <w:vAlign w:val="center"/>
          </w:tcPr>
          <w:p w14:paraId="17AE40D9">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eastAsiaTheme="minorEastAsia"/>
                <w:color w:val="0000FF"/>
                <w:sz w:val="18"/>
                <w:szCs w:val="18"/>
              </w:rPr>
            </w:pPr>
            <w:r>
              <w:rPr>
                <w:rFonts w:hint="default" w:ascii="Times New Roman" w:hAnsi="Times New Roman" w:cs="Times New Roman"/>
                <w:color w:val="0000FF"/>
                <w:sz w:val="16"/>
              </w:rPr>
              <w:t>8</w:t>
            </w:r>
          </w:p>
        </w:tc>
        <w:tc>
          <w:tcPr>
            <w:tcW w:w="375" w:type="pct"/>
            <w:tcBorders>
              <w:tl2br w:val="nil"/>
              <w:tr2bl w:val="nil"/>
            </w:tcBorders>
            <w:shd w:val="clear" w:color="auto" w:fill="auto"/>
            <w:vAlign w:val="center"/>
          </w:tcPr>
          <w:p w14:paraId="44CC189E">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eastAsiaTheme="minorEastAsia"/>
                <w:color w:val="0000FF"/>
                <w:sz w:val="18"/>
                <w:szCs w:val="18"/>
              </w:rPr>
            </w:pPr>
            <w:r>
              <w:rPr>
                <w:rFonts w:hint="default" w:ascii="Times New Roman" w:hAnsi="Times New Roman" w:cs="Times New Roman"/>
                <w:color w:val="0000FF"/>
                <w:sz w:val="16"/>
              </w:rPr>
              <w:t>10</w:t>
            </w:r>
          </w:p>
        </w:tc>
        <w:tc>
          <w:tcPr>
            <w:tcW w:w="285" w:type="pct"/>
            <w:tcBorders>
              <w:tl2br w:val="nil"/>
              <w:tr2bl w:val="nil"/>
            </w:tcBorders>
            <w:shd w:val="clear" w:color="auto" w:fill="auto"/>
            <w:vAlign w:val="center"/>
          </w:tcPr>
          <w:p w14:paraId="6B3170AA">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eastAsiaTheme="minorEastAsia"/>
                <w:color w:val="0000FF"/>
                <w:sz w:val="18"/>
                <w:szCs w:val="18"/>
              </w:rPr>
            </w:pPr>
            <w:r>
              <w:rPr>
                <w:rFonts w:hint="default" w:ascii="Times New Roman" w:hAnsi="Times New Roman" w:cs="Times New Roman"/>
                <w:color w:val="0000FF"/>
                <w:sz w:val="16"/>
              </w:rPr>
              <w:t>6</w:t>
            </w:r>
          </w:p>
        </w:tc>
        <w:tc>
          <w:tcPr>
            <w:tcW w:w="350" w:type="pct"/>
            <w:tcBorders>
              <w:tl2br w:val="nil"/>
              <w:tr2bl w:val="nil"/>
            </w:tcBorders>
            <w:shd w:val="clear" w:color="auto" w:fill="auto"/>
            <w:vAlign w:val="center"/>
          </w:tcPr>
          <w:p w14:paraId="730A7F4D">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eastAsiaTheme="minorEastAsia"/>
                <w:color w:val="0000FF"/>
                <w:sz w:val="18"/>
                <w:szCs w:val="18"/>
              </w:rPr>
            </w:pPr>
            <w:r>
              <w:rPr>
                <w:rFonts w:hint="default" w:ascii="Times New Roman" w:hAnsi="Times New Roman" w:cs="Times New Roman"/>
                <w:color w:val="0000FF"/>
                <w:sz w:val="16"/>
              </w:rPr>
              <w:t>5</w:t>
            </w:r>
          </w:p>
        </w:tc>
        <w:tc>
          <w:tcPr>
            <w:tcW w:w="195" w:type="pct"/>
            <w:tcBorders>
              <w:tl2br w:val="nil"/>
              <w:tr2bl w:val="nil"/>
            </w:tcBorders>
            <w:shd w:val="clear" w:color="auto" w:fill="auto"/>
            <w:vAlign w:val="center"/>
          </w:tcPr>
          <w:p w14:paraId="5F89C219">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eastAsiaTheme="minorEastAsia"/>
                <w:color w:val="0000FF"/>
                <w:sz w:val="18"/>
                <w:szCs w:val="18"/>
              </w:rPr>
            </w:pPr>
            <w:r>
              <w:rPr>
                <w:rFonts w:hint="default" w:ascii="Times New Roman" w:hAnsi="Times New Roman" w:cs="Times New Roman"/>
                <w:color w:val="0000FF"/>
                <w:sz w:val="16"/>
              </w:rPr>
              <w:t>1</w:t>
            </w:r>
          </w:p>
        </w:tc>
      </w:tr>
      <w:tr w14:paraId="545B0470">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 w:hRule="atLeast"/>
          <w:jc w:val="center"/>
        </w:trPr>
        <w:tc>
          <w:tcPr>
            <w:tcW w:w="286" w:type="pct"/>
            <w:tcBorders>
              <w:tl2br w:val="nil"/>
              <w:tr2bl w:val="nil"/>
            </w:tcBorders>
            <w:shd w:val="clear" w:color="auto" w:fill="auto"/>
            <w:vAlign w:val="center"/>
          </w:tcPr>
          <w:p w14:paraId="3E88C570">
            <w:pPr>
              <w:keepNext w:val="0"/>
              <w:keepLines w:val="0"/>
              <w:pageBreakBefore w:val="0"/>
              <w:widowControl/>
              <w:kinsoku/>
              <w:wordWrap/>
              <w:overflowPunct/>
              <w:topLinePunct w:val="0"/>
              <w:autoSpaceDE/>
              <w:autoSpaceDN/>
              <w:bidi w:val="0"/>
              <w:snapToGrid w:val="0"/>
              <w:spacing w:line="240" w:lineRule="auto"/>
              <w:jc w:val="center"/>
              <w:textAlignment w:val="auto"/>
              <w:rPr>
                <w:rFonts w:hint="default" w:ascii="Times New Roman" w:hAnsi="Times New Roman" w:cs="Times New Roman" w:eastAsiaTheme="minorEastAsia"/>
                <w:b w:val="0"/>
                <w:bCs/>
                <w:color w:val="0000FF"/>
                <w:sz w:val="18"/>
                <w:szCs w:val="18"/>
              </w:rPr>
            </w:pPr>
            <w:r>
              <w:rPr>
                <w:rFonts w:hint="default" w:ascii="Times New Roman" w:hAnsi="Times New Roman" w:cs="Times New Roman" w:eastAsiaTheme="minorEastAsia"/>
                <w:b w:val="0"/>
                <w:bCs/>
                <w:color w:val="0000FF"/>
                <w:sz w:val="18"/>
                <w:szCs w:val="18"/>
              </w:rPr>
              <w:t>4</w:t>
            </w:r>
          </w:p>
        </w:tc>
        <w:tc>
          <w:tcPr>
            <w:tcW w:w="195" w:type="pct"/>
            <w:tcBorders>
              <w:tl2br w:val="nil"/>
              <w:tr2bl w:val="nil"/>
            </w:tcBorders>
            <w:shd w:val="clear" w:color="auto" w:fill="auto"/>
            <w:vAlign w:val="center"/>
          </w:tcPr>
          <w:p w14:paraId="70BDA093">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eastAsiaTheme="minorEastAsia"/>
                <w:color w:val="0000FF"/>
                <w:sz w:val="18"/>
                <w:szCs w:val="18"/>
              </w:rPr>
            </w:pPr>
            <w:r>
              <w:rPr>
                <w:rFonts w:hint="default" w:ascii="Times New Roman" w:hAnsi="Times New Roman" w:cs="Times New Roman"/>
                <w:color w:val="0000FF"/>
                <w:sz w:val="16"/>
              </w:rPr>
              <w:t>5</w:t>
            </w:r>
          </w:p>
        </w:tc>
        <w:tc>
          <w:tcPr>
            <w:tcW w:w="320" w:type="pct"/>
            <w:tcBorders>
              <w:tl2br w:val="nil"/>
              <w:tr2bl w:val="nil"/>
            </w:tcBorders>
            <w:shd w:val="clear" w:color="auto" w:fill="auto"/>
            <w:vAlign w:val="center"/>
          </w:tcPr>
          <w:p w14:paraId="2C3FD662">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eastAsiaTheme="minorEastAsia"/>
                <w:color w:val="0000FF"/>
                <w:sz w:val="18"/>
                <w:szCs w:val="18"/>
              </w:rPr>
            </w:pPr>
            <w:r>
              <w:rPr>
                <w:rFonts w:hint="default" w:ascii="Times New Roman" w:hAnsi="Times New Roman" w:cs="Times New Roman"/>
                <w:color w:val="0000FF"/>
                <w:sz w:val="16"/>
              </w:rPr>
              <w:t>4</w:t>
            </w:r>
          </w:p>
        </w:tc>
        <w:tc>
          <w:tcPr>
            <w:tcW w:w="255" w:type="pct"/>
            <w:tcBorders>
              <w:tl2br w:val="nil"/>
              <w:tr2bl w:val="nil"/>
            </w:tcBorders>
            <w:shd w:val="clear" w:color="auto" w:fill="auto"/>
            <w:vAlign w:val="center"/>
          </w:tcPr>
          <w:p w14:paraId="1EE49AB6">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eastAsiaTheme="minorEastAsia"/>
                <w:color w:val="0000FF"/>
                <w:sz w:val="18"/>
                <w:szCs w:val="18"/>
              </w:rPr>
            </w:pPr>
            <w:r>
              <w:rPr>
                <w:rFonts w:hint="default" w:ascii="Times New Roman" w:hAnsi="Times New Roman" w:cs="Times New Roman"/>
                <w:color w:val="0000FF"/>
                <w:sz w:val="16"/>
              </w:rPr>
              <w:t>2</w:t>
            </w:r>
          </w:p>
        </w:tc>
        <w:tc>
          <w:tcPr>
            <w:tcW w:w="315" w:type="pct"/>
            <w:tcBorders>
              <w:tl2br w:val="nil"/>
              <w:tr2bl w:val="nil"/>
            </w:tcBorders>
            <w:shd w:val="clear" w:color="auto" w:fill="auto"/>
            <w:vAlign w:val="center"/>
          </w:tcPr>
          <w:p w14:paraId="103A8B4F">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eastAsiaTheme="minorEastAsia"/>
                <w:color w:val="0000FF"/>
                <w:sz w:val="18"/>
                <w:szCs w:val="18"/>
              </w:rPr>
            </w:pPr>
            <w:r>
              <w:rPr>
                <w:rFonts w:hint="default" w:ascii="Times New Roman" w:hAnsi="Times New Roman" w:cs="Times New Roman"/>
                <w:color w:val="0000FF"/>
                <w:sz w:val="16"/>
              </w:rPr>
              <w:t>3</w:t>
            </w:r>
          </w:p>
        </w:tc>
        <w:tc>
          <w:tcPr>
            <w:tcW w:w="226" w:type="pct"/>
            <w:tcBorders>
              <w:tl2br w:val="nil"/>
              <w:tr2bl w:val="nil"/>
            </w:tcBorders>
            <w:shd w:val="clear" w:color="auto" w:fill="auto"/>
            <w:vAlign w:val="center"/>
          </w:tcPr>
          <w:p w14:paraId="2072178A">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eastAsiaTheme="minorEastAsia"/>
                <w:color w:val="0000FF"/>
                <w:sz w:val="18"/>
                <w:szCs w:val="18"/>
              </w:rPr>
            </w:pPr>
            <w:r>
              <w:rPr>
                <w:rFonts w:hint="default" w:ascii="Times New Roman" w:hAnsi="Times New Roman" w:cs="Times New Roman"/>
                <w:color w:val="0000FF"/>
                <w:sz w:val="16"/>
              </w:rPr>
              <w:t>13</w:t>
            </w:r>
          </w:p>
        </w:tc>
        <w:tc>
          <w:tcPr>
            <w:tcW w:w="300" w:type="pct"/>
            <w:tcBorders>
              <w:tl2br w:val="nil"/>
              <w:tr2bl w:val="nil"/>
            </w:tcBorders>
            <w:shd w:val="clear" w:color="auto" w:fill="auto"/>
            <w:vAlign w:val="center"/>
          </w:tcPr>
          <w:p w14:paraId="3240B726">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eastAsiaTheme="minorEastAsia"/>
                <w:color w:val="0000FF"/>
                <w:sz w:val="18"/>
                <w:szCs w:val="18"/>
              </w:rPr>
            </w:pPr>
            <w:r>
              <w:rPr>
                <w:rFonts w:hint="default" w:ascii="Times New Roman" w:hAnsi="Times New Roman" w:cs="Times New Roman"/>
                <w:color w:val="0000FF"/>
                <w:sz w:val="16"/>
              </w:rPr>
              <w:t>14</w:t>
            </w:r>
          </w:p>
        </w:tc>
        <w:tc>
          <w:tcPr>
            <w:tcW w:w="240" w:type="pct"/>
            <w:tcBorders>
              <w:tl2br w:val="nil"/>
              <w:tr2bl w:val="nil"/>
            </w:tcBorders>
            <w:shd w:val="clear" w:color="auto" w:fill="auto"/>
            <w:vAlign w:val="center"/>
          </w:tcPr>
          <w:p w14:paraId="411AC6D8">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eastAsiaTheme="minorEastAsia"/>
                <w:color w:val="0000FF"/>
                <w:sz w:val="18"/>
                <w:szCs w:val="18"/>
              </w:rPr>
            </w:pPr>
            <w:r>
              <w:rPr>
                <w:rFonts w:hint="default" w:ascii="Times New Roman" w:hAnsi="Times New Roman" w:cs="Times New Roman"/>
                <w:color w:val="0000FF"/>
                <w:sz w:val="16"/>
              </w:rPr>
              <w:t>2</w:t>
            </w:r>
          </w:p>
        </w:tc>
        <w:tc>
          <w:tcPr>
            <w:tcW w:w="290" w:type="pct"/>
            <w:tcBorders>
              <w:tl2br w:val="nil"/>
              <w:tr2bl w:val="nil"/>
            </w:tcBorders>
            <w:shd w:val="clear" w:color="auto" w:fill="auto"/>
            <w:vAlign w:val="center"/>
          </w:tcPr>
          <w:p w14:paraId="63202879">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eastAsiaTheme="minorEastAsia"/>
                <w:color w:val="0000FF"/>
                <w:sz w:val="18"/>
                <w:szCs w:val="18"/>
              </w:rPr>
            </w:pPr>
            <w:r>
              <w:rPr>
                <w:rFonts w:hint="default" w:ascii="Times New Roman" w:hAnsi="Times New Roman" w:cs="Times New Roman"/>
                <w:color w:val="0000FF"/>
                <w:sz w:val="16"/>
              </w:rPr>
              <w:t>2</w:t>
            </w:r>
          </w:p>
        </w:tc>
        <w:tc>
          <w:tcPr>
            <w:tcW w:w="180" w:type="pct"/>
            <w:tcBorders>
              <w:tl2br w:val="nil"/>
              <w:tr2bl w:val="nil"/>
            </w:tcBorders>
            <w:shd w:val="clear" w:color="auto" w:fill="auto"/>
            <w:vAlign w:val="center"/>
          </w:tcPr>
          <w:p w14:paraId="66037662">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eastAsiaTheme="minorEastAsia"/>
                <w:color w:val="0000FF"/>
                <w:sz w:val="18"/>
                <w:szCs w:val="18"/>
              </w:rPr>
            </w:pPr>
            <w:r>
              <w:rPr>
                <w:rFonts w:hint="default" w:ascii="Times New Roman" w:hAnsi="Times New Roman" w:cs="Times New Roman"/>
                <w:color w:val="0000FF"/>
                <w:sz w:val="16"/>
              </w:rPr>
              <w:t>5</w:t>
            </w:r>
          </w:p>
        </w:tc>
        <w:tc>
          <w:tcPr>
            <w:tcW w:w="320" w:type="pct"/>
            <w:tcBorders>
              <w:tl2br w:val="nil"/>
              <w:tr2bl w:val="nil"/>
            </w:tcBorders>
            <w:shd w:val="clear" w:color="auto" w:fill="auto"/>
            <w:vAlign w:val="center"/>
          </w:tcPr>
          <w:p w14:paraId="3520A04D">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eastAsiaTheme="minorEastAsia"/>
                <w:color w:val="0000FF"/>
                <w:sz w:val="18"/>
                <w:szCs w:val="18"/>
              </w:rPr>
            </w:pPr>
            <w:r>
              <w:rPr>
                <w:rFonts w:hint="default" w:ascii="Times New Roman" w:hAnsi="Times New Roman" w:cs="Times New Roman"/>
                <w:color w:val="0000FF"/>
                <w:sz w:val="16"/>
              </w:rPr>
              <w:t>8</w:t>
            </w:r>
          </w:p>
        </w:tc>
        <w:tc>
          <w:tcPr>
            <w:tcW w:w="270" w:type="pct"/>
            <w:tcBorders>
              <w:tl2br w:val="nil"/>
              <w:tr2bl w:val="nil"/>
            </w:tcBorders>
            <w:shd w:val="clear" w:color="auto" w:fill="auto"/>
            <w:vAlign w:val="center"/>
          </w:tcPr>
          <w:p w14:paraId="13BEDDD8">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eastAsiaTheme="minorEastAsia"/>
                <w:color w:val="0000FF"/>
                <w:sz w:val="18"/>
                <w:szCs w:val="18"/>
              </w:rPr>
            </w:pPr>
            <w:r>
              <w:rPr>
                <w:rFonts w:hint="default" w:ascii="Times New Roman" w:hAnsi="Times New Roman" w:cs="Times New Roman"/>
                <w:color w:val="0000FF"/>
                <w:sz w:val="16"/>
              </w:rPr>
              <w:t>7</w:t>
            </w:r>
          </w:p>
        </w:tc>
        <w:tc>
          <w:tcPr>
            <w:tcW w:w="361" w:type="pct"/>
            <w:tcBorders>
              <w:tl2br w:val="nil"/>
              <w:tr2bl w:val="nil"/>
            </w:tcBorders>
            <w:shd w:val="clear" w:color="auto" w:fill="auto"/>
            <w:vAlign w:val="center"/>
          </w:tcPr>
          <w:p w14:paraId="562E43AB">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eastAsiaTheme="minorEastAsia"/>
                <w:color w:val="0000FF"/>
                <w:sz w:val="18"/>
                <w:szCs w:val="18"/>
              </w:rPr>
            </w:pPr>
            <w:r>
              <w:rPr>
                <w:rFonts w:hint="default" w:ascii="Times New Roman" w:hAnsi="Times New Roman" w:cs="Times New Roman"/>
                <w:color w:val="0000FF"/>
                <w:sz w:val="16"/>
              </w:rPr>
              <w:t>6</w:t>
            </w:r>
          </w:p>
        </w:tc>
        <w:tc>
          <w:tcPr>
            <w:tcW w:w="226" w:type="pct"/>
            <w:tcBorders>
              <w:tl2br w:val="nil"/>
              <w:tr2bl w:val="nil"/>
            </w:tcBorders>
            <w:shd w:val="clear" w:color="auto" w:fill="auto"/>
            <w:vAlign w:val="center"/>
          </w:tcPr>
          <w:p w14:paraId="7854D5A3">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eastAsiaTheme="minorEastAsia"/>
                <w:color w:val="0000FF"/>
                <w:sz w:val="18"/>
                <w:szCs w:val="18"/>
              </w:rPr>
            </w:pPr>
            <w:r>
              <w:rPr>
                <w:rFonts w:hint="default" w:ascii="Times New Roman" w:hAnsi="Times New Roman" w:cs="Times New Roman"/>
                <w:color w:val="0000FF"/>
                <w:sz w:val="16"/>
              </w:rPr>
              <w:t>10</w:t>
            </w:r>
          </w:p>
        </w:tc>
        <w:tc>
          <w:tcPr>
            <w:tcW w:w="375" w:type="pct"/>
            <w:tcBorders>
              <w:tl2br w:val="nil"/>
              <w:tr2bl w:val="nil"/>
            </w:tcBorders>
            <w:shd w:val="clear" w:color="auto" w:fill="auto"/>
            <w:vAlign w:val="center"/>
          </w:tcPr>
          <w:p w14:paraId="28A5B29F">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eastAsiaTheme="minorEastAsia"/>
                <w:color w:val="0000FF"/>
                <w:sz w:val="18"/>
                <w:szCs w:val="18"/>
              </w:rPr>
            </w:pPr>
            <w:r>
              <w:rPr>
                <w:rFonts w:hint="default" w:ascii="Times New Roman" w:hAnsi="Times New Roman" w:cs="Times New Roman"/>
                <w:color w:val="0000FF"/>
                <w:sz w:val="16"/>
              </w:rPr>
              <w:t>8</w:t>
            </w:r>
          </w:p>
        </w:tc>
        <w:tc>
          <w:tcPr>
            <w:tcW w:w="285" w:type="pct"/>
            <w:tcBorders>
              <w:tl2br w:val="nil"/>
              <w:tr2bl w:val="nil"/>
            </w:tcBorders>
            <w:shd w:val="clear" w:color="auto" w:fill="auto"/>
            <w:vAlign w:val="center"/>
          </w:tcPr>
          <w:p w14:paraId="5D9A70D3">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eastAsiaTheme="minorEastAsia"/>
                <w:color w:val="0000FF"/>
                <w:sz w:val="18"/>
                <w:szCs w:val="18"/>
              </w:rPr>
            </w:pPr>
            <w:r>
              <w:rPr>
                <w:rFonts w:hint="default" w:ascii="Times New Roman" w:hAnsi="Times New Roman" w:cs="Times New Roman"/>
                <w:color w:val="0000FF"/>
                <w:sz w:val="16"/>
              </w:rPr>
              <w:t>5</w:t>
            </w:r>
          </w:p>
        </w:tc>
        <w:tc>
          <w:tcPr>
            <w:tcW w:w="350" w:type="pct"/>
            <w:tcBorders>
              <w:tl2br w:val="nil"/>
              <w:tr2bl w:val="nil"/>
            </w:tcBorders>
            <w:shd w:val="clear" w:color="auto" w:fill="auto"/>
            <w:vAlign w:val="center"/>
          </w:tcPr>
          <w:p w14:paraId="54F585C3">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eastAsiaTheme="minorEastAsia"/>
                <w:color w:val="0000FF"/>
                <w:sz w:val="18"/>
                <w:szCs w:val="18"/>
              </w:rPr>
            </w:pPr>
            <w:r>
              <w:rPr>
                <w:rFonts w:hint="default" w:ascii="Times New Roman" w:hAnsi="Times New Roman" w:cs="Times New Roman"/>
                <w:color w:val="0000FF"/>
                <w:sz w:val="16"/>
              </w:rPr>
              <w:t>4</w:t>
            </w:r>
          </w:p>
        </w:tc>
        <w:tc>
          <w:tcPr>
            <w:tcW w:w="195" w:type="pct"/>
            <w:tcBorders>
              <w:tl2br w:val="nil"/>
              <w:tr2bl w:val="nil"/>
            </w:tcBorders>
            <w:shd w:val="clear" w:color="auto" w:fill="auto"/>
            <w:vAlign w:val="center"/>
          </w:tcPr>
          <w:p w14:paraId="5A24A795">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eastAsiaTheme="minorEastAsia"/>
                <w:color w:val="0000FF"/>
                <w:sz w:val="18"/>
                <w:szCs w:val="18"/>
              </w:rPr>
            </w:pPr>
            <w:r>
              <w:rPr>
                <w:rFonts w:hint="default" w:ascii="Times New Roman" w:hAnsi="Times New Roman" w:cs="Times New Roman"/>
                <w:color w:val="0000FF"/>
                <w:sz w:val="16"/>
              </w:rPr>
              <w:t>2</w:t>
            </w:r>
          </w:p>
        </w:tc>
      </w:tr>
      <w:tr w14:paraId="27CA8DB3">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286" w:type="pct"/>
            <w:tcBorders>
              <w:tl2br w:val="nil"/>
              <w:tr2bl w:val="nil"/>
            </w:tcBorders>
            <w:shd w:val="clear" w:color="auto" w:fill="auto"/>
            <w:vAlign w:val="center"/>
          </w:tcPr>
          <w:p w14:paraId="4D6EC435">
            <w:pPr>
              <w:keepNext w:val="0"/>
              <w:keepLines w:val="0"/>
              <w:pageBreakBefore w:val="0"/>
              <w:widowControl/>
              <w:kinsoku/>
              <w:wordWrap/>
              <w:overflowPunct/>
              <w:topLinePunct w:val="0"/>
              <w:autoSpaceDE/>
              <w:autoSpaceDN/>
              <w:bidi w:val="0"/>
              <w:snapToGrid w:val="0"/>
              <w:spacing w:line="240" w:lineRule="auto"/>
              <w:jc w:val="center"/>
              <w:textAlignment w:val="auto"/>
              <w:rPr>
                <w:rFonts w:hint="default" w:ascii="Times New Roman" w:hAnsi="Times New Roman" w:cs="Times New Roman" w:eastAsiaTheme="minorEastAsia"/>
                <w:b w:val="0"/>
                <w:bCs/>
                <w:color w:val="0000FF"/>
                <w:sz w:val="18"/>
                <w:szCs w:val="18"/>
              </w:rPr>
            </w:pPr>
            <w:r>
              <w:rPr>
                <w:rFonts w:hint="default" w:ascii="Times New Roman" w:hAnsi="Times New Roman" w:cs="Times New Roman" w:eastAsiaTheme="minorEastAsia"/>
                <w:b w:val="0"/>
                <w:bCs/>
                <w:color w:val="0000FF"/>
                <w:sz w:val="18"/>
                <w:szCs w:val="18"/>
              </w:rPr>
              <w:t>5</w:t>
            </w:r>
          </w:p>
        </w:tc>
        <w:tc>
          <w:tcPr>
            <w:tcW w:w="195" w:type="pct"/>
            <w:tcBorders>
              <w:tl2br w:val="nil"/>
              <w:tr2bl w:val="nil"/>
            </w:tcBorders>
            <w:shd w:val="clear" w:color="auto" w:fill="auto"/>
            <w:vAlign w:val="center"/>
          </w:tcPr>
          <w:p w14:paraId="58B18ED9">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eastAsiaTheme="minorEastAsia"/>
                <w:color w:val="0000FF"/>
                <w:sz w:val="18"/>
                <w:szCs w:val="18"/>
              </w:rPr>
            </w:pPr>
            <w:r>
              <w:rPr>
                <w:rFonts w:hint="default" w:ascii="Times New Roman" w:hAnsi="Times New Roman" w:cs="Times New Roman"/>
                <w:color w:val="0000FF"/>
                <w:sz w:val="16"/>
              </w:rPr>
              <w:t>5</w:t>
            </w:r>
          </w:p>
        </w:tc>
        <w:tc>
          <w:tcPr>
            <w:tcW w:w="320" w:type="pct"/>
            <w:tcBorders>
              <w:tl2br w:val="nil"/>
              <w:tr2bl w:val="nil"/>
            </w:tcBorders>
            <w:shd w:val="clear" w:color="auto" w:fill="auto"/>
            <w:vAlign w:val="center"/>
          </w:tcPr>
          <w:p w14:paraId="7ED13192">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eastAsiaTheme="minorEastAsia"/>
                <w:color w:val="0000FF"/>
                <w:sz w:val="18"/>
                <w:szCs w:val="18"/>
              </w:rPr>
            </w:pPr>
            <w:r>
              <w:rPr>
                <w:rFonts w:hint="default" w:ascii="Times New Roman" w:hAnsi="Times New Roman" w:cs="Times New Roman"/>
                <w:color w:val="0000FF"/>
                <w:sz w:val="16"/>
              </w:rPr>
              <w:t>3</w:t>
            </w:r>
          </w:p>
        </w:tc>
        <w:tc>
          <w:tcPr>
            <w:tcW w:w="255" w:type="pct"/>
            <w:tcBorders>
              <w:tl2br w:val="nil"/>
              <w:tr2bl w:val="nil"/>
            </w:tcBorders>
            <w:shd w:val="clear" w:color="auto" w:fill="auto"/>
            <w:vAlign w:val="center"/>
          </w:tcPr>
          <w:p w14:paraId="5E1775EC">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eastAsiaTheme="minorEastAsia"/>
                <w:color w:val="0000FF"/>
                <w:sz w:val="18"/>
                <w:szCs w:val="18"/>
              </w:rPr>
            </w:pPr>
            <w:r>
              <w:rPr>
                <w:rFonts w:hint="default" w:ascii="Times New Roman" w:hAnsi="Times New Roman" w:cs="Times New Roman"/>
                <w:color w:val="0000FF"/>
                <w:sz w:val="16"/>
              </w:rPr>
              <w:t>2</w:t>
            </w:r>
          </w:p>
        </w:tc>
        <w:tc>
          <w:tcPr>
            <w:tcW w:w="315" w:type="pct"/>
            <w:tcBorders>
              <w:tl2br w:val="nil"/>
              <w:tr2bl w:val="nil"/>
            </w:tcBorders>
            <w:shd w:val="clear" w:color="auto" w:fill="auto"/>
            <w:vAlign w:val="center"/>
          </w:tcPr>
          <w:p w14:paraId="4FA9460A">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eastAsiaTheme="minorEastAsia"/>
                <w:color w:val="0000FF"/>
                <w:sz w:val="18"/>
                <w:szCs w:val="18"/>
              </w:rPr>
            </w:pPr>
            <w:r>
              <w:rPr>
                <w:rFonts w:hint="default" w:ascii="Times New Roman" w:hAnsi="Times New Roman" w:cs="Times New Roman"/>
                <w:color w:val="0000FF"/>
                <w:sz w:val="16"/>
              </w:rPr>
              <w:t>3</w:t>
            </w:r>
          </w:p>
        </w:tc>
        <w:tc>
          <w:tcPr>
            <w:tcW w:w="226" w:type="pct"/>
            <w:tcBorders>
              <w:tl2br w:val="nil"/>
              <w:tr2bl w:val="nil"/>
            </w:tcBorders>
            <w:shd w:val="clear" w:color="auto" w:fill="auto"/>
            <w:vAlign w:val="center"/>
          </w:tcPr>
          <w:p w14:paraId="61B0A207">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eastAsiaTheme="minorEastAsia"/>
                <w:color w:val="0000FF"/>
                <w:sz w:val="18"/>
                <w:szCs w:val="18"/>
              </w:rPr>
            </w:pPr>
            <w:r>
              <w:rPr>
                <w:rFonts w:hint="default" w:ascii="Times New Roman" w:hAnsi="Times New Roman" w:cs="Times New Roman"/>
                <w:color w:val="0000FF"/>
                <w:sz w:val="16"/>
              </w:rPr>
              <w:t>13</w:t>
            </w:r>
          </w:p>
        </w:tc>
        <w:tc>
          <w:tcPr>
            <w:tcW w:w="300" w:type="pct"/>
            <w:tcBorders>
              <w:tl2br w:val="nil"/>
              <w:tr2bl w:val="nil"/>
            </w:tcBorders>
            <w:shd w:val="clear" w:color="auto" w:fill="auto"/>
            <w:vAlign w:val="center"/>
          </w:tcPr>
          <w:p w14:paraId="6F711A1F">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eastAsiaTheme="minorEastAsia"/>
                <w:color w:val="0000FF"/>
                <w:sz w:val="18"/>
                <w:szCs w:val="18"/>
              </w:rPr>
            </w:pPr>
            <w:r>
              <w:rPr>
                <w:rFonts w:hint="default" w:ascii="Times New Roman" w:hAnsi="Times New Roman" w:cs="Times New Roman"/>
                <w:color w:val="0000FF"/>
                <w:sz w:val="16"/>
              </w:rPr>
              <w:t>12</w:t>
            </w:r>
          </w:p>
        </w:tc>
        <w:tc>
          <w:tcPr>
            <w:tcW w:w="240" w:type="pct"/>
            <w:tcBorders>
              <w:tl2br w:val="nil"/>
              <w:tr2bl w:val="nil"/>
            </w:tcBorders>
            <w:shd w:val="clear" w:color="auto" w:fill="auto"/>
            <w:vAlign w:val="center"/>
          </w:tcPr>
          <w:p w14:paraId="2B6E8AE6">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eastAsiaTheme="minorEastAsia"/>
                <w:color w:val="0000FF"/>
                <w:sz w:val="18"/>
                <w:szCs w:val="18"/>
              </w:rPr>
            </w:pPr>
            <w:r>
              <w:rPr>
                <w:rFonts w:hint="default" w:ascii="Times New Roman" w:hAnsi="Times New Roman" w:cs="Times New Roman"/>
                <w:color w:val="0000FF"/>
                <w:sz w:val="16"/>
              </w:rPr>
              <w:t>3</w:t>
            </w:r>
          </w:p>
        </w:tc>
        <w:tc>
          <w:tcPr>
            <w:tcW w:w="290" w:type="pct"/>
            <w:tcBorders>
              <w:tl2br w:val="nil"/>
              <w:tr2bl w:val="nil"/>
            </w:tcBorders>
            <w:shd w:val="clear" w:color="auto" w:fill="auto"/>
            <w:vAlign w:val="center"/>
          </w:tcPr>
          <w:p w14:paraId="417ED69E">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eastAsiaTheme="minorEastAsia"/>
                <w:color w:val="0000FF"/>
                <w:sz w:val="18"/>
                <w:szCs w:val="18"/>
              </w:rPr>
            </w:pPr>
            <w:r>
              <w:rPr>
                <w:rFonts w:hint="default" w:ascii="Times New Roman" w:hAnsi="Times New Roman" w:cs="Times New Roman"/>
                <w:color w:val="0000FF"/>
                <w:sz w:val="16"/>
              </w:rPr>
              <w:t>3</w:t>
            </w:r>
          </w:p>
        </w:tc>
        <w:tc>
          <w:tcPr>
            <w:tcW w:w="180" w:type="pct"/>
            <w:tcBorders>
              <w:tl2br w:val="nil"/>
              <w:tr2bl w:val="nil"/>
            </w:tcBorders>
            <w:shd w:val="clear" w:color="auto" w:fill="auto"/>
            <w:vAlign w:val="center"/>
          </w:tcPr>
          <w:p w14:paraId="7333B3DC">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eastAsiaTheme="minorEastAsia"/>
                <w:color w:val="0000FF"/>
                <w:sz w:val="18"/>
                <w:szCs w:val="18"/>
              </w:rPr>
            </w:pPr>
            <w:r>
              <w:rPr>
                <w:rFonts w:hint="default" w:ascii="Times New Roman" w:hAnsi="Times New Roman" w:cs="Times New Roman"/>
                <w:color w:val="0000FF"/>
                <w:sz w:val="16"/>
              </w:rPr>
              <w:t>6</w:t>
            </w:r>
          </w:p>
        </w:tc>
        <w:tc>
          <w:tcPr>
            <w:tcW w:w="320" w:type="pct"/>
            <w:tcBorders>
              <w:tl2br w:val="nil"/>
              <w:tr2bl w:val="nil"/>
            </w:tcBorders>
            <w:shd w:val="clear" w:color="auto" w:fill="auto"/>
            <w:vAlign w:val="center"/>
          </w:tcPr>
          <w:p w14:paraId="13451F06">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eastAsiaTheme="minorEastAsia"/>
                <w:color w:val="0000FF"/>
                <w:sz w:val="18"/>
                <w:szCs w:val="18"/>
              </w:rPr>
            </w:pPr>
            <w:r>
              <w:rPr>
                <w:rFonts w:hint="default" w:ascii="Times New Roman" w:hAnsi="Times New Roman" w:cs="Times New Roman"/>
                <w:color w:val="0000FF"/>
                <w:sz w:val="16"/>
              </w:rPr>
              <w:t>9</w:t>
            </w:r>
          </w:p>
        </w:tc>
        <w:tc>
          <w:tcPr>
            <w:tcW w:w="270" w:type="pct"/>
            <w:tcBorders>
              <w:tl2br w:val="nil"/>
              <w:tr2bl w:val="nil"/>
            </w:tcBorders>
            <w:shd w:val="clear" w:color="auto" w:fill="auto"/>
            <w:vAlign w:val="center"/>
          </w:tcPr>
          <w:p w14:paraId="3CD19D11">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eastAsiaTheme="minorEastAsia"/>
                <w:color w:val="0000FF"/>
                <w:sz w:val="18"/>
                <w:szCs w:val="18"/>
              </w:rPr>
            </w:pPr>
            <w:r>
              <w:rPr>
                <w:rFonts w:hint="default" w:ascii="Times New Roman" w:hAnsi="Times New Roman" w:cs="Times New Roman"/>
                <w:color w:val="0000FF"/>
                <w:sz w:val="16"/>
              </w:rPr>
              <w:t>9</w:t>
            </w:r>
          </w:p>
        </w:tc>
        <w:tc>
          <w:tcPr>
            <w:tcW w:w="361" w:type="pct"/>
            <w:tcBorders>
              <w:tl2br w:val="nil"/>
              <w:tr2bl w:val="nil"/>
            </w:tcBorders>
            <w:shd w:val="clear" w:color="auto" w:fill="auto"/>
            <w:vAlign w:val="center"/>
          </w:tcPr>
          <w:p w14:paraId="3C6370C7">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eastAsiaTheme="minorEastAsia"/>
                <w:color w:val="0000FF"/>
                <w:sz w:val="18"/>
                <w:szCs w:val="18"/>
              </w:rPr>
            </w:pPr>
            <w:r>
              <w:rPr>
                <w:rFonts w:hint="default" w:ascii="Times New Roman" w:hAnsi="Times New Roman" w:cs="Times New Roman"/>
                <w:color w:val="0000FF"/>
                <w:sz w:val="16"/>
              </w:rPr>
              <w:t>6</w:t>
            </w:r>
          </w:p>
        </w:tc>
        <w:tc>
          <w:tcPr>
            <w:tcW w:w="226" w:type="pct"/>
            <w:tcBorders>
              <w:tl2br w:val="nil"/>
              <w:tr2bl w:val="nil"/>
            </w:tcBorders>
            <w:shd w:val="clear" w:color="auto" w:fill="auto"/>
            <w:vAlign w:val="center"/>
          </w:tcPr>
          <w:p w14:paraId="38A6A1F7">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eastAsiaTheme="minorEastAsia"/>
                <w:color w:val="0000FF"/>
                <w:sz w:val="18"/>
                <w:szCs w:val="18"/>
              </w:rPr>
            </w:pPr>
            <w:r>
              <w:rPr>
                <w:rFonts w:hint="default" w:ascii="Times New Roman" w:hAnsi="Times New Roman" w:cs="Times New Roman"/>
                <w:color w:val="0000FF"/>
                <w:sz w:val="16"/>
              </w:rPr>
              <w:t>10</w:t>
            </w:r>
          </w:p>
        </w:tc>
        <w:tc>
          <w:tcPr>
            <w:tcW w:w="375" w:type="pct"/>
            <w:tcBorders>
              <w:tl2br w:val="nil"/>
              <w:tr2bl w:val="nil"/>
            </w:tcBorders>
            <w:shd w:val="clear" w:color="auto" w:fill="auto"/>
            <w:vAlign w:val="center"/>
          </w:tcPr>
          <w:p w14:paraId="04E719E8">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eastAsiaTheme="minorEastAsia"/>
                <w:color w:val="0000FF"/>
                <w:sz w:val="18"/>
                <w:szCs w:val="18"/>
              </w:rPr>
            </w:pPr>
            <w:r>
              <w:rPr>
                <w:rFonts w:hint="default" w:ascii="Times New Roman" w:hAnsi="Times New Roman" w:cs="Times New Roman"/>
                <w:color w:val="0000FF"/>
                <w:sz w:val="16"/>
              </w:rPr>
              <w:t>7</w:t>
            </w:r>
          </w:p>
        </w:tc>
        <w:tc>
          <w:tcPr>
            <w:tcW w:w="285" w:type="pct"/>
            <w:tcBorders>
              <w:tl2br w:val="nil"/>
              <w:tr2bl w:val="nil"/>
            </w:tcBorders>
            <w:shd w:val="clear" w:color="auto" w:fill="auto"/>
            <w:vAlign w:val="center"/>
          </w:tcPr>
          <w:p w14:paraId="7E1EC607">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eastAsiaTheme="minorEastAsia"/>
                <w:color w:val="0000FF"/>
                <w:sz w:val="18"/>
                <w:szCs w:val="18"/>
              </w:rPr>
            </w:pPr>
            <w:r>
              <w:rPr>
                <w:rFonts w:hint="default" w:ascii="Times New Roman" w:hAnsi="Times New Roman" w:cs="Times New Roman"/>
                <w:color w:val="0000FF"/>
                <w:sz w:val="16"/>
              </w:rPr>
              <w:t>4</w:t>
            </w:r>
          </w:p>
        </w:tc>
        <w:tc>
          <w:tcPr>
            <w:tcW w:w="350" w:type="pct"/>
            <w:tcBorders>
              <w:tl2br w:val="nil"/>
              <w:tr2bl w:val="nil"/>
            </w:tcBorders>
            <w:shd w:val="clear" w:color="auto" w:fill="auto"/>
            <w:vAlign w:val="center"/>
          </w:tcPr>
          <w:p w14:paraId="38F230C1">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eastAsiaTheme="minorEastAsia"/>
                <w:color w:val="0000FF"/>
                <w:sz w:val="18"/>
                <w:szCs w:val="18"/>
              </w:rPr>
            </w:pPr>
            <w:r>
              <w:rPr>
                <w:rFonts w:hint="default" w:ascii="Times New Roman" w:hAnsi="Times New Roman" w:cs="Times New Roman"/>
                <w:color w:val="0000FF"/>
                <w:sz w:val="16"/>
              </w:rPr>
              <w:t>3</w:t>
            </w:r>
          </w:p>
        </w:tc>
        <w:tc>
          <w:tcPr>
            <w:tcW w:w="195" w:type="pct"/>
            <w:tcBorders>
              <w:tl2br w:val="nil"/>
              <w:tr2bl w:val="nil"/>
            </w:tcBorders>
            <w:shd w:val="clear" w:color="auto" w:fill="auto"/>
            <w:vAlign w:val="center"/>
          </w:tcPr>
          <w:p w14:paraId="62ECC02D">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eastAsiaTheme="minorEastAsia"/>
                <w:color w:val="0000FF"/>
                <w:sz w:val="18"/>
                <w:szCs w:val="18"/>
              </w:rPr>
            </w:pPr>
            <w:r>
              <w:rPr>
                <w:rFonts w:hint="default" w:ascii="Times New Roman" w:hAnsi="Times New Roman" w:cs="Times New Roman"/>
                <w:color w:val="0000FF"/>
                <w:sz w:val="16"/>
              </w:rPr>
              <w:t>2</w:t>
            </w:r>
          </w:p>
        </w:tc>
      </w:tr>
      <w:tr w14:paraId="18691273">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 w:hRule="atLeast"/>
          <w:jc w:val="center"/>
        </w:trPr>
        <w:tc>
          <w:tcPr>
            <w:tcW w:w="286" w:type="pct"/>
            <w:tcBorders>
              <w:tl2br w:val="nil"/>
              <w:tr2bl w:val="nil"/>
            </w:tcBorders>
            <w:shd w:val="clear" w:color="auto" w:fill="auto"/>
            <w:vAlign w:val="center"/>
          </w:tcPr>
          <w:p w14:paraId="659C68AB">
            <w:pPr>
              <w:keepNext w:val="0"/>
              <w:keepLines w:val="0"/>
              <w:pageBreakBefore w:val="0"/>
              <w:widowControl/>
              <w:kinsoku/>
              <w:wordWrap/>
              <w:overflowPunct/>
              <w:topLinePunct w:val="0"/>
              <w:autoSpaceDE/>
              <w:autoSpaceDN/>
              <w:bidi w:val="0"/>
              <w:snapToGrid w:val="0"/>
              <w:spacing w:line="240" w:lineRule="auto"/>
              <w:jc w:val="center"/>
              <w:textAlignment w:val="auto"/>
              <w:rPr>
                <w:rFonts w:hint="default" w:ascii="Times New Roman" w:hAnsi="Times New Roman" w:cs="Times New Roman" w:eastAsiaTheme="minorEastAsia"/>
                <w:b w:val="0"/>
                <w:bCs/>
                <w:color w:val="0000FF"/>
                <w:sz w:val="18"/>
                <w:szCs w:val="18"/>
              </w:rPr>
            </w:pPr>
            <w:r>
              <w:rPr>
                <w:rFonts w:hint="default" w:ascii="Times New Roman" w:hAnsi="Times New Roman" w:cs="Times New Roman" w:eastAsiaTheme="minorEastAsia"/>
                <w:b w:val="0"/>
                <w:bCs/>
                <w:color w:val="0000FF"/>
                <w:sz w:val="18"/>
                <w:szCs w:val="18"/>
              </w:rPr>
              <w:t>6</w:t>
            </w:r>
          </w:p>
        </w:tc>
        <w:tc>
          <w:tcPr>
            <w:tcW w:w="195" w:type="pct"/>
            <w:tcBorders>
              <w:tl2br w:val="nil"/>
              <w:tr2bl w:val="nil"/>
            </w:tcBorders>
            <w:shd w:val="clear" w:color="auto" w:fill="auto"/>
            <w:vAlign w:val="center"/>
          </w:tcPr>
          <w:p w14:paraId="7373E373">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eastAsiaTheme="minorEastAsia"/>
                <w:color w:val="0000FF"/>
                <w:sz w:val="18"/>
                <w:szCs w:val="18"/>
              </w:rPr>
            </w:pPr>
            <w:r>
              <w:rPr>
                <w:rFonts w:hint="default" w:ascii="Times New Roman" w:hAnsi="Times New Roman" w:cs="Times New Roman"/>
                <w:color w:val="0000FF"/>
                <w:sz w:val="16"/>
              </w:rPr>
              <w:t>5</w:t>
            </w:r>
          </w:p>
        </w:tc>
        <w:tc>
          <w:tcPr>
            <w:tcW w:w="320" w:type="pct"/>
            <w:tcBorders>
              <w:tl2br w:val="nil"/>
              <w:tr2bl w:val="nil"/>
            </w:tcBorders>
            <w:shd w:val="clear" w:color="auto" w:fill="auto"/>
            <w:vAlign w:val="center"/>
          </w:tcPr>
          <w:p w14:paraId="75B19D27">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eastAsiaTheme="minorEastAsia"/>
                <w:color w:val="0000FF"/>
                <w:sz w:val="18"/>
                <w:szCs w:val="18"/>
              </w:rPr>
            </w:pPr>
            <w:r>
              <w:rPr>
                <w:rFonts w:hint="default" w:ascii="Times New Roman" w:hAnsi="Times New Roman" w:cs="Times New Roman"/>
                <w:color w:val="0000FF"/>
                <w:sz w:val="16"/>
              </w:rPr>
              <w:t>3</w:t>
            </w:r>
          </w:p>
        </w:tc>
        <w:tc>
          <w:tcPr>
            <w:tcW w:w="255" w:type="pct"/>
            <w:tcBorders>
              <w:tl2br w:val="nil"/>
              <w:tr2bl w:val="nil"/>
            </w:tcBorders>
            <w:shd w:val="clear" w:color="auto" w:fill="auto"/>
            <w:vAlign w:val="center"/>
          </w:tcPr>
          <w:p w14:paraId="3776F271">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eastAsiaTheme="minorEastAsia"/>
                <w:color w:val="0000FF"/>
                <w:sz w:val="18"/>
                <w:szCs w:val="18"/>
              </w:rPr>
            </w:pPr>
            <w:r>
              <w:rPr>
                <w:rFonts w:hint="default" w:ascii="Times New Roman" w:hAnsi="Times New Roman" w:cs="Times New Roman"/>
                <w:color w:val="0000FF"/>
                <w:sz w:val="16"/>
              </w:rPr>
              <w:t>3</w:t>
            </w:r>
          </w:p>
        </w:tc>
        <w:tc>
          <w:tcPr>
            <w:tcW w:w="315" w:type="pct"/>
            <w:tcBorders>
              <w:tl2br w:val="nil"/>
              <w:tr2bl w:val="nil"/>
            </w:tcBorders>
            <w:shd w:val="clear" w:color="auto" w:fill="auto"/>
            <w:vAlign w:val="center"/>
          </w:tcPr>
          <w:p w14:paraId="30188618">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eastAsiaTheme="minorEastAsia"/>
                <w:color w:val="0000FF"/>
                <w:sz w:val="18"/>
                <w:szCs w:val="18"/>
              </w:rPr>
            </w:pPr>
            <w:r>
              <w:rPr>
                <w:rFonts w:hint="default" w:ascii="Times New Roman" w:hAnsi="Times New Roman" w:cs="Times New Roman"/>
                <w:color w:val="0000FF"/>
                <w:sz w:val="16"/>
              </w:rPr>
              <w:t>5</w:t>
            </w:r>
          </w:p>
        </w:tc>
        <w:tc>
          <w:tcPr>
            <w:tcW w:w="226" w:type="pct"/>
            <w:tcBorders>
              <w:tl2br w:val="nil"/>
              <w:tr2bl w:val="nil"/>
            </w:tcBorders>
            <w:shd w:val="clear" w:color="auto" w:fill="auto"/>
            <w:vAlign w:val="center"/>
          </w:tcPr>
          <w:p w14:paraId="4307AADC">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eastAsiaTheme="minorEastAsia"/>
                <w:color w:val="0000FF"/>
                <w:sz w:val="18"/>
                <w:szCs w:val="18"/>
              </w:rPr>
            </w:pPr>
            <w:r>
              <w:rPr>
                <w:rFonts w:hint="default" w:ascii="Times New Roman" w:hAnsi="Times New Roman" w:cs="Times New Roman"/>
                <w:color w:val="0000FF"/>
                <w:sz w:val="16"/>
              </w:rPr>
              <w:t>18</w:t>
            </w:r>
          </w:p>
        </w:tc>
        <w:tc>
          <w:tcPr>
            <w:tcW w:w="300" w:type="pct"/>
            <w:tcBorders>
              <w:tl2br w:val="nil"/>
              <w:tr2bl w:val="nil"/>
            </w:tcBorders>
            <w:shd w:val="clear" w:color="auto" w:fill="auto"/>
            <w:vAlign w:val="center"/>
          </w:tcPr>
          <w:p w14:paraId="52385ACE">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eastAsiaTheme="minorEastAsia"/>
                <w:color w:val="0000FF"/>
                <w:sz w:val="18"/>
                <w:szCs w:val="18"/>
              </w:rPr>
            </w:pPr>
            <w:r>
              <w:rPr>
                <w:rFonts w:hint="default" w:ascii="Times New Roman" w:hAnsi="Times New Roman" w:cs="Times New Roman"/>
                <w:color w:val="0000FF"/>
                <w:sz w:val="16"/>
              </w:rPr>
              <w:t>11</w:t>
            </w:r>
          </w:p>
        </w:tc>
        <w:tc>
          <w:tcPr>
            <w:tcW w:w="240" w:type="pct"/>
            <w:tcBorders>
              <w:tl2br w:val="nil"/>
              <w:tr2bl w:val="nil"/>
            </w:tcBorders>
            <w:shd w:val="clear" w:color="auto" w:fill="auto"/>
            <w:vAlign w:val="center"/>
          </w:tcPr>
          <w:p w14:paraId="76F5350F">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eastAsiaTheme="minorEastAsia"/>
                <w:color w:val="0000FF"/>
                <w:sz w:val="18"/>
                <w:szCs w:val="18"/>
              </w:rPr>
            </w:pPr>
            <w:r>
              <w:rPr>
                <w:rFonts w:hint="default" w:ascii="Times New Roman" w:hAnsi="Times New Roman" w:cs="Times New Roman"/>
                <w:color w:val="0000FF"/>
                <w:sz w:val="16"/>
              </w:rPr>
              <w:t>3</w:t>
            </w:r>
          </w:p>
        </w:tc>
        <w:tc>
          <w:tcPr>
            <w:tcW w:w="290" w:type="pct"/>
            <w:tcBorders>
              <w:tl2br w:val="nil"/>
              <w:tr2bl w:val="nil"/>
            </w:tcBorders>
            <w:shd w:val="clear" w:color="auto" w:fill="auto"/>
            <w:vAlign w:val="center"/>
          </w:tcPr>
          <w:p w14:paraId="0FD3BF6D">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eastAsiaTheme="minorEastAsia"/>
                <w:color w:val="0000FF"/>
                <w:sz w:val="18"/>
                <w:szCs w:val="18"/>
              </w:rPr>
            </w:pPr>
            <w:r>
              <w:rPr>
                <w:rFonts w:hint="default" w:ascii="Times New Roman" w:hAnsi="Times New Roman" w:cs="Times New Roman"/>
                <w:color w:val="0000FF"/>
                <w:sz w:val="16"/>
              </w:rPr>
              <w:t>4</w:t>
            </w:r>
          </w:p>
        </w:tc>
        <w:tc>
          <w:tcPr>
            <w:tcW w:w="180" w:type="pct"/>
            <w:tcBorders>
              <w:tl2br w:val="nil"/>
              <w:tr2bl w:val="nil"/>
            </w:tcBorders>
            <w:shd w:val="clear" w:color="auto" w:fill="auto"/>
            <w:vAlign w:val="center"/>
          </w:tcPr>
          <w:p w14:paraId="43F5EA02">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eastAsiaTheme="minorEastAsia"/>
                <w:color w:val="0000FF"/>
                <w:sz w:val="18"/>
                <w:szCs w:val="18"/>
              </w:rPr>
            </w:pPr>
            <w:r>
              <w:rPr>
                <w:rFonts w:hint="default" w:ascii="Times New Roman" w:hAnsi="Times New Roman" w:cs="Times New Roman"/>
                <w:color w:val="0000FF"/>
                <w:sz w:val="16"/>
              </w:rPr>
              <w:t>7</w:t>
            </w:r>
          </w:p>
        </w:tc>
        <w:tc>
          <w:tcPr>
            <w:tcW w:w="320" w:type="pct"/>
            <w:tcBorders>
              <w:tl2br w:val="nil"/>
              <w:tr2bl w:val="nil"/>
            </w:tcBorders>
            <w:shd w:val="clear" w:color="auto" w:fill="auto"/>
            <w:vAlign w:val="center"/>
          </w:tcPr>
          <w:p w14:paraId="5D55C68E">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eastAsiaTheme="minorEastAsia"/>
                <w:color w:val="0000FF"/>
                <w:sz w:val="18"/>
                <w:szCs w:val="18"/>
              </w:rPr>
            </w:pPr>
            <w:r>
              <w:rPr>
                <w:rFonts w:hint="default" w:ascii="Times New Roman" w:hAnsi="Times New Roman" w:cs="Times New Roman"/>
                <w:color w:val="0000FF"/>
                <w:sz w:val="16"/>
              </w:rPr>
              <w:t>9</w:t>
            </w:r>
          </w:p>
        </w:tc>
        <w:tc>
          <w:tcPr>
            <w:tcW w:w="270" w:type="pct"/>
            <w:tcBorders>
              <w:tl2br w:val="nil"/>
              <w:tr2bl w:val="nil"/>
            </w:tcBorders>
            <w:shd w:val="clear" w:color="auto" w:fill="auto"/>
            <w:vAlign w:val="center"/>
          </w:tcPr>
          <w:p w14:paraId="086A632D">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eastAsiaTheme="minorEastAsia"/>
                <w:color w:val="0000FF"/>
                <w:sz w:val="18"/>
                <w:szCs w:val="18"/>
              </w:rPr>
            </w:pPr>
            <w:r>
              <w:rPr>
                <w:rFonts w:hint="default" w:ascii="Times New Roman" w:hAnsi="Times New Roman" w:cs="Times New Roman"/>
                <w:color w:val="0000FF"/>
                <w:sz w:val="16"/>
              </w:rPr>
              <w:t>8</w:t>
            </w:r>
          </w:p>
        </w:tc>
        <w:tc>
          <w:tcPr>
            <w:tcW w:w="361" w:type="pct"/>
            <w:tcBorders>
              <w:tl2br w:val="nil"/>
              <w:tr2bl w:val="nil"/>
            </w:tcBorders>
            <w:shd w:val="clear" w:color="auto" w:fill="auto"/>
            <w:vAlign w:val="center"/>
          </w:tcPr>
          <w:p w14:paraId="0E2F8857">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eastAsiaTheme="minorEastAsia"/>
                <w:color w:val="0000FF"/>
                <w:sz w:val="18"/>
                <w:szCs w:val="18"/>
              </w:rPr>
            </w:pPr>
            <w:r>
              <w:rPr>
                <w:rFonts w:hint="default" w:ascii="Times New Roman" w:hAnsi="Times New Roman" w:cs="Times New Roman"/>
                <w:color w:val="0000FF"/>
                <w:sz w:val="16"/>
              </w:rPr>
              <w:t>5</w:t>
            </w:r>
          </w:p>
        </w:tc>
        <w:tc>
          <w:tcPr>
            <w:tcW w:w="226" w:type="pct"/>
            <w:tcBorders>
              <w:tl2br w:val="nil"/>
              <w:tr2bl w:val="nil"/>
            </w:tcBorders>
            <w:shd w:val="clear" w:color="auto" w:fill="auto"/>
            <w:vAlign w:val="center"/>
          </w:tcPr>
          <w:p w14:paraId="48679DBE">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eastAsiaTheme="minorEastAsia"/>
                <w:color w:val="0000FF"/>
                <w:sz w:val="18"/>
                <w:szCs w:val="18"/>
              </w:rPr>
            </w:pPr>
            <w:r>
              <w:rPr>
                <w:rFonts w:hint="default" w:ascii="Times New Roman" w:hAnsi="Times New Roman" w:cs="Times New Roman"/>
                <w:color w:val="0000FF"/>
                <w:sz w:val="16"/>
              </w:rPr>
              <w:t>6</w:t>
            </w:r>
          </w:p>
        </w:tc>
        <w:tc>
          <w:tcPr>
            <w:tcW w:w="375" w:type="pct"/>
            <w:tcBorders>
              <w:tl2br w:val="nil"/>
              <w:tr2bl w:val="nil"/>
            </w:tcBorders>
            <w:shd w:val="clear" w:color="auto" w:fill="auto"/>
            <w:vAlign w:val="center"/>
          </w:tcPr>
          <w:p w14:paraId="3AB643A3">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eastAsiaTheme="minorEastAsia"/>
                <w:color w:val="0000FF"/>
                <w:sz w:val="18"/>
                <w:szCs w:val="18"/>
              </w:rPr>
            </w:pPr>
            <w:r>
              <w:rPr>
                <w:rFonts w:hint="default" w:ascii="Times New Roman" w:hAnsi="Times New Roman" w:cs="Times New Roman"/>
                <w:color w:val="0000FF"/>
                <w:sz w:val="16"/>
              </w:rPr>
              <w:t>5</w:t>
            </w:r>
          </w:p>
        </w:tc>
        <w:tc>
          <w:tcPr>
            <w:tcW w:w="285" w:type="pct"/>
            <w:tcBorders>
              <w:tl2br w:val="nil"/>
              <w:tr2bl w:val="nil"/>
            </w:tcBorders>
            <w:shd w:val="clear" w:color="auto" w:fill="auto"/>
            <w:vAlign w:val="center"/>
          </w:tcPr>
          <w:p w14:paraId="531F5345">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eastAsiaTheme="minorEastAsia"/>
                <w:color w:val="0000FF"/>
                <w:sz w:val="18"/>
                <w:szCs w:val="18"/>
              </w:rPr>
            </w:pPr>
            <w:r>
              <w:rPr>
                <w:rFonts w:hint="default" w:ascii="Times New Roman" w:hAnsi="Times New Roman" w:cs="Times New Roman"/>
                <w:color w:val="0000FF"/>
                <w:sz w:val="16"/>
              </w:rPr>
              <w:t>4</w:t>
            </w:r>
          </w:p>
        </w:tc>
        <w:tc>
          <w:tcPr>
            <w:tcW w:w="350" w:type="pct"/>
            <w:tcBorders>
              <w:tl2br w:val="nil"/>
              <w:tr2bl w:val="nil"/>
            </w:tcBorders>
            <w:shd w:val="clear" w:color="auto" w:fill="auto"/>
            <w:vAlign w:val="center"/>
          </w:tcPr>
          <w:p w14:paraId="4130E65F">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eastAsiaTheme="minorEastAsia"/>
                <w:color w:val="0000FF"/>
                <w:sz w:val="18"/>
                <w:szCs w:val="18"/>
              </w:rPr>
            </w:pPr>
            <w:r>
              <w:rPr>
                <w:rFonts w:hint="default" w:ascii="Times New Roman" w:hAnsi="Times New Roman" w:cs="Times New Roman"/>
                <w:color w:val="0000FF"/>
                <w:sz w:val="16"/>
              </w:rPr>
              <w:t>3</w:t>
            </w:r>
          </w:p>
        </w:tc>
        <w:tc>
          <w:tcPr>
            <w:tcW w:w="195" w:type="pct"/>
            <w:tcBorders>
              <w:tl2br w:val="nil"/>
              <w:tr2bl w:val="nil"/>
            </w:tcBorders>
            <w:shd w:val="clear" w:color="auto" w:fill="auto"/>
            <w:vAlign w:val="center"/>
          </w:tcPr>
          <w:p w14:paraId="7694140D">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eastAsiaTheme="minorEastAsia"/>
                <w:color w:val="0000FF"/>
                <w:sz w:val="18"/>
                <w:szCs w:val="18"/>
              </w:rPr>
            </w:pPr>
            <w:r>
              <w:rPr>
                <w:rFonts w:hint="default" w:ascii="Times New Roman" w:hAnsi="Times New Roman" w:cs="Times New Roman"/>
                <w:color w:val="0000FF"/>
                <w:sz w:val="16"/>
              </w:rPr>
              <w:t>2</w:t>
            </w:r>
          </w:p>
        </w:tc>
      </w:tr>
      <w:tr w14:paraId="06E6C956">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 w:hRule="atLeast"/>
          <w:jc w:val="center"/>
        </w:trPr>
        <w:tc>
          <w:tcPr>
            <w:tcW w:w="286" w:type="pct"/>
            <w:tcBorders>
              <w:tl2br w:val="nil"/>
              <w:tr2bl w:val="nil"/>
            </w:tcBorders>
            <w:shd w:val="clear" w:color="auto" w:fill="auto"/>
            <w:vAlign w:val="center"/>
          </w:tcPr>
          <w:p w14:paraId="68DB7882">
            <w:pPr>
              <w:keepNext w:val="0"/>
              <w:keepLines w:val="0"/>
              <w:pageBreakBefore w:val="0"/>
              <w:widowControl/>
              <w:kinsoku/>
              <w:wordWrap/>
              <w:overflowPunct/>
              <w:topLinePunct w:val="0"/>
              <w:autoSpaceDE/>
              <w:autoSpaceDN/>
              <w:bidi w:val="0"/>
              <w:snapToGrid w:val="0"/>
              <w:spacing w:line="240" w:lineRule="auto"/>
              <w:jc w:val="center"/>
              <w:textAlignment w:val="auto"/>
              <w:rPr>
                <w:rFonts w:hint="default" w:ascii="Times New Roman" w:hAnsi="Times New Roman" w:cs="Times New Roman" w:eastAsiaTheme="minorEastAsia"/>
                <w:b w:val="0"/>
                <w:bCs/>
                <w:color w:val="0000FF"/>
                <w:sz w:val="18"/>
                <w:szCs w:val="18"/>
              </w:rPr>
            </w:pPr>
            <w:r>
              <w:rPr>
                <w:rFonts w:hint="default" w:ascii="Times New Roman" w:hAnsi="Times New Roman" w:cs="Times New Roman" w:eastAsiaTheme="minorEastAsia"/>
                <w:b w:val="0"/>
                <w:bCs/>
                <w:color w:val="0000FF"/>
                <w:sz w:val="18"/>
                <w:szCs w:val="18"/>
              </w:rPr>
              <w:t>7</w:t>
            </w:r>
          </w:p>
        </w:tc>
        <w:tc>
          <w:tcPr>
            <w:tcW w:w="195" w:type="pct"/>
            <w:tcBorders>
              <w:tl2br w:val="nil"/>
              <w:tr2bl w:val="nil"/>
            </w:tcBorders>
            <w:shd w:val="clear" w:color="auto" w:fill="auto"/>
            <w:vAlign w:val="center"/>
          </w:tcPr>
          <w:p w14:paraId="1761C89E">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eastAsiaTheme="minorEastAsia"/>
                <w:color w:val="0000FF"/>
                <w:sz w:val="18"/>
                <w:szCs w:val="18"/>
              </w:rPr>
            </w:pPr>
            <w:r>
              <w:rPr>
                <w:rFonts w:hint="default" w:ascii="Times New Roman" w:hAnsi="Times New Roman" w:cs="Times New Roman"/>
                <w:color w:val="0000FF"/>
                <w:sz w:val="16"/>
              </w:rPr>
              <w:t>4</w:t>
            </w:r>
          </w:p>
        </w:tc>
        <w:tc>
          <w:tcPr>
            <w:tcW w:w="320" w:type="pct"/>
            <w:tcBorders>
              <w:tl2br w:val="nil"/>
              <w:tr2bl w:val="nil"/>
            </w:tcBorders>
            <w:shd w:val="clear" w:color="auto" w:fill="auto"/>
            <w:vAlign w:val="center"/>
          </w:tcPr>
          <w:p w14:paraId="3EF11B65">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eastAsiaTheme="minorEastAsia"/>
                <w:color w:val="0000FF"/>
                <w:sz w:val="18"/>
                <w:szCs w:val="18"/>
              </w:rPr>
            </w:pPr>
            <w:r>
              <w:rPr>
                <w:rFonts w:hint="default" w:ascii="Times New Roman" w:hAnsi="Times New Roman" w:cs="Times New Roman"/>
                <w:color w:val="0000FF"/>
                <w:sz w:val="16"/>
              </w:rPr>
              <w:t>4</w:t>
            </w:r>
          </w:p>
        </w:tc>
        <w:tc>
          <w:tcPr>
            <w:tcW w:w="255" w:type="pct"/>
            <w:tcBorders>
              <w:tl2br w:val="nil"/>
              <w:tr2bl w:val="nil"/>
            </w:tcBorders>
            <w:shd w:val="clear" w:color="auto" w:fill="auto"/>
            <w:vAlign w:val="center"/>
          </w:tcPr>
          <w:p w14:paraId="5CE46F3B">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eastAsiaTheme="minorEastAsia"/>
                <w:color w:val="0000FF"/>
                <w:sz w:val="18"/>
                <w:szCs w:val="18"/>
              </w:rPr>
            </w:pPr>
            <w:r>
              <w:rPr>
                <w:rFonts w:hint="default" w:ascii="Times New Roman" w:hAnsi="Times New Roman" w:cs="Times New Roman"/>
                <w:color w:val="0000FF"/>
                <w:sz w:val="16"/>
              </w:rPr>
              <w:t>3</w:t>
            </w:r>
          </w:p>
        </w:tc>
        <w:tc>
          <w:tcPr>
            <w:tcW w:w="315" w:type="pct"/>
            <w:tcBorders>
              <w:tl2br w:val="nil"/>
              <w:tr2bl w:val="nil"/>
            </w:tcBorders>
            <w:shd w:val="clear" w:color="auto" w:fill="auto"/>
            <w:vAlign w:val="center"/>
          </w:tcPr>
          <w:p w14:paraId="54C5F39A">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eastAsiaTheme="minorEastAsia"/>
                <w:color w:val="0000FF"/>
                <w:sz w:val="18"/>
                <w:szCs w:val="18"/>
              </w:rPr>
            </w:pPr>
            <w:r>
              <w:rPr>
                <w:rFonts w:hint="default" w:ascii="Times New Roman" w:hAnsi="Times New Roman" w:cs="Times New Roman"/>
                <w:color w:val="0000FF"/>
                <w:sz w:val="16"/>
              </w:rPr>
              <w:t>6</w:t>
            </w:r>
          </w:p>
        </w:tc>
        <w:tc>
          <w:tcPr>
            <w:tcW w:w="226" w:type="pct"/>
            <w:tcBorders>
              <w:tl2br w:val="nil"/>
              <w:tr2bl w:val="nil"/>
            </w:tcBorders>
            <w:shd w:val="clear" w:color="auto" w:fill="auto"/>
            <w:vAlign w:val="center"/>
          </w:tcPr>
          <w:p w14:paraId="7D70A769">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eastAsiaTheme="minorEastAsia"/>
                <w:color w:val="0000FF"/>
                <w:sz w:val="18"/>
                <w:szCs w:val="18"/>
              </w:rPr>
            </w:pPr>
            <w:r>
              <w:rPr>
                <w:rFonts w:hint="default" w:ascii="Times New Roman" w:hAnsi="Times New Roman" w:cs="Times New Roman"/>
                <w:color w:val="0000FF"/>
                <w:sz w:val="16"/>
              </w:rPr>
              <w:t>18</w:t>
            </w:r>
          </w:p>
        </w:tc>
        <w:tc>
          <w:tcPr>
            <w:tcW w:w="300" w:type="pct"/>
            <w:tcBorders>
              <w:tl2br w:val="nil"/>
              <w:tr2bl w:val="nil"/>
            </w:tcBorders>
            <w:shd w:val="clear" w:color="auto" w:fill="auto"/>
            <w:vAlign w:val="center"/>
          </w:tcPr>
          <w:p w14:paraId="045A8FCE">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eastAsiaTheme="minorEastAsia"/>
                <w:color w:val="0000FF"/>
                <w:sz w:val="18"/>
                <w:szCs w:val="18"/>
              </w:rPr>
            </w:pPr>
            <w:r>
              <w:rPr>
                <w:rFonts w:hint="default" w:ascii="Times New Roman" w:hAnsi="Times New Roman" w:cs="Times New Roman"/>
                <w:color w:val="0000FF"/>
                <w:sz w:val="16"/>
              </w:rPr>
              <w:t>12</w:t>
            </w:r>
          </w:p>
        </w:tc>
        <w:tc>
          <w:tcPr>
            <w:tcW w:w="240" w:type="pct"/>
            <w:tcBorders>
              <w:tl2br w:val="nil"/>
              <w:tr2bl w:val="nil"/>
            </w:tcBorders>
            <w:shd w:val="clear" w:color="auto" w:fill="auto"/>
            <w:vAlign w:val="center"/>
          </w:tcPr>
          <w:p w14:paraId="11C162EF">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eastAsiaTheme="minorEastAsia"/>
                <w:color w:val="0000FF"/>
                <w:sz w:val="18"/>
                <w:szCs w:val="18"/>
              </w:rPr>
            </w:pPr>
            <w:r>
              <w:rPr>
                <w:rFonts w:hint="default" w:ascii="Times New Roman" w:hAnsi="Times New Roman" w:cs="Times New Roman"/>
                <w:color w:val="0000FF"/>
                <w:sz w:val="16"/>
              </w:rPr>
              <w:t>3</w:t>
            </w:r>
          </w:p>
        </w:tc>
        <w:tc>
          <w:tcPr>
            <w:tcW w:w="290" w:type="pct"/>
            <w:tcBorders>
              <w:tl2br w:val="nil"/>
              <w:tr2bl w:val="nil"/>
            </w:tcBorders>
            <w:shd w:val="clear" w:color="auto" w:fill="auto"/>
            <w:vAlign w:val="center"/>
          </w:tcPr>
          <w:p w14:paraId="5E199ED7">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eastAsiaTheme="minorEastAsia"/>
                <w:color w:val="0000FF"/>
                <w:sz w:val="18"/>
                <w:szCs w:val="18"/>
              </w:rPr>
            </w:pPr>
            <w:r>
              <w:rPr>
                <w:rFonts w:hint="default" w:ascii="Times New Roman" w:hAnsi="Times New Roman" w:cs="Times New Roman"/>
                <w:color w:val="0000FF"/>
                <w:sz w:val="16"/>
              </w:rPr>
              <w:t>4</w:t>
            </w:r>
          </w:p>
        </w:tc>
        <w:tc>
          <w:tcPr>
            <w:tcW w:w="180" w:type="pct"/>
            <w:tcBorders>
              <w:tl2br w:val="nil"/>
              <w:tr2bl w:val="nil"/>
            </w:tcBorders>
            <w:shd w:val="clear" w:color="auto" w:fill="auto"/>
            <w:vAlign w:val="center"/>
          </w:tcPr>
          <w:p w14:paraId="514FBAAC">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eastAsiaTheme="minorEastAsia"/>
                <w:color w:val="0000FF"/>
                <w:sz w:val="18"/>
                <w:szCs w:val="18"/>
              </w:rPr>
            </w:pPr>
            <w:r>
              <w:rPr>
                <w:rFonts w:hint="default" w:ascii="Times New Roman" w:hAnsi="Times New Roman" w:cs="Times New Roman"/>
                <w:color w:val="0000FF"/>
                <w:sz w:val="16"/>
              </w:rPr>
              <w:t>8</w:t>
            </w:r>
          </w:p>
        </w:tc>
        <w:tc>
          <w:tcPr>
            <w:tcW w:w="320" w:type="pct"/>
            <w:tcBorders>
              <w:tl2br w:val="nil"/>
              <w:tr2bl w:val="nil"/>
            </w:tcBorders>
            <w:shd w:val="clear" w:color="auto" w:fill="auto"/>
            <w:vAlign w:val="center"/>
          </w:tcPr>
          <w:p w14:paraId="4B554942">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eastAsiaTheme="minorEastAsia"/>
                <w:color w:val="0000FF"/>
                <w:sz w:val="18"/>
                <w:szCs w:val="18"/>
              </w:rPr>
            </w:pPr>
            <w:r>
              <w:rPr>
                <w:rFonts w:hint="default" w:ascii="Times New Roman" w:hAnsi="Times New Roman" w:cs="Times New Roman"/>
                <w:color w:val="0000FF"/>
                <w:sz w:val="16"/>
              </w:rPr>
              <w:t>9</w:t>
            </w:r>
          </w:p>
        </w:tc>
        <w:tc>
          <w:tcPr>
            <w:tcW w:w="270" w:type="pct"/>
            <w:tcBorders>
              <w:tl2br w:val="nil"/>
              <w:tr2bl w:val="nil"/>
            </w:tcBorders>
            <w:shd w:val="clear" w:color="auto" w:fill="auto"/>
            <w:vAlign w:val="center"/>
          </w:tcPr>
          <w:p w14:paraId="29BE261E">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eastAsiaTheme="minorEastAsia"/>
                <w:color w:val="0000FF"/>
                <w:sz w:val="18"/>
                <w:szCs w:val="18"/>
              </w:rPr>
            </w:pPr>
            <w:r>
              <w:rPr>
                <w:rFonts w:hint="default" w:ascii="Times New Roman" w:hAnsi="Times New Roman" w:cs="Times New Roman"/>
                <w:color w:val="0000FF"/>
                <w:sz w:val="16"/>
              </w:rPr>
              <w:t>7</w:t>
            </w:r>
          </w:p>
        </w:tc>
        <w:tc>
          <w:tcPr>
            <w:tcW w:w="361" w:type="pct"/>
            <w:tcBorders>
              <w:tl2br w:val="nil"/>
              <w:tr2bl w:val="nil"/>
            </w:tcBorders>
            <w:shd w:val="clear" w:color="auto" w:fill="auto"/>
            <w:vAlign w:val="center"/>
          </w:tcPr>
          <w:p w14:paraId="5D28C46D">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eastAsiaTheme="minorEastAsia"/>
                <w:color w:val="0000FF"/>
                <w:sz w:val="18"/>
                <w:szCs w:val="18"/>
              </w:rPr>
            </w:pPr>
            <w:r>
              <w:rPr>
                <w:rFonts w:hint="default" w:ascii="Times New Roman" w:hAnsi="Times New Roman" w:cs="Times New Roman"/>
                <w:color w:val="0000FF"/>
                <w:sz w:val="16"/>
              </w:rPr>
              <w:t>5</w:t>
            </w:r>
          </w:p>
        </w:tc>
        <w:tc>
          <w:tcPr>
            <w:tcW w:w="226" w:type="pct"/>
            <w:tcBorders>
              <w:tl2br w:val="nil"/>
              <w:tr2bl w:val="nil"/>
            </w:tcBorders>
            <w:shd w:val="clear" w:color="auto" w:fill="auto"/>
            <w:vAlign w:val="center"/>
          </w:tcPr>
          <w:p w14:paraId="667F1A11">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eastAsiaTheme="minorEastAsia"/>
                <w:color w:val="0000FF"/>
                <w:sz w:val="18"/>
                <w:szCs w:val="18"/>
              </w:rPr>
            </w:pPr>
            <w:r>
              <w:rPr>
                <w:rFonts w:hint="default" w:ascii="Times New Roman" w:hAnsi="Times New Roman" w:cs="Times New Roman"/>
                <w:color w:val="0000FF"/>
                <w:sz w:val="16"/>
              </w:rPr>
              <w:t>5</w:t>
            </w:r>
          </w:p>
        </w:tc>
        <w:tc>
          <w:tcPr>
            <w:tcW w:w="375" w:type="pct"/>
            <w:tcBorders>
              <w:tl2br w:val="nil"/>
              <w:tr2bl w:val="nil"/>
            </w:tcBorders>
            <w:shd w:val="clear" w:color="auto" w:fill="auto"/>
            <w:vAlign w:val="center"/>
          </w:tcPr>
          <w:p w14:paraId="46535C82">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eastAsiaTheme="minorEastAsia"/>
                <w:color w:val="0000FF"/>
                <w:sz w:val="18"/>
                <w:szCs w:val="18"/>
              </w:rPr>
            </w:pPr>
            <w:r>
              <w:rPr>
                <w:rFonts w:hint="default" w:ascii="Times New Roman" w:hAnsi="Times New Roman" w:cs="Times New Roman"/>
                <w:color w:val="0000FF"/>
                <w:sz w:val="16"/>
              </w:rPr>
              <w:t>4</w:t>
            </w:r>
          </w:p>
        </w:tc>
        <w:tc>
          <w:tcPr>
            <w:tcW w:w="285" w:type="pct"/>
            <w:tcBorders>
              <w:tl2br w:val="nil"/>
              <w:tr2bl w:val="nil"/>
            </w:tcBorders>
            <w:shd w:val="clear" w:color="auto" w:fill="auto"/>
            <w:vAlign w:val="center"/>
          </w:tcPr>
          <w:p w14:paraId="5D4B047C">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eastAsiaTheme="minorEastAsia"/>
                <w:color w:val="0000FF"/>
                <w:sz w:val="18"/>
                <w:szCs w:val="18"/>
              </w:rPr>
            </w:pPr>
            <w:r>
              <w:rPr>
                <w:rFonts w:hint="default" w:ascii="Times New Roman" w:hAnsi="Times New Roman" w:cs="Times New Roman"/>
                <w:color w:val="0000FF"/>
                <w:sz w:val="16"/>
              </w:rPr>
              <w:t>3</w:t>
            </w:r>
          </w:p>
        </w:tc>
        <w:tc>
          <w:tcPr>
            <w:tcW w:w="350" w:type="pct"/>
            <w:tcBorders>
              <w:tl2br w:val="nil"/>
              <w:tr2bl w:val="nil"/>
            </w:tcBorders>
            <w:shd w:val="clear" w:color="auto" w:fill="auto"/>
            <w:vAlign w:val="center"/>
          </w:tcPr>
          <w:p w14:paraId="033C49A8">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eastAsiaTheme="minorEastAsia"/>
                <w:color w:val="0000FF"/>
                <w:sz w:val="18"/>
                <w:szCs w:val="18"/>
              </w:rPr>
            </w:pPr>
            <w:r>
              <w:rPr>
                <w:rFonts w:hint="default" w:ascii="Times New Roman" w:hAnsi="Times New Roman" w:cs="Times New Roman"/>
                <w:color w:val="0000FF"/>
                <w:sz w:val="16"/>
              </w:rPr>
              <w:t>3</w:t>
            </w:r>
          </w:p>
        </w:tc>
        <w:tc>
          <w:tcPr>
            <w:tcW w:w="195" w:type="pct"/>
            <w:tcBorders>
              <w:tl2br w:val="nil"/>
              <w:tr2bl w:val="nil"/>
            </w:tcBorders>
            <w:shd w:val="clear" w:color="auto" w:fill="auto"/>
            <w:vAlign w:val="center"/>
          </w:tcPr>
          <w:p w14:paraId="4EE7302B">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eastAsiaTheme="minorEastAsia"/>
                <w:color w:val="0000FF"/>
                <w:sz w:val="18"/>
                <w:szCs w:val="18"/>
              </w:rPr>
            </w:pPr>
            <w:r>
              <w:rPr>
                <w:rFonts w:hint="default" w:ascii="Times New Roman" w:hAnsi="Times New Roman" w:cs="Times New Roman"/>
                <w:color w:val="0000FF"/>
                <w:sz w:val="16"/>
              </w:rPr>
              <w:t>2</w:t>
            </w:r>
          </w:p>
        </w:tc>
      </w:tr>
      <w:tr w14:paraId="1B0B380B">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 w:hRule="atLeast"/>
          <w:jc w:val="center"/>
        </w:trPr>
        <w:tc>
          <w:tcPr>
            <w:tcW w:w="286" w:type="pct"/>
            <w:tcBorders>
              <w:tl2br w:val="nil"/>
              <w:tr2bl w:val="nil"/>
            </w:tcBorders>
            <w:shd w:val="clear" w:color="auto" w:fill="auto"/>
            <w:vAlign w:val="center"/>
          </w:tcPr>
          <w:p w14:paraId="6EBF9868">
            <w:pPr>
              <w:keepNext w:val="0"/>
              <w:keepLines w:val="0"/>
              <w:pageBreakBefore w:val="0"/>
              <w:widowControl/>
              <w:kinsoku/>
              <w:wordWrap/>
              <w:overflowPunct/>
              <w:topLinePunct w:val="0"/>
              <w:autoSpaceDE/>
              <w:autoSpaceDN/>
              <w:bidi w:val="0"/>
              <w:snapToGrid w:val="0"/>
              <w:spacing w:line="240" w:lineRule="auto"/>
              <w:jc w:val="center"/>
              <w:textAlignment w:val="auto"/>
              <w:rPr>
                <w:rFonts w:hint="default" w:ascii="Times New Roman" w:hAnsi="Times New Roman" w:cs="Times New Roman" w:eastAsiaTheme="minorEastAsia"/>
                <w:b w:val="0"/>
                <w:bCs/>
                <w:color w:val="0000FF"/>
                <w:sz w:val="18"/>
                <w:szCs w:val="18"/>
              </w:rPr>
            </w:pPr>
            <w:r>
              <w:rPr>
                <w:rFonts w:hint="default" w:ascii="Times New Roman" w:hAnsi="Times New Roman" w:cs="Times New Roman" w:eastAsiaTheme="minorEastAsia"/>
                <w:b w:val="0"/>
                <w:bCs/>
                <w:color w:val="0000FF"/>
                <w:sz w:val="18"/>
                <w:szCs w:val="18"/>
              </w:rPr>
              <w:t>8</w:t>
            </w:r>
          </w:p>
        </w:tc>
        <w:tc>
          <w:tcPr>
            <w:tcW w:w="195" w:type="pct"/>
            <w:tcBorders>
              <w:tl2br w:val="nil"/>
              <w:tr2bl w:val="nil"/>
            </w:tcBorders>
            <w:shd w:val="clear" w:color="auto" w:fill="auto"/>
            <w:vAlign w:val="center"/>
          </w:tcPr>
          <w:p w14:paraId="490EBFDC">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eastAsiaTheme="minorEastAsia"/>
                <w:color w:val="0000FF"/>
                <w:sz w:val="18"/>
                <w:szCs w:val="18"/>
              </w:rPr>
            </w:pPr>
            <w:r>
              <w:rPr>
                <w:rFonts w:hint="default" w:ascii="Times New Roman" w:hAnsi="Times New Roman" w:cs="Times New Roman"/>
                <w:color w:val="0000FF"/>
                <w:sz w:val="16"/>
              </w:rPr>
              <w:t>4</w:t>
            </w:r>
          </w:p>
        </w:tc>
        <w:tc>
          <w:tcPr>
            <w:tcW w:w="320" w:type="pct"/>
            <w:tcBorders>
              <w:tl2br w:val="nil"/>
              <w:tr2bl w:val="nil"/>
            </w:tcBorders>
            <w:shd w:val="clear" w:color="auto" w:fill="auto"/>
            <w:vAlign w:val="center"/>
          </w:tcPr>
          <w:p w14:paraId="7364EEE6">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eastAsiaTheme="minorEastAsia"/>
                <w:color w:val="0000FF"/>
                <w:sz w:val="18"/>
                <w:szCs w:val="18"/>
              </w:rPr>
            </w:pPr>
            <w:r>
              <w:rPr>
                <w:rFonts w:hint="default" w:ascii="Times New Roman" w:hAnsi="Times New Roman" w:cs="Times New Roman"/>
                <w:color w:val="0000FF"/>
                <w:sz w:val="16"/>
              </w:rPr>
              <w:t>4</w:t>
            </w:r>
          </w:p>
        </w:tc>
        <w:tc>
          <w:tcPr>
            <w:tcW w:w="255" w:type="pct"/>
            <w:tcBorders>
              <w:tl2br w:val="nil"/>
              <w:tr2bl w:val="nil"/>
            </w:tcBorders>
            <w:shd w:val="clear" w:color="auto" w:fill="auto"/>
            <w:vAlign w:val="center"/>
          </w:tcPr>
          <w:p w14:paraId="3B097325">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eastAsiaTheme="minorEastAsia"/>
                <w:color w:val="0000FF"/>
                <w:sz w:val="18"/>
                <w:szCs w:val="18"/>
              </w:rPr>
            </w:pPr>
            <w:r>
              <w:rPr>
                <w:rFonts w:hint="default" w:ascii="Times New Roman" w:hAnsi="Times New Roman" w:cs="Times New Roman"/>
                <w:color w:val="0000FF"/>
                <w:sz w:val="16"/>
              </w:rPr>
              <w:t>5</w:t>
            </w:r>
          </w:p>
        </w:tc>
        <w:tc>
          <w:tcPr>
            <w:tcW w:w="315" w:type="pct"/>
            <w:tcBorders>
              <w:tl2br w:val="nil"/>
              <w:tr2bl w:val="nil"/>
            </w:tcBorders>
            <w:shd w:val="clear" w:color="auto" w:fill="auto"/>
            <w:vAlign w:val="center"/>
          </w:tcPr>
          <w:p w14:paraId="0CF4A612">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eastAsiaTheme="minorEastAsia"/>
                <w:color w:val="0000FF"/>
                <w:sz w:val="18"/>
                <w:szCs w:val="18"/>
              </w:rPr>
            </w:pPr>
            <w:r>
              <w:rPr>
                <w:rFonts w:hint="default" w:ascii="Times New Roman" w:hAnsi="Times New Roman" w:cs="Times New Roman"/>
                <w:color w:val="0000FF"/>
                <w:sz w:val="16"/>
              </w:rPr>
              <w:t>6</w:t>
            </w:r>
          </w:p>
        </w:tc>
        <w:tc>
          <w:tcPr>
            <w:tcW w:w="226" w:type="pct"/>
            <w:tcBorders>
              <w:tl2br w:val="nil"/>
              <w:tr2bl w:val="nil"/>
            </w:tcBorders>
            <w:shd w:val="clear" w:color="auto" w:fill="auto"/>
            <w:vAlign w:val="center"/>
          </w:tcPr>
          <w:p w14:paraId="7CD8AA15">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eastAsiaTheme="minorEastAsia"/>
                <w:color w:val="0000FF"/>
                <w:sz w:val="18"/>
                <w:szCs w:val="18"/>
              </w:rPr>
            </w:pPr>
            <w:r>
              <w:rPr>
                <w:rFonts w:hint="default" w:ascii="Times New Roman" w:hAnsi="Times New Roman" w:cs="Times New Roman"/>
                <w:color w:val="0000FF"/>
                <w:sz w:val="16"/>
              </w:rPr>
              <w:t>25</w:t>
            </w:r>
          </w:p>
        </w:tc>
        <w:tc>
          <w:tcPr>
            <w:tcW w:w="300" w:type="pct"/>
            <w:tcBorders>
              <w:tl2br w:val="nil"/>
              <w:tr2bl w:val="nil"/>
            </w:tcBorders>
            <w:shd w:val="clear" w:color="auto" w:fill="auto"/>
            <w:vAlign w:val="center"/>
          </w:tcPr>
          <w:p w14:paraId="236AFB2D">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eastAsiaTheme="minorEastAsia"/>
                <w:color w:val="0000FF"/>
                <w:sz w:val="18"/>
                <w:szCs w:val="18"/>
              </w:rPr>
            </w:pPr>
            <w:r>
              <w:rPr>
                <w:rFonts w:hint="default" w:ascii="Times New Roman" w:hAnsi="Times New Roman" w:cs="Times New Roman"/>
                <w:color w:val="0000FF"/>
                <w:sz w:val="16"/>
              </w:rPr>
              <w:t>14</w:t>
            </w:r>
          </w:p>
        </w:tc>
        <w:tc>
          <w:tcPr>
            <w:tcW w:w="240" w:type="pct"/>
            <w:tcBorders>
              <w:tl2br w:val="nil"/>
              <w:tr2bl w:val="nil"/>
            </w:tcBorders>
            <w:shd w:val="clear" w:color="auto" w:fill="auto"/>
            <w:vAlign w:val="center"/>
          </w:tcPr>
          <w:p w14:paraId="01F4F66C">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eastAsiaTheme="minorEastAsia"/>
                <w:color w:val="0000FF"/>
                <w:sz w:val="18"/>
                <w:szCs w:val="18"/>
              </w:rPr>
            </w:pPr>
            <w:r>
              <w:rPr>
                <w:rFonts w:hint="default" w:ascii="Times New Roman" w:hAnsi="Times New Roman" w:cs="Times New Roman"/>
                <w:color w:val="0000FF"/>
                <w:sz w:val="16"/>
              </w:rPr>
              <w:t>2</w:t>
            </w:r>
          </w:p>
        </w:tc>
        <w:tc>
          <w:tcPr>
            <w:tcW w:w="290" w:type="pct"/>
            <w:tcBorders>
              <w:tl2br w:val="nil"/>
              <w:tr2bl w:val="nil"/>
            </w:tcBorders>
            <w:shd w:val="clear" w:color="auto" w:fill="auto"/>
            <w:vAlign w:val="center"/>
          </w:tcPr>
          <w:p w14:paraId="36B05E59">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eastAsiaTheme="minorEastAsia"/>
                <w:color w:val="0000FF"/>
                <w:sz w:val="18"/>
                <w:szCs w:val="18"/>
              </w:rPr>
            </w:pPr>
            <w:r>
              <w:rPr>
                <w:rFonts w:hint="default" w:ascii="Times New Roman" w:hAnsi="Times New Roman" w:cs="Times New Roman"/>
                <w:color w:val="0000FF"/>
                <w:sz w:val="16"/>
              </w:rPr>
              <w:t>2</w:t>
            </w:r>
          </w:p>
        </w:tc>
        <w:tc>
          <w:tcPr>
            <w:tcW w:w="180" w:type="pct"/>
            <w:tcBorders>
              <w:tl2br w:val="nil"/>
              <w:tr2bl w:val="nil"/>
            </w:tcBorders>
            <w:shd w:val="clear" w:color="auto" w:fill="auto"/>
            <w:vAlign w:val="center"/>
          </w:tcPr>
          <w:p w14:paraId="1FDB1D66">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eastAsiaTheme="minorEastAsia"/>
                <w:color w:val="0000FF"/>
                <w:sz w:val="18"/>
                <w:szCs w:val="18"/>
              </w:rPr>
            </w:pPr>
            <w:r>
              <w:rPr>
                <w:rFonts w:hint="default" w:ascii="Times New Roman" w:hAnsi="Times New Roman" w:cs="Times New Roman"/>
                <w:color w:val="0000FF"/>
                <w:sz w:val="16"/>
              </w:rPr>
              <w:t>5</w:t>
            </w:r>
          </w:p>
        </w:tc>
        <w:tc>
          <w:tcPr>
            <w:tcW w:w="320" w:type="pct"/>
            <w:tcBorders>
              <w:tl2br w:val="nil"/>
              <w:tr2bl w:val="nil"/>
            </w:tcBorders>
            <w:shd w:val="clear" w:color="auto" w:fill="auto"/>
            <w:vAlign w:val="center"/>
          </w:tcPr>
          <w:p w14:paraId="312C1AEE">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eastAsiaTheme="minorEastAsia"/>
                <w:color w:val="0000FF"/>
                <w:sz w:val="18"/>
                <w:szCs w:val="18"/>
              </w:rPr>
            </w:pPr>
            <w:r>
              <w:rPr>
                <w:rFonts w:hint="default" w:ascii="Times New Roman" w:hAnsi="Times New Roman" w:cs="Times New Roman"/>
                <w:color w:val="0000FF"/>
                <w:sz w:val="16"/>
              </w:rPr>
              <w:t>7</w:t>
            </w:r>
          </w:p>
        </w:tc>
        <w:tc>
          <w:tcPr>
            <w:tcW w:w="270" w:type="pct"/>
            <w:tcBorders>
              <w:tl2br w:val="nil"/>
              <w:tr2bl w:val="nil"/>
            </w:tcBorders>
            <w:shd w:val="clear" w:color="auto" w:fill="auto"/>
            <w:vAlign w:val="center"/>
          </w:tcPr>
          <w:p w14:paraId="6842B84A">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eastAsiaTheme="minorEastAsia"/>
                <w:color w:val="0000FF"/>
                <w:sz w:val="18"/>
                <w:szCs w:val="18"/>
              </w:rPr>
            </w:pPr>
            <w:r>
              <w:rPr>
                <w:rFonts w:hint="default" w:ascii="Times New Roman" w:hAnsi="Times New Roman" w:cs="Times New Roman"/>
                <w:color w:val="0000FF"/>
                <w:sz w:val="16"/>
              </w:rPr>
              <w:t>4</w:t>
            </w:r>
          </w:p>
        </w:tc>
        <w:tc>
          <w:tcPr>
            <w:tcW w:w="361" w:type="pct"/>
            <w:tcBorders>
              <w:tl2br w:val="nil"/>
              <w:tr2bl w:val="nil"/>
            </w:tcBorders>
            <w:shd w:val="clear" w:color="auto" w:fill="auto"/>
            <w:vAlign w:val="center"/>
          </w:tcPr>
          <w:p w14:paraId="2ACE1897">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eastAsiaTheme="minorEastAsia"/>
                <w:color w:val="0000FF"/>
                <w:sz w:val="18"/>
                <w:szCs w:val="18"/>
              </w:rPr>
            </w:pPr>
            <w:r>
              <w:rPr>
                <w:rFonts w:hint="default" w:ascii="Times New Roman" w:hAnsi="Times New Roman" w:cs="Times New Roman"/>
                <w:color w:val="0000FF"/>
                <w:sz w:val="16"/>
              </w:rPr>
              <w:t>3</w:t>
            </w:r>
          </w:p>
        </w:tc>
        <w:tc>
          <w:tcPr>
            <w:tcW w:w="226" w:type="pct"/>
            <w:tcBorders>
              <w:tl2br w:val="nil"/>
              <w:tr2bl w:val="nil"/>
            </w:tcBorders>
            <w:shd w:val="clear" w:color="auto" w:fill="auto"/>
            <w:vAlign w:val="center"/>
          </w:tcPr>
          <w:p w14:paraId="646F1606">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eastAsiaTheme="minorEastAsia"/>
                <w:color w:val="0000FF"/>
                <w:sz w:val="18"/>
                <w:szCs w:val="18"/>
              </w:rPr>
            </w:pPr>
            <w:r>
              <w:rPr>
                <w:rFonts w:hint="default" w:ascii="Times New Roman" w:hAnsi="Times New Roman" w:cs="Times New Roman"/>
                <w:color w:val="0000FF"/>
                <w:sz w:val="16"/>
              </w:rPr>
              <w:t>5</w:t>
            </w:r>
          </w:p>
        </w:tc>
        <w:tc>
          <w:tcPr>
            <w:tcW w:w="375" w:type="pct"/>
            <w:tcBorders>
              <w:tl2br w:val="nil"/>
              <w:tr2bl w:val="nil"/>
            </w:tcBorders>
            <w:shd w:val="clear" w:color="auto" w:fill="auto"/>
            <w:vAlign w:val="center"/>
          </w:tcPr>
          <w:p w14:paraId="040B5C91">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eastAsiaTheme="minorEastAsia"/>
                <w:color w:val="0000FF"/>
                <w:sz w:val="18"/>
                <w:szCs w:val="18"/>
              </w:rPr>
            </w:pPr>
            <w:r>
              <w:rPr>
                <w:rFonts w:hint="default" w:ascii="Times New Roman" w:hAnsi="Times New Roman" w:cs="Times New Roman"/>
                <w:color w:val="0000FF"/>
                <w:sz w:val="16"/>
              </w:rPr>
              <w:t>4</w:t>
            </w:r>
          </w:p>
        </w:tc>
        <w:tc>
          <w:tcPr>
            <w:tcW w:w="285" w:type="pct"/>
            <w:tcBorders>
              <w:tl2br w:val="nil"/>
              <w:tr2bl w:val="nil"/>
            </w:tcBorders>
            <w:shd w:val="clear" w:color="auto" w:fill="auto"/>
            <w:vAlign w:val="center"/>
          </w:tcPr>
          <w:p w14:paraId="46D8338F">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eastAsiaTheme="minorEastAsia"/>
                <w:color w:val="0000FF"/>
                <w:sz w:val="18"/>
                <w:szCs w:val="18"/>
              </w:rPr>
            </w:pPr>
            <w:r>
              <w:rPr>
                <w:rFonts w:hint="default" w:ascii="Times New Roman" w:hAnsi="Times New Roman" w:cs="Times New Roman"/>
                <w:color w:val="0000FF"/>
                <w:sz w:val="16"/>
              </w:rPr>
              <w:t>3</w:t>
            </w:r>
          </w:p>
        </w:tc>
        <w:tc>
          <w:tcPr>
            <w:tcW w:w="350" w:type="pct"/>
            <w:tcBorders>
              <w:tl2br w:val="nil"/>
              <w:tr2bl w:val="nil"/>
            </w:tcBorders>
            <w:shd w:val="clear" w:color="auto" w:fill="auto"/>
            <w:vAlign w:val="center"/>
          </w:tcPr>
          <w:p w14:paraId="38819EDF">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eastAsiaTheme="minorEastAsia"/>
                <w:color w:val="0000FF"/>
                <w:sz w:val="18"/>
                <w:szCs w:val="18"/>
              </w:rPr>
            </w:pPr>
            <w:r>
              <w:rPr>
                <w:rFonts w:hint="default" w:ascii="Times New Roman" w:hAnsi="Times New Roman" w:cs="Times New Roman"/>
                <w:color w:val="0000FF"/>
                <w:sz w:val="16"/>
              </w:rPr>
              <w:t>3</w:t>
            </w:r>
          </w:p>
        </w:tc>
        <w:tc>
          <w:tcPr>
            <w:tcW w:w="195" w:type="pct"/>
            <w:tcBorders>
              <w:tl2br w:val="nil"/>
              <w:tr2bl w:val="nil"/>
            </w:tcBorders>
            <w:shd w:val="clear" w:color="auto" w:fill="auto"/>
            <w:vAlign w:val="center"/>
          </w:tcPr>
          <w:p w14:paraId="0B5B28B1">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eastAsiaTheme="minorEastAsia"/>
                <w:color w:val="0000FF"/>
                <w:sz w:val="18"/>
                <w:szCs w:val="18"/>
              </w:rPr>
            </w:pPr>
            <w:r>
              <w:rPr>
                <w:rFonts w:hint="default" w:ascii="Times New Roman" w:hAnsi="Times New Roman" w:cs="Times New Roman"/>
                <w:color w:val="0000FF"/>
                <w:sz w:val="16"/>
              </w:rPr>
              <w:t>2</w:t>
            </w:r>
          </w:p>
        </w:tc>
      </w:tr>
      <w:tr w14:paraId="77CC2559">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 w:hRule="atLeast"/>
          <w:jc w:val="center"/>
        </w:trPr>
        <w:tc>
          <w:tcPr>
            <w:tcW w:w="286" w:type="pct"/>
            <w:tcBorders>
              <w:tl2br w:val="nil"/>
              <w:tr2bl w:val="nil"/>
            </w:tcBorders>
            <w:shd w:val="clear" w:color="auto" w:fill="auto"/>
            <w:vAlign w:val="center"/>
          </w:tcPr>
          <w:p w14:paraId="2B9D5B46">
            <w:pPr>
              <w:keepNext w:val="0"/>
              <w:keepLines w:val="0"/>
              <w:pageBreakBefore w:val="0"/>
              <w:widowControl/>
              <w:kinsoku/>
              <w:wordWrap/>
              <w:overflowPunct/>
              <w:topLinePunct w:val="0"/>
              <w:autoSpaceDE/>
              <w:autoSpaceDN/>
              <w:bidi w:val="0"/>
              <w:snapToGrid w:val="0"/>
              <w:spacing w:line="240" w:lineRule="auto"/>
              <w:jc w:val="center"/>
              <w:textAlignment w:val="auto"/>
              <w:rPr>
                <w:rFonts w:hint="default" w:ascii="Times New Roman" w:hAnsi="Times New Roman" w:cs="Times New Roman" w:eastAsiaTheme="minorEastAsia"/>
                <w:b w:val="0"/>
                <w:bCs/>
                <w:color w:val="0000FF"/>
                <w:sz w:val="18"/>
                <w:szCs w:val="18"/>
              </w:rPr>
            </w:pPr>
            <w:r>
              <w:rPr>
                <w:rFonts w:hint="default" w:ascii="Times New Roman" w:hAnsi="Times New Roman" w:cs="Times New Roman" w:eastAsiaTheme="minorEastAsia"/>
                <w:b w:val="0"/>
                <w:bCs/>
                <w:color w:val="0000FF"/>
                <w:sz w:val="18"/>
                <w:szCs w:val="18"/>
              </w:rPr>
              <w:t>9</w:t>
            </w:r>
          </w:p>
        </w:tc>
        <w:tc>
          <w:tcPr>
            <w:tcW w:w="195" w:type="pct"/>
            <w:tcBorders>
              <w:tl2br w:val="nil"/>
              <w:tr2bl w:val="nil"/>
            </w:tcBorders>
            <w:shd w:val="clear" w:color="auto" w:fill="auto"/>
            <w:vAlign w:val="center"/>
          </w:tcPr>
          <w:p w14:paraId="2141446E">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eastAsiaTheme="minorEastAsia"/>
                <w:color w:val="0000FF"/>
                <w:sz w:val="18"/>
                <w:szCs w:val="18"/>
              </w:rPr>
            </w:pPr>
            <w:r>
              <w:rPr>
                <w:rFonts w:hint="default" w:ascii="Times New Roman" w:hAnsi="Times New Roman" w:cs="Times New Roman"/>
                <w:color w:val="0000FF"/>
                <w:sz w:val="16"/>
              </w:rPr>
              <w:t>4</w:t>
            </w:r>
          </w:p>
        </w:tc>
        <w:tc>
          <w:tcPr>
            <w:tcW w:w="320" w:type="pct"/>
            <w:tcBorders>
              <w:tl2br w:val="nil"/>
              <w:tr2bl w:val="nil"/>
            </w:tcBorders>
            <w:shd w:val="clear" w:color="auto" w:fill="auto"/>
            <w:vAlign w:val="center"/>
          </w:tcPr>
          <w:p w14:paraId="11542A40">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eastAsiaTheme="minorEastAsia"/>
                <w:color w:val="0000FF"/>
                <w:sz w:val="18"/>
                <w:szCs w:val="18"/>
              </w:rPr>
            </w:pPr>
            <w:r>
              <w:rPr>
                <w:rFonts w:hint="default" w:ascii="Times New Roman" w:hAnsi="Times New Roman" w:cs="Times New Roman"/>
                <w:color w:val="0000FF"/>
                <w:sz w:val="16"/>
              </w:rPr>
              <w:t>4</w:t>
            </w:r>
          </w:p>
        </w:tc>
        <w:tc>
          <w:tcPr>
            <w:tcW w:w="255" w:type="pct"/>
            <w:tcBorders>
              <w:tl2br w:val="nil"/>
              <w:tr2bl w:val="nil"/>
            </w:tcBorders>
            <w:shd w:val="clear" w:color="auto" w:fill="auto"/>
            <w:vAlign w:val="center"/>
          </w:tcPr>
          <w:p w14:paraId="09C062CB">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eastAsiaTheme="minorEastAsia"/>
                <w:color w:val="0000FF"/>
                <w:sz w:val="18"/>
                <w:szCs w:val="18"/>
              </w:rPr>
            </w:pPr>
            <w:r>
              <w:rPr>
                <w:rFonts w:hint="default" w:ascii="Times New Roman" w:hAnsi="Times New Roman" w:cs="Times New Roman"/>
                <w:color w:val="0000FF"/>
                <w:sz w:val="16"/>
              </w:rPr>
              <w:t>3</w:t>
            </w:r>
          </w:p>
        </w:tc>
        <w:tc>
          <w:tcPr>
            <w:tcW w:w="315" w:type="pct"/>
            <w:tcBorders>
              <w:tl2br w:val="nil"/>
              <w:tr2bl w:val="nil"/>
            </w:tcBorders>
            <w:shd w:val="clear" w:color="auto" w:fill="auto"/>
            <w:vAlign w:val="center"/>
          </w:tcPr>
          <w:p w14:paraId="44458956">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eastAsiaTheme="minorEastAsia"/>
                <w:color w:val="0000FF"/>
                <w:sz w:val="18"/>
                <w:szCs w:val="18"/>
              </w:rPr>
            </w:pPr>
            <w:r>
              <w:rPr>
                <w:rFonts w:hint="default" w:ascii="Times New Roman" w:hAnsi="Times New Roman" w:cs="Times New Roman"/>
                <w:color w:val="0000FF"/>
                <w:sz w:val="16"/>
              </w:rPr>
              <w:t>5</w:t>
            </w:r>
          </w:p>
        </w:tc>
        <w:tc>
          <w:tcPr>
            <w:tcW w:w="226" w:type="pct"/>
            <w:tcBorders>
              <w:tl2br w:val="nil"/>
              <w:tr2bl w:val="nil"/>
            </w:tcBorders>
            <w:shd w:val="clear" w:color="auto" w:fill="auto"/>
            <w:vAlign w:val="center"/>
          </w:tcPr>
          <w:p w14:paraId="11A4AB25">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eastAsiaTheme="minorEastAsia"/>
                <w:color w:val="0000FF"/>
                <w:sz w:val="18"/>
                <w:szCs w:val="18"/>
              </w:rPr>
            </w:pPr>
            <w:r>
              <w:rPr>
                <w:rFonts w:hint="default" w:ascii="Times New Roman" w:hAnsi="Times New Roman" w:cs="Times New Roman"/>
                <w:color w:val="0000FF"/>
                <w:sz w:val="16"/>
              </w:rPr>
              <w:t>29</w:t>
            </w:r>
          </w:p>
        </w:tc>
        <w:tc>
          <w:tcPr>
            <w:tcW w:w="300" w:type="pct"/>
            <w:tcBorders>
              <w:tl2br w:val="nil"/>
              <w:tr2bl w:val="nil"/>
            </w:tcBorders>
            <w:shd w:val="clear" w:color="auto" w:fill="auto"/>
            <w:vAlign w:val="center"/>
          </w:tcPr>
          <w:p w14:paraId="2E9AEB8A">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eastAsiaTheme="minorEastAsia"/>
                <w:color w:val="0000FF"/>
                <w:sz w:val="18"/>
                <w:szCs w:val="18"/>
              </w:rPr>
            </w:pPr>
            <w:r>
              <w:rPr>
                <w:rFonts w:hint="default" w:ascii="Times New Roman" w:hAnsi="Times New Roman" w:cs="Times New Roman"/>
                <w:color w:val="0000FF"/>
                <w:sz w:val="16"/>
              </w:rPr>
              <w:t>16</w:t>
            </w:r>
          </w:p>
        </w:tc>
        <w:tc>
          <w:tcPr>
            <w:tcW w:w="240" w:type="pct"/>
            <w:tcBorders>
              <w:tl2br w:val="nil"/>
              <w:tr2bl w:val="nil"/>
            </w:tcBorders>
            <w:shd w:val="clear" w:color="auto" w:fill="auto"/>
            <w:vAlign w:val="center"/>
          </w:tcPr>
          <w:p w14:paraId="16185DB6">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eastAsiaTheme="minorEastAsia"/>
                <w:color w:val="0000FF"/>
                <w:sz w:val="18"/>
                <w:szCs w:val="18"/>
              </w:rPr>
            </w:pPr>
            <w:r>
              <w:rPr>
                <w:rFonts w:hint="default" w:ascii="Times New Roman" w:hAnsi="Times New Roman" w:cs="Times New Roman"/>
                <w:color w:val="0000FF"/>
                <w:sz w:val="16"/>
              </w:rPr>
              <w:t>2</w:t>
            </w:r>
          </w:p>
        </w:tc>
        <w:tc>
          <w:tcPr>
            <w:tcW w:w="290" w:type="pct"/>
            <w:tcBorders>
              <w:tl2br w:val="nil"/>
              <w:tr2bl w:val="nil"/>
            </w:tcBorders>
            <w:shd w:val="clear" w:color="auto" w:fill="auto"/>
            <w:vAlign w:val="center"/>
          </w:tcPr>
          <w:p w14:paraId="5B88C6E2">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eastAsiaTheme="minorEastAsia"/>
                <w:color w:val="0000FF"/>
                <w:sz w:val="18"/>
                <w:szCs w:val="18"/>
              </w:rPr>
            </w:pPr>
            <w:r>
              <w:rPr>
                <w:rFonts w:hint="default" w:ascii="Times New Roman" w:hAnsi="Times New Roman" w:cs="Times New Roman"/>
                <w:color w:val="0000FF"/>
                <w:sz w:val="16"/>
              </w:rPr>
              <w:t>2</w:t>
            </w:r>
          </w:p>
        </w:tc>
        <w:tc>
          <w:tcPr>
            <w:tcW w:w="180" w:type="pct"/>
            <w:tcBorders>
              <w:tl2br w:val="nil"/>
              <w:tr2bl w:val="nil"/>
            </w:tcBorders>
            <w:shd w:val="clear" w:color="auto" w:fill="auto"/>
            <w:vAlign w:val="center"/>
          </w:tcPr>
          <w:p w14:paraId="0F9E5A50">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eastAsiaTheme="minorEastAsia"/>
                <w:color w:val="0000FF"/>
                <w:sz w:val="18"/>
                <w:szCs w:val="18"/>
              </w:rPr>
            </w:pPr>
            <w:r>
              <w:rPr>
                <w:rFonts w:hint="default" w:ascii="Times New Roman" w:hAnsi="Times New Roman" w:cs="Times New Roman"/>
                <w:color w:val="0000FF"/>
                <w:sz w:val="16"/>
              </w:rPr>
              <w:t>4</w:t>
            </w:r>
          </w:p>
        </w:tc>
        <w:tc>
          <w:tcPr>
            <w:tcW w:w="320" w:type="pct"/>
            <w:tcBorders>
              <w:tl2br w:val="nil"/>
              <w:tr2bl w:val="nil"/>
            </w:tcBorders>
            <w:shd w:val="clear" w:color="auto" w:fill="auto"/>
            <w:vAlign w:val="center"/>
          </w:tcPr>
          <w:p w14:paraId="2D172419">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eastAsiaTheme="minorEastAsia"/>
                <w:color w:val="0000FF"/>
                <w:sz w:val="18"/>
                <w:szCs w:val="18"/>
              </w:rPr>
            </w:pPr>
            <w:r>
              <w:rPr>
                <w:rFonts w:hint="default" w:ascii="Times New Roman" w:hAnsi="Times New Roman" w:cs="Times New Roman"/>
                <w:color w:val="0000FF"/>
                <w:sz w:val="16"/>
              </w:rPr>
              <w:t>7</w:t>
            </w:r>
          </w:p>
        </w:tc>
        <w:tc>
          <w:tcPr>
            <w:tcW w:w="270" w:type="pct"/>
            <w:tcBorders>
              <w:tl2br w:val="nil"/>
              <w:tr2bl w:val="nil"/>
            </w:tcBorders>
            <w:shd w:val="clear" w:color="auto" w:fill="auto"/>
            <w:vAlign w:val="center"/>
          </w:tcPr>
          <w:p w14:paraId="039F062E">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eastAsiaTheme="minorEastAsia"/>
                <w:color w:val="0000FF"/>
                <w:sz w:val="18"/>
                <w:szCs w:val="18"/>
              </w:rPr>
            </w:pPr>
            <w:r>
              <w:rPr>
                <w:rFonts w:hint="default" w:ascii="Times New Roman" w:hAnsi="Times New Roman" w:cs="Times New Roman"/>
                <w:color w:val="0000FF"/>
                <w:sz w:val="16"/>
              </w:rPr>
              <w:t>4</w:t>
            </w:r>
          </w:p>
        </w:tc>
        <w:tc>
          <w:tcPr>
            <w:tcW w:w="361" w:type="pct"/>
            <w:tcBorders>
              <w:tl2br w:val="nil"/>
              <w:tr2bl w:val="nil"/>
            </w:tcBorders>
            <w:shd w:val="clear" w:color="auto" w:fill="auto"/>
            <w:vAlign w:val="center"/>
          </w:tcPr>
          <w:p w14:paraId="6720B19A">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eastAsiaTheme="minorEastAsia"/>
                <w:color w:val="0000FF"/>
                <w:sz w:val="18"/>
                <w:szCs w:val="18"/>
              </w:rPr>
            </w:pPr>
            <w:r>
              <w:rPr>
                <w:rFonts w:hint="default" w:ascii="Times New Roman" w:hAnsi="Times New Roman" w:cs="Times New Roman"/>
                <w:color w:val="0000FF"/>
                <w:sz w:val="16"/>
              </w:rPr>
              <w:t>3</w:t>
            </w:r>
          </w:p>
        </w:tc>
        <w:tc>
          <w:tcPr>
            <w:tcW w:w="226" w:type="pct"/>
            <w:tcBorders>
              <w:tl2br w:val="nil"/>
              <w:tr2bl w:val="nil"/>
            </w:tcBorders>
            <w:shd w:val="clear" w:color="auto" w:fill="auto"/>
            <w:vAlign w:val="center"/>
          </w:tcPr>
          <w:p w14:paraId="274C70A4">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eastAsiaTheme="minorEastAsia"/>
                <w:color w:val="0000FF"/>
                <w:sz w:val="18"/>
                <w:szCs w:val="18"/>
              </w:rPr>
            </w:pPr>
            <w:r>
              <w:rPr>
                <w:rFonts w:hint="default" w:ascii="Times New Roman" w:hAnsi="Times New Roman" w:cs="Times New Roman"/>
                <w:color w:val="0000FF"/>
                <w:sz w:val="16"/>
              </w:rPr>
              <w:t>4</w:t>
            </w:r>
          </w:p>
        </w:tc>
        <w:tc>
          <w:tcPr>
            <w:tcW w:w="375" w:type="pct"/>
            <w:tcBorders>
              <w:tl2br w:val="nil"/>
              <w:tr2bl w:val="nil"/>
            </w:tcBorders>
            <w:shd w:val="clear" w:color="auto" w:fill="auto"/>
            <w:vAlign w:val="center"/>
          </w:tcPr>
          <w:p w14:paraId="0D07A61A">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eastAsiaTheme="minorEastAsia"/>
                <w:color w:val="0000FF"/>
                <w:sz w:val="18"/>
                <w:szCs w:val="18"/>
              </w:rPr>
            </w:pPr>
            <w:r>
              <w:rPr>
                <w:rFonts w:hint="default" w:ascii="Times New Roman" w:hAnsi="Times New Roman" w:cs="Times New Roman"/>
                <w:color w:val="0000FF"/>
                <w:sz w:val="16"/>
              </w:rPr>
              <w:t>3</w:t>
            </w:r>
          </w:p>
        </w:tc>
        <w:tc>
          <w:tcPr>
            <w:tcW w:w="285" w:type="pct"/>
            <w:tcBorders>
              <w:tl2br w:val="nil"/>
              <w:tr2bl w:val="nil"/>
            </w:tcBorders>
            <w:shd w:val="clear" w:color="auto" w:fill="auto"/>
            <w:vAlign w:val="center"/>
          </w:tcPr>
          <w:p w14:paraId="6B0ABCCA">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eastAsiaTheme="minorEastAsia"/>
                <w:color w:val="0000FF"/>
                <w:sz w:val="18"/>
                <w:szCs w:val="18"/>
              </w:rPr>
            </w:pPr>
            <w:r>
              <w:rPr>
                <w:rFonts w:hint="default" w:ascii="Times New Roman" w:hAnsi="Times New Roman" w:cs="Times New Roman"/>
                <w:color w:val="0000FF"/>
                <w:sz w:val="16"/>
              </w:rPr>
              <w:t>3</w:t>
            </w:r>
          </w:p>
        </w:tc>
        <w:tc>
          <w:tcPr>
            <w:tcW w:w="350" w:type="pct"/>
            <w:tcBorders>
              <w:tl2br w:val="nil"/>
              <w:tr2bl w:val="nil"/>
            </w:tcBorders>
            <w:shd w:val="clear" w:color="auto" w:fill="auto"/>
            <w:vAlign w:val="center"/>
          </w:tcPr>
          <w:p w14:paraId="4491C2BD">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eastAsiaTheme="minorEastAsia"/>
                <w:color w:val="0000FF"/>
                <w:sz w:val="18"/>
                <w:szCs w:val="18"/>
              </w:rPr>
            </w:pPr>
            <w:r>
              <w:rPr>
                <w:rFonts w:hint="default" w:ascii="Times New Roman" w:hAnsi="Times New Roman" w:cs="Times New Roman"/>
                <w:color w:val="0000FF"/>
                <w:sz w:val="16"/>
              </w:rPr>
              <w:t>4</w:t>
            </w:r>
          </w:p>
        </w:tc>
        <w:tc>
          <w:tcPr>
            <w:tcW w:w="195" w:type="pct"/>
            <w:tcBorders>
              <w:tl2br w:val="nil"/>
              <w:tr2bl w:val="nil"/>
            </w:tcBorders>
            <w:shd w:val="clear" w:color="auto" w:fill="auto"/>
            <w:vAlign w:val="center"/>
          </w:tcPr>
          <w:p w14:paraId="66BF3FF6">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eastAsiaTheme="minorEastAsia"/>
                <w:color w:val="0000FF"/>
                <w:sz w:val="18"/>
                <w:szCs w:val="18"/>
              </w:rPr>
            </w:pPr>
            <w:r>
              <w:rPr>
                <w:rFonts w:hint="default" w:ascii="Times New Roman" w:hAnsi="Times New Roman" w:cs="Times New Roman"/>
                <w:color w:val="0000FF"/>
                <w:sz w:val="16"/>
              </w:rPr>
              <w:t>1</w:t>
            </w:r>
          </w:p>
        </w:tc>
      </w:tr>
      <w:tr w14:paraId="52E79139">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 w:hRule="atLeast"/>
          <w:jc w:val="center"/>
        </w:trPr>
        <w:tc>
          <w:tcPr>
            <w:tcW w:w="286" w:type="pct"/>
            <w:tcBorders>
              <w:tl2br w:val="nil"/>
              <w:tr2bl w:val="nil"/>
            </w:tcBorders>
            <w:shd w:val="clear" w:color="auto" w:fill="auto"/>
            <w:vAlign w:val="center"/>
          </w:tcPr>
          <w:p w14:paraId="3116D37B">
            <w:pPr>
              <w:keepNext w:val="0"/>
              <w:keepLines w:val="0"/>
              <w:pageBreakBefore w:val="0"/>
              <w:widowControl/>
              <w:kinsoku/>
              <w:wordWrap/>
              <w:overflowPunct/>
              <w:topLinePunct w:val="0"/>
              <w:autoSpaceDE/>
              <w:autoSpaceDN/>
              <w:bidi w:val="0"/>
              <w:snapToGrid w:val="0"/>
              <w:spacing w:line="240" w:lineRule="auto"/>
              <w:jc w:val="center"/>
              <w:textAlignment w:val="auto"/>
              <w:rPr>
                <w:rFonts w:hint="default" w:ascii="Times New Roman" w:hAnsi="Times New Roman" w:cs="Times New Roman" w:eastAsiaTheme="minorEastAsia"/>
                <w:b w:val="0"/>
                <w:bCs/>
                <w:color w:val="0000FF"/>
                <w:sz w:val="18"/>
                <w:szCs w:val="18"/>
              </w:rPr>
            </w:pPr>
            <w:r>
              <w:rPr>
                <w:rFonts w:hint="default" w:ascii="Times New Roman" w:hAnsi="Times New Roman" w:cs="Times New Roman" w:eastAsiaTheme="minorEastAsia"/>
                <w:b w:val="0"/>
                <w:bCs/>
                <w:color w:val="0000FF"/>
                <w:sz w:val="18"/>
                <w:szCs w:val="18"/>
              </w:rPr>
              <w:t>10</w:t>
            </w:r>
          </w:p>
        </w:tc>
        <w:tc>
          <w:tcPr>
            <w:tcW w:w="195" w:type="pct"/>
            <w:tcBorders>
              <w:tl2br w:val="nil"/>
              <w:tr2bl w:val="nil"/>
            </w:tcBorders>
            <w:shd w:val="clear" w:color="auto" w:fill="auto"/>
            <w:vAlign w:val="center"/>
          </w:tcPr>
          <w:p w14:paraId="601395E0">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eastAsiaTheme="minorEastAsia"/>
                <w:color w:val="0000FF"/>
                <w:sz w:val="18"/>
                <w:szCs w:val="18"/>
              </w:rPr>
            </w:pPr>
            <w:r>
              <w:rPr>
                <w:rFonts w:hint="default" w:ascii="Times New Roman" w:hAnsi="Times New Roman" w:cs="Times New Roman"/>
                <w:color w:val="0000FF"/>
                <w:sz w:val="16"/>
              </w:rPr>
              <w:t>5</w:t>
            </w:r>
          </w:p>
        </w:tc>
        <w:tc>
          <w:tcPr>
            <w:tcW w:w="320" w:type="pct"/>
            <w:tcBorders>
              <w:tl2br w:val="nil"/>
              <w:tr2bl w:val="nil"/>
            </w:tcBorders>
            <w:shd w:val="clear" w:color="auto" w:fill="auto"/>
            <w:vAlign w:val="center"/>
          </w:tcPr>
          <w:p w14:paraId="7A41F1A7">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eastAsiaTheme="minorEastAsia"/>
                <w:color w:val="0000FF"/>
                <w:sz w:val="18"/>
                <w:szCs w:val="18"/>
              </w:rPr>
            </w:pPr>
            <w:r>
              <w:rPr>
                <w:rFonts w:hint="default" w:ascii="Times New Roman" w:hAnsi="Times New Roman" w:cs="Times New Roman"/>
                <w:color w:val="0000FF"/>
                <w:sz w:val="16"/>
              </w:rPr>
              <w:t>4</w:t>
            </w:r>
          </w:p>
        </w:tc>
        <w:tc>
          <w:tcPr>
            <w:tcW w:w="255" w:type="pct"/>
            <w:tcBorders>
              <w:tl2br w:val="nil"/>
              <w:tr2bl w:val="nil"/>
            </w:tcBorders>
            <w:shd w:val="clear" w:color="auto" w:fill="auto"/>
            <w:vAlign w:val="center"/>
          </w:tcPr>
          <w:p w14:paraId="50F85154">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eastAsiaTheme="minorEastAsia"/>
                <w:color w:val="0000FF"/>
                <w:sz w:val="18"/>
                <w:szCs w:val="18"/>
              </w:rPr>
            </w:pPr>
            <w:r>
              <w:rPr>
                <w:rFonts w:hint="default" w:ascii="Times New Roman" w:hAnsi="Times New Roman" w:cs="Times New Roman"/>
                <w:color w:val="0000FF"/>
                <w:sz w:val="16"/>
              </w:rPr>
              <w:t>3</w:t>
            </w:r>
          </w:p>
        </w:tc>
        <w:tc>
          <w:tcPr>
            <w:tcW w:w="315" w:type="pct"/>
            <w:tcBorders>
              <w:tl2br w:val="nil"/>
              <w:tr2bl w:val="nil"/>
            </w:tcBorders>
            <w:shd w:val="clear" w:color="auto" w:fill="auto"/>
            <w:vAlign w:val="center"/>
          </w:tcPr>
          <w:p w14:paraId="3F6BC413">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eastAsiaTheme="minorEastAsia"/>
                <w:color w:val="0000FF"/>
                <w:sz w:val="18"/>
                <w:szCs w:val="18"/>
              </w:rPr>
            </w:pPr>
            <w:r>
              <w:rPr>
                <w:rFonts w:hint="default" w:ascii="Times New Roman" w:hAnsi="Times New Roman" w:cs="Times New Roman"/>
                <w:color w:val="0000FF"/>
                <w:sz w:val="16"/>
              </w:rPr>
              <w:t>4</w:t>
            </w:r>
          </w:p>
        </w:tc>
        <w:tc>
          <w:tcPr>
            <w:tcW w:w="226" w:type="pct"/>
            <w:tcBorders>
              <w:tl2br w:val="nil"/>
              <w:tr2bl w:val="nil"/>
            </w:tcBorders>
            <w:shd w:val="clear" w:color="auto" w:fill="auto"/>
            <w:vAlign w:val="center"/>
          </w:tcPr>
          <w:p w14:paraId="795DE9F2">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eastAsiaTheme="minorEastAsia"/>
                <w:color w:val="0000FF"/>
                <w:sz w:val="18"/>
                <w:szCs w:val="18"/>
              </w:rPr>
            </w:pPr>
            <w:r>
              <w:rPr>
                <w:rFonts w:hint="default" w:ascii="Times New Roman" w:hAnsi="Times New Roman" w:cs="Times New Roman"/>
                <w:color w:val="0000FF"/>
                <w:sz w:val="16"/>
              </w:rPr>
              <w:t>21</w:t>
            </w:r>
          </w:p>
        </w:tc>
        <w:tc>
          <w:tcPr>
            <w:tcW w:w="300" w:type="pct"/>
            <w:tcBorders>
              <w:tl2br w:val="nil"/>
              <w:tr2bl w:val="nil"/>
            </w:tcBorders>
            <w:shd w:val="clear" w:color="auto" w:fill="auto"/>
            <w:vAlign w:val="center"/>
          </w:tcPr>
          <w:p w14:paraId="3F0CFD37">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eastAsiaTheme="minorEastAsia"/>
                <w:color w:val="0000FF"/>
                <w:sz w:val="18"/>
                <w:szCs w:val="18"/>
              </w:rPr>
            </w:pPr>
            <w:r>
              <w:rPr>
                <w:rFonts w:hint="default" w:ascii="Times New Roman" w:hAnsi="Times New Roman" w:cs="Times New Roman"/>
                <w:color w:val="0000FF"/>
                <w:sz w:val="16"/>
              </w:rPr>
              <w:t>17</w:t>
            </w:r>
          </w:p>
        </w:tc>
        <w:tc>
          <w:tcPr>
            <w:tcW w:w="240" w:type="pct"/>
            <w:tcBorders>
              <w:tl2br w:val="nil"/>
              <w:tr2bl w:val="nil"/>
            </w:tcBorders>
            <w:shd w:val="clear" w:color="auto" w:fill="auto"/>
            <w:vAlign w:val="center"/>
          </w:tcPr>
          <w:p w14:paraId="20EF8D40">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eastAsiaTheme="minorEastAsia"/>
                <w:color w:val="0000FF"/>
                <w:sz w:val="18"/>
                <w:szCs w:val="18"/>
              </w:rPr>
            </w:pPr>
            <w:r>
              <w:rPr>
                <w:rFonts w:hint="default" w:ascii="Times New Roman" w:hAnsi="Times New Roman" w:cs="Times New Roman"/>
                <w:color w:val="0000FF"/>
                <w:sz w:val="16"/>
              </w:rPr>
              <w:t>2</w:t>
            </w:r>
          </w:p>
        </w:tc>
        <w:tc>
          <w:tcPr>
            <w:tcW w:w="290" w:type="pct"/>
            <w:tcBorders>
              <w:tl2br w:val="nil"/>
              <w:tr2bl w:val="nil"/>
            </w:tcBorders>
            <w:shd w:val="clear" w:color="auto" w:fill="auto"/>
            <w:vAlign w:val="center"/>
          </w:tcPr>
          <w:p w14:paraId="0EA34CBA">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eastAsiaTheme="minorEastAsia"/>
                <w:color w:val="0000FF"/>
                <w:sz w:val="18"/>
                <w:szCs w:val="18"/>
              </w:rPr>
            </w:pPr>
            <w:r>
              <w:rPr>
                <w:rFonts w:hint="default" w:ascii="Times New Roman" w:hAnsi="Times New Roman" w:cs="Times New Roman"/>
                <w:color w:val="0000FF"/>
                <w:sz w:val="16"/>
              </w:rPr>
              <w:t>2</w:t>
            </w:r>
          </w:p>
        </w:tc>
        <w:tc>
          <w:tcPr>
            <w:tcW w:w="180" w:type="pct"/>
            <w:tcBorders>
              <w:tl2br w:val="nil"/>
              <w:tr2bl w:val="nil"/>
            </w:tcBorders>
            <w:shd w:val="clear" w:color="auto" w:fill="auto"/>
            <w:vAlign w:val="center"/>
          </w:tcPr>
          <w:p w14:paraId="6AF82FA8">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eastAsiaTheme="minorEastAsia"/>
                <w:color w:val="0000FF"/>
                <w:sz w:val="18"/>
                <w:szCs w:val="18"/>
              </w:rPr>
            </w:pPr>
            <w:r>
              <w:rPr>
                <w:rFonts w:hint="default" w:ascii="Times New Roman" w:hAnsi="Times New Roman" w:cs="Times New Roman"/>
                <w:color w:val="0000FF"/>
                <w:sz w:val="16"/>
              </w:rPr>
              <w:t>4</w:t>
            </w:r>
          </w:p>
        </w:tc>
        <w:tc>
          <w:tcPr>
            <w:tcW w:w="320" w:type="pct"/>
            <w:tcBorders>
              <w:tl2br w:val="nil"/>
              <w:tr2bl w:val="nil"/>
            </w:tcBorders>
            <w:shd w:val="clear" w:color="auto" w:fill="auto"/>
            <w:vAlign w:val="center"/>
          </w:tcPr>
          <w:p w14:paraId="2E16C99F">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eastAsiaTheme="minorEastAsia"/>
                <w:color w:val="0000FF"/>
                <w:sz w:val="18"/>
                <w:szCs w:val="18"/>
              </w:rPr>
            </w:pPr>
            <w:r>
              <w:rPr>
                <w:rFonts w:hint="default" w:ascii="Times New Roman" w:hAnsi="Times New Roman" w:cs="Times New Roman"/>
                <w:color w:val="0000FF"/>
                <w:sz w:val="16"/>
              </w:rPr>
              <w:t>7</w:t>
            </w:r>
          </w:p>
        </w:tc>
        <w:tc>
          <w:tcPr>
            <w:tcW w:w="270" w:type="pct"/>
            <w:tcBorders>
              <w:tl2br w:val="nil"/>
              <w:tr2bl w:val="nil"/>
            </w:tcBorders>
            <w:shd w:val="clear" w:color="auto" w:fill="auto"/>
            <w:vAlign w:val="center"/>
          </w:tcPr>
          <w:p w14:paraId="1F063C23">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eastAsiaTheme="minorEastAsia"/>
                <w:color w:val="0000FF"/>
                <w:sz w:val="18"/>
                <w:szCs w:val="18"/>
              </w:rPr>
            </w:pPr>
            <w:r>
              <w:rPr>
                <w:rFonts w:hint="default" w:ascii="Times New Roman" w:hAnsi="Times New Roman" w:cs="Times New Roman"/>
                <w:color w:val="0000FF"/>
                <w:sz w:val="16"/>
              </w:rPr>
              <w:t>5</w:t>
            </w:r>
          </w:p>
        </w:tc>
        <w:tc>
          <w:tcPr>
            <w:tcW w:w="361" w:type="pct"/>
            <w:tcBorders>
              <w:tl2br w:val="nil"/>
              <w:tr2bl w:val="nil"/>
            </w:tcBorders>
            <w:shd w:val="clear" w:color="auto" w:fill="auto"/>
            <w:vAlign w:val="center"/>
          </w:tcPr>
          <w:p w14:paraId="410A96E8">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eastAsiaTheme="minorEastAsia"/>
                <w:color w:val="0000FF"/>
                <w:sz w:val="18"/>
                <w:szCs w:val="18"/>
              </w:rPr>
            </w:pPr>
            <w:r>
              <w:rPr>
                <w:rFonts w:hint="default" w:ascii="Times New Roman" w:hAnsi="Times New Roman" w:cs="Times New Roman"/>
                <w:color w:val="0000FF"/>
                <w:sz w:val="16"/>
              </w:rPr>
              <w:t>4</w:t>
            </w:r>
          </w:p>
        </w:tc>
        <w:tc>
          <w:tcPr>
            <w:tcW w:w="226" w:type="pct"/>
            <w:tcBorders>
              <w:tl2br w:val="nil"/>
              <w:tr2bl w:val="nil"/>
            </w:tcBorders>
            <w:shd w:val="clear" w:color="auto" w:fill="auto"/>
            <w:vAlign w:val="center"/>
          </w:tcPr>
          <w:p w14:paraId="5CACDE98">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eastAsiaTheme="minorEastAsia"/>
                <w:color w:val="0000FF"/>
                <w:sz w:val="18"/>
                <w:szCs w:val="18"/>
              </w:rPr>
            </w:pPr>
            <w:r>
              <w:rPr>
                <w:rFonts w:hint="default" w:ascii="Times New Roman" w:hAnsi="Times New Roman" w:cs="Times New Roman"/>
                <w:color w:val="0000FF"/>
                <w:sz w:val="16"/>
              </w:rPr>
              <w:t>7</w:t>
            </w:r>
          </w:p>
        </w:tc>
        <w:tc>
          <w:tcPr>
            <w:tcW w:w="375" w:type="pct"/>
            <w:tcBorders>
              <w:tl2br w:val="nil"/>
              <w:tr2bl w:val="nil"/>
            </w:tcBorders>
            <w:shd w:val="clear" w:color="auto" w:fill="auto"/>
            <w:vAlign w:val="center"/>
          </w:tcPr>
          <w:p w14:paraId="0F37828F">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eastAsiaTheme="minorEastAsia"/>
                <w:color w:val="0000FF"/>
                <w:sz w:val="18"/>
                <w:szCs w:val="18"/>
              </w:rPr>
            </w:pPr>
            <w:r>
              <w:rPr>
                <w:rFonts w:hint="default" w:ascii="Times New Roman" w:hAnsi="Times New Roman" w:cs="Times New Roman"/>
                <w:color w:val="0000FF"/>
                <w:sz w:val="16"/>
              </w:rPr>
              <w:t>6</w:t>
            </w:r>
          </w:p>
        </w:tc>
        <w:tc>
          <w:tcPr>
            <w:tcW w:w="285" w:type="pct"/>
            <w:tcBorders>
              <w:tl2br w:val="nil"/>
              <w:tr2bl w:val="nil"/>
            </w:tcBorders>
            <w:shd w:val="clear" w:color="auto" w:fill="auto"/>
            <w:vAlign w:val="center"/>
          </w:tcPr>
          <w:p w14:paraId="2B7C260A">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eastAsiaTheme="minorEastAsia"/>
                <w:color w:val="0000FF"/>
                <w:sz w:val="18"/>
                <w:szCs w:val="18"/>
              </w:rPr>
            </w:pPr>
            <w:r>
              <w:rPr>
                <w:rFonts w:hint="default" w:ascii="Times New Roman" w:hAnsi="Times New Roman" w:cs="Times New Roman"/>
                <w:color w:val="0000FF"/>
                <w:sz w:val="16"/>
              </w:rPr>
              <w:t>4</w:t>
            </w:r>
          </w:p>
        </w:tc>
        <w:tc>
          <w:tcPr>
            <w:tcW w:w="350" w:type="pct"/>
            <w:tcBorders>
              <w:tl2br w:val="nil"/>
              <w:tr2bl w:val="nil"/>
            </w:tcBorders>
            <w:shd w:val="clear" w:color="auto" w:fill="auto"/>
            <w:vAlign w:val="center"/>
          </w:tcPr>
          <w:p w14:paraId="61F4BF81">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eastAsiaTheme="minorEastAsia"/>
                <w:color w:val="0000FF"/>
                <w:sz w:val="18"/>
                <w:szCs w:val="18"/>
              </w:rPr>
            </w:pPr>
            <w:r>
              <w:rPr>
                <w:rFonts w:hint="default" w:ascii="Times New Roman" w:hAnsi="Times New Roman" w:cs="Times New Roman"/>
                <w:color w:val="0000FF"/>
                <w:sz w:val="16"/>
              </w:rPr>
              <w:t>5</w:t>
            </w:r>
          </w:p>
        </w:tc>
        <w:tc>
          <w:tcPr>
            <w:tcW w:w="195" w:type="pct"/>
            <w:tcBorders>
              <w:tl2br w:val="nil"/>
              <w:tr2bl w:val="nil"/>
            </w:tcBorders>
            <w:shd w:val="clear" w:color="auto" w:fill="auto"/>
            <w:vAlign w:val="center"/>
          </w:tcPr>
          <w:p w14:paraId="428E27CA">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eastAsiaTheme="minorEastAsia"/>
                <w:color w:val="0000FF"/>
                <w:sz w:val="18"/>
                <w:szCs w:val="18"/>
              </w:rPr>
            </w:pPr>
            <w:r>
              <w:rPr>
                <w:rFonts w:hint="default" w:ascii="Times New Roman" w:hAnsi="Times New Roman" w:cs="Times New Roman"/>
                <w:color w:val="0000FF"/>
                <w:sz w:val="16"/>
              </w:rPr>
              <w:t>1</w:t>
            </w:r>
          </w:p>
        </w:tc>
      </w:tr>
      <w:tr w14:paraId="1AE888E0">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 w:hRule="atLeast"/>
          <w:jc w:val="center"/>
        </w:trPr>
        <w:tc>
          <w:tcPr>
            <w:tcW w:w="286" w:type="pct"/>
            <w:tcBorders>
              <w:tl2br w:val="nil"/>
              <w:tr2bl w:val="nil"/>
            </w:tcBorders>
            <w:shd w:val="clear" w:color="auto" w:fill="auto"/>
            <w:vAlign w:val="center"/>
          </w:tcPr>
          <w:p w14:paraId="02127253">
            <w:pPr>
              <w:keepNext w:val="0"/>
              <w:keepLines w:val="0"/>
              <w:pageBreakBefore w:val="0"/>
              <w:widowControl/>
              <w:kinsoku/>
              <w:wordWrap/>
              <w:overflowPunct/>
              <w:topLinePunct w:val="0"/>
              <w:autoSpaceDE/>
              <w:autoSpaceDN/>
              <w:bidi w:val="0"/>
              <w:snapToGrid w:val="0"/>
              <w:spacing w:line="240" w:lineRule="auto"/>
              <w:jc w:val="center"/>
              <w:textAlignment w:val="auto"/>
              <w:rPr>
                <w:rFonts w:hint="default" w:ascii="Times New Roman" w:hAnsi="Times New Roman" w:cs="Times New Roman" w:eastAsiaTheme="minorEastAsia"/>
                <w:b w:val="0"/>
                <w:bCs/>
                <w:color w:val="0000FF"/>
                <w:sz w:val="18"/>
                <w:szCs w:val="18"/>
              </w:rPr>
            </w:pPr>
            <w:r>
              <w:rPr>
                <w:rFonts w:hint="default" w:ascii="Times New Roman" w:hAnsi="Times New Roman" w:cs="Times New Roman" w:eastAsiaTheme="minorEastAsia"/>
                <w:b w:val="0"/>
                <w:bCs/>
                <w:color w:val="0000FF"/>
                <w:sz w:val="18"/>
                <w:szCs w:val="18"/>
              </w:rPr>
              <w:t>11</w:t>
            </w:r>
          </w:p>
        </w:tc>
        <w:tc>
          <w:tcPr>
            <w:tcW w:w="195" w:type="pct"/>
            <w:tcBorders>
              <w:tl2br w:val="nil"/>
              <w:tr2bl w:val="nil"/>
            </w:tcBorders>
            <w:shd w:val="clear" w:color="auto" w:fill="auto"/>
            <w:vAlign w:val="center"/>
          </w:tcPr>
          <w:p w14:paraId="15D81201">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eastAsiaTheme="minorEastAsia"/>
                <w:color w:val="0000FF"/>
                <w:sz w:val="18"/>
                <w:szCs w:val="18"/>
              </w:rPr>
            </w:pPr>
            <w:r>
              <w:rPr>
                <w:rFonts w:hint="default" w:ascii="Times New Roman" w:hAnsi="Times New Roman" w:cs="Times New Roman"/>
                <w:color w:val="0000FF"/>
                <w:sz w:val="16"/>
              </w:rPr>
              <w:t>6</w:t>
            </w:r>
          </w:p>
        </w:tc>
        <w:tc>
          <w:tcPr>
            <w:tcW w:w="320" w:type="pct"/>
            <w:tcBorders>
              <w:tl2br w:val="nil"/>
              <w:tr2bl w:val="nil"/>
            </w:tcBorders>
            <w:shd w:val="clear" w:color="auto" w:fill="auto"/>
            <w:vAlign w:val="center"/>
          </w:tcPr>
          <w:p w14:paraId="780E66D8">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eastAsiaTheme="minorEastAsia"/>
                <w:color w:val="0000FF"/>
                <w:sz w:val="18"/>
                <w:szCs w:val="18"/>
              </w:rPr>
            </w:pPr>
            <w:r>
              <w:rPr>
                <w:rFonts w:hint="default" w:ascii="Times New Roman" w:hAnsi="Times New Roman" w:cs="Times New Roman"/>
                <w:color w:val="0000FF"/>
                <w:sz w:val="16"/>
              </w:rPr>
              <w:t>5</w:t>
            </w:r>
          </w:p>
        </w:tc>
        <w:tc>
          <w:tcPr>
            <w:tcW w:w="255" w:type="pct"/>
            <w:tcBorders>
              <w:tl2br w:val="nil"/>
              <w:tr2bl w:val="nil"/>
            </w:tcBorders>
            <w:shd w:val="clear" w:color="auto" w:fill="auto"/>
            <w:vAlign w:val="center"/>
          </w:tcPr>
          <w:p w14:paraId="2995967E">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eastAsiaTheme="minorEastAsia"/>
                <w:color w:val="0000FF"/>
                <w:sz w:val="18"/>
                <w:szCs w:val="18"/>
              </w:rPr>
            </w:pPr>
            <w:r>
              <w:rPr>
                <w:rFonts w:hint="default" w:ascii="Times New Roman" w:hAnsi="Times New Roman" w:cs="Times New Roman"/>
                <w:color w:val="0000FF"/>
                <w:sz w:val="16"/>
              </w:rPr>
              <w:t>3</w:t>
            </w:r>
          </w:p>
        </w:tc>
        <w:tc>
          <w:tcPr>
            <w:tcW w:w="315" w:type="pct"/>
            <w:tcBorders>
              <w:tl2br w:val="nil"/>
              <w:tr2bl w:val="nil"/>
            </w:tcBorders>
            <w:shd w:val="clear" w:color="auto" w:fill="auto"/>
            <w:vAlign w:val="center"/>
          </w:tcPr>
          <w:p w14:paraId="4B427A52">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eastAsiaTheme="minorEastAsia"/>
                <w:color w:val="0000FF"/>
                <w:sz w:val="18"/>
                <w:szCs w:val="18"/>
              </w:rPr>
            </w:pPr>
            <w:r>
              <w:rPr>
                <w:rFonts w:hint="default" w:ascii="Times New Roman" w:hAnsi="Times New Roman" w:cs="Times New Roman"/>
                <w:color w:val="0000FF"/>
                <w:sz w:val="16"/>
              </w:rPr>
              <w:t>3</w:t>
            </w:r>
          </w:p>
        </w:tc>
        <w:tc>
          <w:tcPr>
            <w:tcW w:w="226" w:type="pct"/>
            <w:tcBorders>
              <w:tl2br w:val="nil"/>
              <w:tr2bl w:val="nil"/>
            </w:tcBorders>
            <w:shd w:val="clear" w:color="auto" w:fill="auto"/>
            <w:vAlign w:val="center"/>
          </w:tcPr>
          <w:p w14:paraId="389F4EB0">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eastAsiaTheme="minorEastAsia"/>
                <w:color w:val="0000FF"/>
                <w:sz w:val="18"/>
                <w:szCs w:val="18"/>
              </w:rPr>
            </w:pPr>
            <w:r>
              <w:rPr>
                <w:rFonts w:hint="default" w:ascii="Times New Roman" w:hAnsi="Times New Roman" w:cs="Times New Roman"/>
                <w:color w:val="0000FF"/>
                <w:sz w:val="16"/>
              </w:rPr>
              <w:t>18</w:t>
            </w:r>
          </w:p>
        </w:tc>
        <w:tc>
          <w:tcPr>
            <w:tcW w:w="300" w:type="pct"/>
            <w:tcBorders>
              <w:tl2br w:val="nil"/>
              <w:tr2bl w:val="nil"/>
            </w:tcBorders>
            <w:shd w:val="clear" w:color="auto" w:fill="auto"/>
            <w:vAlign w:val="center"/>
          </w:tcPr>
          <w:p w14:paraId="21B1C6FC">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eastAsiaTheme="minorEastAsia"/>
                <w:color w:val="0000FF"/>
                <w:sz w:val="18"/>
                <w:szCs w:val="18"/>
              </w:rPr>
            </w:pPr>
            <w:r>
              <w:rPr>
                <w:rFonts w:hint="default" w:ascii="Times New Roman" w:hAnsi="Times New Roman" w:cs="Times New Roman"/>
                <w:color w:val="0000FF"/>
                <w:sz w:val="16"/>
              </w:rPr>
              <w:t>17</w:t>
            </w:r>
          </w:p>
        </w:tc>
        <w:tc>
          <w:tcPr>
            <w:tcW w:w="240" w:type="pct"/>
            <w:tcBorders>
              <w:tl2br w:val="nil"/>
              <w:tr2bl w:val="nil"/>
            </w:tcBorders>
            <w:shd w:val="clear" w:color="auto" w:fill="auto"/>
            <w:vAlign w:val="center"/>
          </w:tcPr>
          <w:p w14:paraId="715BCE51">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eastAsiaTheme="minorEastAsia"/>
                <w:color w:val="0000FF"/>
                <w:sz w:val="18"/>
                <w:szCs w:val="18"/>
              </w:rPr>
            </w:pPr>
            <w:r>
              <w:rPr>
                <w:rFonts w:hint="default" w:ascii="Times New Roman" w:hAnsi="Times New Roman" w:cs="Times New Roman"/>
                <w:color w:val="0000FF"/>
                <w:sz w:val="16"/>
              </w:rPr>
              <w:t>1</w:t>
            </w:r>
          </w:p>
        </w:tc>
        <w:tc>
          <w:tcPr>
            <w:tcW w:w="290" w:type="pct"/>
            <w:tcBorders>
              <w:tl2br w:val="nil"/>
              <w:tr2bl w:val="nil"/>
            </w:tcBorders>
            <w:shd w:val="clear" w:color="auto" w:fill="auto"/>
            <w:vAlign w:val="center"/>
          </w:tcPr>
          <w:p w14:paraId="12684414">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eastAsiaTheme="minorEastAsia"/>
                <w:color w:val="0000FF"/>
                <w:sz w:val="18"/>
                <w:szCs w:val="18"/>
              </w:rPr>
            </w:pPr>
            <w:r>
              <w:rPr>
                <w:rFonts w:hint="default" w:ascii="Times New Roman" w:hAnsi="Times New Roman" w:cs="Times New Roman"/>
                <w:color w:val="0000FF"/>
                <w:sz w:val="16"/>
              </w:rPr>
              <w:t>2</w:t>
            </w:r>
          </w:p>
        </w:tc>
        <w:tc>
          <w:tcPr>
            <w:tcW w:w="180" w:type="pct"/>
            <w:tcBorders>
              <w:tl2br w:val="nil"/>
              <w:tr2bl w:val="nil"/>
            </w:tcBorders>
            <w:shd w:val="clear" w:color="auto" w:fill="auto"/>
            <w:vAlign w:val="center"/>
          </w:tcPr>
          <w:p w14:paraId="5F994BCC">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eastAsiaTheme="minorEastAsia"/>
                <w:color w:val="0000FF"/>
                <w:sz w:val="18"/>
                <w:szCs w:val="18"/>
              </w:rPr>
            </w:pPr>
            <w:r>
              <w:rPr>
                <w:rFonts w:hint="default" w:ascii="Times New Roman" w:hAnsi="Times New Roman" w:cs="Times New Roman"/>
                <w:color w:val="0000FF"/>
                <w:sz w:val="16"/>
              </w:rPr>
              <w:t>3</w:t>
            </w:r>
          </w:p>
        </w:tc>
        <w:tc>
          <w:tcPr>
            <w:tcW w:w="320" w:type="pct"/>
            <w:tcBorders>
              <w:tl2br w:val="nil"/>
              <w:tr2bl w:val="nil"/>
            </w:tcBorders>
            <w:shd w:val="clear" w:color="auto" w:fill="auto"/>
            <w:vAlign w:val="center"/>
          </w:tcPr>
          <w:p w14:paraId="4FAC9DD1">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eastAsiaTheme="minorEastAsia"/>
                <w:color w:val="0000FF"/>
                <w:sz w:val="18"/>
                <w:szCs w:val="18"/>
              </w:rPr>
            </w:pPr>
            <w:r>
              <w:rPr>
                <w:rFonts w:hint="default" w:ascii="Times New Roman" w:hAnsi="Times New Roman" w:cs="Times New Roman"/>
                <w:color w:val="0000FF"/>
                <w:sz w:val="16"/>
              </w:rPr>
              <w:t>7</w:t>
            </w:r>
          </w:p>
        </w:tc>
        <w:tc>
          <w:tcPr>
            <w:tcW w:w="270" w:type="pct"/>
            <w:tcBorders>
              <w:tl2br w:val="nil"/>
              <w:tr2bl w:val="nil"/>
            </w:tcBorders>
            <w:shd w:val="clear" w:color="auto" w:fill="auto"/>
            <w:vAlign w:val="center"/>
          </w:tcPr>
          <w:p w14:paraId="4F3C8A6E">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eastAsiaTheme="minorEastAsia"/>
                <w:color w:val="0000FF"/>
                <w:sz w:val="18"/>
                <w:szCs w:val="18"/>
              </w:rPr>
            </w:pPr>
            <w:r>
              <w:rPr>
                <w:rFonts w:hint="default" w:ascii="Times New Roman" w:hAnsi="Times New Roman" w:cs="Times New Roman"/>
                <w:color w:val="0000FF"/>
                <w:sz w:val="16"/>
              </w:rPr>
              <w:t>5</w:t>
            </w:r>
          </w:p>
        </w:tc>
        <w:tc>
          <w:tcPr>
            <w:tcW w:w="361" w:type="pct"/>
            <w:tcBorders>
              <w:tl2br w:val="nil"/>
              <w:tr2bl w:val="nil"/>
            </w:tcBorders>
            <w:shd w:val="clear" w:color="auto" w:fill="auto"/>
            <w:vAlign w:val="center"/>
          </w:tcPr>
          <w:p w14:paraId="2E7FC291">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eastAsiaTheme="minorEastAsia"/>
                <w:color w:val="0000FF"/>
                <w:sz w:val="18"/>
                <w:szCs w:val="18"/>
              </w:rPr>
            </w:pPr>
            <w:r>
              <w:rPr>
                <w:rFonts w:hint="default" w:ascii="Times New Roman" w:hAnsi="Times New Roman" w:cs="Times New Roman"/>
                <w:color w:val="0000FF"/>
                <w:sz w:val="16"/>
              </w:rPr>
              <w:t>4</w:t>
            </w:r>
          </w:p>
        </w:tc>
        <w:tc>
          <w:tcPr>
            <w:tcW w:w="226" w:type="pct"/>
            <w:tcBorders>
              <w:tl2br w:val="nil"/>
              <w:tr2bl w:val="nil"/>
            </w:tcBorders>
            <w:shd w:val="clear" w:color="auto" w:fill="auto"/>
            <w:vAlign w:val="center"/>
          </w:tcPr>
          <w:p w14:paraId="78B3BD73">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eastAsiaTheme="minorEastAsia"/>
                <w:color w:val="0000FF"/>
                <w:sz w:val="18"/>
                <w:szCs w:val="18"/>
              </w:rPr>
            </w:pPr>
            <w:r>
              <w:rPr>
                <w:rFonts w:hint="default" w:ascii="Times New Roman" w:hAnsi="Times New Roman" w:cs="Times New Roman"/>
                <w:color w:val="0000FF"/>
                <w:sz w:val="16"/>
              </w:rPr>
              <w:t>6</w:t>
            </w:r>
          </w:p>
        </w:tc>
        <w:tc>
          <w:tcPr>
            <w:tcW w:w="375" w:type="pct"/>
            <w:tcBorders>
              <w:tl2br w:val="nil"/>
              <w:tr2bl w:val="nil"/>
            </w:tcBorders>
            <w:shd w:val="clear" w:color="auto" w:fill="auto"/>
            <w:vAlign w:val="center"/>
          </w:tcPr>
          <w:p w14:paraId="47C5555E">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eastAsiaTheme="minorEastAsia"/>
                <w:color w:val="0000FF"/>
                <w:sz w:val="18"/>
                <w:szCs w:val="18"/>
              </w:rPr>
            </w:pPr>
            <w:r>
              <w:rPr>
                <w:rFonts w:hint="default" w:ascii="Times New Roman" w:hAnsi="Times New Roman" w:cs="Times New Roman"/>
                <w:color w:val="0000FF"/>
                <w:sz w:val="16"/>
              </w:rPr>
              <w:t>8</w:t>
            </w:r>
          </w:p>
        </w:tc>
        <w:tc>
          <w:tcPr>
            <w:tcW w:w="285" w:type="pct"/>
            <w:tcBorders>
              <w:tl2br w:val="nil"/>
              <w:tr2bl w:val="nil"/>
            </w:tcBorders>
            <w:shd w:val="clear" w:color="auto" w:fill="auto"/>
            <w:vAlign w:val="center"/>
          </w:tcPr>
          <w:p w14:paraId="3D46A2D0">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eastAsiaTheme="minorEastAsia"/>
                <w:color w:val="0000FF"/>
                <w:sz w:val="18"/>
                <w:szCs w:val="18"/>
              </w:rPr>
            </w:pPr>
            <w:r>
              <w:rPr>
                <w:rFonts w:hint="default" w:ascii="Times New Roman" w:hAnsi="Times New Roman" w:cs="Times New Roman"/>
                <w:color w:val="0000FF"/>
                <w:sz w:val="16"/>
              </w:rPr>
              <w:t>5</w:t>
            </w:r>
          </w:p>
        </w:tc>
        <w:tc>
          <w:tcPr>
            <w:tcW w:w="350" w:type="pct"/>
            <w:tcBorders>
              <w:tl2br w:val="nil"/>
              <w:tr2bl w:val="nil"/>
            </w:tcBorders>
            <w:shd w:val="clear" w:color="auto" w:fill="auto"/>
            <w:vAlign w:val="center"/>
          </w:tcPr>
          <w:p w14:paraId="35682680">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eastAsiaTheme="minorEastAsia"/>
                <w:color w:val="0000FF"/>
                <w:sz w:val="18"/>
                <w:szCs w:val="18"/>
              </w:rPr>
            </w:pPr>
            <w:r>
              <w:rPr>
                <w:rFonts w:hint="default" w:ascii="Times New Roman" w:hAnsi="Times New Roman" w:cs="Times New Roman"/>
                <w:color w:val="0000FF"/>
                <w:sz w:val="16"/>
              </w:rPr>
              <w:t>6</w:t>
            </w:r>
          </w:p>
        </w:tc>
        <w:tc>
          <w:tcPr>
            <w:tcW w:w="195" w:type="pct"/>
            <w:tcBorders>
              <w:tl2br w:val="nil"/>
              <w:tr2bl w:val="nil"/>
            </w:tcBorders>
            <w:shd w:val="clear" w:color="auto" w:fill="auto"/>
            <w:vAlign w:val="center"/>
          </w:tcPr>
          <w:p w14:paraId="104B1253">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eastAsiaTheme="minorEastAsia"/>
                <w:color w:val="0000FF"/>
                <w:sz w:val="18"/>
                <w:szCs w:val="18"/>
              </w:rPr>
            </w:pPr>
            <w:r>
              <w:rPr>
                <w:rFonts w:hint="default" w:ascii="Times New Roman" w:hAnsi="Times New Roman" w:cs="Times New Roman"/>
                <w:color w:val="0000FF"/>
                <w:sz w:val="16"/>
              </w:rPr>
              <w:t>1</w:t>
            </w:r>
          </w:p>
        </w:tc>
      </w:tr>
      <w:tr w14:paraId="6E705FEB">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 w:hRule="atLeast"/>
          <w:jc w:val="center"/>
        </w:trPr>
        <w:tc>
          <w:tcPr>
            <w:tcW w:w="286" w:type="pct"/>
            <w:tcBorders>
              <w:tl2br w:val="nil"/>
              <w:tr2bl w:val="nil"/>
            </w:tcBorders>
            <w:shd w:val="clear" w:color="auto" w:fill="auto"/>
            <w:vAlign w:val="center"/>
          </w:tcPr>
          <w:p w14:paraId="313141BA">
            <w:pPr>
              <w:keepNext w:val="0"/>
              <w:keepLines w:val="0"/>
              <w:pageBreakBefore w:val="0"/>
              <w:widowControl/>
              <w:kinsoku/>
              <w:wordWrap/>
              <w:overflowPunct/>
              <w:topLinePunct w:val="0"/>
              <w:autoSpaceDE/>
              <w:autoSpaceDN/>
              <w:bidi w:val="0"/>
              <w:snapToGrid w:val="0"/>
              <w:spacing w:line="240" w:lineRule="auto"/>
              <w:jc w:val="center"/>
              <w:textAlignment w:val="auto"/>
              <w:rPr>
                <w:rFonts w:hint="default" w:ascii="Times New Roman" w:hAnsi="Times New Roman" w:cs="Times New Roman" w:eastAsiaTheme="minorEastAsia"/>
                <w:b w:val="0"/>
                <w:bCs/>
                <w:color w:val="0000FF"/>
                <w:sz w:val="18"/>
                <w:szCs w:val="18"/>
              </w:rPr>
            </w:pPr>
            <w:r>
              <w:rPr>
                <w:rFonts w:hint="default" w:ascii="Times New Roman" w:hAnsi="Times New Roman" w:cs="Times New Roman" w:eastAsiaTheme="minorEastAsia"/>
                <w:b w:val="0"/>
                <w:bCs/>
                <w:color w:val="0000FF"/>
                <w:sz w:val="18"/>
                <w:szCs w:val="18"/>
              </w:rPr>
              <w:t>12</w:t>
            </w:r>
          </w:p>
        </w:tc>
        <w:tc>
          <w:tcPr>
            <w:tcW w:w="195" w:type="pct"/>
            <w:tcBorders>
              <w:tl2br w:val="nil"/>
              <w:tr2bl w:val="nil"/>
            </w:tcBorders>
            <w:shd w:val="clear" w:color="auto" w:fill="auto"/>
            <w:vAlign w:val="center"/>
          </w:tcPr>
          <w:p w14:paraId="628FE495">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eastAsiaTheme="minorEastAsia"/>
                <w:color w:val="0000FF"/>
                <w:sz w:val="18"/>
                <w:szCs w:val="18"/>
              </w:rPr>
            </w:pPr>
            <w:r>
              <w:rPr>
                <w:rFonts w:hint="default" w:ascii="Times New Roman" w:hAnsi="Times New Roman" w:cs="Times New Roman"/>
                <w:color w:val="0000FF"/>
                <w:sz w:val="16"/>
              </w:rPr>
              <w:t>5</w:t>
            </w:r>
          </w:p>
        </w:tc>
        <w:tc>
          <w:tcPr>
            <w:tcW w:w="320" w:type="pct"/>
            <w:tcBorders>
              <w:tl2br w:val="nil"/>
              <w:tr2bl w:val="nil"/>
            </w:tcBorders>
            <w:shd w:val="clear" w:color="auto" w:fill="auto"/>
            <w:vAlign w:val="center"/>
          </w:tcPr>
          <w:p w14:paraId="009A2F0F">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eastAsiaTheme="minorEastAsia"/>
                <w:color w:val="0000FF"/>
                <w:sz w:val="18"/>
                <w:szCs w:val="18"/>
              </w:rPr>
            </w:pPr>
            <w:r>
              <w:rPr>
                <w:rFonts w:hint="default" w:ascii="Times New Roman" w:hAnsi="Times New Roman" w:cs="Times New Roman"/>
                <w:color w:val="0000FF"/>
                <w:sz w:val="16"/>
              </w:rPr>
              <w:t>3</w:t>
            </w:r>
          </w:p>
        </w:tc>
        <w:tc>
          <w:tcPr>
            <w:tcW w:w="255" w:type="pct"/>
            <w:tcBorders>
              <w:tl2br w:val="nil"/>
              <w:tr2bl w:val="nil"/>
            </w:tcBorders>
            <w:shd w:val="clear" w:color="auto" w:fill="auto"/>
            <w:vAlign w:val="center"/>
          </w:tcPr>
          <w:p w14:paraId="6496322B">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eastAsiaTheme="minorEastAsia"/>
                <w:color w:val="0000FF"/>
                <w:sz w:val="18"/>
                <w:szCs w:val="18"/>
              </w:rPr>
            </w:pPr>
            <w:r>
              <w:rPr>
                <w:rFonts w:hint="default" w:ascii="Times New Roman" w:hAnsi="Times New Roman" w:cs="Times New Roman"/>
                <w:color w:val="0000FF"/>
                <w:sz w:val="16"/>
              </w:rPr>
              <w:t>3</w:t>
            </w:r>
          </w:p>
        </w:tc>
        <w:tc>
          <w:tcPr>
            <w:tcW w:w="315" w:type="pct"/>
            <w:tcBorders>
              <w:tl2br w:val="nil"/>
              <w:tr2bl w:val="nil"/>
            </w:tcBorders>
            <w:shd w:val="clear" w:color="auto" w:fill="auto"/>
            <w:vAlign w:val="center"/>
          </w:tcPr>
          <w:p w14:paraId="5CF131AB">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eastAsiaTheme="minorEastAsia"/>
                <w:color w:val="0000FF"/>
                <w:sz w:val="18"/>
                <w:szCs w:val="18"/>
              </w:rPr>
            </w:pPr>
            <w:r>
              <w:rPr>
                <w:rFonts w:hint="default" w:ascii="Times New Roman" w:hAnsi="Times New Roman" w:cs="Times New Roman"/>
                <w:color w:val="0000FF"/>
                <w:sz w:val="16"/>
              </w:rPr>
              <w:t>4</w:t>
            </w:r>
          </w:p>
        </w:tc>
        <w:tc>
          <w:tcPr>
            <w:tcW w:w="226" w:type="pct"/>
            <w:tcBorders>
              <w:tl2br w:val="nil"/>
              <w:tr2bl w:val="nil"/>
            </w:tcBorders>
            <w:shd w:val="clear" w:color="auto" w:fill="auto"/>
            <w:vAlign w:val="center"/>
          </w:tcPr>
          <w:p w14:paraId="04B1C913">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eastAsiaTheme="minorEastAsia"/>
                <w:color w:val="0000FF"/>
                <w:sz w:val="18"/>
                <w:szCs w:val="18"/>
              </w:rPr>
            </w:pPr>
            <w:r>
              <w:rPr>
                <w:rFonts w:hint="default" w:ascii="Times New Roman" w:hAnsi="Times New Roman" w:cs="Times New Roman"/>
                <w:color w:val="0000FF"/>
                <w:sz w:val="16"/>
              </w:rPr>
              <w:t>20</w:t>
            </w:r>
          </w:p>
        </w:tc>
        <w:tc>
          <w:tcPr>
            <w:tcW w:w="300" w:type="pct"/>
            <w:tcBorders>
              <w:tl2br w:val="nil"/>
              <w:tr2bl w:val="nil"/>
            </w:tcBorders>
            <w:shd w:val="clear" w:color="auto" w:fill="auto"/>
            <w:vAlign w:val="center"/>
          </w:tcPr>
          <w:p w14:paraId="2DCD005C">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eastAsiaTheme="minorEastAsia"/>
                <w:color w:val="0000FF"/>
                <w:sz w:val="18"/>
                <w:szCs w:val="18"/>
              </w:rPr>
            </w:pPr>
            <w:r>
              <w:rPr>
                <w:rFonts w:hint="default" w:ascii="Times New Roman" w:hAnsi="Times New Roman" w:cs="Times New Roman"/>
                <w:color w:val="0000FF"/>
                <w:sz w:val="16"/>
              </w:rPr>
              <w:t>20</w:t>
            </w:r>
          </w:p>
        </w:tc>
        <w:tc>
          <w:tcPr>
            <w:tcW w:w="240" w:type="pct"/>
            <w:tcBorders>
              <w:tl2br w:val="nil"/>
              <w:tr2bl w:val="nil"/>
            </w:tcBorders>
            <w:shd w:val="clear" w:color="auto" w:fill="auto"/>
            <w:vAlign w:val="center"/>
          </w:tcPr>
          <w:p w14:paraId="52808577">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eastAsiaTheme="minorEastAsia"/>
                <w:color w:val="0000FF"/>
                <w:sz w:val="18"/>
                <w:szCs w:val="18"/>
              </w:rPr>
            </w:pPr>
            <w:r>
              <w:rPr>
                <w:rFonts w:hint="default" w:ascii="Times New Roman" w:hAnsi="Times New Roman" w:cs="Times New Roman"/>
                <w:color w:val="0000FF"/>
                <w:sz w:val="16"/>
              </w:rPr>
              <w:t>1</w:t>
            </w:r>
          </w:p>
        </w:tc>
        <w:tc>
          <w:tcPr>
            <w:tcW w:w="290" w:type="pct"/>
            <w:tcBorders>
              <w:tl2br w:val="nil"/>
              <w:tr2bl w:val="nil"/>
            </w:tcBorders>
            <w:shd w:val="clear" w:color="auto" w:fill="auto"/>
            <w:vAlign w:val="center"/>
          </w:tcPr>
          <w:p w14:paraId="46C425AA">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eastAsiaTheme="minorEastAsia"/>
                <w:color w:val="0000FF"/>
                <w:sz w:val="18"/>
                <w:szCs w:val="18"/>
              </w:rPr>
            </w:pPr>
            <w:r>
              <w:rPr>
                <w:rFonts w:hint="default" w:ascii="Times New Roman" w:hAnsi="Times New Roman" w:cs="Times New Roman"/>
                <w:color w:val="0000FF"/>
                <w:sz w:val="16"/>
              </w:rPr>
              <w:t>0</w:t>
            </w:r>
          </w:p>
        </w:tc>
        <w:tc>
          <w:tcPr>
            <w:tcW w:w="180" w:type="pct"/>
            <w:tcBorders>
              <w:tl2br w:val="nil"/>
              <w:tr2bl w:val="nil"/>
            </w:tcBorders>
            <w:shd w:val="clear" w:color="auto" w:fill="auto"/>
            <w:vAlign w:val="center"/>
          </w:tcPr>
          <w:p w14:paraId="5FE73C1F">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eastAsiaTheme="minorEastAsia"/>
                <w:color w:val="0000FF"/>
                <w:sz w:val="18"/>
                <w:szCs w:val="18"/>
              </w:rPr>
            </w:pPr>
            <w:r>
              <w:rPr>
                <w:rFonts w:hint="default" w:ascii="Times New Roman" w:hAnsi="Times New Roman" w:cs="Times New Roman"/>
                <w:color w:val="0000FF"/>
                <w:sz w:val="16"/>
              </w:rPr>
              <w:t>3</w:t>
            </w:r>
          </w:p>
        </w:tc>
        <w:tc>
          <w:tcPr>
            <w:tcW w:w="320" w:type="pct"/>
            <w:tcBorders>
              <w:tl2br w:val="nil"/>
              <w:tr2bl w:val="nil"/>
            </w:tcBorders>
            <w:shd w:val="clear" w:color="auto" w:fill="auto"/>
            <w:vAlign w:val="center"/>
          </w:tcPr>
          <w:p w14:paraId="13A2978A">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eastAsiaTheme="minorEastAsia"/>
                <w:color w:val="0000FF"/>
                <w:sz w:val="18"/>
                <w:szCs w:val="18"/>
              </w:rPr>
            </w:pPr>
            <w:r>
              <w:rPr>
                <w:rFonts w:hint="default" w:ascii="Times New Roman" w:hAnsi="Times New Roman" w:cs="Times New Roman"/>
                <w:color w:val="0000FF"/>
                <w:sz w:val="16"/>
              </w:rPr>
              <w:t>6</w:t>
            </w:r>
          </w:p>
        </w:tc>
        <w:tc>
          <w:tcPr>
            <w:tcW w:w="270" w:type="pct"/>
            <w:tcBorders>
              <w:tl2br w:val="nil"/>
              <w:tr2bl w:val="nil"/>
            </w:tcBorders>
            <w:shd w:val="clear" w:color="auto" w:fill="auto"/>
            <w:vAlign w:val="center"/>
          </w:tcPr>
          <w:p w14:paraId="03B33AFB">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eastAsiaTheme="minorEastAsia"/>
                <w:color w:val="0000FF"/>
                <w:sz w:val="18"/>
                <w:szCs w:val="18"/>
              </w:rPr>
            </w:pPr>
            <w:r>
              <w:rPr>
                <w:rFonts w:hint="default" w:ascii="Times New Roman" w:hAnsi="Times New Roman" w:cs="Times New Roman"/>
                <w:color w:val="0000FF"/>
                <w:sz w:val="16"/>
              </w:rPr>
              <w:t>4</w:t>
            </w:r>
          </w:p>
        </w:tc>
        <w:tc>
          <w:tcPr>
            <w:tcW w:w="361" w:type="pct"/>
            <w:tcBorders>
              <w:tl2br w:val="nil"/>
              <w:tr2bl w:val="nil"/>
            </w:tcBorders>
            <w:shd w:val="clear" w:color="auto" w:fill="auto"/>
            <w:vAlign w:val="center"/>
          </w:tcPr>
          <w:p w14:paraId="2CD9C741">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eastAsiaTheme="minorEastAsia"/>
                <w:color w:val="0000FF"/>
                <w:sz w:val="18"/>
                <w:szCs w:val="18"/>
              </w:rPr>
            </w:pPr>
            <w:r>
              <w:rPr>
                <w:rFonts w:hint="default" w:ascii="Times New Roman" w:hAnsi="Times New Roman" w:cs="Times New Roman"/>
                <w:color w:val="0000FF"/>
                <w:sz w:val="16"/>
              </w:rPr>
              <w:t>4</w:t>
            </w:r>
          </w:p>
        </w:tc>
        <w:tc>
          <w:tcPr>
            <w:tcW w:w="226" w:type="pct"/>
            <w:tcBorders>
              <w:tl2br w:val="nil"/>
              <w:tr2bl w:val="nil"/>
            </w:tcBorders>
            <w:shd w:val="clear" w:color="auto" w:fill="auto"/>
            <w:vAlign w:val="center"/>
          </w:tcPr>
          <w:p w14:paraId="05BF671C">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eastAsiaTheme="minorEastAsia"/>
                <w:color w:val="0000FF"/>
                <w:sz w:val="18"/>
                <w:szCs w:val="18"/>
              </w:rPr>
            </w:pPr>
            <w:r>
              <w:rPr>
                <w:rFonts w:hint="default" w:ascii="Times New Roman" w:hAnsi="Times New Roman" w:cs="Times New Roman"/>
                <w:color w:val="0000FF"/>
                <w:sz w:val="16"/>
              </w:rPr>
              <w:t>7</w:t>
            </w:r>
          </w:p>
        </w:tc>
        <w:tc>
          <w:tcPr>
            <w:tcW w:w="375" w:type="pct"/>
            <w:tcBorders>
              <w:tl2br w:val="nil"/>
              <w:tr2bl w:val="nil"/>
            </w:tcBorders>
            <w:shd w:val="clear" w:color="auto" w:fill="auto"/>
            <w:vAlign w:val="center"/>
          </w:tcPr>
          <w:p w14:paraId="169A479A">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eastAsiaTheme="minorEastAsia"/>
                <w:color w:val="0000FF"/>
                <w:sz w:val="18"/>
                <w:szCs w:val="18"/>
              </w:rPr>
            </w:pPr>
            <w:r>
              <w:rPr>
                <w:rFonts w:hint="default" w:ascii="Times New Roman" w:hAnsi="Times New Roman" w:cs="Times New Roman"/>
                <w:color w:val="0000FF"/>
                <w:sz w:val="16"/>
              </w:rPr>
              <w:t>9</w:t>
            </w:r>
          </w:p>
        </w:tc>
        <w:tc>
          <w:tcPr>
            <w:tcW w:w="285" w:type="pct"/>
            <w:tcBorders>
              <w:tl2br w:val="nil"/>
              <w:tr2bl w:val="nil"/>
            </w:tcBorders>
            <w:shd w:val="clear" w:color="auto" w:fill="auto"/>
            <w:vAlign w:val="center"/>
          </w:tcPr>
          <w:p w14:paraId="5FA3420E">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eastAsiaTheme="minorEastAsia"/>
                <w:color w:val="0000FF"/>
                <w:sz w:val="18"/>
                <w:szCs w:val="18"/>
              </w:rPr>
            </w:pPr>
            <w:r>
              <w:rPr>
                <w:rFonts w:hint="default" w:ascii="Times New Roman" w:hAnsi="Times New Roman" w:cs="Times New Roman"/>
                <w:color w:val="0000FF"/>
                <w:sz w:val="16"/>
              </w:rPr>
              <w:t>5</w:t>
            </w:r>
          </w:p>
        </w:tc>
        <w:tc>
          <w:tcPr>
            <w:tcW w:w="350" w:type="pct"/>
            <w:tcBorders>
              <w:tl2br w:val="nil"/>
              <w:tr2bl w:val="nil"/>
            </w:tcBorders>
            <w:shd w:val="clear" w:color="auto" w:fill="auto"/>
            <w:vAlign w:val="center"/>
          </w:tcPr>
          <w:p w14:paraId="5FBCFE7C">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eastAsiaTheme="minorEastAsia"/>
                <w:color w:val="0000FF"/>
                <w:sz w:val="18"/>
                <w:szCs w:val="18"/>
              </w:rPr>
            </w:pPr>
            <w:r>
              <w:rPr>
                <w:rFonts w:hint="default" w:ascii="Times New Roman" w:hAnsi="Times New Roman" w:cs="Times New Roman"/>
                <w:color w:val="0000FF"/>
                <w:sz w:val="16"/>
              </w:rPr>
              <w:t>5</w:t>
            </w:r>
          </w:p>
        </w:tc>
        <w:tc>
          <w:tcPr>
            <w:tcW w:w="195" w:type="pct"/>
            <w:tcBorders>
              <w:tl2br w:val="nil"/>
              <w:tr2bl w:val="nil"/>
            </w:tcBorders>
            <w:shd w:val="clear" w:color="auto" w:fill="auto"/>
            <w:vAlign w:val="center"/>
          </w:tcPr>
          <w:p w14:paraId="04CCBA89">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eastAsiaTheme="minorEastAsia"/>
                <w:color w:val="0000FF"/>
                <w:sz w:val="18"/>
                <w:szCs w:val="18"/>
              </w:rPr>
            </w:pPr>
            <w:r>
              <w:rPr>
                <w:rFonts w:hint="default" w:ascii="Times New Roman" w:hAnsi="Times New Roman" w:cs="Times New Roman"/>
                <w:color w:val="0000FF"/>
                <w:sz w:val="16"/>
              </w:rPr>
              <w:t>1</w:t>
            </w:r>
          </w:p>
        </w:tc>
      </w:tr>
    </w:tbl>
    <w:p w14:paraId="45770B2A">
      <w:pPr>
        <w:jc w:val="center"/>
        <w:rPr>
          <w:rFonts w:hint="default" w:ascii="Times New Roman" w:hAnsi="Times New Roman" w:cs="Times New Roman"/>
          <w:color w:val="auto"/>
          <w:sz w:val="24"/>
          <w:szCs w:val="24"/>
        </w:rPr>
      </w:pPr>
      <w:r>
        <w:rPr>
          <w:rFonts w:hint="default" w:ascii="Times New Roman" w:hAnsi="Times New Roman" w:cs="Times New Roman"/>
          <w:color w:val="auto"/>
        </w:rPr>
        <w:drawing>
          <wp:inline distT="0" distB="0" distL="114300" distR="114300">
            <wp:extent cx="3168015" cy="3168015"/>
            <wp:effectExtent l="0" t="0" r="13335" b="13335"/>
            <wp:docPr id="69"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Picture 27"/>
                    <pic:cNvPicPr>
                      <a:picLocks noChangeAspect="1"/>
                    </pic:cNvPicPr>
                  </pic:nvPicPr>
                  <pic:blipFill>
                    <a:blip r:embed="rId60"/>
                    <a:stretch>
                      <a:fillRect/>
                    </a:stretch>
                  </pic:blipFill>
                  <pic:spPr>
                    <a:xfrm>
                      <a:off x="0" y="0"/>
                      <a:ext cx="3168015" cy="3168015"/>
                    </a:xfrm>
                    <a:prstGeom prst="rect">
                      <a:avLst/>
                    </a:prstGeom>
                  </pic:spPr>
                </pic:pic>
              </a:graphicData>
            </a:graphic>
          </wp:inline>
        </w:drawing>
      </w:r>
    </w:p>
    <w:p w14:paraId="069F2603">
      <w:pPr>
        <w:adjustRightInd w:val="0"/>
        <w:snapToGrid w:val="0"/>
        <w:jc w:val="center"/>
        <w:rPr>
          <w:rFonts w:hint="default" w:ascii="Times New Roman" w:hAnsi="Times New Roman" w:eastAsia="黑体" w:cs="Times New Roman"/>
          <w:color w:val="0000FF"/>
          <w:lang w:val="en-US" w:eastAsia="zh-CN"/>
        </w:rPr>
      </w:pPr>
      <w:r>
        <w:rPr>
          <w:rFonts w:hint="default" w:ascii="Times New Roman" w:hAnsi="Times New Roman" w:eastAsia="黑体" w:cs="Times New Roman"/>
          <w:color w:val="0000FF"/>
          <w:lang w:val="en-US" w:eastAsia="zh-CN"/>
        </w:rPr>
        <w:t>图</w:t>
      </w:r>
      <w:r>
        <w:rPr>
          <w:rFonts w:hint="eastAsia" w:ascii="Times New Roman" w:hAnsi="Times New Roman" w:eastAsia="黑体" w:cs="Times New Roman"/>
          <w:color w:val="0000FF"/>
          <w:lang w:val="en-US" w:eastAsia="zh-CN"/>
        </w:rPr>
        <w:t>5.1-3</w:t>
      </w:r>
      <w:r>
        <w:rPr>
          <w:rFonts w:hint="default" w:ascii="Times New Roman" w:hAnsi="Times New Roman" w:eastAsia="黑体" w:cs="Times New Roman"/>
          <w:color w:val="0000FF"/>
          <w:lang w:val="en-US" w:eastAsia="zh-CN"/>
        </w:rPr>
        <w:t xml:space="preserve"> 本溪气象站【54346】近20年(2005-2024)风向频率玫瑰图</w:t>
      </w:r>
    </w:p>
    <w:p w14:paraId="778102CE">
      <w:pPr>
        <w:pStyle w:val="2"/>
        <w:rPr>
          <w:rFonts w:hint="default"/>
          <w:lang w:val="en-US" w:eastAsia="zh-CN"/>
        </w:rPr>
      </w:pPr>
    </w:p>
    <w:tbl>
      <w:tblPr>
        <w:tblStyle w:val="57"/>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3516"/>
        <w:gridCol w:w="3576"/>
      </w:tblGrid>
      <w:tr w14:paraId="206F92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0" w:type="auto"/>
            <w:shd w:val="clear" w:color="auto" w:fill="auto"/>
            <w:vAlign w:val="center"/>
          </w:tcPr>
          <w:p w14:paraId="5FFB75E1">
            <w:pPr>
              <w:widowControl w:val="0"/>
              <w:adjustRightInd w:val="0"/>
              <w:snapToGrid w:val="0"/>
              <w:jc w:val="center"/>
              <w:rPr>
                <w:rFonts w:hint="default" w:ascii="Times New Roman" w:hAnsi="Times New Roman" w:eastAsia="黑体" w:cs="Times New Roman"/>
                <w:color w:val="auto"/>
                <w:sz w:val="24"/>
                <w:szCs w:val="24"/>
              </w:rPr>
            </w:pPr>
            <w:r>
              <w:rPr>
                <w:rFonts w:hint="default" w:ascii="Times New Roman" w:hAnsi="Times New Roman" w:cs="Times New Roman"/>
                <w:color w:val="auto"/>
              </w:rPr>
              <w:drawing>
                <wp:inline distT="0" distB="0" distL="114300" distR="114300">
                  <wp:extent cx="2087880" cy="2087880"/>
                  <wp:effectExtent l="0" t="0" r="7620" b="7620"/>
                  <wp:docPr id="71"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Picture 28"/>
                          <pic:cNvPicPr>
                            <a:picLocks noChangeAspect="1"/>
                          </pic:cNvPicPr>
                        </pic:nvPicPr>
                        <pic:blipFill>
                          <a:blip r:embed="rId61"/>
                          <a:stretch>
                            <a:fillRect/>
                          </a:stretch>
                        </pic:blipFill>
                        <pic:spPr>
                          <a:xfrm>
                            <a:off x="0" y="0"/>
                            <a:ext cx="2087880" cy="2087880"/>
                          </a:xfrm>
                          <a:prstGeom prst="rect">
                            <a:avLst/>
                          </a:prstGeom>
                        </pic:spPr>
                      </pic:pic>
                    </a:graphicData>
                  </a:graphic>
                </wp:inline>
              </w:drawing>
            </w:r>
          </w:p>
        </w:tc>
        <w:tc>
          <w:tcPr>
            <w:tcW w:w="0" w:type="auto"/>
            <w:shd w:val="clear" w:color="auto" w:fill="auto"/>
            <w:vAlign w:val="center"/>
          </w:tcPr>
          <w:p w14:paraId="38B8C814">
            <w:pPr>
              <w:widowControl w:val="0"/>
              <w:adjustRightInd w:val="0"/>
              <w:snapToGrid w:val="0"/>
              <w:jc w:val="center"/>
              <w:rPr>
                <w:rFonts w:hint="default" w:ascii="Times New Roman" w:hAnsi="Times New Roman" w:eastAsia="黑体" w:cs="Times New Roman"/>
                <w:color w:val="auto"/>
                <w:sz w:val="24"/>
                <w:szCs w:val="24"/>
              </w:rPr>
            </w:pPr>
            <w:r>
              <w:rPr>
                <w:rFonts w:hint="default" w:ascii="Times New Roman" w:hAnsi="Times New Roman" w:cs="Times New Roman"/>
                <w:color w:val="auto"/>
              </w:rPr>
              <w:drawing>
                <wp:inline distT="0" distB="0" distL="114300" distR="114300">
                  <wp:extent cx="2087880" cy="2087880"/>
                  <wp:effectExtent l="0" t="0" r="7620" b="7620"/>
                  <wp:docPr id="72"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Picture 29"/>
                          <pic:cNvPicPr>
                            <a:picLocks noChangeAspect="1"/>
                          </pic:cNvPicPr>
                        </pic:nvPicPr>
                        <pic:blipFill>
                          <a:blip r:embed="rId62"/>
                          <a:stretch>
                            <a:fillRect/>
                          </a:stretch>
                        </pic:blipFill>
                        <pic:spPr>
                          <a:xfrm>
                            <a:off x="0" y="0"/>
                            <a:ext cx="2087880" cy="2087880"/>
                          </a:xfrm>
                          <a:prstGeom prst="rect">
                            <a:avLst/>
                          </a:prstGeom>
                        </pic:spPr>
                      </pic:pic>
                    </a:graphicData>
                  </a:graphic>
                </wp:inline>
              </w:drawing>
            </w:r>
          </w:p>
        </w:tc>
      </w:tr>
      <w:tr w14:paraId="0BFDC9D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jc w:val="center"/>
        </w:trPr>
        <w:tc>
          <w:tcPr>
            <w:tcW w:w="0" w:type="auto"/>
            <w:shd w:val="clear" w:color="auto" w:fill="auto"/>
            <w:vAlign w:val="center"/>
          </w:tcPr>
          <w:p w14:paraId="6909CF57">
            <w:pPr>
              <w:widowControl w:val="0"/>
              <w:adjustRightInd w:val="0"/>
              <w:snapToGrid w:val="0"/>
              <w:jc w:val="center"/>
              <w:rPr>
                <w:rFonts w:hint="default" w:ascii="Times New Roman" w:hAnsi="Times New Roman" w:eastAsia="黑体" w:cs="Times New Roman"/>
                <w:color w:val="auto"/>
                <w:sz w:val="24"/>
                <w:szCs w:val="24"/>
              </w:rPr>
            </w:pPr>
            <w:r>
              <w:rPr>
                <w:rFonts w:hint="default" w:ascii="Times New Roman" w:hAnsi="Times New Roman" w:cs="Times New Roman"/>
                <w:color w:val="auto"/>
              </w:rPr>
              <w:drawing>
                <wp:inline distT="0" distB="0" distL="114300" distR="114300">
                  <wp:extent cx="2087880" cy="2087880"/>
                  <wp:effectExtent l="0" t="0" r="7620" b="7620"/>
                  <wp:docPr id="73"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Picture 30"/>
                          <pic:cNvPicPr>
                            <a:picLocks noChangeAspect="1"/>
                          </pic:cNvPicPr>
                        </pic:nvPicPr>
                        <pic:blipFill>
                          <a:blip r:embed="rId63"/>
                          <a:stretch>
                            <a:fillRect/>
                          </a:stretch>
                        </pic:blipFill>
                        <pic:spPr>
                          <a:xfrm>
                            <a:off x="0" y="0"/>
                            <a:ext cx="2087880" cy="2087880"/>
                          </a:xfrm>
                          <a:prstGeom prst="rect">
                            <a:avLst/>
                          </a:prstGeom>
                        </pic:spPr>
                      </pic:pic>
                    </a:graphicData>
                  </a:graphic>
                </wp:inline>
              </w:drawing>
            </w:r>
          </w:p>
        </w:tc>
        <w:tc>
          <w:tcPr>
            <w:tcW w:w="0" w:type="auto"/>
            <w:shd w:val="clear" w:color="auto" w:fill="auto"/>
            <w:vAlign w:val="center"/>
          </w:tcPr>
          <w:p w14:paraId="5A4A0700">
            <w:pPr>
              <w:widowControl w:val="0"/>
              <w:adjustRightInd w:val="0"/>
              <w:snapToGrid w:val="0"/>
              <w:jc w:val="center"/>
              <w:rPr>
                <w:rFonts w:hint="default" w:ascii="Times New Roman" w:hAnsi="Times New Roman" w:eastAsia="黑体" w:cs="Times New Roman"/>
                <w:color w:val="auto"/>
                <w:sz w:val="24"/>
                <w:szCs w:val="24"/>
              </w:rPr>
            </w:pPr>
            <w:r>
              <w:rPr>
                <w:rFonts w:hint="default" w:ascii="Times New Roman" w:hAnsi="Times New Roman" w:cs="Times New Roman"/>
                <w:color w:val="auto"/>
              </w:rPr>
              <w:drawing>
                <wp:inline distT="0" distB="0" distL="114300" distR="114300">
                  <wp:extent cx="2087880" cy="2087880"/>
                  <wp:effectExtent l="0" t="0" r="7620" b="7620"/>
                  <wp:docPr id="74"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Picture 31"/>
                          <pic:cNvPicPr>
                            <a:picLocks noChangeAspect="1"/>
                          </pic:cNvPicPr>
                        </pic:nvPicPr>
                        <pic:blipFill>
                          <a:blip r:embed="rId64"/>
                          <a:stretch>
                            <a:fillRect/>
                          </a:stretch>
                        </pic:blipFill>
                        <pic:spPr>
                          <a:xfrm>
                            <a:off x="0" y="0"/>
                            <a:ext cx="2087880" cy="2087880"/>
                          </a:xfrm>
                          <a:prstGeom prst="rect">
                            <a:avLst/>
                          </a:prstGeom>
                        </pic:spPr>
                      </pic:pic>
                    </a:graphicData>
                  </a:graphic>
                </wp:inline>
              </w:drawing>
            </w:r>
          </w:p>
        </w:tc>
      </w:tr>
      <w:tr w14:paraId="5010579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jc w:val="center"/>
        </w:trPr>
        <w:tc>
          <w:tcPr>
            <w:tcW w:w="0" w:type="auto"/>
            <w:shd w:val="clear" w:color="auto" w:fill="auto"/>
            <w:vAlign w:val="center"/>
          </w:tcPr>
          <w:p w14:paraId="41BA984D">
            <w:pPr>
              <w:widowControl w:val="0"/>
              <w:adjustRightInd w:val="0"/>
              <w:snapToGrid w:val="0"/>
              <w:jc w:val="center"/>
              <w:rPr>
                <w:rFonts w:hint="default" w:ascii="Times New Roman" w:hAnsi="Times New Roman" w:eastAsia="黑体" w:cs="Times New Roman"/>
                <w:color w:val="auto"/>
                <w:sz w:val="24"/>
                <w:szCs w:val="24"/>
              </w:rPr>
            </w:pPr>
            <w:r>
              <w:rPr>
                <w:rFonts w:hint="default" w:ascii="Times New Roman" w:hAnsi="Times New Roman" w:cs="Times New Roman"/>
                <w:color w:val="auto"/>
              </w:rPr>
              <w:drawing>
                <wp:inline distT="0" distB="0" distL="114300" distR="114300">
                  <wp:extent cx="2087880" cy="2087880"/>
                  <wp:effectExtent l="0" t="0" r="7620" b="7620"/>
                  <wp:docPr id="77"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Picture 32"/>
                          <pic:cNvPicPr>
                            <a:picLocks noChangeAspect="1"/>
                          </pic:cNvPicPr>
                        </pic:nvPicPr>
                        <pic:blipFill>
                          <a:blip r:embed="rId65"/>
                          <a:stretch>
                            <a:fillRect/>
                          </a:stretch>
                        </pic:blipFill>
                        <pic:spPr>
                          <a:xfrm>
                            <a:off x="0" y="0"/>
                            <a:ext cx="2087880" cy="2087880"/>
                          </a:xfrm>
                          <a:prstGeom prst="rect">
                            <a:avLst/>
                          </a:prstGeom>
                        </pic:spPr>
                      </pic:pic>
                    </a:graphicData>
                  </a:graphic>
                </wp:inline>
              </w:drawing>
            </w:r>
          </w:p>
        </w:tc>
        <w:tc>
          <w:tcPr>
            <w:tcW w:w="0" w:type="auto"/>
            <w:shd w:val="clear" w:color="auto" w:fill="auto"/>
            <w:vAlign w:val="center"/>
          </w:tcPr>
          <w:p w14:paraId="5A8A270E">
            <w:pPr>
              <w:widowControl w:val="0"/>
              <w:adjustRightInd w:val="0"/>
              <w:snapToGrid w:val="0"/>
              <w:jc w:val="center"/>
              <w:rPr>
                <w:rFonts w:hint="default" w:ascii="Times New Roman" w:hAnsi="Times New Roman" w:eastAsia="黑体" w:cs="Times New Roman"/>
                <w:color w:val="auto"/>
                <w:sz w:val="24"/>
                <w:szCs w:val="24"/>
              </w:rPr>
            </w:pPr>
            <w:r>
              <w:rPr>
                <w:rFonts w:hint="default" w:ascii="Times New Roman" w:hAnsi="Times New Roman" w:cs="Times New Roman"/>
                <w:color w:val="auto"/>
              </w:rPr>
              <w:drawing>
                <wp:inline distT="0" distB="0" distL="114300" distR="114300">
                  <wp:extent cx="2087880" cy="2087880"/>
                  <wp:effectExtent l="0" t="0" r="7620" b="7620"/>
                  <wp:docPr id="78"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Picture 33"/>
                          <pic:cNvPicPr>
                            <a:picLocks noChangeAspect="1"/>
                          </pic:cNvPicPr>
                        </pic:nvPicPr>
                        <pic:blipFill>
                          <a:blip r:embed="rId66"/>
                          <a:stretch>
                            <a:fillRect/>
                          </a:stretch>
                        </pic:blipFill>
                        <pic:spPr>
                          <a:xfrm>
                            <a:off x="0" y="0"/>
                            <a:ext cx="2087880" cy="2087880"/>
                          </a:xfrm>
                          <a:prstGeom prst="rect">
                            <a:avLst/>
                          </a:prstGeom>
                        </pic:spPr>
                      </pic:pic>
                    </a:graphicData>
                  </a:graphic>
                </wp:inline>
              </w:drawing>
            </w:r>
          </w:p>
        </w:tc>
      </w:tr>
      <w:tr w14:paraId="0549587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jc w:val="center"/>
        </w:trPr>
        <w:tc>
          <w:tcPr>
            <w:tcW w:w="0" w:type="auto"/>
            <w:shd w:val="clear" w:color="auto" w:fill="auto"/>
            <w:vAlign w:val="center"/>
          </w:tcPr>
          <w:p w14:paraId="43787821">
            <w:pPr>
              <w:widowControl w:val="0"/>
              <w:adjustRightInd w:val="0"/>
              <w:snapToGrid w:val="0"/>
              <w:jc w:val="center"/>
              <w:rPr>
                <w:rFonts w:hint="default" w:ascii="Times New Roman" w:hAnsi="Times New Roman" w:eastAsia="黑体" w:cs="Times New Roman"/>
                <w:color w:val="auto"/>
                <w:sz w:val="24"/>
                <w:szCs w:val="24"/>
              </w:rPr>
            </w:pPr>
            <w:r>
              <w:rPr>
                <w:rFonts w:hint="default" w:ascii="Times New Roman" w:hAnsi="Times New Roman" w:cs="Times New Roman"/>
                <w:color w:val="auto"/>
              </w:rPr>
              <w:drawing>
                <wp:inline distT="0" distB="0" distL="114300" distR="114300">
                  <wp:extent cx="2087880" cy="2087880"/>
                  <wp:effectExtent l="0" t="0" r="7620" b="7620"/>
                  <wp:docPr id="80"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Picture 34"/>
                          <pic:cNvPicPr>
                            <a:picLocks noChangeAspect="1"/>
                          </pic:cNvPicPr>
                        </pic:nvPicPr>
                        <pic:blipFill>
                          <a:blip r:embed="rId67"/>
                          <a:stretch>
                            <a:fillRect/>
                          </a:stretch>
                        </pic:blipFill>
                        <pic:spPr>
                          <a:xfrm>
                            <a:off x="0" y="0"/>
                            <a:ext cx="2087880" cy="2087880"/>
                          </a:xfrm>
                          <a:prstGeom prst="rect">
                            <a:avLst/>
                          </a:prstGeom>
                        </pic:spPr>
                      </pic:pic>
                    </a:graphicData>
                  </a:graphic>
                </wp:inline>
              </w:drawing>
            </w:r>
          </w:p>
        </w:tc>
        <w:tc>
          <w:tcPr>
            <w:tcW w:w="0" w:type="auto"/>
            <w:shd w:val="clear" w:color="auto" w:fill="auto"/>
            <w:vAlign w:val="center"/>
          </w:tcPr>
          <w:p w14:paraId="6FF351BD">
            <w:pPr>
              <w:widowControl w:val="0"/>
              <w:adjustRightInd w:val="0"/>
              <w:snapToGrid w:val="0"/>
              <w:jc w:val="center"/>
              <w:rPr>
                <w:rFonts w:hint="default" w:ascii="Times New Roman" w:hAnsi="Times New Roman" w:eastAsia="黑体" w:cs="Times New Roman"/>
                <w:color w:val="auto"/>
                <w:sz w:val="24"/>
                <w:szCs w:val="24"/>
              </w:rPr>
            </w:pPr>
            <w:r>
              <w:rPr>
                <w:rFonts w:hint="default" w:ascii="Times New Roman" w:hAnsi="Times New Roman" w:cs="Times New Roman"/>
                <w:color w:val="auto"/>
              </w:rPr>
              <w:drawing>
                <wp:inline distT="0" distB="0" distL="114300" distR="114300">
                  <wp:extent cx="2124075" cy="2124075"/>
                  <wp:effectExtent l="0" t="0" r="9525" b="9525"/>
                  <wp:docPr id="81"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Picture 35"/>
                          <pic:cNvPicPr>
                            <a:picLocks noChangeAspect="1"/>
                          </pic:cNvPicPr>
                        </pic:nvPicPr>
                        <pic:blipFill>
                          <a:blip r:embed="rId68"/>
                          <a:stretch>
                            <a:fillRect/>
                          </a:stretch>
                        </pic:blipFill>
                        <pic:spPr>
                          <a:xfrm>
                            <a:off x="0" y="0"/>
                            <a:ext cx="2124075" cy="2124075"/>
                          </a:xfrm>
                          <a:prstGeom prst="rect">
                            <a:avLst/>
                          </a:prstGeom>
                        </pic:spPr>
                      </pic:pic>
                    </a:graphicData>
                  </a:graphic>
                </wp:inline>
              </w:drawing>
            </w:r>
          </w:p>
        </w:tc>
      </w:tr>
      <w:tr w14:paraId="1CBFE05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jc w:val="center"/>
        </w:trPr>
        <w:tc>
          <w:tcPr>
            <w:tcW w:w="0" w:type="auto"/>
            <w:shd w:val="clear" w:color="auto" w:fill="auto"/>
          </w:tcPr>
          <w:p w14:paraId="054F7B15">
            <w:pPr>
              <w:widowControl w:val="0"/>
              <w:adjustRightInd w:val="0"/>
              <w:snapToGrid w:val="0"/>
              <w:jc w:val="center"/>
              <w:rPr>
                <w:rFonts w:hint="default" w:ascii="Times New Roman" w:hAnsi="Times New Roman" w:eastAsia="黑体" w:cs="Times New Roman"/>
                <w:color w:val="auto"/>
                <w:sz w:val="24"/>
                <w:szCs w:val="24"/>
              </w:rPr>
            </w:pPr>
            <w:r>
              <w:rPr>
                <w:rFonts w:hint="default" w:ascii="Times New Roman" w:hAnsi="Times New Roman" w:cs="Times New Roman"/>
                <w:color w:val="auto"/>
              </w:rPr>
              <w:drawing>
                <wp:inline distT="0" distB="0" distL="114300" distR="114300">
                  <wp:extent cx="2087880" cy="2026285"/>
                  <wp:effectExtent l="0" t="0" r="7620" b="12065"/>
                  <wp:docPr id="82"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Picture 36"/>
                          <pic:cNvPicPr>
                            <a:picLocks noChangeAspect="1"/>
                          </pic:cNvPicPr>
                        </pic:nvPicPr>
                        <pic:blipFill>
                          <a:blip r:embed="rId69"/>
                          <a:srcRect b="2950"/>
                          <a:stretch>
                            <a:fillRect/>
                          </a:stretch>
                        </pic:blipFill>
                        <pic:spPr>
                          <a:xfrm>
                            <a:off x="0" y="0"/>
                            <a:ext cx="2087880" cy="2026285"/>
                          </a:xfrm>
                          <a:prstGeom prst="rect">
                            <a:avLst/>
                          </a:prstGeom>
                        </pic:spPr>
                      </pic:pic>
                    </a:graphicData>
                  </a:graphic>
                </wp:inline>
              </w:drawing>
            </w:r>
          </w:p>
        </w:tc>
        <w:tc>
          <w:tcPr>
            <w:tcW w:w="0" w:type="auto"/>
            <w:shd w:val="clear" w:color="auto" w:fill="auto"/>
          </w:tcPr>
          <w:p w14:paraId="19193376">
            <w:pPr>
              <w:widowControl w:val="0"/>
              <w:adjustRightInd w:val="0"/>
              <w:snapToGrid w:val="0"/>
              <w:jc w:val="center"/>
              <w:rPr>
                <w:rFonts w:hint="default" w:ascii="Times New Roman" w:hAnsi="Times New Roman" w:eastAsia="黑体" w:cs="Times New Roman"/>
                <w:color w:val="auto"/>
                <w:sz w:val="24"/>
                <w:szCs w:val="24"/>
              </w:rPr>
            </w:pPr>
            <w:r>
              <w:rPr>
                <w:rFonts w:hint="default" w:ascii="Times New Roman" w:hAnsi="Times New Roman" w:cs="Times New Roman"/>
                <w:color w:val="auto"/>
              </w:rPr>
              <w:drawing>
                <wp:inline distT="0" distB="0" distL="114300" distR="114300">
                  <wp:extent cx="2087880" cy="2007235"/>
                  <wp:effectExtent l="0" t="0" r="7620" b="12065"/>
                  <wp:docPr id="83"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Picture 37"/>
                          <pic:cNvPicPr>
                            <a:picLocks noChangeAspect="1"/>
                          </pic:cNvPicPr>
                        </pic:nvPicPr>
                        <pic:blipFill>
                          <a:blip r:embed="rId70"/>
                          <a:srcRect b="3863"/>
                          <a:stretch>
                            <a:fillRect/>
                          </a:stretch>
                        </pic:blipFill>
                        <pic:spPr>
                          <a:xfrm>
                            <a:off x="0" y="0"/>
                            <a:ext cx="2087880" cy="2007235"/>
                          </a:xfrm>
                          <a:prstGeom prst="rect">
                            <a:avLst/>
                          </a:prstGeom>
                        </pic:spPr>
                      </pic:pic>
                    </a:graphicData>
                  </a:graphic>
                </wp:inline>
              </w:drawing>
            </w:r>
          </w:p>
        </w:tc>
      </w:tr>
      <w:tr w14:paraId="7642DBD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jc w:val="center"/>
        </w:trPr>
        <w:tc>
          <w:tcPr>
            <w:tcW w:w="0" w:type="auto"/>
            <w:shd w:val="clear" w:color="auto" w:fill="auto"/>
          </w:tcPr>
          <w:p w14:paraId="3FBF240A">
            <w:pPr>
              <w:widowControl w:val="0"/>
              <w:adjustRightInd w:val="0"/>
              <w:snapToGrid w:val="0"/>
              <w:jc w:val="center"/>
              <w:rPr>
                <w:rFonts w:hint="default" w:ascii="Times New Roman" w:hAnsi="Times New Roman" w:eastAsia="黑体" w:cs="Times New Roman"/>
                <w:color w:val="auto"/>
                <w:sz w:val="24"/>
                <w:szCs w:val="24"/>
              </w:rPr>
            </w:pPr>
            <w:r>
              <w:rPr>
                <w:rFonts w:hint="default" w:ascii="Times New Roman" w:hAnsi="Times New Roman" w:cs="Times New Roman"/>
                <w:color w:val="auto"/>
              </w:rPr>
              <w:drawing>
                <wp:inline distT="0" distB="0" distL="114300" distR="114300">
                  <wp:extent cx="2087880" cy="2016125"/>
                  <wp:effectExtent l="0" t="0" r="7620" b="3175"/>
                  <wp:docPr id="8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Picture 38"/>
                          <pic:cNvPicPr>
                            <a:picLocks noChangeAspect="1"/>
                          </pic:cNvPicPr>
                        </pic:nvPicPr>
                        <pic:blipFill>
                          <a:blip r:embed="rId71"/>
                          <a:srcRect b="3437"/>
                          <a:stretch>
                            <a:fillRect/>
                          </a:stretch>
                        </pic:blipFill>
                        <pic:spPr>
                          <a:xfrm>
                            <a:off x="0" y="0"/>
                            <a:ext cx="2087880" cy="2016125"/>
                          </a:xfrm>
                          <a:prstGeom prst="rect">
                            <a:avLst/>
                          </a:prstGeom>
                        </pic:spPr>
                      </pic:pic>
                    </a:graphicData>
                  </a:graphic>
                </wp:inline>
              </w:drawing>
            </w:r>
          </w:p>
        </w:tc>
        <w:tc>
          <w:tcPr>
            <w:tcW w:w="0" w:type="auto"/>
            <w:shd w:val="clear" w:color="auto" w:fill="auto"/>
          </w:tcPr>
          <w:p w14:paraId="18925483">
            <w:pPr>
              <w:widowControl w:val="0"/>
              <w:adjustRightInd w:val="0"/>
              <w:snapToGrid w:val="0"/>
              <w:jc w:val="center"/>
              <w:rPr>
                <w:rFonts w:hint="default" w:ascii="Times New Roman" w:hAnsi="Times New Roman" w:eastAsia="黑体" w:cs="Times New Roman"/>
                <w:color w:val="auto"/>
                <w:sz w:val="24"/>
                <w:szCs w:val="24"/>
              </w:rPr>
            </w:pPr>
            <w:r>
              <w:rPr>
                <w:rFonts w:hint="default" w:ascii="Times New Roman" w:hAnsi="Times New Roman" w:cs="Times New Roman"/>
                <w:color w:val="auto"/>
              </w:rPr>
              <w:drawing>
                <wp:inline distT="0" distB="0" distL="114300" distR="114300">
                  <wp:extent cx="2087880" cy="2006600"/>
                  <wp:effectExtent l="0" t="0" r="7620" b="12700"/>
                  <wp:docPr id="8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 name="Picture 39"/>
                          <pic:cNvPicPr>
                            <a:picLocks noChangeAspect="1"/>
                          </pic:cNvPicPr>
                        </pic:nvPicPr>
                        <pic:blipFill>
                          <a:blip r:embed="rId72"/>
                          <a:srcRect b="3893"/>
                          <a:stretch>
                            <a:fillRect/>
                          </a:stretch>
                        </pic:blipFill>
                        <pic:spPr>
                          <a:xfrm>
                            <a:off x="0" y="0"/>
                            <a:ext cx="2087880" cy="2006600"/>
                          </a:xfrm>
                          <a:prstGeom prst="rect">
                            <a:avLst/>
                          </a:prstGeom>
                        </pic:spPr>
                      </pic:pic>
                    </a:graphicData>
                  </a:graphic>
                </wp:inline>
              </w:drawing>
            </w:r>
          </w:p>
        </w:tc>
      </w:tr>
    </w:tbl>
    <w:p w14:paraId="0E97DEF3">
      <w:pPr>
        <w:adjustRightInd w:val="0"/>
        <w:snapToGrid w:val="0"/>
        <w:jc w:val="center"/>
        <w:rPr>
          <w:rFonts w:hint="default" w:ascii="Times New Roman" w:hAnsi="Times New Roman" w:eastAsia="黑体" w:cs="Times New Roman"/>
          <w:color w:val="0000FF"/>
          <w:lang w:val="en-US" w:eastAsia="zh-CN"/>
        </w:rPr>
      </w:pPr>
      <w:r>
        <w:rPr>
          <w:rFonts w:hint="default" w:ascii="Times New Roman" w:hAnsi="Times New Roman" w:eastAsia="黑体" w:cs="Times New Roman"/>
          <w:color w:val="0000FF"/>
          <w:lang w:val="en-US" w:eastAsia="zh-CN"/>
        </w:rPr>
        <w:t>图</w:t>
      </w:r>
      <w:r>
        <w:rPr>
          <w:rFonts w:hint="eastAsia" w:ascii="Times New Roman" w:hAnsi="Times New Roman" w:eastAsia="黑体" w:cs="Times New Roman"/>
          <w:color w:val="0000FF"/>
          <w:lang w:val="en-US" w:eastAsia="zh-CN"/>
        </w:rPr>
        <w:t>5.1-4</w:t>
      </w:r>
      <w:r>
        <w:rPr>
          <w:rFonts w:hint="default" w:ascii="Times New Roman" w:hAnsi="Times New Roman" w:eastAsia="黑体" w:cs="Times New Roman"/>
          <w:color w:val="0000FF"/>
          <w:lang w:val="en-US" w:eastAsia="zh-CN"/>
        </w:rPr>
        <w:t xml:space="preserve"> 本溪气象站【54346】近20年(2005-2024)月风向频率玫瑰图</w:t>
      </w:r>
    </w:p>
    <w:p w14:paraId="05BA9526">
      <w:pPr>
        <w:spacing w:line="500" w:lineRule="exact"/>
        <w:ind w:firstLine="482"/>
        <w:rPr>
          <w:rFonts w:ascii="Times New Roman" w:hAnsi="Times New Roman" w:cs="Times New Roman"/>
        </w:rPr>
      </w:pPr>
      <w:r>
        <w:rPr>
          <w:rFonts w:ascii="Times New Roman" w:hAnsi="Times New Roman" w:cs="Times New Roman"/>
          <w:b/>
        </w:rPr>
        <w:t>（</w:t>
      </w:r>
      <w:r>
        <w:rPr>
          <w:rFonts w:hint="eastAsia" w:ascii="Times New Roman" w:hAnsi="Times New Roman" w:cs="Times New Roman"/>
          <w:b/>
          <w:lang w:val="en-US" w:eastAsia="zh-CN"/>
        </w:rPr>
        <w:t>5</w:t>
      </w:r>
      <w:r>
        <w:rPr>
          <w:rFonts w:ascii="Times New Roman" w:hAnsi="Times New Roman" w:cs="Times New Roman"/>
          <w:b/>
        </w:rPr>
        <w:t>）</w:t>
      </w:r>
      <w:r>
        <w:rPr>
          <w:rFonts w:hint="eastAsia" w:ascii="Times New Roman" w:hAnsi="Times New Roman" w:cs="Times New Roman"/>
          <w:b/>
          <w:lang w:val="en-US" w:eastAsia="zh-CN"/>
        </w:rPr>
        <w:t>平均相对湿度、降水量及日照时数</w:t>
      </w:r>
      <w:r>
        <w:rPr>
          <w:rFonts w:ascii="Times New Roman" w:hAnsi="Times New Roman" w:cs="Times New Roman"/>
          <w:b/>
        </w:rPr>
        <w:t>统计量</w:t>
      </w:r>
    </w:p>
    <w:p w14:paraId="126F9ECB">
      <w:pPr>
        <w:jc w:val="center"/>
        <w:rPr>
          <w:rFonts w:ascii="Times New Roman" w:hAnsi="Times New Roman" w:eastAsia="黑体" w:cs="Times New Roman"/>
          <w:color w:val="0000FF"/>
        </w:rPr>
      </w:pPr>
      <w:r>
        <w:rPr>
          <w:rFonts w:ascii="Times New Roman" w:hAnsi="Times New Roman" w:eastAsia="黑体" w:cs="Times New Roman"/>
          <w:color w:val="0000FF"/>
        </w:rPr>
        <w:t>表</w:t>
      </w:r>
      <w:r>
        <w:rPr>
          <w:rFonts w:hint="eastAsia" w:ascii="Times New Roman" w:hAnsi="Times New Roman" w:eastAsia="黑体" w:cs="Times New Roman"/>
          <w:color w:val="0000FF"/>
        </w:rPr>
        <w:t>5</w:t>
      </w:r>
      <w:r>
        <w:rPr>
          <w:rFonts w:ascii="Times New Roman" w:hAnsi="Times New Roman" w:eastAsia="黑体" w:cs="Times New Roman"/>
          <w:color w:val="0000FF"/>
        </w:rPr>
        <w:t>.1-</w:t>
      </w:r>
      <w:r>
        <w:rPr>
          <w:rFonts w:hint="eastAsia" w:ascii="Times New Roman" w:hAnsi="Times New Roman" w:eastAsia="黑体" w:cs="Times New Roman"/>
          <w:color w:val="0000FF"/>
          <w:lang w:val="en-US" w:eastAsia="zh-CN"/>
        </w:rPr>
        <w:t>9</w:t>
      </w:r>
      <w:r>
        <w:rPr>
          <w:rFonts w:ascii="Times New Roman" w:hAnsi="Times New Roman" w:eastAsia="黑体" w:cs="Times New Roman"/>
          <w:color w:val="0000FF"/>
        </w:rPr>
        <w:t xml:space="preserve">  </w:t>
      </w:r>
      <w:r>
        <w:rPr>
          <w:rFonts w:hint="eastAsia" w:ascii="Times New Roman" w:hAnsi="Times New Roman" w:eastAsia="黑体" w:cs="Times New Roman"/>
          <w:color w:val="0000FF"/>
        </w:rPr>
        <w:t>本溪气象站【54346】近20年(2005-2024)主要气候特征统计表</w:t>
      </w:r>
    </w:p>
    <w:tbl>
      <w:tblPr>
        <w:tblStyle w:val="57"/>
        <w:tblW w:w="5000" w:type="pct"/>
        <w:tblInd w:w="0" w:type="dxa"/>
        <w:tblBorders>
          <w:top w:val="single" w:color="auto" w:sz="4" w:space="0"/>
          <w:left w:val="single" w:color="auto" w:sz="4" w:space="0"/>
          <w:bottom w:val="none" w:color="auto" w:sz="0"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55"/>
        <w:gridCol w:w="576"/>
        <w:gridCol w:w="576"/>
        <w:gridCol w:w="576"/>
        <w:gridCol w:w="576"/>
        <w:gridCol w:w="576"/>
        <w:gridCol w:w="576"/>
        <w:gridCol w:w="576"/>
        <w:gridCol w:w="576"/>
        <w:gridCol w:w="576"/>
        <w:gridCol w:w="576"/>
        <w:gridCol w:w="576"/>
        <w:gridCol w:w="576"/>
        <w:gridCol w:w="656"/>
      </w:tblGrid>
      <w:tr w14:paraId="47AB65ED">
        <w:tblPrEx>
          <w:tblBorders>
            <w:top w:val="single" w:color="auto" w:sz="4" w:space="0"/>
            <w:left w:val="single" w:color="auto" w:sz="4" w:space="0"/>
            <w:bottom w:val="none" w:color="auto" w:sz="0"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61" w:type="pct"/>
            <w:tcBorders>
              <w:top w:val="double" w:color="auto" w:sz="4" w:space="0"/>
              <w:left w:val="nil"/>
              <w:bottom w:val="single" w:color="auto" w:sz="4" w:space="0"/>
            </w:tcBorders>
            <w:shd w:val="clear" w:color="auto" w:fill="auto"/>
            <w:vAlign w:val="center"/>
            <mc:AlternateContent>
              <mc:Choice Requires="wpsCustomData">
                <wpsCustomData:diagonals>
                  <wpsCustomData:diagonal from="10000" to="30000">
                    <wpsCustomData:border w:val="single" w:color="auto" w:sz="4" w:space="0"/>
                  </wpsCustomData:diagonal>
                </wpsCustomData:diagonals>
              </mc:Choice>
            </mc:AlternateContent>
          </w:tcPr>
          <w:p w14:paraId="297E431F">
            <w:pPr>
              <w:widowControl w:val="0"/>
              <w:adjustRightInd w:val="0"/>
              <w:snapToGrid w:val="0"/>
              <w:spacing w:line="240" w:lineRule="auto"/>
              <w:jc w:val="left"/>
              <mc:AlternateContent>
                <mc:Choice Requires="wpsCustomData">
                  <wpsCustomData:diagonalParaType/>
                </mc:Choice>
              </mc:AlternateContent>
              <w:rPr>
                <w:rFonts w:hint="default" w:ascii="Times New Roman" w:hAnsi="Times New Roman" w:eastAsia="宋体" w:cs="Times New Roman"/>
                <w:color w:val="0000FF"/>
                <w:sz w:val="16"/>
                <w:szCs w:val="16"/>
              </w:rPr>
            </w:pPr>
            <w:r>
              <w:rPr>
                <w:rFonts w:hint="default" w:ascii="Times New Roman" w:hAnsi="Times New Roman" w:eastAsia="宋体" w:cs="Times New Roman"/>
                <w:color w:val="0000FF"/>
                <w:sz w:val="16"/>
                <w:szCs w:val="16"/>
              </w:rPr>
              <w:t>项目</w:t>
            </w:r>
          </w:p>
          <w:p w14:paraId="6C6BF81D">
            <w:pPr>
              <w:widowControl w:val="0"/>
              <w:adjustRightInd w:val="0"/>
              <w:snapToGrid w:val="0"/>
              <w:jc w:val="right"/>
              <w:rPr>
                <w:rFonts w:hint="default" w:ascii="Times New Roman" w:hAnsi="Times New Roman" w:eastAsia="宋体" w:cs="Times New Roman"/>
                <w:color w:val="0000FF"/>
                <w:sz w:val="16"/>
                <w:szCs w:val="16"/>
              </w:rPr>
            </w:pPr>
            <w:r>
              <w:rPr>
                <w:rFonts w:hint="default" w:ascii="Times New Roman" w:hAnsi="Times New Roman" w:eastAsia="宋体" w:cs="Times New Roman"/>
                <w:color w:val="0000FF"/>
                <w:sz w:val="16"/>
                <w:szCs w:val="16"/>
              </w:rPr>
              <w:t>月份</w:t>
            </w:r>
          </w:p>
          <w:p w14:paraId="3ED0DD37">
            <w:pPr>
              <w:widowControl w:val="0"/>
              <w:adjustRightInd w:val="0"/>
              <w:snapToGrid w:val="0"/>
              <w:jc w:val="left"/>
              <w:rPr>
                <w:rFonts w:hint="default" w:ascii="Times New Roman" w:hAnsi="Times New Roman" w:eastAsia="宋体" w:cs="Times New Roman"/>
                <w:color w:val="0000FF"/>
                <w:sz w:val="16"/>
                <w:szCs w:val="16"/>
              </w:rPr>
            </w:pPr>
          </w:p>
        </w:tc>
        <w:tc>
          <w:tcPr>
            <w:tcW w:w="330" w:type="pct"/>
            <w:tcBorders>
              <w:top w:val="double" w:color="auto" w:sz="4" w:space="0"/>
              <w:bottom w:val="single" w:color="auto" w:sz="4" w:space="0"/>
            </w:tcBorders>
            <w:shd w:val="clear" w:color="auto" w:fill="auto"/>
            <w:vAlign w:val="center"/>
          </w:tcPr>
          <w:p w14:paraId="2A847BB0">
            <w:pPr>
              <w:widowControl w:val="0"/>
              <w:adjustRightInd w:val="0"/>
              <w:snapToGrid w:val="0"/>
              <w:jc w:val="center"/>
              <w:rPr>
                <w:rFonts w:hint="default" w:ascii="Times New Roman" w:hAnsi="Times New Roman" w:eastAsia="宋体" w:cs="Times New Roman"/>
                <w:b/>
                <w:color w:val="0000FF"/>
                <w:sz w:val="16"/>
                <w:szCs w:val="16"/>
              </w:rPr>
            </w:pPr>
            <w:r>
              <w:rPr>
                <w:rFonts w:hint="default" w:ascii="Times New Roman" w:hAnsi="Times New Roman" w:eastAsia="宋体" w:cs="Times New Roman"/>
                <w:b/>
                <w:color w:val="0000FF"/>
                <w:sz w:val="16"/>
                <w:szCs w:val="16"/>
              </w:rPr>
              <w:t>1</w:t>
            </w:r>
          </w:p>
        </w:tc>
        <w:tc>
          <w:tcPr>
            <w:tcW w:w="330" w:type="pct"/>
            <w:tcBorders>
              <w:top w:val="double" w:color="auto" w:sz="4" w:space="0"/>
              <w:bottom w:val="single" w:color="auto" w:sz="4" w:space="0"/>
            </w:tcBorders>
            <w:shd w:val="clear" w:color="auto" w:fill="auto"/>
            <w:vAlign w:val="center"/>
          </w:tcPr>
          <w:p w14:paraId="779B7DCB">
            <w:pPr>
              <w:widowControl w:val="0"/>
              <w:adjustRightInd w:val="0"/>
              <w:snapToGrid w:val="0"/>
              <w:jc w:val="center"/>
              <w:rPr>
                <w:rFonts w:hint="default" w:ascii="Times New Roman" w:hAnsi="Times New Roman" w:eastAsia="宋体" w:cs="Times New Roman"/>
                <w:b/>
                <w:color w:val="0000FF"/>
                <w:sz w:val="16"/>
                <w:szCs w:val="16"/>
              </w:rPr>
            </w:pPr>
            <w:r>
              <w:rPr>
                <w:rFonts w:hint="default" w:ascii="Times New Roman" w:hAnsi="Times New Roman" w:eastAsia="宋体" w:cs="Times New Roman"/>
                <w:b/>
                <w:color w:val="0000FF"/>
                <w:sz w:val="16"/>
                <w:szCs w:val="16"/>
              </w:rPr>
              <w:t>2</w:t>
            </w:r>
          </w:p>
        </w:tc>
        <w:tc>
          <w:tcPr>
            <w:tcW w:w="330" w:type="pct"/>
            <w:tcBorders>
              <w:top w:val="double" w:color="auto" w:sz="4" w:space="0"/>
              <w:bottom w:val="single" w:color="auto" w:sz="4" w:space="0"/>
            </w:tcBorders>
            <w:shd w:val="clear" w:color="auto" w:fill="auto"/>
            <w:vAlign w:val="center"/>
          </w:tcPr>
          <w:p w14:paraId="17AAB992">
            <w:pPr>
              <w:widowControl w:val="0"/>
              <w:adjustRightInd w:val="0"/>
              <w:snapToGrid w:val="0"/>
              <w:jc w:val="center"/>
              <w:rPr>
                <w:rFonts w:hint="default" w:ascii="Times New Roman" w:hAnsi="Times New Roman" w:eastAsia="宋体" w:cs="Times New Roman"/>
                <w:b/>
                <w:color w:val="0000FF"/>
                <w:sz w:val="16"/>
                <w:szCs w:val="16"/>
              </w:rPr>
            </w:pPr>
            <w:r>
              <w:rPr>
                <w:rFonts w:hint="default" w:ascii="Times New Roman" w:hAnsi="Times New Roman" w:eastAsia="宋体" w:cs="Times New Roman"/>
                <w:b/>
                <w:color w:val="0000FF"/>
                <w:sz w:val="16"/>
                <w:szCs w:val="16"/>
              </w:rPr>
              <w:t>3</w:t>
            </w:r>
          </w:p>
        </w:tc>
        <w:tc>
          <w:tcPr>
            <w:tcW w:w="330" w:type="pct"/>
            <w:tcBorders>
              <w:top w:val="double" w:color="auto" w:sz="4" w:space="0"/>
              <w:bottom w:val="single" w:color="auto" w:sz="4" w:space="0"/>
            </w:tcBorders>
            <w:shd w:val="clear" w:color="auto" w:fill="auto"/>
            <w:vAlign w:val="center"/>
          </w:tcPr>
          <w:p w14:paraId="4830D021">
            <w:pPr>
              <w:widowControl w:val="0"/>
              <w:adjustRightInd w:val="0"/>
              <w:snapToGrid w:val="0"/>
              <w:jc w:val="center"/>
              <w:rPr>
                <w:rFonts w:hint="default" w:ascii="Times New Roman" w:hAnsi="Times New Roman" w:eastAsia="宋体" w:cs="Times New Roman"/>
                <w:b/>
                <w:color w:val="0000FF"/>
                <w:sz w:val="16"/>
                <w:szCs w:val="16"/>
              </w:rPr>
            </w:pPr>
            <w:r>
              <w:rPr>
                <w:rFonts w:hint="default" w:ascii="Times New Roman" w:hAnsi="Times New Roman" w:eastAsia="宋体" w:cs="Times New Roman"/>
                <w:b/>
                <w:color w:val="0000FF"/>
                <w:sz w:val="16"/>
                <w:szCs w:val="16"/>
              </w:rPr>
              <w:t>4</w:t>
            </w:r>
          </w:p>
        </w:tc>
        <w:tc>
          <w:tcPr>
            <w:tcW w:w="330" w:type="pct"/>
            <w:tcBorders>
              <w:top w:val="double" w:color="auto" w:sz="4" w:space="0"/>
              <w:bottom w:val="single" w:color="auto" w:sz="4" w:space="0"/>
            </w:tcBorders>
            <w:shd w:val="clear" w:color="auto" w:fill="auto"/>
            <w:vAlign w:val="center"/>
          </w:tcPr>
          <w:p w14:paraId="720BA34B">
            <w:pPr>
              <w:widowControl w:val="0"/>
              <w:adjustRightInd w:val="0"/>
              <w:snapToGrid w:val="0"/>
              <w:jc w:val="center"/>
              <w:rPr>
                <w:rFonts w:hint="default" w:ascii="Times New Roman" w:hAnsi="Times New Roman" w:eastAsia="宋体" w:cs="Times New Roman"/>
                <w:b/>
                <w:color w:val="0000FF"/>
                <w:sz w:val="16"/>
                <w:szCs w:val="16"/>
              </w:rPr>
            </w:pPr>
            <w:r>
              <w:rPr>
                <w:rFonts w:hint="default" w:ascii="Times New Roman" w:hAnsi="Times New Roman" w:eastAsia="宋体" w:cs="Times New Roman"/>
                <w:b/>
                <w:color w:val="0000FF"/>
                <w:sz w:val="16"/>
                <w:szCs w:val="16"/>
              </w:rPr>
              <w:t>5</w:t>
            </w:r>
          </w:p>
        </w:tc>
        <w:tc>
          <w:tcPr>
            <w:tcW w:w="330" w:type="pct"/>
            <w:tcBorders>
              <w:top w:val="double" w:color="auto" w:sz="4" w:space="0"/>
              <w:bottom w:val="single" w:color="auto" w:sz="4" w:space="0"/>
            </w:tcBorders>
            <w:shd w:val="clear" w:color="auto" w:fill="auto"/>
            <w:vAlign w:val="center"/>
          </w:tcPr>
          <w:p w14:paraId="68382555">
            <w:pPr>
              <w:widowControl w:val="0"/>
              <w:adjustRightInd w:val="0"/>
              <w:snapToGrid w:val="0"/>
              <w:jc w:val="center"/>
              <w:rPr>
                <w:rFonts w:hint="default" w:ascii="Times New Roman" w:hAnsi="Times New Roman" w:eastAsia="宋体" w:cs="Times New Roman"/>
                <w:b/>
                <w:color w:val="0000FF"/>
                <w:sz w:val="16"/>
                <w:szCs w:val="16"/>
              </w:rPr>
            </w:pPr>
            <w:r>
              <w:rPr>
                <w:rFonts w:hint="default" w:ascii="Times New Roman" w:hAnsi="Times New Roman" w:eastAsia="宋体" w:cs="Times New Roman"/>
                <w:b/>
                <w:color w:val="0000FF"/>
                <w:sz w:val="16"/>
                <w:szCs w:val="16"/>
              </w:rPr>
              <w:t>6</w:t>
            </w:r>
          </w:p>
        </w:tc>
        <w:tc>
          <w:tcPr>
            <w:tcW w:w="330" w:type="pct"/>
            <w:tcBorders>
              <w:top w:val="double" w:color="auto" w:sz="4" w:space="0"/>
              <w:bottom w:val="single" w:color="auto" w:sz="4" w:space="0"/>
            </w:tcBorders>
            <w:shd w:val="clear" w:color="auto" w:fill="auto"/>
            <w:vAlign w:val="center"/>
          </w:tcPr>
          <w:p w14:paraId="6E064274">
            <w:pPr>
              <w:widowControl w:val="0"/>
              <w:adjustRightInd w:val="0"/>
              <w:snapToGrid w:val="0"/>
              <w:jc w:val="center"/>
              <w:rPr>
                <w:rFonts w:hint="default" w:ascii="Times New Roman" w:hAnsi="Times New Roman" w:eastAsia="宋体" w:cs="Times New Roman"/>
                <w:b/>
                <w:color w:val="0000FF"/>
                <w:sz w:val="16"/>
                <w:szCs w:val="16"/>
              </w:rPr>
            </w:pPr>
            <w:r>
              <w:rPr>
                <w:rFonts w:hint="default" w:ascii="Times New Roman" w:hAnsi="Times New Roman" w:eastAsia="宋体" w:cs="Times New Roman"/>
                <w:b/>
                <w:color w:val="0000FF"/>
                <w:sz w:val="16"/>
                <w:szCs w:val="16"/>
              </w:rPr>
              <w:t>7</w:t>
            </w:r>
          </w:p>
        </w:tc>
        <w:tc>
          <w:tcPr>
            <w:tcW w:w="330" w:type="pct"/>
            <w:tcBorders>
              <w:top w:val="double" w:color="auto" w:sz="4" w:space="0"/>
              <w:bottom w:val="single" w:color="auto" w:sz="4" w:space="0"/>
            </w:tcBorders>
            <w:shd w:val="clear" w:color="auto" w:fill="auto"/>
            <w:vAlign w:val="center"/>
          </w:tcPr>
          <w:p w14:paraId="30A8768A">
            <w:pPr>
              <w:widowControl w:val="0"/>
              <w:adjustRightInd w:val="0"/>
              <w:snapToGrid w:val="0"/>
              <w:jc w:val="center"/>
              <w:rPr>
                <w:rFonts w:hint="default" w:ascii="Times New Roman" w:hAnsi="Times New Roman" w:eastAsia="宋体" w:cs="Times New Roman"/>
                <w:b/>
                <w:color w:val="0000FF"/>
                <w:sz w:val="16"/>
                <w:szCs w:val="16"/>
              </w:rPr>
            </w:pPr>
            <w:r>
              <w:rPr>
                <w:rFonts w:hint="default" w:ascii="Times New Roman" w:hAnsi="Times New Roman" w:eastAsia="宋体" w:cs="Times New Roman"/>
                <w:b/>
                <w:color w:val="0000FF"/>
                <w:sz w:val="16"/>
                <w:szCs w:val="16"/>
              </w:rPr>
              <w:t>8</w:t>
            </w:r>
          </w:p>
        </w:tc>
        <w:tc>
          <w:tcPr>
            <w:tcW w:w="330" w:type="pct"/>
            <w:tcBorders>
              <w:top w:val="double" w:color="auto" w:sz="4" w:space="0"/>
              <w:bottom w:val="single" w:color="auto" w:sz="4" w:space="0"/>
            </w:tcBorders>
            <w:shd w:val="clear" w:color="auto" w:fill="auto"/>
            <w:vAlign w:val="center"/>
          </w:tcPr>
          <w:p w14:paraId="01E71BF5">
            <w:pPr>
              <w:widowControl w:val="0"/>
              <w:adjustRightInd w:val="0"/>
              <w:snapToGrid w:val="0"/>
              <w:jc w:val="center"/>
              <w:rPr>
                <w:rFonts w:hint="default" w:ascii="Times New Roman" w:hAnsi="Times New Roman" w:eastAsia="宋体" w:cs="Times New Roman"/>
                <w:b/>
                <w:color w:val="0000FF"/>
                <w:sz w:val="16"/>
                <w:szCs w:val="16"/>
              </w:rPr>
            </w:pPr>
            <w:r>
              <w:rPr>
                <w:rFonts w:hint="default" w:ascii="Times New Roman" w:hAnsi="Times New Roman" w:eastAsia="宋体" w:cs="Times New Roman"/>
                <w:b/>
                <w:color w:val="0000FF"/>
                <w:sz w:val="16"/>
                <w:szCs w:val="16"/>
              </w:rPr>
              <w:t>9</w:t>
            </w:r>
          </w:p>
        </w:tc>
        <w:tc>
          <w:tcPr>
            <w:tcW w:w="330" w:type="pct"/>
            <w:tcBorders>
              <w:top w:val="double" w:color="auto" w:sz="4" w:space="0"/>
              <w:bottom w:val="single" w:color="auto" w:sz="4" w:space="0"/>
            </w:tcBorders>
            <w:shd w:val="clear" w:color="auto" w:fill="auto"/>
            <w:vAlign w:val="center"/>
          </w:tcPr>
          <w:p w14:paraId="701B2219">
            <w:pPr>
              <w:widowControl w:val="0"/>
              <w:adjustRightInd w:val="0"/>
              <w:snapToGrid w:val="0"/>
              <w:jc w:val="center"/>
              <w:rPr>
                <w:rFonts w:hint="default" w:ascii="Times New Roman" w:hAnsi="Times New Roman" w:eastAsia="宋体" w:cs="Times New Roman"/>
                <w:b/>
                <w:color w:val="0000FF"/>
                <w:sz w:val="16"/>
                <w:szCs w:val="16"/>
              </w:rPr>
            </w:pPr>
            <w:r>
              <w:rPr>
                <w:rFonts w:hint="default" w:ascii="Times New Roman" w:hAnsi="Times New Roman" w:eastAsia="宋体" w:cs="Times New Roman"/>
                <w:b/>
                <w:color w:val="0000FF"/>
                <w:sz w:val="16"/>
                <w:szCs w:val="16"/>
              </w:rPr>
              <w:t>10</w:t>
            </w:r>
          </w:p>
        </w:tc>
        <w:tc>
          <w:tcPr>
            <w:tcW w:w="330" w:type="pct"/>
            <w:tcBorders>
              <w:top w:val="double" w:color="auto" w:sz="4" w:space="0"/>
              <w:bottom w:val="single" w:color="auto" w:sz="4" w:space="0"/>
            </w:tcBorders>
            <w:shd w:val="clear" w:color="auto" w:fill="auto"/>
            <w:vAlign w:val="center"/>
          </w:tcPr>
          <w:p w14:paraId="7814D16D">
            <w:pPr>
              <w:widowControl w:val="0"/>
              <w:adjustRightInd w:val="0"/>
              <w:snapToGrid w:val="0"/>
              <w:jc w:val="center"/>
              <w:rPr>
                <w:rFonts w:hint="default" w:ascii="Times New Roman" w:hAnsi="Times New Roman" w:eastAsia="宋体" w:cs="Times New Roman"/>
                <w:b/>
                <w:color w:val="0000FF"/>
                <w:sz w:val="16"/>
                <w:szCs w:val="16"/>
              </w:rPr>
            </w:pPr>
            <w:r>
              <w:rPr>
                <w:rFonts w:hint="default" w:ascii="Times New Roman" w:hAnsi="Times New Roman" w:eastAsia="宋体" w:cs="Times New Roman"/>
                <w:b/>
                <w:color w:val="0000FF"/>
                <w:sz w:val="16"/>
                <w:szCs w:val="16"/>
              </w:rPr>
              <w:t>11</w:t>
            </w:r>
          </w:p>
        </w:tc>
        <w:tc>
          <w:tcPr>
            <w:tcW w:w="330" w:type="pct"/>
            <w:tcBorders>
              <w:top w:val="double" w:color="auto" w:sz="4" w:space="0"/>
              <w:bottom w:val="single" w:color="auto" w:sz="4" w:space="0"/>
            </w:tcBorders>
            <w:shd w:val="clear" w:color="auto" w:fill="auto"/>
            <w:vAlign w:val="center"/>
          </w:tcPr>
          <w:p w14:paraId="749A2656">
            <w:pPr>
              <w:widowControl w:val="0"/>
              <w:adjustRightInd w:val="0"/>
              <w:snapToGrid w:val="0"/>
              <w:jc w:val="center"/>
              <w:rPr>
                <w:rFonts w:hint="default" w:ascii="Times New Roman" w:hAnsi="Times New Roman" w:eastAsia="宋体" w:cs="Times New Roman"/>
                <w:b/>
                <w:color w:val="0000FF"/>
                <w:sz w:val="16"/>
                <w:szCs w:val="16"/>
              </w:rPr>
            </w:pPr>
            <w:r>
              <w:rPr>
                <w:rFonts w:hint="default" w:ascii="Times New Roman" w:hAnsi="Times New Roman" w:eastAsia="宋体" w:cs="Times New Roman"/>
                <w:b/>
                <w:color w:val="0000FF"/>
                <w:sz w:val="16"/>
                <w:szCs w:val="16"/>
              </w:rPr>
              <w:t>12</w:t>
            </w:r>
          </w:p>
        </w:tc>
        <w:tc>
          <w:tcPr>
            <w:tcW w:w="376" w:type="pct"/>
            <w:tcBorders>
              <w:top w:val="double" w:color="auto" w:sz="4" w:space="0"/>
              <w:bottom w:val="single" w:color="auto" w:sz="4" w:space="0"/>
              <w:right w:val="nil"/>
            </w:tcBorders>
            <w:shd w:val="clear" w:color="auto" w:fill="auto"/>
            <w:vAlign w:val="center"/>
          </w:tcPr>
          <w:p w14:paraId="2A1A09E3">
            <w:pPr>
              <w:widowControl w:val="0"/>
              <w:adjustRightInd w:val="0"/>
              <w:snapToGrid w:val="0"/>
              <w:jc w:val="center"/>
              <w:rPr>
                <w:rFonts w:hint="default" w:ascii="Times New Roman" w:hAnsi="Times New Roman" w:eastAsia="宋体" w:cs="Times New Roman"/>
                <w:color w:val="0000FF"/>
                <w:sz w:val="16"/>
                <w:szCs w:val="16"/>
              </w:rPr>
            </w:pPr>
            <w:r>
              <w:rPr>
                <w:rFonts w:hint="default" w:ascii="Times New Roman" w:hAnsi="Times New Roman" w:eastAsia="宋体" w:cs="Times New Roman"/>
                <w:color w:val="0000FF"/>
                <w:sz w:val="16"/>
                <w:szCs w:val="16"/>
              </w:rPr>
              <w:t>全年</w:t>
            </w:r>
          </w:p>
        </w:tc>
      </w:tr>
      <w:tr w14:paraId="37BBCE8D">
        <w:tblPrEx>
          <w:tblBorders>
            <w:top w:val="single" w:color="auto" w:sz="4" w:space="0"/>
            <w:left w:val="single" w:color="auto" w:sz="4" w:space="0"/>
            <w:bottom w:val="none" w:color="auto" w:sz="0"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6" w:hRule="atLeast"/>
        </w:trPr>
        <w:tc>
          <w:tcPr>
            <w:tcW w:w="661" w:type="pct"/>
            <w:tcBorders>
              <w:left w:val="nil"/>
              <w:bottom w:val="single" w:color="auto" w:sz="4" w:space="0"/>
            </w:tcBorders>
            <w:shd w:val="clear" w:color="auto" w:fill="auto"/>
            <w:vAlign w:val="center"/>
          </w:tcPr>
          <w:p w14:paraId="628B75B7">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FF"/>
                <w:sz w:val="16"/>
                <w:szCs w:val="16"/>
              </w:rPr>
            </w:pPr>
            <w:r>
              <w:rPr>
                <w:rFonts w:hint="default" w:ascii="Times New Roman" w:hAnsi="Times New Roman" w:eastAsia="宋体" w:cs="Times New Roman"/>
                <w:color w:val="0000FF"/>
                <w:sz w:val="16"/>
                <w:szCs w:val="16"/>
              </w:rPr>
              <w:t>平均相对湿度%</w:t>
            </w:r>
          </w:p>
        </w:tc>
        <w:tc>
          <w:tcPr>
            <w:tcW w:w="330" w:type="pct"/>
            <w:tcBorders>
              <w:bottom w:val="single" w:color="auto" w:sz="4" w:space="0"/>
            </w:tcBorders>
            <w:shd w:val="clear" w:color="auto" w:fill="auto"/>
            <w:vAlign w:val="center"/>
          </w:tcPr>
          <w:p w14:paraId="6AEC51B3">
            <w:pPr>
              <w:widowControl w:val="0"/>
              <w:adjustRightInd w:val="0"/>
              <w:snapToGrid w:val="0"/>
              <w:jc w:val="center"/>
              <w:rPr>
                <w:rFonts w:hint="default" w:ascii="Times New Roman" w:hAnsi="Times New Roman" w:eastAsia="宋体" w:cs="Times New Roman"/>
                <w:color w:val="0000FF"/>
                <w:sz w:val="16"/>
                <w:szCs w:val="16"/>
              </w:rPr>
            </w:pPr>
            <w:r>
              <w:rPr>
                <w:rFonts w:hint="default" w:ascii="Times New Roman" w:hAnsi="Times New Roman" w:eastAsia="宋体" w:cs="Times New Roman"/>
                <w:color w:val="0000FF"/>
                <w:sz w:val="16"/>
                <w:szCs w:val="16"/>
              </w:rPr>
              <w:t>62.7</w:t>
            </w:r>
          </w:p>
        </w:tc>
        <w:tc>
          <w:tcPr>
            <w:tcW w:w="330" w:type="pct"/>
            <w:tcBorders>
              <w:bottom w:val="single" w:color="auto" w:sz="4" w:space="0"/>
            </w:tcBorders>
            <w:shd w:val="clear" w:color="auto" w:fill="auto"/>
            <w:vAlign w:val="center"/>
          </w:tcPr>
          <w:p w14:paraId="7666B856">
            <w:pPr>
              <w:widowControl w:val="0"/>
              <w:adjustRightInd w:val="0"/>
              <w:snapToGrid w:val="0"/>
              <w:jc w:val="center"/>
              <w:rPr>
                <w:rFonts w:hint="default" w:ascii="Times New Roman" w:hAnsi="Times New Roman" w:eastAsia="宋体" w:cs="Times New Roman"/>
                <w:color w:val="0000FF"/>
                <w:sz w:val="16"/>
                <w:szCs w:val="16"/>
              </w:rPr>
            </w:pPr>
            <w:r>
              <w:rPr>
                <w:rFonts w:hint="default" w:ascii="Times New Roman" w:hAnsi="Times New Roman" w:eastAsia="宋体" w:cs="Times New Roman"/>
                <w:color w:val="0000FF"/>
                <w:sz w:val="16"/>
                <w:szCs w:val="16"/>
              </w:rPr>
              <w:t>57.0</w:t>
            </w:r>
          </w:p>
        </w:tc>
        <w:tc>
          <w:tcPr>
            <w:tcW w:w="330" w:type="pct"/>
            <w:tcBorders>
              <w:bottom w:val="single" w:color="auto" w:sz="4" w:space="0"/>
            </w:tcBorders>
            <w:shd w:val="clear" w:color="auto" w:fill="auto"/>
            <w:vAlign w:val="center"/>
          </w:tcPr>
          <w:p w14:paraId="5B2FCB63">
            <w:pPr>
              <w:widowControl w:val="0"/>
              <w:adjustRightInd w:val="0"/>
              <w:snapToGrid w:val="0"/>
              <w:jc w:val="center"/>
              <w:rPr>
                <w:rFonts w:hint="default" w:ascii="Times New Roman" w:hAnsi="Times New Roman" w:eastAsia="宋体" w:cs="Times New Roman"/>
                <w:color w:val="0000FF"/>
                <w:sz w:val="16"/>
                <w:szCs w:val="16"/>
              </w:rPr>
            </w:pPr>
            <w:r>
              <w:rPr>
                <w:rFonts w:hint="default" w:ascii="Times New Roman" w:hAnsi="Times New Roman" w:eastAsia="宋体" w:cs="Times New Roman"/>
                <w:color w:val="0000FF"/>
                <w:sz w:val="16"/>
                <w:szCs w:val="16"/>
              </w:rPr>
              <w:t>51.4</w:t>
            </w:r>
          </w:p>
        </w:tc>
        <w:tc>
          <w:tcPr>
            <w:tcW w:w="330" w:type="pct"/>
            <w:tcBorders>
              <w:bottom w:val="single" w:color="auto" w:sz="4" w:space="0"/>
            </w:tcBorders>
            <w:shd w:val="clear" w:color="auto" w:fill="auto"/>
            <w:vAlign w:val="center"/>
          </w:tcPr>
          <w:p w14:paraId="04002D15">
            <w:pPr>
              <w:widowControl w:val="0"/>
              <w:adjustRightInd w:val="0"/>
              <w:snapToGrid w:val="0"/>
              <w:jc w:val="center"/>
              <w:rPr>
                <w:rFonts w:hint="default" w:ascii="Times New Roman" w:hAnsi="Times New Roman" w:eastAsia="宋体" w:cs="Times New Roman"/>
                <w:color w:val="0000FF"/>
                <w:sz w:val="16"/>
                <w:szCs w:val="16"/>
              </w:rPr>
            </w:pPr>
            <w:r>
              <w:rPr>
                <w:rFonts w:hint="default" w:ascii="Times New Roman" w:hAnsi="Times New Roman" w:eastAsia="宋体" w:cs="Times New Roman"/>
                <w:color w:val="0000FF"/>
                <w:sz w:val="16"/>
                <w:szCs w:val="16"/>
              </w:rPr>
              <w:t>48.2</w:t>
            </w:r>
          </w:p>
        </w:tc>
        <w:tc>
          <w:tcPr>
            <w:tcW w:w="330" w:type="pct"/>
            <w:tcBorders>
              <w:bottom w:val="single" w:color="auto" w:sz="4" w:space="0"/>
            </w:tcBorders>
            <w:shd w:val="clear" w:color="auto" w:fill="auto"/>
            <w:vAlign w:val="center"/>
          </w:tcPr>
          <w:p w14:paraId="6F26385D">
            <w:pPr>
              <w:widowControl w:val="0"/>
              <w:adjustRightInd w:val="0"/>
              <w:snapToGrid w:val="0"/>
              <w:jc w:val="center"/>
              <w:rPr>
                <w:rFonts w:hint="default" w:ascii="Times New Roman" w:hAnsi="Times New Roman" w:eastAsia="宋体" w:cs="Times New Roman"/>
                <w:color w:val="0000FF"/>
                <w:sz w:val="16"/>
                <w:szCs w:val="16"/>
              </w:rPr>
            </w:pPr>
            <w:r>
              <w:rPr>
                <w:rFonts w:hint="default" w:ascii="Times New Roman" w:hAnsi="Times New Roman" w:eastAsia="宋体" w:cs="Times New Roman"/>
                <w:color w:val="0000FF"/>
                <w:sz w:val="16"/>
                <w:szCs w:val="16"/>
              </w:rPr>
              <w:t>55.0</w:t>
            </w:r>
          </w:p>
        </w:tc>
        <w:tc>
          <w:tcPr>
            <w:tcW w:w="330" w:type="pct"/>
            <w:tcBorders>
              <w:bottom w:val="single" w:color="auto" w:sz="4" w:space="0"/>
            </w:tcBorders>
            <w:shd w:val="clear" w:color="auto" w:fill="auto"/>
            <w:vAlign w:val="center"/>
          </w:tcPr>
          <w:p w14:paraId="716997CA">
            <w:pPr>
              <w:widowControl w:val="0"/>
              <w:adjustRightInd w:val="0"/>
              <w:snapToGrid w:val="0"/>
              <w:jc w:val="center"/>
              <w:rPr>
                <w:rFonts w:hint="default" w:ascii="Times New Roman" w:hAnsi="Times New Roman" w:eastAsia="宋体" w:cs="Times New Roman"/>
                <w:color w:val="0000FF"/>
                <w:sz w:val="16"/>
                <w:szCs w:val="16"/>
              </w:rPr>
            </w:pPr>
            <w:r>
              <w:rPr>
                <w:rFonts w:hint="default" w:ascii="Times New Roman" w:hAnsi="Times New Roman" w:eastAsia="宋体" w:cs="Times New Roman"/>
                <w:color w:val="0000FF"/>
                <w:sz w:val="16"/>
                <w:szCs w:val="16"/>
              </w:rPr>
              <w:t>67.2</w:t>
            </w:r>
          </w:p>
        </w:tc>
        <w:tc>
          <w:tcPr>
            <w:tcW w:w="330" w:type="pct"/>
            <w:tcBorders>
              <w:bottom w:val="single" w:color="auto" w:sz="4" w:space="0"/>
            </w:tcBorders>
            <w:shd w:val="clear" w:color="auto" w:fill="auto"/>
            <w:vAlign w:val="center"/>
          </w:tcPr>
          <w:p w14:paraId="18D7CA1D">
            <w:pPr>
              <w:widowControl w:val="0"/>
              <w:adjustRightInd w:val="0"/>
              <w:snapToGrid w:val="0"/>
              <w:jc w:val="center"/>
              <w:rPr>
                <w:rFonts w:hint="default" w:ascii="Times New Roman" w:hAnsi="Times New Roman" w:eastAsia="宋体" w:cs="Times New Roman"/>
                <w:color w:val="0000FF"/>
                <w:sz w:val="16"/>
                <w:szCs w:val="16"/>
              </w:rPr>
            </w:pPr>
            <w:r>
              <w:rPr>
                <w:rFonts w:hint="default" w:ascii="Times New Roman" w:hAnsi="Times New Roman" w:eastAsia="宋体" w:cs="Times New Roman"/>
                <w:color w:val="0000FF"/>
                <w:sz w:val="16"/>
                <w:szCs w:val="16"/>
              </w:rPr>
              <w:t>75.0</w:t>
            </w:r>
          </w:p>
        </w:tc>
        <w:tc>
          <w:tcPr>
            <w:tcW w:w="330" w:type="pct"/>
            <w:tcBorders>
              <w:bottom w:val="single" w:color="auto" w:sz="4" w:space="0"/>
            </w:tcBorders>
            <w:shd w:val="clear" w:color="auto" w:fill="auto"/>
            <w:vAlign w:val="center"/>
          </w:tcPr>
          <w:p w14:paraId="78D75D19">
            <w:pPr>
              <w:widowControl w:val="0"/>
              <w:adjustRightInd w:val="0"/>
              <w:snapToGrid w:val="0"/>
              <w:jc w:val="center"/>
              <w:rPr>
                <w:rFonts w:hint="default" w:ascii="Times New Roman" w:hAnsi="Times New Roman" w:eastAsia="宋体" w:cs="Times New Roman"/>
                <w:color w:val="0000FF"/>
                <w:sz w:val="16"/>
                <w:szCs w:val="16"/>
              </w:rPr>
            </w:pPr>
            <w:r>
              <w:rPr>
                <w:rFonts w:hint="default" w:ascii="Times New Roman" w:hAnsi="Times New Roman" w:eastAsia="宋体" w:cs="Times New Roman"/>
                <w:color w:val="0000FF"/>
                <w:sz w:val="16"/>
                <w:szCs w:val="16"/>
              </w:rPr>
              <w:t>78.2</w:t>
            </w:r>
          </w:p>
        </w:tc>
        <w:tc>
          <w:tcPr>
            <w:tcW w:w="330" w:type="pct"/>
            <w:tcBorders>
              <w:bottom w:val="single" w:color="auto" w:sz="4" w:space="0"/>
            </w:tcBorders>
            <w:shd w:val="clear" w:color="auto" w:fill="auto"/>
            <w:vAlign w:val="center"/>
          </w:tcPr>
          <w:p w14:paraId="545D6DEE">
            <w:pPr>
              <w:widowControl w:val="0"/>
              <w:adjustRightInd w:val="0"/>
              <w:snapToGrid w:val="0"/>
              <w:jc w:val="center"/>
              <w:rPr>
                <w:rFonts w:hint="default" w:ascii="Times New Roman" w:hAnsi="Times New Roman" w:eastAsia="宋体" w:cs="Times New Roman"/>
                <w:color w:val="0000FF"/>
                <w:sz w:val="16"/>
                <w:szCs w:val="16"/>
              </w:rPr>
            </w:pPr>
            <w:r>
              <w:rPr>
                <w:rFonts w:hint="default" w:ascii="Times New Roman" w:hAnsi="Times New Roman" w:eastAsia="宋体" w:cs="Times New Roman"/>
                <w:color w:val="0000FF"/>
                <w:sz w:val="16"/>
                <w:szCs w:val="16"/>
              </w:rPr>
              <w:t>72.8</w:t>
            </w:r>
          </w:p>
        </w:tc>
        <w:tc>
          <w:tcPr>
            <w:tcW w:w="330" w:type="pct"/>
            <w:tcBorders>
              <w:bottom w:val="single" w:color="auto" w:sz="4" w:space="0"/>
            </w:tcBorders>
            <w:shd w:val="clear" w:color="auto" w:fill="auto"/>
            <w:vAlign w:val="center"/>
          </w:tcPr>
          <w:p w14:paraId="6CB354D6">
            <w:pPr>
              <w:widowControl w:val="0"/>
              <w:adjustRightInd w:val="0"/>
              <w:snapToGrid w:val="0"/>
              <w:jc w:val="center"/>
              <w:rPr>
                <w:rFonts w:hint="default" w:ascii="Times New Roman" w:hAnsi="Times New Roman" w:eastAsia="宋体" w:cs="Times New Roman"/>
                <w:color w:val="0000FF"/>
                <w:sz w:val="16"/>
                <w:szCs w:val="16"/>
              </w:rPr>
            </w:pPr>
            <w:r>
              <w:rPr>
                <w:rFonts w:hint="default" w:ascii="Times New Roman" w:hAnsi="Times New Roman" w:eastAsia="宋体" w:cs="Times New Roman"/>
                <w:color w:val="0000FF"/>
                <w:sz w:val="16"/>
                <w:szCs w:val="16"/>
              </w:rPr>
              <w:t>64.7</w:t>
            </w:r>
          </w:p>
        </w:tc>
        <w:tc>
          <w:tcPr>
            <w:tcW w:w="330" w:type="pct"/>
            <w:tcBorders>
              <w:bottom w:val="single" w:color="auto" w:sz="4" w:space="0"/>
            </w:tcBorders>
            <w:shd w:val="clear" w:color="auto" w:fill="auto"/>
            <w:vAlign w:val="center"/>
          </w:tcPr>
          <w:p w14:paraId="33CED7CF">
            <w:pPr>
              <w:widowControl w:val="0"/>
              <w:adjustRightInd w:val="0"/>
              <w:snapToGrid w:val="0"/>
              <w:jc w:val="center"/>
              <w:rPr>
                <w:rFonts w:hint="default" w:ascii="Times New Roman" w:hAnsi="Times New Roman" w:eastAsia="宋体" w:cs="Times New Roman"/>
                <w:color w:val="0000FF"/>
                <w:sz w:val="16"/>
                <w:szCs w:val="16"/>
              </w:rPr>
            </w:pPr>
            <w:r>
              <w:rPr>
                <w:rFonts w:hint="default" w:ascii="Times New Roman" w:hAnsi="Times New Roman" w:eastAsia="宋体" w:cs="Times New Roman"/>
                <w:color w:val="0000FF"/>
                <w:sz w:val="16"/>
                <w:szCs w:val="16"/>
              </w:rPr>
              <w:t>63.7</w:t>
            </w:r>
          </w:p>
        </w:tc>
        <w:tc>
          <w:tcPr>
            <w:tcW w:w="330" w:type="pct"/>
            <w:tcBorders>
              <w:bottom w:val="single" w:color="auto" w:sz="4" w:space="0"/>
            </w:tcBorders>
            <w:shd w:val="clear" w:color="auto" w:fill="auto"/>
            <w:vAlign w:val="center"/>
          </w:tcPr>
          <w:p w14:paraId="1A22B9A2">
            <w:pPr>
              <w:widowControl w:val="0"/>
              <w:adjustRightInd w:val="0"/>
              <w:snapToGrid w:val="0"/>
              <w:jc w:val="center"/>
              <w:rPr>
                <w:rFonts w:hint="default" w:ascii="Times New Roman" w:hAnsi="Times New Roman" w:eastAsia="宋体" w:cs="Times New Roman"/>
                <w:color w:val="0000FF"/>
                <w:sz w:val="16"/>
                <w:szCs w:val="16"/>
              </w:rPr>
            </w:pPr>
            <w:r>
              <w:rPr>
                <w:rFonts w:hint="default" w:ascii="Times New Roman" w:hAnsi="Times New Roman" w:eastAsia="宋体" w:cs="Times New Roman"/>
                <w:color w:val="0000FF"/>
                <w:sz w:val="16"/>
                <w:szCs w:val="16"/>
              </w:rPr>
              <w:t>63.4</w:t>
            </w:r>
          </w:p>
        </w:tc>
        <w:tc>
          <w:tcPr>
            <w:tcW w:w="376" w:type="pct"/>
            <w:tcBorders>
              <w:bottom w:val="single" w:color="auto" w:sz="4" w:space="0"/>
              <w:right w:val="nil"/>
            </w:tcBorders>
            <w:shd w:val="clear" w:color="auto" w:fill="auto"/>
            <w:vAlign w:val="center"/>
          </w:tcPr>
          <w:p w14:paraId="6F3E6CC1">
            <w:pPr>
              <w:widowControl w:val="0"/>
              <w:adjustRightInd w:val="0"/>
              <w:snapToGrid w:val="0"/>
              <w:jc w:val="center"/>
              <w:rPr>
                <w:rFonts w:hint="default" w:ascii="Times New Roman" w:hAnsi="Times New Roman" w:eastAsia="宋体" w:cs="Times New Roman"/>
                <w:color w:val="0000FF"/>
                <w:sz w:val="16"/>
                <w:szCs w:val="16"/>
              </w:rPr>
            </w:pPr>
            <w:r>
              <w:rPr>
                <w:rFonts w:hint="default" w:ascii="Times New Roman" w:hAnsi="Times New Roman" w:eastAsia="宋体" w:cs="Times New Roman"/>
                <w:color w:val="0000FF"/>
                <w:sz w:val="16"/>
                <w:szCs w:val="16"/>
              </w:rPr>
              <w:t>63.3</w:t>
            </w:r>
          </w:p>
        </w:tc>
      </w:tr>
      <w:tr w14:paraId="5C286752">
        <w:tblPrEx>
          <w:tblBorders>
            <w:top w:val="single" w:color="auto" w:sz="4" w:space="0"/>
            <w:left w:val="single" w:color="auto" w:sz="4" w:space="0"/>
            <w:bottom w:val="none" w:color="auto" w:sz="0"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6" w:hRule="atLeast"/>
        </w:trPr>
        <w:tc>
          <w:tcPr>
            <w:tcW w:w="661" w:type="pct"/>
            <w:tcBorders>
              <w:left w:val="nil"/>
              <w:bottom w:val="single" w:color="auto" w:sz="4" w:space="0"/>
            </w:tcBorders>
            <w:shd w:val="clear" w:color="auto" w:fill="auto"/>
            <w:vAlign w:val="center"/>
          </w:tcPr>
          <w:p w14:paraId="57D124B6">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FF"/>
                <w:sz w:val="16"/>
                <w:szCs w:val="16"/>
              </w:rPr>
            </w:pPr>
            <w:r>
              <w:rPr>
                <w:rFonts w:hint="default" w:ascii="Times New Roman" w:hAnsi="Times New Roman" w:eastAsia="宋体" w:cs="Times New Roman"/>
                <w:color w:val="0000FF"/>
                <w:sz w:val="16"/>
                <w:szCs w:val="16"/>
              </w:rPr>
              <w:t>降水量mm</w:t>
            </w:r>
          </w:p>
        </w:tc>
        <w:tc>
          <w:tcPr>
            <w:tcW w:w="330" w:type="pct"/>
            <w:tcBorders>
              <w:bottom w:val="single" w:color="auto" w:sz="4" w:space="0"/>
            </w:tcBorders>
            <w:shd w:val="clear" w:color="auto" w:fill="auto"/>
            <w:vAlign w:val="center"/>
          </w:tcPr>
          <w:p w14:paraId="3143CBB7">
            <w:pPr>
              <w:widowControl w:val="0"/>
              <w:jc w:val="center"/>
              <w:rPr>
                <w:rFonts w:hint="default" w:ascii="Times New Roman" w:hAnsi="Times New Roman" w:eastAsia="宋体" w:cs="Times New Roman"/>
                <w:color w:val="0000FF"/>
                <w:sz w:val="16"/>
                <w:szCs w:val="16"/>
              </w:rPr>
            </w:pPr>
            <w:r>
              <w:rPr>
                <w:rFonts w:hint="default" w:ascii="Times New Roman" w:hAnsi="Times New Roman" w:eastAsia="宋体" w:cs="Times New Roman"/>
                <w:color w:val="0000FF"/>
                <w:sz w:val="16"/>
                <w:szCs w:val="16"/>
              </w:rPr>
              <w:t>8.5</w:t>
            </w:r>
          </w:p>
        </w:tc>
        <w:tc>
          <w:tcPr>
            <w:tcW w:w="330" w:type="pct"/>
            <w:tcBorders>
              <w:bottom w:val="single" w:color="auto" w:sz="4" w:space="0"/>
            </w:tcBorders>
            <w:shd w:val="clear" w:color="auto" w:fill="auto"/>
            <w:vAlign w:val="center"/>
          </w:tcPr>
          <w:p w14:paraId="281708D6">
            <w:pPr>
              <w:widowControl w:val="0"/>
              <w:jc w:val="center"/>
              <w:rPr>
                <w:rFonts w:hint="default" w:ascii="Times New Roman" w:hAnsi="Times New Roman" w:eastAsia="宋体" w:cs="Times New Roman"/>
                <w:color w:val="0000FF"/>
                <w:sz w:val="16"/>
                <w:szCs w:val="16"/>
              </w:rPr>
            </w:pPr>
            <w:r>
              <w:rPr>
                <w:rFonts w:hint="default" w:ascii="Times New Roman" w:hAnsi="Times New Roman" w:eastAsia="宋体" w:cs="Times New Roman"/>
                <w:color w:val="0000FF"/>
                <w:sz w:val="16"/>
                <w:szCs w:val="16"/>
              </w:rPr>
              <w:t>15.1</w:t>
            </w:r>
          </w:p>
        </w:tc>
        <w:tc>
          <w:tcPr>
            <w:tcW w:w="330" w:type="pct"/>
            <w:tcBorders>
              <w:bottom w:val="single" w:color="auto" w:sz="4" w:space="0"/>
            </w:tcBorders>
            <w:shd w:val="clear" w:color="auto" w:fill="auto"/>
            <w:vAlign w:val="center"/>
          </w:tcPr>
          <w:p w14:paraId="5FFD5BC0">
            <w:pPr>
              <w:widowControl w:val="0"/>
              <w:jc w:val="center"/>
              <w:rPr>
                <w:rFonts w:hint="default" w:ascii="Times New Roman" w:hAnsi="Times New Roman" w:eastAsia="宋体" w:cs="Times New Roman"/>
                <w:color w:val="0000FF"/>
                <w:sz w:val="16"/>
                <w:szCs w:val="16"/>
              </w:rPr>
            </w:pPr>
            <w:r>
              <w:rPr>
                <w:rFonts w:hint="default" w:ascii="Times New Roman" w:hAnsi="Times New Roman" w:eastAsia="宋体" w:cs="Times New Roman"/>
                <w:color w:val="0000FF"/>
                <w:sz w:val="16"/>
                <w:szCs w:val="16"/>
              </w:rPr>
              <w:t>19.5</w:t>
            </w:r>
          </w:p>
        </w:tc>
        <w:tc>
          <w:tcPr>
            <w:tcW w:w="330" w:type="pct"/>
            <w:tcBorders>
              <w:bottom w:val="single" w:color="auto" w:sz="4" w:space="0"/>
            </w:tcBorders>
            <w:shd w:val="clear" w:color="auto" w:fill="auto"/>
            <w:vAlign w:val="center"/>
          </w:tcPr>
          <w:p w14:paraId="288B7D94">
            <w:pPr>
              <w:widowControl w:val="0"/>
              <w:jc w:val="center"/>
              <w:rPr>
                <w:rFonts w:hint="default" w:ascii="Times New Roman" w:hAnsi="Times New Roman" w:eastAsia="宋体" w:cs="Times New Roman"/>
                <w:color w:val="0000FF"/>
                <w:sz w:val="16"/>
                <w:szCs w:val="16"/>
              </w:rPr>
            </w:pPr>
            <w:r>
              <w:rPr>
                <w:rFonts w:hint="default" w:ascii="Times New Roman" w:hAnsi="Times New Roman" w:eastAsia="宋体" w:cs="Times New Roman"/>
                <w:color w:val="0000FF"/>
                <w:sz w:val="16"/>
                <w:szCs w:val="16"/>
              </w:rPr>
              <w:t>45.1</w:t>
            </w:r>
          </w:p>
        </w:tc>
        <w:tc>
          <w:tcPr>
            <w:tcW w:w="330" w:type="pct"/>
            <w:tcBorders>
              <w:bottom w:val="single" w:color="auto" w:sz="4" w:space="0"/>
            </w:tcBorders>
            <w:shd w:val="clear" w:color="auto" w:fill="auto"/>
            <w:vAlign w:val="center"/>
          </w:tcPr>
          <w:p w14:paraId="620871B8">
            <w:pPr>
              <w:widowControl w:val="0"/>
              <w:jc w:val="center"/>
              <w:rPr>
                <w:rFonts w:hint="default" w:ascii="Times New Roman" w:hAnsi="Times New Roman" w:eastAsia="宋体" w:cs="Times New Roman"/>
                <w:color w:val="0000FF"/>
                <w:sz w:val="16"/>
                <w:szCs w:val="16"/>
              </w:rPr>
            </w:pPr>
            <w:r>
              <w:rPr>
                <w:rFonts w:hint="default" w:ascii="Times New Roman" w:hAnsi="Times New Roman" w:eastAsia="宋体" w:cs="Times New Roman"/>
                <w:color w:val="0000FF"/>
                <w:sz w:val="16"/>
                <w:szCs w:val="16"/>
              </w:rPr>
              <w:t>76.1</w:t>
            </w:r>
          </w:p>
        </w:tc>
        <w:tc>
          <w:tcPr>
            <w:tcW w:w="330" w:type="pct"/>
            <w:tcBorders>
              <w:bottom w:val="single" w:color="auto" w:sz="4" w:space="0"/>
            </w:tcBorders>
            <w:shd w:val="clear" w:color="auto" w:fill="auto"/>
            <w:vAlign w:val="center"/>
          </w:tcPr>
          <w:p w14:paraId="0F72DBE8">
            <w:pPr>
              <w:widowControl w:val="0"/>
              <w:jc w:val="center"/>
              <w:rPr>
                <w:rFonts w:hint="default" w:ascii="Times New Roman" w:hAnsi="Times New Roman" w:eastAsia="宋体" w:cs="Times New Roman"/>
                <w:color w:val="0000FF"/>
                <w:sz w:val="16"/>
                <w:szCs w:val="16"/>
              </w:rPr>
            </w:pPr>
            <w:r>
              <w:rPr>
                <w:rFonts w:hint="default" w:ascii="Times New Roman" w:hAnsi="Times New Roman" w:eastAsia="宋体" w:cs="Times New Roman"/>
                <w:color w:val="0000FF"/>
                <w:sz w:val="16"/>
                <w:szCs w:val="16"/>
              </w:rPr>
              <w:t>116.4</w:t>
            </w:r>
          </w:p>
        </w:tc>
        <w:tc>
          <w:tcPr>
            <w:tcW w:w="330" w:type="pct"/>
            <w:tcBorders>
              <w:bottom w:val="single" w:color="auto" w:sz="4" w:space="0"/>
            </w:tcBorders>
            <w:shd w:val="clear" w:color="auto" w:fill="auto"/>
            <w:vAlign w:val="center"/>
          </w:tcPr>
          <w:p w14:paraId="35B41479">
            <w:pPr>
              <w:widowControl w:val="0"/>
              <w:jc w:val="center"/>
              <w:rPr>
                <w:rFonts w:hint="default" w:ascii="Times New Roman" w:hAnsi="Times New Roman" w:eastAsia="宋体" w:cs="Times New Roman"/>
                <w:color w:val="0000FF"/>
                <w:sz w:val="16"/>
                <w:szCs w:val="16"/>
              </w:rPr>
            </w:pPr>
            <w:r>
              <w:rPr>
                <w:rFonts w:hint="default" w:ascii="Times New Roman" w:hAnsi="Times New Roman" w:eastAsia="宋体" w:cs="Times New Roman"/>
                <w:color w:val="0000FF"/>
                <w:sz w:val="16"/>
                <w:szCs w:val="16"/>
              </w:rPr>
              <w:t>162.2</w:t>
            </w:r>
          </w:p>
        </w:tc>
        <w:tc>
          <w:tcPr>
            <w:tcW w:w="330" w:type="pct"/>
            <w:tcBorders>
              <w:bottom w:val="single" w:color="auto" w:sz="4" w:space="0"/>
            </w:tcBorders>
            <w:shd w:val="clear" w:color="auto" w:fill="auto"/>
            <w:vAlign w:val="center"/>
          </w:tcPr>
          <w:p w14:paraId="084DB4A5">
            <w:pPr>
              <w:widowControl w:val="0"/>
              <w:jc w:val="center"/>
              <w:rPr>
                <w:rFonts w:hint="default" w:ascii="Times New Roman" w:hAnsi="Times New Roman" w:eastAsia="宋体" w:cs="Times New Roman"/>
                <w:color w:val="0000FF"/>
                <w:sz w:val="16"/>
                <w:szCs w:val="16"/>
              </w:rPr>
            </w:pPr>
            <w:r>
              <w:rPr>
                <w:rFonts w:hint="default" w:ascii="Times New Roman" w:hAnsi="Times New Roman" w:eastAsia="宋体" w:cs="Times New Roman"/>
                <w:color w:val="0000FF"/>
                <w:sz w:val="16"/>
                <w:szCs w:val="16"/>
              </w:rPr>
              <w:t>211.6</w:t>
            </w:r>
          </w:p>
        </w:tc>
        <w:tc>
          <w:tcPr>
            <w:tcW w:w="330" w:type="pct"/>
            <w:tcBorders>
              <w:bottom w:val="single" w:color="auto" w:sz="4" w:space="0"/>
            </w:tcBorders>
            <w:shd w:val="clear" w:color="auto" w:fill="auto"/>
            <w:vAlign w:val="center"/>
          </w:tcPr>
          <w:p w14:paraId="5DEEBA15">
            <w:pPr>
              <w:widowControl w:val="0"/>
              <w:jc w:val="center"/>
              <w:rPr>
                <w:rFonts w:hint="default" w:ascii="Times New Roman" w:hAnsi="Times New Roman" w:eastAsia="宋体" w:cs="Times New Roman"/>
                <w:color w:val="0000FF"/>
                <w:sz w:val="16"/>
                <w:szCs w:val="16"/>
              </w:rPr>
            </w:pPr>
            <w:r>
              <w:rPr>
                <w:rFonts w:hint="default" w:ascii="Times New Roman" w:hAnsi="Times New Roman" w:eastAsia="宋体" w:cs="Times New Roman"/>
                <w:color w:val="0000FF"/>
                <w:sz w:val="16"/>
                <w:szCs w:val="16"/>
              </w:rPr>
              <w:t>67.6</w:t>
            </w:r>
          </w:p>
        </w:tc>
        <w:tc>
          <w:tcPr>
            <w:tcW w:w="330" w:type="pct"/>
            <w:tcBorders>
              <w:bottom w:val="single" w:color="auto" w:sz="4" w:space="0"/>
            </w:tcBorders>
            <w:shd w:val="clear" w:color="auto" w:fill="auto"/>
            <w:vAlign w:val="center"/>
          </w:tcPr>
          <w:p w14:paraId="2B6DD058">
            <w:pPr>
              <w:widowControl w:val="0"/>
              <w:jc w:val="center"/>
              <w:rPr>
                <w:rFonts w:hint="default" w:ascii="Times New Roman" w:hAnsi="Times New Roman" w:eastAsia="宋体" w:cs="Times New Roman"/>
                <w:color w:val="0000FF"/>
                <w:sz w:val="16"/>
                <w:szCs w:val="16"/>
              </w:rPr>
            </w:pPr>
            <w:r>
              <w:rPr>
                <w:rFonts w:hint="default" w:ascii="Times New Roman" w:hAnsi="Times New Roman" w:eastAsia="宋体" w:cs="Times New Roman"/>
                <w:color w:val="0000FF"/>
                <w:sz w:val="16"/>
                <w:szCs w:val="16"/>
              </w:rPr>
              <w:t>59.4</w:t>
            </w:r>
          </w:p>
        </w:tc>
        <w:tc>
          <w:tcPr>
            <w:tcW w:w="330" w:type="pct"/>
            <w:tcBorders>
              <w:bottom w:val="single" w:color="auto" w:sz="4" w:space="0"/>
            </w:tcBorders>
            <w:shd w:val="clear" w:color="auto" w:fill="auto"/>
            <w:vAlign w:val="center"/>
          </w:tcPr>
          <w:p w14:paraId="55F06422">
            <w:pPr>
              <w:widowControl w:val="0"/>
              <w:jc w:val="center"/>
              <w:rPr>
                <w:rFonts w:hint="default" w:ascii="Times New Roman" w:hAnsi="Times New Roman" w:eastAsia="宋体" w:cs="Times New Roman"/>
                <w:color w:val="0000FF"/>
                <w:sz w:val="16"/>
                <w:szCs w:val="16"/>
              </w:rPr>
            </w:pPr>
            <w:r>
              <w:rPr>
                <w:rFonts w:hint="default" w:ascii="Times New Roman" w:hAnsi="Times New Roman" w:eastAsia="宋体" w:cs="Times New Roman"/>
                <w:color w:val="0000FF"/>
                <w:sz w:val="16"/>
                <w:szCs w:val="16"/>
              </w:rPr>
              <w:t>41.4</w:t>
            </w:r>
          </w:p>
        </w:tc>
        <w:tc>
          <w:tcPr>
            <w:tcW w:w="330" w:type="pct"/>
            <w:tcBorders>
              <w:bottom w:val="single" w:color="auto" w:sz="4" w:space="0"/>
            </w:tcBorders>
            <w:shd w:val="clear" w:color="auto" w:fill="auto"/>
            <w:vAlign w:val="center"/>
          </w:tcPr>
          <w:p w14:paraId="34F2B1DE">
            <w:pPr>
              <w:widowControl w:val="0"/>
              <w:jc w:val="center"/>
              <w:rPr>
                <w:rFonts w:hint="default" w:ascii="Times New Roman" w:hAnsi="Times New Roman" w:eastAsia="宋体" w:cs="Times New Roman"/>
                <w:color w:val="0000FF"/>
                <w:sz w:val="16"/>
                <w:szCs w:val="16"/>
              </w:rPr>
            </w:pPr>
            <w:r>
              <w:rPr>
                <w:rFonts w:hint="default" w:ascii="Times New Roman" w:hAnsi="Times New Roman" w:eastAsia="宋体" w:cs="Times New Roman"/>
                <w:color w:val="0000FF"/>
                <w:sz w:val="16"/>
                <w:szCs w:val="16"/>
              </w:rPr>
              <w:t>11.7</w:t>
            </w:r>
          </w:p>
        </w:tc>
        <w:tc>
          <w:tcPr>
            <w:tcW w:w="376" w:type="pct"/>
            <w:tcBorders>
              <w:bottom w:val="single" w:color="auto" w:sz="4" w:space="0"/>
              <w:right w:val="nil"/>
            </w:tcBorders>
            <w:shd w:val="clear" w:color="auto" w:fill="auto"/>
            <w:vAlign w:val="center"/>
          </w:tcPr>
          <w:p w14:paraId="71130B92">
            <w:pPr>
              <w:widowControl w:val="0"/>
              <w:jc w:val="center"/>
              <w:rPr>
                <w:rFonts w:hint="default" w:ascii="Times New Roman" w:hAnsi="Times New Roman" w:eastAsia="宋体" w:cs="Times New Roman"/>
                <w:color w:val="0000FF"/>
                <w:sz w:val="16"/>
                <w:szCs w:val="16"/>
              </w:rPr>
            </w:pPr>
            <w:r>
              <w:rPr>
                <w:rFonts w:hint="default" w:ascii="Times New Roman" w:hAnsi="Times New Roman" w:eastAsia="宋体" w:cs="Times New Roman"/>
                <w:color w:val="0000FF"/>
                <w:sz w:val="16"/>
                <w:szCs w:val="16"/>
              </w:rPr>
              <w:t>834.3</w:t>
            </w:r>
          </w:p>
        </w:tc>
      </w:tr>
      <w:tr w14:paraId="0731C7D4">
        <w:tblPrEx>
          <w:tblBorders>
            <w:top w:val="single" w:color="auto" w:sz="4" w:space="0"/>
            <w:left w:val="single" w:color="auto" w:sz="4" w:space="0"/>
            <w:bottom w:val="none" w:color="auto" w:sz="0"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6" w:hRule="atLeast"/>
        </w:trPr>
        <w:tc>
          <w:tcPr>
            <w:tcW w:w="661" w:type="pct"/>
            <w:tcBorders>
              <w:left w:val="nil"/>
              <w:bottom w:val="double" w:color="auto" w:sz="4" w:space="0"/>
            </w:tcBorders>
            <w:shd w:val="clear" w:color="auto" w:fill="auto"/>
            <w:vAlign w:val="center"/>
          </w:tcPr>
          <w:p w14:paraId="2C804E7C">
            <w:pPr>
              <w:widowControl w:val="0"/>
              <w:jc w:val="center"/>
              <w:rPr>
                <w:rFonts w:hint="default" w:ascii="Times New Roman" w:hAnsi="Times New Roman" w:eastAsia="宋体" w:cs="Times New Roman"/>
                <w:color w:val="0000FF"/>
                <w:sz w:val="16"/>
                <w:szCs w:val="16"/>
              </w:rPr>
            </w:pPr>
            <w:r>
              <w:rPr>
                <w:rFonts w:hint="default" w:ascii="Times New Roman" w:hAnsi="Times New Roman" w:eastAsia="宋体" w:cs="Times New Roman"/>
                <w:color w:val="0000FF"/>
                <w:sz w:val="16"/>
                <w:szCs w:val="16"/>
              </w:rPr>
              <w:t>日照时数h</w:t>
            </w:r>
          </w:p>
        </w:tc>
        <w:tc>
          <w:tcPr>
            <w:tcW w:w="330" w:type="pct"/>
            <w:tcBorders>
              <w:bottom w:val="double" w:color="auto" w:sz="4" w:space="0"/>
            </w:tcBorders>
            <w:shd w:val="clear" w:color="auto" w:fill="auto"/>
            <w:vAlign w:val="center"/>
          </w:tcPr>
          <w:p w14:paraId="28EB494E">
            <w:pPr>
              <w:widowControl w:val="0"/>
              <w:jc w:val="center"/>
              <w:rPr>
                <w:rFonts w:hint="default" w:ascii="Times New Roman" w:hAnsi="Times New Roman" w:eastAsia="宋体" w:cs="Times New Roman"/>
                <w:color w:val="0000FF"/>
                <w:sz w:val="16"/>
                <w:szCs w:val="16"/>
              </w:rPr>
            </w:pPr>
            <w:r>
              <w:rPr>
                <w:rFonts w:hint="default" w:ascii="Times New Roman" w:hAnsi="Times New Roman" w:eastAsia="宋体" w:cs="Times New Roman"/>
                <w:color w:val="0000FF"/>
                <w:sz w:val="16"/>
                <w:szCs w:val="16"/>
              </w:rPr>
              <w:t>204.6</w:t>
            </w:r>
          </w:p>
        </w:tc>
        <w:tc>
          <w:tcPr>
            <w:tcW w:w="330" w:type="pct"/>
            <w:tcBorders>
              <w:bottom w:val="double" w:color="auto" w:sz="4" w:space="0"/>
            </w:tcBorders>
            <w:shd w:val="clear" w:color="auto" w:fill="auto"/>
            <w:vAlign w:val="center"/>
          </w:tcPr>
          <w:p w14:paraId="26D3E1A9">
            <w:pPr>
              <w:widowControl w:val="0"/>
              <w:jc w:val="center"/>
              <w:rPr>
                <w:rFonts w:hint="default" w:ascii="Times New Roman" w:hAnsi="Times New Roman" w:eastAsia="宋体" w:cs="Times New Roman"/>
                <w:color w:val="0000FF"/>
                <w:sz w:val="16"/>
                <w:szCs w:val="16"/>
              </w:rPr>
            </w:pPr>
            <w:r>
              <w:rPr>
                <w:rFonts w:hint="default" w:ascii="Times New Roman" w:hAnsi="Times New Roman" w:eastAsia="宋体" w:cs="Times New Roman"/>
                <w:color w:val="0000FF"/>
                <w:sz w:val="16"/>
                <w:szCs w:val="16"/>
              </w:rPr>
              <w:t>205.3</w:t>
            </w:r>
          </w:p>
        </w:tc>
        <w:tc>
          <w:tcPr>
            <w:tcW w:w="330" w:type="pct"/>
            <w:tcBorders>
              <w:bottom w:val="double" w:color="auto" w:sz="4" w:space="0"/>
            </w:tcBorders>
            <w:shd w:val="clear" w:color="auto" w:fill="auto"/>
            <w:vAlign w:val="center"/>
          </w:tcPr>
          <w:p w14:paraId="44D58588">
            <w:pPr>
              <w:widowControl w:val="0"/>
              <w:jc w:val="center"/>
              <w:rPr>
                <w:rFonts w:hint="default" w:ascii="Times New Roman" w:hAnsi="Times New Roman" w:eastAsia="宋体" w:cs="Times New Roman"/>
                <w:color w:val="0000FF"/>
                <w:sz w:val="16"/>
                <w:szCs w:val="16"/>
              </w:rPr>
            </w:pPr>
            <w:r>
              <w:rPr>
                <w:rFonts w:hint="default" w:ascii="Times New Roman" w:hAnsi="Times New Roman" w:eastAsia="宋体" w:cs="Times New Roman"/>
                <w:color w:val="0000FF"/>
                <w:sz w:val="16"/>
                <w:szCs w:val="16"/>
              </w:rPr>
              <w:t>246.8</w:t>
            </w:r>
          </w:p>
        </w:tc>
        <w:tc>
          <w:tcPr>
            <w:tcW w:w="330" w:type="pct"/>
            <w:tcBorders>
              <w:bottom w:val="double" w:color="auto" w:sz="4" w:space="0"/>
            </w:tcBorders>
            <w:shd w:val="clear" w:color="auto" w:fill="auto"/>
            <w:vAlign w:val="center"/>
          </w:tcPr>
          <w:p w14:paraId="79CE59CF">
            <w:pPr>
              <w:widowControl w:val="0"/>
              <w:jc w:val="center"/>
              <w:rPr>
                <w:rFonts w:hint="default" w:ascii="Times New Roman" w:hAnsi="Times New Roman" w:eastAsia="宋体" w:cs="Times New Roman"/>
                <w:color w:val="0000FF"/>
                <w:sz w:val="16"/>
                <w:szCs w:val="16"/>
              </w:rPr>
            </w:pPr>
            <w:r>
              <w:rPr>
                <w:rFonts w:hint="default" w:ascii="Times New Roman" w:hAnsi="Times New Roman" w:eastAsia="宋体" w:cs="Times New Roman"/>
                <w:color w:val="0000FF"/>
                <w:sz w:val="16"/>
                <w:szCs w:val="16"/>
              </w:rPr>
              <w:t>244.4</w:t>
            </w:r>
          </w:p>
        </w:tc>
        <w:tc>
          <w:tcPr>
            <w:tcW w:w="330" w:type="pct"/>
            <w:tcBorders>
              <w:bottom w:val="double" w:color="auto" w:sz="4" w:space="0"/>
            </w:tcBorders>
            <w:shd w:val="clear" w:color="auto" w:fill="auto"/>
            <w:vAlign w:val="center"/>
          </w:tcPr>
          <w:p w14:paraId="399AE12A">
            <w:pPr>
              <w:widowControl w:val="0"/>
              <w:jc w:val="center"/>
              <w:rPr>
                <w:rFonts w:hint="default" w:ascii="Times New Roman" w:hAnsi="Times New Roman" w:eastAsia="宋体" w:cs="Times New Roman"/>
                <w:color w:val="0000FF"/>
                <w:sz w:val="16"/>
                <w:szCs w:val="16"/>
              </w:rPr>
            </w:pPr>
            <w:r>
              <w:rPr>
                <w:rFonts w:hint="default" w:ascii="Times New Roman" w:hAnsi="Times New Roman" w:eastAsia="宋体" w:cs="Times New Roman"/>
                <w:color w:val="0000FF"/>
                <w:sz w:val="16"/>
                <w:szCs w:val="16"/>
              </w:rPr>
              <w:t>265.7</w:t>
            </w:r>
          </w:p>
        </w:tc>
        <w:tc>
          <w:tcPr>
            <w:tcW w:w="330" w:type="pct"/>
            <w:tcBorders>
              <w:bottom w:val="double" w:color="auto" w:sz="4" w:space="0"/>
            </w:tcBorders>
            <w:shd w:val="clear" w:color="auto" w:fill="auto"/>
            <w:vAlign w:val="center"/>
          </w:tcPr>
          <w:p w14:paraId="15C1B5E4">
            <w:pPr>
              <w:widowControl w:val="0"/>
              <w:jc w:val="center"/>
              <w:rPr>
                <w:rFonts w:hint="default" w:ascii="Times New Roman" w:hAnsi="Times New Roman" w:eastAsia="宋体" w:cs="Times New Roman"/>
                <w:color w:val="0000FF"/>
                <w:sz w:val="16"/>
                <w:szCs w:val="16"/>
              </w:rPr>
            </w:pPr>
            <w:r>
              <w:rPr>
                <w:rFonts w:hint="default" w:ascii="Times New Roman" w:hAnsi="Times New Roman" w:eastAsia="宋体" w:cs="Times New Roman"/>
                <w:color w:val="0000FF"/>
                <w:sz w:val="16"/>
                <w:szCs w:val="16"/>
              </w:rPr>
              <w:t>220.8</w:t>
            </w:r>
          </w:p>
        </w:tc>
        <w:tc>
          <w:tcPr>
            <w:tcW w:w="330" w:type="pct"/>
            <w:tcBorders>
              <w:bottom w:val="double" w:color="auto" w:sz="4" w:space="0"/>
            </w:tcBorders>
            <w:shd w:val="clear" w:color="auto" w:fill="auto"/>
            <w:vAlign w:val="center"/>
          </w:tcPr>
          <w:p w14:paraId="55711F8A">
            <w:pPr>
              <w:widowControl w:val="0"/>
              <w:jc w:val="center"/>
              <w:rPr>
                <w:rFonts w:hint="default" w:ascii="Times New Roman" w:hAnsi="Times New Roman" w:eastAsia="宋体" w:cs="Times New Roman"/>
                <w:color w:val="0000FF"/>
                <w:sz w:val="16"/>
                <w:szCs w:val="16"/>
              </w:rPr>
            </w:pPr>
            <w:r>
              <w:rPr>
                <w:rFonts w:hint="default" w:ascii="Times New Roman" w:hAnsi="Times New Roman" w:eastAsia="宋体" w:cs="Times New Roman"/>
                <w:color w:val="0000FF"/>
                <w:sz w:val="16"/>
                <w:szCs w:val="16"/>
              </w:rPr>
              <w:t>193.0</w:t>
            </w:r>
          </w:p>
        </w:tc>
        <w:tc>
          <w:tcPr>
            <w:tcW w:w="330" w:type="pct"/>
            <w:tcBorders>
              <w:bottom w:val="double" w:color="auto" w:sz="4" w:space="0"/>
            </w:tcBorders>
            <w:shd w:val="clear" w:color="auto" w:fill="auto"/>
            <w:vAlign w:val="center"/>
          </w:tcPr>
          <w:p w14:paraId="6D219A37">
            <w:pPr>
              <w:widowControl w:val="0"/>
              <w:jc w:val="center"/>
              <w:rPr>
                <w:rFonts w:hint="default" w:ascii="Times New Roman" w:hAnsi="Times New Roman" w:eastAsia="宋体" w:cs="Times New Roman"/>
                <w:color w:val="0000FF"/>
                <w:sz w:val="16"/>
                <w:szCs w:val="16"/>
              </w:rPr>
            </w:pPr>
            <w:r>
              <w:rPr>
                <w:rFonts w:hint="default" w:ascii="Times New Roman" w:hAnsi="Times New Roman" w:eastAsia="宋体" w:cs="Times New Roman"/>
                <w:color w:val="0000FF"/>
                <w:sz w:val="16"/>
                <w:szCs w:val="16"/>
              </w:rPr>
              <w:t>199.7</w:t>
            </w:r>
          </w:p>
        </w:tc>
        <w:tc>
          <w:tcPr>
            <w:tcW w:w="330" w:type="pct"/>
            <w:tcBorders>
              <w:bottom w:val="double" w:color="auto" w:sz="4" w:space="0"/>
            </w:tcBorders>
            <w:shd w:val="clear" w:color="auto" w:fill="auto"/>
            <w:vAlign w:val="center"/>
          </w:tcPr>
          <w:p w14:paraId="5A03DCEB">
            <w:pPr>
              <w:widowControl w:val="0"/>
              <w:jc w:val="center"/>
              <w:rPr>
                <w:rFonts w:hint="default" w:ascii="Times New Roman" w:hAnsi="Times New Roman" w:eastAsia="宋体" w:cs="Times New Roman"/>
                <w:color w:val="0000FF"/>
                <w:sz w:val="16"/>
                <w:szCs w:val="16"/>
              </w:rPr>
            </w:pPr>
            <w:r>
              <w:rPr>
                <w:rFonts w:hint="default" w:ascii="Times New Roman" w:hAnsi="Times New Roman" w:eastAsia="宋体" w:cs="Times New Roman"/>
                <w:color w:val="0000FF"/>
                <w:sz w:val="16"/>
                <w:szCs w:val="16"/>
              </w:rPr>
              <w:t>227.9</w:t>
            </w:r>
          </w:p>
        </w:tc>
        <w:tc>
          <w:tcPr>
            <w:tcW w:w="330" w:type="pct"/>
            <w:tcBorders>
              <w:bottom w:val="double" w:color="auto" w:sz="4" w:space="0"/>
            </w:tcBorders>
            <w:shd w:val="clear" w:color="auto" w:fill="auto"/>
            <w:vAlign w:val="center"/>
          </w:tcPr>
          <w:p w14:paraId="0C411637">
            <w:pPr>
              <w:widowControl w:val="0"/>
              <w:jc w:val="center"/>
              <w:rPr>
                <w:rFonts w:hint="default" w:ascii="Times New Roman" w:hAnsi="Times New Roman" w:eastAsia="宋体" w:cs="Times New Roman"/>
                <w:color w:val="0000FF"/>
                <w:sz w:val="16"/>
                <w:szCs w:val="16"/>
              </w:rPr>
            </w:pPr>
            <w:r>
              <w:rPr>
                <w:rFonts w:hint="default" w:ascii="Times New Roman" w:hAnsi="Times New Roman" w:eastAsia="宋体" w:cs="Times New Roman"/>
                <w:color w:val="0000FF"/>
                <w:sz w:val="16"/>
                <w:szCs w:val="16"/>
              </w:rPr>
              <w:t>219.5</w:t>
            </w:r>
          </w:p>
        </w:tc>
        <w:tc>
          <w:tcPr>
            <w:tcW w:w="330" w:type="pct"/>
            <w:tcBorders>
              <w:bottom w:val="double" w:color="auto" w:sz="4" w:space="0"/>
            </w:tcBorders>
            <w:shd w:val="clear" w:color="auto" w:fill="auto"/>
            <w:vAlign w:val="center"/>
          </w:tcPr>
          <w:p w14:paraId="71F19D8E">
            <w:pPr>
              <w:widowControl w:val="0"/>
              <w:jc w:val="center"/>
              <w:rPr>
                <w:rFonts w:hint="default" w:ascii="Times New Roman" w:hAnsi="Times New Roman" w:eastAsia="宋体" w:cs="Times New Roman"/>
                <w:color w:val="0000FF"/>
                <w:sz w:val="16"/>
                <w:szCs w:val="16"/>
              </w:rPr>
            </w:pPr>
            <w:r>
              <w:rPr>
                <w:rFonts w:hint="default" w:ascii="Times New Roman" w:hAnsi="Times New Roman" w:eastAsia="宋体" w:cs="Times New Roman"/>
                <w:color w:val="0000FF"/>
                <w:sz w:val="16"/>
                <w:szCs w:val="16"/>
              </w:rPr>
              <w:t>171.9</w:t>
            </w:r>
          </w:p>
        </w:tc>
        <w:tc>
          <w:tcPr>
            <w:tcW w:w="330" w:type="pct"/>
            <w:tcBorders>
              <w:bottom w:val="double" w:color="auto" w:sz="4" w:space="0"/>
            </w:tcBorders>
            <w:shd w:val="clear" w:color="auto" w:fill="auto"/>
            <w:vAlign w:val="center"/>
          </w:tcPr>
          <w:p w14:paraId="020CE76B">
            <w:pPr>
              <w:widowControl w:val="0"/>
              <w:jc w:val="center"/>
              <w:rPr>
                <w:rFonts w:hint="default" w:ascii="Times New Roman" w:hAnsi="Times New Roman" w:eastAsia="宋体" w:cs="Times New Roman"/>
                <w:color w:val="0000FF"/>
                <w:sz w:val="16"/>
                <w:szCs w:val="16"/>
              </w:rPr>
            </w:pPr>
            <w:r>
              <w:rPr>
                <w:rFonts w:hint="default" w:ascii="Times New Roman" w:hAnsi="Times New Roman" w:eastAsia="宋体" w:cs="Times New Roman"/>
                <w:color w:val="0000FF"/>
                <w:sz w:val="16"/>
                <w:szCs w:val="16"/>
              </w:rPr>
              <w:t>184.7</w:t>
            </w:r>
          </w:p>
        </w:tc>
        <w:tc>
          <w:tcPr>
            <w:tcW w:w="376" w:type="pct"/>
            <w:tcBorders>
              <w:bottom w:val="double" w:color="auto" w:sz="4" w:space="0"/>
              <w:right w:val="nil"/>
            </w:tcBorders>
            <w:shd w:val="clear" w:color="auto" w:fill="auto"/>
            <w:vAlign w:val="center"/>
          </w:tcPr>
          <w:p w14:paraId="38998B64">
            <w:pPr>
              <w:widowControl w:val="0"/>
              <w:jc w:val="center"/>
              <w:rPr>
                <w:rFonts w:hint="default" w:ascii="Times New Roman" w:hAnsi="Times New Roman" w:eastAsia="宋体" w:cs="Times New Roman"/>
                <w:color w:val="0000FF"/>
                <w:sz w:val="16"/>
                <w:szCs w:val="16"/>
              </w:rPr>
            </w:pPr>
            <w:r>
              <w:rPr>
                <w:rFonts w:hint="default" w:ascii="Times New Roman" w:hAnsi="Times New Roman" w:eastAsia="宋体" w:cs="Times New Roman"/>
                <w:color w:val="0000FF"/>
                <w:sz w:val="16"/>
                <w:szCs w:val="16"/>
              </w:rPr>
              <w:t>2564.0</w:t>
            </w:r>
          </w:p>
        </w:tc>
      </w:tr>
    </w:tbl>
    <w:p w14:paraId="35164400">
      <w:pPr>
        <w:pStyle w:val="7"/>
      </w:pPr>
      <w:bookmarkStart w:id="446" w:name="_Toc90026294"/>
      <w:bookmarkStart w:id="447" w:name="_Toc23421"/>
      <w:r>
        <w:rPr>
          <w:rFonts w:hint="eastAsia"/>
          <w:lang w:eastAsia="zh-CN"/>
        </w:rPr>
        <w:t>5</w:t>
      </w:r>
      <w:r>
        <w:t>.1.</w:t>
      </w:r>
      <w:r>
        <w:rPr>
          <w:lang w:eastAsia="zh-CN"/>
        </w:rPr>
        <w:t>5</w:t>
      </w:r>
      <w:r>
        <w:t xml:space="preserve"> 地形数据参数</w:t>
      </w:r>
      <w:bookmarkEnd w:id="446"/>
      <w:bookmarkEnd w:id="447"/>
    </w:p>
    <w:p w14:paraId="1752D17C">
      <w:pPr>
        <w:keepNext w:val="0"/>
        <w:keepLines w:val="0"/>
        <w:pageBreakBefore w:val="0"/>
        <w:widowControl w:val="0"/>
        <w:kinsoku/>
        <w:wordWrap/>
        <w:overflowPunct/>
        <w:topLinePunct w:val="0"/>
        <w:autoSpaceDE/>
        <w:autoSpaceDN/>
        <w:bidi w:val="0"/>
        <w:adjustRightInd/>
        <w:snapToGrid w:val="0"/>
        <w:spacing w:line="360" w:lineRule="auto"/>
        <w:ind w:firstLine="480"/>
        <w:textAlignment w:val="auto"/>
        <w:rPr>
          <w:rFonts w:hint="default" w:ascii="Times New Roman" w:hAnsi="Times New Roman" w:eastAsia="宋体" w:cs="Times New Roman"/>
          <w:color w:val="0000FF"/>
          <w:kern w:val="2"/>
          <w:sz w:val="24"/>
          <w:szCs w:val="22"/>
          <w:highlight w:val="none"/>
          <w:lang w:val="en-US" w:eastAsia="zh-CN" w:bidi="ar-SA"/>
        </w:rPr>
      </w:pPr>
      <w:r>
        <w:rPr>
          <w:rFonts w:hint="default" w:ascii="Times New Roman" w:hAnsi="Times New Roman" w:eastAsia="宋体" w:cs="Times New Roman"/>
          <w:color w:val="0000FF"/>
          <w:kern w:val="2"/>
          <w:sz w:val="24"/>
          <w:szCs w:val="22"/>
          <w:highlight w:val="none"/>
          <w:lang w:val="en-US" w:eastAsia="zh-CN" w:bidi="ar-SA"/>
        </w:rPr>
        <w:t>地形数据来源于http://srtm.csi.cgiar.org/，数据精度为3 秒（约90m），即东西向网格间距：3 (秒)，南北向网格间距：3 (秒)，区域四个顶点的坐标(经度，纬度)，单位:度</w:t>
      </w:r>
    </w:p>
    <w:p w14:paraId="08D0CC84">
      <w:pPr>
        <w:pStyle w:val="135"/>
        <w:keepNext w:val="0"/>
        <w:keepLines w:val="0"/>
        <w:pageBreakBefore w:val="0"/>
        <w:widowControl/>
        <w:numPr>
          <w:ilvl w:val="0"/>
          <w:numId w:val="0"/>
        </w:numPr>
        <w:kinsoku/>
        <w:wordWrap/>
        <w:overflowPunct/>
        <w:topLinePunct w:val="0"/>
        <w:autoSpaceDE/>
        <w:autoSpaceDN/>
        <w:bidi w:val="0"/>
        <w:adjustRightInd/>
        <w:snapToGrid w:val="0"/>
        <w:spacing w:line="360" w:lineRule="auto"/>
        <w:contextualSpacing/>
        <w:textAlignment w:val="auto"/>
        <w:rPr>
          <w:rFonts w:hint="default" w:ascii="Times New Roman" w:hAnsi="Times New Roman" w:eastAsia="宋体" w:cs="Times New Roman"/>
          <w:color w:val="0000FF"/>
          <w:kern w:val="2"/>
          <w:sz w:val="24"/>
          <w:szCs w:val="22"/>
          <w:highlight w:val="none"/>
          <w:lang w:val="en-US" w:eastAsia="zh-CN" w:bidi="ar-SA"/>
        </w:rPr>
      </w:pPr>
      <w:r>
        <w:rPr>
          <w:rFonts w:hint="default" w:ascii="Times New Roman" w:hAnsi="Times New Roman" w:eastAsia="宋体" w:cs="Times New Roman"/>
          <w:color w:val="0000FF"/>
          <w:kern w:val="2"/>
          <w:sz w:val="24"/>
          <w:szCs w:val="22"/>
          <w:highlight w:val="none"/>
          <w:lang w:val="en-US" w:eastAsia="zh-CN" w:bidi="ar-SA"/>
        </w:rPr>
        <w:t>西北角(123.482916666667,41.20625)    东北角(124.17875,41.20625)</w:t>
      </w:r>
    </w:p>
    <w:p w14:paraId="544CBC17">
      <w:pPr>
        <w:pStyle w:val="135"/>
        <w:keepNext w:val="0"/>
        <w:keepLines w:val="0"/>
        <w:pageBreakBefore w:val="0"/>
        <w:widowControl/>
        <w:numPr>
          <w:ilvl w:val="0"/>
          <w:numId w:val="0"/>
        </w:numPr>
        <w:kinsoku/>
        <w:wordWrap/>
        <w:overflowPunct/>
        <w:topLinePunct w:val="0"/>
        <w:autoSpaceDE/>
        <w:autoSpaceDN/>
        <w:bidi w:val="0"/>
        <w:adjustRightInd/>
        <w:snapToGrid w:val="0"/>
        <w:spacing w:line="360" w:lineRule="auto"/>
        <w:contextualSpacing/>
        <w:textAlignment w:val="auto"/>
        <w:rPr>
          <w:rFonts w:hint="default" w:ascii="Times New Roman" w:hAnsi="Times New Roman" w:eastAsia="宋体" w:cs="Times New Roman"/>
          <w:color w:val="0000FF"/>
          <w:kern w:val="2"/>
          <w:sz w:val="24"/>
          <w:szCs w:val="22"/>
          <w:highlight w:val="none"/>
          <w:lang w:val="en-US" w:eastAsia="zh-CN" w:bidi="ar-SA"/>
        </w:rPr>
      </w:pPr>
      <w:r>
        <w:rPr>
          <w:rFonts w:hint="default" w:ascii="Times New Roman" w:hAnsi="Times New Roman" w:eastAsia="宋体" w:cs="Times New Roman"/>
          <w:color w:val="0000FF"/>
          <w:kern w:val="2"/>
          <w:sz w:val="24"/>
          <w:szCs w:val="22"/>
          <w:highlight w:val="none"/>
          <w:lang w:val="en-US" w:eastAsia="zh-CN" w:bidi="ar-SA"/>
        </w:rPr>
        <w:t>西南角(123.482916666667,40.6554167)    东南角(124.17875,40.6554167)</w:t>
      </w:r>
    </w:p>
    <w:p w14:paraId="16BE4C11">
      <w:pPr>
        <w:pStyle w:val="135"/>
        <w:keepNext w:val="0"/>
        <w:keepLines w:val="0"/>
        <w:pageBreakBefore w:val="0"/>
        <w:widowControl/>
        <w:numPr>
          <w:ilvl w:val="0"/>
          <w:numId w:val="0"/>
        </w:numPr>
        <w:kinsoku/>
        <w:wordWrap/>
        <w:overflowPunct/>
        <w:topLinePunct w:val="0"/>
        <w:autoSpaceDE/>
        <w:autoSpaceDN/>
        <w:bidi w:val="0"/>
        <w:adjustRightInd/>
        <w:snapToGrid w:val="0"/>
        <w:spacing w:line="360" w:lineRule="auto"/>
        <w:contextualSpacing/>
        <w:textAlignment w:val="auto"/>
        <w:rPr>
          <w:rFonts w:hint="default" w:ascii="Times New Roman" w:hAnsi="Times New Roman" w:eastAsia="宋体" w:cs="Times New Roman"/>
          <w:color w:val="0000FF"/>
          <w:kern w:val="2"/>
          <w:sz w:val="24"/>
          <w:szCs w:val="22"/>
          <w:highlight w:val="none"/>
          <w:lang w:val="en-US" w:eastAsia="zh-CN" w:bidi="ar-SA"/>
        </w:rPr>
      </w:pPr>
      <w:r>
        <w:rPr>
          <w:rFonts w:hint="default" w:ascii="Times New Roman" w:hAnsi="Times New Roman" w:eastAsia="宋体" w:cs="Times New Roman"/>
          <w:color w:val="0000FF"/>
          <w:kern w:val="2"/>
          <w:sz w:val="24"/>
          <w:szCs w:val="22"/>
          <w:highlight w:val="none"/>
          <w:lang w:val="en-US" w:eastAsia="zh-CN" w:bidi="ar-SA"/>
        </w:rPr>
        <w:t>高程最小值:</w:t>
      </w:r>
      <w:r>
        <w:rPr>
          <w:rFonts w:hint="eastAsia" w:ascii="Times New Roman" w:hAnsi="Times New Roman" w:cs="Times New Roman"/>
          <w:color w:val="0000FF"/>
          <w:kern w:val="2"/>
          <w:sz w:val="24"/>
          <w:szCs w:val="22"/>
          <w:highlight w:val="none"/>
          <w:lang w:val="en-US" w:eastAsia="zh-CN" w:bidi="ar-SA"/>
        </w:rPr>
        <w:t>91</w:t>
      </w:r>
      <w:r>
        <w:rPr>
          <w:rFonts w:hint="default" w:ascii="Times New Roman" w:hAnsi="Times New Roman" w:eastAsia="宋体" w:cs="Times New Roman"/>
          <w:color w:val="0000FF"/>
          <w:kern w:val="2"/>
          <w:sz w:val="24"/>
          <w:szCs w:val="22"/>
          <w:highlight w:val="none"/>
          <w:lang w:val="en-US" w:eastAsia="zh-CN" w:bidi="ar-SA"/>
        </w:rPr>
        <w:t>(m)，高程最大值:</w:t>
      </w:r>
      <w:r>
        <w:rPr>
          <w:rFonts w:hint="default" w:ascii="Times New Roman" w:hAnsi="Times New Roman" w:cs="Times New Roman"/>
          <w:color w:val="0000FF"/>
          <w:kern w:val="2"/>
          <w:sz w:val="24"/>
          <w:szCs w:val="22"/>
          <w:highlight w:val="none"/>
          <w:lang w:val="en-US" w:eastAsia="zh-CN" w:bidi="ar-SA"/>
        </w:rPr>
        <w:t>1</w:t>
      </w:r>
      <w:r>
        <w:rPr>
          <w:rFonts w:hint="eastAsia" w:ascii="Times New Roman" w:hAnsi="Times New Roman" w:cs="Times New Roman"/>
          <w:color w:val="0000FF"/>
          <w:kern w:val="2"/>
          <w:sz w:val="24"/>
          <w:szCs w:val="22"/>
          <w:highlight w:val="none"/>
          <w:lang w:val="en-US" w:eastAsia="zh-CN" w:bidi="ar-SA"/>
        </w:rPr>
        <w:t>183</w:t>
      </w:r>
      <w:r>
        <w:rPr>
          <w:rFonts w:hint="default" w:ascii="Times New Roman" w:hAnsi="Times New Roman" w:eastAsia="宋体" w:cs="Times New Roman"/>
          <w:color w:val="0000FF"/>
          <w:kern w:val="2"/>
          <w:sz w:val="24"/>
          <w:szCs w:val="22"/>
          <w:highlight w:val="none"/>
          <w:lang w:val="en-US" w:eastAsia="zh-CN" w:bidi="ar-SA"/>
        </w:rPr>
        <w:t>m)，地形数据范围涵盖评价范围。</w:t>
      </w:r>
    </w:p>
    <w:p w14:paraId="5328D4D8">
      <w:pPr>
        <w:pStyle w:val="135"/>
        <w:keepNext w:val="0"/>
        <w:keepLines w:val="0"/>
        <w:pageBreakBefore w:val="0"/>
        <w:widowControl/>
        <w:numPr>
          <w:ilvl w:val="0"/>
          <w:numId w:val="0"/>
        </w:numPr>
        <w:kinsoku/>
        <w:wordWrap/>
        <w:overflowPunct/>
        <w:topLinePunct w:val="0"/>
        <w:autoSpaceDE/>
        <w:autoSpaceDN/>
        <w:bidi w:val="0"/>
        <w:adjustRightInd/>
        <w:snapToGrid w:val="0"/>
        <w:spacing w:line="360" w:lineRule="auto"/>
        <w:contextualSpacing/>
        <w:jc w:val="center"/>
        <w:textAlignment w:val="auto"/>
        <w:rPr>
          <w:rFonts w:hint="default" w:ascii="Times New Roman" w:hAnsi="Times New Roman" w:eastAsia="宋体" w:cs="Times New Roman"/>
          <w:color w:val="0000FF"/>
          <w:kern w:val="2"/>
          <w:sz w:val="24"/>
          <w:szCs w:val="22"/>
          <w:highlight w:val="none"/>
          <w:lang w:val="en-US" w:eastAsia="zh-CN" w:bidi="ar-SA"/>
        </w:rPr>
      </w:pPr>
      <w:r>
        <w:rPr>
          <w:rFonts w:hint="default" w:ascii="Times New Roman" w:hAnsi="Times New Roman" w:eastAsia="宋体" w:cs="Times New Roman"/>
          <w:color w:val="0000FF"/>
          <w:kern w:val="2"/>
          <w:sz w:val="24"/>
          <w:szCs w:val="22"/>
          <w:highlight w:val="none"/>
          <w:lang w:val="en-US" w:eastAsia="zh-CN" w:bidi="ar-SA"/>
        </w:rPr>
        <w:drawing>
          <wp:inline distT="0" distB="0" distL="114300" distR="114300">
            <wp:extent cx="5299710" cy="4175760"/>
            <wp:effectExtent l="0" t="0" r="15240" b="15240"/>
            <wp:docPr id="90" name="图片 90" descr="底图处理 拷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图片 90" descr="底图处理 拷贝"/>
                    <pic:cNvPicPr>
                      <a:picLocks noChangeAspect="1"/>
                    </pic:cNvPicPr>
                  </pic:nvPicPr>
                  <pic:blipFill>
                    <a:blip r:embed="rId32"/>
                    <a:srcRect t="4718" b="4948"/>
                    <a:stretch>
                      <a:fillRect/>
                    </a:stretch>
                  </pic:blipFill>
                  <pic:spPr>
                    <a:xfrm>
                      <a:off x="0" y="0"/>
                      <a:ext cx="5299710" cy="4175760"/>
                    </a:xfrm>
                    <a:prstGeom prst="rect">
                      <a:avLst/>
                    </a:prstGeom>
                  </pic:spPr>
                </pic:pic>
              </a:graphicData>
            </a:graphic>
          </wp:inline>
        </w:drawing>
      </w:r>
    </w:p>
    <w:p w14:paraId="703D27F2">
      <w:pPr>
        <w:adjustRightInd w:val="0"/>
        <w:snapToGrid w:val="0"/>
        <w:jc w:val="center"/>
        <w:rPr>
          <w:rFonts w:hint="default" w:ascii="Times New Roman" w:hAnsi="Times New Roman" w:eastAsia="黑体" w:cs="Times New Roman"/>
          <w:color w:val="0000FF"/>
          <w:lang w:val="en-US" w:eastAsia="zh-CN"/>
        </w:rPr>
      </w:pPr>
      <w:r>
        <w:rPr>
          <w:rFonts w:hint="default" w:ascii="Times New Roman" w:hAnsi="Times New Roman" w:eastAsia="黑体" w:cs="Times New Roman"/>
          <w:color w:val="0000FF"/>
          <w:lang w:val="en-US" w:eastAsia="zh-CN"/>
        </w:rPr>
        <w:t>图</w:t>
      </w:r>
      <w:r>
        <w:rPr>
          <w:rFonts w:hint="eastAsia" w:ascii="Times New Roman" w:hAnsi="Times New Roman" w:eastAsia="黑体" w:cs="Times New Roman"/>
          <w:color w:val="0000FF"/>
          <w:lang w:val="en-US" w:eastAsia="zh-CN"/>
        </w:rPr>
        <w:t>5.1-5</w:t>
      </w:r>
      <w:r>
        <w:rPr>
          <w:rFonts w:hint="default" w:ascii="Times New Roman" w:hAnsi="Times New Roman" w:eastAsia="黑体" w:cs="Times New Roman"/>
          <w:color w:val="0000FF"/>
          <w:lang w:val="en-US" w:eastAsia="zh-CN"/>
        </w:rPr>
        <w:t xml:space="preserve"> 本项目大气评价范围图</w:t>
      </w:r>
    </w:p>
    <w:p w14:paraId="56DC2CCF">
      <w:pPr>
        <w:pStyle w:val="135"/>
        <w:keepNext w:val="0"/>
        <w:keepLines w:val="0"/>
        <w:pageBreakBefore w:val="0"/>
        <w:widowControl/>
        <w:numPr>
          <w:ilvl w:val="0"/>
          <w:numId w:val="0"/>
        </w:numPr>
        <w:kinsoku/>
        <w:wordWrap/>
        <w:overflowPunct/>
        <w:topLinePunct w:val="0"/>
        <w:autoSpaceDE/>
        <w:autoSpaceDN/>
        <w:bidi w:val="0"/>
        <w:adjustRightInd/>
        <w:snapToGrid w:val="0"/>
        <w:spacing w:line="360" w:lineRule="auto"/>
        <w:contextualSpacing/>
        <w:jc w:val="center"/>
        <w:textAlignment w:val="auto"/>
        <w:rPr>
          <w:rFonts w:hint="default" w:ascii="Times New Roman" w:hAnsi="Times New Roman" w:cs="Times New Roman"/>
          <w:b/>
          <w:color w:val="auto"/>
          <w:highlight w:val="none"/>
        </w:rPr>
      </w:pPr>
    </w:p>
    <w:p w14:paraId="4DAD1C12">
      <w:pPr>
        <w:pStyle w:val="135"/>
        <w:keepNext w:val="0"/>
        <w:keepLines w:val="0"/>
        <w:pageBreakBefore w:val="0"/>
        <w:widowControl/>
        <w:numPr>
          <w:ilvl w:val="0"/>
          <w:numId w:val="0"/>
        </w:numPr>
        <w:kinsoku/>
        <w:wordWrap/>
        <w:overflowPunct/>
        <w:topLinePunct w:val="0"/>
        <w:autoSpaceDE/>
        <w:autoSpaceDN/>
        <w:bidi w:val="0"/>
        <w:adjustRightInd/>
        <w:snapToGrid w:val="0"/>
        <w:spacing w:line="360" w:lineRule="auto"/>
        <w:contextualSpacing/>
        <w:jc w:val="center"/>
        <w:textAlignment w:val="auto"/>
        <w:rPr>
          <w:rFonts w:hint="default" w:ascii="Times New Roman" w:hAnsi="Times New Roman" w:cs="Times New Roman"/>
          <w:b/>
          <w:color w:val="auto"/>
          <w:highlight w:val="none"/>
        </w:rPr>
      </w:pPr>
      <w:r>
        <w:rPr>
          <w:rFonts w:hint="default" w:ascii="Times New Roman" w:hAnsi="Times New Roman" w:cs="Times New Roman"/>
          <w:color w:val="auto"/>
          <w:sz w:val="24"/>
        </w:rPr>
        <mc:AlternateContent>
          <mc:Choice Requires="wps">
            <w:drawing>
              <wp:anchor distT="0" distB="0" distL="114300" distR="114300" simplePos="0" relativeHeight="251722752" behindDoc="0" locked="0" layoutInCell="1" allowOverlap="1">
                <wp:simplePos x="0" y="0"/>
                <wp:positionH relativeFrom="column">
                  <wp:posOffset>1345565</wp:posOffset>
                </wp:positionH>
                <wp:positionV relativeFrom="paragraph">
                  <wp:posOffset>1225550</wp:posOffset>
                </wp:positionV>
                <wp:extent cx="1238885" cy="398145"/>
                <wp:effectExtent l="0" t="0" r="0" b="0"/>
                <wp:wrapNone/>
                <wp:docPr id="98" name="文本框 98"/>
                <wp:cNvGraphicFramePr/>
                <a:graphic xmlns:a="http://schemas.openxmlformats.org/drawingml/2006/main">
                  <a:graphicData uri="http://schemas.microsoft.com/office/word/2010/wordprocessingShape">
                    <wps:wsp>
                      <wps:cNvSpPr txBox="1"/>
                      <wps:spPr>
                        <a:xfrm>
                          <a:off x="0" y="0"/>
                          <a:ext cx="1238885" cy="39814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285DAF2">
                            <w:pPr>
                              <w:rPr>
                                <w:rFonts w:hint="eastAsia" w:eastAsiaTheme="minorEastAsia"/>
                                <w:b/>
                                <w:bCs/>
                                <w:lang w:val="en-US" w:eastAsia="zh-CN"/>
                              </w:rPr>
                            </w:pPr>
                            <w:r>
                              <w:rPr>
                                <w:rFonts w:hint="eastAsia"/>
                                <w:b/>
                                <w:bCs/>
                                <w:lang w:val="en-US" w:eastAsia="zh-CN"/>
                              </w:rPr>
                              <w:t>项目位置</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05.95pt;margin-top:96.5pt;height:31.35pt;width:97.55pt;z-index:251722752;mso-width-relative:page;mso-height-relative:page;" filled="f" stroked="f" coordsize="21600,21600" o:gfxdata="UEsDBAoAAAAAAIdO4kAAAAAAAAAAAAAAAAAEAAAAZHJzL1BLAwQUAAAACACHTuJAyfHosdsAAAAL&#10;AQAADwAAAGRycy9kb3ducmV2LnhtbE2PzU7DMBCE70i8g7VI3KidQGgb4lQoUoWE4NDSCzcn3iYR&#10;8TrE7g88PcsJbjua0ew3xersBnHEKfSeNCQzBQKp8banVsPubX2zABGiIWsGT6jhCwOsysuLwuTW&#10;n2iDx21sBZdQyI2GLsYxlzI0HToTZn5EYm/vJ2ciy6mVdjInLneDTJW6l870xB86M2LVYfOxPTgN&#10;z9X61Wzq1C2+h+rpZf84fu7eM62vrxL1ACLiOf6F4Ref0aFkptofyAYxaEiTZMlRNpa3PIoTd2rO&#10;R81Wls1BloX8v6H8AVBLAwQUAAAACACHTuJAxEAYKj0CAABoBAAADgAAAGRycy9lMm9Eb2MueG1s&#10;rVTNjtMwEL4j8Q6W7zT9Xdqq6apsVYRUsSsVxNl1nCaS7TG226Q8ALzBnrhw57n6HIydtFstHPbA&#10;xRl7xt/4+2Yms9taSXIQ1pWgU9rrdCkRmkNW6l1KP39avRlT4jzTGZOgRUqPwtHb+etXs8pMRR8K&#10;kJmwBEG0m1YmpYX3ZpokjhdCMdcBIzQ6c7CKedzaXZJZViG6kkm/271JKrCZscCFc3i6bJy0RbQv&#10;AYQ8L7lYAt8roX2DaoVkHim5ojSOzuNr81xwf5/nTngiU4pMfVwxCdrbsCbzGZvuLDNFydsnsJc8&#10;4RknxUqNSS9QS+YZ2dvyLyhVcgsOct/hoJKGSFQEWfS6z7TZFMyIyAWlduYiuvt/sPzj4cGSMkvp&#10;BOuumcKKnx5/nH7+Pv36TvAMBaqMm2LcxmCkr99BjW1zPnd4GHjXuVXhi4wI+lHe40VeUXvCw6X+&#10;YDwejyjh6BtMxr3hKMAkT7eNdf69AEWCkVKL5YuqssPa+Sb0HBKSaViVUsYSSk2qlN4MRt144eJB&#10;cKkxR+DQvDVYvt7WLbEtZEfkZaFpDWf4qsTka+b8A7PYC0gFp8Xf45JLwCTQWpQUYL/96zzEY4nQ&#10;S0mFvZVS93XPrKBEftBYvElvOAzNGDfD0ds+buy1Z3vt0Xt1B9i+PZxLw6MZ4r08m7kF9QWHahGy&#10;ootpjrlT6s/mnW86HoeSi8UiBmH7GebXemN4gG7kXOw95GVUOsjUaNOqhw0Ya9UOS+jw632MevpB&#10;zP8A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AAAAAGRycy9QSwECFAAUAAAACACHTuJAyfHosdsAAAALAQAADwAAAAAAAAABACAAAAAiAAAA&#10;ZHJzL2Rvd25yZXYueG1sUEsBAhQAFAAAAAgAh07iQMRAGCo9AgAAaAQAAA4AAAAAAAAAAQAgAAAA&#10;KgEAAGRycy9lMm9Eb2MueG1sUEsFBgAAAAAGAAYAWQEAANkFAAAAAA==&#10;">
                <v:fill on="f" focussize="0,0"/>
                <v:stroke on="f" weight="0.5pt"/>
                <v:imagedata o:title=""/>
                <o:lock v:ext="edit" aspectratio="f"/>
                <v:textbox>
                  <w:txbxContent>
                    <w:p w14:paraId="4285DAF2">
                      <w:pPr>
                        <w:rPr>
                          <w:rFonts w:hint="eastAsia" w:eastAsiaTheme="minorEastAsia"/>
                          <w:b/>
                          <w:bCs/>
                          <w:lang w:val="en-US" w:eastAsia="zh-CN"/>
                        </w:rPr>
                      </w:pPr>
                      <w:r>
                        <w:rPr>
                          <w:rFonts w:hint="eastAsia"/>
                          <w:b/>
                          <w:bCs/>
                          <w:lang w:val="en-US" w:eastAsia="zh-CN"/>
                        </w:rPr>
                        <w:t>项目位置</w:t>
                      </w:r>
                    </w:p>
                  </w:txbxContent>
                </v:textbox>
              </v:shape>
            </w:pict>
          </mc:Fallback>
        </mc:AlternateContent>
      </w:r>
      <w:r>
        <w:rPr>
          <w:rFonts w:hint="default" w:ascii="Times New Roman" w:hAnsi="Times New Roman" w:cs="Times New Roman"/>
          <w:color w:val="auto"/>
          <w:sz w:val="24"/>
        </w:rPr>
        <mc:AlternateContent>
          <mc:Choice Requires="wps">
            <w:drawing>
              <wp:anchor distT="0" distB="0" distL="114300" distR="114300" simplePos="0" relativeHeight="251723776" behindDoc="0" locked="0" layoutInCell="1" allowOverlap="1">
                <wp:simplePos x="0" y="0"/>
                <wp:positionH relativeFrom="column">
                  <wp:posOffset>2026285</wp:posOffset>
                </wp:positionH>
                <wp:positionV relativeFrom="paragraph">
                  <wp:posOffset>1631950</wp:posOffset>
                </wp:positionV>
                <wp:extent cx="107950" cy="107950"/>
                <wp:effectExtent l="12700" t="12700" r="12700" b="12700"/>
                <wp:wrapNone/>
                <wp:docPr id="99" name="五角星 99"/>
                <wp:cNvGraphicFramePr/>
                <a:graphic xmlns:a="http://schemas.openxmlformats.org/drawingml/2006/main">
                  <a:graphicData uri="http://schemas.microsoft.com/office/word/2010/wordprocessingShape">
                    <wps:wsp>
                      <wps:cNvSpPr/>
                      <wps:spPr>
                        <a:xfrm>
                          <a:off x="0" y="0"/>
                          <a:ext cx="107950" cy="107950"/>
                        </a:xfrm>
                        <a:prstGeom prst="star5">
                          <a:avLst/>
                        </a:prstGeom>
                        <a:solidFill>
                          <a:srgbClr val="00B050"/>
                        </a:solidFill>
                        <a:ln>
                          <a:solidFill>
                            <a:srgbClr val="00B050"/>
                          </a:solidFill>
                        </a:ln>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style="position:absolute;left:0pt;margin-left:159.55pt;margin-top:128.5pt;height:8.5pt;width:8.5pt;z-index:251723776;v-text-anchor:middle;mso-width-relative:page;mso-height-relative:page;" fillcolor="#00B050" filled="t" stroked="t" coordsize="107950,107950" o:gfxdata="UEsDBAoAAAAAAIdO4kAAAAAAAAAAAAAAAAAEAAAAZHJzL1BLAwQUAAAACACHTuJA/9zOwNkAAAAL&#10;AQAADwAAAGRycy9kb3ducmV2LnhtbE2PPU/DMBCGdyT+g3VIbNR2AikNcTogISEhBC0sbE7sxoH4&#10;HMVuUv49xwTjvffo/ai2Jz+w2U6xD6hArgQwi20wPXYK3t8erm6BxaTR6CGgVfBtI2zr87NKlyYs&#10;uLPzPnWMTDCWWoFLaSw5j62zXsdVGC3S7xAmrxOdU8fNpBcy9wPPhCi41z1SgtOjvXe2/dofvYLP&#10;5bV5efY7+bRp3Ec7P2aFP2RKXV5IcQcs2VP6g+G3PlWHmjo14YgmskFBLjeSUAXZzZpGEZHnBSkN&#10;KetrAbyu+P8N9Q9QSwMEFAAAAAgAh07iQKcWQJ5jAgAA4gQAAA4AAABkcnMvZTJvRG9jLnhtbK1U&#10;zW4TMRC+I/EOlu90N1FCSdRNFRoVIVW0UkGcHa83a8l/2E425TEQB2498g48D0I8Bp+921849MBl&#10;d8Yz/mbm82cfHe+1Ijvhg7SmoqODkhJhuK2l2VT0w/vTF68oCZGZmilrREWvRKDHi+fPjjo3F2Pb&#10;WlULTwBiwrxzFW1jdPOiCLwVmoUD64RBsLFeswjXb4rasw7oWhXjsnxZdNbXzlsuQsDqqg/SAdE/&#10;BdA2jeRiZflWCxN7VC8UixgptNIFusjdNo3g8bxpgohEVRSTxvxFEdjr9C0WR2y+8cy1kg8tsKe0&#10;8GgmzaRB0VuoFYuMbL38C0pL7m2wTTzgVhf9IJkRTDEqH3Fz2TIn8iygOrhb0sP/g+XvdheeyLqi&#10;sxklhmmc+M8fX39///Lr2zXBGgjqXJgj79Jd+MELMNO0+8br9MccZJ9JvbolVewj4VgclYezKejm&#10;CA02UIq7zc6H+EZYTZJRUWjPTzOXbHcWYp97k5OKBatkfSqVyo7frE+UJzuWDrh8XaJUv+VBmjKk&#10;q+h4OilTJwyybSAXmNph9GA2lDC1wX3g0efaD3aHpxVJTa5YaPtmMsLQizKYONHYE5esta2vwLy3&#10;vSSD46cS+89YiBfMQ4NoFLc0nuPTKIvu7WBR0lr/+V/rKR/SQJSSDprGZJ+2zAtK1FsD0cxGkwlg&#10;Y3Ym08MxHH8/sr4fMVt9YsHqCO+B49lM+VHdmI23+iMu8zJVRYgZjto9h4NzEvu7hueAi+Uyp0H4&#10;jsUzc+l4Ak+naOxyG20j82nfsTOQBulnwQzXNN2t+37OunuaFn8A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1QQAAFtDb250ZW50X1R5cGVzXS54&#10;bWxQSwECFAAKAAAAAACHTuJAAAAAAAAAAAAAAAAABgAAAAAAAAAAABAAAAC3AwAAX3JlbHMvUEsB&#10;AhQAFAAAAAgAh07iQIoUZjzRAAAAlAEAAAsAAAAAAAAAAQAgAAAA2wMAAF9yZWxzLy5yZWxzUEsB&#10;AhQACgAAAAAAh07iQAAAAAAAAAAAAAAAAAQAAAAAAAAAAAAQAAAAAAAAAGRycy9QSwECFAAUAAAA&#10;CACHTuJA/9zOwNkAAAALAQAADwAAAAAAAAABACAAAAAiAAAAZHJzL2Rvd25yZXYueG1sUEsBAhQA&#10;FAAAAAgAh07iQKcWQJ5jAgAA4gQAAA4AAAAAAAAAAQAgAAAAKAEAAGRycy9lMm9Eb2MueG1sUEsF&#10;BgAAAAAGAAYAWQEAAP0FAAAAAA==&#10;" path="m0,41233l41233,41233,53975,0,66716,41233,107949,41233,74591,66716,87333,107949,53975,82465,20616,107949,33358,66716xe">
                <v:path o:connectlocs="53975,0;0,41233;20616,107949;87333,107949;107949,41233" o:connectangles="247,164,82,82,0"/>
                <v:fill on="t" focussize="0,0"/>
                <v:stroke weight="2pt" color="#00B050 [2404]" joinstyle="round"/>
                <v:imagedata o:title=""/>
                <o:lock v:ext="edit" aspectratio="f"/>
              </v:shape>
            </w:pict>
          </mc:Fallback>
        </mc:AlternateContent>
      </w:r>
      <w:r>
        <w:drawing>
          <wp:inline distT="0" distB="0" distL="114300" distR="114300">
            <wp:extent cx="5393055" cy="3340100"/>
            <wp:effectExtent l="0" t="0" r="17145" b="12700"/>
            <wp:docPr id="10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图片 1"/>
                    <pic:cNvPicPr>
                      <a:picLocks noChangeAspect="1"/>
                    </pic:cNvPicPr>
                  </pic:nvPicPr>
                  <pic:blipFill>
                    <a:blip r:embed="rId73"/>
                    <a:stretch>
                      <a:fillRect/>
                    </a:stretch>
                  </pic:blipFill>
                  <pic:spPr>
                    <a:xfrm>
                      <a:off x="0" y="0"/>
                      <a:ext cx="5393055" cy="3340100"/>
                    </a:xfrm>
                    <a:prstGeom prst="rect">
                      <a:avLst/>
                    </a:prstGeom>
                    <a:noFill/>
                    <a:ln>
                      <a:noFill/>
                    </a:ln>
                  </pic:spPr>
                </pic:pic>
              </a:graphicData>
            </a:graphic>
          </wp:inline>
        </w:drawing>
      </w:r>
    </w:p>
    <w:p w14:paraId="1E0D333A">
      <w:pPr>
        <w:adjustRightInd w:val="0"/>
        <w:snapToGrid w:val="0"/>
        <w:jc w:val="center"/>
        <w:rPr>
          <w:rFonts w:hint="default" w:ascii="Times New Roman" w:hAnsi="Times New Roman" w:eastAsia="黑体" w:cs="Times New Roman"/>
          <w:color w:val="0000FF"/>
          <w:lang w:val="en-US" w:eastAsia="zh-CN"/>
        </w:rPr>
      </w:pPr>
      <w:r>
        <w:rPr>
          <w:rFonts w:hint="default" w:ascii="Times New Roman" w:hAnsi="Times New Roman" w:eastAsia="黑体" w:cs="Times New Roman"/>
          <w:color w:val="0000FF"/>
          <w:lang w:val="en-US" w:eastAsia="zh-CN"/>
        </w:rPr>
        <w:t>图</w:t>
      </w:r>
      <w:r>
        <w:rPr>
          <w:rFonts w:hint="eastAsia" w:ascii="Times New Roman" w:hAnsi="Times New Roman" w:eastAsia="黑体" w:cs="Times New Roman"/>
          <w:color w:val="0000FF"/>
          <w:lang w:val="en-US" w:eastAsia="zh-CN"/>
        </w:rPr>
        <w:t>5.1-6</w:t>
      </w:r>
      <w:r>
        <w:rPr>
          <w:rFonts w:hint="default" w:ascii="Times New Roman" w:hAnsi="Times New Roman" w:eastAsia="黑体" w:cs="Times New Roman"/>
          <w:color w:val="0000FF"/>
          <w:lang w:val="en-US" w:eastAsia="zh-CN"/>
        </w:rPr>
        <w:t xml:space="preserve"> 预测地形高程图</w:t>
      </w:r>
    </w:p>
    <w:p w14:paraId="793B341C">
      <w:pPr>
        <w:pStyle w:val="7"/>
      </w:pPr>
      <w:bookmarkStart w:id="448" w:name="_Toc90026295"/>
      <w:bookmarkStart w:id="449" w:name="_Toc3629"/>
      <w:r>
        <w:rPr>
          <w:rFonts w:hint="eastAsia"/>
          <w:lang w:eastAsia="zh-CN"/>
        </w:rPr>
        <w:t>5</w:t>
      </w:r>
      <w:r>
        <w:t>.1.</w:t>
      </w:r>
      <w:r>
        <w:rPr>
          <w:lang w:eastAsia="zh-CN"/>
        </w:rPr>
        <w:t>6</w:t>
      </w:r>
      <w:r>
        <w:t xml:space="preserve"> 预测范围</w:t>
      </w:r>
      <w:bookmarkEnd w:id="448"/>
      <w:bookmarkEnd w:id="449"/>
    </w:p>
    <w:p w14:paraId="38BE1E8B">
      <w:pPr>
        <w:keepNext w:val="0"/>
        <w:keepLines w:val="0"/>
        <w:pageBreakBefore w:val="0"/>
        <w:widowControl/>
        <w:kinsoku/>
        <w:wordWrap/>
        <w:overflowPunct/>
        <w:topLinePunct w:val="0"/>
        <w:autoSpaceDE/>
        <w:autoSpaceDN/>
        <w:bidi w:val="0"/>
        <w:adjustRightInd/>
        <w:snapToGrid w:val="0"/>
        <w:spacing w:line="500" w:lineRule="exact"/>
        <w:ind w:firstLine="480" w:firstLineChars="200"/>
        <w:textAlignment w:val="auto"/>
        <w:rPr>
          <w:rFonts w:ascii="Times New Roman" w:hAnsi="Times New Roman" w:cs="Times New Roman"/>
          <w:color w:val="0000FF"/>
        </w:rPr>
      </w:pPr>
      <w:r>
        <w:rPr>
          <w:rFonts w:hint="eastAsia" w:ascii="Times New Roman" w:hAnsi="Times New Roman" w:cs="Times New Roman"/>
          <w:color w:val="0000FF"/>
        </w:rPr>
        <w:t>计算拟建项目环境空气影响评价范围时，取东西向为X坐标轴，南北向为Y坐标轴，具体以厂址为中心，边长为5km×5km的矩形范围，网格间距选取100m</w:t>
      </w:r>
      <w:r>
        <w:rPr>
          <w:rFonts w:ascii="Times New Roman" w:hAnsi="Times New Roman" w:cs="Times New Roman"/>
          <w:color w:val="0000FF"/>
        </w:rPr>
        <w:t>。</w:t>
      </w:r>
    </w:p>
    <w:p w14:paraId="6AE554BD">
      <w:pPr>
        <w:spacing w:line="500" w:lineRule="exact"/>
        <w:ind w:firstLine="480" w:firstLineChars="200"/>
        <w:jc w:val="both"/>
        <w:rPr>
          <w:rFonts w:ascii="Times New Roman" w:hAnsi="Times New Roman" w:cs="Times New Roman"/>
          <w:color w:val="0000FF"/>
        </w:rPr>
      </w:pPr>
      <w:r>
        <w:rPr>
          <w:rFonts w:ascii="Times New Roman" w:hAnsi="Times New Roman" w:cs="Times New Roman"/>
          <w:color w:val="0000FF"/>
        </w:rPr>
        <w:t>本项目SO</w:t>
      </w:r>
      <w:r>
        <w:rPr>
          <w:rFonts w:ascii="Times New Roman" w:hAnsi="Times New Roman" w:cs="Times New Roman"/>
          <w:color w:val="0000FF"/>
          <w:vertAlign w:val="subscript"/>
        </w:rPr>
        <w:t>2</w:t>
      </w:r>
      <w:r>
        <w:rPr>
          <w:rFonts w:hint="eastAsia" w:ascii="Times New Roman" w:hAnsi="Times New Roman" w:cs="Times New Roman"/>
          <w:color w:val="0000FF"/>
        </w:rPr>
        <w:t>和</w:t>
      </w:r>
      <w:r>
        <w:rPr>
          <w:rFonts w:ascii="Times New Roman" w:hAnsi="Times New Roman" w:cs="Times New Roman"/>
          <w:color w:val="0000FF"/>
        </w:rPr>
        <w:t>NO</w:t>
      </w:r>
      <w:r>
        <w:rPr>
          <w:rFonts w:ascii="Times New Roman" w:hAnsi="Times New Roman" w:cs="Times New Roman"/>
          <w:color w:val="0000FF"/>
          <w:vertAlign w:val="subscript"/>
        </w:rPr>
        <w:t>2</w:t>
      </w:r>
      <w:r>
        <w:rPr>
          <w:rFonts w:hint="eastAsia" w:ascii="Times New Roman" w:hAnsi="Times New Roman" w:cs="Times New Roman"/>
          <w:color w:val="0000FF"/>
        </w:rPr>
        <w:t>排放量34.83t/a＜500t/a</w:t>
      </w:r>
      <w:r>
        <w:rPr>
          <w:rFonts w:ascii="Times New Roman" w:hAnsi="Times New Roman" w:cs="Times New Roman"/>
          <w:color w:val="0000FF"/>
        </w:rPr>
        <w:t>，不需进行二次污染物预测。</w:t>
      </w:r>
    </w:p>
    <w:p w14:paraId="540F867A">
      <w:pPr>
        <w:pStyle w:val="7"/>
        <w:rPr>
          <w:rFonts w:hint="default" w:eastAsia="宋体"/>
          <w:lang w:val="en-US" w:eastAsia="zh-CN"/>
        </w:rPr>
      </w:pPr>
      <w:bookmarkStart w:id="450" w:name="_Toc90026296"/>
      <w:bookmarkStart w:id="451" w:name="_Toc8086"/>
      <w:r>
        <w:rPr>
          <w:rFonts w:hint="eastAsia"/>
          <w:lang w:eastAsia="zh-CN"/>
        </w:rPr>
        <w:t>5</w:t>
      </w:r>
      <w:r>
        <w:t>.1.</w:t>
      </w:r>
      <w:r>
        <w:rPr>
          <w:lang w:eastAsia="zh-CN"/>
        </w:rPr>
        <w:t>7</w:t>
      </w:r>
      <w:r>
        <w:t xml:space="preserve"> 预测参数</w:t>
      </w:r>
      <w:bookmarkEnd w:id="450"/>
      <w:r>
        <w:rPr>
          <w:rFonts w:hint="eastAsia"/>
          <w:lang w:val="en-US" w:eastAsia="zh-CN"/>
        </w:rPr>
        <w:t>及方案</w:t>
      </w:r>
      <w:bookmarkEnd w:id="451"/>
    </w:p>
    <w:p w14:paraId="2A6D3F74">
      <w:pPr>
        <w:pStyle w:val="133"/>
        <w:rPr>
          <w:color w:val="0000FF"/>
        </w:rPr>
      </w:pPr>
      <w:r>
        <w:rPr>
          <w:rFonts w:hint="eastAsia"/>
          <w:color w:val="0000FF"/>
          <w:lang w:eastAsia="zh-CN"/>
        </w:rPr>
        <w:t>5</w:t>
      </w:r>
      <w:r>
        <w:rPr>
          <w:color w:val="0000FF"/>
        </w:rPr>
        <w:t>.1.</w:t>
      </w:r>
      <w:r>
        <w:rPr>
          <w:color w:val="0000FF"/>
          <w:lang w:eastAsia="zh-CN"/>
        </w:rPr>
        <w:t>7</w:t>
      </w:r>
      <w:r>
        <w:rPr>
          <w:color w:val="0000FF"/>
        </w:rPr>
        <w:t>.1</w:t>
      </w:r>
      <w:r>
        <w:rPr>
          <w:rFonts w:hint="eastAsia"/>
          <w:color w:val="0000FF"/>
          <w:lang w:val="en-US" w:eastAsia="zh-CN"/>
        </w:rPr>
        <w:t xml:space="preserve"> </w:t>
      </w:r>
      <w:r>
        <w:rPr>
          <w:rFonts w:hint="eastAsia"/>
          <w:color w:val="0000FF"/>
          <w:lang w:eastAsia="zh-CN"/>
        </w:rPr>
        <w:t>大气预测相关参数</w:t>
      </w:r>
    </w:p>
    <w:p w14:paraId="54A1E916">
      <w:pPr>
        <w:tabs>
          <w:tab w:val="left" w:pos="851"/>
          <w:tab w:val="left" w:pos="1141"/>
          <w:tab w:val="left" w:pos="4335"/>
        </w:tabs>
        <w:jc w:val="center"/>
        <w:rPr>
          <w:rFonts w:ascii="Times New Roman" w:hAnsi="Times New Roman" w:eastAsia="黑体" w:cs="Times New Roman"/>
          <w:color w:val="0000FF"/>
        </w:rPr>
      </w:pPr>
      <w:r>
        <w:rPr>
          <w:rFonts w:ascii="Times New Roman" w:hAnsi="Times New Roman" w:eastAsia="黑体" w:cs="Times New Roman"/>
          <w:color w:val="0000FF"/>
        </w:rPr>
        <w:t>表</w:t>
      </w:r>
      <w:r>
        <w:rPr>
          <w:rFonts w:hint="eastAsia" w:ascii="Times New Roman" w:hAnsi="Times New Roman" w:eastAsia="黑体" w:cs="Times New Roman"/>
          <w:color w:val="0000FF"/>
        </w:rPr>
        <w:t>5</w:t>
      </w:r>
      <w:r>
        <w:rPr>
          <w:rFonts w:ascii="Times New Roman" w:hAnsi="Times New Roman" w:eastAsia="黑体" w:cs="Times New Roman"/>
          <w:color w:val="0000FF"/>
        </w:rPr>
        <w:t>.1-</w:t>
      </w:r>
      <w:r>
        <w:rPr>
          <w:rFonts w:hint="eastAsia" w:ascii="Times New Roman" w:hAnsi="Times New Roman" w:eastAsia="黑体" w:cs="Times New Roman"/>
          <w:color w:val="0000FF"/>
          <w:lang w:val="en-US" w:eastAsia="zh-CN"/>
        </w:rPr>
        <w:t>10</w:t>
      </w:r>
      <w:r>
        <w:rPr>
          <w:rFonts w:ascii="Times New Roman" w:hAnsi="Times New Roman" w:eastAsia="黑体" w:cs="Times New Roman"/>
          <w:color w:val="0000FF"/>
        </w:rPr>
        <w:t xml:space="preserve">  </w:t>
      </w:r>
      <w:r>
        <w:rPr>
          <w:rFonts w:hint="default" w:ascii="Times New Roman" w:hAnsi="Times New Roman" w:cs="Times New Roman"/>
          <w:b/>
          <w:color w:val="0000FF"/>
          <w:highlight w:val="none"/>
          <w:lang w:val="en-US" w:eastAsia="zh-CN"/>
        </w:rPr>
        <w:t>大气预测相关参数选择</w:t>
      </w:r>
    </w:p>
    <w:tbl>
      <w:tblPr>
        <w:tblStyle w:val="56"/>
        <w:tblW w:w="0" w:type="auto"/>
        <w:tblInd w:w="0" w:type="dxa"/>
        <w:tblBorders>
          <w:top w:val="double" w:color="auto" w:sz="4" w:space="0"/>
          <w:left w:val="none" w:color="auto" w:sz="0" w:space="0"/>
          <w:bottom w:val="double" w:color="auto" w:sz="4" w:space="0"/>
          <w:right w:val="none" w:color="auto" w:sz="0" w:space="0"/>
          <w:insideH w:val="single" w:color="auto" w:sz="6" w:space="0"/>
          <w:insideV w:val="single" w:color="auto" w:sz="6" w:space="0"/>
        </w:tblBorders>
        <w:tblLayout w:type="fixed"/>
        <w:tblCellMar>
          <w:top w:w="0" w:type="dxa"/>
          <w:left w:w="108" w:type="dxa"/>
          <w:bottom w:w="0" w:type="dxa"/>
          <w:right w:w="108" w:type="dxa"/>
        </w:tblCellMar>
      </w:tblPr>
      <w:tblGrid>
        <w:gridCol w:w="4261"/>
        <w:gridCol w:w="4261"/>
      </w:tblGrid>
      <w:tr w14:paraId="20A45E7F">
        <w:tblPrEx>
          <w:tblBorders>
            <w:top w:val="double" w:color="auto" w:sz="4" w:space="0"/>
            <w:left w:val="none" w:color="auto" w:sz="0" w:space="0"/>
            <w:bottom w:val="double" w:color="auto" w:sz="4"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97" w:hRule="atLeast"/>
        </w:trPr>
        <w:tc>
          <w:tcPr>
            <w:tcW w:w="4261" w:type="dxa"/>
            <w:tcBorders>
              <w:tl2br w:val="nil"/>
              <w:tr2bl w:val="nil"/>
            </w:tcBorders>
            <w:vAlign w:val="center"/>
          </w:tcPr>
          <w:p w14:paraId="45C8F6F1">
            <w:pPr>
              <w:pStyle w:val="720"/>
              <w:keepNext w:val="0"/>
              <w:keepLines w:val="0"/>
              <w:pageBreakBefore w:val="0"/>
              <w:widowControl/>
              <w:kinsoku/>
              <w:wordWrap/>
              <w:overflowPunct/>
              <w:topLinePunct w:val="0"/>
              <w:autoSpaceDE/>
              <w:autoSpaceDN/>
              <w:bidi w:val="0"/>
              <w:adjustRightInd/>
              <w:snapToGrid w:val="0"/>
              <w:textAlignment w:val="auto"/>
              <w:rPr>
                <w:rFonts w:hint="default" w:ascii="Times New Roman" w:hAnsi="Times New Roman" w:cs="Times New Roman"/>
                <w:color w:val="0000FF"/>
                <w:szCs w:val="21"/>
              </w:rPr>
            </w:pPr>
            <w:r>
              <w:rPr>
                <w:rFonts w:hint="default" w:ascii="Times New Roman" w:hAnsi="Times New Roman" w:cs="Times New Roman"/>
                <w:color w:val="0000FF"/>
                <w:szCs w:val="21"/>
              </w:rPr>
              <w:t>参数</w:t>
            </w:r>
          </w:p>
        </w:tc>
        <w:tc>
          <w:tcPr>
            <w:tcW w:w="4261" w:type="dxa"/>
            <w:tcBorders>
              <w:tl2br w:val="nil"/>
              <w:tr2bl w:val="nil"/>
            </w:tcBorders>
            <w:vAlign w:val="center"/>
          </w:tcPr>
          <w:p w14:paraId="238EFEAA">
            <w:pPr>
              <w:pStyle w:val="720"/>
              <w:keepNext w:val="0"/>
              <w:keepLines w:val="0"/>
              <w:pageBreakBefore w:val="0"/>
              <w:widowControl/>
              <w:kinsoku/>
              <w:wordWrap/>
              <w:overflowPunct/>
              <w:topLinePunct w:val="0"/>
              <w:autoSpaceDE/>
              <w:autoSpaceDN/>
              <w:bidi w:val="0"/>
              <w:adjustRightInd/>
              <w:snapToGrid w:val="0"/>
              <w:textAlignment w:val="auto"/>
              <w:rPr>
                <w:rFonts w:hint="default" w:ascii="Times New Roman" w:hAnsi="Times New Roman" w:cs="Times New Roman"/>
                <w:color w:val="0000FF"/>
                <w:szCs w:val="21"/>
              </w:rPr>
            </w:pPr>
            <w:r>
              <w:rPr>
                <w:rFonts w:hint="default" w:ascii="Times New Roman" w:hAnsi="Times New Roman" w:cs="Times New Roman"/>
                <w:color w:val="0000FF"/>
                <w:szCs w:val="21"/>
              </w:rPr>
              <w:t>设置</w:t>
            </w:r>
          </w:p>
        </w:tc>
      </w:tr>
      <w:tr w14:paraId="7DACEBC5">
        <w:tblPrEx>
          <w:tblBorders>
            <w:top w:val="double" w:color="auto" w:sz="4" w:space="0"/>
            <w:left w:val="none" w:color="auto" w:sz="0" w:space="0"/>
            <w:bottom w:val="double" w:color="auto" w:sz="4"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97" w:hRule="atLeast"/>
        </w:trPr>
        <w:tc>
          <w:tcPr>
            <w:tcW w:w="4261" w:type="dxa"/>
            <w:tcBorders>
              <w:tl2br w:val="nil"/>
              <w:tr2bl w:val="nil"/>
            </w:tcBorders>
            <w:vAlign w:val="center"/>
          </w:tcPr>
          <w:p w14:paraId="6EA4C5DB">
            <w:pPr>
              <w:pStyle w:val="720"/>
              <w:keepNext w:val="0"/>
              <w:keepLines w:val="0"/>
              <w:pageBreakBefore w:val="0"/>
              <w:widowControl/>
              <w:kinsoku/>
              <w:wordWrap/>
              <w:overflowPunct/>
              <w:topLinePunct w:val="0"/>
              <w:autoSpaceDE/>
              <w:autoSpaceDN/>
              <w:bidi w:val="0"/>
              <w:adjustRightInd/>
              <w:snapToGrid w:val="0"/>
              <w:textAlignment w:val="auto"/>
              <w:rPr>
                <w:rFonts w:hint="default" w:ascii="Times New Roman" w:hAnsi="Times New Roman" w:cs="Times New Roman"/>
                <w:color w:val="0000FF"/>
                <w:szCs w:val="21"/>
              </w:rPr>
            </w:pPr>
            <w:r>
              <w:rPr>
                <w:rFonts w:hint="default" w:ascii="Times New Roman" w:hAnsi="Times New Roman" w:cs="Times New Roman"/>
                <w:color w:val="0000FF"/>
                <w:szCs w:val="21"/>
              </w:rPr>
              <w:t>地形高程</w:t>
            </w:r>
          </w:p>
        </w:tc>
        <w:tc>
          <w:tcPr>
            <w:tcW w:w="4261" w:type="dxa"/>
            <w:tcBorders>
              <w:tl2br w:val="nil"/>
              <w:tr2bl w:val="nil"/>
            </w:tcBorders>
            <w:vAlign w:val="center"/>
          </w:tcPr>
          <w:p w14:paraId="04B2E3D2">
            <w:pPr>
              <w:pStyle w:val="720"/>
              <w:keepNext w:val="0"/>
              <w:keepLines w:val="0"/>
              <w:pageBreakBefore w:val="0"/>
              <w:widowControl/>
              <w:kinsoku/>
              <w:wordWrap/>
              <w:overflowPunct/>
              <w:topLinePunct w:val="0"/>
              <w:autoSpaceDE/>
              <w:autoSpaceDN/>
              <w:bidi w:val="0"/>
              <w:adjustRightInd/>
              <w:snapToGrid w:val="0"/>
              <w:textAlignment w:val="auto"/>
              <w:rPr>
                <w:rFonts w:hint="default" w:ascii="Times New Roman" w:hAnsi="Times New Roman" w:cs="Times New Roman"/>
                <w:color w:val="0000FF"/>
                <w:szCs w:val="21"/>
              </w:rPr>
            </w:pPr>
            <w:r>
              <w:rPr>
                <w:rFonts w:hint="default" w:ascii="Times New Roman" w:hAnsi="Times New Roman" w:cs="Times New Roman"/>
                <w:color w:val="0000FF"/>
                <w:szCs w:val="21"/>
              </w:rPr>
              <w:t>考虑地形高程影响</w:t>
            </w:r>
          </w:p>
        </w:tc>
      </w:tr>
      <w:tr w14:paraId="71B5A244">
        <w:tblPrEx>
          <w:tblBorders>
            <w:top w:val="double" w:color="auto" w:sz="4" w:space="0"/>
            <w:left w:val="none" w:color="auto" w:sz="0" w:space="0"/>
            <w:bottom w:val="double" w:color="auto" w:sz="4"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97" w:hRule="atLeast"/>
        </w:trPr>
        <w:tc>
          <w:tcPr>
            <w:tcW w:w="4261" w:type="dxa"/>
            <w:tcBorders>
              <w:tl2br w:val="nil"/>
              <w:tr2bl w:val="nil"/>
            </w:tcBorders>
            <w:vAlign w:val="center"/>
          </w:tcPr>
          <w:p w14:paraId="5527C6F9">
            <w:pPr>
              <w:pStyle w:val="720"/>
              <w:keepNext w:val="0"/>
              <w:keepLines w:val="0"/>
              <w:pageBreakBefore w:val="0"/>
              <w:widowControl/>
              <w:kinsoku/>
              <w:wordWrap/>
              <w:overflowPunct/>
              <w:topLinePunct w:val="0"/>
              <w:autoSpaceDE/>
              <w:autoSpaceDN/>
              <w:bidi w:val="0"/>
              <w:adjustRightInd/>
              <w:snapToGrid w:val="0"/>
              <w:textAlignment w:val="auto"/>
              <w:rPr>
                <w:rFonts w:hint="default" w:ascii="Times New Roman" w:hAnsi="Times New Roman" w:cs="Times New Roman"/>
                <w:color w:val="0000FF"/>
                <w:szCs w:val="21"/>
              </w:rPr>
            </w:pPr>
            <w:r>
              <w:rPr>
                <w:rFonts w:hint="default" w:ascii="Times New Roman" w:hAnsi="Times New Roman" w:cs="Times New Roman"/>
                <w:color w:val="0000FF"/>
                <w:szCs w:val="21"/>
              </w:rPr>
              <w:t>预测点离地高</w:t>
            </w:r>
          </w:p>
        </w:tc>
        <w:tc>
          <w:tcPr>
            <w:tcW w:w="4261" w:type="dxa"/>
            <w:tcBorders>
              <w:tl2br w:val="nil"/>
              <w:tr2bl w:val="nil"/>
            </w:tcBorders>
            <w:vAlign w:val="center"/>
          </w:tcPr>
          <w:p w14:paraId="7E5DB534">
            <w:pPr>
              <w:pStyle w:val="720"/>
              <w:keepNext w:val="0"/>
              <w:keepLines w:val="0"/>
              <w:pageBreakBefore w:val="0"/>
              <w:widowControl/>
              <w:kinsoku/>
              <w:wordWrap/>
              <w:overflowPunct/>
              <w:topLinePunct w:val="0"/>
              <w:autoSpaceDE/>
              <w:autoSpaceDN/>
              <w:bidi w:val="0"/>
              <w:adjustRightInd/>
              <w:snapToGrid w:val="0"/>
              <w:textAlignment w:val="auto"/>
              <w:rPr>
                <w:rFonts w:hint="default" w:ascii="Times New Roman" w:hAnsi="Times New Roman" w:cs="Times New Roman"/>
                <w:color w:val="0000FF"/>
                <w:szCs w:val="21"/>
              </w:rPr>
            </w:pPr>
            <w:r>
              <w:rPr>
                <w:rFonts w:hint="default" w:ascii="Times New Roman" w:hAnsi="Times New Roman" w:cs="Times New Roman"/>
                <w:color w:val="0000FF"/>
                <w:szCs w:val="21"/>
              </w:rPr>
              <w:t>不考虑（预测点在地面上）</w:t>
            </w:r>
          </w:p>
        </w:tc>
      </w:tr>
      <w:tr w14:paraId="0D0FCF2D">
        <w:tblPrEx>
          <w:tblBorders>
            <w:top w:val="double" w:color="auto" w:sz="4" w:space="0"/>
            <w:left w:val="none" w:color="auto" w:sz="0" w:space="0"/>
            <w:bottom w:val="double" w:color="auto" w:sz="4"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97" w:hRule="atLeast"/>
        </w:trPr>
        <w:tc>
          <w:tcPr>
            <w:tcW w:w="4261" w:type="dxa"/>
            <w:tcBorders>
              <w:tl2br w:val="nil"/>
              <w:tr2bl w:val="nil"/>
            </w:tcBorders>
            <w:vAlign w:val="center"/>
          </w:tcPr>
          <w:p w14:paraId="20346A02">
            <w:pPr>
              <w:pStyle w:val="720"/>
              <w:keepNext w:val="0"/>
              <w:keepLines w:val="0"/>
              <w:pageBreakBefore w:val="0"/>
              <w:widowControl/>
              <w:kinsoku/>
              <w:wordWrap/>
              <w:overflowPunct/>
              <w:topLinePunct w:val="0"/>
              <w:autoSpaceDE/>
              <w:autoSpaceDN/>
              <w:bidi w:val="0"/>
              <w:adjustRightInd/>
              <w:snapToGrid w:val="0"/>
              <w:textAlignment w:val="auto"/>
              <w:rPr>
                <w:rFonts w:hint="default" w:ascii="Times New Roman" w:hAnsi="Times New Roman" w:cs="Times New Roman"/>
                <w:color w:val="0000FF"/>
                <w:szCs w:val="21"/>
              </w:rPr>
            </w:pPr>
            <w:r>
              <w:rPr>
                <w:rFonts w:hint="default" w:ascii="Times New Roman" w:hAnsi="Times New Roman" w:cs="Times New Roman"/>
                <w:color w:val="0000FF"/>
                <w:szCs w:val="21"/>
              </w:rPr>
              <w:t>烟囱出口下洗</w:t>
            </w:r>
          </w:p>
        </w:tc>
        <w:tc>
          <w:tcPr>
            <w:tcW w:w="4261" w:type="dxa"/>
            <w:tcBorders>
              <w:tl2br w:val="nil"/>
              <w:tr2bl w:val="nil"/>
            </w:tcBorders>
            <w:vAlign w:val="center"/>
          </w:tcPr>
          <w:p w14:paraId="55650FF9">
            <w:pPr>
              <w:pStyle w:val="720"/>
              <w:keepNext w:val="0"/>
              <w:keepLines w:val="0"/>
              <w:pageBreakBefore w:val="0"/>
              <w:widowControl/>
              <w:kinsoku/>
              <w:wordWrap/>
              <w:overflowPunct/>
              <w:topLinePunct w:val="0"/>
              <w:autoSpaceDE/>
              <w:autoSpaceDN/>
              <w:bidi w:val="0"/>
              <w:adjustRightInd/>
              <w:snapToGrid w:val="0"/>
              <w:textAlignment w:val="auto"/>
              <w:rPr>
                <w:rFonts w:hint="default" w:ascii="Times New Roman" w:hAnsi="Times New Roman" w:cs="Times New Roman"/>
                <w:color w:val="0000FF"/>
                <w:szCs w:val="21"/>
                <w:highlight w:val="none"/>
              </w:rPr>
            </w:pPr>
            <w:r>
              <w:rPr>
                <w:rFonts w:hint="eastAsia" w:cs="Times New Roman"/>
                <w:color w:val="0000FF"/>
                <w:szCs w:val="21"/>
                <w:highlight w:val="none"/>
                <w:lang w:val="en-US" w:eastAsia="zh-CN"/>
              </w:rPr>
              <w:t>不</w:t>
            </w:r>
            <w:r>
              <w:rPr>
                <w:rFonts w:hint="default" w:ascii="Times New Roman" w:hAnsi="Times New Roman" w:cs="Times New Roman"/>
                <w:color w:val="0000FF"/>
                <w:szCs w:val="21"/>
                <w:highlight w:val="none"/>
              </w:rPr>
              <w:t>考虑</w:t>
            </w:r>
          </w:p>
        </w:tc>
      </w:tr>
      <w:tr w14:paraId="6ED4CBE0">
        <w:tblPrEx>
          <w:tblBorders>
            <w:top w:val="double" w:color="auto" w:sz="4" w:space="0"/>
            <w:left w:val="none" w:color="auto" w:sz="0" w:space="0"/>
            <w:bottom w:val="double" w:color="auto" w:sz="4"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97" w:hRule="atLeast"/>
        </w:trPr>
        <w:tc>
          <w:tcPr>
            <w:tcW w:w="4261" w:type="dxa"/>
            <w:tcBorders>
              <w:tl2br w:val="nil"/>
              <w:tr2bl w:val="nil"/>
            </w:tcBorders>
            <w:vAlign w:val="center"/>
          </w:tcPr>
          <w:p w14:paraId="0FE59344">
            <w:pPr>
              <w:pStyle w:val="720"/>
              <w:keepNext w:val="0"/>
              <w:keepLines w:val="0"/>
              <w:pageBreakBefore w:val="0"/>
              <w:widowControl/>
              <w:kinsoku/>
              <w:wordWrap/>
              <w:overflowPunct/>
              <w:topLinePunct w:val="0"/>
              <w:autoSpaceDE/>
              <w:autoSpaceDN/>
              <w:bidi w:val="0"/>
              <w:adjustRightInd/>
              <w:snapToGrid w:val="0"/>
              <w:textAlignment w:val="auto"/>
              <w:rPr>
                <w:rFonts w:hint="default" w:ascii="Times New Roman" w:hAnsi="Times New Roman" w:cs="Times New Roman"/>
                <w:color w:val="0000FF"/>
                <w:szCs w:val="21"/>
              </w:rPr>
            </w:pPr>
            <w:r>
              <w:rPr>
                <w:rFonts w:hint="default" w:ascii="Times New Roman" w:hAnsi="Times New Roman" w:cs="Times New Roman"/>
                <w:color w:val="0000FF"/>
                <w:szCs w:val="21"/>
              </w:rPr>
              <w:t>计算总沉积</w:t>
            </w:r>
          </w:p>
        </w:tc>
        <w:tc>
          <w:tcPr>
            <w:tcW w:w="4261" w:type="dxa"/>
            <w:tcBorders>
              <w:tl2br w:val="nil"/>
              <w:tr2bl w:val="nil"/>
            </w:tcBorders>
            <w:vAlign w:val="center"/>
          </w:tcPr>
          <w:p w14:paraId="7CFABC22">
            <w:pPr>
              <w:pStyle w:val="720"/>
              <w:keepNext w:val="0"/>
              <w:keepLines w:val="0"/>
              <w:pageBreakBefore w:val="0"/>
              <w:widowControl/>
              <w:kinsoku/>
              <w:wordWrap/>
              <w:overflowPunct/>
              <w:topLinePunct w:val="0"/>
              <w:autoSpaceDE/>
              <w:autoSpaceDN/>
              <w:bidi w:val="0"/>
              <w:adjustRightInd/>
              <w:snapToGrid w:val="0"/>
              <w:textAlignment w:val="auto"/>
              <w:rPr>
                <w:rFonts w:hint="default" w:ascii="Times New Roman" w:hAnsi="Times New Roman" w:cs="Times New Roman"/>
                <w:color w:val="0000FF"/>
                <w:szCs w:val="21"/>
              </w:rPr>
            </w:pPr>
            <w:r>
              <w:rPr>
                <w:rFonts w:hint="default" w:ascii="Times New Roman" w:hAnsi="Times New Roman" w:cs="Times New Roman"/>
                <w:color w:val="0000FF"/>
                <w:szCs w:val="21"/>
              </w:rPr>
              <w:t>不计算</w:t>
            </w:r>
          </w:p>
        </w:tc>
      </w:tr>
      <w:tr w14:paraId="65BC847E">
        <w:tblPrEx>
          <w:tblBorders>
            <w:top w:val="double" w:color="auto" w:sz="4" w:space="0"/>
            <w:left w:val="none" w:color="auto" w:sz="0" w:space="0"/>
            <w:bottom w:val="double" w:color="auto" w:sz="4"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97" w:hRule="atLeast"/>
        </w:trPr>
        <w:tc>
          <w:tcPr>
            <w:tcW w:w="4261" w:type="dxa"/>
            <w:tcBorders>
              <w:tl2br w:val="nil"/>
              <w:tr2bl w:val="nil"/>
            </w:tcBorders>
            <w:vAlign w:val="center"/>
          </w:tcPr>
          <w:p w14:paraId="05DBD18A">
            <w:pPr>
              <w:pStyle w:val="720"/>
              <w:keepNext w:val="0"/>
              <w:keepLines w:val="0"/>
              <w:pageBreakBefore w:val="0"/>
              <w:widowControl/>
              <w:kinsoku/>
              <w:wordWrap/>
              <w:overflowPunct/>
              <w:topLinePunct w:val="0"/>
              <w:autoSpaceDE/>
              <w:autoSpaceDN/>
              <w:bidi w:val="0"/>
              <w:adjustRightInd/>
              <w:snapToGrid w:val="0"/>
              <w:textAlignment w:val="auto"/>
              <w:rPr>
                <w:rFonts w:hint="default" w:ascii="Times New Roman" w:hAnsi="Times New Roman" w:cs="Times New Roman"/>
                <w:color w:val="0000FF"/>
                <w:szCs w:val="21"/>
              </w:rPr>
            </w:pPr>
            <w:r>
              <w:rPr>
                <w:rFonts w:hint="default" w:ascii="Times New Roman" w:hAnsi="Times New Roman" w:cs="Times New Roman"/>
                <w:color w:val="0000FF"/>
                <w:szCs w:val="21"/>
              </w:rPr>
              <w:t>计算干沉积</w:t>
            </w:r>
          </w:p>
        </w:tc>
        <w:tc>
          <w:tcPr>
            <w:tcW w:w="4261" w:type="dxa"/>
            <w:tcBorders>
              <w:tl2br w:val="nil"/>
              <w:tr2bl w:val="nil"/>
            </w:tcBorders>
            <w:vAlign w:val="center"/>
          </w:tcPr>
          <w:p w14:paraId="7B0BB4EF">
            <w:pPr>
              <w:pStyle w:val="720"/>
              <w:keepNext w:val="0"/>
              <w:keepLines w:val="0"/>
              <w:pageBreakBefore w:val="0"/>
              <w:widowControl/>
              <w:kinsoku/>
              <w:wordWrap/>
              <w:overflowPunct/>
              <w:topLinePunct w:val="0"/>
              <w:autoSpaceDE/>
              <w:autoSpaceDN/>
              <w:bidi w:val="0"/>
              <w:adjustRightInd/>
              <w:snapToGrid w:val="0"/>
              <w:textAlignment w:val="auto"/>
              <w:rPr>
                <w:rFonts w:hint="default" w:ascii="Times New Roman" w:hAnsi="Times New Roman" w:cs="Times New Roman"/>
                <w:color w:val="0000FF"/>
                <w:szCs w:val="21"/>
              </w:rPr>
            </w:pPr>
            <w:r>
              <w:rPr>
                <w:rFonts w:hint="default" w:ascii="Times New Roman" w:hAnsi="Times New Roman" w:cs="Times New Roman"/>
                <w:color w:val="0000FF"/>
                <w:szCs w:val="21"/>
              </w:rPr>
              <w:t>不计算</w:t>
            </w:r>
          </w:p>
        </w:tc>
      </w:tr>
      <w:tr w14:paraId="02DCD761">
        <w:tblPrEx>
          <w:tblBorders>
            <w:top w:val="double" w:color="auto" w:sz="4" w:space="0"/>
            <w:left w:val="none" w:color="auto" w:sz="0" w:space="0"/>
            <w:bottom w:val="double" w:color="auto" w:sz="4"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97" w:hRule="atLeast"/>
        </w:trPr>
        <w:tc>
          <w:tcPr>
            <w:tcW w:w="4261" w:type="dxa"/>
            <w:tcBorders>
              <w:tl2br w:val="nil"/>
              <w:tr2bl w:val="nil"/>
            </w:tcBorders>
            <w:vAlign w:val="center"/>
          </w:tcPr>
          <w:p w14:paraId="4D713703">
            <w:pPr>
              <w:pStyle w:val="720"/>
              <w:keepNext w:val="0"/>
              <w:keepLines w:val="0"/>
              <w:pageBreakBefore w:val="0"/>
              <w:widowControl/>
              <w:kinsoku/>
              <w:wordWrap/>
              <w:overflowPunct/>
              <w:topLinePunct w:val="0"/>
              <w:autoSpaceDE/>
              <w:autoSpaceDN/>
              <w:bidi w:val="0"/>
              <w:adjustRightInd/>
              <w:snapToGrid w:val="0"/>
              <w:textAlignment w:val="auto"/>
              <w:rPr>
                <w:rFonts w:hint="default" w:ascii="Times New Roman" w:hAnsi="Times New Roman" w:cs="Times New Roman"/>
                <w:color w:val="0000FF"/>
                <w:szCs w:val="21"/>
              </w:rPr>
            </w:pPr>
            <w:r>
              <w:rPr>
                <w:rFonts w:hint="default" w:ascii="Times New Roman" w:hAnsi="Times New Roman" w:cs="Times New Roman"/>
                <w:color w:val="0000FF"/>
                <w:szCs w:val="21"/>
              </w:rPr>
              <w:t>计算湿沉积</w:t>
            </w:r>
          </w:p>
        </w:tc>
        <w:tc>
          <w:tcPr>
            <w:tcW w:w="4261" w:type="dxa"/>
            <w:tcBorders>
              <w:tl2br w:val="nil"/>
              <w:tr2bl w:val="nil"/>
            </w:tcBorders>
            <w:vAlign w:val="center"/>
          </w:tcPr>
          <w:p w14:paraId="4891A361">
            <w:pPr>
              <w:pStyle w:val="720"/>
              <w:keepNext w:val="0"/>
              <w:keepLines w:val="0"/>
              <w:pageBreakBefore w:val="0"/>
              <w:widowControl/>
              <w:kinsoku/>
              <w:wordWrap/>
              <w:overflowPunct/>
              <w:topLinePunct w:val="0"/>
              <w:autoSpaceDE/>
              <w:autoSpaceDN/>
              <w:bidi w:val="0"/>
              <w:adjustRightInd/>
              <w:snapToGrid w:val="0"/>
              <w:textAlignment w:val="auto"/>
              <w:rPr>
                <w:rFonts w:hint="default" w:ascii="Times New Roman" w:hAnsi="Times New Roman" w:cs="Times New Roman"/>
                <w:color w:val="0000FF"/>
                <w:szCs w:val="21"/>
              </w:rPr>
            </w:pPr>
            <w:r>
              <w:rPr>
                <w:rFonts w:hint="default" w:ascii="Times New Roman" w:hAnsi="Times New Roman" w:cs="Times New Roman"/>
                <w:color w:val="0000FF"/>
                <w:szCs w:val="21"/>
              </w:rPr>
              <w:t>不计算</w:t>
            </w:r>
          </w:p>
        </w:tc>
      </w:tr>
      <w:tr w14:paraId="09124C16">
        <w:tblPrEx>
          <w:tblBorders>
            <w:top w:val="double" w:color="auto" w:sz="4" w:space="0"/>
            <w:left w:val="none" w:color="auto" w:sz="0" w:space="0"/>
            <w:bottom w:val="double" w:color="auto" w:sz="4"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97" w:hRule="atLeast"/>
        </w:trPr>
        <w:tc>
          <w:tcPr>
            <w:tcW w:w="4261" w:type="dxa"/>
            <w:tcBorders>
              <w:tl2br w:val="nil"/>
              <w:tr2bl w:val="nil"/>
            </w:tcBorders>
            <w:vAlign w:val="center"/>
          </w:tcPr>
          <w:p w14:paraId="0B348DB0">
            <w:pPr>
              <w:pStyle w:val="720"/>
              <w:keepNext w:val="0"/>
              <w:keepLines w:val="0"/>
              <w:pageBreakBefore w:val="0"/>
              <w:widowControl/>
              <w:kinsoku/>
              <w:wordWrap/>
              <w:overflowPunct/>
              <w:topLinePunct w:val="0"/>
              <w:autoSpaceDE/>
              <w:autoSpaceDN/>
              <w:bidi w:val="0"/>
              <w:adjustRightInd/>
              <w:snapToGrid w:val="0"/>
              <w:textAlignment w:val="auto"/>
              <w:rPr>
                <w:rFonts w:hint="default" w:ascii="Times New Roman" w:hAnsi="Times New Roman" w:cs="Times New Roman"/>
                <w:color w:val="0000FF"/>
                <w:szCs w:val="21"/>
              </w:rPr>
            </w:pPr>
            <w:r>
              <w:rPr>
                <w:rFonts w:hint="default" w:ascii="Times New Roman" w:hAnsi="Times New Roman" w:cs="Times New Roman"/>
                <w:color w:val="0000FF"/>
                <w:szCs w:val="21"/>
              </w:rPr>
              <w:t>使用AREMOD的BETA选项</w:t>
            </w:r>
          </w:p>
        </w:tc>
        <w:tc>
          <w:tcPr>
            <w:tcW w:w="4261" w:type="dxa"/>
            <w:tcBorders>
              <w:tl2br w:val="nil"/>
              <w:tr2bl w:val="nil"/>
            </w:tcBorders>
            <w:vAlign w:val="center"/>
          </w:tcPr>
          <w:p w14:paraId="7E4E072D">
            <w:pPr>
              <w:pStyle w:val="720"/>
              <w:keepNext w:val="0"/>
              <w:keepLines w:val="0"/>
              <w:pageBreakBefore w:val="0"/>
              <w:widowControl/>
              <w:kinsoku/>
              <w:wordWrap/>
              <w:overflowPunct/>
              <w:topLinePunct w:val="0"/>
              <w:autoSpaceDE/>
              <w:autoSpaceDN/>
              <w:bidi w:val="0"/>
              <w:adjustRightInd/>
              <w:snapToGrid w:val="0"/>
              <w:textAlignment w:val="auto"/>
              <w:rPr>
                <w:rFonts w:hint="default" w:ascii="Times New Roman" w:hAnsi="Times New Roman" w:cs="Times New Roman"/>
                <w:color w:val="0000FF"/>
                <w:szCs w:val="21"/>
              </w:rPr>
            </w:pPr>
            <w:r>
              <w:rPr>
                <w:rFonts w:hint="default" w:ascii="Times New Roman" w:hAnsi="Times New Roman" w:cs="Times New Roman"/>
                <w:color w:val="0000FF"/>
                <w:szCs w:val="21"/>
              </w:rPr>
              <w:t>否</w:t>
            </w:r>
          </w:p>
        </w:tc>
      </w:tr>
      <w:tr w14:paraId="384E7A0F">
        <w:tblPrEx>
          <w:tblBorders>
            <w:top w:val="double" w:color="auto" w:sz="4" w:space="0"/>
            <w:left w:val="none" w:color="auto" w:sz="0" w:space="0"/>
            <w:bottom w:val="double" w:color="auto" w:sz="4"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97" w:hRule="atLeast"/>
        </w:trPr>
        <w:tc>
          <w:tcPr>
            <w:tcW w:w="4261" w:type="dxa"/>
            <w:tcBorders>
              <w:tl2br w:val="nil"/>
              <w:tr2bl w:val="nil"/>
            </w:tcBorders>
            <w:vAlign w:val="center"/>
          </w:tcPr>
          <w:p w14:paraId="7F035EDB">
            <w:pPr>
              <w:pStyle w:val="720"/>
              <w:keepNext w:val="0"/>
              <w:keepLines w:val="0"/>
              <w:pageBreakBefore w:val="0"/>
              <w:widowControl/>
              <w:kinsoku/>
              <w:wordWrap/>
              <w:overflowPunct/>
              <w:topLinePunct w:val="0"/>
              <w:autoSpaceDE/>
              <w:autoSpaceDN/>
              <w:bidi w:val="0"/>
              <w:adjustRightInd/>
              <w:snapToGrid w:val="0"/>
              <w:textAlignment w:val="auto"/>
              <w:rPr>
                <w:rFonts w:hint="default" w:ascii="Times New Roman" w:hAnsi="Times New Roman" w:cs="Times New Roman"/>
                <w:color w:val="0000FF"/>
                <w:szCs w:val="21"/>
              </w:rPr>
            </w:pPr>
            <w:r>
              <w:rPr>
                <w:rFonts w:hint="default" w:ascii="Times New Roman" w:hAnsi="Times New Roman" w:cs="Times New Roman"/>
                <w:color w:val="0000FF"/>
                <w:szCs w:val="21"/>
              </w:rPr>
              <w:t>考虑建筑物下洗</w:t>
            </w:r>
          </w:p>
        </w:tc>
        <w:tc>
          <w:tcPr>
            <w:tcW w:w="4261" w:type="dxa"/>
            <w:tcBorders>
              <w:tl2br w:val="nil"/>
              <w:tr2bl w:val="nil"/>
            </w:tcBorders>
            <w:vAlign w:val="center"/>
          </w:tcPr>
          <w:p w14:paraId="0966C583">
            <w:pPr>
              <w:pStyle w:val="720"/>
              <w:keepNext w:val="0"/>
              <w:keepLines w:val="0"/>
              <w:pageBreakBefore w:val="0"/>
              <w:widowControl/>
              <w:kinsoku/>
              <w:wordWrap/>
              <w:overflowPunct/>
              <w:topLinePunct w:val="0"/>
              <w:autoSpaceDE/>
              <w:autoSpaceDN/>
              <w:bidi w:val="0"/>
              <w:adjustRightInd/>
              <w:snapToGrid w:val="0"/>
              <w:textAlignment w:val="auto"/>
              <w:rPr>
                <w:rFonts w:hint="default" w:ascii="Times New Roman" w:hAnsi="Times New Roman" w:cs="Times New Roman"/>
                <w:color w:val="0000FF"/>
                <w:szCs w:val="21"/>
              </w:rPr>
            </w:pPr>
            <w:r>
              <w:rPr>
                <w:rFonts w:hint="default" w:ascii="Times New Roman" w:hAnsi="Times New Roman" w:cs="Times New Roman"/>
                <w:color w:val="0000FF"/>
                <w:szCs w:val="21"/>
              </w:rPr>
              <w:t>否</w:t>
            </w:r>
          </w:p>
        </w:tc>
      </w:tr>
      <w:tr w14:paraId="08AAA901">
        <w:tblPrEx>
          <w:tblBorders>
            <w:top w:val="double" w:color="auto" w:sz="4" w:space="0"/>
            <w:left w:val="none" w:color="auto" w:sz="0" w:space="0"/>
            <w:bottom w:val="double" w:color="auto" w:sz="4"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97" w:hRule="atLeast"/>
        </w:trPr>
        <w:tc>
          <w:tcPr>
            <w:tcW w:w="4261" w:type="dxa"/>
            <w:tcBorders>
              <w:tl2br w:val="nil"/>
              <w:tr2bl w:val="nil"/>
            </w:tcBorders>
            <w:vAlign w:val="center"/>
          </w:tcPr>
          <w:p w14:paraId="630B0352">
            <w:pPr>
              <w:pStyle w:val="720"/>
              <w:keepNext w:val="0"/>
              <w:keepLines w:val="0"/>
              <w:pageBreakBefore w:val="0"/>
              <w:widowControl/>
              <w:kinsoku/>
              <w:wordWrap/>
              <w:overflowPunct/>
              <w:topLinePunct w:val="0"/>
              <w:autoSpaceDE/>
              <w:autoSpaceDN/>
              <w:bidi w:val="0"/>
              <w:adjustRightInd/>
              <w:snapToGrid w:val="0"/>
              <w:textAlignment w:val="auto"/>
              <w:rPr>
                <w:rFonts w:hint="default" w:ascii="Times New Roman" w:hAnsi="Times New Roman" w:cs="Times New Roman"/>
                <w:color w:val="0000FF"/>
                <w:szCs w:val="21"/>
              </w:rPr>
            </w:pPr>
            <w:r>
              <w:rPr>
                <w:rFonts w:hint="default" w:ascii="Times New Roman" w:hAnsi="Times New Roman" w:cs="Times New Roman"/>
                <w:color w:val="0000FF"/>
                <w:szCs w:val="21"/>
              </w:rPr>
              <w:t>考虑城市效应</w:t>
            </w:r>
          </w:p>
        </w:tc>
        <w:tc>
          <w:tcPr>
            <w:tcW w:w="4261" w:type="dxa"/>
            <w:tcBorders>
              <w:tl2br w:val="nil"/>
              <w:tr2bl w:val="nil"/>
            </w:tcBorders>
            <w:vAlign w:val="center"/>
          </w:tcPr>
          <w:p w14:paraId="28DB1B3F">
            <w:pPr>
              <w:pStyle w:val="720"/>
              <w:keepNext w:val="0"/>
              <w:keepLines w:val="0"/>
              <w:pageBreakBefore w:val="0"/>
              <w:widowControl/>
              <w:kinsoku/>
              <w:wordWrap/>
              <w:overflowPunct/>
              <w:topLinePunct w:val="0"/>
              <w:autoSpaceDE/>
              <w:autoSpaceDN/>
              <w:bidi w:val="0"/>
              <w:adjustRightInd/>
              <w:snapToGrid w:val="0"/>
              <w:textAlignment w:val="auto"/>
              <w:rPr>
                <w:rFonts w:hint="default" w:ascii="Times New Roman" w:hAnsi="Times New Roman" w:cs="Times New Roman"/>
                <w:color w:val="0000FF"/>
                <w:szCs w:val="21"/>
              </w:rPr>
            </w:pPr>
            <w:r>
              <w:rPr>
                <w:rFonts w:hint="default" w:ascii="Times New Roman" w:hAnsi="Times New Roman" w:cs="Times New Roman"/>
                <w:color w:val="0000FF"/>
                <w:szCs w:val="21"/>
              </w:rPr>
              <w:t>否</w:t>
            </w:r>
          </w:p>
        </w:tc>
      </w:tr>
      <w:tr w14:paraId="55E32914">
        <w:tblPrEx>
          <w:tblBorders>
            <w:top w:val="double" w:color="auto" w:sz="4" w:space="0"/>
            <w:left w:val="none" w:color="auto" w:sz="0" w:space="0"/>
            <w:bottom w:val="double" w:color="auto" w:sz="4"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97" w:hRule="atLeast"/>
        </w:trPr>
        <w:tc>
          <w:tcPr>
            <w:tcW w:w="4261" w:type="dxa"/>
            <w:tcBorders>
              <w:tl2br w:val="nil"/>
              <w:tr2bl w:val="nil"/>
            </w:tcBorders>
            <w:vAlign w:val="center"/>
          </w:tcPr>
          <w:p w14:paraId="3B40076C">
            <w:pPr>
              <w:pStyle w:val="720"/>
              <w:keepNext w:val="0"/>
              <w:keepLines w:val="0"/>
              <w:pageBreakBefore w:val="0"/>
              <w:widowControl/>
              <w:kinsoku/>
              <w:wordWrap/>
              <w:overflowPunct/>
              <w:topLinePunct w:val="0"/>
              <w:autoSpaceDE/>
              <w:autoSpaceDN/>
              <w:bidi w:val="0"/>
              <w:adjustRightInd/>
              <w:snapToGrid w:val="0"/>
              <w:textAlignment w:val="auto"/>
              <w:rPr>
                <w:rFonts w:hint="default" w:ascii="Times New Roman" w:hAnsi="Times New Roman" w:cs="Times New Roman"/>
                <w:color w:val="0000FF"/>
                <w:szCs w:val="21"/>
              </w:rPr>
            </w:pPr>
            <w:r>
              <w:rPr>
                <w:rFonts w:hint="default" w:ascii="Times New Roman" w:hAnsi="Times New Roman" w:cs="Times New Roman"/>
                <w:color w:val="0000FF"/>
                <w:szCs w:val="21"/>
              </w:rPr>
              <w:t>考虑NO2化学反应</w:t>
            </w:r>
          </w:p>
        </w:tc>
        <w:tc>
          <w:tcPr>
            <w:tcW w:w="4261" w:type="dxa"/>
            <w:tcBorders>
              <w:tl2br w:val="nil"/>
              <w:tr2bl w:val="nil"/>
            </w:tcBorders>
            <w:vAlign w:val="center"/>
          </w:tcPr>
          <w:p w14:paraId="17E1FC3E">
            <w:pPr>
              <w:pStyle w:val="720"/>
              <w:keepNext w:val="0"/>
              <w:keepLines w:val="0"/>
              <w:pageBreakBefore w:val="0"/>
              <w:widowControl/>
              <w:kinsoku/>
              <w:wordWrap/>
              <w:overflowPunct/>
              <w:topLinePunct w:val="0"/>
              <w:autoSpaceDE/>
              <w:autoSpaceDN/>
              <w:bidi w:val="0"/>
              <w:adjustRightInd/>
              <w:snapToGrid w:val="0"/>
              <w:textAlignment w:val="auto"/>
              <w:rPr>
                <w:rFonts w:hint="default" w:ascii="Times New Roman" w:hAnsi="Times New Roman" w:cs="Times New Roman"/>
                <w:color w:val="0000FF"/>
                <w:szCs w:val="21"/>
              </w:rPr>
            </w:pPr>
            <w:r>
              <w:rPr>
                <w:rFonts w:hint="default" w:ascii="Times New Roman" w:hAnsi="Times New Roman" w:eastAsia="宋体" w:cs="Times New Roman"/>
                <w:color w:val="0000FF"/>
                <w:kern w:val="0"/>
                <w:szCs w:val="21"/>
              </w:rPr>
              <w:t>OLM（O</w:t>
            </w:r>
            <w:r>
              <w:rPr>
                <w:rFonts w:hint="default" w:ascii="Times New Roman" w:hAnsi="Times New Roman" w:eastAsia="宋体" w:cs="Times New Roman"/>
                <w:color w:val="0000FF"/>
                <w:kern w:val="0"/>
                <w:szCs w:val="21"/>
                <w:vertAlign w:val="subscript"/>
              </w:rPr>
              <w:t>3</w:t>
            </w:r>
            <w:r>
              <w:rPr>
                <w:rFonts w:hint="default" w:ascii="Times New Roman" w:hAnsi="Times New Roman" w:eastAsia="宋体" w:cs="Times New Roman"/>
                <w:color w:val="0000FF"/>
                <w:kern w:val="0"/>
                <w:szCs w:val="21"/>
              </w:rPr>
              <w:t>限制法）：环境中O</w:t>
            </w:r>
            <w:r>
              <w:rPr>
                <w:rFonts w:hint="default" w:ascii="Times New Roman" w:hAnsi="Times New Roman" w:eastAsia="宋体" w:cs="Times New Roman"/>
                <w:color w:val="0000FF"/>
                <w:kern w:val="0"/>
                <w:szCs w:val="21"/>
                <w:vertAlign w:val="subscript"/>
              </w:rPr>
              <w:t>3</w:t>
            </w:r>
            <w:r>
              <w:rPr>
                <w:rFonts w:hint="default" w:ascii="Times New Roman" w:hAnsi="Times New Roman" w:eastAsia="宋体" w:cs="Times New Roman"/>
                <w:color w:val="0000FF"/>
                <w:kern w:val="0"/>
                <w:szCs w:val="21"/>
              </w:rPr>
              <w:t>浓度为186μg/m</w:t>
            </w:r>
            <w:r>
              <w:rPr>
                <w:rFonts w:hint="default" w:ascii="Times New Roman" w:hAnsi="Times New Roman" w:eastAsia="宋体" w:cs="Times New Roman"/>
                <w:color w:val="0000FF"/>
                <w:kern w:val="0"/>
                <w:szCs w:val="21"/>
                <w:vertAlign w:val="superscript"/>
              </w:rPr>
              <w:t>3</w:t>
            </w:r>
            <w:r>
              <w:rPr>
                <w:rFonts w:hint="default" w:ascii="Times New Roman" w:hAnsi="Times New Roman" w:eastAsia="宋体" w:cs="Times New Roman"/>
                <w:color w:val="0000FF"/>
                <w:kern w:val="0"/>
                <w:szCs w:val="21"/>
              </w:rPr>
              <w:t>，全部源烟道内NO</w:t>
            </w:r>
            <w:r>
              <w:rPr>
                <w:rFonts w:hint="default" w:ascii="Times New Roman" w:hAnsi="Times New Roman" w:eastAsia="宋体" w:cs="Times New Roman"/>
                <w:color w:val="0000FF"/>
                <w:kern w:val="0"/>
                <w:szCs w:val="21"/>
                <w:vertAlign w:val="subscript"/>
              </w:rPr>
              <w:t>2</w:t>
            </w:r>
            <w:r>
              <w:rPr>
                <w:rFonts w:hint="default" w:ascii="Times New Roman" w:hAnsi="Times New Roman" w:eastAsia="宋体" w:cs="Times New Roman"/>
                <w:color w:val="0000FF"/>
                <w:kern w:val="0"/>
                <w:szCs w:val="21"/>
              </w:rPr>
              <w:t>/NO</w:t>
            </w:r>
            <w:r>
              <w:rPr>
                <w:rFonts w:hint="default" w:ascii="Times New Roman" w:hAnsi="Times New Roman" w:eastAsia="宋体" w:cs="Times New Roman"/>
                <w:color w:val="0000FF"/>
                <w:kern w:val="0"/>
                <w:szCs w:val="21"/>
                <w:vertAlign w:val="subscript"/>
              </w:rPr>
              <w:t>x</w:t>
            </w:r>
            <w:r>
              <w:rPr>
                <w:rFonts w:hint="default" w:ascii="Times New Roman" w:hAnsi="Times New Roman" w:eastAsia="宋体" w:cs="Times New Roman"/>
                <w:color w:val="0000FF"/>
                <w:kern w:val="0"/>
                <w:szCs w:val="21"/>
              </w:rPr>
              <w:t>=0.1，环境中平衡态NO</w:t>
            </w:r>
            <w:r>
              <w:rPr>
                <w:rFonts w:hint="default" w:ascii="Times New Roman" w:hAnsi="Times New Roman" w:eastAsia="宋体" w:cs="Times New Roman"/>
                <w:color w:val="0000FF"/>
                <w:kern w:val="0"/>
                <w:szCs w:val="21"/>
                <w:vertAlign w:val="subscript"/>
              </w:rPr>
              <w:t>2</w:t>
            </w:r>
            <w:r>
              <w:rPr>
                <w:rFonts w:hint="default" w:ascii="Times New Roman" w:hAnsi="Times New Roman" w:eastAsia="宋体" w:cs="Times New Roman"/>
                <w:color w:val="0000FF"/>
                <w:kern w:val="0"/>
                <w:szCs w:val="21"/>
              </w:rPr>
              <w:t>/NO</w:t>
            </w:r>
            <w:r>
              <w:rPr>
                <w:rFonts w:hint="default" w:ascii="Times New Roman" w:hAnsi="Times New Roman" w:eastAsia="宋体" w:cs="Times New Roman"/>
                <w:color w:val="0000FF"/>
                <w:kern w:val="0"/>
                <w:szCs w:val="21"/>
                <w:vertAlign w:val="subscript"/>
              </w:rPr>
              <w:t>x</w:t>
            </w:r>
            <w:r>
              <w:rPr>
                <w:rFonts w:hint="default" w:ascii="Times New Roman" w:hAnsi="Times New Roman" w:eastAsia="宋体" w:cs="Times New Roman"/>
                <w:color w:val="0000FF"/>
                <w:kern w:val="0"/>
                <w:szCs w:val="21"/>
              </w:rPr>
              <w:t>=0.9</w:t>
            </w:r>
          </w:p>
        </w:tc>
      </w:tr>
      <w:tr w14:paraId="7B979951">
        <w:tblPrEx>
          <w:tblBorders>
            <w:top w:val="double" w:color="auto" w:sz="4" w:space="0"/>
            <w:left w:val="none" w:color="auto" w:sz="0" w:space="0"/>
            <w:bottom w:val="double" w:color="auto" w:sz="4"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97" w:hRule="atLeast"/>
        </w:trPr>
        <w:tc>
          <w:tcPr>
            <w:tcW w:w="4261" w:type="dxa"/>
            <w:tcBorders>
              <w:tl2br w:val="nil"/>
              <w:tr2bl w:val="nil"/>
            </w:tcBorders>
            <w:vAlign w:val="center"/>
          </w:tcPr>
          <w:p w14:paraId="7BCDE896">
            <w:pPr>
              <w:pStyle w:val="720"/>
              <w:keepNext w:val="0"/>
              <w:keepLines w:val="0"/>
              <w:pageBreakBefore w:val="0"/>
              <w:widowControl/>
              <w:kinsoku/>
              <w:wordWrap/>
              <w:overflowPunct/>
              <w:topLinePunct w:val="0"/>
              <w:autoSpaceDE/>
              <w:autoSpaceDN/>
              <w:bidi w:val="0"/>
              <w:adjustRightInd/>
              <w:snapToGrid w:val="0"/>
              <w:textAlignment w:val="auto"/>
              <w:rPr>
                <w:rFonts w:hint="default" w:ascii="Times New Roman" w:hAnsi="Times New Roman" w:cs="Times New Roman"/>
                <w:color w:val="0000FF"/>
                <w:szCs w:val="21"/>
              </w:rPr>
            </w:pPr>
            <w:r>
              <w:rPr>
                <w:rFonts w:hint="default" w:ascii="Times New Roman" w:hAnsi="Times New Roman" w:cs="Times New Roman"/>
                <w:color w:val="0000FF"/>
                <w:szCs w:val="21"/>
              </w:rPr>
              <w:t>考虑全部源速度优化</w:t>
            </w:r>
          </w:p>
        </w:tc>
        <w:tc>
          <w:tcPr>
            <w:tcW w:w="4261" w:type="dxa"/>
            <w:tcBorders>
              <w:tl2br w:val="nil"/>
              <w:tr2bl w:val="nil"/>
            </w:tcBorders>
            <w:vAlign w:val="center"/>
          </w:tcPr>
          <w:p w14:paraId="3DF64340">
            <w:pPr>
              <w:pStyle w:val="720"/>
              <w:keepNext w:val="0"/>
              <w:keepLines w:val="0"/>
              <w:pageBreakBefore w:val="0"/>
              <w:widowControl/>
              <w:kinsoku/>
              <w:wordWrap/>
              <w:overflowPunct/>
              <w:topLinePunct w:val="0"/>
              <w:autoSpaceDE/>
              <w:autoSpaceDN/>
              <w:bidi w:val="0"/>
              <w:adjustRightInd/>
              <w:snapToGrid w:val="0"/>
              <w:textAlignment w:val="auto"/>
              <w:rPr>
                <w:rFonts w:hint="default" w:ascii="Times New Roman" w:hAnsi="Times New Roman" w:cs="Times New Roman"/>
                <w:color w:val="0000FF"/>
                <w:szCs w:val="21"/>
              </w:rPr>
            </w:pPr>
            <w:r>
              <w:rPr>
                <w:rFonts w:hint="default" w:ascii="Times New Roman" w:hAnsi="Times New Roman" w:cs="Times New Roman"/>
                <w:color w:val="0000FF"/>
                <w:szCs w:val="21"/>
              </w:rPr>
              <w:t>是</w:t>
            </w:r>
          </w:p>
        </w:tc>
      </w:tr>
      <w:tr w14:paraId="7976BF2F">
        <w:tblPrEx>
          <w:tblBorders>
            <w:top w:val="double" w:color="auto" w:sz="4" w:space="0"/>
            <w:left w:val="none" w:color="auto" w:sz="0" w:space="0"/>
            <w:bottom w:val="double" w:color="auto" w:sz="4"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97" w:hRule="atLeast"/>
        </w:trPr>
        <w:tc>
          <w:tcPr>
            <w:tcW w:w="4261" w:type="dxa"/>
            <w:tcBorders>
              <w:tl2br w:val="nil"/>
              <w:tr2bl w:val="nil"/>
            </w:tcBorders>
            <w:vAlign w:val="center"/>
          </w:tcPr>
          <w:p w14:paraId="0FAA3C73">
            <w:pPr>
              <w:pStyle w:val="720"/>
              <w:keepNext w:val="0"/>
              <w:keepLines w:val="0"/>
              <w:pageBreakBefore w:val="0"/>
              <w:widowControl/>
              <w:kinsoku/>
              <w:wordWrap/>
              <w:overflowPunct/>
              <w:topLinePunct w:val="0"/>
              <w:autoSpaceDE/>
              <w:autoSpaceDN/>
              <w:bidi w:val="0"/>
              <w:adjustRightInd/>
              <w:snapToGrid w:val="0"/>
              <w:textAlignment w:val="auto"/>
              <w:rPr>
                <w:rFonts w:hint="default" w:ascii="Times New Roman" w:hAnsi="Times New Roman" w:cs="Times New Roman"/>
                <w:color w:val="0000FF"/>
                <w:szCs w:val="21"/>
              </w:rPr>
            </w:pPr>
            <w:r>
              <w:rPr>
                <w:rFonts w:hint="default" w:ascii="Times New Roman" w:hAnsi="Times New Roman" w:cs="Times New Roman"/>
                <w:color w:val="0000FF"/>
                <w:szCs w:val="21"/>
              </w:rPr>
              <w:t>考虑扩散过程的衰减</w:t>
            </w:r>
          </w:p>
        </w:tc>
        <w:tc>
          <w:tcPr>
            <w:tcW w:w="4261" w:type="dxa"/>
            <w:tcBorders>
              <w:tl2br w:val="nil"/>
              <w:tr2bl w:val="nil"/>
            </w:tcBorders>
            <w:vAlign w:val="center"/>
          </w:tcPr>
          <w:p w14:paraId="3C67FF2F">
            <w:pPr>
              <w:pStyle w:val="720"/>
              <w:keepNext w:val="0"/>
              <w:keepLines w:val="0"/>
              <w:pageBreakBefore w:val="0"/>
              <w:widowControl/>
              <w:kinsoku/>
              <w:wordWrap/>
              <w:overflowPunct/>
              <w:topLinePunct w:val="0"/>
              <w:autoSpaceDE/>
              <w:autoSpaceDN/>
              <w:bidi w:val="0"/>
              <w:adjustRightInd/>
              <w:snapToGrid w:val="0"/>
              <w:textAlignment w:val="auto"/>
              <w:rPr>
                <w:rFonts w:hint="default" w:ascii="Times New Roman" w:hAnsi="Times New Roman" w:cs="Times New Roman"/>
                <w:color w:val="0000FF"/>
                <w:szCs w:val="21"/>
              </w:rPr>
            </w:pPr>
            <w:r>
              <w:rPr>
                <w:rFonts w:hint="default" w:ascii="Times New Roman" w:hAnsi="Times New Roman" w:cs="Times New Roman"/>
                <w:color w:val="0000FF"/>
                <w:szCs w:val="21"/>
              </w:rPr>
              <w:t>否</w:t>
            </w:r>
          </w:p>
        </w:tc>
      </w:tr>
      <w:tr w14:paraId="014E8FA0">
        <w:tblPrEx>
          <w:tblBorders>
            <w:top w:val="double" w:color="auto" w:sz="4" w:space="0"/>
            <w:left w:val="none" w:color="auto" w:sz="0" w:space="0"/>
            <w:bottom w:val="double" w:color="auto" w:sz="4"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97" w:hRule="atLeast"/>
        </w:trPr>
        <w:tc>
          <w:tcPr>
            <w:tcW w:w="4261" w:type="dxa"/>
            <w:tcBorders>
              <w:tl2br w:val="nil"/>
              <w:tr2bl w:val="nil"/>
            </w:tcBorders>
            <w:vAlign w:val="center"/>
          </w:tcPr>
          <w:p w14:paraId="4DA28780">
            <w:pPr>
              <w:pStyle w:val="720"/>
              <w:keepNext w:val="0"/>
              <w:keepLines w:val="0"/>
              <w:pageBreakBefore w:val="0"/>
              <w:widowControl/>
              <w:kinsoku/>
              <w:wordWrap/>
              <w:overflowPunct/>
              <w:topLinePunct w:val="0"/>
              <w:autoSpaceDE/>
              <w:autoSpaceDN/>
              <w:bidi w:val="0"/>
              <w:adjustRightInd/>
              <w:snapToGrid w:val="0"/>
              <w:textAlignment w:val="auto"/>
              <w:rPr>
                <w:rFonts w:hint="default" w:ascii="Times New Roman" w:hAnsi="Times New Roman" w:cs="Times New Roman"/>
                <w:color w:val="0000FF"/>
                <w:szCs w:val="21"/>
              </w:rPr>
            </w:pPr>
            <w:r>
              <w:rPr>
                <w:rFonts w:hint="default" w:ascii="Times New Roman" w:hAnsi="Times New Roman" w:cs="Times New Roman"/>
                <w:color w:val="0000FF"/>
                <w:szCs w:val="21"/>
              </w:rPr>
              <w:t>考虑浓度的背景值叠加</w:t>
            </w:r>
          </w:p>
        </w:tc>
        <w:tc>
          <w:tcPr>
            <w:tcW w:w="4261" w:type="dxa"/>
            <w:tcBorders>
              <w:tl2br w:val="nil"/>
              <w:tr2bl w:val="nil"/>
            </w:tcBorders>
            <w:vAlign w:val="center"/>
          </w:tcPr>
          <w:p w14:paraId="71765E0C">
            <w:pPr>
              <w:pStyle w:val="720"/>
              <w:keepNext w:val="0"/>
              <w:keepLines w:val="0"/>
              <w:pageBreakBefore w:val="0"/>
              <w:widowControl/>
              <w:kinsoku/>
              <w:wordWrap/>
              <w:overflowPunct/>
              <w:topLinePunct w:val="0"/>
              <w:autoSpaceDE/>
              <w:autoSpaceDN/>
              <w:bidi w:val="0"/>
              <w:adjustRightInd/>
              <w:snapToGrid w:val="0"/>
              <w:textAlignment w:val="auto"/>
              <w:rPr>
                <w:rFonts w:hint="default" w:ascii="Times New Roman" w:hAnsi="Times New Roman" w:cs="Times New Roman"/>
                <w:color w:val="0000FF"/>
                <w:szCs w:val="21"/>
              </w:rPr>
            </w:pPr>
            <w:r>
              <w:rPr>
                <w:rFonts w:hint="default" w:ascii="Times New Roman" w:hAnsi="Times New Roman" w:cs="Times New Roman"/>
                <w:color w:val="0000FF"/>
                <w:szCs w:val="21"/>
              </w:rPr>
              <w:t>是</w:t>
            </w:r>
          </w:p>
        </w:tc>
      </w:tr>
      <w:tr w14:paraId="20F81E58">
        <w:tblPrEx>
          <w:tblBorders>
            <w:top w:val="double" w:color="auto" w:sz="4" w:space="0"/>
            <w:left w:val="none" w:color="auto" w:sz="0" w:space="0"/>
            <w:bottom w:val="double" w:color="auto" w:sz="4"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97" w:hRule="atLeast"/>
        </w:trPr>
        <w:tc>
          <w:tcPr>
            <w:tcW w:w="4261" w:type="dxa"/>
            <w:tcBorders>
              <w:tl2br w:val="nil"/>
              <w:tr2bl w:val="nil"/>
            </w:tcBorders>
            <w:vAlign w:val="center"/>
          </w:tcPr>
          <w:p w14:paraId="3DA4B95B">
            <w:pPr>
              <w:pStyle w:val="720"/>
              <w:keepNext w:val="0"/>
              <w:keepLines w:val="0"/>
              <w:pageBreakBefore w:val="0"/>
              <w:widowControl/>
              <w:kinsoku/>
              <w:wordWrap/>
              <w:overflowPunct/>
              <w:topLinePunct w:val="0"/>
              <w:autoSpaceDE/>
              <w:autoSpaceDN/>
              <w:bidi w:val="0"/>
              <w:adjustRightInd/>
              <w:snapToGrid w:val="0"/>
              <w:textAlignment w:val="auto"/>
              <w:rPr>
                <w:rFonts w:hint="default" w:ascii="Times New Roman" w:hAnsi="Times New Roman" w:cs="Times New Roman"/>
                <w:color w:val="0000FF"/>
                <w:szCs w:val="21"/>
              </w:rPr>
            </w:pPr>
            <w:r>
              <w:rPr>
                <w:rFonts w:hint="default" w:ascii="Times New Roman" w:hAnsi="Times New Roman" w:cs="Times New Roman"/>
                <w:color w:val="0000FF"/>
                <w:szCs w:val="21"/>
              </w:rPr>
              <w:t>气象起止日期</w:t>
            </w:r>
          </w:p>
        </w:tc>
        <w:tc>
          <w:tcPr>
            <w:tcW w:w="4261" w:type="dxa"/>
            <w:tcBorders>
              <w:tl2br w:val="nil"/>
              <w:tr2bl w:val="nil"/>
            </w:tcBorders>
            <w:vAlign w:val="center"/>
          </w:tcPr>
          <w:p w14:paraId="15CCBA77">
            <w:pPr>
              <w:pStyle w:val="720"/>
              <w:keepNext w:val="0"/>
              <w:keepLines w:val="0"/>
              <w:pageBreakBefore w:val="0"/>
              <w:widowControl/>
              <w:kinsoku/>
              <w:wordWrap/>
              <w:overflowPunct/>
              <w:topLinePunct w:val="0"/>
              <w:autoSpaceDE/>
              <w:autoSpaceDN/>
              <w:bidi w:val="0"/>
              <w:adjustRightInd/>
              <w:snapToGrid w:val="0"/>
              <w:textAlignment w:val="auto"/>
              <w:rPr>
                <w:rFonts w:hint="default" w:ascii="Times New Roman" w:hAnsi="Times New Roman" w:cs="Times New Roman"/>
                <w:color w:val="0000FF"/>
                <w:szCs w:val="21"/>
              </w:rPr>
            </w:pPr>
            <w:r>
              <w:rPr>
                <w:rFonts w:hint="default" w:ascii="Times New Roman" w:hAnsi="Times New Roman" w:cs="Times New Roman"/>
                <w:color w:val="0000FF"/>
                <w:szCs w:val="21"/>
              </w:rPr>
              <w:t>20</w:t>
            </w:r>
            <w:r>
              <w:rPr>
                <w:rFonts w:hint="default" w:ascii="Times New Roman" w:hAnsi="Times New Roman" w:cs="Times New Roman"/>
                <w:color w:val="0000FF"/>
                <w:szCs w:val="21"/>
                <w:lang w:val="en-US" w:eastAsia="zh-CN"/>
              </w:rPr>
              <w:t>24</w:t>
            </w:r>
            <w:r>
              <w:rPr>
                <w:rFonts w:hint="default" w:ascii="Times New Roman" w:hAnsi="Times New Roman" w:cs="Times New Roman"/>
                <w:color w:val="0000FF"/>
                <w:szCs w:val="21"/>
              </w:rPr>
              <w:t>-01-01至20</w:t>
            </w:r>
            <w:r>
              <w:rPr>
                <w:rFonts w:hint="default" w:ascii="Times New Roman" w:hAnsi="Times New Roman" w:cs="Times New Roman"/>
                <w:color w:val="0000FF"/>
                <w:szCs w:val="21"/>
                <w:lang w:val="en-US" w:eastAsia="zh-CN"/>
              </w:rPr>
              <w:t>24</w:t>
            </w:r>
            <w:r>
              <w:rPr>
                <w:rFonts w:hint="default" w:ascii="Times New Roman" w:hAnsi="Times New Roman" w:cs="Times New Roman"/>
                <w:color w:val="0000FF"/>
                <w:szCs w:val="21"/>
              </w:rPr>
              <w:t>-12-31</w:t>
            </w:r>
          </w:p>
        </w:tc>
      </w:tr>
      <w:tr w14:paraId="0578CC8D">
        <w:tblPrEx>
          <w:tblBorders>
            <w:top w:val="double" w:color="auto" w:sz="4" w:space="0"/>
            <w:left w:val="none" w:color="auto" w:sz="0" w:space="0"/>
            <w:bottom w:val="double" w:color="auto" w:sz="4"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97" w:hRule="atLeast"/>
        </w:trPr>
        <w:tc>
          <w:tcPr>
            <w:tcW w:w="4261" w:type="dxa"/>
            <w:tcBorders>
              <w:tl2br w:val="nil"/>
              <w:tr2bl w:val="nil"/>
            </w:tcBorders>
            <w:vAlign w:val="center"/>
          </w:tcPr>
          <w:p w14:paraId="180D4484">
            <w:pPr>
              <w:pStyle w:val="720"/>
              <w:keepNext w:val="0"/>
              <w:keepLines w:val="0"/>
              <w:pageBreakBefore w:val="0"/>
              <w:widowControl/>
              <w:kinsoku/>
              <w:wordWrap/>
              <w:overflowPunct/>
              <w:topLinePunct w:val="0"/>
              <w:autoSpaceDE/>
              <w:autoSpaceDN/>
              <w:bidi w:val="0"/>
              <w:adjustRightInd/>
              <w:snapToGrid w:val="0"/>
              <w:textAlignment w:val="auto"/>
              <w:rPr>
                <w:rFonts w:hint="default" w:ascii="Times New Roman" w:hAnsi="Times New Roman" w:cs="Times New Roman"/>
                <w:color w:val="0000FF"/>
                <w:szCs w:val="21"/>
              </w:rPr>
            </w:pPr>
            <w:r>
              <w:rPr>
                <w:rFonts w:hint="default" w:ascii="Times New Roman" w:hAnsi="Times New Roman" w:cs="Times New Roman"/>
                <w:color w:val="0000FF"/>
                <w:szCs w:val="21"/>
              </w:rPr>
              <w:t>计算网格间距</w:t>
            </w:r>
          </w:p>
        </w:tc>
        <w:tc>
          <w:tcPr>
            <w:tcW w:w="4261" w:type="dxa"/>
            <w:tcBorders>
              <w:tl2br w:val="nil"/>
              <w:tr2bl w:val="nil"/>
            </w:tcBorders>
            <w:vAlign w:val="center"/>
          </w:tcPr>
          <w:p w14:paraId="1EAF36CD">
            <w:pPr>
              <w:pStyle w:val="720"/>
              <w:keepNext w:val="0"/>
              <w:keepLines w:val="0"/>
              <w:pageBreakBefore w:val="0"/>
              <w:widowControl/>
              <w:kinsoku/>
              <w:wordWrap/>
              <w:overflowPunct/>
              <w:topLinePunct w:val="0"/>
              <w:autoSpaceDE/>
              <w:autoSpaceDN/>
              <w:bidi w:val="0"/>
              <w:adjustRightInd/>
              <w:snapToGrid w:val="0"/>
              <w:textAlignment w:val="auto"/>
              <w:rPr>
                <w:rFonts w:hint="default" w:ascii="Times New Roman" w:hAnsi="Times New Roman" w:cs="Times New Roman"/>
                <w:color w:val="0000FF"/>
                <w:szCs w:val="21"/>
              </w:rPr>
            </w:pPr>
            <w:r>
              <w:rPr>
                <w:rFonts w:hint="default" w:ascii="Times New Roman" w:hAnsi="Times New Roman" w:cs="Times New Roman"/>
                <w:color w:val="0000FF"/>
                <w:szCs w:val="21"/>
              </w:rPr>
              <w:t>100m</w:t>
            </w:r>
          </w:p>
        </w:tc>
      </w:tr>
    </w:tbl>
    <w:p w14:paraId="50BBE44B">
      <w:pPr>
        <w:pStyle w:val="133"/>
        <w:rPr>
          <w:color w:val="0000FF"/>
        </w:rPr>
      </w:pPr>
      <w:r>
        <w:rPr>
          <w:rFonts w:hint="eastAsia"/>
          <w:color w:val="0000FF"/>
          <w:lang w:eastAsia="zh-CN"/>
        </w:rPr>
        <w:t>5</w:t>
      </w:r>
      <w:r>
        <w:rPr>
          <w:color w:val="0000FF"/>
        </w:rPr>
        <w:t>.1.</w:t>
      </w:r>
      <w:r>
        <w:rPr>
          <w:color w:val="0000FF"/>
          <w:lang w:eastAsia="zh-CN"/>
        </w:rPr>
        <w:t>7</w:t>
      </w:r>
      <w:r>
        <w:rPr>
          <w:color w:val="0000FF"/>
        </w:rPr>
        <w:t>.</w:t>
      </w:r>
      <w:r>
        <w:rPr>
          <w:rFonts w:hint="eastAsia"/>
          <w:color w:val="0000FF"/>
          <w:lang w:val="en-US" w:eastAsia="zh-CN"/>
        </w:rPr>
        <w:t xml:space="preserve">2 </w:t>
      </w:r>
      <w:r>
        <w:rPr>
          <w:rFonts w:hint="eastAsia"/>
          <w:color w:val="0000FF"/>
        </w:rPr>
        <w:t>预测标准及背景浓度取值</w:t>
      </w:r>
    </w:p>
    <w:p w14:paraId="347E9C65">
      <w:pPr>
        <w:pStyle w:val="135"/>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left="0" w:leftChars="0" w:firstLine="480" w:firstLineChars="200"/>
        <w:contextualSpacing/>
        <w:textAlignment w:val="auto"/>
        <w:rPr>
          <w:rFonts w:hint="default" w:ascii="Times New Roman" w:hAnsi="Times New Roman" w:eastAsia="宋体" w:cs="Times New Roman"/>
          <w:color w:val="0000FF"/>
          <w:kern w:val="2"/>
          <w:sz w:val="24"/>
          <w:szCs w:val="22"/>
          <w:highlight w:val="none"/>
          <w:lang w:val="en-US" w:eastAsia="zh-CN" w:bidi="ar-SA"/>
        </w:rPr>
      </w:pPr>
      <w:r>
        <w:rPr>
          <w:rFonts w:hint="default" w:ascii="Times New Roman" w:hAnsi="Times New Roman" w:eastAsia="宋体" w:cs="Times New Roman"/>
          <w:color w:val="0000FF"/>
          <w:kern w:val="2"/>
          <w:sz w:val="24"/>
          <w:szCs w:val="22"/>
          <w:highlight w:val="none"/>
          <w:lang w:val="en-US" w:eastAsia="zh-CN" w:bidi="ar-SA"/>
        </w:rPr>
        <w:t>本项目评价区环境空气功能属环境空气二类区，本项目选取2024年作为评价基准年，SO</w:t>
      </w:r>
      <w:r>
        <w:rPr>
          <w:rFonts w:hint="default" w:ascii="Times New Roman" w:hAnsi="Times New Roman" w:eastAsia="宋体" w:cs="Times New Roman"/>
          <w:color w:val="0000FF"/>
          <w:kern w:val="2"/>
          <w:sz w:val="24"/>
          <w:szCs w:val="22"/>
          <w:highlight w:val="none"/>
          <w:vertAlign w:val="subscript"/>
          <w:lang w:val="en-US" w:eastAsia="zh-CN" w:bidi="ar-SA"/>
        </w:rPr>
        <w:t>2</w:t>
      </w:r>
      <w:r>
        <w:rPr>
          <w:rFonts w:hint="default" w:ascii="Times New Roman" w:hAnsi="Times New Roman" w:eastAsia="宋体" w:cs="Times New Roman"/>
          <w:color w:val="0000FF"/>
          <w:kern w:val="2"/>
          <w:sz w:val="24"/>
          <w:szCs w:val="22"/>
          <w:highlight w:val="none"/>
          <w:lang w:val="en-US" w:eastAsia="zh-CN" w:bidi="ar-SA"/>
        </w:rPr>
        <w:t>选取176</w:t>
      </w:r>
      <w:r>
        <w:rPr>
          <w:rFonts w:hint="eastAsia" w:ascii="Times New Roman" w:hAnsi="Times New Roman" w:cs="Times New Roman"/>
          <w:color w:val="0000FF"/>
          <w:kern w:val="2"/>
          <w:sz w:val="24"/>
          <w:szCs w:val="22"/>
          <w:highlight w:val="none"/>
          <w:lang w:val="en-US" w:eastAsia="zh-CN" w:bidi="ar-SA"/>
        </w:rPr>
        <w:t>5</w:t>
      </w:r>
      <w:r>
        <w:rPr>
          <w:rFonts w:hint="default" w:ascii="Times New Roman" w:hAnsi="Times New Roman" w:eastAsia="宋体" w:cs="Times New Roman"/>
          <w:color w:val="0000FF"/>
          <w:kern w:val="2"/>
          <w:sz w:val="24"/>
          <w:szCs w:val="22"/>
          <w:highlight w:val="none"/>
          <w:lang w:val="en-US" w:eastAsia="zh-CN" w:bidi="ar-SA"/>
        </w:rPr>
        <w:t>A本溪</w:t>
      </w:r>
      <w:r>
        <w:rPr>
          <w:rFonts w:hint="eastAsia" w:ascii="Times New Roman" w:hAnsi="Times New Roman" w:cs="Times New Roman"/>
          <w:color w:val="0000FF"/>
          <w:kern w:val="2"/>
          <w:sz w:val="24"/>
          <w:szCs w:val="22"/>
          <w:highlight w:val="none"/>
          <w:lang w:val="en-US" w:eastAsia="zh-CN" w:bidi="ar-SA"/>
        </w:rPr>
        <w:t>新立屯</w:t>
      </w:r>
      <w:r>
        <w:rPr>
          <w:rFonts w:hint="default" w:ascii="Times New Roman" w:hAnsi="Times New Roman" w:eastAsia="宋体" w:cs="Times New Roman"/>
          <w:color w:val="0000FF"/>
          <w:kern w:val="2"/>
          <w:sz w:val="24"/>
          <w:szCs w:val="22"/>
          <w:highlight w:val="none"/>
          <w:lang w:val="en-US" w:eastAsia="zh-CN" w:bidi="ar-SA"/>
        </w:rPr>
        <w:t>（</w:t>
      </w:r>
      <w:bookmarkStart w:id="452" w:name="OLE_LINK5"/>
      <w:r>
        <w:rPr>
          <w:rFonts w:hint="default" w:ascii="Times New Roman" w:hAnsi="Times New Roman" w:eastAsia="宋体" w:cs="Times New Roman"/>
          <w:color w:val="0000FF"/>
          <w:kern w:val="2"/>
          <w:sz w:val="24"/>
          <w:szCs w:val="22"/>
          <w:highlight w:val="none"/>
          <w:lang w:val="en-US" w:eastAsia="zh-CN" w:bidi="ar-SA"/>
        </w:rPr>
        <w:t>123.</w:t>
      </w:r>
      <w:r>
        <w:rPr>
          <w:rFonts w:hint="eastAsia" w:ascii="Times New Roman" w:hAnsi="Times New Roman" w:cs="Times New Roman"/>
          <w:color w:val="0000FF"/>
          <w:kern w:val="2"/>
          <w:sz w:val="24"/>
          <w:szCs w:val="22"/>
          <w:highlight w:val="none"/>
          <w:lang w:val="en-US" w:eastAsia="zh-CN" w:bidi="ar-SA"/>
        </w:rPr>
        <w:t>799</w:t>
      </w:r>
      <w:bookmarkEnd w:id="452"/>
      <w:r>
        <w:rPr>
          <w:rFonts w:hint="default" w:ascii="Times New Roman" w:hAnsi="Times New Roman" w:eastAsia="宋体" w:cs="Times New Roman"/>
          <w:color w:val="0000FF"/>
          <w:kern w:val="2"/>
          <w:sz w:val="24"/>
          <w:szCs w:val="22"/>
          <w:highlight w:val="none"/>
          <w:lang w:val="en-US" w:eastAsia="zh-CN" w:bidi="ar-SA"/>
        </w:rPr>
        <w:t>E、41.</w:t>
      </w:r>
      <w:r>
        <w:rPr>
          <w:rFonts w:hint="eastAsia" w:ascii="Times New Roman" w:hAnsi="Times New Roman" w:cs="Times New Roman"/>
          <w:color w:val="0000FF"/>
          <w:kern w:val="2"/>
          <w:sz w:val="24"/>
          <w:szCs w:val="22"/>
          <w:highlight w:val="none"/>
          <w:lang w:val="en-US" w:eastAsia="zh-CN" w:bidi="ar-SA"/>
        </w:rPr>
        <w:t>266</w:t>
      </w:r>
      <w:r>
        <w:rPr>
          <w:rFonts w:hint="default" w:ascii="Times New Roman" w:hAnsi="Times New Roman" w:eastAsia="宋体" w:cs="Times New Roman"/>
          <w:color w:val="0000FF"/>
          <w:kern w:val="2"/>
          <w:sz w:val="24"/>
          <w:szCs w:val="22"/>
          <w:highlight w:val="none"/>
          <w:lang w:val="en-US" w:eastAsia="zh-CN" w:bidi="ar-SA"/>
        </w:rPr>
        <w:t>N）环境质量监测站监测浓度值，其它因子采用环境质量现状监测补充监测数据。</w:t>
      </w:r>
    </w:p>
    <w:p w14:paraId="54D0D826">
      <w:pPr>
        <w:tabs>
          <w:tab w:val="left" w:pos="851"/>
          <w:tab w:val="left" w:pos="1141"/>
          <w:tab w:val="left" w:pos="4335"/>
        </w:tabs>
        <w:jc w:val="center"/>
        <w:rPr>
          <w:rFonts w:ascii="Times New Roman" w:hAnsi="Times New Roman" w:eastAsia="黑体" w:cs="Times New Roman"/>
          <w:color w:val="0000FF"/>
        </w:rPr>
      </w:pPr>
    </w:p>
    <w:p w14:paraId="169439E1">
      <w:pPr>
        <w:tabs>
          <w:tab w:val="left" w:pos="851"/>
          <w:tab w:val="left" w:pos="1141"/>
          <w:tab w:val="left" w:pos="4335"/>
        </w:tabs>
        <w:jc w:val="center"/>
        <w:rPr>
          <w:rFonts w:ascii="Times New Roman" w:hAnsi="Times New Roman" w:eastAsia="黑体" w:cs="Times New Roman"/>
          <w:color w:val="0000FF"/>
        </w:rPr>
      </w:pPr>
      <w:r>
        <w:rPr>
          <w:rFonts w:ascii="Times New Roman" w:hAnsi="Times New Roman" w:eastAsia="黑体" w:cs="Times New Roman"/>
          <w:color w:val="0000FF"/>
        </w:rPr>
        <w:t>表</w:t>
      </w:r>
      <w:r>
        <w:rPr>
          <w:rFonts w:hint="eastAsia" w:ascii="Times New Roman" w:hAnsi="Times New Roman" w:eastAsia="黑体" w:cs="Times New Roman"/>
          <w:color w:val="0000FF"/>
          <w:lang w:val="en-US" w:eastAsia="zh-CN"/>
        </w:rPr>
        <w:t>5.1-11</w:t>
      </w:r>
      <w:r>
        <w:rPr>
          <w:rFonts w:ascii="Times New Roman" w:hAnsi="Times New Roman" w:eastAsia="黑体" w:cs="Times New Roman"/>
          <w:color w:val="0000FF"/>
        </w:rPr>
        <w:t xml:space="preserve"> </w:t>
      </w:r>
      <w:r>
        <w:rPr>
          <w:rFonts w:hint="eastAsia" w:ascii="Times New Roman" w:hAnsi="Times New Roman" w:eastAsia="黑体" w:cs="Times New Roman"/>
          <w:color w:val="0000FF"/>
        </w:rPr>
        <w:t>环境空气例行监测点位</w:t>
      </w:r>
      <w:r>
        <w:rPr>
          <w:rFonts w:ascii="Times New Roman" w:hAnsi="Times New Roman" w:eastAsia="黑体" w:cs="Times New Roman"/>
          <w:color w:val="0000FF"/>
        </w:rPr>
        <w:t>基本信息</w:t>
      </w:r>
    </w:p>
    <w:tbl>
      <w:tblPr>
        <w:tblStyle w:val="56"/>
        <w:tblW w:w="5000" w:type="pct"/>
        <w:jc w:val="center"/>
        <w:tblBorders>
          <w:top w:val="thinThickSmallGap" w:color="000000" w:sz="12" w:space="0"/>
          <w:left w:val="none" w:color="auto" w:sz="0" w:space="0"/>
          <w:bottom w:val="thinThickSmallGap" w:color="000000" w:sz="12" w:space="0"/>
          <w:right w:val="none" w:color="auto" w:sz="0" w:space="0"/>
          <w:insideH w:val="single" w:color="000000" w:sz="4" w:space="0"/>
          <w:insideV w:val="single" w:color="000000" w:sz="4" w:space="0"/>
        </w:tblBorders>
        <w:shd w:val="clear" w:color="auto" w:fill="auto"/>
        <w:tblLayout w:type="autofit"/>
        <w:tblCellMar>
          <w:top w:w="0" w:type="dxa"/>
          <w:left w:w="108" w:type="dxa"/>
          <w:bottom w:w="0" w:type="dxa"/>
          <w:right w:w="108" w:type="dxa"/>
        </w:tblCellMar>
      </w:tblPr>
      <w:tblGrid>
        <w:gridCol w:w="967"/>
        <w:gridCol w:w="1024"/>
        <w:gridCol w:w="1059"/>
        <w:gridCol w:w="1084"/>
        <w:gridCol w:w="948"/>
        <w:gridCol w:w="1111"/>
        <w:gridCol w:w="922"/>
        <w:gridCol w:w="1408"/>
      </w:tblGrid>
      <w:tr w14:paraId="5BB34F66">
        <w:tblPrEx>
          <w:tblBorders>
            <w:top w:val="thinThickSmallGap" w:color="000000" w:sz="12" w:space="0"/>
            <w:left w:val="none" w:color="auto" w:sz="0" w:space="0"/>
            <w:bottom w:val="thinThickSmallGap" w:color="000000" w:sz="12" w:space="0"/>
            <w:right w:val="none" w:color="auto" w:sz="0"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378" w:hRule="atLeast"/>
          <w:jc w:val="center"/>
        </w:trPr>
        <w:tc>
          <w:tcPr>
            <w:tcW w:w="567" w:type="pct"/>
            <w:vMerge w:val="restart"/>
            <w:tcBorders>
              <w:tl2br w:val="nil"/>
              <w:tr2bl w:val="nil"/>
            </w:tcBorders>
            <w:shd w:val="clear" w:color="auto" w:fill="auto"/>
            <w:vAlign w:val="center"/>
          </w:tcPr>
          <w:p w14:paraId="18E9C1C3">
            <w:pPr>
              <w:keepNext w:val="0"/>
              <w:keepLines w:val="0"/>
              <w:pageBreakBefore w:val="0"/>
              <w:widowControl/>
              <w:kinsoku/>
              <w:wordWrap/>
              <w:overflowPunct/>
              <w:topLinePunct w:val="0"/>
              <w:autoSpaceDE/>
              <w:autoSpaceDN/>
              <w:bidi w:val="0"/>
              <w:adjustRightInd/>
              <w:snapToGrid w:val="0"/>
              <w:spacing w:line="240" w:lineRule="auto"/>
              <w:jc w:val="center"/>
              <w:textAlignment w:val="auto"/>
              <w:rPr>
                <w:rFonts w:hint="default" w:ascii="Times New Roman" w:hAnsi="Times New Roman" w:eastAsia="宋体" w:cs="Times New Roman"/>
                <w:b w:val="0"/>
                <w:bCs w:val="0"/>
                <w:color w:val="0000FF"/>
                <w:kern w:val="0"/>
                <w:sz w:val="21"/>
                <w:szCs w:val="21"/>
              </w:rPr>
            </w:pPr>
            <w:r>
              <w:rPr>
                <w:rFonts w:hint="default" w:ascii="Times New Roman" w:hAnsi="Times New Roman" w:eastAsia="宋体" w:cs="Times New Roman"/>
                <w:b w:val="0"/>
                <w:bCs w:val="0"/>
                <w:color w:val="0000FF"/>
                <w:kern w:val="0"/>
                <w:sz w:val="21"/>
                <w:szCs w:val="21"/>
              </w:rPr>
              <w:t>城市</w:t>
            </w:r>
          </w:p>
        </w:tc>
        <w:tc>
          <w:tcPr>
            <w:tcW w:w="601" w:type="pct"/>
            <w:vMerge w:val="restart"/>
            <w:tcBorders>
              <w:tl2br w:val="nil"/>
              <w:tr2bl w:val="nil"/>
            </w:tcBorders>
            <w:shd w:val="clear" w:color="auto" w:fill="auto"/>
            <w:vAlign w:val="center"/>
          </w:tcPr>
          <w:p w14:paraId="0450B36E">
            <w:pPr>
              <w:keepNext w:val="0"/>
              <w:keepLines w:val="0"/>
              <w:pageBreakBefore w:val="0"/>
              <w:widowControl/>
              <w:kinsoku/>
              <w:wordWrap/>
              <w:overflowPunct/>
              <w:topLinePunct w:val="0"/>
              <w:autoSpaceDE/>
              <w:autoSpaceDN/>
              <w:bidi w:val="0"/>
              <w:adjustRightInd/>
              <w:snapToGrid w:val="0"/>
              <w:spacing w:line="240" w:lineRule="auto"/>
              <w:jc w:val="center"/>
              <w:textAlignment w:val="auto"/>
              <w:rPr>
                <w:rFonts w:hint="default" w:ascii="Times New Roman" w:hAnsi="Times New Roman" w:eastAsia="宋体" w:cs="Times New Roman"/>
                <w:b w:val="0"/>
                <w:bCs w:val="0"/>
                <w:color w:val="0000FF"/>
                <w:kern w:val="0"/>
                <w:sz w:val="21"/>
                <w:szCs w:val="21"/>
              </w:rPr>
            </w:pPr>
            <w:r>
              <w:rPr>
                <w:rFonts w:hint="default" w:ascii="Times New Roman" w:hAnsi="Times New Roman" w:eastAsia="宋体" w:cs="Times New Roman"/>
                <w:b w:val="0"/>
                <w:bCs w:val="0"/>
                <w:color w:val="0000FF"/>
                <w:kern w:val="0"/>
                <w:sz w:val="21"/>
                <w:szCs w:val="21"/>
              </w:rPr>
              <w:t>站点编号</w:t>
            </w:r>
          </w:p>
        </w:tc>
        <w:tc>
          <w:tcPr>
            <w:tcW w:w="621" w:type="pct"/>
            <w:vMerge w:val="restart"/>
            <w:tcBorders>
              <w:tl2br w:val="nil"/>
              <w:tr2bl w:val="nil"/>
            </w:tcBorders>
            <w:shd w:val="clear" w:color="auto" w:fill="auto"/>
            <w:vAlign w:val="center"/>
          </w:tcPr>
          <w:p w14:paraId="30C0DC6A">
            <w:pPr>
              <w:keepNext w:val="0"/>
              <w:keepLines w:val="0"/>
              <w:pageBreakBefore w:val="0"/>
              <w:widowControl/>
              <w:kinsoku/>
              <w:wordWrap/>
              <w:overflowPunct/>
              <w:topLinePunct w:val="0"/>
              <w:autoSpaceDE/>
              <w:autoSpaceDN/>
              <w:bidi w:val="0"/>
              <w:adjustRightInd/>
              <w:snapToGrid w:val="0"/>
              <w:spacing w:line="240" w:lineRule="auto"/>
              <w:jc w:val="center"/>
              <w:textAlignment w:val="auto"/>
              <w:rPr>
                <w:rFonts w:hint="default" w:ascii="Times New Roman" w:hAnsi="Times New Roman" w:eastAsia="宋体" w:cs="Times New Roman"/>
                <w:b w:val="0"/>
                <w:bCs w:val="0"/>
                <w:color w:val="0000FF"/>
                <w:kern w:val="0"/>
                <w:sz w:val="21"/>
                <w:szCs w:val="21"/>
              </w:rPr>
            </w:pPr>
            <w:r>
              <w:rPr>
                <w:rFonts w:hint="default" w:ascii="Times New Roman" w:hAnsi="Times New Roman" w:eastAsia="宋体" w:cs="Times New Roman"/>
                <w:b w:val="0"/>
                <w:bCs w:val="0"/>
                <w:color w:val="0000FF"/>
                <w:kern w:val="0"/>
                <w:sz w:val="21"/>
                <w:szCs w:val="21"/>
              </w:rPr>
              <w:t>站点名称</w:t>
            </w:r>
          </w:p>
        </w:tc>
        <w:tc>
          <w:tcPr>
            <w:tcW w:w="1192" w:type="pct"/>
            <w:gridSpan w:val="2"/>
            <w:tcBorders>
              <w:tl2br w:val="nil"/>
              <w:tr2bl w:val="nil"/>
            </w:tcBorders>
            <w:shd w:val="clear" w:color="auto" w:fill="auto"/>
            <w:vAlign w:val="center"/>
          </w:tcPr>
          <w:p w14:paraId="492A1903">
            <w:pPr>
              <w:keepNext w:val="0"/>
              <w:keepLines w:val="0"/>
              <w:pageBreakBefore w:val="0"/>
              <w:widowControl/>
              <w:kinsoku/>
              <w:wordWrap/>
              <w:overflowPunct/>
              <w:topLinePunct w:val="0"/>
              <w:autoSpaceDE/>
              <w:autoSpaceDN/>
              <w:bidi w:val="0"/>
              <w:adjustRightInd/>
              <w:snapToGrid w:val="0"/>
              <w:spacing w:line="240" w:lineRule="auto"/>
              <w:jc w:val="center"/>
              <w:textAlignment w:val="auto"/>
              <w:rPr>
                <w:rFonts w:hint="default" w:ascii="Times New Roman" w:hAnsi="Times New Roman" w:eastAsia="宋体" w:cs="Times New Roman"/>
                <w:b w:val="0"/>
                <w:bCs w:val="0"/>
                <w:color w:val="0000FF"/>
                <w:kern w:val="0"/>
                <w:sz w:val="21"/>
                <w:szCs w:val="21"/>
              </w:rPr>
            </w:pPr>
            <w:r>
              <w:rPr>
                <w:rFonts w:hint="default" w:ascii="Times New Roman" w:hAnsi="Times New Roman" w:eastAsia="宋体" w:cs="Times New Roman"/>
                <w:b w:val="0"/>
                <w:bCs w:val="0"/>
                <w:color w:val="0000FF"/>
                <w:kern w:val="0"/>
                <w:sz w:val="21"/>
                <w:szCs w:val="21"/>
              </w:rPr>
              <w:t>地理坐标</w:t>
            </w:r>
          </w:p>
        </w:tc>
        <w:tc>
          <w:tcPr>
            <w:tcW w:w="652" w:type="pct"/>
            <w:vMerge w:val="restart"/>
            <w:tcBorders>
              <w:tl2br w:val="nil"/>
              <w:tr2bl w:val="nil"/>
            </w:tcBorders>
            <w:shd w:val="clear" w:color="auto" w:fill="auto"/>
            <w:vAlign w:val="center"/>
          </w:tcPr>
          <w:p w14:paraId="1EE6F525">
            <w:pPr>
              <w:keepNext w:val="0"/>
              <w:keepLines w:val="0"/>
              <w:pageBreakBefore w:val="0"/>
              <w:widowControl/>
              <w:kinsoku/>
              <w:wordWrap/>
              <w:overflowPunct/>
              <w:topLinePunct w:val="0"/>
              <w:autoSpaceDE/>
              <w:autoSpaceDN/>
              <w:bidi w:val="0"/>
              <w:adjustRightInd/>
              <w:snapToGrid w:val="0"/>
              <w:spacing w:line="240" w:lineRule="auto"/>
              <w:jc w:val="center"/>
              <w:textAlignment w:val="auto"/>
              <w:rPr>
                <w:rFonts w:hint="default" w:ascii="Times New Roman" w:hAnsi="Times New Roman" w:eastAsia="宋体" w:cs="Times New Roman"/>
                <w:b w:val="0"/>
                <w:bCs w:val="0"/>
                <w:color w:val="0000FF"/>
                <w:kern w:val="0"/>
                <w:sz w:val="21"/>
                <w:szCs w:val="21"/>
              </w:rPr>
            </w:pPr>
            <w:r>
              <w:rPr>
                <w:rFonts w:hint="default" w:ascii="Times New Roman" w:hAnsi="Times New Roman" w:eastAsia="宋体" w:cs="Times New Roman"/>
                <w:b w:val="0"/>
                <w:bCs w:val="0"/>
                <w:color w:val="0000FF"/>
                <w:kern w:val="0"/>
                <w:sz w:val="21"/>
                <w:szCs w:val="21"/>
              </w:rPr>
              <w:t>站点</w:t>
            </w:r>
          </w:p>
          <w:p w14:paraId="3B3C489F">
            <w:pPr>
              <w:keepNext w:val="0"/>
              <w:keepLines w:val="0"/>
              <w:pageBreakBefore w:val="0"/>
              <w:widowControl/>
              <w:kinsoku/>
              <w:wordWrap/>
              <w:overflowPunct/>
              <w:topLinePunct w:val="0"/>
              <w:autoSpaceDE/>
              <w:autoSpaceDN/>
              <w:bidi w:val="0"/>
              <w:adjustRightInd/>
              <w:snapToGrid w:val="0"/>
              <w:spacing w:line="240" w:lineRule="auto"/>
              <w:jc w:val="center"/>
              <w:textAlignment w:val="auto"/>
              <w:rPr>
                <w:rFonts w:hint="default" w:ascii="Times New Roman" w:hAnsi="Times New Roman" w:eastAsia="宋体" w:cs="Times New Roman"/>
                <w:b w:val="0"/>
                <w:bCs w:val="0"/>
                <w:color w:val="0000FF"/>
                <w:kern w:val="0"/>
                <w:sz w:val="21"/>
                <w:szCs w:val="21"/>
              </w:rPr>
            </w:pPr>
            <w:r>
              <w:rPr>
                <w:rFonts w:hint="default" w:ascii="Times New Roman" w:hAnsi="Times New Roman" w:eastAsia="宋体" w:cs="Times New Roman"/>
                <w:b w:val="0"/>
                <w:bCs w:val="0"/>
                <w:color w:val="0000FF"/>
                <w:kern w:val="0"/>
                <w:sz w:val="21"/>
                <w:szCs w:val="21"/>
              </w:rPr>
              <w:t>类型</w:t>
            </w:r>
          </w:p>
        </w:tc>
        <w:tc>
          <w:tcPr>
            <w:tcW w:w="541" w:type="pct"/>
            <w:vMerge w:val="restart"/>
            <w:tcBorders>
              <w:tl2br w:val="nil"/>
              <w:tr2bl w:val="nil"/>
            </w:tcBorders>
            <w:shd w:val="clear" w:color="auto" w:fill="auto"/>
            <w:vAlign w:val="center"/>
          </w:tcPr>
          <w:p w14:paraId="63534F2C">
            <w:pPr>
              <w:keepNext w:val="0"/>
              <w:keepLines w:val="0"/>
              <w:pageBreakBefore w:val="0"/>
              <w:widowControl/>
              <w:kinsoku/>
              <w:wordWrap/>
              <w:overflowPunct/>
              <w:topLinePunct w:val="0"/>
              <w:autoSpaceDE/>
              <w:autoSpaceDN/>
              <w:bidi w:val="0"/>
              <w:adjustRightInd/>
              <w:snapToGrid w:val="0"/>
              <w:spacing w:line="240" w:lineRule="auto"/>
              <w:jc w:val="center"/>
              <w:textAlignment w:val="auto"/>
              <w:rPr>
                <w:rFonts w:hint="default" w:ascii="Times New Roman" w:hAnsi="Times New Roman" w:eastAsia="宋体" w:cs="Times New Roman"/>
                <w:b w:val="0"/>
                <w:bCs w:val="0"/>
                <w:color w:val="0000FF"/>
                <w:kern w:val="0"/>
                <w:sz w:val="21"/>
                <w:szCs w:val="21"/>
              </w:rPr>
            </w:pPr>
            <w:r>
              <w:rPr>
                <w:rFonts w:hint="default" w:ascii="Times New Roman" w:hAnsi="Times New Roman" w:eastAsia="宋体" w:cs="Times New Roman"/>
                <w:b w:val="0"/>
                <w:bCs w:val="0"/>
                <w:color w:val="0000FF"/>
                <w:kern w:val="0"/>
                <w:sz w:val="21"/>
                <w:szCs w:val="21"/>
              </w:rPr>
              <w:t>站点</w:t>
            </w:r>
          </w:p>
          <w:p w14:paraId="7EFB6B60">
            <w:pPr>
              <w:keepNext w:val="0"/>
              <w:keepLines w:val="0"/>
              <w:pageBreakBefore w:val="0"/>
              <w:widowControl/>
              <w:kinsoku/>
              <w:wordWrap/>
              <w:overflowPunct/>
              <w:topLinePunct w:val="0"/>
              <w:autoSpaceDE/>
              <w:autoSpaceDN/>
              <w:bidi w:val="0"/>
              <w:adjustRightInd/>
              <w:snapToGrid w:val="0"/>
              <w:spacing w:line="240" w:lineRule="auto"/>
              <w:jc w:val="center"/>
              <w:textAlignment w:val="auto"/>
              <w:rPr>
                <w:rFonts w:hint="default" w:ascii="Times New Roman" w:hAnsi="Times New Roman" w:eastAsia="宋体" w:cs="Times New Roman"/>
                <w:b w:val="0"/>
                <w:bCs w:val="0"/>
                <w:color w:val="0000FF"/>
                <w:kern w:val="0"/>
                <w:sz w:val="21"/>
                <w:szCs w:val="21"/>
              </w:rPr>
            </w:pPr>
            <w:r>
              <w:rPr>
                <w:rFonts w:hint="default" w:ascii="Times New Roman" w:hAnsi="Times New Roman" w:eastAsia="宋体" w:cs="Times New Roman"/>
                <w:b w:val="0"/>
                <w:bCs w:val="0"/>
                <w:color w:val="0000FF"/>
                <w:kern w:val="0"/>
                <w:sz w:val="21"/>
                <w:szCs w:val="21"/>
              </w:rPr>
              <w:t>级别</w:t>
            </w:r>
          </w:p>
        </w:tc>
        <w:tc>
          <w:tcPr>
            <w:tcW w:w="826" w:type="pct"/>
            <w:vMerge w:val="restart"/>
            <w:tcBorders>
              <w:tl2br w:val="nil"/>
              <w:tr2bl w:val="nil"/>
            </w:tcBorders>
            <w:shd w:val="clear" w:color="auto" w:fill="auto"/>
            <w:vAlign w:val="center"/>
          </w:tcPr>
          <w:p w14:paraId="46FBC626">
            <w:pPr>
              <w:keepNext w:val="0"/>
              <w:keepLines w:val="0"/>
              <w:pageBreakBefore w:val="0"/>
              <w:widowControl/>
              <w:kinsoku/>
              <w:wordWrap/>
              <w:overflowPunct/>
              <w:topLinePunct w:val="0"/>
              <w:autoSpaceDE/>
              <w:autoSpaceDN/>
              <w:bidi w:val="0"/>
              <w:adjustRightInd/>
              <w:snapToGrid w:val="0"/>
              <w:spacing w:line="240" w:lineRule="auto"/>
              <w:jc w:val="center"/>
              <w:textAlignment w:val="auto"/>
              <w:rPr>
                <w:rFonts w:hint="default" w:ascii="Times New Roman" w:hAnsi="Times New Roman" w:eastAsia="宋体" w:cs="Times New Roman"/>
                <w:b w:val="0"/>
                <w:bCs w:val="0"/>
                <w:color w:val="0000FF"/>
                <w:kern w:val="0"/>
                <w:sz w:val="21"/>
                <w:szCs w:val="21"/>
              </w:rPr>
            </w:pPr>
            <w:r>
              <w:rPr>
                <w:rFonts w:hint="default" w:ascii="Times New Roman" w:hAnsi="Times New Roman" w:eastAsia="宋体" w:cs="Times New Roman"/>
                <w:b w:val="0"/>
                <w:bCs w:val="0"/>
                <w:color w:val="0000FF"/>
                <w:kern w:val="0"/>
                <w:sz w:val="21"/>
                <w:szCs w:val="21"/>
              </w:rPr>
              <w:t>与本项目</w:t>
            </w:r>
          </w:p>
          <w:p w14:paraId="72641B67">
            <w:pPr>
              <w:keepNext w:val="0"/>
              <w:keepLines w:val="0"/>
              <w:pageBreakBefore w:val="0"/>
              <w:widowControl/>
              <w:kinsoku/>
              <w:wordWrap/>
              <w:overflowPunct/>
              <w:topLinePunct w:val="0"/>
              <w:autoSpaceDE/>
              <w:autoSpaceDN/>
              <w:bidi w:val="0"/>
              <w:adjustRightInd/>
              <w:snapToGrid w:val="0"/>
              <w:spacing w:line="240" w:lineRule="auto"/>
              <w:jc w:val="center"/>
              <w:textAlignment w:val="auto"/>
              <w:rPr>
                <w:rFonts w:hint="default" w:ascii="Times New Roman" w:hAnsi="Times New Roman" w:eastAsia="宋体" w:cs="Times New Roman"/>
                <w:b w:val="0"/>
                <w:bCs w:val="0"/>
                <w:color w:val="0000FF"/>
                <w:kern w:val="0"/>
                <w:sz w:val="21"/>
                <w:szCs w:val="21"/>
              </w:rPr>
            </w:pPr>
            <w:r>
              <w:rPr>
                <w:rFonts w:hint="default" w:ascii="Times New Roman" w:hAnsi="Times New Roman" w:eastAsia="宋体" w:cs="Times New Roman"/>
                <w:b w:val="0"/>
                <w:bCs w:val="0"/>
                <w:color w:val="0000FF"/>
                <w:kern w:val="0"/>
                <w:sz w:val="21"/>
                <w:szCs w:val="21"/>
              </w:rPr>
              <w:t>距离(km)</w:t>
            </w:r>
          </w:p>
        </w:tc>
      </w:tr>
      <w:tr w14:paraId="13584AD0">
        <w:tblPrEx>
          <w:tblBorders>
            <w:top w:val="thinThickSmallGap" w:color="000000" w:sz="12" w:space="0"/>
            <w:left w:val="none" w:color="auto" w:sz="0" w:space="0"/>
            <w:bottom w:val="thinThickSmallGap" w:color="000000" w:sz="12" w:space="0"/>
            <w:right w:val="none" w:color="auto" w:sz="0"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378" w:hRule="atLeast"/>
          <w:jc w:val="center"/>
        </w:trPr>
        <w:tc>
          <w:tcPr>
            <w:tcW w:w="567" w:type="pct"/>
            <w:vMerge w:val="continue"/>
            <w:tcBorders>
              <w:tl2br w:val="nil"/>
              <w:tr2bl w:val="nil"/>
            </w:tcBorders>
            <w:shd w:val="clear" w:color="auto" w:fill="auto"/>
            <w:vAlign w:val="center"/>
          </w:tcPr>
          <w:p w14:paraId="12EC15B8">
            <w:pPr>
              <w:keepNext w:val="0"/>
              <w:keepLines w:val="0"/>
              <w:pageBreakBefore w:val="0"/>
              <w:widowControl/>
              <w:kinsoku/>
              <w:wordWrap/>
              <w:overflowPunct/>
              <w:topLinePunct w:val="0"/>
              <w:autoSpaceDE/>
              <w:autoSpaceDN/>
              <w:bidi w:val="0"/>
              <w:adjustRightInd/>
              <w:snapToGrid w:val="0"/>
              <w:spacing w:line="240" w:lineRule="auto"/>
              <w:jc w:val="center"/>
              <w:textAlignment w:val="auto"/>
              <w:rPr>
                <w:rFonts w:hint="default" w:ascii="Times New Roman" w:hAnsi="Times New Roman" w:eastAsia="宋体" w:cs="Times New Roman"/>
                <w:b w:val="0"/>
                <w:bCs w:val="0"/>
                <w:color w:val="0000FF"/>
                <w:kern w:val="0"/>
                <w:sz w:val="21"/>
                <w:szCs w:val="21"/>
              </w:rPr>
            </w:pPr>
          </w:p>
        </w:tc>
        <w:tc>
          <w:tcPr>
            <w:tcW w:w="601" w:type="pct"/>
            <w:vMerge w:val="continue"/>
            <w:tcBorders>
              <w:tl2br w:val="nil"/>
              <w:tr2bl w:val="nil"/>
            </w:tcBorders>
            <w:shd w:val="clear" w:color="auto" w:fill="auto"/>
            <w:vAlign w:val="center"/>
          </w:tcPr>
          <w:p w14:paraId="3D818AE5">
            <w:pPr>
              <w:keepNext w:val="0"/>
              <w:keepLines w:val="0"/>
              <w:pageBreakBefore w:val="0"/>
              <w:widowControl/>
              <w:kinsoku/>
              <w:wordWrap/>
              <w:overflowPunct/>
              <w:topLinePunct w:val="0"/>
              <w:autoSpaceDE/>
              <w:autoSpaceDN/>
              <w:bidi w:val="0"/>
              <w:adjustRightInd/>
              <w:snapToGrid w:val="0"/>
              <w:spacing w:line="240" w:lineRule="auto"/>
              <w:jc w:val="center"/>
              <w:textAlignment w:val="auto"/>
              <w:rPr>
                <w:rFonts w:hint="default" w:ascii="Times New Roman" w:hAnsi="Times New Roman" w:eastAsia="宋体" w:cs="Times New Roman"/>
                <w:b w:val="0"/>
                <w:bCs w:val="0"/>
                <w:color w:val="0000FF"/>
                <w:kern w:val="0"/>
                <w:sz w:val="21"/>
                <w:szCs w:val="21"/>
              </w:rPr>
            </w:pPr>
          </w:p>
        </w:tc>
        <w:tc>
          <w:tcPr>
            <w:tcW w:w="621" w:type="pct"/>
            <w:vMerge w:val="continue"/>
            <w:tcBorders>
              <w:tl2br w:val="nil"/>
              <w:tr2bl w:val="nil"/>
            </w:tcBorders>
            <w:shd w:val="clear" w:color="auto" w:fill="auto"/>
            <w:vAlign w:val="center"/>
          </w:tcPr>
          <w:p w14:paraId="355DE4EA">
            <w:pPr>
              <w:keepNext w:val="0"/>
              <w:keepLines w:val="0"/>
              <w:pageBreakBefore w:val="0"/>
              <w:widowControl/>
              <w:kinsoku/>
              <w:wordWrap/>
              <w:overflowPunct/>
              <w:topLinePunct w:val="0"/>
              <w:autoSpaceDE/>
              <w:autoSpaceDN/>
              <w:bidi w:val="0"/>
              <w:adjustRightInd/>
              <w:snapToGrid w:val="0"/>
              <w:spacing w:line="240" w:lineRule="auto"/>
              <w:jc w:val="center"/>
              <w:textAlignment w:val="auto"/>
              <w:rPr>
                <w:rFonts w:hint="default" w:ascii="Times New Roman" w:hAnsi="Times New Roman" w:eastAsia="宋体" w:cs="Times New Roman"/>
                <w:b w:val="0"/>
                <w:bCs w:val="0"/>
                <w:color w:val="0000FF"/>
                <w:kern w:val="0"/>
                <w:sz w:val="21"/>
                <w:szCs w:val="21"/>
              </w:rPr>
            </w:pPr>
          </w:p>
        </w:tc>
        <w:tc>
          <w:tcPr>
            <w:tcW w:w="636" w:type="pct"/>
            <w:tcBorders>
              <w:tl2br w:val="nil"/>
              <w:tr2bl w:val="nil"/>
            </w:tcBorders>
            <w:shd w:val="clear" w:color="auto" w:fill="auto"/>
            <w:vAlign w:val="center"/>
          </w:tcPr>
          <w:p w14:paraId="20541262">
            <w:pPr>
              <w:keepNext w:val="0"/>
              <w:keepLines w:val="0"/>
              <w:pageBreakBefore w:val="0"/>
              <w:widowControl/>
              <w:kinsoku/>
              <w:wordWrap/>
              <w:overflowPunct/>
              <w:topLinePunct w:val="0"/>
              <w:autoSpaceDE/>
              <w:autoSpaceDN/>
              <w:bidi w:val="0"/>
              <w:adjustRightInd/>
              <w:snapToGrid w:val="0"/>
              <w:spacing w:line="240" w:lineRule="auto"/>
              <w:jc w:val="center"/>
              <w:textAlignment w:val="auto"/>
              <w:rPr>
                <w:rFonts w:hint="default" w:ascii="Times New Roman" w:hAnsi="Times New Roman" w:eastAsia="宋体" w:cs="Times New Roman"/>
                <w:b w:val="0"/>
                <w:bCs w:val="0"/>
                <w:color w:val="0000FF"/>
                <w:kern w:val="0"/>
                <w:sz w:val="21"/>
                <w:szCs w:val="21"/>
              </w:rPr>
            </w:pPr>
            <w:r>
              <w:rPr>
                <w:rFonts w:hint="default" w:ascii="Times New Roman" w:hAnsi="Times New Roman" w:eastAsia="宋体" w:cs="Times New Roman"/>
                <w:b w:val="0"/>
                <w:bCs w:val="0"/>
                <w:color w:val="0000FF"/>
                <w:kern w:val="0"/>
                <w:sz w:val="21"/>
                <w:szCs w:val="21"/>
              </w:rPr>
              <w:t>经度</w:t>
            </w:r>
          </w:p>
        </w:tc>
        <w:tc>
          <w:tcPr>
            <w:tcW w:w="556" w:type="pct"/>
            <w:tcBorders>
              <w:tl2br w:val="nil"/>
              <w:tr2bl w:val="nil"/>
            </w:tcBorders>
            <w:shd w:val="clear" w:color="auto" w:fill="auto"/>
            <w:vAlign w:val="center"/>
          </w:tcPr>
          <w:p w14:paraId="1CAA4842">
            <w:pPr>
              <w:keepNext w:val="0"/>
              <w:keepLines w:val="0"/>
              <w:pageBreakBefore w:val="0"/>
              <w:widowControl/>
              <w:kinsoku/>
              <w:wordWrap/>
              <w:overflowPunct/>
              <w:topLinePunct w:val="0"/>
              <w:autoSpaceDE/>
              <w:autoSpaceDN/>
              <w:bidi w:val="0"/>
              <w:adjustRightInd/>
              <w:snapToGrid w:val="0"/>
              <w:spacing w:line="240" w:lineRule="auto"/>
              <w:jc w:val="center"/>
              <w:textAlignment w:val="auto"/>
              <w:rPr>
                <w:rFonts w:hint="default" w:ascii="Times New Roman" w:hAnsi="Times New Roman" w:eastAsia="宋体" w:cs="Times New Roman"/>
                <w:b w:val="0"/>
                <w:bCs w:val="0"/>
                <w:color w:val="0000FF"/>
                <w:kern w:val="0"/>
                <w:sz w:val="21"/>
                <w:szCs w:val="21"/>
              </w:rPr>
            </w:pPr>
            <w:r>
              <w:rPr>
                <w:rFonts w:hint="default" w:ascii="Times New Roman" w:hAnsi="Times New Roman" w:eastAsia="宋体" w:cs="Times New Roman"/>
                <w:b w:val="0"/>
                <w:bCs w:val="0"/>
                <w:color w:val="0000FF"/>
                <w:kern w:val="0"/>
                <w:sz w:val="21"/>
                <w:szCs w:val="21"/>
              </w:rPr>
              <w:t>纬度</w:t>
            </w:r>
          </w:p>
        </w:tc>
        <w:tc>
          <w:tcPr>
            <w:tcW w:w="652" w:type="pct"/>
            <w:vMerge w:val="continue"/>
            <w:tcBorders>
              <w:tl2br w:val="nil"/>
              <w:tr2bl w:val="nil"/>
            </w:tcBorders>
            <w:shd w:val="clear" w:color="auto" w:fill="auto"/>
            <w:vAlign w:val="center"/>
          </w:tcPr>
          <w:p w14:paraId="2777DA9A">
            <w:pPr>
              <w:keepNext w:val="0"/>
              <w:keepLines w:val="0"/>
              <w:pageBreakBefore w:val="0"/>
              <w:widowControl/>
              <w:kinsoku/>
              <w:wordWrap/>
              <w:overflowPunct/>
              <w:topLinePunct w:val="0"/>
              <w:autoSpaceDE/>
              <w:autoSpaceDN/>
              <w:bidi w:val="0"/>
              <w:adjustRightInd/>
              <w:snapToGrid w:val="0"/>
              <w:spacing w:line="240" w:lineRule="auto"/>
              <w:jc w:val="center"/>
              <w:textAlignment w:val="auto"/>
              <w:rPr>
                <w:rFonts w:hint="default" w:ascii="Times New Roman" w:hAnsi="Times New Roman" w:eastAsia="宋体" w:cs="Times New Roman"/>
                <w:b w:val="0"/>
                <w:bCs w:val="0"/>
                <w:color w:val="0000FF"/>
                <w:kern w:val="0"/>
                <w:sz w:val="21"/>
                <w:szCs w:val="21"/>
              </w:rPr>
            </w:pPr>
          </w:p>
        </w:tc>
        <w:tc>
          <w:tcPr>
            <w:tcW w:w="541" w:type="pct"/>
            <w:vMerge w:val="continue"/>
            <w:tcBorders>
              <w:tl2br w:val="nil"/>
              <w:tr2bl w:val="nil"/>
            </w:tcBorders>
            <w:shd w:val="clear" w:color="auto" w:fill="auto"/>
            <w:vAlign w:val="center"/>
          </w:tcPr>
          <w:p w14:paraId="076C47BA">
            <w:pPr>
              <w:keepNext w:val="0"/>
              <w:keepLines w:val="0"/>
              <w:pageBreakBefore w:val="0"/>
              <w:widowControl/>
              <w:kinsoku/>
              <w:wordWrap/>
              <w:overflowPunct/>
              <w:topLinePunct w:val="0"/>
              <w:autoSpaceDE/>
              <w:autoSpaceDN/>
              <w:bidi w:val="0"/>
              <w:adjustRightInd/>
              <w:snapToGrid w:val="0"/>
              <w:spacing w:line="240" w:lineRule="auto"/>
              <w:jc w:val="center"/>
              <w:textAlignment w:val="auto"/>
              <w:rPr>
                <w:rFonts w:hint="default" w:ascii="Times New Roman" w:hAnsi="Times New Roman" w:eastAsia="宋体" w:cs="Times New Roman"/>
                <w:b w:val="0"/>
                <w:bCs w:val="0"/>
                <w:color w:val="0000FF"/>
                <w:kern w:val="0"/>
                <w:sz w:val="21"/>
                <w:szCs w:val="21"/>
              </w:rPr>
            </w:pPr>
          </w:p>
        </w:tc>
        <w:tc>
          <w:tcPr>
            <w:tcW w:w="826" w:type="pct"/>
            <w:vMerge w:val="continue"/>
            <w:tcBorders>
              <w:tl2br w:val="nil"/>
              <w:tr2bl w:val="nil"/>
            </w:tcBorders>
            <w:shd w:val="clear" w:color="auto" w:fill="auto"/>
            <w:vAlign w:val="center"/>
          </w:tcPr>
          <w:p w14:paraId="3D02108F">
            <w:pPr>
              <w:keepNext w:val="0"/>
              <w:keepLines w:val="0"/>
              <w:pageBreakBefore w:val="0"/>
              <w:widowControl/>
              <w:kinsoku/>
              <w:wordWrap/>
              <w:overflowPunct/>
              <w:topLinePunct w:val="0"/>
              <w:autoSpaceDE/>
              <w:autoSpaceDN/>
              <w:bidi w:val="0"/>
              <w:adjustRightInd/>
              <w:snapToGrid w:val="0"/>
              <w:spacing w:line="240" w:lineRule="auto"/>
              <w:jc w:val="center"/>
              <w:textAlignment w:val="auto"/>
              <w:rPr>
                <w:rFonts w:hint="default" w:ascii="Times New Roman" w:hAnsi="Times New Roman" w:eastAsia="宋体" w:cs="Times New Roman"/>
                <w:b w:val="0"/>
                <w:bCs w:val="0"/>
                <w:color w:val="0000FF"/>
                <w:kern w:val="0"/>
                <w:sz w:val="21"/>
                <w:szCs w:val="21"/>
              </w:rPr>
            </w:pPr>
          </w:p>
        </w:tc>
      </w:tr>
      <w:tr w14:paraId="6A64AB46">
        <w:tblPrEx>
          <w:tblBorders>
            <w:top w:val="thinThickSmallGap" w:color="000000" w:sz="12" w:space="0"/>
            <w:left w:val="none" w:color="auto" w:sz="0" w:space="0"/>
            <w:bottom w:val="thinThickSmallGap"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26" w:hRule="atLeast"/>
          <w:jc w:val="center"/>
        </w:trPr>
        <w:tc>
          <w:tcPr>
            <w:tcW w:w="567" w:type="pct"/>
            <w:tcBorders>
              <w:tl2br w:val="nil"/>
              <w:tr2bl w:val="nil"/>
            </w:tcBorders>
            <w:shd w:val="clear" w:color="auto" w:fill="auto"/>
            <w:vAlign w:val="center"/>
          </w:tcPr>
          <w:p w14:paraId="01611B5F">
            <w:pPr>
              <w:keepNext w:val="0"/>
              <w:keepLines w:val="0"/>
              <w:pageBreakBefore w:val="0"/>
              <w:widowControl/>
              <w:kinsoku/>
              <w:wordWrap/>
              <w:overflowPunct/>
              <w:topLinePunct w:val="0"/>
              <w:autoSpaceDE/>
              <w:autoSpaceDN/>
              <w:bidi w:val="0"/>
              <w:adjustRightInd/>
              <w:snapToGrid w:val="0"/>
              <w:spacing w:line="240" w:lineRule="auto"/>
              <w:jc w:val="center"/>
              <w:textAlignment w:val="auto"/>
              <w:rPr>
                <w:rFonts w:hint="default" w:ascii="Times New Roman" w:hAnsi="Times New Roman" w:eastAsia="宋体" w:cs="Times New Roman"/>
                <w:b w:val="0"/>
                <w:bCs w:val="0"/>
                <w:color w:val="0000FF"/>
                <w:sz w:val="21"/>
                <w:szCs w:val="21"/>
              </w:rPr>
            </w:pPr>
            <w:r>
              <w:rPr>
                <w:rFonts w:hint="default" w:ascii="Times New Roman" w:hAnsi="Times New Roman" w:eastAsia="宋体" w:cs="Times New Roman"/>
                <w:b w:val="0"/>
                <w:bCs w:val="0"/>
                <w:color w:val="0000FF"/>
                <w:sz w:val="21"/>
                <w:szCs w:val="21"/>
              </w:rPr>
              <w:t>本溪市</w:t>
            </w:r>
          </w:p>
        </w:tc>
        <w:tc>
          <w:tcPr>
            <w:tcW w:w="601" w:type="pct"/>
            <w:tcBorders>
              <w:tl2br w:val="nil"/>
              <w:tr2bl w:val="nil"/>
            </w:tcBorders>
            <w:shd w:val="clear" w:color="auto" w:fill="auto"/>
            <w:vAlign w:val="center"/>
          </w:tcPr>
          <w:p w14:paraId="013F9727">
            <w:pPr>
              <w:keepNext w:val="0"/>
              <w:keepLines w:val="0"/>
              <w:pageBreakBefore w:val="0"/>
              <w:widowControl/>
              <w:kinsoku/>
              <w:wordWrap/>
              <w:overflowPunct/>
              <w:topLinePunct w:val="0"/>
              <w:autoSpaceDE/>
              <w:autoSpaceDN/>
              <w:bidi w:val="0"/>
              <w:adjustRightInd/>
              <w:snapToGrid w:val="0"/>
              <w:spacing w:line="240" w:lineRule="auto"/>
              <w:jc w:val="center"/>
              <w:textAlignment w:val="auto"/>
              <w:rPr>
                <w:rFonts w:hint="default" w:ascii="Times New Roman" w:hAnsi="Times New Roman" w:eastAsia="宋体" w:cs="Times New Roman"/>
                <w:b w:val="0"/>
                <w:bCs w:val="0"/>
                <w:color w:val="0000FF"/>
                <w:sz w:val="21"/>
                <w:szCs w:val="21"/>
              </w:rPr>
            </w:pPr>
            <w:r>
              <w:rPr>
                <w:rFonts w:hint="default" w:ascii="Times New Roman" w:hAnsi="Times New Roman" w:eastAsia="宋体" w:cs="Times New Roman"/>
                <w:b w:val="0"/>
                <w:bCs w:val="0"/>
                <w:color w:val="0000FF"/>
                <w:sz w:val="21"/>
                <w:szCs w:val="21"/>
              </w:rPr>
              <w:t>1765A</w:t>
            </w:r>
          </w:p>
        </w:tc>
        <w:tc>
          <w:tcPr>
            <w:tcW w:w="621" w:type="pct"/>
            <w:tcBorders>
              <w:tl2br w:val="nil"/>
              <w:tr2bl w:val="nil"/>
            </w:tcBorders>
            <w:shd w:val="clear" w:color="auto" w:fill="auto"/>
            <w:vAlign w:val="center"/>
          </w:tcPr>
          <w:p w14:paraId="586BEFB1">
            <w:pPr>
              <w:keepNext w:val="0"/>
              <w:keepLines w:val="0"/>
              <w:pageBreakBefore w:val="0"/>
              <w:widowControl/>
              <w:kinsoku/>
              <w:wordWrap/>
              <w:overflowPunct/>
              <w:topLinePunct w:val="0"/>
              <w:autoSpaceDE/>
              <w:autoSpaceDN/>
              <w:bidi w:val="0"/>
              <w:adjustRightInd/>
              <w:snapToGrid w:val="0"/>
              <w:spacing w:line="240" w:lineRule="auto"/>
              <w:jc w:val="center"/>
              <w:textAlignment w:val="auto"/>
              <w:rPr>
                <w:rFonts w:hint="default" w:ascii="Times New Roman" w:hAnsi="Times New Roman" w:eastAsia="宋体" w:cs="Times New Roman"/>
                <w:b w:val="0"/>
                <w:bCs w:val="0"/>
                <w:color w:val="0000FF"/>
                <w:sz w:val="21"/>
                <w:szCs w:val="21"/>
              </w:rPr>
            </w:pPr>
            <w:r>
              <w:rPr>
                <w:rFonts w:hint="default" w:ascii="Times New Roman" w:hAnsi="Times New Roman" w:eastAsia="宋体" w:cs="Times New Roman"/>
                <w:b w:val="0"/>
                <w:bCs w:val="0"/>
                <w:color w:val="0000FF"/>
                <w:sz w:val="21"/>
                <w:szCs w:val="21"/>
              </w:rPr>
              <w:t>新立屯</w:t>
            </w:r>
          </w:p>
        </w:tc>
        <w:tc>
          <w:tcPr>
            <w:tcW w:w="636" w:type="pct"/>
            <w:tcBorders>
              <w:tl2br w:val="nil"/>
              <w:tr2bl w:val="nil"/>
            </w:tcBorders>
            <w:shd w:val="clear" w:color="auto" w:fill="auto"/>
            <w:vAlign w:val="center"/>
          </w:tcPr>
          <w:p w14:paraId="7822DE69">
            <w:pPr>
              <w:keepNext w:val="0"/>
              <w:keepLines w:val="0"/>
              <w:pageBreakBefore w:val="0"/>
              <w:widowControl/>
              <w:kinsoku/>
              <w:wordWrap/>
              <w:overflowPunct/>
              <w:topLinePunct w:val="0"/>
              <w:autoSpaceDE/>
              <w:autoSpaceDN/>
              <w:bidi w:val="0"/>
              <w:adjustRightInd/>
              <w:snapToGrid w:val="0"/>
              <w:spacing w:line="240" w:lineRule="auto"/>
              <w:jc w:val="center"/>
              <w:textAlignment w:val="auto"/>
              <w:rPr>
                <w:rFonts w:hint="default" w:ascii="Times New Roman" w:hAnsi="Times New Roman" w:eastAsia="宋体" w:cs="Times New Roman"/>
                <w:b w:val="0"/>
                <w:bCs w:val="0"/>
                <w:color w:val="0000FF"/>
                <w:sz w:val="21"/>
                <w:szCs w:val="21"/>
              </w:rPr>
            </w:pPr>
            <w:r>
              <w:rPr>
                <w:rFonts w:hint="default" w:ascii="Times New Roman" w:hAnsi="Times New Roman" w:eastAsia="宋体" w:cs="Times New Roman"/>
                <w:b w:val="0"/>
                <w:bCs w:val="0"/>
                <w:color w:val="0000FF"/>
                <w:sz w:val="21"/>
                <w:szCs w:val="21"/>
              </w:rPr>
              <w:t>123.799</w:t>
            </w:r>
          </w:p>
        </w:tc>
        <w:tc>
          <w:tcPr>
            <w:tcW w:w="556" w:type="pct"/>
            <w:tcBorders>
              <w:tl2br w:val="nil"/>
              <w:tr2bl w:val="nil"/>
            </w:tcBorders>
            <w:shd w:val="clear" w:color="auto" w:fill="auto"/>
            <w:vAlign w:val="center"/>
          </w:tcPr>
          <w:p w14:paraId="0836931A">
            <w:pPr>
              <w:keepNext w:val="0"/>
              <w:keepLines w:val="0"/>
              <w:pageBreakBefore w:val="0"/>
              <w:widowControl/>
              <w:kinsoku/>
              <w:wordWrap/>
              <w:overflowPunct/>
              <w:topLinePunct w:val="0"/>
              <w:autoSpaceDE/>
              <w:autoSpaceDN/>
              <w:bidi w:val="0"/>
              <w:adjustRightInd/>
              <w:snapToGrid w:val="0"/>
              <w:spacing w:line="240" w:lineRule="auto"/>
              <w:jc w:val="center"/>
              <w:textAlignment w:val="auto"/>
              <w:rPr>
                <w:rFonts w:hint="default" w:ascii="Times New Roman" w:hAnsi="Times New Roman" w:eastAsia="宋体" w:cs="Times New Roman"/>
                <w:b w:val="0"/>
                <w:bCs w:val="0"/>
                <w:color w:val="0000FF"/>
                <w:sz w:val="21"/>
                <w:szCs w:val="21"/>
              </w:rPr>
            </w:pPr>
            <w:r>
              <w:rPr>
                <w:rFonts w:hint="default" w:ascii="Times New Roman" w:hAnsi="Times New Roman" w:eastAsia="宋体" w:cs="Times New Roman"/>
                <w:b w:val="0"/>
                <w:bCs w:val="0"/>
                <w:color w:val="0000FF"/>
                <w:sz w:val="21"/>
                <w:szCs w:val="21"/>
              </w:rPr>
              <w:t>41.266</w:t>
            </w:r>
          </w:p>
        </w:tc>
        <w:tc>
          <w:tcPr>
            <w:tcW w:w="652" w:type="pct"/>
            <w:tcBorders>
              <w:tl2br w:val="nil"/>
              <w:tr2bl w:val="nil"/>
            </w:tcBorders>
            <w:shd w:val="clear" w:color="auto" w:fill="auto"/>
            <w:vAlign w:val="center"/>
          </w:tcPr>
          <w:p w14:paraId="3616DE72">
            <w:pPr>
              <w:keepNext w:val="0"/>
              <w:keepLines w:val="0"/>
              <w:pageBreakBefore w:val="0"/>
              <w:widowControl/>
              <w:kinsoku/>
              <w:wordWrap/>
              <w:overflowPunct/>
              <w:topLinePunct w:val="0"/>
              <w:autoSpaceDE/>
              <w:autoSpaceDN/>
              <w:bidi w:val="0"/>
              <w:adjustRightInd/>
              <w:snapToGrid w:val="0"/>
              <w:spacing w:line="240" w:lineRule="auto"/>
              <w:jc w:val="center"/>
              <w:textAlignment w:val="auto"/>
              <w:rPr>
                <w:rFonts w:hint="default" w:ascii="Times New Roman" w:hAnsi="Times New Roman" w:eastAsia="宋体" w:cs="Times New Roman"/>
                <w:b w:val="0"/>
                <w:bCs w:val="0"/>
                <w:color w:val="0000FF"/>
                <w:kern w:val="0"/>
                <w:sz w:val="21"/>
                <w:szCs w:val="21"/>
              </w:rPr>
            </w:pPr>
            <w:r>
              <w:rPr>
                <w:rFonts w:hint="default" w:ascii="Times New Roman" w:hAnsi="Times New Roman" w:eastAsia="宋体" w:cs="Times New Roman"/>
                <w:b w:val="0"/>
                <w:bCs w:val="0"/>
                <w:color w:val="0000FF"/>
                <w:kern w:val="0"/>
                <w:sz w:val="21"/>
                <w:szCs w:val="21"/>
              </w:rPr>
              <w:t>城市点</w:t>
            </w:r>
          </w:p>
        </w:tc>
        <w:tc>
          <w:tcPr>
            <w:tcW w:w="541" w:type="pct"/>
            <w:tcBorders>
              <w:tl2br w:val="nil"/>
              <w:tr2bl w:val="nil"/>
            </w:tcBorders>
            <w:shd w:val="clear" w:color="auto" w:fill="auto"/>
            <w:vAlign w:val="center"/>
          </w:tcPr>
          <w:p w14:paraId="6DF65B3E">
            <w:pPr>
              <w:keepNext w:val="0"/>
              <w:keepLines w:val="0"/>
              <w:pageBreakBefore w:val="0"/>
              <w:widowControl/>
              <w:kinsoku/>
              <w:wordWrap/>
              <w:overflowPunct/>
              <w:topLinePunct w:val="0"/>
              <w:autoSpaceDE/>
              <w:autoSpaceDN/>
              <w:bidi w:val="0"/>
              <w:adjustRightInd/>
              <w:snapToGrid w:val="0"/>
              <w:spacing w:line="240" w:lineRule="auto"/>
              <w:jc w:val="center"/>
              <w:textAlignment w:val="auto"/>
              <w:rPr>
                <w:rFonts w:hint="default" w:ascii="Times New Roman" w:hAnsi="Times New Roman" w:eastAsia="宋体" w:cs="Times New Roman"/>
                <w:b w:val="0"/>
                <w:bCs w:val="0"/>
                <w:color w:val="0000FF"/>
                <w:sz w:val="21"/>
                <w:szCs w:val="21"/>
              </w:rPr>
            </w:pPr>
            <w:r>
              <w:rPr>
                <w:rFonts w:hint="default" w:ascii="Times New Roman" w:hAnsi="Times New Roman" w:eastAsia="宋体" w:cs="Times New Roman"/>
                <w:b w:val="0"/>
                <w:bCs w:val="0"/>
                <w:color w:val="0000FF"/>
                <w:kern w:val="0"/>
                <w:sz w:val="21"/>
                <w:szCs w:val="21"/>
              </w:rPr>
              <w:t>国控</w:t>
            </w:r>
          </w:p>
        </w:tc>
        <w:tc>
          <w:tcPr>
            <w:tcW w:w="826" w:type="pct"/>
            <w:tcBorders>
              <w:tl2br w:val="nil"/>
              <w:tr2bl w:val="nil"/>
            </w:tcBorders>
            <w:shd w:val="clear" w:color="auto" w:fill="auto"/>
            <w:vAlign w:val="center"/>
          </w:tcPr>
          <w:p w14:paraId="02434530">
            <w:pPr>
              <w:keepNext w:val="0"/>
              <w:keepLines w:val="0"/>
              <w:pageBreakBefore w:val="0"/>
              <w:widowControl/>
              <w:kinsoku/>
              <w:wordWrap/>
              <w:overflowPunct/>
              <w:topLinePunct w:val="0"/>
              <w:autoSpaceDE/>
              <w:autoSpaceDN/>
              <w:bidi w:val="0"/>
              <w:adjustRightInd/>
              <w:snapToGrid w:val="0"/>
              <w:spacing w:line="240" w:lineRule="auto"/>
              <w:jc w:val="center"/>
              <w:textAlignment w:val="auto"/>
              <w:rPr>
                <w:rFonts w:hint="default" w:ascii="Times New Roman" w:hAnsi="Times New Roman" w:eastAsia="宋体" w:cs="Times New Roman"/>
                <w:b w:val="0"/>
                <w:bCs w:val="0"/>
                <w:color w:val="0000FF"/>
                <w:sz w:val="21"/>
                <w:szCs w:val="21"/>
                <w:lang w:val="en-US" w:eastAsia="zh-CN"/>
              </w:rPr>
            </w:pPr>
            <w:r>
              <w:rPr>
                <w:rFonts w:hint="eastAsia" w:ascii="Times New Roman" w:hAnsi="Times New Roman" w:eastAsia="宋体" w:cs="Times New Roman"/>
                <w:b w:val="0"/>
                <w:bCs w:val="0"/>
                <w:color w:val="0000FF"/>
                <w:sz w:val="21"/>
                <w:szCs w:val="21"/>
                <w:lang w:val="en-US" w:eastAsia="zh-CN"/>
              </w:rPr>
              <w:t>37.33</w:t>
            </w:r>
          </w:p>
        </w:tc>
      </w:tr>
    </w:tbl>
    <w:p w14:paraId="76312F8C">
      <w:pPr>
        <w:tabs>
          <w:tab w:val="left" w:pos="851"/>
          <w:tab w:val="left" w:pos="1141"/>
          <w:tab w:val="left" w:pos="4335"/>
        </w:tabs>
        <w:jc w:val="center"/>
        <w:rPr>
          <w:rFonts w:ascii="Times New Roman" w:hAnsi="Times New Roman" w:eastAsia="黑体" w:cs="Times New Roman"/>
          <w:color w:val="0000FF"/>
        </w:rPr>
      </w:pPr>
      <w:r>
        <w:rPr>
          <w:rFonts w:ascii="Times New Roman" w:hAnsi="Times New Roman" w:eastAsia="黑体" w:cs="Times New Roman"/>
          <w:color w:val="0000FF"/>
        </w:rPr>
        <w:t>表</w:t>
      </w:r>
      <w:r>
        <w:rPr>
          <w:rFonts w:hint="eastAsia" w:ascii="Times New Roman" w:hAnsi="Times New Roman" w:eastAsia="黑体" w:cs="Times New Roman"/>
          <w:color w:val="0000FF"/>
          <w:lang w:val="en-US" w:eastAsia="zh-CN"/>
        </w:rPr>
        <w:t>5.1-12</w:t>
      </w:r>
      <w:r>
        <w:rPr>
          <w:rFonts w:ascii="Times New Roman" w:hAnsi="Times New Roman" w:eastAsia="黑体" w:cs="Times New Roman"/>
          <w:color w:val="0000FF"/>
        </w:rPr>
        <w:t xml:space="preserve"> </w:t>
      </w:r>
      <w:r>
        <w:rPr>
          <w:rFonts w:hint="eastAsia" w:ascii="Times New Roman" w:hAnsi="Times New Roman" w:eastAsia="黑体" w:cs="Times New Roman"/>
          <w:color w:val="0000FF"/>
        </w:rPr>
        <w:t>新立屯</w:t>
      </w:r>
      <w:r>
        <w:rPr>
          <w:rFonts w:hint="eastAsia" w:ascii="Times New Roman" w:hAnsi="Times New Roman" w:eastAsia="黑体" w:cs="Times New Roman"/>
          <w:color w:val="0000FF"/>
          <w:lang w:eastAsia="zh-CN"/>
        </w:rPr>
        <w:t>（1765A）</w:t>
      </w:r>
      <w:r>
        <w:rPr>
          <w:rFonts w:hint="eastAsia" w:ascii="Times New Roman" w:hAnsi="Times New Roman" w:eastAsia="黑体" w:cs="Times New Roman"/>
          <w:color w:val="0000FF"/>
        </w:rPr>
        <w:t>基本污染物环境质量现状评价结果（2</w:t>
      </w:r>
      <w:r>
        <w:rPr>
          <w:rFonts w:ascii="Times New Roman" w:hAnsi="Times New Roman" w:eastAsia="黑体" w:cs="Times New Roman"/>
          <w:color w:val="0000FF"/>
        </w:rPr>
        <w:t>024年</w:t>
      </w:r>
      <w:r>
        <w:rPr>
          <w:rFonts w:hint="eastAsia" w:ascii="Times New Roman" w:hAnsi="Times New Roman" w:eastAsia="黑体" w:cs="Times New Roman"/>
          <w:color w:val="0000FF"/>
        </w:rPr>
        <w:t>）</w:t>
      </w:r>
    </w:p>
    <w:tbl>
      <w:tblPr>
        <w:tblStyle w:val="57"/>
        <w:tblW w:w="5000" w:type="pct"/>
        <w:jc w:val="center"/>
        <w:tblBorders>
          <w:top w:val="thinThickSmallGap" w:color="auto" w:sz="12" w:space="0"/>
          <w:left w:val="none" w:color="auto" w:sz="0" w:space="0"/>
          <w:bottom w:val="thinThickSmallGap" w:color="auto" w:sz="12" w:space="0"/>
          <w:right w:val="none" w:color="auto" w:sz="0"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919"/>
        <w:gridCol w:w="2393"/>
        <w:gridCol w:w="1508"/>
        <w:gridCol w:w="1396"/>
        <w:gridCol w:w="1245"/>
        <w:gridCol w:w="1062"/>
      </w:tblGrid>
      <w:tr w14:paraId="143597FF">
        <w:tblPrEx>
          <w:tblBorders>
            <w:top w:val="thinThickSmallGap" w:color="auto" w:sz="12" w:space="0"/>
            <w:left w:val="none" w:color="auto" w:sz="0" w:space="0"/>
            <w:bottom w:val="thinThick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38" w:type="pct"/>
            <w:tcBorders>
              <w:tl2br w:val="nil"/>
              <w:tr2bl w:val="nil"/>
            </w:tcBorders>
            <w:shd w:val="clear" w:color="auto" w:fill="auto"/>
            <w:vAlign w:val="center"/>
          </w:tcPr>
          <w:p w14:paraId="240A6C9C">
            <w:pPr>
              <w:keepNext w:val="0"/>
              <w:keepLines w:val="0"/>
              <w:pageBreakBefore w:val="0"/>
              <w:widowControl/>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val="0"/>
                <w:bCs/>
                <w:color w:val="0000FF"/>
                <w:sz w:val="21"/>
                <w:szCs w:val="21"/>
              </w:rPr>
            </w:pPr>
            <w:r>
              <w:rPr>
                <w:rFonts w:hint="default" w:ascii="Times New Roman" w:hAnsi="Times New Roman" w:eastAsia="宋体" w:cs="Times New Roman"/>
                <w:b w:val="0"/>
                <w:bCs/>
                <w:color w:val="0000FF"/>
                <w:sz w:val="21"/>
                <w:szCs w:val="21"/>
              </w:rPr>
              <w:t>污染物</w:t>
            </w:r>
          </w:p>
        </w:tc>
        <w:tc>
          <w:tcPr>
            <w:tcW w:w="1404" w:type="pct"/>
            <w:tcBorders>
              <w:tl2br w:val="nil"/>
              <w:tr2bl w:val="nil"/>
            </w:tcBorders>
            <w:shd w:val="clear" w:color="auto" w:fill="auto"/>
            <w:vAlign w:val="center"/>
          </w:tcPr>
          <w:p w14:paraId="12A633F7">
            <w:pPr>
              <w:keepNext w:val="0"/>
              <w:keepLines w:val="0"/>
              <w:pageBreakBefore w:val="0"/>
              <w:widowControl/>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val="0"/>
                <w:bCs/>
                <w:color w:val="0000FF"/>
                <w:sz w:val="21"/>
                <w:szCs w:val="21"/>
              </w:rPr>
            </w:pPr>
            <w:r>
              <w:rPr>
                <w:rFonts w:hint="default" w:ascii="Times New Roman" w:hAnsi="Times New Roman" w:eastAsia="宋体" w:cs="Times New Roman"/>
                <w:b w:val="0"/>
                <w:bCs/>
                <w:color w:val="0000FF"/>
                <w:sz w:val="21"/>
                <w:szCs w:val="21"/>
              </w:rPr>
              <w:t>年评价指标</w:t>
            </w:r>
          </w:p>
        </w:tc>
        <w:tc>
          <w:tcPr>
            <w:tcW w:w="884" w:type="pct"/>
            <w:tcBorders>
              <w:tl2br w:val="nil"/>
              <w:tr2bl w:val="nil"/>
            </w:tcBorders>
            <w:shd w:val="clear" w:color="auto" w:fill="auto"/>
            <w:vAlign w:val="center"/>
          </w:tcPr>
          <w:p w14:paraId="46E828D0">
            <w:pPr>
              <w:keepNext w:val="0"/>
              <w:keepLines w:val="0"/>
              <w:pageBreakBefore w:val="0"/>
              <w:widowControl/>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val="0"/>
                <w:bCs/>
                <w:color w:val="0000FF"/>
                <w:sz w:val="21"/>
                <w:szCs w:val="21"/>
              </w:rPr>
            </w:pPr>
            <w:r>
              <w:rPr>
                <w:rFonts w:hint="default" w:ascii="Times New Roman" w:hAnsi="Times New Roman" w:eastAsia="宋体" w:cs="Times New Roman"/>
                <w:b w:val="0"/>
                <w:bCs/>
                <w:color w:val="0000FF"/>
                <w:sz w:val="21"/>
                <w:szCs w:val="21"/>
              </w:rPr>
              <w:t>现状浓度/</w:t>
            </w:r>
          </w:p>
          <w:p w14:paraId="5E250537">
            <w:pPr>
              <w:keepNext w:val="0"/>
              <w:keepLines w:val="0"/>
              <w:pageBreakBefore w:val="0"/>
              <w:widowControl/>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val="0"/>
                <w:bCs/>
                <w:color w:val="0000FF"/>
                <w:sz w:val="21"/>
                <w:szCs w:val="21"/>
              </w:rPr>
            </w:pPr>
            <w:r>
              <w:rPr>
                <w:rFonts w:hint="default" w:ascii="Times New Roman" w:hAnsi="Times New Roman" w:eastAsia="宋体" w:cs="Times New Roman"/>
                <w:b w:val="0"/>
                <w:bCs/>
                <w:color w:val="0000FF"/>
                <w:sz w:val="21"/>
                <w:szCs w:val="21"/>
              </w:rPr>
              <w:t>（μg/m</w:t>
            </w:r>
            <w:r>
              <w:rPr>
                <w:rFonts w:hint="default" w:ascii="Times New Roman" w:hAnsi="Times New Roman" w:eastAsia="宋体" w:cs="Times New Roman"/>
                <w:b w:val="0"/>
                <w:bCs/>
                <w:color w:val="0000FF"/>
                <w:sz w:val="21"/>
                <w:szCs w:val="21"/>
                <w:vertAlign w:val="superscript"/>
              </w:rPr>
              <w:t>3</w:t>
            </w:r>
            <w:r>
              <w:rPr>
                <w:rFonts w:hint="default" w:ascii="Times New Roman" w:hAnsi="Times New Roman" w:eastAsia="宋体" w:cs="Times New Roman"/>
                <w:b w:val="0"/>
                <w:bCs/>
                <w:color w:val="0000FF"/>
                <w:sz w:val="21"/>
                <w:szCs w:val="21"/>
              </w:rPr>
              <w:t>）</w:t>
            </w:r>
          </w:p>
        </w:tc>
        <w:tc>
          <w:tcPr>
            <w:tcW w:w="818" w:type="pct"/>
            <w:tcBorders>
              <w:tl2br w:val="nil"/>
              <w:tr2bl w:val="nil"/>
            </w:tcBorders>
            <w:shd w:val="clear" w:color="auto" w:fill="auto"/>
            <w:vAlign w:val="center"/>
          </w:tcPr>
          <w:p w14:paraId="67F70484">
            <w:pPr>
              <w:keepNext w:val="0"/>
              <w:keepLines w:val="0"/>
              <w:pageBreakBefore w:val="0"/>
              <w:widowControl/>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val="0"/>
                <w:bCs/>
                <w:color w:val="0000FF"/>
                <w:sz w:val="21"/>
                <w:szCs w:val="21"/>
              </w:rPr>
            </w:pPr>
            <w:r>
              <w:rPr>
                <w:rFonts w:hint="default" w:ascii="Times New Roman" w:hAnsi="Times New Roman" w:eastAsia="宋体" w:cs="Times New Roman"/>
                <w:b w:val="0"/>
                <w:bCs/>
                <w:color w:val="0000FF"/>
                <w:sz w:val="21"/>
                <w:szCs w:val="21"/>
              </w:rPr>
              <w:t>标准值/</w:t>
            </w:r>
          </w:p>
          <w:p w14:paraId="48AE4C44">
            <w:pPr>
              <w:keepNext w:val="0"/>
              <w:keepLines w:val="0"/>
              <w:pageBreakBefore w:val="0"/>
              <w:widowControl/>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val="0"/>
                <w:bCs/>
                <w:color w:val="0000FF"/>
                <w:sz w:val="21"/>
                <w:szCs w:val="21"/>
              </w:rPr>
            </w:pPr>
            <w:r>
              <w:rPr>
                <w:rFonts w:hint="default" w:ascii="Times New Roman" w:hAnsi="Times New Roman" w:eastAsia="宋体" w:cs="Times New Roman"/>
                <w:b w:val="0"/>
                <w:bCs/>
                <w:color w:val="0000FF"/>
                <w:sz w:val="21"/>
                <w:szCs w:val="21"/>
              </w:rPr>
              <w:t>（μg/m</w:t>
            </w:r>
            <w:r>
              <w:rPr>
                <w:rFonts w:hint="default" w:ascii="Times New Roman" w:hAnsi="Times New Roman" w:eastAsia="宋体" w:cs="Times New Roman"/>
                <w:b w:val="0"/>
                <w:bCs/>
                <w:color w:val="0000FF"/>
                <w:sz w:val="21"/>
                <w:szCs w:val="21"/>
                <w:vertAlign w:val="superscript"/>
              </w:rPr>
              <w:t>3</w:t>
            </w:r>
            <w:r>
              <w:rPr>
                <w:rFonts w:hint="default" w:ascii="Times New Roman" w:hAnsi="Times New Roman" w:eastAsia="宋体" w:cs="Times New Roman"/>
                <w:b w:val="0"/>
                <w:bCs/>
                <w:color w:val="0000FF"/>
                <w:sz w:val="21"/>
                <w:szCs w:val="21"/>
              </w:rPr>
              <w:t>）</w:t>
            </w:r>
          </w:p>
        </w:tc>
        <w:tc>
          <w:tcPr>
            <w:tcW w:w="730" w:type="pct"/>
            <w:tcBorders>
              <w:tl2br w:val="nil"/>
              <w:tr2bl w:val="nil"/>
            </w:tcBorders>
            <w:shd w:val="clear" w:color="auto" w:fill="auto"/>
            <w:vAlign w:val="center"/>
          </w:tcPr>
          <w:p w14:paraId="2A9B1087">
            <w:pPr>
              <w:keepNext w:val="0"/>
              <w:keepLines w:val="0"/>
              <w:pageBreakBefore w:val="0"/>
              <w:widowControl/>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val="0"/>
                <w:bCs/>
                <w:color w:val="0000FF"/>
                <w:sz w:val="21"/>
                <w:szCs w:val="21"/>
              </w:rPr>
            </w:pPr>
            <w:r>
              <w:rPr>
                <w:rFonts w:hint="default" w:ascii="Times New Roman" w:hAnsi="Times New Roman" w:eastAsia="宋体" w:cs="Times New Roman"/>
                <w:b w:val="0"/>
                <w:bCs/>
                <w:color w:val="0000FF"/>
                <w:sz w:val="21"/>
                <w:szCs w:val="21"/>
              </w:rPr>
              <w:t>占标率</w:t>
            </w:r>
          </w:p>
          <w:p w14:paraId="032E8EE9">
            <w:pPr>
              <w:keepNext w:val="0"/>
              <w:keepLines w:val="0"/>
              <w:pageBreakBefore w:val="0"/>
              <w:widowControl/>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val="0"/>
                <w:bCs/>
                <w:color w:val="0000FF"/>
                <w:sz w:val="21"/>
                <w:szCs w:val="21"/>
              </w:rPr>
            </w:pPr>
            <w:r>
              <w:rPr>
                <w:rFonts w:hint="default" w:ascii="Times New Roman" w:hAnsi="Times New Roman" w:eastAsia="宋体" w:cs="Times New Roman"/>
                <w:b w:val="0"/>
                <w:bCs/>
                <w:color w:val="0000FF"/>
                <w:sz w:val="21"/>
                <w:szCs w:val="21"/>
              </w:rPr>
              <w:t>/%</w:t>
            </w:r>
          </w:p>
        </w:tc>
        <w:tc>
          <w:tcPr>
            <w:tcW w:w="623" w:type="pct"/>
            <w:tcBorders>
              <w:tl2br w:val="nil"/>
              <w:tr2bl w:val="nil"/>
            </w:tcBorders>
            <w:shd w:val="clear" w:color="auto" w:fill="auto"/>
            <w:vAlign w:val="center"/>
          </w:tcPr>
          <w:p w14:paraId="745004E9">
            <w:pPr>
              <w:keepNext w:val="0"/>
              <w:keepLines w:val="0"/>
              <w:pageBreakBefore w:val="0"/>
              <w:widowControl/>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val="0"/>
                <w:bCs/>
                <w:color w:val="0000FF"/>
                <w:sz w:val="21"/>
                <w:szCs w:val="21"/>
              </w:rPr>
            </w:pPr>
            <w:r>
              <w:rPr>
                <w:rFonts w:hint="default" w:ascii="Times New Roman" w:hAnsi="Times New Roman" w:eastAsia="宋体" w:cs="Times New Roman"/>
                <w:b w:val="0"/>
                <w:bCs/>
                <w:color w:val="0000FF"/>
                <w:sz w:val="21"/>
                <w:szCs w:val="21"/>
              </w:rPr>
              <w:t>达标</w:t>
            </w:r>
          </w:p>
          <w:p w14:paraId="46C30BA4">
            <w:pPr>
              <w:keepNext w:val="0"/>
              <w:keepLines w:val="0"/>
              <w:pageBreakBefore w:val="0"/>
              <w:widowControl/>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val="0"/>
                <w:bCs/>
                <w:color w:val="0000FF"/>
                <w:sz w:val="21"/>
                <w:szCs w:val="21"/>
              </w:rPr>
            </w:pPr>
            <w:r>
              <w:rPr>
                <w:rFonts w:hint="default" w:ascii="Times New Roman" w:hAnsi="Times New Roman" w:eastAsia="宋体" w:cs="Times New Roman"/>
                <w:b w:val="0"/>
                <w:bCs/>
                <w:color w:val="0000FF"/>
                <w:sz w:val="21"/>
                <w:szCs w:val="21"/>
              </w:rPr>
              <w:t>情况</w:t>
            </w:r>
          </w:p>
        </w:tc>
      </w:tr>
      <w:tr w14:paraId="4BABE3BB">
        <w:tblPrEx>
          <w:tblBorders>
            <w:top w:val="thinThickSmallGap" w:color="auto" w:sz="12" w:space="0"/>
            <w:left w:val="none" w:color="auto" w:sz="0" w:space="0"/>
            <w:bottom w:val="thinThickSmallGap" w:color="auto" w:sz="12" w:space="0"/>
            <w:right w:val="none" w:color="auto" w:sz="0"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40" w:hRule="atLeast"/>
          <w:jc w:val="center"/>
        </w:trPr>
        <w:tc>
          <w:tcPr>
            <w:tcW w:w="538" w:type="pct"/>
            <w:vMerge w:val="restart"/>
            <w:tcBorders>
              <w:tl2br w:val="nil"/>
              <w:tr2bl w:val="nil"/>
            </w:tcBorders>
            <w:shd w:val="clear" w:color="auto" w:fill="auto"/>
            <w:vAlign w:val="center"/>
          </w:tcPr>
          <w:p w14:paraId="015DEE4F">
            <w:pPr>
              <w:keepNext w:val="0"/>
              <w:keepLines w:val="0"/>
              <w:pageBreakBefore w:val="0"/>
              <w:widowControl/>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val="0"/>
                <w:bCs/>
                <w:color w:val="0000FF"/>
                <w:sz w:val="21"/>
                <w:szCs w:val="21"/>
              </w:rPr>
            </w:pPr>
            <w:r>
              <w:rPr>
                <w:rFonts w:hint="default" w:ascii="Times New Roman" w:hAnsi="Times New Roman" w:eastAsia="宋体" w:cs="Times New Roman"/>
                <w:b w:val="0"/>
                <w:bCs/>
                <w:color w:val="0000FF"/>
                <w:sz w:val="21"/>
                <w:szCs w:val="21"/>
              </w:rPr>
              <w:t>SO</w:t>
            </w:r>
            <w:r>
              <w:rPr>
                <w:rFonts w:hint="default" w:ascii="Times New Roman" w:hAnsi="Times New Roman" w:eastAsia="宋体" w:cs="Times New Roman"/>
                <w:b w:val="0"/>
                <w:bCs/>
                <w:color w:val="0000FF"/>
                <w:sz w:val="21"/>
                <w:szCs w:val="21"/>
                <w:vertAlign w:val="subscript"/>
              </w:rPr>
              <w:t>2</w:t>
            </w:r>
          </w:p>
        </w:tc>
        <w:tc>
          <w:tcPr>
            <w:tcW w:w="1404" w:type="pct"/>
            <w:tcBorders>
              <w:tl2br w:val="nil"/>
              <w:tr2bl w:val="nil"/>
            </w:tcBorders>
            <w:shd w:val="clear" w:color="auto" w:fill="auto"/>
            <w:vAlign w:val="center"/>
          </w:tcPr>
          <w:p w14:paraId="1D0A3FA0">
            <w:pPr>
              <w:keepNext w:val="0"/>
              <w:keepLines w:val="0"/>
              <w:pageBreakBefore w:val="0"/>
              <w:widowControl/>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val="0"/>
                <w:bCs/>
                <w:color w:val="0000FF"/>
                <w:sz w:val="21"/>
                <w:szCs w:val="21"/>
              </w:rPr>
            </w:pPr>
            <w:r>
              <w:rPr>
                <w:rFonts w:hint="default" w:ascii="Times New Roman" w:hAnsi="Times New Roman" w:eastAsia="宋体" w:cs="Times New Roman"/>
                <w:b w:val="0"/>
                <w:bCs/>
                <w:color w:val="0000FF"/>
                <w:sz w:val="21"/>
                <w:szCs w:val="21"/>
              </w:rPr>
              <w:t>年平均</w:t>
            </w:r>
          </w:p>
        </w:tc>
        <w:tc>
          <w:tcPr>
            <w:tcW w:w="884" w:type="pct"/>
            <w:tcBorders>
              <w:tl2br w:val="nil"/>
              <w:tr2bl w:val="nil"/>
            </w:tcBorders>
            <w:shd w:val="clear" w:color="auto" w:fill="auto"/>
            <w:vAlign w:val="center"/>
          </w:tcPr>
          <w:p w14:paraId="3A0726D8">
            <w:pPr>
              <w:keepNext w:val="0"/>
              <w:keepLines w:val="0"/>
              <w:pageBreakBefore w:val="0"/>
              <w:widowControl/>
              <w:kinsoku/>
              <w:wordWrap/>
              <w:overflowPunct/>
              <w:topLinePunct w:val="0"/>
              <w:autoSpaceDE/>
              <w:autoSpaceDN/>
              <w:bidi w:val="0"/>
              <w:snapToGrid w:val="0"/>
              <w:jc w:val="center"/>
              <w:textAlignment w:val="auto"/>
              <w:rPr>
                <w:rFonts w:hint="default" w:ascii="Times New Roman" w:hAnsi="Times New Roman" w:eastAsia="宋体" w:cs="Times New Roman"/>
                <w:b w:val="0"/>
                <w:bCs/>
                <w:color w:val="0000FF"/>
                <w:sz w:val="21"/>
                <w:szCs w:val="21"/>
              </w:rPr>
            </w:pPr>
            <w:r>
              <w:rPr>
                <w:rFonts w:hint="default" w:ascii="Times New Roman" w:hAnsi="Times New Roman" w:eastAsia="宋体" w:cs="Times New Roman"/>
                <w:b w:val="0"/>
                <w:bCs/>
                <w:color w:val="0000FF"/>
                <w:sz w:val="21"/>
                <w:szCs w:val="21"/>
              </w:rPr>
              <w:t>9</w:t>
            </w:r>
          </w:p>
        </w:tc>
        <w:tc>
          <w:tcPr>
            <w:tcW w:w="818" w:type="pct"/>
            <w:tcBorders>
              <w:tl2br w:val="nil"/>
              <w:tr2bl w:val="nil"/>
            </w:tcBorders>
            <w:shd w:val="clear" w:color="auto" w:fill="auto"/>
            <w:vAlign w:val="center"/>
          </w:tcPr>
          <w:p w14:paraId="79E3482C">
            <w:pPr>
              <w:keepNext w:val="0"/>
              <w:keepLines w:val="0"/>
              <w:pageBreakBefore w:val="0"/>
              <w:widowControl/>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val="0"/>
                <w:bCs/>
                <w:color w:val="0000FF"/>
                <w:sz w:val="21"/>
                <w:szCs w:val="21"/>
              </w:rPr>
            </w:pPr>
            <w:r>
              <w:rPr>
                <w:rFonts w:hint="default" w:ascii="Times New Roman" w:hAnsi="Times New Roman" w:eastAsia="宋体" w:cs="Times New Roman"/>
                <w:b w:val="0"/>
                <w:bCs/>
                <w:color w:val="0000FF"/>
                <w:sz w:val="21"/>
                <w:szCs w:val="21"/>
              </w:rPr>
              <w:t>60</w:t>
            </w:r>
          </w:p>
        </w:tc>
        <w:tc>
          <w:tcPr>
            <w:tcW w:w="730" w:type="pct"/>
            <w:tcBorders>
              <w:tl2br w:val="nil"/>
              <w:tr2bl w:val="nil"/>
            </w:tcBorders>
            <w:shd w:val="clear" w:color="auto" w:fill="auto"/>
            <w:vAlign w:val="center"/>
          </w:tcPr>
          <w:p w14:paraId="213199C4">
            <w:pPr>
              <w:keepNext w:val="0"/>
              <w:keepLines w:val="0"/>
              <w:pageBreakBefore w:val="0"/>
              <w:widowControl/>
              <w:kinsoku/>
              <w:wordWrap/>
              <w:overflowPunct/>
              <w:topLinePunct w:val="0"/>
              <w:autoSpaceDE/>
              <w:autoSpaceDN/>
              <w:bidi w:val="0"/>
              <w:snapToGrid w:val="0"/>
              <w:jc w:val="center"/>
              <w:textAlignment w:val="auto"/>
              <w:rPr>
                <w:rFonts w:hint="default" w:ascii="Times New Roman" w:hAnsi="Times New Roman" w:eastAsia="宋体" w:cs="Times New Roman"/>
                <w:b w:val="0"/>
                <w:bCs/>
                <w:color w:val="0000FF"/>
                <w:sz w:val="21"/>
                <w:szCs w:val="21"/>
              </w:rPr>
            </w:pPr>
            <w:r>
              <w:rPr>
                <w:rFonts w:hint="default" w:ascii="Times New Roman" w:hAnsi="Times New Roman" w:eastAsia="宋体" w:cs="Times New Roman"/>
                <w:b w:val="0"/>
                <w:bCs/>
                <w:color w:val="0000FF"/>
                <w:sz w:val="21"/>
                <w:szCs w:val="21"/>
              </w:rPr>
              <w:t>15.0</w:t>
            </w:r>
          </w:p>
        </w:tc>
        <w:tc>
          <w:tcPr>
            <w:tcW w:w="623" w:type="pct"/>
            <w:tcBorders>
              <w:tl2br w:val="nil"/>
              <w:tr2bl w:val="nil"/>
            </w:tcBorders>
            <w:shd w:val="clear" w:color="auto" w:fill="auto"/>
            <w:vAlign w:val="center"/>
          </w:tcPr>
          <w:p w14:paraId="612052EC">
            <w:pPr>
              <w:keepNext w:val="0"/>
              <w:keepLines w:val="0"/>
              <w:pageBreakBefore w:val="0"/>
              <w:widowControl/>
              <w:kinsoku/>
              <w:wordWrap/>
              <w:overflowPunct/>
              <w:topLinePunct w:val="0"/>
              <w:autoSpaceDE/>
              <w:autoSpaceDN/>
              <w:bidi w:val="0"/>
              <w:snapToGrid w:val="0"/>
              <w:jc w:val="center"/>
              <w:textAlignment w:val="auto"/>
              <w:rPr>
                <w:rFonts w:hint="default" w:ascii="Times New Roman" w:hAnsi="Times New Roman" w:eastAsia="宋体" w:cs="Times New Roman"/>
                <w:b w:val="0"/>
                <w:bCs/>
                <w:color w:val="0000FF"/>
                <w:sz w:val="21"/>
                <w:szCs w:val="21"/>
              </w:rPr>
            </w:pPr>
            <w:r>
              <w:rPr>
                <w:rFonts w:hint="default" w:ascii="Times New Roman" w:hAnsi="Times New Roman" w:eastAsia="宋体" w:cs="Times New Roman"/>
                <w:b w:val="0"/>
                <w:bCs/>
                <w:color w:val="0000FF"/>
                <w:sz w:val="21"/>
                <w:szCs w:val="21"/>
              </w:rPr>
              <w:t>达标</w:t>
            </w:r>
          </w:p>
        </w:tc>
      </w:tr>
      <w:tr w14:paraId="03F44C5A">
        <w:tblPrEx>
          <w:tblBorders>
            <w:top w:val="thinThickSmallGap" w:color="auto" w:sz="12" w:space="0"/>
            <w:left w:val="none" w:color="auto" w:sz="0" w:space="0"/>
            <w:bottom w:val="thinThickSmallGap" w:color="auto" w:sz="12" w:space="0"/>
            <w:right w:val="none" w:color="auto" w:sz="0"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40" w:hRule="atLeast"/>
          <w:jc w:val="center"/>
        </w:trPr>
        <w:tc>
          <w:tcPr>
            <w:tcW w:w="538" w:type="pct"/>
            <w:vMerge w:val="continue"/>
            <w:tcBorders>
              <w:tl2br w:val="nil"/>
              <w:tr2bl w:val="nil"/>
            </w:tcBorders>
            <w:shd w:val="clear" w:color="auto" w:fill="auto"/>
            <w:vAlign w:val="center"/>
          </w:tcPr>
          <w:p w14:paraId="7BD5C094">
            <w:pPr>
              <w:keepNext w:val="0"/>
              <w:keepLines w:val="0"/>
              <w:pageBreakBefore w:val="0"/>
              <w:widowControl/>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val="0"/>
                <w:bCs/>
                <w:color w:val="0000FF"/>
                <w:sz w:val="21"/>
                <w:szCs w:val="21"/>
              </w:rPr>
            </w:pPr>
          </w:p>
        </w:tc>
        <w:tc>
          <w:tcPr>
            <w:tcW w:w="1404" w:type="pct"/>
            <w:tcBorders>
              <w:tl2br w:val="nil"/>
              <w:tr2bl w:val="nil"/>
            </w:tcBorders>
            <w:shd w:val="clear" w:color="auto" w:fill="auto"/>
            <w:vAlign w:val="center"/>
          </w:tcPr>
          <w:p w14:paraId="5086C60E">
            <w:pPr>
              <w:keepNext w:val="0"/>
              <w:keepLines w:val="0"/>
              <w:pageBreakBefore w:val="0"/>
              <w:widowControl/>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val="0"/>
                <w:bCs/>
                <w:color w:val="0000FF"/>
                <w:sz w:val="21"/>
                <w:szCs w:val="21"/>
              </w:rPr>
            </w:pPr>
            <w:r>
              <w:rPr>
                <w:rFonts w:hint="default" w:ascii="Times New Roman" w:hAnsi="Times New Roman" w:eastAsia="宋体" w:cs="Times New Roman"/>
                <w:b w:val="0"/>
                <w:bCs/>
                <w:color w:val="0000FF"/>
                <w:sz w:val="21"/>
                <w:szCs w:val="21"/>
              </w:rPr>
              <w:t>24 小时平均第</w:t>
            </w:r>
          </w:p>
          <w:p w14:paraId="5EC22ABE">
            <w:pPr>
              <w:keepNext w:val="0"/>
              <w:keepLines w:val="0"/>
              <w:pageBreakBefore w:val="0"/>
              <w:widowControl/>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val="0"/>
                <w:bCs/>
                <w:color w:val="0000FF"/>
                <w:sz w:val="21"/>
                <w:szCs w:val="21"/>
              </w:rPr>
            </w:pPr>
            <w:r>
              <w:rPr>
                <w:rFonts w:hint="default" w:ascii="Times New Roman" w:hAnsi="Times New Roman" w:eastAsia="宋体" w:cs="Times New Roman"/>
                <w:b w:val="0"/>
                <w:bCs/>
                <w:color w:val="0000FF"/>
                <w:sz w:val="21"/>
                <w:szCs w:val="21"/>
              </w:rPr>
              <w:t>98 百分位数</w:t>
            </w:r>
          </w:p>
        </w:tc>
        <w:tc>
          <w:tcPr>
            <w:tcW w:w="884" w:type="pct"/>
            <w:tcBorders>
              <w:tl2br w:val="nil"/>
              <w:tr2bl w:val="nil"/>
            </w:tcBorders>
            <w:shd w:val="clear" w:color="auto" w:fill="auto"/>
            <w:vAlign w:val="center"/>
          </w:tcPr>
          <w:p w14:paraId="5EAEF816">
            <w:pPr>
              <w:keepNext w:val="0"/>
              <w:keepLines w:val="0"/>
              <w:pageBreakBefore w:val="0"/>
              <w:widowControl/>
              <w:kinsoku/>
              <w:wordWrap/>
              <w:overflowPunct/>
              <w:topLinePunct w:val="0"/>
              <w:autoSpaceDE/>
              <w:autoSpaceDN/>
              <w:bidi w:val="0"/>
              <w:snapToGrid w:val="0"/>
              <w:jc w:val="center"/>
              <w:textAlignment w:val="auto"/>
              <w:rPr>
                <w:rFonts w:hint="default" w:ascii="Times New Roman" w:hAnsi="Times New Roman" w:eastAsia="宋体" w:cs="Times New Roman"/>
                <w:b w:val="0"/>
                <w:bCs/>
                <w:color w:val="0000FF"/>
                <w:sz w:val="21"/>
                <w:szCs w:val="21"/>
              </w:rPr>
            </w:pPr>
            <w:r>
              <w:rPr>
                <w:rFonts w:hint="default" w:ascii="Times New Roman" w:hAnsi="Times New Roman" w:eastAsia="宋体" w:cs="Times New Roman"/>
                <w:b w:val="0"/>
                <w:bCs/>
                <w:color w:val="0000FF"/>
                <w:sz w:val="21"/>
                <w:szCs w:val="21"/>
              </w:rPr>
              <w:t>18</w:t>
            </w:r>
          </w:p>
        </w:tc>
        <w:tc>
          <w:tcPr>
            <w:tcW w:w="818" w:type="pct"/>
            <w:tcBorders>
              <w:tl2br w:val="nil"/>
              <w:tr2bl w:val="nil"/>
            </w:tcBorders>
            <w:shd w:val="clear" w:color="auto" w:fill="auto"/>
            <w:vAlign w:val="center"/>
          </w:tcPr>
          <w:p w14:paraId="2C70076E">
            <w:pPr>
              <w:keepNext w:val="0"/>
              <w:keepLines w:val="0"/>
              <w:pageBreakBefore w:val="0"/>
              <w:widowControl/>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val="0"/>
                <w:bCs/>
                <w:color w:val="0000FF"/>
                <w:sz w:val="21"/>
                <w:szCs w:val="21"/>
              </w:rPr>
            </w:pPr>
            <w:r>
              <w:rPr>
                <w:rFonts w:hint="default" w:ascii="Times New Roman" w:hAnsi="Times New Roman" w:eastAsia="宋体" w:cs="Times New Roman"/>
                <w:b w:val="0"/>
                <w:bCs/>
                <w:color w:val="0000FF"/>
                <w:sz w:val="21"/>
                <w:szCs w:val="21"/>
              </w:rPr>
              <w:t>150</w:t>
            </w:r>
          </w:p>
        </w:tc>
        <w:tc>
          <w:tcPr>
            <w:tcW w:w="730" w:type="pct"/>
            <w:tcBorders>
              <w:tl2br w:val="nil"/>
              <w:tr2bl w:val="nil"/>
            </w:tcBorders>
            <w:shd w:val="clear" w:color="auto" w:fill="auto"/>
            <w:vAlign w:val="center"/>
          </w:tcPr>
          <w:p w14:paraId="425BECBF">
            <w:pPr>
              <w:keepNext w:val="0"/>
              <w:keepLines w:val="0"/>
              <w:pageBreakBefore w:val="0"/>
              <w:widowControl/>
              <w:kinsoku/>
              <w:wordWrap/>
              <w:overflowPunct/>
              <w:topLinePunct w:val="0"/>
              <w:autoSpaceDE/>
              <w:autoSpaceDN/>
              <w:bidi w:val="0"/>
              <w:snapToGrid w:val="0"/>
              <w:jc w:val="center"/>
              <w:textAlignment w:val="auto"/>
              <w:rPr>
                <w:rFonts w:hint="default" w:ascii="Times New Roman" w:hAnsi="Times New Roman" w:eastAsia="宋体" w:cs="Times New Roman"/>
                <w:b w:val="0"/>
                <w:bCs/>
                <w:color w:val="0000FF"/>
                <w:sz w:val="21"/>
                <w:szCs w:val="21"/>
              </w:rPr>
            </w:pPr>
            <w:r>
              <w:rPr>
                <w:rFonts w:hint="default" w:ascii="Times New Roman" w:hAnsi="Times New Roman" w:eastAsia="宋体" w:cs="Times New Roman"/>
                <w:b w:val="0"/>
                <w:bCs/>
                <w:color w:val="0000FF"/>
                <w:sz w:val="21"/>
                <w:szCs w:val="21"/>
              </w:rPr>
              <w:t>12.0</w:t>
            </w:r>
          </w:p>
        </w:tc>
        <w:tc>
          <w:tcPr>
            <w:tcW w:w="623" w:type="pct"/>
            <w:tcBorders>
              <w:tl2br w:val="nil"/>
              <w:tr2bl w:val="nil"/>
            </w:tcBorders>
            <w:shd w:val="clear" w:color="auto" w:fill="auto"/>
            <w:vAlign w:val="center"/>
          </w:tcPr>
          <w:p w14:paraId="267B7AC3">
            <w:pPr>
              <w:keepNext w:val="0"/>
              <w:keepLines w:val="0"/>
              <w:pageBreakBefore w:val="0"/>
              <w:widowControl/>
              <w:kinsoku/>
              <w:wordWrap/>
              <w:overflowPunct/>
              <w:topLinePunct w:val="0"/>
              <w:autoSpaceDE/>
              <w:autoSpaceDN/>
              <w:bidi w:val="0"/>
              <w:snapToGrid w:val="0"/>
              <w:jc w:val="center"/>
              <w:textAlignment w:val="auto"/>
              <w:rPr>
                <w:rFonts w:hint="default" w:ascii="Times New Roman" w:hAnsi="Times New Roman" w:eastAsia="宋体" w:cs="Times New Roman"/>
                <w:b w:val="0"/>
                <w:bCs/>
                <w:color w:val="0000FF"/>
                <w:sz w:val="21"/>
                <w:szCs w:val="21"/>
              </w:rPr>
            </w:pPr>
            <w:r>
              <w:rPr>
                <w:rFonts w:hint="default" w:ascii="Times New Roman" w:hAnsi="Times New Roman" w:eastAsia="宋体" w:cs="Times New Roman"/>
                <w:b w:val="0"/>
                <w:bCs/>
                <w:color w:val="0000FF"/>
                <w:sz w:val="21"/>
                <w:szCs w:val="21"/>
              </w:rPr>
              <w:t>达标</w:t>
            </w:r>
          </w:p>
        </w:tc>
      </w:tr>
      <w:tr w14:paraId="5F71C427">
        <w:tblPrEx>
          <w:tblBorders>
            <w:top w:val="thinThickSmallGap" w:color="auto" w:sz="12" w:space="0"/>
            <w:left w:val="none" w:color="auto" w:sz="0" w:space="0"/>
            <w:bottom w:val="thinThickSmallGap" w:color="auto" w:sz="12" w:space="0"/>
            <w:right w:val="none" w:color="auto" w:sz="0"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40" w:hRule="atLeast"/>
          <w:jc w:val="center"/>
        </w:trPr>
        <w:tc>
          <w:tcPr>
            <w:tcW w:w="538" w:type="pct"/>
            <w:vMerge w:val="restart"/>
            <w:tcBorders>
              <w:tl2br w:val="nil"/>
              <w:tr2bl w:val="nil"/>
            </w:tcBorders>
            <w:shd w:val="clear" w:color="auto" w:fill="auto"/>
            <w:vAlign w:val="center"/>
          </w:tcPr>
          <w:p w14:paraId="15342876">
            <w:pPr>
              <w:keepNext w:val="0"/>
              <w:keepLines w:val="0"/>
              <w:pageBreakBefore w:val="0"/>
              <w:widowControl/>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val="0"/>
                <w:bCs/>
                <w:color w:val="0000FF"/>
                <w:sz w:val="21"/>
                <w:szCs w:val="21"/>
              </w:rPr>
            </w:pPr>
            <w:r>
              <w:rPr>
                <w:rFonts w:hint="default" w:ascii="Times New Roman" w:hAnsi="Times New Roman" w:eastAsia="宋体" w:cs="Times New Roman"/>
                <w:b w:val="0"/>
                <w:bCs/>
                <w:color w:val="0000FF"/>
                <w:sz w:val="21"/>
                <w:szCs w:val="21"/>
              </w:rPr>
              <w:t>NO</w:t>
            </w:r>
            <w:r>
              <w:rPr>
                <w:rFonts w:hint="default" w:ascii="Times New Roman" w:hAnsi="Times New Roman" w:eastAsia="宋体" w:cs="Times New Roman"/>
                <w:b w:val="0"/>
                <w:bCs/>
                <w:color w:val="0000FF"/>
                <w:sz w:val="21"/>
                <w:szCs w:val="21"/>
                <w:vertAlign w:val="subscript"/>
              </w:rPr>
              <w:t>2</w:t>
            </w:r>
          </w:p>
        </w:tc>
        <w:tc>
          <w:tcPr>
            <w:tcW w:w="1404" w:type="pct"/>
            <w:tcBorders>
              <w:tl2br w:val="nil"/>
              <w:tr2bl w:val="nil"/>
            </w:tcBorders>
            <w:shd w:val="clear" w:color="auto" w:fill="auto"/>
            <w:vAlign w:val="center"/>
          </w:tcPr>
          <w:p w14:paraId="056228A5">
            <w:pPr>
              <w:keepNext w:val="0"/>
              <w:keepLines w:val="0"/>
              <w:pageBreakBefore w:val="0"/>
              <w:widowControl/>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val="0"/>
                <w:bCs/>
                <w:color w:val="0000FF"/>
                <w:sz w:val="21"/>
                <w:szCs w:val="21"/>
              </w:rPr>
            </w:pPr>
            <w:r>
              <w:rPr>
                <w:rFonts w:hint="default" w:ascii="Times New Roman" w:hAnsi="Times New Roman" w:eastAsia="宋体" w:cs="Times New Roman"/>
                <w:b w:val="0"/>
                <w:bCs/>
                <w:color w:val="0000FF"/>
                <w:sz w:val="21"/>
                <w:szCs w:val="21"/>
              </w:rPr>
              <w:t>年平均</w:t>
            </w:r>
          </w:p>
        </w:tc>
        <w:tc>
          <w:tcPr>
            <w:tcW w:w="884" w:type="pct"/>
            <w:tcBorders>
              <w:tl2br w:val="nil"/>
              <w:tr2bl w:val="nil"/>
            </w:tcBorders>
            <w:shd w:val="clear" w:color="auto" w:fill="auto"/>
            <w:vAlign w:val="center"/>
          </w:tcPr>
          <w:p w14:paraId="562E98CA">
            <w:pPr>
              <w:keepNext w:val="0"/>
              <w:keepLines w:val="0"/>
              <w:pageBreakBefore w:val="0"/>
              <w:widowControl/>
              <w:kinsoku/>
              <w:wordWrap/>
              <w:overflowPunct/>
              <w:topLinePunct w:val="0"/>
              <w:autoSpaceDE/>
              <w:autoSpaceDN/>
              <w:bidi w:val="0"/>
              <w:snapToGrid w:val="0"/>
              <w:jc w:val="center"/>
              <w:textAlignment w:val="auto"/>
              <w:rPr>
                <w:rFonts w:hint="default" w:ascii="Times New Roman" w:hAnsi="Times New Roman" w:eastAsia="宋体" w:cs="Times New Roman"/>
                <w:b w:val="0"/>
                <w:bCs/>
                <w:color w:val="0000FF"/>
                <w:sz w:val="21"/>
                <w:szCs w:val="21"/>
              </w:rPr>
            </w:pPr>
            <w:r>
              <w:rPr>
                <w:rFonts w:hint="default" w:ascii="Times New Roman" w:hAnsi="Times New Roman" w:eastAsia="宋体" w:cs="Times New Roman"/>
                <w:b w:val="0"/>
                <w:bCs/>
                <w:color w:val="0000FF"/>
                <w:sz w:val="21"/>
                <w:szCs w:val="21"/>
              </w:rPr>
              <w:t>27</w:t>
            </w:r>
          </w:p>
        </w:tc>
        <w:tc>
          <w:tcPr>
            <w:tcW w:w="818" w:type="pct"/>
            <w:tcBorders>
              <w:tl2br w:val="nil"/>
              <w:tr2bl w:val="nil"/>
            </w:tcBorders>
            <w:shd w:val="clear" w:color="auto" w:fill="auto"/>
            <w:vAlign w:val="center"/>
          </w:tcPr>
          <w:p w14:paraId="5BE6B8A8">
            <w:pPr>
              <w:keepNext w:val="0"/>
              <w:keepLines w:val="0"/>
              <w:pageBreakBefore w:val="0"/>
              <w:widowControl/>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val="0"/>
                <w:bCs/>
                <w:color w:val="0000FF"/>
                <w:sz w:val="21"/>
                <w:szCs w:val="21"/>
              </w:rPr>
            </w:pPr>
            <w:r>
              <w:rPr>
                <w:rFonts w:hint="default" w:ascii="Times New Roman" w:hAnsi="Times New Roman" w:eastAsia="宋体" w:cs="Times New Roman"/>
                <w:b w:val="0"/>
                <w:bCs/>
                <w:color w:val="0000FF"/>
                <w:sz w:val="21"/>
                <w:szCs w:val="21"/>
              </w:rPr>
              <w:t>40</w:t>
            </w:r>
          </w:p>
        </w:tc>
        <w:tc>
          <w:tcPr>
            <w:tcW w:w="730" w:type="pct"/>
            <w:tcBorders>
              <w:tl2br w:val="nil"/>
              <w:tr2bl w:val="nil"/>
            </w:tcBorders>
            <w:shd w:val="clear" w:color="auto" w:fill="auto"/>
            <w:vAlign w:val="center"/>
          </w:tcPr>
          <w:p w14:paraId="5DF5D9F0">
            <w:pPr>
              <w:keepNext w:val="0"/>
              <w:keepLines w:val="0"/>
              <w:pageBreakBefore w:val="0"/>
              <w:widowControl/>
              <w:kinsoku/>
              <w:wordWrap/>
              <w:overflowPunct/>
              <w:topLinePunct w:val="0"/>
              <w:autoSpaceDE/>
              <w:autoSpaceDN/>
              <w:bidi w:val="0"/>
              <w:snapToGrid w:val="0"/>
              <w:jc w:val="center"/>
              <w:textAlignment w:val="auto"/>
              <w:rPr>
                <w:rFonts w:hint="default" w:ascii="Times New Roman" w:hAnsi="Times New Roman" w:eastAsia="宋体" w:cs="Times New Roman"/>
                <w:b w:val="0"/>
                <w:bCs/>
                <w:color w:val="0000FF"/>
                <w:sz w:val="21"/>
                <w:szCs w:val="21"/>
              </w:rPr>
            </w:pPr>
            <w:r>
              <w:rPr>
                <w:rFonts w:hint="default" w:ascii="Times New Roman" w:hAnsi="Times New Roman" w:eastAsia="宋体" w:cs="Times New Roman"/>
                <w:b w:val="0"/>
                <w:bCs/>
                <w:color w:val="0000FF"/>
                <w:sz w:val="21"/>
                <w:szCs w:val="21"/>
              </w:rPr>
              <w:t>67.5</w:t>
            </w:r>
          </w:p>
        </w:tc>
        <w:tc>
          <w:tcPr>
            <w:tcW w:w="623" w:type="pct"/>
            <w:tcBorders>
              <w:tl2br w:val="nil"/>
              <w:tr2bl w:val="nil"/>
            </w:tcBorders>
            <w:shd w:val="clear" w:color="auto" w:fill="auto"/>
            <w:vAlign w:val="center"/>
          </w:tcPr>
          <w:p w14:paraId="0B9FB4D5">
            <w:pPr>
              <w:keepNext w:val="0"/>
              <w:keepLines w:val="0"/>
              <w:pageBreakBefore w:val="0"/>
              <w:widowControl/>
              <w:kinsoku/>
              <w:wordWrap/>
              <w:overflowPunct/>
              <w:topLinePunct w:val="0"/>
              <w:autoSpaceDE/>
              <w:autoSpaceDN/>
              <w:bidi w:val="0"/>
              <w:snapToGrid w:val="0"/>
              <w:jc w:val="center"/>
              <w:textAlignment w:val="auto"/>
              <w:rPr>
                <w:rFonts w:hint="default" w:ascii="Times New Roman" w:hAnsi="Times New Roman" w:eastAsia="宋体" w:cs="Times New Roman"/>
                <w:b w:val="0"/>
                <w:bCs/>
                <w:color w:val="0000FF"/>
                <w:sz w:val="21"/>
                <w:szCs w:val="21"/>
              </w:rPr>
            </w:pPr>
            <w:r>
              <w:rPr>
                <w:rFonts w:hint="default" w:ascii="Times New Roman" w:hAnsi="Times New Roman" w:eastAsia="宋体" w:cs="Times New Roman"/>
                <w:b w:val="0"/>
                <w:bCs/>
                <w:color w:val="0000FF"/>
                <w:sz w:val="21"/>
                <w:szCs w:val="21"/>
              </w:rPr>
              <w:t>达标</w:t>
            </w:r>
          </w:p>
        </w:tc>
      </w:tr>
      <w:tr w14:paraId="5847DFE8">
        <w:tblPrEx>
          <w:tblBorders>
            <w:top w:val="thinThickSmallGap" w:color="auto" w:sz="12" w:space="0"/>
            <w:left w:val="none" w:color="auto" w:sz="0" w:space="0"/>
            <w:bottom w:val="thinThickSmallGap" w:color="auto" w:sz="12" w:space="0"/>
            <w:right w:val="none" w:color="auto" w:sz="0"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40" w:hRule="atLeast"/>
          <w:jc w:val="center"/>
        </w:trPr>
        <w:tc>
          <w:tcPr>
            <w:tcW w:w="538" w:type="pct"/>
            <w:vMerge w:val="continue"/>
            <w:tcBorders>
              <w:tl2br w:val="nil"/>
              <w:tr2bl w:val="nil"/>
            </w:tcBorders>
            <w:shd w:val="clear" w:color="auto" w:fill="auto"/>
            <w:vAlign w:val="center"/>
          </w:tcPr>
          <w:p w14:paraId="26372DA9">
            <w:pPr>
              <w:keepNext w:val="0"/>
              <w:keepLines w:val="0"/>
              <w:pageBreakBefore w:val="0"/>
              <w:widowControl/>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val="0"/>
                <w:bCs/>
                <w:color w:val="0000FF"/>
                <w:sz w:val="21"/>
                <w:szCs w:val="21"/>
              </w:rPr>
            </w:pPr>
          </w:p>
        </w:tc>
        <w:tc>
          <w:tcPr>
            <w:tcW w:w="1404" w:type="pct"/>
            <w:tcBorders>
              <w:tl2br w:val="nil"/>
              <w:tr2bl w:val="nil"/>
            </w:tcBorders>
            <w:shd w:val="clear" w:color="auto" w:fill="auto"/>
            <w:vAlign w:val="center"/>
          </w:tcPr>
          <w:p w14:paraId="0C0AFE8E">
            <w:pPr>
              <w:keepNext w:val="0"/>
              <w:keepLines w:val="0"/>
              <w:pageBreakBefore w:val="0"/>
              <w:widowControl/>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val="0"/>
                <w:bCs/>
                <w:color w:val="0000FF"/>
                <w:sz w:val="21"/>
                <w:szCs w:val="21"/>
              </w:rPr>
            </w:pPr>
            <w:r>
              <w:rPr>
                <w:rFonts w:hint="default" w:ascii="Times New Roman" w:hAnsi="Times New Roman" w:eastAsia="宋体" w:cs="Times New Roman"/>
                <w:b w:val="0"/>
                <w:bCs/>
                <w:color w:val="0000FF"/>
                <w:sz w:val="21"/>
                <w:szCs w:val="21"/>
              </w:rPr>
              <w:t>24 小时平均第</w:t>
            </w:r>
          </w:p>
          <w:p w14:paraId="03A95317">
            <w:pPr>
              <w:keepNext w:val="0"/>
              <w:keepLines w:val="0"/>
              <w:pageBreakBefore w:val="0"/>
              <w:widowControl/>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val="0"/>
                <w:bCs/>
                <w:color w:val="0000FF"/>
                <w:sz w:val="21"/>
                <w:szCs w:val="21"/>
              </w:rPr>
            </w:pPr>
            <w:r>
              <w:rPr>
                <w:rFonts w:hint="default" w:ascii="Times New Roman" w:hAnsi="Times New Roman" w:eastAsia="宋体" w:cs="Times New Roman"/>
                <w:b w:val="0"/>
                <w:bCs/>
                <w:color w:val="0000FF"/>
                <w:sz w:val="21"/>
                <w:szCs w:val="21"/>
              </w:rPr>
              <w:t>98 百分位数</w:t>
            </w:r>
          </w:p>
        </w:tc>
        <w:tc>
          <w:tcPr>
            <w:tcW w:w="884" w:type="pct"/>
            <w:tcBorders>
              <w:tl2br w:val="nil"/>
              <w:tr2bl w:val="nil"/>
            </w:tcBorders>
            <w:shd w:val="clear" w:color="auto" w:fill="auto"/>
            <w:vAlign w:val="center"/>
          </w:tcPr>
          <w:p w14:paraId="0ED23D82">
            <w:pPr>
              <w:keepNext w:val="0"/>
              <w:keepLines w:val="0"/>
              <w:pageBreakBefore w:val="0"/>
              <w:widowControl/>
              <w:kinsoku/>
              <w:wordWrap/>
              <w:overflowPunct/>
              <w:topLinePunct w:val="0"/>
              <w:autoSpaceDE/>
              <w:autoSpaceDN/>
              <w:bidi w:val="0"/>
              <w:snapToGrid w:val="0"/>
              <w:jc w:val="center"/>
              <w:textAlignment w:val="auto"/>
              <w:rPr>
                <w:rFonts w:hint="default" w:ascii="Times New Roman" w:hAnsi="Times New Roman" w:eastAsia="宋体" w:cs="Times New Roman"/>
                <w:b w:val="0"/>
                <w:bCs/>
                <w:color w:val="0000FF"/>
                <w:sz w:val="21"/>
                <w:szCs w:val="21"/>
              </w:rPr>
            </w:pPr>
            <w:r>
              <w:rPr>
                <w:rFonts w:hint="default" w:ascii="Times New Roman" w:hAnsi="Times New Roman" w:eastAsia="宋体" w:cs="Times New Roman"/>
                <w:b w:val="0"/>
                <w:bCs/>
                <w:color w:val="0000FF"/>
                <w:sz w:val="21"/>
                <w:szCs w:val="21"/>
              </w:rPr>
              <w:t>60</w:t>
            </w:r>
          </w:p>
        </w:tc>
        <w:tc>
          <w:tcPr>
            <w:tcW w:w="818" w:type="pct"/>
            <w:tcBorders>
              <w:tl2br w:val="nil"/>
              <w:tr2bl w:val="nil"/>
            </w:tcBorders>
            <w:shd w:val="clear" w:color="auto" w:fill="auto"/>
            <w:vAlign w:val="center"/>
          </w:tcPr>
          <w:p w14:paraId="120965E5">
            <w:pPr>
              <w:keepNext w:val="0"/>
              <w:keepLines w:val="0"/>
              <w:pageBreakBefore w:val="0"/>
              <w:widowControl/>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val="0"/>
                <w:bCs/>
                <w:color w:val="0000FF"/>
                <w:sz w:val="21"/>
                <w:szCs w:val="21"/>
              </w:rPr>
            </w:pPr>
            <w:r>
              <w:rPr>
                <w:rFonts w:hint="default" w:ascii="Times New Roman" w:hAnsi="Times New Roman" w:eastAsia="宋体" w:cs="Times New Roman"/>
                <w:b w:val="0"/>
                <w:bCs/>
                <w:color w:val="0000FF"/>
                <w:sz w:val="21"/>
                <w:szCs w:val="21"/>
              </w:rPr>
              <w:t>80</w:t>
            </w:r>
          </w:p>
        </w:tc>
        <w:tc>
          <w:tcPr>
            <w:tcW w:w="730" w:type="pct"/>
            <w:tcBorders>
              <w:tl2br w:val="nil"/>
              <w:tr2bl w:val="nil"/>
            </w:tcBorders>
            <w:shd w:val="clear" w:color="auto" w:fill="auto"/>
            <w:vAlign w:val="center"/>
          </w:tcPr>
          <w:p w14:paraId="5B1A4999">
            <w:pPr>
              <w:keepNext w:val="0"/>
              <w:keepLines w:val="0"/>
              <w:pageBreakBefore w:val="0"/>
              <w:widowControl/>
              <w:kinsoku/>
              <w:wordWrap/>
              <w:overflowPunct/>
              <w:topLinePunct w:val="0"/>
              <w:autoSpaceDE/>
              <w:autoSpaceDN/>
              <w:bidi w:val="0"/>
              <w:snapToGrid w:val="0"/>
              <w:jc w:val="center"/>
              <w:textAlignment w:val="auto"/>
              <w:rPr>
                <w:rFonts w:hint="default" w:ascii="Times New Roman" w:hAnsi="Times New Roman" w:eastAsia="宋体" w:cs="Times New Roman"/>
                <w:b w:val="0"/>
                <w:bCs/>
                <w:color w:val="0000FF"/>
                <w:sz w:val="21"/>
                <w:szCs w:val="21"/>
              </w:rPr>
            </w:pPr>
            <w:r>
              <w:rPr>
                <w:rFonts w:hint="default" w:ascii="Times New Roman" w:hAnsi="Times New Roman" w:eastAsia="宋体" w:cs="Times New Roman"/>
                <w:b w:val="0"/>
                <w:bCs/>
                <w:color w:val="0000FF"/>
                <w:sz w:val="21"/>
                <w:szCs w:val="21"/>
              </w:rPr>
              <w:t>75.0</w:t>
            </w:r>
          </w:p>
        </w:tc>
        <w:tc>
          <w:tcPr>
            <w:tcW w:w="623" w:type="pct"/>
            <w:tcBorders>
              <w:tl2br w:val="nil"/>
              <w:tr2bl w:val="nil"/>
            </w:tcBorders>
            <w:shd w:val="clear" w:color="auto" w:fill="auto"/>
            <w:vAlign w:val="center"/>
          </w:tcPr>
          <w:p w14:paraId="34B5F1D4">
            <w:pPr>
              <w:keepNext w:val="0"/>
              <w:keepLines w:val="0"/>
              <w:pageBreakBefore w:val="0"/>
              <w:widowControl/>
              <w:kinsoku/>
              <w:wordWrap/>
              <w:overflowPunct/>
              <w:topLinePunct w:val="0"/>
              <w:autoSpaceDE/>
              <w:autoSpaceDN/>
              <w:bidi w:val="0"/>
              <w:snapToGrid w:val="0"/>
              <w:jc w:val="center"/>
              <w:textAlignment w:val="auto"/>
              <w:rPr>
                <w:rFonts w:hint="default" w:ascii="Times New Roman" w:hAnsi="Times New Roman" w:eastAsia="宋体" w:cs="Times New Roman"/>
                <w:b w:val="0"/>
                <w:bCs/>
                <w:color w:val="0000FF"/>
                <w:sz w:val="21"/>
                <w:szCs w:val="21"/>
              </w:rPr>
            </w:pPr>
            <w:r>
              <w:rPr>
                <w:rFonts w:hint="default" w:ascii="Times New Roman" w:hAnsi="Times New Roman" w:eastAsia="宋体" w:cs="Times New Roman"/>
                <w:b w:val="0"/>
                <w:bCs/>
                <w:color w:val="0000FF"/>
                <w:sz w:val="21"/>
                <w:szCs w:val="21"/>
              </w:rPr>
              <w:t>达标</w:t>
            </w:r>
          </w:p>
        </w:tc>
      </w:tr>
      <w:tr w14:paraId="0EC404D0">
        <w:tblPrEx>
          <w:tblBorders>
            <w:top w:val="thinThickSmallGap" w:color="auto" w:sz="12" w:space="0"/>
            <w:left w:val="none" w:color="auto" w:sz="0" w:space="0"/>
            <w:bottom w:val="thinThickSmallGap" w:color="auto" w:sz="12" w:space="0"/>
            <w:right w:val="none" w:color="auto" w:sz="0"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40" w:hRule="atLeast"/>
          <w:jc w:val="center"/>
        </w:trPr>
        <w:tc>
          <w:tcPr>
            <w:tcW w:w="538" w:type="pct"/>
            <w:vMerge w:val="restart"/>
            <w:tcBorders>
              <w:tl2br w:val="nil"/>
              <w:tr2bl w:val="nil"/>
            </w:tcBorders>
            <w:shd w:val="clear" w:color="auto" w:fill="auto"/>
            <w:vAlign w:val="center"/>
          </w:tcPr>
          <w:p w14:paraId="1463B89F">
            <w:pPr>
              <w:keepNext w:val="0"/>
              <w:keepLines w:val="0"/>
              <w:pageBreakBefore w:val="0"/>
              <w:widowControl/>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val="0"/>
                <w:bCs/>
                <w:color w:val="0000FF"/>
                <w:sz w:val="21"/>
                <w:szCs w:val="21"/>
              </w:rPr>
            </w:pPr>
            <w:r>
              <w:rPr>
                <w:rFonts w:hint="default" w:ascii="Times New Roman" w:hAnsi="Times New Roman" w:eastAsia="宋体" w:cs="Times New Roman"/>
                <w:b w:val="0"/>
                <w:bCs/>
                <w:color w:val="0000FF"/>
                <w:sz w:val="21"/>
                <w:szCs w:val="21"/>
              </w:rPr>
              <w:t>PM</w:t>
            </w:r>
            <w:r>
              <w:rPr>
                <w:rFonts w:hint="default" w:ascii="Times New Roman" w:hAnsi="Times New Roman" w:eastAsia="宋体" w:cs="Times New Roman"/>
                <w:b w:val="0"/>
                <w:bCs/>
                <w:color w:val="0000FF"/>
                <w:sz w:val="21"/>
                <w:szCs w:val="21"/>
                <w:vertAlign w:val="subscript"/>
              </w:rPr>
              <w:t>10</w:t>
            </w:r>
          </w:p>
        </w:tc>
        <w:tc>
          <w:tcPr>
            <w:tcW w:w="1404" w:type="pct"/>
            <w:tcBorders>
              <w:tl2br w:val="nil"/>
              <w:tr2bl w:val="nil"/>
            </w:tcBorders>
            <w:shd w:val="clear" w:color="auto" w:fill="auto"/>
            <w:vAlign w:val="center"/>
          </w:tcPr>
          <w:p w14:paraId="1286F80C">
            <w:pPr>
              <w:keepNext w:val="0"/>
              <w:keepLines w:val="0"/>
              <w:pageBreakBefore w:val="0"/>
              <w:widowControl/>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val="0"/>
                <w:bCs/>
                <w:color w:val="0000FF"/>
                <w:sz w:val="21"/>
                <w:szCs w:val="21"/>
              </w:rPr>
            </w:pPr>
            <w:r>
              <w:rPr>
                <w:rFonts w:hint="default" w:ascii="Times New Roman" w:hAnsi="Times New Roman" w:eastAsia="宋体" w:cs="Times New Roman"/>
                <w:b w:val="0"/>
                <w:bCs/>
                <w:color w:val="0000FF"/>
                <w:sz w:val="21"/>
                <w:szCs w:val="21"/>
              </w:rPr>
              <w:t>年平均</w:t>
            </w:r>
          </w:p>
        </w:tc>
        <w:tc>
          <w:tcPr>
            <w:tcW w:w="884" w:type="pct"/>
            <w:tcBorders>
              <w:tl2br w:val="nil"/>
              <w:tr2bl w:val="nil"/>
            </w:tcBorders>
            <w:shd w:val="clear" w:color="auto" w:fill="auto"/>
            <w:vAlign w:val="center"/>
          </w:tcPr>
          <w:p w14:paraId="293149A0">
            <w:pPr>
              <w:keepNext w:val="0"/>
              <w:keepLines w:val="0"/>
              <w:pageBreakBefore w:val="0"/>
              <w:widowControl/>
              <w:kinsoku/>
              <w:wordWrap/>
              <w:overflowPunct/>
              <w:topLinePunct w:val="0"/>
              <w:autoSpaceDE/>
              <w:autoSpaceDN/>
              <w:bidi w:val="0"/>
              <w:snapToGrid w:val="0"/>
              <w:jc w:val="center"/>
              <w:textAlignment w:val="auto"/>
              <w:rPr>
                <w:rFonts w:hint="default" w:ascii="Times New Roman" w:hAnsi="Times New Roman" w:eastAsia="宋体" w:cs="Times New Roman"/>
                <w:b w:val="0"/>
                <w:bCs/>
                <w:color w:val="0000FF"/>
                <w:sz w:val="21"/>
                <w:szCs w:val="21"/>
              </w:rPr>
            </w:pPr>
            <w:r>
              <w:rPr>
                <w:rFonts w:hint="default" w:ascii="Times New Roman" w:hAnsi="Times New Roman" w:eastAsia="宋体" w:cs="Times New Roman"/>
                <w:b w:val="0"/>
                <w:bCs/>
                <w:color w:val="0000FF"/>
                <w:sz w:val="21"/>
                <w:szCs w:val="21"/>
              </w:rPr>
              <w:t>45</w:t>
            </w:r>
          </w:p>
        </w:tc>
        <w:tc>
          <w:tcPr>
            <w:tcW w:w="818" w:type="pct"/>
            <w:tcBorders>
              <w:tl2br w:val="nil"/>
              <w:tr2bl w:val="nil"/>
            </w:tcBorders>
            <w:shd w:val="clear" w:color="auto" w:fill="auto"/>
            <w:vAlign w:val="center"/>
          </w:tcPr>
          <w:p w14:paraId="747053DA">
            <w:pPr>
              <w:keepNext w:val="0"/>
              <w:keepLines w:val="0"/>
              <w:pageBreakBefore w:val="0"/>
              <w:widowControl/>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val="0"/>
                <w:bCs/>
                <w:color w:val="0000FF"/>
                <w:sz w:val="21"/>
                <w:szCs w:val="21"/>
                <w:lang w:val="en-US" w:eastAsia="zh-CN"/>
              </w:rPr>
            </w:pPr>
            <w:r>
              <w:rPr>
                <w:rFonts w:hint="eastAsia" w:ascii="Times New Roman" w:hAnsi="Times New Roman" w:eastAsia="宋体" w:cs="Times New Roman"/>
                <w:b w:val="0"/>
                <w:bCs/>
                <w:color w:val="FF0000"/>
                <w:sz w:val="21"/>
                <w:szCs w:val="21"/>
                <w:lang w:val="en-US" w:eastAsia="zh-CN"/>
              </w:rPr>
              <w:t>60</w:t>
            </w:r>
          </w:p>
        </w:tc>
        <w:tc>
          <w:tcPr>
            <w:tcW w:w="730" w:type="pct"/>
            <w:tcBorders>
              <w:tl2br w:val="nil"/>
              <w:tr2bl w:val="nil"/>
            </w:tcBorders>
            <w:shd w:val="clear" w:color="auto" w:fill="auto"/>
            <w:vAlign w:val="center"/>
          </w:tcPr>
          <w:p w14:paraId="230BDCF2">
            <w:pPr>
              <w:keepNext w:val="0"/>
              <w:keepLines w:val="0"/>
              <w:pageBreakBefore w:val="0"/>
              <w:widowControl/>
              <w:kinsoku/>
              <w:wordWrap/>
              <w:overflowPunct/>
              <w:topLinePunct w:val="0"/>
              <w:autoSpaceDE/>
              <w:autoSpaceDN/>
              <w:bidi w:val="0"/>
              <w:snapToGrid w:val="0"/>
              <w:jc w:val="center"/>
              <w:textAlignment w:val="auto"/>
              <w:rPr>
                <w:rFonts w:hint="default" w:ascii="Times New Roman" w:hAnsi="Times New Roman" w:eastAsia="宋体" w:cs="Times New Roman"/>
                <w:b w:val="0"/>
                <w:bCs/>
                <w:color w:val="0000FF"/>
                <w:sz w:val="21"/>
                <w:szCs w:val="21"/>
                <w:lang w:val="en-US" w:eastAsia="zh-CN"/>
              </w:rPr>
            </w:pPr>
            <w:r>
              <w:rPr>
                <w:rFonts w:hint="eastAsia" w:ascii="Times New Roman" w:hAnsi="Times New Roman" w:eastAsia="宋体" w:cs="Times New Roman"/>
                <w:b w:val="0"/>
                <w:bCs/>
                <w:color w:val="FF0000"/>
                <w:sz w:val="21"/>
                <w:szCs w:val="21"/>
                <w:lang w:val="en-US" w:eastAsia="zh-CN"/>
              </w:rPr>
              <w:t>75</w:t>
            </w:r>
          </w:p>
        </w:tc>
        <w:tc>
          <w:tcPr>
            <w:tcW w:w="623" w:type="pct"/>
            <w:tcBorders>
              <w:tl2br w:val="nil"/>
              <w:tr2bl w:val="nil"/>
            </w:tcBorders>
            <w:shd w:val="clear" w:color="auto" w:fill="auto"/>
            <w:vAlign w:val="center"/>
          </w:tcPr>
          <w:p w14:paraId="514D1AFE">
            <w:pPr>
              <w:keepNext w:val="0"/>
              <w:keepLines w:val="0"/>
              <w:pageBreakBefore w:val="0"/>
              <w:widowControl/>
              <w:kinsoku/>
              <w:wordWrap/>
              <w:overflowPunct/>
              <w:topLinePunct w:val="0"/>
              <w:autoSpaceDE/>
              <w:autoSpaceDN/>
              <w:bidi w:val="0"/>
              <w:snapToGrid w:val="0"/>
              <w:jc w:val="center"/>
              <w:textAlignment w:val="auto"/>
              <w:rPr>
                <w:rFonts w:hint="default" w:ascii="Times New Roman" w:hAnsi="Times New Roman" w:eastAsia="宋体" w:cs="Times New Roman"/>
                <w:b w:val="0"/>
                <w:bCs/>
                <w:color w:val="0000FF"/>
                <w:sz w:val="21"/>
                <w:szCs w:val="21"/>
              </w:rPr>
            </w:pPr>
            <w:r>
              <w:rPr>
                <w:rFonts w:hint="default" w:ascii="Times New Roman" w:hAnsi="Times New Roman" w:eastAsia="宋体" w:cs="Times New Roman"/>
                <w:b w:val="0"/>
                <w:bCs/>
                <w:color w:val="0000FF"/>
                <w:sz w:val="21"/>
                <w:szCs w:val="21"/>
              </w:rPr>
              <w:t>达标</w:t>
            </w:r>
          </w:p>
        </w:tc>
      </w:tr>
      <w:tr w14:paraId="245AEDB7">
        <w:tblPrEx>
          <w:tblBorders>
            <w:top w:val="thinThickSmallGap" w:color="auto" w:sz="12" w:space="0"/>
            <w:left w:val="none" w:color="auto" w:sz="0" w:space="0"/>
            <w:bottom w:val="thinThickSmallGap" w:color="auto" w:sz="12" w:space="0"/>
            <w:right w:val="none" w:color="auto" w:sz="0"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40" w:hRule="atLeast"/>
          <w:jc w:val="center"/>
        </w:trPr>
        <w:tc>
          <w:tcPr>
            <w:tcW w:w="538" w:type="pct"/>
            <w:vMerge w:val="continue"/>
            <w:tcBorders>
              <w:tl2br w:val="nil"/>
              <w:tr2bl w:val="nil"/>
            </w:tcBorders>
            <w:shd w:val="clear" w:color="auto" w:fill="auto"/>
            <w:vAlign w:val="center"/>
          </w:tcPr>
          <w:p w14:paraId="4CA2BF36">
            <w:pPr>
              <w:keepNext w:val="0"/>
              <w:keepLines w:val="0"/>
              <w:pageBreakBefore w:val="0"/>
              <w:widowControl/>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val="0"/>
                <w:bCs/>
                <w:color w:val="0000FF"/>
                <w:sz w:val="21"/>
                <w:szCs w:val="21"/>
              </w:rPr>
            </w:pPr>
          </w:p>
        </w:tc>
        <w:tc>
          <w:tcPr>
            <w:tcW w:w="1404" w:type="pct"/>
            <w:tcBorders>
              <w:tl2br w:val="nil"/>
              <w:tr2bl w:val="nil"/>
            </w:tcBorders>
            <w:shd w:val="clear" w:color="auto" w:fill="auto"/>
            <w:vAlign w:val="center"/>
          </w:tcPr>
          <w:p w14:paraId="17FB6951">
            <w:pPr>
              <w:keepNext w:val="0"/>
              <w:keepLines w:val="0"/>
              <w:pageBreakBefore w:val="0"/>
              <w:widowControl/>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val="0"/>
                <w:bCs/>
                <w:color w:val="0000FF"/>
                <w:sz w:val="21"/>
                <w:szCs w:val="21"/>
              </w:rPr>
            </w:pPr>
            <w:r>
              <w:rPr>
                <w:rFonts w:hint="default" w:ascii="Times New Roman" w:hAnsi="Times New Roman" w:eastAsia="宋体" w:cs="Times New Roman"/>
                <w:b w:val="0"/>
                <w:bCs/>
                <w:color w:val="0000FF"/>
                <w:sz w:val="21"/>
                <w:szCs w:val="21"/>
              </w:rPr>
              <w:t>24 小时平均第</w:t>
            </w:r>
          </w:p>
          <w:p w14:paraId="63C90C77">
            <w:pPr>
              <w:keepNext w:val="0"/>
              <w:keepLines w:val="0"/>
              <w:pageBreakBefore w:val="0"/>
              <w:widowControl/>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val="0"/>
                <w:bCs/>
                <w:color w:val="0000FF"/>
                <w:sz w:val="21"/>
                <w:szCs w:val="21"/>
              </w:rPr>
            </w:pPr>
            <w:r>
              <w:rPr>
                <w:rFonts w:hint="default" w:ascii="Times New Roman" w:hAnsi="Times New Roman" w:eastAsia="宋体" w:cs="Times New Roman"/>
                <w:b w:val="0"/>
                <w:bCs/>
                <w:color w:val="0000FF"/>
                <w:sz w:val="21"/>
                <w:szCs w:val="21"/>
              </w:rPr>
              <w:t>95 百分位数</w:t>
            </w:r>
          </w:p>
        </w:tc>
        <w:tc>
          <w:tcPr>
            <w:tcW w:w="884" w:type="pct"/>
            <w:tcBorders>
              <w:tl2br w:val="nil"/>
              <w:tr2bl w:val="nil"/>
            </w:tcBorders>
            <w:shd w:val="clear" w:color="auto" w:fill="auto"/>
            <w:vAlign w:val="center"/>
          </w:tcPr>
          <w:p w14:paraId="70D48C1D">
            <w:pPr>
              <w:keepNext w:val="0"/>
              <w:keepLines w:val="0"/>
              <w:pageBreakBefore w:val="0"/>
              <w:widowControl/>
              <w:kinsoku/>
              <w:wordWrap/>
              <w:overflowPunct/>
              <w:topLinePunct w:val="0"/>
              <w:autoSpaceDE/>
              <w:autoSpaceDN/>
              <w:bidi w:val="0"/>
              <w:snapToGrid w:val="0"/>
              <w:jc w:val="center"/>
              <w:textAlignment w:val="auto"/>
              <w:rPr>
                <w:rFonts w:hint="default" w:ascii="Times New Roman" w:hAnsi="Times New Roman" w:eastAsia="宋体" w:cs="Times New Roman"/>
                <w:b w:val="0"/>
                <w:bCs/>
                <w:color w:val="0000FF"/>
                <w:sz w:val="21"/>
                <w:szCs w:val="21"/>
              </w:rPr>
            </w:pPr>
            <w:r>
              <w:rPr>
                <w:rFonts w:hint="default" w:ascii="Times New Roman" w:hAnsi="Times New Roman" w:eastAsia="宋体" w:cs="Times New Roman"/>
                <w:b w:val="0"/>
                <w:bCs/>
                <w:color w:val="0000FF"/>
                <w:sz w:val="21"/>
                <w:szCs w:val="21"/>
              </w:rPr>
              <w:t>100</w:t>
            </w:r>
          </w:p>
        </w:tc>
        <w:tc>
          <w:tcPr>
            <w:tcW w:w="818" w:type="pct"/>
            <w:tcBorders>
              <w:tl2br w:val="nil"/>
              <w:tr2bl w:val="nil"/>
            </w:tcBorders>
            <w:shd w:val="clear" w:color="auto" w:fill="auto"/>
            <w:vAlign w:val="center"/>
          </w:tcPr>
          <w:p w14:paraId="6F0A4857">
            <w:pPr>
              <w:keepNext w:val="0"/>
              <w:keepLines w:val="0"/>
              <w:pageBreakBefore w:val="0"/>
              <w:widowControl/>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val="0"/>
                <w:bCs/>
                <w:color w:val="0000FF"/>
                <w:sz w:val="21"/>
                <w:szCs w:val="21"/>
              </w:rPr>
            </w:pPr>
            <w:r>
              <w:rPr>
                <w:rFonts w:hint="default" w:ascii="Times New Roman" w:hAnsi="Times New Roman" w:eastAsia="宋体" w:cs="Times New Roman"/>
                <w:b w:val="0"/>
                <w:bCs/>
                <w:color w:val="FF0000"/>
                <w:sz w:val="21"/>
                <w:szCs w:val="21"/>
              </w:rPr>
              <w:t>1</w:t>
            </w:r>
            <w:r>
              <w:rPr>
                <w:rFonts w:hint="eastAsia" w:ascii="Times New Roman" w:hAnsi="Times New Roman" w:eastAsia="宋体" w:cs="Times New Roman"/>
                <w:b w:val="0"/>
                <w:bCs/>
                <w:color w:val="FF0000"/>
                <w:sz w:val="21"/>
                <w:szCs w:val="21"/>
                <w:lang w:val="en-US" w:eastAsia="zh-CN"/>
              </w:rPr>
              <w:t>2</w:t>
            </w:r>
            <w:r>
              <w:rPr>
                <w:rFonts w:hint="default" w:ascii="Times New Roman" w:hAnsi="Times New Roman" w:eastAsia="宋体" w:cs="Times New Roman"/>
                <w:b w:val="0"/>
                <w:bCs/>
                <w:color w:val="FF0000"/>
                <w:sz w:val="21"/>
                <w:szCs w:val="21"/>
              </w:rPr>
              <w:t>0</w:t>
            </w:r>
          </w:p>
        </w:tc>
        <w:tc>
          <w:tcPr>
            <w:tcW w:w="730" w:type="pct"/>
            <w:tcBorders>
              <w:tl2br w:val="nil"/>
              <w:tr2bl w:val="nil"/>
            </w:tcBorders>
            <w:shd w:val="clear" w:color="auto" w:fill="auto"/>
            <w:vAlign w:val="center"/>
          </w:tcPr>
          <w:p w14:paraId="2AA47F71">
            <w:pPr>
              <w:keepNext w:val="0"/>
              <w:keepLines w:val="0"/>
              <w:pageBreakBefore w:val="0"/>
              <w:widowControl/>
              <w:kinsoku/>
              <w:wordWrap/>
              <w:overflowPunct/>
              <w:topLinePunct w:val="0"/>
              <w:autoSpaceDE/>
              <w:autoSpaceDN/>
              <w:bidi w:val="0"/>
              <w:snapToGrid w:val="0"/>
              <w:jc w:val="center"/>
              <w:textAlignment w:val="auto"/>
              <w:rPr>
                <w:rFonts w:hint="default" w:ascii="Times New Roman" w:hAnsi="Times New Roman" w:eastAsia="宋体" w:cs="Times New Roman"/>
                <w:b w:val="0"/>
                <w:bCs/>
                <w:color w:val="0000FF"/>
                <w:sz w:val="21"/>
                <w:szCs w:val="21"/>
                <w:lang w:val="en-US" w:eastAsia="zh-CN"/>
              </w:rPr>
            </w:pPr>
            <w:r>
              <w:rPr>
                <w:rFonts w:hint="eastAsia" w:ascii="Times New Roman" w:hAnsi="Times New Roman" w:eastAsia="宋体" w:cs="Times New Roman"/>
                <w:b w:val="0"/>
                <w:bCs/>
                <w:color w:val="FF0000"/>
                <w:sz w:val="21"/>
                <w:szCs w:val="21"/>
                <w:lang w:val="en-US" w:eastAsia="zh-CN"/>
              </w:rPr>
              <w:t>83.3</w:t>
            </w:r>
          </w:p>
        </w:tc>
        <w:tc>
          <w:tcPr>
            <w:tcW w:w="623" w:type="pct"/>
            <w:tcBorders>
              <w:tl2br w:val="nil"/>
              <w:tr2bl w:val="nil"/>
            </w:tcBorders>
            <w:shd w:val="clear" w:color="auto" w:fill="auto"/>
            <w:vAlign w:val="center"/>
          </w:tcPr>
          <w:p w14:paraId="3B0F9063">
            <w:pPr>
              <w:keepNext w:val="0"/>
              <w:keepLines w:val="0"/>
              <w:pageBreakBefore w:val="0"/>
              <w:widowControl/>
              <w:kinsoku/>
              <w:wordWrap/>
              <w:overflowPunct/>
              <w:topLinePunct w:val="0"/>
              <w:autoSpaceDE/>
              <w:autoSpaceDN/>
              <w:bidi w:val="0"/>
              <w:snapToGrid w:val="0"/>
              <w:jc w:val="center"/>
              <w:textAlignment w:val="auto"/>
              <w:rPr>
                <w:rFonts w:hint="default" w:ascii="Times New Roman" w:hAnsi="Times New Roman" w:eastAsia="宋体" w:cs="Times New Roman"/>
                <w:b w:val="0"/>
                <w:bCs/>
                <w:color w:val="0000FF"/>
                <w:sz w:val="21"/>
                <w:szCs w:val="21"/>
              </w:rPr>
            </w:pPr>
            <w:r>
              <w:rPr>
                <w:rFonts w:hint="default" w:ascii="Times New Roman" w:hAnsi="Times New Roman" w:eastAsia="宋体" w:cs="Times New Roman"/>
                <w:b w:val="0"/>
                <w:bCs/>
                <w:color w:val="0000FF"/>
                <w:sz w:val="21"/>
                <w:szCs w:val="21"/>
              </w:rPr>
              <w:t>达标</w:t>
            </w:r>
          </w:p>
        </w:tc>
      </w:tr>
      <w:tr w14:paraId="3C805C28">
        <w:tblPrEx>
          <w:tblBorders>
            <w:top w:val="thinThickSmallGap" w:color="auto" w:sz="12" w:space="0"/>
            <w:left w:val="none" w:color="auto" w:sz="0" w:space="0"/>
            <w:bottom w:val="thinThickSmallGap" w:color="auto" w:sz="12" w:space="0"/>
            <w:right w:val="none" w:color="auto" w:sz="0"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40" w:hRule="atLeast"/>
          <w:jc w:val="center"/>
        </w:trPr>
        <w:tc>
          <w:tcPr>
            <w:tcW w:w="538" w:type="pct"/>
            <w:vMerge w:val="restart"/>
            <w:tcBorders>
              <w:tl2br w:val="nil"/>
              <w:tr2bl w:val="nil"/>
            </w:tcBorders>
            <w:shd w:val="clear" w:color="auto" w:fill="auto"/>
            <w:vAlign w:val="center"/>
          </w:tcPr>
          <w:p w14:paraId="22904A73">
            <w:pPr>
              <w:keepNext w:val="0"/>
              <w:keepLines w:val="0"/>
              <w:pageBreakBefore w:val="0"/>
              <w:widowControl/>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val="0"/>
                <w:bCs/>
                <w:color w:val="0000FF"/>
                <w:sz w:val="21"/>
                <w:szCs w:val="21"/>
              </w:rPr>
            </w:pPr>
            <w:r>
              <w:rPr>
                <w:rFonts w:hint="default" w:ascii="Times New Roman" w:hAnsi="Times New Roman" w:eastAsia="宋体" w:cs="Times New Roman"/>
                <w:b w:val="0"/>
                <w:bCs/>
                <w:color w:val="0000FF"/>
                <w:sz w:val="21"/>
                <w:szCs w:val="21"/>
              </w:rPr>
              <w:t>PM</w:t>
            </w:r>
            <w:r>
              <w:rPr>
                <w:rFonts w:hint="default" w:ascii="Times New Roman" w:hAnsi="Times New Roman" w:eastAsia="宋体" w:cs="Times New Roman"/>
                <w:b w:val="0"/>
                <w:bCs/>
                <w:color w:val="0000FF"/>
                <w:sz w:val="21"/>
                <w:szCs w:val="21"/>
                <w:vertAlign w:val="subscript"/>
              </w:rPr>
              <w:t>2.5</w:t>
            </w:r>
          </w:p>
        </w:tc>
        <w:tc>
          <w:tcPr>
            <w:tcW w:w="1404" w:type="pct"/>
            <w:tcBorders>
              <w:tl2br w:val="nil"/>
              <w:tr2bl w:val="nil"/>
            </w:tcBorders>
            <w:shd w:val="clear" w:color="auto" w:fill="auto"/>
            <w:vAlign w:val="center"/>
          </w:tcPr>
          <w:p w14:paraId="18624A02">
            <w:pPr>
              <w:keepNext w:val="0"/>
              <w:keepLines w:val="0"/>
              <w:pageBreakBefore w:val="0"/>
              <w:widowControl/>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val="0"/>
                <w:bCs/>
                <w:color w:val="0000FF"/>
                <w:sz w:val="21"/>
                <w:szCs w:val="21"/>
              </w:rPr>
            </w:pPr>
            <w:r>
              <w:rPr>
                <w:rFonts w:hint="default" w:ascii="Times New Roman" w:hAnsi="Times New Roman" w:eastAsia="宋体" w:cs="Times New Roman"/>
                <w:b w:val="0"/>
                <w:bCs/>
                <w:color w:val="0000FF"/>
                <w:sz w:val="21"/>
                <w:szCs w:val="21"/>
              </w:rPr>
              <w:t>年平均</w:t>
            </w:r>
          </w:p>
        </w:tc>
        <w:tc>
          <w:tcPr>
            <w:tcW w:w="884" w:type="pct"/>
            <w:tcBorders>
              <w:tl2br w:val="nil"/>
              <w:tr2bl w:val="nil"/>
            </w:tcBorders>
            <w:shd w:val="clear" w:color="auto" w:fill="auto"/>
            <w:vAlign w:val="center"/>
          </w:tcPr>
          <w:p w14:paraId="79241673">
            <w:pPr>
              <w:keepNext w:val="0"/>
              <w:keepLines w:val="0"/>
              <w:pageBreakBefore w:val="0"/>
              <w:widowControl/>
              <w:kinsoku/>
              <w:wordWrap/>
              <w:overflowPunct/>
              <w:topLinePunct w:val="0"/>
              <w:autoSpaceDE/>
              <w:autoSpaceDN/>
              <w:bidi w:val="0"/>
              <w:snapToGrid w:val="0"/>
              <w:jc w:val="center"/>
              <w:textAlignment w:val="auto"/>
              <w:rPr>
                <w:rFonts w:hint="default" w:ascii="Times New Roman" w:hAnsi="Times New Roman" w:eastAsia="宋体" w:cs="Times New Roman"/>
                <w:b w:val="0"/>
                <w:bCs/>
                <w:color w:val="0000FF"/>
                <w:sz w:val="21"/>
                <w:szCs w:val="21"/>
              </w:rPr>
            </w:pPr>
            <w:r>
              <w:rPr>
                <w:rFonts w:hint="default" w:ascii="Times New Roman" w:hAnsi="Times New Roman" w:eastAsia="宋体" w:cs="Times New Roman"/>
                <w:b w:val="0"/>
                <w:bCs/>
                <w:color w:val="0000FF"/>
                <w:sz w:val="21"/>
                <w:szCs w:val="21"/>
              </w:rPr>
              <w:t>23</w:t>
            </w:r>
          </w:p>
        </w:tc>
        <w:tc>
          <w:tcPr>
            <w:tcW w:w="818" w:type="pct"/>
            <w:tcBorders>
              <w:tl2br w:val="nil"/>
              <w:tr2bl w:val="nil"/>
            </w:tcBorders>
            <w:shd w:val="clear" w:color="auto" w:fill="auto"/>
            <w:vAlign w:val="center"/>
          </w:tcPr>
          <w:p w14:paraId="5197912C">
            <w:pPr>
              <w:keepNext w:val="0"/>
              <w:keepLines w:val="0"/>
              <w:pageBreakBefore w:val="0"/>
              <w:widowControl/>
              <w:kinsoku/>
              <w:wordWrap/>
              <w:overflowPunct/>
              <w:topLinePunct w:val="0"/>
              <w:autoSpaceDE/>
              <w:autoSpaceDN/>
              <w:bidi w:val="0"/>
              <w:adjustRightInd w:val="0"/>
              <w:snapToGrid w:val="0"/>
              <w:jc w:val="center"/>
              <w:textAlignment w:val="auto"/>
              <w:rPr>
                <w:rFonts w:hint="eastAsia" w:ascii="Times New Roman" w:hAnsi="Times New Roman" w:eastAsia="宋体" w:cs="Times New Roman"/>
                <w:b w:val="0"/>
                <w:bCs/>
                <w:color w:val="0000FF"/>
                <w:sz w:val="21"/>
                <w:szCs w:val="21"/>
                <w:lang w:eastAsia="zh-CN"/>
              </w:rPr>
            </w:pPr>
            <w:r>
              <w:rPr>
                <w:rFonts w:hint="default" w:ascii="Times New Roman" w:hAnsi="Times New Roman" w:eastAsia="宋体" w:cs="Times New Roman"/>
                <w:b w:val="0"/>
                <w:bCs/>
                <w:color w:val="FF0000"/>
                <w:sz w:val="21"/>
                <w:szCs w:val="21"/>
              </w:rPr>
              <w:t>3</w:t>
            </w:r>
            <w:r>
              <w:rPr>
                <w:rFonts w:hint="eastAsia" w:ascii="Times New Roman" w:hAnsi="Times New Roman" w:eastAsia="宋体" w:cs="Times New Roman"/>
                <w:b w:val="0"/>
                <w:bCs/>
                <w:color w:val="FF0000"/>
                <w:sz w:val="21"/>
                <w:szCs w:val="21"/>
                <w:lang w:val="en-US" w:eastAsia="zh-CN"/>
              </w:rPr>
              <w:t>0</w:t>
            </w:r>
          </w:p>
        </w:tc>
        <w:tc>
          <w:tcPr>
            <w:tcW w:w="730" w:type="pct"/>
            <w:tcBorders>
              <w:tl2br w:val="nil"/>
              <w:tr2bl w:val="nil"/>
            </w:tcBorders>
            <w:shd w:val="clear" w:color="auto" w:fill="auto"/>
            <w:vAlign w:val="center"/>
          </w:tcPr>
          <w:p w14:paraId="462064FD">
            <w:pPr>
              <w:keepNext w:val="0"/>
              <w:keepLines w:val="0"/>
              <w:pageBreakBefore w:val="0"/>
              <w:widowControl/>
              <w:kinsoku/>
              <w:wordWrap/>
              <w:overflowPunct/>
              <w:topLinePunct w:val="0"/>
              <w:autoSpaceDE/>
              <w:autoSpaceDN/>
              <w:bidi w:val="0"/>
              <w:snapToGrid w:val="0"/>
              <w:jc w:val="center"/>
              <w:textAlignment w:val="auto"/>
              <w:rPr>
                <w:rFonts w:hint="default" w:ascii="Times New Roman" w:hAnsi="Times New Roman" w:eastAsia="宋体" w:cs="Times New Roman"/>
                <w:b w:val="0"/>
                <w:bCs/>
                <w:color w:val="FF0000"/>
                <w:sz w:val="21"/>
                <w:szCs w:val="21"/>
              </w:rPr>
            </w:pPr>
            <w:r>
              <w:rPr>
                <w:rFonts w:hint="eastAsia" w:ascii="Times New Roman" w:hAnsi="Times New Roman" w:eastAsia="宋体" w:cs="Times New Roman"/>
                <w:b w:val="0"/>
                <w:bCs/>
                <w:color w:val="FF0000"/>
                <w:sz w:val="21"/>
                <w:szCs w:val="21"/>
                <w:lang w:val="en-US" w:eastAsia="zh-CN"/>
              </w:rPr>
              <w:t>76</w:t>
            </w:r>
            <w:r>
              <w:rPr>
                <w:rFonts w:hint="default" w:ascii="Times New Roman" w:hAnsi="Times New Roman" w:eastAsia="宋体" w:cs="Times New Roman"/>
                <w:b w:val="0"/>
                <w:bCs/>
                <w:color w:val="FF0000"/>
                <w:sz w:val="21"/>
                <w:szCs w:val="21"/>
              </w:rPr>
              <w:t>.7</w:t>
            </w:r>
          </w:p>
        </w:tc>
        <w:tc>
          <w:tcPr>
            <w:tcW w:w="623" w:type="pct"/>
            <w:tcBorders>
              <w:tl2br w:val="nil"/>
              <w:tr2bl w:val="nil"/>
            </w:tcBorders>
            <w:shd w:val="clear" w:color="auto" w:fill="auto"/>
            <w:vAlign w:val="center"/>
          </w:tcPr>
          <w:p w14:paraId="0909757A">
            <w:pPr>
              <w:keepNext w:val="0"/>
              <w:keepLines w:val="0"/>
              <w:pageBreakBefore w:val="0"/>
              <w:widowControl/>
              <w:kinsoku/>
              <w:wordWrap/>
              <w:overflowPunct/>
              <w:topLinePunct w:val="0"/>
              <w:autoSpaceDE/>
              <w:autoSpaceDN/>
              <w:bidi w:val="0"/>
              <w:snapToGrid w:val="0"/>
              <w:jc w:val="center"/>
              <w:textAlignment w:val="auto"/>
              <w:rPr>
                <w:rFonts w:hint="default" w:ascii="Times New Roman" w:hAnsi="Times New Roman" w:eastAsia="宋体" w:cs="Times New Roman"/>
                <w:b w:val="0"/>
                <w:bCs/>
                <w:color w:val="0000FF"/>
                <w:sz w:val="21"/>
                <w:szCs w:val="21"/>
              </w:rPr>
            </w:pPr>
            <w:r>
              <w:rPr>
                <w:rFonts w:hint="default" w:ascii="Times New Roman" w:hAnsi="Times New Roman" w:eastAsia="宋体" w:cs="Times New Roman"/>
                <w:b w:val="0"/>
                <w:bCs/>
                <w:color w:val="0000FF"/>
                <w:sz w:val="21"/>
                <w:szCs w:val="21"/>
              </w:rPr>
              <w:t>达标</w:t>
            </w:r>
          </w:p>
        </w:tc>
      </w:tr>
      <w:tr w14:paraId="4B08028F">
        <w:tblPrEx>
          <w:tblBorders>
            <w:top w:val="thinThickSmallGap" w:color="auto" w:sz="12" w:space="0"/>
            <w:left w:val="none" w:color="auto" w:sz="0" w:space="0"/>
            <w:bottom w:val="thinThickSmallGap" w:color="auto" w:sz="12" w:space="0"/>
            <w:right w:val="none" w:color="auto" w:sz="0"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40" w:hRule="atLeast"/>
          <w:jc w:val="center"/>
        </w:trPr>
        <w:tc>
          <w:tcPr>
            <w:tcW w:w="538" w:type="pct"/>
            <w:vMerge w:val="continue"/>
            <w:tcBorders>
              <w:tl2br w:val="nil"/>
              <w:tr2bl w:val="nil"/>
            </w:tcBorders>
            <w:shd w:val="clear" w:color="auto" w:fill="auto"/>
            <w:vAlign w:val="center"/>
          </w:tcPr>
          <w:p w14:paraId="4DA9470C">
            <w:pPr>
              <w:keepNext w:val="0"/>
              <w:keepLines w:val="0"/>
              <w:pageBreakBefore w:val="0"/>
              <w:widowControl/>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val="0"/>
                <w:bCs/>
                <w:color w:val="0000FF"/>
                <w:sz w:val="21"/>
                <w:szCs w:val="21"/>
              </w:rPr>
            </w:pPr>
          </w:p>
        </w:tc>
        <w:tc>
          <w:tcPr>
            <w:tcW w:w="1404" w:type="pct"/>
            <w:tcBorders>
              <w:tl2br w:val="nil"/>
              <w:tr2bl w:val="nil"/>
            </w:tcBorders>
            <w:shd w:val="clear" w:color="auto" w:fill="auto"/>
            <w:vAlign w:val="center"/>
          </w:tcPr>
          <w:p w14:paraId="3C3EBF0A">
            <w:pPr>
              <w:keepNext w:val="0"/>
              <w:keepLines w:val="0"/>
              <w:pageBreakBefore w:val="0"/>
              <w:widowControl/>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val="0"/>
                <w:bCs/>
                <w:color w:val="0000FF"/>
                <w:sz w:val="21"/>
                <w:szCs w:val="21"/>
              </w:rPr>
            </w:pPr>
            <w:r>
              <w:rPr>
                <w:rFonts w:hint="default" w:ascii="Times New Roman" w:hAnsi="Times New Roman" w:eastAsia="宋体" w:cs="Times New Roman"/>
                <w:b w:val="0"/>
                <w:bCs/>
                <w:color w:val="0000FF"/>
                <w:sz w:val="21"/>
                <w:szCs w:val="21"/>
              </w:rPr>
              <w:t>24 小时平均第</w:t>
            </w:r>
          </w:p>
          <w:p w14:paraId="294E2C5D">
            <w:pPr>
              <w:keepNext w:val="0"/>
              <w:keepLines w:val="0"/>
              <w:pageBreakBefore w:val="0"/>
              <w:widowControl/>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val="0"/>
                <w:bCs/>
                <w:color w:val="0000FF"/>
                <w:sz w:val="21"/>
                <w:szCs w:val="21"/>
              </w:rPr>
            </w:pPr>
            <w:r>
              <w:rPr>
                <w:rFonts w:hint="default" w:ascii="Times New Roman" w:hAnsi="Times New Roman" w:eastAsia="宋体" w:cs="Times New Roman"/>
                <w:b w:val="0"/>
                <w:bCs/>
                <w:color w:val="0000FF"/>
                <w:sz w:val="21"/>
                <w:szCs w:val="21"/>
              </w:rPr>
              <w:t>95 百分位数</w:t>
            </w:r>
          </w:p>
        </w:tc>
        <w:tc>
          <w:tcPr>
            <w:tcW w:w="884" w:type="pct"/>
            <w:tcBorders>
              <w:tl2br w:val="nil"/>
              <w:tr2bl w:val="nil"/>
            </w:tcBorders>
            <w:shd w:val="clear" w:color="auto" w:fill="auto"/>
            <w:vAlign w:val="center"/>
          </w:tcPr>
          <w:p w14:paraId="22C2FDB9">
            <w:pPr>
              <w:keepNext w:val="0"/>
              <w:keepLines w:val="0"/>
              <w:pageBreakBefore w:val="0"/>
              <w:widowControl/>
              <w:kinsoku/>
              <w:wordWrap/>
              <w:overflowPunct/>
              <w:topLinePunct w:val="0"/>
              <w:autoSpaceDE/>
              <w:autoSpaceDN/>
              <w:bidi w:val="0"/>
              <w:snapToGrid w:val="0"/>
              <w:jc w:val="center"/>
              <w:textAlignment w:val="auto"/>
              <w:rPr>
                <w:rFonts w:hint="default" w:ascii="Times New Roman" w:hAnsi="Times New Roman" w:eastAsia="宋体" w:cs="Times New Roman"/>
                <w:b w:val="0"/>
                <w:bCs/>
                <w:color w:val="0000FF"/>
                <w:sz w:val="21"/>
                <w:szCs w:val="21"/>
              </w:rPr>
            </w:pPr>
            <w:r>
              <w:rPr>
                <w:rFonts w:hint="default" w:ascii="Times New Roman" w:hAnsi="Times New Roman" w:eastAsia="宋体" w:cs="Times New Roman"/>
                <w:b w:val="0"/>
                <w:bCs/>
                <w:color w:val="0000FF"/>
                <w:sz w:val="21"/>
                <w:szCs w:val="21"/>
              </w:rPr>
              <w:t>60</w:t>
            </w:r>
          </w:p>
        </w:tc>
        <w:tc>
          <w:tcPr>
            <w:tcW w:w="818" w:type="pct"/>
            <w:tcBorders>
              <w:tl2br w:val="nil"/>
              <w:tr2bl w:val="nil"/>
            </w:tcBorders>
            <w:shd w:val="clear" w:color="auto" w:fill="auto"/>
            <w:vAlign w:val="center"/>
          </w:tcPr>
          <w:p w14:paraId="1E98EE7C">
            <w:pPr>
              <w:keepNext w:val="0"/>
              <w:keepLines w:val="0"/>
              <w:pageBreakBefore w:val="0"/>
              <w:widowControl/>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val="0"/>
                <w:bCs/>
                <w:color w:val="0000FF"/>
                <w:sz w:val="21"/>
                <w:szCs w:val="21"/>
                <w:lang w:val="en-US" w:eastAsia="zh-CN"/>
              </w:rPr>
            </w:pPr>
            <w:r>
              <w:rPr>
                <w:rFonts w:hint="eastAsia" w:ascii="Times New Roman" w:hAnsi="Times New Roman" w:eastAsia="宋体" w:cs="Times New Roman"/>
                <w:b w:val="0"/>
                <w:bCs/>
                <w:color w:val="FF0000"/>
                <w:sz w:val="21"/>
                <w:szCs w:val="21"/>
                <w:lang w:val="en-US" w:eastAsia="zh-CN"/>
              </w:rPr>
              <w:t>60</w:t>
            </w:r>
          </w:p>
        </w:tc>
        <w:tc>
          <w:tcPr>
            <w:tcW w:w="730" w:type="pct"/>
            <w:tcBorders>
              <w:tl2br w:val="nil"/>
              <w:tr2bl w:val="nil"/>
            </w:tcBorders>
            <w:shd w:val="clear" w:color="auto" w:fill="auto"/>
            <w:vAlign w:val="center"/>
          </w:tcPr>
          <w:p w14:paraId="261DDD8F">
            <w:pPr>
              <w:keepNext w:val="0"/>
              <w:keepLines w:val="0"/>
              <w:pageBreakBefore w:val="0"/>
              <w:widowControl/>
              <w:kinsoku/>
              <w:wordWrap/>
              <w:overflowPunct/>
              <w:topLinePunct w:val="0"/>
              <w:autoSpaceDE/>
              <w:autoSpaceDN/>
              <w:bidi w:val="0"/>
              <w:snapToGrid w:val="0"/>
              <w:jc w:val="center"/>
              <w:textAlignment w:val="auto"/>
              <w:rPr>
                <w:rFonts w:hint="default" w:ascii="Times New Roman" w:hAnsi="Times New Roman" w:eastAsia="宋体" w:cs="Times New Roman"/>
                <w:b w:val="0"/>
                <w:bCs/>
                <w:color w:val="FF0000"/>
                <w:sz w:val="21"/>
                <w:szCs w:val="21"/>
              </w:rPr>
            </w:pPr>
            <w:r>
              <w:rPr>
                <w:rFonts w:hint="eastAsia" w:ascii="Times New Roman" w:hAnsi="Times New Roman" w:eastAsia="宋体" w:cs="Times New Roman"/>
                <w:b w:val="0"/>
                <w:bCs/>
                <w:color w:val="FF0000"/>
                <w:sz w:val="21"/>
                <w:szCs w:val="21"/>
                <w:lang w:val="en-US" w:eastAsia="zh-CN"/>
              </w:rPr>
              <w:t>10</w:t>
            </w:r>
            <w:r>
              <w:rPr>
                <w:rFonts w:hint="default" w:ascii="Times New Roman" w:hAnsi="Times New Roman" w:eastAsia="宋体" w:cs="Times New Roman"/>
                <w:b w:val="0"/>
                <w:bCs/>
                <w:color w:val="FF0000"/>
                <w:sz w:val="21"/>
                <w:szCs w:val="21"/>
              </w:rPr>
              <w:t>0.0</w:t>
            </w:r>
          </w:p>
        </w:tc>
        <w:tc>
          <w:tcPr>
            <w:tcW w:w="623" w:type="pct"/>
            <w:tcBorders>
              <w:tl2br w:val="nil"/>
              <w:tr2bl w:val="nil"/>
            </w:tcBorders>
            <w:shd w:val="clear" w:color="auto" w:fill="auto"/>
            <w:vAlign w:val="center"/>
          </w:tcPr>
          <w:p w14:paraId="5C02112C">
            <w:pPr>
              <w:keepNext w:val="0"/>
              <w:keepLines w:val="0"/>
              <w:pageBreakBefore w:val="0"/>
              <w:widowControl/>
              <w:kinsoku/>
              <w:wordWrap/>
              <w:overflowPunct/>
              <w:topLinePunct w:val="0"/>
              <w:autoSpaceDE/>
              <w:autoSpaceDN/>
              <w:bidi w:val="0"/>
              <w:snapToGrid w:val="0"/>
              <w:jc w:val="center"/>
              <w:textAlignment w:val="auto"/>
              <w:rPr>
                <w:rFonts w:hint="default" w:ascii="Times New Roman" w:hAnsi="Times New Roman" w:eastAsia="宋体" w:cs="Times New Roman"/>
                <w:b w:val="0"/>
                <w:bCs/>
                <w:color w:val="0000FF"/>
                <w:sz w:val="21"/>
                <w:szCs w:val="21"/>
              </w:rPr>
            </w:pPr>
            <w:r>
              <w:rPr>
                <w:rFonts w:hint="default" w:ascii="Times New Roman" w:hAnsi="Times New Roman" w:eastAsia="宋体" w:cs="Times New Roman"/>
                <w:b w:val="0"/>
                <w:bCs/>
                <w:color w:val="0000FF"/>
                <w:sz w:val="21"/>
                <w:szCs w:val="21"/>
              </w:rPr>
              <w:t>达标</w:t>
            </w:r>
          </w:p>
        </w:tc>
      </w:tr>
      <w:tr w14:paraId="09FA4532">
        <w:tblPrEx>
          <w:tblBorders>
            <w:top w:val="thinThickSmallGap" w:color="auto" w:sz="12" w:space="0"/>
            <w:left w:val="none" w:color="auto" w:sz="0" w:space="0"/>
            <w:bottom w:val="thinThickSmallGap" w:color="auto" w:sz="12" w:space="0"/>
            <w:right w:val="none" w:color="auto" w:sz="0"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40" w:hRule="atLeast"/>
          <w:jc w:val="center"/>
        </w:trPr>
        <w:tc>
          <w:tcPr>
            <w:tcW w:w="538" w:type="pct"/>
            <w:tcBorders>
              <w:tl2br w:val="nil"/>
              <w:tr2bl w:val="nil"/>
            </w:tcBorders>
            <w:shd w:val="clear" w:color="auto" w:fill="auto"/>
            <w:vAlign w:val="center"/>
          </w:tcPr>
          <w:p w14:paraId="32B77BEC">
            <w:pPr>
              <w:keepNext w:val="0"/>
              <w:keepLines w:val="0"/>
              <w:pageBreakBefore w:val="0"/>
              <w:widowControl/>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val="0"/>
                <w:bCs/>
                <w:color w:val="0000FF"/>
                <w:sz w:val="21"/>
                <w:szCs w:val="21"/>
              </w:rPr>
            </w:pPr>
            <w:r>
              <w:rPr>
                <w:rFonts w:hint="default" w:ascii="Times New Roman" w:hAnsi="Times New Roman" w:eastAsia="宋体" w:cs="Times New Roman"/>
                <w:b w:val="0"/>
                <w:bCs/>
                <w:color w:val="0000FF"/>
                <w:sz w:val="21"/>
                <w:szCs w:val="21"/>
              </w:rPr>
              <w:t>CO</w:t>
            </w:r>
          </w:p>
          <w:p w14:paraId="22651545">
            <w:pPr>
              <w:keepNext w:val="0"/>
              <w:keepLines w:val="0"/>
              <w:pageBreakBefore w:val="0"/>
              <w:widowControl/>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val="0"/>
                <w:bCs/>
                <w:color w:val="0000FF"/>
                <w:sz w:val="21"/>
                <w:szCs w:val="21"/>
              </w:rPr>
            </w:pPr>
            <w:r>
              <w:rPr>
                <w:rFonts w:hint="default" w:ascii="Times New Roman" w:hAnsi="Times New Roman" w:eastAsia="宋体" w:cs="Times New Roman"/>
                <w:b w:val="0"/>
                <w:bCs/>
                <w:color w:val="0000FF"/>
                <w:sz w:val="21"/>
                <w:szCs w:val="21"/>
              </w:rPr>
              <w:t>(mg/m</w:t>
            </w:r>
            <w:r>
              <w:rPr>
                <w:rFonts w:hint="default" w:ascii="Times New Roman" w:hAnsi="Times New Roman" w:eastAsia="宋体" w:cs="Times New Roman"/>
                <w:b w:val="0"/>
                <w:bCs/>
                <w:color w:val="0000FF"/>
                <w:sz w:val="21"/>
                <w:szCs w:val="21"/>
                <w:vertAlign w:val="superscript"/>
              </w:rPr>
              <w:t>3</w:t>
            </w:r>
            <w:r>
              <w:rPr>
                <w:rFonts w:hint="default" w:ascii="Times New Roman" w:hAnsi="Times New Roman" w:eastAsia="宋体" w:cs="Times New Roman"/>
                <w:b w:val="0"/>
                <w:bCs/>
                <w:color w:val="0000FF"/>
                <w:sz w:val="21"/>
                <w:szCs w:val="21"/>
              </w:rPr>
              <w:t>)</w:t>
            </w:r>
          </w:p>
        </w:tc>
        <w:tc>
          <w:tcPr>
            <w:tcW w:w="1404" w:type="pct"/>
            <w:tcBorders>
              <w:tl2br w:val="nil"/>
              <w:tr2bl w:val="nil"/>
            </w:tcBorders>
            <w:shd w:val="clear" w:color="auto" w:fill="auto"/>
            <w:vAlign w:val="center"/>
          </w:tcPr>
          <w:p w14:paraId="721DCF97">
            <w:pPr>
              <w:keepNext w:val="0"/>
              <w:keepLines w:val="0"/>
              <w:pageBreakBefore w:val="0"/>
              <w:widowControl/>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val="0"/>
                <w:bCs/>
                <w:color w:val="0000FF"/>
                <w:sz w:val="21"/>
                <w:szCs w:val="21"/>
              </w:rPr>
            </w:pPr>
            <w:r>
              <w:rPr>
                <w:rFonts w:hint="default" w:ascii="Times New Roman" w:hAnsi="Times New Roman" w:eastAsia="宋体" w:cs="Times New Roman"/>
                <w:b w:val="0"/>
                <w:bCs/>
                <w:color w:val="0000FF"/>
                <w:sz w:val="21"/>
                <w:szCs w:val="21"/>
              </w:rPr>
              <w:t>24 小时平均第</w:t>
            </w:r>
          </w:p>
          <w:p w14:paraId="35176FA4">
            <w:pPr>
              <w:keepNext w:val="0"/>
              <w:keepLines w:val="0"/>
              <w:pageBreakBefore w:val="0"/>
              <w:widowControl/>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val="0"/>
                <w:bCs/>
                <w:color w:val="0000FF"/>
                <w:sz w:val="21"/>
                <w:szCs w:val="21"/>
              </w:rPr>
            </w:pPr>
            <w:r>
              <w:rPr>
                <w:rFonts w:hint="default" w:ascii="Times New Roman" w:hAnsi="Times New Roman" w:eastAsia="宋体" w:cs="Times New Roman"/>
                <w:b w:val="0"/>
                <w:bCs/>
                <w:color w:val="0000FF"/>
                <w:sz w:val="21"/>
                <w:szCs w:val="21"/>
              </w:rPr>
              <w:t>95 百分位数</w:t>
            </w:r>
          </w:p>
        </w:tc>
        <w:tc>
          <w:tcPr>
            <w:tcW w:w="884" w:type="pct"/>
            <w:tcBorders>
              <w:tl2br w:val="nil"/>
              <w:tr2bl w:val="nil"/>
            </w:tcBorders>
            <w:shd w:val="clear" w:color="auto" w:fill="auto"/>
            <w:vAlign w:val="center"/>
          </w:tcPr>
          <w:p w14:paraId="24551171">
            <w:pPr>
              <w:keepNext w:val="0"/>
              <w:keepLines w:val="0"/>
              <w:pageBreakBefore w:val="0"/>
              <w:widowControl/>
              <w:kinsoku/>
              <w:wordWrap/>
              <w:overflowPunct/>
              <w:topLinePunct w:val="0"/>
              <w:autoSpaceDE/>
              <w:autoSpaceDN/>
              <w:bidi w:val="0"/>
              <w:snapToGrid w:val="0"/>
              <w:jc w:val="center"/>
              <w:textAlignment w:val="auto"/>
              <w:rPr>
                <w:rFonts w:hint="default" w:ascii="Times New Roman" w:hAnsi="Times New Roman" w:eastAsia="宋体" w:cs="Times New Roman"/>
                <w:b w:val="0"/>
                <w:bCs/>
                <w:color w:val="0000FF"/>
                <w:sz w:val="21"/>
                <w:szCs w:val="21"/>
              </w:rPr>
            </w:pPr>
            <w:r>
              <w:rPr>
                <w:rFonts w:hint="default" w:ascii="Times New Roman" w:hAnsi="Times New Roman" w:eastAsia="宋体" w:cs="Times New Roman"/>
                <w:b w:val="0"/>
                <w:bCs/>
                <w:color w:val="0000FF"/>
                <w:sz w:val="21"/>
                <w:szCs w:val="21"/>
              </w:rPr>
              <w:t>1.6</w:t>
            </w:r>
          </w:p>
        </w:tc>
        <w:tc>
          <w:tcPr>
            <w:tcW w:w="818" w:type="pct"/>
            <w:tcBorders>
              <w:tl2br w:val="nil"/>
              <w:tr2bl w:val="nil"/>
            </w:tcBorders>
            <w:shd w:val="clear" w:color="auto" w:fill="auto"/>
            <w:vAlign w:val="center"/>
          </w:tcPr>
          <w:p w14:paraId="2E6DFFF7">
            <w:pPr>
              <w:keepNext w:val="0"/>
              <w:keepLines w:val="0"/>
              <w:pageBreakBefore w:val="0"/>
              <w:widowControl/>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val="0"/>
                <w:bCs/>
                <w:color w:val="0000FF"/>
                <w:sz w:val="21"/>
                <w:szCs w:val="21"/>
              </w:rPr>
            </w:pPr>
            <w:r>
              <w:rPr>
                <w:rFonts w:hint="default" w:ascii="Times New Roman" w:hAnsi="Times New Roman" w:eastAsia="宋体" w:cs="Times New Roman"/>
                <w:b w:val="0"/>
                <w:bCs/>
                <w:color w:val="0000FF"/>
                <w:sz w:val="21"/>
                <w:szCs w:val="21"/>
              </w:rPr>
              <w:t>4</w:t>
            </w:r>
          </w:p>
        </w:tc>
        <w:tc>
          <w:tcPr>
            <w:tcW w:w="730" w:type="pct"/>
            <w:tcBorders>
              <w:tl2br w:val="nil"/>
              <w:tr2bl w:val="nil"/>
            </w:tcBorders>
            <w:shd w:val="clear" w:color="auto" w:fill="auto"/>
            <w:vAlign w:val="center"/>
          </w:tcPr>
          <w:p w14:paraId="5B8365A6">
            <w:pPr>
              <w:keepNext w:val="0"/>
              <w:keepLines w:val="0"/>
              <w:pageBreakBefore w:val="0"/>
              <w:widowControl/>
              <w:kinsoku/>
              <w:wordWrap/>
              <w:overflowPunct/>
              <w:topLinePunct w:val="0"/>
              <w:autoSpaceDE/>
              <w:autoSpaceDN/>
              <w:bidi w:val="0"/>
              <w:snapToGrid w:val="0"/>
              <w:jc w:val="center"/>
              <w:textAlignment w:val="auto"/>
              <w:rPr>
                <w:rFonts w:hint="default" w:ascii="Times New Roman" w:hAnsi="Times New Roman" w:eastAsia="宋体" w:cs="Times New Roman"/>
                <w:b w:val="0"/>
                <w:bCs/>
                <w:color w:val="0000FF"/>
                <w:sz w:val="21"/>
                <w:szCs w:val="21"/>
              </w:rPr>
            </w:pPr>
            <w:r>
              <w:rPr>
                <w:rFonts w:hint="default" w:ascii="Times New Roman" w:hAnsi="Times New Roman" w:eastAsia="宋体" w:cs="Times New Roman"/>
                <w:b w:val="0"/>
                <w:bCs/>
                <w:color w:val="0000FF"/>
                <w:sz w:val="21"/>
                <w:szCs w:val="21"/>
              </w:rPr>
              <w:t>40.0</w:t>
            </w:r>
          </w:p>
        </w:tc>
        <w:tc>
          <w:tcPr>
            <w:tcW w:w="623" w:type="pct"/>
            <w:tcBorders>
              <w:tl2br w:val="nil"/>
              <w:tr2bl w:val="nil"/>
            </w:tcBorders>
            <w:shd w:val="clear" w:color="auto" w:fill="auto"/>
            <w:vAlign w:val="center"/>
          </w:tcPr>
          <w:p w14:paraId="35415B20">
            <w:pPr>
              <w:keepNext w:val="0"/>
              <w:keepLines w:val="0"/>
              <w:pageBreakBefore w:val="0"/>
              <w:widowControl/>
              <w:kinsoku/>
              <w:wordWrap/>
              <w:overflowPunct/>
              <w:topLinePunct w:val="0"/>
              <w:autoSpaceDE/>
              <w:autoSpaceDN/>
              <w:bidi w:val="0"/>
              <w:snapToGrid w:val="0"/>
              <w:jc w:val="center"/>
              <w:textAlignment w:val="auto"/>
              <w:rPr>
                <w:rFonts w:hint="default" w:ascii="Times New Roman" w:hAnsi="Times New Roman" w:eastAsia="宋体" w:cs="Times New Roman"/>
                <w:b w:val="0"/>
                <w:bCs/>
                <w:color w:val="0000FF"/>
                <w:sz w:val="21"/>
                <w:szCs w:val="21"/>
              </w:rPr>
            </w:pPr>
            <w:r>
              <w:rPr>
                <w:rFonts w:hint="default" w:ascii="Times New Roman" w:hAnsi="Times New Roman" w:eastAsia="宋体" w:cs="Times New Roman"/>
                <w:b w:val="0"/>
                <w:bCs/>
                <w:color w:val="0000FF"/>
                <w:sz w:val="21"/>
                <w:szCs w:val="21"/>
              </w:rPr>
              <w:t>达标</w:t>
            </w:r>
          </w:p>
        </w:tc>
      </w:tr>
      <w:tr w14:paraId="3A8DF3BF">
        <w:tblPrEx>
          <w:tblBorders>
            <w:top w:val="thinThickSmallGap" w:color="auto" w:sz="12" w:space="0"/>
            <w:left w:val="none" w:color="auto" w:sz="0" w:space="0"/>
            <w:bottom w:val="thinThickSmallGap" w:color="auto" w:sz="12" w:space="0"/>
            <w:right w:val="none" w:color="auto" w:sz="0"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40" w:hRule="atLeast"/>
          <w:jc w:val="center"/>
        </w:trPr>
        <w:tc>
          <w:tcPr>
            <w:tcW w:w="538" w:type="pct"/>
            <w:tcBorders>
              <w:tl2br w:val="nil"/>
              <w:tr2bl w:val="nil"/>
            </w:tcBorders>
            <w:shd w:val="clear" w:color="auto" w:fill="auto"/>
            <w:vAlign w:val="center"/>
          </w:tcPr>
          <w:p w14:paraId="6481ED61">
            <w:pPr>
              <w:keepNext w:val="0"/>
              <w:keepLines w:val="0"/>
              <w:pageBreakBefore w:val="0"/>
              <w:widowControl/>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val="0"/>
                <w:bCs/>
                <w:color w:val="0000FF"/>
                <w:sz w:val="21"/>
                <w:szCs w:val="21"/>
              </w:rPr>
            </w:pPr>
            <w:r>
              <w:rPr>
                <w:rFonts w:hint="default" w:ascii="Times New Roman" w:hAnsi="Times New Roman" w:eastAsia="宋体" w:cs="Times New Roman"/>
                <w:b w:val="0"/>
                <w:bCs/>
                <w:color w:val="0000FF"/>
                <w:sz w:val="21"/>
                <w:szCs w:val="21"/>
              </w:rPr>
              <w:t>O</w:t>
            </w:r>
            <w:r>
              <w:rPr>
                <w:rFonts w:hint="default" w:ascii="Times New Roman" w:hAnsi="Times New Roman" w:eastAsia="宋体" w:cs="Times New Roman"/>
                <w:b w:val="0"/>
                <w:bCs/>
                <w:color w:val="0000FF"/>
                <w:sz w:val="21"/>
                <w:szCs w:val="21"/>
                <w:vertAlign w:val="subscript"/>
              </w:rPr>
              <w:t>3</w:t>
            </w:r>
          </w:p>
        </w:tc>
        <w:tc>
          <w:tcPr>
            <w:tcW w:w="1404" w:type="pct"/>
            <w:tcBorders>
              <w:tl2br w:val="nil"/>
              <w:tr2bl w:val="nil"/>
            </w:tcBorders>
            <w:shd w:val="clear" w:color="auto" w:fill="auto"/>
            <w:vAlign w:val="center"/>
          </w:tcPr>
          <w:p w14:paraId="1FAE3C4E">
            <w:pPr>
              <w:keepNext w:val="0"/>
              <w:keepLines w:val="0"/>
              <w:pageBreakBefore w:val="0"/>
              <w:widowControl/>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val="0"/>
                <w:bCs/>
                <w:color w:val="0000FF"/>
                <w:sz w:val="21"/>
                <w:szCs w:val="21"/>
              </w:rPr>
            </w:pPr>
            <w:r>
              <w:rPr>
                <w:rFonts w:hint="default" w:ascii="Times New Roman" w:hAnsi="Times New Roman" w:eastAsia="宋体" w:cs="Times New Roman"/>
                <w:b w:val="0"/>
                <w:bCs/>
                <w:color w:val="0000FF"/>
                <w:sz w:val="21"/>
                <w:szCs w:val="21"/>
              </w:rPr>
              <w:t>日最大 8h 平均</w:t>
            </w:r>
          </w:p>
          <w:p w14:paraId="67A5B949">
            <w:pPr>
              <w:keepNext w:val="0"/>
              <w:keepLines w:val="0"/>
              <w:pageBreakBefore w:val="0"/>
              <w:widowControl/>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val="0"/>
                <w:bCs/>
                <w:color w:val="0000FF"/>
                <w:sz w:val="21"/>
                <w:szCs w:val="21"/>
              </w:rPr>
            </w:pPr>
            <w:r>
              <w:rPr>
                <w:rFonts w:hint="default" w:ascii="Times New Roman" w:hAnsi="Times New Roman" w:eastAsia="宋体" w:cs="Times New Roman"/>
                <w:b w:val="0"/>
                <w:bCs/>
                <w:color w:val="0000FF"/>
                <w:sz w:val="21"/>
                <w:szCs w:val="21"/>
              </w:rPr>
              <w:t>第 90 百分位数</w:t>
            </w:r>
          </w:p>
        </w:tc>
        <w:tc>
          <w:tcPr>
            <w:tcW w:w="884" w:type="pct"/>
            <w:tcBorders>
              <w:tl2br w:val="nil"/>
              <w:tr2bl w:val="nil"/>
            </w:tcBorders>
            <w:shd w:val="clear" w:color="auto" w:fill="auto"/>
            <w:vAlign w:val="center"/>
          </w:tcPr>
          <w:p w14:paraId="46D4E956">
            <w:pPr>
              <w:keepNext w:val="0"/>
              <w:keepLines w:val="0"/>
              <w:pageBreakBefore w:val="0"/>
              <w:widowControl/>
              <w:kinsoku/>
              <w:wordWrap/>
              <w:overflowPunct/>
              <w:topLinePunct w:val="0"/>
              <w:autoSpaceDE/>
              <w:autoSpaceDN/>
              <w:bidi w:val="0"/>
              <w:snapToGrid w:val="0"/>
              <w:jc w:val="center"/>
              <w:textAlignment w:val="auto"/>
              <w:rPr>
                <w:rFonts w:hint="default" w:ascii="Times New Roman" w:hAnsi="Times New Roman" w:eastAsia="宋体" w:cs="Times New Roman"/>
                <w:b w:val="0"/>
                <w:bCs/>
                <w:color w:val="0000FF"/>
                <w:sz w:val="21"/>
                <w:szCs w:val="21"/>
              </w:rPr>
            </w:pPr>
            <w:r>
              <w:rPr>
                <w:rFonts w:hint="default" w:ascii="Times New Roman" w:hAnsi="Times New Roman" w:eastAsia="宋体" w:cs="Times New Roman"/>
                <w:b w:val="0"/>
                <w:bCs/>
                <w:color w:val="0000FF"/>
                <w:sz w:val="21"/>
                <w:szCs w:val="21"/>
              </w:rPr>
              <w:t>117</w:t>
            </w:r>
          </w:p>
        </w:tc>
        <w:tc>
          <w:tcPr>
            <w:tcW w:w="818" w:type="pct"/>
            <w:tcBorders>
              <w:tl2br w:val="nil"/>
              <w:tr2bl w:val="nil"/>
            </w:tcBorders>
            <w:shd w:val="clear" w:color="auto" w:fill="auto"/>
            <w:vAlign w:val="center"/>
          </w:tcPr>
          <w:p w14:paraId="62E3BBC8">
            <w:pPr>
              <w:keepNext w:val="0"/>
              <w:keepLines w:val="0"/>
              <w:pageBreakBefore w:val="0"/>
              <w:widowControl/>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val="0"/>
                <w:bCs/>
                <w:color w:val="0000FF"/>
                <w:sz w:val="21"/>
                <w:szCs w:val="21"/>
              </w:rPr>
            </w:pPr>
            <w:r>
              <w:rPr>
                <w:rFonts w:hint="default" w:ascii="Times New Roman" w:hAnsi="Times New Roman" w:eastAsia="宋体" w:cs="Times New Roman"/>
                <w:b w:val="0"/>
                <w:bCs/>
                <w:color w:val="0000FF"/>
                <w:sz w:val="21"/>
                <w:szCs w:val="21"/>
              </w:rPr>
              <w:t>160</w:t>
            </w:r>
          </w:p>
        </w:tc>
        <w:tc>
          <w:tcPr>
            <w:tcW w:w="730" w:type="pct"/>
            <w:tcBorders>
              <w:tl2br w:val="nil"/>
              <w:tr2bl w:val="nil"/>
            </w:tcBorders>
            <w:shd w:val="clear" w:color="auto" w:fill="auto"/>
            <w:vAlign w:val="center"/>
          </w:tcPr>
          <w:p w14:paraId="3D5AA06E">
            <w:pPr>
              <w:keepNext w:val="0"/>
              <w:keepLines w:val="0"/>
              <w:pageBreakBefore w:val="0"/>
              <w:widowControl/>
              <w:kinsoku/>
              <w:wordWrap/>
              <w:overflowPunct/>
              <w:topLinePunct w:val="0"/>
              <w:autoSpaceDE/>
              <w:autoSpaceDN/>
              <w:bidi w:val="0"/>
              <w:snapToGrid w:val="0"/>
              <w:jc w:val="center"/>
              <w:textAlignment w:val="auto"/>
              <w:rPr>
                <w:rFonts w:hint="default" w:ascii="Times New Roman" w:hAnsi="Times New Roman" w:eastAsia="宋体" w:cs="Times New Roman"/>
                <w:b w:val="0"/>
                <w:bCs/>
                <w:color w:val="0000FF"/>
                <w:sz w:val="21"/>
                <w:szCs w:val="21"/>
              </w:rPr>
            </w:pPr>
            <w:r>
              <w:rPr>
                <w:rFonts w:hint="default" w:ascii="Times New Roman" w:hAnsi="Times New Roman" w:eastAsia="宋体" w:cs="Times New Roman"/>
                <w:b w:val="0"/>
                <w:bCs/>
                <w:color w:val="0000FF"/>
                <w:sz w:val="21"/>
                <w:szCs w:val="21"/>
              </w:rPr>
              <w:t>73.1</w:t>
            </w:r>
          </w:p>
        </w:tc>
        <w:tc>
          <w:tcPr>
            <w:tcW w:w="623" w:type="pct"/>
            <w:tcBorders>
              <w:tl2br w:val="nil"/>
              <w:tr2bl w:val="nil"/>
            </w:tcBorders>
            <w:shd w:val="clear" w:color="auto" w:fill="auto"/>
            <w:vAlign w:val="center"/>
          </w:tcPr>
          <w:p w14:paraId="22E14241">
            <w:pPr>
              <w:keepNext w:val="0"/>
              <w:keepLines w:val="0"/>
              <w:pageBreakBefore w:val="0"/>
              <w:widowControl/>
              <w:kinsoku/>
              <w:wordWrap/>
              <w:overflowPunct/>
              <w:topLinePunct w:val="0"/>
              <w:autoSpaceDE/>
              <w:autoSpaceDN/>
              <w:bidi w:val="0"/>
              <w:snapToGrid w:val="0"/>
              <w:jc w:val="center"/>
              <w:textAlignment w:val="auto"/>
              <w:rPr>
                <w:rFonts w:hint="default" w:ascii="Times New Roman" w:hAnsi="Times New Roman" w:eastAsia="宋体" w:cs="Times New Roman"/>
                <w:b w:val="0"/>
                <w:bCs/>
                <w:color w:val="0000FF"/>
                <w:sz w:val="21"/>
                <w:szCs w:val="21"/>
              </w:rPr>
            </w:pPr>
            <w:r>
              <w:rPr>
                <w:rFonts w:hint="default" w:ascii="Times New Roman" w:hAnsi="Times New Roman" w:eastAsia="宋体" w:cs="Times New Roman"/>
                <w:b w:val="0"/>
                <w:bCs/>
                <w:color w:val="0000FF"/>
                <w:sz w:val="21"/>
                <w:szCs w:val="21"/>
              </w:rPr>
              <w:t>达标</w:t>
            </w:r>
          </w:p>
        </w:tc>
      </w:tr>
    </w:tbl>
    <w:p w14:paraId="7C8ACA13">
      <w:pPr>
        <w:pStyle w:val="135"/>
        <w:keepNext w:val="0"/>
        <w:keepLines w:val="0"/>
        <w:pageBreakBefore w:val="0"/>
        <w:widowControl w:val="0"/>
        <w:numPr>
          <w:ilvl w:val="0"/>
          <w:numId w:val="0"/>
        </w:numPr>
        <w:kinsoku/>
        <w:wordWrap/>
        <w:overflowPunct/>
        <w:topLinePunct w:val="0"/>
        <w:autoSpaceDE/>
        <w:autoSpaceDN/>
        <w:bidi w:val="0"/>
        <w:adjustRightInd/>
        <w:snapToGrid w:val="0"/>
        <w:spacing w:before="241" w:beforeLines="50" w:line="360" w:lineRule="auto"/>
        <w:ind w:left="0" w:leftChars="0" w:firstLine="480" w:firstLineChars="200"/>
        <w:contextualSpacing/>
        <w:textAlignment w:val="auto"/>
        <w:rPr>
          <w:rFonts w:hint="default" w:ascii="Times New Roman" w:hAnsi="Times New Roman" w:eastAsia="宋体" w:cs="Times New Roman"/>
          <w:color w:val="0000FF"/>
          <w:kern w:val="2"/>
          <w:sz w:val="24"/>
          <w:szCs w:val="22"/>
          <w:highlight w:val="none"/>
          <w:lang w:val="en-US" w:eastAsia="zh-CN" w:bidi="ar-SA"/>
        </w:rPr>
      </w:pPr>
      <w:r>
        <w:rPr>
          <w:rFonts w:hint="default" w:ascii="Times New Roman" w:hAnsi="Times New Roman" w:eastAsia="宋体" w:cs="Times New Roman"/>
          <w:color w:val="0000FF"/>
          <w:kern w:val="2"/>
          <w:sz w:val="24"/>
          <w:szCs w:val="21"/>
          <w:highlight w:val="none"/>
          <w:lang w:val="en-US" w:eastAsia="zh-CN" w:bidi="ar-SA"/>
        </w:rPr>
        <w:t>由上表可知，本溪市2024年SO</w:t>
      </w:r>
      <w:r>
        <w:rPr>
          <w:rFonts w:hint="default" w:ascii="Times New Roman" w:hAnsi="Times New Roman" w:eastAsia="宋体" w:cs="Times New Roman"/>
          <w:color w:val="0000FF"/>
          <w:kern w:val="2"/>
          <w:sz w:val="24"/>
          <w:szCs w:val="21"/>
          <w:highlight w:val="none"/>
          <w:vertAlign w:val="subscript"/>
          <w:lang w:val="en-US" w:eastAsia="zh-CN" w:bidi="ar-SA"/>
        </w:rPr>
        <w:t>2</w:t>
      </w:r>
      <w:r>
        <w:rPr>
          <w:rFonts w:hint="default" w:ascii="Times New Roman" w:hAnsi="Times New Roman" w:eastAsia="宋体" w:cs="Times New Roman"/>
          <w:color w:val="0000FF"/>
          <w:kern w:val="2"/>
          <w:sz w:val="24"/>
          <w:szCs w:val="21"/>
          <w:highlight w:val="none"/>
          <w:lang w:val="en-US" w:eastAsia="zh-CN" w:bidi="ar-SA"/>
        </w:rPr>
        <w:t>、NO</w:t>
      </w:r>
      <w:r>
        <w:rPr>
          <w:rFonts w:hint="default" w:ascii="Times New Roman" w:hAnsi="Times New Roman" w:eastAsia="宋体" w:cs="Times New Roman"/>
          <w:color w:val="0000FF"/>
          <w:kern w:val="2"/>
          <w:sz w:val="24"/>
          <w:szCs w:val="21"/>
          <w:highlight w:val="none"/>
          <w:vertAlign w:val="subscript"/>
          <w:lang w:val="en-US" w:eastAsia="zh-CN" w:bidi="ar-SA"/>
        </w:rPr>
        <w:t>2</w:t>
      </w:r>
      <w:r>
        <w:rPr>
          <w:rFonts w:hint="default" w:ascii="Times New Roman" w:hAnsi="Times New Roman" w:eastAsia="宋体" w:cs="Times New Roman"/>
          <w:color w:val="0000FF"/>
          <w:kern w:val="2"/>
          <w:sz w:val="24"/>
          <w:szCs w:val="21"/>
          <w:highlight w:val="none"/>
          <w:lang w:val="en-US" w:eastAsia="zh-CN" w:bidi="ar-SA"/>
        </w:rPr>
        <w:t>、PM</w:t>
      </w:r>
      <w:r>
        <w:rPr>
          <w:rFonts w:hint="default" w:ascii="Times New Roman" w:hAnsi="Times New Roman" w:eastAsia="宋体" w:cs="Times New Roman"/>
          <w:color w:val="0000FF"/>
          <w:kern w:val="2"/>
          <w:sz w:val="24"/>
          <w:szCs w:val="21"/>
          <w:highlight w:val="none"/>
          <w:vertAlign w:val="subscript"/>
          <w:lang w:val="en-US" w:eastAsia="zh-CN" w:bidi="ar-SA"/>
        </w:rPr>
        <w:t>10</w:t>
      </w:r>
      <w:r>
        <w:rPr>
          <w:rFonts w:hint="default" w:ascii="Times New Roman" w:hAnsi="Times New Roman" w:eastAsia="宋体" w:cs="Times New Roman"/>
          <w:color w:val="0000FF"/>
          <w:kern w:val="2"/>
          <w:sz w:val="24"/>
          <w:szCs w:val="21"/>
          <w:highlight w:val="none"/>
          <w:lang w:val="en-US" w:eastAsia="zh-CN" w:bidi="ar-SA"/>
        </w:rPr>
        <w:t>、PM</w:t>
      </w:r>
      <w:r>
        <w:rPr>
          <w:rFonts w:hint="default" w:ascii="Times New Roman" w:hAnsi="Times New Roman" w:eastAsia="宋体" w:cs="Times New Roman"/>
          <w:color w:val="0000FF"/>
          <w:kern w:val="2"/>
          <w:sz w:val="24"/>
          <w:szCs w:val="21"/>
          <w:highlight w:val="none"/>
          <w:vertAlign w:val="subscript"/>
          <w:lang w:val="en-US" w:eastAsia="zh-CN" w:bidi="ar-SA"/>
        </w:rPr>
        <w:t>2.5</w:t>
      </w:r>
      <w:r>
        <w:rPr>
          <w:rFonts w:hint="default" w:ascii="Times New Roman" w:hAnsi="Times New Roman" w:eastAsia="宋体" w:cs="Times New Roman"/>
          <w:color w:val="0000FF"/>
          <w:kern w:val="2"/>
          <w:sz w:val="24"/>
          <w:szCs w:val="21"/>
          <w:highlight w:val="none"/>
          <w:lang w:val="en-US" w:eastAsia="zh-CN" w:bidi="ar-SA"/>
        </w:rPr>
        <w:t>、CO、O</w:t>
      </w:r>
      <w:r>
        <w:rPr>
          <w:rFonts w:hint="default" w:ascii="Times New Roman" w:hAnsi="Times New Roman" w:eastAsia="宋体" w:cs="Times New Roman"/>
          <w:color w:val="0000FF"/>
          <w:kern w:val="2"/>
          <w:sz w:val="24"/>
          <w:szCs w:val="21"/>
          <w:highlight w:val="none"/>
          <w:vertAlign w:val="subscript"/>
          <w:lang w:val="en-US" w:eastAsia="zh-CN" w:bidi="ar-SA"/>
        </w:rPr>
        <w:t>3</w:t>
      </w:r>
      <w:r>
        <w:rPr>
          <w:rFonts w:hint="default" w:ascii="Times New Roman" w:hAnsi="Times New Roman" w:eastAsia="宋体" w:cs="Times New Roman"/>
          <w:color w:val="0000FF"/>
          <w:kern w:val="2"/>
          <w:sz w:val="24"/>
          <w:szCs w:val="21"/>
          <w:highlight w:val="none"/>
          <w:lang w:val="en-US" w:eastAsia="zh-CN" w:bidi="ar-SA"/>
        </w:rPr>
        <w:t>各污染物平均浓度均优于《环境空气质量标准》（GB3095-20</w:t>
      </w:r>
      <w:r>
        <w:rPr>
          <w:rFonts w:hint="eastAsia" w:ascii="Times New Roman" w:hAnsi="Times New Roman" w:cs="Times New Roman"/>
          <w:color w:val="0000FF"/>
          <w:kern w:val="2"/>
          <w:sz w:val="24"/>
          <w:szCs w:val="21"/>
          <w:highlight w:val="none"/>
          <w:lang w:val="en-US" w:eastAsia="zh-CN" w:bidi="ar-SA"/>
        </w:rPr>
        <w:t>26</w:t>
      </w:r>
      <w:r>
        <w:rPr>
          <w:rFonts w:hint="default" w:ascii="Times New Roman" w:hAnsi="Times New Roman" w:eastAsia="宋体" w:cs="Times New Roman"/>
          <w:color w:val="0000FF"/>
          <w:kern w:val="2"/>
          <w:sz w:val="24"/>
          <w:szCs w:val="21"/>
          <w:highlight w:val="none"/>
          <w:lang w:val="en-US" w:eastAsia="zh-CN" w:bidi="ar-SA"/>
        </w:rPr>
        <w:t>）中二级标准限值</w:t>
      </w:r>
      <w:r>
        <w:rPr>
          <w:rFonts w:hint="eastAsia" w:ascii="Times New Roman" w:hAnsi="Times New Roman" w:cs="Times New Roman"/>
          <w:color w:val="0000FF"/>
          <w:kern w:val="2"/>
          <w:sz w:val="24"/>
          <w:szCs w:val="21"/>
          <w:highlight w:val="none"/>
          <w:lang w:val="en-US" w:eastAsia="zh-CN" w:bidi="ar-SA"/>
        </w:rPr>
        <w:t>（过渡期）</w:t>
      </w:r>
      <w:r>
        <w:rPr>
          <w:rFonts w:hint="default" w:ascii="Times New Roman" w:hAnsi="Times New Roman" w:eastAsia="宋体" w:cs="Times New Roman"/>
          <w:color w:val="0000FF"/>
          <w:kern w:val="2"/>
          <w:sz w:val="24"/>
          <w:szCs w:val="21"/>
          <w:highlight w:val="none"/>
          <w:lang w:val="en-US" w:eastAsia="zh-CN" w:bidi="ar-SA"/>
        </w:rPr>
        <w:t>，因此本项目所在区域属于达标区。</w:t>
      </w:r>
    </w:p>
    <w:p w14:paraId="6FCB28B0">
      <w:pPr>
        <w:pStyle w:val="133"/>
        <w:rPr>
          <w:color w:val="0000FF"/>
        </w:rPr>
      </w:pPr>
      <w:r>
        <w:rPr>
          <w:rFonts w:hint="eastAsia"/>
          <w:color w:val="0000FF"/>
          <w:lang w:eastAsia="zh-CN"/>
        </w:rPr>
        <w:t>5</w:t>
      </w:r>
      <w:r>
        <w:rPr>
          <w:color w:val="0000FF"/>
        </w:rPr>
        <w:t>.1.7.</w:t>
      </w:r>
      <w:r>
        <w:rPr>
          <w:rFonts w:hint="eastAsia"/>
          <w:color w:val="0000FF"/>
          <w:lang w:val="en-US" w:eastAsia="zh-CN"/>
        </w:rPr>
        <w:t>3</w:t>
      </w:r>
      <w:r>
        <w:rPr>
          <w:color w:val="0000FF"/>
        </w:rPr>
        <w:t xml:space="preserve"> 预测点确定</w:t>
      </w:r>
    </w:p>
    <w:p w14:paraId="7E8FA307">
      <w:pPr>
        <w:spacing w:line="500" w:lineRule="exact"/>
        <w:ind w:firstLine="480" w:firstLineChars="200"/>
        <w:jc w:val="both"/>
        <w:rPr>
          <w:rFonts w:ascii="Times New Roman" w:hAnsi="Times New Roman" w:cs="Times New Roman"/>
        </w:rPr>
      </w:pPr>
      <w:r>
        <w:rPr>
          <w:rFonts w:ascii="Times New Roman" w:hAnsi="Times New Roman" w:cs="Times New Roman"/>
          <w:color w:val="0000FF"/>
        </w:rPr>
        <w:t>除网格点外，本次评价还根据本项目污染源位置、污染扩散条件、预测范围以及环保目标规模等，</w:t>
      </w:r>
      <w:r>
        <w:rPr>
          <w:rFonts w:hint="eastAsia" w:ascii="Times New Roman" w:hAnsi="Times New Roman" w:cs="Times New Roman"/>
          <w:color w:val="0000FF"/>
        </w:rPr>
        <w:t>将</w:t>
      </w:r>
      <w:r>
        <w:rPr>
          <w:rFonts w:ascii="Times New Roman" w:hAnsi="Times New Roman" w:cs="Times New Roman"/>
          <w:color w:val="0000FF"/>
        </w:rPr>
        <w:t>预测范围内的环保目标以及四个厂界作为预测关心点，各关心点坐标及与本项目厂区相</w:t>
      </w:r>
      <w:r>
        <w:rPr>
          <w:rFonts w:ascii="Times New Roman" w:hAnsi="Times New Roman" w:cs="Times New Roman"/>
          <w:color w:val="0000FF"/>
          <w:highlight w:val="none"/>
        </w:rPr>
        <w:t>对位置见</w:t>
      </w:r>
      <w:r>
        <w:rPr>
          <w:rFonts w:hint="eastAsia" w:ascii="Times New Roman" w:hAnsi="Times New Roman" w:cs="Times New Roman"/>
          <w:color w:val="0000FF"/>
          <w:highlight w:val="none"/>
          <w:lang w:val="en-US" w:eastAsia="zh-CN"/>
        </w:rPr>
        <w:t>下</w:t>
      </w:r>
      <w:r>
        <w:rPr>
          <w:rFonts w:ascii="Times New Roman" w:hAnsi="Times New Roman" w:cs="Times New Roman"/>
          <w:color w:val="0000FF"/>
          <w:highlight w:val="none"/>
        </w:rPr>
        <w:t>表。</w:t>
      </w:r>
    </w:p>
    <w:p w14:paraId="6E0A41F2">
      <w:pPr>
        <w:jc w:val="center"/>
        <w:rPr>
          <w:rFonts w:ascii="Times New Roman" w:hAnsi="Times New Roman" w:eastAsia="黑体" w:cs="Times New Roman"/>
          <w:color w:val="0000FF"/>
        </w:rPr>
      </w:pPr>
      <w:r>
        <w:rPr>
          <w:rFonts w:ascii="Times New Roman" w:hAnsi="Times New Roman" w:eastAsia="黑体" w:cs="Times New Roman"/>
          <w:color w:val="0000FF"/>
        </w:rPr>
        <w:t>表</w:t>
      </w:r>
      <w:r>
        <w:rPr>
          <w:rFonts w:hint="eastAsia" w:ascii="Times New Roman" w:hAnsi="Times New Roman" w:eastAsia="黑体" w:cs="Times New Roman"/>
          <w:color w:val="0000FF"/>
        </w:rPr>
        <w:t>5</w:t>
      </w:r>
      <w:r>
        <w:rPr>
          <w:rFonts w:ascii="Times New Roman" w:hAnsi="Times New Roman" w:eastAsia="黑体" w:cs="Times New Roman"/>
          <w:color w:val="0000FF"/>
        </w:rPr>
        <w:t>.1-1</w:t>
      </w:r>
      <w:r>
        <w:rPr>
          <w:rFonts w:hint="eastAsia" w:ascii="Times New Roman" w:hAnsi="Times New Roman" w:eastAsia="黑体" w:cs="Times New Roman"/>
          <w:color w:val="0000FF"/>
          <w:lang w:val="en-US" w:eastAsia="zh-CN"/>
        </w:rPr>
        <w:t>3</w:t>
      </w:r>
      <w:r>
        <w:rPr>
          <w:rFonts w:ascii="Times New Roman" w:hAnsi="Times New Roman" w:eastAsia="黑体" w:cs="Times New Roman"/>
          <w:color w:val="0000FF"/>
        </w:rPr>
        <w:t xml:space="preserve">  各关心点的相对位置统计表</w:t>
      </w:r>
    </w:p>
    <w:tbl>
      <w:tblPr>
        <w:tblStyle w:val="56"/>
        <w:tblW w:w="4997" w:type="pct"/>
        <w:tblInd w:w="0" w:type="dxa"/>
        <w:tblBorders>
          <w:top w:val="thinThickSmallGap" w:color="auto" w:sz="12" w:space="0"/>
          <w:left w:val="none" w:color="auto" w:sz="0" w:space="0"/>
          <w:bottom w:val="thinThickSmallGap" w:color="auto" w:sz="12" w:space="0"/>
          <w:right w:val="none" w:color="auto" w:sz="0" w:space="0"/>
          <w:insideH w:val="single" w:color="auto" w:sz="4" w:space="0"/>
          <w:insideV w:val="single" w:color="auto" w:sz="4" w:space="0"/>
        </w:tblBorders>
        <w:shd w:val="clear" w:color="auto" w:fill="auto"/>
        <w:tblLayout w:type="autofit"/>
        <w:tblCellMar>
          <w:top w:w="0" w:type="dxa"/>
          <w:left w:w="108" w:type="dxa"/>
          <w:bottom w:w="0" w:type="dxa"/>
          <w:right w:w="108" w:type="dxa"/>
        </w:tblCellMar>
      </w:tblPr>
      <w:tblGrid>
        <w:gridCol w:w="1416"/>
        <w:gridCol w:w="1437"/>
        <w:gridCol w:w="1416"/>
        <w:gridCol w:w="1416"/>
        <w:gridCol w:w="1416"/>
        <w:gridCol w:w="1417"/>
      </w:tblGrid>
      <w:tr w14:paraId="7D4F0029">
        <w:tblPrEx>
          <w:tblBorders>
            <w:top w:val="thinThickSmallGap" w:color="auto" w:sz="12" w:space="0"/>
            <w:left w:val="none" w:color="auto" w:sz="0" w:space="0"/>
            <w:bottom w:val="thinThickSmallGap" w:color="auto" w:sz="12" w:space="0"/>
            <w:right w:val="none" w:color="auto" w:sz="0"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40" w:hRule="atLeast"/>
        </w:trPr>
        <w:tc>
          <w:tcPr>
            <w:tcW w:w="831" w:type="pct"/>
            <w:tcBorders>
              <w:tl2br w:val="nil"/>
              <w:tr2bl w:val="nil"/>
            </w:tcBorders>
            <w:shd w:val="clear" w:color="auto" w:fill="auto"/>
            <w:noWrap/>
            <w:vAlign w:val="center"/>
          </w:tcPr>
          <w:p w14:paraId="5A4625C1">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1"/>
                <w:szCs w:val="21"/>
                <w:u w:val="none"/>
                <w:lang w:val="en-US" w:eastAsia="zh-CN" w:bidi="ar"/>
              </w:rPr>
              <w:t>序号</w:t>
            </w:r>
          </w:p>
        </w:tc>
        <w:tc>
          <w:tcPr>
            <w:tcW w:w="843" w:type="pct"/>
            <w:tcBorders>
              <w:tl2br w:val="nil"/>
              <w:tr2bl w:val="nil"/>
            </w:tcBorders>
            <w:shd w:val="clear" w:color="auto" w:fill="auto"/>
            <w:noWrap/>
            <w:vAlign w:val="center"/>
          </w:tcPr>
          <w:p w14:paraId="22EEE22A">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1"/>
                <w:szCs w:val="21"/>
                <w:u w:val="none"/>
                <w:lang w:val="en-US" w:eastAsia="zh-CN" w:bidi="ar"/>
              </w:rPr>
              <w:t>名称</w:t>
            </w:r>
          </w:p>
        </w:tc>
        <w:tc>
          <w:tcPr>
            <w:tcW w:w="831" w:type="pct"/>
            <w:tcBorders>
              <w:tl2br w:val="nil"/>
              <w:tr2bl w:val="nil"/>
            </w:tcBorders>
            <w:shd w:val="clear" w:color="auto" w:fill="auto"/>
            <w:noWrap/>
            <w:vAlign w:val="center"/>
          </w:tcPr>
          <w:p w14:paraId="144971B2">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1"/>
                <w:szCs w:val="21"/>
                <w:u w:val="none"/>
                <w:lang w:val="en-US" w:eastAsia="zh-CN" w:bidi="ar"/>
              </w:rPr>
              <w:t>X</w:t>
            </w:r>
          </w:p>
        </w:tc>
        <w:tc>
          <w:tcPr>
            <w:tcW w:w="831" w:type="pct"/>
            <w:tcBorders>
              <w:tl2br w:val="nil"/>
              <w:tr2bl w:val="nil"/>
            </w:tcBorders>
            <w:shd w:val="clear" w:color="auto" w:fill="auto"/>
            <w:noWrap/>
            <w:vAlign w:val="center"/>
          </w:tcPr>
          <w:p w14:paraId="3CC46FAB">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1"/>
                <w:szCs w:val="21"/>
                <w:u w:val="none"/>
                <w:lang w:val="en-US" w:eastAsia="zh-CN" w:bidi="ar"/>
              </w:rPr>
              <w:t>Y</w:t>
            </w:r>
          </w:p>
        </w:tc>
        <w:tc>
          <w:tcPr>
            <w:tcW w:w="831" w:type="pct"/>
            <w:tcBorders>
              <w:tl2br w:val="nil"/>
              <w:tr2bl w:val="nil"/>
            </w:tcBorders>
            <w:shd w:val="clear" w:color="auto" w:fill="auto"/>
            <w:noWrap/>
            <w:vAlign w:val="center"/>
          </w:tcPr>
          <w:p w14:paraId="0FE2C361">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1"/>
                <w:szCs w:val="21"/>
                <w:u w:val="none"/>
                <w:lang w:val="en-US" w:eastAsia="zh-CN" w:bidi="ar"/>
              </w:rPr>
              <w:t>地面高程</w:t>
            </w:r>
          </w:p>
        </w:tc>
        <w:tc>
          <w:tcPr>
            <w:tcW w:w="831" w:type="pct"/>
            <w:tcBorders>
              <w:tl2br w:val="nil"/>
              <w:tr2bl w:val="nil"/>
            </w:tcBorders>
            <w:shd w:val="clear" w:color="auto" w:fill="auto"/>
            <w:noWrap/>
            <w:vAlign w:val="center"/>
          </w:tcPr>
          <w:p w14:paraId="1070C18A">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1"/>
                <w:szCs w:val="21"/>
                <w:u w:val="none"/>
                <w:lang w:val="en-US" w:eastAsia="zh-CN" w:bidi="ar"/>
              </w:rPr>
              <w:t>离地高H</w:t>
            </w:r>
          </w:p>
        </w:tc>
      </w:tr>
      <w:tr w14:paraId="7D6F78D3">
        <w:tblPrEx>
          <w:tblBorders>
            <w:top w:val="thinThickSmallGap" w:color="auto" w:sz="12" w:space="0"/>
            <w:left w:val="none" w:color="auto" w:sz="0" w:space="0"/>
            <w:bottom w:val="thinThick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831" w:type="pct"/>
            <w:tcBorders>
              <w:tl2br w:val="nil"/>
              <w:tr2bl w:val="nil"/>
            </w:tcBorders>
            <w:shd w:val="clear" w:color="auto" w:fill="auto"/>
            <w:noWrap/>
            <w:vAlign w:val="center"/>
          </w:tcPr>
          <w:p w14:paraId="4BBA7C02">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1"/>
                <w:szCs w:val="21"/>
                <w:u w:val="none"/>
                <w:lang w:val="en-US" w:eastAsia="zh-CN" w:bidi="ar"/>
              </w:rPr>
              <w:t>1</w:t>
            </w:r>
          </w:p>
        </w:tc>
        <w:tc>
          <w:tcPr>
            <w:tcW w:w="843" w:type="pct"/>
            <w:tcBorders>
              <w:tl2br w:val="nil"/>
              <w:tr2bl w:val="nil"/>
            </w:tcBorders>
            <w:shd w:val="clear" w:color="auto" w:fill="auto"/>
            <w:noWrap/>
            <w:vAlign w:val="center"/>
          </w:tcPr>
          <w:p w14:paraId="61D4F37D">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1"/>
                <w:szCs w:val="21"/>
                <w:u w:val="none"/>
                <w:lang w:val="en-US" w:eastAsia="zh-CN" w:bidi="ar"/>
              </w:rPr>
              <w:t>祁家堡</w:t>
            </w:r>
          </w:p>
        </w:tc>
        <w:tc>
          <w:tcPr>
            <w:tcW w:w="831" w:type="pct"/>
            <w:tcBorders>
              <w:tl2br w:val="nil"/>
              <w:tr2bl w:val="nil"/>
            </w:tcBorders>
            <w:shd w:val="clear" w:color="auto" w:fill="auto"/>
            <w:noWrap/>
            <w:vAlign w:val="center"/>
          </w:tcPr>
          <w:p w14:paraId="23EABB70">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1"/>
                <w:szCs w:val="21"/>
                <w:u w:val="none"/>
                <w:lang w:val="en-US" w:eastAsia="zh-CN" w:bidi="ar"/>
              </w:rPr>
              <w:t>85</w:t>
            </w:r>
          </w:p>
        </w:tc>
        <w:tc>
          <w:tcPr>
            <w:tcW w:w="831" w:type="pct"/>
            <w:tcBorders>
              <w:tl2br w:val="nil"/>
              <w:tr2bl w:val="nil"/>
            </w:tcBorders>
            <w:shd w:val="clear" w:color="auto" w:fill="auto"/>
            <w:noWrap/>
            <w:vAlign w:val="center"/>
          </w:tcPr>
          <w:p w14:paraId="62862558">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1"/>
                <w:szCs w:val="21"/>
                <w:u w:val="none"/>
                <w:lang w:val="en-US" w:eastAsia="zh-CN" w:bidi="ar"/>
              </w:rPr>
              <w:t>261</w:t>
            </w:r>
          </w:p>
        </w:tc>
        <w:tc>
          <w:tcPr>
            <w:tcW w:w="831" w:type="pct"/>
            <w:tcBorders>
              <w:tl2br w:val="nil"/>
              <w:tr2bl w:val="nil"/>
            </w:tcBorders>
            <w:shd w:val="clear" w:color="auto" w:fill="auto"/>
            <w:noWrap/>
            <w:vAlign w:val="center"/>
          </w:tcPr>
          <w:p w14:paraId="133A02B6">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1"/>
                <w:szCs w:val="21"/>
                <w:u w:val="none"/>
                <w:lang w:val="en-US" w:eastAsia="zh-CN" w:bidi="ar"/>
              </w:rPr>
              <w:t>354.88</w:t>
            </w:r>
          </w:p>
        </w:tc>
        <w:tc>
          <w:tcPr>
            <w:tcW w:w="831" w:type="pct"/>
            <w:tcBorders>
              <w:tl2br w:val="nil"/>
              <w:tr2bl w:val="nil"/>
            </w:tcBorders>
            <w:shd w:val="clear" w:color="auto" w:fill="auto"/>
            <w:noWrap/>
            <w:vAlign w:val="center"/>
          </w:tcPr>
          <w:p w14:paraId="71193C94">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1"/>
                <w:szCs w:val="21"/>
                <w:u w:val="none"/>
                <w:lang w:val="en-US" w:eastAsia="zh-CN" w:bidi="ar"/>
              </w:rPr>
              <w:t>1.5</w:t>
            </w:r>
          </w:p>
        </w:tc>
      </w:tr>
      <w:tr w14:paraId="1CF4679A">
        <w:tblPrEx>
          <w:tblBorders>
            <w:top w:val="thinThickSmallGap" w:color="auto" w:sz="12" w:space="0"/>
            <w:left w:val="none" w:color="auto" w:sz="0" w:space="0"/>
            <w:bottom w:val="thinThick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831" w:type="pct"/>
            <w:tcBorders>
              <w:tl2br w:val="nil"/>
              <w:tr2bl w:val="nil"/>
            </w:tcBorders>
            <w:shd w:val="clear" w:color="auto" w:fill="auto"/>
            <w:noWrap/>
            <w:vAlign w:val="center"/>
          </w:tcPr>
          <w:p w14:paraId="0BCF8C9F">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1"/>
                <w:szCs w:val="21"/>
                <w:u w:val="none"/>
                <w:lang w:val="en-US" w:eastAsia="zh-CN" w:bidi="ar"/>
              </w:rPr>
              <w:t>2</w:t>
            </w:r>
          </w:p>
        </w:tc>
        <w:tc>
          <w:tcPr>
            <w:tcW w:w="843" w:type="pct"/>
            <w:tcBorders>
              <w:tl2br w:val="nil"/>
              <w:tr2bl w:val="nil"/>
            </w:tcBorders>
            <w:shd w:val="clear" w:color="auto" w:fill="auto"/>
            <w:noWrap/>
            <w:vAlign w:val="center"/>
          </w:tcPr>
          <w:p w14:paraId="66163540">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1"/>
                <w:szCs w:val="21"/>
                <w:u w:val="none"/>
                <w:lang w:val="en-US" w:eastAsia="zh-CN" w:bidi="ar"/>
              </w:rPr>
              <w:t>部队</w:t>
            </w:r>
          </w:p>
        </w:tc>
        <w:tc>
          <w:tcPr>
            <w:tcW w:w="831" w:type="pct"/>
            <w:tcBorders>
              <w:tl2br w:val="nil"/>
              <w:tr2bl w:val="nil"/>
            </w:tcBorders>
            <w:shd w:val="clear" w:color="auto" w:fill="auto"/>
            <w:noWrap/>
            <w:vAlign w:val="center"/>
          </w:tcPr>
          <w:p w14:paraId="26E04A62">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1"/>
                <w:szCs w:val="21"/>
                <w:u w:val="none"/>
                <w:lang w:val="en-US" w:eastAsia="zh-CN" w:bidi="ar"/>
              </w:rPr>
              <w:t>-179</w:t>
            </w:r>
          </w:p>
        </w:tc>
        <w:tc>
          <w:tcPr>
            <w:tcW w:w="831" w:type="pct"/>
            <w:tcBorders>
              <w:tl2br w:val="nil"/>
              <w:tr2bl w:val="nil"/>
            </w:tcBorders>
            <w:shd w:val="clear" w:color="auto" w:fill="auto"/>
            <w:noWrap/>
            <w:vAlign w:val="center"/>
          </w:tcPr>
          <w:p w14:paraId="369BED66">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1"/>
                <w:szCs w:val="21"/>
                <w:u w:val="none"/>
                <w:lang w:val="en-US" w:eastAsia="zh-CN" w:bidi="ar"/>
              </w:rPr>
              <w:t>10</w:t>
            </w:r>
          </w:p>
        </w:tc>
        <w:tc>
          <w:tcPr>
            <w:tcW w:w="831" w:type="pct"/>
            <w:tcBorders>
              <w:tl2br w:val="nil"/>
              <w:tr2bl w:val="nil"/>
            </w:tcBorders>
            <w:shd w:val="clear" w:color="auto" w:fill="auto"/>
            <w:noWrap/>
            <w:vAlign w:val="center"/>
          </w:tcPr>
          <w:p w14:paraId="532D8C5F">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1"/>
                <w:szCs w:val="21"/>
                <w:u w:val="none"/>
                <w:lang w:val="en-US" w:eastAsia="zh-CN" w:bidi="ar"/>
              </w:rPr>
              <w:t>353.86</w:t>
            </w:r>
          </w:p>
        </w:tc>
        <w:tc>
          <w:tcPr>
            <w:tcW w:w="831" w:type="pct"/>
            <w:tcBorders>
              <w:tl2br w:val="nil"/>
              <w:tr2bl w:val="nil"/>
            </w:tcBorders>
            <w:shd w:val="clear" w:color="auto" w:fill="auto"/>
            <w:noWrap/>
            <w:vAlign w:val="center"/>
          </w:tcPr>
          <w:p w14:paraId="31A10200">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1"/>
                <w:szCs w:val="21"/>
                <w:u w:val="none"/>
                <w:lang w:val="en-US" w:eastAsia="zh-CN" w:bidi="ar"/>
              </w:rPr>
              <w:t>1.5</w:t>
            </w:r>
          </w:p>
        </w:tc>
      </w:tr>
      <w:tr w14:paraId="0BA759A9">
        <w:tblPrEx>
          <w:tblBorders>
            <w:top w:val="thinThickSmallGap" w:color="auto" w:sz="12" w:space="0"/>
            <w:left w:val="none" w:color="auto" w:sz="0" w:space="0"/>
            <w:bottom w:val="thinThickSmallGap" w:color="auto" w:sz="12" w:space="0"/>
            <w:right w:val="none" w:color="auto" w:sz="0"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40" w:hRule="atLeast"/>
        </w:trPr>
        <w:tc>
          <w:tcPr>
            <w:tcW w:w="831" w:type="pct"/>
            <w:tcBorders>
              <w:tl2br w:val="nil"/>
              <w:tr2bl w:val="nil"/>
            </w:tcBorders>
            <w:shd w:val="clear" w:color="auto" w:fill="auto"/>
            <w:noWrap/>
            <w:vAlign w:val="center"/>
          </w:tcPr>
          <w:p w14:paraId="66A6A732">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1"/>
                <w:szCs w:val="21"/>
                <w:u w:val="none"/>
                <w:lang w:val="en-US" w:eastAsia="zh-CN" w:bidi="ar"/>
              </w:rPr>
              <w:t>3</w:t>
            </w:r>
          </w:p>
        </w:tc>
        <w:tc>
          <w:tcPr>
            <w:tcW w:w="843" w:type="pct"/>
            <w:tcBorders>
              <w:tl2br w:val="nil"/>
              <w:tr2bl w:val="nil"/>
            </w:tcBorders>
            <w:shd w:val="clear" w:color="auto" w:fill="auto"/>
            <w:noWrap/>
            <w:vAlign w:val="center"/>
          </w:tcPr>
          <w:p w14:paraId="3397A460">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1"/>
                <w:szCs w:val="21"/>
                <w:u w:val="none"/>
                <w:lang w:val="en-US" w:eastAsia="zh-CN" w:bidi="ar"/>
              </w:rPr>
              <w:t>老虎沟</w:t>
            </w:r>
          </w:p>
        </w:tc>
        <w:tc>
          <w:tcPr>
            <w:tcW w:w="831" w:type="pct"/>
            <w:tcBorders>
              <w:tl2br w:val="nil"/>
              <w:tr2bl w:val="nil"/>
            </w:tcBorders>
            <w:shd w:val="clear" w:color="auto" w:fill="auto"/>
            <w:noWrap/>
            <w:vAlign w:val="center"/>
          </w:tcPr>
          <w:p w14:paraId="7ABA602B">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1"/>
                <w:szCs w:val="21"/>
                <w:u w:val="none"/>
                <w:lang w:val="en-US" w:eastAsia="zh-CN" w:bidi="ar"/>
              </w:rPr>
              <w:t>-1526</w:t>
            </w:r>
          </w:p>
        </w:tc>
        <w:tc>
          <w:tcPr>
            <w:tcW w:w="831" w:type="pct"/>
            <w:tcBorders>
              <w:tl2br w:val="nil"/>
              <w:tr2bl w:val="nil"/>
            </w:tcBorders>
            <w:shd w:val="clear" w:color="auto" w:fill="auto"/>
            <w:noWrap/>
            <w:vAlign w:val="center"/>
          </w:tcPr>
          <w:p w14:paraId="30C4ADC5">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1"/>
                <w:szCs w:val="21"/>
                <w:u w:val="none"/>
                <w:lang w:val="en-US" w:eastAsia="zh-CN" w:bidi="ar"/>
              </w:rPr>
              <w:t>736</w:t>
            </w:r>
          </w:p>
        </w:tc>
        <w:tc>
          <w:tcPr>
            <w:tcW w:w="831" w:type="pct"/>
            <w:tcBorders>
              <w:tl2br w:val="nil"/>
              <w:tr2bl w:val="nil"/>
            </w:tcBorders>
            <w:shd w:val="clear" w:color="auto" w:fill="auto"/>
            <w:noWrap/>
            <w:vAlign w:val="center"/>
          </w:tcPr>
          <w:p w14:paraId="4C80BD0F">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1"/>
                <w:szCs w:val="21"/>
                <w:u w:val="none"/>
                <w:lang w:val="en-US" w:eastAsia="zh-CN" w:bidi="ar"/>
              </w:rPr>
              <w:t>364.58</w:t>
            </w:r>
          </w:p>
        </w:tc>
        <w:tc>
          <w:tcPr>
            <w:tcW w:w="831" w:type="pct"/>
            <w:tcBorders>
              <w:tl2br w:val="nil"/>
              <w:tr2bl w:val="nil"/>
            </w:tcBorders>
            <w:shd w:val="clear" w:color="auto" w:fill="auto"/>
            <w:noWrap/>
            <w:vAlign w:val="center"/>
          </w:tcPr>
          <w:p w14:paraId="633F054D">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1"/>
                <w:szCs w:val="21"/>
                <w:u w:val="none"/>
                <w:lang w:val="en-US" w:eastAsia="zh-CN" w:bidi="ar"/>
              </w:rPr>
              <w:t>1.5</w:t>
            </w:r>
          </w:p>
        </w:tc>
      </w:tr>
      <w:tr w14:paraId="621EF688">
        <w:tblPrEx>
          <w:tblBorders>
            <w:top w:val="thinThickSmallGap" w:color="auto" w:sz="12" w:space="0"/>
            <w:left w:val="none" w:color="auto" w:sz="0" w:space="0"/>
            <w:bottom w:val="thinThickSmallGap" w:color="auto" w:sz="12" w:space="0"/>
            <w:right w:val="none" w:color="auto" w:sz="0"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40" w:hRule="atLeast"/>
        </w:trPr>
        <w:tc>
          <w:tcPr>
            <w:tcW w:w="831" w:type="pct"/>
            <w:tcBorders>
              <w:tl2br w:val="nil"/>
              <w:tr2bl w:val="nil"/>
            </w:tcBorders>
            <w:shd w:val="clear" w:color="auto" w:fill="auto"/>
            <w:noWrap/>
            <w:vAlign w:val="center"/>
          </w:tcPr>
          <w:p w14:paraId="05CA3E1D">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1"/>
                <w:szCs w:val="21"/>
                <w:u w:val="none"/>
                <w:lang w:val="en-US" w:eastAsia="zh-CN" w:bidi="ar"/>
              </w:rPr>
              <w:t>4</w:t>
            </w:r>
          </w:p>
        </w:tc>
        <w:tc>
          <w:tcPr>
            <w:tcW w:w="843" w:type="pct"/>
            <w:tcBorders>
              <w:tl2br w:val="nil"/>
              <w:tr2bl w:val="nil"/>
            </w:tcBorders>
            <w:shd w:val="clear" w:color="auto" w:fill="auto"/>
            <w:noWrap/>
            <w:vAlign w:val="center"/>
          </w:tcPr>
          <w:p w14:paraId="1033C9A7">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1"/>
                <w:szCs w:val="21"/>
                <w:u w:val="none"/>
                <w:lang w:val="en-US" w:eastAsia="zh-CN" w:bidi="ar"/>
              </w:rPr>
              <w:t>三道沟</w:t>
            </w:r>
          </w:p>
        </w:tc>
        <w:tc>
          <w:tcPr>
            <w:tcW w:w="831" w:type="pct"/>
            <w:tcBorders>
              <w:tl2br w:val="nil"/>
              <w:tr2bl w:val="nil"/>
            </w:tcBorders>
            <w:shd w:val="clear" w:color="auto" w:fill="auto"/>
            <w:noWrap/>
            <w:vAlign w:val="center"/>
          </w:tcPr>
          <w:p w14:paraId="69B785C3">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1"/>
                <w:szCs w:val="21"/>
                <w:u w:val="none"/>
                <w:lang w:val="en-US" w:eastAsia="zh-CN" w:bidi="ar"/>
              </w:rPr>
              <w:t>910</w:t>
            </w:r>
          </w:p>
        </w:tc>
        <w:tc>
          <w:tcPr>
            <w:tcW w:w="831" w:type="pct"/>
            <w:tcBorders>
              <w:tl2br w:val="nil"/>
              <w:tr2bl w:val="nil"/>
            </w:tcBorders>
            <w:shd w:val="clear" w:color="auto" w:fill="auto"/>
            <w:noWrap/>
            <w:vAlign w:val="center"/>
          </w:tcPr>
          <w:p w14:paraId="650FF888">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1"/>
                <w:szCs w:val="21"/>
                <w:u w:val="none"/>
                <w:lang w:val="en-US" w:eastAsia="zh-CN" w:bidi="ar"/>
              </w:rPr>
              <w:t>-1326</w:t>
            </w:r>
          </w:p>
        </w:tc>
        <w:tc>
          <w:tcPr>
            <w:tcW w:w="831" w:type="pct"/>
            <w:tcBorders>
              <w:tl2br w:val="nil"/>
              <w:tr2bl w:val="nil"/>
            </w:tcBorders>
            <w:shd w:val="clear" w:color="auto" w:fill="auto"/>
            <w:noWrap/>
            <w:vAlign w:val="center"/>
          </w:tcPr>
          <w:p w14:paraId="7AB33080">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1"/>
                <w:szCs w:val="21"/>
                <w:u w:val="none"/>
                <w:lang w:val="en-US" w:eastAsia="zh-CN" w:bidi="ar"/>
              </w:rPr>
              <w:t>325.8</w:t>
            </w:r>
          </w:p>
        </w:tc>
        <w:tc>
          <w:tcPr>
            <w:tcW w:w="831" w:type="pct"/>
            <w:tcBorders>
              <w:tl2br w:val="nil"/>
              <w:tr2bl w:val="nil"/>
            </w:tcBorders>
            <w:shd w:val="clear" w:color="auto" w:fill="auto"/>
            <w:noWrap/>
            <w:vAlign w:val="center"/>
          </w:tcPr>
          <w:p w14:paraId="1CB2A28F">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1"/>
                <w:szCs w:val="21"/>
                <w:u w:val="none"/>
                <w:lang w:val="en-US" w:eastAsia="zh-CN" w:bidi="ar"/>
              </w:rPr>
              <w:t>1.5</w:t>
            </w:r>
          </w:p>
        </w:tc>
      </w:tr>
      <w:tr w14:paraId="64C8F467">
        <w:tblPrEx>
          <w:tblBorders>
            <w:top w:val="thinThickSmallGap" w:color="auto" w:sz="12" w:space="0"/>
            <w:left w:val="none" w:color="auto" w:sz="0" w:space="0"/>
            <w:bottom w:val="thinThickSmallGap" w:color="auto" w:sz="12" w:space="0"/>
            <w:right w:val="none" w:color="auto" w:sz="0"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40" w:hRule="atLeast"/>
        </w:trPr>
        <w:tc>
          <w:tcPr>
            <w:tcW w:w="831" w:type="pct"/>
            <w:tcBorders>
              <w:tl2br w:val="nil"/>
              <w:tr2bl w:val="nil"/>
            </w:tcBorders>
            <w:shd w:val="clear" w:color="auto" w:fill="auto"/>
            <w:noWrap/>
            <w:vAlign w:val="center"/>
          </w:tcPr>
          <w:p w14:paraId="7CCD1C7E">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1"/>
                <w:szCs w:val="21"/>
                <w:u w:val="none"/>
                <w:lang w:val="en-US" w:eastAsia="zh-CN" w:bidi="ar"/>
              </w:rPr>
              <w:t>5</w:t>
            </w:r>
          </w:p>
        </w:tc>
        <w:tc>
          <w:tcPr>
            <w:tcW w:w="843" w:type="pct"/>
            <w:tcBorders>
              <w:tl2br w:val="nil"/>
              <w:tr2bl w:val="nil"/>
            </w:tcBorders>
            <w:shd w:val="clear" w:color="auto" w:fill="auto"/>
            <w:noWrap/>
            <w:vAlign w:val="center"/>
          </w:tcPr>
          <w:p w14:paraId="75006E16">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1"/>
                <w:szCs w:val="21"/>
                <w:u w:val="none"/>
                <w:lang w:val="en-US" w:eastAsia="zh-CN" w:bidi="ar"/>
              </w:rPr>
              <w:t>四道河子</w:t>
            </w:r>
          </w:p>
        </w:tc>
        <w:tc>
          <w:tcPr>
            <w:tcW w:w="831" w:type="pct"/>
            <w:tcBorders>
              <w:tl2br w:val="nil"/>
              <w:tr2bl w:val="nil"/>
            </w:tcBorders>
            <w:shd w:val="clear" w:color="auto" w:fill="auto"/>
            <w:noWrap/>
            <w:vAlign w:val="center"/>
          </w:tcPr>
          <w:p w14:paraId="25374EA3">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1"/>
                <w:szCs w:val="21"/>
                <w:u w:val="none"/>
                <w:lang w:val="en-US" w:eastAsia="zh-CN" w:bidi="ar"/>
              </w:rPr>
              <w:t>430</w:t>
            </w:r>
          </w:p>
        </w:tc>
        <w:tc>
          <w:tcPr>
            <w:tcW w:w="831" w:type="pct"/>
            <w:tcBorders>
              <w:tl2br w:val="nil"/>
              <w:tr2bl w:val="nil"/>
            </w:tcBorders>
            <w:shd w:val="clear" w:color="auto" w:fill="auto"/>
            <w:noWrap/>
            <w:vAlign w:val="center"/>
          </w:tcPr>
          <w:p w14:paraId="17CEB007">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1"/>
                <w:szCs w:val="21"/>
                <w:u w:val="none"/>
                <w:lang w:val="en-US" w:eastAsia="zh-CN" w:bidi="ar"/>
              </w:rPr>
              <w:t>1123</w:t>
            </w:r>
          </w:p>
        </w:tc>
        <w:tc>
          <w:tcPr>
            <w:tcW w:w="831" w:type="pct"/>
            <w:tcBorders>
              <w:tl2br w:val="nil"/>
              <w:tr2bl w:val="nil"/>
            </w:tcBorders>
            <w:shd w:val="clear" w:color="auto" w:fill="auto"/>
            <w:noWrap/>
            <w:vAlign w:val="center"/>
          </w:tcPr>
          <w:p w14:paraId="526C7188">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1"/>
                <w:szCs w:val="21"/>
                <w:u w:val="none"/>
                <w:lang w:val="en-US" w:eastAsia="zh-CN" w:bidi="ar"/>
              </w:rPr>
              <w:t>369.41</w:t>
            </w:r>
          </w:p>
        </w:tc>
        <w:tc>
          <w:tcPr>
            <w:tcW w:w="831" w:type="pct"/>
            <w:tcBorders>
              <w:tl2br w:val="nil"/>
              <w:tr2bl w:val="nil"/>
            </w:tcBorders>
            <w:shd w:val="clear" w:color="auto" w:fill="auto"/>
            <w:noWrap/>
            <w:vAlign w:val="center"/>
          </w:tcPr>
          <w:p w14:paraId="46A1B6D6">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1"/>
                <w:szCs w:val="21"/>
                <w:u w:val="none"/>
                <w:lang w:val="en-US" w:eastAsia="zh-CN" w:bidi="ar"/>
              </w:rPr>
              <w:t>1.5</w:t>
            </w:r>
          </w:p>
        </w:tc>
      </w:tr>
      <w:tr w14:paraId="629D16FB">
        <w:tblPrEx>
          <w:tblBorders>
            <w:top w:val="thinThickSmallGap" w:color="auto" w:sz="12" w:space="0"/>
            <w:left w:val="none" w:color="auto" w:sz="0" w:space="0"/>
            <w:bottom w:val="thinThick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831" w:type="pct"/>
            <w:tcBorders>
              <w:tl2br w:val="nil"/>
              <w:tr2bl w:val="nil"/>
            </w:tcBorders>
            <w:shd w:val="clear" w:color="auto" w:fill="auto"/>
            <w:noWrap/>
            <w:vAlign w:val="center"/>
          </w:tcPr>
          <w:p w14:paraId="12CA15F0">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1"/>
                <w:szCs w:val="21"/>
                <w:u w:val="none"/>
                <w:lang w:val="en-US" w:eastAsia="zh-CN" w:bidi="ar"/>
              </w:rPr>
              <w:t>6</w:t>
            </w:r>
          </w:p>
        </w:tc>
        <w:tc>
          <w:tcPr>
            <w:tcW w:w="843" w:type="pct"/>
            <w:tcBorders>
              <w:tl2br w:val="nil"/>
              <w:tr2bl w:val="nil"/>
            </w:tcBorders>
            <w:shd w:val="clear" w:color="auto" w:fill="auto"/>
            <w:noWrap/>
            <w:vAlign w:val="center"/>
          </w:tcPr>
          <w:p w14:paraId="0B3D14C8">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1"/>
                <w:szCs w:val="21"/>
                <w:u w:val="none"/>
                <w:lang w:val="en-US" w:eastAsia="zh-CN" w:bidi="ar"/>
              </w:rPr>
              <w:t>五道沟</w:t>
            </w:r>
          </w:p>
        </w:tc>
        <w:tc>
          <w:tcPr>
            <w:tcW w:w="831" w:type="pct"/>
            <w:tcBorders>
              <w:tl2br w:val="nil"/>
              <w:tr2bl w:val="nil"/>
            </w:tcBorders>
            <w:shd w:val="clear" w:color="auto" w:fill="auto"/>
            <w:noWrap/>
            <w:vAlign w:val="center"/>
          </w:tcPr>
          <w:p w14:paraId="1D86E368">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1"/>
                <w:szCs w:val="21"/>
                <w:u w:val="none"/>
                <w:lang w:val="en-US" w:eastAsia="zh-CN" w:bidi="ar"/>
              </w:rPr>
              <w:t>815</w:t>
            </w:r>
          </w:p>
        </w:tc>
        <w:tc>
          <w:tcPr>
            <w:tcW w:w="831" w:type="pct"/>
            <w:tcBorders>
              <w:tl2br w:val="nil"/>
              <w:tr2bl w:val="nil"/>
            </w:tcBorders>
            <w:shd w:val="clear" w:color="auto" w:fill="auto"/>
            <w:noWrap/>
            <w:vAlign w:val="center"/>
          </w:tcPr>
          <w:p w14:paraId="1254573C">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1"/>
                <w:szCs w:val="21"/>
                <w:u w:val="none"/>
                <w:lang w:val="en-US" w:eastAsia="zh-CN" w:bidi="ar"/>
              </w:rPr>
              <w:t>1679</w:t>
            </w:r>
          </w:p>
        </w:tc>
        <w:tc>
          <w:tcPr>
            <w:tcW w:w="831" w:type="pct"/>
            <w:tcBorders>
              <w:tl2br w:val="nil"/>
              <w:tr2bl w:val="nil"/>
            </w:tcBorders>
            <w:shd w:val="clear" w:color="auto" w:fill="auto"/>
            <w:noWrap/>
            <w:vAlign w:val="center"/>
          </w:tcPr>
          <w:p w14:paraId="1CF03ACD">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1"/>
                <w:szCs w:val="21"/>
                <w:u w:val="none"/>
                <w:lang w:val="en-US" w:eastAsia="zh-CN" w:bidi="ar"/>
              </w:rPr>
              <w:t>377.88</w:t>
            </w:r>
          </w:p>
        </w:tc>
        <w:tc>
          <w:tcPr>
            <w:tcW w:w="831" w:type="pct"/>
            <w:tcBorders>
              <w:tl2br w:val="nil"/>
              <w:tr2bl w:val="nil"/>
            </w:tcBorders>
            <w:shd w:val="clear" w:color="auto" w:fill="auto"/>
            <w:noWrap/>
            <w:vAlign w:val="center"/>
          </w:tcPr>
          <w:p w14:paraId="6B81C990">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1"/>
                <w:szCs w:val="21"/>
                <w:u w:val="none"/>
                <w:lang w:val="en-US" w:eastAsia="zh-CN" w:bidi="ar"/>
              </w:rPr>
              <w:t>1.5</w:t>
            </w:r>
          </w:p>
        </w:tc>
      </w:tr>
      <w:tr w14:paraId="19A63FA4">
        <w:tblPrEx>
          <w:tblBorders>
            <w:top w:val="thinThickSmallGap" w:color="auto" w:sz="12" w:space="0"/>
            <w:left w:val="none" w:color="auto" w:sz="0" w:space="0"/>
            <w:bottom w:val="thinThick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831" w:type="pct"/>
            <w:tcBorders>
              <w:tl2br w:val="nil"/>
              <w:tr2bl w:val="nil"/>
            </w:tcBorders>
            <w:shd w:val="clear" w:color="auto" w:fill="auto"/>
            <w:noWrap/>
            <w:vAlign w:val="center"/>
          </w:tcPr>
          <w:p w14:paraId="17FB3AFD">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1"/>
                <w:szCs w:val="21"/>
                <w:u w:val="none"/>
                <w:lang w:val="en-US" w:eastAsia="zh-CN" w:bidi="ar"/>
              </w:rPr>
              <w:t>7</w:t>
            </w:r>
          </w:p>
        </w:tc>
        <w:tc>
          <w:tcPr>
            <w:tcW w:w="843" w:type="pct"/>
            <w:tcBorders>
              <w:tl2br w:val="nil"/>
              <w:tr2bl w:val="nil"/>
            </w:tcBorders>
            <w:shd w:val="clear" w:color="auto" w:fill="auto"/>
            <w:noWrap/>
            <w:vAlign w:val="center"/>
          </w:tcPr>
          <w:p w14:paraId="46F638DA">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1"/>
                <w:szCs w:val="21"/>
                <w:u w:val="none"/>
                <w:lang w:val="en-US" w:eastAsia="zh-CN" w:bidi="ar"/>
              </w:rPr>
              <w:t>杨家堡子</w:t>
            </w:r>
          </w:p>
        </w:tc>
        <w:tc>
          <w:tcPr>
            <w:tcW w:w="831" w:type="pct"/>
            <w:tcBorders>
              <w:tl2br w:val="nil"/>
              <w:tr2bl w:val="nil"/>
            </w:tcBorders>
            <w:shd w:val="clear" w:color="auto" w:fill="auto"/>
            <w:noWrap/>
            <w:vAlign w:val="center"/>
          </w:tcPr>
          <w:p w14:paraId="349DD1E7">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1"/>
                <w:szCs w:val="21"/>
                <w:u w:val="none"/>
                <w:lang w:val="en-US" w:eastAsia="zh-CN" w:bidi="ar"/>
              </w:rPr>
              <w:t>1113</w:t>
            </w:r>
          </w:p>
        </w:tc>
        <w:tc>
          <w:tcPr>
            <w:tcW w:w="831" w:type="pct"/>
            <w:tcBorders>
              <w:tl2br w:val="nil"/>
              <w:tr2bl w:val="nil"/>
            </w:tcBorders>
            <w:shd w:val="clear" w:color="auto" w:fill="auto"/>
            <w:noWrap/>
            <w:vAlign w:val="center"/>
          </w:tcPr>
          <w:p w14:paraId="1520C22E">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1"/>
                <w:szCs w:val="21"/>
                <w:u w:val="none"/>
                <w:lang w:val="en-US" w:eastAsia="zh-CN" w:bidi="ar"/>
              </w:rPr>
              <w:t>1984</w:t>
            </w:r>
          </w:p>
        </w:tc>
        <w:tc>
          <w:tcPr>
            <w:tcW w:w="831" w:type="pct"/>
            <w:tcBorders>
              <w:tl2br w:val="nil"/>
              <w:tr2bl w:val="nil"/>
            </w:tcBorders>
            <w:shd w:val="clear" w:color="auto" w:fill="auto"/>
            <w:noWrap/>
            <w:vAlign w:val="center"/>
          </w:tcPr>
          <w:p w14:paraId="33603DCD">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1"/>
                <w:szCs w:val="21"/>
                <w:u w:val="none"/>
                <w:lang w:val="en-US" w:eastAsia="zh-CN" w:bidi="ar"/>
              </w:rPr>
              <w:t>382.42</w:t>
            </w:r>
          </w:p>
        </w:tc>
        <w:tc>
          <w:tcPr>
            <w:tcW w:w="831" w:type="pct"/>
            <w:tcBorders>
              <w:tl2br w:val="nil"/>
              <w:tr2bl w:val="nil"/>
            </w:tcBorders>
            <w:shd w:val="clear" w:color="auto" w:fill="auto"/>
            <w:noWrap/>
            <w:vAlign w:val="center"/>
          </w:tcPr>
          <w:p w14:paraId="6967680F">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1"/>
                <w:szCs w:val="21"/>
                <w:u w:val="none"/>
                <w:lang w:val="en-US" w:eastAsia="zh-CN" w:bidi="ar"/>
              </w:rPr>
              <w:t>1.5</w:t>
            </w:r>
          </w:p>
        </w:tc>
      </w:tr>
    </w:tbl>
    <w:p w14:paraId="62656894">
      <w:pPr>
        <w:pStyle w:val="133"/>
        <w:rPr>
          <w:color w:val="0000FF"/>
        </w:rPr>
      </w:pPr>
      <w:r>
        <w:rPr>
          <w:rFonts w:hint="eastAsia"/>
          <w:color w:val="0000FF"/>
          <w:lang w:eastAsia="zh-CN"/>
        </w:rPr>
        <w:t>5</w:t>
      </w:r>
      <w:r>
        <w:rPr>
          <w:color w:val="0000FF"/>
        </w:rPr>
        <w:t>.1.7.</w:t>
      </w:r>
      <w:r>
        <w:rPr>
          <w:rFonts w:hint="eastAsia"/>
          <w:color w:val="0000FF"/>
          <w:lang w:val="en-US" w:eastAsia="zh-CN"/>
        </w:rPr>
        <w:t xml:space="preserve">4 </w:t>
      </w:r>
      <w:r>
        <w:rPr>
          <w:rFonts w:hint="eastAsia"/>
          <w:color w:val="0000FF"/>
        </w:rPr>
        <w:t>预测方案</w:t>
      </w:r>
    </w:p>
    <w:p w14:paraId="4B257712">
      <w:pPr>
        <w:spacing w:line="500" w:lineRule="exact"/>
        <w:ind w:firstLine="480" w:firstLineChars="200"/>
        <w:rPr>
          <w:rFonts w:hint="eastAsia" w:ascii="Times New Roman" w:hAnsi="Times New Roman" w:cs="Times New Roman"/>
        </w:rPr>
      </w:pPr>
      <w:r>
        <w:rPr>
          <w:rFonts w:hint="eastAsia" w:ascii="Times New Roman" w:hAnsi="Times New Roman" w:cs="Times New Roman"/>
        </w:rPr>
        <w:t>①预测评价内容</w:t>
      </w:r>
    </w:p>
    <w:p w14:paraId="6008F93E">
      <w:pPr>
        <w:spacing w:line="500" w:lineRule="exact"/>
        <w:ind w:firstLine="480" w:firstLineChars="200"/>
        <w:rPr>
          <w:rFonts w:ascii="Times New Roman" w:hAnsi="Times New Roman" w:cs="Times New Roman"/>
        </w:rPr>
      </w:pPr>
      <w:r>
        <w:rPr>
          <w:rFonts w:hint="eastAsia" w:ascii="Times New Roman" w:hAnsi="Times New Roman" w:cs="Times New Roman"/>
        </w:rPr>
        <w:t>根据本项目污染物的特点及大气导则的要求，结合该区域的污染气象特征，采用逐日逐时的方式进行大气环境影响预测。本项目预测情景方案设置见</w:t>
      </w:r>
      <w:r>
        <w:rPr>
          <w:rFonts w:hint="eastAsia" w:ascii="Times New Roman" w:hAnsi="Times New Roman" w:cs="Times New Roman"/>
          <w:lang w:val="en-US" w:eastAsia="zh-CN"/>
        </w:rPr>
        <w:t>下</w:t>
      </w:r>
      <w:r>
        <w:rPr>
          <w:rFonts w:hint="eastAsia" w:ascii="Times New Roman" w:hAnsi="Times New Roman" w:cs="Times New Roman"/>
        </w:rPr>
        <w:t>表</w:t>
      </w:r>
      <w:r>
        <w:rPr>
          <w:rFonts w:ascii="Times New Roman" w:hAnsi="Times New Roman" w:cs="Times New Roman"/>
        </w:rPr>
        <w:t>。</w:t>
      </w:r>
    </w:p>
    <w:p w14:paraId="25F4E49E">
      <w:pPr>
        <w:jc w:val="center"/>
        <w:rPr>
          <w:rFonts w:hint="default" w:ascii="Times New Roman" w:hAnsi="Times New Roman" w:eastAsia="黑体" w:cs="Times New Roman"/>
          <w:color w:val="0000FF"/>
        </w:rPr>
      </w:pPr>
      <w:r>
        <w:rPr>
          <w:rFonts w:hint="default" w:ascii="Times New Roman" w:hAnsi="Times New Roman" w:eastAsia="黑体" w:cs="Times New Roman"/>
          <w:color w:val="0000FF"/>
        </w:rPr>
        <w:t>表</w:t>
      </w:r>
      <w:r>
        <w:rPr>
          <w:rFonts w:hint="eastAsia" w:ascii="Times New Roman" w:hAnsi="Times New Roman" w:eastAsia="黑体" w:cs="Times New Roman"/>
          <w:color w:val="0000FF"/>
          <w:lang w:val="en-US" w:eastAsia="zh-CN"/>
        </w:rPr>
        <w:t>5.1</w:t>
      </w:r>
      <w:r>
        <w:rPr>
          <w:rFonts w:hint="default" w:ascii="Times New Roman" w:hAnsi="Times New Roman" w:eastAsia="黑体" w:cs="Times New Roman"/>
          <w:color w:val="0000FF"/>
        </w:rPr>
        <w:t>-</w:t>
      </w:r>
      <w:r>
        <w:rPr>
          <w:rFonts w:hint="default" w:ascii="Times New Roman" w:hAnsi="Times New Roman" w:eastAsia="黑体" w:cs="Times New Roman"/>
          <w:color w:val="0000FF"/>
          <w:lang w:val="en-US" w:eastAsia="zh-CN"/>
        </w:rPr>
        <w:t>1</w:t>
      </w:r>
      <w:r>
        <w:rPr>
          <w:rFonts w:hint="eastAsia" w:ascii="Times New Roman" w:hAnsi="Times New Roman" w:eastAsia="黑体" w:cs="Times New Roman"/>
          <w:color w:val="0000FF"/>
          <w:lang w:val="en-US" w:eastAsia="zh-CN"/>
        </w:rPr>
        <w:t>4</w:t>
      </w:r>
      <w:r>
        <w:rPr>
          <w:rFonts w:hint="default" w:ascii="Times New Roman" w:hAnsi="Times New Roman" w:eastAsia="黑体" w:cs="Times New Roman"/>
          <w:color w:val="0000FF"/>
        </w:rPr>
        <w:t>项目预测内容及和评价要求</w:t>
      </w:r>
    </w:p>
    <w:tbl>
      <w:tblPr>
        <w:tblStyle w:val="56"/>
        <w:tblW w:w="8664" w:type="dxa"/>
        <w:tblInd w:w="0" w:type="dxa"/>
        <w:tblBorders>
          <w:top w:val="double" w:color="auto" w:sz="4" w:space="0"/>
          <w:left w:val="none" w:color="auto" w:sz="0" w:space="0"/>
          <w:bottom w:val="double" w:color="auto" w:sz="4" w:space="0"/>
          <w:right w:val="none" w:color="auto" w:sz="0" w:space="0"/>
          <w:insideH w:val="single" w:color="auto" w:sz="6" w:space="0"/>
          <w:insideV w:val="single" w:color="auto" w:sz="6" w:space="0"/>
        </w:tblBorders>
        <w:tblLayout w:type="fixed"/>
        <w:tblCellMar>
          <w:top w:w="0" w:type="dxa"/>
          <w:left w:w="0" w:type="dxa"/>
          <w:bottom w:w="0" w:type="dxa"/>
          <w:right w:w="0" w:type="dxa"/>
        </w:tblCellMar>
      </w:tblPr>
      <w:tblGrid>
        <w:gridCol w:w="499"/>
        <w:gridCol w:w="1486"/>
        <w:gridCol w:w="992"/>
        <w:gridCol w:w="2410"/>
        <w:gridCol w:w="1276"/>
        <w:gridCol w:w="2001"/>
      </w:tblGrid>
      <w:tr w14:paraId="07BE93BE">
        <w:tblPrEx>
          <w:tblBorders>
            <w:top w:val="double" w:color="auto" w:sz="4" w:space="0"/>
            <w:left w:val="none" w:color="auto" w:sz="0" w:space="0"/>
            <w:bottom w:val="double" w:color="auto" w:sz="4" w:space="0"/>
            <w:right w:val="none" w:color="auto" w:sz="0" w:space="0"/>
            <w:insideH w:val="single" w:color="auto" w:sz="6" w:space="0"/>
            <w:insideV w:val="single" w:color="auto" w:sz="6" w:space="0"/>
          </w:tblBorders>
          <w:tblCellMar>
            <w:top w:w="0" w:type="dxa"/>
            <w:left w:w="0" w:type="dxa"/>
            <w:bottom w:w="0" w:type="dxa"/>
            <w:right w:w="0" w:type="dxa"/>
          </w:tblCellMar>
        </w:tblPrEx>
        <w:trPr>
          <w:trHeight w:val="397" w:hRule="atLeast"/>
        </w:trPr>
        <w:tc>
          <w:tcPr>
            <w:tcW w:w="499" w:type="dxa"/>
            <w:tcBorders>
              <w:tl2br w:val="nil"/>
              <w:tr2bl w:val="nil"/>
            </w:tcBorders>
            <w:noWrap/>
            <w:vAlign w:val="center"/>
          </w:tcPr>
          <w:p w14:paraId="6460FEA8">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cs="Times New Roman" w:eastAsiaTheme="minorEastAsia"/>
                <w:color w:val="0000FF"/>
                <w:kern w:val="2"/>
                <w:sz w:val="21"/>
                <w:szCs w:val="21"/>
                <w:lang w:val="en-US" w:eastAsia="zh-CN" w:bidi="ar-SA"/>
              </w:rPr>
            </w:pPr>
            <w:r>
              <w:rPr>
                <w:rFonts w:hint="default" w:ascii="Times New Roman" w:hAnsi="Times New Roman" w:cs="Times New Roman" w:eastAsiaTheme="minorEastAsia"/>
                <w:color w:val="0000FF"/>
                <w:kern w:val="2"/>
                <w:sz w:val="21"/>
                <w:szCs w:val="21"/>
                <w:lang w:val="en-US" w:eastAsia="zh-CN" w:bidi="ar-SA"/>
              </w:rPr>
              <w:t>序号</w:t>
            </w:r>
          </w:p>
        </w:tc>
        <w:tc>
          <w:tcPr>
            <w:tcW w:w="1486" w:type="dxa"/>
            <w:tcBorders>
              <w:tl2br w:val="nil"/>
              <w:tr2bl w:val="nil"/>
            </w:tcBorders>
            <w:vAlign w:val="center"/>
          </w:tcPr>
          <w:p w14:paraId="2F18AED0">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cs="Times New Roman" w:eastAsiaTheme="minorEastAsia"/>
                <w:color w:val="0000FF"/>
                <w:kern w:val="2"/>
                <w:sz w:val="21"/>
                <w:szCs w:val="21"/>
                <w:lang w:val="en-US" w:eastAsia="zh-CN" w:bidi="ar-SA"/>
              </w:rPr>
            </w:pPr>
            <w:r>
              <w:rPr>
                <w:rFonts w:hint="default" w:ascii="Times New Roman" w:hAnsi="Times New Roman" w:cs="Times New Roman" w:eastAsiaTheme="minorEastAsia"/>
                <w:color w:val="0000FF"/>
                <w:kern w:val="2"/>
                <w:sz w:val="21"/>
                <w:szCs w:val="21"/>
                <w:lang w:val="en-US" w:eastAsia="zh-CN" w:bidi="ar-SA"/>
              </w:rPr>
              <w:t>污染源</w:t>
            </w:r>
          </w:p>
        </w:tc>
        <w:tc>
          <w:tcPr>
            <w:tcW w:w="992" w:type="dxa"/>
            <w:tcBorders>
              <w:tl2br w:val="nil"/>
              <w:tr2bl w:val="nil"/>
            </w:tcBorders>
            <w:noWrap/>
            <w:vAlign w:val="center"/>
          </w:tcPr>
          <w:p w14:paraId="09308730">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cs="Times New Roman" w:eastAsiaTheme="minorEastAsia"/>
                <w:color w:val="0000FF"/>
                <w:kern w:val="2"/>
                <w:sz w:val="21"/>
                <w:szCs w:val="21"/>
                <w:lang w:val="en-US" w:eastAsia="zh-CN" w:bidi="ar-SA"/>
              </w:rPr>
            </w:pPr>
            <w:r>
              <w:rPr>
                <w:rFonts w:hint="default" w:ascii="Times New Roman" w:hAnsi="Times New Roman" w:cs="Times New Roman" w:eastAsiaTheme="minorEastAsia"/>
                <w:color w:val="0000FF"/>
                <w:kern w:val="2"/>
                <w:sz w:val="21"/>
                <w:szCs w:val="21"/>
                <w:lang w:val="en-US" w:eastAsia="zh-CN" w:bidi="ar-SA"/>
              </w:rPr>
              <w:t>排放方式</w:t>
            </w:r>
          </w:p>
        </w:tc>
        <w:tc>
          <w:tcPr>
            <w:tcW w:w="2410" w:type="dxa"/>
            <w:tcBorders>
              <w:tl2br w:val="nil"/>
              <w:tr2bl w:val="nil"/>
            </w:tcBorders>
            <w:noWrap/>
            <w:vAlign w:val="center"/>
          </w:tcPr>
          <w:p w14:paraId="6F446A9C">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cs="Times New Roman" w:eastAsiaTheme="minorEastAsia"/>
                <w:color w:val="0000FF"/>
                <w:kern w:val="2"/>
                <w:sz w:val="21"/>
                <w:szCs w:val="21"/>
                <w:lang w:val="en-US" w:eastAsia="zh-CN" w:bidi="ar-SA"/>
              </w:rPr>
            </w:pPr>
            <w:r>
              <w:rPr>
                <w:rFonts w:hint="default" w:ascii="Times New Roman" w:hAnsi="Times New Roman" w:cs="Times New Roman" w:eastAsiaTheme="minorEastAsia"/>
                <w:color w:val="0000FF"/>
                <w:kern w:val="2"/>
                <w:sz w:val="21"/>
                <w:szCs w:val="21"/>
                <w:lang w:val="en-US" w:eastAsia="zh-CN" w:bidi="ar-SA"/>
              </w:rPr>
              <w:t>预测因子</w:t>
            </w:r>
          </w:p>
        </w:tc>
        <w:tc>
          <w:tcPr>
            <w:tcW w:w="1276" w:type="dxa"/>
            <w:tcBorders>
              <w:tl2br w:val="nil"/>
              <w:tr2bl w:val="nil"/>
            </w:tcBorders>
            <w:vAlign w:val="center"/>
          </w:tcPr>
          <w:p w14:paraId="366E4AD3">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cs="Times New Roman" w:eastAsiaTheme="minorEastAsia"/>
                <w:color w:val="0000FF"/>
                <w:kern w:val="2"/>
                <w:sz w:val="21"/>
                <w:szCs w:val="21"/>
                <w:lang w:val="en-US" w:eastAsia="zh-CN" w:bidi="ar-SA"/>
              </w:rPr>
            </w:pPr>
            <w:r>
              <w:rPr>
                <w:rFonts w:hint="default" w:ascii="Times New Roman" w:hAnsi="Times New Roman" w:cs="Times New Roman" w:eastAsiaTheme="minorEastAsia"/>
                <w:color w:val="0000FF"/>
                <w:kern w:val="2"/>
                <w:sz w:val="21"/>
                <w:szCs w:val="21"/>
                <w:lang w:val="en-US" w:eastAsia="zh-CN" w:bidi="ar-SA"/>
              </w:rPr>
              <w:t>预测内容</w:t>
            </w:r>
          </w:p>
        </w:tc>
        <w:tc>
          <w:tcPr>
            <w:tcW w:w="2001" w:type="dxa"/>
            <w:tcBorders>
              <w:tl2br w:val="nil"/>
              <w:tr2bl w:val="nil"/>
            </w:tcBorders>
            <w:vAlign w:val="center"/>
          </w:tcPr>
          <w:p w14:paraId="2FF3A008">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cs="Times New Roman" w:eastAsiaTheme="minorEastAsia"/>
                <w:color w:val="0000FF"/>
                <w:kern w:val="2"/>
                <w:sz w:val="21"/>
                <w:szCs w:val="21"/>
                <w:lang w:val="en-US" w:eastAsia="zh-CN" w:bidi="ar-SA"/>
              </w:rPr>
            </w:pPr>
            <w:r>
              <w:rPr>
                <w:rFonts w:hint="default" w:ascii="Times New Roman" w:hAnsi="Times New Roman" w:cs="Times New Roman" w:eastAsiaTheme="minorEastAsia"/>
                <w:color w:val="0000FF"/>
                <w:kern w:val="2"/>
                <w:sz w:val="21"/>
                <w:szCs w:val="21"/>
                <w:lang w:val="en-US" w:eastAsia="zh-CN" w:bidi="ar-SA"/>
              </w:rPr>
              <w:t>评价内容</w:t>
            </w:r>
          </w:p>
        </w:tc>
      </w:tr>
      <w:tr w14:paraId="68BCD11D">
        <w:tblPrEx>
          <w:tblBorders>
            <w:top w:val="double" w:color="auto" w:sz="4" w:space="0"/>
            <w:left w:val="none" w:color="auto" w:sz="0" w:space="0"/>
            <w:bottom w:val="double" w:color="auto" w:sz="4" w:space="0"/>
            <w:right w:val="none" w:color="auto" w:sz="0" w:space="0"/>
            <w:insideH w:val="single" w:color="auto" w:sz="6" w:space="0"/>
            <w:insideV w:val="single" w:color="auto" w:sz="6" w:space="0"/>
          </w:tblBorders>
          <w:tblCellMar>
            <w:top w:w="0" w:type="dxa"/>
            <w:left w:w="0" w:type="dxa"/>
            <w:bottom w:w="0" w:type="dxa"/>
            <w:right w:w="0" w:type="dxa"/>
          </w:tblCellMar>
        </w:tblPrEx>
        <w:trPr>
          <w:trHeight w:val="397" w:hRule="atLeast"/>
        </w:trPr>
        <w:tc>
          <w:tcPr>
            <w:tcW w:w="499" w:type="dxa"/>
            <w:tcBorders>
              <w:tl2br w:val="nil"/>
              <w:tr2bl w:val="nil"/>
            </w:tcBorders>
            <w:noWrap/>
            <w:vAlign w:val="center"/>
          </w:tcPr>
          <w:p w14:paraId="5A4D94E5">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cs="Times New Roman" w:eastAsiaTheme="minorEastAsia"/>
                <w:color w:val="0000FF"/>
                <w:kern w:val="2"/>
                <w:sz w:val="21"/>
                <w:szCs w:val="21"/>
                <w:lang w:val="en-US" w:eastAsia="zh-CN" w:bidi="ar-SA"/>
              </w:rPr>
            </w:pPr>
            <w:r>
              <w:rPr>
                <w:rFonts w:hint="default" w:ascii="Times New Roman" w:hAnsi="Times New Roman" w:cs="Times New Roman" w:eastAsiaTheme="minorEastAsia"/>
                <w:color w:val="0000FF"/>
                <w:kern w:val="2"/>
                <w:sz w:val="21"/>
                <w:szCs w:val="21"/>
                <w:lang w:val="en-US" w:eastAsia="zh-CN" w:bidi="ar-SA"/>
              </w:rPr>
              <w:t>1</w:t>
            </w:r>
          </w:p>
        </w:tc>
        <w:tc>
          <w:tcPr>
            <w:tcW w:w="1486" w:type="dxa"/>
            <w:tcBorders>
              <w:tl2br w:val="nil"/>
              <w:tr2bl w:val="nil"/>
            </w:tcBorders>
            <w:vAlign w:val="center"/>
          </w:tcPr>
          <w:p w14:paraId="3AAD65DE">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cs="Times New Roman" w:eastAsiaTheme="minorEastAsia"/>
                <w:color w:val="0000FF"/>
                <w:kern w:val="2"/>
                <w:sz w:val="21"/>
                <w:szCs w:val="21"/>
                <w:lang w:val="en-US" w:eastAsia="zh-CN" w:bidi="ar-SA"/>
              </w:rPr>
            </w:pPr>
            <w:r>
              <w:rPr>
                <w:rFonts w:hint="default" w:ascii="Times New Roman" w:hAnsi="Times New Roman" w:cs="Times New Roman" w:eastAsiaTheme="minorEastAsia"/>
                <w:color w:val="0000FF"/>
                <w:kern w:val="2"/>
                <w:sz w:val="21"/>
                <w:szCs w:val="21"/>
                <w:lang w:val="en-US" w:eastAsia="zh-CN" w:bidi="ar-SA"/>
              </w:rPr>
              <w:t>新增污染源</w:t>
            </w:r>
          </w:p>
        </w:tc>
        <w:tc>
          <w:tcPr>
            <w:tcW w:w="992" w:type="dxa"/>
            <w:tcBorders>
              <w:tl2br w:val="nil"/>
              <w:tr2bl w:val="nil"/>
            </w:tcBorders>
            <w:noWrap/>
            <w:vAlign w:val="center"/>
          </w:tcPr>
          <w:p w14:paraId="32F2A350">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cs="Times New Roman" w:eastAsiaTheme="minorEastAsia"/>
                <w:color w:val="0000FF"/>
                <w:kern w:val="2"/>
                <w:sz w:val="21"/>
                <w:szCs w:val="21"/>
                <w:lang w:val="en-US" w:eastAsia="zh-CN" w:bidi="ar-SA"/>
              </w:rPr>
            </w:pPr>
            <w:r>
              <w:rPr>
                <w:rFonts w:hint="default" w:ascii="Times New Roman" w:hAnsi="Times New Roman" w:cs="Times New Roman" w:eastAsiaTheme="minorEastAsia"/>
                <w:color w:val="0000FF"/>
                <w:kern w:val="2"/>
                <w:sz w:val="21"/>
                <w:szCs w:val="21"/>
                <w:lang w:val="en-US" w:eastAsia="zh-CN" w:bidi="ar-SA"/>
              </w:rPr>
              <w:t>正常排放</w:t>
            </w:r>
          </w:p>
        </w:tc>
        <w:tc>
          <w:tcPr>
            <w:tcW w:w="2410" w:type="dxa"/>
            <w:tcBorders>
              <w:tl2br w:val="nil"/>
              <w:tr2bl w:val="nil"/>
            </w:tcBorders>
            <w:noWrap/>
            <w:vAlign w:val="center"/>
          </w:tcPr>
          <w:p w14:paraId="20DDF0E2">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cs="Times New Roman" w:eastAsiaTheme="minorEastAsia"/>
                <w:color w:val="0000FF"/>
                <w:kern w:val="2"/>
                <w:sz w:val="21"/>
                <w:szCs w:val="21"/>
                <w:highlight w:val="yellow"/>
                <w:lang w:val="en-US" w:eastAsia="zh-CN" w:bidi="ar-SA"/>
              </w:rPr>
            </w:pPr>
            <w:r>
              <w:rPr>
                <w:rFonts w:hint="default" w:ascii="Times New Roman" w:hAnsi="Times New Roman" w:cs="Times New Roman" w:eastAsiaTheme="minorEastAsia"/>
                <w:color w:val="0000FF"/>
                <w:kern w:val="2"/>
                <w:sz w:val="21"/>
                <w:szCs w:val="21"/>
                <w:highlight w:val="none"/>
                <w:lang w:val="en-US" w:eastAsia="zh-CN" w:bidi="ar-SA"/>
              </w:rPr>
              <w:t>SO</w:t>
            </w:r>
            <w:r>
              <w:rPr>
                <w:rFonts w:hint="default" w:ascii="Times New Roman" w:hAnsi="Times New Roman" w:cs="Times New Roman" w:eastAsiaTheme="minorEastAsia"/>
                <w:color w:val="0000FF"/>
                <w:kern w:val="2"/>
                <w:sz w:val="21"/>
                <w:szCs w:val="21"/>
                <w:highlight w:val="none"/>
                <w:vertAlign w:val="subscript"/>
                <w:lang w:val="en-US" w:eastAsia="zh-CN" w:bidi="ar-SA"/>
              </w:rPr>
              <w:t>2</w:t>
            </w:r>
            <w:r>
              <w:rPr>
                <w:rFonts w:hint="default" w:ascii="Times New Roman" w:hAnsi="Times New Roman" w:cs="Times New Roman" w:eastAsiaTheme="minorEastAsia"/>
                <w:color w:val="0000FF"/>
                <w:kern w:val="2"/>
                <w:sz w:val="21"/>
                <w:szCs w:val="21"/>
                <w:highlight w:val="none"/>
                <w:lang w:val="en-US" w:eastAsia="zh-CN" w:bidi="ar-SA"/>
              </w:rPr>
              <w:t>、NOx、TSP、氟化物、氨、二噁英</w:t>
            </w:r>
          </w:p>
        </w:tc>
        <w:tc>
          <w:tcPr>
            <w:tcW w:w="1276" w:type="dxa"/>
            <w:tcBorders>
              <w:tl2br w:val="nil"/>
              <w:tr2bl w:val="nil"/>
            </w:tcBorders>
            <w:vAlign w:val="center"/>
          </w:tcPr>
          <w:p w14:paraId="203DF2CD">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cs="Times New Roman" w:eastAsiaTheme="minorEastAsia"/>
                <w:color w:val="0000FF"/>
                <w:kern w:val="2"/>
                <w:sz w:val="21"/>
                <w:szCs w:val="21"/>
                <w:lang w:val="en-US" w:eastAsia="zh-CN" w:bidi="ar-SA"/>
              </w:rPr>
            </w:pPr>
            <w:r>
              <w:rPr>
                <w:rFonts w:hint="default" w:ascii="Times New Roman" w:hAnsi="Times New Roman" w:cs="Times New Roman" w:eastAsiaTheme="minorEastAsia"/>
                <w:color w:val="0000FF"/>
                <w:kern w:val="2"/>
                <w:sz w:val="21"/>
                <w:szCs w:val="21"/>
                <w:lang w:val="en-US" w:eastAsia="zh-CN" w:bidi="ar-SA"/>
              </w:rPr>
              <w:t>短期浓度</w:t>
            </w:r>
          </w:p>
          <w:p w14:paraId="317D6F91">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cs="Times New Roman" w:eastAsiaTheme="minorEastAsia"/>
                <w:color w:val="0000FF"/>
                <w:kern w:val="2"/>
                <w:sz w:val="21"/>
                <w:szCs w:val="21"/>
                <w:lang w:val="en-US" w:eastAsia="zh-CN" w:bidi="ar-SA"/>
              </w:rPr>
            </w:pPr>
            <w:r>
              <w:rPr>
                <w:rFonts w:hint="default" w:ascii="Times New Roman" w:hAnsi="Times New Roman" w:cs="Times New Roman" w:eastAsiaTheme="minorEastAsia"/>
                <w:color w:val="0000FF"/>
                <w:kern w:val="2"/>
                <w:sz w:val="21"/>
                <w:szCs w:val="21"/>
                <w:lang w:val="en-US" w:eastAsia="zh-CN" w:bidi="ar-SA"/>
              </w:rPr>
              <w:t>长期浓度</w:t>
            </w:r>
          </w:p>
        </w:tc>
        <w:tc>
          <w:tcPr>
            <w:tcW w:w="2001" w:type="dxa"/>
            <w:tcBorders>
              <w:tl2br w:val="nil"/>
              <w:tr2bl w:val="nil"/>
            </w:tcBorders>
            <w:vAlign w:val="center"/>
          </w:tcPr>
          <w:p w14:paraId="5F8315BC">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cs="Times New Roman" w:eastAsiaTheme="minorEastAsia"/>
                <w:color w:val="0000FF"/>
                <w:kern w:val="2"/>
                <w:sz w:val="21"/>
                <w:szCs w:val="21"/>
                <w:lang w:val="en-US" w:eastAsia="zh-CN" w:bidi="ar-SA"/>
              </w:rPr>
            </w:pPr>
            <w:r>
              <w:rPr>
                <w:rFonts w:hint="default" w:ascii="Times New Roman" w:hAnsi="Times New Roman" w:cs="Times New Roman" w:eastAsiaTheme="minorEastAsia"/>
                <w:color w:val="0000FF"/>
                <w:kern w:val="2"/>
                <w:sz w:val="21"/>
                <w:szCs w:val="21"/>
                <w:lang w:val="en-US" w:eastAsia="zh-CN" w:bidi="ar-SA"/>
              </w:rPr>
              <w:t>最大浓度占标率</w:t>
            </w:r>
          </w:p>
        </w:tc>
      </w:tr>
      <w:tr w14:paraId="492EBA59">
        <w:tblPrEx>
          <w:tblBorders>
            <w:top w:val="double" w:color="auto" w:sz="4" w:space="0"/>
            <w:left w:val="none" w:color="auto" w:sz="0" w:space="0"/>
            <w:bottom w:val="double" w:color="auto" w:sz="4" w:space="0"/>
            <w:right w:val="none" w:color="auto" w:sz="0" w:space="0"/>
            <w:insideH w:val="single" w:color="auto" w:sz="6" w:space="0"/>
            <w:insideV w:val="single" w:color="auto" w:sz="6" w:space="0"/>
          </w:tblBorders>
          <w:tblCellMar>
            <w:top w:w="0" w:type="dxa"/>
            <w:left w:w="0" w:type="dxa"/>
            <w:bottom w:w="0" w:type="dxa"/>
            <w:right w:w="0" w:type="dxa"/>
          </w:tblCellMar>
        </w:tblPrEx>
        <w:trPr>
          <w:trHeight w:val="397" w:hRule="atLeast"/>
        </w:trPr>
        <w:tc>
          <w:tcPr>
            <w:tcW w:w="499" w:type="dxa"/>
            <w:tcBorders>
              <w:tl2br w:val="nil"/>
              <w:tr2bl w:val="nil"/>
            </w:tcBorders>
            <w:noWrap/>
            <w:vAlign w:val="center"/>
          </w:tcPr>
          <w:p w14:paraId="59C2BC5B">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cs="Times New Roman" w:eastAsiaTheme="minorEastAsia"/>
                <w:color w:val="0000FF"/>
                <w:kern w:val="2"/>
                <w:sz w:val="21"/>
                <w:szCs w:val="21"/>
                <w:lang w:val="en-US" w:eastAsia="zh-CN" w:bidi="ar-SA"/>
              </w:rPr>
            </w:pPr>
            <w:r>
              <w:rPr>
                <w:rFonts w:hint="default" w:ascii="Times New Roman" w:hAnsi="Times New Roman" w:cs="Times New Roman" w:eastAsiaTheme="minorEastAsia"/>
                <w:color w:val="0000FF"/>
                <w:kern w:val="2"/>
                <w:sz w:val="21"/>
                <w:szCs w:val="21"/>
                <w:lang w:val="en-US" w:eastAsia="zh-CN" w:bidi="ar-SA"/>
              </w:rPr>
              <w:t>2</w:t>
            </w:r>
          </w:p>
        </w:tc>
        <w:tc>
          <w:tcPr>
            <w:tcW w:w="1486" w:type="dxa"/>
            <w:tcBorders>
              <w:tl2br w:val="nil"/>
              <w:tr2bl w:val="nil"/>
            </w:tcBorders>
            <w:vAlign w:val="center"/>
          </w:tcPr>
          <w:p w14:paraId="47E2F771">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cs="Times New Roman" w:eastAsiaTheme="minorEastAsia"/>
                <w:color w:val="0000FF"/>
                <w:kern w:val="2"/>
                <w:sz w:val="21"/>
                <w:szCs w:val="21"/>
                <w:lang w:val="en-US" w:eastAsia="zh-CN" w:bidi="ar-SA"/>
              </w:rPr>
            </w:pPr>
            <w:r>
              <w:rPr>
                <w:rFonts w:hint="default" w:ascii="Times New Roman" w:hAnsi="Times New Roman" w:cs="Times New Roman" w:eastAsiaTheme="minorEastAsia"/>
                <w:color w:val="0000FF"/>
                <w:kern w:val="2"/>
                <w:sz w:val="21"/>
                <w:szCs w:val="21"/>
                <w:lang w:val="en-US" w:eastAsia="zh-CN" w:bidi="ar-SA"/>
              </w:rPr>
              <w:t>新增污染源-“以新带老”污染源（如有）-区域削减污染源（如有）+其他在建、拟建污染源（如有）</w:t>
            </w:r>
          </w:p>
        </w:tc>
        <w:tc>
          <w:tcPr>
            <w:tcW w:w="992" w:type="dxa"/>
            <w:tcBorders>
              <w:tl2br w:val="nil"/>
              <w:tr2bl w:val="nil"/>
            </w:tcBorders>
            <w:noWrap/>
            <w:vAlign w:val="center"/>
          </w:tcPr>
          <w:p w14:paraId="56D2C6CB">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cs="Times New Roman" w:eastAsiaTheme="minorEastAsia"/>
                <w:color w:val="0000FF"/>
                <w:kern w:val="2"/>
                <w:sz w:val="21"/>
                <w:szCs w:val="21"/>
                <w:highlight w:val="none"/>
                <w:lang w:val="en-US" w:eastAsia="zh-CN" w:bidi="ar-SA"/>
              </w:rPr>
            </w:pPr>
            <w:r>
              <w:rPr>
                <w:rFonts w:hint="default" w:ascii="Times New Roman" w:hAnsi="Times New Roman" w:cs="Times New Roman" w:eastAsiaTheme="minorEastAsia"/>
                <w:color w:val="0000FF"/>
                <w:kern w:val="2"/>
                <w:sz w:val="21"/>
                <w:szCs w:val="21"/>
                <w:highlight w:val="none"/>
                <w:lang w:val="en-US" w:eastAsia="zh-CN" w:bidi="ar-SA"/>
              </w:rPr>
              <w:t>正常排放</w:t>
            </w:r>
          </w:p>
        </w:tc>
        <w:tc>
          <w:tcPr>
            <w:tcW w:w="2410" w:type="dxa"/>
            <w:tcBorders>
              <w:tl2br w:val="nil"/>
              <w:tr2bl w:val="nil"/>
            </w:tcBorders>
            <w:noWrap/>
            <w:vAlign w:val="center"/>
          </w:tcPr>
          <w:p w14:paraId="1FB0599D">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cs="Times New Roman" w:eastAsiaTheme="minorEastAsia"/>
                <w:color w:val="0000FF"/>
                <w:kern w:val="2"/>
                <w:sz w:val="21"/>
                <w:szCs w:val="21"/>
                <w:highlight w:val="none"/>
                <w:lang w:val="en-US" w:eastAsia="zh-CN" w:bidi="ar-SA"/>
              </w:rPr>
            </w:pPr>
            <w:r>
              <w:rPr>
                <w:rFonts w:hint="default" w:ascii="Times New Roman" w:hAnsi="Times New Roman" w:cs="Times New Roman" w:eastAsiaTheme="minorEastAsia"/>
                <w:color w:val="0000FF"/>
                <w:kern w:val="2"/>
                <w:sz w:val="21"/>
                <w:szCs w:val="21"/>
                <w:highlight w:val="none"/>
                <w:lang w:val="en-US" w:eastAsia="zh-CN" w:bidi="ar-SA"/>
              </w:rPr>
              <w:t>SO</w:t>
            </w:r>
            <w:r>
              <w:rPr>
                <w:rFonts w:hint="default" w:ascii="Times New Roman" w:hAnsi="Times New Roman" w:cs="Times New Roman" w:eastAsiaTheme="minorEastAsia"/>
                <w:color w:val="0000FF"/>
                <w:kern w:val="2"/>
                <w:sz w:val="21"/>
                <w:szCs w:val="21"/>
                <w:highlight w:val="none"/>
                <w:vertAlign w:val="subscript"/>
                <w:lang w:val="en-US" w:eastAsia="zh-CN" w:bidi="ar-SA"/>
              </w:rPr>
              <w:t>2</w:t>
            </w:r>
            <w:r>
              <w:rPr>
                <w:rFonts w:hint="default" w:ascii="Times New Roman" w:hAnsi="Times New Roman" w:cs="Times New Roman" w:eastAsiaTheme="minorEastAsia"/>
                <w:color w:val="0000FF"/>
                <w:kern w:val="2"/>
                <w:sz w:val="21"/>
                <w:szCs w:val="21"/>
                <w:highlight w:val="none"/>
                <w:lang w:val="en-US" w:eastAsia="zh-CN" w:bidi="ar-SA"/>
              </w:rPr>
              <w:t>、NOx、TSP、氟化物、氨、二噁英</w:t>
            </w:r>
          </w:p>
        </w:tc>
        <w:tc>
          <w:tcPr>
            <w:tcW w:w="1276" w:type="dxa"/>
            <w:tcBorders>
              <w:tl2br w:val="nil"/>
              <w:tr2bl w:val="nil"/>
            </w:tcBorders>
            <w:vAlign w:val="center"/>
          </w:tcPr>
          <w:p w14:paraId="343B9C26">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cs="Times New Roman" w:eastAsiaTheme="minorEastAsia"/>
                <w:color w:val="0000FF"/>
                <w:kern w:val="2"/>
                <w:sz w:val="21"/>
                <w:szCs w:val="21"/>
                <w:lang w:val="en-US" w:eastAsia="zh-CN" w:bidi="ar-SA"/>
              </w:rPr>
            </w:pPr>
            <w:r>
              <w:rPr>
                <w:rFonts w:hint="default" w:ascii="Times New Roman" w:hAnsi="Times New Roman" w:cs="Times New Roman" w:eastAsiaTheme="minorEastAsia"/>
                <w:color w:val="0000FF"/>
                <w:kern w:val="2"/>
                <w:sz w:val="21"/>
                <w:szCs w:val="21"/>
                <w:lang w:val="en-US" w:eastAsia="zh-CN" w:bidi="ar-SA"/>
              </w:rPr>
              <w:t>短期浓度</w:t>
            </w:r>
          </w:p>
          <w:p w14:paraId="0349DB7E">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cs="Times New Roman" w:eastAsiaTheme="minorEastAsia"/>
                <w:color w:val="0000FF"/>
                <w:kern w:val="2"/>
                <w:sz w:val="21"/>
                <w:szCs w:val="21"/>
                <w:lang w:val="en-US" w:eastAsia="zh-CN" w:bidi="ar-SA"/>
              </w:rPr>
            </w:pPr>
            <w:r>
              <w:rPr>
                <w:rFonts w:hint="default" w:ascii="Times New Roman" w:hAnsi="Times New Roman" w:cs="Times New Roman" w:eastAsiaTheme="minorEastAsia"/>
                <w:color w:val="0000FF"/>
                <w:kern w:val="2"/>
                <w:sz w:val="21"/>
                <w:szCs w:val="21"/>
                <w:lang w:val="en-US" w:eastAsia="zh-CN" w:bidi="ar-SA"/>
              </w:rPr>
              <w:t>长期浓度</w:t>
            </w:r>
          </w:p>
        </w:tc>
        <w:tc>
          <w:tcPr>
            <w:tcW w:w="2001" w:type="dxa"/>
            <w:tcBorders>
              <w:tl2br w:val="nil"/>
              <w:tr2bl w:val="nil"/>
            </w:tcBorders>
            <w:vAlign w:val="center"/>
          </w:tcPr>
          <w:p w14:paraId="0831A691">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cs="Times New Roman" w:eastAsiaTheme="minorEastAsia"/>
                <w:color w:val="0000FF"/>
                <w:kern w:val="2"/>
                <w:sz w:val="21"/>
                <w:szCs w:val="21"/>
                <w:lang w:val="en-US" w:eastAsia="zh-CN" w:bidi="ar-SA"/>
              </w:rPr>
            </w:pPr>
            <w:r>
              <w:rPr>
                <w:rFonts w:hint="default" w:ascii="Times New Roman" w:hAnsi="Times New Roman" w:cs="Times New Roman" w:eastAsiaTheme="minorEastAsia"/>
                <w:color w:val="0000FF"/>
                <w:kern w:val="2"/>
                <w:sz w:val="21"/>
                <w:szCs w:val="21"/>
                <w:lang w:val="en-US" w:eastAsia="zh-CN" w:bidi="ar-SA"/>
              </w:rPr>
              <w:t>叠加</w:t>
            </w:r>
            <w:r>
              <w:rPr>
                <w:rFonts w:hint="eastAsia" w:ascii="Times New Roman" w:hAnsi="Times New Roman" w:cs="Times New Roman" w:eastAsiaTheme="minorEastAsia"/>
                <w:color w:val="0000FF"/>
                <w:kern w:val="2"/>
                <w:sz w:val="21"/>
                <w:szCs w:val="21"/>
                <w:lang w:val="en-US" w:eastAsia="zh-CN" w:bidi="ar-SA"/>
              </w:rPr>
              <w:t>环境质量现状</w:t>
            </w:r>
            <w:r>
              <w:rPr>
                <w:rFonts w:hint="default" w:ascii="Times New Roman" w:hAnsi="Times New Roman" w:cs="Times New Roman" w:eastAsiaTheme="minorEastAsia"/>
                <w:color w:val="0000FF"/>
                <w:kern w:val="2"/>
                <w:sz w:val="21"/>
                <w:szCs w:val="21"/>
                <w:lang w:val="en-US" w:eastAsia="zh-CN" w:bidi="ar-SA"/>
              </w:rPr>
              <w:t>浓度后的保证率日平均质量浓度和年平均质量浓度的占标率，或短期浓度的达标情况</w:t>
            </w:r>
            <w:r>
              <w:rPr>
                <w:rFonts w:hint="eastAsia" w:ascii="Times New Roman" w:hAnsi="Times New Roman" w:cs="Times New Roman" w:eastAsiaTheme="minorEastAsia"/>
                <w:color w:val="0000FF"/>
                <w:kern w:val="2"/>
                <w:sz w:val="21"/>
                <w:szCs w:val="21"/>
                <w:lang w:val="en-US" w:eastAsia="zh-CN" w:bidi="ar-SA"/>
              </w:rPr>
              <w:t>；</w:t>
            </w:r>
          </w:p>
        </w:tc>
      </w:tr>
      <w:tr w14:paraId="49E8EC6C">
        <w:tblPrEx>
          <w:tblBorders>
            <w:top w:val="double" w:color="auto" w:sz="4" w:space="0"/>
            <w:left w:val="none" w:color="auto" w:sz="0" w:space="0"/>
            <w:bottom w:val="double" w:color="auto" w:sz="4" w:space="0"/>
            <w:right w:val="none" w:color="auto" w:sz="0" w:space="0"/>
            <w:insideH w:val="single" w:color="auto" w:sz="6" w:space="0"/>
            <w:insideV w:val="single" w:color="auto" w:sz="6" w:space="0"/>
          </w:tblBorders>
          <w:tblCellMar>
            <w:top w:w="0" w:type="dxa"/>
            <w:left w:w="0" w:type="dxa"/>
            <w:bottom w:w="0" w:type="dxa"/>
            <w:right w:w="0" w:type="dxa"/>
          </w:tblCellMar>
        </w:tblPrEx>
        <w:trPr>
          <w:trHeight w:val="397" w:hRule="atLeast"/>
        </w:trPr>
        <w:tc>
          <w:tcPr>
            <w:tcW w:w="499" w:type="dxa"/>
            <w:tcBorders>
              <w:tl2br w:val="nil"/>
              <w:tr2bl w:val="nil"/>
            </w:tcBorders>
            <w:noWrap/>
            <w:vAlign w:val="center"/>
          </w:tcPr>
          <w:p w14:paraId="06F1B660">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cs="Times New Roman" w:eastAsiaTheme="minorEastAsia"/>
                <w:color w:val="0000FF"/>
                <w:kern w:val="2"/>
                <w:sz w:val="21"/>
                <w:szCs w:val="21"/>
                <w:lang w:val="en-US" w:eastAsia="zh-CN" w:bidi="ar-SA"/>
              </w:rPr>
            </w:pPr>
            <w:r>
              <w:rPr>
                <w:rFonts w:hint="default" w:ascii="Times New Roman" w:hAnsi="Times New Roman" w:cs="Times New Roman" w:eastAsiaTheme="minorEastAsia"/>
                <w:color w:val="0000FF"/>
                <w:kern w:val="2"/>
                <w:sz w:val="21"/>
                <w:szCs w:val="21"/>
                <w:lang w:val="en-US" w:eastAsia="zh-CN" w:bidi="ar-SA"/>
              </w:rPr>
              <w:t>3</w:t>
            </w:r>
          </w:p>
        </w:tc>
        <w:tc>
          <w:tcPr>
            <w:tcW w:w="1486" w:type="dxa"/>
            <w:tcBorders>
              <w:tl2br w:val="nil"/>
              <w:tr2bl w:val="nil"/>
            </w:tcBorders>
            <w:vAlign w:val="center"/>
          </w:tcPr>
          <w:p w14:paraId="67BB8E7F">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cs="Times New Roman" w:eastAsiaTheme="minorEastAsia"/>
                <w:color w:val="0000FF"/>
                <w:kern w:val="2"/>
                <w:sz w:val="21"/>
                <w:szCs w:val="21"/>
                <w:highlight w:val="none"/>
                <w:lang w:val="en-US" w:eastAsia="zh-CN" w:bidi="ar-SA"/>
              </w:rPr>
            </w:pPr>
            <w:r>
              <w:rPr>
                <w:rFonts w:hint="default" w:ascii="Times New Roman" w:hAnsi="Times New Roman" w:cs="Times New Roman" w:eastAsiaTheme="minorEastAsia"/>
                <w:color w:val="0000FF"/>
                <w:kern w:val="2"/>
                <w:sz w:val="21"/>
                <w:szCs w:val="21"/>
                <w:highlight w:val="none"/>
                <w:lang w:val="en-US" w:eastAsia="zh-CN" w:bidi="ar-SA"/>
              </w:rPr>
              <w:t>新增污染源</w:t>
            </w:r>
          </w:p>
        </w:tc>
        <w:tc>
          <w:tcPr>
            <w:tcW w:w="992" w:type="dxa"/>
            <w:tcBorders>
              <w:tl2br w:val="nil"/>
              <w:tr2bl w:val="nil"/>
            </w:tcBorders>
            <w:noWrap/>
            <w:vAlign w:val="center"/>
          </w:tcPr>
          <w:p w14:paraId="6981BCF0">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cs="Times New Roman" w:eastAsiaTheme="minorEastAsia"/>
                <w:color w:val="0000FF"/>
                <w:kern w:val="2"/>
                <w:sz w:val="21"/>
                <w:szCs w:val="21"/>
                <w:highlight w:val="none"/>
                <w:lang w:val="en-US" w:eastAsia="zh-CN" w:bidi="ar-SA"/>
              </w:rPr>
            </w:pPr>
            <w:r>
              <w:rPr>
                <w:rFonts w:hint="default" w:ascii="Times New Roman" w:hAnsi="Times New Roman" w:cs="Times New Roman" w:eastAsiaTheme="minorEastAsia"/>
                <w:color w:val="0000FF"/>
                <w:kern w:val="2"/>
                <w:sz w:val="21"/>
                <w:szCs w:val="21"/>
                <w:highlight w:val="none"/>
                <w:lang w:val="en-US" w:eastAsia="zh-CN" w:bidi="ar-SA"/>
              </w:rPr>
              <w:t>非正常排放</w:t>
            </w:r>
          </w:p>
        </w:tc>
        <w:tc>
          <w:tcPr>
            <w:tcW w:w="2410" w:type="dxa"/>
            <w:tcBorders>
              <w:tl2br w:val="nil"/>
              <w:tr2bl w:val="nil"/>
            </w:tcBorders>
            <w:noWrap/>
            <w:vAlign w:val="center"/>
          </w:tcPr>
          <w:p w14:paraId="6F95FD41">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cs="Times New Roman" w:eastAsiaTheme="minorEastAsia"/>
                <w:color w:val="0000FF"/>
                <w:kern w:val="2"/>
                <w:sz w:val="21"/>
                <w:szCs w:val="21"/>
                <w:highlight w:val="none"/>
                <w:lang w:val="en-US" w:eastAsia="zh-CN" w:bidi="ar-SA"/>
              </w:rPr>
            </w:pPr>
            <w:r>
              <w:rPr>
                <w:rFonts w:hint="default" w:ascii="Times New Roman" w:hAnsi="Times New Roman" w:cs="Times New Roman" w:eastAsiaTheme="minorEastAsia"/>
                <w:color w:val="0000FF"/>
                <w:kern w:val="2"/>
                <w:sz w:val="21"/>
                <w:szCs w:val="21"/>
                <w:highlight w:val="none"/>
                <w:lang w:val="en-US" w:eastAsia="zh-CN" w:bidi="ar-SA"/>
              </w:rPr>
              <w:t>SO</w:t>
            </w:r>
            <w:r>
              <w:rPr>
                <w:rFonts w:hint="default" w:ascii="Times New Roman" w:hAnsi="Times New Roman" w:cs="Times New Roman" w:eastAsiaTheme="minorEastAsia"/>
                <w:color w:val="0000FF"/>
                <w:kern w:val="2"/>
                <w:sz w:val="21"/>
                <w:szCs w:val="21"/>
                <w:highlight w:val="none"/>
                <w:vertAlign w:val="subscript"/>
                <w:lang w:val="en-US" w:eastAsia="zh-CN" w:bidi="ar-SA"/>
              </w:rPr>
              <w:t>2</w:t>
            </w:r>
            <w:r>
              <w:rPr>
                <w:rFonts w:hint="default" w:ascii="Times New Roman" w:hAnsi="Times New Roman" w:cs="Times New Roman" w:eastAsiaTheme="minorEastAsia"/>
                <w:color w:val="0000FF"/>
                <w:kern w:val="2"/>
                <w:sz w:val="21"/>
                <w:szCs w:val="21"/>
                <w:highlight w:val="none"/>
                <w:lang w:val="en-US" w:eastAsia="zh-CN" w:bidi="ar-SA"/>
              </w:rPr>
              <w:t>、NOx、TSP、氟化物、氨、二噁英</w:t>
            </w:r>
          </w:p>
        </w:tc>
        <w:tc>
          <w:tcPr>
            <w:tcW w:w="1276" w:type="dxa"/>
            <w:tcBorders>
              <w:tl2br w:val="nil"/>
              <w:tr2bl w:val="nil"/>
            </w:tcBorders>
            <w:vAlign w:val="center"/>
          </w:tcPr>
          <w:p w14:paraId="1F61C9A3">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cs="Times New Roman" w:eastAsiaTheme="minorEastAsia"/>
                <w:color w:val="0000FF"/>
                <w:kern w:val="2"/>
                <w:sz w:val="21"/>
                <w:szCs w:val="21"/>
                <w:lang w:val="en-US" w:eastAsia="zh-CN" w:bidi="ar-SA"/>
              </w:rPr>
            </w:pPr>
            <w:r>
              <w:rPr>
                <w:rFonts w:hint="default" w:ascii="Times New Roman" w:hAnsi="Times New Roman" w:cs="Times New Roman" w:eastAsiaTheme="minorEastAsia"/>
                <w:color w:val="0000FF"/>
                <w:kern w:val="2"/>
                <w:sz w:val="21"/>
                <w:szCs w:val="21"/>
                <w:lang w:val="en-US" w:eastAsia="zh-CN" w:bidi="ar-SA"/>
              </w:rPr>
              <w:t>1h平均质量浓度</w:t>
            </w:r>
          </w:p>
        </w:tc>
        <w:tc>
          <w:tcPr>
            <w:tcW w:w="2001" w:type="dxa"/>
            <w:tcBorders>
              <w:tl2br w:val="nil"/>
              <w:tr2bl w:val="nil"/>
            </w:tcBorders>
            <w:vAlign w:val="center"/>
          </w:tcPr>
          <w:p w14:paraId="3D8B61AF">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cs="Times New Roman" w:eastAsiaTheme="minorEastAsia"/>
                <w:color w:val="0000FF"/>
                <w:kern w:val="2"/>
                <w:sz w:val="21"/>
                <w:szCs w:val="21"/>
                <w:lang w:val="en-US" w:eastAsia="zh-CN" w:bidi="ar-SA"/>
              </w:rPr>
            </w:pPr>
            <w:r>
              <w:rPr>
                <w:rFonts w:hint="default" w:ascii="Times New Roman" w:hAnsi="Times New Roman" w:cs="Times New Roman" w:eastAsiaTheme="minorEastAsia"/>
                <w:color w:val="0000FF"/>
                <w:kern w:val="2"/>
                <w:sz w:val="21"/>
                <w:szCs w:val="21"/>
                <w:lang w:val="en-US" w:eastAsia="zh-CN" w:bidi="ar-SA"/>
              </w:rPr>
              <w:t>最大浓度占标率</w:t>
            </w:r>
          </w:p>
        </w:tc>
      </w:tr>
      <w:tr w14:paraId="1B46D3EE">
        <w:tblPrEx>
          <w:tblBorders>
            <w:top w:val="double" w:color="auto" w:sz="4" w:space="0"/>
            <w:left w:val="none" w:color="auto" w:sz="0" w:space="0"/>
            <w:bottom w:val="double" w:color="auto" w:sz="4" w:space="0"/>
            <w:right w:val="none" w:color="auto" w:sz="0" w:space="0"/>
            <w:insideH w:val="single" w:color="auto" w:sz="6" w:space="0"/>
            <w:insideV w:val="single" w:color="auto" w:sz="6" w:space="0"/>
          </w:tblBorders>
          <w:tblCellMar>
            <w:top w:w="0" w:type="dxa"/>
            <w:left w:w="0" w:type="dxa"/>
            <w:bottom w:w="0" w:type="dxa"/>
            <w:right w:w="0" w:type="dxa"/>
          </w:tblCellMar>
        </w:tblPrEx>
        <w:trPr>
          <w:trHeight w:val="397" w:hRule="atLeast"/>
        </w:trPr>
        <w:tc>
          <w:tcPr>
            <w:tcW w:w="499" w:type="dxa"/>
            <w:tcBorders>
              <w:tl2br w:val="nil"/>
              <w:tr2bl w:val="nil"/>
            </w:tcBorders>
            <w:noWrap/>
            <w:vAlign w:val="center"/>
          </w:tcPr>
          <w:p w14:paraId="68610027">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cs="Times New Roman" w:eastAsiaTheme="minorEastAsia"/>
                <w:color w:val="0000FF"/>
                <w:kern w:val="2"/>
                <w:sz w:val="21"/>
                <w:szCs w:val="21"/>
                <w:lang w:val="en-US" w:eastAsia="zh-CN" w:bidi="ar-SA"/>
              </w:rPr>
            </w:pPr>
            <w:r>
              <w:rPr>
                <w:rFonts w:hint="eastAsia" w:ascii="Times New Roman" w:hAnsi="Times New Roman" w:cs="Times New Roman" w:eastAsiaTheme="minorEastAsia"/>
                <w:color w:val="0000FF"/>
                <w:kern w:val="2"/>
                <w:sz w:val="21"/>
                <w:szCs w:val="21"/>
                <w:lang w:val="en-US" w:eastAsia="zh-CN" w:bidi="ar-SA"/>
              </w:rPr>
              <w:t>4</w:t>
            </w:r>
          </w:p>
        </w:tc>
        <w:tc>
          <w:tcPr>
            <w:tcW w:w="1486" w:type="dxa"/>
            <w:tcBorders>
              <w:tl2br w:val="nil"/>
              <w:tr2bl w:val="nil"/>
            </w:tcBorders>
            <w:vAlign w:val="center"/>
          </w:tcPr>
          <w:p w14:paraId="59B4E3BA">
            <w:pPr>
              <w:adjustRightInd w:val="0"/>
              <w:snapToGrid w:val="0"/>
              <w:jc w:val="center"/>
              <w:rPr>
                <w:rFonts w:hint="default" w:ascii="Times New Roman" w:hAnsi="Times New Roman" w:cs="Times New Roman" w:eastAsiaTheme="minorEastAsia"/>
                <w:color w:val="0000FF"/>
                <w:kern w:val="2"/>
                <w:sz w:val="21"/>
                <w:szCs w:val="21"/>
                <w:highlight w:val="none"/>
                <w:lang w:val="en-US" w:eastAsia="zh-CN" w:bidi="ar-SA"/>
              </w:rPr>
            </w:pPr>
            <w:r>
              <w:rPr>
                <w:rFonts w:ascii="Times New Roman" w:hAnsi="Times New Roman" w:cs="Times New Roman"/>
                <w:color w:val="0000FF"/>
                <w:sz w:val="21"/>
                <w:szCs w:val="21"/>
              </w:rPr>
              <w:t>新增污染源</w:t>
            </w:r>
          </w:p>
        </w:tc>
        <w:tc>
          <w:tcPr>
            <w:tcW w:w="992" w:type="dxa"/>
            <w:tcBorders>
              <w:tl2br w:val="nil"/>
              <w:tr2bl w:val="nil"/>
            </w:tcBorders>
            <w:noWrap/>
            <w:vAlign w:val="center"/>
          </w:tcPr>
          <w:p w14:paraId="3D077749">
            <w:pPr>
              <w:adjustRightInd w:val="0"/>
              <w:snapToGrid w:val="0"/>
              <w:jc w:val="center"/>
              <w:rPr>
                <w:rFonts w:hint="default" w:ascii="Times New Roman" w:hAnsi="Times New Roman" w:cs="Times New Roman" w:eastAsiaTheme="minorEastAsia"/>
                <w:color w:val="0000FF"/>
                <w:kern w:val="2"/>
                <w:sz w:val="21"/>
                <w:szCs w:val="21"/>
                <w:highlight w:val="none"/>
                <w:lang w:val="en-US" w:eastAsia="zh-CN" w:bidi="ar-SA"/>
              </w:rPr>
            </w:pPr>
            <w:r>
              <w:rPr>
                <w:rFonts w:ascii="Times New Roman" w:hAnsi="Times New Roman" w:cs="Times New Roman"/>
                <w:color w:val="0000FF"/>
                <w:sz w:val="21"/>
                <w:szCs w:val="21"/>
              </w:rPr>
              <w:t>正常排放</w:t>
            </w:r>
          </w:p>
        </w:tc>
        <w:tc>
          <w:tcPr>
            <w:tcW w:w="2410" w:type="dxa"/>
            <w:tcBorders>
              <w:tl2br w:val="nil"/>
              <w:tr2bl w:val="nil"/>
            </w:tcBorders>
            <w:noWrap/>
            <w:vAlign w:val="center"/>
          </w:tcPr>
          <w:p w14:paraId="760FDD74">
            <w:pPr>
              <w:adjustRightInd w:val="0"/>
              <w:snapToGrid w:val="0"/>
              <w:jc w:val="center"/>
              <w:rPr>
                <w:rFonts w:hint="default" w:ascii="Times New Roman" w:hAnsi="Times New Roman" w:eastAsia="宋体" w:cs="Times New Roman"/>
                <w:color w:val="0000FF"/>
                <w:kern w:val="2"/>
                <w:sz w:val="21"/>
                <w:szCs w:val="21"/>
                <w:highlight w:val="none"/>
                <w:lang w:val="en-US" w:eastAsia="zh-CN" w:bidi="ar-SA"/>
              </w:rPr>
            </w:pPr>
            <w:r>
              <w:rPr>
                <w:rFonts w:hint="eastAsia" w:ascii="Times New Roman" w:hAnsi="Times New Roman" w:cs="Times New Roman"/>
                <w:color w:val="0000FF"/>
                <w:sz w:val="21"/>
                <w:szCs w:val="21"/>
                <w:highlight w:val="none"/>
              </w:rPr>
              <w:t>颗粒物</w:t>
            </w:r>
            <w:r>
              <w:rPr>
                <w:rFonts w:hint="eastAsia" w:ascii="Times New Roman" w:hAnsi="Times New Roman" w:cs="Times New Roman"/>
                <w:color w:val="0000FF"/>
                <w:sz w:val="21"/>
                <w:szCs w:val="21"/>
                <w:highlight w:val="none"/>
                <w:lang w:eastAsia="zh-CN"/>
              </w:rPr>
              <w:t>、</w:t>
            </w:r>
            <w:r>
              <w:rPr>
                <w:rFonts w:hint="eastAsia" w:ascii="Times New Roman" w:hAnsi="Times New Roman" w:cs="Times New Roman"/>
                <w:color w:val="0000FF"/>
                <w:sz w:val="21"/>
                <w:szCs w:val="21"/>
                <w:highlight w:val="none"/>
                <w:lang w:val="en-US" w:eastAsia="zh-CN"/>
              </w:rPr>
              <w:t>氨</w:t>
            </w:r>
          </w:p>
        </w:tc>
        <w:tc>
          <w:tcPr>
            <w:tcW w:w="1276" w:type="dxa"/>
            <w:tcBorders>
              <w:tl2br w:val="nil"/>
              <w:tr2bl w:val="nil"/>
            </w:tcBorders>
            <w:vAlign w:val="center"/>
          </w:tcPr>
          <w:p w14:paraId="1DCA8BDB">
            <w:pPr>
              <w:adjustRightInd w:val="0"/>
              <w:snapToGrid w:val="0"/>
              <w:jc w:val="center"/>
              <w:rPr>
                <w:rFonts w:hint="default" w:ascii="Times New Roman" w:hAnsi="Times New Roman" w:cs="Times New Roman" w:eastAsiaTheme="minorEastAsia"/>
                <w:color w:val="0000FF"/>
                <w:kern w:val="2"/>
                <w:sz w:val="21"/>
                <w:szCs w:val="21"/>
                <w:lang w:val="en-US" w:eastAsia="zh-CN" w:bidi="ar-SA"/>
              </w:rPr>
            </w:pPr>
            <w:r>
              <w:rPr>
                <w:rFonts w:ascii="Times New Roman" w:hAnsi="Times New Roman" w:cs="Times New Roman"/>
                <w:color w:val="0000FF"/>
                <w:sz w:val="21"/>
                <w:szCs w:val="21"/>
              </w:rPr>
              <w:t>1h平均浓度</w:t>
            </w:r>
          </w:p>
        </w:tc>
        <w:tc>
          <w:tcPr>
            <w:tcW w:w="2001" w:type="dxa"/>
            <w:tcBorders>
              <w:tl2br w:val="nil"/>
              <w:tr2bl w:val="nil"/>
            </w:tcBorders>
            <w:vAlign w:val="center"/>
          </w:tcPr>
          <w:p w14:paraId="5D84E777">
            <w:pPr>
              <w:adjustRightInd w:val="0"/>
              <w:snapToGrid w:val="0"/>
              <w:jc w:val="center"/>
              <w:rPr>
                <w:rFonts w:hint="default" w:ascii="Times New Roman" w:hAnsi="Times New Roman" w:cs="Times New Roman" w:eastAsiaTheme="minorEastAsia"/>
                <w:color w:val="0000FF"/>
                <w:kern w:val="2"/>
                <w:sz w:val="21"/>
                <w:szCs w:val="21"/>
                <w:lang w:val="en-US" w:eastAsia="zh-CN" w:bidi="ar-SA"/>
              </w:rPr>
            </w:pPr>
            <w:r>
              <w:rPr>
                <w:rFonts w:ascii="Times New Roman" w:hAnsi="Times New Roman" w:cs="Times New Roman"/>
                <w:color w:val="0000FF"/>
                <w:sz w:val="21"/>
                <w:szCs w:val="21"/>
              </w:rPr>
              <w:t>无组织排放厂界达标情况</w:t>
            </w:r>
          </w:p>
        </w:tc>
      </w:tr>
    </w:tbl>
    <w:p w14:paraId="2E2C85B7">
      <w:pPr>
        <w:spacing w:line="240" w:lineRule="auto"/>
        <w:ind w:firstLine="0" w:firstLineChars="0"/>
        <w:rPr>
          <w:rFonts w:hint="default" w:ascii="Times New Roman" w:hAnsi="Times New Roman" w:cs="Times New Roman"/>
          <w:color w:val="0000FF"/>
          <w:sz w:val="22"/>
          <w:szCs w:val="22"/>
          <w:highlight w:val="none"/>
        </w:rPr>
        <w:sectPr>
          <w:headerReference r:id="rId25" w:type="default"/>
          <w:pgSz w:w="11907" w:h="16840"/>
          <w:pgMar w:top="1440" w:right="1800" w:bottom="1440" w:left="1800" w:header="851" w:footer="1077" w:gutter="0"/>
          <w:pgBorders w:offsetFrom="page">
            <w:top w:val="none" w:sz="0" w:space="0"/>
            <w:left w:val="none" w:sz="0" w:space="0"/>
            <w:bottom w:val="none" w:sz="0" w:space="0"/>
            <w:right w:val="none" w:sz="0" w:space="0"/>
          </w:pgBorders>
          <w:pgNumType w:fmt="decimal"/>
          <w:cols w:space="720" w:num="1"/>
          <w:docGrid w:type="lines" w:linePitch="479" w:charSpace="0"/>
        </w:sectPr>
      </w:pPr>
      <w:r>
        <w:rPr>
          <w:rFonts w:hint="default" w:ascii="Times New Roman" w:hAnsi="Times New Roman" w:cs="Times New Roman"/>
          <w:color w:val="0000FF"/>
          <w:sz w:val="22"/>
          <w:szCs w:val="22"/>
          <w:highlight w:val="none"/>
        </w:rPr>
        <w:t>注1：《环境影响评价技术导则 大气环境》（HJ2.2-2018）第5.1.2条规定“当建设项目排放的SO</w:t>
      </w:r>
      <w:r>
        <w:rPr>
          <w:rFonts w:hint="default" w:ascii="Times New Roman" w:hAnsi="Times New Roman" w:cs="Times New Roman"/>
          <w:color w:val="0000FF"/>
          <w:sz w:val="22"/>
          <w:szCs w:val="22"/>
          <w:highlight w:val="none"/>
          <w:vertAlign w:val="subscript"/>
        </w:rPr>
        <w:t>2</w:t>
      </w:r>
      <w:r>
        <w:rPr>
          <w:rFonts w:hint="default" w:ascii="Times New Roman" w:hAnsi="Times New Roman" w:cs="Times New Roman"/>
          <w:color w:val="0000FF"/>
          <w:sz w:val="22"/>
          <w:szCs w:val="22"/>
          <w:highlight w:val="none"/>
        </w:rPr>
        <w:t>和NOx年排放量大于或等于500t/a时，评价因子应增加二次PM2.5”，但是，本项目两者之和远小于500t/a，则无需考虑二次PM2.5。</w:t>
      </w:r>
    </w:p>
    <w:p w14:paraId="27687A75">
      <w:pPr>
        <w:adjustRightInd w:val="0"/>
        <w:snapToGrid w:val="0"/>
        <w:spacing w:line="360" w:lineRule="auto"/>
        <w:ind w:firstLine="480" w:firstLineChars="200"/>
        <w:rPr>
          <w:rFonts w:hint="default" w:ascii="Times New Roman" w:hAnsi="Times New Roman" w:eastAsia="宋体" w:cs="Times New Roman"/>
          <w:color w:val="0000FF"/>
          <w:kern w:val="2"/>
          <w:sz w:val="24"/>
          <w:szCs w:val="21"/>
          <w:highlight w:val="none"/>
          <w:lang w:val="en-US" w:eastAsia="zh-CN" w:bidi="ar-SA"/>
        </w:rPr>
      </w:pPr>
      <w:r>
        <w:rPr>
          <w:rFonts w:hint="default" w:ascii="Times New Roman" w:hAnsi="Times New Roman" w:eastAsia="宋体" w:cs="Times New Roman"/>
          <w:color w:val="0000FF"/>
          <w:kern w:val="2"/>
          <w:sz w:val="24"/>
          <w:szCs w:val="21"/>
          <w:highlight w:val="none"/>
          <w:lang w:val="en-US" w:eastAsia="zh-CN" w:bidi="ar-SA"/>
        </w:rPr>
        <w:t>②污染源排放清单</w:t>
      </w:r>
    </w:p>
    <w:p w14:paraId="19451392">
      <w:pPr>
        <w:adjustRightInd w:val="0"/>
        <w:snapToGrid w:val="0"/>
        <w:spacing w:line="360" w:lineRule="auto"/>
        <w:ind w:firstLine="480" w:firstLineChars="200"/>
        <w:rPr>
          <w:rFonts w:hint="default" w:ascii="Times New Roman" w:hAnsi="Times New Roman" w:eastAsia="宋体" w:cs="Times New Roman"/>
          <w:color w:val="0000FF"/>
          <w:kern w:val="2"/>
          <w:sz w:val="24"/>
          <w:szCs w:val="21"/>
          <w:highlight w:val="none"/>
          <w:lang w:val="en-US" w:eastAsia="zh-CN" w:bidi="ar-SA"/>
        </w:rPr>
      </w:pPr>
      <w:r>
        <w:rPr>
          <w:rFonts w:hint="default" w:ascii="Times New Roman" w:hAnsi="Times New Roman" w:eastAsia="宋体" w:cs="Times New Roman"/>
          <w:color w:val="0000FF"/>
          <w:kern w:val="2"/>
          <w:sz w:val="24"/>
          <w:szCs w:val="21"/>
          <w:highlight w:val="none"/>
          <w:lang w:val="en-US" w:eastAsia="zh-CN" w:bidi="ar-SA"/>
        </w:rPr>
        <w:t>本项目新增正常排放源强、新增非正常排放源强，涉及“以新带老”污染源排放源强，本项目评价范围内不涉及在建和拟建项目源强、区域削减源强。本项目涉及源强详见</w:t>
      </w:r>
      <w:r>
        <w:rPr>
          <w:rFonts w:hint="eastAsia" w:ascii="Times New Roman" w:hAnsi="Times New Roman" w:eastAsia="宋体" w:cs="Times New Roman"/>
          <w:color w:val="0000FF"/>
          <w:kern w:val="2"/>
          <w:sz w:val="24"/>
          <w:szCs w:val="21"/>
          <w:highlight w:val="none"/>
          <w:lang w:val="en-US" w:eastAsia="zh-CN" w:bidi="ar-SA"/>
        </w:rPr>
        <w:t>下</w:t>
      </w:r>
      <w:r>
        <w:rPr>
          <w:rFonts w:hint="default" w:ascii="Times New Roman" w:hAnsi="Times New Roman" w:eastAsia="宋体" w:cs="Times New Roman"/>
          <w:color w:val="0000FF"/>
          <w:kern w:val="2"/>
          <w:sz w:val="24"/>
          <w:szCs w:val="21"/>
          <w:highlight w:val="none"/>
          <w:lang w:val="en-US" w:eastAsia="zh-CN" w:bidi="ar-SA"/>
        </w:rPr>
        <w:t>表。</w:t>
      </w:r>
    </w:p>
    <w:p w14:paraId="61890EE3">
      <w:pPr>
        <w:tabs>
          <w:tab w:val="left" w:pos="851"/>
          <w:tab w:val="left" w:pos="1141"/>
          <w:tab w:val="left" w:pos="4335"/>
        </w:tabs>
        <w:jc w:val="center"/>
        <w:rPr>
          <w:rFonts w:ascii="Times New Roman" w:hAnsi="Times New Roman" w:eastAsia="黑体" w:cs="Times New Roman"/>
          <w:color w:val="0000FF"/>
        </w:rPr>
      </w:pPr>
      <w:r>
        <w:rPr>
          <w:rFonts w:ascii="Times New Roman" w:hAnsi="Times New Roman" w:eastAsia="黑体" w:cs="Times New Roman"/>
          <w:color w:val="0000FF"/>
        </w:rPr>
        <w:t>表</w:t>
      </w:r>
      <w:r>
        <w:rPr>
          <w:rFonts w:hint="eastAsia" w:ascii="Times New Roman" w:hAnsi="Times New Roman" w:eastAsia="黑体" w:cs="Times New Roman"/>
          <w:color w:val="0000FF"/>
        </w:rPr>
        <w:t>5</w:t>
      </w:r>
      <w:r>
        <w:rPr>
          <w:rFonts w:ascii="Times New Roman" w:hAnsi="Times New Roman" w:eastAsia="黑体" w:cs="Times New Roman"/>
          <w:color w:val="0000FF"/>
        </w:rPr>
        <w:t>.1-</w:t>
      </w:r>
      <w:r>
        <w:rPr>
          <w:rFonts w:hint="eastAsia" w:ascii="Times New Roman" w:hAnsi="Times New Roman" w:eastAsia="黑体" w:cs="Times New Roman"/>
          <w:color w:val="0000FF"/>
          <w:lang w:val="en-US" w:eastAsia="zh-CN"/>
        </w:rPr>
        <w:t>15</w:t>
      </w:r>
      <w:r>
        <w:rPr>
          <w:rFonts w:ascii="Times New Roman" w:hAnsi="Times New Roman" w:eastAsia="黑体" w:cs="Times New Roman"/>
          <w:color w:val="0000FF"/>
        </w:rPr>
        <w:t xml:space="preserve">  </w:t>
      </w:r>
      <w:r>
        <w:rPr>
          <w:rFonts w:hint="eastAsia" w:ascii="Times New Roman" w:hAnsi="Times New Roman" w:eastAsia="黑体" w:cs="Times New Roman"/>
          <w:color w:val="0000FF"/>
        </w:rPr>
        <w:t>本项目大气环境影响预测污染源强</w:t>
      </w:r>
    </w:p>
    <w:tbl>
      <w:tblPr>
        <w:tblStyle w:val="56"/>
        <w:tblW w:w="4998" w:type="pct"/>
        <w:tblInd w:w="0" w:type="dxa"/>
        <w:tblBorders>
          <w:top w:val="thinThickSmallGap" w:color="000000" w:sz="12" w:space="0"/>
          <w:left w:val="none" w:color="auto" w:sz="0" w:space="0"/>
          <w:bottom w:val="thinThickSmallGap" w:color="000000" w:sz="12" w:space="0"/>
          <w:right w:val="none" w:color="auto" w:sz="0" w:space="0"/>
          <w:insideH w:val="single" w:color="000000" w:sz="4" w:space="0"/>
          <w:insideV w:val="single" w:color="000000" w:sz="4" w:space="0"/>
        </w:tblBorders>
        <w:shd w:val="clear" w:color="auto" w:fill="auto"/>
        <w:tblLayout w:type="autofit"/>
        <w:tblCellMar>
          <w:top w:w="0" w:type="dxa"/>
          <w:left w:w="108" w:type="dxa"/>
          <w:bottom w:w="0" w:type="dxa"/>
          <w:right w:w="108" w:type="dxa"/>
        </w:tblCellMar>
      </w:tblPr>
      <w:tblGrid>
        <w:gridCol w:w="660"/>
        <w:gridCol w:w="1476"/>
        <w:gridCol w:w="515"/>
        <w:gridCol w:w="630"/>
        <w:gridCol w:w="1256"/>
        <w:gridCol w:w="672"/>
        <w:gridCol w:w="707"/>
        <w:gridCol w:w="901"/>
        <w:gridCol w:w="901"/>
        <w:gridCol w:w="901"/>
        <w:gridCol w:w="1125"/>
        <w:gridCol w:w="1125"/>
        <w:gridCol w:w="901"/>
        <w:gridCol w:w="732"/>
        <w:gridCol w:w="1147"/>
      </w:tblGrid>
      <w:tr w14:paraId="03FD22F4">
        <w:tblPrEx>
          <w:tblBorders>
            <w:top w:val="thinThickSmallGap" w:color="000000" w:sz="12" w:space="0"/>
            <w:left w:val="none" w:color="auto" w:sz="0" w:space="0"/>
            <w:bottom w:val="thinThickSmallGap" w:color="000000" w:sz="12" w:space="0"/>
            <w:right w:val="none" w:color="auto" w:sz="0"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397" w:hRule="atLeast"/>
        </w:trPr>
        <w:tc>
          <w:tcPr>
            <w:tcW w:w="242" w:type="pct"/>
            <w:vMerge w:val="restart"/>
            <w:tcBorders>
              <w:tl2br w:val="nil"/>
              <w:tr2bl w:val="nil"/>
            </w:tcBorders>
            <w:shd w:val="clear" w:color="auto" w:fill="auto"/>
            <w:vAlign w:val="center"/>
          </w:tcPr>
          <w:p w14:paraId="1FD06AC3">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00"/>
                <w:sz w:val="21"/>
                <w:szCs w:val="21"/>
                <w:u w:val="none"/>
              </w:rPr>
            </w:pPr>
            <w:bookmarkStart w:id="453" w:name="_Toc90026297"/>
            <w:r>
              <w:rPr>
                <w:rFonts w:hint="default" w:ascii="Times New Roman" w:hAnsi="Times New Roman" w:eastAsia="宋体" w:cs="Times New Roman"/>
                <w:sz w:val="21"/>
                <w:szCs w:val="21"/>
                <w:lang w:val="en-US" w:eastAsia="zh-CN" w:bidi="ar"/>
              </w:rPr>
              <w:t>类型</w:t>
            </w:r>
          </w:p>
        </w:tc>
        <w:tc>
          <w:tcPr>
            <w:tcW w:w="541" w:type="pct"/>
            <w:vMerge w:val="restart"/>
            <w:tcBorders>
              <w:tl2br w:val="nil"/>
              <w:tr2bl w:val="nil"/>
            </w:tcBorders>
            <w:shd w:val="clear" w:color="auto" w:fill="auto"/>
            <w:vAlign w:val="center"/>
          </w:tcPr>
          <w:p w14:paraId="077A4CBB">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sz w:val="21"/>
                <w:szCs w:val="21"/>
                <w:lang w:val="en-US" w:eastAsia="zh-CN" w:bidi="ar"/>
              </w:rPr>
            </w:pPr>
            <w:r>
              <w:rPr>
                <w:rFonts w:hint="default" w:ascii="Times New Roman" w:hAnsi="Times New Roman" w:eastAsia="宋体" w:cs="Times New Roman"/>
                <w:sz w:val="21"/>
                <w:szCs w:val="21"/>
                <w:lang w:val="en-US" w:eastAsia="zh-CN" w:bidi="ar"/>
              </w:rPr>
              <w:t>污染源</w:t>
            </w:r>
          </w:p>
          <w:p w14:paraId="07FB5920">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sz w:val="21"/>
                <w:szCs w:val="21"/>
                <w:lang w:val="en-US" w:eastAsia="zh-CN" w:bidi="ar"/>
              </w:rPr>
              <w:t>名称</w:t>
            </w:r>
          </w:p>
        </w:tc>
        <w:tc>
          <w:tcPr>
            <w:tcW w:w="1385" w:type="pct"/>
            <w:gridSpan w:val="5"/>
            <w:tcBorders>
              <w:tl2br w:val="nil"/>
              <w:tr2bl w:val="nil"/>
            </w:tcBorders>
            <w:shd w:val="clear" w:color="auto" w:fill="auto"/>
            <w:vAlign w:val="center"/>
          </w:tcPr>
          <w:p w14:paraId="76AA2869">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sz w:val="21"/>
                <w:szCs w:val="21"/>
                <w:lang w:val="en-US" w:eastAsia="zh-CN" w:bidi="ar"/>
              </w:rPr>
              <w:t>排气筒参数（</w:t>
            </w:r>
            <w:r>
              <w:rPr>
                <w:rStyle w:val="541"/>
                <w:rFonts w:hint="default" w:ascii="Times New Roman" w:hAnsi="Times New Roman" w:eastAsia="宋体" w:cs="Times New Roman"/>
                <w:sz w:val="21"/>
                <w:szCs w:val="21"/>
                <w:lang w:val="en-US" w:eastAsia="zh-CN" w:bidi="ar"/>
              </w:rPr>
              <w:t>m</w:t>
            </w:r>
            <w:r>
              <w:rPr>
                <w:rFonts w:hint="default" w:ascii="Times New Roman" w:hAnsi="Times New Roman" w:eastAsia="宋体" w:cs="Times New Roman"/>
                <w:sz w:val="21"/>
                <w:szCs w:val="21"/>
                <w:lang w:val="en-US" w:eastAsia="zh-CN" w:bidi="ar"/>
              </w:rPr>
              <w:t>）</w:t>
            </w:r>
          </w:p>
        </w:tc>
        <w:tc>
          <w:tcPr>
            <w:tcW w:w="330" w:type="pct"/>
            <w:vMerge w:val="restart"/>
            <w:tcBorders>
              <w:tl2br w:val="nil"/>
              <w:tr2bl w:val="nil"/>
            </w:tcBorders>
            <w:shd w:val="clear" w:color="auto" w:fill="auto"/>
            <w:vAlign w:val="center"/>
          </w:tcPr>
          <w:p w14:paraId="2253BA63">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sz w:val="21"/>
                <w:szCs w:val="21"/>
                <w:lang w:val="en-US" w:eastAsia="zh-CN" w:bidi="ar"/>
              </w:rPr>
            </w:pPr>
            <w:r>
              <w:rPr>
                <w:rFonts w:hint="default" w:ascii="Times New Roman" w:hAnsi="Times New Roman" w:eastAsia="宋体" w:cs="Times New Roman"/>
                <w:sz w:val="21"/>
                <w:szCs w:val="21"/>
                <w:lang w:val="en-US" w:eastAsia="zh-CN" w:bidi="ar"/>
              </w:rPr>
              <w:t>温度</w:t>
            </w:r>
          </w:p>
          <w:p w14:paraId="032AA4B0">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00"/>
                <w:sz w:val="21"/>
                <w:szCs w:val="21"/>
                <w:u w:val="none"/>
              </w:rPr>
            </w:pPr>
            <w:r>
              <w:rPr>
                <w:rStyle w:val="541"/>
                <w:rFonts w:hint="default" w:ascii="Times New Roman" w:hAnsi="Times New Roman" w:eastAsia="宋体" w:cs="Times New Roman"/>
                <w:sz w:val="21"/>
                <w:szCs w:val="21"/>
                <w:lang w:val="en-US" w:eastAsia="zh-CN" w:bidi="ar"/>
              </w:rPr>
              <w:t>℃</w:t>
            </w:r>
          </w:p>
        </w:tc>
        <w:tc>
          <w:tcPr>
            <w:tcW w:w="330" w:type="pct"/>
            <w:vMerge w:val="restart"/>
            <w:tcBorders>
              <w:tl2br w:val="nil"/>
              <w:tr2bl w:val="nil"/>
            </w:tcBorders>
            <w:shd w:val="clear" w:color="auto" w:fill="auto"/>
            <w:vAlign w:val="center"/>
          </w:tcPr>
          <w:p w14:paraId="6F303464">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sz w:val="21"/>
                <w:szCs w:val="21"/>
                <w:lang w:val="en-US" w:eastAsia="zh-CN" w:bidi="ar"/>
              </w:rPr>
            </w:pPr>
            <w:r>
              <w:rPr>
                <w:rFonts w:hint="default" w:ascii="Times New Roman" w:hAnsi="Times New Roman" w:eastAsia="宋体" w:cs="Times New Roman"/>
                <w:sz w:val="21"/>
                <w:szCs w:val="21"/>
                <w:lang w:val="en-US" w:eastAsia="zh-CN" w:bidi="ar"/>
              </w:rPr>
              <w:t>烟气量</w:t>
            </w:r>
          </w:p>
          <w:p w14:paraId="7BC60B70">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00"/>
                <w:sz w:val="21"/>
                <w:szCs w:val="21"/>
                <w:u w:val="none"/>
              </w:rPr>
            </w:pPr>
            <w:r>
              <w:rPr>
                <w:rStyle w:val="541"/>
                <w:rFonts w:hint="default" w:ascii="Times New Roman" w:hAnsi="Times New Roman" w:eastAsia="宋体" w:cs="Times New Roman"/>
                <w:sz w:val="21"/>
                <w:szCs w:val="21"/>
                <w:lang w:val="en-US" w:eastAsia="zh-CN" w:bidi="ar"/>
              </w:rPr>
              <w:t>Nm</w:t>
            </w:r>
            <w:r>
              <w:rPr>
                <w:rStyle w:val="502"/>
                <w:rFonts w:hint="default" w:ascii="Times New Roman" w:hAnsi="Times New Roman" w:eastAsia="宋体" w:cs="Times New Roman"/>
                <w:sz w:val="21"/>
                <w:szCs w:val="21"/>
                <w:lang w:val="en-US" w:eastAsia="zh-CN" w:bidi="ar"/>
              </w:rPr>
              <w:t>3</w:t>
            </w:r>
            <w:r>
              <w:rPr>
                <w:rStyle w:val="541"/>
                <w:rFonts w:hint="default" w:ascii="Times New Roman" w:hAnsi="Times New Roman" w:eastAsia="宋体" w:cs="Times New Roman"/>
                <w:sz w:val="21"/>
                <w:szCs w:val="21"/>
                <w:lang w:val="en-US" w:eastAsia="zh-CN" w:bidi="ar"/>
              </w:rPr>
              <w:t>/h</w:t>
            </w:r>
          </w:p>
        </w:tc>
        <w:tc>
          <w:tcPr>
            <w:tcW w:w="2170" w:type="pct"/>
            <w:gridSpan w:val="6"/>
            <w:tcBorders>
              <w:tl2br w:val="nil"/>
              <w:tr2bl w:val="nil"/>
            </w:tcBorders>
            <w:shd w:val="clear" w:color="auto" w:fill="auto"/>
            <w:vAlign w:val="center"/>
          </w:tcPr>
          <w:p w14:paraId="0F3672FC">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sz w:val="21"/>
                <w:szCs w:val="21"/>
                <w:lang w:val="en-US" w:eastAsia="zh-CN" w:bidi="ar"/>
              </w:rPr>
              <w:t>估算因子（</w:t>
            </w:r>
            <w:r>
              <w:rPr>
                <w:rStyle w:val="541"/>
                <w:rFonts w:hint="default" w:ascii="Times New Roman" w:hAnsi="Times New Roman" w:eastAsia="宋体" w:cs="Times New Roman"/>
                <w:sz w:val="21"/>
                <w:szCs w:val="21"/>
                <w:lang w:val="en-US" w:eastAsia="zh-CN" w:bidi="ar"/>
              </w:rPr>
              <w:t>kg/h</w:t>
            </w:r>
            <w:r>
              <w:rPr>
                <w:rFonts w:hint="default" w:ascii="Times New Roman" w:hAnsi="Times New Roman" w:eastAsia="宋体" w:cs="Times New Roman"/>
                <w:sz w:val="21"/>
                <w:szCs w:val="21"/>
                <w:lang w:val="en-US" w:eastAsia="zh-CN" w:bidi="ar"/>
              </w:rPr>
              <w:t>）</w:t>
            </w:r>
          </w:p>
        </w:tc>
      </w:tr>
      <w:tr w14:paraId="5568C8D8">
        <w:tblPrEx>
          <w:tblBorders>
            <w:top w:val="thinThickSmallGap" w:color="000000" w:sz="12" w:space="0"/>
            <w:left w:val="none" w:color="auto" w:sz="0" w:space="0"/>
            <w:bottom w:val="thinThickSmallGap"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97" w:hRule="atLeast"/>
        </w:trPr>
        <w:tc>
          <w:tcPr>
            <w:tcW w:w="242" w:type="pct"/>
            <w:vMerge w:val="continue"/>
            <w:tcBorders>
              <w:tl2br w:val="nil"/>
              <w:tr2bl w:val="nil"/>
            </w:tcBorders>
            <w:shd w:val="clear" w:color="auto" w:fill="auto"/>
            <w:vAlign w:val="center"/>
          </w:tcPr>
          <w:p w14:paraId="121E623C">
            <w:pPr>
              <w:keepNext w:val="0"/>
              <w:keepLines w:val="0"/>
              <w:pageBreakBefore w:val="0"/>
              <w:widowControl/>
              <w:kinsoku/>
              <w:wordWrap/>
              <w:overflowPunct/>
              <w:topLinePunct w:val="0"/>
              <w:autoSpaceDE/>
              <w:autoSpaceDN/>
              <w:bidi w:val="0"/>
              <w:adjustRightInd w:val="0"/>
              <w:snapToGrid w:val="0"/>
              <w:spacing w:line="240" w:lineRule="auto"/>
              <w:jc w:val="center"/>
              <w:rPr>
                <w:rFonts w:hint="default" w:ascii="Times New Roman" w:hAnsi="Times New Roman" w:eastAsia="宋体" w:cs="Times New Roman"/>
                <w:i w:val="0"/>
                <w:iCs w:val="0"/>
                <w:color w:val="000000"/>
                <w:sz w:val="21"/>
                <w:szCs w:val="21"/>
                <w:u w:val="none"/>
              </w:rPr>
            </w:pPr>
          </w:p>
        </w:tc>
        <w:tc>
          <w:tcPr>
            <w:tcW w:w="541" w:type="pct"/>
            <w:vMerge w:val="continue"/>
            <w:tcBorders>
              <w:tl2br w:val="nil"/>
              <w:tr2bl w:val="nil"/>
            </w:tcBorders>
            <w:shd w:val="clear" w:color="auto" w:fill="auto"/>
            <w:vAlign w:val="center"/>
          </w:tcPr>
          <w:p w14:paraId="1D3E9A78">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00"/>
                <w:sz w:val="21"/>
                <w:szCs w:val="21"/>
                <w:u w:val="none"/>
              </w:rPr>
            </w:pPr>
          </w:p>
        </w:tc>
        <w:tc>
          <w:tcPr>
            <w:tcW w:w="189" w:type="pct"/>
            <w:tcBorders>
              <w:tl2br w:val="nil"/>
              <w:tr2bl w:val="nil"/>
            </w:tcBorders>
            <w:shd w:val="clear" w:color="auto" w:fill="auto"/>
            <w:vAlign w:val="center"/>
          </w:tcPr>
          <w:p w14:paraId="6C2CAF9A">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00"/>
                <w:sz w:val="21"/>
                <w:szCs w:val="21"/>
                <w:u w:val="none"/>
              </w:rPr>
            </w:pPr>
            <w:r>
              <w:rPr>
                <w:rStyle w:val="541"/>
                <w:rFonts w:hint="default" w:ascii="Times New Roman" w:hAnsi="Times New Roman" w:eastAsia="宋体" w:cs="Times New Roman"/>
                <w:sz w:val="21"/>
                <w:szCs w:val="21"/>
                <w:lang w:val="en-US" w:eastAsia="zh-CN" w:bidi="ar"/>
              </w:rPr>
              <w:t>X</w:t>
            </w:r>
          </w:p>
        </w:tc>
        <w:tc>
          <w:tcPr>
            <w:tcW w:w="231" w:type="pct"/>
            <w:tcBorders>
              <w:tl2br w:val="nil"/>
              <w:tr2bl w:val="nil"/>
            </w:tcBorders>
            <w:shd w:val="clear" w:color="auto" w:fill="auto"/>
            <w:vAlign w:val="center"/>
          </w:tcPr>
          <w:p w14:paraId="4267B1D3">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00"/>
                <w:sz w:val="21"/>
                <w:szCs w:val="21"/>
                <w:u w:val="none"/>
              </w:rPr>
            </w:pPr>
            <w:r>
              <w:rPr>
                <w:rStyle w:val="541"/>
                <w:rFonts w:hint="default" w:ascii="Times New Roman" w:hAnsi="Times New Roman" w:eastAsia="宋体" w:cs="Times New Roman"/>
                <w:sz w:val="21"/>
                <w:szCs w:val="21"/>
                <w:lang w:val="en-US" w:eastAsia="zh-CN" w:bidi="ar"/>
              </w:rPr>
              <w:t>Y</w:t>
            </w:r>
          </w:p>
        </w:tc>
        <w:tc>
          <w:tcPr>
            <w:tcW w:w="460" w:type="pct"/>
            <w:tcBorders>
              <w:tl2br w:val="nil"/>
              <w:tr2bl w:val="nil"/>
            </w:tcBorders>
            <w:shd w:val="clear" w:color="auto" w:fill="auto"/>
            <w:vAlign w:val="center"/>
          </w:tcPr>
          <w:p w14:paraId="1B372D56">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00"/>
                <w:sz w:val="21"/>
                <w:szCs w:val="21"/>
                <w:u w:val="none"/>
              </w:rPr>
            </w:pPr>
            <w:r>
              <w:rPr>
                <w:rStyle w:val="541"/>
                <w:rFonts w:hint="default" w:ascii="Times New Roman" w:hAnsi="Times New Roman" w:eastAsia="宋体" w:cs="Times New Roman"/>
                <w:sz w:val="21"/>
                <w:szCs w:val="21"/>
                <w:lang w:val="en-US" w:eastAsia="zh-CN" w:bidi="ar"/>
              </w:rPr>
              <w:t>Z</w:t>
            </w:r>
            <w:r>
              <w:rPr>
                <w:rFonts w:hint="default" w:ascii="Times New Roman" w:hAnsi="Times New Roman" w:eastAsia="宋体" w:cs="Times New Roman"/>
                <w:sz w:val="21"/>
                <w:szCs w:val="21"/>
                <w:lang w:val="en-US" w:eastAsia="zh-CN" w:bidi="ar"/>
              </w:rPr>
              <w:t>（高程）</w:t>
            </w:r>
          </w:p>
        </w:tc>
        <w:tc>
          <w:tcPr>
            <w:tcW w:w="246" w:type="pct"/>
            <w:tcBorders>
              <w:tl2br w:val="nil"/>
              <w:tr2bl w:val="nil"/>
            </w:tcBorders>
            <w:shd w:val="clear" w:color="auto" w:fill="auto"/>
            <w:vAlign w:val="center"/>
          </w:tcPr>
          <w:p w14:paraId="4805C1B9">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sz w:val="21"/>
                <w:szCs w:val="21"/>
                <w:lang w:val="en-US" w:eastAsia="zh-CN" w:bidi="ar"/>
              </w:rPr>
              <w:t>高度</w:t>
            </w:r>
          </w:p>
        </w:tc>
        <w:tc>
          <w:tcPr>
            <w:tcW w:w="257" w:type="pct"/>
            <w:tcBorders>
              <w:tl2br w:val="nil"/>
              <w:tr2bl w:val="nil"/>
            </w:tcBorders>
            <w:shd w:val="clear" w:color="auto" w:fill="auto"/>
            <w:vAlign w:val="center"/>
          </w:tcPr>
          <w:p w14:paraId="0106428C">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sz w:val="21"/>
                <w:szCs w:val="21"/>
                <w:lang w:val="en-US" w:eastAsia="zh-CN" w:bidi="ar"/>
              </w:rPr>
              <w:t>内径</w:t>
            </w:r>
          </w:p>
        </w:tc>
        <w:tc>
          <w:tcPr>
            <w:tcW w:w="330" w:type="pct"/>
            <w:vMerge w:val="continue"/>
            <w:tcBorders>
              <w:tl2br w:val="nil"/>
              <w:tr2bl w:val="nil"/>
            </w:tcBorders>
            <w:shd w:val="clear" w:color="auto" w:fill="auto"/>
            <w:vAlign w:val="center"/>
          </w:tcPr>
          <w:p w14:paraId="73664E5A">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00"/>
                <w:sz w:val="21"/>
                <w:szCs w:val="21"/>
                <w:u w:val="none"/>
              </w:rPr>
            </w:pPr>
          </w:p>
        </w:tc>
        <w:tc>
          <w:tcPr>
            <w:tcW w:w="330" w:type="pct"/>
            <w:vMerge w:val="continue"/>
            <w:tcBorders>
              <w:tl2br w:val="nil"/>
              <w:tr2bl w:val="nil"/>
            </w:tcBorders>
            <w:shd w:val="clear" w:color="auto" w:fill="auto"/>
            <w:vAlign w:val="center"/>
          </w:tcPr>
          <w:p w14:paraId="7334BB09">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00"/>
                <w:sz w:val="21"/>
                <w:szCs w:val="21"/>
                <w:u w:val="none"/>
              </w:rPr>
            </w:pPr>
          </w:p>
        </w:tc>
        <w:tc>
          <w:tcPr>
            <w:tcW w:w="330" w:type="pct"/>
            <w:tcBorders>
              <w:tl2br w:val="nil"/>
              <w:tr2bl w:val="nil"/>
            </w:tcBorders>
            <w:shd w:val="clear" w:color="auto" w:fill="auto"/>
            <w:vAlign w:val="center"/>
          </w:tcPr>
          <w:p w14:paraId="275014D0">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sz w:val="21"/>
                <w:szCs w:val="21"/>
                <w:lang w:val="en-US" w:eastAsia="zh-CN" w:bidi="ar"/>
              </w:rPr>
              <w:t>颗粒物</w:t>
            </w:r>
          </w:p>
        </w:tc>
        <w:tc>
          <w:tcPr>
            <w:tcW w:w="412" w:type="pct"/>
            <w:tcBorders>
              <w:tl2br w:val="nil"/>
              <w:tr2bl w:val="nil"/>
            </w:tcBorders>
            <w:shd w:val="clear" w:color="auto" w:fill="auto"/>
            <w:vAlign w:val="center"/>
          </w:tcPr>
          <w:p w14:paraId="05CFD30A">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sz w:val="21"/>
                <w:szCs w:val="21"/>
                <w:lang w:val="en-US" w:eastAsia="zh-CN" w:bidi="ar"/>
              </w:rPr>
              <w:t>二氧化硫</w:t>
            </w:r>
          </w:p>
        </w:tc>
        <w:tc>
          <w:tcPr>
            <w:tcW w:w="412" w:type="pct"/>
            <w:tcBorders>
              <w:tl2br w:val="nil"/>
              <w:tr2bl w:val="nil"/>
            </w:tcBorders>
            <w:shd w:val="clear" w:color="auto" w:fill="auto"/>
            <w:vAlign w:val="center"/>
          </w:tcPr>
          <w:p w14:paraId="69F53919">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sz w:val="21"/>
                <w:szCs w:val="21"/>
                <w:lang w:val="en-US" w:eastAsia="zh-CN" w:bidi="ar"/>
              </w:rPr>
              <w:t>氮氧化物</w:t>
            </w:r>
          </w:p>
        </w:tc>
        <w:tc>
          <w:tcPr>
            <w:tcW w:w="330" w:type="pct"/>
            <w:tcBorders>
              <w:tl2br w:val="nil"/>
              <w:tr2bl w:val="nil"/>
            </w:tcBorders>
            <w:shd w:val="clear" w:color="auto" w:fill="auto"/>
            <w:vAlign w:val="center"/>
          </w:tcPr>
          <w:p w14:paraId="7A2F6651">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sz w:val="21"/>
                <w:szCs w:val="21"/>
                <w:lang w:val="en-US" w:eastAsia="zh-CN" w:bidi="ar"/>
              </w:rPr>
              <w:t>氟化物</w:t>
            </w:r>
          </w:p>
        </w:tc>
        <w:tc>
          <w:tcPr>
            <w:tcW w:w="268" w:type="pct"/>
            <w:tcBorders>
              <w:tl2br w:val="nil"/>
              <w:tr2bl w:val="nil"/>
            </w:tcBorders>
            <w:shd w:val="clear" w:color="auto" w:fill="auto"/>
            <w:vAlign w:val="center"/>
          </w:tcPr>
          <w:p w14:paraId="3589E381">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sz w:val="21"/>
                <w:szCs w:val="21"/>
                <w:lang w:val="en-US" w:eastAsia="zh-CN" w:bidi="ar"/>
              </w:rPr>
              <w:t>氨</w:t>
            </w:r>
          </w:p>
        </w:tc>
        <w:tc>
          <w:tcPr>
            <w:tcW w:w="417" w:type="pct"/>
            <w:tcBorders>
              <w:tl2br w:val="nil"/>
              <w:tr2bl w:val="nil"/>
            </w:tcBorders>
            <w:shd w:val="clear" w:color="auto" w:fill="auto"/>
            <w:vAlign w:val="center"/>
          </w:tcPr>
          <w:p w14:paraId="6E7E2F09">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sz w:val="21"/>
                <w:szCs w:val="21"/>
                <w:lang w:val="en-US" w:eastAsia="zh-CN" w:bidi="ar"/>
              </w:rPr>
              <w:t>二噁英</w:t>
            </w:r>
          </w:p>
        </w:tc>
      </w:tr>
      <w:tr w14:paraId="4EE2C369">
        <w:tblPrEx>
          <w:tblBorders>
            <w:top w:val="thinThickSmallGap" w:color="000000" w:sz="12" w:space="0"/>
            <w:left w:val="none" w:color="auto" w:sz="0" w:space="0"/>
            <w:bottom w:val="thinThickSmallGap" w:color="000000" w:sz="12" w:space="0"/>
            <w:right w:val="none" w:color="auto" w:sz="0"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397" w:hRule="atLeast"/>
        </w:trPr>
        <w:tc>
          <w:tcPr>
            <w:tcW w:w="5000" w:type="pct"/>
            <w:gridSpan w:val="15"/>
            <w:tcBorders>
              <w:tl2br w:val="nil"/>
              <w:tr2bl w:val="nil"/>
            </w:tcBorders>
            <w:shd w:val="clear" w:color="auto" w:fill="auto"/>
            <w:vAlign w:val="center"/>
          </w:tcPr>
          <w:p w14:paraId="55CDE242">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sz w:val="21"/>
                <w:szCs w:val="21"/>
                <w:lang w:val="en-US" w:eastAsia="zh-CN" w:bidi="ar"/>
              </w:rPr>
              <w:t>本项目新增污染源（正常工况）</w:t>
            </w:r>
          </w:p>
        </w:tc>
      </w:tr>
      <w:tr w14:paraId="0215095D">
        <w:tblPrEx>
          <w:tblBorders>
            <w:top w:val="thinThickSmallGap" w:color="000000" w:sz="12" w:space="0"/>
            <w:left w:val="none" w:color="auto" w:sz="0" w:space="0"/>
            <w:bottom w:val="thinThickSmallGap" w:color="000000" w:sz="12" w:space="0"/>
            <w:right w:val="none" w:color="auto" w:sz="0"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397" w:hRule="atLeast"/>
        </w:trPr>
        <w:tc>
          <w:tcPr>
            <w:tcW w:w="242" w:type="pct"/>
            <w:vMerge w:val="restart"/>
            <w:tcBorders>
              <w:tl2br w:val="nil"/>
              <w:tr2bl w:val="nil"/>
            </w:tcBorders>
            <w:shd w:val="clear" w:color="auto" w:fill="auto"/>
            <w:vAlign w:val="center"/>
          </w:tcPr>
          <w:p w14:paraId="131F10F5">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sz w:val="21"/>
                <w:szCs w:val="21"/>
                <w:lang w:val="en-US" w:eastAsia="zh-CN" w:bidi="ar"/>
              </w:rPr>
              <w:t>点源</w:t>
            </w:r>
          </w:p>
        </w:tc>
        <w:tc>
          <w:tcPr>
            <w:tcW w:w="541" w:type="pct"/>
            <w:tcBorders>
              <w:tl2br w:val="nil"/>
              <w:tr2bl w:val="nil"/>
            </w:tcBorders>
            <w:shd w:val="clear" w:color="auto" w:fill="auto"/>
            <w:vAlign w:val="center"/>
          </w:tcPr>
          <w:p w14:paraId="1C067C71">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FF0000"/>
                <w:sz w:val="21"/>
                <w:szCs w:val="21"/>
                <w:u w:val="none"/>
              </w:rPr>
            </w:pPr>
            <w:r>
              <w:rPr>
                <w:rStyle w:val="464"/>
                <w:rFonts w:hint="default" w:ascii="Times New Roman" w:hAnsi="Times New Roman" w:eastAsia="宋体" w:cs="Times New Roman"/>
                <w:sz w:val="21"/>
                <w:szCs w:val="21"/>
                <w:lang w:val="en-US" w:eastAsia="zh-CN" w:bidi="ar"/>
              </w:rPr>
              <w:t>DA002</w:t>
            </w:r>
          </w:p>
        </w:tc>
        <w:tc>
          <w:tcPr>
            <w:tcW w:w="189" w:type="pct"/>
            <w:tcBorders>
              <w:tl2br w:val="nil"/>
              <w:tr2bl w:val="nil"/>
            </w:tcBorders>
            <w:shd w:val="clear" w:color="auto" w:fill="auto"/>
            <w:vAlign w:val="center"/>
          </w:tcPr>
          <w:p w14:paraId="497E51B7">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top"/>
              <w:rPr>
                <w:rFonts w:hint="default" w:ascii="Times New Roman" w:hAnsi="Times New Roman" w:eastAsia="宋体" w:cs="Times New Roman"/>
                <w:i w:val="0"/>
                <w:iCs w:val="0"/>
                <w:color w:val="75BD42"/>
                <w:sz w:val="21"/>
                <w:szCs w:val="21"/>
                <w:u w:val="none"/>
              </w:rPr>
            </w:pPr>
            <w:r>
              <w:rPr>
                <w:rFonts w:hint="default" w:ascii="Times New Roman" w:hAnsi="Times New Roman" w:eastAsia="宋体" w:cs="Times New Roman"/>
                <w:i w:val="0"/>
                <w:iCs w:val="0"/>
                <w:color w:val="75BD42"/>
                <w:kern w:val="0"/>
                <w:sz w:val="21"/>
                <w:szCs w:val="21"/>
                <w:u w:val="none"/>
                <w:lang w:val="en-US" w:eastAsia="zh-CN" w:bidi="ar"/>
              </w:rPr>
              <w:t>3</w:t>
            </w:r>
          </w:p>
        </w:tc>
        <w:tc>
          <w:tcPr>
            <w:tcW w:w="231" w:type="pct"/>
            <w:tcBorders>
              <w:tl2br w:val="nil"/>
              <w:tr2bl w:val="nil"/>
            </w:tcBorders>
            <w:shd w:val="clear" w:color="auto" w:fill="auto"/>
            <w:vAlign w:val="center"/>
          </w:tcPr>
          <w:p w14:paraId="2D4C48C5">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top"/>
              <w:rPr>
                <w:rFonts w:hint="default" w:ascii="Times New Roman" w:hAnsi="Times New Roman" w:eastAsia="宋体" w:cs="Times New Roman"/>
                <w:i w:val="0"/>
                <w:iCs w:val="0"/>
                <w:color w:val="75BD42"/>
                <w:sz w:val="21"/>
                <w:szCs w:val="21"/>
                <w:u w:val="none"/>
              </w:rPr>
            </w:pPr>
            <w:r>
              <w:rPr>
                <w:rFonts w:hint="default" w:ascii="Times New Roman" w:hAnsi="Times New Roman" w:eastAsia="宋体" w:cs="Times New Roman"/>
                <w:i w:val="0"/>
                <w:iCs w:val="0"/>
                <w:color w:val="75BD42"/>
                <w:kern w:val="0"/>
                <w:sz w:val="21"/>
                <w:szCs w:val="21"/>
                <w:u w:val="none"/>
                <w:lang w:val="en-US" w:eastAsia="zh-CN" w:bidi="ar"/>
              </w:rPr>
              <w:t>-58</w:t>
            </w:r>
          </w:p>
        </w:tc>
        <w:tc>
          <w:tcPr>
            <w:tcW w:w="460" w:type="pct"/>
            <w:tcBorders>
              <w:tl2br w:val="nil"/>
              <w:tr2bl w:val="nil"/>
            </w:tcBorders>
            <w:shd w:val="clear" w:color="auto" w:fill="auto"/>
            <w:vAlign w:val="center"/>
          </w:tcPr>
          <w:p w14:paraId="620DC95D">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1"/>
                <w:szCs w:val="21"/>
                <w:u w:val="none"/>
                <w:lang w:val="en-US" w:eastAsia="zh-CN" w:bidi="ar"/>
              </w:rPr>
              <w:t>351</w:t>
            </w:r>
          </w:p>
        </w:tc>
        <w:tc>
          <w:tcPr>
            <w:tcW w:w="246" w:type="pct"/>
            <w:tcBorders>
              <w:tl2br w:val="nil"/>
              <w:tr2bl w:val="nil"/>
            </w:tcBorders>
            <w:shd w:val="clear" w:color="auto" w:fill="auto"/>
            <w:vAlign w:val="center"/>
          </w:tcPr>
          <w:p w14:paraId="7F4E4E62">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70</w:t>
            </w:r>
          </w:p>
        </w:tc>
        <w:tc>
          <w:tcPr>
            <w:tcW w:w="257" w:type="pct"/>
            <w:tcBorders>
              <w:tl2br w:val="nil"/>
              <w:tr2bl w:val="nil"/>
            </w:tcBorders>
            <w:shd w:val="clear" w:color="auto" w:fill="auto"/>
            <w:vAlign w:val="center"/>
          </w:tcPr>
          <w:p w14:paraId="35DF4187">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2.4</w:t>
            </w:r>
          </w:p>
        </w:tc>
        <w:tc>
          <w:tcPr>
            <w:tcW w:w="330" w:type="pct"/>
            <w:tcBorders>
              <w:tl2br w:val="nil"/>
              <w:tr2bl w:val="nil"/>
            </w:tcBorders>
            <w:shd w:val="clear" w:color="auto" w:fill="auto"/>
            <w:vAlign w:val="center"/>
          </w:tcPr>
          <w:p w14:paraId="2D8FCB40">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FF0000"/>
                <w:sz w:val="21"/>
                <w:szCs w:val="21"/>
                <w:u w:val="none"/>
              </w:rPr>
            </w:pPr>
            <w:r>
              <w:rPr>
                <w:rFonts w:hint="default" w:ascii="Times New Roman" w:hAnsi="Times New Roman" w:eastAsia="宋体" w:cs="Times New Roman"/>
                <w:i w:val="0"/>
                <w:iCs w:val="0"/>
                <w:color w:val="FF0000"/>
                <w:kern w:val="0"/>
                <w:sz w:val="21"/>
                <w:szCs w:val="21"/>
                <w:u w:val="none"/>
                <w:lang w:val="en-US" w:eastAsia="zh-CN" w:bidi="ar"/>
              </w:rPr>
              <w:t>120</w:t>
            </w:r>
          </w:p>
        </w:tc>
        <w:tc>
          <w:tcPr>
            <w:tcW w:w="330" w:type="pct"/>
            <w:tcBorders>
              <w:tl2br w:val="nil"/>
              <w:tr2bl w:val="nil"/>
            </w:tcBorders>
            <w:shd w:val="clear" w:color="auto" w:fill="auto"/>
            <w:vAlign w:val="center"/>
          </w:tcPr>
          <w:p w14:paraId="0A488A5E">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270000</w:t>
            </w:r>
          </w:p>
        </w:tc>
        <w:tc>
          <w:tcPr>
            <w:tcW w:w="330" w:type="pct"/>
            <w:tcBorders>
              <w:tl2br w:val="nil"/>
              <w:tr2bl w:val="nil"/>
            </w:tcBorders>
            <w:shd w:val="clear" w:color="auto" w:fill="auto"/>
            <w:vAlign w:val="center"/>
          </w:tcPr>
          <w:p w14:paraId="6A1E81D1">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2.71</w:t>
            </w:r>
          </w:p>
        </w:tc>
        <w:tc>
          <w:tcPr>
            <w:tcW w:w="412" w:type="pct"/>
            <w:tcBorders>
              <w:tl2br w:val="nil"/>
              <w:tr2bl w:val="nil"/>
            </w:tcBorders>
            <w:shd w:val="clear" w:color="auto" w:fill="auto"/>
            <w:vAlign w:val="center"/>
          </w:tcPr>
          <w:p w14:paraId="642373D4">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6.21</w:t>
            </w:r>
          </w:p>
        </w:tc>
        <w:tc>
          <w:tcPr>
            <w:tcW w:w="412" w:type="pct"/>
            <w:tcBorders>
              <w:tl2br w:val="nil"/>
              <w:tr2bl w:val="nil"/>
            </w:tcBorders>
            <w:shd w:val="clear" w:color="auto" w:fill="auto"/>
            <w:vAlign w:val="center"/>
          </w:tcPr>
          <w:p w14:paraId="75D939FE">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FF0000"/>
                <w:sz w:val="21"/>
                <w:szCs w:val="21"/>
                <w:u w:val="none"/>
              </w:rPr>
            </w:pPr>
            <w:r>
              <w:rPr>
                <w:rFonts w:hint="default" w:ascii="Times New Roman" w:hAnsi="Times New Roman" w:eastAsia="宋体" w:cs="Times New Roman"/>
                <w:i w:val="0"/>
                <w:iCs w:val="0"/>
                <w:color w:val="FF0000"/>
                <w:kern w:val="0"/>
                <w:sz w:val="21"/>
                <w:szCs w:val="21"/>
                <w:u w:val="none"/>
                <w:lang w:val="en-US" w:eastAsia="zh-CN" w:bidi="ar"/>
              </w:rPr>
              <w:t>5.875</w:t>
            </w:r>
          </w:p>
        </w:tc>
        <w:tc>
          <w:tcPr>
            <w:tcW w:w="330" w:type="pct"/>
            <w:tcBorders>
              <w:tl2br w:val="nil"/>
              <w:tr2bl w:val="nil"/>
            </w:tcBorders>
            <w:shd w:val="clear" w:color="auto" w:fill="auto"/>
            <w:vAlign w:val="center"/>
          </w:tcPr>
          <w:p w14:paraId="686FEC12">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0.135</w:t>
            </w:r>
          </w:p>
        </w:tc>
        <w:tc>
          <w:tcPr>
            <w:tcW w:w="268" w:type="pct"/>
            <w:tcBorders>
              <w:tl2br w:val="nil"/>
              <w:tr2bl w:val="nil"/>
            </w:tcBorders>
            <w:shd w:val="clear" w:color="auto" w:fill="auto"/>
            <w:vAlign w:val="center"/>
          </w:tcPr>
          <w:p w14:paraId="7FC36128">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0.76</w:t>
            </w:r>
          </w:p>
        </w:tc>
        <w:tc>
          <w:tcPr>
            <w:tcW w:w="417" w:type="pct"/>
            <w:tcBorders>
              <w:tl2br w:val="nil"/>
              <w:tr2bl w:val="nil"/>
            </w:tcBorders>
            <w:shd w:val="clear" w:color="auto" w:fill="auto"/>
            <w:vAlign w:val="center"/>
          </w:tcPr>
          <w:p w14:paraId="21FE3481">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1.35</w:t>
            </w:r>
            <w:r>
              <w:rPr>
                <w:rFonts w:hint="default" w:ascii="Times New Roman" w:hAnsi="Times New Roman" w:eastAsia="宋体" w:cs="Times New Roman"/>
                <w:sz w:val="21"/>
                <w:szCs w:val="21"/>
                <w:lang w:val="en-US" w:eastAsia="zh-CN" w:bidi="ar"/>
              </w:rPr>
              <w:t>×</w:t>
            </w:r>
            <w:r>
              <w:rPr>
                <w:rStyle w:val="541"/>
                <w:rFonts w:hint="default" w:ascii="Times New Roman" w:hAnsi="Times New Roman" w:eastAsia="宋体" w:cs="Times New Roman"/>
                <w:sz w:val="21"/>
                <w:szCs w:val="21"/>
                <w:lang w:val="en-US" w:eastAsia="zh-CN" w:bidi="ar"/>
              </w:rPr>
              <w:t>10</w:t>
            </w:r>
            <w:r>
              <w:rPr>
                <w:rStyle w:val="502"/>
                <w:rFonts w:hint="default" w:ascii="Times New Roman" w:hAnsi="Times New Roman" w:eastAsia="宋体" w:cs="Times New Roman"/>
                <w:sz w:val="21"/>
                <w:szCs w:val="21"/>
                <w:lang w:val="en-US" w:eastAsia="zh-CN" w:bidi="ar"/>
              </w:rPr>
              <w:t>-8</w:t>
            </w:r>
          </w:p>
        </w:tc>
      </w:tr>
      <w:tr w14:paraId="5AC7C6DB">
        <w:tblPrEx>
          <w:tblBorders>
            <w:top w:val="thinThickSmallGap" w:color="000000" w:sz="12" w:space="0"/>
            <w:left w:val="none" w:color="auto" w:sz="0" w:space="0"/>
            <w:bottom w:val="thinThickSmallGap" w:color="000000" w:sz="12" w:space="0"/>
            <w:right w:val="none" w:color="auto" w:sz="0"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397" w:hRule="atLeast"/>
        </w:trPr>
        <w:tc>
          <w:tcPr>
            <w:tcW w:w="242" w:type="pct"/>
            <w:vMerge w:val="continue"/>
            <w:tcBorders>
              <w:tl2br w:val="nil"/>
              <w:tr2bl w:val="nil"/>
            </w:tcBorders>
            <w:shd w:val="clear" w:color="auto" w:fill="auto"/>
            <w:vAlign w:val="center"/>
          </w:tcPr>
          <w:p w14:paraId="54B5A490">
            <w:pPr>
              <w:keepNext w:val="0"/>
              <w:keepLines w:val="0"/>
              <w:pageBreakBefore w:val="0"/>
              <w:widowControl/>
              <w:kinsoku/>
              <w:wordWrap/>
              <w:overflowPunct/>
              <w:topLinePunct w:val="0"/>
              <w:autoSpaceDE/>
              <w:autoSpaceDN/>
              <w:bidi w:val="0"/>
              <w:adjustRightInd w:val="0"/>
              <w:snapToGrid w:val="0"/>
              <w:spacing w:line="240" w:lineRule="auto"/>
              <w:jc w:val="center"/>
              <w:rPr>
                <w:rFonts w:hint="default" w:ascii="Times New Roman" w:hAnsi="Times New Roman" w:eastAsia="宋体" w:cs="Times New Roman"/>
                <w:i w:val="0"/>
                <w:iCs w:val="0"/>
                <w:color w:val="000000"/>
                <w:sz w:val="21"/>
                <w:szCs w:val="21"/>
                <w:u w:val="none"/>
              </w:rPr>
            </w:pPr>
          </w:p>
        </w:tc>
        <w:tc>
          <w:tcPr>
            <w:tcW w:w="541" w:type="pct"/>
            <w:tcBorders>
              <w:tl2br w:val="nil"/>
              <w:tr2bl w:val="nil"/>
            </w:tcBorders>
            <w:shd w:val="clear" w:color="auto" w:fill="auto"/>
            <w:vAlign w:val="center"/>
          </w:tcPr>
          <w:p w14:paraId="6C8531A2">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FF0000"/>
                <w:sz w:val="21"/>
                <w:szCs w:val="21"/>
                <w:u w:val="none"/>
              </w:rPr>
            </w:pPr>
            <w:r>
              <w:rPr>
                <w:rStyle w:val="464"/>
                <w:rFonts w:hint="default" w:ascii="Times New Roman" w:hAnsi="Times New Roman" w:eastAsia="宋体" w:cs="Times New Roman"/>
                <w:sz w:val="21"/>
                <w:szCs w:val="21"/>
                <w:lang w:val="en-US" w:eastAsia="zh-CN" w:bidi="ar"/>
              </w:rPr>
              <w:t>DA004</w:t>
            </w:r>
          </w:p>
        </w:tc>
        <w:tc>
          <w:tcPr>
            <w:tcW w:w="189" w:type="pct"/>
            <w:tcBorders>
              <w:tl2br w:val="nil"/>
              <w:tr2bl w:val="nil"/>
            </w:tcBorders>
            <w:shd w:val="clear" w:color="auto" w:fill="auto"/>
            <w:vAlign w:val="center"/>
          </w:tcPr>
          <w:p w14:paraId="151E5EBC">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top"/>
              <w:rPr>
                <w:rFonts w:hint="default" w:ascii="Times New Roman" w:hAnsi="Times New Roman" w:eastAsia="宋体" w:cs="Times New Roman"/>
                <w:i w:val="0"/>
                <w:iCs w:val="0"/>
                <w:color w:val="75BD42"/>
                <w:sz w:val="21"/>
                <w:szCs w:val="21"/>
                <w:u w:val="none"/>
              </w:rPr>
            </w:pPr>
            <w:r>
              <w:rPr>
                <w:rFonts w:hint="default" w:ascii="Times New Roman" w:hAnsi="Times New Roman" w:eastAsia="宋体" w:cs="Times New Roman"/>
                <w:i w:val="0"/>
                <w:iCs w:val="0"/>
                <w:color w:val="75BD42"/>
                <w:kern w:val="0"/>
                <w:sz w:val="21"/>
                <w:szCs w:val="21"/>
                <w:u w:val="none"/>
                <w:lang w:val="en-US" w:eastAsia="zh-CN" w:bidi="ar"/>
              </w:rPr>
              <w:t>-37</w:t>
            </w:r>
          </w:p>
        </w:tc>
        <w:tc>
          <w:tcPr>
            <w:tcW w:w="231" w:type="pct"/>
            <w:tcBorders>
              <w:tl2br w:val="nil"/>
              <w:tr2bl w:val="nil"/>
            </w:tcBorders>
            <w:shd w:val="clear" w:color="auto" w:fill="auto"/>
            <w:vAlign w:val="center"/>
          </w:tcPr>
          <w:p w14:paraId="1E28B7DA">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top"/>
              <w:rPr>
                <w:rFonts w:hint="default" w:ascii="Times New Roman" w:hAnsi="Times New Roman" w:eastAsia="宋体" w:cs="Times New Roman"/>
                <w:i w:val="0"/>
                <w:iCs w:val="0"/>
                <w:color w:val="75BD42"/>
                <w:sz w:val="21"/>
                <w:szCs w:val="21"/>
                <w:u w:val="none"/>
              </w:rPr>
            </w:pPr>
            <w:r>
              <w:rPr>
                <w:rFonts w:hint="default" w:ascii="Times New Roman" w:hAnsi="Times New Roman" w:eastAsia="宋体" w:cs="Times New Roman"/>
                <w:i w:val="0"/>
                <w:iCs w:val="0"/>
                <w:color w:val="75BD42"/>
                <w:kern w:val="0"/>
                <w:sz w:val="21"/>
                <w:szCs w:val="21"/>
                <w:u w:val="none"/>
                <w:lang w:val="en-US" w:eastAsia="zh-CN" w:bidi="ar"/>
              </w:rPr>
              <w:t>-3</w:t>
            </w:r>
          </w:p>
        </w:tc>
        <w:tc>
          <w:tcPr>
            <w:tcW w:w="460" w:type="pct"/>
            <w:tcBorders>
              <w:tl2br w:val="nil"/>
              <w:tr2bl w:val="nil"/>
            </w:tcBorders>
            <w:shd w:val="clear" w:color="auto" w:fill="auto"/>
            <w:vAlign w:val="center"/>
          </w:tcPr>
          <w:p w14:paraId="38EB6E1A">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351</w:t>
            </w:r>
          </w:p>
        </w:tc>
        <w:tc>
          <w:tcPr>
            <w:tcW w:w="246" w:type="pct"/>
            <w:tcBorders>
              <w:tl2br w:val="nil"/>
              <w:tr2bl w:val="nil"/>
            </w:tcBorders>
            <w:shd w:val="clear" w:color="auto" w:fill="auto"/>
            <w:vAlign w:val="center"/>
          </w:tcPr>
          <w:p w14:paraId="07126D10">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20</w:t>
            </w:r>
          </w:p>
        </w:tc>
        <w:tc>
          <w:tcPr>
            <w:tcW w:w="257" w:type="pct"/>
            <w:tcBorders>
              <w:tl2br w:val="nil"/>
              <w:tr2bl w:val="nil"/>
            </w:tcBorders>
            <w:shd w:val="clear" w:color="auto" w:fill="auto"/>
            <w:vAlign w:val="center"/>
          </w:tcPr>
          <w:p w14:paraId="0A877B24">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FF0000"/>
                <w:sz w:val="21"/>
                <w:szCs w:val="21"/>
                <w:u w:val="none"/>
              </w:rPr>
            </w:pPr>
            <w:r>
              <w:rPr>
                <w:rFonts w:hint="default" w:ascii="Times New Roman" w:hAnsi="Times New Roman" w:eastAsia="宋体" w:cs="Times New Roman"/>
                <w:i w:val="0"/>
                <w:iCs w:val="0"/>
                <w:color w:val="FF0000"/>
                <w:kern w:val="0"/>
                <w:sz w:val="21"/>
                <w:szCs w:val="21"/>
                <w:u w:val="none"/>
                <w:lang w:val="en-US" w:eastAsia="zh-CN" w:bidi="ar"/>
              </w:rPr>
              <w:t>1.8</w:t>
            </w:r>
          </w:p>
        </w:tc>
        <w:tc>
          <w:tcPr>
            <w:tcW w:w="330" w:type="pct"/>
            <w:tcBorders>
              <w:tl2br w:val="nil"/>
              <w:tr2bl w:val="nil"/>
            </w:tcBorders>
            <w:shd w:val="clear" w:color="auto" w:fill="auto"/>
            <w:vAlign w:val="center"/>
          </w:tcPr>
          <w:p w14:paraId="3ABF7F9B">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sz w:val="21"/>
                <w:szCs w:val="21"/>
                <w:lang w:val="en-US" w:eastAsia="zh-CN" w:bidi="ar"/>
              </w:rPr>
              <w:t>常温</w:t>
            </w:r>
          </w:p>
        </w:tc>
        <w:tc>
          <w:tcPr>
            <w:tcW w:w="330" w:type="pct"/>
            <w:tcBorders>
              <w:tl2br w:val="nil"/>
              <w:tr2bl w:val="nil"/>
            </w:tcBorders>
            <w:shd w:val="clear" w:color="auto" w:fill="auto"/>
            <w:vAlign w:val="center"/>
          </w:tcPr>
          <w:p w14:paraId="5476A525">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100354</w:t>
            </w:r>
          </w:p>
        </w:tc>
        <w:tc>
          <w:tcPr>
            <w:tcW w:w="330" w:type="pct"/>
            <w:tcBorders>
              <w:tl2br w:val="nil"/>
              <w:tr2bl w:val="nil"/>
            </w:tcBorders>
            <w:shd w:val="clear" w:color="auto" w:fill="auto"/>
            <w:vAlign w:val="center"/>
          </w:tcPr>
          <w:p w14:paraId="390E2DD6">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FF0000"/>
                <w:sz w:val="21"/>
                <w:szCs w:val="21"/>
                <w:u w:val="none"/>
              </w:rPr>
            </w:pPr>
            <w:r>
              <w:rPr>
                <w:rFonts w:hint="default" w:ascii="Times New Roman" w:hAnsi="Times New Roman" w:eastAsia="宋体" w:cs="Times New Roman"/>
                <w:i w:val="0"/>
                <w:iCs w:val="0"/>
                <w:color w:val="FF0000"/>
                <w:kern w:val="0"/>
                <w:sz w:val="21"/>
                <w:szCs w:val="21"/>
                <w:u w:val="none"/>
                <w:lang w:val="en-US" w:eastAsia="zh-CN" w:bidi="ar"/>
              </w:rPr>
              <w:t>0.2</w:t>
            </w:r>
          </w:p>
        </w:tc>
        <w:tc>
          <w:tcPr>
            <w:tcW w:w="412" w:type="pct"/>
            <w:tcBorders>
              <w:tl2br w:val="nil"/>
              <w:tr2bl w:val="nil"/>
            </w:tcBorders>
            <w:shd w:val="clear" w:color="auto" w:fill="auto"/>
            <w:vAlign w:val="center"/>
          </w:tcPr>
          <w:p w14:paraId="33C7D0F6">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00"/>
                <w:sz w:val="21"/>
                <w:szCs w:val="21"/>
                <w:u w:val="none"/>
              </w:rPr>
            </w:pPr>
            <w:r>
              <w:rPr>
                <w:rStyle w:val="541"/>
                <w:rFonts w:hint="default" w:ascii="Times New Roman" w:hAnsi="Times New Roman" w:eastAsia="宋体" w:cs="Times New Roman"/>
                <w:sz w:val="21"/>
                <w:szCs w:val="21"/>
                <w:lang w:val="en-US" w:eastAsia="zh-CN" w:bidi="ar"/>
              </w:rPr>
              <w:t>/</w:t>
            </w:r>
          </w:p>
        </w:tc>
        <w:tc>
          <w:tcPr>
            <w:tcW w:w="412" w:type="pct"/>
            <w:tcBorders>
              <w:tl2br w:val="nil"/>
              <w:tr2bl w:val="nil"/>
            </w:tcBorders>
            <w:shd w:val="clear" w:color="auto" w:fill="auto"/>
            <w:vAlign w:val="center"/>
          </w:tcPr>
          <w:p w14:paraId="2E9FC4A4">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00"/>
                <w:sz w:val="21"/>
                <w:szCs w:val="21"/>
                <w:u w:val="none"/>
              </w:rPr>
            </w:pPr>
            <w:r>
              <w:rPr>
                <w:rStyle w:val="541"/>
                <w:rFonts w:hint="default" w:ascii="Times New Roman" w:hAnsi="Times New Roman" w:eastAsia="宋体" w:cs="Times New Roman"/>
                <w:sz w:val="21"/>
                <w:szCs w:val="21"/>
                <w:lang w:val="en-US" w:eastAsia="zh-CN" w:bidi="ar"/>
              </w:rPr>
              <w:t>/</w:t>
            </w:r>
          </w:p>
        </w:tc>
        <w:tc>
          <w:tcPr>
            <w:tcW w:w="330" w:type="pct"/>
            <w:tcBorders>
              <w:tl2br w:val="nil"/>
              <w:tr2bl w:val="nil"/>
            </w:tcBorders>
            <w:shd w:val="clear" w:color="auto" w:fill="auto"/>
            <w:vAlign w:val="center"/>
          </w:tcPr>
          <w:p w14:paraId="36D7A630">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00"/>
                <w:sz w:val="21"/>
                <w:szCs w:val="21"/>
                <w:u w:val="none"/>
              </w:rPr>
            </w:pPr>
            <w:r>
              <w:rPr>
                <w:rStyle w:val="541"/>
                <w:rFonts w:hint="default" w:ascii="Times New Roman" w:hAnsi="Times New Roman" w:eastAsia="宋体" w:cs="Times New Roman"/>
                <w:sz w:val="21"/>
                <w:szCs w:val="21"/>
                <w:lang w:val="en-US" w:eastAsia="zh-CN" w:bidi="ar"/>
              </w:rPr>
              <w:t>/</w:t>
            </w:r>
          </w:p>
        </w:tc>
        <w:tc>
          <w:tcPr>
            <w:tcW w:w="268" w:type="pct"/>
            <w:tcBorders>
              <w:tl2br w:val="nil"/>
              <w:tr2bl w:val="nil"/>
            </w:tcBorders>
            <w:shd w:val="clear" w:color="auto" w:fill="auto"/>
            <w:vAlign w:val="center"/>
          </w:tcPr>
          <w:p w14:paraId="3D1889A5">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00"/>
                <w:sz w:val="21"/>
                <w:szCs w:val="21"/>
                <w:u w:val="none"/>
              </w:rPr>
            </w:pPr>
            <w:r>
              <w:rPr>
                <w:rStyle w:val="541"/>
                <w:rFonts w:hint="default" w:ascii="Times New Roman" w:hAnsi="Times New Roman" w:eastAsia="宋体" w:cs="Times New Roman"/>
                <w:sz w:val="21"/>
                <w:szCs w:val="21"/>
                <w:lang w:val="en-US" w:eastAsia="zh-CN" w:bidi="ar"/>
              </w:rPr>
              <w:t>/</w:t>
            </w:r>
          </w:p>
        </w:tc>
        <w:tc>
          <w:tcPr>
            <w:tcW w:w="417" w:type="pct"/>
            <w:tcBorders>
              <w:tl2br w:val="nil"/>
              <w:tr2bl w:val="nil"/>
            </w:tcBorders>
            <w:shd w:val="clear" w:color="auto" w:fill="auto"/>
            <w:vAlign w:val="center"/>
          </w:tcPr>
          <w:p w14:paraId="7C233493">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00"/>
                <w:sz w:val="21"/>
                <w:szCs w:val="21"/>
                <w:u w:val="none"/>
              </w:rPr>
            </w:pPr>
            <w:r>
              <w:rPr>
                <w:rStyle w:val="541"/>
                <w:rFonts w:hint="default" w:ascii="Times New Roman" w:hAnsi="Times New Roman" w:eastAsia="宋体" w:cs="Times New Roman"/>
                <w:sz w:val="21"/>
                <w:szCs w:val="21"/>
                <w:lang w:val="en-US" w:eastAsia="zh-CN" w:bidi="ar"/>
              </w:rPr>
              <w:t>/</w:t>
            </w:r>
          </w:p>
        </w:tc>
      </w:tr>
      <w:tr w14:paraId="045BD361">
        <w:tblPrEx>
          <w:tblBorders>
            <w:top w:val="thinThickSmallGap" w:color="000000" w:sz="12" w:space="0"/>
            <w:left w:val="none" w:color="auto" w:sz="0" w:space="0"/>
            <w:bottom w:val="thinThickSmallGap" w:color="000000" w:sz="12" w:space="0"/>
            <w:right w:val="none" w:color="auto" w:sz="0"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397" w:hRule="atLeast"/>
        </w:trPr>
        <w:tc>
          <w:tcPr>
            <w:tcW w:w="242" w:type="pct"/>
            <w:vMerge w:val="continue"/>
            <w:tcBorders>
              <w:tl2br w:val="nil"/>
              <w:tr2bl w:val="nil"/>
            </w:tcBorders>
            <w:shd w:val="clear" w:color="auto" w:fill="auto"/>
            <w:vAlign w:val="center"/>
          </w:tcPr>
          <w:p w14:paraId="04C8751B">
            <w:pPr>
              <w:keepNext w:val="0"/>
              <w:keepLines w:val="0"/>
              <w:pageBreakBefore w:val="0"/>
              <w:widowControl/>
              <w:kinsoku/>
              <w:wordWrap/>
              <w:overflowPunct/>
              <w:topLinePunct w:val="0"/>
              <w:autoSpaceDE/>
              <w:autoSpaceDN/>
              <w:bidi w:val="0"/>
              <w:adjustRightInd w:val="0"/>
              <w:snapToGrid w:val="0"/>
              <w:spacing w:line="240" w:lineRule="auto"/>
              <w:jc w:val="center"/>
              <w:rPr>
                <w:rFonts w:hint="default" w:ascii="Times New Roman" w:hAnsi="Times New Roman" w:eastAsia="宋体" w:cs="Times New Roman"/>
                <w:i w:val="0"/>
                <w:iCs w:val="0"/>
                <w:color w:val="000000"/>
                <w:sz w:val="21"/>
                <w:szCs w:val="21"/>
                <w:u w:val="none"/>
              </w:rPr>
            </w:pPr>
          </w:p>
        </w:tc>
        <w:tc>
          <w:tcPr>
            <w:tcW w:w="541" w:type="pct"/>
            <w:tcBorders>
              <w:tl2br w:val="nil"/>
              <w:tr2bl w:val="nil"/>
            </w:tcBorders>
            <w:shd w:val="clear" w:color="auto" w:fill="auto"/>
            <w:vAlign w:val="center"/>
          </w:tcPr>
          <w:p w14:paraId="3A95966C">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00"/>
                <w:sz w:val="21"/>
                <w:szCs w:val="21"/>
                <w:u w:val="none"/>
              </w:rPr>
            </w:pPr>
            <w:r>
              <w:rPr>
                <w:rStyle w:val="541"/>
                <w:rFonts w:hint="default" w:ascii="Times New Roman" w:hAnsi="Times New Roman" w:eastAsia="宋体" w:cs="Times New Roman"/>
                <w:sz w:val="21"/>
                <w:szCs w:val="21"/>
                <w:lang w:val="en-US" w:eastAsia="zh-CN" w:bidi="ar"/>
              </w:rPr>
              <w:t>DA005</w:t>
            </w:r>
          </w:p>
        </w:tc>
        <w:tc>
          <w:tcPr>
            <w:tcW w:w="189" w:type="pct"/>
            <w:tcBorders>
              <w:tl2br w:val="nil"/>
              <w:tr2bl w:val="nil"/>
            </w:tcBorders>
            <w:shd w:val="clear" w:color="auto" w:fill="auto"/>
            <w:vAlign w:val="center"/>
          </w:tcPr>
          <w:p w14:paraId="095EA367">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top"/>
              <w:rPr>
                <w:rFonts w:hint="default" w:ascii="Times New Roman" w:hAnsi="Times New Roman" w:eastAsia="宋体" w:cs="Times New Roman"/>
                <w:i w:val="0"/>
                <w:iCs w:val="0"/>
                <w:color w:val="75BD42"/>
                <w:sz w:val="21"/>
                <w:szCs w:val="21"/>
                <w:u w:val="none"/>
              </w:rPr>
            </w:pPr>
            <w:r>
              <w:rPr>
                <w:rFonts w:hint="default" w:ascii="Times New Roman" w:hAnsi="Times New Roman" w:eastAsia="宋体" w:cs="Times New Roman"/>
                <w:i w:val="0"/>
                <w:iCs w:val="0"/>
                <w:color w:val="75BD42"/>
                <w:kern w:val="0"/>
                <w:sz w:val="21"/>
                <w:szCs w:val="21"/>
                <w:u w:val="none"/>
                <w:lang w:val="en-US" w:eastAsia="zh-CN" w:bidi="ar"/>
              </w:rPr>
              <w:t>-3</w:t>
            </w:r>
          </w:p>
        </w:tc>
        <w:tc>
          <w:tcPr>
            <w:tcW w:w="231" w:type="pct"/>
            <w:tcBorders>
              <w:tl2br w:val="nil"/>
              <w:tr2bl w:val="nil"/>
            </w:tcBorders>
            <w:shd w:val="clear" w:color="auto" w:fill="auto"/>
            <w:vAlign w:val="center"/>
          </w:tcPr>
          <w:p w14:paraId="04313C38">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top"/>
              <w:rPr>
                <w:rFonts w:hint="default" w:ascii="Times New Roman" w:hAnsi="Times New Roman" w:eastAsia="宋体" w:cs="Times New Roman"/>
                <w:i w:val="0"/>
                <w:iCs w:val="0"/>
                <w:color w:val="75BD42"/>
                <w:sz w:val="21"/>
                <w:szCs w:val="21"/>
                <w:u w:val="none"/>
              </w:rPr>
            </w:pPr>
            <w:r>
              <w:rPr>
                <w:rFonts w:hint="default" w:ascii="Times New Roman" w:hAnsi="Times New Roman" w:eastAsia="宋体" w:cs="Times New Roman"/>
                <w:i w:val="0"/>
                <w:iCs w:val="0"/>
                <w:color w:val="75BD42"/>
                <w:kern w:val="0"/>
                <w:sz w:val="21"/>
                <w:szCs w:val="21"/>
                <w:u w:val="none"/>
                <w:lang w:val="en-US" w:eastAsia="zh-CN" w:bidi="ar"/>
              </w:rPr>
              <w:t>-78</w:t>
            </w:r>
          </w:p>
        </w:tc>
        <w:tc>
          <w:tcPr>
            <w:tcW w:w="460" w:type="pct"/>
            <w:tcBorders>
              <w:tl2br w:val="nil"/>
              <w:tr2bl w:val="nil"/>
            </w:tcBorders>
            <w:shd w:val="clear" w:color="auto" w:fill="auto"/>
            <w:vAlign w:val="center"/>
          </w:tcPr>
          <w:p w14:paraId="4D2D4772">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351</w:t>
            </w:r>
          </w:p>
        </w:tc>
        <w:tc>
          <w:tcPr>
            <w:tcW w:w="246" w:type="pct"/>
            <w:tcBorders>
              <w:tl2br w:val="nil"/>
              <w:tr2bl w:val="nil"/>
            </w:tcBorders>
            <w:shd w:val="clear" w:color="auto" w:fill="auto"/>
            <w:vAlign w:val="center"/>
          </w:tcPr>
          <w:p w14:paraId="0091E19C">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19</w:t>
            </w:r>
          </w:p>
        </w:tc>
        <w:tc>
          <w:tcPr>
            <w:tcW w:w="257" w:type="pct"/>
            <w:tcBorders>
              <w:tl2br w:val="nil"/>
              <w:tr2bl w:val="nil"/>
            </w:tcBorders>
            <w:shd w:val="clear" w:color="auto" w:fill="auto"/>
            <w:vAlign w:val="center"/>
          </w:tcPr>
          <w:p w14:paraId="00F6DA72">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w:t>
            </w:r>
          </w:p>
        </w:tc>
        <w:tc>
          <w:tcPr>
            <w:tcW w:w="330" w:type="pct"/>
            <w:tcBorders>
              <w:tl2br w:val="nil"/>
              <w:tr2bl w:val="nil"/>
            </w:tcBorders>
            <w:shd w:val="clear" w:color="auto" w:fill="auto"/>
            <w:vAlign w:val="center"/>
          </w:tcPr>
          <w:p w14:paraId="423CA2ED">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sz w:val="21"/>
                <w:szCs w:val="21"/>
                <w:lang w:val="en-US" w:eastAsia="zh-CN" w:bidi="ar"/>
              </w:rPr>
              <w:t>常温</w:t>
            </w:r>
          </w:p>
        </w:tc>
        <w:tc>
          <w:tcPr>
            <w:tcW w:w="330" w:type="pct"/>
            <w:tcBorders>
              <w:tl2br w:val="nil"/>
              <w:tr2bl w:val="nil"/>
            </w:tcBorders>
            <w:shd w:val="clear" w:color="auto" w:fill="auto"/>
            <w:vAlign w:val="center"/>
          </w:tcPr>
          <w:p w14:paraId="5B52BC3A">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FF0000"/>
                <w:sz w:val="21"/>
                <w:szCs w:val="21"/>
                <w:u w:val="none"/>
              </w:rPr>
            </w:pPr>
            <w:r>
              <w:rPr>
                <w:rFonts w:hint="default" w:ascii="Times New Roman" w:hAnsi="Times New Roman" w:eastAsia="宋体" w:cs="Times New Roman"/>
                <w:i w:val="0"/>
                <w:iCs w:val="0"/>
                <w:color w:val="FF0000"/>
                <w:kern w:val="0"/>
                <w:sz w:val="21"/>
                <w:szCs w:val="21"/>
                <w:u w:val="none"/>
                <w:lang w:val="en-US" w:eastAsia="zh-CN" w:bidi="ar"/>
              </w:rPr>
              <w:t>150000</w:t>
            </w:r>
          </w:p>
        </w:tc>
        <w:tc>
          <w:tcPr>
            <w:tcW w:w="330" w:type="pct"/>
            <w:tcBorders>
              <w:tl2br w:val="nil"/>
              <w:tr2bl w:val="nil"/>
            </w:tcBorders>
            <w:shd w:val="clear" w:color="auto" w:fill="auto"/>
            <w:vAlign w:val="center"/>
          </w:tcPr>
          <w:p w14:paraId="5705D0F5">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FF0000"/>
                <w:sz w:val="21"/>
                <w:szCs w:val="21"/>
                <w:u w:val="none"/>
              </w:rPr>
            </w:pPr>
            <w:r>
              <w:rPr>
                <w:rFonts w:hint="default" w:ascii="Times New Roman" w:hAnsi="Times New Roman" w:eastAsia="宋体" w:cs="Times New Roman"/>
                <w:i w:val="0"/>
                <w:iCs w:val="0"/>
                <w:color w:val="FF0000"/>
                <w:kern w:val="0"/>
                <w:sz w:val="21"/>
                <w:szCs w:val="21"/>
                <w:u w:val="none"/>
                <w:lang w:val="en-US" w:eastAsia="zh-CN" w:bidi="ar"/>
              </w:rPr>
              <w:t>0.47</w:t>
            </w:r>
          </w:p>
        </w:tc>
        <w:tc>
          <w:tcPr>
            <w:tcW w:w="412" w:type="pct"/>
            <w:tcBorders>
              <w:tl2br w:val="nil"/>
              <w:tr2bl w:val="nil"/>
            </w:tcBorders>
            <w:shd w:val="clear" w:color="auto" w:fill="auto"/>
            <w:vAlign w:val="center"/>
          </w:tcPr>
          <w:p w14:paraId="0EBA1EFC">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00"/>
                <w:sz w:val="21"/>
                <w:szCs w:val="21"/>
                <w:u w:val="none"/>
              </w:rPr>
            </w:pPr>
            <w:r>
              <w:rPr>
                <w:rStyle w:val="541"/>
                <w:rFonts w:hint="default" w:ascii="Times New Roman" w:hAnsi="Times New Roman" w:eastAsia="宋体" w:cs="Times New Roman"/>
                <w:sz w:val="21"/>
                <w:szCs w:val="21"/>
                <w:lang w:val="en-US" w:eastAsia="zh-CN" w:bidi="ar"/>
              </w:rPr>
              <w:t>/</w:t>
            </w:r>
          </w:p>
        </w:tc>
        <w:tc>
          <w:tcPr>
            <w:tcW w:w="412" w:type="pct"/>
            <w:tcBorders>
              <w:tl2br w:val="nil"/>
              <w:tr2bl w:val="nil"/>
            </w:tcBorders>
            <w:shd w:val="clear" w:color="auto" w:fill="auto"/>
            <w:vAlign w:val="center"/>
          </w:tcPr>
          <w:p w14:paraId="33C54539">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00"/>
                <w:sz w:val="21"/>
                <w:szCs w:val="21"/>
                <w:u w:val="none"/>
              </w:rPr>
            </w:pPr>
            <w:r>
              <w:rPr>
                <w:rStyle w:val="541"/>
                <w:rFonts w:hint="default" w:ascii="Times New Roman" w:hAnsi="Times New Roman" w:eastAsia="宋体" w:cs="Times New Roman"/>
                <w:sz w:val="21"/>
                <w:szCs w:val="21"/>
                <w:lang w:val="en-US" w:eastAsia="zh-CN" w:bidi="ar"/>
              </w:rPr>
              <w:t>/</w:t>
            </w:r>
          </w:p>
        </w:tc>
        <w:tc>
          <w:tcPr>
            <w:tcW w:w="330" w:type="pct"/>
            <w:tcBorders>
              <w:tl2br w:val="nil"/>
              <w:tr2bl w:val="nil"/>
            </w:tcBorders>
            <w:shd w:val="clear" w:color="auto" w:fill="auto"/>
            <w:vAlign w:val="center"/>
          </w:tcPr>
          <w:p w14:paraId="7E3D1BAA">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00"/>
                <w:sz w:val="21"/>
                <w:szCs w:val="21"/>
                <w:u w:val="none"/>
              </w:rPr>
            </w:pPr>
            <w:r>
              <w:rPr>
                <w:rStyle w:val="541"/>
                <w:rFonts w:hint="default" w:ascii="Times New Roman" w:hAnsi="Times New Roman" w:eastAsia="宋体" w:cs="Times New Roman"/>
                <w:sz w:val="21"/>
                <w:szCs w:val="21"/>
                <w:lang w:val="en-US" w:eastAsia="zh-CN" w:bidi="ar"/>
              </w:rPr>
              <w:t>/</w:t>
            </w:r>
          </w:p>
        </w:tc>
        <w:tc>
          <w:tcPr>
            <w:tcW w:w="268" w:type="pct"/>
            <w:tcBorders>
              <w:tl2br w:val="nil"/>
              <w:tr2bl w:val="nil"/>
            </w:tcBorders>
            <w:shd w:val="clear" w:color="auto" w:fill="auto"/>
            <w:vAlign w:val="center"/>
          </w:tcPr>
          <w:p w14:paraId="63E28A19">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00"/>
                <w:sz w:val="21"/>
                <w:szCs w:val="21"/>
                <w:u w:val="none"/>
              </w:rPr>
            </w:pPr>
            <w:r>
              <w:rPr>
                <w:rStyle w:val="541"/>
                <w:rFonts w:hint="default" w:ascii="Times New Roman" w:hAnsi="Times New Roman" w:eastAsia="宋体" w:cs="Times New Roman"/>
                <w:sz w:val="21"/>
                <w:szCs w:val="21"/>
                <w:lang w:val="en-US" w:eastAsia="zh-CN" w:bidi="ar"/>
              </w:rPr>
              <w:t>/</w:t>
            </w:r>
          </w:p>
        </w:tc>
        <w:tc>
          <w:tcPr>
            <w:tcW w:w="417" w:type="pct"/>
            <w:tcBorders>
              <w:tl2br w:val="nil"/>
              <w:tr2bl w:val="nil"/>
            </w:tcBorders>
            <w:shd w:val="clear" w:color="auto" w:fill="auto"/>
            <w:vAlign w:val="center"/>
          </w:tcPr>
          <w:p w14:paraId="5958B46A">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00"/>
                <w:sz w:val="21"/>
                <w:szCs w:val="21"/>
                <w:u w:val="none"/>
              </w:rPr>
            </w:pPr>
            <w:r>
              <w:rPr>
                <w:rStyle w:val="541"/>
                <w:rFonts w:hint="default" w:ascii="Times New Roman" w:hAnsi="Times New Roman" w:eastAsia="宋体" w:cs="Times New Roman"/>
                <w:sz w:val="21"/>
                <w:szCs w:val="21"/>
                <w:lang w:val="en-US" w:eastAsia="zh-CN" w:bidi="ar"/>
              </w:rPr>
              <w:t>/</w:t>
            </w:r>
          </w:p>
        </w:tc>
      </w:tr>
      <w:tr w14:paraId="6B6062F6">
        <w:tblPrEx>
          <w:tblBorders>
            <w:top w:val="thinThickSmallGap" w:color="000000" w:sz="12" w:space="0"/>
            <w:left w:val="none" w:color="auto" w:sz="0" w:space="0"/>
            <w:bottom w:val="thinThickSmallGap"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97" w:hRule="atLeast"/>
        </w:trPr>
        <w:tc>
          <w:tcPr>
            <w:tcW w:w="242" w:type="pct"/>
            <w:vMerge w:val="continue"/>
            <w:tcBorders>
              <w:tl2br w:val="nil"/>
              <w:tr2bl w:val="nil"/>
            </w:tcBorders>
            <w:shd w:val="clear" w:color="auto" w:fill="auto"/>
            <w:vAlign w:val="center"/>
          </w:tcPr>
          <w:p w14:paraId="610C44CA">
            <w:pPr>
              <w:keepNext w:val="0"/>
              <w:keepLines w:val="0"/>
              <w:pageBreakBefore w:val="0"/>
              <w:widowControl/>
              <w:kinsoku/>
              <w:wordWrap/>
              <w:overflowPunct/>
              <w:topLinePunct w:val="0"/>
              <w:autoSpaceDE/>
              <w:autoSpaceDN/>
              <w:bidi w:val="0"/>
              <w:adjustRightInd w:val="0"/>
              <w:snapToGrid w:val="0"/>
              <w:spacing w:line="240" w:lineRule="auto"/>
              <w:jc w:val="center"/>
              <w:rPr>
                <w:rFonts w:hint="default" w:ascii="Times New Roman" w:hAnsi="Times New Roman" w:eastAsia="宋体" w:cs="Times New Roman"/>
                <w:i w:val="0"/>
                <w:iCs w:val="0"/>
                <w:color w:val="000000"/>
                <w:sz w:val="21"/>
                <w:szCs w:val="21"/>
                <w:u w:val="none"/>
              </w:rPr>
            </w:pPr>
          </w:p>
        </w:tc>
        <w:tc>
          <w:tcPr>
            <w:tcW w:w="541" w:type="pct"/>
            <w:tcBorders>
              <w:tl2br w:val="nil"/>
              <w:tr2bl w:val="nil"/>
            </w:tcBorders>
            <w:shd w:val="clear" w:color="auto" w:fill="auto"/>
            <w:vAlign w:val="center"/>
          </w:tcPr>
          <w:p w14:paraId="161214E2">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FF0000"/>
                <w:sz w:val="21"/>
                <w:szCs w:val="21"/>
                <w:u w:val="none"/>
              </w:rPr>
            </w:pPr>
            <w:r>
              <w:rPr>
                <w:rStyle w:val="464"/>
                <w:rFonts w:hint="default" w:ascii="Times New Roman" w:hAnsi="Times New Roman" w:eastAsia="宋体" w:cs="Times New Roman"/>
                <w:sz w:val="21"/>
                <w:szCs w:val="21"/>
                <w:lang w:val="en-US" w:eastAsia="zh-CN" w:bidi="ar"/>
              </w:rPr>
              <w:t>DA011</w:t>
            </w:r>
          </w:p>
        </w:tc>
        <w:tc>
          <w:tcPr>
            <w:tcW w:w="189" w:type="pct"/>
            <w:tcBorders>
              <w:tl2br w:val="nil"/>
              <w:tr2bl w:val="nil"/>
            </w:tcBorders>
            <w:shd w:val="clear" w:color="auto" w:fill="auto"/>
            <w:vAlign w:val="center"/>
          </w:tcPr>
          <w:p w14:paraId="25150025">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top"/>
              <w:rPr>
                <w:rFonts w:hint="default" w:ascii="Times New Roman" w:hAnsi="Times New Roman" w:eastAsia="宋体" w:cs="Times New Roman"/>
                <w:i w:val="0"/>
                <w:iCs w:val="0"/>
                <w:color w:val="75BD42"/>
                <w:sz w:val="21"/>
                <w:szCs w:val="21"/>
                <w:u w:val="none"/>
              </w:rPr>
            </w:pPr>
            <w:r>
              <w:rPr>
                <w:rFonts w:hint="default" w:ascii="Times New Roman" w:hAnsi="Times New Roman" w:eastAsia="宋体" w:cs="Times New Roman"/>
                <w:i w:val="0"/>
                <w:iCs w:val="0"/>
                <w:color w:val="75BD42"/>
                <w:kern w:val="0"/>
                <w:sz w:val="21"/>
                <w:szCs w:val="21"/>
                <w:u w:val="none"/>
                <w:lang w:val="en-US" w:eastAsia="zh-CN" w:bidi="ar"/>
              </w:rPr>
              <w:t>64</w:t>
            </w:r>
          </w:p>
        </w:tc>
        <w:tc>
          <w:tcPr>
            <w:tcW w:w="231" w:type="pct"/>
            <w:tcBorders>
              <w:tl2br w:val="nil"/>
              <w:tr2bl w:val="nil"/>
            </w:tcBorders>
            <w:shd w:val="clear" w:color="auto" w:fill="auto"/>
            <w:vAlign w:val="center"/>
          </w:tcPr>
          <w:p w14:paraId="2DDE68E4">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top"/>
              <w:rPr>
                <w:rFonts w:hint="default" w:ascii="Times New Roman" w:hAnsi="Times New Roman" w:eastAsia="宋体" w:cs="Times New Roman"/>
                <w:i w:val="0"/>
                <w:iCs w:val="0"/>
                <w:color w:val="75BD42"/>
                <w:sz w:val="21"/>
                <w:szCs w:val="21"/>
                <w:u w:val="none"/>
              </w:rPr>
            </w:pPr>
            <w:r>
              <w:rPr>
                <w:rFonts w:hint="default" w:ascii="Times New Roman" w:hAnsi="Times New Roman" w:eastAsia="宋体" w:cs="Times New Roman"/>
                <w:i w:val="0"/>
                <w:iCs w:val="0"/>
                <w:color w:val="75BD42"/>
                <w:kern w:val="0"/>
                <w:sz w:val="21"/>
                <w:szCs w:val="21"/>
                <w:u w:val="none"/>
                <w:lang w:val="en-US" w:eastAsia="zh-CN" w:bidi="ar"/>
              </w:rPr>
              <w:t>160</w:t>
            </w:r>
          </w:p>
        </w:tc>
        <w:tc>
          <w:tcPr>
            <w:tcW w:w="460" w:type="pct"/>
            <w:tcBorders>
              <w:tl2br w:val="nil"/>
              <w:tr2bl w:val="nil"/>
            </w:tcBorders>
            <w:shd w:val="clear" w:color="auto" w:fill="auto"/>
            <w:vAlign w:val="center"/>
          </w:tcPr>
          <w:p w14:paraId="75B12C72">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1"/>
                <w:szCs w:val="21"/>
                <w:u w:val="none"/>
                <w:lang w:val="en-US" w:eastAsia="zh-CN" w:bidi="ar"/>
              </w:rPr>
              <w:t>353</w:t>
            </w:r>
          </w:p>
        </w:tc>
        <w:tc>
          <w:tcPr>
            <w:tcW w:w="246" w:type="pct"/>
            <w:tcBorders>
              <w:tl2br w:val="nil"/>
              <w:tr2bl w:val="nil"/>
            </w:tcBorders>
            <w:shd w:val="clear" w:color="auto" w:fill="auto"/>
            <w:vAlign w:val="center"/>
          </w:tcPr>
          <w:p w14:paraId="42A032A6">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60</w:t>
            </w:r>
          </w:p>
        </w:tc>
        <w:tc>
          <w:tcPr>
            <w:tcW w:w="257" w:type="pct"/>
            <w:tcBorders>
              <w:tl2br w:val="nil"/>
              <w:tr2bl w:val="nil"/>
            </w:tcBorders>
            <w:shd w:val="clear" w:color="auto" w:fill="auto"/>
            <w:vAlign w:val="center"/>
          </w:tcPr>
          <w:p w14:paraId="3F23CDED">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1.8</w:t>
            </w:r>
          </w:p>
        </w:tc>
        <w:tc>
          <w:tcPr>
            <w:tcW w:w="330" w:type="pct"/>
            <w:tcBorders>
              <w:tl2br w:val="nil"/>
              <w:tr2bl w:val="nil"/>
            </w:tcBorders>
            <w:shd w:val="clear" w:color="auto" w:fill="auto"/>
            <w:vAlign w:val="center"/>
          </w:tcPr>
          <w:p w14:paraId="50CD2B76">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FF0000"/>
                <w:sz w:val="21"/>
                <w:szCs w:val="21"/>
                <w:u w:val="none"/>
              </w:rPr>
            </w:pPr>
            <w:r>
              <w:rPr>
                <w:rFonts w:hint="default" w:ascii="Times New Roman" w:hAnsi="Times New Roman" w:eastAsia="宋体" w:cs="Times New Roman"/>
                <w:i w:val="0"/>
                <w:iCs w:val="0"/>
                <w:color w:val="FF0000"/>
                <w:kern w:val="0"/>
                <w:sz w:val="21"/>
                <w:szCs w:val="21"/>
                <w:u w:val="none"/>
                <w:lang w:val="en-US" w:eastAsia="zh-CN" w:bidi="ar"/>
              </w:rPr>
              <w:t>120</w:t>
            </w:r>
          </w:p>
        </w:tc>
        <w:tc>
          <w:tcPr>
            <w:tcW w:w="330" w:type="pct"/>
            <w:tcBorders>
              <w:tl2br w:val="nil"/>
              <w:tr2bl w:val="nil"/>
            </w:tcBorders>
            <w:shd w:val="clear" w:color="auto" w:fill="auto"/>
            <w:vAlign w:val="center"/>
          </w:tcPr>
          <w:p w14:paraId="4273094E">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180000</w:t>
            </w:r>
          </w:p>
        </w:tc>
        <w:tc>
          <w:tcPr>
            <w:tcW w:w="330" w:type="pct"/>
            <w:tcBorders>
              <w:tl2br w:val="nil"/>
              <w:tr2bl w:val="nil"/>
            </w:tcBorders>
            <w:shd w:val="clear" w:color="auto" w:fill="auto"/>
            <w:vAlign w:val="center"/>
          </w:tcPr>
          <w:p w14:paraId="13A0B7B2">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1.8</w:t>
            </w:r>
          </w:p>
        </w:tc>
        <w:tc>
          <w:tcPr>
            <w:tcW w:w="412" w:type="pct"/>
            <w:tcBorders>
              <w:tl2br w:val="nil"/>
              <w:tr2bl w:val="nil"/>
            </w:tcBorders>
            <w:shd w:val="clear" w:color="auto" w:fill="auto"/>
            <w:vAlign w:val="center"/>
          </w:tcPr>
          <w:p w14:paraId="4686ADBF">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1.95</w:t>
            </w:r>
          </w:p>
        </w:tc>
        <w:tc>
          <w:tcPr>
            <w:tcW w:w="412" w:type="pct"/>
            <w:tcBorders>
              <w:tl2br w:val="nil"/>
              <w:tr2bl w:val="nil"/>
            </w:tcBorders>
            <w:shd w:val="clear" w:color="auto" w:fill="auto"/>
            <w:vAlign w:val="center"/>
          </w:tcPr>
          <w:p w14:paraId="7DCC1B5F">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FF0000"/>
                <w:sz w:val="21"/>
                <w:szCs w:val="21"/>
                <w:u w:val="none"/>
              </w:rPr>
            </w:pPr>
            <w:r>
              <w:rPr>
                <w:rFonts w:hint="default" w:ascii="Times New Roman" w:hAnsi="Times New Roman" w:eastAsia="宋体" w:cs="Times New Roman"/>
                <w:i w:val="0"/>
                <w:iCs w:val="0"/>
                <w:color w:val="FF0000"/>
                <w:kern w:val="0"/>
                <w:sz w:val="21"/>
                <w:szCs w:val="21"/>
                <w:u w:val="none"/>
                <w:lang w:val="en-US" w:eastAsia="zh-CN" w:bidi="ar"/>
              </w:rPr>
              <w:t>2.7</w:t>
            </w:r>
          </w:p>
        </w:tc>
        <w:tc>
          <w:tcPr>
            <w:tcW w:w="330" w:type="pct"/>
            <w:tcBorders>
              <w:tl2br w:val="nil"/>
              <w:tr2bl w:val="nil"/>
            </w:tcBorders>
            <w:shd w:val="clear" w:color="auto" w:fill="auto"/>
            <w:vAlign w:val="center"/>
          </w:tcPr>
          <w:p w14:paraId="1A202580">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0.006</w:t>
            </w:r>
          </w:p>
        </w:tc>
        <w:tc>
          <w:tcPr>
            <w:tcW w:w="268" w:type="pct"/>
            <w:tcBorders>
              <w:tl2br w:val="nil"/>
              <w:tr2bl w:val="nil"/>
            </w:tcBorders>
            <w:shd w:val="clear" w:color="auto" w:fill="auto"/>
            <w:vAlign w:val="center"/>
          </w:tcPr>
          <w:p w14:paraId="31F45F05">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0.504</w:t>
            </w:r>
          </w:p>
        </w:tc>
        <w:tc>
          <w:tcPr>
            <w:tcW w:w="417" w:type="pct"/>
            <w:tcBorders>
              <w:tl2br w:val="nil"/>
              <w:tr2bl w:val="nil"/>
            </w:tcBorders>
            <w:shd w:val="clear" w:color="auto" w:fill="auto"/>
            <w:vAlign w:val="center"/>
          </w:tcPr>
          <w:p w14:paraId="029CB7AD">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8.3</w:t>
            </w:r>
            <w:r>
              <w:rPr>
                <w:rFonts w:hint="default" w:ascii="Times New Roman" w:hAnsi="Times New Roman" w:eastAsia="宋体" w:cs="Times New Roman"/>
                <w:sz w:val="21"/>
                <w:szCs w:val="21"/>
                <w:lang w:val="en-US" w:eastAsia="zh-CN" w:bidi="ar"/>
              </w:rPr>
              <w:t>×</w:t>
            </w:r>
            <w:r>
              <w:rPr>
                <w:rStyle w:val="541"/>
                <w:rFonts w:hint="default" w:ascii="Times New Roman" w:hAnsi="Times New Roman" w:eastAsia="宋体" w:cs="Times New Roman"/>
                <w:sz w:val="21"/>
                <w:szCs w:val="21"/>
                <w:lang w:val="en-US" w:eastAsia="zh-CN" w:bidi="ar"/>
              </w:rPr>
              <w:t>10</w:t>
            </w:r>
            <w:r>
              <w:rPr>
                <w:rStyle w:val="502"/>
                <w:rFonts w:hint="default" w:ascii="Times New Roman" w:hAnsi="Times New Roman" w:eastAsia="宋体" w:cs="Times New Roman"/>
                <w:sz w:val="21"/>
                <w:szCs w:val="21"/>
                <w:lang w:val="en-US" w:eastAsia="zh-CN" w:bidi="ar"/>
              </w:rPr>
              <w:t>-9</w:t>
            </w:r>
          </w:p>
        </w:tc>
      </w:tr>
      <w:tr w14:paraId="3BD3875F">
        <w:tblPrEx>
          <w:tblBorders>
            <w:top w:val="thinThickSmallGap" w:color="000000" w:sz="12" w:space="0"/>
            <w:left w:val="none" w:color="auto" w:sz="0" w:space="0"/>
            <w:bottom w:val="thinThickSmallGap" w:color="000000" w:sz="12" w:space="0"/>
            <w:right w:val="none" w:color="auto" w:sz="0"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397" w:hRule="atLeast"/>
        </w:trPr>
        <w:tc>
          <w:tcPr>
            <w:tcW w:w="242" w:type="pct"/>
            <w:vMerge w:val="continue"/>
            <w:tcBorders>
              <w:tl2br w:val="nil"/>
              <w:tr2bl w:val="nil"/>
            </w:tcBorders>
            <w:shd w:val="clear" w:color="auto" w:fill="auto"/>
            <w:vAlign w:val="center"/>
          </w:tcPr>
          <w:p w14:paraId="17A6077D">
            <w:pPr>
              <w:keepNext w:val="0"/>
              <w:keepLines w:val="0"/>
              <w:pageBreakBefore w:val="0"/>
              <w:widowControl/>
              <w:kinsoku/>
              <w:wordWrap/>
              <w:overflowPunct/>
              <w:topLinePunct w:val="0"/>
              <w:autoSpaceDE/>
              <w:autoSpaceDN/>
              <w:bidi w:val="0"/>
              <w:adjustRightInd w:val="0"/>
              <w:snapToGrid w:val="0"/>
              <w:spacing w:line="240" w:lineRule="auto"/>
              <w:jc w:val="center"/>
              <w:rPr>
                <w:rFonts w:hint="default" w:ascii="Times New Roman" w:hAnsi="Times New Roman" w:eastAsia="宋体" w:cs="Times New Roman"/>
                <w:i w:val="0"/>
                <w:iCs w:val="0"/>
                <w:color w:val="000000"/>
                <w:sz w:val="21"/>
                <w:szCs w:val="21"/>
                <w:u w:val="none"/>
              </w:rPr>
            </w:pPr>
          </w:p>
        </w:tc>
        <w:tc>
          <w:tcPr>
            <w:tcW w:w="541" w:type="pct"/>
            <w:tcBorders>
              <w:tl2br w:val="nil"/>
              <w:tr2bl w:val="nil"/>
            </w:tcBorders>
            <w:shd w:val="clear" w:color="auto" w:fill="auto"/>
            <w:vAlign w:val="center"/>
          </w:tcPr>
          <w:p w14:paraId="6CE2680A">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00"/>
                <w:sz w:val="21"/>
                <w:szCs w:val="21"/>
                <w:u w:val="none"/>
              </w:rPr>
            </w:pPr>
            <w:r>
              <w:rPr>
                <w:rStyle w:val="541"/>
                <w:rFonts w:hint="default" w:ascii="Times New Roman" w:hAnsi="Times New Roman" w:eastAsia="宋体" w:cs="Times New Roman"/>
                <w:sz w:val="21"/>
                <w:szCs w:val="21"/>
                <w:lang w:val="en-US" w:eastAsia="zh-CN" w:bidi="ar"/>
              </w:rPr>
              <w:t>DA012</w:t>
            </w:r>
          </w:p>
        </w:tc>
        <w:tc>
          <w:tcPr>
            <w:tcW w:w="189" w:type="pct"/>
            <w:tcBorders>
              <w:tl2br w:val="nil"/>
              <w:tr2bl w:val="nil"/>
            </w:tcBorders>
            <w:shd w:val="clear" w:color="auto" w:fill="auto"/>
            <w:vAlign w:val="center"/>
          </w:tcPr>
          <w:p w14:paraId="2B0735AF">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top"/>
              <w:rPr>
                <w:rFonts w:hint="default" w:ascii="Times New Roman" w:hAnsi="Times New Roman" w:eastAsia="宋体" w:cs="Times New Roman"/>
                <w:i w:val="0"/>
                <w:iCs w:val="0"/>
                <w:color w:val="75BD42"/>
                <w:sz w:val="21"/>
                <w:szCs w:val="21"/>
                <w:u w:val="none"/>
              </w:rPr>
            </w:pPr>
            <w:r>
              <w:rPr>
                <w:rFonts w:hint="default" w:ascii="Times New Roman" w:hAnsi="Times New Roman" w:eastAsia="宋体" w:cs="Times New Roman"/>
                <w:i w:val="0"/>
                <w:iCs w:val="0"/>
                <w:color w:val="75BD42"/>
                <w:kern w:val="0"/>
                <w:sz w:val="21"/>
                <w:szCs w:val="21"/>
                <w:u w:val="none"/>
                <w:lang w:val="en-US" w:eastAsia="zh-CN" w:bidi="ar"/>
              </w:rPr>
              <w:t>-24</w:t>
            </w:r>
          </w:p>
        </w:tc>
        <w:tc>
          <w:tcPr>
            <w:tcW w:w="231" w:type="pct"/>
            <w:tcBorders>
              <w:tl2br w:val="nil"/>
              <w:tr2bl w:val="nil"/>
            </w:tcBorders>
            <w:shd w:val="clear" w:color="auto" w:fill="auto"/>
            <w:vAlign w:val="center"/>
          </w:tcPr>
          <w:p w14:paraId="0CDFFDC8">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top"/>
              <w:rPr>
                <w:rFonts w:hint="default" w:ascii="Times New Roman" w:hAnsi="Times New Roman" w:eastAsia="宋体" w:cs="Times New Roman"/>
                <w:i w:val="0"/>
                <w:iCs w:val="0"/>
                <w:color w:val="75BD42"/>
                <w:sz w:val="21"/>
                <w:szCs w:val="21"/>
                <w:u w:val="none"/>
              </w:rPr>
            </w:pPr>
            <w:r>
              <w:rPr>
                <w:rFonts w:hint="default" w:ascii="Times New Roman" w:hAnsi="Times New Roman" w:eastAsia="宋体" w:cs="Times New Roman"/>
                <w:i w:val="0"/>
                <w:iCs w:val="0"/>
                <w:color w:val="75BD42"/>
                <w:kern w:val="0"/>
                <w:sz w:val="21"/>
                <w:szCs w:val="21"/>
                <w:u w:val="none"/>
                <w:lang w:val="en-US" w:eastAsia="zh-CN" w:bidi="ar"/>
              </w:rPr>
              <w:t>44</w:t>
            </w:r>
          </w:p>
        </w:tc>
        <w:tc>
          <w:tcPr>
            <w:tcW w:w="460" w:type="pct"/>
            <w:tcBorders>
              <w:tl2br w:val="nil"/>
              <w:tr2bl w:val="nil"/>
            </w:tcBorders>
            <w:shd w:val="clear" w:color="auto" w:fill="auto"/>
            <w:vAlign w:val="center"/>
          </w:tcPr>
          <w:p w14:paraId="6D94F076">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75BD42"/>
                <w:sz w:val="21"/>
                <w:szCs w:val="21"/>
                <w:u w:val="none"/>
              </w:rPr>
            </w:pPr>
            <w:r>
              <w:rPr>
                <w:rFonts w:hint="default" w:ascii="Times New Roman" w:hAnsi="Times New Roman" w:eastAsia="宋体" w:cs="Times New Roman"/>
                <w:i w:val="0"/>
                <w:iCs w:val="0"/>
                <w:color w:val="75BD42"/>
                <w:kern w:val="0"/>
                <w:sz w:val="21"/>
                <w:szCs w:val="21"/>
                <w:u w:val="none"/>
                <w:lang w:val="en-US" w:eastAsia="zh-CN" w:bidi="ar"/>
              </w:rPr>
              <w:t>351</w:t>
            </w:r>
          </w:p>
        </w:tc>
        <w:tc>
          <w:tcPr>
            <w:tcW w:w="246" w:type="pct"/>
            <w:tcBorders>
              <w:tl2br w:val="nil"/>
              <w:tr2bl w:val="nil"/>
            </w:tcBorders>
            <w:shd w:val="clear" w:color="auto" w:fill="auto"/>
            <w:vAlign w:val="center"/>
          </w:tcPr>
          <w:p w14:paraId="582A26F8">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15</w:t>
            </w:r>
          </w:p>
        </w:tc>
        <w:tc>
          <w:tcPr>
            <w:tcW w:w="257" w:type="pct"/>
            <w:tcBorders>
              <w:tl2br w:val="nil"/>
              <w:tr2bl w:val="nil"/>
            </w:tcBorders>
            <w:shd w:val="clear" w:color="auto" w:fill="auto"/>
            <w:vAlign w:val="center"/>
          </w:tcPr>
          <w:p w14:paraId="1039FDEB">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0.6</w:t>
            </w:r>
          </w:p>
        </w:tc>
        <w:tc>
          <w:tcPr>
            <w:tcW w:w="330" w:type="pct"/>
            <w:tcBorders>
              <w:tl2br w:val="nil"/>
              <w:tr2bl w:val="nil"/>
            </w:tcBorders>
            <w:shd w:val="clear" w:color="auto" w:fill="auto"/>
            <w:vAlign w:val="center"/>
          </w:tcPr>
          <w:p w14:paraId="507F938B">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sz w:val="21"/>
                <w:szCs w:val="21"/>
                <w:lang w:val="en-US" w:eastAsia="zh-CN" w:bidi="ar"/>
              </w:rPr>
              <w:t>常温</w:t>
            </w:r>
          </w:p>
        </w:tc>
        <w:tc>
          <w:tcPr>
            <w:tcW w:w="330" w:type="pct"/>
            <w:tcBorders>
              <w:tl2br w:val="nil"/>
              <w:tr2bl w:val="nil"/>
            </w:tcBorders>
            <w:shd w:val="clear" w:color="auto" w:fill="auto"/>
            <w:vAlign w:val="center"/>
          </w:tcPr>
          <w:p w14:paraId="0CD39D8D">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26694</w:t>
            </w:r>
          </w:p>
        </w:tc>
        <w:tc>
          <w:tcPr>
            <w:tcW w:w="330" w:type="pct"/>
            <w:tcBorders>
              <w:tl2br w:val="nil"/>
              <w:tr2bl w:val="nil"/>
            </w:tcBorders>
            <w:shd w:val="clear" w:color="auto" w:fill="auto"/>
            <w:vAlign w:val="center"/>
          </w:tcPr>
          <w:p w14:paraId="0AFFB07F">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FF0000"/>
                <w:sz w:val="21"/>
                <w:szCs w:val="21"/>
                <w:u w:val="none"/>
              </w:rPr>
            </w:pPr>
            <w:r>
              <w:rPr>
                <w:rFonts w:hint="default" w:ascii="Times New Roman" w:hAnsi="Times New Roman" w:eastAsia="宋体" w:cs="Times New Roman"/>
                <w:i w:val="0"/>
                <w:iCs w:val="0"/>
                <w:color w:val="FF0000"/>
                <w:kern w:val="0"/>
                <w:sz w:val="21"/>
                <w:szCs w:val="21"/>
                <w:u w:val="none"/>
                <w:lang w:val="en-US" w:eastAsia="zh-CN" w:bidi="ar"/>
              </w:rPr>
              <w:t>0.054</w:t>
            </w:r>
          </w:p>
        </w:tc>
        <w:tc>
          <w:tcPr>
            <w:tcW w:w="412" w:type="pct"/>
            <w:tcBorders>
              <w:tl2br w:val="nil"/>
              <w:tr2bl w:val="nil"/>
            </w:tcBorders>
            <w:shd w:val="clear" w:color="auto" w:fill="auto"/>
            <w:vAlign w:val="center"/>
          </w:tcPr>
          <w:p w14:paraId="57F866EF">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00"/>
                <w:sz w:val="21"/>
                <w:szCs w:val="21"/>
                <w:u w:val="none"/>
              </w:rPr>
            </w:pPr>
            <w:r>
              <w:rPr>
                <w:rStyle w:val="541"/>
                <w:rFonts w:hint="default" w:ascii="Times New Roman" w:hAnsi="Times New Roman" w:eastAsia="宋体" w:cs="Times New Roman"/>
                <w:sz w:val="21"/>
                <w:szCs w:val="21"/>
                <w:lang w:val="en-US" w:eastAsia="zh-CN" w:bidi="ar"/>
              </w:rPr>
              <w:t>/</w:t>
            </w:r>
          </w:p>
        </w:tc>
        <w:tc>
          <w:tcPr>
            <w:tcW w:w="412" w:type="pct"/>
            <w:tcBorders>
              <w:tl2br w:val="nil"/>
              <w:tr2bl w:val="nil"/>
            </w:tcBorders>
            <w:shd w:val="clear" w:color="auto" w:fill="auto"/>
            <w:vAlign w:val="center"/>
          </w:tcPr>
          <w:p w14:paraId="773B75F6">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00"/>
                <w:sz w:val="21"/>
                <w:szCs w:val="21"/>
                <w:u w:val="none"/>
              </w:rPr>
            </w:pPr>
            <w:r>
              <w:rPr>
                <w:rStyle w:val="541"/>
                <w:rFonts w:hint="default" w:ascii="Times New Roman" w:hAnsi="Times New Roman" w:eastAsia="宋体" w:cs="Times New Roman"/>
                <w:sz w:val="21"/>
                <w:szCs w:val="21"/>
                <w:lang w:val="en-US" w:eastAsia="zh-CN" w:bidi="ar"/>
              </w:rPr>
              <w:t>/</w:t>
            </w:r>
          </w:p>
        </w:tc>
        <w:tc>
          <w:tcPr>
            <w:tcW w:w="330" w:type="pct"/>
            <w:tcBorders>
              <w:tl2br w:val="nil"/>
              <w:tr2bl w:val="nil"/>
            </w:tcBorders>
            <w:shd w:val="clear" w:color="auto" w:fill="auto"/>
            <w:vAlign w:val="center"/>
          </w:tcPr>
          <w:p w14:paraId="45C4BBBE">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00"/>
                <w:sz w:val="21"/>
                <w:szCs w:val="21"/>
                <w:u w:val="none"/>
              </w:rPr>
            </w:pPr>
            <w:r>
              <w:rPr>
                <w:rStyle w:val="541"/>
                <w:rFonts w:hint="default" w:ascii="Times New Roman" w:hAnsi="Times New Roman" w:eastAsia="宋体" w:cs="Times New Roman"/>
                <w:sz w:val="21"/>
                <w:szCs w:val="21"/>
                <w:lang w:val="en-US" w:eastAsia="zh-CN" w:bidi="ar"/>
              </w:rPr>
              <w:t>/</w:t>
            </w:r>
          </w:p>
        </w:tc>
        <w:tc>
          <w:tcPr>
            <w:tcW w:w="268" w:type="pct"/>
            <w:tcBorders>
              <w:tl2br w:val="nil"/>
              <w:tr2bl w:val="nil"/>
            </w:tcBorders>
            <w:shd w:val="clear" w:color="auto" w:fill="auto"/>
            <w:vAlign w:val="center"/>
          </w:tcPr>
          <w:p w14:paraId="773B2459">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00"/>
                <w:sz w:val="21"/>
                <w:szCs w:val="21"/>
                <w:u w:val="none"/>
              </w:rPr>
            </w:pPr>
            <w:r>
              <w:rPr>
                <w:rStyle w:val="541"/>
                <w:rFonts w:hint="default" w:ascii="Times New Roman" w:hAnsi="Times New Roman" w:eastAsia="宋体" w:cs="Times New Roman"/>
                <w:sz w:val="21"/>
                <w:szCs w:val="21"/>
                <w:lang w:val="en-US" w:eastAsia="zh-CN" w:bidi="ar"/>
              </w:rPr>
              <w:t>/</w:t>
            </w:r>
          </w:p>
        </w:tc>
        <w:tc>
          <w:tcPr>
            <w:tcW w:w="417" w:type="pct"/>
            <w:tcBorders>
              <w:tl2br w:val="nil"/>
              <w:tr2bl w:val="nil"/>
            </w:tcBorders>
            <w:shd w:val="clear" w:color="auto" w:fill="auto"/>
            <w:vAlign w:val="center"/>
          </w:tcPr>
          <w:p w14:paraId="6275A1DB">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00"/>
                <w:sz w:val="21"/>
                <w:szCs w:val="21"/>
                <w:u w:val="none"/>
              </w:rPr>
            </w:pPr>
            <w:r>
              <w:rPr>
                <w:rStyle w:val="541"/>
                <w:rFonts w:hint="default" w:ascii="Times New Roman" w:hAnsi="Times New Roman" w:eastAsia="宋体" w:cs="Times New Roman"/>
                <w:sz w:val="21"/>
                <w:szCs w:val="21"/>
                <w:lang w:val="en-US" w:eastAsia="zh-CN" w:bidi="ar"/>
              </w:rPr>
              <w:t>/</w:t>
            </w:r>
          </w:p>
        </w:tc>
      </w:tr>
      <w:tr w14:paraId="4F574EF4">
        <w:tblPrEx>
          <w:tblBorders>
            <w:top w:val="thinThickSmallGap" w:color="000000" w:sz="12" w:space="0"/>
            <w:left w:val="none" w:color="auto" w:sz="0" w:space="0"/>
            <w:bottom w:val="thinThickSmallGap" w:color="000000" w:sz="12" w:space="0"/>
            <w:right w:val="none" w:color="auto" w:sz="0"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397" w:hRule="atLeast"/>
        </w:trPr>
        <w:tc>
          <w:tcPr>
            <w:tcW w:w="242" w:type="pct"/>
            <w:vMerge w:val="continue"/>
            <w:tcBorders>
              <w:tl2br w:val="nil"/>
              <w:tr2bl w:val="nil"/>
            </w:tcBorders>
            <w:shd w:val="clear" w:color="auto" w:fill="auto"/>
            <w:vAlign w:val="center"/>
          </w:tcPr>
          <w:p w14:paraId="18EDFB96">
            <w:pPr>
              <w:keepNext w:val="0"/>
              <w:keepLines w:val="0"/>
              <w:pageBreakBefore w:val="0"/>
              <w:widowControl/>
              <w:kinsoku/>
              <w:wordWrap/>
              <w:overflowPunct/>
              <w:topLinePunct w:val="0"/>
              <w:autoSpaceDE/>
              <w:autoSpaceDN/>
              <w:bidi w:val="0"/>
              <w:adjustRightInd w:val="0"/>
              <w:snapToGrid w:val="0"/>
              <w:spacing w:line="240" w:lineRule="auto"/>
              <w:jc w:val="center"/>
              <w:rPr>
                <w:rFonts w:hint="default" w:ascii="Times New Roman" w:hAnsi="Times New Roman" w:eastAsia="宋体" w:cs="Times New Roman"/>
                <w:i w:val="0"/>
                <w:iCs w:val="0"/>
                <w:color w:val="000000"/>
                <w:sz w:val="21"/>
                <w:szCs w:val="21"/>
                <w:u w:val="none"/>
              </w:rPr>
            </w:pPr>
          </w:p>
        </w:tc>
        <w:tc>
          <w:tcPr>
            <w:tcW w:w="541" w:type="pct"/>
            <w:tcBorders>
              <w:tl2br w:val="nil"/>
              <w:tr2bl w:val="nil"/>
            </w:tcBorders>
            <w:shd w:val="clear" w:color="auto" w:fill="auto"/>
            <w:vAlign w:val="center"/>
          </w:tcPr>
          <w:p w14:paraId="29187016">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00"/>
                <w:sz w:val="21"/>
                <w:szCs w:val="21"/>
                <w:u w:val="none"/>
              </w:rPr>
            </w:pPr>
            <w:r>
              <w:rPr>
                <w:rStyle w:val="541"/>
                <w:rFonts w:hint="default" w:ascii="Times New Roman" w:hAnsi="Times New Roman" w:eastAsia="宋体" w:cs="Times New Roman"/>
                <w:sz w:val="21"/>
                <w:szCs w:val="21"/>
                <w:lang w:val="en-US" w:eastAsia="zh-CN" w:bidi="ar"/>
              </w:rPr>
              <w:t>DA013</w:t>
            </w:r>
          </w:p>
        </w:tc>
        <w:tc>
          <w:tcPr>
            <w:tcW w:w="189" w:type="pct"/>
            <w:tcBorders>
              <w:tl2br w:val="nil"/>
              <w:tr2bl w:val="nil"/>
            </w:tcBorders>
            <w:shd w:val="clear" w:color="auto" w:fill="auto"/>
            <w:vAlign w:val="center"/>
          </w:tcPr>
          <w:p w14:paraId="42433415">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top"/>
              <w:rPr>
                <w:rFonts w:hint="default" w:ascii="Times New Roman" w:hAnsi="Times New Roman" w:eastAsia="宋体" w:cs="Times New Roman"/>
                <w:i w:val="0"/>
                <w:iCs w:val="0"/>
                <w:color w:val="75BD42"/>
                <w:sz w:val="21"/>
                <w:szCs w:val="21"/>
                <w:u w:val="none"/>
              </w:rPr>
            </w:pPr>
            <w:r>
              <w:rPr>
                <w:rFonts w:hint="default" w:ascii="Times New Roman" w:hAnsi="Times New Roman" w:eastAsia="宋体" w:cs="Times New Roman"/>
                <w:i w:val="0"/>
                <w:iCs w:val="0"/>
                <w:color w:val="75BD42"/>
                <w:kern w:val="0"/>
                <w:sz w:val="21"/>
                <w:szCs w:val="21"/>
                <w:u w:val="none"/>
                <w:lang w:val="en-US" w:eastAsia="zh-CN" w:bidi="ar"/>
              </w:rPr>
              <w:t>44</w:t>
            </w:r>
          </w:p>
        </w:tc>
        <w:tc>
          <w:tcPr>
            <w:tcW w:w="231" w:type="pct"/>
            <w:tcBorders>
              <w:tl2br w:val="nil"/>
              <w:tr2bl w:val="nil"/>
            </w:tcBorders>
            <w:shd w:val="clear" w:color="auto" w:fill="auto"/>
            <w:vAlign w:val="center"/>
          </w:tcPr>
          <w:p w14:paraId="79EA6214">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top"/>
              <w:rPr>
                <w:rFonts w:hint="default" w:ascii="Times New Roman" w:hAnsi="Times New Roman" w:eastAsia="宋体" w:cs="Times New Roman"/>
                <w:i w:val="0"/>
                <w:iCs w:val="0"/>
                <w:color w:val="75BD42"/>
                <w:sz w:val="21"/>
                <w:szCs w:val="21"/>
                <w:u w:val="none"/>
              </w:rPr>
            </w:pPr>
            <w:r>
              <w:rPr>
                <w:rFonts w:hint="default" w:ascii="Times New Roman" w:hAnsi="Times New Roman" w:eastAsia="宋体" w:cs="Times New Roman"/>
                <w:i w:val="0"/>
                <w:iCs w:val="0"/>
                <w:color w:val="75BD42"/>
                <w:kern w:val="0"/>
                <w:sz w:val="21"/>
                <w:szCs w:val="21"/>
                <w:u w:val="none"/>
                <w:lang w:val="en-US" w:eastAsia="zh-CN" w:bidi="ar"/>
              </w:rPr>
              <w:t>-112</w:t>
            </w:r>
          </w:p>
        </w:tc>
        <w:tc>
          <w:tcPr>
            <w:tcW w:w="460" w:type="pct"/>
            <w:tcBorders>
              <w:tl2br w:val="nil"/>
              <w:tr2bl w:val="nil"/>
            </w:tcBorders>
            <w:shd w:val="clear" w:color="auto" w:fill="auto"/>
            <w:vAlign w:val="center"/>
          </w:tcPr>
          <w:p w14:paraId="749C1099">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75BD42"/>
                <w:sz w:val="21"/>
                <w:szCs w:val="21"/>
                <w:u w:val="none"/>
              </w:rPr>
            </w:pPr>
            <w:r>
              <w:rPr>
                <w:rFonts w:hint="default" w:ascii="Times New Roman" w:hAnsi="Times New Roman" w:eastAsia="宋体" w:cs="Times New Roman"/>
                <w:i w:val="0"/>
                <w:iCs w:val="0"/>
                <w:color w:val="75BD42"/>
                <w:kern w:val="0"/>
                <w:sz w:val="21"/>
                <w:szCs w:val="21"/>
                <w:u w:val="none"/>
                <w:lang w:val="en-US" w:eastAsia="zh-CN" w:bidi="ar"/>
              </w:rPr>
              <w:t>354</w:t>
            </w:r>
          </w:p>
        </w:tc>
        <w:tc>
          <w:tcPr>
            <w:tcW w:w="246" w:type="pct"/>
            <w:tcBorders>
              <w:tl2br w:val="nil"/>
              <w:tr2bl w:val="nil"/>
            </w:tcBorders>
            <w:shd w:val="clear" w:color="auto" w:fill="auto"/>
            <w:vAlign w:val="center"/>
          </w:tcPr>
          <w:p w14:paraId="0BF622E3">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30</w:t>
            </w:r>
          </w:p>
        </w:tc>
        <w:tc>
          <w:tcPr>
            <w:tcW w:w="257" w:type="pct"/>
            <w:tcBorders>
              <w:tl2br w:val="nil"/>
              <w:tr2bl w:val="nil"/>
            </w:tcBorders>
            <w:shd w:val="clear" w:color="auto" w:fill="auto"/>
            <w:vAlign w:val="center"/>
          </w:tcPr>
          <w:p w14:paraId="2AE0E4EC">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1.12</w:t>
            </w:r>
          </w:p>
        </w:tc>
        <w:tc>
          <w:tcPr>
            <w:tcW w:w="330" w:type="pct"/>
            <w:tcBorders>
              <w:tl2br w:val="nil"/>
              <w:tr2bl w:val="nil"/>
            </w:tcBorders>
            <w:shd w:val="clear" w:color="auto" w:fill="auto"/>
            <w:vAlign w:val="center"/>
          </w:tcPr>
          <w:p w14:paraId="54334EF3">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sz w:val="21"/>
                <w:szCs w:val="21"/>
                <w:lang w:val="en-US" w:eastAsia="zh-CN" w:bidi="ar"/>
              </w:rPr>
              <w:t>常温</w:t>
            </w:r>
          </w:p>
        </w:tc>
        <w:tc>
          <w:tcPr>
            <w:tcW w:w="330" w:type="pct"/>
            <w:tcBorders>
              <w:tl2br w:val="nil"/>
              <w:tr2bl w:val="nil"/>
            </w:tcBorders>
            <w:shd w:val="clear" w:color="auto" w:fill="auto"/>
            <w:vAlign w:val="center"/>
          </w:tcPr>
          <w:p w14:paraId="22C2EFF7">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100000</w:t>
            </w:r>
          </w:p>
        </w:tc>
        <w:tc>
          <w:tcPr>
            <w:tcW w:w="330" w:type="pct"/>
            <w:tcBorders>
              <w:tl2br w:val="nil"/>
              <w:tr2bl w:val="nil"/>
            </w:tcBorders>
            <w:shd w:val="clear" w:color="auto" w:fill="auto"/>
            <w:vAlign w:val="center"/>
          </w:tcPr>
          <w:p w14:paraId="1E423708">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0.01</w:t>
            </w:r>
          </w:p>
        </w:tc>
        <w:tc>
          <w:tcPr>
            <w:tcW w:w="412" w:type="pct"/>
            <w:tcBorders>
              <w:tl2br w:val="nil"/>
              <w:tr2bl w:val="nil"/>
            </w:tcBorders>
            <w:shd w:val="clear" w:color="auto" w:fill="auto"/>
            <w:vAlign w:val="center"/>
          </w:tcPr>
          <w:p w14:paraId="53D45693">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00"/>
                <w:sz w:val="21"/>
                <w:szCs w:val="21"/>
                <w:u w:val="none"/>
              </w:rPr>
            </w:pPr>
            <w:r>
              <w:rPr>
                <w:rStyle w:val="541"/>
                <w:rFonts w:hint="default" w:ascii="Times New Roman" w:hAnsi="Times New Roman" w:eastAsia="宋体" w:cs="Times New Roman"/>
                <w:sz w:val="21"/>
                <w:szCs w:val="21"/>
                <w:lang w:val="en-US" w:eastAsia="zh-CN" w:bidi="ar"/>
              </w:rPr>
              <w:t>/</w:t>
            </w:r>
          </w:p>
        </w:tc>
        <w:tc>
          <w:tcPr>
            <w:tcW w:w="412" w:type="pct"/>
            <w:tcBorders>
              <w:tl2br w:val="nil"/>
              <w:tr2bl w:val="nil"/>
            </w:tcBorders>
            <w:shd w:val="clear" w:color="auto" w:fill="auto"/>
            <w:vAlign w:val="center"/>
          </w:tcPr>
          <w:p w14:paraId="418CD5E5">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00"/>
                <w:sz w:val="21"/>
                <w:szCs w:val="21"/>
                <w:u w:val="none"/>
              </w:rPr>
            </w:pPr>
            <w:r>
              <w:rPr>
                <w:rStyle w:val="541"/>
                <w:rFonts w:hint="default" w:ascii="Times New Roman" w:hAnsi="Times New Roman" w:eastAsia="宋体" w:cs="Times New Roman"/>
                <w:sz w:val="21"/>
                <w:szCs w:val="21"/>
                <w:lang w:val="en-US" w:eastAsia="zh-CN" w:bidi="ar"/>
              </w:rPr>
              <w:t>/</w:t>
            </w:r>
          </w:p>
        </w:tc>
        <w:tc>
          <w:tcPr>
            <w:tcW w:w="330" w:type="pct"/>
            <w:tcBorders>
              <w:tl2br w:val="nil"/>
              <w:tr2bl w:val="nil"/>
            </w:tcBorders>
            <w:shd w:val="clear" w:color="auto" w:fill="auto"/>
            <w:vAlign w:val="center"/>
          </w:tcPr>
          <w:p w14:paraId="2E5129E0">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00"/>
                <w:sz w:val="21"/>
                <w:szCs w:val="21"/>
                <w:u w:val="none"/>
              </w:rPr>
            </w:pPr>
            <w:r>
              <w:rPr>
                <w:rStyle w:val="541"/>
                <w:rFonts w:hint="default" w:ascii="Times New Roman" w:hAnsi="Times New Roman" w:eastAsia="宋体" w:cs="Times New Roman"/>
                <w:sz w:val="21"/>
                <w:szCs w:val="21"/>
                <w:lang w:val="en-US" w:eastAsia="zh-CN" w:bidi="ar"/>
              </w:rPr>
              <w:t>/</w:t>
            </w:r>
          </w:p>
        </w:tc>
        <w:tc>
          <w:tcPr>
            <w:tcW w:w="268" w:type="pct"/>
            <w:tcBorders>
              <w:tl2br w:val="nil"/>
              <w:tr2bl w:val="nil"/>
            </w:tcBorders>
            <w:shd w:val="clear" w:color="auto" w:fill="auto"/>
            <w:vAlign w:val="center"/>
          </w:tcPr>
          <w:p w14:paraId="134C073F">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00"/>
                <w:sz w:val="21"/>
                <w:szCs w:val="21"/>
                <w:u w:val="none"/>
              </w:rPr>
            </w:pPr>
            <w:r>
              <w:rPr>
                <w:rStyle w:val="541"/>
                <w:rFonts w:hint="default" w:ascii="Times New Roman" w:hAnsi="Times New Roman" w:eastAsia="宋体" w:cs="Times New Roman"/>
                <w:sz w:val="21"/>
                <w:szCs w:val="21"/>
                <w:lang w:val="en-US" w:eastAsia="zh-CN" w:bidi="ar"/>
              </w:rPr>
              <w:t>/</w:t>
            </w:r>
          </w:p>
        </w:tc>
        <w:tc>
          <w:tcPr>
            <w:tcW w:w="417" w:type="pct"/>
            <w:tcBorders>
              <w:tl2br w:val="nil"/>
              <w:tr2bl w:val="nil"/>
            </w:tcBorders>
            <w:shd w:val="clear" w:color="auto" w:fill="auto"/>
            <w:vAlign w:val="center"/>
          </w:tcPr>
          <w:p w14:paraId="64A094D2">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00"/>
                <w:sz w:val="21"/>
                <w:szCs w:val="21"/>
                <w:u w:val="none"/>
              </w:rPr>
            </w:pPr>
            <w:r>
              <w:rPr>
                <w:rStyle w:val="541"/>
                <w:rFonts w:hint="default" w:ascii="Times New Roman" w:hAnsi="Times New Roman" w:eastAsia="宋体" w:cs="Times New Roman"/>
                <w:sz w:val="21"/>
                <w:szCs w:val="21"/>
                <w:lang w:val="en-US" w:eastAsia="zh-CN" w:bidi="ar"/>
              </w:rPr>
              <w:t>/</w:t>
            </w:r>
          </w:p>
        </w:tc>
      </w:tr>
      <w:tr w14:paraId="33A88A5B">
        <w:tblPrEx>
          <w:tblBorders>
            <w:top w:val="thinThickSmallGap" w:color="000000" w:sz="12" w:space="0"/>
            <w:left w:val="none" w:color="auto" w:sz="0" w:space="0"/>
            <w:bottom w:val="thinThickSmallGap" w:color="000000" w:sz="12" w:space="0"/>
            <w:right w:val="none" w:color="auto" w:sz="0"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397" w:hRule="atLeast"/>
        </w:trPr>
        <w:tc>
          <w:tcPr>
            <w:tcW w:w="242" w:type="pct"/>
            <w:vMerge w:val="continue"/>
            <w:tcBorders>
              <w:tl2br w:val="nil"/>
              <w:tr2bl w:val="nil"/>
            </w:tcBorders>
            <w:shd w:val="clear" w:color="auto" w:fill="auto"/>
            <w:vAlign w:val="center"/>
          </w:tcPr>
          <w:p w14:paraId="340AB7BD">
            <w:pPr>
              <w:keepNext w:val="0"/>
              <w:keepLines w:val="0"/>
              <w:pageBreakBefore w:val="0"/>
              <w:widowControl/>
              <w:kinsoku/>
              <w:wordWrap/>
              <w:overflowPunct/>
              <w:topLinePunct w:val="0"/>
              <w:autoSpaceDE/>
              <w:autoSpaceDN/>
              <w:bidi w:val="0"/>
              <w:adjustRightInd w:val="0"/>
              <w:snapToGrid w:val="0"/>
              <w:spacing w:line="240" w:lineRule="auto"/>
              <w:jc w:val="center"/>
              <w:rPr>
                <w:rFonts w:hint="default" w:ascii="Times New Roman" w:hAnsi="Times New Roman" w:eastAsia="宋体" w:cs="Times New Roman"/>
                <w:i w:val="0"/>
                <w:iCs w:val="0"/>
                <w:color w:val="000000"/>
                <w:sz w:val="21"/>
                <w:szCs w:val="21"/>
                <w:u w:val="none"/>
              </w:rPr>
            </w:pPr>
          </w:p>
        </w:tc>
        <w:tc>
          <w:tcPr>
            <w:tcW w:w="541" w:type="pct"/>
            <w:tcBorders>
              <w:tl2br w:val="nil"/>
              <w:tr2bl w:val="nil"/>
            </w:tcBorders>
            <w:shd w:val="clear" w:color="auto" w:fill="auto"/>
            <w:vAlign w:val="center"/>
          </w:tcPr>
          <w:p w14:paraId="5B9E9E62">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00"/>
                <w:sz w:val="21"/>
                <w:szCs w:val="21"/>
                <w:u w:val="none"/>
              </w:rPr>
            </w:pPr>
            <w:r>
              <w:rPr>
                <w:rStyle w:val="541"/>
                <w:rFonts w:hint="default" w:ascii="Times New Roman" w:hAnsi="Times New Roman" w:eastAsia="宋体" w:cs="Times New Roman"/>
                <w:sz w:val="21"/>
                <w:szCs w:val="21"/>
                <w:lang w:val="en-US" w:eastAsia="zh-CN" w:bidi="ar"/>
              </w:rPr>
              <w:t>DA014</w:t>
            </w:r>
          </w:p>
        </w:tc>
        <w:tc>
          <w:tcPr>
            <w:tcW w:w="189" w:type="pct"/>
            <w:tcBorders>
              <w:tl2br w:val="nil"/>
              <w:tr2bl w:val="nil"/>
            </w:tcBorders>
            <w:shd w:val="clear" w:color="auto" w:fill="auto"/>
            <w:vAlign w:val="center"/>
          </w:tcPr>
          <w:p w14:paraId="0F18D3F0">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top"/>
              <w:rPr>
                <w:rFonts w:hint="default" w:ascii="Times New Roman" w:hAnsi="Times New Roman" w:eastAsia="宋体" w:cs="Times New Roman"/>
                <w:i w:val="0"/>
                <w:iCs w:val="0"/>
                <w:color w:val="75BD42"/>
                <w:sz w:val="21"/>
                <w:szCs w:val="21"/>
                <w:u w:val="none"/>
              </w:rPr>
            </w:pPr>
            <w:r>
              <w:rPr>
                <w:rFonts w:hint="default" w:ascii="Times New Roman" w:hAnsi="Times New Roman" w:eastAsia="宋体" w:cs="Times New Roman"/>
                <w:i w:val="0"/>
                <w:iCs w:val="0"/>
                <w:color w:val="75BD42"/>
                <w:kern w:val="0"/>
                <w:sz w:val="21"/>
                <w:szCs w:val="21"/>
                <w:u w:val="none"/>
                <w:lang w:val="en-US" w:eastAsia="zh-CN" w:bidi="ar"/>
              </w:rPr>
              <w:t>91</w:t>
            </w:r>
          </w:p>
        </w:tc>
        <w:tc>
          <w:tcPr>
            <w:tcW w:w="231" w:type="pct"/>
            <w:tcBorders>
              <w:tl2br w:val="nil"/>
              <w:tr2bl w:val="nil"/>
            </w:tcBorders>
            <w:shd w:val="clear" w:color="auto" w:fill="auto"/>
            <w:vAlign w:val="center"/>
          </w:tcPr>
          <w:p w14:paraId="3C17076E">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top"/>
              <w:rPr>
                <w:rFonts w:hint="default" w:ascii="Times New Roman" w:hAnsi="Times New Roman" w:eastAsia="宋体" w:cs="Times New Roman"/>
                <w:i w:val="0"/>
                <w:iCs w:val="0"/>
                <w:color w:val="75BD42"/>
                <w:sz w:val="21"/>
                <w:szCs w:val="21"/>
                <w:u w:val="none"/>
              </w:rPr>
            </w:pPr>
            <w:r>
              <w:rPr>
                <w:rFonts w:hint="default" w:ascii="Times New Roman" w:hAnsi="Times New Roman" w:eastAsia="宋体" w:cs="Times New Roman"/>
                <w:i w:val="0"/>
                <w:iCs w:val="0"/>
                <w:color w:val="75BD42"/>
                <w:kern w:val="0"/>
                <w:sz w:val="21"/>
                <w:szCs w:val="21"/>
                <w:u w:val="none"/>
                <w:lang w:val="en-US" w:eastAsia="zh-CN" w:bidi="ar"/>
              </w:rPr>
              <w:t>146</w:t>
            </w:r>
          </w:p>
        </w:tc>
        <w:tc>
          <w:tcPr>
            <w:tcW w:w="460" w:type="pct"/>
            <w:tcBorders>
              <w:tl2br w:val="nil"/>
              <w:tr2bl w:val="nil"/>
            </w:tcBorders>
            <w:shd w:val="clear" w:color="auto" w:fill="auto"/>
            <w:vAlign w:val="center"/>
          </w:tcPr>
          <w:p w14:paraId="162D2926">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75BD42"/>
                <w:sz w:val="21"/>
                <w:szCs w:val="21"/>
                <w:u w:val="none"/>
              </w:rPr>
            </w:pPr>
            <w:r>
              <w:rPr>
                <w:rFonts w:hint="default" w:ascii="Times New Roman" w:hAnsi="Times New Roman" w:eastAsia="宋体" w:cs="Times New Roman"/>
                <w:i w:val="0"/>
                <w:iCs w:val="0"/>
                <w:color w:val="75BD42"/>
                <w:kern w:val="0"/>
                <w:sz w:val="21"/>
                <w:szCs w:val="21"/>
                <w:u w:val="none"/>
                <w:lang w:val="en-US" w:eastAsia="zh-CN" w:bidi="ar"/>
              </w:rPr>
              <w:t>354</w:t>
            </w:r>
          </w:p>
        </w:tc>
        <w:tc>
          <w:tcPr>
            <w:tcW w:w="246" w:type="pct"/>
            <w:tcBorders>
              <w:tl2br w:val="nil"/>
              <w:tr2bl w:val="nil"/>
            </w:tcBorders>
            <w:shd w:val="clear" w:color="auto" w:fill="auto"/>
            <w:vAlign w:val="center"/>
          </w:tcPr>
          <w:p w14:paraId="0AEE8C9B">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30</w:t>
            </w:r>
          </w:p>
        </w:tc>
        <w:tc>
          <w:tcPr>
            <w:tcW w:w="257" w:type="pct"/>
            <w:tcBorders>
              <w:tl2br w:val="nil"/>
              <w:tr2bl w:val="nil"/>
            </w:tcBorders>
            <w:shd w:val="clear" w:color="auto" w:fill="auto"/>
            <w:vAlign w:val="center"/>
          </w:tcPr>
          <w:p w14:paraId="59050A7C">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FF0000"/>
                <w:sz w:val="21"/>
                <w:szCs w:val="21"/>
                <w:u w:val="none"/>
              </w:rPr>
            </w:pPr>
            <w:r>
              <w:rPr>
                <w:rFonts w:hint="default" w:ascii="Times New Roman" w:hAnsi="Times New Roman" w:eastAsia="宋体" w:cs="Times New Roman"/>
                <w:i w:val="0"/>
                <w:iCs w:val="0"/>
                <w:color w:val="FF0000"/>
                <w:kern w:val="0"/>
                <w:sz w:val="21"/>
                <w:szCs w:val="21"/>
                <w:u w:val="none"/>
                <w:lang w:val="en-US" w:eastAsia="zh-CN" w:bidi="ar"/>
              </w:rPr>
              <w:t>1.2</w:t>
            </w:r>
          </w:p>
        </w:tc>
        <w:tc>
          <w:tcPr>
            <w:tcW w:w="330" w:type="pct"/>
            <w:tcBorders>
              <w:tl2br w:val="nil"/>
              <w:tr2bl w:val="nil"/>
            </w:tcBorders>
            <w:shd w:val="clear" w:color="auto" w:fill="auto"/>
            <w:vAlign w:val="center"/>
          </w:tcPr>
          <w:p w14:paraId="2D732255">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sz w:val="21"/>
                <w:szCs w:val="21"/>
                <w:lang w:val="en-US" w:eastAsia="zh-CN" w:bidi="ar"/>
              </w:rPr>
              <w:t>常温</w:t>
            </w:r>
          </w:p>
        </w:tc>
        <w:tc>
          <w:tcPr>
            <w:tcW w:w="330" w:type="pct"/>
            <w:tcBorders>
              <w:tl2br w:val="nil"/>
              <w:tr2bl w:val="nil"/>
            </w:tcBorders>
            <w:shd w:val="clear" w:color="auto" w:fill="auto"/>
            <w:vAlign w:val="center"/>
          </w:tcPr>
          <w:p w14:paraId="49C9F4B0">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50000</w:t>
            </w:r>
          </w:p>
        </w:tc>
        <w:tc>
          <w:tcPr>
            <w:tcW w:w="330" w:type="pct"/>
            <w:tcBorders>
              <w:tl2br w:val="nil"/>
              <w:tr2bl w:val="nil"/>
            </w:tcBorders>
            <w:shd w:val="clear" w:color="auto" w:fill="auto"/>
            <w:vAlign w:val="center"/>
          </w:tcPr>
          <w:p w14:paraId="35A0CE19">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FF0000"/>
                <w:sz w:val="21"/>
                <w:szCs w:val="21"/>
                <w:u w:val="none"/>
              </w:rPr>
            </w:pPr>
            <w:r>
              <w:rPr>
                <w:rFonts w:hint="default" w:ascii="Times New Roman" w:hAnsi="Times New Roman" w:eastAsia="宋体" w:cs="Times New Roman"/>
                <w:i w:val="0"/>
                <w:iCs w:val="0"/>
                <w:color w:val="FF0000"/>
                <w:kern w:val="0"/>
                <w:sz w:val="21"/>
                <w:szCs w:val="21"/>
                <w:u w:val="none"/>
                <w:lang w:val="en-US" w:eastAsia="zh-CN" w:bidi="ar"/>
              </w:rPr>
              <w:t>0.1</w:t>
            </w:r>
          </w:p>
        </w:tc>
        <w:tc>
          <w:tcPr>
            <w:tcW w:w="412" w:type="pct"/>
            <w:tcBorders>
              <w:tl2br w:val="nil"/>
              <w:tr2bl w:val="nil"/>
            </w:tcBorders>
            <w:shd w:val="clear" w:color="auto" w:fill="auto"/>
            <w:vAlign w:val="center"/>
          </w:tcPr>
          <w:p w14:paraId="700E5450">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00"/>
                <w:sz w:val="21"/>
                <w:szCs w:val="21"/>
                <w:u w:val="none"/>
              </w:rPr>
            </w:pPr>
            <w:r>
              <w:rPr>
                <w:rStyle w:val="541"/>
                <w:rFonts w:hint="default" w:ascii="Times New Roman" w:hAnsi="Times New Roman" w:eastAsia="宋体" w:cs="Times New Roman"/>
                <w:sz w:val="21"/>
                <w:szCs w:val="21"/>
                <w:lang w:val="en-US" w:eastAsia="zh-CN" w:bidi="ar"/>
              </w:rPr>
              <w:t>/</w:t>
            </w:r>
          </w:p>
        </w:tc>
        <w:tc>
          <w:tcPr>
            <w:tcW w:w="412" w:type="pct"/>
            <w:tcBorders>
              <w:tl2br w:val="nil"/>
              <w:tr2bl w:val="nil"/>
            </w:tcBorders>
            <w:shd w:val="clear" w:color="auto" w:fill="auto"/>
            <w:vAlign w:val="center"/>
          </w:tcPr>
          <w:p w14:paraId="7676BDF6">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00"/>
                <w:sz w:val="21"/>
                <w:szCs w:val="21"/>
                <w:u w:val="none"/>
              </w:rPr>
            </w:pPr>
            <w:r>
              <w:rPr>
                <w:rStyle w:val="541"/>
                <w:rFonts w:hint="default" w:ascii="Times New Roman" w:hAnsi="Times New Roman" w:eastAsia="宋体" w:cs="Times New Roman"/>
                <w:sz w:val="21"/>
                <w:szCs w:val="21"/>
                <w:lang w:val="en-US" w:eastAsia="zh-CN" w:bidi="ar"/>
              </w:rPr>
              <w:t>/</w:t>
            </w:r>
          </w:p>
        </w:tc>
        <w:tc>
          <w:tcPr>
            <w:tcW w:w="330" w:type="pct"/>
            <w:tcBorders>
              <w:tl2br w:val="nil"/>
              <w:tr2bl w:val="nil"/>
            </w:tcBorders>
            <w:shd w:val="clear" w:color="auto" w:fill="auto"/>
            <w:vAlign w:val="center"/>
          </w:tcPr>
          <w:p w14:paraId="2195197D">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00"/>
                <w:sz w:val="21"/>
                <w:szCs w:val="21"/>
                <w:u w:val="none"/>
              </w:rPr>
            </w:pPr>
            <w:r>
              <w:rPr>
                <w:rStyle w:val="541"/>
                <w:rFonts w:hint="default" w:ascii="Times New Roman" w:hAnsi="Times New Roman" w:eastAsia="宋体" w:cs="Times New Roman"/>
                <w:sz w:val="21"/>
                <w:szCs w:val="21"/>
                <w:lang w:val="en-US" w:eastAsia="zh-CN" w:bidi="ar"/>
              </w:rPr>
              <w:t>/</w:t>
            </w:r>
          </w:p>
        </w:tc>
        <w:tc>
          <w:tcPr>
            <w:tcW w:w="268" w:type="pct"/>
            <w:tcBorders>
              <w:tl2br w:val="nil"/>
              <w:tr2bl w:val="nil"/>
            </w:tcBorders>
            <w:shd w:val="clear" w:color="auto" w:fill="auto"/>
            <w:vAlign w:val="center"/>
          </w:tcPr>
          <w:p w14:paraId="4A60B33C">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00"/>
                <w:sz w:val="21"/>
                <w:szCs w:val="21"/>
                <w:u w:val="none"/>
              </w:rPr>
            </w:pPr>
            <w:r>
              <w:rPr>
                <w:rStyle w:val="541"/>
                <w:rFonts w:hint="default" w:ascii="Times New Roman" w:hAnsi="Times New Roman" w:eastAsia="宋体" w:cs="Times New Roman"/>
                <w:sz w:val="21"/>
                <w:szCs w:val="21"/>
                <w:lang w:val="en-US" w:eastAsia="zh-CN" w:bidi="ar"/>
              </w:rPr>
              <w:t>/</w:t>
            </w:r>
          </w:p>
        </w:tc>
        <w:tc>
          <w:tcPr>
            <w:tcW w:w="417" w:type="pct"/>
            <w:tcBorders>
              <w:tl2br w:val="nil"/>
              <w:tr2bl w:val="nil"/>
            </w:tcBorders>
            <w:shd w:val="clear" w:color="auto" w:fill="auto"/>
            <w:vAlign w:val="center"/>
          </w:tcPr>
          <w:p w14:paraId="48520315">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00"/>
                <w:sz w:val="21"/>
                <w:szCs w:val="21"/>
                <w:u w:val="none"/>
              </w:rPr>
            </w:pPr>
            <w:r>
              <w:rPr>
                <w:rStyle w:val="541"/>
                <w:rFonts w:hint="default" w:ascii="Times New Roman" w:hAnsi="Times New Roman" w:eastAsia="宋体" w:cs="Times New Roman"/>
                <w:sz w:val="21"/>
                <w:szCs w:val="21"/>
                <w:lang w:val="en-US" w:eastAsia="zh-CN" w:bidi="ar"/>
              </w:rPr>
              <w:t>/</w:t>
            </w:r>
          </w:p>
        </w:tc>
      </w:tr>
      <w:tr w14:paraId="6E9F984E">
        <w:tblPrEx>
          <w:tblBorders>
            <w:top w:val="thinThickSmallGap" w:color="000000" w:sz="12" w:space="0"/>
            <w:left w:val="none" w:color="auto" w:sz="0" w:space="0"/>
            <w:bottom w:val="thinThickSmallGap" w:color="000000" w:sz="12" w:space="0"/>
            <w:right w:val="none" w:color="auto" w:sz="0"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397" w:hRule="atLeast"/>
        </w:trPr>
        <w:tc>
          <w:tcPr>
            <w:tcW w:w="242" w:type="pct"/>
            <w:vMerge w:val="continue"/>
            <w:tcBorders>
              <w:tl2br w:val="nil"/>
              <w:tr2bl w:val="nil"/>
            </w:tcBorders>
            <w:shd w:val="clear" w:color="auto" w:fill="auto"/>
            <w:vAlign w:val="center"/>
          </w:tcPr>
          <w:p w14:paraId="4C817FAF">
            <w:pPr>
              <w:keepNext w:val="0"/>
              <w:keepLines w:val="0"/>
              <w:pageBreakBefore w:val="0"/>
              <w:widowControl/>
              <w:kinsoku/>
              <w:wordWrap/>
              <w:overflowPunct/>
              <w:topLinePunct w:val="0"/>
              <w:autoSpaceDE/>
              <w:autoSpaceDN/>
              <w:bidi w:val="0"/>
              <w:adjustRightInd w:val="0"/>
              <w:snapToGrid w:val="0"/>
              <w:spacing w:line="240" w:lineRule="auto"/>
              <w:jc w:val="center"/>
              <w:rPr>
                <w:rFonts w:hint="default" w:ascii="Times New Roman" w:hAnsi="Times New Roman" w:eastAsia="宋体" w:cs="Times New Roman"/>
                <w:i w:val="0"/>
                <w:iCs w:val="0"/>
                <w:color w:val="000000"/>
                <w:sz w:val="21"/>
                <w:szCs w:val="21"/>
                <w:u w:val="none"/>
              </w:rPr>
            </w:pPr>
          </w:p>
        </w:tc>
        <w:tc>
          <w:tcPr>
            <w:tcW w:w="541" w:type="pct"/>
            <w:tcBorders>
              <w:tl2br w:val="nil"/>
              <w:tr2bl w:val="nil"/>
            </w:tcBorders>
            <w:shd w:val="clear" w:color="auto" w:fill="auto"/>
            <w:vAlign w:val="center"/>
          </w:tcPr>
          <w:p w14:paraId="165AAB81">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00"/>
                <w:sz w:val="21"/>
                <w:szCs w:val="21"/>
                <w:u w:val="none"/>
              </w:rPr>
            </w:pPr>
            <w:r>
              <w:rPr>
                <w:rStyle w:val="541"/>
                <w:rFonts w:hint="default" w:ascii="Times New Roman" w:hAnsi="Times New Roman" w:eastAsia="宋体" w:cs="Times New Roman"/>
                <w:sz w:val="21"/>
                <w:szCs w:val="21"/>
                <w:lang w:val="en-US" w:eastAsia="zh-CN" w:bidi="ar"/>
              </w:rPr>
              <w:t>DA015</w:t>
            </w:r>
          </w:p>
        </w:tc>
        <w:tc>
          <w:tcPr>
            <w:tcW w:w="189" w:type="pct"/>
            <w:tcBorders>
              <w:tl2br w:val="nil"/>
              <w:tr2bl w:val="nil"/>
            </w:tcBorders>
            <w:shd w:val="clear" w:color="auto" w:fill="auto"/>
            <w:vAlign w:val="center"/>
          </w:tcPr>
          <w:p w14:paraId="5654770B">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top"/>
              <w:rPr>
                <w:rFonts w:hint="default" w:ascii="Times New Roman" w:hAnsi="Times New Roman" w:eastAsia="宋体" w:cs="Times New Roman"/>
                <w:i w:val="0"/>
                <w:iCs w:val="0"/>
                <w:color w:val="75BD42"/>
                <w:sz w:val="21"/>
                <w:szCs w:val="21"/>
                <w:u w:val="none"/>
              </w:rPr>
            </w:pPr>
            <w:r>
              <w:rPr>
                <w:rFonts w:hint="default" w:ascii="Times New Roman" w:hAnsi="Times New Roman" w:eastAsia="宋体" w:cs="Times New Roman"/>
                <w:i w:val="0"/>
                <w:iCs w:val="0"/>
                <w:color w:val="75BD42"/>
                <w:kern w:val="0"/>
                <w:sz w:val="21"/>
                <w:szCs w:val="21"/>
                <w:u w:val="none"/>
                <w:lang w:val="en-US" w:eastAsia="zh-CN" w:bidi="ar"/>
              </w:rPr>
              <w:t>64</w:t>
            </w:r>
          </w:p>
        </w:tc>
        <w:tc>
          <w:tcPr>
            <w:tcW w:w="231" w:type="pct"/>
            <w:tcBorders>
              <w:tl2br w:val="nil"/>
              <w:tr2bl w:val="nil"/>
            </w:tcBorders>
            <w:shd w:val="clear" w:color="auto" w:fill="auto"/>
            <w:vAlign w:val="center"/>
          </w:tcPr>
          <w:p w14:paraId="78650959">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top"/>
              <w:rPr>
                <w:rFonts w:hint="default" w:ascii="Times New Roman" w:hAnsi="Times New Roman" w:eastAsia="宋体" w:cs="Times New Roman"/>
                <w:i w:val="0"/>
                <w:iCs w:val="0"/>
                <w:color w:val="75BD42"/>
                <w:sz w:val="21"/>
                <w:szCs w:val="21"/>
                <w:u w:val="none"/>
              </w:rPr>
            </w:pPr>
            <w:r>
              <w:rPr>
                <w:rFonts w:hint="default" w:ascii="Times New Roman" w:hAnsi="Times New Roman" w:eastAsia="宋体" w:cs="Times New Roman"/>
                <w:i w:val="0"/>
                <w:iCs w:val="0"/>
                <w:color w:val="75BD42"/>
                <w:kern w:val="0"/>
                <w:sz w:val="21"/>
                <w:szCs w:val="21"/>
                <w:u w:val="none"/>
                <w:lang w:val="en-US" w:eastAsia="zh-CN" w:bidi="ar"/>
              </w:rPr>
              <w:t>-67</w:t>
            </w:r>
          </w:p>
        </w:tc>
        <w:tc>
          <w:tcPr>
            <w:tcW w:w="460" w:type="pct"/>
            <w:tcBorders>
              <w:tl2br w:val="nil"/>
              <w:tr2bl w:val="nil"/>
            </w:tcBorders>
            <w:shd w:val="clear" w:color="auto" w:fill="auto"/>
            <w:vAlign w:val="center"/>
          </w:tcPr>
          <w:p w14:paraId="73B43075">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75BD42"/>
                <w:sz w:val="21"/>
                <w:szCs w:val="21"/>
                <w:u w:val="none"/>
              </w:rPr>
            </w:pPr>
            <w:r>
              <w:rPr>
                <w:rFonts w:hint="default" w:ascii="Times New Roman" w:hAnsi="Times New Roman" w:eastAsia="宋体" w:cs="Times New Roman"/>
                <w:i w:val="0"/>
                <w:iCs w:val="0"/>
                <w:color w:val="75BD42"/>
                <w:kern w:val="0"/>
                <w:sz w:val="21"/>
                <w:szCs w:val="21"/>
                <w:u w:val="none"/>
                <w:lang w:val="en-US" w:eastAsia="zh-CN" w:bidi="ar"/>
              </w:rPr>
              <w:t>353</w:t>
            </w:r>
          </w:p>
        </w:tc>
        <w:tc>
          <w:tcPr>
            <w:tcW w:w="246" w:type="pct"/>
            <w:tcBorders>
              <w:tl2br w:val="nil"/>
              <w:tr2bl w:val="nil"/>
            </w:tcBorders>
            <w:shd w:val="clear" w:color="auto" w:fill="auto"/>
            <w:vAlign w:val="center"/>
          </w:tcPr>
          <w:p w14:paraId="26E9E5C2">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30</w:t>
            </w:r>
          </w:p>
        </w:tc>
        <w:tc>
          <w:tcPr>
            <w:tcW w:w="257" w:type="pct"/>
            <w:tcBorders>
              <w:tl2br w:val="nil"/>
              <w:tr2bl w:val="nil"/>
            </w:tcBorders>
            <w:shd w:val="clear" w:color="auto" w:fill="auto"/>
            <w:vAlign w:val="center"/>
          </w:tcPr>
          <w:p w14:paraId="5861570F">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1.5</w:t>
            </w:r>
          </w:p>
        </w:tc>
        <w:tc>
          <w:tcPr>
            <w:tcW w:w="330" w:type="pct"/>
            <w:tcBorders>
              <w:tl2br w:val="nil"/>
              <w:tr2bl w:val="nil"/>
            </w:tcBorders>
            <w:shd w:val="clear" w:color="auto" w:fill="auto"/>
            <w:vAlign w:val="center"/>
          </w:tcPr>
          <w:p w14:paraId="28486F47">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sz w:val="21"/>
                <w:szCs w:val="21"/>
                <w:lang w:val="en-US" w:eastAsia="zh-CN" w:bidi="ar"/>
              </w:rPr>
              <w:t>常温</w:t>
            </w:r>
          </w:p>
        </w:tc>
        <w:tc>
          <w:tcPr>
            <w:tcW w:w="330" w:type="pct"/>
            <w:tcBorders>
              <w:tl2br w:val="nil"/>
              <w:tr2bl w:val="nil"/>
            </w:tcBorders>
            <w:shd w:val="clear" w:color="auto" w:fill="auto"/>
            <w:vAlign w:val="center"/>
          </w:tcPr>
          <w:p w14:paraId="0BFF6633">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80000</w:t>
            </w:r>
          </w:p>
        </w:tc>
        <w:tc>
          <w:tcPr>
            <w:tcW w:w="330" w:type="pct"/>
            <w:tcBorders>
              <w:tl2br w:val="nil"/>
              <w:tr2bl w:val="nil"/>
            </w:tcBorders>
            <w:shd w:val="clear" w:color="auto" w:fill="auto"/>
            <w:vAlign w:val="center"/>
          </w:tcPr>
          <w:p w14:paraId="7FDC1666">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FF0000"/>
                <w:sz w:val="21"/>
                <w:szCs w:val="21"/>
                <w:u w:val="none"/>
              </w:rPr>
            </w:pPr>
            <w:r>
              <w:rPr>
                <w:rFonts w:hint="default" w:ascii="Times New Roman" w:hAnsi="Times New Roman" w:eastAsia="宋体" w:cs="Times New Roman"/>
                <w:i w:val="0"/>
                <w:iCs w:val="0"/>
                <w:color w:val="FF0000"/>
                <w:kern w:val="0"/>
                <w:sz w:val="21"/>
                <w:szCs w:val="21"/>
                <w:u w:val="none"/>
                <w:lang w:val="en-US" w:eastAsia="zh-CN" w:bidi="ar"/>
              </w:rPr>
              <w:t>0.3</w:t>
            </w:r>
          </w:p>
        </w:tc>
        <w:tc>
          <w:tcPr>
            <w:tcW w:w="412" w:type="pct"/>
            <w:tcBorders>
              <w:tl2br w:val="nil"/>
              <w:tr2bl w:val="nil"/>
            </w:tcBorders>
            <w:shd w:val="clear" w:color="auto" w:fill="auto"/>
            <w:vAlign w:val="center"/>
          </w:tcPr>
          <w:p w14:paraId="1C125A4B">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00"/>
                <w:sz w:val="21"/>
                <w:szCs w:val="21"/>
                <w:u w:val="none"/>
              </w:rPr>
            </w:pPr>
            <w:r>
              <w:rPr>
                <w:rStyle w:val="541"/>
                <w:rFonts w:hint="default" w:ascii="Times New Roman" w:hAnsi="Times New Roman" w:eastAsia="宋体" w:cs="Times New Roman"/>
                <w:sz w:val="21"/>
                <w:szCs w:val="21"/>
                <w:lang w:val="en-US" w:eastAsia="zh-CN" w:bidi="ar"/>
              </w:rPr>
              <w:t>/</w:t>
            </w:r>
          </w:p>
        </w:tc>
        <w:tc>
          <w:tcPr>
            <w:tcW w:w="412" w:type="pct"/>
            <w:tcBorders>
              <w:tl2br w:val="nil"/>
              <w:tr2bl w:val="nil"/>
            </w:tcBorders>
            <w:shd w:val="clear" w:color="auto" w:fill="auto"/>
            <w:vAlign w:val="center"/>
          </w:tcPr>
          <w:p w14:paraId="5E02BACD">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00"/>
                <w:sz w:val="21"/>
                <w:szCs w:val="21"/>
                <w:u w:val="none"/>
              </w:rPr>
            </w:pPr>
            <w:r>
              <w:rPr>
                <w:rStyle w:val="541"/>
                <w:rFonts w:hint="default" w:ascii="Times New Roman" w:hAnsi="Times New Roman" w:eastAsia="宋体" w:cs="Times New Roman"/>
                <w:sz w:val="21"/>
                <w:szCs w:val="21"/>
                <w:lang w:val="en-US" w:eastAsia="zh-CN" w:bidi="ar"/>
              </w:rPr>
              <w:t>/</w:t>
            </w:r>
          </w:p>
        </w:tc>
        <w:tc>
          <w:tcPr>
            <w:tcW w:w="330" w:type="pct"/>
            <w:tcBorders>
              <w:tl2br w:val="nil"/>
              <w:tr2bl w:val="nil"/>
            </w:tcBorders>
            <w:shd w:val="clear" w:color="auto" w:fill="auto"/>
            <w:vAlign w:val="center"/>
          </w:tcPr>
          <w:p w14:paraId="0E72C23A">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00"/>
                <w:sz w:val="21"/>
                <w:szCs w:val="21"/>
                <w:u w:val="none"/>
              </w:rPr>
            </w:pPr>
            <w:r>
              <w:rPr>
                <w:rStyle w:val="541"/>
                <w:rFonts w:hint="default" w:ascii="Times New Roman" w:hAnsi="Times New Roman" w:eastAsia="宋体" w:cs="Times New Roman"/>
                <w:sz w:val="21"/>
                <w:szCs w:val="21"/>
                <w:lang w:val="en-US" w:eastAsia="zh-CN" w:bidi="ar"/>
              </w:rPr>
              <w:t>/</w:t>
            </w:r>
          </w:p>
        </w:tc>
        <w:tc>
          <w:tcPr>
            <w:tcW w:w="268" w:type="pct"/>
            <w:tcBorders>
              <w:tl2br w:val="nil"/>
              <w:tr2bl w:val="nil"/>
            </w:tcBorders>
            <w:shd w:val="clear" w:color="auto" w:fill="auto"/>
            <w:vAlign w:val="center"/>
          </w:tcPr>
          <w:p w14:paraId="4423371F">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00"/>
                <w:sz w:val="21"/>
                <w:szCs w:val="21"/>
                <w:u w:val="none"/>
              </w:rPr>
            </w:pPr>
            <w:r>
              <w:rPr>
                <w:rStyle w:val="541"/>
                <w:rFonts w:hint="default" w:ascii="Times New Roman" w:hAnsi="Times New Roman" w:eastAsia="宋体" w:cs="Times New Roman"/>
                <w:sz w:val="21"/>
                <w:szCs w:val="21"/>
                <w:lang w:val="en-US" w:eastAsia="zh-CN" w:bidi="ar"/>
              </w:rPr>
              <w:t>/</w:t>
            </w:r>
          </w:p>
        </w:tc>
        <w:tc>
          <w:tcPr>
            <w:tcW w:w="417" w:type="pct"/>
            <w:tcBorders>
              <w:tl2br w:val="nil"/>
              <w:tr2bl w:val="nil"/>
            </w:tcBorders>
            <w:shd w:val="clear" w:color="auto" w:fill="auto"/>
            <w:vAlign w:val="center"/>
          </w:tcPr>
          <w:p w14:paraId="28A86F34">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00"/>
                <w:sz w:val="21"/>
                <w:szCs w:val="21"/>
                <w:u w:val="none"/>
              </w:rPr>
            </w:pPr>
            <w:r>
              <w:rPr>
                <w:rStyle w:val="541"/>
                <w:rFonts w:hint="default" w:ascii="Times New Roman" w:hAnsi="Times New Roman" w:eastAsia="宋体" w:cs="Times New Roman"/>
                <w:sz w:val="21"/>
                <w:szCs w:val="21"/>
                <w:lang w:val="en-US" w:eastAsia="zh-CN" w:bidi="ar"/>
              </w:rPr>
              <w:t>/</w:t>
            </w:r>
          </w:p>
        </w:tc>
      </w:tr>
      <w:tr w14:paraId="766C8C28">
        <w:tblPrEx>
          <w:tblBorders>
            <w:top w:val="thinThickSmallGap" w:color="000000" w:sz="12" w:space="0"/>
            <w:left w:val="none" w:color="auto" w:sz="0" w:space="0"/>
            <w:bottom w:val="thinThickSmallGap"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97" w:hRule="atLeast"/>
        </w:trPr>
        <w:tc>
          <w:tcPr>
            <w:tcW w:w="242" w:type="pct"/>
            <w:vMerge w:val="restart"/>
            <w:tcBorders>
              <w:tl2br w:val="nil"/>
              <w:tr2bl w:val="nil"/>
            </w:tcBorders>
            <w:shd w:val="clear" w:color="auto" w:fill="auto"/>
            <w:vAlign w:val="center"/>
          </w:tcPr>
          <w:p w14:paraId="026DA470">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sz w:val="21"/>
                <w:szCs w:val="21"/>
                <w:lang w:val="en-US" w:eastAsia="zh-CN" w:bidi="ar"/>
              </w:rPr>
              <w:t>类型</w:t>
            </w:r>
          </w:p>
        </w:tc>
        <w:tc>
          <w:tcPr>
            <w:tcW w:w="541" w:type="pct"/>
            <w:vMerge w:val="restart"/>
            <w:tcBorders>
              <w:tl2br w:val="nil"/>
              <w:tr2bl w:val="nil"/>
            </w:tcBorders>
            <w:shd w:val="clear" w:color="auto" w:fill="auto"/>
            <w:vAlign w:val="center"/>
          </w:tcPr>
          <w:p w14:paraId="4B84A9D7">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sz w:val="21"/>
                <w:szCs w:val="21"/>
                <w:lang w:val="en-US" w:eastAsia="zh-CN" w:bidi="ar"/>
              </w:rPr>
            </w:pPr>
            <w:r>
              <w:rPr>
                <w:rFonts w:hint="default" w:ascii="Times New Roman" w:hAnsi="Times New Roman" w:eastAsia="宋体" w:cs="Times New Roman"/>
                <w:sz w:val="21"/>
                <w:szCs w:val="21"/>
                <w:lang w:val="en-US" w:eastAsia="zh-CN" w:bidi="ar"/>
              </w:rPr>
              <w:t>污染源</w:t>
            </w:r>
          </w:p>
          <w:p w14:paraId="415AEF3B">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sz w:val="21"/>
                <w:szCs w:val="21"/>
                <w:lang w:val="en-US" w:eastAsia="zh-CN" w:bidi="ar"/>
              </w:rPr>
              <w:t>名称</w:t>
            </w:r>
          </w:p>
        </w:tc>
        <w:tc>
          <w:tcPr>
            <w:tcW w:w="1715" w:type="pct"/>
            <w:gridSpan w:val="6"/>
            <w:tcBorders>
              <w:tl2br w:val="nil"/>
              <w:tr2bl w:val="nil"/>
            </w:tcBorders>
            <w:shd w:val="clear" w:color="auto" w:fill="auto"/>
            <w:vAlign w:val="center"/>
          </w:tcPr>
          <w:p w14:paraId="1DADCF79">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sz w:val="21"/>
                <w:szCs w:val="21"/>
                <w:lang w:val="en-US" w:eastAsia="zh-CN" w:bidi="ar"/>
              </w:rPr>
              <w:t>面源参数</w:t>
            </w:r>
            <w:r>
              <w:rPr>
                <w:rStyle w:val="541"/>
                <w:rFonts w:hint="default" w:ascii="Times New Roman" w:hAnsi="Times New Roman" w:eastAsia="宋体" w:cs="Times New Roman"/>
                <w:sz w:val="21"/>
                <w:szCs w:val="21"/>
                <w:lang w:val="en-US" w:eastAsia="zh-CN" w:bidi="ar"/>
              </w:rPr>
              <w:t>m</w:t>
            </w:r>
          </w:p>
        </w:tc>
        <w:tc>
          <w:tcPr>
            <w:tcW w:w="330" w:type="pct"/>
            <w:tcBorders>
              <w:tl2br w:val="nil"/>
              <w:tr2bl w:val="nil"/>
            </w:tcBorders>
            <w:shd w:val="clear" w:color="auto" w:fill="auto"/>
            <w:vAlign w:val="center"/>
          </w:tcPr>
          <w:p w14:paraId="2CAEE803">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00"/>
                <w:sz w:val="21"/>
                <w:szCs w:val="21"/>
                <w:u w:val="none"/>
              </w:rPr>
            </w:pPr>
            <w:r>
              <w:rPr>
                <w:rStyle w:val="541"/>
                <w:rFonts w:hint="default" w:ascii="Times New Roman" w:hAnsi="Times New Roman" w:eastAsia="宋体" w:cs="Times New Roman"/>
                <w:sz w:val="21"/>
                <w:szCs w:val="21"/>
                <w:lang w:val="en-US" w:eastAsia="zh-CN" w:bidi="ar"/>
              </w:rPr>
              <w:t>/</w:t>
            </w:r>
          </w:p>
        </w:tc>
        <w:tc>
          <w:tcPr>
            <w:tcW w:w="2170" w:type="pct"/>
            <w:gridSpan w:val="6"/>
            <w:tcBorders>
              <w:tl2br w:val="nil"/>
              <w:tr2bl w:val="nil"/>
            </w:tcBorders>
            <w:shd w:val="clear" w:color="auto" w:fill="auto"/>
            <w:vAlign w:val="center"/>
          </w:tcPr>
          <w:p w14:paraId="6222D35B">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sz w:val="21"/>
                <w:szCs w:val="21"/>
                <w:lang w:val="en-US" w:eastAsia="zh-CN" w:bidi="ar"/>
              </w:rPr>
              <w:t>估算因子（</w:t>
            </w:r>
            <w:r>
              <w:rPr>
                <w:rStyle w:val="541"/>
                <w:rFonts w:hint="default" w:ascii="Times New Roman" w:hAnsi="Times New Roman" w:eastAsia="宋体" w:cs="Times New Roman"/>
                <w:sz w:val="21"/>
                <w:szCs w:val="21"/>
                <w:lang w:val="en-US" w:eastAsia="zh-CN" w:bidi="ar"/>
              </w:rPr>
              <w:t>kg/h</w:t>
            </w:r>
            <w:r>
              <w:rPr>
                <w:rFonts w:hint="default" w:ascii="Times New Roman" w:hAnsi="Times New Roman" w:eastAsia="宋体" w:cs="Times New Roman"/>
                <w:sz w:val="21"/>
                <w:szCs w:val="21"/>
                <w:lang w:val="en-US" w:eastAsia="zh-CN" w:bidi="ar"/>
              </w:rPr>
              <w:t>）</w:t>
            </w:r>
          </w:p>
        </w:tc>
      </w:tr>
      <w:tr w14:paraId="65B1FEB8">
        <w:tblPrEx>
          <w:tblBorders>
            <w:top w:val="thinThickSmallGap" w:color="000000" w:sz="12" w:space="0"/>
            <w:left w:val="none" w:color="auto" w:sz="0" w:space="0"/>
            <w:bottom w:val="thinThickSmallGap" w:color="000000" w:sz="12" w:space="0"/>
            <w:right w:val="none" w:color="auto" w:sz="0"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397" w:hRule="atLeast"/>
        </w:trPr>
        <w:tc>
          <w:tcPr>
            <w:tcW w:w="242" w:type="pct"/>
            <w:vMerge w:val="continue"/>
            <w:tcBorders>
              <w:tl2br w:val="nil"/>
              <w:tr2bl w:val="nil"/>
            </w:tcBorders>
            <w:shd w:val="clear" w:color="auto" w:fill="auto"/>
            <w:vAlign w:val="center"/>
          </w:tcPr>
          <w:p w14:paraId="46737F39">
            <w:pPr>
              <w:keepNext w:val="0"/>
              <w:keepLines w:val="0"/>
              <w:pageBreakBefore w:val="0"/>
              <w:widowControl/>
              <w:kinsoku/>
              <w:wordWrap/>
              <w:overflowPunct/>
              <w:topLinePunct w:val="0"/>
              <w:autoSpaceDE/>
              <w:autoSpaceDN/>
              <w:bidi w:val="0"/>
              <w:adjustRightInd w:val="0"/>
              <w:snapToGrid w:val="0"/>
              <w:spacing w:line="240" w:lineRule="auto"/>
              <w:jc w:val="center"/>
              <w:rPr>
                <w:rFonts w:hint="default" w:ascii="Times New Roman" w:hAnsi="Times New Roman" w:eastAsia="宋体" w:cs="Times New Roman"/>
                <w:i w:val="0"/>
                <w:iCs w:val="0"/>
                <w:color w:val="000000"/>
                <w:sz w:val="21"/>
                <w:szCs w:val="21"/>
                <w:u w:val="none"/>
              </w:rPr>
            </w:pPr>
          </w:p>
        </w:tc>
        <w:tc>
          <w:tcPr>
            <w:tcW w:w="541" w:type="pct"/>
            <w:vMerge w:val="continue"/>
            <w:tcBorders>
              <w:tl2br w:val="nil"/>
              <w:tr2bl w:val="nil"/>
            </w:tcBorders>
            <w:shd w:val="clear" w:color="auto" w:fill="auto"/>
            <w:vAlign w:val="center"/>
          </w:tcPr>
          <w:p w14:paraId="7B67262C">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00"/>
                <w:sz w:val="21"/>
                <w:szCs w:val="21"/>
                <w:u w:val="none"/>
              </w:rPr>
            </w:pPr>
          </w:p>
        </w:tc>
        <w:tc>
          <w:tcPr>
            <w:tcW w:w="189" w:type="pct"/>
            <w:tcBorders>
              <w:tl2br w:val="nil"/>
              <w:tr2bl w:val="nil"/>
            </w:tcBorders>
            <w:shd w:val="clear" w:color="auto" w:fill="auto"/>
            <w:vAlign w:val="center"/>
          </w:tcPr>
          <w:p w14:paraId="36500126">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00"/>
                <w:sz w:val="21"/>
                <w:szCs w:val="21"/>
                <w:u w:val="none"/>
              </w:rPr>
            </w:pPr>
            <w:r>
              <w:rPr>
                <w:rStyle w:val="541"/>
                <w:rFonts w:hint="default" w:ascii="Times New Roman" w:hAnsi="Times New Roman" w:eastAsia="宋体" w:cs="Times New Roman"/>
                <w:sz w:val="21"/>
                <w:szCs w:val="21"/>
                <w:lang w:val="en-US" w:eastAsia="zh-CN" w:bidi="ar"/>
              </w:rPr>
              <w:t>X</w:t>
            </w:r>
          </w:p>
        </w:tc>
        <w:tc>
          <w:tcPr>
            <w:tcW w:w="231" w:type="pct"/>
            <w:tcBorders>
              <w:tl2br w:val="nil"/>
              <w:tr2bl w:val="nil"/>
            </w:tcBorders>
            <w:shd w:val="clear" w:color="auto" w:fill="auto"/>
            <w:vAlign w:val="center"/>
          </w:tcPr>
          <w:p w14:paraId="569A8D28">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00"/>
                <w:sz w:val="21"/>
                <w:szCs w:val="21"/>
                <w:u w:val="none"/>
              </w:rPr>
            </w:pPr>
            <w:r>
              <w:rPr>
                <w:rStyle w:val="541"/>
                <w:rFonts w:hint="default" w:ascii="Times New Roman" w:hAnsi="Times New Roman" w:eastAsia="宋体" w:cs="Times New Roman"/>
                <w:sz w:val="21"/>
                <w:szCs w:val="21"/>
                <w:lang w:val="en-US" w:eastAsia="zh-CN" w:bidi="ar"/>
              </w:rPr>
              <w:t>Y</w:t>
            </w:r>
          </w:p>
        </w:tc>
        <w:tc>
          <w:tcPr>
            <w:tcW w:w="460" w:type="pct"/>
            <w:tcBorders>
              <w:tl2br w:val="nil"/>
              <w:tr2bl w:val="nil"/>
            </w:tcBorders>
            <w:shd w:val="clear" w:color="auto" w:fill="auto"/>
            <w:vAlign w:val="center"/>
          </w:tcPr>
          <w:p w14:paraId="52E6C2C4">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00"/>
                <w:sz w:val="21"/>
                <w:szCs w:val="21"/>
                <w:u w:val="none"/>
              </w:rPr>
            </w:pPr>
            <w:r>
              <w:rPr>
                <w:rStyle w:val="541"/>
                <w:rFonts w:hint="default" w:ascii="Times New Roman" w:hAnsi="Times New Roman" w:eastAsia="宋体" w:cs="Times New Roman"/>
                <w:sz w:val="21"/>
                <w:szCs w:val="21"/>
                <w:lang w:val="en-US" w:eastAsia="zh-CN" w:bidi="ar"/>
              </w:rPr>
              <w:t>Z</w:t>
            </w:r>
            <w:r>
              <w:rPr>
                <w:rFonts w:hint="default" w:ascii="Times New Roman" w:hAnsi="Times New Roman" w:eastAsia="宋体" w:cs="Times New Roman"/>
                <w:sz w:val="21"/>
                <w:szCs w:val="21"/>
                <w:lang w:val="en-US" w:eastAsia="zh-CN" w:bidi="ar"/>
              </w:rPr>
              <w:t>（高程）</w:t>
            </w:r>
          </w:p>
        </w:tc>
        <w:tc>
          <w:tcPr>
            <w:tcW w:w="246" w:type="pct"/>
            <w:tcBorders>
              <w:tl2br w:val="nil"/>
              <w:tr2bl w:val="nil"/>
            </w:tcBorders>
            <w:shd w:val="clear" w:color="auto" w:fill="auto"/>
            <w:vAlign w:val="center"/>
          </w:tcPr>
          <w:p w14:paraId="0EEE0A89">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sz w:val="21"/>
                <w:szCs w:val="21"/>
                <w:lang w:val="en-US" w:eastAsia="zh-CN" w:bidi="ar"/>
              </w:rPr>
              <w:t>长</w:t>
            </w:r>
          </w:p>
        </w:tc>
        <w:tc>
          <w:tcPr>
            <w:tcW w:w="257" w:type="pct"/>
            <w:tcBorders>
              <w:tl2br w:val="nil"/>
              <w:tr2bl w:val="nil"/>
            </w:tcBorders>
            <w:shd w:val="clear" w:color="auto" w:fill="auto"/>
            <w:vAlign w:val="center"/>
          </w:tcPr>
          <w:p w14:paraId="0D8C4DF7">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sz w:val="21"/>
                <w:szCs w:val="21"/>
                <w:lang w:val="en-US" w:eastAsia="zh-CN" w:bidi="ar"/>
              </w:rPr>
              <w:t>宽</w:t>
            </w:r>
          </w:p>
        </w:tc>
        <w:tc>
          <w:tcPr>
            <w:tcW w:w="330" w:type="pct"/>
            <w:tcBorders>
              <w:tl2br w:val="nil"/>
              <w:tr2bl w:val="nil"/>
            </w:tcBorders>
            <w:shd w:val="clear" w:color="auto" w:fill="auto"/>
            <w:vAlign w:val="center"/>
          </w:tcPr>
          <w:p w14:paraId="3BCA38F6">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sz w:val="21"/>
                <w:szCs w:val="21"/>
                <w:lang w:val="en-US" w:eastAsia="zh-CN" w:bidi="ar"/>
              </w:rPr>
              <w:t>有效高</w:t>
            </w:r>
          </w:p>
        </w:tc>
        <w:tc>
          <w:tcPr>
            <w:tcW w:w="330" w:type="pct"/>
            <w:tcBorders>
              <w:tl2br w:val="nil"/>
              <w:tr2bl w:val="nil"/>
            </w:tcBorders>
            <w:shd w:val="clear" w:color="auto" w:fill="auto"/>
            <w:vAlign w:val="center"/>
          </w:tcPr>
          <w:p w14:paraId="3C1A5D2A">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00"/>
                <w:sz w:val="21"/>
                <w:szCs w:val="21"/>
                <w:u w:val="none"/>
              </w:rPr>
            </w:pPr>
            <w:r>
              <w:rPr>
                <w:rStyle w:val="541"/>
                <w:rFonts w:hint="default" w:ascii="Times New Roman" w:hAnsi="Times New Roman" w:eastAsia="宋体" w:cs="Times New Roman"/>
                <w:sz w:val="21"/>
                <w:szCs w:val="21"/>
                <w:lang w:val="en-US" w:eastAsia="zh-CN" w:bidi="ar"/>
              </w:rPr>
              <w:t>/</w:t>
            </w:r>
          </w:p>
        </w:tc>
        <w:tc>
          <w:tcPr>
            <w:tcW w:w="330" w:type="pct"/>
            <w:tcBorders>
              <w:tl2br w:val="nil"/>
              <w:tr2bl w:val="nil"/>
            </w:tcBorders>
            <w:shd w:val="clear" w:color="auto" w:fill="auto"/>
            <w:vAlign w:val="center"/>
          </w:tcPr>
          <w:p w14:paraId="4E6574F4">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sz w:val="21"/>
                <w:szCs w:val="21"/>
                <w:lang w:val="en-US" w:eastAsia="zh-CN" w:bidi="ar"/>
              </w:rPr>
              <w:t>颗粒物</w:t>
            </w:r>
          </w:p>
        </w:tc>
        <w:tc>
          <w:tcPr>
            <w:tcW w:w="412" w:type="pct"/>
            <w:tcBorders>
              <w:tl2br w:val="nil"/>
              <w:tr2bl w:val="nil"/>
            </w:tcBorders>
            <w:shd w:val="clear" w:color="auto" w:fill="auto"/>
            <w:vAlign w:val="center"/>
          </w:tcPr>
          <w:p w14:paraId="774623C4">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00"/>
                <w:sz w:val="21"/>
                <w:szCs w:val="21"/>
                <w:u w:val="none"/>
              </w:rPr>
            </w:pPr>
            <w:r>
              <w:rPr>
                <w:rStyle w:val="541"/>
                <w:rFonts w:hint="default" w:ascii="Times New Roman" w:hAnsi="Times New Roman" w:eastAsia="宋体" w:cs="Times New Roman"/>
                <w:sz w:val="21"/>
                <w:szCs w:val="21"/>
                <w:lang w:val="en-US" w:eastAsia="zh-CN" w:bidi="ar"/>
              </w:rPr>
              <w:t>/</w:t>
            </w:r>
          </w:p>
        </w:tc>
        <w:tc>
          <w:tcPr>
            <w:tcW w:w="412" w:type="pct"/>
            <w:tcBorders>
              <w:tl2br w:val="nil"/>
              <w:tr2bl w:val="nil"/>
            </w:tcBorders>
            <w:shd w:val="clear" w:color="auto" w:fill="auto"/>
            <w:vAlign w:val="center"/>
          </w:tcPr>
          <w:p w14:paraId="426E0EF7">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00"/>
                <w:sz w:val="21"/>
                <w:szCs w:val="21"/>
                <w:u w:val="none"/>
              </w:rPr>
            </w:pPr>
            <w:r>
              <w:rPr>
                <w:rStyle w:val="541"/>
                <w:rFonts w:hint="default" w:ascii="Times New Roman" w:hAnsi="Times New Roman" w:eastAsia="宋体" w:cs="Times New Roman"/>
                <w:sz w:val="21"/>
                <w:szCs w:val="21"/>
                <w:lang w:val="en-US" w:eastAsia="zh-CN" w:bidi="ar"/>
              </w:rPr>
              <w:t>/</w:t>
            </w:r>
          </w:p>
        </w:tc>
        <w:tc>
          <w:tcPr>
            <w:tcW w:w="330" w:type="pct"/>
            <w:tcBorders>
              <w:tl2br w:val="nil"/>
              <w:tr2bl w:val="nil"/>
            </w:tcBorders>
            <w:shd w:val="clear" w:color="auto" w:fill="auto"/>
            <w:vAlign w:val="center"/>
          </w:tcPr>
          <w:p w14:paraId="28D76927">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00"/>
                <w:sz w:val="21"/>
                <w:szCs w:val="21"/>
                <w:u w:val="none"/>
              </w:rPr>
            </w:pPr>
            <w:r>
              <w:rPr>
                <w:rStyle w:val="541"/>
                <w:rFonts w:hint="default" w:ascii="Times New Roman" w:hAnsi="Times New Roman" w:eastAsia="宋体" w:cs="Times New Roman"/>
                <w:sz w:val="21"/>
                <w:szCs w:val="21"/>
                <w:lang w:val="en-US" w:eastAsia="zh-CN" w:bidi="ar"/>
              </w:rPr>
              <w:t>/</w:t>
            </w:r>
          </w:p>
        </w:tc>
        <w:tc>
          <w:tcPr>
            <w:tcW w:w="268" w:type="pct"/>
            <w:tcBorders>
              <w:tl2br w:val="nil"/>
              <w:tr2bl w:val="nil"/>
            </w:tcBorders>
            <w:shd w:val="clear" w:color="auto" w:fill="auto"/>
            <w:vAlign w:val="center"/>
          </w:tcPr>
          <w:p w14:paraId="3D024F05">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sz w:val="21"/>
                <w:szCs w:val="21"/>
                <w:lang w:val="en-US" w:eastAsia="zh-CN" w:bidi="ar"/>
              </w:rPr>
              <w:t>氨</w:t>
            </w:r>
          </w:p>
        </w:tc>
        <w:tc>
          <w:tcPr>
            <w:tcW w:w="417" w:type="pct"/>
            <w:tcBorders>
              <w:tl2br w:val="nil"/>
              <w:tr2bl w:val="nil"/>
            </w:tcBorders>
            <w:shd w:val="clear" w:color="auto" w:fill="auto"/>
            <w:vAlign w:val="center"/>
          </w:tcPr>
          <w:p w14:paraId="42A6DF1F">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00"/>
                <w:sz w:val="21"/>
                <w:szCs w:val="21"/>
                <w:u w:val="none"/>
              </w:rPr>
            </w:pPr>
            <w:r>
              <w:rPr>
                <w:rStyle w:val="541"/>
                <w:rFonts w:hint="default" w:ascii="Times New Roman" w:hAnsi="Times New Roman" w:eastAsia="宋体" w:cs="Times New Roman"/>
                <w:sz w:val="21"/>
                <w:szCs w:val="21"/>
                <w:lang w:val="en-US" w:eastAsia="zh-CN" w:bidi="ar"/>
              </w:rPr>
              <w:t>/</w:t>
            </w:r>
          </w:p>
        </w:tc>
      </w:tr>
      <w:tr w14:paraId="2A7B38DD">
        <w:tblPrEx>
          <w:tblBorders>
            <w:top w:val="thinThickSmallGap" w:color="000000" w:sz="12" w:space="0"/>
            <w:left w:val="none" w:color="auto" w:sz="0" w:space="0"/>
            <w:bottom w:val="thinThickSmallGap"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97" w:hRule="atLeast"/>
        </w:trPr>
        <w:tc>
          <w:tcPr>
            <w:tcW w:w="242" w:type="pct"/>
            <w:vMerge w:val="restart"/>
            <w:tcBorders>
              <w:tl2br w:val="nil"/>
              <w:tr2bl w:val="nil"/>
            </w:tcBorders>
            <w:shd w:val="clear" w:color="auto" w:fill="auto"/>
            <w:vAlign w:val="center"/>
          </w:tcPr>
          <w:p w14:paraId="1E121185">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sz w:val="21"/>
                <w:szCs w:val="21"/>
                <w:lang w:val="en-US" w:eastAsia="zh-CN" w:bidi="ar"/>
              </w:rPr>
              <w:t>面源</w:t>
            </w:r>
          </w:p>
        </w:tc>
        <w:tc>
          <w:tcPr>
            <w:tcW w:w="541" w:type="pct"/>
            <w:tcBorders>
              <w:tl2br w:val="nil"/>
              <w:tr2bl w:val="nil"/>
            </w:tcBorders>
            <w:shd w:val="clear" w:color="auto" w:fill="auto"/>
            <w:vAlign w:val="center"/>
          </w:tcPr>
          <w:p w14:paraId="7A95C477">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sz w:val="21"/>
                <w:szCs w:val="21"/>
                <w:lang w:val="en-US" w:eastAsia="zh-CN" w:bidi="ar"/>
              </w:rPr>
              <w:t>烧结车间</w:t>
            </w:r>
            <w:r>
              <w:rPr>
                <w:rStyle w:val="541"/>
                <w:rFonts w:hint="default" w:ascii="Times New Roman" w:hAnsi="Times New Roman" w:eastAsia="宋体" w:cs="Times New Roman"/>
                <w:sz w:val="21"/>
                <w:szCs w:val="21"/>
                <w:lang w:val="en-US" w:eastAsia="zh-CN" w:bidi="ar"/>
              </w:rPr>
              <w:t>M1</w:t>
            </w:r>
          </w:p>
        </w:tc>
        <w:tc>
          <w:tcPr>
            <w:tcW w:w="189" w:type="pct"/>
            <w:tcBorders>
              <w:tl2br w:val="nil"/>
              <w:tr2bl w:val="nil"/>
            </w:tcBorders>
            <w:shd w:val="clear" w:color="auto" w:fill="auto"/>
            <w:vAlign w:val="center"/>
          </w:tcPr>
          <w:p w14:paraId="0228622C">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1"/>
                <w:szCs w:val="21"/>
                <w:u w:val="none"/>
                <w:lang w:val="en-US" w:eastAsia="zh-CN" w:bidi="ar"/>
              </w:rPr>
              <w:t>-24</w:t>
            </w:r>
          </w:p>
        </w:tc>
        <w:tc>
          <w:tcPr>
            <w:tcW w:w="231" w:type="pct"/>
            <w:tcBorders>
              <w:tl2br w:val="nil"/>
              <w:tr2bl w:val="nil"/>
            </w:tcBorders>
            <w:shd w:val="clear" w:color="auto" w:fill="auto"/>
            <w:vAlign w:val="center"/>
          </w:tcPr>
          <w:p w14:paraId="1E91BA35">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1"/>
                <w:szCs w:val="21"/>
                <w:u w:val="none"/>
                <w:lang w:val="en-US" w:eastAsia="zh-CN" w:bidi="ar"/>
              </w:rPr>
              <w:t>-92</w:t>
            </w:r>
          </w:p>
        </w:tc>
        <w:tc>
          <w:tcPr>
            <w:tcW w:w="460" w:type="pct"/>
            <w:tcBorders>
              <w:tl2br w:val="nil"/>
              <w:tr2bl w:val="nil"/>
            </w:tcBorders>
            <w:shd w:val="clear" w:color="auto" w:fill="auto"/>
            <w:vAlign w:val="center"/>
          </w:tcPr>
          <w:p w14:paraId="1DADA00E">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1"/>
                <w:szCs w:val="21"/>
                <w:u w:val="none"/>
                <w:lang w:val="en-US" w:eastAsia="zh-CN" w:bidi="ar"/>
              </w:rPr>
              <w:t>351</w:t>
            </w:r>
          </w:p>
        </w:tc>
        <w:tc>
          <w:tcPr>
            <w:tcW w:w="246" w:type="pct"/>
            <w:tcBorders>
              <w:tl2br w:val="nil"/>
              <w:tr2bl w:val="nil"/>
            </w:tcBorders>
            <w:shd w:val="clear" w:color="auto" w:fill="auto"/>
            <w:vAlign w:val="center"/>
          </w:tcPr>
          <w:p w14:paraId="2ADB6E63">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136</w:t>
            </w:r>
          </w:p>
        </w:tc>
        <w:tc>
          <w:tcPr>
            <w:tcW w:w="257" w:type="pct"/>
            <w:tcBorders>
              <w:tl2br w:val="nil"/>
              <w:tr2bl w:val="nil"/>
            </w:tcBorders>
            <w:shd w:val="clear" w:color="auto" w:fill="auto"/>
            <w:vAlign w:val="center"/>
          </w:tcPr>
          <w:p w14:paraId="7D15F8CF">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31</w:t>
            </w:r>
          </w:p>
        </w:tc>
        <w:tc>
          <w:tcPr>
            <w:tcW w:w="330" w:type="pct"/>
            <w:tcBorders>
              <w:tl2br w:val="nil"/>
              <w:tr2bl w:val="nil"/>
            </w:tcBorders>
            <w:shd w:val="clear" w:color="auto" w:fill="auto"/>
            <w:vAlign w:val="center"/>
          </w:tcPr>
          <w:p w14:paraId="46816F66">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FF0000"/>
                <w:sz w:val="21"/>
                <w:szCs w:val="21"/>
                <w:u w:val="none"/>
              </w:rPr>
            </w:pPr>
            <w:r>
              <w:rPr>
                <w:rFonts w:hint="default" w:ascii="Times New Roman" w:hAnsi="Times New Roman" w:eastAsia="宋体" w:cs="Times New Roman"/>
                <w:i w:val="0"/>
                <w:iCs w:val="0"/>
                <w:color w:val="FF0000"/>
                <w:kern w:val="0"/>
                <w:sz w:val="21"/>
                <w:szCs w:val="21"/>
                <w:u w:val="none"/>
                <w:lang w:val="en-US" w:eastAsia="zh-CN" w:bidi="ar"/>
              </w:rPr>
              <w:t>15</w:t>
            </w:r>
          </w:p>
        </w:tc>
        <w:tc>
          <w:tcPr>
            <w:tcW w:w="330" w:type="pct"/>
            <w:tcBorders>
              <w:tl2br w:val="nil"/>
              <w:tr2bl w:val="nil"/>
            </w:tcBorders>
            <w:shd w:val="clear" w:color="auto" w:fill="auto"/>
            <w:vAlign w:val="center"/>
          </w:tcPr>
          <w:p w14:paraId="724EC04A">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00"/>
                <w:sz w:val="21"/>
                <w:szCs w:val="21"/>
                <w:u w:val="none"/>
              </w:rPr>
            </w:pPr>
            <w:r>
              <w:rPr>
                <w:rStyle w:val="541"/>
                <w:rFonts w:hint="default" w:ascii="Times New Roman" w:hAnsi="Times New Roman" w:eastAsia="宋体" w:cs="Times New Roman"/>
                <w:sz w:val="21"/>
                <w:szCs w:val="21"/>
                <w:lang w:val="en-US" w:eastAsia="zh-CN" w:bidi="ar"/>
              </w:rPr>
              <w:t>/</w:t>
            </w:r>
          </w:p>
        </w:tc>
        <w:tc>
          <w:tcPr>
            <w:tcW w:w="330" w:type="pct"/>
            <w:tcBorders>
              <w:tl2br w:val="nil"/>
              <w:tr2bl w:val="nil"/>
            </w:tcBorders>
            <w:shd w:val="clear" w:color="auto" w:fill="auto"/>
            <w:vAlign w:val="center"/>
          </w:tcPr>
          <w:p w14:paraId="22C5D59C">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FF0000"/>
                <w:sz w:val="21"/>
                <w:szCs w:val="21"/>
                <w:u w:val="none"/>
              </w:rPr>
            </w:pPr>
            <w:r>
              <w:rPr>
                <w:rFonts w:hint="default" w:ascii="Times New Roman" w:hAnsi="Times New Roman" w:eastAsia="宋体" w:cs="Times New Roman"/>
                <w:i w:val="0"/>
                <w:iCs w:val="0"/>
                <w:color w:val="FF0000"/>
                <w:kern w:val="0"/>
                <w:sz w:val="21"/>
                <w:szCs w:val="21"/>
                <w:u w:val="none"/>
                <w:lang w:val="en-US" w:eastAsia="zh-CN" w:bidi="ar"/>
              </w:rPr>
              <w:t>0.26</w:t>
            </w:r>
          </w:p>
        </w:tc>
        <w:tc>
          <w:tcPr>
            <w:tcW w:w="412" w:type="pct"/>
            <w:tcBorders>
              <w:tl2br w:val="nil"/>
              <w:tr2bl w:val="nil"/>
            </w:tcBorders>
            <w:shd w:val="clear" w:color="auto" w:fill="auto"/>
            <w:vAlign w:val="center"/>
          </w:tcPr>
          <w:p w14:paraId="0D61CCB1">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00"/>
                <w:sz w:val="21"/>
                <w:szCs w:val="21"/>
                <w:u w:val="none"/>
              </w:rPr>
            </w:pPr>
            <w:r>
              <w:rPr>
                <w:rStyle w:val="541"/>
                <w:rFonts w:hint="default" w:ascii="Times New Roman" w:hAnsi="Times New Roman" w:eastAsia="宋体" w:cs="Times New Roman"/>
                <w:sz w:val="21"/>
                <w:szCs w:val="21"/>
                <w:lang w:val="en-US" w:eastAsia="zh-CN" w:bidi="ar"/>
              </w:rPr>
              <w:t>/</w:t>
            </w:r>
          </w:p>
        </w:tc>
        <w:tc>
          <w:tcPr>
            <w:tcW w:w="412" w:type="pct"/>
            <w:tcBorders>
              <w:tl2br w:val="nil"/>
              <w:tr2bl w:val="nil"/>
            </w:tcBorders>
            <w:shd w:val="clear" w:color="auto" w:fill="auto"/>
            <w:vAlign w:val="center"/>
          </w:tcPr>
          <w:p w14:paraId="60DA98C2">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00"/>
                <w:sz w:val="21"/>
                <w:szCs w:val="21"/>
                <w:u w:val="none"/>
              </w:rPr>
            </w:pPr>
            <w:r>
              <w:rPr>
                <w:rStyle w:val="541"/>
                <w:rFonts w:hint="default" w:ascii="Times New Roman" w:hAnsi="Times New Roman" w:eastAsia="宋体" w:cs="Times New Roman"/>
                <w:sz w:val="21"/>
                <w:szCs w:val="21"/>
                <w:lang w:val="en-US" w:eastAsia="zh-CN" w:bidi="ar"/>
              </w:rPr>
              <w:t>/</w:t>
            </w:r>
          </w:p>
        </w:tc>
        <w:tc>
          <w:tcPr>
            <w:tcW w:w="330" w:type="pct"/>
            <w:tcBorders>
              <w:tl2br w:val="nil"/>
              <w:tr2bl w:val="nil"/>
            </w:tcBorders>
            <w:shd w:val="clear" w:color="auto" w:fill="auto"/>
            <w:vAlign w:val="center"/>
          </w:tcPr>
          <w:p w14:paraId="2C668A67">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00"/>
                <w:sz w:val="21"/>
                <w:szCs w:val="21"/>
                <w:u w:val="none"/>
              </w:rPr>
            </w:pPr>
            <w:r>
              <w:rPr>
                <w:rStyle w:val="541"/>
                <w:rFonts w:hint="default" w:ascii="Times New Roman" w:hAnsi="Times New Roman" w:eastAsia="宋体" w:cs="Times New Roman"/>
                <w:sz w:val="21"/>
                <w:szCs w:val="21"/>
                <w:lang w:val="en-US" w:eastAsia="zh-CN" w:bidi="ar"/>
              </w:rPr>
              <w:t>/</w:t>
            </w:r>
          </w:p>
        </w:tc>
        <w:tc>
          <w:tcPr>
            <w:tcW w:w="268" w:type="pct"/>
            <w:tcBorders>
              <w:tl2br w:val="nil"/>
              <w:tr2bl w:val="nil"/>
            </w:tcBorders>
            <w:shd w:val="clear" w:color="auto" w:fill="auto"/>
            <w:vAlign w:val="center"/>
          </w:tcPr>
          <w:p w14:paraId="003262F9">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00"/>
                <w:sz w:val="21"/>
                <w:szCs w:val="21"/>
                <w:u w:val="none"/>
              </w:rPr>
            </w:pPr>
            <w:r>
              <w:rPr>
                <w:rStyle w:val="541"/>
                <w:rFonts w:hint="default" w:ascii="Times New Roman" w:hAnsi="Times New Roman" w:eastAsia="宋体" w:cs="Times New Roman"/>
                <w:sz w:val="21"/>
                <w:szCs w:val="21"/>
                <w:lang w:val="en-US" w:eastAsia="zh-CN" w:bidi="ar"/>
              </w:rPr>
              <w:t>/</w:t>
            </w:r>
          </w:p>
        </w:tc>
        <w:tc>
          <w:tcPr>
            <w:tcW w:w="417" w:type="pct"/>
            <w:tcBorders>
              <w:tl2br w:val="nil"/>
              <w:tr2bl w:val="nil"/>
            </w:tcBorders>
            <w:shd w:val="clear" w:color="auto" w:fill="auto"/>
            <w:vAlign w:val="center"/>
          </w:tcPr>
          <w:p w14:paraId="36520EB5">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00"/>
                <w:sz w:val="21"/>
                <w:szCs w:val="21"/>
                <w:u w:val="none"/>
              </w:rPr>
            </w:pPr>
            <w:r>
              <w:rPr>
                <w:rStyle w:val="541"/>
                <w:rFonts w:hint="default" w:ascii="Times New Roman" w:hAnsi="Times New Roman" w:eastAsia="宋体" w:cs="Times New Roman"/>
                <w:sz w:val="21"/>
                <w:szCs w:val="21"/>
                <w:lang w:val="en-US" w:eastAsia="zh-CN" w:bidi="ar"/>
              </w:rPr>
              <w:t>/</w:t>
            </w:r>
          </w:p>
        </w:tc>
      </w:tr>
      <w:tr w14:paraId="1AE49C9E">
        <w:tblPrEx>
          <w:tblBorders>
            <w:top w:val="thinThickSmallGap" w:color="000000" w:sz="12" w:space="0"/>
            <w:left w:val="none" w:color="auto" w:sz="0" w:space="0"/>
            <w:bottom w:val="thinThickSmallGap" w:color="000000" w:sz="12" w:space="0"/>
            <w:right w:val="none" w:color="auto" w:sz="0"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397" w:hRule="atLeast"/>
        </w:trPr>
        <w:tc>
          <w:tcPr>
            <w:tcW w:w="242" w:type="pct"/>
            <w:vMerge w:val="continue"/>
            <w:tcBorders>
              <w:tl2br w:val="nil"/>
              <w:tr2bl w:val="nil"/>
            </w:tcBorders>
            <w:shd w:val="clear" w:color="auto" w:fill="auto"/>
            <w:vAlign w:val="center"/>
          </w:tcPr>
          <w:p w14:paraId="61C98D30">
            <w:pPr>
              <w:keepNext w:val="0"/>
              <w:keepLines w:val="0"/>
              <w:pageBreakBefore w:val="0"/>
              <w:widowControl/>
              <w:kinsoku/>
              <w:wordWrap/>
              <w:overflowPunct/>
              <w:topLinePunct w:val="0"/>
              <w:autoSpaceDE/>
              <w:autoSpaceDN/>
              <w:bidi w:val="0"/>
              <w:adjustRightInd w:val="0"/>
              <w:snapToGrid w:val="0"/>
              <w:spacing w:line="240" w:lineRule="auto"/>
              <w:jc w:val="center"/>
              <w:rPr>
                <w:rFonts w:hint="default" w:ascii="Times New Roman" w:hAnsi="Times New Roman" w:eastAsia="宋体" w:cs="Times New Roman"/>
                <w:i w:val="0"/>
                <w:iCs w:val="0"/>
                <w:color w:val="000000"/>
                <w:sz w:val="21"/>
                <w:szCs w:val="21"/>
                <w:u w:val="none"/>
              </w:rPr>
            </w:pPr>
          </w:p>
        </w:tc>
        <w:tc>
          <w:tcPr>
            <w:tcW w:w="541" w:type="pct"/>
            <w:tcBorders>
              <w:tl2br w:val="nil"/>
              <w:tr2bl w:val="nil"/>
            </w:tcBorders>
            <w:shd w:val="clear" w:color="auto" w:fill="auto"/>
            <w:vAlign w:val="center"/>
          </w:tcPr>
          <w:p w14:paraId="49FB66EE">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sz w:val="21"/>
                <w:szCs w:val="21"/>
                <w:lang w:val="en-US" w:eastAsia="zh-CN" w:bidi="ar"/>
              </w:rPr>
              <w:t>球团车间</w:t>
            </w:r>
            <w:r>
              <w:rPr>
                <w:rStyle w:val="541"/>
                <w:rFonts w:hint="default" w:ascii="Times New Roman" w:hAnsi="Times New Roman" w:eastAsia="宋体" w:cs="Times New Roman"/>
                <w:sz w:val="21"/>
                <w:szCs w:val="21"/>
                <w:lang w:val="en-US" w:eastAsia="zh-CN" w:bidi="ar"/>
              </w:rPr>
              <w:t>M2</w:t>
            </w:r>
          </w:p>
        </w:tc>
        <w:tc>
          <w:tcPr>
            <w:tcW w:w="189" w:type="pct"/>
            <w:tcBorders>
              <w:tl2br w:val="nil"/>
              <w:tr2bl w:val="nil"/>
            </w:tcBorders>
            <w:shd w:val="clear" w:color="auto" w:fill="auto"/>
            <w:vAlign w:val="center"/>
          </w:tcPr>
          <w:p w14:paraId="27ED7D29">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1"/>
                <w:szCs w:val="21"/>
                <w:u w:val="none"/>
                <w:lang w:val="en-US" w:eastAsia="zh-CN" w:bidi="ar"/>
              </w:rPr>
              <w:t>90</w:t>
            </w:r>
          </w:p>
        </w:tc>
        <w:tc>
          <w:tcPr>
            <w:tcW w:w="231" w:type="pct"/>
            <w:tcBorders>
              <w:tl2br w:val="nil"/>
              <w:tr2bl w:val="nil"/>
            </w:tcBorders>
            <w:shd w:val="clear" w:color="auto" w:fill="auto"/>
            <w:vAlign w:val="center"/>
          </w:tcPr>
          <w:p w14:paraId="2E49AE48">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1"/>
                <w:szCs w:val="21"/>
                <w:u w:val="none"/>
                <w:lang w:val="en-US" w:eastAsia="zh-CN" w:bidi="ar"/>
              </w:rPr>
              <w:t>175</w:t>
            </w:r>
          </w:p>
        </w:tc>
        <w:tc>
          <w:tcPr>
            <w:tcW w:w="460" w:type="pct"/>
            <w:tcBorders>
              <w:tl2br w:val="nil"/>
              <w:tr2bl w:val="nil"/>
            </w:tcBorders>
            <w:shd w:val="clear" w:color="auto" w:fill="auto"/>
            <w:vAlign w:val="center"/>
          </w:tcPr>
          <w:p w14:paraId="1939A855">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1"/>
                <w:szCs w:val="21"/>
                <w:u w:val="none"/>
                <w:lang w:val="en-US" w:eastAsia="zh-CN" w:bidi="ar"/>
              </w:rPr>
              <w:t>354</w:t>
            </w:r>
          </w:p>
        </w:tc>
        <w:tc>
          <w:tcPr>
            <w:tcW w:w="246" w:type="pct"/>
            <w:tcBorders>
              <w:tl2br w:val="nil"/>
              <w:tr2bl w:val="nil"/>
            </w:tcBorders>
            <w:shd w:val="clear" w:color="auto" w:fill="auto"/>
            <w:vAlign w:val="center"/>
          </w:tcPr>
          <w:p w14:paraId="5A3802CA">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66</w:t>
            </w:r>
          </w:p>
        </w:tc>
        <w:tc>
          <w:tcPr>
            <w:tcW w:w="257" w:type="pct"/>
            <w:tcBorders>
              <w:tl2br w:val="nil"/>
              <w:tr2bl w:val="nil"/>
            </w:tcBorders>
            <w:shd w:val="clear" w:color="auto" w:fill="auto"/>
            <w:vAlign w:val="center"/>
          </w:tcPr>
          <w:p w14:paraId="0AC1DEC6">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46</w:t>
            </w:r>
          </w:p>
        </w:tc>
        <w:tc>
          <w:tcPr>
            <w:tcW w:w="330" w:type="pct"/>
            <w:tcBorders>
              <w:tl2br w:val="nil"/>
              <w:tr2bl w:val="nil"/>
            </w:tcBorders>
            <w:shd w:val="clear" w:color="auto" w:fill="auto"/>
            <w:vAlign w:val="center"/>
          </w:tcPr>
          <w:p w14:paraId="33FC32BA">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FF0000"/>
                <w:sz w:val="21"/>
                <w:szCs w:val="21"/>
                <w:u w:val="none"/>
              </w:rPr>
            </w:pPr>
            <w:r>
              <w:rPr>
                <w:rFonts w:hint="default" w:ascii="Times New Roman" w:hAnsi="Times New Roman" w:eastAsia="宋体" w:cs="Times New Roman"/>
                <w:i w:val="0"/>
                <w:iCs w:val="0"/>
                <w:color w:val="FF0000"/>
                <w:kern w:val="0"/>
                <w:sz w:val="21"/>
                <w:szCs w:val="21"/>
                <w:u w:val="none"/>
                <w:lang w:val="en-US" w:eastAsia="zh-CN" w:bidi="ar"/>
              </w:rPr>
              <w:t>15</w:t>
            </w:r>
          </w:p>
        </w:tc>
        <w:tc>
          <w:tcPr>
            <w:tcW w:w="330" w:type="pct"/>
            <w:tcBorders>
              <w:tl2br w:val="nil"/>
              <w:tr2bl w:val="nil"/>
            </w:tcBorders>
            <w:shd w:val="clear" w:color="auto" w:fill="auto"/>
            <w:vAlign w:val="center"/>
          </w:tcPr>
          <w:p w14:paraId="3243B026">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w:t>
            </w:r>
          </w:p>
        </w:tc>
        <w:tc>
          <w:tcPr>
            <w:tcW w:w="330" w:type="pct"/>
            <w:tcBorders>
              <w:tl2br w:val="nil"/>
              <w:tr2bl w:val="nil"/>
            </w:tcBorders>
            <w:shd w:val="clear" w:color="auto" w:fill="auto"/>
            <w:vAlign w:val="center"/>
          </w:tcPr>
          <w:p w14:paraId="78719C9B">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FF0000"/>
                <w:sz w:val="21"/>
                <w:szCs w:val="21"/>
                <w:u w:val="none"/>
              </w:rPr>
            </w:pPr>
            <w:r>
              <w:rPr>
                <w:rFonts w:hint="default" w:ascii="Times New Roman" w:hAnsi="Times New Roman" w:eastAsia="宋体" w:cs="Times New Roman"/>
                <w:i w:val="0"/>
                <w:iCs w:val="0"/>
                <w:color w:val="FF0000"/>
                <w:kern w:val="0"/>
                <w:sz w:val="21"/>
                <w:szCs w:val="21"/>
                <w:u w:val="none"/>
                <w:lang w:val="en-US" w:eastAsia="zh-CN" w:bidi="ar"/>
              </w:rPr>
              <w:t>0.16</w:t>
            </w:r>
          </w:p>
        </w:tc>
        <w:tc>
          <w:tcPr>
            <w:tcW w:w="412" w:type="pct"/>
            <w:tcBorders>
              <w:tl2br w:val="nil"/>
              <w:tr2bl w:val="nil"/>
            </w:tcBorders>
            <w:shd w:val="clear" w:color="auto" w:fill="auto"/>
            <w:vAlign w:val="center"/>
          </w:tcPr>
          <w:p w14:paraId="48355642">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00"/>
                <w:sz w:val="21"/>
                <w:szCs w:val="21"/>
                <w:u w:val="none"/>
              </w:rPr>
            </w:pPr>
            <w:r>
              <w:rPr>
                <w:rStyle w:val="541"/>
                <w:rFonts w:hint="default" w:ascii="Times New Roman" w:hAnsi="Times New Roman" w:eastAsia="宋体" w:cs="Times New Roman"/>
                <w:sz w:val="21"/>
                <w:szCs w:val="21"/>
                <w:lang w:val="en-US" w:eastAsia="zh-CN" w:bidi="ar"/>
              </w:rPr>
              <w:t>/</w:t>
            </w:r>
          </w:p>
        </w:tc>
        <w:tc>
          <w:tcPr>
            <w:tcW w:w="412" w:type="pct"/>
            <w:tcBorders>
              <w:tl2br w:val="nil"/>
              <w:tr2bl w:val="nil"/>
            </w:tcBorders>
            <w:shd w:val="clear" w:color="auto" w:fill="auto"/>
            <w:vAlign w:val="center"/>
          </w:tcPr>
          <w:p w14:paraId="77EE836A">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00"/>
                <w:sz w:val="21"/>
                <w:szCs w:val="21"/>
                <w:u w:val="none"/>
              </w:rPr>
            </w:pPr>
            <w:r>
              <w:rPr>
                <w:rStyle w:val="541"/>
                <w:rFonts w:hint="default" w:ascii="Times New Roman" w:hAnsi="Times New Roman" w:eastAsia="宋体" w:cs="Times New Roman"/>
                <w:sz w:val="21"/>
                <w:szCs w:val="21"/>
                <w:lang w:val="en-US" w:eastAsia="zh-CN" w:bidi="ar"/>
              </w:rPr>
              <w:t>/</w:t>
            </w:r>
          </w:p>
        </w:tc>
        <w:tc>
          <w:tcPr>
            <w:tcW w:w="330" w:type="pct"/>
            <w:tcBorders>
              <w:tl2br w:val="nil"/>
              <w:tr2bl w:val="nil"/>
            </w:tcBorders>
            <w:shd w:val="clear" w:color="auto" w:fill="auto"/>
            <w:vAlign w:val="center"/>
          </w:tcPr>
          <w:p w14:paraId="23A448B8">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00"/>
                <w:sz w:val="21"/>
                <w:szCs w:val="21"/>
                <w:u w:val="none"/>
              </w:rPr>
            </w:pPr>
            <w:r>
              <w:rPr>
                <w:rStyle w:val="541"/>
                <w:rFonts w:hint="default" w:ascii="Times New Roman" w:hAnsi="Times New Roman" w:eastAsia="宋体" w:cs="Times New Roman"/>
                <w:sz w:val="21"/>
                <w:szCs w:val="21"/>
                <w:lang w:val="en-US" w:eastAsia="zh-CN" w:bidi="ar"/>
              </w:rPr>
              <w:t>/</w:t>
            </w:r>
          </w:p>
        </w:tc>
        <w:tc>
          <w:tcPr>
            <w:tcW w:w="268" w:type="pct"/>
            <w:tcBorders>
              <w:tl2br w:val="nil"/>
              <w:tr2bl w:val="nil"/>
            </w:tcBorders>
            <w:shd w:val="clear" w:color="auto" w:fill="auto"/>
            <w:vAlign w:val="center"/>
          </w:tcPr>
          <w:p w14:paraId="49010A60">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00"/>
                <w:sz w:val="21"/>
                <w:szCs w:val="21"/>
                <w:u w:val="none"/>
              </w:rPr>
            </w:pPr>
            <w:r>
              <w:rPr>
                <w:rStyle w:val="541"/>
                <w:rFonts w:hint="default" w:ascii="Times New Roman" w:hAnsi="Times New Roman" w:eastAsia="宋体" w:cs="Times New Roman"/>
                <w:sz w:val="21"/>
                <w:szCs w:val="21"/>
                <w:lang w:val="en-US" w:eastAsia="zh-CN" w:bidi="ar"/>
              </w:rPr>
              <w:t>/</w:t>
            </w:r>
          </w:p>
        </w:tc>
        <w:tc>
          <w:tcPr>
            <w:tcW w:w="417" w:type="pct"/>
            <w:tcBorders>
              <w:tl2br w:val="nil"/>
              <w:tr2bl w:val="nil"/>
            </w:tcBorders>
            <w:shd w:val="clear" w:color="auto" w:fill="auto"/>
            <w:vAlign w:val="center"/>
          </w:tcPr>
          <w:p w14:paraId="7AAB804B">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00"/>
                <w:sz w:val="21"/>
                <w:szCs w:val="21"/>
                <w:u w:val="none"/>
              </w:rPr>
            </w:pPr>
            <w:r>
              <w:rPr>
                <w:rStyle w:val="541"/>
                <w:rFonts w:hint="default" w:ascii="Times New Roman" w:hAnsi="Times New Roman" w:eastAsia="宋体" w:cs="Times New Roman"/>
                <w:sz w:val="21"/>
                <w:szCs w:val="21"/>
                <w:lang w:val="en-US" w:eastAsia="zh-CN" w:bidi="ar"/>
              </w:rPr>
              <w:t>/</w:t>
            </w:r>
          </w:p>
        </w:tc>
      </w:tr>
      <w:tr w14:paraId="08664695">
        <w:tblPrEx>
          <w:tblBorders>
            <w:top w:val="thinThickSmallGap" w:color="000000" w:sz="12" w:space="0"/>
            <w:left w:val="none" w:color="auto" w:sz="0" w:space="0"/>
            <w:bottom w:val="thinThickSmallGap" w:color="000000" w:sz="12" w:space="0"/>
            <w:right w:val="none" w:color="auto" w:sz="0"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397" w:hRule="atLeast"/>
        </w:trPr>
        <w:tc>
          <w:tcPr>
            <w:tcW w:w="242" w:type="pct"/>
            <w:vMerge w:val="continue"/>
            <w:tcBorders>
              <w:tl2br w:val="nil"/>
              <w:tr2bl w:val="nil"/>
            </w:tcBorders>
            <w:shd w:val="clear" w:color="auto" w:fill="auto"/>
            <w:vAlign w:val="center"/>
          </w:tcPr>
          <w:p w14:paraId="7A9549DB">
            <w:pPr>
              <w:keepNext w:val="0"/>
              <w:keepLines w:val="0"/>
              <w:pageBreakBefore w:val="0"/>
              <w:widowControl/>
              <w:kinsoku/>
              <w:wordWrap/>
              <w:overflowPunct/>
              <w:topLinePunct w:val="0"/>
              <w:autoSpaceDE/>
              <w:autoSpaceDN/>
              <w:bidi w:val="0"/>
              <w:adjustRightInd w:val="0"/>
              <w:snapToGrid w:val="0"/>
              <w:spacing w:line="240" w:lineRule="auto"/>
              <w:jc w:val="center"/>
              <w:rPr>
                <w:rFonts w:hint="default" w:ascii="Times New Roman" w:hAnsi="Times New Roman" w:eastAsia="宋体" w:cs="Times New Roman"/>
                <w:i w:val="0"/>
                <w:iCs w:val="0"/>
                <w:color w:val="000000"/>
                <w:sz w:val="21"/>
                <w:szCs w:val="21"/>
                <w:u w:val="none"/>
              </w:rPr>
            </w:pPr>
          </w:p>
        </w:tc>
        <w:tc>
          <w:tcPr>
            <w:tcW w:w="541" w:type="pct"/>
            <w:tcBorders>
              <w:tl2br w:val="nil"/>
              <w:tr2bl w:val="nil"/>
            </w:tcBorders>
            <w:shd w:val="clear" w:color="auto" w:fill="auto"/>
            <w:vAlign w:val="center"/>
          </w:tcPr>
          <w:p w14:paraId="14DD327D">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sz w:val="21"/>
                <w:szCs w:val="21"/>
                <w:lang w:val="en-US" w:eastAsia="zh-CN" w:bidi="ar"/>
              </w:rPr>
              <w:t>氨水罐</w:t>
            </w:r>
            <w:r>
              <w:rPr>
                <w:rStyle w:val="541"/>
                <w:rFonts w:hint="default" w:ascii="Times New Roman" w:hAnsi="Times New Roman" w:eastAsia="宋体" w:cs="Times New Roman"/>
                <w:sz w:val="21"/>
                <w:szCs w:val="21"/>
                <w:lang w:val="en-US" w:eastAsia="zh-CN" w:bidi="ar"/>
              </w:rPr>
              <w:t>M3</w:t>
            </w:r>
          </w:p>
        </w:tc>
        <w:tc>
          <w:tcPr>
            <w:tcW w:w="189" w:type="pct"/>
            <w:tcBorders>
              <w:tl2br w:val="nil"/>
              <w:tr2bl w:val="nil"/>
            </w:tcBorders>
            <w:shd w:val="clear" w:color="auto" w:fill="auto"/>
            <w:vAlign w:val="center"/>
          </w:tcPr>
          <w:p w14:paraId="3A28AA81">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1"/>
                <w:szCs w:val="21"/>
                <w:u w:val="none"/>
                <w:lang w:val="en-US" w:eastAsia="zh-CN" w:bidi="ar"/>
              </w:rPr>
              <w:t>20</w:t>
            </w:r>
          </w:p>
        </w:tc>
        <w:tc>
          <w:tcPr>
            <w:tcW w:w="231" w:type="pct"/>
            <w:tcBorders>
              <w:tl2br w:val="nil"/>
              <w:tr2bl w:val="nil"/>
            </w:tcBorders>
            <w:shd w:val="clear" w:color="auto" w:fill="auto"/>
            <w:vAlign w:val="center"/>
          </w:tcPr>
          <w:p w14:paraId="08E9CAEB">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1"/>
                <w:szCs w:val="21"/>
                <w:u w:val="none"/>
                <w:lang w:val="en-US" w:eastAsia="zh-CN" w:bidi="ar"/>
              </w:rPr>
              <w:t>40</w:t>
            </w:r>
          </w:p>
        </w:tc>
        <w:tc>
          <w:tcPr>
            <w:tcW w:w="460" w:type="pct"/>
            <w:tcBorders>
              <w:tl2br w:val="nil"/>
              <w:tr2bl w:val="nil"/>
            </w:tcBorders>
            <w:shd w:val="clear" w:color="auto" w:fill="auto"/>
            <w:vAlign w:val="center"/>
          </w:tcPr>
          <w:p w14:paraId="0BB46EBB">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FF0000"/>
                <w:sz w:val="21"/>
                <w:szCs w:val="21"/>
                <w:u w:val="none"/>
              </w:rPr>
            </w:pPr>
            <w:r>
              <w:rPr>
                <w:rFonts w:hint="default" w:ascii="Times New Roman" w:hAnsi="Times New Roman" w:eastAsia="宋体" w:cs="Times New Roman"/>
                <w:i w:val="0"/>
                <w:iCs w:val="0"/>
                <w:color w:val="FF0000"/>
                <w:kern w:val="0"/>
                <w:sz w:val="21"/>
                <w:szCs w:val="21"/>
                <w:u w:val="none"/>
                <w:lang w:val="en-US" w:eastAsia="zh-CN" w:bidi="ar"/>
              </w:rPr>
              <w:t>351</w:t>
            </w:r>
          </w:p>
        </w:tc>
        <w:tc>
          <w:tcPr>
            <w:tcW w:w="246" w:type="pct"/>
            <w:tcBorders>
              <w:tl2br w:val="nil"/>
              <w:tr2bl w:val="nil"/>
            </w:tcBorders>
            <w:shd w:val="clear" w:color="auto" w:fill="auto"/>
            <w:vAlign w:val="center"/>
          </w:tcPr>
          <w:p w14:paraId="3878AF83">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FF0000"/>
                <w:sz w:val="21"/>
                <w:szCs w:val="21"/>
                <w:u w:val="none"/>
              </w:rPr>
            </w:pPr>
            <w:r>
              <w:rPr>
                <w:rFonts w:hint="default" w:ascii="Times New Roman" w:hAnsi="Times New Roman" w:eastAsia="宋体" w:cs="Times New Roman"/>
                <w:i w:val="0"/>
                <w:iCs w:val="0"/>
                <w:color w:val="FF0000"/>
                <w:kern w:val="0"/>
                <w:sz w:val="21"/>
                <w:szCs w:val="21"/>
                <w:u w:val="none"/>
                <w:lang w:val="en-US" w:eastAsia="zh-CN" w:bidi="ar"/>
              </w:rPr>
              <w:t>Φ2.3</w:t>
            </w:r>
          </w:p>
        </w:tc>
        <w:tc>
          <w:tcPr>
            <w:tcW w:w="257" w:type="pct"/>
            <w:tcBorders>
              <w:tl2br w:val="nil"/>
              <w:tr2bl w:val="nil"/>
            </w:tcBorders>
            <w:shd w:val="clear" w:color="auto" w:fill="auto"/>
            <w:vAlign w:val="center"/>
          </w:tcPr>
          <w:p w14:paraId="199CD416">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w:t>
            </w:r>
          </w:p>
        </w:tc>
        <w:tc>
          <w:tcPr>
            <w:tcW w:w="330" w:type="pct"/>
            <w:tcBorders>
              <w:tl2br w:val="nil"/>
              <w:tr2bl w:val="nil"/>
            </w:tcBorders>
            <w:shd w:val="clear" w:color="auto" w:fill="auto"/>
            <w:vAlign w:val="center"/>
          </w:tcPr>
          <w:p w14:paraId="0C03B2A5">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5</w:t>
            </w:r>
          </w:p>
        </w:tc>
        <w:tc>
          <w:tcPr>
            <w:tcW w:w="330" w:type="pct"/>
            <w:tcBorders>
              <w:tl2br w:val="nil"/>
              <w:tr2bl w:val="nil"/>
            </w:tcBorders>
            <w:shd w:val="clear" w:color="auto" w:fill="auto"/>
            <w:vAlign w:val="center"/>
          </w:tcPr>
          <w:p w14:paraId="32F9512D">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w:t>
            </w:r>
          </w:p>
        </w:tc>
        <w:tc>
          <w:tcPr>
            <w:tcW w:w="330" w:type="pct"/>
            <w:tcBorders>
              <w:tl2br w:val="nil"/>
              <w:tr2bl w:val="nil"/>
            </w:tcBorders>
            <w:shd w:val="clear" w:color="auto" w:fill="auto"/>
            <w:vAlign w:val="center"/>
          </w:tcPr>
          <w:p w14:paraId="1B279772">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w:t>
            </w:r>
          </w:p>
        </w:tc>
        <w:tc>
          <w:tcPr>
            <w:tcW w:w="412" w:type="pct"/>
            <w:tcBorders>
              <w:tl2br w:val="nil"/>
              <w:tr2bl w:val="nil"/>
            </w:tcBorders>
            <w:shd w:val="clear" w:color="auto" w:fill="auto"/>
            <w:vAlign w:val="center"/>
          </w:tcPr>
          <w:p w14:paraId="6195D13E">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00"/>
                <w:sz w:val="21"/>
                <w:szCs w:val="21"/>
                <w:u w:val="none"/>
              </w:rPr>
            </w:pPr>
            <w:r>
              <w:rPr>
                <w:rStyle w:val="541"/>
                <w:rFonts w:hint="default" w:ascii="Times New Roman" w:hAnsi="Times New Roman" w:eastAsia="宋体" w:cs="Times New Roman"/>
                <w:sz w:val="21"/>
                <w:szCs w:val="21"/>
                <w:lang w:val="en-US" w:eastAsia="zh-CN" w:bidi="ar"/>
              </w:rPr>
              <w:t>/</w:t>
            </w:r>
          </w:p>
        </w:tc>
        <w:tc>
          <w:tcPr>
            <w:tcW w:w="412" w:type="pct"/>
            <w:tcBorders>
              <w:tl2br w:val="nil"/>
              <w:tr2bl w:val="nil"/>
            </w:tcBorders>
            <w:shd w:val="clear" w:color="auto" w:fill="auto"/>
            <w:vAlign w:val="center"/>
          </w:tcPr>
          <w:p w14:paraId="1309EF15">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00"/>
                <w:sz w:val="21"/>
                <w:szCs w:val="21"/>
                <w:u w:val="none"/>
              </w:rPr>
            </w:pPr>
            <w:r>
              <w:rPr>
                <w:rStyle w:val="541"/>
                <w:rFonts w:hint="default" w:ascii="Times New Roman" w:hAnsi="Times New Roman" w:eastAsia="宋体" w:cs="Times New Roman"/>
                <w:sz w:val="21"/>
                <w:szCs w:val="21"/>
                <w:lang w:val="en-US" w:eastAsia="zh-CN" w:bidi="ar"/>
              </w:rPr>
              <w:t>/</w:t>
            </w:r>
          </w:p>
        </w:tc>
        <w:tc>
          <w:tcPr>
            <w:tcW w:w="330" w:type="pct"/>
            <w:tcBorders>
              <w:tl2br w:val="nil"/>
              <w:tr2bl w:val="nil"/>
            </w:tcBorders>
            <w:shd w:val="clear" w:color="auto" w:fill="auto"/>
            <w:vAlign w:val="center"/>
          </w:tcPr>
          <w:p w14:paraId="532D2B50">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00"/>
                <w:sz w:val="21"/>
                <w:szCs w:val="21"/>
                <w:u w:val="none"/>
              </w:rPr>
            </w:pPr>
            <w:r>
              <w:rPr>
                <w:rStyle w:val="541"/>
                <w:rFonts w:hint="default" w:ascii="Times New Roman" w:hAnsi="Times New Roman" w:eastAsia="宋体" w:cs="Times New Roman"/>
                <w:sz w:val="21"/>
                <w:szCs w:val="21"/>
                <w:lang w:val="en-US" w:eastAsia="zh-CN" w:bidi="ar"/>
              </w:rPr>
              <w:t>/</w:t>
            </w:r>
          </w:p>
        </w:tc>
        <w:tc>
          <w:tcPr>
            <w:tcW w:w="268" w:type="pct"/>
            <w:tcBorders>
              <w:tl2br w:val="nil"/>
              <w:tr2bl w:val="nil"/>
            </w:tcBorders>
            <w:shd w:val="clear" w:color="auto" w:fill="auto"/>
            <w:vAlign w:val="center"/>
          </w:tcPr>
          <w:p w14:paraId="73A7740C">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0.003</w:t>
            </w:r>
          </w:p>
        </w:tc>
        <w:tc>
          <w:tcPr>
            <w:tcW w:w="417" w:type="pct"/>
            <w:tcBorders>
              <w:tl2br w:val="nil"/>
              <w:tr2bl w:val="nil"/>
            </w:tcBorders>
            <w:shd w:val="clear" w:color="auto" w:fill="auto"/>
            <w:vAlign w:val="center"/>
          </w:tcPr>
          <w:p w14:paraId="3BDE320A">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w:t>
            </w:r>
          </w:p>
        </w:tc>
      </w:tr>
      <w:tr w14:paraId="12D0106E">
        <w:tblPrEx>
          <w:tblBorders>
            <w:top w:val="thinThickSmallGap" w:color="000000" w:sz="12" w:space="0"/>
            <w:left w:val="none" w:color="auto" w:sz="0" w:space="0"/>
            <w:bottom w:val="thinThickSmallGap"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97" w:hRule="atLeast"/>
        </w:trPr>
        <w:tc>
          <w:tcPr>
            <w:tcW w:w="5000" w:type="pct"/>
            <w:gridSpan w:val="15"/>
            <w:tcBorders>
              <w:tl2br w:val="nil"/>
              <w:tr2bl w:val="nil"/>
            </w:tcBorders>
            <w:shd w:val="clear" w:color="auto" w:fill="auto"/>
            <w:vAlign w:val="center"/>
          </w:tcPr>
          <w:p w14:paraId="51B21D9C">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b/>
                <w:bCs/>
                <w:i w:val="0"/>
                <w:iCs w:val="0"/>
                <w:color w:val="000000"/>
                <w:kern w:val="0"/>
                <w:sz w:val="21"/>
                <w:szCs w:val="21"/>
                <w:u w:val="none"/>
                <w:lang w:val="en-US" w:eastAsia="zh-CN" w:bidi="ar"/>
              </w:rPr>
              <w:t>新增污染源</w:t>
            </w:r>
            <w:r>
              <w:rPr>
                <w:rFonts w:hint="default" w:ascii="Times New Roman" w:hAnsi="Times New Roman" w:eastAsia="宋体" w:cs="Times New Roman"/>
                <w:b/>
                <w:bCs/>
                <w:i w:val="0"/>
                <w:iCs w:val="0"/>
                <w:color w:val="000000"/>
                <w:kern w:val="0"/>
                <w:sz w:val="21"/>
                <w:szCs w:val="21"/>
                <w:highlight w:val="none"/>
                <w:u w:val="none"/>
                <w:lang w:val="en-US" w:eastAsia="zh-CN" w:bidi="ar"/>
              </w:rPr>
              <w:t>（非正常工况）</w:t>
            </w:r>
          </w:p>
        </w:tc>
      </w:tr>
      <w:tr w14:paraId="4FC1F0B4">
        <w:tblPrEx>
          <w:tblBorders>
            <w:top w:val="thinThickSmallGap" w:color="000000" w:sz="12" w:space="0"/>
            <w:left w:val="none" w:color="auto" w:sz="0" w:space="0"/>
            <w:bottom w:val="thinThickSmallGap"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97" w:hRule="atLeast"/>
        </w:trPr>
        <w:tc>
          <w:tcPr>
            <w:tcW w:w="242" w:type="pct"/>
            <w:vMerge w:val="restart"/>
            <w:tcBorders>
              <w:tl2br w:val="nil"/>
              <w:tr2bl w:val="nil"/>
            </w:tcBorders>
            <w:shd w:val="clear" w:color="auto" w:fill="auto"/>
            <w:vAlign w:val="center"/>
          </w:tcPr>
          <w:p w14:paraId="78A0FAC8">
            <w:pPr>
              <w:keepNext w:val="0"/>
              <w:keepLines w:val="0"/>
              <w:pageBreakBefore w:val="0"/>
              <w:widowControl/>
              <w:kinsoku/>
              <w:wordWrap/>
              <w:overflowPunct/>
              <w:topLinePunct w:val="0"/>
              <w:autoSpaceDE/>
              <w:autoSpaceDN/>
              <w:bidi w:val="0"/>
              <w:adjustRightInd w:val="0"/>
              <w:snapToGrid w:val="0"/>
              <w:spacing w:line="240" w:lineRule="auto"/>
              <w:jc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sz w:val="21"/>
                <w:szCs w:val="21"/>
                <w:lang w:val="en-US" w:eastAsia="zh-CN" w:bidi="ar"/>
              </w:rPr>
              <w:t>类型</w:t>
            </w:r>
          </w:p>
        </w:tc>
        <w:tc>
          <w:tcPr>
            <w:tcW w:w="541" w:type="pct"/>
            <w:vMerge w:val="restart"/>
            <w:tcBorders>
              <w:tl2br w:val="nil"/>
              <w:tr2bl w:val="nil"/>
            </w:tcBorders>
            <w:shd w:val="clear" w:color="auto" w:fill="auto"/>
            <w:vAlign w:val="center"/>
          </w:tcPr>
          <w:p w14:paraId="64F2AA93">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sz w:val="21"/>
                <w:szCs w:val="21"/>
                <w:lang w:val="en-US" w:eastAsia="zh-CN" w:bidi="ar"/>
              </w:rPr>
            </w:pPr>
            <w:r>
              <w:rPr>
                <w:rFonts w:hint="default" w:ascii="Times New Roman" w:hAnsi="Times New Roman" w:eastAsia="宋体" w:cs="Times New Roman"/>
                <w:sz w:val="21"/>
                <w:szCs w:val="21"/>
                <w:lang w:val="en-US" w:eastAsia="zh-CN" w:bidi="ar"/>
              </w:rPr>
              <w:t>污染源</w:t>
            </w:r>
          </w:p>
          <w:p w14:paraId="45CEFB16">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00"/>
                <w:sz w:val="21"/>
                <w:szCs w:val="21"/>
                <w:u w:val="none"/>
                <w:lang w:val="en-US" w:eastAsia="zh-CN" w:bidi="ar-SA"/>
              </w:rPr>
            </w:pPr>
            <w:r>
              <w:rPr>
                <w:rFonts w:hint="default" w:ascii="Times New Roman" w:hAnsi="Times New Roman" w:eastAsia="宋体" w:cs="Times New Roman"/>
                <w:sz w:val="21"/>
                <w:szCs w:val="21"/>
                <w:lang w:val="en-US" w:eastAsia="zh-CN" w:bidi="ar"/>
              </w:rPr>
              <w:t>名称</w:t>
            </w:r>
          </w:p>
        </w:tc>
        <w:tc>
          <w:tcPr>
            <w:tcW w:w="1385" w:type="pct"/>
            <w:gridSpan w:val="5"/>
            <w:tcBorders>
              <w:tl2br w:val="nil"/>
              <w:tr2bl w:val="nil"/>
            </w:tcBorders>
            <w:shd w:val="clear" w:color="auto" w:fill="auto"/>
            <w:vAlign w:val="center"/>
          </w:tcPr>
          <w:p w14:paraId="317F0BA4">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sz w:val="21"/>
                <w:szCs w:val="21"/>
                <w:lang w:val="en-US" w:eastAsia="zh-CN" w:bidi="ar"/>
              </w:rPr>
              <w:t>排气筒参数（</w:t>
            </w:r>
            <w:r>
              <w:rPr>
                <w:rStyle w:val="541"/>
                <w:rFonts w:hint="default" w:ascii="Times New Roman" w:hAnsi="Times New Roman" w:eastAsia="宋体" w:cs="Times New Roman"/>
                <w:sz w:val="21"/>
                <w:szCs w:val="21"/>
                <w:lang w:val="en-US" w:eastAsia="zh-CN" w:bidi="ar"/>
              </w:rPr>
              <w:t>m</w:t>
            </w:r>
            <w:r>
              <w:rPr>
                <w:rFonts w:hint="default" w:ascii="Times New Roman" w:hAnsi="Times New Roman" w:eastAsia="宋体" w:cs="Times New Roman"/>
                <w:sz w:val="21"/>
                <w:szCs w:val="21"/>
                <w:lang w:val="en-US" w:eastAsia="zh-CN" w:bidi="ar"/>
              </w:rPr>
              <w:t>）</w:t>
            </w:r>
          </w:p>
        </w:tc>
        <w:tc>
          <w:tcPr>
            <w:tcW w:w="330" w:type="pct"/>
            <w:vMerge w:val="restart"/>
            <w:tcBorders>
              <w:tl2br w:val="nil"/>
              <w:tr2bl w:val="nil"/>
            </w:tcBorders>
            <w:shd w:val="clear" w:color="auto" w:fill="auto"/>
            <w:vAlign w:val="center"/>
          </w:tcPr>
          <w:p w14:paraId="517DD823">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sz w:val="21"/>
                <w:szCs w:val="21"/>
                <w:lang w:val="en-US" w:eastAsia="zh-CN" w:bidi="ar"/>
              </w:rPr>
            </w:pPr>
            <w:r>
              <w:rPr>
                <w:rFonts w:hint="default" w:ascii="Times New Roman" w:hAnsi="Times New Roman" w:eastAsia="宋体" w:cs="Times New Roman"/>
                <w:sz w:val="21"/>
                <w:szCs w:val="21"/>
                <w:lang w:val="en-US" w:eastAsia="zh-CN" w:bidi="ar"/>
              </w:rPr>
              <w:t>温度</w:t>
            </w:r>
          </w:p>
          <w:p w14:paraId="71F01209">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Style w:val="541"/>
                <w:rFonts w:hint="default" w:ascii="Times New Roman" w:hAnsi="Times New Roman" w:eastAsia="宋体" w:cs="Times New Roman"/>
                <w:sz w:val="21"/>
                <w:szCs w:val="21"/>
                <w:lang w:val="en-US" w:eastAsia="zh-CN" w:bidi="ar"/>
              </w:rPr>
              <w:t>℃</w:t>
            </w:r>
          </w:p>
        </w:tc>
        <w:tc>
          <w:tcPr>
            <w:tcW w:w="330" w:type="pct"/>
            <w:vMerge w:val="restart"/>
            <w:tcBorders>
              <w:tl2br w:val="nil"/>
              <w:tr2bl w:val="nil"/>
            </w:tcBorders>
            <w:shd w:val="clear" w:color="auto" w:fill="auto"/>
            <w:vAlign w:val="center"/>
          </w:tcPr>
          <w:p w14:paraId="0AC5EF9A">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sz w:val="21"/>
                <w:szCs w:val="21"/>
                <w:lang w:val="en-US" w:eastAsia="zh-CN" w:bidi="ar"/>
              </w:rPr>
            </w:pPr>
            <w:r>
              <w:rPr>
                <w:rFonts w:hint="default" w:ascii="Times New Roman" w:hAnsi="Times New Roman" w:eastAsia="宋体" w:cs="Times New Roman"/>
                <w:sz w:val="21"/>
                <w:szCs w:val="21"/>
                <w:lang w:val="en-US" w:eastAsia="zh-CN" w:bidi="ar"/>
              </w:rPr>
              <w:t>烟气量</w:t>
            </w:r>
          </w:p>
          <w:p w14:paraId="12140B9D">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Style w:val="541"/>
                <w:rFonts w:hint="default" w:ascii="Times New Roman" w:hAnsi="Times New Roman" w:eastAsia="宋体" w:cs="Times New Roman"/>
                <w:sz w:val="21"/>
                <w:szCs w:val="21"/>
                <w:lang w:val="en-US" w:eastAsia="zh-CN" w:bidi="ar"/>
              </w:rPr>
              <w:t>Nm</w:t>
            </w:r>
            <w:r>
              <w:rPr>
                <w:rStyle w:val="502"/>
                <w:rFonts w:hint="default" w:ascii="Times New Roman" w:hAnsi="Times New Roman" w:eastAsia="宋体" w:cs="Times New Roman"/>
                <w:sz w:val="21"/>
                <w:szCs w:val="21"/>
                <w:lang w:val="en-US" w:eastAsia="zh-CN" w:bidi="ar"/>
              </w:rPr>
              <w:t>3</w:t>
            </w:r>
            <w:r>
              <w:rPr>
                <w:rStyle w:val="541"/>
                <w:rFonts w:hint="default" w:ascii="Times New Roman" w:hAnsi="Times New Roman" w:eastAsia="宋体" w:cs="Times New Roman"/>
                <w:sz w:val="21"/>
                <w:szCs w:val="21"/>
                <w:lang w:val="en-US" w:eastAsia="zh-CN" w:bidi="ar"/>
              </w:rPr>
              <w:t>/h</w:t>
            </w:r>
          </w:p>
        </w:tc>
        <w:tc>
          <w:tcPr>
            <w:tcW w:w="2170" w:type="pct"/>
            <w:gridSpan w:val="6"/>
            <w:tcBorders>
              <w:tl2br w:val="nil"/>
              <w:tr2bl w:val="nil"/>
            </w:tcBorders>
            <w:shd w:val="clear" w:color="auto" w:fill="auto"/>
            <w:vAlign w:val="center"/>
          </w:tcPr>
          <w:p w14:paraId="4AAE5938">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sz w:val="21"/>
                <w:szCs w:val="21"/>
                <w:lang w:val="en-US" w:eastAsia="zh-CN" w:bidi="ar"/>
              </w:rPr>
              <w:t>估算因子（</w:t>
            </w:r>
            <w:r>
              <w:rPr>
                <w:rStyle w:val="541"/>
                <w:rFonts w:hint="default" w:ascii="Times New Roman" w:hAnsi="Times New Roman" w:eastAsia="宋体" w:cs="Times New Roman"/>
                <w:sz w:val="21"/>
                <w:szCs w:val="21"/>
                <w:lang w:val="en-US" w:eastAsia="zh-CN" w:bidi="ar"/>
              </w:rPr>
              <w:t>kg/h</w:t>
            </w:r>
            <w:r>
              <w:rPr>
                <w:rFonts w:hint="default" w:ascii="Times New Roman" w:hAnsi="Times New Roman" w:eastAsia="宋体" w:cs="Times New Roman"/>
                <w:sz w:val="21"/>
                <w:szCs w:val="21"/>
                <w:lang w:val="en-US" w:eastAsia="zh-CN" w:bidi="ar"/>
              </w:rPr>
              <w:t>）</w:t>
            </w:r>
          </w:p>
        </w:tc>
      </w:tr>
      <w:tr w14:paraId="7A64B3B0">
        <w:tblPrEx>
          <w:tblBorders>
            <w:top w:val="thinThickSmallGap" w:color="000000" w:sz="12" w:space="0"/>
            <w:left w:val="none" w:color="auto" w:sz="0" w:space="0"/>
            <w:bottom w:val="thinThickSmallGap"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97" w:hRule="atLeast"/>
        </w:trPr>
        <w:tc>
          <w:tcPr>
            <w:tcW w:w="242" w:type="pct"/>
            <w:vMerge w:val="continue"/>
            <w:tcBorders>
              <w:tl2br w:val="nil"/>
              <w:tr2bl w:val="nil"/>
            </w:tcBorders>
            <w:shd w:val="clear" w:color="auto" w:fill="auto"/>
            <w:vAlign w:val="center"/>
          </w:tcPr>
          <w:p w14:paraId="05A8CFB5">
            <w:pPr>
              <w:keepNext w:val="0"/>
              <w:keepLines w:val="0"/>
              <w:pageBreakBefore w:val="0"/>
              <w:widowControl/>
              <w:kinsoku/>
              <w:wordWrap/>
              <w:overflowPunct/>
              <w:topLinePunct w:val="0"/>
              <w:autoSpaceDE/>
              <w:autoSpaceDN/>
              <w:bidi w:val="0"/>
              <w:adjustRightInd w:val="0"/>
              <w:snapToGrid w:val="0"/>
              <w:spacing w:line="240" w:lineRule="auto"/>
              <w:jc w:val="center"/>
              <w:rPr>
                <w:rFonts w:hint="default" w:ascii="Times New Roman" w:hAnsi="Times New Roman" w:eastAsia="宋体" w:cs="Times New Roman"/>
                <w:i w:val="0"/>
                <w:iCs w:val="0"/>
                <w:color w:val="000000"/>
                <w:sz w:val="21"/>
                <w:szCs w:val="21"/>
                <w:u w:val="none"/>
              </w:rPr>
            </w:pPr>
          </w:p>
        </w:tc>
        <w:tc>
          <w:tcPr>
            <w:tcW w:w="541" w:type="pct"/>
            <w:vMerge w:val="continue"/>
            <w:tcBorders>
              <w:tl2br w:val="nil"/>
              <w:tr2bl w:val="nil"/>
            </w:tcBorders>
            <w:shd w:val="clear" w:color="auto" w:fill="auto"/>
            <w:vAlign w:val="center"/>
          </w:tcPr>
          <w:p w14:paraId="600F8987">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sz w:val="21"/>
                <w:szCs w:val="21"/>
                <w:lang w:val="en-US" w:eastAsia="zh-CN" w:bidi="ar"/>
              </w:rPr>
            </w:pPr>
          </w:p>
        </w:tc>
        <w:tc>
          <w:tcPr>
            <w:tcW w:w="189" w:type="pct"/>
            <w:tcBorders>
              <w:tl2br w:val="nil"/>
              <w:tr2bl w:val="nil"/>
            </w:tcBorders>
            <w:shd w:val="clear" w:color="auto" w:fill="auto"/>
            <w:vAlign w:val="center"/>
          </w:tcPr>
          <w:p w14:paraId="5D6FE9BE">
            <w:pPr>
              <w:keepNext w:val="0"/>
              <w:keepLines w:val="0"/>
              <w:widowControl/>
              <w:suppressLineNumbers w:val="0"/>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X</w:t>
            </w:r>
          </w:p>
        </w:tc>
        <w:tc>
          <w:tcPr>
            <w:tcW w:w="231" w:type="pct"/>
            <w:tcBorders>
              <w:tl2br w:val="nil"/>
              <w:tr2bl w:val="nil"/>
            </w:tcBorders>
            <w:shd w:val="clear" w:color="auto" w:fill="auto"/>
            <w:vAlign w:val="center"/>
          </w:tcPr>
          <w:p w14:paraId="27ADCDFF">
            <w:pPr>
              <w:keepNext w:val="0"/>
              <w:keepLines w:val="0"/>
              <w:widowControl/>
              <w:suppressLineNumbers w:val="0"/>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Y</w:t>
            </w:r>
          </w:p>
        </w:tc>
        <w:tc>
          <w:tcPr>
            <w:tcW w:w="460" w:type="pct"/>
            <w:tcBorders>
              <w:tl2br w:val="nil"/>
              <w:tr2bl w:val="nil"/>
            </w:tcBorders>
            <w:shd w:val="clear" w:color="auto" w:fill="auto"/>
            <w:vAlign w:val="center"/>
          </w:tcPr>
          <w:p w14:paraId="476591DF">
            <w:pPr>
              <w:keepNext w:val="0"/>
              <w:keepLines w:val="0"/>
              <w:widowControl/>
              <w:suppressLineNumbers w:val="0"/>
              <w:jc w:val="center"/>
              <w:textAlignment w:val="center"/>
              <w:rPr>
                <w:rFonts w:hint="default" w:ascii="Times New Roman" w:hAnsi="Times New Roman" w:eastAsia="宋体" w:cs="Times New Roman"/>
                <w:i w:val="0"/>
                <w:iCs w:val="0"/>
                <w:color w:val="FF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Z</w:t>
            </w:r>
            <w:r>
              <w:rPr>
                <w:rFonts w:hint="default" w:ascii="Times New Roman" w:hAnsi="Times New Roman" w:eastAsia="宋体" w:cs="Times New Roman"/>
                <w:sz w:val="21"/>
                <w:szCs w:val="21"/>
                <w:lang w:val="en-US" w:eastAsia="zh-CN" w:bidi="ar"/>
              </w:rPr>
              <w:t>（高程）</w:t>
            </w:r>
          </w:p>
        </w:tc>
        <w:tc>
          <w:tcPr>
            <w:tcW w:w="246" w:type="pct"/>
            <w:tcBorders>
              <w:tl2br w:val="nil"/>
              <w:tr2bl w:val="nil"/>
            </w:tcBorders>
            <w:shd w:val="clear" w:color="auto" w:fill="auto"/>
            <w:vAlign w:val="center"/>
          </w:tcPr>
          <w:p w14:paraId="21932DAC">
            <w:pPr>
              <w:keepNext w:val="0"/>
              <w:keepLines w:val="0"/>
              <w:widowControl/>
              <w:suppressLineNumbers w:val="0"/>
              <w:jc w:val="center"/>
              <w:textAlignment w:val="center"/>
              <w:rPr>
                <w:rFonts w:hint="default" w:ascii="Times New Roman" w:hAnsi="Times New Roman" w:eastAsia="宋体" w:cs="Times New Roman"/>
                <w:i w:val="0"/>
                <w:iCs w:val="0"/>
                <w:color w:val="FF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高度</w:t>
            </w:r>
          </w:p>
        </w:tc>
        <w:tc>
          <w:tcPr>
            <w:tcW w:w="257" w:type="pct"/>
            <w:tcBorders>
              <w:tl2br w:val="nil"/>
              <w:tr2bl w:val="nil"/>
            </w:tcBorders>
            <w:shd w:val="clear" w:color="auto" w:fill="auto"/>
            <w:vAlign w:val="center"/>
          </w:tcPr>
          <w:p w14:paraId="64F0BCE8">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内径</w:t>
            </w:r>
          </w:p>
        </w:tc>
        <w:tc>
          <w:tcPr>
            <w:tcW w:w="330" w:type="pct"/>
            <w:vMerge w:val="continue"/>
            <w:tcBorders>
              <w:tl2br w:val="nil"/>
              <w:tr2bl w:val="nil"/>
            </w:tcBorders>
            <w:shd w:val="clear" w:color="auto" w:fill="auto"/>
            <w:vAlign w:val="center"/>
          </w:tcPr>
          <w:p w14:paraId="1E66D347">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p>
        </w:tc>
        <w:tc>
          <w:tcPr>
            <w:tcW w:w="330" w:type="pct"/>
            <w:vMerge w:val="continue"/>
            <w:tcBorders>
              <w:tl2br w:val="nil"/>
              <w:tr2bl w:val="nil"/>
            </w:tcBorders>
            <w:shd w:val="clear" w:color="auto" w:fill="auto"/>
            <w:vAlign w:val="center"/>
          </w:tcPr>
          <w:p w14:paraId="54D0B48E">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p>
        </w:tc>
        <w:tc>
          <w:tcPr>
            <w:tcW w:w="330" w:type="pct"/>
            <w:tcBorders>
              <w:tl2br w:val="nil"/>
              <w:tr2bl w:val="nil"/>
            </w:tcBorders>
            <w:shd w:val="clear" w:color="auto" w:fill="auto"/>
            <w:vAlign w:val="center"/>
          </w:tcPr>
          <w:p w14:paraId="19D1BA24">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sz w:val="21"/>
                <w:szCs w:val="21"/>
                <w:lang w:val="en-US" w:eastAsia="zh-CN" w:bidi="ar"/>
              </w:rPr>
              <w:t>颗粒物</w:t>
            </w:r>
          </w:p>
        </w:tc>
        <w:tc>
          <w:tcPr>
            <w:tcW w:w="412" w:type="pct"/>
            <w:tcBorders>
              <w:tl2br w:val="nil"/>
              <w:tr2bl w:val="nil"/>
            </w:tcBorders>
            <w:shd w:val="clear" w:color="auto" w:fill="auto"/>
            <w:vAlign w:val="center"/>
          </w:tcPr>
          <w:p w14:paraId="5D11AC73">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Style w:val="541"/>
                <w:rFonts w:hint="default" w:ascii="Times New Roman" w:hAnsi="Times New Roman" w:eastAsia="宋体" w:cs="Times New Roman"/>
                <w:sz w:val="21"/>
                <w:szCs w:val="21"/>
                <w:lang w:val="en-US" w:eastAsia="zh-CN" w:bidi="ar"/>
              </w:rPr>
            </w:pPr>
            <w:r>
              <w:rPr>
                <w:rFonts w:hint="default" w:ascii="Times New Roman" w:hAnsi="Times New Roman" w:eastAsia="宋体" w:cs="Times New Roman"/>
                <w:sz w:val="21"/>
                <w:szCs w:val="21"/>
                <w:lang w:val="en-US" w:eastAsia="zh-CN" w:bidi="ar"/>
              </w:rPr>
              <w:t>二氧化硫</w:t>
            </w:r>
          </w:p>
        </w:tc>
        <w:tc>
          <w:tcPr>
            <w:tcW w:w="412" w:type="pct"/>
            <w:tcBorders>
              <w:tl2br w:val="nil"/>
              <w:tr2bl w:val="nil"/>
            </w:tcBorders>
            <w:shd w:val="clear" w:color="auto" w:fill="auto"/>
            <w:vAlign w:val="center"/>
          </w:tcPr>
          <w:p w14:paraId="60CEFD30">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Style w:val="541"/>
                <w:rFonts w:hint="default" w:ascii="Times New Roman" w:hAnsi="Times New Roman" w:eastAsia="宋体" w:cs="Times New Roman"/>
                <w:sz w:val="21"/>
                <w:szCs w:val="21"/>
                <w:lang w:val="en-US" w:eastAsia="zh-CN" w:bidi="ar"/>
              </w:rPr>
            </w:pPr>
            <w:r>
              <w:rPr>
                <w:rFonts w:hint="default" w:ascii="Times New Roman" w:hAnsi="Times New Roman" w:eastAsia="宋体" w:cs="Times New Roman"/>
                <w:sz w:val="21"/>
                <w:szCs w:val="21"/>
                <w:lang w:val="en-US" w:eastAsia="zh-CN" w:bidi="ar"/>
              </w:rPr>
              <w:t>氮氧化物</w:t>
            </w:r>
          </w:p>
        </w:tc>
        <w:tc>
          <w:tcPr>
            <w:tcW w:w="330" w:type="pct"/>
            <w:tcBorders>
              <w:tl2br w:val="nil"/>
              <w:tr2bl w:val="nil"/>
            </w:tcBorders>
            <w:shd w:val="clear" w:color="auto" w:fill="auto"/>
            <w:vAlign w:val="center"/>
          </w:tcPr>
          <w:p w14:paraId="6F6F4037">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Style w:val="541"/>
                <w:rFonts w:hint="default" w:ascii="Times New Roman" w:hAnsi="Times New Roman" w:eastAsia="宋体" w:cs="Times New Roman"/>
                <w:sz w:val="21"/>
                <w:szCs w:val="21"/>
                <w:lang w:val="en-US" w:eastAsia="zh-CN" w:bidi="ar"/>
              </w:rPr>
            </w:pPr>
            <w:r>
              <w:rPr>
                <w:rFonts w:hint="default" w:ascii="Times New Roman" w:hAnsi="Times New Roman" w:eastAsia="宋体" w:cs="Times New Roman"/>
                <w:sz w:val="21"/>
                <w:szCs w:val="21"/>
                <w:lang w:val="en-US" w:eastAsia="zh-CN" w:bidi="ar"/>
              </w:rPr>
              <w:t>氟化物</w:t>
            </w:r>
          </w:p>
        </w:tc>
        <w:tc>
          <w:tcPr>
            <w:tcW w:w="268" w:type="pct"/>
            <w:tcBorders>
              <w:tl2br w:val="nil"/>
              <w:tr2bl w:val="nil"/>
            </w:tcBorders>
            <w:shd w:val="clear" w:color="auto" w:fill="auto"/>
            <w:vAlign w:val="center"/>
          </w:tcPr>
          <w:p w14:paraId="188EC271">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sz w:val="21"/>
                <w:szCs w:val="21"/>
                <w:lang w:val="en-US" w:eastAsia="zh-CN" w:bidi="ar"/>
              </w:rPr>
              <w:t>氨</w:t>
            </w:r>
          </w:p>
        </w:tc>
        <w:tc>
          <w:tcPr>
            <w:tcW w:w="417" w:type="pct"/>
            <w:tcBorders>
              <w:tl2br w:val="nil"/>
              <w:tr2bl w:val="nil"/>
            </w:tcBorders>
            <w:shd w:val="clear" w:color="auto" w:fill="auto"/>
            <w:vAlign w:val="center"/>
          </w:tcPr>
          <w:p w14:paraId="20086F3E">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sz w:val="21"/>
                <w:szCs w:val="21"/>
                <w:lang w:val="en-US" w:eastAsia="zh-CN" w:bidi="ar"/>
              </w:rPr>
              <w:t>二噁英</w:t>
            </w:r>
          </w:p>
        </w:tc>
      </w:tr>
      <w:tr w14:paraId="6E62AE69">
        <w:tblPrEx>
          <w:tblBorders>
            <w:top w:val="thinThickSmallGap" w:color="000000" w:sz="12" w:space="0"/>
            <w:left w:val="none" w:color="auto" w:sz="0" w:space="0"/>
            <w:bottom w:val="thinThickSmallGap" w:color="000000" w:sz="12" w:space="0"/>
            <w:right w:val="none" w:color="auto" w:sz="0"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397" w:hRule="atLeast"/>
        </w:trPr>
        <w:tc>
          <w:tcPr>
            <w:tcW w:w="242" w:type="pct"/>
            <w:tcBorders>
              <w:tl2br w:val="nil"/>
              <w:tr2bl w:val="nil"/>
            </w:tcBorders>
            <w:shd w:val="clear" w:color="auto" w:fill="auto"/>
            <w:vAlign w:val="center"/>
          </w:tcPr>
          <w:p w14:paraId="01067A2D">
            <w:pPr>
              <w:keepNext w:val="0"/>
              <w:keepLines w:val="0"/>
              <w:pageBreakBefore w:val="0"/>
              <w:widowControl/>
              <w:kinsoku/>
              <w:wordWrap/>
              <w:overflowPunct/>
              <w:topLinePunct w:val="0"/>
              <w:autoSpaceDE/>
              <w:autoSpaceDN/>
              <w:bidi w:val="0"/>
              <w:adjustRightInd w:val="0"/>
              <w:snapToGrid w:val="0"/>
              <w:spacing w:line="240" w:lineRule="auto"/>
              <w:jc w:val="center"/>
              <w:rPr>
                <w:rFonts w:hint="eastAsia" w:ascii="Times New Roman" w:hAnsi="Times New Roman" w:eastAsia="宋体" w:cs="Times New Roman"/>
                <w:i w:val="0"/>
                <w:iCs w:val="0"/>
                <w:color w:val="000000"/>
                <w:sz w:val="21"/>
                <w:szCs w:val="21"/>
                <w:u w:val="none"/>
                <w:lang w:val="en-US" w:eastAsia="zh-CN"/>
              </w:rPr>
            </w:pPr>
            <w:r>
              <w:rPr>
                <w:rFonts w:hint="eastAsia" w:ascii="Times New Roman" w:hAnsi="Times New Roman" w:eastAsia="宋体" w:cs="Times New Roman"/>
                <w:i w:val="0"/>
                <w:iCs w:val="0"/>
                <w:color w:val="000000"/>
                <w:sz w:val="21"/>
                <w:szCs w:val="21"/>
                <w:u w:val="none"/>
                <w:lang w:val="en-US" w:eastAsia="zh-CN"/>
              </w:rPr>
              <w:t>点源</w:t>
            </w:r>
          </w:p>
        </w:tc>
        <w:tc>
          <w:tcPr>
            <w:tcW w:w="541" w:type="pct"/>
            <w:tcBorders>
              <w:tl2br w:val="nil"/>
              <w:tr2bl w:val="nil"/>
            </w:tcBorders>
            <w:shd w:val="clear" w:color="auto" w:fill="auto"/>
            <w:vAlign w:val="center"/>
          </w:tcPr>
          <w:p w14:paraId="499E3125">
            <w:pPr>
              <w:keepNext w:val="0"/>
              <w:keepLines w:val="0"/>
              <w:widowControl/>
              <w:suppressLineNumbers w:val="0"/>
              <w:jc w:val="center"/>
              <w:textAlignment w:val="center"/>
              <w:rPr>
                <w:rFonts w:hint="default" w:ascii="Times New Roman" w:hAnsi="Times New Roman" w:eastAsia="宋体" w:cs="Times New Roman"/>
                <w:color w:val="00000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DA005</w:t>
            </w:r>
          </w:p>
        </w:tc>
        <w:tc>
          <w:tcPr>
            <w:tcW w:w="189" w:type="pct"/>
            <w:tcBorders>
              <w:tl2br w:val="nil"/>
              <w:tr2bl w:val="nil"/>
            </w:tcBorders>
            <w:shd w:val="clear" w:color="auto" w:fill="auto"/>
            <w:vAlign w:val="center"/>
          </w:tcPr>
          <w:p w14:paraId="167BE965">
            <w:pPr>
              <w:keepNext w:val="0"/>
              <w:keepLines w:val="0"/>
              <w:widowControl/>
              <w:suppressLineNumbers w:val="0"/>
              <w:jc w:val="center"/>
              <w:textAlignment w:val="top"/>
              <w:rPr>
                <w:rFonts w:hint="default" w:ascii="Times New Roman" w:hAnsi="Times New Roman" w:eastAsia="宋体" w:cs="Times New Roman"/>
                <w:i w:val="0"/>
                <w:iCs w:val="0"/>
                <w:color w:val="0000FF"/>
                <w:kern w:val="0"/>
                <w:sz w:val="21"/>
                <w:szCs w:val="21"/>
                <w:u w:val="none"/>
                <w:lang w:val="en-US" w:eastAsia="zh-CN" w:bidi="ar"/>
              </w:rPr>
            </w:pPr>
            <w:r>
              <w:rPr>
                <w:rFonts w:hint="default" w:ascii="Times New Roman" w:hAnsi="Times New Roman" w:eastAsia="宋体" w:cs="Times New Roman"/>
                <w:i w:val="0"/>
                <w:iCs w:val="0"/>
                <w:color w:val="75BD42"/>
                <w:kern w:val="0"/>
                <w:sz w:val="21"/>
                <w:szCs w:val="21"/>
                <w:u w:val="none"/>
                <w:lang w:val="en-US" w:eastAsia="zh-CN" w:bidi="ar"/>
              </w:rPr>
              <w:t>-3</w:t>
            </w:r>
          </w:p>
        </w:tc>
        <w:tc>
          <w:tcPr>
            <w:tcW w:w="231" w:type="pct"/>
            <w:tcBorders>
              <w:tl2br w:val="nil"/>
              <w:tr2bl w:val="nil"/>
            </w:tcBorders>
            <w:shd w:val="clear" w:color="auto" w:fill="auto"/>
            <w:vAlign w:val="center"/>
          </w:tcPr>
          <w:p w14:paraId="752CE43A">
            <w:pPr>
              <w:keepNext w:val="0"/>
              <w:keepLines w:val="0"/>
              <w:widowControl/>
              <w:suppressLineNumbers w:val="0"/>
              <w:jc w:val="center"/>
              <w:textAlignment w:val="top"/>
              <w:rPr>
                <w:rFonts w:hint="default" w:ascii="Times New Roman" w:hAnsi="Times New Roman" w:eastAsia="宋体" w:cs="Times New Roman"/>
                <w:i w:val="0"/>
                <w:iCs w:val="0"/>
                <w:color w:val="0000FF"/>
                <w:kern w:val="0"/>
                <w:sz w:val="21"/>
                <w:szCs w:val="21"/>
                <w:u w:val="none"/>
                <w:lang w:val="en-US" w:eastAsia="zh-CN" w:bidi="ar"/>
              </w:rPr>
            </w:pPr>
            <w:r>
              <w:rPr>
                <w:rFonts w:hint="default" w:ascii="Times New Roman" w:hAnsi="Times New Roman" w:eastAsia="宋体" w:cs="Times New Roman"/>
                <w:i w:val="0"/>
                <w:iCs w:val="0"/>
                <w:color w:val="75BD42"/>
                <w:kern w:val="0"/>
                <w:sz w:val="21"/>
                <w:szCs w:val="21"/>
                <w:u w:val="none"/>
                <w:lang w:val="en-US" w:eastAsia="zh-CN" w:bidi="ar"/>
              </w:rPr>
              <w:t>-78</w:t>
            </w:r>
          </w:p>
        </w:tc>
        <w:tc>
          <w:tcPr>
            <w:tcW w:w="460" w:type="pct"/>
            <w:tcBorders>
              <w:tl2br w:val="nil"/>
              <w:tr2bl w:val="nil"/>
            </w:tcBorders>
            <w:shd w:val="clear" w:color="auto" w:fill="auto"/>
            <w:vAlign w:val="center"/>
          </w:tcPr>
          <w:p w14:paraId="342A2A76">
            <w:pPr>
              <w:keepNext w:val="0"/>
              <w:keepLines w:val="0"/>
              <w:widowControl/>
              <w:suppressLineNumbers w:val="0"/>
              <w:jc w:val="center"/>
              <w:textAlignment w:val="center"/>
              <w:rPr>
                <w:rFonts w:hint="default" w:ascii="Times New Roman" w:hAnsi="Times New Roman" w:eastAsia="宋体" w:cs="Times New Roman"/>
                <w:i w:val="0"/>
                <w:iCs w:val="0"/>
                <w:color w:val="FF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351</w:t>
            </w:r>
          </w:p>
        </w:tc>
        <w:tc>
          <w:tcPr>
            <w:tcW w:w="246" w:type="pct"/>
            <w:tcBorders>
              <w:tl2br w:val="nil"/>
              <w:tr2bl w:val="nil"/>
            </w:tcBorders>
            <w:shd w:val="clear" w:color="auto" w:fill="auto"/>
            <w:vAlign w:val="center"/>
          </w:tcPr>
          <w:p w14:paraId="515E849A">
            <w:pPr>
              <w:keepNext w:val="0"/>
              <w:keepLines w:val="0"/>
              <w:widowControl/>
              <w:suppressLineNumbers w:val="0"/>
              <w:jc w:val="center"/>
              <w:textAlignment w:val="center"/>
              <w:rPr>
                <w:rFonts w:hint="default" w:ascii="Times New Roman" w:hAnsi="Times New Roman" w:eastAsia="宋体" w:cs="Times New Roman"/>
                <w:i w:val="0"/>
                <w:iCs w:val="0"/>
                <w:color w:val="FF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19</w:t>
            </w:r>
          </w:p>
        </w:tc>
        <w:tc>
          <w:tcPr>
            <w:tcW w:w="257" w:type="pct"/>
            <w:tcBorders>
              <w:tl2br w:val="nil"/>
              <w:tr2bl w:val="nil"/>
            </w:tcBorders>
            <w:shd w:val="clear" w:color="auto" w:fill="auto"/>
            <w:vAlign w:val="center"/>
          </w:tcPr>
          <w:p w14:paraId="17020D48">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2</w:t>
            </w:r>
          </w:p>
        </w:tc>
        <w:tc>
          <w:tcPr>
            <w:tcW w:w="330" w:type="pct"/>
            <w:tcBorders>
              <w:tl2br w:val="nil"/>
              <w:tr2bl w:val="nil"/>
            </w:tcBorders>
            <w:shd w:val="clear" w:color="auto" w:fill="auto"/>
            <w:vAlign w:val="center"/>
          </w:tcPr>
          <w:p w14:paraId="39939705">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Style w:val="725"/>
                <w:lang w:val="en-US" w:eastAsia="zh-CN" w:bidi="ar"/>
              </w:rPr>
              <w:t>常温</w:t>
            </w:r>
          </w:p>
        </w:tc>
        <w:tc>
          <w:tcPr>
            <w:tcW w:w="330" w:type="pct"/>
            <w:tcBorders>
              <w:tl2br w:val="nil"/>
              <w:tr2bl w:val="nil"/>
            </w:tcBorders>
            <w:shd w:val="clear" w:color="auto" w:fill="auto"/>
            <w:vAlign w:val="center"/>
          </w:tcPr>
          <w:p w14:paraId="1C02C917">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FF0000"/>
                <w:kern w:val="0"/>
                <w:sz w:val="21"/>
                <w:szCs w:val="21"/>
                <w:u w:val="none"/>
                <w:lang w:val="en-US" w:eastAsia="zh-CN" w:bidi="ar"/>
              </w:rPr>
              <w:t>150000</w:t>
            </w:r>
          </w:p>
        </w:tc>
        <w:tc>
          <w:tcPr>
            <w:tcW w:w="330" w:type="pct"/>
            <w:tcBorders>
              <w:tl2br w:val="nil"/>
              <w:tr2bl w:val="nil"/>
            </w:tcBorders>
            <w:shd w:val="clear" w:color="auto" w:fill="auto"/>
            <w:vAlign w:val="center"/>
          </w:tcPr>
          <w:p w14:paraId="56B5B35E">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kern w:val="0"/>
                <w:sz w:val="21"/>
                <w:szCs w:val="21"/>
                <w:highlight w:val="none"/>
                <w:u w:val="none"/>
                <w:lang w:val="en-US" w:eastAsia="zh-CN" w:bidi="ar"/>
              </w:rPr>
            </w:pPr>
            <w:r>
              <w:rPr>
                <w:rFonts w:hint="eastAsia" w:ascii="Times New Roman" w:hAnsi="Times New Roman" w:cs="Times New Roman"/>
                <w:i w:val="0"/>
                <w:iCs w:val="0"/>
                <w:color w:val="0000FF"/>
                <w:kern w:val="0"/>
                <w:sz w:val="21"/>
                <w:szCs w:val="21"/>
                <w:highlight w:val="none"/>
                <w:u w:val="none"/>
                <w:lang w:val="en-US" w:eastAsia="zh-CN" w:bidi="ar"/>
              </w:rPr>
              <w:t>141.91</w:t>
            </w:r>
          </w:p>
        </w:tc>
        <w:tc>
          <w:tcPr>
            <w:tcW w:w="412" w:type="pct"/>
            <w:tcBorders>
              <w:tl2br w:val="nil"/>
              <w:tr2bl w:val="nil"/>
            </w:tcBorders>
            <w:shd w:val="clear" w:color="auto" w:fill="auto"/>
            <w:vAlign w:val="center"/>
          </w:tcPr>
          <w:p w14:paraId="74EA0C31">
            <w:pPr>
              <w:pStyle w:val="720"/>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Style w:val="541"/>
                <w:rFonts w:hint="default" w:ascii="Times New Roman" w:hAnsi="Times New Roman" w:eastAsia="宋体" w:cs="Times New Roman"/>
                <w:color w:val="0000FF"/>
                <w:sz w:val="21"/>
                <w:szCs w:val="21"/>
                <w:highlight w:val="none"/>
                <w:lang w:val="en-US" w:eastAsia="zh-CN" w:bidi="ar"/>
              </w:rPr>
            </w:pPr>
            <w:r>
              <w:rPr>
                <w:rStyle w:val="541"/>
                <w:rFonts w:hint="eastAsia" w:cs="Times New Roman"/>
                <w:color w:val="0000FF"/>
                <w:sz w:val="21"/>
                <w:szCs w:val="21"/>
                <w:highlight w:val="none"/>
                <w:lang w:val="en-US" w:eastAsia="zh-CN" w:bidi="ar"/>
              </w:rPr>
              <w:t>/</w:t>
            </w:r>
          </w:p>
        </w:tc>
        <w:tc>
          <w:tcPr>
            <w:tcW w:w="412" w:type="pct"/>
            <w:tcBorders>
              <w:tl2br w:val="nil"/>
              <w:tr2bl w:val="nil"/>
            </w:tcBorders>
            <w:shd w:val="clear" w:color="auto" w:fill="auto"/>
            <w:vAlign w:val="center"/>
          </w:tcPr>
          <w:p w14:paraId="4BBAFE03">
            <w:pPr>
              <w:pStyle w:val="720"/>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Style w:val="541"/>
                <w:rFonts w:hint="default" w:ascii="Times New Roman" w:hAnsi="Times New Roman" w:eastAsia="宋体" w:cs="Times New Roman"/>
                <w:color w:val="0000FF"/>
                <w:sz w:val="21"/>
                <w:szCs w:val="21"/>
                <w:highlight w:val="none"/>
                <w:lang w:val="en-US" w:eastAsia="zh-CN" w:bidi="ar"/>
              </w:rPr>
            </w:pPr>
            <w:r>
              <w:rPr>
                <w:rStyle w:val="541"/>
                <w:rFonts w:hint="eastAsia" w:cs="Times New Roman"/>
                <w:color w:val="0000FF"/>
                <w:sz w:val="21"/>
                <w:szCs w:val="21"/>
                <w:highlight w:val="none"/>
                <w:lang w:val="en-US" w:eastAsia="zh-CN" w:bidi="ar"/>
              </w:rPr>
              <w:t>/</w:t>
            </w:r>
          </w:p>
        </w:tc>
        <w:tc>
          <w:tcPr>
            <w:tcW w:w="330" w:type="pct"/>
            <w:tcBorders>
              <w:tl2br w:val="nil"/>
              <w:tr2bl w:val="nil"/>
            </w:tcBorders>
            <w:shd w:val="clear" w:color="auto" w:fill="auto"/>
            <w:vAlign w:val="center"/>
          </w:tcPr>
          <w:p w14:paraId="38D7DF53">
            <w:pPr>
              <w:pStyle w:val="720"/>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Style w:val="541"/>
                <w:rFonts w:hint="default" w:ascii="Times New Roman" w:hAnsi="Times New Roman" w:eastAsia="宋体" w:cs="Times New Roman"/>
                <w:color w:val="0000FF"/>
                <w:sz w:val="21"/>
                <w:szCs w:val="21"/>
                <w:highlight w:val="none"/>
                <w:lang w:val="en-US" w:eastAsia="zh-CN" w:bidi="ar"/>
              </w:rPr>
            </w:pPr>
            <w:r>
              <w:rPr>
                <w:rStyle w:val="541"/>
                <w:rFonts w:hint="eastAsia" w:cs="Times New Roman"/>
                <w:color w:val="0000FF"/>
                <w:sz w:val="21"/>
                <w:szCs w:val="21"/>
                <w:highlight w:val="none"/>
                <w:lang w:val="en-US" w:eastAsia="zh-CN" w:bidi="ar"/>
              </w:rPr>
              <w:t>/</w:t>
            </w:r>
          </w:p>
        </w:tc>
        <w:tc>
          <w:tcPr>
            <w:tcW w:w="268" w:type="pct"/>
            <w:tcBorders>
              <w:tl2br w:val="nil"/>
              <w:tr2bl w:val="nil"/>
            </w:tcBorders>
            <w:shd w:val="clear" w:color="auto" w:fill="auto"/>
            <w:vAlign w:val="center"/>
          </w:tcPr>
          <w:p w14:paraId="70993D3E">
            <w:pPr>
              <w:pStyle w:val="720"/>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default" w:ascii="Times New Roman" w:hAnsi="Times New Roman" w:eastAsia="宋体" w:cs="Times New Roman"/>
                <w:i w:val="0"/>
                <w:iCs w:val="0"/>
                <w:color w:val="0000FF"/>
                <w:kern w:val="0"/>
                <w:sz w:val="21"/>
                <w:szCs w:val="21"/>
                <w:highlight w:val="none"/>
                <w:u w:val="none"/>
                <w:lang w:val="en-US" w:eastAsia="zh-CN" w:bidi="ar"/>
              </w:rPr>
            </w:pPr>
            <w:r>
              <w:rPr>
                <w:rFonts w:hint="eastAsia" w:cs="Times New Roman"/>
                <w:i w:val="0"/>
                <w:iCs w:val="0"/>
                <w:color w:val="0000FF"/>
                <w:kern w:val="0"/>
                <w:sz w:val="21"/>
                <w:szCs w:val="21"/>
                <w:highlight w:val="none"/>
                <w:u w:val="none"/>
                <w:lang w:val="en-US" w:eastAsia="zh-CN" w:bidi="ar"/>
              </w:rPr>
              <w:t>/</w:t>
            </w:r>
          </w:p>
        </w:tc>
        <w:tc>
          <w:tcPr>
            <w:tcW w:w="417" w:type="pct"/>
            <w:tcBorders>
              <w:tl2br w:val="nil"/>
              <w:tr2bl w:val="nil"/>
            </w:tcBorders>
            <w:shd w:val="clear" w:color="auto" w:fill="auto"/>
            <w:vAlign w:val="center"/>
          </w:tcPr>
          <w:p w14:paraId="327431E8">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cs="Times New Roman"/>
                <w:i w:val="0"/>
                <w:iCs w:val="0"/>
                <w:color w:val="000000"/>
                <w:kern w:val="0"/>
                <w:sz w:val="21"/>
                <w:szCs w:val="21"/>
                <w:highlight w:val="none"/>
                <w:u w:val="none"/>
                <w:lang w:val="en-US" w:eastAsia="zh-CN" w:bidi="ar"/>
              </w:rPr>
              <w:t>/</w:t>
            </w:r>
          </w:p>
        </w:tc>
      </w:tr>
      <w:tr w14:paraId="18BF5C32">
        <w:tblPrEx>
          <w:tblBorders>
            <w:top w:val="thinThickSmallGap" w:color="000000" w:sz="12" w:space="0"/>
            <w:left w:val="none" w:color="auto" w:sz="0" w:space="0"/>
            <w:bottom w:val="thinThickSmallGap" w:color="000000" w:sz="12" w:space="0"/>
            <w:right w:val="none" w:color="auto" w:sz="0"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397" w:hRule="atLeast"/>
        </w:trPr>
        <w:tc>
          <w:tcPr>
            <w:tcW w:w="5000" w:type="pct"/>
            <w:gridSpan w:val="15"/>
            <w:tcBorders>
              <w:tl2br w:val="nil"/>
              <w:tr2bl w:val="nil"/>
            </w:tcBorders>
            <w:shd w:val="clear" w:color="auto" w:fill="auto"/>
            <w:vAlign w:val="center"/>
          </w:tcPr>
          <w:p w14:paraId="718B0AC0">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b/>
                <w:bCs/>
                <w:i w:val="0"/>
                <w:iCs w:val="0"/>
                <w:color w:val="000000"/>
                <w:sz w:val="21"/>
                <w:szCs w:val="21"/>
                <w:u w:val="none"/>
              </w:rPr>
            </w:pPr>
            <w:r>
              <w:rPr>
                <w:rFonts w:hint="default" w:ascii="Times New Roman" w:hAnsi="Times New Roman" w:eastAsia="宋体" w:cs="Times New Roman"/>
                <w:b/>
                <w:bCs/>
                <w:i w:val="0"/>
                <w:iCs w:val="0"/>
                <w:color w:val="000000"/>
                <w:kern w:val="0"/>
                <w:sz w:val="21"/>
                <w:szCs w:val="21"/>
                <w:u w:val="none"/>
                <w:lang w:val="en-US" w:eastAsia="zh-CN" w:bidi="ar"/>
              </w:rPr>
              <w:t>“以新带老污染源</w:t>
            </w:r>
          </w:p>
        </w:tc>
      </w:tr>
      <w:tr w14:paraId="61B25C68">
        <w:tblPrEx>
          <w:tblBorders>
            <w:top w:val="thinThickSmallGap" w:color="000000" w:sz="12" w:space="0"/>
            <w:left w:val="none" w:color="auto" w:sz="0" w:space="0"/>
            <w:bottom w:val="thinThickSmallGap" w:color="000000" w:sz="12" w:space="0"/>
            <w:right w:val="none" w:color="auto" w:sz="0"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397" w:hRule="atLeast"/>
        </w:trPr>
        <w:tc>
          <w:tcPr>
            <w:tcW w:w="242" w:type="pct"/>
            <w:vMerge w:val="restart"/>
            <w:tcBorders>
              <w:tl2br w:val="nil"/>
              <w:tr2bl w:val="nil"/>
            </w:tcBorders>
            <w:shd w:val="clear" w:color="auto" w:fill="auto"/>
            <w:vAlign w:val="center"/>
          </w:tcPr>
          <w:p w14:paraId="2010542C">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sz w:val="21"/>
                <w:szCs w:val="21"/>
                <w:lang w:val="en-US" w:eastAsia="zh-CN" w:bidi="ar"/>
              </w:rPr>
              <w:t>类型</w:t>
            </w:r>
          </w:p>
        </w:tc>
        <w:tc>
          <w:tcPr>
            <w:tcW w:w="541" w:type="pct"/>
            <w:vMerge w:val="restart"/>
            <w:tcBorders>
              <w:tl2br w:val="nil"/>
              <w:tr2bl w:val="nil"/>
            </w:tcBorders>
            <w:shd w:val="clear" w:color="auto" w:fill="auto"/>
            <w:vAlign w:val="center"/>
          </w:tcPr>
          <w:p w14:paraId="6F0DB131">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sz w:val="21"/>
                <w:szCs w:val="21"/>
                <w:lang w:val="en-US" w:eastAsia="zh-CN" w:bidi="ar"/>
              </w:rPr>
            </w:pPr>
            <w:r>
              <w:rPr>
                <w:rFonts w:hint="default" w:ascii="Times New Roman" w:hAnsi="Times New Roman" w:eastAsia="宋体" w:cs="Times New Roman"/>
                <w:sz w:val="21"/>
                <w:szCs w:val="21"/>
                <w:lang w:val="en-US" w:eastAsia="zh-CN" w:bidi="ar"/>
              </w:rPr>
              <w:t>污染源</w:t>
            </w:r>
          </w:p>
          <w:p w14:paraId="7934E612">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sz w:val="21"/>
                <w:szCs w:val="21"/>
                <w:lang w:val="en-US" w:eastAsia="zh-CN" w:bidi="ar"/>
              </w:rPr>
              <w:t>名称</w:t>
            </w:r>
          </w:p>
        </w:tc>
        <w:tc>
          <w:tcPr>
            <w:tcW w:w="1385" w:type="pct"/>
            <w:gridSpan w:val="5"/>
            <w:tcBorders>
              <w:tl2br w:val="nil"/>
              <w:tr2bl w:val="nil"/>
            </w:tcBorders>
            <w:shd w:val="clear" w:color="auto" w:fill="auto"/>
            <w:vAlign w:val="center"/>
          </w:tcPr>
          <w:p w14:paraId="0763FC57">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sz w:val="21"/>
                <w:szCs w:val="21"/>
                <w:lang w:val="en-US" w:eastAsia="zh-CN" w:bidi="ar"/>
              </w:rPr>
              <w:t>排气筒参数（</w:t>
            </w:r>
            <w:r>
              <w:rPr>
                <w:rStyle w:val="541"/>
                <w:rFonts w:hint="default" w:ascii="Times New Roman" w:hAnsi="Times New Roman" w:eastAsia="宋体" w:cs="Times New Roman"/>
                <w:sz w:val="21"/>
                <w:szCs w:val="21"/>
                <w:lang w:val="en-US" w:eastAsia="zh-CN" w:bidi="ar"/>
              </w:rPr>
              <w:t>m</w:t>
            </w:r>
            <w:r>
              <w:rPr>
                <w:rFonts w:hint="default" w:ascii="Times New Roman" w:hAnsi="Times New Roman" w:eastAsia="宋体" w:cs="Times New Roman"/>
                <w:sz w:val="21"/>
                <w:szCs w:val="21"/>
                <w:lang w:val="en-US" w:eastAsia="zh-CN" w:bidi="ar"/>
              </w:rPr>
              <w:t>）</w:t>
            </w:r>
          </w:p>
        </w:tc>
        <w:tc>
          <w:tcPr>
            <w:tcW w:w="330" w:type="pct"/>
            <w:vMerge w:val="restart"/>
            <w:tcBorders>
              <w:tl2br w:val="nil"/>
              <w:tr2bl w:val="nil"/>
            </w:tcBorders>
            <w:shd w:val="clear" w:color="auto" w:fill="auto"/>
            <w:vAlign w:val="center"/>
          </w:tcPr>
          <w:p w14:paraId="5C00566E">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sz w:val="21"/>
                <w:szCs w:val="21"/>
                <w:lang w:val="en-US" w:eastAsia="zh-CN" w:bidi="ar"/>
              </w:rPr>
            </w:pPr>
            <w:r>
              <w:rPr>
                <w:rFonts w:hint="default" w:ascii="Times New Roman" w:hAnsi="Times New Roman" w:eastAsia="宋体" w:cs="Times New Roman"/>
                <w:sz w:val="21"/>
                <w:szCs w:val="21"/>
                <w:lang w:val="en-US" w:eastAsia="zh-CN" w:bidi="ar"/>
              </w:rPr>
              <w:t>温度</w:t>
            </w:r>
          </w:p>
          <w:p w14:paraId="3F0DEC58">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00"/>
                <w:sz w:val="21"/>
                <w:szCs w:val="21"/>
                <w:u w:val="none"/>
              </w:rPr>
            </w:pPr>
            <w:r>
              <w:rPr>
                <w:rStyle w:val="541"/>
                <w:rFonts w:hint="default" w:ascii="Times New Roman" w:hAnsi="Times New Roman" w:eastAsia="宋体" w:cs="Times New Roman"/>
                <w:sz w:val="21"/>
                <w:szCs w:val="21"/>
                <w:lang w:val="en-US" w:eastAsia="zh-CN" w:bidi="ar"/>
              </w:rPr>
              <w:t>℃</w:t>
            </w:r>
          </w:p>
        </w:tc>
        <w:tc>
          <w:tcPr>
            <w:tcW w:w="330" w:type="pct"/>
            <w:vMerge w:val="restart"/>
            <w:tcBorders>
              <w:tl2br w:val="nil"/>
              <w:tr2bl w:val="nil"/>
            </w:tcBorders>
            <w:shd w:val="clear" w:color="auto" w:fill="auto"/>
            <w:vAlign w:val="center"/>
          </w:tcPr>
          <w:p w14:paraId="3642FDB6">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sz w:val="21"/>
                <w:szCs w:val="21"/>
                <w:lang w:val="en-US" w:eastAsia="zh-CN" w:bidi="ar"/>
              </w:rPr>
            </w:pPr>
            <w:r>
              <w:rPr>
                <w:rFonts w:hint="default" w:ascii="Times New Roman" w:hAnsi="Times New Roman" w:eastAsia="宋体" w:cs="Times New Roman"/>
                <w:sz w:val="21"/>
                <w:szCs w:val="21"/>
                <w:lang w:val="en-US" w:eastAsia="zh-CN" w:bidi="ar"/>
              </w:rPr>
              <w:t>烟气量</w:t>
            </w:r>
          </w:p>
          <w:p w14:paraId="31FD83A1">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00"/>
                <w:sz w:val="21"/>
                <w:szCs w:val="21"/>
                <w:u w:val="none"/>
              </w:rPr>
            </w:pPr>
            <w:r>
              <w:rPr>
                <w:rStyle w:val="541"/>
                <w:rFonts w:hint="default" w:ascii="Times New Roman" w:hAnsi="Times New Roman" w:eastAsia="宋体" w:cs="Times New Roman"/>
                <w:sz w:val="21"/>
                <w:szCs w:val="21"/>
                <w:lang w:val="en-US" w:eastAsia="zh-CN" w:bidi="ar"/>
              </w:rPr>
              <w:t>Nm</w:t>
            </w:r>
            <w:r>
              <w:rPr>
                <w:rStyle w:val="502"/>
                <w:rFonts w:hint="default" w:ascii="Times New Roman" w:hAnsi="Times New Roman" w:eastAsia="宋体" w:cs="Times New Roman"/>
                <w:sz w:val="21"/>
                <w:szCs w:val="21"/>
                <w:lang w:val="en-US" w:eastAsia="zh-CN" w:bidi="ar"/>
              </w:rPr>
              <w:t>3</w:t>
            </w:r>
            <w:r>
              <w:rPr>
                <w:rStyle w:val="541"/>
                <w:rFonts w:hint="default" w:ascii="Times New Roman" w:hAnsi="Times New Roman" w:eastAsia="宋体" w:cs="Times New Roman"/>
                <w:sz w:val="21"/>
                <w:szCs w:val="21"/>
                <w:lang w:val="en-US" w:eastAsia="zh-CN" w:bidi="ar"/>
              </w:rPr>
              <w:t>/h</w:t>
            </w:r>
          </w:p>
        </w:tc>
        <w:tc>
          <w:tcPr>
            <w:tcW w:w="2170" w:type="pct"/>
            <w:gridSpan w:val="6"/>
            <w:tcBorders>
              <w:tl2br w:val="nil"/>
              <w:tr2bl w:val="nil"/>
            </w:tcBorders>
            <w:shd w:val="clear" w:color="auto" w:fill="auto"/>
            <w:vAlign w:val="center"/>
          </w:tcPr>
          <w:p w14:paraId="7388844B">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sz w:val="21"/>
                <w:szCs w:val="21"/>
                <w:lang w:val="en-US" w:eastAsia="zh-CN" w:bidi="ar"/>
              </w:rPr>
              <w:t>估算因子（</w:t>
            </w:r>
            <w:r>
              <w:rPr>
                <w:rStyle w:val="541"/>
                <w:rFonts w:hint="default" w:ascii="Times New Roman" w:hAnsi="Times New Roman" w:eastAsia="宋体" w:cs="Times New Roman"/>
                <w:sz w:val="21"/>
                <w:szCs w:val="21"/>
                <w:lang w:val="en-US" w:eastAsia="zh-CN" w:bidi="ar"/>
              </w:rPr>
              <w:t>kg/h</w:t>
            </w:r>
            <w:r>
              <w:rPr>
                <w:rFonts w:hint="default" w:ascii="Times New Roman" w:hAnsi="Times New Roman" w:eastAsia="宋体" w:cs="Times New Roman"/>
                <w:sz w:val="21"/>
                <w:szCs w:val="21"/>
                <w:lang w:val="en-US" w:eastAsia="zh-CN" w:bidi="ar"/>
              </w:rPr>
              <w:t>）</w:t>
            </w:r>
          </w:p>
        </w:tc>
      </w:tr>
      <w:tr w14:paraId="13AF0E49">
        <w:tblPrEx>
          <w:tblBorders>
            <w:top w:val="thinThickSmallGap" w:color="000000" w:sz="12" w:space="0"/>
            <w:left w:val="none" w:color="auto" w:sz="0" w:space="0"/>
            <w:bottom w:val="thinThickSmallGap"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97" w:hRule="atLeast"/>
        </w:trPr>
        <w:tc>
          <w:tcPr>
            <w:tcW w:w="242" w:type="pct"/>
            <w:vMerge w:val="continue"/>
            <w:tcBorders>
              <w:tl2br w:val="nil"/>
              <w:tr2bl w:val="nil"/>
            </w:tcBorders>
            <w:shd w:val="clear" w:color="auto" w:fill="auto"/>
            <w:vAlign w:val="center"/>
          </w:tcPr>
          <w:p w14:paraId="4F17C37D">
            <w:pPr>
              <w:keepNext w:val="0"/>
              <w:keepLines w:val="0"/>
              <w:pageBreakBefore w:val="0"/>
              <w:widowControl/>
              <w:kinsoku/>
              <w:wordWrap/>
              <w:overflowPunct/>
              <w:topLinePunct w:val="0"/>
              <w:autoSpaceDE/>
              <w:autoSpaceDN/>
              <w:bidi w:val="0"/>
              <w:adjustRightInd w:val="0"/>
              <w:snapToGrid w:val="0"/>
              <w:spacing w:line="240" w:lineRule="auto"/>
              <w:jc w:val="center"/>
              <w:rPr>
                <w:rFonts w:hint="default" w:ascii="Times New Roman" w:hAnsi="Times New Roman" w:eastAsia="宋体" w:cs="Times New Roman"/>
                <w:i w:val="0"/>
                <w:iCs w:val="0"/>
                <w:color w:val="000000"/>
                <w:sz w:val="21"/>
                <w:szCs w:val="21"/>
                <w:u w:val="none"/>
              </w:rPr>
            </w:pPr>
          </w:p>
        </w:tc>
        <w:tc>
          <w:tcPr>
            <w:tcW w:w="541" w:type="pct"/>
            <w:vMerge w:val="continue"/>
            <w:tcBorders>
              <w:tl2br w:val="nil"/>
              <w:tr2bl w:val="nil"/>
            </w:tcBorders>
            <w:shd w:val="clear" w:color="auto" w:fill="auto"/>
            <w:vAlign w:val="center"/>
          </w:tcPr>
          <w:p w14:paraId="720450E5">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00"/>
                <w:sz w:val="21"/>
                <w:szCs w:val="21"/>
                <w:u w:val="none"/>
              </w:rPr>
            </w:pPr>
          </w:p>
        </w:tc>
        <w:tc>
          <w:tcPr>
            <w:tcW w:w="189" w:type="pct"/>
            <w:tcBorders>
              <w:tl2br w:val="nil"/>
              <w:tr2bl w:val="nil"/>
            </w:tcBorders>
            <w:shd w:val="clear" w:color="auto" w:fill="auto"/>
            <w:vAlign w:val="center"/>
          </w:tcPr>
          <w:p w14:paraId="31E218E9">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00"/>
                <w:sz w:val="21"/>
                <w:szCs w:val="21"/>
                <w:u w:val="none"/>
              </w:rPr>
            </w:pPr>
            <w:r>
              <w:rPr>
                <w:rStyle w:val="541"/>
                <w:rFonts w:hint="default" w:ascii="Times New Roman" w:hAnsi="Times New Roman" w:eastAsia="宋体" w:cs="Times New Roman"/>
                <w:sz w:val="21"/>
                <w:szCs w:val="21"/>
                <w:lang w:val="en-US" w:eastAsia="zh-CN" w:bidi="ar"/>
              </w:rPr>
              <w:t>X</w:t>
            </w:r>
          </w:p>
        </w:tc>
        <w:tc>
          <w:tcPr>
            <w:tcW w:w="231" w:type="pct"/>
            <w:tcBorders>
              <w:tl2br w:val="nil"/>
              <w:tr2bl w:val="nil"/>
            </w:tcBorders>
            <w:shd w:val="clear" w:color="auto" w:fill="auto"/>
            <w:vAlign w:val="center"/>
          </w:tcPr>
          <w:p w14:paraId="58DB8079">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00"/>
                <w:sz w:val="21"/>
                <w:szCs w:val="21"/>
                <w:u w:val="none"/>
              </w:rPr>
            </w:pPr>
            <w:r>
              <w:rPr>
                <w:rStyle w:val="541"/>
                <w:rFonts w:hint="default" w:ascii="Times New Roman" w:hAnsi="Times New Roman" w:eastAsia="宋体" w:cs="Times New Roman"/>
                <w:sz w:val="21"/>
                <w:szCs w:val="21"/>
                <w:lang w:val="en-US" w:eastAsia="zh-CN" w:bidi="ar"/>
              </w:rPr>
              <w:t>Y</w:t>
            </w:r>
          </w:p>
        </w:tc>
        <w:tc>
          <w:tcPr>
            <w:tcW w:w="460" w:type="pct"/>
            <w:tcBorders>
              <w:tl2br w:val="nil"/>
              <w:tr2bl w:val="nil"/>
            </w:tcBorders>
            <w:shd w:val="clear" w:color="auto" w:fill="auto"/>
            <w:vAlign w:val="center"/>
          </w:tcPr>
          <w:p w14:paraId="7265C06A">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00"/>
                <w:sz w:val="21"/>
                <w:szCs w:val="21"/>
                <w:u w:val="none"/>
              </w:rPr>
            </w:pPr>
            <w:r>
              <w:rPr>
                <w:rStyle w:val="541"/>
                <w:rFonts w:hint="default" w:ascii="Times New Roman" w:hAnsi="Times New Roman" w:eastAsia="宋体" w:cs="Times New Roman"/>
                <w:sz w:val="21"/>
                <w:szCs w:val="21"/>
                <w:lang w:val="en-US" w:eastAsia="zh-CN" w:bidi="ar"/>
              </w:rPr>
              <w:t>Z</w:t>
            </w:r>
            <w:r>
              <w:rPr>
                <w:rFonts w:hint="default" w:ascii="Times New Roman" w:hAnsi="Times New Roman" w:eastAsia="宋体" w:cs="Times New Roman"/>
                <w:sz w:val="21"/>
                <w:szCs w:val="21"/>
                <w:lang w:val="en-US" w:eastAsia="zh-CN" w:bidi="ar"/>
              </w:rPr>
              <w:t>（高程）</w:t>
            </w:r>
          </w:p>
        </w:tc>
        <w:tc>
          <w:tcPr>
            <w:tcW w:w="246" w:type="pct"/>
            <w:tcBorders>
              <w:tl2br w:val="nil"/>
              <w:tr2bl w:val="nil"/>
            </w:tcBorders>
            <w:shd w:val="clear" w:color="auto" w:fill="auto"/>
            <w:vAlign w:val="center"/>
          </w:tcPr>
          <w:p w14:paraId="62AA55E0">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sz w:val="21"/>
                <w:szCs w:val="21"/>
                <w:lang w:val="en-US" w:eastAsia="zh-CN" w:bidi="ar"/>
              </w:rPr>
              <w:t>高度</w:t>
            </w:r>
          </w:p>
        </w:tc>
        <w:tc>
          <w:tcPr>
            <w:tcW w:w="257" w:type="pct"/>
            <w:tcBorders>
              <w:tl2br w:val="nil"/>
              <w:tr2bl w:val="nil"/>
            </w:tcBorders>
            <w:shd w:val="clear" w:color="auto" w:fill="auto"/>
            <w:vAlign w:val="center"/>
          </w:tcPr>
          <w:p w14:paraId="6AE3FD56">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sz w:val="21"/>
                <w:szCs w:val="21"/>
                <w:lang w:val="en-US" w:eastAsia="zh-CN" w:bidi="ar"/>
              </w:rPr>
              <w:t>内径</w:t>
            </w:r>
          </w:p>
        </w:tc>
        <w:tc>
          <w:tcPr>
            <w:tcW w:w="330" w:type="pct"/>
            <w:vMerge w:val="continue"/>
            <w:tcBorders>
              <w:tl2br w:val="nil"/>
              <w:tr2bl w:val="nil"/>
            </w:tcBorders>
            <w:shd w:val="clear" w:color="auto" w:fill="auto"/>
            <w:vAlign w:val="center"/>
          </w:tcPr>
          <w:p w14:paraId="01CBD3A8">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00"/>
                <w:sz w:val="21"/>
                <w:szCs w:val="21"/>
                <w:u w:val="none"/>
              </w:rPr>
            </w:pPr>
          </w:p>
        </w:tc>
        <w:tc>
          <w:tcPr>
            <w:tcW w:w="330" w:type="pct"/>
            <w:vMerge w:val="continue"/>
            <w:tcBorders>
              <w:tl2br w:val="nil"/>
              <w:tr2bl w:val="nil"/>
            </w:tcBorders>
            <w:shd w:val="clear" w:color="auto" w:fill="auto"/>
            <w:vAlign w:val="center"/>
          </w:tcPr>
          <w:p w14:paraId="704F7366">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00"/>
                <w:sz w:val="21"/>
                <w:szCs w:val="21"/>
                <w:u w:val="none"/>
              </w:rPr>
            </w:pPr>
          </w:p>
        </w:tc>
        <w:tc>
          <w:tcPr>
            <w:tcW w:w="330" w:type="pct"/>
            <w:tcBorders>
              <w:tl2br w:val="nil"/>
              <w:tr2bl w:val="nil"/>
            </w:tcBorders>
            <w:shd w:val="clear" w:color="auto" w:fill="auto"/>
            <w:vAlign w:val="center"/>
          </w:tcPr>
          <w:p w14:paraId="7D3FD623">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sz w:val="21"/>
                <w:szCs w:val="21"/>
                <w:lang w:val="en-US" w:eastAsia="zh-CN" w:bidi="ar"/>
              </w:rPr>
              <w:t>颗粒物</w:t>
            </w:r>
          </w:p>
        </w:tc>
        <w:tc>
          <w:tcPr>
            <w:tcW w:w="412" w:type="pct"/>
            <w:tcBorders>
              <w:tl2br w:val="nil"/>
              <w:tr2bl w:val="nil"/>
            </w:tcBorders>
            <w:shd w:val="clear" w:color="auto" w:fill="auto"/>
            <w:vAlign w:val="center"/>
          </w:tcPr>
          <w:p w14:paraId="5E3CE91C">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sz w:val="21"/>
                <w:szCs w:val="21"/>
                <w:lang w:val="en-US" w:eastAsia="zh-CN" w:bidi="ar"/>
              </w:rPr>
              <w:t>二氧化硫</w:t>
            </w:r>
          </w:p>
        </w:tc>
        <w:tc>
          <w:tcPr>
            <w:tcW w:w="412" w:type="pct"/>
            <w:tcBorders>
              <w:tl2br w:val="nil"/>
              <w:tr2bl w:val="nil"/>
            </w:tcBorders>
            <w:shd w:val="clear" w:color="auto" w:fill="auto"/>
            <w:vAlign w:val="center"/>
          </w:tcPr>
          <w:p w14:paraId="12982C1A">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sz w:val="21"/>
                <w:szCs w:val="21"/>
                <w:lang w:val="en-US" w:eastAsia="zh-CN" w:bidi="ar"/>
              </w:rPr>
              <w:t>氮氧化物</w:t>
            </w:r>
          </w:p>
        </w:tc>
        <w:tc>
          <w:tcPr>
            <w:tcW w:w="330" w:type="pct"/>
            <w:tcBorders>
              <w:tl2br w:val="nil"/>
              <w:tr2bl w:val="nil"/>
            </w:tcBorders>
            <w:shd w:val="clear" w:color="auto" w:fill="auto"/>
            <w:vAlign w:val="center"/>
          </w:tcPr>
          <w:p w14:paraId="0D2E5B59">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sz w:val="21"/>
                <w:szCs w:val="21"/>
                <w:lang w:val="en-US" w:eastAsia="zh-CN" w:bidi="ar"/>
              </w:rPr>
              <w:t>氟化物</w:t>
            </w:r>
          </w:p>
        </w:tc>
        <w:tc>
          <w:tcPr>
            <w:tcW w:w="268" w:type="pct"/>
            <w:tcBorders>
              <w:tl2br w:val="nil"/>
              <w:tr2bl w:val="nil"/>
            </w:tcBorders>
            <w:shd w:val="clear" w:color="auto" w:fill="auto"/>
            <w:vAlign w:val="center"/>
          </w:tcPr>
          <w:p w14:paraId="639E77AB">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w:t>
            </w:r>
          </w:p>
        </w:tc>
        <w:tc>
          <w:tcPr>
            <w:tcW w:w="417" w:type="pct"/>
            <w:tcBorders>
              <w:tl2br w:val="nil"/>
              <w:tr2bl w:val="nil"/>
            </w:tcBorders>
            <w:shd w:val="clear" w:color="auto" w:fill="auto"/>
            <w:vAlign w:val="center"/>
          </w:tcPr>
          <w:p w14:paraId="4E702471">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w:t>
            </w:r>
          </w:p>
        </w:tc>
      </w:tr>
      <w:tr w14:paraId="6D692A6B">
        <w:tblPrEx>
          <w:tblBorders>
            <w:top w:val="thinThickSmallGap" w:color="000000" w:sz="12" w:space="0"/>
            <w:left w:val="none" w:color="auto" w:sz="0" w:space="0"/>
            <w:bottom w:val="thinThickSmallGap" w:color="000000" w:sz="12" w:space="0"/>
            <w:right w:val="none" w:color="auto" w:sz="0"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397" w:hRule="atLeast"/>
        </w:trPr>
        <w:tc>
          <w:tcPr>
            <w:tcW w:w="242" w:type="pct"/>
            <w:vMerge w:val="restart"/>
            <w:tcBorders>
              <w:tl2br w:val="nil"/>
              <w:tr2bl w:val="nil"/>
            </w:tcBorders>
            <w:shd w:val="clear" w:color="auto" w:fill="auto"/>
            <w:vAlign w:val="center"/>
          </w:tcPr>
          <w:p w14:paraId="0CA18D08">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sz w:val="21"/>
                <w:szCs w:val="21"/>
                <w:lang w:val="en-US" w:eastAsia="zh-CN" w:bidi="ar"/>
              </w:rPr>
              <w:t>点源</w:t>
            </w:r>
          </w:p>
        </w:tc>
        <w:tc>
          <w:tcPr>
            <w:tcW w:w="541" w:type="pct"/>
            <w:tcBorders>
              <w:tl2br w:val="nil"/>
              <w:tr2bl w:val="nil"/>
            </w:tcBorders>
            <w:shd w:val="clear" w:color="auto" w:fill="auto"/>
            <w:vAlign w:val="center"/>
          </w:tcPr>
          <w:p w14:paraId="20DCF19E">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00"/>
                <w:sz w:val="21"/>
                <w:szCs w:val="21"/>
                <w:u w:val="none"/>
              </w:rPr>
            </w:pPr>
            <w:r>
              <w:rPr>
                <w:rStyle w:val="541"/>
                <w:rFonts w:hint="default" w:ascii="Times New Roman" w:hAnsi="Times New Roman" w:eastAsia="宋体" w:cs="Times New Roman"/>
                <w:sz w:val="21"/>
                <w:szCs w:val="21"/>
                <w:lang w:val="en-US" w:eastAsia="zh-CN" w:bidi="ar"/>
              </w:rPr>
              <w:t>DA002</w:t>
            </w:r>
          </w:p>
        </w:tc>
        <w:tc>
          <w:tcPr>
            <w:tcW w:w="189" w:type="pct"/>
            <w:tcBorders>
              <w:tl2br w:val="nil"/>
              <w:tr2bl w:val="nil"/>
            </w:tcBorders>
            <w:shd w:val="clear" w:color="auto" w:fill="auto"/>
            <w:vAlign w:val="center"/>
          </w:tcPr>
          <w:p w14:paraId="21620B80">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top"/>
              <w:rPr>
                <w:rFonts w:hint="default" w:ascii="Times New Roman" w:hAnsi="Times New Roman" w:eastAsia="宋体" w:cs="Times New Roman"/>
                <w:i w:val="0"/>
                <w:iCs w:val="0"/>
                <w:color w:val="75BD42"/>
                <w:sz w:val="21"/>
                <w:szCs w:val="21"/>
                <w:u w:val="none"/>
              </w:rPr>
            </w:pPr>
            <w:r>
              <w:rPr>
                <w:rFonts w:hint="default" w:ascii="Times New Roman" w:hAnsi="Times New Roman" w:eastAsia="宋体" w:cs="Times New Roman"/>
                <w:i w:val="0"/>
                <w:iCs w:val="0"/>
                <w:color w:val="75BD42"/>
                <w:kern w:val="0"/>
                <w:sz w:val="21"/>
                <w:szCs w:val="21"/>
                <w:u w:val="none"/>
                <w:lang w:val="en-US" w:eastAsia="zh-CN" w:bidi="ar"/>
              </w:rPr>
              <w:t>3</w:t>
            </w:r>
          </w:p>
        </w:tc>
        <w:tc>
          <w:tcPr>
            <w:tcW w:w="231" w:type="pct"/>
            <w:tcBorders>
              <w:tl2br w:val="nil"/>
              <w:tr2bl w:val="nil"/>
            </w:tcBorders>
            <w:shd w:val="clear" w:color="auto" w:fill="auto"/>
            <w:vAlign w:val="center"/>
          </w:tcPr>
          <w:p w14:paraId="73B574ED">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top"/>
              <w:rPr>
                <w:rFonts w:hint="default" w:ascii="Times New Roman" w:hAnsi="Times New Roman" w:eastAsia="宋体" w:cs="Times New Roman"/>
                <w:i w:val="0"/>
                <w:iCs w:val="0"/>
                <w:color w:val="75BD42"/>
                <w:sz w:val="21"/>
                <w:szCs w:val="21"/>
                <w:u w:val="none"/>
              </w:rPr>
            </w:pPr>
            <w:r>
              <w:rPr>
                <w:rFonts w:hint="default" w:ascii="Times New Roman" w:hAnsi="Times New Roman" w:eastAsia="宋体" w:cs="Times New Roman"/>
                <w:i w:val="0"/>
                <w:iCs w:val="0"/>
                <w:color w:val="75BD42"/>
                <w:kern w:val="0"/>
                <w:sz w:val="21"/>
                <w:szCs w:val="21"/>
                <w:u w:val="none"/>
                <w:lang w:val="en-US" w:eastAsia="zh-CN" w:bidi="ar"/>
              </w:rPr>
              <w:t>-58</w:t>
            </w:r>
          </w:p>
        </w:tc>
        <w:tc>
          <w:tcPr>
            <w:tcW w:w="460" w:type="pct"/>
            <w:tcBorders>
              <w:tl2br w:val="nil"/>
              <w:tr2bl w:val="nil"/>
            </w:tcBorders>
            <w:shd w:val="clear" w:color="auto" w:fill="auto"/>
            <w:vAlign w:val="center"/>
          </w:tcPr>
          <w:p w14:paraId="496574D1">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1"/>
                <w:szCs w:val="21"/>
                <w:u w:val="none"/>
                <w:lang w:val="en-US" w:eastAsia="zh-CN" w:bidi="ar"/>
              </w:rPr>
              <w:t>351</w:t>
            </w:r>
          </w:p>
        </w:tc>
        <w:tc>
          <w:tcPr>
            <w:tcW w:w="246" w:type="pct"/>
            <w:tcBorders>
              <w:tl2br w:val="nil"/>
              <w:tr2bl w:val="nil"/>
            </w:tcBorders>
            <w:shd w:val="clear" w:color="auto" w:fill="auto"/>
            <w:vAlign w:val="center"/>
          </w:tcPr>
          <w:p w14:paraId="2D6812CB">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70</w:t>
            </w:r>
          </w:p>
        </w:tc>
        <w:tc>
          <w:tcPr>
            <w:tcW w:w="257" w:type="pct"/>
            <w:tcBorders>
              <w:tl2br w:val="nil"/>
              <w:tr2bl w:val="nil"/>
            </w:tcBorders>
            <w:shd w:val="clear" w:color="auto" w:fill="auto"/>
            <w:vAlign w:val="center"/>
          </w:tcPr>
          <w:p w14:paraId="3D450566">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2.4</w:t>
            </w:r>
          </w:p>
        </w:tc>
        <w:tc>
          <w:tcPr>
            <w:tcW w:w="330" w:type="pct"/>
            <w:tcBorders>
              <w:tl2br w:val="nil"/>
              <w:tr2bl w:val="nil"/>
            </w:tcBorders>
            <w:shd w:val="clear" w:color="auto" w:fill="auto"/>
            <w:vAlign w:val="center"/>
          </w:tcPr>
          <w:p w14:paraId="09FE8147">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120</w:t>
            </w:r>
          </w:p>
        </w:tc>
        <w:tc>
          <w:tcPr>
            <w:tcW w:w="330" w:type="pct"/>
            <w:tcBorders>
              <w:tl2br w:val="nil"/>
              <w:tr2bl w:val="nil"/>
            </w:tcBorders>
            <w:shd w:val="clear" w:color="auto" w:fill="auto"/>
            <w:vAlign w:val="center"/>
          </w:tcPr>
          <w:p w14:paraId="0895549D">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152340</w:t>
            </w:r>
          </w:p>
        </w:tc>
        <w:tc>
          <w:tcPr>
            <w:tcW w:w="330" w:type="pct"/>
            <w:tcBorders>
              <w:tl2br w:val="nil"/>
              <w:tr2bl w:val="nil"/>
            </w:tcBorders>
            <w:shd w:val="clear" w:color="auto" w:fill="auto"/>
            <w:vAlign w:val="center"/>
          </w:tcPr>
          <w:p w14:paraId="2DBCAFD1">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0.89</w:t>
            </w:r>
          </w:p>
        </w:tc>
        <w:tc>
          <w:tcPr>
            <w:tcW w:w="412" w:type="pct"/>
            <w:tcBorders>
              <w:tl2br w:val="nil"/>
              <w:tr2bl w:val="nil"/>
            </w:tcBorders>
            <w:shd w:val="clear" w:color="auto" w:fill="auto"/>
            <w:vAlign w:val="center"/>
          </w:tcPr>
          <w:p w14:paraId="6C1E719D">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1.85</w:t>
            </w:r>
          </w:p>
        </w:tc>
        <w:tc>
          <w:tcPr>
            <w:tcW w:w="412" w:type="pct"/>
            <w:tcBorders>
              <w:tl2br w:val="nil"/>
              <w:tr2bl w:val="nil"/>
            </w:tcBorders>
            <w:shd w:val="clear" w:color="auto" w:fill="auto"/>
            <w:vAlign w:val="center"/>
          </w:tcPr>
          <w:p w14:paraId="26729516">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5.33</w:t>
            </w:r>
          </w:p>
        </w:tc>
        <w:tc>
          <w:tcPr>
            <w:tcW w:w="330" w:type="pct"/>
            <w:tcBorders>
              <w:tl2br w:val="nil"/>
              <w:tr2bl w:val="nil"/>
            </w:tcBorders>
            <w:shd w:val="clear" w:color="auto" w:fill="auto"/>
            <w:vAlign w:val="center"/>
          </w:tcPr>
          <w:p w14:paraId="14750188">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0.16</w:t>
            </w:r>
          </w:p>
        </w:tc>
        <w:tc>
          <w:tcPr>
            <w:tcW w:w="268" w:type="pct"/>
            <w:tcBorders>
              <w:tl2br w:val="nil"/>
              <w:tr2bl w:val="nil"/>
            </w:tcBorders>
            <w:shd w:val="clear" w:color="auto" w:fill="auto"/>
            <w:vAlign w:val="center"/>
          </w:tcPr>
          <w:p w14:paraId="4BFA13EB">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w:t>
            </w:r>
          </w:p>
        </w:tc>
        <w:tc>
          <w:tcPr>
            <w:tcW w:w="417" w:type="pct"/>
            <w:tcBorders>
              <w:tl2br w:val="nil"/>
              <w:tr2bl w:val="nil"/>
            </w:tcBorders>
            <w:shd w:val="clear" w:color="auto" w:fill="auto"/>
            <w:vAlign w:val="center"/>
          </w:tcPr>
          <w:p w14:paraId="53AFDA57">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w:t>
            </w:r>
          </w:p>
        </w:tc>
      </w:tr>
      <w:tr w14:paraId="4316E8A6">
        <w:tblPrEx>
          <w:tblBorders>
            <w:top w:val="thinThickSmallGap" w:color="000000" w:sz="12" w:space="0"/>
            <w:left w:val="none" w:color="auto" w:sz="0" w:space="0"/>
            <w:bottom w:val="thinThickSmallGap" w:color="000000" w:sz="12" w:space="0"/>
            <w:right w:val="none" w:color="auto" w:sz="0"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397" w:hRule="atLeast"/>
        </w:trPr>
        <w:tc>
          <w:tcPr>
            <w:tcW w:w="242" w:type="pct"/>
            <w:vMerge w:val="continue"/>
            <w:tcBorders>
              <w:tl2br w:val="nil"/>
              <w:tr2bl w:val="nil"/>
            </w:tcBorders>
            <w:shd w:val="clear" w:color="auto" w:fill="auto"/>
            <w:vAlign w:val="center"/>
          </w:tcPr>
          <w:p w14:paraId="3DDE9B67">
            <w:pPr>
              <w:keepNext w:val="0"/>
              <w:keepLines w:val="0"/>
              <w:pageBreakBefore w:val="0"/>
              <w:widowControl/>
              <w:kinsoku/>
              <w:wordWrap/>
              <w:overflowPunct/>
              <w:topLinePunct w:val="0"/>
              <w:autoSpaceDE/>
              <w:autoSpaceDN/>
              <w:bidi w:val="0"/>
              <w:adjustRightInd w:val="0"/>
              <w:snapToGrid w:val="0"/>
              <w:spacing w:line="240" w:lineRule="auto"/>
              <w:jc w:val="center"/>
              <w:rPr>
                <w:rFonts w:hint="default" w:ascii="Times New Roman" w:hAnsi="Times New Roman" w:eastAsia="宋体" w:cs="Times New Roman"/>
                <w:i w:val="0"/>
                <w:iCs w:val="0"/>
                <w:color w:val="000000"/>
                <w:sz w:val="21"/>
                <w:szCs w:val="21"/>
                <w:u w:val="none"/>
              </w:rPr>
            </w:pPr>
          </w:p>
        </w:tc>
        <w:tc>
          <w:tcPr>
            <w:tcW w:w="541" w:type="pct"/>
            <w:tcBorders>
              <w:tl2br w:val="nil"/>
              <w:tr2bl w:val="nil"/>
            </w:tcBorders>
            <w:shd w:val="clear" w:color="auto" w:fill="auto"/>
            <w:vAlign w:val="center"/>
          </w:tcPr>
          <w:p w14:paraId="212225E2">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00"/>
                <w:sz w:val="21"/>
                <w:szCs w:val="21"/>
                <w:u w:val="none"/>
              </w:rPr>
            </w:pPr>
            <w:r>
              <w:rPr>
                <w:rStyle w:val="541"/>
                <w:rFonts w:hint="default" w:ascii="Times New Roman" w:hAnsi="Times New Roman" w:eastAsia="宋体" w:cs="Times New Roman"/>
                <w:sz w:val="21"/>
                <w:szCs w:val="21"/>
                <w:lang w:val="en-US" w:eastAsia="zh-CN" w:bidi="ar"/>
              </w:rPr>
              <w:t>DA004</w:t>
            </w:r>
          </w:p>
        </w:tc>
        <w:tc>
          <w:tcPr>
            <w:tcW w:w="189" w:type="pct"/>
            <w:tcBorders>
              <w:tl2br w:val="nil"/>
              <w:tr2bl w:val="nil"/>
            </w:tcBorders>
            <w:shd w:val="clear" w:color="auto" w:fill="auto"/>
            <w:vAlign w:val="center"/>
          </w:tcPr>
          <w:p w14:paraId="4AC1E434">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top"/>
              <w:rPr>
                <w:rFonts w:hint="default" w:ascii="Times New Roman" w:hAnsi="Times New Roman" w:eastAsia="宋体" w:cs="Times New Roman"/>
                <w:i w:val="0"/>
                <w:iCs w:val="0"/>
                <w:color w:val="75BD42"/>
                <w:sz w:val="21"/>
                <w:szCs w:val="21"/>
                <w:u w:val="none"/>
              </w:rPr>
            </w:pPr>
            <w:r>
              <w:rPr>
                <w:rFonts w:hint="default" w:ascii="Times New Roman" w:hAnsi="Times New Roman" w:eastAsia="宋体" w:cs="Times New Roman"/>
                <w:i w:val="0"/>
                <w:iCs w:val="0"/>
                <w:color w:val="75BD42"/>
                <w:kern w:val="0"/>
                <w:sz w:val="21"/>
                <w:szCs w:val="21"/>
                <w:u w:val="none"/>
                <w:lang w:val="en-US" w:eastAsia="zh-CN" w:bidi="ar"/>
              </w:rPr>
              <w:t>-37</w:t>
            </w:r>
          </w:p>
        </w:tc>
        <w:tc>
          <w:tcPr>
            <w:tcW w:w="231" w:type="pct"/>
            <w:tcBorders>
              <w:tl2br w:val="nil"/>
              <w:tr2bl w:val="nil"/>
            </w:tcBorders>
            <w:shd w:val="clear" w:color="auto" w:fill="auto"/>
            <w:vAlign w:val="center"/>
          </w:tcPr>
          <w:p w14:paraId="6B9E24CF">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top"/>
              <w:rPr>
                <w:rFonts w:hint="default" w:ascii="Times New Roman" w:hAnsi="Times New Roman" w:eastAsia="宋体" w:cs="Times New Roman"/>
                <w:i w:val="0"/>
                <w:iCs w:val="0"/>
                <w:color w:val="75BD42"/>
                <w:sz w:val="21"/>
                <w:szCs w:val="21"/>
                <w:u w:val="none"/>
              </w:rPr>
            </w:pPr>
            <w:r>
              <w:rPr>
                <w:rFonts w:hint="default" w:ascii="Times New Roman" w:hAnsi="Times New Roman" w:eastAsia="宋体" w:cs="Times New Roman"/>
                <w:i w:val="0"/>
                <w:iCs w:val="0"/>
                <w:color w:val="75BD42"/>
                <w:kern w:val="0"/>
                <w:sz w:val="21"/>
                <w:szCs w:val="21"/>
                <w:u w:val="none"/>
                <w:lang w:val="en-US" w:eastAsia="zh-CN" w:bidi="ar"/>
              </w:rPr>
              <w:t>-3</w:t>
            </w:r>
          </w:p>
        </w:tc>
        <w:tc>
          <w:tcPr>
            <w:tcW w:w="460" w:type="pct"/>
            <w:tcBorders>
              <w:tl2br w:val="nil"/>
              <w:tr2bl w:val="nil"/>
            </w:tcBorders>
            <w:shd w:val="clear" w:color="auto" w:fill="auto"/>
            <w:vAlign w:val="center"/>
          </w:tcPr>
          <w:p w14:paraId="3EE5236E">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351</w:t>
            </w:r>
          </w:p>
        </w:tc>
        <w:tc>
          <w:tcPr>
            <w:tcW w:w="246" w:type="pct"/>
            <w:tcBorders>
              <w:tl2br w:val="nil"/>
              <w:tr2bl w:val="nil"/>
            </w:tcBorders>
            <w:shd w:val="clear" w:color="auto" w:fill="auto"/>
            <w:vAlign w:val="center"/>
          </w:tcPr>
          <w:p w14:paraId="4DDB7317">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20</w:t>
            </w:r>
          </w:p>
        </w:tc>
        <w:tc>
          <w:tcPr>
            <w:tcW w:w="257" w:type="pct"/>
            <w:tcBorders>
              <w:tl2br w:val="nil"/>
              <w:tr2bl w:val="nil"/>
            </w:tcBorders>
            <w:shd w:val="clear" w:color="auto" w:fill="auto"/>
            <w:vAlign w:val="center"/>
          </w:tcPr>
          <w:p w14:paraId="5CB64DE5">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1.8</w:t>
            </w:r>
          </w:p>
        </w:tc>
        <w:tc>
          <w:tcPr>
            <w:tcW w:w="330" w:type="pct"/>
            <w:tcBorders>
              <w:tl2br w:val="nil"/>
              <w:tr2bl w:val="nil"/>
            </w:tcBorders>
            <w:shd w:val="clear" w:color="auto" w:fill="auto"/>
            <w:vAlign w:val="center"/>
          </w:tcPr>
          <w:p w14:paraId="647F4E28">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sz w:val="21"/>
                <w:szCs w:val="21"/>
                <w:lang w:val="en-US" w:eastAsia="zh-CN" w:bidi="ar"/>
              </w:rPr>
              <w:t>常温</w:t>
            </w:r>
          </w:p>
        </w:tc>
        <w:tc>
          <w:tcPr>
            <w:tcW w:w="330" w:type="pct"/>
            <w:tcBorders>
              <w:tl2br w:val="nil"/>
              <w:tr2bl w:val="nil"/>
            </w:tcBorders>
            <w:shd w:val="clear" w:color="auto" w:fill="auto"/>
            <w:vAlign w:val="center"/>
          </w:tcPr>
          <w:p w14:paraId="76BFD000">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100354</w:t>
            </w:r>
          </w:p>
        </w:tc>
        <w:tc>
          <w:tcPr>
            <w:tcW w:w="330" w:type="pct"/>
            <w:tcBorders>
              <w:tl2br w:val="nil"/>
              <w:tr2bl w:val="nil"/>
            </w:tcBorders>
            <w:shd w:val="clear" w:color="auto" w:fill="auto"/>
            <w:vAlign w:val="center"/>
          </w:tcPr>
          <w:p w14:paraId="3A2456DF">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0.9</w:t>
            </w:r>
          </w:p>
        </w:tc>
        <w:tc>
          <w:tcPr>
            <w:tcW w:w="412" w:type="pct"/>
            <w:tcBorders>
              <w:tl2br w:val="nil"/>
              <w:tr2bl w:val="nil"/>
            </w:tcBorders>
            <w:shd w:val="clear" w:color="auto" w:fill="auto"/>
            <w:vAlign w:val="center"/>
          </w:tcPr>
          <w:p w14:paraId="2F79DB6C">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00"/>
                <w:sz w:val="21"/>
                <w:szCs w:val="21"/>
                <w:u w:val="none"/>
              </w:rPr>
            </w:pPr>
            <w:r>
              <w:rPr>
                <w:rStyle w:val="541"/>
                <w:rFonts w:hint="default" w:ascii="Times New Roman" w:hAnsi="Times New Roman" w:eastAsia="宋体" w:cs="Times New Roman"/>
                <w:sz w:val="21"/>
                <w:szCs w:val="21"/>
                <w:lang w:val="en-US" w:eastAsia="zh-CN" w:bidi="ar"/>
              </w:rPr>
              <w:t>/</w:t>
            </w:r>
          </w:p>
        </w:tc>
        <w:tc>
          <w:tcPr>
            <w:tcW w:w="412" w:type="pct"/>
            <w:tcBorders>
              <w:tl2br w:val="nil"/>
              <w:tr2bl w:val="nil"/>
            </w:tcBorders>
            <w:shd w:val="clear" w:color="auto" w:fill="auto"/>
            <w:vAlign w:val="center"/>
          </w:tcPr>
          <w:p w14:paraId="5BF29CED">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00"/>
                <w:sz w:val="21"/>
                <w:szCs w:val="21"/>
                <w:u w:val="none"/>
              </w:rPr>
            </w:pPr>
            <w:r>
              <w:rPr>
                <w:rStyle w:val="541"/>
                <w:rFonts w:hint="default" w:ascii="Times New Roman" w:hAnsi="Times New Roman" w:eastAsia="宋体" w:cs="Times New Roman"/>
                <w:sz w:val="21"/>
                <w:szCs w:val="21"/>
                <w:lang w:val="en-US" w:eastAsia="zh-CN" w:bidi="ar"/>
              </w:rPr>
              <w:t>/</w:t>
            </w:r>
          </w:p>
        </w:tc>
        <w:tc>
          <w:tcPr>
            <w:tcW w:w="330" w:type="pct"/>
            <w:tcBorders>
              <w:tl2br w:val="nil"/>
              <w:tr2bl w:val="nil"/>
            </w:tcBorders>
            <w:shd w:val="clear" w:color="auto" w:fill="auto"/>
            <w:vAlign w:val="center"/>
          </w:tcPr>
          <w:p w14:paraId="07C1669E">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00"/>
                <w:sz w:val="21"/>
                <w:szCs w:val="21"/>
                <w:u w:val="none"/>
              </w:rPr>
            </w:pPr>
            <w:r>
              <w:rPr>
                <w:rStyle w:val="541"/>
                <w:rFonts w:hint="default" w:ascii="Times New Roman" w:hAnsi="Times New Roman" w:eastAsia="宋体" w:cs="Times New Roman"/>
                <w:sz w:val="21"/>
                <w:szCs w:val="21"/>
                <w:lang w:val="en-US" w:eastAsia="zh-CN" w:bidi="ar"/>
              </w:rPr>
              <w:t>/</w:t>
            </w:r>
          </w:p>
        </w:tc>
        <w:tc>
          <w:tcPr>
            <w:tcW w:w="268" w:type="pct"/>
            <w:tcBorders>
              <w:tl2br w:val="nil"/>
              <w:tr2bl w:val="nil"/>
            </w:tcBorders>
            <w:shd w:val="clear" w:color="auto" w:fill="auto"/>
            <w:vAlign w:val="center"/>
          </w:tcPr>
          <w:p w14:paraId="74C941C2">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w:t>
            </w:r>
          </w:p>
        </w:tc>
        <w:tc>
          <w:tcPr>
            <w:tcW w:w="417" w:type="pct"/>
            <w:tcBorders>
              <w:tl2br w:val="nil"/>
              <w:tr2bl w:val="nil"/>
            </w:tcBorders>
            <w:shd w:val="clear" w:color="auto" w:fill="auto"/>
            <w:vAlign w:val="center"/>
          </w:tcPr>
          <w:p w14:paraId="0197BE5C">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w:t>
            </w:r>
          </w:p>
        </w:tc>
      </w:tr>
      <w:tr w14:paraId="061D1B60">
        <w:tblPrEx>
          <w:tblBorders>
            <w:top w:val="thinThickSmallGap" w:color="000000" w:sz="12" w:space="0"/>
            <w:left w:val="none" w:color="auto" w:sz="0" w:space="0"/>
            <w:bottom w:val="thinThickSmallGap" w:color="000000" w:sz="12" w:space="0"/>
            <w:right w:val="none" w:color="auto" w:sz="0"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397" w:hRule="atLeast"/>
        </w:trPr>
        <w:tc>
          <w:tcPr>
            <w:tcW w:w="242" w:type="pct"/>
            <w:vMerge w:val="continue"/>
            <w:tcBorders>
              <w:tl2br w:val="nil"/>
              <w:tr2bl w:val="nil"/>
            </w:tcBorders>
            <w:shd w:val="clear" w:color="auto" w:fill="auto"/>
            <w:vAlign w:val="center"/>
          </w:tcPr>
          <w:p w14:paraId="2EE68FAB">
            <w:pPr>
              <w:keepNext w:val="0"/>
              <w:keepLines w:val="0"/>
              <w:pageBreakBefore w:val="0"/>
              <w:widowControl/>
              <w:kinsoku/>
              <w:wordWrap/>
              <w:overflowPunct/>
              <w:topLinePunct w:val="0"/>
              <w:autoSpaceDE/>
              <w:autoSpaceDN/>
              <w:bidi w:val="0"/>
              <w:adjustRightInd w:val="0"/>
              <w:snapToGrid w:val="0"/>
              <w:spacing w:line="240" w:lineRule="auto"/>
              <w:jc w:val="center"/>
              <w:rPr>
                <w:rFonts w:hint="default" w:ascii="Times New Roman" w:hAnsi="Times New Roman" w:eastAsia="宋体" w:cs="Times New Roman"/>
                <w:i w:val="0"/>
                <w:iCs w:val="0"/>
                <w:color w:val="000000"/>
                <w:sz w:val="21"/>
                <w:szCs w:val="21"/>
                <w:u w:val="none"/>
              </w:rPr>
            </w:pPr>
          </w:p>
        </w:tc>
        <w:tc>
          <w:tcPr>
            <w:tcW w:w="541" w:type="pct"/>
            <w:tcBorders>
              <w:tl2br w:val="nil"/>
              <w:tr2bl w:val="nil"/>
            </w:tcBorders>
            <w:shd w:val="clear" w:color="auto" w:fill="auto"/>
            <w:vAlign w:val="center"/>
          </w:tcPr>
          <w:p w14:paraId="30CAC9D3">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00"/>
                <w:sz w:val="21"/>
                <w:szCs w:val="21"/>
                <w:u w:val="none"/>
              </w:rPr>
            </w:pPr>
            <w:r>
              <w:rPr>
                <w:rStyle w:val="541"/>
                <w:rFonts w:hint="default" w:ascii="Times New Roman" w:hAnsi="Times New Roman" w:eastAsia="宋体" w:cs="Times New Roman"/>
                <w:sz w:val="21"/>
                <w:szCs w:val="21"/>
                <w:lang w:val="en-US" w:eastAsia="zh-CN" w:bidi="ar"/>
              </w:rPr>
              <w:t>DA005</w:t>
            </w:r>
          </w:p>
        </w:tc>
        <w:tc>
          <w:tcPr>
            <w:tcW w:w="189" w:type="pct"/>
            <w:tcBorders>
              <w:tl2br w:val="nil"/>
              <w:tr2bl w:val="nil"/>
            </w:tcBorders>
            <w:shd w:val="clear" w:color="auto" w:fill="auto"/>
            <w:vAlign w:val="center"/>
          </w:tcPr>
          <w:p w14:paraId="7B38D1F7">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top"/>
              <w:rPr>
                <w:rFonts w:hint="default" w:ascii="Times New Roman" w:hAnsi="Times New Roman" w:eastAsia="宋体" w:cs="Times New Roman"/>
                <w:i w:val="0"/>
                <w:iCs w:val="0"/>
                <w:color w:val="75BD42"/>
                <w:sz w:val="21"/>
                <w:szCs w:val="21"/>
                <w:u w:val="none"/>
              </w:rPr>
            </w:pPr>
            <w:r>
              <w:rPr>
                <w:rFonts w:hint="default" w:ascii="Times New Roman" w:hAnsi="Times New Roman" w:eastAsia="宋体" w:cs="Times New Roman"/>
                <w:i w:val="0"/>
                <w:iCs w:val="0"/>
                <w:color w:val="75BD42"/>
                <w:kern w:val="0"/>
                <w:sz w:val="21"/>
                <w:szCs w:val="21"/>
                <w:u w:val="none"/>
                <w:lang w:val="en-US" w:eastAsia="zh-CN" w:bidi="ar"/>
              </w:rPr>
              <w:t>-3</w:t>
            </w:r>
          </w:p>
        </w:tc>
        <w:tc>
          <w:tcPr>
            <w:tcW w:w="231" w:type="pct"/>
            <w:tcBorders>
              <w:tl2br w:val="nil"/>
              <w:tr2bl w:val="nil"/>
            </w:tcBorders>
            <w:shd w:val="clear" w:color="auto" w:fill="auto"/>
            <w:vAlign w:val="center"/>
          </w:tcPr>
          <w:p w14:paraId="27BFC0B9">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top"/>
              <w:rPr>
                <w:rFonts w:hint="default" w:ascii="Times New Roman" w:hAnsi="Times New Roman" w:eastAsia="宋体" w:cs="Times New Roman"/>
                <w:i w:val="0"/>
                <w:iCs w:val="0"/>
                <w:color w:val="75BD42"/>
                <w:sz w:val="21"/>
                <w:szCs w:val="21"/>
                <w:u w:val="none"/>
              </w:rPr>
            </w:pPr>
            <w:r>
              <w:rPr>
                <w:rFonts w:hint="default" w:ascii="Times New Roman" w:hAnsi="Times New Roman" w:eastAsia="宋体" w:cs="Times New Roman"/>
                <w:i w:val="0"/>
                <w:iCs w:val="0"/>
                <w:color w:val="75BD42"/>
                <w:kern w:val="0"/>
                <w:sz w:val="21"/>
                <w:szCs w:val="21"/>
                <w:u w:val="none"/>
                <w:lang w:val="en-US" w:eastAsia="zh-CN" w:bidi="ar"/>
              </w:rPr>
              <w:t>-78</w:t>
            </w:r>
          </w:p>
        </w:tc>
        <w:tc>
          <w:tcPr>
            <w:tcW w:w="460" w:type="pct"/>
            <w:tcBorders>
              <w:tl2br w:val="nil"/>
              <w:tr2bl w:val="nil"/>
            </w:tcBorders>
            <w:shd w:val="clear" w:color="auto" w:fill="auto"/>
            <w:vAlign w:val="center"/>
          </w:tcPr>
          <w:p w14:paraId="312C7439">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351</w:t>
            </w:r>
          </w:p>
        </w:tc>
        <w:tc>
          <w:tcPr>
            <w:tcW w:w="246" w:type="pct"/>
            <w:tcBorders>
              <w:tl2br w:val="nil"/>
              <w:tr2bl w:val="nil"/>
            </w:tcBorders>
            <w:shd w:val="clear" w:color="auto" w:fill="auto"/>
            <w:vAlign w:val="center"/>
          </w:tcPr>
          <w:p w14:paraId="31B336E6">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19</w:t>
            </w:r>
          </w:p>
        </w:tc>
        <w:tc>
          <w:tcPr>
            <w:tcW w:w="257" w:type="pct"/>
            <w:tcBorders>
              <w:tl2br w:val="nil"/>
              <w:tr2bl w:val="nil"/>
            </w:tcBorders>
            <w:shd w:val="clear" w:color="auto" w:fill="auto"/>
            <w:vAlign w:val="center"/>
          </w:tcPr>
          <w:p w14:paraId="7B1B5E24">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w:t>
            </w:r>
          </w:p>
        </w:tc>
        <w:tc>
          <w:tcPr>
            <w:tcW w:w="330" w:type="pct"/>
            <w:tcBorders>
              <w:tl2br w:val="nil"/>
              <w:tr2bl w:val="nil"/>
            </w:tcBorders>
            <w:shd w:val="clear" w:color="auto" w:fill="auto"/>
            <w:vAlign w:val="center"/>
          </w:tcPr>
          <w:p w14:paraId="25A185CE">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sz w:val="21"/>
                <w:szCs w:val="21"/>
                <w:lang w:val="en-US" w:eastAsia="zh-CN" w:bidi="ar"/>
              </w:rPr>
              <w:t>常温</w:t>
            </w:r>
          </w:p>
        </w:tc>
        <w:tc>
          <w:tcPr>
            <w:tcW w:w="330" w:type="pct"/>
            <w:tcBorders>
              <w:tl2br w:val="nil"/>
              <w:tr2bl w:val="nil"/>
            </w:tcBorders>
            <w:shd w:val="clear" w:color="auto" w:fill="auto"/>
            <w:vAlign w:val="center"/>
          </w:tcPr>
          <w:p w14:paraId="31154FDE">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70955</w:t>
            </w:r>
          </w:p>
        </w:tc>
        <w:tc>
          <w:tcPr>
            <w:tcW w:w="330" w:type="pct"/>
            <w:tcBorders>
              <w:tl2br w:val="nil"/>
              <w:tr2bl w:val="nil"/>
            </w:tcBorders>
            <w:shd w:val="clear" w:color="auto" w:fill="auto"/>
            <w:vAlign w:val="center"/>
          </w:tcPr>
          <w:p w14:paraId="2587EA55">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0.6</w:t>
            </w:r>
          </w:p>
        </w:tc>
        <w:tc>
          <w:tcPr>
            <w:tcW w:w="412" w:type="pct"/>
            <w:tcBorders>
              <w:tl2br w:val="nil"/>
              <w:tr2bl w:val="nil"/>
            </w:tcBorders>
            <w:shd w:val="clear" w:color="auto" w:fill="auto"/>
            <w:vAlign w:val="center"/>
          </w:tcPr>
          <w:p w14:paraId="785E04AD">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00"/>
                <w:sz w:val="21"/>
                <w:szCs w:val="21"/>
                <w:u w:val="none"/>
              </w:rPr>
            </w:pPr>
            <w:r>
              <w:rPr>
                <w:rStyle w:val="541"/>
                <w:rFonts w:hint="default" w:ascii="Times New Roman" w:hAnsi="Times New Roman" w:eastAsia="宋体" w:cs="Times New Roman"/>
                <w:sz w:val="21"/>
                <w:szCs w:val="21"/>
                <w:lang w:val="en-US" w:eastAsia="zh-CN" w:bidi="ar"/>
              </w:rPr>
              <w:t>/</w:t>
            </w:r>
          </w:p>
        </w:tc>
        <w:tc>
          <w:tcPr>
            <w:tcW w:w="412" w:type="pct"/>
            <w:tcBorders>
              <w:tl2br w:val="nil"/>
              <w:tr2bl w:val="nil"/>
            </w:tcBorders>
            <w:shd w:val="clear" w:color="auto" w:fill="auto"/>
            <w:vAlign w:val="center"/>
          </w:tcPr>
          <w:p w14:paraId="2524AB89">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00"/>
                <w:sz w:val="21"/>
                <w:szCs w:val="21"/>
                <w:u w:val="none"/>
              </w:rPr>
            </w:pPr>
            <w:r>
              <w:rPr>
                <w:rStyle w:val="541"/>
                <w:rFonts w:hint="default" w:ascii="Times New Roman" w:hAnsi="Times New Roman" w:eastAsia="宋体" w:cs="Times New Roman"/>
                <w:sz w:val="21"/>
                <w:szCs w:val="21"/>
                <w:lang w:val="en-US" w:eastAsia="zh-CN" w:bidi="ar"/>
              </w:rPr>
              <w:t>/</w:t>
            </w:r>
          </w:p>
        </w:tc>
        <w:tc>
          <w:tcPr>
            <w:tcW w:w="330" w:type="pct"/>
            <w:tcBorders>
              <w:tl2br w:val="nil"/>
              <w:tr2bl w:val="nil"/>
            </w:tcBorders>
            <w:shd w:val="clear" w:color="auto" w:fill="auto"/>
            <w:vAlign w:val="center"/>
          </w:tcPr>
          <w:p w14:paraId="6B606F48">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00"/>
                <w:sz w:val="21"/>
                <w:szCs w:val="21"/>
                <w:u w:val="none"/>
              </w:rPr>
            </w:pPr>
            <w:r>
              <w:rPr>
                <w:rStyle w:val="541"/>
                <w:rFonts w:hint="default" w:ascii="Times New Roman" w:hAnsi="Times New Roman" w:eastAsia="宋体" w:cs="Times New Roman"/>
                <w:sz w:val="21"/>
                <w:szCs w:val="21"/>
                <w:lang w:val="en-US" w:eastAsia="zh-CN" w:bidi="ar"/>
              </w:rPr>
              <w:t>/</w:t>
            </w:r>
          </w:p>
        </w:tc>
        <w:tc>
          <w:tcPr>
            <w:tcW w:w="268" w:type="pct"/>
            <w:tcBorders>
              <w:tl2br w:val="nil"/>
              <w:tr2bl w:val="nil"/>
            </w:tcBorders>
            <w:shd w:val="clear" w:color="auto" w:fill="auto"/>
            <w:vAlign w:val="center"/>
          </w:tcPr>
          <w:p w14:paraId="2EFF2383">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w:t>
            </w:r>
          </w:p>
        </w:tc>
        <w:tc>
          <w:tcPr>
            <w:tcW w:w="417" w:type="pct"/>
            <w:tcBorders>
              <w:tl2br w:val="nil"/>
              <w:tr2bl w:val="nil"/>
            </w:tcBorders>
            <w:shd w:val="clear" w:color="auto" w:fill="auto"/>
            <w:vAlign w:val="center"/>
          </w:tcPr>
          <w:p w14:paraId="4F792952">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w:t>
            </w:r>
          </w:p>
        </w:tc>
      </w:tr>
      <w:tr w14:paraId="36F485DB">
        <w:tblPrEx>
          <w:tblBorders>
            <w:top w:val="thinThickSmallGap" w:color="000000" w:sz="12" w:space="0"/>
            <w:left w:val="none" w:color="auto" w:sz="0" w:space="0"/>
            <w:bottom w:val="thinThickSmallGap" w:color="000000" w:sz="12" w:space="0"/>
            <w:right w:val="none" w:color="auto" w:sz="0"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397" w:hRule="atLeast"/>
        </w:trPr>
        <w:tc>
          <w:tcPr>
            <w:tcW w:w="242" w:type="pct"/>
            <w:vMerge w:val="continue"/>
            <w:tcBorders>
              <w:tl2br w:val="nil"/>
              <w:tr2bl w:val="nil"/>
            </w:tcBorders>
            <w:shd w:val="clear" w:color="auto" w:fill="auto"/>
            <w:vAlign w:val="center"/>
          </w:tcPr>
          <w:p w14:paraId="54371097">
            <w:pPr>
              <w:keepNext w:val="0"/>
              <w:keepLines w:val="0"/>
              <w:pageBreakBefore w:val="0"/>
              <w:widowControl/>
              <w:kinsoku/>
              <w:wordWrap/>
              <w:overflowPunct/>
              <w:topLinePunct w:val="0"/>
              <w:autoSpaceDE/>
              <w:autoSpaceDN/>
              <w:bidi w:val="0"/>
              <w:adjustRightInd w:val="0"/>
              <w:snapToGrid w:val="0"/>
              <w:spacing w:line="240" w:lineRule="auto"/>
              <w:jc w:val="center"/>
              <w:rPr>
                <w:rFonts w:hint="default" w:ascii="Times New Roman" w:hAnsi="Times New Roman" w:eastAsia="宋体" w:cs="Times New Roman"/>
                <w:i w:val="0"/>
                <w:iCs w:val="0"/>
                <w:color w:val="000000"/>
                <w:sz w:val="21"/>
                <w:szCs w:val="21"/>
                <w:u w:val="none"/>
              </w:rPr>
            </w:pPr>
          </w:p>
        </w:tc>
        <w:tc>
          <w:tcPr>
            <w:tcW w:w="541" w:type="pct"/>
            <w:tcBorders>
              <w:tl2br w:val="nil"/>
              <w:tr2bl w:val="nil"/>
            </w:tcBorders>
            <w:shd w:val="clear" w:color="auto" w:fill="auto"/>
            <w:vAlign w:val="center"/>
          </w:tcPr>
          <w:p w14:paraId="70FE43F9">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00"/>
                <w:sz w:val="21"/>
                <w:szCs w:val="21"/>
                <w:u w:val="none"/>
              </w:rPr>
            </w:pPr>
            <w:r>
              <w:rPr>
                <w:rStyle w:val="541"/>
                <w:rFonts w:hint="default" w:ascii="Times New Roman" w:hAnsi="Times New Roman" w:eastAsia="宋体" w:cs="Times New Roman"/>
                <w:sz w:val="21"/>
                <w:szCs w:val="21"/>
                <w:lang w:val="en-US" w:eastAsia="zh-CN" w:bidi="ar"/>
              </w:rPr>
              <w:t>DA011</w:t>
            </w:r>
          </w:p>
        </w:tc>
        <w:tc>
          <w:tcPr>
            <w:tcW w:w="189" w:type="pct"/>
            <w:tcBorders>
              <w:tl2br w:val="nil"/>
              <w:tr2bl w:val="nil"/>
            </w:tcBorders>
            <w:shd w:val="clear" w:color="auto" w:fill="auto"/>
            <w:vAlign w:val="center"/>
          </w:tcPr>
          <w:p w14:paraId="71AB6273">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top"/>
              <w:rPr>
                <w:rFonts w:hint="default" w:ascii="Times New Roman" w:hAnsi="Times New Roman" w:eastAsia="宋体" w:cs="Times New Roman"/>
                <w:i w:val="0"/>
                <w:iCs w:val="0"/>
                <w:color w:val="75BD42"/>
                <w:sz w:val="21"/>
                <w:szCs w:val="21"/>
                <w:u w:val="none"/>
              </w:rPr>
            </w:pPr>
            <w:r>
              <w:rPr>
                <w:rFonts w:hint="default" w:ascii="Times New Roman" w:hAnsi="Times New Roman" w:eastAsia="宋体" w:cs="Times New Roman"/>
                <w:i w:val="0"/>
                <w:iCs w:val="0"/>
                <w:color w:val="75BD42"/>
                <w:kern w:val="0"/>
                <w:sz w:val="21"/>
                <w:szCs w:val="21"/>
                <w:u w:val="none"/>
                <w:lang w:val="en-US" w:eastAsia="zh-CN" w:bidi="ar"/>
              </w:rPr>
              <w:t>64</w:t>
            </w:r>
          </w:p>
        </w:tc>
        <w:tc>
          <w:tcPr>
            <w:tcW w:w="231" w:type="pct"/>
            <w:tcBorders>
              <w:tl2br w:val="nil"/>
              <w:tr2bl w:val="nil"/>
            </w:tcBorders>
            <w:shd w:val="clear" w:color="auto" w:fill="auto"/>
            <w:vAlign w:val="center"/>
          </w:tcPr>
          <w:p w14:paraId="06B0620F">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top"/>
              <w:rPr>
                <w:rFonts w:hint="default" w:ascii="Times New Roman" w:hAnsi="Times New Roman" w:eastAsia="宋体" w:cs="Times New Roman"/>
                <w:i w:val="0"/>
                <w:iCs w:val="0"/>
                <w:color w:val="75BD42"/>
                <w:sz w:val="21"/>
                <w:szCs w:val="21"/>
                <w:u w:val="none"/>
              </w:rPr>
            </w:pPr>
            <w:r>
              <w:rPr>
                <w:rFonts w:hint="default" w:ascii="Times New Roman" w:hAnsi="Times New Roman" w:eastAsia="宋体" w:cs="Times New Roman"/>
                <w:i w:val="0"/>
                <w:iCs w:val="0"/>
                <w:color w:val="75BD42"/>
                <w:kern w:val="0"/>
                <w:sz w:val="21"/>
                <w:szCs w:val="21"/>
                <w:u w:val="none"/>
                <w:lang w:val="en-US" w:eastAsia="zh-CN" w:bidi="ar"/>
              </w:rPr>
              <w:t>160</w:t>
            </w:r>
          </w:p>
        </w:tc>
        <w:tc>
          <w:tcPr>
            <w:tcW w:w="460" w:type="pct"/>
            <w:tcBorders>
              <w:tl2br w:val="nil"/>
              <w:tr2bl w:val="nil"/>
            </w:tcBorders>
            <w:shd w:val="clear" w:color="auto" w:fill="auto"/>
            <w:vAlign w:val="center"/>
          </w:tcPr>
          <w:p w14:paraId="3D16C1D3">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1"/>
                <w:szCs w:val="21"/>
                <w:u w:val="none"/>
                <w:lang w:val="en-US" w:eastAsia="zh-CN" w:bidi="ar"/>
              </w:rPr>
              <w:t>353</w:t>
            </w:r>
          </w:p>
        </w:tc>
        <w:tc>
          <w:tcPr>
            <w:tcW w:w="246" w:type="pct"/>
            <w:tcBorders>
              <w:tl2br w:val="nil"/>
              <w:tr2bl w:val="nil"/>
            </w:tcBorders>
            <w:shd w:val="clear" w:color="auto" w:fill="auto"/>
            <w:vAlign w:val="center"/>
          </w:tcPr>
          <w:p w14:paraId="3A5A36B6">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60</w:t>
            </w:r>
          </w:p>
        </w:tc>
        <w:tc>
          <w:tcPr>
            <w:tcW w:w="257" w:type="pct"/>
            <w:tcBorders>
              <w:tl2br w:val="nil"/>
              <w:tr2bl w:val="nil"/>
            </w:tcBorders>
            <w:shd w:val="clear" w:color="auto" w:fill="auto"/>
            <w:vAlign w:val="center"/>
          </w:tcPr>
          <w:p w14:paraId="73A7F5D8">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1.8</w:t>
            </w:r>
          </w:p>
        </w:tc>
        <w:tc>
          <w:tcPr>
            <w:tcW w:w="330" w:type="pct"/>
            <w:tcBorders>
              <w:tl2br w:val="nil"/>
              <w:tr2bl w:val="nil"/>
            </w:tcBorders>
            <w:shd w:val="clear" w:color="auto" w:fill="auto"/>
            <w:vAlign w:val="center"/>
          </w:tcPr>
          <w:p w14:paraId="6902E7BC">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120</w:t>
            </w:r>
          </w:p>
        </w:tc>
        <w:tc>
          <w:tcPr>
            <w:tcW w:w="330" w:type="pct"/>
            <w:tcBorders>
              <w:tl2br w:val="nil"/>
              <w:tr2bl w:val="nil"/>
            </w:tcBorders>
            <w:shd w:val="clear" w:color="auto" w:fill="auto"/>
            <w:vAlign w:val="center"/>
          </w:tcPr>
          <w:p w14:paraId="7905F3A6">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42516</w:t>
            </w:r>
          </w:p>
        </w:tc>
        <w:tc>
          <w:tcPr>
            <w:tcW w:w="330" w:type="pct"/>
            <w:tcBorders>
              <w:tl2br w:val="nil"/>
              <w:tr2bl w:val="nil"/>
            </w:tcBorders>
            <w:shd w:val="clear" w:color="auto" w:fill="auto"/>
            <w:vAlign w:val="center"/>
          </w:tcPr>
          <w:p w14:paraId="255202E9">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0.4</w:t>
            </w:r>
          </w:p>
        </w:tc>
        <w:tc>
          <w:tcPr>
            <w:tcW w:w="412" w:type="pct"/>
            <w:tcBorders>
              <w:tl2br w:val="nil"/>
              <w:tr2bl w:val="nil"/>
            </w:tcBorders>
            <w:shd w:val="clear" w:color="auto" w:fill="auto"/>
            <w:vAlign w:val="center"/>
          </w:tcPr>
          <w:p w14:paraId="5C1B5B35">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0.22</w:t>
            </w:r>
          </w:p>
        </w:tc>
        <w:tc>
          <w:tcPr>
            <w:tcW w:w="412" w:type="pct"/>
            <w:tcBorders>
              <w:tl2br w:val="nil"/>
              <w:tr2bl w:val="nil"/>
            </w:tcBorders>
            <w:shd w:val="clear" w:color="auto" w:fill="auto"/>
            <w:vAlign w:val="center"/>
          </w:tcPr>
          <w:p w14:paraId="62D40533">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0.13</w:t>
            </w:r>
          </w:p>
        </w:tc>
        <w:tc>
          <w:tcPr>
            <w:tcW w:w="330" w:type="pct"/>
            <w:tcBorders>
              <w:tl2br w:val="nil"/>
              <w:tr2bl w:val="nil"/>
            </w:tcBorders>
            <w:shd w:val="clear" w:color="auto" w:fill="auto"/>
            <w:vAlign w:val="center"/>
          </w:tcPr>
          <w:p w14:paraId="622D75DE">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0.03</w:t>
            </w:r>
          </w:p>
        </w:tc>
        <w:tc>
          <w:tcPr>
            <w:tcW w:w="268" w:type="pct"/>
            <w:tcBorders>
              <w:tl2br w:val="nil"/>
              <w:tr2bl w:val="nil"/>
            </w:tcBorders>
            <w:shd w:val="clear" w:color="auto" w:fill="auto"/>
            <w:vAlign w:val="center"/>
          </w:tcPr>
          <w:p w14:paraId="2FE34FD2">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w:t>
            </w:r>
          </w:p>
        </w:tc>
        <w:tc>
          <w:tcPr>
            <w:tcW w:w="417" w:type="pct"/>
            <w:tcBorders>
              <w:tl2br w:val="nil"/>
              <w:tr2bl w:val="nil"/>
            </w:tcBorders>
            <w:shd w:val="clear" w:color="auto" w:fill="auto"/>
            <w:vAlign w:val="center"/>
          </w:tcPr>
          <w:p w14:paraId="2F88153D">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w:t>
            </w:r>
          </w:p>
        </w:tc>
      </w:tr>
    </w:tbl>
    <w:p w14:paraId="378A3D02">
      <w:pPr>
        <w:keepNext/>
        <w:keepLines w:val="0"/>
        <w:pageBreakBefore w:val="0"/>
        <w:widowControl/>
        <w:tabs>
          <w:tab w:val="left" w:pos="658"/>
        </w:tabs>
        <w:kinsoku/>
        <w:wordWrap/>
        <w:overflowPunct/>
        <w:topLinePunct w:val="0"/>
        <w:autoSpaceDE/>
        <w:autoSpaceDN/>
        <w:bidi w:val="0"/>
        <w:adjustRightInd/>
        <w:snapToGrid/>
        <w:textAlignment w:val="auto"/>
        <w:outlineLvl w:val="9"/>
        <w:rPr>
          <w:rFonts w:hint="eastAsia"/>
          <w:lang w:eastAsia="zh-CN"/>
        </w:rPr>
      </w:pPr>
    </w:p>
    <w:p w14:paraId="239413DB">
      <w:pPr>
        <w:keepNext/>
        <w:keepLines w:val="0"/>
        <w:pageBreakBefore w:val="0"/>
        <w:widowControl/>
        <w:tabs>
          <w:tab w:val="left" w:pos="658"/>
        </w:tabs>
        <w:kinsoku/>
        <w:wordWrap/>
        <w:overflowPunct/>
        <w:topLinePunct w:val="0"/>
        <w:autoSpaceDE/>
        <w:autoSpaceDN/>
        <w:bidi w:val="0"/>
        <w:adjustRightInd/>
        <w:snapToGrid/>
        <w:textAlignment w:val="auto"/>
        <w:outlineLvl w:val="9"/>
        <w:rPr>
          <w:rFonts w:hint="eastAsia"/>
          <w:lang w:eastAsia="zh-CN"/>
        </w:rPr>
      </w:pPr>
    </w:p>
    <w:p w14:paraId="10B3877C">
      <w:pPr>
        <w:pStyle w:val="7"/>
        <w:rPr>
          <w:rFonts w:hint="eastAsia"/>
          <w:lang w:eastAsia="zh-CN"/>
        </w:rPr>
        <w:sectPr>
          <w:pgSz w:w="16840" w:h="11907" w:orient="landscape"/>
          <w:pgMar w:top="1701" w:right="1701" w:bottom="1701" w:left="1701" w:header="851" w:footer="1077" w:gutter="0"/>
          <w:pgBorders w:offsetFrom="page">
            <w:top w:val="none" w:sz="0" w:space="0"/>
            <w:left w:val="none" w:sz="0" w:space="0"/>
            <w:bottom w:val="none" w:sz="0" w:space="0"/>
            <w:right w:val="none" w:sz="0" w:space="0"/>
          </w:pgBorders>
          <w:pgNumType w:fmt="decimal"/>
          <w:cols w:space="720" w:num="1"/>
          <w:docGrid w:type="lines" w:linePitch="479" w:charSpace="0"/>
        </w:sectPr>
      </w:pPr>
    </w:p>
    <w:bookmarkEnd w:id="453"/>
    <w:p w14:paraId="552FC18C">
      <w:pPr>
        <w:pStyle w:val="7"/>
        <w:rPr>
          <w:color w:val="0000FF"/>
        </w:rPr>
      </w:pPr>
      <w:bookmarkStart w:id="454" w:name="_Toc90026298"/>
      <w:bookmarkStart w:id="455" w:name="_Toc9507"/>
      <w:r>
        <w:rPr>
          <w:rFonts w:hint="eastAsia"/>
          <w:color w:val="0000FF"/>
          <w:lang w:eastAsia="zh-CN"/>
        </w:rPr>
        <w:t>5</w:t>
      </w:r>
      <w:r>
        <w:rPr>
          <w:color w:val="0000FF"/>
        </w:rPr>
        <w:t>.1.</w:t>
      </w:r>
      <w:r>
        <w:rPr>
          <w:rFonts w:hint="eastAsia"/>
          <w:color w:val="0000FF"/>
          <w:lang w:val="en-US" w:eastAsia="zh-CN"/>
        </w:rPr>
        <w:t>8</w:t>
      </w:r>
      <w:r>
        <w:rPr>
          <w:color w:val="0000FF"/>
        </w:rPr>
        <w:t xml:space="preserve"> 大气影响预测结果及评价</w:t>
      </w:r>
      <w:bookmarkEnd w:id="454"/>
      <w:bookmarkEnd w:id="455"/>
    </w:p>
    <w:p w14:paraId="38483CFA">
      <w:pPr>
        <w:pStyle w:val="133"/>
        <w:rPr>
          <w:color w:val="0000FF"/>
        </w:rPr>
      </w:pPr>
      <w:r>
        <w:rPr>
          <w:rFonts w:hint="eastAsia"/>
          <w:color w:val="0000FF"/>
          <w:lang w:eastAsia="zh-CN"/>
        </w:rPr>
        <w:t>5</w:t>
      </w:r>
      <w:r>
        <w:rPr>
          <w:color w:val="0000FF"/>
        </w:rPr>
        <w:t>.1.</w:t>
      </w:r>
      <w:r>
        <w:rPr>
          <w:rFonts w:hint="eastAsia"/>
          <w:color w:val="0000FF"/>
          <w:lang w:val="en-US" w:eastAsia="zh-CN"/>
        </w:rPr>
        <w:t>8</w:t>
      </w:r>
      <w:r>
        <w:rPr>
          <w:color w:val="0000FF"/>
        </w:rPr>
        <w:t xml:space="preserve">.1 </w:t>
      </w:r>
      <w:r>
        <w:rPr>
          <w:rFonts w:hint="eastAsia"/>
          <w:color w:val="0000FF"/>
        </w:rPr>
        <w:t>正常工况大气环境影响预测结果及评价</w:t>
      </w:r>
    </w:p>
    <w:p w14:paraId="7F0774CC">
      <w:pPr>
        <w:spacing w:line="500" w:lineRule="exact"/>
        <w:ind w:firstLine="482" w:firstLineChars="200"/>
        <w:rPr>
          <w:rFonts w:ascii="Times New Roman" w:hAnsi="Times New Roman" w:cs="Times New Roman"/>
          <w:b/>
        </w:rPr>
      </w:pPr>
      <w:r>
        <w:rPr>
          <w:rFonts w:ascii="Times New Roman" w:hAnsi="Times New Roman" w:cs="Times New Roman"/>
          <w:b/>
        </w:rPr>
        <w:t>（1）</w:t>
      </w:r>
      <w:r>
        <w:rPr>
          <w:rFonts w:hint="eastAsia" w:ascii="Times New Roman" w:hAnsi="Times New Roman" w:cs="Times New Roman"/>
          <w:b/>
        </w:rPr>
        <w:t>各预测因子贡献质量浓度预测结果</w:t>
      </w:r>
    </w:p>
    <w:p w14:paraId="7553BDE4">
      <w:pPr>
        <w:spacing w:line="500" w:lineRule="exact"/>
        <w:ind w:firstLine="480" w:firstLineChars="200"/>
        <w:rPr>
          <w:rFonts w:hint="eastAsia" w:ascii="Times New Roman" w:hAnsi="Times New Roman" w:cs="Times New Roman"/>
        </w:rPr>
      </w:pPr>
      <w:r>
        <w:rPr>
          <w:rFonts w:hint="eastAsia" w:ascii="Times New Roman" w:hAnsi="Times New Roman" w:cs="Times New Roman"/>
          <w:color w:val="0000FF"/>
          <w:highlight w:val="none"/>
        </w:rPr>
        <w:t>本项目各污染物短期、长期质量浓度贡献值预测结果见表</w:t>
      </w:r>
      <w:r>
        <w:rPr>
          <w:rFonts w:hint="eastAsia" w:ascii="Times New Roman" w:hAnsi="Times New Roman" w:cs="Times New Roman"/>
          <w:color w:val="0000FF"/>
          <w:highlight w:val="none"/>
          <w:lang w:val="en-US" w:eastAsia="zh-CN"/>
        </w:rPr>
        <w:t>5.1</w:t>
      </w:r>
      <w:r>
        <w:rPr>
          <w:rFonts w:hint="eastAsia" w:ascii="Times New Roman" w:hAnsi="Times New Roman" w:cs="Times New Roman"/>
          <w:color w:val="0000FF"/>
          <w:highlight w:val="none"/>
        </w:rPr>
        <w:t>-1</w:t>
      </w:r>
      <w:r>
        <w:rPr>
          <w:rFonts w:hint="eastAsia" w:ascii="Times New Roman" w:hAnsi="Times New Roman" w:cs="Times New Roman"/>
          <w:color w:val="0000FF"/>
          <w:highlight w:val="none"/>
          <w:lang w:val="en-US" w:eastAsia="zh-CN"/>
        </w:rPr>
        <w:t>5</w:t>
      </w:r>
      <w:r>
        <w:rPr>
          <w:rFonts w:hint="eastAsia" w:ascii="Times New Roman" w:hAnsi="Times New Roman" w:cs="Times New Roman"/>
          <w:color w:val="0000FF"/>
          <w:highlight w:val="none"/>
        </w:rPr>
        <w:t>~表</w:t>
      </w:r>
      <w:r>
        <w:rPr>
          <w:rFonts w:hint="eastAsia" w:ascii="Times New Roman" w:hAnsi="Times New Roman" w:cs="Times New Roman"/>
          <w:color w:val="0000FF"/>
          <w:highlight w:val="none"/>
          <w:lang w:val="en-US" w:eastAsia="zh-CN"/>
        </w:rPr>
        <w:t>5.1</w:t>
      </w:r>
      <w:r>
        <w:rPr>
          <w:rFonts w:hint="eastAsia" w:ascii="Times New Roman" w:hAnsi="Times New Roman" w:cs="Times New Roman"/>
          <w:color w:val="0000FF"/>
          <w:highlight w:val="none"/>
        </w:rPr>
        <w:t>-</w:t>
      </w:r>
      <w:r>
        <w:rPr>
          <w:rFonts w:hint="eastAsia" w:ascii="Times New Roman" w:hAnsi="Times New Roman" w:cs="Times New Roman"/>
          <w:color w:val="0000FF"/>
          <w:highlight w:val="none"/>
          <w:lang w:val="en-US" w:eastAsia="zh-CN"/>
        </w:rPr>
        <w:t>20</w:t>
      </w:r>
      <w:r>
        <w:rPr>
          <w:rFonts w:hint="eastAsia" w:ascii="Times New Roman" w:hAnsi="Times New Roman" w:cs="Times New Roman"/>
          <w:color w:val="0000FF"/>
        </w:rPr>
        <w:t>，短期、长期质量浓度贡献值分布见</w:t>
      </w:r>
      <w:r>
        <w:rPr>
          <w:rFonts w:hint="eastAsia" w:ascii="Times New Roman" w:hAnsi="Times New Roman" w:cs="Times New Roman"/>
          <w:color w:val="0000FF"/>
          <w:highlight w:val="none"/>
        </w:rPr>
        <w:t>图</w:t>
      </w:r>
      <w:r>
        <w:rPr>
          <w:rFonts w:hint="eastAsia" w:ascii="Times New Roman" w:hAnsi="Times New Roman" w:cs="Times New Roman"/>
          <w:color w:val="0000FF"/>
          <w:highlight w:val="none"/>
          <w:lang w:val="en-US" w:eastAsia="zh-CN"/>
        </w:rPr>
        <w:t>5.1</w:t>
      </w:r>
      <w:r>
        <w:rPr>
          <w:rFonts w:hint="eastAsia" w:ascii="Times New Roman" w:hAnsi="Times New Roman" w:cs="Times New Roman"/>
          <w:color w:val="0000FF"/>
          <w:highlight w:val="none"/>
        </w:rPr>
        <w:t>-</w:t>
      </w:r>
      <w:r>
        <w:rPr>
          <w:rFonts w:hint="eastAsia" w:ascii="Times New Roman" w:hAnsi="Times New Roman" w:cs="Times New Roman"/>
          <w:color w:val="0000FF"/>
          <w:highlight w:val="none"/>
          <w:lang w:val="en-US" w:eastAsia="zh-CN"/>
        </w:rPr>
        <w:t>7</w:t>
      </w:r>
      <w:r>
        <w:rPr>
          <w:rFonts w:hint="eastAsia" w:ascii="Times New Roman" w:hAnsi="Times New Roman" w:cs="Times New Roman"/>
          <w:color w:val="0000FF"/>
          <w:highlight w:val="none"/>
        </w:rPr>
        <w:t>~图</w:t>
      </w:r>
      <w:r>
        <w:rPr>
          <w:rFonts w:hint="eastAsia" w:ascii="Times New Roman" w:hAnsi="Times New Roman" w:cs="Times New Roman"/>
          <w:color w:val="0000FF"/>
          <w:highlight w:val="none"/>
          <w:lang w:val="en-US" w:eastAsia="zh-CN"/>
        </w:rPr>
        <w:t>5.1</w:t>
      </w:r>
      <w:r>
        <w:rPr>
          <w:rFonts w:hint="eastAsia" w:ascii="Times New Roman" w:hAnsi="Times New Roman" w:cs="Times New Roman"/>
          <w:color w:val="0000FF"/>
          <w:highlight w:val="none"/>
        </w:rPr>
        <w:t>-1</w:t>
      </w:r>
      <w:r>
        <w:rPr>
          <w:rFonts w:hint="eastAsia" w:ascii="Times New Roman" w:hAnsi="Times New Roman" w:cs="Times New Roman"/>
          <w:color w:val="0000FF"/>
          <w:highlight w:val="none"/>
          <w:lang w:val="en-US" w:eastAsia="zh-CN"/>
        </w:rPr>
        <w:t>8</w:t>
      </w:r>
      <w:r>
        <w:rPr>
          <w:rFonts w:hint="eastAsia" w:ascii="Times New Roman" w:hAnsi="Times New Roman" w:cs="Times New Roman"/>
          <w:color w:val="0000FF"/>
          <w:highlight w:val="none"/>
        </w:rPr>
        <w:t>。</w:t>
      </w:r>
    </w:p>
    <w:p w14:paraId="16BD6534">
      <w:pPr>
        <w:tabs>
          <w:tab w:val="left" w:pos="851"/>
          <w:tab w:val="left" w:pos="1141"/>
          <w:tab w:val="left" w:pos="4335"/>
        </w:tabs>
        <w:jc w:val="center"/>
        <w:rPr>
          <w:rFonts w:hint="eastAsia" w:ascii="Times New Roman" w:hAnsi="Times New Roman" w:eastAsia="黑体" w:cs="Times New Roman"/>
          <w:bCs/>
          <w:color w:val="0000FF"/>
        </w:rPr>
      </w:pPr>
      <w:r>
        <w:rPr>
          <w:rFonts w:ascii="Times New Roman" w:hAnsi="Times New Roman" w:eastAsia="黑体" w:cs="Times New Roman"/>
          <w:bCs/>
          <w:color w:val="0000FF"/>
        </w:rPr>
        <w:t>表</w:t>
      </w:r>
      <w:r>
        <w:rPr>
          <w:rFonts w:hint="eastAsia" w:ascii="Times New Roman" w:hAnsi="Times New Roman" w:eastAsia="黑体" w:cs="Times New Roman"/>
          <w:bCs/>
          <w:color w:val="0000FF"/>
        </w:rPr>
        <w:t>5</w:t>
      </w:r>
      <w:r>
        <w:rPr>
          <w:rFonts w:ascii="Times New Roman" w:hAnsi="Times New Roman" w:eastAsia="黑体" w:cs="Times New Roman"/>
          <w:bCs/>
          <w:color w:val="0000FF"/>
        </w:rPr>
        <w:t>.1-1</w:t>
      </w:r>
      <w:r>
        <w:rPr>
          <w:rFonts w:hint="eastAsia" w:ascii="Times New Roman" w:hAnsi="Times New Roman" w:eastAsia="黑体" w:cs="Times New Roman"/>
          <w:bCs/>
          <w:color w:val="0000FF"/>
          <w:lang w:val="en-US" w:eastAsia="zh-CN"/>
        </w:rPr>
        <w:t>5</w:t>
      </w:r>
      <w:r>
        <w:rPr>
          <w:rFonts w:ascii="Times New Roman" w:hAnsi="Times New Roman" w:eastAsia="黑体" w:cs="Times New Roman"/>
          <w:bCs/>
          <w:color w:val="0000FF"/>
        </w:rPr>
        <w:t xml:space="preserve">  </w:t>
      </w:r>
      <w:r>
        <w:rPr>
          <w:rFonts w:hint="eastAsia" w:ascii="Times New Roman" w:hAnsi="Times New Roman" w:eastAsia="黑体" w:cs="Times New Roman"/>
          <w:bCs/>
          <w:color w:val="0000FF"/>
        </w:rPr>
        <w:t>关心点及网格点SO</w:t>
      </w:r>
      <w:r>
        <w:rPr>
          <w:rFonts w:hint="eastAsia" w:ascii="Times New Roman" w:hAnsi="Times New Roman" w:eastAsia="黑体" w:cs="Times New Roman"/>
          <w:bCs/>
          <w:color w:val="0000FF"/>
          <w:vertAlign w:val="subscript"/>
        </w:rPr>
        <w:t>2</w:t>
      </w:r>
      <w:r>
        <w:rPr>
          <w:rFonts w:hint="eastAsia" w:ascii="Times New Roman" w:hAnsi="Times New Roman" w:eastAsia="黑体" w:cs="Times New Roman"/>
          <w:bCs/>
          <w:color w:val="0000FF"/>
        </w:rPr>
        <w:t>贡献质量浓度预测结果表</w:t>
      </w:r>
    </w:p>
    <w:tbl>
      <w:tblPr>
        <w:tblStyle w:val="56"/>
        <w:tblW w:w="8940" w:type="dxa"/>
        <w:jc w:val="center"/>
        <w:tblBorders>
          <w:top w:val="thinThickSmallGap" w:color="000000" w:sz="12" w:space="0"/>
          <w:left w:val="none" w:color="auto" w:sz="0" w:space="0"/>
          <w:bottom w:val="thinThickSmallGap" w:color="000000" w:sz="12" w:space="0"/>
          <w:right w:val="none" w:color="auto" w:sz="0" w:space="0"/>
          <w:insideH w:val="single" w:color="000000" w:sz="4" w:space="0"/>
          <w:insideV w:val="single" w:color="000000" w:sz="4" w:space="0"/>
        </w:tblBorders>
        <w:shd w:val="clear" w:color="auto" w:fill="auto"/>
        <w:tblLayout w:type="fixed"/>
        <w:tblCellMar>
          <w:top w:w="0" w:type="dxa"/>
          <w:left w:w="108" w:type="dxa"/>
          <w:bottom w:w="0" w:type="dxa"/>
          <w:right w:w="108" w:type="dxa"/>
        </w:tblCellMar>
      </w:tblPr>
      <w:tblGrid>
        <w:gridCol w:w="525"/>
        <w:gridCol w:w="1140"/>
        <w:gridCol w:w="1140"/>
        <w:gridCol w:w="945"/>
        <w:gridCol w:w="1110"/>
        <w:gridCol w:w="1350"/>
        <w:gridCol w:w="1140"/>
        <w:gridCol w:w="825"/>
        <w:gridCol w:w="765"/>
      </w:tblGrid>
      <w:tr w14:paraId="07E687F6">
        <w:tblPrEx>
          <w:tblBorders>
            <w:top w:val="thinThickSmallGap" w:color="000000" w:sz="12" w:space="0"/>
            <w:left w:val="none" w:color="auto" w:sz="0" w:space="0"/>
            <w:bottom w:val="thinThickSmallGap" w:color="000000" w:sz="12" w:space="0"/>
            <w:right w:val="none" w:color="auto" w:sz="0"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300" w:hRule="atLeast"/>
          <w:jc w:val="center"/>
        </w:trPr>
        <w:tc>
          <w:tcPr>
            <w:tcW w:w="525" w:type="dxa"/>
            <w:tcBorders>
              <w:tl2br w:val="nil"/>
              <w:tr2bl w:val="nil"/>
            </w:tcBorders>
            <w:shd w:val="clear" w:color="auto" w:fill="auto"/>
            <w:noWrap/>
            <w:vAlign w:val="center"/>
          </w:tcPr>
          <w:p w14:paraId="669EF35F">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1"/>
                <w:szCs w:val="21"/>
                <w:u w:val="none"/>
                <w:lang w:val="en-US" w:eastAsia="zh-CN" w:bidi="ar"/>
              </w:rPr>
              <w:t>序号</w:t>
            </w:r>
          </w:p>
        </w:tc>
        <w:tc>
          <w:tcPr>
            <w:tcW w:w="1140" w:type="dxa"/>
            <w:tcBorders>
              <w:tl2br w:val="nil"/>
              <w:tr2bl w:val="nil"/>
            </w:tcBorders>
            <w:shd w:val="clear" w:color="auto" w:fill="auto"/>
            <w:noWrap/>
            <w:vAlign w:val="center"/>
          </w:tcPr>
          <w:p w14:paraId="1AECD720">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1"/>
                <w:szCs w:val="21"/>
                <w:u w:val="none"/>
                <w:lang w:val="en-US" w:eastAsia="zh-CN" w:bidi="ar"/>
              </w:rPr>
              <w:t>点名称</w:t>
            </w:r>
          </w:p>
        </w:tc>
        <w:tc>
          <w:tcPr>
            <w:tcW w:w="1140" w:type="dxa"/>
            <w:tcBorders>
              <w:tl2br w:val="nil"/>
              <w:tr2bl w:val="nil"/>
            </w:tcBorders>
            <w:shd w:val="clear" w:color="auto" w:fill="auto"/>
            <w:noWrap/>
            <w:vAlign w:val="center"/>
          </w:tcPr>
          <w:p w14:paraId="05105485">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1"/>
                <w:szCs w:val="21"/>
                <w:u w:val="none"/>
                <w:lang w:val="en-US" w:eastAsia="zh-CN" w:bidi="ar"/>
              </w:rPr>
              <w:t>点坐标(x,y)</w:t>
            </w:r>
          </w:p>
        </w:tc>
        <w:tc>
          <w:tcPr>
            <w:tcW w:w="945" w:type="dxa"/>
            <w:tcBorders>
              <w:tl2br w:val="nil"/>
              <w:tr2bl w:val="nil"/>
            </w:tcBorders>
            <w:shd w:val="clear" w:color="auto" w:fill="auto"/>
            <w:noWrap/>
            <w:vAlign w:val="center"/>
          </w:tcPr>
          <w:p w14:paraId="5F230582">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1"/>
                <w:szCs w:val="21"/>
                <w:u w:val="none"/>
                <w:lang w:val="en-US" w:eastAsia="zh-CN" w:bidi="ar"/>
              </w:rPr>
              <w:t>浓度类型</w:t>
            </w:r>
          </w:p>
        </w:tc>
        <w:tc>
          <w:tcPr>
            <w:tcW w:w="1110" w:type="dxa"/>
            <w:tcBorders>
              <w:tl2br w:val="nil"/>
              <w:tr2bl w:val="nil"/>
            </w:tcBorders>
            <w:shd w:val="clear" w:color="auto" w:fill="auto"/>
            <w:noWrap/>
            <w:vAlign w:val="center"/>
          </w:tcPr>
          <w:p w14:paraId="55CC7AB2">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1"/>
                <w:szCs w:val="21"/>
                <w:u w:val="none"/>
                <w:lang w:val="en-US" w:eastAsia="zh-CN" w:bidi="ar"/>
              </w:rPr>
              <w:t>浓度增量(mg/m</w:t>
            </w:r>
            <w:r>
              <w:rPr>
                <w:rFonts w:hint="default" w:ascii="Times New Roman" w:hAnsi="Times New Roman" w:eastAsia="宋体" w:cs="Times New Roman"/>
                <w:i w:val="0"/>
                <w:iCs w:val="0"/>
                <w:color w:val="0000FF"/>
                <w:kern w:val="0"/>
                <w:sz w:val="21"/>
                <w:szCs w:val="21"/>
                <w:u w:val="none"/>
                <w:vertAlign w:val="superscript"/>
                <w:lang w:val="en-US" w:eastAsia="zh-CN" w:bidi="ar"/>
              </w:rPr>
              <w:t>3</w:t>
            </w:r>
            <w:r>
              <w:rPr>
                <w:rFonts w:hint="default" w:ascii="Times New Roman" w:hAnsi="Times New Roman" w:eastAsia="宋体" w:cs="Times New Roman"/>
                <w:i w:val="0"/>
                <w:iCs w:val="0"/>
                <w:color w:val="0000FF"/>
                <w:kern w:val="0"/>
                <w:sz w:val="21"/>
                <w:szCs w:val="21"/>
                <w:u w:val="none"/>
                <w:lang w:val="en-US" w:eastAsia="zh-CN" w:bidi="ar"/>
              </w:rPr>
              <w:t>)</w:t>
            </w:r>
          </w:p>
        </w:tc>
        <w:tc>
          <w:tcPr>
            <w:tcW w:w="1350" w:type="dxa"/>
            <w:tcBorders>
              <w:tl2br w:val="nil"/>
              <w:tr2bl w:val="nil"/>
            </w:tcBorders>
            <w:shd w:val="clear" w:color="auto" w:fill="auto"/>
            <w:noWrap/>
            <w:vAlign w:val="center"/>
          </w:tcPr>
          <w:p w14:paraId="6665BB62">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1"/>
                <w:szCs w:val="21"/>
                <w:u w:val="none"/>
                <w:lang w:val="en-US" w:eastAsia="zh-CN" w:bidi="ar"/>
              </w:rPr>
              <w:t>出现时间(YYMMDDHH)</w:t>
            </w:r>
          </w:p>
        </w:tc>
        <w:tc>
          <w:tcPr>
            <w:tcW w:w="1140" w:type="dxa"/>
            <w:tcBorders>
              <w:tl2br w:val="nil"/>
              <w:tr2bl w:val="nil"/>
            </w:tcBorders>
            <w:shd w:val="clear" w:color="auto" w:fill="auto"/>
            <w:noWrap/>
            <w:vAlign w:val="center"/>
          </w:tcPr>
          <w:p w14:paraId="4D211601">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1"/>
                <w:szCs w:val="21"/>
                <w:u w:val="none"/>
                <w:lang w:val="en-US" w:eastAsia="zh-CN" w:bidi="ar"/>
              </w:rPr>
              <w:t>评价标准(mg/m</w:t>
            </w:r>
            <w:r>
              <w:rPr>
                <w:rFonts w:hint="default" w:ascii="Times New Roman" w:hAnsi="Times New Roman" w:eastAsia="宋体" w:cs="Times New Roman"/>
                <w:i w:val="0"/>
                <w:iCs w:val="0"/>
                <w:color w:val="0000FF"/>
                <w:kern w:val="0"/>
                <w:sz w:val="21"/>
                <w:szCs w:val="21"/>
                <w:u w:val="none"/>
                <w:vertAlign w:val="superscript"/>
                <w:lang w:val="en-US" w:eastAsia="zh-CN" w:bidi="ar"/>
              </w:rPr>
              <w:t>3</w:t>
            </w:r>
            <w:r>
              <w:rPr>
                <w:rFonts w:hint="default" w:ascii="Times New Roman" w:hAnsi="Times New Roman" w:eastAsia="宋体" w:cs="Times New Roman"/>
                <w:i w:val="0"/>
                <w:iCs w:val="0"/>
                <w:color w:val="0000FF"/>
                <w:kern w:val="0"/>
                <w:sz w:val="21"/>
                <w:szCs w:val="21"/>
                <w:u w:val="none"/>
                <w:lang w:val="en-US" w:eastAsia="zh-CN" w:bidi="ar"/>
              </w:rPr>
              <w:t>)</w:t>
            </w:r>
          </w:p>
        </w:tc>
        <w:tc>
          <w:tcPr>
            <w:tcW w:w="825" w:type="dxa"/>
            <w:tcBorders>
              <w:tl2br w:val="nil"/>
              <w:tr2bl w:val="nil"/>
            </w:tcBorders>
            <w:shd w:val="clear" w:color="auto" w:fill="auto"/>
            <w:noWrap/>
            <w:vAlign w:val="center"/>
          </w:tcPr>
          <w:p w14:paraId="56219117">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1"/>
                <w:szCs w:val="21"/>
                <w:u w:val="none"/>
                <w:lang w:val="en-US" w:eastAsia="zh-CN" w:bidi="ar"/>
              </w:rPr>
              <w:t>占标率%</w:t>
            </w:r>
          </w:p>
        </w:tc>
        <w:tc>
          <w:tcPr>
            <w:tcW w:w="765" w:type="dxa"/>
            <w:tcBorders>
              <w:tl2br w:val="nil"/>
              <w:tr2bl w:val="nil"/>
            </w:tcBorders>
            <w:shd w:val="clear" w:color="auto" w:fill="auto"/>
            <w:noWrap/>
            <w:vAlign w:val="center"/>
          </w:tcPr>
          <w:p w14:paraId="14350215">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1"/>
                <w:szCs w:val="21"/>
                <w:u w:val="none"/>
                <w:lang w:val="en-US" w:eastAsia="zh-CN" w:bidi="ar"/>
              </w:rPr>
              <w:t>是否超标</w:t>
            </w:r>
          </w:p>
        </w:tc>
      </w:tr>
      <w:tr w14:paraId="7C1ACBE9">
        <w:tblPrEx>
          <w:tblBorders>
            <w:top w:val="thinThickSmallGap" w:color="000000" w:sz="12" w:space="0"/>
            <w:left w:val="none" w:color="auto" w:sz="0" w:space="0"/>
            <w:bottom w:val="thinThickSmallGap"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00" w:hRule="atLeast"/>
          <w:jc w:val="center"/>
        </w:trPr>
        <w:tc>
          <w:tcPr>
            <w:tcW w:w="525" w:type="dxa"/>
            <w:vMerge w:val="restart"/>
            <w:tcBorders>
              <w:tl2br w:val="nil"/>
              <w:tr2bl w:val="nil"/>
            </w:tcBorders>
            <w:shd w:val="clear" w:color="auto" w:fill="auto"/>
            <w:noWrap/>
            <w:vAlign w:val="center"/>
          </w:tcPr>
          <w:p w14:paraId="0F76F2C9">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1"/>
                <w:szCs w:val="21"/>
                <w:u w:val="none"/>
                <w:lang w:val="en-US" w:eastAsia="zh-CN" w:bidi="ar"/>
              </w:rPr>
              <w:t>1</w:t>
            </w:r>
          </w:p>
        </w:tc>
        <w:tc>
          <w:tcPr>
            <w:tcW w:w="1140" w:type="dxa"/>
            <w:vMerge w:val="restart"/>
            <w:tcBorders>
              <w:tl2br w:val="nil"/>
              <w:tr2bl w:val="nil"/>
            </w:tcBorders>
            <w:shd w:val="clear" w:color="auto" w:fill="auto"/>
            <w:noWrap/>
            <w:vAlign w:val="center"/>
          </w:tcPr>
          <w:p w14:paraId="1E0C6477">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1"/>
                <w:szCs w:val="21"/>
                <w:u w:val="none"/>
                <w:lang w:val="en-US" w:eastAsia="zh-CN" w:bidi="ar"/>
              </w:rPr>
              <w:t>祁家堡</w:t>
            </w:r>
          </w:p>
        </w:tc>
        <w:tc>
          <w:tcPr>
            <w:tcW w:w="1140" w:type="dxa"/>
            <w:vMerge w:val="restart"/>
            <w:tcBorders>
              <w:tl2br w:val="nil"/>
              <w:tr2bl w:val="nil"/>
            </w:tcBorders>
            <w:shd w:val="clear" w:color="auto" w:fill="auto"/>
            <w:noWrap/>
            <w:vAlign w:val="center"/>
          </w:tcPr>
          <w:p w14:paraId="00E5D67F">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1"/>
                <w:szCs w:val="21"/>
                <w:u w:val="none"/>
                <w:lang w:val="en-US" w:eastAsia="zh-CN" w:bidi="ar"/>
              </w:rPr>
              <w:t>85,261</w:t>
            </w:r>
          </w:p>
        </w:tc>
        <w:tc>
          <w:tcPr>
            <w:tcW w:w="945" w:type="dxa"/>
            <w:tcBorders>
              <w:tl2br w:val="nil"/>
              <w:tr2bl w:val="nil"/>
            </w:tcBorders>
            <w:shd w:val="clear" w:color="auto" w:fill="auto"/>
            <w:noWrap/>
            <w:vAlign w:val="center"/>
          </w:tcPr>
          <w:p w14:paraId="44E91C5E">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1"/>
                <w:szCs w:val="21"/>
                <w:u w:val="none"/>
                <w:lang w:val="en-US" w:eastAsia="zh-CN" w:bidi="ar"/>
              </w:rPr>
              <w:t>1小时</w:t>
            </w:r>
          </w:p>
        </w:tc>
        <w:tc>
          <w:tcPr>
            <w:tcW w:w="1110" w:type="dxa"/>
            <w:tcBorders>
              <w:tl2br w:val="nil"/>
              <w:tr2bl w:val="nil"/>
            </w:tcBorders>
            <w:shd w:val="clear" w:color="auto" w:fill="auto"/>
            <w:noWrap/>
            <w:vAlign w:val="center"/>
          </w:tcPr>
          <w:p w14:paraId="594234E2">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1"/>
                <w:szCs w:val="21"/>
                <w:u w:val="none"/>
                <w:lang w:val="en-US" w:eastAsia="zh-CN" w:bidi="ar"/>
              </w:rPr>
              <w:t>2.69E-03</w:t>
            </w:r>
          </w:p>
        </w:tc>
        <w:tc>
          <w:tcPr>
            <w:tcW w:w="1350" w:type="dxa"/>
            <w:tcBorders>
              <w:tl2br w:val="nil"/>
              <w:tr2bl w:val="nil"/>
            </w:tcBorders>
            <w:shd w:val="clear" w:color="auto" w:fill="auto"/>
            <w:noWrap/>
            <w:vAlign w:val="center"/>
          </w:tcPr>
          <w:p w14:paraId="3D642FA6">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1"/>
                <w:szCs w:val="21"/>
                <w:u w:val="none"/>
                <w:lang w:val="en-US" w:eastAsia="zh-CN" w:bidi="ar"/>
              </w:rPr>
              <w:t>24071813</w:t>
            </w:r>
          </w:p>
        </w:tc>
        <w:tc>
          <w:tcPr>
            <w:tcW w:w="1140" w:type="dxa"/>
            <w:tcBorders>
              <w:tl2br w:val="nil"/>
              <w:tr2bl w:val="nil"/>
            </w:tcBorders>
            <w:shd w:val="clear" w:color="auto" w:fill="auto"/>
            <w:noWrap/>
            <w:vAlign w:val="center"/>
          </w:tcPr>
          <w:p w14:paraId="64355D3C">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1"/>
                <w:szCs w:val="21"/>
                <w:u w:val="none"/>
                <w:lang w:val="en-US" w:eastAsia="zh-CN" w:bidi="ar"/>
              </w:rPr>
              <w:t>5.00E-01</w:t>
            </w:r>
          </w:p>
        </w:tc>
        <w:tc>
          <w:tcPr>
            <w:tcW w:w="825" w:type="dxa"/>
            <w:tcBorders>
              <w:tl2br w:val="nil"/>
              <w:tr2bl w:val="nil"/>
            </w:tcBorders>
            <w:shd w:val="clear" w:color="auto" w:fill="auto"/>
            <w:noWrap/>
            <w:vAlign w:val="center"/>
          </w:tcPr>
          <w:p w14:paraId="6A614207">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1"/>
                <w:szCs w:val="21"/>
                <w:u w:val="none"/>
                <w:lang w:val="en-US" w:eastAsia="zh-CN" w:bidi="ar"/>
              </w:rPr>
              <w:t>0.54</w:t>
            </w:r>
          </w:p>
        </w:tc>
        <w:tc>
          <w:tcPr>
            <w:tcW w:w="765" w:type="dxa"/>
            <w:tcBorders>
              <w:tl2br w:val="nil"/>
              <w:tr2bl w:val="nil"/>
            </w:tcBorders>
            <w:shd w:val="clear" w:color="auto" w:fill="auto"/>
            <w:noWrap/>
            <w:vAlign w:val="center"/>
          </w:tcPr>
          <w:p w14:paraId="37E89185">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1"/>
                <w:szCs w:val="21"/>
                <w:u w:val="none"/>
                <w:lang w:val="en-US" w:eastAsia="zh-CN" w:bidi="ar"/>
              </w:rPr>
              <w:t>达标</w:t>
            </w:r>
          </w:p>
        </w:tc>
      </w:tr>
      <w:tr w14:paraId="1050A120">
        <w:tblPrEx>
          <w:tblBorders>
            <w:top w:val="thinThickSmallGap" w:color="000000" w:sz="12" w:space="0"/>
            <w:left w:val="none" w:color="auto" w:sz="0" w:space="0"/>
            <w:bottom w:val="thinThickSmallGap" w:color="000000" w:sz="12" w:space="0"/>
            <w:right w:val="none" w:color="auto" w:sz="0"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300" w:hRule="atLeast"/>
          <w:jc w:val="center"/>
        </w:trPr>
        <w:tc>
          <w:tcPr>
            <w:tcW w:w="525" w:type="dxa"/>
            <w:vMerge w:val="continue"/>
            <w:tcBorders>
              <w:tl2br w:val="nil"/>
              <w:tr2bl w:val="nil"/>
            </w:tcBorders>
            <w:shd w:val="clear" w:color="auto" w:fill="auto"/>
            <w:noWrap/>
            <w:vAlign w:val="center"/>
          </w:tcPr>
          <w:p w14:paraId="76A6C140">
            <w:pPr>
              <w:keepNext w:val="0"/>
              <w:keepLines w:val="0"/>
              <w:pageBreakBefore w:val="0"/>
              <w:widowControl/>
              <w:kinsoku/>
              <w:wordWrap/>
              <w:overflowPunct/>
              <w:topLinePunct w:val="0"/>
              <w:autoSpaceDE/>
              <w:autoSpaceDN/>
              <w:bidi w:val="0"/>
              <w:adjustRightInd w:val="0"/>
              <w:snapToGrid w:val="0"/>
              <w:spacing w:line="240" w:lineRule="auto"/>
              <w:jc w:val="center"/>
              <w:rPr>
                <w:rFonts w:hint="default" w:ascii="Times New Roman" w:hAnsi="Times New Roman" w:eastAsia="宋体" w:cs="Times New Roman"/>
                <w:i w:val="0"/>
                <w:iCs w:val="0"/>
                <w:color w:val="0000FF"/>
                <w:sz w:val="21"/>
                <w:szCs w:val="21"/>
                <w:u w:val="none"/>
              </w:rPr>
            </w:pPr>
          </w:p>
        </w:tc>
        <w:tc>
          <w:tcPr>
            <w:tcW w:w="1140" w:type="dxa"/>
            <w:vMerge w:val="continue"/>
            <w:tcBorders>
              <w:tl2br w:val="nil"/>
              <w:tr2bl w:val="nil"/>
            </w:tcBorders>
            <w:shd w:val="clear" w:color="auto" w:fill="auto"/>
            <w:noWrap/>
            <w:vAlign w:val="center"/>
          </w:tcPr>
          <w:p w14:paraId="7C5E8C73">
            <w:pPr>
              <w:keepNext w:val="0"/>
              <w:keepLines w:val="0"/>
              <w:pageBreakBefore w:val="0"/>
              <w:widowControl/>
              <w:kinsoku/>
              <w:wordWrap/>
              <w:overflowPunct/>
              <w:topLinePunct w:val="0"/>
              <w:autoSpaceDE/>
              <w:autoSpaceDN/>
              <w:bidi w:val="0"/>
              <w:adjustRightInd w:val="0"/>
              <w:snapToGrid w:val="0"/>
              <w:spacing w:line="240" w:lineRule="auto"/>
              <w:jc w:val="center"/>
              <w:rPr>
                <w:rFonts w:hint="default" w:ascii="Times New Roman" w:hAnsi="Times New Roman" w:eastAsia="宋体" w:cs="Times New Roman"/>
                <w:i w:val="0"/>
                <w:iCs w:val="0"/>
                <w:color w:val="0000FF"/>
                <w:sz w:val="21"/>
                <w:szCs w:val="21"/>
                <w:u w:val="none"/>
              </w:rPr>
            </w:pPr>
          </w:p>
        </w:tc>
        <w:tc>
          <w:tcPr>
            <w:tcW w:w="1140" w:type="dxa"/>
            <w:vMerge w:val="continue"/>
            <w:tcBorders>
              <w:tl2br w:val="nil"/>
              <w:tr2bl w:val="nil"/>
            </w:tcBorders>
            <w:shd w:val="clear" w:color="auto" w:fill="auto"/>
            <w:noWrap/>
            <w:vAlign w:val="center"/>
          </w:tcPr>
          <w:p w14:paraId="4A42F149">
            <w:pPr>
              <w:keepNext w:val="0"/>
              <w:keepLines w:val="0"/>
              <w:pageBreakBefore w:val="0"/>
              <w:widowControl/>
              <w:kinsoku/>
              <w:wordWrap/>
              <w:overflowPunct/>
              <w:topLinePunct w:val="0"/>
              <w:autoSpaceDE/>
              <w:autoSpaceDN/>
              <w:bidi w:val="0"/>
              <w:adjustRightInd w:val="0"/>
              <w:snapToGrid w:val="0"/>
              <w:spacing w:line="240" w:lineRule="auto"/>
              <w:jc w:val="center"/>
              <w:rPr>
                <w:rFonts w:hint="default" w:ascii="Times New Roman" w:hAnsi="Times New Roman" w:eastAsia="宋体" w:cs="Times New Roman"/>
                <w:i w:val="0"/>
                <w:iCs w:val="0"/>
                <w:color w:val="0000FF"/>
                <w:sz w:val="21"/>
                <w:szCs w:val="21"/>
                <w:u w:val="none"/>
              </w:rPr>
            </w:pPr>
          </w:p>
        </w:tc>
        <w:tc>
          <w:tcPr>
            <w:tcW w:w="945" w:type="dxa"/>
            <w:tcBorders>
              <w:tl2br w:val="nil"/>
              <w:tr2bl w:val="nil"/>
            </w:tcBorders>
            <w:shd w:val="clear" w:color="auto" w:fill="auto"/>
            <w:noWrap/>
            <w:vAlign w:val="center"/>
          </w:tcPr>
          <w:p w14:paraId="0C56ED98">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1"/>
                <w:szCs w:val="21"/>
                <w:u w:val="none"/>
                <w:lang w:val="en-US" w:eastAsia="zh-CN" w:bidi="ar"/>
              </w:rPr>
              <w:t>日平均</w:t>
            </w:r>
          </w:p>
        </w:tc>
        <w:tc>
          <w:tcPr>
            <w:tcW w:w="1110" w:type="dxa"/>
            <w:tcBorders>
              <w:tl2br w:val="nil"/>
              <w:tr2bl w:val="nil"/>
            </w:tcBorders>
            <w:shd w:val="clear" w:color="auto" w:fill="auto"/>
            <w:noWrap/>
            <w:vAlign w:val="center"/>
          </w:tcPr>
          <w:p w14:paraId="5981A84F">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1"/>
                <w:szCs w:val="21"/>
                <w:u w:val="none"/>
                <w:lang w:val="en-US" w:eastAsia="zh-CN" w:bidi="ar"/>
              </w:rPr>
              <w:t>5.64E-04</w:t>
            </w:r>
          </w:p>
        </w:tc>
        <w:tc>
          <w:tcPr>
            <w:tcW w:w="1350" w:type="dxa"/>
            <w:tcBorders>
              <w:tl2br w:val="nil"/>
              <w:tr2bl w:val="nil"/>
            </w:tcBorders>
            <w:shd w:val="clear" w:color="auto" w:fill="auto"/>
            <w:noWrap/>
            <w:vAlign w:val="center"/>
          </w:tcPr>
          <w:p w14:paraId="3F156CA1">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1"/>
                <w:szCs w:val="21"/>
                <w:u w:val="none"/>
                <w:lang w:val="en-US" w:eastAsia="zh-CN" w:bidi="ar"/>
              </w:rPr>
              <w:t>240628</w:t>
            </w:r>
          </w:p>
        </w:tc>
        <w:tc>
          <w:tcPr>
            <w:tcW w:w="1140" w:type="dxa"/>
            <w:tcBorders>
              <w:tl2br w:val="nil"/>
              <w:tr2bl w:val="nil"/>
            </w:tcBorders>
            <w:shd w:val="clear" w:color="auto" w:fill="auto"/>
            <w:noWrap/>
            <w:vAlign w:val="center"/>
          </w:tcPr>
          <w:p w14:paraId="11702EC8">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1"/>
                <w:szCs w:val="21"/>
                <w:u w:val="none"/>
                <w:lang w:val="en-US" w:eastAsia="zh-CN" w:bidi="ar"/>
              </w:rPr>
              <w:t>1.50E-01</w:t>
            </w:r>
          </w:p>
        </w:tc>
        <w:tc>
          <w:tcPr>
            <w:tcW w:w="825" w:type="dxa"/>
            <w:tcBorders>
              <w:tl2br w:val="nil"/>
              <w:tr2bl w:val="nil"/>
            </w:tcBorders>
            <w:shd w:val="clear" w:color="auto" w:fill="auto"/>
            <w:noWrap/>
            <w:vAlign w:val="center"/>
          </w:tcPr>
          <w:p w14:paraId="5DD0F2E8">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1"/>
                <w:szCs w:val="21"/>
                <w:u w:val="none"/>
                <w:lang w:val="en-US" w:eastAsia="zh-CN" w:bidi="ar"/>
              </w:rPr>
              <w:t>0.38</w:t>
            </w:r>
          </w:p>
        </w:tc>
        <w:tc>
          <w:tcPr>
            <w:tcW w:w="765" w:type="dxa"/>
            <w:tcBorders>
              <w:tl2br w:val="nil"/>
              <w:tr2bl w:val="nil"/>
            </w:tcBorders>
            <w:shd w:val="clear" w:color="auto" w:fill="auto"/>
            <w:noWrap/>
            <w:vAlign w:val="center"/>
          </w:tcPr>
          <w:p w14:paraId="3F043425">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1"/>
                <w:szCs w:val="21"/>
                <w:u w:val="none"/>
                <w:lang w:val="en-US" w:eastAsia="zh-CN" w:bidi="ar"/>
              </w:rPr>
              <w:t>达标</w:t>
            </w:r>
          </w:p>
        </w:tc>
      </w:tr>
      <w:tr w14:paraId="484B5930">
        <w:tblPrEx>
          <w:tblBorders>
            <w:top w:val="thinThickSmallGap" w:color="000000" w:sz="12" w:space="0"/>
            <w:left w:val="none" w:color="auto" w:sz="0" w:space="0"/>
            <w:bottom w:val="thinThickSmallGap"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00" w:hRule="atLeast"/>
          <w:jc w:val="center"/>
        </w:trPr>
        <w:tc>
          <w:tcPr>
            <w:tcW w:w="525" w:type="dxa"/>
            <w:vMerge w:val="continue"/>
            <w:tcBorders>
              <w:tl2br w:val="nil"/>
              <w:tr2bl w:val="nil"/>
            </w:tcBorders>
            <w:shd w:val="clear" w:color="auto" w:fill="auto"/>
            <w:noWrap/>
            <w:vAlign w:val="center"/>
          </w:tcPr>
          <w:p w14:paraId="78B45983">
            <w:pPr>
              <w:keepNext w:val="0"/>
              <w:keepLines w:val="0"/>
              <w:pageBreakBefore w:val="0"/>
              <w:widowControl/>
              <w:kinsoku/>
              <w:wordWrap/>
              <w:overflowPunct/>
              <w:topLinePunct w:val="0"/>
              <w:autoSpaceDE/>
              <w:autoSpaceDN/>
              <w:bidi w:val="0"/>
              <w:adjustRightInd w:val="0"/>
              <w:snapToGrid w:val="0"/>
              <w:spacing w:line="240" w:lineRule="auto"/>
              <w:jc w:val="center"/>
              <w:rPr>
                <w:rFonts w:hint="default" w:ascii="Times New Roman" w:hAnsi="Times New Roman" w:eastAsia="宋体" w:cs="Times New Roman"/>
                <w:i w:val="0"/>
                <w:iCs w:val="0"/>
                <w:color w:val="0000FF"/>
                <w:sz w:val="21"/>
                <w:szCs w:val="21"/>
                <w:u w:val="none"/>
              </w:rPr>
            </w:pPr>
          </w:p>
        </w:tc>
        <w:tc>
          <w:tcPr>
            <w:tcW w:w="1140" w:type="dxa"/>
            <w:vMerge w:val="continue"/>
            <w:tcBorders>
              <w:tl2br w:val="nil"/>
              <w:tr2bl w:val="nil"/>
            </w:tcBorders>
            <w:shd w:val="clear" w:color="auto" w:fill="auto"/>
            <w:noWrap/>
            <w:vAlign w:val="center"/>
          </w:tcPr>
          <w:p w14:paraId="48909F33">
            <w:pPr>
              <w:keepNext w:val="0"/>
              <w:keepLines w:val="0"/>
              <w:pageBreakBefore w:val="0"/>
              <w:widowControl/>
              <w:kinsoku/>
              <w:wordWrap/>
              <w:overflowPunct/>
              <w:topLinePunct w:val="0"/>
              <w:autoSpaceDE/>
              <w:autoSpaceDN/>
              <w:bidi w:val="0"/>
              <w:adjustRightInd w:val="0"/>
              <w:snapToGrid w:val="0"/>
              <w:spacing w:line="240" w:lineRule="auto"/>
              <w:jc w:val="center"/>
              <w:rPr>
                <w:rFonts w:hint="default" w:ascii="Times New Roman" w:hAnsi="Times New Roman" w:eastAsia="宋体" w:cs="Times New Roman"/>
                <w:i w:val="0"/>
                <w:iCs w:val="0"/>
                <w:color w:val="0000FF"/>
                <w:sz w:val="21"/>
                <w:szCs w:val="21"/>
                <w:u w:val="none"/>
              </w:rPr>
            </w:pPr>
          </w:p>
        </w:tc>
        <w:tc>
          <w:tcPr>
            <w:tcW w:w="1140" w:type="dxa"/>
            <w:vMerge w:val="continue"/>
            <w:tcBorders>
              <w:tl2br w:val="nil"/>
              <w:tr2bl w:val="nil"/>
            </w:tcBorders>
            <w:shd w:val="clear" w:color="auto" w:fill="auto"/>
            <w:noWrap/>
            <w:vAlign w:val="center"/>
          </w:tcPr>
          <w:p w14:paraId="249021F8">
            <w:pPr>
              <w:keepNext w:val="0"/>
              <w:keepLines w:val="0"/>
              <w:pageBreakBefore w:val="0"/>
              <w:widowControl/>
              <w:kinsoku/>
              <w:wordWrap/>
              <w:overflowPunct/>
              <w:topLinePunct w:val="0"/>
              <w:autoSpaceDE/>
              <w:autoSpaceDN/>
              <w:bidi w:val="0"/>
              <w:adjustRightInd w:val="0"/>
              <w:snapToGrid w:val="0"/>
              <w:spacing w:line="240" w:lineRule="auto"/>
              <w:jc w:val="center"/>
              <w:rPr>
                <w:rFonts w:hint="default" w:ascii="Times New Roman" w:hAnsi="Times New Roman" w:eastAsia="宋体" w:cs="Times New Roman"/>
                <w:i w:val="0"/>
                <w:iCs w:val="0"/>
                <w:color w:val="0000FF"/>
                <w:sz w:val="21"/>
                <w:szCs w:val="21"/>
                <w:u w:val="none"/>
              </w:rPr>
            </w:pPr>
          </w:p>
        </w:tc>
        <w:tc>
          <w:tcPr>
            <w:tcW w:w="945" w:type="dxa"/>
            <w:tcBorders>
              <w:tl2br w:val="nil"/>
              <w:tr2bl w:val="nil"/>
            </w:tcBorders>
            <w:shd w:val="clear" w:color="auto" w:fill="auto"/>
            <w:noWrap/>
            <w:vAlign w:val="center"/>
          </w:tcPr>
          <w:p w14:paraId="220C1D99">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1"/>
                <w:szCs w:val="21"/>
                <w:u w:val="none"/>
                <w:lang w:val="en-US" w:eastAsia="zh-CN" w:bidi="ar"/>
              </w:rPr>
              <w:t>全时段</w:t>
            </w:r>
          </w:p>
        </w:tc>
        <w:tc>
          <w:tcPr>
            <w:tcW w:w="1110" w:type="dxa"/>
            <w:tcBorders>
              <w:tl2br w:val="nil"/>
              <w:tr2bl w:val="nil"/>
            </w:tcBorders>
            <w:shd w:val="clear" w:color="auto" w:fill="auto"/>
            <w:noWrap/>
            <w:vAlign w:val="center"/>
          </w:tcPr>
          <w:p w14:paraId="264B94E2">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1"/>
                <w:szCs w:val="21"/>
                <w:u w:val="none"/>
                <w:lang w:val="en-US" w:eastAsia="zh-CN" w:bidi="ar"/>
              </w:rPr>
              <w:t>7.47E-05</w:t>
            </w:r>
          </w:p>
        </w:tc>
        <w:tc>
          <w:tcPr>
            <w:tcW w:w="1350" w:type="dxa"/>
            <w:tcBorders>
              <w:tl2br w:val="nil"/>
              <w:tr2bl w:val="nil"/>
            </w:tcBorders>
            <w:shd w:val="clear" w:color="auto" w:fill="auto"/>
            <w:noWrap/>
            <w:vAlign w:val="center"/>
          </w:tcPr>
          <w:p w14:paraId="613D9F63">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1"/>
                <w:szCs w:val="21"/>
                <w:u w:val="none"/>
                <w:lang w:val="en-US" w:eastAsia="zh-CN" w:bidi="ar"/>
              </w:rPr>
              <w:t>平均值</w:t>
            </w:r>
          </w:p>
        </w:tc>
        <w:tc>
          <w:tcPr>
            <w:tcW w:w="1140" w:type="dxa"/>
            <w:tcBorders>
              <w:tl2br w:val="nil"/>
              <w:tr2bl w:val="nil"/>
            </w:tcBorders>
            <w:shd w:val="clear" w:color="auto" w:fill="auto"/>
            <w:noWrap/>
            <w:vAlign w:val="center"/>
          </w:tcPr>
          <w:p w14:paraId="7DBDA844">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1"/>
                <w:szCs w:val="21"/>
                <w:u w:val="none"/>
                <w:lang w:val="en-US" w:eastAsia="zh-CN" w:bidi="ar"/>
              </w:rPr>
              <w:t>6.00E-02</w:t>
            </w:r>
          </w:p>
        </w:tc>
        <w:tc>
          <w:tcPr>
            <w:tcW w:w="825" w:type="dxa"/>
            <w:tcBorders>
              <w:tl2br w:val="nil"/>
              <w:tr2bl w:val="nil"/>
            </w:tcBorders>
            <w:shd w:val="clear" w:color="auto" w:fill="auto"/>
            <w:noWrap/>
            <w:vAlign w:val="center"/>
          </w:tcPr>
          <w:p w14:paraId="07372D8D">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1"/>
                <w:szCs w:val="21"/>
                <w:u w:val="none"/>
                <w:lang w:val="en-US" w:eastAsia="zh-CN" w:bidi="ar"/>
              </w:rPr>
              <w:t>0.12</w:t>
            </w:r>
          </w:p>
        </w:tc>
        <w:tc>
          <w:tcPr>
            <w:tcW w:w="765" w:type="dxa"/>
            <w:tcBorders>
              <w:tl2br w:val="nil"/>
              <w:tr2bl w:val="nil"/>
            </w:tcBorders>
            <w:shd w:val="clear" w:color="auto" w:fill="auto"/>
            <w:noWrap/>
            <w:vAlign w:val="center"/>
          </w:tcPr>
          <w:p w14:paraId="23E20C69">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1"/>
                <w:szCs w:val="21"/>
                <w:u w:val="none"/>
                <w:lang w:val="en-US" w:eastAsia="zh-CN" w:bidi="ar"/>
              </w:rPr>
              <w:t>达标</w:t>
            </w:r>
          </w:p>
        </w:tc>
      </w:tr>
      <w:tr w14:paraId="6B7CCEE4">
        <w:tblPrEx>
          <w:tblBorders>
            <w:top w:val="thinThickSmallGap" w:color="000000" w:sz="12" w:space="0"/>
            <w:left w:val="none" w:color="auto" w:sz="0" w:space="0"/>
            <w:bottom w:val="thinThickSmallGap" w:color="000000" w:sz="12" w:space="0"/>
            <w:right w:val="none" w:color="auto" w:sz="0"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300" w:hRule="atLeast"/>
          <w:jc w:val="center"/>
        </w:trPr>
        <w:tc>
          <w:tcPr>
            <w:tcW w:w="525" w:type="dxa"/>
            <w:vMerge w:val="restart"/>
            <w:tcBorders>
              <w:tl2br w:val="nil"/>
              <w:tr2bl w:val="nil"/>
            </w:tcBorders>
            <w:shd w:val="clear" w:color="auto" w:fill="auto"/>
            <w:noWrap/>
            <w:vAlign w:val="center"/>
          </w:tcPr>
          <w:p w14:paraId="58C9914D">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1"/>
                <w:szCs w:val="21"/>
                <w:u w:val="none"/>
                <w:lang w:val="en-US" w:eastAsia="zh-CN" w:bidi="ar"/>
              </w:rPr>
              <w:t>2</w:t>
            </w:r>
          </w:p>
        </w:tc>
        <w:tc>
          <w:tcPr>
            <w:tcW w:w="1140" w:type="dxa"/>
            <w:vMerge w:val="restart"/>
            <w:tcBorders>
              <w:tl2br w:val="nil"/>
              <w:tr2bl w:val="nil"/>
            </w:tcBorders>
            <w:shd w:val="clear" w:color="auto" w:fill="auto"/>
            <w:noWrap/>
            <w:vAlign w:val="center"/>
          </w:tcPr>
          <w:p w14:paraId="5702D6D5">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sz w:val="21"/>
                <w:szCs w:val="21"/>
                <w:u w:val="none"/>
                <w:lang w:val="en-US" w:eastAsia="zh-CN" w:bidi="ar-SA"/>
              </w:rPr>
            </w:pPr>
            <w:r>
              <w:rPr>
                <w:rFonts w:hint="default" w:ascii="Times New Roman" w:hAnsi="Times New Roman" w:eastAsia="宋体" w:cs="Times New Roman"/>
                <w:i w:val="0"/>
                <w:iCs w:val="0"/>
                <w:color w:val="0000FF"/>
                <w:kern w:val="0"/>
                <w:sz w:val="21"/>
                <w:szCs w:val="21"/>
                <w:u w:val="none"/>
                <w:lang w:val="en-US" w:eastAsia="zh-CN" w:bidi="ar"/>
              </w:rPr>
              <w:t>部队</w:t>
            </w:r>
          </w:p>
        </w:tc>
        <w:tc>
          <w:tcPr>
            <w:tcW w:w="1140" w:type="dxa"/>
            <w:vMerge w:val="restart"/>
            <w:tcBorders>
              <w:tl2br w:val="nil"/>
              <w:tr2bl w:val="nil"/>
            </w:tcBorders>
            <w:shd w:val="clear" w:color="auto" w:fill="auto"/>
            <w:noWrap/>
            <w:vAlign w:val="center"/>
          </w:tcPr>
          <w:p w14:paraId="1EAA8818">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sz w:val="21"/>
                <w:szCs w:val="21"/>
                <w:u w:val="none"/>
                <w:lang w:val="en-US" w:eastAsia="zh-CN" w:bidi="ar-SA"/>
              </w:rPr>
            </w:pPr>
            <w:r>
              <w:rPr>
                <w:rFonts w:hint="default" w:ascii="Times New Roman" w:hAnsi="Times New Roman" w:eastAsia="宋体" w:cs="Times New Roman"/>
                <w:i w:val="0"/>
                <w:iCs w:val="0"/>
                <w:color w:val="0000FF"/>
                <w:kern w:val="0"/>
                <w:sz w:val="21"/>
                <w:szCs w:val="21"/>
                <w:u w:val="none"/>
                <w:lang w:val="en-US" w:eastAsia="zh-CN" w:bidi="ar"/>
              </w:rPr>
              <w:t>-179,10</w:t>
            </w:r>
          </w:p>
        </w:tc>
        <w:tc>
          <w:tcPr>
            <w:tcW w:w="945" w:type="dxa"/>
            <w:tcBorders>
              <w:tl2br w:val="nil"/>
              <w:tr2bl w:val="nil"/>
            </w:tcBorders>
            <w:shd w:val="clear" w:color="auto" w:fill="auto"/>
            <w:noWrap/>
            <w:vAlign w:val="center"/>
          </w:tcPr>
          <w:p w14:paraId="28915518">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1"/>
                <w:szCs w:val="21"/>
                <w:u w:val="none"/>
                <w:lang w:val="en-US" w:eastAsia="zh-CN" w:bidi="ar"/>
              </w:rPr>
              <w:t>1小时</w:t>
            </w:r>
          </w:p>
        </w:tc>
        <w:tc>
          <w:tcPr>
            <w:tcW w:w="1110" w:type="dxa"/>
            <w:tcBorders>
              <w:tl2br w:val="nil"/>
              <w:tr2bl w:val="nil"/>
            </w:tcBorders>
            <w:shd w:val="clear" w:color="auto" w:fill="auto"/>
            <w:noWrap/>
            <w:vAlign w:val="center"/>
          </w:tcPr>
          <w:p w14:paraId="0728D606">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1"/>
                <w:szCs w:val="21"/>
                <w:u w:val="none"/>
                <w:lang w:val="en-US" w:eastAsia="zh-CN" w:bidi="ar"/>
              </w:rPr>
              <w:t>1.96E-03</w:t>
            </w:r>
          </w:p>
        </w:tc>
        <w:tc>
          <w:tcPr>
            <w:tcW w:w="1350" w:type="dxa"/>
            <w:tcBorders>
              <w:tl2br w:val="nil"/>
              <w:tr2bl w:val="nil"/>
            </w:tcBorders>
            <w:shd w:val="clear" w:color="auto" w:fill="auto"/>
            <w:noWrap/>
            <w:vAlign w:val="center"/>
          </w:tcPr>
          <w:p w14:paraId="7D6593AC">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1"/>
                <w:szCs w:val="21"/>
                <w:u w:val="none"/>
                <w:lang w:val="en-US" w:eastAsia="zh-CN" w:bidi="ar"/>
              </w:rPr>
              <w:t>24091216</w:t>
            </w:r>
          </w:p>
        </w:tc>
        <w:tc>
          <w:tcPr>
            <w:tcW w:w="1140" w:type="dxa"/>
            <w:tcBorders>
              <w:tl2br w:val="nil"/>
              <w:tr2bl w:val="nil"/>
            </w:tcBorders>
            <w:shd w:val="clear" w:color="auto" w:fill="auto"/>
            <w:noWrap/>
            <w:vAlign w:val="center"/>
          </w:tcPr>
          <w:p w14:paraId="3F5A2328">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1"/>
                <w:szCs w:val="21"/>
                <w:u w:val="none"/>
                <w:lang w:val="en-US" w:eastAsia="zh-CN" w:bidi="ar"/>
              </w:rPr>
              <w:t>5.00E-01</w:t>
            </w:r>
          </w:p>
        </w:tc>
        <w:tc>
          <w:tcPr>
            <w:tcW w:w="825" w:type="dxa"/>
            <w:tcBorders>
              <w:tl2br w:val="nil"/>
              <w:tr2bl w:val="nil"/>
            </w:tcBorders>
            <w:shd w:val="clear" w:color="auto" w:fill="auto"/>
            <w:noWrap/>
            <w:vAlign w:val="center"/>
          </w:tcPr>
          <w:p w14:paraId="492AAD4F">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1"/>
                <w:szCs w:val="21"/>
                <w:u w:val="none"/>
                <w:lang w:val="en-US" w:eastAsia="zh-CN" w:bidi="ar"/>
              </w:rPr>
              <w:t>0.39</w:t>
            </w:r>
          </w:p>
        </w:tc>
        <w:tc>
          <w:tcPr>
            <w:tcW w:w="765" w:type="dxa"/>
            <w:tcBorders>
              <w:tl2br w:val="nil"/>
              <w:tr2bl w:val="nil"/>
            </w:tcBorders>
            <w:shd w:val="clear" w:color="auto" w:fill="auto"/>
            <w:noWrap/>
            <w:vAlign w:val="center"/>
          </w:tcPr>
          <w:p w14:paraId="2C0478C9">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1"/>
                <w:szCs w:val="21"/>
                <w:u w:val="none"/>
                <w:lang w:val="en-US" w:eastAsia="zh-CN" w:bidi="ar"/>
              </w:rPr>
              <w:t>达标</w:t>
            </w:r>
          </w:p>
        </w:tc>
      </w:tr>
      <w:tr w14:paraId="0EFB85B0">
        <w:tblPrEx>
          <w:tblBorders>
            <w:top w:val="thinThickSmallGap" w:color="000000" w:sz="12" w:space="0"/>
            <w:left w:val="none" w:color="auto" w:sz="0" w:space="0"/>
            <w:bottom w:val="thinThickSmallGap" w:color="000000" w:sz="12" w:space="0"/>
            <w:right w:val="none" w:color="auto" w:sz="0"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300" w:hRule="atLeast"/>
          <w:jc w:val="center"/>
        </w:trPr>
        <w:tc>
          <w:tcPr>
            <w:tcW w:w="525" w:type="dxa"/>
            <w:vMerge w:val="continue"/>
            <w:tcBorders>
              <w:tl2br w:val="nil"/>
              <w:tr2bl w:val="nil"/>
            </w:tcBorders>
            <w:shd w:val="clear" w:color="auto" w:fill="auto"/>
            <w:noWrap/>
            <w:vAlign w:val="center"/>
          </w:tcPr>
          <w:p w14:paraId="71303131">
            <w:pPr>
              <w:keepNext w:val="0"/>
              <w:keepLines w:val="0"/>
              <w:pageBreakBefore w:val="0"/>
              <w:widowControl/>
              <w:kinsoku/>
              <w:wordWrap/>
              <w:overflowPunct/>
              <w:topLinePunct w:val="0"/>
              <w:autoSpaceDE/>
              <w:autoSpaceDN/>
              <w:bidi w:val="0"/>
              <w:adjustRightInd w:val="0"/>
              <w:snapToGrid w:val="0"/>
              <w:spacing w:line="240" w:lineRule="auto"/>
              <w:jc w:val="center"/>
              <w:rPr>
                <w:rFonts w:hint="default" w:ascii="Times New Roman" w:hAnsi="Times New Roman" w:eastAsia="宋体" w:cs="Times New Roman"/>
                <w:i w:val="0"/>
                <w:iCs w:val="0"/>
                <w:color w:val="0000FF"/>
                <w:sz w:val="21"/>
                <w:szCs w:val="21"/>
                <w:u w:val="none"/>
              </w:rPr>
            </w:pPr>
          </w:p>
        </w:tc>
        <w:tc>
          <w:tcPr>
            <w:tcW w:w="1140" w:type="dxa"/>
            <w:vMerge w:val="continue"/>
            <w:tcBorders>
              <w:tl2br w:val="nil"/>
              <w:tr2bl w:val="nil"/>
            </w:tcBorders>
            <w:shd w:val="clear" w:color="auto" w:fill="auto"/>
            <w:noWrap/>
            <w:vAlign w:val="center"/>
          </w:tcPr>
          <w:p w14:paraId="49A1E601">
            <w:pPr>
              <w:keepNext w:val="0"/>
              <w:keepLines w:val="0"/>
              <w:pageBreakBefore w:val="0"/>
              <w:widowControl/>
              <w:kinsoku/>
              <w:wordWrap/>
              <w:overflowPunct/>
              <w:topLinePunct w:val="0"/>
              <w:autoSpaceDE/>
              <w:autoSpaceDN/>
              <w:bidi w:val="0"/>
              <w:adjustRightInd w:val="0"/>
              <w:snapToGrid w:val="0"/>
              <w:spacing w:line="240" w:lineRule="auto"/>
              <w:jc w:val="center"/>
              <w:rPr>
                <w:rFonts w:hint="default" w:ascii="Times New Roman" w:hAnsi="Times New Roman" w:eastAsia="宋体" w:cs="Times New Roman"/>
                <w:i w:val="0"/>
                <w:iCs w:val="0"/>
                <w:color w:val="0000FF"/>
                <w:sz w:val="21"/>
                <w:szCs w:val="21"/>
                <w:u w:val="none"/>
              </w:rPr>
            </w:pPr>
          </w:p>
        </w:tc>
        <w:tc>
          <w:tcPr>
            <w:tcW w:w="1140" w:type="dxa"/>
            <w:vMerge w:val="continue"/>
            <w:tcBorders>
              <w:tl2br w:val="nil"/>
              <w:tr2bl w:val="nil"/>
            </w:tcBorders>
            <w:shd w:val="clear" w:color="auto" w:fill="auto"/>
            <w:noWrap/>
            <w:vAlign w:val="center"/>
          </w:tcPr>
          <w:p w14:paraId="2B5C3376">
            <w:pPr>
              <w:keepNext w:val="0"/>
              <w:keepLines w:val="0"/>
              <w:pageBreakBefore w:val="0"/>
              <w:widowControl/>
              <w:kinsoku/>
              <w:wordWrap/>
              <w:overflowPunct/>
              <w:topLinePunct w:val="0"/>
              <w:autoSpaceDE/>
              <w:autoSpaceDN/>
              <w:bidi w:val="0"/>
              <w:adjustRightInd w:val="0"/>
              <w:snapToGrid w:val="0"/>
              <w:spacing w:line="240" w:lineRule="auto"/>
              <w:jc w:val="center"/>
              <w:rPr>
                <w:rFonts w:hint="default" w:ascii="Times New Roman" w:hAnsi="Times New Roman" w:eastAsia="宋体" w:cs="Times New Roman"/>
                <w:i w:val="0"/>
                <w:iCs w:val="0"/>
                <w:color w:val="0000FF"/>
                <w:sz w:val="21"/>
                <w:szCs w:val="21"/>
                <w:u w:val="none"/>
              </w:rPr>
            </w:pPr>
          </w:p>
        </w:tc>
        <w:tc>
          <w:tcPr>
            <w:tcW w:w="945" w:type="dxa"/>
            <w:tcBorders>
              <w:tl2br w:val="nil"/>
              <w:tr2bl w:val="nil"/>
            </w:tcBorders>
            <w:shd w:val="clear" w:color="auto" w:fill="auto"/>
            <w:noWrap/>
            <w:vAlign w:val="center"/>
          </w:tcPr>
          <w:p w14:paraId="52A47D24">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1"/>
                <w:szCs w:val="21"/>
                <w:u w:val="none"/>
                <w:lang w:val="en-US" w:eastAsia="zh-CN" w:bidi="ar"/>
              </w:rPr>
              <w:t>日平均</w:t>
            </w:r>
          </w:p>
        </w:tc>
        <w:tc>
          <w:tcPr>
            <w:tcW w:w="1110" w:type="dxa"/>
            <w:tcBorders>
              <w:tl2br w:val="nil"/>
              <w:tr2bl w:val="nil"/>
            </w:tcBorders>
            <w:shd w:val="clear" w:color="auto" w:fill="auto"/>
            <w:noWrap/>
            <w:vAlign w:val="center"/>
          </w:tcPr>
          <w:p w14:paraId="675A8AC1">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1"/>
                <w:szCs w:val="21"/>
                <w:u w:val="none"/>
                <w:lang w:val="en-US" w:eastAsia="zh-CN" w:bidi="ar"/>
              </w:rPr>
              <w:t>4.20E-04</w:t>
            </w:r>
          </w:p>
        </w:tc>
        <w:tc>
          <w:tcPr>
            <w:tcW w:w="1350" w:type="dxa"/>
            <w:tcBorders>
              <w:tl2br w:val="nil"/>
              <w:tr2bl w:val="nil"/>
            </w:tcBorders>
            <w:shd w:val="clear" w:color="auto" w:fill="auto"/>
            <w:noWrap/>
            <w:vAlign w:val="center"/>
          </w:tcPr>
          <w:p w14:paraId="26244655">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1"/>
                <w:szCs w:val="21"/>
                <w:u w:val="none"/>
                <w:lang w:val="en-US" w:eastAsia="zh-CN" w:bidi="ar"/>
              </w:rPr>
              <w:t>240917</w:t>
            </w:r>
          </w:p>
        </w:tc>
        <w:tc>
          <w:tcPr>
            <w:tcW w:w="1140" w:type="dxa"/>
            <w:tcBorders>
              <w:tl2br w:val="nil"/>
              <w:tr2bl w:val="nil"/>
            </w:tcBorders>
            <w:shd w:val="clear" w:color="auto" w:fill="auto"/>
            <w:noWrap/>
            <w:vAlign w:val="center"/>
          </w:tcPr>
          <w:p w14:paraId="0783B148">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1"/>
                <w:szCs w:val="21"/>
                <w:u w:val="none"/>
                <w:lang w:val="en-US" w:eastAsia="zh-CN" w:bidi="ar"/>
              </w:rPr>
              <w:t>1.50E-01</w:t>
            </w:r>
          </w:p>
        </w:tc>
        <w:tc>
          <w:tcPr>
            <w:tcW w:w="825" w:type="dxa"/>
            <w:tcBorders>
              <w:tl2br w:val="nil"/>
              <w:tr2bl w:val="nil"/>
            </w:tcBorders>
            <w:shd w:val="clear" w:color="auto" w:fill="auto"/>
            <w:noWrap/>
            <w:vAlign w:val="center"/>
          </w:tcPr>
          <w:p w14:paraId="4AC1C759">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1"/>
                <w:szCs w:val="21"/>
                <w:u w:val="none"/>
                <w:lang w:val="en-US" w:eastAsia="zh-CN" w:bidi="ar"/>
              </w:rPr>
              <w:t>0.28</w:t>
            </w:r>
          </w:p>
        </w:tc>
        <w:tc>
          <w:tcPr>
            <w:tcW w:w="765" w:type="dxa"/>
            <w:tcBorders>
              <w:tl2br w:val="nil"/>
              <w:tr2bl w:val="nil"/>
            </w:tcBorders>
            <w:shd w:val="clear" w:color="auto" w:fill="auto"/>
            <w:noWrap/>
            <w:vAlign w:val="center"/>
          </w:tcPr>
          <w:p w14:paraId="3384E7C2">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1"/>
                <w:szCs w:val="21"/>
                <w:u w:val="none"/>
                <w:lang w:val="en-US" w:eastAsia="zh-CN" w:bidi="ar"/>
              </w:rPr>
              <w:t>达标</w:t>
            </w:r>
          </w:p>
        </w:tc>
      </w:tr>
      <w:tr w14:paraId="7329269D">
        <w:tblPrEx>
          <w:tblBorders>
            <w:top w:val="thinThickSmallGap" w:color="000000" w:sz="12" w:space="0"/>
            <w:left w:val="none" w:color="auto" w:sz="0" w:space="0"/>
            <w:bottom w:val="thinThickSmallGap"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00" w:hRule="atLeast"/>
          <w:jc w:val="center"/>
        </w:trPr>
        <w:tc>
          <w:tcPr>
            <w:tcW w:w="525" w:type="dxa"/>
            <w:vMerge w:val="continue"/>
            <w:tcBorders>
              <w:tl2br w:val="nil"/>
              <w:tr2bl w:val="nil"/>
            </w:tcBorders>
            <w:shd w:val="clear" w:color="auto" w:fill="auto"/>
            <w:noWrap/>
            <w:vAlign w:val="center"/>
          </w:tcPr>
          <w:p w14:paraId="175870EE">
            <w:pPr>
              <w:keepNext w:val="0"/>
              <w:keepLines w:val="0"/>
              <w:pageBreakBefore w:val="0"/>
              <w:widowControl/>
              <w:kinsoku/>
              <w:wordWrap/>
              <w:overflowPunct/>
              <w:topLinePunct w:val="0"/>
              <w:autoSpaceDE/>
              <w:autoSpaceDN/>
              <w:bidi w:val="0"/>
              <w:adjustRightInd w:val="0"/>
              <w:snapToGrid w:val="0"/>
              <w:spacing w:line="240" w:lineRule="auto"/>
              <w:jc w:val="center"/>
              <w:rPr>
                <w:rFonts w:hint="default" w:ascii="Times New Roman" w:hAnsi="Times New Roman" w:eastAsia="宋体" w:cs="Times New Roman"/>
                <w:i w:val="0"/>
                <w:iCs w:val="0"/>
                <w:color w:val="0000FF"/>
                <w:sz w:val="21"/>
                <w:szCs w:val="21"/>
                <w:u w:val="none"/>
              </w:rPr>
            </w:pPr>
          </w:p>
        </w:tc>
        <w:tc>
          <w:tcPr>
            <w:tcW w:w="1140" w:type="dxa"/>
            <w:vMerge w:val="continue"/>
            <w:tcBorders>
              <w:tl2br w:val="nil"/>
              <w:tr2bl w:val="nil"/>
            </w:tcBorders>
            <w:shd w:val="clear" w:color="auto" w:fill="auto"/>
            <w:noWrap/>
            <w:vAlign w:val="center"/>
          </w:tcPr>
          <w:p w14:paraId="1D27CE35">
            <w:pPr>
              <w:keepNext w:val="0"/>
              <w:keepLines w:val="0"/>
              <w:pageBreakBefore w:val="0"/>
              <w:widowControl/>
              <w:kinsoku/>
              <w:wordWrap/>
              <w:overflowPunct/>
              <w:topLinePunct w:val="0"/>
              <w:autoSpaceDE/>
              <w:autoSpaceDN/>
              <w:bidi w:val="0"/>
              <w:adjustRightInd w:val="0"/>
              <w:snapToGrid w:val="0"/>
              <w:spacing w:line="240" w:lineRule="auto"/>
              <w:jc w:val="center"/>
              <w:rPr>
                <w:rFonts w:hint="default" w:ascii="Times New Roman" w:hAnsi="Times New Roman" w:eastAsia="宋体" w:cs="Times New Roman"/>
                <w:i w:val="0"/>
                <w:iCs w:val="0"/>
                <w:color w:val="0000FF"/>
                <w:sz w:val="21"/>
                <w:szCs w:val="21"/>
                <w:u w:val="none"/>
              </w:rPr>
            </w:pPr>
          </w:p>
        </w:tc>
        <w:tc>
          <w:tcPr>
            <w:tcW w:w="1140" w:type="dxa"/>
            <w:vMerge w:val="continue"/>
            <w:tcBorders>
              <w:tl2br w:val="nil"/>
              <w:tr2bl w:val="nil"/>
            </w:tcBorders>
            <w:shd w:val="clear" w:color="auto" w:fill="auto"/>
            <w:noWrap/>
            <w:vAlign w:val="center"/>
          </w:tcPr>
          <w:p w14:paraId="7993796A">
            <w:pPr>
              <w:keepNext w:val="0"/>
              <w:keepLines w:val="0"/>
              <w:pageBreakBefore w:val="0"/>
              <w:widowControl/>
              <w:kinsoku/>
              <w:wordWrap/>
              <w:overflowPunct/>
              <w:topLinePunct w:val="0"/>
              <w:autoSpaceDE/>
              <w:autoSpaceDN/>
              <w:bidi w:val="0"/>
              <w:adjustRightInd w:val="0"/>
              <w:snapToGrid w:val="0"/>
              <w:spacing w:line="240" w:lineRule="auto"/>
              <w:jc w:val="center"/>
              <w:rPr>
                <w:rFonts w:hint="default" w:ascii="Times New Roman" w:hAnsi="Times New Roman" w:eastAsia="宋体" w:cs="Times New Roman"/>
                <w:i w:val="0"/>
                <w:iCs w:val="0"/>
                <w:color w:val="0000FF"/>
                <w:sz w:val="21"/>
                <w:szCs w:val="21"/>
                <w:u w:val="none"/>
              </w:rPr>
            </w:pPr>
          </w:p>
        </w:tc>
        <w:tc>
          <w:tcPr>
            <w:tcW w:w="945" w:type="dxa"/>
            <w:tcBorders>
              <w:tl2br w:val="nil"/>
              <w:tr2bl w:val="nil"/>
            </w:tcBorders>
            <w:shd w:val="clear" w:color="auto" w:fill="auto"/>
            <w:noWrap/>
            <w:vAlign w:val="center"/>
          </w:tcPr>
          <w:p w14:paraId="26E0B0A5">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1"/>
                <w:szCs w:val="21"/>
                <w:u w:val="none"/>
                <w:lang w:val="en-US" w:eastAsia="zh-CN" w:bidi="ar"/>
              </w:rPr>
              <w:t>全时段</w:t>
            </w:r>
          </w:p>
        </w:tc>
        <w:tc>
          <w:tcPr>
            <w:tcW w:w="1110" w:type="dxa"/>
            <w:tcBorders>
              <w:tl2br w:val="nil"/>
              <w:tr2bl w:val="nil"/>
            </w:tcBorders>
            <w:shd w:val="clear" w:color="auto" w:fill="auto"/>
            <w:noWrap/>
            <w:vAlign w:val="center"/>
          </w:tcPr>
          <w:p w14:paraId="34E0E6AD">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1"/>
                <w:szCs w:val="21"/>
                <w:u w:val="none"/>
                <w:lang w:val="en-US" w:eastAsia="zh-CN" w:bidi="ar"/>
              </w:rPr>
              <w:t>4.87E-05</w:t>
            </w:r>
          </w:p>
        </w:tc>
        <w:tc>
          <w:tcPr>
            <w:tcW w:w="1350" w:type="dxa"/>
            <w:tcBorders>
              <w:tl2br w:val="nil"/>
              <w:tr2bl w:val="nil"/>
            </w:tcBorders>
            <w:shd w:val="clear" w:color="auto" w:fill="auto"/>
            <w:noWrap/>
            <w:vAlign w:val="center"/>
          </w:tcPr>
          <w:p w14:paraId="0F693EA4">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1"/>
                <w:szCs w:val="21"/>
                <w:u w:val="none"/>
                <w:lang w:val="en-US" w:eastAsia="zh-CN" w:bidi="ar"/>
              </w:rPr>
              <w:t>平均值</w:t>
            </w:r>
          </w:p>
        </w:tc>
        <w:tc>
          <w:tcPr>
            <w:tcW w:w="1140" w:type="dxa"/>
            <w:tcBorders>
              <w:tl2br w:val="nil"/>
              <w:tr2bl w:val="nil"/>
            </w:tcBorders>
            <w:shd w:val="clear" w:color="auto" w:fill="auto"/>
            <w:noWrap/>
            <w:vAlign w:val="center"/>
          </w:tcPr>
          <w:p w14:paraId="360593CC">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1"/>
                <w:szCs w:val="21"/>
                <w:u w:val="none"/>
                <w:lang w:val="en-US" w:eastAsia="zh-CN" w:bidi="ar"/>
              </w:rPr>
              <w:t>6.00E-02</w:t>
            </w:r>
          </w:p>
        </w:tc>
        <w:tc>
          <w:tcPr>
            <w:tcW w:w="825" w:type="dxa"/>
            <w:tcBorders>
              <w:tl2br w:val="nil"/>
              <w:tr2bl w:val="nil"/>
            </w:tcBorders>
            <w:shd w:val="clear" w:color="auto" w:fill="auto"/>
            <w:noWrap/>
            <w:vAlign w:val="center"/>
          </w:tcPr>
          <w:p w14:paraId="3F035535">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1"/>
                <w:szCs w:val="21"/>
                <w:u w:val="none"/>
                <w:lang w:val="en-US" w:eastAsia="zh-CN" w:bidi="ar"/>
              </w:rPr>
              <w:t>0.08</w:t>
            </w:r>
          </w:p>
        </w:tc>
        <w:tc>
          <w:tcPr>
            <w:tcW w:w="765" w:type="dxa"/>
            <w:tcBorders>
              <w:tl2br w:val="nil"/>
              <w:tr2bl w:val="nil"/>
            </w:tcBorders>
            <w:shd w:val="clear" w:color="auto" w:fill="auto"/>
            <w:noWrap/>
            <w:vAlign w:val="center"/>
          </w:tcPr>
          <w:p w14:paraId="6AB0F63F">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1"/>
                <w:szCs w:val="21"/>
                <w:u w:val="none"/>
                <w:lang w:val="en-US" w:eastAsia="zh-CN" w:bidi="ar"/>
              </w:rPr>
              <w:t>达标</w:t>
            </w:r>
          </w:p>
        </w:tc>
      </w:tr>
      <w:tr w14:paraId="271957D7">
        <w:tblPrEx>
          <w:tblBorders>
            <w:top w:val="thinThickSmallGap" w:color="000000" w:sz="12" w:space="0"/>
            <w:left w:val="none" w:color="auto" w:sz="0" w:space="0"/>
            <w:bottom w:val="thinThickSmallGap"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00" w:hRule="atLeast"/>
          <w:jc w:val="center"/>
        </w:trPr>
        <w:tc>
          <w:tcPr>
            <w:tcW w:w="525" w:type="dxa"/>
            <w:vMerge w:val="restart"/>
            <w:tcBorders>
              <w:tl2br w:val="nil"/>
              <w:tr2bl w:val="nil"/>
            </w:tcBorders>
            <w:shd w:val="clear" w:color="auto" w:fill="auto"/>
            <w:noWrap/>
            <w:vAlign w:val="center"/>
          </w:tcPr>
          <w:p w14:paraId="2159B6C0">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1"/>
                <w:szCs w:val="21"/>
                <w:u w:val="none"/>
                <w:lang w:val="en-US" w:eastAsia="zh-CN" w:bidi="ar"/>
              </w:rPr>
              <w:t>3</w:t>
            </w:r>
          </w:p>
        </w:tc>
        <w:tc>
          <w:tcPr>
            <w:tcW w:w="1140" w:type="dxa"/>
            <w:vMerge w:val="restart"/>
            <w:tcBorders>
              <w:tl2br w:val="nil"/>
              <w:tr2bl w:val="nil"/>
            </w:tcBorders>
            <w:shd w:val="clear" w:color="auto" w:fill="auto"/>
            <w:noWrap/>
            <w:vAlign w:val="center"/>
          </w:tcPr>
          <w:p w14:paraId="2F3CFCAF">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sz w:val="21"/>
                <w:szCs w:val="21"/>
                <w:u w:val="none"/>
                <w:lang w:val="en-US" w:eastAsia="zh-CN" w:bidi="ar-SA"/>
              </w:rPr>
            </w:pPr>
            <w:r>
              <w:rPr>
                <w:rFonts w:hint="default" w:ascii="Times New Roman" w:hAnsi="Times New Roman" w:eastAsia="宋体" w:cs="Times New Roman"/>
                <w:i w:val="0"/>
                <w:iCs w:val="0"/>
                <w:color w:val="0000FF"/>
                <w:kern w:val="0"/>
                <w:sz w:val="21"/>
                <w:szCs w:val="21"/>
                <w:u w:val="none"/>
                <w:lang w:val="en-US" w:eastAsia="zh-CN" w:bidi="ar"/>
              </w:rPr>
              <w:t>老虎沟</w:t>
            </w:r>
          </w:p>
        </w:tc>
        <w:tc>
          <w:tcPr>
            <w:tcW w:w="1140" w:type="dxa"/>
            <w:vMerge w:val="restart"/>
            <w:tcBorders>
              <w:tl2br w:val="nil"/>
              <w:tr2bl w:val="nil"/>
            </w:tcBorders>
            <w:shd w:val="clear" w:color="auto" w:fill="auto"/>
            <w:noWrap/>
            <w:vAlign w:val="center"/>
          </w:tcPr>
          <w:p w14:paraId="13B17AAD">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sz w:val="21"/>
                <w:szCs w:val="21"/>
                <w:u w:val="none"/>
                <w:lang w:val="en-US" w:eastAsia="zh-CN" w:bidi="ar-SA"/>
              </w:rPr>
            </w:pPr>
            <w:r>
              <w:rPr>
                <w:rFonts w:hint="default" w:ascii="Times New Roman" w:hAnsi="Times New Roman" w:eastAsia="宋体" w:cs="Times New Roman"/>
                <w:i w:val="0"/>
                <w:iCs w:val="0"/>
                <w:color w:val="0000FF"/>
                <w:kern w:val="0"/>
                <w:sz w:val="21"/>
                <w:szCs w:val="21"/>
                <w:u w:val="none"/>
                <w:lang w:val="en-US" w:eastAsia="zh-CN" w:bidi="ar"/>
              </w:rPr>
              <w:t>-1526,736</w:t>
            </w:r>
          </w:p>
        </w:tc>
        <w:tc>
          <w:tcPr>
            <w:tcW w:w="945" w:type="dxa"/>
            <w:tcBorders>
              <w:tl2br w:val="nil"/>
              <w:tr2bl w:val="nil"/>
            </w:tcBorders>
            <w:shd w:val="clear" w:color="auto" w:fill="auto"/>
            <w:noWrap/>
            <w:vAlign w:val="center"/>
          </w:tcPr>
          <w:p w14:paraId="75B8A963">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1"/>
                <w:szCs w:val="21"/>
                <w:u w:val="none"/>
                <w:lang w:val="en-US" w:eastAsia="zh-CN" w:bidi="ar"/>
              </w:rPr>
              <w:t>1小时</w:t>
            </w:r>
          </w:p>
        </w:tc>
        <w:tc>
          <w:tcPr>
            <w:tcW w:w="1110" w:type="dxa"/>
            <w:tcBorders>
              <w:tl2br w:val="nil"/>
              <w:tr2bl w:val="nil"/>
            </w:tcBorders>
            <w:shd w:val="clear" w:color="auto" w:fill="auto"/>
            <w:noWrap/>
            <w:vAlign w:val="center"/>
          </w:tcPr>
          <w:p w14:paraId="68E8BE14">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1"/>
                <w:szCs w:val="21"/>
                <w:u w:val="none"/>
                <w:lang w:val="en-US" w:eastAsia="zh-CN" w:bidi="ar"/>
              </w:rPr>
              <w:t>1.58E-03</w:t>
            </w:r>
          </w:p>
        </w:tc>
        <w:tc>
          <w:tcPr>
            <w:tcW w:w="1350" w:type="dxa"/>
            <w:tcBorders>
              <w:tl2br w:val="nil"/>
              <w:tr2bl w:val="nil"/>
            </w:tcBorders>
            <w:shd w:val="clear" w:color="auto" w:fill="auto"/>
            <w:noWrap/>
            <w:vAlign w:val="center"/>
          </w:tcPr>
          <w:p w14:paraId="0A698325">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1"/>
                <w:szCs w:val="21"/>
                <w:u w:val="none"/>
                <w:lang w:val="en-US" w:eastAsia="zh-CN" w:bidi="ar"/>
              </w:rPr>
              <w:t>24021011</w:t>
            </w:r>
          </w:p>
        </w:tc>
        <w:tc>
          <w:tcPr>
            <w:tcW w:w="1140" w:type="dxa"/>
            <w:tcBorders>
              <w:tl2br w:val="nil"/>
              <w:tr2bl w:val="nil"/>
            </w:tcBorders>
            <w:shd w:val="clear" w:color="auto" w:fill="auto"/>
            <w:noWrap/>
            <w:vAlign w:val="center"/>
          </w:tcPr>
          <w:p w14:paraId="3D9B2D4D">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1"/>
                <w:szCs w:val="21"/>
                <w:u w:val="none"/>
                <w:lang w:val="en-US" w:eastAsia="zh-CN" w:bidi="ar"/>
              </w:rPr>
              <w:t>5.00E-01</w:t>
            </w:r>
          </w:p>
        </w:tc>
        <w:tc>
          <w:tcPr>
            <w:tcW w:w="825" w:type="dxa"/>
            <w:tcBorders>
              <w:tl2br w:val="nil"/>
              <w:tr2bl w:val="nil"/>
            </w:tcBorders>
            <w:shd w:val="clear" w:color="auto" w:fill="auto"/>
            <w:noWrap/>
            <w:vAlign w:val="center"/>
          </w:tcPr>
          <w:p w14:paraId="3D68E00D">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1"/>
                <w:szCs w:val="21"/>
                <w:u w:val="none"/>
                <w:lang w:val="en-US" w:eastAsia="zh-CN" w:bidi="ar"/>
              </w:rPr>
              <w:t>0.32</w:t>
            </w:r>
          </w:p>
        </w:tc>
        <w:tc>
          <w:tcPr>
            <w:tcW w:w="765" w:type="dxa"/>
            <w:tcBorders>
              <w:tl2br w:val="nil"/>
              <w:tr2bl w:val="nil"/>
            </w:tcBorders>
            <w:shd w:val="clear" w:color="auto" w:fill="auto"/>
            <w:noWrap/>
            <w:vAlign w:val="center"/>
          </w:tcPr>
          <w:p w14:paraId="06A43311">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1"/>
                <w:szCs w:val="21"/>
                <w:u w:val="none"/>
                <w:lang w:val="en-US" w:eastAsia="zh-CN" w:bidi="ar"/>
              </w:rPr>
              <w:t>达标</w:t>
            </w:r>
          </w:p>
        </w:tc>
      </w:tr>
      <w:tr w14:paraId="154654FA">
        <w:tblPrEx>
          <w:tblBorders>
            <w:top w:val="thinThickSmallGap" w:color="000000" w:sz="12" w:space="0"/>
            <w:left w:val="none" w:color="auto" w:sz="0" w:space="0"/>
            <w:bottom w:val="thinThickSmallGap"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00" w:hRule="atLeast"/>
          <w:jc w:val="center"/>
        </w:trPr>
        <w:tc>
          <w:tcPr>
            <w:tcW w:w="525" w:type="dxa"/>
            <w:vMerge w:val="continue"/>
            <w:tcBorders>
              <w:tl2br w:val="nil"/>
              <w:tr2bl w:val="nil"/>
            </w:tcBorders>
            <w:shd w:val="clear" w:color="auto" w:fill="auto"/>
            <w:noWrap/>
            <w:vAlign w:val="center"/>
          </w:tcPr>
          <w:p w14:paraId="6A06B0BB">
            <w:pPr>
              <w:keepNext w:val="0"/>
              <w:keepLines w:val="0"/>
              <w:pageBreakBefore w:val="0"/>
              <w:widowControl/>
              <w:kinsoku/>
              <w:wordWrap/>
              <w:overflowPunct/>
              <w:topLinePunct w:val="0"/>
              <w:autoSpaceDE/>
              <w:autoSpaceDN/>
              <w:bidi w:val="0"/>
              <w:adjustRightInd w:val="0"/>
              <w:snapToGrid w:val="0"/>
              <w:spacing w:line="240" w:lineRule="auto"/>
              <w:jc w:val="center"/>
              <w:rPr>
                <w:rFonts w:hint="default" w:ascii="Times New Roman" w:hAnsi="Times New Roman" w:eastAsia="宋体" w:cs="Times New Roman"/>
                <w:i w:val="0"/>
                <w:iCs w:val="0"/>
                <w:color w:val="0000FF"/>
                <w:sz w:val="21"/>
                <w:szCs w:val="21"/>
                <w:u w:val="none"/>
              </w:rPr>
            </w:pPr>
          </w:p>
        </w:tc>
        <w:tc>
          <w:tcPr>
            <w:tcW w:w="1140" w:type="dxa"/>
            <w:vMerge w:val="continue"/>
            <w:tcBorders>
              <w:tl2br w:val="nil"/>
              <w:tr2bl w:val="nil"/>
            </w:tcBorders>
            <w:shd w:val="clear" w:color="auto" w:fill="auto"/>
            <w:noWrap/>
            <w:vAlign w:val="center"/>
          </w:tcPr>
          <w:p w14:paraId="132F9456">
            <w:pPr>
              <w:keepNext w:val="0"/>
              <w:keepLines w:val="0"/>
              <w:pageBreakBefore w:val="0"/>
              <w:widowControl/>
              <w:kinsoku/>
              <w:wordWrap/>
              <w:overflowPunct/>
              <w:topLinePunct w:val="0"/>
              <w:autoSpaceDE/>
              <w:autoSpaceDN/>
              <w:bidi w:val="0"/>
              <w:adjustRightInd w:val="0"/>
              <w:snapToGrid w:val="0"/>
              <w:spacing w:line="240" w:lineRule="auto"/>
              <w:jc w:val="center"/>
              <w:rPr>
                <w:rFonts w:hint="default" w:ascii="Times New Roman" w:hAnsi="Times New Roman" w:eastAsia="宋体" w:cs="Times New Roman"/>
                <w:i w:val="0"/>
                <w:iCs w:val="0"/>
                <w:color w:val="0000FF"/>
                <w:sz w:val="21"/>
                <w:szCs w:val="21"/>
                <w:u w:val="none"/>
              </w:rPr>
            </w:pPr>
          </w:p>
        </w:tc>
        <w:tc>
          <w:tcPr>
            <w:tcW w:w="1140" w:type="dxa"/>
            <w:vMerge w:val="continue"/>
            <w:tcBorders>
              <w:tl2br w:val="nil"/>
              <w:tr2bl w:val="nil"/>
            </w:tcBorders>
            <w:shd w:val="clear" w:color="auto" w:fill="auto"/>
            <w:noWrap/>
            <w:vAlign w:val="center"/>
          </w:tcPr>
          <w:p w14:paraId="4C421B1A">
            <w:pPr>
              <w:keepNext w:val="0"/>
              <w:keepLines w:val="0"/>
              <w:pageBreakBefore w:val="0"/>
              <w:widowControl/>
              <w:kinsoku/>
              <w:wordWrap/>
              <w:overflowPunct/>
              <w:topLinePunct w:val="0"/>
              <w:autoSpaceDE/>
              <w:autoSpaceDN/>
              <w:bidi w:val="0"/>
              <w:adjustRightInd w:val="0"/>
              <w:snapToGrid w:val="0"/>
              <w:spacing w:line="240" w:lineRule="auto"/>
              <w:jc w:val="center"/>
              <w:rPr>
                <w:rFonts w:hint="default" w:ascii="Times New Roman" w:hAnsi="Times New Roman" w:eastAsia="宋体" w:cs="Times New Roman"/>
                <w:i w:val="0"/>
                <w:iCs w:val="0"/>
                <w:color w:val="0000FF"/>
                <w:sz w:val="21"/>
                <w:szCs w:val="21"/>
                <w:u w:val="none"/>
              </w:rPr>
            </w:pPr>
          </w:p>
        </w:tc>
        <w:tc>
          <w:tcPr>
            <w:tcW w:w="945" w:type="dxa"/>
            <w:tcBorders>
              <w:tl2br w:val="nil"/>
              <w:tr2bl w:val="nil"/>
            </w:tcBorders>
            <w:shd w:val="clear" w:color="auto" w:fill="auto"/>
            <w:noWrap/>
            <w:vAlign w:val="center"/>
          </w:tcPr>
          <w:p w14:paraId="2C458937">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1"/>
                <w:szCs w:val="21"/>
                <w:u w:val="none"/>
                <w:lang w:val="en-US" w:eastAsia="zh-CN" w:bidi="ar"/>
              </w:rPr>
              <w:t>日平均</w:t>
            </w:r>
          </w:p>
        </w:tc>
        <w:tc>
          <w:tcPr>
            <w:tcW w:w="1110" w:type="dxa"/>
            <w:tcBorders>
              <w:tl2br w:val="nil"/>
              <w:tr2bl w:val="nil"/>
            </w:tcBorders>
            <w:shd w:val="clear" w:color="auto" w:fill="auto"/>
            <w:noWrap/>
            <w:vAlign w:val="center"/>
          </w:tcPr>
          <w:p w14:paraId="37F81C32">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1"/>
                <w:szCs w:val="21"/>
                <w:u w:val="none"/>
                <w:lang w:val="en-US" w:eastAsia="zh-CN" w:bidi="ar"/>
              </w:rPr>
              <w:t>3.08E-04</w:t>
            </w:r>
          </w:p>
        </w:tc>
        <w:tc>
          <w:tcPr>
            <w:tcW w:w="1350" w:type="dxa"/>
            <w:tcBorders>
              <w:tl2br w:val="nil"/>
              <w:tr2bl w:val="nil"/>
            </w:tcBorders>
            <w:shd w:val="clear" w:color="auto" w:fill="auto"/>
            <w:noWrap/>
            <w:vAlign w:val="center"/>
          </w:tcPr>
          <w:p w14:paraId="2306D424">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1"/>
                <w:szCs w:val="21"/>
                <w:u w:val="none"/>
                <w:lang w:val="en-US" w:eastAsia="zh-CN" w:bidi="ar"/>
              </w:rPr>
              <w:t>240506</w:t>
            </w:r>
          </w:p>
        </w:tc>
        <w:tc>
          <w:tcPr>
            <w:tcW w:w="1140" w:type="dxa"/>
            <w:tcBorders>
              <w:tl2br w:val="nil"/>
              <w:tr2bl w:val="nil"/>
            </w:tcBorders>
            <w:shd w:val="clear" w:color="auto" w:fill="auto"/>
            <w:noWrap/>
            <w:vAlign w:val="center"/>
          </w:tcPr>
          <w:p w14:paraId="2D246FAA">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1"/>
                <w:szCs w:val="21"/>
                <w:u w:val="none"/>
                <w:lang w:val="en-US" w:eastAsia="zh-CN" w:bidi="ar"/>
              </w:rPr>
              <w:t>1.50E-01</w:t>
            </w:r>
          </w:p>
        </w:tc>
        <w:tc>
          <w:tcPr>
            <w:tcW w:w="825" w:type="dxa"/>
            <w:tcBorders>
              <w:tl2br w:val="nil"/>
              <w:tr2bl w:val="nil"/>
            </w:tcBorders>
            <w:shd w:val="clear" w:color="auto" w:fill="auto"/>
            <w:noWrap/>
            <w:vAlign w:val="center"/>
          </w:tcPr>
          <w:p w14:paraId="246677DC">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1"/>
                <w:szCs w:val="21"/>
                <w:u w:val="none"/>
                <w:lang w:val="en-US" w:eastAsia="zh-CN" w:bidi="ar"/>
              </w:rPr>
              <w:t>0.21</w:t>
            </w:r>
          </w:p>
        </w:tc>
        <w:tc>
          <w:tcPr>
            <w:tcW w:w="765" w:type="dxa"/>
            <w:tcBorders>
              <w:tl2br w:val="nil"/>
              <w:tr2bl w:val="nil"/>
            </w:tcBorders>
            <w:shd w:val="clear" w:color="auto" w:fill="auto"/>
            <w:noWrap/>
            <w:vAlign w:val="center"/>
          </w:tcPr>
          <w:p w14:paraId="5496BF96">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1"/>
                <w:szCs w:val="21"/>
                <w:u w:val="none"/>
                <w:lang w:val="en-US" w:eastAsia="zh-CN" w:bidi="ar"/>
              </w:rPr>
              <w:t>达标</w:t>
            </w:r>
          </w:p>
        </w:tc>
      </w:tr>
      <w:tr w14:paraId="7683F3F0">
        <w:tblPrEx>
          <w:tblBorders>
            <w:top w:val="thinThickSmallGap" w:color="000000" w:sz="12" w:space="0"/>
            <w:left w:val="none" w:color="auto" w:sz="0" w:space="0"/>
            <w:bottom w:val="thinThickSmallGap"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00" w:hRule="atLeast"/>
          <w:jc w:val="center"/>
        </w:trPr>
        <w:tc>
          <w:tcPr>
            <w:tcW w:w="525" w:type="dxa"/>
            <w:vMerge w:val="continue"/>
            <w:tcBorders>
              <w:tl2br w:val="nil"/>
              <w:tr2bl w:val="nil"/>
            </w:tcBorders>
            <w:shd w:val="clear" w:color="auto" w:fill="auto"/>
            <w:noWrap/>
            <w:vAlign w:val="center"/>
          </w:tcPr>
          <w:p w14:paraId="70EF9A7B">
            <w:pPr>
              <w:keepNext w:val="0"/>
              <w:keepLines w:val="0"/>
              <w:pageBreakBefore w:val="0"/>
              <w:widowControl/>
              <w:kinsoku/>
              <w:wordWrap/>
              <w:overflowPunct/>
              <w:topLinePunct w:val="0"/>
              <w:autoSpaceDE/>
              <w:autoSpaceDN/>
              <w:bidi w:val="0"/>
              <w:adjustRightInd w:val="0"/>
              <w:snapToGrid w:val="0"/>
              <w:spacing w:line="240" w:lineRule="auto"/>
              <w:jc w:val="center"/>
              <w:rPr>
                <w:rFonts w:hint="default" w:ascii="Times New Roman" w:hAnsi="Times New Roman" w:eastAsia="宋体" w:cs="Times New Roman"/>
                <w:i w:val="0"/>
                <w:iCs w:val="0"/>
                <w:color w:val="0000FF"/>
                <w:sz w:val="21"/>
                <w:szCs w:val="21"/>
                <w:u w:val="none"/>
              </w:rPr>
            </w:pPr>
          </w:p>
        </w:tc>
        <w:tc>
          <w:tcPr>
            <w:tcW w:w="1140" w:type="dxa"/>
            <w:vMerge w:val="continue"/>
            <w:tcBorders>
              <w:tl2br w:val="nil"/>
              <w:tr2bl w:val="nil"/>
            </w:tcBorders>
            <w:shd w:val="clear" w:color="auto" w:fill="auto"/>
            <w:noWrap/>
            <w:vAlign w:val="center"/>
          </w:tcPr>
          <w:p w14:paraId="38D6A255">
            <w:pPr>
              <w:keepNext w:val="0"/>
              <w:keepLines w:val="0"/>
              <w:pageBreakBefore w:val="0"/>
              <w:widowControl/>
              <w:kinsoku/>
              <w:wordWrap/>
              <w:overflowPunct/>
              <w:topLinePunct w:val="0"/>
              <w:autoSpaceDE/>
              <w:autoSpaceDN/>
              <w:bidi w:val="0"/>
              <w:adjustRightInd w:val="0"/>
              <w:snapToGrid w:val="0"/>
              <w:spacing w:line="240" w:lineRule="auto"/>
              <w:jc w:val="center"/>
              <w:rPr>
                <w:rFonts w:hint="default" w:ascii="Times New Roman" w:hAnsi="Times New Roman" w:eastAsia="宋体" w:cs="Times New Roman"/>
                <w:i w:val="0"/>
                <w:iCs w:val="0"/>
                <w:color w:val="0000FF"/>
                <w:sz w:val="21"/>
                <w:szCs w:val="21"/>
                <w:u w:val="none"/>
              </w:rPr>
            </w:pPr>
          </w:p>
        </w:tc>
        <w:tc>
          <w:tcPr>
            <w:tcW w:w="1140" w:type="dxa"/>
            <w:vMerge w:val="continue"/>
            <w:tcBorders>
              <w:tl2br w:val="nil"/>
              <w:tr2bl w:val="nil"/>
            </w:tcBorders>
            <w:shd w:val="clear" w:color="auto" w:fill="auto"/>
            <w:noWrap/>
            <w:vAlign w:val="center"/>
          </w:tcPr>
          <w:p w14:paraId="45CDA0BD">
            <w:pPr>
              <w:keepNext w:val="0"/>
              <w:keepLines w:val="0"/>
              <w:pageBreakBefore w:val="0"/>
              <w:widowControl/>
              <w:kinsoku/>
              <w:wordWrap/>
              <w:overflowPunct/>
              <w:topLinePunct w:val="0"/>
              <w:autoSpaceDE/>
              <w:autoSpaceDN/>
              <w:bidi w:val="0"/>
              <w:adjustRightInd w:val="0"/>
              <w:snapToGrid w:val="0"/>
              <w:spacing w:line="240" w:lineRule="auto"/>
              <w:jc w:val="center"/>
              <w:rPr>
                <w:rFonts w:hint="default" w:ascii="Times New Roman" w:hAnsi="Times New Roman" w:eastAsia="宋体" w:cs="Times New Roman"/>
                <w:i w:val="0"/>
                <w:iCs w:val="0"/>
                <w:color w:val="0000FF"/>
                <w:sz w:val="21"/>
                <w:szCs w:val="21"/>
                <w:u w:val="none"/>
              </w:rPr>
            </w:pPr>
          </w:p>
        </w:tc>
        <w:tc>
          <w:tcPr>
            <w:tcW w:w="945" w:type="dxa"/>
            <w:tcBorders>
              <w:tl2br w:val="nil"/>
              <w:tr2bl w:val="nil"/>
            </w:tcBorders>
            <w:shd w:val="clear" w:color="auto" w:fill="auto"/>
            <w:noWrap/>
            <w:vAlign w:val="center"/>
          </w:tcPr>
          <w:p w14:paraId="29983DCA">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1"/>
                <w:szCs w:val="21"/>
                <w:u w:val="none"/>
                <w:lang w:val="en-US" w:eastAsia="zh-CN" w:bidi="ar"/>
              </w:rPr>
              <w:t>全时段</w:t>
            </w:r>
          </w:p>
        </w:tc>
        <w:tc>
          <w:tcPr>
            <w:tcW w:w="1110" w:type="dxa"/>
            <w:tcBorders>
              <w:tl2br w:val="nil"/>
              <w:tr2bl w:val="nil"/>
            </w:tcBorders>
            <w:shd w:val="clear" w:color="auto" w:fill="auto"/>
            <w:noWrap/>
            <w:vAlign w:val="center"/>
          </w:tcPr>
          <w:p w14:paraId="6CA101C3">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1"/>
                <w:szCs w:val="21"/>
                <w:u w:val="none"/>
                <w:lang w:val="en-US" w:eastAsia="zh-CN" w:bidi="ar"/>
              </w:rPr>
              <w:t>4.28E-05</w:t>
            </w:r>
          </w:p>
        </w:tc>
        <w:tc>
          <w:tcPr>
            <w:tcW w:w="1350" w:type="dxa"/>
            <w:tcBorders>
              <w:tl2br w:val="nil"/>
              <w:tr2bl w:val="nil"/>
            </w:tcBorders>
            <w:shd w:val="clear" w:color="auto" w:fill="auto"/>
            <w:noWrap/>
            <w:vAlign w:val="center"/>
          </w:tcPr>
          <w:p w14:paraId="319BB480">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1"/>
                <w:szCs w:val="21"/>
                <w:u w:val="none"/>
                <w:lang w:val="en-US" w:eastAsia="zh-CN" w:bidi="ar"/>
              </w:rPr>
              <w:t>平均值</w:t>
            </w:r>
          </w:p>
        </w:tc>
        <w:tc>
          <w:tcPr>
            <w:tcW w:w="1140" w:type="dxa"/>
            <w:tcBorders>
              <w:tl2br w:val="nil"/>
              <w:tr2bl w:val="nil"/>
            </w:tcBorders>
            <w:shd w:val="clear" w:color="auto" w:fill="auto"/>
            <w:noWrap/>
            <w:vAlign w:val="center"/>
          </w:tcPr>
          <w:p w14:paraId="795ED5C5">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1"/>
                <w:szCs w:val="21"/>
                <w:u w:val="none"/>
                <w:lang w:val="en-US" w:eastAsia="zh-CN" w:bidi="ar"/>
              </w:rPr>
              <w:t>6.00E-02</w:t>
            </w:r>
          </w:p>
        </w:tc>
        <w:tc>
          <w:tcPr>
            <w:tcW w:w="825" w:type="dxa"/>
            <w:tcBorders>
              <w:tl2br w:val="nil"/>
              <w:tr2bl w:val="nil"/>
            </w:tcBorders>
            <w:shd w:val="clear" w:color="auto" w:fill="auto"/>
            <w:noWrap/>
            <w:vAlign w:val="center"/>
          </w:tcPr>
          <w:p w14:paraId="5523B6BA">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1"/>
                <w:szCs w:val="21"/>
                <w:u w:val="none"/>
                <w:lang w:val="en-US" w:eastAsia="zh-CN" w:bidi="ar"/>
              </w:rPr>
              <w:t>0.07</w:t>
            </w:r>
          </w:p>
        </w:tc>
        <w:tc>
          <w:tcPr>
            <w:tcW w:w="765" w:type="dxa"/>
            <w:tcBorders>
              <w:tl2br w:val="nil"/>
              <w:tr2bl w:val="nil"/>
            </w:tcBorders>
            <w:shd w:val="clear" w:color="auto" w:fill="auto"/>
            <w:noWrap/>
            <w:vAlign w:val="center"/>
          </w:tcPr>
          <w:p w14:paraId="2E2AECFA">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1"/>
                <w:szCs w:val="21"/>
                <w:u w:val="none"/>
                <w:lang w:val="en-US" w:eastAsia="zh-CN" w:bidi="ar"/>
              </w:rPr>
              <w:t>达标</w:t>
            </w:r>
          </w:p>
        </w:tc>
      </w:tr>
      <w:tr w14:paraId="61B0026F">
        <w:tblPrEx>
          <w:tblBorders>
            <w:top w:val="thinThickSmallGap" w:color="000000" w:sz="12" w:space="0"/>
            <w:left w:val="none" w:color="auto" w:sz="0" w:space="0"/>
            <w:bottom w:val="thinThickSmallGap" w:color="000000" w:sz="12" w:space="0"/>
            <w:right w:val="none" w:color="auto" w:sz="0"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300" w:hRule="atLeast"/>
          <w:jc w:val="center"/>
        </w:trPr>
        <w:tc>
          <w:tcPr>
            <w:tcW w:w="525" w:type="dxa"/>
            <w:vMerge w:val="restart"/>
            <w:tcBorders>
              <w:tl2br w:val="nil"/>
              <w:tr2bl w:val="nil"/>
            </w:tcBorders>
            <w:shd w:val="clear" w:color="auto" w:fill="auto"/>
            <w:noWrap/>
            <w:vAlign w:val="center"/>
          </w:tcPr>
          <w:p w14:paraId="646F8965">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1"/>
                <w:szCs w:val="21"/>
                <w:u w:val="none"/>
                <w:lang w:val="en-US" w:eastAsia="zh-CN" w:bidi="ar"/>
              </w:rPr>
              <w:t>4</w:t>
            </w:r>
          </w:p>
        </w:tc>
        <w:tc>
          <w:tcPr>
            <w:tcW w:w="1140" w:type="dxa"/>
            <w:vMerge w:val="restart"/>
            <w:tcBorders>
              <w:tl2br w:val="nil"/>
              <w:tr2bl w:val="nil"/>
            </w:tcBorders>
            <w:shd w:val="clear" w:color="auto" w:fill="auto"/>
            <w:noWrap/>
            <w:vAlign w:val="center"/>
          </w:tcPr>
          <w:p w14:paraId="4D1BB45D">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1"/>
                <w:szCs w:val="21"/>
                <w:u w:val="none"/>
                <w:lang w:val="en-US" w:eastAsia="zh-CN" w:bidi="ar"/>
              </w:rPr>
              <w:t>三道沟</w:t>
            </w:r>
          </w:p>
        </w:tc>
        <w:tc>
          <w:tcPr>
            <w:tcW w:w="1140" w:type="dxa"/>
            <w:vMerge w:val="restart"/>
            <w:tcBorders>
              <w:tl2br w:val="nil"/>
              <w:tr2bl w:val="nil"/>
            </w:tcBorders>
            <w:shd w:val="clear" w:color="auto" w:fill="auto"/>
            <w:noWrap/>
            <w:vAlign w:val="center"/>
          </w:tcPr>
          <w:p w14:paraId="027D7D90">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1"/>
                <w:szCs w:val="21"/>
                <w:u w:val="none"/>
                <w:lang w:val="en-US" w:eastAsia="zh-CN" w:bidi="ar"/>
              </w:rPr>
              <w:t>910,-1326</w:t>
            </w:r>
          </w:p>
        </w:tc>
        <w:tc>
          <w:tcPr>
            <w:tcW w:w="945" w:type="dxa"/>
            <w:tcBorders>
              <w:tl2br w:val="nil"/>
              <w:tr2bl w:val="nil"/>
            </w:tcBorders>
            <w:shd w:val="clear" w:color="auto" w:fill="auto"/>
            <w:noWrap/>
            <w:vAlign w:val="center"/>
          </w:tcPr>
          <w:p w14:paraId="268590AB">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1"/>
                <w:szCs w:val="21"/>
                <w:u w:val="none"/>
                <w:lang w:val="en-US" w:eastAsia="zh-CN" w:bidi="ar"/>
              </w:rPr>
              <w:t>1小时</w:t>
            </w:r>
          </w:p>
        </w:tc>
        <w:tc>
          <w:tcPr>
            <w:tcW w:w="1110" w:type="dxa"/>
            <w:tcBorders>
              <w:tl2br w:val="nil"/>
              <w:tr2bl w:val="nil"/>
            </w:tcBorders>
            <w:shd w:val="clear" w:color="auto" w:fill="auto"/>
            <w:noWrap/>
            <w:vAlign w:val="center"/>
          </w:tcPr>
          <w:p w14:paraId="0F6DA76D">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1"/>
                <w:szCs w:val="21"/>
                <w:u w:val="none"/>
                <w:lang w:val="en-US" w:eastAsia="zh-CN" w:bidi="ar"/>
              </w:rPr>
              <w:t>2.90E-03</w:t>
            </w:r>
          </w:p>
        </w:tc>
        <w:tc>
          <w:tcPr>
            <w:tcW w:w="1350" w:type="dxa"/>
            <w:tcBorders>
              <w:tl2br w:val="nil"/>
              <w:tr2bl w:val="nil"/>
            </w:tcBorders>
            <w:shd w:val="clear" w:color="auto" w:fill="auto"/>
            <w:noWrap/>
            <w:vAlign w:val="center"/>
          </w:tcPr>
          <w:p w14:paraId="1FE2547C">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1"/>
                <w:szCs w:val="21"/>
                <w:u w:val="none"/>
                <w:lang w:val="en-US" w:eastAsia="zh-CN" w:bidi="ar"/>
              </w:rPr>
              <w:t>24122012</w:t>
            </w:r>
          </w:p>
        </w:tc>
        <w:tc>
          <w:tcPr>
            <w:tcW w:w="1140" w:type="dxa"/>
            <w:tcBorders>
              <w:tl2br w:val="nil"/>
              <w:tr2bl w:val="nil"/>
            </w:tcBorders>
            <w:shd w:val="clear" w:color="auto" w:fill="auto"/>
            <w:noWrap/>
            <w:vAlign w:val="center"/>
          </w:tcPr>
          <w:p w14:paraId="522C1CAD">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1"/>
                <w:szCs w:val="21"/>
                <w:u w:val="none"/>
                <w:lang w:val="en-US" w:eastAsia="zh-CN" w:bidi="ar"/>
              </w:rPr>
              <w:t>5.00E-01</w:t>
            </w:r>
          </w:p>
        </w:tc>
        <w:tc>
          <w:tcPr>
            <w:tcW w:w="825" w:type="dxa"/>
            <w:tcBorders>
              <w:tl2br w:val="nil"/>
              <w:tr2bl w:val="nil"/>
            </w:tcBorders>
            <w:shd w:val="clear" w:color="auto" w:fill="auto"/>
            <w:noWrap/>
            <w:vAlign w:val="center"/>
          </w:tcPr>
          <w:p w14:paraId="72C0A7BC">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1"/>
                <w:szCs w:val="21"/>
                <w:u w:val="none"/>
                <w:lang w:val="en-US" w:eastAsia="zh-CN" w:bidi="ar"/>
              </w:rPr>
              <w:t>0.58</w:t>
            </w:r>
          </w:p>
        </w:tc>
        <w:tc>
          <w:tcPr>
            <w:tcW w:w="765" w:type="dxa"/>
            <w:tcBorders>
              <w:tl2br w:val="nil"/>
              <w:tr2bl w:val="nil"/>
            </w:tcBorders>
            <w:shd w:val="clear" w:color="auto" w:fill="auto"/>
            <w:noWrap/>
            <w:vAlign w:val="center"/>
          </w:tcPr>
          <w:p w14:paraId="495741B5">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1"/>
                <w:szCs w:val="21"/>
                <w:u w:val="none"/>
                <w:lang w:val="en-US" w:eastAsia="zh-CN" w:bidi="ar"/>
              </w:rPr>
              <w:t>达标</w:t>
            </w:r>
          </w:p>
        </w:tc>
      </w:tr>
      <w:tr w14:paraId="510A2F85">
        <w:tblPrEx>
          <w:tblBorders>
            <w:top w:val="thinThickSmallGap" w:color="000000" w:sz="12" w:space="0"/>
            <w:left w:val="none" w:color="auto" w:sz="0" w:space="0"/>
            <w:bottom w:val="thinThickSmallGap"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00" w:hRule="atLeast"/>
          <w:jc w:val="center"/>
        </w:trPr>
        <w:tc>
          <w:tcPr>
            <w:tcW w:w="525" w:type="dxa"/>
            <w:vMerge w:val="continue"/>
            <w:tcBorders>
              <w:tl2br w:val="nil"/>
              <w:tr2bl w:val="nil"/>
            </w:tcBorders>
            <w:shd w:val="clear" w:color="auto" w:fill="auto"/>
            <w:noWrap/>
            <w:vAlign w:val="center"/>
          </w:tcPr>
          <w:p w14:paraId="0B7F4153">
            <w:pPr>
              <w:keepNext w:val="0"/>
              <w:keepLines w:val="0"/>
              <w:pageBreakBefore w:val="0"/>
              <w:widowControl/>
              <w:kinsoku/>
              <w:wordWrap/>
              <w:overflowPunct/>
              <w:topLinePunct w:val="0"/>
              <w:autoSpaceDE/>
              <w:autoSpaceDN/>
              <w:bidi w:val="0"/>
              <w:adjustRightInd w:val="0"/>
              <w:snapToGrid w:val="0"/>
              <w:spacing w:line="240" w:lineRule="auto"/>
              <w:jc w:val="center"/>
              <w:rPr>
                <w:rFonts w:hint="default" w:ascii="Times New Roman" w:hAnsi="Times New Roman" w:eastAsia="宋体" w:cs="Times New Roman"/>
                <w:i w:val="0"/>
                <w:iCs w:val="0"/>
                <w:color w:val="0000FF"/>
                <w:sz w:val="21"/>
                <w:szCs w:val="21"/>
                <w:u w:val="none"/>
              </w:rPr>
            </w:pPr>
          </w:p>
        </w:tc>
        <w:tc>
          <w:tcPr>
            <w:tcW w:w="1140" w:type="dxa"/>
            <w:vMerge w:val="continue"/>
            <w:tcBorders>
              <w:tl2br w:val="nil"/>
              <w:tr2bl w:val="nil"/>
            </w:tcBorders>
            <w:shd w:val="clear" w:color="auto" w:fill="auto"/>
            <w:noWrap/>
            <w:vAlign w:val="center"/>
          </w:tcPr>
          <w:p w14:paraId="33AB1EF9">
            <w:pPr>
              <w:keepNext w:val="0"/>
              <w:keepLines w:val="0"/>
              <w:pageBreakBefore w:val="0"/>
              <w:widowControl/>
              <w:kinsoku/>
              <w:wordWrap/>
              <w:overflowPunct/>
              <w:topLinePunct w:val="0"/>
              <w:autoSpaceDE/>
              <w:autoSpaceDN/>
              <w:bidi w:val="0"/>
              <w:adjustRightInd w:val="0"/>
              <w:snapToGrid w:val="0"/>
              <w:spacing w:line="240" w:lineRule="auto"/>
              <w:jc w:val="center"/>
              <w:rPr>
                <w:rFonts w:hint="default" w:ascii="Times New Roman" w:hAnsi="Times New Roman" w:eastAsia="宋体" w:cs="Times New Roman"/>
                <w:i w:val="0"/>
                <w:iCs w:val="0"/>
                <w:color w:val="0000FF"/>
                <w:sz w:val="21"/>
                <w:szCs w:val="21"/>
                <w:u w:val="none"/>
              </w:rPr>
            </w:pPr>
          </w:p>
        </w:tc>
        <w:tc>
          <w:tcPr>
            <w:tcW w:w="1140" w:type="dxa"/>
            <w:vMerge w:val="continue"/>
            <w:tcBorders>
              <w:tl2br w:val="nil"/>
              <w:tr2bl w:val="nil"/>
            </w:tcBorders>
            <w:shd w:val="clear" w:color="auto" w:fill="auto"/>
            <w:noWrap/>
            <w:vAlign w:val="center"/>
          </w:tcPr>
          <w:p w14:paraId="2B75BD89">
            <w:pPr>
              <w:keepNext w:val="0"/>
              <w:keepLines w:val="0"/>
              <w:pageBreakBefore w:val="0"/>
              <w:widowControl/>
              <w:kinsoku/>
              <w:wordWrap/>
              <w:overflowPunct/>
              <w:topLinePunct w:val="0"/>
              <w:autoSpaceDE/>
              <w:autoSpaceDN/>
              <w:bidi w:val="0"/>
              <w:adjustRightInd w:val="0"/>
              <w:snapToGrid w:val="0"/>
              <w:spacing w:line="240" w:lineRule="auto"/>
              <w:jc w:val="center"/>
              <w:rPr>
                <w:rFonts w:hint="default" w:ascii="Times New Roman" w:hAnsi="Times New Roman" w:eastAsia="宋体" w:cs="Times New Roman"/>
                <w:i w:val="0"/>
                <w:iCs w:val="0"/>
                <w:color w:val="0000FF"/>
                <w:sz w:val="21"/>
                <w:szCs w:val="21"/>
                <w:u w:val="none"/>
              </w:rPr>
            </w:pPr>
          </w:p>
        </w:tc>
        <w:tc>
          <w:tcPr>
            <w:tcW w:w="945" w:type="dxa"/>
            <w:tcBorders>
              <w:tl2br w:val="nil"/>
              <w:tr2bl w:val="nil"/>
            </w:tcBorders>
            <w:shd w:val="clear" w:color="auto" w:fill="auto"/>
            <w:noWrap/>
            <w:vAlign w:val="center"/>
          </w:tcPr>
          <w:p w14:paraId="4DF2E205">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1"/>
                <w:szCs w:val="21"/>
                <w:u w:val="none"/>
                <w:lang w:val="en-US" w:eastAsia="zh-CN" w:bidi="ar"/>
              </w:rPr>
              <w:t>日平均</w:t>
            </w:r>
          </w:p>
        </w:tc>
        <w:tc>
          <w:tcPr>
            <w:tcW w:w="1110" w:type="dxa"/>
            <w:tcBorders>
              <w:tl2br w:val="nil"/>
              <w:tr2bl w:val="nil"/>
            </w:tcBorders>
            <w:shd w:val="clear" w:color="auto" w:fill="auto"/>
            <w:noWrap/>
            <w:vAlign w:val="center"/>
          </w:tcPr>
          <w:p w14:paraId="13AF1A9D">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1"/>
                <w:szCs w:val="21"/>
                <w:u w:val="none"/>
                <w:lang w:val="en-US" w:eastAsia="zh-CN" w:bidi="ar"/>
              </w:rPr>
              <w:t>3.00E-04</w:t>
            </w:r>
          </w:p>
        </w:tc>
        <w:tc>
          <w:tcPr>
            <w:tcW w:w="1350" w:type="dxa"/>
            <w:tcBorders>
              <w:tl2br w:val="nil"/>
              <w:tr2bl w:val="nil"/>
            </w:tcBorders>
            <w:shd w:val="clear" w:color="auto" w:fill="auto"/>
            <w:noWrap/>
            <w:vAlign w:val="center"/>
          </w:tcPr>
          <w:p w14:paraId="6E6281F5">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1"/>
                <w:szCs w:val="21"/>
                <w:u w:val="none"/>
                <w:lang w:val="en-US" w:eastAsia="zh-CN" w:bidi="ar"/>
              </w:rPr>
              <w:t>240425</w:t>
            </w:r>
          </w:p>
        </w:tc>
        <w:tc>
          <w:tcPr>
            <w:tcW w:w="1140" w:type="dxa"/>
            <w:tcBorders>
              <w:tl2br w:val="nil"/>
              <w:tr2bl w:val="nil"/>
            </w:tcBorders>
            <w:shd w:val="clear" w:color="auto" w:fill="auto"/>
            <w:noWrap/>
            <w:vAlign w:val="center"/>
          </w:tcPr>
          <w:p w14:paraId="14817BCD">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1"/>
                <w:szCs w:val="21"/>
                <w:u w:val="none"/>
                <w:lang w:val="en-US" w:eastAsia="zh-CN" w:bidi="ar"/>
              </w:rPr>
              <w:t>1.50E-01</w:t>
            </w:r>
          </w:p>
        </w:tc>
        <w:tc>
          <w:tcPr>
            <w:tcW w:w="825" w:type="dxa"/>
            <w:tcBorders>
              <w:tl2br w:val="nil"/>
              <w:tr2bl w:val="nil"/>
            </w:tcBorders>
            <w:shd w:val="clear" w:color="auto" w:fill="auto"/>
            <w:noWrap/>
            <w:vAlign w:val="center"/>
          </w:tcPr>
          <w:p w14:paraId="0E7E4B85">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1"/>
                <w:szCs w:val="21"/>
                <w:u w:val="none"/>
                <w:lang w:val="en-US" w:eastAsia="zh-CN" w:bidi="ar"/>
              </w:rPr>
              <w:t>0.2</w:t>
            </w:r>
          </w:p>
        </w:tc>
        <w:tc>
          <w:tcPr>
            <w:tcW w:w="765" w:type="dxa"/>
            <w:tcBorders>
              <w:tl2br w:val="nil"/>
              <w:tr2bl w:val="nil"/>
            </w:tcBorders>
            <w:shd w:val="clear" w:color="auto" w:fill="auto"/>
            <w:noWrap/>
            <w:vAlign w:val="center"/>
          </w:tcPr>
          <w:p w14:paraId="5ED66644">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1"/>
                <w:szCs w:val="21"/>
                <w:u w:val="none"/>
                <w:lang w:val="en-US" w:eastAsia="zh-CN" w:bidi="ar"/>
              </w:rPr>
              <w:t>达标</w:t>
            </w:r>
          </w:p>
        </w:tc>
      </w:tr>
      <w:tr w14:paraId="056BF4DA">
        <w:tblPrEx>
          <w:tblBorders>
            <w:top w:val="thinThickSmallGap" w:color="000000" w:sz="12" w:space="0"/>
            <w:left w:val="none" w:color="auto" w:sz="0" w:space="0"/>
            <w:bottom w:val="thinThickSmallGap" w:color="000000" w:sz="12" w:space="0"/>
            <w:right w:val="none" w:color="auto" w:sz="0"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300" w:hRule="atLeast"/>
          <w:jc w:val="center"/>
        </w:trPr>
        <w:tc>
          <w:tcPr>
            <w:tcW w:w="525" w:type="dxa"/>
            <w:vMerge w:val="continue"/>
            <w:tcBorders>
              <w:tl2br w:val="nil"/>
              <w:tr2bl w:val="nil"/>
            </w:tcBorders>
            <w:shd w:val="clear" w:color="auto" w:fill="auto"/>
            <w:noWrap/>
            <w:vAlign w:val="center"/>
          </w:tcPr>
          <w:p w14:paraId="4DE4A9FF">
            <w:pPr>
              <w:keepNext w:val="0"/>
              <w:keepLines w:val="0"/>
              <w:pageBreakBefore w:val="0"/>
              <w:widowControl/>
              <w:kinsoku/>
              <w:wordWrap/>
              <w:overflowPunct/>
              <w:topLinePunct w:val="0"/>
              <w:autoSpaceDE/>
              <w:autoSpaceDN/>
              <w:bidi w:val="0"/>
              <w:adjustRightInd w:val="0"/>
              <w:snapToGrid w:val="0"/>
              <w:spacing w:line="240" w:lineRule="auto"/>
              <w:jc w:val="center"/>
              <w:rPr>
                <w:rFonts w:hint="default" w:ascii="Times New Roman" w:hAnsi="Times New Roman" w:eastAsia="宋体" w:cs="Times New Roman"/>
                <w:i w:val="0"/>
                <w:iCs w:val="0"/>
                <w:color w:val="0000FF"/>
                <w:sz w:val="21"/>
                <w:szCs w:val="21"/>
                <w:u w:val="none"/>
              </w:rPr>
            </w:pPr>
          </w:p>
        </w:tc>
        <w:tc>
          <w:tcPr>
            <w:tcW w:w="1140" w:type="dxa"/>
            <w:vMerge w:val="continue"/>
            <w:tcBorders>
              <w:tl2br w:val="nil"/>
              <w:tr2bl w:val="nil"/>
            </w:tcBorders>
            <w:shd w:val="clear" w:color="auto" w:fill="auto"/>
            <w:noWrap/>
            <w:vAlign w:val="center"/>
          </w:tcPr>
          <w:p w14:paraId="0BC7584A">
            <w:pPr>
              <w:keepNext w:val="0"/>
              <w:keepLines w:val="0"/>
              <w:pageBreakBefore w:val="0"/>
              <w:widowControl/>
              <w:kinsoku/>
              <w:wordWrap/>
              <w:overflowPunct/>
              <w:topLinePunct w:val="0"/>
              <w:autoSpaceDE/>
              <w:autoSpaceDN/>
              <w:bidi w:val="0"/>
              <w:adjustRightInd w:val="0"/>
              <w:snapToGrid w:val="0"/>
              <w:spacing w:line="240" w:lineRule="auto"/>
              <w:jc w:val="center"/>
              <w:rPr>
                <w:rFonts w:hint="default" w:ascii="Times New Roman" w:hAnsi="Times New Roman" w:eastAsia="宋体" w:cs="Times New Roman"/>
                <w:i w:val="0"/>
                <w:iCs w:val="0"/>
                <w:color w:val="0000FF"/>
                <w:sz w:val="21"/>
                <w:szCs w:val="21"/>
                <w:u w:val="none"/>
              </w:rPr>
            </w:pPr>
          </w:p>
        </w:tc>
        <w:tc>
          <w:tcPr>
            <w:tcW w:w="1140" w:type="dxa"/>
            <w:vMerge w:val="continue"/>
            <w:tcBorders>
              <w:tl2br w:val="nil"/>
              <w:tr2bl w:val="nil"/>
            </w:tcBorders>
            <w:shd w:val="clear" w:color="auto" w:fill="auto"/>
            <w:noWrap/>
            <w:vAlign w:val="center"/>
          </w:tcPr>
          <w:p w14:paraId="35A36301">
            <w:pPr>
              <w:keepNext w:val="0"/>
              <w:keepLines w:val="0"/>
              <w:pageBreakBefore w:val="0"/>
              <w:widowControl/>
              <w:kinsoku/>
              <w:wordWrap/>
              <w:overflowPunct/>
              <w:topLinePunct w:val="0"/>
              <w:autoSpaceDE/>
              <w:autoSpaceDN/>
              <w:bidi w:val="0"/>
              <w:adjustRightInd w:val="0"/>
              <w:snapToGrid w:val="0"/>
              <w:spacing w:line="240" w:lineRule="auto"/>
              <w:jc w:val="center"/>
              <w:rPr>
                <w:rFonts w:hint="default" w:ascii="Times New Roman" w:hAnsi="Times New Roman" w:eastAsia="宋体" w:cs="Times New Roman"/>
                <w:i w:val="0"/>
                <w:iCs w:val="0"/>
                <w:color w:val="0000FF"/>
                <w:sz w:val="21"/>
                <w:szCs w:val="21"/>
                <w:u w:val="none"/>
              </w:rPr>
            </w:pPr>
          </w:p>
        </w:tc>
        <w:tc>
          <w:tcPr>
            <w:tcW w:w="945" w:type="dxa"/>
            <w:tcBorders>
              <w:tl2br w:val="nil"/>
              <w:tr2bl w:val="nil"/>
            </w:tcBorders>
            <w:shd w:val="clear" w:color="auto" w:fill="auto"/>
            <w:noWrap/>
            <w:vAlign w:val="center"/>
          </w:tcPr>
          <w:p w14:paraId="0A2A625D">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1"/>
                <w:szCs w:val="21"/>
                <w:u w:val="none"/>
                <w:lang w:val="en-US" w:eastAsia="zh-CN" w:bidi="ar"/>
              </w:rPr>
              <w:t>全时段</w:t>
            </w:r>
          </w:p>
        </w:tc>
        <w:tc>
          <w:tcPr>
            <w:tcW w:w="1110" w:type="dxa"/>
            <w:tcBorders>
              <w:tl2br w:val="nil"/>
              <w:tr2bl w:val="nil"/>
            </w:tcBorders>
            <w:shd w:val="clear" w:color="auto" w:fill="auto"/>
            <w:noWrap/>
            <w:vAlign w:val="center"/>
          </w:tcPr>
          <w:p w14:paraId="69AA9D2A">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1"/>
                <w:szCs w:val="21"/>
                <w:u w:val="none"/>
                <w:lang w:val="en-US" w:eastAsia="zh-CN" w:bidi="ar"/>
              </w:rPr>
              <w:t>3.93E-05</w:t>
            </w:r>
          </w:p>
        </w:tc>
        <w:tc>
          <w:tcPr>
            <w:tcW w:w="1350" w:type="dxa"/>
            <w:tcBorders>
              <w:tl2br w:val="nil"/>
              <w:tr2bl w:val="nil"/>
            </w:tcBorders>
            <w:shd w:val="clear" w:color="auto" w:fill="auto"/>
            <w:noWrap/>
            <w:vAlign w:val="center"/>
          </w:tcPr>
          <w:p w14:paraId="57ED2FC8">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1"/>
                <w:szCs w:val="21"/>
                <w:u w:val="none"/>
                <w:lang w:val="en-US" w:eastAsia="zh-CN" w:bidi="ar"/>
              </w:rPr>
              <w:t>平均值</w:t>
            </w:r>
          </w:p>
        </w:tc>
        <w:tc>
          <w:tcPr>
            <w:tcW w:w="1140" w:type="dxa"/>
            <w:tcBorders>
              <w:tl2br w:val="nil"/>
              <w:tr2bl w:val="nil"/>
            </w:tcBorders>
            <w:shd w:val="clear" w:color="auto" w:fill="auto"/>
            <w:noWrap/>
            <w:vAlign w:val="center"/>
          </w:tcPr>
          <w:p w14:paraId="79A4A412">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1"/>
                <w:szCs w:val="21"/>
                <w:u w:val="none"/>
                <w:lang w:val="en-US" w:eastAsia="zh-CN" w:bidi="ar"/>
              </w:rPr>
              <w:t>6.00E-02</w:t>
            </w:r>
          </w:p>
        </w:tc>
        <w:tc>
          <w:tcPr>
            <w:tcW w:w="825" w:type="dxa"/>
            <w:tcBorders>
              <w:tl2br w:val="nil"/>
              <w:tr2bl w:val="nil"/>
            </w:tcBorders>
            <w:shd w:val="clear" w:color="auto" w:fill="auto"/>
            <w:noWrap/>
            <w:vAlign w:val="center"/>
          </w:tcPr>
          <w:p w14:paraId="2C7E97F9">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1"/>
                <w:szCs w:val="21"/>
                <w:u w:val="none"/>
                <w:lang w:val="en-US" w:eastAsia="zh-CN" w:bidi="ar"/>
              </w:rPr>
              <w:t>0.07</w:t>
            </w:r>
          </w:p>
        </w:tc>
        <w:tc>
          <w:tcPr>
            <w:tcW w:w="765" w:type="dxa"/>
            <w:tcBorders>
              <w:tl2br w:val="nil"/>
              <w:tr2bl w:val="nil"/>
            </w:tcBorders>
            <w:shd w:val="clear" w:color="auto" w:fill="auto"/>
            <w:noWrap/>
            <w:vAlign w:val="center"/>
          </w:tcPr>
          <w:p w14:paraId="78A8E27B">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1"/>
                <w:szCs w:val="21"/>
                <w:u w:val="none"/>
                <w:lang w:val="en-US" w:eastAsia="zh-CN" w:bidi="ar"/>
              </w:rPr>
              <w:t>达标</w:t>
            </w:r>
          </w:p>
        </w:tc>
      </w:tr>
      <w:tr w14:paraId="6471163F">
        <w:tblPrEx>
          <w:tblBorders>
            <w:top w:val="thinThickSmallGap" w:color="000000" w:sz="12" w:space="0"/>
            <w:left w:val="none" w:color="auto" w:sz="0" w:space="0"/>
            <w:bottom w:val="thinThickSmallGap" w:color="000000" w:sz="12" w:space="0"/>
            <w:right w:val="none" w:color="auto" w:sz="0"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300" w:hRule="atLeast"/>
          <w:jc w:val="center"/>
        </w:trPr>
        <w:tc>
          <w:tcPr>
            <w:tcW w:w="525" w:type="dxa"/>
            <w:vMerge w:val="restart"/>
            <w:tcBorders>
              <w:tl2br w:val="nil"/>
              <w:tr2bl w:val="nil"/>
            </w:tcBorders>
            <w:shd w:val="clear" w:color="auto" w:fill="auto"/>
            <w:noWrap/>
            <w:vAlign w:val="center"/>
          </w:tcPr>
          <w:p w14:paraId="53B37483">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1"/>
                <w:szCs w:val="21"/>
                <w:u w:val="none"/>
                <w:lang w:val="en-US" w:eastAsia="zh-CN" w:bidi="ar"/>
              </w:rPr>
              <w:t>5</w:t>
            </w:r>
          </w:p>
        </w:tc>
        <w:tc>
          <w:tcPr>
            <w:tcW w:w="1140" w:type="dxa"/>
            <w:vMerge w:val="restart"/>
            <w:tcBorders>
              <w:tl2br w:val="nil"/>
              <w:tr2bl w:val="nil"/>
            </w:tcBorders>
            <w:shd w:val="clear" w:color="auto" w:fill="auto"/>
            <w:noWrap/>
            <w:vAlign w:val="center"/>
          </w:tcPr>
          <w:p w14:paraId="2967930B">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1"/>
                <w:szCs w:val="21"/>
                <w:u w:val="none"/>
                <w:lang w:val="en-US" w:eastAsia="zh-CN" w:bidi="ar"/>
              </w:rPr>
              <w:t>四道河子</w:t>
            </w:r>
          </w:p>
        </w:tc>
        <w:tc>
          <w:tcPr>
            <w:tcW w:w="1140" w:type="dxa"/>
            <w:vMerge w:val="restart"/>
            <w:tcBorders>
              <w:tl2br w:val="nil"/>
              <w:tr2bl w:val="nil"/>
            </w:tcBorders>
            <w:shd w:val="clear" w:color="auto" w:fill="auto"/>
            <w:noWrap/>
            <w:vAlign w:val="center"/>
          </w:tcPr>
          <w:p w14:paraId="606413ED">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1"/>
                <w:szCs w:val="21"/>
                <w:u w:val="none"/>
                <w:lang w:val="en-US" w:eastAsia="zh-CN" w:bidi="ar"/>
              </w:rPr>
              <w:t>430,1123</w:t>
            </w:r>
          </w:p>
        </w:tc>
        <w:tc>
          <w:tcPr>
            <w:tcW w:w="945" w:type="dxa"/>
            <w:tcBorders>
              <w:tl2br w:val="nil"/>
              <w:tr2bl w:val="nil"/>
            </w:tcBorders>
            <w:shd w:val="clear" w:color="auto" w:fill="auto"/>
            <w:noWrap/>
            <w:vAlign w:val="center"/>
          </w:tcPr>
          <w:p w14:paraId="2889FDE5">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1"/>
                <w:szCs w:val="21"/>
                <w:u w:val="none"/>
                <w:lang w:val="en-US" w:eastAsia="zh-CN" w:bidi="ar"/>
              </w:rPr>
              <w:t>1小时</w:t>
            </w:r>
          </w:p>
        </w:tc>
        <w:tc>
          <w:tcPr>
            <w:tcW w:w="1110" w:type="dxa"/>
            <w:tcBorders>
              <w:tl2br w:val="nil"/>
              <w:tr2bl w:val="nil"/>
            </w:tcBorders>
            <w:shd w:val="clear" w:color="auto" w:fill="auto"/>
            <w:noWrap/>
            <w:vAlign w:val="center"/>
          </w:tcPr>
          <w:p w14:paraId="21696758">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1"/>
                <w:szCs w:val="21"/>
                <w:u w:val="none"/>
                <w:lang w:val="en-US" w:eastAsia="zh-CN" w:bidi="ar"/>
              </w:rPr>
              <w:t>2.08E-03</w:t>
            </w:r>
          </w:p>
        </w:tc>
        <w:tc>
          <w:tcPr>
            <w:tcW w:w="1350" w:type="dxa"/>
            <w:tcBorders>
              <w:tl2br w:val="nil"/>
              <w:tr2bl w:val="nil"/>
            </w:tcBorders>
            <w:shd w:val="clear" w:color="auto" w:fill="auto"/>
            <w:noWrap/>
            <w:vAlign w:val="center"/>
          </w:tcPr>
          <w:p w14:paraId="730C8937">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1"/>
                <w:szCs w:val="21"/>
                <w:u w:val="none"/>
                <w:lang w:val="en-US" w:eastAsia="zh-CN" w:bidi="ar"/>
              </w:rPr>
              <w:t>24052604</w:t>
            </w:r>
          </w:p>
        </w:tc>
        <w:tc>
          <w:tcPr>
            <w:tcW w:w="1140" w:type="dxa"/>
            <w:tcBorders>
              <w:tl2br w:val="nil"/>
              <w:tr2bl w:val="nil"/>
            </w:tcBorders>
            <w:shd w:val="clear" w:color="auto" w:fill="auto"/>
            <w:noWrap/>
            <w:vAlign w:val="center"/>
          </w:tcPr>
          <w:p w14:paraId="50573858">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1"/>
                <w:szCs w:val="21"/>
                <w:u w:val="none"/>
                <w:lang w:val="en-US" w:eastAsia="zh-CN" w:bidi="ar"/>
              </w:rPr>
              <w:t>5.00E-01</w:t>
            </w:r>
          </w:p>
        </w:tc>
        <w:tc>
          <w:tcPr>
            <w:tcW w:w="825" w:type="dxa"/>
            <w:tcBorders>
              <w:tl2br w:val="nil"/>
              <w:tr2bl w:val="nil"/>
            </w:tcBorders>
            <w:shd w:val="clear" w:color="auto" w:fill="auto"/>
            <w:noWrap/>
            <w:vAlign w:val="center"/>
          </w:tcPr>
          <w:p w14:paraId="39E5C520">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1"/>
                <w:szCs w:val="21"/>
                <w:u w:val="none"/>
                <w:lang w:val="en-US" w:eastAsia="zh-CN" w:bidi="ar"/>
              </w:rPr>
              <w:t>0.42</w:t>
            </w:r>
          </w:p>
        </w:tc>
        <w:tc>
          <w:tcPr>
            <w:tcW w:w="765" w:type="dxa"/>
            <w:tcBorders>
              <w:tl2br w:val="nil"/>
              <w:tr2bl w:val="nil"/>
            </w:tcBorders>
            <w:shd w:val="clear" w:color="auto" w:fill="auto"/>
            <w:noWrap/>
            <w:vAlign w:val="center"/>
          </w:tcPr>
          <w:p w14:paraId="45F0643A">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1"/>
                <w:szCs w:val="21"/>
                <w:u w:val="none"/>
                <w:lang w:val="en-US" w:eastAsia="zh-CN" w:bidi="ar"/>
              </w:rPr>
              <w:t>达标</w:t>
            </w:r>
          </w:p>
        </w:tc>
      </w:tr>
      <w:tr w14:paraId="638038F1">
        <w:tblPrEx>
          <w:tblBorders>
            <w:top w:val="thinThickSmallGap" w:color="000000" w:sz="12" w:space="0"/>
            <w:left w:val="none" w:color="auto" w:sz="0" w:space="0"/>
            <w:bottom w:val="thinThickSmallGap" w:color="000000" w:sz="12" w:space="0"/>
            <w:right w:val="none" w:color="auto" w:sz="0"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300" w:hRule="atLeast"/>
          <w:jc w:val="center"/>
        </w:trPr>
        <w:tc>
          <w:tcPr>
            <w:tcW w:w="525" w:type="dxa"/>
            <w:vMerge w:val="continue"/>
            <w:tcBorders>
              <w:tl2br w:val="nil"/>
              <w:tr2bl w:val="nil"/>
            </w:tcBorders>
            <w:shd w:val="clear" w:color="auto" w:fill="auto"/>
            <w:noWrap/>
            <w:vAlign w:val="center"/>
          </w:tcPr>
          <w:p w14:paraId="3F566A5D">
            <w:pPr>
              <w:keepNext w:val="0"/>
              <w:keepLines w:val="0"/>
              <w:pageBreakBefore w:val="0"/>
              <w:widowControl/>
              <w:kinsoku/>
              <w:wordWrap/>
              <w:overflowPunct/>
              <w:topLinePunct w:val="0"/>
              <w:autoSpaceDE/>
              <w:autoSpaceDN/>
              <w:bidi w:val="0"/>
              <w:adjustRightInd w:val="0"/>
              <w:snapToGrid w:val="0"/>
              <w:spacing w:line="240" w:lineRule="auto"/>
              <w:jc w:val="center"/>
              <w:rPr>
                <w:rFonts w:hint="default" w:ascii="Times New Roman" w:hAnsi="Times New Roman" w:eastAsia="宋体" w:cs="Times New Roman"/>
                <w:i w:val="0"/>
                <w:iCs w:val="0"/>
                <w:color w:val="0000FF"/>
                <w:sz w:val="21"/>
                <w:szCs w:val="21"/>
                <w:u w:val="none"/>
              </w:rPr>
            </w:pPr>
          </w:p>
        </w:tc>
        <w:tc>
          <w:tcPr>
            <w:tcW w:w="1140" w:type="dxa"/>
            <w:vMerge w:val="continue"/>
            <w:tcBorders>
              <w:tl2br w:val="nil"/>
              <w:tr2bl w:val="nil"/>
            </w:tcBorders>
            <w:shd w:val="clear" w:color="auto" w:fill="auto"/>
            <w:noWrap/>
            <w:vAlign w:val="center"/>
          </w:tcPr>
          <w:p w14:paraId="66E22D8D">
            <w:pPr>
              <w:keepNext w:val="0"/>
              <w:keepLines w:val="0"/>
              <w:pageBreakBefore w:val="0"/>
              <w:widowControl/>
              <w:kinsoku/>
              <w:wordWrap/>
              <w:overflowPunct/>
              <w:topLinePunct w:val="0"/>
              <w:autoSpaceDE/>
              <w:autoSpaceDN/>
              <w:bidi w:val="0"/>
              <w:adjustRightInd w:val="0"/>
              <w:snapToGrid w:val="0"/>
              <w:spacing w:line="240" w:lineRule="auto"/>
              <w:jc w:val="center"/>
              <w:rPr>
                <w:rFonts w:hint="default" w:ascii="Times New Roman" w:hAnsi="Times New Roman" w:eastAsia="宋体" w:cs="Times New Roman"/>
                <w:i w:val="0"/>
                <w:iCs w:val="0"/>
                <w:color w:val="0000FF"/>
                <w:sz w:val="21"/>
                <w:szCs w:val="21"/>
                <w:u w:val="none"/>
              </w:rPr>
            </w:pPr>
          </w:p>
        </w:tc>
        <w:tc>
          <w:tcPr>
            <w:tcW w:w="1140" w:type="dxa"/>
            <w:vMerge w:val="continue"/>
            <w:tcBorders>
              <w:tl2br w:val="nil"/>
              <w:tr2bl w:val="nil"/>
            </w:tcBorders>
            <w:shd w:val="clear" w:color="auto" w:fill="auto"/>
            <w:noWrap/>
            <w:vAlign w:val="center"/>
          </w:tcPr>
          <w:p w14:paraId="0A8CDEAE">
            <w:pPr>
              <w:keepNext w:val="0"/>
              <w:keepLines w:val="0"/>
              <w:pageBreakBefore w:val="0"/>
              <w:widowControl/>
              <w:kinsoku/>
              <w:wordWrap/>
              <w:overflowPunct/>
              <w:topLinePunct w:val="0"/>
              <w:autoSpaceDE/>
              <w:autoSpaceDN/>
              <w:bidi w:val="0"/>
              <w:adjustRightInd w:val="0"/>
              <w:snapToGrid w:val="0"/>
              <w:spacing w:line="240" w:lineRule="auto"/>
              <w:jc w:val="center"/>
              <w:rPr>
                <w:rFonts w:hint="default" w:ascii="Times New Roman" w:hAnsi="Times New Roman" w:eastAsia="宋体" w:cs="Times New Roman"/>
                <w:i w:val="0"/>
                <w:iCs w:val="0"/>
                <w:color w:val="0000FF"/>
                <w:sz w:val="21"/>
                <w:szCs w:val="21"/>
                <w:u w:val="none"/>
              </w:rPr>
            </w:pPr>
          </w:p>
        </w:tc>
        <w:tc>
          <w:tcPr>
            <w:tcW w:w="945" w:type="dxa"/>
            <w:tcBorders>
              <w:tl2br w:val="nil"/>
              <w:tr2bl w:val="nil"/>
            </w:tcBorders>
            <w:shd w:val="clear" w:color="auto" w:fill="auto"/>
            <w:noWrap/>
            <w:vAlign w:val="center"/>
          </w:tcPr>
          <w:p w14:paraId="6CED08B3">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1"/>
                <w:szCs w:val="21"/>
                <w:u w:val="none"/>
                <w:lang w:val="en-US" w:eastAsia="zh-CN" w:bidi="ar"/>
              </w:rPr>
              <w:t>日平均</w:t>
            </w:r>
          </w:p>
        </w:tc>
        <w:tc>
          <w:tcPr>
            <w:tcW w:w="1110" w:type="dxa"/>
            <w:tcBorders>
              <w:tl2br w:val="nil"/>
              <w:tr2bl w:val="nil"/>
            </w:tcBorders>
            <w:shd w:val="clear" w:color="auto" w:fill="auto"/>
            <w:noWrap/>
            <w:vAlign w:val="center"/>
          </w:tcPr>
          <w:p w14:paraId="0EF45848">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1"/>
                <w:szCs w:val="21"/>
                <w:u w:val="none"/>
                <w:lang w:val="en-US" w:eastAsia="zh-CN" w:bidi="ar"/>
              </w:rPr>
              <w:t>7.10E-04</w:t>
            </w:r>
          </w:p>
        </w:tc>
        <w:tc>
          <w:tcPr>
            <w:tcW w:w="1350" w:type="dxa"/>
            <w:tcBorders>
              <w:tl2br w:val="nil"/>
              <w:tr2bl w:val="nil"/>
            </w:tcBorders>
            <w:shd w:val="clear" w:color="auto" w:fill="auto"/>
            <w:noWrap/>
            <w:vAlign w:val="center"/>
          </w:tcPr>
          <w:p w14:paraId="3249413D">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1"/>
                <w:szCs w:val="21"/>
                <w:u w:val="none"/>
                <w:lang w:val="en-US" w:eastAsia="zh-CN" w:bidi="ar"/>
              </w:rPr>
              <w:t>240731</w:t>
            </w:r>
          </w:p>
        </w:tc>
        <w:tc>
          <w:tcPr>
            <w:tcW w:w="1140" w:type="dxa"/>
            <w:tcBorders>
              <w:tl2br w:val="nil"/>
              <w:tr2bl w:val="nil"/>
            </w:tcBorders>
            <w:shd w:val="clear" w:color="auto" w:fill="auto"/>
            <w:noWrap/>
            <w:vAlign w:val="center"/>
          </w:tcPr>
          <w:p w14:paraId="1950A63B">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1"/>
                <w:szCs w:val="21"/>
                <w:u w:val="none"/>
                <w:lang w:val="en-US" w:eastAsia="zh-CN" w:bidi="ar"/>
              </w:rPr>
              <w:t>1.50E-01</w:t>
            </w:r>
          </w:p>
        </w:tc>
        <w:tc>
          <w:tcPr>
            <w:tcW w:w="825" w:type="dxa"/>
            <w:tcBorders>
              <w:tl2br w:val="nil"/>
              <w:tr2bl w:val="nil"/>
            </w:tcBorders>
            <w:shd w:val="clear" w:color="auto" w:fill="auto"/>
            <w:noWrap/>
            <w:vAlign w:val="center"/>
          </w:tcPr>
          <w:p w14:paraId="2956FBAA">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1"/>
                <w:szCs w:val="21"/>
                <w:u w:val="none"/>
                <w:lang w:val="en-US" w:eastAsia="zh-CN" w:bidi="ar"/>
              </w:rPr>
              <w:t>0.47</w:t>
            </w:r>
          </w:p>
        </w:tc>
        <w:tc>
          <w:tcPr>
            <w:tcW w:w="765" w:type="dxa"/>
            <w:tcBorders>
              <w:tl2br w:val="nil"/>
              <w:tr2bl w:val="nil"/>
            </w:tcBorders>
            <w:shd w:val="clear" w:color="auto" w:fill="auto"/>
            <w:noWrap/>
            <w:vAlign w:val="center"/>
          </w:tcPr>
          <w:p w14:paraId="572FEBD6">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1"/>
                <w:szCs w:val="21"/>
                <w:u w:val="none"/>
                <w:lang w:val="en-US" w:eastAsia="zh-CN" w:bidi="ar"/>
              </w:rPr>
              <w:t>达标</w:t>
            </w:r>
          </w:p>
        </w:tc>
      </w:tr>
      <w:tr w14:paraId="21463EFD">
        <w:tblPrEx>
          <w:tblBorders>
            <w:top w:val="thinThickSmallGap" w:color="000000" w:sz="12" w:space="0"/>
            <w:left w:val="none" w:color="auto" w:sz="0" w:space="0"/>
            <w:bottom w:val="thinThickSmallGap"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00" w:hRule="atLeast"/>
          <w:jc w:val="center"/>
        </w:trPr>
        <w:tc>
          <w:tcPr>
            <w:tcW w:w="525" w:type="dxa"/>
            <w:vMerge w:val="continue"/>
            <w:tcBorders>
              <w:tl2br w:val="nil"/>
              <w:tr2bl w:val="nil"/>
            </w:tcBorders>
            <w:shd w:val="clear" w:color="auto" w:fill="auto"/>
            <w:noWrap/>
            <w:vAlign w:val="center"/>
          </w:tcPr>
          <w:p w14:paraId="5505FBC3">
            <w:pPr>
              <w:keepNext w:val="0"/>
              <w:keepLines w:val="0"/>
              <w:pageBreakBefore w:val="0"/>
              <w:widowControl/>
              <w:kinsoku/>
              <w:wordWrap/>
              <w:overflowPunct/>
              <w:topLinePunct w:val="0"/>
              <w:autoSpaceDE/>
              <w:autoSpaceDN/>
              <w:bidi w:val="0"/>
              <w:adjustRightInd w:val="0"/>
              <w:snapToGrid w:val="0"/>
              <w:spacing w:line="240" w:lineRule="auto"/>
              <w:jc w:val="center"/>
              <w:rPr>
                <w:rFonts w:hint="default" w:ascii="Times New Roman" w:hAnsi="Times New Roman" w:eastAsia="宋体" w:cs="Times New Roman"/>
                <w:i w:val="0"/>
                <w:iCs w:val="0"/>
                <w:color w:val="0000FF"/>
                <w:sz w:val="21"/>
                <w:szCs w:val="21"/>
                <w:u w:val="none"/>
              </w:rPr>
            </w:pPr>
          </w:p>
        </w:tc>
        <w:tc>
          <w:tcPr>
            <w:tcW w:w="1140" w:type="dxa"/>
            <w:vMerge w:val="continue"/>
            <w:tcBorders>
              <w:tl2br w:val="nil"/>
              <w:tr2bl w:val="nil"/>
            </w:tcBorders>
            <w:shd w:val="clear" w:color="auto" w:fill="auto"/>
            <w:noWrap/>
            <w:vAlign w:val="center"/>
          </w:tcPr>
          <w:p w14:paraId="770989AB">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sz w:val="21"/>
                <w:szCs w:val="21"/>
                <w:u w:val="none"/>
              </w:rPr>
            </w:pPr>
          </w:p>
        </w:tc>
        <w:tc>
          <w:tcPr>
            <w:tcW w:w="1140" w:type="dxa"/>
            <w:vMerge w:val="continue"/>
            <w:tcBorders>
              <w:tl2br w:val="nil"/>
              <w:tr2bl w:val="nil"/>
            </w:tcBorders>
            <w:shd w:val="clear" w:color="auto" w:fill="auto"/>
            <w:noWrap/>
            <w:vAlign w:val="center"/>
          </w:tcPr>
          <w:p w14:paraId="51954E61">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sz w:val="21"/>
                <w:szCs w:val="21"/>
                <w:u w:val="none"/>
              </w:rPr>
            </w:pPr>
          </w:p>
        </w:tc>
        <w:tc>
          <w:tcPr>
            <w:tcW w:w="945" w:type="dxa"/>
            <w:tcBorders>
              <w:tl2br w:val="nil"/>
              <w:tr2bl w:val="nil"/>
            </w:tcBorders>
            <w:shd w:val="clear" w:color="auto" w:fill="auto"/>
            <w:noWrap/>
            <w:vAlign w:val="center"/>
          </w:tcPr>
          <w:p w14:paraId="17FD9CB9">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1"/>
                <w:szCs w:val="21"/>
                <w:u w:val="none"/>
                <w:lang w:val="en-US" w:eastAsia="zh-CN" w:bidi="ar"/>
              </w:rPr>
              <w:t>全时段</w:t>
            </w:r>
          </w:p>
        </w:tc>
        <w:tc>
          <w:tcPr>
            <w:tcW w:w="1110" w:type="dxa"/>
            <w:tcBorders>
              <w:tl2br w:val="nil"/>
              <w:tr2bl w:val="nil"/>
            </w:tcBorders>
            <w:shd w:val="clear" w:color="auto" w:fill="auto"/>
            <w:noWrap/>
            <w:vAlign w:val="center"/>
          </w:tcPr>
          <w:p w14:paraId="5CDC65BD">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1"/>
                <w:szCs w:val="21"/>
                <w:u w:val="none"/>
                <w:lang w:val="en-US" w:eastAsia="zh-CN" w:bidi="ar"/>
              </w:rPr>
              <w:t>6.90E-05</w:t>
            </w:r>
          </w:p>
        </w:tc>
        <w:tc>
          <w:tcPr>
            <w:tcW w:w="1350" w:type="dxa"/>
            <w:tcBorders>
              <w:tl2br w:val="nil"/>
              <w:tr2bl w:val="nil"/>
            </w:tcBorders>
            <w:shd w:val="clear" w:color="auto" w:fill="auto"/>
            <w:noWrap/>
            <w:vAlign w:val="center"/>
          </w:tcPr>
          <w:p w14:paraId="4FB9E6B8">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1"/>
                <w:szCs w:val="21"/>
                <w:u w:val="none"/>
                <w:lang w:val="en-US" w:eastAsia="zh-CN" w:bidi="ar"/>
              </w:rPr>
              <w:t>平均值</w:t>
            </w:r>
          </w:p>
        </w:tc>
        <w:tc>
          <w:tcPr>
            <w:tcW w:w="1140" w:type="dxa"/>
            <w:tcBorders>
              <w:tl2br w:val="nil"/>
              <w:tr2bl w:val="nil"/>
            </w:tcBorders>
            <w:shd w:val="clear" w:color="auto" w:fill="auto"/>
            <w:noWrap/>
            <w:vAlign w:val="center"/>
          </w:tcPr>
          <w:p w14:paraId="677A9C0C">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1"/>
                <w:szCs w:val="21"/>
                <w:u w:val="none"/>
                <w:lang w:val="en-US" w:eastAsia="zh-CN" w:bidi="ar"/>
              </w:rPr>
              <w:t>6.00E-02</w:t>
            </w:r>
          </w:p>
        </w:tc>
        <w:tc>
          <w:tcPr>
            <w:tcW w:w="825" w:type="dxa"/>
            <w:tcBorders>
              <w:tl2br w:val="nil"/>
              <w:tr2bl w:val="nil"/>
            </w:tcBorders>
            <w:shd w:val="clear" w:color="auto" w:fill="auto"/>
            <w:noWrap/>
            <w:vAlign w:val="center"/>
          </w:tcPr>
          <w:p w14:paraId="6BF1BF57">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1"/>
                <w:szCs w:val="21"/>
                <w:u w:val="none"/>
                <w:lang w:val="en-US" w:eastAsia="zh-CN" w:bidi="ar"/>
              </w:rPr>
              <w:t>0.12</w:t>
            </w:r>
          </w:p>
        </w:tc>
        <w:tc>
          <w:tcPr>
            <w:tcW w:w="765" w:type="dxa"/>
            <w:tcBorders>
              <w:tl2br w:val="nil"/>
              <w:tr2bl w:val="nil"/>
            </w:tcBorders>
            <w:shd w:val="clear" w:color="auto" w:fill="auto"/>
            <w:noWrap/>
            <w:vAlign w:val="center"/>
          </w:tcPr>
          <w:p w14:paraId="5FAA199B">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1"/>
                <w:szCs w:val="21"/>
                <w:u w:val="none"/>
                <w:lang w:val="en-US" w:eastAsia="zh-CN" w:bidi="ar"/>
              </w:rPr>
              <w:t>达标</w:t>
            </w:r>
          </w:p>
        </w:tc>
      </w:tr>
      <w:tr w14:paraId="32DB78A1">
        <w:tblPrEx>
          <w:tblBorders>
            <w:top w:val="thinThickSmallGap" w:color="000000" w:sz="12" w:space="0"/>
            <w:left w:val="none" w:color="auto" w:sz="0" w:space="0"/>
            <w:bottom w:val="thinThickSmallGap" w:color="000000" w:sz="12" w:space="0"/>
            <w:right w:val="none" w:color="auto" w:sz="0"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300" w:hRule="atLeast"/>
          <w:jc w:val="center"/>
        </w:trPr>
        <w:tc>
          <w:tcPr>
            <w:tcW w:w="525" w:type="dxa"/>
            <w:vMerge w:val="restart"/>
            <w:tcBorders>
              <w:tl2br w:val="nil"/>
              <w:tr2bl w:val="nil"/>
            </w:tcBorders>
            <w:shd w:val="clear" w:color="auto" w:fill="auto"/>
            <w:noWrap/>
            <w:vAlign w:val="center"/>
          </w:tcPr>
          <w:p w14:paraId="204A6B70">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1"/>
                <w:szCs w:val="21"/>
                <w:u w:val="none"/>
                <w:lang w:val="en-US" w:eastAsia="zh-CN" w:bidi="ar"/>
              </w:rPr>
              <w:t>6</w:t>
            </w:r>
          </w:p>
        </w:tc>
        <w:tc>
          <w:tcPr>
            <w:tcW w:w="1140" w:type="dxa"/>
            <w:vMerge w:val="restart"/>
            <w:tcBorders>
              <w:tl2br w:val="nil"/>
              <w:tr2bl w:val="nil"/>
            </w:tcBorders>
            <w:shd w:val="clear" w:color="auto" w:fill="auto"/>
            <w:vAlign w:val="center"/>
          </w:tcPr>
          <w:p w14:paraId="7CB1A5BA">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1"/>
                <w:szCs w:val="21"/>
                <w:u w:val="none"/>
                <w:lang w:val="en-US" w:eastAsia="zh-CN" w:bidi="ar"/>
              </w:rPr>
              <w:t>五道沟</w:t>
            </w:r>
          </w:p>
        </w:tc>
        <w:tc>
          <w:tcPr>
            <w:tcW w:w="1140" w:type="dxa"/>
            <w:vMerge w:val="restart"/>
            <w:tcBorders>
              <w:tl2br w:val="nil"/>
              <w:tr2bl w:val="nil"/>
            </w:tcBorders>
            <w:shd w:val="clear" w:color="auto" w:fill="auto"/>
            <w:noWrap/>
            <w:vAlign w:val="center"/>
          </w:tcPr>
          <w:p w14:paraId="13EAF538">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1"/>
                <w:szCs w:val="21"/>
                <w:u w:val="none"/>
                <w:lang w:val="en-US" w:eastAsia="zh-CN" w:bidi="ar"/>
              </w:rPr>
              <w:t>815,1679</w:t>
            </w:r>
          </w:p>
        </w:tc>
        <w:tc>
          <w:tcPr>
            <w:tcW w:w="945" w:type="dxa"/>
            <w:tcBorders>
              <w:tl2br w:val="nil"/>
              <w:tr2bl w:val="nil"/>
            </w:tcBorders>
            <w:shd w:val="clear" w:color="auto" w:fill="auto"/>
            <w:noWrap/>
            <w:vAlign w:val="center"/>
          </w:tcPr>
          <w:p w14:paraId="7A12BE2A">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1"/>
                <w:szCs w:val="21"/>
                <w:u w:val="none"/>
                <w:lang w:val="en-US" w:eastAsia="zh-CN" w:bidi="ar"/>
              </w:rPr>
              <w:t>1小时</w:t>
            </w:r>
          </w:p>
        </w:tc>
        <w:tc>
          <w:tcPr>
            <w:tcW w:w="1110" w:type="dxa"/>
            <w:tcBorders>
              <w:tl2br w:val="nil"/>
              <w:tr2bl w:val="nil"/>
            </w:tcBorders>
            <w:shd w:val="clear" w:color="auto" w:fill="auto"/>
            <w:noWrap/>
            <w:vAlign w:val="center"/>
          </w:tcPr>
          <w:p w14:paraId="724FFA48">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1"/>
                <w:szCs w:val="21"/>
                <w:u w:val="none"/>
                <w:lang w:val="en-US" w:eastAsia="zh-CN" w:bidi="ar"/>
              </w:rPr>
              <w:t>2.28E-03</w:t>
            </w:r>
          </w:p>
        </w:tc>
        <w:tc>
          <w:tcPr>
            <w:tcW w:w="1350" w:type="dxa"/>
            <w:tcBorders>
              <w:tl2br w:val="nil"/>
              <w:tr2bl w:val="nil"/>
            </w:tcBorders>
            <w:shd w:val="clear" w:color="auto" w:fill="auto"/>
            <w:noWrap/>
            <w:vAlign w:val="center"/>
          </w:tcPr>
          <w:p w14:paraId="684AEC84">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1"/>
                <w:szCs w:val="21"/>
                <w:u w:val="none"/>
                <w:lang w:val="en-US" w:eastAsia="zh-CN" w:bidi="ar"/>
              </w:rPr>
              <w:t>24011511</w:t>
            </w:r>
          </w:p>
        </w:tc>
        <w:tc>
          <w:tcPr>
            <w:tcW w:w="1140" w:type="dxa"/>
            <w:tcBorders>
              <w:tl2br w:val="nil"/>
              <w:tr2bl w:val="nil"/>
            </w:tcBorders>
            <w:shd w:val="clear" w:color="auto" w:fill="auto"/>
            <w:noWrap/>
            <w:vAlign w:val="center"/>
          </w:tcPr>
          <w:p w14:paraId="0399A3F7">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1"/>
                <w:szCs w:val="21"/>
                <w:u w:val="none"/>
                <w:lang w:val="en-US" w:eastAsia="zh-CN" w:bidi="ar"/>
              </w:rPr>
              <w:t>5.00E-01</w:t>
            </w:r>
          </w:p>
        </w:tc>
        <w:tc>
          <w:tcPr>
            <w:tcW w:w="825" w:type="dxa"/>
            <w:tcBorders>
              <w:tl2br w:val="nil"/>
              <w:tr2bl w:val="nil"/>
            </w:tcBorders>
            <w:shd w:val="clear" w:color="auto" w:fill="auto"/>
            <w:noWrap/>
            <w:vAlign w:val="center"/>
          </w:tcPr>
          <w:p w14:paraId="5B743C37">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1"/>
                <w:szCs w:val="21"/>
                <w:u w:val="none"/>
                <w:lang w:val="en-US" w:eastAsia="zh-CN" w:bidi="ar"/>
              </w:rPr>
              <w:t>0.46</w:t>
            </w:r>
          </w:p>
        </w:tc>
        <w:tc>
          <w:tcPr>
            <w:tcW w:w="765" w:type="dxa"/>
            <w:tcBorders>
              <w:tl2br w:val="nil"/>
              <w:tr2bl w:val="nil"/>
            </w:tcBorders>
            <w:shd w:val="clear" w:color="auto" w:fill="auto"/>
            <w:noWrap/>
            <w:vAlign w:val="center"/>
          </w:tcPr>
          <w:p w14:paraId="6A782092">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1"/>
                <w:szCs w:val="21"/>
                <w:u w:val="none"/>
                <w:lang w:val="en-US" w:eastAsia="zh-CN" w:bidi="ar"/>
              </w:rPr>
              <w:t>达标</w:t>
            </w:r>
          </w:p>
        </w:tc>
      </w:tr>
      <w:tr w14:paraId="7CAFFCCA">
        <w:tblPrEx>
          <w:tblBorders>
            <w:top w:val="thinThickSmallGap" w:color="000000" w:sz="12" w:space="0"/>
            <w:left w:val="none" w:color="auto" w:sz="0" w:space="0"/>
            <w:bottom w:val="thinThickSmallGap"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00" w:hRule="atLeast"/>
          <w:jc w:val="center"/>
        </w:trPr>
        <w:tc>
          <w:tcPr>
            <w:tcW w:w="525" w:type="dxa"/>
            <w:vMerge w:val="continue"/>
            <w:tcBorders>
              <w:tl2br w:val="nil"/>
              <w:tr2bl w:val="nil"/>
            </w:tcBorders>
            <w:shd w:val="clear" w:color="auto" w:fill="auto"/>
            <w:noWrap/>
            <w:vAlign w:val="center"/>
          </w:tcPr>
          <w:p w14:paraId="079CC815">
            <w:pPr>
              <w:keepNext w:val="0"/>
              <w:keepLines w:val="0"/>
              <w:pageBreakBefore w:val="0"/>
              <w:widowControl/>
              <w:kinsoku/>
              <w:wordWrap/>
              <w:overflowPunct/>
              <w:topLinePunct w:val="0"/>
              <w:autoSpaceDE/>
              <w:autoSpaceDN/>
              <w:bidi w:val="0"/>
              <w:adjustRightInd w:val="0"/>
              <w:snapToGrid w:val="0"/>
              <w:spacing w:line="240" w:lineRule="auto"/>
              <w:jc w:val="center"/>
              <w:rPr>
                <w:rFonts w:hint="default" w:ascii="Times New Roman" w:hAnsi="Times New Roman" w:eastAsia="宋体" w:cs="Times New Roman"/>
                <w:i w:val="0"/>
                <w:iCs w:val="0"/>
                <w:color w:val="0000FF"/>
                <w:sz w:val="21"/>
                <w:szCs w:val="21"/>
                <w:u w:val="none"/>
              </w:rPr>
            </w:pPr>
          </w:p>
        </w:tc>
        <w:tc>
          <w:tcPr>
            <w:tcW w:w="1140" w:type="dxa"/>
            <w:vMerge w:val="continue"/>
            <w:tcBorders>
              <w:tl2br w:val="nil"/>
              <w:tr2bl w:val="nil"/>
            </w:tcBorders>
            <w:shd w:val="clear" w:color="auto" w:fill="auto"/>
            <w:vAlign w:val="center"/>
          </w:tcPr>
          <w:p w14:paraId="4E1823F2">
            <w:pPr>
              <w:keepNext w:val="0"/>
              <w:keepLines w:val="0"/>
              <w:pageBreakBefore w:val="0"/>
              <w:widowControl/>
              <w:kinsoku/>
              <w:wordWrap/>
              <w:overflowPunct/>
              <w:topLinePunct w:val="0"/>
              <w:autoSpaceDE/>
              <w:autoSpaceDN/>
              <w:bidi w:val="0"/>
              <w:adjustRightInd w:val="0"/>
              <w:snapToGrid w:val="0"/>
              <w:spacing w:line="240" w:lineRule="auto"/>
              <w:jc w:val="center"/>
              <w:rPr>
                <w:rFonts w:hint="default" w:ascii="Times New Roman" w:hAnsi="Times New Roman" w:eastAsia="宋体" w:cs="Times New Roman"/>
                <w:i w:val="0"/>
                <w:iCs w:val="0"/>
                <w:color w:val="0000FF"/>
                <w:sz w:val="21"/>
                <w:szCs w:val="21"/>
                <w:u w:val="none"/>
              </w:rPr>
            </w:pPr>
          </w:p>
        </w:tc>
        <w:tc>
          <w:tcPr>
            <w:tcW w:w="1140" w:type="dxa"/>
            <w:vMerge w:val="continue"/>
            <w:tcBorders>
              <w:tl2br w:val="nil"/>
              <w:tr2bl w:val="nil"/>
            </w:tcBorders>
            <w:shd w:val="clear" w:color="auto" w:fill="auto"/>
            <w:noWrap/>
            <w:vAlign w:val="center"/>
          </w:tcPr>
          <w:p w14:paraId="68857117">
            <w:pPr>
              <w:keepNext w:val="0"/>
              <w:keepLines w:val="0"/>
              <w:pageBreakBefore w:val="0"/>
              <w:widowControl/>
              <w:kinsoku/>
              <w:wordWrap/>
              <w:overflowPunct/>
              <w:topLinePunct w:val="0"/>
              <w:autoSpaceDE/>
              <w:autoSpaceDN/>
              <w:bidi w:val="0"/>
              <w:adjustRightInd w:val="0"/>
              <w:snapToGrid w:val="0"/>
              <w:spacing w:line="240" w:lineRule="auto"/>
              <w:jc w:val="center"/>
              <w:rPr>
                <w:rFonts w:hint="default" w:ascii="Times New Roman" w:hAnsi="Times New Roman" w:eastAsia="宋体" w:cs="Times New Roman"/>
                <w:i w:val="0"/>
                <w:iCs w:val="0"/>
                <w:color w:val="0000FF"/>
                <w:sz w:val="21"/>
                <w:szCs w:val="21"/>
                <w:u w:val="none"/>
              </w:rPr>
            </w:pPr>
          </w:p>
        </w:tc>
        <w:tc>
          <w:tcPr>
            <w:tcW w:w="945" w:type="dxa"/>
            <w:tcBorders>
              <w:tl2br w:val="nil"/>
              <w:tr2bl w:val="nil"/>
            </w:tcBorders>
            <w:shd w:val="clear" w:color="auto" w:fill="auto"/>
            <w:noWrap/>
            <w:vAlign w:val="center"/>
          </w:tcPr>
          <w:p w14:paraId="71918983">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1"/>
                <w:szCs w:val="21"/>
                <w:u w:val="none"/>
                <w:lang w:val="en-US" w:eastAsia="zh-CN" w:bidi="ar"/>
              </w:rPr>
              <w:t>日平均</w:t>
            </w:r>
          </w:p>
        </w:tc>
        <w:tc>
          <w:tcPr>
            <w:tcW w:w="1110" w:type="dxa"/>
            <w:tcBorders>
              <w:tl2br w:val="nil"/>
              <w:tr2bl w:val="nil"/>
            </w:tcBorders>
            <w:shd w:val="clear" w:color="auto" w:fill="auto"/>
            <w:noWrap/>
            <w:vAlign w:val="center"/>
          </w:tcPr>
          <w:p w14:paraId="010468E4">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1"/>
                <w:szCs w:val="21"/>
                <w:u w:val="none"/>
                <w:lang w:val="en-US" w:eastAsia="zh-CN" w:bidi="ar"/>
              </w:rPr>
              <w:t>3.78E-04</w:t>
            </w:r>
          </w:p>
        </w:tc>
        <w:tc>
          <w:tcPr>
            <w:tcW w:w="1350" w:type="dxa"/>
            <w:tcBorders>
              <w:tl2br w:val="nil"/>
              <w:tr2bl w:val="nil"/>
            </w:tcBorders>
            <w:shd w:val="clear" w:color="auto" w:fill="auto"/>
            <w:noWrap/>
            <w:vAlign w:val="center"/>
          </w:tcPr>
          <w:p w14:paraId="099E38A2">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1"/>
                <w:szCs w:val="21"/>
                <w:u w:val="none"/>
                <w:lang w:val="en-US" w:eastAsia="zh-CN" w:bidi="ar"/>
              </w:rPr>
              <w:t>240731</w:t>
            </w:r>
          </w:p>
        </w:tc>
        <w:tc>
          <w:tcPr>
            <w:tcW w:w="1140" w:type="dxa"/>
            <w:tcBorders>
              <w:tl2br w:val="nil"/>
              <w:tr2bl w:val="nil"/>
            </w:tcBorders>
            <w:shd w:val="clear" w:color="auto" w:fill="auto"/>
            <w:noWrap/>
            <w:vAlign w:val="center"/>
          </w:tcPr>
          <w:p w14:paraId="10DFEFBA">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1"/>
                <w:szCs w:val="21"/>
                <w:u w:val="none"/>
                <w:lang w:val="en-US" w:eastAsia="zh-CN" w:bidi="ar"/>
              </w:rPr>
              <w:t>1.50E-01</w:t>
            </w:r>
          </w:p>
        </w:tc>
        <w:tc>
          <w:tcPr>
            <w:tcW w:w="825" w:type="dxa"/>
            <w:tcBorders>
              <w:tl2br w:val="nil"/>
              <w:tr2bl w:val="nil"/>
            </w:tcBorders>
            <w:shd w:val="clear" w:color="auto" w:fill="auto"/>
            <w:noWrap/>
            <w:vAlign w:val="center"/>
          </w:tcPr>
          <w:p w14:paraId="7CDFE796">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1"/>
                <w:szCs w:val="21"/>
                <w:u w:val="none"/>
                <w:lang w:val="en-US" w:eastAsia="zh-CN" w:bidi="ar"/>
              </w:rPr>
              <w:t>0.25</w:t>
            </w:r>
          </w:p>
        </w:tc>
        <w:tc>
          <w:tcPr>
            <w:tcW w:w="765" w:type="dxa"/>
            <w:tcBorders>
              <w:tl2br w:val="nil"/>
              <w:tr2bl w:val="nil"/>
            </w:tcBorders>
            <w:shd w:val="clear" w:color="auto" w:fill="auto"/>
            <w:noWrap/>
            <w:vAlign w:val="center"/>
          </w:tcPr>
          <w:p w14:paraId="2D3CDBBA">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1"/>
                <w:szCs w:val="21"/>
                <w:u w:val="none"/>
                <w:lang w:val="en-US" w:eastAsia="zh-CN" w:bidi="ar"/>
              </w:rPr>
              <w:t>达标</w:t>
            </w:r>
          </w:p>
        </w:tc>
      </w:tr>
      <w:tr w14:paraId="14E6050B">
        <w:tblPrEx>
          <w:tblBorders>
            <w:top w:val="thinThickSmallGap" w:color="000000" w:sz="12" w:space="0"/>
            <w:left w:val="none" w:color="auto" w:sz="0" w:space="0"/>
            <w:bottom w:val="thinThickSmallGap" w:color="000000" w:sz="12" w:space="0"/>
            <w:right w:val="none" w:color="auto" w:sz="0"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300" w:hRule="atLeast"/>
          <w:jc w:val="center"/>
        </w:trPr>
        <w:tc>
          <w:tcPr>
            <w:tcW w:w="525" w:type="dxa"/>
            <w:vMerge w:val="continue"/>
            <w:tcBorders>
              <w:tl2br w:val="nil"/>
              <w:tr2bl w:val="nil"/>
            </w:tcBorders>
            <w:shd w:val="clear" w:color="auto" w:fill="auto"/>
            <w:noWrap/>
            <w:vAlign w:val="center"/>
          </w:tcPr>
          <w:p w14:paraId="4C1AD704">
            <w:pPr>
              <w:keepNext w:val="0"/>
              <w:keepLines w:val="0"/>
              <w:pageBreakBefore w:val="0"/>
              <w:widowControl/>
              <w:kinsoku/>
              <w:wordWrap/>
              <w:overflowPunct/>
              <w:topLinePunct w:val="0"/>
              <w:autoSpaceDE/>
              <w:autoSpaceDN/>
              <w:bidi w:val="0"/>
              <w:adjustRightInd w:val="0"/>
              <w:snapToGrid w:val="0"/>
              <w:spacing w:line="240" w:lineRule="auto"/>
              <w:jc w:val="center"/>
              <w:rPr>
                <w:rFonts w:hint="default" w:ascii="Times New Roman" w:hAnsi="Times New Roman" w:eastAsia="宋体" w:cs="Times New Roman"/>
                <w:i w:val="0"/>
                <w:iCs w:val="0"/>
                <w:color w:val="0000FF"/>
                <w:sz w:val="21"/>
                <w:szCs w:val="21"/>
                <w:u w:val="none"/>
              </w:rPr>
            </w:pPr>
          </w:p>
        </w:tc>
        <w:tc>
          <w:tcPr>
            <w:tcW w:w="1140" w:type="dxa"/>
            <w:vMerge w:val="continue"/>
            <w:tcBorders>
              <w:tl2br w:val="nil"/>
              <w:tr2bl w:val="nil"/>
            </w:tcBorders>
            <w:shd w:val="clear" w:color="auto" w:fill="auto"/>
            <w:vAlign w:val="center"/>
          </w:tcPr>
          <w:p w14:paraId="03451810">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sz w:val="21"/>
                <w:szCs w:val="21"/>
                <w:u w:val="none"/>
              </w:rPr>
            </w:pPr>
          </w:p>
        </w:tc>
        <w:tc>
          <w:tcPr>
            <w:tcW w:w="1140" w:type="dxa"/>
            <w:vMerge w:val="continue"/>
            <w:tcBorders>
              <w:tl2br w:val="nil"/>
              <w:tr2bl w:val="nil"/>
            </w:tcBorders>
            <w:shd w:val="clear" w:color="auto" w:fill="auto"/>
            <w:noWrap/>
            <w:vAlign w:val="center"/>
          </w:tcPr>
          <w:p w14:paraId="3CD56C28">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sz w:val="21"/>
                <w:szCs w:val="21"/>
                <w:u w:val="none"/>
              </w:rPr>
            </w:pPr>
          </w:p>
        </w:tc>
        <w:tc>
          <w:tcPr>
            <w:tcW w:w="945" w:type="dxa"/>
            <w:tcBorders>
              <w:tl2br w:val="nil"/>
              <w:tr2bl w:val="nil"/>
            </w:tcBorders>
            <w:shd w:val="clear" w:color="auto" w:fill="auto"/>
            <w:noWrap/>
            <w:vAlign w:val="center"/>
          </w:tcPr>
          <w:p w14:paraId="425A0FEC">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1"/>
                <w:szCs w:val="21"/>
                <w:u w:val="none"/>
                <w:lang w:val="en-US" w:eastAsia="zh-CN" w:bidi="ar"/>
              </w:rPr>
              <w:t>全时段</w:t>
            </w:r>
          </w:p>
        </w:tc>
        <w:tc>
          <w:tcPr>
            <w:tcW w:w="1110" w:type="dxa"/>
            <w:tcBorders>
              <w:tl2br w:val="nil"/>
              <w:tr2bl w:val="nil"/>
            </w:tcBorders>
            <w:shd w:val="clear" w:color="auto" w:fill="auto"/>
            <w:noWrap/>
            <w:vAlign w:val="center"/>
          </w:tcPr>
          <w:p w14:paraId="68FE8DD4">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1"/>
                <w:szCs w:val="21"/>
                <w:u w:val="none"/>
                <w:lang w:val="en-US" w:eastAsia="zh-CN" w:bidi="ar"/>
              </w:rPr>
              <w:t>4.17E-05</w:t>
            </w:r>
          </w:p>
        </w:tc>
        <w:tc>
          <w:tcPr>
            <w:tcW w:w="1350" w:type="dxa"/>
            <w:tcBorders>
              <w:tl2br w:val="nil"/>
              <w:tr2bl w:val="nil"/>
            </w:tcBorders>
            <w:shd w:val="clear" w:color="auto" w:fill="auto"/>
            <w:noWrap/>
            <w:vAlign w:val="center"/>
          </w:tcPr>
          <w:p w14:paraId="69052C7F">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1"/>
                <w:szCs w:val="21"/>
                <w:u w:val="none"/>
                <w:lang w:val="en-US" w:eastAsia="zh-CN" w:bidi="ar"/>
              </w:rPr>
              <w:t>平均值</w:t>
            </w:r>
          </w:p>
        </w:tc>
        <w:tc>
          <w:tcPr>
            <w:tcW w:w="1140" w:type="dxa"/>
            <w:tcBorders>
              <w:tl2br w:val="nil"/>
              <w:tr2bl w:val="nil"/>
            </w:tcBorders>
            <w:shd w:val="clear" w:color="auto" w:fill="auto"/>
            <w:noWrap/>
            <w:vAlign w:val="center"/>
          </w:tcPr>
          <w:p w14:paraId="1F639E68">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1"/>
                <w:szCs w:val="21"/>
                <w:u w:val="none"/>
                <w:lang w:val="en-US" w:eastAsia="zh-CN" w:bidi="ar"/>
              </w:rPr>
              <w:t>6.00E-02</w:t>
            </w:r>
          </w:p>
        </w:tc>
        <w:tc>
          <w:tcPr>
            <w:tcW w:w="825" w:type="dxa"/>
            <w:tcBorders>
              <w:tl2br w:val="nil"/>
              <w:tr2bl w:val="nil"/>
            </w:tcBorders>
            <w:shd w:val="clear" w:color="auto" w:fill="auto"/>
            <w:noWrap/>
            <w:vAlign w:val="center"/>
          </w:tcPr>
          <w:p w14:paraId="59D7568B">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1"/>
                <w:szCs w:val="21"/>
                <w:u w:val="none"/>
                <w:lang w:val="en-US" w:eastAsia="zh-CN" w:bidi="ar"/>
              </w:rPr>
              <w:t>0.07</w:t>
            </w:r>
          </w:p>
        </w:tc>
        <w:tc>
          <w:tcPr>
            <w:tcW w:w="765" w:type="dxa"/>
            <w:tcBorders>
              <w:tl2br w:val="nil"/>
              <w:tr2bl w:val="nil"/>
            </w:tcBorders>
            <w:shd w:val="clear" w:color="auto" w:fill="auto"/>
            <w:noWrap/>
            <w:vAlign w:val="center"/>
          </w:tcPr>
          <w:p w14:paraId="6025BF0E">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1"/>
                <w:szCs w:val="21"/>
                <w:u w:val="none"/>
                <w:lang w:val="en-US" w:eastAsia="zh-CN" w:bidi="ar"/>
              </w:rPr>
              <w:t>达标</w:t>
            </w:r>
          </w:p>
        </w:tc>
      </w:tr>
      <w:tr w14:paraId="4609EA9F">
        <w:tblPrEx>
          <w:tblBorders>
            <w:top w:val="thinThickSmallGap" w:color="000000" w:sz="12" w:space="0"/>
            <w:left w:val="none" w:color="auto" w:sz="0" w:space="0"/>
            <w:bottom w:val="thinThickSmallGap" w:color="000000" w:sz="12" w:space="0"/>
            <w:right w:val="none" w:color="auto" w:sz="0"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300" w:hRule="atLeast"/>
          <w:jc w:val="center"/>
        </w:trPr>
        <w:tc>
          <w:tcPr>
            <w:tcW w:w="525" w:type="dxa"/>
            <w:vMerge w:val="restart"/>
            <w:tcBorders>
              <w:tl2br w:val="nil"/>
              <w:tr2bl w:val="nil"/>
            </w:tcBorders>
            <w:shd w:val="clear" w:color="auto" w:fill="auto"/>
            <w:noWrap/>
            <w:vAlign w:val="center"/>
          </w:tcPr>
          <w:p w14:paraId="7743D393">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1"/>
                <w:szCs w:val="21"/>
                <w:u w:val="none"/>
                <w:lang w:val="en-US" w:eastAsia="zh-CN" w:bidi="ar"/>
              </w:rPr>
              <w:t>7</w:t>
            </w:r>
          </w:p>
        </w:tc>
        <w:tc>
          <w:tcPr>
            <w:tcW w:w="1140" w:type="dxa"/>
            <w:vMerge w:val="restart"/>
            <w:tcBorders>
              <w:tl2br w:val="nil"/>
              <w:tr2bl w:val="nil"/>
            </w:tcBorders>
            <w:shd w:val="clear" w:color="auto" w:fill="auto"/>
            <w:vAlign w:val="center"/>
          </w:tcPr>
          <w:p w14:paraId="58C0B1A5">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1"/>
                <w:szCs w:val="21"/>
                <w:u w:val="none"/>
                <w:lang w:val="en-US" w:eastAsia="zh-CN" w:bidi="ar"/>
              </w:rPr>
              <w:t>杨家堡子</w:t>
            </w:r>
          </w:p>
        </w:tc>
        <w:tc>
          <w:tcPr>
            <w:tcW w:w="1140" w:type="dxa"/>
            <w:vMerge w:val="restart"/>
            <w:tcBorders>
              <w:tl2br w:val="nil"/>
              <w:tr2bl w:val="nil"/>
            </w:tcBorders>
            <w:shd w:val="clear" w:color="auto" w:fill="auto"/>
            <w:noWrap/>
            <w:vAlign w:val="center"/>
          </w:tcPr>
          <w:p w14:paraId="2E8B5716">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1"/>
                <w:szCs w:val="21"/>
                <w:u w:val="none"/>
                <w:lang w:val="en-US" w:eastAsia="zh-CN" w:bidi="ar"/>
              </w:rPr>
              <w:t>1113,1984</w:t>
            </w:r>
          </w:p>
        </w:tc>
        <w:tc>
          <w:tcPr>
            <w:tcW w:w="945" w:type="dxa"/>
            <w:tcBorders>
              <w:tl2br w:val="nil"/>
              <w:tr2bl w:val="nil"/>
            </w:tcBorders>
            <w:shd w:val="clear" w:color="auto" w:fill="auto"/>
            <w:noWrap/>
            <w:vAlign w:val="center"/>
          </w:tcPr>
          <w:p w14:paraId="3F70A6AB">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default" w:ascii="Times New Roman" w:hAnsi="Times New Roman" w:eastAsia="宋体" w:cs="Times New Roman"/>
                <w:i w:val="0"/>
                <w:iCs w:val="0"/>
                <w:color w:val="0000FF"/>
                <w:kern w:val="0"/>
                <w:sz w:val="21"/>
                <w:szCs w:val="21"/>
                <w:u w:val="none"/>
                <w:lang w:val="en-US" w:eastAsia="zh-CN" w:bidi="ar"/>
              </w:rPr>
              <w:t>1小时</w:t>
            </w:r>
          </w:p>
        </w:tc>
        <w:tc>
          <w:tcPr>
            <w:tcW w:w="1110" w:type="dxa"/>
            <w:tcBorders>
              <w:tl2br w:val="nil"/>
              <w:tr2bl w:val="nil"/>
            </w:tcBorders>
            <w:shd w:val="clear" w:color="auto" w:fill="auto"/>
            <w:noWrap/>
            <w:vAlign w:val="center"/>
          </w:tcPr>
          <w:p w14:paraId="0DCBCAB5">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default" w:ascii="Times New Roman" w:hAnsi="Times New Roman" w:eastAsia="宋体" w:cs="Times New Roman"/>
                <w:i w:val="0"/>
                <w:iCs w:val="0"/>
                <w:color w:val="0000FF"/>
                <w:kern w:val="0"/>
                <w:sz w:val="21"/>
                <w:szCs w:val="21"/>
                <w:u w:val="none"/>
                <w:lang w:val="en-US" w:eastAsia="zh-CN" w:bidi="ar"/>
              </w:rPr>
              <w:t>2.20E-03</w:t>
            </w:r>
          </w:p>
        </w:tc>
        <w:tc>
          <w:tcPr>
            <w:tcW w:w="1350" w:type="dxa"/>
            <w:tcBorders>
              <w:tl2br w:val="nil"/>
              <w:tr2bl w:val="nil"/>
            </w:tcBorders>
            <w:shd w:val="clear" w:color="auto" w:fill="auto"/>
            <w:noWrap/>
            <w:vAlign w:val="center"/>
          </w:tcPr>
          <w:p w14:paraId="4DC5D7B8">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default" w:ascii="Times New Roman" w:hAnsi="Times New Roman" w:eastAsia="宋体" w:cs="Times New Roman"/>
                <w:i w:val="0"/>
                <w:iCs w:val="0"/>
                <w:color w:val="0000FF"/>
                <w:kern w:val="0"/>
                <w:sz w:val="21"/>
                <w:szCs w:val="21"/>
                <w:u w:val="none"/>
                <w:lang w:val="en-US" w:eastAsia="zh-CN" w:bidi="ar"/>
              </w:rPr>
              <w:t>24011511</w:t>
            </w:r>
          </w:p>
        </w:tc>
        <w:tc>
          <w:tcPr>
            <w:tcW w:w="1140" w:type="dxa"/>
            <w:tcBorders>
              <w:tl2br w:val="nil"/>
              <w:tr2bl w:val="nil"/>
            </w:tcBorders>
            <w:shd w:val="clear" w:color="auto" w:fill="auto"/>
            <w:noWrap/>
            <w:vAlign w:val="center"/>
          </w:tcPr>
          <w:p w14:paraId="3084443F">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default" w:ascii="Times New Roman" w:hAnsi="Times New Roman" w:eastAsia="宋体" w:cs="Times New Roman"/>
                <w:i w:val="0"/>
                <w:iCs w:val="0"/>
                <w:color w:val="0000FF"/>
                <w:kern w:val="0"/>
                <w:sz w:val="21"/>
                <w:szCs w:val="21"/>
                <w:u w:val="none"/>
                <w:lang w:val="en-US" w:eastAsia="zh-CN" w:bidi="ar"/>
              </w:rPr>
              <w:t>5.00E-01</w:t>
            </w:r>
          </w:p>
        </w:tc>
        <w:tc>
          <w:tcPr>
            <w:tcW w:w="825" w:type="dxa"/>
            <w:tcBorders>
              <w:tl2br w:val="nil"/>
              <w:tr2bl w:val="nil"/>
            </w:tcBorders>
            <w:shd w:val="clear" w:color="auto" w:fill="auto"/>
            <w:noWrap/>
            <w:vAlign w:val="center"/>
          </w:tcPr>
          <w:p w14:paraId="6B16C6B2">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default" w:ascii="Times New Roman" w:hAnsi="Times New Roman" w:eastAsia="宋体" w:cs="Times New Roman"/>
                <w:i w:val="0"/>
                <w:iCs w:val="0"/>
                <w:color w:val="0000FF"/>
                <w:kern w:val="0"/>
                <w:sz w:val="21"/>
                <w:szCs w:val="21"/>
                <w:u w:val="none"/>
                <w:lang w:val="en-US" w:eastAsia="zh-CN" w:bidi="ar"/>
              </w:rPr>
              <w:t>0.44</w:t>
            </w:r>
          </w:p>
        </w:tc>
        <w:tc>
          <w:tcPr>
            <w:tcW w:w="765" w:type="dxa"/>
            <w:tcBorders>
              <w:tl2br w:val="nil"/>
              <w:tr2bl w:val="nil"/>
            </w:tcBorders>
            <w:shd w:val="clear" w:color="auto" w:fill="auto"/>
            <w:noWrap/>
            <w:vAlign w:val="center"/>
          </w:tcPr>
          <w:p w14:paraId="44F85AF2">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default" w:ascii="Times New Roman" w:hAnsi="Times New Roman" w:eastAsia="宋体" w:cs="Times New Roman"/>
                <w:i w:val="0"/>
                <w:iCs w:val="0"/>
                <w:color w:val="0000FF"/>
                <w:kern w:val="0"/>
                <w:sz w:val="21"/>
                <w:szCs w:val="21"/>
                <w:u w:val="none"/>
                <w:lang w:val="en-US" w:eastAsia="zh-CN" w:bidi="ar"/>
              </w:rPr>
              <w:t>达标</w:t>
            </w:r>
          </w:p>
        </w:tc>
      </w:tr>
      <w:tr w14:paraId="45967CC1">
        <w:tblPrEx>
          <w:tblBorders>
            <w:top w:val="thinThickSmallGap" w:color="000000" w:sz="12" w:space="0"/>
            <w:left w:val="none" w:color="auto" w:sz="0" w:space="0"/>
            <w:bottom w:val="thinThickSmallGap" w:color="000000" w:sz="12" w:space="0"/>
            <w:right w:val="none" w:color="auto" w:sz="0"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300" w:hRule="atLeast"/>
          <w:jc w:val="center"/>
        </w:trPr>
        <w:tc>
          <w:tcPr>
            <w:tcW w:w="525" w:type="dxa"/>
            <w:vMerge w:val="continue"/>
            <w:tcBorders>
              <w:tl2br w:val="nil"/>
              <w:tr2bl w:val="nil"/>
            </w:tcBorders>
            <w:shd w:val="clear" w:color="auto" w:fill="auto"/>
            <w:noWrap/>
            <w:vAlign w:val="center"/>
          </w:tcPr>
          <w:p w14:paraId="15B348A1">
            <w:pPr>
              <w:keepNext w:val="0"/>
              <w:keepLines w:val="0"/>
              <w:pageBreakBefore w:val="0"/>
              <w:widowControl/>
              <w:kinsoku/>
              <w:wordWrap/>
              <w:overflowPunct/>
              <w:topLinePunct w:val="0"/>
              <w:autoSpaceDE/>
              <w:autoSpaceDN/>
              <w:bidi w:val="0"/>
              <w:adjustRightInd w:val="0"/>
              <w:snapToGrid w:val="0"/>
              <w:spacing w:line="240" w:lineRule="auto"/>
              <w:jc w:val="center"/>
              <w:rPr>
                <w:rFonts w:hint="default" w:ascii="Times New Roman" w:hAnsi="Times New Roman" w:eastAsia="宋体" w:cs="Times New Roman"/>
                <w:i w:val="0"/>
                <w:iCs w:val="0"/>
                <w:color w:val="0000FF"/>
                <w:sz w:val="21"/>
                <w:szCs w:val="21"/>
                <w:u w:val="none"/>
              </w:rPr>
            </w:pPr>
          </w:p>
        </w:tc>
        <w:tc>
          <w:tcPr>
            <w:tcW w:w="1140" w:type="dxa"/>
            <w:vMerge w:val="continue"/>
            <w:tcBorders>
              <w:tl2br w:val="nil"/>
              <w:tr2bl w:val="nil"/>
            </w:tcBorders>
            <w:shd w:val="clear" w:color="auto" w:fill="auto"/>
            <w:vAlign w:val="center"/>
          </w:tcPr>
          <w:p w14:paraId="7ED5D692">
            <w:pPr>
              <w:keepNext w:val="0"/>
              <w:keepLines w:val="0"/>
              <w:pageBreakBefore w:val="0"/>
              <w:widowControl/>
              <w:kinsoku/>
              <w:wordWrap/>
              <w:overflowPunct/>
              <w:topLinePunct w:val="0"/>
              <w:autoSpaceDE/>
              <w:autoSpaceDN/>
              <w:bidi w:val="0"/>
              <w:adjustRightInd w:val="0"/>
              <w:snapToGrid w:val="0"/>
              <w:spacing w:line="240" w:lineRule="auto"/>
              <w:jc w:val="center"/>
              <w:rPr>
                <w:rFonts w:hint="default" w:ascii="Times New Roman" w:hAnsi="Times New Roman" w:eastAsia="宋体" w:cs="Times New Roman"/>
                <w:i w:val="0"/>
                <w:iCs w:val="0"/>
                <w:color w:val="0000FF"/>
                <w:sz w:val="21"/>
                <w:szCs w:val="21"/>
                <w:u w:val="none"/>
              </w:rPr>
            </w:pPr>
          </w:p>
        </w:tc>
        <w:tc>
          <w:tcPr>
            <w:tcW w:w="1140" w:type="dxa"/>
            <w:vMerge w:val="continue"/>
            <w:tcBorders>
              <w:tl2br w:val="nil"/>
              <w:tr2bl w:val="nil"/>
            </w:tcBorders>
            <w:shd w:val="clear" w:color="auto" w:fill="auto"/>
            <w:noWrap/>
            <w:vAlign w:val="center"/>
          </w:tcPr>
          <w:p w14:paraId="4AE0E95B">
            <w:pPr>
              <w:keepNext w:val="0"/>
              <w:keepLines w:val="0"/>
              <w:pageBreakBefore w:val="0"/>
              <w:widowControl/>
              <w:kinsoku/>
              <w:wordWrap/>
              <w:overflowPunct/>
              <w:topLinePunct w:val="0"/>
              <w:autoSpaceDE/>
              <w:autoSpaceDN/>
              <w:bidi w:val="0"/>
              <w:adjustRightInd w:val="0"/>
              <w:snapToGrid w:val="0"/>
              <w:spacing w:line="240" w:lineRule="auto"/>
              <w:jc w:val="center"/>
              <w:rPr>
                <w:rFonts w:hint="default" w:ascii="Times New Roman" w:hAnsi="Times New Roman" w:eastAsia="宋体" w:cs="Times New Roman"/>
                <w:i w:val="0"/>
                <w:iCs w:val="0"/>
                <w:color w:val="0000FF"/>
                <w:sz w:val="21"/>
                <w:szCs w:val="21"/>
                <w:u w:val="none"/>
              </w:rPr>
            </w:pPr>
          </w:p>
        </w:tc>
        <w:tc>
          <w:tcPr>
            <w:tcW w:w="945" w:type="dxa"/>
            <w:tcBorders>
              <w:tl2br w:val="nil"/>
              <w:tr2bl w:val="nil"/>
            </w:tcBorders>
            <w:shd w:val="clear" w:color="auto" w:fill="auto"/>
            <w:noWrap/>
            <w:vAlign w:val="center"/>
          </w:tcPr>
          <w:p w14:paraId="76B3063B">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default" w:ascii="Times New Roman" w:hAnsi="Times New Roman" w:eastAsia="宋体" w:cs="Times New Roman"/>
                <w:i w:val="0"/>
                <w:iCs w:val="0"/>
                <w:color w:val="0000FF"/>
                <w:kern w:val="0"/>
                <w:sz w:val="21"/>
                <w:szCs w:val="21"/>
                <w:u w:val="none"/>
                <w:lang w:val="en-US" w:eastAsia="zh-CN" w:bidi="ar"/>
              </w:rPr>
              <w:t>日平均</w:t>
            </w:r>
          </w:p>
        </w:tc>
        <w:tc>
          <w:tcPr>
            <w:tcW w:w="1110" w:type="dxa"/>
            <w:tcBorders>
              <w:tl2br w:val="nil"/>
              <w:tr2bl w:val="nil"/>
            </w:tcBorders>
            <w:shd w:val="clear" w:color="auto" w:fill="auto"/>
            <w:noWrap/>
            <w:vAlign w:val="center"/>
          </w:tcPr>
          <w:p w14:paraId="51655B41">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default" w:ascii="Times New Roman" w:hAnsi="Times New Roman" w:eastAsia="宋体" w:cs="Times New Roman"/>
                <w:i w:val="0"/>
                <w:iCs w:val="0"/>
                <w:color w:val="0000FF"/>
                <w:kern w:val="0"/>
                <w:sz w:val="21"/>
                <w:szCs w:val="21"/>
                <w:u w:val="none"/>
                <w:lang w:val="en-US" w:eastAsia="zh-CN" w:bidi="ar"/>
              </w:rPr>
              <w:t>2.34E-04</w:t>
            </w:r>
          </w:p>
        </w:tc>
        <w:tc>
          <w:tcPr>
            <w:tcW w:w="1350" w:type="dxa"/>
            <w:tcBorders>
              <w:tl2br w:val="nil"/>
              <w:tr2bl w:val="nil"/>
            </w:tcBorders>
            <w:shd w:val="clear" w:color="auto" w:fill="auto"/>
            <w:noWrap/>
            <w:vAlign w:val="center"/>
          </w:tcPr>
          <w:p w14:paraId="18BE7886">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default" w:ascii="Times New Roman" w:hAnsi="Times New Roman" w:eastAsia="宋体" w:cs="Times New Roman"/>
                <w:i w:val="0"/>
                <w:iCs w:val="0"/>
                <w:color w:val="0000FF"/>
                <w:kern w:val="0"/>
                <w:sz w:val="21"/>
                <w:szCs w:val="21"/>
                <w:u w:val="none"/>
                <w:lang w:val="en-US" w:eastAsia="zh-CN" w:bidi="ar"/>
              </w:rPr>
              <w:t>240929</w:t>
            </w:r>
          </w:p>
        </w:tc>
        <w:tc>
          <w:tcPr>
            <w:tcW w:w="1140" w:type="dxa"/>
            <w:tcBorders>
              <w:tl2br w:val="nil"/>
              <w:tr2bl w:val="nil"/>
            </w:tcBorders>
            <w:shd w:val="clear" w:color="auto" w:fill="auto"/>
            <w:noWrap/>
            <w:vAlign w:val="center"/>
          </w:tcPr>
          <w:p w14:paraId="39D2D0A7">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default" w:ascii="Times New Roman" w:hAnsi="Times New Roman" w:eastAsia="宋体" w:cs="Times New Roman"/>
                <w:i w:val="0"/>
                <w:iCs w:val="0"/>
                <w:color w:val="0000FF"/>
                <w:kern w:val="0"/>
                <w:sz w:val="21"/>
                <w:szCs w:val="21"/>
                <w:u w:val="none"/>
                <w:lang w:val="en-US" w:eastAsia="zh-CN" w:bidi="ar"/>
              </w:rPr>
              <w:t>1.50E-01</w:t>
            </w:r>
          </w:p>
        </w:tc>
        <w:tc>
          <w:tcPr>
            <w:tcW w:w="825" w:type="dxa"/>
            <w:tcBorders>
              <w:tl2br w:val="nil"/>
              <w:tr2bl w:val="nil"/>
            </w:tcBorders>
            <w:shd w:val="clear" w:color="auto" w:fill="auto"/>
            <w:noWrap/>
            <w:vAlign w:val="center"/>
          </w:tcPr>
          <w:p w14:paraId="6D2FCEB7">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default" w:ascii="Times New Roman" w:hAnsi="Times New Roman" w:eastAsia="宋体" w:cs="Times New Roman"/>
                <w:i w:val="0"/>
                <w:iCs w:val="0"/>
                <w:color w:val="0000FF"/>
                <w:kern w:val="0"/>
                <w:sz w:val="21"/>
                <w:szCs w:val="21"/>
                <w:u w:val="none"/>
                <w:lang w:val="en-US" w:eastAsia="zh-CN" w:bidi="ar"/>
              </w:rPr>
              <w:t>0.16</w:t>
            </w:r>
          </w:p>
        </w:tc>
        <w:tc>
          <w:tcPr>
            <w:tcW w:w="765" w:type="dxa"/>
            <w:tcBorders>
              <w:tl2br w:val="nil"/>
              <w:tr2bl w:val="nil"/>
            </w:tcBorders>
            <w:shd w:val="clear" w:color="auto" w:fill="auto"/>
            <w:noWrap/>
            <w:vAlign w:val="center"/>
          </w:tcPr>
          <w:p w14:paraId="49DC820C">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default" w:ascii="Times New Roman" w:hAnsi="Times New Roman" w:eastAsia="宋体" w:cs="Times New Roman"/>
                <w:i w:val="0"/>
                <w:iCs w:val="0"/>
                <w:color w:val="0000FF"/>
                <w:kern w:val="0"/>
                <w:sz w:val="21"/>
                <w:szCs w:val="21"/>
                <w:u w:val="none"/>
                <w:lang w:val="en-US" w:eastAsia="zh-CN" w:bidi="ar"/>
              </w:rPr>
              <w:t>达标</w:t>
            </w:r>
          </w:p>
        </w:tc>
      </w:tr>
      <w:tr w14:paraId="1BDFC8C4">
        <w:tblPrEx>
          <w:tblBorders>
            <w:top w:val="thinThickSmallGap" w:color="000000" w:sz="12" w:space="0"/>
            <w:left w:val="none" w:color="auto" w:sz="0" w:space="0"/>
            <w:bottom w:val="thinThickSmallGap" w:color="000000" w:sz="12" w:space="0"/>
            <w:right w:val="none" w:color="auto" w:sz="0"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300" w:hRule="atLeast"/>
          <w:jc w:val="center"/>
        </w:trPr>
        <w:tc>
          <w:tcPr>
            <w:tcW w:w="525" w:type="dxa"/>
            <w:vMerge w:val="continue"/>
            <w:tcBorders>
              <w:tl2br w:val="nil"/>
              <w:tr2bl w:val="nil"/>
            </w:tcBorders>
            <w:shd w:val="clear" w:color="auto" w:fill="auto"/>
            <w:noWrap/>
            <w:vAlign w:val="center"/>
          </w:tcPr>
          <w:p w14:paraId="2CE2638A">
            <w:pPr>
              <w:keepNext w:val="0"/>
              <w:keepLines w:val="0"/>
              <w:pageBreakBefore w:val="0"/>
              <w:widowControl/>
              <w:kinsoku/>
              <w:wordWrap/>
              <w:overflowPunct/>
              <w:topLinePunct w:val="0"/>
              <w:autoSpaceDE/>
              <w:autoSpaceDN/>
              <w:bidi w:val="0"/>
              <w:adjustRightInd w:val="0"/>
              <w:snapToGrid w:val="0"/>
              <w:spacing w:line="240" w:lineRule="auto"/>
              <w:jc w:val="center"/>
              <w:rPr>
                <w:rFonts w:hint="default" w:ascii="Times New Roman" w:hAnsi="Times New Roman" w:eastAsia="宋体" w:cs="Times New Roman"/>
                <w:i w:val="0"/>
                <w:iCs w:val="0"/>
                <w:color w:val="0000FF"/>
                <w:sz w:val="21"/>
                <w:szCs w:val="21"/>
                <w:u w:val="none"/>
              </w:rPr>
            </w:pPr>
          </w:p>
        </w:tc>
        <w:tc>
          <w:tcPr>
            <w:tcW w:w="1140" w:type="dxa"/>
            <w:vMerge w:val="continue"/>
            <w:tcBorders>
              <w:tl2br w:val="nil"/>
              <w:tr2bl w:val="nil"/>
            </w:tcBorders>
            <w:shd w:val="clear" w:color="auto" w:fill="auto"/>
            <w:vAlign w:val="center"/>
          </w:tcPr>
          <w:p w14:paraId="52CD4063">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sz w:val="21"/>
                <w:szCs w:val="21"/>
                <w:u w:val="none"/>
              </w:rPr>
            </w:pPr>
          </w:p>
        </w:tc>
        <w:tc>
          <w:tcPr>
            <w:tcW w:w="1140" w:type="dxa"/>
            <w:vMerge w:val="continue"/>
            <w:tcBorders>
              <w:tl2br w:val="nil"/>
              <w:tr2bl w:val="nil"/>
            </w:tcBorders>
            <w:shd w:val="clear" w:color="auto" w:fill="auto"/>
            <w:noWrap/>
            <w:vAlign w:val="center"/>
          </w:tcPr>
          <w:p w14:paraId="5AE6029E">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sz w:val="21"/>
                <w:szCs w:val="21"/>
                <w:u w:val="none"/>
              </w:rPr>
            </w:pPr>
          </w:p>
        </w:tc>
        <w:tc>
          <w:tcPr>
            <w:tcW w:w="945" w:type="dxa"/>
            <w:tcBorders>
              <w:tl2br w:val="nil"/>
              <w:tr2bl w:val="nil"/>
            </w:tcBorders>
            <w:shd w:val="clear" w:color="auto" w:fill="auto"/>
            <w:noWrap/>
            <w:vAlign w:val="center"/>
          </w:tcPr>
          <w:p w14:paraId="66EBC92E">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default" w:ascii="Times New Roman" w:hAnsi="Times New Roman" w:eastAsia="宋体" w:cs="Times New Roman"/>
                <w:i w:val="0"/>
                <w:iCs w:val="0"/>
                <w:color w:val="0000FF"/>
                <w:kern w:val="0"/>
                <w:sz w:val="21"/>
                <w:szCs w:val="21"/>
                <w:u w:val="none"/>
                <w:lang w:val="en-US" w:eastAsia="zh-CN" w:bidi="ar"/>
              </w:rPr>
              <w:t>全时段</w:t>
            </w:r>
          </w:p>
        </w:tc>
        <w:tc>
          <w:tcPr>
            <w:tcW w:w="1110" w:type="dxa"/>
            <w:tcBorders>
              <w:tl2br w:val="nil"/>
              <w:tr2bl w:val="nil"/>
            </w:tcBorders>
            <w:shd w:val="clear" w:color="auto" w:fill="auto"/>
            <w:noWrap/>
            <w:vAlign w:val="center"/>
          </w:tcPr>
          <w:p w14:paraId="4AC4A23B">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default" w:ascii="Times New Roman" w:hAnsi="Times New Roman" w:eastAsia="宋体" w:cs="Times New Roman"/>
                <w:i w:val="0"/>
                <w:iCs w:val="0"/>
                <w:color w:val="0000FF"/>
                <w:kern w:val="0"/>
                <w:sz w:val="21"/>
                <w:szCs w:val="21"/>
                <w:u w:val="none"/>
                <w:lang w:val="en-US" w:eastAsia="zh-CN" w:bidi="ar"/>
              </w:rPr>
              <w:t>3.27E-05</w:t>
            </w:r>
          </w:p>
        </w:tc>
        <w:tc>
          <w:tcPr>
            <w:tcW w:w="1350" w:type="dxa"/>
            <w:tcBorders>
              <w:tl2br w:val="nil"/>
              <w:tr2bl w:val="nil"/>
            </w:tcBorders>
            <w:shd w:val="clear" w:color="auto" w:fill="auto"/>
            <w:noWrap/>
            <w:vAlign w:val="center"/>
          </w:tcPr>
          <w:p w14:paraId="6755EFFA">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default" w:ascii="Times New Roman" w:hAnsi="Times New Roman" w:eastAsia="宋体" w:cs="Times New Roman"/>
                <w:i w:val="0"/>
                <w:iCs w:val="0"/>
                <w:color w:val="0000FF"/>
                <w:kern w:val="0"/>
                <w:sz w:val="21"/>
                <w:szCs w:val="21"/>
                <w:u w:val="none"/>
                <w:lang w:val="en-US" w:eastAsia="zh-CN" w:bidi="ar"/>
              </w:rPr>
              <w:t>平均值</w:t>
            </w:r>
          </w:p>
        </w:tc>
        <w:tc>
          <w:tcPr>
            <w:tcW w:w="1140" w:type="dxa"/>
            <w:tcBorders>
              <w:tl2br w:val="nil"/>
              <w:tr2bl w:val="nil"/>
            </w:tcBorders>
            <w:shd w:val="clear" w:color="auto" w:fill="auto"/>
            <w:noWrap/>
            <w:vAlign w:val="center"/>
          </w:tcPr>
          <w:p w14:paraId="70777333">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default" w:ascii="Times New Roman" w:hAnsi="Times New Roman" w:eastAsia="宋体" w:cs="Times New Roman"/>
                <w:i w:val="0"/>
                <w:iCs w:val="0"/>
                <w:color w:val="0000FF"/>
                <w:kern w:val="0"/>
                <w:sz w:val="21"/>
                <w:szCs w:val="21"/>
                <w:u w:val="none"/>
                <w:lang w:val="en-US" w:eastAsia="zh-CN" w:bidi="ar"/>
              </w:rPr>
              <w:t>6.00E-02</w:t>
            </w:r>
          </w:p>
        </w:tc>
        <w:tc>
          <w:tcPr>
            <w:tcW w:w="825" w:type="dxa"/>
            <w:tcBorders>
              <w:tl2br w:val="nil"/>
              <w:tr2bl w:val="nil"/>
            </w:tcBorders>
            <w:shd w:val="clear" w:color="auto" w:fill="auto"/>
            <w:noWrap/>
            <w:vAlign w:val="center"/>
          </w:tcPr>
          <w:p w14:paraId="3627503D">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default" w:ascii="Times New Roman" w:hAnsi="Times New Roman" w:eastAsia="宋体" w:cs="Times New Roman"/>
                <w:i w:val="0"/>
                <w:iCs w:val="0"/>
                <w:color w:val="0000FF"/>
                <w:kern w:val="0"/>
                <w:sz w:val="21"/>
                <w:szCs w:val="21"/>
                <w:u w:val="none"/>
                <w:lang w:val="en-US" w:eastAsia="zh-CN" w:bidi="ar"/>
              </w:rPr>
              <w:t>0.05</w:t>
            </w:r>
          </w:p>
        </w:tc>
        <w:tc>
          <w:tcPr>
            <w:tcW w:w="765" w:type="dxa"/>
            <w:tcBorders>
              <w:tl2br w:val="nil"/>
              <w:tr2bl w:val="nil"/>
            </w:tcBorders>
            <w:shd w:val="clear" w:color="auto" w:fill="auto"/>
            <w:noWrap/>
            <w:vAlign w:val="center"/>
          </w:tcPr>
          <w:p w14:paraId="71CD3DDA">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default" w:ascii="Times New Roman" w:hAnsi="Times New Roman" w:eastAsia="宋体" w:cs="Times New Roman"/>
                <w:i w:val="0"/>
                <w:iCs w:val="0"/>
                <w:color w:val="0000FF"/>
                <w:kern w:val="0"/>
                <w:sz w:val="21"/>
                <w:szCs w:val="21"/>
                <w:u w:val="none"/>
                <w:lang w:val="en-US" w:eastAsia="zh-CN" w:bidi="ar"/>
              </w:rPr>
              <w:t>达标</w:t>
            </w:r>
          </w:p>
        </w:tc>
      </w:tr>
      <w:tr w14:paraId="73A1382D">
        <w:tblPrEx>
          <w:tblBorders>
            <w:top w:val="thinThickSmallGap" w:color="000000" w:sz="12" w:space="0"/>
            <w:left w:val="none" w:color="auto" w:sz="0" w:space="0"/>
            <w:bottom w:val="thinThickSmallGap" w:color="000000" w:sz="12" w:space="0"/>
            <w:right w:val="none" w:color="auto" w:sz="0"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300" w:hRule="atLeast"/>
          <w:jc w:val="center"/>
        </w:trPr>
        <w:tc>
          <w:tcPr>
            <w:tcW w:w="525" w:type="dxa"/>
            <w:vMerge w:val="restart"/>
            <w:tcBorders>
              <w:tl2br w:val="nil"/>
              <w:tr2bl w:val="nil"/>
            </w:tcBorders>
            <w:shd w:val="clear" w:color="auto" w:fill="auto"/>
            <w:noWrap/>
            <w:vAlign w:val="center"/>
          </w:tcPr>
          <w:p w14:paraId="3F2FAFA5">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1"/>
                <w:szCs w:val="21"/>
                <w:u w:val="none"/>
                <w:lang w:val="en-US" w:eastAsia="zh-CN" w:bidi="ar"/>
              </w:rPr>
              <w:t>8</w:t>
            </w:r>
          </w:p>
        </w:tc>
        <w:tc>
          <w:tcPr>
            <w:tcW w:w="1140" w:type="dxa"/>
            <w:vMerge w:val="restart"/>
            <w:tcBorders>
              <w:tl2br w:val="nil"/>
              <w:tr2bl w:val="nil"/>
            </w:tcBorders>
            <w:shd w:val="clear" w:color="auto" w:fill="auto"/>
            <w:vAlign w:val="center"/>
          </w:tcPr>
          <w:p w14:paraId="76108B8D">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1"/>
                <w:szCs w:val="21"/>
                <w:u w:val="none"/>
                <w:lang w:val="en-US" w:eastAsia="zh-CN" w:bidi="ar"/>
              </w:rPr>
              <w:t>网格</w:t>
            </w:r>
          </w:p>
        </w:tc>
        <w:tc>
          <w:tcPr>
            <w:tcW w:w="1140" w:type="dxa"/>
            <w:tcBorders>
              <w:tl2br w:val="nil"/>
              <w:tr2bl w:val="nil"/>
            </w:tcBorders>
            <w:shd w:val="clear" w:color="auto" w:fill="auto"/>
            <w:noWrap/>
            <w:vAlign w:val="center"/>
          </w:tcPr>
          <w:p w14:paraId="353A0096">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1"/>
                <w:szCs w:val="21"/>
                <w:u w:val="none"/>
                <w:lang w:val="en-US" w:eastAsia="zh-CN" w:bidi="ar"/>
              </w:rPr>
              <w:t>28,931</w:t>
            </w:r>
          </w:p>
        </w:tc>
        <w:tc>
          <w:tcPr>
            <w:tcW w:w="945" w:type="dxa"/>
            <w:tcBorders>
              <w:tl2br w:val="nil"/>
              <w:tr2bl w:val="nil"/>
            </w:tcBorders>
            <w:shd w:val="clear" w:color="auto" w:fill="auto"/>
            <w:noWrap/>
            <w:vAlign w:val="center"/>
          </w:tcPr>
          <w:p w14:paraId="33A2B3A0">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default" w:ascii="Times New Roman" w:hAnsi="Times New Roman" w:eastAsia="宋体" w:cs="Times New Roman"/>
                <w:i w:val="0"/>
                <w:iCs w:val="0"/>
                <w:color w:val="0000FF"/>
                <w:kern w:val="0"/>
                <w:sz w:val="21"/>
                <w:szCs w:val="21"/>
                <w:u w:val="none"/>
                <w:lang w:val="en-US" w:eastAsia="zh-CN" w:bidi="ar"/>
              </w:rPr>
              <w:t>1小时</w:t>
            </w:r>
          </w:p>
        </w:tc>
        <w:tc>
          <w:tcPr>
            <w:tcW w:w="1110" w:type="dxa"/>
            <w:tcBorders>
              <w:tl2br w:val="nil"/>
              <w:tr2bl w:val="nil"/>
            </w:tcBorders>
            <w:shd w:val="clear" w:color="auto" w:fill="auto"/>
            <w:noWrap/>
            <w:vAlign w:val="center"/>
          </w:tcPr>
          <w:p w14:paraId="13D5A2B8">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default" w:ascii="Times New Roman" w:hAnsi="Times New Roman" w:eastAsia="宋体" w:cs="Times New Roman"/>
                <w:i w:val="0"/>
                <w:iCs w:val="0"/>
                <w:color w:val="0000FF"/>
                <w:kern w:val="0"/>
                <w:sz w:val="21"/>
                <w:szCs w:val="21"/>
                <w:u w:val="none"/>
                <w:lang w:val="en-US" w:eastAsia="zh-CN" w:bidi="ar"/>
              </w:rPr>
              <w:t>5.78E-02</w:t>
            </w:r>
          </w:p>
        </w:tc>
        <w:tc>
          <w:tcPr>
            <w:tcW w:w="1350" w:type="dxa"/>
            <w:tcBorders>
              <w:tl2br w:val="nil"/>
              <w:tr2bl w:val="nil"/>
            </w:tcBorders>
            <w:shd w:val="clear" w:color="auto" w:fill="auto"/>
            <w:noWrap/>
            <w:vAlign w:val="center"/>
          </w:tcPr>
          <w:p w14:paraId="3B4E4DF4">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default" w:ascii="Times New Roman" w:hAnsi="Times New Roman" w:eastAsia="宋体" w:cs="Times New Roman"/>
                <w:i w:val="0"/>
                <w:iCs w:val="0"/>
                <w:color w:val="0000FF"/>
                <w:kern w:val="0"/>
                <w:sz w:val="21"/>
                <w:szCs w:val="21"/>
                <w:u w:val="none"/>
                <w:lang w:val="en-US" w:eastAsia="zh-CN" w:bidi="ar"/>
              </w:rPr>
              <w:t>24102923</w:t>
            </w:r>
          </w:p>
        </w:tc>
        <w:tc>
          <w:tcPr>
            <w:tcW w:w="1140" w:type="dxa"/>
            <w:tcBorders>
              <w:tl2br w:val="nil"/>
              <w:tr2bl w:val="nil"/>
            </w:tcBorders>
            <w:shd w:val="clear" w:color="auto" w:fill="auto"/>
            <w:noWrap/>
            <w:vAlign w:val="center"/>
          </w:tcPr>
          <w:p w14:paraId="299C8912">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default" w:ascii="Times New Roman" w:hAnsi="Times New Roman" w:eastAsia="宋体" w:cs="Times New Roman"/>
                <w:i w:val="0"/>
                <w:iCs w:val="0"/>
                <w:color w:val="0000FF"/>
                <w:kern w:val="0"/>
                <w:sz w:val="21"/>
                <w:szCs w:val="21"/>
                <w:u w:val="none"/>
                <w:lang w:val="en-US" w:eastAsia="zh-CN" w:bidi="ar"/>
              </w:rPr>
              <w:t>5.00E-01</w:t>
            </w:r>
          </w:p>
        </w:tc>
        <w:tc>
          <w:tcPr>
            <w:tcW w:w="825" w:type="dxa"/>
            <w:tcBorders>
              <w:tl2br w:val="nil"/>
              <w:tr2bl w:val="nil"/>
            </w:tcBorders>
            <w:shd w:val="clear" w:color="auto" w:fill="auto"/>
            <w:noWrap/>
            <w:vAlign w:val="center"/>
          </w:tcPr>
          <w:p w14:paraId="64278B7F">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default" w:ascii="Times New Roman" w:hAnsi="Times New Roman" w:eastAsia="宋体" w:cs="Times New Roman"/>
                <w:i w:val="0"/>
                <w:iCs w:val="0"/>
                <w:color w:val="0000FF"/>
                <w:kern w:val="0"/>
                <w:sz w:val="21"/>
                <w:szCs w:val="21"/>
                <w:u w:val="none"/>
                <w:lang w:val="en-US" w:eastAsia="zh-CN" w:bidi="ar"/>
              </w:rPr>
              <w:t>11.56</w:t>
            </w:r>
          </w:p>
        </w:tc>
        <w:tc>
          <w:tcPr>
            <w:tcW w:w="765" w:type="dxa"/>
            <w:tcBorders>
              <w:tl2br w:val="nil"/>
              <w:tr2bl w:val="nil"/>
            </w:tcBorders>
            <w:shd w:val="clear" w:color="auto" w:fill="auto"/>
            <w:noWrap/>
            <w:vAlign w:val="center"/>
          </w:tcPr>
          <w:p w14:paraId="1BBEC7F9">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default" w:ascii="Times New Roman" w:hAnsi="Times New Roman" w:eastAsia="宋体" w:cs="Times New Roman"/>
                <w:i w:val="0"/>
                <w:iCs w:val="0"/>
                <w:color w:val="0000FF"/>
                <w:kern w:val="0"/>
                <w:sz w:val="21"/>
                <w:szCs w:val="21"/>
                <w:u w:val="none"/>
                <w:lang w:val="en-US" w:eastAsia="zh-CN" w:bidi="ar"/>
              </w:rPr>
              <w:t>达标</w:t>
            </w:r>
          </w:p>
        </w:tc>
      </w:tr>
      <w:tr w14:paraId="4BF09FFE">
        <w:tblPrEx>
          <w:tblBorders>
            <w:top w:val="thinThickSmallGap" w:color="000000" w:sz="12" w:space="0"/>
            <w:left w:val="none" w:color="auto" w:sz="0" w:space="0"/>
            <w:bottom w:val="thinThickSmallGap"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00" w:hRule="atLeast"/>
          <w:jc w:val="center"/>
        </w:trPr>
        <w:tc>
          <w:tcPr>
            <w:tcW w:w="525" w:type="dxa"/>
            <w:vMerge w:val="continue"/>
            <w:tcBorders>
              <w:tl2br w:val="nil"/>
              <w:tr2bl w:val="nil"/>
            </w:tcBorders>
            <w:shd w:val="clear" w:color="auto" w:fill="auto"/>
            <w:noWrap/>
            <w:vAlign w:val="center"/>
          </w:tcPr>
          <w:p w14:paraId="57A14A55">
            <w:pPr>
              <w:keepNext w:val="0"/>
              <w:keepLines w:val="0"/>
              <w:pageBreakBefore w:val="0"/>
              <w:widowControl/>
              <w:kinsoku/>
              <w:wordWrap/>
              <w:overflowPunct/>
              <w:topLinePunct w:val="0"/>
              <w:autoSpaceDE/>
              <w:autoSpaceDN/>
              <w:bidi w:val="0"/>
              <w:adjustRightInd w:val="0"/>
              <w:snapToGrid w:val="0"/>
              <w:spacing w:line="240" w:lineRule="auto"/>
              <w:jc w:val="center"/>
              <w:rPr>
                <w:rFonts w:hint="default" w:ascii="Times New Roman" w:hAnsi="Times New Roman" w:eastAsia="宋体" w:cs="Times New Roman"/>
                <w:i w:val="0"/>
                <w:iCs w:val="0"/>
                <w:color w:val="0000FF"/>
                <w:sz w:val="21"/>
                <w:szCs w:val="21"/>
                <w:u w:val="none"/>
              </w:rPr>
            </w:pPr>
          </w:p>
        </w:tc>
        <w:tc>
          <w:tcPr>
            <w:tcW w:w="1140" w:type="dxa"/>
            <w:vMerge w:val="continue"/>
            <w:tcBorders>
              <w:tl2br w:val="nil"/>
              <w:tr2bl w:val="nil"/>
            </w:tcBorders>
            <w:shd w:val="clear" w:color="auto" w:fill="auto"/>
            <w:vAlign w:val="center"/>
          </w:tcPr>
          <w:p w14:paraId="7B7860AE">
            <w:pPr>
              <w:keepNext w:val="0"/>
              <w:keepLines w:val="0"/>
              <w:pageBreakBefore w:val="0"/>
              <w:widowControl/>
              <w:kinsoku/>
              <w:wordWrap/>
              <w:overflowPunct/>
              <w:topLinePunct w:val="0"/>
              <w:autoSpaceDE/>
              <w:autoSpaceDN/>
              <w:bidi w:val="0"/>
              <w:adjustRightInd w:val="0"/>
              <w:snapToGrid w:val="0"/>
              <w:spacing w:line="240" w:lineRule="auto"/>
              <w:jc w:val="center"/>
              <w:rPr>
                <w:rFonts w:hint="default" w:ascii="Times New Roman" w:hAnsi="Times New Roman" w:eastAsia="宋体" w:cs="Times New Roman"/>
                <w:i w:val="0"/>
                <w:iCs w:val="0"/>
                <w:color w:val="0000FF"/>
                <w:sz w:val="21"/>
                <w:szCs w:val="21"/>
                <w:u w:val="none"/>
              </w:rPr>
            </w:pPr>
          </w:p>
        </w:tc>
        <w:tc>
          <w:tcPr>
            <w:tcW w:w="1140" w:type="dxa"/>
            <w:tcBorders>
              <w:tl2br w:val="nil"/>
              <w:tr2bl w:val="nil"/>
            </w:tcBorders>
            <w:shd w:val="clear" w:color="auto" w:fill="auto"/>
            <w:noWrap/>
            <w:vAlign w:val="center"/>
          </w:tcPr>
          <w:p w14:paraId="0DE24E6D">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1"/>
                <w:szCs w:val="21"/>
                <w:u w:val="none"/>
                <w:lang w:val="en-US" w:eastAsia="zh-CN" w:bidi="ar"/>
              </w:rPr>
              <w:t>28,931</w:t>
            </w:r>
          </w:p>
        </w:tc>
        <w:tc>
          <w:tcPr>
            <w:tcW w:w="945" w:type="dxa"/>
            <w:tcBorders>
              <w:tl2br w:val="nil"/>
              <w:tr2bl w:val="nil"/>
            </w:tcBorders>
            <w:shd w:val="clear" w:color="auto" w:fill="auto"/>
            <w:noWrap/>
            <w:vAlign w:val="center"/>
          </w:tcPr>
          <w:p w14:paraId="39FDCE5A">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default" w:ascii="Times New Roman" w:hAnsi="Times New Roman" w:eastAsia="宋体" w:cs="Times New Roman"/>
                <w:i w:val="0"/>
                <w:iCs w:val="0"/>
                <w:color w:val="0000FF"/>
                <w:kern w:val="0"/>
                <w:sz w:val="21"/>
                <w:szCs w:val="21"/>
                <w:u w:val="none"/>
                <w:lang w:val="en-US" w:eastAsia="zh-CN" w:bidi="ar"/>
              </w:rPr>
              <w:t>日平均</w:t>
            </w:r>
          </w:p>
        </w:tc>
        <w:tc>
          <w:tcPr>
            <w:tcW w:w="1110" w:type="dxa"/>
            <w:tcBorders>
              <w:tl2br w:val="nil"/>
              <w:tr2bl w:val="nil"/>
            </w:tcBorders>
            <w:shd w:val="clear" w:color="auto" w:fill="auto"/>
            <w:noWrap/>
            <w:vAlign w:val="center"/>
          </w:tcPr>
          <w:p w14:paraId="0549E39A">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default" w:ascii="Times New Roman" w:hAnsi="Times New Roman" w:eastAsia="宋体" w:cs="Times New Roman"/>
                <w:i w:val="0"/>
                <w:iCs w:val="0"/>
                <w:color w:val="0000FF"/>
                <w:kern w:val="0"/>
                <w:sz w:val="21"/>
                <w:szCs w:val="21"/>
                <w:u w:val="none"/>
                <w:lang w:val="en-US" w:eastAsia="zh-CN" w:bidi="ar"/>
              </w:rPr>
              <w:t>7.11E-03</w:t>
            </w:r>
          </w:p>
        </w:tc>
        <w:tc>
          <w:tcPr>
            <w:tcW w:w="1350" w:type="dxa"/>
            <w:tcBorders>
              <w:tl2br w:val="nil"/>
              <w:tr2bl w:val="nil"/>
            </w:tcBorders>
            <w:shd w:val="clear" w:color="auto" w:fill="auto"/>
            <w:noWrap/>
            <w:vAlign w:val="center"/>
          </w:tcPr>
          <w:p w14:paraId="020F00BF">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default" w:ascii="Times New Roman" w:hAnsi="Times New Roman" w:eastAsia="宋体" w:cs="Times New Roman"/>
                <w:i w:val="0"/>
                <w:iCs w:val="0"/>
                <w:color w:val="0000FF"/>
                <w:kern w:val="0"/>
                <w:sz w:val="21"/>
                <w:szCs w:val="21"/>
                <w:u w:val="none"/>
                <w:lang w:val="en-US" w:eastAsia="zh-CN" w:bidi="ar"/>
              </w:rPr>
              <w:t>240306</w:t>
            </w:r>
          </w:p>
        </w:tc>
        <w:tc>
          <w:tcPr>
            <w:tcW w:w="1140" w:type="dxa"/>
            <w:tcBorders>
              <w:tl2br w:val="nil"/>
              <w:tr2bl w:val="nil"/>
            </w:tcBorders>
            <w:shd w:val="clear" w:color="auto" w:fill="auto"/>
            <w:noWrap/>
            <w:vAlign w:val="center"/>
          </w:tcPr>
          <w:p w14:paraId="17992276">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default" w:ascii="Times New Roman" w:hAnsi="Times New Roman" w:eastAsia="宋体" w:cs="Times New Roman"/>
                <w:i w:val="0"/>
                <w:iCs w:val="0"/>
                <w:color w:val="0000FF"/>
                <w:kern w:val="0"/>
                <w:sz w:val="21"/>
                <w:szCs w:val="21"/>
                <w:u w:val="none"/>
                <w:lang w:val="en-US" w:eastAsia="zh-CN" w:bidi="ar"/>
              </w:rPr>
              <w:t>1.50E-01</w:t>
            </w:r>
          </w:p>
        </w:tc>
        <w:tc>
          <w:tcPr>
            <w:tcW w:w="825" w:type="dxa"/>
            <w:tcBorders>
              <w:tl2br w:val="nil"/>
              <w:tr2bl w:val="nil"/>
            </w:tcBorders>
            <w:shd w:val="clear" w:color="auto" w:fill="auto"/>
            <w:noWrap/>
            <w:vAlign w:val="center"/>
          </w:tcPr>
          <w:p w14:paraId="181416C5">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default" w:ascii="Times New Roman" w:hAnsi="Times New Roman" w:eastAsia="宋体" w:cs="Times New Roman"/>
                <w:i w:val="0"/>
                <w:iCs w:val="0"/>
                <w:color w:val="0000FF"/>
                <w:kern w:val="0"/>
                <w:sz w:val="21"/>
                <w:szCs w:val="21"/>
                <w:u w:val="none"/>
                <w:lang w:val="en-US" w:eastAsia="zh-CN" w:bidi="ar"/>
              </w:rPr>
              <w:t>4.74</w:t>
            </w:r>
          </w:p>
        </w:tc>
        <w:tc>
          <w:tcPr>
            <w:tcW w:w="765" w:type="dxa"/>
            <w:tcBorders>
              <w:tl2br w:val="nil"/>
              <w:tr2bl w:val="nil"/>
            </w:tcBorders>
            <w:shd w:val="clear" w:color="auto" w:fill="auto"/>
            <w:noWrap/>
            <w:vAlign w:val="center"/>
          </w:tcPr>
          <w:p w14:paraId="3D1DE5AE">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default" w:ascii="Times New Roman" w:hAnsi="Times New Roman" w:eastAsia="宋体" w:cs="Times New Roman"/>
                <w:i w:val="0"/>
                <w:iCs w:val="0"/>
                <w:color w:val="0000FF"/>
                <w:kern w:val="0"/>
                <w:sz w:val="21"/>
                <w:szCs w:val="21"/>
                <w:u w:val="none"/>
                <w:lang w:val="en-US" w:eastAsia="zh-CN" w:bidi="ar"/>
              </w:rPr>
              <w:t>达标</w:t>
            </w:r>
          </w:p>
        </w:tc>
      </w:tr>
      <w:tr w14:paraId="2C152214">
        <w:tblPrEx>
          <w:tblBorders>
            <w:top w:val="thinThickSmallGap" w:color="000000" w:sz="12" w:space="0"/>
            <w:left w:val="none" w:color="auto" w:sz="0" w:space="0"/>
            <w:bottom w:val="thinThickSmallGap" w:color="000000" w:sz="12" w:space="0"/>
            <w:right w:val="none" w:color="auto" w:sz="0"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300" w:hRule="atLeast"/>
          <w:jc w:val="center"/>
        </w:trPr>
        <w:tc>
          <w:tcPr>
            <w:tcW w:w="525" w:type="dxa"/>
            <w:vMerge w:val="continue"/>
            <w:tcBorders>
              <w:tl2br w:val="nil"/>
              <w:tr2bl w:val="nil"/>
            </w:tcBorders>
            <w:shd w:val="clear" w:color="auto" w:fill="auto"/>
            <w:noWrap/>
            <w:vAlign w:val="center"/>
          </w:tcPr>
          <w:p w14:paraId="23F26C13">
            <w:pPr>
              <w:keepNext w:val="0"/>
              <w:keepLines w:val="0"/>
              <w:pageBreakBefore w:val="0"/>
              <w:widowControl/>
              <w:kinsoku/>
              <w:wordWrap/>
              <w:overflowPunct/>
              <w:topLinePunct w:val="0"/>
              <w:autoSpaceDE/>
              <w:autoSpaceDN/>
              <w:bidi w:val="0"/>
              <w:adjustRightInd w:val="0"/>
              <w:snapToGrid w:val="0"/>
              <w:spacing w:line="240" w:lineRule="auto"/>
              <w:jc w:val="center"/>
              <w:rPr>
                <w:rFonts w:hint="default" w:ascii="Times New Roman" w:hAnsi="Times New Roman" w:eastAsia="宋体" w:cs="Times New Roman"/>
                <w:i w:val="0"/>
                <w:iCs w:val="0"/>
                <w:color w:val="0000FF"/>
                <w:sz w:val="21"/>
                <w:szCs w:val="21"/>
                <w:u w:val="none"/>
              </w:rPr>
            </w:pPr>
          </w:p>
        </w:tc>
        <w:tc>
          <w:tcPr>
            <w:tcW w:w="1140" w:type="dxa"/>
            <w:vMerge w:val="continue"/>
            <w:tcBorders>
              <w:tl2br w:val="nil"/>
              <w:tr2bl w:val="nil"/>
            </w:tcBorders>
            <w:shd w:val="clear" w:color="auto" w:fill="auto"/>
            <w:vAlign w:val="center"/>
          </w:tcPr>
          <w:p w14:paraId="711B0666">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sz w:val="21"/>
                <w:szCs w:val="21"/>
                <w:u w:val="none"/>
              </w:rPr>
            </w:pPr>
          </w:p>
        </w:tc>
        <w:tc>
          <w:tcPr>
            <w:tcW w:w="1140" w:type="dxa"/>
            <w:tcBorders>
              <w:tl2br w:val="nil"/>
              <w:tr2bl w:val="nil"/>
            </w:tcBorders>
            <w:shd w:val="clear" w:color="auto" w:fill="auto"/>
            <w:noWrap/>
            <w:vAlign w:val="center"/>
          </w:tcPr>
          <w:p w14:paraId="1CC866EE">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1"/>
                <w:szCs w:val="21"/>
                <w:u w:val="none"/>
                <w:lang w:val="en-US" w:eastAsia="zh-CN" w:bidi="ar"/>
              </w:rPr>
              <w:t>28,931</w:t>
            </w:r>
          </w:p>
        </w:tc>
        <w:tc>
          <w:tcPr>
            <w:tcW w:w="945" w:type="dxa"/>
            <w:tcBorders>
              <w:tl2br w:val="nil"/>
              <w:tr2bl w:val="nil"/>
            </w:tcBorders>
            <w:shd w:val="clear" w:color="auto" w:fill="auto"/>
            <w:noWrap/>
            <w:vAlign w:val="center"/>
          </w:tcPr>
          <w:p w14:paraId="06A54F84">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default" w:ascii="Times New Roman" w:hAnsi="Times New Roman" w:eastAsia="宋体" w:cs="Times New Roman"/>
                <w:i w:val="0"/>
                <w:iCs w:val="0"/>
                <w:color w:val="0000FF"/>
                <w:kern w:val="0"/>
                <w:sz w:val="21"/>
                <w:szCs w:val="21"/>
                <w:u w:val="none"/>
                <w:lang w:val="en-US" w:eastAsia="zh-CN" w:bidi="ar"/>
              </w:rPr>
              <w:t>全时段</w:t>
            </w:r>
          </w:p>
        </w:tc>
        <w:tc>
          <w:tcPr>
            <w:tcW w:w="1110" w:type="dxa"/>
            <w:tcBorders>
              <w:tl2br w:val="nil"/>
              <w:tr2bl w:val="nil"/>
            </w:tcBorders>
            <w:shd w:val="clear" w:color="auto" w:fill="auto"/>
            <w:noWrap/>
            <w:vAlign w:val="center"/>
          </w:tcPr>
          <w:p w14:paraId="3CFB9754">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default" w:ascii="Times New Roman" w:hAnsi="Times New Roman" w:eastAsia="宋体" w:cs="Times New Roman"/>
                <w:i w:val="0"/>
                <w:iCs w:val="0"/>
                <w:color w:val="0000FF"/>
                <w:kern w:val="0"/>
                <w:sz w:val="21"/>
                <w:szCs w:val="21"/>
                <w:u w:val="none"/>
                <w:lang w:val="en-US" w:eastAsia="zh-CN" w:bidi="ar"/>
              </w:rPr>
              <w:t>4.42E-04</w:t>
            </w:r>
          </w:p>
        </w:tc>
        <w:tc>
          <w:tcPr>
            <w:tcW w:w="1350" w:type="dxa"/>
            <w:tcBorders>
              <w:tl2br w:val="nil"/>
              <w:tr2bl w:val="nil"/>
            </w:tcBorders>
            <w:shd w:val="clear" w:color="auto" w:fill="auto"/>
            <w:noWrap/>
            <w:vAlign w:val="center"/>
          </w:tcPr>
          <w:p w14:paraId="71EC443E">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default" w:ascii="Times New Roman" w:hAnsi="Times New Roman" w:eastAsia="宋体" w:cs="Times New Roman"/>
                <w:i w:val="0"/>
                <w:iCs w:val="0"/>
                <w:color w:val="0000FF"/>
                <w:kern w:val="0"/>
                <w:sz w:val="21"/>
                <w:szCs w:val="21"/>
                <w:u w:val="none"/>
                <w:lang w:val="en-US" w:eastAsia="zh-CN" w:bidi="ar"/>
              </w:rPr>
              <w:t>平均值</w:t>
            </w:r>
          </w:p>
        </w:tc>
        <w:tc>
          <w:tcPr>
            <w:tcW w:w="1140" w:type="dxa"/>
            <w:tcBorders>
              <w:tl2br w:val="nil"/>
              <w:tr2bl w:val="nil"/>
            </w:tcBorders>
            <w:shd w:val="clear" w:color="auto" w:fill="auto"/>
            <w:noWrap/>
            <w:vAlign w:val="center"/>
          </w:tcPr>
          <w:p w14:paraId="2DB82ADE">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default" w:ascii="Times New Roman" w:hAnsi="Times New Roman" w:eastAsia="宋体" w:cs="Times New Roman"/>
                <w:i w:val="0"/>
                <w:iCs w:val="0"/>
                <w:color w:val="0000FF"/>
                <w:kern w:val="0"/>
                <w:sz w:val="21"/>
                <w:szCs w:val="21"/>
                <w:u w:val="none"/>
                <w:lang w:val="en-US" w:eastAsia="zh-CN" w:bidi="ar"/>
              </w:rPr>
              <w:t>6.00E-02</w:t>
            </w:r>
          </w:p>
        </w:tc>
        <w:tc>
          <w:tcPr>
            <w:tcW w:w="825" w:type="dxa"/>
            <w:tcBorders>
              <w:tl2br w:val="nil"/>
              <w:tr2bl w:val="nil"/>
            </w:tcBorders>
            <w:shd w:val="clear" w:color="auto" w:fill="auto"/>
            <w:noWrap/>
            <w:vAlign w:val="center"/>
          </w:tcPr>
          <w:p w14:paraId="3C75A264">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default" w:ascii="Times New Roman" w:hAnsi="Times New Roman" w:eastAsia="宋体" w:cs="Times New Roman"/>
                <w:i w:val="0"/>
                <w:iCs w:val="0"/>
                <w:color w:val="0000FF"/>
                <w:kern w:val="0"/>
                <w:sz w:val="21"/>
                <w:szCs w:val="21"/>
                <w:u w:val="none"/>
                <w:lang w:val="en-US" w:eastAsia="zh-CN" w:bidi="ar"/>
              </w:rPr>
              <w:t>0.74</w:t>
            </w:r>
          </w:p>
        </w:tc>
        <w:tc>
          <w:tcPr>
            <w:tcW w:w="765" w:type="dxa"/>
            <w:tcBorders>
              <w:tl2br w:val="nil"/>
              <w:tr2bl w:val="nil"/>
            </w:tcBorders>
            <w:shd w:val="clear" w:color="auto" w:fill="auto"/>
            <w:noWrap/>
            <w:vAlign w:val="center"/>
          </w:tcPr>
          <w:p w14:paraId="0BBFA52A">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default" w:ascii="Times New Roman" w:hAnsi="Times New Roman" w:eastAsia="宋体" w:cs="Times New Roman"/>
                <w:i w:val="0"/>
                <w:iCs w:val="0"/>
                <w:color w:val="0000FF"/>
                <w:kern w:val="0"/>
                <w:sz w:val="21"/>
                <w:szCs w:val="21"/>
                <w:u w:val="none"/>
                <w:lang w:val="en-US" w:eastAsia="zh-CN" w:bidi="ar"/>
              </w:rPr>
              <w:t>达标</w:t>
            </w:r>
          </w:p>
        </w:tc>
      </w:tr>
    </w:tbl>
    <w:p w14:paraId="7935A83A">
      <w:pPr>
        <w:tabs>
          <w:tab w:val="left" w:pos="851"/>
          <w:tab w:val="left" w:pos="1141"/>
          <w:tab w:val="left" w:pos="4335"/>
        </w:tabs>
        <w:jc w:val="center"/>
        <w:rPr>
          <w:rFonts w:hint="eastAsia" w:ascii="Times New Roman" w:hAnsi="Times New Roman" w:eastAsia="黑体" w:cs="Times New Roman"/>
          <w:bCs/>
          <w:color w:val="0000FF"/>
        </w:rPr>
      </w:pPr>
      <w:r>
        <w:rPr>
          <w:rFonts w:ascii="Times New Roman" w:hAnsi="Times New Roman" w:eastAsia="黑体" w:cs="Times New Roman"/>
          <w:bCs/>
          <w:color w:val="0000FF"/>
        </w:rPr>
        <w:t>表</w:t>
      </w:r>
      <w:r>
        <w:rPr>
          <w:rFonts w:hint="eastAsia" w:ascii="Times New Roman" w:hAnsi="Times New Roman" w:eastAsia="黑体" w:cs="Times New Roman"/>
          <w:bCs/>
          <w:color w:val="0000FF"/>
        </w:rPr>
        <w:t>5</w:t>
      </w:r>
      <w:r>
        <w:rPr>
          <w:rFonts w:ascii="Times New Roman" w:hAnsi="Times New Roman" w:eastAsia="黑体" w:cs="Times New Roman"/>
          <w:bCs/>
          <w:color w:val="0000FF"/>
        </w:rPr>
        <w:t>.1-1</w:t>
      </w:r>
      <w:r>
        <w:rPr>
          <w:rFonts w:hint="eastAsia" w:ascii="Times New Roman" w:hAnsi="Times New Roman" w:eastAsia="黑体" w:cs="Times New Roman"/>
          <w:bCs/>
          <w:color w:val="0000FF"/>
          <w:lang w:val="en-US" w:eastAsia="zh-CN"/>
        </w:rPr>
        <w:t>6</w:t>
      </w:r>
      <w:r>
        <w:rPr>
          <w:rFonts w:ascii="Times New Roman" w:hAnsi="Times New Roman" w:eastAsia="黑体" w:cs="Times New Roman"/>
          <w:bCs/>
          <w:color w:val="0000FF"/>
        </w:rPr>
        <w:t xml:space="preserve">  </w:t>
      </w:r>
      <w:r>
        <w:rPr>
          <w:rFonts w:hint="eastAsia" w:ascii="Times New Roman" w:hAnsi="Times New Roman" w:eastAsia="黑体" w:cs="Times New Roman"/>
          <w:bCs/>
          <w:color w:val="0000FF"/>
        </w:rPr>
        <w:t>关心点及网格点</w:t>
      </w:r>
      <w:r>
        <w:rPr>
          <w:rFonts w:hint="eastAsia" w:ascii="Times New Roman" w:hAnsi="Times New Roman" w:eastAsia="黑体" w:cs="Times New Roman"/>
          <w:bCs/>
          <w:color w:val="0000FF"/>
          <w:lang w:val="en-US" w:eastAsia="zh-CN"/>
        </w:rPr>
        <w:t>氟化物</w:t>
      </w:r>
      <w:r>
        <w:rPr>
          <w:rFonts w:hint="eastAsia" w:ascii="Times New Roman" w:hAnsi="Times New Roman" w:eastAsia="黑体" w:cs="Times New Roman"/>
          <w:bCs/>
          <w:color w:val="0000FF"/>
        </w:rPr>
        <w:t>贡献质量浓度预测结果表</w:t>
      </w:r>
    </w:p>
    <w:tbl>
      <w:tblPr>
        <w:tblStyle w:val="56"/>
        <w:tblW w:w="5000" w:type="pct"/>
        <w:tblInd w:w="0" w:type="dxa"/>
        <w:tblBorders>
          <w:top w:val="thinThickSmallGap" w:color="000000" w:sz="12" w:space="0"/>
          <w:left w:val="none" w:color="auto" w:sz="0" w:space="0"/>
          <w:bottom w:val="thinThickSmallGap" w:color="000000" w:sz="12" w:space="0"/>
          <w:right w:val="none" w:color="auto" w:sz="0" w:space="0"/>
          <w:insideH w:val="single" w:color="000000" w:sz="4" w:space="0"/>
          <w:insideV w:val="single" w:color="000000" w:sz="4" w:space="0"/>
        </w:tblBorders>
        <w:shd w:val="clear" w:color="auto" w:fill="auto"/>
        <w:tblLayout w:type="fixed"/>
        <w:tblCellMar>
          <w:top w:w="0" w:type="dxa"/>
          <w:left w:w="108" w:type="dxa"/>
          <w:bottom w:w="0" w:type="dxa"/>
          <w:right w:w="108" w:type="dxa"/>
        </w:tblCellMar>
      </w:tblPr>
      <w:tblGrid>
        <w:gridCol w:w="488"/>
        <w:gridCol w:w="737"/>
        <w:gridCol w:w="976"/>
        <w:gridCol w:w="930"/>
        <w:gridCol w:w="1485"/>
        <w:gridCol w:w="1290"/>
        <w:gridCol w:w="1116"/>
        <w:gridCol w:w="739"/>
        <w:gridCol w:w="762"/>
      </w:tblGrid>
      <w:tr w14:paraId="6D5F7A0C">
        <w:tblPrEx>
          <w:tblBorders>
            <w:top w:val="thinThickSmallGap" w:color="000000" w:sz="12" w:space="0"/>
            <w:left w:val="none" w:color="auto" w:sz="0" w:space="0"/>
            <w:bottom w:val="thinThickSmallGap" w:color="000000" w:sz="12" w:space="0"/>
            <w:right w:val="none" w:color="auto" w:sz="0"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300" w:hRule="atLeast"/>
        </w:trPr>
        <w:tc>
          <w:tcPr>
            <w:tcW w:w="286" w:type="pct"/>
            <w:tcBorders>
              <w:tl2br w:val="nil"/>
              <w:tr2bl w:val="nil"/>
            </w:tcBorders>
            <w:shd w:val="clear" w:color="auto" w:fill="auto"/>
            <w:noWrap/>
            <w:vAlign w:val="center"/>
          </w:tcPr>
          <w:p w14:paraId="34190102">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eastAsia" w:ascii="宋体" w:hAnsi="宋体" w:eastAsia="宋体" w:cs="宋体"/>
                <w:i w:val="0"/>
                <w:iCs w:val="0"/>
                <w:color w:val="0000FF"/>
                <w:sz w:val="22"/>
                <w:szCs w:val="22"/>
                <w:u w:val="none"/>
              </w:rPr>
            </w:pPr>
            <w:r>
              <w:rPr>
                <w:rFonts w:hint="eastAsia" w:ascii="宋体" w:hAnsi="宋体" w:eastAsia="宋体" w:cs="宋体"/>
                <w:i w:val="0"/>
                <w:iCs w:val="0"/>
                <w:color w:val="0000FF"/>
                <w:kern w:val="0"/>
                <w:sz w:val="22"/>
                <w:szCs w:val="22"/>
                <w:u w:val="none"/>
                <w:lang w:val="en-US" w:eastAsia="zh-CN" w:bidi="ar"/>
              </w:rPr>
              <w:t>序号</w:t>
            </w:r>
          </w:p>
        </w:tc>
        <w:tc>
          <w:tcPr>
            <w:tcW w:w="432" w:type="pct"/>
            <w:tcBorders>
              <w:tl2br w:val="nil"/>
              <w:tr2bl w:val="nil"/>
            </w:tcBorders>
            <w:shd w:val="clear" w:color="auto" w:fill="auto"/>
            <w:noWrap/>
            <w:vAlign w:val="center"/>
          </w:tcPr>
          <w:p w14:paraId="4695DF77">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eastAsia" w:ascii="宋体" w:hAnsi="宋体" w:eastAsia="宋体" w:cs="宋体"/>
                <w:i w:val="0"/>
                <w:iCs w:val="0"/>
                <w:color w:val="0000FF"/>
                <w:sz w:val="22"/>
                <w:szCs w:val="22"/>
                <w:u w:val="none"/>
              </w:rPr>
            </w:pPr>
            <w:r>
              <w:rPr>
                <w:rFonts w:hint="eastAsia" w:ascii="宋体" w:hAnsi="宋体" w:eastAsia="宋体" w:cs="宋体"/>
                <w:i w:val="0"/>
                <w:iCs w:val="0"/>
                <w:color w:val="0000FF"/>
                <w:kern w:val="0"/>
                <w:sz w:val="22"/>
                <w:szCs w:val="22"/>
                <w:u w:val="none"/>
                <w:lang w:val="en-US" w:eastAsia="zh-CN" w:bidi="ar"/>
              </w:rPr>
              <w:t>点名称</w:t>
            </w:r>
          </w:p>
        </w:tc>
        <w:tc>
          <w:tcPr>
            <w:tcW w:w="572" w:type="pct"/>
            <w:tcBorders>
              <w:tl2br w:val="nil"/>
              <w:tr2bl w:val="nil"/>
            </w:tcBorders>
            <w:shd w:val="clear" w:color="auto" w:fill="auto"/>
            <w:noWrap/>
            <w:vAlign w:val="center"/>
          </w:tcPr>
          <w:p w14:paraId="15A1E8CA">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eastAsia" w:ascii="宋体" w:hAnsi="宋体" w:eastAsia="宋体" w:cs="宋体"/>
                <w:i w:val="0"/>
                <w:iCs w:val="0"/>
                <w:color w:val="0000FF"/>
                <w:sz w:val="22"/>
                <w:szCs w:val="22"/>
                <w:u w:val="none"/>
              </w:rPr>
            </w:pPr>
            <w:r>
              <w:rPr>
                <w:rFonts w:hint="eastAsia" w:ascii="宋体" w:hAnsi="宋体" w:eastAsia="宋体" w:cs="宋体"/>
                <w:i w:val="0"/>
                <w:iCs w:val="0"/>
                <w:color w:val="0000FF"/>
                <w:kern w:val="0"/>
                <w:sz w:val="22"/>
                <w:szCs w:val="22"/>
                <w:u w:val="none"/>
                <w:lang w:val="en-US" w:eastAsia="zh-CN" w:bidi="ar"/>
              </w:rPr>
              <w:t>点坐标</w:t>
            </w:r>
            <w:r>
              <w:rPr>
                <w:rFonts w:hint="default" w:ascii="Times New Roman" w:hAnsi="Times New Roman" w:eastAsia="宋体" w:cs="Times New Roman"/>
                <w:i w:val="0"/>
                <w:iCs w:val="0"/>
                <w:color w:val="0000FF"/>
                <w:kern w:val="0"/>
                <w:sz w:val="22"/>
                <w:szCs w:val="22"/>
                <w:u w:val="none"/>
                <w:lang w:val="en-US" w:eastAsia="zh-CN" w:bidi="ar"/>
              </w:rPr>
              <w:t>(x</w:t>
            </w:r>
            <w:r>
              <w:rPr>
                <w:rFonts w:hint="eastAsia" w:ascii="宋体" w:hAnsi="宋体" w:eastAsia="宋体" w:cs="宋体"/>
                <w:i w:val="0"/>
                <w:iCs w:val="0"/>
                <w:color w:val="0000FF"/>
                <w:kern w:val="0"/>
                <w:sz w:val="22"/>
                <w:szCs w:val="22"/>
                <w:u w:val="none"/>
                <w:lang w:val="en-US" w:eastAsia="zh-CN" w:bidi="ar"/>
              </w:rPr>
              <w:t>,</w:t>
            </w:r>
            <w:r>
              <w:rPr>
                <w:rFonts w:hint="default" w:ascii="Times New Roman" w:hAnsi="Times New Roman" w:eastAsia="宋体" w:cs="Times New Roman"/>
                <w:i w:val="0"/>
                <w:iCs w:val="0"/>
                <w:color w:val="0000FF"/>
                <w:kern w:val="0"/>
                <w:sz w:val="22"/>
                <w:szCs w:val="22"/>
                <w:u w:val="none"/>
                <w:lang w:val="en-US" w:eastAsia="zh-CN" w:bidi="ar"/>
              </w:rPr>
              <w:t>y)</w:t>
            </w:r>
          </w:p>
        </w:tc>
        <w:tc>
          <w:tcPr>
            <w:tcW w:w="545" w:type="pct"/>
            <w:tcBorders>
              <w:tl2br w:val="nil"/>
              <w:tr2bl w:val="nil"/>
            </w:tcBorders>
            <w:shd w:val="clear" w:color="auto" w:fill="auto"/>
            <w:noWrap/>
            <w:vAlign w:val="center"/>
          </w:tcPr>
          <w:p w14:paraId="19254F9C">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eastAsia" w:ascii="宋体" w:hAnsi="宋体" w:eastAsia="宋体" w:cs="宋体"/>
                <w:i w:val="0"/>
                <w:iCs w:val="0"/>
                <w:color w:val="0000FF"/>
                <w:sz w:val="22"/>
                <w:szCs w:val="22"/>
                <w:u w:val="none"/>
              </w:rPr>
            </w:pPr>
            <w:r>
              <w:rPr>
                <w:rFonts w:hint="eastAsia" w:ascii="宋体" w:hAnsi="宋体" w:eastAsia="宋体" w:cs="宋体"/>
                <w:i w:val="0"/>
                <w:iCs w:val="0"/>
                <w:color w:val="0000FF"/>
                <w:kern w:val="0"/>
                <w:sz w:val="22"/>
                <w:szCs w:val="22"/>
                <w:u w:val="none"/>
                <w:lang w:val="en-US" w:eastAsia="zh-CN" w:bidi="ar"/>
              </w:rPr>
              <w:t>浓度类型</w:t>
            </w:r>
          </w:p>
        </w:tc>
        <w:tc>
          <w:tcPr>
            <w:tcW w:w="871" w:type="pct"/>
            <w:tcBorders>
              <w:tl2br w:val="nil"/>
              <w:tr2bl w:val="nil"/>
            </w:tcBorders>
            <w:shd w:val="clear" w:color="auto" w:fill="auto"/>
            <w:noWrap/>
            <w:vAlign w:val="center"/>
          </w:tcPr>
          <w:p w14:paraId="71DFD4C1">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eastAsia" w:ascii="宋体" w:hAnsi="宋体" w:eastAsia="宋体" w:cs="宋体"/>
                <w:i w:val="0"/>
                <w:iCs w:val="0"/>
                <w:color w:val="0000FF"/>
                <w:sz w:val="22"/>
                <w:szCs w:val="22"/>
                <w:u w:val="none"/>
              </w:rPr>
            </w:pPr>
            <w:r>
              <w:rPr>
                <w:rFonts w:hint="eastAsia" w:ascii="宋体" w:hAnsi="宋体" w:eastAsia="宋体" w:cs="宋体"/>
                <w:i w:val="0"/>
                <w:iCs w:val="0"/>
                <w:color w:val="0000FF"/>
                <w:kern w:val="0"/>
                <w:sz w:val="22"/>
                <w:szCs w:val="22"/>
                <w:u w:val="none"/>
                <w:lang w:val="en-US" w:eastAsia="zh-CN" w:bidi="ar"/>
              </w:rPr>
              <w:t>浓度增量</w:t>
            </w:r>
            <w:r>
              <w:rPr>
                <w:rFonts w:hint="default" w:ascii="Times New Roman" w:hAnsi="Times New Roman" w:eastAsia="宋体" w:cs="Times New Roman"/>
                <w:i w:val="0"/>
                <w:iCs w:val="0"/>
                <w:color w:val="0000FF"/>
                <w:kern w:val="0"/>
                <w:sz w:val="22"/>
                <w:szCs w:val="22"/>
                <w:u w:val="none"/>
                <w:lang w:val="en-US" w:eastAsia="zh-CN" w:bidi="ar"/>
              </w:rPr>
              <w:t>(mg/m</w:t>
            </w:r>
            <w:r>
              <w:rPr>
                <w:rFonts w:hint="default" w:ascii="Times New Roman" w:hAnsi="Times New Roman" w:eastAsia="宋体" w:cs="Times New Roman"/>
                <w:i w:val="0"/>
                <w:iCs w:val="0"/>
                <w:color w:val="0000FF"/>
                <w:kern w:val="0"/>
                <w:sz w:val="22"/>
                <w:szCs w:val="22"/>
                <w:u w:val="none"/>
                <w:vertAlign w:val="superscript"/>
                <w:lang w:val="en-US" w:eastAsia="zh-CN" w:bidi="ar"/>
              </w:rPr>
              <w:t>3</w:t>
            </w:r>
            <w:r>
              <w:rPr>
                <w:rFonts w:hint="default" w:ascii="Times New Roman" w:hAnsi="Times New Roman" w:eastAsia="宋体" w:cs="Times New Roman"/>
                <w:i w:val="0"/>
                <w:iCs w:val="0"/>
                <w:color w:val="0000FF"/>
                <w:kern w:val="0"/>
                <w:sz w:val="22"/>
                <w:szCs w:val="22"/>
                <w:u w:val="none"/>
                <w:lang w:val="en-US" w:eastAsia="zh-CN" w:bidi="ar"/>
              </w:rPr>
              <w:t>)</w:t>
            </w:r>
          </w:p>
        </w:tc>
        <w:tc>
          <w:tcPr>
            <w:tcW w:w="756" w:type="pct"/>
            <w:tcBorders>
              <w:tl2br w:val="nil"/>
              <w:tr2bl w:val="nil"/>
            </w:tcBorders>
            <w:shd w:val="clear" w:color="auto" w:fill="auto"/>
            <w:noWrap/>
            <w:vAlign w:val="center"/>
          </w:tcPr>
          <w:p w14:paraId="33FC84B0">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eastAsia" w:ascii="宋体" w:hAnsi="宋体" w:eastAsia="宋体" w:cs="宋体"/>
                <w:i w:val="0"/>
                <w:iCs w:val="0"/>
                <w:color w:val="0000FF"/>
                <w:sz w:val="22"/>
                <w:szCs w:val="22"/>
                <w:u w:val="none"/>
              </w:rPr>
            </w:pPr>
            <w:r>
              <w:rPr>
                <w:rFonts w:hint="eastAsia" w:ascii="宋体" w:hAnsi="宋体" w:eastAsia="宋体" w:cs="宋体"/>
                <w:i w:val="0"/>
                <w:iCs w:val="0"/>
                <w:color w:val="0000FF"/>
                <w:kern w:val="0"/>
                <w:sz w:val="22"/>
                <w:szCs w:val="22"/>
                <w:u w:val="none"/>
                <w:lang w:val="en-US" w:eastAsia="zh-CN" w:bidi="ar"/>
              </w:rPr>
              <w:t>出现时间</w:t>
            </w:r>
            <w:r>
              <w:rPr>
                <w:rFonts w:hint="default" w:ascii="Times New Roman" w:hAnsi="Times New Roman" w:eastAsia="宋体" w:cs="Times New Roman"/>
                <w:i w:val="0"/>
                <w:iCs w:val="0"/>
                <w:color w:val="0000FF"/>
                <w:kern w:val="0"/>
                <w:sz w:val="22"/>
                <w:szCs w:val="22"/>
                <w:u w:val="none"/>
                <w:lang w:val="en-US" w:eastAsia="zh-CN" w:bidi="ar"/>
              </w:rPr>
              <w:t>(YYMMDDHH)</w:t>
            </w:r>
          </w:p>
        </w:tc>
        <w:tc>
          <w:tcPr>
            <w:tcW w:w="654" w:type="pct"/>
            <w:tcBorders>
              <w:tl2br w:val="nil"/>
              <w:tr2bl w:val="nil"/>
            </w:tcBorders>
            <w:shd w:val="clear" w:color="auto" w:fill="auto"/>
            <w:noWrap/>
            <w:vAlign w:val="center"/>
          </w:tcPr>
          <w:p w14:paraId="6D900814">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eastAsia" w:ascii="宋体" w:hAnsi="宋体" w:eastAsia="宋体" w:cs="宋体"/>
                <w:i w:val="0"/>
                <w:iCs w:val="0"/>
                <w:color w:val="0000FF"/>
                <w:sz w:val="22"/>
                <w:szCs w:val="22"/>
                <w:u w:val="none"/>
              </w:rPr>
            </w:pPr>
            <w:r>
              <w:rPr>
                <w:rFonts w:hint="eastAsia" w:ascii="宋体" w:hAnsi="宋体" w:eastAsia="宋体" w:cs="宋体"/>
                <w:i w:val="0"/>
                <w:iCs w:val="0"/>
                <w:color w:val="0000FF"/>
                <w:kern w:val="0"/>
                <w:sz w:val="22"/>
                <w:szCs w:val="22"/>
                <w:u w:val="none"/>
                <w:lang w:val="en-US" w:eastAsia="zh-CN" w:bidi="ar"/>
              </w:rPr>
              <w:t>评价标准</w:t>
            </w:r>
            <w:r>
              <w:rPr>
                <w:rFonts w:hint="default" w:ascii="Times New Roman" w:hAnsi="Times New Roman" w:eastAsia="宋体" w:cs="Times New Roman"/>
                <w:i w:val="0"/>
                <w:iCs w:val="0"/>
                <w:color w:val="0000FF"/>
                <w:kern w:val="0"/>
                <w:sz w:val="22"/>
                <w:szCs w:val="22"/>
                <w:u w:val="none"/>
                <w:lang w:val="en-US" w:eastAsia="zh-CN" w:bidi="ar"/>
              </w:rPr>
              <w:t>(mg/m</w:t>
            </w:r>
            <w:r>
              <w:rPr>
                <w:rFonts w:hint="default" w:ascii="Times New Roman" w:hAnsi="Times New Roman" w:eastAsia="宋体" w:cs="Times New Roman"/>
                <w:i w:val="0"/>
                <w:iCs w:val="0"/>
                <w:color w:val="0000FF"/>
                <w:kern w:val="0"/>
                <w:sz w:val="22"/>
                <w:szCs w:val="22"/>
                <w:u w:val="none"/>
                <w:vertAlign w:val="superscript"/>
                <w:lang w:val="en-US" w:eastAsia="zh-CN" w:bidi="ar"/>
              </w:rPr>
              <w:t>3</w:t>
            </w:r>
            <w:r>
              <w:rPr>
                <w:rFonts w:hint="default" w:ascii="Times New Roman" w:hAnsi="Times New Roman" w:eastAsia="宋体" w:cs="Times New Roman"/>
                <w:i w:val="0"/>
                <w:iCs w:val="0"/>
                <w:color w:val="0000FF"/>
                <w:kern w:val="0"/>
                <w:sz w:val="22"/>
                <w:szCs w:val="22"/>
                <w:u w:val="none"/>
                <w:lang w:val="en-US" w:eastAsia="zh-CN" w:bidi="ar"/>
              </w:rPr>
              <w:t>)</w:t>
            </w:r>
          </w:p>
        </w:tc>
        <w:tc>
          <w:tcPr>
            <w:tcW w:w="433" w:type="pct"/>
            <w:tcBorders>
              <w:tl2br w:val="nil"/>
              <w:tr2bl w:val="nil"/>
            </w:tcBorders>
            <w:shd w:val="clear" w:color="auto" w:fill="auto"/>
            <w:noWrap/>
            <w:vAlign w:val="center"/>
          </w:tcPr>
          <w:p w14:paraId="18FAD2F7">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eastAsia" w:ascii="宋体" w:hAnsi="宋体" w:eastAsia="宋体" w:cs="宋体"/>
                <w:i w:val="0"/>
                <w:iCs w:val="0"/>
                <w:color w:val="0000FF"/>
                <w:sz w:val="22"/>
                <w:szCs w:val="22"/>
                <w:u w:val="none"/>
              </w:rPr>
            </w:pPr>
            <w:r>
              <w:rPr>
                <w:rFonts w:hint="eastAsia" w:ascii="宋体" w:hAnsi="宋体" w:eastAsia="宋体" w:cs="宋体"/>
                <w:i w:val="0"/>
                <w:iCs w:val="0"/>
                <w:color w:val="0000FF"/>
                <w:kern w:val="0"/>
                <w:sz w:val="22"/>
                <w:szCs w:val="22"/>
                <w:u w:val="none"/>
                <w:lang w:val="en-US" w:eastAsia="zh-CN" w:bidi="ar"/>
              </w:rPr>
              <w:t>占标率</w:t>
            </w:r>
            <w:r>
              <w:rPr>
                <w:rFonts w:hint="default" w:ascii="Times New Roman" w:hAnsi="Times New Roman" w:eastAsia="宋体" w:cs="Times New Roman"/>
                <w:i w:val="0"/>
                <w:iCs w:val="0"/>
                <w:color w:val="0000FF"/>
                <w:kern w:val="0"/>
                <w:sz w:val="22"/>
                <w:szCs w:val="22"/>
                <w:u w:val="none"/>
                <w:lang w:val="en-US" w:eastAsia="zh-CN" w:bidi="ar"/>
              </w:rPr>
              <w:t>%</w:t>
            </w:r>
          </w:p>
        </w:tc>
        <w:tc>
          <w:tcPr>
            <w:tcW w:w="447" w:type="pct"/>
            <w:tcBorders>
              <w:tl2br w:val="nil"/>
              <w:tr2bl w:val="nil"/>
            </w:tcBorders>
            <w:shd w:val="clear" w:color="auto" w:fill="auto"/>
            <w:noWrap/>
            <w:vAlign w:val="center"/>
          </w:tcPr>
          <w:p w14:paraId="00BAD1A1">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eastAsia" w:ascii="宋体" w:hAnsi="宋体" w:eastAsia="宋体" w:cs="宋体"/>
                <w:i w:val="0"/>
                <w:iCs w:val="0"/>
                <w:color w:val="0000FF"/>
                <w:sz w:val="22"/>
                <w:szCs w:val="22"/>
                <w:u w:val="none"/>
              </w:rPr>
            </w:pPr>
            <w:r>
              <w:rPr>
                <w:rFonts w:hint="eastAsia" w:ascii="宋体" w:hAnsi="宋体" w:eastAsia="宋体" w:cs="宋体"/>
                <w:i w:val="0"/>
                <w:iCs w:val="0"/>
                <w:color w:val="0000FF"/>
                <w:kern w:val="0"/>
                <w:sz w:val="22"/>
                <w:szCs w:val="22"/>
                <w:u w:val="none"/>
                <w:lang w:val="en-US" w:eastAsia="zh-CN" w:bidi="ar"/>
              </w:rPr>
              <w:t>是否超标</w:t>
            </w:r>
          </w:p>
        </w:tc>
      </w:tr>
      <w:tr w14:paraId="2FDC749F">
        <w:tblPrEx>
          <w:tblBorders>
            <w:top w:val="thinThickSmallGap" w:color="000000" w:sz="12" w:space="0"/>
            <w:left w:val="none" w:color="auto" w:sz="0" w:space="0"/>
            <w:bottom w:val="thinThickSmallGap" w:color="000000" w:sz="12" w:space="0"/>
            <w:right w:val="none" w:color="auto" w:sz="0"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300" w:hRule="atLeast"/>
        </w:trPr>
        <w:tc>
          <w:tcPr>
            <w:tcW w:w="286" w:type="pct"/>
            <w:vMerge w:val="restart"/>
            <w:tcBorders>
              <w:tl2br w:val="nil"/>
              <w:tr2bl w:val="nil"/>
            </w:tcBorders>
            <w:shd w:val="clear" w:color="auto" w:fill="auto"/>
            <w:noWrap/>
            <w:vAlign w:val="center"/>
          </w:tcPr>
          <w:p w14:paraId="58B850CF">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default" w:ascii="Times New Roman" w:hAnsi="Times New Roman" w:eastAsia="宋体" w:cs="Times New Roman"/>
                <w:i w:val="0"/>
                <w:iCs w:val="0"/>
                <w:color w:val="0000FF"/>
                <w:kern w:val="0"/>
                <w:sz w:val="21"/>
                <w:szCs w:val="21"/>
                <w:u w:val="none"/>
                <w:lang w:val="en-US" w:eastAsia="zh-CN" w:bidi="ar"/>
              </w:rPr>
              <w:t>1</w:t>
            </w:r>
          </w:p>
        </w:tc>
        <w:tc>
          <w:tcPr>
            <w:tcW w:w="432" w:type="pct"/>
            <w:vMerge w:val="restart"/>
            <w:tcBorders>
              <w:tl2br w:val="nil"/>
              <w:tr2bl w:val="nil"/>
            </w:tcBorders>
            <w:shd w:val="clear" w:color="auto" w:fill="auto"/>
            <w:noWrap/>
            <w:vAlign w:val="center"/>
          </w:tcPr>
          <w:p w14:paraId="6C3885FD">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祁家堡</w:t>
            </w:r>
          </w:p>
        </w:tc>
        <w:tc>
          <w:tcPr>
            <w:tcW w:w="572" w:type="pct"/>
            <w:vMerge w:val="restart"/>
            <w:tcBorders>
              <w:tl2br w:val="nil"/>
              <w:tr2bl w:val="nil"/>
            </w:tcBorders>
            <w:shd w:val="clear" w:color="auto" w:fill="auto"/>
            <w:noWrap/>
            <w:vAlign w:val="center"/>
          </w:tcPr>
          <w:p w14:paraId="719B24DC">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85,261</w:t>
            </w:r>
          </w:p>
        </w:tc>
        <w:tc>
          <w:tcPr>
            <w:tcW w:w="545" w:type="pct"/>
            <w:tcBorders>
              <w:tl2br w:val="nil"/>
              <w:tr2bl w:val="nil"/>
            </w:tcBorders>
            <w:shd w:val="clear" w:color="auto" w:fill="auto"/>
            <w:noWrap/>
            <w:vAlign w:val="center"/>
          </w:tcPr>
          <w:p w14:paraId="0F254E9F">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default" w:ascii="Times New Roman" w:hAnsi="Times New Roman" w:eastAsia="宋体" w:cs="Times New Roman"/>
                <w:i w:val="0"/>
                <w:iCs w:val="0"/>
                <w:color w:val="0000FF"/>
                <w:kern w:val="0"/>
                <w:sz w:val="21"/>
                <w:szCs w:val="21"/>
                <w:u w:val="none"/>
                <w:lang w:val="en-US" w:eastAsia="zh-CN" w:bidi="ar"/>
              </w:rPr>
              <w:t>1</w:t>
            </w:r>
            <w:r>
              <w:rPr>
                <w:rFonts w:hint="eastAsia" w:ascii="Times New Roman" w:hAnsi="Times New Roman" w:eastAsia="宋体" w:cs="Times New Roman"/>
                <w:i w:val="0"/>
                <w:iCs w:val="0"/>
                <w:color w:val="0000FF"/>
                <w:kern w:val="0"/>
                <w:sz w:val="21"/>
                <w:szCs w:val="21"/>
                <w:u w:val="none"/>
                <w:lang w:val="en-US" w:eastAsia="zh-CN" w:bidi="ar"/>
              </w:rPr>
              <w:t>小时</w:t>
            </w:r>
          </w:p>
        </w:tc>
        <w:tc>
          <w:tcPr>
            <w:tcW w:w="871" w:type="pct"/>
            <w:tcBorders>
              <w:tl2br w:val="nil"/>
              <w:tr2bl w:val="nil"/>
            </w:tcBorders>
            <w:shd w:val="clear" w:color="auto" w:fill="auto"/>
            <w:noWrap/>
            <w:vAlign w:val="center"/>
          </w:tcPr>
          <w:p w14:paraId="2271A852">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5.69E-05</w:t>
            </w:r>
          </w:p>
        </w:tc>
        <w:tc>
          <w:tcPr>
            <w:tcW w:w="756" w:type="pct"/>
            <w:tcBorders>
              <w:tl2br w:val="nil"/>
              <w:tr2bl w:val="nil"/>
            </w:tcBorders>
            <w:shd w:val="clear" w:color="auto" w:fill="auto"/>
            <w:noWrap/>
            <w:vAlign w:val="center"/>
          </w:tcPr>
          <w:p w14:paraId="4E37E4EE">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24071813</w:t>
            </w:r>
          </w:p>
        </w:tc>
        <w:tc>
          <w:tcPr>
            <w:tcW w:w="654" w:type="pct"/>
            <w:tcBorders>
              <w:tl2br w:val="nil"/>
              <w:tr2bl w:val="nil"/>
            </w:tcBorders>
            <w:shd w:val="clear" w:color="auto" w:fill="auto"/>
            <w:noWrap/>
            <w:vAlign w:val="center"/>
          </w:tcPr>
          <w:p w14:paraId="03116C97">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default" w:ascii="Times New Roman" w:hAnsi="Times New Roman" w:eastAsia="宋体" w:cs="Times New Roman"/>
                <w:i w:val="0"/>
                <w:iCs w:val="0"/>
                <w:color w:val="0000FF"/>
                <w:kern w:val="0"/>
                <w:sz w:val="21"/>
                <w:szCs w:val="21"/>
                <w:u w:val="none"/>
                <w:lang w:val="en-US" w:eastAsia="zh-CN" w:bidi="ar"/>
              </w:rPr>
              <w:t>2.00E-02</w:t>
            </w:r>
          </w:p>
        </w:tc>
        <w:tc>
          <w:tcPr>
            <w:tcW w:w="433" w:type="pct"/>
            <w:tcBorders>
              <w:tl2br w:val="nil"/>
              <w:tr2bl w:val="nil"/>
            </w:tcBorders>
            <w:shd w:val="clear" w:color="auto" w:fill="auto"/>
            <w:noWrap/>
            <w:vAlign w:val="center"/>
          </w:tcPr>
          <w:p w14:paraId="2614F369">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0.28</w:t>
            </w:r>
          </w:p>
        </w:tc>
        <w:tc>
          <w:tcPr>
            <w:tcW w:w="447" w:type="pct"/>
            <w:tcBorders>
              <w:tl2br w:val="nil"/>
              <w:tr2bl w:val="nil"/>
            </w:tcBorders>
            <w:shd w:val="clear" w:color="auto" w:fill="auto"/>
            <w:noWrap/>
            <w:vAlign w:val="center"/>
          </w:tcPr>
          <w:p w14:paraId="4011C790">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达标</w:t>
            </w:r>
          </w:p>
        </w:tc>
      </w:tr>
      <w:tr w14:paraId="181681E0">
        <w:tblPrEx>
          <w:tblBorders>
            <w:top w:val="thinThickSmallGap" w:color="000000" w:sz="12" w:space="0"/>
            <w:left w:val="none" w:color="auto" w:sz="0" w:space="0"/>
            <w:bottom w:val="thinThickSmallGap" w:color="000000" w:sz="12" w:space="0"/>
            <w:right w:val="none" w:color="auto" w:sz="0"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300" w:hRule="atLeast"/>
        </w:trPr>
        <w:tc>
          <w:tcPr>
            <w:tcW w:w="286" w:type="pct"/>
            <w:vMerge w:val="continue"/>
            <w:tcBorders>
              <w:tl2br w:val="nil"/>
              <w:tr2bl w:val="nil"/>
            </w:tcBorders>
            <w:shd w:val="clear" w:color="auto" w:fill="auto"/>
            <w:noWrap/>
            <w:vAlign w:val="center"/>
          </w:tcPr>
          <w:p w14:paraId="4512A73E">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p>
        </w:tc>
        <w:tc>
          <w:tcPr>
            <w:tcW w:w="432" w:type="pct"/>
            <w:vMerge w:val="continue"/>
            <w:tcBorders>
              <w:tl2br w:val="nil"/>
              <w:tr2bl w:val="nil"/>
            </w:tcBorders>
            <w:shd w:val="clear" w:color="auto" w:fill="auto"/>
            <w:noWrap/>
            <w:vAlign w:val="center"/>
          </w:tcPr>
          <w:p w14:paraId="4EE2CE1A">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p>
        </w:tc>
        <w:tc>
          <w:tcPr>
            <w:tcW w:w="572" w:type="pct"/>
            <w:vMerge w:val="continue"/>
            <w:tcBorders>
              <w:tl2br w:val="nil"/>
              <w:tr2bl w:val="nil"/>
            </w:tcBorders>
            <w:shd w:val="clear" w:color="auto" w:fill="auto"/>
            <w:noWrap/>
            <w:vAlign w:val="center"/>
          </w:tcPr>
          <w:p w14:paraId="04F09330">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p>
        </w:tc>
        <w:tc>
          <w:tcPr>
            <w:tcW w:w="545" w:type="pct"/>
            <w:tcBorders>
              <w:tl2br w:val="nil"/>
              <w:tr2bl w:val="nil"/>
            </w:tcBorders>
            <w:shd w:val="clear" w:color="auto" w:fill="auto"/>
            <w:noWrap/>
            <w:vAlign w:val="center"/>
          </w:tcPr>
          <w:p w14:paraId="39C4164E">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日平均</w:t>
            </w:r>
          </w:p>
        </w:tc>
        <w:tc>
          <w:tcPr>
            <w:tcW w:w="871" w:type="pct"/>
            <w:tcBorders>
              <w:tl2br w:val="nil"/>
              <w:tr2bl w:val="nil"/>
            </w:tcBorders>
            <w:shd w:val="clear" w:color="auto" w:fill="auto"/>
            <w:noWrap/>
            <w:vAlign w:val="center"/>
          </w:tcPr>
          <w:p w14:paraId="6CEF3FA4">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1.23E-05</w:t>
            </w:r>
          </w:p>
        </w:tc>
        <w:tc>
          <w:tcPr>
            <w:tcW w:w="756" w:type="pct"/>
            <w:tcBorders>
              <w:tl2br w:val="nil"/>
              <w:tr2bl w:val="nil"/>
            </w:tcBorders>
            <w:shd w:val="clear" w:color="auto" w:fill="auto"/>
            <w:noWrap/>
            <w:vAlign w:val="center"/>
          </w:tcPr>
          <w:p w14:paraId="7B2B535D">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240628</w:t>
            </w:r>
          </w:p>
        </w:tc>
        <w:tc>
          <w:tcPr>
            <w:tcW w:w="654" w:type="pct"/>
            <w:tcBorders>
              <w:tl2br w:val="nil"/>
              <w:tr2bl w:val="nil"/>
            </w:tcBorders>
            <w:shd w:val="clear" w:color="auto" w:fill="auto"/>
            <w:noWrap/>
            <w:vAlign w:val="center"/>
          </w:tcPr>
          <w:p w14:paraId="0A820C85">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default" w:ascii="Times New Roman" w:hAnsi="Times New Roman" w:eastAsia="宋体" w:cs="Times New Roman"/>
                <w:i w:val="0"/>
                <w:iCs w:val="0"/>
                <w:color w:val="0000FF"/>
                <w:kern w:val="0"/>
                <w:sz w:val="21"/>
                <w:szCs w:val="21"/>
                <w:u w:val="none"/>
                <w:lang w:val="en-US" w:eastAsia="zh-CN" w:bidi="ar"/>
              </w:rPr>
              <w:t>7.00E-03</w:t>
            </w:r>
          </w:p>
        </w:tc>
        <w:tc>
          <w:tcPr>
            <w:tcW w:w="433" w:type="pct"/>
            <w:tcBorders>
              <w:tl2br w:val="nil"/>
              <w:tr2bl w:val="nil"/>
            </w:tcBorders>
            <w:shd w:val="clear" w:color="auto" w:fill="auto"/>
            <w:noWrap/>
            <w:vAlign w:val="center"/>
          </w:tcPr>
          <w:p w14:paraId="0C39E77C">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0.18</w:t>
            </w:r>
          </w:p>
        </w:tc>
        <w:tc>
          <w:tcPr>
            <w:tcW w:w="447" w:type="pct"/>
            <w:tcBorders>
              <w:tl2br w:val="nil"/>
              <w:tr2bl w:val="nil"/>
            </w:tcBorders>
            <w:shd w:val="clear" w:color="auto" w:fill="auto"/>
            <w:noWrap/>
            <w:vAlign w:val="center"/>
          </w:tcPr>
          <w:p w14:paraId="10DD16CA">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达标</w:t>
            </w:r>
          </w:p>
        </w:tc>
      </w:tr>
      <w:tr w14:paraId="0E8A27DB">
        <w:tblPrEx>
          <w:tblBorders>
            <w:top w:val="thinThickSmallGap" w:color="000000" w:sz="12" w:space="0"/>
            <w:left w:val="none" w:color="auto" w:sz="0" w:space="0"/>
            <w:bottom w:val="thinThickSmallGap" w:color="000000" w:sz="12" w:space="0"/>
            <w:right w:val="none" w:color="auto" w:sz="0"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300" w:hRule="atLeast"/>
        </w:trPr>
        <w:tc>
          <w:tcPr>
            <w:tcW w:w="286" w:type="pct"/>
            <w:vMerge w:val="restart"/>
            <w:tcBorders>
              <w:tl2br w:val="nil"/>
              <w:tr2bl w:val="nil"/>
            </w:tcBorders>
            <w:shd w:val="clear" w:color="auto" w:fill="auto"/>
            <w:noWrap/>
            <w:vAlign w:val="center"/>
          </w:tcPr>
          <w:p w14:paraId="0F8C540E">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default" w:ascii="Times New Roman" w:hAnsi="Times New Roman" w:eastAsia="宋体" w:cs="Times New Roman"/>
                <w:i w:val="0"/>
                <w:iCs w:val="0"/>
                <w:color w:val="0000FF"/>
                <w:kern w:val="0"/>
                <w:sz w:val="21"/>
                <w:szCs w:val="21"/>
                <w:u w:val="none"/>
                <w:lang w:val="en-US" w:eastAsia="zh-CN" w:bidi="ar"/>
              </w:rPr>
              <w:t>2</w:t>
            </w:r>
          </w:p>
        </w:tc>
        <w:tc>
          <w:tcPr>
            <w:tcW w:w="432" w:type="pct"/>
            <w:vMerge w:val="restart"/>
            <w:tcBorders>
              <w:tl2br w:val="nil"/>
              <w:tr2bl w:val="nil"/>
            </w:tcBorders>
            <w:shd w:val="clear" w:color="auto" w:fill="auto"/>
            <w:noWrap/>
            <w:vAlign w:val="center"/>
          </w:tcPr>
          <w:p w14:paraId="095BCFF7">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部队</w:t>
            </w:r>
          </w:p>
        </w:tc>
        <w:tc>
          <w:tcPr>
            <w:tcW w:w="572" w:type="pct"/>
            <w:vMerge w:val="restart"/>
            <w:tcBorders>
              <w:tl2br w:val="nil"/>
              <w:tr2bl w:val="nil"/>
            </w:tcBorders>
            <w:shd w:val="clear" w:color="auto" w:fill="auto"/>
            <w:noWrap/>
            <w:vAlign w:val="center"/>
          </w:tcPr>
          <w:p w14:paraId="490720DA">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-179,10</w:t>
            </w:r>
          </w:p>
        </w:tc>
        <w:tc>
          <w:tcPr>
            <w:tcW w:w="545" w:type="pct"/>
            <w:tcBorders>
              <w:tl2br w:val="nil"/>
              <w:tr2bl w:val="nil"/>
            </w:tcBorders>
            <w:shd w:val="clear" w:color="auto" w:fill="auto"/>
            <w:noWrap/>
            <w:vAlign w:val="center"/>
          </w:tcPr>
          <w:p w14:paraId="2D1F3B84">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default" w:ascii="Times New Roman" w:hAnsi="Times New Roman" w:eastAsia="宋体" w:cs="Times New Roman"/>
                <w:i w:val="0"/>
                <w:iCs w:val="0"/>
                <w:color w:val="0000FF"/>
                <w:kern w:val="0"/>
                <w:sz w:val="21"/>
                <w:szCs w:val="21"/>
                <w:u w:val="none"/>
                <w:lang w:val="en-US" w:eastAsia="zh-CN" w:bidi="ar"/>
              </w:rPr>
              <w:t>1</w:t>
            </w:r>
            <w:r>
              <w:rPr>
                <w:rFonts w:hint="eastAsia" w:ascii="Times New Roman" w:hAnsi="Times New Roman" w:eastAsia="宋体" w:cs="Times New Roman"/>
                <w:i w:val="0"/>
                <w:iCs w:val="0"/>
                <w:color w:val="0000FF"/>
                <w:kern w:val="0"/>
                <w:sz w:val="21"/>
                <w:szCs w:val="21"/>
                <w:u w:val="none"/>
                <w:lang w:val="en-US" w:eastAsia="zh-CN" w:bidi="ar"/>
              </w:rPr>
              <w:t>小时</w:t>
            </w:r>
          </w:p>
        </w:tc>
        <w:tc>
          <w:tcPr>
            <w:tcW w:w="871" w:type="pct"/>
            <w:tcBorders>
              <w:tl2br w:val="nil"/>
              <w:tr2bl w:val="nil"/>
            </w:tcBorders>
            <w:shd w:val="clear" w:color="auto" w:fill="auto"/>
            <w:noWrap/>
            <w:vAlign w:val="center"/>
          </w:tcPr>
          <w:p w14:paraId="54EA0326">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4.26E-05</w:t>
            </w:r>
          </w:p>
        </w:tc>
        <w:tc>
          <w:tcPr>
            <w:tcW w:w="756" w:type="pct"/>
            <w:tcBorders>
              <w:tl2br w:val="nil"/>
              <w:tr2bl w:val="nil"/>
            </w:tcBorders>
            <w:shd w:val="clear" w:color="auto" w:fill="auto"/>
            <w:noWrap/>
            <w:vAlign w:val="center"/>
          </w:tcPr>
          <w:p w14:paraId="7287F0AF">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24091216</w:t>
            </w:r>
          </w:p>
        </w:tc>
        <w:tc>
          <w:tcPr>
            <w:tcW w:w="654" w:type="pct"/>
            <w:tcBorders>
              <w:tl2br w:val="nil"/>
              <w:tr2bl w:val="nil"/>
            </w:tcBorders>
            <w:shd w:val="clear" w:color="auto" w:fill="auto"/>
            <w:noWrap/>
            <w:vAlign w:val="center"/>
          </w:tcPr>
          <w:p w14:paraId="784E3C8D">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default" w:ascii="Times New Roman" w:hAnsi="Times New Roman" w:eastAsia="宋体" w:cs="Times New Roman"/>
                <w:i w:val="0"/>
                <w:iCs w:val="0"/>
                <w:color w:val="0000FF"/>
                <w:kern w:val="0"/>
                <w:sz w:val="21"/>
                <w:szCs w:val="21"/>
                <w:u w:val="none"/>
                <w:lang w:val="en-US" w:eastAsia="zh-CN" w:bidi="ar"/>
              </w:rPr>
              <w:t>2.00E-02</w:t>
            </w:r>
          </w:p>
        </w:tc>
        <w:tc>
          <w:tcPr>
            <w:tcW w:w="433" w:type="pct"/>
            <w:tcBorders>
              <w:tl2br w:val="nil"/>
              <w:tr2bl w:val="nil"/>
            </w:tcBorders>
            <w:shd w:val="clear" w:color="auto" w:fill="auto"/>
            <w:noWrap/>
            <w:vAlign w:val="center"/>
          </w:tcPr>
          <w:p w14:paraId="280C961B">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0.21</w:t>
            </w:r>
          </w:p>
        </w:tc>
        <w:tc>
          <w:tcPr>
            <w:tcW w:w="447" w:type="pct"/>
            <w:tcBorders>
              <w:tl2br w:val="nil"/>
              <w:tr2bl w:val="nil"/>
            </w:tcBorders>
            <w:shd w:val="clear" w:color="auto" w:fill="auto"/>
            <w:noWrap/>
            <w:vAlign w:val="center"/>
          </w:tcPr>
          <w:p w14:paraId="4FB0EF1C">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达标</w:t>
            </w:r>
          </w:p>
        </w:tc>
      </w:tr>
      <w:tr w14:paraId="68B6B6A4">
        <w:tblPrEx>
          <w:tblBorders>
            <w:top w:val="thinThickSmallGap" w:color="000000" w:sz="12" w:space="0"/>
            <w:left w:val="none" w:color="auto" w:sz="0" w:space="0"/>
            <w:bottom w:val="thinThickSmallGap" w:color="000000" w:sz="12" w:space="0"/>
            <w:right w:val="none" w:color="auto" w:sz="0"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300" w:hRule="atLeast"/>
        </w:trPr>
        <w:tc>
          <w:tcPr>
            <w:tcW w:w="286" w:type="pct"/>
            <w:vMerge w:val="continue"/>
            <w:tcBorders>
              <w:tl2br w:val="nil"/>
              <w:tr2bl w:val="nil"/>
            </w:tcBorders>
            <w:shd w:val="clear" w:color="auto" w:fill="auto"/>
            <w:noWrap/>
            <w:vAlign w:val="center"/>
          </w:tcPr>
          <w:p w14:paraId="3167ADC7">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p>
        </w:tc>
        <w:tc>
          <w:tcPr>
            <w:tcW w:w="432" w:type="pct"/>
            <w:vMerge w:val="continue"/>
            <w:tcBorders>
              <w:tl2br w:val="nil"/>
              <w:tr2bl w:val="nil"/>
            </w:tcBorders>
            <w:shd w:val="clear" w:color="auto" w:fill="auto"/>
            <w:noWrap/>
            <w:vAlign w:val="center"/>
          </w:tcPr>
          <w:p w14:paraId="1E8C50A3">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p>
        </w:tc>
        <w:tc>
          <w:tcPr>
            <w:tcW w:w="572" w:type="pct"/>
            <w:vMerge w:val="continue"/>
            <w:tcBorders>
              <w:tl2br w:val="nil"/>
              <w:tr2bl w:val="nil"/>
            </w:tcBorders>
            <w:shd w:val="clear" w:color="auto" w:fill="auto"/>
            <w:noWrap/>
            <w:vAlign w:val="center"/>
          </w:tcPr>
          <w:p w14:paraId="08B29731">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p>
        </w:tc>
        <w:tc>
          <w:tcPr>
            <w:tcW w:w="545" w:type="pct"/>
            <w:tcBorders>
              <w:tl2br w:val="nil"/>
              <w:tr2bl w:val="nil"/>
            </w:tcBorders>
            <w:shd w:val="clear" w:color="auto" w:fill="auto"/>
            <w:noWrap/>
            <w:vAlign w:val="center"/>
          </w:tcPr>
          <w:p w14:paraId="44D80AD8">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日平均</w:t>
            </w:r>
          </w:p>
        </w:tc>
        <w:tc>
          <w:tcPr>
            <w:tcW w:w="871" w:type="pct"/>
            <w:tcBorders>
              <w:tl2br w:val="nil"/>
              <w:tr2bl w:val="nil"/>
            </w:tcBorders>
            <w:shd w:val="clear" w:color="auto" w:fill="auto"/>
            <w:noWrap/>
            <w:vAlign w:val="center"/>
          </w:tcPr>
          <w:p w14:paraId="3A131D8D">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7.29E-06</w:t>
            </w:r>
          </w:p>
        </w:tc>
        <w:tc>
          <w:tcPr>
            <w:tcW w:w="756" w:type="pct"/>
            <w:tcBorders>
              <w:tl2br w:val="nil"/>
              <w:tr2bl w:val="nil"/>
            </w:tcBorders>
            <w:shd w:val="clear" w:color="auto" w:fill="auto"/>
            <w:noWrap/>
            <w:vAlign w:val="center"/>
          </w:tcPr>
          <w:p w14:paraId="0F33B29A">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240917</w:t>
            </w:r>
          </w:p>
        </w:tc>
        <w:tc>
          <w:tcPr>
            <w:tcW w:w="654" w:type="pct"/>
            <w:tcBorders>
              <w:tl2br w:val="nil"/>
              <w:tr2bl w:val="nil"/>
            </w:tcBorders>
            <w:shd w:val="clear" w:color="auto" w:fill="auto"/>
            <w:noWrap/>
            <w:vAlign w:val="center"/>
          </w:tcPr>
          <w:p w14:paraId="494FBC29">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default" w:ascii="Times New Roman" w:hAnsi="Times New Roman" w:eastAsia="宋体" w:cs="Times New Roman"/>
                <w:i w:val="0"/>
                <w:iCs w:val="0"/>
                <w:color w:val="0000FF"/>
                <w:kern w:val="0"/>
                <w:sz w:val="21"/>
                <w:szCs w:val="21"/>
                <w:u w:val="none"/>
                <w:lang w:val="en-US" w:eastAsia="zh-CN" w:bidi="ar"/>
              </w:rPr>
              <w:t>7.00E-03</w:t>
            </w:r>
          </w:p>
        </w:tc>
        <w:tc>
          <w:tcPr>
            <w:tcW w:w="433" w:type="pct"/>
            <w:tcBorders>
              <w:tl2br w:val="nil"/>
              <w:tr2bl w:val="nil"/>
            </w:tcBorders>
            <w:shd w:val="clear" w:color="auto" w:fill="auto"/>
            <w:noWrap/>
            <w:vAlign w:val="center"/>
          </w:tcPr>
          <w:p w14:paraId="0A4B2986">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0.1</w:t>
            </w:r>
          </w:p>
        </w:tc>
        <w:tc>
          <w:tcPr>
            <w:tcW w:w="447" w:type="pct"/>
            <w:tcBorders>
              <w:tl2br w:val="nil"/>
              <w:tr2bl w:val="nil"/>
            </w:tcBorders>
            <w:shd w:val="clear" w:color="auto" w:fill="auto"/>
            <w:noWrap/>
            <w:vAlign w:val="center"/>
          </w:tcPr>
          <w:p w14:paraId="11D09F8A">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达标</w:t>
            </w:r>
          </w:p>
        </w:tc>
      </w:tr>
      <w:tr w14:paraId="4EE47F88">
        <w:tblPrEx>
          <w:tblBorders>
            <w:top w:val="thinThickSmallGap" w:color="000000" w:sz="12" w:space="0"/>
            <w:left w:val="none" w:color="auto" w:sz="0" w:space="0"/>
            <w:bottom w:val="thinThickSmallGap" w:color="000000" w:sz="12" w:space="0"/>
            <w:right w:val="none" w:color="auto" w:sz="0"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300" w:hRule="atLeast"/>
        </w:trPr>
        <w:tc>
          <w:tcPr>
            <w:tcW w:w="286" w:type="pct"/>
            <w:vMerge w:val="restart"/>
            <w:tcBorders>
              <w:tl2br w:val="nil"/>
              <w:tr2bl w:val="nil"/>
            </w:tcBorders>
            <w:shd w:val="clear" w:color="auto" w:fill="auto"/>
            <w:noWrap/>
            <w:vAlign w:val="center"/>
          </w:tcPr>
          <w:p w14:paraId="0B77A99B">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default" w:ascii="Times New Roman" w:hAnsi="Times New Roman" w:eastAsia="宋体" w:cs="Times New Roman"/>
                <w:i w:val="0"/>
                <w:iCs w:val="0"/>
                <w:color w:val="0000FF"/>
                <w:kern w:val="0"/>
                <w:sz w:val="21"/>
                <w:szCs w:val="21"/>
                <w:u w:val="none"/>
                <w:lang w:val="en-US" w:eastAsia="zh-CN" w:bidi="ar"/>
              </w:rPr>
              <w:t>3</w:t>
            </w:r>
          </w:p>
        </w:tc>
        <w:tc>
          <w:tcPr>
            <w:tcW w:w="432" w:type="pct"/>
            <w:vMerge w:val="restart"/>
            <w:tcBorders>
              <w:tl2br w:val="nil"/>
              <w:tr2bl w:val="nil"/>
            </w:tcBorders>
            <w:shd w:val="clear" w:color="auto" w:fill="auto"/>
            <w:noWrap/>
            <w:vAlign w:val="center"/>
          </w:tcPr>
          <w:p w14:paraId="6116B1FA">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老虎沟</w:t>
            </w:r>
          </w:p>
        </w:tc>
        <w:tc>
          <w:tcPr>
            <w:tcW w:w="572" w:type="pct"/>
            <w:vMerge w:val="restart"/>
            <w:tcBorders>
              <w:tl2br w:val="nil"/>
              <w:tr2bl w:val="nil"/>
            </w:tcBorders>
            <w:shd w:val="clear" w:color="auto" w:fill="auto"/>
            <w:noWrap/>
            <w:vAlign w:val="center"/>
          </w:tcPr>
          <w:p w14:paraId="0251B7F4">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-1526,736</w:t>
            </w:r>
          </w:p>
        </w:tc>
        <w:tc>
          <w:tcPr>
            <w:tcW w:w="545" w:type="pct"/>
            <w:tcBorders>
              <w:tl2br w:val="nil"/>
              <w:tr2bl w:val="nil"/>
            </w:tcBorders>
            <w:shd w:val="clear" w:color="auto" w:fill="auto"/>
            <w:noWrap/>
            <w:vAlign w:val="center"/>
          </w:tcPr>
          <w:p w14:paraId="28BF453D">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default" w:ascii="Times New Roman" w:hAnsi="Times New Roman" w:eastAsia="宋体" w:cs="Times New Roman"/>
                <w:i w:val="0"/>
                <w:iCs w:val="0"/>
                <w:color w:val="0000FF"/>
                <w:kern w:val="0"/>
                <w:sz w:val="21"/>
                <w:szCs w:val="21"/>
                <w:u w:val="none"/>
                <w:lang w:val="en-US" w:eastAsia="zh-CN" w:bidi="ar"/>
              </w:rPr>
              <w:t>1</w:t>
            </w:r>
            <w:r>
              <w:rPr>
                <w:rFonts w:hint="eastAsia" w:ascii="Times New Roman" w:hAnsi="Times New Roman" w:eastAsia="宋体" w:cs="Times New Roman"/>
                <w:i w:val="0"/>
                <w:iCs w:val="0"/>
                <w:color w:val="0000FF"/>
                <w:kern w:val="0"/>
                <w:sz w:val="21"/>
                <w:szCs w:val="21"/>
                <w:u w:val="none"/>
                <w:lang w:val="en-US" w:eastAsia="zh-CN" w:bidi="ar"/>
              </w:rPr>
              <w:t>小时</w:t>
            </w:r>
          </w:p>
        </w:tc>
        <w:tc>
          <w:tcPr>
            <w:tcW w:w="871" w:type="pct"/>
            <w:tcBorders>
              <w:tl2br w:val="nil"/>
              <w:tr2bl w:val="nil"/>
            </w:tcBorders>
            <w:shd w:val="clear" w:color="auto" w:fill="auto"/>
            <w:noWrap/>
            <w:vAlign w:val="center"/>
          </w:tcPr>
          <w:p w14:paraId="20B767C3">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2.57E-05</w:t>
            </w:r>
          </w:p>
        </w:tc>
        <w:tc>
          <w:tcPr>
            <w:tcW w:w="756" w:type="pct"/>
            <w:tcBorders>
              <w:tl2br w:val="nil"/>
              <w:tr2bl w:val="nil"/>
            </w:tcBorders>
            <w:shd w:val="clear" w:color="auto" w:fill="auto"/>
            <w:noWrap/>
            <w:vAlign w:val="center"/>
          </w:tcPr>
          <w:p w14:paraId="22A25E13">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24021011</w:t>
            </w:r>
          </w:p>
        </w:tc>
        <w:tc>
          <w:tcPr>
            <w:tcW w:w="654" w:type="pct"/>
            <w:tcBorders>
              <w:tl2br w:val="nil"/>
              <w:tr2bl w:val="nil"/>
            </w:tcBorders>
            <w:shd w:val="clear" w:color="auto" w:fill="auto"/>
            <w:noWrap/>
            <w:vAlign w:val="center"/>
          </w:tcPr>
          <w:p w14:paraId="4AF60B90">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default" w:ascii="Times New Roman" w:hAnsi="Times New Roman" w:eastAsia="宋体" w:cs="Times New Roman"/>
                <w:i w:val="0"/>
                <w:iCs w:val="0"/>
                <w:color w:val="0000FF"/>
                <w:kern w:val="0"/>
                <w:sz w:val="21"/>
                <w:szCs w:val="21"/>
                <w:u w:val="none"/>
                <w:lang w:val="en-US" w:eastAsia="zh-CN" w:bidi="ar"/>
              </w:rPr>
              <w:t>2.00E-02</w:t>
            </w:r>
          </w:p>
        </w:tc>
        <w:tc>
          <w:tcPr>
            <w:tcW w:w="433" w:type="pct"/>
            <w:tcBorders>
              <w:tl2br w:val="nil"/>
              <w:tr2bl w:val="nil"/>
            </w:tcBorders>
            <w:shd w:val="clear" w:color="auto" w:fill="auto"/>
            <w:noWrap/>
            <w:vAlign w:val="center"/>
          </w:tcPr>
          <w:p w14:paraId="619A99E0">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0.13</w:t>
            </w:r>
          </w:p>
        </w:tc>
        <w:tc>
          <w:tcPr>
            <w:tcW w:w="447" w:type="pct"/>
            <w:tcBorders>
              <w:tl2br w:val="nil"/>
              <w:tr2bl w:val="nil"/>
            </w:tcBorders>
            <w:shd w:val="clear" w:color="auto" w:fill="auto"/>
            <w:noWrap/>
            <w:vAlign w:val="center"/>
          </w:tcPr>
          <w:p w14:paraId="717BE0C1">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达标</w:t>
            </w:r>
          </w:p>
        </w:tc>
      </w:tr>
      <w:tr w14:paraId="14FBE277">
        <w:tblPrEx>
          <w:tblBorders>
            <w:top w:val="thinThickSmallGap" w:color="000000" w:sz="12" w:space="0"/>
            <w:left w:val="none" w:color="auto" w:sz="0" w:space="0"/>
            <w:bottom w:val="thinThickSmallGap" w:color="000000" w:sz="12" w:space="0"/>
            <w:right w:val="none" w:color="auto" w:sz="0"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300" w:hRule="atLeast"/>
        </w:trPr>
        <w:tc>
          <w:tcPr>
            <w:tcW w:w="286" w:type="pct"/>
            <w:vMerge w:val="continue"/>
            <w:tcBorders>
              <w:tl2br w:val="nil"/>
              <w:tr2bl w:val="nil"/>
            </w:tcBorders>
            <w:shd w:val="clear" w:color="auto" w:fill="auto"/>
            <w:noWrap/>
            <w:vAlign w:val="center"/>
          </w:tcPr>
          <w:p w14:paraId="60339199">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p>
        </w:tc>
        <w:tc>
          <w:tcPr>
            <w:tcW w:w="432" w:type="pct"/>
            <w:vMerge w:val="continue"/>
            <w:tcBorders>
              <w:tl2br w:val="nil"/>
              <w:tr2bl w:val="nil"/>
            </w:tcBorders>
            <w:shd w:val="clear" w:color="auto" w:fill="auto"/>
            <w:noWrap/>
            <w:vAlign w:val="center"/>
          </w:tcPr>
          <w:p w14:paraId="1664C5CE">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p>
        </w:tc>
        <w:tc>
          <w:tcPr>
            <w:tcW w:w="572" w:type="pct"/>
            <w:vMerge w:val="continue"/>
            <w:tcBorders>
              <w:tl2br w:val="nil"/>
              <w:tr2bl w:val="nil"/>
            </w:tcBorders>
            <w:shd w:val="clear" w:color="auto" w:fill="auto"/>
            <w:noWrap/>
            <w:vAlign w:val="center"/>
          </w:tcPr>
          <w:p w14:paraId="3948CBF0">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p>
        </w:tc>
        <w:tc>
          <w:tcPr>
            <w:tcW w:w="545" w:type="pct"/>
            <w:tcBorders>
              <w:tl2br w:val="nil"/>
              <w:tr2bl w:val="nil"/>
            </w:tcBorders>
            <w:shd w:val="clear" w:color="auto" w:fill="auto"/>
            <w:noWrap/>
            <w:vAlign w:val="center"/>
          </w:tcPr>
          <w:p w14:paraId="1D3C9CBA">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日平均</w:t>
            </w:r>
          </w:p>
        </w:tc>
        <w:tc>
          <w:tcPr>
            <w:tcW w:w="871" w:type="pct"/>
            <w:tcBorders>
              <w:tl2br w:val="nil"/>
              <w:tr2bl w:val="nil"/>
            </w:tcBorders>
            <w:shd w:val="clear" w:color="auto" w:fill="auto"/>
            <w:noWrap/>
            <w:vAlign w:val="center"/>
          </w:tcPr>
          <w:p w14:paraId="08F1AB48">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5.20E-06</w:t>
            </w:r>
          </w:p>
        </w:tc>
        <w:tc>
          <w:tcPr>
            <w:tcW w:w="756" w:type="pct"/>
            <w:tcBorders>
              <w:tl2br w:val="nil"/>
              <w:tr2bl w:val="nil"/>
            </w:tcBorders>
            <w:shd w:val="clear" w:color="auto" w:fill="auto"/>
            <w:noWrap/>
            <w:vAlign w:val="center"/>
          </w:tcPr>
          <w:p w14:paraId="2E58AFAE">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240506</w:t>
            </w:r>
          </w:p>
        </w:tc>
        <w:tc>
          <w:tcPr>
            <w:tcW w:w="654" w:type="pct"/>
            <w:tcBorders>
              <w:tl2br w:val="nil"/>
              <w:tr2bl w:val="nil"/>
            </w:tcBorders>
            <w:shd w:val="clear" w:color="auto" w:fill="auto"/>
            <w:noWrap/>
            <w:vAlign w:val="center"/>
          </w:tcPr>
          <w:p w14:paraId="11C6CE21">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default" w:ascii="Times New Roman" w:hAnsi="Times New Roman" w:eastAsia="宋体" w:cs="Times New Roman"/>
                <w:i w:val="0"/>
                <w:iCs w:val="0"/>
                <w:color w:val="0000FF"/>
                <w:kern w:val="0"/>
                <w:sz w:val="21"/>
                <w:szCs w:val="21"/>
                <w:u w:val="none"/>
                <w:lang w:val="en-US" w:eastAsia="zh-CN" w:bidi="ar"/>
              </w:rPr>
              <w:t>7.00E-03</w:t>
            </w:r>
          </w:p>
        </w:tc>
        <w:tc>
          <w:tcPr>
            <w:tcW w:w="433" w:type="pct"/>
            <w:tcBorders>
              <w:tl2br w:val="nil"/>
              <w:tr2bl w:val="nil"/>
            </w:tcBorders>
            <w:shd w:val="clear" w:color="auto" w:fill="auto"/>
            <w:noWrap/>
            <w:vAlign w:val="center"/>
          </w:tcPr>
          <w:p w14:paraId="02A871AB">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0.07</w:t>
            </w:r>
          </w:p>
        </w:tc>
        <w:tc>
          <w:tcPr>
            <w:tcW w:w="447" w:type="pct"/>
            <w:tcBorders>
              <w:tl2br w:val="nil"/>
              <w:tr2bl w:val="nil"/>
            </w:tcBorders>
            <w:shd w:val="clear" w:color="auto" w:fill="auto"/>
            <w:noWrap/>
            <w:vAlign w:val="center"/>
          </w:tcPr>
          <w:p w14:paraId="4C8E9EA3">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达标</w:t>
            </w:r>
          </w:p>
        </w:tc>
      </w:tr>
      <w:tr w14:paraId="4F2B981A">
        <w:tblPrEx>
          <w:tblBorders>
            <w:top w:val="thinThickSmallGap" w:color="000000" w:sz="12" w:space="0"/>
            <w:left w:val="none" w:color="auto" w:sz="0" w:space="0"/>
            <w:bottom w:val="thinThickSmallGap" w:color="000000" w:sz="12" w:space="0"/>
            <w:right w:val="none" w:color="auto" w:sz="0"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300" w:hRule="atLeast"/>
        </w:trPr>
        <w:tc>
          <w:tcPr>
            <w:tcW w:w="286" w:type="pct"/>
            <w:vMerge w:val="restart"/>
            <w:tcBorders>
              <w:tl2br w:val="nil"/>
              <w:tr2bl w:val="nil"/>
            </w:tcBorders>
            <w:shd w:val="clear" w:color="auto" w:fill="auto"/>
            <w:noWrap/>
            <w:vAlign w:val="center"/>
          </w:tcPr>
          <w:p w14:paraId="1E604026">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default" w:ascii="Times New Roman" w:hAnsi="Times New Roman" w:eastAsia="宋体" w:cs="Times New Roman"/>
                <w:i w:val="0"/>
                <w:iCs w:val="0"/>
                <w:color w:val="0000FF"/>
                <w:kern w:val="0"/>
                <w:sz w:val="21"/>
                <w:szCs w:val="21"/>
                <w:u w:val="none"/>
                <w:lang w:val="en-US" w:eastAsia="zh-CN" w:bidi="ar"/>
              </w:rPr>
              <w:t>4</w:t>
            </w:r>
          </w:p>
        </w:tc>
        <w:tc>
          <w:tcPr>
            <w:tcW w:w="432" w:type="pct"/>
            <w:vMerge w:val="restart"/>
            <w:tcBorders>
              <w:tl2br w:val="nil"/>
              <w:tr2bl w:val="nil"/>
            </w:tcBorders>
            <w:shd w:val="clear" w:color="auto" w:fill="auto"/>
            <w:noWrap/>
            <w:vAlign w:val="center"/>
          </w:tcPr>
          <w:p w14:paraId="182644B2">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三道沟</w:t>
            </w:r>
          </w:p>
        </w:tc>
        <w:tc>
          <w:tcPr>
            <w:tcW w:w="572" w:type="pct"/>
            <w:vMerge w:val="restart"/>
            <w:tcBorders>
              <w:tl2br w:val="nil"/>
              <w:tr2bl w:val="nil"/>
            </w:tcBorders>
            <w:shd w:val="clear" w:color="auto" w:fill="auto"/>
            <w:noWrap/>
            <w:vAlign w:val="center"/>
          </w:tcPr>
          <w:p w14:paraId="0BF169C5">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910,-1326</w:t>
            </w:r>
          </w:p>
        </w:tc>
        <w:tc>
          <w:tcPr>
            <w:tcW w:w="545" w:type="pct"/>
            <w:tcBorders>
              <w:tl2br w:val="nil"/>
              <w:tr2bl w:val="nil"/>
            </w:tcBorders>
            <w:shd w:val="clear" w:color="auto" w:fill="auto"/>
            <w:noWrap/>
            <w:vAlign w:val="center"/>
          </w:tcPr>
          <w:p w14:paraId="3CF9005D">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default" w:ascii="Times New Roman" w:hAnsi="Times New Roman" w:eastAsia="宋体" w:cs="Times New Roman"/>
                <w:i w:val="0"/>
                <w:iCs w:val="0"/>
                <w:color w:val="0000FF"/>
                <w:kern w:val="0"/>
                <w:sz w:val="21"/>
                <w:szCs w:val="21"/>
                <w:u w:val="none"/>
                <w:lang w:val="en-US" w:eastAsia="zh-CN" w:bidi="ar"/>
              </w:rPr>
              <w:t>1</w:t>
            </w:r>
            <w:r>
              <w:rPr>
                <w:rFonts w:hint="eastAsia" w:ascii="Times New Roman" w:hAnsi="Times New Roman" w:eastAsia="宋体" w:cs="Times New Roman"/>
                <w:i w:val="0"/>
                <w:iCs w:val="0"/>
                <w:color w:val="0000FF"/>
                <w:kern w:val="0"/>
                <w:sz w:val="21"/>
                <w:szCs w:val="21"/>
                <w:u w:val="none"/>
                <w:lang w:val="en-US" w:eastAsia="zh-CN" w:bidi="ar"/>
              </w:rPr>
              <w:t>小时</w:t>
            </w:r>
          </w:p>
        </w:tc>
        <w:tc>
          <w:tcPr>
            <w:tcW w:w="871" w:type="pct"/>
            <w:tcBorders>
              <w:tl2br w:val="nil"/>
              <w:tr2bl w:val="nil"/>
            </w:tcBorders>
            <w:shd w:val="clear" w:color="auto" w:fill="auto"/>
            <w:noWrap/>
            <w:vAlign w:val="center"/>
          </w:tcPr>
          <w:p w14:paraId="2403D7E2">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4.95E-05</w:t>
            </w:r>
          </w:p>
        </w:tc>
        <w:tc>
          <w:tcPr>
            <w:tcW w:w="756" w:type="pct"/>
            <w:tcBorders>
              <w:tl2br w:val="nil"/>
              <w:tr2bl w:val="nil"/>
            </w:tcBorders>
            <w:shd w:val="clear" w:color="auto" w:fill="auto"/>
            <w:noWrap/>
            <w:vAlign w:val="center"/>
          </w:tcPr>
          <w:p w14:paraId="12963549">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24061806</w:t>
            </w:r>
          </w:p>
        </w:tc>
        <w:tc>
          <w:tcPr>
            <w:tcW w:w="654" w:type="pct"/>
            <w:tcBorders>
              <w:tl2br w:val="nil"/>
              <w:tr2bl w:val="nil"/>
            </w:tcBorders>
            <w:shd w:val="clear" w:color="auto" w:fill="auto"/>
            <w:noWrap/>
            <w:vAlign w:val="center"/>
          </w:tcPr>
          <w:p w14:paraId="4859D48F">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default" w:ascii="Times New Roman" w:hAnsi="Times New Roman" w:eastAsia="宋体" w:cs="Times New Roman"/>
                <w:i w:val="0"/>
                <w:iCs w:val="0"/>
                <w:color w:val="0000FF"/>
                <w:kern w:val="0"/>
                <w:sz w:val="21"/>
                <w:szCs w:val="21"/>
                <w:u w:val="none"/>
                <w:lang w:val="en-US" w:eastAsia="zh-CN" w:bidi="ar"/>
              </w:rPr>
              <w:t>2.00E-02</w:t>
            </w:r>
          </w:p>
        </w:tc>
        <w:tc>
          <w:tcPr>
            <w:tcW w:w="433" w:type="pct"/>
            <w:tcBorders>
              <w:tl2br w:val="nil"/>
              <w:tr2bl w:val="nil"/>
            </w:tcBorders>
            <w:shd w:val="clear" w:color="auto" w:fill="auto"/>
            <w:noWrap/>
            <w:vAlign w:val="center"/>
          </w:tcPr>
          <w:p w14:paraId="06DF1590">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0.25</w:t>
            </w:r>
          </w:p>
        </w:tc>
        <w:tc>
          <w:tcPr>
            <w:tcW w:w="447" w:type="pct"/>
            <w:tcBorders>
              <w:tl2br w:val="nil"/>
              <w:tr2bl w:val="nil"/>
            </w:tcBorders>
            <w:shd w:val="clear" w:color="auto" w:fill="auto"/>
            <w:noWrap/>
            <w:vAlign w:val="center"/>
          </w:tcPr>
          <w:p w14:paraId="155D83C3">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达标</w:t>
            </w:r>
          </w:p>
        </w:tc>
      </w:tr>
      <w:tr w14:paraId="77298429">
        <w:tblPrEx>
          <w:tblBorders>
            <w:top w:val="thinThickSmallGap" w:color="000000" w:sz="12" w:space="0"/>
            <w:left w:val="none" w:color="auto" w:sz="0" w:space="0"/>
            <w:bottom w:val="thinThickSmallGap" w:color="000000" w:sz="12" w:space="0"/>
            <w:right w:val="none" w:color="auto" w:sz="0"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300" w:hRule="atLeast"/>
        </w:trPr>
        <w:tc>
          <w:tcPr>
            <w:tcW w:w="286" w:type="pct"/>
            <w:vMerge w:val="continue"/>
            <w:tcBorders>
              <w:tl2br w:val="nil"/>
              <w:tr2bl w:val="nil"/>
            </w:tcBorders>
            <w:shd w:val="clear" w:color="auto" w:fill="auto"/>
            <w:noWrap/>
            <w:vAlign w:val="center"/>
          </w:tcPr>
          <w:p w14:paraId="52B81325">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p>
        </w:tc>
        <w:tc>
          <w:tcPr>
            <w:tcW w:w="432" w:type="pct"/>
            <w:vMerge w:val="continue"/>
            <w:tcBorders>
              <w:tl2br w:val="nil"/>
              <w:tr2bl w:val="nil"/>
            </w:tcBorders>
            <w:shd w:val="clear" w:color="auto" w:fill="auto"/>
            <w:noWrap/>
            <w:vAlign w:val="center"/>
          </w:tcPr>
          <w:p w14:paraId="189CBE31">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p>
        </w:tc>
        <w:tc>
          <w:tcPr>
            <w:tcW w:w="572" w:type="pct"/>
            <w:vMerge w:val="continue"/>
            <w:tcBorders>
              <w:tl2br w:val="nil"/>
              <w:tr2bl w:val="nil"/>
            </w:tcBorders>
            <w:shd w:val="clear" w:color="auto" w:fill="auto"/>
            <w:noWrap/>
            <w:vAlign w:val="center"/>
          </w:tcPr>
          <w:p w14:paraId="12EAB9E0">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p>
        </w:tc>
        <w:tc>
          <w:tcPr>
            <w:tcW w:w="545" w:type="pct"/>
            <w:tcBorders>
              <w:tl2br w:val="nil"/>
              <w:tr2bl w:val="nil"/>
            </w:tcBorders>
            <w:shd w:val="clear" w:color="auto" w:fill="auto"/>
            <w:noWrap/>
            <w:vAlign w:val="center"/>
          </w:tcPr>
          <w:p w14:paraId="4D77C45C">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日平均</w:t>
            </w:r>
          </w:p>
        </w:tc>
        <w:tc>
          <w:tcPr>
            <w:tcW w:w="871" w:type="pct"/>
            <w:tcBorders>
              <w:tl2br w:val="nil"/>
              <w:tr2bl w:val="nil"/>
            </w:tcBorders>
            <w:shd w:val="clear" w:color="auto" w:fill="auto"/>
            <w:noWrap/>
            <w:vAlign w:val="center"/>
          </w:tcPr>
          <w:p w14:paraId="22337503">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4.98E-06</w:t>
            </w:r>
          </w:p>
        </w:tc>
        <w:tc>
          <w:tcPr>
            <w:tcW w:w="756" w:type="pct"/>
            <w:tcBorders>
              <w:tl2br w:val="nil"/>
              <w:tr2bl w:val="nil"/>
            </w:tcBorders>
            <w:shd w:val="clear" w:color="auto" w:fill="auto"/>
            <w:noWrap/>
            <w:vAlign w:val="center"/>
          </w:tcPr>
          <w:p w14:paraId="23E91514">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240425</w:t>
            </w:r>
          </w:p>
        </w:tc>
        <w:tc>
          <w:tcPr>
            <w:tcW w:w="654" w:type="pct"/>
            <w:tcBorders>
              <w:tl2br w:val="nil"/>
              <w:tr2bl w:val="nil"/>
            </w:tcBorders>
            <w:shd w:val="clear" w:color="auto" w:fill="auto"/>
            <w:noWrap/>
            <w:vAlign w:val="center"/>
          </w:tcPr>
          <w:p w14:paraId="5AF8101E">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default" w:ascii="Times New Roman" w:hAnsi="Times New Roman" w:eastAsia="宋体" w:cs="Times New Roman"/>
                <w:i w:val="0"/>
                <w:iCs w:val="0"/>
                <w:color w:val="0000FF"/>
                <w:kern w:val="0"/>
                <w:sz w:val="21"/>
                <w:szCs w:val="21"/>
                <w:u w:val="none"/>
                <w:lang w:val="en-US" w:eastAsia="zh-CN" w:bidi="ar"/>
              </w:rPr>
              <w:t>7.00E-03</w:t>
            </w:r>
          </w:p>
        </w:tc>
        <w:tc>
          <w:tcPr>
            <w:tcW w:w="433" w:type="pct"/>
            <w:tcBorders>
              <w:tl2br w:val="nil"/>
              <w:tr2bl w:val="nil"/>
            </w:tcBorders>
            <w:shd w:val="clear" w:color="auto" w:fill="auto"/>
            <w:noWrap/>
            <w:vAlign w:val="center"/>
          </w:tcPr>
          <w:p w14:paraId="60051A31">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0.07</w:t>
            </w:r>
          </w:p>
        </w:tc>
        <w:tc>
          <w:tcPr>
            <w:tcW w:w="447" w:type="pct"/>
            <w:tcBorders>
              <w:tl2br w:val="nil"/>
              <w:tr2bl w:val="nil"/>
            </w:tcBorders>
            <w:shd w:val="clear" w:color="auto" w:fill="auto"/>
            <w:noWrap/>
            <w:vAlign w:val="center"/>
          </w:tcPr>
          <w:p w14:paraId="42539A6D">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达标</w:t>
            </w:r>
          </w:p>
        </w:tc>
      </w:tr>
      <w:tr w14:paraId="1A542DCA">
        <w:tblPrEx>
          <w:tblBorders>
            <w:top w:val="thinThickSmallGap" w:color="000000" w:sz="12" w:space="0"/>
            <w:left w:val="none" w:color="auto" w:sz="0" w:space="0"/>
            <w:bottom w:val="thinThickSmallGap" w:color="000000" w:sz="12" w:space="0"/>
            <w:right w:val="none" w:color="auto" w:sz="0"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300" w:hRule="atLeast"/>
        </w:trPr>
        <w:tc>
          <w:tcPr>
            <w:tcW w:w="286" w:type="pct"/>
            <w:vMerge w:val="restart"/>
            <w:tcBorders>
              <w:tl2br w:val="nil"/>
              <w:tr2bl w:val="nil"/>
            </w:tcBorders>
            <w:shd w:val="clear" w:color="auto" w:fill="auto"/>
            <w:noWrap/>
            <w:vAlign w:val="center"/>
          </w:tcPr>
          <w:p w14:paraId="2F201DF6">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default" w:ascii="Times New Roman" w:hAnsi="Times New Roman" w:eastAsia="宋体" w:cs="Times New Roman"/>
                <w:i w:val="0"/>
                <w:iCs w:val="0"/>
                <w:color w:val="0000FF"/>
                <w:kern w:val="0"/>
                <w:sz w:val="21"/>
                <w:szCs w:val="21"/>
                <w:u w:val="none"/>
                <w:lang w:val="en-US" w:eastAsia="zh-CN" w:bidi="ar"/>
              </w:rPr>
              <w:t>5</w:t>
            </w:r>
          </w:p>
        </w:tc>
        <w:tc>
          <w:tcPr>
            <w:tcW w:w="432" w:type="pct"/>
            <w:vMerge w:val="restart"/>
            <w:tcBorders>
              <w:tl2br w:val="nil"/>
              <w:tr2bl w:val="nil"/>
            </w:tcBorders>
            <w:shd w:val="clear" w:color="auto" w:fill="auto"/>
            <w:noWrap/>
            <w:vAlign w:val="center"/>
          </w:tcPr>
          <w:p w14:paraId="1EA6B8D7">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四道河子</w:t>
            </w:r>
          </w:p>
        </w:tc>
        <w:tc>
          <w:tcPr>
            <w:tcW w:w="572" w:type="pct"/>
            <w:vMerge w:val="restart"/>
            <w:tcBorders>
              <w:tl2br w:val="nil"/>
              <w:tr2bl w:val="nil"/>
            </w:tcBorders>
            <w:shd w:val="clear" w:color="auto" w:fill="auto"/>
            <w:noWrap/>
            <w:vAlign w:val="center"/>
          </w:tcPr>
          <w:p w14:paraId="3B4F0CA5">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430,1123</w:t>
            </w:r>
          </w:p>
        </w:tc>
        <w:tc>
          <w:tcPr>
            <w:tcW w:w="545" w:type="pct"/>
            <w:tcBorders>
              <w:tl2br w:val="nil"/>
              <w:tr2bl w:val="nil"/>
            </w:tcBorders>
            <w:shd w:val="clear" w:color="auto" w:fill="auto"/>
            <w:noWrap/>
            <w:vAlign w:val="center"/>
          </w:tcPr>
          <w:p w14:paraId="03A50F27">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default" w:ascii="Times New Roman" w:hAnsi="Times New Roman" w:eastAsia="宋体" w:cs="Times New Roman"/>
                <w:i w:val="0"/>
                <w:iCs w:val="0"/>
                <w:color w:val="0000FF"/>
                <w:kern w:val="0"/>
                <w:sz w:val="21"/>
                <w:szCs w:val="21"/>
                <w:u w:val="none"/>
                <w:lang w:val="en-US" w:eastAsia="zh-CN" w:bidi="ar"/>
              </w:rPr>
              <w:t>1</w:t>
            </w:r>
            <w:r>
              <w:rPr>
                <w:rFonts w:hint="eastAsia" w:ascii="Times New Roman" w:hAnsi="Times New Roman" w:eastAsia="宋体" w:cs="Times New Roman"/>
                <w:i w:val="0"/>
                <w:iCs w:val="0"/>
                <w:color w:val="0000FF"/>
                <w:kern w:val="0"/>
                <w:sz w:val="21"/>
                <w:szCs w:val="21"/>
                <w:u w:val="none"/>
                <w:lang w:val="en-US" w:eastAsia="zh-CN" w:bidi="ar"/>
              </w:rPr>
              <w:t>小时</w:t>
            </w:r>
          </w:p>
        </w:tc>
        <w:tc>
          <w:tcPr>
            <w:tcW w:w="871" w:type="pct"/>
            <w:tcBorders>
              <w:tl2br w:val="nil"/>
              <w:tr2bl w:val="nil"/>
            </w:tcBorders>
            <w:shd w:val="clear" w:color="auto" w:fill="auto"/>
            <w:noWrap/>
            <w:vAlign w:val="center"/>
          </w:tcPr>
          <w:p w14:paraId="2E6B6813">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3.28E-05</w:t>
            </w:r>
          </w:p>
        </w:tc>
        <w:tc>
          <w:tcPr>
            <w:tcW w:w="756" w:type="pct"/>
            <w:tcBorders>
              <w:tl2br w:val="nil"/>
              <w:tr2bl w:val="nil"/>
            </w:tcBorders>
            <w:shd w:val="clear" w:color="auto" w:fill="auto"/>
            <w:noWrap/>
            <w:vAlign w:val="center"/>
          </w:tcPr>
          <w:p w14:paraId="0038B6BB">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24052604</w:t>
            </w:r>
          </w:p>
        </w:tc>
        <w:tc>
          <w:tcPr>
            <w:tcW w:w="654" w:type="pct"/>
            <w:tcBorders>
              <w:tl2br w:val="nil"/>
              <w:tr2bl w:val="nil"/>
            </w:tcBorders>
            <w:shd w:val="clear" w:color="auto" w:fill="auto"/>
            <w:noWrap/>
            <w:vAlign w:val="center"/>
          </w:tcPr>
          <w:p w14:paraId="291D9182">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default" w:ascii="Times New Roman" w:hAnsi="Times New Roman" w:eastAsia="宋体" w:cs="Times New Roman"/>
                <w:i w:val="0"/>
                <w:iCs w:val="0"/>
                <w:color w:val="0000FF"/>
                <w:kern w:val="0"/>
                <w:sz w:val="21"/>
                <w:szCs w:val="21"/>
                <w:u w:val="none"/>
                <w:lang w:val="en-US" w:eastAsia="zh-CN" w:bidi="ar"/>
              </w:rPr>
              <w:t>2.00E-02</w:t>
            </w:r>
          </w:p>
        </w:tc>
        <w:tc>
          <w:tcPr>
            <w:tcW w:w="433" w:type="pct"/>
            <w:tcBorders>
              <w:tl2br w:val="nil"/>
              <w:tr2bl w:val="nil"/>
            </w:tcBorders>
            <w:shd w:val="clear" w:color="auto" w:fill="auto"/>
            <w:noWrap/>
            <w:vAlign w:val="center"/>
          </w:tcPr>
          <w:p w14:paraId="24FC3B20">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0.16</w:t>
            </w:r>
          </w:p>
        </w:tc>
        <w:tc>
          <w:tcPr>
            <w:tcW w:w="447" w:type="pct"/>
            <w:tcBorders>
              <w:tl2br w:val="nil"/>
              <w:tr2bl w:val="nil"/>
            </w:tcBorders>
            <w:shd w:val="clear" w:color="auto" w:fill="auto"/>
            <w:noWrap/>
            <w:vAlign w:val="center"/>
          </w:tcPr>
          <w:p w14:paraId="350FDE18">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达标</w:t>
            </w:r>
          </w:p>
        </w:tc>
      </w:tr>
      <w:tr w14:paraId="52084DF6">
        <w:tblPrEx>
          <w:tblBorders>
            <w:top w:val="thinThickSmallGap" w:color="000000" w:sz="12" w:space="0"/>
            <w:left w:val="none" w:color="auto" w:sz="0" w:space="0"/>
            <w:bottom w:val="thinThickSmallGap" w:color="000000" w:sz="12" w:space="0"/>
            <w:right w:val="none" w:color="auto" w:sz="0"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300" w:hRule="atLeast"/>
        </w:trPr>
        <w:tc>
          <w:tcPr>
            <w:tcW w:w="286" w:type="pct"/>
            <w:vMerge w:val="continue"/>
            <w:tcBorders>
              <w:tl2br w:val="nil"/>
              <w:tr2bl w:val="nil"/>
            </w:tcBorders>
            <w:shd w:val="clear" w:color="auto" w:fill="auto"/>
            <w:noWrap/>
            <w:vAlign w:val="center"/>
          </w:tcPr>
          <w:p w14:paraId="301A4862">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p>
        </w:tc>
        <w:tc>
          <w:tcPr>
            <w:tcW w:w="432" w:type="pct"/>
            <w:vMerge w:val="continue"/>
            <w:tcBorders>
              <w:tl2br w:val="nil"/>
              <w:tr2bl w:val="nil"/>
            </w:tcBorders>
            <w:shd w:val="clear" w:color="auto" w:fill="auto"/>
            <w:noWrap/>
            <w:vAlign w:val="center"/>
          </w:tcPr>
          <w:p w14:paraId="36BF9605">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p>
        </w:tc>
        <w:tc>
          <w:tcPr>
            <w:tcW w:w="572" w:type="pct"/>
            <w:vMerge w:val="continue"/>
            <w:tcBorders>
              <w:tl2br w:val="nil"/>
              <w:tr2bl w:val="nil"/>
            </w:tcBorders>
            <w:shd w:val="clear" w:color="auto" w:fill="auto"/>
            <w:noWrap/>
            <w:vAlign w:val="center"/>
          </w:tcPr>
          <w:p w14:paraId="4A10E4B1">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p>
        </w:tc>
        <w:tc>
          <w:tcPr>
            <w:tcW w:w="545" w:type="pct"/>
            <w:tcBorders>
              <w:tl2br w:val="nil"/>
              <w:tr2bl w:val="nil"/>
            </w:tcBorders>
            <w:shd w:val="clear" w:color="auto" w:fill="auto"/>
            <w:noWrap/>
            <w:vAlign w:val="center"/>
          </w:tcPr>
          <w:p w14:paraId="36E81194">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日平均</w:t>
            </w:r>
          </w:p>
        </w:tc>
        <w:tc>
          <w:tcPr>
            <w:tcW w:w="871" w:type="pct"/>
            <w:tcBorders>
              <w:tl2br w:val="nil"/>
              <w:tr2bl w:val="nil"/>
            </w:tcBorders>
            <w:shd w:val="clear" w:color="auto" w:fill="auto"/>
            <w:noWrap/>
            <w:vAlign w:val="center"/>
          </w:tcPr>
          <w:p w14:paraId="10239A40">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1.10E-05</w:t>
            </w:r>
          </w:p>
        </w:tc>
        <w:tc>
          <w:tcPr>
            <w:tcW w:w="756" w:type="pct"/>
            <w:tcBorders>
              <w:tl2br w:val="nil"/>
              <w:tr2bl w:val="nil"/>
            </w:tcBorders>
            <w:shd w:val="clear" w:color="auto" w:fill="auto"/>
            <w:noWrap/>
            <w:vAlign w:val="center"/>
          </w:tcPr>
          <w:p w14:paraId="46B7197E">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240731</w:t>
            </w:r>
          </w:p>
        </w:tc>
        <w:tc>
          <w:tcPr>
            <w:tcW w:w="654" w:type="pct"/>
            <w:tcBorders>
              <w:tl2br w:val="nil"/>
              <w:tr2bl w:val="nil"/>
            </w:tcBorders>
            <w:shd w:val="clear" w:color="auto" w:fill="auto"/>
            <w:noWrap/>
            <w:vAlign w:val="center"/>
          </w:tcPr>
          <w:p w14:paraId="48351547">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default" w:ascii="Times New Roman" w:hAnsi="Times New Roman" w:eastAsia="宋体" w:cs="Times New Roman"/>
                <w:i w:val="0"/>
                <w:iCs w:val="0"/>
                <w:color w:val="0000FF"/>
                <w:kern w:val="0"/>
                <w:sz w:val="21"/>
                <w:szCs w:val="21"/>
                <w:u w:val="none"/>
                <w:lang w:val="en-US" w:eastAsia="zh-CN" w:bidi="ar"/>
              </w:rPr>
              <w:t>7.00E-03</w:t>
            </w:r>
          </w:p>
        </w:tc>
        <w:tc>
          <w:tcPr>
            <w:tcW w:w="433" w:type="pct"/>
            <w:tcBorders>
              <w:tl2br w:val="nil"/>
              <w:tr2bl w:val="nil"/>
            </w:tcBorders>
            <w:shd w:val="clear" w:color="auto" w:fill="auto"/>
            <w:noWrap/>
            <w:vAlign w:val="center"/>
          </w:tcPr>
          <w:p w14:paraId="68615342">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0.16</w:t>
            </w:r>
          </w:p>
        </w:tc>
        <w:tc>
          <w:tcPr>
            <w:tcW w:w="447" w:type="pct"/>
            <w:tcBorders>
              <w:tl2br w:val="nil"/>
              <w:tr2bl w:val="nil"/>
            </w:tcBorders>
            <w:shd w:val="clear" w:color="auto" w:fill="auto"/>
            <w:noWrap/>
            <w:vAlign w:val="center"/>
          </w:tcPr>
          <w:p w14:paraId="5D18298A">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达标</w:t>
            </w:r>
          </w:p>
        </w:tc>
      </w:tr>
      <w:tr w14:paraId="630004DF">
        <w:tblPrEx>
          <w:tblBorders>
            <w:top w:val="thinThickSmallGap" w:color="000000" w:sz="12" w:space="0"/>
            <w:left w:val="none" w:color="auto" w:sz="0" w:space="0"/>
            <w:bottom w:val="thinThickSmallGap" w:color="000000" w:sz="12" w:space="0"/>
            <w:right w:val="none" w:color="auto" w:sz="0"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300" w:hRule="atLeast"/>
        </w:trPr>
        <w:tc>
          <w:tcPr>
            <w:tcW w:w="286" w:type="pct"/>
            <w:vMerge w:val="restart"/>
            <w:tcBorders>
              <w:tl2br w:val="nil"/>
              <w:tr2bl w:val="nil"/>
            </w:tcBorders>
            <w:shd w:val="clear" w:color="auto" w:fill="auto"/>
            <w:noWrap/>
            <w:vAlign w:val="center"/>
          </w:tcPr>
          <w:p w14:paraId="45BD0E79">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default" w:ascii="Times New Roman" w:hAnsi="Times New Roman" w:eastAsia="宋体" w:cs="Times New Roman"/>
                <w:i w:val="0"/>
                <w:iCs w:val="0"/>
                <w:color w:val="0000FF"/>
                <w:kern w:val="0"/>
                <w:sz w:val="21"/>
                <w:szCs w:val="21"/>
                <w:u w:val="none"/>
                <w:lang w:val="en-US" w:eastAsia="zh-CN" w:bidi="ar"/>
              </w:rPr>
              <w:t>6</w:t>
            </w:r>
          </w:p>
        </w:tc>
        <w:tc>
          <w:tcPr>
            <w:tcW w:w="432" w:type="pct"/>
            <w:vMerge w:val="restart"/>
            <w:tcBorders>
              <w:tl2br w:val="nil"/>
              <w:tr2bl w:val="nil"/>
            </w:tcBorders>
            <w:shd w:val="clear" w:color="auto" w:fill="auto"/>
            <w:vAlign w:val="center"/>
          </w:tcPr>
          <w:p w14:paraId="63E4059C">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五道沟</w:t>
            </w:r>
          </w:p>
        </w:tc>
        <w:tc>
          <w:tcPr>
            <w:tcW w:w="572" w:type="pct"/>
            <w:vMerge w:val="restart"/>
            <w:tcBorders>
              <w:tl2br w:val="nil"/>
              <w:tr2bl w:val="nil"/>
            </w:tcBorders>
            <w:shd w:val="clear" w:color="auto" w:fill="auto"/>
            <w:noWrap/>
            <w:vAlign w:val="center"/>
          </w:tcPr>
          <w:p w14:paraId="5461FFFD">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815,1679</w:t>
            </w:r>
          </w:p>
        </w:tc>
        <w:tc>
          <w:tcPr>
            <w:tcW w:w="545" w:type="pct"/>
            <w:tcBorders>
              <w:tl2br w:val="nil"/>
              <w:tr2bl w:val="nil"/>
            </w:tcBorders>
            <w:shd w:val="clear" w:color="auto" w:fill="auto"/>
            <w:noWrap/>
            <w:vAlign w:val="center"/>
          </w:tcPr>
          <w:p w14:paraId="32670D64">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default" w:ascii="Times New Roman" w:hAnsi="Times New Roman" w:eastAsia="宋体" w:cs="Times New Roman"/>
                <w:i w:val="0"/>
                <w:iCs w:val="0"/>
                <w:color w:val="0000FF"/>
                <w:kern w:val="0"/>
                <w:sz w:val="21"/>
                <w:szCs w:val="21"/>
                <w:u w:val="none"/>
                <w:lang w:val="en-US" w:eastAsia="zh-CN" w:bidi="ar"/>
              </w:rPr>
              <w:t>1</w:t>
            </w:r>
            <w:r>
              <w:rPr>
                <w:rFonts w:hint="eastAsia" w:ascii="Times New Roman" w:hAnsi="Times New Roman" w:eastAsia="宋体" w:cs="Times New Roman"/>
                <w:i w:val="0"/>
                <w:iCs w:val="0"/>
                <w:color w:val="0000FF"/>
                <w:kern w:val="0"/>
                <w:sz w:val="21"/>
                <w:szCs w:val="21"/>
                <w:u w:val="none"/>
                <w:lang w:val="en-US" w:eastAsia="zh-CN" w:bidi="ar"/>
              </w:rPr>
              <w:t>小时</w:t>
            </w:r>
          </w:p>
        </w:tc>
        <w:tc>
          <w:tcPr>
            <w:tcW w:w="871" w:type="pct"/>
            <w:tcBorders>
              <w:tl2br w:val="nil"/>
              <w:tr2bl w:val="nil"/>
            </w:tcBorders>
            <w:shd w:val="clear" w:color="auto" w:fill="auto"/>
            <w:noWrap/>
            <w:vAlign w:val="center"/>
          </w:tcPr>
          <w:p w14:paraId="0DB2A733">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3.81E-05</w:t>
            </w:r>
          </w:p>
        </w:tc>
        <w:tc>
          <w:tcPr>
            <w:tcW w:w="756" w:type="pct"/>
            <w:tcBorders>
              <w:tl2br w:val="nil"/>
              <w:tr2bl w:val="nil"/>
            </w:tcBorders>
            <w:shd w:val="clear" w:color="auto" w:fill="auto"/>
            <w:noWrap/>
            <w:vAlign w:val="center"/>
          </w:tcPr>
          <w:p w14:paraId="62529E22">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24011511</w:t>
            </w:r>
          </w:p>
        </w:tc>
        <w:tc>
          <w:tcPr>
            <w:tcW w:w="654" w:type="pct"/>
            <w:tcBorders>
              <w:tl2br w:val="nil"/>
              <w:tr2bl w:val="nil"/>
            </w:tcBorders>
            <w:shd w:val="clear" w:color="auto" w:fill="auto"/>
            <w:noWrap/>
            <w:vAlign w:val="center"/>
          </w:tcPr>
          <w:p w14:paraId="1FA71741">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default" w:ascii="Times New Roman" w:hAnsi="Times New Roman" w:eastAsia="宋体" w:cs="Times New Roman"/>
                <w:i w:val="0"/>
                <w:iCs w:val="0"/>
                <w:color w:val="0000FF"/>
                <w:kern w:val="0"/>
                <w:sz w:val="21"/>
                <w:szCs w:val="21"/>
                <w:u w:val="none"/>
                <w:lang w:val="en-US" w:eastAsia="zh-CN" w:bidi="ar"/>
              </w:rPr>
              <w:t>2.00E-02</w:t>
            </w:r>
          </w:p>
        </w:tc>
        <w:tc>
          <w:tcPr>
            <w:tcW w:w="433" w:type="pct"/>
            <w:tcBorders>
              <w:tl2br w:val="nil"/>
              <w:tr2bl w:val="nil"/>
            </w:tcBorders>
            <w:shd w:val="clear" w:color="auto" w:fill="auto"/>
            <w:noWrap/>
            <w:vAlign w:val="center"/>
          </w:tcPr>
          <w:p w14:paraId="102C0ADC">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0.19</w:t>
            </w:r>
          </w:p>
        </w:tc>
        <w:tc>
          <w:tcPr>
            <w:tcW w:w="447" w:type="pct"/>
            <w:tcBorders>
              <w:tl2br w:val="nil"/>
              <w:tr2bl w:val="nil"/>
            </w:tcBorders>
            <w:shd w:val="clear" w:color="auto" w:fill="auto"/>
            <w:noWrap/>
            <w:vAlign w:val="center"/>
          </w:tcPr>
          <w:p w14:paraId="6109CC04">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达标</w:t>
            </w:r>
          </w:p>
        </w:tc>
      </w:tr>
      <w:tr w14:paraId="21306FAF">
        <w:tblPrEx>
          <w:tblBorders>
            <w:top w:val="thinThickSmallGap" w:color="000000" w:sz="12" w:space="0"/>
            <w:left w:val="none" w:color="auto" w:sz="0" w:space="0"/>
            <w:bottom w:val="thinThickSmallGap" w:color="000000" w:sz="12" w:space="0"/>
            <w:right w:val="none" w:color="auto" w:sz="0"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300" w:hRule="atLeast"/>
        </w:trPr>
        <w:tc>
          <w:tcPr>
            <w:tcW w:w="286" w:type="pct"/>
            <w:vMerge w:val="continue"/>
            <w:tcBorders>
              <w:tl2br w:val="nil"/>
              <w:tr2bl w:val="nil"/>
            </w:tcBorders>
            <w:shd w:val="clear" w:color="auto" w:fill="auto"/>
            <w:noWrap/>
            <w:vAlign w:val="center"/>
          </w:tcPr>
          <w:p w14:paraId="6E7DFAD6">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p>
        </w:tc>
        <w:tc>
          <w:tcPr>
            <w:tcW w:w="432" w:type="pct"/>
            <w:vMerge w:val="continue"/>
            <w:tcBorders>
              <w:tl2br w:val="nil"/>
              <w:tr2bl w:val="nil"/>
            </w:tcBorders>
            <w:shd w:val="clear" w:color="auto" w:fill="auto"/>
            <w:vAlign w:val="center"/>
          </w:tcPr>
          <w:p w14:paraId="547974F8">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p>
        </w:tc>
        <w:tc>
          <w:tcPr>
            <w:tcW w:w="572" w:type="pct"/>
            <w:vMerge w:val="continue"/>
            <w:tcBorders>
              <w:tl2br w:val="nil"/>
              <w:tr2bl w:val="nil"/>
            </w:tcBorders>
            <w:shd w:val="clear" w:color="auto" w:fill="auto"/>
            <w:noWrap/>
            <w:vAlign w:val="center"/>
          </w:tcPr>
          <w:p w14:paraId="1274361B">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p>
        </w:tc>
        <w:tc>
          <w:tcPr>
            <w:tcW w:w="545" w:type="pct"/>
            <w:tcBorders>
              <w:tl2br w:val="nil"/>
              <w:tr2bl w:val="nil"/>
            </w:tcBorders>
            <w:shd w:val="clear" w:color="auto" w:fill="auto"/>
            <w:noWrap/>
            <w:vAlign w:val="center"/>
          </w:tcPr>
          <w:p w14:paraId="2F90CDAF">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日平均</w:t>
            </w:r>
          </w:p>
        </w:tc>
        <w:tc>
          <w:tcPr>
            <w:tcW w:w="871" w:type="pct"/>
            <w:tcBorders>
              <w:tl2br w:val="nil"/>
              <w:tr2bl w:val="nil"/>
            </w:tcBorders>
            <w:shd w:val="clear" w:color="auto" w:fill="auto"/>
            <w:noWrap/>
            <w:vAlign w:val="center"/>
          </w:tcPr>
          <w:p w14:paraId="3D56158A">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6.11E-06</w:t>
            </w:r>
          </w:p>
        </w:tc>
        <w:tc>
          <w:tcPr>
            <w:tcW w:w="756" w:type="pct"/>
            <w:tcBorders>
              <w:tl2br w:val="nil"/>
              <w:tr2bl w:val="nil"/>
            </w:tcBorders>
            <w:shd w:val="clear" w:color="auto" w:fill="auto"/>
            <w:noWrap/>
            <w:vAlign w:val="center"/>
          </w:tcPr>
          <w:p w14:paraId="14688566">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240731</w:t>
            </w:r>
          </w:p>
        </w:tc>
        <w:tc>
          <w:tcPr>
            <w:tcW w:w="654" w:type="pct"/>
            <w:tcBorders>
              <w:tl2br w:val="nil"/>
              <w:tr2bl w:val="nil"/>
            </w:tcBorders>
            <w:shd w:val="clear" w:color="auto" w:fill="auto"/>
            <w:noWrap/>
            <w:vAlign w:val="center"/>
          </w:tcPr>
          <w:p w14:paraId="5E8B67AF">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default" w:ascii="Times New Roman" w:hAnsi="Times New Roman" w:eastAsia="宋体" w:cs="Times New Roman"/>
                <w:i w:val="0"/>
                <w:iCs w:val="0"/>
                <w:color w:val="0000FF"/>
                <w:kern w:val="0"/>
                <w:sz w:val="21"/>
                <w:szCs w:val="21"/>
                <w:u w:val="none"/>
                <w:lang w:val="en-US" w:eastAsia="zh-CN" w:bidi="ar"/>
              </w:rPr>
              <w:t>7.00E-03</w:t>
            </w:r>
          </w:p>
        </w:tc>
        <w:tc>
          <w:tcPr>
            <w:tcW w:w="433" w:type="pct"/>
            <w:tcBorders>
              <w:tl2br w:val="nil"/>
              <w:tr2bl w:val="nil"/>
            </w:tcBorders>
            <w:shd w:val="clear" w:color="auto" w:fill="auto"/>
            <w:noWrap/>
            <w:vAlign w:val="center"/>
          </w:tcPr>
          <w:p w14:paraId="3FC9FA31">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0.09</w:t>
            </w:r>
          </w:p>
        </w:tc>
        <w:tc>
          <w:tcPr>
            <w:tcW w:w="447" w:type="pct"/>
            <w:tcBorders>
              <w:tl2br w:val="nil"/>
              <w:tr2bl w:val="nil"/>
            </w:tcBorders>
            <w:shd w:val="clear" w:color="auto" w:fill="auto"/>
            <w:noWrap/>
            <w:vAlign w:val="center"/>
          </w:tcPr>
          <w:p w14:paraId="1D7A5301">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达标</w:t>
            </w:r>
          </w:p>
        </w:tc>
      </w:tr>
      <w:tr w14:paraId="61364613">
        <w:tblPrEx>
          <w:tblBorders>
            <w:top w:val="thinThickSmallGap" w:color="000000" w:sz="12" w:space="0"/>
            <w:left w:val="none" w:color="auto" w:sz="0" w:space="0"/>
            <w:bottom w:val="thinThickSmallGap" w:color="000000" w:sz="12" w:space="0"/>
            <w:right w:val="none" w:color="auto" w:sz="0"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300" w:hRule="atLeast"/>
        </w:trPr>
        <w:tc>
          <w:tcPr>
            <w:tcW w:w="286" w:type="pct"/>
            <w:vMerge w:val="restart"/>
            <w:tcBorders>
              <w:tl2br w:val="nil"/>
              <w:tr2bl w:val="nil"/>
            </w:tcBorders>
            <w:shd w:val="clear" w:color="auto" w:fill="auto"/>
            <w:noWrap/>
            <w:vAlign w:val="center"/>
          </w:tcPr>
          <w:p w14:paraId="459B37A0">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7</w:t>
            </w:r>
          </w:p>
        </w:tc>
        <w:tc>
          <w:tcPr>
            <w:tcW w:w="432" w:type="pct"/>
            <w:vMerge w:val="restart"/>
            <w:tcBorders>
              <w:tl2br w:val="nil"/>
              <w:tr2bl w:val="nil"/>
            </w:tcBorders>
            <w:shd w:val="clear" w:color="auto" w:fill="auto"/>
            <w:vAlign w:val="center"/>
          </w:tcPr>
          <w:p w14:paraId="779879DC">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杨家堡子</w:t>
            </w:r>
          </w:p>
        </w:tc>
        <w:tc>
          <w:tcPr>
            <w:tcW w:w="572" w:type="pct"/>
            <w:vMerge w:val="restart"/>
            <w:tcBorders>
              <w:tl2br w:val="nil"/>
              <w:tr2bl w:val="nil"/>
            </w:tcBorders>
            <w:shd w:val="clear" w:color="auto" w:fill="auto"/>
            <w:noWrap/>
            <w:vAlign w:val="center"/>
          </w:tcPr>
          <w:p w14:paraId="04474664">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1113,1984</w:t>
            </w:r>
          </w:p>
        </w:tc>
        <w:tc>
          <w:tcPr>
            <w:tcW w:w="545" w:type="pct"/>
            <w:tcBorders>
              <w:tl2br w:val="nil"/>
              <w:tr2bl w:val="nil"/>
            </w:tcBorders>
            <w:shd w:val="clear" w:color="auto" w:fill="auto"/>
            <w:noWrap/>
            <w:vAlign w:val="center"/>
          </w:tcPr>
          <w:p w14:paraId="785BC6DC">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Times New Roman" w:hAnsi="Times New Roman" w:eastAsia="宋体" w:cs="Times New Roman"/>
                <w:i w:val="0"/>
                <w:iCs w:val="0"/>
                <w:color w:val="0000FF"/>
                <w:kern w:val="0"/>
                <w:sz w:val="21"/>
                <w:szCs w:val="21"/>
                <w:u w:val="none"/>
                <w:lang w:val="en-US" w:eastAsia="zh-CN" w:bidi="ar"/>
              </w:rPr>
            </w:pPr>
            <w:r>
              <w:rPr>
                <w:rFonts w:hint="default" w:ascii="Times New Roman" w:hAnsi="Times New Roman" w:eastAsia="宋体" w:cs="Times New Roman"/>
                <w:i w:val="0"/>
                <w:iCs w:val="0"/>
                <w:color w:val="0000FF"/>
                <w:kern w:val="0"/>
                <w:sz w:val="21"/>
                <w:szCs w:val="21"/>
                <w:u w:val="none"/>
                <w:lang w:val="en-US" w:eastAsia="zh-CN" w:bidi="ar"/>
              </w:rPr>
              <w:t>1</w:t>
            </w:r>
            <w:r>
              <w:rPr>
                <w:rFonts w:hint="eastAsia" w:ascii="Times New Roman" w:hAnsi="Times New Roman" w:eastAsia="宋体" w:cs="Times New Roman"/>
                <w:i w:val="0"/>
                <w:iCs w:val="0"/>
                <w:color w:val="0000FF"/>
                <w:kern w:val="0"/>
                <w:sz w:val="21"/>
                <w:szCs w:val="21"/>
                <w:u w:val="none"/>
                <w:lang w:val="en-US" w:eastAsia="zh-CN" w:bidi="ar"/>
              </w:rPr>
              <w:t>小时</w:t>
            </w:r>
          </w:p>
        </w:tc>
        <w:tc>
          <w:tcPr>
            <w:tcW w:w="871" w:type="pct"/>
            <w:tcBorders>
              <w:tl2br w:val="nil"/>
              <w:tr2bl w:val="nil"/>
            </w:tcBorders>
            <w:shd w:val="clear" w:color="auto" w:fill="auto"/>
            <w:noWrap/>
            <w:vAlign w:val="center"/>
          </w:tcPr>
          <w:p w14:paraId="2AB9FA75">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3.69E-05</w:t>
            </w:r>
          </w:p>
        </w:tc>
        <w:tc>
          <w:tcPr>
            <w:tcW w:w="756" w:type="pct"/>
            <w:tcBorders>
              <w:tl2br w:val="nil"/>
              <w:tr2bl w:val="nil"/>
            </w:tcBorders>
            <w:shd w:val="clear" w:color="auto" w:fill="auto"/>
            <w:noWrap/>
            <w:vAlign w:val="center"/>
          </w:tcPr>
          <w:p w14:paraId="390D9A94">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24011511</w:t>
            </w:r>
          </w:p>
        </w:tc>
        <w:tc>
          <w:tcPr>
            <w:tcW w:w="654" w:type="pct"/>
            <w:tcBorders>
              <w:tl2br w:val="nil"/>
              <w:tr2bl w:val="nil"/>
            </w:tcBorders>
            <w:shd w:val="clear" w:color="auto" w:fill="auto"/>
            <w:noWrap/>
            <w:vAlign w:val="center"/>
          </w:tcPr>
          <w:p w14:paraId="686AC5FB">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default" w:ascii="Times New Roman" w:hAnsi="Times New Roman" w:eastAsia="宋体" w:cs="Times New Roman"/>
                <w:i w:val="0"/>
                <w:iCs w:val="0"/>
                <w:color w:val="0000FF"/>
                <w:kern w:val="0"/>
                <w:sz w:val="21"/>
                <w:szCs w:val="21"/>
                <w:u w:val="none"/>
                <w:lang w:val="en-US" w:eastAsia="zh-CN" w:bidi="ar"/>
              </w:rPr>
              <w:t>2.00E-02</w:t>
            </w:r>
          </w:p>
        </w:tc>
        <w:tc>
          <w:tcPr>
            <w:tcW w:w="433" w:type="pct"/>
            <w:tcBorders>
              <w:tl2br w:val="nil"/>
              <w:tr2bl w:val="nil"/>
            </w:tcBorders>
            <w:shd w:val="clear" w:color="auto" w:fill="auto"/>
            <w:noWrap/>
            <w:vAlign w:val="center"/>
          </w:tcPr>
          <w:p w14:paraId="66FFCAFC">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0.18</w:t>
            </w:r>
          </w:p>
        </w:tc>
        <w:tc>
          <w:tcPr>
            <w:tcW w:w="447" w:type="pct"/>
            <w:tcBorders>
              <w:tl2br w:val="nil"/>
              <w:tr2bl w:val="nil"/>
            </w:tcBorders>
            <w:shd w:val="clear" w:color="auto" w:fill="auto"/>
            <w:noWrap/>
            <w:vAlign w:val="center"/>
          </w:tcPr>
          <w:p w14:paraId="08ED00E3">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达标</w:t>
            </w:r>
          </w:p>
        </w:tc>
      </w:tr>
      <w:tr w14:paraId="689F7220">
        <w:tblPrEx>
          <w:tblBorders>
            <w:top w:val="thinThickSmallGap" w:color="000000" w:sz="12" w:space="0"/>
            <w:left w:val="none" w:color="auto" w:sz="0" w:space="0"/>
            <w:bottom w:val="thinThickSmallGap" w:color="000000" w:sz="12" w:space="0"/>
            <w:right w:val="none" w:color="auto" w:sz="0"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300" w:hRule="atLeast"/>
        </w:trPr>
        <w:tc>
          <w:tcPr>
            <w:tcW w:w="286" w:type="pct"/>
            <w:vMerge w:val="continue"/>
            <w:tcBorders>
              <w:tl2br w:val="nil"/>
              <w:tr2bl w:val="nil"/>
            </w:tcBorders>
            <w:shd w:val="clear" w:color="auto" w:fill="auto"/>
            <w:noWrap/>
            <w:vAlign w:val="center"/>
          </w:tcPr>
          <w:p w14:paraId="0EFA0DAE">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p>
        </w:tc>
        <w:tc>
          <w:tcPr>
            <w:tcW w:w="432" w:type="pct"/>
            <w:vMerge w:val="continue"/>
            <w:tcBorders>
              <w:tl2br w:val="nil"/>
              <w:tr2bl w:val="nil"/>
            </w:tcBorders>
            <w:shd w:val="clear" w:color="auto" w:fill="auto"/>
            <w:vAlign w:val="center"/>
          </w:tcPr>
          <w:p w14:paraId="3FE6A97F">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p>
        </w:tc>
        <w:tc>
          <w:tcPr>
            <w:tcW w:w="572" w:type="pct"/>
            <w:vMerge w:val="continue"/>
            <w:tcBorders>
              <w:tl2br w:val="nil"/>
              <w:tr2bl w:val="nil"/>
            </w:tcBorders>
            <w:shd w:val="clear" w:color="auto" w:fill="auto"/>
            <w:noWrap/>
            <w:vAlign w:val="center"/>
          </w:tcPr>
          <w:p w14:paraId="40623C60">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p>
        </w:tc>
        <w:tc>
          <w:tcPr>
            <w:tcW w:w="545" w:type="pct"/>
            <w:tcBorders>
              <w:tl2br w:val="nil"/>
              <w:tr2bl w:val="nil"/>
            </w:tcBorders>
            <w:shd w:val="clear" w:color="auto" w:fill="auto"/>
            <w:noWrap/>
            <w:vAlign w:val="center"/>
          </w:tcPr>
          <w:p w14:paraId="1E56264A">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日平均</w:t>
            </w:r>
          </w:p>
        </w:tc>
        <w:tc>
          <w:tcPr>
            <w:tcW w:w="871" w:type="pct"/>
            <w:tcBorders>
              <w:tl2br w:val="nil"/>
              <w:tr2bl w:val="nil"/>
            </w:tcBorders>
            <w:shd w:val="clear" w:color="auto" w:fill="auto"/>
            <w:noWrap/>
            <w:vAlign w:val="center"/>
          </w:tcPr>
          <w:p w14:paraId="0A574283">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3.77E-06</w:t>
            </w:r>
          </w:p>
        </w:tc>
        <w:tc>
          <w:tcPr>
            <w:tcW w:w="756" w:type="pct"/>
            <w:tcBorders>
              <w:tl2br w:val="nil"/>
              <w:tr2bl w:val="nil"/>
            </w:tcBorders>
            <w:shd w:val="clear" w:color="auto" w:fill="auto"/>
            <w:noWrap/>
            <w:vAlign w:val="center"/>
          </w:tcPr>
          <w:p w14:paraId="07FA8BC9">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240731</w:t>
            </w:r>
          </w:p>
        </w:tc>
        <w:tc>
          <w:tcPr>
            <w:tcW w:w="654" w:type="pct"/>
            <w:tcBorders>
              <w:tl2br w:val="nil"/>
              <w:tr2bl w:val="nil"/>
            </w:tcBorders>
            <w:shd w:val="clear" w:color="auto" w:fill="auto"/>
            <w:noWrap/>
            <w:vAlign w:val="center"/>
          </w:tcPr>
          <w:p w14:paraId="468CFC33">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default" w:ascii="Times New Roman" w:hAnsi="Times New Roman" w:eastAsia="宋体" w:cs="Times New Roman"/>
                <w:i w:val="0"/>
                <w:iCs w:val="0"/>
                <w:color w:val="0000FF"/>
                <w:kern w:val="0"/>
                <w:sz w:val="21"/>
                <w:szCs w:val="21"/>
                <w:u w:val="none"/>
                <w:lang w:val="en-US" w:eastAsia="zh-CN" w:bidi="ar"/>
              </w:rPr>
              <w:t>7.00E-03</w:t>
            </w:r>
          </w:p>
        </w:tc>
        <w:tc>
          <w:tcPr>
            <w:tcW w:w="433" w:type="pct"/>
            <w:tcBorders>
              <w:tl2br w:val="nil"/>
              <w:tr2bl w:val="nil"/>
            </w:tcBorders>
            <w:shd w:val="clear" w:color="auto" w:fill="auto"/>
            <w:noWrap/>
            <w:vAlign w:val="center"/>
          </w:tcPr>
          <w:p w14:paraId="3CEBBB29">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0.05</w:t>
            </w:r>
          </w:p>
        </w:tc>
        <w:tc>
          <w:tcPr>
            <w:tcW w:w="447" w:type="pct"/>
            <w:tcBorders>
              <w:tl2br w:val="nil"/>
              <w:tr2bl w:val="nil"/>
            </w:tcBorders>
            <w:shd w:val="clear" w:color="auto" w:fill="auto"/>
            <w:noWrap/>
            <w:vAlign w:val="center"/>
          </w:tcPr>
          <w:p w14:paraId="32C3B06E">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达标</w:t>
            </w:r>
          </w:p>
        </w:tc>
      </w:tr>
      <w:tr w14:paraId="760D5E65">
        <w:tblPrEx>
          <w:tblBorders>
            <w:top w:val="thinThickSmallGap" w:color="000000" w:sz="12" w:space="0"/>
            <w:left w:val="none" w:color="auto" w:sz="0" w:space="0"/>
            <w:bottom w:val="thinThickSmallGap" w:color="000000" w:sz="12" w:space="0"/>
            <w:right w:val="none" w:color="auto" w:sz="0"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300" w:hRule="atLeast"/>
        </w:trPr>
        <w:tc>
          <w:tcPr>
            <w:tcW w:w="286" w:type="pct"/>
            <w:vMerge w:val="restart"/>
            <w:tcBorders>
              <w:tl2br w:val="nil"/>
              <w:tr2bl w:val="nil"/>
            </w:tcBorders>
            <w:shd w:val="clear" w:color="auto" w:fill="auto"/>
            <w:noWrap/>
            <w:vAlign w:val="center"/>
          </w:tcPr>
          <w:p w14:paraId="5C4F0273">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8</w:t>
            </w:r>
          </w:p>
        </w:tc>
        <w:tc>
          <w:tcPr>
            <w:tcW w:w="432" w:type="pct"/>
            <w:vMerge w:val="restart"/>
            <w:tcBorders>
              <w:tl2br w:val="nil"/>
              <w:tr2bl w:val="nil"/>
            </w:tcBorders>
            <w:shd w:val="clear" w:color="auto" w:fill="auto"/>
            <w:vAlign w:val="center"/>
          </w:tcPr>
          <w:p w14:paraId="5B6A5E2C">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网格</w:t>
            </w:r>
          </w:p>
        </w:tc>
        <w:tc>
          <w:tcPr>
            <w:tcW w:w="572" w:type="pct"/>
            <w:tcBorders>
              <w:tl2br w:val="nil"/>
              <w:tr2bl w:val="nil"/>
            </w:tcBorders>
            <w:shd w:val="clear" w:color="auto" w:fill="auto"/>
            <w:noWrap/>
            <w:vAlign w:val="center"/>
          </w:tcPr>
          <w:p w14:paraId="33F15C0B">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1328,-69</w:t>
            </w:r>
          </w:p>
        </w:tc>
        <w:tc>
          <w:tcPr>
            <w:tcW w:w="545" w:type="pct"/>
            <w:tcBorders>
              <w:tl2br w:val="nil"/>
              <w:tr2bl w:val="nil"/>
            </w:tcBorders>
            <w:shd w:val="clear" w:color="auto" w:fill="auto"/>
            <w:noWrap/>
            <w:vAlign w:val="center"/>
          </w:tcPr>
          <w:p w14:paraId="51037EE2">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Times New Roman" w:hAnsi="Times New Roman" w:eastAsia="宋体" w:cs="Times New Roman"/>
                <w:i w:val="0"/>
                <w:iCs w:val="0"/>
                <w:color w:val="0000FF"/>
                <w:kern w:val="0"/>
                <w:sz w:val="21"/>
                <w:szCs w:val="21"/>
                <w:u w:val="none"/>
                <w:lang w:val="en-US" w:eastAsia="zh-CN" w:bidi="ar"/>
              </w:rPr>
            </w:pPr>
            <w:r>
              <w:rPr>
                <w:rFonts w:hint="default" w:ascii="Times New Roman" w:hAnsi="Times New Roman" w:eastAsia="宋体" w:cs="Times New Roman"/>
                <w:i w:val="0"/>
                <w:iCs w:val="0"/>
                <w:color w:val="0000FF"/>
                <w:kern w:val="0"/>
                <w:sz w:val="21"/>
                <w:szCs w:val="21"/>
                <w:u w:val="none"/>
                <w:lang w:val="en-US" w:eastAsia="zh-CN" w:bidi="ar"/>
              </w:rPr>
              <w:t>1</w:t>
            </w:r>
            <w:r>
              <w:rPr>
                <w:rFonts w:hint="eastAsia" w:ascii="Times New Roman" w:hAnsi="Times New Roman" w:eastAsia="宋体" w:cs="Times New Roman"/>
                <w:i w:val="0"/>
                <w:iCs w:val="0"/>
                <w:color w:val="0000FF"/>
                <w:kern w:val="0"/>
                <w:sz w:val="21"/>
                <w:szCs w:val="21"/>
                <w:u w:val="none"/>
                <w:lang w:val="en-US" w:eastAsia="zh-CN" w:bidi="ar"/>
              </w:rPr>
              <w:t>小时</w:t>
            </w:r>
          </w:p>
        </w:tc>
        <w:tc>
          <w:tcPr>
            <w:tcW w:w="871" w:type="pct"/>
            <w:tcBorders>
              <w:tl2br w:val="nil"/>
              <w:tr2bl w:val="nil"/>
            </w:tcBorders>
            <w:shd w:val="clear" w:color="auto" w:fill="auto"/>
            <w:noWrap/>
            <w:vAlign w:val="center"/>
          </w:tcPr>
          <w:p w14:paraId="51F15715">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1.01E-03</w:t>
            </w:r>
          </w:p>
        </w:tc>
        <w:tc>
          <w:tcPr>
            <w:tcW w:w="756" w:type="pct"/>
            <w:tcBorders>
              <w:tl2br w:val="nil"/>
              <w:tr2bl w:val="nil"/>
            </w:tcBorders>
            <w:shd w:val="clear" w:color="auto" w:fill="auto"/>
            <w:noWrap/>
            <w:vAlign w:val="center"/>
          </w:tcPr>
          <w:p w14:paraId="48E00C24">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24121702</w:t>
            </w:r>
          </w:p>
        </w:tc>
        <w:tc>
          <w:tcPr>
            <w:tcW w:w="654" w:type="pct"/>
            <w:tcBorders>
              <w:tl2br w:val="nil"/>
              <w:tr2bl w:val="nil"/>
            </w:tcBorders>
            <w:shd w:val="clear" w:color="auto" w:fill="auto"/>
            <w:noWrap/>
            <w:vAlign w:val="center"/>
          </w:tcPr>
          <w:p w14:paraId="1AB243C4">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default" w:ascii="Times New Roman" w:hAnsi="Times New Roman" w:eastAsia="宋体" w:cs="Times New Roman"/>
                <w:i w:val="0"/>
                <w:iCs w:val="0"/>
                <w:color w:val="0000FF"/>
                <w:kern w:val="0"/>
                <w:sz w:val="21"/>
                <w:szCs w:val="21"/>
                <w:u w:val="none"/>
                <w:lang w:val="en-US" w:eastAsia="zh-CN" w:bidi="ar"/>
              </w:rPr>
              <w:t>2.00E-02</w:t>
            </w:r>
          </w:p>
        </w:tc>
        <w:tc>
          <w:tcPr>
            <w:tcW w:w="433" w:type="pct"/>
            <w:tcBorders>
              <w:tl2br w:val="nil"/>
              <w:tr2bl w:val="nil"/>
            </w:tcBorders>
            <w:shd w:val="clear" w:color="auto" w:fill="auto"/>
            <w:noWrap/>
            <w:vAlign w:val="center"/>
          </w:tcPr>
          <w:p w14:paraId="239AAA87">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5.07</w:t>
            </w:r>
          </w:p>
        </w:tc>
        <w:tc>
          <w:tcPr>
            <w:tcW w:w="447" w:type="pct"/>
            <w:tcBorders>
              <w:tl2br w:val="nil"/>
              <w:tr2bl w:val="nil"/>
            </w:tcBorders>
            <w:shd w:val="clear" w:color="auto" w:fill="auto"/>
            <w:noWrap/>
            <w:vAlign w:val="center"/>
          </w:tcPr>
          <w:p w14:paraId="50DB4F4E">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达标</w:t>
            </w:r>
          </w:p>
        </w:tc>
      </w:tr>
      <w:tr w14:paraId="2756E5FB">
        <w:tblPrEx>
          <w:tblBorders>
            <w:top w:val="thinThickSmallGap" w:color="000000" w:sz="12" w:space="0"/>
            <w:left w:val="none" w:color="auto" w:sz="0" w:space="0"/>
            <w:bottom w:val="thinThickSmallGap" w:color="000000" w:sz="12" w:space="0"/>
            <w:right w:val="none" w:color="auto" w:sz="0"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300" w:hRule="atLeast"/>
        </w:trPr>
        <w:tc>
          <w:tcPr>
            <w:tcW w:w="286" w:type="pct"/>
            <w:vMerge w:val="continue"/>
            <w:tcBorders>
              <w:tl2br w:val="nil"/>
              <w:tr2bl w:val="nil"/>
            </w:tcBorders>
            <w:shd w:val="clear" w:color="auto" w:fill="auto"/>
            <w:noWrap/>
            <w:vAlign w:val="center"/>
          </w:tcPr>
          <w:p w14:paraId="641648A6">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p>
        </w:tc>
        <w:tc>
          <w:tcPr>
            <w:tcW w:w="432" w:type="pct"/>
            <w:vMerge w:val="continue"/>
            <w:tcBorders>
              <w:tl2br w:val="nil"/>
              <w:tr2bl w:val="nil"/>
            </w:tcBorders>
            <w:shd w:val="clear" w:color="auto" w:fill="auto"/>
            <w:vAlign w:val="center"/>
          </w:tcPr>
          <w:p w14:paraId="3C2716AE">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p>
        </w:tc>
        <w:tc>
          <w:tcPr>
            <w:tcW w:w="572" w:type="pct"/>
            <w:tcBorders>
              <w:tl2br w:val="nil"/>
              <w:tr2bl w:val="nil"/>
            </w:tcBorders>
            <w:shd w:val="clear" w:color="auto" w:fill="auto"/>
            <w:noWrap/>
            <w:vAlign w:val="center"/>
          </w:tcPr>
          <w:p w14:paraId="14BBB655">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28,931</w:t>
            </w:r>
          </w:p>
        </w:tc>
        <w:tc>
          <w:tcPr>
            <w:tcW w:w="545" w:type="pct"/>
            <w:tcBorders>
              <w:tl2br w:val="nil"/>
              <w:tr2bl w:val="nil"/>
            </w:tcBorders>
            <w:shd w:val="clear" w:color="auto" w:fill="auto"/>
            <w:noWrap/>
            <w:vAlign w:val="center"/>
          </w:tcPr>
          <w:p w14:paraId="1DCA58E6">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日平均</w:t>
            </w:r>
          </w:p>
        </w:tc>
        <w:tc>
          <w:tcPr>
            <w:tcW w:w="871" w:type="pct"/>
            <w:tcBorders>
              <w:tl2br w:val="nil"/>
              <w:tr2bl w:val="nil"/>
            </w:tcBorders>
            <w:shd w:val="clear" w:color="auto" w:fill="auto"/>
            <w:noWrap/>
            <w:vAlign w:val="center"/>
          </w:tcPr>
          <w:p w14:paraId="441FF143">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1.22E-04</w:t>
            </w:r>
          </w:p>
        </w:tc>
        <w:tc>
          <w:tcPr>
            <w:tcW w:w="756" w:type="pct"/>
            <w:tcBorders>
              <w:tl2br w:val="nil"/>
              <w:tr2bl w:val="nil"/>
            </w:tcBorders>
            <w:shd w:val="clear" w:color="auto" w:fill="auto"/>
            <w:noWrap/>
            <w:vAlign w:val="center"/>
          </w:tcPr>
          <w:p w14:paraId="0ADA3267">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240306</w:t>
            </w:r>
          </w:p>
        </w:tc>
        <w:tc>
          <w:tcPr>
            <w:tcW w:w="654" w:type="pct"/>
            <w:tcBorders>
              <w:tl2br w:val="nil"/>
              <w:tr2bl w:val="nil"/>
            </w:tcBorders>
            <w:shd w:val="clear" w:color="auto" w:fill="auto"/>
            <w:noWrap/>
            <w:vAlign w:val="center"/>
          </w:tcPr>
          <w:p w14:paraId="79FB6DED">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default" w:ascii="Times New Roman" w:hAnsi="Times New Roman" w:eastAsia="宋体" w:cs="Times New Roman"/>
                <w:i w:val="0"/>
                <w:iCs w:val="0"/>
                <w:color w:val="0000FF"/>
                <w:kern w:val="0"/>
                <w:sz w:val="21"/>
                <w:szCs w:val="21"/>
                <w:u w:val="none"/>
                <w:lang w:val="en-US" w:eastAsia="zh-CN" w:bidi="ar"/>
              </w:rPr>
              <w:t>7.00E-03</w:t>
            </w:r>
          </w:p>
        </w:tc>
        <w:tc>
          <w:tcPr>
            <w:tcW w:w="433" w:type="pct"/>
            <w:tcBorders>
              <w:tl2br w:val="nil"/>
              <w:tr2bl w:val="nil"/>
            </w:tcBorders>
            <w:shd w:val="clear" w:color="auto" w:fill="auto"/>
            <w:noWrap/>
            <w:vAlign w:val="center"/>
          </w:tcPr>
          <w:p w14:paraId="7AFA59F7">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1.75</w:t>
            </w:r>
          </w:p>
        </w:tc>
        <w:tc>
          <w:tcPr>
            <w:tcW w:w="447" w:type="pct"/>
            <w:tcBorders>
              <w:tl2br w:val="nil"/>
              <w:tr2bl w:val="nil"/>
            </w:tcBorders>
            <w:shd w:val="clear" w:color="auto" w:fill="auto"/>
            <w:noWrap/>
            <w:vAlign w:val="center"/>
          </w:tcPr>
          <w:p w14:paraId="0AE5D244">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达标</w:t>
            </w:r>
          </w:p>
        </w:tc>
      </w:tr>
    </w:tbl>
    <w:p w14:paraId="48D2A13C">
      <w:pPr>
        <w:tabs>
          <w:tab w:val="left" w:pos="851"/>
          <w:tab w:val="left" w:pos="1141"/>
          <w:tab w:val="left" w:pos="4335"/>
        </w:tabs>
        <w:jc w:val="center"/>
        <w:rPr>
          <w:rFonts w:hint="eastAsia" w:ascii="Times New Roman" w:hAnsi="Times New Roman" w:eastAsia="黑体" w:cs="Times New Roman"/>
          <w:bCs/>
          <w:color w:val="0000FF"/>
        </w:rPr>
      </w:pPr>
      <w:r>
        <w:rPr>
          <w:rFonts w:ascii="Times New Roman" w:hAnsi="Times New Roman" w:eastAsia="黑体" w:cs="Times New Roman"/>
          <w:bCs/>
          <w:color w:val="0000FF"/>
        </w:rPr>
        <w:t>表</w:t>
      </w:r>
      <w:r>
        <w:rPr>
          <w:rFonts w:hint="eastAsia" w:ascii="Times New Roman" w:hAnsi="Times New Roman" w:eastAsia="黑体" w:cs="Times New Roman"/>
          <w:bCs/>
          <w:color w:val="0000FF"/>
        </w:rPr>
        <w:t>5</w:t>
      </w:r>
      <w:r>
        <w:rPr>
          <w:rFonts w:ascii="Times New Roman" w:hAnsi="Times New Roman" w:eastAsia="黑体" w:cs="Times New Roman"/>
          <w:bCs/>
          <w:color w:val="0000FF"/>
        </w:rPr>
        <w:t>.1-1</w:t>
      </w:r>
      <w:r>
        <w:rPr>
          <w:rFonts w:hint="eastAsia" w:ascii="Times New Roman" w:hAnsi="Times New Roman" w:eastAsia="黑体" w:cs="Times New Roman"/>
          <w:bCs/>
          <w:color w:val="0000FF"/>
          <w:lang w:val="en-US" w:eastAsia="zh-CN"/>
        </w:rPr>
        <w:t>7</w:t>
      </w:r>
      <w:r>
        <w:rPr>
          <w:rFonts w:ascii="Times New Roman" w:hAnsi="Times New Roman" w:eastAsia="黑体" w:cs="Times New Roman"/>
          <w:bCs/>
          <w:color w:val="0000FF"/>
        </w:rPr>
        <w:t xml:space="preserve">  </w:t>
      </w:r>
      <w:r>
        <w:rPr>
          <w:rFonts w:hint="eastAsia" w:ascii="Times New Roman" w:hAnsi="Times New Roman" w:eastAsia="黑体" w:cs="Times New Roman"/>
          <w:bCs/>
          <w:color w:val="0000FF"/>
        </w:rPr>
        <w:t>关心点及网格点</w:t>
      </w:r>
      <w:r>
        <w:rPr>
          <w:rFonts w:hint="eastAsia" w:ascii="Times New Roman" w:hAnsi="Times New Roman" w:eastAsia="黑体" w:cs="Times New Roman"/>
          <w:bCs/>
          <w:color w:val="0000FF"/>
          <w:lang w:val="en-US" w:eastAsia="zh-CN"/>
        </w:rPr>
        <w:t>氮氧化物NOx</w:t>
      </w:r>
      <w:r>
        <w:rPr>
          <w:rFonts w:hint="eastAsia" w:ascii="Times New Roman" w:hAnsi="Times New Roman" w:eastAsia="黑体" w:cs="Times New Roman"/>
          <w:bCs/>
          <w:color w:val="0000FF"/>
        </w:rPr>
        <w:t>贡献质量浓度预测结果表</w:t>
      </w:r>
    </w:p>
    <w:tbl>
      <w:tblPr>
        <w:tblStyle w:val="56"/>
        <w:tblW w:w="8647" w:type="dxa"/>
        <w:jc w:val="center"/>
        <w:tblBorders>
          <w:top w:val="thinThickSmallGap" w:color="000000" w:sz="12" w:space="0"/>
          <w:left w:val="none" w:color="auto" w:sz="0" w:space="0"/>
          <w:bottom w:val="thinThickSmallGap" w:color="000000" w:sz="12" w:space="0"/>
          <w:right w:val="none" w:color="auto" w:sz="0" w:space="0"/>
          <w:insideH w:val="single" w:color="000000" w:sz="4" w:space="0"/>
          <w:insideV w:val="single" w:color="000000" w:sz="4" w:space="0"/>
        </w:tblBorders>
        <w:shd w:val="clear" w:color="auto" w:fill="auto"/>
        <w:tblLayout w:type="fixed"/>
        <w:tblCellMar>
          <w:top w:w="0" w:type="dxa"/>
          <w:left w:w="108" w:type="dxa"/>
          <w:bottom w:w="0" w:type="dxa"/>
          <w:right w:w="108" w:type="dxa"/>
        </w:tblCellMar>
      </w:tblPr>
      <w:tblGrid>
        <w:gridCol w:w="510"/>
        <w:gridCol w:w="900"/>
        <w:gridCol w:w="1008"/>
        <w:gridCol w:w="945"/>
        <w:gridCol w:w="1110"/>
        <w:gridCol w:w="1350"/>
        <w:gridCol w:w="1140"/>
        <w:gridCol w:w="825"/>
        <w:gridCol w:w="859"/>
      </w:tblGrid>
      <w:tr w14:paraId="670F518D">
        <w:tblPrEx>
          <w:tblBorders>
            <w:top w:val="thinThickSmallGap" w:color="000000" w:sz="12" w:space="0"/>
            <w:left w:val="none" w:color="auto" w:sz="0" w:space="0"/>
            <w:bottom w:val="thinThickSmallGap"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00" w:hRule="atLeast"/>
          <w:jc w:val="center"/>
        </w:trPr>
        <w:tc>
          <w:tcPr>
            <w:tcW w:w="510" w:type="dxa"/>
            <w:tcBorders>
              <w:tl2br w:val="nil"/>
              <w:tr2bl w:val="nil"/>
            </w:tcBorders>
            <w:shd w:val="clear" w:color="auto" w:fill="auto"/>
            <w:noWrap/>
            <w:vAlign w:val="center"/>
          </w:tcPr>
          <w:p w14:paraId="17B8BC08">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1"/>
                <w:szCs w:val="21"/>
                <w:u w:val="none"/>
                <w:lang w:val="en-US" w:eastAsia="zh-CN" w:bidi="ar"/>
              </w:rPr>
              <w:t>序号</w:t>
            </w:r>
          </w:p>
        </w:tc>
        <w:tc>
          <w:tcPr>
            <w:tcW w:w="900" w:type="dxa"/>
            <w:tcBorders>
              <w:tl2br w:val="nil"/>
              <w:tr2bl w:val="nil"/>
            </w:tcBorders>
            <w:shd w:val="clear" w:color="auto" w:fill="auto"/>
            <w:noWrap/>
            <w:vAlign w:val="center"/>
          </w:tcPr>
          <w:p w14:paraId="6D989E44">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1"/>
                <w:szCs w:val="21"/>
                <w:u w:val="none"/>
                <w:lang w:val="en-US" w:eastAsia="zh-CN" w:bidi="ar"/>
              </w:rPr>
              <w:t>点名称</w:t>
            </w:r>
          </w:p>
        </w:tc>
        <w:tc>
          <w:tcPr>
            <w:tcW w:w="1008" w:type="dxa"/>
            <w:tcBorders>
              <w:tl2br w:val="nil"/>
              <w:tr2bl w:val="nil"/>
            </w:tcBorders>
            <w:shd w:val="clear" w:color="auto" w:fill="auto"/>
            <w:noWrap/>
            <w:vAlign w:val="center"/>
          </w:tcPr>
          <w:p w14:paraId="53FFDEF1">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1"/>
                <w:szCs w:val="21"/>
                <w:u w:val="none"/>
                <w:lang w:val="en-US" w:eastAsia="zh-CN" w:bidi="ar"/>
              </w:rPr>
              <w:t>点坐标(x,y)</w:t>
            </w:r>
          </w:p>
        </w:tc>
        <w:tc>
          <w:tcPr>
            <w:tcW w:w="945" w:type="dxa"/>
            <w:tcBorders>
              <w:tl2br w:val="nil"/>
              <w:tr2bl w:val="nil"/>
            </w:tcBorders>
            <w:shd w:val="clear" w:color="auto" w:fill="auto"/>
            <w:noWrap/>
            <w:vAlign w:val="center"/>
          </w:tcPr>
          <w:p w14:paraId="332D5BD7">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1"/>
                <w:szCs w:val="21"/>
                <w:u w:val="none"/>
                <w:lang w:val="en-US" w:eastAsia="zh-CN" w:bidi="ar"/>
              </w:rPr>
              <w:t>浓度类型</w:t>
            </w:r>
          </w:p>
        </w:tc>
        <w:tc>
          <w:tcPr>
            <w:tcW w:w="1110" w:type="dxa"/>
            <w:tcBorders>
              <w:tl2br w:val="nil"/>
              <w:tr2bl w:val="nil"/>
            </w:tcBorders>
            <w:shd w:val="clear" w:color="auto" w:fill="auto"/>
            <w:noWrap/>
            <w:vAlign w:val="center"/>
          </w:tcPr>
          <w:p w14:paraId="28863124">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1"/>
                <w:szCs w:val="21"/>
                <w:u w:val="none"/>
                <w:lang w:val="en-US" w:eastAsia="zh-CN" w:bidi="ar"/>
              </w:rPr>
              <w:t>浓度增量(mg/m</w:t>
            </w:r>
            <w:r>
              <w:rPr>
                <w:rFonts w:hint="default" w:ascii="Times New Roman" w:hAnsi="Times New Roman" w:eastAsia="宋体" w:cs="Times New Roman"/>
                <w:i w:val="0"/>
                <w:iCs w:val="0"/>
                <w:color w:val="0000FF"/>
                <w:kern w:val="0"/>
                <w:sz w:val="21"/>
                <w:szCs w:val="21"/>
                <w:u w:val="none"/>
                <w:vertAlign w:val="superscript"/>
                <w:lang w:val="en-US" w:eastAsia="zh-CN" w:bidi="ar"/>
              </w:rPr>
              <w:t>3</w:t>
            </w:r>
            <w:r>
              <w:rPr>
                <w:rFonts w:hint="default" w:ascii="Times New Roman" w:hAnsi="Times New Roman" w:eastAsia="宋体" w:cs="Times New Roman"/>
                <w:i w:val="0"/>
                <w:iCs w:val="0"/>
                <w:color w:val="0000FF"/>
                <w:kern w:val="0"/>
                <w:sz w:val="21"/>
                <w:szCs w:val="21"/>
                <w:u w:val="none"/>
                <w:lang w:val="en-US" w:eastAsia="zh-CN" w:bidi="ar"/>
              </w:rPr>
              <w:t>)</w:t>
            </w:r>
          </w:p>
        </w:tc>
        <w:tc>
          <w:tcPr>
            <w:tcW w:w="1350" w:type="dxa"/>
            <w:tcBorders>
              <w:tl2br w:val="nil"/>
              <w:tr2bl w:val="nil"/>
            </w:tcBorders>
            <w:shd w:val="clear" w:color="auto" w:fill="auto"/>
            <w:noWrap/>
            <w:vAlign w:val="center"/>
          </w:tcPr>
          <w:p w14:paraId="0E5CE501">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1"/>
                <w:szCs w:val="21"/>
                <w:u w:val="none"/>
                <w:lang w:val="en-US" w:eastAsia="zh-CN" w:bidi="ar"/>
              </w:rPr>
              <w:t>出现时间(YYMMDDHH)</w:t>
            </w:r>
          </w:p>
        </w:tc>
        <w:tc>
          <w:tcPr>
            <w:tcW w:w="1140" w:type="dxa"/>
            <w:tcBorders>
              <w:tl2br w:val="nil"/>
              <w:tr2bl w:val="nil"/>
            </w:tcBorders>
            <w:shd w:val="clear" w:color="auto" w:fill="auto"/>
            <w:noWrap/>
            <w:vAlign w:val="center"/>
          </w:tcPr>
          <w:p w14:paraId="5D598847">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1"/>
                <w:szCs w:val="21"/>
                <w:u w:val="none"/>
                <w:lang w:val="en-US" w:eastAsia="zh-CN" w:bidi="ar"/>
              </w:rPr>
              <w:t>评价标准(mg/m</w:t>
            </w:r>
            <w:r>
              <w:rPr>
                <w:rFonts w:hint="default" w:ascii="Times New Roman" w:hAnsi="Times New Roman" w:eastAsia="宋体" w:cs="Times New Roman"/>
                <w:i w:val="0"/>
                <w:iCs w:val="0"/>
                <w:color w:val="0000FF"/>
                <w:kern w:val="0"/>
                <w:sz w:val="21"/>
                <w:szCs w:val="21"/>
                <w:u w:val="none"/>
                <w:vertAlign w:val="superscript"/>
                <w:lang w:val="en-US" w:eastAsia="zh-CN" w:bidi="ar"/>
              </w:rPr>
              <w:t>3</w:t>
            </w:r>
            <w:r>
              <w:rPr>
                <w:rFonts w:hint="default" w:ascii="Times New Roman" w:hAnsi="Times New Roman" w:eastAsia="宋体" w:cs="Times New Roman"/>
                <w:i w:val="0"/>
                <w:iCs w:val="0"/>
                <w:color w:val="0000FF"/>
                <w:kern w:val="0"/>
                <w:sz w:val="21"/>
                <w:szCs w:val="21"/>
                <w:u w:val="none"/>
                <w:lang w:val="en-US" w:eastAsia="zh-CN" w:bidi="ar"/>
              </w:rPr>
              <w:t>)</w:t>
            </w:r>
          </w:p>
        </w:tc>
        <w:tc>
          <w:tcPr>
            <w:tcW w:w="825" w:type="dxa"/>
            <w:tcBorders>
              <w:tl2br w:val="nil"/>
              <w:tr2bl w:val="nil"/>
            </w:tcBorders>
            <w:shd w:val="clear" w:color="auto" w:fill="auto"/>
            <w:noWrap/>
            <w:vAlign w:val="center"/>
          </w:tcPr>
          <w:p w14:paraId="25767341">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1"/>
                <w:szCs w:val="21"/>
                <w:u w:val="none"/>
                <w:lang w:val="en-US" w:eastAsia="zh-CN" w:bidi="ar"/>
              </w:rPr>
              <w:t>占标率%</w:t>
            </w:r>
          </w:p>
        </w:tc>
        <w:tc>
          <w:tcPr>
            <w:tcW w:w="859" w:type="dxa"/>
            <w:tcBorders>
              <w:tl2br w:val="nil"/>
              <w:tr2bl w:val="nil"/>
            </w:tcBorders>
            <w:shd w:val="clear" w:color="auto" w:fill="auto"/>
            <w:noWrap/>
            <w:vAlign w:val="center"/>
          </w:tcPr>
          <w:p w14:paraId="206325A2">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1"/>
                <w:szCs w:val="21"/>
                <w:u w:val="none"/>
                <w:lang w:val="en-US" w:eastAsia="zh-CN" w:bidi="ar"/>
              </w:rPr>
              <w:t>是否超标</w:t>
            </w:r>
          </w:p>
        </w:tc>
      </w:tr>
      <w:tr w14:paraId="57772D9F">
        <w:tblPrEx>
          <w:tblBorders>
            <w:top w:val="thinThickSmallGap" w:color="000000" w:sz="12" w:space="0"/>
            <w:left w:val="none" w:color="auto" w:sz="0" w:space="0"/>
            <w:bottom w:val="thinThickSmallGap"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00" w:hRule="atLeast"/>
          <w:jc w:val="center"/>
        </w:trPr>
        <w:tc>
          <w:tcPr>
            <w:tcW w:w="510" w:type="dxa"/>
            <w:vMerge w:val="restart"/>
            <w:tcBorders>
              <w:tl2br w:val="nil"/>
              <w:tr2bl w:val="nil"/>
            </w:tcBorders>
            <w:shd w:val="clear" w:color="auto" w:fill="auto"/>
            <w:noWrap/>
            <w:vAlign w:val="center"/>
          </w:tcPr>
          <w:p w14:paraId="3B45C852">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1"/>
                <w:szCs w:val="21"/>
                <w:u w:val="none"/>
                <w:lang w:val="en-US" w:eastAsia="zh-CN" w:bidi="ar"/>
              </w:rPr>
              <w:t>1</w:t>
            </w:r>
          </w:p>
        </w:tc>
        <w:tc>
          <w:tcPr>
            <w:tcW w:w="900" w:type="dxa"/>
            <w:vMerge w:val="restart"/>
            <w:tcBorders>
              <w:tl2br w:val="nil"/>
              <w:tr2bl w:val="nil"/>
            </w:tcBorders>
            <w:shd w:val="clear" w:color="auto" w:fill="auto"/>
            <w:noWrap/>
            <w:vAlign w:val="center"/>
          </w:tcPr>
          <w:p w14:paraId="401A1785">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1"/>
                <w:szCs w:val="21"/>
                <w:u w:val="none"/>
                <w:lang w:val="en-US" w:eastAsia="zh-CN" w:bidi="ar"/>
              </w:rPr>
              <w:t>祁家堡</w:t>
            </w:r>
          </w:p>
        </w:tc>
        <w:tc>
          <w:tcPr>
            <w:tcW w:w="1008" w:type="dxa"/>
            <w:vMerge w:val="restart"/>
            <w:tcBorders>
              <w:tl2br w:val="nil"/>
              <w:tr2bl w:val="nil"/>
            </w:tcBorders>
            <w:shd w:val="clear" w:color="auto" w:fill="auto"/>
            <w:noWrap/>
            <w:vAlign w:val="center"/>
          </w:tcPr>
          <w:p w14:paraId="5D5E3FBF">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1"/>
                <w:szCs w:val="21"/>
                <w:u w:val="none"/>
                <w:lang w:val="en-US" w:eastAsia="zh-CN" w:bidi="ar"/>
              </w:rPr>
              <w:t>85,261</w:t>
            </w:r>
          </w:p>
        </w:tc>
        <w:tc>
          <w:tcPr>
            <w:tcW w:w="945" w:type="dxa"/>
            <w:tcBorders>
              <w:tl2br w:val="nil"/>
              <w:tr2bl w:val="nil"/>
            </w:tcBorders>
            <w:shd w:val="clear" w:color="auto" w:fill="auto"/>
            <w:noWrap/>
            <w:vAlign w:val="center"/>
          </w:tcPr>
          <w:p w14:paraId="3B149C8D">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1"/>
                <w:szCs w:val="21"/>
                <w:u w:val="none"/>
                <w:lang w:val="en-US" w:eastAsia="zh-CN" w:bidi="ar"/>
              </w:rPr>
              <w:t>1小时</w:t>
            </w:r>
          </w:p>
        </w:tc>
        <w:tc>
          <w:tcPr>
            <w:tcW w:w="1110" w:type="dxa"/>
            <w:tcBorders>
              <w:tl2br w:val="nil"/>
              <w:tr2bl w:val="nil"/>
            </w:tcBorders>
            <w:shd w:val="clear" w:color="auto" w:fill="auto"/>
            <w:noWrap/>
            <w:vAlign w:val="center"/>
          </w:tcPr>
          <w:p w14:paraId="62A86238">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2"/>
                <w:szCs w:val="22"/>
                <w:u w:val="none"/>
                <w:lang w:val="en-US" w:eastAsia="zh-CN" w:bidi="ar"/>
              </w:rPr>
              <w:t>2.30E-03</w:t>
            </w:r>
          </w:p>
        </w:tc>
        <w:tc>
          <w:tcPr>
            <w:tcW w:w="1350" w:type="dxa"/>
            <w:tcBorders>
              <w:tl2br w:val="nil"/>
              <w:tr2bl w:val="nil"/>
            </w:tcBorders>
            <w:shd w:val="clear" w:color="auto" w:fill="auto"/>
            <w:noWrap/>
            <w:vAlign w:val="center"/>
          </w:tcPr>
          <w:p w14:paraId="493264FC">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2"/>
                <w:szCs w:val="22"/>
                <w:u w:val="none"/>
                <w:lang w:val="en-US" w:eastAsia="zh-CN" w:bidi="ar"/>
              </w:rPr>
              <w:t>24090312</w:t>
            </w:r>
          </w:p>
        </w:tc>
        <w:tc>
          <w:tcPr>
            <w:tcW w:w="1140" w:type="dxa"/>
            <w:tcBorders>
              <w:tl2br w:val="nil"/>
              <w:tr2bl w:val="nil"/>
            </w:tcBorders>
            <w:shd w:val="clear" w:color="auto" w:fill="auto"/>
            <w:noWrap/>
            <w:vAlign w:val="center"/>
          </w:tcPr>
          <w:p w14:paraId="4B247CDC">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2"/>
                <w:szCs w:val="22"/>
                <w:u w:val="none"/>
                <w:lang w:val="en-US" w:eastAsia="zh-CN" w:bidi="ar"/>
              </w:rPr>
              <w:t>2.50E-01</w:t>
            </w:r>
          </w:p>
        </w:tc>
        <w:tc>
          <w:tcPr>
            <w:tcW w:w="825" w:type="dxa"/>
            <w:tcBorders>
              <w:tl2br w:val="nil"/>
              <w:tr2bl w:val="nil"/>
            </w:tcBorders>
            <w:shd w:val="clear" w:color="auto" w:fill="auto"/>
            <w:noWrap/>
            <w:vAlign w:val="center"/>
          </w:tcPr>
          <w:p w14:paraId="59C1E2D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1"/>
                <w:szCs w:val="21"/>
                <w:u w:val="none"/>
                <w:lang w:val="en-US" w:eastAsia="zh-CN" w:bidi="ar"/>
              </w:rPr>
              <w:t>0.92</w:t>
            </w:r>
          </w:p>
        </w:tc>
        <w:tc>
          <w:tcPr>
            <w:tcW w:w="859" w:type="dxa"/>
            <w:tcBorders>
              <w:tl2br w:val="nil"/>
              <w:tr2bl w:val="nil"/>
            </w:tcBorders>
            <w:shd w:val="clear" w:color="auto" w:fill="auto"/>
            <w:noWrap/>
            <w:vAlign w:val="center"/>
          </w:tcPr>
          <w:p w14:paraId="29723489">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1"/>
                <w:szCs w:val="21"/>
                <w:u w:val="none"/>
                <w:lang w:val="en-US" w:eastAsia="zh-CN" w:bidi="ar"/>
              </w:rPr>
              <w:t>达标</w:t>
            </w:r>
          </w:p>
        </w:tc>
      </w:tr>
      <w:tr w14:paraId="6DC46660">
        <w:tblPrEx>
          <w:tblBorders>
            <w:top w:val="thinThickSmallGap" w:color="000000" w:sz="12" w:space="0"/>
            <w:left w:val="none" w:color="auto" w:sz="0" w:space="0"/>
            <w:bottom w:val="thinThickSmallGap" w:color="000000" w:sz="12" w:space="0"/>
            <w:right w:val="none" w:color="auto" w:sz="0"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300" w:hRule="atLeast"/>
          <w:jc w:val="center"/>
        </w:trPr>
        <w:tc>
          <w:tcPr>
            <w:tcW w:w="510" w:type="dxa"/>
            <w:vMerge w:val="continue"/>
            <w:tcBorders>
              <w:tl2br w:val="nil"/>
              <w:tr2bl w:val="nil"/>
            </w:tcBorders>
            <w:shd w:val="clear" w:color="auto" w:fill="auto"/>
            <w:noWrap/>
            <w:vAlign w:val="center"/>
          </w:tcPr>
          <w:p w14:paraId="62468281">
            <w:pPr>
              <w:keepNext w:val="0"/>
              <w:keepLines w:val="0"/>
              <w:pageBreakBefore w:val="0"/>
              <w:widowControl/>
              <w:kinsoku/>
              <w:wordWrap/>
              <w:overflowPunct/>
              <w:topLinePunct w:val="0"/>
              <w:autoSpaceDE/>
              <w:autoSpaceDN/>
              <w:bidi w:val="0"/>
              <w:adjustRightInd w:val="0"/>
              <w:snapToGrid w:val="0"/>
              <w:spacing w:line="240" w:lineRule="auto"/>
              <w:jc w:val="center"/>
              <w:rPr>
                <w:rFonts w:hint="default" w:ascii="Times New Roman" w:hAnsi="Times New Roman" w:eastAsia="宋体" w:cs="Times New Roman"/>
                <w:i w:val="0"/>
                <w:iCs w:val="0"/>
                <w:color w:val="0000FF"/>
                <w:sz w:val="21"/>
                <w:szCs w:val="21"/>
                <w:u w:val="none"/>
              </w:rPr>
            </w:pPr>
          </w:p>
        </w:tc>
        <w:tc>
          <w:tcPr>
            <w:tcW w:w="900" w:type="dxa"/>
            <w:vMerge w:val="continue"/>
            <w:tcBorders>
              <w:tl2br w:val="nil"/>
              <w:tr2bl w:val="nil"/>
            </w:tcBorders>
            <w:shd w:val="clear" w:color="auto" w:fill="auto"/>
            <w:noWrap/>
            <w:vAlign w:val="center"/>
          </w:tcPr>
          <w:p w14:paraId="1FF1A2F1">
            <w:pPr>
              <w:keepNext w:val="0"/>
              <w:keepLines w:val="0"/>
              <w:pageBreakBefore w:val="0"/>
              <w:widowControl/>
              <w:kinsoku/>
              <w:wordWrap/>
              <w:overflowPunct/>
              <w:topLinePunct w:val="0"/>
              <w:autoSpaceDE/>
              <w:autoSpaceDN/>
              <w:bidi w:val="0"/>
              <w:adjustRightInd w:val="0"/>
              <w:snapToGrid w:val="0"/>
              <w:spacing w:line="240" w:lineRule="auto"/>
              <w:jc w:val="center"/>
              <w:rPr>
                <w:rFonts w:hint="default" w:ascii="Times New Roman" w:hAnsi="Times New Roman" w:eastAsia="宋体" w:cs="Times New Roman"/>
                <w:i w:val="0"/>
                <w:iCs w:val="0"/>
                <w:color w:val="0000FF"/>
                <w:sz w:val="21"/>
                <w:szCs w:val="21"/>
                <w:u w:val="none"/>
              </w:rPr>
            </w:pPr>
          </w:p>
        </w:tc>
        <w:tc>
          <w:tcPr>
            <w:tcW w:w="1008" w:type="dxa"/>
            <w:vMerge w:val="continue"/>
            <w:tcBorders>
              <w:tl2br w:val="nil"/>
              <w:tr2bl w:val="nil"/>
            </w:tcBorders>
            <w:shd w:val="clear" w:color="auto" w:fill="auto"/>
            <w:noWrap/>
            <w:vAlign w:val="center"/>
          </w:tcPr>
          <w:p w14:paraId="1265790C">
            <w:pPr>
              <w:keepNext w:val="0"/>
              <w:keepLines w:val="0"/>
              <w:pageBreakBefore w:val="0"/>
              <w:widowControl/>
              <w:kinsoku/>
              <w:wordWrap/>
              <w:overflowPunct/>
              <w:topLinePunct w:val="0"/>
              <w:autoSpaceDE/>
              <w:autoSpaceDN/>
              <w:bidi w:val="0"/>
              <w:adjustRightInd w:val="0"/>
              <w:snapToGrid w:val="0"/>
              <w:spacing w:line="240" w:lineRule="auto"/>
              <w:jc w:val="center"/>
              <w:rPr>
                <w:rFonts w:hint="default" w:ascii="Times New Roman" w:hAnsi="Times New Roman" w:eastAsia="宋体" w:cs="Times New Roman"/>
                <w:i w:val="0"/>
                <w:iCs w:val="0"/>
                <w:color w:val="0000FF"/>
                <w:sz w:val="21"/>
                <w:szCs w:val="21"/>
                <w:u w:val="none"/>
              </w:rPr>
            </w:pPr>
          </w:p>
        </w:tc>
        <w:tc>
          <w:tcPr>
            <w:tcW w:w="945" w:type="dxa"/>
            <w:tcBorders>
              <w:tl2br w:val="nil"/>
              <w:tr2bl w:val="nil"/>
            </w:tcBorders>
            <w:shd w:val="clear" w:color="auto" w:fill="auto"/>
            <w:noWrap/>
            <w:vAlign w:val="center"/>
          </w:tcPr>
          <w:p w14:paraId="44948E3B">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1"/>
                <w:szCs w:val="21"/>
                <w:u w:val="none"/>
                <w:lang w:val="en-US" w:eastAsia="zh-CN" w:bidi="ar"/>
              </w:rPr>
              <w:t>日平均</w:t>
            </w:r>
          </w:p>
        </w:tc>
        <w:tc>
          <w:tcPr>
            <w:tcW w:w="1110" w:type="dxa"/>
            <w:tcBorders>
              <w:tl2br w:val="nil"/>
              <w:tr2bl w:val="nil"/>
            </w:tcBorders>
            <w:shd w:val="clear" w:color="auto" w:fill="auto"/>
            <w:noWrap/>
            <w:vAlign w:val="center"/>
          </w:tcPr>
          <w:p w14:paraId="54E7CC8D">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2"/>
                <w:szCs w:val="22"/>
                <w:u w:val="none"/>
                <w:lang w:val="en-US" w:eastAsia="zh-CN" w:bidi="ar"/>
              </w:rPr>
              <w:t>4.48E-04</w:t>
            </w:r>
          </w:p>
        </w:tc>
        <w:tc>
          <w:tcPr>
            <w:tcW w:w="1350" w:type="dxa"/>
            <w:tcBorders>
              <w:tl2br w:val="nil"/>
              <w:tr2bl w:val="nil"/>
            </w:tcBorders>
            <w:shd w:val="clear" w:color="auto" w:fill="auto"/>
            <w:noWrap/>
            <w:vAlign w:val="center"/>
          </w:tcPr>
          <w:p w14:paraId="04776C44">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2"/>
                <w:szCs w:val="22"/>
                <w:u w:val="none"/>
                <w:lang w:val="en-US" w:eastAsia="zh-CN" w:bidi="ar"/>
              </w:rPr>
              <w:t>240618</w:t>
            </w:r>
          </w:p>
        </w:tc>
        <w:tc>
          <w:tcPr>
            <w:tcW w:w="1140" w:type="dxa"/>
            <w:tcBorders>
              <w:tl2br w:val="nil"/>
              <w:tr2bl w:val="nil"/>
            </w:tcBorders>
            <w:shd w:val="clear" w:color="auto" w:fill="auto"/>
            <w:noWrap/>
            <w:vAlign w:val="center"/>
          </w:tcPr>
          <w:p w14:paraId="05DD8AD3">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2"/>
                <w:szCs w:val="22"/>
                <w:u w:val="none"/>
                <w:lang w:val="en-US" w:eastAsia="zh-CN" w:bidi="ar"/>
              </w:rPr>
              <w:t>1.00E-01</w:t>
            </w:r>
          </w:p>
        </w:tc>
        <w:tc>
          <w:tcPr>
            <w:tcW w:w="825" w:type="dxa"/>
            <w:tcBorders>
              <w:tl2br w:val="nil"/>
              <w:tr2bl w:val="nil"/>
            </w:tcBorders>
            <w:shd w:val="clear" w:color="auto" w:fill="auto"/>
            <w:noWrap/>
            <w:vAlign w:val="center"/>
          </w:tcPr>
          <w:p w14:paraId="4AEEC27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1"/>
                <w:szCs w:val="21"/>
                <w:u w:val="none"/>
                <w:lang w:val="en-US" w:eastAsia="zh-CN" w:bidi="ar"/>
              </w:rPr>
              <w:t>0.45</w:t>
            </w:r>
          </w:p>
        </w:tc>
        <w:tc>
          <w:tcPr>
            <w:tcW w:w="859" w:type="dxa"/>
            <w:tcBorders>
              <w:tl2br w:val="nil"/>
              <w:tr2bl w:val="nil"/>
            </w:tcBorders>
            <w:shd w:val="clear" w:color="auto" w:fill="auto"/>
            <w:noWrap/>
            <w:vAlign w:val="center"/>
          </w:tcPr>
          <w:p w14:paraId="761ECD56">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1"/>
                <w:szCs w:val="21"/>
                <w:u w:val="none"/>
                <w:lang w:val="en-US" w:eastAsia="zh-CN" w:bidi="ar"/>
              </w:rPr>
              <w:t>达标</w:t>
            </w:r>
          </w:p>
        </w:tc>
      </w:tr>
      <w:tr w14:paraId="767892BC">
        <w:tblPrEx>
          <w:tblBorders>
            <w:top w:val="thinThickSmallGap" w:color="000000" w:sz="12" w:space="0"/>
            <w:left w:val="none" w:color="auto" w:sz="0" w:space="0"/>
            <w:bottom w:val="thinThickSmallGap" w:color="000000" w:sz="12" w:space="0"/>
            <w:right w:val="none" w:color="auto" w:sz="0"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300" w:hRule="atLeast"/>
          <w:jc w:val="center"/>
        </w:trPr>
        <w:tc>
          <w:tcPr>
            <w:tcW w:w="510" w:type="dxa"/>
            <w:vMerge w:val="continue"/>
            <w:tcBorders>
              <w:tl2br w:val="nil"/>
              <w:tr2bl w:val="nil"/>
            </w:tcBorders>
            <w:shd w:val="clear" w:color="auto" w:fill="auto"/>
            <w:noWrap/>
            <w:vAlign w:val="center"/>
          </w:tcPr>
          <w:p w14:paraId="7BD8D116">
            <w:pPr>
              <w:keepNext w:val="0"/>
              <w:keepLines w:val="0"/>
              <w:pageBreakBefore w:val="0"/>
              <w:widowControl/>
              <w:kinsoku/>
              <w:wordWrap/>
              <w:overflowPunct/>
              <w:topLinePunct w:val="0"/>
              <w:autoSpaceDE/>
              <w:autoSpaceDN/>
              <w:bidi w:val="0"/>
              <w:adjustRightInd w:val="0"/>
              <w:snapToGrid w:val="0"/>
              <w:spacing w:line="240" w:lineRule="auto"/>
              <w:jc w:val="center"/>
              <w:rPr>
                <w:rFonts w:hint="default" w:ascii="Times New Roman" w:hAnsi="Times New Roman" w:eastAsia="宋体" w:cs="Times New Roman"/>
                <w:i w:val="0"/>
                <w:iCs w:val="0"/>
                <w:color w:val="0000FF"/>
                <w:sz w:val="21"/>
                <w:szCs w:val="21"/>
                <w:u w:val="none"/>
              </w:rPr>
            </w:pPr>
          </w:p>
        </w:tc>
        <w:tc>
          <w:tcPr>
            <w:tcW w:w="900" w:type="dxa"/>
            <w:vMerge w:val="continue"/>
            <w:tcBorders>
              <w:tl2br w:val="nil"/>
              <w:tr2bl w:val="nil"/>
            </w:tcBorders>
            <w:shd w:val="clear" w:color="auto" w:fill="auto"/>
            <w:noWrap/>
            <w:vAlign w:val="center"/>
          </w:tcPr>
          <w:p w14:paraId="7CBA5FC8">
            <w:pPr>
              <w:keepNext w:val="0"/>
              <w:keepLines w:val="0"/>
              <w:pageBreakBefore w:val="0"/>
              <w:widowControl/>
              <w:kinsoku/>
              <w:wordWrap/>
              <w:overflowPunct/>
              <w:topLinePunct w:val="0"/>
              <w:autoSpaceDE/>
              <w:autoSpaceDN/>
              <w:bidi w:val="0"/>
              <w:adjustRightInd w:val="0"/>
              <w:snapToGrid w:val="0"/>
              <w:spacing w:line="240" w:lineRule="auto"/>
              <w:jc w:val="center"/>
              <w:rPr>
                <w:rFonts w:hint="default" w:ascii="Times New Roman" w:hAnsi="Times New Roman" w:eastAsia="宋体" w:cs="Times New Roman"/>
                <w:i w:val="0"/>
                <w:iCs w:val="0"/>
                <w:color w:val="0000FF"/>
                <w:sz w:val="21"/>
                <w:szCs w:val="21"/>
                <w:u w:val="none"/>
              </w:rPr>
            </w:pPr>
          </w:p>
        </w:tc>
        <w:tc>
          <w:tcPr>
            <w:tcW w:w="1008" w:type="dxa"/>
            <w:vMerge w:val="continue"/>
            <w:tcBorders>
              <w:tl2br w:val="nil"/>
              <w:tr2bl w:val="nil"/>
            </w:tcBorders>
            <w:shd w:val="clear" w:color="auto" w:fill="auto"/>
            <w:noWrap/>
            <w:vAlign w:val="center"/>
          </w:tcPr>
          <w:p w14:paraId="147417D9">
            <w:pPr>
              <w:keepNext w:val="0"/>
              <w:keepLines w:val="0"/>
              <w:pageBreakBefore w:val="0"/>
              <w:widowControl/>
              <w:kinsoku/>
              <w:wordWrap/>
              <w:overflowPunct/>
              <w:topLinePunct w:val="0"/>
              <w:autoSpaceDE/>
              <w:autoSpaceDN/>
              <w:bidi w:val="0"/>
              <w:adjustRightInd w:val="0"/>
              <w:snapToGrid w:val="0"/>
              <w:spacing w:line="240" w:lineRule="auto"/>
              <w:jc w:val="center"/>
              <w:rPr>
                <w:rFonts w:hint="default" w:ascii="Times New Roman" w:hAnsi="Times New Roman" w:eastAsia="宋体" w:cs="Times New Roman"/>
                <w:i w:val="0"/>
                <w:iCs w:val="0"/>
                <w:color w:val="0000FF"/>
                <w:sz w:val="21"/>
                <w:szCs w:val="21"/>
                <w:u w:val="none"/>
              </w:rPr>
            </w:pPr>
          </w:p>
        </w:tc>
        <w:tc>
          <w:tcPr>
            <w:tcW w:w="945" w:type="dxa"/>
            <w:tcBorders>
              <w:tl2br w:val="nil"/>
              <w:tr2bl w:val="nil"/>
            </w:tcBorders>
            <w:shd w:val="clear" w:color="auto" w:fill="auto"/>
            <w:noWrap/>
            <w:vAlign w:val="center"/>
          </w:tcPr>
          <w:p w14:paraId="09E66911">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1"/>
                <w:szCs w:val="21"/>
                <w:u w:val="none"/>
                <w:lang w:val="en-US" w:eastAsia="zh-CN" w:bidi="ar"/>
              </w:rPr>
              <w:t>全时段</w:t>
            </w:r>
          </w:p>
        </w:tc>
        <w:tc>
          <w:tcPr>
            <w:tcW w:w="1110" w:type="dxa"/>
            <w:tcBorders>
              <w:tl2br w:val="nil"/>
              <w:tr2bl w:val="nil"/>
            </w:tcBorders>
            <w:shd w:val="clear" w:color="auto" w:fill="auto"/>
            <w:noWrap/>
            <w:vAlign w:val="center"/>
          </w:tcPr>
          <w:p w14:paraId="6E59BFDB">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2"/>
                <w:szCs w:val="22"/>
                <w:u w:val="none"/>
                <w:lang w:val="en-US" w:eastAsia="zh-CN" w:bidi="ar"/>
              </w:rPr>
              <w:t>5.55E-05</w:t>
            </w:r>
          </w:p>
        </w:tc>
        <w:tc>
          <w:tcPr>
            <w:tcW w:w="1350" w:type="dxa"/>
            <w:tcBorders>
              <w:tl2br w:val="nil"/>
              <w:tr2bl w:val="nil"/>
            </w:tcBorders>
            <w:shd w:val="clear" w:color="auto" w:fill="auto"/>
            <w:noWrap/>
            <w:vAlign w:val="center"/>
          </w:tcPr>
          <w:p w14:paraId="03BCBDBF">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2"/>
                <w:szCs w:val="22"/>
                <w:u w:val="none"/>
                <w:lang w:val="en-US" w:eastAsia="zh-CN" w:bidi="ar"/>
              </w:rPr>
              <w:t>平均值</w:t>
            </w:r>
          </w:p>
        </w:tc>
        <w:tc>
          <w:tcPr>
            <w:tcW w:w="1140" w:type="dxa"/>
            <w:tcBorders>
              <w:tl2br w:val="nil"/>
              <w:tr2bl w:val="nil"/>
            </w:tcBorders>
            <w:shd w:val="clear" w:color="auto" w:fill="auto"/>
            <w:noWrap/>
            <w:vAlign w:val="center"/>
          </w:tcPr>
          <w:p w14:paraId="0E8F28FB">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2"/>
                <w:szCs w:val="22"/>
                <w:u w:val="none"/>
                <w:lang w:val="en-US" w:eastAsia="zh-CN" w:bidi="ar"/>
              </w:rPr>
              <w:t>5.00E-02</w:t>
            </w:r>
          </w:p>
        </w:tc>
        <w:tc>
          <w:tcPr>
            <w:tcW w:w="825" w:type="dxa"/>
            <w:tcBorders>
              <w:tl2br w:val="nil"/>
              <w:tr2bl w:val="nil"/>
            </w:tcBorders>
            <w:shd w:val="clear" w:color="auto" w:fill="auto"/>
            <w:noWrap/>
            <w:vAlign w:val="center"/>
          </w:tcPr>
          <w:p w14:paraId="33550FC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1"/>
                <w:szCs w:val="21"/>
                <w:u w:val="none"/>
                <w:lang w:val="en-US" w:eastAsia="zh-CN" w:bidi="ar"/>
              </w:rPr>
              <w:t>0.11</w:t>
            </w:r>
          </w:p>
        </w:tc>
        <w:tc>
          <w:tcPr>
            <w:tcW w:w="859" w:type="dxa"/>
            <w:tcBorders>
              <w:tl2br w:val="nil"/>
              <w:tr2bl w:val="nil"/>
            </w:tcBorders>
            <w:shd w:val="clear" w:color="auto" w:fill="auto"/>
            <w:noWrap/>
            <w:vAlign w:val="center"/>
          </w:tcPr>
          <w:p w14:paraId="0D736F31">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1"/>
                <w:szCs w:val="21"/>
                <w:u w:val="none"/>
                <w:lang w:val="en-US" w:eastAsia="zh-CN" w:bidi="ar"/>
              </w:rPr>
              <w:t>达标</w:t>
            </w:r>
          </w:p>
        </w:tc>
      </w:tr>
      <w:tr w14:paraId="3BE8F006">
        <w:tblPrEx>
          <w:tblBorders>
            <w:top w:val="thinThickSmallGap" w:color="000000" w:sz="12" w:space="0"/>
            <w:left w:val="none" w:color="auto" w:sz="0" w:space="0"/>
            <w:bottom w:val="thinThickSmallGap" w:color="000000" w:sz="12" w:space="0"/>
            <w:right w:val="none" w:color="auto" w:sz="0"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300" w:hRule="atLeast"/>
          <w:jc w:val="center"/>
        </w:trPr>
        <w:tc>
          <w:tcPr>
            <w:tcW w:w="510" w:type="dxa"/>
            <w:vMerge w:val="restart"/>
            <w:tcBorders>
              <w:tl2br w:val="nil"/>
              <w:tr2bl w:val="nil"/>
            </w:tcBorders>
            <w:shd w:val="clear" w:color="auto" w:fill="auto"/>
            <w:noWrap/>
            <w:vAlign w:val="center"/>
          </w:tcPr>
          <w:p w14:paraId="44A69A00">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1"/>
                <w:szCs w:val="21"/>
                <w:u w:val="none"/>
                <w:lang w:val="en-US" w:eastAsia="zh-CN" w:bidi="ar"/>
              </w:rPr>
              <w:t>2</w:t>
            </w:r>
          </w:p>
        </w:tc>
        <w:tc>
          <w:tcPr>
            <w:tcW w:w="900" w:type="dxa"/>
            <w:vMerge w:val="restart"/>
            <w:tcBorders>
              <w:tl2br w:val="nil"/>
              <w:tr2bl w:val="nil"/>
            </w:tcBorders>
            <w:shd w:val="clear" w:color="auto" w:fill="auto"/>
            <w:noWrap/>
            <w:vAlign w:val="center"/>
          </w:tcPr>
          <w:p w14:paraId="17337838">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sz w:val="21"/>
                <w:szCs w:val="21"/>
                <w:u w:val="none"/>
                <w:lang w:val="en-US" w:eastAsia="zh-CN" w:bidi="ar-SA"/>
              </w:rPr>
            </w:pPr>
            <w:r>
              <w:rPr>
                <w:rFonts w:hint="default" w:ascii="Times New Roman" w:hAnsi="Times New Roman" w:eastAsia="宋体" w:cs="Times New Roman"/>
                <w:i w:val="0"/>
                <w:iCs w:val="0"/>
                <w:color w:val="0000FF"/>
                <w:kern w:val="0"/>
                <w:sz w:val="21"/>
                <w:szCs w:val="21"/>
                <w:u w:val="none"/>
                <w:lang w:val="en-US" w:eastAsia="zh-CN" w:bidi="ar"/>
              </w:rPr>
              <w:t>部队</w:t>
            </w:r>
          </w:p>
        </w:tc>
        <w:tc>
          <w:tcPr>
            <w:tcW w:w="1008" w:type="dxa"/>
            <w:vMerge w:val="restart"/>
            <w:tcBorders>
              <w:tl2br w:val="nil"/>
              <w:tr2bl w:val="nil"/>
            </w:tcBorders>
            <w:shd w:val="clear" w:color="auto" w:fill="auto"/>
            <w:noWrap/>
            <w:vAlign w:val="center"/>
          </w:tcPr>
          <w:p w14:paraId="559A4FC1">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sz w:val="21"/>
                <w:szCs w:val="21"/>
                <w:u w:val="none"/>
                <w:lang w:val="en-US" w:eastAsia="zh-CN" w:bidi="ar-SA"/>
              </w:rPr>
            </w:pPr>
            <w:r>
              <w:rPr>
                <w:rFonts w:hint="default" w:ascii="Times New Roman" w:hAnsi="Times New Roman" w:eastAsia="宋体" w:cs="Times New Roman"/>
                <w:i w:val="0"/>
                <w:iCs w:val="0"/>
                <w:color w:val="0000FF"/>
                <w:kern w:val="0"/>
                <w:sz w:val="21"/>
                <w:szCs w:val="21"/>
                <w:u w:val="none"/>
                <w:lang w:val="en-US" w:eastAsia="zh-CN" w:bidi="ar"/>
              </w:rPr>
              <w:t>-179,10</w:t>
            </w:r>
          </w:p>
        </w:tc>
        <w:tc>
          <w:tcPr>
            <w:tcW w:w="945" w:type="dxa"/>
            <w:tcBorders>
              <w:tl2br w:val="nil"/>
              <w:tr2bl w:val="nil"/>
            </w:tcBorders>
            <w:shd w:val="clear" w:color="auto" w:fill="auto"/>
            <w:noWrap/>
            <w:vAlign w:val="center"/>
          </w:tcPr>
          <w:p w14:paraId="6B8DAF4A">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1"/>
                <w:szCs w:val="21"/>
                <w:u w:val="none"/>
                <w:lang w:val="en-US" w:eastAsia="zh-CN" w:bidi="ar"/>
              </w:rPr>
              <w:t>1小时</w:t>
            </w:r>
          </w:p>
        </w:tc>
        <w:tc>
          <w:tcPr>
            <w:tcW w:w="1110" w:type="dxa"/>
            <w:tcBorders>
              <w:tl2br w:val="nil"/>
              <w:tr2bl w:val="nil"/>
            </w:tcBorders>
            <w:shd w:val="clear" w:color="auto" w:fill="auto"/>
            <w:noWrap/>
            <w:vAlign w:val="center"/>
          </w:tcPr>
          <w:p w14:paraId="718FFEBE">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2"/>
                <w:szCs w:val="22"/>
                <w:u w:val="none"/>
                <w:lang w:val="en-US" w:eastAsia="zh-CN" w:bidi="ar"/>
              </w:rPr>
              <w:t>1.91E-03</w:t>
            </w:r>
          </w:p>
        </w:tc>
        <w:tc>
          <w:tcPr>
            <w:tcW w:w="1350" w:type="dxa"/>
            <w:tcBorders>
              <w:tl2br w:val="nil"/>
              <w:tr2bl w:val="nil"/>
            </w:tcBorders>
            <w:shd w:val="clear" w:color="auto" w:fill="auto"/>
            <w:noWrap/>
            <w:vAlign w:val="center"/>
          </w:tcPr>
          <w:p w14:paraId="66ADBAEF">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2"/>
                <w:szCs w:val="22"/>
                <w:u w:val="none"/>
                <w:lang w:val="en-US" w:eastAsia="zh-CN" w:bidi="ar"/>
              </w:rPr>
              <w:t>24090712</w:t>
            </w:r>
          </w:p>
        </w:tc>
        <w:tc>
          <w:tcPr>
            <w:tcW w:w="1140" w:type="dxa"/>
            <w:tcBorders>
              <w:tl2br w:val="nil"/>
              <w:tr2bl w:val="nil"/>
            </w:tcBorders>
            <w:shd w:val="clear" w:color="auto" w:fill="auto"/>
            <w:noWrap/>
            <w:vAlign w:val="center"/>
          </w:tcPr>
          <w:p w14:paraId="582AF274">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2"/>
                <w:szCs w:val="22"/>
                <w:u w:val="none"/>
                <w:lang w:val="en-US" w:eastAsia="zh-CN" w:bidi="ar"/>
              </w:rPr>
              <w:t>2.50E-01</w:t>
            </w:r>
          </w:p>
        </w:tc>
        <w:tc>
          <w:tcPr>
            <w:tcW w:w="825" w:type="dxa"/>
            <w:tcBorders>
              <w:tl2br w:val="nil"/>
              <w:tr2bl w:val="nil"/>
            </w:tcBorders>
            <w:shd w:val="clear" w:color="auto" w:fill="auto"/>
            <w:noWrap/>
            <w:vAlign w:val="center"/>
          </w:tcPr>
          <w:p w14:paraId="764E653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1"/>
                <w:szCs w:val="21"/>
                <w:u w:val="none"/>
                <w:lang w:val="en-US" w:eastAsia="zh-CN" w:bidi="ar"/>
              </w:rPr>
              <w:t>0.76</w:t>
            </w:r>
          </w:p>
        </w:tc>
        <w:tc>
          <w:tcPr>
            <w:tcW w:w="859" w:type="dxa"/>
            <w:tcBorders>
              <w:tl2br w:val="nil"/>
              <w:tr2bl w:val="nil"/>
            </w:tcBorders>
            <w:shd w:val="clear" w:color="auto" w:fill="auto"/>
            <w:noWrap/>
            <w:vAlign w:val="center"/>
          </w:tcPr>
          <w:p w14:paraId="5F5269D4">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1"/>
                <w:szCs w:val="21"/>
                <w:u w:val="none"/>
                <w:lang w:val="en-US" w:eastAsia="zh-CN" w:bidi="ar"/>
              </w:rPr>
              <w:t>达标</w:t>
            </w:r>
          </w:p>
        </w:tc>
      </w:tr>
      <w:tr w14:paraId="3936FA3B">
        <w:tblPrEx>
          <w:tblBorders>
            <w:top w:val="thinThickSmallGap" w:color="000000" w:sz="12" w:space="0"/>
            <w:left w:val="none" w:color="auto" w:sz="0" w:space="0"/>
            <w:bottom w:val="thinThickSmallGap" w:color="000000" w:sz="12" w:space="0"/>
            <w:right w:val="none" w:color="auto" w:sz="0"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300" w:hRule="atLeast"/>
          <w:jc w:val="center"/>
        </w:trPr>
        <w:tc>
          <w:tcPr>
            <w:tcW w:w="510" w:type="dxa"/>
            <w:vMerge w:val="continue"/>
            <w:tcBorders>
              <w:tl2br w:val="nil"/>
              <w:tr2bl w:val="nil"/>
            </w:tcBorders>
            <w:shd w:val="clear" w:color="auto" w:fill="auto"/>
            <w:noWrap/>
            <w:vAlign w:val="center"/>
          </w:tcPr>
          <w:p w14:paraId="7598717D">
            <w:pPr>
              <w:keepNext w:val="0"/>
              <w:keepLines w:val="0"/>
              <w:pageBreakBefore w:val="0"/>
              <w:widowControl/>
              <w:kinsoku/>
              <w:wordWrap/>
              <w:overflowPunct/>
              <w:topLinePunct w:val="0"/>
              <w:autoSpaceDE/>
              <w:autoSpaceDN/>
              <w:bidi w:val="0"/>
              <w:adjustRightInd w:val="0"/>
              <w:snapToGrid w:val="0"/>
              <w:spacing w:line="240" w:lineRule="auto"/>
              <w:jc w:val="center"/>
              <w:rPr>
                <w:rFonts w:hint="default" w:ascii="Times New Roman" w:hAnsi="Times New Roman" w:eastAsia="宋体" w:cs="Times New Roman"/>
                <w:i w:val="0"/>
                <w:iCs w:val="0"/>
                <w:color w:val="0000FF"/>
                <w:sz w:val="21"/>
                <w:szCs w:val="21"/>
                <w:u w:val="none"/>
              </w:rPr>
            </w:pPr>
          </w:p>
        </w:tc>
        <w:tc>
          <w:tcPr>
            <w:tcW w:w="900" w:type="dxa"/>
            <w:vMerge w:val="continue"/>
            <w:tcBorders>
              <w:tl2br w:val="nil"/>
              <w:tr2bl w:val="nil"/>
            </w:tcBorders>
            <w:shd w:val="clear" w:color="auto" w:fill="auto"/>
            <w:noWrap/>
            <w:vAlign w:val="center"/>
          </w:tcPr>
          <w:p w14:paraId="1A7601DF">
            <w:pPr>
              <w:keepNext w:val="0"/>
              <w:keepLines w:val="0"/>
              <w:pageBreakBefore w:val="0"/>
              <w:widowControl/>
              <w:kinsoku/>
              <w:wordWrap/>
              <w:overflowPunct/>
              <w:topLinePunct w:val="0"/>
              <w:autoSpaceDE/>
              <w:autoSpaceDN/>
              <w:bidi w:val="0"/>
              <w:adjustRightInd w:val="0"/>
              <w:snapToGrid w:val="0"/>
              <w:spacing w:line="240" w:lineRule="auto"/>
              <w:jc w:val="center"/>
              <w:rPr>
                <w:rFonts w:hint="default" w:ascii="Times New Roman" w:hAnsi="Times New Roman" w:eastAsia="宋体" w:cs="Times New Roman"/>
                <w:i w:val="0"/>
                <w:iCs w:val="0"/>
                <w:color w:val="0000FF"/>
                <w:sz w:val="21"/>
                <w:szCs w:val="21"/>
                <w:u w:val="none"/>
              </w:rPr>
            </w:pPr>
          </w:p>
        </w:tc>
        <w:tc>
          <w:tcPr>
            <w:tcW w:w="1008" w:type="dxa"/>
            <w:vMerge w:val="continue"/>
            <w:tcBorders>
              <w:tl2br w:val="nil"/>
              <w:tr2bl w:val="nil"/>
            </w:tcBorders>
            <w:shd w:val="clear" w:color="auto" w:fill="auto"/>
            <w:noWrap/>
            <w:vAlign w:val="center"/>
          </w:tcPr>
          <w:p w14:paraId="303ED321">
            <w:pPr>
              <w:keepNext w:val="0"/>
              <w:keepLines w:val="0"/>
              <w:pageBreakBefore w:val="0"/>
              <w:widowControl/>
              <w:kinsoku/>
              <w:wordWrap/>
              <w:overflowPunct/>
              <w:topLinePunct w:val="0"/>
              <w:autoSpaceDE/>
              <w:autoSpaceDN/>
              <w:bidi w:val="0"/>
              <w:adjustRightInd w:val="0"/>
              <w:snapToGrid w:val="0"/>
              <w:spacing w:line="240" w:lineRule="auto"/>
              <w:jc w:val="center"/>
              <w:rPr>
                <w:rFonts w:hint="default" w:ascii="Times New Roman" w:hAnsi="Times New Roman" w:eastAsia="宋体" w:cs="Times New Roman"/>
                <w:i w:val="0"/>
                <w:iCs w:val="0"/>
                <w:color w:val="0000FF"/>
                <w:sz w:val="21"/>
                <w:szCs w:val="21"/>
                <w:u w:val="none"/>
              </w:rPr>
            </w:pPr>
          </w:p>
        </w:tc>
        <w:tc>
          <w:tcPr>
            <w:tcW w:w="945" w:type="dxa"/>
            <w:tcBorders>
              <w:tl2br w:val="nil"/>
              <w:tr2bl w:val="nil"/>
            </w:tcBorders>
            <w:shd w:val="clear" w:color="auto" w:fill="auto"/>
            <w:noWrap/>
            <w:vAlign w:val="center"/>
          </w:tcPr>
          <w:p w14:paraId="709EAA92">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1"/>
                <w:szCs w:val="21"/>
                <w:u w:val="none"/>
                <w:lang w:val="en-US" w:eastAsia="zh-CN" w:bidi="ar"/>
              </w:rPr>
              <w:t>日平均</w:t>
            </w:r>
          </w:p>
        </w:tc>
        <w:tc>
          <w:tcPr>
            <w:tcW w:w="1110" w:type="dxa"/>
            <w:tcBorders>
              <w:tl2br w:val="nil"/>
              <w:tr2bl w:val="nil"/>
            </w:tcBorders>
            <w:shd w:val="clear" w:color="auto" w:fill="auto"/>
            <w:noWrap/>
            <w:vAlign w:val="center"/>
          </w:tcPr>
          <w:p w14:paraId="2C3530CF">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2"/>
                <w:szCs w:val="22"/>
                <w:u w:val="none"/>
                <w:lang w:val="en-US" w:eastAsia="zh-CN" w:bidi="ar"/>
              </w:rPr>
              <w:t>4.41E-04</w:t>
            </w:r>
          </w:p>
        </w:tc>
        <w:tc>
          <w:tcPr>
            <w:tcW w:w="1350" w:type="dxa"/>
            <w:tcBorders>
              <w:tl2br w:val="nil"/>
              <w:tr2bl w:val="nil"/>
            </w:tcBorders>
            <w:shd w:val="clear" w:color="auto" w:fill="auto"/>
            <w:noWrap/>
            <w:vAlign w:val="center"/>
          </w:tcPr>
          <w:p w14:paraId="593C6592">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2"/>
                <w:szCs w:val="22"/>
                <w:u w:val="none"/>
                <w:lang w:val="en-US" w:eastAsia="zh-CN" w:bidi="ar"/>
              </w:rPr>
              <w:t>240917</w:t>
            </w:r>
          </w:p>
        </w:tc>
        <w:tc>
          <w:tcPr>
            <w:tcW w:w="1140" w:type="dxa"/>
            <w:tcBorders>
              <w:tl2br w:val="nil"/>
              <w:tr2bl w:val="nil"/>
            </w:tcBorders>
            <w:shd w:val="clear" w:color="auto" w:fill="auto"/>
            <w:noWrap/>
            <w:vAlign w:val="center"/>
          </w:tcPr>
          <w:p w14:paraId="48B53FDA">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2"/>
                <w:szCs w:val="22"/>
                <w:u w:val="none"/>
                <w:lang w:val="en-US" w:eastAsia="zh-CN" w:bidi="ar"/>
              </w:rPr>
              <w:t>1.00E-01</w:t>
            </w:r>
          </w:p>
        </w:tc>
        <w:tc>
          <w:tcPr>
            <w:tcW w:w="825" w:type="dxa"/>
            <w:tcBorders>
              <w:tl2br w:val="nil"/>
              <w:tr2bl w:val="nil"/>
            </w:tcBorders>
            <w:shd w:val="clear" w:color="auto" w:fill="auto"/>
            <w:noWrap/>
            <w:vAlign w:val="center"/>
          </w:tcPr>
          <w:p w14:paraId="2CEC1CC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1"/>
                <w:szCs w:val="21"/>
                <w:u w:val="none"/>
                <w:lang w:val="en-US" w:eastAsia="zh-CN" w:bidi="ar"/>
              </w:rPr>
              <w:t>0.44</w:t>
            </w:r>
          </w:p>
        </w:tc>
        <w:tc>
          <w:tcPr>
            <w:tcW w:w="859" w:type="dxa"/>
            <w:tcBorders>
              <w:tl2br w:val="nil"/>
              <w:tr2bl w:val="nil"/>
            </w:tcBorders>
            <w:shd w:val="clear" w:color="auto" w:fill="auto"/>
            <w:noWrap/>
            <w:vAlign w:val="center"/>
          </w:tcPr>
          <w:p w14:paraId="423FECA2">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1"/>
                <w:szCs w:val="21"/>
                <w:u w:val="none"/>
                <w:lang w:val="en-US" w:eastAsia="zh-CN" w:bidi="ar"/>
              </w:rPr>
              <w:t>达标</w:t>
            </w:r>
          </w:p>
        </w:tc>
      </w:tr>
      <w:tr w14:paraId="04ECD82F">
        <w:tblPrEx>
          <w:tblBorders>
            <w:top w:val="thinThickSmallGap" w:color="000000" w:sz="12" w:space="0"/>
            <w:left w:val="none" w:color="auto" w:sz="0" w:space="0"/>
            <w:bottom w:val="thinThickSmallGap"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00" w:hRule="atLeast"/>
          <w:jc w:val="center"/>
        </w:trPr>
        <w:tc>
          <w:tcPr>
            <w:tcW w:w="510" w:type="dxa"/>
            <w:vMerge w:val="continue"/>
            <w:tcBorders>
              <w:tl2br w:val="nil"/>
              <w:tr2bl w:val="nil"/>
            </w:tcBorders>
            <w:shd w:val="clear" w:color="auto" w:fill="auto"/>
            <w:noWrap/>
            <w:vAlign w:val="center"/>
          </w:tcPr>
          <w:p w14:paraId="1D04ED35">
            <w:pPr>
              <w:keepNext w:val="0"/>
              <w:keepLines w:val="0"/>
              <w:pageBreakBefore w:val="0"/>
              <w:widowControl/>
              <w:kinsoku/>
              <w:wordWrap/>
              <w:overflowPunct/>
              <w:topLinePunct w:val="0"/>
              <w:autoSpaceDE/>
              <w:autoSpaceDN/>
              <w:bidi w:val="0"/>
              <w:adjustRightInd w:val="0"/>
              <w:snapToGrid w:val="0"/>
              <w:spacing w:line="240" w:lineRule="auto"/>
              <w:jc w:val="center"/>
              <w:rPr>
                <w:rFonts w:hint="default" w:ascii="Times New Roman" w:hAnsi="Times New Roman" w:eastAsia="宋体" w:cs="Times New Roman"/>
                <w:i w:val="0"/>
                <w:iCs w:val="0"/>
                <w:color w:val="0000FF"/>
                <w:sz w:val="21"/>
                <w:szCs w:val="21"/>
                <w:u w:val="none"/>
              </w:rPr>
            </w:pPr>
          </w:p>
        </w:tc>
        <w:tc>
          <w:tcPr>
            <w:tcW w:w="900" w:type="dxa"/>
            <w:vMerge w:val="continue"/>
            <w:tcBorders>
              <w:tl2br w:val="nil"/>
              <w:tr2bl w:val="nil"/>
            </w:tcBorders>
            <w:shd w:val="clear" w:color="auto" w:fill="auto"/>
            <w:noWrap/>
            <w:vAlign w:val="center"/>
          </w:tcPr>
          <w:p w14:paraId="5D10EAED">
            <w:pPr>
              <w:keepNext w:val="0"/>
              <w:keepLines w:val="0"/>
              <w:pageBreakBefore w:val="0"/>
              <w:widowControl/>
              <w:kinsoku/>
              <w:wordWrap/>
              <w:overflowPunct/>
              <w:topLinePunct w:val="0"/>
              <w:autoSpaceDE/>
              <w:autoSpaceDN/>
              <w:bidi w:val="0"/>
              <w:adjustRightInd w:val="0"/>
              <w:snapToGrid w:val="0"/>
              <w:spacing w:line="240" w:lineRule="auto"/>
              <w:jc w:val="center"/>
              <w:rPr>
                <w:rFonts w:hint="default" w:ascii="Times New Roman" w:hAnsi="Times New Roman" w:eastAsia="宋体" w:cs="Times New Roman"/>
                <w:i w:val="0"/>
                <w:iCs w:val="0"/>
                <w:color w:val="0000FF"/>
                <w:sz w:val="21"/>
                <w:szCs w:val="21"/>
                <w:u w:val="none"/>
              </w:rPr>
            </w:pPr>
          </w:p>
        </w:tc>
        <w:tc>
          <w:tcPr>
            <w:tcW w:w="1008" w:type="dxa"/>
            <w:vMerge w:val="continue"/>
            <w:tcBorders>
              <w:tl2br w:val="nil"/>
              <w:tr2bl w:val="nil"/>
            </w:tcBorders>
            <w:shd w:val="clear" w:color="auto" w:fill="auto"/>
            <w:noWrap/>
            <w:vAlign w:val="center"/>
          </w:tcPr>
          <w:p w14:paraId="1B01C933">
            <w:pPr>
              <w:keepNext w:val="0"/>
              <w:keepLines w:val="0"/>
              <w:pageBreakBefore w:val="0"/>
              <w:widowControl/>
              <w:kinsoku/>
              <w:wordWrap/>
              <w:overflowPunct/>
              <w:topLinePunct w:val="0"/>
              <w:autoSpaceDE/>
              <w:autoSpaceDN/>
              <w:bidi w:val="0"/>
              <w:adjustRightInd w:val="0"/>
              <w:snapToGrid w:val="0"/>
              <w:spacing w:line="240" w:lineRule="auto"/>
              <w:jc w:val="center"/>
              <w:rPr>
                <w:rFonts w:hint="default" w:ascii="Times New Roman" w:hAnsi="Times New Roman" w:eastAsia="宋体" w:cs="Times New Roman"/>
                <w:i w:val="0"/>
                <w:iCs w:val="0"/>
                <w:color w:val="0000FF"/>
                <w:sz w:val="21"/>
                <w:szCs w:val="21"/>
                <w:u w:val="none"/>
              </w:rPr>
            </w:pPr>
          </w:p>
        </w:tc>
        <w:tc>
          <w:tcPr>
            <w:tcW w:w="945" w:type="dxa"/>
            <w:tcBorders>
              <w:tl2br w:val="nil"/>
              <w:tr2bl w:val="nil"/>
            </w:tcBorders>
            <w:shd w:val="clear" w:color="auto" w:fill="auto"/>
            <w:noWrap/>
            <w:vAlign w:val="center"/>
          </w:tcPr>
          <w:p w14:paraId="20373E62">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1"/>
                <w:szCs w:val="21"/>
                <w:u w:val="none"/>
                <w:lang w:val="en-US" w:eastAsia="zh-CN" w:bidi="ar"/>
              </w:rPr>
              <w:t>全时段</w:t>
            </w:r>
          </w:p>
        </w:tc>
        <w:tc>
          <w:tcPr>
            <w:tcW w:w="1110" w:type="dxa"/>
            <w:tcBorders>
              <w:tl2br w:val="nil"/>
              <w:tr2bl w:val="nil"/>
            </w:tcBorders>
            <w:shd w:val="clear" w:color="auto" w:fill="auto"/>
            <w:noWrap/>
            <w:vAlign w:val="center"/>
          </w:tcPr>
          <w:p w14:paraId="38A194F5">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2"/>
                <w:szCs w:val="22"/>
                <w:u w:val="none"/>
                <w:lang w:val="en-US" w:eastAsia="zh-CN" w:bidi="ar"/>
              </w:rPr>
              <w:t>5.39E-05</w:t>
            </w:r>
          </w:p>
        </w:tc>
        <w:tc>
          <w:tcPr>
            <w:tcW w:w="1350" w:type="dxa"/>
            <w:tcBorders>
              <w:tl2br w:val="nil"/>
              <w:tr2bl w:val="nil"/>
            </w:tcBorders>
            <w:shd w:val="clear" w:color="auto" w:fill="auto"/>
            <w:noWrap/>
            <w:vAlign w:val="center"/>
          </w:tcPr>
          <w:p w14:paraId="0CE54863">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2"/>
                <w:szCs w:val="22"/>
                <w:u w:val="none"/>
                <w:lang w:val="en-US" w:eastAsia="zh-CN" w:bidi="ar"/>
              </w:rPr>
              <w:t>平均值</w:t>
            </w:r>
          </w:p>
        </w:tc>
        <w:tc>
          <w:tcPr>
            <w:tcW w:w="1140" w:type="dxa"/>
            <w:tcBorders>
              <w:tl2br w:val="nil"/>
              <w:tr2bl w:val="nil"/>
            </w:tcBorders>
            <w:shd w:val="clear" w:color="auto" w:fill="auto"/>
            <w:noWrap/>
            <w:vAlign w:val="center"/>
          </w:tcPr>
          <w:p w14:paraId="241D9318">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2"/>
                <w:szCs w:val="22"/>
                <w:u w:val="none"/>
                <w:lang w:val="en-US" w:eastAsia="zh-CN" w:bidi="ar"/>
              </w:rPr>
              <w:t>5.00E-02</w:t>
            </w:r>
          </w:p>
        </w:tc>
        <w:tc>
          <w:tcPr>
            <w:tcW w:w="825" w:type="dxa"/>
            <w:tcBorders>
              <w:tl2br w:val="nil"/>
              <w:tr2bl w:val="nil"/>
            </w:tcBorders>
            <w:shd w:val="clear" w:color="auto" w:fill="auto"/>
            <w:noWrap/>
            <w:vAlign w:val="center"/>
          </w:tcPr>
          <w:p w14:paraId="48C439E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1"/>
                <w:szCs w:val="21"/>
                <w:u w:val="none"/>
                <w:lang w:val="en-US" w:eastAsia="zh-CN" w:bidi="ar"/>
              </w:rPr>
              <w:t>0.11</w:t>
            </w:r>
          </w:p>
        </w:tc>
        <w:tc>
          <w:tcPr>
            <w:tcW w:w="859" w:type="dxa"/>
            <w:tcBorders>
              <w:tl2br w:val="nil"/>
              <w:tr2bl w:val="nil"/>
            </w:tcBorders>
            <w:shd w:val="clear" w:color="auto" w:fill="auto"/>
            <w:noWrap/>
            <w:vAlign w:val="center"/>
          </w:tcPr>
          <w:p w14:paraId="20F2ECE3">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1"/>
                <w:szCs w:val="21"/>
                <w:u w:val="none"/>
                <w:lang w:val="en-US" w:eastAsia="zh-CN" w:bidi="ar"/>
              </w:rPr>
              <w:t>达标</w:t>
            </w:r>
          </w:p>
        </w:tc>
      </w:tr>
      <w:tr w14:paraId="70678836">
        <w:tblPrEx>
          <w:tblBorders>
            <w:top w:val="thinThickSmallGap" w:color="000000" w:sz="12" w:space="0"/>
            <w:left w:val="none" w:color="auto" w:sz="0" w:space="0"/>
            <w:bottom w:val="thinThickSmallGap"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00" w:hRule="atLeast"/>
          <w:jc w:val="center"/>
        </w:trPr>
        <w:tc>
          <w:tcPr>
            <w:tcW w:w="510" w:type="dxa"/>
            <w:vMerge w:val="restart"/>
            <w:tcBorders>
              <w:tl2br w:val="nil"/>
              <w:tr2bl w:val="nil"/>
            </w:tcBorders>
            <w:shd w:val="clear" w:color="auto" w:fill="auto"/>
            <w:noWrap/>
            <w:vAlign w:val="center"/>
          </w:tcPr>
          <w:p w14:paraId="0171D6E3">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1"/>
                <w:szCs w:val="21"/>
                <w:u w:val="none"/>
                <w:lang w:val="en-US" w:eastAsia="zh-CN" w:bidi="ar"/>
              </w:rPr>
              <w:t>3</w:t>
            </w:r>
          </w:p>
        </w:tc>
        <w:tc>
          <w:tcPr>
            <w:tcW w:w="900" w:type="dxa"/>
            <w:vMerge w:val="restart"/>
            <w:tcBorders>
              <w:tl2br w:val="nil"/>
              <w:tr2bl w:val="nil"/>
            </w:tcBorders>
            <w:shd w:val="clear" w:color="auto" w:fill="auto"/>
            <w:noWrap/>
            <w:vAlign w:val="center"/>
          </w:tcPr>
          <w:p w14:paraId="7A626129">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sz w:val="21"/>
                <w:szCs w:val="21"/>
                <w:u w:val="none"/>
                <w:lang w:val="en-US" w:eastAsia="zh-CN" w:bidi="ar-SA"/>
              </w:rPr>
            </w:pPr>
            <w:r>
              <w:rPr>
                <w:rFonts w:hint="default" w:ascii="Times New Roman" w:hAnsi="Times New Roman" w:eastAsia="宋体" w:cs="Times New Roman"/>
                <w:i w:val="0"/>
                <w:iCs w:val="0"/>
                <w:color w:val="0000FF"/>
                <w:kern w:val="0"/>
                <w:sz w:val="21"/>
                <w:szCs w:val="21"/>
                <w:u w:val="none"/>
                <w:lang w:val="en-US" w:eastAsia="zh-CN" w:bidi="ar"/>
              </w:rPr>
              <w:t>老虎沟</w:t>
            </w:r>
          </w:p>
        </w:tc>
        <w:tc>
          <w:tcPr>
            <w:tcW w:w="1008" w:type="dxa"/>
            <w:vMerge w:val="restart"/>
            <w:tcBorders>
              <w:tl2br w:val="nil"/>
              <w:tr2bl w:val="nil"/>
            </w:tcBorders>
            <w:shd w:val="clear" w:color="auto" w:fill="auto"/>
            <w:noWrap/>
            <w:vAlign w:val="center"/>
          </w:tcPr>
          <w:p w14:paraId="18200011">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sz w:val="21"/>
                <w:szCs w:val="21"/>
                <w:u w:val="none"/>
                <w:lang w:val="en-US" w:eastAsia="zh-CN" w:bidi="ar-SA"/>
              </w:rPr>
            </w:pPr>
            <w:r>
              <w:rPr>
                <w:rFonts w:hint="default" w:ascii="Times New Roman" w:hAnsi="Times New Roman" w:eastAsia="宋体" w:cs="Times New Roman"/>
                <w:i w:val="0"/>
                <w:iCs w:val="0"/>
                <w:color w:val="0000FF"/>
                <w:kern w:val="0"/>
                <w:sz w:val="21"/>
                <w:szCs w:val="21"/>
                <w:u w:val="none"/>
                <w:lang w:val="en-US" w:eastAsia="zh-CN" w:bidi="ar"/>
              </w:rPr>
              <w:t>-1526,736</w:t>
            </w:r>
          </w:p>
        </w:tc>
        <w:tc>
          <w:tcPr>
            <w:tcW w:w="945" w:type="dxa"/>
            <w:tcBorders>
              <w:tl2br w:val="nil"/>
              <w:tr2bl w:val="nil"/>
            </w:tcBorders>
            <w:shd w:val="clear" w:color="auto" w:fill="auto"/>
            <w:noWrap/>
            <w:vAlign w:val="center"/>
          </w:tcPr>
          <w:p w14:paraId="0DB7597D">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1"/>
                <w:szCs w:val="21"/>
                <w:u w:val="none"/>
                <w:lang w:val="en-US" w:eastAsia="zh-CN" w:bidi="ar"/>
              </w:rPr>
              <w:t>1小时</w:t>
            </w:r>
          </w:p>
        </w:tc>
        <w:tc>
          <w:tcPr>
            <w:tcW w:w="1110" w:type="dxa"/>
            <w:tcBorders>
              <w:tl2br w:val="nil"/>
              <w:tr2bl w:val="nil"/>
            </w:tcBorders>
            <w:shd w:val="clear" w:color="auto" w:fill="auto"/>
            <w:noWrap/>
            <w:vAlign w:val="center"/>
          </w:tcPr>
          <w:p w14:paraId="66CD8A44">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2"/>
                <w:szCs w:val="22"/>
                <w:u w:val="none"/>
                <w:lang w:val="en-US" w:eastAsia="zh-CN" w:bidi="ar"/>
              </w:rPr>
              <w:t>1.96E-03</w:t>
            </w:r>
          </w:p>
        </w:tc>
        <w:tc>
          <w:tcPr>
            <w:tcW w:w="1350" w:type="dxa"/>
            <w:tcBorders>
              <w:tl2br w:val="nil"/>
              <w:tr2bl w:val="nil"/>
            </w:tcBorders>
            <w:shd w:val="clear" w:color="auto" w:fill="auto"/>
            <w:noWrap/>
            <w:vAlign w:val="center"/>
          </w:tcPr>
          <w:p w14:paraId="438F75C8">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2"/>
                <w:szCs w:val="22"/>
                <w:u w:val="none"/>
                <w:lang w:val="en-US" w:eastAsia="zh-CN" w:bidi="ar"/>
              </w:rPr>
              <w:t>24021011</w:t>
            </w:r>
          </w:p>
        </w:tc>
        <w:tc>
          <w:tcPr>
            <w:tcW w:w="1140" w:type="dxa"/>
            <w:tcBorders>
              <w:tl2br w:val="nil"/>
              <w:tr2bl w:val="nil"/>
            </w:tcBorders>
            <w:shd w:val="clear" w:color="auto" w:fill="auto"/>
            <w:noWrap/>
            <w:vAlign w:val="center"/>
          </w:tcPr>
          <w:p w14:paraId="2E2DECCA">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2"/>
                <w:szCs w:val="22"/>
                <w:u w:val="none"/>
                <w:lang w:val="en-US" w:eastAsia="zh-CN" w:bidi="ar"/>
              </w:rPr>
              <w:t>2.50E-01</w:t>
            </w:r>
          </w:p>
        </w:tc>
        <w:tc>
          <w:tcPr>
            <w:tcW w:w="825" w:type="dxa"/>
            <w:tcBorders>
              <w:tl2br w:val="nil"/>
              <w:tr2bl w:val="nil"/>
            </w:tcBorders>
            <w:shd w:val="clear" w:color="auto" w:fill="auto"/>
            <w:noWrap/>
            <w:vAlign w:val="center"/>
          </w:tcPr>
          <w:p w14:paraId="5494292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1"/>
                <w:szCs w:val="21"/>
                <w:u w:val="none"/>
                <w:lang w:val="en-US" w:eastAsia="zh-CN" w:bidi="ar"/>
              </w:rPr>
              <w:t>0.78</w:t>
            </w:r>
          </w:p>
        </w:tc>
        <w:tc>
          <w:tcPr>
            <w:tcW w:w="859" w:type="dxa"/>
            <w:tcBorders>
              <w:tl2br w:val="nil"/>
              <w:tr2bl w:val="nil"/>
            </w:tcBorders>
            <w:shd w:val="clear" w:color="auto" w:fill="auto"/>
            <w:noWrap/>
            <w:vAlign w:val="center"/>
          </w:tcPr>
          <w:p w14:paraId="34755BEF">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1"/>
                <w:szCs w:val="21"/>
                <w:u w:val="none"/>
                <w:lang w:val="en-US" w:eastAsia="zh-CN" w:bidi="ar"/>
              </w:rPr>
              <w:t>达标</w:t>
            </w:r>
          </w:p>
        </w:tc>
      </w:tr>
      <w:tr w14:paraId="784E7B54">
        <w:tblPrEx>
          <w:tblBorders>
            <w:top w:val="thinThickSmallGap" w:color="000000" w:sz="12" w:space="0"/>
            <w:left w:val="none" w:color="auto" w:sz="0" w:space="0"/>
            <w:bottom w:val="thinThickSmallGap"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00" w:hRule="atLeast"/>
          <w:jc w:val="center"/>
        </w:trPr>
        <w:tc>
          <w:tcPr>
            <w:tcW w:w="510" w:type="dxa"/>
            <w:vMerge w:val="continue"/>
            <w:tcBorders>
              <w:tl2br w:val="nil"/>
              <w:tr2bl w:val="nil"/>
            </w:tcBorders>
            <w:shd w:val="clear" w:color="auto" w:fill="auto"/>
            <w:noWrap/>
            <w:vAlign w:val="center"/>
          </w:tcPr>
          <w:p w14:paraId="3DCAE9CE">
            <w:pPr>
              <w:keepNext w:val="0"/>
              <w:keepLines w:val="0"/>
              <w:pageBreakBefore w:val="0"/>
              <w:widowControl/>
              <w:kinsoku/>
              <w:wordWrap/>
              <w:overflowPunct/>
              <w:topLinePunct w:val="0"/>
              <w:autoSpaceDE/>
              <w:autoSpaceDN/>
              <w:bidi w:val="0"/>
              <w:adjustRightInd w:val="0"/>
              <w:snapToGrid w:val="0"/>
              <w:spacing w:line="240" w:lineRule="auto"/>
              <w:jc w:val="center"/>
              <w:rPr>
                <w:rFonts w:hint="default" w:ascii="Times New Roman" w:hAnsi="Times New Roman" w:eastAsia="宋体" w:cs="Times New Roman"/>
                <w:i w:val="0"/>
                <w:iCs w:val="0"/>
                <w:color w:val="0000FF"/>
                <w:sz w:val="21"/>
                <w:szCs w:val="21"/>
                <w:u w:val="none"/>
              </w:rPr>
            </w:pPr>
          </w:p>
        </w:tc>
        <w:tc>
          <w:tcPr>
            <w:tcW w:w="900" w:type="dxa"/>
            <w:vMerge w:val="continue"/>
            <w:tcBorders>
              <w:tl2br w:val="nil"/>
              <w:tr2bl w:val="nil"/>
            </w:tcBorders>
            <w:shd w:val="clear" w:color="auto" w:fill="auto"/>
            <w:noWrap/>
            <w:vAlign w:val="center"/>
          </w:tcPr>
          <w:p w14:paraId="489533A9">
            <w:pPr>
              <w:keepNext w:val="0"/>
              <w:keepLines w:val="0"/>
              <w:pageBreakBefore w:val="0"/>
              <w:widowControl/>
              <w:kinsoku/>
              <w:wordWrap/>
              <w:overflowPunct/>
              <w:topLinePunct w:val="0"/>
              <w:autoSpaceDE/>
              <w:autoSpaceDN/>
              <w:bidi w:val="0"/>
              <w:adjustRightInd w:val="0"/>
              <w:snapToGrid w:val="0"/>
              <w:spacing w:line="240" w:lineRule="auto"/>
              <w:jc w:val="center"/>
              <w:rPr>
                <w:rFonts w:hint="default" w:ascii="Times New Roman" w:hAnsi="Times New Roman" w:eastAsia="宋体" w:cs="Times New Roman"/>
                <w:i w:val="0"/>
                <w:iCs w:val="0"/>
                <w:color w:val="0000FF"/>
                <w:sz w:val="21"/>
                <w:szCs w:val="21"/>
                <w:u w:val="none"/>
              </w:rPr>
            </w:pPr>
          </w:p>
        </w:tc>
        <w:tc>
          <w:tcPr>
            <w:tcW w:w="1008" w:type="dxa"/>
            <w:vMerge w:val="continue"/>
            <w:tcBorders>
              <w:tl2br w:val="nil"/>
              <w:tr2bl w:val="nil"/>
            </w:tcBorders>
            <w:shd w:val="clear" w:color="auto" w:fill="auto"/>
            <w:noWrap/>
            <w:vAlign w:val="center"/>
          </w:tcPr>
          <w:p w14:paraId="3D90815E">
            <w:pPr>
              <w:keepNext w:val="0"/>
              <w:keepLines w:val="0"/>
              <w:pageBreakBefore w:val="0"/>
              <w:widowControl/>
              <w:kinsoku/>
              <w:wordWrap/>
              <w:overflowPunct/>
              <w:topLinePunct w:val="0"/>
              <w:autoSpaceDE/>
              <w:autoSpaceDN/>
              <w:bidi w:val="0"/>
              <w:adjustRightInd w:val="0"/>
              <w:snapToGrid w:val="0"/>
              <w:spacing w:line="240" w:lineRule="auto"/>
              <w:jc w:val="center"/>
              <w:rPr>
                <w:rFonts w:hint="default" w:ascii="Times New Roman" w:hAnsi="Times New Roman" w:eastAsia="宋体" w:cs="Times New Roman"/>
                <w:i w:val="0"/>
                <w:iCs w:val="0"/>
                <w:color w:val="0000FF"/>
                <w:sz w:val="21"/>
                <w:szCs w:val="21"/>
                <w:u w:val="none"/>
              </w:rPr>
            </w:pPr>
          </w:p>
        </w:tc>
        <w:tc>
          <w:tcPr>
            <w:tcW w:w="945" w:type="dxa"/>
            <w:tcBorders>
              <w:tl2br w:val="nil"/>
              <w:tr2bl w:val="nil"/>
            </w:tcBorders>
            <w:shd w:val="clear" w:color="auto" w:fill="auto"/>
            <w:noWrap/>
            <w:vAlign w:val="center"/>
          </w:tcPr>
          <w:p w14:paraId="40C16806">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1"/>
                <w:szCs w:val="21"/>
                <w:u w:val="none"/>
                <w:lang w:val="en-US" w:eastAsia="zh-CN" w:bidi="ar"/>
              </w:rPr>
              <w:t>日平均</w:t>
            </w:r>
          </w:p>
        </w:tc>
        <w:tc>
          <w:tcPr>
            <w:tcW w:w="1110" w:type="dxa"/>
            <w:tcBorders>
              <w:tl2br w:val="nil"/>
              <w:tr2bl w:val="nil"/>
            </w:tcBorders>
            <w:shd w:val="clear" w:color="auto" w:fill="auto"/>
            <w:noWrap/>
            <w:vAlign w:val="center"/>
          </w:tcPr>
          <w:p w14:paraId="3EE6C335">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2"/>
                <w:szCs w:val="22"/>
                <w:u w:val="none"/>
                <w:lang w:val="en-US" w:eastAsia="zh-CN" w:bidi="ar"/>
              </w:rPr>
              <w:t>3.27E-04</w:t>
            </w:r>
          </w:p>
        </w:tc>
        <w:tc>
          <w:tcPr>
            <w:tcW w:w="1350" w:type="dxa"/>
            <w:tcBorders>
              <w:tl2br w:val="nil"/>
              <w:tr2bl w:val="nil"/>
            </w:tcBorders>
            <w:shd w:val="clear" w:color="auto" w:fill="auto"/>
            <w:noWrap/>
            <w:vAlign w:val="center"/>
          </w:tcPr>
          <w:p w14:paraId="1ABEE6B8">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2"/>
                <w:szCs w:val="22"/>
                <w:u w:val="none"/>
                <w:lang w:val="en-US" w:eastAsia="zh-CN" w:bidi="ar"/>
              </w:rPr>
              <w:t>240506</w:t>
            </w:r>
          </w:p>
        </w:tc>
        <w:tc>
          <w:tcPr>
            <w:tcW w:w="1140" w:type="dxa"/>
            <w:tcBorders>
              <w:tl2br w:val="nil"/>
              <w:tr2bl w:val="nil"/>
            </w:tcBorders>
            <w:shd w:val="clear" w:color="auto" w:fill="auto"/>
            <w:noWrap/>
            <w:vAlign w:val="center"/>
          </w:tcPr>
          <w:p w14:paraId="7DDD4B87">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2"/>
                <w:szCs w:val="22"/>
                <w:u w:val="none"/>
                <w:lang w:val="en-US" w:eastAsia="zh-CN" w:bidi="ar"/>
              </w:rPr>
              <w:t>1.00E-01</w:t>
            </w:r>
          </w:p>
        </w:tc>
        <w:tc>
          <w:tcPr>
            <w:tcW w:w="825" w:type="dxa"/>
            <w:tcBorders>
              <w:tl2br w:val="nil"/>
              <w:tr2bl w:val="nil"/>
            </w:tcBorders>
            <w:shd w:val="clear" w:color="auto" w:fill="auto"/>
            <w:noWrap/>
            <w:vAlign w:val="center"/>
          </w:tcPr>
          <w:p w14:paraId="4DDBFC6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1"/>
                <w:szCs w:val="21"/>
                <w:u w:val="none"/>
                <w:lang w:val="en-US" w:eastAsia="zh-CN" w:bidi="ar"/>
              </w:rPr>
              <w:t>0.33</w:t>
            </w:r>
          </w:p>
        </w:tc>
        <w:tc>
          <w:tcPr>
            <w:tcW w:w="859" w:type="dxa"/>
            <w:tcBorders>
              <w:tl2br w:val="nil"/>
              <w:tr2bl w:val="nil"/>
            </w:tcBorders>
            <w:shd w:val="clear" w:color="auto" w:fill="auto"/>
            <w:noWrap/>
            <w:vAlign w:val="center"/>
          </w:tcPr>
          <w:p w14:paraId="6EE8CF18">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1"/>
                <w:szCs w:val="21"/>
                <w:u w:val="none"/>
                <w:lang w:val="en-US" w:eastAsia="zh-CN" w:bidi="ar"/>
              </w:rPr>
              <w:t>达标</w:t>
            </w:r>
          </w:p>
        </w:tc>
      </w:tr>
      <w:tr w14:paraId="5198137A">
        <w:tblPrEx>
          <w:tblBorders>
            <w:top w:val="thinThickSmallGap" w:color="000000" w:sz="12" w:space="0"/>
            <w:left w:val="none" w:color="auto" w:sz="0" w:space="0"/>
            <w:bottom w:val="thinThickSmallGap"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00" w:hRule="atLeast"/>
          <w:jc w:val="center"/>
        </w:trPr>
        <w:tc>
          <w:tcPr>
            <w:tcW w:w="510" w:type="dxa"/>
            <w:vMerge w:val="continue"/>
            <w:tcBorders>
              <w:tl2br w:val="nil"/>
              <w:tr2bl w:val="nil"/>
            </w:tcBorders>
            <w:shd w:val="clear" w:color="auto" w:fill="auto"/>
            <w:noWrap/>
            <w:vAlign w:val="center"/>
          </w:tcPr>
          <w:p w14:paraId="0C72C586">
            <w:pPr>
              <w:keepNext w:val="0"/>
              <w:keepLines w:val="0"/>
              <w:pageBreakBefore w:val="0"/>
              <w:widowControl/>
              <w:kinsoku/>
              <w:wordWrap/>
              <w:overflowPunct/>
              <w:topLinePunct w:val="0"/>
              <w:autoSpaceDE/>
              <w:autoSpaceDN/>
              <w:bidi w:val="0"/>
              <w:adjustRightInd w:val="0"/>
              <w:snapToGrid w:val="0"/>
              <w:spacing w:line="240" w:lineRule="auto"/>
              <w:jc w:val="center"/>
              <w:rPr>
                <w:rFonts w:hint="default" w:ascii="Times New Roman" w:hAnsi="Times New Roman" w:eastAsia="宋体" w:cs="Times New Roman"/>
                <w:i w:val="0"/>
                <w:iCs w:val="0"/>
                <w:color w:val="0000FF"/>
                <w:sz w:val="21"/>
                <w:szCs w:val="21"/>
                <w:u w:val="none"/>
              </w:rPr>
            </w:pPr>
          </w:p>
        </w:tc>
        <w:tc>
          <w:tcPr>
            <w:tcW w:w="900" w:type="dxa"/>
            <w:vMerge w:val="continue"/>
            <w:tcBorders>
              <w:tl2br w:val="nil"/>
              <w:tr2bl w:val="nil"/>
            </w:tcBorders>
            <w:shd w:val="clear" w:color="auto" w:fill="auto"/>
            <w:noWrap/>
            <w:vAlign w:val="center"/>
          </w:tcPr>
          <w:p w14:paraId="46506A80">
            <w:pPr>
              <w:keepNext w:val="0"/>
              <w:keepLines w:val="0"/>
              <w:pageBreakBefore w:val="0"/>
              <w:widowControl/>
              <w:kinsoku/>
              <w:wordWrap/>
              <w:overflowPunct/>
              <w:topLinePunct w:val="0"/>
              <w:autoSpaceDE/>
              <w:autoSpaceDN/>
              <w:bidi w:val="0"/>
              <w:adjustRightInd w:val="0"/>
              <w:snapToGrid w:val="0"/>
              <w:spacing w:line="240" w:lineRule="auto"/>
              <w:jc w:val="center"/>
              <w:rPr>
                <w:rFonts w:hint="default" w:ascii="Times New Roman" w:hAnsi="Times New Roman" w:eastAsia="宋体" w:cs="Times New Roman"/>
                <w:i w:val="0"/>
                <w:iCs w:val="0"/>
                <w:color w:val="0000FF"/>
                <w:sz w:val="21"/>
                <w:szCs w:val="21"/>
                <w:u w:val="none"/>
              </w:rPr>
            </w:pPr>
          </w:p>
        </w:tc>
        <w:tc>
          <w:tcPr>
            <w:tcW w:w="1008" w:type="dxa"/>
            <w:vMerge w:val="continue"/>
            <w:tcBorders>
              <w:tl2br w:val="nil"/>
              <w:tr2bl w:val="nil"/>
            </w:tcBorders>
            <w:shd w:val="clear" w:color="auto" w:fill="auto"/>
            <w:noWrap/>
            <w:vAlign w:val="center"/>
          </w:tcPr>
          <w:p w14:paraId="07FBAD9A">
            <w:pPr>
              <w:keepNext w:val="0"/>
              <w:keepLines w:val="0"/>
              <w:pageBreakBefore w:val="0"/>
              <w:widowControl/>
              <w:kinsoku/>
              <w:wordWrap/>
              <w:overflowPunct/>
              <w:topLinePunct w:val="0"/>
              <w:autoSpaceDE/>
              <w:autoSpaceDN/>
              <w:bidi w:val="0"/>
              <w:adjustRightInd w:val="0"/>
              <w:snapToGrid w:val="0"/>
              <w:spacing w:line="240" w:lineRule="auto"/>
              <w:jc w:val="center"/>
              <w:rPr>
                <w:rFonts w:hint="default" w:ascii="Times New Roman" w:hAnsi="Times New Roman" w:eastAsia="宋体" w:cs="Times New Roman"/>
                <w:i w:val="0"/>
                <w:iCs w:val="0"/>
                <w:color w:val="0000FF"/>
                <w:sz w:val="21"/>
                <w:szCs w:val="21"/>
                <w:u w:val="none"/>
              </w:rPr>
            </w:pPr>
          </w:p>
        </w:tc>
        <w:tc>
          <w:tcPr>
            <w:tcW w:w="945" w:type="dxa"/>
            <w:tcBorders>
              <w:tl2br w:val="nil"/>
              <w:tr2bl w:val="nil"/>
            </w:tcBorders>
            <w:shd w:val="clear" w:color="auto" w:fill="auto"/>
            <w:noWrap/>
            <w:vAlign w:val="center"/>
          </w:tcPr>
          <w:p w14:paraId="57FE17FA">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1"/>
                <w:szCs w:val="21"/>
                <w:u w:val="none"/>
                <w:lang w:val="en-US" w:eastAsia="zh-CN" w:bidi="ar"/>
              </w:rPr>
              <w:t>全时段</w:t>
            </w:r>
          </w:p>
        </w:tc>
        <w:tc>
          <w:tcPr>
            <w:tcW w:w="1110" w:type="dxa"/>
            <w:tcBorders>
              <w:tl2br w:val="nil"/>
              <w:tr2bl w:val="nil"/>
            </w:tcBorders>
            <w:shd w:val="clear" w:color="auto" w:fill="auto"/>
            <w:noWrap/>
            <w:vAlign w:val="center"/>
          </w:tcPr>
          <w:p w14:paraId="370AB602">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2"/>
                <w:szCs w:val="22"/>
                <w:u w:val="none"/>
                <w:lang w:val="en-US" w:eastAsia="zh-CN" w:bidi="ar"/>
              </w:rPr>
              <w:t>4.55E-05</w:t>
            </w:r>
          </w:p>
        </w:tc>
        <w:tc>
          <w:tcPr>
            <w:tcW w:w="1350" w:type="dxa"/>
            <w:tcBorders>
              <w:tl2br w:val="nil"/>
              <w:tr2bl w:val="nil"/>
            </w:tcBorders>
            <w:shd w:val="clear" w:color="auto" w:fill="auto"/>
            <w:noWrap/>
            <w:vAlign w:val="center"/>
          </w:tcPr>
          <w:p w14:paraId="76658042">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2"/>
                <w:szCs w:val="22"/>
                <w:u w:val="none"/>
                <w:lang w:val="en-US" w:eastAsia="zh-CN" w:bidi="ar"/>
              </w:rPr>
              <w:t>平均值</w:t>
            </w:r>
          </w:p>
        </w:tc>
        <w:tc>
          <w:tcPr>
            <w:tcW w:w="1140" w:type="dxa"/>
            <w:tcBorders>
              <w:tl2br w:val="nil"/>
              <w:tr2bl w:val="nil"/>
            </w:tcBorders>
            <w:shd w:val="clear" w:color="auto" w:fill="auto"/>
            <w:noWrap/>
            <w:vAlign w:val="center"/>
          </w:tcPr>
          <w:p w14:paraId="44FEB321">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2"/>
                <w:szCs w:val="22"/>
                <w:u w:val="none"/>
                <w:lang w:val="en-US" w:eastAsia="zh-CN" w:bidi="ar"/>
              </w:rPr>
              <w:t>5.00E-02</w:t>
            </w:r>
          </w:p>
        </w:tc>
        <w:tc>
          <w:tcPr>
            <w:tcW w:w="825" w:type="dxa"/>
            <w:tcBorders>
              <w:tl2br w:val="nil"/>
              <w:tr2bl w:val="nil"/>
            </w:tcBorders>
            <w:shd w:val="clear" w:color="auto" w:fill="auto"/>
            <w:noWrap/>
            <w:vAlign w:val="center"/>
          </w:tcPr>
          <w:p w14:paraId="5A89256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1"/>
                <w:szCs w:val="21"/>
                <w:u w:val="none"/>
                <w:lang w:val="en-US" w:eastAsia="zh-CN" w:bidi="ar"/>
              </w:rPr>
              <w:t>0.09</w:t>
            </w:r>
          </w:p>
        </w:tc>
        <w:tc>
          <w:tcPr>
            <w:tcW w:w="859" w:type="dxa"/>
            <w:tcBorders>
              <w:tl2br w:val="nil"/>
              <w:tr2bl w:val="nil"/>
            </w:tcBorders>
            <w:shd w:val="clear" w:color="auto" w:fill="auto"/>
            <w:noWrap/>
            <w:vAlign w:val="center"/>
          </w:tcPr>
          <w:p w14:paraId="7D9E4BC3">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1"/>
                <w:szCs w:val="21"/>
                <w:u w:val="none"/>
                <w:lang w:val="en-US" w:eastAsia="zh-CN" w:bidi="ar"/>
              </w:rPr>
              <w:t>达标</w:t>
            </w:r>
          </w:p>
        </w:tc>
      </w:tr>
      <w:tr w14:paraId="15EF7966">
        <w:tblPrEx>
          <w:tblBorders>
            <w:top w:val="thinThickSmallGap" w:color="000000" w:sz="12" w:space="0"/>
            <w:left w:val="none" w:color="auto" w:sz="0" w:space="0"/>
            <w:bottom w:val="thinThickSmallGap"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00" w:hRule="atLeast"/>
          <w:jc w:val="center"/>
        </w:trPr>
        <w:tc>
          <w:tcPr>
            <w:tcW w:w="510" w:type="dxa"/>
            <w:vMerge w:val="restart"/>
            <w:tcBorders>
              <w:tl2br w:val="nil"/>
              <w:tr2bl w:val="nil"/>
            </w:tcBorders>
            <w:shd w:val="clear" w:color="auto" w:fill="auto"/>
            <w:noWrap/>
            <w:vAlign w:val="center"/>
          </w:tcPr>
          <w:p w14:paraId="563AADA6">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1"/>
                <w:szCs w:val="21"/>
                <w:u w:val="none"/>
                <w:lang w:val="en-US" w:eastAsia="zh-CN" w:bidi="ar"/>
              </w:rPr>
              <w:t>4</w:t>
            </w:r>
          </w:p>
        </w:tc>
        <w:tc>
          <w:tcPr>
            <w:tcW w:w="900" w:type="dxa"/>
            <w:vMerge w:val="restart"/>
            <w:tcBorders>
              <w:tl2br w:val="nil"/>
              <w:tr2bl w:val="nil"/>
            </w:tcBorders>
            <w:shd w:val="clear" w:color="auto" w:fill="auto"/>
            <w:noWrap/>
            <w:vAlign w:val="center"/>
          </w:tcPr>
          <w:p w14:paraId="50BE3B60">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1"/>
                <w:szCs w:val="21"/>
                <w:u w:val="none"/>
                <w:lang w:val="en-US" w:eastAsia="zh-CN" w:bidi="ar"/>
              </w:rPr>
              <w:t>三道沟</w:t>
            </w:r>
          </w:p>
        </w:tc>
        <w:tc>
          <w:tcPr>
            <w:tcW w:w="1008" w:type="dxa"/>
            <w:vMerge w:val="restart"/>
            <w:tcBorders>
              <w:tl2br w:val="nil"/>
              <w:tr2bl w:val="nil"/>
            </w:tcBorders>
            <w:shd w:val="clear" w:color="auto" w:fill="auto"/>
            <w:noWrap/>
            <w:vAlign w:val="center"/>
          </w:tcPr>
          <w:p w14:paraId="2F928C0A">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1"/>
                <w:szCs w:val="21"/>
                <w:u w:val="none"/>
                <w:lang w:val="en-US" w:eastAsia="zh-CN" w:bidi="ar"/>
              </w:rPr>
              <w:t>910,-1326</w:t>
            </w:r>
          </w:p>
        </w:tc>
        <w:tc>
          <w:tcPr>
            <w:tcW w:w="945" w:type="dxa"/>
            <w:tcBorders>
              <w:tl2br w:val="nil"/>
              <w:tr2bl w:val="nil"/>
            </w:tcBorders>
            <w:shd w:val="clear" w:color="auto" w:fill="auto"/>
            <w:noWrap/>
            <w:vAlign w:val="center"/>
          </w:tcPr>
          <w:p w14:paraId="019DD0B1">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1"/>
                <w:szCs w:val="21"/>
                <w:u w:val="none"/>
                <w:lang w:val="en-US" w:eastAsia="zh-CN" w:bidi="ar"/>
              </w:rPr>
              <w:t>1小时</w:t>
            </w:r>
          </w:p>
        </w:tc>
        <w:tc>
          <w:tcPr>
            <w:tcW w:w="1110" w:type="dxa"/>
            <w:tcBorders>
              <w:tl2br w:val="nil"/>
              <w:tr2bl w:val="nil"/>
            </w:tcBorders>
            <w:shd w:val="clear" w:color="auto" w:fill="auto"/>
            <w:noWrap/>
            <w:vAlign w:val="center"/>
          </w:tcPr>
          <w:p w14:paraId="1406B72B">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2"/>
                <w:szCs w:val="22"/>
                <w:u w:val="none"/>
                <w:lang w:val="en-US" w:eastAsia="zh-CN" w:bidi="ar"/>
              </w:rPr>
              <w:t>3.06E-03</w:t>
            </w:r>
          </w:p>
        </w:tc>
        <w:tc>
          <w:tcPr>
            <w:tcW w:w="1350" w:type="dxa"/>
            <w:tcBorders>
              <w:tl2br w:val="nil"/>
              <w:tr2bl w:val="nil"/>
            </w:tcBorders>
            <w:shd w:val="clear" w:color="auto" w:fill="auto"/>
            <w:noWrap/>
            <w:vAlign w:val="center"/>
          </w:tcPr>
          <w:p w14:paraId="59D3550C">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2"/>
                <w:szCs w:val="22"/>
                <w:u w:val="none"/>
                <w:lang w:val="en-US" w:eastAsia="zh-CN" w:bidi="ar"/>
              </w:rPr>
              <w:t>24122012</w:t>
            </w:r>
          </w:p>
        </w:tc>
        <w:tc>
          <w:tcPr>
            <w:tcW w:w="1140" w:type="dxa"/>
            <w:tcBorders>
              <w:tl2br w:val="nil"/>
              <w:tr2bl w:val="nil"/>
            </w:tcBorders>
            <w:shd w:val="clear" w:color="auto" w:fill="auto"/>
            <w:noWrap/>
            <w:vAlign w:val="center"/>
          </w:tcPr>
          <w:p w14:paraId="163CC6C7">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2"/>
                <w:szCs w:val="22"/>
                <w:u w:val="none"/>
                <w:lang w:val="en-US" w:eastAsia="zh-CN" w:bidi="ar"/>
              </w:rPr>
              <w:t>2.50E-01</w:t>
            </w:r>
          </w:p>
        </w:tc>
        <w:tc>
          <w:tcPr>
            <w:tcW w:w="825" w:type="dxa"/>
            <w:tcBorders>
              <w:tl2br w:val="nil"/>
              <w:tr2bl w:val="nil"/>
            </w:tcBorders>
            <w:shd w:val="clear" w:color="auto" w:fill="auto"/>
            <w:noWrap/>
            <w:vAlign w:val="center"/>
          </w:tcPr>
          <w:p w14:paraId="699410B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1"/>
                <w:szCs w:val="21"/>
                <w:u w:val="none"/>
                <w:lang w:val="en-US" w:eastAsia="zh-CN" w:bidi="ar"/>
              </w:rPr>
              <w:t>1.23</w:t>
            </w:r>
          </w:p>
        </w:tc>
        <w:tc>
          <w:tcPr>
            <w:tcW w:w="859" w:type="dxa"/>
            <w:tcBorders>
              <w:tl2br w:val="nil"/>
              <w:tr2bl w:val="nil"/>
            </w:tcBorders>
            <w:shd w:val="clear" w:color="auto" w:fill="auto"/>
            <w:noWrap/>
            <w:vAlign w:val="center"/>
          </w:tcPr>
          <w:p w14:paraId="73965F73">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1"/>
                <w:szCs w:val="21"/>
                <w:u w:val="none"/>
                <w:lang w:val="en-US" w:eastAsia="zh-CN" w:bidi="ar"/>
              </w:rPr>
              <w:t>达标</w:t>
            </w:r>
          </w:p>
        </w:tc>
      </w:tr>
      <w:tr w14:paraId="344A0819">
        <w:tblPrEx>
          <w:tblBorders>
            <w:top w:val="thinThickSmallGap" w:color="000000" w:sz="12" w:space="0"/>
            <w:left w:val="none" w:color="auto" w:sz="0" w:space="0"/>
            <w:bottom w:val="thinThickSmallGap" w:color="000000" w:sz="12" w:space="0"/>
            <w:right w:val="none" w:color="auto" w:sz="0"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300" w:hRule="atLeast"/>
          <w:jc w:val="center"/>
        </w:trPr>
        <w:tc>
          <w:tcPr>
            <w:tcW w:w="510" w:type="dxa"/>
            <w:vMerge w:val="continue"/>
            <w:tcBorders>
              <w:tl2br w:val="nil"/>
              <w:tr2bl w:val="nil"/>
            </w:tcBorders>
            <w:shd w:val="clear" w:color="auto" w:fill="auto"/>
            <w:noWrap/>
            <w:vAlign w:val="center"/>
          </w:tcPr>
          <w:p w14:paraId="716EF081">
            <w:pPr>
              <w:keepNext w:val="0"/>
              <w:keepLines w:val="0"/>
              <w:pageBreakBefore w:val="0"/>
              <w:widowControl/>
              <w:kinsoku/>
              <w:wordWrap/>
              <w:overflowPunct/>
              <w:topLinePunct w:val="0"/>
              <w:autoSpaceDE/>
              <w:autoSpaceDN/>
              <w:bidi w:val="0"/>
              <w:adjustRightInd w:val="0"/>
              <w:snapToGrid w:val="0"/>
              <w:spacing w:line="240" w:lineRule="auto"/>
              <w:jc w:val="center"/>
              <w:rPr>
                <w:rFonts w:hint="default" w:ascii="Times New Roman" w:hAnsi="Times New Roman" w:eastAsia="宋体" w:cs="Times New Roman"/>
                <w:i w:val="0"/>
                <w:iCs w:val="0"/>
                <w:color w:val="0000FF"/>
                <w:sz w:val="21"/>
                <w:szCs w:val="21"/>
                <w:u w:val="none"/>
              </w:rPr>
            </w:pPr>
          </w:p>
        </w:tc>
        <w:tc>
          <w:tcPr>
            <w:tcW w:w="900" w:type="dxa"/>
            <w:vMerge w:val="continue"/>
            <w:tcBorders>
              <w:tl2br w:val="nil"/>
              <w:tr2bl w:val="nil"/>
            </w:tcBorders>
            <w:shd w:val="clear" w:color="auto" w:fill="auto"/>
            <w:noWrap/>
            <w:vAlign w:val="center"/>
          </w:tcPr>
          <w:p w14:paraId="6D4C1566">
            <w:pPr>
              <w:keepNext w:val="0"/>
              <w:keepLines w:val="0"/>
              <w:pageBreakBefore w:val="0"/>
              <w:widowControl/>
              <w:kinsoku/>
              <w:wordWrap/>
              <w:overflowPunct/>
              <w:topLinePunct w:val="0"/>
              <w:autoSpaceDE/>
              <w:autoSpaceDN/>
              <w:bidi w:val="0"/>
              <w:adjustRightInd w:val="0"/>
              <w:snapToGrid w:val="0"/>
              <w:spacing w:line="240" w:lineRule="auto"/>
              <w:jc w:val="center"/>
              <w:rPr>
                <w:rFonts w:hint="default" w:ascii="Times New Roman" w:hAnsi="Times New Roman" w:eastAsia="宋体" w:cs="Times New Roman"/>
                <w:i w:val="0"/>
                <w:iCs w:val="0"/>
                <w:color w:val="0000FF"/>
                <w:sz w:val="21"/>
                <w:szCs w:val="21"/>
                <w:u w:val="none"/>
              </w:rPr>
            </w:pPr>
          </w:p>
        </w:tc>
        <w:tc>
          <w:tcPr>
            <w:tcW w:w="1008" w:type="dxa"/>
            <w:vMerge w:val="continue"/>
            <w:tcBorders>
              <w:tl2br w:val="nil"/>
              <w:tr2bl w:val="nil"/>
            </w:tcBorders>
            <w:shd w:val="clear" w:color="auto" w:fill="auto"/>
            <w:noWrap/>
            <w:vAlign w:val="center"/>
          </w:tcPr>
          <w:p w14:paraId="039E76C8">
            <w:pPr>
              <w:keepNext w:val="0"/>
              <w:keepLines w:val="0"/>
              <w:pageBreakBefore w:val="0"/>
              <w:widowControl/>
              <w:kinsoku/>
              <w:wordWrap/>
              <w:overflowPunct/>
              <w:topLinePunct w:val="0"/>
              <w:autoSpaceDE/>
              <w:autoSpaceDN/>
              <w:bidi w:val="0"/>
              <w:adjustRightInd w:val="0"/>
              <w:snapToGrid w:val="0"/>
              <w:spacing w:line="240" w:lineRule="auto"/>
              <w:jc w:val="center"/>
              <w:rPr>
                <w:rFonts w:hint="default" w:ascii="Times New Roman" w:hAnsi="Times New Roman" w:eastAsia="宋体" w:cs="Times New Roman"/>
                <w:i w:val="0"/>
                <w:iCs w:val="0"/>
                <w:color w:val="0000FF"/>
                <w:sz w:val="21"/>
                <w:szCs w:val="21"/>
                <w:u w:val="none"/>
              </w:rPr>
            </w:pPr>
          </w:p>
        </w:tc>
        <w:tc>
          <w:tcPr>
            <w:tcW w:w="945" w:type="dxa"/>
            <w:tcBorders>
              <w:tl2br w:val="nil"/>
              <w:tr2bl w:val="nil"/>
            </w:tcBorders>
            <w:shd w:val="clear" w:color="auto" w:fill="auto"/>
            <w:noWrap/>
            <w:vAlign w:val="center"/>
          </w:tcPr>
          <w:p w14:paraId="4A56644C">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1"/>
                <w:szCs w:val="21"/>
                <w:u w:val="none"/>
                <w:lang w:val="en-US" w:eastAsia="zh-CN" w:bidi="ar"/>
              </w:rPr>
              <w:t>日平均</w:t>
            </w:r>
          </w:p>
        </w:tc>
        <w:tc>
          <w:tcPr>
            <w:tcW w:w="1110" w:type="dxa"/>
            <w:tcBorders>
              <w:tl2br w:val="nil"/>
              <w:tr2bl w:val="nil"/>
            </w:tcBorders>
            <w:shd w:val="clear" w:color="auto" w:fill="auto"/>
            <w:noWrap/>
            <w:vAlign w:val="center"/>
          </w:tcPr>
          <w:p w14:paraId="2AC77752">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2"/>
                <w:szCs w:val="22"/>
                <w:u w:val="none"/>
                <w:lang w:val="en-US" w:eastAsia="zh-CN" w:bidi="ar"/>
              </w:rPr>
              <w:t>3.31E-04</w:t>
            </w:r>
          </w:p>
        </w:tc>
        <w:tc>
          <w:tcPr>
            <w:tcW w:w="1350" w:type="dxa"/>
            <w:tcBorders>
              <w:tl2br w:val="nil"/>
              <w:tr2bl w:val="nil"/>
            </w:tcBorders>
            <w:shd w:val="clear" w:color="auto" w:fill="auto"/>
            <w:noWrap/>
            <w:vAlign w:val="center"/>
          </w:tcPr>
          <w:p w14:paraId="771CF9ED">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2"/>
                <w:szCs w:val="22"/>
                <w:u w:val="none"/>
                <w:lang w:val="en-US" w:eastAsia="zh-CN" w:bidi="ar"/>
              </w:rPr>
              <w:t>240425</w:t>
            </w:r>
          </w:p>
        </w:tc>
        <w:tc>
          <w:tcPr>
            <w:tcW w:w="1140" w:type="dxa"/>
            <w:tcBorders>
              <w:tl2br w:val="nil"/>
              <w:tr2bl w:val="nil"/>
            </w:tcBorders>
            <w:shd w:val="clear" w:color="auto" w:fill="auto"/>
            <w:noWrap/>
            <w:vAlign w:val="center"/>
          </w:tcPr>
          <w:p w14:paraId="19BEBD4E">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2"/>
                <w:szCs w:val="22"/>
                <w:u w:val="none"/>
                <w:lang w:val="en-US" w:eastAsia="zh-CN" w:bidi="ar"/>
              </w:rPr>
              <w:t>1.00E-01</w:t>
            </w:r>
          </w:p>
        </w:tc>
        <w:tc>
          <w:tcPr>
            <w:tcW w:w="825" w:type="dxa"/>
            <w:tcBorders>
              <w:tl2br w:val="nil"/>
              <w:tr2bl w:val="nil"/>
            </w:tcBorders>
            <w:shd w:val="clear" w:color="auto" w:fill="auto"/>
            <w:noWrap/>
            <w:vAlign w:val="center"/>
          </w:tcPr>
          <w:p w14:paraId="114081B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1"/>
                <w:szCs w:val="21"/>
                <w:u w:val="none"/>
                <w:lang w:val="en-US" w:eastAsia="zh-CN" w:bidi="ar"/>
              </w:rPr>
              <w:t>0.33</w:t>
            </w:r>
          </w:p>
        </w:tc>
        <w:tc>
          <w:tcPr>
            <w:tcW w:w="859" w:type="dxa"/>
            <w:tcBorders>
              <w:tl2br w:val="nil"/>
              <w:tr2bl w:val="nil"/>
            </w:tcBorders>
            <w:shd w:val="clear" w:color="auto" w:fill="auto"/>
            <w:noWrap/>
            <w:vAlign w:val="center"/>
          </w:tcPr>
          <w:p w14:paraId="6981D50C">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1"/>
                <w:szCs w:val="21"/>
                <w:u w:val="none"/>
                <w:lang w:val="en-US" w:eastAsia="zh-CN" w:bidi="ar"/>
              </w:rPr>
              <w:t>达标</w:t>
            </w:r>
          </w:p>
        </w:tc>
      </w:tr>
      <w:tr w14:paraId="768F918D">
        <w:tblPrEx>
          <w:tblBorders>
            <w:top w:val="thinThickSmallGap" w:color="000000" w:sz="12" w:space="0"/>
            <w:left w:val="none" w:color="auto" w:sz="0" w:space="0"/>
            <w:bottom w:val="thinThickSmallGap" w:color="000000" w:sz="12" w:space="0"/>
            <w:right w:val="none" w:color="auto" w:sz="0"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300" w:hRule="atLeast"/>
          <w:jc w:val="center"/>
        </w:trPr>
        <w:tc>
          <w:tcPr>
            <w:tcW w:w="510" w:type="dxa"/>
            <w:vMerge w:val="continue"/>
            <w:tcBorders>
              <w:tl2br w:val="nil"/>
              <w:tr2bl w:val="nil"/>
            </w:tcBorders>
            <w:shd w:val="clear" w:color="auto" w:fill="auto"/>
            <w:noWrap/>
            <w:vAlign w:val="center"/>
          </w:tcPr>
          <w:p w14:paraId="67C3701E">
            <w:pPr>
              <w:keepNext w:val="0"/>
              <w:keepLines w:val="0"/>
              <w:pageBreakBefore w:val="0"/>
              <w:widowControl/>
              <w:kinsoku/>
              <w:wordWrap/>
              <w:overflowPunct/>
              <w:topLinePunct w:val="0"/>
              <w:autoSpaceDE/>
              <w:autoSpaceDN/>
              <w:bidi w:val="0"/>
              <w:adjustRightInd w:val="0"/>
              <w:snapToGrid w:val="0"/>
              <w:spacing w:line="240" w:lineRule="auto"/>
              <w:jc w:val="center"/>
              <w:rPr>
                <w:rFonts w:hint="default" w:ascii="Times New Roman" w:hAnsi="Times New Roman" w:eastAsia="宋体" w:cs="Times New Roman"/>
                <w:i w:val="0"/>
                <w:iCs w:val="0"/>
                <w:color w:val="0000FF"/>
                <w:sz w:val="21"/>
                <w:szCs w:val="21"/>
                <w:u w:val="none"/>
              </w:rPr>
            </w:pPr>
          </w:p>
        </w:tc>
        <w:tc>
          <w:tcPr>
            <w:tcW w:w="900" w:type="dxa"/>
            <w:vMerge w:val="continue"/>
            <w:tcBorders>
              <w:tl2br w:val="nil"/>
              <w:tr2bl w:val="nil"/>
            </w:tcBorders>
            <w:shd w:val="clear" w:color="auto" w:fill="auto"/>
            <w:noWrap/>
            <w:vAlign w:val="center"/>
          </w:tcPr>
          <w:p w14:paraId="1ED42064">
            <w:pPr>
              <w:keepNext w:val="0"/>
              <w:keepLines w:val="0"/>
              <w:pageBreakBefore w:val="0"/>
              <w:widowControl/>
              <w:kinsoku/>
              <w:wordWrap/>
              <w:overflowPunct/>
              <w:topLinePunct w:val="0"/>
              <w:autoSpaceDE/>
              <w:autoSpaceDN/>
              <w:bidi w:val="0"/>
              <w:adjustRightInd w:val="0"/>
              <w:snapToGrid w:val="0"/>
              <w:spacing w:line="240" w:lineRule="auto"/>
              <w:jc w:val="center"/>
              <w:rPr>
                <w:rFonts w:hint="default" w:ascii="Times New Roman" w:hAnsi="Times New Roman" w:eastAsia="宋体" w:cs="Times New Roman"/>
                <w:i w:val="0"/>
                <w:iCs w:val="0"/>
                <w:color w:val="0000FF"/>
                <w:sz w:val="21"/>
                <w:szCs w:val="21"/>
                <w:u w:val="none"/>
              </w:rPr>
            </w:pPr>
          </w:p>
        </w:tc>
        <w:tc>
          <w:tcPr>
            <w:tcW w:w="1008" w:type="dxa"/>
            <w:vMerge w:val="continue"/>
            <w:tcBorders>
              <w:tl2br w:val="nil"/>
              <w:tr2bl w:val="nil"/>
            </w:tcBorders>
            <w:shd w:val="clear" w:color="auto" w:fill="auto"/>
            <w:noWrap/>
            <w:vAlign w:val="center"/>
          </w:tcPr>
          <w:p w14:paraId="288624B3">
            <w:pPr>
              <w:keepNext w:val="0"/>
              <w:keepLines w:val="0"/>
              <w:pageBreakBefore w:val="0"/>
              <w:widowControl/>
              <w:kinsoku/>
              <w:wordWrap/>
              <w:overflowPunct/>
              <w:topLinePunct w:val="0"/>
              <w:autoSpaceDE/>
              <w:autoSpaceDN/>
              <w:bidi w:val="0"/>
              <w:adjustRightInd w:val="0"/>
              <w:snapToGrid w:val="0"/>
              <w:spacing w:line="240" w:lineRule="auto"/>
              <w:jc w:val="center"/>
              <w:rPr>
                <w:rFonts w:hint="default" w:ascii="Times New Roman" w:hAnsi="Times New Roman" w:eastAsia="宋体" w:cs="Times New Roman"/>
                <w:i w:val="0"/>
                <w:iCs w:val="0"/>
                <w:color w:val="0000FF"/>
                <w:sz w:val="21"/>
                <w:szCs w:val="21"/>
                <w:u w:val="none"/>
              </w:rPr>
            </w:pPr>
          </w:p>
        </w:tc>
        <w:tc>
          <w:tcPr>
            <w:tcW w:w="945" w:type="dxa"/>
            <w:tcBorders>
              <w:tl2br w:val="nil"/>
              <w:tr2bl w:val="nil"/>
            </w:tcBorders>
            <w:shd w:val="clear" w:color="auto" w:fill="auto"/>
            <w:noWrap/>
            <w:vAlign w:val="center"/>
          </w:tcPr>
          <w:p w14:paraId="2956D5E8">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1"/>
                <w:szCs w:val="21"/>
                <w:u w:val="none"/>
                <w:lang w:val="en-US" w:eastAsia="zh-CN" w:bidi="ar"/>
              </w:rPr>
              <w:t>全时段</w:t>
            </w:r>
          </w:p>
        </w:tc>
        <w:tc>
          <w:tcPr>
            <w:tcW w:w="1110" w:type="dxa"/>
            <w:tcBorders>
              <w:tl2br w:val="nil"/>
              <w:tr2bl w:val="nil"/>
            </w:tcBorders>
            <w:shd w:val="clear" w:color="auto" w:fill="auto"/>
            <w:noWrap/>
            <w:vAlign w:val="center"/>
          </w:tcPr>
          <w:p w14:paraId="0795EC56">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2"/>
                <w:szCs w:val="22"/>
                <w:u w:val="none"/>
                <w:lang w:val="en-US" w:eastAsia="zh-CN" w:bidi="ar"/>
              </w:rPr>
              <w:t>4.39E-05</w:t>
            </w:r>
          </w:p>
        </w:tc>
        <w:tc>
          <w:tcPr>
            <w:tcW w:w="1350" w:type="dxa"/>
            <w:tcBorders>
              <w:tl2br w:val="nil"/>
              <w:tr2bl w:val="nil"/>
            </w:tcBorders>
            <w:shd w:val="clear" w:color="auto" w:fill="auto"/>
            <w:noWrap/>
            <w:vAlign w:val="center"/>
          </w:tcPr>
          <w:p w14:paraId="55AEC18B">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2"/>
                <w:szCs w:val="22"/>
                <w:u w:val="none"/>
                <w:lang w:val="en-US" w:eastAsia="zh-CN" w:bidi="ar"/>
              </w:rPr>
              <w:t>平均值</w:t>
            </w:r>
          </w:p>
        </w:tc>
        <w:tc>
          <w:tcPr>
            <w:tcW w:w="1140" w:type="dxa"/>
            <w:tcBorders>
              <w:tl2br w:val="nil"/>
              <w:tr2bl w:val="nil"/>
            </w:tcBorders>
            <w:shd w:val="clear" w:color="auto" w:fill="auto"/>
            <w:noWrap/>
            <w:vAlign w:val="center"/>
          </w:tcPr>
          <w:p w14:paraId="32B1D015">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2"/>
                <w:szCs w:val="22"/>
                <w:u w:val="none"/>
                <w:lang w:val="en-US" w:eastAsia="zh-CN" w:bidi="ar"/>
              </w:rPr>
              <w:t>5.00E-02</w:t>
            </w:r>
          </w:p>
        </w:tc>
        <w:tc>
          <w:tcPr>
            <w:tcW w:w="825" w:type="dxa"/>
            <w:tcBorders>
              <w:tl2br w:val="nil"/>
              <w:tr2bl w:val="nil"/>
            </w:tcBorders>
            <w:shd w:val="clear" w:color="auto" w:fill="auto"/>
            <w:noWrap/>
            <w:vAlign w:val="center"/>
          </w:tcPr>
          <w:p w14:paraId="1BD4A0D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1"/>
                <w:szCs w:val="21"/>
                <w:u w:val="none"/>
                <w:lang w:val="en-US" w:eastAsia="zh-CN" w:bidi="ar"/>
              </w:rPr>
              <w:t>0.09</w:t>
            </w:r>
          </w:p>
        </w:tc>
        <w:tc>
          <w:tcPr>
            <w:tcW w:w="859" w:type="dxa"/>
            <w:tcBorders>
              <w:tl2br w:val="nil"/>
              <w:tr2bl w:val="nil"/>
            </w:tcBorders>
            <w:shd w:val="clear" w:color="auto" w:fill="auto"/>
            <w:noWrap/>
            <w:vAlign w:val="center"/>
          </w:tcPr>
          <w:p w14:paraId="31C24920">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1"/>
                <w:szCs w:val="21"/>
                <w:u w:val="none"/>
                <w:lang w:val="en-US" w:eastAsia="zh-CN" w:bidi="ar"/>
              </w:rPr>
              <w:t>达标</w:t>
            </w:r>
          </w:p>
        </w:tc>
      </w:tr>
      <w:tr w14:paraId="65293387">
        <w:tblPrEx>
          <w:tblBorders>
            <w:top w:val="thinThickSmallGap" w:color="000000" w:sz="12" w:space="0"/>
            <w:left w:val="none" w:color="auto" w:sz="0" w:space="0"/>
            <w:bottom w:val="thinThickSmallGap"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00" w:hRule="atLeast"/>
          <w:jc w:val="center"/>
        </w:trPr>
        <w:tc>
          <w:tcPr>
            <w:tcW w:w="510" w:type="dxa"/>
            <w:vMerge w:val="restart"/>
            <w:tcBorders>
              <w:tl2br w:val="nil"/>
              <w:tr2bl w:val="nil"/>
            </w:tcBorders>
            <w:shd w:val="clear" w:color="auto" w:fill="auto"/>
            <w:noWrap/>
            <w:vAlign w:val="center"/>
          </w:tcPr>
          <w:p w14:paraId="42E00F4B">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1"/>
                <w:szCs w:val="21"/>
                <w:u w:val="none"/>
                <w:lang w:val="en-US" w:eastAsia="zh-CN" w:bidi="ar"/>
              </w:rPr>
              <w:t>5</w:t>
            </w:r>
          </w:p>
        </w:tc>
        <w:tc>
          <w:tcPr>
            <w:tcW w:w="900" w:type="dxa"/>
            <w:vMerge w:val="restart"/>
            <w:tcBorders>
              <w:tl2br w:val="nil"/>
              <w:tr2bl w:val="nil"/>
            </w:tcBorders>
            <w:shd w:val="clear" w:color="auto" w:fill="auto"/>
            <w:noWrap/>
            <w:vAlign w:val="center"/>
          </w:tcPr>
          <w:p w14:paraId="41B88DCF">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1"/>
                <w:szCs w:val="21"/>
                <w:u w:val="none"/>
                <w:lang w:val="en-US" w:eastAsia="zh-CN" w:bidi="ar"/>
              </w:rPr>
              <w:t>四道河子</w:t>
            </w:r>
          </w:p>
        </w:tc>
        <w:tc>
          <w:tcPr>
            <w:tcW w:w="1008" w:type="dxa"/>
            <w:vMerge w:val="restart"/>
            <w:tcBorders>
              <w:tl2br w:val="nil"/>
              <w:tr2bl w:val="nil"/>
            </w:tcBorders>
            <w:shd w:val="clear" w:color="auto" w:fill="auto"/>
            <w:noWrap/>
            <w:vAlign w:val="center"/>
          </w:tcPr>
          <w:p w14:paraId="4F9B6A16">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1"/>
                <w:szCs w:val="21"/>
                <w:u w:val="none"/>
                <w:lang w:val="en-US" w:eastAsia="zh-CN" w:bidi="ar"/>
              </w:rPr>
              <w:t>430,1123</w:t>
            </w:r>
          </w:p>
        </w:tc>
        <w:tc>
          <w:tcPr>
            <w:tcW w:w="945" w:type="dxa"/>
            <w:tcBorders>
              <w:tl2br w:val="nil"/>
              <w:tr2bl w:val="nil"/>
            </w:tcBorders>
            <w:shd w:val="clear" w:color="auto" w:fill="auto"/>
            <w:noWrap/>
            <w:vAlign w:val="center"/>
          </w:tcPr>
          <w:p w14:paraId="6F7B5D5A">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1"/>
                <w:szCs w:val="21"/>
                <w:u w:val="none"/>
                <w:lang w:val="en-US" w:eastAsia="zh-CN" w:bidi="ar"/>
              </w:rPr>
              <w:t>1小时</w:t>
            </w:r>
          </w:p>
        </w:tc>
        <w:tc>
          <w:tcPr>
            <w:tcW w:w="1110" w:type="dxa"/>
            <w:tcBorders>
              <w:tl2br w:val="nil"/>
              <w:tr2bl w:val="nil"/>
            </w:tcBorders>
            <w:shd w:val="clear" w:color="auto" w:fill="auto"/>
            <w:noWrap/>
            <w:vAlign w:val="center"/>
          </w:tcPr>
          <w:p w14:paraId="6723F38A">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2"/>
                <w:szCs w:val="22"/>
                <w:u w:val="none"/>
                <w:lang w:val="en-US" w:eastAsia="zh-CN" w:bidi="ar"/>
              </w:rPr>
              <w:t>2.34E-03</w:t>
            </w:r>
          </w:p>
        </w:tc>
        <w:tc>
          <w:tcPr>
            <w:tcW w:w="1350" w:type="dxa"/>
            <w:tcBorders>
              <w:tl2br w:val="nil"/>
              <w:tr2bl w:val="nil"/>
            </w:tcBorders>
            <w:shd w:val="clear" w:color="auto" w:fill="auto"/>
            <w:noWrap/>
            <w:vAlign w:val="center"/>
          </w:tcPr>
          <w:p w14:paraId="584F114C">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2"/>
                <w:szCs w:val="22"/>
                <w:u w:val="none"/>
                <w:lang w:val="en-US" w:eastAsia="zh-CN" w:bidi="ar"/>
              </w:rPr>
              <w:t>24060619</w:t>
            </w:r>
          </w:p>
        </w:tc>
        <w:tc>
          <w:tcPr>
            <w:tcW w:w="1140" w:type="dxa"/>
            <w:tcBorders>
              <w:tl2br w:val="nil"/>
              <w:tr2bl w:val="nil"/>
            </w:tcBorders>
            <w:shd w:val="clear" w:color="auto" w:fill="auto"/>
            <w:noWrap/>
            <w:vAlign w:val="center"/>
          </w:tcPr>
          <w:p w14:paraId="53CE96F6">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2"/>
                <w:szCs w:val="22"/>
                <w:u w:val="none"/>
                <w:lang w:val="en-US" w:eastAsia="zh-CN" w:bidi="ar"/>
              </w:rPr>
              <w:t>2.50E-01</w:t>
            </w:r>
          </w:p>
        </w:tc>
        <w:tc>
          <w:tcPr>
            <w:tcW w:w="825" w:type="dxa"/>
            <w:tcBorders>
              <w:tl2br w:val="nil"/>
              <w:tr2bl w:val="nil"/>
            </w:tcBorders>
            <w:shd w:val="clear" w:color="auto" w:fill="auto"/>
            <w:noWrap/>
            <w:vAlign w:val="center"/>
          </w:tcPr>
          <w:p w14:paraId="1B0E8FD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1"/>
                <w:szCs w:val="21"/>
                <w:u w:val="none"/>
                <w:lang w:val="en-US" w:eastAsia="zh-CN" w:bidi="ar"/>
              </w:rPr>
              <w:t>0.94</w:t>
            </w:r>
          </w:p>
        </w:tc>
        <w:tc>
          <w:tcPr>
            <w:tcW w:w="859" w:type="dxa"/>
            <w:tcBorders>
              <w:tl2br w:val="nil"/>
              <w:tr2bl w:val="nil"/>
            </w:tcBorders>
            <w:shd w:val="clear" w:color="auto" w:fill="auto"/>
            <w:noWrap/>
            <w:vAlign w:val="center"/>
          </w:tcPr>
          <w:p w14:paraId="4B8C4C3F">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1"/>
                <w:szCs w:val="21"/>
                <w:u w:val="none"/>
                <w:lang w:val="en-US" w:eastAsia="zh-CN" w:bidi="ar"/>
              </w:rPr>
              <w:t>达标</w:t>
            </w:r>
          </w:p>
        </w:tc>
      </w:tr>
      <w:tr w14:paraId="010A798D">
        <w:tblPrEx>
          <w:tblBorders>
            <w:top w:val="thinThickSmallGap" w:color="000000" w:sz="12" w:space="0"/>
            <w:left w:val="none" w:color="auto" w:sz="0" w:space="0"/>
            <w:bottom w:val="thinThickSmallGap"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00" w:hRule="atLeast"/>
          <w:jc w:val="center"/>
        </w:trPr>
        <w:tc>
          <w:tcPr>
            <w:tcW w:w="510" w:type="dxa"/>
            <w:vMerge w:val="continue"/>
            <w:tcBorders>
              <w:tl2br w:val="nil"/>
              <w:tr2bl w:val="nil"/>
            </w:tcBorders>
            <w:shd w:val="clear" w:color="auto" w:fill="auto"/>
            <w:noWrap/>
            <w:vAlign w:val="center"/>
          </w:tcPr>
          <w:p w14:paraId="4289ACA5">
            <w:pPr>
              <w:keepNext w:val="0"/>
              <w:keepLines w:val="0"/>
              <w:pageBreakBefore w:val="0"/>
              <w:widowControl/>
              <w:kinsoku/>
              <w:wordWrap/>
              <w:overflowPunct/>
              <w:topLinePunct w:val="0"/>
              <w:autoSpaceDE/>
              <w:autoSpaceDN/>
              <w:bidi w:val="0"/>
              <w:adjustRightInd w:val="0"/>
              <w:snapToGrid w:val="0"/>
              <w:spacing w:line="240" w:lineRule="auto"/>
              <w:jc w:val="center"/>
              <w:rPr>
                <w:rFonts w:hint="default" w:ascii="Times New Roman" w:hAnsi="Times New Roman" w:eastAsia="宋体" w:cs="Times New Roman"/>
                <w:i w:val="0"/>
                <w:iCs w:val="0"/>
                <w:color w:val="0000FF"/>
                <w:sz w:val="21"/>
                <w:szCs w:val="21"/>
                <w:u w:val="none"/>
              </w:rPr>
            </w:pPr>
          </w:p>
        </w:tc>
        <w:tc>
          <w:tcPr>
            <w:tcW w:w="900" w:type="dxa"/>
            <w:vMerge w:val="continue"/>
            <w:tcBorders>
              <w:tl2br w:val="nil"/>
              <w:tr2bl w:val="nil"/>
            </w:tcBorders>
            <w:shd w:val="clear" w:color="auto" w:fill="auto"/>
            <w:noWrap/>
            <w:vAlign w:val="center"/>
          </w:tcPr>
          <w:p w14:paraId="4063025B">
            <w:pPr>
              <w:keepNext w:val="0"/>
              <w:keepLines w:val="0"/>
              <w:pageBreakBefore w:val="0"/>
              <w:widowControl/>
              <w:kinsoku/>
              <w:wordWrap/>
              <w:overflowPunct/>
              <w:topLinePunct w:val="0"/>
              <w:autoSpaceDE/>
              <w:autoSpaceDN/>
              <w:bidi w:val="0"/>
              <w:adjustRightInd w:val="0"/>
              <w:snapToGrid w:val="0"/>
              <w:spacing w:line="240" w:lineRule="auto"/>
              <w:jc w:val="center"/>
              <w:rPr>
                <w:rFonts w:hint="default" w:ascii="Times New Roman" w:hAnsi="Times New Roman" w:eastAsia="宋体" w:cs="Times New Roman"/>
                <w:i w:val="0"/>
                <w:iCs w:val="0"/>
                <w:color w:val="0000FF"/>
                <w:sz w:val="21"/>
                <w:szCs w:val="21"/>
                <w:u w:val="none"/>
              </w:rPr>
            </w:pPr>
          </w:p>
        </w:tc>
        <w:tc>
          <w:tcPr>
            <w:tcW w:w="1008" w:type="dxa"/>
            <w:vMerge w:val="continue"/>
            <w:tcBorders>
              <w:tl2br w:val="nil"/>
              <w:tr2bl w:val="nil"/>
            </w:tcBorders>
            <w:shd w:val="clear" w:color="auto" w:fill="auto"/>
            <w:noWrap/>
            <w:vAlign w:val="center"/>
          </w:tcPr>
          <w:p w14:paraId="0F801F3D">
            <w:pPr>
              <w:keepNext w:val="0"/>
              <w:keepLines w:val="0"/>
              <w:pageBreakBefore w:val="0"/>
              <w:widowControl/>
              <w:kinsoku/>
              <w:wordWrap/>
              <w:overflowPunct/>
              <w:topLinePunct w:val="0"/>
              <w:autoSpaceDE/>
              <w:autoSpaceDN/>
              <w:bidi w:val="0"/>
              <w:adjustRightInd w:val="0"/>
              <w:snapToGrid w:val="0"/>
              <w:spacing w:line="240" w:lineRule="auto"/>
              <w:jc w:val="center"/>
              <w:rPr>
                <w:rFonts w:hint="default" w:ascii="Times New Roman" w:hAnsi="Times New Roman" w:eastAsia="宋体" w:cs="Times New Roman"/>
                <w:i w:val="0"/>
                <w:iCs w:val="0"/>
                <w:color w:val="0000FF"/>
                <w:sz w:val="21"/>
                <w:szCs w:val="21"/>
                <w:u w:val="none"/>
              </w:rPr>
            </w:pPr>
          </w:p>
        </w:tc>
        <w:tc>
          <w:tcPr>
            <w:tcW w:w="945" w:type="dxa"/>
            <w:tcBorders>
              <w:tl2br w:val="nil"/>
              <w:tr2bl w:val="nil"/>
            </w:tcBorders>
            <w:shd w:val="clear" w:color="auto" w:fill="auto"/>
            <w:noWrap/>
            <w:vAlign w:val="center"/>
          </w:tcPr>
          <w:p w14:paraId="02A53784">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1"/>
                <w:szCs w:val="21"/>
                <w:u w:val="none"/>
                <w:lang w:val="en-US" w:eastAsia="zh-CN" w:bidi="ar"/>
              </w:rPr>
              <w:t>日平均</w:t>
            </w:r>
          </w:p>
        </w:tc>
        <w:tc>
          <w:tcPr>
            <w:tcW w:w="1110" w:type="dxa"/>
            <w:tcBorders>
              <w:tl2br w:val="nil"/>
              <w:tr2bl w:val="nil"/>
            </w:tcBorders>
            <w:shd w:val="clear" w:color="auto" w:fill="auto"/>
            <w:noWrap/>
            <w:vAlign w:val="center"/>
          </w:tcPr>
          <w:p w14:paraId="24A138D9">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2"/>
                <w:szCs w:val="22"/>
                <w:u w:val="none"/>
                <w:lang w:val="en-US" w:eastAsia="zh-CN" w:bidi="ar"/>
              </w:rPr>
              <w:t>8.97E-04</w:t>
            </w:r>
          </w:p>
        </w:tc>
        <w:tc>
          <w:tcPr>
            <w:tcW w:w="1350" w:type="dxa"/>
            <w:tcBorders>
              <w:tl2br w:val="nil"/>
              <w:tr2bl w:val="nil"/>
            </w:tcBorders>
            <w:shd w:val="clear" w:color="auto" w:fill="auto"/>
            <w:noWrap/>
            <w:vAlign w:val="center"/>
          </w:tcPr>
          <w:p w14:paraId="234379A2">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2"/>
                <w:szCs w:val="22"/>
                <w:u w:val="none"/>
                <w:lang w:val="en-US" w:eastAsia="zh-CN" w:bidi="ar"/>
              </w:rPr>
              <w:t>240731</w:t>
            </w:r>
          </w:p>
        </w:tc>
        <w:tc>
          <w:tcPr>
            <w:tcW w:w="1140" w:type="dxa"/>
            <w:tcBorders>
              <w:tl2br w:val="nil"/>
              <w:tr2bl w:val="nil"/>
            </w:tcBorders>
            <w:shd w:val="clear" w:color="auto" w:fill="auto"/>
            <w:noWrap/>
            <w:vAlign w:val="center"/>
          </w:tcPr>
          <w:p w14:paraId="45163BBF">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2"/>
                <w:szCs w:val="22"/>
                <w:u w:val="none"/>
                <w:lang w:val="en-US" w:eastAsia="zh-CN" w:bidi="ar"/>
              </w:rPr>
              <w:t>1.00E-01</w:t>
            </w:r>
          </w:p>
        </w:tc>
        <w:tc>
          <w:tcPr>
            <w:tcW w:w="825" w:type="dxa"/>
            <w:tcBorders>
              <w:tl2br w:val="nil"/>
              <w:tr2bl w:val="nil"/>
            </w:tcBorders>
            <w:shd w:val="clear" w:color="auto" w:fill="auto"/>
            <w:noWrap/>
            <w:vAlign w:val="center"/>
          </w:tcPr>
          <w:p w14:paraId="1D0B5FC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1"/>
                <w:szCs w:val="21"/>
                <w:u w:val="none"/>
                <w:lang w:val="en-US" w:eastAsia="zh-CN" w:bidi="ar"/>
              </w:rPr>
              <w:t>0.90</w:t>
            </w:r>
          </w:p>
        </w:tc>
        <w:tc>
          <w:tcPr>
            <w:tcW w:w="859" w:type="dxa"/>
            <w:tcBorders>
              <w:tl2br w:val="nil"/>
              <w:tr2bl w:val="nil"/>
            </w:tcBorders>
            <w:shd w:val="clear" w:color="auto" w:fill="auto"/>
            <w:noWrap/>
            <w:vAlign w:val="center"/>
          </w:tcPr>
          <w:p w14:paraId="78231AD8">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1"/>
                <w:szCs w:val="21"/>
                <w:u w:val="none"/>
                <w:lang w:val="en-US" w:eastAsia="zh-CN" w:bidi="ar"/>
              </w:rPr>
              <w:t>达标</w:t>
            </w:r>
          </w:p>
        </w:tc>
      </w:tr>
      <w:tr w14:paraId="3A76ECC1">
        <w:tblPrEx>
          <w:tblBorders>
            <w:top w:val="thinThickSmallGap" w:color="000000" w:sz="12" w:space="0"/>
            <w:left w:val="none" w:color="auto" w:sz="0" w:space="0"/>
            <w:bottom w:val="thinThickSmallGap" w:color="000000" w:sz="12" w:space="0"/>
            <w:right w:val="none" w:color="auto" w:sz="0"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300" w:hRule="atLeast"/>
          <w:jc w:val="center"/>
        </w:trPr>
        <w:tc>
          <w:tcPr>
            <w:tcW w:w="510" w:type="dxa"/>
            <w:vMerge w:val="continue"/>
            <w:tcBorders>
              <w:tl2br w:val="nil"/>
              <w:tr2bl w:val="nil"/>
            </w:tcBorders>
            <w:shd w:val="clear" w:color="auto" w:fill="auto"/>
            <w:noWrap/>
            <w:vAlign w:val="center"/>
          </w:tcPr>
          <w:p w14:paraId="79D0650D">
            <w:pPr>
              <w:keepNext w:val="0"/>
              <w:keepLines w:val="0"/>
              <w:pageBreakBefore w:val="0"/>
              <w:widowControl/>
              <w:kinsoku/>
              <w:wordWrap/>
              <w:overflowPunct/>
              <w:topLinePunct w:val="0"/>
              <w:autoSpaceDE/>
              <w:autoSpaceDN/>
              <w:bidi w:val="0"/>
              <w:adjustRightInd w:val="0"/>
              <w:snapToGrid w:val="0"/>
              <w:spacing w:line="240" w:lineRule="auto"/>
              <w:jc w:val="center"/>
              <w:rPr>
                <w:rFonts w:hint="default" w:ascii="Times New Roman" w:hAnsi="Times New Roman" w:eastAsia="宋体" w:cs="Times New Roman"/>
                <w:i w:val="0"/>
                <w:iCs w:val="0"/>
                <w:color w:val="0000FF"/>
                <w:sz w:val="21"/>
                <w:szCs w:val="21"/>
                <w:u w:val="none"/>
              </w:rPr>
            </w:pPr>
          </w:p>
        </w:tc>
        <w:tc>
          <w:tcPr>
            <w:tcW w:w="900" w:type="dxa"/>
            <w:vMerge w:val="continue"/>
            <w:tcBorders>
              <w:tl2br w:val="nil"/>
              <w:tr2bl w:val="nil"/>
            </w:tcBorders>
            <w:shd w:val="clear" w:color="auto" w:fill="auto"/>
            <w:noWrap/>
            <w:vAlign w:val="center"/>
          </w:tcPr>
          <w:p w14:paraId="34F7586B">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sz w:val="21"/>
                <w:szCs w:val="21"/>
                <w:u w:val="none"/>
              </w:rPr>
            </w:pPr>
          </w:p>
        </w:tc>
        <w:tc>
          <w:tcPr>
            <w:tcW w:w="1008" w:type="dxa"/>
            <w:vMerge w:val="continue"/>
            <w:tcBorders>
              <w:tl2br w:val="nil"/>
              <w:tr2bl w:val="nil"/>
            </w:tcBorders>
            <w:shd w:val="clear" w:color="auto" w:fill="auto"/>
            <w:noWrap/>
            <w:vAlign w:val="center"/>
          </w:tcPr>
          <w:p w14:paraId="5039600F">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sz w:val="21"/>
                <w:szCs w:val="21"/>
                <w:u w:val="none"/>
              </w:rPr>
            </w:pPr>
          </w:p>
        </w:tc>
        <w:tc>
          <w:tcPr>
            <w:tcW w:w="945" w:type="dxa"/>
            <w:tcBorders>
              <w:tl2br w:val="nil"/>
              <w:tr2bl w:val="nil"/>
            </w:tcBorders>
            <w:shd w:val="clear" w:color="auto" w:fill="auto"/>
            <w:noWrap/>
            <w:vAlign w:val="center"/>
          </w:tcPr>
          <w:p w14:paraId="08804B5E">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1"/>
                <w:szCs w:val="21"/>
                <w:u w:val="none"/>
                <w:lang w:val="en-US" w:eastAsia="zh-CN" w:bidi="ar"/>
              </w:rPr>
              <w:t>全时段</w:t>
            </w:r>
          </w:p>
        </w:tc>
        <w:tc>
          <w:tcPr>
            <w:tcW w:w="1110" w:type="dxa"/>
            <w:tcBorders>
              <w:tl2br w:val="nil"/>
              <w:tr2bl w:val="nil"/>
            </w:tcBorders>
            <w:shd w:val="clear" w:color="auto" w:fill="auto"/>
            <w:noWrap/>
            <w:vAlign w:val="center"/>
          </w:tcPr>
          <w:p w14:paraId="2DA6E1ED">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2"/>
                <w:szCs w:val="22"/>
                <w:u w:val="none"/>
                <w:lang w:val="en-US" w:eastAsia="zh-CN" w:bidi="ar"/>
              </w:rPr>
              <w:t>7.58E-05</w:t>
            </w:r>
          </w:p>
        </w:tc>
        <w:tc>
          <w:tcPr>
            <w:tcW w:w="1350" w:type="dxa"/>
            <w:tcBorders>
              <w:tl2br w:val="nil"/>
              <w:tr2bl w:val="nil"/>
            </w:tcBorders>
            <w:shd w:val="clear" w:color="auto" w:fill="auto"/>
            <w:noWrap/>
            <w:vAlign w:val="center"/>
          </w:tcPr>
          <w:p w14:paraId="1B8B6D37">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2"/>
                <w:szCs w:val="22"/>
                <w:u w:val="none"/>
                <w:lang w:val="en-US" w:eastAsia="zh-CN" w:bidi="ar"/>
              </w:rPr>
              <w:t>平均值</w:t>
            </w:r>
          </w:p>
        </w:tc>
        <w:tc>
          <w:tcPr>
            <w:tcW w:w="1140" w:type="dxa"/>
            <w:tcBorders>
              <w:tl2br w:val="nil"/>
              <w:tr2bl w:val="nil"/>
            </w:tcBorders>
            <w:shd w:val="clear" w:color="auto" w:fill="auto"/>
            <w:noWrap/>
            <w:vAlign w:val="center"/>
          </w:tcPr>
          <w:p w14:paraId="3D910087">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2"/>
                <w:szCs w:val="22"/>
                <w:u w:val="none"/>
                <w:lang w:val="en-US" w:eastAsia="zh-CN" w:bidi="ar"/>
              </w:rPr>
              <w:t>5.00E-02</w:t>
            </w:r>
          </w:p>
        </w:tc>
        <w:tc>
          <w:tcPr>
            <w:tcW w:w="825" w:type="dxa"/>
            <w:tcBorders>
              <w:tl2br w:val="nil"/>
              <w:tr2bl w:val="nil"/>
            </w:tcBorders>
            <w:shd w:val="clear" w:color="auto" w:fill="auto"/>
            <w:noWrap/>
            <w:vAlign w:val="center"/>
          </w:tcPr>
          <w:p w14:paraId="5CA768F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1"/>
                <w:szCs w:val="21"/>
                <w:u w:val="none"/>
                <w:lang w:val="en-US" w:eastAsia="zh-CN" w:bidi="ar"/>
              </w:rPr>
              <w:t>0.15</w:t>
            </w:r>
          </w:p>
        </w:tc>
        <w:tc>
          <w:tcPr>
            <w:tcW w:w="859" w:type="dxa"/>
            <w:tcBorders>
              <w:tl2br w:val="nil"/>
              <w:tr2bl w:val="nil"/>
            </w:tcBorders>
            <w:shd w:val="clear" w:color="auto" w:fill="auto"/>
            <w:noWrap/>
            <w:vAlign w:val="center"/>
          </w:tcPr>
          <w:p w14:paraId="1B8586D3">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1"/>
                <w:szCs w:val="21"/>
                <w:u w:val="none"/>
                <w:lang w:val="en-US" w:eastAsia="zh-CN" w:bidi="ar"/>
              </w:rPr>
              <w:t>达标</w:t>
            </w:r>
          </w:p>
        </w:tc>
      </w:tr>
      <w:tr w14:paraId="03E422C7">
        <w:tblPrEx>
          <w:tblBorders>
            <w:top w:val="thinThickSmallGap" w:color="000000" w:sz="12" w:space="0"/>
            <w:left w:val="none" w:color="auto" w:sz="0" w:space="0"/>
            <w:bottom w:val="thinThickSmallGap" w:color="000000" w:sz="12" w:space="0"/>
            <w:right w:val="none" w:color="auto" w:sz="0"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300" w:hRule="atLeast"/>
          <w:jc w:val="center"/>
        </w:trPr>
        <w:tc>
          <w:tcPr>
            <w:tcW w:w="510" w:type="dxa"/>
            <w:vMerge w:val="restart"/>
            <w:tcBorders>
              <w:tl2br w:val="nil"/>
              <w:tr2bl w:val="nil"/>
            </w:tcBorders>
            <w:shd w:val="clear" w:color="auto" w:fill="auto"/>
            <w:noWrap/>
            <w:vAlign w:val="center"/>
          </w:tcPr>
          <w:p w14:paraId="1C07FDA0">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1"/>
                <w:szCs w:val="21"/>
                <w:u w:val="none"/>
                <w:lang w:val="en-US" w:eastAsia="zh-CN" w:bidi="ar"/>
              </w:rPr>
              <w:t>6</w:t>
            </w:r>
          </w:p>
        </w:tc>
        <w:tc>
          <w:tcPr>
            <w:tcW w:w="900" w:type="dxa"/>
            <w:vMerge w:val="restart"/>
            <w:tcBorders>
              <w:tl2br w:val="nil"/>
              <w:tr2bl w:val="nil"/>
            </w:tcBorders>
            <w:shd w:val="clear" w:color="auto" w:fill="auto"/>
            <w:vAlign w:val="center"/>
          </w:tcPr>
          <w:p w14:paraId="6F7CF5D5">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1"/>
                <w:szCs w:val="21"/>
                <w:u w:val="none"/>
                <w:lang w:val="en-US" w:eastAsia="zh-CN" w:bidi="ar"/>
              </w:rPr>
              <w:t>五道沟</w:t>
            </w:r>
          </w:p>
        </w:tc>
        <w:tc>
          <w:tcPr>
            <w:tcW w:w="1008" w:type="dxa"/>
            <w:vMerge w:val="restart"/>
            <w:tcBorders>
              <w:tl2br w:val="nil"/>
              <w:tr2bl w:val="nil"/>
            </w:tcBorders>
            <w:shd w:val="clear" w:color="auto" w:fill="auto"/>
            <w:noWrap/>
            <w:vAlign w:val="center"/>
          </w:tcPr>
          <w:p w14:paraId="1062C92D">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1"/>
                <w:szCs w:val="21"/>
                <w:u w:val="none"/>
                <w:lang w:val="en-US" w:eastAsia="zh-CN" w:bidi="ar"/>
              </w:rPr>
              <w:t>815,1679</w:t>
            </w:r>
          </w:p>
        </w:tc>
        <w:tc>
          <w:tcPr>
            <w:tcW w:w="945" w:type="dxa"/>
            <w:tcBorders>
              <w:tl2br w:val="nil"/>
              <w:tr2bl w:val="nil"/>
            </w:tcBorders>
            <w:shd w:val="clear" w:color="auto" w:fill="auto"/>
            <w:noWrap/>
            <w:vAlign w:val="center"/>
          </w:tcPr>
          <w:p w14:paraId="7DC32364">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1"/>
                <w:szCs w:val="21"/>
                <w:u w:val="none"/>
                <w:lang w:val="en-US" w:eastAsia="zh-CN" w:bidi="ar"/>
              </w:rPr>
              <w:t>1小时</w:t>
            </w:r>
          </w:p>
        </w:tc>
        <w:tc>
          <w:tcPr>
            <w:tcW w:w="1110" w:type="dxa"/>
            <w:tcBorders>
              <w:tl2br w:val="nil"/>
              <w:tr2bl w:val="nil"/>
            </w:tcBorders>
            <w:shd w:val="clear" w:color="auto" w:fill="auto"/>
            <w:noWrap/>
            <w:vAlign w:val="center"/>
          </w:tcPr>
          <w:p w14:paraId="6FAB3540">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2"/>
                <w:szCs w:val="22"/>
                <w:u w:val="none"/>
                <w:lang w:val="en-US" w:eastAsia="zh-CN" w:bidi="ar"/>
              </w:rPr>
              <w:t>2.75E-03</w:t>
            </w:r>
          </w:p>
        </w:tc>
        <w:tc>
          <w:tcPr>
            <w:tcW w:w="1350" w:type="dxa"/>
            <w:tcBorders>
              <w:tl2br w:val="nil"/>
              <w:tr2bl w:val="nil"/>
            </w:tcBorders>
            <w:shd w:val="clear" w:color="auto" w:fill="auto"/>
            <w:noWrap/>
            <w:vAlign w:val="center"/>
          </w:tcPr>
          <w:p w14:paraId="5EA59131">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2"/>
                <w:szCs w:val="22"/>
                <w:u w:val="none"/>
                <w:lang w:val="en-US" w:eastAsia="zh-CN" w:bidi="ar"/>
              </w:rPr>
              <w:t>24011511</w:t>
            </w:r>
          </w:p>
        </w:tc>
        <w:tc>
          <w:tcPr>
            <w:tcW w:w="1140" w:type="dxa"/>
            <w:tcBorders>
              <w:tl2br w:val="nil"/>
              <w:tr2bl w:val="nil"/>
            </w:tcBorders>
            <w:shd w:val="clear" w:color="auto" w:fill="auto"/>
            <w:noWrap/>
            <w:vAlign w:val="center"/>
          </w:tcPr>
          <w:p w14:paraId="7B0E68F6">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2"/>
                <w:szCs w:val="22"/>
                <w:u w:val="none"/>
                <w:lang w:val="en-US" w:eastAsia="zh-CN" w:bidi="ar"/>
              </w:rPr>
              <w:t>2.50E-01</w:t>
            </w:r>
          </w:p>
        </w:tc>
        <w:tc>
          <w:tcPr>
            <w:tcW w:w="825" w:type="dxa"/>
            <w:tcBorders>
              <w:tl2br w:val="nil"/>
              <w:tr2bl w:val="nil"/>
            </w:tcBorders>
            <w:shd w:val="clear" w:color="auto" w:fill="auto"/>
            <w:noWrap/>
            <w:vAlign w:val="center"/>
          </w:tcPr>
          <w:p w14:paraId="6D178F7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1"/>
                <w:szCs w:val="21"/>
                <w:u w:val="none"/>
                <w:lang w:val="en-US" w:eastAsia="zh-CN" w:bidi="ar"/>
              </w:rPr>
              <w:t>1.10</w:t>
            </w:r>
          </w:p>
        </w:tc>
        <w:tc>
          <w:tcPr>
            <w:tcW w:w="859" w:type="dxa"/>
            <w:tcBorders>
              <w:tl2br w:val="nil"/>
              <w:tr2bl w:val="nil"/>
            </w:tcBorders>
            <w:shd w:val="clear" w:color="auto" w:fill="auto"/>
            <w:noWrap/>
            <w:vAlign w:val="center"/>
          </w:tcPr>
          <w:p w14:paraId="5DA3A940">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1"/>
                <w:szCs w:val="21"/>
                <w:u w:val="none"/>
                <w:lang w:val="en-US" w:eastAsia="zh-CN" w:bidi="ar"/>
              </w:rPr>
              <w:t>达标</w:t>
            </w:r>
          </w:p>
        </w:tc>
      </w:tr>
      <w:tr w14:paraId="775AD0F1">
        <w:tblPrEx>
          <w:tblBorders>
            <w:top w:val="thinThickSmallGap" w:color="000000" w:sz="12" w:space="0"/>
            <w:left w:val="none" w:color="auto" w:sz="0" w:space="0"/>
            <w:bottom w:val="thinThickSmallGap"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00" w:hRule="atLeast"/>
          <w:jc w:val="center"/>
        </w:trPr>
        <w:tc>
          <w:tcPr>
            <w:tcW w:w="510" w:type="dxa"/>
            <w:vMerge w:val="continue"/>
            <w:tcBorders>
              <w:tl2br w:val="nil"/>
              <w:tr2bl w:val="nil"/>
            </w:tcBorders>
            <w:shd w:val="clear" w:color="auto" w:fill="auto"/>
            <w:noWrap/>
            <w:vAlign w:val="center"/>
          </w:tcPr>
          <w:p w14:paraId="0D6FD908">
            <w:pPr>
              <w:keepNext w:val="0"/>
              <w:keepLines w:val="0"/>
              <w:pageBreakBefore w:val="0"/>
              <w:widowControl/>
              <w:kinsoku/>
              <w:wordWrap/>
              <w:overflowPunct/>
              <w:topLinePunct w:val="0"/>
              <w:autoSpaceDE/>
              <w:autoSpaceDN/>
              <w:bidi w:val="0"/>
              <w:adjustRightInd w:val="0"/>
              <w:snapToGrid w:val="0"/>
              <w:spacing w:line="240" w:lineRule="auto"/>
              <w:jc w:val="center"/>
              <w:rPr>
                <w:rFonts w:hint="default" w:ascii="Times New Roman" w:hAnsi="Times New Roman" w:eastAsia="宋体" w:cs="Times New Roman"/>
                <w:i w:val="0"/>
                <w:iCs w:val="0"/>
                <w:color w:val="0000FF"/>
                <w:sz w:val="21"/>
                <w:szCs w:val="21"/>
                <w:u w:val="none"/>
              </w:rPr>
            </w:pPr>
          </w:p>
        </w:tc>
        <w:tc>
          <w:tcPr>
            <w:tcW w:w="900" w:type="dxa"/>
            <w:vMerge w:val="continue"/>
            <w:tcBorders>
              <w:tl2br w:val="nil"/>
              <w:tr2bl w:val="nil"/>
            </w:tcBorders>
            <w:shd w:val="clear" w:color="auto" w:fill="auto"/>
            <w:vAlign w:val="center"/>
          </w:tcPr>
          <w:p w14:paraId="09B4AF53">
            <w:pPr>
              <w:keepNext w:val="0"/>
              <w:keepLines w:val="0"/>
              <w:pageBreakBefore w:val="0"/>
              <w:widowControl/>
              <w:kinsoku/>
              <w:wordWrap/>
              <w:overflowPunct/>
              <w:topLinePunct w:val="0"/>
              <w:autoSpaceDE/>
              <w:autoSpaceDN/>
              <w:bidi w:val="0"/>
              <w:adjustRightInd w:val="0"/>
              <w:snapToGrid w:val="0"/>
              <w:spacing w:line="240" w:lineRule="auto"/>
              <w:jc w:val="center"/>
              <w:rPr>
                <w:rFonts w:hint="default" w:ascii="Times New Roman" w:hAnsi="Times New Roman" w:eastAsia="宋体" w:cs="Times New Roman"/>
                <w:i w:val="0"/>
                <w:iCs w:val="0"/>
                <w:color w:val="0000FF"/>
                <w:sz w:val="21"/>
                <w:szCs w:val="21"/>
                <w:u w:val="none"/>
              </w:rPr>
            </w:pPr>
          </w:p>
        </w:tc>
        <w:tc>
          <w:tcPr>
            <w:tcW w:w="1008" w:type="dxa"/>
            <w:vMerge w:val="continue"/>
            <w:tcBorders>
              <w:tl2br w:val="nil"/>
              <w:tr2bl w:val="nil"/>
            </w:tcBorders>
            <w:shd w:val="clear" w:color="auto" w:fill="auto"/>
            <w:noWrap/>
            <w:vAlign w:val="center"/>
          </w:tcPr>
          <w:p w14:paraId="63395245">
            <w:pPr>
              <w:keepNext w:val="0"/>
              <w:keepLines w:val="0"/>
              <w:pageBreakBefore w:val="0"/>
              <w:widowControl/>
              <w:kinsoku/>
              <w:wordWrap/>
              <w:overflowPunct/>
              <w:topLinePunct w:val="0"/>
              <w:autoSpaceDE/>
              <w:autoSpaceDN/>
              <w:bidi w:val="0"/>
              <w:adjustRightInd w:val="0"/>
              <w:snapToGrid w:val="0"/>
              <w:spacing w:line="240" w:lineRule="auto"/>
              <w:jc w:val="center"/>
              <w:rPr>
                <w:rFonts w:hint="default" w:ascii="Times New Roman" w:hAnsi="Times New Roman" w:eastAsia="宋体" w:cs="Times New Roman"/>
                <w:i w:val="0"/>
                <w:iCs w:val="0"/>
                <w:color w:val="0000FF"/>
                <w:sz w:val="21"/>
                <w:szCs w:val="21"/>
                <w:u w:val="none"/>
              </w:rPr>
            </w:pPr>
          </w:p>
        </w:tc>
        <w:tc>
          <w:tcPr>
            <w:tcW w:w="945" w:type="dxa"/>
            <w:tcBorders>
              <w:tl2br w:val="nil"/>
              <w:tr2bl w:val="nil"/>
            </w:tcBorders>
            <w:shd w:val="clear" w:color="auto" w:fill="auto"/>
            <w:noWrap/>
            <w:vAlign w:val="center"/>
          </w:tcPr>
          <w:p w14:paraId="4E38E82A">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1"/>
                <w:szCs w:val="21"/>
                <w:u w:val="none"/>
                <w:lang w:val="en-US" w:eastAsia="zh-CN" w:bidi="ar"/>
              </w:rPr>
              <w:t>日平均</w:t>
            </w:r>
          </w:p>
        </w:tc>
        <w:tc>
          <w:tcPr>
            <w:tcW w:w="1110" w:type="dxa"/>
            <w:tcBorders>
              <w:tl2br w:val="nil"/>
              <w:tr2bl w:val="nil"/>
            </w:tcBorders>
            <w:shd w:val="clear" w:color="auto" w:fill="auto"/>
            <w:noWrap/>
            <w:vAlign w:val="center"/>
          </w:tcPr>
          <w:p w14:paraId="07246BE0">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2"/>
                <w:szCs w:val="22"/>
                <w:u w:val="none"/>
                <w:lang w:val="en-US" w:eastAsia="zh-CN" w:bidi="ar"/>
              </w:rPr>
              <w:t>4.27E-04</w:t>
            </w:r>
          </w:p>
        </w:tc>
        <w:tc>
          <w:tcPr>
            <w:tcW w:w="1350" w:type="dxa"/>
            <w:tcBorders>
              <w:tl2br w:val="nil"/>
              <w:tr2bl w:val="nil"/>
            </w:tcBorders>
            <w:shd w:val="clear" w:color="auto" w:fill="auto"/>
            <w:noWrap/>
            <w:vAlign w:val="center"/>
          </w:tcPr>
          <w:p w14:paraId="2C2E69A5">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2"/>
                <w:szCs w:val="22"/>
                <w:u w:val="none"/>
                <w:lang w:val="en-US" w:eastAsia="zh-CN" w:bidi="ar"/>
              </w:rPr>
              <w:t>240731</w:t>
            </w:r>
          </w:p>
        </w:tc>
        <w:tc>
          <w:tcPr>
            <w:tcW w:w="1140" w:type="dxa"/>
            <w:tcBorders>
              <w:tl2br w:val="nil"/>
              <w:tr2bl w:val="nil"/>
            </w:tcBorders>
            <w:shd w:val="clear" w:color="auto" w:fill="auto"/>
            <w:noWrap/>
            <w:vAlign w:val="center"/>
          </w:tcPr>
          <w:p w14:paraId="7CDA8DA3">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2"/>
                <w:szCs w:val="22"/>
                <w:u w:val="none"/>
                <w:lang w:val="en-US" w:eastAsia="zh-CN" w:bidi="ar"/>
              </w:rPr>
              <w:t>1.00E-01</w:t>
            </w:r>
          </w:p>
        </w:tc>
        <w:tc>
          <w:tcPr>
            <w:tcW w:w="825" w:type="dxa"/>
            <w:tcBorders>
              <w:tl2br w:val="nil"/>
              <w:tr2bl w:val="nil"/>
            </w:tcBorders>
            <w:shd w:val="clear" w:color="auto" w:fill="auto"/>
            <w:noWrap/>
            <w:vAlign w:val="center"/>
          </w:tcPr>
          <w:p w14:paraId="1975EB2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1"/>
                <w:szCs w:val="21"/>
                <w:u w:val="none"/>
                <w:lang w:val="en-US" w:eastAsia="zh-CN" w:bidi="ar"/>
              </w:rPr>
              <w:t>0.43</w:t>
            </w:r>
          </w:p>
        </w:tc>
        <w:tc>
          <w:tcPr>
            <w:tcW w:w="859" w:type="dxa"/>
            <w:tcBorders>
              <w:tl2br w:val="nil"/>
              <w:tr2bl w:val="nil"/>
            </w:tcBorders>
            <w:shd w:val="clear" w:color="auto" w:fill="auto"/>
            <w:noWrap/>
            <w:vAlign w:val="center"/>
          </w:tcPr>
          <w:p w14:paraId="7B5A8FE5">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1"/>
                <w:szCs w:val="21"/>
                <w:u w:val="none"/>
                <w:lang w:val="en-US" w:eastAsia="zh-CN" w:bidi="ar"/>
              </w:rPr>
              <w:t>达标</w:t>
            </w:r>
          </w:p>
        </w:tc>
      </w:tr>
      <w:tr w14:paraId="1891F41D">
        <w:tblPrEx>
          <w:tblBorders>
            <w:top w:val="thinThickSmallGap" w:color="000000" w:sz="12" w:space="0"/>
            <w:left w:val="none" w:color="auto" w:sz="0" w:space="0"/>
            <w:bottom w:val="thinThickSmallGap" w:color="000000" w:sz="12" w:space="0"/>
            <w:right w:val="none" w:color="auto" w:sz="0"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300" w:hRule="atLeast"/>
          <w:jc w:val="center"/>
        </w:trPr>
        <w:tc>
          <w:tcPr>
            <w:tcW w:w="510" w:type="dxa"/>
            <w:vMerge w:val="continue"/>
            <w:tcBorders>
              <w:tl2br w:val="nil"/>
              <w:tr2bl w:val="nil"/>
            </w:tcBorders>
            <w:shd w:val="clear" w:color="auto" w:fill="auto"/>
            <w:noWrap/>
            <w:vAlign w:val="center"/>
          </w:tcPr>
          <w:p w14:paraId="5E475106">
            <w:pPr>
              <w:keepNext w:val="0"/>
              <w:keepLines w:val="0"/>
              <w:pageBreakBefore w:val="0"/>
              <w:widowControl/>
              <w:kinsoku/>
              <w:wordWrap/>
              <w:overflowPunct/>
              <w:topLinePunct w:val="0"/>
              <w:autoSpaceDE/>
              <w:autoSpaceDN/>
              <w:bidi w:val="0"/>
              <w:adjustRightInd w:val="0"/>
              <w:snapToGrid w:val="0"/>
              <w:spacing w:line="240" w:lineRule="auto"/>
              <w:jc w:val="center"/>
              <w:rPr>
                <w:rFonts w:hint="default" w:ascii="Times New Roman" w:hAnsi="Times New Roman" w:eastAsia="宋体" w:cs="Times New Roman"/>
                <w:i w:val="0"/>
                <w:iCs w:val="0"/>
                <w:color w:val="0000FF"/>
                <w:sz w:val="21"/>
                <w:szCs w:val="21"/>
                <w:u w:val="none"/>
              </w:rPr>
            </w:pPr>
          </w:p>
        </w:tc>
        <w:tc>
          <w:tcPr>
            <w:tcW w:w="900" w:type="dxa"/>
            <w:vMerge w:val="continue"/>
            <w:tcBorders>
              <w:tl2br w:val="nil"/>
              <w:tr2bl w:val="nil"/>
            </w:tcBorders>
            <w:shd w:val="clear" w:color="auto" w:fill="auto"/>
            <w:vAlign w:val="center"/>
          </w:tcPr>
          <w:p w14:paraId="4A82BC7F">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sz w:val="21"/>
                <w:szCs w:val="21"/>
                <w:u w:val="none"/>
              </w:rPr>
            </w:pPr>
          </w:p>
        </w:tc>
        <w:tc>
          <w:tcPr>
            <w:tcW w:w="1008" w:type="dxa"/>
            <w:vMerge w:val="continue"/>
            <w:tcBorders>
              <w:tl2br w:val="nil"/>
              <w:tr2bl w:val="nil"/>
            </w:tcBorders>
            <w:shd w:val="clear" w:color="auto" w:fill="auto"/>
            <w:noWrap/>
            <w:vAlign w:val="center"/>
          </w:tcPr>
          <w:p w14:paraId="18EB2AF2">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sz w:val="21"/>
                <w:szCs w:val="21"/>
                <w:u w:val="none"/>
              </w:rPr>
            </w:pPr>
          </w:p>
        </w:tc>
        <w:tc>
          <w:tcPr>
            <w:tcW w:w="945" w:type="dxa"/>
            <w:tcBorders>
              <w:tl2br w:val="nil"/>
              <w:tr2bl w:val="nil"/>
            </w:tcBorders>
            <w:shd w:val="clear" w:color="auto" w:fill="auto"/>
            <w:noWrap/>
            <w:vAlign w:val="center"/>
          </w:tcPr>
          <w:p w14:paraId="77BCD3B8">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1"/>
                <w:szCs w:val="21"/>
                <w:u w:val="none"/>
                <w:lang w:val="en-US" w:eastAsia="zh-CN" w:bidi="ar"/>
              </w:rPr>
              <w:t>全时段</w:t>
            </w:r>
          </w:p>
        </w:tc>
        <w:tc>
          <w:tcPr>
            <w:tcW w:w="1110" w:type="dxa"/>
            <w:tcBorders>
              <w:tl2br w:val="nil"/>
              <w:tr2bl w:val="nil"/>
            </w:tcBorders>
            <w:shd w:val="clear" w:color="auto" w:fill="auto"/>
            <w:noWrap/>
            <w:vAlign w:val="center"/>
          </w:tcPr>
          <w:p w14:paraId="46A81614">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2"/>
                <w:szCs w:val="22"/>
                <w:u w:val="none"/>
                <w:lang w:val="en-US" w:eastAsia="zh-CN" w:bidi="ar"/>
              </w:rPr>
              <w:t>4.52E-05</w:t>
            </w:r>
          </w:p>
        </w:tc>
        <w:tc>
          <w:tcPr>
            <w:tcW w:w="1350" w:type="dxa"/>
            <w:tcBorders>
              <w:tl2br w:val="nil"/>
              <w:tr2bl w:val="nil"/>
            </w:tcBorders>
            <w:shd w:val="clear" w:color="auto" w:fill="auto"/>
            <w:noWrap/>
            <w:vAlign w:val="center"/>
          </w:tcPr>
          <w:p w14:paraId="400FAAC3">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2"/>
                <w:szCs w:val="22"/>
                <w:u w:val="none"/>
                <w:lang w:val="en-US" w:eastAsia="zh-CN" w:bidi="ar"/>
              </w:rPr>
              <w:t>平均值</w:t>
            </w:r>
          </w:p>
        </w:tc>
        <w:tc>
          <w:tcPr>
            <w:tcW w:w="1140" w:type="dxa"/>
            <w:tcBorders>
              <w:tl2br w:val="nil"/>
              <w:tr2bl w:val="nil"/>
            </w:tcBorders>
            <w:shd w:val="clear" w:color="auto" w:fill="auto"/>
            <w:noWrap/>
            <w:vAlign w:val="center"/>
          </w:tcPr>
          <w:p w14:paraId="2DAAD3D0">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2"/>
                <w:szCs w:val="22"/>
                <w:u w:val="none"/>
                <w:lang w:val="en-US" w:eastAsia="zh-CN" w:bidi="ar"/>
              </w:rPr>
              <w:t>5.00E-02</w:t>
            </w:r>
          </w:p>
        </w:tc>
        <w:tc>
          <w:tcPr>
            <w:tcW w:w="825" w:type="dxa"/>
            <w:tcBorders>
              <w:tl2br w:val="nil"/>
              <w:tr2bl w:val="nil"/>
            </w:tcBorders>
            <w:shd w:val="clear" w:color="auto" w:fill="auto"/>
            <w:noWrap/>
            <w:vAlign w:val="center"/>
          </w:tcPr>
          <w:p w14:paraId="10471AC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1"/>
                <w:szCs w:val="21"/>
                <w:u w:val="none"/>
                <w:lang w:val="en-US" w:eastAsia="zh-CN" w:bidi="ar"/>
              </w:rPr>
              <w:t>0.09</w:t>
            </w:r>
          </w:p>
        </w:tc>
        <w:tc>
          <w:tcPr>
            <w:tcW w:w="859" w:type="dxa"/>
            <w:tcBorders>
              <w:tl2br w:val="nil"/>
              <w:tr2bl w:val="nil"/>
            </w:tcBorders>
            <w:shd w:val="clear" w:color="auto" w:fill="auto"/>
            <w:noWrap/>
            <w:vAlign w:val="center"/>
          </w:tcPr>
          <w:p w14:paraId="5EFC3334">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1"/>
                <w:szCs w:val="21"/>
                <w:u w:val="none"/>
                <w:lang w:val="en-US" w:eastAsia="zh-CN" w:bidi="ar"/>
              </w:rPr>
              <w:t>达标</w:t>
            </w:r>
          </w:p>
        </w:tc>
      </w:tr>
      <w:tr w14:paraId="25791F80">
        <w:tblPrEx>
          <w:tblBorders>
            <w:top w:val="thinThickSmallGap" w:color="000000" w:sz="12" w:space="0"/>
            <w:left w:val="none" w:color="auto" w:sz="0" w:space="0"/>
            <w:bottom w:val="thinThickSmallGap"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00" w:hRule="atLeast"/>
          <w:jc w:val="center"/>
        </w:trPr>
        <w:tc>
          <w:tcPr>
            <w:tcW w:w="510" w:type="dxa"/>
            <w:vMerge w:val="restart"/>
            <w:tcBorders>
              <w:tl2br w:val="nil"/>
              <w:tr2bl w:val="nil"/>
            </w:tcBorders>
            <w:shd w:val="clear" w:color="auto" w:fill="auto"/>
            <w:noWrap/>
            <w:vAlign w:val="center"/>
          </w:tcPr>
          <w:p w14:paraId="1BC9C168">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1"/>
                <w:szCs w:val="21"/>
                <w:u w:val="none"/>
                <w:lang w:val="en-US" w:eastAsia="zh-CN" w:bidi="ar"/>
              </w:rPr>
              <w:t>7</w:t>
            </w:r>
          </w:p>
        </w:tc>
        <w:tc>
          <w:tcPr>
            <w:tcW w:w="900" w:type="dxa"/>
            <w:vMerge w:val="restart"/>
            <w:tcBorders>
              <w:tl2br w:val="nil"/>
              <w:tr2bl w:val="nil"/>
            </w:tcBorders>
            <w:shd w:val="clear" w:color="auto" w:fill="auto"/>
            <w:vAlign w:val="center"/>
          </w:tcPr>
          <w:p w14:paraId="20BB2B67">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1"/>
                <w:szCs w:val="21"/>
                <w:u w:val="none"/>
                <w:lang w:val="en-US" w:eastAsia="zh-CN" w:bidi="ar"/>
              </w:rPr>
              <w:t>杨家堡子</w:t>
            </w:r>
          </w:p>
        </w:tc>
        <w:tc>
          <w:tcPr>
            <w:tcW w:w="1008" w:type="dxa"/>
            <w:vMerge w:val="restart"/>
            <w:tcBorders>
              <w:tl2br w:val="nil"/>
              <w:tr2bl w:val="nil"/>
            </w:tcBorders>
            <w:shd w:val="clear" w:color="auto" w:fill="auto"/>
            <w:noWrap/>
            <w:vAlign w:val="center"/>
          </w:tcPr>
          <w:p w14:paraId="7CC2A372">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1"/>
                <w:szCs w:val="21"/>
                <w:u w:val="none"/>
                <w:lang w:val="en-US" w:eastAsia="zh-CN" w:bidi="ar"/>
              </w:rPr>
              <w:t>1113,1984</w:t>
            </w:r>
          </w:p>
        </w:tc>
        <w:tc>
          <w:tcPr>
            <w:tcW w:w="945" w:type="dxa"/>
            <w:tcBorders>
              <w:tl2br w:val="nil"/>
              <w:tr2bl w:val="nil"/>
            </w:tcBorders>
            <w:shd w:val="clear" w:color="auto" w:fill="auto"/>
            <w:noWrap/>
            <w:vAlign w:val="center"/>
          </w:tcPr>
          <w:p w14:paraId="2074A2B0">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default" w:ascii="Times New Roman" w:hAnsi="Times New Roman" w:eastAsia="宋体" w:cs="Times New Roman"/>
                <w:i w:val="0"/>
                <w:iCs w:val="0"/>
                <w:color w:val="0000FF"/>
                <w:kern w:val="0"/>
                <w:sz w:val="21"/>
                <w:szCs w:val="21"/>
                <w:u w:val="none"/>
                <w:lang w:val="en-US" w:eastAsia="zh-CN" w:bidi="ar"/>
              </w:rPr>
              <w:t>1小时</w:t>
            </w:r>
          </w:p>
        </w:tc>
        <w:tc>
          <w:tcPr>
            <w:tcW w:w="1110" w:type="dxa"/>
            <w:tcBorders>
              <w:tl2br w:val="nil"/>
              <w:tr2bl w:val="nil"/>
            </w:tcBorders>
            <w:shd w:val="clear" w:color="auto" w:fill="auto"/>
            <w:noWrap/>
            <w:vAlign w:val="center"/>
          </w:tcPr>
          <w:p w14:paraId="75AC7749">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default" w:ascii="Times New Roman" w:hAnsi="Times New Roman" w:eastAsia="宋体" w:cs="Times New Roman"/>
                <w:i w:val="0"/>
                <w:iCs w:val="0"/>
                <w:color w:val="0000FF"/>
                <w:kern w:val="0"/>
                <w:sz w:val="22"/>
                <w:szCs w:val="22"/>
                <w:u w:val="none"/>
                <w:lang w:val="en-US" w:eastAsia="zh-CN" w:bidi="ar"/>
              </w:rPr>
              <w:t>2.76E-03</w:t>
            </w:r>
          </w:p>
        </w:tc>
        <w:tc>
          <w:tcPr>
            <w:tcW w:w="1350" w:type="dxa"/>
            <w:tcBorders>
              <w:tl2br w:val="nil"/>
              <w:tr2bl w:val="nil"/>
            </w:tcBorders>
            <w:shd w:val="clear" w:color="auto" w:fill="auto"/>
            <w:noWrap/>
            <w:vAlign w:val="center"/>
          </w:tcPr>
          <w:p w14:paraId="5A463459">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default" w:ascii="Times New Roman" w:hAnsi="Times New Roman" w:eastAsia="宋体" w:cs="Times New Roman"/>
                <w:i w:val="0"/>
                <w:iCs w:val="0"/>
                <w:color w:val="0000FF"/>
                <w:kern w:val="0"/>
                <w:sz w:val="22"/>
                <w:szCs w:val="22"/>
                <w:u w:val="none"/>
                <w:lang w:val="en-US" w:eastAsia="zh-CN" w:bidi="ar"/>
              </w:rPr>
              <w:t>24011511</w:t>
            </w:r>
          </w:p>
        </w:tc>
        <w:tc>
          <w:tcPr>
            <w:tcW w:w="1140" w:type="dxa"/>
            <w:tcBorders>
              <w:tl2br w:val="nil"/>
              <w:tr2bl w:val="nil"/>
            </w:tcBorders>
            <w:shd w:val="clear" w:color="auto" w:fill="auto"/>
            <w:noWrap/>
            <w:vAlign w:val="center"/>
          </w:tcPr>
          <w:p w14:paraId="20D16BF4">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default" w:ascii="Times New Roman" w:hAnsi="Times New Roman" w:eastAsia="宋体" w:cs="Times New Roman"/>
                <w:i w:val="0"/>
                <w:iCs w:val="0"/>
                <w:color w:val="0000FF"/>
                <w:kern w:val="0"/>
                <w:sz w:val="22"/>
                <w:szCs w:val="22"/>
                <w:u w:val="none"/>
                <w:lang w:val="en-US" w:eastAsia="zh-CN" w:bidi="ar"/>
              </w:rPr>
              <w:t>2.50E-01</w:t>
            </w:r>
          </w:p>
        </w:tc>
        <w:tc>
          <w:tcPr>
            <w:tcW w:w="825" w:type="dxa"/>
            <w:tcBorders>
              <w:tl2br w:val="nil"/>
              <w:tr2bl w:val="nil"/>
            </w:tcBorders>
            <w:shd w:val="clear" w:color="auto" w:fill="auto"/>
            <w:noWrap/>
            <w:vAlign w:val="center"/>
          </w:tcPr>
          <w:p w14:paraId="36DD3BF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default" w:ascii="Times New Roman" w:hAnsi="Times New Roman" w:eastAsia="宋体" w:cs="Times New Roman"/>
                <w:i w:val="0"/>
                <w:iCs w:val="0"/>
                <w:color w:val="0000FF"/>
                <w:kern w:val="0"/>
                <w:sz w:val="21"/>
                <w:szCs w:val="21"/>
                <w:u w:val="none"/>
                <w:lang w:val="en-US" w:eastAsia="zh-CN" w:bidi="ar"/>
              </w:rPr>
              <w:t>1.10</w:t>
            </w:r>
          </w:p>
        </w:tc>
        <w:tc>
          <w:tcPr>
            <w:tcW w:w="859" w:type="dxa"/>
            <w:tcBorders>
              <w:tl2br w:val="nil"/>
              <w:tr2bl w:val="nil"/>
            </w:tcBorders>
            <w:shd w:val="clear" w:color="auto" w:fill="auto"/>
            <w:noWrap/>
            <w:vAlign w:val="center"/>
          </w:tcPr>
          <w:p w14:paraId="55D204C2">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default" w:ascii="Times New Roman" w:hAnsi="Times New Roman" w:eastAsia="宋体" w:cs="Times New Roman"/>
                <w:i w:val="0"/>
                <w:iCs w:val="0"/>
                <w:color w:val="0000FF"/>
                <w:kern w:val="0"/>
                <w:sz w:val="21"/>
                <w:szCs w:val="21"/>
                <w:u w:val="none"/>
                <w:lang w:val="en-US" w:eastAsia="zh-CN" w:bidi="ar"/>
              </w:rPr>
              <w:t>达标</w:t>
            </w:r>
          </w:p>
        </w:tc>
      </w:tr>
      <w:tr w14:paraId="3D002C7B">
        <w:tblPrEx>
          <w:tblBorders>
            <w:top w:val="thinThickSmallGap" w:color="000000" w:sz="12" w:space="0"/>
            <w:left w:val="none" w:color="auto" w:sz="0" w:space="0"/>
            <w:bottom w:val="thinThickSmallGap"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00" w:hRule="atLeast"/>
          <w:jc w:val="center"/>
        </w:trPr>
        <w:tc>
          <w:tcPr>
            <w:tcW w:w="510" w:type="dxa"/>
            <w:vMerge w:val="continue"/>
            <w:tcBorders>
              <w:tl2br w:val="nil"/>
              <w:tr2bl w:val="nil"/>
            </w:tcBorders>
            <w:shd w:val="clear" w:color="auto" w:fill="auto"/>
            <w:noWrap/>
            <w:vAlign w:val="center"/>
          </w:tcPr>
          <w:p w14:paraId="33EA8622">
            <w:pPr>
              <w:keepNext w:val="0"/>
              <w:keepLines w:val="0"/>
              <w:pageBreakBefore w:val="0"/>
              <w:widowControl/>
              <w:kinsoku/>
              <w:wordWrap/>
              <w:overflowPunct/>
              <w:topLinePunct w:val="0"/>
              <w:autoSpaceDE/>
              <w:autoSpaceDN/>
              <w:bidi w:val="0"/>
              <w:adjustRightInd w:val="0"/>
              <w:snapToGrid w:val="0"/>
              <w:spacing w:line="240" w:lineRule="auto"/>
              <w:jc w:val="center"/>
              <w:rPr>
                <w:rFonts w:hint="default" w:ascii="Times New Roman" w:hAnsi="Times New Roman" w:eastAsia="宋体" w:cs="Times New Roman"/>
                <w:i w:val="0"/>
                <w:iCs w:val="0"/>
                <w:color w:val="0000FF"/>
                <w:sz w:val="21"/>
                <w:szCs w:val="21"/>
                <w:u w:val="none"/>
              </w:rPr>
            </w:pPr>
          </w:p>
        </w:tc>
        <w:tc>
          <w:tcPr>
            <w:tcW w:w="900" w:type="dxa"/>
            <w:vMerge w:val="continue"/>
            <w:tcBorders>
              <w:tl2br w:val="nil"/>
              <w:tr2bl w:val="nil"/>
            </w:tcBorders>
            <w:shd w:val="clear" w:color="auto" w:fill="auto"/>
            <w:vAlign w:val="center"/>
          </w:tcPr>
          <w:p w14:paraId="2A79712F">
            <w:pPr>
              <w:keepNext w:val="0"/>
              <w:keepLines w:val="0"/>
              <w:pageBreakBefore w:val="0"/>
              <w:widowControl/>
              <w:kinsoku/>
              <w:wordWrap/>
              <w:overflowPunct/>
              <w:topLinePunct w:val="0"/>
              <w:autoSpaceDE/>
              <w:autoSpaceDN/>
              <w:bidi w:val="0"/>
              <w:adjustRightInd w:val="0"/>
              <w:snapToGrid w:val="0"/>
              <w:spacing w:line="240" w:lineRule="auto"/>
              <w:jc w:val="center"/>
              <w:rPr>
                <w:rFonts w:hint="default" w:ascii="Times New Roman" w:hAnsi="Times New Roman" w:eastAsia="宋体" w:cs="Times New Roman"/>
                <w:i w:val="0"/>
                <w:iCs w:val="0"/>
                <w:color w:val="0000FF"/>
                <w:sz w:val="21"/>
                <w:szCs w:val="21"/>
                <w:u w:val="none"/>
              </w:rPr>
            </w:pPr>
          </w:p>
        </w:tc>
        <w:tc>
          <w:tcPr>
            <w:tcW w:w="1008" w:type="dxa"/>
            <w:vMerge w:val="continue"/>
            <w:tcBorders>
              <w:tl2br w:val="nil"/>
              <w:tr2bl w:val="nil"/>
            </w:tcBorders>
            <w:shd w:val="clear" w:color="auto" w:fill="auto"/>
            <w:noWrap/>
            <w:vAlign w:val="center"/>
          </w:tcPr>
          <w:p w14:paraId="7789319C">
            <w:pPr>
              <w:keepNext w:val="0"/>
              <w:keepLines w:val="0"/>
              <w:pageBreakBefore w:val="0"/>
              <w:widowControl/>
              <w:kinsoku/>
              <w:wordWrap/>
              <w:overflowPunct/>
              <w:topLinePunct w:val="0"/>
              <w:autoSpaceDE/>
              <w:autoSpaceDN/>
              <w:bidi w:val="0"/>
              <w:adjustRightInd w:val="0"/>
              <w:snapToGrid w:val="0"/>
              <w:spacing w:line="240" w:lineRule="auto"/>
              <w:jc w:val="center"/>
              <w:rPr>
                <w:rFonts w:hint="default" w:ascii="Times New Roman" w:hAnsi="Times New Roman" w:eastAsia="宋体" w:cs="Times New Roman"/>
                <w:i w:val="0"/>
                <w:iCs w:val="0"/>
                <w:color w:val="0000FF"/>
                <w:sz w:val="21"/>
                <w:szCs w:val="21"/>
                <w:u w:val="none"/>
              </w:rPr>
            </w:pPr>
          </w:p>
        </w:tc>
        <w:tc>
          <w:tcPr>
            <w:tcW w:w="945" w:type="dxa"/>
            <w:tcBorders>
              <w:tl2br w:val="nil"/>
              <w:tr2bl w:val="nil"/>
            </w:tcBorders>
            <w:shd w:val="clear" w:color="auto" w:fill="auto"/>
            <w:noWrap/>
            <w:vAlign w:val="center"/>
          </w:tcPr>
          <w:p w14:paraId="7E18DD82">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default" w:ascii="Times New Roman" w:hAnsi="Times New Roman" w:eastAsia="宋体" w:cs="Times New Roman"/>
                <w:i w:val="0"/>
                <w:iCs w:val="0"/>
                <w:color w:val="0000FF"/>
                <w:kern w:val="0"/>
                <w:sz w:val="21"/>
                <w:szCs w:val="21"/>
                <w:u w:val="none"/>
                <w:lang w:val="en-US" w:eastAsia="zh-CN" w:bidi="ar"/>
              </w:rPr>
              <w:t>日平均</w:t>
            </w:r>
          </w:p>
        </w:tc>
        <w:tc>
          <w:tcPr>
            <w:tcW w:w="1110" w:type="dxa"/>
            <w:tcBorders>
              <w:tl2br w:val="nil"/>
              <w:tr2bl w:val="nil"/>
            </w:tcBorders>
            <w:shd w:val="clear" w:color="auto" w:fill="auto"/>
            <w:noWrap/>
            <w:vAlign w:val="center"/>
          </w:tcPr>
          <w:p w14:paraId="68A70389">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default" w:ascii="Times New Roman" w:hAnsi="Times New Roman" w:eastAsia="宋体" w:cs="Times New Roman"/>
                <w:i w:val="0"/>
                <w:iCs w:val="0"/>
                <w:color w:val="0000FF"/>
                <w:kern w:val="0"/>
                <w:sz w:val="22"/>
                <w:szCs w:val="22"/>
                <w:u w:val="none"/>
                <w:lang w:val="en-US" w:eastAsia="zh-CN" w:bidi="ar"/>
              </w:rPr>
              <w:t>2.52E-04</w:t>
            </w:r>
          </w:p>
        </w:tc>
        <w:tc>
          <w:tcPr>
            <w:tcW w:w="1350" w:type="dxa"/>
            <w:tcBorders>
              <w:tl2br w:val="nil"/>
              <w:tr2bl w:val="nil"/>
            </w:tcBorders>
            <w:shd w:val="clear" w:color="auto" w:fill="auto"/>
            <w:noWrap/>
            <w:vAlign w:val="center"/>
          </w:tcPr>
          <w:p w14:paraId="27C2B7C0">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default" w:ascii="Times New Roman" w:hAnsi="Times New Roman" w:eastAsia="宋体" w:cs="Times New Roman"/>
                <w:i w:val="0"/>
                <w:iCs w:val="0"/>
                <w:color w:val="0000FF"/>
                <w:kern w:val="0"/>
                <w:sz w:val="22"/>
                <w:szCs w:val="22"/>
                <w:u w:val="none"/>
                <w:lang w:val="en-US" w:eastAsia="zh-CN" w:bidi="ar"/>
              </w:rPr>
              <w:t>240731</w:t>
            </w:r>
          </w:p>
        </w:tc>
        <w:tc>
          <w:tcPr>
            <w:tcW w:w="1140" w:type="dxa"/>
            <w:tcBorders>
              <w:tl2br w:val="nil"/>
              <w:tr2bl w:val="nil"/>
            </w:tcBorders>
            <w:shd w:val="clear" w:color="auto" w:fill="auto"/>
            <w:noWrap/>
            <w:vAlign w:val="center"/>
          </w:tcPr>
          <w:p w14:paraId="162CB496">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default" w:ascii="Times New Roman" w:hAnsi="Times New Roman" w:eastAsia="宋体" w:cs="Times New Roman"/>
                <w:i w:val="0"/>
                <w:iCs w:val="0"/>
                <w:color w:val="0000FF"/>
                <w:kern w:val="0"/>
                <w:sz w:val="22"/>
                <w:szCs w:val="22"/>
                <w:u w:val="none"/>
                <w:lang w:val="en-US" w:eastAsia="zh-CN" w:bidi="ar"/>
              </w:rPr>
              <w:t>1.00E-01</w:t>
            </w:r>
          </w:p>
        </w:tc>
        <w:tc>
          <w:tcPr>
            <w:tcW w:w="825" w:type="dxa"/>
            <w:tcBorders>
              <w:tl2br w:val="nil"/>
              <w:tr2bl w:val="nil"/>
            </w:tcBorders>
            <w:shd w:val="clear" w:color="auto" w:fill="auto"/>
            <w:noWrap/>
            <w:vAlign w:val="center"/>
          </w:tcPr>
          <w:p w14:paraId="31E17D2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default" w:ascii="Times New Roman" w:hAnsi="Times New Roman" w:eastAsia="宋体" w:cs="Times New Roman"/>
                <w:i w:val="0"/>
                <w:iCs w:val="0"/>
                <w:color w:val="0000FF"/>
                <w:kern w:val="0"/>
                <w:sz w:val="21"/>
                <w:szCs w:val="21"/>
                <w:u w:val="none"/>
                <w:lang w:val="en-US" w:eastAsia="zh-CN" w:bidi="ar"/>
              </w:rPr>
              <w:t>0.25</w:t>
            </w:r>
          </w:p>
        </w:tc>
        <w:tc>
          <w:tcPr>
            <w:tcW w:w="859" w:type="dxa"/>
            <w:tcBorders>
              <w:tl2br w:val="nil"/>
              <w:tr2bl w:val="nil"/>
            </w:tcBorders>
            <w:shd w:val="clear" w:color="auto" w:fill="auto"/>
            <w:noWrap/>
            <w:vAlign w:val="center"/>
          </w:tcPr>
          <w:p w14:paraId="1994C5B1">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default" w:ascii="Times New Roman" w:hAnsi="Times New Roman" w:eastAsia="宋体" w:cs="Times New Roman"/>
                <w:i w:val="0"/>
                <w:iCs w:val="0"/>
                <w:color w:val="0000FF"/>
                <w:kern w:val="0"/>
                <w:sz w:val="21"/>
                <w:szCs w:val="21"/>
                <w:u w:val="none"/>
                <w:lang w:val="en-US" w:eastAsia="zh-CN" w:bidi="ar"/>
              </w:rPr>
              <w:t>达标</w:t>
            </w:r>
          </w:p>
        </w:tc>
      </w:tr>
      <w:tr w14:paraId="6D59E0B8">
        <w:tblPrEx>
          <w:tblBorders>
            <w:top w:val="thinThickSmallGap" w:color="000000" w:sz="12" w:space="0"/>
            <w:left w:val="none" w:color="auto" w:sz="0" w:space="0"/>
            <w:bottom w:val="thinThickSmallGap"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00" w:hRule="atLeast"/>
          <w:jc w:val="center"/>
        </w:trPr>
        <w:tc>
          <w:tcPr>
            <w:tcW w:w="510" w:type="dxa"/>
            <w:vMerge w:val="continue"/>
            <w:tcBorders>
              <w:tl2br w:val="nil"/>
              <w:tr2bl w:val="nil"/>
            </w:tcBorders>
            <w:shd w:val="clear" w:color="auto" w:fill="auto"/>
            <w:noWrap/>
            <w:vAlign w:val="center"/>
          </w:tcPr>
          <w:p w14:paraId="3653CB7C">
            <w:pPr>
              <w:keepNext w:val="0"/>
              <w:keepLines w:val="0"/>
              <w:pageBreakBefore w:val="0"/>
              <w:widowControl/>
              <w:kinsoku/>
              <w:wordWrap/>
              <w:overflowPunct/>
              <w:topLinePunct w:val="0"/>
              <w:autoSpaceDE/>
              <w:autoSpaceDN/>
              <w:bidi w:val="0"/>
              <w:adjustRightInd w:val="0"/>
              <w:snapToGrid w:val="0"/>
              <w:spacing w:line="240" w:lineRule="auto"/>
              <w:jc w:val="center"/>
              <w:rPr>
                <w:rFonts w:hint="default" w:ascii="Times New Roman" w:hAnsi="Times New Roman" w:eastAsia="宋体" w:cs="Times New Roman"/>
                <w:i w:val="0"/>
                <w:iCs w:val="0"/>
                <w:color w:val="0000FF"/>
                <w:sz w:val="21"/>
                <w:szCs w:val="21"/>
                <w:u w:val="none"/>
              </w:rPr>
            </w:pPr>
          </w:p>
        </w:tc>
        <w:tc>
          <w:tcPr>
            <w:tcW w:w="900" w:type="dxa"/>
            <w:vMerge w:val="continue"/>
            <w:tcBorders>
              <w:tl2br w:val="nil"/>
              <w:tr2bl w:val="nil"/>
            </w:tcBorders>
            <w:shd w:val="clear" w:color="auto" w:fill="auto"/>
            <w:vAlign w:val="center"/>
          </w:tcPr>
          <w:p w14:paraId="000BE8E4">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sz w:val="21"/>
                <w:szCs w:val="21"/>
                <w:u w:val="none"/>
              </w:rPr>
            </w:pPr>
          </w:p>
        </w:tc>
        <w:tc>
          <w:tcPr>
            <w:tcW w:w="1008" w:type="dxa"/>
            <w:vMerge w:val="continue"/>
            <w:tcBorders>
              <w:tl2br w:val="nil"/>
              <w:tr2bl w:val="nil"/>
            </w:tcBorders>
            <w:shd w:val="clear" w:color="auto" w:fill="auto"/>
            <w:noWrap/>
            <w:vAlign w:val="center"/>
          </w:tcPr>
          <w:p w14:paraId="6EABCBFF">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sz w:val="21"/>
                <w:szCs w:val="21"/>
                <w:u w:val="none"/>
              </w:rPr>
            </w:pPr>
          </w:p>
        </w:tc>
        <w:tc>
          <w:tcPr>
            <w:tcW w:w="945" w:type="dxa"/>
            <w:tcBorders>
              <w:tl2br w:val="nil"/>
              <w:tr2bl w:val="nil"/>
            </w:tcBorders>
            <w:shd w:val="clear" w:color="auto" w:fill="auto"/>
            <w:noWrap/>
            <w:vAlign w:val="center"/>
          </w:tcPr>
          <w:p w14:paraId="749B4E6F">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default" w:ascii="Times New Roman" w:hAnsi="Times New Roman" w:eastAsia="宋体" w:cs="Times New Roman"/>
                <w:i w:val="0"/>
                <w:iCs w:val="0"/>
                <w:color w:val="0000FF"/>
                <w:kern w:val="0"/>
                <w:sz w:val="21"/>
                <w:szCs w:val="21"/>
                <w:u w:val="none"/>
                <w:lang w:val="en-US" w:eastAsia="zh-CN" w:bidi="ar"/>
              </w:rPr>
              <w:t>全时段</w:t>
            </w:r>
          </w:p>
        </w:tc>
        <w:tc>
          <w:tcPr>
            <w:tcW w:w="1110" w:type="dxa"/>
            <w:tcBorders>
              <w:tl2br w:val="nil"/>
              <w:tr2bl w:val="nil"/>
            </w:tcBorders>
            <w:shd w:val="clear" w:color="auto" w:fill="auto"/>
            <w:noWrap/>
            <w:vAlign w:val="center"/>
          </w:tcPr>
          <w:p w14:paraId="4A2FF9DA">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default" w:ascii="Times New Roman" w:hAnsi="Times New Roman" w:eastAsia="宋体" w:cs="Times New Roman"/>
                <w:i w:val="0"/>
                <w:iCs w:val="0"/>
                <w:color w:val="0000FF"/>
                <w:kern w:val="0"/>
                <w:sz w:val="22"/>
                <w:szCs w:val="22"/>
                <w:u w:val="none"/>
                <w:lang w:val="en-US" w:eastAsia="zh-CN" w:bidi="ar"/>
              </w:rPr>
              <w:t>3.52E-05</w:t>
            </w:r>
          </w:p>
        </w:tc>
        <w:tc>
          <w:tcPr>
            <w:tcW w:w="1350" w:type="dxa"/>
            <w:tcBorders>
              <w:tl2br w:val="nil"/>
              <w:tr2bl w:val="nil"/>
            </w:tcBorders>
            <w:shd w:val="clear" w:color="auto" w:fill="auto"/>
            <w:noWrap/>
            <w:vAlign w:val="center"/>
          </w:tcPr>
          <w:p w14:paraId="134EC313">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default" w:ascii="Times New Roman" w:hAnsi="Times New Roman" w:eastAsia="宋体" w:cs="Times New Roman"/>
                <w:i w:val="0"/>
                <w:iCs w:val="0"/>
                <w:color w:val="0000FF"/>
                <w:kern w:val="0"/>
                <w:sz w:val="22"/>
                <w:szCs w:val="22"/>
                <w:u w:val="none"/>
                <w:lang w:val="en-US" w:eastAsia="zh-CN" w:bidi="ar"/>
              </w:rPr>
              <w:t>平均值</w:t>
            </w:r>
          </w:p>
        </w:tc>
        <w:tc>
          <w:tcPr>
            <w:tcW w:w="1140" w:type="dxa"/>
            <w:tcBorders>
              <w:tl2br w:val="nil"/>
              <w:tr2bl w:val="nil"/>
            </w:tcBorders>
            <w:shd w:val="clear" w:color="auto" w:fill="auto"/>
            <w:noWrap/>
            <w:vAlign w:val="center"/>
          </w:tcPr>
          <w:p w14:paraId="3CE3F402">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default" w:ascii="Times New Roman" w:hAnsi="Times New Roman" w:eastAsia="宋体" w:cs="Times New Roman"/>
                <w:i w:val="0"/>
                <w:iCs w:val="0"/>
                <w:color w:val="0000FF"/>
                <w:kern w:val="0"/>
                <w:sz w:val="22"/>
                <w:szCs w:val="22"/>
                <w:u w:val="none"/>
                <w:lang w:val="en-US" w:eastAsia="zh-CN" w:bidi="ar"/>
              </w:rPr>
              <w:t>5.00E-02</w:t>
            </w:r>
          </w:p>
        </w:tc>
        <w:tc>
          <w:tcPr>
            <w:tcW w:w="825" w:type="dxa"/>
            <w:tcBorders>
              <w:tl2br w:val="nil"/>
              <w:tr2bl w:val="nil"/>
            </w:tcBorders>
            <w:shd w:val="clear" w:color="auto" w:fill="auto"/>
            <w:noWrap/>
            <w:vAlign w:val="center"/>
          </w:tcPr>
          <w:p w14:paraId="21CF1FA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default" w:ascii="Times New Roman" w:hAnsi="Times New Roman" w:eastAsia="宋体" w:cs="Times New Roman"/>
                <w:i w:val="0"/>
                <w:iCs w:val="0"/>
                <w:color w:val="0000FF"/>
                <w:kern w:val="0"/>
                <w:sz w:val="21"/>
                <w:szCs w:val="21"/>
                <w:u w:val="none"/>
                <w:lang w:val="en-US" w:eastAsia="zh-CN" w:bidi="ar"/>
              </w:rPr>
              <w:t>0.07</w:t>
            </w:r>
          </w:p>
        </w:tc>
        <w:tc>
          <w:tcPr>
            <w:tcW w:w="859" w:type="dxa"/>
            <w:tcBorders>
              <w:tl2br w:val="nil"/>
              <w:tr2bl w:val="nil"/>
            </w:tcBorders>
            <w:shd w:val="clear" w:color="auto" w:fill="auto"/>
            <w:noWrap/>
            <w:vAlign w:val="center"/>
          </w:tcPr>
          <w:p w14:paraId="6553EB03">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default" w:ascii="Times New Roman" w:hAnsi="Times New Roman" w:eastAsia="宋体" w:cs="Times New Roman"/>
                <w:i w:val="0"/>
                <w:iCs w:val="0"/>
                <w:color w:val="0000FF"/>
                <w:kern w:val="0"/>
                <w:sz w:val="21"/>
                <w:szCs w:val="21"/>
                <w:u w:val="none"/>
                <w:lang w:val="en-US" w:eastAsia="zh-CN" w:bidi="ar"/>
              </w:rPr>
              <w:t>达标</w:t>
            </w:r>
          </w:p>
        </w:tc>
      </w:tr>
      <w:tr w14:paraId="094C44CE">
        <w:tblPrEx>
          <w:tblBorders>
            <w:top w:val="thinThickSmallGap" w:color="000000" w:sz="12" w:space="0"/>
            <w:left w:val="none" w:color="auto" w:sz="0" w:space="0"/>
            <w:bottom w:val="thinThickSmallGap" w:color="000000" w:sz="12" w:space="0"/>
            <w:right w:val="none" w:color="auto" w:sz="0"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300" w:hRule="atLeast"/>
          <w:jc w:val="center"/>
        </w:trPr>
        <w:tc>
          <w:tcPr>
            <w:tcW w:w="510" w:type="dxa"/>
            <w:vMerge w:val="restart"/>
            <w:tcBorders>
              <w:tl2br w:val="nil"/>
              <w:tr2bl w:val="nil"/>
            </w:tcBorders>
            <w:shd w:val="clear" w:color="auto" w:fill="auto"/>
            <w:noWrap/>
            <w:vAlign w:val="center"/>
          </w:tcPr>
          <w:p w14:paraId="16307422">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1"/>
                <w:szCs w:val="21"/>
                <w:u w:val="none"/>
                <w:lang w:val="en-US" w:eastAsia="zh-CN" w:bidi="ar"/>
              </w:rPr>
              <w:t>8</w:t>
            </w:r>
          </w:p>
        </w:tc>
        <w:tc>
          <w:tcPr>
            <w:tcW w:w="900" w:type="dxa"/>
            <w:vMerge w:val="restart"/>
            <w:tcBorders>
              <w:tl2br w:val="nil"/>
              <w:tr2bl w:val="nil"/>
            </w:tcBorders>
            <w:shd w:val="clear" w:color="auto" w:fill="auto"/>
            <w:vAlign w:val="center"/>
          </w:tcPr>
          <w:p w14:paraId="65C3DA2D">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1"/>
                <w:szCs w:val="21"/>
                <w:u w:val="none"/>
                <w:lang w:val="en-US" w:eastAsia="zh-CN" w:bidi="ar"/>
              </w:rPr>
              <w:t>网格</w:t>
            </w:r>
          </w:p>
        </w:tc>
        <w:tc>
          <w:tcPr>
            <w:tcW w:w="1008" w:type="dxa"/>
            <w:tcBorders>
              <w:tl2br w:val="nil"/>
              <w:tr2bl w:val="nil"/>
            </w:tcBorders>
            <w:shd w:val="clear" w:color="auto" w:fill="auto"/>
            <w:noWrap/>
            <w:vAlign w:val="center"/>
          </w:tcPr>
          <w:p w14:paraId="38B10170">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1"/>
                <w:szCs w:val="21"/>
                <w:u w:val="none"/>
                <w:lang w:val="en-US" w:eastAsia="zh-CN" w:bidi="ar"/>
              </w:rPr>
              <w:t>28,931</w:t>
            </w:r>
          </w:p>
        </w:tc>
        <w:tc>
          <w:tcPr>
            <w:tcW w:w="945" w:type="dxa"/>
            <w:tcBorders>
              <w:tl2br w:val="nil"/>
              <w:tr2bl w:val="nil"/>
            </w:tcBorders>
            <w:shd w:val="clear" w:color="auto" w:fill="auto"/>
            <w:noWrap/>
            <w:vAlign w:val="center"/>
          </w:tcPr>
          <w:p w14:paraId="26B3F2F6">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default" w:ascii="Times New Roman" w:hAnsi="Times New Roman" w:eastAsia="宋体" w:cs="Times New Roman"/>
                <w:i w:val="0"/>
                <w:iCs w:val="0"/>
                <w:color w:val="0000FF"/>
                <w:kern w:val="0"/>
                <w:sz w:val="21"/>
                <w:szCs w:val="21"/>
                <w:u w:val="none"/>
                <w:lang w:val="en-US" w:eastAsia="zh-CN" w:bidi="ar"/>
              </w:rPr>
              <w:t>1小时</w:t>
            </w:r>
          </w:p>
        </w:tc>
        <w:tc>
          <w:tcPr>
            <w:tcW w:w="1110" w:type="dxa"/>
            <w:tcBorders>
              <w:tl2br w:val="nil"/>
              <w:tr2bl w:val="nil"/>
            </w:tcBorders>
            <w:shd w:val="clear" w:color="auto" w:fill="auto"/>
            <w:noWrap/>
            <w:vAlign w:val="center"/>
          </w:tcPr>
          <w:p w14:paraId="46622D3E">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default" w:ascii="Times New Roman" w:hAnsi="Times New Roman" w:eastAsia="宋体" w:cs="Times New Roman"/>
                <w:i w:val="0"/>
                <w:iCs w:val="0"/>
                <w:color w:val="0000FF"/>
                <w:kern w:val="0"/>
                <w:sz w:val="22"/>
                <w:szCs w:val="22"/>
                <w:u w:val="none"/>
                <w:lang w:val="en-US" w:eastAsia="zh-CN" w:bidi="ar"/>
              </w:rPr>
              <w:t>8.27E-02</w:t>
            </w:r>
          </w:p>
        </w:tc>
        <w:tc>
          <w:tcPr>
            <w:tcW w:w="1350" w:type="dxa"/>
            <w:tcBorders>
              <w:tl2br w:val="nil"/>
              <w:tr2bl w:val="nil"/>
            </w:tcBorders>
            <w:shd w:val="clear" w:color="auto" w:fill="auto"/>
            <w:noWrap/>
            <w:vAlign w:val="center"/>
          </w:tcPr>
          <w:p w14:paraId="33FA320B">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default" w:ascii="Times New Roman" w:hAnsi="Times New Roman" w:eastAsia="宋体" w:cs="Times New Roman"/>
                <w:i w:val="0"/>
                <w:iCs w:val="0"/>
                <w:color w:val="0000FF"/>
                <w:kern w:val="0"/>
                <w:sz w:val="22"/>
                <w:szCs w:val="22"/>
                <w:u w:val="none"/>
                <w:lang w:val="en-US" w:eastAsia="zh-CN" w:bidi="ar"/>
              </w:rPr>
              <w:t>24011202</w:t>
            </w:r>
          </w:p>
        </w:tc>
        <w:tc>
          <w:tcPr>
            <w:tcW w:w="1140" w:type="dxa"/>
            <w:tcBorders>
              <w:tl2br w:val="nil"/>
              <w:tr2bl w:val="nil"/>
            </w:tcBorders>
            <w:shd w:val="clear" w:color="auto" w:fill="auto"/>
            <w:noWrap/>
            <w:vAlign w:val="center"/>
          </w:tcPr>
          <w:p w14:paraId="6DD82F18">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default" w:ascii="Times New Roman" w:hAnsi="Times New Roman" w:eastAsia="宋体" w:cs="Times New Roman"/>
                <w:i w:val="0"/>
                <w:iCs w:val="0"/>
                <w:color w:val="0000FF"/>
                <w:kern w:val="0"/>
                <w:sz w:val="22"/>
                <w:szCs w:val="22"/>
                <w:u w:val="none"/>
                <w:lang w:val="en-US" w:eastAsia="zh-CN" w:bidi="ar"/>
              </w:rPr>
              <w:t>2.50E-01</w:t>
            </w:r>
          </w:p>
        </w:tc>
        <w:tc>
          <w:tcPr>
            <w:tcW w:w="825" w:type="dxa"/>
            <w:tcBorders>
              <w:tl2br w:val="nil"/>
              <w:tr2bl w:val="nil"/>
            </w:tcBorders>
            <w:shd w:val="clear" w:color="auto" w:fill="auto"/>
            <w:noWrap/>
            <w:vAlign w:val="center"/>
          </w:tcPr>
          <w:p w14:paraId="03F7232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default" w:ascii="Times New Roman" w:hAnsi="Times New Roman" w:eastAsia="宋体" w:cs="Times New Roman"/>
                <w:i w:val="0"/>
                <w:iCs w:val="0"/>
                <w:color w:val="0000FF"/>
                <w:kern w:val="0"/>
                <w:sz w:val="21"/>
                <w:szCs w:val="21"/>
                <w:u w:val="none"/>
                <w:lang w:val="en-US" w:eastAsia="zh-CN" w:bidi="ar"/>
              </w:rPr>
              <w:t>33.07</w:t>
            </w:r>
          </w:p>
        </w:tc>
        <w:tc>
          <w:tcPr>
            <w:tcW w:w="859" w:type="dxa"/>
            <w:tcBorders>
              <w:tl2br w:val="nil"/>
              <w:tr2bl w:val="nil"/>
            </w:tcBorders>
            <w:shd w:val="clear" w:color="auto" w:fill="auto"/>
            <w:noWrap/>
            <w:vAlign w:val="center"/>
          </w:tcPr>
          <w:p w14:paraId="40C97A54">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default" w:ascii="Times New Roman" w:hAnsi="Times New Roman" w:eastAsia="宋体" w:cs="Times New Roman"/>
                <w:i w:val="0"/>
                <w:iCs w:val="0"/>
                <w:color w:val="0000FF"/>
                <w:kern w:val="0"/>
                <w:sz w:val="21"/>
                <w:szCs w:val="21"/>
                <w:u w:val="none"/>
                <w:lang w:val="en-US" w:eastAsia="zh-CN" w:bidi="ar"/>
              </w:rPr>
              <w:t>达标</w:t>
            </w:r>
          </w:p>
        </w:tc>
      </w:tr>
      <w:tr w14:paraId="7AF92855">
        <w:tblPrEx>
          <w:tblBorders>
            <w:top w:val="thinThickSmallGap" w:color="000000" w:sz="12" w:space="0"/>
            <w:left w:val="none" w:color="auto" w:sz="0" w:space="0"/>
            <w:bottom w:val="thinThickSmallGap" w:color="000000" w:sz="12" w:space="0"/>
            <w:right w:val="none" w:color="auto" w:sz="0"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300" w:hRule="atLeast"/>
          <w:jc w:val="center"/>
        </w:trPr>
        <w:tc>
          <w:tcPr>
            <w:tcW w:w="510" w:type="dxa"/>
            <w:vMerge w:val="continue"/>
            <w:tcBorders>
              <w:tl2br w:val="nil"/>
              <w:tr2bl w:val="nil"/>
            </w:tcBorders>
            <w:shd w:val="clear" w:color="auto" w:fill="auto"/>
            <w:noWrap/>
            <w:vAlign w:val="center"/>
          </w:tcPr>
          <w:p w14:paraId="76D45BA3">
            <w:pPr>
              <w:keepNext w:val="0"/>
              <w:keepLines w:val="0"/>
              <w:pageBreakBefore w:val="0"/>
              <w:widowControl/>
              <w:kinsoku/>
              <w:wordWrap/>
              <w:overflowPunct/>
              <w:topLinePunct w:val="0"/>
              <w:autoSpaceDE/>
              <w:autoSpaceDN/>
              <w:bidi w:val="0"/>
              <w:adjustRightInd w:val="0"/>
              <w:snapToGrid w:val="0"/>
              <w:spacing w:line="240" w:lineRule="auto"/>
              <w:jc w:val="center"/>
              <w:rPr>
                <w:rFonts w:hint="default" w:ascii="Times New Roman" w:hAnsi="Times New Roman" w:eastAsia="宋体" w:cs="Times New Roman"/>
                <w:i w:val="0"/>
                <w:iCs w:val="0"/>
                <w:color w:val="0000FF"/>
                <w:sz w:val="21"/>
                <w:szCs w:val="21"/>
                <w:u w:val="none"/>
              </w:rPr>
            </w:pPr>
          </w:p>
        </w:tc>
        <w:tc>
          <w:tcPr>
            <w:tcW w:w="900" w:type="dxa"/>
            <w:vMerge w:val="continue"/>
            <w:tcBorders>
              <w:tl2br w:val="nil"/>
              <w:tr2bl w:val="nil"/>
            </w:tcBorders>
            <w:shd w:val="clear" w:color="auto" w:fill="auto"/>
            <w:vAlign w:val="center"/>
          </w:tcPr>
          <w:p w14:paraId="3C7236DA">
            <w:pPr>
              <w:keepNext w:val="0"/>
              <w:keepLines w:val="0"/>
              <w:pageBreakBefore w:val="0"/>
              <w:widowControl/>
              <w:kinsoku/>
              <w:wordWrap/>
              <w:overflowPunct/>
              <w:topLinePunct w:val="0"/>
              <w:autoSpaceDE/>
              <w:autoSpaceDN/>
              <w:bidi w:val="0"/>
              <w:adjustRightInd w:val="0"/>
              <w:snapToGrid w:val="0"/>
              <w:spacing w:line="240" w:lineRule="auto"/>
              <w:jc w:val="center"/>
              <w:rPr>
                <w:rFonts w:hint="default" w:ascii="Times New Roman" w:hAnsi="Times New Roman" w:eastAsia="宋体" w:cs="Times New Roman"/>
                <w:i w:val="0"/>
                <w:iCs w:val="0"/>
                <w:color w:val="0000FF"/>
                <w:sz w:val="21"/>
                <w:szCs w:val="21"/>
                <w:u w:val="none"/>
              </w:rPr>
            </w:pPr>
          </w:p>
        </w:tc>
        <w:tc>
          <w:tcPr>
            <w:tcW w:w="1008" w:type="dxa"/>
            <w:tcBorders>
              <w:tl2br w:val="nil"/>
              <w:tr2bl w:val="nil"/>
            </w:tcBorders>
            <w:shd w:val="clear" w:color="auto" w:fill="auto"/>
            <w:noWrap/>
            <w:vAlign w:val="center"/>
          </w:tcPr>
          <w:p w14:paraId="162D2DD5">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1"/>
                <w:szCs w:val="21"/>
                <w:u w:val="none"/>
                <w:lang w:val="en-US" w:eastAsia="zh-CN" w:bidi="ar"/>
              </w:rPr>
              <w:t>28,931</w:t>
            </w:r>
          </w:p>
        </w:tc>
        <w:tc>
          <w:tcPr>
            <w:tcW w:w="945" w:type="dxa"/>
            <w:tcBorders>
              <w:tl2br w:val="nil"/>
              <w:tr2bl w:val="nil"/>
            </w:tcBorders>
            <w:shd w:val="clear" w:color="auto" w:fill="auto"/>
            <w:noWrap/>
            <w:vAlign w:val="center"/>
          </w:tcPr>
          <w:p w14:paraId="08E581FB">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default" w:ascii="Times New Roman" w:hAnsi="Times New Roman" w:eastAsia="宋体" w:cs="Times New Roman"/>
                <w:i w:val="0"/>
                <w:iCs w:val="0"/>
                <w:color w:val="0000FF"/>
                <w:kern w:val="0"/>
                <w:sz w:val="21"/>
                <w:szCs w:val="21"/>
                <w:u w:val="none"/>
                <w:lang w:val="en-US" w:eastAsia="zh-CN" w:bidi="ar"/>
              </w:rPr>
              <w:t>日平均</w:t>
            </w:r>
          </w:p>
        </w:tc>
        <w:tc>
          <w:tcPr>
            <w:tcW w:w="1110" w:type="dxa"/>
            <w:tcBorders>
              <w:tl2br w:val="nil"/>
              <w:tr2bl w:val="nil"/>
            </w:tcBorders>
            <w:shd w:val="clear" w:color="auto" w:fill="auto"/>
            <w:noWrap/>
            <w:vAlign w:val="center"/>
          </w:tcPr>
          <w:p w14:paraId="1D1E0C1A">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default" w:ascii="Times New Roman" w:hAnsi="Times New Roman" w:eastAsia="宋体" w:cs="Times New Roman"/>
                <w:i w:val="0"/>
                <w:iCs w:val="0"/>
                <w:color w:val="0000FF"/>
                <w:kern w:val="0"/>
                <w:sz w:val="22"/>
                <w:szCs w:val="22"/>
                <w:u w:val="none"/>
                <w:lang w:val="en-US" w:eastAsia="zh-CN" w:bidi="ar"/>
              </w:rPr>
              <w:t>7.48E-03</w:t>
            </w:r>
          </w:p>
        </w:tc>
        <w:tc>
          <w:tcPr>
            <w:tcW w:w="1350" w:type="dxa"/>
            <w:tcBorders>
              <w:tl2br w:val="nil"/>
              <w:tr2bl w:val="nil"/>
            </w:tcBorders>
            <w:shd w:val="clear" w:color="auto" w:fill="auto"/>
            <w:noWrap/>
            <w:vAlign w:val="center"/>
          </w:tcPr>
          <w:p w14:paraId="26EEF234">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default" w:ascii="Times New Roman" w:hAnsi="Times New Roman" w:eastAsia="宋体" w:cs="Times New Roman"/>
                <w:i w:val="0"/>
                <w:iCs w:val="0"/>
                <w:color w:val="0000FF"/>
                <w:kern w:val="0"/>
                <w:sz w:val="22"/>
                <w:szCs w:val="22"/>
                <w:u w:val="none"/>
                <w:lang w:val="en-US" w:eastAsia="zh-CN" w:bidi="ar"/>
              </w:rPr>
              <w:t>240306</w:t>
            </w:r>
          </w:p>
        </w:tc>
        <w:tc>
          <w:tcPr>
            <w:tcW w:w="1140" w:type="dxa"/>
            <w:tcBorders>
              <w:tl2br w:val="nil"/>
              <w:tr2bl w:val="nil"/>
            </w:tcBorders>
            <w:shd w:val="clear" w:color="auto" w:fill="auto"/>
            <w:noWrap/>
            <w:vAlign w:val="center"/>
          </w:tcPr>
          <w:p w14:paraId="4982F887">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default" w:ascii="Times New Roman" w:hAnsi="Times New Roman" w:eastAsia="宋体" w:cs="Times New Roman"/>
                <w:i w:val="0"/>
                <w:iCs w:val="0"/>
                <w:color w:val="0000FF"/>
                <w:kern w:val="0"/>
                <w:sz w:val="22"/>
                <w:szCs w:val="22"/>
                <w:u w:val="none"/>
                <w:lang w:val="en-US" w:eastAsia="zh-CN" w:bidi="ar"/>
              </w:rPr>
              <w:t>1.00E-01</w:t>
            </w:r>
          </w:p>
        </w:tc>
        <w:tc>
          <w:tcPr>
            <w:tcW w:w="825" w:type="dxa"/>
            <w:tcBorders>
              <w:tl2br w:val="nil"/>
              <w:tr2bl w:val="nil"/>
            </w:tcBorders>
            <w:shd w:val="clear" w:color="auto" w:fill="auto"/>
            <w:noWrap/>
            <w:vAlign w:val="center"/>
          </w:tcPr>
          <w:p w14:paraId="624EAC3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default" w:ascii="Times New Roman" w:hAnsi="Times New Roman" w:eastAsia="宋体" w:cs="Times New Roman"/>
                <w:i w:val="0"/>
                <w:iCs w:val="0"/>
                <w:color w:val="0000FF"/>
                <w:kern w:val="0"/>
                <w:sz w:val="21"/>
                <w:szCs w:val="21"/>
                <w:u w:val="none"/>
                <w:lang w:val="en-US" w:eastAsia="zh-CN" w:bidi="ar"/>
              </w:rPr>
              <w:t>7.48</w:t>
            </w:r>
          </w:p>
        </w:tc>
        <w:tc>
          <w:tcPr>
            <w:tcW w:w="859" w:type="dxa"/>
            <w:tcBorders>
              <w:tl2br w:val="nil"/>
              <w:tr2bl w:val="nil"/>
            </w:tcBorders>
            <w:shd w:val="clear" w:color="auto" w:fill="auto"/>
            <w:noWrap/>
            <w:vAlign w:val="center"/>
          </w:tcPr>
          <w:p w14:paraId="2D5FAD07">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default" w:ascii="Times New Roman" w:hAnsi="Times New Roman" w:eastAsia="宋体" w:cs="Times New Roman"/>
                <w:i w:val="0"/>
                <w:iCs w:val="0"/>
                <w:color w:val="0000FF"/>
                <w:kern w:val="0"/>
                <w:sz w:val="21"/>
                <w:szCs w:val="21"/>
                <w:u w:val="none"/>
                <w:lang w:val="en-US" w:eastAsia="zh-CN" w:bidi="ar"/>
              </w:rPr>
              <w:t>达标</w:t>
            </w:r>
          </w:p>
        </w:tc>
      </w:tr>
      <w:tr w14:paraId="766F41AE">
        <w:tblPrEx>
          <w:tblBorders>
            <w:top w:val="thinThickSmallGap" w:color="000000" w:sz="12" w:space="0"/>
            <w:left w:val="none" w:color="auto" w:sz="0" w:space="0"/>
            <w:bottom w:val="thinThickSmallGap"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00" w:hRule="atLeast"/>
          <w:jc w:val="center"/>
        </w:trPr>
        <w:tc>
          <w:tcPr>
            <w:tcW w:w="510" w:type="dxa"/>
            <w:vMerge w:val="continue"/>
            <w:tcBorders>
              <w:tl2br w:val="nil"/>
              <w:tr2bl w:val="nil"/>
            </w:tcBorders>
            <w:shd w:val="clear" w:color="auto" w:fill="auto"/>
            <w:noWrap/>
            <w:vAlign w:val="center"/>
          </w:tcPr>
          <w:p w14:paraId="01F39E3C">
            <w:pPr>
              <w:keepNext w:val="0"/>
              <w:keepLines w:val="0"/>
              <w:pageBreakBefore w:val="0"/>
              <w:widowControl/>
              <w:kinsoku/>
              <w:wordWrap/>
              <w:overflowPunct/>
              <w:topLinePunct w:val="0"/>
              <w:autoSpaceDE/>
              <w:autoSpaceDN/>
              <w:bidi w:val="0"/>
              <w:adjustRightInd w:val="0"/>
              <w:snapToGrid w:val="0"/>
              <w:spacing w:line="240" w:lineRule="auto"/>
              <w:jc w:val="center"/>
              <w:rPr>
                <w:rFonts w:hint="default" w:ascii="Times New Roman" w:hAnsi="Times New Roman" w:eastAsia="宋体" w:cs="Times New Roman"/>
                <w:i w:val="0"/>
                <w:iCs w:val="0"/>
                <w:color w:val="0000FF"/>
                <w:sz w:val="21"/>
                <w:szCs w:val="21"/>
                <w:u w:val="none"/>
              </w:rPr>
            </w:pPr>
          </w:p>
        </w:tc>
        <w:tc>
          <w:tcPr>
            <w:tcW w:w="900" w:type="dxa"/>
            <w:vMerge w:val="continue"/>
            <w:tcBorders>
              <w:tl2br w:val="nil"/>
              <w:tr2bl w:val="nil"/>
            </w:tcBorders>
            <w:shd w:val="clear" w:color="auto" w:fill="auto"/>
            <w:vAlign w:val="center"/>
          </w:tcPr>
          <w:p w14:paraId="5B6341FD">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sz w:val="21"/>
                <w:szCs w:val="21"/>
                <w:u w:val="none"/>
              </w:rPr>
            </w:pPr>
          </w:p>
        </w:tc>
        <w:tc>
          <w:tcPr>
            <w:tcW w:w="1008" w:type="dxa"/>
            <w:tcBorders>
              <w:tl2br w:val="nil"/>
              <w:tr2bl w:val="nil"/>
            </w:tcBorders>
            <w:shd w:val="clear" w:color="auto" w:fill="auto"/>
            <w:noWrap/>
            <w:vAlign w:val="center"/>
          </w:tcPr>
          <w:p w14:paraId="5DAEB958">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1"/>
                <w:szCs w:val="21"/>
                <w:u w:val="none"/>
                <w:lang w:val="en-US" w:eastAsia="zh-CN" w:bidi="ar"/>
              </w:rPr>
              <w:t>28,931</w:t>
            </w:r>
          </w:p>
        </w:tc>
        <w:tc>
          <w:tcPr>
            <w:tcW w:w="945" w:type="dxa"/>
            <w:tcBorders>
              <w:tl2br w:val="nil"/>
              <w:tr2bl w:val="nil"/>
            </w:tcBorders>
            <w:shd w:val="clear" w:color="auto" w:fill="auto"/>
            <w:noWrap/>
            <w:vAlign w:val="center"/>
          </w:tcPr>
          <w:p w14:paraId="68ABBD96">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default" w:ascii="Times New Roman" w:hAnsi="Times New Roman" w:eastAsia="宋体" w:cs="Times New Roman"/>
                <w:i w:val="0"/>
                <w:iCs w:val="0"/>
                <w:color w:val="0000FF"/>
                <w:kern w:val="0"/>
                <w:sz w:val="21"/>
                <w:szCs w:val="21"/>
                <w:u w:val="none"/>
                <w:lang w:val="en-US" w:eastAsia="zh-CN" w:bidi="ar"/>
              </w:rPr>
              <w:t>全时段</w:t>
            </w:r>
          </w:p>
        </w:tc>
        <w:tc>
          <w:tcPr>
            <w:tcW w:w="1110" w:type="dxa"/>
            <w:tcBorders>
              <w:tl2br w:val="nil"/>
              <w:tr2bl w:val="nil"/>
            </w:tcBorders>
            <w:shd w:val="clear" w:color="auto" w:fill="auto"/>
            <w:noWrap/>
            <w:vAlign w:val="center"/>
          </w:tcPr>
          <w:p w14:paraId="504962A2">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default" w:ascii="Times New Roman" w:hAnsi="Times New Roman" w:eastAsia="宋体" w:cs="Times New Roman"/>
                <w:i w:val="0"/>
                <w:iCs w:val="0"/>
                <w:color w:val="0000FF"/>
                <w:kern w:val="0"/>
                <w:sz w:val="22"/>
                <w:szCs w:val="22"/>
                <w:u w:val="none"/>
                <w:lang w:val="en-US" w:eastAsia="zh-CN" w:bidi="ar"/>
              </w:rPr>
              <w:t>5.72E-04</w:t>
            </w:r>
          </w:p>
        </w:tc>
        <w:tc>
          <w:tcPr>
            <w:tcW w:w="1350" w:type="dxa"/>
            <w:tcBorders>
              <w:tl2br w:val="nil"/>
              <w:tr2bl w:val="nil"/>
            </w:tcBorders>
            <w:shd w:val="clear" w:color="auto" w:fill="auto"/>
            <w:noWrap/>
            <w:vAlign w:val="center"/>
          </w:tcPr>
          <w:p w14:paraId="1B6981EC">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default" w:ascii="Times New Roman" w:hAnsi="Times New Roman" w:eastAsia="宋体" w:cs="Times New Roman"/>
                <w:i w:val="0"/>
                <w:iCs w:val="0"/>
                <w:color w:val="0000FF"/>
                <w:kern w:val="0"/>
                <w:sz w:val="22"/>
                <w:szCs w:val="22"/>
                <w:u w:val="none"/>
                <w:lang w:val="en-US" w:eastAsia="zh-CN" w:bidi="ar"/>
              </w:rPr>
              <w:t>平均值</w:t>
            </w:r>
          </w:p>
        </w:tc>
        <w:tc>
          <w:tcPr>
            <w:tcW w:w="1140" w:type="dxa"/>
            <w:tcBorders>
              <w:tl2br w:val="nil"/>
              <w:tr2bl w:val="nil"/>
            </w:tcBorders>
            <w:shd w:val="clear" w:color="auto" w:fill="auto"/>
            <w:noWrap/>
            <w:vAlign w:val="center"/>
          </w:tcPr>
          <w:p w14:paraId="7158C8F0">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default" w:ascii="Times New Roman" w:hAnsi="Times New Roman" w:eastAsia="宋体" w:cs="Times New Roman"/>
                <w:i w:val="0"/>
                <w:iCs w:val="0"/>
                <w:color w:val="0000FF"/>
                <w:kern w:val="0"/>
                <w:sz w:val="22"/>
                <w:szCs w:val="22"/>
                <w:u w:val="none"/>
                <w:lang w:val="en-US" w:eastAsia="zh-CN" w:bidi="ar"/>
              </w:rPr>
              <w:t>5.00E-02</w:t>
            </w:r>
          </w:p>
        </w:tc>
        <w:tc>
          <w:tcPr>
            <w:tcW w:w="825" w:type="dxa"/>
            <w:tcBorders>
              <w:tl2br w:val="nil"/>
              <w:tr2bl w:val="nil"/>
            </w:tcBorders>
            <w:shd w:val="clear" w:color="auto" w:fill="auto"/>
            <w:noWrap/>
            <w:vAlign w:val="center"/>
          </w:tcPr>
          <w:p w14:paraId="01D2CFC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default" w:ascii="Times New Roman" w:hAnsi="Times New Roman" w:eastAsia="宋体" w:cs="Times New Roman"/>
                <w:i w:val="0"/>
                <w:iCs w:val="0"/>
                <w:color w:val="0000FF"/>
                <w:kern w:val="0"/>
                <w:sz w:val="21"/>
                <w:szCs w:val="21"/>
                <w:u w:val="none"/>
                <w:lang w:val="en-US" w:eastAsia="zh-CN" w:bidi="ar"/>
              </w:rPr>
              <w:t>1.14</w:t>
            </w:r>
          </w:p>
        </w:tc>
        <w:tc>
          <w:tcPr>
            <w:tcW w:w="859" w:type="dxa"/>
            <w:tcBorders>
              <w:tl2br w:val="nil"/>
              <w:tr2bl w:val="nil"/>
            </w:tcBorders>
            <w:shd w:val="clear" w:color="auto" w:fill="auto"/>
            <w:noWrap/>
            <w:vAlign w:val="center"/>
          </w:tcPr>
          <w:p w14:paraId="67005B9D">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default" w:ascii="Times New Roman" w:hAnsi="Times New Roman" w:eastAsia="宋体" w:cs="Times New Roman"/>
                <w:i w:val="0"/>
                <w:iCs w:val="0"/>
                <w:color w:val="0000FF"/>
                <w:kern w:val="0"/>
                <w:sz w:val="21"/>
                <w:szCs w:val="21"/>
                <w:u w:val="none"/>
                <w:lang w:val="en-US" w:eastAsia="zh-CN" w:bidi="ar"/>
              </w:rPr>
              <w:t>达标</w:t>
            </w:r>
          </w:p>
        </w:tc>
      </w:tr>
    </w:tbl>
    <w:p w14:paraId="6A63F4ED">
      <w:pPr>
        <w:tabs>
          <w:tab w:val="left" w:pos="851"/>
          <w:tab w:val="left" w:pos="1141"/>
          <w:tab w:val="left" w:pos="4335"/>
        </w:tabs>
        <w:jc w:val="center"/>
        <w:rPr>
          <w:rFonts w:ascii="Times New Roman" w:hAnsi="Times New Roman" w:eastAsia="黑体" w:cs="Times New Roman"/>
          <w:bCs/>
          <w:color w:val="0000FF"/>
        </w:rPr>
      </w:pPr>
    </w:p>
    <w:p w14:paraId="21543434">
      <w:pPr>
        <w:tabs>
          <w:tab w:val="left" w:pos="851"/>
          <w:tab w:val="left" w:pos="1141"/>
          <w:tab w:val="left" w:pos="4335"/>
        </w:tabs>
        <w:jc w:val="center"/>
        <w:rPr>
          <w:rFonts w:hint="eastAsia" w:ascii="Times New Roman" w:hAnsi="Times New Roman" w:eastAsia="黑体" w:cs="Times New Roman"/>
          <w:bCs/>
          <w:color w:val="0000FF"/>
        </w:rPr>
      </w:pPr>
      <w:r>
        <w:rPr>
          <w:rFonts w:ascii="Times New Roman" w:hAnsi="Times New Roman" w:eastAsia="黑体" w:cs="Times New Roman"/>
          <w:bCs/>
          <w:color w:val="0000FF"/>
        </w:rPr>
        <w:t>表</w:t>
      </w:r>
      <w:r>
        <w:rPr>
          <w:rFonts w:hint="eastAsia" w:ascii="Times New Roman" w:hAnsi="Times New Roman" w:eastAsia="黑体" w:cs="Times New Roman"/>
          <w:bCs/>
          <w:color w:val="0000FF"/>
        </w:rPr>
        <w:t>5</w:t>
      </w:r>
      <w:r>
        <w:rPr>
          <w:rFonts w:ascii="Times New Roman" w:hAnsi="Times New Roman" w:eastAsia="黑体" w:cs="Times New Roman"/>
          <w:bCs/>
          <w:color w:val="0000FF"/>
        </w:rPr>
        <w:t>.1-1</w:t>
      </w:r>
      <w:r>
        <w:rPr>
          <w:rFonts w:hint="eastAsia" w:ascii="Times New Roman" w:hAnsi="Times New Roman" w:eastAsia="黑体" w:cs="Times New Roman"/>
          <w:bCs/>
          <w:color w:val="0000FF"/>
          <w:lang w:val="en-US" w:eastAsia="zh-CN"/>
        </w:rPr>
        <w:t>8</w:t>
      </w:r>
      <w:r>
        <w:rPr>
          <w:rFonts w:ascii="Times New Roman" w:hAnsi="Times New Roman" w:eastAsia="黑体" w:cs="Times New Roman"/>
          <w:bCs/>
          <w:color w:val="0000FF"/>
        </w:rPr>
        <w:t xml:space="preserve">  </w:t>
      </w:r>
      <w:r>
        <w:rPr>
          <w:rFonts w:hint="eastAsia" w:ascii="Times New Roman" w:hAnsi="Times New Roman" w:eastAsia="黑体" w:cs="Times New Roman"/>
          <w:bCs/>
          <w:color w:val="0000FF"/>
        </w:rPr>
        <w:t>关心点及网格点</w:t>
      </w:r>
      <w:r>
        <w:rPr>
          <w:rFonts w:hint="eastAsia" w:ascii="Times New Roman" w:hAnsi="Times New Roman" w:eastAsia="黑体" w:cs="Times New Roman"/>
          <w:bCs/>
          <w:color w:val="0000FF"/>
          <w:lang w:val="en-US" w:eastAsia="zh-CN"/>
        </w:rPr>
        <w:t>TSP</w:t>
      </w:r>
      <w:r>
        <w:rPr>
          <w:rFonts w:hint="eastAsia" w:ascii="Times New Roman" w:hAnsi="Times New Roman" w:eastAsia="黑体" w:cs="Times New Roman"/>
          <w:bCs/>
          <w:color w:val="0000FF"/>
        </w:rPr>
        <w:t>贡献质量浓度预测结果表</w:t>
      </w:r>
    </w:p>
    <w:tbl>
      <w:tblPr>
        <w:tblStyle w:val="56"/>
        <w:tblW w:w="8616" w:type="dxa"/>
        <w:jc w:val="center"/>
        <w:tblBorders>
          <w:top w:val="thinThickSmallGap" w:color="000000" w:sz="12" w:space="0"/>
          <w:left w:val="none" w:color="auto" w:sz="0" w:space="0"/>
          <w:bottom w:val="thinThickSmallGap" w:color="000000" w:sz="12" w:space="0"/>
          <w:right w:val="none" w:color="auto" w:sz="0" w:space="0"/>
          <w:insideH w:val="single" w:color="000000" w:sz="4" w:space="0"/>
          <w:insideV w:val="single" w:color="000000" w:sz="4" w:space="0"/>
        </w:tblBorders>
        <w:shd w:val="clear" w:color="auto" w:fill="auto"/>
        <w:tblLayout w:type="fixed"/>
        <w:tblCellMar>
          <w:top w:w="0" w:type="dxa"/>
          <w:left w:w="108" w:type="dxa"/>
          <w:bottom w:w="0" w:type="dxa"/>
          <w:right w:w="108" w:type="dxa"/>
        </w:tblCellMar>
      </w:tblPr>
      <w:tblGrid>
        <w:gridCol w:w="440"/>
        <w:gridCol w:w="1030"/>
        <w:gridCol w:w="1170"/>
        <w:gridCol w:w="930"/>
        <w:gridCol w:w="1174"/>
        <w:gridCol w:w="1243"/>
        <w:gridCol w:w="1180"/>
        <w:gridCol w:w="684"/>
        <w:gridCol w:w="765"/>
      </w:tblGrid>
      <w:tr w14:paraId="230F6168">
        <w:tblPrEx>
          <w:tblBorders>
            <w:top w:val="thinThickSmallGap" w:color="000000" w:sz="12" w:space="0"/>
            <w:left w:val="none" w:color="auto" w:sz="0" w:space="0"/>
            <w:bottom w:val="thinThickSmallGap" w:color="000000" w:sz="12" w:space="0"/>
            <w:right w:val="none" w:color="auto" w:sz="0"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295" w:hRule="atLeast"/>
          <w:jc w:val="center"/>
        </w:trPr>
        <w:tc>
          <w:tcPr>
            <w:tcW w:w="440" w:type="dxa"/>
            <w:tcBorders>
              <w:tl2br w:val="nil"/>
              <w:tr2bl w:val="nil"/>
            </w:tcBorders>
            <w:shd w:val="clear" w:color="auto" w:fill="auto"/>
            <w:noWrap/>
            <w:vAlign w:val="center"/>
          </w:tcPr>
          <w:p w14:paraId="36442D6A">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eastAsia" w:ascii="宋体" w:hAnsi="宋体" w:eastAsia="宋体" w:cs="宋体"/>
                <w:i w:val="0"/>
                <w:iCs w:val="0"/>
                <w:color w:val="0000FF"/>
                <w:sz w:val="22"/>
                <w:szCs w:val="22"/>
                <w:u w:val="none"/>
              </w:rPr>
            </w:pPr>
            <w:r>
              <w:rPr>
                <w:rFonts w:hint="eastAsia" w:ascii="宋体" w:hAnsi="宋体" w:eastAsia="宋体" w:cs="宋体"/>
                <w:i w:val="0"/>
                <w:iCs w:val="0"/>
                <w:color w:val="0000FF"/>
                <w:kern w:val="0"/>
                <w:sz w:val="22"/>
                <w:szCs w:val="22"/>
                <w:u w:val="none"/>
                <w:lang w:val="en-US" w:eastAsia="zh-CN" w:bidi="ar"/>
              </w:rPr>
              <w:t>序号</w:t>
            </w:r>
          </w:p>
        </w:tc>
        <w:tc>
          <w:tcPr>
            <w:tcW w:w="1030" w:type="dxa"/>
            <w:tcBorders>
              <w:tl2br w:val="nil"/>
              <w:tr2bl w:val="nil"/>
            </w:tcBorders>
            <w:shd w:val="clear" w:color="auto" w:fill="auto"/>
            <w:noWrap/>
            <w:vAlign w:val="center"/>
          </w:tcPr>
          <w:p w14:paraId="287015C9">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eastAsia" w:ascii="宋体" w:hAnsi="宋体" w:eastAsia="宋体" w:cs="宋体"/>
                <w:i w:val="0"/>
                <w:iCs w:val="0"/>
                <w:color w:val="0000FF"/>
                <w:sz w:val="22"/>
                <w:szCs w:val="22"/>
                <w:u w:val="none"/>
              </w:rPr>
            </w:pPr>
            <w:r>
              <w:rPr>
                <w:rFonts w:hint="eastAsia" w:ascii="宋体" w:hAnsi="宋体" w:eastAsia="宋体" w:cs="宋体"/>
                <w:i w:val="0"/>
                <w:iCs w:val="0"/>
                <w:color w:val="0000FF"/>
                <w:kern w:val="0"/>
                <w:sz w:val="22"/>
                <w:szCs w:val="22"/>
                <w:u w:val="none"/>
                <w:lang w:val="en-US" w:eastAsia="zh-CN" w:bidi="ar"/>
              </w:rPr>
              <w:t>点名称</w:t>
            </w:r>
          </w:p>
        </w:tc>
        <w:tc>
          <w:tcPr>
            <w:tcW w:w="1170" w:type="dxa"/>
            <w:tcBorders>
              <w:tl2br w:val="nil"/>
              <w:tr2bl w:val="nil"/>
            </w:tcBorders>
            <w:shd w:val="clear" w:color="auto" w:fill="auto"/>
            <w:noWrap/>
            <w:vAlign w:val="center"/>
          </w:tcPr>
          <w:p w14:paraId="268457D9">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eastAsia" w:ascii="宋体" w:hAnsi="宋体" w:eastAsia="宋体" w:cs="宋体"/>
                <w:i w:val="0"/>
                <w:iCs w:val="0"/>
                <w:color w:val="0000FF"/>
                <w:sz w:val="22"/>
                <w:szCs w:val="22"/>
                <w:u w:val="none"/>
              </w:rPr>
            </w:pPr>
            <w:r>
              <w:rPr>
                <w:rFonts w:hint="eastAsia" w:ascii="宋体" w:hAnsi="宋体" w:eastAsia="宋体" w:cs="宋体"/>
                <w:i w:val="0"/>
                <w:iCs w:val="0"/>
                <w:color w:val="0000FF"/>
                <w:kern w:val="0"/>
                <w:sz w:val="22"/>
                <w:szCs w:val="22"/>
                <w:u w:val="none"/>
                <w:lang w:val="en-US" w:eastAsia="zh-CN" w:bidi="ar"/>
              </w:rPr>
              <w:t>点坐标</w:t>
            </w:r>
            <w:r>
              <w:rPr>
                <w:rFonts w:hint="default" w:ascii="Times New Roman" w:hAnsi="Times New Roman" w:eastAsia="宋体" w:cs="Times New Roman"/>
                <w:i w:val="0"/>
                <w:iCs w:val="0"/>
                <w:color w:val="0000FF"/>
                <w:kern w:val="0"/>
                <w:sz w:val="22"/>
                <w:szCs w:val="22"/>
                <w:u w:val="none"/>
                <w:lang w:val="en-US" w:eastAsia="zh-CN" w:bidi="ar"/>
              </w:rPr>
              <w:t>(x</w:t>
            </w:r>
            <w:r>
              <w:rPr>
                <w:rFonts w:hint="eastAsia" w:ascii="宋体" w:hAnsi="宋体" w:eastAsia="宋体" w:cs="宋体"/>
                <w:i w:val="0"/>
                <w:iCs w:val="0"/>
                <w:color w:val="0000FF"/>
                <w:kern w:val="0"/>
                <w:sz w:val="22"/>
                <w:szCs w:val="22"/>
                <w:u w:val="none"/>
                <w:lang w:val="en-US" w:eastAsia="zh-CN" w:bidi="ar"/>
              </w:rPr>
              <w:t>,</w:t>
            </w:r>
            <w:r>
              <w:rPr>
                <w:rFonts w:hint="default" w:ascii="Times New Roman" w:hAnsi="Times New Roman" w:eastAsia="宋体" w:cs="Times New Roman"/>
                <w:i w:val="0"/>
                <w:iCs w:val="0"/>
                <w:color w:val="0000FF"/>
                <w:kern w:val="0"/>
                <w:sz w:val="22"/>
                <w:szCs w:val="22"/>
                <w:u w:val="none"/>
                <w:lang w:val="en-US" w:eastAsia="zh-CN" w:bidi="ar"/>
              </w:rPr>
              <w:t>y)</w:t>
            </w:r>
          </w:p>
        </w:tc>
        <w:tc>
          <w:tcPr>
            <w:tcW w:w="930" w:type="dxa"/>
            <w:tcBorders>
              <w:tl2br w:val="nil"/>
              <w:tr2bl w:val="nil"/>
            </w:tcBorders>
            <w:shd w:val="clear" w:color="auto" w:fill="auto"/>
            <w:noWrap/>
            <w:vAlign w:val="center"/>
          </w:tcPr>
          <w:p w14:paraId="0EF891F6">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eastAsia" w:ascii="宋体" w:hAnsi="宋体" w:eastAsia="宋体" w:cs="宋体"/>
                <w:i w:val="0"/>
                <w:iCs w:val="0"/>
                <w:color w:val="0000FF"/>
                <w:sz w:val="22"/>
                <w:szCs w:val="22"/>
                <w:u w:val="none"/>
              </w:rPr>
            </w:pPr>
            <w:r>
              <w:rPr>
                <w:rFonts w:hint="eastAsia" w:ascii="宋体" w:hAnsi="宋体" w:eastAsia="宋体" w:cs="宋体"/>
                <w:i w:val="0"/>
                <w:iCs w:val="0"/>
                <w:color w:val="0000FF"/>
                <w:kern w:val="0"/>
                <w:sz w:val="22"/>
                <w:szCs w:val="22"/>
                <w:u w:val="none"/>
                <w:lang w:val="en-US" w:eastAsia="zh-CN" w:bidi="ar"/>
              </w:rPr>
              <w:t>浓度类型</w:t>
            </w:r>
          </w:p>
        </w:tc>
        <w:tc>
          <w:tcPr>
            <w:tcW w:w="1174" w:type="dxa"/>
            <w:tcBorders>
              <w:tl2br w:val="nil"/>
              <w:tr2bl w:val="nil"/>
            </w:tcBorders>
            <w:shd w:val="clear" w:color="auto" w:fill="auto"/>
            <w:noWrap/>
            <w:vAlign w:val="center"/>
          </w:tcPr>
          <w:p w14:paraId="5F27D837">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eastAsia" w:ascii="宋体" w:hAnsi="宋体" w:eastAsia="宋体" w:cs="宋体"/>
                <w:i w:val="0"/>
                <w:iCs w:val="0"/>
                <w:color w:val="0000FF"/>
                <w:sz w:val="22"/>
                <w:szCs w:val="22"/>
                <w:u w:val="none"/>
              </w:rPr>
            </w:pPr>
            <w:r>
              <w:rPr>
                <w:rFonts w:hint="eastAsia" w:ascii="宋体" w:hAnsi="宋体" w:eastAsia="宋体" w:cs="宋体"/>
                <w:i w:val="0"/>
                <w:iCs w:val="0"/>
                <w:color w:val="0000FF"/>
                <w:kern w:val="0"/>
                <w:sz w:val="22"/>
                <w:szCs w:val="22"/>
                <w:u w:val="none"/>
                <w:lang w:val="en-US" w:eastAsia="zh-CN" w:bidi="ar"/>
              </w:rPr>
              <w:t>浓度增量</w:t>
            </w:r>
            <w:r>
              <w:rPr>
                <w:rFonts w:hint="default" w:ascii="Times New Roman" w:hAnsi="Times New Roman" w:eastAsia="宋体" w:cs="Times New Roman"/>
                <w:i w:val="0"/>
                <w:iCs w:val="0"/>
                <w:color w:val="0000FF"/>
                <w:kern w:val="0"/>
                <w:sz w:val="22"/>
                <w:szCs w:val="22"/>
                <w:u w:val="none"/>
                <w:lang w:val="en-US" w:eastAsia="zh-CN" w:bidi="ar"/>
              </w:rPr>
              <w:t>(mg/m</w:t>
            </w:r>
            <w:r>
              <w:rPr>
                <w:rFonts w:hint="default" w:ascii="Times New Roman" w:hAnsi="Times New Roman" w:eastAsia="宋体" w:cs="Times New Roman"/>
                <w:i w:val="0"/>
                <w:iCs w:val="0"/>
                <w:color w:val="0000FF"/>
                <w:kern w:val="0"/>
                <w:sz w:val="22"/>
                <w:szCs w:val="22"/>
                <w:u w:val="none"/>
                <w:vertAlign w:val="superscript"/>
                <w:lang w:val="en-US" w:eastAsia="zh-CN" w:bidi="ar"/>
              </w:rPr>
              <w:t>3</w:t>
            </w:r>
            <w:r>
              <w:rPr>
                <w:rFonts w:hint="default" w:ascii="Times New Roman" w:hAnsi="Times New Roman" w:eastAsia="宋体" w:cs="Times New Roman"/>
                <w:i w:val="0"/>
                <w:iCs w:val="0"/>
                <w:color w:val="0000FF"/>
                <w:kern w:val="0"/>
                <w:sz w:val="22"/>
                <w:szCs w:val="22"/>
                <w:u w:val="none"/>
                <w:lang w:val="en-US" w:eastAsia="zh-CN" w:bidi="ar"/>
              </w:rPr>
              <w:t>)</w:t>
            </w:r>
          </w:p>
        </w:tc>
        <w:tc>
          <w:tcPr>
            <w:tcW w:w="1243" w:type="dxa"/>
            <w:tcBorders>
              <w:tl2br w:val="nil"/>
              <w:tr2bl w:val="nil"/>
            </w:tcBorders>
            <w:shd w:val="clear" w:color="auto" w:fill="auto"/>
            <w:noWrap/>
            <w:vAlign w:val="center"/>
          </w:tcPr>
          <w:p w14:paraId="006502BB">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eastAsia" w:ascii="宋体" w:hAnsi="宋体" w:eastAsia="宋体" w:cs="宋体"/>
                <w:i w:val="0"/>
                <w:iCs w:val="0"/>
                <w:color w:val="0000FF"/>
                <w:sz w:val="22"/>
                <w:szCs w:val="22"/>
                <w:u w:val="none"/>
              </w:rPr>
            </w:pPr>
            <w:r>
              <w:rPr>
                <w:rFonts w:hint="eastAsia" w:ascii="宋体" w:hAnsi="宋体" w:eastAsia="宋体" w:cs="宋体"/>
                <w:i w:val="0"/>
                <w:iCs w:val="0"/>
                <w:color w:val="0000FF"/>
                <w:kern w:val="0"/>
                <w:sz w:val="22"/>
                <w:szCs w:val="22"/>
                <w:u w:val="none"/>
                <w:lang w:val="en-US" w:eastAsia="zh-CN" w:bidi="ar"/>
              </w:rPr>
              <w:t>出现时间</w:t>
            </w:r>
            <w:r>
              <w:rPr>
                <w:rFonts w:hint="default" w:ascii="Times New Roman" w:hAnsi="Times New Roman" w:eastAsia="宋体" w:cs="Times New Roman"/>
                <w:i w:val="0"/>
                <w:iCs w:val="0"/>
                <w:color w:val="0000FF"/>
                <w:kern w:val="0"/>
                <w:sz w:val="22"/>
                <w:szCs w:val="22"/>
                <w:u w:val="none"/>
                <w:lang w:val="en-US" w:eastAsia="zh-CN" w:bidi="ar"/>
              </w:rPr>
              <w:t>(YYMMDDHH)</w:t>
            </w:r>
          </w:p>
        </w:tc>
        <w:tc>
          <w:tcPr>
            <w:tcW w:w="1180" w:type="dxa"/>
            <w:tcBorders>
              <w:tl2br w:val="nil"/>
              <w:tr2bl w:val="nil"/>
            </w:tcBorders>
            <w:shd w:val="clear" w:color="auto" w:fill="auto"/>
            <w:noWrap/>
            <w:vAlign w:val="center"/>
          </w:tcPr>
          <w:p w14:paraId="7AEE86A8">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eastAsia" w:ascii="宋体" w:hAnsi="宋体" w:eastAsia="宋体" w:cs="宋体"/>
                <w:i w:val="0"/>
                <w:iCs w:val="0"/>
                <w:color w:val="0000FF"/>
                <w:sz w:val="22"/>
                <w:szCs w:val="22"/>
                <w:u w:val="none"/>
              </w:rPr>
            </w:pPr>
            <w:r>
              <w:rPr>
                <w:rFonts w:hint="eastAsia" w:ascii="宋体" w:hAnsi="宋体" w:eastAsia="宋体" w:cs="宋体"/>
                <w:i w:val="0"/>
                <w:iCs w:val="0"/>
                <w:color w:val="0000FF"/>
                <w:kern w:val="0"/>
                <w:sz w:val="22"/>
                <w:szCs w:val="22"/>
                <w:u w:val="none"/>
                <w:lang w:val="en-US" w:eastAsia="zh-CN" w:bidi="ar"/>
              </w:rPr>
              <w:t>评价标准</w:t>
            </w:r>
            <w:r>
              <w:rPr>
                <w:rFonts w:hint="default" w:ascii="Times New Roman" w:hAnsi="Times New Roman" w:eastAsia="宋体" w:cs="Times New Roman"/>
                <w:i w:val="0"/>
                <w:iCs w:val="0"/>
                <w:color w:val="0000FF"/>
                <w:kern w:val="0"/>
                <w:sz w:val="22"/>
                <w:szCs w:val="22"/>
                <w:u w:val="none"/>
                <w:lang w:val="en-US" w:eastAsia="zh-CN" w:bidi="ar"/>
              </w:rPr>
              <w:t>(mg/m</w:t>
            </w:r>
            <w:r>
              <w:rPr>
                <w:rFonts w:hint="default" w:ascii="Times New Roman" w:hAnsi="Times New Roman" w:eastAsia="宋体" w:cs="Times New Roman"/>
                <w:i w:val="0"/>
                <w:iCs w:val="0"/>
                <w:color w:val="0000FF"/>
                <w:kern w:val="0"/>
                <w:sz w:val="22"/>
                <w:szCs w:val="22"/>
                <w:u w:val="none"/>
                <w:vertAlign w:val="superscript"/>
                <w:lang w:val="en-US" w:eastAsia="zh-CN" w:bidi="ar"/>
              </w:rPr>
              <w:t>3</w:t>
            </w:r>
            <w:r>
              <w:rPr>
                <w:rFonts w:hint="default" w:ascii="Times New Roman" w:hAnsi="Times New Roman" w:eastAsia="宋体" w:cs="Times New Roman"/>
                <w:i w:val="0"/>
                <w:iCs w:val="0"/>
                <w:color w:val="0000FF"/>
                <w:kern w:val="0"/>
                <w:sz w:val="22"/>
                <w:szCs w:val="22"/>
                <w:u w:val="none"/>
                <w:lang w:val="en-US" w:eastAsia="zh-CN" w:bidi="ar"/>
              </w:rPr>
              <w:t>)</w:t>
            </w:r>
          </w:p>
        </w:tc>
        <w:tc>
          <w:tcPr>
            <w:tcW w:w="684" w:type="dxa"/>
            <w:tcBorders>
              <w:tl2br w:val="nil"/>
              <w:tr2bl w:val="nil"/>
            </w:tcBorders>
            <w:shd w:val="clear" w:color="auto" w:fill="auto"/>
            <w:noWrap/>
            <w:vAlign w:val="center"/>
          </w:tcPr>
          <w:p w14:paraId="267DE79E">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eastAsia" w:ascii="宋体" w:hAnsi="宋体" w:eastAsia="宋体" w:cs="宋体"/>
                <w:i w:val="0"/>
                <w:iCs w:val="0"/>
                <w:color w:val="0000FF"/>
                <w:sz w:val="22"/>
                <w:szCs w:val="22"/>
                <w:u w:val="none"/>
              </w:rPr>
            </w:pPr>
            <w:r>
              <w:rPr>
                <w:rFonts w:hint="eastAsia" w:ascii="宋体" w:hAnsi="宋体" w:eastAsia="宋体" w:cs="宋体"/>
                <w:i w:val="0"/>
                <w:iCs w:val="0"/>
                <w:color w:val="0000FF"/>
                <w:kern w:val="0"/>
                <w:sz w:val="22"/>
                <w:szCs w:val="22"/>
                <w:u w:val="none"/>
                <w:lang w:val="en-US" w:eastAsia="zh-CN" w:bidi="ar"/>
              </w:rPr>
              <w:t>占标率</w:t>
            </w:r>
            <w:r>
              <w:rPr>
                <w:rFonts w:hint="default" w:ascii="Times New Roman" w:hAnsi="Times New Roman" w:eastAsia="宋体" w:cs="Times New Roman"/>
                <w:i w:val="0"/>
                <w:iCs w:val="0"/>
                <w:color w:val="0000FF"/>
                <w:kern w:val="0"/>
                <w:sz w:val="22"/>
                <w:szCs w:val="22"/>
                <w:u w:val="none"/>
                <w:lang w:val="en-US" w:eastAsia="zh-CN" w:bidi="ar"/>
              </w:rPr>
              <w:t>%</w:t>
            </w:r>
          </w:p>
        </w:tc>
        <w:tc>
          <w:tcPr>
            <w:tcW w:w="765" w:type="dxa"/>
            <w:tcBorders>
              <w:tl2br w:val="nil"/>
              <w:tr2bl w:val="nil"/>
            </w:tcBorders>
            <w:shd w:val="clear" w:color="auto" w:fill="auto"/>
            <w:noWrap/>
            <w:vAlign w:val="center"/>
          </w:tcPr>
          <w:p w14:paraId="04614459">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eastAsia" w:ascii="宋体" w:hAnsi="宋体" w:eastAsia="宋体" w:cs="宋体"/>
                <w:i w:val="0"/>
                <w:iCs w:val="0"/>
                <w:color w:val="0000FF"/>
                <w:sz w:val="22"/>
                <w:szCs w:val="22"/>
                <w:u w:val="none"/>
              </w:rPr>
            </w:pPr>
            <w:r>
              <w:rPr>
                <w:rFonts w:hint="eastAsia" w:ascii="宋体" w:hAnsi="宋体" w:eastAsia="宋体" w:cs="宋体"/>
                <w:i w:val="0"/>
                <w:iCs w:val="0"/>
                <w:color w:val="0000FF"/>
                <w:kern w:val="0"/>
                <w:sz w:val="22"/>
                <w:szCs w:val="22"/>
                <w:u w:val="none"/>
                <w:lang w:val="en-US" w:eastAsia="zh-CN" w:bidi="ar"/>
              </w:rPr>
              <w:t>是否超标</w:t>
            </w:r>
          </w:p>
        </w:tc>
      </w:tr>
      <w:tr w14:paraId="4BE78A59">
        <w:tblPrEx>
          <w:tblBorders>
            <w:top w:val="thinThickSmallGap" w:color="000000" w:sz="12" w:space="0"/>
            <w:left w:val="none" w:color="auto" w:sz="0" w:space="0"/>
            <w:bottom w:val="thinThickSmallGap" w:color="000000" w:sz="12" w:space="0"/>
            <w:right w:val="none" w:color="auto" w:sz="0"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295" w:hRule="atLeast"/>
          <w:jc w:val="center"/>
        </w:trPr>
        <w:tc>
          <w:tcPr>
            <w:tcW w:w="440" w:type="dxa"/>
            <w:vMerge w:val="restart"/>
            <w:tcBorders>
              <w:tl2br w:val="nil"/>
              <w:tr2bl w:val="nil"/>
            </w:tcBorders>
            <w:shd w:val="clear" w:color="auto" w:fill="auto"/>
            <w:noWrap/>
            <w:vAlign w:val="center"/>
          </w:tcPr>
          <w:p w14:paraId="23CF3837">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default" w:ascii="Times New Roman" w:hAnsi="Times New Roman" w:eastAsia="宋体" w:cs="Times New Roman"/>
                <w:i w:val="0"/>
                <w:iCs w:val="0"/>
                <w:color w:val="0000FF"/>
                <w:kern w:val="0"/>
                <w:sz w:val="21"/>
                <w:szCs w:val="21"/>
                <w:u w:val="none"/>
                <w:lang w:val="en-US" w:eastAsia="zh-CN" w:bidi="ar"/>
              </w:rPr>
              <w:t>1</w:t>
            </w:r>
          </w:p>
        </w:tc>
        <w:tc>
          <w:tcPr>
            <w:tcW w:w="1030" w:type="dxa"/>
            <w:vMerge w:val="restart"/>
            <w:tcBorders>
              <w:tl2br w:val="nil"/>
              <w:tr2bl w:val="nil"/>
            </w:tcBorders>
            <w:shd w:val="clear" w:color="auto" w:fill="auto"/>
            <w:noWrap/>
            <w:vAlign w:val="center"/>
          </w:tcPr>
          <w:p w14:paraId="4D34EA95">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祁家堡</w:t>
            </w:r>
          </w:p>
        </w:tc>
        <w:tc>
          <w:tcPr>
            <w:tcW w:w="1170" w:type="dxa"/>
            <w:vMerge w:val="restart"/>
            <w:tcBorders>
              <w:tl2br w:val="nil"/>
              <w:tr2bl w:val="nil"/>
            </w:tcBorders>
            <w:shd w:val="clear" w:color="auto" w:fill="auto"/>
            <w:noWrap/>
            <w:vAlign w:val="center"/>
          </w:tcPr>
          <w:p w14:paraId="713CC919">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85,261</w:t>
            </w:r>
          </w:p>
        </w:tc>
        <w:tc>
          <w:tcPr>
            <w:tcW w:w="930" w:type="dxa"/>
            <w:tcBorders>
              <w:tl2br w:val="nil"/>
              <w:tr2bl w:val="nil"/>
            </w:tcBorders>
            <w:shd w:val="clear" w:color="auto" w:fill="auto"/>
            <w:noWrap/>
            <w:vAlign w:val="center"/>
          </w:tcPr>
          <w:p w14:paraId="76315722">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日平均</w:t>
            </w:r>
          </w:p>
        </w:tc>
        <w:tc>
          <w:tcPr>
            <w:tcW w:w="1174" w:type="dxa"/>
            <w:tcBorders>
              <w:tl2br w:val="nil"/>
              <w:tr2bl w:val="nil"/>
            </w:tcBorders>
            <w:shd w:val="clear" w:color="auto" w:fill="auto"/>
            <w:noWrap/>
            <w:vAlign w:val="center"/>
          </w:tcPr>
          <w:p w14:paraId="100158AE">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1.18E-02</w:t>
            </w:r>
          </w:p>
        </w:tc>
        <w:tc>
          <w:tcPr>
            <w:tcW w:w="1243" w:type="dxa"/>
            <w:tcBorders>
              <w:tl2br w:val="nil"/>
              <w:tr2bl w:val="nil"/>
            </w:tcBorders>
            <w:shd w:val="clear" w:color="auto" w:fill="auto"/>
            <w:noWrap/>
            <w:vAlign w:val="center"/>
          </w:tcPr>
          <w:p w14:paraId="0E3AC987">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240115</w:t>
            </w:r>
          </w:p>
        </w:tc>
        <w:tc>
          <w:tcPr>
            <w:tcW w:w="1180" w:type="dxa"/>
            <w:tcBorders>
              <w:tl2br w:val="nil"/>
              <w:tr2bl w:val="nil"/>
            </w:tcBorders>
            <w:shd w:val="clear" w:color="auto" w:fill="auto"/>
            <w:noWrap/>
            <w:vAlign w:val="center"/>
          </w:tcPr>
          <w:p w14:paraId="491B8E99">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3.00E-01</w:t>
            </w:r>
          </w:p>
        </w:tc>
        <w:tc>
          <w:tcPr>
            <w:tcW w:w="684" w:type="dxa"/>
            <w:tcBorders>
              <w:tl2br w:val="nil"/>
              <w:tr2bl w:val="nil"/>
            </w:tcBorders>
            <w:shd w:val="clear" w:color="auto" w:fill="auto"/>
            <w:noWrap/>
            <w:vAlign w:val="center"/>
          </w:tcPr>
          <w:p w14:paraId="356508BA">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3.94</w:t>
            </w:r>
          </w:p>
        </w:tc>
        <w:tc>
          <w:tcPr>
            <w:tcW w:w="765" w:type="dxa"/>
            <w:tcBorders>
              <w:tl2br w:val="nil"/>
              <w:tr2bl w:val="nil"/>
            </w:tcBorders>
            <w:shd w:val="clear" w:color="auto" w:fill="auto"/>
            <w:noWrap/>
            <w:vAlign w:val="center"/>
          </w:tcPr>
          <w:p w14:paraId="35B6DC36">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达标</w:t>
            </w:r>
          </w:p>
        </w:tc>
      </w:tr>
      <w:tr w14:paraId="29C7D1D6">
        <w:tblPrEx>
          <w:tblBorders>
            <w:top w:val="thinThickSmallGap" w:color="000000" w:sz="12" w:space="0"/>
            <w:left w:val="none" w:color="auto" w:sz="0" w:space="0"/>
            <w:bottom w:val="thinThickSmallGap" w:color="000000" w:sz="12" w:space="0"/>
            <w:right w:val="none" w:color="auto" w:sz="0"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295" w:hRule="atLeast"/>
          <w:jc w:val="center"/>
        </w:trPr>
        <w:tc>
          <w:tcPr>
            <w:tcW w:w="440" w:type="dxa"/>
            <w:vMerge w:val="continue"/>
            <w:tcBorders>
              <w:tl2br w:val="nil"/>
              <w:tr2bl w:val="nil"/>
            </w:tcBorders>
            <w:shd w:val="clear" w:color="auto" w:fill="auto"/>
            <w:noWrap/>
            <w:vAlign w:val="center"/>
          </w:tcPr>
          <w:p w14:paraId="1342D908">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p>
        </w:tc>
        <w:tc>
          <w:tcPr>
            <w:tcW w:w="1030" w:type="dxa"/>
            <w:vMerge w:val="continue"/>
            <w:tcBorders>
              <w:tl2br w:val="nil"/>
              <w:tr2bl w:val="nil"/>
            </w:tcBorders>
            <w:shd w:val="clear" w:color="auto" w:fill="auto"/>
            <w:noWrap/>
            <w:vAlign w:val="center"/>
          </w:tcPr>
          <w:p w14:paraId="155E52D7">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p>
        </w:tc>
        <w:tc>
          <w:tcPr>
            <w:tcW w:w="1170" w:type="dxa"/>
            <w:vMerge w:val="continue"/>
            <w:tcBorders>
              <w:tl2br w:val="nil"/>
              <w:tr2bl w:val="nil"/>
            </w:tcBorders>
            <w:shd w:val="clear" w:color="auto" w:fill="auto"/>
            <w:noWrap/>
            <w:vAlign w:val="center"/>
          </w:tcPr>
          <w:p w14:paraId="258F81A2">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p>
        </w:tc>
        <w:tc>
          <w:tcPr>
            <w:tcW w:w="930" w:type="dxa"/>
            <w:tcBorders>
              <w:tl2br w:val="nil"/>
              <w:tr2bl w:val="nil"/>
            </w:tcBorders>
            <w:shd w:val="clear" w:color="auto" w:fill="auto"/>
            <w:noWrap/>
            <w:vAlign w:val="center"/>
          </w:tcPr>
          <w:p w14:paraId="0E01A30B">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全时段</w:t>
            </w:r>
          </w:p>
        </w:tc>
        <w:tc>
          <w:tcPr>
            <w:tcW w:w="1174" w:type="dxa"/>
            <w:tcBorders>
              <w:tl2br w:val="nil"/>
              <w:tr2bl w:val="nil"/>
            </w:tcBorders>
            <w:shd w:val="clear" w:color="auto" w:fill="auto"/>
            <w:noWrap/>
            <w:vAlign w:val="center"/>
          </w:tcPr>
          <w:p w14:paraId="3D1FC46A">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2.26E-03</w:t>
            </w:r>
          </w:p>
        </w:tc>
        <w:tc>
          <w:tcPr>
            <w:tcW w:w="1243" w:type="dxa"/>
            <w:tcBorders>
              <w:tl2br w:val="nil"/>
              <w:tr2bl w:val="nil"/>
            </w:tcBorders>
            <w:shd w:val="clear" w:color="auto" w:fill="auto"/>
            <w:noWrap/>
            <w:vAlign w:val="center"/>
          </w:tcPr>
          <w:p w14:paraId="05C0F57E">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平均值</w:t>
            </w:r>
          </w:p>
        </w:tc>
        <w:tc>
          <w:tcPr>
            <w:tcW w:w="1180" w:type="dxa"/>
            <w:tcBorders>
              <w:tl2br w:val="nil"/>
              <w:tr2bl w:val="nil"/>
            </w:tcBorders>
            <w:shd w:val="clear" w:color="auto" w:fill="auto"/>
            <w:noWrap/>
            <w:vAlign w:val="center"/>
          </w:tcPr>
          <w:p w14:paraId="297EF5F8">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2.00E-01</w:t>
            </w:r>
          </w:p>
        </w:tc>
        <w:tc>
          <w:tcPr>
            <w:tcW w:w="684" w:type="dxa"/>
            <w:tcBorders>
              <w:tl2br w:val="nil"/>
              <w:tr2bl w:val="nil"/>
            </w:tcBorders>
            <w:shd w:val="clear" w:color="auto" w:fill="auto"/>
            <w:noWrap/>
            <w:vAlign w:val="center"/>
          </w:tcPr>
          <w:p w14:paraId="2C56F36F">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1.13</w:t>
            </w:r>
          </w:p>
        </w:tc>
        <w:tc>
          <w:tcPr>
            <w:tcW w:w="765" w:type="dxa"/>
            <w:tcBorders>
              <w:tl2br w:val="nil"/>
              <w:tr2bl w:val="nil"/>
            </w:tcBorders>
            <w:shd w:val="clear" w:color="auto" w:fill="auto"/>
            <w:noWrap/>
            <w:vAlign w:val="center"/>
          </w:tcPr>
          <w:p w14:paraId="3FFEF246">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达标</w:t>
            </w:r>
          </w:p>
        </w:tc>
      </w:tr>
      <w:tr w14:paraId="62AEFF55">
        <w:tblPrEx>
          <w:tblBorders>
            <w:top w:val="thinThickSmallGap" w:color="000000" w:sz="12" w:space="0"/>
            <w:left w:val="none" w:color="auto" w:sz="0" w:space="0"/>
            <w:bottom w:val="thinThickSmallGap" w:color="000000" w:sz="12" w:space="0"/>
            <w:right w:val="none" w:color="auto" w:sz="0"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295" w:hRule="atLeast"/>
          <w:jc w:val="center"/>
        </w:trPr>
        <w:tc>
          <w:tcPr>
            <w:tcW w:w="440" w:type="dxa"/>
            <w:vMerge w:val="restart"/>
            <w:tcBorders>
              <w:tl2br w:val="nil"/>
              <w:tr2bl w:val="nil"/>
            </w:tcBorders>
            <w:shd w:val="clear" w:color="auto" w:fill="auto"/>
            <w:noWrap/>
            <w:vAlign w:val="center"/>
          </w:tcPr>
          <w:p w14:paraId="1FCEF762">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default" w:ascii="Times New Roman" w:hAnsi="Times New Roman" w:eastAsia="宋体" w:cs="Times New Roman"/>
                <w:i w:val="0"/>
                <w:iCs w:val="0"/>
                <w:color w:val="0000FF"/>
                <w:kern w:val="0"/>
                <w:sz w:val="21"/>
                <w:szCs w:val="21"/>
                <w:u w:val="none"/>
                <w:lang w:val="en-US" w:eastAsia="zh-CN" w:bidi="ar"/>
              </w:rPr>
              <w:t>2</w:t>
            </w:r>
          </w:p>
        </w:tc>
        <w:tc>
          <w:tcPr>
            <w:tcW w:w="1030" w:type="dxa"/>
            <w:vMerge w:val="restart"/>
            <w:tcBorders>
              <w:tl2br w:val="nil"/>
              <w:tr2bl w:val="nil"/>
            </w:tcBorders>
            <w:shd w:val="clear" w:color="auto" w:fill="auto"/>
            <w:noWrap/>
            <w:vAlign w:val="center"/>
          </w:tcPr>
          <w:p w14:paraId="1BBB9671">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部队</w:t>
            </w:r>
          </w:p>
        </w:tc>
        <w:tc>
          <w:tcPr>
            <w:tcW w:w="1170" w:type="dxa"/>
            <w:vMerge w:val="restart"/>
            <w:tcBorders>
              <w:tl2br w:val="nil"/>
              <w:tr2bl w:val="nil"/>
            </w:tcBorders>
            <w:shd w:val="clear" w:color="auto" w:fill="auto"/>
            <w:noWrap/>
            <w:vAlign w:val="center"/>
          </w:tcPr>
          <w:p w14:paraId="7EABEF51">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-179,10</w:t>
            </w:r>
          </w:p>
        </w:tc>
        <w:tc>
          <w:tcPr>
            <w:tcW w:w="930" w:type="dxa"/>
            <w:tcBorders>
              <w:tl2br w:val="nil"/>
              <w:tr2bl w:val="nil"/>
            </w:tcBorders>
            <w:shd w:val="clear" w:color="auto" w:fill="auto"/>
            <w:noWrap/>
            <w:vAlign w:val="center"/>
          </w:tcPr>
          <w:p w14:paraId="3197CFB3">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日平均</w:t>
            </w:r>
          </w:p>
        </w:tc>
        <w:tc>
          <w:tcPr>
            <w:tcW w:w="1174" w:type="dxa"/>
            <w:tcBorders>
              <w:tl2br w:val="nil"/>
              <w:tr2bl w:val="nil"/>
            </w:tcBorders>
            <w:shd w:val="clear" w:color="auto" w:fill="auto"/>
            <w:noWrap/>
            <w:vAlign w:val="center"/>
          </w:tcPr>
          <w:p w14:paraId="586FC7EA">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1.15E-02</w:t>
            </w:r>
          </w:p>
        </w:tc>
        <w:tc>
          <w:tcPr>
            <w:tcW w:w="1243" w:type="dxa"/>
            <w:tcBorders>
              <w:tl2br w:val="nil"/>
              <w:tr2bl w:val="nil"/>
            </w:tcBorders>
            <w:shd w:val="clear" w:color="auto" w:fill="auto"/>
            <w:noWrap/>
            <w:vAlign w:val="center"/>
          </w:tcPr>
          <w:p w14:paraId="28F93BF5">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240820</w:t>
            </w:r>
          </w:p>
        </w:tc>
        <w:tc>
          <w:tcPr>
            <w:tcW w:w="1180" w:type="dxa"/>
            <w:tcBorders>
              <w:tl2br w:val="nil"/>
              <w:tr2bl w:val="nil"/>
            </w:tcBorders>
            <w:shd w:val="clear" w:color="auto" w:fill="auto"/>
            <w:noWrap/>
            <w:vAlign w:val="center"/>
          </w:tcPr>
          <w:p w14:paraId="60FF9AD0">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3.00E-01</w:t>
            </w:r>
          </w:p>
        </w:tc>
        <w:tc>
          <w:tcPr>
            <w:tcW w:w="684" w:type="dxa"/>
            <w:tcBorders>
              <w:tl2br w:val="nil"/>
              <w:tr2bl w:val="nil"/>
            </w:tcBorders>
            <w:shd w:val="clear" w:color="auto" w:fill="auto"/>
            <w:noWrap/>
            <w:vAlign w:val="center"/>
          </w:tcPr>
          <w:p w14:paraId="7EB52D1B">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3.85</w:t>
            </w:r>
          </w:p>
        </w:tc>
        <w:tc>
          <w:tcPr>
            <w:tcW w:w="765" w:type="dxa"/>
            <w:tcBorders>
              <w:tl2br w:val="nil"/>
              <w:tr2bl w:val="nil"/>
            </w:tcBorders>
            <w:shd w:val="clear" w:color="auto" w:fill="auto"/>
            <w:noWrap/>
            <w:vAlign w:val="center"/>
          </w:tcPr>
          <w:p w14:paraId="5E39656E">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达标</w:t>
            </w:r>
          </w:p>
        </w:tc>
      </w:tr>
      <w:tr w14:paraId="59C6045D">
        <w:tblPrEx>
          <w:tblBorders>
            <w:top w:val="thinThickSmallGap" w:color="000000" w:sz="12" w:space="0"/>
            <w:left w:val="none" w:color="auto" w:sz="0" w:space="0"/>
            <w:bottom w:val="thinThickSmallGap" w:color="000000" w:sz="12" w:space="0"/>
            <w:right w:val="none" w:color="auto" w:sz="0"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295" w:hRule="atLeast"/>
          <w:jc w:val="center"/>
        </w:trPr>
        <w:tc>
          <w:tcPr>
            <w:tcW w:w="440" w:type="dxa"/>
            <w:vMerge w:val="continue"/>
            <w:tcBorders>
              <w:tl2br w:val="nil"/>
              <w:tr2bl w:val="nil"/>
            </w:tcBorders>
            <w:shd w:val="clear" w:color="auto" w:fill="auto"/>
            <w:noWrap/>
            <w:vAlign w:val="center"/>
          </w:tcPr>
          <w:p w14:paraId="25095EE7">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p>
        </w:tc>
        <w:tc>
          <w:tcPr>
            <w:tcW w:w="1030" w:type="dxa"/>
            <w:vMerge w:val="continue"/>
            <w:tcBorders>
              <w:tl2br w:val="nil"/>
              <w:tr2bl w:val="nil"/>
            </w:tcBorders>
            <w:shd w:val="clear" w:color="auto" w:fill="auto"/>
            <w:noWrap/>
            <w:vAlign w:val="center"/>
          </w:tcPr>
          <w:p w14:paraId="61EBA575">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p>
        </w:tc>
        <w:tc>
          <w:tcPr>
            <w:tcW w:w="1170" w:type="dxa"/>
            <w:vMerge w:val="continue"/>
            <w:tcBorders>
              <w:tl2br w:val="nil"/>
              <w:tr2bl w:val="nil"/>
            </w:tcBorders>
            <w:shd w:val="clear" w:color="auto" w:fill="auto"/>
            <w:noWrap/>
            <w:vAlign w:val="center"/>
          </w:tcPr>
          <w:p w14:paraId="06483EFF">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p>
        </w:tc>
        <w:tc>
          <w:tcPr>
            <w:tcW w:w="930" w:type="dxa"/>
            <w:tcBorders>
              <w:tl2br w:val="nil"/>
              <w:tr2bl w:val="nil"/>
            </w:tcBorders>
            <w:shd w:val="clear" w:color="auto" w:fill="auto"/>
            <w:noWrap/>
            <w:vAlign w:val="center"/>
          </w:tcPr>
          <w:p w14:paraId="48BC0F15">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全时段</w:t>
            </w:r>
          </w:p>
        </w:tc>
        <w:tc>
          <w:tcPr>
            <w:tcW w:w="1174" w:type="dxa"/>
            <w:tcBorders>
              <w:tl2br w:val="nil"/>
              <w:tr2bl w:val="nil"/>
            </w:tcBorders>
            <w:shd w:val="clear" w:color="auto" w:fill="auto"/>
            <w:noWrap/>
            <w:vAlign w:val="center"/>
          </w:tcPr>
          <w:p w14:paraId="21900D32">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2.53E-03</w:t>
            </w:r>
          </w:p>
        </w:tc>
        <w:tc>
          <w:tcPr>
            <w:tcW w:w="1243" w:type="dxa"/>
            <w:tcBorders>
              <w:tl2br w:val="nil"/>
              <w:tr2bl w:val="nil"/>
            </w:tcBorders>
            <w:shd w:val="clear" w:color="auto" w:fill="auto"/>
            <w:noWrap/>
            <w:vAlign w:val="center"/>
          </w:tcPr>
          <w:p w14:paraId="4D8FB70F">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平均值</w:t>
            </w:r>
          </w:p>
        </w:tc>
        <w:tc>
          <w:tcPr>
            <w:tcW w:w="1180" w:type="dxa"/>
            <w:tcBorders>
              <w:tl2br w:val="nil"/>
              <w:tr2bl w:val="nil"/>
            </w:tcBorders>
            <w:shd w:val="clear" w:color="auto" w:fill="auto"/>
            <w:noWrap/>
            <w:vAlign w:val="center"/>
          </w:tcPr>
          <w:p w14:paraId="0827896E">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2.00E-01</w:t>
            </w:r>
          </w:p>
        </w:tc>
        <w:tc>
          <w:tcPr>
            <w:tcW w:w="684" w:type="dxa"/>
            <w:tcBorders>
              <w:tl2br w:val="nil"/>
              <w:tr2bl w:val="nil"/>
            </w:tcBorders>
            <w:shd w:val="clear" w:color="auto" w:fill="auto"/>
            <w:noWrap/>
            <w:vAlign w:val="center"/>
          </w:tcPr>
          <w:p w14:paraId="7CAEDCB1">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1.27</w:t>
            </w:r>
          </w:p>
        </w:tc>
        <w:tc>
          <w:tcPr>
            <w:tcW w:w="765" w:type="dxa"/>
            <w:tcBorders>
              <w:tl2br w:val="nil"/>
              <w:tr2bl w:val="nil"/>
            </w:tcBorders>
            <w:shd w:val="clear" w:color="auto" w:fill="auto"/>
            <w:noWrap/>
            <w:vAlign w:val="center"/>
          </w:tcPr>
          <w:p w14:paraId="09B68214">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达标</w:t>
            </w:r>
          </w:p>
        </w:tc>
      </w:tr>
      <w:tr w14:paraId="7C29BD0D">
        <w:tblPrEx>
          <w:tblBorders>
            <w:top w:val="thinThickSmallGap" w:color="000000" w:sz="12" w:space="0"/>
            <w:left w:val="none" w:color="auto" w:sz="0" w:space="0"/>
            <w:bottom w:val="thinThickSmallGap"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295" w:hRule="atLeast"/>
          <w:jc w:val="center"/>
        </w:trPr>
        <w:tc>
          <w:tcPr>
            <w:tcW w:w="440" w:type="dxa"/>
            <w:vMerge w:val="restart"/>
            <w:tcBorders>
              <w:tl2br w:val="nil"/>
              <w:tr2bl w:val="nil"/>
            </w:tcBorders>
            <w:shd w:val="clear" w:color="auto" w:fill="auto"/>
            <w:noWrap/>
            <w:vAlign w:val="center"/>
          </w:tcPr>
          <w:p w14:paraId="39A7F6D7">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default" w:ascii="Times New Roman" w:hAnsi="Times New Roman" w:eastAsia="宋体" w:cs="Times New Roman"/>
                <w:i w:val="0"/>
                <w:iCs w:val="0"/>
                <w:color w:val="0000FF"/>
                <w:kern w:val="0"/>
                <w:sz w:val="21"/>
                <w:szCs w:val="21"/>
                <w:u w:val="none"/>
                <w:lang w:val="en-US" w:eastAsia="zh-CN" w:bidi="ar"/>
              </w:rPr>
              <w:t>3</w:t>
            </w:r>
          </w:p>
        </w:tc>
        <w:tc>
          <w:tcPr>
            <w:tcW w:w="1030" w:type="dxa"/>
            <w:vMerge w:val="restart"/>
            <w:tcBorders>
              <w:tl2br w:val="nil"/>
              <w:tr2bl w:val="nil"/>
            </w:tcBorders>
            <w:shd w:val="clear" w:color="auto" w:fill="auto"/>
            <w:noWrap/>
            <w:vAlign w:val="center"/>
          </w:tcPr>
          <w:p w14:paraId="2B9FA6D7">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老虎沟</w:t>
            </w:r>
          </w:p>
        </w:tc>
        <w:tc>
          <w:tcPr>
            <w:tcW w:w="1170" w:type="dxa"/>
            <w:vMerge w:val="restart"/>
            <w:tcBorders>
              <w:tl2br w:val="nil"/>
              <w:tr2bl w:val="nil"/>
            </w:tcBorders>
            <w:shd w:val="clear" w:color="auto" w:fill="auto"/>
            <w:noWrap/>
            <w:vAlign w:val="center"/>
          </w:tcPr>
          <w:p w14:paraId="64048433">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-1526,736</w:t>
            </w:r>
          </w:p>
        </w:tc>
        <w:tc>
          <w:tcPr>
            <w:tcW w:w="930" w:type="dxa"/>
            <w:tcBorders>
              <w:tl2br w:val="nil"/>
              <w:tr2bl w:val="nil"/>
            </w:tcBorders>
            <w:shd w:val="clear" w:color="auto" w:fill="auto"/>
            <w:noWrap/>
            <w:vAlign w:val="center"/>
          </w:tcPr>
          <w:p w14:paraId="09A539F4">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日平均</w:t>
            </w:r>
          </w:p>
        </w:tc>
        <w:tc>
          <w:tcPr>
            <w:tcW w:w="1174" w:type="dxa"/>
            <w:tcBorders>
              <w:tl2br w:val="nil"/>
              <w:tr2bl w:val="nil"/>
            </w:tcBorders>
            <w:shd w:val="clear" w:color="auto" w:fill="auto"/>
            <w:noWrap/>
            <w:vAlign w:val="center"/>
          </w:tcPr>
          <w:p w14:paraId="421EAE97">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3.32E-03</w:t>
            </w:r>
          </w:p>
        </w:tc>
        <w:tc>
          <w:tcPr>
            <w:tcW w:w="1243" w:type="dxa"/>
            <w:tcBorders>
              <w:tl2br w:val="nil"/>
              <w:tr2bl w:val="nil"/>
            </w:tcBorders>
            <w:shd w:val="clear" w:color="auto" w:fill="auto"/>
            <w:noWrap/>
            <w:vAlign w:val="center"/>
          </w:tcPr>
          <w:p w14:paraId="1F73A08F">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241228</w:t>
            </w:r>
          </w:p>
        </w:tc>
        <w:tc>
          <w:tcPr>
            <w:tcW w:w="1180" w:type="dxa"/>
            <w:tcBorders>
              <w:tl2br w:val="nil"/>
              <w:tr2bl w:val="nil"/>
            </w:tcBorders>
            <w:shd w:val="clear" w:color="auto" w:fill="auto"/>
            <w:noWrap/>
            <w:vAlign w:val="center"/>
          </w:tcPr>
          <w:p w14:paraId="7DD4F7E5">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3.00E-01</w:t>
            </w:r>
          </w:p>
        </w:tc>
        <w:tc>
          <w:tcPr>
            <w:tcW w:w="684" w:type="dxa"/>
            <w:tcBorders>
              <w:tl2br w:val="nil"/>
              <w:tr2bl w:val="nil"/>
            </w:tcBorders>
            <w:shd w:val="clear" w:color="auto" w:fill="auto"/>
            <w:noWrap/>
            <w:vAlign w:val="center"/>
          </w:tcPr>
          <w:p w14:paraId="62C53835">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1.11</w:t>
            </w:r>
          </w:p>
        </w:tc>
        <w:tc>
          <w:tcPr>
            <w:tcW w:w="765" w:type="dxa"/>
            <w:tcBorders>
              <w:tl2br w:val="nil"/>
              <w:tr2bl w:val="nil"/>
            </w:tcBorders>
            <w:shd w:val="clear" w:color="auto" w:fill="auto"/>
            <w:noWrap/>
            <w:vAlign w:val="center"/>
          </w:tcPr>
          <w:p w14:paraId="5A0C0CA7">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达标</w:t>
            </w:r>
          </w:p>
        </w:tc>
      </w:tr>
      <w:tr w14:paraId="595ABF4D">
        <w:tblPrEx>
          <w:tblBorders>
            <w:top w:val="thinThickSmallGap" w:color="000000" w:sz="12" w:space="0"/>
            <w:left w:val="none" w:color="auto" w:sz="0" w:space="0"/>
            <w:bottom w:val="thinThickSmallGap"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295" w:hRule="atLeast"/>
          <w:jc w:val="center"/>
        </w:trPr>
        <w:tc>
          <w:tcPr>
            <w:tcW w:w="440" w:type="dxa"/>
            <w:vMerge w:val="continue"/>
            <w:tcBorders>
              <w:tl2br w:val="nil"/>
              <w:tr2bl w:val="nil"/>
            </w:tcBorders>
            <w:shd w:val="clear" w:color="auto" w:fill="auto"/>
            <w:noWrap/>
            <w:vAlign w:val="center"/>
          </w:tcPr>
          <w:p w14:paraId="566DC8FE">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p>
        </w:tc>
        <w:tc>
          <w:tcPr>
            <w:tcW w:w="1030" w:type="dxa"/>
            <w:vMerge w:val="continue"/>
            <w:tcBorders>
              <w:tl2br w:val="nil"/>
              <w:tr2bl w:val="nil"/>
            </w:tcBorders>
            <w:shd w:val="clear" w:color="auto" w:fill="auto"/>
            <w:noWrap/>
            <w:vAlign w:val="center"/>
          </w:tcPr>
          <w:p w14:paraId="2C5FD676">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p>
        </w:tc>
        <w:tc>
          <w:tcPr>
            <w:tcW w:w="1170" w:type="dxa"/>
            <w:vMerge w:val="continue"/>
            <w:tcBorders>
              <w:tl2br w:val="nil"/>
              <w:tr2bl w:val="nil"/>
            </w:tcBorders>
            <w:shd w:val="clear" w:color="auto" w:fill="auto"/>
            <w:noWrap/>
            <w:vAlign w:val="center"/>
          </w:tcPr>
          <w:p w14:paraId="4DD74B57">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p>
        </w:tc>
        <w:tc>
          <w:tcPr>
            <w:tcW w:w="930" w:type="dxa"/>
            <w:tcBorders>
              <w:tl2br w:val="nil"/>
              <w:tr2bl w:val="nil"/>
            </w:tcBorders>
            <w:shd w:val="clear" w:color="auto" w:fill="auto"/>
            <w:noWrap/>
            <w:vAlign w:val="center"/>
          </w:tcPr>
          <w:p w14:paraId="5E6FC32F">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全时段</w:t>
            </w:r>
          </w:p>
        </w:tc>
        <w:tc>
          <w:tcPr>
            <w:tcW w:w="1174" w:type="dxa"/>
            <w:tcBorders>
              <w:tl2br w:val="nil"/>
              <w:tr2bl w:val="nil"/>
            </w:tcBorders>
            <w:shd w:val="clear" w:color="auto" w:fill="auto"/>
            <w:noWrap/>
            <w:vAlign w:val="center"/>
          </w:tcPr>
          <w:p w14:paraId="2857661B">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6.76E-04</w:t>
            </w:r>
          </w:p>
        </w:tc>
        <w:tc>
          <w:tcPr>
            <w:tcW w:w="1243" w:type="dxa"/>
            <w:tcBorders>
              <w:tl2br w:val="nil"/>
              <w:tr2bl w:val="nil"/>
            </w:tcBorders>
            <w:shd w:val="clear" w:color="auto" w:fill="auto"/>
            <w:noWrap/>
            <w:vAlign w:val="center"/>
          </w:tcPr>
          <w:p w14:paraId="30C9900C">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平均值</w:t>
            </w:r>
          </w:p>
        </w:tc>
        <w:tc>
          <w:tcPr>
            <w:tcW w:w="1180" w:type="dxa"/>
            <w:tcBorders>
              <w:tl2br w:val="nil"/>
              <w:tr2bl w:val="nil"/>
            </w:tcBorders>
            <w:shd w:val="clear" w:color="auto" w:fill="auto"/>
            <w:noWrap/>
            <w:vAlign w:val="center"/>
          </w:tcPr>
          <w:p w14:paraId="7DBCE211">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2.00E-01</w:t>
            </w:r>
          </w:p>
        </w:tc>
        <w:tc>
          <w:tcPr>
            <w:tcW w:w="684" w:type="dxa"/>
            <w:tcBorders>
              <w:tl2br w:val="nil"/>
              <w:tr2bl w:val="nil"/>
            </w:tcBorders>
            <w:shd w:val="clear" w:color="auto" w:fill="auto"/>
            <w:noWrap/>
            <w:vAlign w:val="center"/>
          </w:tcPr>
          <w:p w14:paraId="0C00CE76">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0.34</w:t>
            </w:r>
          </w:p>
        </w:tc>
        <w:tc>
          <w:tcPr>
            <w:tcW w:w="765" w:type="dxa"/>
            <w:tcBorders>
              <w:tl2br w:val="nil"/>
              <w:tr2bl w:val="nil"/>
            </w:tcBorders>
            <w:shd w:val="clear" w:color="auto" w:fill="auto"/>
            <w:noWrap/>
            <w:vAlign w:val="center"/>
          </w:tcPr>
          <w:p w14:paraId="28C17762">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达标</w:t>
            </w:r>
          </w:p>
        </w:tc>
      </w:tr>
      <w:tr w14:paraId="4E1A5831">
        <w:tblPrEx>
          <w:tblBorders>
            <w:top w:val="thinThickSmallGap" w:color="000000" w:sz="12" w:space="0"/>
            <w:left w:val="none" w:color="auto" w:sz="0" w:space="0"/>
            <w:bottom w:val="thinThickSmallGap"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295" w:hRule="atLeast"/>
          <w:jc w:val="center"/>
        </w:trPr>
        <w:tc>
          <w:tcPr>
            <w:tcW w:w="440" w:type="dxa"/>
            <w:vMerge w:val="restart"/>
            <w:tcBorders>
              <w:tl2br w:val="nil"/>
              <w:tr2bl w:val="nil"/>
            </w:tcBorders>
            <w:shd w:val="clear" w:color="auto" w:fill="auto"/>
            <w:noWrap/>
            <w:vAlign w:val="center"/>
          </w:tcPr>
          <w:p w14:paraId="1483ADDA">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default" w:ascii="Times New Roman" w:hAnsi="Times New Roman" w:eastAsia="宋体" w:cs="Times New Roman"/>
                <w:i w:val="0"/>
                <w:iCs w:val="0"/>
                <w:color w:val="0000FF"/>
                <w:kern w:val="0"/>
                <w:sz w:val="21"/>
                <w:szCs w:val="21"/>
                <w:u w:val="none"/>
                <w:lang w:val="en-US" w:eastAsia="zh-CN" w:bidi="ar"/>
              </w:rPr>
              <w:t>4</w:t>
            </w:r>
          </w:p>
        </w:tc>
        <w:tc>
          <w:tcPr>
            <w:tcW w:w="1030" w:type="dxa"/>
            <w:vMerge w:val="restart"/>
            <w:tcBorders>
              <w:tl2br w:val="nil"/>
              <w:tr2bl w:val="nil"/>
            </w:tcBorders>
            <w:shd w:val="clear" w:color="auto" w:fill="auto"/>
            <w:noWrap/>
            <w:vAlign w:val="center"/>
          </w:tcPr>
          <w:p w14:paraId="7F6C4F66">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三道沟</w:t>
            </w:r>
          </w:p>
        </w:tc>
        <w:tc>
          <w:tcPr>
            <w:tcW w:w="1170" w:type="dxa"/>
            <w:vMerge w:val="restart"/>
            <w:tcBorders>
              <w:tl2br w:val="nil"/>
              <w:tr2bl w:val="nil"/>
            </w:tcBorders>
            <w:shd w:val="clear" w:color="auto" w:fill="auto"/>
            <w:noWrap/>
            <w:vAlign w:val="center"/>
          </w:tcPr>
          <w:p w14:paraId="34EC28B4">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910,-1326</w:t>
            </w:r>
          </w:p>
        </w:tc>
        <w:tc>
          <w:tcPr>
            <w:tcW w:w="930" w:type="dxa"/>
            <w:tcBorders>
              <w:tl2br w:val="nil"/>
              <w:tr2bl w:val="nil"/>
            </w:tcBorders>
            <w:shd w:val="clear" w:color="auto" w:fill="auto"/>
            <w:noWrap/>
            <w:vAlign w:val="center"/>
          </w:tcPr>
          <w:p w14:paraId="27D53E25">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日平均</w:t>
            </w:r>
          </w:p>
        </w:tc>
        <w:tc>
          <w:tcPr>
            <w:tcW w:w="1174" w:type="dxa"/>
            <w:tcBorders>
              <w:tl2br w:val="nil"/>
              <w:tr2bl w:val="nil"/>
            </w:tcBorders>
            <w:shd w:val="clear" w:color="auto" w:fill="auto"/>
            <w:noWrap/>
            <w:vAlign w:val="center"/>
          </w:tcPr>
          <w:p w14:paraId="7336C930">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1.21E-03</w:t>
            </w:r>
          </w:p>
        </w:tc>
        <w:tc>
          <w:tcPr>
            <w:tcW w:w="1243" w:type="dxa"/>
            <w:tcBorders>
              <w:tl2br w:val="nil"/>
              <w:tr2bl w:val="nil"/>
            </w:tcBorders>
            <w:shd w:val="clear" w:color="auto" w:fill="auto"/>
            <w:noWrap/>
            <w:vAlign w:val="center"/>
          </w:tcPr>
          <w:p w14:paraId="2431ACF4">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241220</w:t>
            </w:r>
          </w:p>
        </w:tc>
        <w:tc>
          <w:tcPr>
            <w:tcW w:w="1180" w:type="dxa"/>
            <w:tcBorders>
              <w:tl2br w:val="nil"/>
              <w:tr2bl w:val="nil"/>
            </w:tcBorders>
            <w:shd w:val="clear" w:color="auto" w:fill="auto"/>
            <w:noWrap/>
            <w:vAlign w:val="center"/>
          </w:tcPr>
          <w:p w14:paraId="18A8F5ED">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3.00E-01</w:t>
            </w:r>
          </w:p>
        </w:tc>
        <w:tc>
          <w:tcPr>
            <w:tcW w:w="684" w:type="dxa"/>
            <w:tcBorders>
              <w:tl2br w:val="nil"/>
              <w:tr2bl w:val="nil"/>
            </w:tcBorders>
            <w:shd w:val="clear" w:color="auto" w:fill="auto"/>
            <w:noWrap/>
            <w:vAlign w:val="center"/>
          </w:tcPr>
          <w:p w14:paraId="45CAE660">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0.4</w:t>
            </w:r>
          </w:p>
        </w:tc>
        <w:tc>
          <w:tcPr>
            <w:tcW w:w="765" w:type="dxa"/>
            <w:tcBorders>
              <w:tl2br w:val="nil"/>
              <w:tr2bl w:val="nil"/>
            </w:tcBorders>
            <w:shd w:val="clear" w:color="auto" w:fill="auto"/>
            <w:noWrap/>
            <w:vAlign w:val="center"/>
          </w:tcPr>
          <w:p w14:paraId="18210878">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达标</w:t>
            </w:r>
          </w:p>
        </w:tc>
      </w:tr>
      <w:tr w14:paraId="4BD04FB0">
        <w:tblPrEx>
          <w:tblBorders>
            <w:top w:val="thinThickSmallGap" w:color="000000" w:sz="12" w:space="0"/>
            <w:left w:val="none" w:color="auto" w:sz="0" w:space="0"/>
            <w:bottom w:val="thinThickSmallGap"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295" w:hRule="atLeast"/>
          <w:jc w:val="center"/>
        </w:trPr>
        <w:tc>
          <w:tcPr>
            <w:tcW w:w="440" w:type="dxa"/>
            <w:vMerge w:val="continue"/>
            <w:tcBorders>
              <w:tl2br w:val="nil"/>
              <w:tr2bl w:val="nil"/>
            </w:tcBorders>
            <w:shd w:val="clear" w:color="auto" w:fill="auto"/>
            <w:noWrap/>
            <w:vAlign w:val="center"/>
          </w:tcPr>
          <w:p w14:paraId="6B57458B">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p>
        </w:tc>
        <w:tc>
          <w:tcPr>
            <w:tcW w:w="1030" w:type="dxa"/>
            <w:vMerge w:val="continue"/>
            <w:tcBorders>
              <w:tl2br w:val="nil"/>
              <w:tr2bl w:val="nil"/>
            </w:tcBorders>
            <w:shd w:val="clear" w:color="auto" w:fill="auto"/>
            <w:noWrap/>
            <w:vAlign w:val="center"/>
          </w:tcPr>
          <w:p w14:paraId="1183CAED">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p>
        </w:tc>
        <w:tc>
          <w:tcPr>
            <w:tcW w:w="1170" w:type="dxa"/>
            <w:vMerge w:val="continue"/>
            <w:tcBorders>
              <w:tl2br w:val="nil"/>
              <w:tr2bl w:val="nil"/>
            </w:tcBorders>
            <w:shd w:val="clear" w:color="auto" w:fill="auto"/>
            <w:noWrap/>
            <w:vAlign w:val="center"/>
          </w:tcPr>
          <w:p w14:paraId="37CCDF8E">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p>
        </w:tc>
        <w:tc>
          <w:tcPr>
            <w:tcW w:w="930" w:type="dxa"/>
            <w:tcBorders>
              <w:tl2br w:val="nil"/>
              <w:tr2bl w:val="nil"/>
            </w:tcBorders>
            <w:shd w:val="clear" w:color="auto" w:fill="auto"/>
            <w:noWrap/>
            <w:vAlign w:val="center"/>
          </w:tcPr>
          <w:p w14:paraId="5BC9A681">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全时段</w:t>
            </w:r>
          </w:p>
        </w:tc>
        <w:tc>
          <w:tcPr>
            <w:tcW w:w="1174" w:type="dxa"/>
            <w:tcBorders>
              <w:tl2br w:val="nil"/>
              <w:tr2bl w:val="nil"/>
            </w:tcBorders>
            <w:shd w:val="clear" w:color="auto" w:fill="auto"/>
            <w:noWrap/>
            <w:vAlign w:val="center"/>
          </w:tcPr>
          <w:p w14:paraId="496D6A40">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1.44E-04</w:t>
            </w:r>
          </w:p>
        </w:tc>
        <w:tc>
          <w:tcPr>
            <w:tcW w:w="1243" w:type="dxa"/>
            <w:tcBorders>
              <w:tl2br w:val="nil"/>
              <w:tr2bl w:val="nil"/>
            </w:tcBorders>
            <w:shd w:val="clear" w:color="auto" w:fill="auto"/>
            <w:noWrap/>
            <w:vAlign w:val="center"/>
          </w:tcPr>
          <w:p w14:paraId="734F1A70">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平均值</w:t>
            </w:r>
          </w:p>
        </w:tc>
        <w:tc>
          <w:tcPr>
            <w:tcW w:w="1180" w:type="dxa"/>
            <w:tcBorders>
              <w:tl2br w:val="nil"/>
              <w:tr2bl w:val="nil"/>
            </w:tcBorders>
            <w:shd w:val="clear" w:color="auto" w:fill="auto"/>
            <w:noWrap/>
            <w:vAlign w:val="center"/>
          </w:tcPr>
          <w:p w14:paraId="455032B3">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2.00E-01</w:t>
            </w:r>
          </w:p>
        </w:tc>
        <w:tc>
          <w:tcPr>
            <w:tcW w:w="684" w:type="dxa"/>
            <w:tcBorders>
              <w:tl2br w:val="nil"/>
              <w:tr2bl w:val="nil"/>
            </w:tcBorders>
            <w:shd w:val="clear" w:color="auto" w:fill="auto"/>
            <w:noWrap/>
            <w:vAlign w:val="center"/>
          </w:tcPr>
          <w:p w14:paraId="11E0BF0B">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0.07</w:t>
            </w:r>
          </w:p>
        </w:tc>
        <w:tc>
          <w:tcPr>
            <w:tcW w:w="765" w:type="dxa"/>
            <w:tcBorders>
              <w:tl2br w:val="nil"/>
              <w:tr2bl w:val="nil"/>
            </w:tcBorders>
            <w:shd w:val="clear" w:color="auto" w:fill="auto"/>
            <w:noWrap/>
            <w:vAlign w:val="center"/>
          </w:tcPr>
          <w:p w14:paraId="5C28BE9C">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达标</w:t>
            </w:r>
          </w:p>
        </w:tc>
      </w:tr>
      <w:tr w14:paraId="2DC698A8">
        <w:tblPrEx>
          <w:tblBorders>
            <w:top w:val="thinThickSmallGap" w:color="000000" w:sz="12" w:space="0"/>
            <w:left w:val="none" w:color="auto" w:sz="0" w:space="0"/>
            <w:bottom w:val="thinThickSmallGap" w:color="000000" w:sz="12" w:space="0"/>
            <w:right w:val="none" w:color="auto" w:sz="0"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295" w:hRule="atLeast"/>
          <w:jc w:val="center"/>
        </w:trPr>
        <w:tc>
          <w:tcPr>
            <w:tcW w:w="440" w:type="dxa"/>
            <w:vMerge w:val="restart"/>
            <w:tcBorders>
              <w:tl2br w:val="nil"/>
              <w:tr2bl w:val="nil"/>
            </w:tcBorders>
            <w:shd w:val="clear" w:color="auto" w:fill="auto"/>
            <w:noWrap/>
            <w:vAlign w:val="center"/>
          </w:tcPr>
          <w:p w14:paraId="1C92775C">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default" w:ascii="Times New Roman" w:hAnsi="Times New Roman" w:eastAsia="宋体" w:cs="Times New Roman"/>
                <w:i w:val="0"/>
                <w:iCs w:val="0"/>
                <w:color w:val="0000FF"/>
                <w:kern w:val="0"/>
                <w:sz w:val="21"/>
                <w:szCs w:val="21"/>
                <w:u w:val="none"/>
                <w:lang w:val="en-US" w:eastAsia="zh-CN" w:bidi="ar"/>
              </w:rPr>
              <w:t>5</w:t>
            </w:r>
          </w:p>
        </w:tc>
        <w:tc>
          <w:tcPr>
            <w:tcW w:w="1030" w:type="dxa"/>
            <w:vMerge w:val="restart"/>
            <w:tcBorders>
              <w:tl2br w:val="nil"/>
              <w:tr2bl w:val="nil"/>
            </w:tcBorders>
            <w:shd w:val="clear" w:color="auto" w:fill="auto"/>
            <w:noWrap/>
            <w:vAlign w:val="center"/>
          </w:tcPr>
          <w:p w14:paraId="5FCCF708">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四道河子</w:t>
            </w:r>
          </w:p>
        </w:tc>
        <w:tc>
          <w:tcPr>
            <w:tcW w:w="1170" w:type="dxa"/>
            <w:vMerge w:val="restart"/>
            <w:tcBorders>
              <w:tl2br w:val="nil"/>
              <w:tr2bl w:val="nil"/>
            </w:tcBorders>
            <w:shd w:val="clear" w:color="auto" w:fill="auto"/>
            <w:noWrap/>
            <w:vAlign w:val="center"/>
          </w:tcPr>
          <w:p w14:paraId="6E179D8D">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430,1123</w:t>
            </w:r>
          </w:p>
        </w:tc>
        <w:tc>
          <w:tcPr>
            <w:tcW w:w="930" w:type="dxa"/>
            <w:tcBorders>
              <w:tl2br w:val="nil"/>
              <w:tr2bl w:val="nil"/>
            </w:tcBorders>
            <w:shd w:val="clear" w:color="auto" w:fill="auto"/>
            <w:noWrap/>
            <w:vAlign w:val="center"/>
          </w:tcPr>
          <w:p w14:paraId="5F9A6B07">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日平均</w:t>
            </w:r>
          </w:p>
        </w:tc>
        <w:tc>
          <w:tcPr>
            <w:tcW w:w="1174" w:type="dxa"/>
            <w:tcBorders>
              <w:tl2br w:val="nil"/>
              <w:tr2bl w:val="nil"/>
            </w:tcBorders>
            <w:shd w:val="clear" w:color="auto" w:fill="auto"/>
            <w:noWrap/>
            <w:vAlign w:val="center"/>
          </w:tcPr>
          <w:p w14:paraId="10E7B42B">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4.23E-03</w:t>
            </w:r>
          </w:p>
        </w:tc>
        <w:tc>
          <w:tcPr>
            <w:tcW w:w="1243" w:type="dxa"/>
            <w:tcBorders>
              <w:tl2br w:val="nil"/>
              <w:tr2bl w:val="nil"/>
            </w:tcBorders>
            <w:shd w:val="clear" w:color="auto" w:fill="auto"/>
            <w:noWrap/>
            <w:vAlign w:val="center"/>
          </w:tcPr>
          <w:p w14:paraId="792B7875">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240423</w:t>
            </w:r>
          </w:p>
        </w:tc>
        <w:tc>
          <w:tcPr>
            <w:tcW w:w="1180" w:type="dxa"/>
            <w:tcBorders>
              <w:tl2br w:val="nil"/>
              <w:tr2bl w:val="nil"/>
            </w:tcBorders>
            <w:shd w:val="clear" w:color="auto" w:fill="auto"/>
            <w:noWrap/>
            <w:vAlign w:val="center"/>
          </w:tcPr>
          <w:p w14:paraId="21B741EA">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3.00E-01</w:t>
            </w:r>
          </w:p>
        </w:tc>
        <w:tc>
          <w:tcPr>
            <w:tcW w:w="684" w:type="dxa"/>
            <w:tcBorders>
              <w:tl2br w:val="nil"/>
              <w:tr2bl w:val="nil"/>
            </w:tcBorders>
            <w:shd w:val="clear" w:color="auto" w:fill="auto"/>
            <w:noWrap/>
            <w:vAlign w:val="center"/>
          </w:tcPr>
          <w:p w14:paraId="7D689F1F">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1.41</w:t>
            </w:r>
          </w:p>
        </w:tc>
        <w:tc>
          <w:tcPr>
            <w:tcW w:w="765" w:type="dxa"/>
            <w:tcBorders>
              <w:tl2br w:val="nil"/>
              <w:tr2bl w:val="nil"/>
            </w:tcBorders>
            <w:shd w:val="clear" w:color="auto" w:fill="auto"/>
            <w:noWrap/>
            <w:vAlign w:val="center"/>
          </w:tcPr>
          <w:p w14:paraId="71A740B7">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达标</w:t>
            </w:r>
          </w:p>
        </w:tc>
      </w:tr>
      <w:tr w14:paraId="7FFCA6A7">
        <w:tblPrEx>
          <w:tblBorders>
            <w:top w:val="thinThickSmallGap" w:color="000000" w:sz="12" w:space="0"/>
            <w:left w:val="none" w:color="auto" w:sz="0" w:space="0"/>
            <w:bottom w:val="thinThickSmallGap" w:color="000000" w:sz="12" w:space="0"/>
            <w:right w:val="none" w:color="auto" w:sz="0"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295" w:hRule="atLeast"/>
          <w:jc w:val="center"/>
        </w:trPr>
        <w:tc>
          <w:tcPr>
            <w:tcW w:w="440" w:type="dxa"/>
            <w:vMerge w:val="continue"/>
            <w:tcBorders>
              <w:tl2br w:val="nil"/>
              <w:tr2bl w:val="nil"/>
            </w:tcBorders>
            <w:shd w:val="clear" w:color="auto" w:fill="auto"/>
            <w:noWrap/>
            <w:vAlign w:val="center"/>
          </w:tcPr>
          <w:p w14:paraId="5A846CD3">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p>
        </w:tc>
        <w:tc>
          <w:tcPr>
            <w:tcW w:w="1030" w:type="dxa"/>
            <w:vMerge w:val="continue"/>
            <w:tcBorders>
              <w:tl2br w:val="nil"/>
              <w:tr2bl w:val="nil"/>
            </w:tcBorders>
            <w:shd w:val="clear" w:color="auto" w:fill="auto"/>
            <w:noWrap/>
            <w:vAlign w:val="center"/>
          </w:tcPr>
          <w:p w14:paraId="0EFC3773">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p>
        </w:tc>
        <w:tc>
          <w:tcPr>
            <w:tcW w:w="1170" w:type="dxa"/>
            <w:vMerge w:val="continue"/>
            <w:tcBorders>
              <w:tl2br w:val="nil"/>
              <w:tr2bl w:val="nil"/>
            </w:tcBorders>
            <w:shd w:val="clear" w:color="auto" w:fill="auto"/>
            <w:noWrap/>
            <w:vAlign w:val="center"/>
          </w:tcPr>
          <w:p w14:paraId="663A1C79">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p>
        </w:tc>
        <w:tc>
          <w:tcPr>
            <w:tcW w:w="930" w:type="dxa"/>
            <w:tcBorders>
              <w:tl2br w:val="nil"/>
              <w:tr2bl w:val="nil"/>
            </w:tcBorders>
            <w:shd w:val="clear" w:color="auto" w:fill="auto"/>
            <w:noWrap/>
            <w:vAlign w:val="center"/>
          </w:tcPr>
          <w:p w14:paraId="48878B95">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全时段</w:t>
            </w:r>
          </w:p>
        </w:tc>
        <w:tc>
          <w:tcPr>
            <w:tcW w:w="1174" w:type="dxa"/>
            <w:tcBorders>
              <w:tl2br w:val="nil"/>
              <w:tr2bl w:val="nil"/>
            </w:tcBorders>
            <w:shd w:val="clear" w:color="auto" w:fill="auto"/>
            <w:noWrap/>
            <w:vAlign w:val="center"/>
          </w:tcPr>
          <w:p w14:paraId="4EA5488D">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5.57E-04</w:t>
            </w:r>
          </w:p>
        </w:tc>
        <w:tc>
          <w:tcPr>
            <w:tcW w:w="1243" w:type="dxa"/>
            <w:tcBorders>
              <w:tl2br w:val="nil"/>
              <w:tr2bl w:val="nil"/>
            </w:tcBorders>
            <w:shd w:val="clear" w:color="auto" w:fill="auto"/>
            <w:noWrap/>
            <w:vAlign w:val="center"/>
          </w:tcPr>
          <w:p w14:paraId="5F4A0FB2">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平均值</w:t>
            </w:r>
          </w:p>
        </w:tc>
        <w:tc>
          <w:tcPr>
            <w:tcW w:w="1180" w:type="dxa"/>
            <w:tcBorders>
              <w:tl2br w:val="nil"/>
              <w:tr2bl w:val="nil"/>
            </w:tcBorders>
            <w:shd w:val="clear" w:color="auto" w:fill="auto"/>
            <w:noWrap/>
            <w:vAlign w:val="center"/>
          </w:tcPr>
          <w:p w14:paraId="6D42C493">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2.00E-01</w:t>
            </w:r>
          </w:p>
        </w:tc>
        <w:tc>
          <w:tcPr>
            <w:tcW w:w="684" w:type="dxa"/>
            <w:tcBorders>
              <w:tl2br w:val="nil"/>
              <w:tr2bl w:val="nil"/>
            </w:tcBorders>
            <w:shd w:val="clear" w:color="auto" w:fill="auto"/>
            <w:noWrap/>
            <w:vAlign w:val="center"/>
          </w:tcPr>
          <w:p w14:paraId="678D3CF4">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0.28</w:t>
            </w:r>
          </w:p>
        </w:tc>
        <w:tc>
          <w:tcPr>
            <w:tcW w:w="765" w:type="dxa"/>
            <w:tcBorders>
              <w:tl2br w:val="nil"/>
              <w:tr2bl w:val="nil"/>
            </w:tcBorders>
            <w:shd w:val="clear" w:color="auto" w:fill="auto"/>
            <w:noWrap/>
            <w:vAlign w:val="center"/>
          </w:tcPr>
          <w:p w14:paraId="40B282A4">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达标</w:t>
            </w:r>
          </w:p>
        </w:tc>
      </w:tr>
      <w:tr w14:paraId="0D1481CE">
        <w:tblPrEx>
          <w:tblBorders>
            <w:top w:val="thinThickSmallGap" w:color="000000" w:sz="12" w:space="0"/>
            <w:left w:val="none" w:color="auto" w:sz="0" w:space="0"/>
            <w:bottom w:val="thinThickSmallGap"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295" w:hRule="atLeast"/>
          <w:jc w:val="center"/>
        </w:trPr>
        <w:tc>
          <w:tcPr>
            <w:tcW w:w="440" w:type="dxa"/>
            <w:vMerge w:val="restart"/>
            <w:tcBorders>
              <w:tl2br w:val="nil"/>
              <w:tr2bl w:val="nil"/>
            </w:tcBorders>
            <w:shd w:val="clear" w:color="auto" w:fill="auto"/>
            <w:noWrap/>
            <w:vAlign w:val="center"/>
          </w:tcPr>
          <w:p w14:paraId="4D5B2CA2">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default" w:ascii="Times New Roman" w:hAnsi="Times New Roman" w:eastAsia="宋体" w:cs="Times New Roman"/>
                <w:i w:val="0"/>
                <w:iCs w:val="0"/>
                <w:color w:val="0000FF"/>
                <w:kern w:val="0"/>
                <w:sz w:val="21"/>
                <w:szCs w:val="21"/>
                <w:u w:val="none"/>
                <w:lang w:val="en-US" w:eastAsia="zh-CN" w:bidi="ar"/>
              </w:rPr>
              <w:t>6</w:t>
            </w:r>
          </w:p>
        </w:tc>
        <w:tc>
          <w:tcPr>
            <w:tcW w:w="1030" w:type="dxa"/>
            <w:vMerge w:val="restart"/>
            <w:tcBorders>
              <w:tl2br w:val="nil"/>
              <w:tr2bl w:val="nil"/>
            </w:tcBorders>
            <w:shd w:val="clear" w:color="auto" w:fill="auto"/>
            <w:vAlign w:val="center"/>
          </w:tcPr>
          <w:p w14:paraId="75E9907D">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五道沟</w:t>
            </w:r>
          </w:p>
        </w:tc>
        <w:tc>
          <w:tcPr>
            <w:tcW w:w="1170" w:type="dxa"/>
            <w:vMerge w:val="restart"/>
            <w:tcBorders>
              <w:tl2br w:val="nil"/>
              <w:tr2bl w:val="nil"/>
            </w:tcBorders>
            <w:shd w:val="clear" w:color="auto" w:fill="auto"/>
            <w:noWrap/>
            <w:vAlign w:val="center"/>
          </w:tcPr>
          <w:p w14:paraId="6CE70263">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815,1679</w:t>
            </w:r>
          </w:p>
        </w:tc>
        <w:tc>
          <w:tcPr>
            <w:tcW w:w="930" w:type="dxa"/>
            <w:tcBorders>
              <w:tl2br w:val="nil"/>
              <w:tr2bl w:val="nil"/>
            </w:tcBorders>
            <w:shd w:val="clear" w:color="auto" w:fill="auto"/>
            <w:noWrap/>
            <w:vAlign w:val="center"/>
          </w:tcPr>
          <w:p w14:paraId="6E13B1BD">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日平均</w:t>
            </w:r>
          </w:p>
        </w:tc>
        <w:tc>
          <w:tcPr>
            <w:tcW w:w="1174" w:type="dxa"/>
            <w:tcBorders>
              <w:tl2br w:val="nil"/>
              <w:tr2bl w:val="nil"/>
            </w:tcBorders>
            <w:shd w:val="clear" w:color="auto" w:fill="auto"/>
            <w:noWrap/>
            <w:vAlign w:val="center"/>
          </w:tcPr>
          <w:p w14:paraId="6CF053D0">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1.70E-03</w:t>
            </w:r>
          </w:p>
        </w:tc>
        <w:tc>
          <w:tcPr>
            <w:tcW w:w="1243" w:type="dxa"/>
            <w:tcBorders>
              <w:tl2br w:val="nil"/>
              <w:tr2bl w:val="nil"/>
            </w:tcBorders>
            <w:shd w:val="clear" w:color="auto" w:fill="auto"/>
            <w:noWrap/>
            <w:vAlign w:val="center"/>
          </w:tcPr>
          <w:p w14:paraId="5B418644">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240226</w:t>
            </w:r>
          </w:p>
        </w:tc>
        <w:tc>
          <w:tcPr>
            <w:tcW w:w="1180" w:type="dxa"/>
            <w:tcBorders>
              <w:tl2br w:val="nil"/>
              <w:tr2bl w:val="nil"/>
            </w:tcBorders>
            <w:shd w:val="clear" w:color="auto" w:fill="auto"/>
            <w:noWrap/>
            <w:vAlign w:val="center"/>
          </w:tcPr>
          <w:p w14:paraId="43F73547">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3.00E-01</w:t>
            </w:r>
          </w:p>
        </w:tc>
        <w:tc>
          <w:tcPr>
            <w:tcW w:w="684" w:type="dxa"/>
            <w:tcBorders>
              <w:tl2br w:val="nil"/>
              <w:tr2bl w:val="nil"/>
            </w:tcBorders>
            <w:shd w:val="clear" w:color="auto" w:fill="auto"/>
            <w:noWrap/>
            <w:vAlign w:val="center"/>
          </w:tcPr>
          <w:p w14:paraId="3ADD6CFB">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0.57</w:t>
            </w:r>
          </w:p>
        </w:tc>
        <w:tc>
          <w:tcPr>
            <w:tcW w:w="765" w:type="dxa"/>
            <w:tcBorders>
              <w:tl2br w:val="nil"/>
              <w:tr2bl w:val="nil"/>
            </w:tcBorders>
            <w:shd w:val="clear" w:color="auto" w:fill="auto"/>
            <w:noWrap/>
            <w:vAlign w:val="center"/>
          </w:tcPr>
          <w:p w14:paraId="41E64CC4">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达标</w:t>
            </w:r>
          </w:p>
        </w:tc>
      </w:tr>
      <w:tr w14:paraId="535DE3E7">
        <w:tblPrEx>
          <w:tblBorders>
            <w:top w:val="thinThickSmallGap" w:color="000000" w:sz="12" w:space="0"/>
            <w:left w:val="none" w:color="auto" w:sz="0" w:space="0"/>
            <w:bottom w:val="thinThickSmallGap"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295" w:hRule="atLeast"/>
          <w:jc w:val="center"/>
        </w:trPr>
        <w:tc>
          <w:tcPr>
            <w:tcW w:w="440" w:type="dxa"/>
            <w:vMerge w:val="continue"/>
            <w:tcBorders>
              <w:tl2br w:val="nil"/>
              <w:tr2bl w:val="nil"/>
            </w:tcBorders>
            <w:shd w:val="clear" w:color="auto" w:fill="auto"/>
            <w:noWrap/>
            <w:vAlign w:val="center"/>
          </w:tcPr>
          <w:p w14:paraId="279EFEFF">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p>
        </w:tc>
        <w:tc>
          <w:tcPr>
            <w:tcW w:w="1030" w:type="dxa"/>
            <w:vMerge w:val="continue"/>
            <w:tcBorders>
              <w:tl2br w:val="nil"/>
              <w:tr2bl w:val="nil"/>
            </w:tcBorders>
            <w:shd w:val="clear" w:color="auto" w:fill="auto"/>
            <w:vAlign w:val="center"/>
          </w:tcPr>
          <w:p w14:paraId="07F7FC3B">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p>
        </w:tc>
        <w:tc>
          <w:tcPr>
            <w:tcW w:w="1170" w:type="dxa"/>
            <w:vMerge w:val="continue"/>
            <w:tcBorders>
              <w:tl2br w:val="nil"/>
              <w:tr2bl w:val="nil"/>
            </w:tcBorders>
            <w:shd w:val="clear" w:color="auto" w:fill="auto"/>
            <w:noWrap/>
            <w:vAlign w:val="center"/>
          </w:tcPr>
          <w:p w14:paraId="0B72FE91">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p>
        </w:tc>
        <w:tc>
          <w:tcPr>
            <w:tcW w:w="930" w:type="dxa"/>
            <w:tcBorders>
              <w:tl2br w:val="nil"/>
              <w:tr2bl w:val="nil"/>
            </w:tcBorders>
            <w:shd w:val="clear" w:color="auto" w:fill="auto"/>
            <w:noWrap/>
            <w:vAlign w:val="center"/>
          </w:tcPr>
          <w:p w14:paraId="13ACFB46">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全时段</w:t>
            </w:r>
          </w:p>
        </w:tc>
        <w:tc>
          <w:tcPr>
            <w:tcW w:w="1174" w:type="dxa"/>
            <w:tcBorders>
              <w:tl2br w:val="nil"/>
              <w:tr2bl w:val="nil"/>
            </w:tcBorders>
            <w:shd w:val="clear" w:color="auto" w:fill="auto"/>
            <w:noWrap/>
            <w:vAlign w:val="center"/>
          </w:tcPr>
          <w:p w14:paraId="5807F728">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2.15E-04</w:t>
            </w:r>
          </w:p>
        </w:tc>
        <w:tc>
          <w:tcPr>
            <w:tcW w:w="1243" w:type="dxa"/>
            <w:tcBorders>
              <w:tl2br w:val="nil"/>
              <w:tr2bl w:val="nil"/>
            </w:tcBorders>
            <w:shd w:val="clear" w:color="auto" w:fill="auto"/>
            <w:noWrap/>
            <w:vAlign w:val="center"/>
          </w:tcPr>
          <w:p w14:paraId="42CB285B">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平均值</w:t>
            </w:r>
          </w:p>
        </w:tc>
        <w:tc>
          <w:tcPr>
            <w:tcW w:w="1180" w:type="dxa"/>
            <w:tcBorders>
              <w:tl2br w:val="nil"/>
              <w:tr2bl w:val="nil"/>
            </w:tcBorders>
            <w:shd w:val="clear" w:color="auto" w:fill="auto"/>
            <w:noWrap/>
            <w:vAlign w:val="center"/>
          </w:tcPr>
          <w:p w14:paraId="404C0ACE">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2.00E-01</w:t>
            </w:r>
          </w:p>
        </w:tc>
        <w:tc>
          <w:tcPr>
            <w:tcW w:w="684" w:type="dxa"/>
            <w:tcBorders>
              <w:tl2br w:val="nil"/>
              <w:tr2bl w:val="nil"/>
            </w:tcBorders>
            <w:shd w:val="clear" w:color="auto" w:fill="auto"/>
            <w:noWrap/>
            <w:vAlign w:val="center"/>
          </w:tcPr>
          <w:p w14:paraId="2DBB34D2">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0.11</w:t>
            </w:r>
          </w:p>
        </w:tc>
        <w:tc>
          <w:tcPr>
            <w:tcW w:w="765" w:type="dxa"/>
            <w:tcBorders>
              <w:tl2br w:val="nil"/>
              <w:tr2bl w:val="nil"/>
            </w:tcBorders>
            <w:shd w:val="clear" w:color="auto" w:fill="auto"/>
            <w:noWrap/>
            <w:vAlign w:val="center"/>
          </w:tcPr>
          <w:p w14:paraId="2A0D8653">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达标</w:t>
            </w:r>
          </w:p>
        </w:tc>
      </w:tr>
      <w:tr w14:paraId="1FAAD681">
        <w:tblPrEx>
          <w:tblBorders>
            <w:top w:val="thinThickSmallGap" w:color="000000" w:sz="12" w:space="0"/>
            <w:left w:val="none" w:color="auto" w:sz="0" w:space="0"/>
            <w:bottom w:val="thinThickSmallGap"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295" w:hRule="atLeast"/>
          <w:jc w:val="center"/>
        </w:trPr>
        <w:tc>
          <w:tcPr>
            <w:tcW w:w="440" w:type="dxa"/>
            <w:vMerge w:val="restart"/>
            <w:tcBorders>
              <w:tl2br w:val="nil"/>
              <w:tr2bl w:val="nil"/>
            </w:tcBorders>
            <w:shd w:val="clear" w:color="auto" w:fill="auto"/>
            <w:noWrap/>
            <w:vAlign w:val="center"/>
          </w:tcPr>
          <w:p w14:paraId="0B24F667">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7</w:t>
            </w:r>
          </w:p>
        </w:tc>
        <w:tc>
          <w:tcPr>
            <w:tcW w:w="1030" w:type="dxa"/>
            <w:vMerge w:val="restart"/>
            <w:tcBorders>
              <w:tl2br w:val="nil"/>
              <w:tr2bl w:val="nil"/>
            </w:tcBorders>
            <w:shd w:val="clear" w:color="auto" w:fill="auto"/>
            <w:vAlign w:val="center"/>
          </w:tcPr>
          <w:p w14:paraId="202A9631">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杨家堡子</w:t>
            </w:r>
          </w:p>
        </w:tc>
        <w:tc>
          <w:tcPr>
            <w:tcW w:w="1170" w:type="dxa"/>
            <w:vMerge w:val="restart"/>
            <w:tcBorders>
              <w:tl2br w:val="nil"/>
              <w:tr2bl w:val="nil"/>
            </w:tcBorders>
            <w:shd w:val="clear" w:color="auto" w:fill="auto"/>
            <w:noWrap/>
            <w:vAlign w:val="center"/>
          </w:tcPr>
          <w:p w14:paraId="5E8A964A">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1113,1984</w:t>
            </w:r>
          </w:p>
        </w:tc>
        <w:tc>
          <w:tcPr>
            <w:tcW w:w="930" w:type="dxa"/>
            <w:tcBorders>
              <w:tl2br w:val="nil"/>
              <w:tr2bl w:val="nil"/>
            </w:tcBorders>
            <w:shd w:val="clear" w:color="auto" w:fill="auto"/>
            <w:noWrap/>
            <w:vAlign w:val="center"/>
          </w:tcPr>
          <w:p w14:paraId="21EB3E7A">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日平均</w:t>
            </w:r>
          </w:p>
        </w:tc>
        <w:tc>
          <w:tcPr>
            <w:tcW w:w="1174" w:type="dxa"/>
            <w:tcBorders>
              <w:tl2br w:val="nil"/>
              <w:tr2bl w:val="nil"/>
            </w:tcBorders>
            <w:shd w:val="clear" w:color="auto" w:fill="auto"/>
            <w:noWrap/>
            <w:vAlign w:val="center"/>
          </w:tcPr>
          <w:p w14:paraId="754B1103">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1.09E-03</w:t>
            </w:r>
          </w:p>
        </w:tc>
        <w:tc>
          <w:tcPr>
            <w:tcW w:w="1243" w:type="dxa"/>
            <w:tcBorders>
              <w:tl2br w:val="nil"/>
              <w:tr2bl w:val="nil"/>
            </w:tcBorders>
            <w:shd w:val="clear" w:color="auto" w:fill="auto"/>
            <w:noWrap/>
            <w:vAlign w:val="center"/>
          </w:tcPr>
          <w:p w14:paraId="0AE9D858">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240416</w:t>
            </w:r>
          </w:p>
        </w:tc>
        <w:tc>
          <w:tcPr>
            <w:tcW w:w="1180" w:type="dxa"/>
            <w:tcBorders>
              <w:tl2br w:val="nil"/>
              <w:tr2bl w:val="nil"/>
            </w:tcBorders>
            <w:shd w:val="clear" w:color="auto" w:fill="auto"/>
            <w:noWrap/>
            <w:vAlign w:val="center"/>
          </w:tcPr>
          <w:p w14:paraId="37516CC5">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3.00E-01</w:t>
            </w:r>
          </w:p>
        </w:tc>
        <w:tc>
          <w:tcPr>
            <w:tcW w:w="684" w:type="dxa"/>
            <w:tcBorders>
              <w:tl2br w:val="nil"/>
              <w:tr2bl w:val="nil"/>
            </w:tcBorders>
            <w:shd w:val="clear" w:color="auto" w:fill="auto"/>
            <w:noWrap/>
            <w:vAlign w:val="center"/>
          </w:tcPr>
          <w:p w14:paraId="2043AAF6">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0.36</w:t>
            </w:r>
          </w:p>
        </w:tc>
        <w:tc>
          <w:tcPr>
            <w:tcW w:w="765" w:type="dxa"/>
            <w:tcBorders>
              <w:tl2br w:val="nil"/>
              <w:tr2bl w:val="nil"/>
            </w:tcBorders>
            <w:shd w:val="clear" w:color="auto" w:fill="auto"/>
            <w:noWrap/>
            <w:vAlign w:val="center"/>
          </w:tcPr>
          <w:p w14:paraId="6C9B3FAE">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达标</w:t>
            </w:r>
          </w:p>
        </w:tc>
      </w:tr>
      <w:tr w14:paraId="623A8F4C">
        <w:tblPrEx>
          <w:tblBorders>
            <w:top w:val="thinThickSmallGap" w:color="000000" w:sz="12" w:space="0"/>
            <w:left w:val="none" w:color="auto" w:sz="0" w:space="0"/>
            <w:bottom w:val="thinThickSmallGap"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295" w:hRule="atLeast"/>
          <w:jc w:val="center"/>
        </w:trPr>
        <w:tc>
          <w:tcPr>
            <w:tcW w:w="440" w:type="dxa"/>
            <w:vMerge w:val="continue"/>
            <w:tcBorders>
              <w:tl2br w:val="nil"/>
              <w:tr2bl w:val="nil"/>
            </w:tcBorders>
            <w:shd w:val="clear" w:color="auto" w:fill="auto"/>
            <w:noWrap/>
            <w:vAlign w:val="center"/>
          </w:tcPr>
          <w:p w14:paraId="26972969">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p>
        </w:tc>
        <w:tc>
          <w:tcPr>
            <w:tcW w:w="1030" w:type="dxa"/>
            <w:vMerge w:val="continue"/>
            <w:tcBorders>
              <w:tl2br w:val="nil"/>
              <w:tr2bl w:val="nil"/>
            </w:tcBorders>
            <w:shd w:val="clear" w:color="auto" w:fill="auto"/>
            <w:vAlign w:val="center"/>
          </w:tcPr>
          <w:p w14:paraId="400C0B0F">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p>
        </w:tc>
        <w:tc>
          <w:tcPr>
            <w:tcW w:w="1170" w:type="dxa"/>
            <w:vMerge w:val="continue"/>
            <w:tcBorders>
              <w:tl2br w:val="nil"/>
              <w:tr2bl w:val="nil"/>
            </w:tcBorders>
            <w:shd w:val="clear" w:color="auto" w:fill="auto"/>
            <w:noWrap/>
            <w:vAlign w:val="center"/>
          </w:tcPr>
          <w:p w14:paraId="65B1B34C">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p>
        </w:tc>
        <w:tc>
          <w:tcPr>
            <w:tcW w:w="930" w:type="dxa"/>
            <w:tcBorders>
              <w:tl2br w:val="nil"/>
              <w:tr2bl w:val="nil"/>
            </w:tcBorders>
            <w:shd w:val="clear" w:color="auto" w:fill="auto"/>
            <w:noWrap/>
            <w:vAlign w:val="center"/>
          </w:tcPr>
          <w:p w14:paraId="00B24274">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全时段</w:t>
            </w:r>
          </w:p>
        </w:tc>
        <w:tc>
          <w:tcPr>
            <w:tcW w:w="1174" w:type="dxa"/>
            <w:tcBorders>
              <w:tl2br w:val="nil"/>
              <w:tr2bl w:val="nil"/>
            </w:tcBorders>
            <w:shd w:val="clear" w:color="auto" w:fill="auto"/>
            <w:noWrap/>
            <w:vAlign w:val="center"/>
          </w:tcPr>
          <w:p w14:paraId="1F689BF0">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1.05E-04</w:t>
            </w:r>
          </w:p>
        </w:tc>
        <w:tc>
          <w:tcPr>
            <w:tcW w:w="1243" w:type="dxa"/>
            <w:tcBorders>
              <w:tl2br w:val="nil"/>
              <w:tr2bl w:val="nil"/>
            </w:tcBorders>
            <w:shd w:val="clear" w:color="auto" w:fill="auto"/>
            <w:noWrap/>
            <w:vAlign w:val="center"/>
          </w:tcPr>
          <w:p w14:paraId="712E74A9">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平均值</w:t>
            </w:r>
          </w:p>
        </w:tc>
        <w:tc>
          <w:tcPr>
            <w:tcW w:w="1180" w:type="dxa"/>
            <w:tcBorders>
              <w:tl2br w:val="nil"/>
              <w:tr2bl w:val="nil"/>
            </w:tcBorders>
            <w:shd w:val="clear" w:color="auto" w:fill="auto"/>
            <w:noWrap/>
            <w:vAlign w:val="center"/>
          </w:tcPr>
          <w:p w14:paraId="0F311A25">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2.00E-01</w:t>
            </w:r>
          </w:p>
        </w:tc>
        <w:tc>
          <w:tcPr>
            <w:tcW w:w="684" w:type="dxa"/>
            <w:tcBorders>
              <w:tl2br w:val="nil"/>
              <w:tr2bl w:val="nil"/>
            </w:tcBorders>
            <w:shd w:val="clear" w:color="auto" w:fill="auto"/>
            <w:noWrap/>
            <w:vAlign w:val="center"/>
          </w:tcPr>
          <w:p w14:paraId="5B74F668">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0.05</w:t>
            </w:r>
          </w:p>
        </w:tc>
        <w:tc>
          <w:tcPr>
            <w:tcW w:w="765" w:type="dxa"/>
            <w:tcBorders>
              <w:tl2br w:val="nil"/>
              <w:tr2bl w:val="nil"/>
            </w:tcBorders>
            <w:shd w:val="clear" w:color="auto" w:fill="auto"/>
            <w:noWrap/>
            <w:vAlign w:val="center"/>
          </w:tcPr>
          <w:p w14:paraId="29867866">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达标</w:t>
            </w:r>
          </w:p>
        </w:tc>
      </w:tr>
      <w:tr w14:paraId="31263E4D">
        <w:tblPrEx>
          <w:tblBorders>
            <w:top w:val="thinThickSmallGap" w:color="000000" w:sz="12" w:space="0"/>
            <w:left w:val="none" w:color="auto" w:sz="0" w:space="0"/>
            <w:bottom w:val="thinThickSmallGap" w:color="000000" w:sz="12" w:space="0"/>
            <w:right w:val="none" w:color="auto" w:sz="0"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295" w:hRule="atLeast"/>
          <w:jc w:val="center"/>
        </w:trPr>
        <w:tc>
          <w:tcPr>
            <w:tcW w:w="440" w:type="dxa"/>
            <w:vMerge w:val="restart"/>
            <w:tcBorders>
              <w:tl2br w:val="nil"/>
              <w:tr2bl w:val="nil"/>
            </w:tcBorders>
            <w:shd w:val="clear" w:color="auto" w:fill="auto"/>
            <w:noWrap/>
            <w:vAlign w:val="center"/>
          </w:tcPr>
          <w:p w14:paraId="789C0E63">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8</w:t>
            </w:r>
          </w:p>
        </w:tc>
        <w:tc>
          <w:tcPr>
            <w:tcW w:w="1030" w:type="dxa"/>
            <w:vMerge w:val="restart"/>
            <w:tcBorders>
              <w:tl2br w:val="nil"/>
              <w:tr2bl w:val="nil"/>
            </w:tcBorders>
            <w:shd w:val="clear" w:color="auto" w:fill="auto"/>
            <w:vAlign w:val="center"/>
          </w:tcPr>
          <w:p w14:paraId="1F341E51">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网格</w:t>
            </w:r>
          </w:p>
        </w:tc>
        <w:tc>
          <w:tcPr>
            <w:tcW w:w="1170" w:type="dxa"/>
            <w:tcBorders>
              <w:tl2br w:val="nil"/>
              <w:tr2bl w:val="nil"/>
            </w:tcBorders>
            <w:shd w:val="clear" w:color="auto" w:fill="auto"/>
            <w:noWrap/>
            <w:vAlign w:val="center"/>
          </w:tcPr>
          <w:p w14:paraId="45182751">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128,-269</w:t>
            </w:r>
          </w:p>
        </w:tc>
        <w:tc>
          <w:tcPr>
            <w:tcW w:w="930" w:type="dxa"/>
            <w:tcBorders>
              <w:tl2br w:val="nil"/>
              <w:tr2bl w:val="nil"/>
            </w:tcBorders>
            <w:shd w:val="clear" w:color="auto" w:fill="auto"/>
            <w:noWrap/>
            <w:vAlign w:val="center"/>
          </w:tcPr>
          <w:p w14:paraId="21E69FD9">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日平均</w:t>
            </w:r>
          </w:p>
        </w:tc>
        <w:tc>
          <w:tcPr>
            <w:tcW w:w="1174" w:type="dxa"/>
            <w:tcBorders>
              <w:tl2br w:val="nil"/>
              <w:tr2bl w:val="nil"/>
            </w:tcBorders>
            <w:shd w:val="clear" w:color="auto" w:fill="auto"/>
            <w:noWrap/>
            <w:vAlign w:val="center"/>
          </w:tcPr>
          <w:p w14:paraId="10EB85CB">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2.12E-02</w:t>
            </w:r>
          </w:p>
        </w:tc>
        <w:tc>
          <w:tcPr>
            <w:tcW w:w="1243" w:type="dxa"/>
            <w:tcBorders>
              <w:tl2br w:val="nil"/>
              <w:tr2bl w:val="nil"/>
            </w:tcBorders>
            <w:shd w:val="clear" w:color="auto" w:fill="auto"/>
            <w:noWrap/>
            <w:vAlign w:val="center"/>
          </w:tcPr>
          <w:p w14:paraId="6414C193">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241228</w:t>
            </w:r>
          </w:p>
        </w:tc>
        <w:tc>
          <w:tcPr>
            <w:tcW w:w="1180" w:type="dxa"/>
            <w:tcBorders>
              <w:tl2br w:val="nil"/>
              <w:tr2bl w:val="nil"/>
            </w:tcBorders>
            <w:shd w:val="clear" w:color="auto" w:fill="auto"/>
            <w:noWrap/>
            <w:vAlign w:val="center"/>
          </w:tcPr>
          <w:p w14:paraId="03966FC3">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3.00E-01</w:t>
            </w:r>
          </w:p>
        </w:tc>
        <w:tc>
          <w:tcPr>
            <w:tcW w:w="684" w:type="dxa"/>
            <w:tcBorders>
              <w:tl2br w:val="nil"/>
              <w:tr2bl w:val="nil"/>
            </w:tcBorders>
            <w:shd w:val="clear" w:color="auto" w:fill="auto"/>
            <w:noWrap/>
            <w:vAlign w:val="center"/>
          </w:tcPr>
          <w:p w14:paraId="1CE403B1">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7.07</w:t>
            </w:r>
          </w:p>
        </w:tc>
        <w:tc>
          <w:tcPr>
            <w:tcW w:w="765" w:type="dxa"/>
            <w:tcBorders>
              <w:tl2br w:val="nil"/>
              <w:tr2bl w:val="nil"/>
            </w:tcBorders>
            <w:shd w:val="clear" w:color="auto" w:fill="auto"/>
            <w:noWrap/>
            <w:vAlign w:val="center"/>
          </w:tcPr>
          <w:p w14:paraId="22632D1C">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达标</w:t>
            </w:r>
          </w:p>
        </w:tc>
      </w:tr>
      <w:tr w14:paraId="12F627B1">
        <w:tblPrEx>
          <w:tblBorders>
            <w:top w:val="thinThickSmallGap" w:color="000000" w:sz="12" w:space="0"/>
            <w:left w:val="none" w:color="auto" w:sz="0" w:space="0"/>
            <w:bottom w:val="thinThickSmallGap"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295" w:hRule="atLeast"/>
          <w:jc w:val="center"/>
        </w:trPr>
        <w:tc>
          <w:tcPr>
            <w:tcW w:w="440" w:type="dxa"/>
            <w:vMerge w:val="continue"/>
            <w:tcBorders>
              <w:tl2br w:val="nil"/>
              <w:tr2bl w:val="nil"/>
            </w:tcBorders>
            <w:shd w:val="clear" w:color="auto" w:fill="auto"/>
            <w:noWrap/>
            <w:vAlign w:val="center"/>
          </w:tcPr>
          <w:p w14:paraId="01CEBF0E">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p>
        </w:tc>
        <w:tc>
          <w:tcPr>
            <w:tcW w:w="1030" w:type="dxa"/>
            <w:vMerge w:val="continue"/>
            <w:tcBorders>
              <w:tl2br w:val="nil"/>
              <w:tr2bl w:val="nil"/>
            </w:tcBorders>
            <w:shd w:val="clear" w:color="auto" w:fill="auto"/>
            <w:vAlign w:val="center"/>
          </w:tcPr>
          <w:p w14:paraId="390A32B8">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p>
        </w:tc>
        <w:tc>
          <w:tcPr>
            <w:tcW w:w="1170" w:type="dxa"/>
            <w:tcBorders>
              <w:tl2br w:val="nil"/>
              <w:tr2bl w:val="nil"/>
            </w:tcBorders>
            <w:shd w:val="clear" w:color="auto" w:fill="auto"/>
            <w:noWrap/>
            <w:vAlign w:val="center"/>
          </w:tcPr>
          <w:p w14:paraId="2A03EE16">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272,31</w:t>
            </w:r>
          </w:p>
        </w:tc>
        <w:tc>
          <w:tcPr>
            <w:tcW w:w="930" w:type="dxa"/>
            <w:tcBorders>
              <w:tl2br w:val="nil"/>
              <w:tr2bl w:val="nil"/>
            </w:tcBorders>
            <w:shd w:val="clear" w:color="auto" w:fill="auto"/>
            <w:noWrap/>
            <w:vAlign w:val="center"/>
          </w:tcPr>
          <w:p w14:paraId="210D5669">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全时段</w:t>
            </w:r>
          </w:p>
        </w:tc>
        <w:tc>
          <w:tcPr>
            <w:tcW w:w="1174" w:type="dxa"/>
            <w:tcBorders>
              <w:tl2br w:val="nil"/>
              <w:tr2bl w:val="nil"/>
            </w:tcBorders>
            <w:shd w:val="clear" w:color="auto" w:fill="auto"/>
            <w:noWrap/>
            <w:vAlign w:val="center"/>
          </w:tcPr>
          <w:p w14:paraId="6EEE4ADD">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2.74E-03</w:t>
            </w:r>
          </w:p>
        </w:tc>
        <w:tc>
          <w:tcPr>
            <w:tcW w:w="1243" w:type="dxa"/>
            <w:tcBorders>
              <w:tl2br w:val="nil"/>
              <w:tr2bl w:val="nil"/>
            </w:tcBorders>
            <w:shd w:val="clear" w:color="auto" w:fill="auto"/>
            <w:noWrap/>
            <w:vAlign w:val="center"/>
          </w:tcPr>
          <w:p w14:paraId="66590741">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平均值</w:t>
            </w:r>
          </w:p>
        </w:tc>
        <w:tc>
          <w:tcPr>
            <w:tcW w:w="1180" w:type="dxa"/>
            <w:tcBorders>
              <w:tl2br w:val="nil"/>
              <w:tr2bl w:val="nil"/>
            </w:tcBorders>
            <w:shd w:val="clear" w:color="auto" w:fill="auto"/>
            <w:noWrap/>
            <w:vAlign w:val="center"/>
          </w:tcPr>
          <w:p w14:paraId="079A0DD3">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2.00E-01</w:t>
            </w:r>
          </w:p>
        </w:tc>
        <w:tc>
          <w:tcPr>
            <w:tcW w:w="684" w:type="dxa"/>
            <w:tcBorders>
              <w:tl2br w:val="nil"/>
              <w:tr2bl w:val="nil"/>
            </w:tcBorders>
            <w:shd w:val="clear" w:color="auto" w:fill="auto"/>
            <w:noWrap/>
            <w:vAlign w:val="center"/>
          </w:tcPr>
          <w:p w14:paraId="0F91D97A">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1.37</w:t>
            </w:r>
          </w:p>
        </w:tc>
        <w:tc>
          <w:tcPr>
            <w:tcW w:w="765" w:type="dxa"/>
            <w:tcBorders>
              <w:tl2br w:val="nil"/>
              <w:tr2bl w:val="nil"/>
            </w:tcBorders>
            <w:shd w:val="clear" w:color="auto" w:fill="auto"/>
            <w:noWrap/>
            <w:vAlign w:val="center"/>
          </w:tcPr>
          <w:p w14:paraId="70B11156">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达标</w:t>
            </w:r>
          </w:p>
        </w:tc>
      </w:tr>
    </w:tbl>
    <w:p w14:paraId="52956305">
      <w:pPr>
        <w:tabs>
          <w:tab w:val="left" w:pos="851"/>
          <w:tab w:val="left" w:pos="1141"/>
          <w:tab w:val="left" w:pos="4335"/>
        </w:tabs>
        <w:jc w:val="center"/>
        <w:rPr>
          <w:rFonts w:hint="eastAsia" w:ascii="Times New Roman" w:hAnsi="Times New Roman" w:eastAsia="黑体" w:cs="Times New Roman"/>
          <w:bCs/>
          <w:color w:val="0000FF"/>
        </w:rPr>
      </w:pPr>
      <w:r>
        <w:rPr>
          <w:rFonts w:ascii="Times New Roman" w:hAnsi="Times New Roman" w:eastAsia="黑体" w:cs="Times New Roman"/>
          <w:bCs/>
          <w:color w:val="0000FF"/>
        </w:rPr>
        <w:t>表</w:t>
      </w:r>
      <w:r>
        <w:rPr>
          <w:rFonts w:hint="eastAsia" w:ascii="Times New Roman" w:hAnsi="Times New Roman" w:eastAsia="黑体" w:cs="Times New Roman"/>
          <w:bCs/>
          <w:color w:val="0000FF"/>
        </w:rPr>
        <w:t>5</w:t>
      </w:r>
      <w:r>
        <w:rPr>
          <w:rFonts w:ascii="Times New Roman" w:hAnsi="Times New Roman" w:eastAsia="黑体" w:cs="Times New Roman"/>
          <w:bCs/>
          <w:color w:val="0000FF"/>
        </w:rPr>
        <w:t>.1-1</w:t>
      </w:r>
      <w:r>
        <w:rPr>
          <w:rFonts w:hint="eastAsia" w:ascii="Times New Roman" w:hAnsi="Times New Roman" w:eastAsia="黑体" w:cs="Times New Roman"/>
          <w:bCs/>
          <w:color w:val="0000FF"/>
          <w:lang w:val="en-US" w:eastAsia="zh-CN"/>
        </w:rPr>
        <w:t>9</w:t>
      </w:r>
      <w:r>
        <w:rPr>
          <w:rFonts w:ascii="Times New Roman" w:hAnsi="Times New Roman" w:eastAsia="黑体" w:cs="Times New Roman"/>
          <w:bCs/>
          <w:color w:val="0000FF"/>
        </w:rPr>
        <w:t xml:space="preserve">  </w:t>
      </w:r>
      <w:r>
        <w:rPr>
          <w:rFonts w:hint="eastAsia" w:ascii="Times New Roman" w:hAnsi="Times New Roman" w:eastAsia="黑体" w:cs="Times New Roman"/>
          <w:bCs/>
          <w:color w:val="0000FF"/>
        </w:rPr>
        <w:t>关心点及网格点</w:t>
      </w:r>
      <w:r>
        <w:rPr>
          <w:rFonts w:hint="eastAsia" w:ascii="Times New Roman" w:hAnsi="Times New Roman" w:eastAsia="黑体" w:cs="Times New Roman"/>
          <w:bCs/>
          <w:color w:val="0000FF"/>
          <w:lang w:val="en-US" w:eastAsia="zh-CN"/>
        </w:rPr>
        <w:t>NH</w:t>
      </w:r>
      <w:r>
        <w:rPr>
          <w:rFonts w:hint="eastAsia" w:ascii="Times New Roman" w:hAnsi="Times New Roman" w:eastAsia="黑体" w:cs="Times New Roman"/>
          <w:bCs/>
          <w:color w:val="0000FF"/>
          <w:vertAlign w:val="subscript"/>
          <w:lang w:val="en-US" w:eastAsia="zh-CN"/>
        </w:rPr>
        <w:t>3</w:t>
      </w:r>
      <w:r>
        <w:rPr>
          <w:rFonts w:hint="eastAsia" w:ascii="Times New Roman" w:hAnsi="Times New Roman" w:eastAsia="黑体" w:cs="Times New Roman"/>
          <w:bCs/>
          <w:color w:val="0000FF"/>
        </w:rPr>
        <w:t>贡献质量浓度预测结果表</w:t>
      </w:r>
    </w:p>
    <w:tbl>
      <w:tblPr>
        <w:tblStyle w:val="56"/>
        <w:tblW w:w="5000" w:type="pct"/>
        <w:tblInd w:w="0" w:type="dxa"/>
        <w:tblBorders>
          <w:top w:val="thinThickSmallGap" w:color="000000" w:sz="12" w:space="0"/>
          <w:left w:val="none" w:color="auto" w:sz="0" w:space="0"/>
          <w:bottom w:val="thinThickSmallGap" w:color="000000" w:sz="12" w:space="0"/>
          <w:right w:val="none" w:color="auto" w:sz="0" w:space="0"/>
          <w:insideH w:val="single" w:color="000000" w:sz="4" w:space="0"/>
          <w:insideV w:val="single" w:color="000000" w:sz="4" w:space="0"/>
        </w:tblBorders>
        <w:shd w:val="clear" w:color="auto" w:fill="auto"/>
        <w:tblLayout w:type="fixed"/>
        <w:tblCellMar>
          <w:top w:w="0" w:type="dxa"/>
          <w:left w:w="108" w:type="dxa"/>
          <w:bottom w:w="0" w:type="dxa"/>
          <w:right w:w="108" w:type="dxa"/>
        </w:tblCellMar>
      </w:tblPr>
      <w:tblGrid>
        <w:gridCol w:w="401"/>
        <w:gridCol w:w="1140"/>
        <w:gridCol w:w="1125"/>
        <w:gridCol w:w="900"/>
        <w:gridCol w:w="1155"/>
        <w:gridCol w:w="1230"/>
        <w:gridCol w:w="1140"/>
        <w:gridCol w:w="669"/>
        <w:gridCol w:w="763"/>
      </w:tblGrid>
      <w:tr w14:paraId="4E2E4679">
        <w:tblPrEx>
          <w:tblBorders>
            <w:top w:val="thinThickSmallGap" w:color="000000" w:sz="12" w:space="0"/>
            <w:left w:val="none" w:color="auto" w:sz="0" w:space="0"/>
            <w:bottom w:val="thinThickSmallGap" w:color="000000" w:sz="12" w:space="0"/>
            <w:right w:val="none" w:color="auto" w:sz="0"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295" w:hRule="atLeast"/>
        </w:trPr>
        <w:tc>
          <w:tcPr>
            <w:tcW w:w="235" w:type="pct"/>
            <w:tcBorders>
              <w:tl2br w:val="nil"/>
              <w:tr2bl w:val="nil"/>
            </w:tcBorders>
            <w:shd w:val="clear" w:color="auto" w:fill="auto"/>
            <w:noWrap/>
            <w:vAlign w:val="center"/>
          </w:tcPr>
          <w:p w14:paraId="1BFCBC28">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eastAsia" w:ascii="宋体" w:hAnsi="宋体" w:eastAsia="宋体" w:cs="宋体"/>
                <w:i w:val="0"/>
                <w:iCs w:val="0"/>
                <w:color w:val="0000FF"/>
                <w:sz w:val="22"/>
                <w:szCs w:val="22"/>
                <w:u w:val="none"/>
              </w:rPr>
            </w:pPr>
            <w:r>
              <w:rPr>
                <w:rFonts w:hint="eastAsia" w:ascii="宋体" w:hAnsi="宋体" w:eastAsia="宋体" w:cs="宋体"/>
                <w:i w:val="0"/>
                <w:iCs w:val="0"/>
                <w:color w:val="0000FF"/>
                <w:kern w:val="0"/>
                <w:sz w:val="22"/>
                <w:szCs w:val="22"/>
                <w:u w:val="none"/>
                <w:lang w:val="en-US" w:eastAsia="zh-CN" w:bidi="ar"/>
              </w:rPr>
              <w:t>序号</w:t>
            </w:r>
          </w:p>
        </w:tc>
        <w:tc>
          <w:tcPr>
            <w:tcW w:w="668" w:type="pct"/>
            <w:tcBorders>
              <w:tl2br w:val="nil"/>
              <w:tr2bl w:val="nil"/>
            </w:tcBorders>
            <w:shd w:val="clear" w:color="auto" w:fill="auto"/>
            <w:noWrap/>
            <w:vAlign w:val="center"/>
          </w:tcPr>
          <w:p w14:paraId="79873407">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eastAsia" w:ascii="宋体" w:hAnsi="宋体" w:eastAsia="宋体" w:cs="宋体"/>
                <w:i w:val="0"/>
                <w:iCs w:val="0"/>
                <w:color w:val="0000FF"/>
                <w:sz w:val="22"/>
                <w:szCs w:val="22"/>
                <w:u w:val="none"/>
              </w:rPr>
            </w:pPr>
            <w:r>
              <w:rPr>
                <w:rFonts w:hint="eastAsia" w:ascii="宋体" w:hAnsi="宋体" w:eastAsia="宋体" w:cs="宋体"/>
                <w:i w:val="0"/>
                <w:iCs w:val="0"/>
                <w:color w:val="0000FF"/>
                <w:kern w:val="0"/>
                <w:sz w:val="22"/>
                <w:szCs w:val="22"/>
                <w:u w:val="none"/>
                <w:lang w:val="en-US" w:eastAsia="zh-CN" w:bidi="ar"/>
              </w:rPr>
              <w:t>点名称</w:t>
            </w:r>
          </w:p>
        </w:tc>
        <w:tc>
          <w:tcPr>
            <w:tcW w:w="659" w:type="pct"/>
            <w:tcBorders>
              <w:tl2br w:val="nil"/>
              <w:tr2bl w:val="nil"/>
            </w:tcBorders>
            <w:shd w:val="clear" w:color="auto" w:fill="auto"/>
            <w:noWrap/>
            <w:vAlign w:val="center"/>
          </w:tcPr>
          <w:p w14:paraId="06909160">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eastAsia" w:ascii="宋体" w:hAnsi="宋体" w:eastAsia="宋体" w:cs="宋体"/>
                <w:i w:val="0"/>
                <w:iCs w:val="0"/>
                <w:color w:val="0000FF"/>
                <w:sz w:val="22"/>
                <w:szCs w:val="22"/>
                <w:u w:val="none"/>
              </w:rPr>
            </w:pPr>
            <w:r>
              <w:rPr>
                <w:rFonts w:hint="eastAsia" w:ascii="宋体" w:hAnsi="宋体" w:eastAsia="宋体" w:cs="宋体"/>
                <w:i w:val="0"/>
                <w:iCs w:val="0"/>
                <w:color w:val="0000FF"/>
                <w:kern w:val="0"/>
                <w:sz w:val="22"/>
                <w:szCs w:val="22"/>
                <w:u w:val="none"/>
                <w:lang w:val="en-US" w:eastAsia="zh-CN" w:bidi="ar"/>
              </w:rPr>
              <w:t>点坐标</w:t>
            </w:r>
            <w:r>
              <w:rPr>
                <w:rFonts w:hint="default" w:ascii="Times New Roman" w:hAnsi="Times New Roman" w:eastAsia="宋体" w:cs="Times New Roman"/>
                <w:i w:val="0"/>
                <w:iCs w:val="0"/>
                <w:color w:val="0000FF"/>
                <w:kern w:val="0"/>
                <w:sz w:val="22"/>
                <w:szCs w:val="22"/>
                <w:u w:val="none"/>
                <w:lang w:val="en-US" w:eastAsia="zh-CN" w:bidi="ar"/>
              </w:rPr>
              <w:t>(x</w:t>
            </w:r>
            <w:r>
              <w:rPr>
                <w:rFonts w:hint="eastAsia" w:ascii="宋体" w:hAnsi="宋体" w:eastAsia="宋体" w:cs="宋体"/>
                <w:i w:val="0"/>
                <w:iCs w:val="0"/>
                <w:color w:val="0000FF"/>
                <w:kern w:val="0"/>
                <w:sz w:val="22"/>
                <w:szCs w:val="22"/>
                <w:u w:val="none"/>
                <w:lang w:val="en-US" w:eastAsia="zh-CN" w:bidi="ar"/>
              </w:rPr>
              <w:t>,</w:t>
            </w:r>
            <w:r>
              <w:rPr>
                <w:rFonts w:hint="default" w:ascii="Times New Roman" w:hAnsi="Times New Roman" w:eastAsia="宋体" w:cs="Times New Roman"/>
                <w:i w:val="0"/>
                <w:iCs w:val="0"/>
                <w:color w:val="0000FF"/>
                <w:kern w:val="0"/>
                <w:sz w:val="22"/>
                <w:szCs w:val="22"/>
                <w:u w:val="none"/>
                <w:lang w:val="en-US" w:eastAsia="zh-CN" w:bidi="ar"/>
              </w:rPr>
              <w:t>y)</w:t>
            </w:r>
          </w:p>
        </w:tc>
        <w:tc>
          <w:tcPr>
            <w:tcW w:w="527" w:type="pct"/>
            <w:tcBorders>
              <w:tl2br w:val="nil"/>
              <w:tr2bl w:val="nil"/>
            </w:tcBorders>
            <w:shd w:val="clear" w:color="auto" w:fill="auto"/>
            <w:noWrap/>
            <w:vAlign w:val="center"/>
          </w:tcPr>
          <w:p w14:paraId="0830A844">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eastAsia" w:ascii="宋体" w:hAnsi="宋体" w:eastAsia="宋体" w:cs="宋体"/>
                <w:i w:val="0"/>
                <w:iCs w:val="0"/>
                <w:color w:val="0000FF"/>
                <w:sz w:val="22"/>
                <w:szCs w:val="22"/>
                <w:u w:val="none"/>
              </w:rPr>
            </w:pPr>
            <w:r>
              <w:rPr>
                <w:rFonts w:hint="eastAsia" w:ascii="宋体" w:hAnsi="宋体" w:eastAsia="宋体" w:cs="宋体"/>
                <w:i w:val="0"/>
                <w:iCs w:val="0"/>
                <w:color w:val="0000FF"/>
                <w:kern w:val="0"/>
                <w:sz w:val="22"/>
                <w:szCs w:val="22"/>
                <w:u w:val="none"/>
                <w:lang w:val="en-US" w:eastAsia="zh-CN" w:bidi="ar"/>
              </w:rPr>
              <w:t>浓度类型</w:t>
            </w:r>
          </w:p>
        </w:tc>
        <w:tc>
          <w:tcPr>
            <w:tcW w:w="677" w:type="pct"/>
            <w:tcBorders>
              <w:tl2br w:val="nil"/>
              <w:tr2bl w:val="nil"/>
            </w:tcBorders>
            <w:shd w:val="clear" w:color="auto" w:fill="auto"/>
            <w:noWrap/>
            <w:vAlign w:val="center"/>
          </w:tcPr>
          <w:p w14:paraId="48065FD7">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eastAsia" w:ascii="宋体" w:hAnsi="宋体" w:eastAsia="宋体" w:cs="宋体"/>
                <w:i w:val="0"/>
                <w:iCs w:val="0"/>
                <w:color w:val="0000FF"/>
                <w:sz w:val="22"/>
                <w:szCs w:val="22"/>
                <w:u w:val="none"/>
              </w:rPr>
            </w:pPr>
            <w:r>
              <w:rPr>
                <w:rFonts w:hint="eastAsia" w:ascii="宋体" w:hAnsi="宋体" w:eastAsia="宋体" w:cs="宋体"/>
                <w:i w:val="0"/>
                <w:iCs w:val="0"/>
                <w:color w:val="0000FF"/>
                <w:kern w:val="0"/>
                <w:sz w:val="22"/>
                <w:szCs w:val="22"/>
                <w:u w:val="none"/>
                <w:lang w:val="en-US" w:eastAsia="zh-CN" w:bidi="ar"/>
              </w:rPr>
              <w:t>浓度增量</w:t>
            </w:r>
            <w:r>
              <w:rPr>
                <w:rFonts w:hint="default" w:ascii="Times New Roman" w:hAnsi="Times New Roman" w:eastAsia="宋体" w:cs="Times New Roman"/>
                <w:i w:val="0"/>
                <w:iCs w:val="0"/>
                <w:color w:val="0000FF"/>
                <w:kern w:val="0"/>
                <w:sz w:val="22"/>
                <w:szCs w:val="22"/>
                <w:u w:val="none"/>
                <w:lang w:val="en-US" w:eastAsia="zh-CN" w:bidi="ar"/>
              </w:rPr>
              <w:t>(mg/m</w:t>
            </w:r>
            <w:r>
              <w:rPr>
                <w:rFonts w:hint="default" w:ascii="Times New Roman" w:hAnsi="Times New Roman" w:eastAsia="宋体" w:cs="Times New Roman"/>
                <w:i w:val="0"/>
                <w:iCs w:val="0"/>
                <w:color w:val="0000FF"/>
                <w:kern w:val="0"/>
                <w:sz w:val="22"/>
                <w:szCs w:val="22"/>
                <w:u w:val="none"/>
                <w:vertAlign w:val="superscript"/>
                <w:lang w:val="en-US" w:eastAsia="zh-CN" w:bidi="ar"/>
              </w:rPr>
              <w:t>3</w:t>
            </w:r>
            <w:r>
              <w:rPr>
                <w:rFonts w:hint="default" w:ascii="Times New Roman" w:hAnsi="Times New Roman" w:eastAsia="宋体" w:cs="Times New Roman"/>
                <w:i w:val="0"/>
                <w:iCs w:val="0"/>
                <w:color w:val="0000FF"/>
                <w:kern w:val="0"/>
                <w:sz w:val="22"/>
                <w:szCs w:val="22"/>
                <w:u w:val="none"/>
                <w:lang w:val="en-US" w:eastAsia="zh-CN" w:bidi="ar"/>
              </w:rPr>
              <w:t>)</w:t>
            </w:r>
          </w:p>
        </w:tc>
        <w:tc>
          <w:tcPr>
            <w:tcW w:w="721" w:type="pct"/>
            <w:tcBorders>
              <w:tl2br w:val="nil"/>
              <w:tr2bl w:val="nil"/>
            </w:tcBorders>
            <w:shd w:val="clear" w:color="auto" w:fill="auto"/>
            <w:noWrap/>
            <w:vAlign w:val="center"/>
          </w:tcPr>
          <w:p w14:paraId="3D57358D">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eastAsia" w:ascii="宋体" w:hAnsi="宋体" w:eastAsia="宋体" w:cs="宋体"/>
                <w:i w:val="0"/>
                <w:iCs w:val="0"/>
                <w:color w:val="0000FF"/>
                <w:sz w:val="22"/>
                <w:szCs w:val="22"/>
                <w:u w:val="none"/>
              </w:rPr>
            </w:pPr>
            <w:r>
              <w:rPr>
                <w:rFonts w:hint="eastAsia" w:ascii="宋体" w:hAnsi="宋体" w:eastAsia="宋体" w:cs="宋体"/>
                <w:i w:val="0"/>
                <w:iCs w:val="0"/>
                <w:color w:val="0000FF"/>
                <w:kern w:val="0"/>
                <w:sz w:val="22"/>
                <w:szCs w:val="22"/>
                <w:u w:val="none"/>
                <w:lang w:val="en-US" w:eastAsia="zh-CN" w:bidi="ar"/>
              </w:rPr>
              <w:t>出现时间</w:t>
            </w:r>
            <w:r>
              <w:rPr>
                <w:rFonts w:hint="default" w:ascii="Times New Roman" w:hAnsi="Times New Roman" w:eastAsia="宋体" w:cs="Times New Roman"/>
                <w:i w:val="0"/>
                <w:iCs w:val="0"/>
                <w:color w:val="0000FF"/>
                <w:kern w:val="0"/>
                <w:sz w:val="22"/>
                <w:szCs w:val="22"/>
                <w:u w:val="none"/>
                <w:lang w:val="en-US" w:eastAsia="zh-CN" w:bidi="ar"/>
              </w:rPr>
              <w:t>(YYMMDDHH)</w:t>
            </w:r>
          </w:p>
        </w:tc>
        <w:tc>
          <w:tcPr>
            <w:tcW w:w="668" w:type="pct"/>
            <w:tcBorders>
              <w:tl2br w:val="nil"/>
              <w:tr2bl w:val="nil"/>
            </w:tcBorders>
            <w:shd w:val="clear" w:color="auto" w:fill="auto"/>
            <w:noWrap/>
            <w:vAlign w:val="center"/>
          </w:tcPr>
          <w:p w14:paraId="27C19B1D">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eastAsia" w:ascii="宋体" w:hAnsi="宋体" w:eastAsia="宋体" w:cs="宋体"/>
                <w:i w:val="0"/>
                <w:iCs w:val="0"/>
                <w:color w:val="0000FF"/>
                <w:sz w:val="22"/>
                <w:szCs w:val="22"/>
                <w:u w:val="none"/>
              </w:rPr>
            </w:pPr>
            <w:r>
              <w:rPr>
                <w:rFonts w:hint="eastAsia" w:ascii="宋体" w:hAnsi="宋体" w:eastAsia="宋体" w:cs="宋体"/>
                <w:i w:val="0"/>
                <w:iCs w:val="0"/>
                <w:color w:val="0000FF"/>
                <w:kern w:val="0"/>
                <w:sz w:val="22"/>
                <w:szCs w:val="22"/>
                <w:u w:val="none"/>
                <w:lang w:val="en-US" w:eastAsia="zh-CN" w:bidi="ar"/>
              </w:rPr>
              <w:t>评价标准</w:t>
            </w:r>
            <w:r>
              <w:rPr>
                <w:rFonts w:hint="default" w:ascii="Times New Roman" w:hAnsi="Times New Roman" w:eastAsia="宋体" w:cs="Times New Roman"/>
                <w:i w:val="0"/>
                <w:iCs w:val="0"/>
                <w:color w:val="0000FF"/>
                <w:kern w:val="0"/>
                <w:sz w:val="22"/>
                <w:szCs w:val="22"/>
                <w:u w:val="none"/>
                <w:lang w:val="en-US" w:eastAsia="zh-CN" w:bidi="ar"/>
              </w:rPr>
              <w:t>(mg/m</w:t>
            </w:r>
            <w:r>
              <w:rPr>
                <w:rFonts w:hint="default" w:ascii="Times New Roman" w:hAnsi="Times New Roman" w:eastAsia="宋体" w:cs="Times New Roman"/>
                <w:i w:val="0"/>
                <w:iCs w:val="0"/>
                <w:color w:val="0000FF"/>
                <w:kern w:val="0"/>
                <w:sz w:val="22"/>
                <w:szCs w:val="22"/>
                <w:u w:val="none"/>
                <w:vertAlign w:val="superscript"/>
                <w:lang w:val="en-US" w:eastAsia="zh-CN" w:bidi="ar"/>
              </w:rPr>
              <w:t>3</w:t>
            </w:r>
            <w:r>
              <w:rPr>
                <w:rFonts w:hint="default" w:ascii="Times New Roman" w:hAnsi="Times New Roman" w:eastAsia="宋体" w:cs="Times New Roman"/>
                <w:i w:val="0"/>
                <w:iCs w:val="0"/>
                <w:color w:val="0000FF"/>
                <w:kern w:val="0"/>
                <w:sz w:val="22"/>
                <w:szCs w:val="22"/>
                <w:u w:val="none"/>
                <w:lang w:val="en-US" w:eastAsia="zh-CN" w:bidi="ar"/>
              </w:rPr>
              <w:t>)</w:t>
            </w:r>
          </w:p>
        </w:tc>
        <w:tc>
          <w:tcPr>
            <w:tcW w:w="392" w:type="pct"/>
            <w:tcBorders>
              <w:tl2br w:val="nil"/>
              <w:tr2bl w:val="nil"/>
            </w:tcBorders>
            <w:shd w:val="clear" w:color="auto" w:fill="auto"/>
            <w:noWrap/>
            <w:vAlign w:val="center"/>
          </w:tcPr>
          <w:p w14:paraId="7705A46E">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eastAsia" w:ascii="宋体" w:hAnsi="宋体" w:eastAsia="宋体" w:cs="宋体"/>
                <w:i w:val="0"/>
                <w:iCs w:val="0"/>
                <w:color w:val="0000FF"/>
                <w:sz w:val="22"/>
                <w:szCs w:val="22"/>
                <w:u w:val="none"/>
              </w:rPr>
            </w:pPr>
            <w:r>
              <w:rPr>
                <w:rFonts w:hint="eastAsia" w:ascii="宋体" w:hAnsi="宋体" w:eastAsia="宋体" w:cs="宋体"/>
                <w:i w:val="0"/>
                <w:iCs w:val="0"/>
                <w:color w:val="0000FF"/>
                <w:kern w:val="0"/>
                <w:sz w:val="22"/>
                <w:szCs w:val="22"/>
                <w:u w:val="none"/>
                <w:lang w:val="en-US" w:eastAsia="zh-CN" w:bidi="ar"/>
              </w:rPr>
              <w:t>占标率</w:t>
            </w:r>
            <w:r>
              <w:rPr>
                <w:rFonts w:hint="default" w:ascii="Times New Roman" w:hAnsi="Times New Roman" w:eastAsia="宋体" w:cs="Times New Roman"/>
                <w:i w:val="0"/>
                <w:iCs w:val="0"/>
                <w:color w:val="0000FF"/>
                <w:kern w:val="0"/>
                <w:sz w:val="22"/>
                <w:szCs w:val="22"/>
                <w:u w:val="none"/>
                <w:lang w:val="en-US" w:eastAsia="zh-CN" w:bidi="ar"/>
              </w:rPr>
              <w:t>%</w:t>
            </w:r>
          </w:p>
        </w:tc>
        <w:tc>
          <w:tcPr>
            <w:tcW w:w="447" w:type="pct"/>
            <w:tcBorders>
              <w:tl2br w:val="nil"/>
              <w:tr2bl w:val="nil"/>
            </w:tcBorders>
            <w:shd w:val="clear" w:color="auto" w:fill="auto"/>
            <w:noWrap/>
            <w:vAlign w:val="center"/>
          </w:tcPr>
          <w:p w14:paraId="11146742">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eastAsia" w:ascii="宋体" w:hAnsi="宋体" w:eastAsia="宋体" w:cs="宋体"/>
                <w:i w:val="0"/>
                <w:iCs w:val="0"/>
                <w:color w:val="0000FF"/>
                <w:sz w:val="22"/>
                <w:szCs w:val="22"/>
                <w:u w:val="none"/>
              </w:rPr>
            </w:pPr>
            <w:r>
              <w:rPr>
                <w:rFonts w:hint="eastAsia" w:ascii="宋体" w:hAnsi="宋体" w:eastAsia="宋体" w:cs="宋体"/>
                <w:i w:val="0"/>
                <w:iCs w:val="0"/>
                <w:color w:val="0000FF"/>
                <w:kern w:val="0"/>
                <w:sz w:val="22"/>
                <w:szCs w:val="22"/>
                <w:u w:val="none"/>
                <w:lang w:val="en-US" w:eastAsia="zh-CN" w:bidi="ar"/>
              </w:rPr>
              <w:t>是否超标</w:t>
            </w:r>
          </w:p>
        </w:tc>
      </w:tr>
      <w:tr w14:paraId="016C5EA4">
        <w:tblPrEx>
          <w:tblBorders>
            <w:top w:val="thinThickSmallGap" w:color="000000" w:sz="12" w:space="0"/>
            <w:left w:val="none" w:color="auto" w:sz="0" w:space="0"/>
            <w:bottom w:val="thinThickSmallGap" w:color="000000" w:sz="12" w:space="0"/>
            <w:right w:val="none" w:color="auto" w:sz="0"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295" w:hRule="atLeast"/>
        </w:trPr>
        <w:tc>
          <w:tcPr>
            <w:tcW w:w="235" w:type="pct"/>
            <w:tcBorders>
              <w:tl2br w:val="nil"/>
              <w:tr2bl w:val="nil"/>
            </w:tcBorders>
            <w:shd w:val="clear" w:color="auto" w:fill="auto"/>
            <w:noWrap/>
            <w:vAlign w:val="center"/>
          </w:tcPr>
          <w:p w14:paraId="0B911CCF">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default" w:ascii="Times New Roman" w:hAnsi="Times New Roman" w:eastAsia="宋体" w:cs="Times New Roman"/>
                <w:i w:val="0"/>
                <w:iCs w:val="0"/>
                <w:color w:val="0000FF"/>
                <w:kern w:val="0"/>
                <w:sz w:val="21"/>
                <w:szCs w:val="21"/>
                <w:u w:val="none"/>
                <w:lang w:val="en-US" w:eastAsia="zh-CN" w:bidi="ar"/>
              </w:rPr>
              <w:t>1</w:t>
            </w:r>
          </w:p>
        </w:tc>
        <w:tc>
          <w:tcPr>
            <w:tcW w:w="668" w:type="pct"/>
            <w:tcBorders>
              <w:tl2br w:val="nil"/>
              <w:tr2bl w:val="nil"/>
            </w:tcBorders>
            <w:shd w:val="clear" w:color="auto" w:fill="auto"/>
            <w:noWrap/>
            <w:vAlign w:val="center"/>
          </w:tcPr>
          <w:p w14:paraId="241E35F2">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祁家堡</w:t>
            </w:r>
          </w:p>
        </w:tc>
        <w:tc>
          <w:tcPr>
            <w:tcW w:w="659" w:type="pct"/>
            <w:tcBorders>
              <w:tl2br w:val="nil"/>
              <w:tr2bl w:val="nil"/>
            </w:tcBorders>
            <w:shd w:val="clear" w:color="auto" w:fill="auto"/>
            <w:noWrap/>
            <w:vAlign w:val="center"/>
          </w:tcPr>
          <w:p w14:paraId="40DA73C5">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85,261</w:t>
            </w:r>
          </w:p>
        </w:tc>
        <w:tc>
          <w:tcPr>
            <w:tcW w:w="527" w:type="pct"/>
            <w:tcBorders>
              <w:tl2br w:val="nil"/>
              <w:tr2bl w:val="nil"/>
            </w:tcBorders>
            <w:shd w:val="clear" w:color="auto" w:fill="auto"/>
            <w:noWrap/>
            <w:vAlign w:val="center"/>
          </w:tcPr>
          <w:p w14:paraId="564825C3">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default" w:ascii="Times New Roman" w:hAnsi="Times New Roman" w:eastAsia="宋体" w:cs="Times New Roman"/>
                <w:i w:val="0"/>
                <w:iCs w:val="0"/>
                <w:color w:val="0000FF"/>
                <w:kern w:val="0"/>
                <w:sz w:val="21"/>
                <w:szCs w:val="21"/>
                <w:u w:val="none"/>
                <w:lang w:val="en-US" w:eastAsia="zh-CN" w:bidi="ar"/>
              </w:rPr>
              <w:t>1</w:t>
            </w:r>
            <w:r>
              <w:rPr>
                <w:rFonts w:hint="eastAsia" w:ascii="Times New Roman" w:hAnsi="Times New Roman" w:eastAsia="宋体" w:cs="Times New Roman"/>
                <w:i w:val="0"/>
                <w:iCs w:val="0"/>
                <w:color w:val="0000FF"/>
                <w:kern w:val="0"/>
                <w:sz w:val="21"/>
                <w:szCs w:val="21"/>
                <w:u w:val="none"/>
                <w:lang w:val="en-US" w:eastAsia="zh-CN" w:bidi="ar"/>
              </w:rPr>
              <w:t>小时</w:t>
            </w:r>
          </w:p>
        </w:tc>
        <w:tc>
          <w:tcPr>
            <w:tcW w:w="677" w:type="pct"/>
            <w:tcBorders>
              <w:tl2br w:val="nil"/>
              <w:tr2bl w:val="nil"/>
            </w:tcBorders>
            <w:shd w:val="clear" w:color="auto" w:fill="auto"/>
            <w:noWrap/>
            <w:vAlign w:val="center"/>
          </w:tcPr>
          <w:p w14:paraId="0AFB2034">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1.67E-03</w:t>
            </w:r>
          </w:p>
        </w:tc>
        <w:tc>
          <w:tcPr>
            <w:tcW w:w="721" w:type="pct"/>
            <w:tcBorders>
              <w:tl2br w:val="nil"/>
              <w:tr2bl w:val="nil"/>
            </w:tcBorders>
            <w:shd w:val="clear" w:color="auto" w:fill="auto"/>
            <w:noWrap/>
            <w:vAlign w:val="center"/>
          </w:tcPr>
          <w:p w14:paraId="4A199BD8">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24110302</w:t>
            </w:r>
          </w:p>
        </w:tc>
        <w:tc>
          <w:tcPr>
            <w:tcW w:w="668" w:type="pct"/>
            <w:tcBorders>
              <w:tl2br w:val="nil"/>
              <w:tr2bl w:val="nil"/>
            </w:tcBorders>
            <w:shd w:val="clear" w:color="auto" w:fill="auto"/>
            <w:noWrap/>
            <w:vAlign w:val="center"/>
          </w:tcPr>
          <w:p w14:paraId="0B13B78F">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2.00E-01</w:t>
            </w:r>
          </w:p>
        </w:tc>
        <w:tc>
          <w:tcPr>
            <w:tcW w:w="392" w:type="pct"/>
            <w:tcBorders>
              <w:tl2br w:val="nil"/>
              <w:tr2bl w:val="nil"/>
            </w:tcBorders>
            <w:shd w:val="clear" w:color="auto" w:fill="auto"/>
            <w:noWrap/>
            <w:vAlign w:val="center"/>
          </w:tcPr>
          <w:p w14:paraId="55F88457">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0.84</w:t>
            </w:r>
          </w:p>
        </w:tc>
        <w:tc>
          <w:tcPr>
            <w:tcW w:w="447" w:type="pct"/>
            <w:tcBorders>
              <w:tl2br w:val="nil"/>
              <w:tr2bl w:val="nil"/>
            </w:tcBorders>
            <w:shd w:val="clear" w:color="auto" w:fill="auto"/>
            <w:noWrap/>
            <w:vAlign w:val="center"/>
          </w:tcPr>
          <w:p w14:paraId="7340266A">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达标</w:t>
            </w:r>
          </w:p>
        </w:tc>
      </w:tr>
      <w:tr w14:paraId="636CD8C2">
        <w:tblPrEx>
          <w:tblBorders>
            <w:top w:val="thinThickSmallGap" w:color="000000" w:sz="12" w:space="0"/>
            <w:left w:val="none" w:color="auto" w:sz="0" w:space="0"/>
            <w:bottom w:val="thinThickSmallGap" w:color="000000" w:sz="12" w:space="0"/>
            <w:right w:val="none" w:color="auto" w:sz="0"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295" w:hRule="atLeast"/>
        </w:trPr>
        <w:tc>
          <w:tcPr>
            <w:tcW w:w="235" w:type="pct"/>
            <w:tcBorders>
              <w:tl2br w:val="nil"/>
              <w:tr2bl w:val="nil"/>
            </w:tcBorders>
            <w:shd w:val="clear" w:color="auto" w:fill="auto"/>
            <w:noWrap/>
            <w:vAlign w:val="center"/>
          </w:tcPr>
          <w:p w14:paraId="4A29B54E">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default" w:ascii="Times New Roman" w:hAnsi="Times New Roman" w:eastAsia="宋体" w:cs="Times New Roman"/>
                <w:i w:val="0"/>
                <w:iCs w:val="0"/>
                <w:color w:val="0000FF"/>
                <w:kern w:val="0"/>
                <w:sz w:val="21"/>
                <w:szCs w:val="21"/>
                <w:u w:val="none"/>
                <w:lang w:val="en-US" w:eastAsia="zh-CN" w:bidi="ar"/>
              </w:rPr>
              <w:t>2</w:t>
            </w:r>
          </w:p>
        </w:tc>
        <w:tc>
          <w:tcPr>
            <w:tcW w:w="668" w:type="pct"/>
            <w:tcBorders>
              <w:tl2br w:val="nil"/>
              <w:tr2bl w:val="nil"/>
            </w:tcBorders>
            <w:shd w:val="clear" w:color="auto" w:fill="auto"/>
            <w:noWrap/>
            <w:vAlign w:val="center"/>
          </w:tcPr>
          <w:p w14:paraId="2F9D9C18">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部队</w:t>
            </w:r>
          </w:p>
        </w:tc>
        <w:tc>
          <w:tcPr>
            <w:tcW w:w="659" w:type="pct"/>
            <w:tcBorders>
              <w:tl2br w:val="nil"/>
              <w:tr2bl w:val="nil"/>
            </w:tcBorders>
            <w:shd w:val="clear" w:color="auto" w:fill="auto"/>
            <w:noWrap/>
            <w:vAlign w:val="center"/>
          </w:tcPr>
          <w:p w14:paraId="326D771E">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-179,10</w:t>
            </w:r>
          </w:p>
        </w:tc>
        <w:tc>
          <w:tcPr>
            <w:tcW w:w="527" w:type="pct"/>
            <w:tcBorders>
              <w:tl2br w:val="nil"/>
              <w:tr2bl w:val="nil"/>
            </w:tcBorders>
            <w:shd w:val="clear" w:color="auto" w:fill="auto"/>
            <w:noWrap/>
            <w:vAlign w:val="center"/>
          </w:tcPr>
          <w:p w14:paraId="3CB98FB8">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default" w:ascii="Times New Roman" w:hAnsi="Times New Roman" w:eastAsia="宋体" w:cs="Times New Roman"/>
                <w:i w:val="0"/>
                <w:iCs w:val="0"/>
                <w:color w:val="0000FF"/>
                <w:kern w:val="0"/>
                <w:sz w:val="21"/>
                <w:szCs w:val="21"/>
                <w:u w:val="none"/>
                <w:lang w:val="en-US" w:eastAsia="zh-CN" w:bidi="ar"/>
              </w:rPr>
              <w:t>1</w:t>
            </w:r>
            <w:r>
              <w:rPr>
                <w:rFonts w:hint="eastAsia" w:ascii="Times New Roman" w:hAnsi="Times New Roman" w:eastAsia="宋体" w:cs="Times New Roman"/>
                <w:i w:val="0"/>
                <w:iCs w:val="0"/>
                <w:color w:val="0000FF"/>
                <w:kern w:val="0"/>
                <w:sz w:val="21"/>
                <w:szCs w:val="21"/>
                <w:u w:val="none"/>
                <w:lang w:val="en-US" w:eastAsia="zh-CN" w:bidi="ar"/>
              </w:rPr>
              <w:t>小时</w:t>
            </w:r>
          </w:p>
        </w:tc>
        <w:tc>
          <w:tcPr>
            <w:tcW w:w="677" w:type="pct"/>
            <w:tcBorders>
              <w:tl2br w:val="nil"/>
              <w:tr2bl w:val="nil"/>
            </w:tcBorders>
            <w:shd w:val="clear" w:color="auto" w:fill="auto"/>
            <w:noWrap/>
            <w:vAlign w:val="center"/>
          </w:tcPr>
          <w:p w14:paraId="2463FD77">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2.76E-03</w:t>
            </w:r>
          </w:p>
        </w:tc>
        <w:tc>
          <w:tcPr>
            <w:tcW w:w="721" w:type="pct"/>
            <w:tcBorders>
              <w:tl2br w:val="nil"/>
              <w:tr2bl w:val="nil"/>
            </w:tcBorders>
            <w:shd w:val="clear" w:color="auto" w:fill="auto"/>
            <w:noWrap/>
            <w:vAlign w:val="center"/>
          </w:tcPr>
          <w:p w14:paraId="1AF395A1">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24121520</w:t>
            </w:r>
          </w:p>
        </w:tc>
        <w:tc>
          <w:tcPr>
            <w:tcW w:w="668" w:type="pct"/>
            <w:tcBorders>
              <w:tl2br w:val="nil"/>
              <w:tr2bl w:val="nil"/>
            </w:tcBorders>
            <w:shd w:val="clear" w:color="auto" w:fill="auto"/>
            <w:noWrap/>
            <w:vAlign w:val="center"/>
          </w:tcPr>
          <w:p w14:paraId="316B9F80">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2.00E-01</w:t>
            </w:r>
          </w:p>
        </w:tc>
        <w:tc>
          <w:tcPr>
            <w:tcW w:w="392" w:type="pct"/>
            <w:tcBorders>
              <w:tl2br w:val="nil"/>
              <w:tr2bl w:val="nil"/>
            </w:tcBorders>
            <w:shd w:val="clear" w:color="auto" w:fill="auto"/>
            <w:noWrap/>
            <w:vAlign w:val="center"/>
          </w:tcPr>
          <w:p w14:paraId="1C2BF6E3">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1.38</w:t>
            </w:r>
          </w:p>
        </w:tc>
        <w:tc>
          <w:tcPr>
            <w:tcW w:w="447" w:type="pct"/>
            <w:tcBorders>
              <w:tl2br w:val="nil"/>
              <w:tr2bl w:val="nil"/>
            </w:tcBorders>
            <w:shd w:val="clear" w:color="auto" w:fill="auto"/>
            <w:noWrap/>
            <w:vAlign w:val="center"/>
          </w:tcPr>
          <w:p w14:paraId="3613A4A6">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达标</w:t>
            </w:r>
          </w:p>
        </w:tc>
      </w:tr>
      <w:tr w14:paraId="564977E1">
        <w:tblPrEx>
          <w:tblBorders>
            <w:top w:val="thinThickSmallGap" w:color="000000" w:sz="12" w:space="0"/>
            <w:left w:val="none" w:color="auto" w:sz="0" w:space="0"/>
            <w:bottom w:val="thinThickSmallGap" w:color="000000" w:sz="12" w:space="0"/>
            <w:right w:val="none" w:color="auto" w:sz="0"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295" w:hRule="atLeast"/>
        </w:trPr>
        <w:tc>
          <w:tcPr>
            <w:tcW w:w="235" w:type="pct"/>
            <w:tcBorders>
              <w:tl2br w:val="nil"/>
              <w:tr2bl w:val="nil"/>
            </w:tcBorders>
            <w:shd w:val="clear" w:color="auto" w:fill="auto"/>
            <w:noWrap/>
            <w:vAlign w:val="center"/>
          </w:tcPr>
          <w:p w14:paraId="7BD228FE">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default" w:ascii="Times New Roman" w:hAnsi="Times New Roman" w:eastAsia="宋体" w:cs="Times New Roman"/>
                <w:i w:val="0"/>
                <w:iCs w:val="0"/>
                <w:color w:val="0000FF"/>
                <w:kern w:val="0"/>
                <w:sz w:val="21"/>
                <w:szCs w:val="21"/>
                <w:u w:val="none"/>
                <w:lang w:val="en-US" w:eastAsia="zh-CN" w:bidi="ar"/>
              </w:rPr>
              <w:t>3</w:t>
            </w:r>
          </w:p>
        </w:tc>
        <w:tc>
          <w:tcPr>
            <w:tcW w:w="668" w:type="pct"/>
            <w:tcBorders>
              <w:tl2br w:val="nil"/>
              <w:tr2bl w:val="nil"/>
            </w:tcBorders>
            <w:shd w:val="clear" w:color="auto" w:fill="auto"/>
            <w:noWrap/>
            <w:vAlign w:val="center"/>
          </w:tcPr>
          <w:p w14:paraId="1D6B8A56">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老虎沟</w:t>
            </w:r>
          </w:p>
        </w:tc>
        <w:tc>
          <w:tcPr>
            <w:tcW w:w="659" w:type="pct"/>
            <w:tcBorders>
              <w:tl2br w:val="nil"/>
              <w:tr2bl w:val="nil"/>
            </w:tcBorders>
            <w:shd w:val="clear" w:color="auto" w:fill="auto"/>
            <w:noWrap/>
            <w:vAlign w:val="center"/>
          </w:tcPr>
          <w:p w14:paraId="4DA8BD83">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-1526,736</w:t>
            </w:r>
          </w:p>
        </w:tc>
        <w:tc>
          <w:tcPr>
            <w:tcW w:w="527" w:type="pct"/>
            <w:tcBorders>
              <w:tl2br w:val="nil"/>
              <w:tr2bl w:val="nil"/>
            </w:tcBorders>
            <w:shd w:val="clear" w:color="auto" w:fill="auto"/>
            <w:noWrap/>
            <w:vAlign w:val="center"/>
          </w:tcPr>
          <w:p w14:paraId="2DF126BB">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default" w:ascii="Times New Roman" w:hAnsi="Times New Roman" w:eastAsia="宋体" w:cs="Times New Roman"/>
                <w:i w:val="0"/>
                <w:iCs w:val="0"/>
                <w:color w:val="0000FF"/>
                <w:kern w:val="0"/>
                <w:sz w:val="21"/>
                <w:szCs w:val="21"/>
                <w:u w:val="none"/>
                <w:lang w:val="en-US" w:eastAsia="zh-CN" w:bidi="ar"/>
              </w:rPr>
              <w:t>1</w:t>
            </w:r>
            <w:r>
              <w:rPr>
                <w:rFonts w:hint="eastAsia" w:ascii="Times New Roman" w:hAnsi="Times New Roman" w:eastAsia="宋体" w:cs="Times New Roman"/>
                <w:i w:val="0"/>
                <w:iCs w:val="0"/>
                <w:color w:val="0000FF"/>
                <w:kern w:val="0"/>
                <w:sz w:val="21"/>
                <w:szCs w:val="21"/>
                <w:u w:val="none"/>
                <w:lang w:val="en-US" w:eastAsia="zh-CN" w:bidi="ar"/>
              </w:rPr>
              <w:t>小时</w:t>
            </w:r>
          </w:p>
        </w:tc>
        <w:tc>
          <w:tcPr>
            <w:tcW w:w="677" w:type="pct"/>
            <w:tcBorders>
              <w:tl2br w:val="nil"/>
              <w:tr2bl w:val="nil"/>
            </w:tcBorders>
            <w:shd w:val="clear" w:color="auto" w:fill="auto"/>
            <w:noWrap/>
            <w:vAlign w:val="center"/>
          </w:tcPr>
          <w:p w14:paraId="2C776CC2">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2.97E-04</w:t>
            </w:r>
          </w:p>
        </w:tc>
        <w:tc>
          <w:tcPr>
            <w:tcW w:w="721" w:type="pct"/>
            <w:tcBorders>
              <w:tl2br w:val="nil"/>
              <w:tr2bl w:val="nil"/>
            </w:tcBorders>
            <w:shd w:val="clear" w:color="auto" w:fill="auto"/>
            <w:noWrap/>
            <w:vAlign w:val="center"/>
          </w:tcPr>
          <w:p w14:paraId="50DD71EE">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24021011</w:t>
            </w:r>
          </w:p>
        </w:tc>
        <w:tc>
          <w:tcPr>
            <w:tcW w:w="668" w:type="pct"/>
            <w:tcBorders>
              <w:tl2br w:val="nil"/>
              <w:tr2bl w:val="nil"/>
            </w:tcBorders>
            <w:shd w:val="clear" w:color="auto" w:fill="auto"/>
            <w:noWrap/>
            <w:vAlign w:val="center"/>
          </w:tcPr>
          <w:p w14:paraId="3B0FE984">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2.00E-01</w:t>
            </w:r>
          </w:p>
        </w:tc>
        <w:tc>
          <w:tcPr>
            <w:tcW w:w="392" w:type="pct"/>
            <w:tcBorders>
              <w:tl2br w:val="nil"/>
              <w:tr2bl w:val="nil"/>
            </w:tcBorders>
            <w:shd w:val="clear" w:color="auto" w:fill="auto"/>
            <w:noWrap/>
            <w:vAlign w:val="center"/>
          </w:tcPr>
          <w:p w14:paraId="508C240E">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0.15</w:t>
            </w:r>
          </w:p>
        </w:tc>
        <w:tc>
          <w:tcPr>
            <w:tcW w:w="447" w:type="pct"/>
            <w:tcBorders>
              <w:tl2br w:val="nil"/>
              <w:tr2bl w:val="nil"/>
            </w:tcBorders>
            <w:shd w:val="clear" w:color="auto" w:fill="auto"/>
            <w:noWrap/>
            <w:vAlign w:val="center"/>
          </w:tcPr>
          <w:p w14:paraId="2357BD88">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达标</w:t>
            </w:r>
          </w:p>
        </w:tc>
      </w:tr>
      <w:tr w14:paraId="4080667A">
        <w:tblPrEx>
          <w:tblBorders>
            <w:top w:val="thinThickSmallGap" w:color="000000" w:sz="12" w:space="0"/>
            <w:left w:val="none" w:color="auto" w:sz="0" w:space="0"/>
            <w:bottom w:val="thinThickSmallGap" w:color="000000" w:sz="12" w:space="0"/>
            <w:right w:val="none" w:color="auto" w:sz="0"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295" w:hRule="atLeast"/>
        </w:trPr>
        <w:tc>
          <w:tcPr>
            <w:tcW w:w="235" w:type="pct"/>
            <w:tcBorders>
              <w:tl2br w:val="nil"/>
              <w:tr2bl w:val="nil"/>
            </w:tcBorders>
            <w:shd w:val="clear" w:color="auto" w:fill="auto"/>
            <w:noWrap/>
            <w:vAlign w:val="center"/>
          </w:tcPr>
          <w:p w14:paraId="13CEFA39">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default" w:ascii="Times New Roman" w:hAnsi="Times New Roman" w:eastAsia="宋体" w:cs="Times New Roman"/>
                <w:i w:val="0"/>
                <w:iCs w:val="0"/>
                <w:color w:val="0000FF"/>
                <w:kern w:val="0"/>
                <w:sz w:val="21"/>
                <w:szCs w:val="21"/>
                <w:u w:val="none"/>
                <w:lang w:val="en-US" w:eastAsia="zh-CN" w:bidi="ar"/>
              </w:rPr>
              <w:t>4</w:t>
            </w:r>
          </w:p>
        </w:tc>
        <w:tc>
          <w:tcPr>
            <w:tcW w:w="668" w:type="pct"/>
            <w:tcBorders>
              <w:tl2br w:val="nil"/>
              <w:tr2bl w:val="nil"/>
            </w:tcBorders>
            <w:shd w:val="clear" w:color="auto" w:fill="auto"/>
            <w:noWrap/>
            <w:vAlign w:val="center"/>
          </w:tcPr>
          <w:p w14:paraId="77BC1D54">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三道沟</w:t>
            </w:r>
          </w:p>
        </w:tc>
        <w:tc>
          <w:tcPr>
            <w:tcW w:w="659" w:type="pct"/>
            <w:tcBorders>
              <w:tl2br w:val="nil"/>
              <w:tr2bl w:val="nil"/>
            </w:tcBorders>
            <w:shd w:val="clear" w:color="auto" w:fill="auto"/>
            <w:noWrap/>
            <w:vAlign w:val="center"/>
          </w:tcPr>
          <w:p w14:paraId="7456BB18">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910,-1326</w:t>
            </w:r>
          </w:p>
        </w:tc>
        <w:tc>
          <w:tcPr>
            <w:tcW w:w="527" w:type="pct"/>
            <w:tcBorders>
              <w:tl2br w:val="nil"/>
              <w:tr2bl w:val="nil"/>
            </w:tcBorders>
            <w:shd w:val="clear" w:color="auto" w:fill="auto"/>
            <w:noWrap/>
            <w:vAlign w:val="center"/>
          </w:tcPr>
          <w:p w14:paraId="186D2AF2">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default" w:ascii="Times New Roman" w:hAnsi="Times New Roman" w:eastAsia="宋体" w:cs="Times New Roman"/>
                <w:i w:val="0"/>
                <w:iCs w:val="0"/>
                <w:color w:val="0000FF"/>
                <w:kern w:val="0"/>
                <w:sz w:val="21"/>
                <w:szCs w:val="21"/>
                <w:u w:val="none"/>
                <w:lang w:val="en-US" w:eastAsia="zh-CN" w:bidi="ar"/>
              </w:rPr>
              <w:t>1</w:t>
            </w:r>
            <w:r>
              <w:rPr>
                <w:rFonts w:hint="eastAsia" w:ascii="Times New Roman" w:hAnsi="Times New Roman" w:eastAsia="宋体" w:cs="Times New Roman"/>
                <w:i w:val="0"/>
                <w:iCs w:val="0"/>
                <w:color w:val="0000FF"/>
                <w:kern w:val="0"/>
                <w:sz w:val="21"/>
                <w:szCs w:val="21"/>
                <w:u w:val="none"/>
                <w:lang w:val="en-US" w:eastAsia="zh-CN" w:bidi="ar"/>
              </w:rPr>
              <w:t>小时</w:t>
            </w:r>
          </w:p>
        </w:tc>
        <w:tc>
          <w:tcPr>
            <w:tcW w:w="677" w:type="pct"/>
            <w:tcBorders>
              <w:tl2br w:val="nil"/>
              <w:tr2bl w:val="nil"/>
            </w:tcBorders>
            <w:shd w:val="clear" w:color="auto" w:fill="auto"/>
            <w:noWrap/>
            <w:vAlign w:val="center"/>
          </w:tcPr>
          <w:p w14:paraId="099BEB30">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4.62E-04</w:t>
            </w:r>
          </w:p>
        </w:tc>
        <w:tc>
          <w:tcPr>
            <w:tcW w:w="721" w:type="pct"/>
            <w:tcBorders>
              <w:tl2br w:val="nil"/>
              <w:tr2bl w:val="nil"/>
            </w:tcBorders>
            <w:shd w:val="clear" w:color="auto" w:fill="auto"/>
            <w:noWrap/>
            <w:vAlign w:val="center"/>
          </w:tcPr>
          <w:p w14:paraId="020916A5">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24122012</w:t>
            </w:r>
          </w:p>
        </w:tc>
        <w:tc>
          <w:tcPr>
            <w:tcW w:w="668" w:type="pct"/>
            <w:tcBorders>
              <w:tl2br w:val="nil"/>
              <w:tr2bl w:val="nil"/>
            </w:tcBorders>
            <w:shd w:val="clear" w:color="auto" w:fill="auto"/>
            <w:noWrap/>
            <w:vAlign w:val="center"/>
          </w:tcPr>
          <w:p w14:paraId="4A4A631C">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2.00E-01</w:t>
            </w:r>
          </w:p>
        </w:tc>
        <w:tc>
          <w:tcPr>
            <w:tcW w:w="392" w:type="pct"/>
            <w:tcBorders>
              <w:tl2br w:val="nil"/>
              <w:tr2bl w:val="nil"/>
            </w:tcBorders>
            <w:shd w:val="clear" w:color="auto" w:fill="auto"/>
            <w:noWrap/>
            <w:vAlign w:val="center"/>
          </w:tcPr>
          <w:p w14:paraId="5A3B36D5">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0.23</w:t>
            </w:r>
          </w:p>
        </w:tc>
        <w:tc>
          <w:tcPr>
            <w:tcW w:w="447" w:type="pct"/>
            <w:tcBorders>
              <w:tl2br w:val="nil"/>
              <w:tr2bl w:val="nil"/>
            </w:tcBorders>
            <w:shd w:val="clear" w:color="auto" w:fill="auto"/>
            <w:noWrap/>
            <w:vAlign w:val="center"/>
          </w:tcPr>
          <w:p w14:paraId="720185DE">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达标</w:t>
            </w:r>
          </w:p>
        </w:tc>
      </w:tr>
      <w:tr w14:paraId="3581CA21">
        <w:tblPrEx>
          <w:tblBorders>
            <w:top w:val="thinThickSmallGap" w:color="000000" w:sz="12" w:space="0"/>
            <w:left w:val="none" w:color="auto" w:sz="0" w:space="0"/>
            <w:bottom w:val="thinThickSmallGap" w:color="000000" w:sz="12" w:space="0"/>
            <w:right w:val="none" w:color="auto" w:sz="0"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295" w:hRule="atLeast"/>
        </w:trPr>
        <w:tc>
          <w:tcPr>
            <w:tcW w:w="235" w:type="pct"/>
            <w:tcBorders>
              <w:tl2br w:val="nil"/>
              <w:tr2bl w:val="nil"/>
            </w:tcBorders>
            <w:shd w:val="clear" w:color="auto" w:fill="auto"/>
            <w:noWrap/>
            <w:vAlign w:val="center"/>
          </w:tcPr>
          <w:p w14:paraId="65C4F204">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default" w:ascii="Times New Roman" w:hAnsi="Times New Roman" w:eastAsia="宋体" w:cs="Times New Roman"/>
                <w:i w:val="0"/>
                <w:iCs w:val="0"/>
                <w:color w:val="0000FF"/>
                <w:kern w:val="0"/>
                <w:sz w:val="21"/>
                <w:szCs w:val="21"/>
                <w:u w:val="none"/>
                <w:lang w:val="en-US" w:eastAsia="zh-CN" w:bidi="ar"/>
              </w:rPr>
              <w:t>5</w:t>
            </w:r>
          </w:p>
        </w:tc>
        <w:tc>
          <w:tcPr>
            <w:tcW w:w="668" w:type="pct"/>
            <w:tcBorders>
              <w:tl2br w:val="nil"/>
              <w:tr2bl w:val="nil"/>
            </w:tcBorders>
            <w:shd w:val="clear" w:color="auto" w:fill="auto"/>
            <w:noWrap/>
            <w:vAlign w:val="center"/>
          </w:tcPr>
          <w:p w14:paraId="7CDDFF8A">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四道河子</w:t>
            </w:r>
          </w:p>
        </w:tc>
        <w:tc>
          <w:tcPr>
            <w:tcW w:w="659" w:type="pct"/>
            <w:tcBorders>
              <w:tl2br w:val="nil"/>
              <w:tr2bl w:val="nil"/>
            </w:tcBorders>
            <w:shd w:val="clear" w:color="auto" w:fill="auto"/>
            <w:noWrap/>
            <w:vAlign w:val="center"/>
          </w:tcPr>
          <w:p w14:paraId="0001F714">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430,1123</w:t>
            </w:r>
          </w:p>
        </w:tc>
        <w:tc>
          <w:tcPr>
            <w:tcW w:w="527" w:type="pct"/>
            <w:tcBorders>
              <w:tl2br w:val="nil"/>
              <w:tr2bl w:val="nil"/>
            </w:tcBorders>
            <w:shd w:val="clear" w:color="auto" w:fill="auto"/>
            <w:noWrap/>
            <w:vAlign w:val="center"/>
          </w:tcPr>
          <w:p w14:paraId="1881FE16">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default" w:ascii="Times New Roman" w:hAnsi="Times New Roman" w:eastAsia="宋体" w:cs="Times New Roman"/>
                <w:i w:val="0"/>
                <w:iCs w:val="0"/>
                <w:color w:val="0000FF"/>
                <w:kern w:val="0"/>
                <w:sz w:val="21"/>
                <w:szCs w:val="21"/>
                <w:u w:val="none"/>
                <w:lang w:val="en-US" w:eastAsia="zh-CN" w:bidi="ar"/>
              </w:rPr>
              <w:t>1</w:t>
            </w:r>
            <w:r>
              <w:rPr>
                <w:rFonts w:hint="eastAsia" w:ascii="Times New Roman" w:hAnsi="Times New Roman" w:eastAsia="宋体" w:cs="Times New Roman"/>
                <w:i w:val="0"/>
                <w:iCs w:val="0"/>
                <w:color w:val="0000FF"/>
                <w:kern w:val="0"/>
                <w:sz w:val="21"/>
                <w:szCs w:val="21"/>
                <w:u w:val="none"/>
                <w:lang w:val="en-US" w:eastAsia="zh-CN" w:bidi="ar"/>
              </w:rPr>
              <w:t>小时</w:t>
            </w:r>
          </w:p>
        </w:tc>
        <w:tc>
          <w:tcPr>
            <w:tcW w:w="677" w:type="pct"/>
            <w:tcBorders>
              <w:tl2br w:val="nil"/>
              <w:tr2bl w:val="nil"/>
            </w:tcBorders>
            <w:shd w:val="clear" w:color="auto" w:fill="auto"/>
            <w:noWrap/>
            <w:vAlign w:val="center"/>
          </w:tcPr>
          <w:p w14:paraId="4084EFDF">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3.60E-04</w:t>
            </w:r>
          </w:p>
        </w:tc>
        <w:tc>
          <w:tcPr>
            <w:tcW w:w="721" w:type="pct"/>
            <w:tcBorders>
              <w:tl2br w:val="nil"/>
              <w:tr2bl w:val="nil"/>
            </w:tcBorders>
            <w:shd w:val="clear" w:color="auto" w:fill="auto"/>
            <w:noWrap/>
            <w:vAlign w:val="center"/>
          </w:tcPr>
          <w:p w14:paraId="61726127">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24060619</w:t>
            </w:r>
          </w:p>
        </w:tc>
        <w:tc>
          <w:tcPr>
            <w:tcW w:w="668" w:type="pct"/>
            <w:tcBorders>
              <w:tl2br w:val="nil"/>
              <w:tr2bl w:val="nil"/>
            </w:tcBorders>
            <w:shd w:val="clear" w:color="auto" w:fill="auto"/>
            <w:noWrap/>
            <w:vAlign w:val="center"/>
          </w:tcPr>
          <w:p w14:paraId="142845D0">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2.00E-01</w:t>
            </w:r>
          </w:p>
        </w:tc>
        <w:tc>
          <w:tcPr>
            <w:tcW w:w="392" w:type="pct"/>
            <w:tcBorders>
              <w:tl2br w:val="nil"/>
              <w:tr2bl w:val="nil"/>
            </w:tcBorders>
            <w:shd w:val="clear" w:color="auto" w:fill="auto"/>
            <w:noWrap/>
            <w:vAlign w:val="center"/>
          </w:tcPr>
          <w:p w14:paraId="05E4980D">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0.18</w:t>
            </w:r>
          </w:p>
        </w:tc>
        <w:tc>
          <w:tcPr>
            <w:tcW w:w="447" w:type="pct"/>
            <w:tcBorders>
              <w:tl2br w:val="nil"/>
              <w:tr2bl w:val="nil"/>
            </w:tcBorders>
            <w:shd w:val="clear" w:color="auto" w:fill="auto"/>
            <w:noWrap/>
            <w:vAlign w:val="center"/>
          </w:tcPr>
          <w:p w14:paraId="459B6FAB">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达标</w:t>
            </w:r>
          </w:p>
        </w:tc>
      </w:tr>
      <w:tr w14:paraId="70EE8661">
        <w:tblPrEx>
          <w:tblBorders>
            <w:top w:val="thinThickSmallGap" w:color="000000" w:sz="12" w:space="0"/>
            <w:left w:val="none" w:color="auto" w:sz="0" w:space="0"/>
            <w:bottom w:val="thinThickSmallGap" w:color="000000" w:sz="12" w:space="0"/>
            <w:right w:val="none" w:color="auto" w:sz="0"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295" w:hRule="atLeast"/>
        </w:trPr>
        <w:tc>
          <w:tcPr>
            <w:tcW w:w="235" w:type="pct"/>
            <w:tcBorders>
              <w:tl2br w:val="nil"/>
              <w:tr2bl w:val="nil"/>
            </w:tcBorders>
            <w:shd w:val="clear" w:color="auto" w:fill="auto"/>
            <w:noWrap/>
            <w:vAlign w:val="center"/>
          </w:tcPr>
          <w:p w14:paraId="23686A82">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default" w:ascii="Times New Roman" w:hAnsi="Times New Roman" w:eastAsia="宋体" w:cs="Times New Roman"/>
                <w:i w:val="0"/>
                <w:iCs w:val="0"/>
                <w:color w:val="0000FF"/>
                <w:kern w:val="0"/>
                <w:sz w:val="21"/>
                <w:szCs w:val="21"/>
                <w:u w:val="none"/>
                <w:lang w:val="en-US" w:eastAsia="zh-CN" w:bidi="ar"/>
              </w:rPr>
              <w:t>6</w:t>
            </w:r>
          </w:p>
        </w:tc>
        <w:tc>
          <w:tcPr>
            <w:tcW w:w="668" w:type="pct"/>
            <w:tcBorders>
              <w:tl2br w:val="nil"/>
              <w:tr2bl w:val="nil"/>
            </w:tcBorders>
            <w:shd w:val="clear" w:color="auto" w:fill="auto"/>
            <w:vAlign w:val="center"/>
          </w:tcPr>
          <w:p w14:paraId="09102C14">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五道沟</w:t>
            </w:r>
          </w:p>
        </w:tc>
        <w:tc>
          <w:tcPr>
            <w:tcW w:w="659" w:type="pct"/>
            <w:tcBorders>
              <w:tl2br w:val="nil"/>
              <w:tr2bl w:val="nil"/>
            </w:tcBorders>
            <w:shd w:val="clear" w:color="auto" w:fill="auto"/>
            <w:noWrap/>
            <w:vAlign w:val="center"/>
          </w:tcPr>
          <w:p w14:paraId="7A6185A4">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815,1679</w:t>
            </w:r>
          </w:p>
        </w:tc>
        <w:tc>
          <w:tcPr>
            <w:tcW w:w="527" w:type="pct"/>
            <w:tcBorders>
              <w:tl2br w:val="nil"/>
              <w:tr2bl w:val="nil"/>
            </w:tcBorders>
            <w:shd w:val="clear" w:color="auto" w:fill="auto"/>
            <w:noWrap/>
            <w:vAlign w:val="center"/>
          </w:tcPr>
          <w:p w14:paraId="536FC840">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default" w:ascii="Times New Roman" w:hAnsi="Times New Roman" w:eastAsia="宋体" w:cs="Times New Roman"/>
                <w:i w:val="0"/>
                <w:iCs w:val="0"/>
                <w:color w:val="0000FF"/>
                <w:kern w:val="0"/>
                <w:sz w:val="21"/>
                <w:szCs w:val="21"/>
                <w:u w:val="none"/>
                <w:lang w:val="en-US" w:eastAsia="zh-CN" w:bidi="ar"/>
              </w:rPr>
              <w:t>1</w:t>
            </w:r>
            <w:r>
              <w:rPr>
                <w:rFonts w:hint="eastAsia" w:ascii="Times New Roman" w:hAnsi="Times New Roman" w:eastAsia="宋体" w:cs="Times New Roman"/>
                <w:i w:val="0"/>
                <w:iCs w:val="0"/>
                <w:color w:val="0000FF"/>
                <w:kern w:val="0"/>
                <w:sz w:val="21"/>
                <w:szCs w:val="21"/>
                <w:u w:val="none"/>
                <w:lang w:val="en-US" w:eastAsia="zh-CN" w:bidi="ar"/>
              </w:rPr>
              <w:t>小时</w:t>
            </w:r>
          </w:p>
        </w:tc>
        <w:tc>
          <w:tcPr>
            <w:tcW w:w="677" w:type="pct"/>
            <w:tcBorders>
              <w:tl2br w:val="nil"/>
              <w:tr2bl w:val="nil"/>
            </w:tcBorders>
            <w:shd w:val="clear" w:color="auto" w:fill="auto"/>
            <w:noWrap/>
            <w:vAlign w:val="center"/>
          </w:tcPr>
          <w:p w14:paraId="1995056F">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4.19E-04</w:t>
            </w:r>
          </w:p>
        </w:tc>
        <w:tc>
          <w:tcPr>
            <w:tcW w:w="721" w:type="pct"/>
            <w:tcBorders>
              <w:tl2br w:val="nil"/>
              <w:tr2bl w:val="nil"/>
            </w:tcBorders>
            <w:shd w:val="clear" w:color="auto" w:fill="auto"/>
            <w:noWrap/>
            <w:vAlign w:val="center"/>
          </w:tcPr>
          <w:p w14:paraId="52D7EF73">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24011511</w:t>
            </w:r>
          </w:p>
        </w:tc>
        <w:tc>
          <w:tcPr>
            <w:tcW w:w="668" w:type="pct"/>
            <w:tcBorders>
              <w:tl2br w:val="nil"/>
              <w:tr2bl w:val="nil"/>
            </w:tcBorders>
            <w:shd w:val="clear" w:color="auto" w:fill="auto"/>
            <w:noWrap/>
            <w:vAlign w:val="center"/>
          </w:tcPr>
          <w:p w14:paraId="335F161D">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2.00E-01</w:t>
            </w:r>
          </w:p>
        </w:tc>
        <w:tc>
          <w:tcPr>
            <w:tcW w:w="392" w:type="pct"/>
            <w:tcBorders>
              <w:tl2br w:val="nil"/>
              <w:tr2bl w:val="nil"/>
            </w:tcBorders>
            <w:shd w:val="clear" w:color="auto" w:fill="auto"/>
            <w:noWrap/>
            <w:vAlign w:val="center"/>
          </w:tcPr>
          <w:p w14:paraId="451D8F03">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0.21</w:t>
            </w:r>
          </w:p>
        </w:tc>
        <w:tc>
          <w:tcPr>
            <w:tcW w:w="447" w:type="pct"/>
            <w:tcBorders>
              <w:tl2br w:val="nil"/>
              <w:tr2bl w:val="nil"/>
            </w:tcBorders>
            <w:shd w:val="clear" w:color="auto" w:fill="auto"/>
            <w:noWrap/>
            <w:vAlign w:val="center"/>
          </w:tcPr>
          <w:p w14:paraId="7735BF2A">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达标</w:t>
            </w:r>
          </w:p>
        </w:tc>
      </w:tr>
      <w:tr w14:paraId="2DC011FC">
        <w:tblPrEx>
          <w:tblBorders>
            <w:top w:val="thinThickSmallGap" w:color="000000" w:sz="12" w:space="0"/>
            <w:left w:val="none" w:color="auto" w:sz="0" w:space="0"/>
            <w:bottom w:val="thinThickSmallGap" w:color="000000" w:sz="12" w:space="0"/>
            <w:right w:val="none" w:color="auto" w:sz="0"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295" w:hRule="atLeast"/>
        </w:trPr>
        <w:tc>
          <w:tcPr>
            <w:tcW w:w="235" w:type="pct"/>
            <w:tcBorders>
              <w:tl2br w:val="nil"/>
              <w:tr2bl w:val="nil"/>
            </w:tcBorders>
            <w:shd w:val="clear" w:color="auto" w:fill="auto"/>
            <w:noWrap/>
            <w:vAlign w:val="center"/>
          </w:tcPr>
          <w:p w14:paraId="65F69F67">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7</w:t>
            </w:r>
          </w:p>
        </w:tc>
        <w:tc>
          <w:tcPr>
            <w:tcW w:w="668" w:type="pct"/>
            <w:tcBorders>
              <w:tl2br w:val="nil"/>
              <w:tr2bl w:val="nil"/>
            </w:tcBorders>
            <w:shd w:val="clear" w:color="auto" w:fill="auto"/>
            <w:vAlign w:val="center"/>
          </w:tcPr>
          <w:p w14:paraId="254112B5">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杨家堡子</w:t>
            </w:r>
          </w:p>
        </w:tc>
        <w:tc>
          <w:tcPr>
            <w:tcW w:w="659" w:type="pct"/>
            <w:tcBorders>
              <w:tl2br w:val="nil"/>
              <w:tr2bl w:val="nil"/>
            </w:tcBorders>
            <w:shd w:val="clear" w:color="auto" w:fill="auto"/>
            <w:noWrap/>
            <w:vAlign w:val="center"/>
          </w:tcPr>
          <w:p w14:paraId="7807BA12">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1113,1984</w:t>
            </w:r>
          </w:p>
        </w:tc>
        <w:tc>
          <w:tcPr>
            <w:tcW w:w="527" w:type="pct"/>
            <w:tcBorders>
              <w:tl2br w:val="nil"/>
              <w:tr2bl w:val="nil"/>
            </w:tcBorders>
            <w:shd w:val="clear" w:color="auto" w:fill="auto"/>
            <w:noWrap/>
            <w:vAlign w:val="center"/>
          </w:tcPr>
          <w:p w14:paraId="554330D4">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Times New Roman" w:hAnsi="Times New Roman" w:eastAsia="宋体" w:cs="Times New Roman"/>
                <w:i w:val="0"/>
                <w:iCs w:val="0"/>
                <w:color w:val="0000FF"/>
                <w:kern w:val="0"/>
                <w:sz w:val="21"/>
                <w:szCs w:val="21"/>
                <w:u w:val="none"/>
                <w:lang w:val="en-US" w:eastAsia="zh-CN" w:bidi="ar"/>
              </w:rPr>
            </w:pPr>
            <w:r>
              <w:rPr>
                <w:rFonts w:hint="default" w:ascii="Times New Roman" w:hAnsi="Times New Roman" w:eastAsia="宋体" w:cs="Times New Roman"/>
                <w:i w:val="0"/>
                <w:iCs w:val="0"/>
                <w:color w:val="0000FF"/>
                <w:kern w:val="0"/>
                <w:sz w:val="21"/>
                <w:szCs w:val="21"/>
                <w:u w:val="none"/>
                <w:lang w:val="en-US" w:eastAsia="zh-CN" w:bidi="ar"/>
              </w:rPr>
              <w:t>1</w:t>
            </w:r>
            <w:r>
              <w:rPr>
                <w:rFonts w:hint="eastAsia" w:ascii="Times New Roman" w:hAnsi="Times New Roman" w:eastAsia="宋体" w:cs="Times New Roman"/>
                <w:i w:val="0"/>
                <w:iCs w:val="0"/>
                <w:color w:val="0000FF"/>
                <w:kern w:val="0"/>
                <w:sz w:val="21"/>
                <w:szCs w:val="21"/>
                <w:u w:val="none"/>
                <w:lang w:val="en-US" w:eastAsia="zh-CN" w:bidi="ar"/>
              </w:rPr>
              <w:t>小时</w:t>
            </w:r>
          </w:p>
        </w:tc>
        <w:tc>
          <w:tcPr>
            <w:tcW w:w="677" w:type="pct"/>
            <w:tcBorders>
              <w:tl2br w:val="nil"/>
              <w:tr2bl w:val="nil"/>
            </w:tcBorders>
            <w:shd w:val="clear" w:color="auto" w:fill="auto"/>
            <w:noWrap/>
            <w:vAlign w:val="center"/>
          </w:tcPr>
          <w:p w14:paraId="0C7797A9">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4.20E-04</w:t>
            </w:r>
          </w:p>
        </w:tc>
        <w:tc>
          <w:tcPr>
            <w:tcW w:w="721" w:type="pct"/>
            <w:tcBorders>
              <w:tl2br w:val="nil"/>
              <w:tr2bl w:val="nil"/>
            </w:tcBorders>
            <w:shd w:val="clear" w:color="auto" w:fill="auto"/>
            <w:noWrap/>
            <w:vAlign w:val="center"/>
          </w:tcPr>
          <w:p w14:paraId="6FA4CD8E">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24011511</w:t>
            </w:r>
          </w:p>
        </w:tc>
        <w:tc>
          <w:tcPr>
            <w:tcW w:w="668" w:type="pct"/>
            <w:tcBorders>
              <w:tl2br w:val="nil"/>
              <w:tr2bl w:val="nil"/>
            </w:tcBorders>
            <w:shd w:val="clear" w:color="auto" w:fill="auto"/>
            <w:noWrap/>
            <w:vAlign w:val="center"/>
          </w:tcPr>
          <w:p w14:paraId="05A40320">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2.00E-01</w:t>
            </w:r>
          </w:p>
        </w:tc>
        <w:tc>
          <w:tcPr>
            <w:tcW w:w="392" w:type="pct"/>
            <w:tcBorders>
              <w:tl2br w:val="nil"/>
              <w:tr2bl w:val="nil"/>
            </w:tcBorders>
            <w:shd w:val="clear" w:color="auto" w:fill="auto"/>
            <w:noWrap/>
            <w:vAlign w:val="center"/>
          </w:tcPr>
          <w:p w14:paraId="3271B650">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0.21</w:t>
            </w:r>
          </w:p>
        </w:tc>
        <w:tc>
          <w:tcPr>
            <w:tcW w:w="447" w:type="pct"/>
            <w:tcBorders>
              <w:tl2br w:val="nil"/>
              <w:tr2bl w:val="nil"/>
            </w:tcBorders>
            <w:shd w:val="clear" w:color="auto" w:fill="auto"/>
            <w:noWrap/>
            <w:vAlign w:val="center"/>
          </w:tcPr>
          <w:p w14:paraId="71ACA8AC">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达标</w:t>
            </w:r>
          </w:p>
        </w:tc>
      </w:tr>
      <w:tr w14:paraId="5B2EE3A0">
        <w:tblPrEx>
          <w:tblBorders>
            <w:top w:val="thinThickSmallGap" w:color="000000" w:sz="12" w:space="0"/>
            <w:left w:val="none" w:color="auto" w:sz="0" w:space="0"/>
            <w:bottom w:val="thinThickSmallGap" w:color="000000" w:sz="12" w:space="0"/>
            <w:right w:val="none" w:color="auto" w:sz="0"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295" w:hRule="atLeast"/>
        </w:trPr>
        <w:tc>
          <w:tcPr>
            <w:tcW w:w="235" w:type="pct"/>
            <w:tcBorders>
              <w:tl2br w:val="nil"/>
              <w:tr2bl w:val="nil"/>
            </w:tcBorders>
            <w:shd w:val="clear" w:color="auto" w:fill="auto"/>
            <w:noWrap/>
            <w:vAlign w:val="center"/>
          </w:tcPr>
          <w:p w14:paraId="34631A65">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8</w:t>
            </w:r>
          </w:p>
        </w:tc>
        <w:tc>
          <w:tcPr>
            <w:tcW w:w="668" w:type="pct"/>
            <w:tcBorders>
              <w:tl2br w:val="nil"/>
              <w:tr2bl w:val="nil"/>
            </w:tcBorders>
            <w:shd w:val="clear" w:color="auto" w:fill="auto"/>
            <w:vAlign w:val="center"/>
          </w:tcPr>
          <w:p w14:paraId="68EC0BA3">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网格</w:t>
            </w:r>
          </w:p>
        </w:tc>
        <w:tc>
          <w:tcPr>
            <w:tcW w:w="659" w:type="pct"/>
            <w:tcBorders>
              <w:tl2br w:val="nil"/>
              <w:tr2bl w:val="nil"/>
            </w:tcBorders>
            <w:shd w:val="clear" w:color="auto" w:fill="auto"/>
            <w:noWrap/>
            <w:vAlign w:val="center"/>
          </w:tcPr>
          <w:p w14:paraId="4E25E3EF">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default" w:ascii="Times New Roman" w:hAnsi="Times New Roman" w:eastAsia="宋体" w:cs="Times New Roman"/>
                <w:i w:val="0"/>
                <w:iCs w:val="0"/>
                <w:color w:val="0000FF"/>
                <w:kern w:val="0"/>
                <w:sz w:val="21"/>
                <w:szCs w:val="21"/>
                <w:u w:val="none"/>
                <w:lang w:val="en-US" w:eastAsia="zh-CN" w:bidi="ar"/>
              </w:rPr>
              <w:t>28,931</w:t>
            </w:r>
          </w:p>
        </w:tc>
        <w:tc>
          <w:tcPr>
            <w:tcW w:w="527" w:type="pct"/>
            <w:tcBorders>
              <w:tl2br w:val="nil"/>
              <w:tr2bl w:val="nil"/>
            </w:tcBorders>
            <w:shd w:val="clear" w:color="auto" w:fill="auto"/>
            <w:noWrap/>
            <w:vAlign w:val="center"/>
          </w:tcPr>
          <w:p w14:paraId="1057F43C">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Times New Roman" w:hAnsi="Times New Roman" w:eastAsia="宋体" w:cs="Times New Roman"/>
                <w:i w:val="0"/>
                <w:iCs w:val="0"/>
                <w:color w:val="0000FF"/>
                <w:kern w:val="0"/>
                <w:sz w:val="21"/>
                <w:szCs w:val="21"/>
                <w:u w:val="none"/>
                <w:lang w:val="en-US" w:eastAsia="zh-CN" w:bidi="ar"/>
              </w:rPr>
            </w:pPr>
            <w:r>
              <w:rPr>
                <w:rFonts w:hint="default" w:ascii="Times New Roman" w:hAnsi="Times New Roman" w:eastAsia="宋体" w:cs="Times New Roman"/>
                <w:i w:val="0"/>
                <w:iCs w:val="0"/>
                <w:color w:val="0000FF"/>
                <w:kern w:val="0"/>
                <w:sz w:val="21"/>
                <w:szCs w:val="21"/>
                <w:u w:val="none"/>
                <w:lang w:val="en-US" w:eastAsia="zh-CN" w:bidi="ar"/>
              </w:rPr>
              <w:t>1</w:t>
            </w:r>
            <w:r>
              <w:rPr>
                <w:rFonts w:hint="eastAsia" w:ascii="Times New Roman" w:hAnsi="Times New Roman" w:eastAsia="宋体" w:cs="Times New Roman"/>
                <w:i w:val="0"/>
                <w:iCs w:val="0"/>
                <w:color w:val="0000FF"/>
                <w:kern w:val="0"/>
                <w:sz w:val="21"/>
                <w:szCs w:val="21"/>
                <w:u w:val="none"/>
                <w:lang w:val="en-US" w:eastAsia="zh-CN" w:bidi="ar"/>
              </w:rPr>
              <w:t>小时</w:t>
            </w:r>
          </w:p>
        </w:tc>
        <w:tc>
          <w:tcPr>
            <w:tcW w:w="677" w:type="pct"/>
            <w:tcBorders>
              <w:tl2br w:val="nil"/>
              <w:tr2bl w:val="nil"/>
            </w:tcBorders>
            <w:shd w:val="clear" w:color="auto" w:fill="auto"/>
            <w:noWrap/>
            <w:vAlign w:val="center"/>
          </w:tcPr>
          <w:p w14:paraId="6B2B61B9">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1.29E-02</w:t>
            </w:r>
          </w:p>
        </w:tc>
        <w:tc>
          <w:tcPr>
            <w:tcW w:w="721" w:type="pct"/>
            <w:tcBorders>
              <w:tl2br w:val="nil"/>
              <w:tr2bl w:val="nil"/>
            </w:tcBorders>
            <w:shd w:val="clear" w:color="auto" w:fill="auto"/>
            <w:noWrap/>
            <w:vAlign w:val="center"/>
          </w:tcPr>
          <w:p w14:paraId="32FC814C">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24011202</w:t>
            </w:r>
          </w:p>
        </w:tc>
        <w:tc>
          <w:tcPr>
            <w:tcW w:w="668" w:type="pct"/>
            <w:tcBorders>
              <w:tl2br w:val="nil"/>
              <w:tr2bl w:val="nil"/>
            </w:tcBorders>
            <w:shd w:val="clear" w:color="auto" w:fill="auto"/>
            <w:noWrap/>
            <w:vAlign w:val="center"/>
          </w:tcPr>
          <w:p w14:paraId="52C7EC1D">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2.00E-01</w:t>
            </w:r>
          </w:p>
        </w:tc>
        <w:tc>
          <w:tcPr>
            <w:tcW w:w="392" w:type="pct"/>
            <w:tcBorders>
              <w:tl2br w:val="nil"/>
              <w:tr2bl w:val="nil"/>
            </w:tcBorders>
            <w:shd w:val="clear" w:color="auto" w:fill="auto"/>
            <w:noWrap/>
            <w:vAlign w:val="center"/>
          </w:tcPr>
          <w:p w14:paraId="7AB0EDA6">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6.45</w:t>
            </w:r>
          </w:p>
        </w:tc>
        <w:tc>
          <w:tcPr>
            <w:tcW w:w="447" w:type="pct"/>
            <w:tcBorders>
              <w:tl2br w:val="nil"/>
              <w:tr2bl w:val="nil"/>
            </w:tcBorders>
            <w:shd w:val="clear" w:color="auto" w:fill="auto"/>
            <w:noWrap/>
            <w:vAlign w:val="center"/>
          </w:tcPr>
          <w:p w14:paraId="0689A3D1">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达标</w:t>
            </w:r>
          </w:p>
        </w:tc>
      </w:tr>
    </w:tbl>
    <w:p w14:paraId="1F450572">
      <w:pPr>
        <w:tabs>
          <w:tab w:val="left" w:pos="851"/>
          <w:tab w:val="left" w:pos="1141"/>
          <w:tab w:val="left" w:pos="4335"/>
        </w:tabs>
        <w:jc w:val="center"/>
        <w:rPr>
          <w:rFonts w:hint="eastAsia" w:ascii="Times New Roman" w:hAnsi="Times New Roman" w:eastAsia="黑体" w:cs="Times New Roman"/>
          <w:bCs/>
          <w:color w:val="0000FF"/>
        </w:rPr>
      </w:pPr>
      <w:r>
        <w:rPr>
          <w:rFonts w:ascii="Times New Roman" w:hAnsi="Times New Roman" w:eastAsia="黑体" w:cs="Times New Roman"/>
          <w:bCs/>
          <w:color w:val="0000FF"/>
        </w:rPr>
        <w:t>表</w:t>
      </w:r>
      <w:r>
        <w:rPr>
          <w:rFonts w:hint="eastAsia" w:ascii="Times New Roman" w:hAnsi="Times New Roman" w:eastAsia="黑体" w:cs="Times New Roman"/>
          <w:bCs/>
          <w:color w:val="0000FF"/>
        </w:rPr>
        <w:t>5</w:t>
      </w:r>
      <w:r>
        <w:rPr>
          <w:rFonts w:ascii="Times New Roman" w:hAnsi="Times New Roman" w:eastAsia="黑体" w:cs="Times New Roman"/>
          <w:bCs/>
          <w:color w:val="0000FF"/>
        </w:rPr>
        <w:t>.1-</w:t>
      </w:r>
      <w:r>
        <w:rPr>
          <w:rFonts w:hint="eastAsia" w:ascii="Times New Roman" w:hAnsi="Times New Roman" w:eastAsia="黑体" w:cs="Times New Roman"/>
          <w:bCs/>
          <w:color w:val="0000FF"/>
          <w:lang w:val="en-US" w:eastAsia="zh-CN"/>
        </w:rPr>
        <w:t>20</w:t>
      </w:r>
      <w:r>
        <w:rPr>
          <w:rFonts w:ascii="Times New Roman" w:hAnsi="Times New Roman" w:eastAsia="黑体" w:cs="Times New Roman"/>
          <w:bCs/>
          <w:color w:val="0000FF"/>
        </w:rPr>
        <w:t xml:space="preserve">  </w:t>
      </w:r>
      <w:r>
        <w:rPr>
          <w:rFonts w:hint="eastAsia" w:ascii="Times New Roman" w:hAnsi="Times New Roman" w:eastAsia="黑体" w:cs="Times New Roman"/>
          <w:bCs/>
          <w:color w:val="0000FF"/>
        </w:rPr>
        <w:t>关心点及网格点</w:t>
      </w:r>
      <w:r>
        <w:rPr>
          <w:rFonts w:hint="eastAsia" w:ascii="Times New Roman" w:hAnsi="Times New Roman" w:eastAsia="黑体" w:cs="Times New Roman"/>
          <w:bCs/>
          <w:color w:val="0000FF"/>
          <w:lang w:val="en-US" w:eastAsia="zh-CN"/>
        </w:rPr>
        <w:t>二噁英</w:t>
      </w:r>
      <w:r>
        <w:rPr>
          <w:rFonts w:hint="eastAsia" w:ascii="Times New Roman" w:hAnsi="Times New Roman" w:eastAsia="黑体" w:cs="Times New Roman"/>
          <w:bCs/>
          <w:color w:val="0000FF"/>
        </w:rPr>
        <w:t>贡献质量浓度预测结果表</w:t>
      </w:r>
    </w:p>
    <w:tbl>
      <w:tblPr>
        <w:tblStyle w:val="56"/>
        <w:tblW w:w="5000" w:type="pct"/>
        <w:tblInd w:w="0" w:type="dxa"/>
        <w:tblBorders>
          <w:top w:val="thinThickSmallGap" w:color="000000" w:sz="12" w:space="0"/>
          <w:left w:val="none" w:color="auto" w:sz="0" w:space="0"/>
          <w:bottom w:val="thinThickSmallGap" w:color="000000" w:sz="12" w:space="0"/>
          <w:right w:val="none" w:color="auto" w:sz="0" w:space="0"/>
          <w:insideH w:val="single" w:color="000000" w:sz="4" w:space="0"/>
          <w:insideV w:val="single" w:color="000000" w:sz="4" w:space="0"/>
        </w:tblBorders>
        <w:shd w:val="clear" w:color="auto" w:fill="auto"/>
        <w:tblLayout w:type="fixed"/>
        <w:tblCellMar>
          <w:top w:w="0" w:type="dxa"/>
          <w:left w:w="108" w:type="dxa"/>
          <w:bottom w:w="0" w:type="dxa"/>
          <w:right w:w="108" w:type="dxa"/>
        </w:tblCellMar>
      </w:tblPr>
      <w:tblGrid>
        <w:gridCol w:w="386"/>
        <w:gridCol w:w="1125"/>
        <w:gridCol w:w="1140"/>
        <w:gridCol w:w="900"/>
        <w:gridCol w:w="1170"/>
        <w:gridCol w:w="1185"/>
        <w:gridCol w:w="1103"/>
        <w:gridCol w:w="746"/>
        <w:gridCol w:w="768"/>
      </w:tblGrid>
      <w:tr w14:paraId="027FFEED">
        <w:tblPrEx>
          <w:tblBorders>
            <w:top w:val="thinThickSmallGap" w:color="000000" w:sz="12" w:space="0"/>
            <w:left w:val="none" w:color="auto" w:sz="0" w:space="0"/>
            <w:bottom w:val="thinThickSmallGap" w:color="000000" w:sz="12" w:space="0"/>
            <w:right w:val="none" w:color="auto" w:sz="0"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295" w:hRule="atLeast"/>
        </w:trPr>
        <w:tc>
          <w:tcPr>
            <w:tcW w:w="226" w:type="pct"/>
            <w:tcBorders>
              <w:tl2br w:val="nil"/>
              <w:tr2bl w:val="nil"/>
            </w:tcBorders>
            <w:shd w:val="clear" w:color="auto" w:fill="auto"/>
            <w:noWrap/>
            <w:vAlign w:val="center"/>
          </w:tcPr>
          <w:p w14:paraId="47B9524E">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eastAsia" w:ascii="宋体" w:hAnsi="宋体" w:eastAsia="宋体" w:cs="宋体"/>
                <w:i w:val="0"/>
                <w:iCs w:val="0"/>
                <w:color w:val="0000FF"/>
                <w:sz w:val="22"/>
                <w:szCs w:val="22"/>
                <w:u w:val="none"/>
              </w:rPr>
            </w:pPr>
            <w:r>
              <w:rPr>
                <w:rFonts w:hint="eastAsia" w:ascii="宋体" w:hAnsi="宋体" w:eastAsia="宋体" w:cs="宋体"/>
                <w:i w:val="0"/>
                <w:iCs w:val="0"/>
                <w:color w:val="0000FF"/>
                <w:kern w:val="0"/>
                <w:sz w:val="22"/>
                <w:szCs w:val="22"/>
                <w:u w:val="none"/>
                <w:lang w:val="en-US" w:eastAsia="zh-CN" w:bidi="ar"/>
              </w:rPr>
              <w:t>序号</w:t>
            </w:r>
          </w:p>
        </w:tc>
        <w:tc>
          <w:tcPr>
            <w:tcW w:w="659" w:type="pct"/>
            <w:tcBorders>
              <w:tl2br w:val="nil"/>
              <w:tr2bl w:val="nil"/>
            </w:tcBorders>
            <w:shd w:val="clear" w:color="auto" w:fill="auto"/>
            <w:noWrap/>
            <w:vAlign w:val="center"/>
          </w:tcPr>
          <w:p w14:paraId="0E08A093">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eastAsia" w:ascii="宋体" w:hAnsi="宋体" w:eastAsia="宋体" w:cs="宋体"/>
                <w:i w:val="0"/>
                <w:iCs w:val="0"/>
                <w:color w:val="0000FF"/>
                <w:sz w:val="22"/>
                <w:szCs w:val="22"/>
                <w:u w:val="none"/>
              </w:rPr>
            </w:pPr>
            <w:r>
              <w:rPr>
                <w:rFonts w:hint="eastAsia" w:ascii="宋体" w:hAnsi="宋体" w:eastAsia="宋体" w:cs="宋体"/>
                <w:i w:val="0"/>
                <w:iCs w:val="0"/>
                <w:color w:val="0000FF"/>
                <w:kern w:val="0"/>
                <w:sz w:val="22"/>
                <w:szCs w:val="22"/>
                <w:u w:val="none"/>
                <w:lang w:val="en-US" w:eastAsia="zh-CN" w:bidi="ar"/>
              </w:rPr>
              <w:t>点名称</w:t>
            </w:r>
          </w:p>
        </w:tc>
        <w:tc>
          <w:tcPr>
            <w:tcW w:w="668" w:type="pct"/>
            <w:tcBorders>
              <w:tl2br w:val="nil"/>
              <w:tr2bl w:val="nil"/>
            </w:tcBorders>
            <w:shd w:val="clear" w:color="auto" w:fill="auto"/>
            <w:noWrap/>
            <w:vAlign w:val="center"/>
          </w:tcPr>
          <w:p w14:paraId="3FAB432A">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eastAsia" w:ascii="宋体" w:hAnsi="宋体" w:eastAsia="宋体" w:cs="宋体"/>
                <w:i w:val="0"/>
                <w:iCs w:val="0"/>
                <w:color w:val="0000FF"/>
                <w:sz w:val="22"/>
                <w:szCs w:val="22"/>
                <w:u w:val="none"/>
              </w:rPr>
            </w:pPr>
            <w:r>
              <w:rPr>
                <w:rFonts w:hint="eastAsia" w:ascii="宋体" w:hAnsi="宋体" w:eastAsia="宋体" w:cs="宋体"/>
                <w:i w:val="0"/>
                <w:iCs w:val="0"/>
                <w:color w:val="0000FF"/>
                <w:kern w:val="0"/>
                <w:sz w:val="22"/>
                <w:szCs w:val="22"/>
                <w:u w:val="none"/>
                <w:lang w:val="en-US" w:eastAsia="zh-CN" w:bidi="ar"/>
              </w:rPr>
              <w:t>点坐标</w:t>
            </w:r>
            <w:r>
              <w:rPr>
                <w:rFonts w:hint="default" w:ascii="Times New Roman" w:hAnsi="Times New Roman" w:eastAsia="宋体" w:cs="Times New Roman"/>
                <w:i w:val="0"/>
                <w:iCs w:val="0"/>
                <w:color w:val="0000FF"/>
                <w:kern w:val="0"/>
                <w:sz w:val="22"/>
                <w:szCs w:val="22"/>
                <w:u w:val="none"/>
                <w:lang w:val="en-US" w:eastAsia="zh-CN" w:bidi="ar"/>
              </w:rPr>
              <w:t>(x</w:t>
            </w:r>
            <w:r>
              <w:rPr>
                <w:rFonts w:hint="eastAsia" w:ascii="宋体" w:hAnsi="宋体" w:eastAsia="宋体" w:cs="宋体"/>
                <w:i w:val="0"/>
                <w:iCs w:val="0"/>
                <w:color w:val="0000FF"/>
                <w:kern w:val="0"/>
                <w:sz w:val="22"/>
                <w:szCs w:val="22"/>
                <w:u w:val="none"/>
                <w:lang w:val="en-US" w:eastAsia="zh-CN" w:bidi="ar"/>
              </w:rPr>
              <w:t>,</w:t>
            </w:r>
            <w:r>
              <w:rPr>
                <w:rFonts w:hint="default" w:ascii="Times New Roman" w:hAnsi="Times New Roman" w:eastAsia="宋体" w:cs="Times New Roman"/>
                <w:i w:val="0"/>
                <w:iCs w:val="0"/>
                <w:color w:val="0000FF"/>
                <w:kern w:val="0"/>
                <w:sz w:val="22"/>
                <w:szCs w:val="22"/>
                <w:u w:val="none"/>
                <w:lang w:val="en-US" w:eastAsia="zh-CN" w:bidi="ar"/>
              </w:rPr>
              <w:t>y)</w:t>
            </w:r>
          </w:p>
        </w:tc>
        <w:tc>
          <w:tcPr>
            <w:tcW w:w="527" w:type="pct"/>
            <w:tcBorders>
              <w:tl2br w:val="nil"/>
              <w:tr2bl w:val="nil"/>
            </w:tcBorders>
            <w:shd w:val="clear" w:color="auto" w:fill="auto"/>
            <w:noWrap/>
            <w:vAlign w:val="center"/>
          </w:tcPr>
          <w:p w14:paraId="7C4B6632">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eastAsia" w:ascii="宋体" w:hAnsi="宋体" w:eastAsia="宋体" w:cs="宋体"/>
                <w:i w:val="0"/>
                <w:iCs w:val="0"/>
                <w:color w:val="0000FF"/>
                <w:sz w:val="22"/>
                <w:szCs w:val="22"/>
                <w:u w:val="none"/>
              </w:rPr>
            </w:pPr>
            <w:r>
              <w:rPr>
                <w:rFonts w:hint="eastAsia" w:ascii="宋体" w:hAnsi="宋体" w:eastAsia="宋体" w:cs="宋体"/>
                <w:i w:val="0"/>
                <w:iCs w:val="0"/>
                <w:color w:val="0000FF"/>
                <w:kern w:val="0"/>
                <w:sz w:val="22"/>
                <w:szCs w:val="22"/>
                <w:u w:val="none"/>
                <w:lang w:val="en-US" w:eastAsia="zh-CN" w:bidi="ar"/>
              </w:rPr>
              <w:t>浓度类型</w:t>
            </w:r>
          </w:p>
        </w:tc>
        <w:tc>
          <w:tcPr>
            <w:tcW w:w="686" w:type="pct"/>
            <w:tcBorders>
              <w:tl2br w:val="nil"/>
              <w:tr2bl w:val="nil"/>
            </w:tcBorders>
            <w:shd w:val="clear" w:color="auto" w:fill="auto"/>
            <w:noWrap/>
            <w:vAlign w:val="center"/>
          </w:tcPr>
          <w:p w14:paraId="1A08C72E">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eastAsia" w:ascii="宋体" w:hAnsi="宋体" w:eastAsia="宋体" w:cs="宋体"/>
                <w:i w:val="0"/>
                <w:iCs w:val="0"/>
                <w:color w:val="0000FF"/>
                <w:sz w:val="22"/>
                <w:szCs w:val="22"/>
                <w:u w:val="none"/>
              </w:rPr>
            </w:pPr>
            <w:r>
              <w:rPr>
                <w:rFonts w:hint="eastAsia" w:ascii="宋体" w:hAnsi="宋体" w:eastAsia="宋体" w:cs="宋体"/>
                <w:i w:val="0"/>
                <w:iCs w:val="0"/>
                <w:color w:val="0000FF"/>
                <w:kern w:val="0"/>
                <w:sz w:val="22"/>
                <w:szCs w:val="22"/>
                <w:u w:val="none"/>
                <w:lang w:val="en-US" w:eastAsia="zh-CN" w:bidi="ar"/>
              </w:rPr>
              <w:t>浓度增量</w:t>
            </w:r>
            <w:r>
              <w:rPr>
                <w:rFonts w:hint="default" w:ascii="Times New Roman" w:hAnsi="Times New Roman" w:eastAsia="宋体" w:cs="Times New Roman"/>
                <w:i w:val="0"/>
                <w:iCs w:val="0"/>
                <w:color w:val="FF0000"/>
                <w:kern w:val="0"/>
                <w:sz w:val="22"/>
                <w:szCs w:val="22"/>
                <w:u w:val="none"/>
                <w:lang w:val="en-US" w:eastAsia="zh-CN" w:bidi="ar"/>
              </w:rPr>
              <w:t>(</w:t>
            </w:r>
            <w:r>
              <w:rPr>
                <w:rFonts w:hint="eastAsia" w:ascii="Times New Roman" w:hAnsi="Times New Roman" w:cs="Times New Roman"/>
                <w:i w:val="0"/>
                <w:iCs w:val="0"/>
                <w:color w:val="FF0000"/>
                <w:kern w:val="0"/>
                <w:sz w:val="22"/>
                <w:szCs w:val="22"/>
                <w:u w:val="none"/>
                <w:lang w:val="en-US" w:eastAsia="zh-CN" w:bidi="ar"/>
              </w:rPr>
              <w:t>n</w:t>
            </w:r>
            <w:r>
              <w:rPr>
                <w:rFonts w:hint="default" w:ascii="Times New Roman" w:hAnsi="Times New Roman" w:eastAsia="宋体" w:cs="Times New Roman"/>
                <w:i w:val="0"/>
                <w:iCs w:val="0"/>
                <w:color w:val="FF0000"/>
                <w:kern w:val="0"/>
                <w:sz w:val="22"/>
                <w:szCs w:val="22"/>
                <w:u w:val="none"/>
                <w:lang w:val="en-US" w:eastAsia="zh-CN" w:bidi="ar"/>
              </w:rPr>
              <w:t>g/m</w:t>
            </w:r>
            <w:r>
              <w:rPr>
                <w:rFonts w:hint="default" w:ascii="Times New Roman" w:hAnsi="Times New Roman" w:eastAsia="宋体" w:cs="Times New Roman"/>
                <w:i w:val="0"/>
                <w:iCs w:val="0"/>
                <w:color w:val="FF0000"/>
                <w:kern w:val="0"/>
                <w:sz w:val="22"/>
                <w:szCs w:val="22"/>
                <w:u w:val="none"/>
                <w:vertAlign w:val="superscript"/>
                <w:lang w:val="en-US" w:eastAsia="zh-CN" w:bidi="ar"/>
              </w:rPr>
              <w:t>3</w:t>
            </w:r>
            <w:r>
              <w:rPr>
                <w:rFonts w:hint="default" w:ascii="Times New Roman" w:hAnsi="Times New Roman" w:eastAsia="宋体" w:cs="Times New Roman"/>
                <w:i w:val="0"/>
                <w:iCs w:val="0"/>
                <w:color w:val="FF0000"/>
                <w:kern w:val="0"/>
                <w:sz w:val="22"/>
                <w:szCs w:val="22"/>
                <w:u w:val="none"/>
                <w:lang w:val="en-US" w:eastAsia="zh-CN" w:bidi="ar"/>
              </w:rPr>
              <w:t>)</w:t>
            </w:r>
          </w:p>
        </w:tc>
        <w:tc>
          <w:tcPr>
            <w:tcW w:w="695" w:type="pct"/>
            <w:tcBorders>
              <w:tl2br w:val="nil"/>
              <w:tr2bl w:val="nil"/>
            </w:tcBorders>
            <w:shd w:val="clear" w:color="auto" w:fill="auto"/>
            <w:noWrap/>
            <w:vAlign w:val="center"/>
          </w:tcPr>
          <w:p w14:paraId="6707EA53">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eastAsia" w:ascii="宋体" w:hAnsi="宋体" w:eastAsia="宋体" w:cs="宋体"/>
                <w:i w:val="0"/>
                <w:iCs w:val="0"/>
                <w:color w:val="0000FF"/>
                <w:sz w:val="22"/>
                <w:szCs w:val="22"/>
                <w:u w:val="none"/>
              </w:rPr>
            </w:pPr>
            <w:r>
              <w:rPr>
                <w:rFonts w:hint="eastAsia" w:ascii="宋体" w:hAnsi="宋体" w:eastAsia="宋体" w:cs="宋体"/>
                <w:i w:val="0"/>
                <w:iCs w:val="0"/>
                <w:color w:val="0000FF"/>
                <w:kern w:val="0"/>
                <w:sz w:val="22"/>
                <w:szCs w:val="22"/>
                <w:u w:val="none"/>
                <w:lang w:val="en-US" w:eastAsia="zh-CN" w:bidi="ar"/>
              </w:rPr>
              <w:t>出现时间</w:t>
            </w:r>
            <w:r>
              <w:rPr>
                <w:rFonts w:hint="default" w:ascii="Times New Roman" w:hAnsi="Times New Roman" w:eastAsia="宋体" w:cs="Times New Roman"/>
                <w:i w:val="0"/>
                <w:iCs w:val="0"/>
                <w:color w:val="0000FF"/>
                <w:kern w:val="0"/>
                <w:sz w:val="22"/>
                <w:szCs w:val="22"/>
                <w:u w:val="none"/>
                <w:lang w:val="en-US" w:eastAsia="zh-CN" w:bidi="ar"/>
              </w:rPr>
              <w:t>(YYMMDDHH)</w:t>
            </w:r>
          </w:p>
        </w:tc>
        <w:tc>
          <w:tcPr>
            <w:tcW w:w="647" w:type="pct"/>
            <w:tcBorders>
              <w:tl2br w:val="nil"/>
              <w:tr2bl w:val="nil"/>
            </w:tcBorders>
            <w:shd w:val="clear" w:color="auto" w:fill="auto"/>
            <w:noWrap/>
            <w:vAlign w:val="center"/>
          </w:tcPr>
          <w:p w14:paraId="1677A4E0">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eastAsia" w:ascii="宋体" w:hAnsi="宋体" w:eastAsia="宋体" w:cs="宋体"/>
                <w:i w:val="0"/>
                <w:iCs w:val="0"/>
                <w:color w:val="0000FF"/>
                <w:sz w:val="22"/>
                <w:szCs w:val="22"/>
                <w:u w:val="none"/>
              </w:rPr>
            </w:pPr>
            <w:r>
              <w:rPr>
                <w:rFonts w:hint="eastAsia" w:ascii="宋体" w:hAnsi="宋体" w:eastAsia="宋体" w:cs="宋体"/>
                <w:i w:val="0"/>
                <w:iCs w:val="0"/>
                <w:color w:val="0000FF"/>
                <w:kern w:val="0"/>
                <w:sz w:val="22"/>
                <w:szCs w:val="22"/>
                <w:u w:val="none"/>
                <w:lang w:val="en-US" w:eastAsia="zh-CN" w:bidi="ar"/>
              </w:rPr>
              <w:t>评价标准</w:t>
            </w:r>
            <w:r>
              <w:rPr>
                <w:rFonts w:hint="default" w:ascii="Times New Roman" w:hAnsi="Times New Roman" w:eastAsia="宋体" w:cs="Times New Roman"/>
                <w:i w:val="0"/>
                <w:iCs w:val="0"/>
                <w:color w:val="FF0000"/>
                <w:kern w:val="0"/>
                <w:sz w:val="22"/>
                <w:szCs w:val="22"/>
                <w:u w:val="none"/>
                <w:lang w:val="en-US" w:eastAsia="zh-CN" w:bidi="ar"/>
              </w:rPr>
              <w:t>(</w:t>
            </w:r>
            <w:r>
              <w:rPr>
                <w:rFonts w:hint="eastAsia" w:ascii="Times New Roman" w:hAnsi="Times New Roman" w:cs="Times New Roman"/>
                <w:i w:val="0"/>
                <w:iCs w:val="0"/>
                <w:color w:val="FF0000"/>
                <w:kern w:val="0"/>
                <w:sz w:val="22"/>
                <w:szCs w:val="22"/>
                <w:u w:val="none"/>
                <w:lang w:val="en-US" w:eastAsia="zh-CN" w:bidi="ar"/>
              </w:rPr>
              <w:t>n</w:t>
            </w:r>
            <w:r>
              <w:rPr>
                <w:rFonts w:hint="default" w:ascii="Times New Roman" w:hAnsi="Times New Roman" w:eastAsia="宋体" w:cs="Times New Roman"/>
                <w:i w:val="0"/>
                <w:iCs w:val="0"/>
                <w:color w:val="FF0000"/>
                <w:kern w:val="0"/>
                <w:sz w:val="22"/>
                <w:szCs w:val="22"/>
                <w:u w:val="none"/>
                <w:lang w:val="en-US" w:eastAsia="zh-CN" w:bidi="ar"/>
              </w:rPr>
              <w:t>g/m</w:t>
            </w:r>
            <w:r>
              <w:rPr>
                <w:rFonts w:hint="default" w:ascii="Times New Roman" w:hAnsi="Times New Roman" w:eastAsia="宋体" w:cs="Times New Roman"/>
                <w:i w:val="0"/>
                <w:iCs w:val="0"/>
                <w:color w:val="FF0000"/>
                <w:kern w:val="0"/>
                <w:sz w:val="22"/>
                <w:szCs w:val="22"/>
                <w:u w:val="none"/>
                <w:vertAlign w:val="superscript"/>
                <w:lang w:val="en-US" w:eastAsia="zh-CN" w:bidi="ar"/>
              </w:rPr>
              <w:t>3</w:t>
            </w:r>
            <w:r>
              <w:rPr>
                <w:rFonts w:hint="default" w:ascii="Times New Roman" w:hAnsi="Times New Roman" w:eastAsia="宋体" w:cs="Times New Roman"/>
                <w:i w:val="0"/>
                <w:iCs w:val="0"/>
                <w:color w:val="FF0000"/>
                <w:kern w:val="0"/>
                <w:sz w:val="22"/>
                <w:szCs w:val="22"/>
                <w:u w:val="none"/>
                <w:lang w:val="en-US" w:eastAsia="zh-CN" w:bidi="ar"/>
              </w:rPr>
              <w:t>)</w:t>
            </w:r>
          </w:p>
        </w:tc>
        <w:tc>
          <w:tcPr>
            <w:tcW w:w="437" w:type="pct"/>
            <w:tcBorders>
              <w:tl2br w:val="nil"/>
              <w:tr2bl w:val="nil"/>
            </w:tcBorders>
            <w:shd w:val="clear" w:color="auto" w:fill="auto"/>
            <w:noWrap/>
            <w:vAlign w:val="center"/>
          </w:tcPr>
          <w:p w14:paraId="11F3F662">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eastAsia" w:ascii="宋体" w:hAnsi="宋体" w:eastAsia="宋体" w:cs="宋体"/>
                <w:i w:val="0"/>
                <w:iCs w:val="0"/>
                <w:color w:val="0000FF"/>
                <w:sz w:val="22"/>
                <w:szCs w:val="22"/>
                <w:u w:val="none"/>
              </w:rPr>
            </w:pPr>
            <w:r>
              <w:rPr>
                <w:rFonts w:hint="eastAsia" w:ascii="宋体" w:hAnsi="宋体" w:eastAsia="宋体" w:cs="宋体"/>
                <w:i w:val="0"/>
                <w:iCs w:val="0"/>
                <w:color w:val="0000FF"/>
                <w:kern w:val="0"/>
                <w:sz w:val="22"/>
                <w:szCs w:val="22"/>
                <w:u w:val="none"/>
                <w:lang w:val="en-US" w:eastAsia="zh-CN" w:bidi="ar"/>
              </w:rPr>
              <w:t>占标率</w:t>
            </w:r>
            <w:r>
              <w:rPr>
                <w:rFonts w:hint="default" w:ascii="Times New Roman" w:hAnsi="Times New Roman" w:eastAsia="宋体" w:cs="Times New Roman"/>
                <w:i w:val="0"/>
                <w:iCs w:val="0"/>
                <w:color w:val="0000FF"/>
                <w:kern w:val="0"/>
                <w:sz w:val="22"/>
                <w:szCs w:val="22"/>
                <w:u w:val="none"/>
                <w:lang w:val="en-US" w:eastAsia="zh-CN" w:bidi="ar"/>
              </w:rPr>
              <w:t>%</w:t>
            </w:r>
          </w:p>
        </w:tc>
        <w:tc>
          <w:tcPr>
            <w:tcW w:w="450" w:type="pct"/>
            <w:tcBorders>
              <w:tl2br w:val="nil"/>
              <w:tr2bl w:val="nil"/>
            </w:tcBorders>
            <w:shd w:val="clear" w:color="auto" w:fill="auto"/>
            <w:noWrap/>
            <w:vAlign w:val="center"/>
          </w:tcPr>
          <w:p w14:paraId="0CBAE272">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eastAsia" w:ascii="宋体" w:hAnsi="宋体" w:eastAsia="宋体" w:cs="宋体"/>
                <w:i w:val="0"/>
                <w:iCs w:val="0"/>
                <w:color w:val="0000FF"/>
                <w:sz w:val="22"/>
                <w:szCs w:val="22"/>
                <w:u w:val="none"/>
              </w:rPr>
            </w:pPr>
            <w:r>
              <w:rPr>
                <w:rFonts w:hint="eastAsia" w:ascii="宋体" w:hAnsi="宋体" w:eastAsia="宋体" w:cs="宋体"/>
                <w:i w:val="0"/>
                <w:iCs w:val="0"/>
                <w:color w:val="0000FF"/>
                <w:kern w:val="0"/>
                <w:sz w:val="22"/>
                <w:szCs w:val="22"/>
                <w:u w:val="none"/>
                <w:lang w:val="en-US" w:eastAsia="zh-CN" w:bidi="ar"/>
              </w:rPr>
              <w:t>是否超标</w:t>
            </w:r>
          </w:p>
        </w:tc>
      </w:tr>
      <w:tr w14:paraId="2021E1B9">
        <w:tblPrEx>
          <w:tblBorders>
            <w:top w:val="thinThickSmallGap" w:color="000000" w:sz="12" w:space="0"/>
            <w:left w:val="none" w:color="auto" w:sz="0" w:space="0"/>
            <w:bottom w:val="thinThickSmallGap"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295" w:hRule="atLeast"/>
        </w:trPr>
        <w:tc>
          <w:tcPr>
            <w:tcW w:w="226" w:type="pct"/>
            <w:tcBorders>
              <w:tl2br w:val="nil"/>
              <w:tr2bl w:val="nil"/>
            </w:tcBorders>
            <w:shd w:val="clear" w:color="auto" w:fill="auto"/>
            <w:noWrap/>
            <w:vAlign w:val="center"/>
          </w:tcPr>
          <w:p w14:paraId="3AB8B5C1">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default" w:ascii="Times New Roman" w:hAnsi="Times New Roman" w:eastAsia="宋体" w:cs="Times New Roman"/>
                <w:i w:val="0"/>
                <w:iCs w:val="0"/>
                <w:color w:val="0000FF"/>
                <w:kern w:val="0"/>
                <w:sz w:val="21"/>
                <w:szCs w:val="21"/>
                <w:u w:val="none"/>
                <w:lang w:val="en-US" w:eastAsia="zh-CN" w:bidi="ar"/>
              </w:rPr>
              <w:t>1</w:t>
            </w:r>
          </w:p>
        </w:tc>
        <w:tc>
          <w:tcPr>
            <w:tcW w:w="659" w:type="pct"/>
            <w:tcBorders>
              <w:tl2br w:val="nil"/>
              <w:tr2bl w:val="nil"/>
            </w:tcBorders>
            <w:shd w:val="clear" w:color="auto" w:fill="auto"/>
            <w:noWrap/>
            <w:vAlign w:val="center"/>
          </w:tcPr>
          <w:p w14:paraId="2D240BAD">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祁家堡</w:t>
            </w:r>
          </w:p>
        </w:tc>
        <w:tc>
          <w:tcPr>
            <w:tcW w:w="668" w:type="pct"/>
            <w:tcBorders>
              <w:tl2br w:val="nil"/>
              <w:tr2bl w:val="nil"/>
            </w:tcBorders>
            <w:shd w:val="clear" w:color="auto" w:fill="auto"/>
            <w:noWrap/>
            <w:vAlign w:val="center"/>
          </w:tcPr>
          <w:p w14:paraId="680A9F22">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85,261</w:t>
            </w:r>
          </w:p>
        </w:tc>
        <w:tc>
          <w:tcPr>
            <w:tcW w:w="527" w:type="pct"/>
            <w:tcBorders>
              <w:tl2br w:val="nil"/>
              <w:tr2bl w:val="nil"/>
            </w:tcBorders>
            <w:shd w:val="clear" w:color="auto" w:fill="auto"/>
            <w:noWrap/>
            <w:vAlign w:val="center"/>
          </w:tcPr>
          <w:p w14:paraId="7D2B12A9">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default" w:ascii="Times New Roman" w:hAnsi="Times New Roman" w:eastAsia="宋体" w:cs="Times New Roman"/>
                <w:i w:val="0"/>
                <w:iCs w:val="0"/>
                <w:color w:val="0000FF"/>
                <w:kern w:val="0"/>
                <w:sz w:val="21"/>
                <w:szCs w:val="21"/>
                <w:u w:val="none"/>
                <w:lang w:val="en-US" w:eastAsia="zh-CN" w:bidi="ar"/>
              </w:rPr>
              <w:t>1</w:t>
            </w:r>
            <w:r>
              <w:rPr>
                <w:rFonts w:hint="eastAsia" w:ascii="Times New Roman" w:hAnsi="Times New Roman" w:eastAsia="宋体" w:cs="Times New Roman"/>
                <w:i w:val="0"/>
                <w:iCs w:val="0"/>
                <w:color w:val="0000FF"/>
                <w:kern w:val="0"/>
                <w:sz w:val="21"/>
                <w:szCs w:val="21"/>
                <w:u w:val="none"/>
                <w:lang w:val="en-US" w:eastAsia="zh-CN" w:bidi="ar"/>
              </w:rPr>
              <w:t>小时</w:t>
            </w:r>
          </w:p>
        </w:tc>
        <w:tc>
          <w:tcPr>
            <w:tcW w:w="686" w:type="pct"/>
            <w:tcBorders>
              <w:tl2br w:val="nil"/>
              <w:tr2bl w:val="nil"/>
            </w:tcBorders>
            <w:shd w:val="clear" w:color="auto" w:fill="auto"/>
            <w:noWrap/>
            <w:vAlign w:val="center"/>
          </w:tcPr>
          <w:p w14:paraId="686A5124">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5.74E-06</w:t>
            </w:r>
          </w:p>
        </w:tc>
        <w:tc>
          <w:tcPr>
            <w:tcW w:w="695" w:type="pct"/>
            <w:tcBorders>
              <w:tl2br w:val="nil"/>
              <w:tr2bl w:val="nil"/>
            </w:tcBorders>
            <w:shd w:val="clear" w:color="auto" w:fill="auto"/>
            <w:noWrap/>
            <w:vAlign w:val="center"/>
          </w:tcPr>
          <w:p w14:paraId="130409AD">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24091216</w:t>
            </w:r>
          </w:p>
        </w:tc>
        <w:tc>
          <w:tcPr>
            <w:tcW w:w="647" w:type="pct"/>
            <w:tcBorders>
              <w:tl2br w:val="nil"/>
              <w:tr2bl w:val="nil"/>
            </w:tcBorders>
            <w:shd w:val="clear" w:color="auto" w:fill="auto"/>
            <w:noWrap/>
            <w:vAlign w:val="center"/>
          </w:tcPr>
          <w:p w14:paraId="4050F366">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3.60E-03</w:t>
            </w:r>
          </w:p>
        </w:tc>
        <w:tc>
          <w:tcPr>
            <w:tcW w:w="437" w:type="pct"/>
            <w:tcBorders>
              <w:tl2br w:val="nil"/>
              <w:tr2bl w:val="nil"/>
            </w:tcBorders>
            <w:shd w:val="clear" w:color="auto" w:fill="auto"/>
            <w:noWrap/>
            <w:vAlign w:val="center"/>
          </w:tcPr>
          <w:p w14:paraId="2B71FA88">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0.16</w:t>
            </w:r>
          </w:p>
        </w:tc>
        <w:tc>
          <w:tcPr>
            <w:tcW w:w="450" w:type="pct"/>
            <w:tcBorders>
              <w:tl2br w:val="nil"/>
              <w:tr2bl w:val="nil"/>
            </w:tcBorders>
            <w:shd w:val="clear" w:color="auto" w:fill="auto"/>
            <w:noWrap/>
            <w:vAlign w:val="center"/>
          </w:tcPr>
          <w:p w14:paraId="3DE04CF9">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达标</w:t>
            </w:r>
          </w:p>
        </w:tc>
      </w:tr>
      <w:tr w14:paraId="34224D02">
        <w:tblPrEx>
          <w:tblBorders>
            <w:top w:val="thinThickSmallGap" w:color="000000" w:sz="12" w:space="0"/>
            <w:left w:val="none" w:color="auto" w:sz="0" w:space="0"/>
            <w:bottom w:val="thinThickSmallGap"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295" w:hRule="atLeast"/>
        </w:trPr>
        <w:tc>
          <w:tcPr>
            <w:tcW w:w="226" w:type="pct"/>
            <w:tcBorders>
              <w:tl2br w:val="nil"/>
              <w:tr2bl w:val="nil"/>
            </w:tcBorders>
            <w:shd w:val="clear" w:color="auto" w:fill="auto"/>
            <w:noWrap/>
            <w:vAlign w:val="center"/>
          </w:tcPr>
          <w:p w14:paraId="613CA06C">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default" w:ascii="Times New Roman" w:hAnsi="Times New Roman" w:eastAsia="宋体" w:cs="Times New Roman"/>
                <w:i w:val="0"/>
                <w:iCs w:val="0"/>
                <w:color w:val="0000FF"/>
                <w:kern w:val="0"/>
                <w:sz w:val="21"/>
                <w:szCs w:val="21"/>
                <w:u w:val="none"/>
                <w:lang w:val="en-US" w:eastAsia="zh-CN" w:bidi="ar"/>
              </w:rPr>
              <w:t>2</w:t>
            </w:r>
          </w:p>
        </w:tc>
        <w:tc>
          <w:tcPr>
            <w:tcW w:w="659" w:type="pct"/>
            <w:tcBorders>
              <w:tl2br w:val="nil"/>
              <w:tr2bl w:val="nil"/>
            </w:tcBorders>
            <w:shd w:val="clear" w:color="auto" w:fill="auto"/>
            <w:noWrap/>
            <w:vAlign w:val="center"/>
          </w:tcPr>
          <w:p w14:paraId="0A439EEF">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部队</w:t>
            </w:r>
          </w:p>
        </w:tc>
        <w:tc>
          <w:tcPr>
            <w:tcW w:w="668" w:type="pct"/>
            <w:tcBorders>
              <w:tl2br w:val="nil"/>
              <w:tr2bl w:val="nil"/>
            </w:tcBorders>
            <w:shd w:val="clear" w:color="auto" w:fill="auto"/>
            <w:noWrap/>
            <w:vAlign w:val="center"/>
          </w:tcPr>
          <w:p w14:paraId="765A92AA">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-179,10</w:t>
            </w:r>
          </w:p>
        </w:tc>
        <w:tc>
          <w:tcPr>
            <w:tcW w:w="527" w:type="pct"/>
            <w:tcBorders>
              <w:tl2br w:val="nil"/>
              <w:tr2bl w:val="nil"/>
            </w:tcBorders>
            <w:shd w:val="clear" w:color="auto" w:fill="auto"/>
            <w:noWrap/>
            <w:vAlign w:val="center"/>
          </w:tcPr>
          <w:p w14:paraId="58FBC06C">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default" w:ascii="Times New Roman" w:hAnsi="Times New Roman" w:eastAsia="宋体" w:cs="Times New Roman"/>
                <w:i w:val="0"/>
                <w:iCs w:val="0"/>
                <w:color w:val="0000FF"/>
                <w:kern w:val="0"/>
                <w:sz w:val="21"/>
                <w:szCs w:val="21"/>
                <w:u w:val="none"/>
                <w:lang w:val="en-US" w:eastAsia="zh-CN" w:bidi="ar"/>
              </w:rPr>
              <w:t>1</w:t>
            </w:r>
            <w:r>
              <w:rPr>
                <w:rFonts w:hint="eastAsia" w:ascii="Times New Roman" w:hAnsi="Times New Roman" w:eastAsia="宋体" w:cs="Times New Roman"/>
                <w:i w:val="0"/>
                <w:iCs w:val="0"/>
                <w:color w:val="0000FF"/>
                <w:kern w:val="0"/>
                <w:sz w:val="21"/>
                <w:szCs w:val="21"/>
                <w:u w:val="none"/>
                <w:lang w:val="en-US" w:eastAsia="zh-CN" w:bidi="ar"/>
              </w:rPr>
              <w:t>小时</w:t>
            </w:r>
          </w:p>
        </w:tc>
        <w:tc>
          <w:tcPr>
            <w:tcW w:w="686" w:type="pct"/>
            <w:tcBorders>
              <w:tl2br w:val="nil"/>
              <w:tr2bl w:val="nil"/>
            </w:tcBorders>
            <w:shd w:val="clear" w:color="auto" w:fill="auto"/>
            <w:noWrap/>
            <w:vAlign w:val="center"/>
          </w:tcPr>
          <w:p w14:paraId="44339392">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5.00E-06</w:t>
            </w:r>
          </w:p>
        </w:tc>
        <w:tc>
          <w:tcPr>
            <w:tcW w:w="695" w:type="pct"/>
            <w:tcBorders>
              <w:tl2br w:val="nil"/>
              <w:tr2bl w:val="nil"/>
            </w:tcBorders>
            <w:shd w:val="clear" w:color="auto" w:fill="auto"/>
            <w:noWrap/>
            <w:vAlign w:val="center"/>
          </w:tcPr>
          <w:p w14:paraId="433CF039">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24042712</w:t>
            </w:r>
          </w:p>
        </w:tc>
        <w:tc>
          <w:tcPr>
            <w:tcW w:w="647" w:type="pct"/>
            <w:tcBorders>
              <w:tl2br w:val="nil"/>
              <w:tr2bl w:val="nil"/>
            </w:tcBorders>
            <w:shd w:val="clear" w:color="auto" w:fill="auto"/>
            <w:noWrap/>
            <w:vAlign w:val="center"/>
          </w:tcPr>
          <w:p w14:paraId="6E47A981">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3.60E-03</w:t>
            </w:r>
          </w:p>
        </w:tc>
        <w:tc>
          <w:tcPr>
            <w:tcW w:w="437" w:type="pct"/>
            <w:tcBorders>
              <w:tl2br w:val="nil"/>
              <w:tr2bl w:val="nil"/>
            </w:tcBorders>
            <w:shd w:val="clear" w:color="auto" w:fill="auto"/>
            <w:noWrap/>
            <w:vAlign w:val="center"/>
          </w:tcPr>
          <w:p w14:paraId="1BD06362">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0.14</w:t>
            </w:r>
          </w:p>
        </w:tc>
        <w:tc>
          <w:tcPr>
            <w:tcW w:w="450" w:type="pct"/>
            <w:tcBorders>
              <w:tl2br w:val="nil"/>
              <w:tr2bl w:val="nil"/>
            </w:tcBorders>
            <w:shd w:val="clear" w:color="auto" w:fill="auto"/>
            <w:noWrap/>
            <w:vAlign w:val="center"/>
          </w:tcPr>
          <w:p w14:paraId="55976174">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达标</w:t>
            </w:r>
          </w:p>
        </w:tc>
      </w:tr>
      <w:tr w14:paraId="39C59F87">
        <w:tblPrEx>
          <w:tblBorders>
            <w:top w:val="thinThickSmallGap" w:color="000000" w:sz="12" w:space="0"/>
            <w:left w:val="none" w:color="auto" w:sz="0" w:space="0"/>
            <w:bottom w:val="thinThickSmallGap"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295" w:hRule="atLeast"/>
        </w:trPr>
        <w:tc>
          <w:tcPr>
            <w:tcW w:w="226" w:type="pct"/>
            <w:tcBorders>
              <w:tl2br w:val="nil"/>
              <w:tr2bl w:val="nil"/>
            </w:tcBorders>
            <w:shd w:val="clear" w:color="auto" w:fill="auto"/>
            <w:noWrap/>
            <w:vAlign w:val="center"/>
          </w:tcPr>
          <w:p w14:paraId="69901D03">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default" w:ascii="Times New Roman" w:hAnsi="Times New Roman" w:eastAsia="宋体" w:cs="Times New Roman"/>
                <w:i w:val="0"/>
                <w:iCs w:val="0"/>
                <w:color w:val="0000FF"/>
                <w:kern w:val="0"/>
                <w:sz w:val="21"/>
                <w:szCs w:val="21"/>
                <w:u w:val="none"/>
                <w:lang w:val="en-US" w:eastAsia="zh-CN" w:bidi="ar"/>
              </w:rPr>
              <w:t>3</w:t>
            </w:r>
          </w:p>
        </w:tc>
        <w:tc>
          <w:tcPr>
            <w:tcW w:w="659" w:type="pct"/>
            <w:tcBorders>
              <w:tl2br w:val="nil"/>
              <w:tr2bl w:val="nil"/>
            </w:tcBorders>
            <w:shd w:val="clear" w:color="auto" w:fill="auto"/>
            <w:noWrap/>
            <w:vAlign w:val="center"/>
          </w:tcPr>
          <w:p w14:paraId="78D2C2A4">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老虎沟</w:t>
            </w:r>
          </w:p>
        </w:tc>
        <w:tc>
          <w:tcPr>
            <w:tcW w:w="668" w:type="pct"/>
            <w:tcBorders>
              <w:tl2br w:val="nil"/>
              <w:tr2bl w:val="nil"/>
            </w:tcBorders>
            <w:shd w:val="clear" w:color="auto" w:fill="auto"/>
            <w:noWrap/>
            <w:vAlign w:val="center"/>
          </w:tcPr>
          <w:p w14:paraId="455B3E6C">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-1526,736</w:t>
            </w:r>
          </w:p>
        </w:tc>
        <w:tc>
          <w:tcPr>
            <w:tcW w:w="527" w:type="pct"/>
            <w:tcBorders>
              <w:tl2br w:val="nil"/>
              <w:tr2bl w:val="nil"/>
            </w:tcBorders>
            <w:shd w:val="clear" w:color="auto" w:fill="auto"/>
            <w:noWrap/>
            <w:vAlign w:val="center"/>
          </w:tcPr>
          <w:p w14:paraId="443C3904">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default" w:ascii="Times New Roman" w:hAnsi="Times New Roman" w:eastAsia="宋体" w:cs="Times New Roman"/>
                <w:i w:val="0"/>
                <w:iCs w:val="0"/>
                <w:color w:val="0000FF"/>
                <w:kern w:val="0"/>
                <w:sz w:val="21"/>
                <w:szCs w:val="21"/>
                <w:u w:val="none"/>
                <w:lang w:val="en-US" w:eastAsia="zh-CN" w:bidi="ar"/>
              </w:rPr>
              <w:t>1</w:t>
            </w:r>
            <w:r>
              <w:rPr>
                <w:rFonts w:hint="eastAsia" w:ascii="Times New Roman" w:hAnsi="Times New Roman" w:eastAsia="宋体" w:cs="Times New Roman"/>
                <w:i w:val="0"/>
                <w:iCs w:val="0"/>
                <w:color w:val="0000FF"/>
                <w:kern w:val="0"/>
                <w:sz w:val="21"/>
                <w:szCs w:val="21"/>
                <w:u w:val="none"/>
                <w:lang w:val="en-US" w:eastAsia="zh-CN" w:bidi="ar"/>
              </w:rPr>
              <w:t>小时</w:t>
            </w:r>
          </w:p>
        </w:tc>
        <w:tc>
          <w:tcPr>
            <w:tcW w:w="686" w:type="pct"/>
            <w:tcBorders>
              <w:tl2br w:val="nil"/>
              <w:tr2bl w:val="nil"/>
            </w:tcBorders>
            <w:shd w:val="clear" w:color="auto" w:fill="auto"/>
            <w:noWrap/>
            <w:vAlign w:val="center"/>
          </w:tcPr>
          <w:p w14:paraId="4BB8CF7C">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5.09E-06</w:t>
            </w:r>
          </w:p>
        </w:tc>
        <w:tc>
          <w:tcPr>
            <w:tcW w:w="695" w:type="pct"/>
            <w:tcBorders>
              <w:tl2br w:val="nil"/>
              <w:tr2bl w:val="nil"/>
            </w:tcBorders>
            <w:shd w:val="clear" w:color="auto" w:fill="auto"/>
            <w:noWrap/>
            <w:vAlign w:val="center"/>
          </w:tcPr>
          <w:p w14:paraId="659B1684">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24021011</w:t>
            </w:r>
          </w:p>
        </w:tc>
        <w:tc>
          <w:tcPr>
            <w:tcW w:w="647" w:type="pct"/>
            <w:tcBorders>
              <w:tl2br w:val="nil"/>
              <w:tr2bl w:val="nil"/>
            </w:tcBorders>
            <w:shd w:val="clear" w:color="auto" w:fill="auto"/>
            <w:noWrap/>
            <w:vAlign w:val="center"/>
          </w:tcPr>
          <w:p w14:paraId="01423D4D">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3.60E-03</w:t>
            </w:r>
          </w:p>
        </w:tc>
        <w:tc>
          <w:tcPr>
            <w:tcW w:w="437" w:type="pct"/>
            <w:tcBorders>
              <w:tl2br w:val="nil"/>
              <w:tr2bl w:val="nil"/>
            </w:tcBorders>
            <w:shd w:val="clear" w:color="auto" w:fill="auto"/>
            <w:noWrap/>
            <w:vAlign w:val="center"/>
          </w:tcPr>
          <w:p w14:paraId="1C87496B">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0.14</w:t>
            </w:r>
          </w:p>
        </w:tc>
        <w:tc>
          <w:tcPr>
            <w:tcW w:w="450" w:type="pct"/>
            <w:tcBorders>
              <w:tl2br w:val="nil"/>
              <w:tr2bl w:val="nil"/>
            </w:tcBorders>
            <w:shd w:val="clear" w:color="auto" w:fill="auto"/>
            <w:noWrap/>
            <w:vAlign w:val="center"/>
          </w:tcPr>
          <w:p w14:paraId="27A4FCFC">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达标</w:t>
            </w:r>
          </w:p>
        </w:tc>
      </w:tr>
      <w:tr w14:paraId="1C05FEC5">
        <w:tblPrEx>
          <w:tblBorders>
            <w:top w:val="thinThickSmallGap" w:color="000000" w:sz="12" w:space="0"/>
            <w:left w:val="none" w:color="auto" w:sz="0" w:space="0"/>
            <w:bottom w:val="thinThickSmallGap"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295" w:hRule="atLeast"/>
        </w:trPr>
        <w:tc>
          <w:tcPr>
            <w:tcW w:w="226" w:type="pct"/>
            <w:tcBorders>
              <w:tl2br w:val="nil"/>
              <w:tr2bl w:val="nil"/>
            </w:tcBorders>
            <w:shd w:val="clear" w:color="auto" w:fill="auto"/>
            <w:noWrap/>
            <w:vAlign w:val="center"/>
          </w:tcPr>
          <w:p w14:paraId="01D5244F">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default" w:ascii="Times New Roman" w:hAnsi="Times New Roman" w:eastAsia="宋体" w:cs="Times New Roman"/>
                <w:i w:val="0"/>
                <w:iCs w:val="0"/>
                <w:color w:val="0000FF"/>
                <w:kern w:val="0"/>
                <w:sz w:val="21"/>
                <w:szCs w:val="21"/>
                <w:u w:val="none"/>
                <w:lang w:val="en-US" w:eastAsia="zh-CN" w:bidi="ar"/>
              </w:rPr>
              <w:t>4</w:t>
            </w:r>
          </w:p>
        </w:tc>
        <w:tc>
          <w:tcPr>
            <w:tcW w:w="659" w:type="pct"/>
            <w:tcBorders>
              <w:tl2br w:val="nil"/>
              <w:tr2bl w:val="nil"/>
            </w:tcBorders>
            <w:shd w:val="clear" w:color="auto" w:fill="auto"/>
            <w:noWrap/>
            <w:vAlign w:val="center"/>
          </w:tcPr>
          <w:p w14:paraId="4F12045E">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三道沟</w:t>
            </w:r>
          </w:p>
        </w:tc>
        <w:tc>
          <w:tcPr>
            <w:tcW w:w="668" w:type="pct"/>
            <w:tcBorders>
              <w:tl2br w:val="nil"/>
              <w:tr2bl w:val="nil"/>
            </w:tcBorders>
            <w:shd w:val="clear" w:color="auto" w:fill="auto"/>
            <w:noWrap/>
            <w:vAlign w:val="center"/>
          </w:tcPr>
          <w:p w14:paraId="15678944">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910,-1326</w:t>
            </w:r>
          </w:p>
        </w:tc>
        <w:tc>
          <w:tcPr>
            <w:tcW w:w="527" w:type="pct"/>
            <w:tcBorders>
              <w:tl2br w:val="nil"/>
              <w:tr2bl w:val="nil"/>
            </w:tcBorders>
            <w:shd w:val="clear" w:color="auto" w:fill="auto"/>
            <w:noWrap/>
            <w:vAlign w:val="center"/>
          </w:tcPr>
          <w:p w14:paraId="5ED909B0">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default" w:ascii="Times New Roman" w:hAnsi="Times New Roman" w:eastAsia="宋体" w:cs="Times New Roman"/>
                <w:i w:val="0"/>
                <w:iCs w:val="0"/>
                <w:color w:val="0000FF"/>
                <w:kern w:val="0"/>
                <w:sz w:val="21"/>
                <w:szCs w:val="21"/>
                <w:u w:val="none"/>
                <w:lang w:val="en-US" w:eastAsia="zh-CN" w:bidi="ar"/>
              </w:rPr>
              <w:t>1</w:t>
            </w:r>
            <w:r>
              <w:rPr>
                <w:rFonts w:hint="eastAsia" w:ascii="Times New Roman" w:hAnsi="Times New Roman" w:eastAsia="宋体" w:cs="Times New Roman"/>
                <w:i w:val="0"/>
                <w:iCs w:val="0"/>
                <w:color w:val="0000FF"/>
                <w:kern w:val="0"/>
                <w:sz w:val="21"/>
                <w:szCs w:val="21"/>
                <w:u w:val="none"/>
                <w:lang w:val="en-US" w:eastAsia="zh-CN" w:bidi="ar"/>
              </w:rPr>
              <w:t>小时</w:t>
            </w:r>
          </w:p>
        </w:tc>
        <w:tc>
          <w:tcPr>
            <w:tcW w:w="686" w:type="pct"/>
            <w:tcBorders>
              <w:tl2br w:val="nil"/>
              <w:tr2bl w:val="nil"/>
            </w:tcBorders>
            <w:shd w:val="clear" w:color="auto" w:fill="auto"/>
            <w:noWrap/>
            <w:vAlign w:val="center"/>
          </w:tcPr>
          <w:p w14:paraId="0A8E8431">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7.84E-06</w:t>
            </w:r>
          </w:p>
        </w:tc>
        <w:tc>
          <w:tcPr>
            <w:tcW w:w="695" w:type="pct"/>
            <w:tcBorders>
              <w:tl2br w:val="nil"/>
              <w:tr2bl w:val="nil"/>
            </w:tcBorders>
            <w:shd w:val="clear" w:color="auto" w:fill="auto"/>
            <w:noWrap/>
            <w:vAlign w:val="center"/>
          </w:tcPr>
          <w:p w14:paraId="5CDC947B">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24122012</w:t>
            </w:r>
          </w:p>
        </w:tc>
        <w:tc>
          <w:tcPr>
            <w:tcW w:w="647" w:type="pct"/>
            <w:tcBorders>
              <w:tl2br w:val="nil"/>
              <w:tr2bl w:val="nil"/>
            </w:tcBorders>
            <w:shd w:val="clear" w:color="auto" w:fill="auto"/>
            <w:noWrap/>
            <w:vAlign w:val="center"/>
          </w:tcPr>
          <w:p w14:paraId="3DEC9FF2">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3.60E-03</w:t>
            </w:r>
          </w:p>
        </w:tc>
        <w:tc>
          <w:tcPr>
            <w:tcW w:w="437" w:type="pct"/>
            <w:tcBorders>
              <w:tl2br w:val="nil"/>
              <w:tr2bl w:val="nil"/>
            </w:tcBorders>
            <w:shd w:val="clear" w:color="auto" w:fill="auto"/>
            <w:noWrap/>
            <w:vAlign w:val="center"/>
          </w:tcPr>
          <w:p w14:paraId="47416D32">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0.22</w:t>
            </w:r>
          </w:p>
        </w:tc>
        <w:tc>
          <w:tcPr>
            <w:tcW w:w="450" w:type="pct"/>
            <w:tcBorders>
              <w:tl2br w:val="nil"/>
              <w:tr2bl w:val="nil"/>
            </w:tcBorders>
            <w:shd w:val="clear" w:color="auto" w:fill="auto"/>
            <w:noWrap/>
            <w:vAlign w:val="center"/>
          </w:tcPr>
          <w:p w14:paraId="733B3469">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达标</w:t>
            </w:r>
          </w:p>
        </w:tc>
      </w:tr>
      <w:tr w14:paraId="6504E490">
        <w:tblPrEx>
          <w:tblBorders>
            <w:top w:val="thinThickSmallGap" w:color="000000" w:sz="12" w:space="0"/>
            <w:left w:val="none" w:color="auto" w:sz="0" w:space="0"/>
            <w:bottom w:val="thinThickSmallGap"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295" w:hRule="atLeast"/>
        </w:trPr>
        <w:tc>
          <w:tcPr>
            <w:tcW w:w="226" w:type="pct"/>
            <w:tcBorders>
              <w:tl2br w:val="nil"/>
              <w:tr2bl w:val="nil"/>
            </w:tcBorders>
            <w:shd w:val="clear" w:color="auto" w:fill="auto"/>
            <w:noWrap/>
            <w:vAlign w:val="center"/>
          </w:tcPr>
          <w:p w14:paraId="398A91EA">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default" w:ascii="Times New Roman" w:hAnsi="Times New Roman" w:eastAsia="宋体" w:cs="Times New Roman"/>
                <w:i w:val="0"/>
                <w:iCs w:val="0"/>
                <w:color w:val="0000FF"/>
                <w:kern w:val="0"/>
                <w:sz w:val="21"/>
                <w:szCs w:val="21"/>
                <w:u w:val="none"/>
                <w:lang w:val="en-US" w:eastAsia="zh-CN" w:bidi="ar"/>
              </w:rPr>
              <w:t>5</w:t>
            </w:r>
          </w:p>
        </w:tc>
        <w:tc>
          <w:tcPr>
            <w:tcW w:w="659" w:type="pct"/>
            <w:tcBorders>
              <w:tl2br w:val="nil"/>
              <w:tr2bl w:val="nil"/>
            </w:tcBorders>
            <w:shd w:val="clear" w:color="auto" w:fill="auto"/>
            <w:noWrap/>
            <w:vAlign w:val="center"/>
          </w:tcPr>
          <w:p w14:paraId="1228FE4D">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四道河子</w:t>
            </w:r>
          </w:p>
        </w:tc>
        <w:tc>
          <w:tcPr>
            <w:tcW w:w="668" w:type="pct"/>
            <w:tcBorders>
              <w:tl2br w:val="nil"/>
              <w:tr2bl w:val="nil"/>
            </w:tcBorders>
            <w:shd w:val="clear" w:color="auto" w:fill="auto"/>
            <w:noWrap/>
            <w:vAlign w:val="center"/>
          </w:tcPr>
          <w:p w14:paraId="436DFF0A">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430,1123</w:t>
            </w:r>
          </w:p>
        </w:tc>
        <w:tc>
          <w:tcPr>
            <w:tcW w:w="527" w:type="pct"/>
            <w:tcBorders>
              <w:tl2br w:val="nil"/>
              <w:tr2bl w:val="nil"/>
            </w:tcBorders>
            <w:shd w:val="clear" w:color="auto" w:fill="auto"/>
            <w:noWrap/>
            <w:vAlign w:val="center"/>
          </w:tcPr>
          <w:p w14:paraId="6C031BC2">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default" w:ascii="Times New Roman" w:hAnsi="Times New Roman" w:eastAsia="宋体" w:cs="Times New Roman"/>
                <w:i w:val="0"/>
                <w:iCs w:val="0"/>
                <w:color w:val="0000FF"/>
                <w:kern w:val="0"/>
                <w:sz w:val="21"/>
                <w:szCs w:val="21"/>
                <w:u w:val="none"/>
                <w:lang w:val="en-US" w:eastAsia="zh-CN" w:bidi="ar"/>
              </w:rPr>
              <w:t>1</w:t>
            </w:r>
            <w:r>
              <w:rPr>
                <w:rFonts w:hint="eastAsia" w:ascii="Times New Roman" w:hAnsi="Times New Roman" w:eastAsia="宋体" w:cs="Times New Roman"/>
                <w:i w:val="0"/>
                <w:iCs w:val="0"/>
                <w:color w:val="0000FF"/>
                <w:kern w:val="0"/>
                <w:sz w:val="21"/>
                <w:szCs w:val="21"/>
                <w:u w:val="none"/>
                <w:lang w:val="en-US" w:eastAsia="zh-CN" w:bidi="ar"/>
              </w:rPr>
              <w:t>小时</w:t>
            </w:r>
          </w:p>
        </w:tc>
        <w:tc>
          <w:tcPr>
            <w:tcW w:w="686" w:type="pct"/>
            <w:tcBorders>
              <w:tl2br w:val="nil"/>
              <w:tr2bl w:val="nil"/>
            </w:tcBorders>
            <w:shd w:val="clear" w:color="auto" w:fill="auto"/>
            <w:noWrap/>
            <w:vAlign w:val="center"/>
          </w:tcPr>
          <w:p w14:paraId="253A4BE8">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6.13E-06</w:t>
            </w:r>
          </w:p>
        </w:tc>
        <w:tc>
          <w:tcPr>
            <w:tcW w:w="695" w:type="pct"/>
            <w:tcBorders>
              <w:tl2br w:val="nil"/>
              <w:tr2bl w:val="nil"/>
            </w:tcBorders>
            <w:shd w:val="clear" w:color="auto" w:fill="auto"/>
            <w:noWrap/>
            <w:vAlign w:val="center"/>
          </w:tcPr>
          <w:p w14:paraId="07FB1D0C">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24060619</w:t>
            </w:r>
          </w:p>
        </w:tc>
        <w:tc>
          <w:tcPr>
            <w:tcW w:w="647" w:type="pct"/>
            <w:tcBorders>
              <w:tl2br w:val="nil"/>
              <w:tr2bl w:val="nil"/>
            </w:tcBorders>
            <w:shd w:val="clear" w:color="auto" w:fill="auto"/>
            <w:noWrap/>
            <w:vAlign w:val="center"/>
          </w:tcPr>
          <w:p w14:paraId="0A7B25CF">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3.60E-03</w:t>
            </w:r>
          </w:p>
        </w:tc>
        <w:tc>
          <w:tcPr>
            <w:tcW w:w="437" w:type="pct"/>
            <w:tcBorders>
              <w:tl2br w:val="nil"/>
              <w:tr2bl w:val="nil"/>
            </w:tcBorders>
            <w:shd w:val="clear" w:color="auto" w:fill="auto"/>
            <w:noWrap/>
            <w:vAlign w:val="center"/>
          </w:tcPr>
          <w:p w14:paraId="14757061">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0.17</w:t>
            </w:r>
          </w:p>
        </w:tc>
        <w:tc>
          <w:tcPr>
            <w:tcW w:w="450" w:type="pct"/>
            <w:tcBorders>
              <w:tl2br w:val="nil"/>
              <w:tr2bl w:val="nil"/>
            </w:tcBorders>
            <w:shd w:val="clear" w:color="auto" w:fill="auto"/>
            <w:noWrap/>
            <w:vAlign w:val="center"/>
          </w:tcPr>
          <w:p w14:paraId="44483A36">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达标</w:t>
            </w:r>
          </w:p>
        </w:tc>
      </w:tr>
      <w:tr w14:paraId="3664489E">
        <w:tblPrEx>
          <w:tblBorders>
            <w:top w:val="thinThickSmallGap" w:color="000000" w:sz="12" w:space="0"/>
            <w:left w:val="none" w:color="auto" w:sz="0" w:space="0"/>
            <w:bottom w:val="thinThickSmallGap"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295" w:hRule="atLeast"/>
        </w:trPr>
        <w:tc>
          <w:tcPr>
            <w:tcW w:w="226" w:type="pct"/>
            <w:tcBorders>
              <w:tl2br w:val="nil"/>
              <w:tr2bl w:val="nil"/>
            </w:tcBorders>
            <w:shd w:val="clear" w:color="auto" w:fill="auto"/>
            <w:noWrap/>
            <w:vAlign w:val="center"/>
          </w:tcPr>
          <w:p w14:paraId="2A9B5017">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default" w:ascii="Times New Roman" w:hAnsi="Times New Roman" w:eastAsia="宋体" w:cs="Times New Roman"/>
                <w:i w:val="0"/>
                <w:iCs w:val="0"/>
                <w:color w:val="0000FF"/>
                <w:kern w:val="0"/>
                <w:sz w:val="21"/>
                <w:szCs w:val="21"/>
                <w:u w:val="none"/>
                <w:lang w:val="en-US" w:eastAsia="zh-CN" w:bidi="ar"/>
              </w:rPr>
              <w:t>6</w:t>
            </w:r>
          </w:p>
        </w:tc>
        <w:tc>
          <w:tcPr>
            <w:tcW w:w="659" w:type="pct"/>
            <w:tcBorders>
              <w:tl2br w:val="nil"/>
              <w:tr2bl w:val="nil"/>
            </w:tcBorders>
            <w:shd w:val="clear" w:color="auto" w:fill="auto"/>
            <w:vAlign w:val="center"/>
          </w:tcPr>
          <w:p w14:paraId="4071C021">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五道沟</w:t>
            </w:r>
          </w:p>
        </w:tc>
        <w:tc>
          <w:tcPr>
            <w:tcW w:w="668" w:type="pct"/>
            <w:tcBorders>
              <w:tl2br w:val="nil"/>
              <w:tr2bl w:val="nil"/>
            </w:tcBorders>
            <w:shd w:val="clear" w:color="auto" w:fill="auto"/>
            <w:noWrap/>
            <w:vAlign w:val="center"/>
          </w:tcPr>
          <w:p w14:paraId="3FE847F0">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815,1679</w:t>
            </w:r>
          </w:p>
        </w:tc>
        <w:tc>
          <w:tcPr>
            <w:tcW w:w="527" w:type="pct"/>
            <w:tcBorders>
              <w:tl2br w:val="nil"/>
              <w:tr2bl w:val="nil"/>
            </w:tcBorders>
            <w:shd w:val="clear" w:color="auto" w:fill="auto"/>
            <w:noWrap/>
            <w:vAlign w:val="center"/>
          </w:tcPr>
          <w:p w14:paraId="4D218ED0">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default" w:ascii="Times New Roman" w:hAnsi="Times New Roman" w:eastAsia="宋体" w:cs="Times New Roman"/>
                <w:i w:val="0"/>
                <w:iCs w:val="0"/>
                <w:color w:val="0000FF"/>
                <w:kern w:val="0"/>
                <w:sz w:val="21"/>
                <w:szCs w:val="21"/>
                <w:u w:val="none"/>
                <w:lang w:val="en-US" w:eastAsia="zh-CN" w:bidi="ar"/>
              </w:rPr>
              <w:t>1</w:t>
            </w:r>
            <w:r>
              <w:rPr>
                <w:rFonts w:hint="eastAsia" w:ascii="Times New Roman" w:hAnsi="Times New Roman" w:eastAsia="宋体" w:cs="Times New Roman"/>
                <w:i w:val="0"/>
                <w:iCs w:val="0"/>
                <w:color w:val="0000FF"/>
                <w:kern w:val="0"/>
                <w:sz w:val="21"/>
                <w:szCs w:val="21"/>
                <w:u w:val="none"/>
                <w:lang w:val="en-US" w:eastAsia="zh-CN" w:bidi="ar"/>
              </w:rPr>
              <w:t>小时</w:t>
            </w:r>
          </w:p>
        </w:tc>
        <w:tc>
          <w:tcPr>
            <w:tcW w:w="686" w:type="pct"/>
            <w:tcBorders>
              <w:tl2br w:val="nil"/>
              <w:tr2bl w:val="nil"/>
            </w:tcBorders>
            <w:shd w:val="clear" w:color="auto" w:fill="auto"/>
            <w:noWrap/>
            <w:vAlign w:val="center"/>
          </w:tcPr>
          <w:p w14:paraId="366EFDA5">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7.11E-06</w:t>
            </w:r>
          </w:p>
        </w:tc>
        <w:tc>
          <w:tcPr>
            <w:tcW w:w="695" w:type="pct"/>
            <w:tcBorders>
              <w:tl2br w:val="nil"/>
              <w:tr2bl w:val="nil"/>
            </w:tcBorders>
            <w:shd w:val="clear" w:color="auto" w:fill="auto"/>
            <w:noWrap/>
            <w:vAlign w:val="center"/>
          </w:tcPr>
          <w:p w14:paraId="370F6C3E">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24011511</w:t>
            </w:r>
          </w:p>
        </w:tc>
        <w:tc>
          <w:tcPr>
            <w:tcW w:w="647" w:type="pct"/>
            <w:tcBorders>
              <w:tl2br w:val="nil"/>
              <w:tr2bl w:val="nil"/>
            </w:tcBorders>
            <w:shd w:val="clear" w:color="auto" w:fill="auto"/>
            <w:noWrap/>
            <w:vAlign w:val="center"/>
          </w:tcPr>
          <w:p w14:paraId="29A25E9B">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3.60E-03</w:t>
            </w:r>
          </w:p>
        </w:tc>
        <w:tc>
          <w:tcPr>
            <w:tcW w:w="437" w:type="pct"/>
            <w:tcBorders>
              <w:tl2br w:val="nil"/>
              <w:tr2bl w:val="nil"/>
            </w:tcBorders>
            <w:shd w:val="clear" w:color="auto" w:fill="auto"/>
            <w:noWrap/>
            <w:vAlign w:val="center"/>
          </w:tcPr>
          <w:p w14:paraId="7F750C4A">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0.2</w:t>
            </w:r>
          </w:p>
        </w:tc>
        <w:tc>
          <w:tcPr>
            <w:tcW w:w="450" w:type="pct"/>
            <w:tcBorders>
              <w:tl2br w:val="nil"/>
              <w:tr2bl w:val="nil"/>
            </w:tcBorders>
            <w:shd w:val="clear" w:color="auto" w:fill="auto"/>
            <w:noWrap/>
            <w:vAlign w:val="center"/>
          </w:tcPr>
          <w:p w14:paraId="27C421F3">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达标</w:t>
            </w:r>
          </w:p>
        </w:tc>
      </w:tr>
      <w:tr w14:paraId="3DBA60B7">
        <w:tblPrEx>
          <w:tblBorders>
            <w:top w:val="thinThickSmallGap" w:color="000000" w:sz="12" w:space="0"/>
            <w:left w:val="none" w:color="auto" w:sz="0" w:space="0"/>
            <w:bottom w:val="thinThickSmallGap"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295" w:hRule="atLeast"/>
        </w:trPr>
        <w:tc>
          <w:tcPr>
            <w:tcW w:w="226" w:type="pct"/>
            <w:tcBorders>
              <w:tl2br w:val="nil"/>
              <w:tr2bl w:val="nil"/>
            </w:tcBorders>
            <w:shd w:val="clear" w:color="auto" w:fill="auto"/>
            <w:noWrap/>
            <w:vAlign w:val="center"/>
          </w:tcPr>
          <w:p w14:paraId="6CEC715F">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7</w:t>
            </w:r>
          </w:p>
        </w:tc>
        <w:tc>
          <w:tcPr>
            <w:tcW w:w="659" w:type="pct"/>
            <w:tcBorders>
              <w:tl2br w:val="nil"/>
              <w:tr2bl w:val="nil"/>
            </w:tcBorders>
            <w:shd w:val="clear" w:color="auto" w:fill="auto"/>
            <w:vAlign w:val="center"/>
          </w:tcPr>
          <w:p w14:paraId="5D994D15">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杨家堡子</w:t>
            </w:r>
          </w:p>
        </w:tc>
        <w:tc>
          <w:tcPr>
            <w:tcW w:w="668" w:type="pct"/>
            <w:tcBorders>
              <w:tl2br w:val="nil"/>
              <w:tr2bl w:val="nil"/>
            </w:tcBorders>
            <w:shd w:val="clear" w:color="auto" w:fill="auto"/>
            <w:noWrap/>
            <w:vAlign w:val="center"/>
          </w:tcPr>
          <w:p w14:paraId="1A21F896">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1113,1984</w:t>
            </w:r>
          </w:p>
        </w:tc>
        <w:tc>
          <w:tcPr>
            <w:tcW w:w="527" w:type="pct"/>
            <w:tcBorders>
              <w:tl2br w:val="nil"/>
              <w:tr2bl w:val="nil"/>
            </w:tcBorders>
            <w:shd w:val="clear" w:color="auto" w:fill="auto"/>
            <w:noWrap/>
            <w:vAlign w:val="center"/>
          </w:tcPr>
          <w:p w14:paraId="5D555641">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Times New Roman" w:hAnsi="Times New Roman" w:eastAsia="宋体" w:cs="Times New Roman"/>
                <w:i w:val="0"/>
                <w:iCs w:val="0"/>
                <w:color w:val="0000FF"/>
                <w:kern w:val="0"/>
                <w:sz w:val="21"/>
                <w:szCs w:val="21"/>
                <w:u w:val="none"/>
                <w:lang w:val="en-US" w:eastAsia="zh-CN" w:bidi="ar"/>
              </w:rPr>
            </w:pPr>
            <w:r>
              <w:rPr>
                <w:rFonts w:hint="default" w:ascii="Times New Roman" w:hAnsi="Times New Roman" w:eastAsia="宋体" w:cs="Times New Roman"/>
                <w:i w:val="0"/>
                <w:iCs w:val="0"/>
                <w:color w:val="0000FF"/>
                <w:kern w:val="0"/>
                <w:sz w:val="21"/>
                <w:szCs w:val="21"/>
                <w:u w:val="none"/>
                <w:lang w:val="en-US" w:eastAsia="zh-CN" w:bidi="ar"/>
              </w:rPr>
              <w:t>1</w:t>
            </w:r>
            <w:r>
              <w:rPr>
                <w:rFonts w:hint="eastAsia" w:ascii="Times New Roman" w:hAnsi="Times New Roman" w:eastAsia="宋体" w:cs="Times New Roman"/>
                <w:i w:val="0"/>
                <w:iCs w:val="0"/>
                <w:color w:val="0000FF"/>
                <w:kern w:val="0"/>
                <w:sz w:val="21"/>
                <w:szCs w:val="21"/>
                <w:u w:val="none"/>
                <w:lang w:val="en-US" w:eastAsia="zh-CN" w:bidi="ar"/>
              </w:rPr>
              <w:t>小时</w:t>
            </w:r>
          </w:p>
        </w:tc>
        <w:tc>
          <w:tcPr>
            <w:tcW w:w="686" w:type="pct"/>
            <w:tcBorders>
              <w:tl2br w:val="nil"/>
              <w:tr2bl w:val="nil"/>
            </w:tcBorders>
            <w:shd w:val="clear" w:color="auto" w:fill="auto"/>
            <w:noWrap/>
            <w:vAlign w:val="center"/>
          </w:tcPr>
          <w:p w14:paraId="273D1791">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7.12E-06</w:t>
            </w:r>
          </w:p>
        </w:tc>
        <w:tc>
          <w:tcPr>
            <w:tcW w:w="695" w:type="pct"/>
            <w:tcBorders>
              <w:tl2br w:val="nil"/>
              <w:tr2bl w:val="nil"/>
            </w:tcBorders>
            <w:shd w:val="clear" w:color="auto" w:fill="auto"/>
            <w:noWrap/>
            <w:vAlign w:val="center"/>
          </w:tcPr>
          <w:p w14:paraId="14C6FD57">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24011511</w:t>
            </w:r>
          </w:p>
        </w:tc>
        <w:tc>
          <w:tcPr>
            <w:tcW w:w="647" w:type="pct"/>
            <w:tcBorders>
              <w:tl2br w:val="nil"/>
              <w:tr2bl w:val="nil"/>
            </w:tcBorders>
            <w:shd w:val="clear" w:color="auto" w:fill="auto"/>
            <w:noWrap/>
            <w:vAlign w:val="center"/>
          </w:tcPr>
          <w:p w14:paraId="5855CAE2">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3.60E-03</w:t>
            </w:r>
          </w:p>
        </w:tc>
        <w:tc>
          <w:tcPr>
            <w:tcW w:w="437" w:type="pct"/>
            <w:tcBorders>
              <w:tl2br w:val="nil"/>
              <w:tr2bl w:val="nil"/>
            </w:tcBorders>
            <w:shd w:val="clear" w:color="auto" w:fill="auto"/>
            <w:noWrap/>
            <w:vAlign w:val="center"/>
          </w:tcPr>
          <w:p w14:paraId="6AE7CE7E">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0.2</w:t>
            </w:r>
          </w:p>
        </w:tc>
        <w:tc>
          <w:tcPr>
            <w:tcW w:w="450" w:type="pct"/>
            <w:tcBorders>
              <w:tl2br w:val="nil"/>
              <w:tr2bl w:val="nil"/>
            </w:tcBorders>
            <w:shd w:val="clear" w:color="auto" w:fill="auto"/>
            <w:noWrap/>
            <w:vAlign w:val="center"/>
          </w:tcPr>
          <w:p w14:paraId="32B8B487">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达标</w:t>
            </w:r>
          </w:p>
        </w:tc>
      </w:tr>
      <w:tr w14:paraId="45FCDE20">
        <w:tblPrEx>
          <w:tblBorders>
            <w:top w:val="thinThickSmallGap" w:color="000000" w:sz="12" w:space="0"/>
            <w:left w:val="none" w:color="auto" w:sz="0" w:space="0"/>
            <w:bottom w:val="thinThickSmallGap" w:color="000000" w:sz="12" w:space="0"/>
            <w:right w:val="none" w:color="auto" w:sz="0"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295" w:hRule="atLeast"/>
        </w:trPr>
        <w:tc>
          <w:tcPr>
            <w:tcW w:w="226" w:type="pct"/>
            <w:tcBorders>
              <w:tl2br w:val="nil"/>
              <w:tr2bl w:val="nil"/>
            </w:tcBorders>
            <w:shd w:val="clear" w:color="auto" w:fill="auto"/>
            <w:noWrap/>
            <w:vAlign w:val="center"/>
          </w:tcPr>
          <w:p w14:paraId="18EE2439">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8</w:t>
            </w:r>
          </w:p>
        </w:tc>
        <w:tc>
          <w:tcPr>
            <w:tcW w:w="659" w:type="pct"/>
            <w:tcBorders>
              <w:tl2br w:val="nil"/>
              <w:tr2bl w:val="nil"/>
            </w:tcBorders>
            <w:shd w:val="clear" w:color="auto" w:fill="auto"/>
            <w:vAlign w:val="center"/>
          </w:tcPr>
          <w:p w14:paraId="0B9B8612">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网格</w:t>
            </w:r>
          </w:p>
        </w:tc>
        <w:tc>
          <w:tcPr>
            <w:tcW w:w="668" w:type="pct"/>
            <w:tcBorders>
              <w:tl2br w:val="nil"/>
              <w:tr2bl w:val="nil"/>
            </w:tcBorders>
            <w:shd w:val="clear" w:color="auto" w:fill="auto"/>
            <w:noWrap/>
            <w:vAlign w:val="center"/>
          </w:tcPr>
          <w:p w14:paraId="36A0F499">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default" w:ascii="Times New Roman" w:hAnsi="Times New Roman" w:eastAsia="宋体" w:cs="Times New Roman"/>
                <w:i w:val="0"/>
                <w:iCs w:val="0"/>
                <w:color w:val="0000FF"/>
                <w:kern w:val="0"/>
                <w:sz w:val="21"/>
                <w:szCs w:val="21"/>
                <w:u w:val="none"/>
                <w:lang w:val="en-US" w:eastAsia="zh-CN" w:bidi="ar"/>
              </w:rPr>
              <w:t>28,931</w:t>
            </w:r>
          </w:p>
        </w:tc>
        <w:tc>
          <w:tcPr>
            <w:tcW w:w="527" w:type="pct"/>
            <w:tcBorders>
              <w:tl2br w:val="nil"/>
              <w:tr2bl w:val="nil"/>
            </w:tcBorders>
            <w:shd w:val="clear" w:color="auto" w:fill="auto"/>
            <w:noWrap/>
            <w:vAlign w:val="center"/>
          </w:tcPr>
          <w:p w14:paraId="41B5BE12">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Times New Roman" w:hAnsi="Times New Roman" w:eastAsia="宋体" w:cs="Times New Roman"/>
                <w:i w:val="0"/>
                <w:iCs w:val="0"/>
                <w:color w:val="0000FF"/>
                <w:kern w:val="0"/>
                <w:sz w:val="21"/>
                <w:szCs w:val="21"/>
                <w:u w:val="none"/>
                <w:lang w:val="en-US" w:eastAsia="zh-CN" w:bidi="ar"/>
              </w:rPr>
            </w:pPr>
            <w:r>
              <w:rPr>
                <w:rFonts w:hint="default" w:ascii="Times New Roman" w:hAnsi="Times New Roman" w:eastAsia="宋体" w:cs="Times New Roman"/>
                <w:i w:val="0"/>
                <w:iCs w:val="0"/>
                <w:color w:val="0000FF"/>
                <w:kern w:val="0"/>
                <w:sz w:val="21"/>
                <w:szCs w:val="21"/>
                <w:u w:val="none"/>
                <w:lang w:val="en-US" w:eastAsia="zh-CN" w:bidi="ar"/>
              </w:rPr>
              <w:t>1</w:t>
            </w:r>
            <w:r>
              <w:rPr>
                <w:rFonts w:hint="eastAsia" w:ascii="Times New Roman" w:hAnsi="Times New Roman" w:eastAsia="宋体" w:cs="Times New Roman"/>
                <w:i w:val="0"/>
                <w:iCs w:val="0"/>
                <w:color w:val="0000FF"/>
                <w:kern w:val="0"/>
                <w:sz w:val="21"/>
                <w:szCs w:val="21"/>
                <w:u w:val="none"/>
                <w:lang w:val="en-US" w:eastAsia="zh-CN" w:bidi="ar"/>
              </w:rPr>
              <w:t>小时</w:t>
            </w:r>
          </w:p>
        </w:tc>
        <w:tc>
          <w:tcPr>
            <w:tcW w:w="686" w:type="pct"/>
            <w:tcBorders>
              <w:tl2br w:val="nil"/>
              <w:tr2bl w:val="nil"/>
            </w:tcBorders>
            <w:shd w:val="clear" w:color="auto" w:fill="auto"/>
            <w:noWrap/>
            <w:vAlign w:val="center"/>
          </w:tcPr>
          <w:p w14:paraId="6404EAA2">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2.20E-04</w:t>
            </w:r>
          </w:p>
        </w:tc>
        <w:tc>
          <w:tcPr>
            <w:tcW w:w="695" w:type="pct"/>
            <w:tcBorders>
              <w:tl2br w:val="nil"/>
              <w:tr2bl w:val="nil"/>
            </w:tcBorders>
            <w:shd w:val="clear" w:color="auto" w:fill="auto"/>
            <w:noWrap/>
            <w:vAlign w:val="center"/>
          </w:tcPr>
          <w:p w14:paraId="24A87DD4">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24011202</w:t>
            </w:r>
          </w:p>
        </w:tc>
        <w:tc>
          <w:tcPr>
            <w:tcW w:w="647" w:type="pct"/>
            <w:tcBorders>
              <w:tl2br w:val="nil"/>
              <w:tr2bl w:val="nil"/>
            </w:tcBorders>
            <w:shd w:val="clear" w:color="auto" w:fill="auto"/>
            <w:noWrap/>
            <w:vAlign w:val="center"/>
          </w:tcPr>
          <w:p w14:paraId="3E5E6B36">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3.60E-03</w:t>
            </w:r>
          </w:p>
        </w:tc>
        <w:tc>
          <w:tcPr>
            <w:tcW w:w="437" w:type="pct"/>
            <w:tcBorders>
              <w:tl2br w:val="nil"/>
              <w:tr2bl w:val="nil"/>
            </w:tcBorders>
            <w:shd w:val="clear" w:color="auto" w:fill="auto"/>
            <w:noWrap/>
            <w:vAlign w:val="center"/>
          </w:tcPr>
          <w:p w14:paraId="5E7E45A4">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6.1</w:t>
            </w:r>
          </w:p>
        </w:tc>
        <w:tc>
          <w:tcPr>
            <w:tcW w:w="450" w:type="pct"/>
            <w:tcBorders>
              <w:tl2br w:val="nil"/>
              <w:tr2bl w:val="nil"/>
            </w:tcBorders>
            <w:shd w:val="clear" w:color="auto" w:fill="auto"/>
            <w:noWrap/>
            <w:vAlign w:val="center"/>
          </w:tcPr>
          <w:p w14:paraId="5CD73111">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达标</w:t>
            </w:r>
          </w:p>
        </w:tc>
      </w:tr>
    </w:tbl>
    <w:p w14:paraId="05F6FCFF">
      <w:pPr>
        <w:tabs>
          <w:tab w:val="left" w:pos="851"/>
          <w:tab w:val="left" w:pos="1141"/>
          <w:tab w:val="left" w:pos="4335"/>
        </w:tabs>
        <w:jc w:val="both"/>
      </w:pPr>
      <w:r>
        <w:drawing>
          <wp:inline distT="0" distB="0" distL="114300" distR="114300">
            <wp:extent cx="5353685" cy="2592070"/>
            <wp:effectExtent l="0" t="0" r="18415" b="17780"/>
            <wp:docPr id="101" name="图片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 name="图片 101"/>
                    <pic:cNvPicPr>
                      <a:picLocks noChangeAspect="1"/>
                    </pic:cNvPicPr>
                  </pic:nvPicPr>
                  <pic:blipFill>
                    <a:blip r:embed="rId74"/>
                    <a:stretch>
                      <a:fillRect/>
                    </a:stretch>
                  </pic:blipFill>
                  <pic:spPr>
                    <a:xfrm>
                      <a:off x="0" y="0"/>
                      <a:ext cx="5353685" cy="2592070"/>
                    </a:xfrm>
                    <a:prstGeom prst="rect">
                      <a:avLst/>
                    </a:prstGeom>
                    <a:noFill/>
                    <a:ln>
                      <a:noFill/>
                    </a:ln>
                  </pic:spPr>
                </pic:pic>
              </a:graphicData>
            </a:graphic>
          </wp:inline>
        </w:drawing>
      </w:r>
    </w:p>
    <w:p w14:paraId="5834F50C">
      <w:pPr>
        <w:adjustRightInd w:val="0"/>
        <w:snapToGrid w:val="0"/>
        <w:jc w:val="center"/>
        <w:rPr>
          <w:rFonts w:hint="default" w:ascii="Times New Roman" w:hAnsi="Times New Roman" w:eastAsia="黑体" w:cs="Times New Roman"/>
          <w:color w:val="0000FF"/>
          <w:lang w:val="en-US" w:eastAsia="zh-CN"/>
        </w:rPr>
      </w:pPr>
      <w:r>
        <w:rPr>
          <w:rFonts w:hint="default" w:ascii="Times New Roman" w:hAnsi="Times New Roman" w:eastAsia="黑体" w:cs="Times New Roman"/>
          <w:color w:val="0000FF"/>
          <w:lang w:val="en-US" w:eastAsia="zh-CN"/>
        </w:rPr>
        <w:t>图</w:t>
      </w:r>
      <w:r>
        <w:rPr>
          <w:rFonts w:hint="eastAsia" w:ascii="Times New Roman" w:hAnsi="Times New Roman" w:eastAsia="黑体" w:cs="Times New Roman"/>
          <w:color w:val="0000FF"/>
          <w:lang w:val="en-US" w:eastAsia="zh-CN"/>
        </w:rPr>
        <w:t>5.1-7</w:t>
      </w:r>
      <w:r>
        <w:rPr>
          <w:rFonts w:hint="default" w:ascii="Times New Roman" w:hAnsi="Times New Roman" w:eastAsia="黑体" w:cs="Times New Roman"/>
          <w:color w:val="0000FF"/>
          <w:lang w:val="en-US" w:eastAsia="zh-CN"/>
        </w:rPr>
        <w:t xml:space="preserve"> SO</w:t>
      </w:r>
      <w:r>
        <w:rPr>
          <w:rFonts w:hint="default" w:ascii="Times New Roman" w:hAnsi="Times New Roman" w:eastAsia="黑体" w:cs="Times New Roman"/>
          <w:color w:val="0000FF"/>
          <w:vertAlign w:val="subscript"/>
          <w:lang w:val="en-US" w:eastAsia="zh-CN"/>
        </w:rPr>
        <w:t>2</w:t>
      </w:r>
      <w:r>
        <w:rPr>
          <w:rFonts w:hint="default" w:ascii="Times New Roman" w:hAnsi="Times New Roman" w:eastAsia="黑体" w:cs="Times New Roman"/>
          <w:color w:val="0000FF"/>
          <w:lang w:val="en-US" w:eastAsia="zh-CN"/>
        </w:rPr>
        <w:t>小时平均浓度贡献值分布图（mg/m</w:t>
      </w:r>
      <w:r>
        <w:rPr>
          <w:rFonts w:hint="default" w:ascii="Times New Roman" w:hAnsi="Times New Roman" w:eastAsia="黑体" w:cs="Times New Roman"/>
          <w:color w:val="0000FF"/>
          <w:vertAlign w:val="superscript"/>
          <w:lang w:val="en-US" w:eastAsia="zh-CN"/>
        </w:rPr>
        <w:t>3</w:t>
      </w:r>
      <w:r>
        <w:rPr>
          <w:rFonts w:hint="default" w:ascii="Times New Roman" w:hAnsi="Times New Roman" w:eastAsia="黑体" w:cs="Times New Roman"/>
          <w:color w:val="0000FF"/>
          <w:lang w:val="en-US" w:eastAsia="zh-CN"/>
        </w:rPr>
        <w:t>）</w:t>
      </w:r>
    </w:p>
    <w:p w14:paraId="783B8949">
      <w:pPr>
        <w:pStyle w:val="2"/>
        <w:ind w:left="0" w:leftChars="0" w:firstLine="0" w:firstLineChars="0"/>
      </w:pPr>
      <w:r>
        <w:drawing>
          <wp:inline distT="0" distB="0" distL="114300" distR="114300">
            <wp:extent cx="5353685" cy="2592070"/>
            <wp:effectExtent l="0" t="0" r="18415" b="17780"/>
            <wp:docPr id="102" name="图片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图片 102"/>
                    <pic:cNvPicPr>
                      <a:picLocks noChangeAspect="1"/>
                    </pic:cNvPicPr>
                  </pic:nvPicPr>
                  <pic:blipFill>
                    <a:blip r:embed="rId75"/>
                    <a:stretch>
                      <a:fillRect/>
                    </a:stretch>
                  </pic:blipFill>
                  <pic:spPr>
                    <a:xfrm>
                      <a:off x="0" y="0"/>
                      <a:ext cx="5353685" cy="2592070"/>
                    </a:xfrm>
                    <a:prstGeom prst="rect">
                      <a:avLst/>
                    </a:prstGeom>
                    <a:noFill/>
                    <a:ln>
                      <a:noFill/>
                    </a:ln>
                  </pic:spPr>
                </pic:pic>
              </a:graphicData>
            </a:graphic>
          </wp:inline>
        </w:drawing>
      </w:r>
    </w:p>
    <w:p w14:paraId="38E03A95">
      <w:pPr>
        <w:adjustRightInd w:val="0"/>
        <w:snapToGrid w:val="0"/>
        <w:jc w:val="center"/>
        <w:rPr>
          <w:rFonts w:hint="default" w:ascii="Times New Roman" w:hAnsi="Times New Roman" w:eastAsia="黑体" w:cs="Times New Roman"/>
          <w:color w:val="0000FF"/>
          <w:lang w:val="en-US" w:eastAsia="zh-CN"/>
        </w:rPr>
      </w:pPr>
      <w:r>
        <w:rPr>
          <w:rFonts w:hint="default" w:ascii="Times New Roman" w:hAnsi="Times New Roman" w:eastAsia="黑体" w:cs="Times New Roman"/>
          <w:color w:val="0000FF"/>
          <w:lang w:val="en-US" w:eastAsia="zh-CN"/>
        </w:rPr>
        <w:t>图</w:t>
      </w:r>
      <w:r>
        <w:rPr>
          <w:rFonts w:hint="eastAsia" w:ascii="Times New Roman" w:hAnsi="Times New Roman" w:eastAsia="黑体" w:cs="Times New Roman"/>
          <w:color w:val="0000FF"/>
          <w:lang w:val="en-US" w:eastAsia="zh-CN"/>
        </w:rPr>
        <w:t>5.1-8</w:t>
      </w:r>
      <w:r>
        <w:rPr>
          <w:rFonts w:hint="default" w:ascii="Times New Roman" w:hAnsi="Times New Roman" w:eastAsia="黑体" w:cs="Times New Roman"/>
          <w:color w:val="0000FF"/>
          <w:lang w:val="en-US" w:eastAsia="zh-CN"/>
        </w:rPr>
        <w:t xml:space="preserve"> SO</w:t>
      </w:r>
      <w:r>
        <w:rPr>
          <w:rFonts w:hint="default" w:ascii="Times New Roman" w:hAnsi="Times New Roman" w:eastAsia="黑体" w:cs="Times New Roman"/>
          <w:color w:val="0000FF"/>
          <w:vertAlign w:val="subscript"/>
          <w:lang w:val="en-US" w:eastAsia="zh-CN"/>
        </w:rPr>
        <w:t>2</w:t>
      </w:r>
      <w:r>
        <w:rPr>
          <w:rFonts w:hint="eastAsia" w:ascii="Times New Roman" w:hAnsi="Times New Roman" w:eastAsia="黑体" w:cs="Times New Roman"/>
          <w:color w:val="0000FF"/>
          <w:lang w:val="en-US" w:eastAsia="zh-CN"/>
        </w:rPr>
        <w:t>日</w:t>
      </w:r>
      <w:r>
        <w:rPr>
          <w:rFonts w:hint="default" w:ascii="Times New Roman" w:hAnsi="Times New Roman" w:eastAsia="黑体" w:cs="Times New Roman"/>
          <w:color w:val="0000FF"/>
          <w:lang w:val="en-US" w:eastAsia="zh-CN"/>
        </w:rPr>
        <w:t>均浓度贡献值分布图（mg/m</w:t>
      </w:r>
      <w:r>
        <w:rPr>
          <w:rFonts w:hint="default" w:ascii="Times New Roman" w:hAnsi="Times New Roman" w:eastAsia="黑体" w:cs="Times New Roman"/>
          <w:color w:val="0000FF"/>
          <w:vertAlign w:val="superscript"/>
          <w:lang w:val="en-US" w:eastAsia="zh-CN"/>
        </w:rPr>
        <w:t>3</w:t>
      </w:r>
      <w:r>
        <w:rPr>
          <w:rFonts w:hint="default" w:ascii="Times New Roman" w:hAnsi="Times New Roman" w:eastAsia="黑体" w:cs="Times New Roman"/>
          <w:color w:val="0000FF"/>
          <w:lang w:val="en-US" w:eastAsia="zh-CN"/>
        </w:rPr>
        <w:t>）</w:t>
      </w:r>
    </w:p>
    <w:p w14:paraId="66CEB810">
      <w:pPr>
        <w:pStyle w:val="2"/>
        <w:ind w:left="0" w:leftChars="0" w:firstLine="0" w:firstLineChars="0"/>
        <w:rPr>
          <w:rFonts w:hint="default" w:ascii="Times New Roman" w:hAnsi="Times New Roman" w:eastAsia="黑体" w:cs="Times New Roman"/>
          <w:color w:val="0000FF"/>
          <w:lang w:val="en-US" w:eastAsia="zh-CN"/>
        </w:rPr>
      </w:pPr>
      <w:r>
        <w:drawing>
          <wp:inline distT="0" distB="0" distL="114300" distR="114300">
            <wp:extent cx="5400675" cy="2555875"/>
            <wp:effectExtent l="0" t="0" r="9525" b="15875"/>
            <wp:docPr id="103" name="图片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 name="图片 103"/>
                    <pic:cNvPicPr>
                      <a:picLocks noChangeAspect="1"/>
                    </pic:cNvPicPr>
                  </pic:nvPicPr>
                  <pic:blipFill>
                    <a:blip r:embed="rId76"/>
                    <a:stretch>
                      <a:fillRect/>
                    </a:stretch>
                  </pic:blipFill>
                  <pic:spPr>
                    <a:xfrm>
                      <a:off x="0" y="0"/>
                      <a:ext cx="5400675" cy="2555875"/>
                    </a:xfrm>
                    <a:prstGeom prst="rect">
                      <a:avLst/>
                    </a:prstGeom>
                    <a:noFill/>
                    <a:ln>
                      <a:noFill/>
                    </a:ln>
                  </pic:spPr>
                </pic:pic>
              </a:graphicData>
            </a:graphic>
          </wp:inline>
        </w:drawing>
      </w:r>
    </w:p>
    <w:p w14:paraId="228BFCC9">
      <w:pPr>
        <w:adjustRightInd w:val="0"/>
        <w:snapToGrid w:val="0"/>
        <w:jc w:val="center"/>
        <w:rPr>
          <w:rFonts w:hint="default" w:ascii="Times New Roman" w:hAnsi="Times New Roman" w:eastAsia="黑体" w:cs="Times New Roman"/>
          <w:color w:val="0000FF"/>
          <w:lang w:val="en-US" w:eastAsia="zh-CN"/>
        </w:rPr>
      </w:pPr>
      <w:r>
        <w:rPr>
          <w:rFonts w:hint="default" w:ascii="Times New Roman" w:hAnsi="Times New Roman" w:eastAsia="黑体" w:cs="Times New Roman"/>
          <w:color w:val="0000FF"/>
          <w:lang w:val="en-US" w:eastAsia="zh-CN"/>
        </w:rPr>
        <w:t>图</w:t>
      </w:r>
      <w:r>
        <w:rPr>
          <w:rFonts w:hint="eastAsia" w:ascii="Times New Roman" w:hAnsi="Times New Roman" w:eastAsia="黑体" w:cs="Times New Roman"/>
          <w:color w:val="0000FF"/>
          <w:lang w:val="en-US" w:eastAsia="zh-CN"/>
        </w:rPr>
        <w:t xml:space="preserve">5.1-9 </w:t>
      </w:r>
      <w:r>
        <w:rPr>
          <w:rFonts w:hint="default" w:ascii="Times New Roman" w:hAnsi="Times New Roman" w:eastAsia="黑体" w:cs="Times New Roman"/>
          <w:color w:val="0000FF"/>
          <w:lang w:val="en-US" w:eastAsia="zh-CN"/>
        </w:rPr>
        <w:t>SO</w:t>
      </w:r>
      <w:r>
        <w:rPr>
          <w:rFonts w:hint="default" w:ascii="Times New Roman" w:hAnsi="Times New Roman" w:eastAsia="黑体" w:cs="Times New Roman"/>
          <w:color w:val="0000FF"/>
          <w:vertAlign w:val="subscript"/>
          <w:lang w:val="en-US" w:eastAsia="zh-CN"/>
        </w:rPr>
        <w:t>2</w:t>
      </w:r>
      <w:r>
        <w:rPr>
          <w:rFonts w:hint="eastAsia" w:ascii="Times New Roman" w:hAnsi="Times New Roman" w:eastAsia="黑体" w:cs="Times New Roman"/>
          <w:color w:val="0000FF"/>
          <w:lang w:val="en-US" w:eastAsia="zh-CN"/>
        </w:rPr>
        <w:t>年</w:t>
      </w:r>
      <w:r>
        <w:rPr>
          <w:rFonts w:hint="default" w:ascii="Times New Roman" w:hAnsi="Times New Roman" w:eastAsia="黑体" w:cs="Times New Roman"/>
          <w:color w:val="0000FF"/>
          <w:lang w:val="en-US" w:eastAsia="zh-CN"/>
        </w:rPr>
        <w:t>均浓度贡献值分布图（mg/m</w:t>
      </w:r>
      <w:r>
        <w:rPr>
          <w:rFonts w:hint="default" w:ascii="Times New Roman" w:hAnsi="Times New Roman" w:eastAsia="黑体" w:cs="Times New Roman"/>
          <w:color w:val="0000FF"/>
          <w:vertAlign w:val="superscript"/>
          <w:lang w:val="en-US" w:eastAsia="zh-CN"/>
        </w:rPr>
        <w:t>3</w:t>
      </w:r>
      <w:r>
        <w:rPr>
          <w:rFonts w:hint="default" w:ascii="Times New Roman" w:hAnsi="Times New Roman" w:eastAsia="黑体" w:cs="Times New Roman"/>
          <w:color w:val="0000FF"/>
          <w:lang w:val="en-US" w:eastAsia="zh-CN"/>
        </w:rPr>
        <w:t>）</w:t>
      </w:r>
    </w:p>
    <w:p w14:paraId="24BBF484">
      <w:pPr>
        <w:pStyle w:val="3"/>
        <w:keepNext w:val="0"/>
        <w:keepLines w:val="0"/>
        <w:pageBreakBefore w:val="0"/>
        <w:widowControl/>
        <w:numPr>
          <w:ilvl w:val="0"/>
          <w:numId w:val="0"/>
        </w:numPr>
        <w:kinsoku/>
        <w:wordWrap/>
        <w:overflowPunct/>
        <w:topLinePunct w:val="0"/>
        <w:autoSpaceDE/>
        <w:autoSpaceDN/>
        <w:bidi w:val="0"/>
        <w:adjustRightInd/>
        <w:snapToGrid/>
        <w:spacing w:after="0"/>
        <w:ind w:right="0" w:rightChars="0"/>
        <w:textAlignment w:val="auto"/>
        <w:rPr>
          <w:rFonts w:hint="default"/>
          <w:lang w:val="en-US" w:eastAsia="zh-CN"/>
        </w:rPr>
      </w:pPr>
      <w:r>
        <w:drawing>
          <wp:inline distT="0" distB="0" distL="114300" distR="114300">
            <wp:extent cx="5339715" cy="2555875"/>
            <wp:effectExtent l="0" t="0" r="13335" b="15875"/>
            <wp:docPr id="104" name="图片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图片 104"/>
                    <pic:cNvPicPr>
                      <a:picLocks noChangeAspect="1"/>
                    </pic:cNvPicPr>
                  </pic:nvPicPr>
                  <pic:blipFill>
                    <a:blip r:embed="rId77"/>
                    <a:stretch>
                      <a:fillRect/>
                    </a:stretch>
                  </pic:blipFill>
                  <pic:spPr>
                    <a:xfrm>
                      <a:off x="0" y="0"/>
                      <a:ext cx="5339715" cy="2555875"/>
                    </a:xfrm>
                    <a:prstGeom prst="rect">
                      <a:avLst/>
                    </a:prstGeom>
                    <a:noFill/>
                    <a:ln>
                      <a:noFill/>
                    </a:ln>
                  </pic:spPr>
                </pic:pic>
              </a:graphicData>
            </a:graphic>
          </wp:inline>
        </w:drawing>
      </w:r>
    </w:p>
    <w:p w14:paraId="5029D2F6">
      <w:pPr>
        <w:adjustRightInd w:val="0"/>
        <w:snapToGrid w:val="0"/>
        <w:jc w:val="center"/>
        <w:rPr>
          <w:rFonts w:hint="default" w:ascii="Times New Roman" w:hAnsi="Times New Roman" w:eastAsia="黑体" w:cs="Times New Roman"/>
          <w:color w:val="0000FF"/>
          <w:lang w:val="en-US" w:eastAsia="zh-CN"/>
        </w:rPr>
      </w:pPr>
      <w:r>
        <w:rPr>
          <w:rFonts w:hint="default" w:ascii="Times New Roman" w:hAnsi="Times New Roman" w:eastAsia="黑体" w:cs="Times New Roman"/>
          <w:color w:val="0000FF"/>
          <w:lang w:val="en-US" w:eastAsia="zh-CN"/>
        </w:rPr>
        <w:t>图</w:t>
      </w:r>
      <w:r>
        <w:rPr>
          <w:rFonts w:hint="eastAsia" w:ascii="Times New Roman" w:hAnsi="Times New Roman" w:eastAsia="黑体" w:cs="Times New Roman"/>
          <w:color w:val="0000FF"/>
          <w:lang w:val="en-US" w:eastAsia="zh-CN"/>
        </w:rPr>
        <w:t>5.1-10</w:t>
      </w:r>
      <w:r>
        <w:rPr>
          <w:rFonts w:hint="default" w:ascii="Times New Roman" w:hAnsi="Times New Roman" w:eastAsia="黑体" w:cs="Times New Roman"/>
          <w:color w:val="0000FF"/>
          <w:lang w:val="en-US" w:eastAsia="zh-CN"/>
        </w:rPr>
        <w:t xml:space="preserve"> </w:t>
      </w:r>
      <w:r>
        <w:rPr>
          <w:rFonts w:hint="eastAsia" w:ascii="Times New Roman" w:hAnsi="Times New Roman" w:eastAsia="黑体" w:cs="Times New Roman"/>
          <w:color w:val="0000FF"/>
          <w:lang w:val="en-US" w:eastAsia="zh-CN"/>
        </w:rPr>
        <w:t>氟化物</w:t>
      </w:r>
      <w:r>
        <w:rPr>
          <w:rFonts w:hint="default" w:ascii="Times New Roman" w:hAnsi="Times New Roman" w:eastAsia="黑体" w:cs="Times New Roman"/>
          <w:color w:val="0000FF"/>
          <w:lang w:val="en-US" w:eastAsia="zh-CN"/>
        </w:rPr>
        <w:t>小时平均浓度贡献值分布图（mg/m</w:t>
      </w:r>
      <w:r>
        <w:rPr>
          <w:rFonts w:hint="default" w:ascii="Times New Roman" w:hAnsi="Times New Roman" w:eastAsia="黑体" w:cs="Times New Roman"/>
          <w:color w:val="0000FF"/>
          <w:vertAlign w:val="superscript"/>
          <w:lang w:val="en-US" w:eastAsia="zh-CN"/>
        </w:rPr>
        <w:t>3</w:t>
      </w:r>
      <w:r>
        <w:rPr>
          <w:rFonts w:hint="default" w:ascii="Times New Roman" w:hAnsi="Times New Roman" w:eastAsia="黑体" w:cs="Times New Roman"/>
          <w:color w:val="0000FF"/>
          <w:lang w:val="en-US" w:eastAsia="zh-CN"/>
        </w:rPr>
        <w:t>）</w:t>
      </w:r>
    </w:p>
    <w:p w14:paraId="73712492">
      <w:pPr>
        <w:keepNext w:val="0"/>
        <w:keepLines w:val="0"/>
        <w:pageBreakBefore w:val="0"/>
        <w:widowControl/>
        <w:kinsoku/>
        <w:wordWrap/>
        <w:overflowPunct/>
        <w:topLinePunct w:val="0"/>
        <w:autoSpaceDE/>
        <w:autoSpaceDN/>
        <w:bidi w:val="0"/>
        <w:adjustRightInd/>
        <w:snapToGrid/>
        <w:textAlignment w:val="auto"/>
        <w:rPr>
          <w:rFonts w:hint="default"/>
          <w:lang w:val="en-US" w:eastAsia="zh-CN"/>
        </w:rPr>
      </w:pPr>
      <w:r>
        <w:drawing>
          <wp:inline distT="0" distB="0" distL="114300" distR="114300">
            <wp:extent cx="5292725" cy="2447925"/>
            <wp:effectExtent l="0" t="0" r="3175" b="9525"/>
            <wp:docPr id="105" name="图片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图片 105"/>
                    <pic:cNvPicPr>
                      <a:picLocks noChangeAspect="1"/>
                    </pic:cNvPicPr>
                  </pic:nvPicPr>
                  <pic:blipFill>
                    <a:blip r:embed="rId78"/>
                    <a:stretch>
                      <a:fillRect/>
                    </a:stretch>
                  </pic:blipFill>
                  <pic:spPr>
                    <a:xfrm>
                      <a:off x="0" y="0"/>
                      <a:ext cx="5292725" cy="2447925"/>
                    </a:xfrm>
                    <a:prstGeom prst="rect">
                      <a:avLst/>
                    </a:prstGeom>
                    <a:noFill/>
                    <a:ln>
                      <a:noFill/>
                    </a:ln>
                  </pic:spPr>
                </pic:pic>
              </a:graphicData>
            </a:graphic>
          </wp:inline>
        </w:drawing>
      </w:r>
    </w:p>
    <w:p w14:paraId="5B025E10">
      <w:pPr>
        <w:adjustRightInd w:val="0"/>
        <w:snapToGrid w:val="0"/>
        <w:jc w:val="center"/>
        <w:rPr>
          <w:rFonts w:hint="default" w:ascii="Times New Roman" w:hAnsi="Times New Roman" w:eastAsia="黑体" w:cs="Times New Roman"/>
          <w:color w:val="0000FF"/>
          <w:lang w:val="en-US" w:eastAsia="zh-CN"/>
        </w:rPr>
      </w:pPr>
      <w:r>
        <w:rPr>
          <w:rFonts w:hint="default" w:ascii="Times New Roman" w:hAnsi="Times New Roman" w:eastAsia="黑体" w:cs="Times New Roman"/>
          <w:color w:val="0000FF"/>
          <w:lang w:val="en-US" w:eastAsia="zh-CN"/>
        </w:rPr>
        <w:t>图</w:t>
      </w:r>
      <w:r>
        <w:rPr>
          <w:rFonts w:hint="eastAsia" w:ascii="Times New Roman" w:hAnsi="Times New Roman" w:eastAsia="黑体" w:cs="Times New Roman"/>
          <w:color w:val="0000FF"/>
          <w:lang w:val="en-US" w:eastAsia="zh-CN"/>
        </w:rPr>
        <w:t>5.1-11</w:t>
      </w:r>
      <w:r>
        <w:rPr>
          <w:rFonts w:hint="default" w:ascii="Times New Roman" w:hAnsi="Times New Roman" w:eastAsia="黑体" w:cs="Times New Roman"/>
          <w:color w:val="0000FF"/>
          <w:lang w:val="en-US" w:eastAsia="zh-CN"/>
        </w:rPr>
        <w:t xml:space="preserve"> </w:t>
      </w:r>
      <w:r>
        <w:rPr>
          <w:rFonts w:hint="eastAsia" w:ascii="Times New Roman" w:hAnsi="Times New Roman" w:eastAsia="黑体" w:cs="Times New Roman"/>
          <w:color w:val="0000FF"/>
          <w:lang w:val="en-US" w:eastAsia="zh-CN"/>
        </w:rPr>
        <w:t>氟化物日</w:t>
      </w:r>
      <w:r>
        <w:rPr>
          <w:rFonts w:hint="default" w:ascii="Times New Roman" w:hAnsi="Times New Roman" w:eastAsia="黑体" w:cs="Times New Roman"/>
          <w:color w:val="0000FF"/>
          <w:lang w:val="en-US" w:eastAsia="zh-CN"/>
        </w:rPr>
        <w:t>均浓度贡献值分布图（mg/m</w:t>
      </w:r>
      <w:r>
        <w:rPr>
          <w:rFonts w:hint="default" w:ascii="Times New Roman" w:hAnsi="Times New Roman" w:eastAsia="黑体" w:cs="Times New Roman"/>
          <w:color w:val="0000FF"/>
          <w:vertAlign w:val="superscript"/>
          <w:lang w:val="en-US" w:eastAsia="zh-CN"/>
        </w:rPr>
        <w:t>3</w:t>
      </w:r>
      <w:r>
        <w:rPr>
          <w:rFonts w:hint="default" w:ascii="Times New Roman" w:hAnsi="Times New Roman" w:eastAsia="黑体" w:cs="Times New Roman"/>
          <w:color w:val="0000FF"/>
          <w:lang w:val="en-US" w:eastAsia="zh-CN"/>
        </w:rPr>
        <w:t>）</w:t>
      </w:r>
    </w:p>
    <w:p w14:paraId="20DFBD22">
      <w:pPr>
        <w:pStyle w:val="2"/>
        <w:ind w:left="0" w:leftChars="0" w:firstLine="0" w:firstLineChars="0"/>
        <w:rPr>
          <w:rFonts w:hint="default"/>
          <w:lang w:val="en-US" w:eastAsia="zh-CN"/>
        </w:rPr>
      </w:pPr>
      <w:r>
        <w:drawing>
          <wp:inline distT="0" distB="0" distL="114300" distR="114300">
            <wp:extent cx="5278755" cy="2555875"/>
            <wp:effectExtent l="0" t="0" r="17145" b="15875"/>
            <wp:docPr id="106" name="图片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 name="图片 106"/>
                    <pic:cNvPicPr>
                      <a:picLocks noChangeAspect="1"/>
                    </pic:cNvPicPr>
                  </pic:nvPicPr>
                  <pic:blipFill>
                    <a:blip r:embed="rId79"/>
                    <a:stretch>
                      <a:fillRect/>
                    </a:stretch>
                  </pic:blipFill>
                  <pic:spPr>
                    <a:xfrm>
                      <a:off x="0" y="0"/>
                      <a:ext cx="5278755" cy="2555875"/>
                    </a:xfrm>
                    <a:prstGeom prst="rect">
                      <a:avLst/>
                    </a:prstGeom>
                    <a:noFill/>
                    <a:ln>
                      <a:noFill/>
                    </a:ln>
                  </pic:spPr>
                </pic:pic>
              </a:graphicData>
            </a:graphic>
          </wp:inline>
        </w:drawing>
      </w:r>
    </w:p>
    <w:p w14:paraId="7ADD84D6">
      <w:pPr>
        <w:adjustRightInd w:val="0"/>
        <w:snapToGrid w:val="0"/>
        <w:jc w:val="center"/>
        <w:rPr>
          <w:rFonts w:hint="default" w:ascii="Times New Roman" w:hAnsi="Times New Roman" w:eastAsia="黑体" w:cs="Times New Roman"/>
          <w:color w:val="0000FF"/>
          <w:lang w:val="en-US" w:eastAsia="zh-CN"/>
        </w:rPr>
      </w:pPr>
      <w:r>
        <w:rPr>
          <w:rFonts w:hint="default" w:ascii="Times New Roman" w:hAnsi="Times New Roman" w:eastAsia="黑体" w:cs="Times New Roman"/>
          <w:color w:val="0000FF"/>
          <w:lang w:val="en-US" w:eastAsia="zh-CN"/>
        </w:rPr>
        <w:t>图</w:t>
      </w:r>
      <w:r>
        <w:rPr>
          <w:rFonts w:hint="eastAsia" w:ascii="Times New Roman" w:hAnsi="Times New Roman" w:eastAsia="黑体" w:cs="Times New Roman"/>
          <w:color w:val="0000FF"/>
          <w:lang w:val="en-US" w:eastAsia="zh-CN"/>
        </w:rPr>
        <w:t>5.1-12</w:t>
      </w:r>
      <w:r>
        <w:rPr>
          <w:rFonts w:hint="default" w:ascii="Times New Roman" w:hAnsi="Times New Roman" w:eastAsia="黑体" w:cs="Times New Roman"/>
          <w:color w:val="0000FF"/>
          <w:lang w:val="en-US" w:eastAsia="zh-CN"/>
        </w:rPr>
        <w:t xml:space="preserve"> </w:t>
      </w:r>
      <w:r>
        <w:rPr>
          <w:rFonts w:hint="eastAsia" w:ascii="Times New Roman" w:hAnsi="Times New Roman" w:eastAsia="黑体" w:cs="Times New Roman"/>
          <w:color w:val="0000FF"/>
          <w:lang w:val="en-US" w:eastAsia="zh-CN"/>
        </w:rPr>
        <w:t>NOx</w:t>
      </w:r>
      <w:r>
        <w:rPr>
          <w:rFonts w:hint="default" w:ascii="Times New Roman" w:hAnsi="Times New Roman" w:eastAsia="黑体" w:cs="Times New Roman"/>
          <w:color w:val="0000FF"/>
          <w:lang w:val="en-US" w:eastAsia="zh-CN"/>
        </w:rPr>
        <w:t>小时平均浓度贡献值分布图（mg/m</w:t>
      </w:r>
      <w:r>
        <w:rPr>
          <w:rFonts w:hint="default" w:ascii="Times New Roman" w:hAnsi="Times New Roman" w:eastAsia="黑体" w:cs="Times New Roman"/>
          <w:color w:val="0000FF"/>
          <w:vertAlign w:val="superscript"/>
          <w:lang w:val="en-US" w:eastAsia="zh-CN"/>
        </w:rPr>
        <w:t>3</w:t>
      </w:r>
      <w:r>
        <w:rPr>
          <w:rFonts w:hint="default" w:ascii="Times New Roman" w:hAnsi="Times New Roman" w:eastAsia="黑体" w:cs="Times New Roman"/>
          <w:color w:val="0000FF"/>
          <w:lang w:val="en-US" w:eastAsia="zh-CN"/>
        </w:rPr>
        <w:t>）</w:t>
      </w:r>
    </w:p>
    <w:p w14:paraId="45287949">
      <w:pPr>
        <w:pStyle w:val="3"/>
        <w:numPr>
          <w:ilvl w:val="0"/>
          <w:numId w:val="0"/>
        </w:numPr>
        <w:ind w:right="0" w:rightChars="0"/>
        <w:rPr>
          <w:rFonts w:hint="default"/>
          <w:lang w:val="en-US" w:eastAsia="zh-CN"/>
        </w:rPr>
      </w:pPr>
      <w:r>
        <w:drawing>
          <wp:inline distT="0" distB="0" distL="114300" distR="114300">
            <wp:extent cx="5278755" cy="2555875"/>
            <wp:effectExtent l="0" t="0" r="17145" b="15875"/>
            <wp:docPr id="10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图片 7"/>
                    <pic:cNvPicPr>
                      <a:picLocks noChangeAspect="1"/>
                    </pic:cNvPicPr>
                  </pic:nvPicPr>
                  <pic:blipFill>
                    <a:blip r:embed="rId80"/>
                    <a:stretch>
                      <a:fillRect/>
                    </a:stretch>
                  </pic:blipFill>
                  <pic:spPr>
                    <a:xfrm>
                      <a:off x="0" y="0"/>
                      <a:ext cx="5278755" cy="2555875"/>
                    </a:xfrm>
                    <a:prstGeom prst="rect">
                      <a:avLst/>
                    </a:prstGeom>
                    <a:noFill/>
                    <a:ln>
                      <a:noFill/>
                    </a:ln>
                  </pic:spPr>
                </pic:pic>
              </a:graphicData>
            </a:graphic>
          </wp:inline>
        </w:drawing>
      </w:r>
    </w:p>
    <w:p w14:paraId="10BC5993">
      <w:pPr>
        <w:adjustRightInd w:val="0"/>
        <w:snapToGrid w:val="0"/>
        <w:jc w:val="center"/>
        <w:rPr>
          <w:rFonts w:hint="default" w:ascii="Times New Roman" w:hAnsi="Times New Roman" w:eastAsia="黑体" w:cs="Times New Roman"/>
          <w:color w:val="0000FF"/>
          <w:lang w:val="en-US" w:eastAsia="zh-CN"/>
        </w:rPr>
      </w:pPr>
      <w:r>
        <w:rPr>
          <w:rFonts w:hint="default" w:ascii="Times New Roman" w:hAnsi="Times New Roman" w:eastAsia="黑体" w:cs="Times New Roman"/>
          <w:color w:val="0000FF"/>
          <w:lang w:val="en-US" w:eastAsia="zh-CN"/>
        </w:rPr>
        <w:t>图</w:t>
      </w:r>
      <w:r>
        <w:rPr>
          <w:rFonts w:hint="eastAsia" w:ascii="Times New Roman" w:hAnsi="Times New Roman" w:eastAsia="黑体" w:cs="Times New Roman"/>
          <w:color w:val="0000FF"/>
          <w:lang w:val="en-US" w:eastAsia="zh-CN"/>
        </w:rPr>
        <w:t>5.1-13</w:t>
      </w:r>
      <w:r>
        <w:rPr>
          <w:rFonts w:hint="default" w:ascii="Times New Roman" w:hAnsi="Times New Roman" w:eastAsia="黑体" w:cs="Times New Roman"/>
          <w:color w:val="0000FF"/>
          <w:lang w:val="en-US" w:eastAsia="zh-CN"/>
        </w:rPr>
        <w:t xml:space="preserve"> </w:t>
      </w:r>
      <w:r>
        <w:rPr>
          <w:rFonts w:hint="eastAsia" w:ascii="Times New Roman" w:hAnsi="Times New Roman" w:eastAsia="黑体" w:cs="Times New Roman"/>
          <w:color w:val="0000FF"/>
          <w:lang w:val="en-US" w:eastAsia="zh-CN"/>
        </w:rPr>
        <w:t>NOx日</w:t>
      </w:r>
      <w:r>
        <w:rPr>
          <w:rFonts w:hint="default" w:ascii="Times New Roman" w:hAnsi="Times New Roman" w:eastAsia="黑体" w:cs="Times New Roman"/>
          <w:color w:val="0000FF"/>
          <w:lang w:val="en-US" w:eastAsia="zh-CN"/>
        </w:rPr>
        <w:t>均浓度贡献值分布图（mg/m</w:t>
      </w:r>
      <w:r>
        <w:rPr>
          <w:rFonts w:hint="default" w:ascii="Times New Roman" w:hAnsi="Times New Roman" w:eastAsia="黑体" w:cs="Times New Roman"/>
          <w:color w:val="0000FF"/>
          <w:vertAlign w:val="superscript"/>
          <w:lang w:val="en-US" w:eastAsia="zh-CN"/>
        </w:rPr>
        <w:t>3</w:t>
      </w:r>
      <w:r>
        <w:rPr>
          <w:rFonts w:hint="default" w:ascii="Times New Roman" w:hAnsi="Times New Roman" w:eastAsia="黑体" w:cs="Times New Roman"/>
          <w:color w:val="0000FF"/>
          <w:lang w:val="en-US" w:eastAsia="zh-CN"/>
        </w:rPr>
        <w:t>）</w:t>
      </w:r>
    </w:p>
    <w:p w14:paraId="49C8CAFB">
      <w:pPr>
        <w:pStyle w:val="2"/>
        <w:ind w:left="0" w:leftChars="0" w:firstLine="0" w:firstLineChars="0"/>
        <w:rPr>
          <w:rFonts w:hint="default" w:ascii="Times New Roman" w:hAnsi="Times New Roman" w:eastAsia="黑体" w:cs="Times New Roman"/>
          <w:color w:val="0000FF"/>
          <w:lang w:val="en-US" w:eastAsia="zh-CN"/>
        </w:rPr>
      </w:pPr>
      <w:r>
        <w:drawing>
          <wp:inline distT="0" distB="0" distL="114300" distR="114300">
            <wp:extent cx="5310505" cy="2484120"/>
            <wp:effectExtent l="0" t="0" r="4445" b="11430"/>
            <wp:docPr id="112"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 name="图片 8"/>
                    <pic:cNvPicPr>
                      <a:picLocks noChangeAspect="1"/>
                    </pic:cNvPicPr>
                  </pic:nvPicPr>
                  <pic:blipFill>
                    <a:blip r:embed="rId81"/>
                    <a:stretch>
                      <a:fillRect/>
                    </a:stretch>
                  </pic:blipFill>
                  <pic:spPr>
                    <a:xfrm>
                      <a:off x="0" y="0"/>
                      <a:ext cx="5310505" cy="2484120"/>
                    </a:xfrm>
                    <a:prstGeom prst="rect">
                      <a:avLst/>
                    </a:prstGeom>
                    <a:noFill/>
                    <a:ln>
                      <a:noFill/>
                    </a:ln>
                  </pic:spPr>
                </pic:pic>
              </a:graphicData>
            </a:graphic>
          </wp:inline>
        </w:drawing>
      </w:r>
    </w:p>
    <w:p w14:paraId="029C747A">
      <w:pPr>
        <w:adjustRightInd w:val="0"/>
        <w:snapToGrid w:val="0"/>
        <w:jc w:val="center"/>
        <w:rPr>
          <w:rFonts w:hint="default" w:ascii="Times New Roman" w:hAnsi="Times New Roman" w:eastAsia="黑体" w:cs="Times New Roman"/>
          <w:color w:val="0000FF"/>
          <w:lang w:val="en-US" w:eastAsia="zh-CN"/>
        </w:rPr>
      </w:pPr>
      <w:r>
        <w:rPr>
          <w:rFonts w:hint="default" w:ascii="Times New Roman" w:hAnsi="Times New Roman" w:eastAsia="黑体" w:cs="Times New Roman"/>
          <w:color w:val="0000FF"/>
          <w:lang w:val="en-US" w:eastAsia="zh-CN"/>
        </w:rPr>
        <w:t>图</w:t>
      </w:r>
      <w:r>
        <w:rPr>
          <w:rFonts w:hint="eastAsia" w:ascii="Times New Roman" w:hAnsi="Times New Roman" w:eastAsia="黑体" w:cs="Times New Roman"/>
          <w:color w:val="0000FF"/>
          <w:lang w:val="en-US" w:eastAsia="zh-CN"/>
        </w:rPr>
        <w:t>5.1-14</w:t>
      </w:r>
      <w:r>
        <w:rPr>
          <w:rFonts w:hint="default" w:ascii="Times New Roman" w:hAnsi="Times New Roman" w:eastAsia="黑体" w:cs="Times New Roman"/>
          <w:color w:val="0000FF"/>
          <w:lang w:val="en-US" w:eastAsia="zh-CN"/>
        </w:rPr>
        <w:t xml:space="preserve"> </w:t>
      </w:r>
      <w:r>
        <w:rPr>
          <w:rFonts w:hint="eastAsia" w:ascii="Times New Roman" w:hAnsi="Times New Roman" w:eastAsia="黑体" w:cs="Times New Roman"/>
          <w:color w:val="0000FF"/>
          <w:lang w:val="en-US" w:eastAsia="zh-CN"/>
        </w:rPr>
        <w:t>NOx年</w:t>
      </w:r>
      <w:r>
        <w:rPr>
          <w:rFonts w:hint="default" w:ascii="Times New Roman" w:hAnsi="Times New Roman" w:eastAsia="黑体" w:cs="Times New Roman"/>
          <w:color w:val="0000FF"/>
          <w:lang w:val="en-US" w:eastAsia="zh-CN"/>
        </w:rPr>
        <w:t>均浓度贡献值分布图（mg/m</w:t>
      </w:r>
      <w:r>
        <w:rPr>
          <w:rFonts w:hint="default" w:ascii="Times New Roman" w:hAnsi="Times New Roman" w:eastAsia="黑体" w:cs="Times New Roman"/>
          <w:color w:val="0000FF"/>
          <w:vertAlign w:val="superscript"/>
          <w:lang w:val="en-US" w:eastAsia="zh-CN"/>
        </w:rPr>
        <w:t>3</w:t>
      </w:r>
      <w:r>
        <w:rPr>
          <w:rFonts w:hint="default" w:ascii="Times New Roman" w:hAnsi="Times New Roman" w:eastAsia="黑体" w:cs="Times New Roman"/>
          <w:color w:val="0000FF"/>
          <w:lang w:val="en-US" w:eastAsia="zh-CN"/>
        </w:rPr>
        <w:t>）</w:t>
      </w:r>
    </w:p>
    <w:p w14:paraId="0D88B33E">
      <w:pPr>
        <w:pStyle w:val="3"/>
        <w:numPr>
          <w:ilvl w:val="0"/>
          <w:numId w:val="0"/>
        </w:numPr>
        <w:ind w:right="0" w:rightChars="0"/>
        <w:rPr>
          <w:rFonts w:hint="default"/>
          <w:lang w:val="en-US" w:eastAsia="zh-CN"/>
        </w:rPr>
      </w:pPr>
    </w:p>
    <w:p w14:paraId="7B516B5D">
      <w:pPr>
        <w:rPr>
          <w:rFonts w:hint="default"/>
          <w:lang w:val="en-US" w:eastAsia="zh-CN"/>
        </w:rPr>
      </w:pPr>
      <w:r>
        <w:drawing>
          <wp:inline distT="0" distB="0" distL="114300" distR="114300">
            <wp:extent cx="5297805" cy="2592070"/>
            <wp:effectExtent l="0" t="0" r="17145" b="17780"/>
            <wp:docPr id="118"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 name="图片 9"/>
                    <pic:cNvPicPr>
                      <a:picLocks noChangeAspect="1"/>
                    </pic:cNvPicPr>
                  </pic:nvPicPr>
                  <pic:blipFill>
                    <a:blip r:embed="rId82"/>
                    <a:stretch>
                      <a:fillRect/>
                    </a:stretch>
                  </pic:blipFill>
                  <pic:spPr>
                    <a:xfrm>
                      <a:off x="0" y="0"/>
                      <a:ext cx="5297805" cy="2592070"/>
                    </a:xfrm>
                    <a:prstGeom prst="rect">
                      <a:avLst/>
                    </a:prstGeom>
                    <a:noFill/>
                    <a:ln>
                      <a:noFill/>
                    </a:ln>
                  </pic:spPr>
                </pic:pic>
              </a:graphicData>
            </a:graphic>
          </wp:inline>
        </w:drawing>
      </w:r>
    </w:p>
    <w:p w14:paraId="5A9A78BF">
      <w:pPr>
        <w:adjustRightInd w:val="0"/>
        <w:snapToGrid w:val="0"/>
        <w:jc w:val="center"/>
        <w:rPr>
          <w:rFonts w:hint="default" w:ascii="Times New Roman" w:hAnsi="Times New Roman" w:eastAsia="黑体" w:cs="Times New Roman"/>
          <w:color w:val="0000FF"/>
          <w:lang w:val="en-US" w:eastAsia="zh-CN"/>
        </w:rPr>
      </w:pPr>
      <w:r>
        <w:rPr>
          <w:rFonts w:hint="default" w:ascii="Times New Roman" w:hAnsi="Times New Roman" w:eastAsia="黑体" w:cs="Times New Roman"/>
          <w:color w:val="0000FF"/>
          <w:lang w:val="en-US" w:eastAsia="zh-CN"/>
        </w:rPr>
        <w:t>图</w:t>
      </w:r>
      <w:r>
        <w:rPr>
          <w:rFonts w:hint="eastAsia" w:ascii="Times New Roman" w:hAnsi="Times New Roman" w:eastAsia="黑体" w:cs="Times New Roman"/>
          <w:color w:val="0000FF"/>
          <w:lang w:val="en-US" w:eastAsia="zh-CN"/>
        </w:rPr>
        <w:t>5.1-15</w:t>
      </w:r>
      <w:r>
        <w:rPr>
          <w:rFonts w:hint="default" w:ascii="Times New Roman" w:hAnsi="Times New Roman" w:eastAsia="黑体" w:cs="Times New Roman"/>
          <w:color w:val="0000FF"/>
          <w:lang w:val="en-US" w:eastAsia="zh-CN"/>
        </w:rPr>
        <w:t xml:space="preserve">  </w:t>
      </w:r>
      <w:r>
        <w:rPr>
          <w:rFonts w:hint="eastAsia" w:ascii="Times New Roman" w:hAnsi="Times New Roman" w:eastAsia="黑体" w:cs="Times New Roman"/>
          <w:color w:val="0000FF"/>
          <w:lang w:val="en-US" w:eastAsia="zh-CN"/>
        </w:rPr>
        <w:t>TSP日</w:t>
      </w:r>
      <w:r>
        <w:rPr>
          <w:rFonts w:hint="default" w:ascii="Times New Roman" w:hAnsi="Times New Roman" w:eastAsia="黑体" w:cs="Times New Roman"/>
          <w:color w:val="0000FF"/>
          <w:lang w:val="en-US" w:eastAsia="zh-CN"/>
        </w:rPr>
        <w:t>均浓度贡献值分布图（mg/m</w:t>
      </w:r>
      <w:r>
        <w:rPr>
          <w:rFonts w:hint="default" w:ascii="Times New Roman" w:hAnsi="Times New Roman" w:eastAsia="黑体" w:cs="Times New Roman"/>
          <w:color w:val="0000FF"/>
          <w:vertAlign w:val="superscript"/>
          <w:lang w:val="en-US" w:eastAsia="zh-CN"/>
        </w:rPr>
        <w:t>3</w:t>
      </w:r>
      <w:r>
        <w:rPr>
          <w:rFonts w:hint="default" w:ascii="Times New Roman" w:hAnsi="Times New Roman" w:eastAsia="黑体" w:cs="Times New Roman"/>
          <w:color w:val="0000FF"/>
          <w:lang w:val="en-US" w:eastAsia="zh-CN"/>
        </w:rPr>
        <w:t>）</w:t>
      </w:r>
    </w:p>
    <w:p w14:paraId="11FFEFF1">
      <w:pPr>
        <w:pStyle w:val="2"/>
        <w:keepNext w:val="0"/>
        <w:keepLines w:val="0"/>
        <w:pageBreakBefore w:val="0"/>
        <w:widowControl/>
        <w:kinsoku/>
        <w:wordWrap/>
        <w:overflowPunct/>
        <w:topLinePunct w:val="0"/>
        <w:autoSpaceDE/>
        <w:autoSpaceDN/>
        <w:bidi w:val="0"/>
        <w:adjustRightInd/>
        <w:snapToGrid/>
        <w:ind w:left="0" w:leftChars="0" w:right="0" w:firstLine="0" w:firstLineChars="0"/>
        <w:textAlignment w:val="auto"/>
        <w:rPr>
          <w:rFonts w:hint="default" w:ascii="Times New Roman" w:hAnsi="Times New Roman" w:eastAsia="黑体" w:cs="Times New Roman"/>
          <w:color w:val="0000FF"/>
          <w:lang w:val="en-US" w:eastAsia="zh-CN"/>
        </w:rPr>
      </w:pPr>
      <w:r>
        <w:drawing>
          <wp:inline distT="0" distB="0" distL="114300" distR="114300">
            <wp:extent cx="5278755" cy="2555875"/>
            <wp:effectExtent l="0" t="0" r="17145" b="15875"/>
            <wp:docPr id="12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 name="图片 10"/>
                    <pic:cNvPicPr>
                      <a:picLocks noChangeAspect="1"/>
                    </pic:cNvPicPr>
                  </pic:nvPicPr>
                  <pic:blipFill>
                    <a:blip r:embed="rId83"/>
                    <a:stretch>
                      <a:fillRect/>
                    </a:stretch>
                  </pic:blipFill>
                  <pic:spPr>
                    <a:xfrm>
                      <a:off x="0" y="0"/>
                      <a:ext cx="5278755" cy="2555875"/>
                    </a:xfrm>
                    <a:prstGeom prst="rect">
                      <a:avLst/>
                    </a:prstGeom>
                    <a:noFill/>
                    <a:ln>
                      <a:noFill/>
                    </a:ln>
                  </pic:spPr>
                </pic:pic>
              </a:graphicData>
            </a:graphic>
          </wp:inline>
        </w:drawing>
      </w:r>
    </w:p>
    <w:p w14:paraId="32EF9553">
      <w:pPr>
        <w:adjustRightInd w:val="0"/>
        <w:snapToGrid w:val="0"/>
        <w:jc w:val="center"/>
        <w:rPr>
          <w:rFonts w:hint="default" w:ascii="Times New Roman" w:hAnsi="Times New Roman" w:eastAsia="黑体" w:cs="Times New Roman"/>
          <w:color w:val="0000FF"/>
          <w:lang w:val="en-US" w:eastAsia="zh-CN"/>
        </w:rPr>
      </w:pPr>
      <w:r>
        <w:rPr>
          <w:rFonts w:hint="default" w:ascii="Times New Roman" w:hAnsi="Times New Roman" w:eastAsia="黑体" w:cs="Times New Roman"/>
          <w:color w:val="0000FF"/>
          <w:lang w:val="en-US" w:eastAsia="zh-CN"/>
        </w:rPr>
        <w:t>图</w:t>
      </w:r>
      <w:r>
        <w:rPr>
          <w:rFonts w:hint="eastAsia" w:ascii="Times New Roman" w:hAnsi="Times New Roman" w:eastAsia="黑体" w:cs="Times New Roman"/>
          <w:color w:val="0000FF"/>
          <w:lang w:val="en-US" w:eastAsia="zh-CN"/>
        </w:rPr>
        <w:t>5.1-16</w:t>
      </w:r>
      <w:r>
        <w:rPr>
          <w:rFonts w:hint="default" w:ascii="Times New Roman" w:hAnsi="Times New Roman" w:eastAsia="黑体" w:cs="Times New Roman"/>
          <w:color w:val="0000FF"/>
          <w:lang w:val="en-US" w:eastAsia="zh-CN"/>
        </w:rPr>
        <w:t xml:space="preserve"> </w:t>
      </w:r>
      <w:r>
        <w:rPr>
          <w:rFonts w:hint="eastAsia" w:ascii="Times New Roman" w:hAnsi="Times New Roman" w:eastAsia="黑体" w:cs="Times New Roman"/>
          <w:color w:val="0000FF"/>
          <w:lang w:val="en-US" w:eastAsia="zh-CN"/>
        </w:rPr>
        <w:t>TSP年</w:t>
      </w:r>
      <w:r>
        <w:rPr>
          <w:rFonts w:hint="default" w:ascii="Times New Roman" w:hAnsi="Times New Roman" w:eastAsia="黑体" w:cs="Times New Roman"/>
          <w:color w:val="0000FF"/>
          <w:lang w:val="en-US" w:eastAsia="zh-CN"/>
        </w:rPr>
        <w:t>均浓度贡献值分布图（mg/m</w:t>
      </w:r>
      <w:r>
        <w:rPr>
          <w:rFonts w:hint="default" w:ascii="Times New Roman" w:hAnsi="Times New Roman" w:eastAsia="黑体" w:cs="Times New Roman"/>
          <w:color w:val="0000FF"/>
          <w:vertAlign w:val="superscript"/>
          <w:lang w:val="en-US" w:eastAsia="zh-CN"/>
        </w:rPr>
        <w:t>3</w:t>
      </w:r>
      <w:r>
        <w:rPr>
          <w:rFonts w:hint="default" w:ascii="Times New Roman" w:hAnsi="Times New Roman" w:eastAsia="黑体" w:cs="Times New Roman"/>
          <w:color w:val="0000FF"/>
          <w:lang w:val="en-US" w:eastAsia="zh-CN"/>
        </w:rPr>
        <w:t>）</w:t>
      </w:r>
    </w:p>
    <w:p w14:paraId="407F89DE">
      <w:pPr>
        <w:pStyle w:val="3"/>
        <w:keepNext w:val="0"/>
        <w:keepLines w:val="0"/>
        <w:pageBreakBefore w:val="0"/>
        <w:widowControl/>
        <w:numPr>
          <w:ilvl w:val="0"/>
          <w:numId w:val="0"/>
        </w:numPr>
        <w:kinsoku/>
        <w:wordWrap/>
        <w:overflowPunct/>
        <w:topLinePunct w:val="0"/>
        <w:autoSpaceDE/>
        <w:autoSpaceDN/>
        <w:bidi w:val="0"/>
        <w:adjustRightInd/>
        <w:snapToGrid/>
        <w:spacing w:after="0"/>
        <w:ind w:right="0" w:rightChars="0"/>
        <w:textAlignment w:val="auto"/>
        <w:rPr>
          <w:rFonts w:hint="default"/>
        </w:rPr>
      </w:pPr>
      <w:r>
        <w:drawing>
          <wp:inline distT="0" distB="0" distL="114300" distR="114300">
            <wp:extent cx="5224145" cy="2555875"/>
            <wp:effectExtent l="0" t="0" r="14605" b="15875"/>
            <wp:docPr id="138"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 name="图片 11"/>
                    <pic:cNvPicPr>
                      <a:picLocks noChangeAspect="1"/>
                    </pic:cNvPicPr>
                  </pic:nvPicPr>
                  <pic:blipFill>
                    <a:blip r:embed="rId84"/>
                    <a:stretch>
                      <a:fillRect/>
                    </a:stretch>
                  </pic:blipFill>
                  <pic:spPr>
                    <a:xfrm>
                      <a:off x="0" y="0"/>
                      <a:ext cx="5224145" cy="2555875"/>
                    </a:xfrm>
                    <a:prstGeom prst="rect">
                      <a:avLst/>
                    </a:prstGeom>
                    <a:noFill/>
                    <a:ln>
                      <a:noFill/>
                    </a:ln>
                  </pic:spPr>
                </pic:pic>
              </a:graphicData>
            </a:graphic>
          </wp:inline>
        </w:drawing>
      </w:r>
    </w:p>
    <w:p w14:paraId="03B14D9F">
      <w:pPr>
        <w:adjustRightInd w:val="0"/>
        <w:snapToGrid w:val="0"/>
        <w:jc w:val="center"/>
        <w:rPr>
          <w:rFonts w:hint="default" w:ascii="Times New Roman" w:hAnsi="Times New Roman" w:eastAsia="黑体" w:cs="Times New Roman"/>
          <w:color w:val="0000FF"/>
          <w:lang w:val="en-US" w:eastAsia="zh-CN"/>
        </w:rPr>
      </w:pPr>
      <w:r>
        <w:rPr>
          <w:rFonts w:hint="default" w:ascii="Times New Roman" w:hAnsi="Times New Roman" w:eastAsia="黑体" w:cs="Times New Roman"/>
          <w:color w:val="0000FF"/>
          <w:lang w:val="en-US" w:eastAsia="zh-CN"/>
        </w:rPr>
        <w:t>图</w:t>
      </w:r>
      <w:r>
        <w:rPr>
          <w:rFonts w:hint="eastAsia" w:ascii="Times New Roman" w:hAnsi="Times New Roman" w:eastAsia="黑体" w:cs="Times New Roman"/>
          <w:color w:val="0000FF"/>
          <w:lang w:val="en-US" w:eastAsia="zh-CN"/>
        </w:rPr>
        <w:t>5.1-17</w:t>
      </w:r>
      <w:r>
        <w:rPr>
          <w:rFonts w:hint="default" w:ascii="Times New Roman" w:hAnsi="Times New Roman" w:eastAsia="黑体" w:cs="Times New Roman"/>
          <w:color w:val="0000FF"/>
          <w:lang w:val="en-US" w:eastAsia="zh-CN"/>
        </w:rPr>
        <w:t xml:space="preserve"> </w:t>
      </w:r>
      <w:r>
        <w:rPr>
          <w:rFonts w:hint="eastAsia" w:ascii="Times New Roman" w:hAnsi="Times New Roman" w:eastAsia="黑体" w:cs="Times New Roman"/>
          <w:color w:val="0000FF"/>
          <w:lang w:val="en-US" w:eastAsia="zh-CN"/>
        </w:rPr>
        <w:t>NH</w:t>
      </w:r>
      <w:r>
        <w:rPr>
          <w:rFonts w:hint="eastAsia" w:ascii="Times New Roman" w:hAnsi="Times New Roman" w:eastAsia="黑体" w:cs="Times New Roman"/>
          <w:color w:val="0000FF"/>
          <w:vertAlign w:val="subscript"/>
          <w:lang w:val="en-US" w:eastAsia="zh-CN"/>
        </w:rPr>
        <w:t>3</w:t>
      </w:r>
      <w:r>
        <w:rPr>
          <w:rFonts w:hint="eastAsia" w:ascii="Times New Roman" w:hAnsi="Times New Roman" w:eastAsia="黑体" w:cs="Times New Roman"/>
          <w:color w:val="0000FF"/>
          <w:lang w:val="en-US" w:eastAsia="zh-CN"/>
        </w:rPr>
        <w:t>小时平</w:t>
      </w:r>
      <w:r>
        <w:rPr>
          <w:rFonts w:hint="default" w:ascii="Times New Roman" w:hAnsi="Times New Roman" w:eastAsia="黑体" w:cs="Times New Roman"/>
          <w:color w:val="0000FF"/>
          <w:lang w:val="en-US" w:eastAsia="zh-CN"/>
        </w:rPr>
        <w:t>均浓度贡献值分布图（mg/m</w:t>
      </w:r>
      <w:r>
        <w:rPr>
          <w:rFonts w:hint="default" w:ascii="Times New Roman" w:hAnsi="Times New Roman" w:eastAsia="黑体" w:cs="Times New Roman"/>
          <w:color w:val="0000FF"/>
          <w:vertAlign w:val="superscript"/>
          <w:lang w:val="en-US" w:eastAsia="zh-CN"/>
        </w:rPr>
        <w:t>3</w:t>
      </w:r>
      <w:r>
        <w:rPr>
          <w:rFonts w:hint="default" w:ascii="Times New Roman" w:hAnsi="Times New Roman" w:eastAsia="黑体" w:cs="Times New Roman"/>
          <w:color w:val="0000FF"/>
          <w:lang w:val="en-US" w:eastAsia="zh-CN"/>
        </w:rPr>
        <w:t>）</w:t>
      </w:r>
    </w:p>
    <w:p w14:paraId="0FD129EB">
      <w:pPr>
        <w:keepNext w:val="0"/>
        <w:keepLines w:val="0"/>
        <w:pageBreakBefore w:val="0"/>
        <w:widowControl/>
        <w:kinsoku/>
        <w:wordWrap/>
        <w:overflowPunct/>
        <w:topLinePunct w:val="0"/>
        <w:autoSpaceDE/>
        <w:autoSpaceDN/>
        <w:bidi w:val="0"/>
        <w:adjustRightInd/>
        <w:snapToGrid/>
        <w:textAlignment w:val="auto"/>
        <w:rPr>
          <w:rFonts w:hint="default"/>
        </w:rPr>
      </w:pPr>
      <w:r>
        <w:drawing>
          <wp:inline distT="0" distB="0" distL="114300" distR="114300">
            <wp:extent cx="5310505" cy="2484120"/>
            <wp:effectExtent l="0" t="0" r="4445" b="11430"/>
            <wp:docPr id="16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 name="图片 12"/>
                    <pic:cNvPicPr>
                      <a:picLocks noChangeAspect="1"/>
                    </pic:cNvPicPr>
                  </pic:nvPicPr>
                  <pic:blipFill>
                    <a:blip r:embed="rId85"/>
                    <a:stretch>
                      <a:fillRect/>
                    </a:stretch>
                  </pic:blipFill>
                  <pic:spPr>
                    <a:xfrm>
                      <a:off x="0" y="0"/>
                      <a:ext cx="5310505" cy="2484120"/>
                    </a:xfrm>
                    <a:prstGeom prst="rect">
                      <a:avLst/>
                    </a:prstGeom>
                    <a:noFill/>
                    <a:ln>
                      <a:noFill/>
                    </a:ln>
                  </pic:spPr>
                </pic:pic>
              </a:graphicData>
            </a:graphic>
          </wp:inline>
        </w:drawing>
      </w:r>
    </w:p>
    <w:p w14:paraId="2D6D76C4">
      <w:pPr>
        <w:adjustRightInd w:val="0"/>
        <w:snapToGrid w:val="0"/>
        <w:jc w:val="center"/>
        <w:rPr>
          <w:rFonts w:hint="default" w:ascii="Times New Roman" w:hAnsi="Times New Roman" w:eastAsia="黑体" w:cs="Times New Roman"/>
          <w:color w:val="0000FF"/>
          <w:lang w:val="en-US" w:eastAsia="zh-CN"/>
        </w:rPr>
      </w:pPr>
      <w:r>
        <w:rPr>
          <w:rFonts w:hint="default" w:ascii="Times New Roman" w:hAnsi="Times New Roman" w:eastAsia="黑体" w:cs="Times New Roman"/>
          <w:color w:val="0000FF"/>
          <w:lang w:val="en-US" w:eastAsia="zh-CN"/>
        </w:rPr>
        <w:t>图</w:t>
      </w:r>
      <w:r>
        <w:rPr>
          <w:rFonts w:hint="eastAsia" w:ascii="Times New Roman" w:hAnsi="Times New Roman" w:eastAsia="黑体" w:cs="Times New Roman"/>
          <w:color w:val="0000FF"/>
          <w:lang w:val="en-US" w:eastAsia="zh-CN"/>
        </w:rPr>
        <w:t>5.1-18</w:t>
      </w:r>
      <w:r>
        <w:rPr>
          <w:rFonts w:hint="default" w:ascii="Times New Roman" w:hAnsi="Times New Roman" w:eastAsia="黑体" w:cs="Times New Roman"/>
          <w:color w:val="0000FF"/>
          <w:lang w:val="en-US" w:eastAsia="zh-CN"/>
        </w:rPr>
        <w:t xml:space="preserve"> </w:t>
      </w:r>
      <w:r>
        <w:rPr>
          <w:rFonts w:hint="eastAsia" w:ascii="Times New Roman" w:hAnsi="Times New Roman" w:eastAsia="黑体" w:cs="Times New Roman"/>
          <w:color w:val="0000FF"/>
          <w:lang w:val="en-US" w:eastAsia="zh-CN"/>
        </w:rPr>
        <w:t>二噁英小时</w:t>
      </w:r>
      <w:r>
        <w:rPr>
          <w:rFonts w:hint="default" w:ascii="Times New Roman" w:hAnsi="Times New Roman" w:eastAsia="黑体" w:cs="Times New Roman"/>
          <w:color w:val="0000FF"/>
          <w:lang w:val="en-US" w:eastAsia="zh-CN"/>
        </w:rPr>
        <w:t>平均浓度贡献值分布图（</w:t>
      </w:r>
      <w:r>
        <w:rPr>
          <w:rFonts w:hint="eastAsia" w:ascii="Times New Roman" w:hAnsi="Times New Roman" w:eastAsia="黑体" w:cs="Times New Roman"/>
          <w:color w:val="0000FF"/>
          <w:lang w:val="en-US" w:eastAsia="zh-CN"/>
        </w:rPr>
        <w:t>10</w:t>
      </w:r>
      <w:r>
        <w:rPr>
          <w:rFonts w:hint="eastAsia" w:ascii="Times New Roman" w:hAnsi="Times New Roman" w:eastAsia="黑体" w:cs="Times New Roman"/>
          <w:color w:val="0000FF"/>
          <w:vertAlign w:val="superscript"/>
          <w:lang w:val="en-US" w:eastAsia="zh-CN"/>
        </w:rPr>
        <w:t>-6</w:t>
      </w:r>
      <w:r>
        <w:rPr>
          <w:rFonts w:hint="default" w:ascii="Times New Roman" w:hAnsi="Times New Roman" w:eastAsia="黑体" w:cs="Times New Roman"/>
          <w:color w:val="0000FF"/>
          <w:lang w:val="en-US" w:eastAsia="zh-CN"/>
        </w:rPr>
        <w:t>mg/m</w:t>
      </w:r>
      <w:r>
        <w:rPr>
          <w:rFonts w:hint="default" w:ascii="Times New Roman" w:hAnsi="Times New Roman" w:eastAsia="黑体" w:cs="Times New Roman"/>
          <w:color w:val="0000FF"/>
          <w:vertAlign w:val="superscript"/>
          <w:lang w:val="en-US" w:eastAsia="zh-CN"/>
        </w:rPr>
        <w:t>3</w:t>
      </w:r>
      <w:r>
        <w:rPr>
          <w:rFonts w:hint="default" w:ascii="Times New Roman" w:hAnsi="Times New Roman" w:eastAsia="黑体" w:cs="Times New Roman"/>
          <w:color w:val="0000FF"/>
          <w:lang w:val="en-US" w:eastAsia="zh-CN"/>
        </w:rPr>
        <w:t>）</w:t>
      </w:r>
    </w:p>
    <w:p w14:paraId="210C8C7D">
      <w:pPr>
        <w:tabs>
          <w:tab w:val="left" w:pos="851"/>
          <w:tab w:val="left" w:pos="1141"/>
          <w:tab w:val="left" w:pos="4335"/>
        </w:tabs>
        <w:jc w:val="center"/>
        <w:rPr>
          <w:rFonts w:hint="default" w:ascii="Times New Roman" w:hAnsi="Times New Roman" w:eastAsia="黑体" w:cs="Times New Roman"/>
          <w:bCs/>
          <w:color w:val="0000FF"/>
        </w:rPr>
      </w:pPr>
      <w:r>
        <w:rPr>
          <w:rFonts w:hint="default" w:ascii="Times New Roman" w:hAnsi="Times New Roman" w:eastAsia="黑体" w:cs="Times New Roman"/>
          <w:bCs/>
          <w:color w:val="0000FF"/>
        </w:rPr>
        <w:t>表</w:t>
      </w:r>
      <w:r>
        <w:rPr>
          <w:rFonts w:hint="eastAsia" w:ascii="Times New Roman" w:hAnsi="Times New Roman" w:eastAsia="黑体" w:cs="Times New Roman"/>
          <w:bCs/>
          <w:color w:val="0000FF"/>
          <w:lang w:val="en-US" w:eastAsia="zh-CN"/>
        </w:rPr>
        <w:t>5.1-21</w:t>
      </w:r>
      <w:r>
        <w:rPr>
          <w:rFonts w:hint="default" w:ascii="Times New Roman" w:hAnsi="Times New Roman" w:eastAsia="黑体" w:cs="Times New Roman"/>
          <w:bCs/>
          <w:color w:val="0000FF"/>
        </w:rPr>
        <w:t xml:space="preserve"> 本项目浓度增量贡献最大值评价结果表</w:t>
      </w:r>
    </w:p>
    <w:tbl>
      <w:tblPr>
        <w:tblStyle w:val="56"/>
        <w:tblW w:w="4999" w:type="pct"/>
        <w:jc w:val="center"/>
        <w:tblBorders>
          <w:top w:val="thinThickSmallGap" w:color="000000" w:sz="12" w:space="0"/>
          <w:left w:val="none" w:color="auto" w:sz="0" w:space="0"/>
          <w:bottom w:val="thinThickSmallGap" w:color="000000" w:sz="12" w:space="0"/>
          <w:right w:val="none" w:color="auto" w:sz="0" w:space="0"/>
          <w:insideH w:val="single" w:color="000000" w:sz="4" w:space="0"/>
          <w:insideV w:val="single" w:color="000000" w:sz="4" w:space="0"/>
        </w:tblBorders>
        <w:tblLayout w:type="autofit"/>
        <w:tblCellMar>
          <w:top w:w="0" w:type="dxa"/>
          <w:left w:w="108" w:type="dxa"/>
          <w:bottom w:w="0" w:type="dxa"/>
          <w:right w:w="108" w:type="dxa"/>
        </w:tblCellMar>
      </w:tblPr>
      <w:tblGrid>
        <w:gridCol w:w="1520"/>
        <w:gridCol w:w="2390"/>
        <w:gridCol w:w="2134"/>
        <w:gridCol w:w="2477"/>
      </w:tblGrid>
      <w:tr w14:paraId="016225A8">
        <w:tblPrEx>
          <w:tblBorders>
            <w:top w:val="thinThickSmallGap" w:color="000000" w:sz="12" w:space="0"/>
            <w:left w:val="none" w:color="auto" w:sz="0" w:space="0"/>
            <w:bottom w:val="thinThickSmallGap"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283" w:hRule="atLeast"/>
          <w:jc w:val="center"/>
        </w:trPr>
        <w:tc>
          <w:tcPr>
            <w:tcW w:w="892" w:type="pct"/>
            <w:vMerge w:val="restart"/>
            <w:tcBorders>
              <w:tl2br w:val="nil"/>
              <w:tr2bl w:val="nil"/>
            </w:tcBorders>
            <w:shd w:val="clear" w:color="auto" w:fill="auto"/>
            <w:vAlign w:val="center"/>
          </w:tcPr>
          <w:p w14:paraId="63D1D076">
            <w:pPr>
              <w:widowControl/>
              <w:adjustRightInd w:val="0"/>
              <w:snapToGrid w:val="0"/>
              <w:spacing w:line="240" w:lineRule="auto"/>
              <w:ind w:firstLine="0" w:firstLineChars="0"/>
              <w:jc w:val="center"/>
              <w:rPr>
                <w:rFonts w:hint="default" w:ascii="Times New Roman" w:hAnsi="Times New Roman" w:eastAsia="宋体" w:cs="Times New Roman"/>
                <w:color w:val="0000FF"/>
                <w:kern w:val="0"/>
                <w:sz w:val="21"/>
                <w:szCs w:val="21"/>
                <w:highlight w:val="none"/>
              </w:rPr>
            </w:pPr>
            <w:r>
              <w:rPr>
                <w:rFonts w:hint="default" w:ascii="Times New Roman" w:hAnsi="Times New Roman" w:eastAsia="宋体" w:cs="Times New Roman"/>
                <w:color w:val="0000FF"/>
                <w:kern w:val="0"/>
                <w:sz w:val="21"/>
                <w:szCs w:val="21"/>
                <w:highlight w:val="none"/>
              </w:rPr>
              <w:t>污染物</w:t>
            </w:r>
          </w:p>
        </w:tc>
        <w:tc>
          <w:tcPr>
            <w:tcW w:w="4107" w:type="pct"/>
            <w:gridSpan w:val="3"/>
            <w:tcBorders>
              <w:tl2br w:val="nil"/>
              <w:tr2bl w:val="nil"/>
            </w:tcBorders>
            <w:shd w:val="clear" w:color="auto" w:fill="auto"/>
            <w:vAlign w:val="center"/>
          </w:tcPr>
          <w:p w14:paraId="193C3296">
            <w:pPr>
              <w:widowControl/>
              <w:adjustRightInd w:val="0"/>
              <w:snapToGrid w:val="0"/>
              <w:spacing w:line="240" w:lineRule="auto"/>
              <w:ind w:firstLine="0" w:firstLineChars="0"/>
              <w:jc w:val="center"/>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二类区</w:t>
            </w:r>
          </w:p>
        </w:tc>
      </w:tr>
      <w:tr w14:paraId="474FF0DC">
        <w:tblPrEx>
          <w:tblBorders>
            <w:top w:val="thinThickSmallGap" w:color="000000" w:sz="12" w:space="0"/>
            <w:left w:val="none" w:color="auto" w:sz="0" w:space="0"/>
            <w:bottom w:val="thinThickSmallGap"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283" w:hRule="atLeast"/>
          <w:jc w:val="center"/>
        </w:trPr>
        <w:tc>
          <w:tcPr>
            <w:tcW w:w="892" w:type="pct"/>
            <w:vMerge w:val="continue"/>
            <w:tcBorders>
              <w:tl2br w:val="nil"/>
              <w:tr2bl w:val="nil"/>
            </w:tcBorders>
            <w:shd w:val="clear" w:color="auto" w:fill="auto"/>
            <w:vAlign w:val="center"/>
          </w:tcPr>
          <w:p w14:paraId="7DD81761">
            <w:pPr>
              <w:widowControl/>
              <w:adjustRightInd w:val="0"/>
              <w:snapToGrid w:val="0"/>
              <w:spacing w:line="240" w:lineRule="auto"/>
              <w:ind w:firstLine="0" w:firstLineChars="0"/>
              <w:jc w:val="center"/>
              <w:rPr>
                <w:rFonts w:hint="default" w:ascii="Times New Roman" w:hAnsi="Times New Roman" w:eastAsia="宋体" w:cs="Times New Roman"/>
                <w:color w:val="0000FF"/>
                <w:kern w:val="0"/>
                <w:sz w:val="21"/>
                <w:szCs w:val="21"/>
                <w:highlight w:val="none"/>
              </w:rPr>
            </w:pPr>
          </w:p>
        </w:tc>
        <w:tc>
          <w:tcPr>
            <w:tcW w:w="2654" w:type="pct"/>
            <w:gridSpan w:val="2"/>
            <w:tcBorders>
              <w:tl2br w:val="nil"/>
              <w:tr2bl w:val="nil"/>
            </w:tcBorders>
            <w:shd w:val="clear" w:color="auto" w:fill="auto"/>
            <w:vAlign w:val="center"/>
          </w:tcPr>
          <w:p w14:paraId="2AF2119F">
            <w:pPr>
              <w:widowControl/>
              <w:adjustRightInd w:val="0"/>
              <w:snapToGrid w:val="0"/>
              <w:spacing w:line="240" w:lineRule="auto"/>
              <w:ind w:firstLine="0" w:firstLineChars="0"/>
              <w:jc w:val="center"/>
              <w:rPr>
                <w:rFonts w:hint="default" w:ascii="Times New Roman" w:hAnsi="Times New Roman" w:eastAsia="宋体" w:cs="Times New Roman"/>
                <w:color w:val="0000FF"/>
                <w:kern w:val="0"/>
                <w:sz w:val="21"/>
                <w:szCs w:val="21"/>
                <w:highlight w:val="none"/>
              </w:rPr>
            </w:pPr>
            <w:r>
              <w:rPr>
                <w:rFonts w:hint="default" w:ascii="Times New Roman" w:hAnsi="Times New Roman" w:eastAsia="宋体" w:cs="Times New Roman"/>
                <w:color w:val="0000FF"/>
                <w:kern w:val="0"/>
                <w:sz w:val="21"/>
                <w:szCs w:val="21"/>
                <w:highlight w:val="none"/>
              </w:rPr>
              <w:t>短期浓度贡献值最大浓度占标率/%</w:t>
            </w:r>
          </w:p>
        </w:tc>
        <w:tc>
          <w:tcPr>
            <w:tcW w:w="1452" w:type="pct"/>
            <w:vMerge w:val="restart"/>
            <w:tcBorders>
              <w:tl2br w:val="nil"/>
              <w:tr2bl w:val="nil"/>
            </w:tcBorders>
            <w:shd w:val="clear" w:color="auto" w:fill="auto"/>
            <w:vAlign w:val="center"/>
          </w:tcPr>
          <w:p w14:paraId="3635D750">
            <w:pPr>
              <w:widowControl/>
              <w:adjustRightInd w:val="0"/>
              <w:snapToGrid w:val="0"/>
              <w:spacing w:line="240" w:lineRule="auto"/>
              <w:ind w:firstLine="0" w:firstLineChars="0"/>
              <w:jc w:val="center"/>
              <w:rPr>
                <w:rFonts w:hint="default" w:ascii="Times New Roman" w:hAnsi="Times New Roman" w:eastAsia="宋体" w:cs="Times New Roman"/>
                <w:color w:val="0000FF"/>
                <w:kern w:val="0"/>
                <w:sz w:val="21"/>
                <w:szCs w:val="21"/>
                <w:highlight w:val="none"/>
              </w:rPr>
            </w:pPr>
            <w:r>
              <w:rPr>
                <w:rFonts w:hint="default" w:ascii="Times New Roman" w:hAnsi="Times New Roman" w:eastAsia="宋体" w:cs="Times New Roman"/>
                <w:color w:val="0000FF"/>
                <w:kern w:val="0"/>
                <w:sz w:val="21"/>
                <w:szCs w:val="21"/>
                <w:highlight w:val="none"/>
              </w:rPr>
              <w:t>年均浓度贡献值最大浓度占标率/%</w:t>
            </w:r>
          </w:p>
        </w:tc>
      </w:tr>
      <w:tr w14:paraId="6A662833">
        <w:tblPrEx>
          <w:tblBorders>
            <w:top w:val="thinThickSmallGap" w:color="000000" w:sz="12" w:space="0"/>
            <w:left w:val="none" w:color="auto" w:sz="0" w:space="0"/>
            <w:bottom w:val="thinThickSmallGap"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283" w:hRule="atLeast"/>
          <w:jc w:val="center"/>
        </w:trPr>
        <w:tc>
          <w:tcPr>
            <w:tcW w:w="892" w:type="pct"/>
            <w:vMerge w:val="continue"/>
            <w:tcBorders>
              <w:tl2br w:val="nil"/>
              <w:tr2bl w:val="nil"/>
            </w:tcBorders>
            <w:vAlign w:val="center"/>
          </w:tcPr>
          <w:p w14:paraId="6C3C5463">
            <w:pPr>
              <w:widowControl/>
              <w:adjustRightInd w:val="0"/>
              <w:snapToGrid w:val="0"/>
              <w:spacing w:line="240" w:lineRule="auto"/>
              <w:ind w:firstLine="0" w:firstLineChars="0"/>
              <w:jc w:val="center"/>
              <w:rPr>
                <w:rFonts w:hint="default" w:ascii="Times New Roman" w:hAnsi="Times New Roman" w:eastAsia="宋体" w:cs="Times New Roman"/>
                <w:color w:val="0000FF"/>
                <w:kern w:val="0"/>
                <w:sz w:val="21"/>
                <w:szCs w:val="21"/>
                <w:highlight w:val="none"/>
              </w:rPr>
            </w:pPr>
          </w:p>
        </w:tc>
        <w:tc>
          <w:tcPr>
            <w:tcW w:w="1402" w:type="pct"/>
            <w:tcBorders>
              <w:tl2br w:val="nil"/>
              <w:tr2bl w:val="nil"/>
            </w:tcBorders>
            <w:shd w:val="clear" w:color="auto" w:fill="auto"/>
            <w:vAlign w:val="center"/>
          </w:tcPr>
          <w:p w14:paraId="2811523D">
            <w:pPr>
              <w:widowControl/>
              <w:adjustRightInd w:val="0"/>
              <w:snapToGrid w:val="0"/>
              <w:spacing w:line="240" w:lineRule="auto"/>
              <w:ind w:firstLine="0" w:firstLineChars="0"/>
              <w:jc w:val="center"/>
              <w:rPr>
                <w:rFonts w:hint="default" w:ascii="Times New Roman" w:hAnsi="Times New Roman" w:eastAsia="宋体" w:cs="Times New Roman"/>
                <w:color w:val="0000FF"/>
                <w:kern w:val="0"/>
                <w:sz w:val="21"/>
                <w:szCs w:val="21"/>
                <w:highlight w:val="none"/>
              </w:rPr>
            </w:pPr>
            <w:r>
              <w:rPr>
                <w:rFonts w:hint="default" w:ascii="Times New Roman" w:hAnsi="Times New Roman" w:eastAsia="宋体" w:cs="Times New Roman"/>
                <w:color w:val="0000FF"/>
                <w:kern w:val="0"/>
                <w:sz w:val="21"/>
                <w:szCs w:val="21"/>
                <w:highlight w:val="none"/>
              </w:rPr>
              <w:t>小时</w:t>
            </w:r>
          </w:p>
        </w:tc>
        <w:tc>
          <w:tcPr>
            <w:tcW w:w="1252" w:type="pct"/>
            <w:tcBorders>
              <w:tl2br w:val="nil"/>
              <w:tr2bl w:val="nil"/>
            </w:tcBorders>
            <w:shd w:val="clear" w:color="auto" w:fill="auto"/>
            <w:vAlign w:val="center"/>
          </w:tcPr>
          <w:p w14:paraId="4A6D2C6D">
            <w:pPr>
              <w:widowControl/>
              <w:adjustRightInd w:val="0"/>
              <w:snapToGrid w:val="0"/>
              <w:spacing w:line="240" w:lineRule="auto"/>
              <w:ind w:firstLine="0" w:firstLineChars="0"/>
              <w:jc w:val="center"/>
              <w:rPr>
                <w:rFonts w:hint="default" w:ascii="Times New Roman" w:hAnsi="Times New Roman" w:eastAsia="宋体" w:cs="Times New Roman"/>
                <w:color w:val="0000FF"/>
                <w:kern w:val="0"/>
                <w:sz w:val="21"/>
                <w:szCs w:val="21"/>
                <w:highlight w:val="none"/>
              </w:rPr>
            </w:pPr>
            <w:r>
              <w:rPr>
                <w:rFonts w:hint="default" w:ascii="Times New Roman" w:hAnsi="Times New Roman" w:eastAsia="宋体" w:cs="Times New Roman"/>
                <w:color w:val="0000FF"/>
                <w:kern w:val="0"/>
                <w:sz w:val="21"/>
                <w:szCs w:val="21"/>
                <w:highlight w:val="none"/>
              </w:rPr>
              <w:t>日均</w:t>
            </w:r>
          </w:p>
        </w:tc>
        <w:tc>
          <w:tcPr>
            <w:tcW w:w="1452" w:type="pct"/>
            <w:vMerge w:val="continue"/>
            <w:tcBorders>
              <w:tl2br w:val="nil"/>
              <w:tr2bl w:val="nil"/>
            </w:tcBorders>
            <w:vAlign w:val="center"/>
          </w:tcPr>
          <w:p w14:paraId="6AE8157D">
            <w:pPr>
              <w:widowControl/>
              <w:adjustRightInd w:val="0"/>
              <w:snapToGrid w:val="0"/>
              <w:spacing w:line="240" w:lineRule="auto"/>
              <w:ind w:firstLine="0" w:firstLineChars="0"/>
              <w:jc w:val="center"/>
              <w:rPr>
                <w:rFonts w:hint="default" w:ascii="Times New Roman" w:hAnsi="Times New Roman" w:eastAsia="宋体" w:cs="Times New Roman"/>
                <w:color w:val="0000FF"/>
                <w:kern w:val="0"/>
                <w:sz w:val="21"/>
                <w:szCs w:val="21"/>
                <w:highlight w:val="none"/>
              </w:rPr>
            </w:pPr>
          </w:p>
        </w:tc>
      </w:tr>
      <w:tr w14:paraId="1E2703FF">
        <w:tblPrEx>
          <w:tblBorders>
            <w:top w:val="thinThickSmallGap" w:color="000000" w:sz="12" w:space="0"/>
            <w:left w:val="none" w:color="auto" w:sz="0" w:space="0"/>
            <w:bottom w:val="thinThickSmallGap"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283" w:hRule="atLeast"/>
          <w:jc w:val="center"/>
        </w:trPr>
        <w:tc>
          <w:tcPr>
            <w:tcW w:w="892" w:type="pct"/>
            <w:tcBorders>
              <w:tl2br w:val="nil"/>
              <w:tr2bl w:val="nil"/>
            </w:tcBorders>
            <w:shd w:val="clear" w:color="auto" w:fill="auto"/>
            <w:vAlign w:val="center"/>
          </w:tcPr>
          <w:p w14:paraId="44E09EED">
            <w:pPr>
              <w:widowControl/>
              <w:adjustRightInd w:val="0"/>
              <w:snapToGrid w:val="0"/>
              <w:spacing w:line="240" w:lineRule="auto"/>
              <w:ind w:firstLine="0" w:firstLineChars="0"/>
              <w:jc w:val="center"/>
              <w:rPr>
                <w:rFonts w:hint="default" w:ascii="Times New Roman" w:hAnsi="Times New Roman" w:eastAsia="宋体" w:cs="Times New Roman"/>
                <w:color w:val="0000FF"/>
                <w:kern w:val="0"/>
                <w:sz w:val="21"/>
                <w:szCs w:val="21"/>
                <w:highlight w:val="none"/>
              </w:rPr>
            </w:pPr>
            <w:r>
              <w:rPr>
                <w:rFonts w:hint="default" w:ascii="Times New Roman" w:hAnsi="Times New Roman" w:eastAsia="宋体" w:cs="Times New Roman"/>
                <w:color w:val="0000FF"/>
                <w:kern w:val="0"/>
                <w:sz w:val="21"/>
                <w:szCs w:val="21"/>
                <w:highlight w:val="none"/>
              </w:rPr>
              <w:t>SO</w:t>
            </w:r>
            <w:r>
              <w:rPr>
                <w:rFonts w:hint="default" w:ascii="Times New Roman" w:hAnsi="Times New Roman" w:eastAsia="宋体" w:cs="Times New Roman"/>
                <w:color w:val="0000FF"/>
                <w:kern w:val="0"/>
                <w:sz w:val="21"/>
                <w:szCs w:val="21"/>
                <w:highlight w:val="none"/>
                <w:vertAlign w:val="subscript"/>
              </w:rPr>
              <w:t>2</w:t>
            </w:r>
          </w:p>
        </w:tc>
        <w:tc>
          <w:tcPr>
            <w:tcW w:w="1402" w:type="pct"/>
            <w:tcBorders>
              <w:tl2br w:val="nil"/>
              <w:tr2bl w:val="nil"/>
            </w:tcBorders>
            <w:shd w:val="clear" w:color="auto" w:fill="auto"/>
            <w:vAlign w:val="center"/>
          </w:tcPr>
          <w:p w14:paraId="76E68004">
            <w:pPr>
              <w:widowControl/>
              <w:adjustRightInd w:val="0"/>
              <w:snapToGrid w:val="0"/>
              <w:spacing w:line="240" w:lineRule="auto"/>
              <w:ind w:firstLine="0" w:firstLineChars="0"/>
              <w:jc w:val="center"/>
              <w:rPr>
                <w:rFonts w:hint="default" w:ascii="Times New Roman" w:hAnsi="Times New Roman" w:eastAsia="宋体" w:cs="Times New Roman"/>
                <w:color w:val="0000FF"/>
                <w:kern w:val="0"/>
                <w:sz w:val="21"/>
                <w:szCs w:val="21"/>
                <w:highlight w:val="none"/>
                <w:lang w:val="en-US" w:eastAsia="zh-CN"/>
              </w:rPr>
            </w:pPr>
            <w:r>
              <w:rPr>
                <w:rFonts w:hint="eastAsia" w:ascii="Times New Roman" w:hAnsi="Times New Roman" w:cs="Times New Roman"/>
                <w:color w:val="0000FF"/>
                <w:kern w:val="0"/>
                <w:sz w:val="21"/>
                <w:szCs w:val="21"/>
                <w:highlight w:val="none"/>
                <w:lang w:val="en-US" w:eastAsia="zh-CN"/>
              </w:rPr>
              <w:t>14.91</w:t>
            </w:r>
          </w:p>
        </w:tc>
        <w:tc>
          <w:tcPr>
            <w:tcW w:w="1252" w:type="pct"/>
            <w:tcBorders>
              <w:tl2br w:val="nil"/>
              <w:tr2bl w:val="nil"/>
            </w:tcBorders>
            <w:shd w:val="clear" w:color="auto" w:fill="auto"/>
            <w:vAlign w:val="center"/>
          </w:tcPr>
          <w:p w14:paraId="4FC41079">
            <w:pPr>
              <w:widowControl/>
              <w:adjustRightInd w:val="0"/>
              <w:snapToGrid w:val="0"/>
              <w:spacing w:line="240" w:lineRule="auto"/>
              <w:ind w:firstLine="0" w:firstLineChars="0"/>
              <w:jc w:val="center"/>
              <w:rPr>
                <w:rFonts w:hint="default" w:ascii="Times New Roman" w:hAnsi="Times New Roman" w:eastAsia="宋体" w:cs="Times New Roman"/>
                <w:color w:val="0000FF"/>
                <w:kern w:val="0"/>
                <w:sz w:val="21"/>
                <w:szCs w:val="21"/>
                <w:highlight w:val="none"/>
                <w:lang w:val="en-US" w:eastAsia="zh-CN"/>
              </w:rPr>
            </w:pPr>
            <w:r>
              <w:rPr>
                <w:rFonts w:hint="eastAsia" w:ascii="Times New Roman" w:hAnsi="Times New Roman" w:cs="Times New Roman"/>
                <w:color w:val="0000FF"/>
                <w:kern w:val="0"/>
                <w:sz w:val="21"/>
                <w:szCs w:val="21"/>
                <w:highlight w:val="none"/>
                <w:lang w:val="en-US" w:eastAsia="zh-CN"/>
              </w:rPr>
              <w:t>4.74</w:t>
            </w:r>
          </w:p>
        </w:tc>
        <w:tc>
          <w:tcPr>
            <w:tcW w:w="1452" w:type="pct"/>
            <w:tcBorders>
              <w:tl2br w:val="nil"/>
              <w:tr2bl w:val="nil"/>
            </w:tcBorders>
            <w:shd w:val="clear" w:color="auto" w:fill="auto"/>
            <w:vAlign w:val="center"/>
          </w:tcPr>
          <w:p w14:paraId="7822233D">
            <w:pPr>
              <w:widowControl/>
              <w:adjustRightInd w:val="0"/>
              <w:snapToGrid w:val="0"/>
              <w:spacing w:line="240" w:lineRule="auto"/>
              <w:ind w:firstLine="0" w:firstLineChars="0"/>
              <w:jc w:val="center"/>
              <w:rPr>
                <w:rFonts w:hint="default" w:ascii="Times New Roman" w:hAnsi="Times New Roman" w:eastAsia="宋体" w:cs="Times New Roman"/>
                <w:color w:val="0000FF"/>
                <w:kern w:val="0"/>
                <w:sz w:val="21"/>
                <w:szCs w:val="21"/>
                <w:highlight w:val="none"/>
                <w:lang w:val="en-US" w:eastAsia="zh-CN"/>
              </w:rPr>
            </w:pPr>
            <w:r>
              <w:rPr>
                <w:rFonts w:hint="eastAsia" w:ascii="Times New Roman" w:hAnsi="Times New Roman" w:cs="Times New Roman"/>
                <w:color w:val="0000FF"/>
                <w:kern w:val="0"/>
                <w:sz w:val="21"/>
                <w:szCs w:val="21"/>
                <w:highlight w:val="none"/>
                <w:lang w:val="en-US" w:eastAsia="zh-CN"/>
              </w:rPr>
              <w:t>0.89</w:t>
            </w:r>
          </w:p>
        </w:tc>
      </w:tr>
      <w:tr w14:paraId="7038E6CA">
        <w:tblPrEx>
          <w:tblBorders>
            <w:top w:val="thinThickSmallGap" w:color="000000" w:sz="12" w:space="0"/>
            <w:left w:val="none" w:color="auto" w:sz="0" w:space="0"/>
            <w:bottom w:val="thinThickSmallGap"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283" w:hRule="atLeast"/>
          <w:jc w:val="center"/>
        </w:trPr>
        <w:tc>
          <w:tcPr>
            <w:tcW w:w="892" w:type="pct"/>
            <w:tcBorders>
              <w:tl2br w:val="nil"/>
              <w:tr2bl w:val="nil"/>
            </w:tcBorders>
            <w:shd w:val="clear" w:color="auto" w:fill="auto"/>
            <w:vAlign w:val="center"/>
          </w:tcPr>
          <w:p w14:paraId="5F502A35">
            <w:pPr>
              <w:widowControl/>
              <w:adjustRightInd w:val="0"/>
              <w:snapToGrid w:val="0"/>
              <w:spacing w:line="240" w:lineRule="auto"/>
              <w:ind w:firstLine="0" w:firstLineChars="0"/>
              <w:jc w:val="center"/>
              <w:rPr>
                <w:rFonts w:hint="eastAsia" w:ascii="Times New Roman" w:hAnsi="Times New Roman" w:eastAsia="宋体" w:cs="Times New Roman"/>
                <w:color w:val="0000FF"/>
                <w:kern w:val="0"/>
                <w:sz w:val="21"/>
                <w:szCs w:val="21"/>
                <w:highlight w:val="none"/>
                <w:lang w:eastAsia="zh-CN"/>
              </w:rPr>
            </w:pPr>
            <w:r>
              <w:rPr>
                <w:rFonts w:hint="eastAsia" w:ascii="Times New Roman" w:hAnsi="Times New Roman" w:cs="Times New Roman"/>
                <w:color w:val="0000FF"/>
                <w:kern w:val="0"/>
                <w:sz w:val="21"/>
                <w:szCs w:val="21"/>
                <w:highlight w:val="none"/>
                <w:lang w:val="en-US" w:eastAsia="zh-CN"/>
              </w:rPr>
              <w:t>氟化物</w:t>
            </w:r>
          </w:p>
        </w:tc>
        <w:tc>
          <w:tcPr>
            <w:tcW w:w="1402" w:type="pct"/>
            <w:tcBorders>
              <w:tl2br w:val="nil"/>
              <w:tr2bl w:val="nil"/>
            </w:tcBorders>
            <w:shd w:val="clear" w:color="auto" w:fill="auto"/>
            <w:vAlign w:val="center"/>
          </w:tcPr>
          <w:p w14:paraId="6CCBDCA5">
            <w:pPr>
              <w:widowControl/>
              <w:adjustRightInd w:val="0"/>
              <w:snapToGrid w:val="0"/>
              <w:spacing w:line="240" w:lineRule="auto"/>
              <w:ind w:firstLine="0" w:firstLineChars="0"/>
              <w:jc w:val="center"/>
              <w:rPr>
                <w:rFonts w:hint="default" w:ascii="Times New Roman" w:hAnsi="Times New Roman" w:eastAsia="宋体" w:cs="Times New Roman"/>
                <w:color w:val="0000FF"/>
                <w:kern w:val="0"/>
                <w:sz w:val="21"/>
                <w:szCs w:val="21"/>
                <w:highlight w:val="none"/>
                <w:lang w:val="en-US" w:eastAsia="zh-CN"/>
              </w:rPr>
            </w:pPr>
            <w:r>
              <w:rPr>
                <w:rFonts w:hint="eastAsia" w:ascii="Times New Roman" w:hAnsi="Times New Roman" w:cs="Times New Roman"/>
                <w:color w:val="0000FF"/>
                <w:kern w:val="0"/>
                <w:sz w:val="21"/>
                <w:szCs w:val="21"/>
                <w:highlight w:val="none"/>
                <w:lang w:val="en-US" w:eastAsia="zh-CN"/>
              </w:rPr>
              <w:t>6.18</w:t>
            </w:r>
          </w:p>
        </w:tc>
        <w:tc>
          <w:tcPr>
            <w:tcW w:w="1252" w:type="pct"/>
            <w:tcBorders>
              <w:tl2br w:val="nil"/>
              <w:tr2bl w:val="nil"/>
            </w:tcBorders>
            <w:shd w:val="clear" w:color="auto" w:fill="auto"/>
            <w:vAlign w:val="center"/>
          </w:tcPr>
          <w:p w14:paraId="16EBD190">
            <w:pPr>
              <w:widowControl/>
              <w:adjustRightInd w:val="0"/>
              <w:snapToGrid w:val="0"/>
              <w:spacing w:line="240" w:lineRule="auto"/>
              <w:ind w:firstLine="0" w:firstLineChars="0"/>
              <w:jc w:val="center"/>
              <w:rPr>
                <w:rFonts w:hint="default" w:ascii="Times New Roman" w:hAnsi="Times New Roman" w:eastAsia="宋体" w:cs="Times New Roman"/>
                <w:color w:val="0000FF"/>
                <w:kern w:val="0"/>
                <w:sz w:val="21"/>
                <w:szCs w:val="21"/>
                <w:highlight w:val="none"/>
                <w:lang w:val="en-US" w:eastAsia="zh-CN"/>
              </w:rPr>
            </w:pPr>
            <w:r>
              <w:rPr>
                <w:rFonts w:hint="eastAsia" w:ascii="Times New Roman" w:hAnsi="Times New Roman" w:cs="Times New Roman"/>
                <w:color w:val="0000FF"/>
                <w:kern w:val="0"/>
                <w:sz w:val="21"/>
                <w:szCs w:val="21"/>
                <w:highlight w:val="none"/>
                <w:lang w:val="en-US" w:eastAsia="zh-CN"/>
              </w:rPr>
              <w:t>1.57</w:t>
            </w:r>
          </w:p>
        </w:tc>
        <w:tc>
          <w:tcPr>
            <w:tcW w:w="1452" w:type="pct"/>
            <w:tcBorders>
              <w:tl2br w:val="nil"/>
              <w:tr2bl w:val="nil"/>
            </w:tcBorders>
            <w:shd w:val="clear" w:color="auto" w:fill="auto"/>
            <w:vAlign w:val="center"/>
          </w:tcPr>
          <w:p w14:paraId="24F1D03A">
            <w:pPr>
              <w:widowControl/>
              <w:adjustRightInd w:val="0"/>
              <w:snapToGrid w:val="0"/>
              <w:spacing w:line="240" w:lineRule="auto"/>
              <w:ind w:firstLine="0" w:firstLineChars="0"/>
              <w:jc w:val="center"/>
              <w:rPr>
                <w:rFonts w:hint="default" w:ascii="Times New Roman" w:hAnsi="Times New Roman" w:eastAsia="宋体" w:cs="Times New Roman"/>
                <w:color w:val="0000FF"/>
                <w:kern w:val="0"/>
                <w:sz w:val="21"/>
                <w:szCs w:val="21"/>
                <w:highlight w:val="none"/>
                <w:lang w:val="en-US" w:eastAsia="zh-CN"/>
              </w:rPr>
            </w:pPr>
            <w:r>
              <w:rPr>
                <w:rFonts w:hint="default" w:ascii="Times New Roman" w:hAnsi="Times New Roman" w:eastAsia="宋体" w:cs="Times New Roman"/>
                <w:color w:val="0000FF"/>
                <w:kern w:val="0"/>
                <w:sz w:val="21"/>
                <w:szCs w:val="21"/>
                <w:highlight w:val="none"/>
                <w:lang w:val="en-US" w:eastAsia="zh-CN"/>
              </w:rPr>
              <w:t>/</w:t>
            </w:r>
          </w:p>
        </w:tc>
      </w:tr>
      <w:tr w14:paraId="0F16DA2E">
        <w:tblPrEx>
          <w:tblBorders>
            <w:top w:val="thinThickSmallGap" w:color="000000" w:sz="12" w:space="0"/>
            <w:left w:val="none" w:color="auto" w:sz="0" w:space="0"/>
            <w:bottom w:val="thinThickSmallGap"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283" w:hRule="atLeast"/>
          <w:jc w:val="center"/>
        </w:trPr>
        <w:tc>
          <w:tcPr>
            <w:tcW w:w="892" w:type="pct"/>
            <w:tcBorders>
              <w:tl2br w:val="nil"/>
              <w:tr2bl w:val="nil"/>
            </w:tcBorders>
            <w:shd w:val="clear" w:color="auto" w:fill="auto"/>
            <w:vAlign w:val="center"/>
          </w:tcPr>
          <w:p w14:paraId="050D751B">
            <w:pPr>
              <w:widowControl/>
              <w:adjustRightInd w:val="0"/>
              <w:snapToGrid w:val="0"/>
              <w:spacing w:line="240" w:lineRule="auto"/>
              <w:ind w:firstLine="0" w:firstLineChars="0"/>
              <w:jc w:val="center"/>
              <w:rPr>
                <w:rFonts w:hint="eastAsia" w:ascii="Times New Roman" w:hAnsi="Times New Roman" w:eastAsia="宋体" w:cs="Times New Roman"/>
                <w:color w:val="0000FF"/>
                <w:kern w:val="0"/>
                <w:sz w:val="21"/>
                <w:szCs w:val="21"/>
                <w:highlight w:val="none"/>
                <w:lang w:eastAsia="zh-CN"/>
              </w:rPr>
            </w:pPr>
            <w:r>
              <w:rPr>
                <w:rFonts w:hint="eastAsia" w:ascii="Times New Roman" w:hAnsi="Times New Roman" w:eastAsia="宋体" w:cs="Times New Roman"/>
                <w:color w:val="0000FF"/>
                <w:kern w:val="0"/>
                <w:sz w:val="21"/>
                <w:szCs w:val="21"/>
                <w:highlight w:val="none"/>
                <w:lang w:val="en-US" w:eastAsia="zh-CN"/>
              </w:rPr>
              <w:t>NOx</w:t>
            </w:r>
          </w:p>
        </w:tc>
        <w:tc>
          <w:tcPr>
            <w:tcW w:w="1402" w:type="pct"/>
            <w:tcBorders>
              <w:tl2br w:val="nil"/>
              <w:tr2bl w:val="nil"/>
            </w:tcBorders>
            <w:shd w:val="clear" w:color="auto" w:fill="auto"/>
            <w:vAlign w:val="center"/>
          </w:tcPr>
          <w:p w14:paraId="3E74C431">
            <w:pPr>
              <w:widowControl/>
              <w:adjustRightInd w:val="0"/>
              <w:snapToGrid w:val="0"/>
              <w:spacing w:line="240" w:lineRule="auto"/>
              <w:ind w:firstLine="0" w:firstLineChars="0"/>
              <w:jc w:val="center"/>
              <w:rPr>
                <w:rFonts w:hint="default" w:ascii="Times New Roman" w:hAnsi="Times New Roman" w:eastAsia="宋体" w:cs="Times New Roman"/>
                <w:color w:val="0000FF"/>
                <w:kern w:val="0"/>
                <w:sz w:val="21"/>
                <w:szCs w:val="21"/>
                <w:highlight w:val="none"/>
                <w:lang w:val="en-US" w:eastAsia="zh-CN"/>
              </w:rPr>
            </w:pPr>
            <w:r>
              <w:rPr>
                <w:rFonts w:hint="eastAsia" w:ascii="Times New Roman" w:hAnsi="Times New Roman" w:cs="Times New Roman"/>
                <w:color w:val="0000FF"/>
                <w:kern w:val="0"/>
                <w:sz w:val="21"/>
                <w:szCs w:val="21"/>
                <w:highlight w:val="none"/>
                <w:lang w:val="en-US" w:eastAsia="zh-CN"/>
              </w:rPr>
              <w:t>33.07</w:t>
            </w:r>
          </w:p>
        </w:tc>
        <w:tc>
          <w:tcPr>
            <w:tcW w:w="1252" w:type="pct"/>
            <w:tcBorders>
              <w:tl2br w:val="nil"/>
              <w:tr2bl w:val="nil"/>
            </w:tcBorders>
            <w:shd w:val="clear" w:color="auto" w:fill="auto"/>
            <w:vAlign w:val="center"/>
          </w:tcPr>
          <w:p w14:paraId="0707EA5B">
            <w:pPr>
              <w:widowControl/>
              <w:adjustRightInd w:val="0"/>
              <w:snapToGrid w:val="0"/>
              <w:spacing w:line="240" w:lineRule="auto"/>
              <w:ind w:firstLine="0" w:firstLineChars="0"/>
              <w:jc w:val="center"/>
              <w:rPr>
                <w:rFonts w:hint="default" w:ascii="Times New Roman" w:hAnsi="Times New Roman" w:eastAsia="宋体" w:cs="Times New Roman"/>
                <w:color w:val="0000FF"/>
                <w:kern w:val="0"/>
                <w:sz w:val="21"/>
                <w:szCs w:val="21"/>
                <w:highlight w:val="none"/>
                <w:lang w:val="en-US" w:eastAsia="zh-CN"/>
              </w:rPr>
            </w:pPr>
            <w:r>
              <w:rPr>
                <w:rFonts w:hint="eastAsia" w:ascii="Times New Roman" w:hAnsi="Times New Roman" w:cs="Times New Roman"/>
                <w:color w:val="0000FF"/>
                <w:kern w:val="0"/>
                <w:sz w:val="21"/>
                <w:szCs w:val="21"/>
                <w:highlight w:val="none"/>
                <w:lang w:val="en-US" w:eastAsia="zh-CN"/>
              </w:rPr>
              <w:t>7.48</w:t>
            </w:r>
          </w:p>
        </w:tc>
        <w:tc>
          <w:tcPr>
            <w:tcW w:w="1452" w:type="pct"/>
            <w:tcBorders>
              <w:tl2br w:val="nil"/>
              <w:tr2bl w:val="nil"/>
            </w:tcBorders>
            <w:shd w:val="clear" w:color="auto" w:fill="auto"/>
            <w:vAlign w:val="center"/>
          </w:tcPr>
          <w:p w14:paraId="253101A0">
            <w:pPr>
              <w:widowControl/>
              <w:adjustRightInd w:val="0"/>
              <w:snapToGrid w:val="0"/>
              <w:spacing w:line="240" w:lineRule="auto"/>
              <w:ind w:firstLine="0" w:firstLineChars="0"/>
              <w:jc w:val="center"/>
              <w:rPr>
                <w:rFonts w:hint="default" w:ascii="Times New Roman" w:hAnsi="Times New Roman" w:eastAsia="宋体" w:cs="Times New Roman"/>
                <w:color w:val="0000FF"/>
                <w:kern w:val="0"/>
                <w:sz w:val="21"/>
                <w:szCs w:val="21"/>
                <w:highlight w:val="none"/>
                <w:lang w:val="en-US" w:eastAsia="zh-CN"/>
              </w:rPr>
            </w:pPr>
            <w:r>
              <w:rPr>
                <w:rFonts w:hint="eastAsia" w:ascii="Times New Roman" w:hAnsi="Times New Roman" w:cs="Times New Roman"/>
                <w:color w:val="0000FF"/>
                <w:kern w:val="0"/>
                <w:sz w:val="21"/>
                <w:szCs w:val="21"/>
                <w:highlight w:val="none"/>
                <w:lang w:val="en-US" w:eastAsia="zh-CN"/>
              </w:rPr>
              <w:t>1.14</w:t>
            </w:r>
          </w:p>
        </w:tc>
      </w:tr>
      <w:tr w14:paraId="00DE1373">
        <w:tblPrEx>
          <w:tblBorders>
            <w:top w:val="thinThickSmallGap" w:color="000000" w:sz="12" w:space="0"/>
            <w:left w:val="none" w:color="auto" w:sz="0" w:space="0"/>
            <w:bottom w:val="thinThickSmallGap"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283" w:hRule="atLeast"/>
          <w:jc w:val="center"/>
        </w:trPr>
        <w:tc>
          <w:tcPr>
            <w:tcW w:w="892" w:type="pct"/>
            <w:tcBorders>
              <w:tl2br w:val="nil"/>
              <w:tr2bl w:val="nil"/>
            </w:tcBorders>
            <w:shd w:val="clear" w:color="auto" w:fill="auto"/>
            <w:vAlign w:val="center"/>
          </w:tcPr>
          <w:p w14:paraId="1FB3CC9B">
            <w:pPr>
              <w:widowControl/>
              <w:adjustRightInd w:val="0"/>
              <w:snapToGrid w:val="0"/>
              <w:spacing w:line="240" w:lineRule="auto"/>
              <w:ind w:firstLine="0" w:firstLineChars="0"/>
              <w:jc w:val="center"/>
              <w:rPr>
                <w:rFonts w:hint="default" w:ascii="Times New Roman" w:hAnsi="Times New Roman" w:eastAsia="宋体" w:cs="Times New Roman"/>
                <w:color w:val="0000FF"/>
                <w:kern w:val="0"/>
                <w:sz w:val="21"/>
                <w:szCs w:val="21"/>
                <w:highlight w:val="none"/>
                <w:lang w:val="en-US" w:eastAsia="zh-CN"/>
              </w:rPr>
            </w:pPr>
            <w:r>
              <w:rPr>
                <w:rFonts w:hint="default" w:ascii="Times New Roman" w:hAnsi="Times New Roman" w:eastAsia="宋体" w:cs="Times New Roman"/>
                <w:color w:val="0000FF"/>
                <w:kern w:val="0"/>
                <w:sz w:val="21"/>
                <w:szCs w:val="21"/>
                <w:highlight w:val="none"/>
              </w:rPr>
              <w:t>TSP</w:t>
            </w:r>
          </w:p>
        </w:tc>
        <w:tc>
          <w:tcPr>
            <w:tcW w:w="1402" w:type="pct"/>
            <w:tcBorders>
              <w:tl2br w:val="nil"/>
              <w:tr2bl w:val="nil"/>
            </w:tcBorders>
            <w:shd w:val="clear" w:color="auto" w:fill="auto"/>
            <w:vAlign w:val="center"/>
          </w:tcPr>
          <w:p w14:paraId="24D081DD">
            <w:pPr>
              <w:widowControl/>
              <w:adjustRightInd w:val="0"/>
              <w:snapToGrid w:val="0"/>
              <w:spacing w:line="240" w:lineRule="auto"/>
              <w:ind w:firstLine="0" w:firstLineChars="0"/>
              <w:jc w:val="center"/>
              <w:rPr>
                <w:rFonts w:hint="default" w:ascii="Times New Roman" w:hAnsi="Times New Roman" w:eastAsia="宋体" w:cs="Times New Roman"/>
                <w:color w:val="0000FF"/>
                <w:kern w:val="0"/>
                <w:sz w:val="21"/>
                <w:szCs w:val="21"/>
                <w:highlight w:val="none"/>
                <w:lang w:val="en-US" w:eastAsia="zh-CN"/>
              </w:rPr>
            </w:pPr>
            <w:r>
              <w:rPr>
                <w:rFonts w:hint="default" w:ascii="Times New Roman" w:hAnsi="Times New Roman" w:eastAsia="宋体" w:cs="Times New Roman"/>
                <w:color w:val="0000FF"/>
                <w:kern w:val="0"/>
                <w:sz w:val="21"/>
                <w:szCs w:val="21"/>
                <w:highlight w:val="none"/>
                <w:lang w:val="en-US" w:eastAsia="zh-CN"/>
              </w:rPr>
              <w:t>/</w:t>
            </w:r>
          </w:p>
        </w:tc>
        <w:tc>
          <w:tcPr>
            <w:tcW w:w="1252" w:type="pct"/>
            <w:tcBorders>
              <w:tl2br w:val="nil"/>
              <w:tr2bl w:val="nil"/>
            </w:tcBorders>
            <w:shd w:val="clear" w:color="auto" w:fill="auto"/>
            <w:vAlign w:val="center"/>
          </w:tcPr>
          <w:p w14:paraId="6785E187">
            <w:pPr>
              <w:widowControl/>
              <w:adjustRightInd w:val="0"/>
              <w:snapToGrid w:val="0"/>
              <w:spacing w:line="240" w:lineRule="auto"/>
              <w:ind w:firstLine="0" w:firstLineChars="0"/>
              <w:jc w:val="center"/>
              <w:rPr>
                <w:rFonts w:hint="default" w:ascii="Times New Roman" w:hAnsi="Times New Roman" w:eastAsia="宋体" w:cs="Times New Roman"/>
                <w:color w:val="0000FF"/>
                <w:kern w:val="0"/>
                <w:sz w:val="21"/>
                <w:szCs w:val="21"/>
                <w:highlight w:val="none"/>
                <w:lang w:val="en-US" w:eastAsia="zh-CN"/>
              </w:rPr>
            </w:pPr>
            <w:r>
              <w:rPr>
                <w:rFonts w:hint="eastAsia" w:ascii="Times New Roman" w:hAnsi="Times New Roman" w:cs="Times New Roman"/>
                <w:color w:val="0000FF"/>
                <w:kern w:val="0"/>
                <w:sz w:val="21"/>
                <w:szCs w:val="21"/>
                <w:highlight w:val="none"/>
                <w:lang w:val="en-US" w:eastAsia="zh-CN"/>
              </w:rPr>
              <w:t>7.06</w:t>
            </w:r>
          </w:p>
        </w:tc>
        <w:tc>
          <w:tcPr>
            <w:tcW w:w="1452" w:type="pct"/>
            <w:tcBorders>
              <w:tl2br w:val="nil"/>
              <w:tr2bl w:val="nil"/>
            </w:tcBorders>
            <w:shd w:val="clear" w:color="auto" w:fill="auto"/>
            <w:vAlign w:val="center"/>
          </w:tcPr>
          <w:p w14:paraId="5244DEA4">
            <w:pPr>
              <w:widowControl/>
              <w:adjustRightInd w:val="0"/>
              <w:snapToGrid w:val="0"/>
              <w:spacing w:line="240" w:lineRule="auto"/>
              <w:ind w:firstLine="0" w:firstLineChars="0"/>
              <w:jc w:val="center"/>
              <w:rPr>
                <w:rFonts w:hint="default" w:ascii="Times New Roman" w:hAnsi="Times New Roman" w:eastAsia="宋体" w:cs="Times New Roman"/>
                <w:color w:val="0000FF"/>
                <w:kern w:val="0"/>
                <w:sz w:val="21"/>
                <w:szCs w:val="21"/>
                <w:highlight w:val="none"/>
                <w:lang w:val="en-US" w:eastAsia="zh-CN"/>
              </w:rPr>
            </w:pPr>
            <w:r>
              <w:rPr>
                <w:rFonts w:hint="eastAsia" w:ascii="Times New Roman" w:hAnsi="Times New Roman" w:cs="Times New Roman"/>
                <w:color w:val="0000FF"/>
                <w:kern w:val="0"/>
                <w:sz w:val="21"/>
                <w:szCs w:val="21"/>
                <w:highlight w:val="none"/>
                <w:lang w:val="en-US" w:eastAsia="zh-CN"/>
              </w:rPr>
              <w:t>1.36</w:t>
            </w:r>
          </w:p>
        </w:tc>
      </w:tr>
      <w:tr w14:paraId="60C07342">
        <w:tblPrEx>
          <w:tblBorders>
            <w:top w:val="thinThickSmallGap" w:color="000000" w:sz="12" w:space="0"/>
            <w:left w:val="none" w:color="auto" w:sz="0" w:space="0"/>
            <w:bottom w:val="thinThickSmallGap"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283" w:hRule="atLeast"/>
          <w:jc w:val="center"/>
        </w:trPr>
        <w:tc>
          <w:tcPr>
            <w:tcW w:w="892" w:type="pct"/>
            <w:tcBorders>
              <w:tl2br w:val="nil"/>
              <w:tr2bl w:val="nil"/>
            </w:tcBorders>
            <w:shd w:val="clear" w:color="auto" w:fill="auto"/>
            <w:vAlign w:val="center"/>
          </w:tcPr>
          <w:p w14:paraId="121A05FC">
            <w:pPr>
              <w:widowControl/>
              <w:adjustRightInd w:val="0"/>
              <w:snapToGrid w:val="0"/>
              <w:spacing w:line="240" w:lineRule="auto"/>
              <w:ind w:firstLine="0" w:firstLineChars="0"/>
              <w:jc w:val="center"/>
              <w:rPr>
                <w:rFonts w:hint="default" w:ascii="Times New Roman" w:hAnsi="Times New Roman" w:eastAsia="宋体" w:cs="Times New Roman"/>
                <w:color w:val="0000FF"/>
                <w:kern w:val="0"/>
                <w:sz w:val="21"/>
                <w:szCs w:val="21"/>
                <w:highlight w:val="none"/>
                <w:lang w:val="en-US" w:eastAsia="zh-CN"/>
              </w:rPr>
            </w:pPr>
            <w:r>
              <w:rPr>
                <w:rFonts w:hint="eastAsia" w:ascii="Times New Roman" w:hAnsi="Times New Roman" w:eastAsia="宋体" w:cs="Times New Roman"/>
                <w:color w:val="0000FF"/>
                <w:kern w:val="0"/>
                <w:sz w:val="21"/>
                <w:szCs w:val="21"/>
                <w:highlight w:val="none"/>
                <w:lang w:val="en-US" w:eastAsia="zh-CN"/>
              </w:rPr>
              <w:t>氨</w:t>
            </w:r>
          </w:p>
        </w:tc>
        <w:tc>
          <w:tcPr>
            <w:tcW w:w="1402" w:type="pct"/>
            <w:tcBorders>
              <w:tl2br w:val="nil"/>
              <w:tr2bl w:val="nil"/>
            </w:tcBorders>
            <w:shd w:val="clear" w:color="auto" w:fill="auto"/>
            <w:vAlign w:val="center"/>
          </w:tcPr>
          <w:p w14:paraId="5218B5EF">
            <w:pPr>
              <w:widowControl/>
              <w:adjustRightInd w:val="0"/>
              <w:snapToGrid w:val="0"/>
              <w:spacing w:line="240" w:lineRule="auto"/>
              <w:ind w:firstLine="0" w:firstLineChars="0"/>
              <w:jc w:val="center"/>
              <w:rPr>
                <w:rFonts w:hint="default" w:ascii="Times New Roman" w:hAnsi="Times New Roman" w:eastAsia="宋体" w:cs="Times New Roman"/>
                <w:color w:val="0000FF"/>
                <w:kern w:val="0"/>
                <w:sz w:val="21"/>
                <w:szCs w:val="21"/>
                <w:highlight w:val="none"/>
                <w:lang w:val="en-US" w:eastAsia="zh-CN"/>
              </w:rPr>
            </w:pPr>
            <w:r>
              <w:rPr>
                <w:rFonts w:hint="eastAsia" w:ascii="Times New Roman" w:hAnsi="Times New Roman" w:cs="Times New Roman"/>
                <w:color w:val="0000FF"/>
                <w:kern w:val="0"/>
                <w:sz w:val="21"/>
                <w:szCs w:val="21"/>
                <w:highlight w:val="none"/>
                <w:lang w:val="en-US" w:eastAsia="zh-CN"/>
              </w:rPr>
              <w:t>6.45</w:t>
            </w:r>
          </w:p>
        </w:tc>
        <w:tc>
          <w:tcPr>
            <w:tcW w:w="1252" w:type="pct"/>
            <w:tcBorders>
              <w:tl2br w:val="nil"/>
              <w:tr2bl w:val="nil"/>
            </w:tcBorders>
            <w:shd w:val="clear" w:color="auto" w:fill="auto"/>
            <w:vAlign w:val="center"/>
          </w:tcPr>
          <w:p w14:paraId="4AE29C00">
            <w:pPr>
              <w:widowControl/>
              <w:adjustRightInd w:val="0"/>
              <w:snapToGrid w:val="0"/>
              <w:spacing w:line="240" w:lineRule="auto"/>
              <w:ind w:firstLine="0" w:firstLineChars="0"/>
              <w:jc w:val="center"/>
              <w:rPr>
                <w:rFonts w:hint="default" w:ascii="Times New Roman" w:hAnsi="Times New Roman" w:eastAsia="宋体" w:cs="Times New Roman"/>
                <w:color w:val="0000FF"/>
                <w:kern w:val="0"/>
                <w:sz w:val="21"/>
                <w:szCs w:val="21"/>
                <w:highlight w:val="none"/>
                <w:lang w:val="en-US" w:eastAsia="zh-CN"/>
              </w:rPr>
            </w:pPr>
            <w:r>
              <w:rPr>
                <w:rFonts w:hint="default" w:ascii="Times New Roman" w:hAnsi="Times New Roman" w:eastAsia="宋体" w:cs="Times New Roman"/>
                <w:color w:val="0000FF"/>
                <w:kern w:val="0"/>
                <w:sz w:val="21"/>
                <w:szCs w:val="21"/>
                <w:highlight w:val="none"/>
                <w:lang w:val="en-US" w:eastAsia="zh-CN"/>
              </w:rPr>
              <w:t>/</w:t>
            </w:r>
          </w:p>
        </w:tc>
        <w:tc>
          <w:tcPr>
            <w:tcW w:w="1452" w:type="pct"/>
            <w:tcBorders>
              <w:tl2br w:val="nil"/>
              <w:tr2bl w:val="nil"/>
            </w:tcBorders>
            <w:shd w:val="clear" w:color="auto" w:fill="auto"/>
            <w:vAlign w:val="center"/>
          </w:tcPr>
          <w:p w14:paraId="57EFDA77">
            <w:pPr>
              <w:widowControl/>
              <w:adjustRightInd w:val="0"/>
              <w:snapToGrid w:val="0"/>
              <w:spacing w:line="240" w:lineRule="auto"/>
              <w:ind w:firstLine="0" w:firstLineChars="0"/>
              <w:jc w:val="center"/>
              <w:rPr>
                <w:rFonts w:hint="default" w:ascii="Times New Roman" w:hAnsi="Times New Roman" w:eastAsia="宋体" w:cs="Times New Roman"/>
                <w:color w:val="0000FF"/>
                <w:kern w:val="0"/>
                <w:sz w:val="21"/>
                <w:szCs w:val="21"/>
                <w:highlight w:val="none"/>
                <w:lang w:val="en-US" w:eastAsia="zh-CN"/>
              </w:rPr>
            </w:pPr>
            <w:r>
              <w:rPr>
                <w:rFonts w:hint="eastAsia" w:ascii="Times New Roman" w:hAnsi="Times New Roman" w:eastAsia="宋体" w:cs="Times New Roman"/>
                <w:color w:val="0000FF"/>
                <w:kern w:val="0"/>
                <w:sz w:val="21"/>
                <w:szCs w:val="21"/>
                <w:highlight w:val="none"/>
                <w:lang w:val="en-US" w:eastAsia="zh-CN"/>
              </w:rPr>
              <w:t>/</w:t>
            </w:r>
          </w:p>
        </w:tc>
      </w:tr>
      <w:tr w14:paraId="37E194EF">
        <w:tblPrEx>
          <w:tblBorders>
            <w:top w:val="thinThickSmallGap" w:color="000000" w:sz="12" w:space="0"/>
            <w:left w:val="none" w:color="auto" w:sz="0" w:space="0"/>
            <w:bottom w:val="thinThickSmallGap"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283" w:hRule="atLeast"/>
          <w:jc w:val="center"/>
        </w:trPr>
        <w:tc>
          <w:tcPr>
            <w:tcW w:w="892" w:type="pct"/>
            <w:tcBorders>
              <w:tl2br w:val="nil"/>
              <w:tr2bl w:val="nil"/>
            </w:tcBorders>
            <w:shd w:val="clear" w:color="auto" w:fill="auto"/>
            <w:vAlign w:val="center"/>
          </w:tcPr>
          <w:p w14:paraId="38AC3EF2">
            <w:pPr>
              <w:widowControl/>
              <w:adjustRightInd w:val="0"/>
              <w:snapToGrid w:val="0"/>
              <w:spacing w:line="240" w:lineRule="auto"/>
              <w:ind w:firstLine="0" w:firstLineChars="0"/>
              <w:jc w:val="center"/>
              <w:rPr>
                <w:rFonts w:hint="default" w:ascii="Times New Roman" w:hAnsi="Times New Roman" w:eastAsia="宋体" w:cs="Times New Roman"/>
                <w:color w:val="0000FF"/>
                <w:kern w:val="0"/>
                <w:sz w:val="21"/>
                <w:szCs w:val="21"/>
                <w:highlight w:val="none"/>
                <w:lang w:val="en-US" w:eastAsia="zh-CN"/>
              </w:rPr>
            </w:pPr>
            <w:r>
              <w:rPr>
                <w:rFonts w:hint="default" w:ascii="Times New Roman" w:hAnsi="Times New Roman" w:eastAsia="宋体" w:cs="Times New Roman"/>
                <w:color w:val="0000FF"/>
                <w:kern w:val="0"/>
                <w:sz w:val="21"/>
                <w:szCs w:val="21"/>
                <w:highlight w:val="none"/>
              </w:rPr>
              <w:t>二噁英</w:t>
            </w:r>
          </w:p>
        </w:tc>
        <w:tc>
          <w:tcPr>
            <w:tcW w:w="1402" w:type="pct"/>
            <w:tcBorders>
              <w:tl2br w:val="nil"/>
              <w:tr2bl w:val="nil"/>
            </w:tcBorders>
            <w:shd w:val="clear" w:color="auto" w:fill="auto"/>
            <w:vAlign w:val="center"/>
          </w:tcPr>
          <w:p w14:paraId="00CD055F">
            <w:pPr>
              <w:widowControl/>
              <w:adjustRightInd w:val="0"/>
              <w:snapToGrid w:val="0"/>
              <w:spacing w:line="240" w:lineRule="auto"/>
              <w:ind w:firstLine="0" w:firstLineChars="0"/>
              <w:jc w:val="center"/>
              <w:rPr>
                <w:rFonts w:hint="default" w:ascii="Times New Roman" w:hAnsi="Times New Roman" w:eastAsia="宋体" w:cs="Times New Roman"/>
                <w:color w:val="auto"/>
                <w:kern w:val="0"/>
                <w:sz w:val="21"/>
                <w:szCs w:val="21"/>
                <w:highlight w:val="none"/>
                <w:lang w:val="en-US" w:eastAsia="zh-CN"/>
              </w:rPr>
            </w:pPr>
            <w:r>
              <w:rPr>
                <w:rFonts w:hint="eastAsia" w:ascii="Times New Roman" w:hAnsi="Times New Roman" w:cs="Times New Roman"/>
                <w:color w:val="0000FF"/>
                <w:kern w:val="0"/>
                <w:sz w:val="21"/>
                <w:szCs w:val="21"/>
                <w:highlight w:val="none"/>
                <w:lang w:val="en-US" w:eastAsia="zh-CN"/>
              </w:rPr>
              <w:t>6.10</w:t>
            </w:r>
          </w:p>
        </w:tc>
        <w:tc>
          <w:tcPr>
            <w:tcW w:w="1252" w:type="pct"/>
            <w:tcBorders>
              <w:tl2br w:val="nil"/>
              <w:tr2bl w:val="nil"/>
            </w:tcBorders>
            <w:shd w:val="clear" w:color="auto" w:fill="auto"/>
            <w:vAlign w:val="center"/>
          </w:tcPr>
          <w:p w14:paraId="53510529">
            <w:pPr>
              <w:widowControl/>
              <w:adjustRightInd w:val="0"/>
              <w:snapToGrid w:val="0"/>
              <w:spacing w:line="240" w:lineRule="auto"/>
              <w:ind w:firstLine="0" w:firstLineChars="0"/>
              <w:jc w:val="center"/>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lang w:val="en-US" w:eastAsia="zh-CN"/>
              </w:rPr>
              <w:t>/</w:t>
            </w:r>
          </w:p>
        </w:tc>
        <w:tc>
          <w:tcPr>
            <w:tcW w:w="1452" w:type="pct"/>
            <w:tcBorders>
              <w:tl2br w:val="nil"/>
              <w:tr2bl w:val="nil"/>
            </w:tcBorders>
            <w:shd w:val="clear" w:color="auto" w:fill="auto"/>
            <w:vAlign w:val="center"/>
          </w:tcPr>
          <w:p w14:paraId="13BF2A21">
            <w:pPr>
              <w:widowControl/>
              <w:adjustRightInd w:val="0"/>
              <w:snapToGrid w:val="0"/>
              <w:spacing w:line="240" w:lineRule="auto"/>
              <w:ind w:firstLine="0" w:firstLineChars="0"/>
              <w:jc w:val="center"/>
              <w:rPr>
                <w:rFonts w:hint="default" w:ascii="Times New Roman" w:hAnsi="Times New Roman" w:eastAsia="宋体" w:cs="Times New Roman"/>
                <w:color w:val="auto"/>
                <w:kern w:val="0"/>
                <w:sz w:val="21"/>
                <w:szCs w:val="21"/>
                <w:highlight w:val="none"/>
                <w:lang w:val="en-US"/>
              </w:rPr>
            </w:pPr>
            <w:r>
              <w:rPr>
                <w:rFonts w:hint="default" w:ascii="Times New Roman" w:hAnsi="Times New Roman" w:eastAsia="宋体" w:cs="Times New Roman"/>
                <w:color w:val="auto"/>
                <w:kern w:val="0"/>
                <w:sz w:val="21"/>
                <w:szCs w:val="21"/>
                <w:highlight w:val="none"/>
                <w:lang w:val="en-US" w:eastAsia="zh-CN"/>
              </w:rPr>
              <w:t>/</w:t>
            </w:r>
          </w:p>
        </w:tc>
      </w:tr>
    </w:tbl>
    <w:p w14:paraId="23E17251">
      <w:pPr>
        <w:keepNext w:val="0"/>
        <w:keepLines w:val="0"/>
        <w:pageBreakBefore w:val="0"/>
        <w:widowControl w:val="0"/>
        <w:kinsoku/>
        <w:wordWrap/>
        <w:overflowPunct/>
        <w:topLinePunct w:val="0"/>
        <w:autoSpaceDE/>
        <w:autoSpaceDN/>
        <w:bidi w:val="0"/>
        <w:adjustRightInd w:val="0"/>
        <w:snapToGrid w:val="0"/>
        <w:spacing w:before="241" w:beforeLines="50" w:afterLines="0" w:line="360" w:lineRule="auto"/>
        <w:ind w:firstLine="480" w:firstLineChars="200"/>
        <w:jc w:val="left"/>
        <w:textAlignment w:val="auto"/>
        <w:rPr>
          <w:rFonts w:hint="default" w:ascii="Times New Roman" w:hAnsi="Times New Roman" w:eastAsia="宋体" w:cs="Times New Roman"/>
          <w:color w:val="auto"/>
          <w:sz w:val="24"/>
          <w:szCs w:val="24"/>
          <w:highlight w:val="yellow"/>
        </w:rPr>
      </w:pPr>
      <w:r>
        <w:rPr>
          <w:rFonts w:hint="default" w:ascii="Times New Roman" w:hAnsi="Times New Roman" w:eastAsia="宋体" w:cs="Times New Roman"/>
          <w:color w:val="0000FF"/>
          <w:sz w:val="24"/>
          <w:szCs w:val="24"/>
          <w:highlight w:val="none"/>
        </w:rPr>
        <w:t>本项目污染源正常排放预测情景下，各预测点</w:t>
      </w:r>
      <w:r>
        <w:rPr>
          <w:rFonts w:hint="default" w:ascii="Times New Roman" w:hAnsi="Times New Roman" w:cs="Times New Roman" w:eastAsiaTheme="minorEastAsia"/>
          <w:color w:val="0000FF"/>
          <w:kern w:val="2"/>
          <w:sz w:val="24"/>
          <w:szCs w:val="24"/>
          <w:highlight w:val="none"/>
          <w:lang w:val="en-US" w:eastAsia="zh-CN" w:bidi="ar-SA"/>
        </w:rPr>
        <w:t>SO</w:t>
      </w:r>
      <w:r>
        <w:rPr>
          <w:rFonts w:hint="default" w:ascii="Times New Roman" w:hAnsi="Times New Roman" w:cs="Times New Roman" w:eastAsiaTheme="minorEastAsia"/>
          <w:color w:val="0000FF"/>
          <w:kern w:val="2"/>
          <w:sz w:val="24"/>
          <w:szCs w:val="24"/>
          <w:highlight w:val="none"/>
          <w:vertAlign w:val="subscript"/>
          <w:lang w:val="en-US" w:eastAsia="zh-CN" w:bidi="ar-SA"/>
        </w:rPr>
        <w:t>2</w:t>
      </w:r>
      <w:r>
        <w:rPr>
          <w:rFonts w:hint="eastAsia" w:ascii="Times New Roman" w:hAnsi="Times New Roman" w:cs="Times New Roman"/>
          <w:color w:val="0000FF"/>
          <w:sz w:val="24"/>
          <w:szCs w:val="24"/>
          <w:highlight w:val="none"/>
          <w:lang w:eastAsia="zh-CN"/>
        </w:rPr>
        <w:t>、氟化物、</w:t>
      </w:r>
      <w:r>
        <w:rPr>
          <w:rFonts w:hint="eastAsia" w:ascii="Times New Roman" w:hAnsi="Times New Roman" w:cs="Times New Roman"/>
          <w:color w:val="0000FF"/>
          <w:sz w:val="24"/>
          <w:szCs w:val="24"/>
          <w:highlight w:val="none"/>
          <w:lang w:val="en-US" w:eastAsia="zh-CN"/>
        </w:rPr>
        <w:t>NOx、氨</w:t>
      </w:r>
      <w:r>
        <w:rPr>
          <w:rFonts w:hint="default" w:ascii="Times New Roman" w:hAnsi="Times New Roman" w:cs="Times New Roman" w:eastAsiaTheme="minorEastAsia"/>
          <w:color w:val="0000FF"/>
          <w:kern w:val="2"/>
          <w:sz w:val="24"/>
          <w:szCs w:val="24"/>
          <w:highlight w:val="none"/>
          <w:lang w:val="en-US" w:eastAsia="zh-CN" w:bidi="ar-SA"/>
        </w:rPr>
        <w:t>、二噁英</w:t>
      </w:r>
      <w:r>
        <w:rPr>
          <w:rFonts w:hint="default" w:ascii="Times New Roman" w:hAnsi="Times New Roman" w:eastAsia="宋体" w:cs="Times New Roman"/>
          <w:color w:val="0000FF"/>
          <w:sz w:val="24"/>
          <w:szCs w:val="24"/>
          <w:highlight w:val="none"/>
        </w:rPr>
        <w:t>的</w:t>
      </w:r>
      <w:r>
        <w:rPr>
          <w:rFonts w:hint="eastAsia" w:ascii="Times New Roman" w:hAnsi="Times New Roman" w:eastAsia="宋体" w:cs="Times New Roman"/>
          <w:color w:val="0000FF"/>
          <w:sz w:val="24"/>
          <w:szCs w:val="24"/>
          <w:highlight w:val="none"/>
          <w:lang w:val="en-US" w:eastAsia="zh-CN"/>
        </w:rPr>
        <w:t>小时</w:t>
      </w:r>
      <w:r>
        <w:rPr>
          <w:rFonts w:hint="default" w:ascii="Times New Roman" w:hAnsi="Times New Roman" w:eastAsia="宋体" w:cs="Times New Roman"/>
          <w:color w:val="0000FF"/>
          <w:sz w:val="24"/>
          <w:szCs w:val="24"/>
          <w:highlight w:val="none"/>
        </w:rPr>
        <w:t>贡献浓度值的占标率均</w:t>
      </w:r>
      <w:r>
        <w:rPr>
          <w:rFonts w:hint="eastAsia" w:ascii="Times New Roman" w:hAnsi="Times New Roman" w:eastAsia="宋体" w:cs="Times New Roman"/>
          <w:color w:val="0000FF"/>
          <w:sz w:val="24"/>
          <w:szCs w:val="24"/>
          <w:highlight w:val="none"/>
          <w:lang w:val="en-US" w:eastAsia="zh-CN"/>
        </w:rPr>
        <w:t>小于</w:t>
      </w:r>
      <w:r>
        <w:rPr>
          <w:rFonts w:hint="eastAsia" w:ascii="Times New Roman" w:hAnsi="Times New Roman" w:cs="Times New Roman"/>
          <w:color w:val="0000FF"/>
          <w:sz w:val="24"/>
          <w:szCs w:val="24"/>
          <w:highlight w:val="none"/>
          <w:lang w:val="en-US" w:eastAsia="zh-CN"/>
        </w:rPr>
        <w:t>34</w:t>
      </w:r>
      <w:r>
        <w:rPr>
          <w:rFonts w:hint="eastAsia" w:ascii="Times New Roman" w:hAnsi="Times New Roman" w:eastAsia="宋体" w:cs="Times New Roman"/>
          <w:color w:val="0000FF"/>
          <w:sz w:val="24"/>
          <w:szCs w:val="24"/>
          <w:highlight w:val="none"/>
          <w:lang w:val="en-US" w:eastAsia="zh-CN"/>
        </w:rPr>
        <w:t>%</w:t>
      </w:r>
      <w:r>
        <w:rPr>
          <w:rFonts w:hint="default" w:ascii="Times New Roman" w:hAnsi="Times New Roman" w:eastAsia="宋体" w:cs="Times New Roman"/>
          <w:color w:val="0000FF"/>
          <w:sz w:val="24"/>
          <w:szCs w:val="24"/>
          <w:highlight w:val="none"/>
        </w:rPr>
        <w:t>，</w:t>
      </w:r>
      <w:r>
        <w:rPr>
          <w:rFonts w:hint="default" w:ascii="Times New Roman" w:hAnsi="Times New Roman" w:cs="Times New Roman" w:eastAsiaTheme="minorEastAsia"/>
          <w:color w:val="0000FF"/>
          <w:kern w:val="2"/>
          <w:sz w:val="24"/>
          <w:szCs w:val="24"/>
          <w:highlight w:val="none"/>
          <w:lang w:val="en-US" w:eastAsia="zh-CN" w:bidi="ar-SA"/>
        </w:rPr>
        <w:t>SO</w:t>
      </w:r>
      <w:r>
        <w:rPr>
          <w:rFonts w:hint="default" w:ascii="Times New Roman" w:hAnsi="Times New Roman" w:cs="Times New Roman" w:eastAsiaTheme="minorEastAsia"/>
          <w:color w:val="0000FF"/>
          <w:kern w:val="2"/>
          <w:sz w:val="24"/>
          <w:szCs w:val="24"/>
          <w:highlight w:val="none"/>
          <w:vertAlign w:val="subscript"/>
          <w:lang w:val="en-US" w:eastAsia="zh-CN" w:bidi="ar-SA"/>
        </w:rPr>
        <w:t>2</w:t>
      </w:r>
      <w:r>
        <w:rPr>
          <w:rFonts w:hint="eastAsia" w:ascii="Times New Roman" w:hAnsi="Times New Roman" w:cs="Times New Roman"/>
          <w:color w:val="0000FF"/>
          <w:sz w:val="24"/>
          <w:szCs w:val="24"/>
          <w:highlight w:val="none"/>
          <w:lang w:eastAsia="zh-CN"/>
        </w:rPr>
        <w:t>、氟化物、</w:t>
      </w:r>
      <w:r>
        <w:rPr>
          <w:rFonts w:hint="eastAsia" w:ascii="Times New Roman" w:hAnsi="Times New Roman" w:cs="Times New Roman"/>
          <w:color w:val="0000FF"/>
          <w:sz w:val="24"/>
          <w:szCs w:val="24"/>
          <w:highlight w:val="none"/>
          <w:lang w:val="en-US" w:eastAsia="zh-CN"/>
        </w:rPr>
        <w:t>NOx、TSP的</w:t>
      </w:r>
      <w:r>
        <w:rPr>
          <w:rFonts w:hint="default" w:ascii="Times New Roman" w:hAnsi="Times New Roman" w:eastAsia="宋体" w:cs="Times New Roman"/>
          <w:color w:val="0000FF"/>
          <w:sz w:val="24"/>
          <w:szCs w:val="24"/>
          <w:highlight w:val="none"/>
        </w:rPr>
        <w:t>日均贡献浓度值的占标率均</w:t>
      </w:r>
      <w:r>
        <w:rPr>
          <w:rFonts w:hint="eastAsia" w:ascii="Times New Roman" w:hAnsi="Times New Roman" w:eastAsia="宋体" w:cs="Times New Roman"/>
          <w:color w:val="0000FF"/>
          <w:sz w:val="24"/>
          <w:szCs w:val="24"/>
          <w:highlight w:val="none"/>
          <w:lang w:val="en-US" w:eastAsia="zh-CN"/>
        </w:rPr>
        <w:t>小于</w:t>
      </w:r>
      <w:r>
        <w:rPr>
          <w:rFonts w:hint="eastAsia" w:ascii="Times New Roman" w:hAnsi="Times New Roman" w:cs="Times New Roman"/>
          <w:color w:val="0000FF"/>
          <w:sz w:val="24"/>
          <w:szCs w:val="24"/>
          <w:highlight w:val="none"/>
          <w:lang w:val="en-US" w:eastAsia="zh-CN"/>
        </w:rPr>
        <w:t>7.5</w:t>
      </w:r>
      <w:r>
        <w:rPr>
          <w:rFonts w:hint="eastAsia" w:ascii="Times New Roman" w:hAnsi="Times New Roman" w:eastAsia="宋体" w:cs="Times New Roman"/>
          <w:color w:val="0000FF"/>
          <w:sz w:val="24"/>
          <w:szCs w:val="24"/>
          <w:highlight w:val="none"/>
          <w:lang w:val="en-US" w:eastAsia="zh-CN"/>
        </w:rPr>
        <w:t>%</w:t>
      </w:r>
      <w:r>
        <w:rPr>
          <w:rFonts w:hint="default" w:ascii="Times New Roman" w:hAnsi="Times New Roman" w:eastAsia="宋体" w:cs="Times New Roman"/>
          <w:color w:val="0000FF"/>
          <w:sz w:val="24"/>
          <w:szCs w:val="24"/>
          <w:highlight w:val="none"/>
        </w:rPr>
        <w:t>，，</w:t>
      </w:r>
      <w:r>
        <w:rPr>
          <w:rFonts w:hint="default" w:ascii="Times New Roman" w:hAnsi="Times New Roman" w:cs="Times New Roman" w:eastAsiaTheme="minorEastAsia"/>
          <w:color w:val="0000FF"/>
          <w:kern w:val="2"/>
          <w:sz w:val="24"/>
          <w:szCs w:val="24"/>
          <w:highlight w:val="none"/>
          <w:lang w:val="en-US" w:eastAsia="zh-CN" w:bidi="ar-SA"/>
        </w:rPr>
        <w:t>SO</w:t>
      </w:r>
      <w:r>
        <w:rPr>
          <w:rFonts w:hint="default" w:ascii="Times New Roman" w:hAnsi="Times New Roman" w:cs="Times New Roman" w:eastAsiaTheme="minorEastAsia"/>
          <w:color w:val="0000FF"/>
          <w:kern w:val="2"/>
          <w:sz w:val="24"/>
          <w:szCs w:val="24"/>
          <w:highlight w:val="none"/>
          <w:vertAlign w:val="subscript"/>
          <w:lang w:val="en-US" w:eastAsia="zh-CN" w:bidi="ar-SA"/>
        </w:rPr>
        <w:t>2</w:t>
      </w:r>
      <w:r>
        <w:rPr>
          <w:rFonts w:hint="eastAsia" w:ascii="Times New Roman" w:hAnsi="Times New Roman" w:cs="Times New Roman"/>
          <w:color w:val="0000FF"/>
          <w:sz w:val="24"/>
          <w:szCs w:val="24"/>
          <w:highlight w:val="none"/>
          <w:lang w:eastAsia="zh-CN"/>
        </w:rPr>
        <w:t>、</w:t>
      </w:r>
      <w:r>
        <w:rPr>
          <w:rFonts w:hint="eastAsia" w:ascii="Times New Roman" w:hAnsi="Times New Roman" w:cs="Times New Roman"/>
          <w:color w:val="0000FF"/>
          <w:sz w:val="24"/>
          <w:szCs w:val="24"/>
          <w:highlight w:val="none"/>
          <w:lang w:val="en-US" w:eastAsia="zh-CN"/>
        </w:rPr>
        <w:t>NOx、TSP</w:t>
      </w:r>
      <w:r>
        <w:rPr>
          <w:rFonts w:hint="default" w:ascii="Times New Roman" w:hAnsi="Times New Roman" w:eastAsia="宋体" w:cs="Times New Roman"/>
          <w:color w:val="0000FF"/>
          <w:sz w:val="24"/>
          <w:szCs w:val="24"/>
          <w:highlight w:val="none"/>
        </w:rPr>
        <w:t>的</w:t>
      </w:r>
      <w:r>
        <w:rPr>
          <w:rFonts w:hint="eastAsia" w:ascii="Times New Roman" w:hAnsi="Times New Roman" w:cs="Times New Roman"/>
          <w:color w:val="0000FF"/>
          <w:kern w:val="2"/>
          <w:sz w:val="24"/>
          <w:szCs w:val="24"/>
          <w:highlight w:val="none"/>
          <w:lang w:val="en-US" w:eastAsia="zh-CN" w:bidi="ar-SA"/>
        </w:rPr>
        <w:t>年均</w:t>
      </w:r>
      <w:r>
        <w:rPr>
          <w:rFonts w:hint="default" w:ascii="Times New Roman" w:hAnsi="Times New Roman" w:eastAsia="宋体" w:cs="Times New Roman"/>
          <w:color w:val="0000FF"/>
          <w:sz w:val="24"/>
          <w:szCs w:val="24"/>
          <w:highlight w:val="none"/>
        </w:rPr>
        <w:t>贡献浓度值的占标率均</w:t>
      </w:r>
      <w:r>
        <w:rPr>
          <w:rFonts w:hint="eastAsia" w:ascii="Times New Roman" w:hAnsi="Times New Roman" w:eastAsia="宋体" w:cs="Times New Roman"/>
          <w:color w:val="0000FF"/>
          <w:sz w:val="24"/>
          <w:szCs w:val="24"/>
          <w:highlight w:val="none"/>
          <w:lang w:val="en-US" w:eastAsia="zh-CN"/>
        </w:rPr>
        <w:t>小于</w:t>
      </w:r>
      <w:r>
        <w:rPr>
          <w:rFonts w:hint="eastAsia" w:ascii="Times New Roman" w:hAnsi="Times New Roman" w:cs="Times New Roman"/>
          <w:color w:val="0000FF"/>
          <w:sz w:val="24"/>
          <w:szCs w:val="24"/>
          <w:highlight w:val="none"/>
          <w:lang w:val="en-US" w:eastAsia="zh-CN"/>
        </w:rPr>
        <w:t>1.5</w:t>
      </w:r>
      <w:r>
        <w:rPr>
          <w:rFonts w:hint="eastAsia" w:ascii="Times New Roman" w:hAnsi="Times New Roman" w:eastAsia="宋体" w:cs="Times New Roman"/>
          <w:color w:val="0000FF"/>
          <w:sz w:val="24"/>
          <w:szCs w:val="24"/>
          <w:highlight w:val="none"/>
          <w:lang w:val="en-US" w:eastAsia="zh-CN"/>
        </w:rPr>
        <w:t>%</w:t>
      </w:r>
      <w:r>
        <w:rPr>
          <w:rFonts w:hint="default" w:ascii="Times New Roman" w:hAnsi="Times New Roman" w:eastAsia="宋体" w:cs="Times New Roman"/>
          <w:color w:val="0000FF"/>
          <w:sz w:val="24"/>
          <w:szCs w:val="24"/>
          <w:highlight w:val="none"/>
        </w:rPr>
        <w:t xml:space="preserve">，预测结果满足评价标准要求。 </w:t>
      </w:r>
    </w:p>
    <w:p w14:paraId="0375BE9F">
      <w:pPr>
        <w:keepNext w:val="0"/>
        <w:keepLines w:val="0"/>
        <w:pageBreakBefore w:val="0"/>
        <w:widowControl w:val="0"/>
        <w:kinsoku/>
        <w:wordWrap/>
        <w:overflowPunct/>
        <w:topLinePunct w:val="0"/>
        <w:autoSpaceDE/>
        <w:autoSpaceDN/>
        <w:bidi w:val="0"/>
        <w:adjustRightInd w:val="0"/>
        <w:snapToGrid w:val="0"/>
        <w:spacing w:afterLines="0" w:line="360" w:lineRule="auto"/>
        <w:ind w:firstLine="480" w:firstLineChars="200"/>
        <w:jc w:val="left"/>
        <w:textAlignment w:val="auto"/>
        <w:rPr>
          <w:rFonts w:hint="eastAsia" w:ascii="Times New Roman" w:hAnsi="Times New Roman" w:eastAsia="宋体" w:cs="Times New Roman"/>
          <w:color w:val="0000FF"/>
          <w:sz w:val="24"/>
          <w:szCs w:val="24"/>
          <w:highlight w:val="none"/>
          <w:lang w:val="en-US" w:eastAsia="zh-CN"/>
        </w:rPr>
      </w:pPr>
      <w:r>
        <w:rPr>
          <w:rFonts w:hint="eastAsia" w:ascii="Times New Roman" w:hAnsi="Times New Roman" w:eastAsia="宋体" w:cs="Times New Roman"/>
          <w:color w:val="0000FF"/>
          <w:sz w:val="24"/>
          <w:szCs w:val="24"/>
          <w:highlight w:val="none"/>
          <w:lang w:val="en-US" w:eastAsia="zh-CN"/>
        </w:rPr>
        <w:t>（2）各预测因子叠加浓度预测结果</w:t>
      </w:r>
    </w:p>
    <w:p w14:paraId="40F43F14">
      <w:pPr>
        <w:keepNext w:val="0"/>
        <w:keepLines w:val="0"/>
        <w:pageBreakBefore w:val="0"/>
        <w:widowControl w:val="0"/>
        <w:kinsoku/>
        <w:wordWrap/>
        <w:overflowPunct/>
        <w:topLinePunct w:val="0"/>
        <w:autoSpaceDE/>
        <w:autoSpaceDN/>
        <w:bidi w:val="0"/>
        <w:adjustRightInd w:val="0"/>
        <w:snapToGrid w:val="0"/>
        <w:spacing w:afterLines="0" w:line="360" w:lineRule="auto"/>
        <w:ind w:firstLine="480" w:firstLineChars="200"/>
        <w:jc w:val="left"/>
        <w:textAlignment w:val="auto"/>
        <w:rPr>
          <w:rFonts w:hint="eastAsia" w:ascii="Times New Roman" w:hAnsi="Times New Roman" w:eastAsia="宋体" w:cs="Times New Roman"/>
          <w:color w:val="0000FF"/>
          <w:sz w:val="24"/>
          <w:szCs w:val="24"/>
          <w:highlight w:val="none"/>
          <w:lang w:val="en-US" w:eastAsia="zh-CN"/>
        </w:rPr>
      </w:pPr>
      <w:r>
        <w:rPr>
          <w:rFonts w:hint="eastAsia" w:ascii="Times New Roman" w:hAnsi="Times New Roman" w:eastAsia="宋体" w:cs="Times New Roman"/>
          <w:color w:val="0000FF"/>
          <w:sz w:val="24"/>
          <w:szCs w:val="24"/>
          <w:highlight w:val="none"/>
          <w:lang w:val="en-US" w:eastAsia="zh-CN"/>
        </w:rPr>
        <w:t>本项目位于达标区域，达标区域根据以下方法进行叠加影响预测。</w:t>
      </w:r>
    </w:p>
    <w:p w14:paraId="23AD087B">
      <w:pPr>
        <w:keepNext w:val="0"/>
        <w:keepLines w:val="0"/>
        <w:pageBreakBefore w:val="0"/>
        <w:widowControl w:val="0"/>
        <w:kinsoku/>
        <w:wordWrap/>
        <w:overflowPunct/>
        <w:topLinePunct w:val="0"/>
        <w:autoSpaceDE/>
        <w:autoSpaceDN/>
        <w:bidi w:val="0"/>
        <w:adjustRightInd w:val="0"/>
        <w:snapToGrid w:val="0"/>
        <w:spacing w:afterLines="0" w:line="360" w:lineRule="auto"/>
        <w:ind w:firstLine="480" w:firstLineChars="200"/>
        <w:jc w:val="left"/>
        <w:textAlignment w:val="auto"/>
        <w:rPr>
          <w:rFonts w:hint="default" w:ascii="Times New Roman" w:hAnsi="Times New Roman" w:eastAsia="宋体" w:cs="Times New Roman"/>
          <w:color w:val="0000FF"/>
          <w:sz w:val="24"/>
          <w:szCs w:val="24"/>
          <w:highlight w:val="none"/>
          <w:lang w:val="en-US" w:eastAsia="zh-CN"/>
        </w:rPr>
      </w:pPr>
      <w:r>
        <w:rPr>
          <w:rFonts w:hint="default" w:ascii="Times New Roman" w:hAnsi="Times New Roman" w:eastAsia="宋体" w:cs="Times New Roman"/>
          <w:color w:val="0000FF"/>
          <w:sz w:val="24"/>
          <w:szCs w:val="24"/>
          <w:highlight w:val="none"/>
          <w:lang w:val="en-US" w:eastAsia="zh-CN"/>
        </w:rPr>
        <w:t>根据导则要求，预测评价项目建成后各污染物对预测范围的环境影响，应用本项目的贡献浓度，叠加（减去）区域削减污染源以及其他在建、拟建项目污染源环境影响，并叠加环境质量现状浓度，计算方法如下：</w:t>
      </w:r>
    </w:p>
    <w:p w14:paraId="07AB82E5">
      <w:pPr>
        <w:pStyle w:val="726"/>
        <w:keepNext w:val="0"/>
        <w:keepLines w:val="0"/>
        <w:pageBreakBefore w:val="0"/>
        <w:widowControl w:val="0"/>
        <w:numPr>
          <w:ilvl w:val="0"/>
          <w:numId w:val="0"/>
        </w:numPr>
        <w:kinsoku/>
        <w:wordWrap/>
        <w:overflowPunct/>
        <w:topLinePunct w:val="0"/>
        <w:autoSpaceDE/>
        <w:autoSpaceDN/>
        <w:bidi w:val="0"/>
        <w:adjustRightInd/>
        <w:snapToGrid w:val="0"/>
        <w:ind w:firstLine="480" w:firstLineChars="200"/>
        <w:textAlignment w:val="auto"/>
        <w:rPr>
          <w:rFonts w:hint="default" w:ascii="Times New Roman" w:hAnsi="Times New Roman" w:eastAsia="宋体" w:cs="Times New Roman"/>
          <w:color w:val="0000FF"/>
          <w:kern w:val="2"/>
          <w:sz w:val="24"/>
          <w:szCs w:val="21"/>
          <w:highlight w:val="none"/>
          <w:lang w:val="en-US" w:eastAsia="zh-CN" w:bidi="ar-SA"/>
        </w:rPr>
      </w:pPr>
      <w:r>
        <w:rPr>
          <w:rFonts w:hint="default" w:ascii="Times New Roman" w:hAnsi="Times New Roman" w:eastAsia="宋体" w:cs="Times New Roman"/>
          <w:color w:val="0000FF"/>
          <w:kern w:val="2"/>
          <w:sz w:val="24"/>
          <w:szCs w:val="21"/>
          <w:highlight w:val="none"/>
          <w:lang w:val="en-US" w:eastAsia="zh-CN" w:bidi="ar-SA"/>
        </w:rPr>
        <w:t>C叠加（x,y,t） =C本项目（x,y,t） − C区域削减（x,y,t） + C拟在建（x,y,t） + C现状（x,y,t）</w:t>
      </w:r>
    </w:p>
    <w:p w14:paraId="4489A920">
      <w:pPr>
        <w:pStyle w:val="726"/>
        <w:keepNext w:val="0"/>
        <w:keepLines w:val="0"/>
        <w:pageBreakBefore w:val="0"/>
        <w:widowControl w:val="0"/>
        <w:numPr>
          <w:ilvl w:val="0"/>
          <w:numId w:val="0"/>
        </w:numPr>
        <w:kinsoku/>
        <w:wordWrap/>
        <w:overflowPunct/>
        <w:topLinePunct w:val="0"/>
        <w:autoSpaceDE/>
        <w:autoSpaceDN/>
        <w:bidi w:val="0"/>
        <w:adjustRightInd/>
        <w:snapToGrid w:val="0"/>
        <w:textAlignment w:val="auto"/>
        <w:rPr>
          <w:rFonts w:hint="default" w:ascii="Times New Roman" w:hAnsi="Times New Roman" w:eastAsia="宋体" w:cs="Times New Roman"/>
          <w:color w:val="0000FF"/>
          <w:kern w:val="2"/>
          <w:sz w:val="24"/>
          <w:szCs w:val="21"/>
          <w:highlight w:val="none"/>
          <w:lang w:val="en-US" w:eastAsia="zh-CN" w:bidi="ar-SA"/>
        </w:rPr>
      </w:pPr>
      <w:r>
        <w:rPr>
          <w:rFonts w:hint="default" w:ascii="Times New Roman" w:hAnsi="Times New Roman" w:eastAsia="宋体" w:cs="Times New Roman"/>
          <w:color w:val="0000FF"/>
          <w:kern w:val="2"/>
          <w:sz w:val="24"/>
          <w:szCs w:val="21"/>
          <w:highlight w:val="none"/>
          <w:lang w:val="en-US" w:eastAsia="zh-CN" w:bidi="ar-SA"/>
        </w:rPr>
        <w:t>式中：C叠加（x,y,t）——在 t 时刻，预测点（x,y）叠加各污染源及现状浓度后的环境质量浓度，μg/m</w:t>
      </w:r>
      <w:r>
        <w:rPr>
          <w:rFonts w:hint="default" w:ascii="Times New Roman" w:hAnsi="Times New Roman" w:eastAsia="宋体" w:cs="Times New Roman"/>
          <w:color w:val="0000FF"/>
          <w:kern w:val="2"/>
          <w:sz w:val="24"/>
          <w:szCs w:val="21"/>
          <w:highlight w:val="none"/>
          <w:vertAlign w:val="superscript"/>
          <w:lang w:val="en-US" w:eastAsia="zh-CN" w:bidi="ar-SA"/>
        </w:rPr>
        <w:t>3</w:t>
      </w:r>
      <w:r>
        <w:rPr>
          <w:rFonts w:hint="default" w:ascii="Times New Roman" w:hAnsi="Times New Roman" w:eastAsia="宋体" w:cs="Times New Roman"/>
          <w:color w:val="0000FF"/>
          <w:kern w:val="2"/>
          <w:sz w:val="24"/>
          <w:szCs w:val="21"/>
          <w:highlight w:val="none"/>
          <w:lang w:val="en-US" w:eastAsia="zh-CN" w:bidi="ar-SA"/>
        </w:rPr>
        <w:t>；</w:t>
      </w:r>
    </w:p>
    <w:p w14:paraId="5B5825E6">
      <w:pPr>
        <w:pStyle w:val="726"/>
        <w:keepNext w:val="0"/>
        <w:keepLines w:val="0"/>
        <w:pageBreakBefore w:val="0"/>
        <w:widowControl w:val="0"/>
        <w:numPr>
          <w:ilvl w:val="0"/>
          <w:numId w:val="0"/>
        </w:numPr>
        <w:kinsoku/>
        <w:wordWrap/>
        <w:overflowPunct/>
        <w:topLinePunct w:val="0"/>
        <w:autoSpaceDE/>
        <w:autoSpaceDN/>
        <w:bidi w:val="0"/>
        <w:adjustRightInd/>
        <w:snapToGrid w:val="0"/>
        <w:ind w:firstLine="480" w:firstLineChars="200"/>
        <w:textAlignment w:val="auto"/>
        <w:rPr>
          <w:rFonts w:hint="default" w:ascii="Times New Roman" w:hAnsi="Times New Roman" w:eastAsia="宋体" w:cs="Times New Roman"/>
          <w:color w:val="0000FF"/>
          <w:kern w:val="2"/>
          <w:sz w:val="24"/>
          <w:szCs w:val="21"/>
          <w:highlight w:val="none"/>
          <w:lang w:val="en-US" w:eastAsia="zh-CN" w:bidi="ar-SA"/>
        </w:rPr>
      </w:pPr>
      <w:r>
        <w:rPr>
          <w:rFonts w:hint="default" w:ascii="Times New Roman" w:hAnsi="Times New Roman" w:eastAsia="宋体" w:cs="Times New Roman"/>
          <w:color w:val="0000FF"/>
          <w:kern w:val="2"/>
          <w:sz w:val="24"/>
          <w:szCs w:val="21"/>
          <w:highlight w:val="none"/>
          <w:lang w:val="en-US" w:eastAsia="zh-CN" w:bidi="ar-SA"/>
        </w:rPr>
        <w:t>C本项目（x,y,t）——在 t 时刻，本项目对预测点（x,y）的贡献浓度，μg/m</w:t>
      </w:r>
      <w:r>
        <w:rPr>
          <w:rFonts w:hint="default" w:ascii="Times New Roman" w:hAnsi="Times New Roman" w:eastAsia="宋体" w:cs="Times New Roman"/>
          <w:color w:val="0000FF"/>
          <w:kern w:val="2"/>
          <w:sz w:val="24"/>
          <w:szCs w:val="21"/>
          <w:highlight w:val="none"/>
          <w:vertAlign w:val="superscript"/>
          <w:lang w:val="en-US" w:eastAsia="zh-CN" w:bidi="ar-SA"/>
        </w:rPr>
        <w:t>3</w:t>
      </w:r>
      <w:r>
        <w:rPr>
          <w:rFonts w:hint="default" w:ascii="Times New Roman" w:hAnsi="Times New Roman" w:eastAsia="宋体" w:cs="Times New Roman"/>
          <w:color w:val="0000FF"/>
          <w:kern w:val="2"/>
          <w:sz w:val="24"/>
          <w:szCs w:val="21"/>
          <w:highlight w:val="none"/>
          <w:lang w:val="en-US" w:eastAsia="zh-CN" w:bidi="ar-SA"/>
        </w:rPr>
        <w:t>；</w:t>
      </w:r>
      <w:r>
        <w:rPr>
          <w:rFonts w:hint="eastAsia"/>
          <w:color w:val="0000FF"/>
          <w:lang w:val="en-US" w:eastAsia="zh-CN"/>
        </w:rPr>
        <w:t>其中本项目预测的贡献浓度除新增污染源环境影响外，还应减去“以新带老”污染源的环境影响。</w:t>
      </w:r>
    </w:p>
    <w:p w14:paraId="1CEA3572">
      <w:pPr>
        <w:pStyle w:val="726"/>
        <w:keepNext w:val="0"/>
        <w:keepLines w:val="0"/>
        <w:pageBreakBefore w:val="0"/>
        <w:widowControl w:val="0"/>
        <w:numPr>
          <w:ilvl w:val="0"/>
          <w:numId w:val="0"/>
        </w:numPr>
        <w:kinsoku/>
        <w:wordWrap/>
        <w:overflowPunct/>
        <w:topLinePunct w:val="0"/>
        <w:autoSpaceDE/>
        <w:autoSpaceDN/>
        <w:bidi w:val="0"/>
        <w:adjustRightInd/>
        <w:snapToGrid w:val="0"/>
        <w:ind w:firstLine="480" w:firstLineChars="200"/>
        <w:textAlignment w:val="auto"/>
        <w:rPr>
          <w:rFonts w:hint="default" w:ascii="Times New Roman" w:hAnsi="Times New Roman" w:eastAsia="宋体" w:cs="Times New Roman"/>
          <w:color w:val="0000FF"/>
          <w:kern w:val="2"/>
          <w:sz w:val="24"/>
          <w:szCs w:val="21"/>
          <w:highlight w:val="none"/>
          <w:lang w:val="en-US" w:eastAsia="zh-CN" w:bidi="ar-SA"/>
        </w:rPr>
      </w:pPr>
      <w:r>
        <w:rPr>
          <w:rFonts w:hint="default" w:ascii="Times New Roman" w:hAnsi="Times New Roman" w:eastAsia="宋体" w:cs="Times New Roman"/>
          <w:color w:val="0000FF"/>
          <w:kern w:val="2"/>
          <w:sz w:val="24"/>
          <w:szCs w:val="21"/>
          <w:highlight w:val="none"/>
          <w:lang w:val="en-US" w:eastAsia="zh-CN" w:bidi="ar-SA"/>
        </w:rPr>
        <w:t>C区域削减（x,y,t）——在 t 时刻，区域削减污染源对预测点（x,y）的贡献浓度，μg/m</w:t>
      </w:r>
      <w:r>
        <w:rPr>
          <w:rFonts w:hint="default" w:ascii="Times New Roman" w:hAnsi="Times New Roman" w:eastAsia="宋体" w:cs="Times New Roman"/>
          <w:color w:val="0000FF"/>
          <w:kern w:val="2"/>
          <w:sz w:val="24"/>
          <w:szCs w:val="21"/>
          <w:highlight w:val="none"/>
          <w:vertAlign w:val="superscript"/>
          <w:lang w:val="en-US" w:eastAsia="zh-CN" w:bidi="ar-SA"/>
        </w:rPr>
        <w:t>3</w:t>
      </w:r>
      <w:r>
        <w:rPr>
          <w:rFonts w:hint="default" w:ascii="Times New Roman" w:hAnsi="Times New Roman" w:eastAsia="宋体" w:cs="Times New Roman"/>
          <w:color w:val="0000FF"/>
          <w:kern w:val="2"/>
          <w:sz w:val="24"/>
          <w:szCs w:val="21"/>
          <w:highlight w:val="none"/>
          <w:lang w:val="en-US" w:eastAsia="zh-CN" w:bidi="ar-SA"/>
        </w:rPr>
        <w:t>；</w:t>
      </w:r>
    </w:p>
    <w:p w14:paraId="06B5332C">
      <w:pPr>
        <w:pStyle w:val="726"/>
        <w:keepNext w:val="0"/>
        <w:keepLines w:val="0"/>
        <w:pageBreakBefore w:val="0"/>
        <w:widowControl w:val="0"/>
        <w:numPr>
          <w:ilvl w:val="0"/>
          <w:numId w:val="0"/>
        </w:numPr>
        <w:kinsoku/>
        <w:wordWrap/>
        <w:overflowPunct/>
        <w:topLinePunct w:val="0"/>
        <w:autoSpaceDE/>
        <w:autoSpaceDN/>
        <w:bidi w:val="0"/>
        <w:adjustRightInd/>
        <w:snapToGrid w:val="0"/>
        <w:ind w:firstLine="480" w:firstLineChars="200"/>
        <w:textAlignment w:val="auto"/>
        <w:rPr>
          <w:rFonts w:hint="default" w:ascii="Times New Roman" w:hAnsi="Times New Roman" w:eastAsia="宋体" w:cs="Times New Roman"/>
          <w:color w:val="0000FF"/>
          <w:kern w:val="2"/>
          <w:sz w:val="24"/>
          <w:szCs w:val="21"/>
          <w:highlight w:val="none"/>
          <w:lang w:val="en-US" w:eastAsia="zh-CN" w:bidi="ar-SA"/>
        </w:rPr>
      </w:pPr>
      <w:r>
        <w:rPr>
          <w:rFonts w:hint="default" w:ascii="Times New Roman" w:hAnsi="Times New Roman" w:eastAsia="宋体" w:cs="Times New Roman"/>
          <w:color w:val="0000FF"/>
          <w:kern w:val="2"/>
          <w:sz w:val="24"/>
          <w:szCs w:val="21"/>
          <w:highlight w:val="none"/>
          <w:lang w:val="en-US" w:eastAsia="zh-CN" w:bidi="ar-SA"/>
        </w:rPr>
        <w:t>C现状（x,y,t）——在 t 时刻，预测点（x,y）的环境质量现状浓度，μg/m</w:t>
      </w:r>
      <w:r>
        <w:rPr>
          <w:rFonts w:hint="default" w:ascii="Times New Roman" w:hAnsi="Times New Roman" w:eastAsia="宋体" w:cs="Times New Roman"/>
          <w:color w:val="0000FF"/>
          <w:kern w:val="2"/>
          <w:sz w:val="24"/>
          <w:szCs w:val="21"/>
          <w:highlight w:val="none"/>
          <w:vertAlign w:val="superscript"/>
          <w:lang w:val="en-US" w:eastAsia="zh-CN" w:bidi="ar-SA"/>
        </w:rPr>
        <w:t>3</w:t>
      </w:r>
      <w:r>
        <w:rPr>
          <w:rFonts w:hint="default" w:ascii="Times New Roman" w:hAnsi="Times New Roman" w:eastAsia="宋体" w:cs="Times New Roman"/>
          <w:color w:val="0000FF"/>
          <w:kern w:val="2"/>
          <w:sz w:val="24"/>
          <w:szCs w:val="21"/>
          <w:highlight w:val="none"/>
          <w:lang w:val="en-US" w:eastAsia="zh-CN" w:bidi="ar-SA"/>
        </w:rPr>
        <w:t>；</w:t>
      </w:r>
    </w:p>
    <w:p w14:paraId="2EB150E6">
      <w:pPr>
        <w:pStyle w:val="726"/>
        <w:keepNext w:val="0"/>
        <w:keepLines w:val="0"/>
        <w:pageBreakBefore w:val="0"/>
        <w:widowControl w:val="0"/>
        <w:numPr>
          <w:ilvl w:val="0"/>
          <w:numId w:val="0"/>
        </w:numPr>
        <w:kinsoku/>
        <w:wordWrap/>
        <w:overflowPunct/>
        <w:topLinePunct w:val="0"/>
        <w:autoSpaceDE/>
        <w:autoSpaceDN/>
        <w:bidi w:val="0"/>
        <w:adjustRightInd/>
        <w:snapToGrid w:val="0"/>
        <w:ind w:firstLine="480" w:firstLineChars="200"/>
        <w:textAlignment w:val="auto"/>
        <w:rPr>
          <w:rFonts w:hint="default" w:ascii="Times New Roman" w:hAnsi="Times New Roman" w:eastAsia="宋体" w:cs="Times New Roman"/>
          <w:color w:val="0000FF"/>
          <w:kern w:val="2"/>
          <w:sz w:val="24"/>
          <w:szCs w:val="21"/>
          <w:highlight w:val="none"/>
          <w:lang w:val="en-US" w:eastAsia="zh-CN" w:bidi="ar-SA"/>
        </w:rPr>
      </w:pPr>
      <w:r>
        <w:rPr>
          <w:rFonts w:hint="default" w:ascii="Times New Roman" w:hAnsi="Times New Roman" w:eastAsia="宋体" w:cs="Times New Roman"/>
          <w:color w:val="0000FF"/>
          <w:kern w:val="2"/>
          <w:sz w:val="24"/>
          <w:szCs w:val="21"/>
          <w:highlight w:val="none"/>
          <w:lang w:val="en-US" w:eastAsia="zh-CN" w:bidi="ar-SA"/>
        </w:rPr>
        <w:t>C拟在建（x,y,t）——在 t 时刻，其他在建、拟建项目污染源对预测点（x,y）的贡献浓度，μg/m</w:t>
      </w:r>
      <w:r>
        <w:rPr>
          <w:rFonts w:hint="default" w:ascii="Times New Roman" w:hAnsi="Times New Roman" w:eastAsia="宋体" w:cs="Times New Roman"/>
          <w:color w:val="0000FF"/>
          <w:kern w:val="2"/>
          <w:sz w:val="24"/>
          <w:szCs w:val="21"/>
          <w:highlight w:val="none"/>
          <w:vertAlign w:val="superscript"/>
          <w:lang w:val="en-US" w:eastAsia="zh-CN" w:bidi="ar-SA"/>
        </w:rPr>
        <w:t>3</w:t>
      </w:r>
      <w:r>
        <w:rPr>
          <w:rFonts w:hint="default" w:ascii="Times New Roman" w:hAnsi="Times New Roman" w:eastAsia="宋体" w:cs="Times New Roman"/>
          <w:color w:val="0000FF"/>
          <w:kern w:val="2"/>
          <w:sz w:val="24"/>
          <w:szCs w:val="21"/>
          <w:highlight w:val="none"/>
          <w:lang w:val="en-US" w:eastAsia="zh-CN" w:bidi="ar-SA"/>
        </w:rPr>
        <w:t>。</w:t>
      </w:r>
    </w:p>
    <w:p w14:paraId="5E984517">
      <w:pPr>
        <w:keepNext w:val="0"/>
        <w:keepLines w:val="0"/>
        <w:pageBreakBefore w:val="0"/>
        <w:widowControl w:val="0"/>
        <w:kinsoku/>
        <w:wordWrap/>
        <w:overflowPunct/>
        <w:topLinePunct w:val="0"/>
        <w:autoSpaceDE/>
        <w:autoSpaceDN/>
        <w:bidi w:val="0"/>
        <w:adjustRightInd/>
        <w:snapToGrid w:val="0"/>
        <w:spacing w:line="360" w:lineRule="auto"/>
        <w:ind w:firstLine="480"/>
        <w:textAlignment w:val="auto"/>
        <w:rPr>
          <w:rFonts w:hint="default" w:ascii="Times New Roman" w:hAnsi="Times New Roman" w:eastAsia="宋体" w:cs="Times New Roman"/>
          <w:color w:val="0000FF"/>
          <w:sz w:val="24"/>
          <w:szCs w:val="32"/>
        </w:rPr>
      </w:pPr>
      <w:r>
        <w:rPr>
          <w:rFonts w:hint="default" w:ascii="Times New Roman" w:hAnsi="Times New Roman" w:eastAsia="宋体" w:cs="Times New Roman"/>
          <w:color w:val="0000FF"/>
          <w:sz w:val="24"/>
          <w:szCs w:val="32"/>
        </w:rPr>
        <w:t>对于保证率日平均质量浓度，首先计算叠加后预测点上的日平均质量浓度，然后对该预测点所有日平均质量浓度从小到大进行排序，根据各污染物日平均质量浓度的保证率（p），计算排在p百分位数的第m个序数，序数m对应的日平均质量浓度即为保证率日平均浓度C</w:t>
      </w:r>
      <w:r>
        <w:rPr>
          <w:rFonts w:hint="default" w:ascii="Times New Roman" w:hAnsi="Times New Roman" w:eastAsia="宋体" w:cs="Times New Roman"/>
          <w:color w:val="0000FF"/>
          <w:sz w:val="24"/>
          <w:szCs w:val="32"/>
          <w:vertAlign w:val="subscript"/>
        </w:rPr>
        <w:t>m</w:t>
      </w:r>
      <w:r>
        <w:rPr>
          <w:rFonts w:hint="default" w:ascii="Times New Roman" w:hAnsi="Times New Roman" w:eastAsia="宋体" w:cs="Times New Roman"/>
          <w:color w:val="0000FF"/>
          <w:sz w:val="24"/>
          <w:szCs w:val="32"/>
        </w:rPr>
        <w:t>。其中序数m计算方法如下。</w:t>
      </w:r>
    </w:p>
    <w:p w14:paraId="2BFBC203">
      <w:pPr>
        <w:keepNext w:val="0"/>
        <w:keepLines w:val="0"/>
        <w:pageBreakBefore w:val="0"/>
        <w:widowControl w:val="0"/>
        <w:kinsoku/>
        <w:wordWrap/>
        <w:overflowPunct/>
        <w:topLinePunct w:val="0"/>
        <w:autoSpaceDE/>
        <w:autoSpaceDN/>
        <w:bidi w:val="0"/>
        <w:adjustRightInd/>
        <w:snapToGrid w:val="0"/>
        <w:spacing w:line="360" w:lineRule="auto"/>
        <w:ind w:firstLine="480"/>
        <w:jc w:val="center"/>
        <w:textAlignment w:val="auto"/>
        <w:rPr>
          <w:rFonts w:hint="default" w:ascii="Times New Roman" w:hAnsi="Times New Roman" w:eastAsia="宋体" w:cs="Times New Roman"/>
          <w:color w:val="0000FF"/>
          <w:sz w:val="24"/>
          <w:szCs w:val="32"/>
        </w:rPr>
      </w:pPr>
      <w:r>
        <w:rPr>
          <w:rFonts w:hint="default" w:ascii="Times New Roman" w:hAnsi="Times New Roman" w:eastAsia="宋体" w:cs="Times New Roman"/>
          <w:color w:val="0000FF"/>
          <w:sz w:val="24"/>
          <w:szCs w:val="32"/>
        </w:rPr>
        <w:t>m= 1+（n−1）×p</w:t>
      </w:r>
    </w:p>
    <w:p w14:paraId="5703EAB4">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宋体" w:cs="Times New Roman"/>
          <w:color w:val="0000FF"/>
          <w:sz w:val="24"/>
          <w:szCs w:val="32"/>
        </w:rPr>
      </w:pPr>
      <w:r>
        <w:rPr>
          <w:rFonts w:hint="default" w:ascii="Times New Roman" w:hAnsi="Times New Roman" w:eastAsia="宋体" w:cs="Times New Roman"/>
          <w:color w:val="0000FF"/>
          <w:sz w:val="24"/>
          <w:szCs w:val="32"/>
        </w:rPr>
        <w:t>式中：p——该污染物日平均质量浓度的保证率，按HJ 663规定的对应污染物年</w:t>
      </w:r>
    </w:p>
    <w:p w14:paraId="55C46D84">
      <w:pPr>
        <w:keepNext w:val="0"/>
        <w:keepLines w:val="0"/>
        <w:pageBreakBefore w:val="0"/>
        <w:widowControl w:val="0"/>
        <w:kinsoku/>
        <w:wordWrap/>
        <w:overflowPunct/>
        <w:topLinePunct w:val="0"/>
        <w:autoSpaceDE/>
        <w:autoSpaceDN/>
        <w:bidi w:val="0"/>
        <w:adjustRightInd/>
        <w:snapToGrid w:val="0"/>
        <w:spacing w:line="360" w:lineRule="auto"/>
        <w:ind w:firstLine="1440" w:firstLineChars="600"/>
        <w:textAlignment w:val="auto"/>
        <w:rPr>
          <w:rFonts w:hint="default" w:ascii="Times New Roman" w:hAnsi="Times New Roman" w:eastAsia="宋体" w:cs="Times New Roman"/>
          <w:color w:val="0000FF"/>
          <w:sz w:val="24"/>
          <w:szCs w:val="32"/>
        </w:rPr>
      </w:pPr>
      <w:r>
        <w:rPr>
          <w:rFonts w:hint="default" w:ascii="Times New Roman" w:hAnsi="Times New Roman" w:eastAsia="宋体" w:cs="Times New Roman"/>
          <w:color w:val="0000FF"/>
          <w:sz w:val="24"/>
          <w:szCs w:val="32"/>
        </w:rPr>
        <w:t>评价中24 h平均百分位数取值，%；</w:t>
      </w:r>
    </w:p>
    <w:p w14:paraId="3796ACA8">
      <w:pPr>
        <w:keepNext w:val="0"/>
        <w:keepLines w:val="0"/>
        <w:pageBreakBefore w:val="0"/>
        <w:widowControl w:val="0"/>
        <w:kinsoku/>
        <w:wordWrap/>
        <w:overflowPunct/>
        <w:topLinePunct w:val="0"/>
        <w:autoSpaceDE/>
        <w:autoSpaceDN/>
        <w:bidi w:val="0"/>
        <w:adjustRightInd/>
        <w:snapToGrid w:val="0"/>
        <w:spacing w:line="360" w:lineRule="auto"/>
        <w:ind w:firstLine="720" w:firstLineChars="300"/>
        <w:textAlignment w:val="auto"/>
        <w:rPr>
          <w:rFonts w:hint="default" w:ascii="Times New Roman" w:hAnsi="Times New Roman" w:eastAsia="宋体" w:cs="Times New Roman"/>
          <w:color w:val="0000FF"/>
          <w:sz w:val="24"/>
          <w:szCs w:val="32"/>
        </w:rPr>
      </w:pPr>
      <w:r>
        <w:rPr>
          <w:rFonts w:hint="default" w:ascii="Times New Roman" w:hAnsi="Times New Roman" w:eastAsia="宋体" w:cs="Times New Roman"/>
          <w:color w:val="0000FF"/>
          <w:sz w:val="24"/>
          <w:szCs w:val="32"/>
        </w:rPr>
        <w:t>n—— 1个日历年内单个预测点上的日平均质量浓度的所有数据个数，个；</w:t>
      </w:r>
    </w:p>
    <w:p w14:paraId="058773ED">
      <w:pPr>
        <w:keepNext w:val="0"/>
        <w:keepLines w:val="0"/>
        <w:pageBreakBefore w:val="0"/>
        <w:widowControl w:val="0"/>
        <w:kinsoku/>
        <w:wordWrap/>
        <w:overflowPunct/>
        <w:topLinePunct w:val="0"/>
        <w:autoSpaceDE/>
        <w:autoSpaceDN/>
        <w:bidi w:val="0"/>
        <w:adjustRightInd/>
        <w:snapToGrid w:val="0"/>
        <w:spacing w:line="360" w:lineRule="auto"/>
        <w:ind w:firstLine="720" w:firstLineChars="300"/>
        <w:textAlignment w:val="auto"/>
        <w:rPr>
          <w:rFonts w:hint="default" w:ascii="Times New Roman" w:hAnsi="Times New Roman" w:eastAsia="宋体" w:cs="Times New Roman"/>
          <w:color w:val="0000FF"/>
          <w:sz w:val="24"/>
          <w:szCs w:val="32"/>
        </w:rPr>
      </w:pPr>
      <w:r>
        <w:rPr>
          <w:rFonts w:hint="default" w:ascii="Times New Roman" w:hAnsi="Times New Roman" w:eastAsia="宋体" w:cs="Times New Roman"/>
          <w:color w:val="0000FF"/>
          <w:sz w:val="24"/>
          <w:szCs w:val="32"/>
        </w:rPr>
        <w:t>m——百分位数 p 对应的序数（第m个），向上取整数。</w:t>
      </w:r>
    </w:p>
    <w:p w14:paraId="4846D9A8">
      <w:pPr>
        <w:pStyle w:val="2"/>
        <w:rPr>
          <w:rFonts w:hint="default"/>
        </w:rPr>
        <w:sectPr>
          <w:pgSz w:w="11907" w:h="16840"/>
          <w:pgMar w:top="1440" w:right="1800" w:bottom="1440" w:left="1800" w:header="851" w:footer="1077" w:gutter="0"/>
          <w:pgBorders w:offsetFrom="page">
            <w:top w:val="none" w:sz="0" w:space="0"/>
            <w:left w:val="none" w:sz="0" w:space="0"/>
            <w:bottom w:val="none" w:sz="0" w:space="0"/>
            <w:right w:val="none" w:sz="0" w:space="0"/>
          </w:pgBorders>
          <w:pgNumType w:fmt="decimal"/>
          <w:cols w:space="720" w:num="1"/>
          <w:docGrid w:type="lines" w:linePitch="479" w:charSpace="0"/>
        </w:sectPr>
      </w:pPr>
      <w:r>
        <w:rPr>
          <w:rFonts w:hint="default"/>
          <w:color w:val="0000FF"/>
          <w:sz w:val="24"/>
          <w:szCs w:val="18"/>
        </w:rPr>
        <w:t>项目评价网格及敏感点各因子的平均浓度增值叠加“以新带老”污染源，预测结果如下。</w:t>
      </w:r>
    </w:p>
    <w:p w14:paraId="4FB74E5F">
      <w:pPr>
        <w:tabs>
          <w:tab w:val="left" w:pos="851"/>
          <w:tab w:val="left" w:pos="1141"/>
          <w:tab w:val="left" w:pos="4335"/>
        </w:tabs>
        <w:jc w:val="center"/>
        <w:rPr>
          <w:rFonts w:hint="default" w:ascii="Times New Roman" w:hAnsi="Times New Roman" w:eastAsia="黑体" w:cs="Times New Roman"/>
          <w:bCs/>
          <w:color w:val="0000FF"/>
        </w:rPr>
      </w:pPr>
      <w:r>
        <w:rPr>
          <w:rFonts w:hint="default" w:ascii="Times New Roman" w:hAnsi="Times New Roman" w:eastAsia="黑体" w:cs="Times New Roman"/>
          <w:bCs/>
          <w:color w:val="0000FF"/>
        </w:rPr>
        <w:t>表</w:t>
      </w:r>
      <w:r>
        <w:rPr>
          <w:rFonts w:hint="eastAsia" w:ascii="Times New Roman" w:hAnsi="Times New Roman" w:eastAsia="黑体" w:cs="Times New Roman"/>
          <w:bCs/>
          <w:color w:val="0000FF"/>
          <w:lang w:val="en-US" w:eastAsia="zh-CN"/>
        </w:rPr>
        <w:t>5.1-22</w:t>
      </w:r>
      <w:r>
        <w:rPr>
          <w:rFonts w:hint="default" w:ascii="Times New Roman" w:hAnsi="Times New Roman" w:eastAsia="黑体" w:cs="Times New Roman"/>
          <w:bCs/>
          <w:color w:val="0000FF"/>
        </w:rPr>
        <w:t xml:space="preserve"> 关心点及网格点</w:t>
      </w:r>
      <w:r>
        <w:rPr>
          <w:rFonts w:hint="eastAsia" w:ascii="Times New Roman" w:hAnsi="Times New Roman" w:eastAsia="黑体" w:cs="Times New Roman"/>
          <w:bCs/>
          <w:color w:val="0000FF"/>
          <w:lang w:val="en-US" w:eastAsia="zh-CN"/>
        </w:rPr>
        <w:t>SO</w:t>
      </w:r>
      <w:r>
        <w:rPr>
          <w:rFonts w:hint="eastAsia" w:ascii="Times New Roman" w:hAnsi="Times New Roman" w:eastAsia="黑体" w:cs="Times New Roman"/>
          <w:bCs/>
          <w:color w:val="0000FF"/>
          <w:vertAlign w:val="subscript"/>
          <w:lang w:val="en-US" w:eastAsia="zh-CN"/>
        </w:rPr>
        <w:t>2</w:t>
      </w:r>
      <w:r>
        <w:rPr>
          <w:rFonts w:hint="default" w:ascii="Times New Roman" w:hAnsi="Times New Roman" w:eastAsia="黑体" w:cs="Times New Roman"/>
          <w:bCs/>
          <w:color w:val="0000FF"/>
        </w:rPr>
        <w:t>叠加最大浓度预测结果表</w:t>
      </w:r>
    </w:p>
    <w:tbl>
      <w:tblPr>
        <w:tblStyle w:val="56"/>
        <w:tblW w:w="14115" w:type="dxa"/>
        <w:jc w:val="center"/>
        <w:tblBorders>
          <w:top w:val="thinThickSmallGap" w:color="auto" w:sz="12" w:space="0"/>
          <w:left w:val="none" w:color="auto" w:sz="0" w:space="0"/>
          <w:bottom w:val="thinThickSmallGap" w:color="auto" w:sz="12" w:space="0"/>
          <w:right w:val="none" w:color="auto" w:sz="0"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528"/>
        <w:gridCol w:w="990"/>
        <w:gridCol w:w="1275"/>
        <w:gridCol w:w="1875"/>
        <w:gridCol w:w="1260"/>
        <w:gridCol w:w="1770"/>
        <w:gridCol w:w="1140"/>
        <w:gridCol w:w="1605"/>
        <w:gridCol w:w="1275"/>
        <w:gridCol w:w="1485"/>
        <w:gridCol w:w="912"/>
      </w:tblGrid>
      <w:tr w14:paraId="2693DE09">
        <w:tblPrEx>
          <w:tblBorders>
            <w:top w:val="thinThickSmallGap" w:color="auto" w:sz="12" w:space="0"/>
            <w:left w:val="none" w:color="auto" w:sz="0" w:space="0"/>
            <w:bottom w:val="thinThickSmallGap" w:color="auto" w:sz="12" w:space="0"/>
            <w:right w:val="none" w:color="auto" w:sz="0"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 w:hRule="atLeast"/>
          <w:jc w:val="center"/>
        </w:trPr>
        <w:tc>
          <w:tcPr>
            <w:tcW w:w="528" w:type="dxa"/>
            <w:tcBorders>
              <w:tl2br w:val="nil"/>
              <w:tr2bl w:val="nil"/>
            </w:tcBorders>
            <w:shd w:val="clear" w:color="auto" w:fill="auto"/>
            <w:noWrap/>
            <w:vAlign w:val="center"/>
          </w:tcPr>
          <w:p w14:paraId="6C628AE0">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sz w:val="22"/>
                <w:szCs w:val="22"/>
                <w:u w:val="none"/>
              </w:rPr>
            </w:pPr>
            <w:r>
              <w:rPr>
                <w:rFonts w:hint="default" w:ascii="Times New Roman" w:hAnsi="Times New Roman" w:eastAsia="宋体" w:cs="Times New Roman"/>
                <w:i w:val="0"/>
                <w:iCs w:val="0"/>
                <w:color w:val="0000FF"/>
                <w:kern w:val="0"/>
                <w:sz w:val="22"/>
                <w:szCs w:val="22"/>
                <w:u w:val="none"/>
                <w:lang w:val="en-US" w:eastAsia="zh-CN" w:bidi="ar"/>
              </w:rPr>
              <w:t>序号</w:t>
            </w:r>
          </w:p>
        </w:tc>
        <w:tc>
          <w:tcPr>
            <w:tcW w:w="990" w:type="dxa"/>
            <w:tcBorders>
              <w:tl2br w:val="nil"/>
              <w:tr2bl w:val="nil"/>
            </w:tcBorders>
            <w:shd w:val="clear" w:color="auto" w:fill="auto"/>
            <w:noWrap/>
            <w:vAlign w:val="center"/>
          </w:tcPr>
          <w:p w14:paraId="07D86BBC">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sz w:val="22"/>
                <w:szCs w:val="22"/>
                <w:u w:val="none"/>
              </w:rPr>
            </w:pPr>
            <w:r>
              <w:rPr>
                <w:rFonts w:hint="default" w:ascii="Times New Roman" w:hAnsi="Times New Roman" w:eastAsia="宋体" w:cs="Times New Roman"/>
                <w:i w:val="0"/>
                <w:iCs w:val="0"/>
                <w:color w:val="0000FF"/>
                <w:kern w:val="0"/>
                <w:sz w:val="22"/>
                <w:szCs w:val="22"/>
                <w:u w:val="none"/>
                <w:lang w:val="en-US" w:eastAsia="zh-CN" w:bidi="ar"/>
              </w:rPr>
              <w:t>点名称</w:t>
            </w:r>
          </w:p>
        </w:tc>
        <w:tc>
          <w:tcPr>
            <w:tcW w:w="1275" w:type="dxa"/>
            <w:tcBorders>
              <w:tl2br w:val="nil"/>
              <w:tr2bl w:val="nil"/>
            </w:tcBorders>
            <w:shd w:val="clear" w:color="auto" w:fill="auto"/>
            <w:noWrap/>
            <w:vAlign w:val="center"/>
          </w:tcPr>
          <w:p w14:paraId="71B83DF0">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sz w:val="22"/>
                <w:szCs w:val="22"/>
                <w:u w:val="none"/>
              </w:rPr>
            </w:pPr>
            <w:r>
              <w:rPr>
                <w:rFonts w:hint="default" w:ascii="Times New Roman" w:hAnsi="Times New Roman" w:eastAsia="宋体" w:cs="Times New Roman"/>
                <w:i w:val="0"/>
                <w:iCs w:val="0"/>
                <w:color w:val="0000FF"/>
                <w:kern w:val="0"/>
                <w:sz w:val="22"/>
                <w:szCs w:val="22"/>
                <w:u w:val="none"/>
                <w:lang w:val="en-US" w:eastAsia="zh-CN" w:bidi="ar"/>
              </w:rPr>
              <w:t>点坐标(x,y)</w:t>
            </w:r>
          </w:p>
        </w:tc>
        <w:tc>
          <w:tcPr>
            <w:tcW w:w="1875" w:type="dxa"/>
            <w:tcBorders>
              <w:tl2br w:val="nil"/>
              <w:tr2bl w:val="nil"/>
            </w:tcBorders>
            <w:shd w:val="clear" w:color="auto" w:fill="auto"/>
            <w:noWrap/>
            <w:vAlign w:val="center"/>
          </w:tcPr>
          <w:p w14:paraId="32432EC6">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sz w:val="22"/>
                <w:szCs w:val="22"/>
                <w:u w:val="none"/>
              </w:rPr>
            </w:pPr>
            <w:r>
              <w:rPr>
                <w:rFonts w:hint="default" w:ascii="Times New Roman" w:hAnsi="Times New Roman" w:eastAsia="宋体" w:cs="Times New Roman"/>
                <w:i w:val="0"/>
                <w:iCs w:val="0"/>
                <w:color w:val="0000FF"/>
                <w:kern w:val="0"/>
                <w:sz w:val="22"/>
                <w:szCs w:val="22"/>
                <w:u w:val="none"/>
                <w:lang w:val="en-US" w:eastAsia="zh-CN" w:bidi="ar"/>
              </w:rPr>
              <w:t>浓度类型</w:t>
            </w:r>
          </w:p>
        </w:tc>
        <w:tc>
          <w:tcPr>
            <w:tcW w:w="1260" w:type="dxa"/>
            <w:tcBorders>
              <w:tl2br w:val="nil"/>
              <w:tr2bl w:val="nil"/>
            </w:tcBorders>
            <w:shd w:val="clear" w:color="auto" w:fill="auto"/>
            <w:noWrap/>
            <w:vAlign w:val="center"/>
          </w:tcPr>
          <w:p w14:paraId="7D9C21FA">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sz w:val="22"/>
                <w:szCs w:val="22"/>
                <w:u w:val="none"/>
              </w:rPr>
            </w:pPr>
            <w:r>
              <w:rPr>
                <w:rFonts w:hint="default" w:ascii="Times New Roman" w:hAnsi="Times New Roman" w:eastAsia="宋体" w:cs="Times New Roman"/>
                <w:i w:val="0"/>
                <w:iCs w:val="0"/>
                <w:color w:val="0000FF"/>
                <w:kern w:val="0"/>
                <w:sz w:val="22"/>
                <w:szCs w:val="22"/>
                <w:u w:val="none"/>
                <w:lang w:val="en-US" w:eastAsia="zh-CN" w:bidi="ar"/>
              </w:rPr>
              <w:t>浓度增量(mg/m</w:t>
            </w:r>
            <w:r>
              <w:rPr>
                <w:rFonts w:hint="default" w:ascii="Times New Roman" w:hAnsi="Times New Roman" w:eastAsia="宋体" w:cs="Times New Roman"/>
                <w:i w:val="0"/>
                <w:iCs w:val="0"/>
                <w:color w:val="0000FF"/>
                <w:kern w:val="0"/>
                <w:sz w:val="22"/>
                <w:szCs w:val="22"/>
                <w:u w:val="none"/>
                <w:vertAlign w:val="superscript"/>
                <w:lang w:val="en-US" w:eastAsia="zh-CN" w:bidi="ar"/>
              </w:rPr>
              <w:t>3</w:t>
            </w:r>
            <w:r>
              <w:rPr>
                <w:rFonts w:hint="default" w:ascii="Times New Roman" w:hAnsi="Times New Roman" w:eastAsia="宋体" w:cs="Times New Roman"/>
                <w:i w:val="0"/>
                <w:iCs w:val="0"/>
                <w:color w:val="0000FF"/>
                <w:kern w:val="0"/>
                <w:sz w:val="22"/>
                <w:szCs w:val="22"/>
                <w:u w:val="none"/>
                <w:lang w:val="en-US" w:eastAsia="zh-CN" w:bidi="ar"/>
              </w:rPr>
              <w:t>)</w:t>
            </w:r>
          </w:p>
        </w:tc>
        <w:tc>
          <w:tcPr>
            <w:tcW w:w="1770" w:type="dxa"/>
            <w:tcBorders>
              <w:tl2br w:val="nil"/>
              <w:tr2bl w:val="nil"/>
            </w:tcBorders>
            <w:shd w:val="clear" w:color="auto" w:fill="auto"/>
            <w:noWrap/>
            <w:vAlign w:val="center"/>
          </w:tcPr>
          <w:p w14:paraId="49FBEF1F">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sz w:val="22"/>
                <w:szCs w:val="22"/>
                <w:u w:val="none"/>
              </w:rPr>
            </w:pPr>
            <w:r>
              <w:rPr>
                <w:rFonts w:hint="default" w:ascii="Times New Roman" w:hAnsi="Times New Roman" w:eastAsia="宋体" w:cs="Times New Roman"/>
                <w:i w:val="0"/>
                <w:iCs w:val="0"/>
                <w:color w:val="0000FF"/>
                <w:kern w:val="0"/>
                <w:sz w:val="22"/>
                <w:szCs w:val="22"/>
                <w:u w:val="none"/>
                <w:lang w:val="en-US" w:eastAsia="zh-CN" w:bidi="ar"/>
              </w:rPr>
              <w:t>出现时间(YYMMDDHH)</w:t>
            </w:r>
          </w:p>
        </w:tc>
        <w:tc>
          <w:tcPr>
            <w:tcW w:w="1140" w:type="dxa"/>
            <w:tcBorders>
              <w:tl2br w:val="nil"/>
              <w:tr2bl w:val="nil"/>
            </w:tcBorders>
            <w:shd w:val="clear" w:color="auto" w:fill="auto"/>
            <w:noWrap/>
            <w:vAlign w:val="center"/>
          </w:tcPr>
          <w:p w14:paraId="23F989ED">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sz w:val="22"/>
                <w:szCs w:val="22"/>
                <w:u w:val="none"/>
              </w:rPr>
            </w:pPr>
            <w:r>
              <w:rPr>
                <w:rFonts w:hint="default" w:ascii="Times New Roman" w:hAnsi="Times New Roman" w:eastAsia="宋体" w:cs="Times New Roman"/>
                <w:i w:val="0"/>
                <w:iCs w:val="0"/>
                <w:color w:val="0000FF"/>
                <w:kern w:val="0"/>
                <w:sz w:val="22"/>
                <w:szCs w:val="22"/>
                <w:u w:val="none"/>
                <w:lang w:val="en-US" w:eastAsia="zh-CN" w:bidi="ar"/>
              </w:rPr>
              <w:t>背景浓度(mg/m</w:t>
            </w:r>
            <w:r>
              <w:rPr>
                <w:rFonts w:hint="default" w:ascii="Times New Roman" w:hAnsi="Times New Roman" w:eastAsia="宋体" w:cs="Times New Roman"/>
                <w:i w:val="0"/>
                <w:iCs w:val="0"/>
                <w:color w:val="0000FF"/>
                <w:kern w:val="0"/>
                <w:sz w:val="22"/>
                <w:szCs w:val="22"/>
                <w:u w:val="none"/>
                <w:vertAlign w:val="superscript"/>
                <w:lang w:val="en-US" w:eastAsia="zh-CN" w:bidi="ar"/>
              </w:rPr>
              <w:t>3</w:t>
            </w:r>
            <w:r>
              <w:rPr>
                <w:rFonts w:hint="default" w:ascii="Times New Roman" w:hAnsi="Times New Roman" w:eastAsia="宋体" w:cs="Times New Roman"/>
                <w:i w:val="0"/>
                <w:iCs w:val="0"/>
                <w:color w:val="0000FF"/>
                <w:kern w:val="0"/>
                <w:sz w:val="22"/>
                <w:szCs w:val="22"/>
                <w:u w:val="none"/>
                <w:lang w:val="en-US" w:eastAsia="zh-CN" w:bidi="ar"/>
              </w:rPr>
              <w:t>)</w:t>
            </w:r>
          </w:p>
        </w:tc>
        <w:tc>
          <w:tcPr>
            <w:tcW w:w="1605" w:type="dxa"/>
            <w:tcBorders>
              <w:tl2br w:val="nil"/>
              <w:tr2bl w:val="nil"/>
            </w:tcBorders>
            <w:shd w:val="clear" w:color="auto" w:fill="auto"/>
            <w:noWrap/>
            <w:vAlign w:val="center"/>
          </w:tcPr>
          <w:p w14:paraId="42538695">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sz w:val="22"/>
                <w:szCs w:val="22"/>
                <w:u w:val="none"/>
              </w:rPr>
            </w:pPr>
            <w:r>
              <w:rPr>
                <w:rFonts w:hint="default" w:ascii="Times New Roman" w:hAnsi="Times New Roman" w:eastAsia="宋体" w:cs="Times New Roman"/>
                <w:i w:val="0"/>
                <w:iCs w:val="0"/>
                <w:color w:val="0000FF"/>
                <w:kern w:val="0"/>
                <w:sz w:val="22"/>
                <w:szCs w:val="22"/>
                <w:u w:val="none"/>
                <w:lang w:val="en-US" w:eastAsia="zh-CN" w:bidi="ar"/>
              </w:rPr>
              <w:t>叠加背景后的浓度(mg/m</w:t>
            </w:r>
            <w:r>
              <w:rPr>
                <w:rFonts w:hint="default" w:ascii="Times New Roman" w:hAnsi="Times New Roman" w:eastAsia="宋体" w:cs="Times New Roman"/>
                <w:i w:val="0"/>
                <w:iCs w:val="0"/>
                <w:color w:val="0000FF"/>
                <w:kern w:val="0"/>
                <w:sz w:val="22"/>
                <w:szCs w:val="22"/>
                <w:u w:val="none"/>
                <w:vertAlign w:val="superscript"/>
                <w:lang w:val="en-US" w:eastAsia="zh-CN" w:bidi="ar"/>
              </w:rPr>
              <w:t>3</w:t>
            </w:r>
            <w:r>
              <w:rPr>
                <w:rFonts w:hint="default" w:ascii="Times New Roman" w:hAnsi="Times New Roman" w:eastAsia="宋体" w:cs="Times New Roman"/>
                <w:i w:val="0"/>
                <w:iCs w:val="0"/>
                <w:color w:val="0000FF"/>
                <w:kern w:val="0"/>
                <w:sz w:val="22"/>
                <w:szCs w:val="22"/>
                <w:u w:val="none"/>
                <w:lang w:val="en-US" w:eastAsia="zh-CN" w:bidi="ar"/>
              </w:rPr>
              <w:t>)</w:t>
            </w:r>
          </w:p>
        </w:tc>
        <w:tc>
          <w:tcPr>
            <w:tcW w:w="1275" w:type="dxa"/>
            <w:tcBorders>
              <w:tl2br w:val="nil"/>
              <w:tr2bl w:val="nil"/>
            </w:tcBorders>
            <w:shd w:val="clear" w:color="auto" w:fill="auto"/>
            <w:noWrap/>
            <w:vAlign w:val="center"/>
          </w:tcPr>
          <w:p w14:paraId="578B7B8D">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sz w:val="22"/>
                <w:szCs w:val="22"/>
                <w:u w:val="none"/>
              </w:rPr>
            </w:pPr>
            <w:r>
              <w:rPr>
                <w:rFonts w:hint="default" w:ascii="Times New Roman" w:hAnsi="Times New Roman" w:eastAsia="宋体" w:cs="Times New Roman"/>
                <w:i w:val="0"/>
                <w:iCs w:val="0"/>
                <w:color w:val="0000FF"/>
                <w:kern w:val="0"/>
                <w:sz w:val="22"/>
                <w:szCs w:val="22"/>
                <w:u w:val="none"/>
                <w:lang w:val="en-US" w:eastAsia="zh-CN" w:bidi="ar"/>
              </w:rPr>
              <w:t>评价标准(mg/m</w:t>
            </w:r>
            <w:r>
              <w:rPr>
                <w:rFonts w:hint="default" w:ascii="Times New Roman" w:hAnsi="Times New Roman" w:eastAsia="宋体" w:cs="Times New Roman"/>
                <w:i w:val="0"/>
                <w:iCs w:val="0"/>
                <w:color w:val="0000FF"/>
                <w:kern w:val="0"/>
                <w:sz w:val="22"/>
                <w:szCs w:val="22"/>
                <w:u w:val="none"/>
                <w:vertAlign w:val="superscript"/>
                <w:lang w:val="en-US" w:eastAsia="zh-CN" w:bidi="ar"/>
              </w:rPr>
              <w:t>3</w:t>
            </w:r>
            <w:r>
              <w:rPr>
                <w:rFonts w:hint="default" w:ascii="Times New Roman" w:hAnsi="Times New Roman" w:eastAsia="宋体" w:cs="Times New Roman"/>
                <w:i w:val="0"/>
                <w:iCs w:val="0"/>
                <w:color w:val="0000FF"/>
                <w:kern w:val="0"/>
                <w:sz w:val="22"/>
                <w:szCs w:val="22"/>
                <w:u w:val="none"/>
                <w:lang w:val="en-US" w:eastAsia="zh-CN" w:bidi="ar"/>
              </w:rPr>
              <w:t>)</w:t>
            </w:r>
          </w:p>
        </w:tc>
        <w:tc>
          <w:tcPr>
            <w:tcW w:w="1485" w:type="dxa"/>
            <w:tcBorders>
              <w:tl2br w:val="nil"/>
              <w:tr2bl w:val="nil"/>
            </w:tcBorders>
            <w:shd w:val="clear" w:color="auto" w:fill="auto"/>
            <w:noWrap/>
            <w:vAlign w:val="center"/>
          </w:tcPr>
          <w:p w14:paraId="67D58DF6">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sz w:val="22"/>
                <w:szCs w:val="22"/>
                <w:u w:val="none"/>
              </w:rPr>
            </w:pPr>
            <w:r>
              <w:rPr>
                <w:rFonts w:hint="default" w:ascii="Times New Roman" w:hAnsi="Times New Roman" w:eastAsia="宋体" w:cs="Times New Roman"/>
                <w:i w:val="0"/>
                <w:iCs w:val="0"/>
                <w:color w:val="0000FF"/>
                <w:kern w:val="0"/>
                <w:sz w:val="22"/>
                <w:szCs w:val="22"/>
                <w:u w:val="none"/>
                <w:lang w:val="en-US" w:eastAsia="zh-CN" w:bidi="ar"/>
              </w:rPr>
              <w:t>占标率%(叠加背景以后)</w:t>
            </w:r>
          </w:p>
        </w:tc>
        <w:tc>
          <w:tcPr>
            <w:tcW w:w="912" w:type="dxa"/>
            <w:tcBorders>
              <w:tl2br w:val="nil"/>
              <w:tr2bl w:val="nil"/>
            </w:tcBorders>
            <w:shd w:val="clear" w:color="auto" w:fill="auto"/>
            <w:noWrap/>
            <w:vAlign w:val="center"/>
          </w:tcPr>
          <w:p w14:paraId="11162550">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sz w:val="22"/>
                <w:szCs w:val="22"/>
                <w:u w:val="none"/>
              </w:rPr>
            </w:pPr>
            <w:r>
              <w:rPr>
                <w:rFonts w:hint="default" w:ascii="Times New Roman" w:hAnsi="Times New Roman" w:eastAsia="宋体" w:cs="Times New Roman"/>
                <w:i w:val="0"/>
                <w:iCs w:val="0"/>
                <w:color w:val="0000FF"/>
                <w:kern w:val="0"/>
                <w:sz w:val="22"/>
                <w:szCs w:val="22"/>
                <w:u w:val="none"/>
                <w:lang w:val="en-US" w:eastAsia="zh-CN" w:bidi="ar"/>
              </w:rPr>
              <w:t>是否超标</w:t>
            </w:r>
          </w:p>
        </w:tc>
      </w:tr>
      <w:tr w14:paraId="2B9AF488">
        <w:tblPrEx>
          <w:tblBorders>
            <w:top w:val="thinThickSmallGap" w:color="auto" w:sz="12" w:space="0"/>
            <w:left w:val="none" w:color="auto" w:sz="0" w:space="0"/>
            <w:bottom w:val="thinThick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528" w:type="dxa"/>
            <w:vMerge w:val="restart"/>
            <w:tcBorders>
              <w:tl2br w:val="nil"/>
              <w:tr2bl w:val="nil"/>
            </w:tcBorders>
            <w:shd w:val="clear" w:color="auto" w:fill="auto"/>
            <w:noWrap/>
            <w:vAlign w:val="center"/>
          </w:tcPr>
          <w:p w14:paraId="44F9B2AC">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sz w:val="22"/>
                <w:szCs w:val="22"/>
                <w:u w:val="none"/>
              </w:rPr>
            </w:pPr>
            <w:r>
              <w:rPr>
                <w:rFonts w:hint="default" w:ascii="Times New Roman" w:hAnsi="Times New Roman" w:eastAsia="宋体" w:cs="Times New Roman"/>
                <w:i w:val="0"/>
                <w:iCs w:val="0"/>
                <w:color w:val="0000FF"/>
                <w:kern w:val="0"/>
                <w:sz w:val="22"/>
                <w:szCs w:val="22"/>
                <w:u w:val="none"/>
                <w:lang w:val="en-US" w:eastAsia="zh-CN" w:bidi="ar"/>
              </w:rPr>
              <w:t>1</w:t>
            </w:r>
          </w:p>
        </w:tc>
        <w:tc>
          <w:tcPr>
            <w:tcW w:w="990" w:type="dxa"/>
            <w:vMerge w:val="restart"/>
            <w:tcBorders>
              <w:tl2br w:val="nil"/>
              <w:tr2bl w:val="nil"/>
            </w:tcBorders>
            <w:shd w:val="clear" w:color="auto" w:fill="auto"/>
            <w:noWrap/>
            <w:vAlign w:val="center"/>
          </w:tcPr>
          <w:p w14:paraId="5C7CB508">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sz w:val="22"/>
                <w:szCs w:val="22"/>
                <w:u w:val="none"/>
              </w:rPr>
            </w:pPr>
            <w:r>
              <w:rPr>
                <w:rFonts w:hint="default" w:ascii="Times New Roman" w:hAnsi="Times New Roman" w:eastAsia="宋体" w:cs="Times New Roman"/>
                <w:i w:val="0"/>
                <w:iCs w:val="0"/>
                <w:color w:val="0000FF"/>
                <w:kern w:val="0"/>
                <w:sz w:val="22"/>
                <w:szCs w:val="22"/>
                <w:u w:val="none"/>
                <w:lang w:val="en-US" w:eastAsia="zh-CN" w:bidi="ar"/>
              </w:rPr>
              <w:t>祁家堡</w:t>
            </w:r>
          </w:p>
        </w:tc>
        <w:tc>
          <w:tcPr>
            <w:tcW w:w="1275" w:type="dxa"/>
            <w:vMerge w:val="restart"/>
            <w:tcBorders>
              <w:tl2br w:val="nil"/>
              <w:tr2bl w:val="nil"/>
            </w:tcBorders>
            <w:shd w:val="clear" w:color="auto" w:fill="auto"/>
            <w:noWrap/>
            <w:vAlign w:val="center"/>
          </w:tcPr>
          <w:p w14:paraId="089B380F">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sz w:val="22"/>
                <w:szCs w:val="22"/>
                <w:u w:val="none"/>
              </w:rPr>
            </w:pPr>
            <w:r>
              <w:rPr>
                <w:rFonts w:hint="default" w:ascii="Times New Roman" w:hAnsi="Times New Roman" w:eastAsia="宋体" w:cs="Times New Roman"/>
                <w:i w:val="0"/>
                <w:iCs w:val="0"/>
                <w:color w:val="0000FF"/>
                <w:kern w:val="0"/>
                <w:sz w:val="22"/>
                <w:szCs w:val="22"/>
                <w:u w:val="none"/>
                <w:lang w:val="en-US" w:eastAsia="zh-CN" w:bidi="ar"/>
              </w:rPr>
              <w:t>85,261</w:t>
            </w:r>
          </w:p>
        </w:tc>
        <w:tc>
          <w:tcPr>
            <w:tcW w:w="1875" w:type="dxa"/>
            <w:tcBorders>
              <w:tl2br w:val="nil"/>
              <w:tr2bl w:val="nil"/>
            </w:tcBorders>
            <w:shd w:val="clear" w:color="auto" w:fill="auto"/>
            <w:noWrap/>
            <w:vAlign w:val="center"/>
          </w:tcPr>
          <w:p w14:paraId="10FC3D80">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sz w:val="22"/>
                <w:szCs w:val="22"/>
                <w:u w:val="none"/>
              </w:rPr>
            </w:pPr>
            <w:r>
              <w:rPr>
                <w:rFonts w:hint="default" w:ascii="Times New Roman" w:hAnsi="Times New Roman" w:eastAsia="宋体" w:cs="Times New Roman"/>
                <w:i w:val="0"/>
                <w:iCs w:val="0"/>
                <w:color w:val="0000FF"/>
                <w:kern w:val="0"/>
                <w:sz w:val="22"/>
                <w:szCs w:val="22"/>
                <w:u w:val="none"/>
                <w:lang w:val="en-US" w:eastAsia="zh-CN" w:bidi="ar"/>
              </w:rPr>
              <w:t>1小时</w:t>
            </w:r>
          </w:p>
        </w:tc>
        <w:tc>
          <w:tcPr>
            <w:tcW w:w="1260" w:type="dxa"/>
            <w:tcBorders>
              <w:tl2br w:val="nil"/>
              <w:tr2bl w:val="nil"/>
            </w:tcBorders>
            <w:shd w:val="clear" w:color="auto" w:fill="auto"/>
            <w:noWrap/>
            <w:vAlign w:val="center"/>
          </w:tcPr>
          <w:p w14:paraId="4E92B993">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sz w:val="22"/>
                <w:szCs w:val="22"/>
                <w:u w:val="none"/>
              </w:rPr>
            </w:pPr>
            <w:r>
              <w:rPr>
                <w:rFonts w:hint="default" w:ascii="Times New Roman" w:hAnsi="Times New Roman" w:eastAsia="宋体" w:cs="Times New Roman"/>
                <w:i w:val="0"/>
                <w:iCs w:val="0"/>
                <w:color w:val="0000FF"/>
                <w:kern w:val="0"/>
                <w:sz w:val="22"/>
                <w:szCs w:val="22"/>
                <w:u w:val="none"/>
                <w:lang w:val="en-US" w:eastAsia="zh-CN" w:bidi="ar"/>
              </w:rPr>
              <w:t>1.26E-03</w:t>
            </w:r>
          </w:p>
        </w:tc>
        <w:tc>
          <w:tcPr>
            <w:tcW w:w="1770" w:type="dxa"/>
            <w:tcBorders>
              <w:tl2br w:val="nil"/>
              <w:tr2bl w:val="nil"/>
            </w:tcBorders>
            <w:shd w:val="clear" w:color="auto" w:fill="auto"/>
            <w:noWrap/>
            <w:vAlign w:val="center"/>
          </w:tcPr>
          <w:p w14:paraId="0E2C3037">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sz w:val="22"/>
                <w:szCs w:val="22"/>
                <w:u w:val="none"/>
              </w:rPr>
            </w:pPr>
            <w:r>
              <w:rPr>
                <w:rFonts w:hint="default" w:ascii="Times New Roman" w:hAnsi="Times New Roman" w:eastAsia="宋体" w:cs="Times New Roman"/>
                <w:i w:val="0"/>
                <w:iCs w:val="0"/>
                <w:color w:val="0000FF"/>
                <w:kern w:val="0"/>
                <w:sz w:val="22"/>
                <w:szCs w:val="22"/>
                <w:u w:val="none"/>
                <w:lang w:val="en-US" w:eastAsia="zh-CN" w:bidi="ar"/>
              </w:rPr>
              <w:t>24090312</w:t>
            </w:r>
          </w:p>
        </w:tc>
        <w:tc>
          <w:tcPr>
            <w:tcW w:w="1140" w:type="dxa"/>
            <w:tcBorders>
              <w:tl2br w:val="nil"/>
              <w:tr2bl w:val="nil"/>
            </w:tcBorders>
            <w:shd w:val="clear" w:color="auto" w:fill="auto"/>
            <w:noWrap/>
            <w:vAlign w:val="center"/>
          </w:tcPr>
          <w:p w14:paraId="75BE7168">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sz w:val="22"/>
                <w:szCs w:val="22"/>
                <w:u w:val="none"/>
              </w:rPr>
            </w:pPr>
            <w:r>
              <w:rPr>
                <w:rFonts w:hint="default" w:ascii="Times New Roman" w:hAnsi="Times New Roman" w:eastAsia="宋体" w:cs="Times New Roman"/>
                <w:i w:val="0"/>
                <w:iCs w:val="0"/>
                <w:color w:val="0000FF"/>
                <w:kern w:val="0"/>
                <w:sz w:val="22"/>
                <w:szCs w:val="22"/>
                <w:u w:val="none"/>
                <w:lang w:val="en-US" w:eastAsia="zh-CN" w:bidi="ar"/>
              </w:rPr>
              <w:t>0.00E+00</w:t>
            </w:r>
          </w:p>
        </w:tc>
        <w:tc>
          <w:tcPr>
            <w:tcW w:w="1605" w:type="dxa"/>
            <w:tcBorders>
              <w:tl2br w:val="nil"/>
              <w:tr2bl w:val="nil"/>
            </w:tcBorders>
            <w:shd w:val="clear" w:color="auto" w:fill="auto"/>
            <w:noWrap/>
            <w:vAlign w:val="center"/>
          </w:tcPr>
          <w:p w14:paraId="2EE0F698">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sz w:val="22"/>
                <w:szCs w:val="22"/>
                <w:u w:val="none"/>
              </w:rPr>
            </w:pPr>
            <w:r>
              <w:rPr>
                <w:rFonts w:hint="default" w:ascii="Times New Roman" w:hAnsi="Times New Roman" w:eastAsia="宋体" w:cs="Times New Roman"/>
                <w:i w:val="0"/>
                <w:iCs w:val="0"/>
                <w:color w:val="0000FF"/>
                <w:kern w:val="0"/>
                <w:sz w:val="22"/>
                <w:szCs w:val="22"/>
                <w:u w:val="none"/>
                <w:lang w:val="en-US" w:eastAsia="zh-CN" w:bidi="ar"/>
              </w:rPr>
              <w:t>1.26E-03</w:t>
            </w:r>
          </w:p>
        </w:tc>
        <w:tc>
          <w:tcPr>
            <w:tcW w:w="1275" w:type="dxa"/>
            <w:tcBorders>
              <w:tl2br w:val="nil"/>
              <w:tr2bl w:val="nil"/>
            </w:tcBorders>
            <w:shd w:val="clear" w:color="auto" w:fill="auto"/>
            <w:noWrap/>
            <w:vAlign w:val="center"/>
          </w:tcPr>
          <w:p w14:paraId="1FE5880E">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sz w:val="22"/>
                <w:szCs w:val="22"/>
                <w:u w:val="none"/>
              </w:rPr>
            </w:pPr>
            <w:r>
              <w:rPr>
                <w:rFonts w:hint="default" w:ascii="Times New Roman" w:hAnsi="Times New Roman" w:eastAsia="宋体" w:cs="Times New Roman"/>
                <w:i w:val="0"/>
                <w:iCs w:val="0"/>
                <w:color w:val="0000FF"/>
                <w:kern w:val="0"/>
                <w:sz w:val="22"/>
                <w:szCs w:val="22"/>
                <w:u w:val="none"/>
                <w:lang w:val="en-US" w:eastAsia="zh-CN" w:bidi="ar"/>
              </w:rPr>
              <w:t>5.00E-01</w:t>
            </w:r>
          </w:p>
        </w:tc>
        <w:tc>
          <w:tcPr>
            <w:tcW w:w="1485" w:type="dxa"/>
            <w:tcBorders>
              <w:tl2br w:val="nil"/>
              <w:tr2bl w:val="nil"/>
            </w:tcBorders>
            <w:shd w:val="clear" w:color="auto" w:fill="auto"/>
            <w:noWrap/>
            <w:vAlign w:val="center"/>
          </w:tcPr>
          <w:p w14:paraId="41457792">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sz w:val="22"/>
                <w:szCs w:val="22"/>
                <w:u w:val="none"/>
              </w:rPr>
            </w:pPr>
            <w:r>
              <w:rPr>
                <w:rFonts w:hint="default" w:ascii="Times New Roman" w:hAnsi="Times New Roman" w:eastAsia="宋体" w:cs="Times New Roman"/>
                <w:i w:val="0"/>
                <w:iCs w:val="0"/>
                <w:color w:val="0000FF"/>
                <w:kern w:val="0"/>
                <w:sz w:val="22"/>
                <w:szCs w:val="22"/>
                <w:u w:val="none"/>
                <w:lang w:val="en-US" w:eastAsia="zh-CN" w:bidi="ar"/>
              </w:rPr>
              <w:t>0.25</w:t>
            </w:r>
          </w:p>
        </w:tc>
        <w:tc>
          <w:tcPr>
            <w:tcW w:w="912" w:type="dxa"/>
            <w:tcBorders>
              <w:tl2br w:val="nil"/>
              <w:tr2bl w:val="nil"/>
            </w:tcBorders>
            <w:shd w:val="clear" w:color="auto" w:fill="auto"/>
            <w:noWrap/>
            <w:vAlign w:val="center"/>
          </w:tcPr>
          <w:p w14:paraId="3DF684C2">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sz w:val="22"/>
                <w:szCs w:val="22"/>
                <w:u w:val="none"/>
              </w:rPr>
            </w:pPr>
            <w:r>
              <w:rPr>
                <w:rFonts w:hint="default" w:ascii="Times New Roman" w:hAnsi="Times New Roman" w:eastAsia="宋体" w:cs="Times New Roman"/>
                <w:i w:val="0"/>
                <w:iCs w:val="0"/>
                <w:color w:val="0000FF"/>
                <w:kern w:val="0"/>
                <w:sz w:val="22"/>
                <w:szCs w:val="22"/>
                <w:u w:val="none"/>
                <w:lang w:val="en-US" w:eastAsia="zh-CN" w:bidi="ar"/>
              </w:rPr>
              <w:t>达标</w:t>
            </w:r>
          </w:p>
        </w:tc>
      </w:tr>
      <w:tr w14:paraId="641A4758">
        <w:tblPrEx>
          <w:tblBorders>
            <w:top w:val="thinThickSmallGap" w:color="auto" w:sz="12" w:space="0"/>
            <w:left w:val="none" w:color="auto" w:sz="0" w:space="0"/>
            <w:bottom w:val="thinThickSmallGap" w:color="auto" w:sz="12" w:space="0"/>
            <w:right w:val="none" w:color="auto" w:sz="0"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 w:hRule="atLeast"/>
          <w:jc w:val="center"/>
        </w:trPr>
        <w:tc>
          <w:tcPr>
            <w:tcW w:w="528" w:type="dxa"/>
            <w:vMerge w:val="continue"/>
            <w:tcBorders>
              <w:tl2br w:val="nil"/>
              <w:tr2bl w:val="nil"/>
            </w:tcBorders>
            <w:shd w:val="clear" w:color="auto" w:fill="auto"/>
            <w:noWrap/>
            <w:vAlign w:val="center"/>
          </w:tcPr>
          <w:p w14:paraId="0476D5F5">
            <w:pPr>
              <w:keepNext w:val="0"/>
              <w:keepLines w:val="0"/>
              <w:pageBreakBefore w:val="0"/>
              <w:widowControl/>
              <w:kinsoku/>
              <w:wordWrap/>
              <w:overflowPunct/>
              <w:topLinePunct w:val="0"/>
              <w:autoSpaceDE/>
              <w:autoSpaceDN/>
              <w:bidi w:val="0"/>
              <w:adjustRightInd w:val="0"/>
              <w:snapToGrid w:val="0"/>
              <w:spacing w:line="240" w:lineRule="auto"/>
              <w:ind w:firstLineChars="0"/>
              <w:jc w:val="center"/>
              <w:rPr>
                <w:rFonts w:hint="default" w:ascii="Times New Roman" w:hAnsi="Times New Roman" w:eastAsia="宋体" w:cs="Times New Roman"/>
                <w:i w:val="0"/>
                <w:iCs w:val="0"/>
                <w:color w:val="0000FF"/>
                <w:sz w:val="22"/>
                <w:szCs w:val="22"/>
                <w:u w:val="none"/>
              </w:rPr>
            </w:pPr>
          </w:p>
        </w:tc>
        <w:tc>
          <w:tcPr>
            <w:tcW w:w="990" w:type="dxa"/>
            <w:vMerge w:val="continue"/>
            <w:tcBorders>
              <w:tl2br w:val="nil"/>
              <w:tr2bl w:val="nil"/>
            </w:tcBorders>
            <w:shd w:val="clear" w:color="auto" w:fill="auto"/>
            <w:noWrap/>
            <w:vAlign w:val="center"/>
          </w:tcPr>
          <w:p w14:paraId="7D51EDE1">
            <w:pPr>
              <w:keepNext w:val="0"/>
              <w:keepLines w:val="0"/>
              <w:pageBreakBefore w:val="0"/>
              <w:widowControl/>
              <w:kinsoku/>
              <w:wordWrap/>
              <w:overflowPunct/>
              <w:topLinePunct w:val="0"/>
              <w:autoSpaceDE/>
              <w:autoSpaceDN/>
              <w:bidi w:val="0"/>
              <w:adjustRightInd w:val="0"/>
              <w:snapToGrid w:val="0"/>
              <w:spacing w:line="240" w:lineRule="auto"/>
              <w:ind w:firstLineChars="0"/>
              <w:jc w:val="center"/>
              <w:rPr>
                <w:rFonts w:hint="default" w:ascii="Times New Roman" w:hAnsi="Times New Roman" w:eastAsia="宋体" w:cs="Times New Roman"/>
                <w:i w:val="0"/>
                <w:iCs w:val="0"/>
                <w:color w:val="0000FF"/>
                <w:sz w:val="22"/>
                <w:szCs w:val="22"/>
                <w:u w:val="none"/>
              </w:rPr>
            </w:pPr>
          </w:p>
        </w:tc>
        <w:tc>
          <w:tcPr>
            <w:tcW w:w="1275" w:type="dxa"/>
            <w:vMerge w:val="continue"/>
            <w:tcBorders>
              <w:tl2br w:val="nil"/>
              <w:tr2bl w:val="nil"/>
            </w:tcBorders>
            <w:shd w:val="clear" w:color="auto" w:fill="auto"/>
            <w:noWrap/>
            <w:vAlign w:val="center"/>
          </w:tcPr>
          <w:p w14:paraId="1DFFCC06">
            <w:pPr>
              <w:keepNext w:val="0"/>
              <w:keepLines w:val="0"/>
              <w:pageBreakBefore w:val="0"/>
              <w:widowControl/>
              <w:kinsoku/>
              <w:wordWrap/>
              <w:overflowPunct/>
              <w:topLinePunct w:val="0"/>
              <w:autoSpaceDE/>
              <w:autoSpaceDN/>
              <w:bidi w:val="0"/>
              <w:adjustRightInd w:val="0"/>
              <w:snapToGrid w:val="0"/>
              <w:spacing w:line="240" w:lineRule="auto"/>
              <w:ind w:firstLineChars="0"/>
              <w:jc w:val="center"/>
              <w:rPr>
                <w:rFonts w:hint="default" w:ascii="Times New Roman" w:hAnsi="Times New Roman" w:eastAsia="宋体" w:cs="Times New Roman"/>
                <w:i w:val="0"/>
                <w:iCs w:val="0"/>
                <w:color w:val="0000FF"/>
                <w:sz w:val="22"/>
                <w:szCs w:val="22"/>
                <w:u w:val="none"/>
              </w:rPr>
            </w:pPr>
          </w:p>
        </w:tc>
        <w:tc>
          <w:tcPr>
            <w:tcW w:w="1875" w:type="dxa"/>
            <w:tcBorders>
              <w:tl2br w:val="nil"/>
              <w:tr2bl w:val="nil"/>
            </w:tcBorders>
            <w:shd w:val="clear" w:color="auto" w:fill="auto"/>
            <w:noWrap/>
            <w:vAlign w:val="center"/>
          </w:tcPr>
          <w:p w14:paraId="46CA2DBB">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1"/>
                <w:szCs w:val="21"/>
                <w:u w:val="none"/>
                <w:lang w:val="en-US" w:eastAsia="zh-CN" w:bidi="ar"/>
              </w:rPr>
              <w:t>98%</w:t>
            </w:r>
            <w:r>
              <w:rPr>
                <w:rStyle w:val="542"/>
                <w:rFonts w:hint="default" w:ascii="Times New Roman" w:hAnsi="Times New Roman" w:cs="Times New Roman"/>
                <w:color w:val="0000FF"/>
                <w:lang w:val="en-US" w:eastAsia="zh-CN" w:bidi="ar"/>
              </w:rPr>
              <w:t>保证率日平均</w:t>
            </w:r>
          </w:p>
        </w:tc>
        <w:tc>
          <w:tcPr>
            <w:tcW w:w="1260" w:type="dxa"/>
            <w:tcBorders>
              <w:tl2br w:val="nil"/>
              <w:tr2bl w:val="nil"/>
            </w:tcBorders>
            <w:shd w:val="clear" w:color="auto" w:fill="auto"/>
            <w:noWrap/>
            <w:vAlign w:val="center"/>
          </w:tcPr>
          <w:p w14:paraId="2DB17948">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sz w:val="22"/>
                <w:szCs w:val="22"/>
                <w:u w:val="none"/>
              </w:rPr>
            </w:pPr>
            <w:r>
              <w:rPr>
                <w:rFonts w:hint="default" w:ascii="Times New Roman" w:hAnsi="Times New Roman" w:eastAsia="宋体" w:cs="Times New Roman"/>
                <w:i w:val="0"/>
                <w:iCs w:val="0"/>
                <w:color w:val="0000FF"/>
                <w:kern w:val="0"/>
                <w:sz w:val="22"/>
                <w:szCs w:val="22"/>
                <w:u w:val="none"/>
                <w:lang w:val="en-US" w:eastAsia="zh-CN" w:bidi="ar"/>
              </w:rPr>
              <w:t>5.72E-08</w:t>
            </w:r>
          </w:p>
        </w:tc>
        <w:tc>
          <w:tcPr>
            <w:tcW w:w="1770" w:type="dxa"/>
            <w:tcBorders>
              <w:tl2br w:val="nil"/>
              <w:tr2bl w:val="nil"/>
            </w:tcBorders>
            <w:shd w:val="clear" w:color="auto" w:fill="auto"/>
            <w:noWrap/>
            <w:vAlign w:val="center"/>
          </w:tcPr>
          <w:p w14:paraId="4128C7DF">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sz w:val="22"/>
                <w:szCs w:val="22"/>
                <w:u w:val="none"/>
              </w:rPr>
            </w:pPr>
            <w:r>
              <w:rPr>
                <w:rFonts w:hint="default" w:ascii="Times New Roman" w:hAnsi="Times New Roman" w:eastAsia="宋体" w:cs="Times New Roman"/>
                <w:i w:val="0"/>
                <w:iCs w:val="0"/>
                <w:color w:val="0000FF"/>
                <w:kern w:val="0"/>
                <w:sz w:val="22"/>
                <w:szCs w:val="22"/>
                <w:u w:val="none"/>
                <w:lang w:val="en-US" w:eastAsia="zh-CN" w:bidi="ar"/>
              </w:rPr>
              <w:t>240123</w:t>
            </w:r>
          </w:p>
        </w:tc>
        <w:tc>
          <w:tcPr>
            <w:tcW w:w="1140" w:type="dxa"/>
            <w:tcBorders>
              <w:tl2br w:val="nil"/>
              <w:tr2bl w:val="nil"/>
            </w:tcBorders>
            <w:shd w:val="clear" w:color="auto" w:fill="auto"/>
            <w:noWrap/>
            <w:vAlign w:val="center"/>
          </w:tcPr>
          <w:p w14:paraId="7E53BE55">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sz w:val="22"/>
                <w:szCs w:val="22"/>
                <w:u w:val="none"/>
              </w:rPr>
            </w:pPr>
            <w:r>
              <w:rPr>
                <w:rFonts w:hint="default" w:ascii="Times New Roman" w:hAnsi="Times New Roman" w:eastAsia="宋体" w:cs="Times New Roman"/>
                <w:i w:val="0"/>
                <w:iCs w:val="0"/>
                <w:color w:val="0000FF"/>
                <w:kern w:val="0"/>
                <w:sz w:val="22"/>
                <w:szCs w:val="22"/>
                <w:u w:val="none"/>
                <w:lang w:val="en-US" w:eastAsia="zh-CN" w:bidi="ar"/>
              </w:rPr>
              <w:t>1.80E-02</w:t>
            </w:r>
          </w:p>
        </w:tc>
        <w:tc>
          <w:tcPr>
            <w:tcW w:w="1605" w:type="dxa"/>
            <w:tcBorders>
              <w:tl2br w:val="nil"/>
              <w:tr2bl w:val="nil"/>
            </w:tcBorders>
            <w:shd w:val="clear" w:color="auto" w:fill="auto"/>
            <w:noWrap/>
            <w:vAlign w:val="center"/>
          </w:tcPr>
          <w:p w14:paraId="0E60609B">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sz w:val="22"/>
                <w:szCs w:val="22"/>
                <w:u w:val="none"/>
              </w:rPr>
            </w:pPr>
            <w:r>
              <w:rPr>
                <w:rFonts w:hint="default" w:ascii="Times New Roman" w:hAnsi="Times New Roman" w:eastAsia="宋体" w:cs="Times New Roman"/>
                <w:i w:val="0"/>
                <w:iCs w:val="0"/>
                <w:color w:val="0000FF"/>
                <w:kern w:val="0"/>
                <w:sz w:val="22"/>
                <w:szCs w:val="22"/>
                <w:u w:val="none"/>
                <w:lang w:val="en-US" w:eastAsia="zh-CN" w:bidi="ar"/>
              </w:rPr>
              <w:t>1.80E-02</w:t>
            </w:r>
          </w:p>
        </w:tc>
        <w:tc>
          <w:tcPr>
            <w:tcW w:w="1275" w:type="dxa"/>
            <w:tcBorders>
              <w:tl2br w:val="nil"/>
              <w:tr2bl w:val="nil"/>
            </w:tcBorders>
            <w:shd w:val="clear" w:color="auto" w:fill="auto"/>
            <w:noWrap/>
            <w:vAlign w:val="center"/>
          </w:tcPr>
          <w:p w14:paraId="65F76602">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sz w:val="22"/>
                <w:szCs w:val="22"/>
                <w:u w:val="none"/>
              </w:rPr>
            </w:pPr>
            <w:r>
              <w:rPr>
                <w:rFonts w:hint="default" w:ascii="Times New Roman" w:hAnsi="Times New Roman" w:eastAsia="宋体" w:cs="Times New Roman"/>
                <w:i w:val="0"/>
                <w:iCs w:val="0"/>
                <w:color w:val="0000FF"/>
                <w:kern w:val="0"/>
                <w:sz w:val="22"/>
                <w:szCs w:val="22"/>
                <w:u w:val="none"/>
                <w:lang w:val="en-US" w:eastAsia="zh-CN" w:bidi="ar"/>
              </w:rPr>
              <w:t>1.50E-01</w:t>
            </w:r>
          </w:p>
        </w:tc>
        <w:tc>
          <w:tcPr>
            <w:tcW w:w="1485" w:type="dxa"/>
            <w:tcBorders>
              <w:tl2br w:val="nil"/>
              <w:tr2bl w:val="nil"/>
            </w:tcBorders>
            <w:shd w:val="clear" w:color="auto" w:fill="auto"/>
            <w:noWrap/>
            <w:vAlign w:val="center"/>
          </w:tcPr>
          <w:p w14:paraId="2D5D98DB">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sz w:val="22"/>
                <w:szCs w:val="22"/>
                <w:u w:val="none"/>
              </w:rPr>
            </w:pPr>
            <w:r>
              <w:rPr>
                <w:rFonts w:hint="default" w:ascii="Times New Roman" w:hAnsi="Times New Roman" w:eastAsia="宋体" w:cs="Times New Roman"/>
                <w:i w:val="0"/>
                <w:iCs w:val="0"/>
                <w:color w:val="0000FF"/>
                <w:kern w:val="0"/>
                <w:sz w:val="22"/>
                <w:szCs w:val="22"/>
                <w:u w:val="none"/>
                <w:lang w:val="en-US" w:eastAsia="zh-CN" w:bidi="ar"/>
              </w:rPr>
              <w:t>12</w:t>
            </w:r>
          </w:p>
        </w:tc>
        <w:tc>
          <w:tcPr>
            <w:tcW w:w="912" w:type="dxa"/>
            <w:tcBorders>
              <w:tl2br w:val="nil"/>
              <w:tr2bl w:val="nil"/>
            </w:tcBorders>
            <w:shd w:val="clear" w:color="auto" w:fill="auto"/>
            <w:noWrap/>
            <w:vAlign w:val="center"/>
          </w:tcPr>
          <w:p w14:paraId="461B87CB">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sz w:val="22"/>
                <w:szCs w:val="22"/>
                <w:u w:val="none"/>
              </w:rPr>
            </w:pPr>
            <w:r>
              <w:rPr>
                <w:rFonts w:hint="default" w:ascii="Times New Roman" w:hAnsi="Times New Roman" w:eastAsia="宋体" w:cs="Times New Roman"/>
                <w:i w:val="0"/>
                <w:iCs w:val="0"/>
                <w:color w:val="0000FF"/>
                <w:kern w:val="0"/>
                <w:sz w:val="22"/>
                <w:szCs w:val="22"/>
                <w:u w:val="none"/>
                <w:lang w:val="en-US" w:eastAsia="zh-CN" w:bidi="ar"/>
              </w:rPr>
              <w:t>达标</w:t>
            </w:r>
          </w:p>
        </w:tc>
      </w:tr>
      <w:tr w14:paraId="06316552">
        <w:tblPrEx>
          <w:tblBorders>
            <w:top w:val="thinThickSmallGap" w:color="auto" w:sz="12" w:space="0"/>
            <w:left w:val="none" w:color="auto" w:sz="0" w:space="0"/>
            <w:bottom w:val="thinThick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528" w:type="dxa"/>
            <w:vMerge w:val="continue"/>
            <w:tcBorders>
              <w:tl2br w:val="nil"/>
              <w:tr2bl w:val="nil"/>
            </w:tcBorders>
            <w:shd w:val="clear" w:color="auto" w:fill="auto"/>
            <w:noWrap/>
            <w:vAlign w:val="center"/>
          </w:tcPr>
          <w:p w14:paraId="375A8253">
            <w:pPr>
              <w:keepNext w:val="0"/>
              <w:keepLines w:val="0"/>
              <w:pageBreakBefore w:val="0"/>
              <w:widowControl/>
              <w:kinsoku/>
              <w:wordWrap/>
              <w:overflowPunct/>
              <w:topLinePunct w:val="0"/>
              <w:autoSpaceDE/>
              <w:autoSpaceDN/>
              <w:bidi w:val="0"/>
              <w:adjustRightInd w:val="0"/>
              <w:snapToGrid w:val="0"/>
              <w:spacing w:line="240" w:lineRule="auto"/>
              <w:ind w:firstLineChars="0"/>
              <w:jc w:val="center"/>
              <w:rPr>
                <w:rFonts w:hint="default" w:ascii="Times New Roman" w:hAnsi="Times New Roman" w:eastAsia="宋体" w:cs="Times New Roman"/>
                <w:i w:val="0"/>
                <w:iCs w:val="0"/>
                <w:color w:val="0000FF"/>
                <w:sz w:val="22"/>
                <w:szCs w:val="22"/>
                <w:u w:val="none"/>
              </w:rPr>
            </w:pPr>
          </w:p>
        </w:tc>
        <w:tc>
          <w:tcPr>
            <w:tcW w:w="990" w:type="dxa"/>
            <w:vMerge w:val="continue"/>
            <w:tcBorders>
              <w:tl2br w:val="nil"/>
              <w:tr2bl w:val="nil"/>
            </w:tcBorders>
            <w:shd w:val="clear" w:color="auto" w:fill="auto"/>
            <w:noWrap/>
            <w:vAlign w:val="center"/>
          </w:tcPr>
          <w:p w14:paraId="34068ACC">
            <w:pPr>
              <w:keepNext w:val="0"/>
              <w:keepLines w:val="0"/>
              <w:pageBreakBefore w:val="0"/>
              <w:widowControl/>
              <w:kinsoku/>
              <w:wordWrap/>
              <w:overflowPunct/>
              <w:topLinePunct w:val="0"/>
              <w:autoSpaceDE/>
              <w:autoSpaceDN/>
              <w:bidi w:val="0"/>
              <w:adjustRightInd w:val="0"/>
              <w:snapToGrid w:val="0"/>
              <w:spacing w:line="240" w:lineRule="auto"/>
              <w:ind w:firstLineChars="0"/>
              <w:jc w:val="center"/>
              <w:rPr>
                <w:rFonts w:hint="default" w:ascii="Times New Roman" w:hAnsi="Times New Roman" w:eastAsia="宋体" w:cs="Times New Roman"/>
                <w:i w:val="0"/>
                <w:iCs w:val="0"/>
                <w:color w:val="0000FF"/>
                <w:sz w:val="22"/>
                <w:szCs w:val="22"/>
                <w:u w:val="none"/>
              </w:rPr>
            </w:pPr>
          </w:p>
        </w:tc>
        <w:tc>
          <w:tcPr>
            <w:tcW w:w="1275" w:type="dxa"/>
            <w:vMerge w:val="continue"/>
            <w:tcBorders>
              <w:tl2br w:val="nil"/>
              <w:tr2bl w:val="nil"/>
            </w:tcBorders>
            <w:shd w:val="clear" w:color="auto" w:fill="auto"/>
            <w:noWrap/>
            <w:vAlign w:val="center"/>
          </w:tcPr>
          <w:p w14:paraId="7A422267">
            <w:pPr>
              <w:keepNext w:val="0"/>
              <w:keepLines w:val="0"/>
              <w:pageBreakBefore w:val="0"/>
              <w:widowControl/>
              <w:kinsoku/>
              <w:wordWrap/>
              <w:overflowPunct/>
              <w:topLinePunct w:val="0"/>
              <w:autoSpaceDE/>
              <w:autoSpaceDN/>
              <w:bidi w:val="0"/>
              <w:adjustRightInd w:val="0"/>
              <w:snapToGrid w:val="0"/>
              <w:spacing w:line="240" w:lineRule="auto"/>
              <w:ind w:firstLineChars="0"/>
              <w:jc w:val="center"/>
              <w:rPr>
                <w:rFonts w:hint="default" w:ascii="Times New Roman" w:hAnsi="Times New Roman" w:eastAsia="宋体" w:cs="Times New Roman"/>
                <w:i w:val="0"/>
                <w:iCs w:val="0"/>
                <w:color w:val="0000FF"/>
                <w:sz w:val="22"/>
                <w:szCs w:val="22"/>
                <w:u w:val="none"/>
              </w:rPr>
            </w:pPr>
          </w:p>
        </w:tc>
        <w:tc>
          <w:tcPr>
            <w:tcW w:w="1875" w:type="dxa"/>
            <w:tcBorders>
              <w:tl2br w:val="nil"/>
              <w:tr2bl w:val="nil"/>
            </w:tcBorders>
            <w:shd w:val="clear" w:color="auto" w:fill="auto"/>
            <w:noWrap/>
            <w:vAlign w:val="center"/>
          </w:tcPr>
          <w:p w14:paraId="5D9EE8FA">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sz w:val="22"/>
                <w:szCs w:val="22"/>
                <w:u w:val="none"/>
              </w:rPr>
            </w:pPr>
            <w:r>
              <w:rPr>
                <w:rFonts w:hint="default" w:ascii="Times New Roman" w:hAnsi="Times New Roman" w:eastAsia="宋体" w:cs="Times New Roman"/>
                <w:i w:val="0"/>
                <w:iCs w:val="0"/>
                <w:color w:val="0000FF"/>
                <w:kern w:val="0"/>
                <w:sz w:val="22"/>
                <w:szCs w:val="22"/>
                <w:u w:val="none"/>
                <w:lang w:val="en-US" w:eastAsia="zh-CN" w:bidi="ar"/>
              </w:rPr>
              <w:t>全时段</w:t>
            </w:r>
          </w:p>
        </w:tc>
        <w:tc>
          <w:tcPr>
            <w:tcW w:w="1260" w:type="dxa"/>
            <w:tcBorders>
              <w:tl2br w:val="nil"/>
              <w:tr2bl w:val="nil"/>
            </w:tcBorders>
            <w:shd w:val="clear" w:color="auto" w:fill="auto"/>
            <w:noWrap/>
            <w:vAlign w:val="center"/>
          </w:tcPr>
          <w:p w14:paraId="45BD9DD1">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sz w:val="22"/>
                <w:szCs w:val="22"/>
                <w:u w:val="none"/>
              </w:rPr>
            </w:pPr>
            <w:r>
              <w:rPr>
                <w:rFonts w:hint="default" w:ascii="Times New Roman" w:hAnsi="Times New Roman" w:eastAsia="宋体" w:cs="Times New Roman"/>
                <w:i w:val="0"/>
                <w:iCs w:val="0"/>
                <w:color w:val="0000FF"/>
                <w:kern w:val="0"/>
                <w:sz w:val="22"/>
                <w:szCs w:val="22"/>
                <w:u w:val="none"/>
                <w:lang w:val="en-US" w:eastAsia="zh-CN" w:bidi="ar"/>
              </w:rPr>
              <w:t>2.05E-05</w:t>
            </w:r>
          </w:p>
        </w:tc>
        <w:tc>
          <w:tcPr>
            <w:tcW w:w="1770" w:type="dxa"/>
            <w:tcBorders>
              <w:tl2br w:val="nil"/>
              <w:tr2bl w:val="nil"/>
            </w:tcBorders>
            <w:shd w:val="clear" w:color="auto" w:fill="auto"/>
            <w:noWrap/>
            <w:vAlign w:val="center"/>
          </w:tcPr>
          <w:p w14:paraId="5AF4EA01">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sz w:val="22"/>
                <w:szCs w:val="22"/>
                <w:u w:val="none"/>
              </w:rPr>
            </w:pPr>
            <w:r>
              <w:rPr>
                <w:rFonts w:hint="default" w:ascii="Times New Roman" w:hAnsi="Times New Roman" w:eastAsia="宋体" w:cs="Times New Roman"/>
                <w:i w:val="0"/>
                <w:iCs w:val="0"/>
                <w:color w:val="0000FF"/>
                <w:kern w:val="0"/>
                <w:sz w:val="22"/>
                <w:szCs w:val="22"/>
                <w:u w:val="none"/>
                <w:lang w:val="en-US" w:eastAsia="zh-CN" w:bidi="ar"/>
              </w:rPr>
              <w:t>平均值</w:t>
            </w:r>
          </w:p>
        </w:tc>
        <w:tc>
          <w:tcPr>
            <w:tcW w:w="1140" w:type="dxa"/>
            <w:tcBorders>
              <w:tl2br w:val="nil"/>
              <w:tr2bl w:val="nil"/>
            </w:tcBorders>
            <w:shd w:val="clear" w:color="auto" w:fill="auto"/>
            <w:noWrap/>
            <w:vAlign w:val="center"/>
          </w:tcPr>
          <w:p w14:paraId="4231E980">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sz w:val="22"/>
                <w:szCs w:val="22"/>
                <w:u w:val="none"/>
              </w:rPr>
            </w:pPr>
            <w:r>
              <w:rPr>
                <w:rFonts w:hint="default" w:ascii="Times New Roman" w:hAnsi="Times New Roman" w:eastAsia="宋体" w:cs="Times New Roman"/>
                <w:i w:val="0"/>
                <w:iCs w:val="0"/>
                <w:color w:val="0000FF"/>
                <w:kern w:val="0"/>
                <w:sz w:val="22"/>
                <w:szCs w:val="22"/>
                <w:u w:val="none"/>
                <w:lang w:val="en-US" w:eastAsia="zh-CN" w:bidi="ar"/>
              </w:rPr>
              <w:t>9.10E-03</w:t>
            </w:r>
          </w:p>
        </w:tc>
        <w:tc>
          <w:tcPr>
            <w:tcW w:w="1605" w:type="dxa"/>
            <w:tcBorders>
              <w:tl2br w:val="nil"/>
              <w:tr2bl w:val="nil"/>
            </w:tcBorders>
            <w:shd w:val="clear" w:color="auto" w:fill="auto"/>
            <w:noWrap/>
            <w:vAlign w:val="center"/>
          </w:tcPr>
          <w:p w14:paraId="265E21F4">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sz w:val="22"/>
                <w:szCs w:val="22"/>
                <w:u w:val="none"/>
              </w:rPr>
            </w:pPr>
            <w:r>
              <w:rPr>
                <w:rFonts w:hint="default" w:ascii="Times New Roman" w:hAnsi="Times New Roman" w:eastAsia="宋体" w:cs="Times New Roman"/>
                <w:i w:val="0"/>
                <w:iCs w:val="0"/>
                <w:color w:val="0000FF"/>
                <w:kern w:val="0"/>
                <w:sz w:val="22"/>
                <w:szCs w:val="22"/>
                <w:u w:val="none"/>
                <w:lang w:val="en-US" w:eastAsia="zh-CN" w:bidi="ar"/>
              </w:rPr>
              <w:t>9.12E-03</w:t>
            </w:r>
          </w:p>
        </w:tc>
        <w:tc>
          <w:tcPr>
            <w:tcW w:w="1275" w:type="dxa"/>
            <w:tcBorders>
              <w:tl2br w:val="nil"/>
              <w:tr2bl w:val="nil"/>
            </w:tcBorders>
            <w:shd w:val="clear" w:color="auto" w:fill="auto"/>
            <w:noWrap/>
            <w:vAlign w:val="center"/>
          </w:tcPr>
          <w:p w14:paraId="1403C16A">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sz w:val="22"/>
                <w:szCs w:val="22"/>
                <w:u w:val="none"/>
              </w:rPr>
            </w:pPr>
            <w:r>
              <w:rPr>
                <w:rFonts w:hint="default" w:ascii="Times New Roman" w:hAnsi="Times New Roman" w:eastAsia="宋体" w:cs="Times New Roman"/>
                <w:i w:val="0"/>
                <w:iCs w:val="0"/>
                <w:color w:val="0000FF"/>
                <w:kern w:val="0"/>
                <w:sz w:val="22"/>
                <w:szCs w:val="22"/>
                <w:u w:val="none"/>
                <w:lang w:val="en-US" w:eastAsia="zh-CN" w:bidi="ar"/>
              </w:rPr>
              <w:t>6.00E-02</w:t>
            </w:r>
          </w:p>
        </w:tc>
        <w:tc>
          <w:tcPr>
            <w:tcW w:w="1485" w:type="dxa"/>
            <w:tcBorders>
              <w:tl2br w:val="nil"/>
              <w:tr2bl w:val="nil"/>
            </w:tcBorders>
            <w:shd w:val="clear" w:color="auto" w:fill="auto"/>
            <w:noWrap/>
            <w:vAlign w:val="center"/>
          </w:tcPr>
          <w:p w14:paraId="545725A3">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sz w:val="22"/>
                <w:szCs w:val="22"/>
                <w:u w:val="none"/>
              </w:rPr>
            </w:pPr>
            <w:r>
              <w:rPr>
                <w:rFonts w:hint="default" w:ascii="Times New Roman" w:hAnsi="Times New Roman" w:eastAsia="宋体" w:cs="Times New Roman"/>
                <w:i w:val="0"/>
                <w:iCs w:val="0"/>
                <w:color w:val="0000FF"/>
                <w:kern w:val="0"/>
                <w:sz w:val="22"/>
                <w:szCs w:val="22"/>
                <w:u w:val="none"/>
                <w:lang w:val="en-US" w:eastAsia="zh-CN" w:bidi="ar"/>
              </w:rPr>
              <w:t>15.2</w:t>
            </w:r>
          </w:p>
        </w:tc>
        <w:tc>
          <w:tcPr>
            <w:tcW w:w="912" w:type="dxa"/>
            <w:tcBorders>
              <w:tl2br w:val="nil"/>
              <w:tr2bl w:val="nil"/>
            </w:tcBorders>
            <w:shd w:val="clear" w:color="auto" w:fill="auto"/>
            <w:noWrap/>
            <w:vAlign w:val="center"/>
          </w:tcPr>
          <w:p w14:paraId="775AC65F">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sz w:val="22"/>
                <w:szCs w:val="22"/>
                <w:u w:val="none"/>
              </w:rPr>
            </w:pPr>
            <w:r>
              <w:rPr>
                <w:rFonts w:hint="default" w:ascii="Times New Roman" w:hAnsi="Times New Roman" w:eastAsia="宋体" w:cs="Times New Roman"/>
                <w:i w:val="0"/>
                <w:iCs w:val="0"/>
                <w:color w:val="0000FF"/>
                <w:kern w:val="0"/>
                <w:sz w:val="22"/>
                <w:szCs w:val="22"/>
                <w:u w:val="none"/>
                <w:lang w:val="en-US" w:eastAsia="zh-CN" w:bidi="ar"/>
              </w:rPr>
              <w:t>达标</w:t>
            </w:r>
          </w:p>
        </w:tc>
      </w:tr>
      <w:tr w14:paraId="7C068C54">
        <w:tblPrEx>
          <w:tblBorders>
            <w:top w:val="thinThickSmallGap" w:color="auto" w:sz="12" w:space="0"/>
            <w:left w:val="none" w:color="auto" w:sz="0" w:space="0"/>
            <w:bottom w:val="thinThickSmallGap" w:color="auto" w:sz="12" w:space="0"/>
            <w:right w:val="none" w:color="auto" w:sz="0"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 w:hRule="atLeast"/>
          <w:jc w:val="center"/>
        </w:trPr>
        <w:tc>
          <w:tcPr>
            <w:tcW w:w="528" w:type="dxa"/>
            <w:vMerge w:val="restart"/>
            <w:tcBorders>
              <w:tl2br w:val="nil"/>
              <w:tr2bl w:val="nil"/>
            </w:tcBorders>
            <w:shd w:val="clear" w:color="auto" w:fill="auto"/>
            <w:noWrap/>
            <w:vAlign w:val="center"/>
          </w:tcPr>
          <w:p w14:paraId="60986424">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sz w:val="22"/>
                <w:szCs w:val="22"/>
                <w:u w:val="none"/>
              </w:rPr>
            </w:pPr>
            <w:r>
              <w:rPr>
                <w:rFonts w:hint="default" w:ascii="Times New Roman" w:hAnsi="Times New Roman" w:eastAsia="宋体" w:cs="Times New Roman"/>
                <w:i w:val="0"/>
                <w:iCs w:val="0"/>
                <w:color w:val="0000FF"/>
                <w:kern w:val="0"/>
                <w:sz w:val="22"/>
                <w:szCs w:val="22"/>
                <w:u w:val="none"/>
                <w:lang w:val="en-US" w:eastAsia="zh-CN" w:bidi="ar"/>
              </w:rPr>
              <w:t>2</w:t>
            </w:r>
          </w:p>
        </w:tc>
        <w:tc>
          <w:tcPr>
            <w:tcW w:w="990" w:type="dxa"/>
            <w:vMerge w:val="restart"/>
            <w:tcBorders>
              <w:tl2br w:val="nil"/>
              <w:tr2bl w:val="nil"/>
            </w:tcBorders>
            <w:shd w:val="clear" w:color="auto" w:fill="auto"/>
            <w:noWrap/>
            <w:vAlign w:val="center"/>
          </w:tcPr>
          <w:p w14:paraId="0DB9B3C3">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sz w:val="22"/>
                <w:szCs w:val="22"/>
                <w:u w:val="none"/>
              </w:rPr>
            </w:pPr>
            <w:r>
              <w:rPr>
                <w:rFonts w:hint="default" w:ascii="Times New Roman" w:hAnsi="Times New Roman" w:eastAsia="宋体" w:cs="Times New Roman"/>
                <w:i w:val="0"/>
                <w:iCs w:val="0"/>
                <w:color w:val="0000FF"/>
                <w:kern w:val="0"/>
                <w:sz w:val="22"/>
                <w:szCs w:val="22"/>
                <w:u w:val="none"/>
                <w:lang w:val="en-US" w:eastAsia="zh-CN" w:bidi="ar"/>
              </w:rPr>
              <w:t>部队</w:t>
            </w:r>
          </w:p>
        </w:tc>
        <w:tc>
          <w:tcPr>
            <w:tcW w:w="1275" w:type="dxa"/>
            <w:vMerge w:val="restart"/>
            <w:tcBorders>
              <w:tl2br w:val="nil"/>
              <w:tr2bl w:val="nil"/>
            </w:tcBorders>
            <w:shd w:val="clear" w:color="auto" w:fill="auto"/>
            <w:noWrap/>
            <w:vAlign w:val="center"/>
          </w:tcPr>
          <w:p w14:paraId="46991A16">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sz w:val="22"/>
                <w:szCs w:val="22"/>
                <w:u w:val="none"/>
              </w:rPr>
            </w:pPr>
            <w:r>
              <w:rPr>
                <w:rFonts w:hint="default" w:ascii="Times New Roman" w:hAnsi="Times New Roman" w:eastAsia="宋体" w:cs="Times New Roman"/>
                <w:i w:val="0"/>
                <w:iCs w:val="0"/>
                <w:color w:val="0000FF"/>
                <w:kern w:val="0"/>
                <w:sz w:val="22"/>
                <w:szCs w:val="22"/>
                <w:u w:val="none"/>
                <w:lang w:val="en-US" w:eastAsia="zh-CN" w:bidi="ar"/>
              </w:rPr>
              <w:t>-179,10</w:t>
            </w:r>
          </w:p>
        </w:tc>
        <w:tc>
          <w:tcPr>
            <w:tcW w:w="1875" w:type="dxa"/>
            <w:tcBorders>
              <w:tl2br w:val="nil"/>
              <w:tr2bl w:val="nil"/>
            </w:tcBorders>
            <w:shd w:val="clear" w:color="auto" w:fill="auto"/>
            <w:noWrap/>
            <w:vAlign w:val="center"/>
          </w:tcPr>
          <w:p w14:paraId="42FC5B63">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sz w:val="22"/>
                <w:szCs w:val="22"/>
                <w:u w:val="none"/>
              </w:rPr>
            </w:pPr>
            <w:r>
              <w:rPr>
                <w:rFonts w:hint="default" w:ascii="Times New Roman" w:hAnsi="Times New Roman" w:eastAsia="宋体" w:cs="Times New Roman"/>
                <w:i w:val="0"/>
                <w:iCs w:val="0"/>
                <w:color w:val="0000FF"/>
                <w:kern w:val="0"/>
                <w:sz w:val="22"/>
                <w:szCs w:val="22"/>
                <w:u w:val="none"/>
                <w:lang w:val="en-US" w:eastAsia="zh-CN" w:bidi="ar"/>
              </w:rPr>
              <w:t>1小时</w:t>
            </w:r>
          </w:p>
        </w:tc>
        <w:tc>
          <w:tcPr>
            <w:tcW w:w="1260" w:type="dxa"/>
            <w:tcBorders>
              <w:tl2br w:val="nil"/>
              <w:tr2bl w:val="nil"/>
            </w:tcBorders>
            <w:shd w:val="clear" w:color="auto" w:fill="auto"/>
            <w:noWrap/>
            <w:vAlign w:val="center"/>
          </w:tcPr>
          <w:p w14:paraId="32B638B3">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sz w:val="22"/>
                <w:szCs w:val="22"/>
                <w:u w:val="none"/>
              </w:rPr>
            </w:pPr>
            <w:r>
              <w:rPr>
                <w:rFonts w:hint="default" w:ascii="Times New Roman" w:hAnsi="Times New Roman" w:eastAsia="宋体" w:cs="Times New Roman"/>
                <w:i w:val="0"/>
                <w:iCs w:val="0"/>
                <w:color w:val="0000FF"/>
                <w:kern w:val="0"/>
                <w:sz w:val="22"/>
                <w:szCs w:val="22"/>
                <w:u w:val="none"/>
                <w:lang w:val="en-US" w:eastAsia="zh-CN" w:bidi="ar"/>
              </w:rPr>
              <w:t>9.61E-04</w:t>
            </w:r>
          </w:p>
        </w:tc>
        <w:tc>
          <w:tcPr>
            <w:tcW w:w="1770" w:type="dxa"/>
            <w:tcBorders>
              <w:tl2br w:val="nil"/>
              <w:tr2bl w:val="nil"/>
            </w:tcBorders>
            <w:shd w:val="clear" w:color="auto" w:fill="auto"/>
            <w:noWrap/>
            <w:vAlign w:val="center"/>
          </w:tcPr>
          <w:p w14:paraId="74A5B04B">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sz w:val="22"/>
                <w:szCs w:val="22"/>
                <w:u w:val="none"/>
              </w:rPr>
            </w:pPr>
            <w:r>
              <w:rPr>
                <w:rFonts w:hint="default" w:ascii="Times New Roman" w:hAnsi="Times New Roman" w:eastAsia="宋体" w:cs="Times New Roman"/>
                <w:i w:val="0"/>
                <w:iCs w:val="0"/>
                <w:color w:val="0000FF"/>
                <w:kern w:val="0"/>
                <w:sz w:val="22"/>
                <w:szCs w:val="22"/>
                <w:u w:val="none"/>
                <w:lang w:val="en-US" w:eastAsia="zh-CN" w:bidi="ar"/>
              </w:rPr>
              <w:t>24090712</w:t>
            </w:r>
          </w:p>
        </w:tc>
        <w:tc>
          <w:tcPr>
            <w:tcW w:w="1140" w:type="dxa"/>
            <w:tcBorders>
              <w:tl2br w:val="nil"/>
              <w:tr2bl w:val="nil"/>
            </w:tcBorders>
            <w:shd w:val="clear" w:color="auto" w:fill="auto"/>
            <w:noWrap/>
            <w:vAlign w:val="center"/>
          </w:tcPr>
          <w:p w14:paraId="13433A79">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sz w:val="22"/>
                <w:szCs w:val="22"/>
                <w:u w:val="none"/>
              </w:rPr>
            </w:pPr>
            <w:r>
              <w:rPr>
                <w:rFonts w:hint="default" w:ascii="Times New Roman" w:hAnsi="Times New Roman" w:eastAsia="宋体" w:cs="Times New Roman"/>
                <w:i w:val="0"/>
                <w:iCs w:val="0"/>
                <w:color w:val="0000FF"/>
                <w:kern w:val="0"/>
                <w:sz w:val="22"/>
                <w:szCs w:val="22"/>
                <w:u w:val="none"/>
                <w:lang w:val="en-US" w:eastAsia="zh-CN" w:bidi="ar"/>
              </w:rPr>
              <w:t>0.00E+00</w:t>
            </w:r>
          </w:p>
        </w:tc>
        <w:tc>
          <w:tcPr>
            <w:tcW w:w="1605" w:type="dxa"/>
            <w:tcBorders>
              <w:tl2br w:val="nil"/>
              <w:tr2bl w:val="nil"/>
            </w:tcBorders>
            <w:shd w:val="clear" w:color="auto" w:fill="auto"/>
            <w:noWrap/>
            <w:vAlign w:val="center"/>
          </w:tcPr>
          <w:p w14:paraId="4012BCB2">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sz w:val="22"/>
                <w:szCs w:val="22"/>
                <w:u w:val="none"/>
              </w:rPr>
            </w:pPr>
            <w:r>
              <w:rPr>
                <w:rFonts w:hint="default" w:ascii="Times New Roman" w:hAnsi="Times New Roman" w:eastAsia="宋体" w:cs="Times New Roman"/>
                <w:i w:val="0"/>
                <w:iCs w:val="0"/>
                <w:color w:val="0000FF"/>
                <w:kern w:val="0"/>
                <w:sz w:val="22"/>
                <w:szCs w:val="22"/>
                <w:u w:val="none"/>
                <w:lang w:val="en-US" w:eastAsia="zh-CN" w:bidi="ar"/>
              </w:rPr>
              <w:t>9.61E-04</w:t>
            </w:r>
          </w:p>
        </w:tc>
        <w:tc>
          <w:tcPr>
            <w:tcW w:w="1275" w:type="dxa"/>
            <w:tcBorders>
              <w:tl2br w:val="nil"/>
              <w:tr2bl w:val="nil"/>
            </w:tcBorders>
            <w:shd w:val="clear" w:color="auto" w:fill="auto"/>
            <w:noWrap/>
            <w:vAlign w:val="center"/>
          </w:tcPr>
          <w:p w14:paraId="4B613EB6">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sz w:val="22"/>
                <w:szCs w:val="22"/>
                <w:u w:val="none"/>
              </w:rPr>
            </w:pPr>
            <w:r>
              <w:rPr>
                <w:rFonts w:hint="default" w:ascii="Times New Roman" w:hAnsi="Times New Roman" w:eastAsia="宋体" w:cs="Times New Roman"/>
                <w:i w:val="0"/>
                <w:iCs w:val="0"/>
                <w:color w:val="0000FF"/>
                <w:kern w:val="0"/>
                <w:sz w:val="22"/>
                <w:szCs w:val="22"/>
                <w:u w:val="none"/>
                <w:lang w:val="en-US" w:eastAsia="zh-CN" w:bidi="ar"/>
              </w:rPr>
              <w:t>5.00E-01</w:t>
            </w:r>
          </w:p>
        </w:tc>
        <w:tc>
          <w:tcPr>
            <w:tcW w:w="1485" w:type="dxa"/>
            <w:tcBorders>
              <w:tl2br w:val="nil"/>
              <w:tr2bl w:val="nil"/>
            </w:tcBorders>
            <w:shd w:val="clear" w:color="auto" w:fill="auto"/>
            <w:noWrap/>
            <w:vAlign w:val="center"/>
          </w:tcPr>
          <w:p w14:paraId="3CEDA49E">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sz w:val="22"/>
                <w:szCs w:val="22"/>
                <w:u w:val="none"/>
              </w:rPr>
            </w:pPr>
            <w:r>
              <w:rPr>
                <w:rFonts w:hint="default" w:ascii="Times New Roman" w:hAnsi="Times New Roman" w:eastAsia="宋体" w:cs="Times New Roman"/>
                <w:i w:val="0"/>
                <w:iCs w:val="0"/>
                <w:color w:val="0000FF"/>
                <w:kern w:val="0"/>
                <w:sz w:val="22"/>
                <w:szCs w:val="22"/>
                <w:u w:val="none"/>
                <w:lang w:val="en-US" w:eastAsia="zh-CN" w:bidi="ar"/>
              </w:rPr>
              <w:t>0.19</w:t>
            </w:r>
          </w:p>
        </w:tc>
        <w:tc>
          <w:tcPr>
            <w:tcW w:w="912" w:type="dxa"/>
            <w:tcBorders>
              <w:tl2br w:val="nil"/>
              <w:tr2bl w:val="nil"/>
            </w:tcBorders>
            <w:shd w:val="clear" w:color="auto" w:fill="auto"/>
            <w:noWrap/>
            <w:vAlign w:val="center"/>
          </w:tcPr>
          <w:p w14:paraId="72FE68BB">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sz w:val="22"/>
                <w:szCs w:val="22"/>
                <w:u w:val="none"/>
              </w:rPr>
            </w:pPr>
            <w:r>
              <w:rPr>
                <w:rFonts w:hint="default" w:ascii="Times New Roman" w:hAnsi="Times New Roman" w:eastAsia="宋体" w:cs="Times New Roman"/>
                <w:i w:val="0"/>
                <w:iCs w:val="0"/>
                <w:color w:val="0000FF"/>
                <w:kern w:val="0"/>
                <w:sz w:val="22"/>
                <w:szCs w:val="22"/>
                <w:u w:val="none"/>
                <w:lang w:val="en-US" w:eastAsia="zh-CN" w:bidi="ar"/>
              </w:rPr>
              <w:t>达标</w:t>
            </w:r>
          </w:p>
        </w:tc>
      </w:tr>
      <w:tr w14:paraId="510B3058">
        <w:tblPrEx>
          <w:tblBorders>
            <w:top w:val="thinThickSmallGap" w:color="auto" w:sz="12" w:space="0"/>
            <w:left w:val="none" w:color="auto" w:sz="0" w:space="0"/>
            <w:bottom w:val="thinThick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528" w:type="dxa"/>
            <w:vMerge w:val="continue"/>
            <w:tcBorders>
              <w:tl2br w:val="nil"/>
              <w:tr2bl w:val="nil"/>
            </w:tcBorders>
            <w:shd w:val="clear" w:color="auto" w:fill="auto"/>
            <w:noWrap/>
            <w:vAlign w:val="center"/>
          </w:tcPr>
          <w:p w14:paraId="038DF6AF">
            <w:pPr>
              <w:keepNext w:val="0"/>
              <w:keepLines w:val="0"/>
              <w:pageBreakBefore w:val="0"/>
              <w:widowControl/>
              <w:kinsoku/>
              <w:wordWrap/>
              <w:overflowPunct/>
              <w:topLinePunct w:val="0"/>
              <w:autoSpaceDE/>
              <w:autoSpaceDN/>
              <w:bidi w:val="0"/>
              <w:adjustRightInd w:val="0"/>
              <w:snapToGrid w:val="0"/>
              <w:spacing w:line="240" w:lineRule="auto"/>
              <w:ind w:firstLineChars="0"/>
              <w:jc w:val="center"/>
              <w:rPr>
                <w:rFonts w:hint="default" w:ascii="Times New Roman" w:hAnsi="Times New Roman" w:eastAsia="宋体" w:cs="Times New Roman"/>
                <w:i w:val="0"/>
                <w:iCs w:val="0"/>
                <w:color w:val="0000FF"/>
                <w:sz w:val="22"/>
                <w:szCs w:val="22"/>
                <w:u w:val="none"/>
              </w:rPr>
            </w:pPr>
          </w:p>
        </w:tc>
        <w:tc>
          <w:tcPr>
            <w:tcW w:w="990" w:type="dxa"/>
            <w:vMerge w:val="continue"/>
            <w:tcBorders>
              <w:tl2br w:val="nil"/>
              <w:tr2bl w:val="nil"/>
            </w:tcBorders>
            <w:shd w:val="clear" w:color="auto" w:fill="auto"/>
            <w:noWrap/>
            <w:vAlign w:val="center"/>
          </w:tcPr>
          <w:p w14:paraId="4AD60ED1">
            <w:pPr>
              <w:keepNext w:val="0"/>
              <w:keepLines w:val="0"/>
              <w:pageBreakBefore w:val="0"/>
              <w:widowControl/>
              <w:kinsoku/>
              <w:wordWrap/>
              <w:overflowPunct/>
              <w:topLinePunct w:val="0"/>
              <w:autoSpaceDE/>
              <w:autoSpaceDN/>
              <w:bidi w:val="0"/>
              <w:adjustRightInd w:val="0"/>
              <w:snapToGrid w:val="0"/>
              <w:spacing w:line="240" w:lineRule="auto"/>
              <w:ind w:firstLineChars="0"/>
              <w:jc w:val="center"/>
              <w:rPr>
                <w:rFonts w:hint="default" w:ascii="Times New Roman" w:hAnsi="Times New Roman" w:eastAsia="宋体" w:cs="Times New Roman"/>
                <w:i w:val="0"/>
                <w:iCs w:val="0"/>
                <w:color w:val="0000FF"/>
                <w:sz w:val="22"/>
                <w:szCs w:val="22"/>
                <w:u w:val="none"/>
              </w:rPr>
            </w:pPr>
          </w:p>
        </w:tc>
        <w:tc>
          <w:tcPr>
            <w:tcW w:w="1275" w:type="dxa"/>
            <w:vMerge w:val="continue"/>
            <w:tcBorders>
              <w:tl2br w:val="nil"/>
              <w:tr2bl w:val="nil"/>
            </w:tcBorders>
            <w:shd w:val="clear" w:color="auto" w:fill="auto"/>
            <w:noWrap/>
            <w:vAlign w:val="center"/>
          </w:tcPr>
          <w:p w14:paraId="7B602FD4">
            <w:pPr>
              <w:keepNext w:val="0"/>
              <w:keepLines w:val="0"/>
              <w:pageBreakBefore w:val="0"/>
              <w:widowControl/>
              <w:kinsoku/>
              <w:wordWrap/>
              <w:overflowPunct/>
              <w:topLinePunct w:val="0"/>
              <w:autoSpaceDE/>
              <w:autoSpaceDN/>
              <w:bidi w:val="0"/>
              <w:adjustRightInd w:val="0"/>
              <w:snapToGrid w:val="0"/>
              <w:spacing w:line="240" w:lineRule="auto"/>
              <w:ind w:firstLineChars="0"/>
              <w:jc w:val="center"/>
              <w:rPr>
                <w:rFonts w:hint="default" w:ascii="Times New Roman" w:hAnsi="Times New Roman" w:eastAsia="宋体" w:cs="Times New Roman"/>
                <w:i w:val="0"/>
                <w:iCs w:val="0"/>
                <w:color w:val="0000FF"/>
                <w:sz w:val="22"/>
                <w:szCs w:val="22"/>
                <w:u w:val="none"/>
              </w:rPr>
            </w:pPr>
          </w:p>
        </w:tc>
        <w:tc>
          <w:tcPr>
            <w:tcW w:w="1875" w:type="dxa"/>
            <w:tcBorders>
              <w:tl2br w:val="nil"/>
              <w:tr2bl w:val="nil"/>
            </w:tcBorders>
            <w:shd w:val="clear" w:color="auto" w:fill="auto"/>
            <w:noWrap/>
            <w:vAlign w:val="center"/>
          </w:tcPr>
          <w:p w14:paraId="78FCEEC3">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1"/>
                <w:szCs w:val="21"/>
                <w:u w:val="none"/>
                <w:lang w:val="en-US" w:eastAsia="zh-CN" w:bidi="ar"/>
              </w:rPr>
              <w:t>98%保证率日平均</w:t>
            </w:r>
          </w:p>
        </w:tc>
        <w:tc>
          <w:tcPr>
            <w:tcW w:w="1260" w:type="dxa"/>
            <w:tcBorders>
              <w:tl2br w:val="nil"/>
              <w:tr2bl w:val="nil"/>
            </w:tcBorders>
            <w:shd w:val="clear" w:color="auto" w:fill="auto"/>
            <w:noWrap/>
            <w:vAlign w:val="center"/>
          </w:tcPr>
          <w:p w14:paraId="6E1C256A">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sz w:val="22"/>
                <w:szCs w:val="22"/>
                <w:u w:val="none"/>
              </w:rPr>
            </w:pPr>
            <w:r>
              <w:rPr>
                <w:rFonts w:hint="default" w:ascii="Times New Roman" w:hAnsi="Times New Roman" w:eastAsia="宋体" w:cs="Times New Roman"/>
                <w:i w:val="0"/>
                <w:iCs w:val="0"/>
                <w:color w:val="0000FF"/>
                <w:kern w:val="0"/>
                <w:sz w:val="22"/>
                <w:szCs w:val="22"/>
                <w:u w:val="none"/>
                <w:lang w:val="en-US" w:eastAsia="zh-CN" w:bidi="ar"/>
              </w:rPr>
              <w:t>2.53E-05</w:t>
            </w:r>
          </w:p>
        </w:tc>
        <w:tc>
          <w:tcPr>
            <w:tcW w:w="1770" w:type="dxa"/>
            <w:tcBorders>
              <w:tl2br w:val="nil"/>
              <w:tr2bl w:val="nil"/>
            </w:tcBorders>
            <w:shd w:val="clear" w:color="auto" w:fill="auto"/>
            <w:noWrap/>
            <w:vAlign w:val="center"/>
          </w:tcPr>
          <w:p w14:paraId="0AA0BB4E">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sz w:val="22"/>
                <w:szCs w:val="22"/>
                <w:u w:val="none"/>
              </w:rPr>
            </w:pPr>
            <w:r>
              <w:rPr>
                <w:rFonts w:hint="default" w:ascii="Times New Roman" w:hAnsi="Times New Roman" w:eastAsia="宋体" w:cs="Times New Roman"/>
                <w:i w:val="0"/>
                <w:iCs w:val="0"/>
                <w:color w:val="0000FF"/>
                <w:kern w:val="0"/>
                <w:sz w:val="22"/>
                <w:szCs w:val="22"/>
                <w:u w:val="none"/>
                <w:lang w:val="en-US" w:eastAsia="zh-CN" w:bidi="ar"/>
              </w:rPr>
              <w:t>240418</w:t>
            </w:r>
          </w:p>
        </w:tc>
        <w:tc>
          <w:tcPr>
            <w:tcW w:w="1140" w:type="dxa"/>
            <w:tcBorders>
              <w:tl2br w:val="nil"/>
              <w:tr2bl w:val="nil"/>
            </w:tcBorders>
            <w:shd w:val="clear" w:color="auto" w:fill="auto"/>
            <w:noWrap/>
            <w:vAlign w:val="center"/>
          </w:tcPr>
          <w:p w14:paraId="54083456">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sz w:val="22"/>
                <w:szCs w:val="22"/>
                <w:u w:val="none"/>
              </w:rPr>
            </w:pPr>
            <w:r>
              <w:rPr>
                <w:rFonts w:hint="default" w:ascii="Times New Roman" w:hAnsi="Times New Roman" w:eastAsia="宋体" w:cs="Times New Roman"/>
                <w:i w:val="0"/>
                <w:iCs w:val="0"/>
                <w:color w:val="0000FF"/>
                <w:kern w:val="0"/>
                <w:sz w:val="22"/>
                <w:szCs w:val="22"/>
                <w:u w:val="none"/>
                <w:lang w:val="en-US" w:eastAsia="zh-CN" w:bidi="ar"/>
              </w:rPr>
              <w:t>1.80E-02</w:t>
            </w:r>
          </w:p>
        </w:tc>
        <w:tc>
          <w:tcPr>
            <w:tcW w:w="1605" w:type="dxa"/>
            <w:tcBorders>
              <w:tl2br w:val="nil"/>
              <w:tr2bl w:val="nil"/>
            </w:tcBorders>
            <w:shd w:val="clear" w:color="auto" w:fill="auto"/>
            <w:noWrap/>
            <w:vAlign w:val="center"/>
          </w:tcPr>
          <w:p w14:paraId="443AC25A">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sz w:val="22"/>
                <w:szCs w:val="22"/>
                <w:u w:val="none"/>
              </w:rPr>
            </w:pPr>
            <w:r>
              <w:rPr>
                <w:rFonts w:hint="default" w:ascii="Times New Roman" w:hAnsi="Times New Roman" w:eastAsia="宋体" w:cs="Times New Roman"/>
                <w:i w:val="0"/>
                <w:iCs w:val="0"/>
                <w:color w:val="0000FF"/>
                <w:kern w:val="0"/>
                <w:sz w:val="22"/>
                <w:szCs w:val="22"/>
                <w:u w:val="none"/>
                <w:lang w:val="en-US" w:eastAsia="zh-CN" w:bidi="ar"/>
              </w:rPr>
              <w:t>1.80E-02</w:t>
            </w:r>
          </w:p>
        </w:tc>
        <w:tc>
          <w:tcPr>
            <w:tcW w:w="1275" w:type="dxa"/>
            <w:tcBorders>
              <w:tl2br w:val="nil"/>
              <w:tr2bl w:val="nil"/>
            </w:tcBorders>
            <w:shd w:val="clear" w:color="auto" w:fill="auto"/>
            <w:noWrap/>
            <w:vAlign w:val="center"/>
          </w:tcPr>
          <w:p w14:paraId="484C3DE4">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sz w:val="22"/>
                <w:szCs w:val="22"/>
                <w:u w:val="none"/>
              </w:rPr>
            </w:pPr>
            <w:r>
              <w:rPr>
                <w:rFonts w:hint="default" w:ascii="Times New Roman" w:hAnsi="Times New Roman" w:eastAsia="宋体" w:cs="Times New Roman"/>
                <w:i w:val="0"/>
                <w:iCs w:val="0"/>
                <w:color w:val="0000FF"/>
                <w:kern w:val="0"/>
                <w:sz w:val="22"/>
                <w:szCs w:val="22"/>
                <w:u w:val="none"/>
                <w:lang w:val="en-US" w:eastAsia="zh-CN" w:bidi="ar"/>
              </w:rPr>
              <w:t>1.50E-01</w:t>
            </w:r>
          </w:p>
        </w:tc>
        <w:tc>
          <w:tcPr>
            <w:tcW w:w="1485" w:type="dxa"/>
            <w:tcBorders>
              <w:tl2br w:val="nil"/>
              <w:tr2bl w:val="nil"/>
            </w:tcBorders>
            <w:shd w:val="clear" w:color="auto" w:fill="auto"/>
            <w:noWrap/>
            <w:vAlign w:val="center"/>
          </w:tcPr>
          <w:p w14:paraId="6B78BB92">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sz w:val="22"/>
                <w:szCs w:val="22"/>
                <w:u w:val="none"/>
              </w:rPr>
            </w:pPr>
            <w:r>
              <w:rPr>
                <w:rFonts w:hint="default" w:ascii="Times New Roman" w:hAnsi="Times New Roman" w:eastAsia="宋体" w:cs="Times New Roman"/>
                <w:i w:val="0"/>
                <w:iCs w:val="0"/>
                <w:color w:val="0000FF"/>
                <w:kern w:val="0"/>
                <w:sz w:val="22"/>
                <w:szCs w:val="22"/>
                <w:u w:val="none"/>
                <w:lang w:val="en-US" w:eastAsia="zh-CN" w:bidi="ar"/>
              </w:rPr>
              <w:t>12.02</w:t>
            </w:r>
          </w:p>
        </w:tc>
        <w:tc>
          <w:tcPr>
            <w:tcW w:w="912" w:type="dxa"/>
            <w:tcBorders>
              <w:tl2br w:val="nil"/>
              <w:tr2bl w:val="nil"/>
            </w:tcBorders>
            <w:shd w:val="clear" w:color="auto" w:fill="auto"/>
            <w:noWrap/>
            <w:vAlign w:val="center"/>
          </w:tcPr>
          <w:p w14:paraId="15527470">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sz w:val="22"/>
                <w:szCs w:val="22"/>
                <w:u w:val="none"/>
              </w:rPr>
            </w:pPr>
            <w:r>
              <w:rPr>
                <w:rFonts w:hint="default" w:ascii="Times New Roman" w:hAnsi="Times New Roman" w:eastAsia="宋体" w:cs="Times New Roman"/>
                <w:i w:val="0"/>
                <w:iCs w:val="0"/>
                <w:color w:val="0000FF"/>
                <w:kern w:val="0"/>
                <w:sz w:val="22"/>
                <w:szCs w:val="22"/>
                <w:u w:val="none"/>
                <w:lang w:val="en-US" w:eastAsia="zh-CN" w:bidi="ar"/>
              </w:rPr>
              <w:t>达标</w:t>
            </w:r>
          </w:p>
        </w:tc>
      </w:tr>
      <w:tr w14:paraId="19141D15">
        <w:tblPrEx>
          <w:tblBorders>
            <w:top w:val="thinThickSmallGap" w:color="auto" w:sz="12" w:space="0"/>
            <w:left w:val="none" w:color="auto" w:sz="0" w:space="0"/>
            <w:bottom w:val="thinThickSmallGap" w:color="auto" w:sz="12" w:space="0"/>
            <w:right w:val="none" w:color="auto" w:sz="0"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 w:hRule="atLeast"/>
          <w:jc w:val="center"/>
        </w:trPr>
        <w:tc>
          <w:tcPr>
            <w:tcW w:w="528" w:type="dxa"/>
            <w:vMerge w:val="continue"/>
            <w:tcBorders>
              <w:tl2br w:val="nil"/>
              <w:tr2bl w:val="nil"/>
            </w:tcBorders>
            <w:shd w:val="clear" w:color="auto" w:fill="auto"/>
            <w:noWrap/>
            <w:vAlign w:val="center"/>
          </w:tcPr>
          <w:p w14:paraId="4ADA16FB">
            <w:pPr>
              <w:keepNext w:val="0"/>
              <w:keepLines w:val="0"/>
              <w:pageBreakBefore w:val="0"/>
              <w:widowControl/>
              <w:kinsoku/>
              <w:wordWrap/>
              <w:overflowPunct/>
              <w:topLinePunct w:val="0"/>
              <w:autoSpaceDE/>
              <w:autoSpaceDN/>
              <w:bidi w:val="0"/>
              <w:adjustRightInd w:val="0"/>
              <w:snapToGrid w:val="0"/>
              <w:spacing w:line="240" w:lineRule="auto"/>
              <w:ind w:firstLineChars="0"/>
              <w:jc w:val="center"/>
              <w:rPr>
                <w:rFonts w:hint="default" w:ascii="Times New Roman" w:hAnsi="Times New Roman" w:eastAsia="宋体" w:cs="Times New Roman"/>
                <w:i w:val="0"/>
                <w:iCs w:val="0"/>
                <w:color w:val="0000FF"/>
                <w:sz w:val="22"/>
                <w:szCs w:val="22"/>
                <w:u w:val="none"/>
              </w:rPr>
            </w:pPr>
          </w:p>
        </w:tc>
        <w:tc>
          <w:tcPr>
            <w:tcW w:w="990" w:type="dxa"/>
            <w:vMerge w:val="continue"/>
            <w:tcBorders>
              <w:tl2br w:val="nil"/>
              <w:tr2bl w:val="nil"/>
            </w:tcBorders>
            <w:shd w:val="clear" w:color="auto" w:fill="auto"/>
            <w:noWrap/>
            <w:vAlign w:val="center"/>
          </w:tcPr>
          <w:p w14:paraId="33B4E2B7">
            <w:pPr>
              <w:keepNext w:val="0"/>
              <w:keepLines w:val="0"/>
              <w:pageBreakBefore w:val="0"/>
              <w:widowControl/>
              <w:kinsoku/>
              <w:wordWrap/>
              <w:overflowPunct/>
              <w:topLinePunct w:val="0"/>
              <w:autoSpaceDE/>
              <w:autoSpaceDN/>
              <w:bidi w:val="0"/>
              <w:adjustRightInd w:val="0"/>
              <w:snapToGrid w:val="0"/>
              <w:spacing w:line="240" w:lineRule="auto"/>
              <w:ind w:firstLineChars="0"/>
              <w:jc w:val="center"/>
              <w:rPr>
                <w:rFonts w:hint="default" w:ascii="Times New Roman" w:hAnsi="Times New Roman" w:eastAsia="宋体" w:cs="Times New Roman"/>
                <w:i w:val="0"/>
                <w:iCs w:val="0"/>
                <w:color w:val="0000FF"/>
                <w:sz w:val="22"/>
                <w:szCs w:val="22"/>
                <w:u w:val="none"/>
              </w:rPr>
            </w:pPr>
          </w:p>
        </w:tc>
        <w:tc>
          <w:tcPr>
            <w:tcW w:w="1275" w:type="dxa"/>
            <w:vMerge w:val="continue"/>
            <w:tcBorders>
              <w:tl2br w:val="nil"/>
              <w:tr2bl w:val="nil"/>
            </w:tcBorders>
            <w:shd w:val="clear" w:color="auto" w:fill="auto"/>
            <w:noWrap/>
            <w:vAlign w:val="center"/>
          </w:tcPr>
          <w:p w14:paraId="5C57D580">
            <w:pPr>
              <w:keepNext w:val="0"/>
              <w:keepLines w:val="0"/>
              <w:pageBreakBefore w:val="0"/>
              <w:widowControl/>
              <w:kinsoku/>
              <w:wordWrap/>
              <w:overflowPunct/>
              <w:topLinePunct w:val="0"/>
              <w:autoSpaceDE/>
              <w:autoSpaceDN/>
              <w:bidi w:val="0"/>
              <w:adjustRightInd w:val="0"/>
              <w:snapToGrid w:val="0"/>
              <w:spacing w:line="240" w:lineRule="auto"/>
              <w:ind w:firstLineChars="0"/>
              <w:jc w:val="center"/>
              <w:rPr>
                <w:rFonts w:hint="default" w:ascii="Times New Roman" w:hAnsi="Times New Roman" w:eastAsia="宋体" w:cs="Times New Roman"/>
                <w:i w:val="0"/>
                <w:iCs w:val="0"/>
                <w:color w:val="0000FF"/>
                <w:sz w:val="22"/>
                <w:szCs w:val="22"/>
                <w:u w:val="none"/>
              </w:rPr>
            </w:pPr>
          </w:p>
        </w:tc>
        <w:tc>
          <w:tcPr>
            <w:tcW w:w="1875" w:type="dxa"/>
            <w:tcBorders>
              <w:tl2br w:val="nil"/>
              <w:tr2bl w:val="nil"/>
            </w:tcBorders>
            <w:shd w:val="clear" w:color="auto" w:fill="auto"/>
            <w:noWrap/>
            <w:vAlign w:val="center"/>
          </w:tcPr>
          <w:p w14:paraId="0730523B">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sz w:val="22"/>
                <w:szCs w:val="22"/>
                <w:u w:val="none"/>
              </w:rPr>
            </w:pPr>
            <w:r>
              <w:rPr>
                <w:rFonts w:hint="default" w:ascii="Times New Roman" w:hAnsi="Times New Roman" w:eastAsia="宋体" w:cs="Times New Roman"/>
                <w:i w:val="0"/>
                <w:iCs w:val="0"/>
                <w:color w:val="0000FF"/>
                <w:kern w:val="0"/>
                <w:sz w:val="22"/>
                <w:szCs w:val="22"/>
                <w:u w:val="none"/>
                <w:lang w:val="en-US" w:eastAsia="zh-CN" w:bidi="ar"/>
              </w:rPr>
              <w:t>全时段</w:t>
            </w:r>
          </w:p>
        </w:tc>
        <w:tc>
          <w:tcPr>
            <w:tcW w:w="1260" w:type="dxa"/>
            <w:tcBorders>
              <w:tl2br w:val="nil"/>
              <w:tr2bl w:val="nil"/>
            </w:tcBorders>
            <w:shd w:val="clear" w:color="auto" w:fill="auto"/>
            <w:noWrap/>
            <w:vAlign w:val="center"/>
          </w:tcPr>
          <w:p w14:paraId="4AAA9B3A">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sz w:val="22"/>
                <w:szCs w:val="22"/>
                <w:u w:val="none"/>
              </w:rPr>
            </w:pPr>
            <w:r>
              <w:rPr>
                <w:rFonts w:hint="default" w:ascii="Times New Roman" w:hAnsi="Times New Roman" w:eastAsia="宋体" w:cs="Times New Roman"/>
                <w:i w:val="0"/>
                <w:iCs w:val="0"/>
                <w:color w:val="0000FF"/>
                <w:kern w:val="0"/>
                <w:sz w:val="22"/>
                <w:szCs w:val="22"/>
                <w:u w:val="none"/>
                <w:lang w:val="en-US" w:eastAsia="zh-CN" w:bidi="ar"/>
              </w:rPr>
              <w:t>1.82E-05</w:t>
            </w:r>
          </w:p>
        </w:tc>
        <w:tc>
          <w:tcPr>
            <w:tcW w:w="1770" w:type="dxa"/>
            <w:tcBorders>
              <w:tl2br w:val="nil"/>
              <w:tr2bl w:val="nil"/>
            </w:tcBorders>
            <w:shd w:val="clear" w:color="auto" w:fill="auto"/>
            <w:noWrap/>
            <w:vAlign w:val="center"/>
          </w:tcPr>
          <w:p w14:paraId="5375EAC4">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sz w:val="22"/>
                <w:szCs w:val="22"/>
                <w:u w:val="none"/>
              </w:rPr>
            </w:pPr>
            <w:r>
              <w:rPr>
                <w:rFonts w:hint="default" w:ascii="Times New Roman" w:hAnsi="Times New Roman" w:eastAsia="宋体" w:cs="Times New Roman"/>
                <w:i w:val="0"/>
                <w:iCs w:val="0"/>
                <w:color w:val="0000FF"/>
                <w:kern w:val="0"/>
                <w:sz w:val="22"/>
                <w:szCs w:val="22"/>
                <w:u w:val="none"/>
                <w:lang w:val="en-US" w:eastAsia="zh-CN" w:bidi="ar"/>
              </w:rPr>
              <w:t>平均值</w:t>
            </w:r>
          </w:p>
        </w:tc>
        <w:tc>
          <w:tcPr>
            <w:tcW w:w="1140" w:type="dxa"/>
            <w:tcBorders>
              <w:tl2br w:val="nil"/>
              <w:tr2bl w:val="nil"/>
            </w:tcBorders>
            <w:shd w:val="clear" w:color="auto" w:fill="auto"/>
            <w:noWrap/>
            <w:vAlign w:val="center"/>
          </w:tcPr>
          <w:p w14:paraId="395BDE45">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sz w:val="22"/>
                <w:szCs w:val="22"/>
                <w:u w:val="none"/>
              </w:rPr>
            </w:pPr>
            <w:r>
              <w:rPr>
                <w:rFonts w:hint="default" w:ascii="Times New Roman" w:hAnsi="Times New Roman" w:eastAsia="宋体" w:cs="Times New Roman"/>
                <w:i w:val="0"/>
                <w:iCs w:val="0"/>
                <w:color w:val="0000FF"/>
                <w:kern w:val="0"/>
                <w:sz w:val="22"/>
                <w:szCs w:val="22"/>
                <w:u w:val="none"/>
                <w:lang w:val="en-US" w:eastAsia="zh-CN" w:bidi="ar"/>
              </w:rPr>
              <w:t>9.10E-03</w:t>
            </w:r>
          </w:p>
        </w:tc>
        <w:tc>
          <w:tcPr>
            <w:tcW w:w="1605" w:type="dxa"/>
            <w:tcBorders>
              <w:tl2br w:val="nil"/>
              <w:tr2bl w:val="nil"/>
            </w:tcBorders>
            <w:shd w:val="clear" w:color="auto" w:fill="auto"/>
            <w:noWrap/>
            <w:vAlign w:val="center"/>
          </w:tcPr>
          <w:p w14:paraId="6E285323">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sz w:val="22"/>
                <w:szCs w:val="22"/>
                <w:u w:val="none"/>
              </w:rPr>
            </w:pPr>
            <w:r>
              <w:rPr>
                <w:rFonts w:hint="default" w:ascii="Times New Roman" w:hAnsi="Times New Roman" w:eastAsia="宋体" w:cs="Times New Roman"/>
                <w:i w:val="0"/>
                <w:iCs w:val="0"/>
                <w:color w:val="0000FF"/>
                <w:kern w:val="0"/>
                <w:sz w:val="22"/>
                <w:szCs w:val="22"/>
                <w:u w:val="none"/>
                <w:lang w:val="en-US" w:eastAsia="zh-CN" w:bidi="ar"/>
              </w:rPr>
              <w:t>9.12E-03</w:t>
            </w:r>
          </w:p>
        </w:tc>
        <w:tc>
          <w:tcPr>
            <w:tcW w:w="1275" w:type="dxa"/>
            <w:tcBorders>
              <w:tl2br w:val="nil"/>
              <w:tr2bl w:val="nil"/>
            </w:tcBorders>
            <w:shd w:val="clear" w:color="auto" w:fill="auto"/>
            <w:noWrap/>
            <w:vAlign w:val="center"/>
          </w:tcPr>
          <w:p w14:paraId="2BE3A153">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sz w:val="22"/>
                <w:szCs w:val="22"/>
                <w:u w:val="none"/>
              </w:rPr>
            </w:pPr>
            <w:r>
              <w:rPr>
                <w:rFonts w:hint="default" w:ascii="Times New Roman" w:hAnsi="Times New Roman" w:eastAsia="宋体" w:cs="Times New Roman"/>
                <w:i w:val="0"/>
                <w:iCs w:val="0"/>
                <w:color w:val="0000FF"/>
                <w:kern w:val="0"/>
                <w:sz w:val="22"/>
                <w:szCs w:val="22"/>
                <w:u w:val="none"/>
                <w:lang w:val="en-US" w:eastAsia="zh-CN" w:bidi="ar"/>
              </w:rPr>
              <w:t>6.00E-02</w:t>
            </w:r>
          </w:p>
        </w:tc>
        <w:tc>
          <w:tcPr>
            <w:tcW w:w="1485" w:type="dxa"/>
            <w:tcBorders>
              <w:tl2br w:val="nil"/>
              <w:tr2bl w:val="nil"/>
            </w:tcBorders>
            <w:shd w:val="clear" w:color="auto" w:fill="auto"/>
            <w:noWrap/>
            <w:vAlign w:val="center"/>
          </w:tcPr>
          <w:p w14:paraId="704DDEC3">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sz w:val="22"/>
                <w:szCs w:val="22"/>
                <w:u w:val="none"/>
              </w:rPr>
            </w:pPr>
            <w:r>
              <w:rPr>
                <w:rFonts w:hint="default" w:ascii="Times New Roman" w:hAnsi="Times New Roman" w:eastAsia="宋体" w:cs="Times New Roman"/>
                <w:i w:val="0"/>
                <w:iCs w:val="0"/>
                <w:color w:val="0000FF"/>
                <w:kern w:val="0"/>
                <w:sz w:val="22"/>
                <w:szCs w:val="22"/>
                <w:u w:val="none"/>
                <w:lang w:val="en-US" w:eastAsia="zh-CN" w:bidi="ar"/>
              </w:rPr>
              <w:t>15.19</w:t>
            </w:r>
          </w:p>
        </w:tc>
        <w:tc>
          <w:tcPr>
            <w:tcW w:w="912" w:type="dxa"/>
            <w:tcBorders>
              <w:tl2br w:val="nil"/>
              <w:tr2bl w:val="nil"/>
            </w:tcBorders>
            <w:shd w:val="clear" w:color="auto" w:fill="auto"/>
            <w:noWrap/>
            <w:vAlign w:val="center"/>
          </w:tcPr>
          <w:p w14:paraId="169B497D">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sz w:val="22"/>
                <w:szCs w:val="22"/>
                <w:u w:val="none"/>
              </w:rPr>
            </w:pPr>
            <w:r>
              <w:rPr>
                <w:rFonts w:hint="default" w:ascii="Times New Roman" w:hAnsi="Times New Roman" w:eastAsia="宋体" w:cs="Times New Roman"/>
                <w:i w:val="0"/>
                <w:iCs w:val="0"/>
                <w:color w:val="0000FF"/>
                <w:kern w:val="0"/>
                <w:sz w:val="22"/>
                <w:szCs w:val="22"/>
                <w:u w:val="none"/>
                <w:lang w:val="en-US" w:eastAsia="zh-CN" w:bidi="ar"/>
              </w:rPr>
              <w:t>达标</w:t>
            </w:r>
          </w:p>
        </w:tc>
      </w:tr>
      <w:tr w14:paraId="4B8435C3">
        <w:tblPrEx>
          <w:tblBorders>
            <w:top w:val="thinThickSmallGap" w:color="auto" w:sz="12" w:space="0"/>
            <w:left w:val="none" w:color="auto" w:sz="0" w:space="0"/>
            <w:bottom w:val="thinThickSmallGap" w:color="auto" w:sz="12" w:space="0"/>
            <w:right w:val="none" w:color="auto" w:sz="0"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 w:hRule="atLeast"/>
          <w:jc w:val="center"/>
        </w:trPr>
        <w:tc>
          <w:tcPr>
            <w:tcW w:w="528" w:type="dxa"/>
            <w:vMerge w:val="restart"/>
            <w:tcBorders>
              <w:tl2br w:val="nil"/>
              <w:tr2bl w:val="nil"/>
            </w:tcBorders>
            <w:shd w:val="clear" w:color="auto" w:fill="auto"/>
            <w:noWrap/>
            <w:vAlign w:val="center"/>
          </w:tcPr>
          <w:p w14:paraId="26062421">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sz w:val="22"/>
                <w:szCs w:val="22"/>
                <w:u w:val="none"/>
              </w:rPr>
            </w:pPr>
            <w:r>
              <w:rPr>
                <w:rFonts w:hint="default" w:ascii="Times New Roman" w:hAnsi="Times New Roman" w:eastAsia="宋体" w:cs="Times New Roman"/>
                <w:i w:val="0"/>
                <w:iCs w:val="0"/>
                <w:color w:val="0000FF"/>
                <w:kern w:val="0"/>
                <w:sz w:val="22"/>
                <w:szCs w:val="22"/>
                <w:u w:val="none"/>
                <w:lang w:val="en-US" w:eastAsia="zh-CN" w:bidi="ar"/>
              </w:rPr>
              <w:t>3</w:t>
            </w:r>
          </w:p>
        </w:tc>
        <w:tc>
          <w:tcPr>
            <w:tcW w:w="990" w:type="dxa"/>
            <w:vMerge w:val="restart"/>
            <w:tcBorders>
              <w:tl2br w:val="nil"/>
              <w:tr2bl w:val="nil"/>
            </w:tcBorders>
            <w:shd w:val="clear" w:color="auto" w:fill="auto"/>
            <w:noWrap/>
            <w:vAlign w:val="center"/>
          </w:tcPr>
          <w:p w14:paraId="1E29AECD">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sz w:val="22"/>
                <w:szCs w:val="22"/>
                <w:u w:val="none"/>
              </w:rPr>
            </w:pPr>
            <w:r>
              <w:rPr>
                <w:rFonts w:hint="default" w:ascii="Times New Roman" w:hAnsi="Times New Roman" w:eastAsia="宋体" w:cs="Times New Roman"/>
                <w:i w:val="0"/>
                <w:iCs w:val="0"/>
                <w:color w:val="0000FF"/>
                <w:kern w:val="0"/>
                <w:sz w:val="22"/>
                <w:szCs w:val="22"/>
                <w:u w:val="none"/>
                <w:lang w:val="en-US" w:eastAsia="zh-CN" w:bidi="ar"/>
              </w:rPr>
              <w:t>老虎沟</w:t>
            </w:r>
          </w:p>
        </w:tc>
        <w:tc>
          <w:tcPr>
            <w:tcW w:w="1275" w:type="dxa"/>
            <w:vMerge w:val="restart"/>
            <w:tcBorders>
              <w:tl2br w:val="nil"/>
              <w:tr2bl w:val="nil"/>
            </w:tcBorders>
            <w:shd w:val="clear" w:color="auto" w:fill="auto"/>
            <w:noWrap/>
            <w:vAlign w:val="center"/>
          </w:tcPr>
          <w:p w14:paraId="426A5053">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sz w:val="22"/>
                <w:szCs w:val="22"/>
                <w:u w:val="none"/>
              </w:rPr>
            </w:pPr>
            <w:r>
              <w:rPr>
                <w:rFonts w:hint="default" w:ascii="Times New Roman" w:hAnsi="Times New Roman" w:eastAsia="宋体" w:cs="Times New Roman"/>
                <w:i w:val="0"/>
                <w:iCs w:val="0"/>
                <w:color w:val="0000FF"/>
                <w:kern w:val="0"/>
                <w:sz w:val="22"/>
                <w:szCs w:val="22"/>
                <w:u w:val="none"/>
                <w:lang w:val="en-US" w:eastAsia="zh-CN" w:bidi="ar"/>
              </w:rPr>
              <w:t>-1526,736</w:t>
            </w:r>
          </w:p>
        </w:tc>
        <w:tc>
          <w:tcPr>
            <w:tcW w:w="1875" w:type="dxa"/>
            <w:tcBorders>
              <w:tl2br w:val="nil"/>
              <w:tr2bl w:val="nil"/>
            </w:tcBorders>
            <w:shd w:val="clear" w:color="auto" w:fill="auto"/>
            <w:noWrap/>
            <w:vAlign w:val="center"/>
          </w:tcPr>
          <w:p w14:paraId="65918604">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sz w:val="22"/>
                <w:szCs w:val="22"/>
                <w:u w:val="none"/>
              </w:rPr>
            </w:pPr>
            <w:r>
              <w:rPr>
                <w:rFonts w:hint="default" w:ascii="Times New Roman" w:hAnsi="Times New Roman" w:eastAsia="宋体" w:cs="Times New Roman"/>
                <w:i w:val="0"/>
                <w:iCs w:val="0"/>
                <w:color w:val="0000FF"/>
                <w:kern w:val="0"/>
                <w:sz w:val="22"/>
                <w:szCs w:val="22"/>
                <w:u w:val="none"/>
                <w:lang w:val="en-US" w:eastAsia="zh-CN" w:bidi="ar"/>
              </w:rPr>
              <w:t>1小时</w:t>
            </w:r>
          </w:p>
        </w:tc>
        <w:tc>
          <w:tcPr>
            <w:tcW w:w="1260" w:type="dxa"/>
            <w:tcBorders>
              <w:tl2br w:val="nil"/>
              <w:tr2bl w:val="nil"/>
            </w:tcBorders>
            <w:shd w:val="clear" w:color="auto" w:fill="auto"/>
            <w:noWrap/>
            <w:vAlign w:val="center"/>
          </w:tcPr>
          <w:p w14:paraId="756B1A0B">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sz w:val="22"/>
                <w:szCs w:val="22"/>
                <w:u w:val="none"/>
              </w:rPr>
            </w:pPr>
            <w:r>
              <w:rPr>
                <w:rFonts w:hint="default" w:ascii="Times New Roman" w:hAnsi="Times New Roman" w:eastAsia="宋体" w:cs="Times New Roman"/>
                <w:i w:val="0"/>
                <w:iCs w:val="0"/>
                <w:color w:val="0000FF"/>
                <w:kern w:val="0"/>
                <w:sz w:val="22"/>
                <w:szCs w:val="22"/>
                <w:u w:val="none"/>
                <w:lang w:val="en-US" w:eastAsia="zh-CN" w:bidi="ar"/>
              </w:rPr>
              <w:t>1.26E-03</w:t>
            </w:r>
          </w:p>
        </w:tc>
        <w:tc>
          <w:tcPr>
            <w:tcW w:w="1770" w:type="dxa"/>
            <w:tcBorders>
              <w:tl2br w:val="nil"/>
              <w:tr2bl w:val="nil"/>
            </w:tcBorders>
            <w:shd w:val="clear" w:color="auto" w:fill="auto"/>
            <w:noWrap/>
            <w:vAlign w:val="center"/>
          </w:tcPr>
          <w:p w14:paraId="164FAAB7">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sz w:val="22"/>
                <w:szCs w:val="22"/>
                <w:u w:val="none"/>
              </w:rPr>
            </w:pPr>
            <w:r>
              <w:rPr>
                <w:rFonts w:hint="default" w:ascii="Times New Roman" w:hAnsi="Times New Roman" w:eastAsia="宋体" w:cs="Times New Roman"/>
                <w:i w:val="0"/>
                <w:iCs w:val="0"/>
                <w:color w:val="0000FF"/>
                <w:kern w:val="0"/>
                <w:sz w:val="22"/>
                <w:szCs w:val="22"/>
                <w:u w:val="none"/>
                <w:lang w:val="en-US" w:eastAsia="zh-CN" w:bidi="ar"/>
              </w:rPr>
              <w:t>24021011</w:t>
            </w:r>
          </w:p>
        </w:tc>
        <w:tc>
          <w:tcPr>
            <w:tcW w:w="1140" w:type="dxa"/>
            <w:tcBorders>
              <w:tl2br w:val="nil"/>
              <w:tr2bl w:val="nil"/>
            </w:tcBorders>
            <w:shd w:val="clear" w:color="auto" w:fill="auto"/>
            <w:noWrap/>
            <w:vAlign w:val="center"/>
          </w:tcPr>
          <w:p w14:paraId="3D169E65">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sz w:val="22"/>
                <w:szCs w:val="22"/>
                <w:u w:val="none"/>
              </w:rPr>
            </w:pPr>
            <w:r>
              <w:rPr>
                <w:rFonts w:hint="default" w:ascii="Times New Roman" w:hAnsi="Times New Roman" w:eastAsia="宋体" w:cs="Times New Roman"/>
                <w:i w:val="0"/>
                <w:iCs w:val="0"/>
                <w:color w:val="0000FF"/>
                <w:kern w:val="0"/>
                <w:sz w:val="22"/>
                <w:szCs w:val="22"/>
                <w:u w:val="none"/>
                <w:lang w:val="en-US" w:eastAsia="zh-CN" w:bidi="ar"/>
              </w:rPr>
              <w:t>0.00E+00</w:t>
            </w:r>
          </w:p>
        </w:tc>
        <w:tc>
          <w:tcPr>
            <w:tcW w:w="1605" w:type="dxa"/>
            <w:tcBorders>
              <w:tl2br w:val="nil"/>
              <w:tr2bl w:val="nil"/>
            </w:tcBorders>
            <w:shd w:val="clear" w:color="auto" w:fill="auto"/>
            <w:noWrap/>
            <w:vAlign w:val="center"/>
          </w:tcPr>
          <w:p w14:paraId="6DCF1DEF">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sz w:val="22"/>
                <w:szCs w:val="22"/>
                <w:u w:val="none"/>
              </w:rPr>
            </w:pPr>
            <w:r>
              <w:rPr>
                <w:rFonts w:hint="default" w:ascii="Times New Roman" w:hAnsi="Times New Roman" w:eastAsia="宋体" w:cs="Times New Roman"/>
                <w:i w:val="0"/>
                <w:iCs w:val="0"/>
                <w:color w:val="0000FF"/>
                <w:kern w:val="0"/>
                <w:sz w:val="22"/>
                <w:szCs w:val="22"/>
                <w:u w:val="none"/>
                <w:lang w:val="en-US" w:eastAsia="zh-CN" w:bidi="ar"/>
              </w:rPr>
              <w:t>1.26E-03</w:t>
            </w:r>
          </w:p>
        </w:tc>
        <w:tc>
          <w:tcPr>
            <w:tcW w:w="1275" w:type="dxa"/>
            <w:tcBorders>
              <w:tl2br w:val="nil"/>
              <w:tr2bl w:val="nil"/>
            </w:tcBorders>
            <w:shd w:val="clear" w:color="auto" w:fill="auto"/>
            <w:noWrap/>
            <w:vAlign w:val="center"/>
          </w:tcPr>
          <w:p w14:paraId="4E940929">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sz w:val="22"/>
                <w:szCs w:val="22"/>
                <w:u w:val="none"/>
              </w:rPr>
            </w:pPr>
            <w:r>
              <w:rPr>
                <w:rFonts w:hint="default" w:ascii="Times New Roman" w:hAnsi="Times New Roman" w:eastAsia="宋体" w:cs="Times New Roman"/>
                <w:i w:val="0"/>
                <w:iCs w:val="0"/>
                <w:color w:val="0000FF"/>
                <w:kern w:val="0"/>
                <w:sz w:val="22"/>
                <w:szCs w:val="22"/>
                <w:u w:val="none"/>
                <w:lang w:val="en-US" w:eastAsia="zh-CN" w:bidi="ar"/>
              </w:rPr>
              <w:t>5.00E-01</w:t>
            </w:r>
          </w:p>
        </w:tc>
        <w:tc>
          <w:tcPr>
            <w:tcW w:w="1485" w:type="dxa"/>
            <w:tcBorders>
              <w:tl2br w:val="nil"/>
              <w:tr2bl w:val="nil"/>
            </w:tcBorders>
            <w:shd w:val="clear" w:color="auto" w:fill="auto"/>
            <w:noWrap/>
            <w:vAlign w:val="center"/>
          </w:tcPr>
          <w:p w14:paraId="3D409588">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sz w:val="22"/>
                <w:szCs w:val="22"/>
                <w:u w:val="none"/>
              </w:rPr>
            </w:pPr>
            <w:r>
              <w:rPr>
                <w:rFonts w:hint="default" w:ascii="Times New Roman" w:hAnsi="Times New Roman" w:eastAsia="宋体" w:cs="Times New Roman"/>
                <w:i w:val="0"/>
                <w:iCs w:val="0"/>
                <w:color w:val="0000FF"/>
                <w:kern w:val="0"/>
                <w:sz w:val="22"/>
                <w:szCs w:val="22"/>
                <w:u w:val="none"/>
                <w:lang w:val="en-US" w:eastAsia="zh-CN" w:bidi="ar"/>
              </w:rPr>
              <w:t>0.25</w:t>
            </w:r>
          </w:p>
        </w:tc>
        <w:tc>
          <w:tcPr>
            <w:tcW w:w="912" w:type="dxa"/>
            <w:tcBorders>
              <w:tl2br w:val="nil"/>
              <w:tr2bl w:val="nil"/>
            </w:tcBorders>
            <w:shd w:val="clear" w:color="auto" w:fill="auto"/>
            <w:noWrap/>
            <w:vAlign w:val="center"/>
          </w:tcPr>
          <w:p w14:paraId="3C9EAABE">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sz w:val="22"/>
                <w:szCs w:val="22"/>
                <w:u w:val="none"/>
              </w:rPr>
            </w:pPr>
            <w:r>
              <w:rPr>
                <w:rFonts w:hint="default" w:ascii="Times New Roman" w:hAnsi="Times New Roman" w:eastAsia="宋体" w:cs="Times New Roman"/>
                <w:i w:val="0"/>
                <w:iCs w:val="0"/>
                <w:color w:val="0000FF"/>
                <w:kern w:val="0"/>
                <w:sz w:val="22"/>
                <w:szCs w:val="22"/>
                <w:u w:val="none"/>
                <w:lang w:val="en-US" w:eastAsia="zh-CN" w:bidi="ar"/>
              </w:rPr>
              <w:t>达标</w:t>
            </w:r>
          </w:p>
        </w:tc>
      </w:tr>
      <w:tr w14:paraId="4BC5EB8D">
        <w:tblPrEx>
          <w:tblBorders>
            <w:top w:val="thinThickSmallGap" w:color="auto" w:sz="12" w:space="0"/>
            <w:left w:val="none" w:color="auto" w:sz="0" w:space="0"/>
            <w:bottom w:val="thinThick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528" w:type="dxa"/>
            <w:vMerge w:val="continue"/>
            <w:tcBorders>
              <w:tl2br w:val="nil"/>
              <w:tr2bl w:val="nil"/>
            </w:tcBorders>
            <w:shd w:val="clear" w:color="auto" w:fill="auto"/>
            <w:noWrap/>
            <w:vAlign w:val="center"/>
          </w:tcPr>
          <w:p w14:paraId="5B1549FE">
            <w:pPr>
              <w:keepNext w:val="0"/>
              <w:keepLines w:val="0"/>
              <w:pageBreakBefore w:val="0"/>
              <w:widowControl/>
              <w:kinsoku/>
              <w:wordWrap/>
              <w:overflowPunct/>
              <w:topLinePunct w:val="0"/>
              <w:autoSpaceDE/>
              <w:autoSpaceDN/>
              <w:bidi w:val="0"/>
              <w:adjustRightInd w:val="0"/>
              <w:snapToGrid w:val="0"/>
              <w:spacing w:line="240" w:lineRule="auto"/>
              <w:ind w:firstLineChars="0"/>
              <w:jc w:val="center"/>
              <w:rPr>
                <w:rFonts w:hint="default" w:ascii="Times New Roman" w:hAnsi="Times New Roman" w:eastAsia="宋体" w:cs="Times New Roman"/>
                <w:i w:val="0"/>
                <w:iCs w:val="0"/>
                <w:color w:val="0000FF"/>
                <w:sz w:val="22"/>
                <w:szCs w:val="22"/>
                <w:u w:val="none"/>
              </w:rPr>
            </w:pPr>
          </w:p>
        </w:tc>
        <w:tc>
          <w:tcPr>
            <w:tcW w:w="990" w:type="dxa"/>
            <w:vMerge w:val="continue"/>
            <w:tcBorders>
              <w:tl2br w:val="nil"/>
              <w:tr2bl w:val="nil"/>
            </w:tcBorders>
            <w:shd w:val="clear" w:color="auto" w:fill="auto"/>
            <w:noWrap/>
            <w:vAlign w:val="center"/>
          </w:tcPr>
          <w:p w14:paraId="64D4731C">
            <w:pPr>
              <w:keepNext w:val="0"/>
              <w:keepLines w:val="0"/>
              <w:pageBreakBefore w:val="0"/>
              <w:widowControl/>
              <w:kinsoku/>
              <w:wordWrap/>
              <w:overflowPunct/>
              <w:topLinePunct w:val="0"/>
              <w:autoSpaceDE/>
              <w:autoSpaceDN/>
              <w:bidi w:val="0"/>
              <w:adjustRightInd w:val="0"/>
              <w:snapToGrid w:val="0"/>
              <w:spacing w:line="240" w:lineRule="auto"/>
              <w:ind w:firstLineChars="0"/>
              <w:jc w:val="center"/>
              <w:rPr>
                <w:rFonts w:hint="default" w:ascii="Times New Roman" w:hAnsi="Times New Roman" w:eastAsia="宋体" w:cs="Times New Roman"/>
                <w:i w:val="0"/>
                <w:iCs w:val="0"/>
                <w:color w:val="0000FF"/>
                <w:sz w:val="22"/>
                <w:szCs w:val="22"/>
                <w:u w:val="none"/>
              </w:rPr>
            </w:pPr>
          </w:p>
        </w:tc>
        <w:tc>
          <w:tcPr>
            <w:tcW w:w="1275" w:type="dxa"/>
            <w:vMerge w:val="continue"/>
            <w:tcBorders>
              <w:tl2br w:val="nil"/>
              <w:tr2bl w:val="nil"/>
            </w:tcBorders>
            <w:shd w:val="clear" w:color="auto" w:fill="auto"/>
            <w:noWrap/>
            <w:vAlign w:val="center"/>
          </w:tcPr>
          <w:p w14:paraId="4B35CFB1">
            <w:pPr>
              <w:keepNext w:val="0"/>
              <w:keepLines w:val="0"/>
              <w:pageBreakBefore w:val="0"/>
              <w:widowControl/>
              <w:kinsoku/>
              <w:wordWrap/>
              <w:overflowPunct/>
              <w:topLinePunct w:val="0"/>
              <w:autoSpaceDE/>
              <w:autoSpaceDN/>
              <w:bidi w:val="0"/>
              <w:adjustRightInd w:val="0"/>
              <w:snapToGrid w:val="0"/>
              <w:spacing w:line="240" w:lineRule="auto"/>
              <w:ind w:firstLineChars="0"/>
              <w:jc w:val="center"/>
              <w:rPr>
                <w:rFonts w:hint="default" w:ascii="Times New Roman" w:hAnsi="Times New Roman" w:eastAsia="宋体" w:cs="Times New Roman"/>
                <w:i w:val="0"/>
                <w:iCs w:val="0"/>
                <w:color w:val="0000FF"/>
                <w:sz w:val="22"/>
                <w:szCs w:val="22"/>
                <w:u w:val="none"/>
              </w:rPr>
            </w:pPr>
          </w:p>
        </w:tc>
        <w:tc>
          <w:tcPr>
            <w:tcW w:w="1875" w:type="dxa"/>
            <w:tcBorders>
              <w:tl2br w:val="nil"/>
              <w:tr2bl w:val="nil"/>
            </w:tcBorders>
            <w:shd w:val="clear" w:color="auto" w:fill="auto"/>
            <w:noWrap/>
            <w:vAlign w:val="center"/>
          </w:tcPr>
          <w:p w14:paraId="6D4730C8">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1"/>
                <w:szCs w:val="21"/>
                <w:u w:val="none"/>
                <w:lang w:val="en-US" w:eastAsia="zh-CN" w:bidi="ar"/>
              </w:rPr>
              <w:t>98%保证率日平均</w:t>
            </w:r>
          </w:p>
        </w:tc>
        <w:tc>
          <w:tcPr>
            <w:tcW w:w="1260" w:type="dxa"/>
            <w:tcBorders>
              <w:tl2br w:val="nil"/>
              <w:tr2bl w:val="nil"/>
            </w:tcBorders>
            <w:shd w:val="clear" w:color="auto" w:fill="auto"/>
            <w:noWrap/>
            <w:vAlign w:val="center"/>
          </w:tcPr>
          <w:p w14:paraId="01709E3C">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sz w:val="22"/>
                <w:szCs w:val="22"/>
                <w:u w:val="none"/>
              </w:rPr>
            </w:pPr>
            <w:r>
              <w:rPr>
                <w:rFonts w:hint="default" w:ascii="Times New Roman" w:hAnsi="Times New Roman" w:eastAsia="宋体" w:cs="Times New Roman"/>
                <w:i w:val="0"/>
                <w:iCs w:val="0"/>
                <w:color w:val="0000FF"/>
                <w:kern w:val="0"/>
                <w:sz w:val="22"/>
                <w:szCs w:val="22"/>
                <w:u w:val="none"/>
                <w:lang w:val="en-US" w:eastAsia="zh-CN" w:bidi="ar"/>
              </w:rPr>
              <w:t>4.30E-05</w:t>
            </w:r>
          </w:p>
        </w:tc>
        <w:tc>
          <w:tcPr>
            <w:tcW w:w="1770" w:type="dxa"/>
            <w:tcBorders>
              <w:tl2br w:val="nil"/>
              <w:tr2bl w:val="nil"/>
            </w:tcBorders>
            <w:shd w:val="clear" w:color="auto" w:fill="auto"/>
            <w:noWrap/>
            <w:vAlign w:val="center"/>
          </w:tcPr>
          <w:p w14:paraId="272F7D51">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sz w:val="22"/>
                <w:szCs w:val="22"/>
                <w:u w:val="none"/>
              </w:rPr>
            </w:pPr>
            <w:r>
              <w:rPr>
                <w:rFonts w:hint="default" w:ascii="Times New Roman" w:hAnsi="Times New Roman" w:eastAsia="宋体" w:cs="Times New Roman"/>
                <w:i w:val="0"/>
                <w:iCs w:val="0"/>
                <w:color w:val="0000FF"/>
                <w:kern w:val="0"/>
                <w:sz w:val="22"/>
                <w:szCs w:val="22"/>
                <w:u w:val="none"/>
                <w:lang w:val="en-US" w:eastAsia="zh-CN" w:bidi="ar"/>
              </w:rPr>
              <w:t>240128</w:t>
            </w:r>
          </w:p>
        </w:tc>
        <w:tc>
          <w:tcPr>
            <w:tcW w:w="1140" w:type="dxa"/>
            <w:tcBorders>
              <w:tl2br w:val="nil"/>
              <w:tr2bl w:val="nil"/>
            </w:tcBorders>
            <w:shd w:val="clear" w:color="auto" w:fill="auto"/>
            <w:noWrap/>
            <w:vAlign w:val="center"/>
          </w:tcPr>
          <w:p w14:paraId="3A1155FE">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sz w:val="22"/>
                <w:szCs w:val="22"/>
                <w:u w:val="none"/>
              </w:rPr>
            </w:pPr>
            <w:r>
              <w:rPr>
                <w:rFonts w:hint="default" w:ascii="Times New Roman" w:hAnsi="Times New Roman" w:eastAsia="宋体" w:cs="Times New Roman"/>
                <w:i w:val="0"/>
                <w:iCs w:val="0"/>
                <w:color w:val="0000FF"/>
                <w:kern w:val="0"/>
                <w:sz w:val="22"/>
                <w:szCs w:val="22"/>
                <w:u w:val="none"/>
                <w:lang w:val="en-US" w:eastAsia="zh-CN" w:bidi="ar"/>
              </w:rPr>
              <w:t>1.80E-02</w:t>
            </w:r>
          </w:p>
        </w:tc>
        <w:tc>
          <w:tcPr>
            <w:tcW w:w="1605" w:type="dxa"/>
            <w:tcBorders>
              <w:tl2br w:val="nil"/>
              <w:tr2bl w:val="nil"/>
            </w:tcBorders>
            <w:shd w:val="clear" w:color="auto" w:fill="auto"/>
            <w:noWrap/>
            <w:vAlign w:val="center"/>
          </w:tcPr>
          <w:p w14:paraId="6E0D02F4">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sz w:val="22"/>
                <w:szCs w:val="22"/>
                <w:u w:val="none"/>
              </w:rPr>
            </w:pPr>
            <w:r>
              <w:rPr>
                <w:rFonts w:hint="default" w:ascii="Times New Roman" w:hAnsi="Times New Roman" w:eastAsia="宋体" w:cs="Times New Roman"/>
                <w:i w:val="0"/>
                <w:iCs w:val="0"/>
                <w:color w:val="0000FF"/>
                <w:kern w:val="0"/>
                <w:sz w:val="22"/>
                <w:szCs w:val="22"/>
                <w:u w:val="none"/>
                <w:lang w:val="en-US" w:eastAsia="zh-CN" w:bidi="ar"/>
              </w:rPr>
              <w:t>1.80E-02</w:t>
            </w:r>
          </w:p>
        </w:tc>
        <w:tc>
          <w:tcPr>
            <w:tcW w:w="1275" w:type="dxa"/>
            <w:tcBorders>
              <w:tl2br w:val="nil"/>
              <w:tr2bl w:val="nil"/>
            </w:tcBorders>
            <w:shd w:val="clear" w:color="auto" w:fill="auto"/>
            <w:noWrap/>
            <w:vAlign w:val="center"/>
          </w:tcPr>
          <w:p w14:paraId="7752E6F3">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sz w:val="22"/>
                <w:szCs w:val="22"/>
                <w:u w:val="none"/>
              </w:rPr>
            </w:pPr>
            <w:r>
              <w:rPr>
                <w:rFonts w:hint="default" w:ascii="Times New Roman" w:hAnsi="Times New Roman" w:eastAsia="宋体" w:cs="Times New Roman"/>
                <w:i w:val="0"/>
                <w:iCs w:val="0"/>
                <w:color w:val="0000FF"/>
                <w:kern w:val="0"/>
                <w:sz w:val="22"/>
                <w:szCs w:val="22"/>
                <w:u w:val="none"/>
                <w:lang w:val="en-US" w:eastAsia="zh-CN" w:bidi="ar"/>
              </w:rPr>
              <w:t>1.50E-01</w:t>
            </w:r>
          </w:p>
        </w:tc>
        <w:tc>
          <w:tcPr>
            <w:tcW w:w="1485" w:type="dxa"/>
            <w:tcBorders>
              <w:tl2br w:val="nil"/>
              <w:tr2bl w:val="nil"/>
            </w:tcBorders>
            <w:shd w:val="clear" w:color="auto" w:fill="auto"/>
            <w:noWrap/>
            <w:vAlign w:val="center"/>
          </w:tcPr>
          <w:p w14:paraId="7912C3C8">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sz w:val="22"/>
                <w:szCs w:val="22"/>
                <w:u w:val="none"/>
              </w:rPr>
            </w:pPr>
            <w:r>
              <w:rPr>
                <w:rFonts w:hint="default" w:ascii="Times New Roman" w:hAnsi="Times New Roman" w:eastAsia="宋体" w:cs="Times New Roman"/>
                <w:i w:val="0"/>
                <w:iCs w:val="0"/>
                <w:color w:val="0000FF"/>
                <w:kern w:val="0"/>
                <w:sz w:val="22"/>
                <w:szCs w:val="22"/>
                <w:u w:val="none"/>
                <w:lang w:val="en-US" w:eastAsia="zh-CN" w:bidi="ar"/>
              </w:rPr>
              <w:t>12.03</w:t>
            </w:r>
          </w:p>
        </w:tc>
        <w:tc>
          <w:tcPr>
            <w:tcW w:w="912" w:type="dxa"/>
            <w:tcBorders>
              <w:tl2br w:val="nil"/>
              <w:tr2bl w:val="nil"/>
            </w:tcBorders>
            <w:shd w:val="clear" w:color="auto" w:fill="auto"/>
            <w:noWrap/>
            <w:vAlign w:val="center"/>
          </w:tcPr>
          <w:p w14:paraId="321ED529">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sz w:val="22"/>
                <w:szCs w:val="22"/>
                <w:u w:val="none"/>
              </w:rPr>
            </w:pPr>
            <w:r>
              <w:rPr>
                <w:rFonts w:hint="default" w:ascii="Times New Roman" w:hAnsi="Times New Roman" w:eastAsia="宋体" w:cs="Times New Roman"/>
                <w:i w:val="0"/>
                <w:iCs w:val="0"/>
                <w:color w:val="0000FF"/>
                <w:kern w:val="0"/>
                <w:sz w:val="22"/>
                <w:szCs w:val="22"/>
                <w:u w:val="none"/>
                <w:lang w:val="en-US" w:eastAsia="zh-CN" w:bidi="ar"/>
              </w:rPr>
              <w:t>达标</w:t>
            </w:r>
          </w:p>
        </w:tc>
      </w:tr>
      <w:tr w14:paraId="7B126983">
        <w:tblPrEx>
          <w:tblBorders>
            <w:top w:val="thinThickSmallGap" w:color="auto" w:sz="12" w:space="0"/>
            <w:left w:val="none" w:color="auto" w:sz="0" w:space="0"/>
            <w:bottom w:val="thinThickSmallGap" w:color="auto" w:sz="12" w:space="0"/>
            <w:right w:val="none" w:color="auto" w:sz="0"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 w:hRule="atLeast"/>
          <w:jc w:val="center"/>
        </w:trPr>
        <w:tc>
          <w:tcPr>
            <w:tcW w:w="528" w:type="dxa"/>
            <w:vMerge w:val="continue"/>
            <w:tcBorders>
              <w:tl2br w:val="nil"/>
              <w:tr2bl w:val="nil"/>
            </w:tcBorders>
            <w:shd w:val="clear" w:color="auto" w:fill="auto"/>
            <w:noWrap/>
            <w:vAlign w:val="center"/>
          </w:tcPr>
          <w:p w14:paraId="68B61231">
            <w:pPr>
              <w:keepNext w:val="0"/>
              <w:keepLines w:val="0"/>
              <w:pageBreakBefore w:val="0"/>
              <w:widowControl/>
              <w:kinsoku/>
              <w:wordWrap/>
              <w:overflowPunct/>
              <w:topLinePunct w:val="0"/>
              <w:autoSpaceDE/>
              <w:autoSpaceDN/>
              <w:bidi w:val="0"/>
              <w:adjustRightInd w:val="0"/>
              <w:snapToGrid w:val="0"/>
              <w:spacing w:line="240" w:lineRule="auto"/>
              <w:ind w:firstLineChars="0"/>
              <w:jc w:val="center"/>
              <w:rPr>
                <w:rFonts w:hint="default" w:ascii="Times New Roman" w:hAnsi="Times New Roman" w:eastAsia="宋体" w:cs="Times New Roman"/>
                <w:i w:val="0"/>
                <w:iCs w:val="0"/>
                <w:color w:val="0000FF"/>
                <w:sz w:val="22"/>
                <w:szCs w:val="22"/>
                <w:u w:val="none"/>
              </w:rPr>
            </w:pPr>
          </w:p>
        </w:tc>
        <w:tc>
          <w:tcPr>
            <w:tcW w:w="990" w:type="dxa"/>
            <w:vMerge w:val="continue"/>
            <w:tcBorders>
              <w:tl2br w:val="nil"/>
              <w:tr2bl w:val="nil"/>
            </w:tcBorders>
            <w:shd w:val="clear" w:color="auto" w:fill="auto"/>
            <w:noWrap/>
            <w:vAlign w:val="center"/>
          </w:tcPr>
          <w:p w14:paraId="48FF6169">
            <w:pPr>
              <w:keepNext w:val="0"/>
              <w:keepLines w:val="0"/>
              <w:pageBreakBefore w:val="0"/>
              <w:widowControl/>
              <w:kinsoku/>
              <w:wordWrap/>
              <w:overflowPunct/>
              <w:topLinePunct w:val="0"/>
              <w:autoSpaceDE/>
              <w:autoSpaceDN/>
              <w:bidi w:val="0"/>
              <w:adjustRightInd w:val="0"/>
              <w:snapToGrid w:val="0"/>
              <w:spacing w:line="240" w:lineRule="auto"/>
              <w:ind w:firstLineChars="0"/>
              <w:jc w:val="center"/>
              <w:rPr>
                <w:rFonts w:hint="default" w:ascii="Times New Roman" w:hAnsi="Times New Roman" w:eastAsia="宋体" w:cs="Times New Roman"/>
                <w:i w:val="0"/>
                <w:iCs w:val="0"/>
                <w:color w:val="0000FF"/>
                <w:sz w:val="22"/>
                <w:szCs w:val="22"/>
                <w:u w:val="none"/>
              </w:rPr>
            </w:pPr>
          </w:p>
        </w:tc>
        <w:tc>
          <w:tcPr>
            <w:tcW w:w="1275" w:type="dxa"/>
            <w:vMerge w:val="continue"/>
            <w:tcBorders>
              <w:tl2br w:val="nil"/>
              <w:tr2bl w:val="nil"/>
            </w:tcBorders>
            <w:shd w:val="clear" w:color="auto" w:fill="auto"/>
            <w:noWrap/>
            <w:vAlign w:val="center"/>
          </w:tcPr>
          <w:p w14:paraId="018504E7">
            <w:pPr>
              <w:keepNext w:val="0"/>
              <w:keepLines w:val="0"/>
              <w:pageBreakBefore w:val="0"/>
              <w:widowControl/>
              <w:kinsoku/>
              <w:wordWrap/>
              <w:overflowPunct/>
              <w:topLinePunct w:val="0"/>
              <w:autoSpaceDE/>
              <w:autoSpaceDN/>
              <w:bidi w:val="0"/>
              <w:adjustRightInd w:val="0"/>
              <w:snapToGrid w:val="0"/>
              <w:spacing w:line="240" w:lineRule="auto"/>
              <w:ind w:firstLineChars="0"/>
              <w:jc w:val="center"/>
              <w:rPr>
                <w:rFonts w:hint="default" w:ascii="Times New Roman" w:hAnsi="Times New Roman" w:eastAsia="宋体" w:cs="Times New Roman"/>
                <w:i w:val="0"/>
                <w:iCs w:val="0"/>
                <w:color w:val="0000FF"/>
                <w:sz w:val="22"/>
                <w:szCs w:val="22"/>
                <w:u w:val="none"/>
              </w:rPr>
            </w:pPr>
          </w:p>
        </w:tc>
        <w:tc>
          <w:tcPr>
            <w:tcW w:w="1875" w:type="dxa"/>
            <w:tcBorders>
              <w:tl2br w:val="nil"/>
              <w:tr2bl w:val="nil"/>
            </w:tcBorders>
            <w:shd w:val="clear" w:color="auto" w:fill="auto"/>
            <w:noWrap/>
            <w:vAlign w:val="center"/>
          </w:tcPr>
          <w:p w14:paraId="41A9FEA6">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sz w:val="22"/>
                <w:szCs w:val="22"/>
                <w:u w:val="none"/>
              </w:rPr>
            </w:pPr>
            <w:r>
              <w:rPr>
                <w:rFonts w:hint="default" w:ascii="Times New Roman" w:hAnsi="Times New Roman" w:eastAsia="宋体" w:cs="Times New Roman"/>
                <w:i w:val="0"/>
                <w:iCs w:val="0"/>
                <w:color w:val="0000FF"/>
                <w:kern w:val="0"/>
                <w:sz w:val="22"/>
                <w:szCs w:val="22"/>
                <w:u w:val="none"/>
                <w:lang w:val="en-US" w:eastAsia="zh-CN" w:bidi="ar"/>
              </w:rPr>
              <w:t>全时段</w:t>
            </w:r>
          </w:p>
        </w:tc>
        <w:tc>
          <w:tcPr>
            <w:tcW w:w="1260" w:type="dxa"/>
            <w:tcBorders>
              <w:tl2br w:val="nil"/>
              <w:tr2bl w:val="nil"/>
            </w:tcBorders>
            <w:shd w:val="clear" w:color="auto" w:fill="auto"/>
            <w:noWrap/>
            <w:vAlign w:val="center"/>
          </w:tcPr>
          <w:p w14:paraId="19C4B461">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sz w:val="22"/>
                <w:szCs w:val="22"/>
                <w:u w:val="none"/>
              </w:rPr>
            </w:pPr>
            <w:r>
              <w:rPr>
                <w:rFonts w:hint="default" w:ascii="Times New Roman" w:hAnsi="Times New Roman" w:eastAsia="宋体" w:cs="Times New Roman"/>
                <w:i w:val="0"/>
                <w:iCs w:val="0"/>
                <w:color w:val="0000FF"/>
                <w:kern w:val="0"/>
                <w:sz w:val="22"/>
                <w:szCs w:val="22"/>
                <w:u w:val="none"/>
                <w:lang w:val="en-US" w:eastAsia="zh-CN" w:bidi="ar"/>
              </w:rPr>
              <w:t>2.41E-05</w:t>
            </w:r>
          </w:p>
        </w:tc>
        <w:tc>
          <w:tcPr>
            <w:tcW w:w="1770" w:type="dxa"/>
            <w:tcBorders>
              <w:tl2br w:val="nil"/>
              <w:tr2bl w:val="nil"/>
            </w:tcBorders>
            <w:shd w:val="clear" w:color="auto" w:fill="auto"/>
            <w:noWrap/>
            <w:vAlign w:val="center"/>
          </w:tcPr>
          <w:p w14:paraId="6EC90FB1">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sz w:val="22"/>
                <w:szCs w:val="22"/>
                <w:u w:val="none"/>
              </w:rPr>
            </w:pPr>
            <w:r>
              <w:rPr>
                <w:rFonts w:hint="default" w:ascii="Times New Roman" w:hAnsi="Times New Roman" w:eastAsia="宋体" w:cs="Times New Roman"/>
                <w:i w:val="0"/>
                <w:iCs w:val="0"/>
                <w:color w:val="0000FF"/>
                <w:kern w:val="0"/>
                <w:sz w:val="22"/>
                <w:szCs w:val="22"/>
                <w:u w:val="none"/>
                <w:lang w:val="en-US" w:eastAsia="zh-CN" w:bidi="ar"/>
              </w:rPr>
              <w:t>平均值</w:t>
            </w:r>
          </w:p>
        </w:tc>
        <w:tc>
          <w:tcPr>
            <w:tcW w:w="1140" w:type="dxa"/>
            <w:tcBorders>
              <w:tl2br w:val="nil"/>
              <w:tr2bl w:val="nil"/>
            </w:tcBorders>
            <w:shd w:val="clear" w:color="auto" w:fill="auto"/>
            <w:noWrap/>
            <w:vAlign w:val="center"/>
          </w:tcPr>
          <w:p w14:paraId="2E8599F5">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sz w:val="22"/>
                <w:szCs w:val="22"/>
                <w:u w:val="none"/>
              </w:rPr>
            </w:pPr>
            <w:r>
              <w:rPr>
                <w:rFonts w:hint="default" w:ascii="Times New Roman" w:hAnsi="Times New Roman" w:eastAsia="宋体" w:cs="Times New Roman"/>
                <w:i w:val="0"/>
                <w:iCs w:val="0"/>
                <w:color w:val="0000FF"/>
                <w:kern w:val="0"/>
                <w:sz w:val="22"/>
                <w:szCs w:val="22"/>
                <w:u w:val="none"/>
                <w:lang w:val="en-US" w:eastAsia="zh-CN" w:bidi="ar"/>
              </w:rPr>
              <w:t>9.10E-03</w:t>
            </w:r>
          </w:p>
        </w:tc>
        <w:tc>
          <w:tcPr>
            <w:tcW w:w="1605" w:type="dxa"/>
            <w:tcBorders>
              <w:tl2br w:val="nil"/>
              <w:tr2bl w:val="nil"/>
            </w:tcBorders>
            <w:shd w:val="clear" w:color="auto" w:fill="auto"/>
            <w:noWrap/>
            <w:vAlign w:val="center"/>
          </w:tcPr>
          <w:p w14:paraId="70E5167C">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sz w:val="22"/>
                <w:szCs w:val="22"/>
                <w:u w:val="none"/>
              </w:rPr>
            </w:pPr>
            <w:r>
              <w:rPr>
                <w:rFonts w:hint="default" w:ascii="Times New Roman" w:hAnsi="Times New Roman" w:eastAsia="宋体" w:cs="Times New Roman"/>
                <w:i w:val="0"/>
                <w:iCs w:val="0"/>
                <w:color w:val="0000FF"/>
                <w:kern w:val="0"/>
                <w:sz w:val="22"/>
                <w:szCs w:val="22"/>
                <w:u w:val="none"/>
                <w:lang w:val="en-US" w:eastAsia="zh-CN" w:bidi="ar"/>
              </w:rPr>
              <w:t>9.12E-03</w:t>
            </w:r>
          </w:p>
        </w:tc>
        <w:tc>
          <w:tcPr>
            <w:tcW w:w="1275" w:type="dxa"/>
            <w:tcBorders>
              <w:tl2br w:val="nil"/>
              <w:tr2bl w:val="nil"/>
            </w:tcBorders>
            <w:shd w:val="clear" w:color="auto" w:fill="auto"/>
            <w:noWrap/>
            <w:vAlign w:val="center"/>
          </w:tcPr>
          <w:p w14:paraId="0D5834A0">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sz w:val="22"/>
                <w:szCs w:val="22"/>
                <w:u w:val="none"/>
              </w:rPr>
            </w:pPr>
            <w:r>
              <w:rPr>
                <w:rFonts w:hint="default" w:ascii="Times New Roman" w:hAnsi="Times New Roman" w:eastAsia="宋体" w:cs="Times New Roman"/>
                <w:i w:val="0"/>
                <w:iCs w:val="0"/>
                <w:color w:val="0000FF"/>
                <w:kern w:val="0"/>
                <w:sz w:val="22"/>
                <w:szCs w:val="22"/>
                <w:u w:val="none"/>
                <w:lang w:val="en-US" w:eastAsia="zh-CN" w:bidi="ar"/>
              </w:rPr>
              <w:t>6.00E-02</w:t>
            </w:r>
          </w:p>
        </w:tc>
        <w:tc>
          <w:tcPr>
            <w:tcW w:w="1485" w:type="dxa"/>
            <w:tcBorders>
              <w:tl2br w:val="nil"/>
              <w:tr2bl w:val="nil"/>
            </w:tcBorders>
            <w:shd w:val="clear" w:color="auto" w:fill="auto"/>
            <w:noWrap/>
            <w:vAlign w:val="center"/>
          </w:tcPr>
          <w:p w14:paraId="50442A07">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sz w:val="22"/>
                <w:szCs w:val="22"/>
                <w:u w:val="none"/>
              </w:rPr>
            </w:pPr>
            <w:r>
              <w:rPr>
                <w:rFonts w:hint="default" w:ascii="Times New Roman" w:hAnsi="Times New Roman" w:eastAsia="宋体" w:cs="Times New Roman"/>
                <w:i w:val="0"/>
                <w:iCs w:val="0"/>
                <w:color w:val="0000FF"/>
                <w:kern w:val="0"/>
                <w:sz w:val="22"/>
                <w:szCs w:val="22"/>
                <w:u w:val="none"/>
                <w:lang w:val="en-US" w:eastAsia="zh-CN" w:bidi="ar"/>
              </w:rPr>
              <w:t>15.2</w:t>
            </w:r>
          </w:p>
        </w:tc>
        <w:tc>
          <w:tcPr>
            <w:tcW w:w="912" w:type="dxa"/>
            <w:tcBorders>
              <w:tl2br w:val="nil"/>
              <w:tr2bl w:val="nil"/>
            </w:tcBorders>
            <w:shd w:val="clear" w:color="auto" w:fill="auto"/>
            <w:noWrap/>
            <w:vAlign w:val="center"/>
          </w:tcPr>
          <w:p w14:paraId="60517099">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sz w:val="22"/>
                <w:szCs w:val="22"/>
                <w:u w:val="none"/>
              </w:rPr>
            </w:pPr>
            <w:r>
              <w:rPr>
                <w:rFonts w:hint="default" w:ascii="Times New Roman" w:hAnsi="Times New Roman" w:eastAsia="宋体" w:cs="Times New Roman"/>
                <w:i w:val="0"/>
                <w:iCs w:val="0"/>
                <w:color w:val="0000FF"/>
                <w:kern w:val="0"/>
                <w:sz w:val="22"/>
                <w:szCs w:val="22"/>
                <w:u w:val="none"/>
                <w:lang w:val="en-US" w:eastAsia="zh-CN" w:bidi="ar"/>
              </w:rPr>
              <w:t>达标</w:t>
            </w:r>
          </w:p>
        </w:tc>
      </w:tr>
      <w:tr w14:paraId="6127968E">
        <w:tblPrEx>
          <w:tblBorders>
            <w:top w:val="thinThickSmallGap" w:color="auto" w:sz="12" w:space="0"/>
            <w:left w:val="none" w:color="auto" w:sz="0" w:space="0"/>
            <w:bottom w:val="thinThickSmallGap" w:color="auto" w:sz="12" w:space="0"/>
            <w:right w:val="none" w:color="auto" w:sz="0"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 w:hRule="atLeast"/>
          <w:jc w:val="center"/>
        </w:trPr>
        <w:tc>
          <w:tcPr>
            <w:tcW w:w="528" w:type="dxa"/>
            <w:vMerge w:val="restart"/>
            <w:tcBorders>
              <w:tl2br w:val="nil"/>
              <w:tr2bl w:val="nil"/>
            </w:tcBorders>
            <w:shd w:val="clear" w:color="auto" w:fill="auto"/>
            <w:noWrap/>
            <w:vAlign w:val="center"/>
          </w:tcPr>
          <w:p w14:paraId="4B99C10B">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sz w:val="22"/>
                <w:szCs w:val="22"/>
                <w:u w:val="none"/>
              </w:rPr>
            </w:pPr>
            <w:r>
              <w:rPr>
                <w:rFonts w:hint="default" w:ascii="Times New Roman" w:hAnsi="Times New Roman" w:eastAsia="宋体" w:cs="Times New Roman"/>
                <w:i w:val="0"/>
                <w:iCs w:val="0"/>
                <w:color w:val="0000FF"/>
                <w:kern w:val="0"/>
                <w:sz w:val="22"/>
                <w:szCs w:val="22"/>
                <w:u w:val="none"/>
                <w:lang w:val="en-US" w:eastAsia="zh-CN" w:bidi="ar"/>
              </w:rPr>
              <w:t>4</w:t>
            </w:r>
          </w:p>
        </w:tc>
        <w:tc>
          <w:tcPr>
            <w:tcW w:w="990" w:type="dxa"/>
            <w:vMerge w:val="restart"/>
            <w:tcBorders>
              <w:tl2br w:val="nil"/>
              <w:tr2bl w:val="nil"/>
            </w:tcBorders>
            <w:shd w:val="clear" w:color="auto" w:fill="auto"/>
            <w:noWrap/>
            <w:vAlign w:val="center"/>
          </w:tcPr>
          <w:p w14:paraId="3EBB55B0">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sz w:val="22"/>
                <w:szCs w:val="22"/>
                <w:u w:val="none"/>
              </w:rPr>
            </w:pPr>
            <w:r>
              <w:rPr>
                <w:rFonts w:hint="default" w:ascii="Times New Roman" w:hAnsi="Times New Roman" w:eastAsia="宋体" w:cs="Times New Roman"/>
                <w:i w:val="0"/>
                <w:iCs w:val="0"/>
                <w:color w:val="0000FF"/>
                <w:kern w:val="0"/>
                <w:sz w:val="22"/>
                <w:szCs w:val="22"/>
                <w:u w:val="none"/>
                <w:lang w:val="en-US" w:eastAsia="zh-CN" w:bidi="ar"/>
              </w:rPr>
              <w:t>三道沟</w:t>
            </w:r>
          </w:p>
        </w:tc>
        <w:tc>
          <w:tcPr>
            <w:tcW w:w="1275" w:type="dxa"/>
            <w:vMerge w:val="restart"/>
            <w:tcBorders>
              <w:tl2br w:val="nil"/>
              <w:tr2bl w:val="nil"/>
            </w:tcBorders>
            <w:shd w:val="clear" w:color="auto" w:fill="auto"/>
            <w:noWrap/>
            <w:vAlign w:val="center"/>
          </w:tcPr>
          <w:p w14:paraId="35843606">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sz w:val="22"/>
                <w:szCs w:val="22"/>
                <w:u w:val="none"/>
              </w:rPr>
            </w:pPr>
            <w:r>
              <w:rPr>
                <w:rFonts w:hint="default" w:ascii="Times New Roman" w:hAnsi="Times New Roman" w:eastAsia="宋体" w:cs="Times New Roman"/>
                <w:i w:val="0"/>
                <w:iCs w:val="0"/>
                <w:color w:val="0000FF"/>
                <w:kern w:val="0"/>
                <w:sz w:val="22"/>
                <w:szCs w:val="22"/>
                <w:u w:val="none"/>
                <w:lang w:val="en-US" w:eastAsia="zh-CN" w:bidi="ar"/>
              </w:rPr>
              <w:t>910,-1326</w:t>
            </w:r>
          </w:p>
        </w:tc>
        <w:tc>
          <w:tcPr>
            <w:tcW w:w="1875" w:type="dxa"/>
            <w:tcBorders>
              <w:tl2br w:val="nil"/>
              <w:tr2bl w:val="nil"/>
            </w:tcBorders>
            <w:shd w:val="clear" w:color="auto" w:fill="auto"/>
            <w:noWrap/>
            <w:vAlign w:val="center"/>
          </w:tcPr>
          <w:p w14:paraId="139EB30A">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sz w:val="22"/>
                <w:szCs w:val="22"/>
                <w:u w:val="none"/>
              </w:rPr>
            </w:pPr>
            <w:r>
              <w:rPr>
                <w:rFonts w:hint="default" w:ascii="Times New Roman" w:hAnsi="Times New Roman" w:eastAsia="宋体" w:cs="Times New Roman"/>
                <w:i w:val="0"/>
                <w:iCs w:val="0"/>
                <w:color w:val="0000FF"/>
                <w:kern w:val="0"/>
                <w:sz w:val="22"/>
                <w:szCs w:val="22"/>
                <w:u w:val="none"/>
                <w:lang w:val="en-US" w:eastAsia="zh-CN" w:bidi="ar"/>
              </w:rPr>
              <w:t>1小时</w:t>
            </w:r>
          </w:p>
        </w:tc>
        <w:tc>
          <w:tcPr>
            <w:tcW w:w="1260" w:type="dxa"/>
            <w:tcBorders>
              <w:tl2br w:val="nil"/>
              <w:tr2bl w:val="nil"/>
            </w:tcBorders>
            <w:shd w:val="clear" w:color="auto" w:fill="auto"/>
            <w:noWrap/>
            <w:vAlign w:val="center"/>
          </w:tcPr>
          <w:p w14:paraId="0A210782">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sz w:val="22"/>
                <w:szCs w:val="22"/>
                <w:u w:val="none"/>
              </w:rPr>
            </w:pPr>
            <w:r>
              <w:rPr>
                <w:rFonts w:hint="default" w:ascii="Times New Roman" w:hAnsi="Times New Roman" w:eastAsia="宋体" w:cs="Times New Roman"/>
                <w:i w:val="0"/>
                <w:iCs w:val="0"/>
                <w:color w:val="0000FF"/>
                <w:kern w:val="0"/>
                <w:sz w:val="22"/>
                <w:szCs w:val="22"/>
                <w:u w:val="none"/>
                <w:lang w:val="en-US" w:eastAsia="zh-CN" w:bidi="ar"/>
              </w:rPr>
              <w:t>1.97E-03</w:t>
            </w:r>
          </w:p>
        </w:tc>
        <w:tc>
          <w:tcPr>
            <w:tcW w:w="1770" w:type="dxa"/>
            <w:tcBorders>
              <w:tl2br w:val="nil"/>
              <w:tr2bl w:val="nil"/>
            </w:tcBorders>
            <w:shd w:val="clear" w:color="auto" w:fill="auto"/>
            <w:noWrap/>
            <w:vAlign w:val="center"/>
          </w:tcPr>
          <w:p w14:paraId="584B8604">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sz w:val="22"/>
                <w:szCs w:val="22"/>
                <w:u w:val="none"/>
              </w:rPr>
            </w:pPr>
            <w:r>
              <w:rPr>
                <w:rFonts w:hint="default" w:ascii="Times New Roman" w:hAnsi="Times New Roman" w:eastAsia="宋体" w:cs="Times New Roman"/>
                <w:i w:val="0"/>
                <w:iCs w:val="0"/>
                <w:color w:val="0000FF"/>
                <w:kern w:val="0"/>
                <w:sz w:val="22"/>
                <w:szCs w:val="22"/>
                <w:u w:val="none"/>
                <w:lang w:val="en-US" w:eastAsia="zh-CN" w:bidi="ar"/>
              </w:rPr>
              <w:t>24122012</w:t>
            </w:r>
          </w:p>
        </w:tc>
        <w:tc>
          <w:tcPr>
            <w:tcW w:w="1140" w:type="dxa"/>
            <w:tcBorders>
              <w:tl2br w:val="nil"/>
              <w:tr2bl w:val="nil"/>
            </w:tcBorders>
            <w:shd w:val="clear" w:color="auto" w:fill="auto"/>
            <w:noWrap/>
            <w:vAlign w:val="center"/>
          </w:tcPr>
          <w:p w14:paraId="7B54C38F">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sz w:val="22"/>
                <w:szCs w:val="22"/>
                <w:u w:val="none"/>
              </w:rPr>
            </w:pPr>
            <w:r>
              <w:rPr>
                <w:rFonts w:hint="default" w:ascii="Times New Roman" w:hAnsi="Times New Roman" w:eastAsia="宋体" w:cs="Times New Roman"/>
                <w:i w:val="0"/>
                <w:iCs w:val="0"/>
                <w:color w:val="0000FF"/>
                <w:kern w:val="0"/>
                <w:sz w:val="22"/>
                <w:szCs w:val="22"/>
                <w:u w:val="none"/>
                <w:lang w:val="en-US" w:eastAsia="zh-CN" w:bidi="ar"/>
              </w:rPr>
              <w:t>0.00E+00</w:t>
            </w:r>
          </w:p>
        </w:tc>
        <w:tc>
          <w:tcPr>
            <w:tcW w:w="1605" w:type="dxa"/>
            <w:tcBorders>
              <w:tl2br w:val="nil"/>
              <w:tr2bl w:val="nil"/>
            </w:tcBorders>
            <w:shd w:val="clear" w:color="auto" w:fill="auto"/>
            <w:noWrap/>
            <w:vAlign w:val="center"/>
          </w:tcPr>
          <w:p w14:paraId="6E76DD66">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sz w:val="22"/>
                <w:szCs w:val="22"/>
                <w:u w:val="none"/>
              </w:rPr>
            </w:pPr>
            <w:r>
              <w:rPr>
                <w:rFonts w:hint="default" w:ascii="Times New Roman" w:hAnsi="Times New Roman" w:eastAsia="宋体" w:cs="Times New Roman"/>
                <w:i w:val="0"/>
                <w:iCs w:val="0"/>
                <w:color w:val="0000FF"/>
                <w:kern w:val="0"/>
                <w:sz w:val="22"/>
                <w:szCs w:val="22"/>
                <w:u w:val="none"/>
                <w:lang w:val="en-US" w:eastAsia="zh-CN" w:bidi="ar"/>
              </w:rPr>
              <w:t>1.97E-03</w:t>
            </w:r>
          </w:p>
        </w:tc>
        <w:tc>
          <w:tcPr>
            <w:tcW w:w="1275" w:type="dxa"/>
            <w:tcBorders>
              <w:tl2br w:val="nil"/>
              <w:tr2bl w:val="nil"/>
            </w:tcBorders>
            <w:shd w:val="clear" w:color="auto" w:fill="auto"/>
            <w:noWrap/>
            <w:vAlign w:val="center"/>
          </w:tcPr>
          <w:p w14:paraId="4266D9FF">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sz w:val="22"/>
                <w:szCs w:val="22"/>
                <w:u w:val="none"/>
              </w:rPr>
            </w:pPr>
            <w:r>
              <w:rPr>
                <w:rFonts w:hint="default" w:ascii="Times New Roman" w:hAnsi="Times New Roman" w:eastAsia="宋体" w:cs="Times New Roman"/>
                <w:i w:val="0"/>
                <w:iCs w:val="0"/>
                <w:color w:val="0000FF"/>
                <w:kern w:val="0"/>
                <w:sz w:val="22"/>
                <w:szCs w:val="22"/>
                <w:u w:val="none"/>
                <w:lang w:val="en-US" w:eastAsia="zh-CN" w:bidi="ar"/>
              </w:rPr>
              <w:t>5.00E-01</w:t>
            </w:r>
          </w:p>
        </w:tc>
        <w:tc>
          <w:tcPr>
            <w:tcW w:w="1485" w:type="dxa"/>
            <w:tcBorders>
              <w:tl2br w:val="nil"/>
              <w:tr2bl w:val="nil"/>
            </w:tcBorders>
            <w:shd w:val="clear" w:color="auto" w:fill="auto"/>
            <w:noWrap/>
            <w:vAlign w:val="center"/>
          </w:tcPr>
          <w:p w14:paraId="7E562796">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sz w:val="22"/>
                <w:szCs w:val="22"/>
                <w:u w:val="none"/>
              </w:rPr>
            </w:pPr>
            <w:r>
              <w:rPr>
                <w:rFonts w:hint="default" w:ascii="Times New Roman" w:hAnsi="Times New Roman" w:eastAsia="宋体" w:cs="Times New Roman"/>
                <w:i w:val="0"/>
                <w:iCs w:val="0"/>
                <w:color w:val="0000FF"/>
                <w:kern w:val="0"/>
                <w:sz w:val="22"/>
                <w:szCs w:val="22"/>
                <w:u w:val="none"/>
                <w:lang w:val="en-US" w:eastAsia="zh-CN" w:bidi="ar"/>
              </w:rPr>
              <w:t>0.39</w:t>
            </w:r>
          </w:p>
        </w:tc>
        <w:tc>
          <w:tcPr>
            <w:tcW w:w="912" w:type="dxa"/>
            <w:tcBorders>
              <w:tl2br w:val="nil"/>
              <w:tr2bl w:val="nil"/>
            </w:tcBorders>
            <w:shd w:val="clear" w:color="auto" w:fill="auto"/>
            <w:noWrap/>
            <w:vAlign w:val="center"/>
          </w:tcPr>
          <w:p w14:paraId="28EC42B9">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sz w:val="22"/>
                <w:szCs w:val="22"/>
                <w:u w:val="none"/>
              </w:rPr>
            </w:pPr>
            <w:r>
              <w:rPr>
                <w:rFonts w:hint="default" w:ascii="Times New Roman" w:hAnsi="Times New Roman" w:eastAsia="宋体" w:cs="Times New Roman"/>
                <w:i w:val="0"/>
                <w:iCs w:val="0"/>
                <w:color w:val="0000FF"/>
                <w:kern w:val="0"/>
                <w:sz w:val="22"/>
                <w:szCs w:val="22"/>
                <w:u w:val="none"/>
                <w:lang w:val="en-US" w:eastAsia="zh-CN" w:bidi="ar"/>
              </w:rPr>
              <w:t>达标</w:t>
            </w:r>
          </w:p>
        </w:tc>
      </w:tr>
      <w:tr w14:paraId="43C57FE7">
        <w:tblPrEx>
          <w:tblBorders>
            <w:top w:val="thinThickSmallGap" w:color="auto" w:sz="12" w:space="0"/>
            <w:left w:val="none" w:color="auto" w:sz="0" w:space="0"/>
            <w:bottom w:val="thinThick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528" w:type="dxa"/>
            <w:vMerge w:val="continue"/>
            <w:tcBorders>
              <w:tl2br w:val="nil"/>
              <w:tr2bl w:val="nil"/>
            </w:tcBorders>
            <w:shd w:val="clear" w:color="auto" w:fill="auto"/>
            <w:noWrap/>
            <w:vAlign w:val="center"/>
          </w:tcPr>
          <w:p w14:paraId="5B55EEB7">
            <w:pPr>
              <w:keepNext w:val="0"/>
              <w:keepLines w:val="0"/>
              <w:pageBreakBefore w:val="0"/>
              <w:widowControl/>
              <w:kinsoku/>
              <w:wordWrap/>
              <w:overflowPunct/>
              <w:topLinePunct w:val="0"/>
              <w:autoSpaceDE/>
              <w:autoSpaceDN/>
              <w:bidi w:val="0"/>
              <w:adjustRightInd w:val="0"/>
              <w:snapToGrid w:val="0"/>
              <w:spacing w:line="240" w:lineRule="auto"/>
              <w:ind w:firstLineChars="0"/>
              <w:jc w:val="center"/>
              <w:rPr>
                <w:rFonts w:hint="default" w:ascii="Times New Roman" w:hAnsi="Times New Roman" w:eastAsia="宋体" w:cs="Times New Roman"/>
                <w:i w:val="0"/>
                <w:iCs w:val="0"/>
                <w:color w:val="0000FF"/>
                <w:sz w:val="22"/>
                <w:szCs w:val="22"/>
                <w:u w:val="none"/>
              </w:rPr>
            </w:pPr>
          </w:p>
        </w:tc>
        <w:tc>
          <w:tcPr>
            <w:tcW w:w="990" w:type="dxa"/>
            <w:vMerge w:val="continue"/>
            <w:tcBorders>
              <w:tl2br w:val="nil"/>
              <w:tr2bl w:val="nil"/>
            </w:tcBorders>
            <w:shd w:val="clear" w:color="auto" w:fill="auto"/>
            <w:noWrap/>
            <w:vAlign w:val="center"/>
          </w:tcPr>
          <w:p w14:paraId="5BA47A17">
            <w:pPr>
              <w:keepNext w:val="0"/>
              <w:keepLines w:val="0"/>
              <w:pageBreakBefore w:val="0"/>
              <w:widowControl/>
              <w:kinsoku/>
              <w:wordWrap/>
              <w:overflowPunct/>
              <w:topLinePunct w:val="0"/>
              <w:autoSpaceDE/>
              <w:autoSpaceDN/>
              <w:bidi w:val="0"/>
              <w:adjustRightInd w:val="0"/>
              <w:snapToGrid w:val="0"/>
              <w:spacing w:line="240" w:lineRule="auto"/>
              <w:ind w:firstLineChars="0"/>
              <w:jc w:val="center"/>
              <w:rPr>
                <w:rFonts w:hint="default" w:ascii="Times New Roman" w:hAnsi="Times New Roman" w:eastAsia="宋体" w:cs="Times New Roman"/>
                <w:i w:val="0"/>
                <w:iCs w:val="0"/>
                <w:color w:val="0000FF"/>
                <w:sz w:val="22"/>
                <w:szCs w:val="22"/>
                <w:u w:val="none"/>
              </w:rPr>
            </w:pPr>
          </w:p>
        </w:tc>
        <w:tc>
          <w:tcPr>
            <w:tcW w:w="1275" w:type="dxa"/>
            <w:vMerge w:val="continue"/>
            <w:tcBorders>
              <w:tl2br w:val="nil"/>
              <w:tr2bl w:val="nil"/>
            </w:tcBorders>
            <w:shd w:val="clear" w:color="auto" w:fill="auto"/>
            <w:noWrap/>
            <w:vAlign w:val="center"/>
          </w:tcPr>
          <w:p w14:paraId="3A71EEFF">
            <w:pPr>
              <w:keepNext w:val="0"/>
              <w:keepLines w:val="0"/>
              <w:pageBreakBefore w:val="0"/>
              <w:widowControl/>
              <w:kinsoku/>
              <w:wordWrap/>
              <w:overflowPunct/>
              <w:topLinePunct w:val="0"/>
              <w:autoSpaceDE/>
              <w:autoSpaceDN/>
              <w:bidi w:val="0"/>
              <w:adjustRightInd w:val="0"/>
              <w:snapToGrid w:val="0"/>
              <w:spacing w:line="240" w:lineRule="auto"/>
              <w:ind w:firstLineChars="0"/>
              <w:jc w:val="center"/>
              <w:rPr>
                <w:rFonts w:hint="default" w:ascii="Times New Roman" w:hAnsi="Times New Roman" w:eastAsia="宋体" w:cs="Times New Roman"/>
                <w:i w:val="0"/>
                <w:iCs w:val="0"/>
                <w:color w:val="0000FF"/>
                <w:sz w:val="22"/>
                <w:szCs w:val="22"/>
                <w:u w:val="none"/>
              </w:rPr>
            </w:pPr>
          </w:p>
        </w:tc>
        <w:tc>
          <w:tcPr>
            <w:tcW w:w="1875" w:type="dxa"/>
            <w:tcBorders>
              <w:tl2br w:val="nil"/>
              <w:tr2bl w:val="nil"/>
            </w:tcBorders>
            <w:shd w:val="clear" w:color="auto" w:fill="auto"/>
            <w:noWrap/>
            <w:vAlign w:val="center"/>
          </w:tcPr>
          <w:p w14:paraId="3D991E49">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1"/>
                <w:szCs w:val="21"/>
                <w:u w:val="none"/>
                <w:lang w:val="en-US" w:eastAsia="zh-CN" w:bidi="ar"/>
              </w:rPr>
              <w:t>98%保证率日平均</w:t>
            </w:r>
          </w:p>
        </w:tc>
        <w:tc>
          <w:tcPr>
            <w:tcW w:w="1260" w:type="dxa"/>
            <w:tcBorders>
              <w:tl2br w:val="nil"/>
              <w:tr2bl w:val="nil"/>
            </w:tcBorders>
            <w:shd w:val="clear" w:color="auto" w:fill="auto"/>
            <w:noWrap/>
            <w:vAlign w:val="center"/>
          </w:tcPr>
          <w:p w14:paraId="38690990">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sz w:val="22"/>
                <w:szCs w:val="22"/>
                <w:u w:val="none"/>
              </w:rPr>
            </w:pPr>
            <w:r>
              <w:rPr>
                <w:rFonts w:hint="default" w:ascii="Times New Roman" w:hAnsi="Times New Roman" w:eastAsia="宋体" w:cs="Times New Roman"/>
                <w:i w:val="0"/>
                <w:iCs w:val="0"/>
                <w:color w:val="0000FF"/>
                <w:kern w:val="0"/>
                <w:sz w:val="22"/>
                <w:szCs w:val="22"/>
                <w:u w:val="none"/>
                <w:lang w:val="en-US" w:eastAsia="zh-CN" w:bidi="ar"/>
              </w:rPr>
              <w:t>6.56E-05</w:t>
            </w:r>
          </w:p>
        </w:tc>
        <w:tc>
          <w:tcPr>
            <w:tcW w:w="1770" w:type="dxa"/>
            <w:tcBorders>
              <w:tl2br w:val="nil"/>
              <w:tr2bl w:val="nil"/>
            </w:tcBorders>
            <w:shd w:val="clear" w:color="auto" w:fill="auto"/>
            <w:noWrap/>
            <w:vAlign w:val="center"/>
          </w:tcPr>
          <w:p w14:paraId="54DB6F8E">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sz w:val="22"/>
                <w:szCs w:val="22"/>
                <w:u w:val="none"/>
              </w:rPr>
            </w:pPr>
            <w:r>
              <w:rPr>
                <w:rFonts w:hint="default" w:ascii="Times New Roman" w:hAnsi="Times New Roman" w:eastAsia="宋体" w:cs="Times New Roman"/>
                <w:i w:val="0"/>
                <w:iCs w:val="0"/>
                <w:color w:val="0000FF"/>
                <w:kern w:val="0"/>
                <w:sz w:val="22"/>
                <w:szCs w:val="22"/>
                <w:u w:val="none"/>
                <w:lang w:val="en-US" w:eastAsia="zh-CN" w:bidi="ar"/>
              </w:rPr>
              <w:t>240123</w:t>
            </w:r>
          </w:p>
        </w:tc>
        <w:tc>
          <w:tcPr>
            <w:tcW w:w="1140" w:type="dxa"/>
            <w:tcBorders>
              <w:tl2br w:val="nil"/>
              <w:tr2bl w:val="nil"/>
            </w:tcBorders>
            <w:shd w:val="clear" w:color="auto" w:fill="auto"/>
            <w:noWrap/>
            <w:vAlign w:val="center"/>
          </w:tcPr>
          <w:p w14:paraId="1218102F">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sz w:val="22"/>
                <w:szCs w:val="22"/>
                <w:u w:val="none"/>
              </w:rPr>
            </w:pPr>
            <w:r>
              <w:rPr>
                <w:rFonts w:hint="default" w:ascii="Times New Roman" w:hAnsi="Times New Roman" w:eastAsia="宋体" w:cs="Times New Roman"/>
                <w:i w:val="0"/>
                <w:iCs w:val="0"/>
                <w:color w:val="0000FF"/>
                <w:kern w:val="0"/>
                <w:sz w:val="22"/>
                <w:szCs w:val="22"/>
                <w:u w:val="none"/>
                <w:lang w:val="en-US" w:eastAsia="zh-CN" w:bidi="ar"/>
              </w:rPr>
              <w:t>1.80E-02</w:t>
            </w:r>
          </w:p>
        </w:tc>
        <w:tc>
          <w:tcPr>
            <w:tcW w:w="1605" w:type="dxa"/>
            <w:tcBorders>
              <w:tl2br w:val="nil"/>
              <w:tr2bl w:val="nil"/>
            </w:tcBorders>
            <w:shd w:val="clear" w:color="auto" w:fill="auto"/>
            <w:noWrap/>
            <w:vAlign w:val="center"/>
          </w:tcPr>
          <w:p w14:paraId="180A5998">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sz w:val="22"/>
                <w:szCs w:val="22"/>
                <w:u w:val="none"/>
              </w:rPr>
            </w:pPr>
            <w:r>
              <w:rPr>
                <w:rFonts w:hint="default" w:ascii="Times New Roman" w:hAnsi="Times New Roman" w:eastAsia="宋体" w:cs="Times New Roman"/>
                <w:i w:val="0"/>
                <w:iCs w:val="0"/>
                <w:color w:val="0000FF"/>
                <w:kern w:val="0"/>
                <w:sz w:val="22"/>
                <w:szCs w:val="22"/>
                <w:u w:val="none"/>
                <w:lang w:val="en-US" w:eastAsia="zh-CN" w:bidi="ar"/>
              </w:rPr>
              <w:t>1.81E-02</w:t>
            </w:r>
          </w:p>
        </w:tc>
        <w:tc>
          <w:tcPr>
            <w:tcW w:w="1275" w:type="dxa"/>
            <w:tcBorders>
              <w:tl2br w:val="nil"/>
              <w:tr2bl w:val="nil"/>
            </w:tcBorders>
            <w:shd w:val="clear" w:color="auto" w:fill="auto"/>
            <w:noWrap/>
            <w:vAlign w:val="center"/>
          </w:tcPr>
          <w:p w14:paraId="69B02082">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sz w:val="22"/>
                <w:szCs w:val="22"/>
                <w:u w:val="none"/>
              </w:rPr>
            </w:pPr>
            <w:r>
              <w:rPr>
                <w:rFonts w:hint="default" w:ascii="Times New Roman" w:hAnsi="Times New Roman" w:eastAsia="宋体" w:cs="Times New Roman"/>
                <w:i w:val="0"/>
                <w:iCs w:val="0"/>
                <w:color w:val="0000FF"/>
                <w:kern w:val="0"/>
                <w:sz w:val="22"/>
                <w:szCs w:val="22"/>
                <w:u w:val="none"/>
                <w:lang w:val="en-US" w:eastAsia="zh-CN" w:bidi="ar"/>
              </w:rPr>
              <w:t>1.50E-01</w:t>
            </w:r>
          </w:p>
        </w:tc>
        <w:tc>
          <w:tcPr>
            <w:tcW w:w="1485" w:type="dxa"/>
            <w:tcBorders>
              <w:tl2br w:val="nil"/>
              <w:tr2bl w:val="nil"/>
            </w:tcBorders>
            <w:shd w:val="clear" w:color="auto" w:fill="auto"/>
            <w:noWrap/>
            <w:vAlign w:val="center"/>
          </w:tcPr>
          <w:p w14:paraId="550AB6DB">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sz w:val="22"/>
                <w:szCs w:val="22"/>
                <w:u w:val="none"/>
              </w:rPr>
            </w:pPr>
            <w:r>
              <w:rPr>
                <w:rFonts w:hint="default" w:ascii="Times New Roman" w:hAnsi="Times New Roman" w:eastAsia="宋体" w:cs="Times New Roman"/>
                <w:i w:val="0"/>
                <w:iCs w:val="0"/>
                <w:color w:val="0000FF"/>
                <w:kern w:val="0"/>
                <w:sz w:val="22"/>
                <w:szCs w:val="22"/>
                <w:u w:val="none"/>
                <w:lang w:val="en-US" w:eastAsia="zh-CN" w:bidi="ar"/>
              </w:rPr>
              <w:t>12.04</w:t>
            </w:r>
          </w:p>
        </w:tc>
        <w:tc>
          <w:tcPr>
            <w:tcW w:w="912" w:type="dxa"/>
            <w:tcBorders>
              <w:tl2br w:val="nil"/>
              <w:tr2bl w:val="nil"/>
            </w:tcBorders>
            <w:shd w:val="clear" w:color="auto" w:fill="auto"/>
            <w:noWrap/>
            <w:vAlign w:val="center"/>
          </w:tcPr>
          <w:p w14:paraId="0F7F65F9">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sz w:val="22"/>
                <w:szCs w:val="22"/>
                <w:u w:val="none"/>
              </w:rPr>
            </w:pPr>
            <w:r>
              <w:rPr>
                <w:rFonts w:hint="default" w:ascii="Times New Roman" w:hAnsi="Times New Roman" w:eastAsia="宋体" w:cs="Times New Roman"/>
                <w:i w:val="0"/>
                <w:iCs w:val="0"/>
                <w:color w:val="0000FF"/>
                <w:kern w:val="0"/>
                <w:sz w:val="22"/>
                <w:szCs w:val="22"/>
                <w:u w:val="none"/>
                <w:lang w:val="en-US" w:eastAsia="zh-CN" w:bidi="ar"/>
              </w:rPr>
              <w:t>达标</w:t>
            </w:r>
          </w:p>
        </w:tc>
      </w:tr>
      <w:tr w14:paraId="511054F2">
        <w:tblPrEx>
          <w:tblBorders>
            <w:top w:val="thinThickSmallGap" w:color="auto" w:sz="12" w:space="0"/>
            <w:left w:val="none" w:color="auto" w:sz="0" w:space="0"/>
            <w:bottom w:val="thinThick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528" w:type="dxa"/>
            <w:vMerge w:val="continue"/>
            <w:tcBorders>
              <w:tl2br w:val="nil"/>
              <w:tr2bl w:val="nil"/>
            </w:tcBorders>
            <w:shd w:val="clear" w:color="auto" w:fill="auto"/>
            <w:noWrap/>
            <w:vAlign w:val="center"/>
          </w:tcPr>
          <w:p w14:paraId="53219AEC">
            <w:pPr>
              <w:keepNext w:val="0"/>
              <w:keepLines w:val="0"/>
              <w:pageBreakBefore w:val="0"/>
              <w:widowControl/>
              <w:kinsoku/>
              <w:wordWrap/>
              <w:overflowPunct/>
              <w:topLinePunct w:val="0"/>
              <w:autoSpaceDE/>
              <w:autoSpaceDN/>
              <w:bidi w:val="0"/>
              <w:adjustRightInd w:val="0"/>
              <w:snapToGrid w:val="0"/>
              <w:spacing w:line="240" w:lineRule="auto"/>
              <w:ind w:firstLineChars="0"/>
              <w:jc w:val="center"/>
              <w:rPr>
                <w:rFonts w:hint="default" w:ascii="Times New Roman" w:hAnsi="Times New Roman" w:eastAsia="宋体" w:cs="Times New Roman"/>
                <w:i w:val="0"/>
                <w:iCs w:val="0"/>
                <w:color w:val="0000FF"/>
                <w:sz w:val="22"/>
                <w:szCs w:val="22"/>
                <w:u w:val="none"/>
              </w:rPr>
            </w:pPr>
          </w:p>
        </w:tc>
        <w:tc>
          <w:tcPr>
            <w:tcW w:w="990" w:type="dxa"/>
            <w:vMerge w:val="continue"/>
            <w:tcBorders>
              <w:tl2br w:val="nil"/>
              <w:tr2bl w:val="nil"/>
            </w:tcBorders>
            <w:shd w:val="clear" w:color="auto" w:fill="auto"/>
            <w:noWrap/>
            <w:vAlign w:val="center"/>
          </w:tcPr>
          <w:p w14:paraId="49C3A2A0">
            <w:pPr>
              <w:keepNext w:val="0"/>
              <w:keepLines w:val="0"/>
              <w:pageBreakBefore w:val="0"/>
              <w:widowControl/>
              <w:kinsoku/>
              <w:wordWrap/>
              <w:overflowPunct/>
              <w:topLinePunct w:val="0"/>
              <w:autoSpaceDE/>
              <w:autoSpaceDN/>
              <w:bidi w:val="0"/>
              <w:adjustRightInd w:val="0"/>
              <w:snapToGrid w:val="0"/>
              <w:spacing w:line="240" w:lineRule="auto"/>
              <w:ind w:firstLineChars="0"/>
              <w:jc w:val="center"/>
              <w:rPr>
                <w:rFonts w:hint="default" w:ascii="Times New Roman" w:hAnsi="Times New Roman" w:eastAsia="宋体" w:cs="Times New Roman"/>
                <w:i w:val="0"/>
                <w:iCs w:val="0"/>
                <w:color w:val="0000FF"/>
                <w:sz w:val="22"/>
                <w:szCs w:val="22"/>
                <w:u w:val="none"/>
              </w:rPr>
            </w:pPr>
          </w:p>
        </w:tc>
        <w:tc>
          <w:tcPr>
            <w:tcW w:w="1275" w:type="dxa"/>
            <w:vMerge w:val="continue"/>
            <w:tcBorders>
              <w:tl2br w:val="nil"/>
              <w:tr2bl w:val="nil"/>
            </w:tcBorders>
            <w:shd w:val="clear" w:color="auto" w:fill="auto"/>
            <w:noWrap/>
            <w:vAlign w:val="center"/>
          </w:tcPr>
          <w:p w14:paraId="4655F512">
            <w:pPr>
              <w:keepNext w:val="0"/>
              <w:keepLines w:val="0"/>
              <w:pageBreakBefore w:val="0"/>
              <w:widowControl/>
              <w:kinsoku/>
              <w:wordWrap/>
              <w:overflowPunct/>
              <w:topLinePunct w:val="0"/>
              <w:autoSpaceDE/>
              <w:autoSpaceDN/>
              <w:bidi w:val="0"/>
              <w:adjustRightInd w:val="0"/>
              <w:snapToGrid w:val="0"/>
              <w:spacing w:line="240" w:lineRule="auto"/>
              <w:ind w:firstLineChars="0"/>
              <w:jc w:val="center"/>
              <w:rPr>
                <w:rFonts w:hint="default" w:ascii="Times New Roman" w:hAnsi="Times New Roman" w:eastAsia="宋体" w:cs="Times New Roman"/>
                <w:i w:val="0"/>
                <w:iCs w:val="0"/>
                <w:color w:val="0000FF"/>
                <w:sz w:val="22"/>
                <w:szCs w:val="22"/>
                <w:u w:val="none"/>
              </w:rPr>
            </w:pPr>
          </w:p>
        </w:tc>
        <w:tc>
          <w:tcPr>
            <w:tcW w:w="1875" w:type="dxa"/>
            <w:tcBorders>
              <w:tl2br w:val="nil"/>
              <w:tr2bl w:val="nil"/>
            </w:tcBorders>
            <w:shd w:val="clear" w:color="auto" w:fill="auto"/>
            <w:noWrap/>
            <w:vAlign w:val="center"/>
          </w:tcPr>
          <w:p w14:paraId="65AB289A">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sz w:val="22"/>
                <w:szCs w:val="22"/>
                <w:u w:val="none"/>
              </w:rPr>
            </w:pPr>
            <w:r>
              <w:rPr>
                <w:rFonts w:hint="default" w:ascii="Times New Roman" w:hAnsi="Times New Roman" w:eastAsia="宋体" w:cs="Times New Roman"/>
                <w:i w:val="0"/>
                <w:iCs w:val="0"/>
                <w:color w:val="0000FF"/>
                <w:kern w:val="0"/>
                <w:sz w:val="22"/>
                <w:szCs w:val="22"/>
                <w:u w:val="none"/>
                <w:lang w:val="en-US" w:eastAsia="zh-CN" w:bidi="ar"/>
              </w:rPr>
              <w:t>全时段</w:t>
            </w:r>
          </w:p>
        </w:tc>
        <w:tc>
          <w:tcPr>
            <w:tcW w:w="1260" w:type="dxa"/>
            <w:tcBorders>
              <w:tl2br w:val="nil"/>
              <w:tr2bl w:val="nil"/>
            </w:tcBorders>
            <w:shd w:val="clear" w:color="auto" w:fill="auto"/>
            <w:noWrap/>
            <w:vAlign w:val="center"/>
          </w:tcPr>
          <w:p w14:paraId="05EEBC3F">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sz w:val="22"/>
                <w:szCs w:val="22"/>
                <w:u w:val="none"/>
              </w:rPr>
            </w:pPr>
            <w:r>
              <w:rPr>
                <w:rFonts w:hint="default" w:ascii="Times New Roman" w:hAnsi="Times New Roman" w:eastAsia="宋体" w:cs="Times New Roman"/>
                <w:i w:val="0"/>
                <w:iCs w:val="0"/>
                <w:color w:val="0000FF"/>
                <w:kern w:val="0"/>
                <w:sz w:val="22"/>
                <w:szCs w:val="22"/>
                <w:u w:val="none"/>
                <w:lang w:val="en-US" w:eastAsia="zh-CN" w:bidi="ar"/>
              </w:rPr>
              <w:t>2.59E-05</w:t>
            </w:r>
          </w:p>
        </w:tc>
        <w:tc>
          <w:tcPr>
            <w:tcW w:w="1770" w:type="dxa"/>
            <w:tcBorders>
              <w:tl2br w:val="nil"/>
              <w:tr2bl w:val="nil"/>
            </w:tcBorders>
            <w:shd w:val="clear" w:color="auto" w:fill="auto"/>
            <w:noWrap/>
            <w:vAlign w:val="center"/>
          </w:tcPr>
          <w:p w14:paraId="0F4F57E9">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sz w:val="22"/>
                <w:szCs w:val="22"/>
                <w:u w:val="none"/>
              </w:rPr>
            </w:pPr>
            <w:r>
              <w:rPr>
                <w:rFonts w:hint="default" w:ascii="Times New Roman" w:hAnsi="Times New Roman" w:eastAsia="宋体" w:cs="Times New Roman"/>
                <w:i w:val="0"/>
                <w:iCs w:val="0"/>
                <w:color w:val="0000FF"/>
                <w:kern w:val="0"/>
                <w:sz w:val="22"/>
                <w:szCs w:val="22"/>
                <w:u w:val="none"/>
                <w:lang w:val="en-US" w:eastAsia="zh-CN" w:bidi="ar"/>
              </w:rPr>
              <w:t>平均值</w:t>
            </w:r>
          </w:p>
        </w:tc>
        <w:tc>
          <w:tcPr>
            <w:tcW w:w="1140" w:type="dxa"/>
            <w:tcBorders>
              <w:tl2br w:val="nil"/>
              <w:tr2bl w:val="nil"/>
            </w:tcBorders>
            <w:shd w:val="clear" w:color="auto" w:fill="auto"/>
            <w:noWrap/>
            <w:vAlign w:val="center"/>
          </w:tcPr>
          <w:p w14:paraId="424DAD3F">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sz w:val="22"/>
                <w:szCs w:val="22"/>
                <w:u w:val="none"/>
              </w:rPr>
            </w:pPr>
            <w:r>
              <w:rPr>
                <w:rFonts w:hint="default" w:ascii="Times New Roman" w:hAnsi="Times New Roman" w:eastAsia="宋体" w:cs="Times New Roman"/>
                <w:i w:val="0"/>
                <w:iCs w:val="0"/>
                <w:color w:val="0000FF"/>
                <w:kern w:val="0"/>
                <w:sz w:val="22"/>
                <w:szCs w:val="22"/>
                <w:u w:val="none"/>
                <w:lang w:val="en-US" w:eastAsia="zh-CN" w:bidi="ar"/>
              </w:rPr>
              <w:t>9.10E-03</w:t>
            </w:r>
          </w:p>
        </w:tc>
        <w:tc>
          <w:tcPr>
            <w:tcW w:w="1605" w:type="dxa"/>
            <w:tcBorders>
              <w:tl2br w:val="nil"/>
              <w:tr2bl w:val="nil"/>
            </w:tcBorders>
            <w:shd w:val="clear" w:color="auto" w:fill="auto"/>
            <w:noWrap/>
            <w:vAlign w:val="center"/>
          </w:tcPr>
          <w:p w14:paraId="45389ACE">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sz w:val="22"/>
                <w:szCs w:val="22"/>
                <w:u w:val="none"/>
              </w:rPr>
            </w:pPr>
            <w:r>
              <w:rPr>
                <w:rFonts w:hint="default" w:ascii="Times New Roman" w:hAnsi="Times New Roman" w:eastAsia="宋体" w:cs="Times New Roman"/>
                <w:i w:val="0"/>
                <w:iCs w:val="0"/>
                <w:color w:val="0000FF"/>
                <w:kern w:val="0"/>
                <w:sz w:val="22"/>
                <w:szCs w:val="22"/>
                <w:u w:val="none"/>
                <w:lang w:val="en-US" w:eastAsia="zh-CN" w:bidi="ar"/>
              </w:rPr>
              <w:t>9.12E-03</w:t>
            </w:r>
          </w:p>
        </w:tc>
        <w:tc>
          <w:tcPr>
            <w:tcW w:w="1275" w:type="dxa"/>
            <w:tcBorders>
              <w:tl2br w:val="nil"/>
              <w:tr2bl w:val="nil"/>
            </w:tcBorders>
            <w:shd w:val="clear" w:color="auto" w:fill="auto"/>
            <w:noWrap/>
            <w:vAlign w:val="center"/>
          </w:tcPr>
          <w:p w14:paraId="3DAF192A">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sz w:val="22"/>
                <w:szCs w:val="22"/>
                <w:u w:val="none"/>
              </w:rPr>
            </w:pPr>
            <w:r>
              <w:rPr>
                <w:rFonts w:hint="default" w:ascii="Times New Roman" w:hAnsi="Times New Roman" w:eastAsia="宋体" w:cs="Times New Roman"/>
                <w:i w:val="0"/>
                <w:iCs w:val="0"/>
                <w:color w:val="0000FF"/>
                <w:kern w:val="0"/>
                <w:sz w:val="22"/>
                <w:szCs w:val="22"/>
                <w:u w:val="none"/>
                <w:lang w:val="en-US" w:eastAsia="zh-CN" w:bidi="ar"/>
              </w:rPr>
              <w:t>6.00E-02</w:t>
            </w:r>
          </w:p>
        </w:tc>
        <w:tc>
          <w:tcPr>
            <w:tcW w:w="1485" w:type="dxa"/>
            <w:tcBorders>
              <w:tl2br w:val="nil"/>
              <w:tr2bl w:val="nil"/>
            </w:tcBorders>
            <w:shd w:val="clear" w:color="auto" w:fill="auto"/>
            <w:noWrap/>
            <w:vAlign w:val="center"/>
          </w:tcPr>
          <w:p w14:paraId="1E7E75F4">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sz w:val="22"/>
                <w:szCs w:val="22"/>
                <w:u w:val="none"/>
              </w:rPr>
            </w:pPr>
            <w:r>
              <w:rPr>
                <w:rFonts w:hint="default" w:ascii="Times New Roman" w:hAnsi="Times New Roman" w:eastAsia="宋体" w:cs="Times New Roman"/>
                <w:i w:val="0"/>
                <w:iCs w:val="0"/>
                <w:color w:val="0000FF"/>
                <w:kern w:val="0"/>
                <w:sz w:val="22"/>
                <w:szCs w:val="22"/>
                <w:u w:val="none"/>
                <w:lang w:val="en-US" w:eastAsia="zh-CN" w:bidi="ar"/>
              </w:rPr>
              <w:t>15.21</w:t>
            </w:r>
          </w:p>
        </w:tc>
        <w:tc>
          <w:tcPr>
            <w:tcW w:w="912" w:type="dxa"/>
            <w:tcBorders>
              <w:tl2br w:val="nil"/>
              <w:tr2bl w:val="nil"/>
            </w:tcBorders>
            <w:shd w:val="clear" w:color="auto" w:fill="auto"/>
            <w:noWrap/>
            <w:vAlign w:val="center"/>
          </w:tcPr>
          <w:p w14:paraId="46642180">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sz w:val="22"/>
                <w:szCs w:val="22"/>
                <w:u w:val="none"/>
              </w:rPr>
            </w:pPr>
            <w:r>
              <w:rPr>
                <w:rFonts w:hint="default" w:ascii="Times New Roman" w:hAnsi="Times New Roman" w:eastAsia="宋体" w:cs="Times New Roman"/>
                <w:i w:val="0"/>
                <w:iCs w:val="0"/>
                <w:color w:val="0000FF"/>
                <w:kern w:val="0"/>
                <w:sz w:val="22"/>
                <w:szCs w:val="22"/>
                <w:u w:val="none"/>
                <w:lang w:val="en-US" w:eastAsia="zh-CN" w:bidi="ar"/>
              </w:rPr>
              <w:t>达标</w:t>
            </w:r>
          </w:p>
        </w:tc>
      </w:tr>
      <w:tr w14:paraId="371F3FEE">
        <w:tblPrEx>
          <w:tblBorders>
            <w:top w:val="thinThickSmallGap" w:color="auto" w:sz="12" w:space="0"/>
            <w:left w:val="none" w:color="auto" w:sz="0" w:space="0"/>
            <w:bottom w:val="thinThickSmallGap" w:color="auto" w:sz="12" w:space="0"/>
            <w:right w:val="none" w:color="auto" w:sz="0"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 w:hRule="atLeast"/>
          <w:jc w:val="center"/>
        </w:trPr>
        <w:tc>
          <w:tcPr>
            <w:tcW w:w="528" w:type="dxa"/>
            <w:vMerge w:val="restart"/>
            <w:tcBorders>
              <w:tl2br w:val="nil"/>
              <w:tr2bl w:val="nil"/>
            </w:tcBorders>
            <w:shd w:val="clear" w:color="auto" w:fill="auto"/>
            <w:noWrap/>
            <w:vAlign w:val="center"/>
          </w:tcPr>
          <w:p w14:paraId="75A8C1DB">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sz w:val="22"/>
                <w:szCs w:val="22"/>
                <w:u w:val="none"/>
              </w:rPr>
            </w:pPr>
            <w:r>
              <w:rPr>
                <w:rFonts w:hint="default" w:ascii="Times New Roman" w:hAnsi="Times New Roman" w:eastAsia="宋体" w:cs="Times New Roman"/>
                <w:i w:val="0"/>
                <w:iCs w:val="0"/>
                <w:color w:val="0000FF"/>
                <w:kern w:val="0"/>
                <w:sz w:val="22"/>
                <w:szCs w:val="22"/>
                <w:u w:val="none"/>
                <w:lang w:val="en-US" w:eastAsia="zh-CN" w:bidi="ar"/>
              </w:rPr>
              <w:t>5</w:t>
            </w:r>
          </w:p>
        </w:tc>
        <w:tc>
          <w:tcPr>
            <w:tcW w:w="990" w:type="dxa"/>
            <w:vMerge w:val="restart"/>
            <w:tcBorders>
              <w:tl2br w:val="nil"/>
              <w:tr2bl w:val="nil"/>
            </w:tcBorders>
            <w:shd w:val="clear" w:color="auto" w:fill="auto"/>
            <w:noWrap/>
            <w:vAlign w:val="center"/>
          </w:tcPr>
          <w:p w14:paraId="44FD1D03">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sz w:val="22"/>
                <w:szCs w:val="22"/>
                <w:u w:val="none"/>
              </w:rPr>
            </w:pPr>
            <w:r>
              <w:rPr>
                <w:rFonts w:hint="default" w:ascii="Times New Roman" w:hAnsi="Times New Roman" w:eastAsia="宋体" w:cs="Times New Roman"/>
                <w:i w:val="0"/>
                <w:iCs w:val="0"/>
                <w:color w:val="0000FF"/>
                <w:kern w:val="0"/>
                <w:sz w:val="22"/>
                <w:szCs w:val="22"/>
                <w:u w:val="none"/>
                <w:lang w:val="en-US" w:eastAsia="zh-CN" w:bidi="ar"/>
              </w:rPr>
              <w:t>四道河子</w:t>
            </w:r>
          </w:p>
        </w:tc>
        <w:tc>
          <w:tcPr>
            <w:tcW w:w="1275" w:type="dxa"/>
            <w:vMerge w:val="restart"/>
            <w:tcBorders>
              <w:tl2br w:val="nil"/>
              <w:tr2bl w:val="nil"/>
            </w:tcBorders>
            <w:shd w:val="clear" w:color="auto" w:fill="auto"/>
            <w:noWrap/>
            <w:vAlign w:val="center"/>
          </w:tcPr>
          <w:p w14:paraId="7DF9BAA4">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sz w:val="22"/>
                <w:szCs w:val="22"/>
                <w:u w:val="none"/>
              </w:rPr>
            </w:pPr>
            <w:r>
              <w:rPr>
                <w:rFonts w:hint="default" w:ascii="Times New Roman" w:hAnsi="Times New Roman" w:eastAsia="宋体" w:cs="Times New Roman"/>
                <w:i w:val="0"/>
                <w:iCs w:val="0"/>
                <w:color w:val="0000FF"/>
                <w:kern w:val="0"/>
                <w:sz w:val="22"/>
                <w:szCs w:val="22"/>
                <w:u w:val="none"/>
                <w:lang w:val="en-US" w:eastAsia="zh-CN" w:bidi="ar"/>
              </w:rPr>
              <w:t>430,1123</w:t>
            </w:r>
          </w:p>
        </w:tc>
        <w:tc>
          <w:tcPr>
            <w:tcW w:w="1875" w:type="dxa"/>
            <w:tcBorders>
              <w:tl2br w:val="nil"/>
              <w:tr2bl w:val="nil"/>
            </w:tcBorders>
            <w:shd w:val="clear" w:color="auto" w:fill="auto"/>
            <w:noWrap/>
            <w:vAlign w:val="center"/>
          </w:tcPr>
          <w:p w14:paraId="1F5A14D8">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sz w:val="22"/>
                <w:szCs w:val="22"/>
                <w:u w:val="none"/>
              </w:rPr>
            </w:pPr>
            <w:r>
              <w:rPr>
                <w:rFonts w:hint="default" w:ascii="Times New Roman" w:hAnsi="Times New Roman" w:eastAsia="宋体" w:cs="Times New Roman"/>
                <w:i w:val="0"/>
                <w:iCs w:val="0"/>
                <w:color w:val="0000FF"/>
                <w:kern w:val="0"/>
                <w:sz w:val="22"/>
                <w:szCs w:val="22"/>
                <w:u w:val="none"/>
                <w:lang w:val="en-US" w:eastAsia="zh-CN" w:bidi="ar"/>
              </w:rPr>
              <w:t>1小时</w:t>
            </w:r>
          </w:p>
        </w:tc>
        <w:tc>
          <w:tcPr>
            <w:tcW w:w="1260" w:type="dxa"/>
            <w:tcBorders>
              <w:tl2br w:val="nil"/>
              <w:tr2bl w:val="nil"/>
            </w:tcBorders>
            <w:shd w:val="clear" w:color="auto" w:fill="auto"/>
            <w:noWrap/>
            <w:vAlign w:val="center"/>
          </w:tcPr>
          <w:p w14:paraId="35AE31B7">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sz w:val="22"/>
                <w:szCs w:val="22"/>
                <w:u w:val="none"/>
              </w:rPr>
            </w:pPr>
            <w:r>
              <w:rPr>
                <w:rFonts w:hint="default" w:ascii="Times New Roman" w:hAnsi="Times New Roman" w:eastAsia="宋体" w:cs="Times New Roman"/>
                <w:i w:val="0"/>
                <w:iCs w:val="0"/>
                <w:color w:val="0000FF"/>
                <w:kern w:val="0"/>
                <w:sz w:val="22"/>
                <w:szCs w:val="22"/>
                <w:u w:val="none"/>
                <w:lang w:val="en-US" w:eastAsia="zh-CN" w:bidi="ar"/>
              </w:rPr>
              <w:t>1.50E-03</w:t>
            </w:r>
          </w:p>
        </w:tc>
        <w:tc>
          <w:tcPr>
            <w:tcW w:w="1770" w:type="dxa"/>
            <w:tcBorders>
              <w:tl2br w:val="nil"/>
              <w:tr2bl w:val="nil"/>
            </w:tcBorders>
            <w:shd w:val="clear" w:color="auto" w:fill="auto"/>
            <w:noWrap/>
            <w:vAlign w:val="center"/>
          </w:tcPr>
          <w:p w14:paraId="015F3CA4">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sz w:val="22"/>
                <w:szCs w:val="22"/>
                <w:u w:val="none"/>
              </w:rPr>
            </w:pPr>
            <w:r>
              <w:rPr>
                <w:rFonts w:hint="default" w:ascii="Times New Roman" w:hAnsi="Times New Roman" w:eastAsia="宋体" w:cs="Times New Roman"/>
                <w:i w:val="0"/>
                <w:iCs w:val="0"/>
                <w:color w:val="0000FF"/>
                <w:kern w:val="0"/>
                <w:sz w:val="22"/>
                <w:szCs w:val="22"/>
                <w:u w:val="none"/>
                <w:lang w:val="en-US" w:eastAsia="zh-CN" w:bidi="ar"/>
              </w:rPr>
              <w:t>24060619</w:t>
            </w:r>
          </w:p>
        </w:tc>
        <w:tc>
          <w:tcPr>
            <w:tcW w:w="1140" w:type="dxa"/>
            <w:tcBorders>
              <w:tl2br w:val="nil"/>
              <w:tr2bl w:val="nil"/>
            </w:tcBorders>
            <w:shd w:val="clear" w:color="auto" w:fill="auto"/>
            <w:noWrap/>
            <w:vAlign w:val="center"/>
          </w:tcPr>
          <w:p w14:paraId="196EF1B8">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sz w:val="22"/>
                <w:szCs w:val="22"/>
                <w:u w:val="none"/>
              </w:rPr>
            </w:pPr>
            <w:r>
              <w:rPr>
                <w:rFonts w:hint="default" w:ascii="Times New Roman" w:hAnsi="Times New Roman" w:eastAsia="宋体" w:cs="Times New Roman"/>
                <w:i w:val="0"/>
                <w:iCs w:val="0"/>
                <w:color w:val="0000FF"/>
                <w:kern w:val="0"/>
                <w:sz w:val="22"/>
                <w:szCs w:val="22"/>
                <w:u w:val="none"/>
                <w:lang w:val="en-US" w:eastAsia="zh-CN" w:bidi="ar"/>
              </w:rPr>
              <w:t>0.00E+00</w:t>
            </w:r>
          </w:p>
        </w:tc>
        <w:tc>
          <w:tcPr>
            <w:tcW w:w="1605" w:type="dxa"/>
            <w:tcBorders>
              <w:tl2br w:val="nil"/>
              <w:tr2bl w:val="nil"/>
            </w:tcBorders>
            <w:shd w:val="clear" w:color="auto" w:fill="auto"/>
            <w:noWrap/>
            <w:vAlign w:val="center"/>
          </w:tcPr>
          <w:p w14:paraId="5D186B7E">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sz w:val="22"/>
                <w:szCs w:val="22"/>
                <w:u w:val="none"/>
              </w:rPr>
            </w:pPr>
            <w:r>
              <w:rPr>
                <w:rFonts w:hint="default" w:ascii="Times New Roman" w:hAnsi="Times New Roman" w:eastAsia="宋体" w:cs="Times New Roman"/>
                <w:i w:val="0"/>
                <w:iCs w:val="0"/>
                <w:color w:val="0000FF"/>
                <w:kern w:val="0"/>
                <w:sz w:val="22"/>
                <w:szCs w:val="22"/>
                <w:u w:val="none"/>
                <w:lang w:val="en-US" w:eastAsia="zh-CN" w:bidi="ar"/>
              </w:rPr>
              <w:t>1.50E-03</w:t>
            </w:r>
          </w:p>
        </w:tc>
        <w:tc>
          <w:tcPr>
            <w:tcW w:w="1275" w:type="dxa"/>
            <w:tcBorders>
              <w:tl2br w:val="nil"/>
              <w:tr2bl w:val="nil"/>
            </w:tcBorders>
            <w:shd w:val="clear" w:color="auto" w:fill="auto"/>
            <w:noWrap/>
            <w:vAlign w:val="center"/>
          </w:tcPr>
          <w:p w14:paraId="2884170E">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sz w:val="22"/>
                <w:szCs w:val="22"/>
                <w:u w:val="none"/>
              </w:rPr>
            </w:pPr>
            <w:r>
              <w:rPr>
                <w:rFonts w:hint="default" w:ascii="Times New Roman" w:hAnsi="Times New Roman" w:eastAsia="宋体" w:cs="Times New Roman"/>
                <w:i w:val="0"/>
                <w:iCs w:val="0"/>
                <w:color w:val="0000FF"/>
                <w:kern w:val="0"/>
                <w:sz w:val="22"/>
                <w:szCs w:val="22"/>
                <w:u w:val="none"/>
                <w:lang w:val="en-US" w:eastAsia="zh-CN" w:bidi="ar"/>
              </w:rPr>
              <w:t>5.00E-01</w:t>
            </w:r>
          </w:p>
        </w:tc>
        <w:tc>
          <w:tcPr>
            <w:tcW w:w="1485" w:type="dxa"/>
            <w:tcBorders>
              <w:tl2br w:val="nil"/>
              <w:tr2bl w:val="nil"/>
            </w:tcBorders>
            <w:shd w:val="clear" w:color="auto" w:fill="auto"/>
            <w:noWrap/>
            <w:vAlign w:val="center"/>
          </w:tcPr>
          <w:p w14:paraId="1B6CFD74">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sz w:val="22"/>
                <w:szCs w:val="22"/>
                <w:u w:val="none"/>
              </w:rPr>
            </w:pPr>
            <w:r>
              <w:rPr>
                <w:rFonts w:hint="default" w:ascii="Times New Roman" w:hAnsi="Times New Roman" w:eastAsia="宋体" w:cs="Times New Roman"/>
                <w:i w:val="0"/>
                <w:iCs w:val="0"/>
                <w:color w:val="0000FF"/>
                <w:kern w:val="0"/>
                <w:sz w:val="22"/>
                <w:szCs w:val="22"/>
                <w:u w:val="none"/>
                <w:lang w:val="en-US" w:eastAsia="zh-CN" w:bidi="ar"/>
              </w:rPr>
              <w:t>0.3</w:t>
            </w:r>
          </w:p>
        </w:tc>
        <w:tc>
          <w:tcPr>
            <w:tcW w:w="912" w:type="dxa"/>
            <w:tcBorders>
              <w:tl2br w:val="nil"/>
              <w:tr2bl w:val="nil"/>
            </w:tcBorders>
            <w:shd w:val="clear" w:color="auto" w:fill="auto"/>
            <w:noWrap/>
            <w:vAlign w:val="center"/>
          </w:tcPr>
          <w:p w14:paraId="3AFFC3D8">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sz w:val="22"/>
                <w:szCs w:val="22"/>
                <w:u w:val="none"/>
              </w:rPr>
            </w:pPr>
            <w:r>
              <w:rPr>
                <w:rFonts w:hint="default" w:ascii="Times New Roman" w:hAnsi="Times New Roman" w:eastAsia="宋体" w:cs="Times New Roman"/>
                <w:i w:val="0"/>
                <w:iCs w:val="0"/>
                <w:color w:val="0000FF"/>
                <w:kern w:val="0"/>
                <w:sz w:val="22"/>
                <w:szCs w:val="22"/>
                <w:u w:val="none"/>
                <w:lang w:val="en-US" w:eastAsia="zh-CN" w:bidi="ar"/>
              </w:rPr>
              <w:t>达标</w:t>
            </w:r>
          </w:p>
        </w:tc>
      </w:tr>
      <w:tr w14:paraId="1BBF6B45">
        <w:tblPrEx>
          <w:tblBorders>
            <w:top w:val="thinThickSmallGap" w:color="auto" w:sz="12" w:space="0"/>
            <w:left w:val="none" w:color="auto" w:sz="0" w:space="0"/>
            <w:bottom w:val="thinThickSmallGap" w:color="auto" w:sz="12" w:space="0"/>
            <w:right w:val="none" w:color="auto" w:sz="0"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 w:hRule="atLeast"/>
          <w:jc w:val="center"/>
        </w:trPr>
        <w:tc>
          <w:tcPr>
            <w:tcW w:w="528" w:type="dxa"/>
            <w:vMerge w:val="continue"/>
            <w:tcBorders>
              <w:tl2br w:val="nil"/>
              <w:tr2bl w:val="nil"/>
            </w:tcBorders>
            <w:shd w:val="clear" w:color="auto" w:fill="auto"/>
            <w:noWrap/>
            <w:vAlign w:val="center"/>
          </w:tcPr>
          <w:p w14:paraId="55A72CE6">
            <w:pPr>
              <w:keepNext w:val="0"/>
              <w:keepLines w:val="0"/>
              <w:pageBreakBefore w:val="0"/>
              <w:widowControl/>
              <w:kinsoku/>
              <w:wordWrap/>
              <w:overflowPunct/>
              <w:topLinePunct w:val="0"/>
              <w:autoSpaceDE/>
              <w:autoSpaceDN/>
              <w:bidi w:val="0"/>
              <w:adjustRightInd w:val="0"/>
              <w:snapToGrid w:val="0"/>
              <w:spacing w:line="240" w:lineRule="auto"/>
              <w:ind w:firstLineChars="0"/>
              <w:jc w:val="center"/>
              <w:rPr>
                <w:rFonts w:hint="default" w:ascii="Times New Roman" w:hAnsi="Times New Roman" w:eastAsia="宋体" w:cs="Times New Roman"/>
                <w:i w:val="0"/>
                <w:iCs w:val="0"/>
                <w:color w:val="0000FF"/>
                <w:sz w:val="22"/>
                <w:szCs w:val="22"/>
                <w:u w:val="none"/>
              </w:rPr>
            </w:pPr>
          </w:p>
        </w:tc>
        <w:tc>
          <w:tcPr>
            <w:tcW w:w="990" w:type="dxa"/>
            <w:vMerge w:val="continue"/>
            <w:tcBorders>
              <w:tl2br w:val="nil"/>
              <w:tr2bl w:val="nil"/>
            </w:tcBorders>
            <w:shd w:val="clear" w:color="auto" w:fill="auto"/>
            <w:noWrap/>
            <w:vAlign w:val="center"/>
          </w:tcPr>
          <w:p w14:paraId="49FC3065">
            <w:pPr>
              <w:keepNext w:val="0"/>
              <w:keepLines w:val="0"/>
              <w:pageBreakBefore w:val="0"/>
              <w:widowControl/>
              <w:kinsoku/>
              <w:wordWrap/>
              <w:overflowPunct/>
              <w:topLinePunct w:val="0"/>
              <w:autoSpaceDE/>
              <w:autoSpaceDN/>
              <w:bidi w:val="0"/>
              <w:adjustRightInd w:val="0"/>
              <w:snapToGrid w:val="0"/>
              <w:spacing w:line="240" w:lineRule="auto"/>
              <w:ind w:firstLineChars="0"/>
              <w:jc w:val="center"/>
              <w:rPr>
                <w:rFonts w:hint="default" w:ascii="Times New Roman" w:hAnsi="Times New Roman" w:eastAsia="宋体" w:cs="Times New Roman"/>
                <w:i w:val="0"/>
                <w:iCs w:val="0"/>
                <w:color w:val="0000FF"/>
                <w:sz w:val="22"/>
                <w:szCs w:val="22"/>
                <w:u w:val="none"/>
              </w:rPr>
            </w:pPr>
          </w:p>
        </w:tc>
        <w:tc>
          <w:tcPr>
            <w:tcW w:w="1275" w:type="dxa"/>
            <w:vMerge w:val="continue"/>
            <w:tcBorders>
              <w:tl2br w:val="nil"/>
              <w:tr2bl w:val="nil"/>
            </w:tcBorders>
            <w:shd w:val="clear" w:color="auto" w:fill="auto"/>
            <w:noWrap/>
            <w:vAlign w:val="center"/>
          </w:tcPr>
          <w:p w14:paraId="488057C8">
            <w:pPr>
              <w:keepNext w:val="0"/>
              <w:keepLines w:val="0"/>
              <w:pageBreakBefore w:val="0"/>
              <w:widowControl/>
              <w:kinsoku/>
              <w:wordWrap/>
              <w:overflowPunct/>
              <w:topLinePunct w:val="0"/>
              <w:autoSpaceDE/>
              <w:autoSpaceDN/>
              <w:bidi w:val="0"/>
              <w:adjustRightInd w:val="0"/>
              <w:snapToGrid w:val="0"/>
              <w:spacing w:line="240" w:lineRule="auto"/>
              <w:ind w:firstLineChars="0"/>
              <w:jc w:val="center"/>
              <w:rPr>
                <w:rFonts w:hint="default" w:ascii="Times New Roman" w:hAnsi="Times New Roman" w:eastAsia="宋体" w:cs="Times New Roman"/>
                <w:i w:val="0"/>
                <w:iCs w:val="0"/>
                <w:color w:val="0000FF"/>
                <w:sz w:val="22"/>
                <w:szCs w:val="22"/>
                <w:u w:val="none"/>
              </w:rPr>
            </w:pPr>
          </w:p>
        </w:tc>
        <w:tc>
          <w:tcPr>
            <w:tcW w:w="1875" w:type="dxa"/>
            <w:tcBorders>
              <w:tl2br w:val="nil"/>
              <w:tr2bl w:val="nil"/>
            </w:tcBorders>
            <w:shd w:val="clear" w:color="auto" w:fill="auto"/>
            <w:noWrap/>
            <w:vAlign w:val="center"/>
          </w:tcPr>
          <w:p w14:paraId="7ED1C17B">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1"/>
                <w:szCs w:val="21"/>
                <w:u w:val="none"/>
                <w:lang w:val="en-US" w:eastAsia="zh-CN" w:bidi="ar"/>
              </w:rPr>
              <w:t>98%保证率日平均</w:t>
            </w:r>
          </w:p>
        </w:tc>
        <w:tc>
          <w:tcPr>
            <w:tcW w:w="1260" w:type="dxa"/>
            <w:tcBorders>
              <w:tl2br w:val="nil"/>
              <w:tr2bl w:val="nil"/>
            </w:tcBorders>
            <w:shd w:val="clear" w:color="auto" w:fill="auto"/>
            <w:noWrap/>
            <w:vAlign w:val="center"/>
          </w:tcPr>
          <w:p w14:paraId="6B3188AC">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sz w:val="22"/>
                <w:szCs w:val="22"/>
                <w:u w:val="none"/>
              </w:rPr>
            </w:pPr>
            <w:r>
              <w:rPr>
                <w:rFonts w:hint="default" w:ascii="Times New Roman" w:hAnsi="Times New Roman" w:eastAsia="宋体" w:cs="Times New Roman"/>
                <w:i w:val="0"/>
                <w:iCs w:val="0"/>
                <w:color w:val="0000FF"/>
                <w:kern w:val="0"/>
                <w:sz w:val="22"/>
                <w:szCs w:val="22"/>
                <w:u w:val="none"/>
                <w:lang w:val="en-US" w:eastAsia="zh-CN" w:bidi="ar"/>
              </w:rPr>
              <w:t>6.23E-05</w:t>
            </w:r>
          </w:p>
        </w:tc>
        <w:tc>
          <w:tcPr>
            <w:tcW w:w="1770" w:type="dxa"/>
            <w:tcBorders>
              <w:tl2br w:val="nil"/>
              <w:tr2bl w:val="nil"/>
            </w:tcBorders>
            <w:shd w:val="clear" w:color="auto" w:fill="auto"/>
            <w:noWrap/>
            <w:vAlign w:val="center"/>
          </w:tcPr>
          <w:p w14:paraId="39CD84EF">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sz w:val="22"/>
                <w:szCs w:val="22"/>
                <w:u w:val="none"/>
              </w:rPr>
            </w:pPr>
            <w:r>
              <w:rPr>
                <w:rFonts w:hint="default" w:ascii="Times New Roman" w:hAnsi="Times New Roman" w:eastAsia="宋体" w:cs="Times New Roman"/>
                <w:i w:val="0"/>
                <w:iCs w:val="0"/>
                <w:color w:val="0000FF"/>
                <w:kern w:val="0"/>
                <w:sz w:val="22"/>
                <w:szCs w:val="22"/>
                <w:u w:val="none"/>
                <w:lang w:val="en-US" w:eastAsia="zh-CN" w:bidi="ar"/>
              </w:rPr>
              <w:t>240125</w:t>
            </w:r>
          </w:p>
        </w:tc>
        <w:tc>
          <w:tcPr>
            <w:tcW w:w="1140" w:type="dxa"/>
            <w:tcBorders>
              <w:tl2br w:val="nil"/>
              <w:tr2bl w:val="nil"/>
            </w:tcBorders>
            <w:shd w:val="clear" w:color="auto" w:fill="auto"/>
            <w:noWrap/>
            <w:vAlign w:val="center"/>
          </w:tcPr>
          <w:p w14:paraId="69914BD2">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sz w:val="22"/>
                <w:szCs w:val="22"/>
                <w:u w:val="none"/>
              </w:rPr>
            </w:pPr>
            <w:r>
              <w:rPr>
                <w:rFonts w:hint="default" w:ascii="Times New Roman" w:hAnsi="Times New Roman" w:eastAsia="宋体" w:cs="Times New Roman"/>
                <w:i w:val="0"/>
                <w:iCs w:val="0"/>
                <w:color w:val="0000FF"/>
                <w:kern w:val="0"/>
                <w:sz w:val="22"/>
                <w:szCs w:val="22"/>
                <w:u w:val="none"/>
                <w:lang w:val="en-US" w:eastAsia="zh-CN" w:bidi="ar"/>
              </w:rPr>
              <w:t>1.80E-02</w:t>
            </w:r>
          </w:p>
        </w:tc>
        <w:tc>
          <w:tcPr>
            <w:tcW w:w="1605" w:type="dxa"/>
            <w:tcBorders>
              <w:tl2br w:val="nil"/>
              <w:tr2bl w:val="nil"/>
            </w:tcBorders>
            <w:shd w:val="clear" w:color="auto" w:fill="auto"/>
            <w:noWrap/>
            <w:vAlign w:val="center"/>
          </w:tcPr>
          <w:p w14:paraId="1B8FD254">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sz w:val="22"/>
                <w:szCs w:val="22"/>
                <w:u w:val="none"/>
              </w:rPr>
            </w:pPr>
            <w:r>
              <w:rPr>
                <w:rFonts w:hint="default" w:ascii="Times New Roman" w:hAnsi="Times New Roman" w:eastAsia="宋体" w:cs="Times New Roman"/>
                <w:i w:val="0"/>
                <w:iCs w:val="0"/>
                <w:color w:val="0000FF"/>
                <w:kern w:val="0"/>
                <w:sz w:val="22"/>
                <w:szCs w:val="22"/>
                <w:u w:val="none"/>
                <w:lang w:val="en-US" w:eastAsia="zh-CN" w:bidi="ar"/>
              </w:rPr>
              <w:t>1.81E-02</w:t>
            </w:r>
          </w:p>
        </w:tc>
        <w:tc>
          <w:tcPr>
            <w:tcW w:w="1275" w:type="dxa"/>
            <w:tcBorders>
              <w:tl2br w:val="nil"/>
              <w:tr2bl w:val="nil"/>
            </w:tcBorders>
            <w:shd w:val="clear" w:color="auto" w:fill="auto"/>
            <w:noWrap/>
            <w:vAlign w:val="center"/>
          </w:tcPr>
          <w:p w14:paraId="12E05AD9">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sz w:val="22"/>
                <w:szCs w:val="22"/>
                <w:u w:val="none"/>
              </w:rPr>
            </w:pPr>
            <w:r>
              <w:rPr>
                <w:rFonts w:hint="default" w:ascii="Times New Roman" w:hAnsi="Times New Roman" w:eastAsia="宋体" w:cs="Times New Roman"/>
                <w:i w:val="0"/>
                <w:iCs w:val="0"/>
                <w:color w:val="0000FF"/>
                <w:kern w:val="0"/>
                <w:sz w:val="22"/>
                <w:szCs w:val="22"/>
                <w:u w:val="none"/>
                <w:lang w:val="en-US" w:eastAsia="zh-CN" w:bidi="ar"/>
              </w:rPr>
              <w:t>1.50E-01</w:t>
            </w:r>
          </w:p>
        </w:tc>
        <w:tc>
          <w:tcPr>
            <w:tcW w:w="1485" w:type="dxa"/>
            <w:tcBorders>
              <w:tl2br w:val="nil"/>
              <w:tr2bl w:val="nil"/>
            </w:tcBorders>
            <w:shd w:val="clear" w:color="auto" w:fill="auto"/>
            <w:noWrap/>
            <w:vAlign w:val="center"/>
          </w:tcPr>
          <w:p w14:paraId="6810F46B">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sz w:val="22"/>
                <w:szCs w:val="22"/>
                <w:u w:val="none"/>
              </w:rPr>
            </w:pPr>
            <w:r>
              <w:rPr>
                <w:rFonts w:hint="default" w:ascii="Times New Roman" w:hAnsi="Times New Roman" w:eastAsia="宋体" w:cs="Times New Roman"/>
                <w:i w:val="0"/>
                <w:iCs w:val="0"/>
                <w:color w:val="0000FF"/>
                <w:kern w:val="0"/>
                <w:sz w:val="22"/>
                <w:szCs w:val="22"/>
                <w:u w:val="none"/>
                <w:lang w:val="en-US" w:eastAsia="zh-CN" w:bidi="ar"/>
              </w:rPr>
              <w:t>12.04</w:t>
            </w:r>
          </w:p>
        </w:tc>
        <w:tc>
          <w:tcPr>
            <w:tcW w:w="912" w:type="dxa"/>
            <w:tcBorders>
              <w:tl2br w:val="nil"/>
              <w:tr2bl w:val="nil"/>
            </w:tcBorders>
            <w:shd w:val="clear" w:color="auto" w:fill="auto"/>
            <w:noWrap/>
            <w:vAlign w:val="center"/>
          </w:tcPr>
          <w:p w14:paraId="2863294A">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sz w:val="22"/>
                <w:szCs w:val="22"/>
                <w:u w:val="none"/>
              </w:rPr>
            </w:pPr>
            <w:r>
              <w:rPr>
                <w:rFonts w:hint="default" w:ascii="Times New Roman" w:hAnsi="Times New Roman" w:eastAsia="宋体" w:cs="Times New Roman"/>
                <w:i w:val="0"/>
                <w:iCs w:val="0"/>
                <w:color w:val="0000FF"/>
                <w:kern w:val="0"/>
                <w:sz w:val="22"/>
                <w:szCs w:val="22"/>
                <w:u w:val="none"/>
                <w:lang w:val="en-US" w:eastAsia="zh-CN" w:bidi="ar"/>
              </w:rPr>
              <w:t>达标</w:t>
            </w:r>
          </w:p>
        </w:tc>
      </w:tr>
      <w:tr w14:paraId="46E7EC62">
        <w:tblPrEx>
          <w:tblBorders>
            <w:top w:val="thinThickSmallGap" w:color="auto" w:sz="12" w:space="0"/>
            <w:left w:val="none" w:color="auto" w:sz="0" w:space="0"/>
            <w:bottom w:val="thinThickSmallGap" w:color="auto" w:sz="12" w:space="0"/>
            <w:right w:val="none" w:color="auto" w:sz="0"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 w:hRule="atLeast"/>
          <w:jc w:val="center"/>
        </w:trPr>
        <w:tc>
          <w:tcPr>
            <w:tcW w:w="528" w:type="dxa"/>
            <w:vMerge w:val="continue"/>
            <w:tcBorders>
              <w:tl2br w:val="nil"/>
              <w:tr2bl w:val="nil"/>
            </w:tcBorders>
            <w:shd w:val="clear" w:color="auto" w:fill="auto"/>
            <w:noWrap/>
            <w:vAlign w:val="center"/>
          </w:tcPr>
          <w:p w14:paraId="570EC5EB">
            <w:pPr>
              <w:keepNext w:val="0"/>
              <w:keepLines w:val="0"/>
              <w:pageBreakBefore w:val="0"/>
              <w:widowControl/>
              <w:kinsoku/>
              <w:wordWrap/>
              <w:overflowPunct/>
              <w:topLinePunct w:val="0"/>
              <w:autoSpaceDE/>
              <w:autoSpaceDN/>
              <w:bidi w:val="0"/>
              <w:adjustRightInd w:val="0"/>
              <w:snapToGrid w:val="0"/>
              <w:spacing w:line="240" w:lineRule="auto"/>
              <w:ind w:firstLineChars="0"/>
              <w:jc w:val="center"/>
              <w:rPr>
                <w:rFonts w:hint="default" w:ascii="Times New Roman" w:hAnsi="Times New Roman" w:eastAsia="宋体" w:cs="Times New Roman"/>
                <w:i w:val="0"/>
                <w:iCs w:val="0"/>
                <w:color w:val="0000FF"/>
                <w:sz w:val="22"/>
                <w:szCs w:val="22"/>
                <w:u w:val="none"/>
              </w:rPr>
            </w:pPr>
          </w:p>
        </w:tc>
        <w:tc>
          <w:tcPr>
            <w:tcW w:w="990" w:type="dxa"/>
            <w:vMerge w:val="continue"/>
            <w:tcBorders>
              <w:tl2br w:val="nil"/>
              <w:tr2bl w:val="nil"/>
            </w:tcBorders>
            <w:shd w:val="clear" w:color="auto" w:fill="auto"/>
            <w:noWrap/>
            <w:vAlign w:val="center"/>
          </w:tcPr>
          <w:p w14:paraId="2727266E">
            <w:pPr>
              <w:keepNext w:val="0"/>
              <w:keepLines w:val="0"/>
              <w:pageBreakBefore w:val="0"/>
              <w:widowControl/>
              <w:kinsoku/>
              <w:wordWrap/>
              <w:overflowPunct/>
              <w:topLinePunct w:val="0"/>
              <w:autoSpaceDE/>
              <w:autoSpaceDN/>
              <w:bidi w:val="0"/>
              <w:adjustRightInd w:val="0"/>
              <w:snapToGrid w:val="0"/>
              <w:spacing w:line="240" w:lineRule="auto"/>
              <w:ind w:firstLineChars="0"/>
              <w:jc w:val="center"/>
              <w:rPr>
                <w:rFonts w:hint="default" w:ascii="Times New Roman" w:hAnsi="Times New Roman" w:eastAsia="宋体" w:cs="Times New Roman"/>
                <w:i w:val="0"/>
                <w:iCs w:val="0"/>
                <w:color w:val="0000FF"/>
                <w:sz w:val="22"/>
                <w:szCs w:val="22"/>
                <w:u w:val="none"/>
              </w:rPr>
            </w:pPr>
          </w:p>
        </w:tc>
        <w:tc>
          <w:tcPr>
            <w:tcW w:w="1275" w:type="dxa"/>
            <w:vMerge w:val="continue"/>
            <w:tcBorders>
              <w:tl2br w:val="nil"/>
              <w:tr2bl w:val="nil"/>
            </w:tcBorders>
            <w:shd w:val="clear" w:color="auto" w:fill="auto"/>
            <w:noWrap/>
            <w:vAlign w:val="center"/>
          </w:tcPr>
          <w:p w14:paraId="2961B4AD">
            <w:pPr>
              <w:keepNext w:val="0"/>
              <w:keepLines w:val="0"/>
              <w:pageBreakBefore w:val="0"/>
              <w:widowControl/>
              <w:kinsoku/>
              <w:wordWrap/>
              <w:overflowPunct/>
              <w:topLinePunct w:val="0"/>
              <w:autoSpaceDE/>
              <w:autoSpaceDN/>
              <w:bidi w:val="0"/>
              <w:adjustRightInd w:val="0"/>
              <w:snapToGrid w:val="0"/>
              <w:spacing w:line="240" w:lineRule="auto"/>
              <w:ind w:firstLineChars="0"/>
              <w:jc w:val="center"/>
              <w:rPr>
                <w:rFonts w:hint="default" w:ascii="Times New Roman" w:hAnsi="Times New Roman" w:eastAsia="宋体" w:cs="Times New Roman"/>
                <w:i w:val="0"/>
                <w:iCs w:val="0"/>
                <w:color w:val="0000FF"/>
                <w:sz w:val="22"/>
                <w:szCs w:val="22"/>
                <w:u w:val="none"/>
              </w:rPr>
            </w:pPr>
          </w:p>
        </w:tc>
        <w:tc>
          <w:tcPr>
            <w:tcW w:w="1875" w:type="dxa"/>
            <w:tcBorders>
              <w:tl2br w:val="nil"/>
              <w:tr2bl w:val="nil"/>
            </w:tcBorders>
            <w:shd w:val="clear" w:color="auto" w:fill="auto"/>
            <w:noWrap/>
            <w:vAlign w:val="center"/>
          </w:tcPr>
          <w:p w14:paraId="3ABD720A">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sz w:val="22"/>
                <w:szCs w:val="22"/>
                <w:u w:val="none"/>
              </w:rPr>
            </w:pPr>
            <w:r>
              <w:rPr>
                <w:rFonts w:hint="default" w:ascii="Times New Roman" w:hAnsi="Times New Roman" w:eastAsia="宋体" w:cs="Times New Roman"/>
                <w:i w:val="0"/>
                <w:iCs w:val="0"/>
                <w:color w:val="0000FF"/>
                <w:kern w:val="0"/>
                <w:sz w:val="22"/>
                <w:szCs w:val="22"/>
                <w:u w:val="none"/>
                <w:lang w:val="en-US" w:eastAsia="zh-CN" w:bidi="ar"/>
              </w:rPr>
              <w:t>全时段</w:t>
            </w:r>
          </w:p>
        </w:tc>
        <w:tc>
          <w:tcPr>
            <w:tcW w:w="1260" w:type="dxa"/>
            <w:tcBorders>
              <w:tl2br w:val="nil"/>
              <w:tr2bl w:val="nil"/>
            </w:tcBorders>
            <w:shd w:val="clear" w:color="auto" w:fill="auto"/>
            <w:noWrap/>
            <w:vAlign w:val="center"/>
          </w:tcPr>
          <w:p w14:paraId="17ED74C2">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sz w:val="22"/>
                <w:szCs w:val="22"/>
                <w:u w:val="none"/>
              </w:rPr>
            </w:pPr>
            <w:r>
              <w:rPr>
                <w:rFonts w:hint="default" w:ascii="Times New Roman" w:hAnsi="Times New Roman" w:eastAsia="宋体" w:cs="Times New Roman"/>
                <w:i w:val="0"/>
                <w:iCs w:val="0"/>
                <w:color w:val="0000FF"/>
                <w:kern w:val="0"/>
                <w:sz w:val="22"/>
                <w:szCs w:val="22"/>
                <w:u w:val="none"/>
                <w:lang w:val="en-US" w:eastAsia="zh-CN" w:bidi="ar"/>
              </w:rPr>
              <w:t>4.36E-05</w:t>
            </w:r>
          </w:p>
        </w:tc>
        <w:tc>
          <w:tcPr>
            <w:tcW w:w="1770" w:type="dxa"/>
            <w:tcBorders>
              <w:tl2br w:val="nil"/>
              <w:tr2bl w:val="nil"/>
            </w:tcBorders>
            <w:shd w:val="clear" w:color="auto" w:fill="auto"/>
            <w:noWrap/>
            <w:vAlign w:val="center"/>
          </w:tcPr>
          <w:p w14:paraId="69C62B56">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sz w:val="22"/>
                <w:szCs w:val="22"/>
                <w:u w:val="none"/>
              </w:rPr>
            </w:pPr>
            <w:r>
              <w:rPr>
                <w:rFonts w:hint="default" w:ascii="Times New Roman" w:hAnsi="Times New Roman" w:eastAsia="宋体" w:cs="Times New Roman"/>
                <w:i w:val="0"/>
                <w:iCs w:val="0"/>
                <w:color w:val="0000FF"/>
                <w:kern w:val="0"/>
                <w:sz w:val="22"/>
                <w:szCs w:val="22"/>
                <w:u w:val="none"/>
                <w:lang w:val="en-US" w:eastAsia="zh-CN" w:bidi="ar"/>
              </w:rPr>
              <w:t>平均值</w:t>
            </w:r>
          </w:p>
        </w:tc>
        <w:tc>
          <w:tcPr>
            <w:tcW w:w="1140" w:type="dxa"/>
            <w:tcBorders>
              <w:tl2br w:val="nil"/>
              <w:tr2bl w:val="nil"/>
            </w:tcBorders>
            <w:shd w:val="clear" w:color="auto" w:fill="auto"/>
            <w:noWrap/>
            <w:vAlign w:val="center"/>
          </w:tcPr>
          <w:p w14:paraId="7B4F6F4D">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sz w:val="22"/>
                <w:szCs w:val="22"/>
                <w:u w:val="none"/>
              </w:rPr>
            </w:pPr>
            <w:r>
              <w:rPr>
                <w:rFonts w:hint="default" w:ascii="Times New Roman" w:hAnsi="Times New Roman" w:eastAsia="宋体" w:cs="Times New Roman"/>
                <w:i w:val="0"/>
                <w:iCs w:val="0"/>
                <w:color w:val="0000FF"/>
                <w:kern w:val="0"/>
                <w:sz w:val="22"/>
                <w:szCs w:val="22"/>
                <w:u w:val="none"/>
                <w:lang w:val="en-US" w:eastAsia="zh-CN" w:bidi="ar"/>
              </w:rPr>
              <w:t>9.10E-03</w:t>
            </w:r>
          </w:p>
        </w:tc>
        <w:tc>
          <w:tcPr>
            <w:tcW w:w="1605" w:type="dxa"/>
            <w:tcBorders>
              <w:tl2br w:val="nil"/>
              <w:tr2bl w:val="nil"/>
            </w:tcBorders>
            <w:shd w:val="clear" w:color="auto" w:fill="auto"/>
            <w:noWrap/>
            <w:vAlign w:val="center"/>
          </w:tcPr>
          <w:p w14:paraId="51E443E9">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sz w:val="22"/>
                <w:szCs w:val="22"/>
                <w:u w:val="none"/>
              </w:rPr>
            </w:pPr>
            <w:r>
              <w:rPr>
                <w:rFonts w:hint="default" w:ascii="Times New Roman" w:hAnsi="Times New Roman" w:eastAsia="宋体" w:cs="Times New Roman"/>
                <w:i w:val="0"/>
                <w:iCs w:val="0"/>
                <w:color w:val="0000FF"/>
                <w:kern w:val="0"/>
                <w:sz w:val="22"/>
                <w:szCs w:val="22"/>
                <w:u w:val="none"/>
                <w:lang w:val="en-US" w:eastAsia="zh-CN" w:bidi="ar"/>
              </w:rPr>
              <w:t>9.14E-03</w:t>
            </w:r>
          </w:p>
        </w:tc>
        <w:tc>
          <w:tcPr>
            <w:tcW w:w="1275" w:type="dxa"/>
            <w:tcBorders>
              <w:tl2br w:val="nil"/>
              <w:tr2bl w:val="nil"/>
            </w:tcBorders>
            <w:shd w:val="clear" w:color="auto" w:fill="auto"/>
            <w:noWrap/>
            <w:vAlign w:val="center"/>
          </w:tcPr>
          <w:p w14:paraId="45D6C63C">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sz w:val="22"/>
                <w:szCs w:val="22"/>
                <w:u w:val="none"/>
              </w:rPr>
            </w:pPr>
            <w:r>
              <w:rPr>
                <w:rFonts w:hint="default" w:ascii="Times New Roman" w:hAnsi="Times New Roman" w:eastAsia="宋体" w:cs="Times New Roman"/>
                <w:i w:val="0"/>
                <w:iCs w:val="0"/>
                <w:color w:val="0000FF"/>
                <w:kern w:val="0"/>
                <w:sz w:val="22"/>
                <w:szCs w:val="22"/>
                <w:u w:val="none"/>
                <w:lang w:val="en-US" w:eastAsia="zh-CN" w:bidi="ar"/>
              </w:rPr>
              <w:t>6.00E-02</w:t>
            </w:r>
          </w:p>
        </w:tc>
        <w:tc>
          <w:tcPr>
            <w:tcW w:w="1485" w:type="dxa"/>
            <w:tcBorders>
              <w:tl2br w:val="nil"/>
              <w:tr2bl w:val="nil"/>
            </w:tcBorders>
            <w:shd w:val="clear" w:color="auto" w:fill="auto"/>
            <w:noWrap/>
            <w:vAlign w:val="center"/>
          </w:tcPr>
          <w:p w14:paraId="7D097333">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sz w:val="22"/>
                <w:szCs w:val="22"/>
                <w:u w:val="none"/>
              </w:rPr>
            </w:pPr>
            <w:r>
              <w:rPr>
                <w:rFonts w:hint="default" w:ascii="Times New Roman" w:hAnsi="Times New Roman" w:eastAsia="宋体" w:cs="Times New Roman"/>
                <w:i w:val="0"/>
                <w:iCs w:val="0"/>
                <w:color w:val="0000FF"/>
                <w:kern w:val="0"/>
                <w:sz w:val="22"/>
                <w:szCs w:val="22"/>
                <w:u w:val="none"/>
                <w:lang w:val="en-US" w:eastAsia="zh-CN" w:bidi="ar"/>
              </w:rPr>
              <w:t>15.24</w:t>
            </w:r>
          </w:p>
        </w:tc>
        <w:tc>
          <w:tcPr>
            <w:tcW w:w="912" w:type="dxa"/>
            <w:tcBorders>
              <w:tl2br w:val="nil"/>
              <w:tr2bl w:val="nil"/>
            </w:tcBorders>
            <w:shd w:val="clear" w:color="auto" w:fill="auto"/>
            <w:noWrap/>
            <w:vAlign w:val="center"/>
          </w:tcPr>
          <w:p w14:paraId="3EDD2FE9">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sz w:val="22"/>
                <w:szCs w:val="22"/>
                <w:u w:val="none"/>
              </w:rPr>
            </w:pPr>
            <w:r>
              <w:rPr>
                <w:rFonts w:hint="default" w:ascii="Times New Roman" w:hAnsi="Times New Roman" w:eastAsia="宋体" w:cs="Times New Roman"/>
                <w:i w:val="0"/>
                <w:iCs w:val="0"/>
                <w:color w:val="0000FF"/>
                <w:kern w:val="0"/>
                <w:sz w:val="22"/>
                <w:szCs w:val="22"/>
                <w:u w:val="none"/>
                <w:lang w:val="en-US" w:eastAsia="zh-CN" w:bidi="ar"/>
              </w:rPr>
              <w:t>达标</w:t>
            </w:r>
          </w:p>
        </w:tc>
      </w:tr>
      <w:tr w14:paraId="5E8673DA">
        <w:tblPrEx>
          <w:tblBorders>
            <w:top w:val="thinThickSmallGap" w:color="auto" w:sz="12" w:space="0"/>
            <w:left w:val="none" w:color="auto" w:sz="0" w:space="0"/>
            <w:bottom w:val="thinThickSmallGap" w:color="auto" w:sz="12" w:space="0"/>
            <w:right w:val="none" w:color="auto" w:sz="0"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 w:hRule="atLeast"/>
          <w:jc w:val="center"/>
        </w:trPr>
        <w:tc>
          <w:tcPr>
            <w:tcW w:w="528" w:type="dxa"/>
            <w:vMerge w:val="restart"/>
            <w:tcBorders>
              <w:tl2br w:val="nil"/>
              <w:tr2bl w:val="nil"/>
            </w:tcBorders>
            <w:shd w:val="clear" w:color="auto" w:fill="auto"/>
            <w:noWrap/>
            <w:vAlign w:val="center"/>
          </w:tcPr>
          <w:p w14:paraId="0B688ECA">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sz w:val="22"/>
                <w:szCs w:val="22"/>
                <w:u w:val="none"/>
              </w:rPr>
            </w:pPr>
            <w:r>
              <w:rPr>
                <w:rFonts w:hint="default" w:ascii="Times New Roman" w:hAnsi="Times New Roman" w:eastAsia="宋体" w:cs="Times New Roman"/>
                <w:i w:val="0"/>
                <w:iCs w:val="0"/>
                <w:color w:val="0000FF"/>
                <w:kern w:val="0"/>
                <w:sz w:val="22"/>
                <w:szCs w:val="22"/>
                <w:u w:val="none"/>
                <w:lang w:val="en-US" w:eastAsia="zh-CN" w:bidi="ar"/>
              </w:rPr>
              <w:t>6</w:t>
            </w:r>
          </w:p>
        </w:tc>
        <w:tc>
          <w:tcPr>
            <w:tcW w:w="990" w:type="dxa"/>
            <w:vMerge w:val="restart"/>
            <w:tcBorders>
              <w:tl2br w:val="nil"/>
              <w:tr2bl w:val="nil"/>
            </w:tcBorders>
            <w:shd w:val="clear" w:color="auto" w:fill="auto"/>
            <w:noWrap/>
            <w:vAlign w:val="center"/>
          </w:tcPr>
          <w:p w14:paraId="266D3BDC">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sz w:val="22"/>
                <w:szCs w:val="22"/>
                <w:u w:val="none"/>
              </w:rPr>
            </w:pPr>
            <w:r>
              <w:rPr>
                <w:rFonts w:hint="default" w:ascii="Times New Roman" w:hAnsi="Times New Roman" w:eastAsia="宋体" w:cs="Times New Roman"/>
                <w:i w:val="0"/>
                <w:iCs w:val="0"/>
                <w:color w:val="0000FF"/>
                <w:kern w:val="0"/>
                <w:sz w:val="22"/>
                <w:szCs w:val="22"/>
                <w:u w:val="none"/>
                <w:lang w:val="en-US" w:eastAsia="zh-CN" w:bidi="ar"/>
              </w:rPr>
              <w:t>五道沟</w:t>
            </w:r>
          </w:p>
        </w:tc>
        <w:tc>
          <w:tcPr>
            <w:tcW w:w="1275" w:type="dxa"/>
            <w:vMerge w:val="restart"/>
            <w:tcBorders>
              <w:tl2br w:val="nil"/>
              <w:tr2bl w:val="nil"/>
            </w:tcBorders>
            <w:shd w:val="clear" w:color="auto" w:fill="auto"/>
            <w:noWrap/>
            <w:vAlign w:val="center"/>
          </w:tcPr>
          <w:p w14:paraId="5F52F4F2">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sz w:val="22"/>
                <w:szCs w:val="22"/>
                <w:u w:val="none"/>
              </w:rPr>
            </w:pPr>
            <w:r>
              <w:rPr>
                <w:rFonts w:hint="default" w:ascii="Times New Roman" w:hAnsi="Times New Roman" w:eastAsia="宋体" w:cs="Times New Roman"/>
                <w:i w:val="0"/>
                <w:iCs w:val="0"/>
                <w:color w:val="0000FF"/>
                <w:kern w:val="0"/>
                <w:sz w:val="22"/>
                <w:szCs w:val="22"/>
                <w:u w:val="none"/>
                <w:lang w:val="en-US" w:eastAsia="zh-CN" w:bidi="ar"/>
              </w:rPr>
              <w:t>815,1679</w:t>
            </w:r>
          </w:p>
        </w:tc>
        <w:tc>
          <w:tcPr>
            <w:tcW w:w="1875" w:type="dxa"/>
            <w:tcBorders>
              <w:tl2br w:val="nil"/>
              <w:tr2bl w:val="nil"/>
            </w:tcBorders>
            <w:shd w:val="clear" w:color="auto" w:fill="auto"/>
            <w:noWrap/>
            <w:vAlign w:val="center"/>
          </w:tcPr>
          <w:p w14:paraId="40E80E5B">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sz w:val="22"/>
                <w:szCs w:val="22"/>
                <w:u w:val="none"/>
              </w:rPr>
            </w:pPr>
            <w:r>
              <w:rPr>
                <w:rFonts w:hint="default" w:ascii="Times New Roman" w:hAnsi="Times New Roman" w:eastAsia="宋体" w:cs="Times New Roman"/>
                <w:i w:val="0"/>
                <w:iCs w:val="0"/>
                <w:color w:val="0000FF"/>
                <w:kern w:val="0"/>
                <w:sz w:val="22"/>
                <w:szCs w:val="22"/>
                <w:u w:val="none"/>
                <w:lang w:val="en-US" w:eastAsia="zh-CN" w:bidi="ar"/>
              </w:rPr>
              <w:t>1小时</w:t>
            </w:r>
          </w:p>
        </w:tc>
        <w:tc>
          <w:tcPr>
            <w:tcW w:w="1260" w:type="dxa"/>
            <w:tcBorders>
              <w:tl2br w:val="nil"/>
              <w:tr2bl w:val="nil"/>
            </w:tcBorders>
            <w:shd w:val="clear" w:color="auto" w:fill="auto"/>
            <w:noWrap/>
            <w:vAlign w:val="center"/>
          </w:tcPr>
          <w:p w14:paraId="29D1B242">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sz w:val="22"/>
                <w:szCs w:val="22"/>
                <w:u w:val="none"/>
              </w:rPr>
            </w:pPr>
            <w:r>
              <w:rPr>
                <w:rFonts w:hint="default" w:ascii="Times New Roman" w:hAnsi="Times New Roman" w:eastAsia="宋体" w:cs="Times New Roman"/>
                <w:i w:val="0"/>
                <w:iCs w:val="0"/>
                <w:color w:val="0000FF"/>
                <w:kern w:val="0"/>
                <w:sz w:val="22"/>
                <w:szCs w:val="22"/>
                <w:u w:val="none"/>
                <w:lang w:val="en-US" w:eastAsia="zh-CN" w:bidi="ar"/>
              </w:rPr>
              <w:t>1.65E-03</w:t>
            </w:r>
          </w:p>
        </w:tc>
        <w:tc>
          <w:tcPr>
            <w:tcW w:w="1770" w:type="dxa"/>
            <w:tcBorders>
              <w:tl2br w:val="nil"/>
              <w:tr2bl w:val="nil"/>
            </w:tcBorders>
            <w:shd w:val="clear" w:color="auto" w:fill="auto"/>
            <w:noWrap/>
            <w:vAlign w:val="center"/>
          </w:tcPr>
          <w:p w14:paraId="61049448">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sz w:val="22"/>
                <w:szCs w:val="22"/>
                <w:u w:val="none"/>
              </w:rPr>
            </w:pPr>
            <w:r>
              <w:rPr>
                <w:rFonts w:hint="default" w:ascii="Times New Roman" w:hAnsi="Times New Roman" w:eastAsia="宋体" w:cs="Times New Roman"/>
                <w:i w:val="0"/>
                <w:iCs w:val="0"/>
                <w:color w:val="0000FF"/>
                <w:kern w:val="0"/>
                <w:sz w:val="22"/>
                <w:szCs w:val="22"/>
                <w:u w:val="none"/>
                <w:lang w:val="en-US" w:eastAsia="zh-CN" w:bidi="ar"/>
              </w:rPr>
              <w:t>24011511</w:t>
            </w:r>
          </w:p>
        </w:tc>
        <w:tc>
          <w:tcPr>
            <w:tcW w:w="1140" w:type="dxa"/>
            <w:tcBorders>
              <w:tl2br w:val="nil"/>
              <w:tr2bl w:val="nil"/>
            </w:tcBorders>
            <w:shd w:val="clear" w:color="auto" w:fill="auto"/>
            <w:noWrap/>
            <w:vAlign w:val="center"/>
          </w:tcPr>
          <w:p w14:paraId="518460D1">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sz w:val="22"/>
                <w:szCs w:val="22"/>
                <w:u w:val="none"/>
              </w:rPr>
            </w:pPr>
            <w:r>
              <w:rPr>
                <w:rFonts w:hint="default" w:ascii="Times New Roman" w:hAnsi="Times New Roman" w:eastAsia="宋体" w:cs="Times New Roman"/>
                <w:i w:val="0"/>
                <w:iCs w:val="0"/>
                <w:color w:val="0000FF"/>
                <w:kern w:val="0"/>
                <w:sz w:val="22"/>
                <w:szCs w:val="22"/>
                <w:u w:val="none"/>
                <w:lang w:val="en-US" w:eastAsia="zh-CN" w:bidi="ar"/>
              </w:rPr>
              <w:t>0.00E+00</w:t>
            </w:r>
          </w:p>
        </w:tc>
        <w:tc>
          <w:tcPr>
            <w:tcW w:w="1605" w:type="dxa"/>
            <w:tcBorders>
              <w:tl2br w:val="nil"/>
              <w:tr2bl w:val="nil"/>
            </w:tcBorders>
            <w:shd w:val="clear" w:color="auto" w:fill="auto"/>
            <w:noWrap/>
            <w:vAlign w:val="center"/>
          </w:tcPr>
          <w:p w14:paraId="4F18B074">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sz w:val="22"/>
                <w:szCs w:val="22"/>
                <w:u w:val="none"/>
              </w:rPr>
            </w:pPr>
            <w:r>
              <w:rPr>
                <w:rFonts w:hint="default" w:ascii="Times New Roman" w:hAnsi="Times New Roman" w:eastAsia="宋体" w:cs="Times New Roman"/>
                <w:i w:val="0"/>
                <w:iCs w:val="0"/>
                <w:color w:val="0000FF"/>
                <w:kern w:val="0"/>
                <w:sz w:val="22"/>
                <w:szCs w:val="22"/>
                <w:u w:val="none"/>
                <w:lang w:val="en-US" w:eastAsia="zh-CN" w:bidi="ar"/>
              </w:rPr>
              <w:t>1.65E-03</w:t>
            </w:r>
          </w:p>
        </w:tc>
        <w:tc>
          <w:tcPr>
            <w:tcW w:w="1275" w:type="dxa"/>
            <w:tcBorders>
              <w:tl2br w:val="nil"/>
              <w:tr2bl w:val="nil"/>
            </w:tcBorders>
            <w:shd w:val="clear" w:color="auto" w:fill="auto"/>
            <w:noWrap/>
            <w:vAlign w:val="center"/>
          </w:tcPr>
          <w:p w14:paraId="2140AC8F">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sz w:val="22"/>
                <w:szCs w:val="22"/>
                <w:u w:val="none"/>
              </w:rPr>
            </w:pPr>
            <w:r>
              <w:rPr>
                <w:rFonts w:hint="default" w:ascii="Times New Roman" w:hAnsi="Times New Roman" w:eastAsia="宋体" w:cs="Times New Roman"/>
                <w:i w:val="0"/>
                <w:iCs w:val="0"/>
                <w:color w:val="0000FF"/>
                <w:kern w:val="0"/>
                <w:sz w:val="22"/>
                <w:szCs w:val="22"/>
                <w:u w:val="none"/>
                <w:lang w:val="en-US" w:eastAsia="zh-CN" w:bidi="ar"/>
              </w:rPr>
              <w:t>5.00E-01</w:t>
            </w:r>
          </w:p>
        </w:tc>
        <w:tc>
          <w:tcPr>
            <w:tcW w:w="1485" w:type="dxa"/>
            <w:tcBorders>
              <w:tl2br w:val="nil"/>
              <w:tr2bl w:val="nil"/>
            </w:tcBorders>
            <w:shd w:val="clear" w:color="auto" w:fill="auto"/>
            <w:noWrap/>
            <w:vAlign w:val="center"/>
          </w:tcPr>
          <w:p w14:paraId="17E72AF4">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sz w:val="22"/>
                <w:szCs w:val="22"/>
                <w:u w:val="none"/>
              </w:rPr>
            </w:pPr>
            <w:r>
              <w:rPr>
                <w:rFonts w:hint="default" w:ascii="Times New Roman" w:hAnsi="Times New Roman" w:eastAsia="宋体" w:cs="Times New Roman"/>
                <w:i w:val="0"/>
                <w:iCs w:val="0"/>
                <w:color w:val="0000FF"/>
                <w:kern w:val="0"/>
                <w:sz w:val="22"/>
                <w:szCs w:val="22"/>
                <w:u w:val="none"/>
                <w:lang w:val="en-US" w:eastAsia="zh-CN" w:bidi="ar"/>
              </w:rPr>
              <w:t>0.33</w:t>
            </w:r>
          </w:p>
        </w:tc>
        <w:tc>
          <w:tcPr>
            <w:tcW w:w="912" w:type="dxa"/>
            <w:tcBorders>
              <w:tl2br w:val="nil"/>
              <w:tr2bl w:val="nil"/>
            </w:tcBorders>
            <w:shd w:val="clear" w:color="auto" w:fill="auto"/>
            <w:noWrap/>
            <w:vAlign w:val="center"/>
          </w:tcPr>
          <w:p w14:paraId="68DA29BC">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sz w:val="22"/>
                <w:szCs w:val="22"/>
                <w:u w:val="none"/>
              </w:rPr>
            </w:pPr>
            <w:r>
              <w:rPr>
                <w:rFonts w:hint="default" w:ascii="Times New Roman" w:hAnsi="Times New Roman" w:eastAsia="宋体" w:cs="Times New Roman"/>
                <w:i w:val="0"/>
                <w:iCs w:val="0"/>
                <w:color w:val="0000FF"/>
                <w:kern w:val="0"/>
                <w:sz w:val="22"/>
                <w:szCs w:val="22"/>
                <w:u w:val="none"/>
                <w:lang w:val="en-US" w:eastAsia="zh-CN" w:bidi="ar"/>
              </w:rPr>
              <w:t>达标</w:t>
            </w:r>
          </w:p>
        </w:tc>
      </w:tr>
      <w:tr w14:paraId="34301AA2">
        <w:tblPrEx>
          <w:tblBorders>
            <w:top w:val="thinThickSmallGap" w:color="auto" w:sz="12" w:space="0"/>
            <w:left w:val="none" w:color="auto" w:sz="0" w:space="0"/>
            <w:bottom w:val="thinThick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528" w:type="dxa"/>
            <w:vMerge w:val="continue"/>
            <w:tcBorders>
              <w:tl2br w:val="nil"/>
              <w:tr2bl w:val="nil"/>
            </w:tcBorders>
            <w:shd w:val="clear" w:color="auto" w:fill="auto"/>
            <w:noWrap/>
            <w:vAlign w:val="center"/>
          </w:tcPr>
          <w:p w14:paraId="39235E09">
            <w:pPr>
              <w:keepNext w:val="0"/>
              <w:keepLines w:val="0"/>
              <w:pageBreakBefore w:val="0"/>
              <w:widowControl/>
              <w:kinsoku/>
              <w:wordWrap/>
              <w:overflowPunct/>
              <w:topLinePunct w:val="0"/>
              <w:autoSpaceDE/>
              <w:autoSpaceDN/>
              <w:bidi w:val="0"/>
              <w:adjustRightInd w:val="0"/>
              <w:snapToGrid w:val="0"/>
              <w:spacing w:line="240" w:lineRule="auto"/>
              <w:ind w:firstLineChars="0"/>
              <w:jc w:val="center"/>
              <w:rPr>
                <w:rFonts w:hint="default" w:ascii="Times New Roman" w:hAnsi="Times New Roman" w:eastAsia="宋体" w:cs="Times New Roman"/>
                <w:i w:val="0"/>
                <w:iCs w:val="0"/>
                <w:color w:val="0000FF"/>
                <w:sz w:val="22"/>
                <w:szCs w:val="22"/>
                <w:u w:val="none"/>
              </w:rPr>
            </w:pPr>
          </w:p>
        </w:tc>
        <w:tc>
          <w:tcPr>
            <w:tcW w:w="990" w:type="dxa"/>
            <w:vMerge w:val="continue"/>
            <w:tcBorders>
              <w:tl2br w:val="nil"/>
              <w:tr2bl w:val="nil"/>
            </w:tcBorders>
            <w:shd w:val="clear" w:color="auto" w:fill="auto"/>
            <w:noWrap/>
            <w:vAlign w:val="center"/>
          </w:tcPr>
          <w:p w14:paraId="612A086E">
            <w:pPr>
              <w:keepNext w:val="0"/>
              <w:keepLines w:val="0"/>
              <w:pageBreakBefore w:val="0"/>
              <w:widowControl/>
              <w:kinsoku/>
              <w:wordWrap/>
              <w:overflowPunct/>
              <w:topLinePunct w:val="0"/>
              <w:autoSpaceDE/>
              <w:autoSpaceDN/>
              <w:bidi w:val="0"/>
              <w:adjustRightInd w:val="0"/>
              <w:snapToGrid w:val="0"/>
              <w:spacing w:line="240" w:lineRule="auto"/>
              <w:ind w:firstLineChars="0"/>
              <w:jc w:val="center"/>
              <w:rPr>
                <w:rFonts w:hint="default" w:ascii="Times New Roman" w:hAnsi="Times New Roman" w:eastAsia="宋体" w:cs="Times New Roman"/>
                <w:i w:val="0"/>
                <w:iCs w:val="0"/>
                <w:color w:val="0000FF"/>
                <w:sz w:val="22"/>
                <w:szCs w:val="22"/>
                <w:u w:val="none"/>
              </w:rPr>
            </w:pPr>
          </w:p>
        </w:tc>
        <w:tc>
          <w:tcPr>
            <w:tcW w:w="1275" w:type="dxa"/>
            <w:vMerge w:val="continue"/>
            <w:tcBorders>
              <w:tl2br w:val="nil"/>
              <w:tr2bl w:val="nil"/>
            </w:tcBorders>
            <w:shd w:val="clear" w:color="auto" w:fill="auto"/>
            <w:noWrap/>
            <w:vAlign w:val="center"/>
          </w:tcPr>
          <w:p w14:paraId="1C989527">
            <w:pPr>
              <w:keepNext w:val="0"/>
              <w:keepLines w:val="0"/>
              <w:pageBreakBefore w:val="0"/>
              <w:widowControl/>
              <w:kinsoku/>
              <w:wordWrap/>
              <w:overflowPunct/>
              <w:topLinePunct w:val="0"/>
              <w:autoSpaceDE/>
              <w:autoSpaceDN/>
              <w:bidi w:val="0"/>
              <w:adjustRightInd w:val="0"/>
              <w:snapToGrid w:val="0"/>
              <w:spacing w:line="240" w:lineRule="auto"/>
              <w:ind w:firstLineChars="0"/>
              <w:jc w:val="center"/>
              <w:rPr>
                <w:rFonts w:hint="default" w:ascii="Times New Roman" w:hAnsi="Times New Roman" w:eastAsia="宋体" w:cs="Times New Roman"/>
                <w:i w:val="0"/>
                <w:iCs w:val="0"/>
                <w:color w:val="0000FF"/>
                <w:sz w:val="22"/>
                <w:szCs w:val="22"/>
                <w:u w:val="none"/>
              </w:rPr>
            </w:pPr>
          </w:p>
        </w:tc>
        <w:tc>
          <w:tcPr>
            <w:tcW w:w="1875" w:type="dxa"/>
            <w:tcBorders>
              <w:tl2br w:val="nil"/>
              <w:tr2bl w:val="nil"/>
            </w:tcBorders>
            <w:shd w:val="clear" w:color="auto" w:fill="auto"/>
            <w:noWrap/>
            <w:vAlign w:val="center"/>
          </w:tcPr>
          <w:p w14:paraId="340573A6">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1"/>
                <w:szCs w:val="21"/>
                <w:u w:val="none"/>
                <w:lang w:val="en-US" w:eastAsia="zh-CN" w:bidi="ar"/>
              </w:rPr>
              <w:t>98%保证率日平均</w:t>
            </w:r>
          </w:p>
        </w:tc>
        <w:tc>
          <w:tcPr>
            <w:tcW w:w="1260" w:type="dxa"/>
            <w:tcBorders>
              <w:tl2br w:val="nil"/>
              <w:tr2bl w:val="nil"/>
            </w:tcBorders>
            <w:shd w:val="clear" w:color="auto" w:fill="auto"/>
            <w:noWrap/>
            <w:vAlign w:val="center"/>
          </w:tcPr>
          <w:p w14:paraId="205BA3A0">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sz w:val="22"/>
                <w:szCs w:val="22"/>
                <w:u w:val="none"/>
              </w:rPr>
            </w:pPr>
            <w:r>
              <w:rPr>
                <w:rFonts w:hint="default" w:ascii="Times New Roman" w:hAnsi="Times New Roman" w:eastAsia="宋体" w:cs="Times New Roman"/>
                <w:i w:val="0"/>
                <w:iCs w:val="0"/>
                <w:color w:val="0000FF"/>
                <w:kern w:val="0"/>
                <w:sz w:val="22"/>
                <w:szCs w:val="22"/>
                <w:u w:val="none"/>
                <w:lang w:val="en-US" w:eastAsia="zh-CN" w:bidi="ar"/>
              </w:rPr>
              <w:t>4.86E-05</w:t>
            </w:r>
          </w:p>
        </w:tc>
        <w:tc>
          <w:tcPr>
            <w:tcW w:w="1770" w:type="dxa"/>
            <w:tcBorders>
              <w:tl2br w:val="nil"/>
              <w:tr2bl w:val="nil"/>
            </w:tcBorders>
            <w:shd w:val="clear" w:color="auto" w:fill="auto"/>
            <w:noWrap/>
            <w:vAlign w:val="center"/>
          </w:tcPr>
          <w:p w14:paraId="7FEDF9C7">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sz w:val="22"/>
                <w:szCs w:val="22"/>
                <w:u w:val="none"/>
              </w:rPr>
            </w:pPr>
            <w:r>
              <w:rPr>
                <w:rFonts w:hint="default" w:ascii="Times New Roman" w:hAnsi="Times New Roman" w:eastAsia="宋体" w:cs="Times New Roman"/>
                <w:i w:val="0"/>
                <w:iCs w:val="0"/>
                <w:color w:val="0000FF"/>
                <w:kern w:val="0"/>
                <w:sz w:val="22"/>
                <w:szCs w:val="22"/>
                <w:u w:val="none"/>
                <w:lang w:val="en-US" w:eastAsia="zh-CN" w:bidi="ar"/>
              </w:rPr>
              <w:t>240125</w:t>
            </w:r>
          </w:p>
        </w:tc>
        <w:tc>
          <w:tcPr>
            <w:tcW w:w="1140" w:type="dxa"/>
            <w:tcBorders>
              <w:tl2br w:val="nil"/>
              <w:tr2bl w:val="nil"/>
            </w:tcBorders>
            <w:shd w:val="clear" w:color="auto" w:fill="auto"/>
            <w:noWrap/>
            <w:vAlign w:val="center"/>
          </w:tcPr>
          <w:p w14:paraId="2129A282">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sz w:val="22"/>
                <w:szCs w:val="22"/>
                <w:u w:val="none"/>
              </w:rPr>
            </w:pPr>
            <w:r>
              <w:rPr>
                <w:rFonts w:hint="default" w:ascii="Times New Roman" w:hAnsi="Times New Roman" w:eastAsia="宋体" w:cs="Times New Roman"/>
                <w:i w:val="0"/>
                <w:iCs w:val="0"/>
                <w:color w:val="0000FF"/>
                <w:kern w:val="0"/>
                <w:sz w:val="22"/>
                <w:szCs w:val="22"/>
                <w:u w:val="none"/>
                <w:lang w:val="en-US" w:eastAsia="zh-CN" w:bidi="ar"/>
              </w:rPr>
              <w:t>1.80E-02</w:t>
            </w:r>
          </w:p>
        </w:tc>
        <w:tc>
          <w:tcPr>
            <w:tcW w:w="1605" w:type="dxa"/>
            <w:tcBorders>
              <w:tl2br w:val="nil"/>
              <w:tr2bl w:val="nil"/>
            </w:tcBorders>
            <w:shd w:val="clear" w:color="auto" w:fill="auto"/>
            <w:noWrap/>
            <w:vAlign w:val="center"/>
          </w:tcPr>
          <w:p w14:paraId="061D8A95">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sz w:val="22"/>
                <w:szCs w:val="22"/>
                <w:u w:val="none"/>
              </w:rPr>
            </w:pPr>
            <w:r>
              <w:rPr>
                <w:rFonts w:hint="default" w:ascii="Times New Roman" w:hAnsi="Times New Roman" w:eastAsia="宋体" w:cs="Times New Roman"/>
                <w:i w:val="0"/>
                <w:iCs w:val="0"/>
                <w:color w:val="0000FF"/>
                <w:kern w:val="0"/>
                <w:sz w:val="22"/>
                <w:szCs w:val="22"/>
                <w:u w:val="none"/>
                <w:lang w:val="en-US" w:eastAsia="zh-CN" w:bidi="ar"/>
              </w:rPr>
              <w:t>1.80E-02</w:t>
            </w:r>
          </w:p>
        </w:tc>
        <w:tc>
          <w:tcPr>
            <w:tcW w:w="1275" w:type="dxa"/>
            <w:tcBorders>
              <w:tl2br w:val="nil"/>
              <w:tr2bl w:val="nil"/>
            </w:tcBorders>
            <w:shd w:val="clear" w:color="auto" w:fill="auto"/>
            <w:noWrap/>
            <w:vAlign w:val="center"/>
          </w:tcPr>
          <w:p w14:paraId="04003EF8">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sz w:val="22"/>
                <w:szCs w:val="22"/>
                <w:u w:val="none"/>
              </w:rPr>
            </w:pPr>
            <w:r>
              <w:rPr>
                <w:rFonts w:hint="default" w:ascii="Times New Roman" w:hAnsi="Times New Roman" w:eastAsia="宋体" w:cs="Times New Roman"/>
                <w:i w:val="0"/>
                <w:iCs w:val="0"/>
                <w:color w:val="0000FF"/>
                <w:kern w:val="0"/>
                <w:sz w:val="22"/>
                <w:szCs w:val="22"/>
                <w:u w:val="none"/>
                <w:lang w:val="en-US" w:eastAsia="zh-CN" w:bidi="ar"/>
              </w:rPr>
              <w:t>1.50E-01</w:t>
            </w:r>
          </w:p>
        </w:tc>
        <w:tc>
          <w:tcPr>
            <w:tcW w:w="1485" w:type="dxa"/>
            <w:tcBorders>
              <w:tl2br w:val="nil"/>
              <w:tr2bl w:val="nil"/>
            </w:tcBorders>
            <w:shd w:val="clear" w:color="auto" w:fill="auto"/>
            <w:noWrap/>
            <w:vAlign w:val="center"/>
          </w:tcPr>
          <w:p w14:paraId="74D3772E">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sz w:val="22"/>
                <w:szCs w:val="22"/>
                <w:u w:val="none"/>
              </w:rPr>
            </w:pPr>
            <w:r>
              <w:rPr>
                <w:rFonts w:hint="default" w:ascii="Times New Roman" w:hAnsi="Times New Roman" w:eastAsia="宋体" w:cs="Times New Roman"/>
                <w:i w:val="0"/>
                <w:iCs w:val="0"/>
                <w:color w:val="0000FF"/>
                <w:kern w:val="0"/>
                <w:sz w:val="22"/>
                <w:szCs w:val="22"/>
                <w:u w:val="none"/>
                <w:lang w:val="en-US" w:eastAsia="zh-CN" w:bidi="ar"/>
              </w:rPr>
              <w:t>12.03</w:t>
            </w:r>
          </w:p>
        </w:tc>
        <w:tc>
          <w:tcPr>
            <w:tcW w:w="912" w:type="dxa"/>
            <w:tcBorders>
              <w:tl2br w:val="nil"/>
              <w:tr2bl w:val="nil"/>
            </w:tcBorders>
            <w:shd w:val="clear" w:color="auto" w:fill="auto"/>
            <w:noWrap/>
            <w:vAlign w:val="center"/>
          </w:tcPr>
          <w:p w14:paraId="23169EC5">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sz w:val="22"/>
                <w:szCs w:val="22"/>
                <w:u w:val="none"/>
              </w:rPr>
            </w:pPr>
            <w:r>
              <w:rPr>
                <w:rFonts w:hint="default" w:ascii="Times New Roman" w:hAnsi="Times New Roman" w:eastAsia="宋体" w:cs="Times New Roman"/>
                <w:i w:val="0"/>
                <w:iCs w:val="0"/>
                <w:color w:val="0000FF"/>
                <w:kern w:val="0"/>
                <w:sz w:val="22"/>
                <w:szCs w:val="22"/>
                <w:u w:val="none"/>
                <w:lang w:val="en-US" w:eastAsia="zh-CN" w:bidi="ar"/>
              </w:rPr>
              <w:t>达标</w:t>
            </w:r>
          </w:p>
        </w:tc>
      </w:tr>
      <w:tr w14:paraId="37D36F36">
        <w:tblPrEx>
          <w:tblBorders>
            <w:top w:val="thinThickSmallGap" w:color="auto" w:sz="12" w:space="0"/>
            <w:left w:val="none" w:color="auto" w:sz="0" w:space="0"/>
            <w:bottom w:val="thinThickSmallGap" w:color="auto" w:sz="12" w:space="0"/>
            <w:right w:val="none" w:color="auto" w:sz="0"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 w:hRule="atLeast"/>
          <w:jc w:val="center"/>
        </w:trPr>
        <w:tc>
          <w:tcPr>
            <w:tcW w:w="528" w:type="dxa"/>
            <w:vMerge w:val="continue"/>
            <w:tcBorders>
              <w:tl2br w:val="nil"/>
              <w:tr2bl w:val="nil"/>
            </w:tcBorders>
            <w:shd w:val="clear" w:color="auto" w:fill="auto"/>
            <w:noWrap/>
            <w:vAlign w:val="center"/>
          </w:tcPr>
          <w:p w14:paraId="4B8642B0">
            <w:pPr>
              <w:keepNext w:val="0"/>
              <w:keepLines w:val="0"/>
              <w:pageBreakBefore w:val="0"/>
              <w:widowControl/>
              <w:kinsoku/>
              <w:wordWrap/>
              <w:overflowPunct/>
              <w:topLinePunct w:val="0"/>
              <w:autoSpaceDE/>
              <w:autoSpaceDN/>
              <w:bidi w:val="0"/>
              <w:adjustRightInd w:val="0"/>
              <w:snapToGrid w:val="0"/>
              <w:spacing w:line="240" w:lineRule="auto"/>
              <w:ind w:firstLineChars="0"/>
              <w:jc w:val="center"/>
              <w:rPr>
                <w:rFonts w:hint="default" w:ascii="Times New Roman" w:hAnsi="Times New Roman" w:eastAsia="宋体" w:cs="Times New Roman"/>
                <w:i w:val="0"/>
                <w:iCs w:val="0"/>
                <w:color w:val="0000FF"/>
                <w:sz w:val="22"/>
                <w:szCs w:val="22"/>
                <w:u w:val="none"/>
              </w:rPr>
            </w:pPr>
          </w:p>
        </w:tc>
        <w:tc>
          <w:tcPr>
            <w:tcW w:w="990" w:type="dxa"/>
            <w:vMerge w:val="continue"/>
            <w:tcBorders>
              <w:tl2br w:val="nil"/>
              <w:tr2bl w:val="nil"/>
            </w:tcBorders>
            <w:shd w:val="clear" w:color="auto" w:fill="auto"/>
            <w:noWrap/>
            <w:vAlign w:val="center"/>
          </w:tcPr>
          <w:p w14:paraId="2C970063">
            <w:pPr>
              <w:keepNext w:val="0"/>
              <w:keepLines w:val="0"/>
              <w:pageBreakBefore w:val="0"/>
              <w:widowControl/>
              <w:kinsoku/>
              <w:wordWrap/>
              <w:overflowPunct/>
              <w:topLinePunct w:val="0"/>
              <w:autoSpaceDE/>
              <w:autoSpaceDN/>
              <w:bidi w:val="0"/>
              <w:adjustRightInd w:val="0"/>
              <w:snapToGrid w:val="0"/>
              <w:spacing w:line="240" w:lineRule="auto"/>
              <w:ind w:firstLineChars="0"/>
              <w:jc w:val="center"/>
              <w:rPr>
                <w:rFonts w:hint="default" w:ascii="Times New Roman" w:hAnsi="Times New Roman" w:eastAsia="宋体" w:cs="Times New Roman"/>
                <w:i w:val="0"/>
                <w:iCs w:val="0"/>
                <w:color w:val="0000FF"/>
                <w:sz w:val="22"/>
                <w:szCs w:val="22"/>
                <w:u w:val="none"/>
              </w:rPr>
            </w:pPr>
          </w:p>
        </w:tc>
        <w:tc>
          <w:tcPr>
            <w:tcW w:w="1275" w:type="dxa"/>
            <w:vMerge w:val="continue"/>
            <w:tcBorders>
              <w:tl2br w:val="nil"/>
              <w:tr2bl w:val="nil"/>
            </w:tcBorders>
            <w:shd w:val="clear" w:color="auto" w:fill="auto"/>
            <w:noWrap/>
            <w:vAlign w:val="center"/>
          </w:tcPr>
          <w:p w14:paraId="3CA32DA9">
            <w:pPr>
              <w:keepNext w:val="0"/>
              <w:keepLines w:val="0"/>
              <w:pageBreakBefore w:val="0"/>
              <w:widowControl/>
              <w:kinsoku/>
              <w:wordWrap/>
              <w:overflowPunct/>
              <w:topLinePunct w:val="0"/>
              <w:autoSpaceDE/>
              <w:autoSpaceDN/>
              <w:bidi w:val="0"/>
              <w:adjustRightInd w:val="0"/>
              <w:snapToGrid w:val="0"/>
              <w:spacing w:line="240" w:lineRule="auto"/>
              <w:ind w:firstLineChars="0"/>
              <w:jc w:val="center"/>
              <w:rPr>
                <w:rFonts w:hint="default" w:ascii="Times New Roman" w:hAnsi="Times New Roman" w:eastAsia="宋体" w:cs="Times New Roman"/>
                <w:i w:val="0"/>
                <w:iCs w:val="0"/>
                <w:color w:val="0000FF"/>
                <w:sz w:val="22"/>
                <w:szCs w:val="22"/>
                <w:u w:val="none"/>
              </w:rPr>
            </w:pPr>
          </w:p>
        </w:tc>
        <w:tc>
          <w:tcPr>
            <w:tcW w:w="1875" w:type="dxa"/>
            <w:tcBorders>
              <w:tl2br w:val="nil"/>
              <w:tr2bl w:val="nil"/>
            </w:tcBorders>
            <w:shd w:val="clear" w:color="auto" w:fill="auto"/>
            <w:noWrap/>
            <w:vAlign w:val="center"/>
          </w:tcPr>
          <w:p w14:paraId="65C4AAB0">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sz w:val="22"/>
                <w:szCs w:val="22"/>
                <w:u w:val="none"/>
              </w:rPr>
            </w:pPr>
            <w:r>
              <w:rPr>
                <w:rFonts w:hint="default" w:ascii="Times New Roman" w:hAnsi="Times New Roman" w:eastAsia="宋体" w:cs="Times New Roman"/>
                <w:i w:val="0"/>
                <w:iCs w:val="0"/>
                <w:color w:val="0000FF"/>
                <w:kern w:val="0"/>
                <w:sz w:val="22"/>
                <w:szCs w:val="22"/>
                <w:u w:val="none"/>
                <w:lang w:val="en-US" w:eastAsia="zh-CN" w:bidi="ar"/>
              </w:rPr>
              <w:t>全时段</w:t>
            </w:r>
          </w:p>
        </w:tc>
        <w:tc>
          <w:tcPr>
            <w:tcW w:w="1260" w:type="dxa"/>
            <w:tcBorders>
              <w:tl2br w:val="nil"/>
              <w:tr2bl w:val="nil"/>
            </w:tcBorders>
            <w:shd w:val="clear" w:color="auto" w:fill="auto"/>
            <w:noWrap/>
            <w:vAlign w:val="center"/>
          </w:tcPr>
          <w:p w14:paraId="509567AE">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sz w:val="22"/>
                <w:szCs w:val="22"/>
                <w:u w:val="none"/>
              </w:rPr>
            </w:pPr>
            <w:r>
              <w:rPr>
                <w:rFonts w:hint="default" w:ascii="Times New Roman" w:hAnsi="Times New Roman" w:eastAsia="宋体" w:cs="Times New Roman"/>
                <w:i w:val="0"/>
                <w:iCs w:val="0"/>
                <w:color w:val="0000FF"/>
                <w:kern w:val="0"/>
                <w:sz w:val="22"/>
                <w:szCs w:val="22"/>
                <w:u w:val="none"/>
                <w:lang w:val="en-US" w:eastAsia="zh-CN" w:bidi="ar"/>
              </w:rPr>
              <w:t>2.60E-05</w:t>
            </w:r>
          </w:p>
        </w:tc>
        <w:tc>
          <w:tcPr>
            <w:tcW w:w="1770" w:type="dxa"/>
            <w:tcBorders>
              <w:tl2br w:val="nil"/>
              <w:tr2bl w:val="nil"/>
            </w:tcBorders>
            <w:shd w:val="clear" w:color="auto" w:fill="auto"/>
            <w:noWrap/>
            <w:vAlign w:val="center"/>
          </w:tcPr>
          <w:p w14:paraId="134CE56C">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sz w:val="22"/>
                <w:szCs w:val="22"/>
                <w:u w:val="none"/>
              </w:rPr>
            </w:pPr>
            <w:r>
              <w:rPr>
                <w:rFonts w:hint="default" w:ascii="Times New Roman" w:hAnsi="Times New Roman" w:eastAsia="宋体" w:cs="Times New Roman"/>
                <w:i w:val="0"/>
                <w:iCs w:val="0"/>
                <w:color w:val="0000FF"/>
                <w:kern w:val="0"/>
                <w:sz w:val="22"/>
                <w:szCs w:val="22"/>
                <w:u w:val="none"/>
                <w:lang w:val="en-US" w:eastAsia="zh-CN" w:bidi="ar"/>
              </w:rPr>
              <w:t>平均值</w:t>
            </w:r>
          </w:p>
        </w:tc>
        <w:tc>
          <w:tcPr>
            <w:tcW w:w="1140" w:type="dxa"/>
            <w:tcBorders>
              <w:tl2br w:val="nil"/>
              <w:tr2bl w:val="nil"/>
            </w:tcBorders>
            <w:shd w:val="clear" w:color="auto" w:fill="auto"/>
            <w:noWrap/>
            <w:vAlign w:val="center"/>
          </w:tcPr>
          <w:p w14:paraId="55A226BF">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sz w:val="22"/>
                <w:szCs w:val="22"/>
                <w:u w:val="none"/>
              </w:rPr>
            </w:pPr>
            <w:r>
              <w:rPr>
                <w:rFonts w:hint="default" w:ascii="Times New Roman" w:hAnsi="Times New Roman" w:eastAsia="宋体" w:cs="Times New Roman"/>
                <w:i w:val="0"/>
                <w:iCs w:val="0"/>
                <w:color w:val="0000FF"/>
                <w:kern w:val="0"/>
                <w:sz w:val="22"/>
                <w:szCs w:val="22"/>
                <w:u w:val="none"/>
                <w:lang w:val="en-US" w:eastAsia="zh-CN" w:bidi="ar"/>
              </w:rPr>
              <w:t>9.10E-03</w:t>
            </w:r>
          </w:p>
        </w:tc>
        <w:tc>
          <w:tcPr>
            <w:tcW w:w="1605" w:type="dxa"/>
            <w:tcBorders>
              <w:tl2br w:val="nil"/>
              <w:tr2bl w:val="nil"/>
            </w:tcBorders>
            <w:shd w:val="clear" w:color="auto" w:fill="auto"/>
            <w:noWrap/>
            <w:vAlign w:val="center"/>
          </w:tcPr>
          <w:p w14:paraId="5083B659">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sz w:val="22"/>
                <w:szCs w:val="22"/>
                <w:u w:val="none"/>
              </w:rPr>
            </w:pPr>
            <w:r>
              <w:rPr>
                <w:rFonts w:hint="default" w:ascii="Times New Roman" w:hAnsi="Times New Roman" w:eastAsia="宋体" w:cs="Times New Roman"/>
                <w:i w:val="0"/>
                <w:iCs w:val="0"/>
                <w:color w:val="0000FF"/>
                <w:kern w:val="0"/>
                <w:sz w:val="22"/>
                <w:szCs w:val="22"/>
                <w:u w:val="none"/>
                <w:lang w:val="en-US" w:eastAsia="zh-CN" w:bidi="ar"/>
              </w:rPr>
              <w:t>9.12E-03</w:t>
            </w:r>
          </w:p>
        </w:tc>
        <w:tc>
          <w:tcPr>
            <w:tcW w:w="1275" w:type="dxa"/>
            <w:tcBorders>
              <w:tl2br w:val="nil"/>
              <w:tr2bl w:val="nil"/>
            </w:tcBorders>
            <w:shd w:val="clear" w:color="auto" w:fill="auto"/>
            <w:noWrap/>
            <w:vAlign w:val="center"/>
          </w:tcPr>
          <w:p w14:paraId="0FE740FB">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sz w:val="22"/>
                <w:szCs w:val="22"/>
                <w:u w:val="none"/>
              </w:rPr>
            </w:pPr>
            <w:r>
              <w:rPr>
                <w:rFonts w:hint="default" w:ascii="Times New Roman" w:hAnsi="Times New Roman" w:eastAsia="宋体" w:cs="Times New Roman"/>
                <w:i w:val="0"/>
                <w:iCs w:val="0"/>
                <w:color w:val="0000FF"/>
                <w:kern w:val="0"/>
                <w:sz w:val="22"/>
                <w:szCs w:val="22"/>
                <w:u w:val="none"/>
                <w:lang w:val="en-US" w:eastAsia="zh-CN" w:bidi="ar"/>
              </w:rPr>
              <w:t>6.00E-02</w:t>
            </w:r>
          </w:p>
        </w:tc>
        <w:tc>
          <w:tcPr>
            <w:tcW w:w="1485" w:type="dxa"/>
            <w:tcBorders>
              <w:tl2br w:val="nil"/>
              <w:tr2bl w:val="nil"/>
            </w:tcBorders>
            <w:shd w:val="clear" w:color="auto" w:fill="auto"/>
            <w:noWrap/>
            <w:vAlign w:val="center"/>
          </w:tcPr>
          <w:p w14:paraId="06D038BD">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sz w:val="22"/>
                <w:szCs w:val="22"/>
                <w:u w:val="none"/>
              </w:rPr>
            </w:pPr>
            <w:r>
              <w:rPr>
                <w:rFonts w:hint="default" w:ascii="Times New Roman" w:hAnsi="Times New Roman" w:eastAsia="宋体" w:cs="Times New Roman"/>
                <w:i w:val="0"/>
                <w:iCs w:val="0"/>
                <w:color w:val="0000FF"/>
                <w:kern w:val="0"/>
                <w:sz w:val="22"/>
                <w:szCs w:val="22"/>
                <w:u w:val="none"/>
                <w:lang w:val="en-US" w:eastAsia="zh-CN" w:bidi="ar"/>
              </w:rPr>
              <w:t>15.21</w:t>
            </w:r>
          </w:p>
        </w:tc>
        <w:tc>
          <w:tcPr>
            <w:tcW w:w="912" w:type="dxa"/>
            <w:tcBorders>
              <w:tl2br w:val="nil"/>
              <w:tr2bl w:val="nil"/>
            </w:tcBorders>
            <w:shd w:val="clear" w:color="auto" w:fill="auto"/>
            <w:noWrap/>
            <w:vAlign w:val="center"/>
          </w:tcPr>
          <w:p w14:paraId="4B325AB9">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sz w:val="22"/>
                <w:szCs w:val="22"/>
                <w:u w:val="none"/>
              </w:rPr>
            </w:pPr>
            <w:r>
              <w:rPr>
                <w:rFonts w:hint="default" w:ascii="Times New Roman" w:hAnsi="Times New Roman" w:eastAsia="宋体" w:cs="Times New Roman"/>
                <w:i w:val="0"/>
                <w:iCs w:val="0"/>
                <w:color w:val="0000FF"/>
                <w:kern w:val="0"/>
                <w:sz w:val="22"/>
                <w:szCs w:val="22"/>
                <w:u w:val="none"/>
                <w:lang w:val="en-US" w:eastAsia="zh-CN" w:bidi="ar"/>
              </w:rPr>
              <w:t>达标</w:t>
            </w:r>
          </w:p>
        </w:tc>
      </w:tr>
      <w:tr w14:paraId="20A6B943">
        <w:tblPrEx>
          <w:tblBorders>
            <w:top w:val="thinThickSmallGap" w:color="auto" w:sz="12" w:space="0"/>
            <w:left w:val="none" w:color="auto" w:sz="0" w:space="0"/>
            <w:bottom w:val="thinThickSmallGap" w:color="auto" w:sz="12" w:space="0"/>
            <w:right w:val="none" w:color="auto" w:sz="0"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 w:hRule="atLeast"/>
          <w:jc w:val="center"/>
        </w:trPr>
        <w:tc>
          <w:tcPr>
            <w:tcW w:w="528" w:type="dxa"/>
            <w:vMerge w:val="restart"/>
            <w:tcBorders>
              <w:tl2br w:val="nil"/>
              <w:tr2bl w:val="nil"/>
            </w:tcBorders>
            <w:shd w:val="clear" w:color="auto" w:fill="auto"/>
            <w:noWrap/>
            <w:vAlign w:val="center"/>
          </w:tcPr>
          <w:p w14:paraId="339A559D">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sz w:val="22"/>
                <w:szCs w:val="22"/>
                <w:u w:val="none"/>
              </w:rPr>
            </w:pPr>
            <w:r>
              <w:rPr>
                <w:rFonts w:hint="default" w:ascii="Times New Roman" w:hAnsi="Times New Roman" w:eastAsia="宋体" w:cs="Times New Roman"/>
                <w:i w:val="0"/>
                <w:iCs w:val="0"/>
                <w:color w:val="0000FF"/>
                <w:kern w:val="0"/>
                <w:sz w:val="22"/>
                <w:szCs w:val="22"/>
                <w:u w:val="none"/>
                <w:lang w:val="en-US" w:eastAsia="zh-CN" w:bidi="ar"/>
              </w:rPr>
              <w:t>7</w:t>
            </w:r>
          </w:p>
        </w:tc>
        <w:tc>
          <w:tcPr>
            <w:tcW w:w="990" w:type="dxa"/>
            <w:vMerge w:val="restart"/>
            <w:tcBorders>
              <w:tl2br w:val="nil"/>
              <w:tr2bl w:val="nil"/>
            </w:tcBorders>
            <w:shd w:val="clear" w:color="auto" w:fill="auto"/>
            <w:noWrap/>
            <w:vAlign w:val="center"/>
          </w:tcPr>
          <w:p w14:paraId="28609510">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sz w:val="22"/>
                <w:szCs w:val="22"/>
                <w:u w:val="none"/>
              </w:rPr>
            </w:pPr>
            <w:r>
              <w:rPr>
                <w:rFonts w:hint="default" w:ascii="Times New Roman" w:hAnsi="Times New Roman" w:eastAsia="宋体" w:cs="Times New Roman"/>
                <w:i w:val="0"/>
                <w:iCs w:val="0"/>
                <w:color w:val="0000FF"/>
                <w:kern w:val="0"/>
                <w:sz w:val="22"/>
                <w:szCs w:val="22"/>
                <w:u w:val="none"/>
                <w:lang w:val="en-US" w:eastAsia="zh-CN" w:bidi="ar"/>
              </w:rPr>
              <w:t>杨家堡子</w:t>
            </w:r>
          </w:p>
        </w:tc>
        <w:tc>
          <w:tcPr>
            <w:tcW w:w="1275" w:type="dxa"/>
            <w:vMerge w:val="restart"/>
            <w:tcBorders>
              <w:tl2br w:val="nil"/>
              <w:tr2bl w:val="nil"/>
            </w:tcBorders>
            <w:shd w:val="clear" w:color="auto" w:fill="auto"/>
            <w:noWrap/>
            <w:vAlign w:val="center"/>
          </w:tcPr>
          <w:p w14:paraId="165D26C8">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sz w:val="22"/>
                <w:szCs w:val="22"/>
                <w:u w:val="none"/>
              </w:rPr>
            </w:pPr>
            <w:r>
              <w:rPr>
                <w:rFonts w:hint="default" w:ascii="Times New Roman" w:hAnsi="Times New Roman" w:eastAsia="宋体" w:cs="Times New Roman"/>
                <w:i w:val="0"/>
                <w:iCs w:val="0"/>
                <w:color w:val="0000FF"/>
                <w:kern w:val="0"/>
                <w:sz w:val="22"/>
                <w:szCs w:val="22"/>
                <w:u w:val="none"/>
                <w:lang w:val="en-US" w:eastAsia="zh-CN" w:bidi="ar"/>
              </w:rPr>
              <w:t>1113,1984</w:t>
            </w:r>
          </w:p>
        </w:tc>
        <w:tc>
          <w:tcPr>
            <w:tcW w:w="1875" w:type="dxa"/>
            <w:tcBorders>
              <w:tl2br w:val="nil"/>
              <w:tr2bl w:val="nil"/>
            </w:tcBorders>
            <w:shd w:val="clear" w:color="auto" w:fill="auto"/>
            <w:noWrap/>
            <w:vAlign w:val="center"/>
          </w:tcPr>
          <w:p w14:paraId="42FAB3B7">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sz w:val="22"/>
                <w:szCs w:val="22"/>
                <w:u w:val="none"/>
              </w:rPr>
            </w:pPr>
            <w:r>
              <w:rPr>
                <w:rFonts w:hint="default" w:ascii="Times New Roman" w:hAnsi="Times New Roman" w:eastAsia="宋体" w:cs="Times New Roman"/>
                <w:i w:val="0"/>
                <w:iCs w:val="0"/>
                <w:color w:val="0000FF"/>
                <w:kern w:val="0"/>
                <w:sz w:val="22"/>
                <w:szCs w:val="22"/>
                <w:u w:val="none"/>
                <w:lang w:val="en-US" w:eastAsia="zh-CN" w:bidi="ar"/>
              </w:rPr>
              <w:t>1小时</w:t>
            </w:r>
          </w:p>
        </w:tc>
        <w:tc>
          <w:tcPr>
            <w:tcW w:w="1260" w:type="dxa"/>
            <w:tcBorders>
              <w:tl2br w:val="nil"/>
              <w:tr2bl w:val="nil"/>
            </w:tcBorders>
            <w:shd w:val="clear" w:color="auto" w:fill="auto"/>
            <w:noWrap/>
            <w:vAlign w:val="center"/>
          </w:tcPr>
          <w:p w14:paraId="0491975F">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sz w:val="22"/>
                <w:szCs w:val="22"/>
                <w:u w:val="none"/>
              </w:rPr>
            </w:pPr>
            <w:r>
              <w:rPr>
                <w:rFonts w:hint="default" w:ascii="Times New Roman" w:hAnsi="Times New Roman" w:eastAsia="宋体" w:cs="Times New Roman"/>
                <w:i w:val="0"/>
                <w:iCs w:val="0"/>
                <w:color w:val="0000FF"/>
                <w:kern w:val="0"/>
                <w:sz w:val="22"/>
                <w:szCs w:val="22"/>
                <w:u w:val="none"/>
                <w:lang w:val="en-US" w:eastAsia="zh-CN" w:bidi="ar"/>
              </w:rPr>
              <w:t>1.72E-03</w:t>
            </w:r>
          </w:p>
        </w:tc>
        <w:tc>
          <w:tcPr>
            <w:tcW w:w="1770" w:type="dxa"/>
            <w:tcBorders>
              <w:tl2br w:val="nil"/>
              <w:tr2bl w:val="nil"/>
            </w:tcBorders>
            <w:shd w:val="clear" w:color="auto" w:fill="auto"/>
            <w:noWrap/>
            <w:vAlign w:val="center"/>
          </w:tcPr>
          <w:p w14:paraId="723AFABF">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sz w:val="22"/>
                <w:szCs w:val="22"/>
                <w:u w:val="none"/>
              </w:rPr>
            </w:pPr>
            <w:r>
              <w:rPr>
                <w:rFonts w:hint="default" w:ascii="Times New Roman" w:hAnsi="Times New Roman" w:eastAsia="宋体" w:cs="Times New Roman"/>
                <w:i w:val="0"/>
                <w:iCs w:val="0"/>
                <w:color w:val="0000FF"/>
                <w:kern w:val="0"/>
                <w:sz w:val="22"/>
                <w:szCs w:val="22"/>
                <w:u w:val="none"/>
                <w:lang w:val="en-US" w:eastAsia="zh-CN" w:bidi="ar"/>
              </w:rPr>
              <w:t>24011511</w:t>
            </w:r>
          </w:p>
        </w:tc>
        <w:tc>
          <w:tcPr>
            <w:tcW w:w="1140" w:type="dxa"/>
            <w:tcBorders>
              <w:tl2br w:val="nil"/>
              <w:tr2bl w:val="nil"/>
            </w:tcBorders>
            <w:shd w:val="clear" w:color="auto" w:fill="auto"/>
            <w:noWrap/>
            <w:vAlign w:val="center"/>
          </w:tcPr>
          <w:p w14:paraId="4A4C2CB5">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sz w:val="22"/>
                <w:szCs w:val="22"/>
                <w:u w:val="none"/>
              </w:rPr>
            </w:pPr>
            <w:r>
              <w:rPr>
                <w:rFonts w:hint="default" w:ascii="Times New Roman" w:hAnsi="Times New Roman" w:eastAsia="宋体" w:cs="Times New Roman"/>
                <w:i w:val="0"/>
                <w:iCs w:val="0"/>
                <w:color w:val="0000FF"/>
                <w:kern w:val="0"/>
                <w:sz w:val="22"/>
                <w:szCs w:val="22"/>
                <w:u w:val="none"/>
                <w:lang w:val="en-US" w:eastAsia="zh-CN" w:bidi="ar"/>
              </w:rPr>
              <w:t>0.00E+00</w:t>
            </w:r>
          </w:p>
        </w:tc>
        <w:tc>
          <w:tcPr>
            <w:tcW w:w="1605" w:type="dxa"/>
            <w:tcBorders>
              <w:tl2br w:val="nil"/>
              <w:tr2bl w:val="nil"/>
            </w:tcBorders>
            <w:shd w:val="clear" w:color="auto" w:fill="auto"/>
            <w:noWrap/>
            <w:vAlign w:val="center"/>
          </w:tcPr>
          <w:p w14:paraId="706A7DE7">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sz w:val="22"/>
                <w:szCs w:val="22"/>
                <w:u w:val="none"/>
              </w:rPr>
            </w:pPr>
            <w:r>
              <w:rPr>
                <w:rFonts w:hint="default" w:ascii="Times New Roman" w:hAnsi="Times New Roman" w:eastAsia="宋体" w:cs="Times New Roman"/>
                <w:i w:val="0"/>
                <w:iCs w:val="0"/>
                <w:color w:val="0000FF"/>
                <w:kern w:val="0"/>
                <w:sz w:val="22"/>
                <w:szCs w:val="22"/>
                <w:u w:val="none"/>
                <w:lang w:val="en-US" w:eastAsia="zh-CN" w:bidi="ar"/>
              </w:rPr>
              <w:t>1.72E-03</w:t>
            </w:r>
          </w:p>
        </w:tc>
        <w:tc>
          <w:tcPr>
            <w:tcW w:w="1275" w:type="dxa"/>
            <w:tcBorders>
              <w:tl2br w:val="nil"/>
              <w:tr2bl w:val="nil"/>
            </w:tcBorders>
            <w:shd w:val="clear" w:color="auto" w:fill="auto"/>
            <w:noWrap/>
            <w:vAlign w:val="center"/>
          </w:tcPr>
          <w:p w14:paraId="0DD2A730">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sz w:val="22"/>
                <w:szCs w:val="22"/>
                <w:u w:val="none"/>
              </w:rPr>
            </w:pPr>
            <w:r>
              <w:rPr>
                <w:rFonts w:hint="default" w:ascii="Times New Roman" w:hAnsi="Times New Roman" w:eastAsia="宋体" w:cs="Times New Roman"/>
                <w:i w:val="0"/>
                <w:iCs w:val="0"/>
                <w:color w:val="0000FF"/>
                <w:kern w:val="0"/>
                <w:sz w:val="22"/>
                <w:szCs w:val="22"/>
                <w:u w:val="none"/>
                <w:lang w:val="en-US" w:eastAsia="zh-CN" w:bidi="ar"/>
              </w:rPr>
              <w:t>5.00E-01</w:t>
            </w:r>
          </w:p>
        </w:tc>
        <w:tc>
          <w:tcPr>
            <w:tcW w:w="1485" w:type="dxa"/>
            <w:tcBorders>
              <w:tl2br w:val="nil"/>
              <w:tr2bl w:val="nil"/>
            </w:tcBorders>
            <w:shd w:val="clear" w:color="auto" w:fill="auto"/>
            <w:noWrap/>
            <w:vAlign w:val="center"/>
          </w:tcPr>
          <w:p w14:paraId="14A98992">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sz w:val="22"/>
                <w:szCs w:val="22"/>
                <w:u w:val="none"/>
              </w:rPr>
            </w:pPr>
            <w:r>
              <w:rPr>
                <w:rFonts w:hint="default" w:ascii="Times New Roman" w:hAnsi="Times New Roman" w:eastAsia="宋体" w:cs="Times New Roman"/>
                <w:i w:val="0"/>
                <w:iCs w:val="0"/>
                <w:color w:val="0000FF"/>
                <w:kern w:val="0"/>
                <w:sz w:val="22"/>
                <w:szCs w:val="22"/>
                <w:u w:val="none"/>
                <w:lang w:val="en-US" w:eastAsia="zh-CN" w:bidi="ar"/>
              </w:rPr>
              <w:t>0.34</w:t>
            </w:r>
          </w:p>
        </w:tc>
        <w:tc>
          <w:tcPr>
            <w:tcW w:w="912" w:type="dxa"/>
            <w:tcBorders>
              <w:tl2br w:val="nil"/>
              <w:tr2bl w:val="nil"/>
            </w:tcBorders>
            <w:shd w:val="clear" w:color="auto" w:fill="auto"/>
            <w:noWrap/>
            <w:vAlign w:val="center"/>
          </w:tcPr>
          <w:p w14:paraId="53B09711">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sz w:val="22"/>
                <w:szCs w:val="22"/>
                <w:u w:val="none"/>
              </w:rPr>
            </w:pPr>
            <w:r>
              <w:rPr>
                <w:rFonts w:hint="default" w:ascii="Times New Roman" w:hAnsi="Times New Roman" w:eastAsia="宋体" w:cs="Times New Roman"/>
                <w:i w:val="0"/>
                <w:iCs w:val="0"/>
                <w:color w:val="0000FF"/>
                <w:kern w:val="0"/>
                <w:sz w:val="22"/>
                <w:szCs w:val="22"/>
                <w:u w:val="none"/>
                <w:lang w:val="en-US" w:eastAsia="zh-CN" w:bidi="ar"/>
              </w:rPr>
              <w:t>达标</w:t>
            </w:r>
          </w:p>
        </w:tc>
      </w:tr>
      <w:tr w14:paraId="566FAA34">
        <w:tblPrEx>
          <w:tblBorders>
            <w:top w:val="thinThickSmallGap" w:color="auto" w:sz="12" w:space="0"/>
            <w:left w:val="none" w:color="auto" w:sz="0" w:space="0"/>
            <w:bottom w:val="thinThickSmallGap" w:color="auto" w:sz="12" w:space="0"/>
            <w:right w:val="none" w:color="auto" w:sz="0"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 w:hRule="atLeast"/>
          <w:jc w:val="center"/>
        </w:trPr>
        <w:tc>
          <w:tcPr>
            <w:tcW w:w="528" w:type="dxa"/>
            <w:vMerge w:val="continue"/>
            <w:tcBorders>
              <w:tl2br w:val="nil"/>
              <w:tr2bl w:val="nil"/>
            </w:tcBorders>
            <w:shd w:val="clear" w:color="auto" w:fill="auto"/>
            <w:noWrap/>
            <w:vAlign w:val="center"/>
          </w:tcPr>
          <w:p w14:paraId="207F1C47">
            <w:pPr>
              <w:keepNext w:val="0"/>
              <w:keepLines w:val="0"/>
              <w:pageBreakBefore w:val="0"/>
              <w:widowControl/>
              <w:kinsoku/>
              <w:wordWrap/>
              <w:overflowPunct/>
              <w:topLinePunct w:val="0"/>
              <w:autoSpaceDE/>
              <w:autoSpaceDN/>
              <w:bidi w:val="0"/>
              <w:adjustRightInd w:val="0"/>
              <w:snapToGrid w:val="0"/>
              <w:spacing w:line="240" w:lineRule="auto"/>
              <w:ind w:firstLineChars="0"/>
              <w:jc w:val="center"/>
              <w:rPr>
                <w:rFonts w:hint="default" w:ascii="Times New Roman" w:hAnsi="Times New Roman" w:eastAsia="宋体" w:cs="Times New Roman"/>
                <w:i w:val="0"/>
                <w:iCs w:val="0"/>
                <w:color w:val="0000FF"/>
                <w:sz w:val="22"/>
                <w:szCs w:val="22"/>
                <w:u w:val="none"/>
              </w:rPr>
            </w:pPr>
          </w:p>
        </w:tc>
        <w:tc>
          <w:tcPr>
            <w:tcW w:w="990" w:type="dxa"/>
            <w:vMerge w:val="continue"/>
            <w:tcBorders>
              <w:tl2br w:val="nil"/>
              <w:tr2bl w:val="nil"/>
            </w:tcBorders>
            <w:shd w:val="clear" w:color="auto" w:fill="auto"/>
            <w:noWrap/>
            <w:vAlign w:val="center"/>
          </w:tcPr>
          <w:p w14:paraId="2319F1E4">
            <w:pPr>
              <w:keepNext w:val="0"/>
              <w:keepLines w:val="0"/>
              <w:pageBreakBefore w:val="0"/>
              <w:widowControl/>
              <w:kinsoku/>
              <w:wordWrap/>
              <w:overflowPunct/>
              <w:topLinePunct w:val="0"/>
              <w:autoSpaceDE/>
              <w:autoSpaceDN/>
              <w:bidi w:val="0"/>
              <w:adjustRightInd w:val="0"/>
              <w:snapToGrid w:val="0"/>
              <w:spacing w:line="240" w:lineRule="auto"/>
              <w:ind w:firstLineChars="0"/>
              <w:jc w:val="center"/>
              <w:rPr>
                <w:rFonts w:hint="default" w:ascii="Times New Roman" w:hAnsi="Times New Roman" w:eastAsia="宋体" w:cs="Times New Roman"/>
                <w:i w:val="0"/>
                <w:iCs w:val="0"/>
                <w:color w:val="0000FF"/>
                <w:sz w:val="22"/>
                <w:szCs w:val="22"/>
                <w:u w:val="none"/>
              </w:rPr>
            </w:pPr>
          </w:p>
        </w:tc>
        <w:tc>
          <w:tcPr>
            <w:tcW w:w="1275" w:type="dxa"/>
            <w:vMerge w:val="continue"/>
            <w:tcBorders>
              <w:tl2br w:val="nil"/>
              <w:tr2bl w:val="nil"/>
            </w:tcBorders>
            <w:shd w:val="clear" w:color="auto" w:fill="auto"/>
            <w:noWrap/>
            <w:vAlign w:val="center"/>
          </w:tcPr>
          <w:p w14:paraId="6041270F">
            <w:pPr>
              <w:keepNext w:val="0"/>
              <w:keepLines w:val="0"/>
              <w:pageBreakBefore w:val="0"/>
              <w:widowControl/>
              <w:kinsoku/>
              <w:wordWrap/>
              <w:overflowPunct/>
              <w:topLinePunct w:val="0"/>
              <w:autoSpaceDE/>
              <w:autoSpaceDN/>
              <w:bidi w:val="0"/>
              <w:adjustRightInd w:val="0"/>
              <w:snapToGrid w:val="0"/>
              <w:spacing w:line="240" w:lineRule="auto"/>
              <w:ind w:firstLineChars="0"/>
              <w:jc w:val="center"/>
              <w:rPr>
                <w:rFonts w:hint="default" w:ascii="Times New Roman" w:hAnsi="Times New Roman" w:eastAsia="宋体" w:cs="Times New Roman"/>
                <w:i w:val="0"/>
                <w:iCs w:val="0"/>
                <w:color w:val="0000FF"/>
                <w:sz w:val="22"/>
                <w:szCs w:val="22"/>
                <w:u w:val="none"/>
              </w:rPr>
            </w:pPr>
          </w:p>
        </w:tc>
        <w:tc>
          <w:tcPr>
            <w:tcW w:w="1875" w:type="dxa"/>
            <w:tcBorders>
              <w:tl2br w:val="nil"/>
              <w:tr2bl w:val="nil"/>
            </w:tcBorders>
            <w:shd w:val="clear" w:color="auto" w:fill="auto"/>
            <w:noWrap/>
            <w:vAlign w:val="center"/>
          </w:tcPr>
          <w:p w14:paraId="3FCFDBF3">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1"/>
                <w:szCs w:val="21"/>
                <w:u w:val="none"/>
                <w:lang w:val="en-US" w:eastAsia="zh-CN" w:bidi="ar"/>
              </w:rPr>
              <w:t>98%保证率日平均</w:t>
            </w:r>
          </w:p>
        </w:tc>
        <w:tc>
          <w:tcPr>
            <w:tcW w:w="1260" w:type="dxa"/>
            <w:tcBorders>
              <w:tl2br w:val="nil"/>
              <w:tr2bl w:val="nil"/>
            </w:tcBorders>
            <w:shd w:val="clear" w:color="auto" w:fill="auto"/>
            <w:noWrap/>
            <w:vAlign w:val="center"/>
          </w:tcPr>
          <w:p w14:paraId="2A7542E9">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sz w:val="22"/>
                <w:szCs w:val="22"/>
                <w:u w:val="none"/>
              </w:rPr>
            </w:pPr>
            <w:r>
              <w:rPr>
                <w:rFonts w:hint="default" w:ascii="Times New Roman" w:hAnsi="Times New Roman" w:eastAsia="宋体" w:cs="Times New Roman"/>
                <w:i w:val="0"/>
                <w:iCs w:val="0"/>
                <w:color w:val="0000FF"/>
                <w:kern w:val="0"/>
                <w:sz w:val="22"/>
                <w:szCs w:val="22"/>
                <w:u w:val="none"/>
                <w:lang w:val="en-US" w:eastAsia="zh-CN" w:bidi="ar"/>
              </w:rPr>
              <w:t>3.52E-05</w:t>
            </w:r>
          </w:p>
        </w:tc>
        <w:tc>
          <w:tcPr>
            <w:tcW w:w="1770" w:type="dxa"/>
            <w:tcBorders>
              <w:tl2br w:val="nil"/>
              <w:tr2bl w:val="nil"/>
            </w:tcBorders>
            <w:shd w:val="clear" w:color="auto" w:fill="auto"/>
            <w:noWrap/>
            <w:vAlign w:val="center"/>
          </w:tcPr>
          <w:p w14:paraId="0ECBD14D">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sz w:val="22"/>
                <w:szCs w:val="22"/>
                <w:u w:val="none"/>
              </w:rPr>
            </w:pPr>
            <w:r>
              <w:rPr>
                <w:rFonts w:hint="default" w:ascii="Times New Roman" w:hAnsi="Times New Roman" w:eastAsia="宋体" w:cs="Times New Roman"/>
                <w:i w:val="0"/>
                <w:iCs w:val="0"/>
                <w:color w:val="0000FF"/>
                <w:kern w:val="0"/>
                <w:sz w:val="22"/>
                <w:szCs w:val="22"/>
                <w:u w:val="none"/>
                <w:lang w:val="en-US" w:eastAsia="zh-CN" w:bidi="ar"/>
              </w:rPr>
              <w:t>240125</w:t>
            </w:r>
          </w:p>
        </w:tc>
        <w:tc>
          <w:tcPr>
            <w:tcW w:w="1140" w:type="dxa"/>
            <w:tcBorders>
              <w:tl2br w:val="nil"/>
              <w:tr2bl w:val="nil"/>
            </w:tcBorders>
            <w:shd w:val="clear" w:color="auto" w:fill="auto"/>
            <w:noWrap/>
            <w:vAlign w:val="center"/>
          </w:tcPr>
          <w:p w14:paraId="42192415">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sz w:val="22"/>
                <w:szCs w:val="22"/>
                <w:u w:val="none"/>
              </w:rPr>
            </w:pPr>
            <w:r>
              <w:rPr>
                <w:rFonts w:hint="default" w:ascii="Times New Roman" w:hAnsi="Times New Roman" w:eastAsia="宋体" w:cs="Times New Roman"/>
                <w:i w:val="0"/>
                <w:iCs w:val="0"/>
                <w:color w:val="0000FF"/>
                <w:kern w:val="0"/>
                <w:sz w:val="22"/>
                <w:szCs w:val="22"/>
                <w:u w:val="none"/>
                <w:lang w:val="en-US" w:eastAsia="zh-CN" w:bidi="ar"/>
              </w:rPr>
              <w:t>1.80E-02</w:t>
            </w:r>
          </w:p>
        </w:tc>
        <w:tc>
          <w:tcPr>
            <w:tcW w:w="1605" w:type="dxa"/>
            <w:tcBorders>
              <w:tl2br w:val="nil"/>
              <w:tr2bl w:val="nil"/>
            </w:tcBorders>
            <w:shd w:val="clear" w:color="auto" w:fill="auto"/>
            <w:noWrap/>
            <w:vAlign w:val="center"/>
          </w:tcPr>
          <w:p w14:paraId="77DCA7C0">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sz w:val="22"/>
                <w:szCs w:val="22"/>
                <w:u w:val="none"/>
              </w:rPr>
            </w:pPr>
            <w:r>
              <w:rPr>
                <w:rFonts w:hint="default" w:ascii="Times New Roman" w:hAnsi="Times New Roman" w:eastAsia="宋体" w:cs="Times New Roman"/>
                <w:i w:val="0"/>
                <w:iCs w:val="0"/>
                <w:color w:val="0000FF"/>
                <w:kern w:val="0"/>
                <w:sz w:val="22"/>
                <w:szCs w:val="22"/>
                <w:u w:val="none"/>
                <w:lang w:val="en-US" w:eastAsia="zh-CN" w:bidi="ar"/>
              </w:rPr>
              <w:t>1.80E-02</w:t>
            </w:r>
          </w:p>
        </w:tc>
        <w:tc>
          <w:tcPr>
            <w:tcW w:w="1275" w:type="dxa"/>
            <w:tcBorders>
              <w:tl2br w:val="nil"/>
              <w:tr2bl w:val="nil"/>
            </w:tcBorders>
            <w:shd w:val="clear" w:color="auto" w:fill="auto"/>
            <w:noWrap/>
            <w:vAlign w:val="center"/>
          </w:tcPr>
          <w:p w14:paraId="6BA812AD">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sz w:val="22"/>
                <w:szCs w:val="22"/>
                <w:u w:val="none"/>
              </w:rPr>
            </w:pPr>
            <w:r>
              <w:rPr>
                <w:rFonts w:hint="default" w:ascii="Times New Roman" w:hAnsi="Times New Roman" w:eastAsia="宋体" w:cs="Times New Roman"/>
                <w:i w:val="0"/>
                <w:iCs w:val="0"/>
                <w:color w:val="0000FF"/>
                <w:kern w:val="0"/>
                <w:sz w:val="22"/>
                <w:szCs w:val="22"/>
                <w:u w:val="none"/>
                <w:lang w:val="en-US" w:eastAsia="zh-CN" w:bidi="ar"/>
              </w:rPr>
              <w:t>1.50E-01</w:t>
            </w:r>
          </w:p>
        </w:tc>
        <w:tc>
          <w:tcPr>
            <w:tcW w:w="1485" w:type="dxa"/>
            <w:tcBorders>
              <w:tl2br w:val="nil"/>
              <w:tr2bl w:val="nil"/>
            </w:tcBorders>
            <w:shd w:val="clear" w:color="auto" w:fill="auto"/>
            <w:noWrap/>
            <w:vAlign w:val="center"/>
          </w:tcPr>
          <w:p w14:paraId="48C9145F">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sz w:val="22"/>
                <w:szCs w:val="22"/>
                <w:u w:val="none"/>
              </w:rPr>
            </w:pPr>
            <w:r>
              <w:rPr>
                <w:rFonts w:hint="default" w:ascii="Times New Roman" w:hAnsi="Times New Roman" w:eastAsia="宋体" w:cs="Times New Roman"/>
                <w:i w:val="0"/>
                <w:iCs w:val="0"/>
                <w:color w:val="0000FF"/>
                <w:kern w:val="0"/>
                <w:sz w:val="22"/>
                <w:szCs w:val="22"/>
                <w:u w:val="none"/>
                <w:lang w:val="en-US" w:eastAsia="zh-CN" w:bidi="ar"/>
              </w:rPr>
              <w:t>12.02</w:t>
            </w:r>
          </w:p>
        </w:tc>
        <w:tc>
          <w:tcPr>
            <w:tcW w:w="912" w:type="dxa"/>
            <w:tcBorders>
              <w:tl2br w:val="nil"/>
              <w:tr2bl w:val="nil"/>
            </w:tcBorders>
            <w:shd w:val="clear" w:color="auto" w:fill="auto"/>
            <w:noWrap/>
            <w:vAlign w:val="center"/>
          </w:tcPr>
          <w:p w14:paraId="0D579693">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sz w:val="22"/>
                <w:szCs w:val="22"/>
                <w:u w:val="none"/>
              </w:rPr>
            </w:pPr>
            <w:r>
              <w:rPr>
                <w:rFonts w:hint="default" w:ascii="Times New Roman" w:hAnsi="Times New Roman" w:eastAsia="宋体" w:cs="Times New Roman"/>
                <w:i w:val="0"/>
                <w:iCs w:val="0"/>
                <w:color w:val="0000FF"/>
                <w:kern w:val="0"/>
                <w:sz w:val="22"/>
                <w:szCs w:val="22"/>
                <w:u w:val="none"/>
                <w:lang w:val="en-US" w:eastAsia="zh-CN" w:bidi="ar"/>
              </w:rPr>
              <w:t>达标</w:t>
            </w:r>
          </w:p>
        </w:tc>
      </w:tr>
      <w:tr w14:paraId="71D35C8E">
        <w:tblPrEx>
          <w:tblBorders>
            <w:top w:val="thinThickSmallGap" w:color="auto" w:sz="12" w:space="0"/>
            <w:left w:val="none" w:color="auto" w:sz="0" w:space="0"/>
            <w:bottom w:val="thinThick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528" w:type="dxa"/>
            <w:vMerge w:val="continue"/>
            <w:tcBorders>
              <w:tl2br w:val="nil"/>
              <w:tr2bl w:val="nil"/>
            </w:tcBorders>
            <w:shd w:val="clear" w:color="auto" w:fill="auto"/>
            <w:noWrap/>
            <w:vAlign w:val="center"/>
          </w:tcPr>
          <w:p w14:paraId="35530296">
            <w:pPr>
              <w:keepNext w:val="0"/>
              <w:keepLines w:val="0"/>
              <w:pageBreakBefore w:val="0"/>
              <w:widowControl/>
              <w:kinsoku/>
              <w:wordWrap/>
              <w:overflowPunct/>
              <w:topLinePunct w:val="0"/>
              <w:autoSpaceDE/>
              <w:autoSpaceDN/>
              <w:bidi w:val="0"/>
              <w:adjustRightInd w:val="0"/>
              <w:snapToGrid w:val="0"/>
              <w:spacing w:line="240" w:lineRule="auto"/>
              <w:ind w:firstLineChars="0"/>
              <w:jc w:val="center"/>
              <w:rPr>
                <w:rFonts w:hint="default" w:ascii="Times New Roman" w:hAnsi="Times New Roman" w:eastAsia="宋体" w:cs="Times New Roman"/>
                <w:i w:val="0"/>
                <w:iCs w:val="0"/>
                <w:color w:val="0000FF"/>
                <w:sz w:val="22"/>
                <w:szCs w:val="22"/>
                <w:u w:val="none"/>
              </w:rPr>
            </w:pPr>
          </w:p>
        </w:tc>
        <w:tc>
          <w:tcPr>
            <w:tcW w:w="990" w:type="dxa"/>
            <w:vMerge w:val="continue"/>
            <w:tcBorders>
              <w:tl2br w:val="nil"/>
              <w:tr2bl w:val="nil"/>
            </w:tcBorders>
            <w:shd w:val="clear" w:color="auto" w:fill="auto"/>
            <w:noWrap/>
            <w:vAlign w:val="center"/>
          </w:tcPr>
          <w:p w14:paraId="7103E57F">
            <w:pPr>
              <w:keepNext w:val="0"/>
              <w:keepLines w:val="0"/>
              <w:pageBreakBefore w:val="0"/>
              <w:widowControl/>
              <w:kinsoku/>
              <w:wordWrap/>
              <w:overflowPunct/>
              <w:topLinePunct w:val="0"/>
              <w:autoSpaceDE/>
              <w:autoSpaceDN/>
              <w:bidi w:val="0"/>
              <w:adjustRightInd w:val="0"/>
              <w:snapToGrid w:val="0"/>
              <w:spacing w:line="240" w:lineRule="auto"/>
              <w:ind w:firstLineChars="0"/>
              <w:jc w:val="center"/>
              <w:rPr>
                <w:rFonts w:hint="default" w:ascii="Times New Roman" w:hAnsi="Times New Roman" w:eastAsia="宋体" w:cs="Times New Roman"/>
                <w:i w:val="0"/>
                <w:iCs w:val="0"/>
                <w:color w:val="0000FF"/>
                <w:sz w:val="22"/>
                <w:szCs w:val="22"/>
                <w:u w:val="none"/>
              </w:rPr>
            </w:pPr>
          </w:p>
        </w:tc>
        <w:tc>
          <w:tcPr>
            <w:tcW w:w="1275" w:type="dxa"/>
            <w:vMerge w:val="continue"/>
            <w:tcBorders>
              <w:tl2br w:val="nil"/>
              <w:tr2bl w:val="nil"/>
            </w:tcBorders>
            <w:shd w:val="clear" w:color="auto" w:fill="auto"/>
            <w:noWrap/>
            <w:vAlign w:val="center"/>
          </w:tcPr>
          <w:p w14:paraId="7B125483">
            <w:pPr>
              <w:keepNext w:val="0"/>
              <w:keepLines w:val="0"/>
              <w:pageBreakBefore w:val="0"/>
              <w:widowControl/>
              <w:kinsoku/>
              <w:wordWrap/>
              <w:overflowPunct/>
              <w:topLinePunct w:val="0"/>
              <w:autoSpaceDE/>
              <w:autoSpaceDN/>
              <w:bidi w:val="0"/>
              <w:adjustRightInd w:val="0"/>
              <w:snapToGrid w:val="0"/>
              <w:spacing w:line="240" w:lineRule="auto"/>
              <w:ind w:firstLineChars="0"/>
              <w:jc w:val="center"/>
              <w:rPr>
                <w:rFonts w:hint="default" w:ascii="Times New Roman" w:hAnsi="Times New Roman" w:eastAsia="宋体" w:cs="Times New Roman"/>
                <w:i w:val="0"/>
                <w:iCs w:val="0"/>
                <w:color w:val="0000FF"/>
                <w:sz w:val="22"/>
                <w:szCs w:val="22"/>
                <w:u w:val="none"/>
              </w:rPr>
            </w:pPr>
          </w:p>
        </w:tc>
        <w:tc>
          <w:tcPr>
            <w:tcW w:w="1875" w:type="dxa"/>
            <w:tcBorders>
              <w:tl2br w:val="nil"/>
              <w:tr2bl w:val="nil"/>
            </w:tcBorders>
            <w:shd w:val="clear" w:color="auto" w:fill="auto"/>
            <w:noWrap/>
            <w:vAlign w:val="center"/>
          </w:tcPr>
          <w:p w14:paraId="617D3638">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sz w:val="22"/>
                <w:szCs w:val="22"/>
                <w:u w:val="none"/>
              </w:rPr>
            </w:pPr>
            <w:r>
              <w:rPr>
                <w:rFonts w:hint="default" w:ascii="Times New Roman" w:hAnsi="Times New Roman" w:eastAsia="宋体" w:cs="Times New Roman"/>
                <w:i w:val="0"/>
                <w:iCs w:val="0"/>
                <w:color w:val="0000FF"/>
                <w:kern w:val="0"/>
                <w:sz w:val="22"/>
                <w:szCs w:val="22"/>
                <w:u w:val="none"/>
                <w:lang w:val="en-US" w:eastAsia="zh-CN" w:bidi="ar"/>
              </w:rPr>
              <w:t>全时段</w:t>
            </w:r>
          </w:p>
        </w:tc>
        <w:tc>
          <w:tcPr>
            <w:tcW w:w="1260" w:type="dxa"/>
            <w:tcBorders>
              <w:tl2br w:val="nil"/>
              <w:tr2bl w:val="nil"/>
            </w:tcBorders>
            <w:shd w:val="clear" w:color="auto" w:fill="auto"/>
            <w:noWrap/>
            <w:vAlign w:val="center"/>
          </w:tcPr>
          <w:p w14:paraId="28871C96">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sz w:val="22"/>
                <w:szCs w:val="22"/>
                <w:u w:val="none"/>
              </w:rPr>
            </w:pPr>
            <w:r>
              <w:rPr>
                <w:rFonts w:hint="default" w:ascii="Times New Roman" w:hAnsi="Times New Roman" w:eastAsia="宋体" w:cs="Times New Roman"/>
                <w:i w:val="0"/>
                <w:iCs w:val="0"/>
                <w:color w:val="0000FF"/>
                <w:kern w:val="0"/>
                <w:sz w:val="22"/>
                <w:szCs w:val="22"/>
                <w:u w:val="none"/>
                <w:lang w:val="en-US" w:eastAsia="zh-CN" w:bidi="ar"/>
              </w:rPr>
              <w:t>2.04E-05</w:t>
            </w:r>
          </w:p>
        </w:tc>
        <w:tc>
          <w:tcPr>
            <w:tcW w:w="1770" w:type="dxa"/>
            <w:tcBorders>
              <w:tl2br w:val="nil"/>
              <w:tr2bl w:val="nil"/>
            </w:tcBorders>
            <w:shd w:val="clear" w:color="auto" w:fill="auto"/>
            <w:noWrap/>
            <w:vAlign w:val="center"/>
          </w:tcPr>
          <w:p w14:paraId="19177BCA">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sz w:val="22"/>
                <w:szCs w:val="22"/>
                <w:u w:val="none"/>
              </w:rPr>
            </w:pPr>
            <w:r>
              <w:rPr>
                <w:rFonts w:hint="default" w:ascii="Times New Roman" w:hAnsi="Times New Roman" w:eastAsia="宋体" w:cs="Times New Roman"/>
                <w:i w:val="0"/>
                <w:iCs w:val="0"/>
                <w:color w:val="0000FF"/>
                <w:kern w:val="0"/>
                <w:sz w:val="22"/>
                <w:szCs w:val="22"/>
                <w:u w:val="none"/>
                <w:lang w:val="en-US" w:eastAsia="zh-CN" w:bidi="ar"/>
              </w:rPr>
              <w:t>平均值</w:t>
            </w:r>
          </w:p>
        </w:tc>
        <w:tc>
          <w:tcPr>
            <w:tcW w:w="1140" w:type="dxa"/>
            <w:tcBorders>
              <w:tl2br w:val="nil"/>
              <w:tr2bl w:val="nil"/>
            </w:tcBorders>
            <w:shd w:val="clear" w:color="auto" w:fill="auto"/>
            <w:noWrap/>
            <w:vAlign w:val="center"/>
          </w:tcPr>
          <w:p w14:paraId="6052935A">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sz w:val="22"/>
                <w:szCs w:val="22"/>
                <w:u w:val="none"/>
              </w:rPr>
            </w:pPr>
            <w:r>
              <w:rPr>
                <w:rFonts w:hint="default" w:ascii="Times New Roman" w:hAnsi="Times New Roman" w:eastAsia="宋体" w:cs="Times New Roman"/>
                <w:i w:val="0"/>
                <w:iCs w:val="0"/>
                <w:color w:val="0000FF"/>
                <w:kern w:val="0"/>
                <w:sz w:val="22"/>
                <w:szCs w:val="22"/>
                <w:u w:val="none"/>
                <w:lang w:val="en-US" w:eastAsia="zh-CN" w:bidi="ar"/>
              </w:rPr>
              <w:t>9.10E-03</w:t>
            </w:r>
          </w:p>
        </w:tc>
        <w:tc>
          <w:tcPr>
            <w:tcW w:w="1605" w:type="dxa"/>
            <w:tcBorders>
              <w:tl2br w:val="nil"/>
              <w:tr2bl w:val="nil"/>
            </w:tcBorders>
            <w:shd w:val="clear" w:color="auto" w:fill="auto"/>
            <w:noWrap/>
            <w:vAlign w:val="center"/>
          </w:tcPr>
          <w:p w14:paraId="194753EC">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sz w:val="22"/>
                <w:szCs w:val="22"/>
                <w:u w:val="none"/>
              </w:rPr>
            </w:pPr>
            <w:r>
              <w:rPr>
                <w:rFonts w:hint="default" w:ascii="Times New Roman" w:hAnsi="Times New Roman" w:eastAsia="宋体" w:cs="Times New Roman"/>
                <w:i w:val="0"/>
                <w:iCs w:val="0"/>
                <w:color w:val="0000FF"/>
                <w:kern w:val="0"/>
                <w:sz w:val="22"/>
                <w:szCs w:val="22"/>
                <w:u w:val="none"/>
                <w:lang w:val="en-US" w:eastAsia="zh-CN" w:bidi="ar"/>
              </w:rPr>
              <w:t>9.12E-03</w:t>
            </w:r>
          </w:p>
        </w:tc>
        <w:tc>
          <w:tcPr>
            <w:tcW w:w="1275" w:type="dxa"/>
            <w:tcBorders>
              <w:tl2br w:val="nil"/>
              <w:tr2bl w:val="nil"/>
            </w:tcBorders>
            <w:shd w:val="clear" w:color="auto" w:fill="auto"/>
            <w:noWrap/>
            <w:vAlign w:val="center"/>
          </w:tcPr>
          <w:p w14:paraId="7F5CDF29">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sz w:val="22"/>
                <w:szCs w:val="22"/>
                <w:u w:val="none"/>
              </w:rPr>
            </w:pPr>
            <w:r>
              <w:rPr>
                <w:rFonts w:hint="default" w:ascii="Times New Roman" w:hAnsi="Times New Roman" w:eastAsia="宋体" w:cs="Times New Roman"/>
                <w:i w:val="0"/>
                <w:iCs w:val="0"/>
                <w:color w:val="0000FF"/>
                <w:kern w:val="0"/>
                <w:sz w:val="22"/>
                <w:szCs w:val="22"/>
                <w:u w:val="none"/>
                <w:lang w:val="en-US" w:eastAsia="zh-CN" w:bidi="ar"/>
              </w:rPr>
              <w:t>6.00E-02</w:t>
            </w:r>
          </w:p>
        </w:tc>
        <w:tc>
          <w:tcPr>
            <w:tcW w:w="1485" w:type="dxa"/>
            <w:tcBorders>
              <w:tl2br w:val="nil"/>
              <w:tr2bl w:val="nil"/>
            </w:tcBorders>
            <w:shd w:val="clear" w:color="auto" w:fill="auto"/>
            <w:noWrap/>
            <w:vAlign w:val="center"/>
          </w:tcPr>
          <w:p w14:paraId="6E9FE36E">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sz w:val="22"/>
                <w:szCs w:val="22"/>
                <w:u w:val="none"/>
              </w:rPr>
            </w:pPr>
            <w:r>
              <w:rPr>
                <w:rFonts w:hint="default" w:ascii="Times New Roman" w:hAnsi="Times New Roman" w:eastAsia="宋体" w:cs="Times New Roman"/>
                <w:i w:val="0"/>
                <w:iCs w:val="0"/>
                <w:color w:val="0000FF"/>
                <w:kern w:val="0"/>
                <w:sz w:val="22"/>
                <w:szCs w:val="22"/>
                <w:u w:val="none"/>
                <w:lang w:val="en-US" w:eastAsia="zh-CN" w:bidi="ar"/>
              </w:rPr>
              <w:t>15.2</w:t>
            </w:r>
          </w:p>
        </w:tc>
        <w:tc>
          <w:tcPr>
            <w:tcW w:w="912" w:type="dxa"/>
            <w:tcBorders>
              <w:tl2br w:val="nil"/>
              <w:tr2bl w:val="nil"/>
            </w:tcBorders>
            <w:shd w:val="clear" w:color="auto" w:fill="auto"/>
            <w:noWrap/>
            <w:vAlign w:val="center"/>
          </w:tcPr>
          <w:p w14:paraId="50F7D653">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sz w:val="22"/>
                <w:szCs w:val="22"/>
                <w:u w:val="none"/>
              </w:rPr>
            </w:pPr>
            <w:r>
              <w:rPr>
                <w:rFonts w:hint="default" w:ascii="Times New Roman" w:hAnsi="Times New Roman" w:eastAsia="宋体" w:cs="Times New Roman"/>
                <w:i w:val="0"/>
                <w:iCs w:val="0"/>
                <w:color w:val="0000FF"/>
                <w:kern w:val="0"/>
                <w:sz w:val="22"/>
                <w:szCs w:val="22"/>
                <w:u w:val="none"/>
                <w:lang w:val="en-US" w:eastAsia="zh-CN" w:bidi="ar"/>
              </w:rPr>
              <w:t>达标</w:t>
            </w:r>
          </w:p>
        </w:tc>
      </w:tr>
      <w:tr w14:paraId="1F307323">
        <w:tblPrEx>
          <w:tblBorders>
            <w:top w:val="thinThickSmallGap" w:color="auto" w:sz="12" w:space="0"/>
            <w:left w:val="none" w:color="auto" w:sz="0" w:space="0"/>
            <w:bottom w:val="thinThick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528" w:type="dxa"/>
            <w:vMerge w:val="restart"/>
            <w:tcBorders>
              <w:tl2br w:val="nil"/>
              <w:tr2bl w:val="nil"/>
            </w:tcBorders>
            <w:shd w:val="clear" w:color="auto" w:fill="auto"/>
            <w:noWrap/>
            <w:vAlign w:val="center"/>
          </w:tcPr>
          <w:p w14:paraId="2EA9F255">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sz w:val="22"/>
                <w:szCs w:val="22"/>
                <w:u w:val="none"/>
              </w:rPr>
            </w:pPr>
            <w:r>
              <w:rPr>
                <w:rFonts w:hint="default" w:ascii="Times New Roman" w:hAnsi="Times New Roman" w:eastAsia="宋体" w:cs="Times New Roman"/>
                <w:i w:val="0"/>
                <w:iCs w:val="0"/>
                <w:color w:val="0000FF"/>
                <w:kern w:val="0"/>
                <w:sz w:val="22"/>
                <w:szCs w:val="22"/>
                <w:u w:val="none"/>
                <w:lang w:val="en-US" w:eastAsia="zh-CN" w:bidi="ar"/>
              </w:rPr>
              <w:t>8</w:t>
            </w:r>
          </w:p>
        </w:tc>
        <w:tc>
          <w:tcPr>
            <w:tcW w:w="990" w:type="dxa"/>
            <w:vMerge w:val="restart"/>
            <w:tcBorders>
              <w:tl2br w:val="nil"/>
              <w:tr2bl w:val="nil"/>
            </w:tcBorders>
            <w:shd w:val="clear" w:color="auto" w:fill="auto"/>
            <w:noWrap/>
            <w:vAlign w:val="center"/>
          </w:tcPr>
          <w:p w14:paraId="2AA6943E">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sz w:val="22"/>
                <w:szCs w:val="22"/>
                <w:u w:val="none"/>
              </w:rPr>
            </w:pPr>
            <w:r>
              <w:rPr>
                <w:rFonts w:hint="default" w:ascii="Times New Roman" w:hAnsi="Times New Roman" w:eastAsia="宋体" w:cs="Times New Roman"/>
                <w:i w:val="0"/>
                <w:iCs w:val="0"/>
                <w:color w:val="0000FF"/>
                <w:kern w:val="0"/>
                <w:sz w:val="22"/>
                <w:szCs w:val="22"/>
                <w:u w:val="none"/>
                <w:lang w:val="en-US" w:eastAsia="zh-CN" w:bidi="ar"/>
              </w:rPr>
              <w:t>网格</w:t>
            </w:r>
          </w:p>
        </w:tc>
        <w:tc>
          <w:tcPr>
            <w:tcW w:w="1275" w:type="dxa"/>
            <w:tcBorders>
              <w:tl2br w:val="nil"/>
              <w:tr2bl w:val="nil"/>
            </w:tcBorders>
            <w:shd w:val="clear" w:color="auto" w:fill="auto"/>
            <w:noWrap/>
            <w:vAlign w:val="center"/>
          </w:tcPr>
          <w:p w14:paraId="152C51CA">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sz w:val="22"/>
                <w:szCs w:val="22"/>
                <w:u w:val="none"/>
              </w:rPr>
            </w:pPr>
            <w:r>
              <w:rPr>
                <w:rFonts w:hint="default" w:ascii="Times New Roman" w:hAnsi="Times New Roman" w:eastAsia="宋体" w:cs="Times New Roman"/>
                <w:i w:val="0"/>
                <w:iCs w:val="0"/>
                <w:color w:val="0000FF"/>
                <w:kern w:val="0"/>
                <w:sz w:val="22"/>
                <w:szCs w:val="22"/>
                <w:u w:val="none"/>
                <w:lang w:val="en-US" w:eastAsia="zh-CN" w:bidi="ar"/>
              </w:rPr>
              <w:t>28,931</w:t>
            </w:r>
          </w:p>
        </w:tc>
        <w:tc>
          <w:tcPr>
            <w:tcW w:w="1875" w:type="dxa"/>
            <w:tcBorders>
              <w:tl2br w:val="nil"/>
              <w:tr2bl w:val="nil"/>
            </w:tcBorders>
            <w:shd w:val="clear" w:color="auto" w:fill="auto"/>
            <w:noWrap/>
            <w:vAlign w:val="center"/>
          </w:tcPr>
          <w:p w14:paraId="5D864A6B">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sz w:val="22"/>
                <w:szCs w:val="22"/>
                <w:u w:val="none"/>
              </w:rPr>
            </w:pPr>
            <w:r>
              <w:rPr>
                <w:rFonts w:hint="default" w:ascii="Times New Roman" w:hAnsi="Times New Roman" w:eastAsia="宋体" w:cs="Times New Roman"/>
                <w:i w:val="0"/>
                <w:iCs w:val="0"/>
                <w:color w:val="0000FF"/>
                <w:kern w:val="0"/>
                <w:sz w:val="22"/>
                <w:szCs w:val="22"/>
                <w:u w:val="none"/>
                <w:lang w:val="en-US" w:eastAsia="zh-CN" w:bidi="ar"/>
              </w:rPr>
              <w:t>1小时</w:t>
            </w:r>
          </w:p>
        </w:tc>
        <w:tc>
          <w:tcPr>
            <w:tcW w:w="1260" w:type="dxa"/>
            <w:tcBorders>
              <w:tl2br w:val="nil"/>
              <w:tr2bl w:val="nil"/>
            </w:tcBorders>
            <w:shd w:val="clear" w:color="auto" w:fill="auto"/>
            <w:noWrap/>
            <w:vAlign w:val="center"/>
          </w:tcPr>
          <w:p w14:paraId="2991A01F">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sz w:val="22"/>
                <w:szCs w:val="22"/>
                <w:u w:val="none"/>
              </w:rPr>
            </w:pPr>
            <w:r>
              <w:rPr>
                <w:rFonts w:hint="default" w:ascii="Times New Roman" w:hAnsi="Times New Roman" w:eastAsia="宋体" w:cs="Times New Roman"/>
                <w:i w:val="0"/>
                <w:iCs w:val="0"/>
                <w:color w:val="0000FF"/>
                <w:kern w:val="0"/>
                <w:sz w:val="22"/>
                <w:szCs w:val="22"/>
                <w:u w:val="none"/>
                <w:lang w:val="en-US" w:eastAsia="zh-CN" w:bidi="ar"/>
              </w:rPr>
              <w:t>5.31E-02</w:t>
            </w:r>
          </w:p>
        </w:tc>
        <w:tc>
          <w:tcPr>
            <w:tcW w:w="1770" w:type="dxa"/>
            <w:tcBorders>
              <w:tl2br w:val="nil"/>
              <w:tr2bl w:val="nil"/>
            </w:tcBorders>
            <w:shd w:val="clear" w:color="auto" w:fill="auto"/>
            <w:noWrap/>
            <w:vAlign w:val="center"/>
          </w:tcPr>
          <w:p w14:paraId="6315264D">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sz w:val="22"/>
                <w:szCs w:val="22"/>
                <w:u w:val="none"/>
              </w:rPr>
            </w:pPr>
            <w:r>
              <w:rPr>
                <w:rFonts w:hint="default" w:ascii="Times New Roman" w:hAnsi="Times New Roman" w:eastAsia="宋体" w:cs="Times New Roman"/>
                <w:i w:val="0"/>
                <w:iCs w:val="0"/>
                <w:color w:val="0000FF"/>
                <w:kern w:val="0"/>
                <w:sz w:val="22"/>
                <w:szCs w:val="22"/>
                <w:u w:val="none"/>
                <w:lang w:val="en-US" w:eastAsia="zh-CN" w:bidi="ar"/>
              </w:rPr>
              <w:t>24011202</w:t>
            </w:r>
          </w:p>
        </w:tc>
        <w:tc>
          <w:tcPr>
            <w:tcW w:w="1140" w:type="dxa"/>
            <w:tcBorders>
              <w:tl2br w:val="nil"/>
              <w:tr2bl w:val="nil"/>
            </w:tcBorders>
            <w:shd w:val="clear" w:color="auto" w:fill="auto"/>
            <w:noWrap/>
            <w:vAlign w:val="center"/>
          </w:tcPr>
          <w:p w14:paraId="037F2A3E">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sz w:val="22"/>
                <w:szCs w:val="22"/>
                <w:u w:val="none"/>
              </w:rPr>
            </w:pPr>
            <w:r>
              <w:rPr>
                <w:rFonts w:hint="default" w:ascii="Times New Roman" w:hAnsi="Times New Roman" w:eastAsia="宋体" w:cs="Times New Roman"/>
                <w:i w:val="0"/>
                <w:iCs w:val="0"/>
                <w:color w:val="0000FF"/>
                <w:kern w:val="0"/>
                <w:sz w:val="22"/>
                <w:szCs w:val="22"/>
                <w:u w:val="none"/>
                <w:lang w:val="en-US" w:eastAsia="zh-CN" w:bidi="ar"/>
              </w:rPr>
              <w:t>0.00E+00</w:t>
            </w:r>
          </w:p>
        </w:tc>
        <w:tc>
          <w:tcPr>
            <w:tcW w:w="1605" w:type="dxa"/>
            <w:tcBorders>
              <w:tl2br w:val="nil"/>
              <w:tr2bl w:val="nil"/>
            </w:tcBorders>
            <w:shd w:val="clear" w:color="auto" w:fill="auto"/>
            <w:noWrap/>
            <w:vAlign w:val="center"/>
          </w:tcPr>
          <w:p w14:paraId="5DA027B4">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sz w:val="22"/>
                <w:szCs w:val="22"/>
                <w:u w:val="none"/>
              </w:rPr>
            </w:pPr>
            <w:r>
              <w:rPr>
                <w:rFonts w:hint="default" w:ascii="Times New Roman" w:hAnsi="Times New Roman" w:eastAsia="宋体" w:cs="Times New Roman"/>
                <w:i w:val="0"/>
                <w:iCs w:val="0"/>
                <w:color w:val="0000FF"/>
                <w:kern w:val="0"/>
                <w:sz w:val="22"/>
                <w:szCs w:val="22"/>
                <w:u w:val="none"/>
                <w:lang w:val="en-US" w:eastAsia="zh-CN" w:bidi="ar"/>
              </w:rPr>
              <w:t>5.31E-02</w:t>
            </w:r>
          </w:p>
        </w:tc>
        <w:tc>
          <w:tcPr>
            <w:tcW w:w="1275" w:type="dxa"/>
            <w:tcBorders>
              <w:tl2br w:val="nil"/>
              <w:tr2bl w:val="nil"/>
            </w:tcBorders>
            <w:shd w:val="clear" w:color="auto" w:fill="auto"/>
            <w:noWrap/>
            <w:vAlign w:val="center"/>
          </w:tcPr>
          <w:p w14:paraId="5B170374">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sz w:val="22"/>
                <w:szCs w:val="22"/>
                <w:u w:val="none"/>
              </w:rPr>
            </w:pPr>
            <w:r>
              <w:rPr>
                <w:rFonts w:hint="default" w:ascii="Times New Roman" w:hAnsi="Times New Roman" w:eastAsia="宋体" w:cs="Times New Roman"/>
                <w:i w:val="0"/>
                <w:iCs w:val="0"/>
                <w:color w:val="0000FF"/>
                <w:kern w:val="0"/>
                <w:sz w:val="22"/>
                <w:szCs w:val="22"/>
                <w:u w:val="none"/>
                <w:lang w:val="en-US" w:eastAsia="zh-CN" w:bidi="ar"/>
              </w:rPr>
              <w:t>5.00E-01</w:t>
            </w:r>
          </w:p>
        </w:tc>
        <w:tc>
          <w:tcPr>
            <w:tcW w:w="1485" w:type="dxa"/>
            <w:tcBorders>
              <w:tl2br w:val="nil"/>
              <w:tr2bl w:val="nil"/>
            </w:tcBorders>
            <w:shd w:val="clear" w:color="auto" w:fill="auto"/>
            <w:noWrap/>
            <w:vAlign w:val="center"/>
          </w:tcPr>
          <w:p w14:paraId="38FF6962">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sz w:val="22"/>
                <w:szCs w:val="22"/>
                <w:u w:val="none"/>
              </w:rPr>
            </w:pPr>
            <w:r>
              <w:rPr>
                <w:rFonts w:hint="default" w:ascii="Times New Roman" w:hAnsi="Times New Roman" w:eastAsia="宋体" w:cs="Times New Roman"/>
                <w:i w:val="0"/>
                <w:iCs w:val="0"/>
                <w:color w:val="0000FF"/>
                <w:kern w:val="0"/>
                <w:sz w:val="22"/>
                <w:szCs w:val="22"/>
                <w:u w:val="none"/>
                <w:lang w:val="en-US" w:eastAsia="zh-CN" w:bidi="ar"/>
              </w:rPr>
              <w:t>10.62</w:t>
            </w:r>
          </w:p>
        </w:tc>
        <w:tc>
          <w:tcPr>
            <w:tcW w:w="912" w:type="dxa"/>
            <w:tcBorders>
              <w:tl2br w:val="nil"/>
              <w:tr2bl w:val="nil"/>
            </w:tcBorders>
            <w:shd w:val="clear" w:color="auto" w:fill="auto"/>
            <w:noWrap/>
            <w:vAlign w:val="center"/>
          </w:tcPr>
          <w:p w14:paraId="6C650B18">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sz w:val="22"/>
                <w:szCs w:val="22"/>
                <w:u w:val="none"/>
              </w:rPr>
            </w:pPr>
            <w:r>
              <w:rPr>
                <w:rFonts w:hint="default" w:ascii="Times New Roman" w:hAnsi="Times New Roman" w:eastAsia="宋体" w:cs="Times New Roman"/>
                <w:i w:val="0"/>
                <w:iCs w:val="0"/>
                <w:color w:val="0000FF"/>
                <w:kern w:val="0"/>
                <w:sz w:val="22"/>
                <w:szCs w:val="22"/>
                <w:u w:val="none"/>
                <w:lang w:val="en-US" w:eastAsia="zh-CN" w:bidi="ar"/>
              </w:rPr>
              <w:t>达标</w:t>
            </w:r>
          </w:p>
        </w:tc>
      </w:tr>
      <w:tr w14:paraId="2A434A43">
        <w:tblPrEx>
          <w:tblBorders>
            <w:top w:val="thinThickSmallGap" w:color="auto" w:sz="12" w:space="0"/>
            <w:left w:val="none" w:color="auto" w:sz="0" w:space="0"/>
            <w:bottom w:val="thinThickSmallGap" w:color="auto" w:sz="12" w:space="0"/>
            <w:right w:val="none" w:color="auto" w:sz="0"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 w:hRule="atLeast"/>
          <w:jc w:val="center"/>
        </w:trPr>
        <w:tc>
          <w:tcPr>
            <w:tcW w:w="528" w:type="dxa"/>
            <w:vMerge w:val="continue"/>
            <w:tcBorders>
              <w:tl2br w:val="nil"/>
              <w:tr2bl w:val="nil"/>
            </w:tcBorders>
            <w:shd w:val="clear" w:color="auto" w:fill="auto"/>
            <w:noWrap/>
            <w:vAlign w:val="center"/>
          </w:tcPr>
          <w:p w14:paraId="79A5E3ED">
            <w:pPr>
              <w:keepNext w:val="0"/>
              <w:keepLines w:val="0"/>
              <w:pageBreakBefore w:val="0"/>
              <w:widowControl/>
              <w:kinsoku/>
              <w:wordWrap/>
              <w:overflowPunct/>
              <w:topLinePunct w:val="0"/>
              <w:autoSpaceDE/>
              <w:autoSpaceDN/>
              <w:bidi w:val="0"/>
              <w:adjustRightInd w:val="0"/>
              <w:snapToGrid w:val="0"/>
              <w:spacing w:line="240" w:lineRule="auto"/>
              <w:ind w:firstLineChars="0"/>
              <w:jc w:val="center"/>
              <w:rPr>
                <w:rFonts w:hint="default" w:ascii="Times New Roman" w:hAnsi="Times New Roman" w:eastAsia="宋体" w:cs="Times New Roman"/>
                <w:i w:val="0"/>
                <w:iCs w:val="0"/>
                <w:color w:val="0000FF"/>
                <w:sz w:val="22"/>
                <w:szCs w:val="22"/>
                <w:u w:val="none"/>
              </w:rPr>
            </w:pPr>
          </w:p>
        </w:tc>
        <w:tc>
          <w:tcPr>
            <w:tcW w:w="990" w:type="dxa"/>
            <w:vMerge w:val="continue"/>
            <w:tcBorders>
              <w:tl2br w:val="nil"/>
              <w:tr2bl w:val="nil"/>
            </w:tcBorders>
            <w:shd w:val="clear" w:color="auto" w:fill="auto"/>
            <w:noWrap/>
            <w:vAlign w:val="center"/>
          </w:tcPr>
          <w:p w14:paraId="67C15643">
            <w:pPr>
              <w:keepNext w:val="0"/>
              <w:keepLines w:val="0"/>
              <w:pageBreakBefore w:val="0"/>
              <w:widowControl/>
              <w:kinsoku/>
              <w:wordWrap/>
              <w:overflowPunct/>
              <w:topLinePunct w:val="0"/>
              <w:autoSpaceDE/>
              <w:autoSpaceDN/>
              <w:bidi w:val="0"/>
              <w:adjustRightInd w:val="0"/>
              <w:snapToGrid w:val="0"/>
              <w:spacing w:line="240" w:lineRule="auto"/>
              <w:ind w:firstLineChars="0"/>
              <w:jc w:val="center"/>
              <w:rPr>
                <w:rFonts w:hint="default" w:ascii="Times New Roman" w:hAnsi="Times New Roman" w:eastAsia="宋体" w:cs="Times New Roman"/>
                <w:i w:val="0"/>
                <w:iCs w:val="0"/>
                <w:color w:val="0000FF"/>
                <w:sz w:val="22"/>
                <w:szCs w:val="22"/>
                <w:u w:val="none"/>
              </w:rPr>
            </w:pPr>
          </w:p>
        </w:tc>
        <w:tc>
          <w:tcPr>
            <w:tcW w:w="1275" w:type="dxa"/>
            <w:tcBorders>
              <w:tl2br w:val="nil"/>
              <w:tr2bl w:val="nil"/>
            </w:tcBorders>
            <w:shd w:val="clear" w:color="auto" w:fill="auto"/>
            <w:noWrap/>
            <w:vAlign w:val="center"/>
          </w:tcPr>
          <w:p w14:paraId="3BA55400">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sz w:val="22"/>
                <w:szCs w:val="22"/>
                <w:u w:val="none"/>
              </w:rPr>
            </w:pPr>
            <w:r>
              <w:rPr>
                <w:rFonts w:hint="default" w:ascii="Times New Roman" w:hAnsi="Times New Roman" w:eastAsia="宋体" w:cs="Times New Roman"/>
                <w:i w:val="0"/>
                <w:iCs w:val="0"/>
                <w:color w:val="0000FF"/>
                <w:kern w:val="0"/>
                <w:sz w:val="22"/>
                <w:szCs w:val="22"/>
                <w:u w:val="none"/>
                <w:lang w:val="en-US" w:eastAsia="zh-CN" w:bidi="ar"/>
              </w:rPr>
              <w:t>528,1831</w:t>
            </w:r>
          </w:p>
        </w:tc>
        <w:tc>
          <w:tcPr>
            <w:tcW w:w="1875" w:type="dxa"/>
            <w:tcBorders>
              <w:tl2br w:val="nil"/>
              <w:tr2bl w:val="nil"/>
            </w:tcBorders>
            <w:shd w:val="clear" w:color="auto" w:fill="auto"/>
            <w:noWrap/>
            <w:vAlign w:val="center"/>
          </w:tcPr>
          <w:p w14:paraId="0AF72A52">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1"/>
                <w:szCs w:val="21"/>
                <w:u w:val="none"/>
                <w:lang w:val="en-US" w:eastAsia="zh-CN" w:bidi="ar"/>
              </w:rPr>
              <w:t>98%保证率日平均</w:t>
            </w:r>
          </w:p>
        </w:tc>
        <w:tc>
          <w:tcPr>
            <w:tcW w:w="1260" w:type="dxa"/>
            <w:tcBorders>
              <w:tl2br w:val="nil"/>
              <w:tr2bl w:val="nil"/>
            </w:tcBorders>
            <w:shd w:val="clear" w:color="auto" w:fill="auto"/>
            <w:noWrap/>
            <w:vAlign w:val="center"/>
          </w:tcPr>
          <w:p w14:paraId="53BF8471">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sz w:val="22"/>
                <w:szCs w:val="22"/>
                <w:u w:val="none"/>
              </w:rPr>
            </w:pPr>
            <w:r>
              <w:rPr>
                <w:rFonts w:hint="default" w:ascii="Times New Roman" w:hAnsi="Times New Roman" w:eastAsia="宋体" w:cs="Times New Roman"/>
                <w:i w:val="0"/>
                <w:iCs w:val="0"/>
                <w:color w:val="0000FF"/>
                <w:kern w:val="0"/>
                <w:sz w:val="22"/>
                <w:szCs w:val="22"/>
                <w:u w:val="none"/>
                <w:lang w:val="en-US" w:eastAsia="zh-CN" w:bidi="ar"/>
              </w:rPr>
              <w:t>1.88E-03</w:t>
            </w:r>
          </w:p>
        </w:tc>
        <w:tc>
          <w:tcPr>
            <w:tcW w:w="1770" w:type="dxa"/>
            <w:tcBorders>
              <w:tl2br w:val="nil"/>
              <w:tr2bl w:val="nil"/>
            </w:tcBorders>
            <w:shd w:val="clear" w:color="auto" w:fill="auto"/>
            <w:noWrap/>
            <w:vAlign w:val="center"/>
          </w:tcPr>
          <w:p w14:paraId="2B698127">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sz w:val="22"/>
                <w:szCs w:val="22"/>
                <w:u w:val="none"/>
              </w:rPr>
            </w:pPr>
            <w:r>
              <w:rPr>
                <w:rFonts w:hint="default" w:ascii="Times New Roman" w:hAnsi="Times New Roman" w:eastAsia="宋体" w:cs="Times New Roman"/>
                <w:i w:val="0"/>
                <w:iCs w:val="0"/>
                <w:color w:val="0000FF"/>
                <w:kern w:val="0"/>
                <w:sz w:val="22"/>
                <w:szCs w:val="22"/>
                <w:u w:val="none"/>
                <w:lang w:val="en-US" w:eastAsia="zh-CN" w:bidi="ar"/>
              </w:rPr>
              <w:t>240224</w:t>
            </w:r>
          </w:p>
        </w:tc>
        <w:tc>
          <w:tcPr>
            <w:tcW w:w="1140" w:type="dxa"/>
            <w:tcBorders>
              <w:tl2br w:val="nil"/>
              <w:tr2bl w:val="nil"/>
            </w:tcBorders>
            <w:shd w:val="clear" w:color="auto" w:fill="auto"/>
            <w:noWrap/>
            <w:vAlign w:val="center"/>
          </w:tcPr>
          <w:p w14:paraId="0672C611">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sz w:val="22"/>
                <w:szCs w:val="22"/>
                <w:u w:val="none"/>
              </w:rPr>
            </w:pPr>
            <w:r>
              <w:rPr>
                <w:rFonts w:hint="default" w:ascii="Times New Roman" w:hAnsi="Times New Roman" w:eastAsia="宋体" w:cs="Times New Roman"/>
                <w:i w:val="0"/>
                <w:iCs w:val="0"/>
                <w:color w:val="0000FF"/>
                <w:kern w:val="0"/>
                <w:sz w:val="22"/>
                <w:szCs w:val="22"/>
                <w:u w:val="none"/>
                <w:lang w:val="en-US" w:eastAsia="zh-CN" w:bidi="ar"/>
              </w:rPr>
              <w:t>1.90E-02</w:t>
            </w:r>
          </w:p>
        </w:tc>
        <w:tc>
          <w:tcPr>
            <w:tcW w:w="1605" w:type="dxa"/>
            <w:tcBorders>
              <w:tl2br w:val="nil"/>
              <w:tr2bl w:val="nil"/>
            </w:tcBorders>
            <w:shd w:val="clear" w:color="auto" w:fill="auto"/>
            <w:noWrap/>
            <w:vAlign w:val="center"/>
          </w:tcPr>
          <w:p w14:paraId="4C2A66DA">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sz w:val="22"/>
                <w:szCs w:val="22"/>
                <w:u w:val="none"/>
              </w:rPr>
            </w:pPr>
            <w:r>
              <w:rPr>
                <w:rFonts w:hint="default" w:ascii="Times New Roman" w:hAnsi="Times New Roman" w:eastAsia="宋体" w:cs="Times New Roman"/>
                <w:i w:val="0"/>
                <w:iCs w:val="0"/>
                <w:color w:val="0000FF"/>
                <w:kern w:val="0"/>
                <w:sz w:val="22"/>
                <w:szCs w:val="22"/>
                <w:u w:val="none"/>
                <w:lang w:val="en-US" w:eastAsia="zh-CN" w:bidi="ar"/>
              </w:rPr>
              <w:t>2.09E-02</w:t>
            </w:r>
          </w:p>
        </w:tc>
        <w:tc>
          <w:tcPr>
            <w:tcW w:w="1275" w:type="dxa"/>
            <w:tcBorders>
              <w:tl2br w:val="nil"/>
              <w:tr2bl w:val="nil"/>
            </w:tcBorders>
            <w:shd w:val="clear" w:color="auto" w:fill="auto"/>
            <w:noWrap/>
            <w:vAlign w:val="center"/>
          </w:tcPr>
          <w:p w14:paraId="26C5F91D">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sz w:val="22"/>
                <w:szCs w:val="22"/>
                <w:u w:val="none"/>
              </w:rPr>
            </w:pPr>
            <w:r>
              <w:rPr>
                <w:rFonts w:hint="default" w:ascii="Times New Roman" w:hAnsi="Times New Roman" w:eastAsia="宋体" w:cs="Times New Roman"/>
                <w:i w:val="0"/>
                <w:iCs w:val="0"/>
                <w:color w:val="0000FF"/>
                <w:kern w:val="0"/>
                <w:sz w:val="22"/>
                <w:szCs w:val="22"/>
                <w:u w:val="none"/>
                <w:lang w:val="en-US" w:eastAsia="zh-CN" w:bidi="ar"/>
              </w:rPr>
              <w:t>1.50E-01</w:t>
            </w:r>
          </w:p>
        </w:tc>
        <w:tc>
          <w:tcPr>
            <w:tcW w:w="1485" w:type="dxa"/>
            <w:tcBorders>
              <w:tl2br w:val="nil"/>
              <w:tr2bl w:val="nil"/>
            </w:tcBorders>
            <w:shd w:val="clear" w:color="auto" w:fill="auto"/>
            <w:noWrap/>
            <w:vAlign w:val="center"/>
          </w:tcPr>
          <w:p w14:paraId="352C8348">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sz w:val="22"/>
                <w:szCs w:val="22"/>
                <w:u w:val="none"/>
              </w:rPr>
            </w:pPr>
            <w:r>
              <w:rPr>
                <w:rFonts w:hint="default" w:ascii="Times New Roman" w:hAnsi="Times New Roman" w:eastAsia="宋体" w:cs="Times New Roman"/>
                <w:i w:val="0"/>
                <w:iCs w:val="0"/>
                <w:color w:val="0000FF"/>
                <w:kern w:val="0"/>
                <w:sz w:val="22"/>
                <w:szCs w:val="22"/>
                <w:u w:val="none"/>
                <w:lang w:val="en-US" w:eastAsia="zh-CN" w:bidi="ar"/>
              </w:rPr>
              <w:t>13.92</w:t>
            </w:r>
          </w:p>
        </w:tc>
        <w:tc>
          <w:tcPr>
            <w:tcW w:w="912" w:type="dxa"/>
            <w:tcBorders>
              <w:tl2br w:val="nil"/>
              <w:tr2bl w:val="nil"/>
            </w:tcBorders>
            <w:shd w:val="clear" w:color="auto" w:fill="auto"/>
            <w:noWrap/>
            <w:vAlign w:val="center"/>
          </w:tcPr>
          <w:p w14:paraId="30319C66">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sz w:val="22"/>
                <w:szCs w:val="22"/>
                <w:u w:val="none"/>
              </w:rPr>
            </w:pPr>
            <w:r>
              <w:rPr>
                <w:rFonts w:hint="default" w:ascii="Times New Roman" w:hAnsi="Times New Roman" w:eastAsia="宋体" w:cs="Times New Roman"/>
                <w:i w:val="0"/>
                <w:iCs w:val="0"/>
                <w:color w:val="0000FF"/>
                <w:kern w:val="0"/>
                <w:sz w:val="22"/>
                <w:szCs w:val="22"/>
                <w:u w:val="none"/>
                <w:lang w:val="en-US" w:eastAsia="zh-CN" w:bidi="ar"/>
              </w:rPr>
              <w:t>达标</w:t>
            </w:r>
          </w:p>
        </w:tc>
      </w:tr>
      <w:tr w14:paraId="0183529B">
        <w:tblPrEx>
          <w:tblBorders>
            <w:top w:val="thinThickSmallGap" w:color="auto" w:sz="12" w:space="0"/>
            <w:left w:val="none" w:color="auto" w:sz="0" w:space="0"/>
            <w:bottom w:val="thinThickSmallGap" w:color="auto" w:sz="12" w:space="0"/>
            <w:right w:val="none" w:color="auto" w:sz="0"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 w:hRule="atLeast"/>
          <w:jc w:val="center"/>
        </w:trPr>
        <w:tc>
          <w:tcPr>
            <w:tcW w:w="528" w:type="dxa"/>
            <w:vMerge w:val="continue"/>
            <w:tcBorders>
              <w:tl2br w:val="nil"/>
              <w:tr2bl w:val="nil"/>
            </w:tcBorders>
            <w:shd w:val="clear" w:color="auto" w:fill="auto"/>
            <w:noWrap/>
            <w:vAlign w:val="center"/>
          </w:tcPr>
          <w:p w14:paraId="021CBE4D">
            <w:pPr>
              <w:keepNext w:val="0"/>
              <w:keepLines w:val="0"/>
              <w:pageBreakBefore w:val="0"/>
              <w:widowControl/>
              <w:kinsoku/>
              <w:wordWrap/>
              <w:overflowPunct/>
              <w:topLinePunct w:val="0"/>
              <w:autoSpaceDE/>
              <w:autoSpaceDN/>
              <w:bidi w:val="0"/>
              <w:adjustRightInd w:val="0"/>
              <w:snapToGrid w:val="0"/>
              <w:spacing w:line="240" w:lineRule="auto"/>
              <w:ind w:firstLineChars="0"/>
              <w:jc w:val="center"/>
              <w:rPr>
                <w:rFonts w:hint="default" w:ascii="Times New Roman" w:hAnsi="Times New Roman" w:eastAsia="宋体" w:cs="Times New Roman"/>
                <w:i w:val="0"/>
                <w:iCs w:val="0"/>
                <w:color w:val="0000FF"/>
                <w:sz w:val="22"/>
                <w:szCs w:val="22"/>
                <w:u w:val="none"/>
              </w:rPr>
            </w:pPr>
          </w:p>
        </w:tc>
        <w:tc>
          <w:tcPr>
            <w:tcW w:w="990" w:type="dxa"/>
            <w:vMerge w:val="continue"/>
            <w:tcBorders>
              <w:tl2br w:val="nil"/>
              <w:tr2bl w:val="nil"/>
            </w:tcBorders>
            <w:shd w:val="clear" w:color="auto" w:fill="auto"/>
            <w:noWrap/>
            <w:vAlign w:val="center"/>
          </w:tcPr>
          <w:p w14:paraId="115628E3">
            <w:pPr>
              <w:keepNext w:val="0"/>
              <w:keepLines w:val="0"/>
              <w:pageBreakBefore w:val="0"/>
              <w:widowControl/>
              <w:kinsoku/>
              <w:wordWrap/>
              <w:overflowPunct/>
              <w:topLinePunct w:val="0"/>
              <w:autoSpaceDE/>
              <w:autoSpaceDN/>
              <w:bidi w:val="0"/>
              <w:adjustRightInd w:val="0"/>
              <w:snapToGrid w:val="0"/>
              <w:spacing w:line="240" w:lineRule="auto"/>
              <w:ind w:firstLineChars="0"/>
              <w:jc w:val="center"/>
              <w:rPr>
                <w:rFonts w:hint="default" w:ascii="Times New Roman" w:hAnsi="Times New Roman" w:eastAsia="宋体" w:cs="Times New Roman"/>
                <w:i w:val="0"/>
                <w:iCs w:val="0"/>
                <w:color w:val="0000FF"/>
                <w:sz w:val="22"/>
                <w:szCs w:val="22"/>
                <w:u w:val="none"/>
              </w:rPr>
            </w:pPr>
          </w:p>
        </w:tc>
        <w:tc>
          <w:tcPr>
            <w:tcW w:w="1275" w:type="dxa"/>
            <w:tcBorders>
              <w:tl2br w:val="nil"/>
              <w:tr2bl w:val="nil"/>
            </w:tcBorders>
            <w:shd w:val="clear" w:color="auto" w:fill="auto"/>
            <w:noWrap/>
            <w:vAlign w:val="center"/>
          </w:tcPr>
          <w:p w14:paraId="546FAEB7">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sz w:val="22"/>
                <w:szCs w:val="22"/>
                <w:u w:val="none"/>
              </w:rPr>
            </w:pPr>
            <w:r>
              <w:rPr>
                <w:rFonts w:hint="default" w:ascii="Times New Roman" w:hAnsi="Times New Roman" w:eastAsia="宋体" w:cs="Times New Roman"/>
                <w:i w:val="0"/>
                <w:iCs w:val="0"/>
                <w:color w:val="0000FF"/>
                <w:kern w:val="0"/>
                <w:sz w:val="22"/>
                <w:szCs w:val="22"/>
                <w:u w:val="none"/>
                <w:lang w:val="en-US" w:eastAsia="zh-CN" w:bidi="ar"/>
              </w:rPr>
              <w:t>28,931</w:t>
            </w:r>
          </w:p>
        </w:tc>
        <w:tc>
          <w:tcPr>
            <w:tcW w:w="1875" w:type="dxa"/>
            <w:tcBorders>
              <w:tl2br w:val="nil"/>
              <w:tr2bl w:val="nil"/>
            </w:tcBorders>
            <w:shd w:val="clear" w:color="auto" w:fill="auto"/>
            <w:noWrap/>
            <w:vAlign w:val="center"/>
          </w:tcPr>
          <w:p w14:paraId="4F088E86">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sz w:val="22"/>
                <w:szCs w:val="22"/>
                <w:u w:val="none"/>
              </w:rPr>
            </w:pPr>
            <w:r>
              <w:rPr>
                <w:rFonts w:hint="default" w:ascii="Times New Roman" w:hAnsi="Times New Roman" w:eastAsia="宋体" w:cs="Times New Roman"/>
                <w:i w:val="0"/>
                <w:iCs w:val="0"/>
                <w:color w:val="0000FF"/>
                <w:kern w:val="0"/>
                <w:sz w:val="22"/>
                <w:szCs w:val="22"/>
                <w:u w:val="none"/>
                <w:lang w:val="en-US" w:eastAsia="zh-CN" w:bidi="ar"/>
              </w:rPr>
              <w:t>全时段</w:t>
            </w:r>
          </w:p>
        </w:tc>
        <w:tc>
          <w:tcPr>
            <w:tcW w:w="1260" w:type="dxa"/>
            <w:tcBorders>
              <w:tl2br w:val="nil"/>
              <w:tr2bl w:val="nil"/>
            </w:tcBorders>
            <w:shd w:val="clear" w:color="auto" w:fill="auto"/>
            <w:noWrap/>
            <w:vAlign w:val="center"/>
          </w:tcPr>
          <w:p w14:paraId="035AC956">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sz w:val="22"/>
                <w:szCs w:val="22"/>
                <w:u w:val="none"/>
              </w:rPr>
            </w:pPr>
            <w:r>
              <w:rPr>
                <w:rFonts w:hint="default" w:ascii="Times New Roman" w:hAnsi="Times New Roman" w:eastAsia="宋体" w:cs="Times New Roman"/>
                <w:i w:val="0"/>
                <w:iCs w:val="0"/>
                <w:color w:val="0000FF"/>
                <w:kern w:val="0"/>
                <w:sz w:val="22"/>
                <w:szCs w:val="22"/>
                <w:u w:val="none"/>
                <w:lang w:val="en-US" w:eastAsia="zh-CN" w:bidi="ar"/>
              </w:rPr>
              <w:t>4.06E-04</w:t>
            </w:r>
          </w:p>
        </w:tc>
        <w:tc>
          <w:tcPr>
            <w:tcW w:w="1770" w:type="dxa"/>
            <w:tcBorders>
              <w:tl2br w:val="nil"/>
              <w:tr2bl w:val="nil"/>
            </w:tcBorders>
            <w:shd w:val="clear" w:color="auto" w:fill="auto"/>
            <w:noWrap/>
            <w:vAlign w:val="center"/>
          </w:tcPr>
          <w:p w14:paraId="1BE257AD">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sz w:val="22"/>
                <w:szCs w:val="22"/>
                <w:u w:val="none"/>
              </w:rPr>
            </w:pPr>
            <w:r>
              <w:rPr>
                <w:rFonts w:hint="default" w:ascii="Times New Roman" w:hAnsi="Times New Roman" w:eastAsia="宋体" w:cs="Times New Roman"/>
                <w:i w:val="0"/>
                <w:iCs w:val="0"/>
                <w:color w:val="0000FF"/>
                <w:kern w:val="0"/>
                <w:sz w:val="22"/>
                <w:szCs w:val="22"/>
                <w:u w:val="none"/>
                <w:lang w:val="en-US" w:eastAsia="zh-CN" w:bidi="ar"/>
              </w:rPr>
              <w:t>平均值</w:t>
            </w:r>
          </w:p>
        </w:tc>
        <w:tc>
          <w:tcPr>
            <w:tcW w:w="1140" w:type="dxa"/>
            <w:tcBorders>
              <w:tl2br w:val="nil"/>
              <w:tr2bl w:val="nil"/>
            </w:tcBorders>
            <w:shd w:val="clear" w:color="auto" w:fill="auto"/>
            <w:noWrap/>
            <w:vAlign w:val="center"/>
          </w:tcPr>
          <w:p w14:paraId="4FE6D991">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sz w:val="22"/>
                <w:szCs w:val="22"/>
                <w:u w:val="none"/>
              </w:rPr>
            </w:pPr>
            <w:r>
              <w:rPr>
                <w:rFonts w:hint="default" w:ascii="Times New Roman" w:hAnsi="Times New Roman" w:eastAsia="宋体" w:cs="Times New Roman"/>
                <w:i w:val="0"/>
                <w:iCs w:val="0"/>
                <w:color w:val="0000FF"/>
                <w:kern w:val="0"/>
                <w:sz w:val="22"/>
                <w:szCs w:val="22"/>
                <w:u w:val="none"/>
                <w:lang w:val="en-US" w:eastAsia="zh-CN" w:bidi="ar"/>
              </w:rPr>
              <w:t>9.10E-03</w:t>
            </w:r>
          </w:p>
        </w:tc>
        <w:tc>
          <w:tcPr>
            <w:tcW w:w="1605" w:type="dxa"/>
            <w:tcBorders>
              <w:tl2br w:val="nil"/>
              <w:tr2bl w:val="nil"/>
            </w:tcBorders>
            <w:shd w:val="clear" w:color="auto" w:fill="auto"/>
            <w:noWrap/>
            <w:vAlign w:val="center"/>
          </w:tcPr>
          <w:p w14:paraId="50898186">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sz w:val="22"/>
                <w:szCs w:val="22"/>
                <w:u w:val="none"/>
              </w:rPr>
            </w:pPr>
            <w:r>
              <w:rPr>
                <w:rFonts w:hint="default" w:ascii="Times New Roman" w:hAnsi="Times New Roman" w:eastAsia="宋体" w:cs="Times New Roman"/>
                <w:i w:val="0"/>
                <w:iCs w:val="0"/>
                <w:color w:val="0000FF"/>
                <w:kern w:val="0"/>
                <w:sz w:val="22"/>
                <w:szCs w:val="22"/>
                <w:u w:val="none"/>
                <w:lang w:val="en-US" w:eastAsia="zh-CN" w:bidi="ar"/>
              </w:rPr>
              <w:t>9.50E-03</w:t>
            </w:r>
          </w:p>
        </w:tc>
        <w:tc>
          <w:tcPr>
            <w:tcW w:w="1275" w:type="dxa"/>
            <w:tcBorders>
              <w:tl2br w:val="nil"/>
              <w:tr2bl w:val="nil"/>
            </w:tcBorders>
            <w:shd w:val="clear" w:color="auto" w:fill="auto"/>
            <w:noWrap/>
            <w:vAlign w:val="center"/>
          </w:tcPr>
          <w:p w14:paraId="569D7EA0">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sz w:val="22"/>
                <w:szCs w:val="22"/>
                <w:u w:val="none"/>
              </w:rPr>
            </w:pPr>
            <w:r>
              <w:rPr>
                <w:rFonts w:hint="default" w:ascii="Times New Roman" w:hAnsi="Times New Roman" w:eastAsia="宋体" w:cs="Times New Roman"/>
                <w:i w:val="0"/>
                <w:iCs w:val="0"/>
                <w:color w:val="0000FF"/>
                <w:kern w:val="0"/>
                <w:sz w:val="22"/>
                <w:szCs w:val="22"/>
                <w:u w:val="none"/>
                <w:lang w:val="en-US" w:eastAsia="zh-CN" w:bidi="ar"/>
              </w:rPr>
              <w:t>6.00E-02</w:t>
            </w:r>
          </w:p>
        </w:tc>
        <w:tc>
          <w:tcPr>
            <w:tcW w:w="1485" w:type="dxa"/>
            <w:tcBorders>
              <w:tl2br w:val="nil"/>
              <w:tr2bl w:val="nil"/>
            </w:tcBorders>
            <w:shd w:val="clear" w:color="auto" w:fill="auto"/>
            <w:noWrap/>
            <w:vAlign w:val="center"/>
          </w:tcPr>
          <w:p w14:paraId="7DD00973">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sz w:val="22"/>
                <w:szCs w:val="22"/>
                <w:u w:val="none"/>
              </w:rPr>
            </w:pPr>
            <w:r>
              <w:rPr>
                <w:rFonts w:hint="default" w:ascii="Times New Roman" w:hAnsi="Times New Roman" w:eastAsia="宋体" w:cs="Times New Roman"/>
                <w:i w:val="0"/>
                <w:iCs w:val="0"/>
                <w:color w:val="0000FF"/>
                <w:kern w:val="0"/>
                <w:sz w:val="22"/>
                <w:szCs w:val="22"/>
                <w:u w:val="none"/>
                <w:lang w:val="en-US" w:eastAsia="zh-CN" w:bidi="ar"/>
              </w:rPr>
              <w:t>15.84</w:t>
            </w:r>
          </w:p>
        </w:tc>
        <w:tc>
          <w:tcPr>
            <w:tcW w:w="912" w:type="dxa"/>
            <w:tcBorders>
              <w:tl2br w:val="nil"/>
              <w:tr2bl w:val="nil"/>
            </w:tcBorders>
            <w:shd w:val="clear" w:color="auto" w:fill="auto"/>
            <w:noWrap/>
            <w:vAlign w:val="center"/>
          </w:tcPr>
          <w:p w14:paraId="64E7E505">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sz w:val="22"/>
                <w:szCs w:val="22"/>
                <w:u w:val="none"/>
              </w:rPr>
            </w:pPr>
            <w:r>
              <w:rPr>
                <w:rFonts w:hint="default" w:ascii="Times New Roman" w:hAnsi="Times New Roman" w:eastAsia="宋体" w:cs="Times New Roman"/>
                <w:i w:val="0"/>
                <w:iCs w:val="0"/>
                <w:color w:val="0000FF"/>
                <w:kern w:val="0"/>
                <w:sz w:val="22"/>
                <w:szCs w:val="22"/>
                <w:u w:val="none"/>
                <w:lang w:val="en-US" w:eastAsia="zh-CN" w:bidi="ar"/>
              </w:rPr>
              <w:t>达标</w:t>
            </w:r>
          </w:p>
        </w:tc>
      </w:tr>
    </w:tbl>
    <w:p w14:paraId="27819ECF">
      <w:pPr>
        <w:tabs>
          <w:tab w:val="left" w:pos="851"/>
          <w:tab w:val="left" w:pos="1141"/>
          <w:tab w:val="left" w:pos="4335"/>
        </w:tabs>
        <w:jc w:val="center"/>
        <w:rPr>
          <w:rFonts w:hint="default" w:ascii="Times New Roman" w:hAnsi="Times New Roman" w:eastAsia="黑体" w:cs="Times New Roman"/>
          <w:bCs/>
          <w:color w:val="0000FF"/>
        </w:rPr>
      </w:pPr>
      <w:r>
        <w:rPr>
          <w:rFonts w:hint="default" w:ascii="Times New Roman" w:hAnsi="Times New Roman" w:eastAsia="黑体" w:cs="Times New Roman"/>
          <w:bCs/>
          <w:color w:val="0000FF"/>
        </w:rPr>
        <w:t>表</w:t>
      </w:r>
      <w:r>
        <w:rPr>
          <w:rFonts w:hint="eastAsia" w:ascii="Times New Roman" w:hAnsi="Times New Roman" w:eastAsia="黑体" w:cs="Times New Roman"/>
          <w:bCs/>
          <w:color w:val="0000FF"/>
          <w:lang w:val="en-US" w:eastAsia="zh-CN"/>
        </w:rPr>
        <w:t xml:space="preserve">5.1-23 </w:t>
      </w:r>
      <w:r>
        <w:rPr>
          <w:rFonts w:hint="default" w:ascii="Times New Roman" w:hAnsi="Times New Roman" w:eastAsia="黑体" w:cs="Times New Roman"/>
          <w:bCs/>
          <w:color w:val="0000FF"/>
        </w:rPr>
        <w:t>关心点及网格点</w:t>
      </w:r>
      <w:r>
        <w:rPr>
          <w:rFonts w:hint="eastAsia" w:ascii="Times New Roman" w:hAnsi="Times New Roman" w:eastAsia="黑体" w:cs="Times New Roman"/>
          <w:bCs/>
          <w:color w:val="0000FF"/>
          <w:lang w:val="en-US" w:eastAsia="zh-CN"/>
        </w:rPr>
        <w:t>氟化物</w:t>
      </w:r>
      <w:r>
        <w:rPr>
          <w:rFonts w:hint="default" w:ascii="Times New Roman" w:hAnsi="Times New Roman" w:eastAsia="黑体" w:cs="Times New Roman"/>
          <w:bCs/>
          <w:color w:val="0000FF"/>
        </w:rPr>
        <w:t>叠加最大浓度预测结果表</w:t>
      </w:r>
    </w:p>
    <w:tbl>
      <w:tblPr>
        <w:tblStyle w:val="56"/>
        <w:tblW w:w="4884" w:type="pct"/>
        <w:tblInd w:w="0" w:type="dxa"/>
        <w:tblBorders>
          <w:top w:val="thinThickSmallGap" w:color="000000" w:sz="12" w:space="0"/>
          <w:left w:val="none" w:color="auto" w:sz="0" w:space="0"/>
          <w:bottom w:val="thinThickSmallGap" w:color="000000" w:sz="12" w:space="0"/>
          <w:right w:val="none" w:color="auto" w:sz="0" w:space="0"/>
          <w:insideH w:val="single" w:color="000000" w:sz="4" w:space="0"/>
          <w:insideV w:val="single" w:color="000000" w:sz="4" w:space="0"/>
        </w:tblBorders>
        <w:shd w:val="clear" w:color="auto" w:fill="auto"/>
        <w:tblLayout w:type="fixed"/>
        <w:tblCellMar>
          <w:top w:w="0" w:type="dxa"/>
          <w:left w:w="108" w:type="dxa"/>
          <w:bottom w:w="0" w:type="dxa"/>
          <w:right w:w="108" w:type="dxa"/>
        </w:tblCellMar>
      </w:tblPr>
      <w:tblGrid>
        <w:gridCol w:w="590"/>
        <w:gridCol w:w="960"/>
        <w:gridCol w:w="1290"/>
        <w:gridCol w:w="1395"/>
        <w:gridCol w:w="1335"/>
        <w:gridCol w:w="1815"/>
        <w:gridCol w:w="1575"/>
        <w:gridCol w:w="1588"/>
        <w:gridCol w:w="1125"/>
        <w:gridCol w:w="1440"/>
        <w:gridCol w:w="735"/>
      </w:tblGrid>
      <w:tr w14:paraId="117774AF">
        <w:tblPrEx>
          <w:tblBorders>
            <w:top w:val="thinThickSmallGap" w:color="000000" w:sz="12" w:space="0"/>
            <w:left w:val="none" w:color="auto" w:sz="0" w:space="0"/>
            <w:bottom w:val="thinThickSmallGap" w:color="000000" w:sz="12" w:space="0"/>
            <w:right w:val="none" w:color="auto" w:sz="0"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300" w:hRule="atLeast"/>
        </w:trPr>
        <w:tc>
          <w:tcPr>
            <w:tcW w:w="213" w:type="pct"/>
            <w:tcBorders>
              <w:tl2br w:val="nil"/>
              <w:tr2bl w:val="nil"/>
            </w:tcBorders>
            <w:shd w:val="clear" w:color="auto" w:fill="auto"/>
            <w:noWrap/>
            <w:vAlign w:val="center"/>
          </w:tcPr>
          <w:p w14:paraId="42127774">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eastAsia" w:ascii="宋体" w:hAnsi="宋体" w:eastAsia="宋体" w:cs="宋体"/>
                <w:i w:val="0"/>
                <w:iCs w:val="0"/>
                <w:color w:val="0000FF"/>
                <w:sz w:val="22"/>
                <w:szCs w:val="22"/>
                <w:u w:val="none"/>
              </w:rPr>
            </w:pPr>
            <w:r>
              <w:rPr>
                <w:rFonts w:hint="eastAsia" w:ascii="宋体" w:hAnsi="宋体" w:eastAsia="宋体" w:cs="宋体"/>
                <w:i w:val="0"/>
                <w:iCs w:val="0"/>
                <w:color w:val="0000FF"/>
                <w:kern w:val="0"/>
                <w:sz w:val="22"/>
                <w:szCs w:val="22"/>
                <w:u w:val="none"/>
                <w:lang w:val="en-US" w:eastAsia="zh-CN" w:bidi="ar"/>
              </w:rPr>
              <w:t>序号</w:t>
            </w:r>
          </w:p>
        </w:tc>
        <w:tc>
          <w:tcPr>
            <w:tcW w:w="346" w:type="pct"/>
            <w:tcBorders>
              <w:tl2br w:val="nil"/>
              <w:tr2bl w:val="nil"/>
            </w:tcBorders>
            <w:shd w:val="clear" w:color="auto" w:fill="auto"/>
            <w:noWrap/>
            <w:vAlign w:val="center"/>
          </w:tcPr>
          <w:p w14:paraId="4108AE7A">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eastAsia" w:ascii="宋体" w:hAnsi="宋体" w:eastAsia="宋体" w:cs="宋体"/>
                <w:i w:val="0"/>
                <w:iCs w:val="0"/>
                <w:color w:val="0000FF"/>
                <w:sz w:val="22"/>
                <w:szCs w:val="22"/>
                <w:u w:val="none"/>
              </w:rPr>
            </w:pPr>
            <w:r>
              <w:rPr>
                <w:rFonts w:hint="eastAsia" w:ascii="宋体" w:hAnsi="宋体" w:eastAsia="宋体" w:cs="宋体"/>
                <w:i w:val="0"/>
                <w:iCs w:val="0"/>
                <w:color w:val="0000FF"/>
                <w:kern w:val="0"/>
                <w:sz w:val="22"/>
                <w:szCs w:val="22"/>
                <w:u w:val="none"/>
                <w:lang w:val="en-US" w:eastAsia="zh-CN" w:bidi="ar"/>
              </w:rPr>
              <w:t>点名称</w:t>
            </w:r>
          </w:p>
        </w:tc>
        <w:tc>
          <w:tcPr>
            <w:tcW w:w="465" w:type="pct"/>
            <w:tcBorders>
              <w:tl2br w:val="nil"/>
              <w:tr2bl w:val="nil"/>
            </w:tcBorders>
            <w:shd w:val="clear" w:color="auto" w:fill="auto"/>
            <w:noWrap/>
            <w:vAlign w:val="center"/>
          </w:tcPr>
          <w:p w14:paraId="259EE764">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eastAsia" w:ascii="宋体" w:hAnsi="宋体" w:eastAsia="宋体" w:cs="宋体"/>
                <w:i w:val="0"/>
                <w:iCs w:val="0"/>
                <w:color w:val="0000FF"/>
                <w:sz w:val="22"/>
                <w:szCs w:val="22"/>
                <w:u w:val="none"/>
              </w:rPr>
            </w:pPr>
            <w:r>
              <w:rPr>
                <w:rFonts w:hint="eastAsia" w:ascii="宋体" w:hAnsi="宋体" w:eastAsia="宋体" w:cs="宋体"/>
                <w:i w:val="0"/>
                <w:iCs w:val="0"/>
                <w:color w:val="0000FF"/>
                <w:kern w:val="0"/>
                <w:sz w:val="22"/>
                <w:szCs w:val="22"/>
                <w:u w:val="none"/>
                <w:lang w:val="en-US" w:eastAsia="zh-CN" w:bidi="ar"/>
              </w:rPr>
              <w:t>点坐标</w:t>
            </w:r>
            <w:r>
              <w:rPr>
                <w:rFonts w:hint="default" w:ascii="Times New Roman" w:hAnsi="Times New Roman" w:eastAsia="宋体" w:cs="Times New Roman"/>
                <w:i w:val="0"/>
                <w:iCs w:val="0"/>
                <w:color w:val="0000FF"/>
                <w:kern w:val="0"/>
                <w:sz w:val="22"/>
                <w:szCs w:val="22"/>
                <w:u w:val="none"/>
                <w:lang w:val="en-US" w:eastAsia="zh-CN" w:bidi="ar"/>
              </w:rPr>
              <w:t>(x</w:t>
            </w:r>
            <w:r>
              <w:rPr>
                <w:rFonts w:hint="eastAsia" w:ascii="宋体" w:hAnsi="宋体" w:eastAsia="宋体" w:cs="宋体"/>
                <w:i w:val="0"/>
                <w:iCs w:val="0"/>
                <w:color w:val="0000FF"/>
                <w:kern w:val="0"/>
                <w:sz w:val="22"/>
                <w:szCs w:val="22"/>
                <w:u w:val="none"/>
                <w:lang w:val="en-US" w:eastAsia="zh-CN" w:bidi="ar"/>
              </w:rPr>
              <w:t>,</w:t>
            </w:r>
            <w:r>
              <w:rPr>
                <w:rFonts w:hint="default" w:ascii="Times New Roman" w:hAnsi="Times New Roman" w:eastAsia="宋体" w:cs="Times New Roman"/>
                <w:i w:val="0"/>
                <w:iCs w:val="0"/>
                <w:color w:val="0000FF"/>
                <w:kern w:val="0"/>
                <w:sz w:val="22"/>
                <w:szCs w:val="22"/>
                <w:u w:val="none"/>
                <w:lang w:val="en-US" w:eastAsia="zh-CN" w:bidi="ar"/>
              </w:rPr>
              <w:t>y)</w:t>
            </w:r>
          </w:p>
        </w:tc>
        <w:tc>
          <w:tcPr>
            <w:tcW w:w="503" w:type="pct"/>
            <w:tcBorders>
              <w:tl2br w:val="nil"/>
              <w:tr2bl w:val="nil"/>
            </w:tcBorders>
            <w:shd w:val="clear" w:color="auto" w:fill="auto"/>
            <w:noWrap/>
            <w:vAlign w:val="center"/>
          </w:tcPr>
          <w:p w14:paraId="050AE8F8">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eastAsia" w:ascii="宋体" w:hAnsi="宋体" w:eastAsia="宋体" w:cs="宋体"/>
                <w:i w:val="0"/>
                <w:iCs w:val="0"/>
                <w:color w:val="0000FF"/>
                <w:sz w:val="22"/>
                <w:szCs w:val="22"/>
                <w:u w:val="none"/>
              </w:rPr>
            </w:pPr>
            <w:r>
              <w:rPr>
                <w:rFonts w:hint="eastAsia" w:ascii="宋体" w:hAnsi="宋体" w:eastAsia="宋体" w:cs="宋体"/>
                <w:i w:val="0"/>
                <w:iCs w:val="0"/>
                <w:color w:val="0000FF"/>
                <w:kern w:val="0"/>
                <w:sz w:val="22"/>
                <w:szCs w:val="22"/>
                <w:u w:val="none"/>
                <w:lang w:val="en-US" w:eastAsia="zh-CN" w:bidi="ar"/>
              </w:rPr>
              <w:t>浓度类型</w:t>
            </w:r>
          </w:p>
        </w:tc>
        <w:tc>
          <w:tcPr>
            <w:tcW w:w="482" w:type="pct"/>
            <w:tcBorders>
              <w:tl2br w:val="nil"/>
              <w:tr2bl w:val="nil"/>
            </w:tcBorders>
            <w:shd w:val="clear" w:color="auto" w:fill="auto"/>
            <w:noWrap/>
            <w:vAlign w:val="center"/>
          </w:tcPr>
          <w:p w14:paraId="7115F5BE">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eastAsia" w:ascii="宋体" w:hAnsi="宋体" w:eastAsia="宋体" w:cs="宋体"/>
                <w:i w:val="0"/>
                <w:iCs w:val="0"/>
                <w:color w:val="0000FF"/>
                <w:sz w:val="22"/>
                <w:szCs w:val="22"/>
                <w:u w:val="none"/>
              </w:rPr>
            </w:pPr>
            <w:r>
              <w:rPr>
                <w:rFonts w:hint="eastAsia" w:ascii="宋体" w:hAnsi="宋体" w:eastAsia="宋体" w:cs="宋体"/>
                <w:i w:val="0"/>
                <w:iCs w:val="0"/>
                <w:color w:val="0000FF"/>
                <w:kern w:val="0"/>
                <w:sz w:val="22"/>
                <w:szCs w:val="22"/>
                <w:u w:val="none"/>
                <w:lang w:val="en-US" w:eastAsia="zh-CN" w:bidi="ar"/>
              </w:rPr>
              <w:t>浓度增量</w:t>
            </w:r>
            <w:r>
              <w:rPr>
                <w:rFonts w:hint="default" w:ascii="Times New Roman" w:hAnsi="Times New Roman" w:eastAsia="宋体" w:cs="Times New Roman"/>
                <w:i w:val="0"/>
                <w:iCs w:val="0"/>
                <w:color w:val="0000FF"/>
                <w:kern w:val="0"/>
                <w:sz w:val="22"/>
                <w:szCs w:val="22"/>
                <w:u w:val="none"/>
                <w:lang w:val="en-US" w:eastAsia="zh-CN" w:bidi="ar"/>
              </w:rPr>
              <w:t>(mg/m</w:t>
            </w:r>
            <w:r>
              <w:rPr>
                <w:rFonts w:hint="default" w:ascii="Times New Roman" w:hAnsi="Times New Roman" w:eastAsia="宋体" w:cs="Times New Roman"/>
                <w:i w:val="0"/>
                <w:iCs w:val="0"/>
                <w:color w:val="0000FF"/>
                <w:kern w:val="0"/>
                <w:sz w:val="22"/>
                <w:szCs w:val="22"/>
                <w:u w:val="none"/>
                <w:vertAlign w:val="superscript"/>
                <w:lang w:val="en-US" w:eastAsia="zh-CN" w:bidi="ar"/>
              </w:rPr>
              <w:t>3</w:t>
            </w:r>
            <w:r>
              <w:rPr>
                <w:rFonts w:hint="default" w:ascii="Times New Roman" w:hAnsi="Times New Roman" w:eastAsia="宋体" w:cs="Times New Roman"/>
                <w:i w:val="0"/>
                <w:iCs w:val="0"/>
                <w:color w:val="0000FF"/>
                <w:kern w:val="0"/>
                <w:sz w:val="22"/>
                <w:szCs w:val="22"/>
                <w:u w:val="none"/>
                <w:lang w:val="en-US" w:eastAsia="zh-CN" w:bidi="ar"/>
              </w:rPr>
              <w:t>)</w:t>
            </w:r>
          </w:p>
        </w:tc>
        <w:tc>
          <w:tcPr>
            <w:tcW w:w="655" w:type="pct"/>
            <w:tcBorders>
              <w:tl2br w:val="nil"/>
              <w:tr2bl w:val="nil"/>
            </w:tcBorders>
            <w:shd w:val="clear" w:color="auto" w:fill="auto"/>
            <w:noWrap/>
            <w:vAlign w:val="center"/>
          </w:tcPr>
          <w:p w14:paraId="31873D2F">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eastAsia" w:ascii="宋体" w:hAnsi="宋体" w:eastAsia="宋体" w:cs="宋体"/>
                <w:i w:val="0"/>
                <w:iCs w:val="0"/>
                <w:color w:val="0000FF"/>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出现时间(YYMMDDHH)</w:t>
            </w:r>
          </w:p>
        </w:tc>
        <w:tc>
          <w:tcPr>
            <w:tcW w:w="568" w:type="pct"/>
            <w:tcBorders>
              <w:tl2br w:val="nil"/>
              <w:tr2bl w:val="nil"/>
            </w:tcBorders>
            <w:shd w:val="clear" w:color="auto" w:fill="auto"/>
            <w:noWrap/>
            <w:vAlign w:val="center"/>
          </w:tcPr>
          <w:p w14:paraId="240BEBA5">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eastAsia" w:ascii="宋体" w:hAnsi="宋体" w:eastAsia="宋体" w:cs="宋体"/>
                <w:i w:val="0"/>
                <w:iCs w:val="0"/>
                <w:color w:val="0000FF"/>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背景浓度(mg/m</w:t>
            </w:r>
            <w:r>
              <w:rPr>
                <w:rFonts w:hint="default" w:ascii="Times New Roman" w:hAnsi="Times New Roman" w:eastAsia="宋体" w:cs="Times New Roman"/>
                <w:i w:val="0"/>
                <w:iCs w:val="0"/>
                <w:color w:val="000000"/>
                <w:kern w:val="0"/>
                <w:sz w:val="22"/>
                <w:szCs w:val="22"/>
                <w:u w:val="none"/>
                <w:vertAlign w:val="superscript"/>
                <w:lang w:val="en-US" w:eastAsia="zh-CN" w:bidi="ar"/>
              </w:rPr>
              <w:t>3</w:t>
            </w:r>
            <w:r>
              <w:rPr>
                <w:rFonts w:hint="default" w:ascii="Times New Roman" w:hAnsi="Times New Roman" w:eastAsia="宋体" w:cs="Times New Roman"/>
                <w:i w:val="0"/>
                <w:iCs w:val="0"/>
                <w:color w:val="000000"/>
                <w:kern w:val="0"/>
                <w:sz w:val="22"/>
                <w:szCs w:val="22"/>
                <w:u w:val="none"/>
                <w:lang w:val="en-US" w:eastAsia="zh-CN" w:bidi="ar"/>
              </w:rPr>
              <w:t>)</w:t>
            </w:r>
          </w:p>
        </w:tc>
        <w:tc>
          <w:tcPr>
            <w:tcW w:w="573" w:type="pct"/>
            <w:tcBorders>
              <w:tl2br w:val="nil"/>
              <w:tr2bl w:val="nil"/>
            </w:tcBorders>
            <w:shd w:val="clear" w:color="auto" w:fill="auto"/>
            <w:noWrap/>
            <w:vAlign w:val="center"/>
          </w:tcPr>
          <w:p w14:paraId="7BCA2F85">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eastAsia" w:ascii="宋体" w:hAnsi="宋体" w:eastAsia="宋体" w:cs="宋体"/>
                <w:i w:val="0"/>
                <w:iCs w:val="0"/>
                <w:color w:val="0000FF"/>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叠加背景后的浓度(mg/m</w:t>
            </w:r>
            <w:r>
              <w:rPr>
                <w:rFonts w:hint="default" w:ascii="Times New Roman" w:hAnsi="Times New Roman" w:eastAsia="宋体" w:cs="Times New Roman"/>
                <w:i w:val="0"/>
                <w:iCs w:val="0"/>
                <w:color w:val="000000"/>
                <w:kern w:val="0"/>
                <w:sz w:val="22"/>
                <w:szCs w:val="22"/>
                <w:u w:val="none"/>
                <w:vertAlign w:val="superscript"/>
                <w:lang w:val="en-US" w:eastAsia="zh-CN" w:bidi="ar"/>
              </w:rPr>
              <w:t>3</w:t>
            </w:r>
            <w:r>
              <w:rPr>
                <w:rFonts w:hint="default" w:ascii="Times New Roman" w:hAnsi="Times New Roman" w:eastAsia="宋体" w:cs="Times New Roman"/>
                <w:i w:val="0"/>
                <w:iCs w:val="0"/>
                <w:color w:val="000000"/>
                <w:kern w:val="0"/>
                <w:sz w:val="22"/>
                <w:szCs w:val="22"/>
                <w:u w:val="none"/>
                <w:lang w:val="en-US" w:eastAsia="zh-CN" w:bidi="ar"/>
              </w:rPr>
              <w:t>)</w:t>
            </w:r>
          </w:p>
        </w:tc>
        <w:tc>
          <w:tcPr>
            <w:tcW w:w="406" w:type="pct"/>
            <w:tcBorders>
              <w:tl2br w:val="nil"/>
              <w:tr2bl w:val="nil"/>
            </w:tcBorders>
            <w:shd w:val="clear" w:color="auto" w:fill="auto"/>
            <w:noWrap/>
            <w:vAlign w:val="center"/>
          </w:tcPr>
          <w:p w14:paraId="64DBFBDE">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eastAsia" w:ascii="宋体" w:hAnsi="宋体" w:eastAsia="宋体" w:cs="宋体"/>
                <w:i w:val="0"/>
                <w:iCs w:val="0"/>
                <w:color w:val="0000FF"/>
                <w:sz w:val="22"/>
                <w:szCs w:val="22"/>
                <w:u w:val="none"/>
              </w:rPr>
            </w:pPr>
            <w:r>
              <w:rPr>
                <w:rFonts w:hint="eastAsia" w:ascii="宋体" w:hAnsi="宋体" w:eastAsia="宋体" w:cs="宋体"/>
                <w:i w:val="0"/>
                <w:iCs w:val="0"/>
                <w:color w:val="0000FF"/>
                <w:kern w:val="0"/>
                <w:sz w:val="22"/>
                <w:szCs w:val="22"/>
                <w:u w:val="none"/>
                <w:lang w:val="en-US" w:eastAsia="zh-CN" w:bidi="ar"/>
              </w:rPr>
              <w:t>评价标准</w:t>
            </w:r>
            <w:r>
              <w:rPr>
                <w:rFonts w:hint="default" w:ascii="Times New Roman" w:hAnsi="Times New Roman" w:eastAsia="宋体" w:cs="Times New Roman"/>
                <w:i w:val="0"/>
                <w:iCs w:val="0"/>
                <w:color w:val="0000FF"/>
                <w:kern w:val="0"/>
                <w:sz w:val="22"/>
                <w:szCs w:val="22"/>
                <w:u w:val="none"/>
                <w:lang w:val="en-US" w:eastAsia="zh-CN" w:bidi="ar"/>
              </w:rPr>
              <w:t>(mg/m</w:t>
            </w:r>
            <w:r>
              <w:rPr>
                <w:rFonts w:hint="default" w:ascii="Times New Roman" w:hAnsi="Times New Roman" w:eastAsia="宋体" w:cs="Times New Roman"/>
                <w:i w:val="0"/>
                <w:iCs w:val="0"/>
                <w:color w:val="0000FF"/>
                <w:kern w:val="0"/>
                <w:sz w:val="22"/>
                <w:szCs w:val="22"/>
                <w:u w:val="none"/>
                <w:vertAlign w:val="superscript"/>
                <w:lang w:val="en-US" w:eastAsia="zh-CN" w:bidi="ar"/>
              </w:rPr>
              <w:t>3</w:t>
            </w:r>
            <w:r>
              <w:rPr>
                <w:rFonts w:hint="default" w:ascii="Times New Roman" w:hAnsi="Times New Roman" w:eastAsia="宋体" w:cs="Times New Roman"/>
                <w:i w:val="0"/>
                <w:iCs w:val="0"/>
                <w:color w:val="0000FF"/>
                <w:kern w:val="0"/>
                <w:sz w:val="22"/>
                <w:szCs w:val="22"/>
                <w:u w:val="none"/>
                <w:lang w:val="en-US" w:eastAsia="zh-CN" w:bidi="ar"/>
              </w:rPr>
              <w:t>)</w:t>
            </w:r>
          </w:p>
        </w:tc>
        <w:tc>
          <w:tcPr>
            <w:tcW w:w="519" w:type="pct"/>
            <w:tcBorders>
              <w:tl2br w:val="nil"/>
              <w:tr2bl w:val="nil"/>
            </w:tcBorders>
            <w:shd w:val="clear" w:color="auto" w:fill="auto"/>
            <w:noWrap/>
            <w:vAlign w:val="center"/>
          </w:tcPr>
          <w:p w14:paraId="46349321">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eastAsia" w:ascii="宋体" w:hAnsi="宋体" w:eastAsia="宋体" w:cs="宋体"/>
                <w:i w:val="0"/>
                <w:iCs w:val="0"/>
                <w:color w:val="0000FF"/>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占标率%(叠加背景以后)</w:t>
            </w:r>
          </w:p>
        </w:tc>
        <w:tc>
          <w:tcPr>
            <w:tcW w:w="265" w:type="pct"/>
            <w:tcBorders>
              <w:tl2br w:val="nil"/>
              <w:tr2bl w:val="nil"/>
            </w:tcBorders>
            <w:shd w:val="clear" w:color="auto" w:fill="auto"/>
            <w:noWrap/>
            <w:vAlign w:val="center"/>
          </w:tcPr>
          <w:p w14:paraId="09699F89">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eastAsia" w:ascii="宋体" w:hAnsi="宋体" w:eastAsia="宋体" w:cs="宋体"/>
                <w:i w:val="0"/>
                <w:iCs w:val="0"/>
                <w:color w:val="0000FF"/>
                <w:sz w:val="22"/>
                <w:szCs w:val="22"/>
                <w:u w:val="none"/>
              </w:rPr>
            </w:pPr>
            <w:r>
              <w:rPr>
                <w:rFonts w:hint="eastAsia" w:ascii="宋体" w:hAnsi="宋体" w:eastAsia="宋体" w:cs="宋体"/>
                <w:i w:val="0"/>
                <w:iCs w:val="0"/>
                <w:color w:val="0000FF"/>
                <w:kern w:val="0"/>
                <w:sz w:val="22"/>
                <w:szCs w:val="22"/>
                <w:u w:val="none"/>
                <w:lang w:val="en-US" w:eastAsia="zh-CN" w:bidi="ar"/>
              </w:rPr>
              <w:t>是否超标</w:t>
            </w:r>
          </w:p>
        </w:tc>
      </w:tr>
      <w:tr w14:paraId="7A18EC83">
        <w:tblPrEx>
          <w:tblBorders>
            <w:top w:val="thinThickSmallGap" w:color="000000" w:sz="12" w:space="0"/>
            <w:left w:val="none" w:color="auto" w:sz="0" w:space="0"/>
            <w:bottom w:val="thinThickSmallGap" w:color="000000" w:sz="12" w:space="0"/>
            <w:right w:val="none" w:color="auto" w:sz="0"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300" w:hRule="atLeast"/>
        </w:trPr>
        <w:tc>
          <w:tcPr>
            <w:tcW w:w="213" w:type="pct"/>
            <w:vMerge w:val="restart"/>
            <w:tcBorders>
              <w:tl2br w:val="nil"/>
              <w:tr2bl w:val="nil"/>
            </w:tcBorders>
            <w:shd w:val="clear" w:color="auto" w:fill="auto"/>
            <w:noWrap/>
            <w:vAlign w:val="center"/>
          </w:tcPr>
          <w:p w14:paraId="1D9E4E22">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default" w:ascii="Times New Roman" w:hAnsi="Times New Roman" w:eastAsia="宋体" w:cs="Times New Roman"/>
                <w:i w:val="0"/>
                <w:iCs w:val="0"/>
                <w:color w:val="0000FF"/>
                <w:kern w:val="0"/>
                <w:sz w:val="21"/>
                <w:szCs w:val="21"/>
                <w:u w:val="none"/>
                <w:lang w:val="en-US" w:eastAsia="zh-CN" w:bidi="ar"/>
              </w:rPr>
              <w:t>1</w:t>
            </w:r>
          </w:p>
        </w:tc>
        <w:tc>
          <w:tcPr>
            <w:tcW w:w="346" w:type="pct"/>
            <w:vMerge w:val="restart"/>
            <w:tcBorders>
              <w:tl2br w:val="nil"/>
              <w:tr2bl w:val="nil"/>
            </w:tcBorders>
            <w:shd w:val="clear" w:color="auto" w:fill="auto"/>
            <w:noWrap/>
            <w:vAlign w:val="center"/>
          </w:tcPr>
          <w:p w14:paraId="18E7DAF7">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祁家堡</w:t>
            </w:r>
          </w:p>
        </w:tc>
        <w:tc>
          <w:tcPr>
            <w:tcW w:w="465" w:type="pct"/>
            <w:vMerge w:val="restart"/>
            <w:tcBorders>
              <w:tl2br w:val="nil"/>
              <w:tr2bl w:val="nil"/>
            </w:tcBorders>
            <w:shd w:val="clear" w:color="auto" w:fill="auto"/>
            <w:noWrap/>
            <w:vAlign w:val="center"/>
          </w:tcPr>
          <w:p w14:paraId="5B019603">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85,261</w:t>
            </w:r>
          </w:p>
        </w:tc>
        <w:tc>
          <w:tcPr>
            <w:tcW w:w="503" w:type="pct"/>
            <w:tcBorders>
              <w:tl2br w:val="nil"/>
              <w:tr2bl w:val="nil"/>
            </w:tcBorders>
            <w:shd w:val="clear" w:color="auto" w:fill="auto"/>
            <w:noWrap/>
            <w:vAlign w:val="center"/>
          </w:tcPr>
          <w:p w14:paraId="72339C20">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default" w:ascii="Times New Roman" w:hAnsi="Times New Roman" w:eastAsia="宋体" w:cs="Times New Roman"/>
                <w:i w:val="0"/>
                <w:iCs w:val="0"/>
                <w:color w:val="0000FF"/>
                <w:kern w:val="0"/>
                <w:sz w:val="21"/>
                <w:szCs w:val="21"/>
                <w:u w:val="none"/>
                <w:lang w:val="en-US" w:eastAsia="zh-CN" w:bidi="ar"/>
              </w:rPr>
              <w:t>1</w:t>
            </w:r>
            <w:r>
              <w:rPr>
                <w:rFonts w:hint="eastAsia" w:ascii="Times New Roman" w:hAnsi="Times New Roman" w:eastAsia="宋体" w:cs="Times New Roman"/>
                <w:i w:val="0"/>
                <w:iCs w:val="0"/>
                <w:color w:val="0000FF"/>
                <w:kern w:val="0"/>
                <w:sz w:val="21"/>
                <w:szCs w:val="21"/>
                <w:u w:val="none"/>
                <w:lang w:val="en-US" w:eastAsia="zh-CN" w:bidi="ar"/>
              </w:rPr>
              <w:t>小时</w:t>
            </w:r>
          </w:p>
        </w:tc>
        <w:tc>
          <w:tcPr>
            <w:tcW w:w="1335" w:type="dxa"/>
            <w:tcBorders>
              <w:tl2br w:val="nil"/>
              <w:tr2bl w:val="nil"/>
            </w:tcBorders>
            <w:shd w:val="clear" w:color="auto" w:fill="auto"/>
            <w:noWrap/>
            <w:vAlign w:val="center"/>
          </w:tcPr>
          <w:p w14:paraId="3E42CDA0">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1.12E-08</w:t>
            </w:r>
          </w:p>
        </w:tc>
        <w:tc>
          <w:tcPr>
            <w:tcW w:w="1815" w:type="dxa"/>
            <w:tcBorders>
              <w:tl2br w:val="nil"/>
              <w:tr2bl w:val="nil"/>
            </w:tcBorders>
            <w:shd w:val="clear" w:color="auto" w:fill="auto"/>
            <w:noWrap/>
            <w:vAlign w:val="center"/>
          </w:tcPr>
          <w:p w14:paraId="7C14FA16">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24032223</w:t>
            </w:r>
          </w:p>
        </w:tc>
        <w:tc>
          <w:tcPr>
            <w:tcW w:w="1575" w:type="dxa"/>
            <w:tcBorders>
              <w:tl2br w:val="nil"/>
              <w:tr2bl w:val="nil"/>
            </w:tcBorders>
            <w:shd w:val="clear" w:color="auto" w:fill="auto"/>
            <w:noWrap/>
            <w:vAlign w:val="center"/>
          </w:tcPr>
          <w:p w14:paraId="4E4D368D">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0.00E+00</w:t>
            </w:r>
          </w:p>
        </w:tc>
        <w:tc>
          <w:tcPr>
            <w:tcW w:w="1588" w:type="dxa"/>
            <w:tcBorders>
              <w:tl2br w:val="nil"/>
              <w:tr2bl w:val="nil"/>
            </w:tcBorders>
            <w:shd w:val="clear" w:color="auto" w:fill="auto"/>
            <w:noWrap/>
            <w:vAlign w:val="center"/>
          </w:tcPr>
          <w:p w14:paraId="5256A0D8">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1.12E-08</w:t>
            </w:r>
          </w:p>
        </w:tc>
        <w:tc>
          <w:tcPr>
            <w:tcW w:w="406" w:type="pct"/>
            <w:tcBorders>
              <w:tl2br w:val="nil"/>
              <w:tr2bl w:val="nil"/>
            </w:tcBorders>
            <w:shd w:val="clear" w:color="auto" w:fill="auto"/>
            <w:noWrap/>
            <w:vAlign w:val="center"/>
          </w:tcPr>
          <w:p w14:paraId="00FB9AEE">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default" w:ascii="Times New Roman" w:hAnsi="Times New Roman" w:eastAsia="宋体" w:cs="Times New Roman"/>
                <w:i w:val="0"/>
                <w:iCs w:val="0"/>
                <w:color w:val="0000FF"/>
                <w:kern w:val="0"/>
                <w:sz w:val="21"/>
                <w:szCs w:val="21"/>
                <w:u w:val="none"/>
                <w:lang w:val="en-US" w:eastAsia="zh-CN" w:bidi="ar"/>
              </w:rPr>
              <w:t>2.00E-02</w:t>
            </w:r>
          </w:p>
        </w:tc>
        <w:tc>
          <w:tcPr>
            <w:tcW w:w="1440" w:type="dxa"/>
            <w:tcBorders>
              <w:tl2br w:val="nil"/>
              <w:tr2bl w:val="nil"/>
            </w:tcBorders>
            <w:shd w:val="clear" w:color="auto" w:fill="auto"/>
            <w:noWrap/>
            <w:vAlign w:val="center"/>
          </w:tcPr>
          <w:p w14:paraId="6A3A8360">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0</w:t>
            </w:r>
          </w:p>
        </w:tc>
        <w:tc>
          <w:tcPr>
            <w:tcW w:w="265" w:type="pct"/>
            <w:tcBorders>
              <w:tl2br w:val="nil"/>
              <w:tr2bl w:val="nil"/>
            </w:tcBorders>
            <w:shd w:val="clear" w:color="auto" w:fill="auto"/>
            <w:noWrap/>
            <w:vAlign w:val="center"/>
          </w:tcPr>
          <w:p w14:paraId="47B05928">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达标</w:t>
            </w:r>
          </w:p>
        </w:tc>
      </w:tr>
      <w:tr w14:paraId="6D5F7A50">
        <w:tblPrEx>
          <w:tblBorders>
            <w:top w:val="thinThickSmallGap" w:color="000000" w:sz="12" w:space="0"/>
            <w:left w:val="none" w:color="auto" w:sz="0" w:space="0"/>
            <w:bottom w:val="thinThickSmallGap"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00" w:hRule="atLeast"/>
        </w:trPr>
        <w:tc>
          <w:tcPr>
            <w:tcW w:w="213" w:type="pct"/>
            <w:vMerge w:val="continue"/>
            <w:tcBorders>
              <w:tl2br w:val="nil"/>
              <w:tr2bl w:val="nil"/>
            </w:tcBorders>
            <w:shd w:val="clear" w:color="auto" w:fill="auto"/>
            <w:noWrap/>
            <w:vAlign w:val="center"/>
          </w:tcPr>
          <w:p w14:paraId="4EC9959C">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p>
        </w:tc>
        <w:tc>
          <w:tcPr>
            <w:tcW w:w="346" w:type="pct"/>
            <w:vMerge w:val="continue"/>
            <w:tcBorders>
              <w:tl2br w:val="nil"/>
              <w:tr2bl w:val="nil"/>
            </w:tcBorders>
            <w:shd w:val="clear" w:color="auto" w:fill="auto"/>
            <w:noWrap/>
            <w:vAlign w:val="center"/>
          </w:tcPr>
          <w:p w14:paraId="4824655F">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p>
        </w:tc>
        <w:tc>
          <w:tcPr>
            <w:tcW w:w="465" w:type="pct"/>
            <w:vMerge w:val="continue"/>
            <w:tcBorders>
              <w:tl2br w:val="nil"/>
              <w:tr2bl w:val="nil"/>
            </w:tcBorders>
            <w:shd w:val="clear" w:color="auto" w:fill="auto"/>
            <w:noWrap/>
            <w:vAlign w:val="center"/>
          </w:tcPr>
          <w:p w14:paraId="6D76CF5A">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p>
        </w:tc>
        <w:tc>
          <w:tcPr>
            <w:tcW w:w="503" w:type="pct"/>
            <w:tcBorders>
              <w:tl2br w:val="nil"/>
              <w:tr2bl w:val="nil"/>
            </w:tcBorders>
            <w:shd w:val="clear" w:color="auto" w:fill="auto"/>
            <w:noWrap/>
            <w:vAlign w:val="center"/>
          </w:tcPr>
          <w:p w14:paraId="4047B2C6">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日平均</w:t>
            </w:r>
          </w:p>
        </w:tc>
        <w:tc>
          <w:tcPr>
            <w:tcW w:w="1335" w:type="dxa"/>
            <w:tcBorders>
              <w:tl2br w:val="nil"/>
              <w:tr2bl w:val="nil"/>
            </w:tcBorders>
            <w:shd w:val="clear" w:color="auto" w:fill="auto"/>
            <w:noWrap/>
            <w:vAlign w:val="center"/>
          </w:tcPr>
          <w:p w14:paraId="03DD6AB4">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2.90E-10</w:t>
            </w:r>
          </w:p>
        </w:tc>
        <w:tc>
          <w:tcPr>
            <w:tcW w:w="1815" w:type="dxa"/>
            <w:tcBorders>
              <w:tl2br w:val="nil"/>
              <w:tr2bl w:val="nil"/>
            </w:tcBorders>
            <w:shd w:val="clear" w:color="auto" w:fill="auto"/>
            <w:noWrap/>
            <w:vAlign w:val="center"/>
          </w:tcPr>
          <w:p w14:paraId="00380717">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240126</w:t>
            </w:r>
          </w:p>
        </w:tc>
        <w:tc>
          <w:tcPr>
            <w:tcW w:w="1575" w:type="dxa"/>
            <w:tcBorders>
              <w:tl2br w:val="nil"/>
              <w:tr2bl w:val="nil"/>
            </w:tcBorders>
            <w:shd w:val="clear" w:color="auto" w:fill="auto"/>
            <w:noWrap/>
            <w:vAlign w:val="center"/>
          </w:tcPr>
          <w:p w14:paraId="48C1B2AE">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0.00E+00</w:t>
            </w:r>
          </w:p>
        </w:tc>
        <w:tc>
          <w:tcPr>
            <w:tcW w:w="1588" w:type="dxa"/>
            <w:tcBorders>
              <w:tl2br w:val="nil"/>
              <w:tr2bl w:val="nil"/>
            </w:tcBorders>
            <w:shd w:val="clear" w:color="auto" w:fill="auto"/>
            <w:noWrap/>
            <w:vAlign w:val="center"/>
          </w:tcPr>
          <w:p w14:paraId="41D414CF">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2.90E-10</w:t>
            </w:r>
          </w:p>
        </w:tc>
        <w:tc>
          <w:tcPr>
            <w:tcW w:w="406" w:type="pct"/>
            <w:tcBorders>
              <w:tl2br w:val="nil"/>
              <w:tr2bl w:val="nil"/>
            </w:tcBorders>
            <w:shd w:val="clear" w:color="auto" w:fill="auto"/>
            <w:noWrap/>
            <w:vAlign w:val="center"/>
          </w:tcPr>
          <w:p w14:paraId="6A2022AC">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default" w:ascii="Times New Roman" w:hAnsi="Times New Roman" w:eastAsia="宋体" w:cs="Times New Roman"/>
                <w:i w:val="0"/>
                <w:iCs w:val="0"/>
                <w:color w:val="0000FF"/>
                <w:kern w:val="0"/>
                <w:sz w:val="21"/>
                <w:szCs w:val="21"/>
                <w:u w:val="none"/>
                <w:lang w:val="en-US" w:eastAsia="zh-CN" w:bidi="ar"/>
              </w:rPr>
              <w:t>7.00E-03</w:t>
            </w:r>
          </w:p>
        </w:tc>
        <w:tc>
          <w:tcPr>
            <w:tcW w:w="1440" w:type="dxa"/>
            <w:tcBorders>
              <w:tl2br w:val="nil"/>
              <w:tr2bl w:val="nil"/>
            </w:tcBorders>
            <w:shd w:val="clear" w:color="auto" w:fill="auto"/>
            <w:noWrap/>
            <w:vAlign w:val="center"/>
          </w:tcPr>
          <w:p w14:paraId="5B572469">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0</w:t>
            </w:r>
          </w:p>
        </w:tc>
        <w:tc>
          <w:tcPr>
            <w:tcW w:w="265" w:type="pct"/>
            <w:tcBorders>
              <w:tl2br w:val="nil"/>
              <w:tr2bl w:val="nil"/>
            </w:tcBorders>
            <w:shd w:val="clear" w:color="auto" w:fill="auto"/>
            <w:noWrap/>
            <w:vAlign w:val="center"/>
          </w:tcPr>
          <w:p w14:paraId="5ECA32BD">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达标</w:t>
            </w:r>
          </w:p>
        </w:tc>
      </w:tr>
      <w:tr w14:paraId="6F74A84D">
        <w:tblPrEx>
          <w:tblBorders>
            <w:top w:val="thinThickSmallGap" w:color="000000" w:sz="12" w:space="0"/>
            <w:left w:val="none" w:color="auto" w:sz="0" w:space="0"/>
            <w:bottom w:val="thinThickSmallGap"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00" w:hRule="atLeast"/>
        </w:trPr>
        <w:tc>
          <w:tcPr>
            <w:tcW w:w="213" w:type="pct"/>
            <w:vMerge w:val="restart"/>
            <w:tcBorders>
              <w:tl2br w:val="nil"/>
              <w:tr2bl w:val="nil"/>
            </w:tcBorders>
            <w:shd w:val="clear" w:color="auto" w:fill="auto"/>
            <w:noWrap/>
            <w:vAlign w:val="center"/>
          </w:tcPr>
          <w:p w14:paraId="6CA6C9B3">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default" w:ascii="Times New Roman" w:hAnsi="Times New Roman" w:eastAsia="宋体" w:cs="Times New Roman"/>
                <w:i w:val="0"/>
                <w:iCs w:val="0"/>
                <w:color w:val="0000FF"/>
                <w:kern w:val="0"/>
                <w:sz w:val="21"/>
                <w:szCs w:val="21"/>
                <w:u w:val="none"/>
                <w:lang w:val="en-US" w:eastAsia="zh-CN" w:bidi="ar"/>
              </w:rPr>
              <w:t>2</w:t>
            </w:r>
          </w:p>
        </w:tc>
        <w:tc>
          <w:tcPr>
            <w:tcW w:w="346" w:type="pct"/>
            <w:vMerge w:val="restart"/>
            <w:tcBorders>
              <w:tl2br w:val="nil"/>
              <w:tr2bl w:val="nil"/>
            </w:tcBorders>
            <w:shd w:val="clear" w:color="auto" w:fill="auto"/>
            <w:noWrap/>
            <w:vAlign w:val="center"/>
          </w:tcPr>
          <w:p w14:paraId="79DACFA0">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部队</w:t>
            </w:r>
          </w:p>
        </w:tc>
        <w:tc>
          <w:tcPr>
            <w:tcW w:w="465" w:type="pct"/>
            <w:vMerge w:val="restart"/>
            <w:tcBorders>
              <w:tl2br w:val="nil"/>
              <w:tr2bl w:val="nil"/>
            </w:tcBorders>
            <w:shd w:val="clear" w:color="auto" w:fill="auto"/>
            <w:noWrap/>
            <w:vAlign w:val="center"/>
          </w:tcPr>
          <w:p w14:paraId="4D24189F">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-179,10</w:t>
            </w:r>
          </w:p>
        </w:tc>
        <w:tc>
          <w:tcPr>
            <w:tcW w:w="503" w:type="pct"/>
            <w:tcBorders>
              <w:tl2br w:val="nil"/>
              <w:tr2bl w:val="nil"/>
            </w:tcBorders>
            <w:shd w:val="clear" w:color="auto" w:fill="auto"/>
            <w:noWrap/>
            <w:vAlign w:val="center"/>
          </w:tcPr>
          <w:p w14:paraId="5443BB4E">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default" w:ascii="Times New Roman" w:hAnsi="Times New Roman" w:eastAsia="宋体" w:cs="Times New Roman"/>
                <w:i w:val="0"/>
                <w:iCs w:val="0"/>
                <w:color w:val="0000FF"/>
                <w:kern w:val="0"/>
                <w:sz w:val="21"/>
                <w:szCs w:val="21"/>
                <w:u w:val="none"/>
                <w:lang w:val="en-US" w:eastAsia="zh-CN" w:bidi="ar"/>
              </w:rPr>
              <w:t>1</w:t>
            </w:r>
            <w:r>
              <w:rPr>
                <w:rFonts w:hint="eastAsia" w:ascii="Times New Roman" w:hAnsi="Times New Roman" w:eastAsia="宋体" w:cs="Times New Roman"/>
                <w:i w:val="0"/>
                <w:iCs w:val="0"/>
                <w:color w:val="0000FF"/>
                <w:kern w:val="0"/>
                <w:sz w:val="21"/>
                <w:szCs w:val="21"/>
                <w:u w:val="none"/>
                <w:lang w:val="en-US" w:eastAsia="zh-CN" w:bidi="ar"/>
              </w:rPr>
              <w:t>小时</w:t>
            </w:r>
          </w:p>
        </w:tc>
        <w:tc>
          <w:tcPr>
            <w:tcW w:w="1335" w:type="dxa"/>
            <w:tcBorders>
              <w:tl2br w:val="nil"/>
              <w:tr2bl w:val="nil"/>
            </w:tcBorders>
            <w:shd w:val="clear" w:color="auto" w:fill="auto"/>
            <w:noWrap/>
            <w:vAlign w:val="center"/>
          </w:tcPr>
          <w:p w14:paraId="379756A2">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4.19E-08</w:t>
            </w:r>
          </w:p>
        </w:tc>
        <w:tc>
          <w:tcPr>
            <w:tcW w:w="1815" w:type="dxa"/>
            <w:tcBorders>
              <w:tl2br w:val="nil"/>
              <w:tr2bl w:val="nil"/>
            </w:tcBorders>
            <w:shd w:val="clear" w:color="auto" w:fill="auto"/>
            <w:noWrap/>
            <w:vAlign w:val="center"/>
          </w:tcPr>
          <w:p w14:paraId="4038D3AF">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24042906</w:t>
            </w:r>
          </w:p>
        </w:tc>
        <w:tc>
          <w:tcPr>
            <w:tcW w:w="1575" w:type="dxa"/>
            <w:tcBorders>
              <w:tl2br w:val="nil"/>
              <w:tr2bl w:val="nil"/>
            </w:tcBorders>
            <w:shd w:val="clear" w:color="auto" w:fill="auto"/>
            <w:noWrap/>
            <w:vAlign w:val="center"/>
          </w:tcPr>
          <w:p w14:paraId="371FAAA4">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0.00E+00</w:t>
            </w:r>
          </w:p>
        </w:tc>
        <w:tc>
          <w:tcPr>
            <w:tcW w:w="1588" w:type="dxa"/>
            <w:tcBorders>
              <w:tl2br w:val="nil"/>
              <w:tr2bl w:val="nil"/>
            </w:tcBorders>
            <w:shd w:val="clear" w:color="auto" w:fill="auto"/>
            <w:noWrap/>
            <w:vAlign w:val="center"/>
          </w:tcPr>
          <w:p w14:paraId="4EA30E06">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4.19E-08</w:t>
            </w:r>
          </w:p>
        </w:tc>
        <w:tc>
          <w:tcPr>
            <w:tcW w:w="406" w:type="pct"/>
            <w:tcBorders>
              <w:tl2br w:val="nil"/>
              <w:tr2bl w:val="nil"/>
            </w:tcBorders>
            <w:shd w:val="clear" w:color="auto" w:fill="auto"/>
            <w:noWrap/>
            <w:vAlign w:val="center"/>
          </w:tcPr>
          <w:p w14:paraId="2AFF5581">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default" w:ascii="Times New Roman" w:hAnsi="Times New Roman" w:eastAsia="宋体" w:cs="Times New Roman"/>
                <w:i w:val="0"/>
                <w:iCs w:val="0"/>
                <w:color w:val="0000FF"/>
                <w:kern w:val="0"/>
                <w:sz w:val="21"/>
                <w:szCs w:val="21"/>
                <w:u w:val="none"/>
                <w:lang w:val="en-US" w:eastAsia="zh-CN" w:bidi="ar"/>
              </w:rPr>
              <w:t>2.00E-02</w:t>
            </w:r>
          </w:p>
        </w:tc>
        <w:tc>
          <w:tcPr>
            <w:tcW w:w="1440" w:type="dxa"/>
            <w:tcBorders>
              <w:tl2br w:val="nil"/>
              <w:tr2bl w:val="nil"/>
            </w:tcBorders>
            <w:shd w:val="clear" w:color="auto" w:fill="auto"/>
            <w:noWrap/>
            <w:vAlign w:val="center"/>
          </w:tcPr>
          <w:p w14:paraId="1F062B0B">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0</w:t>
            </w:r>
          </w:p>
        </w:tc>
        <w:tc>
          <w:tcPr>
            <w:tcW w:w="265" w:type="pct"/>
            <w:tcBorders>
              <w:tl2br w:val="nil"/>
              <w:tr2bl w:val="nil"/>
            </w:tcBorders>
            <w:shd w:val="clear" w:color="auto" w:fill="auto"/>
            <w:noWrap/>
            <w:vAlign w:val="center"/>
          </w:tcPr>
          <w:p w14:paraId="3D56E874">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达标</w:t>
            </w:r>
          </w:p>
        </w:tc>
      </w:tr>
      <w:tr w14:paraId="70AF89B6">
        <w:tblPrEx>
          <w:tblBorders>
            <w:top w:val="thinThickSmallGap" w:color="000000" w:sz="12" w:space="0"/>
            <w:left w:val="none" w:color="auto" w:sz="0" w:space="0"/>
            <w:bottom w:val="thinThickSmallGap" w:color="000000" w:sz="12" w:space="0"/>
            <w:right w:val="none" w:color="auto" w:sz="0"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300" w:hRule="atLeast"/>
        </w:trPr>
        <w:tc>
          <w:tcPr>
            <w:tcW w:w="213" w:type="pct"/>
            <w:vMerge w:val="continue"/>
            <w:tcBorders>
              <w:tl2br w:val="nil"/>
              <w:tr2bl w:val="nil"/>
            </w:tcBorders>
            <w:shd w:val="clear" w:color="auto" w:fill="auto"/>
            <w:noWrap/>
            <w:vAlign w:val="center"/>
          </w:tcPr>
          <w:p w14:paraId="5D18D49D">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p>
        </w:tc>
        <w:tc>
          <w:tcPr>
            <w:tcW w:w="346" w:type="pct"/>
            <w:vMerge w:val="continue"/>
            <w:tcBorders>
              <w:tl2br w:val="nil"/>
              <w:tr2bl w:val="nil"/>
            </w:tcBorders>
            <w:shd w:val="clear" w:color="auto" w:fill="auto"/>
            <w:noWrap/>
            <w:vAlign w:val="center"/>
          </w:tcPr>
          <w:p w14:paraId="7451512A">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p>
        </w:tc>
        <w:tc>
          <w:tcPr>
            <w:tcW w:w="465" w:type="pct"/>
            <w:vMerge w:val="continue"/>
            <w:tcBorders>
              <w:tl2br w:val="nil"/>
              <w:tr2bl w:val="nil"/>
            </w:tcBorders>
            <w:shd w:val="clear" w:color="auto" w:fill="auto"/>
            <w:noWrap/>
            <w:vAlign w:val="center"/>
          </w:tcPr>
          <w:p w14:paraId="5FBB566D">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p>
        </w:tc>
        <w:tc>
          <w:tcPr>
            <w:tcW w:w="503" w:type="pct"/>
            <w:tcBorders>
              <w:tl2br w:val="nil"/>
              <w:tr2bl w:val="nil"/>
            </w:tcBorders>
            <w:shd w:val="clear" w:color="auto" w:fill="auto"/>
            <w:noWrap/>
            <w:vAlign w:val="center"/>
          </w:tcPr>
          <w:p w14:paraId="30BD26C4">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日平均</w:t>
            </w:r>
          </w:p>
        </w:tc>
        <w:tc>
          <w:tcPr>
            <w:tcW w:w="1335" w:type="dxa"/>
            <w:tcBorders>
              <w:tl2br w:val="nil"/>
              <w:tr2bl w:val="nil"/>
            </w:tcBorders>
            <w:shd w:val="clear" w:color="auto" w:fill="auto"/>
            <w:noWrap/>
            <w:vAlign w:val="center"/>
          </w:tcPr>
          <w:p w14:paraId="43E0E39B">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7.37E-10</w:t>
            </w:r>
          </w:p>
        </w:tc>
        <w:tc>
          <w:tcPr>
            <w:tcW w:w="1815" w:type="dxa"/>
            <w:tcBorders>
              <w:tl2br w:val="nil"/>
              <w:tr2bl w:val="nil"/>
            </w:tcBorders>
            <w:shd w:val="clear" w:color="auto" w:fill="auto"/>
            <w:noWrap/>
            <w:vAlign w:val="center"/>
          </w:tcPr>
          <w:p w14:paraId="0814AE28">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241204</w:t>
            </w:r>
          </w:p>
        </w:tc>
        <w:tc>
          <w:tcPr>
            <w:tcW w:w="1575" w:type="dxa"/>
            <w:tcBorders>
              <w:tl2br w:val="nil"/>
              <w:tr2bl w:val="nil"/>
            </w:tcBorders>
            <w:shd w:val="clear" w:color="auto" w:fill="auto"/>
            <w:noWrap/>
            <w:vAlign w:val="center"/>
          </w:tcPr>
          <w:p w14:paraId="71E31EC7">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0.00E+00</w:t>
            </w:r>
          </w:p>
        </w:tc>
        <w:tc>
          <w:tcPr>
            <w:tcW w:w="1588" w:type="dxa"/>
            <w:tcBorders>
              <w:tl2br w:val="nil"/>
              <w:tr2bl w:val="nil"/>
            </w:tcBorders>
            <w:shd w:val="clear" w:color="auto" w:fill="auto"/>
            <w:noWrap/>
            <w:vAlign w:val="center"/>
          </w:tcPr>
          <w:p w14:paraId="70024681">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7.37E-10</w:t>
            </w:r>
          </w:p>
        </w:tc>
        <w:tc>
          <w:tcPr>
            <w:tcW w:w="406" w:type="pct"/>
            <w:tcBorders>
              <w:tl2br w:val="nil"/>
              <w:tr2bl w:val="nil"/>
            </w:tcBorders>
            <w:shd w:val="clear" w:color="auto" w:fill="auto"/>
            <w:noWrap/>
            <w:vAlign w:val="center"/>
          </w:tcPr>
          <w:p w14:paraId="06E5CCB1">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default" w:ascii="Times New Roman" w:hAnsi="Times New Roman" w:eastAsia="宋体" w:cs="Times New Roman"/>
                <w:i w:val="0"/>
                <w:iCs w:val="0"/>
                <w:color w:val="0000FF"/>
                <w:kern w:val="0"/>
                <w:sz w:val="21"/>
                <w:szCs w:val="21"/>
                <w:u w:val="none"/>
                <w:lang w:val="en-US" w:eastAsia="zh-CN" w:bidi="ar"/>
              </w:rPr>
              <w:t>7.00E-03</w:t>
            </w:r>
          </w:p>
        </w:tc>
        <w:tc>
          <w:tcPr>
            <w:tcW w:w="1440" w:type="dxa"/>
            <w:tcBorders>
              <w:tl2br w:val="nil"/>
              <w:tr2bl w:val="nil"/>
            </w:tcBorders>
            <w:shd w:val="clear" w:color="auto" w:fill="auto"/>
            <w:noWrap/>
            <w:vAlign w:val="center"/>
          </w:tcPr>
          <w:p w14:paraId="73C5B618">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0</w:t>
            </w:r>
          </w:p>
        </w:tc>
        <w:tc>
          <w:tcPr>
            <w:tcW w:w="265" w:type="pct"/>
            <w:tcBorders>
              <w:tl2br w:val="nil"/>
              <w:tr2bl w:val="nil"/>
            </w:tcBorders>
            <w:shd w:val="clear" w:color="auto" w:fill="auto"/>
            <w:noWrap/>
            <w:vAlign w:val="center"/>
          </w:tcPr>
          <w:p w14:paraId="453058CB">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达标</w:t>
            </w:r>
          </w:p>
        </w:tc>
      </w:tr>
      <w:tr w14:paraId="1304F3DD">
        <w:tblPrEx>
          <w:tblBorders>
            <w:top w:val="thinThickSmallGap" w:color="000000" w:sz="12" w:space="0"/>
            <w:left w:val="none" w:color="auto" w:sz="0" w:space="0"/>
            <w:bottom w:val="thinThickSmallGap"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00" w:hRule="atLeast"/>
        </w:trPr>
        <w:tc>
          <w:tcPr>
            <w:tcW w:w="213" w:type="pct"/>
            <w:vMerge w:val="restart"/>
            <w:tcBorders>
              <w:tl2br w:val="nil"/>
              <w:tr2bl w:val="nil"/>
            </w:tcBorders>
            <w:shd w:val="clear" w:color="auto" w:fill="auto"/>
            <w:noWrap/>
            <w:vAlign w:val="center"/>
          </w:tcPr>
          <w:p w14:paraId="0EE627A4">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default" w:ascii="Times New Roman" w:hAnsi="Times New Roman" w:eastAsia="宋体" w:cs="Times New Roman"/>
                <w:i w:val="0"/>
                <w:iCs w:val="0"/>
                <w:color w:val="0000FF"/>
                <w:kern w:val="0"/>
                <w:sz w:val="21"/>
                <w:szCs w:val="21"/>
                <w:u w:val="none"/>
                <w:lang w:val="en-US" w:eastAsia="zh-CN" w:bidi="ar"/>
              </w:rPr>
              <w:t>3</w:t>
            </w:r>
          </w:p>
        </w:tc>
        <w:tc>
          <w:tcPr>
            <w:tcW w:w="346" w:type="pct"/>
            <w:vMerge w:val="restart"/>
            <w:tcBorders>
              <w:tl2br w:val="nil"/>
              <w:tr2bl w:val="nil"/>
            </w:tcBorders>
            <w:shd w:val="clear" w:color="auto" w:fill="auto"/>
            <w:noWrap/>
            <w:vAlign w:val="center"/>
          </w:tcPr>
          <w:p w14:paraId="2B35E616">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老虎沟</w:t>
            </w:r>
          </w:p>
        </w:tc>
        <w:tc>
          <w:tcPr>
            <w:tcW w:w="465" w:type="pct"/>
            <w:vMerge w:val="restart"/>
            <w:tcBorders>
              <w:tl2br w:val="nil"/>
              <w:tr2bl w:val="nil"/>
            </w:tcBorders>
            <w:shd w:val="clear" w:color="auto" w:fill="auto"/>
            <w:noWrap/>
            <w:vAlign w:val="center"/>
          </w:tcPr>
          <w:p w14:paraId="571F575F">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-1526,736</w:t>
            </w:r>
          </w:p>
        </w:tc>
        <w:tc>
          <w:tcPr>
            <w:tcW w:w="503" w:type="pct"/>
            <w:tcBorders>
              <w:tl2br w:val="nil"/>
              <w:tr2bl w:val="nil"/>
            </w:tcBorders>
            <w:shd w:val="clear" w:color="auto" w:fill="auto"/>
            <w:noWrap/>
            <w:vAlign w:val="center"/>
          </w:tcPr>
          <w:p w14:paraId="37504AD6">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default" w:ascii="Times New Roman" w:hAnsi="Times New Roman" w:eastAsia="宋体" w:cs="Times New Roman"/>
                <w:i w:val="0"/>
                <w:iCs w:val="0"/>
                <w:color w:val="0000FF"/>
                <w:kern w:val="0"/>
                <w:sz w:val="21"/>
                <w:szCs w:val="21"/>
                <w:u w:val="none"/>
                <w:lang w:val="en-US" w:eastAsia="zh-CN" w:bidi="ar"/>
              </w:rPr>
              <w:t>1</w:t>
            </w:r>
            <w:r>
              <w:rPr>
                <w:rFonts w:hint="eastAsia" w:ascii="Times New Roman" w:hAnsi="Times New Roman" w:eastAsia="宋体" w:cs="Times New Roman"/>
                <w:i w:val="0"/>
                <w:iCs w:val="0"/>
                <w:color w:val="0000FF"/>
                <w:kern w:val="0"/>
                <w:sz w:val="21"/>
                <w:szCs w:val="21"/>
                <w:u w:val="none"/>
                <w:lang w:val="en-US" w:eastAsia="zh-CN" w:bidi="ar"/>
              </w:rPr>
              <w:t>小时</w:t>
            </w:r>
          </w:p>
        </w:tc>
        <w:tc>
          <w:tcPr>
            <w:tcW w:w="1335" w:type="dxa"/>
            <w:tcBorders>
              <w:tl2br w:val="nil"/>
              <w:tr2bl w:val="nil"/>
            </w:tcBorders>
            <w:shd w:val="clear" w:color="auto" w:fill="auto"/>
            <w:noWrap/>
            <w:vAlign w:val="center"/>
          </w:tcPr>
          <w:p w14:paraId="4450CDCE">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1.31E-08</w:t>
            </w:r>
          </w:p>
        </w:tc>
        <w:tc>
          <w:tcPr>
            <w:tcW w:w="1815" w:type="dxa"/>
            <w:tcBorders>
              <w:tl2br w:val="nil"/>
              <w:tr2bl w:val="nil"/>
            </w:tcBorders>
            <w:shd w:val="clear" w:color="auto" w:fill="auto"/>
            <w:noWrap/>
            <w:vAlign w:val="center"/>
          </w:tcPr>
          <w:p w14:paraId="0ABC74E8">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24042906</w:t>
            </w:r>
          </w:p>
        </w:tc>
        <w:tc>
          <w:tcPr>
            <w:tcW w:w="1575" w:type="dxa"/>
            <w:tcBorders>
              <w:tl2br w:val="nil"/>
              <w:tr2bl w:val="nil"/>
            </w:tcBorders>
            <w:shd w:val="clear" w:color="auto" w:fill="auto"/>
            <w:noWrap/>
            <w:vAlign w:val="center"/>
          </w:tcPr>
          <w:p w14:paraId="4F1AFA06">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0.00E+00</w:t>
            </w:r>
          </w:p>
        </w:tc>
        <w:tc>
          <w:tcPr>
            <w:tcW w:w="1588" w:type="dxa"/>
            <w:tcBorders>
              <w:tl2br w:val="nil"/>
              <w:tr2bl w:val="nil"/>
            </w:tcBorders>
            <w:shd w:val="clear" w:color="auto" w:fill="auto"/>
            <w:noWrap/>
            <w:vAlign w:val="center"/>
          </w:tcPr>
          <w:p w14:paraId="37F779FB">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1.31E-08</w:t>
            </w:r>
          </w:p>
        </w:tc>
        <w:tc>
          <w:tcPr>
            <w:tcW w:w="406" w:type="pct"/>
            <w:tcBorders>
              <w:tl2br w:val="nil"/>
              <w:tr2bl w:val="nil"/>
            </w:tcBorders>
            <w:shd w:val="clear" w:color="auto" w:fill="auto"/>
            <w:noWrap/>
            <w:vAlign w:val="center"/>
          </w:tcPr>
          <w:p w14:paraId="36043C9A">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default" w:ascii="Times New Roman" w:hAnsi="Times New Roman" w:eastAsia="宋体" w:cs="Times New Roman"/>
                <w:i w:val="0"/>
                <w:iCs w:val="0"/>
                <w:color w:val="0000FF"/>
                <w:kern w:val="0"/>
                <w:sz w:val="21"/>
                <w:szCs w:val="21"/>
                <w:u w:val="none"/>
                <w:lang w:val="en-US" w:eastAsia="zh-CN" w:bidi="ar"/>
              </w:rPr>
              <w:t>2.00E-02</w:t>
            </w:r>
          </w:p>
        </w:tc>
        <w:tc>
          <w:tcPr>
            <w:tcW w:w="1440" w:type="dxa"/>
            <w:tcBorders>
              <w:tl2br w:val="nil"/>
              <w:tr2bl w:val="nil"/>
            </w:tcBorders>
            <w:shd w:val="clear" w:color="auto" w:fill="auto"/>
            <w:noWrap/>
            <w:vAlign w:val="center"/>
          </w:tcPr>
          <w:p w14:paraId="703540A6">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0</w:t>
            </w:r>
          </w:p>
        </w:tc>
        <w:tc>
          <w:tcPr>
            <w:tcW w:w="265" w:type="pct"/>
            <w:tcBorders>
              <w:tl2br w:val="nil"/>
              <w:tr2bl w:val="nil"/>
            </w:tcBorders>
            <w:shd w:val="clear" w:color="auto" w:fill="auto"/>
            <w:noWrap/>
            <w:vAlign w:val="center"/>
          </w:tcPr>
          <w:p w14:paraId="3DEA756E">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达标</w:t>
            </w:r>
          </w:p>
        </w:tc>
      </w:tr>
      <w:tr w14:paraId="4E0AD421">
        <w:tblPrEx>
          <w:tblBorders>
            <w:top w:val="thinThickSmallGap" w:color="000000" w:sz="12" w:space="0"/>
            <w:left w:val="none" w:color="auto" w:sz="0" w:space="0"/>
            <w:bottom w:val="thinThickSmallGap" w:color="000000" w:sz="12" w:space="0"/>
            <w:right w:val="none" w:color="auto" w:sz="0"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300" w:hRule="atLeast"/>
        </w:trPr>
        <w:tc>
          <w:tcPr>
            <w:tcW w:w="213" w:type="pct"/>
            <w:vMerge w:val="continue"/>
            <w:tcBorders>
              <w:tl2br w:val="nil"/>
              <w:tr2bl w:val="nil"/>
            </w:tcBorders>
            <w:shd w:val="clear" w:color="auto" w:fill="auto"/>
            <w:noWrap/>
            <w:vAlign w:val="center"/>
          </w:tcPr>
          <w:p w14:paraId="6C8D1F80">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p>
        </w:tc>
        <w:tc>
          <w:tcPr>
            <w:tcW w:w="346" w:type="pct"/>
            <w:vMerge w:val="continue"/>
            <w:tcBorders>
              <w:tl2br w:val="nil"/>
              <w:tr2bl w:val="nil"/>
            </w:tcBorders>
            <w:shd w:val="clear" w:color="auto" w:fill="auto"/>
            <w:noWrap/>
            <w:vAlign w:val="center"/>
          </w:tcPr>
          <w:p w14:paraId="437B5456">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p>
        </w:tc>
        <w:tc>
          <w:tcPr>
            <w:tcW w:w="465" w:type="pct"/>
            <w:vMerge w:val="continue"/>
            <w:tcBorders>
              <w:tl2br w:val="nil"/>
              <w:tr2bl w:val="nil"/>
            </w:tcBorders>
            <w:shd w:val="clear" w:color="auto" w:fill="auto"/>
            <w:noWrap/>
            <w:vAlign w:val="center"/>
          </w:tcPr>
          <w:p w14:paraId="23B32E92">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p>
        </w:tc>
        <w:tc>
          <w:tcPr>
            <w:tcW w:w="503" w:type="pct"/>
            <w:tcBorders>
              <w:tl2br w:val="nil"/>
              <w:tr2bl w:val="nil"/>
            </w:tcBorders>
            <w:shd w:val="clear" w:color="auto" w:fill="auto"/>
            <w:noWrap/>
            <w:vAlign w:val="center"/>
          </w:tcPr>
          <w:p w14:paraId="660EA141">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日平均</w:t>
            </w:r>
          </w:p>
        </w:tc>
        <w:tc>
          <w:tcPr>
            <w:tcW w:w="1335" w:type="dxa"/>
            <w:tcBorders>
              <w:tl2br w:val="nil"/>
              <w:tr2bl w:val="nil"/>
            </w:tcBorders>
            <w:shd w:val="clear" w:color="auto" w:fill="auto"/>
            <w:noWrap/>
            <w:vAlign w:val="center"/>
          </w:tcPr>
          <w:p w14:paraId="63123C65">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2.70E-11</w:t>
            </w:r>
          </w:p>
        </w:tc>
        <w:tc>
          <w:tcPr>
            <w:tcW w:w="1815" w:type="dxa"/>
            <w:tcBorders>
              <w:tl2br w:val="nil"/>
              <w:tr2bl w:val="nil"/>
            </w:tcBorders>
            <w:shd w:val="clear" w:color="auto" w:fill="auto"/>
            <w:noWrap/>
            <w:vAlign w:val="center"/>
          </w:tcPr>
          <w:p w14:paraId="7A0E288B">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241230</w:t>
            </w:r>
          </w:p>
        </w:tc>
        <w:tc>
          <w:tcPr>
            <w:tcW w:w="1575" w:type="dxa"/>
            <w:tcBorders>
              <w:tl2br w:val="nil"/>
              <w:tr2bl w:val="nil"/>
            </w:tcBorders>
            <w:shd w:val="clear" w:color="auto" w:fill="auto"/>
            <w:noWrap/>
            <w:vAlign w:val="center"/>
          </w:tcPr>
          <w:p w14:paraId="32394536">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0.00E+00</w:t>
            </w:r>
          </w:p>
        </w:tc>
        <w:tc>
          <w:tcPr>
            <w:tcW w:w="1588" w:type="dxa"/>
            <w:tcBorders>
              <w:tl2br w:val="nil"/>
              <w:tr2bl w:val="nil"/>
            </w:tcBorders>
            <w:shd w:val="clear" w:color="auto" w:fill="auto"/>
            <w:noWrap/>
            <w:vAlign w:val="center"/>
          </w:tcPr>
          <w:p w14:paraId="3BAD0C98">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2.70E-11</w:t>
            </w:r>
          </w:p>
        </w:tc>
        <w:tc>
          <w:tcPr>
            <w:tcW w:w="406" w:type="pct"/>
            <w:tcBorders>
              <w:tl2br w:val="nil"/>
              <w:tr2bl w:val="nil"/>
            </w:tcBorders>
            <w:shd w:val="clear" w:color="auto" w:fill="auto"/>
            <w:noWrap/>
            <w:vAlign w:val="center"/>
          </w:tcPr>
          <w:p w14:paraId="50DA775C">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default" w:ascii="Times New Roman" w:hAnsi="Times New Roman" w:eastAsia="宋体" w:cs="Times New Roman"/>
                <w:i w:val="0"/>
                <w:iCs w:val="0"/>
                <w:color w:val="0000FF"/>
                <w:kern w:val="0"/>
                <w:sz w:val="21"/>
                <w:szCs w:val="21"/>
                <w:u w:val="none"/>
                <w:lang w:val="en-US" w:eastAsia="zh-CN" w:bidi="ar"/>
              </w:rPr>
              <w:t>7.00E-03</w:t>
            </w:r>
          </w:p>
        </w:tc>
        <w:tc>
          <w:tcPr>
            <w:tcW w:w="1440" w:type="dxa"/>
            <w:tcBorders>
              <w:tl2br w:val="nil"/>
              <w:tr2bl w:val="nil"/>
            </w:tcBorders>
            <w:shd w:val="clear" w:color="auto" w:fill="auto"/>
            <w:noWrap/>
            <w:vAlign w:val="center"/>
          </w:tcPr>
          <w:p w14:paraId="2749556E">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0</w:t>
            </w:r>
          </w:p>
        </w:tc>
        <w:tc>
          <w:tcPr>
            <w:tcW w:w="265" w:type="pct"/>
            <w:tcBorders>
              <w:tl2br w:val="nil"/>
              <w:tr2bl w:val="nil"/>
            </w:tcBorders>
            <w:shd w:val="clear" w:color="auto" w:fill="auto"/>
            <w:noWrap/>
            <w:vAlign w:val="center"/>
          </w:tcPr>
          <w:p w14:paraId="4BF160AA">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达标</w:t>
            </w:r>
          </w:p>
        </w:tc>
      </w:tr>
      <w:tr w14:paraId="40FEBA4B">
        <w:tblPrEx>
          <w:tblBorders>
            <w:top w:val="thinThickSmallGap" w:color="000000" w:sz="12" w:space="0"/>
            <w:left w:val="none" w:color="auto" w:sz="0" w:space="0"/>
            <w:bottom w:val="thinThickSmallGap"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00" w:hRule="atLeast"/>
        </w:trPr>
        <w:tc>
          <w:tcPr>
            <w:tcW w:w="213" w:type="pct"/>
            <w:vMerge w:val="restart"/>
            <w:tcBorders>
              <w:tl2br w:val="nil"/>
              <w:tr2bl w:val="nil"/>
            </w:tcBorders>
            <w:shd w:val="clear" w:color="auto" w:fill="auto"/>
            <w:noWrap/>
            <w:vAlign w:val="center"/>
          </w:tcPr>
          <w:p w14:paraId="1DF25867">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default" w:ascii="Times New Roman" w:hAnsi="Times New Roman" w:eastAsia="宋体" w:cs="Times New Roman"/>
                <w:i w:val="0"/>
                <w:iCs w:val="0"/>
                <w:color w:val="0000FF"/>
                <w:kern w:val="0"/>
                <w:sz w:val="21"/>
                <w:szCs w:val="21"/>
                <w:u w:val="none"/>
                <w:lang w:val="en-US" w:eastAsia="zh-CN" w:bidi="ar"/>
              </w:rPr>
              <w:t>4</w:t>
            </w:r>
          </w:p>
        </w:tc>
        <w:tc>
          <w:tcPr>
            <w:tcW w:w="346" w:type="pct"/>
            <w:vMerge w:val="restart"/>
            <w:tcBorders>
              <w:tl2br w:val="nil"/>
              <w:tr2bl w:val="nil"/>
            </w:tcBorders>
            <w:shd w:val="clear" w:color="auto" w:fill="auto"/>
            <w:noWrap/>
            <w:vAlign w:val="center"/>
          </w:tcPr>
          <w:p w14:paraId="4B2EA791">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三道沟</w:t>
            </w:r>
          </w:p>
        </w:tc>
        <w:tc>
          <w:tcPr>
            <w:tcW w:w="465" w:type="pct"/>
            <w:vMerge w:val="restart"/>
            <w:tcBorders>
              <w:tl2br w:val="nil"/>
              <w:tr2bl w:val="nil"/>
            </w:tcBorders>
            <w:shd w:val="clear" w:color="auto" w:fill="auto"/>
            <w:noWrap/>
            <w:vAlign w:val="center"/>
          </w:tcPr>
          <w:p w14:paraId="43529D5C">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910,-1326</w:t>
            </w:r>
          </w:p>
        </w:tc>
        <w:tc>
          <w:tcPr>
            <w:tcW w:w="503" w:type="pct"/>
            <w:tcBorders>
              <w:tl2br w:val="nil"/>
              <w:tr2bl w:val="nil"/>
            </w:tcBorders>
            <w:shd w:val="clear" w:color="auto" w:fill="auto"/>
            <w:noWrap/>
            <w:vAlign w:val="center"/>
          </w:tcPr>
          <w:p w14:paraId="053B91E4">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default" w:ascii="Times New Roman" w:hAnsi="Times New Roman" w:eastAsia="宋体" w:cs="Times New Roman"/>
                <w:i w:val="0"/>
                <w:iCs w:val="0"/>
                <w:color w:val="0000FF"/>
                <w:kern w:val="0"/>
                <w:sz w:val="21"/>
                <w:szCs w:val="21"/>
                <w:u w:val="none"/>
                <w:lang w:val="en-US" w:eastAsia="zh-CN" w:bidi="ar"/>
              </w:rPr>
              <w:t>1</w:t>
            </w:r>
            <w:r>
              <w:rPr>
                <w:rFonts w:hint="eastAsia" w:ascii="Times New Roman" w:hAnsi="Times New Roman" w:eastAsia="宋体" w:cs="Times New Roman"/>
                <w:i w:val="0"/>
                <w:iCs w:val="0"/>
                <w:color w:val="0000FF"/>
                <w:kern w:val="0"/>
                <w:sz w:val="21"/>
                <w:szCs w:val="21"/>
                <w:u w:val="none"/>
                <w:lang w:val="en-US" w:eastAsia="zh-CN" w:bidi="ar"/>
              </w:rPr>
              <w:t>小时</w:t>
            </w:r>
          </w:p>
        </w:tc>
        <w:tc>
          <w:tcPr>
            <w:tcW w:w="1335" w:type="dxa"/>
            <w:tcBorders>
              <w:tl2br w:val="nil"/>
              <w:tr2bl w:val="nil"/>
            </w:tcBorders>
            <w:shd w:val="clear" w:color="auto" w:fill="auto"/>
            <w:noWrap/>
            <w:vAlign w:val="center"/>
          </w:tcPr>
          <w:p w14:paraId="7069C07D">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3.22E-09</w:t>
            </w:r>
          </w:p>
        </w:tc>
        <w:tc>
          <w:tcPr>
            <w:tcW w:w="1815" w:type="dxa"/>
            <w:tcBorders>
              <w:tl2br w:val="nil"/>
              <w:tr2bl w:val="nil"/>
            </w:tcBorders>
            <w:shd w:val="clear" w:color="auto" w:fill="auto"/>
            <w:noWrap/>
            <w:vAlign w:val="center"/>
          </w:tcPr>
          <w:p w14:paraId="2D967AC7">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24103008</w:t>
            </w:r>
          </w:p>
        </w:tc>
        <w:tc>
          <w:tcPr>
            <w:tcW w:w="1575" w:type="dxa"/>
            <w:tcBorders>
              <w:tl2br w:val="nil"/>
              <w:tr2bl w:val="nil"/>
            </w:tcBorders>
            <w:shd w:val="clear" w:color="auto" w:fill="auto"/>
            <w:noWrap/>
            <w:vAlign w:val="center"/>
          </w:tcPr>
          <w:p w14:paraId="674FB4F5">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0.00E+00</w:t>
            </w:r>
          </w:p>
        </w:tc>
        <w:tc>
          <w:tcPr>
            <w:tcW w:w="1588" w:type="dxa"/>
            <w:tcBorders>
              <w:tl2br w:val="nil"/>
              <w:tr2bl w:val="nil"/>
            </w:tcBorders>
            <w:shd w:val="clear" w:color="auto" w:fill="auto"/>
            <w:noWrap/>
            <w:vAlign w:val="center"/>
          </w:tcPr>
          <w:p w14:paraId="4FAE4AD5">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3.22E-09</w:t>
            </w:r>
          </w:p>
        </w:tc>
        <w:tc>
          <w:tcPr>
            <w:tcW w:w="406" w:type="pct"/>
            <w:tcBorders>
              <w:tl2br w:val="nil"/>
              <w:tr2bl w:val="nil"/>
            </w:tcBorders>
            <w:shd w:val="clear" w:color="auto" w:fill="auto"/>
            <w:noWrap/>
            <w:vAlign w:val="center"/>
          </w:tcPr>
          <w:p w14:paraId="77EBC4AD">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default" w:ascii="Times New Roman" w:hAnsi="Times New Roman" w:eastAsia="宋体" w:cs="Times New Roman"/>
                <w:i w:val="0"/>
                <w:iCs w:val="0"/>
                <w:color w:val="0000FF"/>
                <w:kern w:val="0"/>
                <w:sz w:val="21"/>
                <w:szCs w:val="21"/>
                <w:u w:val="none"/>
                <w:lang w:val="en-US" w:eastAsia="zh-CN" w:bidi="ar"/>
              </w:rPr>
              <w:t>2.00E-02</w:t>
            </w:r>
          </w:p>
        </w:tc>
        <w:tc>
          <w:tcPr>
            <w:tcW w:w="1440" w:type="dxa"/>
            <w:tcBorders>
              <w:tl2br w:val="nil"/>
              <w:tr2bl w:val="nil"/>
            </w:tcBorders>
            <w:shd w:val="clear" w:color="auto" w:fill="auto"/>
            <w:noWrap/>
            <w:vAlign w:val="center"/>
          </w:tcPr>
          <w:p w14:paraId="00785BE3">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0</w:t>
            </w:r>
          </w:p>
        </w:tc>
        <w:tc>
          <w:tcPr>
            <w:tcW w:w="265" w:type="pct"/>
            <w:tcBorders>
              <w:tl2br w:val="nil"/>
              <w:tr2bl w:val="nil"/>
            </w:tcBorders>
            <w:shd w:val="clear" w:color="auto" w:fill="auto"/>
            <w:noWrap/>
            <w:vAlign w:val="center"/>
          </w:tcPr>
          <w:p w14:paraId="259E71C8">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达标</w:t>
            </w:r>
          </w:p>
        </w:tc>
      </w:tr>
      <w:tr w14:paraId="22322375">
        <w:tblPrEx>
          <w:tblBorders>
            <w:top w:val="thinThickSmallGap" w:color="000000" w:sz="12" w:space="0"/>
            <w:left w:val="none" w:color="auto" w:sz="0" w:space="0"/>
            <w:bottom w:val="thinThickSmallGap" w:color="000000" w:sz="12" w:space="0"/>
            <w:right w:val="none" w:color="auto" w:sz="0"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300" w:hRule="atLeast"/>
        </w:trPr>
        <w:tc>
          <w:tcPr>
            <w:tcW w:w="213" w:type="pct"/>
            <w:vMerge w:val="continue"/>
            <w:tcBorders>
              <w:tl2br w:val="nil"/>
              <w:tr2bl w:val="nil"/>
            </w:tcBorders>
            <w:shd w:val="clear" w:color="auto" w:fill="auto"/>
            <w:noWrap/>
            <w:vAlign w:val="center"/>
          </w:tcPr>
          <w:p w14:paraId="691D4A55">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p>
        </w:tc>
        <w:tc>
          <w:tcPr>
            <w:tcW w:w="346" w:type="pct"/>
            <w:vMerge w:val="continue"/>
            <w:tcBorders>
              <w:tl2br w:val="nil"/>
              <w:tr2bl w:val="nil"/>
            </w:tcBorders>
            <w:shd w:val="clear" w:color="auto" w:fill="auto"/>
            <w:noWrap/>
            <w:vAlign w:val="center"/>
          </w:tcPr>
          <w:p w14:paraId="4F99D0AA">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p>
        </w:tc>
        <w:tc>
          <w:tcPr>
            <w:tcW w:w="465" w:type="pct"/>
            <w:vMerge w:val="continue"/>
            <w:tcBorders>
              <w:tl2br w:val="nil"/>
              <w:tr2bl w:val="nil"/>
            </w:tcBorders>
            <w:shd w:val="clear" w:color="auto" w:fill="auto"/>
            <w:noWrap/>
            <w:vAlign w:val="center"/>
          </w:tcPr>
          <w:p w14:paraId="5B37FD22">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p>
        </w:tc>
        <w:tc>
          <w:tcPr>
            <w:tcW w:w="503" w:type="pct"/>
            <w:tcBorders>
              <w:tl2br w:val="nil"/>
              <w:tr2bl w:val="nil"/>
            </w:tcBorders>
            <w:shd w:val="clear" w:color="auto" w:fill="auto"/>
            <w:noWrap/>
            <w:vAlign w:val="center"/>
          </w:tcPr>
          <w:p w14:paraId="75E6CD6C">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日平均</w:t>
            </w:r>
          </w:p>
        </w:tc>
        <w:tc>
          <w:tcPr>
            <w:tcW w:w="1335" w:type="dxa"/>
            <w:tcBorders>
              <w:tl2br w:val="nil"/>
              <w:tr2bl w:val="nil"/>
            </w:tcBorders>
            <w:shd w:val="clear" w:color="auto" w:fill="auto"/>
            <w:noWrap/>
            <w:vAlign w:val="center"/>
          </w:tcPr>
          <w:p w14:paraId="6C9ACAED">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2.68E-15</w:t>
            </w:r>
          </w:p>
        </w:tc>
        <w:tc>
          <w:tcPr>
            <w:tcW w:w="1815" w:type="dxa"/>
            <w:tcBorders>
              <w:tl2br w:val="nil"/>
              <w:tr2bl w:val="nil"/>
            </w:tcBorders>
            <w:shd w:val="clear" w:color="auto" w:fill="auto"/>
            <w:noWrap/>
            <w:vAlign w:val="center"/>
          </w:tcPr>
          <w:p w14:paraId="531A13A0">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241119</w:t>
            </w:r>
          </w:p>
        </w:tc>
        <w:tc>
          <w:tcPr>
            <w:tcW w:w="1575" w:type="dxa"/>
            <w:tcBorders>
              <w:tl2br w:val="nil"/>
              <w:tr2bl w:val="nil"/>
            </w:tcBorders>
            <w:shd w:val="clear" w:color="auto" w:fill="auto"/>
            <w:noWrap/>
            <w:vAlign w:val="center"/>
          </w:tcPr>
          <w:p w14:paraId="1798BB12">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0.00E+00</w:t>
            </w:r>
          </w:p>
        </w:tc>
        <w:tc>
          <w:tcPr>
            <w:tcW w:w="1588" w:type="dxa"/>
            <w:tcBorders>
              <w:tl2br w:val="nil"/>
              <w:tr2bl w:val="nil"/>
            </w:tcBorders>
            <w:shd w:val="clear" w:color="auto" w:fill="auto"/>
            <w:noWrap/>
            <w:vAlign w:val="center"/>
          </w:tcPr>
          <w:p w14:paraId="61189F6B">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2.68E-15</w:t>
            </w:r>
          </w:p>
        </w:tc>
        <w:tc>
          <w:tcPr>
            <w:tcW w:w="406" w:type="pct"/>
            <w:tcBorders>
              <w:tl2br w:val="nil"/>
              <w:tr2bl w:val="nil"/>
            </w:tcBorders>
            <w:shd w:val="clear" w:color="auto" w:fill="auto"/>
            <w:noWrap/>
            <w:vAlign w:val="center"/>
          </w:tcPr>
          <w:p w14:paraId="665DDB58">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default" w:ascii="Times New Roman" w:hAnsi="Times New Roman" w:eastAsia="宋体" w:cs="Times New Roman"/>
                <w:i w:val="0"/>
                <w:iCs w:val="0"/>
                <w:color w:val="0000FF"/>
                <w:kern w:val="0"/>
                <w:sz w:val="21"/>
                <w:szCs w:val="21"/>
                <w:u w:val="none"/>
                <w:lang w:val="en-US" w:eastAsia="zh-CN" w:bidi="ar"/>
              </w:rPr>
              <w:t>7.00E-03</w:t>
            </w:r>
          </w:p>
        </w:tc>
        <w:tc>
          <w:tcPr>
            <w:tcW w:w="1440" w:type="dxa"/>
            <w:tcBorders>
              <w:tl2br w:val="nil"/>
              <w:tr2bl w:val="nil"/>
            </w:tcBorders>
            <w:shd w:val="clear" w:color="auto" w:fill="auto"/>
            <w:noWrap/>
            <w:vAlign w:val="center"/>
          </w:tcPr>
          <w:p w14:paraId="0599AEF9">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0</w:t>
            </w:r>
          </w:p>
        </w:tc>
        <w:tc>
          <w:tcPr>
            <w:tcW w:w="265" w:type="pct"/>
            <w:tcBorders>
              <w:tl2br w:val="nil"/>
              <w:tr2bl w:val="nil"/>
            </w:tcBorders>
            <w:shd w:val="clear" w:color="auto" w:fill="auto"/>
            <w:noWrap/>
            <w:vAlign w:val="center"/>
          </w:tcPr>
          <w:p w14:paraId="5A90DC45">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达标</w:t>
            </w:r>
          </w:p>
        </w:tc>
      </w:tr>
      <w:tr w14:paraId="7DAB0C01">
        <w:tblPrEx>
          <w:tblBorders>
            <w:top w:val="thinThickSmallGap" w:color="000000" w:sz="12" w:space="0"/>
            <w:left w:val="none" w:color="auto" w:sz="0" w:space="0"/>
            <w:bottom w:val="thinThickSmallGap"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00" w:hRule="atLeast"/>
        </w:trPr>
        <w:tc>
          <w:tcPr>
            <w:tcW w:w="213" w:type="pct"/>
            <w:vMerge w:val="restart"/>
            <w:tcBorders>
              <w:tl2br w:val="nil"/>
              <w:tr2bl w:val="nil"/>
            </w:tcBorders>
            <w:shd w:val="clear" w:color="auto" w:fill="auto"/>
            <w:noWrap/>
            <w:vAlign w:val="center"/>
          </w:tcPr>
          <w:p w14:paraId="580CA6BD">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default" w:ascii="Times New Roman" w:hAnsi="Times New Roman" w:eastAsia="宋体" w:cs="Times New Roman"/>
                <w:i w:val="0"/>
                <w:iCs w:val="0"/>
                <w:color w:val="0000FF"/>
                <w:kern w:val="0"/>
                <w:sz w:val="21"/>
                <w:szCs w:val="21"/>
                <w:u w:val="none"/>
                <w:lang w:val="en-US" w:eastAsia="zh-CN" w:bidi="ar"/>
              </w:rPr>
              <w:t>5</w:t>
            </w:r>
          </w:p>
        </w:tc>
        <w:tc>
          <w:tcPr>
            <w:tcW w:w="346" w:type="pct"/>
            <w:vMerge w:val="restart"/>
            <w:tcBorders>
              <w:tl2br w:val="nil"/>
              <w:tr2bl w:val="nil"/>
            </w:tcBorders>
            <w:shd w:val="clear" w:color="auto" w:fill="auto"/>
            <w:noWrap/>
            <w:vAlign w:val="center"/>
          </w:tcPr>
          <w:p w14:paraId="76226246">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四道河子</w:t>
            </w:r>
          </w:p>
        </w:tc>
        <w:tc>
          <w:tcPr>
            <w:tcW w:w="465" w:type="pct"/>
            <w:vMerge w:val="restart"/>
            <w:tcBorders>
              <w:tl2br w:val="nil"/>
              <w:tr2bl w:val="nil"/>
            </w:tcBorders>
            <w:shd w:val="clear" w:color="auto" w:fill="auto"/>
            <w:noWrap/>
            <w:vAlign w:val="center"/>
          </w:tcPr>
          <w:p w14:paraId="56313F9E">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430,1123</w:t>
            </w:r>
          </w:p>
        </w:tc>
        <w:tc>
          <w:tcPr>
            <w:tcW w:w="503" w:type="pct"/>
            <w:tcBorders>
              <w:tl2br w:val="nil"/>
              <w:tr2bl w:val="nil"/>
            </w:tcBorders>
            <w:shd w:val="clear" w:color="auto" w:fill="auto"/>
            <w:noWrap/>
            <w:vAlign w:val="center"/>
          </w:tcPr>
          <w:p w14:paraId="05E92D33">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default" w:ascii="Times New Roman" w:hAnsi="Times New Roman" w:eastAsia="宋体" w:cs="Times New Roman"/>
                <w:i w:val="0"/>
                <w:iCs w:val="0"/>
                <w:color w:val="0000FF"/>
                <w:kern w:val="0"/>
                <w:sz w:val="21"/>
                <w:szCs w:val="21"/>
                <w:u w:val="none"/>
                <w:lang w:val="en-US" w:eastAsia="zh-CN" w:bidi="ar"/>
              </w:rPr>
              <w:t>1</w:t>
            </w:r>
            <w:r>
              <w:rPr>
                <w:rFonts w:hint="eastAsia" w:ascii="Times New Roman" w:hAnsi="Times New Roman" w:eastAsia="宋体" w:cs="Times New Roman"/>
                <w:i w:val="0"/>
                <w:iCs w:val="0"/>
                <w:color w:val="0000FF"/>
                <w:kern w:val="0"/>
                <w:sz w:val="21"/>
                <w:szCs w:val="21"/>
                <w:u w:val="none"/>
                <w:lang w:val="en-US" w:eastAsia="zh-CN" w:bidi="ar"/>
              </w:rPr>
              <w:t>小时</w:t>
            </w:r>
          </w:p>
        </w:tc>
        <w:tc>
          <w:tcPr>
            <w:tcW w:w="1335" w:type="dxa"/>
            <w:tcBorders>
              <w:tl2br w:val="nil"/>
              <w:tr2bl w:val="nil"/>
            </w:tcBorders>
            <w:shd w:val="clear" w:color="auto" w:fill="auto"/>
            <w:noWrap/>
            <w:vAlign w:val="center"/>
          </w:tcPr>
          <w:p w14:paraId="6DCDC884">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4.70E-09</w:t>
            </w:r>
          </w:p>
        </w:tc>
        <w:tc>
          <w:tcPr>
            <w:tcW w:w="1815" w:type="dxa"/>
            <w:tcBorders>
              <w:tl2br w:val="nil"/>
              <w:tr2bl w:val="nil"/>
            </w:tcBorders>
            <w:shd w:val="clear" w:color="auto" w:fill="auto"/>
            <w:noWrap/>
            <w:vAlign w:val="center"/>
          </w:tcPr>
          <w:p w14:paraId="24201E25">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24101618</w:t>
            </w:r>
          </w:p>
        </w:tc>
        <w:tc>
          <w:tcPr>
            <w:tcW w:w="1575" w:type="dxa"/>
            <w:tcBorders>
              <w:tl2br w:val="nil"/>
              <w:tr2bl w:val="nil"/>
            </w:tcBorders>
            <w:shd w:val="clear" w:color="auto" w:fill="auto"/>
            <w:noWrap/>
            <w:vAlign w:val="center"/>
          </w:tcPr>
          <w:p w14:paraId="21B10E99">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0.00E+00</w:t>
            </w:r>
          </w:p>
        </w:tc>
        <w:tc>
          <w:tcPr>
            <w:tcW w:w="1588" w:type="dxa"/>
            <w:tcBorders>
              <w:tl2br w:val="nil"/>
              <w:tr2bl w:val="nil"/>
            </w:tcBorders>
            <w:shd w:val="clear" w:color="auto" w:fill="auto"/>
            <w:noWrap/>
            <w:vAlign w:val="center"/>
          </w:tcPr>
          <w:p w14:paraId="6EBD6B2C">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4.70E-09</w:t>
            </w:r>
          </w:p>
        </w:tc>
        <w:tc>
          <w:tcPr>
            <w:tcW w:w="406" w:type="pct"/>
            <w:tcBorders>
              <w:tl2br w:val="nil"/>
              <w:tr2bl w:val="nil"/>
            </w:tcBorders>
            <w:shd w:val="clear" w:color="auto" w:fill="auto"/>
            <w:noWrap/>
            <w:vAlign w:val="center"/>
          </w:tcPr>
          <w:p w14:paraId="13C38AB4">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default" w:ascii="Times New Roman" w:hAnsi="Times New Roman" w:eastAsia="宋体" w:cs="Times New Roman"/>
                <w:i w:val="0"/>
                <w:iCs w:val="0"/>
                <w:color w:val="0000FF"/>
                <w:kern w:val="0"/>
                <w:sz w:val="21"/>
                <w:szCs w:val="21"/>
                <w:u w:val="none"/>
                <w:lang w:val="en-US" w:eastAsia="zh-CN" w:bidi="ar"/>
              </w:rPr>
              <w:t>2.00E-02</w:t>
            </w:r>
          </w:p>
        </w:tc>
        <w:tc>
          <w:tcPr>
            <w:tcW w:w="1440" w:type="dxa"/>
            <w:tcBorders>
              <w:tl2br w:val="nil"/>
              <w:tr2bl w:val="nil"/>
            </w:tcBorders>
            <w:shd w:val="clear" w:color="auto" w:fill="auto"/>
            <w:noWrap/>
            <w:vAlign w:val="center"/>
          </w:tcPr>
          <w:p w14:paraId="31312CB5">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0</w:t>
            </w:r>
          </w:p>
        </w:tc>
        <w:tc>
          <w:tcPr>
            <w:tcW w:w="265" w:type="pct"/>
            <w:tcBorders>
              <w:tl2br w:val="nil"/>
              <w:tr2bl w:val="nil"/>
            </w:tcBorders>
            <w:shd w:val="clear" w:color="auto" w:fill="auto"/>
            <w:noWrap/>
            <w:vAlign w:val="center"/>
          </w:tcPr>
          <w:p w14:paraId="1BAD9C7F">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达标</w:t>
            </w:r>
          </w:p>
        </w:tc>
      </w:tr>
      <w:tr w14:paraId="2F4FD427">
        <w:tblPrEx>
          <w:tblBorders>
            <w:top w:val="thinThickSmallGap" w:color="000000" w:sz="12" w:space="0"/>
            <w:left w:val="none" w:color="auto" w:sz="0" w:space="0"/>
            <w:bottom w:val="thinThickSmallGap" w:color="000000" w:sz="12" w:space="0"/>
            <w:right w:val="none" w:color="auto" w:sz="0"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300" w:hRule="atLeast"/>
        </w:trPr>
        <w:tc>
          <w:tcPr>
            <w:tcW w:w="213" w:type="pct"/>
            <w:vMerge w:val="continue"/>
            <w:tcBorders>
              <w:tl2br w:val="nil"/>
              <w:tr2bl w:val="nil"/>
            </w:tcBorders>
            <w:shd w:val="clear" w:color="auto" w:fill="auto"/>
            <w:noWrap/>
            <w:vAlign w:val="center"/>
          </w:tcPr>
          <w:p w14:paraId="353D6E6D">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p>
        </w:tc>
        <w:tc>
          <w:tcPr>
            <w:tcW w:w="346" w:type="pct"/>
            <w:vMerge w:val="continue"/>
            <w:tcBorders>
              <w:tl2br w:val="nil"/>
              <w:tr2bl w:val="nil"/>
            </w:tcBorders>
            <w:shd w:val="clear" w:color="auto" w:fill="auto"/>
            <w:noWrap/>
            <w:vAlign w:val="center"/>
          </w:tcPr>
          <w:p w14:paraId="3721EC0E">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p>
        </w:tc>
        <w:tc>
          <w:tcPr>
            <w:tcW w:w="465" w:type="pct"/>
            <w:vMerge w:val="continue"/>
            <w:tcBorders>
              <w:tl2br w:val="nil"/>
              <w:tr2bl w:val="nil"/>
            </w:tcBorders>
            <w:shd w:val="clear" w:color="auto" w:fill="auto"/>
            <w:noWrap/>
            <w:vAlign w:val="center"/>
          </w:tcPr>
          <w:p w14:paraId="08AF3902">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p>
        </w:tc>
        <w:tc>
          <w:tcPr>
            <w:tcW w:w="503" w:type="pct"/>
            <w:tcBorders>
              <w:tl2br w:val="nil"/>
              <w:tr2bl w:val="nil"/>
            </w:tcBorders>
            <w:shd w:val="clear" w:color="auto" w:fill="auto"/>
            <w:noWrap/>
            <w:vAlign w:val="center"/>
          </w:tcPr>
          <w:p w14:paraId="3A96B815">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日平均</w:t>
            </w:r>
          </w:p>
        </w:tc>
        <w:tc>
          <w:tcPr>
            <w:tcW w:w="1335" w:type="dxa"/>
            <w:tcBorders>
              <w:tl2br w:val="nil"/>
              <w:tr2bl w:val="nil"/>
            </w:tcBorders>
            <w:shd w:val="clear" w:color="auto" w:fill="auto"/>
            <w:noWrap/>
            <w:vAlign w:val="center"/>
          </w:tcPr>
          <w:p w14:paraId="68104D00">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1.96E-10</w:t>
            </w:r>
          </w:p>
        </w:tc>
        <w:tc>
          <w:tcPr>
            <w:tcW w:w="1815" w:type="dxa"/>
            <w:tcBorders>
              <w:tl2br w:val="nil"/>
              <w:tr2bl w:val="nil"/>
            </w:tcBorders>
            <w:shd w:val="clear" w:color="auto" w:fill="auto"/>
            <w:noWrap/>
            <w:vAlign w:val="center"/>
          </w:tcPr>
          <w:p w14:paraId="0E9949CB">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241016</w:t>
            </w:r>
          </w:p>
        </w:tc>
        <w:tc>
          <w:tcPr>
            <w:tcW w:w="1575" w:type="dxa"/>
            <w:tcBorders>
              <w:tl2br w:val="nil"/>
              <w:tr2bl w:val="nil"/>
            </w:tcBorders>
            <w:shd w:val="clear" w:color="auto" w:fill="auto"/>
            <w:noWrap/>
            <w:vAlign w:val="center"/>
          </w:tcPr>
          <w:p w14:paraId="11A90EA5">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0.00E+00</w:t>
            </w:r>
          </w:p>
        </w:tc>
        <w:tc>
          <w:tcPr>
            <w:tcW w:w="1588" w:type="dxa"/>
            <w:tcBorders>
              <w:tl2br w:val="nil"/>
              <w:tr2bl w:val="nil"/>
            </w:tcBorders>
            <w:shd w:val="clear" w:color="auto" w:fill="auto"/>
            <w:noWrap/>
            <w:vAlign w:val="center"/>
          </w:tcPr>
          <w:p w14:paraId="6BDD328D">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1.96E-10</w:t>
            </w:r>
          </w:p>
        </w:tc>
        <w:tc>
          <w:tcPr>
            <w:tcW w:w="406" w:type="pct"/>
            <w:tcBorders>
              <w:tl2br w:val="nil"/>
              <w:tr2bl w:val="nil"/>
            </w:tcBorders>
            <w:shd w:val="clear" w:color="auto" w:fill="auto"/>
            <w:noWrap/>
            <w:vAlign w:val="center"/>
          </w:tcPr>
          <w:p w14:paraId="79E5936A">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default" w:ascii="Times New Roman" w:hAnsi="Times New Roman" w:eastAsia="宋体" w:cs="Times New Roman"/>
                <w:i w:val="0"/>
                <w:iCs w:val="0"/>
                <w:color w:val="0000FF"/>
                <w:kern w:val="0"/>
                <w:sz w:val="21"/>
                <w:szCs w:val="21"/>
                <w:u w:val="none"/>
                <w:lang w:val="en-US" w:eastAsia="zh-CN" w:bidi="ar"/>
              </w:rPr>
              <w:t>7.00E-03</w:t>
            </w:r>
          </w:p>
        </w:tc>
        <w:tc>
          <w:tcPr>
            <w:tcW w:w="1440" w:type="dxa"/>
            <w:tcBorders>
              <w:tl2br w:val="nil"/>
              <w:tr2bl w:val="nil"/>
            </w:tcBorders>
            <w:shd w:val="clear" w:color="auto" w:fill="auto"/>
            <w:noWrap/>
            <w:vAlign w:val="center"/>
          </w:tcPr>
          <w:p w14:paraId="611C7596">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0</w:t>
            </w:r>
          </w:p>
        </w:tc>
        <w:tc>
          <w:tcPr>
            <w:tcW w:w="265" w:type="pct"/>
            <w:tcBorders>
              <w:tl2br w:val="nil"/>
              <w:tr2bl w:val="nil"/>
            </w:tcBorders>
            <w:shd w:val="clear" w:color="auto" w:fill="auto"/>
            <w:noWrap/>
            <w:vAlign w:val="center"/>
          </w:tcPr>
          <w:p w14:paraId="3C8534D6">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达标</w:t>
            </w:r>
          </w:p>
        </w:tc>
      </w:tr>
      <w:tr w14:paraId="279A7FDD">
        <w:tblPrEx>
          <w:tblBorders>
            <w:top w:val="thinThickSmallGap" w:color="000000" w:sz="12" w:space="0"/>
            <w:left w:val="none" w:color="auto" w:sz="0" w:space="0"/>
            <w:bottom w:val="thinThickSmallGap"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00" w:hRule="atLeast"/>
        </w:trPr>
        <w:tc>
          <w:tcPr>
            <w:tcW w:w="213" w:type="pct"/>
            <w:vMerge w:val="restart"/>
            <w:tcBorders>
              <w:tl2br w:val="nil"/>
              <w:tr2bl w:val="nil"/>
            </w:tcBorders>
            <w:shd w:val="clear" w:color="auto" w:fill="auto"/>
            <w:noWrap/>
            <w:vAlign w:val="center"/>
          </w:tcPr>
          <w:p w14:paraId="115B376B">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default" w:ascii="Times New Roman" w:hAnsi="Times New Roman" w:eastAsia="宋体" w:cs="Times New Roman"/>
                <w:i w:val="0"/>
                <w:iCs w:val="0"/>
                <w:color w:val="0000FF"/>
                <w:kern w:val="0"/>
                <w:sz w:val="21"/>
                <w:szCs w:val="21"/>
                <w:u w:val="none"/>
                <w:lang w:val="en-US" w:eastAsia="zh-CN" w:bidi="ar"/>
              </w:rPr>
              <w:t>6</w:t>
            </w:r>
          </w:p>
        </w:tc>
        <w:tc>
          <w:tcPr>
            <w:tcW w:w="346" w:type="pct"/>
            <w:vMerge w:val="restart"/>
            <w:tcBorders>
              <w:tl2br w:val="nil"/>
              <w:tr2bl w:val="nil"/>
            </w:tcBorders>
            <w:shd w:val="clear" w:color="auto" w:fill="auto"/>
            <w:vAlign w:val="center"/>
          </w:tcPr>
          <w:p w14:paraId="12E7F7CD">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五道沟</w:t>
            </w:r>
          </w:p>
        </w:tc>
        <w:tc>
          <w:tcPr>
            <w:tcW w:w="465" w:type="pct"/>
            <w:vMerge w:val="restart"/>
            <w:tcBorders>
              <w:tl2br w:val="nil"/>
              <w:tr2bl w:val="nil"/>
            </w:tcBorders>
            <w:shd w:val="clear" w:color="auto" w:fill="auto"/>
            <w:noWrap/>
            <w:vAlign w:val="center"/>
          </w:tcPr>
          <w:p w14:paraId="1B921B2F">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815,1679</w:t>
            </w:r>
          </w:p>
        </w:tc>
        <w:tc>
          <w:tcPr>
            <w:tcW w:w="503" w:type="pct"/>
            <w:tcBorders>
              <w:tl2br w:val="nil"/>
              <w:tr2bl w:val="nil"/>
            </w:tcBorders>
            <w:shd w:val="clear" w:color="auto" w:fill="auto"/>
            <w:noWrap/>
            <w:vAlign w:val="center"/>
          </w:tcPr>
          <w:p w14:paraId="372380E8">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default" w:ascii="Times New Roman" w:hAnsi="Times New Roman" w:eastAsia="宋体" w:cs="Times New Roman"/>
                <w:i w:val="0"/>
                <w:iCs w:val="0"/>
                <w:color w:val="0000FF"/>
                <w:kern w:val="0"/>
                <w:sz w:val="21"/>
                <w:szCs w:val="21"/>
                <w:u w:val="none"/>
                <w:lang w:val="en-US" w:eastAsia="zh-CN" w:bidi="ar"/>
              </w:rPr>
              <w:t>1</w:t>
            </w:r>
            <w:r>
              <w:rPr>
                <w:rFonts w:hint="eastAsia" w:ascii="Times New Roman" w:hAnsi="Times New Roman" w:eastAsia="宋体" w:cs="Times New Roman"/>
                <w:i w:val="0"/>
                <w:iCs w:val="0"/>
                <w:color w:val="0000FF"/>
                <w:kern w:val="0"/>
                <w:sz w:val="21"/>
                <w:szCs w:val="21"/>
                <w:u w:val="none"/>
                <w:lang w:val="en-US" w:eastAsia="zh-CN" w:bidi="ar"/>
              </w:rPr>
              <w:t>小时</w:t>
            </w:r>
          </w:p>
        </w:tc>
        <w:tc>
          <w:tcPr>
            <w:tcW w:w="1335" w:type="dxa"/>
            <w:tcBorders>
              <w:tl2br w:val="nil"/>
              <w:tr2bl w:val="nil"/>
            </w:tcBorders>
            <w:shd w:val="clear" w:color="auto" w:fill="auto"/>
            <w:noWrap/>
            <w:vAlign w:val="center"/>
          </w:tcPr>
          <w:p w14:paraId="79CC7E44">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7.28E-09</w:t>
            </w:r>
          </w:p>
        </w:tc>
        <w:tc>
          <w:tcPr>
            <w:tcW w:w="1815" w:type="dxa"/>
            <w:tcBorders>
              <w:tl2br w:val="nil"/>
              <w:tr2bl w:val="nil"/>
            </w:tcBorders>
            <w:shd w:val="clear" w:color="auto" w:fill="auto"/>
            <w:noWrap/>
            <w:vAlign w:val="center"/>
          </w:tcPr>
          <w:p w14:paraId="41FE685D">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24101618</w:t>
            </w:r>
          </w:p>
        </w:tc>
        <w:tc>
          <w:tcPr>
            <w:tcW w:w="1575" w:type="dxa"/>
            <w:tcBorders>
              <w:tl2br w:val="nil"/>
              <w:tr2bl w:val="nil"/>
            </w:tcBorders>
            <w:shd w:val="clear" w:color="auto" w:fill="auto"/>
            <w:noWrap/>
            <w:vAlign w:val="center"/>
          </w:tcPr>
          <w:p w14:paraId="5B8B0E8C">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0.00E+00</w:t>
            </w:r>
          </w:p>
        </w:tc>
        <w:tc>
          <w:tcPr>
            <w:tcW w:w="1588" w:type="dxa"/>
            <w:tcBorders>
              <w:tl2br w:val="nil"/>
              <w:tr2bl w:val="nil"/>
            </w:tcBorders>
            <w:shd w:val="clear" w:color="auto" w:fill="auto"/>
            <w:noWrap/>
            <w:vAlign w:val="center"/>
          </w:tcPr>
          <w:p w14:paraId="54298EA0">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7.28E-09</w:t>
            </w:r>
          </w:p>
        </w:tc>
        <w:tc>
          <w:tcPr>
            <w:tcW w:w="406" w:type="pct"/>
            <w:tcBorders>
              <w:tl2br w:val="nil"/>
              <w:tr2bl w:val="nil"/>
            </w:tcBorders>
            <w:shd w:val="clear" w:color="auto" w:fill="auto"/>
            <w:noWrap/>
            <w:vAlign w:val="center"/>
          </w:tcPr>
          <w:p w14:paraId="502076F4">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default" w:ascii="Times New Roman" w:hAnsi="Times New Roman" w:eastAsia="宋体" w:cs="Times New Roman"/>
                <w:i w:val="0"/>
                <w:iCs w:val="0"/>
                <w:color w:val="0000FF"/>
                <w:kern w:val="0"/>
                <w:sz w:val="21"/>
                <w:szCs w:val="21"/>
                <w:u w:val="none"/>
                <w:lang w:val="en-US" w:eastAsia="zh-CN" w:bidi="ar"/>
              </w:rPr>
              <w:t>2.00E-02</w:t>
            </w:r>
          </w:p>
        </w:tc>
        <w:tc>
          <w:tcPr>
            <w:tcW w:w="1440" w:type="dxa"/>
            <w:tcBorders>
              <w:tl2br w:val="nil"/>
              <w:tr2bl w:val="nil"/>
            </w:tcBorders>
            <w:shd w:val="clear" w:color="auto" w:fill="auto"/>
            <w:noWrap/>
            <w:vAlign w:val="center"/>
          </w:tcPr>
          <w:p w14:paraId="34ED44B3">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0</w:t>
            </w:r>
          </w:p>
        </w:tc>
        <w:tc>
          <w:tcPr>
            <w:tcW w:w="265" w:type="pct"/>
            <w:tcBorders>
              <w:tl2br w:val="nil"/>
              <w:tr2bl w:val="nil"/>
            </w:tcBorders>
            <w:shd w:val="clear" w:color="auto" w:fill="auto"/>
            <w:noWrap/>
            <w:vAlign w:val="center"/>
          </w:tcPr>
          <w:p w14:paraId="1E923F89">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达标</w:t>
            </w:r>
          </w:p>
        </w:tc>
      </w:tr>
      <w:tr w14:paraId="28B7EB66">
        <w:tblPrEx>
          <w:tblBorders>
            <w:top w:val="thinThickSmallGap" w:color="000000" w:sz="12" w:space="0"/>
            <w:left w:val="none" w:color="auto" w:sz="0" w:space="0"/>
            <w:bottom w:val="thinThickSmallGap"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00" w:hRule="atLeast"/>
        </w:trPr>
        <w:tc>
          <w:tcPr>
            <w:tcW w:w="213" w:type="pct"/>
            <w:vMerge w:val="continue"/>
            <w:tcBorders>
              <w:tl2br w:val="nil"/>
              <w:tr2bl w:val="nil"/>
            </w:tcBorders>
            <w:shd w:val="clear" w:color="auto" w:fill="auto"/>
            <w:noWrap/>
            <w:vAlign w:val="center"/>
          </w:tcPr>
          <w:p w14:paraId="584561A1">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p>
        </w:tc>
        <w:tc>
          <w:tcPr>
            <w:tcW w:w="346" w:type="pct"/>
            <w:vMerge w:val="continue"/>
            <w:tcBorders>
              <w:tl2br w:val="nil"/>
              <w:tr2bl w:val="nil"/>
            </w:tcBorders>
            <w:shd w:val="clear" w:color="auto" w:fill="auto"/>
            <w:vAlign w:val="center"/>
          </w:tcPr>
          <w:p w14:paraId="59905405">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p>
        </w:tc>
        <w:tc>
          <w:tcPr>
            <w:tcW w:w="465" w:type="pct"/>
            <w:vMerge w:val="continue"/>
            <w:tcBorders>
              <w:tl2br w:val="nil"/>
              <w:tr2bl w:val="nil"/>
            </w:tcBorders>
            <w:shd w:val="clear" w:color="auto" w:fill="auto"/>
            <w:noWrap/>
            <w:vAlign w:val="center"/>
          </w:tcPr>
          <w:p w14:paraId="5BE1A7F4">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p>
        </w:tc>
        <w:tc>
          <w:tcPr>
            <w:tcW w:w="503" w:type="pct"/>
            <w:tcBorders>
              <w:tl2br w:val="nil"/>
              <w:tr2bl w:val="nil"/>
            </w:tcBorders>
            <w:shd w:val="clear" w:color="auto" w:fill="auto"/>
            <w:noWrap/>
            <w:vAlign w:val="center"/>
          </w:tcPr>
          <w:p w14:paraId="5B3449B4">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日平均</w:t>
            </w:r>
          </w:p>
        </w:tc>
        <w:tc>
          <w:tcPr>
            <w:tcW w:w="1335" w:type="dxa"/>
            <w:tcBorders>
              <w:tl2br w:val="nil"/>
              <w:tr2bl w:val="nil"/>
            </w:tcBorders>
            <w:shd w:val="clear" w:color="auto" w:fill="auto"/>
            <w:noWrap/>
            <w:vAlign w:val="center"/>
          </w:tcPr>
          <w:p w14:paraId="617E3864">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3.03E-10</w:t>
            </w:r>
          </w:p>
        </w:tc>
        <w:tc>
          <w:tcPr>
            <w:tcW w:w="1815" w:type="dxa"/>
            <w:tcBorders>
              <w:tl2br w:val="nil"/>
              <w:tr2bl w:val="nil"/>
            </w:tcBorders>
            <w:shd w:val="clear" w:color="auto" w:fill="auto"/>
            <w:noWrap/>
            <w:vAlign w:val="center"/>
          </w:tcPr>
          <w:p w14:paraId="0EAA6BBB">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241016</w:t>
            </w:r>
          </w:p>
        </w:tc>
        <w:tc>
          <w:tcPr>
            <w:tcW w:w="1575" w:type="dxa"/>
            <w:tcBorders>
              <w:tl2br w:val="nil"/>
              <w:tr2bl w:val="nil"/>
            </w:tcBorders>
            <w:shd w:val="clear" w:color="auto" w:fill="auto"/>
            <w:noWrap/>
            <w:vAlign w:val="center"/>
          </w:tcPr>
          <w:p w14:paraId="6FB2DBDC">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0.00E+00</w:t>
            </w:r>
          </w:p>
        </w:tc>
        <w:tc>
          <w:tcPr>
            <w:tcW w:w="1588" w:type="dxa"/>
            <w:tcBorders>
              <w:tl2br w:val="nil"/>
              <w:tr2bl w:val="nil"/>
            </w:tcBorders>
            <w:shd w:val="clear" w:color="auto" w:fill="auto"/>
            <w:noWrap/>
            <w:vAlign w:val="center"/>
          </w:tcPr>
          <w:p w14:paraId="3E6FB332">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3.03E-10</w:t>
            </w:r>
          </w:p>
        </w:tc>
        <w:tc>
          <w:tcPr>
            <w:tcW w:w="406" w:type="pct"/>
            <w:tcBorders>
              <w:tl2br w:val="nil"/>
              <w:tr2bl w:val="nil"/>
            </w:tcBorders>
            <w:shd w:val="clear" w:color="auto" w:fill="auto"/>
            <w:noWrap/>
            <w:vAlign w:val="center"/>
          </w:tcPr>
          <w:p w14:paraId="15CC6278">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default" w:ascii="Times New Roman" w:hAnsi="Times New Roman" w:eastAsia="宋体" w:cs="Times New Roman"/>
                <w:i w:val="0"/>
                <w:iCs w:val="0"/>
                <w:color w:val="0000FF"/>
                <w:kern w:val="0"/>
                <w:sz w:val="21"/>
                <w:szCs w:val="21"/>
                <w:u w:val="none"/>
                <w:lang w:val="en-US" w:eastAsia="zh-CN" w:bidi="ar"/>
              </w:rPr>
              <w:t>7.00E-03</w:t>
            </w:r>
          </w:p>
        </w:tc>
        <w:tc>
          <w:tcPr>
            <w:tcW w:w="1440" w:type="dxa"/>
            <w:tcBorders>
              <w:tl2br w:val="nil"/>
              <w:tr2bl w:val="nil"/>
            </w:tcBorders>
            <w:shd w:val="clear" w:color="auto" w:fill="auto"/>
            <w:noWrap/>
            <w:vAlign w:val="center"/>
          </w:tcPr>
          <w:p w14:paraId="6911D595">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0</w:t>
            </w:r>
          </w:p>
        </w:tc>
        <w:tc>
          <w:tcPr>
            <w:tcW w:w="265" w:type="pct"/>
            <w:tcBorders>
              <w:tl2br w:val="nil"/>
              <w:tr2bl w:val="nil"/>
            </w:tcBorders>
            <w:shd w:val="clear" w:color="auto" w:fill="auto"/>
            <w:noWrap/>
            <w:vAlign w:val="center"/>
          </w:tcPr>
          <w:p w14:paraId="582B34FD">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达标</w:t>
            </w:r>
          </w:p>
        </w:tc>
      </w:tr>
      <w:tr w14:paraId="36E98354">
        <w:tblPrEx>
          <w:tblBorders>
            <w:top w:val="thinThickSmallGap" w:color="000000" w:sz="12" w:space="0"/>
            <w:left w:val="none" w:color="auto" w:sz="0" w:space="0"/>
            <w:bottom w:val="thinThickSmallGap"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00" w:hRule="atLeast"/>
        </w:trPr>
        <w:tc>
          <w:tcPr>
            <w:tcW w:w="213" w:type="pct"/>
            <w:vMerge w:val="restart"/>
            <w:tcBorders>
              <w:tl2br w:val="nil"/>
              <w:tr2bl w:val="nil"/>
            </w:tcBorders>
            <w:shd w:val="clear" w:color="auto" w:fill="auto"/>
            <w:noWrap/>
            <w:vAlign w:val="center"/>
          </w:tcPr>
          <w:p w14:paraId="5AA0648A">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7</w:t>
            </w:r>
          </w:p>
        </w:tc>
        <w:tc>
          <w:tcPr>
            <w:tcW w:w="346" w:type="pct"/>
            <w:vMerge w:val="restart"/>
            <w:tcBorders>
              <w:tl2br w:val="nil"/>
              <w:tr2bl w:val="nil"/>
            </w:tcBorders>
            <w:shd w:val="clear" w:color="auto" w:fill="auto"/>
            <w:vAlign w:val="center"/>
          </w:tcPr>
          <w:p w14:paraId="25C5B778">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杨家堡子</w:t>
            </w:r>
          </w:p>
        </w:tc>
        <w:tc>
          <w:tcPr>
            <w:tcW w:w="465" w:type="pct"/>
            <w:vMerge w:val="restart"/>
            <w:tcBorders>
              <w:tl2br w:val="nil"/>
              <w:tr2bl w:val="nil"/>
            </w:tcBorders>
            <w:shd w:val="clear" w:color="auto" w:fill="auto"/>
            <w:noWrap/>
            <w:vAlign w:val="center"/>
          </w:tcPr>
          <w:p w14:paraId="07DFDA85">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1113,1984</w:t>
            </w:r>
          </w:p>
        </w:tc>
        <w:tc>
          <w:tcPr>
            <w:tcW w:w="503" w:type="pct"/>
            <w:tcBorders>
              <w:tl2br w:val="nil"/>
              <w:tr2bl w:val="nil"/>
            </w:tcBorders>
            <w:shd w:val="clear" w:color="auto" w:fill="auto"/>
            <w:noWrap/>
            <w:vAlign w:val="center"/>
          </w:tcPr>
          <w:p w14:paraId="5B150B83">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Times New Roman" w:hAnsi="Times New Roman" w:eastAsia="宋体" w:cs="Times New Roman"/>
                <w:i w:val="0"/>
                <w:iCs w:val="0"/>
                <w:color w:val="0000FF"/>
                <w:kern w:val="0"/>
                <w:sz w:val="21"/>
                <w:szCs w:val="21"/>
                <w:u w:val="none"/>
                <w:lang w:val="en-US" w:eastAsia="zh-CN" w:bidi="ar"/>
              </w:rPr>
            </w:pPr>
            <w:r>
              <w:rPr>
                <w:rFonts w:hint="default" w:ascii="Times New Roman" w:hAnsi="Times New Roman" w:eastAsia="宋体" w:cs="Times New Roman"/>
                <w:i w:val="0"/>
                <w:iCs w:val="0"/>
                <w:color w:val="0000FF"/>
                <w:kern w:val="0"/>
                <w:sz w:val="21"/>
                <w:szCs w:val="21"/>
                <w:u w:val="none"/>
                <w:lang w:val="en-US" w:eastAsia="zh-CN" w:bidi="ar"/>
              </w:rPr>
              <w:t>1</w:t>
            </w:r>
            <w:r>
              <w:rPr>
                <w:rFonts w:hint="eastAsia" w:ascii="Times New Roman" w:hAnsi="Times New Roman" w:eastAsia="宋体" w:cs="Times New Roman"/>
                <w:i w:val="0"/>
                <w:iCs w:val="0"/>
                <w:color w:val="0000FF"/>
                <w:kern w:val="0"/>
                <w:sz w:val="21"/>
                <w:szCs w:val="21"/>
                <w:u w:val="none"/>
                <w:lang w:val="en-US" w:eastAsia="zh-CN" w:bidi="ar"/>
              </w:rPr>
              <w:t>小时</w:t>
            </w:r>
          </w:p>
        </w:tc>
        <w:tc>
          <w:tcPr>
            <w:tcW w:w="1335" w:type="dxa"/>
            <w:tcBorders>
              <w:tl2br w:val="nil"/>
              <w:tr2bl w:val="nil"/>
            </w:tcBorders>
            <w:shd w:val="clear" w:color="auto" w:fill="auto"/>
            <w:noWrap/>
            <w:vAlign w:val="center"/>
          </w:tcPr>
          <w:p w14:paraId="6E1C7B2C">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9.22E-09</w:t>
            </w:r>
          </w:p>
        </w:tc>
        <w:tc>
          <w:tcPr>
            <w:tcW w:w="1815" w:type="dxa"/>
            <w:tcBorders>
              <w:tl2br w:val="nil"/>
              <w:tr2bl w:val="nil"/>
            </w:tcBorders>
            <w:shd w:val="clear" w:color="auto" w:fill="auto"/>
            <w:noWrap/>
            <w:vAlign w:val="center"/>
          </w:tcPr>
          <w:p w14:paraId="18B4337C">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24101618</w:t>
            </w:r>
          </w:p>
        </w:tc>
        <w:tc>
          <w:tcPr>
            <w:tcW w:w="1575" w:type="dxa"/>
            <w:tcBorders>
              <w:tl2br w:val="nil"/>
              <w:tr2bl w:val="nil"/>
            </w:tcBorders>
            <w:shd w:val="clear" w:color="auto" w:fill="auto"/>
            <w:noWrap/>
            <w:vAlign w:val="center"/>
          </w:tcPr>
          <w:p w14:paraId="278728D6">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0.00E+00</w:t>
            </w:r>
          </w:p>
        </w:tc>
        <w:tc>
          <w:tcPr>
            <w:tcW w:w="1588" w:type="dxa"/>
            <w:tcBorders>
              <w:tl2br w:val="nil"/>
              <w:tr2bl w:val="nil"/>
            </w:tcBorders>
            <w:shd w:val="clear" w:color="auto" w:fill="auto"/>
            <w:noWrap/>
            <w:vAlign w:val="center"/>
          </w:tcPr>
          <w:p w14:paraId="381D6B88">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9.22E-09</w:t>
            </w:r>
          </w:p>
        </w:tc>
        <w:tc>
          <w:tcPr>
            <w:tcW w:w="406" w:type="pct"/>
            <w:tcBorders>
              <w:tl2br w:val="nil"/>
              <w:tr2bl w:val="nil"/>
            </w:tcBorders>
            <w:shd w:val="clear" w:color="auto" w:fill="auto"/>
            <w:noWrap/>
            <w:vAlign w:val="center"/>
          </w:tcPr>
          <w:p w14:paraId="70465922">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default" w:ascii="Times New Roman" w:hAnsi="Times New Roman" w:eastAsia="宋体" w:cs="Times New Roman"/>
                <w:i w:val="0"/>
                <w:iCs w:val="0"/>
                <w:color w:val="0000FF"/>
                <w:kern w:val="0"/>
                <w:sz w:val="21"/>
                <w:szCs w:val="21"/>
                <w:u w:val="none"/>
                <w:lang w:val="en-US" w:eastAsia="zh-CN" w:bidi="ar"/>
              </w:rPr>
              <w:t>2.00E-02</w:t>
            </w:r>
          </w:p>
        </w:tc>
        <w:tc>
          <w:tcPr>
            <w:tcW w:w="1440" w:type="dxa"/>
            <w:tcBorders>
              <w:tl2br w:val="nil"/>
              <w:tr2bl w:val="nil"/>
            </w:tcBorders>
            <w:shd w:val="clear" w:color="auto" w:fill="auto"/>
            <w:noWrap/>
            <w:vAlign w:val="center"/>
          </w:tcPr>
          <w:p w14:paraId="1F72E223">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0</w:t>
            </w:r>
          </w:p>
        </w:tc>
        <w:tc>
          <w:tcPr>
            <w:tcW w:w="265" w:type="pct"/>
            <w:tcBorders>
              <w:tl2br w:val="nil"/>
              <w:tr2bl w:val="nil"/>
            </w:tcBorders>
            <w:shd w:val="clear" w:color="auto" w:fill="auto"/>
            <w:noWrap/>
            <w:vAlign w:val="center"/>
          </w:tcPr>
          <w:p w14:paraId="3576CF82">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达标</w:t>
            </w:r>
          </w:p>
        </w:tc>
      </w:tr>
      <w:tr w14:paraId="731808B8">
        <w:tblPrEx>
          <w:tblBorders>
            <w:top w:val="thinThickSmallGap" w:color="000000" w:sz="12" w:space="0"/>
            <w:left w:val="none" w:color="auto" w:sz="0" w:space="0"/>
            <w:bottom w:val="thinThickSmallGap" w:color="000000" w:sz="12" w:space="0"/>
            <w:right w:val="none" w:color="auto" w:sz="0"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300" w:hRule="atLeast"/>
        </w:trPr>
        <w:tc>
          <w:tcPr>
            <w:tcW w:w="213" w:type="pct"/>
            <w:vMerge w:val="continue"/>
            <w:tcBorders>
              <w:tl2br w:val="nil"/>
              <w:tr2bl w:val="nil"/>
            </w:tcBorders>
            <w:shd w:val="clear" w:color="auto" w:fill="auto"/>
            <w:noWrap/>
            <w:vAlign w:val="center"/>
          </w:tcPr>
          <w:p w14:paraId="0EA915E0">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p>
        </w:tc>
        <w:tc>
          <w:tcPr>
            <w:tcW w:w="346" w:type="pct"/>
            <w:vMerge w:val="continue"/>
            <w:tcBorders>
              <w:tl2br w:val="nil"/>
              <w:tr2bl w:val="nil"/>
            </w:tcBorders>
            <w:shd w:val="clear" w:color="auto" w:fill="auto"/>
            <w:vAlign w:val="center"/>
          </w:tcPr>
          <w:p w14:paraId="62E3CBB1">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p>
        </w:tc>
        <w:tc>
          <w:tcPr>
            <w:tcW w:w="465" w:type="pct"/>
            <w:vMerge w:val="continue"/>
            <w:tcBorders>
              <w:tl2br w:val="nil"/>
              <w:tr2bl w:val="nil"/>
            </w:tcBorders>
            <w:shd w:val="clear" w:color="auto" w:fill="auto"/>
            <w:noWrap/>
            <w:vAlign w:val="center"/>
          </w:tcPr>
          <w:p w14:paraId="3FA89B97">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p>
        </w:tc>
        <w:tc>
          <w:tcPr>
            <w:tcW w:w="503" w:type="pct"/>
            <w:tcBorders>
              <w:tl2br w:val="nil"/>
              <w:tr2bl w:val="nil"/>
            </w:tcBorders>
            <w:shd w:val="clear" w:color="auto" w:fill="auto"/>
            <w:noWrap/>
            <w:vAlign w:val="center"/>
          </w:tcPr>
          <w:p w14:paraId="3615D68E">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日平均</w:t>
            </w:r>
          </w:p>
        </w:tc>
        <w:tc>
          <w:tcPr>
            <w:tcW w:w="1335" w:type="dxa"/>
            <w:tcBorders>
              <w:tl2br w:val="nil"/>
              <w:tr2bl w:val="nil"/>
            </w:tcBorders>
            <w:shd w:val="clear" w:color="auto" w:fill="auto"/>
            <w:noWrap/>
            <w:vAlign w:val="center"/>
          </w:tcPr>
          <w:p w14:paraId="3761CD5D">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3.84E-10</w:t>
            </w:r>
          </w:p>
        </w:tc>
        <w:tc>
          <w:tcPr>
            <w:tcW w:w="1815" w:type="dxa"/>
            <w:tcBorders>
              <w:tl2br w:val="nil"/>
              <w:tr2bl w:val="nil"/>
            </w:tcBorders>
            <w:shd w:val="clear" w:color="auto" w:fill="auto"/>
            <w:noWrap/>
            <w:vAlign w:val="center"/>
          </w:tcPr>
          <w:p w14:paraId="061F77B1">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241016</w:t>
            </w:r>
          </w:p>
        </w:tc>
        <w:tc>
          <w:tcPr>
            <w:tcW w:w="1575" w:type="dxa"/>
            <w:tcBorders>
              <w:tl2br w:val="nil"/>
              <w:tr2bl w:val="nil"/>
            </w:tcBorders>
            <w:shd w:val="clear" w:color="auto" w:fill="auto"/>
            <w:noWrap/>
            <w:vAlign w:val="center"/>
          </w:tcPr>
          <w:p w14:paraId="704579AF">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0.00E+00</w:t>
            </w:r>
          </w:p>
        </w:tc>
        <w:tc>
          <w:tcPr>
            <w:tcW w:w="1588" w:type="dxa"/>
            <w:tcBorders>
              <w:tl2br w:val="nil"/>
              <w:tr2bl w:val="nil"/>
            </w:tcBorders>
            <w:shd w:val="clear" w:color="auto" w:fill="auto"/>
            <w:noWrap/>
            <w:vAlign w:val="center"/>
          </w:tcPr>
          <w:p w14:paraId="02367370">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3.84E-10</w:t>
            </w:r>
          </w:p>
        </w:tc>
        <w:tc>
          <w:tcPr>
            <w:tcW w:w="406" w:type="pct"/>
            <w:tcBorders>
              <w:tl2br w:val="nil"/>
              <w:tr2bl w:val="nil"/>
            </w:tcBorders>
            <w:shd w:val="clear" w:color="auto" w:fill="auto"/>
            <w:noWrap/>
            <w:vAlign w:val="center"/>
          </w:tcPr>
          <w:p w14:paraId="1F15DB85">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default" w:ascii="Times New Roman" w:hAnsi="Times New Roman" w:eastAsia="宋体" w:cs="Times New Roman"/>
                <w:i w:val="0"/>
                <w:iCs w:val="0"/>
                <w:color w:val="0000FF"/>
                <w:kern w:val="0"/>
                <w:sz w:val="21"/>
                <w:szCs w:val="21"/>
                <w:u w:val="none"/>
                <w:lang w:val="en-US" w:eastAsia="zh-CN" w:bidi="ar"/>
              </w:rPr>
              <w:t>7.00E-03</w:t>
            </w:r>
          </w:p>
        </w:tc>
        <w:tc>
          <w:tcPr>
            <w:tcW w:w="1440" w:type="dxa"/>
            <w:tcBorders>
              <w:tl2br w:val="nil"/>
              <w:tr2bl w:val="nil"/>
            </w:tcBorders>
            <w:shd w:val="clear" w:color="auto" w:fill="auto"/>
            <w:noWrap/>
            <w:vAlign w:val="center"/>
          </w:tcPr>
          <w:p w14:paraId="0200E9C8">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0</w:t>
            </w:r>
          </w:p>
        </w:tc>
        <w:tc>
          <w:tcPr>
            <w:tcW w:w="265" w:type="pct"/>
            <w:tcBorders>
              <w:tl2br w:val="nil"/>
              <w:tr2bl w:val="nil"/>
            </w:tcBorders>
            <w:shd w:val="clear" w:color="auto" w:fill="auto"/>
            <w:noWrap/>
            <w:vAlign w:val="center"/>
          </w:tcPr>
          <w:p w14:paraId="03485684">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达标</w:t>
            </w:r>
          </w:p>
        </w:tc>
      </w:tr>
      <w:tr w14:paraId="26660DEC">
        <w:tblPrEx>
          <w:tblBorders>
            <w:top w:val="thinThickSmallGap" w:color="000000" w:sz="12" w:space="0"/>
            <w:left w:val="none" w:color="auto" w:sz="0" w:space="0"/>
            <w:bottom w:val="thinThickSmallGap"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00" w:hRule="atLeast"/>
        </w:trPr>
        <w:tc>
          <w:tcPr>
            <w:tcW w:w="213" w:type="pct"/>
            <w:vMerge w:val="restart"/>
            <w:tcBorders>
              <w:tl2br w:val="nil"/>
              <w:tr2bl w:val="nil"/>
            </w:tcBorders>
            <w:shd w:val="clear" w:color="auto" w:fill="auto"/>
            <w:noWrap/>
            <w:vAlign w:val="center"/>
          </w:tcPr>
          <w:p w14:paraId="45157E91">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8</w:t>
            </w:r>
          </w:p>
        </w:tc>
        <w:tc>
          <w:tcPr>
            <w:tcW w:w="346" w:type="pct"/>
            <w:vMerge w:val="restart"/>
            <w:tcBorders>
              <w:tl2br w:val="nil"/>
              <w:tr2bl w:val="nil"/>
            </w:tcBorders>
            <w:shd w:val="clear" w:color="auto" w:fill="auto"/>
            <w:vAlign w:val="center"/>
          </w:tcPr>
          <w:p w14:paraId="71331B22">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网格</w:t>
            </w:r>
          </w:p>
        </w:tc>
        <w:tc>
          <w:tcPr>
            <w:tcW w:w="1290" w:type="dxa"/>
            <w:tcBorders>
              <w:tl2br w:val="nil"/>
              <w:tr2bl w:val="nil"/>
            </w:tcBorders>
            <w:shd w:val="clear" w:color="auto" w:fill="auto"/>
            <w:noWrap/>
            <w:vAlign w:val="center"/>
          </w:tcPr>
          <w:p w14:paraId="5E6EFC34">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-572,1231</w:t>
            </w:r>
          </w:p>
        </w:tc>
        <w:tc>
          <w:tcPr>
            <w:tcW w:w="503" w:type="pct"/>
            <w:tcBorders>
              <w:tl2br w:val="nil"/>
              <w:tr2bl w:val="nil"/>
            </w:tcBorders>
            <w:shd w:val="clear" w:color="auto" w:fill="auto"/>
            <w:noWrap/>
            <w:vAlign w:val="center"/>
          </w:tcPr>
          <w:p w14:paraId="4F255E5B">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Times New Roman" w:hAnsi="Times New Roman" w:eastAsia="宋体" w:cs="Times New Roman"/>
                <w:i w:val="0"/>
                <w:iCs w:val="0"/>
                <w:color w:val="0000FF"/>
                <w:kern w:val="0"/>
                <w:sz w:val="21"/>
                <w:szCs w:val="21"/>
                <w:u w:val="none"/>
                <w:lang w:val="en-US" w:eastAsia="zh-CN" w:bidi="ar"/>
              </w:rPr>
            </w:pPr>
            <w:r>
              <w:rPr>
                <w:rFonts w:hint="default" w:ascii="Times New Roman" w:hAnsi="Times New Roman" w:eastAsia="宋体" w:cs="Times New Roman"/>
                <w:i w:val="0"/>
                <w:iCs w:val="0"/>
                <w:color w:val="0000FF"/>
                <w:kern w:val="0"/>
                <w:sz w:val="21"/>
                <w:szCs w:val="21"/>
                <w:u w:val="none"/>
                <w:lang w:val="en-US" w:eastAsia="zh-CN" w:bidi="ar"/>
              </w:rPr>
              <w:t>1</w:t>
            </w:r>
            <w:r>
              <w:rPr>
                <w:rFonts w:hint="eastAsia" w:ascii="Times New Roman" w:hAnsi="Times New Roman" w:eastAsia="宋体" w:cs="Times New Roman"/>
                <w:i w:val="0"/>
                <w:iCs w:val="0"/>
                <w:color w:val="0000FF"/>
                <w:kern w:val="0"/>
                <w:sz w:val="21"/>
                <w:szCs w:val="21"/>
                <w:u w:val="none"/>
                <w:lang w:val="en-US" w:eastAsia="zh-CN" w:bidi="ar"/>
              </w:rPr>
              <w:t>小时</w:t>
            </w:r>
          </w:p>
        </w:tc>
        <w:tc>
          <w:tcPr>
            <w:tcW w:w="1335" w:type="dxa"/>
            <w:tcBorders>
              <w:tl2br w:val="nil"/>
              <w:tr2bl w:val="nil"/>
            </w:tcBorders>
            <w:shd w:val="clear" w:color="auto" w:fill="auto"/>
            <w:noWrap/>
            <w:vAlign w:val="center"/>
          </w:tcPr>
          <w:p w14:paraId="77CA7B21">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5.85E-04</w:t>
            </w:r>
          </w:p>
        </w:tc>
        <w:tc>
          <w:tcPr>
            <w:tcW w:w="1815" w:type="dxa"/>
            <w:tcBorders>
              <w:tl2br w:val="nil"/>
              <w:tr2bl w:val="nil"/>
            </w:tcBorders>
            <w:shd w:val="clear" w:color="auto" w:fill="auto"/>
            <w:noWrap/>
            <w:vAlign w:val="center"/>
          </w:tcPr>
          <w:p w14:paraId="4C815706">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24021520</w:t>
            </w:r>
          </w:p>
        </w:tc>
        <w:tc>
          <w:tcPr>
            <w:tcW w:w="1575" w:type="dxa"/>
            <w:tcBorders>
              <w:tl2br w:val="nil"/>
              <w:tr2bl w:val="nil"/>
            </w:tcBorders>
            <w:shd w:val="clear" w:color="auto" w:fill="auto"/>
            <w:noWrap/>
            <w:vAlign w:val="center"/>
          </w:tcPr>
          <w:p w14:paraId="053B19BC">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0.00E+00</w:t>
            </w:r>
          </w:p>
        </w:tc>
        <w:tc>
          <w:tcPr>
            <w:tcW w:w="1588" w:type="dxa"/>
            <w:tcBorders>
              <w:tl2br w:val="nil"/>
              <w:tr2bl w:val="nil"/>
            </w:tcBorders>
            <w:shd w:val="clear" w:color="auto" w:fill="auto"/>
            <w:noWrap/>
            <w:vAlign w:val="center"/>
          </w:tcPr>
          <w:p w14:paraId="6DBD2B83">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5.85E-04</w:t>
            </w:r>
          </w:p>
        </w:tc>
        <w:tc>
          <w:tcPr>
            <w:tcW w:w="406" w:type="pct"/>
            <w:tcBorders>
              <w:tl2br w:val="nil"/>
              <w:tr2bl w:val="nil"/>
            </w:tcBorders>
            <w:shd w:val="clear" w:color="auto" w:fill="auto"/>
            <w:noWrap/>
            <w:vAlign w:val="center"/>
          </w:tcPr>
          <w:p w14:paraId="6B245940">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default" w:ascii="Times New Roman" w:hAnsi="Times New Roman" w:eastAsia="宋体" w:cs="Times New Roman"/>
                <w:i w:val="0"/>
                <w:iCs w:val="0"/>
                <w:color w:val="0000FF"/>
                <w:kern w:val="0"/>
                <w:sz w:val="21"/>
                <w:szCs w:val="21"/>
                <w:u w:val="none"/>
                <w:lang w:val="en-US" w:eastAsia="zh-CN" w:bidi="ar"/>
              </w:rPr>
              <w:t>2.00E-02</w:t>
            </w:r>
          </w:p>
        </w:tc>
        <w:tc>
          <w:tcPr>
            <w:tcW w:w="1440" w:type="dxa"/>
            <w:tcBorders>
              <w:tl2br w:val="nil"/>
              <w:tr2bl w:val="nil"/>
            </w:tcBorders>
            <w:shd w:val="clear" w:color="auto" w:fill="auto"/>
            <w:noWrap/>
            <w:vAlign w:val="center"/>
          </w:tcPr>
          <w:p w14:paraId="70B725CB">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2.92</w:t>
            </w:r>
          </w:p>
        </w:tc>
        <w:tc>
          <w:tcPr>
            <w:tcW w:w="265" w:type="pct"/>
            <w:tcBorders>
              <w:tl2br w:val="nil"/>
              <w:tr2bl w:val="nil"/>
            </w:tcBorders>
            <w:shd w:val="clear" w:color="auto" w:fill="auto"/>
            <w:noWrap/>
            <w:vAlign w:val="center"/>
          </w:tcPr>
          <w:p w14:paraId="30CB1ACD">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达标</w:t>
            </w:r>
          </w:p>
        </w:tc>
      </w:tr>
      <w:tr w14:paraId="4F819E06">
        <w:tblPrEx>
          <w:tblBorders>
            <w:top w:val="thinThickSmallGap" w:color="000000" w:sz="12" w:space="0"/>
            <w:left w:val="none" w:color="auto" w:sz="0" w:space="0"/>
            <w:bottom w:val="thinThickSmallGap"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00" w:hRule="atLeast"/>
        </w:trPr>
        <w:tc>
          <w:tcPr>
            <w:tcW w:w="213" w:type="pct"/>
            <w:vMerge w:val="continue"/>
            <w:tcBorders>
              <w:tl2br w:val="nil"/>
              <w:tr2bl w:val="nil"/>
            </w:tcBorders>
            <w:shd w:val="clear" w:color="auto" w:fill="auto"/>
            <w:noWrap/>
            <w:vAlign w:val="center"/>
          </w:tcPr>
          <w:p w14:paraId="5BE7BB49">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p>
        </w:tc>
        <w:tc>
          <w:tcPr>
            <w:tcW w:w="346" w:type="pct"/>
            <w:vMerge w:val="continue"/>
            <w:tcBorders>
              <w:tl2br w:val="nil"/>
              <w:tr2bl w:val="nil"/>
            </w:tcBorders>
            <w:shd w:val="clear" w:color="auto" w:fill="auto"/>
            <w:vAlign w:val="center"/>
          </w:tcPr>
          <w:p w14:paraId="64E9F229">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p>
        </w:tc>
        <w:tc>
          <w:tcPr>
            <w:tcW w:w="1290" w:type="dxa"/>
            <w:tcBorders>
              <w:tl2br w:val="nil"/>
              <w:tr2bl w:val="nil"/>
            </w:tcBorders>
            <w:shd w:val="clear" w:color="auto" w:fill="auto"/>
            <w:noWrap/>
            <w:vAlign w:val="center"/>
          </w:tcPr>
          <w:p w14:paraId="2DA94360">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-572,1031</w:t>
            </w:r>
          </w:p>
        </w:tc>
        <w:tc>
          <w:tcPr>
            <w:tcW w:w="503" w:type="pct"/>
            <w:tcBorders>
              <w:tl2br w:val="nil"/>
              <w:tr2bl w:val="nil"/>
            </w:tcBorders>
            <w:shd w:val="clear" w:color="auto" w:fill="auto"/>
            <w:noWrap/>
            <w:vAlign w:val="center"/>
          </w:tcPr>
          <w:p w14:paraId="38DB072B">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日平均</w:t>
            </w:r>
          </w:p>
        </w:tc>
        <w:tc>
          <w:tcPr>
            <w:tcW w:w="1335" w:type="dxa"/>
            <w:tcBorders>
              <w:tl2br w:val="nil"/>
              <w:tr2bl w:val="nil"/>
            </w:tcBorders>
            <w:shd w:val="clear" w:color="auto" w:fill="auto"/>
            <w:noWrap/>
            <w:vAlign w:val="center"/>
          </w:tcPr>
          <w:p w14:paraId="4D2A090B">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5.35E-05</w:t>
            </w:r>
          </w:p>
        </w:tc>
        <w:tc>
          <w:tcPr>
            <w:tcW w:w="1815" w:type="dxa"/>
            <w:tcBorders>
              <w:tl2br w:val="nil"/>
              <w:tr2bl w:val="nil"/>
            </w:tcBorders>
            <w:shd w:val="clear" w:color="auto" w:fill="auto"/>
            <w:noWrap/>
            <w:vAlign w:val="center"/>
          </w:tcPr>
          <w:p w14:paraId="2AAFC238">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240224</w:t>
            </w:r>
          </w:p>
        </w:tc>
        <w:tc>
          <w:tcPr>
            <w:tcW w:w="1575" w:type="dxa"/>
            <w:tcBorders>
              <w:tl2br w:val="nil"/>
              <w:tr2bl w:val="nil"/>
            </w:tcBorders>
            <w:shd w:val="clear" w:color="auto" w:fill="auto"/>
            <w:noWrap/>
            <w:vAlign w:val="center"/>
          </w:tcPr>
          <w:p w14:paraId="6514F419">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0.00E+00</w:t>
            </w:r>
          </w:p>
        </w:tc>
        <w:tc>
          <w:tcPr>
            <w:tcW w:w="1588" w:type="dxa"/>
            <w:tcBorders>
              <w:tl2br w:val="nil"/>
              <w:tr2bl w:val="nil"/>
            </w:tcBorders>
            <w:shd w:val="clear" w:color="auto" w:fill="auto"/>
            <w:noWrap/>
            <w:vAlign w:val="center"/>
          </w:tcPr>
          <w:p w14:paraId="7673C5B5">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5.35E-05</w:t>
            </w:r>
          </w:p>
        </w:tc>
        <w:tc>
          <w:tcPr>
            <w:tcW w:w="406" w:type="pct"/>
            <w:tcBorders>
              <w:tl2br w:val="nil"/>
              <w:tr2bl w:val="nil"/>
            </w:tcBorders>
            <w:shd w:val="clear" w:color="auto" w:fill="auto"/>
            <w:noWrap/>
            <w:vAlign w:val="center"/>
          </w:tcPr>
          <w:p w14:paraId="08665D75">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default" w:ascii="Times New Roman" w:hAnsi="Times New Roman" w:eastAsia="宋体" w:cs="Times New Roman"/>
                <w:i w:val="0"/>
                <w:iCs w:val="0"/>
                <w:color w:val="0000FF"/>
                <w:kern w:val="0"/>
                <w:sz w:val="21"/>
                <w:szCs w:val="21"/>
                <w:u w:val="none"/>
                <w:lang w:val="en-US" w:eastAsia="zh-CN" w:bidi="ar"/>
              </w:rPr>
              <w:t>7.00E-03</w:t>
            </w:r>
          </w:p>
        </w:tc>
        <w:tc>
          <w:tcPr>
            <w:tcW w:w="1440" w:type="dxa"/>
            <w:tcBorders>
              <w:tl2br w:val="nil"/>
              <w:tr2bl w:val="nil"/>
            </w:tcBorders>
            <w:shd w:val="clear" w:color="auto" w:fill="auto"/>
            <w:noWrap/>
            <w:vAlign w:val="center"/>
          </w:tcPr>
          <w:p w14:paraId="48BF1A57">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0.76</w:t>
            </w:r>
          </w:p>
        </w:tc>
        <w:tc>
          <w:tcPr>
            <w:tcW w:w="265" w:type="pct"/>
            <w:tcBorders>
              <w:tl2br w:val="nil"/>
              <w:tr2bl w:val="nil"/>
            </w:tcBorders>
            <w:shd w:val="clear" w:color="auto" w:fill="auto"/>
            <w:noWrap/>
            <w:vAlign w:val="center"/>
          </w:tcPr>
          <w:p w14:paraId="4083E6C6">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达标</w:t>
            </w:r>
          </w:p>
        </w:tc>
      </w:tr>
    </w:tbl>
    <w:p w14:paraId="48E8719C">
      <w:pPr>
        <w:tabs>
          <w:tab w:val="left" w:pos="851"/>
          <w:tab w:val="left" w:pos="1141"/>
          <w:tab w:val="left" w:pos="4335"/>
        </w:tabs>
        <w:jc w:val="center"/>
        <w:rPr>
          <w:rFonts w:hint="default" w:ascii="Times New Roman" w:hAnsi="Times New Roman" w:eastAsia="黑体" w:cs="Times New Roman"/>
          <w:bCs/>
          <w:color w:val="0000FF"/>
        </w:rPr>
      </w:pPr>
    </w:p>
    <w:p w14:paraId="66C2C8A6">
      <w:pPr>
        <w:tabs>
          <w:tab w:val="left" w:pos="851"/>
          <w:tab w:val="left" w:pos="1141"/>
          <w:tab w:val="left" w:pos="4335"/>
        </w:tabs>
        <w:jc w:val="center"/>
        <w:rPr>
          <w:rFonts w:hint="default" w:ascii="Times New Roman" w:hAnsi="Times New Roman" w:eastAsia="黑体" w:cs="Times New Roman"/>
          <w:bCs/>
          <w:color w:val="0000FF"/>
        </w:rPr>
      </w:pPr>
    </w:p>
    <w:p w14:paraId="17DC8C02">
      <w:pPr>
        <w:tabs>
          <w:tab w:val="left" w:pos="851"/>
          <w:tab w:val="left" w:pos="1141"/>
          <w:tab w:val="left" w:pos="4335"/>
        </w:tabs>
        <w:jc w:val="center"/>
        <w:rPr>
          <w:rFonts w:hint="default" w:ascii="Times New Roman" w:hAnsi="Times New Roman" w:eastAsia="黑体" w:cs="Times New Roman"/>
          <w:bCs/>
          <w:color w:val="0000FF"/>
        </w:rPr>
      </w:pPr>
    </w:p>
    <w:p w14:paraId="1D4AA65A">
      <w:pPr>
        <w:tabs>
          <w:tab w:val="left" w:pos="851"/>
          <w:tab w:val="left" w:pos="1141"/>
          <w:tab w:val="left" w:pos="4335"/>
        </w:tabs>
        <w:jc w:val="center"/>
        <w:rPr>
          <w:rFonts w:hint="default" w:ascii="Times New Roman" w:hAnsi="Times New Roman" w:eastAsia="黑体" w:cs="Times New Roman"/>
          <w:bCs/>
          <w:color w:val="0000FF"/>
        </w:rPr>
      </w:pPr>
    </w:p>
    <w:p w14:paraId="76EAEBBE">
      <w:pPr>
        <w:tabs>
          <w:tab w:val="left" w:pos="851"/>
          <w:tab w:val="left" w:pos="1141"/>
          <w:tab w:val="left" w:pos="4335"/>
        </w:tabs>
        <w:jc w:val="center"/>
        <w:rPr>
          <w:rFonts w:hint="default" w:ascii="Times New Roman" w:hAnsi="Times New Roman" w:eastAsia="黑体" w:cs="Times New Roman"/>
          <w:bCs/>
          <w:color w:val="0000FF"/>
        </w:rPr>
      </w:pPr>
      <w:r>
        <w:rPr>
          <w:rFonts w:hint="default" w:ascii="Times New Roman" w:hAnsi="Times New Roman" w:eastAsia="黑体" w:cs="Times New Roman"/>
          <w:bCs/>
          <w:color w:val="0000FF"/>
        </w:rPr>
        <w:t>表</w:t>
      </w:r>
      <w:r>
        <w:rPr>
          <w:rFonts w:hint="eastAsia" w:ascii="Times New Roman" w:hAnsi="Times New Roman" w:eastAsia="黑体" w:cs="Times New Roman"/>
          <w:bCs/>
          <w:color w:val="0000FF"/>
          <w:lang w:val="en-US" w:eastAsia="zh-CN"/>
        </w:rPr>
        <w:t>5.1-24</w:t>
      </w:r>
      <w:r>
        <w:rPr>
          <w:rFonts w:hint="default" w:ascii="Times New Roman" w:hAnsi="Times New Roman" w:eastAsia="黑体" w:cs="Times New Roman"/>
          <w:bCs/>
          <w:color w:val="0000FF"/>
        </w:rPr>
        <w:t>关心点及网格点</w:t>
      </w:r>
      <w:r>
        <w:rPr>
          <w:rFonts w:hint="eastAsia" w:ascii="Times New Roman" w:hAnsi="Times New Roman" w:eastAsia="黑体" w:cs="Times New Roman"/>
          <w:bCs/>
          <w:color w:val="0000FF"/>
          <w:lang w:val="en-US" w:eastAsia="zh-CN"/>
        </w:rPr>
        <w:t>NOx</w:t>
      </w:r>
      <w:r>
        <w:rPr>
          <w:rFonts w:hint="default" w:ascii="Times New Roman" w:hAnsi="Times New Roman" w:eastAsia="黑体" w:cs="Times New Roman"/>
          <w:bCs/>
          <w:color w:val="0000FF"/>
        </w:rPr>
        <w:t>叠加最大浓度预测结果表</w:t>
      </w:r>
    </w:p>
    <w:tbl>
      <w:tblPr>
        <w:tblStyle w:val="56"/>
        <w:tblW w:w="14115" w:type="dxa"/>
        <w:jc w:val="center"/>
        <w:tblBorders>
          <w:top w:val="thinThickSmallGap" w:color="auto" w:sz="12" w:space="0"/>
          <w:left w:val="none" w:color="auto" w:sz="0" w:space="0"/>
          <w:bottom w:val="thinThickSmallGap" w:color="auto" w:sz="12" w:space="0"/>
          <w:right w:val="none" w:color="auto" w:sz="0"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528"/>
        <w:gridCol w:w="990"/>
        <w:gridCol w:w="1275"/>
        <w:gridCol w:w="1875"/>
        <w:gridCol w:w="1260"/>
        <w:gridCol w:w="1770"/>
        <w:gridCol w:w="1140"/>
        <w:gridCol w:w="1605"/>
        <w:gridCol w:w="1275"/>
        <w:gridCol w:w="1485"/>
        <w:gridCol w:w="912"/>
      </w:tblGrid>
      <w:tr w14:paraId="3DAB0C05">
        <w:tblPrEx>
          <w:tblBorders>
            <w:top w:val="thinThickSmallGap" w:color="auto" w:sz="12" w:space="0"/>
            <w:left w:val="none" w:color="auto" w:sz="0" w:space="0"/>
            <w:bottom w:val="thinThickSmallGap" w:color="auto" w:sz="12" w:space="0"/>
            <w:right w:val="none" w:color="auto" w:sz="0"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 w:hRule="atLeast"/>
          <w:jc w:val="center"/>
        </w:trPr>
        <w:tc>
          <w:tcPr>
            <w:tcW w:w="528" w:type="dxa"/>
            <w:tcBorders>
              <w:tl2br w:val="nil"/>
              <w:tr2bl w:val="nil"/>
            </w:tcBorders>
            <w:shd w:val="clear" w:color="auto" w:fill="auto"/>
            <w:noWrap/>
            <w:vAlign w:val="center"/>
          </w:tcPr>
          <w:p w14:paraId="42930645">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1"/>
                <w:szCs w:val="21"/>
                <w:u w:val="none"/>
                <w:lang w:val="en-US" w:eastAsia="zh-CN" w:bidi="ar"/>
              </w:rPr>
              <w:t>序号</w:t>
            </w:r>
          </w:p>
        </w:tc>
        <w:tc>
          <w:tcPr>
            <w:tcW w:w="990" w:type="dxa"/>
            <w:tcBorders>
              <w:tl2br w:val="nil"/>
              <w:tr2bl w:val="nil"/>
            </w:tcBorders>
            <w:shd w:val="clear" w:color="auto" w:fill="auto"/>
            <w:noWrap/>
            <w:vAlign w:val="center"/>
          </w:tcPr>
          <w:p w14:paraId="2A179188">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1"/>
                <w:szCs w:val="21"/>
                <w:u w:val="none"/>
                <w:lang w:val="en-US" w:eastAsia="zh-CN" w:bidi="ar"/>
              </w:rPr>
              <w:t>点名称</w:t>
            </w:r>
          </w:p>
        </w:tc>
        <w:tc>
          <w:tcPr>
            <w:tcW w:w="1275" w:type="dxa"/>
            <w:tcBorders>
              <w:tl2br w:val="nil"/>
              <w:tr2bl w:val="nil"/>
            </w:tcBorders>
            <w:shd w:val="clear" w:color="auto" w:fill="auto"/>
            <w:noWrap/>
            <w:vAlign w:val="center"/>
          </w:tcPr>
          <w:p w14:paraId="6977EC32">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1"/>
                <w:szCs w:val="21"/>
                <w:u w:val="none"/>
                <w:lang w:val="en-US" w:eastAsia="zh-CN" w:bidi="ar"/>
              </w:rPr>
              <w:t>点坐标(x,y)</w:t>
            </w:r>
          </w:p>
        </w:tc>
        <w:tc>
          <w:tcPr>
            <w:tcW w:w="1875" w:type="dxa"/>
            <w:tcBorders>
              <w:tl2br w:val="nil"/>
              <w:tr2bl w:val="nil"/>
            </w:tcBorders>
            <w:shd w:val="clear" w:color="auto" w:fill="auto"/>
            <w:noWrap/>
            <w:vAlign w:val="center"/>
          </w:tcPr>
          <w:p w14:paraId="71AD904B">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1"/>
                <w:szCs w:val="21"/>
                <w:u w:val="none"/>
                <w:lang w:val="en-US" w:eastAsia="zh-CN" w:bidi="ar"/>
              </w:rPr>
              <w:t>浓度类型</w:t>
            </w:r>
          </w:p>
        </w:tc>
        <w:tc>
          <w:tcPr>
            <w:tcW w:w="1260" w:type="dxa"/>
            <w:tcBorders>
              <w:tl2br w:val="nil"/>
              <w:tr2bl w:val="nil"/>
            </w:tcBorders>
            <w:shd w:val="clear" w:color="auto" w:fill="auto"/>
            <w:noWrap/>
            <w:vAlign w:val="center"/>
          </w:tcPr>
          <w:p w14:paraId="3ABCA98A">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1"/>
                <w:szCs w:val="21"/>
                <w:u w:val="none"/>
                <w:lang w:val="en-US" w:eastAsia="zh-CN" w:bidi="ar"/>
              </w:rPr>
              <w:t>浓度增量(mg/m</w:t>
            </w:r>
            <w:r>
              <w:rPr>
                <w:rFonts w:hint="default" w:ascii="Times New Roman" w:hAnsi="Times New Roman" w:eastAsia="宋体" w:cs="Times New Roman"/>
                <w:i w:val="0"/>
                <w:iCs w:val="0"/>
                <w:color w:val="0000FF"/>
                <w:kern w:val="0"/>
                <w:sz w:val="21"/>
                <w:szCs w:val="21"/>
                <w:u w:val="none"/>
                <w:vertAlign w:val="superscript"/>
                <w:lang w:val="en-US" w:eastAsia="zh-CN" w:bidi="ar"/>
              </w:rPr>
              <w:t>3</w:t>
            </w:r>
            <w:r>
              <w:rPr>
                <w:rFonts w:hint="default" w:ascii="Times New Roman" w:hAnsi="Times New Roman" w:eastAsia="宋体" w:cs="Times New Roman"/>
                <w:i w:val="0"/>
                <w:iCs w:val="0"/>
                <w:color w:val="0000FF"/>
                <w:kern w:val="0"/>
                <w:sz w:val="21"/>
                <w:szCs w:val="21"/>
                <w:u w:val="none"/>
                <w:lang w:val="en-US" w:eastAsia="zh-CN" w:bidi="ar"/>
              </w:rPr>
              <w:t>)</w:t>
            </w:r>
          </w:p>
        </w:tc>
        <w:tc>
          <w:tcPr>
            <w:tcW w:w="1770" w:type="dxa"/>
            <w:tcBorders>
              <w:tl2br w:val="nil"/>
              <w:tr2bl w:val="nil"/>
            </w:tcBorders>
            <w:shd w:val="clear" w:color="auto" w:fill="auto"/>
            <w:noWrap/>
            <w:vAlign w:val="center"/>
          </w:tcPr>
          <w:p w14:paraId="40476F50">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1"/>
                <w:szCs w:val="21"/>
                <w:u w:val="none"/>
                <w:lang w:val="en-US" w:eastAsia="zh-CN" w:bidi="ar"/>
              </w:rPr>
              <w:t>出现时间(YYMMDDHH)</w:t>
            </w:r>
          </w:p>
        </w:tc>
        <w:tc>
          <w:tcPr>
            <w:tcW w:w="1140" w:type="dxa"/>
            <w:tcBorders>
              <w:tl2br w:val="nil"/>
              <w:tr2bl w:val="nil"/>
            </w:tcBorders>
            <w:shd w:val="clear" w:color="auto" w:fill="auto"/>
            <w:noWrap/>
            <w:vAlign w:val="center"/>
          </w:tcPr>
          <w:p w14:paraId="79AF6064">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1"/>
                <w:szCs w:val="21"/>
                <w:u w:val="none"/>
                <w:lang w:val="en-US" w:eastAsia="zh-CN" w:bidi="ar"/>
              </w:rPr>
              <w:t>背景浓度(mg/m</w:t>
            </w:r>
            <w:r>
              <w:rPr>
                <w:rFonts w:hint="default" w:ascii="Times New Roman" w:hAnsi="Times New Roman" w:eastAsia="宋体" w:cs="Times New Roman"/>
                <w:i w:val="0"/>
                <w:iCs w:val="0"/>
                <w:color w:val="0000FF"/>
                <w:kern w:val="0"/>
                <w:sz w:val="21"/>
                <w:szCs w:val="21"/>
                <w:u w:val="none"/>
                <w:vertAlign w:val="superscript"/>
                <w:lang w:val="en-US" w:eastAsia="zh-CN" w:bidi="ar"/>
              </w:rPr>
              <w:t>3</w:t>
            </w:r>
            <w:r>
              <w:rPr>
                <w:rFonts w:hint="default" w:ascii="Times New Roman" w:hAnsi="Times New Roman" w:eastAsia="宋体" w:cs="Times New Roman"/>
                <w:i w:val="0"/>
                <w:iCs w:val="0"/>
                <w:color w:val="0000FF"/>
                <w:kern w:val="0"/>
                <w:sz w:val="21"/>
                <w:szCs w:val="21"/>
                <w:u w:val="none"/>
                <w:lang w:val="en-US" w:eastAsia="zh-CN" w:bidi="ar"/>
              </w:rPr>
              <w:t>)</w:t>
            </w:r>
          </w:p>
        </w:tc>
        <w:tc>
          <w:tcPr>
            <w:tcW w:w="1605" w:type="dxa"/>
            <w:tcBorders>
              <w:tl2br w:val="nil"/>
              <w:tr2bl w:val="nil"/>
            </w:tcBorders>
            <w:shd w:val="clear" w:color="auto" w:fill="auto"/>
            <w:noWrap/>
            <w:vAlign w:val="center"/>
          </w:tcPr>
          <w:p w14:paraId="290B08ED">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1"/>
                <w:szCs w:val="21"/>
                <w:u w:val="none"/>
                <w:lang w:val="en-US" w:eastAsia="zh-CN" w:bidi="ar"/>
              </w:rPr>
              <w:t>叠加背景后的浓度(mg/m</w:t>
            </w:r>
            <w:r>
              <w:rPr>
                <w:rFonts w:hint="default" w:ascii="Times New Roman" w:hAnsi="Times New Roman" w:eastAsia="宋体" w:cs="Times New Roman"/>
                <w:i w:val="0"/>
                <w:iCs w:val="0"/>
                <w:color w:val="0000FF"/>
                <w:kern w:val="0"/>
                <w:sz w:val="21"/>
                <w:szCs w:val="21"/>
                <w:u w:val="none"/>
                <w:vertAlign w:val="superscript"/>
                <w:lang w:val="en-US" w:eastAsia="zh-CN" w:bidi="ar"/>
              </w:rPr>
              <w:t>3</w:t>
            </w:r>
            <w:r>
              <w:rPr>
                <w:rFonts w:hint="default" w:ascii="Times New Roman" w:hAnsi="Times New Roman" w:eastAsia="宋体" w:cs="Times New Roman"/>
                <w:i w:val="0"/>
                <w:iCs w:val="0"/>
                <w:color w:val="0000FF"/>
                <w:kern w:val="0"/>
                <w:sz w:val="21"/>
                <w:szCs w:val="21"/>
                <w:u w:val="none"/>
                <w:lang w:val="en-US" w:eastAsia="zh-CN" w:bidi="ar"/>
              </w:rPr>
              <w:t>)</w:t>
            </w:r>
          </w:p>
        </w:tc>
        <w:tc>
          <w:tcPr>
            <w:tcW w:w="1275" w:type="dxa"/>
            <w:tcBorders>
              <w:tl2br w:val="nil"/>
              <w:tr2bl w:val="nil"/>
            </w:tcBorders>
            <w:shd w:val="clear" w:color="auto" w:fill="auto"/>
            <w:noWrap/>
            <w:vAlign w:val="center"/>
          </w:tcPr>
          <w:p w14:paraId="27C0F920">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1"/>
                <w:szCs w:val="21"/>
                <w:u w:val="none"/>
                <w:lang w:val="en-US" w:eastAsia="zh-CN" w:bidi="ar"/>
              </w:rPr>
              <w:t>评价标准(mg/m</w:t>
            </w:r>
            <w:r>
              <w:rPr>
                <w:rFonts w:hint="default" w:ascii="Times New Roman" w:hAnsi="Times New Roman" w:eastAsia="宋体" w:cs="Times New Roman"/>
                <w:i w:val="0"/>
                <w:iCs w:val="0"/>
                <w:color w:val="0000FF"/>
                <w:kern w:val="0"/>
                <w:sz w:val="21"/>
                <w:szCs w:val="21"/>
                <w:u w:val="none"/>
                <w:vertAlign w:val="superscript"/>
                <w:lang w:val="en-US" w:eastAsia="zh-CN" w:bidi="ar"/>
              </w:rPr>
              <w:t>3</w:t>
            </w:r>
            <w:r>
              <w:rPr>
                <w:rFonts w:hint="default" w:ascii="Times New Roman" w:hAnsi="Times New Roman" w:eastAsia="宋体" w:cs="Times New Roman"/>
                <w:i w:val="0"/>
                <w:iCs w:val="0"/>
                <w:color w:val="0000FF"/>
                <w:kern w:val="0"/>
                <w:sz w:val="21"/>
                <w:szCs w:val="21"/>
                <w:u w:val="none"/>
                <w:lang w:val="en-US" w:eastAsia="zh-CN" w:bidi="ar"/>
              </w:rPr>
              <w:t>)</w:t>
            </w:r>
          </w:p>
        </w:tc>
        <w:tc>
          <w:tcPr>
            <w:tcW w:w="1485" w:type="dxa"/>
            <w:tcBorders>
              <w:tl2br w:val="nil"/>
              <w:tr2bl w:val="nil"/>
            </w:tcBorders>
            <w:shd w:val="clear" w:color="auto" w:fill="auto"/>
            <w:noWrap/>
            <w:vAlign w:val="center"/>
          </w:tcPr>
          <w:p w14:paraId="74C8F848">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1"/>
                <w:szCs w:val="21"/>
                <w:u w:val="none"/>
                <w:lang w:val="en-US" w:eastAsia="zh-CN" w:bidi="ar"/>
              </w:rPr>
              <w:t>占标率%(叠加背景以后)</w:t>
            </w:r>
          </w:p>
        </w:tc>
        <w:tc>
          <w:tcPr>
            <w:tcW w:w="912" w:type="dxa"/>
            <w:tcBorders>
              <w:tl2br w:val="nil"/>
              <w:tr2bl w:val="nil"/>
            </w:tcBorders>
            <w:shd w:val="clear" w:color="auto" w:fill="auto"/>
            <w:noWrap/>
            <w:vAlign w:val="center"/>
          </w:tcPr>
          <w:p w14:paraId="5AACA0EC">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1"/>
                <w:szCs w:val="21"/>
                <w:u w:val="none"/>
                <w:lang w:val="en-US" w:eastAsia="zh-CN" w:bidi="ar"/>
              </w:rPr>
              <w:t>是否超标</w:t>
            </w:r>
          </w:p>
        </w:tc>
      </w:tr>
      <w:tr w14:paraId="6E5A8D3F">
        <w:tblPrEx>
          <w:tblBorders>
            <w:top w:val="thinThickSmallGap" w:color="auto" w:sz="12" w:space="0"/>
            <w:left w:val="none" w:color="auto" w:sz="0" w:space="0"/>
            <w:bottom w:val="thinThick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528" w:type="dxa"/>
            <w:vMerge w:val="restart"/>
            <w:tcBorders>
              <w:tl2br w:val="nil"/>
              <w:tr2bl w:val="nil"/>
            </w:tcBorders>
            <w:shd w:val="clear" w:color="auto" w:fill="auto"/>
            <w:noWrap/>
            <w:vAlign w:val="center"/>
          </w:tcPr>
          <w:p w14:paraId="3B880DDD">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1"/>
                <w:szCs w:val="21"/>
                <w:u w:val="none"/>
                <w:lang w:val="en-US" w:eastAsia="zh-CN" w:bidi="ar"/>
              </w:rPr>
              <w:t>1</w:t>
            </w:r>
          </w:p>
        </w:tc>
        <w:tc>
          <w:tcPr>
            <w:tcW w:w="990" w:type="dxa"/>
            <w:vMerge w:val="restart"/>
            <w:tcBorders>
              <w:tl2br w:val="nil"/>
              <w:tr2bl w:val="nil"/>
            </w:tcBorders>
            <w:shd w:val="clear" w:color="auto" w:fill="auto"/>
            <w:noWrap/>
            <w:vAlign w:val="center"/>
          </w:tcPr>
          <w:p w14:paraId="57C93759">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1"/>
                <w:szCs w:val="21"/>
                <w:u w:val="none"/>
                <w:lang w:val="en-US" w:eastAsia="zh-CN" w:bidi="ar"/>
              </w:rPr>
              <w:t>祁家堡</w:t>
            </w:r>
          </w:p>
        </w:tc>
        <w:tc>
          <w:tcPr>
            <w:tcW w:w="1275" w:type="dxa"/>
            <w:vMerge w:val="restart"/>
            <w:tcBorders>
              <w:tl2br w:val="nil"/>
              <w:tr2bl w:val="nil"/>
            </w:tcBorders>
            <w:shd w:val="clear" w:color="auto" w:fill="auto"/>
            <w:noWrap/>
            <w:vAlign w:val="center"/>
          </w:tcPr>
          <w:p w14:paraId="5126F8E9">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1"/>
                <w:szCs w:val="21"/>
                <w:u w:val="none"/>
                <w:lang w:val="en-US" w:eastAsia="zh-CN" w:bidi="ar"/>
              </w:rPr>
              <w:t>85,261</w:t>
            </w:r>
          </w:p>
        </w:tc>
        <w:tc>
          <w:tcPr>
            <w:tcW w:w="1875" w:type="dxa"/>
            <w:tcBorders>
              <w:tl2br w:val="nil"/>
              <w:tr2bl w:val="nil"/>
            </w:tcBorders>
            <w:shd w:val="clear" w:color="auto" w:fill="auto"/>
            <w:noWrap/>
            <w:vAlign w:val="center"/>
          </w:tcPr>
          <w:p w14:paraId="23344D1E">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1"/>
                <w:szCs w:val="21"/>
                <w:u w:val="none"/>
                <w:lang w:val="en-US" w:eastAsia="zh-CN" w:bidi="ar"/>
              </w:rPr>
              <w:t>1小时</w:t>
            </w:r>
          </w:p>
        </w:tc>
        <w:tc>
          <w:tcPr>
            <w:tcW w:w="1260" w:type="dxa"/>
            <w:tcBorders>
              <w:tl2br w:val="nil"/>
              <w:tr2bl w:val="nil"/>
            </w:tcBorders>
            <w:shd w:val="clear" w:color="auto" w:fill="auto"/>
            <w:noWrap/>
            <w:vAlign w:val="center"/>
          </w:tcPr>
          <w:p w14:paraId="62A49F0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1"/>
                <w:szCs w:val="21"/>
                <w:u w:val="none"/>
                <w:lang w:val="en-US" w:eastAsia="zh-CN" w:bidi="ar"/>
              </w:rPr>
              <w:t>0.00E+00</w:t>
            </w:r>
          </w:p>
        </w:tc>
        <w:tc>
          <w:tcPr>
            <w:tcW w:w="1770" w:type="dxa"/>
            <w:tcBorders>
              <w:tl2br w:val="nil"/>
              <w:tr2bl w:val="nil"/>
            </w:tcBorders>
            <w:shd w:val="clear" w:color="auto" w:fill="auto"/>
            <w:noWrap/>
            <w:vAlign w:val="center"/>
          </w:tcPr>
          <w:p w14:paraId="7F339E1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1"/>
                <w:szCs w:val="21"/>
                <w:u w:val="none"/>
                <w:lang w:val="en-US" w:eastAsia="zh-CN" w:bidi="ar"/>
              </w:rPr>
              <w:t>24010102</w:t>
            </w:r>
          </w:p>
        </w:tc>
        <w:tc>
          <w:tcPr>
            <w:tcW w:w="1140" w:type="dxa"/>
            <w:tcBorders>
              <w:tl2br w:val="nil"/>
              <w:tr2bl w:val="nil"/>
            </w:tcBorders>
            <w:shd w:val="clear" w:color="auto" w:fill="auto"/>
            <w:noWrap/>
            <w:vAlign w:val="center"/>
          </w:tcPr>
          <w:p w14:paraId="61354A1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1"/>
                <w:szCs w:val="21"/>
                <w:u w:val="none"/>
                <w:lang w:val="en-US" w:eastAsia="zh-CN" w:bidi="ar"/>
              </w:rPr>
              <w:t>4.40E-02</w:t>
            </w:r>
          </w:p>
        </w:tc>
        <w:tc>
          <w:tcPr>
            <w:tcW w:w="1605" w:type="dxa"/>
            <w:tcBorders>
              <w:tl2br w:val="nil"/>
              <w:tr2bl w:val="nil"/>
            </w:tcBorders>
            <w:shd w:val="clear" w:color="auto" w:fill="auto"/>
            <w:noWrap/>
            <w:vAlign w:val="center"/>
          </w:tcPr>
          <w:p w14:paraId="1CBBD6F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1"/>
                <w:szCs w:val="21"/>
                <w:u w:val="none"/>
                <w:lang w:val="en-US" w:eastAsia="zh-CN" w:bidi="ar"/>
              </w:rPr>
              <w:t>4.40E-02</w:t>
            </w:r>
          </w:p>
        </w:tc>
        <w:tc>
          <w:tcPr>
            <w:tcW w:w="1275" w:type="dxa"/>
            <w:tcBorders>
              <w:tl2br w:val="nil"/>
              <w:tr2bl w:val="nil"/>
            </w:tcBorders>
            <w:shd w:val="clear" w:color="auto" w:fill="auto"/>
            <w:noWrap/>
            <w:vAlign w:val="center"/>
          </w:tcPr>
          <w:p w14:paraId="3E1837D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1"/>
                <w:szCs w:val="21"/>
                <w:u w:val="none"/>
                <w:lang w:val="en-US" w:eastAsia="zh-CN" w:bidi="ar"/>
              </w:rPr>
              <w:t>2.50E-01</w:t>
            </w:r>
          </w:p>
        </w:tc>
        <w:tc>
          <w:tcPr>
            <w:tcW w:w="1485" w:type="dxa"/>
            <w:tcBorders>
              <w:tl2br w:val="nil"/>
              <w:tr2bl w:val="nil"/>
            </w:tcBorders>
            <w:shd w:val="clear" w:color="auto" w:fill="auto"/>
            <w:noWrap/>
            <w:vAlign w:val="center"/>
          </w:tcPr>
          <w:p w14:paraId="6A186CE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1"/>
                <w:szCs w:val="21"/>
                <w:u w:val="none"/>
                <w:lang w:val="en-US" w:eastAsia="zh-CN" w:bidi="ar"/>
              </w:rPr>
              <w:t>17.6</w:t>
            </w:r>
          </w:p>
        </w:tc>
        <w:tc>
          <w:tcPr>
            <w:tcW w:w="912" w:type="dxa"/>
            <w:tcBorders>
              <w:tl2br w:val="nil"/>
              <w:tr2bl w:val="nil"/>
            </w:tcBorders>
            <w:shd w:val="clear" w:color="auto" w:fill="auto"/>
            <w:noWrap/>
            <w:vAlign w:val="center"/>
          </w:tcPr>
          <w:p w14:paraId="41809380">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1"/>
                <w:szCs w:val="21"/>
                <w:u w:val="none"/>
                <w:lang w:val="en-US" w:eastAsia="zh-CN" w:bidi="ar"/>
              </w:rPr>
              <w:t>达标</w:t>
            </w:r>
          </w:p>
        </w:tc>
      </w:tr>
      <w:tr w14:paraId="691D6F65">
        <w:tblPrEx>
          <w:tblBorders>
            <w:top w:val="thinThickSmallGap" w:color="auto" w:sz="12" w:space="0"/>
            <w:left w:val="none" w:color="auto" w:sz="0" w:space="0"/>
            <w:bottom w:val="thinThick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528" w:type="dxa"/>
            <w:vMerge w:val="continue"/>
            <w:tcBorders>
              <w:tl2br w:val="nil"/>
              <w:tr2bl w:val="nil"/>
            </w:tcBorders>
            <w:shd w:val="clear" w:color="auto" w:fill="auto"/>
            <w:noWrap/>
            <w:vAlign w:val="center"/>
          </w:tcPr>
          <w:p w14:paraId="1FDA0422">
            <w:pPr>
              <w:keepNext w:val="0"/>
              <w:keepLines w:val="0"/>
              <w:pageBreakBefore w:val="0"/>
              <w:widowControl/>
              <w:kinsoku/>
              <w:wordWrap/>
              <w:overflowPunct/>
              <w:topLinePunct w:val="0"/>
              <w:autoSpaceDE/>
              <w:autoSpaceDN/>
              <w:bidi w:val="0"/>
              <w:adjustRightInd w:val="0"/>
              <w:snapToGrid w:val="0"/>
              <w:spacing w:line="240" w:lineRule="auto"/>
              <w:ind w:firstLineChars="0"/>
              <w:jc w:val="center"/>
              <w:rPr>
                <w:rFonts w:hint="default" w:ascii="Times New Roman" w:hAnsi="Times New Roman" w:eastAsia="宋体" w:cs="Times New Roman"/>
                <w:i w:val="0"/>
                <w:iCs w:val="0"/>
                <w:color w:val="0000FF"/>
                <w:sz w:val="21"/>
                <w:szCs w:val="21"/>
                <w:u w:val="none"/>
              </w:rPr>
            </w:pPr>
          </w:p>
        </w:tc>
        <w:tc>
          <w:tcPr>
            <w:tcW w:w="990" w:type="dxa"/>
            <w:vMerge w:val="continue"/>
            <w:tcBorders>
              <w:tl2br w:val="nil"/>
              <w:tr2bl w:val="nil"/>
            </w:tcBorders>
            <w:shd w:val="clear" w:color="auto" w:fill="auto"/>
            <w:noWrap/>
            <w:vAlign w:val="center"/>
          </w:tcPr>
          <w:p w14:paraId="09E37302">
            <w:pPr>
              <w:keepNext w:val="0"/>
              <w:keepLines w:val="0"/>
              <w:pageBreakBefore w:val="0"/>
              <w:widowControl/>
              <w:kinsoku/>
              <w:wordWrap/>
              <w:overflowPunct/>
              <w:topLinePunct w:val="0"/>
              <w:autoSpaceDE/>
              <w:autoSpaceDN/>
              <w:bidi w:val="0"/>
              <w:adjustRightInd w:val="0"/>
              <w:snapToGrid w:val="0"/>
              <w:spacing w:line="240" w:lineRule="auto"/>
              <w:ind w:firstLineChars="0"/>
              <w:jc w:val="center"/>
              <w:rPr>
                <w:rFonts w:hint="default" w:ascii="Times New Roman" w:hAnsi="Times New Roman" w:eastAsia="宋体" w:cs="Times New Roman"/>
                <w:i w:val="0"/>
                <w:iCs w:val="0"/>
                <w:color w:val="0000FF"/>
                <w:sz w:val="21"/>
                <w:szCs w:val="21"/>
                <w:u w:val="none"/>
              </w:rPr>
            </w:pPr>
          </w:p>
        </w:tc>
        <w:tc>
          <w:tcPr>
            <w:tcW w:w="1275" w:type="dxa"/>
            <w:vMerge w:val="continue"/>
            <w:tcBorders>
              <w:tl2br w:val="nil"/>
              <w:tr2bl w:val="nil"/>
            </w:tcBorders>
            <w:shd w:val="clear" w:color="auto" w:fill="auto"/>
            <w:noWrap/>
            <w:vAlign w:val="center"/>
          </w:tcPr>
          <w:p w14:paraId="1883DB90">
            <w:pPr>
              <w:keepNext w:val="0"/>
              <w:keepLines w:val="0"/>
              <w:pageBreakBefore w:val="0"/>
              <w:widowControl/>
              <w:kinsoku/>
              <w:wordWrap/>
              <w:overflowPunct/>
              <w:topLinePunct w:val="0"/>
              <w:autoSpaceDE/>
              <w:autoSpaceDN/>
              <w:bidi w:val="0"/>
              <w:adjustRightInd w:val="0"/>
              <w:snapToGrid w:val="0"/>
              <w:spacing w:line="240" w:lineRule="auto"/>
              <w:ind w:firstLineChars="0"/>
              <w:jc w:val="center"/>
              <w:rPr>
                <w:rFonts w:hint="default" w:ascii="Times New Roman" w:hAnsi="Times New Roman" w:eastAsia="宋体" w:cs="Times New Roman"/>
                <w:i w:val="0"/>
                <w:iCs w:val="0"/>
                <w:color w:val="0000FF"/>
                <w:sz w:val="21"/>
                <w:szCs w:val="21"/>
                <w:u w:val="none"/>
              </w:rPr>
            </w:pPr>
          </w:p>
        </w:tc>
        <w:tc>
          <w:tcPr>
            <w:tcW w:w="1875" w:type="dxa"/>
            <w:tcBorders>
              <w:tl2br w:val="nil"/>
              <w:tr2bl w:val="nil"/>
            </w:tcBorders>
            <w:shd w:val="clear" w:color="auto" w:fill="auto"/>
            <w:noWrap/>
            <w:vAlign w:val="center"/>
          </w:tcPr>
          <w:p w14:paraId="2C250BFC">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1"/>
                <w:szCs w:val="21"/>
                <w:u w:val="none"/>
                <w:lang w:val="en-US" w:eastAsia="zh-CN" w:bidi="ar"/>
              </w:rPr>
              <w:t>98%</w:t>
            </w:r>
            <w:r>
              <w:rPr>
                <w:rStyle w:val="542"/>
                <w:rFonts w:hint="default" w:ascii="Times New Roman" w:hAnsi="Times New Roman" w:eastAsia="宋体" w:cs="Times New Roman"/>
                <w:color w:val="0000FF"/>
                <w:sz w:val="21"/>
                <w:szCs w:val="21"/>
                <w:lang w:val="en-US" w:eastAsia="zh-CN" w:bidi="ar"/>
              </w:rPr>
              <w:t>保证率日平均</w:t>
            </w:r>
          </w:p>
        </w:tc>
        <w:tc>
          <w:tcPr>
            <w:tcW w:w="1260" w:type="dxa"/>
            <w:tcBorders>
              <w:tl2br w:val="nil"/>
              <w:tr2bl w:val="nil"/>
            </w:tcBorders>
            <w:shd w:val="clear" w:color="auto" w:fill="auto"/>
            <w:noWrap/>
            <w:vAlign w:val="center"/>
          </w:tcPr>
          <w:p w14:paraId="65EB53E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1"/>
                <w:szCs w:val="21"/>
                <w:u w:val="none"/>
                <w:lang w:val="en-US" w:eastAsia="zh-CN" w:bidi="ar"/>
              </w:rPr>
              <w:t>0.00E+00</w:t>
            </w:r>
          </w:p>
        </w:tc>
        <w:tc>
          <w:tcPr>
            <w:tcW w:w="1770" w:type="dxa"/>
            <w:tcBorders>
              <w:tl2br w:val="nil"/>
              <w:tr2bl w:val="nil"/>
            </w:tcBorders>
            <w:shd w:val="clear" w:color="auto" w:fill="auto"/>
            <w:noWrap/>
            <w:vAlign w:val="center"/>
          </w:tcPr>
          <w:p w14:paraId="3A58CF6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1"/>
                <w:szCs w:val="21"/>
                <w:u w:val="none"/>
                <w:lang w:val="en-US" w:eastAsia="zh-CN" w:bidi="ar"/>
              </w:rPr>
              <w:t>240512</w:t>
            </w:r>
          </w:p>
        </w:tc>
        <w:tc>
          <w:tcPr>
            <w:tcW w:w="1140" w:type="dxa"/>
            <w:tcBorders>
              <w:tl2br w:val="nil"/>
              <w:tr2bl w:val="nil"/>
            </w:tcBorders>
            <w:shd w:val="clear" w:color="auto" w:fill="auto"/>
            <w:noWrap/>
            <w:vAlign w:val="center"/>
          </w:tcPr>
          <w:p w14:paraId="195675A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1"/>
                <w:szCs w:val="21"/>
                <w:u w:val="none"/>
                <w:lang w:val="en-US" w:eastAsia="zh-CN" w:bidi="ar"/>
              </w:rPr>
              <w:t>4.40E-02</w:t>
            </w:r>
          </w:p>
        </w:tc>
        <w:tc>
          <w:tcPr>
            <w:tcW w:w="1605" w:type="dxa"/>
            <w:tcBorders>
              <w:tl2br w:val="nil"/>
              <w:tr2bl w:val="nil"/>
            </w:tcBorders>
            <w:shd w:val="clear" w:color="auto" w:fill="auto"/>
            <w:noWrap/>
            <w:vAlign w:val="center"/>
          </w:tcPr>
          <w:p w14:paraId="3C20793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1"/>
                <w:szCs w:val="21"/>
                <w:u w:val="none"/>
                <w:lang w:val="en-US" w:eastAsia="zh-CN" w:bidi="ar"/>
              </w:rPr>
              <w:t>4.40E-02</w:t>
            </w:r>
          </w:p>
        </w:tc>
        <w:tc>
          <w:tcPr>
            <w:tcW w:w="1275" w:type="dxa"/>
            <w:tcBorders>
              <w:tl2br w:val="nil"/>
              <w:tr2bl w:val="nil"/>
            </w:tcBorders>
            <w:shd w:val="clear" w:color="auto" w:fill="auto"/>
            <w:noWrap/>
            <w:vAlign w:val="center"/>
          </w:tcPr>
          <w:p w14:paraId="409510D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1"/>
                <w:szCs w:val="21"/>
                <w:u w:val="none"/>
                <w:lang w:val="en-US" w:eastAsia="zh-CN" w:bidi="ar"/>
              </w:rPr>
              <w:t>1.50E-01</w:t>
            </w:r>
          </w:p>
        </w:tc>
        <w:tc>
          <w:tcPr>
            <w:tcW w:w="1485" w:type="dxa"/>
            <w:tcBorders>
              <w:tl2br w:val="nil"/>
              <w:tr2bl w:val="nil"/>
            </w:tcBorders>
            <w:shd w:val="clear" w:color="auto" w:fill="auto"/>
            <w:noWrap/>
            <w:vAlign w:val="center"/>
          </w:tcPr>
          <w:p w14:paraId="2D650AA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1"/>
                <w:szCs w:val="21"/>
                <w:u w:val="none"/>
                <w:lang w:val="en-US" w:eastAsia="zh-CN" w:bidi="ar"/>
              </w:rPr>
              <w:t>44</w:t>
            </w:r>
          </w:p>
        </w:tc>
        <w:tc>
          <w:tcPr>
            <w:tcW w:w="912" w:type="dxa"/>
            <w:tcBorders>
              <w:tl2br w:val="nil"/>
              <w:tr2bl w:val="nil"/>
            </w:tcBorders>
            <w:shd w:val="clear" w:color="auto" w:fill="auto"/>
            <w:noWrap/>
            <w:vAlign w:val="center"/>
          </w:tcPr>
          <w:p w14:paraId="5F823CF7">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1"/>
                <w:szCs w:val="21"/>
                <w:u w:val="none"/>
                <w:lang w:val="en-US" w:eastAsia="zh-CN" w:bidi="ar"/>
              </w:rPr>
              <w:t>达标</w:t>
            </w:r>
          </w:p>
        </w:tc>
      </w:tr>
      <w:tr w14:paraId="275C1C3D">
        <w:tblPrEx>
          <w:tblBorders>
            <w:top w:val="thinThickSmallGap" w:color="auto" w:sz="12" w:space="0"/>
            <w:left w:val="none" w:color="auto" w:sz="0" w:space="0"/>
            <w:bottom w:val="thinThick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528" w:type="dxa"/>
            <w:vMerge w:val="continue"/>
            <w:tcBorders>
              <w:tl2br w:val="nil"/>
              <w:tr2bl w:val="nil"/>
            </w:tcBorders>
            <w:shd w:val="clear" w:color="auto" w:fill="auto"/>
            <w:noWrap/>
            <w:vAlign w:val="center"/>
          </w:tcPr>
          <w:p w14:paraId="4CC4DDC1">
            <w:pPr>
              <w:keepNext w:val="0"/>
              <w:keepLines w:val="0"/>
              <w:pageBreakBefore w:val="0"/>
              <w:widowControl/>
              <w:kinsoku/>
              <w:wordWrap/>
              <w:overflowPunct/>
              <w:topLinePunct w:val="0"/>
              <w:autoSpaceDE/>
              <w:autoSpaceDN/>
              <w:bidi w:val="0"/>
              <w:adjustRightInd w:val="0"/>
              <w:snapToGrid w:val="0"/>
              <w:spacing w:line="240" w:lineRule="auto"/>
              <w:ind w:firstLineChars="0"/>
              <w:jc w:val="center"/>
              <w:rPr>
                <w:rFonts w:hint="default" w:ascii="Times New Roman" w:hAnsi="Times New Roman" w:eastAsia="宋体" w:cs="Times New Roman"/>
                <w:i w:val="0"/>
                <w:iCs w:val="0"/>
                <w:color w:val="0000FF"/>
                <w:sz w:val="21"/>
                <w:szCs w:val="21"/>
                <w:u w:val="none"/>
              </w:rPr>
            </w:pPr>
          </w:p>
        </w:tc>
        <w:tc>
          <w:tcPr>
            <w:tcW w:w="990" w:type="dxa"/>
            <w:vMerge w:val="continue"/>
            <w:tcBorders>
              <w:tl2br w:val="nil"/>
              <w:tr2bl w:val="nil"/>
            </w:tcBorders>
            <w:shd w:val="clear" w:color="auto" w:fill="auto"/>
            <w:noWrap/>
            <w:vAlign w:val="center"/>
          </w:tcPr>
          <w:p w14:paraId="0B7B0CD8">
            <w:pPr>
              <w:keepNext w:val="0"/>
              <w:keepLines w:val="0"/>
              <w:pageBreakBefore w:val="0"/>
              <w:widowControl/>
              <w:kinsoku/>
              <w:wordWrap/>
              <w:overflowPunct/>
              <w:topLinePunct w:val="0"/>
              <w:autoSpaceDE/>
              <w:autoSpaceDN/>
              <w:bidi w:val="0"/>
              <w:adjustRightInd w:val="0"/>
              <w:snapToGrid w:val="0"/>
              <w:spacing w:line="240" w:lineRule="auto"/>
              <w:ind w:firstLineChars="0"/>
              <w:jc w:val="center"/>
              <w:rPr>
                <w:rFonts w:hint="default" w:ascii="Times New Roman" w:hAnsi="Times New Roman" w:eastAsia="宋体" w:cs="Times New Roman"/>
                <w:i w:val="0"/>
                <w:iCs w:val="0"/>
                <w:color w:val="0000FF"/>
                <w:sz w:val="21"/>
                <w:szCs w:val="21"/>
                <w:u w:val="none"/>
              </w:rPr>
            </w:pPr>
          </w:p>
        </w:tc>
        <w:tc>
          <w:tcPr>
            <w:tcW w:w="1275" w:type="dxa"/>
            <w:vMerge w:val="continue"/>
            <w:tcBorders>
              <w:tl2br w:val="nil"/>
              <w:tr2bl w:val="nil"/>
            </w:tcBorders>
            <w:shd w:val="clear" w:color="auto" w:fill="auto"/>
            <w:noWrap/>
            <w:vAlign w:val="center"/>
          </w:tcPr>
          <w:p w14:paraId="7DD09BDB">
            <w:pPr>
              <w:keepNext w:val="0"/>
              <w:keepLines w:val="0"/>
              <w:pageBreakBefore w:val="0"/>
              <w:widowControl/>
              <w:kinsoku/>
              <w:wordWrap/>
              <w:overflowPunct/>
              <w:topLinePunct w:val="0"/>
              <w:autoSpaceDE/>
              <w:autoSpaceDN/>
              <w:bidi w:val="0"/>
              <w:adjustRightInd w:val="0"/>
              <w:snapToGrid w:val="0"/>
              <w:spacing w:line="240" w:lineRule="auto"/>
              <w:ind w:firstLineChars="0"/>
              <w:jc w:val="center"/>
              <w:rPr>
                <w:rFonts w:hint="default" w:ascii="Times New Roman" w:hAnsi="Times New Roman" w:eastAsia="宋体" w:cs="Times New Roman"/>
                <w:i w:val="0"/>
                <w:iCs w:val="0"/>
                <w:color w:val="0000FF"/>
                <w:sz w:val="21"/>
                <w:szCs w:val="21"/>
                <w:u w:val="none"/>
              </w:rPr>
            </w:pPr>
          </w:p>
        </w:tc>
        <w:tc>
          <w:tcPr>
            <w:tcW w:w="1875" w:type="dxa"/>
            <w:tcBorders>
              <w:tl2br w:val="nil"/>
              <w:tr2bl w:val="nil"/>
            </w:tcBorders>
            <w:shd w:val="clear" w:color="auto" w:fill="auto"/>
            <w:noWrap/>
            <w:vAlign w:val="center"/>
          </w:tcPr>
          <w:p w14:paraId="2C356D6E">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1"/>
                <w:szCs w:val="21"/>
                <w:u w:val="none"/>
                <w:lang w:val="en-US" w:eastAsia="zh-CN" w:bidi="ar"/>
              </w:rPr>
              <w:t>全时段</w:t>
            </w:r>
          </w:p>
        </w:tc>
        <w:tc>
          <w:tcPr>
            <w:tcW w:w="1260" w:type="dxa"/>
            <w:tcBorders>
              <w:tl2br w:val="nil"/>
              <w:tr2bl w:val="nil"/>
            </w:tcBorders>
            <w:shd w:val="clear" w:color="auto" w:fill="auto"/>
            <w:noWrap/>
            <w:vAlign w:val="center"/>
          </w:tcPr>
          <w:p w14:paraId="02FE110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1"/>
                <w:szCs w:val="21"/>
                <w:u w:val="none"/>
                <w:lang w:val="en-US" w:eastAsia="zh-CN" w:bidi="ar"/>
              </w:rPr>
              <w:t>-1.08E-04</w:t>
            </w:r>
          </w:p>
        </w:tc>
        <w:tc>
          <w:tcPr>
            <w:tcW w:w="1770" w:type="dxa"/>
            <w:tcBorders>
              <w:tl2br w:val="nil"/>
              <w:tr2bl w:val="nil"/>
            </w:tcBorders>
            <w:shd w:val="clear" w:color="auto" w:fill="auto"/>
            <w:noWrap/>
            <w:vAlign w:val="center"/>
          </w:tcPr>
          <w:p w14:paraId="1509626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1"/>
                <w:szCs w:val="21"/>
                <w:u w:val="none"/>
                <w:lang w:val="en-US" w:eastAsia="zh-CN" w:bidi="ar"/>
              </w:rPr>
              <w:t>平均值</w:t>
            </w:r>
          </w:p>
        </w:tc>
        <w:tc>
          <w:tcPr>
            <w:tcW w:w="1140" w:type="dxa"/>
            <w:tcBorders>
              <w:tl2br w:val="nil"/>
              <w:tr2bl w:val="nil"/>
            </w:tcBorders>
            <w:shd w:val="clear" w:color="auto" w:fill="auto"/>
            <w:noWrap/>
            <w:vAlign w:val="center"/>
          </w:tcPr>
          <w:p w14:paraId="368D308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1"/>
                <w:szCs w:val="21"/>
                <w:u w:val="none"/>
                <w:lang w:val="en-US" w:eastAsia="zh-CN" w:bidi="ar"/>
              </w:rPr>
              <w:t>4.01E-02</w:t>
            </w:r>
          </w:p>
        </w:tc>
        <w:tc>
          <w:tcPr>
            <w:tcW w:w="1605" w:type="dxa"/>
            <w:tcBorders>
              <w:tl2br w:val="nil"/>
              <w:tr2bl w:val="nil"/>
            </w:tcBorders>
            <w:shd w:val="clear" w:color="auto" w:fill="auto"/>
            <w:noWrap/>
            <w:vAlign w:val="center"/>
          </w:tcPr>
          <w:p w14:paraId="43E1FC1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1"/>
                <w:szCs w:val="21"/>
                <w:u w:val="none"/>
                <w:lang w:val="en-US" w:eastAsia="zh-CN" w:bidi="ar"/>
              </w:rPr>
              <w:t>4.00E-02</w:t>
            </w:r>
          </w:p>
        </w:tc>
        <w:tc>
          <w:tcPr>
            <w:tcW w:w="1275" w:type="dxa"/>
            <w:tcBorders>
              <w:tl2br w:val="nil"/>
              <w:tr2bl w:val="nil"/>
            </w:tcBorders>
            <w:shd w:val="clear" w:color="auto" w:fill="auto"/>
            <w:noWrap/>
            <w:vAlign w:val="center"/>
          </w:tcPr>
          <w:p w14:paraId="78514C3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1"/>
                <w:szCs w:val="21"/>
                <w:u w:val="none"/>
                <w:lang w:val="en-US" w:eastAsia="zh-CN" w:bidi="ar"/>
              </w:rPr>
              <w:t>5.00E-02</w:t>
            </w:r>
          </w:p>
        </w:tc>
        <w:tc>
          <w:tcPr>
            <w:tcW w:w="1485" w:type="dxa"/>
            <w:tcBorders>
              <w:tl2br w:val="nil"/>
              <w:tr2bl w:val="nil"/>
            </w:tcBorders>
            <w:shd w:val="clear" w:color="auto" w:fill="auto"/>
            <w:noWrap/>
            <w:vAlign w:val="center"/>
          </w:tcPr>
          <w:p w14:paraId="6535175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1"/>
                <w:szCs w:val="21"/>
                <w:u w:val="none"/>
                <w:lang w:val="en-US" w:eastAsia="zh-CN" w:bidi="ar"/>
              </w:rPr>
              <w:t>79.93</w:t>
            </w:r>
          </w:p>
        </w:tc>
        <w:tc>
          <w:tcPr>
            <w:tcW w:w="912" w:type="dxa"/>
            <w:tcBorders>
              <w:tl2br w:val="nil"/>
              <w:tr2bl w:val="nil"/>
            </w:tcBorders>
            <w:shd w:val="clear" w:color="auto" w:fill="auto"/>
            <w:noWrap/>
            <w:vAlign w:val="center"/>
          </w:tcPr>
          <w:p w14:paraId="780C4F9B">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1"/>
                <w:szCs w:val="21"/>
                <w:u w:val="none"/>
                <w:lang w:val="en-US" w:eastAsia="zh-CN" w:bidi="ar"/>
              </w:rPr>
              <w:t>达标</w:t>
            </w:r>
          </w:p>
        </w:tc>
      </w:tr>
      <w:tr w14:paraId="5148410B">
        <w:tblPrEx>
          <w:tblBorders>
            <w:top w:val="thinThickSmallGap" w:color="auto" w:sz="12" w:space="0"/>
            <w:left w:val="none" w:color="auto" w:sz="0" w:space="0"/>
            <w:bottom w:val="thinThick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528" w:type="dxa"/>
            <w:vMerge w:val="restart"/>
            <w:tcBorders>
              <w:tl2br w:val="nil"/>
              <w:tr2bl w:val="nil"/>
            </w:tcBorders>
            <w:shd w:val="clear" w:color="auto" w:fill="auto"/>
            <w:noWrap/>
            <w:vAlign w:val="center"/>
          </w:tcPr>
          <w:p w14:paraId="00BBE7E7">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1"/>
                <w:szCs w:val="21"/>
                <w:u w:val="none"/>
                <w:lang w:val="en-US" w:eastAsia="zh-CN" w:bidi="ar"/>
              </w:rPr>
              <w:t>2</w:t>
            </w:r>
          </w:p>
        </w:tc>
        <w:tc>
          <w:tcPr>
            <w:tcW w:w="990" w:type="dxa"/>
            <w:vMerge w:val="restart"/>
            <w:tcBorders>
              <w:tl2br w:val="nil"/>
              <w:tr2bl w:val="nil"/>
            </w:tcBorders>
            <w:shd w:val="clear" w:color="auto" w:fill="auto"/>
            <w:noWrap/>
            <w:vAlign w:val="center"/>
          </w:tcPr>
          <w:p w14:paraId="3CBA8066">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1"/>
                <w:szCs w:val="21"/>
                <w:u w:val="none"/>
                <w:lang w:val="en-US" w:eastAsia="zh-CN" w:bidi="ar"/>
              </w:rPr>
              <w:t>部队</w:t>
            </w:r>
          </w:p>
        </w:tc>
        <w:tc>
          <w:tcPr>
            <w:tcW w:w="1275" w:type="dxa"/>
            <w:vMerge w:val="restart"/>
            <w:tcBorders>
              <w:tl2br w:val="nil"/>
              <w:tr2bl w:val="nil"/>
            </w:tcBorders>
            <w:shd w:val="clear" w:color="auto" w:fill="auto"/>
            <w:noWrap/>
            <w:vAlign w:val="center"/>
          </w:tcPr>
          <w:p w14:paraId="7E878319">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1"/>
                <w:szCs w:val="21"/>
                <w:u w:val="none"/>
                <w:lang w:val="en-US" w:eastAsia="zh-CN" w:bidi="ar"/>
              </w:rPr>
              <w:t>-179,10</w:t>
            </w:r>
          </w:p>
        </w:tc>
        <w:tc>
          <w:tcPr>
            <w:tcW w:w="1875" w:type="dxa"/>
            <w:tcBorders>
              <w:tl2br w:val="nil"/>
              <w:tr2bl w:val="nil"/>
            </w:tcBorders>
            <w:shd w:val="clear" w:color="auto" w:fill="auto"/>
            <w:noWrap/>
            <w:vAlign w:val="center"/>
          </w:tcPr>
          <w:p w14:paraId="4C2E203D">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1"/>
                <w:szCs w:val="21"/>
                <w:u w:val="none"/>
                <w:lang w:val="en-US" w:eastAsia="zh-CN" w:bidi="ar"/>
              </w:rPr>
              <w:t>1小时</w:t>
            </w:r>
          </w:p>
        </w:tc>
        <w:tc>
          <w:tcPr>
            <w:tcW w:w="1260" w:type="dxa"/>
            <w:tcBorders>
              <w:tl2br w:val="nil"/>
              <w:tr2bl w:val="nil"/>
            </w:tcBorders>
            <w:shd w:val="clear" w:color="auto" w:fill="auto"/>
            <w:noWrap/>
            <w:vAlign w:val="center"/>
          </w:tcPr>
          <w:p w14:paraId="438F1E3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1"/>
                <w:szCs w:val="21"/>
                <w:u w:val="none"/>
                <w:lang w:val="en-US" w:eastAsia="zh-CN" w:bidi="ar"/>
              </w:rPr>
              <w:t>0.00E+00</w:t>
            </w:r>
          </w:p>
        </w:tc>
        <w:tc>
          <w:tcPr>
            <w:tcW w:w="1770" w:type="dxa"/>
            <w:tcBorders>
              <w:tl2br w:val="nil"/>
              <w:tr2bl w:val="nil"/>
            </w:tcBorders>
            <w:shd w:val="clear" w:color="auto" w:fill="auto"/>
            <w:noWrap/>
            <w:vAlign w:val="center"/>
          </w:tcPr>
          <w:p w14:paraId="2639C64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1"/>
                <w:szCs w:val="21"/>
                <w:u w:val="none"/>
                <w:lang w:val="en-US" w:eastAsia="zh-CN" w:bidi="ar"/>
              </w:rPr>
              <w:t>24010101</w:t>
            </w:r>
          </w:p>
        </w:tc>
        <w:tc>
          <w:tcPr>
            <w:tcW w:w="1140" w:type="dxa"/>
            <w:tcBorders>
              <w:tl2br w:val="nil"/>
              <w:tr2bl w:val="nil"/>
            </w:tcBorders>
            <w:shd w:val="clear" w:color="auto" w:fill="auto"/>
            <w:noWrap/>
            <w:vAlign w:val="center"/>
          </w:tcPr>
          <w:p w14:paraId="0BEBB21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1"/>
                <w:szCs w:val="21"/>
                <w:u w:val="none"/>
                <w:lang w:val="en-US" w:eastAsia="zh-CN" w:bidi="ar"/>
              </w:rPr>
              <w:t>4.40E-02</w:t>
            </w:r>
          </w:p>
        </w:tc>
        <w:tc>
          <w:tcPr>
            <w:tcW w:w="1605" w:type="dxa"/>
            <w:tcBorders>
              <w:tl2br w:val="nil"/>
              <w:tr2bl w:val="nil"/>
            </w:tcBorders>
            <w:shd w:val="clear" w:color="auto" w:fill="auto"/>
            <w:noWrap/>
            <w:vAlign w:val="center"/>
          </w:tcPr>
          <w:p w14:paraId="1AE7182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1"/>
                <w:szCs w:val="21"/>
                <w:u w:val="none"/>
                <w:lang w:val="en-US" w:eastAsia="zh-CN" w:bidi="ar"/>
              </w:rPr>
              <w:t>4.40E-02</w:t>
            </w:r>
          </w:p>
        </w:tc>
        <w:tc>
          <w:tcPr>
            <w:tcW w:w="1275" w:type="dxa"/>
            <w:tcBorders>
              <w:tl2br w:val="nil"/>
              <w:tr2bl w:val="nil"/>
            </w:tcBorders>
            <w:shd w:val="clear" w:color="auto" w:fill="auto"/>
            <w:noWrap/>
            <w:vAlign w:val="center"/>
          </w:tcPr>
          <w:p w14:paraId="4ED7C3E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1"/>
                <w:szCs w:val="21"/>
                <w:u w:val="none"/>
                <w:lang w:val="en-US" w:eastAsia="zh-CN" w:bidi="ar"/>
              </w:rPr>
              <w:t>2.50E-01</w:t>
            </w:r>
          </w:p>
        </w:tc>
        <w:tc>
          <w:tcPr>
            <w:tcW w:w="1485" w:type="dxa"/>
            <w:tcBorders>
              <w:tl2br w:val="nil"/>
              <w:tr2bl w:val="nil"/>
            </w:tcBorders>
            <w:shd w:val="clear" w:color="auto" w:fill="auto"/>
            <w:noWrap/>
            <w:vAlign w:val="center"/>
          </w:tcPr>
          <w:p w14:paraId="0183341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1"/>
                <w:szCs w:val="21"/>
                <w:u w:val="none"/>
                <w:lang w:val="en-US" w:eastAsia="zh-CN" w:bidi="ar"/>
              </w:rPr>
              <w:t>17.6</w:t>
            </w:r>
          </w:p>
        </w:tc>
        <w:tc>
          <w:tcPr>
            <w:tcW w:w="912" w:type="dxa"/>
            <w:tcBorders>
              <w:tl2br w:val="nil"/>
              <w:tr2bl w:val="nil"/>
            </w:tcBorders>
            <w:shd w:val="clear" w:color="auto" w:fill="auto"/>
            <w:noWrap/>
            <w:vAlign w:val="center"/>
          </w:tcPr>
          <w:p w14:paraId="514DEC00">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1"/>
                <w:szCs w:val="21"/>
                <w:u w:val="none"/>
                <w:lang w:val="en-US" w:eastAsia="zh-CN" w:bidi="ar"/>
              </w:rPr>
              <w:t>达标</w:t>
            </w:r>
          </w:p>
        </w:tc>
      </w:tr>
      <w:tr w14:paraId="6733135C">
        <w:tblPrEx>
          <w:tblBorders>
            <w:top w:val="thinThickSmallGap" w:color="auto" w:sz="12" w:space="0"/>
            <w:left w:val="none" w:color="auto" w:sz="0" w:space="0"/>
            <w:bottom w:val="thinThick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528" w:type="dxa"/>
            <w:vMerge w:val="continue"/>
            <w:tcBorders>
              <w:tl2br w:val="nil"/>
              <w:tr2bl w:val="nil"/>
            </w:tcBorders>
            <w:shd w:val="clear" w:color="auto" w:fill="auto"/>
            <w:noWrap/>
            <w:vAlign w:val="center"/>
          </w:tcPr>
          <w:p w14:paraId="7F12F4C2">
            <w:pPr>
              <w:keepNext w:val="0"/>
              <w:keepLines w:val="0"/>
              <w:pageBreakBefore w:val="0"/>
              <w:widowControl/>
              <w:kinsoku/>
              <w:wordWrap/>
              <w:overflowPunct/>
              <w:topLinePunct w:val="0"/>
              <w:autoSpaceDE/>
              <w:autoSpaceDN/>
              <w:bidi w:val="0"/>
              <w:adjustRightInd w:val="0"/>
              <w:snapToGrid w:val="0"/>
              <w:spacing w:line="240" w:lineRule="auto"/>
              <w:ind w:firstLineChars="0"/>
              <w:jc w:val="center"/>
              <w:rPr>
                <w:rFonts w:hint="default" w:ascii="Times New Roman" w:hAnsi="Times New Roman" w:eastAsia="宋体" w:cs="Times New Roman"/>
                <w:i w:val="0"/>
                <w:iCs w:val="0"/>
                <w:color w:val="0000FF"/>
                <w:sz w:val="21"/>
                <w:szCs w:val="21"/>
                <w:u w:val="none"/>
              </w:rPr>
            </w:pPr>
          </w:p>
        </w:tc>
        <w:tc>
          <w:tcPr>
            <w:tcW w:w="990" w:type="dxa"/>
            <w:vMerge w:val="continue"/>
            <w:tcBorders>
              <w:tl2br w:val="nil"/>
              <w:tr2bl w:val="nil"/>
            </w:tcBorders>
            <w:shd w:val="clear" w:color="auto" w:fill="auto"/>
            <w:noWrap/>
            <w:vAlign w:val="center"/>
          </w:tcPr>
          <w:p w14:paraId="66A5EB78">
            <w:pPr>
              <w:keepNext w:val="0"/>
              <w:keepLines w:val="0"/>
              <w:pageBreakBefore w:val="0"/>
              <w:widowControl/>
              <w:kinsoku/>
              <w:wordWrap/>
              <w:overflowPunct/>
              <w:topLinePunct w:val="0"/>
              <w:autoSpaceDE/>
              <w:autoSpaceDN/>
              <w:bidi w:val="0"/>
              <w:adjustRightInd w:val="0"/>
              <w:snapToGrid w:val="0"/>
              <w:spacing w:line="240" w:lineRule="auto"/>
              <w:ind w:firstLineChars="0"/>
              <w:jc w:val="center"/>
              <w:rPr>
                <w:rFonts w:hint="default" w:ascii="Times New Roman" w:hAnsi="Times New Roman" w:eastAsia="宋体" w:cs="Times New Roman"/>
                <w:i w:val="0"/>
                <w:iCs w:val="0"/>
                <w:color w:val="0000FF"/>
                <w:sz w:val="21"/>
                <w:szCs w:val="21"/>
                <w:u w:val="none"/>
              </w:rPr>
            </w:pPr>
          </w:p>
        </w:tc>
        <w:tc>
          <w:tcPr>
            <w:tcW w:w="1275" w:type="dxa"/>
            <w:vMerge w:val="continue"/>
            <w:tcBorders>
              <w:tl2br w:val="nil"/>
              <w:tr2bl w:val="nil"/>
            </w:tcBorders>
            <w:shd w:val="clear" w:color="auto" w:fill="auto"/>
            <w:noWrap/>
            <w:vAlign w:val="center"/>
          </w:tcPr>
          <w:p w14:paraId="27C939AB">
            <w:pPr>
              <w:keepNext w:val="0"/>
              <w:keepLines w:val="0"/>
              <w:pageBreakBefore w:val="0"/>
              <w:widowControl/>
              <w:kinsoku/>
              <w:wordWrap/>
              <w:overflowPunct/>
              <w:topLinePunct w:val="0"/>
              <w:autoSpaceDE/>
              <w:autoSpaceDN/>
              <w:bidi w:val="0"/>
              <w:adjustRightInd w:val="0"/>
              <w:snapToGrid w:val="0"/>
              <w:spacing w:line="240" w:lineRule="auto"/>
              <w:ind w:firstLineChars="0"/>
              <w:jc w:val="center"/>
              <w:rPr>
                <w:rFonts w:hint="default" w:ascii="Times New Roman" w:hAnsi="Times New Roman" w:eastAsia="宋体" w:cs="Times New Roman"/>
                <w:i w:val="0"/>
                <w:iCs w:val="0"/>
                <w:color w:val="0000FF"/>
                <w:sz w:val="21"/>
                <w:szCs w:val="21"/>
                <w:u w:val="none"/>
              </w:rPr>
            </w:pPr>
          </w:p>
        </w:tc>
        <w:tc>
          <w:tcPr>
            <w:tcW w:w="1875" w:type="dxa"/>
            <w:tcBorders>
              <w:tl2br w:val="nil"/>
              <w:tr2bl w:val="nil"/>
            </w:tcBorders>
            <w:shd w:val="clear" w:color="auto" w:fill="auto"/>
            <w:noWrap/>
            <w:vAlign w:val="center"/>
          </w:tcPr>
          <w:p w14:paraId="7E71E7DA">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1"/>
                <w:szCs w:val="21"/>
                <w:u w:val="none"/>
                <w:lang w:val="en-US" w:eastAsia="zh-CN" w:bidi="ar"/>
              </w:rPr>
              <w:t>98%保证率日平均</w:t>
            </w:r>
          </w:p>
        </w:tc>
        <w:tc>
          <w:tcPr>
            <w:tcW w:w="1260" w:type="dxa"/>
            <w:tcBorders>
              <w:tl2br w:val="nil"/>
              <w:tr2bl w:val="nil"/>
            </w:tcBorders>
            <w:shd w:val="clear" w:color="auto" w:fill="auto"/>
            <w:noWrap/>
            <w:vAlign w:val="center"/>
          </w:tcPr>
          <w:p w14:paraId="1A64A88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1"/>
                <w:szCs w:val="21"/>
                <w:u w:val="none"/>
                <w:lang w:val="en-US" w:eastAsia="zh-CN" w:bidi="ar"/>
              </w:rPr>
              <w:t>0.00E+00</w:t>
            </w:r>
          </w:p>
        </w:tc>
        <w:tc>
          <w:tcPr>
            <w:tcW w:w="1770" w:type="dxa"/>
            <w:tcBorders>
              <w:tl2br w:val="nil"/>
              <w:tr2bl w:val="nil"/>
            </w:tcBorders>
            <w:shd w:val="clear" w:color="auto" w:fill="auto"/>
            <w:noWrap/>
            <w:vAlign w:val="center"/>
          </w:tcPr>
          <w:p w14:paraId="02EC783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1"/>
                <w:szCs w:val="21"/>
                <w:u w:val="none"/>
                <w:lang w:val="en-US" w:eastAsia="zh-CN" w:bidi="ar"/>
              </w:rPr>
              <w:t>240316</w:t>
            </w:r>
          </w:p>
        </w:tc>
        <w:tc>
          <w:tcPr>
            <w:tcW w:w="1140" w:type="dxa"/>
            <w:tcBorders>
              <w:tl2br w:val="nil"/>
              <w:tr2bl w:val="nil"/>
            </w:tcBorders>
            <w:shd w:val="clear" w:color="auto" w:fill="auto"/>
            <w:noWrap/>
            <w:vAlign w:val="center"/>
          </w:tcPr>
          <w:p w14:paraId="5E9C5A4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1"/>
                <w:szCs w:val="21"/>
                <w:u w:val="none"/>
                <w:lang w:val="en-US" w:eastAsia="zh-CN" w:bidi="ar"/>
              </w:rPr>
              <w:t>4.40E-02</w:t>
            </w:r>
          </w:p>
        </w:tc>
        <w:tc>
          <w:tcPr>
            <w:tcW w:w="1605" w:type="dxa"/>
            <w:tcBorders>
              <w:tl2br w:val="nil"/>
              <w:tr2bl w:val="nil"/>
            </w:tcBorders>
            <w:shd w:val="clear" w:color="auto" w:fill="auto"/>
            <w:noWrap/>
            <w:vAlign w:val="center"/>
          </w:tcPr>
          <w:p w14:paraId="1A586D0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1"/>
                <w:szCs w:val="21"/>
                <w:u w:val="none"/>
                <w:lang w:val="en-US" w:eastAsia="zh-CN" w:bidi="ar"/>
              </w:rPr>
              <w:t>4.40E-02</w:t>
            </w:r>
          </w:p>
        </w:tc>
        <w:tc>
          <w:tcPr>
            <w:tcW w:w="1275" w:type="dxa"/>
            <w:tcBorders>
              <w:tl2br w:val="nil"/>
              <w:tr2bl w:val="nil"/>
            </w:tcBorders>
            <w:shd w:val="clear" w:color="auto" w:fill="auto"/>
            <w:noWrap/>
            <w:vAlign w:val="center"/>
          </w:tcPr>
          <w:p w14:paraId="6E39883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1"/>
                <w:szCs w:val="21"/>
                <w:u w:val="none"/>
                <w:lang w:val="en-US" w:eastAsia="zh-CN" w:bidi="ar"/>
              </w:rPr>
              <w:t>1.50E-01</w:t>
            </w:r>
          </w:p>
        </w:tc>
        <w:tc>
          <w:tcPr>
            <w:tcW w:w="1485" w:type="dxa"/>
            <w:tcBorders>
              <w:tl2br w:val="nil"/>
              <w:tr2bl w:val="nil"/>
            </w:tcBorders>
            <w:shd w:val="clear" w:color="auto" w:fill="auto"/>
            <w:noWrap/>
            <w:vAlign w:val="center"/>
          </w:tcPr>
          <w:p w14:paraId="70DF102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1"/>
                <w:szCs w:val="21"/>
                <w:u w:val="none"/>
                <w:lang w:val="en-US" w:eastAsia="zh-CN" w:bidi="ar"/>
              </w:rPr>
              <w:t>44</w:t>
            </w:r>
          </w:p>
        </w:tc>
        <w:tc>
          <w:tcPr>
            <w:tcW w:w="912" w:type="dxa"/>
            <w:tcBorders>
              <w:tl2br w:val="nil"/>
              <w:tr2bl w:val="nil"/>
            </w:tcBorders>
            <w:shd w:val="clear" w:color="auto" w:fill="auto"/>
            <w:noWrap/>
            <w:vAlign w:val="center"/>
          </w:tcPr>
          <w:p w14:paraId="0195615F">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1"/>
                <w:szCs w:val="21"/>
                <w:u w:val="none"/>
                <w:lang w:val="en-US" w:eastAsia="zh-CN" w:bidi="ar"/>
              </w:rPr>
              <w:t>达标</w:t>
            </w:r>
          </w:p>
        </w:tc>
      </w:tr>
      <w:tr w14:paraId="0FEE7F9A">
        <w:tblPrEx>
          <w:tblBorders>
            <w:top w:val="thinThickSmallGap" w:color="auto" w:sz="12" w:space="0"/>
            <w:left w:val="none" w:color="auto" w:sz="0" w:space="0"/>
            <w:bottom w:val="thinThick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528" w:type="dxa"/>
            <w:vMerge w:val="continue"/>
            <w:tcBorders>
              <w:tl2br w:val="nil"/>
              <w:tr2bl w:val="nil"/>
            </w:tcBorders>
            <w:shd w:val="clear" w:color="auto" w:fill="auto"/>
            <w:noWrap/>
            <w:vAlign w:val="center"/>
          </w:tcPr>
          <w:p w14:paraId="7AC87C49">
            <w:pPr>
              <w:keepNext w:val="0"/>
              <w:keepLines w:val="0"/>
              <w:pageBreakBefore w:val="0"/>
              <w:widowControl/>
              <w:kinsoku/>
              <w:wordWrap/>
              <w:overflowPunct/>
              <w:topLinePunct w:val="0"/>
              <w:autoSpaceDE/>
              <w:autoSpaceDN/>
              <w:bidi w:val="0"/>
              <w:adjustRightInd w:val="0"/>
              <w:snapToGrid w:val="0"/>
              <w:spacing w:line="240" w:lineRule="auto"/>
              <w:ind w:firstLineChars="0"/>
              <w:jc w:val="center"/>
              <w:rPr>
                <w:rFonts w:hint="default" w:ascii="Times New Roman" w:hAnsi="Times New Roman" w:eastAsia="宋体" w:cs="Times New Roman"/>
                <w:i w:val="0"/>
                <w:iCs w:val="0"/>
                <w:color w:val="0000FF"/>
                <w:sz w:val="21"/>
                <w:szCs w:val="21"/>
                <w:u w:val="none"/>
              </w:rPr>
            </w:pPr>
          </w:p>
        </w:tc>
        <w:tc>
          <w:tcPr>
            <w:tcW w:w="990" w:type="dxa"/>
            <w:vMerge w:val="continue"/>
            <w:tcBorders>
              <w:tl2br w:val="nil"/>
              <w:tr2bl w:val="nil"/>
            </w:tcBorders>
            <w:shd w:val="clear" w:color="auto" w:fill="auto"/>
            <w:noWrap/>
            <w:vAlign w:val="center"/>
          </w:tcPr>
          <w:p w14:paraId="0C710437">
            <w:pPr>
              <w:keepNext w:val="0"/>
              <w:keepLines w:val="0"/>
              <w:pageBreakBefore w:val="0"/>
              <w:widowControl/>
              <w:kinsoku/>
              <w:wordWrap/>
              <w:overflowPunct/>
              <w:topLinePunct w:val="0"/>
              <w:autoSpaceDE/>
              <w:autoSpaceDN/>
              <w:bidi w:val="0"/>
              <w:adjustRightInd w:val="0"/>
              <w:snapToGrid w:val="0"/>
              <w:spacing w:line="240" w:lineRule="auto"/>
              <w:ind w:firstLineChars="0"/>
              <w:jc w:val="center"/>
              <w:rPr>
                <w:rFonts w:hint="default" w:ascii="Times New Roman" w:hAnsi="Times New Roman" w:eastAsia="宋体" w:cs="Times New Roman"/>
                <w:i w:val="0"/>
                <w:iCs w:val="0"/>
                <w:color w:val="0000FF"/>
                <w:sz w:val="21"/>
                <w:szCs w:val="21"/>
                <w:u w:val="none"/>
              </w:rPr>
            </w:pPr>
          </w:p>
        </w:tc>
        <w:tc>
          <w:tcPr>
            <w:tcW w:w="1275" w:type="dxa"/>
            <w:vMerge w:val="continue"/>
            <w:tcBorders>
              <w:tl2br w:val="nil"/>
              <w:tr2bl w:val="nil"/>
            </w:tcBorders>
            <w:shd w:val="clear" w:color="auto" w:fill="auto"/>
            <w:noWrap/>
            <w:vAlign w:val="center"/>
          </w:tcPr>
          <w:p w14:paraId="3BD76A2D">
            <w:pPr>
              <w:keepNext w:val="0"/>
              <w:keepLines w:val="0"/>
              <w:pageBreakBefore w:val="0"/>
              <w:widowControl/>
              <w:kinsoku/>
              <w:wordWrap/>
              <w:overflowPunct/>
              <w:topLinePunct w:val="0"/>
              <w:autoSpaceDE/>
              <w:autoSpaceDN/>
              <w:bidi w:val="0"/>
              <w:adjustRightInd w:val="0"/>
              <w:snapToGrid w:val="0"/>
              <w:spacing w:line="240" w:lineRule="auto"/>
              <w:ind w:firstLineChars="0"/>
              <w:jc w:val="center"/>
              <w:rPr>
                <w:rFonts w:hint="default" w:ascii="Times New Roman" w:hAnsi="Times New Roman" w:eastAsia="宋体" w:cs="Times New Roman"/>
                <w:i w:val="0"/>
                <w:iCs w:val="0"/>
                <w:color w:val="0000FF"/>
                <w:sz w:val="21"/>
                <w:szCs w:val="21"/>
                <w:u w:val="none"/>
              </w:rPr>
            </w:pPr>
          </w:p>
        </w:tc>
        <w:tc>
          <w:tcPr>
            <w:tcW w:w="1875" w:type="dxa"/>
            <w:tcBorders>
              <w:tl2br w:val="nil"/>
              <w:tr2bl w:val="nil"/>
            </w:tcBorders>
            <w:shd w:val="clear" w:color="auto" w:fill="auto"/>
            <w:noWrap/>
            <w:vAlign w:val="center"/>
          </w:tcPr>
          <w:p w14:paraId="77B610C9">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1"/>
                <w:szCs w:val="21"/>
                <w:u w:val="none"/>
                <w:lang w:val="en-US" w:eastAsia="zh-CN" w:bidi="ar"/>
              </w:rPr>
              <w:t>全时段</w:t>
            </w:r>
          </w:p>
        </w:tc>
        <w:tc>
          <w:tcPr>
            <w:tcW w:w="1260" w:type="dxa"/>
            <w:tcBorders>
              <w:tl2br w:val="nil"/>
              <w:tr2bl w:val="nil"/>
            </w:tcBorders>
            <w:shd w:val="clear" w:color="auto" w:fill="auto"/>
            <w:noWrap/>
            <w:vAlign w:val="center"/>
          </w:tcPr>
          <w:p w14:paraId="637C987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1"/>
                <w:szCs w:val="21"/>
                <w:u w:val="none"/>
                <w:lang w:val="en-US" w:eastAsia="zh-CN" w:bidi="ar"/>
              </w:rPr>
              <w:t>-5.38E-05</w:t>
            </w:r>
          </w:p>
        </w:tc>
        <w:tc>
          <w:tcPr>
            <w:tcW w:w="1770" w:type="dxa"/>
            <w:tcBorders>
              <w:tl2br w:val="nil"/>
              <w:tr2bl w:val="nil"/>
            </w:tcBorders>
            <w:shd w:val="clear" w:color="auto" w:fill="auto"/>
            <w:noWrap/>
            <w:vAlign w:val="center"/>
          </w:tcPr>
          <w:p w14:paraId="7949293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1"/>
                <w:szCs w:val="21"/>
                <w:u w:val="none"/>
                <w:lang w:val="en-US" w:eastAsia="zh-CN" w:bidi="ar"/>
              </w:rPr>
              <w:t>平均值</w:t>
            </w:r>
          </w:p>
        </w:tc>
        <w:tc>
          <w:tcPr>
            <w:tcW w:w="1140" w:type="dxa"/>
            <w:tcBorders>
              <w:tl2br w:val="nil"/>
              <w:tr2bl w:val="nil"/>
            </w:tcBorders>
            <w:shd w:val="clear" w:color="auto" w:fill="auto"/>
            <w:noWrap/>
            <w:vAlign w:val="center"/>
          </w:tcPr>
          <w:p w14:paraId="7E092D1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1"/>
                <w:szCs w:val="21"/>
                <w:u w:val="none"/>
                <w:lang w:val="en-US" w:eastAsia="zh-CN" w:bidi="ar"/>
              </w:rPr>
              <w:t>4.01E-02</w:t>
            </w:r>
          </w:p>
        </w:tc>
        <w:tc>
          <w:tcPr>
            <w:tcW w:w="1605" w:type="dxa"/>
            <w:tcBorders>
              <w:tl2br w:val="nil"/>
              <w:tr2bl w:val="nil"/>
            </w:tcBorders>
            <w:shd w:val="clear" w:color="auto" w:fill="auto"/>
            <w:noWrap/>
            <w:vAlign w:val="center"/>
          </w:tcPr>
          <w:p w14:paraId="08F934D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1"/>
                <w:szCs w:val="21"/>
                <w:u w:val="none"/>
                <w:lang w:val="en-US" w:eastAsia="zh-CN" w:bidi="ar"/>
              </w:rPr>
              <w:t>4.00E-02</w:t>
            </w:r>
          </w:p>
        </w:tc>
        <w:tc>
          <w:tcPr>
            <w:tcW w:w="1275" w:type="dxa"/>
            <w:tcBorders>
              <w:tl2br w:val="nil"/>
              <w:tr2bl w:val="nil"/>
            </w:tcBorders>
            <w:shd w:val="clear" w:color="auto" w:fill="auto"/>
            <w:noWrap/>
            <w:vAlign w:val="center"/>
          </w:tcPr>
          <w:p w14:paraId="4E4FBC0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1"/>
                <w:szCs w:val="21"/>
                <w:u w:val="none"/>
                <w:lang w:val="en-US" w:eastAsia="zh-CN" w:bidi="ar"/>
              </w:rPr>
              <w:t>5.00E-02</w:t>
            </w:r>
          </w:p>
        </w:tc>
        <w:tc>
          <w:tcPr>
            <w:tcW w:w="1485" w:type="dxa"/>
            <w:tcBorders>
              <w:tl2br w:val="nil"/>
              <w:tr2bl w:val="nil"/>
            </w:tcBorders>
            <w:shd w:val="clear" w:color="auto" w:fill="auto"/>
            <w:noWrap/>
            <w:vAlign w:val="center"/>
          </w:tcPr>
          <w:p w14:paraId="779DEE5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1"/>
                <w:szCs w:val="21"/>
                <w:u w:val="none"/>
                <w:lang w:val="en-US" w:eastAsia="zh-CN" w:bidi="ar"/>
              </w:rPr>
              <w:t>80.04</w:t>
            </w:r>
          </w:p>
        </w:tc>
        <w:tc>
          <w:tcPr>
            <w:tcW w:w="912" w:type="dxa"/>
            <w:tcBorders>
              <w:tl2br w:val="nil"/>
              <w:tr2bl w:val="nil"/>
            </w:tcBorders>
            <w:shd w:val="clear" w:color="auto" w:fill="auto"/>
            <w:noWrap/>
            <w:vAlign w:val="center"/>
          </w:tcPr>
          <w:p w14:paraId="550F2396">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1"/>
                <w:szCs w:val="21"/>
                <w:u w:val="none"/>
                <w:lang w:val="en-US" w:eastAsia="zh-CN" w:bidi="ar"/>
              </w:rPr>
              <w:t>达标</w:t>
            </w:r>
          </w:p>
        </w:tc>
      </w:tr>
      <w:tr w14:paraId="7D24E7CC">
        <w:tblPrEx>
          <w:tblBorders>
            <w:top w:val="thinThickSmallGap" w:color="auto" w:sz="12" w:space="0"/>
            <w:left w:val="none" w:color="auto" w:sz="0" w:space="0"/>
            <w:bottom w:val="thinThickSmallGap" w:color="auto" w:sz="12" w:space="0"/>
            <w:right w:val="none" w:color="auto" w:sz="0"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 w:hRule="atLeast"/>
          <w:jc w:val="center"/>
        </w:trPr>
        <w:tc>
          <w:tcPr>
            <w:tcW w:w="528" w:type="dxa"/>
            <w:vMerge w:val="restart"/>
            <w:tcBorders>
              <w:tl2br w:val="nil"/>
              <w:tr2bl w:val="nil"/>
            </w:tcBorders>
            <w:shd w:val="clear" w:color="auto" w:fill="auto"/>
            <w:noWrap/>
            <w:vAlign w:val="center"/>
          </w:tcPr>
          <w:p w14:paraId="68EA1300">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1"/>
                <w:szCs w:val="21"/>
                <w:u w:val="none"/>
                <w:lang w:val="en-US" w:eastAsia="zh-CN" w:bidi="ar"/>
              </w:rPr>
              <w:t>3</w:t>
            </w:r>
          </w:p>
        </w:tc>
        <w:tc>
          <w:tcPr>
            <w:tcW w:w="990" w:type="dxa"/>
            <w:vMerge w:val="restart"/>
            <w:tcBorders>
              <w:tl2br w:val="nil"/>
              <w:tr2bl w:val="nil"/>
            </w:tcBorders>
            <w:shd w:val="clear" w:color="auto" w:fill="auto"/>
            <w:noWrap/>
            <w:vAlign w:val="center"/>
          </w:tcPr>
          <w:p w14:paraId="683D9D47">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1"/>
                <w:szCs w:val="21"/>
                <w:u w:val="none"/>
                <w:lang w:val="en-US" w:eastAsia="zh-CN" w:bidi="ar"/>
              </w:rPr>
              <w:t>老虎沟</w:t>
            </w:r>
          </w:p>
        </w:tc>
        <w:tc>
          <w:tcPr>
            <w:tcW w:w="1275" w:type="dxa"/>
            <w:vMerge w:val="restart"/>
            <w:tcBorders>
              <w:tl2br w:val="nil"/>
              <w:tr2bl w:val="nil"/>
            </w:tcBorders>
            <w:shd w:val="clear" w:color="auto" w:fill="auto"/>
            <w:noWrap/>
            <w:vAlign w:val="center"/>
          </w:tcPr>
          <w:p w14:paraId="0F9A4BC4">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1"/>
                <w:szCs w:val="21"/>
                <w:u w:val="none"/>
                <w:lang w:val="en-US" w:eastAsia="zh-CN" w:bidi="ar"/>
              </w:rPr>
              <w:t>-1526,736</w:t>
            </w:r>
          </w:p>
        </w:tc>
        <w:tc>
          <w:tcPr>
            <w:tcW w:w="1875" w:type="dxa"/>
            <w:tcBorders>
              <w:tl2br w:val="nil"/>
              <w:tr2bl w:val="nil"/>
            </w:tcBorders>
            <w:shd w:val="clear" w:color="auto" w:fill="auto"/>
            <w:noWrap/>
            <w:vAlign w:val="center"/>
          </w:tcPr>
          <w:p w14:paraId="580F5846">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1"/>
                <w:szCs w:val="21"/>
                <w:u w:val="none"/>
                <w:lang w:val="en-US" w:eastAsia="zh-CN" w:bidi="ar"/>
              </w:rPr>
              <w:t>1小时</w:t>
            </w:r>
          </w:p>
        </w:tc>
        <w:tc>
          <w:tcPr>
            <w:tcW w:w="1260" w:type="dxa"/>
            <w:tcBorders>
              <w:tl2br w:val="nil"/>
              <w:tr2bl w:val="nil"/>
            </w:tcBorders>
            <w:shd w:val="clear" w:color="auto" w:fill="auto"/>
            <w:noWrap/>
            <w:vAlign w:val="center"/>
          </w:tcPr>
          <w:p w14:paraId="73DDE2F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1"/>
                <w:szCs w:val="21"/>
                <w:u w:val="none"/>
                <w:lang w:val="en-US" w:eastAsia="zh-CN" w:bidi="ar"/>
              </w:rPr>
              <w:t>0.00E+00</w:t>
            </w:r>
          </w:p>
        </w:tc>
        <w:tc>
          <w:tcPr>
            <w:tcW w:w="1770" w:type="dxa"/>
            <w:tcBorders>
              <w:tl2br w:val="nil"/>
              <w:tr2bl w:val="nil"/>
            </w:tcBorders>
            <w:shd w:val="clear" w:color="auto" w:fill="auto"/>
            <w:noWrap/>
            <w:vAlign w:val="center"/>
          </w:tcPr>
          <w:p w14:paraId="5C11ADC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1"/>
                <w:szCs w:val="21"/>
                <w:u w:val="none"/>
                <w:lang w:val="en-US" w:eastAsia="zh-CN" w:bidi="ar"/>
              </w:rPr>
              <w:t>24010101</w:t>
            </w:r>
          </w:p>
        </w:tc>
        <w:tc>
          <w:tcPr>
            <w:tcW w:w="1140" w:type="dxa"/>
            <w:tcBorders>
              <w:tl2br w:val="nil"/>
              <w:tr2bl w:val="nil"/>
            </w:tcBorders>
            <w:shd w:val="clear" w:color="auto" w:fill="auto"/>
            <w:noWrap/>
            <w:vAlign w:val="center"/>
          </w:tcPr>
          <w:p w14:paraId="5BA05CC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1"/>
                <w:szCs w:val="21"/>
                <w:u w:val="none"/>
                <w:lang w:val="en-US" w:eastAsia="zh-CN" w:bidi="ar"/>
              </w:rPr>
              <w:t>4.40E-02</w:t>
            </w:r>
          </w:p>
        </w:tc>
        <w:tc>
          <w:tcPr>
            <w:tcW w:w="1605" w:type="dxa"/>
            <w:tcBorders>
              <w:tl2br w:val="nil"/>
              <w:tr2bl w:val="nil"/>
            </w:tcBorders>
            <w:shd w:val="clear" w:color="auto" w:fill="auto"/>
            <w:noWrap/>
            <w:vAlign w:val="center"/>
          </w:tcPr>
          <w:p w14:paraId="5809BEF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1"/>
                <w:szCs w:val="21"/>
                <w:u w:val="none"/>
                <w:lang w:val="en-US" w:eastAsia="zh-CN" w:bidi="ar"/>
              </w:rPr>
              <w:t>4.40E-02</w:t>
            </w:r>
          </w:p>
        </w:tc>
        <w:tc>
          <w:tcPr>
            <w:tcW w:w="1275" w:type="dxa"/>
            <w:tcBorders>
              <w:tl2br w:val="nil"/>
              <w:tr2bl w:val="nil"/>
            </w:tcBorders>
            <w:shd w:val="clear" w:color="auto" w:fill="auto"/>
            <w:noWrap/>
            <w:vAlign w:val="center"/>
          </w:tcPr>
          <w:p w14:paraId="4B3CE3B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1"/>
                <w:szCs w:val="21"/>
                <w:u w:val="none"/>
                <w:lang w:val="en-US" w:eastAsia="zh-CN" w:bidi="ar"/>
              </w:rPr>
              <w:t>2.50E-01</w:t>
            </w:r>
          </w:p>
        </w:tc>
        <w:tc>
          <w:tcPr>
            <w:tcW w:w="1485" w:type="dxa"/>
            <w:tcBorders>
              <w:tl2br w:val="nil"/>
              <w:tr2bl w:val="nil"/>
            </w:tcBorders>
            <w:shd w:val="clear" w:color="auto" w:fill="auto"/>
            <w:noWrap/>
            <w:vAlign w:val="center"/>
          </w:tcPr>
          <w:p w14:paraId="518B09A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1"/>
                <w:szCs w:val="21"/>
                <w:u w:val="none"/>
                <w:lang w:val="en-US" w:eastAsia="zh-CN" w:bidi="ar"/>
              </w:rPr>
              <w:t>17.6</w:t>
            </w:r>
          </w:p>
        </w:tc>
        <w:tc>
          <w:tcPr>
            <w:tcW w:w="912" w:type="dxa"/>
            <w:tcBorders>
              <w:tl2br w:val="nil"/>
              <w:tr2bl w:val="nil"/>
            </w:tcBorders>
            <w:shd w:val="clear" w:color="auto" w:fill="auto"/>
            <w:noWrap/>
            <w:vAlign w:val="center"/>
          </w:tcPr>
          <w:p w14:paraId="13794441">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1"/>
                <w:szCs w:val="21"/>
                <w:u w:val="none"/>
                <w:lang w:val="en-US" w:eastAsia="zh-CN" w:bidi="ar"/>
              </w:rPr>
              <w:t>达标</w:t>
            </w:r>
          </w:p>
        </w:tc>
      </w:tr>
      <w:tr w14:paraId="0CFA25F1">
        <w:tblPrEx>
          <w:tblBorders>
            <w:top w:val="thinThickSmallGap" w:color="auto" w:sz="12" w:space="0"/>
            <w:left w:val="none" w:color="auto" w:sz="0" w:space="0"/>
            <w:bottom w:val="thinThickSmallGap" w:color="auto" w:sz="12" w:space="0"/>
            <w:right w:val="none" w:color="auto" w:sz="0"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 w:hRule="atLeast"/>
          <w:jc w:val="center"/>
        </w:trPr>
        <w:tc>
          <w:tcPr>
            <w:tcW w:w="528" w:type="dxa"/>
            <w:vMerge w:val="continue"/>
            <w:tcBorders>
              <w:tl2br w:val="nil"/>
              <w:tr2bl w:val="nil"/>
            </w:tcBorders>
            <w:shd w:val="clear" w:color="auto" w:fill="auto"/>
            <w:noWrap/>
            <w:vAlign w:val="center"/>
          </w:tcPr>
          <w:p w14:paraId="0285D2C4">
            <w:pPr>
              <w:keepNext w:val="0"/>
              <w:keepLines w:val="0"/>
              <w:pageBreakBefore w:val="0"/>
              <w:widowControl/>
              <w:kinsoku/>
              <w:wordWrap/>
              <w:overflowPunct/>
              <w:topLinePunct w:val="0"/>
              <w:autoSpaceDE/>
              <w:autoSpaceDN/>
              <w:bidi w:val="0"/>
              <w:adjustRightInd w:val="0"/>
              <w:snapToGrid w:val="0"/>
              <w:spacing w:line="240" w:lineRule="auto"/>
              <w:ind w:firstLineChars="0"/>
              <w:jc w:val="center"/>
              <w:rPr>
                <w:rFonts w:hint="default" w:ascii="Times New Roman" w:hAnsi="Times New Roman" w:eastAsia="宋体" w:cs="Times New Roman"/>
                <w:i w:val="0"/>
                <w:iCs w:val="0"/>
                <w:color w:val="0000FF"/>
                <w:sz w:val="21"/>
                <w:szCs w:val="21"/>
                <w:u w:val="none"/>
              </w:rPr>
            </w:pPr>
          </w:p>
        </w:tc>
        <w:tc>
          <w:tcPr>
            <w:tcW w:w="990" w:type="dxa"/>
            <w:vMerge w:val="continue"/>
            <w:tcBorders>
              <w:tl2br w:val="nil"/>
              <w:tr2bl w:val="nil"/>
            </w:tcBorders>
            <w:shd w:val="clear" w:color="auto" w:fill="auto"/>
            <w:noWrap/>
            <w:vAlign w:val="center"/>
          </w:tcPr>
          <w:p w14:paraId="7BEE6B5F">
            <w:pPr>
              <w:keepNext w:val="0"/>
              <w:keepLines w:val="0"/>
              <w:pageBreakBefore w:val="0"/>
              <w:widowControl/>
              <w:kinsoku/>
              <w:wordWrap/>
              <w:overflowPunct/>
              <w:topLinePunct w:val="0"/>
              <w:autoSpaceDE/>
              <w:autoSpaceDN/>
              <w:bidi w:val="0"/>
              <w:adjustRightInd w:val="0"/>
              <w:snapToGrid w:val="0"/>
              <w:spacing w:line="240" w:lineRule="auto"/>
              <w:ind w:firstLineChars="0"/>
              <w:jc w:val="center"/>
              <w:rPr>
                <w:rFonts w:hint="default" w:ascii="Times New Roman" w:hAnsi="Times New Roman" w:eastAsia="宋体" w:cs="Times New Roman"/>
                <w:i w:val="0"/>
                <w:iCs w:val="0"/>
                <w:color w:val="0000FF"/>
                <w:sz w:val="21"/>
                <w:szCs w:val="21"/>
                <w:u w:val="none"/>
              </w:rPr>
            </w:pPr>
          </w:p>
        </w:tc>
        <w:tc>
          <w:tcPr>
            <w:tcW w:w="1275" w:type="dxa"/>
            <w:vMerge w:val="continue"/>
            <w:tcBorders>
              <w:tl2br w:val="nil"/>
              <w:tr2bl w:val="nil"/>
            </w:tcBorders>
            <w:shd w:val="clear" w:color="auto" w:fill="auto"/>
            <w:noWrap/>
            <w:vAlign w:val="center"/>
          </w:tcPr>
          <w:p w14:paraId="6B4299CC">
            <w:pPr>
              <w:keepNext w:val="0"/>
              <w:keepLines w:val="0"/>
              <w:pageBreakBefore w:val="0"/>
              <w:widowControl/>
              <w:kinsoku/>
              <w:wordWrap/>
              <w:overflowPunct/>
              <w:topLinePunct w:val="0"/>
              <w:autoSpaceDE/>
              <w:autoSpaceDN/>
              <w:bidi w:val="0"/>
              <w:adjustRightInd w:val="0"/>
              <w:snapToGrid w:val="0"/>
              <w:spacing w:line="240" w:lineRule="auto"/>
              <w:ind w:firstLineChars="0"/>
              <w:jc w:val="center"/>
              <w:rPr>
                <w:rFonts w:hint="default" w:ascii="Times New Roman" w:hAnsi="Times New Roman" w:eastAsia="宋体" w:cs="Times New Roman"/>
                <w:i w:val="0"/>
                <w:iCs w:val="0"/>
                <w:color w:val="0000FF"/>
                <w:sz w:val="21"/>
                <w:szCs w:val="21"/>
                <w:u w:val="none"/>
              </w:rPr>
            </w:pPr>
          </w:p>
        </w:tc>
        <w:tc>
          <w:tcPr>
            <w:tcW w:w="1875" w:type="dxa"/>
            <w:tcBorders>
              <w:tl2br w:val="nil"/>
              <w:tr2bl w:val="nil"/>
            </w:tcBorders>
            <w:shd w:val="clear" w:color="auto" w:fill="auto"/>
            <w:noWrap/>
            <w:vAlign w:val="center"/>
          </w:tcPr>
          <w:p w14:paraId="400C2220">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1"/>
                <w:szCs w:val="21"/>
                <w:u w:val="none"/>
                <w:lang w:val="en-US" w:eastAsia="zh-CN" w:bidi="ar"/>
              </w:rPr>
              <w:t>98%保证率日平均</w:t>
            </w:r>
          </w:p>
        </w:tc>
        <w:tc>
          <w:tcPr>
            <w:tcW w:w="1260" w:type="dxa"/>
            <w:tcBorders>
              <w:tl2br w:val="nil"/>
              <w:tr2bl w:val="nil"/>
            </w:tcBorders>
            <w:shd w:val="clear" w:color="auto" w:fill="auto"/>
            <w:noWrap/>
            <w:vAlign w:val="center"/>
          </w:tcPr>
          <w:p w14:paraId="1E45179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1"/>
                <w:szCs w:val="21"/>
                <w:u w:val="none"/>
                <w:lang w:val="en-US" w:eastAsia="zh-CN" w:bidi="ar"/>
              </w:rPr>
              <w:t>0.00E+00</w:t>
            </w:r>
          </w:p>
        </w:tc>
        <w:tc>
          <w:tcPr>
            <w:tcW w:w="1770" w:type="dxa"/>
            <w:tcBorders>
              <w:tl2br w:val="nil"/>
              <w:tr2bl w:val="nil"/>
            </w:tcBorders>
            <w:shd w:val="clear" w:color="auto" w:fill="auto"/>
            <w:noWrap/>
            <w:vAlign w:val="center"/>
          </w:tcPr>
          <w:p w14:paraId="75F1DBD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1"/>
                <w:szCs w:val="21"/>
                <w:u w:val="none"/>
                <w:lang w:val="en-US" w:eastAsia="zh-CN" w:bidi="ar"/>
              </w:rPr>
              <w:t>240310</w:t>
            </w:r>
          </w:p>
        </w:tc>
        <w:tc>
          <w:tcPr>
            <w:tcW w:w="1140" w:type="dxa"/>
            <w:tcBorders>
              <w:tl2br w:val="nil"/>
              <w:tr2bl w:val="nil"/>
            </w:tcBorders>
            <w:shd w:val="clear" w:color="auto" w:fill="auto"/>
            <w:noWrap/>
            <w:vAlign w:val="center"/>
          </w:tcPr>
          <w:p w14:paraId="31E47D1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1"/>
                <w:szCs w:val="21"/>
                <w:u w:val="none"/>
                <w:lang w:val="en-US" w:eastAsia="zh-CN" w:bidi="ar"/>
              </w:rPr>
              <w:t>4.40E-02</w:t>
            </w:r>
          </w:p>
        </w:tc>
        <w:tc>
          <w:tcPr>
            <w:tcW w:w="1605" w:type="dxa"/>
            <w:tcBorders>
              <w:tl2br w:val="nil"/>
              <w:tr2bl w:val="nil"/>
            </w:tcBorders>
            <w:shd w:val="clear" w:color="auto" w:fill="auto"/>
            <w:noWrap/>
            <w:vAlign w:val="center"/>
          </w:tcPr>
          <w:p w14:paraId="5B90B96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1"/>
                <w:szCs w:val="21"/>
                <w:u w:val="none"/>
                <w:lang w:val="en-US" w:eastAsia="zh-CN" w:bidi="ar"/>
              </w:rPr>
              <w:t>4.40E-02</w:t>
            </w:r>
          </w:p>
        </w:tc>
        <w:tc>
          <w:tcPr>
            <w:tcW w:w="1275" w:type="dxa"/>
            <w:tcBorders>
              <w:tl2br w:val="nil"/>
              <w:tr2bl w:val="nil"/>
            </w:tcBorders>
            <w:shd w:val="clear" w:color="auto" w:fill="auto"/>
            <w:noWrap/>
            <w:vAlign w:val="center"/>
          </w:tcPr>
          <w:p w14:paraId="57ABEAA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1"/>
                <w:szCs w:val="21"/>
                <w:u w:val="none"/>
                <w:lang w:val="en-US" w:eastAsia="zh-CN" w:bidi="ar"/>
              </w:rPr>
              <w:t>1.50E-01</w:t>
            </w:r>
          </w:p>
        </w:tc>
        <w:tc>
          <w:tcPr>
            <w:tcW w:w="1485" w:type="dxa"/>
            <w:tcBorders>
              <w:tl2br w:val="nil"/>
              <w:tr2bl w:val="nil"/>
            </w:tcBorders>
            <w:shd w:val="clear" w:color="auto" w:fill="auto"/>
            <w:noWrap/>
            <w:vAlign w:val="center"/>
          </w:tcPr>
          <w:p w14:paraId="317F3E0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1"/>
                <w:szCs w:val="21"/>
                <w:u w:val="none"/>
                <w:lang w:val="en-US" w:eastAsia="zh-CN" w:bidi="ar"/>
              </w:rPr>
              <w:t>44</w:t>
            </w:r>
          </w:p>
        </w:tc>
        <w:tc>
          <w:tcPr>
            <w:tcW w:w="912" w:type="dxa"/>
            <w:tcBorders>
              <w:tl2br w:val="nil"/>
              <w:tr2bl w:val="nil"/>
            </w:tcBorders>
            <w:shd w:val="clear" w:color="auto" w:fill="auto"/>
            <w:noWrap/>
            <w:vAlign w:val="center"/>
          </w:tcPr>
          <w:p w14:paraId="36E201A7">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1"/>
                <w:szCs w:val="21"/>
                <w:u w:val="none"/>
                <w:lang w:val="en-US" w:eastAsia="zh-CN" w:bidi="ar"/>
              </w:rPr>
              <w:t>达标</w:t>
            </w:r>
          </w:p>
        </w:tc>
      </w:tr>
      <w:tr w14:paraId="50356DF8">
        <w:tblPrEx>
          <w:tblBorders>
            <w:top w:val="thinThickSmallGap" w:color="auto" w:sz="12" w:space="0"/>
            <w:left w:val="none" w:color="auto" w:sz="0" w:space="0"/>
            <w:bottom w:val="thinThickSmallGap" w:color="auto" w:sz="12" w:space="0"/>
            <w:right w:val="none" w:color="auto" w:sz="0"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 w:hRule="atLeast"/>
          <w:jc w:val="center"/>
        </w:trPr>
        <w:tc>
          <w:tcPr>
            <w:tcW w:w="528" w:type="dxa"/>
            <w:vMerge w:val="continue"/>
            <w:tcBorders>
              <w:tl2br w:val="nil"/>
              <w:tr2bl w:val="nil"/>
            </w:tcBorders>
            <w:shd w:val="clear" w:color="auto" w:fill="auto"/>
            <w:noWrap/>
            <w:vAlign w:val="center"/>
          </w:tcPr>
          <w:p w14:paraId="21F5CF9B">
            <w:pPr>
              <w:keepNext w:val="0"/>
              <w:keepLines w:val="0"/>
              <w:pageBreakBefore w:val="0"/>
              <w:widowControl/>
              <w:kinsoku/>
              <w:wordWrap/>
              <w:overflowPunct/>
              <w:topLinePunct w:val="0"/>
              <w:autoSpaceDE/>
              <w:autoSpaceDN/>
              <w:bidi w:val="0"/>
              <w:adjustRightInd w:val="0"/>
              <w:snapToGrid w:val="0"/>
              <w:spacing w:line="240" w:lineRule="auto"/>
              <w:ind w:firstLineChars="0"/>
              <w:jc w:val="center"/>
              <w:rPr>
                <w:rFonts w:hint="default" w:ascii="Times New Roman" w:hAnsi="Times New Roman" w:eastAsia="宋体" w:cs="Times New Roman"/>
                <w:i w:val="0"/>
                <w:iCs w:val="0"/>
                <w:color w:val="0000FF"/>
                <w:sz w:val="21"/>
                <w:szCs w:val="21"/>
                <w:u w:val="none"/>
              </w:rPr>
            </w:pPr>
          </w:p>
        </w:tc>
        <w:tc>
          <w:tcPr>
            <w:tcW w:w="990" w:type="dxa"/>
            <w:vMerge w:val="continue"/>
            <w:tcBorders>
              <w:tl2br w:val="nil"/>
              <w:tr2bl w:val="nil"/>
            </w:tcBorders>
            <w:shd w:val="clear" w:color="auto" w:fill="auto"/>
            <w:noWrap/>
            <w:vAlign w:val="center"/>
          </w:tcPr>
          <w:p w14:paraId="7F05B64F">
            <w:pPr>
              <w:keepNext w:val="0"/>
              <w:keepLines w:val="0"/>
              <w:pageBreakBefore w:val="0"/>
              <w:widowControl/>
              <w:kinsoku/>
              <w:wordWrap/>
              <w:overflowPunct/>
              <w:topLinePunct w:val="0"/>
              <w:autoSpaceDE/>
              <w:autoSpaceDN/>
              <w:bidi w:val="0"/>
              <w:adjustRightInd w:val="0"/>
              <w:snapToGrid w:val="0"/>
              <w:spacing w:line="240" w:lineRule="auto"/>
              <w:ind w:firstLineChars="0"/>
              <w:jc w:val="center"/>
              <w:rPr>
                <w:rFonts w:hint="default" w:ascii="Times New Roman" w:hAnsi="Times New Roman" w:eastAsia="宋体" w:cs="Times New Roman"/>
                <w:i w:val="0"/>
                <w:iCs w:val="0"/>
                <w:color w:val="0000FF"/>
                <w:sz w:val="21"/>
                <w:szCs w:val="21"/>
                <w:u w:val="none"/>
              </w:rPr>
            </w:pPr>
          </w:p>
        </w:tc>
        <w:tc>
          <w:tcPr>
            <w:tcW w:w="1275" w:type="dxa"/>
            <w:vMerge w:val="continue"/>
            <w:tcBorders>
              <w:tl2br w:val="nil"/>
              <w:tr2bl w:val="nil"/>
            </w:tcBorders>
            <w:shd w:val="clear" w:color="auto" w:fill="auto"/>
            <w:noWrap/>
            <w:vAlign w:val="center"/>
          </w:tcPr>
          <w:p w14:paraId="7826CCB9">
            <w:pPr>
              <w:keepNext w:val="0"/>
              <w:keepLines w:val="0"/>
              <w:pageBreakBefore w:val="0"/>
              <w:widowControl/>
              <w:kinsoku/>
              <w:wordWrap/>
              <w:overflowPunct/>
              <w:topLinePunct w:val="0"/>
              <w:autoSpaceDE/>
              <w:autoSpaceDN/>
              <w:bidi w:val="0"/>
              <w:adjustRightInd w:val="0"/>
              <w:snapToGrid w:val="0"/>
              <w:spacing w:line="240" w:lineRule="auto"/>
              <w:ind w:firstLineChars="0"/>
              <w:jc w:val="center"/>
              <w:rPr>
                <w:rFonts w:hint="default" w:ascii="Times New Roman" w:hAnsi="Times New Roman" w:eastAsia="宋体" w:cs="Times New Roman"/>
                <w:i w:val="0"/>
                <w:iCs w:val="0"/>
                <w:color w:val="0000FF"/>
                <w:sz w:val="21"/>
                <w:szCs w:val="21"/>
                <w:u w:val="none"/>
              </w:rPr>
            </w:pPr>
          </w:p>
        </w:tc>
        <w:tc>
          <w:tcPr>
            <w:tcW w:w="1875" w:type="dxa"/>
            <w:tcBorders>
              <w:tl2br w:val="nil"/>
              <w:tr2bl w:val="nil"/>
            </w:tcBorders>
            <w:shd w:val="clear" w:color="auto" w:fill="auto"/>
            <w:noWrap/>
            <w:vAlign w:val="center"/>
          </w:tcPr>
          <w:p w14:paraId="22B8905B">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1"/>
                <w:szCs w:val="21"/>
                <w:u w:val="none"/>
                <w:lang w:val="en-US" w:eastAsia="zh-CN" w:bidi="ar"/>
              </w:rPr>
              <w:t>全时段</w:t>
            </w:r>
          </w:p>
        </w:tc>
        <w:tc>
          <w:tcPr>
            <w:tcW w:w="1260" w:type="dxa"/>
            <w:tcBorders>
              <w:tl2br w:val="nil"/>
              <w:tr2bl w:val="nil"/>
            </w:tcBorders>
            <w:shd w:val="clear" w:color="auto" w:fill="auto"/>
            <w:noWrap/>
            <w:vAlign w:val="center"/>
          </w:tcPr>
          <w:p w14:paraId="38B50EE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1"/>
                <w:szCs w:val="21"/>
                <w:u w:val="none"/>
                <w:lang w:val="en-US" w:eastAsia="zh-CN" w:bidi="ar"/>
              </w:rPr>
              <w:t>-4.04E-05</w:t>
            </w:r>
          </w:p>
        </w:tc>
        <w:tc>
          <w:tcPr>
            <w:tcW w:w="1770" w:type="dxa"/>
            <w:tcBorders>
              <w:tl2br w:val="nil"/>
              <w:tr2bl w:val="nil"/>
            </w:tcBorders>
            <w:shd w:val="clear" w:color="auto" w:fill="auto"/>
            <w:noWrap/>
            <w:vAlign w:val="center"/>
          </w:tcPr>
          <w:p w14:paraId="6737AB2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1"/>
                <w:szCs w:val="21"/>
                <w:u w:val="none"/>
                <w:lang w:val="en-US" w:eastAsia="zh-CN" w:bidi="ar"/>
              </w:rPr>
              <w:t>平均值</w:t>
            </w:r>
          </w:p>
        </w:tc>
        <w:tc>
          <w:tcPr>
            <w:tcW w:w="1140" w:type="dxa"/>
            <w:tcBorders>
              <w:tl2br w:val="nil"/>
              <w:tr2bl w:val="nil"/>
            </w:tcBorders>
            <w:shd w:val="clear" w:color="auto" w:fill="auto"/>
            <w:noWrap/>
            <w:vAlign w:val="center"/>
          </w:tcPr>
          <w:p w14:paraId="6021EFD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1"/>
                <w:szCs w:val="21"/>
                <w:u w:val="none"/>
                <w:lang w:val="en-US" w:eastAsia="zh-CN" w:bidi="ar"/>
              </w:rPr>
              <w:t>4.01E-02</w:t>
            </w:r>
          </w:p>
        </w:tc>
        <w:tc>
          <w:tcPr>
            <w:tcW w:w="1605" w:type="dxa"/>
            <w:tcBorders>
              <w:tl2br w:val="nil"/>
              <w:tr2bl w:val="nil"/>
            </w:tcBorders>
            <w:shd w:val="clear" w:color="auto" w:fill="auto"/>
            <w:noWrap/>
            <w:vAlign w:val="center"/>
          </w:tcPr>
          <w:p w14:paraId="76FE2E9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1"/>
                <w:szCs w:val="21"/>
                <w:u w:val="none"/>
                <w:lang w:val="en-US" w:eastAsia="zh-CN" w:bidi="ar"/>
              </w:rPr>
              <w:t>4.00E-02</w:t>
            </w:r>
          </w:p>
        </w:tc>
        <w:tc>
          <w:tcPr>
            <w:tcW w:w="1275" w:type="dxa"/>
            <w:tcBorders>
              <w:tl2br w:val="nil"/>
              <w:tr2bl w:val="nil"/>
            </w:tcBorders>
            <w:shd w:val="clear" w:color="auto" w:fill="auto"/>
            <w:noWrap/>
            <w:vAlign w:val="center"/>
          </w:tcPr>
          <w:p w14:paraId="4BC1A0A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1"/>
                <w:szCs w:val="21"/>
                <w:u w:val="none"/>
                <w:lang w:val="en-US" w:eastAsia="zh-CN" w:bidi="ar"/>
              </w:rPr>
              <w:t>5.00E-02</w:t>
            </w:r>
          </w:p>
        </w:tc>
        <w:tc>
          <w:tcPr>
            <w:tcW w:w="1485" w:type="dxa"/>
            <w:tcBorders>
              <w:tl2br w:val="nil"/>
              <w:tr2bl w:val="nil"/>
            </w:tcBorders>
            <w:shd w:val="clear" w:color="auto" w:fill="auto"/>
            <w:noWrap/>
            <w:vAlign w:val="center"/>
          </w:tcPr>
          <w:p w14:paraId="2130AF9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1"/>
                <w:szCs w:val="21"/>
                <w:u w:val="none"/>
                <w:lang w:val="en-US" w:eastAsia="zh-CN" w:bidi="ar"/>
              </w:rPr>
              <w:t>80.06</w:t>
            </w:r>
          </w:p>
        </w:tc>
        <w:tc>
          <w:tcPr>
            <w:tcW w:w="912" w:type="dxa"/>
            <w:tcBorders>
              <w:tl2br w:val="nil"/>
              <w:tr2bl w:val="nil"/>
            </w:tcBorders>
            <w:shd w:val="clear" w:color="auto" w:fill="auto"/>
            <w:noWrap/>
            <w:vAlign w:val="center"/>
          </w:tcPr>
          <w:p w14:paraId="61177B64">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1"/>
                <w:szCs w:val="21"/>
                <w:u w:val="none"/>
                <w:lang w:val="en-US" w:eastAsia="zh-CN" w:bidi="ar"/>
              </w:rPr>
              <w:t>达标</w:t>
            </w:r>
          </w:p>
        </w:tc>
      </w:tr>
      <w:tr w14:paraId="6058DCC2">
        <w:tblPrEx>
          <w:tblBorders>
            <w:top w:val="thinThickSmallGap" w:color="auto" w:sz="12" w:space="0"/>
            <w:left w:val="none" w:color="auto" w:sz="0" w:space="0"/>
            <w:bottom w:val="thinThickSmallGap" w:color="auto" w:sz="12" w:space="0"/>
            <w:right w:val="none" w:color="auto" w:sz="0"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 w:hRule="atLeast"/>
          <w:jc w:val="center"/>
        </w:trPr>
        <w:tc>
          <w:tcPr>
            <w:tcW w:w="528" w:type="dxa"/>
            <w:vMerge w:val="restart"/>
            <w:tcBorders>
              <w:tl2br w:val="nil"/>
              <w:tr2bl w:val="nil"/>
            </w:tcBorders>
            <w:shd w:val="clear" w:color="auto" w:fill="auto"/>
            <w:noWrap/>
            <w:vAlign w:val="center"/>
          </w:tcPr>
          <w:p w14:paraId="5F774450">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1"/>
                <w:szCs w:val="21"/>
                <w:u w:val="none"/>
                <w:lang w:val="en-US" w:eastAsia="zh-CN" w:bidi="ar"/>
              </w:rPr>
              <w:t>4</w:t>
            </w:r>
          </w:p>
        </w:tc>
        <w:tc>
          <w:tcPr>
            <w:tcW w:w="990" w:type="dxa"/>
            <w:vMerge w:val="restart"/>
            <w:tcBorders>
              <w:tl2br w:val="nil"/>
              <w:tr2bl w:val="nil"/>
            </w:tcBorders>
            <w:shd w:val="clear" w:color="auto" w:fill="auto"/>
            <w:noWrap/>
            <w:vAlign w:val="center"/>
          </w:tcPr>
          <w:p w14:paraId="57AEE63F">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1"/>
                <w:szCs w:val="21"/>
                <w:u w:val="none"/>
                <w:lang w:val="en-US" w:eastAsia="zh-CN" w:bidi="ar"/>
              </w:rPr>
              <w:t>三道沟</w:t>
            </w:r>
          </w:p>
        </w:tc>
        <w:tc>
          <w:tcPr>
            <w:tcW w:w="1275" w:type="dxa"/>
            <w:vMerge w:val="restart"/>
            <w:tcBorders>
              <w:tl2br w:val="nil"/>
              <w:tr2bl w:val="nil"/>
            </w:tcBorders>
            <w:shd w:val="clear" w:color="auto" w:fill="auto"/>
            <w:noWrap/>
            <w:vAlign w:val="center"/>
          </w:tcPr>
          <w:p w14:paraId="51156E95">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1"/>
                <w:szCs w:val="21"/>
                <w:u w:val="none"/>
                <w:lang w:val="en-US" w:eastAsia="zh-CN" w:bidi="ar"/>
              </w:rPr>
              <w:t>910,-1326</w:t>
            </w:r>
          </w:p>
        </w:tc>
        <w:tc>
          <w:tcPr>
            <w:tcW w:w="1875" w:type="dxa"/>
            <w:tcBorders>
              <w:tl2br w:val="nil"/>
              <w:tr2bl w:val="nil"/>
            </w:tcBorders>
            <w:shd w:val="clear" w:color="auto" w:fill="auto"/>
            <w:noWrap/>
            <w:vAlign w:val="center"/>
          </w:tcPr>
          <w:p w14:paraId="1E8BB511">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1"/>
                <w:szCs w:val="21"/>
                <w:u w:val="none"/>
                <w:lang w:val="en-US" w:eastAsia="zh-CN" w:bidi="ar"/>
              </w:rPr>
              <w:t>1小时</w:t>
            </w:r>
          </w:p>
        </w:tc>
        <w:tc>
          <w:tcPr>
            <w:tcW w:w="1260" w:type="dxa"/>
            <w:tcBorders>
              <w:tl2br w:val="nil"/>
              <w:tr2bl w:val="nil"/>
            </w:tcBorders>
            <w:shd w:val="clear" w:color="auto" w:fill="auto"/>
            <w:noWrap/>
            <w:vAlign w:val="center"/>
          </w:tcPr>
          <w:p w14:paraId="02902D5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1"/>
                <w:szCs w:val="21"/>
                <w:u w:val="none"/>
                <w:lang w:val="en-US" w:eastAsia="zh-CN" w:bidi="ar"/>
              </w:rPr>
              <w:t>0.00E+00</w:t>
            </w:r>
          </w:p>
        </w:tc>
        <w:tc>
          <w:tcPr>
            <w:tcW w:w="1770" w:type="dxa"/>
            <w:tcBorders>
              <w:tl2br w:val="nil"/>
              <w:tr2bl w:val="nil"/>
            </w:tcBorders>
            <w:shd w:val="clear" w:color="auto" w:fill="auto"/>
            <w:noWrap/>
            <w:vAlign w:val="center"/>
          </w:tcPr>
          <w:p w14:paraId="3CAA78D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1"/>
                <w:szCs w:val="21"/>
                <w:u w:val="none"/>
                <w:lang w:val="en-US" w:eastAsia="zh-CN" w:bidi="ar"/>
              </w:rPr>
              <w:t>24010101</w:t>
            </w:r>
          </w:p>
        </w:tc>
        <w:tc>
          <w:tcPr>
            <w:tcW w:w="1140" w:type="dxa"/>
            <w:tcBorders>
              <w:tl2br w:val="nil"/>
              <w:tr2bl w:val="nil"/>
            </w:tcBorders>
            <w:shd w:val="clear" w:color="auto" w:fill="auto"/>
            <w:noWrap/>
            <w:vAlign w:val="center"/>
          </w:tcPr>
          <w:p w14:paraId="205A8A4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1"/>
                <w:szCs w:val="21"/>
                <w:u w:val="none"/>
                <w:lang w:val="en-US" w:eastAsia="zh-CN" w:bidi="ar"/>
              </w:rPr>
              <w:t>4.40E-02</w:t>
            </w:r>
          </w:p>
        </w:tc>
        <w:tc>
          <w:tcPr>
            <w:tcW w:w="1605" w:type="dxa"/>
            <w:tcBorders>
              <w:tl2br w:val="nil"/>
              <w:tr2bl w:val="nil"/>
            </w:tcBorders>
            <w:shd w:val="clear" w:color="auto" w:fill="auto"/>
            <w:noWrap/>
            <w:vAlign w:val="center"/>
          </w:tcPr>
          <w:p w14:paraId="2D7A1CB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1"/>
                <w:szCs w:val="21"/>
                <w:u w:val="none"/>
                <w:lang w:val="en-US" w:eastAsia="zh-CN" w:bidi="ar"/>
              </w:rPr>
              <w:t>4.40E-02</w:t>
            </w:r>
          </w:p>
        </w:tc>
        <w:tc>
          <w:tcPr>
            <w:tcW w:w="1275" w:type="dxa"/>
            <w:tcBorders>
              <w:tl2br w:val="nil"/>
              <w:tr2bl w:val="nil"/>
            </w:tcBorders>
            <w:shd w:val="clear" w:color="auto" w:fill="auto"/>
            <w:noWrap/>
            <w:vAlign w:val="center"/>
          </w:tcPr>
          <w:p w14:paraId="70F750D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1"/>
                <w:szCs w:val="21"/>
                <w:u w:val="none"/>
                <w:lang w:val="en-US" w:eastAsia="zh-CN" w:bidi="ar"/>
              </w:rPr>
              <w:t>2.50E-01</w:t>
            </w:r>
          </w:p>
        </w:tc>
        <w:tc>
          <w:tcPr>
            <w:tcW w:w="1485" w:type="dxa"/>
            <w:tcBorders>
              <w:tl2br w:val="nil"/>
              <w:tr2bl w:val="nil"/>
            </w:tcBorders>
            <w:shd w:val="clear" w:color="auto" w:fill="auto"/>
            <w:noWrap/>
            <w:vAlign w:val="center"/>
          </w:tcPr>
          <w:p w14:paraId="238AAB7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1"/>
                <w:szCs w:val="21"/>
                <w:u w:val="none"/>
                <w:lang w:val="en-US" w:eastAsia="zh-CN" w:bidi="ar"/>
              </w:rPr>
              <w:t>17.6</w:t>
            </w:r>
          </w:p>
        </w:tc>
        <w:tc>
          <w:tcPr>
            <w:tcW w:w="912" w:type="dxa"/>
            <w:tcBorders>
              <w:tl2br w:val="nil"/>
              <w:tr2bl w:val="nil"/>
            </w:tcBorders>
            <w:shd w:val="clear" w:color="auto" w:fill="auto"/>
            <w:noWrap/>
            <w:vAlign w:val="center"/>
          </w:tcPr>
          <w:p w14:paraId="524A8E24">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1"/>
                <w:szCs w:val="21"/>
                <w:u w:val="none"/>
                <w:lang w:val="en-US" w:eastAsia="zh-CN" w:bidi="ar"/>
              </w:rPr>
              <w:t>达标</w:t>
            </w:r>
          </w:p>
        </w:tc>
      </w:tr>
      <w:tr w14:paraId="58E34DEF">
        <w:tblPrEx>
          <w:tblBorders>
            <w:top w:val="thinThickSmallGap" w:color="auto" w:sz="12" w:space="0"/>
            <w:left w:val="none" w:color="auto" w:sz="0" w:space="0"/>
            <w:bottom w:val="thinThickSmallGap" w:color="auto" w:sz="12" w:space="0"/>
            <w:right w:val="none" w:color="auto" w:sz="0"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 w:hRule="atLeast"/>
          <w:jc w:val="center"/>
        </w:trPr>
        <w:tc>
          <w:tcPr>
            <w:tcW w:w="528" w:type="dxa"/>
            <w:vMerge w:val="continue"/>
            <w:tcBorders>
              <w:tl2br w:val="nil"/>
              <w:tr2bl w:val="nil"/>
            </w:tcBorders>
            <w:shd w:val="clear" w:color="auto" w:fill="auto"/>
            <w:noWrap/>
            <w:vAlign w:val="center"/>
          </w:tcPr>
          <w:p w14:paraId="7E1DD2C1">
            <w:pPr>
              <w:keepNext w:val="0"/>
              <w:keepLines w:val="0"/>
              <w:pageBreakBefore w:val="0"/>
              <w:widowControl/>
              <w:kinsoku/>
              <w:wordWrap/>
              <w:overflowPunct/>
              <w:topLinePunct w:val="0"/>
              <w:autoSpaceDE/>
              <w:autoSpaceDN/>
              <w:bidi w:val="0"/>
              <w:adjustRightInd w:val="0"/>
              <w:snapToGrid w:val="0"/>
              <w:spacing w:line="240" w:lineRule="auto"/>
              <w:ind w:firstLineChars="0"/>
              <w:jc w:val="center"/>
              <w:rPr>
                <w:rFonts w:hint="default" w:ascii="Times New Roman" w:hAnsi="Times New Roman" w:eastAsia="宋体" w:cs="Times New Roman"/>
                <w:i w:val="0"/>
                <w:iCs w:val="0"/>
                <w:color w:val="0000FF"/>
                <w:sz w:val="21"/>
                <w:szCs w:val="21"/>
                <w:u w:val="none"/>
              </w:rPr>
            </w:pPr>
          </w:p>
        </w:tc>
        <w:tc>
          <w:tcPr>
            <w:tcW w:w="990" w:type="dxa"/>
            <w:vMerge w:val="continue"/>
            <w:tcBorders>
              <w:tl2br w:val="nil"/>
              <w:tr2bl w:val="nil"/>
            </w:tcBorders>
            <w:shd w:val="clear" w:color="auto" w:fill="auto"/>
            <w:noWrap/>
            <w:vAlign w:val="center"/>
          </w:tcPr>
          <w:p w14:paraId="5146BB2C">
            <w:pPr>
              <w:keepNext w:val="0"/>
              <w:keepLines w:val="0"/>
              <w:pageBreakBefore w:val="0"/>
              <w:widowControl/>
              <w:kinsoku/>
              <w:wordWrap/>
              <w:overflowPunct/>
              <w:topLinePunct w:val="0"/>
              <w:autoSpaceDE/>
              <w:autoSpaceDN/>
              <w:bidi w:val="0"/>
              <w:adjustRightInd w:val="0"/>
              <w:snapToGrid w:val="0"/>
              <w:spacing w:line="240" w:lineRule="auto"/>
              <w:ind w:firstLineChars="0"/>
              <w:jc w:val="center"/>
              <w:rPr>
                <w:rFonts w:hint="default" w:ascii="Times New Roman" w:hAnsi="Times New Roman" w:eastAsia="宋体" w:cs="Times New Roman"/>
                <w:i w:val="0"/>
                <w:iCs w:val="0"/>
                <w:color w:val="0000FF"/>
                <w:sz w:val="21"/>
                <w:szCs w:val="21"/>
                <w:u w:val="none"/>
              </w:rPr>
            </w:pPr>
          </w:p>
        </w:tc>
        <w:tc>
          <w:tcPr>
            <w:tcW w:w="1275" w:type="dxa"/>
            <w:vMerge w:val="continue"/>
            <w:tcBorders>
              <w:tl2br w:val="nil"/>
              <w:tr2bl w:val="nil"/>
            </w:tcBorders>
            <w:shd w:val="clear" w:color="auto" w:fill="auto"/>
            <w:noWrap/>
            <w:vAlign w:val="center"/>
          </w:tcPr>
          <w:p w14:paraId="645C9B07">
            <w:pPr>
              <w:keepNext w:val="0"/>
              <w:keepLines w:val="0"/>
              <w:pageBreakBefore w:val="0"/>
              <w:widowControl/>
              <w:kinsoku/>
              <w:wordWrap/>
              <w:overflowPunct/>
              <w:topLinePunct w:val="0"/>
              <w:autoSpaceDE/>
              <w:autoSpaceDN/>
              <w:bidi w:val="0"/>
              <w:adjustRightInd w:val="0"/>
              <w:snapToGrid w:val="0"/>
              <w:spacing w:line="240" w:lineRule="auto"/>
              <w:ind w:firstLineChars="0"/>
              <w:jc w:val="center"/>
              <w:rPr>
                <w:rFonts w:hint="default" w:ascii="Times New Roman" w:hAnsi="Times New Roman" w:eastAsia="宋体" w:cs="Times New Roman"/>
                <w:i w:val="0"/>
                <w:iCs w:val="0"/>
                <w:color w:val="0000FF"/>
                <w:sz w:val="21"/>
                <w:szCs w:val="21"/>
                <w:u w:val="none"/>
              </w:rPr>
            </w:pPr>
          </w:p>
        </w:tc>
        <w:tc>
          <w:tcPr>
            <w:tcW w:w="1875" w:type="dxa"/>
            <w:tcBorders>
              <w:tl2br w:val="nil"/>
              <w:tr2bl w:val="nil"/>
            </w:tcBorders>
            <w:shd w:val="clear" w:color="auto" w:fill="auto"/>
            <w:noWrap/>
            <w:vAlign w:val="center"/>
          </w:tcPr>
          <w:p w14:paraId="16251DD9">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1"/>
                <w:szCs w:val="21"/>
                <w:u w:val="none"/>
                <w:lang w:val="en-US" w:eastAsia="zh-CN" w:bidi="ar"/>
              </w:rPr>
              <w:t>98%保证率日平均</w:t>
            </w:r>
          </w:p>
        </w:tc>
        <w:tc>
          <w:tcPr>
            <w:tcW w:w="1260" w:type="dxa"/>
            <w:tcBorders>
              <w:tl2br w:val="nil"/>
              <w:tr2bl w:val="nil"/>
            </w:tcBorders>
            <w:shd w:val="clear" w:color="auto" w:fill="auto"/>
            <w:noWrap/>
            <w:vAlign w:val="center"/>
          </w:tcPr>
          <w:p w14:paraId="2444D69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1"/>
                <w:szCs w:val="21"/>
                <w:u w:val="none"/>
                <w:lang w:val="en-US" w:eastAsia="zh-CN" w:bidi="ar"/>
              </w:rPr>
              <w:t>0.00E+00</w:t>
            </w:r>
          </w:p>
        </w:tc>
        <w:tc>
          <w:tcPr>
            <w:tcW w:w="1770" w:type="dxa"/>
            <w:tcBorders>
              <w:tl2br w:val="nil"/>
              <w:tr2bl w:val="nil"/>
            </w:tcBorders>
            <w:shd w:val="clear" w:color="auto" w:fill="auto"/>
            <w:noWrap/>
            <w:vAlign w:val="center"/>
          </w:tcPr>
          <w:p w14:paraId="42C0ABB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1"/>
                <w:szCs w:val="21"/>
                <w:u w:val="none"/>
                <w:lang w:val="en-US" w:eastAsia="zh-CN" w:bidi="ar"/>
              </w:rPr>
              <w:t>240517</w:t>
            </w:r>
          </w:p>
        </w:tc>
        <w:tc>
          <w:tcPr>
            <w:tcW w:w="1140" w:type="dxa"/>
            <w:tcBorders>
              <w:tl2br w:val="nil"/>
              <w:tr2bl w:val="nil"/>
            </w:tcBorders>
            <w:shd w:val="clear" w:color="auto" w:fill="auto"/>
            <w:noWrap/>
            <w:vAlign w:val="center"/>
          </w:tcPr>
          <w:p w14:paraId="67D5132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1"/>
                <w:szCs w:val="21"/>
                <w:u w:val="none"/>
                <w:lang w:val="en-US" w:eastAsia="zh-CN" w:bidi="ar"/>
              </w:rPr>
              <w:t>4.40E-02</w:t>
            </w:r>
          </w:p>
        </w:tc>
        <w:tc>
          <w:tcPr>
            <w:tcW w:w="1605" w:type="dxa"/>
            <w:tcBorders>
              <w:tl2br w:val="nil"/>
              <w:tr2bl w:val="nil"/>
            </w:tcBorders>
            <w:shd w:val="clear" w:color="auto" w:fill="auto"/>
            <w:noWrap/>
            <w:vAlign w:val="center"/>
          </w:tcPr>
          <w:p w14:paraId="77C3ECF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1"/>
                <w:szCs w:val="21"/>
                <w:u w:val="none"/>
                <w:lang w:val="en-US" w:eastAsia="zh-CN" w:bidi="ar"/>
              </w:rPr>
              <w:t>4.40E-02</w:t>
            </w:r>
          </w:p>
        </w:tc>
        <w:tc>
          <w:tcPr>
            <w:tcW w:w="1275" w:type="dxa"/>
            <w:tcBorders>
              <w:tl2br w:val="nil"/>
              <w:tr2bl w:val="nil"/>
            </w:tcBorders>
            <w:shd w:val="clear" w:color="auto" w:fill="auto"/>
            <w:noWrap/>
            <w:vAlign w:val="center"/>
          </w:tcPr>
          <w:p w14:paraId="28EED33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1"/>
                <w:szCs w:val="21"/>
                <w:u w:val="none"/>
                <w:lang w:val="en-US" w:eastAsia="zh-CN" w:bidi="ar"/>
              </w:rPr>
              <w:t>1.50E-01</w:t>
            </w:r>
          </w:p>
        </w:tc>
        <w:tc>
          <w:tcPr>
            <w:tcW w:w="1485" w:type="dxa"/>
            <w:tcBorders>
              <w:tl2br w:val="nil"/>
              <w:tr2bl w:val="nil"/>
            </w:tcBorders>
            <w:shd w:val="clear" w:color="auto" w:fill="auto"/>
            <w:noWrap/>
            <w:vAlign w:val="center"/>
          </w:tcPr>
          <w:p w14:paraId="739BB15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1"/>
                <w:szCs w:val="21"/>
                <w:u w:val="none"/>
                <w:lang w:val="en-US" w:eastAsia="zh-CN" w:bidi="ar"/>
              </w:rPr>
              <w:t>44</w:t>
            </w:r>
          </w:p>
        </w:tc>
        <w:tc>
          <w:tcPr>
            <w:tcW w:w="912" w:type="dxa"/>
            <w:tcBorders>
              <w:tl2br w:val="nil"/>
              <w:tr2bl w:val="nil"/>
            </w:tcBorders>
            <w:shd w:val="clear" w:color="auto" w:fill="auto"/>
            <w:noWrap/>
            <w:vAlign w:val="center"/>
          </w:tcPr>
          <w:p w14:paraId="1F57731B">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1"/>
                <w:szCs w:val="21"/>
                <w:u w:val="none"/>
                <w:lang w:val="en-US" w:eastAsia="zh-CN" w:bidi="ar"/>
              </w:rPr>
              <w:t>达标</w:t>
            </w:r>
          </w:p>
        </w:tc>
      </w:tr>
      <w:tr w14:paraId="11614AE9">
        <w:tblPrEx>
          <w:tblBorders>
            <w:top w:val="thinThickSmallGap" w:color="auto" w:sz="12" w:space="0"/>
            <w:left w:val="none" w:color="auto" w:sz="0" w:space="0"/>
            <w:bottom w:val="thinThick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528" w:type="dxa"/>
            <w:vMerge w:val="continue"/>
            <w:tcBorders>
              <w:tl2br w:val="nil"/>
              <w:tr2bl w:val="nil"/>
            </w:tcBorders>
            <w:shd w:val="clear" w:color="auto" w:fill="auto"/>
            <w:noWrap/>
            <w:vAlign w:val="center"/>
          </w:tcPr>
          <w:p w14:paraId="2F1CE202">
            <w:pPr>
              <w:keepNext w:val="0"/>
              <w:keepLines w:val="0"/>
              <w:pageBreakBefore w:val="0"/>
              <w:widowControl/>
              <w:kinsoku/>
              <w:wordWrap/>
              <w:overflowPunct/>
              <w:topLinePunct w:val="0"/>
              <w:autoSpaceDE/>
              <w:autoSpaceDN/>
              <w:bidi w:val="0"/>
              <w:adjustRightInd w:val="0"/>
              <w:snapToGrid w:val="0"/>
              <w:spacing w:line="240" w:lineRule="auto"/>
              <w:ind w:firstLineChars="0"/>
              <w:jc w:val="center"/>
              <w:rPr>
                <w:rFonts w:hint="default" w:ascii="Times New Roman" w:hAnsi="Times New Roman" w:eastAsia="宋体" w:cs="Times New Roman"/>
                <w:i w:val="0"/>
                <w:iCs w:val="0"/>
                <w:color w:val="0000FF"/>
                <w:sz w:val="21"/>
                <w:szCs w:val="21"/>
                <w:u w:val="none"/>
              </w:rPr>
            </w:pPr>
          </w:p>
        </w:tc>
        <w:tc>
          <w:tcPr>
            <w:tcW w:w="990" w:type="dxa"/>
            <w:vMerge w:val="continue"/>
            <w:tcBorders>
              <w:tl2br w:val="nil"/>
              <w:tr2bl w:val="nil"/>
            </w:tcBorders>
            <w:shd w:val="clear" w:color="auto" w:fill="auto"/>
            <w:noWrap/>
            <w:vAlign w:val="center"/>
          </w:tcPr>
          <w:p w14:paraId="1ED43BC2">
            <w:pPr>
              <w:keepNext w:val="0"/>
              <w:keepLines w:val="0"/>
              <w:pageBreakBefore w:val="0"/>
              <w:widowControl/>
              <w:kinsoku/>
              <w:wordWrap/>
              <w:overflowPunct/>
              <w:topLinePunct w:val="0"/>
              <w:autoSpaceDE/>
              <w:autoSpaceDN/>
              <w:bidi w:val="0"/>
              <w:adjustRightInd w:val="0"/>
              <w:snapToGrid w:val="0"/>
              <w:spacing w:line="240" w:lineRule="auto"/>
              <w:ind w:firstLineChars="0"/>
              <w:jc w:val="center"/>
              <w:rPr>
                <w:rFonts w:hint="default" w:ascii="Times New Roman" w:hAnsi="Times New Roman" w:eastAsia="宋体" w:cs="Times New Roman"/>
                <w:i w:val="0"/>
                <w:iCs w:val="0"/>
                <w:color w:val="0000FF"/>
                <w:sz w:val="21"/>
                <w:szCs w:val="21"/>
                <w:u w:val="none"/>
              </w:rPr>
            </w:pPr>
          </w:p>
        </w:tc>
        <w:tc>
          <w:tcPr>
            <w:tcW w:w="1275" w:type="dxa"/>
            <w:vMerge w:val="continue"/>
            <w:tcBorders>
              <w:tl2br w:val="nil"/>
              <w:tr2bl w:val="nil"/>
            </w:tcBorders>
            <w:shd w:val="clear" w:color="auto" w:fill="auto"/>
            <w:noWrap/>
            <w:vAlign w:val="center"/>
          </w:tcPr>
          <w:p w14:paraId="40B880F8">
            <w:pPr>
              <w:keepNext w:val="0"/>
              <w:keepLines w:val="0"/>
              <w:pageBreakBefore w:val="0"/>
              <w:widowControl/>
              <w:kinsoku/>
              <w:wordWrap/>
              <w:overflowPunct/>
              <w:topLinePunct w:val="0"/>
              <w:autoSpaceDE/>
              <w:autoSpaceDN/>
              <w:bidi w:val="0"/>
              <w:adjustRightInd w:val="0"/>
              <w:snapToGrid w:val="0"/>
              <w:spacing w:line="240" w:lineRule="auto"/>
              <w:ind w:firstLineChars="0"/>
              <w:jc w:val="center"/>
              <w:rPr>
                <w:rFonts w:hint="default" w:ascii="Times New Roman" w:hAnsi="Times New Roman" w:eastAsia="宋体" w:cs="Times New Roman"/>
                <w:i w:val="0"/>
                <w:iCs w:val="0"/>
                <w:color w:val="0000FF"/>
                <w:sz w:val="21"/>
                <w:szCs w:val="21"/>
                <w:u w:val="none"/>
              </w:rPr>
            </w:pPr>
          </w:p>
        </w:tc>
        <w:tc>
          <w:tcPr>
            <w:tcW w:w="1875" w:type="dxa"/>
            <w:tcBorders>
              <w:tl2br w:val="nil"/>
              <w:tr2bl w:val="nil"/>
            </w:tcBorders>
            <w:shd w:val="clear" w:color="auto" w:fill="auto"/>
            <w:noWrap/>
            <w:vAlign w:val="center"/>
          </w:tcPr>
          <w:p w14:paraId="52CEC556">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1"/>
                <w:szCs w:val="21"/>
                <w:u w:val="none"/>
                <w:lang w:val="en-US" w:eastAsia="zh-CN" w:bidi="ar"/>
              </w:rPr>
              <w:t>全时段</w:t>
            </w:r>
          </w:p>
        </w:tc>
        <w:tc>
          <w:tcPr>
            <w:tcW w:w="1260" w:type="dxa"/>
            <w:tcBorders>
              <w:tl2br w:val="nil"/>
              <w:tr2bl w:val="nil"/>
            </w:tcBorders>
            <w:shd w:val="clear" w:color="auto" w:fill="auto"/>
            <w:noWrap/>
            <w:vAlign w:val="center"/>
          </w:tcPr>
          <w:p w14:paraId="64C01DE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1"/>
                <w:szCs w:val="21"/>
                <w:u w:val="none"/>
                <w:lang w:val="en-US" w:eastAsia="zh-CN" w:bidi="ar"/>
              </w:rPr>
              <w:t>-3.98E-05</w:t>
            </w:r>
          </w:p>
        </w:tc>
        <w:tc>
          <w:tcPr>
            <w:tcW w:w="1770" w:type="dxa"/>
            <w:tcBorders>
              <w:tl2br w:val="nil"/>
              <w:tr2bl w:val="nil"/>
            </w:tcBorders>
            <w:shd w:val="clear" w:color="auto" w:fill="auto"/>
            <w:noWrap/>
            <w:vAlign w:val="center"/>
          </w:tcPr>
          <w:p w14:paraId="5A23997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1"/>
                <w:szCs w:val="21"/>
                <w:u w:val="none"/>
                <w:lang w:val="en-US" w:eastAsia="zh-CN" w:bidi="ar"/>
              </w:rPr>
              <w:t>平均值</w:t>
            </w:r>
          </w:p>
        </w:tc>
        <w:tc>
          <w:tcPr>
            <w:tcW w:w="1140" w:type="dxa"/>
            <w:tcBorders>
              <w:tl2br w:val="nil"/>
              <w:tr2bl w:val="nil"/>
            </w:tcBorders>
            <w:shd w:val="clear" w:color="auto" w:fill="auto"/>
            <w:noWrap/>
            <w:vAlign w:val="center"/>
          </w:tcPr>
          <w:p w14:paraId="6C3CA9E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1"/>
                <w:szCs w:val="21"/>
                <w:u w:val="none"/>
                <w:lang w:val="en-US" w:eastAsia="zh-CN" w:bidi="ar"/>
              </w:rPr>
              <w:t>4.01E-02</w:t>
            </w:r>
          </w:p>
        </w:tc>
        <w:tc>
          <w:tcPr>
            <w:tcW w:w="1605" w:type="dxa"/>
            <w:tcBorders>
              <w:tl2br w:val="nil"/>
              <w:tr2bl w:val="nil"/>
            </w:tcBorders>
            <w:shd w:val="clear" w:color="auto" w:fill="auto"/>
            <w:noWrap/>
            <w:vAlign w:val="center"/>
          </w:tcPr>
          <w:p w14:paraId="5849E26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1"/>
                <w:szCs w:val="21"/>
                <w:u w:val="none"/>
                <w:lang w:val="en-US" w:eastAsia="zh-CN" w:bidi="ar"/>
              </w:rPr>
              <w:t>4.00E-02</w:t>
            </w:r>
          </w:p>
        </w:tc>
        <w:tc>
          <w:tcPr>
            <w:tcW w:w="1275" w:type="dxa"/>
            <w:tcBorders>
              <w:tl2br w:val="nil"/>
              <w:tr2bl w:val="nil"/>
            </w:tcBorders>
            <w:shd w:val="clear" w:color="auto" w:fill="auto"/>
            <w:noWrap/>
            <w:vAlign w:val="center"/>
          </w:tcPr>
          <w:p w14:paraId="5BD70E9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1"/>
                <w:szCs w:val="21"/>
                <w:u w:val="none"/>
                <w:lang w:val="en-US" w:eastAsia="zh-CN" w:bidi="ar"/>
              </w:rPr>
              <w:t>5.00E-02</w:t>
            </w:r>
          </w:p>
        </w:tc>
        <w:tc>
          <w:tcPr>
            <w:tcW w:w="1485" w:type="dxa"/>
            <w:tcBorders>
              <w:tl2br w:val="nil"/>
              <w:tr2bl w:val="nil"/>
            </w:tcBorders>
            <w:shd w:val="clear" w:color="auto" w:fill="auto"/>
            <w:noWrap/>
            <w:vAlign w:val="center"/>
          </w:tcPr>
          <w:p w14:paraId="3B3E4A8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1"/>
                <w:szCs w:val="21"/>
                <w:u w:val="none"/>
                <w:lang w:val="en-US" w:eastAsia="zh-CN" w:bidi="ar"/>
              </w:rPr>
              <w:t>80.06</w:t>
            </w:r>
          </w:p>
        </w:tc>
        <w:tc>
          <w:tcPr>
            <w:tcW w:w="912" w:type="dxa"/>
            <w:tcBorders>
              <w:tl2br w:val="nil"/>
              <w:tr2bl w:val="nil"/>
            </w:tcBorders>
            <w:shd w:val="clear" w:color="auto" w:fill="auto"/>
            <w:noWrap/>
            <w:vAlign w:val="center"/>
          </w:tcPr>
          <w:p w14:paraId="723ACB08">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1"/>
                <w:szCs w:val="21"/>
                <w:u w:val="none"/>
                <w:lang w:val="en-US" w:eastAsia="zh-CN" w:bidi="ar"/>
              </w:rPr>
              <w:t>达标</w:t>
            </w:r>
          </w:p>
        </w:tc>
      </w:tr>
      <w:tr w14:paraId="18AD71F5">
        <w:tblPrEx>
          <w:tblBorders>
            <w:top w:val="thinThickSmallGap" w:color="auto" w:sz="12" w:space="0"/>
            <w:left w:val="none" w:color="auto" w:sz="0" w:space="0"/>
            <w:bottom w:val="thinThick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528" w:type="dxa"/>
            <w:vMerge w:val="restart"/>
            <w:tcBorders>
              <w:tl2br w:val="nil"/>
              <w:tr2bl w:val="nil"/>
            </w:tcBorders>
            <w:shd w:val="clear" w:color="auto" w:fill="auto"/>
            <w:noWrap/>
            <w:vAlign w:val="center"/>
          </w:tcPr>
          <w:p w14:paraId="2368F533">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1"/>
                <w:szCs w:val="21"/>
                <w:u w:val="none"/>
                <w:lang w:val="en-US" w:eastAsia="zh-CN" w:bidi="ar"/>
              </w:rPr>
              <w:t>5</w:t>
            </w:r>
          </w:p>
        </w:tc>
        <w:tc>
          <w:tcPr>
            <w:tcW w:w="990" w:type="dxa"/>
            <w:vMerge w:val="restart"/>
            <w:tcBorders>
              <w:tl2br w:val="nil"/>
              <w:tr2bl w:val="nil"/>
            </w:tcBorders>
            <w:shd w:val="clear" w:color="auto" w:fill="auto"/>
            <w:noWrap/>
            <w:vAlign w:val="center"/>
          </w:tcPr>
          <w:p w14:paraId="10E350CF">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1"/>
                <w:szCs w:val="21"/>
                <w:u w:val="none"/>
                <w:lang w:val="en-US" w:eastAsia="zh-CN" w:bidi="ar"/>
              </w:rPr>
              <w:t>四道河子</w:t>
            </w:r>
          </w:p>
        </w:tc>
        <w:tc>
          <w:tcPr>
            <w:tcW w:w="1275" w:type="dxa"/>
            <w:vMerge w:val="restart"/>
            <w:tcBorders>
              <w:tl2br w:val="nil"/>
              <w:tr2bl w:val="nil"/>
            </w:tcBorders>
            <w:shd w:val="clear" w:color="auto" w:fill="auto"/>
            <w:noWrap/>
            <w:vAlign w:val="center"/>
          </w:tcPr>
          <w:p w14:paraId="439D3207">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1"/>
                <w:szCs w:val="21"/>
                <w:u w:val="none"/>
                <w:lang w:val="en-US" w:eastAsia="zh-CN" w:bidi="ar"/>
              </w:rPr>
              <w:t>430,1123</w:t>
            </w:r>
          </w:p>
        </w:tc>
        <w:tc>
          <w:tcPr>
            <w:tcW w:w="1875" w:type="dxa"/>
            <w:tcBorders>
              <w:tl2br w:val="nil"/>
              <w:tr2bl w:val="nil"/>
            </w:tcBorders>
            <w:shd w:val="clear" w:color="auto" w:fill="auto"/>
            <w:noWrap/>
            <w:vAlign w:val="center"/>
          </w:tcPr>
          <w:p w14:paraId="17A07E37">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1"/>
                <w:szCs w:val="21"/>
                <w:u w:val="none"/>
                <w:lang w:val="en-US" w:eastAsia="zh-CN" w:bidi="ar"/>
              </w:rPr>
              <w:t>1小时</w:t>
            </w:r>
          </w:p>
        </w:tc>
        <w:tc>
          <w:tcPr>
            <w:tcW w:w="1260" w:type="dxa"/>
            <w:tcBorders>
              <w:tl2br w:val="nil"/>
              <w:tr2bl w:val="nil"/>
            </w:tcBorders>
            <w:shd w:val="clear" w:color="auto" w:fill="auto"/>
            <w:noWrap/>
            <w:vAlign w:val="center"/>
          </w:tcPr>
          <w:p w14:paraId="6787CD3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1"/>
                <w:szCs w:val="21"/>
                <w:u w:val="none"/>
                <w:lang w:val="en-US" w:eastAsia="zh-CN" w:bidi="ar"/>
              </w:rPr>
              <w:t>0.00E+00</w:t>
            </w:r>
          </w:p>
        </w:tc>
        <w:tc>
          <w:tcPr>
            <w:tcW w:w="1770" w:type="dxa"/>
            <w:tcBorders>
              <w:tl2br w:val="nil"/>
              <w:tr2bl w:val="nil"/>
            </w:tcBorders>
            <w:shd w:val="clear" w:color="auto" w:fill="auto"/>
            <w:noWrap/>
            <w:vAlign w:val="center"/>
          </w:tcPr>
          <w:p w14:paraId="4A5599A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1"/>
                <w:szCs w:val="21"/>
                <w:u w:val="none"/>
                <w:lang w:val="en-US" w:eastAsia="zh-CN" w:bidi="ar"/>
              </w:rPr>
              <w:t>24010101</w:t>
            </w:r>
          </w:p>
        </w:tc>
        <w:tc>
          <w:tcPr>
            <w:tcW w:w="1140" w:type="dxa"/>
            <w:tcBorders>
              <w:tl2br w:val="nil"/>
              <w:tr2bl w:val="nil"/>
            </w:tcBorders>
            <w:shd w:val="clear" w:color="auto" w:fill="auto"/>
            <w:noWrap/>
            <w:vAlign w:val="center"/>
          </w:tcPr>
          <w:p w14:paraId="01A3798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1"/>
                <w:szCs w:val="21"/>
                <w:u w:val="none"/>
                <w:lang w:val="en-US" w:eastAsia="zh-CN" w:bidi="ar"/>
              </w:rPr>
              <w:t>4.40E-02</w:t>
            </w:r>
          </w:p>
        </w:tc>
        <w:tc>
          <w:tcPr>
            <w:tcW w:w="1605" w:type="dxa"/>
            <w:tcBorders>
              <w:tl2br w:val="nil"/>
              <w:tr2bl w:val="nil"/>
            </w:tcBorders>
            <w:shd w:val="clear" w:color="auto" w:fill="auto"/>
            <w:noWrap/>
            <w:vAlign w:val="center"/>
          </w:tcPr>
          <w:p w14:paraId="337F897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1"/>
                <w:szCs w:val="21"/>
                <w:u w:val="none"/>
                <w:lang w:val="en-US" w:eastAsia="zh-CN" w:bidi="ar"/>
              </w:rPr>
              <w:t>4.40E-02</w:t>
            </w:r>
          </w:p>
        </w:tc>
        <w:tc>
          <w:tcPr>
            <w:tcW w:w="1275" w:type="dxa"/>
            <w:tcBorders>
              <w:tl2br w:val="nil"/>
              <w:tr2bl w:val="nil"/>
            </w:tcBorders>
            <w:shd w:val="clear" w:color="auto" w:fill="auto"/>
            <w:noWrap/>
            <w:vAlign w:val="center"/>
          </w:tcPr>
          <w:p w14:paraId="0C22C13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1"/>
                <w:szCs w:val="21"/>
                <w:u w:val="none"/>
                <w:lang w:val="en-US" w:eastAsia="zh-CN" w:bidi="ar"/>
              </w:rPr>
              <w:t>2.50E-01</w:t>
            </w:r>
          </w:p>
        </w:tc>
        <w:tc>
          <w:tcPr>
            <w:tcW w:w="1485" w:type="dxa"/>
            <w:tcBorders>
              <w:tl2br w:val="nil"/>
              <w:tr2bl w:val="nil"/>
            </w:tcBorders>
            <w:shd w:val="clear" w:color="auto" w:fill="auto"/>
            <w:noWrap/>
            <w:vAlign w:val="center"/>
          </w:tcPr>
          <w:p w14:paraId="6C19E60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1"/>
                <w:szCs w:val="21"/>
                <w:u w:val="none"/>
                <w:lang w:val="en-US" w:eastAsia="zh-CN" w:bidi="ar"/>
              </w:rPr>
              <w:t>17.6</w:t>
            </w:r>
          </w:p>
        </w:tc>
        <w:tc>
          <w:tcPr>
            <w:tcW w:w="912" w:type="dxa"/>
            <w:tcBorders>
              <w:tl2br w:val="nil"/>
              <w:tr2bl w:val="nil"/>
            </w:tcBorders>
            <w:shd w:val="clear" w:color="auto" w:fill="auto"/>
            <w:noWrap/>
            <w:vAlign w:val="center"/>
          </w:tcPr>
          <w:p w14:paraId="7B83BEC9">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1"/>
                <w:szCs w:val="21"/>
                <w:u w:val="none"/>
                <w:lang w:val="en-US" w:eastAsia="zh-CN" w:bidi="ar"/>
              </w:rPr>
              <w:t>达标</w:t>
            </w:r>
          </w:p>
        </w:tc>
      </w:tr>
      <w:tr w14:paraId="188AE504">
        <w:tblPrEx>
          <w:tblBorders>
            <w:top w:val="thinThickSmallGap" w:color="auto" w:sz="12" w:space="0"/>
            <w:left w:val="none" w:color="auto" w:sz="0" w:space="0"/>
            <w:bottom w:val="thinThickSmallGap" w:color="auto" w:sz="12" w:space="0"/>
            <w:right w:val="none" w:color="auto" w:sz="0"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 w:hRule="atLeast"/>
          <w:jc w:val="center"/>
        </w:trPr>
        <w:tc>
          <w:tcPr>
            <w:tcW w:w="528" w:type="dxa"/>
            <w:vMerge w:val="continue"/>
            <w:tcBorders>
              <w:tl2br w:val="nil"/>
              <w:tr2bl w:val="nil"/>
            </w:tcBorders>
            <w:shd w:val="clear" w:color="auto" w:fill="auto"/>
            <w:noWrap/>
            <w:vAlign w:val="center"/>
          </w:tcPr>
          <w:p w14:paraId="7F546563">
            <w:pPr>
              <w:keepNext w:val="0"/>
              <w:keepLines w:val="0"/>
              <w:pageBreakBefore w:val="0"/>
              <w:widowControl/>
              <w:kinsoku/>
              <w:wordWrap/>
              <w:overflowPunct/>
              <w:topLinePunct w:val="0"/>
              <w:autoSpaceDE/>
              <w:autoSpaceDN/>
              <w:bidi w:val="0"/>
              <w:adjustRightInd w:val="0"/>
              <w:snapToGrid w:val="0"/>
              <w:spacing w:line="240" w:lineRule="auto"/>
              <w:ind w:firstLineChars="0"/>
              <w:jc w:val="center"/>
              <w:rPr>
                <w:rFonts w:hint="default" w:ascii="Times New Roman" w:hAnsi="Times New Roman" w:eastAsia="宋体" w:cs="Times New Roman"/>
                <w:i w:val="0"/>
                <w:iCs w:val="0"/>
                <w:color w:val="0000FF"/>
                <w:sz w:val="21"/>
                <w:szCs w:val="21"/>
                <w:u w:val="none"/>
              </w:rPr>
            </w:pPr>
          </w:p>
        </w:tc>
        <w:tc>
          <w:tcPr>
            <w:tcW w:w="990" w:type="dxa"/>
            <w:vMerge w:val="continue"/>
            <w:tcBorders>
              <w:tl2br w:val="nil"/>
              <w:tr2bl w:val="nil"/>
            </w:tcBorders>
            <w:shd w:val="clear" w:color="auto" w:fill="auto"/>
            <w:noWrap/>
            <w:vAlign w:val="center"/>
          </w:tcPr>
          <w:p w14:paraId="44CBBAD7">
            <w:pPr>
              <w:keepNext w:val="0"/>
              <w:keepLines w:val="0"/>
              <w:pageBreakBefore w:val="0"/>
              <w:widowControl/>
              <w:kinsoku/>
              <w:wordWrap/>
              <w:overflowPunct/>
              <w:topLinePunct w:val="0"/>
              <w:autoSpaceDE/>
              <w:autoSpaceDN/>
              <w:bidi w:val="0"/>
              <w:adjustRightInd w:val="0"/>
              <w:snapToGrid w:val="0"/>
              <w:spacing w:line="240" w:lineRule="auto"/>
              <w:ind w:firstLineChars="0"/>
              <w:jc w:val="center"/>
              <w:rPr>
                <w:rFonts w:hint="default" w:ascii="Times New Roman" w:hAnsi="Times New Roman" w:eastAsia="宋体" w:cs="Times New Roman"/>
                <w:i w:val="0"/>
                <w:iCs w:val="0"/>
                <w:color w:val="0000FF"/>
                <w:sz w:val="21"/>
                <w:szCs w:val="21"/>
                <w:u w:val="none"/>
              </w:rPr>
            </w:pPr>
          </w:p>
        </w:tc>
        <w:tc>
          <w:tcPr>
            <w:tcW w:w="1275" w:type="dxa"/>
            <w:vMerge w:val="continue"/>
            <w:tcBorders>
              <w:tl2br w:val="nil"/>
              <w:tr2bl w:val="nil"/>
            </w:tcBorders>
            <w:shd w:val="clear" w:color="auto" w:fill="auto"/>
            <w:noWrap/>
            <w:vAlign w:val="center"/>
          </w:tcPr>
          <w:p w14:paraId="682EF0DF">
            <w:pPr>
              <w:keepNext w:val="0"/>
              <w:keepLines w:val="0"/>
              <w:pageBreakBefore w:val="0"/>
              <w:widowControl/>
              <w:kinsoku/>
              <w:wordWrap/>
              <w:overflowPunct/>
              <w:topLinePunct w:val="0"/>
              <w:autoSpaceDE/>
              <w:autoSpaceDN/>
              <w:bidi w:val="0"/>
              <w:adjustRightInd w:val="0"/>
              <w:snapToGrid w:val="0"/>
              <w:spacing w:line="240" w:lineRule="auto"/>
              <w:ind w:firstLineChars="0"/>
              <w:jc w:val="center"/>
              <w:rPr>
                <w:rFonts w:hint="default" w:ascii="Times New Roman" w:hAnsi="Times New Roman" w:eastAsia="宋体" w:cs="Times New Roman"/>
                <w:i w:val="0"/>
                <w:iCs w:val="0"/>
                <w:color w:val="0000FF"/>
                <w:sz w:val="21"/>
                <w:szCs w:val="21"/>
                <w:u w:val="none"/>
              </w:rPr>
            </w:pPr>
          </w:p>
        </w:tc>
        <w:tc>
          <w:tcPr>
            <w:tcW w:w="1875" w:type="dxa"/>
            <w:tcBorders>
              <w:tl2br w:val="nil"/>
              <w:tr2bl w:val="nil"/>
            </w:tcBorders>
            <w:shd w:val="clear" w:color="auto" w:fill="auto"/>
            <w:noWrap/>
            <w:vAlign w:val="center"/>
          </w:tcPr>
          <w:p w14:paraId="7163C32E">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1"/>
                <w:szCs w:val="21"/>
                <w:u w:val="none"/>
                <w:lang w:val="en-US" w:eastAsia="zh-CN" w:bidi="ar"/>
              </w:rPr>
              <w:t>98%保证率日平均</w:t>
            </w:r>
          </w:p>
        </w:tc>
        <w:tc>
          <w:tcPr>
            <w:tcW w:w="1260" w:type="dxa"/>
            <w:tcBorders>
              <w:tl2br w:val="nil"/>
              <w:tr2bl w:val="nil"/>
            </w:tcBorders>
            <w:shd w:val="clear" w:color="auto" w:fill="auto"/>
            <w:noWrap/>
            <w:vAlign w:val="center"/>
          </w:tcPr>
          <w:p w14:paraId="05F3E86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1"/>
                <w:szCs w:val="21"/>
                <w:u w:val="none"/>
                <w:lang w:val="en-US" w:eastAsia="zh-CN" w:bidi="ar"/>
              </w:rPr>
              <w:t>0.00E+00</w:t>
            </w:r>
          </w:p>
        </w:tc>
        <w:tc>
          <w:tcPr>
            <w:tcW w:w="1770" w:type="dxa"/>
            <w:tcBorders>
              <w:tl2br w:val="nil"/>
              <w:tr2bl w:val="nil"/>
            </w:tcBorders>
            <w:shd w:val="clear" w:color="auto" w:fill="auto"/>
            <w:noWrap/>
            <w:vAlign w:val="center"/>
          </w:tcPr>
          <w:p w14:paraId="2ECBEA5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1"/>
                <w:szCs w:val="21"/>
                <w:u w:val="none"/>
                <w:lang w:val="en-US" w:eastAsia="zh-CN" w:bidi="ar"/>
              </w:rPr>
              <w:t>240512</w:t>
            </w:r>
          </w:p>
        </w:tc>
        <w:tc>
          <w:tcPr>
            <w:tcW w:w="1140" w:type="dxa"/>
            <w:tcBorders>
              <w:tl2br w:val="nil"/>
              <w:tr2bl w:val="nil"/>
            </w:tcBorders>
            <w:shd w:val="clear" w:color="auto" w:fill="auto"/>
            <w:noWrap/>
            <w:vAlign w:val="center"/>
          </w:tcPr>
          <w:p w14:paraId="31AD1D1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1"/>
                <w:szCs w:val="21"/>
                <w:u w:val="none"/>
                <w:lang w:val="en-US" w:eastAsia="zh-CN" w:bidi="ar"/>
              </w:rPr>
              <w:t>4.40E-02</w:t>
            </w:r>
          </w:p>
        </w:tc>
        <w:tc>
          <w:tcPr>
            <w:tcW w:w="1605" w:type="dxa"/>
            <w:tcBorders>
              <w:tl2br w:val="nil"/>
              <w:tr2bl w:val="nil"/>
            </w:tcBorders>
            <w:shd w:val="clear" w:color="auto" w:fill="auto"/>
            <w:noWrap/>
            <w:vAlign w:val="center"/>
          </w:tcPr>
          <w:p w14:paraId="413B88F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1"/>
                <w:szCs w:val="21"/>
                <w:u w:val="none"/>
                <w:lang w:val="en-US" w:eastAsia="zh-CN" w:bidi="ar"/>
              </w:rPr>
              <w:t>4.40E-02</w:t>
            </w:r>
          </w:p>
        </w:tc>
        <w:tc>
          <w:tcPr>
            <w:tcW w:w="1275" w:type="dxa"/>
            <w:tcBorders>
              <w:tl2br w:val="nil"/>
              <w:tr2bl w:val="nil"/>
            </w:tcBorders>
            <w:shd w:val="clear" w:color="auto" w:fill="auto"/>
            <w:noWrap/>
            <w:vAlign w:val="center"/>
          </w:tcPr>
          <w:p w14:paraId="3438ACB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1"/>
                <w:szCs w:val="21"/>
                <w:u w:val="none"/>
                <w:lang w:val="en-US" w:eastAsia="zh-CN" w:bidi="ar"/>
              </w:rPr>
              <w:t>1.50E-01</w:t>
            </w:r>
          </w:p>
        </w:tc>
        <w:tc>
          <w:tcPr>
            <w:tcW w:w="1485" w:type="dxa"/>
            <w:tcBorders>
              <w:tl2br w:val="nil"/>
              <w:tr2bl w:val="nil"/>
            </w:tcBorders>
            <w:shd w:val="clear" w:color="auto" w:fill="auto"/>
            <w:noWrap/>
            <w:vAlign w:val="center"/>
          </w:tcPr>
          <w:p w14:paraId="4EE63BC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1"/>
                <w:szCs w:val="21"/>
                <w:u w:val="none"/>
                <w:lang w:val="en-US" w:eastAsia="zh-CN" w:bidi="ar"/>
              </w:rPr>
              <w:t>44</w:t>
            </w:r>
          </w:p>
        </w:tc>
        <w:tc>
          <w:tcPr>
            <w:tcW w:w="912" w:type="dxa"/>
            <w:tcBorders>
              <w:tl2br w:val="nil"/>
              <w:tr2bl w:val="nil"/>
            </w:tcBorders>
            <w:shd w:val="clear" w:color="auto" w:fill="auto"/>
            <w:noWrap/>
            <w:vAlign w:val="center"/>
          </w:tcPr>
          <w:p w14:paraId="192E45DC">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1"/>
                <w:szCs w:val="21"/>
                <w:u w:val="none"/>
                <w:lang w:val="en-US" w:eastAsia="zh-CN" w:bidi="ar"/>
              </w:rPr>
              <w:t>达标</w:t>
            </w:r>
          </w:p>
        </w:tc>
      </w:tr>
      <w:tr w14:paraId="5535B974">
        <w:tblPrEx>
          <w:tblBorders>
            <w:top w:val="thinThickSmallGap" w:color="auto" w:sz="12" w:space="0"/>
            <w:left w:val="none" w:color="auto" w:sz="0" w:space="0"/>
            <w:bottom w:val="thinThickSmallGap" w:color="auto" w:sz="12" w:space="0"/>
            <w:right w:val="none" w:color="auto" w:sz="0"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 w:hRule="atLeast"/>
          <w:jc w:val="center"/>
        </w:trPr>
        <w:tc>
          <w:tcPr>
            <w:tcW w:w="528" w:type="dxa"/>
            <w:vMerge w:val="continue"/>
            <w:tcBorders>
              <w:tl2br w:val="nil"/>
              <w:tr2bl w:val="nil"/>
            </w:tcBorders>
            <w:shd w:val="clear" w:color="auto" w:fill="auto"/>
            <w:noWrap/>
            <w:vAlign w:val="center"/>
          </w:tcPr>
          <w:p w14:paraId="4D0D101E">
            <w:pPr>
              <w:keepNext w:val="0"/>
              <w:keepLines w:val="0"/>
              <w:pageBreakBefore w:val="0"/>
              <w:widowControl/>
              <w:kinsoku/>
              <w:wordWrap/>
              <w:overflowPunct/>
              <w:topLinePunct w:val="0"/>
              <w:autoSpaceDE/>
              <w:autoSpaceDN/>
              <w:bidi w:val="0"/>
              <w:adjustRightInd w:val="0"/>
              <w:snapToGrid w:val="0"/>
              <w:spacing w:line="240" w:lineRule="auto"/>
              <w:ind w:firstLineChars="0"/>
              <w:jc w:val="center"/>
              <w:rPr>
                <w:rFonts w:hint="default" w:ascii="Times New Roman" w:hAnsi="Times New Roman" w:eastAsia="宋体" w:cs="Times New Roman"/>
                <w:i w:val="0"/>
                <w:iCs w:val="0"/>
                <w:color w:val="0000FF"/>
                <w:sz w:val="21"/>
                <w:szCs w:val="21"/>
                <w:u w:val="none"/>
              </w:rPr>
            </w:pPr>
          </w:p>
        </w:tc>
        <w:tc>
          <w:tcPr>
            <w:tcW w:w="990" w:type="dxa"/>
            <w:vMerge w:val="continue"/>
            <w:tcBorders>
              <w:tl2br w:val="nil"/>
              <w:tr2bl w:val="nil"/>
            </w:tcBorders>
            <w:shd w:val="clear" w:color="auto" w:fill="auto"/>
            <w:noWrap/>
            <w:vAlign w:val="center"/>
          </w:tcPr>
          <w:p w14:paraId="588F877B">
            <w:pPr>
              <w:keepNext w:val="0"/>
              <w:keepLines w:val="0"/>
              <w:pageBreakBefore w:val="0"/>
              <w:widowControl/>
              <w:kinsoku/>
              <w:wordWrap/>
              <w:overflowPunct/>
              <w:topLinePunct w:val="0"/>
              <w:autoSpaceDE/>
              <w:autoSpaceDN/>
              <w:bidi w:val="0"/>
              <w:adjustRightInd w:val="0"/>
              <w:snapToGrid w:val="0"/>
              <w:spacing w:line="240" w:lineRule="auto"/>
              <w:ind w:firstLineChars="0"/>
              <w:jc w:val="center"/>
              <w:rPr>
                <w:rFonts w:hint="default" w:ascii="Times New Roman" w:hAnsi="Times New Roman" w:eastAsia="宋体" w:cs="Times New Roman"/>
                <w:i w:val="0"/>
                <w:iCs w:val="0"/>
                <w:color w:val="0000FF"/>
                <w:sz w:val="21"/>
                <w:szCs w:val="21"/>
                <w:u w:val="none"/>
              </w:rPr>
            </w:pPr>
          </w:p>
        </w:tc>
        <w:tc>
          <w:tcPr>
            <w:tcW w:w="1275" w:type="dxa"/>
            <w:vMerge w:val="continue"/>
            <w:tcBorders>
              <w:tl2br w:val="nil"/>
              <w:tr2bl w:val="nil"/>
            </w:tcBorders>
            <w:shd w:val="clear" w:color="auto" w:fill="auto"/>
            <w:noWrap/>
            <w:vAlign w:val="center"/>
          </w:tcPr>
          <w:p w14:paraId="7088EEE5">
            <w:pPr>
              <w:keepNext w:val="0"/>
              <w:keepLines w:val="0"/>
              <w:pageBreakBefore w:val="0"/>
              <w:widowControl/>
              <w:kinsoku/>
              <w:wordWrap/>
              <w:overflowPunct/>
              <w:topLinePunct w:val="0"/>
              <w:autoSpaceDE/>
              <w:autoSpaceDN/>
              <w:bidi w:val="0"/>
              <w:adjustRightInd w:val="0"/>
              <w:snapToGrid w:val="0"/>
              <w:spacing w:line="240" w:lineRule="auto"/>
              <w:ind w:firstLineChars="0"/>
              <w:jc w:val="center"/>
              <w:rPr>
                <w:rFonts w:hint="default" w:ascii="Times New Roman" w:hAnsi="Times New Roman" w:eastAsia="宋体" w:cs="Times New Roman"/>
                <w:i w:val="0"/>
                <w:iCs w:val="0"/>
                <w:color w:val="0000FF"/>
                <w:sz w:val="21"/>
                <w:szCs w:val="21"/>
                <w:u w:val="none"/>
              </w:rPr>
            </w:pPr>
          </w:p>
        </w:tc>
        <w:tc>
          <w:tcPr>
            <w:tcW w:w="1875" w:type="dxa"/>
            <w:tcBorders>
              <w:tl2br w:val="nil"/>
              <w:tr2bl w:val="nil"/>
            </w:tcBorders>
            <w:shd w:val="clear" w:color="auto" w:fill="auto"/>
            <w:noWrap/>
            <w:vAlign w:val="center"/>
          </w:tcPr>
          <w:p w14:paraId="5638FF3A">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1"/>
                <w:szCs w:val="21"/>
                <w:u w:val="none"/>
                <w:lang w:val="en-US" w:eastAsia="zh-CN" w:bidi="ar"/>
              </w:rPr>
              <w:t>全时段</w:t>
            </w:r>
          </w:p>
        </w:tc>
        <w:tc>
          <w:tcPr>
            <w:tcW w:w="1260" w:type="dxa"/>
            <w:tcBorders>
              <w:tl2br w:val="nil"/>
              <w:tr2bl w:val="nil"/>
            </w:tcBorders>
            <w:shd w:val="clear" w:color="auto" w:fill="auto"/>
            <w:noWrap/>
            <w:vAlign w:val="center"/>
          </w:tcPr>
          <w:p w14:paraId="273B02C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1"/>
                <w:szCs w:val="21"/>
                <w:u w:val="none"/>
                <w:lang w:val="en-US" w:eastAsia="zh-CN" w:bidi="ar"/>
              </w:rPr>
              <w:t>-6.19E-05</w:t>
            </w:r>
          </w:p>
        </w:tc>
        <w:tc>
          <w:tcPr>
            <w:tcW w:w="1770" w:type="dxa"/>
            <w:tcBorders>
              <w:tl2br w:val="nil"/>
              <w:tr2bl w:val="nil"/>
            </w:tcBorders>
            <w:shd w:val="clear" w:color="auto" w:fill="auto"/>
            <w:noWrap/>
            <w:vAlign w:val="center"/>
          </w:tcPr>
          <w:p w14:paraId="62FDC50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1"/>
                <w:szCs w:val="21"/>
                <w:u w:val="none"/>
                <w:lang w:val="en-US" w:eastAsia="zh-CN" w:bidi="ar"/>
              </w:rPr>
              <w:t>平均值</w:t>
            </w:r>
          </w:p>
        </w:tc>
        <w:tc>
          <w:tcPr>
            <w:tcW w:w="1140" w:type="dxa"/>
            <w:tcBorders>
              <w:tl2br w:val="nil"/>
              <w:tr2bl w:val="nil"/>
            </w:tcBorders>
            <w:shd w:val="clear" w:color="auto" w:fill="auto"/>
            <w:noWrap/>
            <w:vAlign w:val="center"/>
          </w:tcPr>
          <w:p w14:paraId="57E64B6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1"/>
                <w:szCs w:val="21"/>
                <w:u w:val="none"/>
                <w:lang w:val="en-US" w:eastAsia="zh-CN" w:bidi="ar"/>
              </w:rPr>
              <w:t>4.01E-02</w:t>
            </w:r>
          </w:p>
        </w:tc>
        <w:tc>
          <w:tcPr>
            <w:tcW w:w="1605" w:type="dxa"/>
            <w:tcBorders>
              <w:tl2br w:val="nil"/>
              <w:tr2bl w:val="nil"/>
            </w:tcBorders>
            <w:shd w:val="clear" w:color="auto" w:fill="auto"/>
            <w:noWrap/>
            <w:vAlign w:val="center"/>
          </w:tcPr>
          <w:p w14:paraId="7C5B48B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1"/>
                <w:szCs w:val="21"/>
                <w:u w:val="none"/>
                <w:lang w:val="en-US" w:eastAsia="zh-CN" w:bidi="ar"/>
              </w:rPr>
              <w:t>4.00E-02</w:t>
            </w:r>
          </w:p>
        </w:tc>
        <w:tc>
          <w:tcPr>
            <w:tcW w:w="1275" w:type="dxa"/>
            <w:tcBorders>
              <w:tl2br w:val="nil"/>
              <w:tr2bl w:val="nil"/>
            </w:tcBorders>
            <w:shd w:val="clear" w:color="auto" w:fill="auto"/>
            <w:noWrap/>
            <w:vAlign w:val="center"/>
          </w:tcPr>
          <w:p w14:paraId="08C89C8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1"/>
                <w:szCs w:val="21"/>
                <w:u w:val="none"/>
                <w:lang w:val="en-US" w:eastAsia="zh-CN" w:bidi="ar"/>
              </w:rPr>
              <w:t>5.00E-02</w:t>
            </w:r>
          </w:p>
        </w:tc>
        <w:tc>
          <w:tcPr>
            <w:tcW w:w="1485" w:type="dxa"/>
            <w:tcBorders>
              <w:tl2br w:val="nil"/>
              <w:tr2bl w:val="nil"/>
            </w:tcBorders>
            <w:shd w:val="clear" w:color="auto" w:fill="auto"/>
            <w:noWrap/>
            <w:vAlign w:val="center"/>
          </w:tcPr>
          <w:p w14:paraId="2791E9E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1"/>
                <w:szCs w:val="21"/>
                <w:u w:val="none"/>
                <w:lang w:val="en-US" w:eastAsia="zh-CN" w:bidi="ar"/>
              </w:rPr>
              <w:t>80.02</w:t>
            </w:r>
          </w:p>
        </w:tc>
        <w:tc>
          <w:tcPr>
            <w:tcW w:w="912" w:type="dxa"/>
            <w:tcBorders>
              <w:tl2br w:val="nil"/>
              <w:tr2bl w:val="nil"/>
            </w:tcBorders>
            <w:shd w:val="clear" w:color="auto" w:fill="auto"/>
            <w:noWrap/>
            <w:vAlign w:val="center"/>
          </w:tcPr>
          <w:p w14:paraId="2F6EFCF0">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1"/>
                <w:szCs w:val="21"/>
                <w:u w:val="none"/>
                <w:lang w:val="en-US" w:eastAsia="zh-CN" w:bidi="ar"/>
              </w:rPr>
              <w:t>达标</w:t>
            </w:r>
          </w:p>
        </w:tc>
      </w:tr>
      <w:tr w14:paraId="797E7330">
        <w:tblPrEx>
          <w:tblBorders>
            <w:top w:val="thinThickSmallGap" w:color="auto" w:sz="12" w:space="0"/>
            <w:left w:val="none" w:color="auto" w:sz="0" w:space="0"/>
            <w:bottom w:val="thinThickSmallGap" w:color="auto" w:sz="12" w:space="0"/>
            <w:right w:val="none" w:color="auto" w:sz="0"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 w:hRule="atLeast"/>
          <w:jc w:val="center"/>
        </w:trPr>
        <w:tc>
          <w:tcPr>
            <w:tcW w:w="528" w:type="dxa"/>
            <w:vMerge w:val="restart"/>
            <w:tcBorders>
              <w:tl2br w:val="nil"/>
              <w:tr2bl w:val="nil"/>
            </w:tcBorders>
            <w:shd w:val="clear" w:color="auto" w:fill="auto"/>
            <w:noWrap/>
            <w:vAlign w:val="center"/>
          </w:tcPr>
          <w:p w14:paraId="3A5AC570">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1"/>
                <w:szCs w:val="21"/>
                <w:u w:val="none"/>
                <w:lang w:val="en-US" w:eastAsia="zh-CN" w:bidi="ar"/>
              </w:rPr>
              <w:t>6</w:t>
            </w:r>
          </w:p>
        </w:tc>
        <w:tc>
          <w:tcPr>
            <w:tcW w:w="990" w:type="dxa"/>
            <w:vMerge w:val="restart"/>
            <w:tcBorders>
              <w:tl2br w:val="nil"/>
              <w:tr2bl w:val="nil"/>
            </w:tcBorders>
            <w:shd w:val="clear" w:color="auto" w:fill="auto"/>
            <w:noWrap/>
            <w:vAlign w:val="center"/>
          </w:tcPr>
          <w:p w14:paraId="487E771B">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1"/>
                <w:szCs w:val="21"/>
                <w:u w:val="none"/>
                <w:lang w:val="en-US" w:eastAsia="zh-CN" w:bidi="ar"/>
              </w:rPr>
              <w:t>五道沟</w:t>
            </w:r>
          </w:p>
        </w:tc>
        <w:tc>
          <w:tcPr>
            <w:tcW w:w="1275" w:type="dxa"/>
            <w:vMerge w:val="restart"/>
            <w:tcBorders>
              <w:tl2br w:val="nil"/>
              <w:tr2bl w:val="nil"/>
            </w:tcBorders>
            <w:shd w:val="clear" w:color="auto" w:fill="auto"/>
            <w:noWrap/>
            <w:vAlign w:val="center"/>
          </w:tcPr>
          <w:p w14:paraId="1A627A49">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1"/>
                <w:szCs w:val="21"/>
                <w:u w:val="none"/>
                <w:lang w:val="en-US" w:eastAsia="zh-CN" w:bidi="ar"/>
              </w:rPr>
              <w:t>815,1679</w:t>
            </w:r>
          </w:p>
        </w:tc>
        <w:tc>
          <w:tcPr>
            <w:tcW w:w="1875" w:type="dxa"/>
            <w:tcBorders>
              <w:tl2br w:val="nil"/>
              <w:tr2bl w:val="nil"/>
            </w:tcBorders>
            <w:shd w:val="clear" w:color="auto" w:fill="auto"/>
            <w:noWrap/>
            <w:vAlign w:val="center"/>
          </w:tcPr>
          <w:p w14:paraId="531B18D4">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1"/>
                <w:szCs w:val="21"/>
                <w:u w:val="none"/>
                <w:lang w:val="en-US" w:eastAsia="zh-CN" w:bidi="ar"/>
              </w:rPr>
              <w:t>1小时</w:t>
            </w:r>
          </w:p>
        </w:tc>
        <w:tc>
          <w:tcPr>
            <w:tcW w:w="1260" w:type="dxa"/>
            <w:tcBorders>
              <w:tl2br w:val="nil"/>
              <w:tr2bl w:val="nil"/>
            </w:tcBorders>
            <w:shd w:val="clear" w:color="auto" w:fill="auto"/>
            <w:noWrap/>
            <w:vAlign w:val="center"/>
          </w:tcPr>
          <w:p w14:paraId="3890425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1"/>
                <w:szCs w:val="21"/>
                <w:u w:val="none"/>
                <w:lang w:val="en-US" w:eastAsia="zh-CN" w:bidi="ar"/>
              </w:rPr>
              <w:t>0.00E+00</w:t>
            </w:r>
          </w:p>
        </w:tc>
        <w:tc>
          <w:tcPr>
            <w:tcW w:w="1770" w:type="dxa"/>
            <w:tcBorders>
              <w:tl2br w:val="nil"/>
              <w:tr2bl w:val="nil"/>
            </w:tcBorders>
            <w:shd w:val="clear" w:color="auto" w:fill="auto"/>
            <w:noWrap/>
            <w:vAlign w:val="center"/>
          </w:tcPr>
          <w:p w14:paraId="0FFF306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1"/>
                <w:szCs w:val="21"/>
                <w:u w:val="none"/>
                <w:lang w:val="en-US" w:eastAsia="zh-CN" w:bidi="ar"/>
              </w:rPr>
              <w:t>24010101</w:t>
            </w:r>
          </w:p>
        </w:tc>
        <w:tc>
          <w:tcPr>
            <w:tcW w:w="1140" w:type="dxa"/>
            <w:tcBorders>
              <w:tl2br w:val="nil"/>
              <w:tr2bl w:val="nil"/>
            </w:tcBorders>
            <w:shd w:val="clear" w:color="auto" w:fill="auto"/>
            <w:noWrap/>
            <w:vAlign w:val="center"/>
          </w:tcPr>
          <w:p w14:paraId="5AA239E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1"/>
                <w:szCs w:val="21"/>
                <w:u w:val="none"/>
                <w:lang w:val="en-US" w:eastAsia="zh-CN" w:bidi="ar"/>
              </w:rPr>
              <w:t>4.40E-02</w:t>
            </w:r>
          </w:p>
        </w:tc>
        <w:tc>
          <w:tcPr>
            <w:tcW w:w="1605" w:type="dxa"/>
            <w:tcBorders>
              <w:tl2br w:val="nil"/>
              <w:tr2bl w:val="nil"/>
            </w:tcBorders>
            <w:shd w:val="clear" w:color="auto" w:fill="auto"/>
            <w:noWrap/>
            <w:vAlign w:val="center"/>
          </w:tcPr>
          <w:p w14:paraId="275A304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1"/>
                <w:szCs w:val="21"/>
                <w:u w:val="none"/>
                <w:lang w:val="en-US" w:eastAsia="zh-CN" w:bidi="ar"/>
              </w:rPr>
              <w:t>4.40E-02</w:t>
            </w:r>
          </w:p>
        </w:tc>
        <w:tc>
          <w:tcPr>
            <w:tcW w:w="1275" w:type="dxa"/>
            <w:tcBorders>
              <w:tl2br w:val="nil"/>
              <w:tr2bl w:val="nil"/>
            </w:tcBorders>
            <w:shd w:val="clear" w:color="auto" w:fill="auto"/>
            <w:noWrap/>
            <w:vAlign w:val="center"/>
          </w:tcPr>
          <w:p w14:paraId="1AD7A6F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1"/>
                <w:szCs w:val="21"/>
                <w:u w:val="none"/>
                <w:lang w:val="en-US" w:eastAsia="zh-CN" w:bidi="ar"/>
              </w:rPr>
              <w:t>2.50E-01</w:t>
            </w:r>
          </w:p>
        </w:tc>
        <w:tc>
          <w:tcPr>
            <w:tcW w:w="1485" w:type="dxa"/>
            <w:tcBorders>
              <w:tl2br w:val="nil"/>
              <w:tr2bl w:val="nil"/>
            </w:tcBorders>
            <w:shd w:val="clear" w:color="auto" w:fill="auto"/>
            <w:noWrap/>
            <w:vAlign w:val="center"/>
          </w:tcPr>
          <w:p w14:paraId="2A62379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1"/>
                <w:szCs w:val="21"/>
                <w:u w:val="none"/>
                <w:lang w:val="en-US" w:eastAsia="zh-CN" w:bidi="ar"/>
              </w:rPr>
              <w:t>17.6</w:t>
            </w:r>
          </w:p>
        </w:tc>
        <w:tc>
          <w:tcPr>
            <w:tcW w:w="912" w:type="dxa"/>
            <w:tcBorders>
              <w:tl2br w:val="nil"/>
              <w:tr2bl w:val="nil"/>
            </w:tcBorders>
            <w:shd w:val="clear" w:color="auto" w:fill="auto"/>
            <w:noWrap/>
            <w:vAlign w:val="center"/>
          </w:tcPr>
          <w:p w14:paraId="11A6B8CD">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1"/>
                <w:szCs w:val="21"/>
                <w:u w:val="none"/>
                <w:lang w:val="en-US" w:eastAsia="zh-CN" w:bidi="ar"/>
              </w:rPr>
              <w:t>达标</w:t>
            </w:r>
          </w:p>
        </w:tc>
      </w:tr>
      <w:tr w14:paraId="249C9B4E">
        <w:tblPrEx>
          <w:tblBorders>
            <w:top w:val="thinThickSmallGap" w:color="auto" w:sz="12" w:space="0"/>
            <w:left w:val="none" w:color="auto" w:sz="0" w:space="0"/>
            <w:bottom w:val="thinThickSmallGap" w:color="auto" w:sz="12" w:space="0"/>
            <w:right w:val="none" w:color="auto" w:sz="0"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 w:hRule="atLeast"/>
          <w:jc w:val="center"/>
        </w:trPr>
        <w:tc>
          <w:tcPr>
            <w:tcW w:w="528" w:type="dxa"/>
            <w:vMerge w:val="continue"/>
            <w:tcBorders>
              <w:tl2br w:val="nil"/>
              <w:tr2bl w:val="nil"/>
            </w:tcBorders>
            <w:shd w:val="clear" w:color="auto" w:fill="auto"/>
            <w:noWrap/>
            <w:vAlign w:val="center"/>
          </w:tcPr>
          <w:p w14:paraId="353C5E9E">
            <w:pPr>
              <w:keepNext w:val="0"/>
              <w:keepLines w:val="0"/>
              <w:pageBreakBefore w:val="0"/>
              <w:widowControl/>
              <w:kinsoku/>
              <w:wordWrap/>
              <w:overflowPunct/>
              <w:topLinePunct w:val="0"/>
              <w:autoSpaceDE/>
              <w:autoSpaceDN/>
              <w:bidi w:val="0"/>
              <w:adjustRightInd w:val="0"/>
              <w:snapToGrid w:val="0"/>
              <w:spacing w:line="240" w:lineRule="auto"/>
              <w:ind w:firstLineChars="0"/>
              <w:jc w:val="center"/>
              <w:rPr>
                <w:rFonts w:hint="default" w:ascii="Times New Roman" w:hAnsi="Times New Roman" w:eastAsia="宋体" w:cs="Times New Roman"/>
                <w:i w:val="0"/>
                <w:iCs w:val="0"/>
                <w:color w:val="0000FF"/>
                <w:sz w:val="21"/>
                <w:szCs w:val="21"/>
                <w:u w:val="none"/>
              </w:rPr>
            </w:pPr>
          </w:p>
        </w:tc>
        <w:tc>
          <w:tcPr>
            <w:tcW w:w="990" w:type="dxa"/>
            <w:vMerge w:val="continue"/>
            <w:tcBorders>
              <w:tl2br w:val="nil"/>
              <w:tr2bl w:val="nil"/>
            </w:tcBorders>
            <w:shd w:val="clear" w:color="auto" w:fill="auto"/>
            <w:noWrap/>
            <w:vAlign w:val="center"/>
          </w:tcPr>
          <w:p w14:paraId="492E3DD9">
            <w:pPr>
              <w:keepNext w:val="0"/>
              <w:keepLines w:val="0"/>
              <w:pageBreakBefore w:val="0"/>
              <w:widowControl/>
              <w:kinsoku/>
              <w:wordWrap/>
              <w:overflowPunct/>
              <w:topLinePunct w:val="0"/>
              <w:autoSpaceDE/>
              <w:autoSpaceDN/>
              <w:bidi w:val="0"/>
              <w:adjustRightInd w:val="0"/>
              <w:snapToGrid w:val="0"/>
              <w:spacing w:line="240" w:lineRule="auto"/>
              <w:ind w:firstLineChars="0"/>
              <w:jc w:val="center"/>
              <w:rPr>
                <w:rFonts w:hint="default" w:ascii="Times New Roman" w:hAnsi="Times New Roman" w:eastAsia="宋体" w:cs="Times New Roman"/>
                <w:i w:val="0"/>
                <w:iCs w:val="0"/>
                <w:color w:val="0000FF"/>
                <w:sz w:val="21"/>
                <w:szCs w:val="21"/>
                <w:u w:val="none"/>
              </w:rPr>
            </w:pPr>
          </w:p>
        </w:tc>
        <w:tc>
          <w:tcPr>
            <w:tcW w:w="1275" w:type="dxa"/>
            <w:vMerge w:val="continue"/>
            <w:tcBorders>
              <w:tl2br w:val="nil"/>
              <w:tr2bl w:val="nil"/>
            </w:tcBorders>
            <w:shd w:val="clear" w:color="auto" w:fill="auto"/>
            <w:noWrap/>
            <w:vAlign w:val="center"/>
          </w:tcPr>
          <w:p w14:paraId="06981DA2">
            <w:pPr>
              <w:keepNext w:val="0"/>
              <w:keepLines w:val="0"/>
              <w:pageBreakBefore w:val="0"/>
              <w:widowControl/>
              <w:kinsoku/>
              <w:wordWrap/>
              <w:overflowPunct/>
              <w:topLinePunct w:val="0"/>
              <w:autoSpaceDE/>
              <w:autoSpaceDN/>
              <w:bidi w:val="0"/>
              <w:adjustRightInd w:val="0"/>
              <w:snapToGrid w:val="0"/>
              <w:spacing w:line="240" w:lineRule="auto"/>
              <w:ind w:firstLineChars="0"/>
              <w:jc w:val="center"/>
              <w:rPr>
                <w:rFonts w:hint="default" w:ascii="Times New Roman" w:hAnsi="Times New Roman" w:eastAsia="宋体" w:cs="Times New Roman"/>
                <w:i w:val="0"/>
                <w:iCs w:val="0"/>
                <w:color w:val="0000FF"/>
                <w:sz w:val="21"/>
                <w:szCs w:val="21"/>
                <w:u w:val="none"/>
              </w:rPr>
            </w:pPr>
          </w:p>
        </w:tc>
        <w:tc>
          <w:tcPr>
            <w:tcW w:w="1875" w:type="dxa"/>
            <w:tcBorders>
              <w:tl2br w:val="nil"/>
              <w:tr2bl w:val="nil"/>
            </w:tcBorders>
            <w:shd w:val="clear" w:color="auto" w:fill="auto"/>
            <w:noWrap/>
            <w:vAlign w:val="center"/>
          </w:tcPr>
          <w:p w14:paraId="2EF99498">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1"/>
                <w:szCs w:val="21"/>
                <w:u w:val="none"/>
                <w:lang w:val="en-US" w:eastAsia="zh-CN" w:bidi="ar"/>
              </w:rPr>
              <w:t>98%保证率日平均</w:t>
            </w:r>
          </w:p>
        </w:tc>
        <w:tc>
          <w:tcPr>
            <w:tcW w:w="1260" w:type="dxa"/>
            <w:tcBorders>
              <w:tl2br w:val="nil"/>
              <w:tr2bl w:val="nil"/>
            </w:tcBorders>
            <w:shd w:val="clear" w:color="auto" w:fill="auto"/>
            <w:noWrap/>
            <w:vAlign w:val="center"/>
          </w:tcPr>
          <w:p w14:paraId="7365674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1"/>
                <w:szCs w:val="21"/>
                <w:u w:val="none"/>
                <w:lang w:val="en-US" w:eastAsia="zh-CN" w:bidi="ar"/>
              </w:rPr>
              <w:t>0.00E+00</w:t>
            </w:r>
          </w:p>
        </w:tc>
        <w:tc>
          <w:tcPr>
            <w:tcW w:w="1770" w:type="dxa"/>
            <w:tcBorders>
              <w:tl2br w:val="nil"/>
              <w:tr2bl w:val="nil"/>
            </w:tcBorders>
            <w:shd w:val="clear" w:color="auto" w:fill="auto"/>
            <w:noWrap/>
            <w:vAlign w:val="center"/>
          </w:tcPr>
          <w:p w14:paraId="4C833A3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1"/>
                <w:szCs w:val="21"/>
                <w:u w:val="none"/>
                <w:lang w:val="en-US" w:eastAsia="zh-CN" w:bidi="ar"/>
              </w:rPr>
              <w:t>240512</w:t>
            </w:r>
          </w:p>
        </w:tc>
        <w:tc>
          <w:tcPr>
            <w:tcW w:w="1140" w:type="dxa"/>
            <w:tcBorders>
              <w:tl2br w:val="nil"/>
              <w:tr2bl w:val="nil"/>
            </w:tcBorders>
            <w:shd w:val="clear" w:color="auto" w:fill="auto"/>
            <w:noWrap/>
            <w:vAlign w:val="center"/>
          </w:tcPr>
          <w:p w14:paraId="36B3143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1"/>
                <w:szCs w:val="21"/>
                <w:u w:val="none"/>
                <w:lang w:val="en-US" w:eastAsia="zh-CN" w:bidi="ar"/>
              </w:rPr>
              <w:t>4.40E-02</w:t>
            </w:r>
          </w:p>
        </w:tc>
        <w:tc>
          <w:tcPr>
            <w:tcW w:w="1605" w:type="dxa"/>
            <w:tcBorders>
              <w:tl2br w:val="nil"/>
              <w:tr2bl w:val="nil"/>
            </w:tcBorders>
            <w:shd w:val="clear" w:color="auto" w:fill="auto"/>
            <w:noWrap/>
            <w:vAlign w:val="center"/>
          </w:tcPr>
          <w:p w14:paraId="7D9EC12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1"/>
                <w:szCs w:val="21"/>
                <w:u w:val="none"/>
                <w:lang w:val="en-US" w:eastAsia="zh-CN" w:bidi="ar"/>
              </w:rPr>
              <w:t>4.40E-02</w:t>
            </w:r>
          </w:p>
        </w:tc>
        <w:tc>
          <w:tcPr>
            <w:tcW w:w="1275" w:type="dxa"/>
            <w:tcBorders>
              <w:tl2br w:val="nil"/>
              <w:tr2bl w:val="nil"/>
            </w:tcBorders>
            <w:shd w:val="clear" w:color="auto" w:fill="auto"/>
            <w:noWrap/>
            <w:vAlign w:val="center"/>
          </w:tcPr>
          <w:p w14:paraId="629C047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1"/>
                <w:szCs w:val="21"/>
                <w:u w:val="none"/>
                <w:lang w:val="en-US" w:eastAsia="zh-CN" w:bidi="ar"/>
              </w:rPr>
              <w:t>1.50E-01</w:t>
            </w:r>
          </w:p>
        </w:tc>
        <w:tc>
          <w:tcPr>
            <w:tcW w:w="1485" w:type="dxa"/>
            <w:tcBorders>
              <w:tl2br w:val="nil"/>
              <w:tr2bl w:val="nil"/>
            </w:tcBorders>
            <w:shd w:val="clear" w:color="auto" w:fill="auto"/>
            <w:noWrap/>
            <w:vAlign w:val="center"/>
          </w:tcPr>
          <w:p w14:paraId="1948898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1"/>
                <w:szCs w:val="21"/>
                <w:u w:val="none"/>
                <w:lang w:val="en-US" w:eastAsia="zh-CN" w:bidi="ar"/>
              </w:rPr>
              <w:t>44</w:t>
            </w:r>
          </w:p>
        </w:tc>
        <w:tc>
          <w:tcPr>
            <w:tcW w:w="912" w:type="dxa"/>
            <w:tcBorders>
              <w:tl2br w:val="nil"/>
              <w:tr2bl w:val="nil"/>
            </w:tcBorders>
            <w:shd w:val="clear" w:color="auto" w:fill="auto"/>
            <w:noWrap/>
            <w:vAlign w:val="center"/>
          </w:tcPr>
          <w:p w14:paraId="1E630A74">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1"/>
                <w:szCs w:val="21"/>
                <w:u w:val="none"/>
                <w:lang w:val="en-US" w:eastAsia="zh-CN" w:bidi="ar"/>
              </w:rPr>
              <w:t>达标</w:t>
            </w:r>
          </w:p>
        </w:tc>
      </w:tr>
      <w:tr w14:paraId="2A852710">
        <w:tblPrEx>
          <w:tblBorders>
            <w:top w:val="thinThickSmallGap" w:color="auto" w:sz="12" w:space="0"/>
            <w:left w:val="none" w:color="auto" w:sz="0" w:space="0"/>
            <w:bottom w:val="thinThick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528" w:type="dxa"/>
            <w:vMerge w:val="continue"/>
            <w:tcBorders>
              <w:tl2br w:val="nil"/>
              <w:tr2bl w:val="nil"/>
            </w:tcBorders>
            <w:shd w:val="clear" w:color="auto" w:fill="auto"/>
            <w:noWrap/>
            <w:vAlign w:val="center"/>
          </w:tcPr>
          <w:p w14:paraId="1E3885DE">
            <w:pPr>
              <w:keepNext w:val="0"/>
              <w:keepLines w:val="0"/>
              <w:pageBreakBefore w:val="0"/>
              <w:widowControl/>
              <w:kinsoku/>
              <w:wordWrap/>
              <w:overflowPunct/>
              <w:topLinePunct w:val="0"/>
              <w:autoSpaceDE/>
              <w:autoSpaceDN/>
              <w:bidi w:val="0"/>
              <w:adjustRightInd w:val="0"/>
              <w:snapToGrid w:val="0"/>
              <w:spacing w:line="240" w:lineRule="auto"/>
              <w:ind w:firstLineChars="0"/>
              <w:jc w:val="center"/>
              <w:rPr>
                <w:rFonts w:hint="default" w:ascii="Times New Roman" w:hAnsi="Times New Roman" w:eastAsia="宋体" w:cs="Times New Roman"/>
                <w:i w:val="0"/>
                <w:iCs w:val="0"/>
                <w:color w:val="0000FF"/>
                <w:sz w:val="21"/>
                <w:szCs w:val="21"/>
                <w:u w:val="none"/>
              </w:rPr>
            </w:pPr>
          </w:p>
        </w:tc>
        <w:tc>
          <w:tcPr>
            <w:tcW w:w="990" w:type="dxa"/>
            <w:vMerge w:val="continue"/>
            <w:tcBorders>
              <w:tl2br w:val="nil"/>
              <w:tr2bl w:val="nil"/>
            </w:tcBorders>
            <w:shd w:val="clear" w:color="auto" w:fill="auto"/>
            <w:noWrap/>
            <w:vAlign w:val="center"/>
          </w:tcPr>
          <w:p w14:paraId="69B70C3A">
            <w:pPr>
              <w:keepNext w:val="0"/>
              <w:keepLines w:val="0"/>
              <w:pageBreakBefore w:val="0"/>
              <w:widowControl/>
              <w:kinsoku/>
              <w:wordWrap/>
              <w:overflowPunct/>
              <w:topLinePunct w:val="0"/>
              <w:autoSpaceDE/>
              <w:autoSpaceDN/>
              <w:bidi w:val="0"/>
              <w:adjustRightInd w:val="0"/>
              <w:snapToGrid w:val="0"/>
              <w:spacing w:line="240" w:lineRule="auto"/>
              <w:ind w:firstLineChars="0"/>
              <w:jc w:val="center"/>
              <w:rPr>
                <w:rFonts w:hint="default" w:ascii="Times New Roman" w:hAnsi="Times New Roman" w:eastAsia="宋体" w:cs="Times New Roman"/>
                <w:i w:val="0"/>
                <w:iCs w:val="0"/>
                <w:color w:val="0000FF"/>
                <w:sz w:val="21"/>
                <w:szCs w:val="21"/>
                <w:u w:val="none"/>
              </w:rPr>
            </w:pPr>
          </w:p>
        </w:tc>
        <w:tc>
          <w:tcPr>
            <w:tcW w:w="1275" w:type="dxa"/>
            <w:vMerge w:val="continue"/>
            <w:tcBorders>
              <w:tl2br w:val="nil"/>
              <w:tr2bl w:val="nil"/>
            </w:tcBorders>
            <w:shd w:val="clear" w:color="auto" w:fill="auto"/>
            <w:noWrap/>
            <w:vAlign w:val="center"/>
          </w:tcPr>
          <w:p w14:paraId="15F92CC9">
            <w:pPr>
              <w:keepNext w:val="0"/>
              <w:keepLines w:val="0"/>
              <w:pageBreakBefore w:val="0"/>
              <w:widowControl/>
              <w:kinsoku/>
              <w:wordWrap/>
              <w:overflowPunct/>
              <w:topLinePunct w:val="0"/>
              <w:autoSpaceDE/>
              <w:autoSpaceDN/>
              <w:bidi w:val="0"/>
              <w:adjustRightInd w:val="0"/>
              <w:snapToGrid w:val="0"/>
              <w:spacing w:line="240" w:lineRule="auto"/>
              <w:ind w:firstLineChars="0"/>
              <w:jc w:val="center"/>
              <w:rPr>
                <w:rFonts w:hint="default" w:ascii="Times New Roman" w:hAnsi="Times New Roman" w:eastAsia="宋体" w:cs="Times New Roman"/>
                <w:i w:val="0"/>
                <w:iCs w:val="0"/>
                <w:color w:val="0000FF"/>
                <w:sz w:val="21"/>
                <w:szCs w:val="21"/>
                <w:u w:val="none"/>
              </w:rPr>
            </w:pPr>
          </w:p>
        </w:tc>
        <w:tc>
          <w:tcPr>
            <w:tcW w:w="1875" w:type="dxa"/>
            <w:tcBorders>
              <w:tl2br w:val="nil"/>
              <w:tr2bl w:val="nil"/>
            </w:tcBorders>
            <w:shd w:val="clear" w:color="auto" w:fill="auto"/>
            <w:noWrap/>
            <w:vAlign w:val="center"/>
          </w:tcPr>
          <w:p w14:paraId="468029C3">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1"/>
                <w:szCs w:val="21"/>
                <w:u w:val="none"/>
                <w:lang w:val="en-US" w:eastAsia="zh-CN" w:bidi="ar"/>
              </w:rPr>
              <w:t>全时段</w:t>
            </w:r>
          </w:p>
        </w:tc>
        <w:tc>
          <w:tcPr>
            <w:tcW w:w="1260" w:type="dxa"/>
            <w:tcBorders>
              <w:tl2br w:val="nil"/>
              <w:tr2bl w:val="nil"/>
            </w:tcBorders>
            <w:shd w:val="clear" w:color="auto" w:fill="auto"/>
            <w:noWrap/>
            <w:vAlign w:val="center"/>
          </w:tcPr>
          <w:p w14:paraId="1FECBE4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1"/>
                <w:szCs w:val="21"/>
                <w:u w:val="none"/>
                <w:lang w:val="en-US" w:eastAsia="zh-CN" w:bidi="ar"/>
              </w:rPr>
              <w:t>-3.82E-05</w:t>
            </w:r>
          </w:p>
        </w:tc>
        <w:tc>
          <w:tcPr>
            <w:tcW w:w="1770" w:type="dxa"/>
            <w:tcBorders>
              <w:tl2br w:val="nil"/>
              <w:tr2bl w:val="nil"/>
            </w:tcBorders>
            <w:shd w:val="clear" w:color="auto" w:fill="auto"/>
            <w:noWrap/>
            <w:vAlign w:val="center"/>
          </w:tcPr>
          <w:p w14:paraId="1C01519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1"/>
                <w:szCs w:val="21"/>
                <w:u w:val="none"/>
                <w:lang w:val="en-US" w:eastAsia="zh-CN" w:bidi="ar"/>
              </w:rPr>
              <w:t>平均值</w:t>
            </w:r>
          </w:p>
        </w:tc>
        <w:tc>
          <w:tcPr>
            <w:tcW w:w="1140" w:type="dxa"/>
            <w:tcBorders>
              <w:tl2br w:val="nil"/>
              <w:tr2bl w:val="nil"/>
            </w:tcBorders>
            <w:shd w:val="clear" w:color="auto" w:fill="auto"/>
            <w:noWrap/>
            <w:vAlign w:val="center"/>
          </w:tcPr>
          <w:p w14:paraId="058E7F8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1"/>
                <w:szCs w:val="21"/>
                <w:u w:val="none"/>
                <w:lang w:val="en-US" w:eastAsia="zh-CN" w:bidi="ar"/>
              </w:rPr>
              <w:t>4.01E-02</w:t>
            </w:r>
          </w:p>
        </w:tc>
        <w:tc>
          <w:tcPr>
            <w:tcW w:w="1605" w:type="dxa"/>
            <w:tcBorders>
              <w:tl2br w:val="nil"/>
              <w:tr2bl w:val="nil"/>
            </w:tcBorders>
            <w:shd w:val="clear" w:color="auto" w:fill="auto"/>
            <w:noWrap/>
            <w:vAlign w:val="center"/>
          </w:tcPr>
          <w:p w14:paraId="0D3BE18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1"/>
                <w:szCs w:val="21"/>
                <w:u w:val="none"/>
                <w:lang w:val="en-US" w:eastAsia="zh-CN" w:bidi="ar"/>
              </w:rPr>
              <w:t>4.00E-02</w:t>
            </w:r>
          </w:p>
        </w:tc>
        <w:tc>
          <w:tcPr>
            <w:tcW w:w="1275" w:type="dxa"/>
            <w:tcBorders>
              <w:tl2br w:val="nil"/>
              <w:tr2bl w:val="nil"/>
            </w:tcBorders>
            <w:shd w:val="clear" w:color="auto" w:fill="auto"/>
            <w:noWrap/>
            <w:vAlign w:val="center"/>
          </w:tcPr>
          <w:p w14:paraId="0103D3B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1"/>
                <w:szCs w:val="21"/>
                <w:u w:val="none"/>
                <w:lang w:val="en-US" w:eastAsia="zh-CN" w:bidi="ar"/>
              </w:rPr>
              <w:t>5.00E-02</w:t>
            </w:r>
          </w:p>
        </w:tc>
        <w:tc>
          <w:tcPr>
            <w:tcW w:w="1485" w:type="dxa"/>
            <w:tcBorders>
              <w:tl2br w:val="nil"/>
              <w:tr2bl w:val="nil"/>
            </w:tcBorders>
            <w:shd w:val="clear" w:color="auto" w:fill="auto"/>
            <w:noWrap/>
            <w:vAlign w:val="center"/>
          </w:tcPr>
          <w:p w14:paraId="4F29D79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1"/>
                <w:szCs w:val="21"/>
                <w:u w:val="none"/>
                <w:lang w:val="en-US" w:eastAsia="zh-CN" w:bidi="ar"/>
              </w:rPr>
              <w:t>80.07</w:t>
            </w:r>
          </w:p>
        </w:tc>
        <w:tc>
          <w:tcPr>
            <w:tcW w:w="912" w:type="dxa"/>
            <w:tcBorders>
              <w:tl2br w:val="nil"/>
              <w:tr2bl w:val="nil"/>
            </w:tcBorders>
            <w:shd w:val="clear" w:color="auto" w:fill="auto"/>
            <w:noWrap/>
            <w:vAlign w:val="center"/>
          </w:tcPr>
          <w:p w14:paraId="0FCC0CCE">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1"/>
                <w:szCs w:val="21"/>
                <w:u w:val="none"/>
                <w:lang w:val="en-US" w:eastAsia="zh-CN" w:bidi="ar"/>
              </w:rPr>
              <w:t>达标</w:t>
            </w:r>
          </w:p>
        </w:tc>
      </w:tr>
      <w:tr w14:paraId="7AF03B0D">
        <w:tblPrEx>
          <w:tblBorders>
            <w:top w:val="thinThickSmallGap" w:color="auto" w:sz="12" w:space="0"/>
            <w:left w:val="none" w:color="auto" w:sz="0" w:space="0"/>
            <w:bottom w:val="thinThickSmallGap" w:color="auto" w:sz="12" w:space="0"/>
            <w:right w:val="none" w:color="auto" w:sz="0"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 w:hRule="atLeast"/>
          <w:jc w:val="center"/>
        </w:trPr>
        <w:tc>
          <w:tcPr>
            <w:tcW w:w="528" w:type="dxa"/>
            <w:vMerge w:val="restart"/>
            <w:tcBorders>
              <w:tl2br w:val="nil"/>
              <w:tr2bl w:val="nil"/>
            </w:tcBorders>
            <w:shd w:val="clear" w:color="auto" w:fill="auto"/>
            <w:noWrap/>
            <w:vAlign w:val="center"/>
          </w:tcPr>
          <w:p w14:paraId="7F1E3030">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1"/>
                <w:szCs w:val="21"/>
                <w:u w:val="none"/>
                <w:lang w:val="en-US" w:eastAsia="zh-CN" w:bidi="ar"/>
              </w:rPr>
              <w:t>7</w:t>
            </w:r>
          </w:p>
        </w:tc>
        <w:tc>
          <w:tcPr>
            <w:tcW w:w="990" w:type="dxa"/>
            <w:vMerge w:val="restart"/>
            <w:tcBorders>
              <w:tl2br w:val="nil"/>
              <w:tr2bl w:val="nil"/>
            </w:tcBorders>
            <w:shd w:val="clear" w:color="auto" w:fill="auto"/>
            <w:noWrap/>
            <w:vAlign w:val="center"/>
          </w:tcPr>
          <w:p w14:paraId="02067867">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1"/>
                <w:szCs w:val="21"/>
                <w:u w:val="none"/>
                <w:lang w:val="en-US" w:eastAsia="zh-CN" w:bidi="ar"/>
              </w:rPr>
              <w:t>杨家堡子</w:t>
            </w:r>
          </w:p>
        </w:tc>
        <w:tc>
          <w:tcPr>
            <w:tcW w:w="1275" w:type="dxa"/>
            <w:vMerge w:val="restart"/>
            <w:tcBorders>
              <w:tl2br w:val="nil"/>
              <w:tr2bl w:val="nil"/>
            </w:tcBorders>
            <w:shd w:val="clear" w:color="auto" w:fill="auto"/>
            <w:noWrap/>
            <w:vAlign w:val="center"/>
          </w:tcPr>
          <w:p w14:paraId="7CE5C6D3">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1"/>
                <w:szCs w:val="21"/>
                <w:u w:val="none"/>
                <w:lang w:val="en-US" w:eastAsia="zh-CN" w:bidi="ar"/>
              </w:rPr>
              <w:t>1113,1984</w:t>
            </w:r>
          </w:p>
        </w:tc>
        <w:tc>
          <w:tcPr>
            <w:tcW w:w="1875" w:type="dxa"/>
            <w:tcBorders>
              <w:tl2br w:val="nil"/>
              <w:tr2bl w:val="nil"/>
            </w:tcBorders>
            <w:shd w:val="clear" w:color="auto" w:fill="auto"/>
            <w:noWrap/>
            <w:vAlign w:val="center"/>
          </w:tcPr>
          <w:p w14:paraId="6663926F">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1"/>
                <w:szCs w:val="21"/>
                <w:u w:val="none"/>
                <w:lang w:val="en-US" w:eastAsia="zh-CN" w:bidi="ar"/>
              </w:rPr>
              <w:t>1小时</w:t>
            </w:r>
          </w:p>
        </w:tc>
        <w:tc>
          <w:tcPr>
            <w:tcW w:w="1260" w:type="dxa"/>
            <w:tcBorders>
              <w:tl2br w:val="nil"/>
              <w:tr2bl w:val="nil"/>
            </w:tcBorders>
            <w:shd w:val="clear" w:color="auto" w:fill="auto"/>
            <w:noWrap/>
            <w:vAlign w:val="center"/>
          </w:tcPr>
          <w:p w14:paraId="1526111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1"/>
                <w:szCs w:val="21"/>
                <w:u w:val="none"/>
                <w:lang w:val="en-US" w:eastAsia="zh-CN" w:bidi="ar"/>
              </w:rPr>
              <w:t>0.00E+00</w:t>
            </w:r>
          </w:p>
        </w:tc>
        <w:tc>
          <w:tcPr>
            <w:tcW w:w="1770" w:type="dxa"/>
            <w:tcBorders>
              <w:tl2br w:val="nil"/>
              <w:tr2bl w:val="nil"/>
            </w:tcBorders>
            <w:shd w:val="clear" w:color="auto" w:fill="auto"/>
            <w:noWrap/>
            <w:vAlign w:val="center"/>
          </w:tcPr>
          <w:p w14:paraId="202CB42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1"/>
                <w:szCs w:val="21"/>
                <w:u w:val="none"/>
                <w:lang w:val="en-US" w:eastAsia="zh-CN" w:bidi="ar"/>
              </w:rPr>
              <w:t>24010101</w:t>
            </w:r>
          </w:p>
        </w:tc>
        <w:tc>
          <w:tcPr>
            <w:tcW w:w="1140" w:type="dxa"/>
            <w:tcBorders>
              <w:tl2br w:val="nil"/>
              <w:tr2bl w:val="nil"/>
            </w:tcBorders>
            <w:shd w:val="clear" w:color="auto" w:fill="auto"/>
            <w:noWrap/>
            <w:vAlign w:val="center"/>
          </w:tcPr>
          <w:p w14:paraId="720EB35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1"/>
                <w:szCs w:val="21"/>
                <w:u w:val="none"/>
                <w:lang w:val="en-US" w:eastAsia="zh-CN" w:bidi="ar"/>
              </w:rPr>
              <w:t>4.40E-02</w:t>
            </w:r>
          </w:p>
        </w:tc>
        <w:tc>
          <w:tcPr>
            <w:tcW w:w="1605" w:type="dxa"/>
            <w:tcBorders>
              <w:tl2br w:val="nil"/>
              <w:tr2bl w:val="nil"/>
            </w:tcBorders>
            <w:shd w:val="clear" w:color="auto" w:fill="auto"/>
            <w:noWrap/>
            <w:vAlign w:val="center"/>
          </w:tcPr>
          <w:p w14:paraId="2716ABF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1"/>
                <w:szCs w:val="21"/>
                <w:u w:val="none"/>
                <w:lang w:val="en-US" w:eastAsia="zh-CN" w:bidi="ar"/>
              </w:rPr>
              <w:t>4.40E-02</w:t>
            </w:r>
          </w:p>
        </w:tc>
        <w:tc>
          <w:tcPr>
            <w:tcW w:w="1275" w:type="dxa"/>
            <w:tcBorders>
              <w:tl2br w:val="nil"/>
              <w:tr2bl w:val="nil"/>
            </w:tcBorders>
            <w:shd w:val="clear" w:color="auto" w:fill="auto"/>
            <w:noWrap/>
            <w:vAlign w:val="center"/>
          </w:tcPr>
          <w:p w14:paraId="25197B4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1"/>
                <w:szCs w:val="21"/>
                <w:u w:val="none"/>
                <w:lang w:val="en-US" w:eastAsia="zh-CN" w:bidi="ar"/>
              </w:rPr>
              <w:t>2.50E-01</w:t>
            </w:r>
          </w:p>
        </w:tc>
        <w:tc>
          <w:tcPr>
            <w:tcW w:w="1485" w:type="dxa"/>
            <w:tcBorders>
              <w:tl2br w:val="nil"/>
              <w:tr2bl w:val="nil"/>
            </w:tcBorders>
            <w:shd w:val="clear" w:color="auto" w:fill="auto"/>
            <w:noWrap/>
            <w:vAlign w:val="center"/>
          </w:tcPr>
          <w:p w14:paraId="09A290A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1"/>
                <w:szCs w:val="21"/>
                <w:u w:val="none"/>
                <w:lang w:val="en-US" w:eastAsia="zh-CN" w:bidi="ar"/>
              </w:rPr>
              <w:t>17.6</w:t>
            </w:r>
          </w:p>
        </w:tc>
        <w:tc>
          <w:tcPr>
            <w:tcW w:w="912" w:type="dxa"/>
            <w:tcBorders>
              <w:tl2br w:val="nil"/>
              <w:tr2bl w:val="nil"/>
            </w:tcBorders>
            <w:shd w:val="clear" w:color="auto" w:fill="auto"/>
            <w:noWrap/>
            <w:vAlign w:val="center"/>
          </w:tcPr>
          <w:p w14:paraId="286C8FAB">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1"/>
                <w:szCs w:val="21"/>
                <w:u w:val="none"/>
                <w:lang w:val="en-US" w:eastAsia="zh-CN" w:bidi="ar"/>
              </w:rPr>
              <w:t>达标</w:t>
            </w:r>
          </w:p>
        </w:tc>
      </w:tr>
      <w:tr w14:paraId="77527DB9">
        <w:tblPrEx>
          <w:tblBorders>
            <w:top w:val="thinThickSmallGap" w:color="auto" w:sz="12" w:space="0"/>
            <w:left w:val="none" w:color="auto" w:sz="0" w:space="0"/>
            <w:bottom w:val="thinThick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528" w:type="dxa"/>
            <w:vMerge w:val="continue"/>
            <w:tcBorders>
              <w:tl2br w:val="nil"/>
              <w:tr2bl w:val="nil"/>
            </w:tcBorders>
            <w:shd w:val="clear" w:color="auto" w:fill="auto"/>
            <w:noWrap/>
            <w:vAlign w:val="center"/>
          </w:tcPr>
          <w:p w14:paraId="3AA10537">
            <w:pPr>
              <w:keepNext w:val="0"/>
              <w:keepLines w:val="0"/>
              <w:pageBreakBefore w:val="0"/>
              <w:widowControl/>
              <w:kinsoku/>
              <w:wordWrap/>
              <w:overflowPunct/>
              <w:topLinePunct w:val="0"/>
              <w:autoSpaceDE/>
              <w:autoSpaceDN/>
              <w:bidi w:val="0"/>
              <w:adjustRightInd w:val="0"/>
              <w:snapToGrid w:val="0"/>
              <w:spacing w:line="240" w:lineRule="auto"/>
              <w:ind w:firstLineChars="0"/>
              <w:jc w:val="center"/>
              <w:rPr>
                <w:rFonts w:hint="default" w:ascii="Times New Roman" w:hAnsi="Times New Roman" w:eastAsia="宋体" w:cs="Times New Roman"/>
                <w:i w:val="0"/>
                <w:iCs w:val="0"/>
                <w:color w:val="0000FF"/>
                <w:sz w:val="21"/>
                <w:szCs w:val="21"/>
                <w:u w:val="none"/>
              </w:rPr>
            </w:pPr>
          </w:p>
        </w:tc>
        <w:tc>
          <w:tcPr>
            <w:tcW w:w="990" w:type="dxa"/>
            <w:vMerge w:val="continue"/>
            <w:tcBorders>
              <w:tl2br w:val="nil"/>
              <w:tr2bl w:val="nil"/>
            </w:tcBorders>
            <w:shd w:val="clear" w:color="auto" w:fill="auto"/>
            <w:noWrap/>
            <w:vAlign w:val="center"/>
          </w:tcPr>
          <w:p w14:paraId="1D74C7AE">
            <w:pPr>
              <w:keepNext w:val="0"/>
              <w:keepLines w:val="0"/>
              <w:pageBreakBefore w:val="0"/>
              <w:widowControl/>
              <w:kinsoku/>
              <w:wordWrap/>
              <w:overflowPunct/>
              <w:topLinePunct w:val="0"/>
              <w:autoSpaceDE/>
              <w:autoSpaceDN/>
              <w:bidi w:val="0"/>
              <w:adjustRightInd w:val="0"/>
              <w:snapToGrid w:val="0"/>
              <w:spacing w:line="240" w:lineRule="auto"/>
              <w:ind w:firstLineChars="0"/>
              <w:jc w:val="center"/>
              <w:rPr>
                <w:rFonts w:hint="default" w:ascii="Times New Roman" w:hAnsi="Times New Roman" w:eastAsia="宋体" w:cs="Times New Roman"/>
                <w:i w:val="0"/>
                <w:iCs w:val="0"/>
                <w:color w:val="0000FF"/>
                <w:sz w:val="21"/>
                <w:szCs w:val="21"/>
                <w:u w:val="none"/>
              </w:rPr>
            </w:pPr>
          </w:p>
        </w:tc>
        <w:tc>
          <w:tcPr>
            <w:tcW w:w="1275" w:type="dxa"/>
            <w:vMerge w:val="continue"/>
            <w:tcBorders>
              <w:tl2br w:val="nil"/>
              <w:tr2bl w:val="nil"/>
            </w:tcBorders>
            <w:shd w:val="clear" w:color="auto" w:fill="auto"/>
            <w:noWrap/>
            <w:vAlign w:val="center"/>
          </w:tcPr>
          <w:p w14:paraId="70122251">
            <w:pPr>
              <w:keepNext w:val="0"/>
              <w:keepLines w:val="0"/>
              <w:pageBreakBefore w:val="0"/>
              <w:widowControl/>
              <w:kinsoku/>
              <w:wordWrap/>
              <w:overflowPunct/>
              <w:topLinePunct w:val="0"/>
              <w:autoSpaceDE/>
              <w:autoSpaceDN/>
              <w:bidi w:val="0"/>
              <w:adjustRightInd w:val="0"/>
              <w:snapToGrid w:val="0"/>
              <w:spacing w:line="240" w:lineRule="auto"/>
              <w:ind w:firstLineChars="0"/>
              <w:jc w:val="center"/>
              <w:rPr>
                <w:rFonts w:hint="default" w:ascii="Times New Roman" w:hAnsi="Times New Roman" w:eastAsia="宋体" w:cs="Times New Roman"/>
                <w:i w:val="0"/>
                <w:iCs w:val="0"/>
                <w:color w:val="0000FF"/>
                <w:sz w:val="21"/>
                <w:szCs w:val="21"/>
                <w:u w:val="none"/>
              </w:rPr>
            </w:pPr>
          </w:p>
        </w:tc>
        <w:tc>
          <w:tcPr>
            <w:tcW w:w="1875" w:type="dxa"/>
            <w:tcBorders>
              <w:tl2br w:val="nil"/>
              <w:tr2bl w:val="nil"/>
            </w:tcBorders>
            <w:shd w:val="clear" w:color="auto" w:fill="auto"/>
            <w:noWrap/>
            <w:vAlign w:val="center"/>
          </w:tcPr>
          <w:p w14:paraId="22679838">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1"/>
                <w:szCs w:val="21"/>
                <w:u w:val="none"/>
                <w:lang w:val="en-US" w:eastAsia="zh-CN" w:bidi="ar"/>
              </w:rPr>
              <w:t>98%保证率日平均</w:t>
            </w:r>
          </w:p>
        </w:tc>
        <w:tc>
          <w:tcPr>
            <w:tcW w:w="1260" w:type="dxa"/>
            <w:tcBorders>
              <w:tl2br w:val="nil"/>
              <w:tr2bl w:val="nil"/>
            </w:tcBorders>
            <w:shd w:val="clear" w:color="auto" w:fill="auto"/>
            <w:noWrap/>
            <w:vAlign w:val="center"/>
          </w:tcPr>
          <w:p w14:paraId="14478C7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1"/>
                <w:szCs w:val="21"/>
                <w:u w:val="none"/>
                <w:lang w:val="en-US" w:eastAsia="zh-CN" w:bidi="ar"/>
              </w:rPr>
              <w:t>0.00E+00</w:t>
            </w:r>
          </w:p>
        </w:tc>
        <w:tc>
          <w:tcPr>
            <w:tcW w:w="1770" w:type="dxa"/>
            <w:tcBorders>
              <w:tl2br w:val="nil"/>
              <w:tr2bl w:val="nil"/>
            </w:tcBorders>
            <w:shd w:val="clear" w:color="auto" w:fill="auto"/>
            <w:noWrap/>
            <w:vAlign w:val="center"/>
          </w:tcPr>
          <w:p w14:paraId="1494569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1"/>
                <w:szCs w:val="21"/>
                <w:u w:val="none"/>
                <w:lang w:val="en-US" w:eastAsia="zh-CN" w:bidi="ar"/>
              </w:rPr>
              <w:t>240921</w:t>
            </w:r>
          </w:p>
        </w:tc>
        <w:tc>
          <w:tcPr>
            <w:tcW w:w="1140" w:type="dxa"/>
            <w:tcBorders>
              <w:tl2br w:val="nil"/>
              <w:tr2bl w:val="nil"/>
            </w:tcBorders>
            <w:shd w:val="clear" w:color="auto" w:fill="auto"/>
            <w:noWrap/>
            <w:vAlign w:val="center"/>
          </w:tcPr>
          <w:p w14:paraId="49B79D9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1"/>
                <w:szCs w:val="21"/>
                <w:u w:val="none"/>
                <w:lang w:val="en-US" w:eastAsia="zh-CN" w:bidi="ar"/>
              </w:rPr>
              <w:t>4.40E-02</w:t>
            </w:r>
          </w:p>
        </w:tc>
        <w:tc>
          <w:tcPr>
            <w:tcW w:w="1605" w:type="dxa"/>
            <w:tcBorders>
              <w:tl2br w:val="nil"/>
              <w:tr2bl w:val="nil"/>
            </w:tcBorders>
            <w:shd w:val="clear" w:color="auto" w:fill="auto"/>
            <w:noWrap/>
            <w:vAlign w:val="center"/>
          </w:tcPr>
          <w:p w14:paraId="258A5CF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1"/>
                <w:szCs w:val="21"/>
                <w:u w:val="none"/>
                <w:lang w:val="en-US" w:eastAsia="zh-CN" w:bidi="ar"/>
              </w:rPr>
              <w:t>4.40E-02</w:t>
            </w:r>
          </w:p>
        </w:tc>
        <w:tc>
          <w:tcPr>
            <w:tcW w:w="1275" w:type="dxa"/>
            <w:tcBorders>
              <w:tl2br w:val="nil"/>
              <w:tr2bl w:val="nil"/>
            </w:tcBorders>
            <w:shd w:val="clear" w:color="auto" w:fill="auto"/>
            <w:noWrap/>
            <w:vAlign w:val="center"/>
          </w:tcPr>
          <w:p w14:paraId="3FAAA1A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1"/>
                <w:szCs w:val="21"/>
                <w:u w:val="none"/>
                <w:lang w:val="en-US" w:eastAsia="zh-CN" w:bidi="ar"/>
              </w:rPr>
              <w:t>1.50E-01</w:t>
            </w:r>
          </w:p>
        </w:tc>
        <w:tc>
          <w:tcPr>
            <w:tcW w:w="1485" w:type="dxa"/>
            <w:tcBorders>
              <w:tl2br w:val="nil"/>
              <w:tr2bl w:val="nil"/>
            </w:tcBorders>
            <w:shd w:val="clear" w:color="auto" w:fill="auto"/>
            <w:noWrap/>
            <w:vAlign w:val="center"/>
          </w:tcPr>
          <w:p w14:paraId="2122029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1"/>
                <w:szCs w:val="21"/>
                <w:u w:val="none"/>
                <w:lang w:val="en-US" w:eastAsia="zh-CN" w:bidi="ar"/>
              </w:rPr>
              <w:t>44</w:t>
            </w:r>
          </w:p>
        </w:tc>
        <w:tc>
          <w:tcPr>
            <w:tcW w:w="912" w:type="dxa"/>
            <w:tcBorders>
              <w:tl2br w:val="nil"/>
              <w:tr2bl w:val="nil"/>
            </w:tcBorders>
            <w:shd w:val="clear" w:color="auto" w:fill="auto"/>
            <w:noWrap/>
            <w:vAlign w:val="center"/>
          </w:tcPr>
          <w:p w14:paraId="544301DB">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1"/>
                <w:szCs w:val="21"/>
                <w:u w:val="none"/>
                <w:lang w:val="en-US" w:eastAsia="zh-CN" w:bidi="ar"/>
              </w:rPr>
              <w:t>达标</w:t>
            </w:r>
          </w:p>
        </w:tc>
      </w:tr>
      <w:tr w14:paraId="74E5F89F">
        <w:tblPrEx>
          <w:tblBorders>
            <w:top w:val="thinThickSmallGap" w:color="auto" w:sz="12" w:space="0"/>
            <w:left w:val="none" w:color="auto" w:sz="0" w:space="0"/>
            <w:bottom w:val="thinThickSmallGap" w:color="auto" w:sz="12" w:space="0"/>
            <w:right w:val="none" w:color="auto" w:sz="0"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 w:hRule="atLeast"/>
          <w:jc w:val="center"/>
        </w:trPr>
        <w:tc>
          <w:tcPr>
            <w:tcW w:w="528" w:type="dxa"/>
            <w:vMerge w:val="continue"/>
            <w:tcBorders>
              <w:tl2br w:val="nil"/>
              <w:tr2bl w:val="nil"/>
            </w:tcBorders>
            <w:shd w:val="clear" w:color="auto" w:fill="auto"/>
            <w:noWrap/>
            <w:vAlign w:val="center"/>
          </w:tcPr>
          <w:p w14:paraId="6F1ECE65">
            <w:pPr>
              <w:keepNext w:val="0"/>
              <w:keepLines w:val="0"/>
              <w:pageBreakBefore w:val="0"/>
              <w:widowControl/>
              <w:kinsoku/>
              <w:wordWrap/>
              <w:overflowPunct/>
              <w:topLinePunct w:val="0"/>
              <w:autoSpaceDE/>
              <w:autoSpaceDN/>
              <w:bidi w:val="0"/>
              <w:adjustRightInd w:val="0"/>
              <w:snapToGrid w:val="0"/>
              <w:spacing w:line="240" w:lineRule="auto"/>
              <w:ind w:firstLineChars="0"/>
              <w:jc w:val="center"/>
              <w:rPr>
                <w:rFonts w:hint="default" w:ascii="Times New Roman" w:hAnsi="Times New Roman" w:eastAsia="宋体" w:cs="Times New Roman"/>
                <w:i w:val="0"/>
                <w:iCs w:val="0"/>
                <w:color w:val="0000FF"/>
                <w:sz w:val="21"/>
                <w:szCs w:val="21"/>
                <w:u w:val="none"/>
              </w:rPr>
            </w:pPr>
          </w:p>
        </w:tc>
        <w:tc>
          <w:tcPr>
            <w:tcW w:w="990" w:type="dxa"/>
            <w:vMerge w:val="continue"/>
            <w:tcBorders>
              <w:tl2br w:val="nil"/>
              <w:tr2bl w:val="nil"/>
            </w:tcBorders>
            <w:shd w:val="clear" w:color="auto" w:fill="auto"/>
            <w:noWrap/>
            <w:vAlign w:val="center"/>
          </w:tcPr>
          <w:p w14:paraId="4D016F3B">
            <w:pPr>
              <w:keepNext w:val="0"/>
              <w:keepLines w:val="0"/>
              <w:pageBreakBefore w:val="0"/>
              <w:widowControl/>
              <w:kinsoku/>
              <w:wordWrap/>
              <w:overflowPunct/>
              <w:topLinePunct w:val="0"/>
              <w:autoSpaceDE/>
              <w:autoSpaceDN/>
              <w:bidi w:val="0"/>
              <w:adjustRightInd w:val="0"/>
              <w:snapToGrid w:val="0"/>
              <w:spacing w:line="240" w:lineRule="auto"/>
              <w:ind w:firstLineChars="0"/>
              <w:jc w:val="center"/>
              <w:rPr>
                <w:rFonts w:hint="default" w:ascii="Times New Roman" w:hAnsi="Times New Roman" w:eastAsia="宋体" w:cs="Times New Roman"/>
                <w:i w:val="0"/>
                <w:iCs w:val="0"/>
                <w:color w:val="0000FF"/>
                <w:sz w:val="21"/>
                <w:szCs w:val="21"/>
                <w:u w:val="none"/>
              </w:rPr>
            </w:pPr>
          </w:p>
        </w:tc>
        <w:tc>
          <w:tcPr>
            <w:tcW w:w="1275" w:type="dxa"/>
            <w:vMerge w:val="continue"/>
            <w:tcBorders>
              <w:tl2br w:val="nil"/>
              <w:tr2bl w:val="nil"/>
            </w:tcBorders>
            <w:shd w:val="clear" w:color="auto" w:fill="auto"/>
            <w:noWrap/>
            <w:vAlign w:val="center"/>
          </w:tcPr>
          <w:p w14:paraId="679A7E35">
            <w:pPr>
              <w:keepNext w:val="0"/>
              <w:keepLines w:val="0"/>
              <w:pageBreakBefore w:val="0"/>
              <w:widowControl/>
              <w:kinsoku/>
              <w:wordWrap/>
              <w:overflowPunct/>
              <w:topLinePunct w:val="0"/>
              <w:autoSpaceDE/>
              <w:autoSpaceDN/>
              <w:bidi w:val="0"/>
              <w:adjustRightInd w:val="0"/>
              <w:snapToGrid w:val="0"/>
              <w:spacing w:line="240" w:lineRule="auto"/>
              <w:ind w:firstLineChars="0"/>
              <w:jc w:val="center"/>
              <w:rPr>
                <w:rFonts w:hint="default" w:ascii="Times New Roman" w:hAnsi="Times New Roman" w:eastAsia="宋体" w:cs="Times New Roman"/>
                <w:i w:val="0"/>
                <w:iCs w:val="0"/>
                <w:color w:val="0000FF"/>
                <w:sz w:val="21"/>
                <w:szCs w:val="21"/>
                <w:u w:val="none"/>
              </w:rPr>
            </w:pPr>
          </w:p>
        </w:tc>
        <w:tc>
          <w:tcPr>
            <w:tcW w:w="1875" w:type="dxa"/>
            <w:tcBorders>
              <w:tl2br w:val="nil"/>
              <w:tr2bl w:val="nil"/>
            </w:tcBorders>
            <w:shd w:val="clear" w:color="auto" w:fill="auto"/>
            <w:noWrap/>
            <w:vAlign w:val="center"/>
          </w:tcPr>
          <w:p w14:paraId="49ECB6F2">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1"/>
                <w:szCs w:val="21"/>
                <w:u w:val="none"/>
                <w:lang w:val="en-US" w:eastAsia="zh-CN" w:bidi="ar"/>
              </w:rPr>
              <w:t>全时段</w:t>
            </w:r>
          </w:p>
        </w:tc>
        <w:tc>
          <w:tcPr>
            <w:tcW w:w="1260" w:type="dxa"/>
            <w:tcBorders>
              <w:tl2br w:val="nil"/>
              <w:tr2bl w:val="nil"/>
            </w:tcBorders>
            <w:shd w:val="clear" w:color="auto" w:fill="auto"/>
            <w:noWrap/>
            <w:vAlign w:val="center"/>
          </w:tcPr>
          <w:p w14:paraId="0F37645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1"/>
                <w:szCs w:val="21"/>
                <w:u w:val="none"/>
                <w:lang w:val="en-US" w:eastAsia="zh-CN" w:bidi="ar"/>
              </w:rPr>
              <w:t>-2.99E-05</w:t>
            </w:r>
          </w:p>
        </w:tc>
        <w:tc>
          <w:tcPr>
            <w:tcW w:w="1770" w:type="dxa"/>
            <w:tcBorders>
              <w:tl2br w:val="nil"/>
              <w:tr2bl w:val="nil"/>
            </w:tcBorders>
            <w:shd w:val="clear" w:color="auto" w:fill="auto"/>
            <w:noWrap/>
            <w:vAlign w:val="center"/>
          </w:tcPr>
          <w:p w14:paraId="15CD47F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1"/>
                <w:szCs w:val="21"/>
                <w:u w:val="none"/>
                <w:lang w:val="en-US" w:eastAsia="zh-CN" w:bidi="ar"/>
              </w:rPr>
              <w:t>平均值</w:t>
            </w:r>
          </w:p>
        </w:tc>
        <w:tc>
          <w:tcPr>
            <w:tcW w:w="1140" w:type="dxa"/>
            <w:tcBorders>
              <w:tl2br w:val="nil"/>
              <w:tr2bl w:val="nil"/>
            </w:tcBorders>
            <w:shd w:val="clear" w:color="auto" w:fill="auto"/>
            <w:noWrap/>
            <w:vAlign w:val="center"/>
          </w:tcPr>
          <w:p w14:paraId="49D41AC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1"/>
                <w:szCs w:val="21"/>
                <w:u w:val="none"/>
                <w:lang w:val="en-US" w:eastAsia="zh-CN" w:bidi="ar"/>
              </w:rPr>
              <w:t>4.01E-02</w:t>
            </w:r>
          </w:p>
        </w:tc>
        <w:tc>
          <w:tcPr>
            <w:tcW w:w="1605" w:type="dxa"/>
            <w:tcBorders>
              <w:tl2br w:val="nil"/>
              <w:tr2bl w:val="nil"/>
            </w:tcBorders>
            <w:shd w:val="clear" w:color="auto" w:fill="auto"/>
            <w:noWrap/>
            <w:vAlign w:val="center"/>
          </w:tcPr>
          <w:p w14:paraId="01343FA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1"/>
                <w:szCs w:val="21"/>
                <w:u w:val="none"/>
                <w:lang w:val="en-US" w:eastAsia="zh-CN" w:bidi="ar"/>
              </w:rPr>
              <w:t>4.00E-02</w:t>
            </w:r>
          </w:p>
        </w:tc>
        <w:tc>
          <w:tcPr>
            <w:tcW w:w="1275" w:type="dxa"/>
            <w:tcBorders>
              <w:tl2br w:val="nil"/>
              <w:tr2bl w:val="nil"/>
            </w:tcBorders>
            <w:shd w:val="clear" w:color="auto" w:fill="auto"/>
            <w:noWrap/>
            <w:vAlign w:val="center"/>
          </w:tcPr>
          <w:p w14:paraId="2D3B598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1"/>
                <w:szCs w:val="21"/>
                <w:u w:val="none"/>
                <w:lang w:val="en-US" w:eastAsia="zh-CN" w:bidi="ar"/>
              </w:rPr>
              <w:t>5.00E-02</w:t>
            </w:r>
          </w:p>
        </w:tc>
        <w:tc>
          <w:tcPr>
            <w:tcW w:w="1485" w:type="dxa"/>
            <w:tcBorders>
              <w:tl2br w:val="nil"/>
              <w:tr2bl w:val="nil"/>
            </w:tcBorders>
            <w:shd w:val="clear" w:color="auto" w:fill="auto"/>
            <w:noWrap/>
            <w:vAlign w:val="center"/>
          </w:tcPr>
          <w:p w14:paraId="2FC47CE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1"/>
                <w:szCs w:val="21"/>
                <w:u w:val="none"/>
                <w:lang w:val="en-US" w:eastAsia="zh-CN" w:bidi="ar"/>
              </w:rPr>
              <w:t>80.08</w:t>
            </w:r>
          </w:p>
        </w:tc>
        <w:tc>
          <w:tcPr>
            <w:tcW w:w="912" w:type="dxa"/>
            <w:tcBorders>
              <w:tl2br w:val="nil"/>
              <w:tr2bl w:val="nil"/>
            </w:tcBorders>
            <w:shd w:val="clear" w:color="auto" w:fill="auto"/>
            <w:noWrap/>
            <w:vAlign w:val="center"/>
          </w:tcPr>
          <w:p w14:paraId="011517A9">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1"/>
                <w:szCs w:val="21"/>
                <w:u w:val="none"/>
                <w:lang w:val="en-US" w:eastAsia="zh-CN" w:bidi="ar"/>
              </w:rPr>
              <w:t>达标</w:t>
            </w:r>
          </w:p>
        </w:tc>
      </w:tr>
      <w:tr w14:paraId="15459252">
        <w:tblPrEx>
          <w:tblBorders>
            <w:top w:val="thinThickSmallGap" w:color="auto" w:sz="12" w:space="0"/>
            <w:left w:val="none" w:color="auto" w:sz="0" w:space="0"/>
            <w:bottom w:val="thinThickSmallGap" w:color="auto" w:sz="12" w:space="0"/>
            <w:right w:val="none" w:color="auto" w:sz="0"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 w:hRule="atLeast"/>
          <w:jc w:val="center"/>
        </w:trPr>
        <w:tc>
          <w:tcPr>
            <w:tcW w:w="528" w:type="dxa"/>
            <w:vMerge w:val="restart"/>
            <w:tcBorders>
              <w:tl2br w:val="nil"/>
              <w:tr2bl w:val="nil"/>
            </w:tcBorders>
            <w:shd w:val="clear" w:color="auto" w:fill="auto"/>
            <w:noWrap/>
            <w:vAlign w:val="center"/>
          </w:tcPr>
          <w:p w14:paraId="4202A2BD">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1"/>
                <w:szCs w:val="21"/>
                <w:u w:val="none"/>
                <w:lang w:val="en-US" w:eastAsia="zh-CN" w:bidi="ar"/>
              </w:rPr>
              <w:t>8</w:t>
            </w:r>
          </w:p>
        </w:tc>
        <w:tc>
          <w:tcPr>
            <w:tcW w:w="990" w:type="dxa"/>
            <w:vMerge w:val="restart"/>
            <w:tcBorders>
              <w:tl2br w:val="nil"/>
              <w:tr2bl w:val="nil"/>
            </w:tcBorders>
            <w:shd w:val="clear" w:color="auto" w:fill="auto"/>
            <w:noWrap/>
            <w:vAlign w:val="center"/>
          </w:tcPr>
          <w:p w14:paraId="49F31BDE">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1"/>
                <w:szCs w:val="21"/>
                <w:u w:val="none"/>
                <w:lang w:val="en-US" w:eastAsia="zh-CN" w:bidi="ar"/>
              </w:rPr>
              <w:t>网格</w:t>
            </w:r>
          </w:p>
        </w:tc>
        <w:tc>
          <w:tcPr>
            <w:tcW w:w="1275" w:type="dxa"/>
            <w:tcBorders>
              <w:tl2br w:val="nil"/>
              <w:tr2bl w:val="nil"/>
            </w:tcBorders>
            <w:shd w:val="clear" w:color="auto" w:fill="auto"/>
            <w:noWrap/>
            <w:vAlign w:val="center"/>
          </w:tcPr>
          <w:p w14:paraId="6824E15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1"/>
                <w:szCs w:val="21"/>
                <w:u w:val="none"/>
                <w:lang w:val="en-US" w:eastAsia="zh-CN" w:bidi="ar"/>
              </w:rPr>
              <w:t>-3272,-2669</w:t>
            </w:r>
          </w:p>
        </w:tc>
        <w:tc>
          <w:tcPr>
            <w:tcW w:w="1875" w:type="dxa"/>
            <w:tcBorders>
              <w:tl2br w:val="nil"/>
              <w:tr2bl w:val="nil"/>
            </w:tcBorders>
            <w:shd w:val="clear" w:color="auto" w:fill="auto"/>
            <w:noWrap/>
            <w:vAlign w:val="center"/>
          </w:tcPr>
          <w:p w14:paraId="180110AA">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1"/>
                <w:szCs w:val="21"/>
                <w:u w:val="none"/>
                <w:lang w:val="en-US" w:eastAsia="zh-CN" w:bidi="ar"/>
              </w:rPr>
              <w:t>1小时</w:t>
            </w:r>
          </w:p>
        </w:tc>
        <w:tc>
          <w:tcPr>
            <w:tcW w:w="1260" w:type="dxa"/>
            <w:tcBorders>
              <w:tl2br w:val="nil"/>
              <w:tr2bl w:val="nil"/>
            </w:tcBorders>
            <w:shd w:val="clear" w:color="auto" w:fill="auto"/>
            <w:noWrap/>
            <w:vAlign w:val="center"/>
          </w:tcPr>
          <w:p w14:paraId="4E479ED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1"/>
                <w:szCs w:val="21"/>
                <w:u w:val="none"/>
                <w:lang w:val="en-US" w:eastAsia="zh-CN" w:bidi="ar"/>
              </w:rPr>
              <w:t>0.00E+00</w:t>
            </w:r>
          </w:p>
        </w:tc>
        <w:tc>
          <w:tcPr>
            <w:tcW w:w="1770" w:type="dxa"/>
            <w:tcBorders>
              <w:tl2br w:val="nil"/>
              <w:tr2bl w:val="nil"/>
            </w:tcBorders>
            <w:shd w:val="clear" w:color="auto" w:fill="auto"/>
            <w:noWrap/>
            <w:vAlign w:val="center"/>
          </w:tcPr>
          <w:p w14:paraId="135C62D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1"/>
                <w:szCs w:val="21"/>
                <w:u w:val="none"/>
                <w:lang w:val="en-US" w:eastAsia="zh-CN" w:bidi="ar"/>
              </w:rPr>
              <w:t>24010101</w:t>
            </w:r>
          </w:p>
        </w:tc>
        <w:tc>
          <w:tcPr>
            <w:tcW w:w="1140" w:type="dxa"/>
            <w:tcBorders>
              <w:tl2br w:val="nil"/>
              <w:tr2bl w:val="nil"/>
            </w:tcBorders>
            <w:shd w:val="clear" w:color="auto" w:fill="auto"/>
            <w:noWrap/>
            <w:vAlign w:val="center"/>
          </w:tcPr>
          <w:p w14:paraId="777C7F6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1"/>
                <w:szCs w:val="21"/>
                <w:u w:val="none"/>
                <w:lang w:val="en-US" w:eastAsia="zh-CN" w:bidi="ar"/>
              </w:rPr>
              <w:t>4.40E-02</w:t>
            </w:r>
          </w:p>
        </w:tc>
        <w:tc>
          <w:tcPr>
            <w:tcW w:w="1605" w:type="dxa"/>
            <w:tcBorders>
              <w:tl2br w:val="nil"/>
              <w:tr2bl w:val="nil"/>
            </w:tcBorders>
            <w:shd w:val="clear" w:color="auto" w:fill="auto"/>
            <w:noWrap/>
            <w:vAlign w:val="center"/>
          </w:tcPr>
          <w:p w14:paraId="647F0EE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1"/>
                <w:szCs w:val="21"/>
                <w:u w:val="none"/>
                <w:lang w:val="en-US" w:eastAsia="zh-CN" w:bidi="ar"/>
              </w:rPr>
              <w:t>4.40E-02</w:t>
            </w:r>
          </w:p>
        </w:tc>
        <w:tc>
          <w:tcPr>
            <w:tcW w:w="1275" w:type="dxa"/>
            <w:tcBorders>
              <w:tl2br w:val="nil"/>
              <w:tr2bl w:val="nil"/>
            </w:tcBorders>
            <w:shd w:val="clear" w:color="auto" w:fill="auto"/>
            <w:noWrap/>
            <w:vAlign w:val="center"/>
          </w:tcPr>
          <w:p w14:paraId="5AF82CE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1"/>
                <w:szCs w:val="21"/>
                <w:u w:val="none"/>
                <w:lang w:val="en-US" w:eastAsia="zh-CN" w:bidi="ar"/>
              </w:rPr>
              <w:t>2.50E-01</w:t>
            </w:r>
          </w:p>
        </w:tc>
        <w:tc>
          <w:tcPr>
            <w:tcW w:w="1485" w:type="dxa"/>
            <w:tcBorders>
              <w:tl2br w:val="nil"/>
              <w:tr2bl w:val="nil"/>
            </w:tcBorders>
            <w:shd w:val="clear" w:color="auto" w:fill="auto"/>
            <w:noWrap/>
            <w:vAlign w:val="center"/>
          </w:tcPr>
          <w:p w14:paraId="6885596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1"/>
                <w:szCs w:val="21"/>
                <w:u w:val="none"/>
                <w:lang w:val="en-US" w:eastAsia="zh-CN" w:bidi="ar"/>
              </w:rPr>
              <w:t>17.6</w:t>
            </w:r>
          </w:p>
        </w:tc>
        <w:tc>
          <w:tcPr>
            <w:tcW w:w="912" w:type="dxa"/>
            <w:tcBorders>
              <w:tl2br w:val="nil"/>
              <w:tr2bl w:val="nil"/>
            </w:tcBorders>
            <w:shd w:val="clear" w:color="auto" w:fill="auto"/>
            <w:noWrap/>
            <w:vAlign w:val="center"/>
          </w:tcPr>
          <w:p w14:paraId="29D735B5">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1"/>
                <w:szCs w:val="21"/>
                <w:u w:val="none"/>
                <w:lang w:val="en-US" w:eastAsia="zh-CN" w:bidi="ar"/>
              </w:rPr>
              <w:t>达标</w:t>
            </w:r>
          </w:p>
        </w:tc>
      </w:tr>
      <w:tr w14:paraId="63CD1584">
        <w:tblPrEx>
          <w:tblBorders>
            <w:top w:val="thinThickSmallGap" w:color="auto" w:sz="12" w:space="0"/>
            <w:left w:val="none" w:color="auto" w:sz="0" w:space="0"/>
            <w:bottom w:val="thinThick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528" w:type="dxa"/>
            <w:vMerge w:val="continue"/>
            <w:tcBorders>
              <w:tl2br w:val="nil"/>
              <w:tr2bl w:val="nil"/>
            </w:tcBorders>
            <w:shd w:val="clear" w:color="auto" w:fill="auto"/>
            <w:noWrap/>
            <w:vAlign w:val="center"/>
          </w:tcPr>
          <w:p w14:paraId="23FAA032">
            <w:pPr>
              <w:keepNext w:val="0"/>
              <w:keepLines w:val="0"/>
              <w:pageBreakBefore w:val="0"/>
              <w:widowControl/>
              <w:kinsoku/>
              <w:wordWrap/>
              <w:overflowPunct/>
              <w:topLinePunct w:val="0"/>
              <w:autoSpaceDE/>
              <w:autoSpaceDN/>
              <w:bidi w:val="0"/>
              <w:adjustRightInd w:val="0"/>
              <w:snapToGrid w:val="0"/>
              <w:spacing w:line="240" w:lineRule="auto"/>
              <w:ind w:firstLineChars="0"/>
              <w:jc w:val="center"/>
              <w:rPr>
                <w:rFonts w:hint="default" w:ascii="Times New Roman" w:hAnsi="Times New Roman" w:eastAsia="宋体" w:cs="Times New Roman"/>
                <w:i w:val="0"/>
                <w:iCs w:val="0"/>
                <w:color w:val="0000FF"/>
                <w:sz w:val="21"/>
                <w:szCs w:val="21"/>
                <w:u w:val="none"/>
              </w:rPr>
            </w:pPr>
          </w:p>
        </w:tc>
        <w:tc>
          <w:tcPr>
            <w:tcW w:w="990" w:type="dxa"/>
            <w:vMerge w:val="continue"/>
            <w:tcBorders>
              <w:tl2br w:val="nil"/>
              <w:tr2bl w:val="nil"/>
            </w:tcBorders>
            <w:shd w:val="clear" w:color="auto" w:fill="auto"/>
            <w:noWrap/>
            <w:vAlign w:val="center"/>
          </w:tcPr>
          <w:p w14:paraId="6CEC43B7">
            <w:pPr>
              <w:keepNext w:val="0"/>
              <w:keepLines w:val="0"/>
              <w:pageBreakBefore w:val="0"/>
              <w:widowControl/>
              <w:kinsoku/>
              <w:wordWrap/>
              <w:overflowPunct/>
              <w:topLinePunct w:val="0"/>
              <w:autoSpaceDE/>
              <w:autoSpaceDN/>
              <w:bidi w:val="0"/>
              <w:adjustRightInd w:val="0"/>
              <w:snapToGrid w:val="0"/>
              <w:spacing w:line="240" w:lineRule="auto"/>
              <w:ind w:firstLineChars="0"/>
              <w:jc w:val="center"/>
              <w:rPr>
                <w:rFonts w:hint="default" w:ascii="Times New Roman" w:hAnsi="Times New Roman" w:eastAsia="宋体" w:cs="Times New Roman"/>
                <w:i w:val="0"/>
                <w:iCs w:val="0"/>
                <w:color w:val="0000FF"/>
                <w:sz w:val="21"/>
                <w:szCs w:val="21"/>
                <w:u w:val="none"/>
              </w:rPr>
            </w:pPr>
          </w:p>
        </w:tc>
        <w:tc>
          <w:tcPr>
            <w:tcW w:w="1275" w:type="dxa"/>
            <w:tcBorders>
              <w:tl2br w:val="nil"/>
              <w:tr2bl w:val="nil"/>
            </w:tcBorders>
            <w:shd w:val="clear" w:color="auto" w:fill="auto"/>
            <w:noWrap/>
            <w:vAlign w:val="center"/>
          </w:tcPr>
          <w:p w14:paraId="2CC74E4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1"/>
                <w:szCs w:val="21"/>
                <w:u w:val="none"/>
                <w:lang w:val="en-US" w:eastAsia="zh-CN" w:bidi="ar"/>
              </w:rPr>
              <w:t>-3272,-2669</w:t>
            </w:r>
          </w:p>
        </w:tc>
        <w:tc>
          <w:tcPr>
            <w:tcW w:w="1875" w:type="dxa"/>
            <w:tcBorders>
              <w:tl2br w:val="nil"/>
              <w:tr2bl w:val="nil"/>
            </w:tcBorders>
            <w:shd w:val="clear" w:color="auto" w:fill="auto"/>
            <w:noWrap/>
            <w:vAlign w:val="center"/>
          </w:tcPr>
          <w:p w14:paraId="7FFF1808">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1"/>
                <w:szCs w:val="21"/>
                <w:u w:val="none"/>
                <w:lang w:val="en-US" w:eastAsia="zh-CN" w:bidi="ar"/>
              </w:rPr>
              <w:t>98%保证率日平均</w:t>
            </w:r>
          </w:p>
        </w:tc>
        <w:tc>
          <w:tcPr>
            <w:tcW w:w="1260" w:type="dxa"/>
            <w:tcBorders>
              <w:tl2br w:val="nil"/>
              <w:tr2bl w:val="nil"/>
            </w:tcBorders>
            <w:shd w:val="clear" w:color="auto" w:fill="auto"/>
            <w:noWrap/>
            <w:vAlign w:val="center"/>
          </w:tcPr>
          <w:p w14:paraId="3771503B">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1"/>
                <w:szCs w:val="21"/>
                <w:u w:val="none"/>
                <w:lang w:val="en-US" w:eastAsia="zh-CN" w:bidi="ar"/>
              </w:rPr>
              <w:t>1.88E-03</w:t>
            </w:r>
          </w:p>
        </w:tc>
        <w:tc>
          <w:tcPr>
            <w:tcW w:w="1770" w:type="dxa"/>
            <w:tcBorders>
              <w:tl2br w:val="nil"/>
              <w:tr2bl w:val="nil"/>
            </w:tcBorders>
            <w:shd w:val="clear" w:color="auto" w:fill="auto"/>
            <w:noWrap/>
            <w:vAlign w:val="center"/>
          </w:tcPr>
          <w:p w14:paraId="2538434F">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1"/>
                <w:szCs w:val="21"/>
                <w:u w:val="none"/>
                <w:lang w:val="en-US" w:eastAsia="zh-CN" w:bidi="ar"/>
              </w:rPr>
              <w:t>240224</w:t>
            </w:r>
          </w:p>
        </w:tc>
        <w:tc>
          <w:tcPr>
            <w:tcW w:w="1140" w:type="dxa"/>
            <w:tcBorders>
              <w:tl2br w:val="nil"/>
              <w:tr2bl w:val="nil"/>
            </w:tcBorders>
            <w:shd w:val="clear" w:color="auto" w:fill="auto"/>
            <w:noWrap/>
            <w:vAlign w:val="center"/>
          </w:tcPr>
          <w:p w14:paraId="0E2ACAE5">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1"/>
                <w:szCs w:val="21"/>
                <w:u w:val="none"/>
                <w:lang w:val="en-US" w:eastAsia="zh-CN" w:bidi="ar"/>
              </w:rPr>
              <w:t>1.90E-02</w:t>
            </w:r>
          </w:p>
        </w:tc>
        <w:tc>
          <w:tcPr>
            <w:tcW w:w="1605" w:type="dxa"/>
            <w:tcBorders>
              <w:tl2br w:val="nil"/>
              <w:tr2bl w:val="nil"/>
            </w:tcBorders>
            <w:shd w:val="clear" w:color="auto" w:fill="auto"/>
            <w:noWrap/>
            <w:vAlign w:val="center"/>
          </w:tcPr>
          <w:p w14:paraId="0A08AD3D">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1"/>
                <w:szCs w:val="21"/>
                <w:u w:val="none"/>
                <w:lang w:val="en-US" w:eastAsia="zh-CN" w:bidi="ar"/>
              </w:rPr>
              <w:t>2.09E-02</w:t>
            </w:r>
          </w:p>
        </w:tc>
        <w:tc>
          <w:tcPr>
            <w:tcW w:w="1275" w:type="dxa"/>
            <w:tcBorders>
              <w:tl2br w:val="nil"/>
              <w:tr2bl w:val="nil"/>
            </w:tcBorders>
            <w:shd w:val="clear" w:color="auto" w:fill="auto"/>
            <w:noWrap/>
            <w:vAlign w:val="center"/>
          </w:tcPr>
          <w:p w14:paraId="63D8C50E">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1"/>
                <w:szCs w:val="21"/>
                <w:u w:val="none"/>
                <w:lang w:val="en-US" w:eastAsia="zh-CN" w:bidi="ar"/>
              </w:rPr>
              <w:t>1.50E-01</w:t>
            </w:r>
          </w:p>
        </w:tc>
        <w:tc>
          <w:tcPr>
            <w:tcW w:w="1485" w:type="dxa"/>
            <w:tcBorders>
              <w:tl2br w:val="nil"/>
              <w:tr2bl w:val="nil"/>
            </w:tcBorders>
            <w:shd w:val="clear" w:color="auto" w:fill="auto"/>
            <w:noWrap/>
            <w:vAlign w:val="center"/>
          </w:tcPr>
          <w:p w14:paraId="0B91E949">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1"/>
                <w:szCs w:val="21"/>
                <w:u w:val="none"/>
                <w:lang w:val="en-US" w:eastAsia="zh-CN" w:bidi="ar"/>
              </w:rPr>
              <w:t>13.92</w:t>
            </w:r>
          </w:p>
        </w:tc>
        <w:tc>
          <w:tcPr>
            <w:tcW w:w="912" w:type="dxa"/>
            <w:tcBorders>
              <w:tl2br w:val="nil"/>
              <w:tr2bl w:val="nil"/>
            </w:tcBorders>
            <w:shd w:val="clear" w:color="auto" w:fill="auto"/>
            <w:noWrap/>
            <w:vAlign w:val="center"/>
          </w:tcPr>
          <w:p w14:paraId="4ADB5571">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1"/>
                <w:szCs w:val="21"/>
                <w:u w:val="none"/>
                <w:lang w:val="en-US" w:eastAsia="zh-CN" w:bidi="ar"/>
              </w:rPr>
              <w:t>达标</w:t>
            </w:r>
          </w:p>
        </w:tc>
      </w:tr>
      <w:tr w14:paraId="3EF1D7FA">
        <w:tblPrEx>
          <w:tblBorders>
            <w:top w:val="thinThickSmallGap" w:color="auto" w:sz="12" w:space="0"/>
            <w:left w:val="none" w:color="auto" w:sz="0" w:space="0"/>
            <w:bottom w:val="thinThick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528" w:type="dxa"/>
            <w:vMerge w:val="continue"/>
            <w:tcBorders>
              <w:tl2br w:val="nil"/>
              <w:tr2bl w:val="nil"/>
            </w:tcBorders>
            <w:shd w:val="clear" w:color="auto" w:fill="auto"/>
            <w:noWrap/>
            <w:vAlign w:val="center"/>
          </w:tcPr>
          <w:p w14:paraId="72BE8D89">
            <w:pPr>
              <w:keepNext w:val="0"/>
              <w:keepLines w:val="0"/>
              <w:pageBreakBefore w:val="0"/>
              <w:widowControl/>
              <w:kinsoku/>
              <w:wordWrap/>
              <w:overflowPunct/>
              <w:topLinePunct w:val="0"/>
              <w:autoSpaceDE/>
              <w:autoSpaceDN/>
              <w:bidi w:val="0"/>
              <w:adjustRightInd w:val="0"/>
              <w:snapToGrid w:val="0"/>
              <w:spacing w:line="240" w:lineRule="auto"/>
              <w:ind w:firstLineChars="0"/>
              <w:jc w:val="center"/>
              <w:rPr>
                <w:rFonts w:hint="default" w:ascii="Times New Roman" w:hAnsi="Times New Roman" w:eastAsia="宋体" w:cs="Times New Roman"/>
                <w:i w:val="0"/>
                <w:iCs w:val="0"/>
                <w:color w:val="0000FF"/>
                <w:sz w:val="21"/>
                <w:szCs w:val="21"/>
                <w:u w:val="none"/>
              </w:rPr>
            </w:pPr>
          </w:p>
        </w:tc>
        <w:tc>
          <w:tcPr>
            <w:tcW w:w="990" w:type="dxa"/>
            <w:vMerge w:val="continue"/>
            <w:tcBorders>
              <w:tl2br w:val="nil"/>
              <w:tr2bl w:val="nil"/>
            </w:tcBorders>
            <w:shd w:val="clear" w:color="auto" w:fill="auto"/>
            <w:noWrap/>
            <w:vAlign w:val="center"/>
          </w:tcPr>
          <w:p w14:paraId="23190E66">
            <w:pPr>
              <w:keepNext w:val="0"/>
              <w:keepLines w:val="0"/>
              <w:pageBreakBefore w:val="0"/>
              <w:widowControl/>
              <w:kinsoku/>
              <w:wordWrap/>
              <w:overflowPunct/>
              <w:topLinePunct w:val="0"/>
              <w:autoSpaceDE/>
              <w:autoSpaceDN/>
              <w:bidi w:val="0"/>
              <w:adjustRightInd w:val="0"/>
              <w:snapToGrid w:val="0"/>
              <w:spacing w:line="240" w:lineRule="auto"/>
              <w:ind w:firstLineChars="0"/>
              <w:jc w:val="center"/>
              <w:rPr>
                <w:rFonts w:hint="default" w:ascii="Times New Roman" w:hAnsi="Times New Roman" w:eastAsia="宋体" w:cs="Times New Roman"/>
                <w:i w:val="0"/>
                <w:iCs w:val="0"/>
                <w:color w:val="0000FF"/>
                <w:sz w:val="21"/>
                <w:szCs w:val="21"/>
                <w:u w:val="none"/>
              </w:rPr>
            </w:pPr>
          </w:p>
        </w:tc>
        <w:tc>
          <w:tcPr>
            <w:tcW w:w="1275" w:type="dxa"/>
            <w:tcBorders>
              <w:tl2br w:val="nil"/>
              <w:tr2bl w:val="nil"/>
            </w:tcBorders>
            <w:shd w:val="clear" w:color="auto" w:fill="auto"/>
            <w:noWrap/>
            <w:vAlign w:val="center"/>
          </w:tcPr>
          <w:p w14:paraId="2CF27C5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1"/>
                <w:szCs w:val="21"/>
                <w:u w:val="none"/>
                <w:lang w:val="en-US" w:eastAsia="zh-CN" w:bidi="ar"/>
              </w:rPr>
              <w:t>28,31</w:t>
            </w:r>
          </w:p>
        </w:tc>
        <w:tc>
          <w:tcPr>
            <w:tcW w:w="1875" w:type="dxa"/>
            <w:tcBorders>
              <w:tl2br w:val="nil"/>
              <w:tr2bl w:val="nil"/>
            </w:tcBorders>
            <w:shd w:val="clear" w:color="auto" w:fill="auto"/>
            <w:noWrap/>
            <w:vAlign w:val="center"/>
          </w:tcPr>
          <w:p w14:paraId="2A88231D">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1"/>
                <w:szCs w:val="21"/>
                <w:u w:val="none"/>
                <w:lang w:val="en-US" w:eastAsia="zh-CN" w:bidi="ar"/>
              </w:rPr>
              <w:t>全时段</w:t>
            </w:r>
          </w:p>
        </w:tc>
        <w:tc>
          <w:tcPr>
            <w:tcW w:w="1260" w:type="dxa"/>
            <w:tcBorders>
              <w:tl2br w:val="nil"/>
              <w:tr2bl w:val="nil"/>
            </w:tcBorders>
            <w:shd w:val="clear" w:color="auto" w:fill="auto"/>
            <w:noWrap/>
            <w:vAlign w:val="center"/>
          </w:tcPr>
          <w:p w14:paraId="008806A2">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1"/>
                <w:szCs w:val="21"/>
                <w:u w:val="none"/>
                <w:lang w:val="en-US" w:eastAsia="zh-CN" w:bidi="ar"/>
              </w:rPr>
              <w:t>4.06E-04</w:t>
            </w:r>
          </w:p>
        </w:tc>
        <w:tc>
          <w:tcPr>
            <w:tcW w:w="1770" w:type="dxa"/>
            <w:tcBorders>
              <w:tl2br w:val="nil"/>
              <w:tr2bl w:val="nil"/>
            </w:tcBorders>
            <w:shd w:val="clear" w:color="auto" w:fill="auto"/>
            <w:noWrap/>
            <w:vAlign w:val="center"/>
          </w:tcPr>
          <w:p w14:paraId="66A0D7A5">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1"/>
                <w:szCs w:val="21"/>
                <w:u w:val="none"/>
                <w:lang w:val="en-US" w:eastAsia="zh-CN" w:bidi="ar"/>
              </w:rPr>
              <w:t>平均值</w:t>
            </w:r>
          </w:p>
        </w:tc>
        <w:tc>
          <w:tcPr>
            <w:tcW w:w="1140" w:type="dxa"/>
            <w:tcBorders>
              <w:tl2br w:val="nil"/>
              <w:tr2bl w:val="nil"/>
            </w:tcBorders>
            <w:shd w:val="clear" w:color="auto" w:fill="auto"/>
            <w:noWrap/>
            <w:vAlign w:val="center"/>
          </w:tcPr>
          <w:p w14:paraId="6B48A0FC">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1"/>
                <w:szCs w:val="21"/>
                <w:u w:val="none"/>
                <w:lang w:val="en-US" w:eastAsia="zh-CN" w:bidi="ar"/>
              </w:rPr>
              <w:t>9.10E-03</w:t>
            </w:r>
          </w:p>
        </w:tc>
        <w:tc>
          <w:tcPr>
            <w:tcW w:w="1605" w:type="dxa"/>
            <w:tcBorders>
              <w:tl2br w:val="nil"/>
              <w:tr2bl w:val="nil"/>
            </w:tcBorders>
            <w:shd w:val="clear" w:color="auto" w:fill="auto"/>
            <w:noWrap/>
            <w:vAlign w:val="center"/>
          </w:tcPr>
          <w:p w14:paraId="51D3FEDF">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1"/>
                <w:szCs w:val="21"/>
                <w:u w:val="none"/>
                <w:lang w:val="en-US" w:eastAsia="zh-CN" w:bidi="ar"/>
              </w:rPr>
              <w:t>9.50E-03</w:t>
            </w:r>
          </w:p>
        </w:tc>
        <w:tc>
          <w:tcPr>
            <w:tcW w:w="1275" w:type="dxa"/>
            <w:tcBorders>
              <w:tl2br w:val="nil"/>
              <w:tr2bl w:val="nil"/>
            </w:tcBorders>
            <w:shd w:val="clear" w:color="auto" w:fill="auto"/>
            <w:noWrap/>
            <w:vAlign w:val="center"/>
          </w:tcPr>
          <w:p w14:paraId="5A183A2A">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1"/>
                <w:szCs w:val="21"/>
                <w:u w:val="none"/>
                <w:lang w:val="en-US" w:eastAsia="zh-CN" w:bidi="ar"/>
              </w:rPr>
              <w:t>6.00E-02</w:t>
            </w:r>
          </w:p>
        </w:tc>
        <w:tc>
          <w:tcPr>
            <w:tcW w:w="1485" w:type="dxa"/>
            <w:tcBorders>
              <w:tl2br w:val="nil"/>
              <w:tr2bl w:val="nil"/>
            </w:tcBorders>
            <w:shd w:val="clear" w:color="auto" w:fill="auto"/>
            <w:noWrap/>
            <w:vAlign w:val="center"/>
          </w:tcPr>
          <w:p w14:paraId="4963A95B">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1"/>
                <w:szCs w:val="21"/>
                <w:u w:val="none"/>
                <w:lang w:val="en-US" w:eastAsia="zh-CN" w:bidi="ar"/>
              </w:rPr>
              <w:t>15.84</w:t>
            </w:r>
          </w:p>
        </w:tc>
        <w:tc>
          <w:tcPr>
            <w:tcW w:w="912" w:type="dxa"/>
            <w:tcBorders>
              <w:tl2br w:val="nil"/>
              <w:tr2bl w:val="nil"/>
            </w:tcBorders>
            <w:shd w:val="clear" w:color="auto" w:fill="auto"/>
            <w:noWrap/>
            <w:vAlign w:val="center"/>
          </w:tcPr>
          <w:p w14:paraId="2AD4D921">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1"/>
                <w:szCs w:val="21"/>
                <w:u w:val="none"/>
                <w:lang w:val="en-US" w:eastAsia="zh-CN" w:bidi="ar"/>
              </w:rPr>
              <w:t>达标</w:t>
            </w:r>
          </w:p>
        </w:tc>
      </w:tr>
    </w:tbl>
    <w:p w14:paraId="78E2E1A9">
      <w:pPr>
        <w:tabs>
          <w:tab w:val="left" w:pos="851"/>
          <w:tab w:val="left" w:pos="1141"/>
          <w:tab w:val="left" w:pos="4335"/>
        </w:tabs>
        <w:jc w:val="center"/>
        <w:rPr>
          <w:rFonts w:hint="default" w:ascii="Times New Roman" w:hAnsi="Times New Roman" w:eastAsia="黑体" w:cs="Times New Roman"/>
          <w:bCs/>
          <w:color w:val="0000FF"/>
        </w:rPr>
      </w:pPr>
      <w:r>
        <w:rPr>
          <w:rFonts w:hint="default" w:ascii="Times New Roman" w:hAnsi="Times New Roman" w:eastAsia="黑体" w:cs="Times New Roman"/>
          <w:bCs/>
          <w:color w:val="0000FF"/>
        </w:rPr>
        <w:t>表</w:t>
      </w:r>
      <w:r>
        <w:rPr>
          <w:rFonts w:hint="eastAsia" w:ascii="Times New Roman" w:hAnsi="Times New Roman" w:eastAsia="黑体" w:cs="Times New Roman"/>
          <w:bCs/>
          <w:color w:val="0000FF"/>
          <w:lang w:val="en-US" w:eastAsia="zh-CN"/>
        </w:rPr>
        <w:t>5.1-25</w:t>
      </w:r>
      <w:r>
        <w:rPr>
          <w:rFonts w:hint="default" w:ascii="Times New Roman" w:hAnsi="Times New Roman" w:eastAsia="黑体" w:cs="Times New Roman"/>
          <w:bCs/>
          <w:color w:val="0000FF"/>
        </w:rPr>
        <w:t>关心点及网格点</w:t>
      </w:r>
      <w:r>
        <w:rPr>
          <w:rFonts w:hint="eastAsia" w:ascii="Times New Roman" w:hAnsi="Times New Roman" w:eastAsia="黑体" w:cs="Times New Roman"/>
          <w:bCs/>
          <w:color w:val="0000FF"/>
          <w:lang w:val="en-US" w:eastAsia="zh-CN"/>
        </w:rPr>
        <w:t>TSP</w:t>
      </w:r>
      <w:r>
        <w:rPr>
          <w:rFonts w:hint="default" w:ascii="Times New Roman" w:hAnsi="Times New Roman" w:eastAsia="黑体" w:cs="Times New Roman"/>
          <w:bCs/>
          <w:color w:val="0000FF"/>
        </w:rPr>
        <w:t>叠加最大浓度预测结果表</w:t>
      </w:r>
    </w:p>
    <w:tbl>
      <w:tblPr>
        <w:tblStyle w:val="56"/>
        <w:tblW w:w="14115" w:type="dxa"/>
        <w:jc w:val="center"/>
        <w:tblBorders>
          <w:top w:val="thinThickSmallGap" w:color="auto" w:sz="12" w:space="0"/>
          <w:left w:val="none" w:color="auto" w:sz="0" w:space="0"/>
          <w:bottom w:val="thinThickSmallGap" w:color="auto" w:sz="12" w:space="0"/>
          <w:right w:val="none" w:color="auto" w:sz="0"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528"/>
        <w:gridCol w:w="990"/>
        <w:gridCol w:w="1275"/>
        <w:gridCol w:w="1875"/>
        <w:gridCol w:w="1260"/>
        <w:gridCol w:w="1770"/>
        <w:gridCol w:w="1140"/>
        <w:gridCol w:w="1605"/>
        <w:gridCol w:w="1275"/>
        <w:gridCol w:w="1485"/>
        <w:gridCol w:w="912"/>
      </w:tblGrid>
      <w:tr w14:paraId="2E8E608D">
        <w:tblPrEx>
          <w:tblBorders>
            <w:top w:val="thinThickSmallGap" w:color="auto" w:sz="12" w:space="0"/>
            <w:left w:val="none" w:color="auto" w:sz="0" w:space="0"/>
            <w:bottom w:val="thinThickSmallGap" w:color="auto" w:sz="12" w:space="0"/>
            <w:right w:val="none" w:color="auto" w:sz="0"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 w:hRule="atLeast"/>
          <w:jc w:val="center"/>
        </w:trPr>
        <w:tc>
          <w:tcPr>
            <w:tcW w:w="528" w:type="dxa"/>
            <w:tcBorders>
              <w:tl2br w:val="nil"/>
              <w:tr2bl w:val="nil"/>
            </w:tcBorders>
            <w:shd w:val="clear" w:color="auto" w:fill="auto"/>
            <w:noWrap/>
            <w:vAlign w:val="center"/>
          </w:tcPr>
          <w:p w14:paraId="6283B8A4">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1"/>
                <w:szCs w:val="21"/>
                <w:u w:val="none"/>
                <w:lang w:val="en-US" w:eastAsia="zh-CN" w:bidi="ar"/>
              </w:rPr>
              <w:t>序号</w:t>
            </w:r>
          </w:p>
        </w:tc>
        <w:tc>
          <w:tcPr>
            <w:tcW w:w="990" w:type="dxa"/>
            <w:tcBorders>
              <w:tl2br w:val="nil"/>
              <w:tr2bl w:val="nil"/>
            </w:tcBorders>
            <w:shd w:val="clear" w:color="auto" w:fill="auto"/>
            <w:noWrap/>
            <w:vAlign w:val="center"/>
          </w:tcPr>
          <w:p w14:paraId="49F62D0D">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1"/>
                <w:szCs w:val="21"/>
                <w:u w:val="none"/>
                <w:lang w:val="en-US" w:eastAsia="zh-CN" w:bidi="ar"/>
              </w:rPr>
              <w:t>点名称</w:t>
            </w:r>
          </w:p>
        </w:tc>
        <w:tc>
          <w:tcPr>
            <w:tcW w:w="1275" w:type="dxa"/>
            <w:tcBorders>
              <w:tl2br w:val="nil"/>
              <w:tr2bl w:val="nil"/>
            </w:tcBorders>
            <w:shd w:val="clear" w:color="auto" w:fill="auto"/>
            <w:noWrap/>
            <w:vAlign w:val="center"/>
          </w:tcPr>
          <w:p w14:paraId="70A12175">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1"/>
                <w:szCs w:val="21"/>
                <w:u w:val="none"/>
                <w:lang w:val="en-US" w:eastAsia="zh-CN" w:bidi="ar"/>
              </w:rPr>
              <w:t>点坐标(x,y)</w:t>
            </w:r>
          </w:p>
        </w:tc>
        <w:tc>
          <w:tcPr>
            <w:tcW w:w="1875" w:type="dxa"/>
            <w:tcBorders>
              <w:tl2br w:val="nil"/>
              <w:tr2bl w:val="nil"/>
            </w:tcBorders>
            <w:shd w:val="clear" w:color="auto" w:fill="auto"/>
            <w:noWrap/>
            <w:vAlign w:val="center"/>
          </w:tcPr>
          <w:p w14:paraId="05992077">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1"/>
                <w:szCs w:val="21"/>
                <w:u w:val="none"/>
                <w:lang w:val="en-US" w:eastAsia="zh-CN" w:bidi="ar"/>
              </w:rPr>
              <w:t>浓度类型</w:t>
            </w:r>
          </w:p>
        </w:tc>
        <w:tc>
          <w:tcPr>
            <w:tcW w:w="1260" w:type="dxa"/>
            <w:tcBorders>
              <w:tl2br w:val="nil"/>
              <w:tr2bl w:val="nil"/>
            </w:tcBorders>
            <w:shd w:val="clear" w:color="auto" w:fill="auto"/>
            <w:noWrap/>
            <w:vAlign w:val="center"/>
          </w:tcPr>
          <w:p w14:paraId="7B41CC00">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1"/>
                <w:szCs w:val="21"/>
                <w:u w:val="none"/>
                <w:lang w:val="en-US" w:eastAsia="zh-CN" w:bidi="ar"/>
              </w:rPr>
              <w:t>浓度增量(mg/m</w:t>
            </w:r>
            <w:r>
              <w:rPr>
                <w:rFonts w:hint="default" w:ascii="Times New Roman" w:hAnsi="Times New Roman" w:eastAsia="宋体" w:cs="Times New Roman"/>
                <w:i w:val="0"/>
                <w:iCs w:val="0"/>
                <w:color w:val="0000FF"/>
                <w:kern w:val="0"/>
                <w:sz w:val="21"/>
                <w:szCs w:val="21"/>
                <w:u w:val="none"/>
                <w:vertAlign w:val="superscript"/>
                <w:lang w:val="en-US" w:eastAsia="zh-CN" w:bidi="ar"/>
              </w:rPr>
              <w:t>3</w:t>
            </w:r>
            <w:r>
              <w:rPr>
                <w:rFonts w:hint="default" w:ascii="Times New Roman" w:hAnsi="Times New Roman" w:eastAsia="宋体" w:cs="Times New Roman"/>
                <w:i w:val="0"/>
                <w:iCs w:val="0"/>
                <w:color w:val="0000FF"/>
                <w:kern w:val="0"/>
                <w:sz w:val="21"/>
                <w:szCs w:val="21"/>
                <w:u w:val="none"/>
                <w:lang w:val="en-US" w:eastAsia="zh-CN" w:bidi="ar"/>
              </w:rPr>
              <w:t>)</w:t>
            </w:r>
          </w:p>
        </w:tc>
        <w:tc>
          <w:tcPr>
            <w:tcW w:w="1770" w:type="dxa"/>
            <w:tcBorders>
              <w:tl2br w:val="nil"/>
              <w:tr2bl w:val="nil"/>
            </w:tcBorders>
            <w:shd w:val="clear" w:color="auto" w:fill="auto"/>
            <w:noWrap/>
            <w:vAlign w:val="center"/>
          </w:tcPr>
          <w:p w14:paraId="39C3B07D">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1"/>
                <w:szCs w:val="21"/>
                <w:u w:val="none"/>
                <w:lang w:val="en-US" w:eastAsia="zh-CN" w:bidi="ar"/>
              </w:rPr>
              <w:t>出现时间(YYMMDDHH)</w:t>
            </w:r>
          </w:p>
        </w:tc>
        <w:tc>
          <w:tcPr>
            <w:tcW w:w="1140" w:type="dxa"/>
            <w:tcBorders>
              <w:tl2br w:val="nil"/>
              <w:tr2bl w:val="nil"/>
            </w:tcBorders>
            <w:shd w:val="clear" w:color="auto" w:fill="auto"/>
            <w:noWrap/>
            <w:vAlign w:val="center"/>
          </w:tcPr>
          <w:p w14:paraId="236F70E4">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1"/>
                <w:szCs w:val="21"/>
                <w:u w:val="none"/>
                <w:lang w:val="en-US" w:eastAsia="zh-CN" w:bidi="ar"/>
              </w:rPr>
              <w:t>背景浓度(mg/m</w:t>
            </w:r>
            <w:r>
              <w:rPr>
                <w:rFonts w:hint="default" w:ascii="Times New Roman" w:hAnsi="Times New Roman" w:eastAsia="宋体" w:cs="Times New Roman"/>
                <w:i w:val="0"/>
                <w:iCs w:val="0"/>
                <w:color w:val="0000FF"/>
                <w:kern w:val="0"/>
                <w:sz w:val="21"/>
                <w:szCs w:val="21"/>
                <w:u w:val="none"/>
                <w:vertAlign w:val="superscript"/>
                <w:lang w:val="en-US" w:eastAsia="zh-CN" w:bidi="ar"/>
              </w:rPr>
              <w:t>3</w:t>
            </w:r>
            <w:r>
              <w:rPr>
                <w:rFonts w:hint="default" w:ascii="Times New Roman" w:hAnsi="Times New Roman" w:eastAsia="宋体" w:cs="Times New Roman"/>
                <w:i w:val="0"/>
                <w:iCs w:val="0"/>
                <w:color w:val="0000FF"/>
                <w:kern w:val="0"/>
                <w:sz w:val="21"/>
                <w:szCs w:val="21"/>
                <w:u w:val="none"/>
                <w:lang w:val="en-US" w:eastAsia="zh-CN" w:bidi="ar"/>
              </w:rPr>
              <w:t>)</w:t>
            </w:r>
          </w:p>
        </w:tc>
        <w:tc>
          <w:tcPr>
            <w:tcW w:w="1605" w:type="dxa"/>
            <w:tcBorders>
              <w:tl2br w:val="nil"/>
              <w:tr2bl w:val="nil"/>
            </w:tcBorders>
            <w:shd w:val="clear" w:color="auto" w:fill="auto"/>
            <w:noWrap/>
            <w:vAlign w:val="center"/>
          </w:tcPr>
          <w:p w14:paraId="0680B951">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1"/>
                <w:szCs w:val="21"/>
                <w:u w:val="none"/>
                <w:lang w:val="en-US" w:eastAsia="zh-CN" w:bidi="ar"/>
              </w:rPr>
              <w:t>叠加背景后的浓度(mg/m</w:t>
            </w:r>
            <w:r>
              <w:rPr>
                <w:rFonts w:hint="default" w:ascii="Times New Roman" w:hAnsi="Times New Roman" w:eastAsia="宋体" w:cs="Times New Roman"/>
                <w:i w:val="0"/>
                <w:iCs w:val="0"/>
                <w:color w:val="0000FF"/>
                <w:kern w:val="0"/>
                <w:sz w:val="21"/>
                <w:szCs w:val="21"/>
                <w:u w:val="none"/>
                <w:vertAlign w:val="superscript"/>
                <w:lang w:val="en-US" w:eastAsia="zh-CN" w:bidi="ar"/>
              </w:rPr>
              <w:t>3</w:t>
            </w:r>
            <w:r>
              <w:rPr>
                <w:rFonts w:hint="default" w:ascii="Times New Roman" w:hAnsi="Times New Roman" w:eastAsia="宋体" w:cs="Times New Roman"/>
                <w:i w:val="0"/>
                <w:iCs w:val="0"/>
                <w:color w:val="0000FF"/>
                <w:kern w:val="0"/>
                <w:sz w:val="21"/>
                <w:szCs w:val="21"/>
                <w:u w:val="none"/>
                <w:lang w:val="en-US" w:eastAsia="zh-CN" w:bidi="ar"/>
              </w:rPr>
              <w:t>)</w:t>
            </w:r>
          </w:p>
        </w:tc>
        <w:tc>
          <w:tcPr>
            <w:tcW w:w="1275" w:type="dxa"/>
            <w:tcBorders>
              <w:tl2br w:val="nil"/>
              <w:tr2bl w:val="nil"/>
            </w:tcBorders>
            <w:shd w:val="clear" w:color="auto" w:fill="auto"/>
            <w:noWrap/>
            <w:vAlign w:val="center"/>
          </w:tcPr>
          <w:p w14:paraId="09754E47">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1"/>
                <w:szCs w:val="21"/>
                <w:u w:val="none"/>
                <w:lang w:val="en-US" w:eastAsia="zh-CN" w:bidi="ar"/>
              </w:rPr>
              <w:t>评价标准(mg/m</w:t>
            </w:r>
            <w:r>
              <w:rPr>
                <w:rFonts w:hint="default" w:ascii="Times New Roman" w:hAnsi="Times New Roman" w:eastAsia="宋体" w:cs="Times New Roman"/>
                <w:i w:val="0"/>
                <w:iCs w:val="0"/>
                <w:color w:val="0000FF"/>
                <w:kern w:val="0"/>
                <w:sz w:val="21"/>
                <w:szCs w:val="21"/>
                <w:u w:val="none"/>
                <w:vertAlign w:val="superscript"/>
                <w:lang w:val="en-US" w:eastAsia="zh-CN" w:bidi="ar"/>
              </w:rPr>
              <w:t>3</w:t>
            </w:r>
            <w:r>
              <w:rPr>
                <w:rFonts w:hint="default" w:ascii="Times New Roman" w:hAnsi="Times New Roman" w:eastAsia="宋体" w:cs="Times New Roman"/>
                <w:i w:val="0"/>
                <w:iCs w:val="0"/>
                <w:color w:val="0000FF"/>
                <w:kern w:val="0"/>
                <w:sz w:val="21"/>
                <w:szCs w:val="21"/>
                <w:u w:val="none"/>
                <w:lang w:val="en-US" w:eastAsia="zh-CN" w:bidi="ar"/>
              </w:rPr>
              <w:t>)</w:t>
            </w:r>
          </w:p>
        </w:tc>
        <w:tc>
          <w:tcPr>
            <w:tcW w:w="1485" w:type="dxa"/>
            <w:tcBorders>
              <w:tl2br w:val="nil"/>
              <w:tr2bl w:val="nil"/>
            </w:tcBorders>
            <w:shd w:val="clear" w:color="auto" w:fill="auto"/>
            <w:noWrap/>
            <w:vAlign w:val="center"/>
          </w:tcPr>
          <w:p w14:paraId="3B083760">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1"/>
                <w:szCs w:val="21"/>
                <w:u w:val="none"/>
                <w:lang w:val="en-US" w:eastAsia="zh-CN" w:bidi="ar"/>
              </w:rPr>
              <w:t>占标率%(叠加背景以后)</w:t>
            </w:r>
          </w:p>
        </w:tc>
        <w:tc>
          <w:tcPr>
            <w:tcW w:w="912" w:type="dxa"/>
            <w:tcBorders>
              <w:tl2br w:val="nil"/>
              <w:tr2bl w:val="nil"/>
            </w:tcBorders>
            <w:shd w:val="clear" w:color="auto" w:fill="auto"/>
            <w:noWrap/>
            <w:vAlign w:val="center"/>
          </w:tcPr>
          <w:p w14:paraId="2AB19423">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1"/>
                <w:szCs w:val="21"/>
                <w:u w:val="none"/>
                <w:lang w:val="en-US" w:eastAsia="zh-CN" w:bidi="ar"/>
              </w:rPr>
              <w:t>是否超标</w:t>
            </w:r>
          </w:p>
        </w:tc>
      </w:tr>
      <w:tr w14:paraId="68A291E5">
        <w:tblPrEx>
          <w:tblBorders>
            <w:top w:val="thinThickSmallGap" w:color="auto" w:sz="12" w:space="0"/>
            <w:left w:val="none" w:color="auto" w:sz="0" w:space="0"/>
            <w:bottom w:val="thinThickSmallGap" w:color="auto" w:sz="12" w:space="0"/>
            <w:right w:val="none" w:color="auto" w:sz="0"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 w:hRule="atLeast"/>
          <w:jc w:val="center"/>
        </w:trPr>
        <w:tc>
          <w:tcPr>
            <w:tcW w:w="528" w:type="dxa"/>
            <w:vMerge w:val="restart"/>
            <w:tcBorders>
              <w:tl2br w:val="nil"/>
              <w:tr2bl w:val="nil"/>
            </w:tcBorders>
            <w:shd w:val="clear" w:color="auto" w:fill="auto"/>
            <w:noWrap/>
            <w:vAlign w:val="center"/>
          </w:tcPr>
          <w:p w14:paraId="0FDCF9D8">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1"/>
                <w:szCs w:val="21"/>
                <w:u w:val="none"/>
                <w:lang w:val="en-US" w:eastAsia="zh-CN" w:bidi="ar"/>
              </w:rPr>
              <w:t>1</w:t>
            </w:r>
          </w:p>
        </w:tc>
        <w:tc>
          <w:tcPr>
            <w:tcW w:w="990" w:type="dxa"/>
            <w:vMerge w:val="restart"/>
            <w:tcBorders>
              <w:tl2br w:val="nil"/>
              <w:tr2bl w:val="nil"/>
            </w:tcBorders>
            <w:shd w:val="clear" w:color="auto" w:fill="auto"/>
            <w:noWrap/>
            <w:vAlign w:val="center"/>
          </w:tcPr>
          <w:p w14:paraId="793492BF">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1"/>
                <w:szCs w:val="21"/>
                <w:u w:val="none"/>
                <w:lang w:val="en-US" w:eastAsia="zh-CN" w:bidi="ar"/>
              </w:rPr>
              <w:t>祁家堡</w:t>
            </w:r>
          </w:p>
        </w:tc>
        <w:tc>
          <w:tcPr>
            <w:tcW w:w="1275" w:type="dxa"/>
            <w:vMerge w:val="restart"/>
            <w:tcBorders>
              <w:tl2br w:val="nil"/>
              <w:tr2bl w:val="nil"/>
            </w:tcBorders>
            <w:shd w:val="clear" w:color="auto" w:fill="auto"/>
            <w:noWrap/>
            <w:vAlign w:val="center"/>
          </w:tcPr>
          <w:p w14:paraId="09E17A23">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1"/>
                <w:szCs w:val="21"/>
                <w:u w:val="none"/>
                <w:lang w:val="en-US" w:eastAsia="zh-CN" w:bidi="ar"/>
              </w:rPr>
              <w:t>85,261</w:t>
            </w:r>
          </w:p>
        </w:tc>
        <w:tc>
          <w:tcPr>
            <w:tcW w:w="1875" w:type="dxa"/>
            <w:tcBorders>
              <w:tl2br w:val="nil"/>
              <w:tr2bl w:val="nil"/>
            </w:tcBorders>
            <w:shd w:val="clear" w:color="auto" w:fill="auto"/>
            <w:noWrap/>
            <w:vAlign w:val="center"/>
          </w:tcPr>
          <w:p w14:paraId="4DED0588">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1"/>
                <w:szCs w:val="21"/>
                <w:u w:val="none"/>
                <w:lang w:val="en-US" w:eastAsia="zh-CN" w:bidi="ar"/>
              </w:rPr>
              <w:t>9</w:t>
            </w:r>
            <w:r>
              <w:rPr>
                <w:rFonts w:hint="eastAsia" w:ascii="Times New Roman" w:hAnsi="Times New Roman" w:eastAsia="宋体" w:cs="Times New Roman"/>
                <w:i w:val="0"/>
                <w:iCs w:val="0"/>
                <w:color w:val="0000FF"/>
                <w:kern w:val="0"/>
                <w:sz w:val="21"/>
                <w:szCs w:val="21"/>
                <w:u w:val="none"/>
                <w:lang w:val="en-US" w:eastAsia="zh-CN" w:bidi="ar"/>
              </w:rPr>
              <w:t>5</w:t>
            </w:r>
            <w:r>
              <w:rPr>
                <w:rFonts w:hint="default" w:ascii="Times New Roman" w:hAnsi="Times New Roman" w:eastAsia="宋体" w:cs="Times New Roman"/>
                <w:i w:val="0"/>
                <w:iCs w:val="0"/>
                <w:color w:val="0000FF"/>
                <w:kern w:val="0"/>
                <w:sz w:val="21"/>
                <w:szCs w:val="21"/>
                <w:u w:val="none"/>
                <w:lang w:val="en-US" w:eastAsia="zh-CN" w:bidi="ar"/>
              </w:rPr>
              <w:t>%</w:t>
            </w:r>
            <w:r>
              <w:rPr>
                <w:rStyle w:val="542"/>
                <w:rFonts w:hint="default" w:ascii="Times New Roman" w:hAnsi="Times New Roman" w:eastAsia="宋体" w:cs="Times New Roman"/>
                <w:color w:val="0000FF"/>
                <w:sz w:val="21"/>
                <w:szCs w:val="21"/>
                <w:lang w:val="en-US" w:eastAsia="zh-CN" w:bidi="ar"/>
              </w:rPr>
              <w:t>保证率日平均</w:t>
            </w:r>
          </w:p>
        </w:tc>
        <w:tc>
          <w:tcPr>
            <w:tcW w:w="1260" w:type="dxa"/>
            <w:tcBorders>
              <w:tl2br w:val="nil"/>
              <w:tr2bl w:val="nil"/>
            </w:tcBorders>
            <w:shd w:val="clear" w:color="auto" w:fill="auto"/>
            <w:noWrap/>
            <w:vAlign w:val="center"/>
          </w:tcPr>
          <w:p w14:paraId="64376483">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1.95E-03</w:t>
            </w:r>
          </w:p>
        </w:tc>
        <w:tc>
          <w:tcPr>
            <w:tcW w:w="1770" w:type="dxa"/>
            <w:tcBorders>
              <w:tl2br w:val="nil"/>
              <w:tr2bl w:val="nil"/>
            </w:tcBorders>
            <w:shd w:val="clear" w:color="auto" w:fill="auto"/>
            <w:noWrap/>
            <w:vAlign w:val="center"/>
          </w:tcPr>
          <w:p w14:paraId="1647E8C2">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240409</w:t>
            </w:r>
          </w:p>
        </w:tc>
        <w:tc>
          <w:tcPr>
            <w:tcW w:w="1140" w:type="dxa"/>
            <w:tcBorders>
              <w:tl2br w:val="nil"/>
              <w:tr2bl w:val="nil"/>
            </w:tcBorders>
            <w:shd w:val="clear" w:color="auto" w:fill="auto"/>
            <w:noWrap/>
            <w:vAlign w:val="center"/>
          </w:tcPr>
          <w:p w14:paraId="68633756">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8.00E-02</w:t>
            </w:r>
          </w:p>
        </w:tc>
        <w:tc>
          <w:tcPr>
            <w:tcW w:w="1605" w:type="dxa"/>
            <w:tcBorders>
              <w:tl2br w:val="nil"/>
              <w:tr2bl w:val="nil"/>
            </w:tcBorders>
            <w:shd w:val="clear" w:color="auto" w:fill="auto"/>
            <w:noWrap/>
            <w:vAlign w:val="center"/>
          </w:tcPr>
          <w:p w14:paraId="4267F529">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8.20E-02</w:t>
            </w:r>
          </w:p>
        </w:tc>
        <w:tc>
          <w:tcPr>
            <w:tcW w:w="1275" w:type="dxa"/>
            <w:tcBorders>
              <w:tl2br w:val="nil"/>
              <w:tr2bl w:val="nil"/>
            </w:tcBorders>
            <w:shd w:val="clear" w:color="auto" w:fill="auto"/>
            <w:noWrap/>
            <w:vAlign w:val="center"/>
          </w:tcPr>
          <w:p w14:paraId="0078C2E7">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1.50E-01</w:t>
            </w:r>
          </w:p>
        </w:tc>
        <w:tc>
          <w:tcPr>
            <w:tcW w:w="1485" w:type="dxa"/>
            <w:tcBorders>
              <w:tl2br w:val="nil"/>
              <w:tr2bl w:val="nil"/>
            </w:tcBorders>
            <w:shd w:val="clear" w:color="auto" w:fill="auto"/>
            <w:noWrap/>
            <w:vAlign w:val="center"/>
          </w:tcPr>
          <w:p w14:paraId="72C32037">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27.32</w:t>
            </w:r>
          </w:p>
        </w:tc>
        <w:tc>
          <w:tcPr>
            <w:tcW w:w="912" w:type="dxa"/>
            <w:tcBorders>
              <w:tl2br w:val="nil"/>
              <w:tr2bl w:val="nil"/>
            </w:tcBorders>
            <w:shd w:val="clear" w:color="auto" w:fill="auto"/>
            <w:noWrap/>
            <w:vAlign w:val="center"/>
          </w:tcPr>
          <w:p w14:paraId="56A49A0D">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达标</w:t>
            </w:r>
          </w:p>
        </w:tc>
      </w:tr>
      <w:tr w14:paraId="07D8CDE2">
        <w:tblPrEx>
          <w:tblBorders>
            <w:top w:val="thinThickSmallGap" w:color="auto" w:sz="12" w:space="0"/>
            <w:left w:val="none" w:color="auto" w:sz="0" w:space="0"/>
            <w:bottom w:val="thinThickSmallGap" w:color="auto" w:sz="12" w:space="0"/>
            <w:right w:val="none" w:color="auto" w:sz="0"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 w:hRule="atLeast"/>
          <w:jc w:val="center"/>
        </w:trPr>
        <w:tc>
          <w:tcPr>
            <w:tcW w:w="528" w:type="dxa"/>
            <w:vMerge w:val="continue"/>
            <w:tcBorders>
              <w:tl2br w:val="nil"/>
              <w:tr2bl w:val="nil"/>
            </w:tcBorders>
            <w:shd w:val="clear" w:color="auto" w:fill="auto"/>
            <w:noWrap/>
            <w:vAlign w:val="center"/>
          </w:tcPr>
          <w:p w14:paraId="0EAF9DE5">
            <w:pPr>
              <w:keepNext w:val="0"/>
              <w:keepLines w:val="0"/>
              <w:pageBreakBefore w:val="0"/>
              <w:widowControl/>
              <w:kinsoku/>
              <w:wordWrap/>
              <w:overflowPunct/>
              <w:topLinePunct w:val="0"/>
              <w:autoSpaceDE/>
              <w:autoSpaceDN/>
              <w:bidi w:val="0"/>
              <w:adjustRightInd w:val="0"/>
              <w:snapToGrid w:val="0"/>
              <w:spacing w:line="240" w:lineRule="auto"/>
              <w:ind w:firstLineChars="0"/>
              <w:jc w:val="center"/>
              <w:rPr>
                <w:rFonts w:hint="default" w:ascii="Times New Roman" w:hAnsi="Times New Roman" w:eastAsia="宋体" w:cs="Times New Roman"/>
                <w:i w:val="0"/>
                <w:iCs w:val="0"/>
                <w:color w:val="0000FF"/>
                <w:sz w:val="21"/>
                <w:szCs w:val="21"/>
                <w:u w:val="none"/>
              </w:rPr>
            </w:pPr>
          </w:p>
        </w:tc>
        <w:tc>
          <w:tcPr>
            <w:tcW w:w="990" w:type="dxa"/>
            <w:vMerge w:val="continue"/>
            <w:tcBorders>
              <w:tl2br w:val="nil"/>
              <w:tr2bl w:val="nil"/>
            </w:tcBorders>
            <w:shd w:val="clear" w:color="auto" w:fill="auto"/>
            <w:noWrap/>
            <w:vAlign w:val="center"/>
          </w:tcPr>
          <w:p w14:paraId="5510A35A">
            <w:pPr>
              <w:keepNext w:val="0"/>
              <w:keepLines w:val="0"/>
              <w:pageBreakBefore w:val="0"/>
              <w:widowControl/>
              <w:kinsoku/>
              <w:wordWrap/>
              <w:overflowPunct/>
              <w:topLinePunct w:val="0"/>
              <w:autoSpaceDE/>
              <w:autoSpaceDN/>
              <w:bidi w:val="0"/>
              <w:adjustRightInd w:val="0"/>
              <w:snapToGrid w:val="0"/>
              <w:spacing w:line="240" w:lineRule="auto"/>
              <w:ind w:firstLineChars="0"/>
              <w:jc w:val="center"/>
              <w:rPr>
                <w:rFonts w:hint="default" w:ascii="Times New Roman" w:hAnsi="Times New Roman" w:eastAsia="宋体" w:cs="Times New Roman"/>
                <w:i w:val="0"/>
                <w:iCs w:val="0"/>
                <w:color w:val="0000FF"/>
                <w:sz w:val="21"/>
                <w:szCs w:val="21"/>
                <w:u w:val="none"/>
              </w:rPr>
            </w:pPr>
          </w:p>
        </w:tc>
        <w:tc>
          <w:tcPr>
            <w:tcW w:w="1275" w:type="dxa"/>
            <w:vMerge w:val="continue"/>
            <w:tcBorders>
              <w:tl2br w:val="nil"/>
              <w:tr2bl w:val="nil"/>
            </w:tcBorders>
            <w:shd w:val="clear" w:color="auto" w:fill="auto"/>
            <w:noWrap/>
            <w:vAlign w:val="center"/>
          </w:tcPr>
          <w:p w14:paraId="34256D31">
            <w:pPr>
              <w:keepNext w:val="0"/>
              <w:keepLines w:val="0"/>
              <w:pageBreakBefore w:val="0"/>
              <w:widowControl/>
              <w:kinsoku/>
              <w:wordWrap/>
              <w:overflowPunct/>
              <w:topLinePunct w:val="0"/>
              <w:autoSpaceDE/>
              <w:autoSpaceDN/>
              <w:bidi w:val="0"/>
              <w:adjustRightInd w:val="0"/>
              <w:snapToGrid w:val="0"/>
              <w:spacing w:line="240" w:lineRule="auto"/>
              <w:ind w:firstLineChars="0"/>
              <w:jc w:val="center"/>
              <w:rPr>
                <w:rFonts w:hint="default" w:ascii="Times New Roman" w:hAnsi="Times New Roman" w:eastAsia="宋体" w:cs="Times New Roman"/>
                <w:i w:val="0"/>
                <w:iCs w:val="0"/>
                <w:color w:val="0000FF"/>
                <w:sz w:val="21"/>
                <w:szCs w:val="21"/>
                <w:u w:val="none"/>
              </w:rPr>
            </w:pPr>
          </w:p>
        </w:tc>
        <w:tc>
          <w:tcPr>
            <w:tcW w:w="1875" w:type="dxa"/>
            <w:tcBorders>
              <w:tl2br w:val="nil"/>
              <w:tr2bl w:val="nil"/>
            </w:tcBorders>
            <w:shd w:val="clear" w:color="auto" w:fill="auto"/>
            <w:noWrap/>
            <w:vAlign w:val="center"/>
          </w:tcPr>
          <w:p w14:paraId="2AA35D7A">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1"/>
                <w:szCs w:val="21"/>
                <w:u w:val="none"/>
                <w:lang w:val="en-US" w:eastAsia="zh-CN" w:bidi="ar"/>
              </w:rPr>
              <w:t>全时段</w:t>
            </w:r>
          </w:p>
        </w:tc>
        <w:tc>
          <w:tcPr>
            <w:tcW w:w="1260" w:type="dxa"/>
            <w:tcBorders>
              <w:tl2br w:val="nil"/>
              <w:tr2bl w:val="nil"/>
            </w:tcBorders>
            <w:shd w:val="clear" w:color="auto" w:fill="auto"/>
            <w:noWrap/>
            <w:vAlign w:val="center"/>
          </w:tcPr>
          <w:p w14:paraId="1655C23C">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5.68E-04</w:t>
            </w:r>
          </w:p>
        </w:tc>
        <w:tc>
          <w:tcPr>
            <w:tcW w:w="1770" w:type="dxa"/>
            <w:tcBorders>
              <w:tl2br w:val="nil"/>
              <w:tr2bl w:val="nil"/>
            </w:tcBorders>
            <w:shd w:val="clear" w:color="auto" w:fill="auto"/>
            <w:noWrap/>
            <w:vAlign w:val="center"/>
          </w:tcPr>
          <w:p w14:paraId="729A8EE9">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平均值</w:t>
            </w:r>
          </w:p>
        </w:tc>
        <w:tc>
          <w:tcPr>
            <w:tcW w:w="1140" w:type="dxa"/>
            <w:tcBorders>
              <w:tl2br w:val="nil"/>
              <w:tr2bl w:val="nil"/>
            </w:tcBorders>
            <w:shd w:val="clear" w:color="auto" w:fill="auto"/>
            <w:noWrap/>
            <w:vAlign w:val="center"/>
          </w:tcPr>
          <w:p w14:paraId="727E9307">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7.65E-02</w:t>
            </w:r>
          </w:p>
        </w:tc>
        <w:tc>
          <w:tcPr>
            <w:tcW w:w="1605" w:type="dxa"/>
            <w:tcBorders>
              <w:tl2br w:val="nil"/>
              <w:tr2bl w:val="nil"/>
            </w:tcBorders>
            <w:shd w:val="clear" w:color="auto" w:fill="auto"/>
            <w:noWrap/>
            <w:vAlign w:val="center"/>
          </w:tcPr>
          <w:p w14:paraId="36467AC6">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7.71E-02</w:t>
            </w:r>
          </w:p>
        </w:tc>
        <w:tc>
          <w:tcPr>
            <w:tcW w:w="1275" w:type="dxa"/>
            <w:tcBorders>
              <w:tl2br w:val="nil"/>
              <w:tr2bl w:val="nil"/>
            </w:tcBorders>
            <w:shd w:val="clear" w:color="auto" w:fill="auto"/>
            <w:noWrap/>
            <w:vAlign w:val="center"/>
          </w:tcPr>
          <w:p w14:paraId="1D1FF1F1">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2.00E-01</w:t>
            </w:r>
          </w:p>
        </w:tc>
        <w:tc>
          <w:tcPr>
            <w:tcW w:w="1485" w:type="dxa"/>
            <w:tcBorders>
              <w:tl2br w:val="nil"/>
              <w:tr2bl w:val="nil"/>
            </w:tcBorders>
            <w:shd w:val="clear" w:color="auto" w:fill="auto"/>
            <w:noWrap/>
            <w:vAlign w:val="center"/>
          </w:tcPr>
          <w:p w14:paraId="5D85E957">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38.53</w:t>
            </w:r>
          </w:p>
        </w:tc>
        <w:tc>
          <w:tcPr>
            <w:tcW w:w="912" w:type="dxa"/>
            <w:tcBorders>
              <w:tl2br w:val="nil"/>
              <w:tr2bl w:val="nil"/>
            </w:tcBorders>
            <w:shd w:val="clear" w:color="auto" w:fill="auto"/>
            <w:noWrap/>
            <w:vAlign w:val="center"/>
          </w:tcPr>
          <w:p w14:paraId="02F6CBF6">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达标</w:t>
            </w:r>
          </w:p>
        </w:tc>
      </w:tr>
      <w:tr w14:paraId="14561310">
        <w:tblPrEx>
          <w:tblBorders>
            <w:top w:val="thinThickSmallGap" w:color="auto" w:sz="12" w:space="0"/>
            <w:left w:val="none" w:color="auto" w:sz="0" w:space="0"/>
            <w:bottom w:val="thinThick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528" w:type="dxa"/>
            <w:vMerge w:val="restart"/>
            <w:tcBorders>
              <w:tl2br w:val="nil"/>
              <w:tr2bl w:val="nil"/>
            </w:tcBorders>
            <w:shd w:val="clear" w:color="auto" w:fill="auto"/>
            <w:noWrap/>
            <w:vAlign w:val="center"/>
          </w:tcPr>
          <w:p w14:paraId="78BED376">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1"/>
                <w:szCs w:val="21"/>
                <w:u w:val="none"/>
                <w:lang w:val="en-US" w:eastAsia="zh-CN" w:bidi="ar"/>
              </w:rPr>
              <w:t>2</w:t>
            </w:r>
          </w:p>
        </w:tc>
        <w:tc>
          <w:tcPr>
            <w:tcW w:w="990" w:type="dxa"/>
            <w:vMerge w:val="restart"/>
            <w:tcBorders>
              <w:tl2br w:val="nil"/>
              <w:tr2bl w:val="nil"/>
            </w:tcBorders>
            <w:shd w:val="clear" w:color="auto" w:fill="auto"/>
            <w:noWrap/>
            <w:vAlign w:val="center"/>
          </w:tcPr>
          <w:p w14:paraId="3E0032E3">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1"/>
                <w:szCs w:val="21"/>
                <w:u w:val="none"/>
                <w:lang w:val="en-US" w:eastAsia="zh-CN" w:bidi="ar"/>
              </w:rPr>
              <w:t>部队</w:t>
            </w:r>
          </w:p>
        </w:tc>
        <w:tc>
          <w:tcPr>
            <w:tcW w:w="1275" w:type="dxa"/>
            <w:vMerge w:val="restart"/>
            <w:tcBorders>
              <w:tl2br w:val="nil"/>
              <w:tr2bl w:val="nil"/>
            </w:tcBorders>
            <w:shd w:val="clear" w:color="auto" w:fill="auto"/>
            <w:noWrap/>
            <w:vAlign w:val="center"/>
          </w:tcPr>
          <w:p w14:paraId="191C7845">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1"/>
                <w:szCs w:val="21"/>
                <w:u w:val="none"/>
                <w:lang w:val="en-US" w:eastAsia="zh-CN" w:bidi="ar"/>
              </w:rPr>
              <w:t>-179,10</w:t>
            </w:r>
          </w:p>
        </w:tc>
        <w:tc>
          <w:tcPr>
            <w:tcW w:w="1875" w:type="dxa"/>
            <w:tcBorders>
              <w:tl2br w:val="nil"/>
              <w:tr2bl w:val="nil"/>
            </w:tcBorders>
            <w:shd w:val="clear" w:color="auto" w:fill="auto"/>
            <w:noWrap/>
            <w:vAlign w:val="center"/>
          </w:tcPr>
          <w:p w14:paraId="3D76E0AA">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1"/>
                <w:szCs w:val="21"/>
                <w:u w:val="none"/>
                <w:lang w:val="en-US" w:eastAsia="zh-CN" w:bidi="ar"/>
              </w:rPr>
              <w:t>9</w:t>
            </w:r>
            <w:r>
              <w:rPr>
                <w:rFonts w:hint="eastAsia" w:ascii="Times New Roman" w:hAnsi="Times New Roman" w:eastAsia="宋体" w:cs="Times New Roman"/>
                <w:i w:val="0"/>
                <w:iCs w:val="0"/>
                <w:color w:val="0000FF"/>
                <w:kern w:val="0"/>
                <w:sz w:val="21"/>
                <w:szCs w:val="21"/>
                <w:u w:val="none"/>
                <w:lang w:val="en-US" w:eastAsia="zh-CN" w:bidi="ar"/>
              </w:rPr>
              <w:t>5</w:t>
            </w:r>
            <w:r>
              <w:rPr>
                <w:rFonts w:hint="default" w:ascii="Times New Roman" w:hAnsi="Times New Roman" w:eastAsia="宋体" w:cs="Times New Roman"/>
                <w:i w:val="0"/>
                <w:iCs w:val="0"/>
                <w:color w:val="0000FF"/>
                <w:kern w:val="0"/>
                <w:sz w:val="21"/>
                <w:szCs w:val="21"/>
                <w:u w:val="none"/>
                <w:lang w:val="en-US" w:eastAsia="zh-CN" w:bidi="ar"/>
              </w:rPr>
              <w:t>%</w:t>
            </w:r>
            <w:r>
              <w:rPr>
                <w:rStyle w:val="542"/>
                <w:rFonts w:hint="default" w:ascii="Times New Roman" w:hAnsi="Times New Roman" w:eastAsia="宋体" w:cs="Times New Roman"/>
                <w:color w:val="0000FF"/>
                <w:sz w:val="21"/>
                <w:szCs w:val="21"/>
                <w:lang w:val="en-US" w:eastAsia="zh-CN" w:bidi="ar"/>
              </w:rPr>
              <w:t>保证率日平均</w:t>
            </w:r>
          </w:p>
        </w:tc>
        <w:tc>
          <w:tcPr>
            <w:tcW w:w="1260" w:type="dxa"/>
            <w:tcBorders>
              <w:tl2br w:val="nil"/>
              <w:tr2bl w:val="nil"/>
            </w:tcBorders>
            <w:shd w:val="clear" w:color="auto" w:fill="auto"/>
            <w:noWrap/>
            <w:vAlign w:val="center"/>
          </w:tcPr>
          <w:p w14:paraId="1D74181A">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9.05E-04</w:t>
            </w:r>
          </w:p>
        </w:tc>
        <w:tc>
          <w:tcPr>
            <w:tcW w:w="1770" w:type="dxa"/>
            <w:tcBorders>
              <w:tl2br w:val="nil"/>
              <w:tr2bl w:val="nil"/>
            </w:tcBorders>
            <w:shd w:val="clear" w:color="auto" w:fill="auto"/>
            <w:noWrap/>
            <w:vAlign w:val="center"/>
          </w:tcPr>
          <w:p w14:paraId="598F6BC6">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240513</w:t>
            </w:r>
          </w:p>
        </w:tc>
        <w:tc>
          <w:tcPr>
            <w:tcW w:w="1140" w:type="dxa"/>
            <w:tcBorders>
              <w:tl2br w:val="nil"/>
              <w:tr2bl w:val="nil"/>
            </w:tcBorders>
            <w:shd w:val="clear" w:color="auto" w:fill="auto"/>
            <w:noWrap/>
            <w:vAlign w:val="center"/>
          </w:tcPr>
          <w:p w14:paraId="57AB75CC">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8.00E-02</w:t>
            </w:r>
          </w:p>
        </w:tc>
        <w:tc>
          <w:tcPr>
            <w:tcW w:w="1605" w:type="dxa"/>
            <w:tcBorders>
              <w:tl2br w:val="nil"/>
              <w:tr2bl w:val="nil"/>
            </w:tcBorders>
            <w:shd w:val="clear" w:color="auto" w:fill="auto"/>
            <w:noWrap/>
            <w:vAlign w:val="center"/>
          </w:tcPr>
          <w:p w14:paraId="43786DF7">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8.09E-02</w:t>
            </w:r>
          </w:p>
        </w:tc>
        <w:tc>
          <w:tcPr>
            <w:tcW w:w="1275" w:type="dxa"/>
            <w:tcBorders>
              <w:tl2br w:val="nil"/>
              <w:tr2bl w:val="nil"/>
            </w:tcBorders>
            <w:shd w:val="clear" w:color="auto" w:fill="auto"/>
            <w:noWrap/>
            <w:vAlign w:val="center"/>
          </w:tcPr>
          <w:p w14:paraId="5417687C">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1.50E-01</w:t>
            </w:r>
          </w:p>
        </w:tc>
        <w:tc>
          <w:tcPr>
            <w:tcW w:w="1485" w:type="dxa"/>
            <w:tcBorders>
              <w:tl2br w:val="nil"/>
              <w:tr2bl w:val="nil"/>
            </w:tcBorders>
            <w:shd w:val="clear" w:color="auto" w:fill="auto"/>
            <w:noWrap/>
            <w:vAlign w:val="center"/>
          </w:tcPr>
          <w:p w14:paraId="4AD2B1BA">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26.97</w:t>
            </w:r>
          </w:p>
        </w:tc>
        <w:tc>
          <w:tcPr>
            <w:tcW w:w="912" w:type="dxa"/>
            <w:tcBorders>
              <w:tl2br w:val="nil"/>
              <w:tr2bl w:val="nil"/>
            </w:tcBorders>
            <w:shd w:val="clear" w:color="auto" w:fill="auto"/>
            <w:noWrap/>
            <w:vAlign w:val="center"/>
          </w:tcPr>
          <w:p w14:paraId="653BD077">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达标</w:t>
            </w:r>
          </w:p>
        </w:tc>
      </w:tr>
      <w:tr w14:paraId="117F3FBC">
        <w:tblPrEx>
          <w:tblBorders>
            <w:top w:val="thinThickSmallGap" w:color="auto" w:sz="12" w:space="0"/>
            <w:left w:val="none" w:color="auto" w:sz="0" w:space="0"/>
            <w:bottom w:val="thinThickSmallGap" w:color="auto" w:sz="12" w:space="0"/>
            <w:right w:val="none" w:color="auto" w:sz="0"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 w:hRule="atLeast"/>
          <w:jc w:val="center"/>
        </w:trPr>
        <w:tc>
          <w:tcPr>
            <w:tcW w:w="528" w:type="dxa"/>
            <w:vMerge w:val="continue"/>
            <w:tcBorders>
              <w:tl2br w:val="nil"/>
              <w:tr2bl w:val="nil"/>
            </w:tcBorders>
            <w:shd w:val="clear" w:color="auto" w:fill="auto"/>
            <w:noWrap/>
            <w:vAlign w:val="center"/>
          </w:tcPr>
          <w:p w14:paraId="7E43EE62">
            <w:pPr>
              <w:keepNext w:val="0"/>
              <w:keepLines w:val="0"/>
              <w:pageBreakBefore w:val="0"/>
              <w:widowControl/>
              <w:kinsoku/>
              <w:wordWrap/>
              <w:overflowPunct/>
              <w:topLinePunct w:val="0"/>
              <w:autoSpaceDE/>
              <w:autoSpaceDN/>
              <w:bidi w:val="0"/>
              <w:adjustRightInd w:val="0"/>
              <w:snapToGrid w:val="0"/>
              <w:spacing w:line="240" w:lineRule="auto"/>
              <w:ind w:firstLineChars="0"/>
              <w:jc w:val="center"/>
              <w:rPr>
                <w:rFonts w:hint="default" w:ascii="Times New Roman" w:hAnsi="Times New Roman" w:eastAsia="宋体" w:cs="Times New Roman"/>
                <w:i w:val="0"/>
                <w:iCs w:val="0"/>
                <w:color w:val="0000FF"/>
                <w:sz w:val="21"/>
                <w:szCs w:val="21"/>
                <w:u w:val="none"/>
              </w:rPr>
            </w:pPr>
          </w:p>
        </w:tc>
        <w:tc>
          <w:tcPr>
            <w:tcW w:w="990" w:type="dxa"/>
            <w:vMerge w:val="continue"/>
            <w:tcBorders>
              <w:tl2br w:val="nil"/>
              <w:tr2bl w:val="nil"/>
            </w:tcBorders>
            <w:shd w:val="clear" w:color="auto" w:fill="auto"/>
            <w:noWrap/>
            <w:vAlign w:val="center"/>
          </w:tcPr>
          <w:p w14:paraId="00EB8705">
            <w:pPr>
              <w:keepNext w:val="0"/>
              <w:keepLines w:val="0"/>
              <w:pageBreakBefore w:val="0"/>
              <w:widowControl/>
              <w:kinsoku/>
              <w:wordWrap/>
              <w:overflowPunct/>
              <w:topLinePunct w:val="0"/>
              <w:autoSpaceDE/>
              <w:autoSpaceDN/>
              <w:bidi w:val="0"/>
              <w:adjustRightInd w:val="0"/>
              <w:snapToGrid w:val="0"/>
              <w:spacing w:line="240" w:lineRule="auto"/>
              <w:ind w:firstLineChars="0"/>
              <w:jc w:val="center"/>
              <w:rPr>
                <w:rFonts w:hint="default" w:ascii="Times New Roman" w:hAnsi="Times New Roman" w:eastAsia="宋体" w:cs="Times New Roman"/>
                <w:i w:val="0"/>
                <w:iCs w:val="0"/>
                <w:color w:val="0000FF"/>
                <w:sz w:val="21"/>
                <w:szCs w:val="21"/>
                <w:u w:val="none"/>
              </w:rPr>
            </w:pPr>
          </w:p>
        </w:tc>
        <w:tc>
          <w:tcPr>
            <w:tcW w:w="1275" w:type="dxa"/>
            <w:vMerge w:val="continue"/>
            <w:tcBorders>
              <w:tl2br w:val="nil"/>
              <w:tr2bl w:val="nil"/>
            </w:tcBorders>
            <w:shd w:val="clear" w:color="auto" w:fill="auto"/>
            <w:noWrap/>
            <w:vAlign w:val="center"/>
          </w:tcPr>
          <w:p w14:paraId="034626E6">
            <w:pPr>
              <w:keepNext w:val="0"/>
              <w:keepLines w:val="0"/>
              <w:pageBreakBefore w:val="0"/>
              <w:widowControl/>
              <w:kinsoku/>
              <w:wordWrap/>
              <w:overflowPunct/>
              <w:topLinePunct w:val="0"/>
              <w:autoSpaceDE/>
              <w:autoSpaceDN/>
              <w:bidi w:val="0"/>
              <w:adjustRightInd w:val="0"/>
              <w:snapToGrid w:val="0"/>
              <w:spacing w:line="240" w:lineRule="auto"/>
              <w:ind w:firstLineChars="0"/>
              <w:jc w:val="center"/>
              <w:rPr>
                <w:rFonts w:hint="default" w:ascii="Times New Roman" w:hAnsi="Times New Roman" w:eastAsia="宋体" w:cs="Times New Roman"/>
                <w:i w:val="0"/>
                <w:iCs w:val="0"/>
                <w:color w:val="0000FF"/>
                <w:sz w:val="21"/>
                <w:szCs w:val="21"/>
                <w:u w:val="none"/>
              </w:rPr>
            </w:pPr>
          </w:p>
        </w:tc>
        <w:tc>
          <w:tcPr>
            <w:tcW w:w="1875" w:type="dxa"/>
            <w:tcBorders>
              <w:tl2br w:val="nil"/>
              <w:tr2bl w:val="nil"/>
            </w:tcBorders>
            <w:shd w:val="clear" w:color="auto" w:fill="auto"/>
            <w:noWrap/>
            <w:vAlign w:val="center"/>
          </w:tcPr>
          <w:p w14:paraId="580BF375">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1"/>
                <w:szCs w:val="21"/>
                <w:u w:val="none"/>
                <w:lang w:val="en-US" w:eastAsia="zh-CN" w:bidi="ar"/>
              </w:rPr>
              <w:t>全时段</w:t>
            </w:r>
          </w:p>
        </w:tc>
        <w:tc>
          <w:tcPr>
            <w:tcW w:w="1260" w:type="dxa"/>
            <w:tcBorders>
              <w:tl2br w:val="nil"/>
              <w:tr2bl w:val="nil"/>
            </w:tcBorders>
            <w:shd w:val="clear" w:color="auto" w:fill="auto"/>
            <w:noWrap/>
            <w:vAlign w:val="center"/>
          </w:tcPr>
          <w:p w14:paraId="177B6D4B">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4.17E-05</w:t>
            </w:r>
          </w:p>
        </w:tc>
        <w:tc>
          <w:tcPr>
            <w:tcW w:w="1770" w:type="dxa"/>
            <w:tcBorders>
              <w:tl2br w:val="nil"/>
              <w:tr2bl w:val="nil"/>
            </w:tcBorders>
            <w:shd w:val="clear" w:color="auto" w:fill="auto"/>
            <w:noWrap/>
            <w:vAlign w:val="center"/>
          </w:tcPr>
          <w:p w14:paraId="54FE5E2C">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平均值</w:t>
            </w:r>
          </w:p>
        </w:tc>
        <w:tc>
          <w:tcPr>
            <w:tcW w:w="1140" w:type="dxa"/>
            <w:tcBorders>
              <w:tl2br w:val="nil"/>
              <w:tr2bl w:val="nil"/>
            </w:tcBorders>
            <w:shd w:val="clear" w:color="auto" w:fill="auto"/>
            <w:noWrap/>
            <w:vAlign w:val="center"/>
          </w:tcPr>
          <w:p w14:paraId="3FEF6F52">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7.65E-02</w:t>
            </w:r>
          </w:p>
        </w:tc>
        <w:tc>
          <w:tcPr>
            <w:tcW w:w="1605" w:type="dxa"/>
            <w:tcBorders>
              <w:tl2br w:val="nil"/>
              <w:tr2bl w:val="nil"/>
            </w:tcBorders>
            <w:shd w:val="clear" w:color="auto" w:fill="auto"/>
            <w:noWrap/>
            <w:vAlign w:val="center"/>
          </w:tcPr>
          <w:p w14:paraId="52473FE7">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7.65E-02</w:t>
            </w:r>
          </w:p>
        </w:tc>
        <w:tc>
          <w:tcPr>
            <w:tcW w:w="1275" w:type="dxa"/>
            <w:tcBorders>
              <w:tl2br w:val="nil"/>
              <w:tr2bl w:val="nil"/>
            </w:tcBorders>
            <w:shd w:val="clear" w:color="auto" w:fill="auto"/>
            <w:noWrap/>
            <w:vAlign w:val="center"/>
          </w:tcPr>
          <w:p w14:paraId="18205050">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2.00E-01</w:t>
            </w:r>
          </w:p>
        </w:tc>
        <w:tc>
          <w:tcPr>
            <w:tcW w:w="1485" w:type="dxa"/>
            <w:tcBorders>
              <w:tl2br w:val="nil"/>
              <w:tr2bl w:val="nil"/>
            </w:tcBorders>
            <w:shd w:val="clear" w:color="auto" w:fill="auto"/>
            <w:noWrap/>
            <w:vAlign w:val="center"/>
          </w:tcPr>
          <w:p w14:paraId="797DB7BA">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38.27</w:t>
            </w:r>
          </w:p>
        </w:tc>
        <w:tc>
          <w:tcPr>
            <w:tcW w:w="912" w:type="dxa"/>
            <w:tcBorders>
              <w:tl2br w:val="nil"/>
              <w:tr2bl w:val="nil"/>
            </w:tcBorders>
            <w:shd w:val="clear" w:color="auto" w:fill="auto"/>
            <w:noWrap/>
            <w:vAlign w:val="center"/>
          </w:tcPr>
          <w:p w14:paraId="09255031">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达标</w:t>
            </w:r>
          </w:p>
        </w:tc>
      </w:tr>
      <w:tr w14:paraId="0F734F32">
        <w:tblPrEx>
          <w:tblBorders>
            <w:top w:val="thinThickSmallGap" w:color="auto" w:sz="12" w:space="0"/>
            <w:left w:val="none" w:color="auto" w:sz="0" w:space="0"/>
            <w:bottom w:val="thinThickSmallGap" w:color="auto" w:sz="12" w:space="0"/>
            <w:right w:val="none" w:color="auto" w:sz="0"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43" w:hRule="atLeast"/>
          <w:jc w:val="center"/>
        </w:trPr>
        <w:tc>
          <w:tcPr>
            <w:tcW w:w="528" w:type="dxa"/>
            <w:vMerge w:val="restart"/>
            <w:tcBorders>
              <w:tl2br w:val="nil"/>
              <w:tr2bl w:val="nil"/>
            </w:tcBorders>
            <w:shd w:val="clear" w:color="auto" w:fill="auto"/>
            <w:noWrap/>
            <w:vAlign w:val="center"/>
          </w:tcPr>
          <w:p w14:paraId="2ABEDDF8">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1"/>
                <w:szCs w:val="21"/>
                <w:u w:val="none"/>
                <w:lang w:val="en-US" w:eastAsia="zh-CN" w:bidi="ar"/>
              </w:rPr>
              <w:t>3</w:t>
            </w:r>
          </w:p>
        </w:tc>
        <w:tc>
          <w:tcPr>
            <w:tcW w:w="990" w:type="dxa"/>
            <w:vMerge w:val="restart"/>
            <w:tcBorders>
              <w:tl2br w:val="nil"/>
              <w:tr2bl w:val="nil"/>
            </w:tcBorders>
            <w:shd w:val="clear" w:color="auto" w:fill="auto"/>
            <w:noWrap/>
            <w:vAlign w:val="center"/>
          </w:tcPr>
          <w:p w14:paraId="555410E6">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1"/>
                <w:szCs w:val="21"/>
                <w:u w:val="none"/>
                <w:lang w:val="en-US" w:eastAsia="zh-CN" w:bidi="ar"/>
              </w:rPr>
              <w:t>老虎沟</w:t>
            </w:r>
          </w:p>
        </w:tc>
        <w:tc>
          <w:tcPr>
            <w:tcW w:w="1275" w:type="dxa"/>
            <w:vMerge w:val="restart"/>
            <w:tcBorders>
              <w:tl2br w:val="nil"/>
              <w:tr2bl w:val="nil"/>
            </w:tcBorders>
            <w:shd w:val="clear" w:color="auto" w:fill="auto"/>
            <w:noWrap/>
            <w:vAlign w:val="center"/>
          </w:tcPr>
          <w:p w14:paraId="766F6CEA">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1"/>
                <w:szCs w:val="21"/>
                <w:u w:val="none"/>
                <w:lang w:val="en-US" w:eastAsia="zh-CN" w:bidi="ar"/>
              </w:rPr>
              <w:t>-1526,736</w:t>
            </w:r>
          </w:p>
        </w:tc>
        <w:tc>
          <w:tcPr>
            <w:tcW w:w="1875" w:type="dxa"/>
            <w:tcBorders>
              <w:tl2br w:val="nil"/>
              <w:tr2bl w:val="nil"/>
            </w:tcBorders>
            <w:shd w:val="clear" w:color="auto" w:fill="auto"/>
            <w:noWrap/>
            <w:vAlign w:val="center"/>
          </w:tcPr>
          <w:p w14:paraId="34CCA7E8">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1"/>
                <w:szCs w:val="21"/>
                <w:u w:val="none"/>
                <w:lang w:val="en-US" w:eastAsia="zh-CN" w:bidi="ar"/>
              </w:rPr>
              <w:t>9</w:t>
            </w:r>
            <w:r>
              <w:rPr>
                <w:rFonts w:hint="eastAsia" w:ascii="Times New Roman" w:hAnsi="Times New Roman" w:eastAsia="宋体" w:cs="Times New Roman"/>
                <w:i w:val="0"/>
                <w:iCs w:val="0"/>
                <w:color w:val="0000FF"/>
                <w:kern w:val="0"/>
                <w:sz w:val="21"/>
                <w:szCs w:val="21"/>
                <w:u w:val="none"/>
                <w:lang w:val="en-US" w:eastAsia="zh-CN" w:bidi="ar"/>
              </w:rPr>
              <w:t>5</w:t>
            </w:r>
            <w:r>
              <w:rPr>
                <w:rFonts w:hint="default" w:ascii="Times New Roman" w:hAnsi="Times New Roman" w:eastAsia="宋体" w:cs="Times New Roman"/>
                <w:i w:val="0"/>
                <w:iCs w:val="0"/>
                <w:color w:val="0000FF"/>
                <w:kern w:val="0"/>
                <w:sz w:val="21"/>
                <w:szCs w:val="21"/>
                <w:u w:val="none"/>
                <w:lang w:val="en-US" w:eastAsia="zh-CN" w:bidi="ar"/>
              </w:rPr>
              <w:t>%</w:t>
            </w:r>
            <w:r>
              <w:rPr>
                <w:rStyle w:val="542"/>
                <w:rFonts w:hint="default" w:ascii="Times New Roman" w:hAnsi="Times New Roman" w:eastAsia="宋体" w:cs="Times New Roman"/>
                <w:color w:val="0000FF"/>
                <w:sz w:val="21"/>
                <w:szCs w:val="21"/>
                <w:lang w:val="en-US" w:eastAsia="zh-CN" w:bidi="ar"/>
              </w:rPr>
              <w:t>保证率日平均</w:t>
            </w:r>
          </w:p>
        </w:tc>
        <w:tc>
          <w:tcPr>
            <w:tcW w:w="1260" w:type="dxa"/>
            <w:tcBorders>
              <w:tl2br w:val="nil"/>
              <w:tr2bl w:val="nil"/>
            </w:tcBorders>
            <w:shd w:val="clear" w:color="auto" w:fill="auto"/>
            <w:noWrap/>
            <w:vAlign w:val="center"/>
          </w:tcPr>
          <w:p w14:paraId="431BBEE6">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1.95E-04</w:t>
            </w:r>
          </w:p>
        </w:tc>
        <w:tc>
          <w:tcPr>
            <w:tcW w:w="1770" w:type="dxa"/>
            <w:tcBorders>
              <w:tl2br w:val="nil"/>
              <w:tr2bl w:val="nil"/>
            </w:tcBorders>
            <w:shd w:val="clear" w:color="auto" w:fill="auto"/>
            <w:noWrap/>
            <w:vAlign w:val="center"/>
          </w:tcPr>
          <w:p w14:paraId="1AE7CCB5">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240707</w:t>
            </w:r>
          </w:p>
        </w:tc>
        <w:tc>
          <w:tcPr>
            <w:tcW w:w="1140" w:type="dxa"/>
            <w:tcBorders>
              <w:tl2br w:val="nil"/>
              <w:tr2bl w:val="nil"/>
            </w:tcBorders>
            <w:shd w:val="clear" w:color="auto" w:fill="auto"/>
            <w:noWrap/>
            <w:vAlign w:val="center"/>
          </w:tcPr>
          <w:p w14:paraId="52A8517F">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8.00E-02</w:t>
            </w:r>
          </w:p>
        </w:tc>
        <w:tc>
          <w:tcPr>
            <w:tcW w:w="1605" w:type="dxa"/>
            <w:tcBorders>
              <w:tl2br w:val="nil"/>
              <w:tr2bl w:val="nil"/>
            </w:tcBorders>
            <w:shd w:val="clear" w:color="auto" w:fill="auto"/>
            <w:noWrap/>
            <w:vAlign w:val="center"/>
          </w:tcPr>
          <w:p w14:paraId="1D12044A">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8.02E-02</w:t>
            </w:r>
          </w:p>
        </w:tc>
        <w:tc>
          <w:tcPr>
            <w:tcW w:w="1275" w:type="dxa"/>
            <w:tcBorders>
              <w:tl2br w:val="nil"/>
              <w:tr2bl w:val="nil"/>
            </w:tcBorders>
            <w:shd w:val="clear" w:color="auto" w:fill="auto"/>
            <w:noWrap/>
            <w:vAlign w:val="center"/>
          </w:tcPr>
          <w:p w14:paraId="25C20022">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1.50E-01</w:t>
            </w:r>
          </w:p>
        </w:tc>
        <w:tc>
          <w:tcPr>
            <w:tcW w:w="1485" w:type="dxa"/>
            <w:tcBorders>
              <w:tl2br w:val="nil"/>
              <w:tr2bl w:val="nil"/>
            </w:tcBorders>
            <w:shd w:val="clear" w:color="auto" w:fill="auto"/>
            <w:noWrap/>
            <w:vAlign w:val="center"/>
          </w:tcPr>
          <w:p w14:paraId="5BAF2342">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26.73</w:t>
            </w:r>
          </w:p>
        </w:tc>
        <w:tc>
          <w:tcPr>
            <w:tcW w:w="912" w:type="dxa"/>
            <w:tcBorders>
              <w:tl2br w:val="nil"/>
              <w:tr2bl w:val="nil"/>
            </w:tcBorders>
            <w:shd w:val="clear" w:color="auto" w:fill="auto"/>
            <w:noWrap/>
            <w:vAlign w:val="center"/>
          </w:tcPr>
          <w:p w14:paraId="14DE2A30">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达标</w:t>
            </w:r>
          </w:p>
        </w:tc>
      </w:tr>
      <w:tr w14:paraId="5D3AED0F">
        <w:tblPrEx>
          <w:tblBorders>
            <w:top w:val="thinThickSmallGap" w:color="auto" w:sz="12" w:space="0"/>
            <w:left w:val="none" w:color="auto" w:sz="0" w:space="0"/>
            <w:bottom w:val="thinThick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528" w:type="dxa"/>
            <w:vMerge w:val="continue"/>
            <w:tcBorders>
              <w:tl2br w:val="nil"/>
              <w:tr2bl w:val="nil"/>
            </w:tcBorders>
            <w:shd w:val="clear" w:color="auto" w:fill="auto"/>
            <w:noWrap/>
            <w:vAlign w:val="center"/>
          </w:tcPr>
          <w:p w14:paraId="46C48C02">
            <w:pPr>
              <w:keepNext w:val="0"/>
              <w:keepLines w:val="0"/>
              <w:pageBreakBefore w:val="0"/>
              <w:widowControl/>
              <w:kinsoku/>
              <w:wordWrap/>
              <w:overflowPunct/>
              <w:topLinePunct w:val="0"/>
              <w:autoSpaceDE/>
              <w:autoSpaceDN/>
              <w:bidi w:val="0"/>
              <w:adjustRightInd w:val="0"/>
              <w:snapToGrid w:val="0"/>
              <w:spacing w:line="240" w:lineRule="auto"/>
              <w:ind w:firstLineChars="0"/>
              <w:jc w:val="center"/>
              <w:rPr>
                <w:rFonts w:hint="default" w:ascii="Times New Roman" w:hAnsi="Times New Roman" w:eastAsia="宋体" w:cs="Times New Roman"/>
                <w:i w:val="0"/>
                <w:iCs w:val="0"/>
                <w:color w:val="0000FF"/>
                <w:sz w:val="21"/>
                <w:szCs w:val="21"/>
                <w:u w:val="none"/>
              </w:rPr>
            </w:pPr>
          </w:p>
        </w:tc>
        <w:tc>
          <w:tcPr>
            <w:tcW w:w="990" w:type="dxa"/>
            <w:vMerge w:val="continue"/>
            <w:tcBorders>
              <w:tl2br w:val="nil"/>
              <w:tr2bl w:val="nil"/>
            </w:tcBorders>
            <w:shd w:val="clear" w:color="auto" w:fill="auto"/>
            <w:noWrap/>
            <w:vAlign w:val="center"/>
          </w:tcPr>
          <w:p w14:paraId="44D87490">
            <w:pPr>
              <w:keepNext w:val="0"/>
              <w:keepLines w:val="0"/>
              <w:pageBreakBefore w:val="0"/>
              <w:widowControl/>
              <w:kinsoku/>
              <w:wordWrap/>
              <w:overflowPunct/>
              <w:topLinePunct w:val="0"/>
              <w:autoSpaceDE/>
              <w:autoSpaceDN/>
              <w:bidi w:val="0"/>
              <w:adjustRightInd w:val="0"/>
              <w:snapToGrid w:val="0"/>
              <w:spacing w:line="240" w:lineRule="auto"/>
              <w:ind w:firstLineChars="0"/>
              <w:jc w:val="center"/>
              <w:rPr>
                <w:rFonts w:hint="default" w:ascii="Times New Roman" w:hAnsi="Times New Roman" w:eastAsia="宋体" w:cs="Times New Roman"/>
                <w:i w:val="0"/>
                <w:iCs w:val="0"/>
                <w:color w:val="0000FF"/>
                <w:sz w:val="21"/>
                <w:szCs w:val="21"/>
                <w:u w:val="none"/>
              </w:rPr>
            </w:pPr>
          </w:p>
        </w:tc>
        <w:tc>
          <w:tcPr>
            <w:tcW w:w="1275" w:type="dxa"/>
            <w:vMerge w:val="continue"/>
            <w:tcBorders>
              <w:tl2br w:val="nil"/>
              <w:tr2bl w:val="nil"/>
            </w:tcBorders>
            <w:shd w:val="clear" w:color="auto" w:fill="auto"/>
            <w:noWrap/>
            <w:vAlign w:val="center"/>
          </w:tcPr>
          <w:p w14:paraId="3A31F040">
            <w:pPr>
              <w:keepNext w:val="0"/>
              <w:keepLines w:val="0"/>
              <w:pageBreakBefore w:val="0"/>
              <w:widowControl/>
              <w:kinsoku/>
              <w:wordWrap/>
              <w:overflowPunct/>
              <w:topLinePunct w:val="0"/>
              <w:autoSpaceDE/>
              <w:autoSpaceDN/>
              <w:bidi w:val="0"/>
              <w:adjustRightInd w:val="0"/>
              <w:snapToGrid w:val="0"/>
              <w:spacing w:line="240" w:lineRule="auto"/>
              <w:ind w:firstLineChars="0"/>
              <w:jc w:val="center"/>
              <w:rPr>
                <w:rFonts w:hint="default" w:ascii="Times New Roman" w:hAnsi="Times New Roman" w:eastAsia="宋体" w:cs="Times New Roman"/>
                <w:i w:val="0"/>
                <w:iCs w:val="0"/>
                <w:color w:val="0000FF"/>
                <w:sz w:val="21"/>
                <w:szCs w:val="21"/>
                <w:u w:val="none"/>
              </w:rPr>
            </w:pPr>
          </w:p>
        </w:tc>
        <w:tc>
          <w:tcPr>
            <w:tcW w:w="1875" w:type="dxa"/>
            <w:tcBorders>
              <w:tl2br w:val="nil"/>
              <w:tr2bl w:val="nil"/>
            </w:tcBorders>
            <w:shd w:val="clear" w:color="auto" w:fill="auto"/>
            <w:noWrap/>
            <w:vAlign w:val="center"/>
          </w:tcPr>
          <w:p w14:paraId="6F76542B">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1"/>
                <w:szCs w:val="21"/>
                <w:u w:val="none"/>
                <w:lang w:val="en-US" w:eastAsia="zh-CN" w:bidi="ar"/>
              </w:rPr>
              <w:t>全时段</w:t>
            </w:r>
          </w:p>
        </w:tc>
        <w:tc>
          <w:tcPr>
            <w:tcW w:w="1260" w:type="dxa"/>
            <w:tcBorders>
              <w:tl2br w:val="nil"/>
              <w:tr2bl w:val="nil"/>
            </w:tcBorders>
            <w:shd w:val="clear" w:color="auto" w:fill="auto"/>
            <w:noWrap/>
            <w:vAlign w:val="center"/>
          </w:tcPr>
          <w:p w14:paraId="246A81BD">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1.54E-05</w:t>
            </w:r>
          </w:p>
        </w:tc>
        <w:tc>
          <w:tcPr>
            <w:tcW w:w="1770" w:type="dxa"/>
            <w:tcBorders>
              <w:tl2br w:val="nil"/>
              <w:tr2bl w:val="nil"/>
            </w:tcBorders>
            <w:shd w:val="clear" w:color="auto" w:fill="auto"/>
            <w:noWrap/>
            <w:vAlign w:val="center"/>
          </w:tcPr>
          <w:p w14:paraId="0E793C66">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平均值</w:t>
            </w:r>
          </w:p>
        </w:tc>
        <w:tc>
          <w:tcPr>
            <w:tcW w:w="1140" w:type="dxa"/>
            <w:tcBorders>
              <w:tl2br w:val="nil"/>
              <w:tr2bl w:val="nil"/>
            </w:tcBorders>
            <w:shd w:val="clear" w:color="auto" w:fill="auto"/>
            <w:noWrap/>
            <w:vAlign w:val="center"/>
          </w:tcPr>
          <w:p w14:paraId="7425005C">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7.65E-02</w:t>
            </w:r>
          </w:p>
        </w:tc>
        <w:tc>
          <w:tcPr>
            <w:tcW w:w="1605" w:type="dxa"/>
            <w:tcBorders>
              <w:tl2br w:val="nil"/>
              <w:tr2bl w:val="nil"/>
            </w:tcBorders>
            <w:shd w:val="clear" w:color="auto" w:fill="auto"/>
            <w:noWrap/>
            <w:vAlign w:val="center"/>
          </w:tcPr>
          <w:p w14:paraId="419E735B">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7.65E-02</w:t>
            </w:r>
          </w:p>
        </w:tc>
        <w:tc>
          <w:tcPr>
            <w:tcW w:w="1275" w:type="dxa"/>
            <w:tcBorders>
              <w:tl2br w:val="nil"/>
              <w:tr2bl w:val="nil"/>
            </w:tcBorders>
            <w:shd w:val="clear" w:color="auto" w:fill="auto"/>
            <w:noWrap/>
            <w:vAlign w:val="center"/>
          </w:tcPr>
          <w:p w14:paraId="0FDC0E56">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2.00E-01</w:t>
            </w:r>
          </w:p>
        </w:tc>
        <w:tc>
          <w:tcPr>
            <w:tcW w:w="1485" w:type="dxa"/>
            <w:tcBorders>
              <w:tl2br w:val="nil"/>
              <w:tr2bl w:val="nil"/>
            </w:tcBorders>
            <w:shd w:val="clear" w:color="auto" w:fill="auto"/>
            <w:noWrap/>
            <w:vAlign w:val="center"/>
          </w:tcPr>
          <w:p w14:paraId="6A756569">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38.26</w:t>
            </w:r>
          </w:p>
        </w:tc>
        <w:tc>
          <w:tcPr>
            <w:tcW w:w="912" w:type="dxa"/>
            <w:tcBorders>
              <w:tl2br w:val="nil"/>
              <w:tr2bl w:val="nil"/>
            </w:tcBorders>
            <w:shd w:val="clear" w:color="auto" w:fill="auto"/>
            <w:noWrap/>
            <w:vAlign w:val="center"/>
          </w:tcPr>
          <w:p w14:paraId="2BAADA24">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达标</w:t>
            </w:r>
          </w:p>
        </w:tc>
      </w:tr>
      <w:tr w14:paraId="44FD9BC1">
        <w:tblPrEx>
          <w:tblBorders>
            <w:top w:val="thinThickSmallGap" w:color="auto" w:sz="12" w:space="0"/>
            <w:left w:val="none" w:color="auto" w:sz="0" w:space="0"/>
            <w:bottom w:val="thinThickSmallGap" w:color="auto" w:sz="12" w:space="0"/>
            <w:right w:val="none" w:color="auto" w:sz="0"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 w:hRule="atLeast"/>
          <w:jc w:val="center"/>
        </w:trPr>
        <w:tc>
          <w:tcPr>
            <w:tcW w:w="528" w:type="dxa"/>
            <w:vMerge w:val="restart"/>
            <w:tcBorders>
              <w:tl2br w:val="nil"/>
              <w:tr2bl w:val="nil"/>
            </w:tcBorders>
            <w:shd w:val="clear" w:color="auto" w:fill="auto"/>
            <w:noWrap/>
            <w:vAlign w:val="center"/>
          </w:tcPr>
          <w:p w14:paraId="377A905B">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1"/>
                <w:szCs w:val="21"/>
                <w:u w:val="none"/>
                <w:lang w:val="en-US" w:eastAsia="zh-CN" w:bidi="ar"/>
              </w:rPr>
              <w:t>4</w:t>
            </w:r>
          </w:p>
        </w:tc>
        <w:tc>
          <w:tcPr>
            <w:tcW w:w="990" w:type="dxa"/>
            <w:vMerge w:val="restart"/>
            <w:tcBorders>
              <w:tl2br w:val="nil"/>
              <w:tr2bl w:val="nil"/>
            </w:tcBorders>
            <w:shd w:val="clear" w:color="auto" w:fill="auto"/>
            <w:noWrap/>
            <w:vAlign w:val="center"/>
          </w:tcPr>
          <w:p w14:paraId="0011AB11">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1"/>
                <w:szCs w:val="21"/>
                <w:u w:val="none"/>
                <w:lang w:val="en-US" w:eastAsia="zh-CN" w:bidi="ar"/>
              </w:rPr>
              <w:t>三道沟</w:t>
            </w:r>
          </w:p>
        </w:tc>
        <w:tc>
          <w:tcPr>
            <w:tcW w:w="1275" w:type="dxa"/>
            <w:vMerge w:val="restart"/>
            <w:tcBorders>
              <w:tl2br w:val="nil"/>
              <w:tr2bl w:val="nil"/>
            </w:tcBorders>
            <w:shd w:val="clear" w:color="auto" w:fill="auto"/>
            <w:noWrap/>
            <w:vAlign w:val="center"/>
          </w:tcPr>
          <w:p w14:paraId="13F0A91F">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1"/>
                <w:szCs w:val="21"/>
                <w:u w:val="none"/>
                <w:lang w:val="en-US" w:eastAsia="zh-CN" w:bidi="ar"/>
              </w:rPr>
              <w:t>910,-1326</w:t>
            </w:r>
          </w:p>
        </w:tc>
        <w:tc>
          <w:tcPr>
            <w:tcW w:w="1875" w:type="dxa"/>
            <w:tcBorders>
              <w:tl2br w:val="nil"/>
              <w:tr2bl w:val="nil"/>
            </w:tcBorders>
            <w:shd w:val="clear" w:color="auto" w:fill="auto"/>
            <w:noWrap/>
            <w:vAlign w:val="center"/>
          </w:tcPr>
          <w:p w14:paraId="2347B2D6">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1"/>
                <w:szCs w:val="21"/>
                <w:u w:val="none"/>
                <w:lang w:val="en-US" w:eastAsia="zh-CN" w:bidi="ar"/>
              </w:rPr>
              <w:t>9</w:t>
            </w:r>
            <w:r>
              <w:rPr>
                <w:rFonts w:hint="eastAsia" w:ascii="Times New Roman" w:hAnsi="Times New Roman" w:eastAsia="宋体" w:cs="Times New Roman"/>
                <w:i w:val="0"/>
                <w:iCs w:val="0"/>
                <w:color w:val="0000FF"/>
                <w:kern w:val="0"/>
                <w:sz w:val="21"/>
                <w:szCs w:val="21"/>
                <w:u w:val="none"/>
                <w:lang w:val="en-US" w:eastAsia="zh-CN" w:bidi="ar"/>
              </w:rPr>
              <w:t>5</w:t>
            </w:r>
            <w:r>
              <w:rPr>
                <w:rFonts w:hint="default" w:ascii="Times New Roman" w:hAnsi="Times New Roman" w:eastAsia="宋体" w:cs="Times New Roman"/>
                <w:i w:val="0"/>
                <w:iCs w:val="0"/>
                <w:color w:val="0000FF"/>
                <w:kern w:val="0"/>
                <w:sz w:val="21"/>
                <w:szCs w:val="21"/>
                <w:u w:val="none"/>
                <w:lang w:val="en-US" w:eastAsia="zh-CN" w:bidi="ar"/>
              </w:rPr>
              <w:t>%</w:t>
            </w:r>
            <w:r>
              <w:rPr>
                <w:rStyle w:val="542"/>
                <w:rFonts w:hint="default" w:ascii="Times New Roman" w:hAnsi="Times New Roman" w:eastAsia="宋体" w:cs="Times New Roman"/>
                <w:color w:val="0000FF"/>
                <w:sz w:val="21"/>
                <w:szCs w:val="21"/>
                <w:lang w:val="en-US" w:eastAsia="zh-CN" w:bidi="ar"/>
              </w:rPr>
              <w:t>保证率日平均</w:t>
            </w:r>
          </w:p>
        </w:tc>
        <w:tc>
          <w:tcPr>
            <w:tcW w:w="1260" w:type="dxa"/>
            <w:tcBorders>
              <w:tl2br w:val="nil"/>
              <w:tr2bl w:val="nil"/>
            </w:tcBorders>
            <w:shd w:val="clear" w:color="auto" w:fill="auto"/>
            <w:noWrap/>
            <w:vAlign w:val="center"/>
          </w:tcPr>
          <w:p w14:paraId="21662CF5">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7.36E-05</w:t>
            </w:r>
          </w:p>
        </w:tc>
        <w:tc>
          <w:tcPr>
            <w:tcW w:w="1770" w:type="dxa"/>
            <w:tcBorders>
              <w:tl2br w:val="nil"/>
              <w:tr2bl w:val="nil"/>
            </w:tcBorders>
            <w:shd w:val="clear" w:color="auto" w:fill="auto"/>
            <w:noWrap/>
            <w:vAlign w:val="center"/>
          </w:tcPr>
          <w:p w14:paraId="6C9142B2">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241104</w:t>
            </w:r>
          </w:p>
        </w:tc>
        <w:tc>
          <w:tcPr>
            <w:tcW w:w="1140" w:type="dxa"/>
            <w:tcBorders>
              <w:tl2br w:val="nil"/>
              <w:tr2bl w:val="nil"/>
            </w:tcBorders>
            <w:shd w:val="clear" w:color="auto" w:fill="auto"/>
            <w:noWrap/>
            <w:vAlign w:val="center"/>
          </w:tcPr>
          <w:p w14:paraId="0BD3E947">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8.00E-02</w:t>
            </w:r>
          </w:p>
        </w:tc>
        <w:tc>
          <w:tcPr>
            <w:tcW w:w="1605" w:type="dxa"/>
            <w:tcBorders>
              <w:tl2br w:val="nil"/>
              <w:tr2bl w:val="nil"/>
            </w:tcBorders>
            <w:shd w:val="clear" w:color="auto" w:fill="auto"/>
            <w:noWrap/>
            <w:vAlign w:val="center"/>
          </w:tcPr>
          <w:p w14:paraId="3293C572">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8.01E-02</w:t>
            </w:r>
          </w:p>
        </w:tc>
        <w:tc>
          <w:tcPr>
            <w:tcW w:w="1275" w:type="dxa"/>
            <w:tcBorders>
              <w:tl2br w:val="nil"/>
              <w:tr2bl w:val="nil"/>
            </w:tcBorders>
            <w:shd w:val="clear" w:color="auto" w:fill="auto"/>
            <w:noWrap/>
            <w:vAlign w:val="center"/>
          </w:tcPr>
          <w:p w14:paraId="78B6C25B">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1.50E-01</w:t>
            </w:r>
          </w:p>
        </w:tc>
        <w:tc>
          <w:tcPr>
            <w:tcW w:w="1485" w:type="dxa"/>
            <w:tcBorders>
              <w:tl2br w:val="nil"/>
              <w:tr2bl w:val="nil"/>
            </w:tcBorders>
            <w:shd w:val="clear" w:color="auto" w:fill="auto"/>
            <w:noWrap/>
            <w:vAlign w:val="center"/>
          </w:tcPr>
          <w:p w14:paraId="2F0A87CD">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26.69</w:t>
            </w:r>
          </w:p>
        </w:tc>
        <w:tc>
          <w:tcPr>
            <w:tcW w:w="912" w:type="dxa"/>
            <w:tcBorders>
              <w:tl2br w:val="nil"/>
              <w:tr2bl w:val="nil"/>
            </w:tcBorders>
            <w:shd w:val="clear" w:color="auto" w:fill="auto"/>
            <w:noWrap/>
            <w:vAlign w:val="center"/>
          </w:tcPr>
          <w:p w14:paraId="7AAD6DA0">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达标</w:t>
            </w:r>
          </w:p>
        </w:tc>
      </w:tr>
      <w:tr w14:paraId="76ED2E3D">
        <w:tblPrEx>
          <w:tblBorders>
            <w:top w:val="thinThickSmallGap" w:color="auto" w:sz="12" w:space="0"/>
            <w:left w:val="none" w:color="auto" w:sz="0" w:space="0"/>
            <w:bottom w:val="thinThickSmallGap" w:color="auto" w:sz="12" w:space="0"/>
            <w:right w:val="none" w:color="auto" w:sz="0"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 w:hRule="atLeast"/>
          <w:jc w:val="center"/>
        </w:trPr>
        <w:tc>
          <w:tcPr>
            <w:tcW w:w="528" w:type="dxa"/>
            <w:vMerge w:val="continue"/>
            <w:tcBorders>
              <w:tl2br w:val="nil"/>
              <w:tr2bl w:val="nil"/>
            </w:tcBorders>
            <w:shd w:val="clear" w:color="auto" w:fill="auto"/>
            <w:noWrap/>
            <w:vAlign w:val="center"/>
          </w:tcPr>
          <w:p w14:paraId="2C9225CB">
            <w:pPr>
              <w:keepNext w:val="0"/>
              <w:keepLines w:val="0"/>
              <w:pageBreakBefore w:val="0"/>
              <w:widowControl/>
              <w:kinsoku/>
              <w:wordWrap/>
              <w:overflowPunct/>
              <w:topLinePunct w:val="0"/>
              <w:autoSpaceDE/>
              <w:autoSpaceDN/>
              <w:bidi w:val="0"/>
              <w:adjustRightInd w:val="0"/>
              <w:snapToGrid w:val="0"/>
              <w:spacing w:line="240" w:lineRule="auto"/>
              <w:ind w:firstLineChars="0"/>
              <w:jc w:val="center"/>
              <w:rPr>
                <w:rFonts w:hint="default" w:ascii="Times New Roman" w:hAnsi="Times New Roman" w:eastAsia="宋体" w:cs="Times New Roman"/>
                <w:i w:val="0"/>
                <w:iCs w:val="0"/>
                <w:color w:val="0000FF"/>
                <w:sz w:val="21"/>
                <w:szCs w:val="21"/>
                <w:u w:val="none"/>
              </w:rPr>
            </w:pPr>
          </w:p>
        </w:tc>
        <w:tc>
          <w:tcPr>
            <w:tcW w:w="990" w:type="dxa"/>
            <w:vMerge w:val="continue"/>
            <w:tcBorders>
              <w:tl2br w:val="nil"/>
              <w:tr2bl w:val="nil"/>
            </w:tcBorders>
            <w:shd w:val="clear" w:color="auto" w:fill="auto"/>
            <w:noWrap/>
            <w:vAlign w:val="center"/>
          </w:tcPr>
          <w:p w14:paraId="1DEC8DF6">
            <w:pPr>
              <w:keepNext w:val="0"/>
              <w:keepLines w:val="0"/>
              <w:pageBreakBefore w:val="0"/>
              <w:widowControl/>
              <w:kinsoku/>
              <w:wordWrap/>
              <w:overflowPunct/>
              <w:topLinePunct w:val="0"/>
              <w:autoSpaceDE/>
              <w:autoSpaceDN/>
              <w:bidi w:val="0"/>
              <w:adjustRightInd w:val="0"/>
              <w:snapToGrid w:val="0"/>
              <w:spacing w:line="240" w:lineRule="auto"/>
              <w:ind w:firstLineChars="0"/>
              <w:jc w:val="center"/>
              <w:rPr>
                <w:rFonts w:hint="default" w:ascii="Times New Roman" w:hAnsi="Times New Roman" w:eastAsia="宋体" w:cs="Times New Roman"/>
                <w:i w:val="0"/>
                <w:iCs w:val="0"/>
                <w:color w:val="0000FF"/>
                <w:sz w:val="21"/>
                <w:szCs w:val="21"/>
                <w:u w:val="none"/>
              </w:rPr>
            </w:pPr>
          </w:p>
        </w:tc>
        <w:tc>
          <w:tcPr>
            <w:tcW w:w="1275" w:type="dxa"/>
            <w:vMerge w:val="continue"/>
            <w:tcBorders>
              <w:tl2br w:val="nil"/>
              <w:tr2bl w:val="nil"/>
            </w:tcBorders>
            <w:shd w:val="clear" w:color="auto" w:fill="auto"/>
            <w:noWrap/>
            <w:vAlign w:val="center"/>
          </w:tcPr>
          <w:p w14:paraId="35E10135">
            <w:pPr>
              <w:keepNext w:val="0"/>
              <w:keepLines w:val="0"/>
              <w:pageBreakBefore w:val="0"/>
              <w:widowControl/>
              <w:kinsoku/>
              <w:wordWrap/>
              <w:overflowPunct/>
              <w:topLinePunct w:val="0"/>
              <w:autoSpaceDE/>
              <w:autoSpaceDN/>
              <w:bidi w:val="0"/>
              <w:adjustRightInd w:val="0"/>
              <w:snapToGrid w:val="0"/>
              <w:spacing w:line="240" w:lineRule="auto"/>
              <w:ind w:firstLineChars="0"/>
              <w:jc w:val="center"/>
              <w:rPr>
                <w:rFonts w:hint="default" w:ascii="Times New Roman" w:hAnsi="Times New Roman" w:eastAsia="宋体" w:cs="Times New Roman"/>
                <w:i w:val="0"/>
                <w:iCs w:val="0"/>
                <w:color w:val="0000FF"/>
                <w:sz w:val="21"/>
                <w:szCs w:val="21"/>
                <w:u w:val="none"/>
              </w:rPr>
            </w:pPr>
          </w:p>
        </w:tc>
        <w:tc>
          <w:tcPr>
            <w:tcW w:w="1875" w:type="dxa"/>
            <w:tcBorders>
              <w:tl2br w:val="nil"/>
              <w:tr2bl w:val="nil"/>
            </w:tcBorders>
            <w:shd w:val="clear" w:color="auto" w:fill="auto"/>
            <w:noWrap/>
            <w:vAlign w:val="center"/>
          </w:tcPr>
          <w:p w14:paraId="4BBFE65D">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1"/>
                <w:szCs w:val="21"/>
                <w:u w:val="none"/>
                <w:lang w:val="en-US" w:eastAsia="zh-CN" w:bidi="ar"/>
              </w:rPr>
              <w:t>全时段</w:t>
            </w:r>
          </w:p>
        </w:tc>
        <w:tc>
          <w:tcPr>
            <w:tcW w:w="1260" w:type="dxa"/>
            <w:tcBorders>
              <w:tl2br w:val="nil"/>
              <w:tr2bl w:val="nil"/>
            </w:tcBorders>
            <w:shd w:val="clear" w:color="auto" w:fill="auto"/>
            <w:noWrap/>
            <w:vAlign w:val="center"/>
          </w:tcPr>
          <w:p w14:paraId="67C5C8DB">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1.13E-05</w:t>
            </w:r>
          </w:p>
        </w:tc>
        <w:tc>
          <w:tcPr>
            <w:tcW w:w="1770" w:type="dxa"/>
            <w:tcBorders>
              <w:tl2br w:val="nil"/>
              <w:tr2bl w:val="nil"/>
            </w:tcBorders>
            <w:shd w:val="clear" w:color="auto" w:fill="auto"/>
            <w:noWrap/>
            <w:vAlign w:val="center"/>
          </w:tcPr>
          <w:p w14:paraId="32CE4CC6">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平均值</w:t>
            </w:r>
          </w:p>
        </w:tc>
        <w:tc>
          <w:tcPr>
            <w:tcW w:w="1140" w:type="dxa"/>
            <w:tcBorders>
              <w:tl2br w:val="nil"/>
              <w:tr2bl w:val="nil"/>
            </w:tcBorders>
            <w:shd w:val="clear" w:color="auto" w:fill="auto"/>
            <w:noWrap/>
            <w:vAlign w:val="center"/>
          </w:tcPr>
          <w:p w14:paraId="09BA69E2">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7.65E-02</w:t>
            </w:r>
          </w:p>
        </w:tc>
        <w:tc>
          <w:tcPr>
            <w:tcW w:w="1605" w:type="dxa"/>
            <w:tcBorders>
              <w:tl2br w:val="nil"/>
              <w:tr2bl w:val="nil"/>
            </w:tcBorders>
            <w:shd w:val="clear" w:color="auto" w:fill="auto"/>
            <w:noWrap/>
            <w:vAlign w:val="center"/>
          </w:tcPr>
          <w:p w14:paraId="19BF40FC">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7.65E-02</w:t>
            </w:r>
          </w:p>
        </w:tc>
        <w:tc>
          <w:tcPr>
            <w:tcW w:w="1275" w:type="dxa"/>
            <w:tcBorders>
              <w:tl2br w:val="nil"/>
              <w:tr2bl w:val="nil"/>
            </w:tcBorders>
            <w:shd w:val="clear" w:color="auto" w:fill="auto"/>
            <w:noWrap/>
            <w:vAlign w:val="center"/>
          </w:tcPr>
          <w:p w14:paraId="15BFC190">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2.00E-01</w:t>
            </w:r>
          </w:p>
        </w:tc>
        <w:tc>
          <w:tcPr>
            <w:tcW w:w="1485" w:type="dxa"/>
            <w:tcBorders>
              <w:tl2br w:val="nil"/>
              <w:tr2bl w:val="nil"/>
            </w:tcBorders>
            <w:shd w:val="clear" w:color="auto" w:fill="auto"/>
            <w:noWrap/>
            <w:vAlign w:val="center"/>
          </w:tcPr>
          <w:p w14:paraId="43675E34">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38.26</w:t>
            </w:r>
          </w:p>
        </w:tc>
        <w:tc>
          <w:tcPr>
            <w:tcW w:w="912" w:type="dxa"/>
            <w:tcBorders>
              <w:tl2br w:val="nil"/>
              <w:tr2bl w:val="nil"/>
            </w:tcBorders>
            <w:shd w:val="clear" w:color="auto" w:fill="auto"/>
            <w:noWrap/>
            <w:vAlign w:val="center"/>
          </w:tcPr>
          <w:p w14:paraId="5E8D2346">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达标</w:t>
            </w:r>
          </w:p>
        </w:tc>
      </w:tr>
      <w:tr w14:paraId="6D7F981C">
        <w:tblPrEx>
          <w:tblBorders>
            <w:top w:val="thinThickSmallGap" w:color="auto" w:sz="12" w:space="0"/>
            <w:left w:val="none" w:color="auto" w:sz="0" w:space="0"/>
            <w:bottom w:val="thinThick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528" w:type="dxa"/>
            <w:vMerge w:val="restart"/>
            <w:tcBorders>
              <w:tl2br w:val="nil"/>
              <w:tr2bl w:val="nil"/>
            </w:tcBorders>
            <w:shd w:val="clear" w:color="auto" w:fill="auto"/>
            <w:noWrap/>
            <w:vAlign w:val="center"/>
          </w:tcPr>
          <w:p w14:paraId="44E4DBF6">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1"/>
                <w:szCs w:val="21"/>
                <w:u w:val="none"/>
                <w:lang w:val="en-US" w:eastAsia="zh-CN" w:bidi="ar"/>
              </w:rPr>
              <w:t>5</w:t>
            </w:r>
          </w:p>
        </w:tc>
        <w:tc>
          <w:tcPr>
            <w:tcW w:w="990" w:type="dxa"/>
            <w:vMerge w:val="restart"/>
            <w:tcBorders>
              <w:tl2br w:val="nil"/>
              <w:tr2bl w:val="nil"/>
            </w:tcBorders>
            <w:shd w:val="clear" w:color="auto" w:fill="auto"/>
            <w:noWrap/>
            <w:vAlign w:val="center"/>
          </w:tcPr>
          <w:p w14:paraId="2F5DCE2F">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1"/>
                <w:szCs w:val="21"/>
                <w:u w:val="none"/>
                <w:lang w:val="en-US" w:eastAsia="zh-CN" w:bidi="ar"/>
              </w:rPr>
              <w:t>四道河子</w:t>
            </w:r>
          </w:p>
        </w:tc>
        <w:tc>
          <w:tcPr>
            <w:tcW w:w="1275" w:type="dxa"/>
            <w:vMerge w:val="restart"/>
            <w:tcBorders>
              <w:tl2br w:val="nil"/>
              <w:tr2bl w:val="nil"/>
            </w:tcBorders>
            <w:shd w:val="clear" w:color="auto" w:fill="auto"/>
            <w:noWrap/>
            <w:vAlign w:val="center"/>
          </w:tcPr>
          <w:p w14:paraId="62D6E202">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1"/>
                <w:szCs w:val="21"/>
                <w:u w:val="none"/>
                <w:lang w:val="en-US" w:eastAsia="zh-CN" w:bidi="ar"/>
              </w:rPr>
              <w:t>430,1123</w:t>
            </w:r>
          </w:p>
        </w:tc>
        <w:tc>
          <w:tcPr>
            <w:tcW w:w="1875" w:type="dxa"/>
            <w:tcBorders>
              <w:tl2br w:val="nil"/>
              <w:tr2bl w:val="nil"/>
            </w:tcBorders>
            <w:shd w:val="clear" w:color="auto" w:fill="auto"/>
            <w:noWrap/>
            <w:vAlign w:val="center"/>
          </w:tcPr>
          <w:p w14:paraId="1EF4CBD2">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1"/>
                <w:szCs w:val="21"/>
                <w:u w:val="none"/>
                <w:lang w:val="en-US" w:eastAsia="zh-CN" w:bidi="ar"/>
              </w:rPr>
              <w:t>9</w:t>
            </w:r>
            <w:r>
              <w:rPr>
                <w:rFonts w:hint="eastAsia" w:ascii="Times New Roman" w:hAnsi="Times New Roman" w:eastAsia="宋体" w:cs="Times New Roman"/>
                <w:i w:val="0"/>
                <w:iCs w:val="0"/>
                <w:color w:val="0000FF"/>
                <w:kern w:val="0"/>
                <w:sz w:val="21"/>
                <w:szCs w:val="21"/>
                <w:u w:val="none"/>
                <w:lang w:val="en-US" w:eastAsia="zh-CN" w:bidi="ar"/>
              </w:rPr>
              <w:t>5</w:t>
            </w:r>
            <w:r>
              <w:rPr>
                <w:rFonts w:hint="default" w:ascii="Times New Roman" w:hAnsi="Times New Roman" w:eastAsia="宋体" w:cs="Times New Roman"/>
                <w:i w:val="0"/>
                <w:iCs w:val="0"/>
                <w:color w:val="0000FF"/>
                <w:kern w:val="0"/>
                <w:sz w:val="21"/>
                <w:szCs w:val="21"/>
                <w:u w:val="none"/>
                <w:lang w:val="en-US" w:eastAsia="zh-CN" w:bidi="ar"/>
              </w:rPr>
              <w:t>%</w:t>
            </w:r>
            <w:r>
              <w:rPr>
                <w:rStyle w:val="542"/>
                <w:rFonts w:hint="default" w:ascii="Times New Roman" w:hAnsi="Times New Roman" w:eastAsia="宋体" w:cs="Times New Roman"/>
                <w:color w:val="0000FF"/>
                <w:sz w:val="21"/>
                <w:szCs w:val="21"/>
                <w:lang w:val="en-US" w:eastAsia="zh-CN" w:bidi="ar"/>
              </w:rPr>
              <w:t>保证率日平均</w:t>
            </w:r>
          </w:p>
        </w:tc>
        <w:tc>
          <w:tcPr>
            <w:tcW w:w="1260" w:type="dxa"/>
            <w:tcBorders>
              <w:tl2br w:val="nil"/>
              <w:tr2bl w:val="nil"/>
            </w:tcBorders>
            <w:shd w:val="clear" w:color="auto" w:fill="auto"/>
            <w:noWrap/>
            <w:vAlign w:val="center"/>
          </w:tcPr>
          <w:p w14:paraId="20B82AB7">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3.00E-04</w:t>
            </w:r>
          </w:p>
        </w:tc>
        <w:tc>
          <w:tcPr>
            <w:tcW w:w="1770" w:type="dxa"/>
            <w:tcBorders>
              <w:tl2br w:val="nil"/>
              <w:tr2bl w:val="nil"/>
            </w:tcBorders>
            <w:shd w:val="clear" w:color="auto" w:fill="auto"/>
            <w:noWrap/>
            <w:vAlign w:val="center"/>
          </w:tcPr>
          <w:p w14:paraId="3C6DFFE6">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240315</w:t>
            </w:r>
          </w:p>
        </w:tc>
        <w:tc>
          <w:tcPr>
            <w:tcW w:w="1140" w:type="dxa"/>
            <w:tcBorders>
              <w:tl2br w:val="nil"/>
              <w:tr2bl w:val="nil"/>
            </w:tcBorders>
            <w:shd w:val="clear" w:color="auto" w:fill="auto"/>
            <w:noWrap/>
            <w:vAlign w:val="center"/>
          </w:tcPr>
          <w:p w14:paraId="58B0FDC1">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8.00E-02</w:t>
            </w:r>
          </w:p>
        </w:tc>
        <w:tc>
          <w:tcPr>
            <w:tcW w:w="1605" w:type="dxa"/>
            <w:tcBorders>
              <w:tl2br w:val="nil"/>
              <w:tr2bl w:val="nil"/>
            </w:tcBorders>
            <w:shd w:val="clear" w:color="auto" w:fill="auto"/>
            <w:noWrap/>
            <w:vAlign w:val="center"/>
          </w:tcPr>
          <w:p w14:paraId="6694F21C">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8.03E-02</w:t>
            </w:r>
          </w:p>
        </w:tc>
        <w:tc>
          <w:tcPr>
            <w:tcW w:w="1275" w:type="dxa"/>
            <w:tcBorders>
              <w:tl2br w:val="nil"/>
              <w:tr2bl w:val="nil"/>
            </w:tcBorders>
            <w:shd w:val="clear" w:color="auto" w:fill="auto"/>
            <w:noWrap/>
            <w:vAlign w:val="center"/>
          </w:tcPr>
          <w:p w14:paraId="67AA5F62">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1.50E-01</w:t>
            </w:r>
          </w:p>
        </w:tc>
        <w:tc>
          <w:tcPr>
            <w:tcW w:w="1485" w:type="dxa"/>
            <w:tcBorders>
              <w:tl2br w:val="nil"/>
              <w:tr2bl w:val="nil"/>
            </w:tcBorders>
            <w:shd w:val="clear" w:color="auto" w:fill="auto"/>
            <w:noWrap/>
            <w:vAlign w:val="center"/>
          </w:tcPr>
          <w:p w14:paraId="79F7CCA5">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26.77</w:t>
            </w:r>
          </w:p>
        </w:tc>
        <w:tc>
          <w:tcPr>
            <w:tcW w:w="912" w:type="dxa"/>
            <w:tcBorders>
              <w:tl2br w:val="nil"/>
              <w:tr2bl w:val="nil"/>
            </w:tcBorders>
            <w:shd w:val="clear" w:color="auto" w:fill="auto"/>
            <w:noWrap/>
            <w:vAlign w:val="center"/>
          </w:tcPr>
          <w:p w14:paraId="02EB54D9">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达标</w:t>
            </w:r>
          </w:p>
        </w:tc>
      </w:tr>
      <w:tr w14:paraId="150B168D">
        <w:tblPrEx>
          <w:tblBorders>
            <w:top w:val="thinThickSmallGap" w:color="auto" w:sz="12" w:space="0"/>
            <w:left w:val="none" w:color="auto" w:sz="0" w:space="0"/>
            <w:bottom w:val="thinThick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528" w:type="dxa"/>
            <w:vMerge w:val="continue"/>
            <w:tcBorders>
              <w:tl2br w:val="nil"/>
              <w:tr2bl w:val="nil"/>
            </w:tcBorders>
            <w:shd w:val="clear" w:color="auto" w:fill="auto"/>
            <w:noWrap/>
            <w:vAlign w:val="center"/>
          </w:tcPr>
          <w:p w14:paraId="6C6DF8D2">
            <w:pPr>
              <w:keepNext w:val="0"/>
              <w:keepLines w:val="0"/>
              <w:pageBreakBefore w:val="0"/>
              <w:widowControl/>
              <w:kinsoku/>
              <w:wordWrap/>
              <w:overflowPunct/>
              <w:topLinePunct w:val="0"/>
              <w:autoSpaceDE/>
              <w:autoSpaceDN/>
              <w:bidi w:val="0"/>
              <w:adjustRightInd w:val="0"/>
              <w:snapToGrid w:val="0"/>
              <w:spacing w:line="240" w:lineRule="auto"/>
              <w:ind w:firstLineChars="0"/>
              <w:jc w:val="center"/>
              <w:rPr>
                <w:rFonts w:hint="default" w:ascii="Times New Roman" w:hAnsi="Times New Roman" w:eastAsia="宋体" w:cs="Times New Roman"/>
                <w:i w:val="0"/>
                <w:iCs w:val="0"/>
                <w:color w:val="0000FF"/>
                <w:sz w:val="21"/>
                <w:szCs w:val="21"/>
                <w:u w:val="none"/>
              </w:rPr>
            </w:pPr>
          </w:p>
        </w:tc>
        <w:tc>
          <w:tcPr>
            <w:tcW w:w="990" w:type="dxa"/>
            <w:vMerge w:val="continue"/>
            <w:tcBorders>
              <w:tl2br w:val="nil"/>
              <w:tr2bl w:val="nil"/>
            </w:tcBorders>
            <w:shd w:val="clear" w:color="auto" w:fill="auto"/>
            <w:noWrap/>
            <w:vAlign w:val="center"/>
          </w:tcPr>
          <w:p w14:paraId="35A877EA">
            <w:pPr>
              <w:keepNext w:val="0"/>
              <w:keepLines w:val="0"/>
              <w:pageBreakBefore w:val="0"/>
              <w:widowControl/>
              <w:kinsoku/>
              <w:wordWrap/>
              <w:overflowPunct/>
              <w:topLinePunct w:val="0"/>
              <w:autoSpaceDE/>
              <w:autoSpaceDN/>
              <w:bidi w:val="0"/>
              <w:adjustRightInd w:val="0"/>
              <w:snapToGrid w:val="0"/>
              <w:spacing w:line="240" w:lineRule="auto"/>
              <w:ind w:firstLineChars="0"/>
              <w:jc w:val="center"/>
              <w:rPr>
                <w:rFonts w:hint="default" w:ascii="Times New Roman" w:hAnsi="Times New Roman" w:eastAsia="宋体" w:cs="Times New Roman"/>
                <w:i w:val="0"/>
                <w:iCs w:val="0"/>
                <w:color w:val="0000FF"/>
                <w:sz w:val="21"/>
                <w:szCs w:val="21"/>
                <w:u w:val="none"/>
              </w:rPr>
            </w:pPr>
          </w:p>
        </w:tc>
        <w:tc>
          <w:tcPr>
            <w:tcW w:w="1275" w:type="dxa"/>
            <w:vMerge w:val="continue"/>
            <w:tcBorders>
              <w:tl2br w:val="nil"/>
              <w:tr2bl w:val="nil"/>
            </w:tcBorders>
            <w:shd w:val="clear" w:color="auto" w:fill="auto"/>
            <w:noWrap/>
            <w:vAlign w:val="center"/>
          </w:tcPr>
          <w:p w14:paraId="621FE555">
            <w:pPr>
              <w:keepNext w:val="0"/>
              <w:keepLines w:val="0"/>
              <w:pageBreakBefore w:val="0"/>
              <w:widowControl/>
              <w:kinsoku/>
              <w:wordWrap/>
              <w:overflowPunct/>
              <w:topLinePunct w:val="0"/>
              <w:autoSpaceDE/>
              <w:autoSpaceDN/>
              <w:bidi w:val="0"/>
              <w:adjustRightInd w:val="0"/>
              <w:snapToGrid w:val="0"/>
              <w:spacing w:line="240" w:lineRule="auto"/>
              <w:ind w:firstLineChars="0"/>
              <w:jc w:val="center"/>
              <w:rPr>
                <w:rFonts w:hint="default" w:ascii="Times New Roman" w:hAnsi="Times New Roman" w:eastAsia="宋体" w:cs="Times New Roman"/>
                <w:i w:val="0"/>
                <w:iCs w:val="0"/>
                <w:color w:val="0000FF"/>
                <w:sz w:val="21"/>
                <w:szCs w:val="21"/>
                <w:u w:val="none"/>
              </w:rPr>
            </w:pPr>
          </w:p>
        </w:tc>
        <w:tc>
          <w:tcPr>
            <w:tcW w:w="1875" w:type="dxa"/>
            <w:tcBorders>
              <w:tl2br w:val="nil"/>
              <w:tr2bl w:val="nil"/>
            </w:tcBorders>
            <w:shd w:val="clear" w:color="auto" w:fill="auto"/>
            <w:noWrap/>
            <w:vAlign w:val="center"/>
          </w:tcPr>
          <w:p w14:paraId="1937704A">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1"/>
                <w:szCs w:val="21"/>
                <w:u w:val="none"/>
                <w:lang w:val="en-US" w:eastAsia="zh-CN" w:bidi="ar"/>
              </w:rPr>
              <w:t>全时段</w:t>
            </w:r>
          </w:p>
        </w:tc>
        <w:tc>
          <w:tcPr>
            <w:tcW w:w="1260" w:type="dxa"/>
            <w:tcBorders>
              <w:tl2br w:val="nil"/>
              <w:tr2bl w:val="nil"/>
            </w:tcBorders>
            <w:shd w:val="clear" w:color="auto" w:fill="auto"/>
            <w:noWrap/>
            <w:vAlign w:val="center"/>
          </w:tcPr>
          <w:p w14:paraId="11B8AE12">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5.10E-05</w:t>
            </w:r>
          </w:p>
        </w:tc>
        <w:tc>
          <w:tcPr>
            <w:tcW w:w="1770" w:type="dxa"/>
            <w:tcBorders>
              <w:tl2br w:val="nil"/>
              <w:tr2bl w:val="nil"/>
            </w:tcBorders>
            <w:shd w:val="clear" w:color="auto" w:fill="auto"/>
            <w:noWrap/>
            <w:vAlign w:val="center"/>
          </w:tcPr>
          <w:p w14:paraId="017C6F82">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平均值</w:t>
            </w:r>
          </w:p>
        </w:tc>
        <w:tc>
          <w:tcPr>
            <w:tcW w:w="1140" w:type="dxa"/>
            <w:tcBorders>
              <w:tl2br w:val="nil"/>
              <w:tr2bl w:val="nil"/>
            </w:tcBorders>
            <w:shd w:val="clear" w:color="auto" w:fill="auto"/>
            <w:noWrap/>
            <w:vAlign w:val="center"/>
          </w:tcPr>
          <w:p w14:paraId="6CFF2F1B">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7.65E-02</w:t>
            </w:r>
          </w:p>
        </w:tc>
        <w:tc>
          <w:tcPr>
            <w:tcW w:w="1605" w:type="dxa"/>
            <w:tcBorders>
              <w:tl2br w:val="nil"/>
              <w:tr2bl w:val="nil"/>
            </w:tcBorders>
            <w:shd w:val="clear" w:color="auto" w:fill="auto"/>
            <w:noWrap/>
            <w:vAlign w:val="center"/>
          </w:tcPr>
          <w:p w14:paraId="6CEBCA06">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7.66E-02</w:t>
            </w:r>
          </w:p>
        </w:tc>
        <w:tc>
          <w:tcPr>
            <w:tcW w:w="1275" w:type="dxa"/>
            <w:tcBorders>
              <w:tl2br w:val="nil"/>
              <w:tr2bl w:val="nil"/>
            </w:tcBorders>
            <w:shd w:val="clear" w:color="auto" w:fill="auto"/>
            <w:noWrap/>
            <w:vAlign w:val="center"/>
          </w:tcPr>
          <w:p w14:paraId="7147F621">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2.00E-01</w:t>
            </w:r>
          </w:p>
        </w:tc>
        <w:tc>
          <w:tcPr>
            <w:tcW w:w="1485" w:type="dxa"/>
            <w:tcBorders>
              <w:tl2br w:val="nil"/>
              <w:tr2bl w:val="nil"/>
            </w:tcBorders>
            <w:shd w:val="clear" w:color="auto" w:fill="auto"/>
            <w:noWrap/>
            <w:vAlign w:val="center"/>
          </w:tcPr>
          <w:p w14:paraId="4459CEE4">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38.28</w:t>
            </w:r>
          </w:p>
        </w:tc>
        <w:tc>
          <w:tcPr>
            <w:tcW w:w="912" w:type="dxa"/>
            <w:tcBorders>
              <w:tl2br w:val="nil"/>
              <w:tr2bl w:val="nil"/>
            </w:tcBorders>
            <w:shd w:val="clear" w:color="auto" w:fill="auto"/>
            <w:noWrap/>
            <w:vAlign w:val="center"/>
          </w:tcPr>
          <w:p w14:paraId="1F3D22A2">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达标</w:t>
            </w:r>
          </w:p>
        </w:tc>
      </w:tr>
      <w:tr w14:paraId="3CA40236">
        <w:tblPrEx>
          <w:tblBorders>
            <w:top w:val="thinThickSmallGap" w:color="auto" w:sz="12" w:space="0"/>
            <w:left w:val="none" w:color="auto" w:sz="0" w:space="0"/>
            <w:bottom w:val="thinThick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528" w:type="dxa"/>
            <w:vMerge w:val="restart"/>
            <w:tcBorders>
              <w:tl2br w:val="nil"/>
              <w:tr2bl w:val="nil"/>
            </w:tcBorders>
            <w:shd w:val="clear" w:color="auto" w:fill="auto"/>
            <w:noWrap/>
            <w:vAlign w:val="center"/>
          </w:tcPr>
          <w:p w14:paraId="031C2239">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1"/>
                <w:szCs w:val="21"/>
                <w:u w:val="none"/>
                <w:lang w:val="en-US" w:eastAsia="zh-CN" w:bidi="ar"/>
              </w:rPr>
              <w:t>6</w:t>
            </w:r>
          </w:p>
        </w:tc>
        <w:tc>
          <w:tcPr>
            <w:tcW w:w="990" w:type="dxa"/>
            <w:vMerge w:val="restart"/>
            <w:tcBorders>
              <w:tl2br w:val="nil"/>
              <w:tr2bl w:val="nil"/>
            </w:tcBorders>
            <w:shd w:val="clear" w:color="auto" w:fill="auto"/>
            <w:noWrap/>
            <w:vAlign w:val="center"/>
          </w:tcPr>
          <w:p w14:paraId="35BD15FB">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1"/>
                <w:szCs w:val="21"/>
                <w:u w:val="none"/>
                <w:lang w:val="en-US" w:eastAsia="zh-CN" w:bidi="ar"/>
              </w:rPr>
              <w:t>五道沟</w:t>
            </w:r>
          </w:p>
        </w:tc>
        <w:tc>
          <w:tcPr>
            <w:tcW w:w="1275" w:type="dxa"/>
            <w:vMerge w:val="restart"/>
            <w:tcBorders>
              <w:tl2br w:val="nil"/>
              <w:tr2bl w:val="nil"/>
            </w:tcBorders>
            <w:shd w:val="clear" w:color="auto" w:fill="auto"/>
            <w:noWrap/>
            <w:vAlign w:val="center"/>
          </w:tcPr>
          <w:p w14:paraId="67F86AE8">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1"/>
                <w:szCs w:val="21"/>
                <w:u w:val="none"/>
                <w:lang w:val="en-US" w:eastAsia="zh-CN" w:bidi="ar"/>
              </w:rPr>
              <w:t>815,1679</w:t>
            </w:r>
          </w:p>
        </w:tc>
        <w:tc>
          <w:tcPr>
            <w:tcW w:w="1875" w:type="dxa"/>
            <w:tcBorders>
              <w:tl2br w:val="nil"/>
              <w:tr2bl w:val="nil"/>
            </w:tcBorders>
            <w:shd w:val="clear" w:color="auto" w:fill="auto"/>
            <w:noWrap/>
            <w:vAlign w:val="center"/>
          </w:tcPr>
          <w:p w14:paraId="1534C0BB">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1"/>
                <w:szCs w:val="21"/>
                <w:u w:val="none"/>
                <w:lang w:val="en-US" w:eastAsia="zh-CN" w:bidi="ar"/>
              </w:rPr>
              <w:t>9</w:t>
            </w:r>
            <w:r>
              <w:rPr>
                <w:rFonts w:hint="eastAsia" w:ascii="Times New Roman" w:hAnsi="Times New Roman" w:eastAsia="宋体" w:cs="Times New Roman"/>
                <w:i w:val="0"/>
                <w:iCs w:val="0"/>
                <w:color w:val="0000FF"/>
                <w:kern w:val="0"/>
                <w:sz w:val="21"/>
                <w:szCs w:val="21"/>
                <w:u w:val="none"/>
                <w:lang w:val="en-US" w:eastAsia="zh-CN" w:bidi="ar"/>
              </w:rPr>
              <w:t>5</w:t>
            </w:r>
            <w:r>
              <w:rPr>
                <w:rFonts w:hint="default" w:ascii="Times New Roman" w:hAnsi="Times New Roman" w:eastAsia="宋体" w:cs="Times New Roman"/>
                <w:i w:val="0"/>
                <w:iCs w:val="0"/>
                <w:color w:val="0000FF"/>
                <w:kern w:val="0"/>
                <w:sz w:val="21"/>
                <w:szCs w:val="21"/>
                <w:u w:val="none"/>
                <w:lang w:val="en-US" w:eastAsia="zh-CN" w:bidi="ar"/>
              </w:rPr>
              <w:t>%</w:t>
            </w:r>
            <w:r>
              <w:rPr>
                <w:rStyle w:val="542"/>
                <w:rFonts w:hint="default" w:ascii="Times New Roman" w:hAnsi="Times New Roman" w:eastAsia="宋体" w:cs="Times New Roman"/>
                <w:color w:val="0000FF"/>
                <w:sz w:val="21"/>
                <w:szCs w:val="21"/>
                <w:lang w:val="en-US" w:eastAsia="zh-CN" w:bidi="ar"/>
              </w:rPr>
              <w:t>保证率日平均</w:t>
            </w:r>
          </w:p>
        </w:tc>
        <w:tc>
          <w:tcPr>
            <w:tcW w:w="1260" w:type="dxa"/>
            <w:tcBorders>
              <w:tl2br w:val="nil"/>
              <w:tr2bl w:val="nil"/>
            </w:tcBorders>
            <w:shd w:val="clear" w:color="auto" w:fill="auto"/>
            <w:noWrap/>
            <w:vAlign w:val="center"/>
          </w:tcPr>
          <w:p w14:paraId="6B661BF6">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1.86E-04</w:t>
            </w:r>
          </w:p>
        </w:tc>
        <w:tc>
          <w:tcPr>
            <w:tcW w:w="1770" w:type="dxa"/>
            <w:tcBorders>
              <w:tl2br w:val="nil"/>
              <w:tr2bl w:val="nil"/>
            </w:tcBorders>
            <w:shd w:val="clear" w:color="auto" w:fill="auto"/>
            <w:noWrap/>
            <w:vAlign w:val="center"/>
          </w:tcPr>
          <w:p w14:paraId="2546BA8A">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240127</w:t>
            </w:r>
          </w:p>
        </w:tc>
        <w:tc>
          <w:tcPr>
            <w:tcW w:w="1140" w:type="dxa"/>
            <w:tcBorders>
              <w:tl2br w:val="nil"/>
              <w:tr2bl w:val="nil"/>
            </w:tcBorders>
            <w:shd w:val="clear" w:color="auto" w:fill="auto"/>
            <w:noWrap/>
            <w:vAlign w:val="center"/>
          </w:tcPr>
          <w:p w14:paraId="3821BED8">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8.00E-02</w:t>
            </w:r>
          </w:p>
        </w:tc>
        <w:tc>
          <w:tcPr>
            <w:tcW w:w="1605" w:type="dxa"/>
            <w:tcBorders>
              <w:tl2br w:val="nil"/>
              <w:tr2bl w:val="nil"/>
            </w:tcBorders>
            <w:shd w:val="clear" w:color="auto" w:fill="auto"/>
            <w:noWrap/>
            <w:vAlign w:val="center"/>
          </w:tcPr>
          <w:p w14:paraId="16552095">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8.02E-02</w:t>
            </w:r>
          </w:p>
        </w:tc>
        <w:tc>
          <w:tcPr>
            <w:tcW w:w="1275" w:type="dxa"/>
            <w:tcBorders>
              <w:tl2br w:val="nil"/>
              <w:tr2bl w:val="nil"/>
            </w:tcBorders>
            <w:shd w:val="clear" w:color="auto" w:fill="auto"/>
            <w:noWrap/>
            <w:vAlign w:val="center"/>
          </w:tcPr>
          <w:p w14:paraId="6E5A8A64">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1.50E-01</w:t>
            </w:r>
          </w:p>
        </w:tc>
        <w:tc>
          <w:tcPr>
            <w:tcW w:w="1485" w:type="dxa"/>
            <w:tcBorders>
              <w:tl2br w:val="nil"/>
              <w:tr2bl w:val="nil"/>
            </w:tcBorders>
            <w:shd w:val="clear" w:color="auto" w:fill="auto"/>
            <w:noWrap/>
            <w:vAlign w:val="center"/>
          </w:tcPr>
          <w:p w14:paraId="2F017E30">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26.73</w:t>
            </w:r>
          </w:p>
        </w:tc>
        <w:tc>
          <w:tcPr>
            <w:tcW w:w="912" w:type="dxa"/>
            <w:tcBorders>
              <w:tl2br w:val="nil"/>
              <w:tr2bl w:val="nil"/>
            </w:tcBorders>
            <w:shd w:val="clear" w:color="auto" w:fill="auto"/>
            <w:noWrap/>
            <w:vAlign w:val="center"/>
          </w:tcPr>
          <w:p w14:paraId="01CEC8C2">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达标</w:t>
            </w:r>
          </w:p>
        </w:tc>
      </w:tr>
      <w:tr w14:paraId="28D05059">
        <w:tblPrEx>
          <w:tblBorders>
            <w:top w:val="thinThickSmallGap" w:color="auto" w:sz="12" w:space="0"/>
            <w:left w:val="none" w:color="auto" w:sz="0" w:space="0"/>
            <w:bottom w:val="thinThickSmallGap" w:color="auto" w:sz="12" w:space="0"/>
            <w:right w:val="none" w:color="auto" w:sz="0"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 w:hRule="atLeast"/>
          <w:jc w:val="center"/>
        </w:trPr>
        <w:tc>
          <w:tcPr>
            <w:tcW w:w="528" w:type="dxa"/>
            <w:vMerge w:val="continue"/>
            <w:tcBorders>
              <w:tl2br w:val="nil"/>
              <w:tr2bl w:val="nil"/>
            </w:tcBorders>
            <w:shd w:val="clear" w:color="auto" w:fill="auto"/>
            <w:noWrap/>
            <w:vAlign w:val="center"/>
          </w:tcPr>
          <w:p w14:paraId="34166C4E">
            <w:pPr>
              <w:keepNext w:val="0"/>
              <w:keepLines w:val="0"/>
              <w:pageBreakBefore w:val="0"/>
              <w:widowControl/>
              <w:kinsoku/>
              <w:wordWrap/>
              <w:overflowPunct/>
              <w:topLinePunct w:val="0"/>
              <w:autoSpaceDE/>
              <w:autoSpaceDN/>
              <w:bidi w:val="0"/>
              <w:adjustRightInd w:val="0"/>
              <w:snapToGrid w:val="0"/>
              <w:spacing w:line="240" w:lineRule="auto"/>
              <w:ind w:firstLineChars="0"/>
              <w:jc w:val="center"/>
              <w:rPr>
                <w:rFonts w:hint="default" w:ascii="Times New Roman" w:hAnsi="Times New Roman" w:eastAsia="宋体" w:cs="Times New Roman"/>
                <w:i w:val="0"/>
                <w:iCs w:val="0"/>
                <w:color w:val="0000FF"/>
                <w:sz w:val="21"/>
                <w:szCs w:val="21"/>
                <w:u w:val="none"/>
              </w:rPr>
            </w:pPr>
          </w:p>
        </w:tc>
        <w:tc>
          <w:tcPr>
            <w:tcW w:w="990" w:type="dxa"/>
            <w:vMerge w:val="continue"/>
            <w:tcBorders>
              <w:tl2br w:val="nil"/>
              <w:tr2bl w:val="nil"/>
            </w:tcBorders>
            <w:shd w:val="clear" w:color="auto" w:fill="auto"/>
            <w:noWrap/>
            <w:vAlign w:val="center"/>
          </w:tcPr>
          <w:p w14:paraId="28425608">
            <w:pPr>
              <w:keepNext w:val="0"/>
              <w:keepLines w:val="0"/>
              <w:pageBreakBefore w:val="0"/>
              <w:widowControl/>
              <w:kinsoku/>
              <w:wordWrap/>
              <w:overflowPunct/>
              <w:topLinePunct w:val="0"/>
              <w:autoSpaceDE/>
              <w:autoSpaceDN/>
              <w:bidi w:val="0"/>
              <w:adjustRightInd w:val="0"/>
              <w:snapToGrid w:val="0"/>
              <w:spacing w:line="240" w:lineRule="auto"/>
              <w:ind w:firstLineChars="0"/>
              <w:jc w:val="center"/>
              <w:rPr>
                <w:rFonts w:hint="default" w:ascii="Times New Roman" w:hAnsi="Times New Roman" w:eastAsia="宋体" w:cs="Times New Roman"/>
                <w:i w:val="0"/>
                <w:iCs w:val="0"/>
                <w:color w:val="0000FF"/>
                <w:sz w:val="21"/>
                <w:szCs w:val="21"/>
                <w:u w:val="none"/>
              </w:rPr>
            </w:pPr>
          </w:p>
        </w:tc>
        <w:tc>
          <w:tcPr>
            <w:tcW w:w="1275" w:type="dxa"/>
            <w:vMerge w:val="continue"/>
            <w:tcBorders>
              <w:tl2br w:val="nil"/>
              <w:tr2bl w:val="nil"/>
            </w:tcBorders>
            <w:shd w:val="clear" w:color="auto" w:fill="auto"/>
            <w:noWrap/>
            <w:vAlign w:val="center"/>
          </w:tcPr>
          <w:p w14:paraId="5DEAD12E">
            <w:pPr>
              <w:keepNext w:val="0"/>
              <w:keepLines w:val="0"/>
              <w:pageBreakBefore w:val="0"/>
              <w:widowControl/>
              <w:kinsoku/>
              <w:wordWrap/>
              <w:overflowPunct/>
              <w:topLinePunct w:val="0"/>
              <w:autoSpaceDE/>
              <w:autoSpaceDN/>
              <w:bidi w:val="0"/>
              <w:adjustRightInd w:val="0"/>
              <w:snapToGrid w:val="0"/>
              <w:spacing w:line="240" w:lineRule="auto"/>
              <w:ind w:firstLineChars="0"/>
              <w:jc w:val="center"/>
              <w:rPr>
                <w:rFonts w:hint="default" w:ascii="Times New Roman" w:hAnsi="Times New Roman" w:eastAsia="宋体" w:cs="Times New Roman"/>
                <w:i w:val="0"/>
                <w:iCs w:val="0"/>
                <w:color w:val="0000FF"/>
                <w:sz w:val="21"/>
                <w:szCs w:val="21"/>
                <w:u w:val="none"/>
              </w:rPr>
            </w:pPr>
          </w:p>
        </w:tc>
        <w:tc>
          <w:tcPr>
            <w:tcW w:w="1875" w:type="dxa"/>
            <w:tcBorders>
              <w:tl2br w:val="nil"/>
              <w:tr2bl w:val="nil"/>
            </w:tcBorders>
            <w:shd w:val="clear" w:color="auto" w:fill="auto"/>
            <w:noWrap/>
            <w:vAlign w:val="center"/>
          </w:tcPr>
          <w:p w14:paraId="04BBB69B">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1"/>
                <w:szCs w:val="21"/>
                <w:u w:val="none"/>
                <w:lang w:val="en-US" w:eastAsia="zh-CN" w:bidi="ar"/>
              </w:rPr>
              <w:t>全时段</w:t>
            </w:r>
          </w:p>
        </w:tc>
        <w:tc>
          <w:tcPr>
            <w:tcW w:w="1260" w:type="dxa"/>
            <w:tcBorders>
              <w:tl2br w:val="nil"/>
              <w:tr2bl w:val="nil"/>
            </w:tcBorders>
            <w:shd w:val="clear" w:color="auto" w:fill="auto"/>
            <w:noWrap/>
            <w:vAlign w:val="center"/>
          </w:tcPr>
          <w:p w14:paraId="3FEFEA8F">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4.40E-05</w:t>
            </w:r>
          </w:p>
        </w:tc>
        <w:tc>
          <w:tcPr>
            <w:tcW w:w="1770" w:type="dxa"/>
            <w:tcBorders>
              <w:tl2br w:val="nil"/>
              <w:tr2bl w:val="nil"/>
            </w:tcBorders>
            <w:shd w:val="clear" w:color="auto" w:fill="auto"/>
            <w:noWrap/>
            <w:vAlign w:val="center"/>
          </w:tcPr>
          <w:p w14:paraId="5733940C">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平均值</w:t>
            </w:r>
          </w:p>
        </w:tc>
        <w:tc>
          <w:tcPr>
            <w:tcW w:w="1140" w:type="dxa"/>
            <w:tcBorders>
              <w:tl2br w:val="nil"/>
              <w:tr2bl w:val="nil"/>
            </w:tcBorders>
            <w:shd w:val="clear" w:color="auto" w:fill="auto"/>
            <w:noWrap/>
            <w:vAlign w:val="center"/>
          </w:tcPr>
          <w:p w14:paraId="6A1D35E2">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7.65E-02</w:t>
            </w:r>
          </w:p>
        </w:tc>
        <w:tc>
          <w:tcPr>
            <w:tcW w:w="1605" w:type="dxa"/>
            <w:tcBorders>
              <w:tl2br w:val="nil"/>
              <w:tr2bl w:val="nil"/>
            </w:tcBorders>
            <w:shd w:val="clear" w:color="auto" w:fill="auto"/>
            <w:noWrap/>
            <w:vAlign w:val="center"/>
          </w:tcPr>
          <w:p w14:paraId="4FAE79B3">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7.65E-02</w:t>
            </w:r>
          </w:p>
        </w:tc>
        <w:tc>
          <w:tcPr>
            <w:tcW w:w="1275" w:type="dxa"/>
            <w:tcBorders>
              <w:tl2br w:val="nil"/>
              <w:tr2bl w:val="nil"/>
            </w:tcBorders>
            <w:shd w:val="clear" w:color="auto" w:fill="auto"/>
            <w:noWrap/>
            <w:vAlign w:val="center"/>
          </w:tcPr>
          <w:p w14:paraId="1380EAB9">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2.00E-01</w:t>
            </w:r>
          </w:p>
        </w:tc>
        <w:tc>
          <w:tcPr>
            <w:tcW w:w="1485" w:type="dxa"/>
            <w:tcBorders>
              <w:tl2br w:val="nil"/>
              <w:tr2bl w:val="nil"/>
            </w:tcBorders>
            <w:shd w:val="clear" w:color="auto" w:fill="auto"/>
            <w:noWrap/>
            <w:vAlign w:val="center"/>
          </w:tcPr>
          <w:p w14:paraId="384FEA1B">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38.27</w:t>
            </w:r>
          </w:p>
        </w:tc>
        <w:tc>
          <w:tcPr>
            <w:tcW w:w="912" w:type="dxa"/>
            <w:tcBorders>
              <w:tl2br w:val="nil"/>
              <w:tr2bl w:val="nil"/>
            </w:tcBorders>
            <w:shd w:val="clear" w:color="auto" w:fill="auto"/>
            <w:noWrap/>
            <w:vAlign w:val="center"/>
          </w:tcPr>
          <w:p w14:paraId="0BC889EE">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达标</w:t>
            </w:r>
          </w:p>
        </w:tc>
      </w:tr>
      <w:tr w14:paraId="52D46E68">
        <w:tblPrEx>
          <w:tblBorders>
            <w:top w:val="thinThickSmallGap" w:color="auto" w:sz="12" w:space="0"/>
            <w:left w:val="none" w:color="auto" w:sz="0" w:space="0"/>
            <w:bottom w:val="thinThickSmallGap" w:color="auto" w:sz="12" w:space="0"/>
            <w:right w:val="none" w:color="auto" w:sz="0"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 w:hRule="atLeast"/>
          <w:jc w:val="center"/>
        </w:trPr>
        <w:tc>
          <w:tcPr>
            <w:tcW w:w="528" w:type="dxa"/>
            <w:vMerge w:val="restart"/>
            <w:tcBorders>
              <w:tl2br w:val="nil"/>
              <w:tr2bl w:val="nil"/>
            </w:tcBorders>
            <w:shd w:val="clear" w:color="auto" w:fill="auto"/>
            <w:noWrap/>
            <w:vAlign w:val="center"/>
          </w:tcPr>
          <w:p w14:paraId="3133443A">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1"/>
                <w:szCs w:val="21"/>
                <w:u w:val="none"/>
                <w:lang w:val="en-US" w:eastAsia="zh-CN" w:bidi="ar"/>
              </w:rPr>
              <w:t>7</w:t>
            </w:r>
          </w:p>
        </w:tc>
        <w:tc>
          <w:tcPr>
            <w:tcW w:w="990" w:type="dxa"/>
            <w:vMerge w:val="restart"/>
            <w:tcBorders>
              <w:tl2br w:val="nil"/>
              <w:tr2bl w:val="nil"/>
            </w:tcBorders>
            <w:shd w:val="clear" w:color="auto" w:fill="auto"/>
            <w:noWrap/>
            <w:vAlign w:val="center"/>
          </w:tcPr>
          <w:p w14:paraId="746CE7B9">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1"/>
                <w:szCs w:val="21"/>
                <w:u w:val="none"/>
                <w:lang w:val="en-US" w:eastAsia="zh-CN" w:bidi="ar"/>
              </w:rPr>
              <w:t>杨家堡子</w:t>
            </w:r>
          </w:p>
        </w:tc>
        <w:tc>
          <w:tcPr>
            <w:tcW w:w="1275" w:type="dxa"/>
            <w:vMerge w:val="restart"/>
            <w:tcBorders>
              <w:tl2br w:val="nil"/>
              <w:tr2bl w:val="nil"/>
            </w:tcBorders>
            <w:shd w:val="clear" w:color="auto" w:fill="auto"/>
            <w:noWrap/>
            <w:vAlign w:val="center"/>
          </w:tcPr>
          <w:p w14:paraId="19EB2C9C">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default" w:ascii="Times New Roman" w:hAnsi="Times New Roman" w:eastAsia="宋体" w:cs="Times New Roman"/>
                <w:i w:val="0"/>
                <w:iCs w:val="0"/>
                <w:color w:val="0000FF"/>
                <w:kern w:val="0"/>
                <w:sz w:val="21"/>
                <w:szCs w:val="21"/>
                <w:u w:val="none"/>
                <w:lang w:val="en-US" w:eastAsia="zh-CN" w:bidi="ar"/>
              </w:rPr>
              <w:t>1113,1984</w:t>
            </w:r>
          </w:p>
        </w:tc>
        <w:tc>
          <w:tcPr>
            <w:tcW w:w="1875" w:type="dxa"/>
            <w:tcBorders>
              <w:tl2br w:val="nil"/>
              <w:tr2bl w:val="nil"/>
            </w:tcBorders>
            <w:shd w:val="clear" w:color="auto" w:fill="auto"/>
            <w:noWrap/>
            <w:vAlign w:val="center"/>
          </w:tcPr>
          <w:p w14:paraId="41C369AC">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default" w:ascii="Times New Roman" w:hAnsi="Times New Roman" w:eastAsia="宋体" w:cs="Times New Roman"/>
                <w:i w:val="0"/>
                <w:iCs w:val="0"/>
                <w:color w:val="0000FF"/>
                <w:kern w:val="0"/>
                <w:sz w:val="21"/>
                <w:szCs w:val="21"/>
                <w:u w:val="none"/>
                <w:lang w:val="en-US" w:eastAsia="zh-CN" w:bidi="ar"/>
              </w:rPr>
              <w:t>9</w:t>
            </w:r>
            <w:r>
              <w:rPr>
                <w:rFonts w:hint="eastAsia" w:ascii="Times New Roman" w:hAnsi="Times New Roman" w:eastAsia="宋体" w:cs="Times New Roman"/>
                <w:i w:val="0"/>
                <w:iCs w:val="0"/>
                <w:color w:val="0000FF"/>
                <w:kern w:val="0"/>
                <w:sz w:val="21"/>
                <w:szCs w:val="21"/>
                <w:u w:val="none"/>
                <w:lang w:val="en-US" w:eastAsia="zh-CN" w:bidi="ar"/>
              </w:rPr>
              <w:t>5</w:t>
            </w:r>
            <w:r>
              <w:rPr>
                <w:rFonts w:hint="default" w:ascii="Times New Roman" w:hAnsi="Times New Roman" w:eastAsia="宋体" w:cs="Times New Roman"/>
                <w:i w:val="0"/>
                <w:iCs w:val="0"/>
                <w:color w:val="0000FF"/>
                <w:kern w:val="0"/>
                <w:sz w:val="21"/>
                <w:szCs w:val="21"/>
                <w:u w:val="none"/>
                <w:lang w:val="en-US" w:eastAsia="zh-CN" w:bidi="ar"/>
              </w:rPr>
              <w:t>%保证率日平均</w:t>
            </w:r>
          </w:p>
        </w:tc>
        <w:tc>
          <w:tcPr>
            <w:tcW w:w="1260" w:type="dxa"/>
            <w:tcBorders>
              <w:tl2br w:val="nil"/>
              <w:tr2bl w:val="nil"/>
            </w:tcBorders>
            <w:shd w:val="clear" w:color="auto" w:fill="auto"/>
            <w:noWrap/>
            <w:vAlign w:val="center"/>
          </w:tcPr>
          <w:p w14:paraId="4BD12492">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9.29E-05</w:t>
            </w:r>
          </w:p>
        </w:tc>
        <w:tc>
          <w:tcPr>
            <w:tcW w:w="1770" w:type="dxa"/>
            <w:tcBorders>
              <w:tl2br w:val="nil"/>
              <w:tr2bl w:val="nil"/>
            </w:tcBorders>
            <w:shd w:val="clear" w:color="auto" w:fill="auto"/>
            <w:noWrap/>
            <w:vAlign w:val="center"/>
          </w:tcPr>
          <w:p w14:paraId="20E5E8A8">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240126</w:t>
            </w:r>
          </w:p>
        </w:tc>
        <w:tc>
          <w:tcPr>
            <w:tcW w:w="1140" w:type="dxa"/>
            <w:tcBorders>
              <w:tl2br w:val="nil"/>
              <w:tr2bl w:val="nil"/>
            </w:tcBorders>
            <w:shd w:val="clear" w:color="auto" w:fill="auto"/>
            <w:noWrap/>
            <w:vAlign w:val="center"/>
          </w:tcPr>
          <w:p w14:paraId="67F2CF08">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8.00E-02</w:t>
            </w:r>
          </w:p>
        </w:tc>
        <w:tc>
          <w:tcPr>
            <w:tcW w:w="1605" w:type="dxa"/>
            <w:tcBorders>
              <w:tl2br w:val="nil"/>
              <w:tr2bl w:val="nil"/>
            </w:tcBorders>
            <w:shd w:val="clear" w:color="auto" w:fill="auto"/>
            <w:noWrap/>
            <w:vAlign w:val="center"/>
          </w:tcPr>
          <w:p w14:paraId="66372662">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8.01E-02</w:t>
            </w:r>
          </w:p>
        </w:tc>
        <w:tc>
          <w:tcPr>
            <w:tcW w:w="1275" w:type="dxa"/>
            <w:tcBorders>
              <w:tl2br w:val="nil"/>
              <w:tr2bl w:val="nil"/>
            </w:tcBorders>
            <w:shd w:val="clear" w:color="auto" w:fill="auto"/>
            <w:noWrap/>
            <w:vAlign w:val="center"/>
          </w:tcPr>
          <w:p w14:paraId="5FAE0E4F">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1.50E-01</w:t>
            </w:r>
          </w:p>
        </w:tc>
        <w:tc>
          <w:tcPr>
            <w:tcW w:w="1485" w:type="dxa"/>
            <w:tcBorders>
              <w:tl2br w:val="nil"/>
              <w:tr2bl w:val="nil"/>
            </w:tcBorders>
            <w:shd w:val="clear" w:color="auto" w:fill="auto"/>
            <w:noWrap/>
            <w:vAlign w:val="center"/>
          </w:tcPr>
          <w:p w14:paraId="6FFE6893">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26.7</w:t>
            </w:r>
          </w:p>
        </w:tc>
        <w:tc>
          <w:tcPr>
            <w:tcW w:w="912" w:type="dxa"/>
            <w:tcBorders>
              <w:tl2br w:val="nil"/>
              <w:tr2bl w:val="nil"/>
            </w:tcBorders>
            <w:shd w:val="clear" w:color="auto" w:fill="auto"/>
            <w:noWrap/>
            <w:vAlign w:val="center"/>
          </w:tcPr>
          <w:p w14:paraId="42DC946E">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达标</w:t>
            </w:r>
          </w:p>
        </w:tc>
      </w:tr>
      <w:tr w14:paraId="3945E4AA">
        <w:tblPrEx>
          <w:tblBorders>
            <w:top w:val="thinThickSmallGap" w:color="auto" w:sz="12" w:space="0"/>
            <w:left w:val="none" w:color="auto" w:sz="0" w:space="0"/>
            <w:bottom w:val="thinThick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528" w:type="dxa"/>
            <w:vMerge w:val="continue"/>
            <w:tcBorders>
              <w:tl2br w:val="nil"/>
              <w:tr2bl w:val="nil"/>
            </w:tcBorders>
            <w:shd w:val="clear" w:color="auto" w:fill="auto"/>
            <w:noWrap/>
            <w:vAlign w:val="center"/>
          </w:tcPr>
          <w:p w14:paraId="3E9AC2A9">
            <w:pPr>
              <w:keepNext w:val="0"/>
              <w:keepLines w:val="0"/>
              <w:pageBreakBefore w:val="0"/>
              <w:widowControl/>
              <w:kinsoku/>
              <w:wordWrap/>
              <w:overflowPunct/>
              <w:topLinePunct w:val="0"/>
              <w:autoSpaceDE/>
              <w:autoSpaceDN/>
              <w:bidi w:val="0"/>
              <w:adjustRightInd w:val="0"/>
              <w:snapToGrid w:val="0"/>
              <w:spacing w:line="240" w:lineRule="auto"/>
              <w:ind w:firstLineChars="0"/>
              <w:jc w:val="center"/>
              <w:rPr>
                <w:rFonts w:hint="default" w:ascii="Times New Roman" w:hAnsi="Times New Roman" w:eastAsia="宋体" w:cs="Times New Roman"/>
                <w:i w:val="0"/>
                <w:iCs w:val="0"/>
                <w:color w:val="0000FF"/>
                <w:sz w:val="21"/>
                <w:szCs w:val="21"/>
                <w:u w:val="none"/>
              </w:rPr>
            </w:pPr>
          </w:p>
        </w:tc>
        <w:tc>
          <w:tcPr>
            <w:tcW w:w="990" w:type="dxa"/>
            <w:vMerge w:val="continue"/>
            <w:tcBorders>
              <w:tl2br w:val="nil"/>
              <w:tr2bl w:val="nil"/>
            </w:tcBorders>
            <w:shd w:val="clear" w:color="auto" w:fill="auto"/>
            <w:noWrap/>
            <w:vAlign w:val="center"/>
          </w:tcPr>
          <w:p w14:paraId="435DF562">
            <w:pPr>
              <w:keepNext w:val="0"/>
              <w:keepLines w:val="0"/>
              <w:pageBreakBefore w:val="0"/>
              <w:widowControl/>
              <w:kinsoku/>
              <w:wordWrap/>
              <w:overflowPunct/>
              <w:topLinePunct w:val="0"/>
              <w:autoSpaceDE/>
              <w:autoSpaceDN/>
              <w:bidi w:val="0"/>
              <w:adjustRightInd w:val="0"/>
              <w:snapToGrid w:val="0"/>
              <w:spacing w:line="240" w:lineRule="auto"/>
              <w:ind w:firstLineChars="0"/>
              <w:jc w:val="center"/>
              <w:rPr>
                <w:rFonts w:hint="default" w:ascii="Times New Roman" w:hAnsi="Times New Roman" w:eastAsia="宋体" w:cs="Times New Roman"/>
                <w:i w:val="0"/>
                <w:iCs w:val="0"/>
                <w:color w:val="0000FF"/>
                <w:sz w:val="21"/>
                <w:szCs w:val="21"/>
                <w:u w:val="none"/>
              </w:rPr>
            </w:pPr>
          </w:p>
        </w:tc>
        <w:tc>
          <w:tcPr>
            <w:tcW w:w="1275" w:type="dxa"/>
            <w:vMerge w:val="continue"/>
            <w:tcBorders>
              <w:tl2br w:val="nil"/>
              <w:tr2bl w:val="nil"/>
            </w:tcBorders>
            <w:shd w:val="clear" w:color="auto" w:fill="auto"/>
            <w:noWrap/>
            <w:vAlign w:val="center"/>
          </w:tcPr>
          <w:p w14:paraId="0453BB4A">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p>
        </w:tc>
        <w:tc>
          <w:tcPr>
            <w:tcW w:w="1875" w:type="dxa"/>
            <w:tcBorders>
              <w:tl2br w:val="nil"/>
              <w:tr2bl w:val="nil"/>
            </w:tcBorders>
            <w:shd w:val="clear" w:color="auto" w:fill="auto"/>
            <w:noWrap/>
            <w:vAlign w:val="center"/>
          </w:tcPr>
          <w:p w14:paraId="54226F50">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default" w:ascii="Times New Roman" w:hAnsi="Times New Roman" w:eastAsia="宋体" w:cs="Times New Roman"/>
                <w:i w:val="0"/>
                <w:iCs w:val="0"/>
                <w:color w:val="0000FF"/>
                <w:kern w:val="0"/>
                <w:sz w:val="21"/>
                <w:szCs w:val="21"/>
                <w:u w:val="none"/>
                <w:lang w:val="en-US" w:eastAsia="zh-CN" w:bidi="ar"/>
              </w:rPr>
              <w:t>全时段</w:t>
            </w:r>
          </w:p>
        </w:tc>
        <w:tc>
          <w:tcPr>
            <w:tcW w:w="1260" w:type="dxa"/>
            <w:tcBorders>
              <w:tl2br w:val="nil"/>
              <w:tr2bl w:val="nil"/>
            </w:tcBorders>
            <w:shd w:val="clear" w:color="auto" w:fill="auto"/>
            <w:noWrap/>
            <w:vAlign w:val="center"/>
          </w:tcPr>
          <w:p w14:paraId="7AA734EF">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2.53E-05</w:t>
            </w:r>
          </w:p>
        </w:tc>
        <w:tc>
          <w:tcPr>
            <w:tcW w:w="1770" w:type="dxa"/>
            <w:tcBorders>
              <w:tl2br w:val="nil"/>
              <w:tr2bl w:val="nil"/>
            </w:tcBorders>
            <w:shd w:val="clear" w:color="auto" w:fill="auto"/>
            <w:noWrap/>
            <w:vAlign w:val="center"/>
          </w:tcPr>
          <w:p w14:paraId="752DA6DA">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平均值</w:t>
            </w:r>
          </w:p>
        </w:tc>
        <w:tc>
          <w:tcPr>
            <w:tcW w:w="1140" w:type="dxa"/>
            <w:tcBorders>
              <w:tl2br w:val="nil"/>
              <w:tr2bl w:val="nil"/>
            </w:tcBorders>
            <w:shd w:val="clear" w:color="auto" w:fill="auto"/>
            <w:noWrap/>
            <w:vAlign w:val="center"/>
          </w:tcPr>
          <w:p w14:paraId="35682841">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7.65E-02</w:t>
            </w:r>
          </w:p>
        </w:tc>
        <w:tc>
          <w:tcPr>
            <w:tcW w:w="1605" w:type="dxa"/>
            <w:tcBorders>
              <w:tl2br w:val="nil"/>
              <w:tr2bl w:val="nil"/>
            </w:tcBorders>
            <w:shd w:val="clear" w:color="auto" w:fill="auto"/>
            <w:noWrap/>
            <w:vAlign w:val="center"/>
          </w:tcPr>
          <w:p w14:paraId="793410D8">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7.65E-02</w:t>
            </w:r>
          </w:p>
        </w:tc>
        <w:tc>
          <w:tcPr>
            <w:tcW w:w="1275" w:type="dxa"/>
            <w:tcBorders>
              <w:tl2br w:val="nil"/>
              <w:tr2bl w:val="nil"/>
            </w:tcBorders>
            <w:shd w:val="clear" w:color="auto" w:fill="auto"/>
            <w:noWrap/>
            <w:vAlign w:val="center"/>
          </w:tcPr>
          <w:p w14:paraId="77726C3F">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2.00E-01</w:t>
            </w:r>
          </w:p>
        </w:tc>
        <w:tc>
          <w:tcPr>
            <w:tcW w:w="1485" w:type="dxa"/>
            <w:tcBorders>
              <w:tl2br w:val="nil"/>
              <w:tr2bl w:val="nil"/>
            </w:tcBorders>
            <w:shd w:val="clear" w:color="auto" w:fill="auto"/>
            <w:noWrap/>
            <w:vAlign w:val="center"/>
          </w:tcPr>
          <w:p w14:paraId="24B14164">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38.26</w:t>
            </w:r>
          </w:p>
        </w:tc>
        <w:tc>
          <w:tcPr>
            <w:tcW w:w="912" w:type="dxa"/>
            <w:tcBorders>
              <w:tl2br w:val="nil"/>
              <w:tr2bl w:val="nil"/>
            </w:tcBorders>
            <w:shd w:val="clear" w:color="auto" w:fill="auto"/>
            <w:noWrap/>
            <w:vAlign w:val="center"/>
          </w:tcPr>
          <w:p w14:paraId="17F2617B">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达标</w:t>
            </w:r>
          </w:p>
        </w:tc>
      </w:tr>
      <w:tr w14:paraId="6D9942BD">
        <w:tblPrEx>
          <w:tblBorders>
            <w:top w:val="thinThickSmallGap" w:color="auto" w:sz="12" w:space="0"/>
            <w:left w:val="none" w:color="auto" w:sz="0" w:space="0"/>
            <w:bottom w:val="thinThick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528" w:type="dxa"/>
            <w:vMerge w:val="restart"/>
            <w:tcBorders>
              <w:tl2br w:val="nil"/>
              <w:tr2bl w:val="nil"/>
            </w:tcBorders>
            <w:shd w:val="clear" w:color="auto" w:fill="auto"/>
            <w:noWrap/>
            <w:vAlign w:val="center"/>
          </w:tcPr>
          <w:p w14:paraId="7223630D">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1"/>
                <w:szCs w:val="21"/>
                <w:u w:val="none"/>
                <w:lang w:val="en-US" w:eastAsia="zh-CN" w:bidi="ar"/>
              </w:rPr>
              <w:t>8</w:t>
            </w:r>
          </w:p>
        </w:tc>
        <w:tc>
          <w:tcPr>
            <w:tcW w:w="990" w:type="dxa"/>
            <w:vMerge w:val="restart"/>
            <w:tcBorders>
              <w:tl2br w:val="nil"/>
              <w:tr2bl w:val="nil"/>
            </w:tcBorders>
            <w:shd w:val="clear" w:color="auto" w:fill="auto"/>
            <w:noWrap/>
            <w:vAlign w:val="center"/>
          </w:tcPr>
          <w:p w14:paraId="0987F44D">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1"/>
                <w:szCs w:val="21"/>
                <w:u w:val="none"/>
                <w:lang w:val="en-US" w:eastAsia="zh-CN" w:bidi="ar"/>
              </w:rPr>
              <w:t>网格</w:t>
            </w:r>
          </w:p>
        </w:tc>
        <w:tc>
          <w:tcPr>
            <w:tcW w:w="1275" w:type="dxa"/>
            <w:tcBorders>
              <w:tl2br w:val="nil"/>
              <w:tr2bl w:val="nil"/>
            </w:tcBorders>
            <w:shd w:val="clear" w:color="auto" w:fill="auto"/>
            <w:noWrap/>
            <w:vAlign w:val="center"/>
          </w:tcPr>
          <w:p w14:paraId="1CA24DB9">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-172,-69</w:t>
            </w:r>
          </w:p>
        </w:tc>
        <w:tc>
          <w:tcPr>
            <w:tcW w:w="1875" w:type="dxa"/>
            <w:tcBorders>
              <w:tl2br w:val="nil"/>
              <w:tr2bl w:val="nil"/>
            </w:tcBorders>
            <w:shd w:val="clear" w:color="auto" w:fill="auto"/>
            <w:noWrap/>
            <w:vAlign w:val="center"/>
          </w:tcPr>
          <w:p w14:paraId="754ACBE9">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default" w:ascii="Times New Roman" w:hAnsi="Times New Roman" w:eastAsia="宋体" w:cs="Times New Roman"/>
                <w:i w:val="0"/>
                <w:iCs w:val="0"/>
                <w:color w:val="0000FF"/>
                <w:kern w:val="0"/>
                <w:sz w:val="21"/>
                <w:szCs w:val="21"/>
                <w:u w:val="none"/>
                <w:lang w:val="en-US" w:eastAsia="zh-CN" w:bidi="ar"/>
              </w:rPr>
              <w:t>9</w:t>
            </w:r>
            <w:r>
              <w:rPr>
                <w:rFonts w:hint="eastAsia" w:ascii="Times New Roman" w:hAnsi="Times New Roman" w:eastAsia="宋体" w:cs="Times New Roman"/>
                <w:i w:val="0"/>
                <w:iCs w:val="0"/>
                <w:color w:val="0000FF"/>
                <w:kern w:val="0"/>
                <w:sz w:val="21"/>
                <w:szCs w:val="21"/>
                <w:u w:val="none"/>
                <w:lang w:val="en-US" w:eastAsia="zh-CN" w:bidi="ar"/>
              </w:rPr>
              <w:t>5</w:t>
            </w:r>
            <w:r>
              <w:rPr>
                <w:rFonts w:hint="default" w:ascii="Times New Roman" w:hAnsi="Times New Roman" w:eastAsia="宋体" w:cs="Times New Roman"/>
                <w:i w:val="0"/>
                <w:iCs w:val="0"/>
                <w:color w:val="0000FF"/>
                <w:kern w:val="0"/>
                <w:sz w:val="21"/>
                <w:szCs w:val="21"/>
                <w:u w:val="none"/>
                <w:lang w:val="en-US" w:eastAsia="zh-CN" w:bidi="ar"/>
              </w:rPr>
              <w:t>%保证率日平均</w:t>
            </w:r>
          </w:p>
        </w:tc>
        <w:tc>
          <w:tcPr>
            <w:tcW w:w="1260" w:type="dxa"/>
            <w:tcBorders>
              <w:tl2br w:val="nil"/>
              <w:tr2bl w:val="nil"/>
            </w:tcBorders>
            <w:shd w:val="clear" w:color="auto" w:fill="auto"/>
            <w:noWrap/>
            <w:vAlign w:val="center"/>
          </w:tcPr>
          <w:p w14:paraId="331054D0">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2.98E-03</w:t>
            </w:r>
          </w:p>
        </w:tc>
        <w:tc>
          <w:tcPr>
            <w:tcW w:w="1770" w:type="dxa"/>
            <w:tcBorders>
              <w:tl2br w:val="nil"/>
              <w:tr2bl w:val="nil"/>
            </w:tcBorders>
            <w:shd w:val="clear" w:color="auto" w:fill="auto"/>
            <w:noWrap/>
            <w:vAlign w:val="center"/>
          </w:tcPr>
          <w:p w14:paraId="4F365834">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240911</w:t>
            </w:r>
          </w:p>
        </w:tc>
        <w:tc>
          <w:tcPr>
            <w:tcW w:w="1140" w:type="dxa"/>
            <w:tcBorders>
              <w:tl2br w:val="nil"/>
              <w:tr2bl w:val="nil"/>
            </w:tcBorders>
            <w:shd w:val="clear" w:color="auto" w:fill="auto"/>
            <w:noWrap/>
            <w:vAlign w:val="center"/>
          </w:tcPr>
          <w:p w14:paraId="5F3CF668">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8.00E-02</w:t>
            </w:r>
          </w:p>
        </w:tc>
        <w:tc>
          <w:tcPr>
            <w:tcW w:w="1605" w:type="dxa"/>
            <w:tcBorders>
              <w:tl2br w:val="nil"/>
              <w:tr2bl w:val="nil"/>
            </w:tcBorders>
            <w:shd w:val="clear" w:color="auto" w:fill="auto"/>
            <w:noWrap/>
            <w:vAlign w:val="center"/>
          </w:tcPr>
          <w:p w14:paraId="1E8D0AA3">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8.30E-02</w:t>
            </w:r>
          </w:p>
        </w:tc>
        <w:tc>
          <w:tcPr>
            <w:tcW w:w="1275" w:type="dxa"/>
            <w:tcBorders>
              <w:tl2br w:val="nil"/>
              <w:tr2bl w:val="nil"/>
            </w:tcBorders>
            <w:shd w:val="clear" w:color="auto" w:fill="auto"/>
            <w:noWrap/>
            <w:vAlign w:val="center"/>
          </w:tcPr>
          <w:p w14:paraId="6B06287A">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1.50E-01</w:t>
            </w:r>
          </w:p>
        </w:tc>
        <w:tc>
          <w:tcPr>
            <w:tcW w:w="1485" w:type="dxa"/>
            <w:tcBorders>
              <w:tl2br w:val="nil"/>
              <w:tr2bl w:val="nil"/>
            </w:tcBorders>
            <w:shd w:val="clear" w:color="auto" w:fill="auto"/>
            <w:noWrap/>
            <w:vAlign w:val="center"/>
          </w:tcPr>
          <w:p w14:paraId="20130778">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27.66</w:t>
            </w:r>
          </w:p>
        </w:tc>
        <w:tc>
          <w:tcPr>
            <w:tcW w:w="912" w:type="dxa"/>
            <w:tcBorders>
              <w:tl2br w:val="nil"/>
              <w:tr2bl w:val="nil"/>
            </w:tcBorders>
            <w:shd w:val="clear" w:color="auto" w:fill="auto"/>
            <w:noWrap/>
            <w:vAlign w:val="center"/>
          </w:tcPr>
          <w:p w14:paraId="5AA438A0">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达标</w:t>
            </w:r>
          </w:p>
        </w:tc>
      </w:tr>
      <w:tr w14:paraId="29FBF83A">
        <w:tblPrEx>
          <w:tblBorders>
            <w:top w:val="thinThickSmallGap" w:color="auto" w:sz="12" w:space="0"/>
            <w:left w:val="none" w:color="auto" w:sz="0" w:space="0"/>
            <w:bottom w:val="thinThickSmallGap" w:color="auto" w:sz="12" w:space="0"/>
            <w:right w:val="none" w:color="auto" w:sz="0"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 w:hRule="atLeast"/>
          <w:jc w:val="center"/>
        </w:trPr>
        <w:tc>
          <w:tcPr>
            <w:tcW w:w="528" w:type="dxa"/>
            <w:vMerge w:val="continue"/>
            <w:tcBorders>
              <w:tl2br w:val="nil"/>
              <w:tr2bl w:val="nil"/>
            </w:tcBorders>
            <w:shd w:val="clear" w:color="auto" w:fill="auto"/>
            <w:noWrap/>
            <w:vAlign w:val="center"/>
          </w:tcPr>
          <w:p w14:paraId="1B4E27ED">
            <w:pPr>
              <w:keepNext w:val="0"/>
              <w:keepLines w:val="0"/>
              <w:pageBreakBefore w:val="0"/>
              <w:widowControl/>
              <w:kinsoku/>
              <w:wordWrap/>
              <w:overflowPunct/>
              <w:topLinePunct w:val="0"/>
              <w:autoSpaceDE/>
              <w:autoSpaceDN/>
              <w:bidi w:val="0"/>
              <w:adjustRightInd w:val="0"/>
              <w:snapToGrid w:val="0"/>
              <w:spacing w:line="240" w:lineRule="auto"/>
              <w:ind w:firstLineChars="0"/>
              <w:jc w:val="center"/>
              <w:rPr>
                <w:rFonts w:hint="default" w:ascii="Times New Roman" w:hAnsi="Times New Roman" w:eastAsia="宋体" w:cs="Times New Roman"/>
                <w:i w:val="0"/>
                <w:iCs w:val="0"/>
                <w:color w:val="0000FF"/>
                <w:sz w:val="21"/>
                <w:szCs w:val="21"/>
                <w:u w:val="none"/>
              </w:rPr>
            </w:pPr>
          </w:p>
        </w:tc>
        <w:tc>
          <w:tcPr>
            <w:tcW w:w="990" w:type="dxa"/>
            <w:vMerge w:val="continue"/>
            <w:tcBorders>
              <w:tl2br w:val="nil"/>
              <w:tr2bl w:val="nil"/>
            </w:tcBorders>
            <w:shd w:val="clear" w:color="auto" w:fill="auto"/>
            <w:noWrap/>
            <w:vAlign w:val="center"/>
          </w:tcPr>
          <w:p w14:paraId="6FC3FC35">
            <w:pPr>
              <w:keepNext w:val="0"/>
              <w:keepLines w:val="0"/>
              <w:pageBreakBefore w:val="0"/>
              <w:widowControl/>
              <w:kinsoku/>
              <w:wordWrap/>
              <w:overflowPunct/>
              <w:topLinePunct w:val="0"/>
              <w:autoSpaceDE/>
              <w:autoSpaceDN/>
              <w:bidi w:val="0"/>
              <w:adjustRightInd w:val="0"/>
              <w:snapToGrid w:val="0"/>
              <w:spacing w:line="240" w:lineRule="auto"/>
              <w:ind w:firstLineChars="0"/>
              <w:jc w:val="center"/>
              <w:rPr>
                <w:rFonts w:hint="default" w:ascii="Times New Roman" w:hAnsi="Times New Roman" w:eastAsia="宋体" w:cs="Times New Roman"/>
                <w:i w:val="0"/>
                <w:iCs w:val="0"/>
                <w:color w:val="0000FF"/>
                <w:sz w:val="21"/>
                <w:szCs w:val="21"/>
                <w:u w:val="none"/>
              </w:rPr>
            </w:pPr>
          </w:p>
        </w:tc>
        <w:tc>
          <w:tcPr>
            <w:tcW w:w="1275" w:type="dxa"/>
            <w:tcBorders>
              <w:tl2br w:val="nil"/>
              <w:tr2bl w:val="nil"/>
            </w:tcBorders>
            <w:shd w:val="clear" w:color="auto" w:fill="auto"/>
            <w:noWrap/>
            <w:vAlign w:val="center"/>
          </w:tcPr>
          <w:p w14:paraId="5892F2D5">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28,-69</w:t>
            </w:r>
          </w:p>
        </w:tc>
        <w:tc>
          <w:tcPr>
            <w:tcW w:w="1875" w:type="dxa"/>
            <w:tcBorders>
              <w:tl2br w:val="nil"/>
              <w:tr2bl w:val="nil"/>
            </w:tcBorders>
            <w:shd w:val="clear" w:color="auto" w:fill="auto"/>
            <w:noWrap/>
            <w:vAlign w:val="center"/>
          </w:tcPr>
          <w:p w14:paraId="4D0AF5BA">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default" w:ascii="Times New Roman" w:hAnsi="Times New Roman" w:eastAsia="宋体" w:cs="Times New Roman"/>
                <w:i w:val="0"/>
                <w:iCs w:val="0"/>
                <w:color w:val="0000FF"/>
                <w:kern w:val="0"/>
                <w:sz w:val="21"/>
                <w:szCs w:val="21"/>
                <w:u w:val="none"/>
                <w:lang w:val="en-US" w:eastAsia="zh-CN" w:bidi="ar"/>
              </w:rPr>
              <w:t>全时段</w:t>
            </w:r>
          </w:p>
        </w:tc>
        <w:tc>
          <w:tcPr>
            <w:tcW w:w="1260" w:type="dxa"/>
            <w:tcBorders>
              <w:tl2br w:val="nil"/>
              <w:tr2bl w:val="nil"/>
            </w:tcBorders>
            <w:shd w:val="clear" w:color="auto" w:fill="auto"/>
            <w:noWrap/>
            <w:vAlign w:val="center"/>
          </w:tcPr>
          <w:p w14:paraId="321391F7">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1.09E-03</w:t>
            </w:r>
          </w:p>
        </w:tc>
        <w:tc>
          <w:tcPr>
            <w:tcW w:w="1770" w:type="dxa"/>
            <w:tcBorders>
              <w:tl2br w:val="nil"/>
              <w:tr2bl w:val="nil"/>
            </w:tcBorders>
            <w:shd w:val="clear" w:color="auto" w:fill="auto"/>
            <w:noWrap/>
            <w:vAlign w:val="center"/>
          </w:tcPr>
          <w:p w14:paraId="6E71286B">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平均值</w:t>
            </w:r>
          </w:p>
        </w:tc>
        <w:tc>
          <w:tcPr>
            <w:tcW w:w="1140" w:type="dxa"/>
            <w:tcBorders>
              <w:tl2br w:val="nil"/>
              <w:tr2bl w:val="nil"/>
            </w:tcBorders>
            <w:shd w:val="clear" w:color="auto" w:fill="auto"/>
            <w:noWrap/>
            <w:vAlign w:val="center"/>
          </w:tcPr>
          <w:p w14:paraId="6734AD3C">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7.65E-02</w:t>
            </w:r>
          </w:p>
        </w:tc>
        <w:tc>
          <w:tcPr>
            <w:tcW w:w="1605" w:type="dxa"/>
            <w:tcBorders>
              <w:tl2br w:val="nil"/>
              <w:tr2bl w:val="nil"/>
            </w:tcBorders>
            <w:shd w:val="clear" w:color="auto" w:fill="auto"/>
            <w:noWrap/>
            <w:vAlign w:val="center"/>
          </w:tcPr>
          <w:p w14:paraId="3D172DA7">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7.76E-02</w:t>
            </w:r>
          </w:p>
        </w:tc>
        <w:tc>
          <w:tcPr>
            <w:tcW w:w="1275" w:type="dxa"/>
            <w:tcBorders>
              <w:tl2br w:val="nil"/>
              <w:tr2bl w:val="nil"/>
            </w:tcBorders>
            <w:shd w:val="clear" w:color="auto" w:fill="auto"/>
            <w:noWrap/>
            <w:vAlign w:val="center"/>
          </w:tcPr>
          <w:p w14:paraId="307DBC6D">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2.00E-01</w:t>
            </w:r>
          </w:p>
        </w:tc>
        <w:tc>
          <w:tcPr>
            <w:tcW w:w="1485" w:type="dxa"/>
            <w:tcBorders>
              <w:tl2br w:val="nil"/>
              <w:tr2bl w:val="nil"/>
            </w:tcBorders>
            <w:shd w:val="clear" w:color="auto" w:fill="auto"/>
            <w:noWrap/>
            <w:vAlign w:val="center"/>
          </w:tcPr>
          <w:p w14:paraId="5058ECF1">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38.8</w:t>
            </w:r>
          </w:p>
        </w:tc>
        <w:tc>
          <w:tcPr>
            <w:tcW w:w="912" w:type="dxa"/>
            <w:tcBorders>
              <w:tl2br w:val="nil"/>
              <w:tr2bl w:val="nil"/>
            </w:tcBorders>
            <w:shd w:val="clear" w:color="auto" w:fill="auto"/>
            <w:noWrap/>
            <w:vAlign w:val="center"/>
          </w:tcPr>
          <w:p w14:paraId="017D021F">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达标</w:t>
            </w:r>
          </w:p>
        </w:tc>
      </w:tr>
    </w:tbl>
    <w:p w14:paraId="6CE17088">
      <w:pPr>
        <w:tabs>
          <w:tab w:val="left" w:pos="851"/>
          <w:tab w:val="left" w:pos="1141"/>
          <w:tab w:val="left" w:pos="4335"/>
        </w:tabs>
        <w:jc w:val="center"/>
        <w:rPr>
          <w:rFonts w:hint="default" w:ascii="Times New Roman" w:hAnsi="Times New Roman" w:eastAsia="黑体" w:cs="Times New Roman"/>
          <w:bCs/>
          <w:color w:val="0000FF"/>
        </w:rPr>
      </w:pPr>
    </w:p>
    <w:p w14:paraId="56E45877">
      <w:pPr>
        <w:tabs>
          <w:tab w:val="left" w:pos="851"/>
          <w:tab w:val="left" w:pos="1141"/>
          <w:tab w:val="left" w:pos="4335"/>
        </w:tabs>
        <w:jc w:val="center"/>
        <w:rPr>
          <w:rFonts w:hint="default" w:ascii="Times New Roman" w:hAnsi="Times New Roman" w:eastAsia="黑体" w:cs="Times New Roman"/>
          <w:bCs/>
          <w:color w:val="0000FF"/>
        </w:rPr>
      </w:pPr>
    </w:p>
    <w:p w14:paraId="6C602524">
      <w:pPr>
        <w:tabs>
          <w:tab w:val="left" w:pos="851"/>
          <w:tab w:val="left" w:pos="1141"/>
          <w:tab w:val="left" w:pos="4335"/>
        </w:tabs>
        <w:jc w:val="center"/>
        <w:rPr>
          <w:rFonts w:hint="default" w:ascii="Times New Roman" w:hAnsi="Times New Roman" w:eastAsia="黑体" w:cs="Times New Roman"/>
          <w:bCs/>
          <w:color w:val="0000FF"/>
        </w:rPr>
      </w:pPr>
    </w:p>
    <w:p w14:paraId="1240A89E">
      <w:pPr>
        <w:tabs>
          <w:tab w:val="left" w:pos="851"/>
          <w:tab w:val="left" w:pos="1141"/>
          <w:tab w:val="left" w:pos="4335"/>
        </w:tabs>
        <w:jc w:val="center"/>
        <w:rPr>
          <w:rFonts w:hint="default" w:ascii="Times New Roman" w:hAnsi="Times New Roman" w:eastAsia="黑体" w:cs="Times New Roman"/>
          <w:bCs/>
          <w:color w:val="0000FF"/>
        </w:rPr>
      </w:pPr>
    </w:p>
    <w:p w14:paraId="08CA7465">
      <w:pPr>
        <w:tabs>
          <w:tab w:val="left" w:pos="851"/>
          <w:tab w:val="left" w:pos="1141"/>
          <w:tab w:val="left" w:pos="4335"/>
        </w:tabs>
        <w:jc w:val="center"/>
        <w:rPr>
          <w:rFonts w:hint="default" w:ascii="Times New Roman" w:hAnsi="Times New Roman" w:eastAsia="黑体" w:cs="Times New Roman"/>
          <w:bCs/>
          <w:color w:val="0000FF"/>
        </w:rPr>
      </w:pPr>
    </w:p>
    <w:p w14:paraId="2C8E69A7">
      <w:pPr>
        <w:tabs>
          <w:tab w:val="left" w:pos="851"/>
          <w:tab w:val="left" w:pos="1141"/>
          <w:tab w:val="left" w:pos="4335"/>
        </w:tabs>
        <w:jc w:val="center"/>
        <w:rPr>
          <w:rFonts w:hint="default" w:ascii="Times New Roman" w:hAnsi="Times New Roman" w:eastAsia="黑体" w:cs="Times New Roman"/>
          <w:bCs/>
          <w:color w:val="0000FF"/>
        </w:rPr>
      </w:pPr>
      <w:r>
        <w:rPr>
          <w:rFonts w:hint="default" w:ascii="Times New Roman" w:hAnsi="Times New Roman" w:eastAsia="黑体" w:cs="Times New Roman"/>
          <w:bCs/>
          <w:color w:val="0000FF"/>
        </w:rPr>
        <w:t>表</w:t>
      </w:r>
      <w:r>
        <w:rPr>
          <w:rFonts w:hint="eastAsia" w:ascii="Times New Roman" w:hAnsi="Times New Roman" w:eastAsia="黑体" w:cs="Times New Roman"/>
          <w:bCs/>
          <w:color w:val="0000FF"/>
          <w:lang w:val="en-US" w:eastAsia="zh-CN"/>
        </w:rPr>
        <w:t>5.1-26</w:t>
      </w:r>
      <w:r>
        <w:rPr>
          <w:rFonts w:hint="default" w:ascii="Times New Roman" w:hAnsi="Times New Roman" w:eastAsia="黑体" w:cs="Times New Roman"/>
          <w:bCs/>
          <w:color w:val="0000FF"/>
        </w:rPr>
        <w:t>关心点及网格点</w:t>
      </w:r>
      <w:r>
        <w:rPr>
          <w:rFonts w:hint="eastAsia" w:ascii="Times New Roman" w:hAnsi="Times New Roman" w:eastAsia="黑体" w:cs="Times New Roman"/>
          <w:bCs/>
          <w:color w:val="0000FF"/>
          <w:lang w:val="en-US" w:eastAsia="zh-CN"/>
        </w:rPr>
        <w:t>NH</w:t>
      </w:r>
      <w:r>
        <w:rPr>
          <w:rFonts w:hint="eastAsia" w:ascii="Times New Roman" w:hAnsi="Times New Roman" w:eastAsia="黑体" w:cs="Times New Roman"/>
          <w:bCs/>
          <w:color w:val="0000FF"/>
          <w:vertAlign w:val="subscript"/>
          <w:lang w:val="en-US" w:eastAsia="zh-CN"/>
        </w:rPr>
        <w:t>3</w:t>
      </w:r>
      <w:r>
        <w:rPr>
          <w:rFonts w:hint="default" w:ascii="Times New Roman" w:hAnsi="Times New Roman" w:eastAsia="黑体" w:cs="Times New Roman"/>
          <w:bCs/>
          <w:color w:val="0000FF"/>
        </w:rPr>
        <w:t>叠加最大浓度预测结果表</w:t>
      </w:r>
    </w:p>
    <w:tbl>
      <w:tblPr>
        <w:tblStyle w:val="56"/>
        <w:tblW w:w="14115" w:type="dxa"/>
        <w:jc w:val="center"/>
        <w:tblBorders>
          <w:top w:val="thinThickSmallGap" w:color="auto" w:sz="12" w:space="0"/>
          <w:left w:val="none" w:color="auto" w:sz="0" w:space="0"/>
          <w:bottom w:val="thinThickSmallGap" w:color="auto" w:sz="12" w:space="0"/>
          <w:right w:val="none" w:color="auto" w:sz="0"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528"/>
        <w:gridCol w:w="1142"/>
        <w:gridCol w:w="1620"/>
        <w:gridCol w:w="1378"/>
        <w:gridCol w:w="1260"/>
        <w:gridCol w:w="1770"/>
        <w:gridCol w:w="1140"/>
        <w:gridCol w:w="1605"/>
        <w:gridCol w:w="1275"/>
        <w:gridCol w:w="1485"/>
        <w:gridCol w:w="912"/>
      </w:tblGrid>
      <w:tr w14:paraId="5AEDA07A">
        <w:tblPrEx>
          <w:tblBorders>
            <w:top w:val="thinThickSmallGap" w:color="auto" w:sz="12" w:space="0"/>
            <w:left w:val="none" w:color="auto" w:sz="0" w:space="0"/>
            <w:bottom w:val="thinThickSmallGap" w:color="auto" w:sz="12" w:space="0"/>
            <w:right w:val="none" w:color="auto" w:sz="0"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 w:hRule="atLeast"/>
          <w:jc w:val="center"/>
        </w:trPr>
        <w:tc>
          <w:tcPr>
            <w:tcW w:w="528" w:type="dxa"/>
            <w:tcBorders>
              <w:tl2br w:val="nil"/>
              <w:tr2bl w:val="nil"/>
            </w:tcBorders>
            <w:shd w:val="clear" w:color="auto" w:fill="auto"/>
            <w:noWrap/>
            <w:vAlign w:val="center"/>
          </w:tcPr>
          <w:p w14:paraId="66822421">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1"/>
                <w:szCs w:val="21"/>
                <w:u w:val="none"/>
                <w:lang w:val="en-US" w:eastAsia="zh-CN" w:bidi="ar"/>
              </w:rPr>
              <w:t>序号</w:t>
            </w:r>
          </w:p>
        </w:tc>
        <w:tc>
          <w:tcPr>
            <w:tcW w:w="1142" w:type="dxa"/>
            <w:tcBorders>
              <w:tl2br w:val="nil"/>
              <w:tr2bl w:val="nil"/>
            </w:tcBorders>
            <w:shd w:val="clear" w:color="auto" w:fill="auto"/>
            <w:noWrap/>
            <w:vAlign w:val="center"/>
          </w:tcPr>
          <w:p w14:paraId="786C1CC2">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1"/>
                <w:szCs w:val="21"/>
                <w:u w:val="none"/>
                <w:lang w:val="en-US" w:eastAsia="zh-CN" w:bidi="ar"/>
              </w:rPr>
              <w:t>点名称</w:t>
            </w:r>
          </w:p>
        </w:tc>
        <w:tc>
          <w:tcPr>
            <w:tcW w:w="1620" w:type="dxa"/>
            <w:tcBorders>
              <w:tl2br w:val="nil"/>
              <w:tr2bl w:val="nil"/>
            </w:tcBorders>
            <w:shd w:val="clear" w:color="auto" w:fill="auto"/>
            <w:noWrap/>
            <w:vAlign w:val="center"/>
          </w:tcPr>
          <w:p w14:paraId="6E56BFCD">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1"/>
                <w:szCs w:val="21"/>
                <w:u w:val="none"/>
                <w:lang w:val="en-US" w:eastAsia="zh-CN" w:bidi="ar"/>
              </w:rPr>
              <w:t>点坐标(x,y)</w:t>
            </w:r>
          </w:p>
        </w:tc>
        <w:tc>
          <w:tcPr>
            <w:tcW w:w="1378" w:type="dxa"/>
            <w:tcBorders>
              <w:tl2br w:val="nil"/>
              <w:tr2bl w:val="nil"/>
            </w:tcBorders>
            <w:shd w:val="clear" w:color="auto" w:fill="auto"/>
            <w:noWrap/>
            <w:vAlign w:val="center"/>
          </w:tcPr>
          <w:p w14:paraId="56D342E4">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1"/>
                <w:szCs w:val="21"/>
                <w:u w:val="none"/>
                <w:lang w:val="en-US" w:eastAsia="zh-CN" w:bidi="ar"/>
              </w:rPr>
              <w:t>浓度类型</w:t>
            </w:r>
          </w:p>
        </w:tc>
        <w:tc>
          <w:tcPr>
            <w:tcW w:w="1260" w:type="dxa"/>
            <w:tcBorders>
              <w:tl2br w:val="nil"/>
              <w:tr2bl w:val="nil"/>
            </w:tcBorders>
            <w:shd w:val="clear" w:color="auto" w:fill="auto"/>
            <w:noWrap/>
            <w:vAlign w:val="center"/>
          </w:tcPr>
          <w:p w14:paraId="2162CE67">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1"/>
                <w:szCs w:val="21"/>
                <w:u w:val="none"/>
                <w:lang w:val="en-US" w:eastAsia="zh-CN" w:bidi="ar"/>
              </w:rPr>
              <w:t>浓度增量(mg/m</w:t>
            </w:r>
            <w:r>
              <w:rPr>
                <w:rFonts w:hint="default" w:ascii="Times New Roman" w:hAnsi="Times New Roman" w:eastAsia="宋体" w:cs="Times New Roman"/>
                <w:i w:val="0"/>
                <w:iCs w:val="0"/>
                <w:color w:val="0000FF"/>
                <w:kern w:val="0"/>
                <w:sz w:val="21"/>
                <w:szCs w:val="21"/>
                <w:u w:val="none"/>
                <w:vertAlign w:val="superscript"/>
                <w:lang w:val="en-US" w:eastAsia="zh-CN" w:bidi="ar"/>
              </w:rPr>
              <w:t>3</w:t>
            </w:r>
            <w:r>
              <w:rPr>
                <w:rFonts w:hint="default" w:ascii="Times New Roman" w:hAnsi="Times New Roman" w:eastAsia="宋体" w:cs="Times New Roman"/>
                <w:i w:val="0"/>
                <w:iCs w:val="0"/>
                <w:color w:val="0000FF"/>
                <w:kern w:val="0"/>
                <w:sz w:val="21"/>
                <w:szCs w:val="21"/>
                <w:u w:val="none"/>
                <w:lang w:val="en-US" w:eastAsia="zh-CN" w:bidi="ar"/>
              </w:rPr>
              <w:t>)</w:t>
            </w:r>
          </w:p>
        </w:tc>
        <w:tc>
          <w:tcPr>
            <w:tcW w:w="1770" w:type="dxa"/>
            <w:tcBorders>
              <w:tl2br w:val="nil"/>
              <w:tr2bl w:val="nil"/>
            </w:tcBorders>
            <w:shd w:val="clear" w:color="auto" w:fill="auto"/>
            <w:noWrap/>
            <w:vAlign w:val="center"/>
          </w:tcPr>
          <w:p w14:paraId="371B0528">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1"/>
                <w:szCs w:val="21"/>
                <w:u w:val="none"/>
                <w:lang w:val="en-US" w:eastAsia="zh-CN" w:bidi="ar"/>
              </w:rPr>
              <w:t>出现时间(YYMMDDHH)</w:t>
            </w:r>
          </w:p>
        </w:tc>
        <w:tc>
          <w:tcPr>
            <w:tcW w:w="1140" w:type="dxa"/>
            <w:tcBorders>
              <w:tl2br w:val="nil"/>
              <w:tr2bl w:val="nil"/>
            </w:tcBorders>
            <w:shd w:val="clear" w:color="auto" w:fill="auto"/>
            <w:noWrap/>
            <w:vAlign w:val="center"/>
          </w:tcPr>
          <w:p w14:paraId="6020D193">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1"/>
                <w:szCs w:val="21"/>
                <w:u w:val="none"/>
                <w:lang w:val="en-US" w:eastAsia="zh-CN" w:bidi="ar"/>
              </w:rPr>
              <w:t>背景浓度(mg/m</w:t>
            </w:r>
            <w:r>
              <w:rPr>
                <w:rFonts w:hint="default" w:ascii="Times New Roman" w:hAnsi="Times New Roman" w:eastAsia="宋体" w:cs="Times New Roman"/>
                <w:i w:val="0"/>
                <w:iCs w:val="0"/>
                <w:color w:val="0000FF"/>
                <w:kern w:val="0"/>
                <w:sz w:val="21"/>
                <w:szCs w:val="21"/>
                <w:u w:val="none"/>
                <w:vertAlign w:val="superscript"/>
                <w:lang w:val="en-US" w:eastAsia="zh-CN" w:bidi="ar"/>
              </w:rPr>
              <w:t>3</w:t>
            </w:r>
            <w:r>
              <w:rPr>
                <w:rFonts w:hint="default" w:ascii="Times New Roman" w:hAnsi="Times New Roman" w:eastAsia="宋体" w:cs="Times New Roman"/>
                <w:i w:val="0"/>
                <w:iCs w:val="0"/>
                <w:color w:val="0000FF"/>
                <w:kern w:val="0"/>
                <w:sz w:val="21"/>
                <w:szCs w:val="21"/>
                <w:u w:val="none"/>
                <w:lang w:val="en-US" w:eastAsia="zh-CN" w:bidi="ar"/>
              </w:rPr>
              <w:t>)</w:t>
            </w:r>
          </w:p>
        </w:tc>
        <w:tc>
          <w:tcPr>
            <w:tcW w:w="1605" w:type="dxa"/>
            <w:tcBorders>
              <w:tl2br w:val="nil"/>
              <w:tr2bl w:val="nil"/>
            </w:tcBorders>
            <w:shd w:val="clear" w:color="auto" w:fill="auto"/>
            <w:noWrap/>
            <w:vAlign w:val="center"/>
          </w:tcPr>
          <w:p w14:paraId="74A5F862">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1"/>
                <w:szCs w:val="21"/>
                <w:u w:val="none"/>
                <w:lang w:val="en-US" w:eastAsia="zh-CN" w:bidi="ar"/>
              </w:rPr>
              <w:t>叠加背景后的浓度(mg/m</w:t>
            </w:r>
            <w:r>
              <w:rPr>
                <w:rFonts w:hint="default" w:ascii="Times New Roman" w:hAnsi="Times New Roman" w:eastAsia="宋体" w:cs="Times New Roman"/>
                <w:i w:val="0"/>
                <w:iCs w:val="0"/>
                <w:color w:val="0000FF"/>
                <w:kern w:val="0"/>
                <w:sz w:val="21"/>
                <w:szCs w:val="21"/>
                <w:u w:val="none"/>
                <w:vertAlign w:val="superscript"/>
                <w:lang w:val="en-US" w:eastAsia="zh-CN" w:bidi="ar"/>
              </w:rPr>
              <w:t>3</w:t>
            </w:r>
            <w:r>
              <w:rPr>
                <w:rFonts w:hint="default" w:ascii="Times New Roman" w:hAnsi="Times New Roman" w:eastAsia="宋体" w:cs="Times New Roman"/>
                <w:i w:val="0"/>
                <w:iCs w:val="0"/>
                <w:color w:val="0000FF"/>
                <w:kern w:val="0"/>
                <w:sz w:val="21"/>
                <w:szCs w:val="21"/>
                <w:u w:val="none"/>
                <w:lang w:val="en-US" w:eastAsia="zh-CN" w:bidi="ar"/>
              </w:rPr>
              <w:t>)</w:t>
            </w:r>
          </w:p>
        </w:tc>
        <w:tc>
          <w:tcPr>
            <w:tcW w:w="1275" w:type="dxa"/>
            <w:tcBorders>
              <w:tl2br w:val="nil"/>
              <w:tr2bl w:val="nil"/>
            </w:tcBorders>
            <w:shd w:val="clear" w:color="auto" w:fill="auto"/>
            <w:noWrap/>
            <w:vAlign w:val="center"/>
          </w:tcPr>
          <w:p w14:paraId="21418AE8">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1"/>
                <w:szCs w:val="21"/>
                <w:u w:val="none"/>
                <w:lang w:val="en-US" w:eastAsia="zh-CN" w:bidi="ar"/>
              </w:rPr>
              <w:t>评价标准(mg/m</w:t>
            </w:r>
            <w:r>
              <w:rPr>
                <w:rFonts w:hint="default" w:ascii="Times New Roman" w:hAnsi="Times New Roman" w:eastAsia="宋体" w:cs="Times New Roman"/>
                <w:i w:val="0"/>
                <w:iCs w:val="0"/>
                <w:color w:val="0000FF"/>
                <w:kern w:val="0"/>
                <w:sz w:val="21"/>
                <w:szCs w:val="21"/>
                <w:u w:val="none"/>
                <w:vertAlign w:val="superscript"/>
                <w:lang w:val="en-US" w:eastAsia="zh-CN" w:bidi="ar"/>
              </w:rPr>
              <w:t>3</w:t>
            </w:r>
            <w:r>
              <w:rPr>
                <w:rFonts w:hint="default" w:ascii="Times New Roman" w:hAnsi="Times New Roman" w:eastAsia="宋体" w:cs="Times New Roman"/>
                <w:i w:val="0"/>
                <w:iCs w:val="0"/>
                <w:color w:val="0000FF"/>
                <w:kern w:val="0"/>
                <w:sz w:val="21"/>
                <w:szCs w:val="21"/>
                <w:u w:val="none"/>
                <w:lang w:val="en-US" w:eastAsia="zh-CN" w:bidi="ar"/>
              </w:rPr>
              <w:t>)</w:t>
            </w:r>
          </w:p>
        </w:tc>
        <w:tc>
          <w:tcPr>
            <w:tcW w:w="1485" w:type="dxa"/>
            <w:tcBorders>
              <w:tl2br w:val="nil"/>
              <w:tr2bl w:val="nil"/>
            </w:tcBorders>
            <w:shd w:val="clear" w:color="auto" w:fill="auto"/>
            <w:noWrap/>
            <w:vAlign w:val="center"/>
          </w:tcPr>
          <w:p w14:paraId="1C56693E">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1"/>
                <w:szCs w:val="21"/>
                <w:u w:val="none"/>
                <w:lang w:val="en-US" w:eastAsia="zh-CN" w:bidi="ar"/>
              </w:rPr>
              <w:t>占标率%(叠加背景以后)</w:t>
            </w:r>
          </w:p>
        </w:tc>
        <w:tc>
          <w:tcPr>
            <w:tcW w:w="912" w:type="dxa"/>
            <w:tcBorders>
              <w:tl2br w:val="nil"/>
              <w:tr2bl w:val="nil"/>
            </w:tcBorders>
            <w:shd w:val="clear" w:color="auto" w:fill="auto"/>
            <w:noWrap/>
            <w:vAlign w:val="center"/>
          </w:tcPr>
          <w:p w14:paraId="4ABA37E6">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1"/>
                <w:szCs w:val="21"/>
                <w:u w:val="none"/>
                <w:lang w:val="en-US" w:eastAsia="zh-CN" w:bidi="ar"/>
              </w:rPr>
              <w:t>是否超标</w:t>
            </w:r>
          </w:p>
        </w:tc>
      </w:tr>
      <w:tr w14:paraId="2FEA683F">
        <w:tblPrEx>
          <w:tblBorders>
            <w:top w:val="thinThickSmallGap" w:color="auto" w:sz="12" w:space="0"/>
            <w:left w:val="none" w:color="auto" w:sz="0" w:space="0"/>
            <w:bottom w:val="thinThickSmallGap" w:color="auto" w:sz="12" w:space="0"/>
            <w:right w:val="none" w:color="auto" w:sz="0"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 w:hRule="atLeast"/>
          <w:jc w:val="center"/>
        </w:trPr>
        <w:tc>
          <w:tcPr>
            <w:tcW w:w="528" w:type="dxa"/>
            <w:tcBorders>
              <w:tl2br w:val="nil"/>
              <w:tr2bl w:val="nil"/>
            </w:tcBorders>
            <w:shd w:val="clear" w:color="auto" w:fill="auto"/>
            <w:noWrap/>
            <w:vAlign w:val="center"/>
          </w:tcPr>
          <w:p w14:paraId="613FBD62">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1"/>
                <w:szCs w:val="21"/>
                <w:u w:val="none"/>
                <w:lang w:val="en-US" w:eastAsia="zh-CN" w:bidi="ar"/>
              </w:rPr>
              <w:t>1</w:t>
            </w:r>
          </w:p>
        </w:tc>
        <w:tc>
          <w:tcPr>
            <w:tcW w:w="1142" w:type="dxa"/>
            <w:tcBorders>
              <w:tl2br w:val="nil"/>
              <w:tr2bl w:val="nil"/>
            </w:tcBorders>
            <w:shd w:val="clear" w:color="auto" w:fill="auto"/>
            <w:noWrap/>
            <w:vAlign w:val="center"/>
          </w:tcPr>
          <w:p w14:paraId="0F77DB99">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1"/>
                <w:szCs w:val="21"/>
                <w:u w:val="none"/>
                <w:lang w:val="en-US" w:eastAsia="zh-CN" w:bidi="ar"/>
              </w:rPr>
              <w:t>祁家堡</w:t>
            </w:r>
          </w:p>
        </w:tc>
        <w:tc>
          <w:tcPr>
            <w:tcW w:w="1620" w:type="dxa"/>
            <w:tcBorders>
              <w:tl2br w:val="nil"/>
              <w:tr2bl w:val="nil"/>
            </w:tcBorders>
            <w:shd w:val="clear" w:color="auto" w:fill="auto"/>
            <w:noWrap/>
            <w:vAlign w:val="center"/>
          </w:tcPr>
          <w:p w14:paraId="2E67EA92">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1"/>
                <w:szCs w:val="21"/>
                <w:u w:val="none"/>
                <w:lang w:val="en-US" w:eastAsia="zh-CN" w:bidi="ar"/>
              </w:rPr>
              <w:t>85,261</w:t>
            </w:r>
          </w:p>
        </w:tc>
        <w:tc>
          <w:tcPr>
            <w:tcW w:w="1378" w:type="dxa"/>
            <w:tcBorders>
              <w:tl2br w:val="nil"/>
              <w:tr2bl w:val="nil"/>
            </w:tcBorders>
            <w:shd w:val="clear" w:color="auto" w:fill="auto"/>
            <w:noWrap/>
            <w:vAlign w:val="center"/>
          </w:tcPr>
          <w:p w14:paraId="42967F05">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1"/>
                <w:szCs w:val="21"/>
                <w:u w:val="none"/>
                <w:lang w:val="en-US" w:eastAsia="zh-CN" w:bidi="ar"/>
              </w:rPr>
              <w:t>1小时</w:t>
            </w:r>
          </w:p>
        </w:tc>
        <w:tc>
          <w:tcPr>
            <w:tcW w:w="1260" w:type="dxa"/>
            <w:tcBorders>
              <w:tl2br w:val="nil"/>
              <w:tr2bl w:val="nil"/>
            </w:tcBorders>
            <w:shd w:val="clear" w:color="auto" w:fill="auto"/>
            <w:noWrap/>
            <w:vAlign w:val="center"/>
          </w:tcPr>
          <w:p w14:paraId="4BFF9BC0">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1.67E-03</w:t>
            </w:r>
          </w:p>
        </w:tc>
        <w:tc>
          <w:tcPr>
            <w:tcW w:w="1770" w:type="dxa"/>
            <w:tcBorders>
              <w:tl2br w:val="nil"/>
              <w:tr2bl w:val="nil"/>
            </w:tcBorders>
            <w:shd w:val="clear" w:color="auto" w:fill="auto"/>
            <w:noWrap/>
            <w:vAlign w:val="center"/>
          </w:tcPr>
          <w:p w14:paraId="26B79598">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24110302</w:t>
            </w:r>
          </w:p>
        </w:tc>
        <w:tc>
          <w:tcPr>
            <w:tcW w:w="1140" w:type="dxa"/>
            <w:tcBorders>
              <w:tl2br w:val="nil"/>
              <w:tr2bl w:val="nil"/>
            </w:tcBorders>
            <w:shd w:val="clear" w:color="auto" w:fill="auto"/>
            <w:noWrap/>
            <w:vAlign w:val="center"/>
          </w:tcPr>
          <w:p w14:paraId="31013D74">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7.40E-02</w:t>
            </w:r>
          </w:p>
        </w:tc>
        <w:tc>
          <w:tcPr>
            <w:tcW w:w="1605" w:type="dxa"/>
            <w:tcBorders>
              <w:tl2br w:val="nil"/>
              <w:tr2bl w:val="nil"/>
            </w:tcBorders>
            <w:shd w:val="clear" w:color="auto" w:fill="auto"/>
            <w:noWrap/>
            <w:vAlign w:val="center"/>
          </w:tcPr>
          <w:p w14:paraId="7CDA1B32">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7.57E-02</w:t>
            </w:r>
          </w:p>
        </w:tc>
        <w:tc>
          <w:tcPr>
            <w:tcW w:w="1275" w:type="dxa"/>
            <w:tcBorders>
              <w:tl2br w:val="nil"/>
              <w:tr2bl w:val="nil"/>
            </w:tcBorders>
            <w:shd w:val="clear" w:color="auto" w:fill="auto"/>
            <w:noWrap/>
            <w:vAlign w:val="center"/>
          </w:tcPr>
          <w:p w14:paraId="46BB6BBC">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2.00E-01</w:t>
            </w:r>
          </w:p>
        </w:tc>
        <w:tc>
          <w:tcPr>
            <w:tcW w:w="1485" w:type="dxa"/>
            <w:tcBorders>
              <w:tl2br w:val="nil"/>
              <w:tr2bl w:val="nil"/>
            </w:tcBorders>
            <w:shd w:val="clear" w:color="auto" w:fill="auto"/>
            <w:noWrap/>
            <w:vAlign w:val="center"/>
          </w:tcPr>
          <w:p w14:paraId="3A436105">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37.84</w:t>
            </w:r>
          </w:p>
        </w:tc>
        <w:tc>
          <w:tcPr>
            <w:tcW w:w="912" w:type="dxa"/>
            <w:tcBorders>
              <w:tl2br w:val="nil"/>
              <w:tr2bl w:val="nil"/>
            </w:tcBorders>
            <w:shd w:val="clear" w:color="auto" w:fill="auto"/>
            <w:noWrap/>
            <w:vAlign w:val="center"/>
          </w:tcPr>
          <w:p w14:paraId="48499ACD">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达标</w:t>
            </w:r>
          </w:p>
        </w:tc>
      </w:tr>
      <w:tr w14:paraId="58F76E12">
        <w:tblPrEx>
          <w:tblBorders>
            <w:top w:val="thinThickSmallGap" w:color="auto" w:sz="12" w:space="0"/>
            <w:left w:val="none" w:color="auto" w:sz="0" w:space="0"/>
            <w:bottom w:val="thinThickSmallGap" w:color="auto" w:sz="12" w:space="0"/>
            <w:right w:val="none" w:color="auto" w:sz="0"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 w:hRule="atLeast"/>
          <w:jc w:val="center"/>
        </w:trPr>
        <w:tc>
          <w:tcPr>
            <w:tcW w:w="528" w:type="dxa"/>
            <w:tcBorders>
              <w:tl2br w:val="nil"/>
              <w:tr2bl w:val="nil"/>
            </w:tcBorders>
            <w:shd w:val="clear" w:color="auto" w:fill="auto"/>
            <w:noWrap/>
            <w:vAlign w:val="center"/>
          </w:tcPr>
          <w:p w14:paraId="5F7110E8">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1"/>
                <w:szCs w:val="21"/>
                <w:u w:val="none"/>
                <w:lang w:val="en-US" w:eastAsia="zh-CN" w:bidi="ar"/>
              </w:rPr>
              <w:t>2</w:t>
            </w:r>
          </w:p>
        </w:tc>
        <w:tc>
          <w:tcPr>
            <w:tcW w:w="1142" w:type="dxa"/>
            <w:tcBorders>
              <w:tl2br w:val="nil"/>
              <w:tr2bl w:val="nil"/>
            </w:tcBorders>
            <w:shd w:val="clear" w:color="auto" w:fill="auto"/>
            <w:noWrap/>
            <w:vAlign w:val="center"/>
          </w:tcPr>
          <w:p w14:paraId="29974CA0">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1"/>
                <w:szCs w:val="21"/>
                <w:u w:val="none"/>
                <w:lang w:val="en-US" w:eastAsia="zh-CN" w:bidi="ar"/>
              </w:rPr>
              <w:t>部队</w:t>
            </w:r>
          </w:p>
        </w:tc>
        <w:tc>
          <w:tcPr>
            <w:tcW w:w="1620" w:type="dxa"/>
            <w:tcBorders>
              <w:tl2br w:val="nil"/>
              <w:tr2bl w:val="nil"/>
            </w:tcBorders>
            <w:shd w:val="clear" w:color="auto" w:fill="auto"/>
            <w:noWrap/>
            <w:vAlign w:val="center"/>
          </w:tcPr>
          <w:p w14:paraId="544BDE5A">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1"/>
                <w:szCs w:val="21"/>
                <w:u w:val="none"/>
                <w:lang w:val="en-US" w:eastAsia="zh-CN" w:bidi="ar"/>
              </w:rPr>
              <w:t>-179,10</w:t>
            </w:r>
          </w:p>
        </w:tc>
        <w:tc>
          <w:tcPr>
            <w:tcW w:w="1378" w:type="dxa"/>
            <w:tcBorders>
              <w:tl2br w:val="nil"/>
              <w:tr2bl w:val="nil"/>
            </w:tcBorders>
            <w:shd w:val="clear" w:color="auto" w:fill="auto"/>
            <w:noWrap/>
            <w:vAlign w:val="center"/>
          </w:tcPr>
          <w:p w14:paraId="6E467DA2">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1"/>
                <w:szCs w:val="21"/>
                <w:u w:val="none"/>
                <w:lang w:val="en-US" w:eastAsia="zh-CN" w:bidi="ar"/>
              </w:rPr>
              <w:t>1小时</w:t>
            </w:r>
          </w:p>
        </w:tc>
        <w:tc>
          <w:tcPr>
            <w:tcW w:w="1260" w:type="dxa"/>
            <w:tcBorders>
              <w:tl2br w:val="nil"/>
              <w:tr2bl w:val="nil"/>
            </w:tcBorders>
            <w:shd w:val="clear" w:color="auto" w:fill="auto"/>
            <w:noWrap/>
            <w:vAlign w:val="center"/>
          </w:tcPr>
          <w:p w14:paraId="6070004B">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2.76E-03</w:t>
            </w:r>
          </w:p>
        </w:tc>
        <w:tc>
          <w:tcPr>
            <w:tcW w:w="1770" w:type="dxa"/>
            <w:tcBorders>
              <w:tl2br w:val="nil"/>
              <w:tr2bl w:val="nil"/>
            </w:tcBorders>
            <w:shd w:val="clear" w:color="auto" w:fill="auto"/>
            <w:noWrap/>
            <w:vAlign w:val="center"/>
          </w:tcPr>
          <w:p w14:paraId="19BD5D71">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24121520</w:t>
            </w:r>
          </w:p>
        </w:tc>
        <w:tc>
          <w:tcPr>
            <w:tcW w:w="1140" w:type="dxa"/>
            <w:tcBorders>
              <w:tl2br w:val="nil"/>
              <w:tr2bl w:val="nil"/>
            </w:tcBorders>
            <w:shd w:val="clear" w:color="auto" w:fill="auto"/>
            <w:noWrap/>
            <w:vAlign w:val="center"/>
          </w:tcPr>
          <w:p w14:paraId="4258709F">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7.40E-02</w:t>
            </w:r>
          </w:p>
        </w:tc>
        <w:tc>
          <w:tcPr>
            <w:tcW w:w="1605" w:type="dxa"/>
            <w:tcBorders>
              <w:tl2br w:val="nil"/>
              <w:tr2bl w:val="nil"/>
            </w:tcBorders>
            <w:shd w:val="clear" w:color="auto" w:fill="auto"/>
            <w:noWrap/>
            <w:vAlign w:val="center"/>
          </w:tcPr>
          <w:p w14:paraId="0B426951">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7.68E-02</w:t>
            </w:r>
          </w:p>
        </w:tc>
        <w:tc>
          <w:tcPr>
            <w:tcW w:w="1275" w:type="dxa"/>
            <w:tcBorders>
              <w:tl2br w:val="nil"/>
              <w:tr2bl w:val="nil"/>
            </w:tcBorders>
            <w:shd w:val="clear" w:color="auto" w:fill="auto"/>
            <w:noWrap/>
            <w:vAlign w:val="center"/>
          </w:tcPr>
          <w:p w14:paraId="0072922A">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2.00E-01</w:t>
            </w:r>
          </w:p>
        </w:tc>
        <w:tc>
          <w:tcPr>
            <w:tcW w:w="1485" w:type="dxa"/>
            <w:tcBorders>
              <w:tl2br w:val="nil"/>
              <w:tr2bl w:val="nil"/>
            </w:tcBorders>
            <w:shd w:val="clear" w:color="auto" w:fill="auto"/>
            <w:noWrap/>
            <w:vAlign w:val="center"/>
          </w:tcPr>
          <w:p w14:paraId="3306E031">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38.38</w:t>
            </w:r>
          </w:p>
        </w:tc>
        <w:tc>
          <w:tcPr>
            <w:tcW w:w="912" w:type="dxa"/>
            <w:tcBorders>
              <w:tl2br w:val="nil"/>
              <w:tr2bl w:val="nil"/>
            </w:tcBorders>
            <w:shd w:val="clear" w:color="auto" w:fill="auto"/>
            <w:noWrap/>
            <w:vAlign w:val="center"/>
          </w:tcPr>
          <w:p w14:paraId="1CE9FACE">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达标</w:t>
            </w:r>
          </w:p>
        </w:tc>
      </w:tr>
      <w:tr w14:paraId="3B0D84BE">
        <w:tblPrEx>
          <w:tblBorders>
            <w:top w:val="thinThickSmallGap" w:color="auto" w:sz="12" w:space="0"/>
            <w:left w:val="none" w:color="auto" w:sz="0" w:space="0"/>
            <w:bottom w:val="thinThickSmallGap" w:color="auto" w:sz="12" w:space="0"/>
            <w:right w:val="none" w:color="auto" w:sz="0"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43" w:hRule="atLeast"/>
          <w:jc w:val="center"/>
        </w:trPr>
        <w:tc>
          <w:tcPr>
            <w:tcW w:w="528" w:type="dxa"/>
            <w:tcBorders>
              <w:tl2br w:val="nil"/>
              <w:tr2bl w:val="nil"/>
            </w:tcBorders>
            <w:shd w:val="clear" w:color="auto" w:fill="auto"/>
            <w:noWrap/>
            <w:vAlign w:val="center"/>
          </w:tcPr>
          <w:p w14:paraId="53E92A85">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1"/>
                <w:szCs w:val="21"/>
                <w:u w:val="none"/>
                <w:lang w:val="en-US" w:eastAsia="zh-CN" w:bidi="ar"/>
              </w:rPr>
              <w:t>3</w:t>
            </w:r>
          </w:p>
        </w:tc>
        <w:tc>
          <w:tcPr>
            <w:tcW w:w="1142" w:type="dxa"/>
            <w:tcBorders>
              <w:tl2br w:val="nil"/>
              <w:tr2bl w:val="nil"/>
            </w:tcBorders>
            <w:shd w:val="clear" w:color="auto" w:fill="auto"/>
            <w:noWrap/>
            <w:vAlign w:val="center"/>
          </w:tcPr>
          <w:p w14:paraId="70513565">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1"/>
                <w:szCs w:val="21"/>
                <w:u w:val="none"/>
                <w:lang w:val="en-US" w:eastAsia="zh-CN" w:bidi="ar"/>
              </w:rPr>
              <w:t>老虎沟</w:t>
            </w:r>
          </w:p>
        </w:tc>
        <w:tc>
          <w:tcPr>
            <w:tcW w:w="1620" w:type="dxa"/>
            <w:tcBorders>
              <w:tl2br w:val="nil"/>
              <w:tr2bl w:val="nil"/>
            </w:tcBorders>
            <w:shd w:val="clear" w:color="auto" w:fill="auto"/>
            <w:noWrap/>
            <w:vAlign w:val="center"/>
          </w:tcPr>
          <w:p w14:paraId="214AF4A7">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1"/>
                <w:szCs w:val="21"/>
                <w:u w:val="none"/>
                <w:lang w:val="en-US" w:eastAsia="zh-CN" w:bidi="ar"/>
              </w:rPr>
              <w:t>-1526,736</w:t>
            </w:r>
          </w:p>
        </w:tc>
        <w:tc>
          <w:tcPr>
            <w:tcW w:w="1378" w:type="dxa"/>
            <w:tcBorders>
              <w:tl2br w:val="nil"/>
              <w:tr2bl w:val="nil"/>
            </w:tcBorders>
            <w:shd w:val="clear" w:color="auto" w:fill="auto"/>
            <w:noWrap/>
            <w:vAlign w:val="center"/>
          </w:tcPr>
          <w:p w14:paraId="000B5062">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1"/>
                <w:szCs w:val="21"/>
                <w:u w:val="none"/>
                <w:lang w:val="en-US" w:eastAsia="zh-CN" w:bidi="ar"/>
              </w:rPr>
              <w:t>1小时</w:t>
            </w:r>
          </w:p>
        </w:tc>
        <w:tc>
          <w:tcPr>
            <w:tcW w:w="1260" w:type="dxa"/>
            <w:tcBorders>
              <w:tl2br w:val="nil"/>
              <w:tr2bl w:val="nil"/>
            </w:tcBorders>
            <w:shd w:val="clear" w:color="auto" w:fill="auto"/>
            <w:noWrap/>
            <w:vAlign w:val="center"/>
          </w:tcPr>
          <w:p w14:paraId="3438739D">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2.97E-04</w:t>
            </w:r>
          </w:p>
        </w:tc>
        <w:tc>
          <w:tcPr>
            <w:tcW w:w="1770" w:type="dxa"/>
            <w:tcBorders>
              <w:tl2br w:val="nil"/>
              <w:tr2bl w:val="nil"/>
            </w:tcBorders>
            <w:shd w:val="clear" w:color="auto" w:fill="auto"/>
            <w:noWrap/>
            <w:vAlign w:val="center"/>
          </w:tcPr>
          <w:p w14:paraId="6F43149A">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24021011</w:t>
            </w:r>
          </w:p>
        </w:tc>
        <w:tc>
          <w:tcPr>
            <w:tcW w:w="1140" w:type="dxa"/>
            <w:tcBorders>
              <w:tl2br w:val="nil"/>
              <w:tr2bl w:val="nil"/>
            </w:tcBorders>
            <w:shd w:val="clear" w:color="auto" w:fill="auto"/>
            <w:noWrap/>
            <w:vAlign w:val="center"/>
          </w:tcPr>
          <w:p w14:paraId="2C8924EA">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7.40E-02</w:t>
            </w:r>
          </w:p>
        </w:tc>
        <w:tc>
          <w:tcPr>
            <w:tcW w:w="1605" w:type="dxa"/>
            <w:tcBorders>
              <w:tl2br w:val="nil"/>
              <w:tr2bl w:val="nil"/>
            </w:tcBorders>
            <w:shd w:val="clear" w:color="auto" w:fill="auto"/>
            <w:noWrap/>
            <w:vAlign w:val="center"/>
          </w:tcPr>
          <w:p w14:paraId="58A5630D">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7.43E-02</w:t>
            </w:r>
          </w:p>
        </w:tc>
        <w:tc>
          <w:tcPr>
            <w:tcW w:w="1275" w:type="dxa"/>
            <w:tcBorders>
              <w:tl2br w:val="nil"/>
              <w:tr2bl w:val="nil"/>
            </w:tcBorders>
            <w:shd w:val="clear" w:color="auto" w:fill="auto"/>
            <w:noWrap/>
            <w:vAlign w:val="center"/>
          </w:tcPr>
          <w:p w14:paraId="6B496A24">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2.00E-01</w:t>
            </w:r>
          </w:p>
        </w:tc>
        <w:tc>
          <w:tcPr>
            <w:tcW w:w="1485" w:type="dxa"/>
            <w:tcBorders>
              <w:tl2br w:val="nil"/>
              <w:tr2bl w:val="nil"/>
            </w:tcBorders>
            <w:shd w:val="clear" w:color="auto" w:fill="auto"/>
            <w:noWrap/>
            <w:vAlign w:val="center"/>
          </w:tcPr>
          <w:p w14:paraId="06A0AC31">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37.15</w:t>
            </w:r>
          </w:p>
        </w:tc>
        <w:tc>
          <w:tcPr>
            <w:tcW w:w="912" w:type="dxa"/>
            <w:tcBorders>
              <w:tl2br w:val="nil"/>
              <w:tr2bl w:val="nil"/>
            </w:tcBorders>
            <w:shd w:val="clear" w:color="auto" w:fill="auto"/>
            <w:noWrap/>
            <w:vAlign w:val="center"/>
          </w:tcPr>
          <w:p w14:paraId="62F3A224">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达标</w:t>
            </w:r>
          </w:p>
        </w:tc>
      </w:tr>
      <w:tr w14:paraId="65302D6D">
        <w:tblPrEx>
          <w:tblBorders>
            <w:top w:val="thinThickSmallGap" w:color="auto" w:sz="12" w:space="0"/>
            <w:left w:val="none" w:color="auto" w:sz="0" w:space="0"/>
            <w:bottom w:val="thinThickSmallGap" w:color="auto" w:sz="12" w:space="0"/>
            <w:right w:val="none" w:color="auto" w:sz="0"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 w:hRule="atLeast"/>
          <w:jc w:val="center"/>
        </w:trPr>
        <w:tc>
          <w:tcPr>
            <w:tcW w:w="528" w:type="dxa"/>
            <w:tcBorders>
              <w:tl2br w:val="nil"/>
              <w:tr2bl w:val="nil"/>
            </w:tcBorders>
            <w:shd w:val="clear" w:color="auto" w:fill="auto"/>
            <w:noWrap/>
            <w:vAlign w:val="center"/>
          </w:tcPr>
          <w:p w14:paraId="3E3C892C">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1"/>
                <w:szCs w:val="21"/>
                <w:u w:val="none"/>
                <w:lang w:val="en-US" w:eastAsia="zh-CN" w:bidi="ar"/>
              </w:rPr>
              <w:t>4</w:t>
            </w:r>
          </w:p>
        </w:tc>
        <w:tc>
          <w:tcPr>
            <w:tcW w:w="1142" w:type="dxa"/>
            <w:tcBorders>
              <w:tl2br w:val="nil"/>
              <w:tr2bl w:val="nil"/>
            </w:tcBorders>
            <w:shd w:val="clear" w:color="auto" w:fill="auto"/>
            <w:noWrap/>
            <w:vAlign w:val="center"/>
          </w:tcPr>
          <w:p w14:paraId="192B8386">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1"/>
                <w:szCs w:val="21"/>
                <w:u w:val="none"/>
                <w:lang w:val="en-US" w:eastAsia="zh-CN" w:bidi="ar"/>
              </w:rPr>
              <w:t>三道沟</w:t>
            </w:r>
          </w:p>
        </w:tc>
        <w:tc>
          <w:tcPr>
            <w:tcW w:w="1620" w:type="dxa"/>
            <w:tcBorders>
              <w:tl2br w:val="nil"/>
              <w:tr2bl w:val="nil"/>
            </w:tcBorders>
            <w:shd w:val="clear" w:color="auto" w:fill="auto"/>
            <w:noWrap/>
            <w:vAlign w:val="center"/>
          </w:tcPr>
          <w:p w14:paraId="1DDB800E">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1"/>
                <w:szCs w:val="21"/>
                <w:u w:val="none"/>
                <w:lang w:val="en-US" w:eastAsia="zh-CN" w:bidi="ar"/>
              </w:rPr>
              <w:t>910,-1326</w:t>
            </w:r>
          </w:p>
        </w:tc>
        <w:tc>
          <w:tcPr>
            <w:tcW w:w="1378" w:type="dxa"/>
            <w:tcBorders>
              <w:tl2br w:val="nil"/>
              <w:tr2bl w:val="nil"/>
            </w:tcBorders>
            <w:shd w:val="clear" w:color="auto" w:fill="auto"/>
            <w:noWrap/>
            <w:vAlign w:val="center"/>
          </w:tcPr>
          <w:p w14:paraId="57A9E832">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1"/>
                <w:szCs w:val="21"/>
                <w:u w:val="none"/>
                <w:lang w:val="en-US" w:eastAsia="zh-CN" w:bidi="ar"/>
              </w:rPr>
              <w:t>1小时</w:t>
            </w:r>
          </w:p>
        </w:tc>
        <w:tc>
          <w:tcPr>
            <w:tcW w:w="1260" w:type="dxa"/>
            <w:tcBorders>
              <w:tl2br w:val="nil"/>
              <w:tr2bl w:val="nil"/>
            </w:tcBorders>
            <w:shd w:val="clear" w:color="auto" w:fill="auto"/>
            <w:noWrap/>
            <w:vAlign w:val="center"/>
          </w:tcPr>
          <w:p w14:paraId="296FBE79">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4.62E-04</w:t>
            </w:r>
          </w:p>
        </w:tc>
        <w:tc>
          <w:tcPr>
            <w:tcW w:w="1770" w:type="dxa"/>
            <w:tcBorders>
              <w:tl2br w:val="nil"/>
              <w:tr2bl w:val="nil"/>
            </w:tcBorders>
            <w:shd w:val="clear" w:color="auto" w:fill="auto"/>
            <w:noWrap/>
            <w:vAlign w:val="center"/>
          </w:tcPr>
          <w:p w14:paraId="47D05EE8">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24122012</w:t>
            </w:r>
          </w:p>
        </w:tc>
        <w:tc>
          <w:tcPr>
            <w:tcW w:w="1140" w:type="dxa"/>
            <w:tcBorders>
              <w:tl2br w:val="nil"/>
              <w:tr2bl w:val="nil"/>
            </w:tcBorders>
            <w:shd w:val="clear" w:color="auto" w:fill="auto"/>
            <w:noWrap/>
            <w:vAlign w:val="center"/>
          </w:tcPr>
          <w:p w14:paraId="3CDD54E3">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7.40E-02</w:t>
            </w:r>
          </w:p>
        </w:tc>
        <w:tc>
          <w:tcPr>
            <w:tcW w:w="1605" w:type="dxa"/>
            <w:tcBorders>
              <w:tl2br w:val="nil"/>
              <w:tr2bl w:val="nil"/>
            </w:tcBorders>
            <w:shd w:val="clear" w:color="auto" w:fill="auto"/>
            <w:noWrap/>
            <w:vAlign w:val="center"/>
          </w:tcPr>
          <w:p w14:paraId="76727209">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7.45E-02</w:t>
            </w:r>
          </w:p>
        </w:tc>
        <w:tc>
          <w:tcPr>
            <w:tcW w:w="1275" w:type="dxa"/>
            <w:tcBorders>
              <w:tl2br w:val="nil"/>
              <w:tr2bl w:val="nil"/>
            </w:tcBorders>
            <w:shd w:val="clear" w:color="auto" w:fill="auto"/>
            <w:noWrap/>
            <w:vAlign w:val="center"/>
          </w:tcPr>
          <w:p w14:paraId="77E4C30B">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2.00E-01</w:t>
            </w:r>
          </w:p>
        </w:tc>
        <w:tc>
          <w:tcPr>
            <w:tcW w:w="1485" w:type="dxa"/>
            <w:tcBorders>
              <w:tl2br w:val="nil"/>
              <w:tr2bl w:val="nil"/>
            </w:tcBorders>
            <w:shd w:val="clear" w:color="auto" w:fill="auto"/>
            <w:noWrap/>
            <w:vAlign w:val="center"/>
          </w:tcPr>
          <w:p w14:paraId="37598BCF">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37.23</w:t>
            </w:r>
          </w:p>
        </w:tc>
        <w:tc>
          <w:tcPr>
            <w:tcW w:w="912" w:type="dxa"/>
            <w:tcBorders>
              <w:tl2br w:val="nil"/>
              <w:tr2bl w:val="nil"/>
            </w:tcBorders>
            <w:shd w:val="clear" w:color="auto" w:fill="auto"/>
            <w:noWrap/>
            <w:vAlign w:val="center"/>
          </w:tcPr>
          <w:p w14:paraId="157BA413">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达标</w:t>
            </w:r>
          </w:p>
        </w:tc>
      </w:tr>
      <w:tr w14:paraId="6E118759">
        <w:tblPrEx>
          <w:tblBorders>
            <w:top w:val="thinThickSmallGap" w:color="auto" w:sz="12" w:space="0"/>
            <w:left w:val="none" w:color="auto" w:sz="0" w:space="0"/>
            <w:bottom w:val="thinThickSmallGap" w:color="auto" w:sz="12" w:space="0"/>
            <w:right w:val="none" w:color="auto" w:sz="0"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 w:hRule="atLeast"/>
          <w:jc w:val="center"/>
        </w:trPr>
        <w:tc>
          <w:tcPr>
            <w:tcW w:w="528" w:type="dxa"/>
            <w:tcBorders>
              <w:tl2br w:val="nil"/>
              <w:tr2bl w:val="nil"/>
            </w:tcBorders>
            <w:shd w:val="clear" w:color="auto" w:fill="auto"/>
            <w:noWrap/>
            <w:vAlign w:val="center"/>
          </w:tcPr>
          <w:p w14:paraId="41CE26D4">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1"/>
                <w:szCs w:val="21"/>
                <w:u w:val="none"/>
                <w:lang w:val="en-US" w:eastAsia="zh-CN" w:bidi="ar"/>
              </w:rPr>
              <w:t>5</w:t>
            </w:r>
          </w:p>
        </w:tc>
        <w:tc>
          <w:tcPr>
            <w:tcW w:w="1142" w:type="dxa"/>
            <w:tcBorders>
              <w:tl2br w:val="nil"/>
              <w:tr2bl w:val="nil"/>
            </w:tcBorders>
            <w:shd w:val="clear" w:color="auto" w:fill="auto"/>
            <w:noWrap/>
            <w:vAlign w:val="center"/>
          </w:tcPr>
          <w:p w14:paraId="6D26504C">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1"/>
                <w:szCs w:val="21"/>
                <w:u w:val="none"/>
                <w:lang w:val="en-US" w:eastAsia="zh-CN" w:bidi="ar"/>
              </w:rPr>
              <w:t>四道河子</w:t>
            </w:r>
          </w:p>
        </w:tc>
        <w:tc>
          <w:tcPr>
            <w:tcW w:w="1620" w:type="dxa"/>
            <w:tcBorders>
              <w:tl2br w:val="nil"/>
              <w:tr2bl w:val="nil"/>
            </w:tcBorders>
            <w:shd w:val="clear" w:color="auto" w:fill="auto"/>
            <w:noWrap/>
            <w:vAlign w:val="center"/>
          </w:tcPr>
          <w:p w14:paraId="766BA33D">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1"/>
                <w:szCs w:val="21"/>
                <w:u w:val="none"/>
                <w:lang w:val="en-US" w:eastAsia="zh-CN" w:bidi="ar"/>
              </w:rPr>
              <w:t>430,1123</w:t>
            </w:r>
          </w:p>
        </w:tc>
        <w:tc>
          <w:tcPr>
            <w:tcW w:w="1378" w:type="dxa"/>
            <w:tcBorders>
              <w:tl2br w:val="nil"/>
              <w:tr2bl w:val="nil"/>
            </w:tcBorders>
            <w:shd w:val="clear" w:color="auto" w:fill="auto"/>
            <w:noWrap/>
            <w:vAlign w:val="center"/>
          </w:tcPr>
          <w:p w14:paraId="06BE3DA1">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1"/>
                <w:szCs w:val="21"/>
                <w:u w:val="none"/>
                <w:lang w:val="en-US" w:eastAsia="zh-CN" w:bidi="ar"/>
              </w:rPr>
              <w:t>1小时</w:t>
            </w:r>
          </w:p>
        </w:tc>
        <w:tc>
          <w:tcPr>
            <w:tcW w:w="1260" w:type="dxa"/>
            <w:tcBorders>
              <w:tl2br w:val="nil"/>
              <w:tr2bl w:val="nil"/>
            </w:tcBorders>
            <w:shd w:val="clear" w:color="auto" w:fill="auto"/>
            <w:noWrap/>
            <w:vAlign w:val="center"/>
          </w:tcPr>
          <w:p w14:paraId="549B72D7">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3.60E-04</w:t>
            </w:r>
          </w:p>
        </w:tc>
        <w:tc>
          <w:tcPr>
            <w:tcW w:w="1770" w:type="dxa"/>
            <w:tcBorders>
              <w:tl2br w:val="nil"/>
              <w:tr2bl w:val="nil"/>
            </w:tcBorders>
            <w:shd w:val="clear" w:color="auto" w:fill="auto"/>
            <w:noWrap/>
            <w:vAlign w:val="center"/>
          </w:tcPr>
          <w:p w14:paraId="24A95BB0">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24060619</w:t>
            </w:r>
          </w:p>
        </w:tc>
        <w:tc>
          <w:tcPr>
            <w:tcW w:w="1140" w:type="dxa"/>
            <w:tcBorders>
              <w:tl2br w:val="nil"/>
              <w:tr2bl w:val="nil"/>
            </w:tcBorders>
            <w:shd w:val="clear" w:color="auto" w:fill="auto"/>
            <w:noWrap/>
            <w:vAlign w:val="center"/>
          </w:tcPr>
          <w:p w14:paraId="0DC3C660">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7.40E-02</w:t>
            </w:r>
          </w:p>
        </w:tc>
        <w:tc>
          <w:tcPr>
            <w:tcW w:w="1605" w:type="dxa"/>
            <w:tcBorders>
              <w:tl2br w:val="nil"/>
              <w:tr2bl w:val="nil"/>
            </w:tcBorders>
            <w:shd w:val="clear" w:color="auto" w:fill="auto"/>
            <w:noWrap/>
            <w:vAlign w:val="center"/>
          </w:tcPr>
          <w:p w14:paraId="3C0DD3BF">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7.44E-02</w:t>
            </w:r>
          </w:p>
        </w:tc>
        <w:tc>
          <w:tcPr>
            <w:tcW w:w="1275" w:type="dxa"/>
            <w:tcBorders>
              <w:tl2br w:val="nil"/>
              <w:tr2bl w:val="nil"/>
            </w:tcBorders>
            <w:shd w:val="clear" w:color="auto" w:fill="auto"/>
            <w:noWrap/>
            <w:vAlign w:val="center"/>
          </w:tcPr>
          <w:p w14:paraId="379C72F7">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2.00E-01</w:t>
            </w:r>
          </w:p>
        </w:tc>
        <w:tc>
          <w:tcPr>
            <w:tcW w:w="1485" w:type="dxa"/>
            <w:tcBorders>
              <w:tl2br w:val="nil"/>
              <w:tr2bl w:val="nil"/>
            </w:tcBorders>
            <w:shd w:val="clear" w:color="auto" w:fill="auto"/>
            <w:noWrap/>
            <w:vAlign w:val="center"/>
          </w:tcPr>
          <w:p w14:paraId="20E1DE30">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37.18</w:t>
            </w:r>
          </w:p>
        </w:tc>
        <w:tc>
          <w:tcPr>
            <w:tcW w:w="912" w:type="dxa"/>
            <w:tcBorders>
              <w:tl2br w:val="nil"/>
              <w:tr2bl w:val="nil"/>
            </w:tcBorders>
            <w:shd w:val="clear" w:color="auto" w:fill="auto"/>
            <w:noWrap/>
            <w:vAlign w:val="center"/>
          </w:tcPr>
          <w:p w14:paraId="508FE3F5">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达标</w:t>
            </w:r>
          </w:p>
        </w:tc>
      </w:tr>
      <w:tr w14:paraId="724382DD">
        <w:tblPrEx>
          <w:tblBorders>
            <w:top w:val="thinThickSmallGap" w:color="auto" w:sz="12" w:space="0"/>
            <w:left w:val="none" w:color="auto" w:sz="0" w:space="0"/>
            <w:bottom w:val="thinThickSmallGap" w:color="auto" w:sz="12" w:space="0"/>
            <w:right w:val="none" w:color="auto" w:sz="0"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 w:hRule="atLeast"/>
          <w:jc w:val="center"/>
        </w:trPr>
        <w:tc>
          <w:tcPr>
            <w:tcW w:w="528" w:type="dxa"/>
            <w:tcBorders>
              <w:tl2br w:val="nil"/>
              <w:tr2bl w:val="nil"/>
            </w:tcBorders>
            <w:shd w:val="clear" w:color="auto" w:fill="auto"/>
            <w:noWrap/>
            <w:vAlign w:val="center"/>
          </w:tcPr>
          <w:p w14:paraId="41F0A1D3">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1"/>
                <w:szCs w:val="21"/>
                <w:u w:val="none"/>
                <w:lang w:val="en-US" w:eastAsia="zh-CN" w:bidi="ar"/>
              </w:rPr>
              <w:t>6</w:t>
            </w:r>
          </w:p>
        </w:tc>
        <w:tc>
          <w:tcPr>
            <w:tcW w:w="1142" w:type="dxa"/>
            <w:tcBorders>
              <w:tl2br w:val="nil"/>
              <w:tr2bl w:val="nil"/>
            </w:tcBorders>
            <w:shd w:val="clear" w:color="auto" w:fill="auto"/>
            <w:noWrap/>
            <w:vAlign w:val="center"/>
          </w:tcPr>
          <w:p w14:paraId="2F470D0B">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1"/>
                <w:szCs w:val="21"/>
                <w:u w:val="none"/>
                <w:lang w:val="en-US" w:eastAsia="zh-CN" w:bidi="ar"/>
              </w:rPr>
              <w:t>五道沟</w:t>
            </w:r>
          </w:p>
        </w:tc>
        <w:tc>
          <w:tcPr>
            <w:tcW w:w="1620" w:type="dxa"/>
            <w:tcBorders>
              <w:tl2br w:val="nil"/>
              <w:tr2bl w:val="nil"/>
            </w:tcBorders>
            <w:shd w:val="clear" w:color="auto" w:fill="auto"/>
            <w:noWrap/>
            <w:vAlign w:val="center"/>
          </w:tcPr>
          <w:p w14:paraId="71D9F618">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1"/>
                <w:szCs w:val="21"/>
                <w:u w:val="none"/>
                <w:lang w:val="en-US" w:eastAsia="zh-CN" w:bidi="ar"/>
              </w:rPr>
              <w:t>815,1679</w:t>
            </w:r>
          </w:p>
        </w:tc>
        <w:tc>
          <w:tcPr>
            <w:tcW w:w="1378" w:type="dxa"/>
            <w:tcBorders>
              <w:tl2br w:val="nil"/>
              <w:tr2bl w:val="nil"/>
            </w:tcBorders>
            <w:shd w:val="clear" w:color="auto" w:fill="auto"/>
            <w:noWrap/>
            <w:vAlign w:val="center"/>
          </w:tcPr>
          <w:p w14:paraId="78B7670C">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1"/>
                <w:szCs w:val="21"/>
                <w:u w:val="none"/>
                <w:lang w:val="en-US" w:eastAsia="zh-CN" w:bidi="ar"/>
              </w:rPr>
              <w:t>1小时</w:t>
            </w:r>
          </w:p>
        </w:tc>
        <w:tc>
          <w:tcPr>
            <w:tcW w:w="1260" w:type="dxa"/>
            <w:tcBorders>
              <w:tl2br w:val="nil"/>
              <w:tr2bl w:val="nil"/>
            </w:tcBorders>
            <w:shd w:val="clear" w:color="auto" w:fill="auto"/>
            <w:noWrap/>
            <w:vAlign w:val="center"/>
          </w:tcPr>
          <w:p w14:paraId="4D1376F7">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4.19E-04</w:t>
            </w:r>
          </w:p>
        </w:tc>
        <w:tc>
          <w:tcPr>
            <w:tcW w:w="1770" w:type="dxa"/>
            <w:tcBorders>
              <w:tl2br w:val="nil"/>
              <w:tr2bl w:val="nil"/>
            </w:tcBorders>
            <w:shd w:val="clear" w:color="auto" w:fill="auto"/>
            <w:noWrap/>
            <w:vAlign w:val="center"/>
          </w:tcPr>
          <w:p w14:paraId="4D073D8B">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24011511</w:t>
            </w:r>
          </w:p>
        </w:tc>
        <w:tc>
          <w:tcPr>
            <w:tcW w:w="1140" w:type="dxa"/>
            <w:tcBorders>
              <w:tl2br w:val="nil"/>
              <w:tr2bl w:val="nil"/>
            </w:tcBorders>
            <w:shd w:val="clear" w:color="auto" w:fill="auto"/>
            <w:noWrap/>
            <w:vAlign w:val="center"/>
          </w:tcPr>
          <w:p w14:paraId="2A62F549">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7.40E-02</w:t>
            </w:r>
          </w:p>
        </w:tc>
        <w:tc>
          <w:tcPr>
            <w:tcW w:w="1605" w:type="dxa"/>
            <w:tcBorders>
              <w:tl2br w:val="nil"/>
              <w:tr2bl w:val="nil"/>
            </w:tcBorders>
            <w:shd w:val="clear" w:color="auto" w:fill="auto"/>
            <w:noWrap/>
            <w:vAlign w:val="center"/>
          </w:tcPr>
          <w:p w14:paraId="530082DF">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7.44E-02</w:t>
            </w:r>
          </w:p>
        </w:tc>
        <w:tc>
          <w:tcPr>
            <w:tcW w:w="1275" w:type="dxa"/>
            <w:tcBorders>
              <w:tl2br w:val="nil"/>
              <w:tr2bl w:val="nil"/>
            </w:tcBorders>
            <w:shd w:val="clear" w:color="auto" w:fill="auto"/>
            <w:noWrap/>
            <w:vAlign w:val="center"/>
          </w:tcPr>
          <w:p w14:paraId="5AE801D8">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2.00E-01</w:t>
            </w:r>
          </w:p>
        </w:tc>
        <w:tc>
          <w:tcPr>
            <w:tcW w:w="1485" w:type="dxa"/>
            <w:tcBorders>
              <w:tl2br w:val="nil"/>
              <w:tr2bl w:val="nil"/>
            </w:tcBorders>
            <w:shd w:val="clear" w:color="auto" w:fill="auto"/>
            <w:noWrap/>
            <w:vAlign w:val="center"/>
          </w:tcPr>
          <w:p w14:paraId="2A0AAD95">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37.21</w:t>
            </w:r>
          </w:p>
        </w:tc>
        <w:tc>
          <w:tcPr>
            <w:tcW w:w="912" w:type="dxa"/>
            <w:tcBorders>
              <w:tl2br w:val="nil"/>
              <w:tr2bl w:val="nil"/>
            </w:tcBorders>
            <w:shd w:val="clear" w:color="auto" w:fill="auto"/>
            <w:noWrap/>
            <w:vAlign w:val="center"/>
          </w:tcPr>
          <w:p w14:paraId="021CD38D">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达标</w:t>
            </w:r>
          </w:p>
        </w:tc>
      </w:tr>
      <w:tr w14:paraId="56C9B0E9">
        <w:tblPrEx>
          <w:tblBorders>
            <w:top w:val="thinThickSmallGap" w:color="auto" w:sz="12" w:space="0"/>
            <w:left w:val="none" w:color="auto" w:sz="0" w:space="0"/>
            <w:bottom w:val="thinThickSmallGap" w:color="auto" w:sz="12" w:space="0"/>
            <w:right w:val="none" w:color="auto" w:sz="0"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 w:hRule="atLeast"/>
          <w:jc w:val="center"/>
        </w:trPr>
        <w:tc>
          <w:tcPr>
            <w:tcW w:w="528" w:type="dxa"/>
            <w:tcBorders>
              <w:tl2br w:val="nil"/>
              <w:tr2bl w:val="nil"/>
            </w:tcBorders>
            <w:shd w:val="clear" w:color="auto" w:fill="auto"/>
            <w:noWrap/>
            <w:vAlign w:val="center"/>
          </w:tcPr>
          <w:p w14:paraId="072B9543">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1"/>
                <w:szCs w:val="21"/>
                <w:u w:val="none"/>
                <w:lang w:val="en-US" w:eastAsia="zh-CN" w:bidi="ar"/>
              </w:rPr>
              <w:t>7</w:t>
            </w:r>
          </w:p>
        </w:tc>
        <w:tc>
          <w:tcPr>
            <w:tcW w:w="1142" w:type="dxa"/>
            <w:tcBorders>
              <w:tl2br w:val="nil"/>
              <w:tr2bl w:val="nil"/>
            </w:tcBorders>
            <w:shd w:val="clear" w:color="auto" w:fill="auto"/>
            <w:noWrap/>
            <w:vAlign w:val="center"/>
          </w:tcPr>
          <w:p w14:paraId="456E1C25">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1"/>
                <w:szCs w:val="21"/>
                <w:u w:val="none"/>
                <w:lang w:val="en-US" w:eastAsia="zh-CN" w:bidi="ar"/>
              </w:rPr>
              <w:t>杨家堡子</w:t>
            </w:r>
          </w:p>
        </w:tc>
        <w:tc>
          <w:tcPr>
            <w:tcW w:w="1620" w:type="dxa"/>
            <w:tcBorders>
              <w:tl2br w:val="nil"/>
              <w:tr2bl w:val="nil"/>
            </w:tcBorders>
            <w:shd w:val="clear" w:color="auto" w:fill="auto"/>
            <w:noWrap/>
            <w:vAlign w:val="center"/>
          </w:tcPr>
          <w:p w14:paraId="244A3DEB">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default" w:ascii="Times New Roman" w:hAnsi="Times New Roman" w:eastAsia="宋体" w:cs="Times New Roman"/>
                <w:i w:val="0"/>
                <w:iCs w:val="0"/>
                <w:color w:val="0000FF"/>
                <w:kern w:val="0"/>
                <w:sz w:val="21"/>
                <w:szCs w:val="21"/>
                <w:u w:val="none"/>
                <w:lang w:val="en-US" w:eastAsia="zh-CN" w:bidi="ar"/>
              </w:rPr>
              <w:t>1113,1984</w:t>
            </w:r>
          </w:p>
        </w:tc>
        <w:tc>
          <w:tcPr>
            <w:tcW w:w="1378" w:type="dxa"/>
            <w:tcBorders>
              <w:tl2br w:val="nil"/>
              <w:tr2bl w:val="nil"/>
            </w:tcBorders>
            <w:shd w:val="clear" w:color="auto" w:fill="auto"/>
            <w:noWrap/>
            <w:vAlign w:val="center"/>
          </w:tcPr>
          <w:p w14:paraId="69E3E5AD">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default" w:ascii="Times New Roman" w:hAnsi="Times New Roman" w:eastAsia="宋体" w:cs="Times New Roman"/>
                <w:i w:val="0"/>
                <w:iCs w:val="0"/>
                <w:color w:val="0000FF"/>
                <w:kern w:val="0"/>
                <w:sz w:val="21"/>
                <w:szCs w:val="21"/>
                <w:u w:val="none"/>
                <w:lang w:val="en-US" w:eastAsia="zh-CN" w:bidi="ar"/>
              </w:rPr>
              <w:t>1小时</w:t>
            </w:r>
          </w:p>
        </w:tc>
        <w:tc>
          <w:tcPr>
            <w:tcW w:w="1260" w:type="dxa"/>
            <w:tcBorders>
              <w:tl2br w:val="nil"/>
              <w:tr2bl w:val="nil"/>
            </w:tcBorders>
            <w:shd w:val="clear" w:color="auto" w:fill="auto"/>
            <w:noWrap/>
            <w:vAlign w:val="center"/>
          </w:tcPr>
          <w:p w14:paraId="51772563">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4.20E-04</w:t>
            </w:r>
          </w:p>
        </w:tc>
        <w:tc>
          <w:tcPr>
            <w:tcW w:w="1770" w:type="dxa"/>
            <w:tcBorders>
              <w:tl2br w:val="nil"/>
              <w:tr2bl w:val="nil"/>
            </w:tcBorders>
            <w:shd w:val="clear" w:color="auto" w:fill="auto"/>
            <w:noWrap/>
            <w:vAlign w:val="center"/>
          </w:tcPr>
          <w:p w14:paraId="685C7CBE">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24011511</w:t>
            </w:r>
          </w:p>
        </w:tc>
        <w:tc>
          <w:tcPr>
            <w:tcW w:w="1140" w:type="dxa"/>
            <w:tcBorders>
              <w:tl2br w:val="nil"/>
              <w:tr2bl w:val="nil"/>
            </w:tcBorders>
            <w:shd w:val="clear" w:color="auto" w:fill="auto"/>
            <w:noWrap/>
            <w:vAlign w:val="center"/>
          </w:tcPr>
          <w:p w14:paraId="4E6FC4F9">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7.40E-02</w:t>
            </w:r>
          </w:p>
        </w:tc>
        <w:tc>
          <w:tcPr>
            <w:tcW w:w="1605" w:type="dxa"/>
            <w:tcBorders>
              <w:tl2br w:val="nil"/>
              <w:tr2bl w:val="nil"/>
            </w:tcBorders>
            <w:shd w:val="clear" w:color="auto" w:fill="auto"/>
            <w:noWrap/>
            <w:vAlign w:val="center"/>
          </w:tcPr>
          <w:p w14:paraId="12837827">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7.44E-02</w:t>
            </w:r>
          </w:p>
        </w:tc>
        <w:tc>
          <w:tcPr>
            <w:tcW w:w="1275" w:type="dxa"/>
            <w:tcBorders>
              <w:tl2br w:val="nil"/>
              <w:tr2bl w:val="nil"/>
            </w:tcBorders>
            <w:shd w:val="clear" w:color="auto" w:fill="auto"/>
            <w:noWrap/>
            <w:vAlign w:val="center"/>
          </w:tcPr>
          <w:p w14:paraId="23E2DBB9">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2.00E-01</w:t>
            </w:r>
          </w:p>
        </w:tc>
        <w:tc>
          <w:tcPr>
            <w:tcW w:w="1485" w:type="dxa"/>
            <w:tcBorders>
              <w:tl2br w:val="nil"/>
              <w:tr2bl w:val="nil"/>
            </w:tcBorders>
            <w:shd w:val="clear" w:color="auto" w:fill="auto"/>
            <w:noWrap/>
            <w:vAlign w:val="center"/>
          </w:tcPr>
          <w:p w14:paraId="26806957">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37.21</w:t>
            </w:r>
          </w:p>
        </w:tc>
        <w:tc>
          <w:tcPr>
            <w:tcW w:w="912" w:type="dxa"/>
            <w:tcBorders>
              <w:tl2br w:val="nil"/>
              <w:tr2bl w:val="nil"/>
            </w:tcBorders>
            <w:shd w:val="clear" w:color="auto" w:fill="auto"/>
            <w:noWrap/>
            <w:vAlign w:val="center"/>
          </w:tcPr>
          <w:p w14:paraId="21297C37">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达标</w:t>
            </w:r>
          </w:p>
        </w:tc>
      </w:tr>
      <w:tr w14:paraId="16FDF04F">
        <w:tblPrEx>
          <w:tblBorders>
            <w:top w:val="thinThickSmallGap" w:color="auto" w:sz="12" w:space="0"/>
            <w:left w:val="none" w:color="auto" w:sz="0" w:space="0"/>
            <w:bottom w:val="thinThickSmallGap" w:color="auto" w:sz="12" w:space="0"/>
            <w:right w:val="none" w:color="auto" w:sz="0"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 w:hRule="atLeast"/>
          <w:jc w:val="center"/>
        </w:trPr>
        <w:tc>
          <w:tcPr>
            <w:tcW w:w="528" w:type="dxa"/>
            <w:tcBorders>
              <w:tl2br w:val="nil"/>
              <w:tr2bl w:val="nil"/>
            </w:tcBorders>
            <w:shd w:val="clear" w:color="auto" w:fill="auto"/>
            <w:noWrap/>
            <w:vAlign w:val="center"/>
          </w:tcPr>
          <w:p w14:paraId="5863CCA5">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1"/>
                <w:szCs w:val="21"/>
                <w:u w:val="none"/>
                <w:lang w:val="en-US" w:eastAsia="zh-CN" w:bidi="ar"/>
              </w:rPr>
              <w:t>8</w:t>
            </w:r>
          </w:p>
        </w:tc>
        <w:tc>
          <w:tcPr>
            <w:tcW w:w="1142" w:type="dxa"/>
            <w:tcBorders>
              <w:tl2br w:val="nil"/>
              <w:tr2bl w:val="nil"/>
            </w:tcBorders>
            <w:shd w:val="clear" w:color="auto" w:fill="auto"/>
            <w:noWrap/>
            <w:vAlign w:val="center"/>
          </w:tcPr>
          <w:p w14:paraId="3AA50A14">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1"/>
                <w:szCs w:val="21"/>
                <w:u w:val="none"/>
                <w:lang w:val="en-US" w:eastAsia="zh-CN" w:bidi="ar"/>
              </w:rPr>
              <w:t>网格</w:t>
            </w:r>
          </w:p>
        </w:tc>
        <w:tc>
          <w:tcPr>
            <w:tcW w:w="1620" w:type="dxa"/>
            <w:tcBorders>
              <w:tl2br w:val="nil"/>
              <w:tr2bl w:val="nil"/>
            </w:tcBorders>
            <w:shd w:val="clear" w:color="auto" w:fill="auto"/>
            <w:noWrap/>
            <w:vAlign w:val="center"/>
          </w:tcPr>
          <w:p w14:paraId="1E1B5834">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28,931</w:t>
            </w:r>
          </w:p>
        </w:tc>
        <w:tc>
          <w:tcPr>
            <w:tcW w:w="1378" w:type="dxa"/>
            <w:tcBorders>
              <w:tl2br w:val="nil"/>
              <w:tr2bl w:val="nil"/>
            </w:tcBorders>
            <w:shd w:val="clear" w:color="auto" w:fill="auto"/>
            <w:noWrap/>
            <w:vAlign w:val="center"/>
          </w:tcPr>
          <w:p w14:paraId="3DEEE00B">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default" w:ascii="Times New Roman" w:hAnsi="Times New Roman" w:eastAsia="宋体" w:cs="Times New Roman"/>
                <w:i w:val="0"/>
                <w:iCs w:val="0"/>
                <w:color w:val="0000FF"/>
                <w:kern w:val="0"/>
                <w:sz w:val="21"/>
                <w:szCs w:val="21"/>
                <w:u w:val="none"/>
                <w:lang w:val="en-US" w:eastAsia="zh-CN" w:bidi="ar"/>
              </w:rPr>
              <w:t>1小时</w:t>
            </w:r>
          </w:p>
        </w:tc>
        <w:tc>
          <w:tcPr>
            <w:tcW w:w="1260" w:type="dxa"/>
            <w:tcBorders>
              <w:tl2br w:val="nil"/>
              <w:tr2bl w:val="nil"/>
            </w:tcBorders>
            <w:shd w:val="clear" w:color="auto" w:fill="auto"/>
            <w:noWrap/>
            <w:vAlign w:val="center"/>
          </w:tcPr>
          <w:p w14:paraId="6D15AD54">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1.29E-02</w:t>
            </w:r>
          </w:p>
        </w:tc>
        <w:tc>
          <w:tcPr>
            <w:tcW w:w="1770" w:type="dxa"/>
            <w:tcBorders>
              <w:tl2br w:val="nil"/>
              <w:tr2bl w:val="nil"/>
            </w:tcBorders>
            <w:shd w:val="clear" w:color="auto" w:fill="auto"/>
            <w:noWrap/>
            <w:vAlign w:val="center"/>
          </w:tcPr>
          <w:p w14:paraId="5BDFD489">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24011202</w:t>
            </w:r>
          </w:p>
        </w:tc>
        <w:tc>
          <w:tcPr>
            <w:tcW w:w="1140" w:type="dxa"/>
            <w:tcBorders>
              <w:tl2br w:val="nil"/>
              <w:tr2bl w:val="nil"/>
            </w:tcBorders>
            <w:shd w:val="clear" w:color="auto" w:fill="auto"/>
            <w:noWrap/>
            <w:vAlign w:val="center"/>
          </w:tcPr>
          <w:p w14:paraId="37308213">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7.40E-02</w:t>
            </w:r>
          </w:p>
        </w:tc>
        <w:tc>
          <w:tcPr>
            <w:tcW w:w="1605" w:type="dxa"/>
            <w:tcBorders>
              <w:tl2br w:val="nil"/>
              <w:tr2bl w:val="nil"/>
            </w:tcBorders>
            <w:shd w:val="clear" w:color="auto" w:fill="auto"/>
            <w:noWrap/>
            <w:vAlign w:val="center"/>
          </w:tcPr>
          <w:p w14:paraId="26FAB3AF">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8.69E-02</w:t>
            </w:r>
          </w:p>
        </w:tc>
        <w:tc>
          <w:tcPr>
            <w:tcW w:w="1275" w:type="dxa"/>
            <w:tcBorders>
              <w:tl2br w:val="nil"/>
              <w:tr2bl w:val="nil"/>
            </w:tcBorders>
            <w:shd w:val="clear" w:color="auto" w:fill="auto"/>
            <w:noWrap/>
            <w:vAlign w:val="center"/>
          </w:tcPr>
          <w:p w14:paraId="42639A5C">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2.00E-01</w:t>
            </w:r>
          </w:p>
        </w:tc>
        <w:tc>
          <w:tcPr>
            <w:tcW w:w="1485" w:type="dxa"/>
            <w:tcBorders>
              <w:tl2br w:val="nil"/>
              <w:tr2bl w:val="nil"/>
            </w:tcBorders>
            <w:shd w:val="clear" w:color="auto" w:fill="auto"/>
            <w:noWrap/>
            <w:vAlign w:val="center"/>
          </w:tcPr>
          <w:p w14:paraId="22B082E9">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43.45</w:t>
            </w:r>
          </w:p>
        </w:tc>
        <w:tc>
          <w:tcPr>
            <w:tcW w:w="912" w:type="dxa"/>
            <w:tcBorders>
              <w:tl2br w:val="nil"/>
              <w:tr2bl w:val="nil"/>
            </w:tcBorders>
            <w:shd w:val="clear" w:color="auto" w:fill="auto"/>
            <w:noWrap/>
            <w:vAlign w:val="center"/>
          </w:tcPr>
          <w:p w14:paraId="244D8744">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达标</w:t>
            </w:r>
          </w:p>
        </w:tc>
      </w:tr>
    </w:tbl>
    <w:p w14:paraId="0BD42E82">
      <w:pPr>
        <w:tabs>
          <w:tab w:val="left" w:pos="851"/>
          <w:tab w:val="left" w:pos="1141"/>
          <w:tab w:val="left" w:pos="4335"/>
        </w:tabs>
        <w:jc w:val="center"/>
        <w:rPr>
          <w:rFonts w:hint="default" w:ascii="Times New Roman" w:hAnsi="Times New Roman" w:eastAsia="黑体" w:cs="Times New Roman"/>
          <w:bCs/>
          <w:color w:val="0000FF"/>
        </w:rPr>
      </w:pPr>
    </w:p>
    <w:p w14:paraId="70EDE18B">
      <w:pPr>
        <w:tabs>
          <w:tab w:val="left" w:pos="851"/>
          <w:tab w:val="left" w:pos="1141"/>
          <w:tab w:val="left" w:pos="4335"/>
        </w:tabs>
        <w:jc w:val="center"/>
        <w:rPr>
          <w:rFonts w:hint="default" w:ascii="Times New Roman" w:hAnsi="Times New Roman" w:eastAsia="黑体" w:cs="Times New Roman"/>
          <w:bCs/>
          <w:color w:val="0000FF"/>
        </w:rPr>
      </w:pPr>
    </w:p>
    <w:p w14:paraId="2664A912">
      <w:pPr>
        <w:tabs>
          <w:tab w:val="left" w:pos="851"/>
          <w:tab w:val="left" w:pos="1141"/>
          <w:tab w:val="left" w:pos="4335"/>
        </w:tabs>
        <w:jc w:val="center"/>
        <w:rPr>
          <w:rFonts w:hint="default" w:ascii="Times New Roman" w:hAnsi="Times New Roman" w:eastAsia="黑体" w:cs="Times New Roman"/>
          <w:bCs/>
          <w:color w:val="0000FF"/>
        </w:rPr>
      </w:pPr>
      <w:r>
        <w:rPr>
          <w:rFonts w:hint="default" w:ascii="Times New Roman" w:hAnsi="Times New Roman" w:eastAsia="黑体" w:cs="Times New Roman"/>
          <w:bCs/>
          <w:color w:val="0000FF"/>
        </w:rPr>
        <w:t>表</w:t>
      </w:r>
      <w:r>
        <w:rPr>
          <w:rFonts w:hint="eastAsia" w:ascii="Times New Roman" w:hAnsi="Times New Roman" w:eastAsia="黑体" w:cs="Times New Roman"/>
          <w:bCs/>
          <w:color w:val="0000FF"/>
          <w:lang w:val="en-US" w:eastAsia="zh-CN"/>
        </w:rPr>
        <w:t>5.1-27</w:t>
      </w:r>
      <w:r>
        <w:rPr>
          <w:rFonts w:hint="default" w:ascii="Times New Roman" w:hAnsi="Times New Roman" w:eastAsia="黑体" w:cs="Times New Roman"/>
          <w:bCs/>
          <w:color w:val="0000FF"/>
        </w:rPr>
        <w:t>关心点及网格点</w:t>
      </w:r>
      <w:r>
        <w:rPr>
          <w:rFonts w:hint="eastAsia" w:ascii="Times New Roman" w:hAnsi="Times New Roman" w:eastAsia="黑体" w:cs="Times New Roman"/>
          <w:bCs/>
          <w:color w:val="0000FF"/>
          <w:lang w:val="en-US" w:eastAsia="zh-CN"/>
        </w:rPr>
        <w:t>二噁英</w:t>
      </w:r>
      <w:r>
        <w:rPr>
          <w:rFonts w:hint="default" w:ascii="Times New Roman" w:hAnsi="Times New Roman" w:eastAsia="黑体" w:cs="Times New Roman"/>
          <w:bCs/>
          <w:color w:val="0000FF"/>
        </w:rPr>
        <w:t>叠加最大浓度预测结果表</w:t>
      </w:r>
    </w:p>
    <w:tbl>
      <w:tblPr>
        <w:tblStyle w:val="56"/>
        <w:tblW w:w="14115" w:type="dxa"/>
        <w:jc w:val="center"/>
        <w:tblBorders>
          <w:top w:val="thinThickSmallGap" w:color="auto" w:sz="12" w:space="0"/>
          <w:left w:val="none" w:color="auto" w:sz="0" w:space="0"/>
          <w:bottom w:val="thinThickSmallGap" w:color="auto" w:sz="12" w:space="0"/>
          <w:right w:val="none" w:color="auto" w:sz="0"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528"/>
        <w:gridCol w:w="1142"/>
        <w:gridCol w:w="1620"/>
        <w:gridCol w:w="1378"/>
        <w:gridCol w:w="1260"/>
        <w:gridCol w:w="1770"/>
        <w:gridCol w:w="1140"/>
        <w:gridCol w:w="1605"/>
        <w:gridCol w:w="1275"/>
        <w:gridCol w:w="1485"/>
        <w:gridCol w:w="912"/>
      </w:tblGrid>
      <w:tr w14:paraId="4AD502AE">
        <w:tblPrEx>
          <w:tblBorders>
            <w:top w:val="thinThickSmallGap" w:color="auto" w:sz="12" w:space="0"/>
            <w:left w:val="none" w:color="auto" w:sz="0" w:space="0"/>
            <w:bottom w:val="thinThickSmallGap" w:color="auto" w:sz="12" w:space="0"/>
            <w:right w:val="none" w:color="auto" w:sz="0"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 w:hRule="atLeast"/>
          <w:jc w:val="center"/>
        </w:trPr>
        <w:tc>
          <w:tcPr>
            <w:tcW w:w="528" w:type="dxa"/>
            <w:tcBorders>
              <w:tl2br w:val="nil"/>
              <w:tr2bl w:val="nil"/>
            </w:tcBorders>
            <w:shd w:val="clear" w:color="auto" w:fill="auto"/>
            <w:noWrap/>
            <w:vAlign w:val="center"/>
          </w:tcPr>
          <w:p w14:paraId="3E8014EE">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1"/>
                <w:szCs w:val="21"/>
                <w:u w:val="none"/>
                <w:lang w:val="en-US" w:eastAsia="zh-CN" w:bidi="ar"/>
              </w:rPr>
              <w:t>序号</w:t>
            </w:r>
          </w:p>
        </w:tc>
        <w:tc>
          <w:tcPr>
            <w:tcW w:w="1142" w:type="dxa"/>
            <w:tcBorders>
              <w:tl2br w:val="nil"/>
              <w:tr2bl w:val="nil"/>
            </w:tcBorders>
            <w:shd w:val="clear" w:color="auto" w:fill="auto"/>
            <w:noWrap/>
            <w:vAlign w:val="center"/>
          </w:tcPr>
          <w:p w14:paraId="7DA81AA2">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1"/>
                <w:szCs w:val="21"/>
                <w:u w:val="none"/>
                <w:lang w:val="en-US" w:eastAsia="zh-CN" w:bidi="ar"/>
              </w:rPr>
              <w:t>点名称</w:t>
            </w:r>
          </w:p>
        </w:tc>
        <w:tc>
          <w:tcPr>
            <w:tcW w:w="1620" w:type="dxa"/>
            <w:tcBorders>
              <w:tl2br w:val="nil"/>
              <w:tr2bl w:val="nil"/>
            </w:tcBorders>
            <w:shd w:val="clear" w:color="auto" w:fill="auto"/>
            <w:noWrap/>
            <w:vAlign w:val="center"/>
          </w:tcPr>
          <w:p w14:paraId="7580AD80">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1"/>
                <w:szCs w:val="21"/>
                <w:u w:val="none"/>
                <w:lang w:val="en-US" w:eastAsia="zh-CN" w:bidi="ar"/>
              </w:rPr>
              <w:t>点坐标(x,y)</w:t>
            </w:r>
          </w:p>
        </w:tc>
        <w:tc>
          <w:tcPr>
            <w:tcW w:w="1378" w:type="dxa"/>
            <w:tcBorders>
              <w:tl2br w:val="nil"/>
              <w:tr2bl w:val="nil"/>
            </w:tcBorders>
            <w:shd w:val="clear" w:color="auto" w:fill="auto"/>
            <w:noWrap/>
            <w:vAlign w:val="center"/>
          </w:tcPr>
          <w:p w14:paraId="1E535AB9">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1"/>
                <w:szCs w:val="21"/>
                <w:u w:val="none"/>
                <w:lang w:val="en-US" w:eastAsia="zh-CN" w:bidi="ar"/>
              </w:rPr>
              <w:t>浓度类型</w:t>
            </w:r>
          </w:p>
        </w:tc>
        <w:tc>
          <w:tcPr>
            <w:tcW w:w="1260" w:type="dxa"/>
            <w:tcBorders>
              <w:tl2br w:val="nil"/>
              <w:tr2bl w:val="nil"/>
            </w:tcBorders>
            <w:shd w:val="clear" w:color="auto" w:fill="auto"/>
            <w:noWrap/>
            <w:vAlign w:val="center"/>
          </w:tcPr>
          <w:p w14:paraId="03DA814D">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1"/>
                <w:szCs w:val="21"/>
                <w:u w:val="none"/>
                <w:lang w:val="en-US" w:eastAsia="zh-CN" w:bidi="ar"/>
              </w:rPr>
              <w:t>浓度增量(mg/m</w:t>
            </w:r>
            <w:r>
              <w:rPr>
                <w:rFonts w:hint="default" w:ascii="Times New Roman" w:hAnsi="Times New Roman" w:eastAsia="宋体" w:cs="Times New Roman"/>
                <w:i w:val="0"/>
                <w:iCs w:val="0"/>
                <w:color w:val="0000FF"/>
                <w:kern w:val="0"/>
                <w:sz w:val="21"/>
                <w:szCs w:val="21"/>
                <w:u w:val="none"/>
                <w:vertAlign w:val="superscript"/>
                <w:lang w:val="en-US" w:eastAsia="zh-CN" w:bidi="ar"/>
              </w:rPr>
              <w:t>3</w:t>
            </w:r>
            <w:r>
              <w:rPr>
                <w:rFonts w:hint="default" w:ascii="Times New Roman" w:hAnsi="Times New Roman" w:eastAsia="宋体" w:cs="Times New Roman"/>
                <w:i w:val="0"/>
                <w:iCs w:val="0"/>
                <w:color w:val="0000FF"/>
                <w:kern w:val="0"/>
                <w:sz w:val="21"/>
                <w:szCs w:val="21"/>
                <w:u w:val="none"/>
                <w:lang w:val="en-US" w:eastAsia="zh-CN" w:bidi="ar"/>
              </w:rPr>
              <w:t>)</w:t>
            </w:r>
          </w:p>
        </w:tc>
        <w:tc>
          <w:tcPr>
            <w:tcW w:w="1770" w:type="dxa"/>
            <w:tcBorders>
              <w:tl2br w:val="nil"/>
              <w:tr2bl w:val="nil"/>
            </w:tcBorders>
            <w:shd w:val="clear" w:color="auto" w:fill="auto"/>
            <w:noWrap/>
            <w:vAlign w:val="center"/>
          </w:tcPr>
          <w:p w14:paraId="58E8B89B">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1"/>
                <w:szCs w:val="21"/>
                <w:u w:val="none"/>
                <w:lang w:val="en-US" w:eastAsia="zh-CN" w:bidi="ar"/>
              </w:rPr>
              <w:t>出现时间(YYMMDDHH)</w:t>
            </w:r>
          </w:p>
        </w:tc>
        <w:tc>
          <w:tcPr>
            <w:tcW w:w="1140" w:type="dxa"/>
            <w:tcBorders>
              <w:tl2br w:val="nil"/>
              <w:tr2bl w:val="nil"/>
            </w:tcBorders>
            <w:shd w:val="clear" w:color="auto" w:fill="auto"/>
            <w:noWrap/>
            <w:vAlign w:val="center"/>
          </w:tcPr>
          <w:p w14:paraId="5AB4B17B">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1"/>
                <w:szCs w:val="21"/>
                <w:u w:val="none"/>
                <w:lang w:val="en-US" w:eastAsia="zh-CN" w:bidi="ar"/>
              </w:rPr>
              <w:t>背景浓度(mg/m</w:t>
            </w:r>
            <w:r>
              <w:rPr>
                <w:rFonts w:hint="default" w:ascii="Times New Roman" w:hAnsi="Times New Roman" w:eastAsia="宋体" w:cs="Times New Roman"/>
                <w:i w:val="0"/>
                <w:iCs w:val="0"/>
                <w:color w:val="0000FF"/>
                <w:kern w:val="0"/>
                <w:sz w:val="21"/>
                <w:szCs w:val="21"/>
                <w:u w:val="none"/>
                <w:vertAlign w:val="superscript"/>
                <w:lang w:val="en-US" w:eastAsia="zh-CN" w:bidi="ar"/>
              </w:rPr>
              <w:t>3</w:t>
            </w:r>
            <w:r>
              <w:rPr>
                <w:rFonts w:hint="default" w:ascii="Times New Roman" w:hAnsi="Times New Roman" w:eastAsia="宋体" w:cs="Times New Roman"/>
                <w:i w:val="0"/>
                <w:iCs w:val="0"/>
                <w:color w:val="0000FF"/>
                <w:kern w:val="0"/>
                <w:sz w:val="21"/>
                <w:szCs w:val="21"/>
                <w:u w:val="none"/>
                <w:lang w:val="en-US" w:eastAsia="zh-CN" w:bidi="ar"/>
              </w:rPr>
              <w:t>)</w:t>
            </w:r>
          </w:p>
        </w:tc>
        <w:tc>
          <w:tcPr>
            <w:tcW w:w="1605" w:type="dxa"/>
            <w:tcBorders>
              <w:tl2br w:val="nil"/>
              <w:tr2bl w:val="nil"/>
            </w:tcBorders>
            <w:shd w:val="clear" w:color="auto" w:fill="auto"/>
            <w:noWrap/>
            <w:vAlign w:val="center"/>
          </w:tcPr>
          <w:p w14:paraId="0E68177C">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1"/>
                <w:szCs w:val="21"/>
                <w:u w:val="none"/>
                <w:lang w:val="en-US" w:eastAsia="zh-CN" w:bidi="ar"/>
              </w:rPr>
              <w:t>叠加背景后的浓度(mg/m</w:t>
            </w:r>
            <w:r>
              <w:rPr>
                <w:rFonts w:hint="default" w:ascii="Times New Roman" w:hAnsi="Times New Roman" w:eastAsia="宋体" w:cs="Times New Roman"/>
                <w:i w:val="0"/>
                <w:iCs w:val="0"/>
                <w:color w:val="0000FF"/>
                <w:kern w:val="0"/>
                <w:sz w:val="21"/>
                <w:szCs w:val="21"/>
                <w:u w:val="none"/>
                <w:vertAlign w:val="superscript"/>
                <w:lang w:val="en-US" w:eastAsia="zh-CN" w:bidi="ar"/>
              </w:rPr>
              <w:t>3</w:t>
            </w:r>
            <w:r>
              <w:rPr>
                <w:rFonts w:hint="default" w:ascii="Times New Roman" w:hAnsi="Times New Roman" w:eastAsia="宋体" w:cs="Times New Roman"/>
                <w:i w:val="0"/>
                <w:iCs w:val="0"/>
                <w:color w:val="0000FF"/>
                <w:kern w:val="0"/>
                <w:sz w:val="21"/>
                <w:szCs w:val="21"/>
                <w:u w:val="none"/>
                <w:lang w:val="en-US" w:eastAsia="zh-CN" w:bidi="ar"/>
              </w:rPr>
              <w:t>)</w:t>
            </w:r>
          </w:p>
        </w:tc>
        <w:tc>
          <w:tcPr>
            <w:tcW w:w="1275" w:type="dxa"/>
            <w:tcBorders>
              <w:tl2br w:val="nil"/>
              <w:tr2bl w:val="nil"/>
            </w:tcBorders>
            <w:shd w:val="clear" w:color="auto" w:fill="auto"/>
            <w:noWrap/>
            <w:vAlign w:val="center"/>
          </w:tcPr>
          <w:p w14:paraId="7EBA5DF8">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1"/>
                <w:szCs w:val="21"/>
                <w:u w:val="none"/>
                <w:lang w:val="en-US" w:eastAsia="zh-CN" w:bidi="ar"/>
              </w:rPr>
              <w:t>评价标准(mg/m</w:t>
            </w:r>
            <w:r>
              <w:rPr>
                <w:rFonts w:hint="default" w:ascii="Times New Roman" w:hAnsi="Times New Roman" w:eastAsia="宋体" w:cs="Times New Roman"/>
                <w:i w:val="0"/>
                <w:iCs w:val="0"/>
                <w:color w:val="0000FF"/>
                <w:kern w:val="0"/>
                <w:sz w:val="21"/>
                <w:szCs w:val="21"/>
                <w:u w:val="none"/>
                <w:vertAlign w:val="superscript"/>
                <w:lang w:val="en-US" w:eastAsia="zh-CN" w:bidi="ar"/>
              </w:rPr>
              <w:t>3</w:t>
            </w:r>
            <w:r>
              <w:rPr>
                <w:rFonts w:hint="default" w:ascii="Times New Roman" w:hAnsi="Times New Roman" w:eastAsia="宋体" w:cs="Times New Roman"/>
                <w:i w:val="0"/>
                <w:iCs w:val="0"/>
                <w:color w:val="0000FF"/>
                <w:kern w:val="0"/>
                <w:sz w:val="21"/>
                <w:szCs w:val="21"/>
                <w:u w:val="none"/>
                <w:lang w:val="en-US" w:eastAsia="zh-CN" w:bidi="ar"/>
              </w:rPr>
              <w:t>)</w:t>
            </w:r>
          </w:p>
        </w:tc>
        <w:tc>
          <w:tcPr>
            <w:tcW w:w="1485" w:type="dxa"/>
            <w:tcBorders>
              <w:tl2br w:val="nil"/>
              <w:tr2bl w:val="nil"/>
            </w:tcBorders>
            <w:shd w:val="clear" w:color="auto" w:fill="auto"/>
            <w:noWrap/>
            <w:vAlign w:val="center"/>
          </w:tcPr>
          <w:p w14:paraId="246C2BE6">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1"/>
                <w:szCs w:val="21"/>
                <w:u w:val="none"/>
                <w:lang w:val="en-US" w:eastAsia="zh-CN" w:bidi="ar"/>
              </w:rPr>
              <w:t>占标率%(叠加背景以后)</w:t>
            </w:r>
          </w:p>
        </w:tc>
        <w:tc>
          <w:tcPr>
            <w:tcW w:w="912" w:type="dxa"/>
            <w:tcBorders>
              <w:tl2br w:val="nil"/>
              <w:tr2bl w:val="nil"/>
            </w:tcBorders>
            <w:shd w:val="clear" w:color="auto" w:fill="auto"/>
            <w:noWrap/>
            <w:vAlign w:val="center"/>
          </w:tcPr>
          <w:p w14:paraId="734D5880">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1"/>
                <w:szCs w:val="21"/>
                <w:u w:val="none"/>
                <w:lang w:val="en-US" w:eastAsia="zh-CN" w:bidi="ar"/>
              </w:rPr>
              <w:t>是否超标</w:t>
            </w:r>
          </w:p>
        </w:tc>
      </w:tr>
      <w:tr w14:paraId="5DC0A60B">
        <w:tblPrEx>
          <w:tblBorders>
            <w:top w:val="thinThickSmallGap" w:color="auto" w:sz="12" w:space="0"/>
            <w:left w:val="none" w:color="auto" w:sz="0" w:space="0"/>
            <w:bottom w:val="thinThick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528" w:type="dxa"/>
            <w:tcBorders>
              <w:tl2br w:val="nil"/>
              <w:tr2bl w:val="nil"/>
            </w:tcBorders>
            <w:shd w:val="clear" w:color="auto" w:fill="auto"/>
            <w:noWrap/>
            <w:vAlign w:val="center"/>
          </w:tcPr>
          <w:p w14:paraId="17423C8A">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1"/>
                <w:szCs w:val="21"/>
                <w:u w:val="none"/>
                <w:lang w:val="en-US" w:eastAsia="zh-CN" w:bidi="ar"/>
              </w:rPr>
              <w:t>1</w:t>
            </w:r>
          </w:p>
        </w:tc>
        <w:tc>
          <w:tcPr>
            <w:tcW w:w="1142" w:type="dxa"/>
            <w:tcBorders>
              <w:tl2br w:val="nil"/>
              <w:tr2bl w:val="nil"/>
            </w:tcBorders>
            <w:shd w:val="clear" w:color="auto" w:fill="auto"/>
            <w:noWrap/>
            <w:vAlign w:val="center"/>
          </w:tcPr>
          <w:p w14:paraId="6E43AC29">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1"/>
                <w:szCs w:val="21"/>
                <w:u w:val="none"/>
                <w:lang w:val="en-US" w:eastAsia="zh-CN" w:bidi="ar"/>
              </w:rPr>
              <w:t>祁家堡</w:t>
            </w:r>
          </w:p>
        </w:tc>
        <w:tc>
          <w:tcPr>
            <w:tcW w:w="1620" w:type="dxa"/>
            <w:tcBorders>
              <w:tl2br w:val="nil"/>
              <w:tr2bl w:val="nil"/>
            </w:tcBorders>
            <w:shd w:val="clear" w:color="auto" w:fill="auto"/>
            <w:noWrap/>
            <w:vAlign w:val="center"/>
          </w:tcPr>
          <w:p w14:paraId="4527BB9A">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1"/>
                <w:szCs w:val="21"/>
                <w:u w:val="none"/>
                <w:lang w:val="en-US" w:eastAsia="zh-CN" w:bidi="ar"/>
              </w:rPr>
              <w:t>85,261</w:t>
            </w:r>
          </w:p>
        </w:tc>
        <w:tc>
          <w:tcPr>
            <w:tcW w:w="1378" w:type="dxa"/>
            <w:tcBorders>
              <w:tl2br w:val="nil"/>
              <w:tr2bl w:val="nil"/>
            </w:tcBorders>
            <w:shd w:val="clear" w:color="auto" w:fill="auto"/>
            <w:noWrap/>
            <w:vAlign w:val="center"/>
          </w:tcPr>
          <w:p w14:paraId="707AB300">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1"/>
                <w:szCs w:val="21"/>
                <w:u w:val="none"/>
                <w:lang w:val="en-US" w:eastAsia="zh-CN" w:bidi="ar"/>
              </w:rPr>
              <w:t>1小时</w:t>
            </w:r>
          </w:p>
        </w:tc>
        <w:tc>
          <w:tcPr>
            <w:tcW w:w="1260" w:type="dxa"/>
            <w:tcBorders>
              <w:tl2br w:val="nil"/>
              <w:tr2bl w:val="nil"/>
            </w:tcBorders>
            <w:shd w:val="clear" w:color="auto" w:fill="auto"/>
            <w:noWrap/>
            <w:vAlign w:val="center"/>
          </w:tcPr>
          <w:p w14:paraId="73D7D8C6">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5.74E-06</w:t>
            </w:r>
          </w:p>
        </w:tc>
        <w:tc>
          <w:tcPr>
            <w:tcW w:w="1770" w:type="dxa"/>
            <w:tcBorders>
              <w:tl2br w:val="nil"/>
              <w:tr2bl w:val="nil"/>
            </w:tcBorders>
            <w:shd w:val="clear" w:color="auto" w:fill="auto"/>
            <w:noWrap/>
            <w:vAlign w:val="center"/>
          </w:tcPr>
          <w:p w14:paraId="657F71B2">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24091216</w:t>
            </w:r>
          </w:p>
        </w:tc>
        <w:tc>
          <w:tcPr>
            <w:tcW w:w="1140" w:type="dxa"/>
            <w:tcBorders>
              <w:tl2br w:val="nil"/>
              <w:tr2bl w:val="nil"/>
            </w:tcBorders>
            <w:shd w:val="clear" w:color="auto" w:fill="auto"/>
            <w:noWrap/>
            <w:vAlign w:val="center"/>
          </w:tcPr>
          <w:p w14:paraId="61A44EC3">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1.55E-05</w:t>
            </w:r>
          </w:p>
        </w:tc>
        <w:tc>
          <w:tcPr>
            <w:tcW w:w="1605" w:type="dxa"/>
            <w:tcBorders>
              <w:tl2br w:val="nil"/>
              <w:tr2bl w:val="nil"/>
            </w:tcBorders>
            <w:shd w:val="clear" w:color="auto" w:fill="auto"/>
            <w:noWrap/>
            <w:vAlign w:val="center"/>
          </w:tcPr>
          <w:p w14:paraId="242C0857">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2.12E-05</w:t>
            </w:r>
          </w:p>
        </w:tc>
        <w:tc>
          <w:tcPr>
            <w:tcW w:w="1275" w:type="dxa"/>
            <w:tcBorders>
              <w:tl2br w:val="nil"/>
              <w:tr2bl w:val="nil"/>
            </w:tcBorders>
            <w:shd w:val="clear" w:color="auto" w:fill="auto"/>
            <w:noWrap/>
            <w:vAlign w:val="center"/>
          </w:tcPr>
          <w:p w14:paraId="4143F2F3">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3.60E-03</w:t>
            </w:r>
          </w:p>
        </w:tc>
        <w:tc>
          <w:tcPr>
            <w:tcW w:w="1485" w:type="dxa"/>
            <w:tcBorders>
              <w:tl2br w:val="nil"/>
              <w:tr2bl w:val="nil"/>
            </w:tcBorders>
            <w:shd w:val="clear" w:color="auto" w:fill="auto"/>
            <w:noWrap/>
            <w:vAlign w:val="center"/>
          </w:tcPr>
          <w:p w14:paraId="1E05B74D">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0.59</w:t>
            </w:r>
          </w:p>
        </w:tc>
        <w:tc>
          <w:tcPr>
            <w:tcW w:w="912" w:type="dxa"/>
            <w:tcBorders>
              <w:tl2br w:val="nil"/>
              <w:tr2bl w:val="nil"/>
            </w:tcBorders>
            <w:shd w:val="clear" w:color="auto" w:fill="auto"/>
            <w:noWrap/>
            <w:vAlign w:val="center"/>
          </w:tcPr>
          <w:p w14:paraId="420E58D7">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达标</w:t>
            </w:r>
          </w:p>
        </w:tc>
      </w:tr>
      <w:tr w14:paraId="611A6E96">
        <w:tblPrEx>
          <w:tblBorders>
            <w:top w:val="thinThickSmallGap" w:color="auto" w:sz="12" w:space="0"/>
            <w:left w:val="none" w:color="auto" w:sz="0" w:space="0"/>
            <w:bottom w:val="thinThickSmallGap" w:color="auto" w:sz="12" w:space="0"/>
            <w:right w:val="none" w:color="auto" w:sz="0"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 w:hRule="atLeast"/>
          <w:jc w:val="center"/>
        </w:trPr>
        <w:tc>
          <w:tcPr>
            <w:tcW w:w="528" w:type="dxa"/>
            <w:tcBorders>
              <w:tl2br w:val="nil"/>
              <w:tr2bl w:val="nil"/>
            </w:tcBorders>
            <w:shd w:val="clear" w:color="auto" w:fill="auto"/>
            <w:noWrap/>
            <w:vAlign w:val="center"/>
          </w:tcPr>
          <w:p w14:paraId="42F8EB4C">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1"/>
                <w:szCs w:val="21"/>
                <w:u w:val="none"/>
                <w:lang w:val="en-US" w:eastAsia="zh-CN" w:bidi="ar"/>
              </w:rPr>
              <w:t>2</w:t>
            </w:r>
          </w:p>
        </w:tc>
        <w:tc>
          <w:tcPr>
            <w:tcW w:w="1142" w:type="dxa"/>
            <w:tcBorders>
              <w:tl2br w:val="nil"/>
              <w:tr2bl w:val="nil"/>
            </w:tcBorders>
            <w:shd w:val="clear" w:color="auto" w:fill="auto"/>
            <w:noWrap/>
            <w:vAlign w:val="center"/>
          </w:tcPr>
          <w:p w14:paraId="57413F04">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1"/>
                <w:szCs w:val="21"/>
                <w:u w:val="none"/>
                <w:lang w:val="en-US" w:eastAsia="zh-CN" w:bidi="ar"/>
              </w:rPr>
              <w:t>部队</w:t>
            </w:r>
          </w:p>
        </w:tc>
        <w:tc>
          <w:tcPr>
            <w:tcW w:w="1620" w:type="dxa"/>
            <w:tcBorders>
              <w:tl2br w:val="nil"/>
              <w:tr2bl w:val="nil"/>
            </w:tcBorders>
            <w:shd w:val="clear" w:color="auto" w:fill="auto"/>
            <w:noWrap/>
            <w:vAlign w:val="center"/>
          </w:tcPr>
          <w:p w14:paraId="1CDCDC70">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1"/>
                <w:szCs w:val="21"/>
                <w:u w:val="none"/>
                <w:lang w:val="en-US" w:eastAsia="zh-CN" w:bidi="ar"/>
              </w:rPr>
              <w:t>-179,10</w:t>
            </w:r>
          </w:p>
        </w:tc>
        <w:tc>
          <w:tcPr>
            <w:tcW w:w="1378" w:type="dxa"/>
            <w:tcBorders>
              <w:tl2br w:val="nil"/>
              <w:tr2bl w:val="nil"/>
            </w:tcBorders>
            <w:shd w:val="clear" w:color="auto" w:fill="auto"/>
            <w:noWrap/>
            <w:vAlign w:val="center"/>
          </w:tcPr>
          <w:p w14:paraId="11F206E1">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1"/>
                <w:szCs w:val="21"/>
                <w:u w:val="none"/>
                <w:lang w:val="en-US" w:eastAsia="zh-CN" w:bidi="ar"/>
              </w:rPr>
              <w:t>1小时</w:t>
            </w:r>
          </w:p>
        </w:tc>
        <w:tc>
          <w:tcPr>
            <w:tcW w:w="1260" w:type="dxa"/>
            <w:tcBorders>
              <w:tl2br w:val="nil"/>
              <w:tr2bl w:val="nil"/>
            </w:tcBorders>
            <w:shd w:val="clear" w:color="auto" w:fill="auto"/>
            <w:noWrap/>
            <w:vAlign w:val="center"/>
          </w:tcPr>
          <w:p w14:paraId="587A004A">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5.00E-06</w:t>
            </w:r>
          </w:p>
        </w:tc>
        <w:tc>
          <w:tcPr>
            <w:tcW w:w="1770" w:type="dxa"/>
            <w:tcBorders>
              <w:tl2br w:val="nil"/>
              <w:tr2bl w:val="nil"/>
            </w:tcBorders>
            <w:shd w:val="clear" w:color="auto" w:fill="auto"/>
            <w:noWrap/>
            <w:vAlign w:val="center"/>
          </w:tcPr>
          <w:p w14:paraId="7B23F7E7">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24042712</w:t>
            </w:r>
          </w:p>
        </w:tc>
        <w:tc>
          <w:tcPr>
            <w:tcW w:w="1140" w:type="dxa"/>
            <w:tcBorders>
              <w:tl2br w:val="nil"/>
              <w:tr2bl w:val="nil"/>
            </w:tcBorders>
            <w:shd w:val="clear" w:color="auto" w:fill="auto"/>
            <w:noWrap/>
            <w:vAlign w:val="center"/>
          </w:tcPr>
          <w:p w14:paraId="1E411FB0">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1.55E-05</w:t>
            </w:r>
          </w:p>
        </w:tc>
        <w:tc>
          <w:tcPr>
            <w:tcW w:w="1605" w:type="dxa"/>
            <w:tcBorders>
              <w:tl2br w:val="nil"/>
              <w:tr2bl w:val="nil"/>
            </w:tcBorders>
            <w:shd w:val="clear" w:color="auto" w:fill="auto"/>
            <w:noWrap/>
            <w:vAlign w:val="center"/>
          </w:tcPr>
          <w:p w14:paraId="5BD44B8B">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2.05E-05</w:t>
            </w:r>
          </w:p>
        </w:tc>
        <w:tc>
          <w:tcPr>
            <w:tcW w:w="1275" w:type="dxa"/>
            <w:tcBorders>
              <w:tl2br w:val="nil"/>
              <w:tr2bl w:val="nil"/>
            </w:tcBorders>
            <w:shd w:val="clear" w:color="auto" w:fill="auto"/>
            <w:noWrap/>
            <w:vAlign w:val="center"/>
          </w:tcPr>
          <w:p w14:paraId="059E8848">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3.60E-03</w:t>
            </w:r>
          </w:p>
        </w:tc>
        <w:tc>
          <w:tcPr>
            <w:tcW w:w="1485" w:type="dxa"/>
            <w:tcBorders>
              <w:tl2br w:val="nil"/>
              <w:tr2bl w:val="nil"/>
            </w:tcBorders>
            <w:shd w:val="clear" w:color="auto" w:fill="auto"/>
            <w:noWrap/>
            <w:vAlign w:val="center"/>
          </w:tcPr>
          <w:p w14:paraId="5B6D41CB">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0.57</w:t>
            </w:r>
          </w:p>
        </w:tc>
        <w:tc>
          <w:tcPr>
            <w:tcW w:w="912" w:type="dxa"/>
            <w:tcBorders>
              <w:tl2br w:val="nil"/>
              <w:tr2bl w:val="nil"/>
            </w:tcBorders>
            <w:shd w:val="clear" w:color="auto" w:fill="auto"/>
            <w:noWrap/>
            <w:vAlign w:val="center"/>
          </w:tcPr>
          <w:p w14:paraId="67BADC23">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达标</w:t>
            </w:r>
          </w:p>
        </w:tc>
      </w:tr>
      <w:tr w14:paraId="2D953A14">
        <w:tblPrEx>
          <w:tblBorders>
            <w:top w:val="thinThickSmallGap" w:color="auto" w:sz="12" w:space="0"/>
            <w:left w:val="none" w:color="auto" w:sz="0" w:space="0"/>
            <w:bottom w:val="thinThick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43" w:hRule="atLeast"/>
          <w:jc w:val="center"/>
        </w:trPr>
        <w:tc>
          <w:tcPr>
            <w:tcW w:w="528" w:type="dxa"/>
            <w:tcBorders>
              <w:tl2br w:val="nil"/>
              <w:tr2bl w:val="nil"/>
            </w:tcBorders>
            <w:shd w:val="clear" w:color="auto" w:fill="auto"/>
            <w:noWrap/>
            <w:vAlign w:val="center"/>
          </w:tcPr>
          <w:p w14:paraId="27F35FCF">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1"/>
                <w:szCs w:val="21"/>
                <w:u w:val="none"/>
                <w:lang w:val="en-US" w:eastAsia="zh-CN" w:bidi="ar"/>
              </w:rPr>
              <w:t>3</w:t>
            </w:r>
          </w:p>
        </w:tc>
        <w:tc>
          <w:tcPr>
            <w:tcW w:w="1142" w:type="dxa"/>
            <w:tcBorders>
              <w:tl2br w:val="nil"/>
              <w:tr2bl w:val="nil"/>
            </w:tcBorders>
            <w:shd w:val="clear" w:color="auto" w:fill="auto"/>
            <w:noWrap/>
            <w:vAlign w:val="center"/>
          </w:tcPr>
          <w:p w14:paraId="4A420349">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1"/>
                <w:szCs w:val="21"/>
                <w:u w:val="none"/>
                <w:lang w:val="en-US" w:eastAsia="zh-CN" w:bidi="ar"/>
              </w:rPr>
              <w:t>老虎沟</w:t>
            </w:r>
          </w:p>
        </w:tc>
        <w:tc>
          <w:tcPr>
            <w:tcW w:w="1620" w:type="dxa"/>
            <w:tcBorders>
              <w:tl2br w:val="nil"/>
              <w:tr2bl w:val="nil"/>
            </w:tcBorders>
            <w:shd w:val="clear" w:color="auto" w:fill="auto"/>
            <w:noWrap/>
            <w:vAlign w:val="center"/>
          </w:tcPr>
          <w:p w14:paraId="288EACEE">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1"/>
                <w:szCs w:val="21"/>
                <w:u w:val="none"/>
                <w:lang w:val="en-US" w:eastAsia="zh-CN" w:bidi="ar"/>
              </w:rPr>
              <w:t>-1526,736</w:t>
            </w:r>
          </w:p>
        </w:tc>
        <w:tc>
          <w:tcPr>
            <w:tcW w:w="1378" w:type="dxa"/>
            <w:tcBorders>
              <w:tl2br w:val="nil"/>
              <w:tr2bl w:val="nil"/>
            </w:tcBorders>
            <w:shd w:val="clear" w:color="auto" w:fill="auto"/>
            <w:noWrap/>
            <w:vAlign w:val="center"/>
          </w:tcPr>
          <w:p w14:paraId="73EBA315">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1"/>
                <w:szCs w:val="21"/>
                <w:u w:val="none"/>
                <w:lang w:val="en-US" w:eastAsia="zh-CN" w:bidi="ar"/>
              </w:rPr>
              <w:t>1小时</w:t>
            </w:r>
          </w:p>
        </w:tc>
        <w:tc>
          <w:tcPr>
            <w:tcW w:w="1260" w:type="dxa"/>
            <w:tcBorders>
              <w:tl2br w:val="nil"/>
              <w:tr2bl w:val="nil"/>
            </w:tcBorders>
            <w:shd w:val="clear" w:color="auto" w:fill="auto"/>
            <w:noWrap/>
            <w:vAlign w:val="center"/>
          </w:tcPr>
          <w:p w14:paraId="7D4E518D">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5.09E-06</w:t>
            </w:r>
          </w:p>
        </w:tc>
        <w:tc>
          <w:tcPr>
            <w:tcW w:w="1770" w:type="dxa"/>
            <w:tcBorders>
              <w:tl2br w:val="nil"/>
              <w:tr2bl w:val="nil"/>
            </w:tcBorders>
            <w:shd w:val="clear" w:color="auto" w:fill="auto"/>
            <w:noWrap/>
            <w:vAlign w:val="center"/>
          </w:tcPr>
          <w:p w14:paraId="4291B720">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24021011</w:t>
            </w:r>
          </w:p>
        </w:tc>
        <w:tc>
          <w:tcPr>
            <w:tcW w:w="1140" w:type="dxa"/>
            <w:tcBorders>
              <w:tl2br w:val="nil"/>
              <w:tr2bl w:val="nil"/>
            </w:tcBorders>
            <w:shd w:val="clear" w:color="auto" w:fill="auto"/>
            <w:noWrap/>
            <w:vAlign w:val="center"/>
          </w:tcPr>
          <w:p w14:paraId="0F1BCA36">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1.55E-05</w:t>
            </w:r>
          </w:p>
        </w:tc>
        <w:tc>
          <w:tcPr>
            <w:tcW w:w="1605" w:type="dxa"/>
            <w:tcBorders>
              <w:tl2br w:val="nil"/>
              <w:tr2bl w:val="nil"/>
            </w:tcBorders>
            <w:shd w:val="clear" w:color="auto" w:fill="auto"/>
            <w:noWrap/>
            <w:vAlign w:val="center"/>
          </w:tcPr>
          <w:p w14:paraId="0A23661C">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2.06E-05</w:t>
            </w:r>
          </w:p>
        </w:tc>
        <w:tc>
          <w:tcPr>
            <w:tcW w:w="1275" w:type="dxa"/>
            <w:tcBorders>
              <w:tl2br w:val="nil"/>
              <w:tr2bl w:val="nil"/>
            </w:tcBorders>
            <w:shd w:val="clear" w:color="auto" w:fill="auto"/>
            <w:noWrap/>
            <w:vAlign w:val="center"/>
          </w:tcPr>
          <w:p w14:paraId="22497DDD">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3.60E-03</w:t>
            </w:r>
          </w:p>
        </w:tc>
        <w:tc>
          <w:tcPr>
            <w:tcW w:w="1485" w:type="dxa"/>
            <w:tcBorders>
              <w:tl2br w:val="nil"/>
              <w:tr2bl w:val="nil"/>
            </w:tcBorders>
            <w:shd w:val="clear" w:color="auto" w:fill="auto"/>
            <w:noWrap/>
            <w:vAlign w:val="center"/>
          </w:tcPr>
          <w:p w14:paraId="463E75C1">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0.57</w:t>
            </w:r>
          </w:p>
        </w:tc>
        <w:tc>
          <w:tcPr>
            <w:tcW w:w="912" w:type="dxa"/>
            <w:tcBorders>
              <w:tl2br w:val="nil"/>
              <w:tr2bl w:val="nil"/>
            </w:tcBorders>
            <w:shd w:val="clear" w:color="auto" w:fill="auto"/>
            <w:noWrap/>
            <w:vAlign w:val="center"/>
          </w:tcPr>
          <w:p w14:paraId="16572312">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达标</w:t>
            </w:r>
          </w:p>
        </w:tc>
      </w:tr>
      <w:tr w14:paraId="00521622">
        <w:tblPrEx>
          <w:tblBorders>
            <w:top w:val="thinThickSmallGap" w:color="auto" w:sz="12" w:space="0"/>
            <w:left w:val="none" w:color="auto" w:sz="0" w:space="0"/>
            <w:bottom w:val="thinThickSmallGap" w:color="auto" w:sz="12" w:space="0"/>
            <w:right w:val="none" w:color="auto" w:sz="0"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 w:hRule="atLeast"/>
          <w:jc w:val="center"/>
        </w:trPr>
        <w:tc>
          <w:tcPr>
            <w:tcW w:w="528" w:type="dxa"/>
            <w:tcBorders>
              <w:tl2br w:val="nil"/>
              <w:tr2bl w:val="nil"/>
            </w:tcBorders>
            <w:shd w:val="clear" w:color="auto" w:fill="auto"/>
            <w:noWrap/>
            <w:vAlign w:val="center"/>
          </w:tcPr>
          <w:p w14:paraId="75C25844">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1"/>
                <w:szCs w:val="21"/>
                <w:u w:val="none"/>
                <w:lang w:val="en-US" w:eastAsia="zh-CN" w:bidi="ar"/>
              </w:rPr>
              <w:t>4</w:t>
            </w:r>
          </w:p>
        </w:tc>
        <w:tc>
          <w:tcPr>
            <w:tcW w:w="1142" w:type="dxa"/>
            <w:tcBorders>
              <w:tl2br w:val="nil"/>
              <w:tr2bl w:val="nil"/>
            </w:tcBorders>
            <w:shd w:val="clear" w:color="auto" w:fill="auto"/>
            <w:noWrap/>
            <w:vAlign w:val="center"/>
          </w:tcPr>
          <w:p w14:paraId="2141105A">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1"/>
                <w:szCs w:val="21"/>
                <w:u w:val="none"/>
                <w:lang w:val="en-US" w:eastAsia="zh-CN" w:bidi="ar"/>
              </w:rPr>
              <w:t>三道沟</w:t>
            </w:r>
          </w:p>
        </w:tc>
        <w:tc>
          <w:tcPr>
            <w:tcW w:w="1620" w:type="dxa"/>
            <w:tcBorders>
              <w:tl2br w:val="nil"/>
              <w:tr2bl w:val="nil"/>
            </w:tcBorders>
            <w:shd w:val="clear" w:color="auto" w:fill="auto"/>
            <w:noWrap/>
            <w:vAlign w:val="center"/>
          </w:tcPr>
          <w:p w14:paraId="28DB9622">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1"/>
                <w:szCs w:val="21"/>
                <w:u w:val="none"/>
                <w:lang w:val="en-US" w:eastAsia="zh-CN" w:bidi="ar"/>
              </w:rPr>
              <w:t>910,-1326</w:t>
            </w:r>
          </w:p>
        </w:tc>
        <w:tc>
          <w:tcPr>
            <w:tcW w:w="1378" w:type="dxa"/>
            <w:tcBorders>
              <w:tl2br w:val="nil"/>
              <w:tr2bl w:val="nil"/>
            </w:tcBorders>
            <w:shd w:val="clear" w:color="auto" w:fill="auto"/>
            <w:noWrap/>
            <w:vAlign w:val="center"/>
          </w:tcPr>
          <w:p w14:paraId="0846A1BC">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1"/>
                <w:szCs w:val="21"/>
                <w:u w:val="none"/>
                <w:lang w:val="en-US" w:eastAsia="zh-CN" w:bidi="ar"/>
              </w:rPr>
              <w:t>1小时</w:t>
            </w:r>
          </w:p>
        </w:tc>
        <w:tc>
          <w:tcPr>
            <w:tcW w:w="1260" w:type="dxa"/>
            <w:tcBorders>
              <w:tl2br w:val="nil"/>
              <w:tr2bl w:val="nil"/>
            </w:tcBorders>
            <w:shd w:val="clear" w:color="auto" w:fill="auto"/>
            <w:noWrap/>
            <w:vAlign w:val="center"/>
          </w:tcPr>
          <w:p w14:paraId="5CB60A98">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7.84E-06</w:t>
            </w:r>
          </w:p>
        </w:tc>
        <w:tc>
          <w:tcPr>
            <w:tcW w:w="1770" w:type="dxa"/>
            <w:tcBorders>
              <w:tl2br w:val="nil"/>
              <w:tr2bl w:val="nil"/>
            </w:tcBorders>
            <w:shd w:val="clear" w:color="auto" w:fill="auto"/>
            <w:noWrap/>
            <w:vAlign w:val="center"/>
          </w:tcPr>
          <w:p w14:paraId="66CB9F4B">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24122012</w:t>
            </w:r>
          </w:p>
        </w:tc>
        <w:tc>
          <w:tcPr>
            <w:tcW w:w="1140" w:type="dxa"/>
            <w:tcBorders>
              <w:tl2br w:val="nil"/>
              <w:tr2bl w:val="nil"/>
            </w:tcBorders>
            <w:shd w:val="clear" w:color="auto" w:fill="auto"/>
            <w:noWrap/>
            <w:vAlign w:val="center"/>
          </w:tcPr>
          <w:p w14:paraId="0E173F9B">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1.55E-05</w:t>
            </w:r>
          </w:p>
        </w:tc>
        <w:tc>
          <w:tcPr>
            <w:tcW w:w="1605" w:type="dxa"/>
            <w:tcBorders>
              <w:tl2br w:val="nil"/>
              <w:tr2bl w:val="nil"/>
            </w:tcBorders>
            <w:shd w:val="clear" w:color="auto" w:fill="auto"/>
            <w:noWrap/>
            <w:vAlign w:val="center"/>
          </w:tcPr>
          <w:p w14:paraId="22CACF46">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2.33E-05</w:t>
            </w:r>
          </w:p>
        </w:tc>
        <w:tc>
          <w:tcPr>
            <w:tcW w:w="1275" w:type="dxa"/>
            <w:tcBorders>
              <w:tl2br w:val="nil"/>
              <w:tr2bl w:val="nil"/>
            </w:tcBorders>
            <w:shd w:val="clear" w:color="auto" w:fill="auto"/>
            <w:noWrap/>
            <w:vAlign w:val="center"/>
          </w:tcPr>
          <w:p w14:paraId="1592AB7D">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3.60E-03</w:t>
            </w:r>
          </w:p>
        </w:tc>
        <w:tc>
          <w:tcPr>
            <w:tcW w:w="1485" w:type="dxa"/>
            <w:tcBorders>
              <w:tl2br w:val="nil"/>
              <w:tr2bl w:val="nil"/>
            </w:tcBorders>
            <w:shd w:val="clear" w:color="auto" w:fill="auto"/>
            <w:noWrap/>
            <w:vAlign w:val="center"/>
          </w:tcPr>
          <w:p w14:paraId="2A7464DA">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0.65</w:t>
            </w:r>
          </w:p>
        </w:tc>
        <w:tc>
          <w:tcPr>
            <w:tcW w:w="912" w:type="dxa"/>
            <w:tcBorders>
              <w:tl2br w:val="nil"/>
              <w:tr2bl w:val="nil"/>
            </w:tcBorders>
            <w:shd w:val="clear" w:color="auto" w:fill="auto"/>
            <w:noWrap/>
            <w:vAlign w:val="center"/>
          </w:tcPr>
          <w:p w14:paraId="23124C38">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达标</w:t>
            </w:r>
          </w:p>
        </w:tc>
      </w:tr>
      <w:tr w14:paraId="4A25C987">
        <w:tblPrEx>
          <w:tblBorders>
            <w:top w:val="thinThickSmallGap" w:color="auto" w:sz="12" w:space="0"/>
            <w:left w:val="none" w:color="auto" w:sz="0" w:space="0"/>
            <w:bottom w:val="thinThickSmallGap" w:color="auto" w:sz="12" w:space="0"/>
            <w:right w:val="none" w:color="auto" w:sz="0"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 w:hRule="atLeast"/>
          <w:jc w:val="center"/>
        </w:trPr>
        <w:tc>
          <w:tcPr>
            <w:tcW w:w="528" w:type="dxa"/>
            <w:tcBorders>
              <w:tl2br w:val="nil"/>
              <w:tr2bl w:val="nil"/>
            </w:tcBorders>
            <w:shd w:val="clear" w:color="auto" w:fill="auto"/>
            <w:noWrap/>
            <w:vAlign w:val="center"/>
          </w:tcPr>
          <w:p w14:paraId="3D1057E1">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1"/>
                <w:szCs w:val="21"/>
                <w:u w:val="none"/>
                <w:lang w:val="en-US" w:eastAsia="zh-CN" w:bidi="ar"/>
              </w:rPr>
              <w:t>5</w:t>
            </w:r>
          </w:p>
        </w:tc>
        <w:tc>
          <w:tcPr>
            <w:tcW w:w="1142" w:type="dxa"/>
            <w:tcBorders>
              <w:tl2br w:val="nil"/>
              <w:tr2bl w:val="nil"/>
            </w:tcBorders>
            <w:shd w:val="clear" w:color="auto" w:fill="auto"/>
            <w:noWrap/>
            <w:vAlign w:val="center"/>
          </w:tcPr>
          <w:p w14:paraId="232ED097">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1"/>
                <w:szCs w:val="21"/>
                <w:u w:val="none"/>
                <w:lang w:val="en-US" w:eastAsia="zh-CN" w:bidi="ar"/>
              </w:rPr>
              <w:t>四道河子</w:t>
            </w:r>
          </w:p>
        </w:tc>
        <w:tc>
          <w:tcPr>
            <w:tcW w:w="1620" w:type="dxa"/>
            <w:tcBorders>
              <w:tl2br w:val="nil"/>
              <w:tr2bl w:val="nil"/>
            </w:tcBorders>
            <w:shd w:val="clear" w:color="auto" w:fill="auto"/>
            <w:noWrap/>
            <w:vAlign w:val="center"/>
          </w:tcPr>
          <w:p w14:paraId="7F45D8C6">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1"/>
                <w:szCs w:val="21"/>
                <w:u w:val="none"/>
                <w:lang w:val="en-US" w:eastAsia="zh-CN" w:bidi="ar"/>
              </w:rPr>
              <w:t>430,1123</w:t>
            </w:r>
          </w:p>
        </w:tc>
        <w:tc>
          <w:tcPr>
            <w:tcW w:w="1378" w:type="dxa"/>
            <w:tcBorders>
              <w:tl2br w:val="nil"/>
              <w:tr2bl w:val="nil"/>
            </w:tcBorders>
            <w:shd w:val="clear" w:color="auto" w:fill="auto"/>
            <w:noWrap/>
            <w:vAlign w:val="center"/>
          </w:tcPr>
          <w:p w14:paraId="031DAEBA">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1"/>
                <w:szCs w:val="21"/>
                <w:u w:val="none"/>
                <w:lang w:val="en-US" w:eastAsia="zh-CN" w:bidi="ar"/>
              </w:rPr>
              <w:t>1小时</w:t>
            </w:r>
          </w:p>
        </w:tc>
        <w:tc>
          <w:tcPr>
            <w:tcW w:w="1260" w:type="dxa"/>
            <w:tcBorders>
              <w:tl2br w:val="nil"/>
              <w:tr2bl w:val="nil"/>
            </w:tcBorders>
            <w:shd w:val="clear" w:color="auto" w:fill="auto"/>
            <w:noWrap/>
            <w:vAlign w:val="center"/>
          </w:tcPr>
          <w:p w14:paraId="7D0B7C10">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6.13E-06</w:t>
            </w:r>
          </w:p>
        </w:tc>
        <w:tc>
          <w:tcPr>
            <w:tcW w:w="1770" w:type="dxa"/>
            <w:tcBorders>
              <w:tl2br w:val="nil"/>
              <w:tr2bl w:val="nil"/>
            </w:tcBorders>
            <w:shd w:val="clear" w:color="auto" w:fill="auto"/>
            <w:noWrap/>
            <w:vAlign w:val="center"/>
          </w:tcPr>
          <w:p w14:paraId="6643E116">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24060619</w:t>
            </w:r>
          </w:p>
        </w:tc>
        <w:tc>
          <w:tcPr>
            <w:tcW w:w="1140" w:type="dxa"/>
            <w:tcBorders>
              <w:tl2br w:val="nil"/>
              <w:tr2bl w:val="nil"/>
            </w:tcBorders>
            <w:shd w:val="clear" w:color="auto" w:fill="auto"/>
            <w:noWrap/>
            <w:vAlign w:val="center"/>
          </w:tcPr>
          <w:p w14:paraId="718EB83A">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1.55E-05</w:t>
            </w:r>
          </w:p>
        </w:tc>
        <w:tc>
          <w:tcPr>
            <w:tcW w:w="1605" w:type="dxa"/>
            <w:tcBorders>
              <w:tl2br w:val="nil"/>
              <w:tr2bl w:val="nil"/>
            </w:tcBorders>
            <w:shd w:val="clear" w:color="auto" w:fill="auto"/>
            <w:noWrap/>
            <w:vAlign w:val="center"/>
          </w:tcPr>
          <w:p w14:paraId="6118B332">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2.16E-05</w:t>
            </w:r>
          </w:p>
        </w:tc>
        <w:tc>
          <w:tcPr>
            <w:tcW w:w="1275" w:type="dxa"/>
            <w:tcBorders>
              <w:tl2br w:val="nil"/>
              <w:tr2bl w:val="nil"/>
            </w:tcBorders>
            <w:shd w:val="clear" w:color="auto" w:fill="auto"/>
            <w:noWrap/>
            <w:vAlign w:val="center"/>
          </w:tcPr>
          <w:p w14:paraId="2CD36109">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3.60E-03</w:t>
            </w:r>
          </w:p>
        </w:tc>
        <w:tc>
          <w:tcPr>
            <w:tcW w:w="1485" w:type="dxa"/>
            <w:tcBorders>
              <w:tl2br w:val="nil"/>
              <w:tr2bl w:val="nil"/>
            </w:tcBorders>
            <w:shd w:val="clear" w:color="auto" w:fill="auto"/>
            <w:noWrap/>
            <w:vAlign w:val="center"/>
          </w:tcPr>
          <w:p w14:paraId="53C70E7C">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0.6</w:t>
            </w:r>
          </w:p>
        </w:tc>
        <w:tc>
          <w:tcPr>
            <w:tcW w:w="912" w:type="dxa"/>
            <w:tcBorders>
              <w:tl2br w:val="nil"/>
              <w:tr2bl w:val="nil"/>
            </w:tcBorders>
            <w:shd w:val="clear" w:color="auto" w:fill="auto"/>
            <w:noWrap/>
            <w:vAlign w:val="center"/>
          </w:tcPr>
          <w:p w14:paraId="54979A4C">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达标</w:t>
            </w:r>
          </w:p>
        </w:tc>
      </w:tr>
      <w:tr w14:paraId="275F47C6">
        <w:tblPrEx>
          <w:tblBorders>
            <w:top w:val="thinThickSmallGap" w:color="auto" w:sz="12" w:space="0"/>
            <w:left w:val="none" w:color="auto" w:sz="0" w:space="0"/>
            <w:bottom w:val="thinThick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528" w:type="dxa"/>
            <w:tcBorders>
              <w:tl2br w:val="nil"/>
              <w:tr2bl w:val="nil"/>
            </w:tcBorders>
            <w:shd w:val="clear" w:color="auto" w:fill="auto"/>
            <w:noWrap/>
            <w:vAlign w:val="center"/>
          </w:tcPr>
          <w:p w14:paraId="2080A3DB">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1"/>
                <w:szCs w:val="21"/>
                <w:u w:val="none"/>
                <w:lang w:val="en-US" w:eastAsia="zh-CN" w:bidi="ar"/>
              </w:rPr>
              <w:t>6</w:t>
            </w:r>
          </w:p>
        </w:tc>
        <w:tc>
          <w:tcPr>
            <w:tcW w:w="1142" w:type="dxa"/>
            <w:tcBorders>
              <w:tl2br w:val="nil"/>
              <w:tr2bl w:val="nil"/>
            </w:tcBorders>
            <w:shd w:val="clear" w:color="auto" w:fill="auto"/>
            <w:noWrap/>
            <w:vAlign w:val="center"/>
          </w:tcPr>
          <w:p w14:paraId="63336BFC">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1"/>
                <w:szCs w:val="21"/>
                <w:u w:val="none"/>
                <w:lang w:val="en-US" w:eastAsia="zh-CN" w:bidi="ar"/>
              </w:rPr>
              <w:t>五道沟</w:t>
            </w:r>
          </w:p>
        </w:tc>
        <w:tc>
          <w:tcPr>
            <w:tcW w:w="1620" w:type="dxa"/>
            <w:tcBorders>
              <w:tl2br w:val="nil"/>
              <w:tr2bl w:val="nil"/>
            </w:tcBorders>
            <w:shd w:val="clear" w:color="auto" w:fill="auto"/>
            <w:noWrap/>
            <w:vAlign w:val="center"/>
          </w:tcPr>
          <w:p w14:paraId="2D69795C">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1"/>
                <w:szCs w:val="21"/>
                <w:u w:val="none"/>
                <w:lang w:val="en-US" w:eastAsia="zh-CN" w:bidi="ar"/>
              </w:rPr>
              <w:t>815,1679</w:t>
            </w:r>
          </w:p>
        </w:tc>
        <w:tc>
          <w:tcPr>
            <w:tcW w:w="1378" w:type="dxa"/>
            <w:tcBorders>
              <w:tl2br w:val="nil"/>
              <w:tr2bl w:val="nil"/>
            </w:tcBorders>
            <w:shd w:val="clear" w:color="auto" w:fill="auto"/>
            <w:noWrap/>
            <w:vAlign w:val="center"/>
          </w:tcPr>
          <w:p w14:paraId="40344204">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1"/>
                <w:szCs w:val="21"/>
                <w:u w:val="none"/>
                <w:lang w:val="en-US" w:eastAsia="zh-CN" w:bidi="ar"/>
              </w:rPr>
              <w:t>1小时</w:t>
            </w:r>
          </w:p>
        </w:tc>
        <w:tc>
          <w:tcPr>
            <w:tcW w:w="1260" w:type="dxa"/>
            <w:tcBorders>
              <w:tl2br w:val="nil"/>
              <w:tr2bl w:val="nil"/>
            </w:tcBorders>
            <w:shd w:val="clear" w:color="auto" w:fill="auto"/>
            <w:noWrap/>
            <w:vAlign w:val="center"/>
          </w:tcPr>
          <w:p w14:paraId="34A0BD72">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7.11E-06</w:t>
            </w:r>
          </w:p>
        </w:tc>
        <w:tc>
          <w:tcPr>
            <w:tcW w:w="1770" w:type="dxa"/>
            <w:tcBorders>
              <w:tl2br w:val="nil"/>
              <w:tr2bl w:val="nil"/>
            </w:tcBorders>
            <w:shd w:val="clear" w:color="auto" w:fill="auto"/>
            <w:noWrap/>
            <w:vAlign w:val="center"/>
          </w:tcPr>
          <w:p w14:paraId="25667CAE">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24011511</w:t>
            </w:r>
          </w:p>
        </w:tc>
        <w:tc>
          <w:tcPr>
            <w:tcW w:w="1140" w:type="dxa"/>
            <w:tcBorders>
              <w:tl2br w:val="nil"/>
              <w:tr2bl w:val="nil"/>
            </w:tcBorders>
            <w:shd w:val="clear" w:color="auto" w:fill="auto"/>
            <w:noWrap/>
            <w:vAlign w:val="center"/>
          </w:tcPr>
          <w:p w14:paraId="0D10F0D9">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1.55E-05</w:t>
            </w:r>
          </w:p>
        </w:tc>
        <w:tc>
          <w:tcPr>
            <w:tcW w:w="1605" w:type="dxa"/>
            <w:tcBorders>
              <w:tl2br w:val="nil"/>
              <w:tr2bl w:val="nil"/>
            </w:tcBorders>
            <w:shd w:val="clear" w:color="auto" w:fill="auto"/>
            <w:noWrap/>
            <w:vAlign w:val="center"/>
          </w:tcPr>
          <w:p w14:paraId="5D4645CD">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2.26E-05</w:t>
            </w:r>
          </w:p>
        </w:tc>
        <w:tc>
          <w:tcPr>
            <w:tcW w:w="1275" w:type="dxa"/>
            <w:tcBorders>
              <w:tl2br w:val="nil"/>
              <w:tr2bl w:val="nil"/>
            </w:tcBorders>
            <w:shd w:val="clear" w:color="auto" w:fill="auto"/>
            <w:noWrap/>
            <w:vAlign w:val="center"/>
          </w:tcPr>
          <w:p w14:paraId="7B686664">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3.60E-03</w:t>
            </w:r>
          </w:p>
        </w:tc>
        <w:tc>
          <w:tcPr>
            <w:tcW w:w="1485" w:type="dxa"/>
            <w:tcBorders>
              <w:tl2br w:val="nil"/>
              <w:tr2bl w:val="nil"/>
            </w:tcBorders>
            <w:shd w:val="clear" w:color="auto" w:fill="auto"/>
            <w:noWrap/>
            <w:vAlign w:val="center"/>
          </w:tcPr>
          <w:p w14:paraId="0D308349">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0.63</w:t>
            </w:r>
          </w:p>
        </w:tc>
        <w:tc>
          <w:tcPr>
            <w:tcW w:w="912" w:type="dxa"/>
            <w:tcBorders>
              <w:tl2br w:val="nil"/>
              <w:tr2bl w:val="nil"/>
            </w:tcBorders>
            <w:shd w:val="clear" w:color="auto" w:fill="auto"/>
            <w:noWrap/>
            <w:vAlign w:val="center"/>
          </w:tcPr>
          <w:p w14:paraId="3CF9056B">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达标</w:t>
            </w:r>
          </w:p>
        </w:tc>
      </w:tr>
      <w:tr w14:paraId="79DF29CA">
        <w:tblPrEx>
          <w:tblBorders>
            <w:top w:val="thinThickSmallGap" w:color="auto" w:sz="12" w:space="0"/>
            <w:left w:val="none" w:color="auto" w:sz="0" w:space="0"/>
            <w:bottom w:val="thinThick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528" w:type="dxa"/>
            <w:tcBorders>
              <w:tl2br w:val="nil"/>
              <w:tr2bl w:val="nil"/>
            </w:tcBorders>
            <w:shd w:val="clear" w:color="auto" w:fill="auto"/>
            <w:noWrap/>
            <w:vAlign w:val="center"/>
          </w:tcPr>
          <w:p w14:paraId="248E2797">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1"/>
                <w:szCs w:val="21"/>
                <w:u w:val="none"/>
                <w:lang w:val="en-US" w:eastAsia="zh-CN" w:bidi="ar"/>
              </w:rPr>
              <w:t>7</w:t>
            </w:r>
          </w:p>
        </w:tc>
        <w:tc>
          <w:tcPr>
            <w:tcW w:w="1142" w:type="dxa"/>
            <w:tcBorders>
              <w:tl2br w:val="nil"/>
              <w:tr2bl w:val="nil"/>
            </w:tcBorders>
            <w:shd w:val="clear" w:color="auto" w:fill="auto"/>
            <w:noWrap/>
            <w:vAlign w:val="center"/>
          </w:tcPr>
          <w:p w14:paraId="0137D520">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1"/>
                <w:szCs w:val="21"/>
                <w:u w:val="none"/>
                <w:lang w:val="en-US" w:eastAsia="zh-CN" w:bidi="ar"/>
              </w:rPr>
              <w:t>杨家堡子</w:t>
            </w:r>
          </w:p>
        </w:tc>
        <w:tc>
          <w:tcPr>
            <w:tcW w:w="1620" w:type="dxa"/>
            <w:tcBorders>
              <w:tl2br w:val="nil"/>
              <w:tr2bl w:val="nil"/>
            </w:tcBorders>
            <w:shd w:val="clear" w:color="auto" w:fill="auto"/>
            <w:noWrap/>
            <w:vAlign w:val="center"/>
          </w:tcPr>
          <w:p w14:paraId="1298AFE5">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default" w:ascii="Times New Roman" w:hAnsi="Times New Roman" w:eastAsia="宋体" w:cs="Times New Roman"/>
                <w:i w:val="0"/>
                <w:iCs w:val="0"/>
                <w:color w:val="0000FF"/>
                <w:kern w:val="0"/>
                <w:sz w:val="21"/>
                <w:szCs w:val="21"/>
                <w:u w:val="none"/>
                <w:lang w:val="en-US" w:eastAsia="zh-CN" w:bidi="ar"/>
              </w:rPr>
              <w:t>1113,1984</w:t>
            </w:r>
          </w:p>
        </w:tc>
        <w:tc>
          <w:tcPr>
            <w:tcW w:w="1378" w:type="dxa"/>
            <w:tcBorders>
              <w:tl2br w:val="nil"/>
              <w:tr2bl w:val="nil"/>
            </w:tcBorders>
            <w:shd w:val="clear" w:color="auto" w:fill="auto"/>
            <w:noWrap/>
            <w:vAlign w:val="center"/>
          </w:tcPr>
          <w:p w14:paraId="2217209E">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default" w:ascii="Times New Roman" w:hAnsi="Times New Roman" w:eastAsia="宋体" w:cs="Times New Roman"/>
                <w:i w:val="0"/>
                <w:iCs w:val="0"/>
                <w:color w:val="0000FF"/>
                <w:kern w:val="0"/>
                <w:sz w:val="21"/>
                <w:szCs w:val="21"/>
                <w:u w:val="none"/>
                <w:lang w:val="en-US" w:eastAsia="zh-CN" w:bidi="ar"/>
              </w:rPr>
              <w:t>1小时</w:t>
            </w:r>
          </w:p>
        </w:tc>
        <w:tc>
          <w:tcPr>
            <w:tcW w:w="1260" w:type="dxa"/>
            <w:tcBorders>
              <w:tl2br w:val="nil"/>
              <w:tr2bl w:val="nil"/>
            </w:tcBorders>
            <w:shd w:val="clear" w:color="auto" w:fill="auto"/>
            <w:noWrap/>
            <w:vAlign w:val="center"/>
          </w:tcPr>
          <w:p w14:paraId="3BCE44D1">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7.12E-06</w:t>
            </w:r>
          </w:p>
        </w:tc>
        <w:tc>
          <w:tcPr>
            <w:tcW w:w="1770" w:type="dxa"/>
            <w:tcBorders>
              <w:tl2br w:val="nil"/>
              <w:tr2bl w:val="nil"/>
            </w:tcBorders>
            <w:shd w:val="clear" w:color="auto" w:fill="auto"/>
            <w:noWrap/>
            <w:vAlign w:val="center"/>
          </w:tcPr>
          <w:p w14:paraId="6184C1DF">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24011511</w:t>
            </w:r>
          </w:p>
        </w:tc>
        <w:tc>
          <w:tcPr>
            <w:tcW w:w="1140" w:type="dxa"/>
            <w:tcBorders>
              <w:tl2br w:val="nil"/>
              <w:tr2bl w:val="nil"/>
            </w:tcBorders>
            <w:shd w:val="clear" w:color="auto" w:fill="auto"/>
            <w:noWrap/>
            <w:vAlign w:val="center"/>
          </w:tcPr>
          <w:p w14:paraId="46ECEC16">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1.55E-05</w:t>
            </w:r>
          </w:p>
        </w:tc>
        <w:tc>
          <w:tcPr>
            <w:tcW w:w="1605" w:type="dxa"/>
            <w:tcBorders>
              <w:tl2br w:val="nil"/>
              <w:tr2bl w:val="nil"/>
            </w:tcBorders>
            <w:shd w:val="clear" w:color="auto" w:fill="auto"/>
            <w:noWrap/>
            <w:vAlign w:val="center"/>
          </w:tcPr>
          <w:p w14:paraId="0CD3DB35">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2.26E-05</w:t>
            </w:r>
          </w:p>
        </w:tc>
        <w:tc>
          <w:tcPr>
            <w:tcW w:w="1275" w:type="dxa"/>
            <w:tcBorders>
              <w:tl2br w:val="nil"/>
              <w:tr2bl w:val="nil"/>
            </w:tcBorders>
            <w:shd w:val="clear" w:color="auto" w:fill="auto"/>
            <w:noWrap/>
            <w:vAlign w:val="center"/>
          </w:tcPr>
          <w:p w14:paraId="1C4E47D5">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3.60E-03</w:t>
            </w:r>
          </w:p>
        </w:tc>
        <w:tc>
          <w:tcPr>
            <w:tcW w:w="1485" w:type="dxa"/>
            <w:tcBorders>
              <w:tl2br w:val="nil"/>
              <w:tr2bl w:val="nil"/>
            </w:tcBorders>
            <w:shd w:val="clear" w:color="auto" w:fill="auto"/>
            <w:noWrap/>
            <w:vAlign w:val="center"/>
          </w:tcPr>
          <w:p w14:paraId="34053196">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0.63</w:t>
            </w:r>
          </w:p>
        </w:tc>
        <w:tc>
          <w:tcPr>
            <w:tcW w:w="912" w:type="dxa"/>
            <w:tcBorders>
              <w:tl2br w:val="nil"/>
              <w:tr2bl w:val="nil"/>
            </w:tcBorders>
            <w:shd w:val="clear" w:color="auto" w:fill="auto"/>
            <w:noWrap/>
            <w:vAlign w:val="center"/>
          </w:tcPr>
          <w:p w14:paraId="5ECC06BB">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达标</w:t>
            </w:r>
          </w:p>
        </w:tc>
      </w:tr>
      <w:tr w14:paraId="57D13979">
        <w:tblPrEx>
          <w:tblBorders>
            <w:top w:val="thinThickSmallGap" w:color="auto" w:sz="12" w:space="0"/>
            <w:left w:val="none" w:color="auto" w:sz="0" w:space="0"/>
            <w:bottom w:val="thinThick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528" w:type="dxa"/>
            <w:tcBorders>
              <w:tl2br w:val="nil"/>
              <w:tr2bl w:val="nil"/>
            </w:tcBorders>
            <w:shd w:val="clear" w:color="auto" w:fill="auto"/>
            <w:noWrap/>
            <w:vAlign w:val="center"/>
          </w:tcPr>
          <w:p w14:paraId="3F09AF7D">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1"/>
                <w:szCs w:val="21"/>
                <w:u w:val="none"/>
                <w:lang w:val="en-US" w:eastAsia="zh-CN" w:bidi="ar"/>
              </w:rPr>
              <w:t>8</w:t>
            </w:r>
          </w:p>
        </w:tc>
        <w:tc>
          <w:tcPr>
            <w:tcW w:w="1142" w:type="dxa"/>
            <w:tcBorders>
              <w:tl2br w:val="nil"/>
              <w:tr2bl w:val="nil"/>
            </w:tcBorders>
            <w:shd w:val="clear" w:color="auto" w:fill="auto"/>
            <w:noWrap/>
            <w:vAlign w:val="center"/>
          </w:tcPr>
          <w:p w14:paraId="450EE44C">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sz w:val="21"/>
                <w:szCs w:val="21"/>
                <w:u w:val="none"/>
              </w:rPr>
            </w:pPr>
            <w:r>
              <w:rPr>
                <w:rFonts w:hint="default" w:ascii="Times New Roman" w:hAnsi="Times New Roman" w:eastAsia="宋体" w:cs="Times New Roman"/>
                <w:i w:val="0"/>
                <w:iCs w:val="0"/>
                <w:color w:val="0000FF"/>
                <w:kern w:val="0"/>
                <w:sz w:val="21"/>
                <w:szCs w:val="21"/>
                <w:u w:val="none"/>
                <w:lang w:val="en-US" w:eastAsia="zh-CN" w:bidi="ar"/>
              </w:rPr>
              <w:t>网格</w:t>
            </w:r>
          </w:p>
        </w:tc>
        <w:tc>
          <w:tcPr>
            <w:tcW w:w="1620" w:type="dxa"/>
            <w:tcBorders>
              <w:tl2br w:val="nil"/>
              <w:tr2bl w:val="nil"/>
            </w:tcBorders>
            <w:shd w:val="clear" w:color="auto" w:fill="auto"/>
            <w:noWrap/>
            <w:vAlign w:val="center"/>
          </w:tcPr>
          <w:p w14:paraId="0E324C80">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28,931</w:t>
            </w:r>
          </w:p>
        </w:tc>
        <w:tc>
          <w:tcPr>
            <w:tcW w:w="1378" w:type="dxa"/>
            <w:tcBorders>
              <w:tl2br w:val="nil"/>
              <w:tr2bl w:val="nil"/>
            </w:tcBorders>
            <w:shd w:val="clear" w:color="auto" w:fill="auto"/>
            <w:noWrap/>
            <w:vAlign w:val="center"/>
          </w:tcPr>
          <w:p w14:paraId="17CDE2AA">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default" w:ascii="Times New Roman" w:hAnsi="Times New Roman" w:eastAsia="宋体" w:cs="Times New Roman"/>
                <w:i w:val="0"/>
                <w:iCs w:val="0"/>
                <w:color w:val="0000FF"/>
                <w:kern w:val="0"/>
                <w:sz w:val="21"/>
                <w:szCs w:val="21"/>
                <w:u w:val="none"/>
                <w:lang w:val="en-US" w:eastAsia="zh-CN" w:bidi="ar"/>
              </w:rPr>
              <w:t>1小时</w:t>
            </w:r>
          </w:p>
        </w:tc>
        <w:tc>
          <w:tcPr>
            <w:tcW w:w="1260" w:type="dxa"/>
            <w:tcBorders>
              <w:tl2br w:val="nil"/>
              <w:tr2bl w:val="nil"/>
            </w:tcBorders>
            <w:shd w:val="clear" w:color="auto" w:fill="auto"/>
            <w:noWrap/>
            <w:vAlign w:val="center"/>
          </w:tcPr>
          <w:p w14:paraId="2EB3720F">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2.20E-04</w:t>
            </w:r>
          </w:p>
        </w:tc>
        <w:tc>
          <w:tcPr>
            <w:tcW w:w="1770" w:type="dxa"/>
            <w:tcBorders>
              <w:tl2br w:val="nil"/>
              <w:tr2bl w:val="nil"/>
            </w:tcBorders>
            <w:shd w:val="clear" w:color="auto" w:fill="auto"/>
            <w:noWrap/>
            <w:vAlign w:val="center"/>
          </w:tcPr>
          <w:p w14:paraId="770C3F98">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24011202</w:t>
            </w:r>
          </w:p>
        </w:tc>
        <w:tc>
          <w:tcPr>
            <w:tcW w:w="1140" w:type="dxa"/>
            <w:tcBorders>
              <w:tl2br w:val="nil"/>
              <w:tr2bl w:val="nil"/>
            </w:tcBorders>
            <w:shd w:val="clear" w:color="auto" w:fill="auto"/>
            <w:noWrap/>
            <w:vAlign w:val="center"/>
          </w:tcPr>
          <w:p w14:paraId="4FEF80C4">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1.55E-05</w:t>
            </w:r>
          </w:p>
        </w:tc>
        <w:tc>
          <w:tcPr>
            <w:tcW w:w="1605" w:type="dxa"/>
            <w:tcBorders>
              <w:tl2br w:val="nil"/>
              <w:tr2bl w:val="nil"/>
            </w:tcBorders>
            <w:shd w:val="clear" w:color="auto" w:fill="auto"/>
            <w:noWrap/>
            <w:vAlign w:val="center"/>
          </w:tcPr>
          <w:p w14:paraId="5CBBC805">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2.35E-04</w:t>
            </w:r>
          </w:p>
        </w:tc>
        <w:tc>
          <w:tcPr>
            <w:tcW w:w="1275" w:type="dxa"/>
            <w:tcBorders>
              <w:tl2br w:val="nil"/>
              <w:tr2bl w:val="nil"/>
            </w:tcBorders>
            <w:shd w:val="clear" w:color="auto" w:fill="auto"/>
            <w:noWrap/>
            <w:vAlign w:val="center"/>
          </w:tcPr>
          <w:p w14:paraId="44A58D4C">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3.60E-03</w:t>
            </w:r>
          </w:p>
        </w:tc>
        <w:tc>
          <w:tcPr>
            <w:tcW w:w="1485" w:type="dxa"/>
            <w:tcBorders>
              <w:tl2br w:val="nil"/>
              <w:tr2bl w:val="nil"/>
            </w:tcBorders>
            <w:shd w:val="clear" w:color="auto" w:fill="auto"/>
            <w:noWrap/>
            <w:vAlign w:val="center"/>
          </w:tcPr>
          <w:p w14:paraId="7A0F56CE">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6.53</w:t>
            </w:r>
          </w:p>
        </w:tc>
        <w:tc>
          <w:tcPr>
            <w:tcW w:w="912" w:type="dxa"/>
            <w:tcBorders>
              <w:tl2br w:val="nil"/>
              <w:tr2bl w:val="nil"/>
            </w:tcBorders>
            <w:shd w:val="clear" w:color="auto" w:fill="auto"/>
            <w:noWrap/>
            <w:vAlign w:val="center"/>
          </w:tcPr>
          <w:p w14:paraId="073178C4">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Chars="0"/>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达标</w:t>
            </w:r>
          </w:p>
        </w:tc>
      </w:tr>
    </w:tbl>
    <w:p w14:paraId="58E84B50">
      <w:pPr>
        <w:pStyle w:val="3"/>
        <w:numPr>
          <w:ilvl w:val="0"/>
          <w:numId w:val="0"/>
        </w:numPr>
        <w:ind w:right="0" w:rightChars="0"/>
        <w:rPr>
          <w:rFonts w:hint="default" w:ascii="Times New Roman" w:hAnsi="Times New Roman" w:eastAsia="宋体" w:cs="Times New Roman"/>
          <w:sz w:val="24"/>
          <w:szCs w:val="32"/>
          <w:lang w:eastAsia="zh-CN"/>
        </w:rPr>
        <w:sectPr>
          <w:pgSz w:w="16840" w:h="11907" w:orient="landscape"/>
          <w:pgMar w:top="1800" w:right="1440" w:bottom="1800" w:left="1440" w:header="851" w:footer="1077" w:gutter="0"/>
          <w:pgBorders w:offsetFrom="page">
            <w:top w:val="none" w:sz="0" w:space="0"/>
            <w:left w:val="none" w:sz="0" w:space="0"/>
            <w:bottom w:val="none" w:sz="0" w:space="0"/>
            <w:right w:val="none" w:sz="0" w:space="0"/>
          </w:pgBorders>
          <w:pgNumType w:fmt="decimal"/>
          <w:cols w:space="720" w:num="1"/>
          <w:docGrid w:type="lines" w:linePitch="479" w:charSpace="0"/>
        </w:sectPr>
      </w:pPr>
    </w:p>
    <w:p w14:paraId="1A40DD28">
      <w:pPr>
        <w:pStyle w:val="133"/>
        <w:keepNext/>
        <w:keepLines w:val="0"/>
        <w:pageBreakBefore w:val="0"/>
        <w:widowControl/>
        <w:kinsoku/>
        <w:wordWrap/>
        <w:overflowPunct/>
        <w:topLinePunct w:val="0"/>
        <w:autoSpaceDE/>
        <w:autoSpaceDN/>
        <w:bidi w:val="0"/>
        <w:adjustRightInd/>
        <w:snapToGrid w:val="0"/>
        <w:spacing w:line="240" w:lineRule="auto"/>
        <w:textAlignment w:val="auto"/>
        <w:outlineLvl w:val="9"/>
      </w:pPr>
      <w:r>
        <w:drawing>
          <wp:inline distT="0" distB="0" distL="114300" distR="114300">
            <wp:extent cx="5274310" cy="2614295"/>
            <wp:effectExtent l="0" t="0" r="2540" b="14605"/>
            <wp:docPr id="175"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 name="图片 14"/>
                    <pic:cNvPicPr>
                      <a:picLocks noChangeAspect="1"/>
                    </pic:cNvPicPr>
                  </pic:nvPicPr>
                  <pic:blipFill>
                    <a:blip r:embed="rId86"/>
                    <a:stretch>
                      <a:fillRect/>
                    </a:stretch>
                  </pic:blipFill>
                  <pic:spPr>
                    <a:xfrm>
                      <a:off x="0" y="0"/>
                      <a:ext cx="5274310" cy="2614295"/>
                    </a:xfrm>
                    <a:prstGeom prst="rect">
                      <a:avLst/>
                    </a:prstGeom>
                    <a:noFill/>
                    <a:ln>
                      <a:noFill/>
                    </a:ln>
                  </pic:spPr>
                </pic:pic>
              </a:graphicData>
            </a:graphic>
          </wp:inline>
        </w:drawing>
      </w:r>
    </w:p>
    <w:p w14:paraId="18AC4588">
      <w:pPr>
        <w:pStyle w:val="727"/>
        <w:keepNext w:val="0"/>
        <w:keepLines w:val="0"/>
        <w:pageBreakBefore w:val="0"/>
        <w:widowControl/>
        <w:kinsoku/>
        <w:wordWrap/>
        <w:overflowPunct/>
        <w:topLinePunct w:val="0"/>
        <w:autoSpaceDE/>
        <w:autoSpaceDN/>
        <w:bidi w:val="0"/>
        <w:adjustRightInd w:val="0"/>
        <w:snapToGrid/>
        <w:spacing w:line="240" w:lineRule="auto"/>
        <w:textAlignment w:val="center"/>
        <w:rPr>
          <w:rFonts w:hint="default" w:ascii="Times New Roman" w:hAnsi="Times New Roman" w:eastAsia="黑体" w:cs="Times New Roman"/>
          <w:b w:val="0"/>
          <w:bCs/>
          <w:color w:val="0000FF"/>
          <w:highlight w:val="none"/>
        </w:rPr>
      </w:pPr>
      <w:r>
        <w:rPr>
          <w:rFonts w:hint="eastAsia" w:ascii="Times New Roman" w:hAnsi="Times New Roman" w:eastAsia="黑体" w:cs="Times New Roman"/>
          <w:b w:val="0"/>
          <w:bCs/>
          <w:color w:val="0000FF"/>
          <w:highlight w:val="none"/>
          <w:lang w:val="en-US" w:eastAsia="zh-CN"/>
        </w:rPr>
        <w:t xml:space="preserve">图5.1-19 </w:t>
      </w:r>
      <w:r>
        <w:rPr>
          <w:rFonts w:hint="default" w:ascii="Times New Roman" w:hAnsi="Times New Roman" w:eastAsia="黑体" w:cs="Times New Roman"/>
          <w:b w:val="0"/>
          <w:bCs/>
          <w:color w:val="0000FF"/>
          <w:highlight w:val="none"/>
          <w:lang w:val="en-US" w:eastAsia="zh-CN"/>
        </w:rPr>
        <w:t>SO</w:t>
      </w:r>
      <w:r>
        <w:rPr>
          <w:rFonts w:hint="default" w:ascii="Times New Roman" w:hAnsi="Times New Roman" w:eastAsia="黑体" w:cs="Times New Roman"/>
          <w:b w:val="0"/>
          <w:bCs/>
          <w:color w:val="0000FF"/>
          <w:highlight w:val="none"/>
          <w:vertAlign w:val="subscript"/>
          <w:lang w:val="en-US" w:eastAsia="zh-CN"/>
        </w:rPr>
        <w:t>2</w:t>
      </w:r>
      <w:r>
        <w:rPr>
          <w:rFonts w:hint="default" w:ascii="Times New Roman" w:hAnsi="Times New Roman" w:eastAsia="黑体" w:cs="Times New Roman"/>
          <w:b w:val="0"/>
          <w:bCs/>
          <w:color w:val="0000FF"/>
          <w:kern w:val="0"/>
          <w:sz w:val="24"/>
          <w:szCs w:val="24"/>
          <w:highlight w:val="none"/>
          <w:lang w:val="en-US" w:eastAsia="zh-CN" w:bidi="ar-SA"/>
        </w:rPr>
        <w:t>叠加最大小时平均</w:t>
      </w:r>
      <w:r>
        <w:rPr>
          <w:rFonts w:hint="default" w:ascii="Times New Roman" w:hAnsi="Times New Roman" w:eastAsia="黑体" w:cs="Times New Roman"/>
          <w:b w:val="0"/>
          <w:bCs/>
          <w:color w:val="0000FF"/>
          <w:highlight w:val="none"/>
        </w:rPr>
        <w:t>浓度分布图</w:t>
      </w:r>
      <w:r>
        <w:rPr>
          <w:rFonts w:hint="default" w:ascii="Times New Roman" w:hAnsi="Times New Roman" w:eastAsia="黑体" w:cs="Times New Roman"/>
          <w:b w:val="0"/>
          <w:bCs/>
          <w:color w:val="0000FF"/>
          <w:highlight w:val="none"/>
          <w:lang w:eastAsia="zh-CN"/>
        </w:rPr>
        <w:t>（</w:t>
      </w:r>
      <w:r>
        <w:rPr>
          <w:rFonts w:hint="default" w:ascii="Times New Roman" w:hAnsi="Times New Roman" w:eastAsia="黑体" w:cs="Times New Roman"/>
          <w:b w:val="0"/>
          <w:bCs/>
          <w:color w:val="0000FF"/>
          <w:szCs w:val="28"/>
        </w:rPr>
        <w:t>mg/m</w:t>
      </w:r>
      <w:r>
        <w:rPr>
          <w:rFonts w:hint="default" w:ascii="Times New Roman" w:hAnsi="Times New Roman" w:eastAsia="黑体" w:cs="Times New Roman"/>
          <w:b w:val="0"/>
          <w:bCs/>
          <w:color w:val="0000FF"/>
          <w:szCs w:val="28"/>
          <w:vertAlign w:val="superscript"/>
        </w:rPr>
        <w:t>3</w:t>
      </w:r>
      <w:r>
        <w:rPr>
          <w:rFonts w:hint="default" w:ascii="Times New Roman" w:hAnsi="Times New Roman" w:eastAsia="黑体" w:cs="Times New Roman"/>
          <w:b w:val="0"/>
          <w:bCs/>
          <w:color w:val="0000FF"/>
          <w:highlight w:val="none"/>
          <w:lang w:eastAsia="zh-CN"/>
        </w:rPr>
        <w:t>）</w:t>
      </w:r>
    </w:p>
    <w:p w14:paraId="16DD7686">
      <w:pPr>
        <w:pStyle w:val="133"/>
        <w:keepNext/>
        <w:keepLines w:val="0"/>
        <w:pageBreakBefore w:val="0"/>
        <w:widowControl/>
        <w:kinsoku/>
        <w:wordWrap/>
        <w:overflowPunct/>
        <w:topLinePunct w:val="0"/>
        <w:autoSpaceDE/>
        <w:autoSpaceDN/>
        <w:bidi w:val="0"/>
        <w:adjustRightInd/>
        <w:snapToGrid w:val="0"/>
        <w:spacing w:line="240" w:lineRule="auto"/>
        <w:textAlignment w:val="auto"/>
        <w:outlineLvl w:val="9"/>
      </w:pPr>
      <w:r>
        <w:drawing>
          <wp:inline distT="0" distB="0" distL="114300" distR="114300">
            <wp:extent cx="5272405" cy="2551430"/>
            <wp:effectExtent l="0" t="0" r="4445" b="1270"/>
            <wp:docPr id="176"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 name="图片 13"/>
                    <pic:cNvPicPr>
                      <a:picLocks noChangeAspect="1"/>
                    </pic:cNvPicPr>
                  </pic:nvPicPr>
                  <pic:blipFill>
                    <a:blip r:embed="rId87"/>
                    <a:stretch>
                      <a:fillRect/>
                    </a:stretch>
                  </pic:blipFill>
                  <pic:spPr>
                    <a:xfrm>
                      <a:off x="0" y="0"/>
                      <a:ext cx="5272405" cy="2551430"/>
                    </a:xfrm>
                    <a:prstGeom prst="rect">
                      <a:avLst/>
                    </a:prstGeom>
                    <a:noFill/>
                    <a:ln>
                      <a:noFill/>
                    </a:ln>
                  </pic:spPr>
                </pic:pic>
              </a:graphicData>
            </a:graphic>
          </wp:inline>
        </w:drawing>
      </w:r>
    </w:p>
    <w:p w14:paraId="17475F50">
      <w:pPr>
        <w:pStyle w:val="727"/>
        <w:keepNext w:val="0"/>
        <w:keepLines w:val="0"/>
        <w:pageBreakBefore w:val="0"/>
        <w:widowControl/>
        <w:kinsoku/>
        <w:wordWrap/>
        <w:overflowPunct/>
        <w:topLinePunct w:val="0"/>
        <w:autoSpaceDE/>
        <w:autoSpaceDN/>
        <w:bidi w:val="0"/>
        <w:adjustRightInd w:val="0"/>
        <w:snapToGrid/>
        <w:spacing w:line="240" w:lineRule="auto"/>
        <w:textAlignment w:val="center"/>
        <w:rPr>
          <w:rFonts w:hint="default" w:ascii="Times New Roman" w:hAnsi="Times New Roman" w:eastAsia="黑体" w:cs="Times New Roman"/>
          <w:b w:val="0"/>
          <w:bCs/>
          <w:color w:val="auto"/>
          <w:highlight w:val="none"/>
          <w:lang w:eastAsia="zh-CN"/>
        </w:rPr>
      </w:pPr>
      <w:r>
        <w:rPr>
          <w:rFonts w:hint="default" w:ascii="Times New Roman" w:hAnsi="Times New Roman" w:eastAsia="黑体" w:cs="Times New Roman"/>
          <w:b w:val="0"/>
          <w:bCs/>
          <w:color w:val="0000FF"/>
          <w:highlight w:val="none"/>
          <w:lang w:val="en-US" w:eastAsia="zh-CN"/>
        </w:rPr>
        <w:t>图5.1-20 SO</w:t>
      </w:r>
      <w:r>
        <w:rPr>
          <w:rFonts w:hint="default" w:ascii="Times New Roman" w:hAnsi="Times New Roman" w:eastAsia="黑体" w:cs="Times New Roman"/>
          <w:b w:val="0"/>
          <w:bCs/>
          <w:color w:val="0000FF"/>
          <w:highlight w:val="none"/>
          <w:vertAlign w:val="subscript"/>
          <w:lang w:val="en-US" w:eastAsia="zh-CN"/>
        </w:rPr>
        <w:t>2</w:t>
      </w:r>
      <w:r>
        <w:rPr>
          <w:rFonts w:hint="default" w:ascii="Times New Roman" w:hAnsi="Times New Roman" w:eastAsia="黑体" w:cs="Times New Roman"/>
          <w:b w:val="0"/>
          <w:bCs/>
          <w:color w:val="0000FF"/>
          <w:kern w:val="0"/>
          <w:sz w:val="24"/>
          <w:szCs w:val="24"/>
          <w:highlight w:val="none"/>
          <w:lang w:val="en-US" w:eastAsia="zh-CN" w:bidi="ar-SA"/>
        </w:rPr>
        <w:t>叠加最大日均</w:t>
      </w:r>
      <w:r>
        <w:rPr>
          <w:rFonts w:hint="default" w:ascii="Times New Roman" w:hAnsi="Times New Roman" w:eastAsia="黑体" w:cs="Times New Roman"/>
          <w:b w:val="0"/>
          <w:bCs/>
          <w:color w:val="0000FF"/>
          <w:highlight w:val="none"/>
        </w:rPr>
        <w:t>浓度分布图</w:t>
      </w:r>
      <w:r>
        <w:rPr>
          <w:rFonts w:hint="default" w:ascii="Times New Roman" w:hAnsi="Times New Roman" w:eastAsia="黑体" w:cs="Times New Roman"/>
          <w:b w:val="0"/>
          <w:bCs/>
          <w:color w:val="0000FF"/>
          <w:highlight w:val="none"/>
          <w:lang w:eastAsia="zh-CN"/>
        </w:rPr>
        <w:t>（</w:t>
      </w:r>
      <w:r>
        <w:rPr>
          <w:rFonts w:hint="default" w:ascii="Times New Roman" w:hAnsi="Times New Roman" w:eastAsia="黑体" w:cs="Times New Roman"/>
          <w:b w:val="0"/>
          <w:bCs/>
          <w:color w:val="0000FF"/>
          <w:highlight w:val="none"/>
          <w:lang w:val="en-US" w:eastAsia="zh-CN"/>
        </w:rPr>
        <w:t>98%保证率，</w:t>
      </w:r>
      <w:r>
        <w:rPr>
          <w:rFonts w:hint="default" w:ascii="Times New Roman" w:hAnsi="Times New Roman" w:eastAsia="黑体" w:cs="Times New Roman"/>
          <w:b w:val="0"/>
          <w:bCs/>
          <w:color w:val="0000FF"/>
          <w:szCs w:val="28"/>
        </w:rPr>
        <w:t>mg/m</w:t>
      </w:r>
      <w:r>
        <w:rPr>
          <w:rFonts w:hint="default" w:ascii="Times New Roman" w:hAnsi="Times New Roman" w:eastAsia="黑体" w:cs="Times New Roman"/>
          <w:b w:val="0"/>
          <w:bCs/>
          <w:color w:val="0000FF"/>
          <w:szCs w:val="28"/>
          <w:vertAlign w:val="superscript"/>
        </w:rPr>
        <w:t>3</w:t>
      </w:r>
      <w:r>
        <w:rPr>
          <w:rFonts w:hint="default" w:ascii="Times New Roman" w:hAnsi="Times New Roman" w:eastAsia="黑体" w:cs="Times New Roman"/>
          <w:b w:val="0"/>
          <w:bCs/>
          <w:color w:val="0000FF"/>
          <w:highlight w:val="none"/>
          <w:lang w:eastAsia="zh-CN"/>
        </w:rPr>
        <w:t>）</w:t>
      </w:r>
    </w:p>
    <w:p w14:paraId="31CD13CA">
      <w:pPr>
        <w:keepNext w:val="0"/>
        <w:keepLines w:val="0"/>
        <w:pageBreakBefore w:val="0"/>
        <w:widowControl/>
        <w:kinsoku/>
        <w:wordWrap/>
        <w:overflowPunct/>
        <w:topLinePunct w:val="0"/>
        <w:autoSpaceDE/>
        <w:autoSpaceDN/>
        <w:bidi w:val="0"/>
        <w:adjustRightInd/>
        <w:snapToGrid w:val="0"/>
        <w:spacing w:line="240" w:lineRule="auto"/>
        <w:textAlignment w:val="auto"/>
      </w:pPr>
      <w:r>
        <w:drawing>
          <wp:inline distT="0" distB="0" distL="114300" distR="114300">
            <wp:extent cx="5271135" cy="2495550"/>
            <wp:effectExtent l="0" t="0" r="5715" b="0"/>
            <wp:docPr id="177"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 name="图片 15"/>
                    <pic:cNvPicPr>
                      <a:picLocks noChangeAspect="1"/>
                    </pic:cNvPicPr>
                  </pic:nvPicPr>
                  <pic:blipFill>
                    <a:blip r:embed="rId88"/>
                    <a:stretch>
                      <a:fillRect/>
                    </a:stretch>
                  </pic:blipFill>
                  <pic:spPr>
                    <a:xfrm>
                      <a:off x="0" y="0"/>
                      <a:ext cx="5271135" cy="2495550"/>
                    </a:xfrm>
                    <a:prstGeom prst="rect">
                      <a:avLst/>
                    </a:prstGeom>
                    <a:noFill/>
                    <a:ln>
                      <a:noFill/>
                    </a:ln>
                  </pic:spPr>
                </pic:pic>
              </a:graphicData>
            </a:graphic>
          </wp:inline>
        </w:drawing>
      </w:r>
    </w:p>
    <w:p w14:paraId="6DB823BA">
      <w:pPr>
        <w:pStyle w:val="727"/>
        <w:keepNext w:val="0"/>
        <w:keepLines w:val="0"/>
        <w:pageBreakBefore w:val="0"/>
        <w:widowControl/>
        <w:kinsoku/>
        <w:wordWrap/>
        <w:overflowPunct/>
        <w:topLinePunct w:val="0"/>
        <w:autoSpaceDE/>
        <w:autoSpaceDN/>
        <w:bidi w:val="0"/>
        <w:adjustRightInd w:val="0"/>
        <w:snapToGrid/>
        <w:spacing w:line="240" w:lineRule="auto"/>
        <w:textAlignment w:val="center"/>
        <w:rPr>
          <w:rFonts w:hint="default" w:ascii="Times New Roman" w:hAnsi="Times New Roman" w:eastAsia="黑体" w:cs="Times New Roman"/>
          <w:b w:val="0"/>
          <w:bCs/>
          <w:color w:val="0000FF"/>
          <w:highlight w:val="none"/>
        </w:rPr>
      </w:pPr>
      <w:r>
        <w:rPr>
          <w:rFonts w:hint="default" w:ascii="Times New Roman" w:hAnsi="Times New Roman" w:eastAsia="黑体" w:cs="Times New Roman"/>
          <w:b w:val="0"/>
          <w:bCs/>
          <w:color w:val="0000FF"/>
          <w:highlight w:val="none"/>
          <w:lang w:val="en-US" w:eastAsia="zh-CN"/>
        </w:rPr>
        <w:t>图5.1-21 SO</w:t>
      </w:r>
      <w:r>
        <w:rPr>
          <w:rFonts w:hint="default" w:ascii="Times New Roman" w:hAnsi="Times New Roman" w:eastAsia="黑体" w:cs="Times New Roman"/>
          <w:b w:val="0"/>
          <w:bCs/>
          <w:color w:val="0000FF"/>
          <w:highlight w:val="none"/>
          <w:vertAlign w:val="subscript"/>
          <w:lang w:val="en-US" w:eastAsia="zh-CN"/>
        </w:rPr>
        <w:t>2</w:t>
      </w:r>
      <w:r>
        <w:rPr>
          <w:rFonts w:hint="default" w:ascii="Times New Roman" w:hAnsi="Times New Roman" w:eastAsia="黑体" w:cs="Times New Roman"/>
          <w:b w:val="0"/>
          <w:bCs/>
          <w:color w:val="0000FF"/>
          <w:kern w:val="0"/>
          <w:sz w:val="24"/>
          <w:szCs w:val="24"/>
          <w:highlight w:val="none"/>
          <w:lang w:val="en-US" w:eastAsia="zh-CN" w:bidi="ar-SA"/>
        </w:rPr>
        <w:t>叠加最大年均</w:t>
      </w:r>
      <w:r>
        <w:rPr>
          <w:rFonts w:hint="default" w:ascii="Times New Roman" w:hAnsi="Times New Roman" w:eastAsia="黑体" w:cs="Times New Roman"/>
          <w:b w:val="0"/>
          <w:bCs/>
          <w:color w:val="0000FF"/>
          <w:highlight w:val="none"/>
        </w:rPr>
        <w:t>浓度分布图</w:t>
      </w:r>
      <w:r>
        <w:rPr>
          <w:rFonts w:hint="default" w:ascii="Times New Roman" w:hAnsi="Times New Roman" w:eastAsia="黑体" w:cs="Times New Roman"/>
          <w:b w:val="0"/>
          <w:bCs/>
          <w:color w:val="0000FF"/>
          <w:highlight w:val="none"/>
          <w:lang w:eastAsia="zh-CN"/>
        </w:rPr>
        <w:t>（</w:t>
      </w:r>
      <w:r>
        <w:rPr>
          <w:rFonts w:hint="default" w:ascii="Times New Roman" w:hAnsi="Times New Roman" w:eastAsia="黑体" w:cs="Times New Roman"/>
          <w:b w:val="0"/>
          <w:bCs/>
          <w:color w:val="0000FF"/>
          <w:szCs w:val="28"/>
        </w:rPr>
        <w:t>mg/m</w:t>
      </w:r>
      <w:r>
        <w:rPr>
          <w:rFonts w:hint="default" w:ascii="Times New Roman" w:hAnsi="Times New Roman" w:eastAsia="黑体" w:cs="Times New Roman"/>
          <w:b w:val="0"/>
          <w:bCs/>
          <w:color w:val="0000FF"/>
          <w:szCs w:val="28"/>
          <w:vertAlign w:val="superscript"/>
        </w:rPr>
        <w:t>3</w:t>
      </w:r>
      <w:r>
        <w:rPr>
          <w:rFonts w:hint="default" w:ascii="Times New Roman" w:hAnsi="Times New Roman" w:eastAsia="黑体" w:cs="Times New Roman"/>
          <w:b w:val="0"/>
          <w:bCs/>
          <w:color w:val="0000FF"/>
          <w:highlight w:val="none"/>
          <w:lang w:eastAsia="zh-CN"/>
        </w:rPr>
        <w:t>）</w:t>
      </w:r>
    </w:p>
    <w:p w14:paraId="1560E9B1">
      <w:pPr>
        <w:pStyle w:val="133"/>
        <w:keepNext/>
        <w:keepLines w:val="0"/>
        <w:pageBreakBefore w:val="0"/>
        <w:widowControl/>
        <w:kinsoku/>
        <w:wordWrap/>
        <w:overflowPunct/>
        <w:topLinePunct w:val="0"/>
        <w:autoSpaceDE/>
        <w:autoSpaceDN/>
        <w:bidi w:val="0"/>
        <w:adjustRightInd/>
        <w:snapToGrid w:val="0"/>
        <w:spacing w:line="240" w:lineRule="auto"/>
        <w:textAlignment w:val="auto"/>
        <w:outlineLvl w:val="9"/>
      </w:pPr>
      <w:r>
        <w:drawing>
          <wp:inline distT="0" distB="0" distL="114300" distR="114300">
            <wp:extent cx="5311775" cy="2484120"/>
            <wp:effectExtent l="0" t="0" r="3175" b="11430"/>
            <wp:docPr id="178"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 name="图片 17"/>
                    <pic:cNvPicPr>
                      <a:picLocks noChangeAspect="1"/>
                    </pic:cNvPicPr>
                  </pic:nvPicPr>
                  <pic:blipFill>
                    <a:blip r:embed="rId89"/>
                    <a:stretch>
                      <a:fillRect/>
                    </a:stretch>
                  </pic:blipFill>
                  <pic:spPr>
                    <a:xfrm>
                      <a:off x="0" y="0"/>
                      <a:ext cx="5311775" cy="2484120"/>
                    </a:xfrm>
                    <a:prstGeom prst="rect">
                      <a:avLst/>
                    </a:prstGeom>
                    <a:noFill/>
                    <a:ln>
                      <a:noFill/>
                    </a:ln>
                  </pic:spPr>
                </pic:pic>
              </a:graphicData>
            </a:graphic>
          </wp:inline>
        </w:drawing>
      </w:r>
    </w:p>
    <w:p w14:paraId="03563BA5">
      <w:pPr>
        <w:pStyle w:val="727"/>
        <w:keepNext w:val="0"/>
        <w:keepLines w:val="0"/>
        <w:pageBreakBefore w:val="0"/>
        <w:widowControl/>
        <w:kinsoku/>
        <w:wordWrap/>
        <w:overflowPunct/>
        <w:topLinePunct w:val="0"/>
        <w:autoSpaceDE/>
        <w:autoSpaceDN/>
        <w:bidi w:val="0"/>
        <w:adjustRightInd w:val="0"/>
        <w:snapToGrid/>
        <w:spacing w:line="240" w:lineRule="auto"/>
        <w:textAlignment w:val="center"/>
        <w:rPr>
          <w:rFonts w:hint="default" w:ascii="Times New Roman" w:hAnsi="Times New Roman" w:eastAsia="黑体" w:cs="Times New Roman"/>
          <w:b w:val="0"/>
          <w:bCs/>
          <w:color w:val="auto"/>
          <w:highlight w:val="none"/>
          <w:lang w:eastAsia="zh-CN"/>
        </w:rPr>
      </w:pPr>
      <w:r>
        <w:rPr>
          <w:rFonts w:hint="default" w:ascii="Times New Roman" w:hAnsi="Times New Roman" w:eastAsia="黑体" w:cs="Times New Roman"/>
          <w:b w:val="0"/>
          <w:bCs/>
          <w:color w:val="0000FF"/>
          <w:highlight w:val="none"/>
          <w:lang w:val="en-US" w:eastAsia="zh-CN"/>
        </w:rPr>
        <w:t>图5.1-2</w:t>
      </w:r>
      <w:r>
        <w:rPr>
          <w:rFonts w:hint="eastAsia" w:eastAsia="黑体" w:cs="Times New Roman"/>
          <w:b w:val="0"/>
          <w:bCs/>
          <w:color w:val="0000FF"/>
          <w:highlight w:val="none"/>
          <w:lang w:val="en-US" w:eastAsia="zh-CN"/>
        </w:rPr>
        <w:t>2</w:t>
      </w:r>
      <w:r>
        <w:rPr>
          <w:rFonts w:hint="default" w:ascii="Times New Roman" w:hAnsi="Times New Roman" w:eastAsia="黑体" w:cs="Times New Roman"/>
          <w:b w:val="0"/>
          <w:bCs/>
          <w:color w:val="0000FF"/>
          <w:highlight w:val="none"/>
          <w:lang w:val="en-US" w:eastAsia="zh-CN"/>
        </w:rPr>
        <w:t xml:space="preserve"> </w:t>
      </w:r>
      <w:r>
        <w:rPr>
          <w:rFonts w:hint="eastAsia" w:eastAsia="黑体" w:cs="Times New Roman"/>
          <w:b w:val="0"/>
          <w:bCs/>
          <w:color w:val="0000FF"/>
          <w:highlight w:val="none"/>
          <w:lang w:val="en-US" w:eastAsia="zh-CN"/>
        </w:rPr>
        <w:t>氟化物</w:t>
      </w:r>
      <w:r>
        <w:rPr>
          <w:rFonts w:hint="default" w:ascii="Times New Roman" w:hAnsi="Times New Roman" w:eastAsia="黑体" w:cs="Times New Roman"/>
          <w:b w:val="0"/>
          <w:bCs/>
          <w:color w:val="0000FF"/>
          <w:kern w:val="0"/>
          <w:sz w:val="24"/>
          <w:szCs w:val="24"/>
          <w:highlight w:val="none"/>
          <w:lang w:val="en-US" w:eastAsia="zh-CN" w:bidi="ar-SA"/>
        </w:rPr>
        <w:t>叠加最大</w:t>
      </w:r>
      <w:r>
        <w:rPr>
          <w:rFonts w:hint="eastAsia" w:eastAsia="黑体" w:cs="Times New Roman"/>
          <w:b w:val="0"/>
          <w:bCs/>
          <w:color w:val="0000FF"/>
          <w:kern w:val="0"/>
          <w:sz w:val="24"/>
          <w:szCs w:val="24"/>
          <w:highlight w:val="none"/>
          <w:lang w:val="en-US" w:eastAsia="zh-CN" w:bidi="ar-SA"/>
        </w:rPr>
        <w:t>小时平均</w:t>
      </w:r>
      <w:r>
        <w:rPr>
          <w:rFonts w:hint="default" w:ascii="Times New Roman" w:hAnsi="Times New Roman" w:eastAsia="黑体" w:cs="Times New Roman"/>
          <w:b w:val="0"/>
          <w:bCs/>
          <w:color w:val="0000FF"/>
          <w:highlight w:val="none"/>
        </w:rPr>
        <w:t>浓度分布图</w:t>
      </w:r>
      <w:r>
        <w:rPr>
          <w:rFonts w:hint="default" w:ascii="Times New Roman" w:hAnsi="Times New Roman" w:eastAsia="黑体" w:cs="Times New Roman"/>
          <w:b w:val="0"/>
          <w:bCs/>
          <w:color w:val="0000FF"/>
          <w:highlight w:val="none"/>
          <w:lang w:eastAsia="zh-CN"/>
        </w:rPr>
        <w:t>（</w:t>
      </w:r>
      <w:r>
        <w:rPr>
          <w:rFonts w:hint="default" w:ascii="Times New Roman" w:hAnsi="Times New Roman" w:eastAsia="黑体" w:cs="Times New Roman"/>
          <w:b w:val="0"/>
          <w:bCs/>
          <w:color w:val="0000FF"/>
          <w:szCs w:val="28"/>
        </w:rPr>
        <w:t>mg/m</w:t>
      </w:r>
      <w:r>
        <w:rPr>
          <w:rFonts w:hint="default" w:ascii="Times New Roman" w:hAnsi="Times New Roman" w:eastAsia="黑体" w:cs="Times New Roman"/>
          <w:b w:val="0"/>
          <w:bCs/>
          <w:color w:val="0000FF"/>
          <w:szCs w:val="28"/>
          <w:vertAlign w:val="superscript"/>
        </w:rPr>
        <w:t>3</w:t>
      </w:r>
      <w:r>
        <w:rPr>
          <w:rFonts w:hint="default" w:ascii="Times New Roman" w:hAnsi="Times New Roman" w:eastAsia="黑体" w:cs="Times New Roman"/>
          <w:b w:val="0"/>
          <w:bCs/>
          <w:color w:val="0000FF"/>
          <w:highlight w:val="none"/>
          <w:lang w:eastAsia="zh-CN"/>
        </w:rPr>
        <w:t>）</w:t>
      </w:r>
    </w:p>
    <w:p w14:paraId="5EAC0ADE">
      <w:pPr>
        <w:pStyle w:val="133"/>
        <w:keepNext/>
        <w:keepLines w:val="0"/>
        <w:pageBreakBefore w:val="0"/>
        <w:widowControl/>
        <w:kinsoku/>
        <w:wordWrap/>
        <w:overflowPunct/>
        <w:topLinePunct w:val="0"/>
        <w:autoSpaceDE/>
        <w:autoSpaceDN/>
        <w:bidi w:val="0"/>
        <w:adjustRightInd/>
        <w:snapToGrid/>
        <w:spacing w:line="240" w:lineRule="auto"/>
        <w:textAlignment w:val="auto"/>
        <w:outlineLvl w:val="9"/>
        <w:rPr>
          <w:rFonts w:hint="eastAsia"/>
          <w:lang w:eastAsia="zh-CN"/>
        </w:rPr>
      </w:pPr>
      <w:r>
        <w:drawing>
          <wp:inline distT="0" distB="0" distL="114300" distR="114300">
            <wp:extent cx="5347335" cy="2447925"/>
            <wp:effectExtent l="0" t="0" r="5715" b="9525"/>
            <wp:docPr id="179"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 name="图片 16"/>
                    <pic:cNvPicPr>
                      <a:picLocks noChangeAspect="1"/>
                    </pic:cNvPicPr>
                  </pic:nvPicPr>
                  <pic:blipFill>
                    <a:blip r:embed="rId90"/>
                    <a:stretch>
                      <a:fillRect/>
                    </a:stretch>
                  </pic:blipFill>
                  <pic:spPr>
                    <a:xfrm>
                      <a:off x="0" y="0"/>
                      <a:ext cx="5347335" cy="2447925"/>
                    </a:xfrm>
                    <a:prstGeom prst="rect">
                      <a:avLst/>
                    </a:prstGeom>
                    <a:noFill/>
                    <a:ln>
                      <a:noFill/>
                    </a:ln>
                  </pic:spPr>
                </pic:pic>
              </a:graphicData>
            </a:graphic>
          </wp:inline>
        </w:drawing>
      </w:r>
    </w:p>
    <w:p w14:paraId="110C58EC">
      <w:pPr>
        <w:pStyle w:val="727"/>
        <w:keepNext w:val="0"/>
        <w:keepLines w:val="0"/>
        <w:pageBreakBefore w:val="0"/>
        <w:widowControl/>
        <w:kinsoku/>
        <w:wordWrap/>
        <w:overflowPunct/>
        <w:topLinePunct w:val="0"/>
        <w:autoSpaceDE/>
        <w:autoSpaceDN/>
        <w:bidi w:val="0"/>
        <w:adjustRightInd w:val="0"/>
        <w:snapToGrid/>
        <w:spacing w:line="240" w:lineRule="auto"/>
        <w:textAlignment w:val="center"/>
        <w:rPr>
          <w:rFonts w:hint="default" w:ascii="Times New Roman" w:hAnsi="Times New Roman" w:eastAsia="黑体" w:cs="Times New Roman"/>
          <w:b w:val="0"/>
          <w:bCs/>
          <w:color w:val="0000FF"/>
          <w:highlight w:val="none"/>
          <w:lang w:eastAsia="zh-CN"/>
        </w:rPr>
      </w:pPr>
      <w:r>
        <w:rPr>
          <w:rFonts w:hint="default" w:ascii="Times New Roman" w:hAnsi="Times New Roman" w:eastAsia="黑体" w:cs="Times New Roman"/>
          <w:b w:val="0"/>
          <w:bCs/>
          <w:color w:val="0000FF"/>
          <w:highlight w:val="none"/>
          <w:lang w:val="en-US" w:eastAsia="zh-CN"/>
        </w:rPr>
        <w:t>图5.1-2</w:t>
      </w:r>
      <w:r>
        <w:rPr>
          <w:rFonts w:hint="eastAsia" w:eastAsia="黑体" w:cs="Times New Roman"/>
          <w:b w:val="0"/>
          <w:bCs/>
          <w:color w:val="0000FF"/>
          <w:highlight w:val="none"/>
          <w:lang w:val="en-US" w:eastAsia="zh-CN"/>
        </w:rPr>
        <w:t>3</w:t>
      </w:r>
      <w:r>
        <w:rPr>
          <w:rFonts w:hint="default" w:ascii="Times New Roman" w:hAnsi="Times New Roman" w:eastAsia="黑体" w:cs="Times New Roman"/>
          <w:b w:val="0"/>
          <w:bCs/>
          <w:color w:val="0000FF"/>
          <w:highlight w:val="none"/>
          <w:lang w:val="en-US" w:eastAsia="zh-CN"/>
        </w:rPr>
        <w:t xml:space="preserve"> </w:t>
      </w:r>
      <w:r>
        <w:rPr>
          <w:rFonts w:hint="eastAsia" w:eastAsia="黑体" w:cs="Times New Roman"/>
          <w:b w:val="0"/>
          <w:bCs/>
          <w:color w:val="0000FF"/>
          <w:highlight w:val="none"/>
          <w:lang w:val="en-US" w:eastAsia="zh-CN"/>
        </w:rPr>
        <w:t>氟化物</w:t>
      </w:r>
      <w:r>
        <w:rPr>
          <w:rFonts w:hint="default" w:ascii="Times New Roman" w:hAnsi="Times New Roman" w:eastAsia="黑体" w:cs="Times New Roman"/>
          <w:b w:val="0"/>
          <w:bCs/>
          <w:color w:val="0000FF"/>
          <w:kern w:val="0"/>
          <w:sz w:val="24"/>
          <w:szCs w:val="24"/>
          <w:highlight w:val="none"/>
          <w:lang w:val="en-US" w:eastAsia="zh-CN" w:bidi="ar-SA"/>
        </w:rPr>
        <w:t>叠加最大日均</w:t>
      </w:r>
      <w:r>
        <w:rPr>
          <w:rFonts w:hint="default" w:ascii="Times New Roman" w:hAnsi="Times New Roman" w:eastAsia="黑体" w:cs="Times New Roman"/>
          <w:b w:val="0"/>
          <w:bCs/>
          <w:color w:val="0000FF"/>
          <w:highlight w:val="none"/>
        </w:rPr>
        <w:t>浓度分布图</w:t>
      </w:r>
      <w:r>
        <w:rPr>
          <w:rFonts w:hint="default" w:ascii="Times New Roman" w:hAnsi="Times New Roman" w:eastAsia="黑体" w:cs="Times New Roman"/>
          <w:b w:val="0"/>
          <w:bCs/>
          <w:color w:val="0000FF"/>
          <w:highlight w:val="none"/>
          <w:lang w:eastAsia="zh-CN"/>
        </w:rPr>
        <w:t>（</w:t>
      </w:r>
      <w:r>
        <w:rPr>
          <w:rFonts w:hint="default" w:ascii="Times New Roman" w:hAnsi="Times New Roman" w:eastAsia="黑体" w:cs="Times New Roman"/>
          <w:b w:val="0"/>
          <w:bCs/>
          <w:color w:val="0000FF"/>
          <w:szCs w:val="28"/>
        </w:rPr>
        <w:t>mg/m</w:t>
      </w:r>
      <w:r>
        <w:rPr>
          <w:rFonts w:hint="default" w:ascii="Times New Roman" w:hAnsi="Times New Roman" w:eastAsia="黑体" w:cs="Times New Roman"/>
          <w:b w:val="0"/>
          <w:bCs/>
          <w:color w:val="0000FF"/>
          <w:szCs w:val="28"/>
          <w:vertAlign w:val="superscript"/>
        </w:rPr>
        <w:t>3</w:t>
      </w:r>
      <w:r>
        <w:rPr>
          <w:rFonts w:hint="default" w:ascii="Times New Roman" w:hAnsi="Times New Roman" w:eastAsia="黑体" w:cs="Times New Roman"/>
          <w:b w:val="0"/>
          <w:bCs/>
          <w:color w:val="0000FF"/>
          <w:highlight w:val="none"/>
          <w:lang w:eastAsia="zh-CN"/>
        </w:rPr>
        <w:t>）</w:t>
      </w:r>
    </w:p>
    <w:p w14:paraId="5A032337">
      <w:pPr>
        <w:pStyle w:val="133"/>
        <w:keepNext w:val="0"/>
        <w:keepLines w:val="0"/>
        <w:pageBreakBefore w:val="0"/>
        <w:widowControl w:val="0"/>
        <w:kinsoku/>
        <w:wordWrap/>
        <w:overflowPunct/>
        <w:topLinePunct w:val="0"/>
        <w:autoSpaceDE/>
        <w:autoSpaceDN/>
        <w:bidi w:val="0"/>
        <w:adjustRightInd/>
        <w:snapToGrid w:val="0"/>
        <w:spacing w:line="240" w:lineRule="auto"/>
        <w:textAlignment w:val="auto"/>
        <w:outlineLvl w:val="9"/>
      </w:pPr>
      <w:r>
        <w:drawing>
          <wp:inline distT="0" distB="0" distL="114300" distR="114300">
            <wp:extent cx="5054600" cy="2700020"/>
            <wp:effectExtent l="0" t="0" r="12700" b="5080"/>
            <wp:docPr id="180"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 name="图片 18"/>
                    <pic:cNvPicPr>
                      <a:picLocks noChangeAspect="1"/>
                    </pic:cNvPicPr>
                  </pic:nvPicPr>
                  <pic:blipFill>
                    <a:blip r:embed="rId91"/>
                    <a:stretch>
                      <a:fillRect/>
                    </a:stretch>
                  </pic:blipFill>
                  <pic:spPr>
                    <a:xfrm>
                      <a:off x="0" y="0"/>
                      <a:ext cx="5054600" cy="2700020"/>
                    </a:xfrm>
                    <a:prstGeom prst="rect">
                      <a:avLst/>
                    </a:prstGeom>
                    <a:noFill/>
                    <a:ln>
                      <a:noFill/>
                    </a:ln>
                  </pic:spPr>
                </pic:pic>
              </a:graphicData>
            </a:graphic>
          </wp:inline>
        </w:drawing>
      </w:r>
    </w:p>
    <w:p w14:paraId="773F65E2">
      <w:pPr>
        <w:pStyle w:val="727"/>
        <w:keepNext w:val="0"/>
        <w:keepLines w:val="0"/>
        <w:pageBreakBefore w:val="0"/>
        <w:widowControl/>
        <w:kinsoku/>
        <w:wordWrap/>
        <w:overflowPunct/>
        <w:topLinePunct w:val="0"/>
        <w:autoSpaceDE/>
        <w:autoSpaceDN/>
        <w:bidi w:val="0"/>
        <w:adjustRightInd w:val="0"/>
        <w:snapToGrid/>
        <w:spacing w:line="240" w:lineRule="auto"/>
        <w:textAlignment w:val="center"/>
        <w:rPr>
          <w:rFonts w:hint="default" w:ascii="Times New Roman" w:hAnsi="Times New Roman" w:eastAsia="黑体" w:cs="Times New Roman"/>
          <w:b w:val="0"/>
          <w:bCs/>
          <w:color w:val="0000FF"/>
          <w:highlight w:val="none"/>
          <w:lang w:eastAsia="zh-CN"/>
        </w:rPr>
      </w:pPr>
      <w:r>
        <w:rPr>
          <w:rFonts w:hint="eastAsia" w:ascii="Times New Roman" w:hAnsi="Times New Roman" w:eastAsia="黑体" w:cs="Times New Roman"/>
          <w:b w:val="0"/>
          <w:bCs/>
          <w:color w:val="0000FF"/>
          <w:highlight w:val="none"/>
          <w:lang w:val="en-US" w:eastAsia="zh-CN"/>
        </w:rPr>
        <w:t>图5.1-</w:t>
      </w:r>
      <w:r>
        <w:rPr>
          <w:rFonts w:hint="eastAsia" w:eastAsia="黑体" w:cs="Times New Roman"/>
          <w:b w:val="0"/>
          <w:bCs/>
          <w:color w:val="0000FF"/>
          <w:highlight w:val="none"/>
          <w:lang w:val="en-US" w:eastAsia="zh-CN"/>
        </w:rPr>
        <w:t>24</w:t>
      </w:r>
      <w:r>
        <w:rPr>
          <w:rFonts w:hint="eastAsia" w:ascii="Times New Roman" w:hAnsi="Times New Roman" w:eastAsia="黑体" w:cs="Times New Roman"/>
          <w:b w:val="0"/>
          <w:bCs/>
          <w:color w:val="0000FF"/>
          <w:highlight w:val="none"/>
          <w:lang w:val="en-US" w:eastAsia="zh-CN"/>
        </w:rPr>
        <w:t xml:space="preserve"> </w:t>
      </w:r>
      <w:r>
        <w:rPr>
          <w:rFonts w:hint="eastAsia" w:eastAsia="黑体" w:cs="Times New Roman"/>
          <w:b w:val="0"/>
          <w:bCs/>
          <w:color w:val="0000FF"/>
          <w:highlight w:val="none"/>
          <w:lang w:val="en-US" w:eastAsia="zh-CN"/>
        </w:rPr>
        <w:t>NOx</w:t>
      </w:r>
      <w:r>
        <w:rPr>
          <w:rFonts w:hint="default" w:ascii="Times New Roman" w:hAnsi="Times New Roman" w:eastAsia="黑体" w:cs="Times New Roman"/>
          <w:b w:val="0"/>
          <w:bCs/>
          <w:color w:val="0000FF"/>
          <w:kern w:val="0"/>
          <w:sz w:val="24"/>
          <w:szCs w:val="24"/>
          <w:highlight w:val="none"/>
          <w:lang w:val="en-US" w:eastAsia="zh-CN" w:bidi="ar-SA"/>
        </w:rPr>
        <w:t>叠加最大小时平均</w:t>
      </w:r>
      <w:r>
        <w:rPr>
          <w:rFonts w:hint="default" w:ascii="Times New Roman" w:hAnsi="Times New Roman" w:eastAsia="黑体" w:cs="Times New Roman"/>
          <w:b w:val="0"/>
          <w:bCs/>
          <w:color w:val="0000FF"/>
          <w:highlight w:val="none"/>
        </w:rPr>
        <w:t>浓度分布图</w:t>
      </w:r>
      <w:r>
        <w:rPr>
          <w:rFonts w:hint="default" w:ascii="Times New Roman" w:hAnsi="Times New Roman" w:eastAsia="黑体" w:cs="Times New Roman"/>
          <w:b w:val="0"/>
          <w:bCs/>
          <w:color w:val="0000FF"/>
          <w:highlight w:val="none"/>
          <w:lang w:eastAsia="zh-CN"/>
        </w:rPr>
        <w:t>（</w:t>
      </w:r>
      <w:r>
        <w:rPr>
          <w:rFonts w:hint="default" w:ascii="Times New Roman" w:hAnsi="Times New Roman" w:eastAsia="黑体" w:cs="Times New Roman"/>
          <w:b w:val="0"/>
          <w:bCs/>
          <w:color w:val="0000FF"/>
          <w:szCs w:val="28"/>
        </w:rPr>
        <w:t>mg/m</w:t>
      </w:r>
      <w:r>
        <w:rPr>
          <w:rFonts w:hint="default" w:ascii="Times New Roman" w:hAnsi="Times New Roman" w:eastAsia="黑体" w:cs="Times New Roman"/>
          <w:b w:val="0"/>
          <w:bCs/>
          <w:color w:val="0000FF"/>
          <w:szCs w:val="28"/>
          <w:vertAlign w:val="superscript"/>
        </w:rPr>
        <w:t>3</w:t>
      </w:r>
      <w:r>
        <w:rPr>
          <w:rFonts w:hint="default" w:ascii="Times New Roman" w:hAnsi="Times New Roman" w:eastAsia="黑体" w:cs="Times New Roman"/>
          <w:b w:val="0"/>
          <w:bCs/>
          <w:color w:val="0000FF"/>
          <w:highlight w:val="none"/>
          <w:lang w:eastAsia="zh-CN"/>
        </w:rPr>
        <w:t>）</w:t>
      </w:r>
    </w:p>
    <w:p w14:paraId="2A1CF290">
      <w:pPr>
        <w:pStyle w:val="727"/>
        <w:keepNext w:val="0"/>
        <w:keepLines w:val="0"/>
        <w:pageBreakBefore w:val="0"/>
        <w:widowControl/>
        <w:kinsoku/>
        <w:wordWrap/>
        <w:overflowPunct/>
        <w:topLinePunct w:val="0"/>
        <w:autoSpaceDE/>
        <w:autoSpaceDN/>
        <w:bidi w:val="0"/>
        <w:adjustRightInd w:val="0"/>
        <w:snapToGrid w:val="0"/>
        <w:spacing w:line="240" w:lineRule="auto"/>
        <w:textAlignment w:val="center"/>
        <w:rPr>
          <w:rFonts w:hint="default" w:ascii="Times New Roman" w:hAnsi="Times New Roman" w:eastAsia="黑体" w:cs="Times New Roman"/>
          <w:b w:val="0"/>
          <w:bCs/>
          <w:color w:val="0000FF"/>
          <w:highlight w:val="none"/>
        </w:rPr>
      </w:pPr>
      <w:r>
        <w:drawing>
          <wp:inline distT="0" distB="0" distL="114300" distR="114300">
            <wp:extent cx="5340985" cy="2555875"/>
            <wp:effectExtent l="0" t="0" r="12065" b="15875"/>
            <wp:docPr id="181"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 name="图片 20"/>
                    <pic:cNvPicPr>
                      <a:picLocks noChangeAspect="1"/>
                    </pic:cNvPicPr>
                  </pic:nvPicPr>
                  <pic:blipFill>
                    <a:blip r:embed="rId92"/>
                    <a:stretch>
                      <a:fillRect/>
                    </a:stretch>
                  </pic:blipFill>
                  <pic:spPr>
                    <a:xfrm>
                      <a:off x="0" y="0"/>
                      <a:ext cx="5340985" cy="2555875"/>
                    </a:xfrm>
                    <a:prstGeom prst="rect">
                      <a:avLst/>
                    </a:prstGeom>
                    <a:noFill/>
                    <a:ln>
                      <a:noFill/>
                    </a:ln>
                  </pic:spPr>
                </pic:pic>
              </a:graphicData>
            </a:graphic>
          </wp:inline>
        </w:drawing>
      </w:r>
      <w:r>
        <w:rPr>
          <w:rFonts w:hint="eastAsia" w:ascii="Times New Roman" w:hAnsi="Times New Roman" w:eastAsia="黑体" w:cs="Times New Roman"/>
          <w:b w:val="0"/>
          <w:bCs/>
          <w:color w:val="0000FF"/>
          <w:highlight w:val="none"/>
          <w:lang w:val="en-US" w:eastAsia="zh-CN"/>
        </w:rPr>
        <w:t>图5.1-</w:t>
      </w:r>
      <w:r>
        <w:rPr>
          <w:rFonts w:hint="eastAsia" w:eastAsia="黑体" w:cs="Times New Roman"/>
          <w:b w:val="0"/>
          <w:bCs/>
          <w:color w:val="0000FF"/>
          <w:highlight w:val="none"/>
          <w:lang w:val="en-US" w:eastAsia="zh-CN"/>
        </w:rPr>
        <w:t>25</w:t>
      </w:r>
      <w:r>
        <w:rPr>
          <w:rFonts w:hint="eastAsia" w:ascii="Times New Roman" w:hAnsi="Times New Roman" w:eastAsia="黑体" w:cs="Times New Roman"/>
          <w:b w:val="0"/>
          <w:bCs/>
          <w:color w:val="0000FF"/>
          <w:highlight w:val="none"/>
          <w:lang w:val="en-US" w:eastAsia="zh-CN"/>
        </w:rPr>
        <w:t xml:space="preserve"> </w:t>
      </w:r>
      <w:r>
        <w:rPr>
          <w:rFonts w:hint="eastAsia" w:eastAsia="黑体" w:cs="Times New Roman"/>
          <w:b w:val="0"/>
          <w:bCs/>
          <w:color w:val="0000FF"/>
          <w:highlight w:val="none"/>
          <w:lang w:val="en-US" w:eastAsia="zh-CN"/>
        </w:rPr>
        <w:t>NOx</w:t>
      </w:r>
      <w:r>
        <w:rPr>
          <w:rFonts w:hint="default" w:ascii="Times New Roman" w:hAnsi="Times New Roman" w:eastAsia="黑体" w:cs="Times New Roman"/>
          <w:b w:val="0"/>
          <w:bCs/>
          <w:color w:val="0000FF"/>
          <w:kern w:val="0"/>
          <w:sz w:val="24"/>
          <w:szCs w:val="24"/>
          <w:highlight w:val="none"/>
          <w:lang w:val="en-US" w:eastAsia="zh-CN" w:bidi="ar-SA"/>
        </w:rPr>
        <w:t>叠加最大日均</w:t>
      </w:r>
      <w:r>
        <w:rPr>
          <w:rFonts w:hint="default" w:ascii="Times New Roman" w:hAnsi="Times New Roman" w:eastAsia="黑体" w:cs="Times New Roman"/>
          <w:b w:val="0"/>
          <w:bCs/>
          <w:color w:val="0000FF"/>
          <w:highlight w:val="none"/>
        </w:rPr>
        <w:t>浓度分布图</w:t>
      </w:r>
      <w:r>
        <w:rPr>
          <w:rFonts w:hint="default" w:ascii="Times New Roman" w:hAnsi="Times New Roman" w:eastAsia="黑体" w:cs="Times New Roman"/>
          <w:b w:val="0"/>
          <w:bCs/>
          <w:color w:val="0000FF"/>
          <w:highlight w:val="none"/>
          <w:lang w:eastAsia="zh-CN"/>
        </w:rPr>
        <w:t>（</w:t>
      </w:r>
      <w:r>
        <w:rPr>
          <w:rFonts w:hint="default" w:ascii="Times New Roman" w:hAnsi="Times New Roman" w:eastAsia="黑体" w:cs="Times New Roman"/>
          <w:b w:val="0"/>
          <w:bCs/>
          <w:color w:val="0000FF"/>
          <w:highlight w:val="none"/>
          <w:lang w:val="en-US" w:eastAsia="zh-CN"/>
        </w:rPr>
        <w:t>98%保证率，</w:t>
      </w:r>
      <w:r>
        <w:rPr>
          <w:rFonts w:hint="default" w:ascii="Times New Roman" w:hAnsi="Times New Roman" w:eastAsia="黑体" w:cs="Times New Roman"/>
          <w:b w:val="0"/>
          <w:bCs/>
          <w:color w:val="0000FF"/>
          <w:szCs w:val="28"/>
        </w:rPr>
        <w:t>mg/m</w:t>
      </w:r>
      <w:r>
        <w:rPr>
          <w:rFonts w:hint="default" w:ascii="Times New Roman" w:hAnsi="Times New Roman" w:eastAsia="黑体" w:cs="Times New Roman"/>
          <w:b w:val="0"/>
          <w:bCs/>
          <w:color w:val="0000FF"/>
          <w:szCs w:val="28"/>
          <w:vertAlign w:val="superscript"/>
        </w:rPr>
        <w:t>3</w:t>
      </w:r>
      <w:r>
        <w:rPr>
          <w:rFonts w:hint="default" w:ascii="Times New Roman" w:hAnsi="Times New Roman" w:eastAsia="黑体" w:cs="Times New Roman"/>
          <w:b w:val="0"/>
          <w:bCs/>
          <w:color w:val="0000FF"/>
          <w:highlight w:val="none"/>
          <w:lang w:eastAsia="zh-CN"/>
        </w:rPr>
        <w:t>）</w:t>
      </w:r>
    </w:p>
    <w:p w14:paraId="6E4BBA3B">
      <w:pPr>
        <w:pStyle w:val="2"/>
        <w:keepNext w:val="0"/>
        <w:keepLines w:val="0"/>
        <w:pageBreakBefore w:val="0"/>
        <w:widowControl/>
        <w:kinsoku/>
        <w:wordWrap/>
        <w:overflowPunct/>
        <w:topLinePunct w:val="0"/>
        <w:autoSpaceDE/>
        <w:autoSpaceDN/>
        <w:bidi w:val="0"/>
        <w:adjustRightInd/>
        <w:snapToGrid w:val="0"/>
        <w:ind w:left="0" w:leftChars="0" w:right="0" w:firstLine="0" w:firstLineChars="0"/>
        <w:textAlignment w:val="auto"/>
        <w:rPr>
          <w:rFonts w:hint="default"/>
        </w:rPr>
      </w:pPr>
      <w:r>
        <w:drawing>
          <wp:inline distT="0" distB="0" distL="114300" distR="114300">
            <wp:extent cx="5302250" cy="2628265"/>
            <wp:effectExtent l="0" t="0" r="12700" b="635"/>
            <wp:docPr id="182"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 name="图片 19"/>
                    <pic:cNvPicPr>
                      <a:picLocks noChangeAspect="1"/>
                    </pic:cNvPicPr>
                  </pic:nvPicPr>
                  <pic:blipFill>
                    <a:blip r:embed="rId93"/>
                    <a:stretch>
                      <a:fillRect/>
                    </a:stretch>
                  </pic:blipFill>
                  <pic:spPr>
                    <a:xfrm>
                      <a:off x="0" y="0"/>
                      <a:ext cx="5302250" cy="2628265"/>
                    </a:xfrm>
                    <a:prstGeom prst="rect">
                      <a:avLst/>
                    </a:prstGeom>
                    <a:noFill/>
                    <a:ln>
                      <a:noFill/>
                    </a:ln>
                  </pic:spPr>
                </pic:pic>
              </a:graphicData>
            </a:graphic>
          </wp:inline>
        </w:drawing>
      </w:r>
    </w:p>
    <w:p w14:paraId="2C3B4E97">
      <w:pPr>
        <w:pStyle w:val="727"/>
        <w:keepNext w:val="0"/>
        <w:keepLines w:val="0"/>
        <w:pageBreakBefore w:val="0"/>
        <w:widowControl/>
        <w:kinsoku/>
        <w:wordWrap/>
        <w:overflowPunct/>
        <w:topLinePunct w:val="0"/>
        <w:autoSpaceDE/>
        <w:autoSpaceDN/>
        <w:bidi w:val="0"/>
        <w:adjustRightInd w:val="0"/>
        <w:snapToGrid/>
        <w:spacing w:line="240" w:lineRule="auto"/>
        <w:textAlignment w:val="center"/>
        <w:rPr>
          <w:rFonts w:hint="default" w:ascii="Times New Roman" w:hAnsi="Times New Roman" w:eastAsia="黑体" w:cs="Times New Roman"/>
          <w:b w:val="0"/>
          <w:bCs/>
          <w:color w:val="0000FF"/>
          <w:highlight w:val="none"/>
        </w:rPr>
      </w:pPr>
      <w:r>
        <w:rPr>
          <w:rFonts w:hint="eastAsia" w:ascii="Times New Roman" w:hAnsi="Times New Roman" w:eastAsia="黑体" w:cs="Times New Roman"/>
          <w:b w:val="0"/>
          <w:bCs/>
          <w:color w:val="0000FF"/>
          <w:highlight w:val="none"/>
          <w:lang w:val="en-US" w:eastAsia="zh-CN"/>
        </w:rPr>
        <w:t>图5.1-</w:t>
      </w:r>
      <w:r>
        <w:rPr>
          <w:rFonts w:hint="eastAsia" w:eastAsia="黑体" w:cs="Times New Roman"/>
          <w:b w:val="0"/>
          <w:bCs/>
          <w:color w:val="0000FF"/>
          <w:highlight w:val="none"/>
          <w:lang w:val="en-US" w:eastAsia="zh-CN"/>
        </w:rPr>
        <w:t>26</w:t>
      </w:r>
      <w:r>
        <w:rPr>
          <w:rFonts w:hint="eastAsia" w:ascii="Times New Roman" w:hAnsi="Times New Roman" w:eastAsia="黑体" w:cs="Times New Roman"/>
          <w:b w:val="0"/>
          <w:bCs/>
          <w:color w:val="0000FF"/>
          <w:highlight w:val="none"/>
          <w:lang w:val="en-US" w:eastAsia="zh-CN"/>
        </w:rPr>
        <w:t xml:space="preserve"> </w:t>
      </w:r>
      <w:r>
        <w:rPr>
          <w:rFonts w:hint="eastAsia" w:eastAsia="黑体" w:cs="Times New Roman"/>
          <w:b w:val="0"/>
          <w:bCs/>
          <w:color w:val="0000FF"/>
          <w:highlight w:val="none"/>
          <w:lang w:val="en-US" w:eastAsia="zh-CN"/>
        </w:rPr>
        <w:t>NOx</w:t>
      </w:r>
      <w:r>
        <w:rPr>
          <w:rFonts w:hint="default" w:ascii="Times New Roman" w:hAnsi="Times New Roman" w:eastAsia="黑体" w:cs="Times New Roman"/>
          <w:b w:val="0"/>
          <w:bCs/>
          <w:color w:val="0000FF"/>
          <w:kern w:val="0"/>
          <w:sz w:val="24"/>
          <w:szCs w:val="24"/>
          <w:highlight w:val="none"/>
          <w:lang w:val="en-US" w:eastAsia="zh-CN" w:bidi="ar-SA"/>
        </w:rPr>
        <w:t>叠加大年均</w:t>
      </w:r>
      <w:r>
        <w:rPr>
          <w:rFonts w:hint="default" w:ascii="Times New Roman" w:hAnsi="Times New Roman" w:eastAsia="黑体" w:cs="Times New Roman"/>
          <w:b w:val="0"/>
          <w:bCs/>
          <w:color w:val="0000FF"/>
          <w:highlight w:val="none"/>
        </w:rPr>
        <w:t>浓度分布图</w:t>
      </w:r>
      <w:r>
        <w:rPr>
          <w:rFonts w:hint="default" w:ascii="Times New Roman" w:hAnsi="Times New Roman" w:eastAsia="黑体" w:cs="Times New Roman"/>
          <w:b w:val="0"/>
          <w:bCs/>
          <w:color w:val="0000FF"/>
          <w:highlight w:val="none"/>
          <w:lang w:eastAsia="zh-CN"/>
        </w:rPr>
        <w:t>（</w:t>
      </w:r>
      <w:r>
        <w:rPr>
          <w:rFonts w:hint="default" w:ascii="Times New Roman" w:hAnsi="Times New Roman" w:eastAsia="黑体" w:cs="Times New Roman"/>
          <w:b w:val="0"/>
          <w:bCs/>
          <w:color w:val="0000FF"/>
          <w:szCs w:val="28"/>
        </w:rPr>
        <w:t>mg/m</w:t>
      </w:r>
      <w:r>
        <w:rPr>
          <w:rFonts w:hint="default" w:ascii="Times New Roman" w:hAnsi="Times New Roman" w:eastAsia="黑体" w:cs="Times New Roman"/>
          <w:b w:val="0"/>
          <w:bCs/>
          <w:color w:val="0000FF"/>
          <w:szCs w:val="28"/>
          <w:vertAlign w:val="superscript"/>
        </w:rPr>
        <w:t>3</w:t>
      </w:r>
      <w:r>
        <w:rPr>
          <w:rFonts w:hint="default" w:ascii="Times New Roman" w:hAnsi="Times New Roman" w:eastAsia="黑体" w:cs="Times New Roman"/>
          <w:b w:val="0"/>
          <w:bCs/>
          <w:color w:val="0000FF"/>
          <w:highlight w:val="none"/>
          <w:lang w:eastAsia="zh-CN"/>
        </w:rPr>
        <w:t>）</w:t>
      </w:r>
    </w:p>
    <w:p w14:paraId="17C0142C">
      <w:pPr>
        <w:rPr>
          <w:rFonts w:hint="default"/>
        </w:rPr>
      </w:pPr>
      <w:r>
        <w:drawing>
          <wp:inline distT="0" distB="0" distL="114300" distR="114300">
            <wp:extent cx="5340985" cy="2555875"/>
            <wp:effectExtent l="0" t="0" r="12065" b="15875"/>
            <wp:docPr id="183"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 name="图片 23"/>
                    <pic:cNvPicPr>
                      <a:picLocks noChangeAspect="1"/>
                    </pic:cNvPicPr>
                  </pic:nvPicPr>
                  <pic:blipFill>
                    <a:blip r:embed="rId94"/>
                    <a:stretch>
                      <a:fillRect/>
                    </a:stretch>
                  </pic:blipFill>
                  <pic:spPr>
                    <a:xfrm>
                      <a:off x="0" y="0"/>
                      <a:ext cx="5340985" cy="2555875"/>
                    </a:xfrm>
                    <a:prstGeom prst="rect">
                      <a:avLst/>
                    </a:prstGeom>
                    <a:noFill/>
                    <a:ln>
                      <a:noFill/>
                    </a:ln>
                  </pic:spPr>
                </pic:pic>
              </a:graphicData>
            </a:graphic>
          </wp:inline>
        </w:drawing>
      </w:r>
    </w:p>
    <w:p w14:paraId="19B0D716">
      <w:pPr>
        <w:pStyle w:val="133"/>
        <w:keepNext w:val="0"/>
        <w:keepLines w:val="0"/>
        <w:pageBreakBefore w:val="0"/>
        <w:widowControl w:val="0"/>
        <w:kinsoku/>
        <w:wordWrap/>
        <w:overflowPunct/>
        <w:topLinePunct w:val="0"/>
        <w:autoSpaceDE/>
        <w:autoSpaceDN/>
        <w:bidi w:val="0"/>
        <w:adjustRightInd/>
        <w:snapToGrid w:val="0"/>
        <w:spacing w:line="240" w:lineRule="auto"/>
        <w:jc w:val="center"/>
        <w:textAlignment w:val="auto"/>
        <w:outlineLvl w:val="9"/>
        <w:rPr>
          <w:rFonts w:hint="eastAsia"/>
          <w:lang w:eastAsia="zh-CN"/>
        </w:rPr>
      </w:pPr>
      <w:r>
        <w:rPr>
          <w:rFonts w:hint="eastAsia" w:ascii="Times New Roman" w:hAnsi="Times New Roman" w:eastAsia="黑体" w:cs="Times New Roman"/>
          <w:b w:val="0"/>
          <w:bCs/>
          <w:color w:val="0000FF"/>
          <w:highlight w:val="none"/>
          <w:lang w:val="en-US" w:eastAsia="zh-CN"/>
        </w:rPr>
        <w:t>图5.1-</w:t>
      </w:r>
      <w:r>
        <w:rPr>
          <w:rFonts w:hint="eastAsia" w:eastAsia="黑体" w:cs="Times New Roman"/>
          <w:b w:val="0"/>
          <w:bCs/>
          <w:color w:val="0000FF"/>
          <w:highlight w:val="none"/>
          <w:lang w:val="en-US" w:eastAsia="zh-CN"/>
        </w:rPr>
        <w:t>27</w:t>
      </w:r>
      <w:r>
        <w:rPr>
          <w:rFonts w:hint="eastAsia" w:ascii="Times New Roman" w:hAnsi="Times New Roman" w:eastAsia="黑体" w:cs="Times New Roman"/>
          <w:b w:val="0"/>
          <w:bCs/>
          <w:color w:val="0000FF"/>
          <w:highlight w:val="none"/>
          <w:lang w:val="en-US" w:eastAsia="zh-CN"/>
        </w:rPr>
        <w:t xml:space="preserve"> </w:t>
      </w:r>
      <w:r>
        <w:rPr>
          <w:rFonts w:hint="eastAsia" w:eastAsia="黑体" w:cs="Times New Roman"/>
          <w:b w:val="0"/>
          <w:bCs/>
          <w:color w:val="0000FF"/>
          <w:highlight w:val="none"/>
          <w:lang w:val="en-US" w:eastAsia="zh-CN"/>
        </w:rPr>
        <w:t>TSP</w:t>
      </w:r>
      <w:r>
        <w:rPr>
          <w:rFonts w:hint="default" w:ascii="Times New Roman" w:hAnsi="Times New Roman" w:eastAsia="黑体" w:cs="Times New Roman"/>
          <w:b w:val="0"/>
          <w:bCs/>
          <w:color w:val="0000FF"/>
          <w:kern w:val="0"/>
          <w:sz w:val="24"/>
          <w:szCs w:val="24"/>
          <w:highlight w:val="none"/>
          <w:lang w:val="en-US" w:eastAsia="zh-CN" w:bidi="ar-SA"/>
        </w:rPr>
        <w:t>叠加最大日均</w:t>
      </w:r>
      <w:r>
        <w:rPr>
          <w:rFonts w:hint="default" w:ascii="Times New Roman" w:hAnsi="Times New Roman" w:eastAsia="黑体" w:cs="Times New Roman"/>
          <w:b w:val="0"/>
          <w:bCs/>
          <w:color w:val="0000FF"/>
          <w:highlight w:val="none"/>
        </w:rPr>
        <w:t>浓度分布图</w:t>
      </w:r>
      <w:r>
        <w:rPr>
          <w:rFonts w:hint="default" w:ascii="Times New Roman" w:hAnsi="Times New Roman" w:eastAsia="黑体" w:cs="Times New Roman"/>
          <w:b w:val="0"/>
          <w:bCs/>
          <w:color w:val="0000FF"/>
          <w:highlight w:val="none"/>
          <w:lang w:eastAsia="zh-CN"/>
        </w:rPr>
        <w:t>（</w:t>
      </w:r>
      <w:r>
        <w:rPr>
          <w:rFonts w:hint="default" w:ascii="Times New Roman" w:hAnsi="Times New Roman" w:eastAsia="黑体" w:cs="Times New Roman"/>
          <w:b w:val="0"/>
          <w:bCs/>
          <w:color w:val="0000FF"/>
          <w:highlight w:val="none"/>
          <w:lang w:val="en-US" w:eastAsia="zh-CN"/>
        </w:rPr>
        <w:t>9</w:t>
      </w:r>
      <w:r>
        <w:rPr>
          <w:rFonts w:hint="eastAsia" w:ascii="Times New Roman" w:hAnsi="Times New Roman" w:eastAsia="黑体" w:cs="Times New Roman"/>
          <w:b w:val="0"/>
          <w:bCs/>
          <w:color w:val="0000FF"/>
          <w:highlight w:val="none"/>
          <w:lang w:val="en-US" w:eastAsia="zh-CN"/>
        </w:rPr>
        <w:t>5</w:t>
      </w:r>
      <w:r>
        <w:rPr>
          <w:rFonts w:hint="default" w:ascii="Times New Roman" w:hAnsi="Times New Roman" w:eastAsia="黑体" w:cs="Times New Roman"/>
          <w:b w:val="0"/>
          <w:bCs/>
          <w:color w:val="0000FF"/>
          <w:highlight w:val="none"/>
          <w:lang w:val="en-US" w:eastAsia="zh-CN"/>
        </w:rPr>
        <w:t>%保证率，</w:t>
      </w:r>
      <w:r>
        <w:rPr>
          <w:rFonts w:hint="default" w:ascii="Times New Roman" w:hAnsi="Times New Roman" w:eastAsia="黑体" w:cs="Times New Roman"/>
          <w:b w:val="0"/>
          <w:bCs/>
          <w:color w:val="0000FF"/>
          <w:szCs w:val="28"/>
        </w:rPr>
        <w:t>mg/m</w:t>
      </w:r>
      <w:r>
        <w:rPr>
          <w:rFonts w:hint="default" w:ascii="Times New Roman" w:hAnsi="Times New Roman" w:eastAsia="黑体" w:cs="Times New Roman"/>
          <w:b w:val="0"/>
          <w:bCs/>
          <w:color w:val="0000FF"/>
          <w:szCs w:val="28"/>
          <w:vertAlign w:val="superscript"/>
        </w:rPr>
        <w:t>3</w:t>
      </w:r>
      <w:r>
        <w:rPr>
          <w:rFonts w:hint="default" w:ascii="Times New Roman" w:hAnsi="Times New Roman" w:eastAsia="黑体" w:cs="Times New Roman"/>
          <w:b w:val="0"/>
          <w:bCs/>
          <w:color w:val="0000FF"/>
          <w:highlight w:val="none"/>
          <w:lang w:eastAsia="zh-CN"/>
        </w:rPr>
        <w:t>）</w:t>
      </w:r>
    </w:p>
    <w:p w14:paraId="5163E2BD">
      <w:pPr>
        <w:pStyle w:val="3"/>
        <w:keepNext w:val="0"/>
        <w:keepLines w:val="0"/>
        <w:pageBreakBefore w:val="0"/>
        <w:widowControl/>
        <w:numPr>
          <w:ilvl w:val="0"/>
          <w:numId w:val="0"/>
        </w:numPr>
        <w:kinsoku/>
        <w:wordWrap/>
        <w:overflowPunct/>
        <w:topLinePunct w:val="0"/>
        <w:autoSpaceDE/>
        <w:autoSpaceDN/>
        <w:bidi w:val="0"/>
        <w:adjustRightInd/>
        <w:snapToGrid w:val="0"/>
        <w:spacing w:after="0"/>
        <w:ind w:right="0" w:rightChars="0"/>
        <w:textAlignment w:val="auto"/>
        <w:rPr>
          <w:rFonts w:hint="default"/>
        </w:rPr>
      </w:pPr>
      <w:r>
        <w:drawing>
          <wp:inline distT="0" distB="0" distL="114300" distR="114300">
            <wp:extent cx="5269230" cy="2521585"/>
            <wp:effectExtent l="0" t="0" r="7620" b="12065"/>
            <wp:docPr id="184"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 name="图片 22"/>
                    <pic:cNvPicPr>
                      <a:picLocks noChangeAspect="1"/>
                    </pic:cNvPicPr>
                  </pic:nvPicPr>
                  <pic:blipFill>
                    <a:blip r:embed="rId95"/>
                    <a:stretch>
                      <a:fillRect/>
                    </a:stretch>
                  </pic:blipFill>
                  <pic:spPr>
                    <a:xfrm>
                      <a:off x="0" y="0"/>
                      <a:ext cx="5269230" cy="2521585"/>
                    </a:xfrm>
                    <a:prstGeom prst="rect">
                      <a:avLst/>
                    </a:prstGeom>
                    <a:noFill/>
                    <a:ln>
                      <a:noFill/>
                    </a:ln>
                  </pic:spPr>
                </pic:pic>
              </a:graphicData>
            </a:graphic>
          </wp:inline>
        </w:drawing>
      </w:r>
    </w:p>
    <w:p w14:paraId="5523E700">
      <w:pPr>
        <w:pStyle w:val="133"/>
        <w:keepNext w:val="0"/>
        <w:keepLines w:val="0"/>
        <w:pageBreakBefore w:val="0"/>
        <w:widowControl w:val="0"/>
        <w:kinsoku/>
        <w:wordWrap/>
        <w:overflowPunct/>
        <w:topLinePunct w:val="0"/>
        <w:autoSpaceDE/>
        <w:autoSpaceDN/>
        <w:bidi w:val="0"/>
        <w:adjustRightInd/>
        <w:snapToGrid w:val="0"/>
        <w:spacing w:line="240" w:lineRule="auto"/>
        <w:jc w:val="center"/>
        <w:textAlignment w:val="auto"/>
        <w:outlineLvl w:val="9"/>
        <w:rPr>
          <w:rFonts w:hint="eastAsia"/>
          <w:lang w:eastAsia="zh-CN"/>
        </w:rPr>
      </w:pPr>
      <w:r>
        <w:rPr>
          <w:rFonts w:hint="eastAsia" w:ascii="Times New Roman" w:hAnsi="Times New Roman" w:eastAsia="黑体" w:cs="Times New Roman"/>
          <w:b w:val="0"/>
          <w:bCs/>
          <w:color w:val="0000FF"/>
          <w:highlight w:val="none"/>
          <w:lang w:val="en-US" w:eastAsia="zh-CN"/>
        </w:rPr>
        <w:t>图5.1-</w:t>
      </w:r>
      <w:r>
        <w:rPr>
          <w:rFonts w:hint="eastAsia" w:eastAsia="黑体" w:cs="Times New Roman"/>
          <w:b w:val="0"/>
          <w:bCs/>
          <w:color w:val="0000FF"/>
          <w:highlight w:val="none"/>
          <w:lang w:val="en-US" w:eastAsia="zh-CN"/>
        </w:rPr>
        <w:t>28</w:t>
      </w:r>
      <w:r>
        <w:rPr>
          <w:rFonts w:hint="eastAsia" w:ascii="Times New Roman" w:hAnsi="Times New Roman" w:eastAsia="黑体" w:cs="Times New Roman"/>
          <w:b w:val="0"/>
          <w:bCs/>
          <w:color w:val="0000FF"/>
          <w:highlight w:val="none"/>
          <w:lang w:val="en-US" w:eastAsia="zh-CN"/>
        </w:rPr>
        <w:t xml:space="preserve"> </w:t>
      </w:r>
      <w:r>
        <w:rPr>
          <w:rFonts w:hint="eastAsia" w:eastAsia="黑体" w:cs="Times New Roman"/>
          <w:b w:val="0"/>
          <w:bCs/>
          <w:color w:val="0000FF"/>
          <w:highlight w:val="none"/>
          <w:lang w:val="en-US" w:eastAsia="zh-CN"/>
        </w:rPr>
        <w:t>TSP</w:t>
      </w:r>
      <w:r>
        <w:rPr>
          <w:rFonts w:hint="default" w:ascii="Times New Roman" w:hAnsi="Times New Roman" w:eastAsia="黑体" w:cs="Times New Roman"/>
          <w:b w:val="0"/>
          <w:bCs/>
          <w:color w:val="0000FF"/>
          <w:kern w:val="0"/>
          <w:sz w:val="24"/>
          <w:szCs w:val="24"/>
          <w:highlight w:val="none"/>
          <w:lang w:val="en-US" w:eastAsia="zh-CN" w:bidi="ar-SA"/>
        </w:rPr>
        <w:t>叠加最大</w:t>
      </w:r>
      <w:r>
        <w:rPr>
          <w:rFonts w:hint="eastAsia" w:ascii="Times New Roman" w:hAnsi="Times New Roman" w:eastAsia="黑体" w:cs="Times New Roman"/>
          <w:b w:val="0"/>
          <w:bCs/>
          <w:color w:val="0000FF"/>
          <w:kern w:val="0"/>
          <w:sz w:val="24"/>
          <w:szCs w:val="24"/>
          <w:highlight w:val="none"/>
          <w:lang w:val="en-US" w:eastAsia="zh-CN" w:bidi="ar-SA"/>
        </w:rPr>
        <w:t>年</w:t>
      </w:r>
      <w:r>
        <w:rPr>
          <w:rFonts w:hint="default" w:ascii="Times New Roman" w:hAnsi="Times New Roman" w:eastAsia="黑体" w:cs="Times New Roman"/>
          <w:b w:val="0"/>
          <w:bCs/>
          <w:color w:val="0000FF"/>
          <w:kern w:val="0"/>
          <w:sz w:val="24"/>
          <w:szCs w:val="24"/>
          <w:highlight w:val="none"/>
          <w:lang w:val="en-US" w:eastAsia="zh-CN" w:bidi="ar-SA"/>
        </w:rPr>
        <w:t>均</w:t>
      </w:r>
      <w:r>
        <w:rPr>
          <w:rFonts w:hint="default" w:ascii="Times New Roman" w:hAnsi="Times New Roman" w:eastAsia="黑体" w:cs="Times New Roman"/>
          <w:b w:val="0"/>
          <w:bCs/>
          <w:color w:val="0000FF"/>
          <w:highlight w:val="none"/>
        </w:rPr>
        <w:t>浓度分布图</w:t>
      </w:r>
      <w:r>
        <w:rPr>
          <w:rFonts w:hint="default" w:ascii="Times New Roman" w:hAnsi="Times New Roman" w:eastAsia="黑体" w:cs="Times New Roman"/>
          <w:b w:val="0"/>
          <w:bCs/>
          <w:color w:val="0000FF"/>
          <w:highlight w:val="none"/>
          <w:lang w:eastAsia="zh-CN"/>
        </w:rPr>
        <w:t>（</w:t>
      </w:r>
      <w:r>
        <w:rPr>
          <w:rFonts w:hint="default" w:ascii="Times New Roman" w:hAnsi="Times New Roman" w:eastAsia="黑体" w:cs="Times New Roman"/>
          <w:b w:val="0"/>
          <w:bCs/>
          <w:color w:val="0000FF"/>
          <w:szCs w:val="28"/>
        </w:rPr>
        <w:t>mg/m</w:t>
      </w:r>
      <w:r>
        <w:rPr>
          <w:rFonts w:hint="default" w:ascii="Times New Roman" w:hAnsi="Times New Roman" w:eastAsia="黑体" w:cs="Times New Roman"/>
          <w:b w:val="0"/>
          <w:bCs/>
          <w:color w:val="0000FF"/>
          <w:szCs w:val="28"/>
          <w:vertAlign w:val="superscript"/>
        </w:rPr>
        <w:t>3</w:t>
      </w:r>
      <w:r>
        <w:rPr>
          <w:rFonts w:hint="default" w:ascii="Times New Roman" w:hAnsi="Times New Roman" w:eastAsia="黑体" w:cs="Times New Roman"/>
          <w:b w:val="0"/>
          <w:bCs/>
          <w:color w:val="0000FF"/>
          <w:highlight w:val="none"/>
          <w:lang w:eastAsia="zh-CN"/>
        </w:rPr>
        <w:t>）</w:t>
      </w:r>
    </w:p>
    <w:p w14:paraId="352A5C64">
      <w:pPr>
        <w:pStyle w:val="133"/>
        <w:keepNext/>
        <w:keepLines w:val="0"/>
        <w:pageBreakBefore w:val="0"/>
        <w:widowControl/>
        <w:kinsoku/>
        <w:wordWrap/>
        <w:overflowPunct/>
        <w:topLinePunct w:val="0"/>
        <w:autoSpaceDE/>
        <w:autoSpaceDN/>
        <w:bidi w:val="0"/>
        <w:adjustRightInd/>
        <w:snapToGrid/>
        <w:textAlignment w:val="auto"/>
        <w:outlineLvl w:val="9"/>
      </w:pPr>
      <w:r>
        <w:drawing>
          <wp:inline distT="0" distB="0" distL="114300" distR="114300">
            <wp:extent cx="5272405" cy="2551430"/>
            <wp:effectExtent l="0" t="0" r="4445" b="1270"/>
            <wp:docPr id="185"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 name="图片 24"/>
                    <pic:cNvPicPr>
                      <a:picLocks noChangeAspect="1"/>
                    </pic:cNvPicPr>
                  </pic:nvPicPr>
                  <pic:blipFill>
                    <a:blip r:embed="rId96"/>
                    <a:stretch>
                      <a:fillRect/>
                    </a:stretch>
                  </pic:blipFill>
                  <pic:spPr>
                    <a:xfrm>
                      <a:off x="0" y="0"/>
                      <a:ext cx="5272405" cy="2551430"/>
                    </a:xfrm>
                    <a:prstGeom prst="rect">
                      <a:avLst/>
                    </a:prstGeom>
                    <a:noFill/>
                    <a:ln>
                      <a:noFill/>
                    </a:ln>
                  </pic:spPr>
                </pic:pic>
              </a:graphicData>
            </a:graphic>
          </wp:inline>
        </w:drawing>
      </w:r>
    </w:p>
    <w:p w14:paraId="3DD13F9C">
      <w:pPr>
        <w:pStyle w:val="727"/>
        <w:keepNext w:val="0"/>
        <w:keepLines w:val="0"/>
        <w:pageBreakBefore w:val="0"/>
        <w:widowControl/>
        <w:kinsoku/>
        <w:wordWrap/>
        <w:overflowPunct/>
        <w:topLinePunct w:val="0"/>
        <w:autoSpaceDE/>
        <w:autoSpaceDN/>
        <w:bidi w:val="0"/>
        <w:adjustRightInd w:val="0"/>
        <w:snapToGrid/>
        <w:spacing w:line="240" w:lineRule="auto"/>
        <w:textAlignment w:val="center"/>
        <w:rPr>
          <w:rFonts w:hint="default" w:ascii="Times New Roman" w:hAnsi="Times New Roman" w:eastAsia="黑体" w:cs="Times New Roman"/>
          <w:b w:val="0"/>
          <w:bCs/>
          <w:color w:val="0000FF"/>
          <w:highlight w:val="none"/>
          <w:lang w:eastAsia="zh-CN"/>
        </w:rPr>
      </w:pPr>
      <w:r>
        <w:rPr>
          <w:rFonts w:hint="eastAsia" w:ascii="Times New Roman" w:hAnsi="Times New Roman" w:eastAsia="黑体" w:cs="Times New Roman"/>
          <w:b w:val="0"/>
          <w:bCs/>
          <w:color w:val="0000FF"/>
          <w:highlight w:val="none"/>
          <w:lang w:val="en-US" w:eastAsia="zh-CN"/>
        </w:rPr>
        <w:t>图5.1-</w:t>
      </w:r>
      <w:r>
        <w:rPr>
          <w:rFonts w:hint="eastAsia" w:eastAsia="黑体" w:cs="Times New Roman"/>
          <w:b w:val="0"/>
          <w:bCs/>
          <w:color w:val="0000FF"/>
          <w:highlight w:val="none"/>
          <w:lang w:val="en-US" w:eastAsia="zh-CN"/>
        </w:rPr>
        <w:t>29</w:t>
      </w:r>
      <w:r>
        <w:rPr>
          <w:rFonts w:hint="eastAsia" w:ascii="Times New Roman" w:hAnsi="Times New Roman" w:eastAsia="黑体" w:cs="Times New Roman"/>
          <w:b w:val="0"/>
          <w:bCs/>
          <w:color w:val="0000FF"/>
          <w:highlight w:val="none"/>
          <w:lang w:val="en-US" w:eastAsia="zh-CN"/>
        </w:rPr>
        <w:t xml:space="preserve"> </w:t>
      </w:r>
      <w:r>
        <w:rPr>
          <w:rFonts w:hint="eastAsia" w:eastAsia="黑体" w:cs="Times New Roman"/>
          <w:b w:val="0"/>
          <w:bCs/>
          <w:color w:val="0000FF"/>
          <w:highlight w:val="none"/>
          <w:lang w:val="en-US" w:eastAsia="zh-CN"/>
        </w:rPr>
        <w:t>NH</w:t>
      </w:r>
      <w:r>
        <w:rPr>
          <w:rFonts w:hint="eastAsia" w:eastAsia="黑体" w:cs="Times New Roman"/>
          <w:b w:val="0"/>
          <w:bCs/>
          <w:color w:val="0000FF"/>
          <w:highlight w:val="none"/>
          <w:vertAlign w:val="subscript"/>
          <w:lang w:val="en-US" w:eastAsia="zh-CN"/>
        </w:rPr>
        <w:t>3</w:t>
      </w:r>
      <w:r>
        <w:rPr>
          <w:rFonts w:hint="default" w:ascii="Times New Roman" w:hAnsi="Times New Roman" w:eastAsia="黑体" w:cs="Times New Roman"/>
          <w:b w:val="0"/>
          <w:bCs/>
          <w:color w:val="0000FF"/>
          <w:kern w:val="0"/>
          <w:sz w:val="24"/>
          <w:szCs w:val="24"/>
          <w:highlight w:val="none"/>
          <w:lang w:val="en-US" w:eastAsia="zh-CN" w:bidi="ar-SA"/>
        </w:rPr>
        <w:t>叠加最大小时平均</w:t>
      </w:r>
      <w:r>
        <w:rPr>
          <w:rFonts w:hint="default" w:ascii="Times New Roman" w:hAnsi="Times New Roman" w:eastAsia="黑体" w:cs="Times New Roman"/>
          <w:b w:val="0"/>
          <w:bCs/>
          <w:color w:val="0000FF"/>
          <w:highlight w:val="none"/>
        </w:rPr>
        <w:t>浓度分布图</w:t>
      </w:r>
      <w:r>
        <w:rPr>
          <w:rFonts w:hint="default" w:ascii="Times New Roman" w:hAnsi="Times New Roman" w:eastAsia="黑体" w:cs="Times New Roman"/>
          <w:b w:val="0"/>
          <w:bCs/>
          <w:color w:val="0000FF"/>
          <w:highlight w:val="none"/>
          <w:lang w:eastAsia="zh-CN"/>
        </w:rPr>
        <w:t>（</w:t>
      </w:r>
      <w:r>
        <w:rPr>
          <w:rFonts w:hint="default" w:ascii="Times New Roman" w:hAnsi="Times New Roman" w:eastAsia="黑体" w:cs="Times New Roman"/>
          <w:b w:val="0"/>
          <w:bCs/>
          <w:color w:val="0000FF"/>
          <w:szCs w:val="28"/>
        </w:rPr>
        <w:t>mg/m</w:t>
      </w:r>
      <w:r>
        <w:rPr>
          <w:rFonts w:hint="default" w:ascii="Times New Roman" w:hAnsi="Times New Roman" w:eastAsia="黑体" w:cs="Times New Roman"/>
          <w:b w:val="0"/>
          <w:bCs/>
          <w:color w:val="0000FF"/>
          <w:szCs w:val="28"/>
          <w:vertAlign w:val="superscript"/>
        </w:rPr>
        <w:t>3</w:t>
      </w:r>
      <w:r>
        <w:rPr>
          <w:rFonts w:hint="default" w:ascii="Times New Roman" w:hAnsi="Times New Roman" w:eastAsia="黑体" w:cs="Times New Roman"/>
          <w:b w:val="0"/>
          <w:bCs/>
          <w:color w:val="0000FF"/>
          <w:highlight w:val="none"/>
          <w:lang w:eastAsia="zh-CN"/>
        </w:rPr>
        <w:t>）</w:t>
      </w:r>
    </w:p>
    <w:p w14:paraId="75EF5CDC">
      <w:pPr>
        <w:pStyle w:val="133"/>
        <w:keepNext/>
        <w:keepLines w:val="0"/>
        <w:pageBreakBefore w:val="0"/>
        <w:widowControl/>
        <w:kinsoku/>
        <w:wordWrap/>
        <w:overflowPunct/>
        <w:topLinePunct w:val="0"/>
        <w:autoSpaceDE/>
        <w:autoSpaceDN/>
        <w:bidi w:val="0"/>
        <w:adjustRightInd/>
        <w:snapToGrid w:val="0"/>
        <w:spacing w:line="240" w:lineRule="auto"/>
        <w:textAlignment w:val="auto"/>
        <w:outlineLvl w:val="9"/>
        <w:rPr>
          <w:rFonts w:hint="eastAsia"/>
          <w:lang w:eastAsia="zh-CN"/>
        </w:rPr>
      </w:pPr>
      <w:r>
        <w:drawing>
          <wp:inline distT="0" distB="0" distL="114300" distR="114300">
            <wp:extent cx="5272405" cy="2465705"/>
            <wp:effectExtent l="0" t="0" r="4445" b="10795"/>
            <wp:docPr id="186"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 name="图片 25"/>
                    <pic:cNvPicPr>
                      <a:picLocks noChangeAspect="1"/>
                    </pic:cNvPicPr>
                  </pic:nvPicPr>
                  <pic:blipFill>
                    <a:blip r:embed="rId97"/>
                    <a:stretch>
                      <a:fillRect/>
                    </a:stretch>
                  </pic:blipFill>
                  <pic:spPr>
                    <a:xfrm>
                      <a:off x="0" y="0"/>
                      <a:ext cx="5272405" cy="2465705"/>
                    </a:xfrm>
                    <a:prstGeom prst="rect">
                      <a:avLst/>
                    </a:prstGeom>
                    <a:noFill/>
                    <a:ln>
                      <a:noFill/>
                    </a:ln>
                  </pic:spPr>
                </pic:pic>
              </a:graphicData>
            </a:graphic>
          </wp:inline>
        </w:drawing>
      </w:r>
    </w:p>
    <w:p w14:paraId="27B2EA82">
      <w:pPr>
        <w:pStyle w:val="727"/>
        <w:keepNext w:val="0"/>
        <w:keepLines w:val="0"/>
        <w:pageBreakBefore w:val="0"/>
        <w:widowControl/>
        <w:kinsoku/>
        <w:wordWrap/>
        <w:overflowPunct/>
        <w:topLinePunct w:val="0"/>
        <w:autoSpaceDE/>
        <w:autoSpaceDN/>
        <w:bidi w:val="0"/>
        <w:adjustRightInd w:val="0"/>
        <w:snapToGrid/>
        <w:spacing w:line="240" w:lineRule="auto"/>
        <w:textAlignment w:val="center"/>
        <w:rPr>
          <w:rFonts w:hint="default" w:ascii="Times New Roman" w:hAnsi="Times New Roman" w:eastAsia="黑体" w:cs="Times New Roman"/>
          <w:b w:val="0"/>
          <w:bCs/>
          <w:color w:val="0000FF"/>
          <w:highlight w:val="none"/>
          <w:lang w:eastAsia="zh-CN"/>
        </w:rPr>
      </w:pPr>
      <w:r>
        <w:rPr>
          <w:rFonts w:hint="eastAsia" w:ascii="Times New Roman" w:hAnsi="Times New Roman" w:eastAsia="黑体" w:cs="Times New Roman"/>
          <w:b w:val="0"/>
          <w:bCs/>
          <w:color w:val="0000FF"/>
          <w:highlight w:val="none"/>
          <w:lang w:val="en-US" w:eastAsia="zh-CN"/>
        </w:rPr>
        <w:t>图5.1-</w:t>
      </w:r>
      <w:r>
        <w:rPr>
          <w:rFonts w:hint="eastAsia" w:eastAsia="黑体" w:cs="Times New Roman"/>
          <w:b w:val="0"/>
          <w:bCs/>
          <w:color w:val="0000FF"/>
          <w:highlight w:val="none"/>
          <w:lang w:val="en-US" w:eastAsia="zh-CN"/>
        </w:rPr>
        <w:t>30</w:t>
      </w:r>
      <w:r>
        <w:rPr>
          <w:rFonts w:hint="eastAsia" w:ascii="Times New Roman" w:hAnsi="Times New Roman" w:eastAsia="黑体" w:cs="Times New Roman"/>
          <w:b w:val="0"/>
          <w:bCs/>
          <w:color w:val="0000FF"/>
          <w:highlight w:val="none"/>
          <w:lang w:val="en-US" w:eastAsia="zh-CN"/>
        </w:rPr>
        <w:t xml:space="preserve"> </w:t>
      </w:r>
      <w:r>
        <w:rPr>
          <w:rFonts w:hint="eastAsia" w:eastAsia="黑体" w:cs="Times New Roman"/>
          <w:b w:val="0"/>
          <w:bCs/>
          <w:color w:val="0000FF"/>
          <w:highlight w:val="none"/>
          <w:lang w:val="en-US" w:eastAsia="zh-CN"/>
        </w:rPr>
        <w:t>二噁英</w:t>
      </w:r>
      <w:r>
        <w:rPr>
          <w:rFonts w:hint="default" w:ascii="Times New Roman" w:hAnsi="Times New Roman" w:eastAsia="黑体" w:cs="Times New Roman"/>
          <w:b w:val="0"/>
          <w:bCs/>
          <w:color w:val="0000FF"/>
          <w:kern w:val="0"/>
          <w:sz w:val="24"/>
          <w:szCs w:val="24"/>
          <w:highlight w:val="none"/>
          <w:lang w:val="en-US" w:eastAsia="zh-CN" w:bidi="ar-SA"/>
        </w:rPr>
        <w:t>叠加最大小时平均</w:t>
      </w:r>
      <w:r>
        <w:rPr>
          <w:rFonts w:hint="default" w:ascii="Times New Roman" w:hAnsi="Times New Roman" w:eastAsia="黑体" w:cs="Times New Roman"/>
          <w:b w:val="0"/>
          <w:bCs/>
          <w:color w:val="0000FF"/>
          <w:highlight w:val="none"/>
        </w:rPr>
        <w:t>浓度分布图</w:t>
      </w:r>
      <w:r>
        <w:rPr>
          <w:rFonts w:hint="default" w:ascii="Times New Roman" w:hAnsi="Times New Roman" w:eastAsia="黑体" w:cs="Times New Roman"/>
          <w:b w:val="0"/>
          <w:bCs/>
          <w:color w:val="0000FF"/>
          <w:highlight w:val="none"/>
          <w:lang w:eastAsia="zh-CN"/>
        </w:rPr>
        <w:t>（</w:t>
      </w:r>
      <w:r>
        <w:rPr>
          <w:rFonts w:hint="eastAsia" w:eastAsia="黑体" w:cs="Times New Roman"/>
          <w:b w:val="0"/>
          <w:bCs/>
          <w:color w:val="0000FF"/>
          <w:highlight w:val="none"/>
          <w:lang w:val="en-US" w:eastAsia="zh-CN"/>
        </w:rPr>
        <w:t>10</w:t>
      </w:r>
      <w:r>
        <w:rPr>
          <w:rFonts w:hint="eastAsia" w:eastAsia="黑体" w:cs="Times New Roman"/>
          <w:b w:val="0"/>
          <w:bCs/>
          <w:color w:val="0000FF"/>
          <w:highlight w:val="none"/>
          <w:vertAlign w:val="superscript"/>
          <w:lang w:val="en-US" w:eastAsia="zh-CN"/>
        </w:rPr>
        <w:t>-6</w:t>
      </w:r>
      <w:r>
        <w:rPr>
          <w:rFonts w:hint="default" w:ascii="Times New Roman" w:hAnsi="Times New Roman" w:eastAsia="黑体" w:cs="Times New Roman"/>
          <w:b w:val="0"/>
          <w:bCs/>
          <w:color w:val="0000FF"/>
          <w:szCs w:val="28"/>
        </w:rPr>
        <w:t>mg/m</w:t>
      </w:r>
      <w:r>
        <w:rPr>
          <w:rFonts w:hint="default" w:ascii="Times New Roman" w:hAnsi="Times New Roman" w:eastAsia="黑体" w:cs="Times New Roman"/>
          <w:b w:val="0"/>
          <w:bCs/>
          <w:color w:val="0000FF"/>
          <w:szCs w:val="28"/>
          <w:vertAlign w:val="superscript"/>
        </w:rPr>
        <w:t>3</w:t>
      </w:r>
      <w:r>
        <w:rPr>
          <w:rFonts w:hint="default" w:ascii="Times New Roman" w:hAnsi="Times New Roman" w:eastAsia="黑体" w:cs="Times New Roman"/>
          <w:b w:val="0"/>
          <w:bCs/>
          <w:color w:val="0000FF"/>
          <w:highlight w:val="none"/>
          <w:lang w:eastAsia="zh-CN"/>
        </w:rPr>
        <w:t>）</w:t>
      </w:r>
    </w:p>
    <w:p w14:paraId="7D5994C4">
      <w:pPr>
        <w:rPr>
          <w:rFonts w:hint="default" w:ascii="Times New Roman" w:hAnsi="Times New Roman" w:eastAsia="黑体" w:cs="Times New Roman"/>
          <w:b w:val="0"/>
          <w:bCs/>
          <w:color w:val="0000FF"/>
          <w:highlight w:val="none"/>
          <w:lang w:eastAsia="zh-CN"/>
        </w:rPr>
      </w:pPr>
    </w:p>
    <w:p w14:paraId="04293B0E">
      <w:pPr>
        <w:pStyle w:val="2"/>
        <w:rPr>
          <w:rFonts w:hint="eastAsia" w:ascii="Times New Roman" w:hAnsi="Times New Roman" w:eastAsia="宋体" w:cs="Times New Roman"/>
          <w:color w:val="0000FF"/>
          <w:sz w:val="24"/>
          <w:szCs w:val="32"/>
          <w:lang w:eastAsia="zh-CN"/>
        </w:rPr>
      </w:pPr>
      <w:r>
        <w:rPr>
          <w:rFonts w:hint="default" w:ascii="Times New Roman" w:hAnsi="Times New Roman" w:eastAsia="宋体" w:cs="Times New Roman"/>
          <w:color w:val="0000FF"/>
          <w:sz w:val="24"/>
          <w:szCs w:val="32"/>
          <w:lang w:eastAsia="zh-CN"/>
        </w:rPr>
        <w:t>根据上表叠加预测结果看出，项目建设后</w:t>
      </w:r>
      <w:r>
        <w:rPr>
          <w:rFonts w:hint="eastAsia" w:ascii="Times New Roman" w:hAnsi="Times New Roman" w:eastAsia="宋体" w:cs="Times New Roman"/>
          <w:color w:val="0000FF"/>
          <w:sz w:val="24"/>
          <w:szCs w:val="32"/>
          <w:lang w:val="en-US" w:eastAsia="zh-CN"/>
        </w:rPr>
        <w:t>SO</w:t>
      </w:r>
      <w:r>
        <w:rPr>
          <w:rFonts w:hint="eastAsia" w:ascii="Times New Roman" w:hAnsi="Times New Roman" w:eastAsia="宋体" w:cs="Times New Roman"/>
          <w:color w:val="0000FF"/>
          <w:sz w:val="24"/>
          <w:szCs w:val="32"/>
          <w:vertAlign w:val="subscript"/>
          <w:lang w:val="en-US" w:eastAsia="zh-CN"/>
        </w:rPr>
        <w:t>2</w:t>
      </w:r>
      <w:r>
        <w:rPr>
          <w:rFonts w:hint="default" w:ascii="Times New Roman" w:hAnsi="Times New Roman" w:eastAsia="宋体" w:cs="Times New Roman"/>
          <w:color w:val="0000FF"/>
          <w:sz w:val="24"/>
          <w:szCs w:val="32"/>
          <w:lang w:eastAsia="zh-CN"/>
        </w:rPr>
        <w:t>、氮氧化物在敏感点和网格最大点的小时</w:t>
      </w:r>
      <w:r>
        <w:rPr>
          <w:rFonts w:hint="eastAsia" w:ascii="Times New Roman" w:hAnsi="Times New Roman" w:eastAsia="宋体" w:cs="Times New Roman"/>
          <w:color w:val="0000FF"/>
          <w:sz w:val="24"/>
          <w:szCs w:val="32"/>
          <w:lang w:eastAsia="zh-CN"/>
        </w:rPr>
        <w:t>、</w:t>
      </w:r>
      <w:r>
        <w:rPr>
          <w:rFonts w:hint="default" w:ascii="Times New Roman" w:hAnsi="Times New Roman" w:eastAsia="宋体" w:cs="Times New Roman"/>
          <w:color w:val="0000FF"/>
          <w:sz w:val="24"/>
          <w:szCs w:val="32"/>
          <w:lang w:eastAsia="zh-CN"/>
        </w:rPr>
        <w:t>最大点的保证率日均、年均叠加最大浓度均不超标</w:t>
      </w:r>
      <w:r>
        <w:rPr>
          <w:rFonts w:hint="eastAsia" w:ascii="Times New Roman" w:hAnsi="Times New Roman" w:eastAsia="宋体" w:cs="Times New Roman"/>
          <w:color w:val="0000FF"/>
          <w:sz w:val="24"/>
          <w:szCs w:val="32"/>
          <w:lang w:eastAsia="zh-CN"/>
        </w:rPr>
        <w:t>；</w:t>
      </w:r>
      <w:r>
        <w:rPr>
          <w:rFonts w:hint="eastAsia" w:ascii="Times New Roman" w:hAnsi="Times New Roman" w:eastAsia="宋体" w:cs="Times New Roman"/>
          <w:color w:val="0000FF"/>
          <w:sz w:val="24"/>
          <w:szCs w:val="32"/>
          <w:lang w:val="en-US" w:eastAsia="zh-CN"/>
        </w:rPr>
        <w:t>氟化物</w:t>
      </w:r>
      <w:r>
        <w:rPr>
          <w:rFonts w:hint="default" w:ascii="Times New Roman" w:hAnsi="Times New Roman" w:eastAsia="宋体" w:cs="Times New Roman"/>
          <w:color w:val="0000FF"/>
          <w:sz w:val="24"/>
          <w:szCs w:val="32"/>
          <w:lang w:eastAsia="zh-CN"/>
        </w:rPr>
        <w:t>在敏感点和网格点最大点的小时、日均叠加最大浓度均不超标</w:t>
      </w:r>
      <w:r>
        <w:rPr>
          <w:rFonts w:hint="eastAsia" w:ascii="Times New Roman" w:hAnsi="Times New Roman" w:eastAsia="宋体" w:cs="Times New Roman"/>
          <w:color w:val="0000FF"/>
          <w:sz w:val="24"/>
          <w:szCs w:val="32"/>
          <w:lang w:eastAsia="zh-CN"/>
        </w:rPr>
        <w:t>；</w:t>
      </w:r>
      <w:r>
        <w:rPr>
          <w:rFonts w:hint="default" w:ascii="Times New Roman" w:hAnsi="Times New Roman" w:eastAsia="宋体" w:cs="Times New Roman"/>
          <w:color w:val="0000FF"/>
          <w:sz w:val="24"/>
          <w:szCs w:val="32"/>
          <w:lang w:eastAsia="zh-CN"/>
        </w:rPr>
        <w:t>TSP在敏感点和网格最大点的保证率日均、年均叠加最大浓度均不超标</w:t>
      </w:r>
      <w:r>
        <w:rPr>
          <w:rFonts w:hint="eastAsia" w:ascii="Times New Roman" w:hAnsi="Times New Roman" w:eastAsia="宋体" w:cs="Times New Roman"/>
          <w:color w:val="0000FF"/>
          <w:sz w:val="24"/>
          <w:szCs w:val="32"/>
          <w:lang w:eastAsia="zh-CN"/>
        </w:rPr>
        <w:t>；</w:t>
      </w:r>
      <w:r>
        <w:rPr>
          <w:rFonts w:hint="default" w:ascii="Times New Roman" w:hAnsi="Times New Roman" w:eastAsia="宋体" w:cs="Times New Roman"/>
          <w:color w:val="0000FF"/>
          <w:sz w:val="24"/>
          <w:szCs w:val="32"/>
          <w:lang w:eastAsia="zh-CN"/>
        </w:rPr>
        <w:t>氨、</w:t>
      </w:r>
      <w:r>
        <w:rPr>
          <w:rFonts w:hint="eastAsia" w:ascii="Times New Roman" w:hAnsi="Times New Roman" w:eastAsia="宋体" w:cs="Times New Roman"/>
          <w:color w:val="0000FF"/>
          <w:sz w:val="24"/>
          <w:szCs w:val="32"/>
          <w:lang w:val="en-US" w:eastAsia="zh-CN"/>
        </w:rPr>
        <w:t>二噁英</w:t>
      </w:r>
      <w:r>
        <w:rPr>
          <w:rFonts w:hint="default" w:ascii="Times New Roman" w:hAnsi="Times New Roman" w:eastAsia="宋体" w:cs="Times New Roman"/>
          <w:color w:val="0000FF"/>
          <w:sz w:val="24"/>
          <w:szCs w:val="32"/>
          <w:lang w:eastAsia="zh-CN"/>
        </w:rPr>
        <w:t>在敏感点和网格最大点的小时叠加最大浓度均不超标</w:t>
      </w:r>
      <w:r>
        <w:rPr>
          <w:rFonts w:hint="eastAsia" w:ascii="Times New Roman" w:hAnsi="Times New Roman" w:eastAsia="宋体" w:cs="Times New Roman"/>
          <w:color w:val="0000FF"/>
          <w:sz w:val="24"/>
          <w:szCs w:val="32"/>
          <w:lang w:eastAsia="zh-CN"/>
        </w:rPr>
        <w:t>。</w:t>
      </w:r>
    </w:p>
    <w:p w14:paraId="2318B9EE">
      <w:pPr>
        <w:pStyle w:val="2"/>
        <w:rPr>
          <w:rFonts w:hint="default" w:ascii="Times New Roman" w:hAnsi="Times New Roman" w:eastAsia="宋体" w:cs="Times New Roman"/>
          <w:color w:val="0000FF"/>
          <w:sz w:val="24"/>
          <w:szCs w:val="32"/>
          <w:lang w:val="en-US" w:eastAsia="zh-CN"/>
        </w:rPr>
      </w:pPr>
      <w:r>
        <w:rPr>
          <w:rFonts w:hint="eastAsia" w:ascii="Times New Roman" w:hAnsi="Times New Roman" w:eastAsia="宋体" w:cs="Times New Roman"/>
          <w:color w:val="0000FF"/>
          <w:sz w:val="24"/>
          <w:szCs w:val="32"/>
          <w:lang w:val="en-US" w:eastAsia="zh-CN"/>
        </w:rPr>
        <w:t>因此</w:t>
      </w:r>
      <w:r>
        <w:rPr>
          <w:rFonts w:hint="default" w:ascii="Times New Roman" w:hAnsi="Times New Roman" w:eastAsia="宋体" w:cs="Times New Roman"/>
          <w:color w:val="0000FF"/>
          <w:sz w:val="24"/>
          <w:szCs w:val="32"/>
          <w:lang w:val="en-US" w:eastAsia="zh-CN"/>
        </w:rPr>
        <w:t>，各污染物因子叠加现状值、“以新带老”削减项目后短期浓度和长期浓度均能满足环境质量标准要求。</w:t>
      </w:r>
    </w:p>
    <w:p w14:paraId="7B75F563">
      <w:pPr>
        <w:pStyle w:val="133"/>
        <w:rPr>
          <w:color w:val="0000FF"/>
        </w:rPr>
      </w:pPr>
      <w:r>
        <w:rPr>
          <w:rFonts w:hint="eastAsia"/>
          <w:color w:val="0000FF"/>
          <w:lang w:eastAsia="zh-CN"/>
        </w:rPr>
        <w:t>5</w:t>
      </w:r>
      <w:r>
        <w:rPr>
          <w:color w:val="0000FF"/>
        </w:rPr>
        <w:t>.1.</w:t>
      </w:r>
      <w:r>
        <w:rPr>
          <w:rFonts w:hint="eastAsia"/>
          <w:color w:val="0000FF"/>
          <w:lang w:val="en-US" w:eastAsia="zh-CN"/>
        </w:rPr>
        <w:t>8</w:t>
      </w:r>
      <w:r>
        <w:rPr>
          <w:color w:val="0000FF"/>
        </w:rPr>
        <w:t xml:space="preserve">.2 </w:t>
      </w:r>
      <w:r>
        <w:rPr>
          <w:rFonts w:hint="eastAsia"/>
          <w:color w:val="0000FF"/>
        </w:rPr>
        <w:t>非正常工况大气环境影响预测结果</w:t>
      </w:r>
    </w:p>
    <w:p w14:paraId="31EC9704">
      <w:pPr>
        <w:keepNext w:val="0"/>
        <w:keepLines w:val="0"/>
        <w:pageBreakBefore w:val="0"/>
        <w:widowControl/>
        <w:kinsoku/>
        <w:wordWrap/>
        <w:overflowPunct/>
        <w:topLinePunct w:val="0"/>
        <w:autoSpaceDE/>
        <w:autoSpaceDN/>
        <w:bidi w:val="0"/>
        <w:adjustRightInd/>
        <w:snapToGrid w:val="0"/>
        <w:spacing w:line="360" w:lineRule="auto"/>
        <w:ind w:firstLine="480" w:firstLineChars="200"/>
        <w:textAlignment w:val="auto"/>
        <w:rPr>
          <w:rFonts w:ascii="Times New Roman" w:hAnsi="Times New Roman" w:cs="Times New Roman"/>
        </w:rPr>
      </w:pPr>
      <w:r>
        <w:rPr>
          <w:rFonts w:hint="eastAsia" w:ascii="Times New Roman" w:hAnsi="Times New Roman" w:eastAsia="宋体" w:cs="Times New Roman"/>
          <w:color w:val="0000FF"/>
          <w:kern w:val="2"/>
          <w:sz w:val="24"/>
          <w:szCs w:val="32"/>
          <w:lang w:val="en-US" w:eastAsia="zh-CN" w:bidi="ar-SA"/>
        </w:rPr>
        <w:t>本项目非正常排放情况主要为废气处理装置出现故障时的排放情况，此时的处理效率为0，导致尾气超标排放。</w:t>
      </w:r>
      <w:r>
        <w:rPr>
          <w:rFonts w:ascii="Times New Roman" w:hAnsi="Times New Roman" w:cs="Times New Roman"/>
          <w:color w:val="0000FF"/>
        </w:rPr>
        <w:t>非正常工况下，预测因子的评价区域最大落地浓度1h贡献值预测结果详见</w:t>
      </w:r>
      <w:r>
        <w:rPr>
          <w:rFonts w:hint="eastAsia" w:ascii="Times New Roman" w:hAnsi="Times New Roman" w:cs="Times New Roman"/>
          <w:color w:val="0000FF"/>
          <w:lang w:val="en-US" w:eastAsia="zh-CN"/>
        </w:rPr>
        <w:t>下</w:t>
      </w:r>
      <w:r>
        <w:rPr>
          <w:rFonts w:ascii="Times New Roman" w:hAnsi="Times New Roman" w:cs="Times New Roman"/>
          <w:color w:val="0000FF"/>
        </w:rPr>
        <w:t>表。</w:t>
      </w:r>
    </w:p>
    <w:p w14:paraId="79B11A16">
      <w:pPr>
        <w:jc w:val="center"/>
        <w:rPr>
          <w:rFonts w:ascii="Times New Roman" w:hAnsi="Times New Roman" w:eastAsia="黑体" w:cs="Times New Roman"/>
          <w:bCs/>
          <w:color w:val="0000FF"/>
        </w:rPr>
      </w:pPr>
      <w:r>
        <w:rPr>
          <w:rFonts w:ascii="Times New Roman" w:hAnsi="Times New Roman" w:eastAsia="黑体" w:cs="Times New Roman"/>
          <w:bCs/>
          <w:color w:val="0000FF"/>
        </w:rPr>
        <w:t>表</w:t>
      </w:r>
      <w:r>
        <w:rPr>
          <w:rFonts w:hint="eastAsia" w:ascii="Times New Roman" w:hAnsi="Times New Roman" w:eastAsia="黑体" w:cs="Times New Roman"/>
          <w:bCs/>
          <w:color w:val="0000FF"/>
        </w:rPr>
        <w:t>5</w:t>
      </w:r>
      <w:r>
        <w:rPr>
          <w:rFonts w:ascii="Times New Roman" w:hAnsi="Times New Roman" w:eastAsia="黑体" w:cs="Times New Roman"/>
          <w:bCs/>
          <w:color w:val="0000FF"/>
        </w:rPr>
        <w:t>.1-2</w:t>
      </w:r>
      <w:r>
        <w:rPr>
          <w:rFonts w:hint="eastAsia" w:ascii="Times New Roman" w:hAnsi="Times New Roman" w:eastAsia="黑体" w:cs="Times New Roman"/>
          <w:bCs/>
          <w:color w:val="0000FF"/>
          <w:lang w:val="en-US" w:eastAsia="zh-CN"/>
        </w:rPr>
        <w:t>8</w:t>
      </w:r>
      <w:r>
        <w:rPr>
          <w:rFonts w:ascii="Times New Roman" w:hAnsi="Times New Roman" w:eastAsia="黑体" w:cs="Times New Roman"/>
          <w:bCs/>
          <w:color w:val="0000FF"/>
        </w:rPr>
        <w:t xml:space="preserve">  非正常工况预测因子最大落地浓度1h贡献值结果</w:t>
      </w:r>
    </w:p>
    <w:tbl>
      <w:tblPr>
        <w:tblStyle w:val="56"/>
        <w:tblW w:w="5000" w:type="pct"/>
        <w:tblInd w:w="0" w:type="dxa"/>
        <w:tblBorders>
          <w:top w:val="thinThickSmallGap" w:color="000000" w:sz="12" w:space="0"/>
          <w:left w:val="none" w:color="auto" w:sz="0" w:space="0"/>
          <w:bottom w:val="thinThickSmallGap" w:color="000000" w:sz="12" w:space="0"/>
          <w:right w:val="none" w:color="auto" w:sz="0" w:space="0"/>
          <w:insideH w:val="single" w:color="000000" w:sz="4" w:space="0"/>
          <w:insideV w:val="single" w:color="000000" w:sz="4" w:space="0"/>
        </w:tblBorders>
        <w:shd w:val="clear" w:color="auto" w:fill="auto"/>
        <w:tblLayout w:type="fixed"/>
        <w:tblCellMar>
          <w:top w:w="0" w:type="dxa"/>
          <w:left w:w="108" w:type="dxa"/>
          <w:bottom w:w="0" w:type="dxa"/>
          <w:right w:w="108" w:type="dxa"/>
        </w:tblCellMar>
      </w:tblPr>
      <w:tblGrid>
        <w:gridCol w:w="410"/>
        <w:gridCol w:w="1166"/>
        <w:gridCol w:w="1151"/>
        <w:gridCol w:w="921"/>
        <w:gridCol w:w="1182"/>
        <w:gridCol w:w="1197"/>
        <w:gridCol w:w="1074"/>
        <w:gridCol w:w="936"/>
        <w:gridCol w:w="682"/>
      </w:tblGrid>
      <w:tr w14:paraId="33C2F96D">
        <w:tblPrEx>
          <w:tblBorders>
            <w:top w:val="thinThickSmallGap" w:color="000000" w:sz="12" w:space="0"/>
            <w:left w:val="none" w:color="auto" w:sz="0" w:space="0"/>
            <w:bottom w:val="thinThickSmallGap"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295" w:hRule="atLeast"/>
        </w:trPr>
        <w:tc>
          <w:tcPr>
            <w:tcW w:w="235" w:type="pct"/>
            <w:tcBorders>
              <w:tl2br w:val="nil"/>
              <w:tr2bl w:val="nil"/>
            </w:tcBorders>
            <w:shd w:val="clear" w:color="auto" w:fill="auto"/>
            <w:noWrap/>
            <w:vAlign w:val="center"/>
          </w:tcPr>
          <w:p w14:paraId="77E43DA2">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eastAsia" w:ascii="宋体" w:hAnsi="宋体" w:eastAsia="宋体" w:cs="宋体"/>
                <w:i w:val="0"/>
                <w:iCs w:val="0"/>
                <w:color w:val="0000FF"/>
                <w:sz w:val="22"/>
                <w:szCs w:val="22"/>
                <w:u w:val="none"/>
              </w:rPr>
            </w:pPr>
            <w:r>
              <w:rPr>
                <w:rFonts w:hint="eastAsia" w:ascii="宋体" w:hAnsi="宋体" w:eastAsia="宋体" w:cs="宋体"/>
                <w:i w:val="0"/>
                <w:iCs w:val="0"/>
                <w:color w:val="0000FF"/>
                <w:kern w:val="0"/>
                <w:sz w:val="22"/>
                <w:szCs w:val="22"/>
                <w:u w:val="none"/>
                <w:lang w:val="en-US" w:eastAsia="zh-CN" w:bidi="ar"/>
              </w:rPr>
              <w:t>序号</w:t>
            </w:r>
          </w:p>
        </w:tc>
        <w:tc>
          <w:tcPr>
            <w:tcW w:w="668" w:type="pct"/>
            <w:tcBorders>
              <w:tl2br w:val="nil"/>
              <w:tr2bl w:val="nil"/>
            </w:tcBorders>
            <w:shd w:val="clear" w:color="auto" w:fill="auto"/>
            <w:noWrap/>
            <w:vAlign w:val="center"/>
          </w:tcPr>
          <w:p w14:paraId="22F51F66">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eastAsia" w:ascii="宋体" w:hAnsi="宋体" w:eastAsia="宋体" w:cs="宋体"/>
                <w:i w:val="0"/>
                <w:iCs w:val="0"/>
                <w:color w:val="0000FF"/>
                <w:sz w:val="22"/>
                <w:szCs w:val="22"/>
                <w:u w:val="none"/>
              </w:rPr>
            </w:pPr>
            <w:r>
              <w:rPr>
                <w:rFonts w:hint="eastAsia" w:ascii="宋体" w:hAnsi="宋体" w:eastAsia="宋体" w:cs="宋体"/>
                <w:i w:val="0"/>
                <w:iCs w:val="0"/>
                <w:color w:val="0000FF"/>
                <w:kern w:val="0"/>
                <w:sz w:val="22"/>
                <w:szCs w:val="22"/>
                <w:u w:val="none"/>
                <w:lang w:val="en-US" w:eastAsia="zh-CN" w:bidi="ar"/>
              </w:rPr>
              <w:t>点名称</w:t>
            </w:r>
          </w:p>
        </w:tc>
        <w:tc>
          <w:tcPr>
            <w:tcW w:w="659" w:type="pct"/>
            <w:tcBorders>
              <w:tl2br w:val="nil"/>
              <w:tr2bl w:val="nil"/>
            </w:tcBorders>
            <w:shd w:val="clear" w:color="auto" w:fill="auto"/>
            <w:noWrap/>
            <w:vAlign w:val="center"/>
          </w:tcPr>
          <w:p w14:paraId="5941B9B9">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eastAsia" w:ascii="宋体" w:hAnsi="宋体" w:eastAsia="宋体" w:cs="宋体"/>
                <w:i w:val="0"/>
                <w:iCs w:val="0"/>
                <w:color w:val="0000FF"/>
                <w:sz w:val="22"/>
                <w:szCs w:val="22"/>
                <w:u w:val="none"/>
              </w:rPr>
            </w:pPr>
            <w:r>
              <w:rPr>
                <w:rFonts w:hint="eastAsia" w:ascii="宋体" w:hAnsi="宋体" w:eastAsia="宋体" w:cs="宋体"/>
                <w:i w:val="0"/>
                <w:iCs w:val="0"/>
                <w:color w:val="0000FF"/>
                <w:kern w:val="0"/>
                <w:sz w:val="22"/>
                <w:szCs w:val="22"/>
                <w:u w:val="none"/>
                <w:lang w:val="en-US" w:eastAsia="zh-CN" w:bidi="ar"/>
              </w:rPr>
              <w:t>点坐标</w:t>
            </w:r>
            <w:r>
              <w:rPr>
                <w:rFonts w:hint="default" w:ascii="Times New Roman" w:hAnsi="Times New Roman" w:eastAsia="宋体" w:cs="Times New Roman"/>
                <w:i w:val="0"/>
                <w:iCs w:val="0"/>
                <w:color w:val="0000FF"/>
                <w:kern w:val="0"/>
                <w:sz w:val="22"/>
                <w:szCs w:val="22"/>
                <w:u w:val="none"/>
                <w:lang w:val="en-US" w:eastAsia="zh-CN" w:bidi="ar"/>
              </w:rPr>
              <w:t>(x</w:t>
            </w:r>
            <w:r>
              <w:rPr>
                <w:rFonts w:hint="eastAsia" w:ascii="宋体" w:hAnsi="宋体" w:eastAsia="宋体" w:cs="宋体"/>
                <w:i w:val="0"/>
                <w:iCs w:val="0"/>
                <w:color w:val="0000FF"/>
                <w:kern w:val="0"/>
                <w:sz w:val="22"/>
                <w:szCs w:val="22"/>
                <w:u w:val="none"/>
                <w:lang w:val="en-US" w:eastAsia="zh-CN" w:bidi="ar"/>
              </w:rPr>
              <w:t>,</w:t>
            </w:r>
            <w:r>
              <w:rPr>
                <w:rFonts w:hint="default" w:ascii="Times New Roman" w:hAnsi="Times New Roman" w:eastAsia="宋体" w:cs="Times New Roman"/>
                <w:i w:val="0"/>
                <w:iCs w:val="0"/>
                <w:color w:val="0000FF"/>
                <w:kern w:val="0"/>
                <w:sz w:val="22"/>
                <w:szCs w:val="22"/>
                <w:u w:val="none"/>
                <w:lang w:val="en-US" w:eastAsia="zh-CN" w:bidi="ar"/>
              </w:rPr>
              <w:t>y)</w:t>
            </w:r>
          </w:p>
        </w:tc>
        <w:tc>
          <w:tcPr>
            <w:tcW w:w="527" w:type="pct"/>
            <w:tcBorders>
              <w:tl2br w:val="nil"/>
              <w:tr2bl w:val="nil"/>
            </w:tcBorders>
            <w:shd w:val="clear" w:color="auto" w:fill="auto"/>
            <w:noWrap/>
            <w:vAlign w:val="center"/>
          </w:tcPr>
          <w:p w14:paraId="2A5C15B7">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eastAsia" w:ascii="宋体" w:hAnsi="宋体" w:eastAsia="宋体" w:cs="宋体"/>
                <w:i w:val="0"/>
                <w:iCs w:val="0"/>
                <w:color w:val="0000FF"/>
                <w:sz w:val="22"/>
                <w:szCs w:val="22"/>
                <w:u w:val="none"/>
              </w:rPr>
            </w:pPr>
            <w:r>
              <w:rPr>
                <w:rFonts w:hint="eastAsia" w:ascii="宋体" w:hAnsi="宋体" w:eastAsia="宋体" w:cs="宋体"/>
                <w:i w:val="0"/>
                <w:iCs w:val="0"/>
                <w:color w:val="0000FF"/>
                <w:kern w:val="0"/>
                <w:sz w:val="22"/>
                <w:szCs w:val="22"/>
                <w:u w:val="none"/>
                <w:lang w:val="en-US" w:eastAsia="zh-CN" w:bidi="ar"/>
              </w:rPr>
              <w:t>浓度类型</w:t>
            </w:r>
          </w:p>
        </w:tc>
        <w:tc>
          <w:tcPr>
            <w:tcW w:w="677" w:type="pct"/>
            <w:tcBorders>
              <w:tl2br w:val="nil"/>
              <w:tr2bl w:val="nil"/>
            </w:tcBorders>
            <w:shd w:val="clear" w:color="auto" w:fill="auto"/>
            <w:noWrap/>
            <w:vAlign w:val="center"/>
          </w:tcPr>
          <w:p w14:paraId="451C802A">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eastAsia" w:ascii="宋体" w:hAnsi="宋体" w:eastAsia="宋体" w:cs="宋体"/>
                <w:i w:val="0"/>
                <w:iCs w:val="0"/>
                <w:color w:val="0000FF"/>
                <w:sz w:val="22"/>
                <w:szCs w:val="22"/>
                <w:u w:val="none"/>
              </w:rPr>
            </w:pPr>
            <w:r>
              <w:rPr>
                <w:rFonts w:hint="eastAsia" w:ascii="宋体" w:hAnsi="宋体" w:eastAsia="宋体" w:cs="宋体"/>
                <w:i w:val="0"/>
                <w:iCs w:val="0"/>
                <w:color w:val="0000FF"/>
                <w:kern w:val="0"/>
                <w:sz w:val="22"/>
                <w:szCs w:val="22"/>
                <w:u w:val="none"/>
                <w:lang w:val="en-US" w:eastAsia="zh-CN" w:bidi="ar"/>
              </w:rPr>
              <w:t>浓度增量</w:t>
            </w:r>
            <w:r>
              <w:rPr>
                <w:rFonts w:hint="default" w:ascii="Times New Roman" w:hAnsi="Times New Roman" w:eastAsia="宋体" w:cs="Times New Roman"/>
                <w:i w:val="0"/>
                <w:iCs w:val="0"/>
                <w:color w:val="0000FF"/>
                <w:kern w:val="0"/>
                <w:sz w:val="22"/>
                <w:szCs w:val="22"/>
                <w:u w:val="none"/>
                <w:lang w:val="en-US" w:eastAsia="zh-CN" w:bidi="ar"/>
              </w:rPr>
              <w:t>(mg/m</w:t>
            </w:r>
            <w:r>
              <w:rPr>
                <w:rFonts w:hint="default" w:ascii="Times New Roman" w:hAnsi="Times New Roman" w:eastAsia="宋体" w:cs="Times New Roman"/>
                <w:i w:val="0"/>
                <w:iCs w:val="0"/>
                <w:color w:val="0000FF"/>
                <w:kern w:val="0"/>
                <w:sz w:val="22"/>
                <w:szCs w:val="22"/>
                <w:u w:val="none"/>
                <w:vertAlign w:val="superscript"/>
                <w:lang w:val="en-US" w:eastAsia="zh-CN" w:bidi="ar"/>
              </w:rPr>
              <w:t>3</w:t>
            </w:r>
            <w:r>
              <w:rPr>
                <w:rFonts w:hint="default" w:ascii="Times New Roman" w:hAnsi="Times New Roman" w:eastAsia="宋体" w:cs="Times New Roman"/>
                <w:i w:val="0"/>
                <w:iCs w:val="0"/>
                <w:color w:val="0000FF"/>
                <w:kern w:val="0"/>
                <w:sz w:val="22"/>
                <w:szCs w:val="22"/>
                <w:u w:val="none"/>
                <w:lang w:val="en-US" w:eastAsia="zh-CN" w:bidi="ar"/>
              </w:rPr>
              <w:t>)</w:t>
            </w:r>
          </w:p>
        </w:tc>
        <w:tc>
          <w:tcPr>
            <w:tcW w:w="686" w:type="pct"/>
            <w:tcBorders>
              <w:tl2br w:val="nil"/>
              <w:tr2bl w:val="nil"/>
            </w:tcBorders>
            <w:shd w:val="clear" w:color="auto" w:fill="auto"/>
            <w:noWrap/>
            <w:vAlign w:val="center"/>
          </w:tcPr>
          <w:p w14:paraId="1DC8CA88">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eastAsia" w:ascii="宋体" w:hAnsi="宋体" w:eastAsia="宋体" w:cs="宋体"/>
                <w:i w:val="0"/>
                <w:iCs w:val="0"/>
                <w:color w:val="0000FF"/>
                <w:sz w:val="22"/>
                <w:szCs w:val="22"/>
                <w:u w:val="none"/>
              </w:rPr>
            </w:pPr>
            <w:r>
              <w:rPr>
                <w:rFonts w:hint="eastAsia" w:ascii="宋体" w:hAnsi="宋体" w:eastAsia="宋体" w:cs="宋体"/>
                <w:i w:val="0"/>
                <w:iCs w:val="0"/>
                <w:color w:val="0000FF"/>
                <w:kern w:val="0"/>
                <w:sz w:val="22"/>
                <w:szCs w:val="22"/>
                <w:u w:val="none"/>
                <w:lang w:val="en-US" w:eastAsia="zh-CN" w:bidi="ar"/>
              </w:rPr>
              <w:t>出现时间</w:t>
            </w:r>
            <w:r>
              <w:rPr>
                <w:rFonts w:hint="default" w:ascii="Times New Roman" w:hAnsi="Times New Roman" w:eastAsia="宋体" w:cs="Times New Roman"/>
                <w:i w:val="0"/>
                <w:iCs w:val="0"/>
                <w:color w:val="0000FF"/>
                <w:kern w:val="0"/>
                <w:sz w:val="22"/>
                <w:szCs w:val="22"/>
                <w:u w:val="none"/>
                <w:lang w:val="en-US" w:eastAsia="zh-CN" w:bidi="ar"/>
              </w:rPr>
              <w:t>(YYMMDDHH)</w:t>
            </w:r>
          </w:p>
        </w:tc>
        <w:tc>
          <w:tcPr>
            <w:tcW w:w="615" w:type="pct"/>
            <w:tcBorders>
              <w:tl2br w:val="nil"/>
              <w:tr2bl w:val="nil"/>
            </w:tcBorders>
            <w:shd w:val="clear" w:color="auto" w:fill="auto"/>
            <w:noWrap/>
            <w:vAlign w:val="center"/>
          </w:tcPr>
          <w:p w14:paraId="1C8DF475">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eastAsia" w:ascii="宋体" w:hAnsi="宋体" w:eastAsia="宋体" w:cs="宋体"/>
                <w:i w:val="0"/>
                <w:iCs w:val="0"/>
                <w:color w:val="0000FF"/>
                <w:sz w:val="22"/>
                <w:szCs w:val="22"/>
                <w:u w:val="none"/>
              </w:rPr>
            </w:pPr>
            <w:r>
              <w:rPr>
                <w:rFonts w:hint="eastAsia" w:ascii="宋体" w:hAnsi="宋体" w:eastAsia="宋体" w:cs="宋体"/>
                <w:i w:val="0"/>
                <w:iCs w:val="0"/>
                <w:color w:val="0000FF"/>
                <w:kern w:val="0"/>
                <w:sz w:val="22"/>
                <w:szCs w:val="22"/>
                <w:u w:val="none"/>
                <w:lang w:val="en-US" w:eastAsia="zh-CN" w:bidi="ar"/>
              </w:rPr>
              <w:t>评价标准</w:t>
            </w:r>
            <w:r>
              <w:rPr>
                <w:rFonts w:hint="default" w:ascii="Times New Roman" w:hAnsi="Times New Roman" w:eastAsia="宋体" w:cs="Times New Roman"/>
                <w:i w:val="0"/>
                <w:iCs w:val="0"/>
                <w:color w:val="0000FF"/>
                <w:kern w:val="0"/>
                <w:sz w:val="22"/>
                <w:szCs w:val="22"/>
                <w:u w:val="none"/>
                <w:lang w:val="en-US" w:eastAsia="zh-CN" w:bidi="ar"/>
              </w:rPr>
              <w:t>(mg/m</w:t>
            </w:r>
            <w:r>
              <w:rPr>
                <w:rFonts w:hint="default" w:ascii="Times New Roman" w:hAnsi="Times New Roman" w:eastAsia="宋体" w:cs="Times New Roman"/>
                <w:i w:val="0"/>
                <w:iCs w:val="0"/>
                <w:color w:val="0000FF"/>
                <w:kern w:val="0"/>
                <w:sz w:val="22"/>
                <w:szCs w:val="22"/>
                <w:u w:val="none"/>
                <w:vertAlign w:val="superscript"/>
                <w:lang w:val="en-US" w:eastAsia="zh-CN" w:bidi="ar"/>
              </w:rPr>
              <w:t>3</w:t>
            </w:r>
            <w:r>
              <w:rPr>
                <w:rFonts w:hint="default" w:ascii="Times New Roman" w:hAnsi="Times New Roman" w:eastAsia="宋体" w:cs="Times New Roman"/>
                <w:i w:val="0"/>
                <w:iCs w:val="0"/>
                <w:color w:val="0000FF"/>
                <w:kern w:val="0"/>
                <w:sz w:val="22"/>
                <w:szCs w:val="22"/>
                <w:u w:val="none"/>
                <w:lang w:val="en-US" w:eastAsia="zh-CN" w:bidi="ar"/>
              </w:rPr>
              <w:t>)</w:t>
            </w:r>
          </w:p>
        </w:tc>
        <w:tc>
          <w:tcPr>
            <w:tcW w:w="536" w:type="pct"/>
            <w:tcBorders>
              <w:tl2br w:val="nil"/>
              <w:tr2bl w:val="nil"/>
            </w:tcBorders>
            <w:shd w:val="clear" w:color="auto" w:fill="auto"/>
            <w:noWrap/>
            <w:vAlign w:val="center"/>
          </w:tcPr>
          <w:p w14:paraId="214313EA">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eastAsia" w:ascii="宋体" w:hAnsi="宋体" w:eastAsia="宋体" w:cs="宋体"/>
                <w:i w:val="0"/>
                <w:iCs w:val="0"/>
                <w:color w:val="0000FF"/>
                <w:sz w:val="22"/>
                <w:szCs w:val="22"/>
                <w:u w:val="none"/>
              </w:rPr>
            </w:pPr>
            <w:r>
              <w:rPr>
                <w:rFonts w:hint="eastAsia" w:ascii="宋体" w:hAnsi="宋体" w:eastAsia="宋体" w:cs="宋体"/>
                <w:i w:val="0"/>
                <w:iCs w:val="0"/>
                <w:color w:val="0000FF"/>
                <w:kern w:val="0"/>
                <w:sz w:val="22"/>
                <w:szCs w:val="22"/>
                <w:u w:val="none"/>
                <w:lang w:val="en-US" w:eastAsia="zh-CN" w:bidi="ar"/>
              </w:rPr>
              <w:t>占标率</w:t>
            </w:r>
            <w:r>
              <w:rPr>
                <w:rFonts w:hint="default" w:ascii="Times New Roman" w:hAnsi="Times New Roman" w:eastAsia="宋体" w:cs="Times New Roman"/>
                <w:i w:val="0"/>
                <w:iCs w:val="0"/>
                <w:color w:val="0000FF"/>
                <w:kern w:val="0"/>
                <w:sz w:val="22"/>
                <w:szCs w:val="22"/>
                <w:u w:val="none"/>
                <w:lang w:val="en-US" w:eastAsia="zh-CN" w:bidi="ar"/>
              </w:rPr>
              <w:t>%</w:t>
            </w:r>
          </w:p>
        </w:tc>
        <w:tc>
          <w:tcPr>
            <w:tcW w:w="391" w:type="pct"/>
            <w:tcBorders>
              <w:tl2br w:val="nil"/>
              <w:tr2bl w:val="nil"/>
            </w:tcBorders>
            <w:shd w:val="clear" w:color="auto" w:fill="auto"/>
            <w:noWrap/>
            <w:vAlign w:val="center"/>
          </w:tcPr>
          <w:p w14:paraId="3C9EE5DB">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eastAsia" w:ascii="宋体" w:hAnsi="宋体" w:eastAsia="宋体" w:cs="宋体"/>
                <w:i w:val="0"/>
                <w:iCs w:val="0"/>
                <w:color w:val="0000FF"/>
                <w:sz w:val="22"/>
                <w:szCs w:val="22"/>
                <w:u w:val="none"/>
              </w:rPr>
            </w:pPr>
            <w:r>
              <w:rPr>
                <w:rFonts w:hint="eastAsia" w:ascii="宋体" w:hAnsi="宋体" w:eastAsia="宋体" w:cs="宋体"/>
                <w:i w:val="0"/>
                <w:iCs w:val="0"/>
                <w:color w:val="0000FF"/>
                <w:kern w:val="0"/>
                <w:sz w:val="22"/>
                <w:szCs w:val="22"/>
                <w:u w:val="none"/>
                <w:lang w:val="en-US" w:eastAsia="zh-CN" w:bidi="ar"/>
              </w:rPr>
              <w:t>是否超标</w:t>
            </w:r>
          </w:p>
        </w:tc>
      </w:tr>
      <w:tr w14:paraId="016C3F58">
        <w:tblPrEx>
          <w:tblBorders>
            <w:top w:val="thinThickSmallGap" w:color="000000" w:sz="12" w:space="0"/>
            <w:left w:val="none" w:color="auto" w:sz="0" w:space="0"/>
            <w:bottom w:val="thinThickSmallGap" w:color="000000" w:sz="12" w:space="0"/>
            <w:right w:val="none" w:color="auto" w:sz="0"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295" w:hRule="atLeast"/>
        </w:trPr>
        <w:tc>
          <w:tcPr>
            <w:tcW w:w="235" w:type="pct"/>
            <w:tcBorders>
              <w:tl2br w:val="nil"/>
              <w:tr2bl w:val="nil"/>
            </w:tcBorders>
            <w:shd w:val="clear" w:color="auto" w:fill="auto"/>
            <w:noWrap/>
            <w:vAlign w:val="center"/>
          </w:tcPr>
          <w:p w14:paraId="08A0B843">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default" w:ascii="Times New Roman" w:hAnsi="Times New Roman" w:eastAsia="宋体" w:cs="Times New Roman"/>
                <w:i w:val="0"/>
                <w:iCs w:val="0"/>
                <w:color w:val="0000FF"/>
                <w:kern w:val="0"/>
                <w:sz w:val="21"/>
                <w:szCs w:val="21"/>
                <w:u w:val="none"/>
                <w:lang w:val="en-US" w:eastAsia="zh-CN" w:bidi="ar"/>
              </w:rPr>
              <w:t>1</w:t>
            </w:r>
          </w:p>
        </w:tc>
        <w:tc>
          <w:tcPr>
            <w:tcW w:w="668" w:type="pct"/>
            <w:tcBorders>
              <w:tl2br w:val="nil"/>
              <w:tr2bl w:val="nil"/>
            </w:tcBorders>
            <w:shd w:val="clear" w:color="auto" w:fill="auto"/>
            <w:noWrap/>
            <w:vAlign w:val="center"/>
          </w:tcPr>
          <w:p w14:paraId="2AB25D2B">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祁家堡</w:t>
            </w:r>
          </w:p>
        </w:tc>
        <w:tc>
          <w:tcPr>
            <w:tcW w:w="659" w:type="pct"/>
            <w:tcBorders>
              <w:tl2br w:val="nil"/>
              <w:tr2bl w:val="nil"/>
            </w:tcBorders>
            <w:shd w:val="clear" w:color="auto" w:fill="auto"/>
            <w:noWrap/>
            <w:vAlign w:val="center"/>
          </w:tcPr>
          <w:p w14:paraId="4280DDD2">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85,261</w:t>
            </w:r>
          </w:p>
        </w:tc>
        <w:tc>
          <w:tcPr>
            <w:tcW w:w="527" w:type="pct"/>
            <w:tcBorders>
              <w:tl2br w:val="nil"/>
              <w:tr2bl w:val="nil"/>
            </w:tcBorders>
            <w:shd w:val="clear" w:color="auto" w:fill="auto"/>
            <w:noWrap/>
            <w:vAlign w:val="center"/>
          </w:tcPr>
          <w:p w14:paraId="477A9746">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default" w:ascii="Times New Roman" w:hAnsi="Times New Roman" w:eastAsia="宋体" w:cs="Times New Roman"/>
                <w:i w:val="0"/>
                <w:iCs w:val="0"/>
                <w:color w:val="0000FF"/>
                <w:kern w:val="0"/>
                <w:sz w:val="21"/>
                <w:szCs w:val="21"/>
                <w:u w:val="none"/>
                <w:lang w:val="en-US" w:eastAsia="zh-CN" w:bidi="ar"/>
              </w:rPr>
              <w:t>1</w:t>
            </w:r>
            <w:r>
              <w:rPr>
                <w:rFonts w:hint="eastAsia" w:ascii="Times New Roman" w:hAnsi="Times New Roman" w:eastAsia="宋体" w:cs="Times New Roman"/>
                <w:i w:val="0"/>
                <w:iCs w:val="0"/>
                <w:color w:val="0000FF"/>
                <w:kern w:val="0"/>
                <w:sz w:val="21"/>
                <w:szCs w:val="21"/>
                <w:u w:val="none"/>
                <w:lang w:val="en-US" w:eastAsia="zh-CN" w:bidi="ar"/>
              </w:rPr>
              <w:t>小时</w:t>
            </w:r>
          </w:p>
        </w:tc>
        <w:tc>
          <w:tcPr>
            <w:tcW w:w="677" w:type="pct"/>
            <w:tcBorders>
              <w:tl2br w:val="nil"/>
              <w:tr2bl w:val="nil"/>
            </w:tcBorders>
            <w:shd w:val="clear" w:color="auto" w:fill="auto"/>
            <w:noWrap/>
            <w:vAlign w:val="center"/>
          </w:tcPr>
          <w:p w14:paraId="1A03C3D3">
            <w:pPr>
              <w:keepNext w:val="0"/>
              <w:keepLines w:val="0"/>
              <w:pageBreakBefore w:val="0"/>
              <w:widowControl/>
              <w:suppressLineNumbers w:val="0"/>
              <w:kinsoku/>
              <w:wordWrap/>
              <w:overflowPunct/>
              <w:topLinePunct w:val="0"/>
              <w:autoSpaceDE/>
              <w:autoSpaceDN/>
              <w:bidi w:val="0"/>
              <w:adjustRightInd/>
              <w:snapToGrid w:val="0"/>
              <w:jc w:val="right"/>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default" w:ascii="Times New Roman" w:hAnsi="Times New Roman" w:eastAsia="宋体" w:cs="Times New Roman"/>
                <w:i w:val="0"/>
                <w:iCs w:val="0"/>
                <w:color w:val="0000FF"/>
                <w:kern w:val="0"/>
                <w:sz w:val="21"/>
                <w:szCs w:val="21"/>
                <w:u w:val="none"/>
                <w:lang w:val="en-US" w:eastAsia="zh-CN" w:bidi="ar"/>
              </w:rPr>
              <w:t>3.92E+00</w:t>
            </w:r>
          </w:p>
        </w:tc>
        <w:tc>
          <w:tcPr>
            <w:tcW w:w="686" w:type="pct"/>
            <w:tcBorders>
              <w:tl2br w:val="nil"/>
              <w:tr2bl w:val="nil"/>
            </w:tcBorders>
            <w:shd w:val="clear" w:color="auto" w:fill="auto"/>
            <w:noWrap/>
            <w:vAlign w:val="center"/>
          </w:tcPr>
          <w:p w14:paraId="6CE288CA">
            <w:pPr>
              <w:keepNext w:val="0"/>
              <w:keepLines w:val="0"/>
              <w:pageBreakBefore w:val="0"/>
              <w:widowControl/>
              <w:suppressLineNumbers w:val="0"/>
              <w:kinsoku/>
              <w:wordWrap/>
              <w:overflowPunct/>
              <w:topLinePunct w:val="0"/>
              <w:autoSpaceDE/>
              <w:autoSpaceDN/>
              <w:bidi w:val="0"/>
              <w:adjustRightInd/>
              <w:snapToGrid w:val="0"/>
              <w:jc w:val="right"/>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default" w:ascii="Times New Roman" w:hAnsi="Times New Roman" w:eastAsia="宋体" w:cs="Times New Roman"/>
                <w:i w:val="0"/>
                <w:iCs w:val="0"/>
                <w:color w:val="0000FF"/>
                <w:kern w:val="0"/>
                <w:sz w:val="21"/>
                <w:szCs w:val="21"/>
                <w:u w:val="none"/>
                <w:lang w:val="en-US" w:eastAsia="zh-CN" w:bidi="ar"/>
              </w:rPr>
              <w:t>24032607</w:t>
            </w:r>
          </w:p>
        </w:tc>
        <w:tc>
          <w:tcPr>
            <w:tcW w:w="615" w:type="pct"/>
            <w:tcBorders>
              <w:tl2br w:val="nil"/>
              <w:tr2bl w:val="nil"/>
            </w:tcBorders>
            <w:shd w:val="clear" w:color="auto" w:fill="auto"/>
            <w:noWrap/>
            <w:vAlign w:val="center"/>
          </w:tcPr>
          <w:p w14:paraId="5414521D">
            <w:pPr>
              <w:keepNext w:val="0"/>
              <w:keepLines w:val="0"/>
              <w:pageBreakBefore w:val="0"/>
              <w:widowControl/>
              <w:suppressLineNumbers w:val="0"/>
              <w:kinsoku/>
              <w:wordWrap/>
              <w:overflowPunct/>
              <w:topLinePunct w:val="0"/>
              <w:autoSpaceDE/>
              <w:autoSpaceDN/>
              <w:bidi w:val="0"/>
              <w:adjustRightInd/>
              <w:snapToGrid w:val="0"/>
              <w:jc w:val="right"/>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default" w:ascii="Times New Roman" w:hAnsi="Times New Roman" w:eastAsia="宋体" w:cs="Times New Roman"/>
                <w:i w:val="0"/>
                <w:iCs w:val="0"/>
                <w:color w:val="0000FF"/>
                <w:kern w:val="0"/>
                <w:sz w:val="21"/>
                <w:szCs w:val="21"/>
                <w:u w:val="none"/>
                <w:lang w:val="en-US" w:eastAsia="zh-CN" w:bidi="ar"/>
              </w:rPr>
              <w:t>9.00E-01</w:t>
            </w:r>
          </w:p>
        </w:tc>
        <w:tc>
          <w:tcPr>
            <w:tcW w:w="536" w:type="pct"/>
            <w:tcBorders>
              <w:tl2br w:val="nil"/>
              <w:tr2bl w:val="nil"/>
            </w:tcBorders>
            <w:shd w:val="clear" w:color="auto" w:fill="auto"/>
            <w:noWrap/>
            <w:vAlign w:val="center"/>
          </w:tcPr>
          <w:p w14:paraId="53F03140">
            <w:pPr>
              <w:keepNext w:val="0"/>
              <w:keepLines w:val="0"/>
              <w:pageBreakBefore w:val="0"/>
              <w:widowControl/>
              <w:suppressLineNumbers w:val="0"/>
              <w:kinsoku/>
              <w:wordWrap/>
              <w:overflowPunct/>
              <w:topLinePunct w:val="0"/>
              <w:autoSpaceDE/>
              <w:autoSpaceDN/>
              <w:bidi w:val="0"/>
              <w:adjustRightInd/>
              <w:snapToGrid w:val="0"/>
              <w:jc w:val="right"/>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default" w:ascii="Times New Roman" w:hAnsi="Times New Roman" w:eastAsia="宋体" w:cs="Times New Roman"/>
                <w:i w:val="0"/>
                <w:iCs w:val="0"/>
                <w:color w:val="0000FF"/>
                <w:kern w:val="0"/>
                <w:sz w:val="21"/>
                <w:szCs w:val="21"/>
                <w:u w:val="none"/>
                <w:lang w:val="en-US" w:eastAsia="zh-CN" w:bidi="ar"/>
              </w:rPr>
              <w:t>435.87</w:t>
            </w:r>
          </w:p>
        </w:tc>
        <w:tc>
          <w:tcPr>
            <w:tcW w:w="391" w:type="pct"/>
            <w:tcBorders>
              <w:tl2br w:val="nil"/>
              <w:tr2bl w:val="nil"/>
            </w:tcBorders>
            <w:shd w:val="clear" w:color="auto" w:fill="auto"/>
            <w:noWrap/>
            <w:vAlign w:val="center"/>
          </w:tcPr>
          <w:p w14:paraId="41DCA22A">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default" w:ascii="Times New Roman" w:hAnsi="Times New Roman" w:eastAsia="宋体" w:cs="Times New Roman"/>
                <w:i w:val="0"/>
                <w:iCs w:val="0"/>
                <w:color w:val="0000FF"/>
                <w:kern w:val="0"/>
                <w:sz w:val="21"/>
                <w:szCs w:val="21"/>
                <w:u w:val="none"/>
                <w:lang w:val="en-US" w:eastAsia="zh-CN" w:bidi="ar"/>
              </w:rPr>
              <w:t>超标</w:t>
            </w:r>
          </w:p>
        </w:tc>
      </w:tr>
      <w:tr w14:paraId="5CD3AAB9">
        <w:tblPrEx>
          <w:tblBorders>
            <w:top w:val="thinThickSmallGap" w:color="000000" w:sz="12" w:space="0"/>
            <w:left w:val="none" w:color="auto" w:sz="0" w:space="0"/>
            <w:bottom w:val="thinThickSmallGap" w:color="000000" w:sz="12" w:space="0"/>
            <w:right w:val="none" w:color="auto" w:sz="0"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295" w:hRule="atLeast"/>
        </w:trPr>
        <w:tc>
          <w:tcPr>
            <w:tcW w:w="235" w:type="pct"/>
            <w:tcBorders>
              <w:tl2br w:val="nil"/>
              <w:tr2bl w:val="nil"/>
            </w:tcBorders>
            <w:shd w:val="clear" w:color="auto" w:fill="auto"/>
            <w:noWrap/>
            <w:vAlign w:val="center"/>
          </w:tcPr>
          <w:p w14:paraId="5686D4A7">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default" w:ascii="Times New Roman" w:hAnsi="Times New Roman" w:eastAsia="宋体" w:cs="Times New Roman"/>
                <w:i w:val="0"/>
                <w:iCs w:val="0"/>
                <w:color w:val="0000FF"/>
                <w:kern w:val="0"/>
                <w:sz w:val="21"/>
                <w:szCs w:val="21"/>
                <w:u w:val="none"/>
                <w:lang w:val="en-US" w:eastAsia="zh-CN" w:bidi="ar"/>
              </w:rPr>
              <w:t>2</w:t>
            </w:r>
          </w:p>
        </w:tc>
        <w:tc>
          <w:tcPr>
            <w:tcW w:w="668" w:type="pct"/>
            <w:tcBorders>
              <w:tl2br w:val="nil"/>
              <w:tr2bl w:val="nil"/>
            </w:tcBorders>
            <w:shd w:val="clear" w:color="auto" w:fill="auto"/>
            <w:noWrap/>
            <w:vAlign w:val="center"/>
          </w:tcPr>
          <w:p w14:paraId="18EB2A49">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部队</w:t>
            </w:r>
          </w:p>
        </w:tc>
        <w:tc>
          <w:tcPr>
            <w:tcW w:w="659" w:type="pct"/>
            <w:tcBorders>
              <w:tl2br w:val="nil"/>
              <w:tr2bl w:val="nil"/>
            </w:tcBorders>
            <w:shd w:val="clear" w:color="auto" w:fill="auto"/>
            <w:noWrap/>
            <w:vAlign w:val="center"/>
          </w:tcPr>
          <w:p w14:paraId="7C0A1976">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-179,10</w:t>
            </w:r>
          </w:p>
        </w:tc>
        <w:tc>
          <w:tcPr>
            <w:tcW w:w="527" w:type="pct"/>
            <w:tcBorders>
              <w:tl2br w:val="nil"/>
              <w:tr2bl w:val="nil"/>
            </w:tcBorders>
            <w:shd w:val="clear" w:color="auto" w:fill="auto"/>
            <w:noWrap/>
            <w:vAlign w:val="center"/>
          </w:tcPr>
          <w:p w14:paraId="475807AD">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default" w:ascii="Times New Roman" w:hAnsi="Times New Roman" w:eastAsia="宋体" w:cs="Times New Roman"/>
                <w:i w:val="0"/>
                <w:iCs w:val="0"/>
                <w:color w:val="0000FF"/>
                <w:kern w:val="0"/>
                <w:sz w:val="21"/>
                <w:szCs w:val="21"/>
                <w:u w:val="none"/>
                <w:lang w:val="en-US" w:eastAsia="zh-CN" w:bidi="ar"/>
              </w:rPr>
              <w:t>1</w:t>
            </w:r>
            <w:r>
              <w:rPr>
                <w:rFonts w:hint="eastAsia" w:ascii="Times New Roman" w:hAnsi="Times New Roman" w:eastAsia="宋体" w:cs="Times New Roman"/>
                <w:i w:val="0"/>
                <w:iCs w:val="0"/>
                <w:color w:val="0000FF"/>
                <w:kern w:val="0"/>
                <w:sz w:val="21"/>
                <w:szCs w:val="21"/>
                <w:u w:val="none"/>
                <w:lang w:val="en-US" w:eastAsia="zh-CN" w:bidi="ar"/>
              </w:rPr>
              <w:t>小时</w:t>
            </w:r>
          </w:p>
        </w:tc>
        <w:tc>
          <w:tcPr>
            <w:tcW w:w="677" w:type="pct"/>
            <w:tcBorders>
              <w:tl2br w:val="nil"/>
              <w:tr2bl w:val="nil"/>
            </w:tcBorders>
            <w:shd w:val="clear" w:color="auto" w:fill="auto"/>
            <w:noWrap/>
            <w:vAlign w:val="center"/>
          </w:tcPr>
          <w:p w14:paraId="39321901">
            <w:pPr>
              <w:keepNext w:val="0"/>
              <w:keepLines w:val="0"/>
              <w:pageBreakBefore w:val="0"/>
              <w:widowControl/>
              <w:suppressLineNumbers w:val="0"/>
              <w:kinsoku/>
              <w:wordWrap/>
              <w:overflowPunct/>
              <w:topLinePunct w:val="0"/>
              <w:autoSpaceDE/>
              <w:autoSpaceDN/>
              <w:bidi w:val="0"/>
              <w:adjustRightInd/>
              <w:snapToGrid w:val="0"/>
              <w:jc w:val="right"/>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default" w:ascii="Times New Roman" w:hAnsi="Times New Roman" w:eastAsia="宋体" w:cs="Times New Roman"/>
                <w:i w:val="0"/>
                <w:iCs w:val="0"/>
                <w:color w:val="0000FF"/>
                <w:kern w:val="0"/>
                <w:sz w:val="21"/>
                <w:szCs w:val="21"/>
                <w:u w:val="none"/>
                <w:lang w:val="en-US" w:eastAsia="zh-CN" w:bidi="ar"/>
              </w:rPr>
              <w:t>6.80E+00</w:t>
            </w:r>
          </w:p>
        </w:tc>
        <w:tc>
          <w:tcPr>
            <w:tcW w:w="686" w:type="pct"/>
            <w:tcBorders>
              <w:tl2br w:val="nil"/>
              <w:tr2bl w:val="nil"/>
            </w:tcBorders>
            <w:shd w:val="clear" w:color="auto" w:fill="auto"/>
            <w:noWrap/>
            <w:vAlign w:val="center"/>
          </w:tcPr>
          <w:p w14:paraId="5A5E4434">
            <w:pPr>
              <w:keepNext w:val="0"/>
              <w:keepLines w:val="0"/>
              <w:pageBreakBefore w:val="0"/>
              <w:widowControl/>
              <w:suppressLineNumbers w:val="0"/>
              <w:kinsoku/>
              <w:wordWrap/>
              <w:overflowPunct/>
              <w:topLinePunct w:val="0"/>
              <w:autoSpaceDE/>
              <w:autoSpaceDN/>
              <w:bidi w:val="0"/>
              <w:adjustRightInd/>
              <w:snapToGrid w:val="0"/>
              <w:jc w:val="right"/>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default" w:ascii="Times New Roman" w:hAnsi="Times New Roman" w:eastAsia="宋体" w:cs="Times New Roman"/>
                <w:i w:val="0"/>
                <w:iCs w:val="0"/>
                <w:color w:val="0000FF"/>
                <w:kern w:val="0"/>
                <w:sz w:val="21"/>
                <w:szCs w:val="21"/>
                <w:u w:val="none"/>
                <w:lang w:val="en-US" w:eastAsia="zh-CN" w:bidi="ar"/>
              </w:rPr>
              <w:t>24121915</w:t>
            </w:r>
          </w:p>
        </w:tc>
        <w:tc>
          <w:tcPr>
            <w:tcW w:w="615" w:type="pct"/>
            <w:tcBorders>
              <w:tl2br w:val="nil"/>
              <w:tr2bl w:val="nil"/>
            </w:tcBorders>
            <w:shd w:val="clear" w:color="auto" w:fill="auto"/>
            <w:noWrap/>
            <w:vAlign w:val="center"/>
          </w:tcPr>
          <w:p w14:paraId="1BC6D691">
            <w:pPr>
              <w:keepNext w:val="0"/>
              <w:keepLines w:val="0"/>
              <w:pageBreakBefore w:val="0"/>
              <w:widowControl/>
              <w:suppressLineNumbers w:val="0"/>
              <w:kinsoku/>
              <w:wordWrap/>
              <w:overflowPunct/>
              <w:topLinePunct w:val="0"/>
              <w:autoSpaceDE/>
              <w:autoSpaceDN/>
              <w:bidi w:val="0"/>
              <w:adjustRightInd/>
              <w:snapToGrid w:val="0"/>
              <w:jc w:val="right"/>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default" w:ascii="Times New Roman" w:hAnsi="Times New Roman" w:eastAsia="宋体" w:cs="Times New Roman"/>
                <w:i w:val="0"/>
                <w:iCs w:val="0"/>
                <w:color w:val="0000FF"/>
                <w:kern w:val="0"/>
                <w:sz w:val="21"/>
                <w:szCs w:val="21"/>
                <w:u w:val="none"/>
                <w:lang w:val="en-US" w:eastAsia="zh-CN" w:bidi="ar"/>
              </w:rPr>
              <w:t>9.00E-01</w:t>
            </w:r>
          </w:p>
        </w:tc>
        <w:tc>
          <w:tcPr>
            <w:tcW w:w="536" w:type="pct"/>
            <w:tcBorders>
              <w:tl2br w:val="nil"/>
              <w:tr2bl w:val="nil"/>
            </w:tcBorders>
            <w:shd w:val="clear" w:color="auto" w:fill="auto"/>
            <w:noWrap/>
            <w:vAlign w:val="center"/>
          </w:tcPr>
          <w:p w14:paraId="44BE6ECE">
            <w:pPr>
              <w:keepNext w:val="0"/>
              <w:keepLines w:val="0"/>
              <w:pageBreakBefore w:val="0"/>
              <w:widowControl/>
              <w:suppressLineNumbers w:val="0"/>
              <w:kinsoku/>
              <w:wordWrap/>
              <w:overflowPunct/>
              <w:topLinePunct w:val="0"/>
              <w:autoSpaceDE/>
              <w:autoSpaceDN/>
              <w:bidi w:val="0"/>
              <w:adjustRightInd/>
              <w:snapToGrid w:val="0"/>
              <w:jc w:val="right"/>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default" w:ascii="Times New Roman" w:hAnsi="Times New Roman" w:eastAsia="宋体" w:cs="Times New Roman"/>
                <w:i w:val="0"/>
                <w:iCs w:val="0"/>
                <w:color w:val="0000FF"/>
                <w:kern w:val="0"/>
                <w:sz w:val="21"/>
                <w:szCs w:val="21"/>
                <w:u w:val="none"/>
                <w:lang w:val="en-US" w:eastAsia="zh-CN" w:bidi="ar"/>
              </w:rPr>
              <w:t>755.23</w:t>
            </w:r>
          </w:p>
        </w:tc>
        <w:tc>
          <w:tcPr>
            <w:tcW w:w="391" w:type="pct"/>
            <w:tcBorders>
              <w:tl2br w:val="nil"/>
              <w:tr2bl w:val="nil"/>
            </w:tcBorders>
            <w:shd w:val="clear" w:color="auto" w:fill="auto"/>
            <w:noWrap/>
            <w:vAlign w:val="center"/>
          </w:tcPr>
          <w:p w14:paraId="6B531097">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default" w:ascii="Times New Roman" w:hAnsi="Times New Roman" w:eastAsia="宋体" w:cs="Times New Roman"/>
                <w:i w:val="0"/>
                <w:iCs w:val="0"/>
                <w:color w:val="0000FF"/>
                <w:kern w:val="0"/>
                <w:sz w:val="21"/>
                <w:szCs w:val="21"/>
                <w:u w:val="none"/>
                <w:lang w:val="en-US" w:eastAsia="zh-CN" w:bidi="ar"/>
              </w:rPr>
              <w:t>超标</w:t>
            </w:r>
          </w:p>
        </w:tc>
      </w:tr>
      <w:tr w14:paraId="18777A15">
        <w:tblPrEx>
          <w:tblBorders>
            <w:top w:val="thinThickSmallGap" w:color="000000" w:sz="12" w:space="0"/>
            <w:left w:val="none" w:color="auto" w:sz="0" w:space="0"/>
            <w:bottom w:val="thinThickSmallGap" w:color="000000" w:sz="12" w:space="0"/>
            <w:right w:val="none" w:color="auto" w:sz="0"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295" w:hRule="atLeast"/>
        </w:trPr>
        <w:tc>
          <w:tcPr>
            <w:tcW w:w="235" w:type="pct"/>
            <w:tcBorders>
              <w:tl2br w:val="nil"/>
              <w:tr2bl w:val="nil"/>
            </w:tcBorders>
            <w:shd w:val="clear" w:color="auto" w:fill="auto"/>
            <w:noWrap/>
            <w:vAlign w:val="center"/>
          </w:tcPr>
          <w:p w14:paraId="3C0DB0D2">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default" w:ascii="Times New Roman" w:hAnsi="Times New Roman" w:eastAsia="宋体" w:cs="Times New Roman"/>
                <w:i w:val="0"/>
                <w:iCs w:val="0"/>
                <w:color w:val="0000FF"/>
                <w:kern w:val="0"/>
                <w:sz w:val="21"/>
                <w:szCs w:val="21"/>
                <w:u w:val="none"/>
                <w:lang w:val="en-US" w:eastAsia="zh-CN" w:bidi="ar"/>
              </w:rPr>
              <w:t>3</w:t>
            </w:r>
          </w:p>
        </w:tc>
        <w:tc>
          <w:tcPr>
            <w:tcW w:w="668" w:type="pct"/>
            <w:tcBorders>
              <w:tl2br w:val="nil"/>
              <w:tr2bl w:val="nil"/>
            </w:tcBorders>
            <w:shd w:val="clear" w:color="auto" w:fill="auto"/>
            <w:noWrap/>
            <w:vAlign w:val="center"/>
          </w:tcPr>
          <w:p w14:paraId="43AE9AAE">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老虎沟</w:t>
            </w:r>
          </w:p>
        </w:tc>
        <w:tc>
          <w:tcPr>
            <w:tcW w:w="659" w:type="pct"/>
            <w:tcBorders>
              <w:tl2br w:val="nil"/>
              <w:tr2bl w:val="nil"/>
            </w:tcBorders>
            <w:shd w:val="clear" w:color="auto" w:fill="auto"/>
            <w:noWrap/>
            <w:vAlign w:val="center"/>
          </w:tcPr>
          <w:p w14:paraId="2FA19ED8">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-1526,736</w:t>
            </w:r>
          </w:p>
        </w:tc>
        <w:tc>
          <w:tcPr>
            <w:tcW w:w="527" w:type="pct"/>
            <w:tcBorders>
              <w:tl2br w:val="nil"/>
              <w:tr2bl w:val="nil"/>
            </w:tcBorders>
            <w:shd w:val="clear" w:color="auto" w:fill="auto"/>
            <w:noWrap/>
            <w:vAlign w:val="center"/>
          </w:tcPr>
          <w:p w14:paraId="1A82CFB2">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default" w:ascii="Times New Roman" w:hAnsi="Times New Roman" w:eastAsia="宋体" w:cs="Times New Roman"/>
                <w:i w:val="0"/>
                <w:iCs w:val="0"/>
                <w:color w:val="0000FF"/>
                <w:kern w:val="0"/>
                <w:sz w:val="21"/>
                <w:szCs w:val="21"/>
                <w:u w:val="none"/>
                <w:lang w:val="en-US" w:eastAsia="zh-CN" w:bidi="ar"/>
              </w:rPr>
              <w:t>1</w:t>
            </w:r>
            <w:r>
              <w:rPr>
                <w:rFonts w:hint="eastAsia" w:ascii="Times New Roman" w:hAnsi="Times New Roman" w:eastAsia="宋体" w:cs="Times New Roman"/>
                <w:i w:val="0"/>
                <w:iCs w:val="0"/>
                <w:color w:val="0000FF"/>
                <w:kern w:val="0"/>
                <w:sz w:val="21"/>
                <w:szCs w:val="21"/>
                <w:u w:val="none"/>
                <w:lang w:val="en-US" w:eastAsia="zh-CN" w:bidi="ar"/>
              </w:rPr>
              <w:t>小时</w:t>
            </w:r>
          </w:p>
        </w:tc>
        <w:tc>
          <w:tcPr>
            <w:tcW w:w="677" w:type="pct"/>
            <w:tcBorders>
              <w:tl2br w:val="nil"/>
              <w:tr2bl w:val="nil"/>
            </w:tcBorders>
            <w:shd w:val="clear" w:color="auto" w:fill="auto"/>
            <w:noWrap/>
            <w:vAlign w:val="center"/>
          </w:tcPr>
          <w:p w14:paraId="183D4BBE">
            <w:pPr>
              <w:keepNext w:val="0"/>
              <w:keepLines w:val="0"/>
              <w:pageBreakBefore w:val="0"/>
              <w:widowControl/>
              <w:suppressLineNumbers w:val="0"/>
              <w:kinsoku/>
              <w:wordWrap/>
              <w:overflowPunct/>
              <w:topLinePunct w:val="0"/>
              <w:autoSpaceDE/>
              <w:autoSpaceDN/>
              <w:bidi w:val="0"/>
              <w:adjustRightInd/>
              <w:snapToGrid w:val="0"/>
              <w:jc w:val="right"/>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default" w:ascii="Times New Roman" w:hAnsi="Times New Roman" w:eastAsia="宋体" w:cs="Times New Roman"/>
                <w:i w:val="0"/>
                <w:iCs w:val="0"/>
                <w:color w:val="0000FF"/>
                <w:kern w:val="0"/>
                <w:sz w:val="21"/>
                <w:szCs w:val="21"/>
                <w:u w:val="none"/>
                <w:lang w:val="en-US" w:eastAsia="zh-CN" w:bidi="ar"/>
              </w:rPr>
              <w:t>3.13E+00</w:t>
            </w:r>
          </w:p>
        </w:tc>
        <w:tc>
          <w:tcPr>
            <w:tcW w:w="686" w:type="pct"/>
            <w:tcBorders>
              <w:tl2br w:val="nil"/>
              <w:tr2bl w:val="nil"/>
            </w:tcBorders>
            <w:shd w:val="clear" w:color="auto" w:fill="auto"/>
            <w:noWrap/>
            <w:vAlign w:val="center"/>
          </w:tcPr>
          <w:p w14:paraId="7A9496EB">
            <w:pPr>
              <w:keepNext w:val="0"/>
              <w:keepLines w:val="0"/>
              <w:pageBreakBefore w:val="0"/>
              <w:widowControl/>
              <w:suppressLineNumbers w:val="0"/>
              <w:kinsoku/>
              <w:wordWrap/>
              <w:overflowPunct/>
              <w:topLinePunct w:val="0"/>
              <w:autoSpaceDE/>
              <w:autoSpaceDN/>
              <w:bidi w:val="0"/>
              <w:adjustRightInd/>
              <w:snapToGrid w:val="0"/>
              <w:jc w:val="right"/>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default" w:ascii="Times New Roman" w:hAnsi="Times New Roman" w:eastAsia="宋体" w:cs="Times New Roman"/>
                <w:i w:val="0"/>
                <w:iCs w:val="0"/>
                <w:color w:val="0000FF"/>
                <w:kern w:val="0"/>
                <w:sz w:val="21"/>
                <w:szCs w:val="21"/>
                <w:u w:val="none"/>
                <w:lang w:val="en-US" w:eastAsia="zh-CN" w:bidi="ar"/>
              </w:rPr>
              <w:t>24020919</w:t>
            </w:r>
          </w:p>
        </w:tc>
        <w:tc>
          <w:tcPr>
            <w:tcW w:w="615" w:type="pct"/>
            <w:tcBorders>
              <w:tl2br w:val="nil"/>
              <w:tr2bl w:val="nil"/>
            </w:tcBorders>
            <w:shd w:val="clear" w:color="auto" w:fill="auto"/>
            <w:noWrap/>
            <w:vAlign w:val="center"/>
          </w:tcPr>
          <w:p w14:paraId="3AA35FE7">
            <w:pPr>
              <w:keepNext w:val="0"/>
              <w:keepLines w:val="0"/>
              <w:pageBreakBefore w:val="0"/>
              <w:widowControl/>
              <w:suppressLineNumbers w:val="0"/>
              <w:kinsoku/>
              <w:wordWrap/>
              <w:overflowPunct/>
              <w:topLinePunct w:val="0"/>
              <w:autoSpaceDE/>
              <w:autoSpaceDN/>
              <w:bidi w:val="0"/>
              <w:adjustRightInd/>
              <w:snapToGrid w:val="0"/>
              <w:jc w:val="right"/>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default" w:ascii="Times New Roman" w:hAnsi="Times New Roman" w:eastAsia="宋体" w:cs="Times New Roman"/>
                <w:i w:val="0"/>
                <w:iCs w:val="0"/>
                <w:color w:val="0000FF"/>
                <w:kern w:val="0"/>
                <w:sz w:val="21"/>
                <w:szCs w:val="21"/>
                <w:u w:val="none"/>
                <w:lang w:val="en-US" w:eastAsia="zh-CN" w:bidi="ar"/>
              </w:rPr>
              <w:t>9.00E-01</w:t>
            </w:r>
          </w:p>
        </w:tc>
        <w:tc>
          <w:tcPr>
            <w:tcW w:w="536" w:type="pct"/>
            <w:tcBorders>
              <w:tl2br w:val="nil"/>
              <w:tr2bl w:val="nil"/>
            </w:tcBorders>
            <w:shd w:val="clear" w:color="auto" w:fill="auto"/>
            <w:noWrap/>
            <w:vAlign w:val="center"/>
          </w:tcPr>
          <w:p w14:paraId="3F8FFA31">
            <w:pPr>
              <w:keepNext w:val="0"/>
              <w:keepLines w:val="0"/>
              <w:pageBreakBefore w:val="0"/>
              <w:widowControl/>
              <w:suppressLineNumbers w:val="0"/>
              <w:kinsoku/>
              <w:wordWrap/>
              <w:overflowPunct/>
              <w:topLinePunct w:val="0"/>
              <w:autoSpaceDE/>
              <w:autoSpaceDN/>
              <w:bidi w:val="0"/>
              <w:adjustRightInd/>
              <w:snapToGrid w:val="0"/>
              <w:jc w:val="right"/>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default" w:ascii="Times New Roman" w:hAnsi="Times New Roman" w:eastAsia="宋体" w:cs="Times New Roman"/>
                <w:i w:val="0"/>
                <w:iCs w:val="0"/>
                <w:color w:val="0000FF"/>
                <w:kern w:val="0"/>
                <w:sz w:val="21"/>
                <w:szCs w:val="21"/>
                <w:u w:val="none"/>
                <w:lang w:val="en-US" w:eastAsia="zh-CN" w:bidi="ar"/>
              </w:rPr>
              <w:t>347.6</w:t>
            </w:r>
          </w:p>
        </w:tc>
        <w:tc>
          <w:tcPr>
            <w:tcW w:w="391" w:type="pct"/>
            <w:tcBorders>
              <w:tl2br w:val="nil"/>
              <w:tr2bl w:val="nil"/>
            </w:tcBorders>
            <w:shd w:val="clear" w:color="auto" w:fill="auto"/>
            <w:noWrap/>
            <w:vAlign w:val="center"/>
          </w:tcPr>
          <w:p w14:paraId="78F0B5F7">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default" w:ascii="Times New Roman" w:hAnsi="Times New Roman" w:eastAsia="宋体" w:cs="Times New Roman"/>
                <w:i w:val="0"/>
                <w:iCs w:val="0"/>
                <w:color w:val="0000FF"/>
                <w:kern w:val="0"/>
                <w:sz w:val="21"/>
                <w:szCs w:val="21"/>
                <w:u w:val="none"/>
                <w:lang w:val="en-US" w:eastAsia="zh-CN" w:bidi="ar"/>
              </w:rPr>
              <w:t>超标</w:t>
            </w:r>
          </w:p>
        </w:tc>
      </w:tr>
      <w:tr w14:paraId="2D37A99A">
        <w:tblPrEx>
          <w:tblBorders>
            <w:top w:val="thinThickSmallGap" w:color="000000" w:sz="12" w:space="0"/>
            <w:left w:val="none" w:color="auto" w:sz="0" w:space="0"/>
            <w:bottom w:val="thinThickSmallGap" w:color="000000" w:sz="12" w:space="0"/>
            <w:right w:val="none" w:color="auto" w:sz="0"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295" w:hRule="atLeast"/>
        </w:trPr>
        <w:tc>
          <w:tcPr>
            <w:tcW w:w="235" w:type="pct"/>
            <w:tcBorders>
              <w:tl2br w:val="nil"/>
              <w:tr2bl w:val="nil"/>
            </w:tcBorders>
            <w:shd w:val="clear" w:color="auto" w:fill="auto"/>
            <w:noWrap/>
            <w:vAlign w:val="center"/>
          </w:tcPr>
          <w:p w14:paraId="557F0BE3">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default" w:ascii="Times New Roman" w:hAnsi="Times New Roman" w:eastAsia="宋体" w:cs="Times New Roman"/>
                <w:i w:val="0"/>
                <w:iCs w:val="0"/>
                <w:color w:val="0000FF"/>
                <w:kern w:val="0"/>
                <w:sz w:val="21"/>
                <w:szCs w:val="21"/>
                <w:u w:val="none"/>
                <w:lang w:val="en-US" w:eastAsia="zh-CN" w:bidi="ar"/>
              </w:rPr>
              <w:t>4</w:t>
            </w:r>
          </w:p>
        </w:tc>
        <w:tc>
          <w:tcPr>
            <w:tcW w:w="668" w:type="pct"/>
            <w:tcBorders>
              <w:tl2br w:val="nil"/>
              <w:tr2bl w:val="nil"/>
            </w:tcBorders>
            <w:shd w:val="clear" w:color="auto" w:fill="auto"/>
            <w:noWrap/>
            <w:vAlign w:val="center"/>
          </w:tcPr>
          <w:p w14:paraId="416D4A32">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三道沟</w:t>
            </w:r>
          </w:p>
        </w:tc>
        <w:tc>
          <w:tcPr>
            <w:tcW w:w="659" w:type="pct"/>
            <w:tcBorders>
              <w:tl2br w:val="nil"/>
              <w:tr2bl w:val="nil"/>
            </w:tcBorders>
            <w:shd w:val="clear" w:color="auto" w:fill="auto"/>
            <w:noWrap/>
            <w:vAlign w:val="center"/>
          </w:tcPr>
          <w:p w14:paraId="0EA1F4C8">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910,-1326</w:t>
            </w:r>
          </w:p>
        </w:tc>
        <w:tc>
          <w:tcPr>
            <w:tcW w:w="527" w:type="pct"/>
            <w:tcBorders>
              <w:tl2br w:val="nil"/>
              <w:tr2bl w:val="nil"/>
            </w:tcBorders>
            <w:shd w:val="clear" w:color="auto" w:fill="auto"/>
            <w:noWrap/>
            <w:vAlign w:val="center"/>
          </w:tcPr>
          <w:p w14:paraId="7FEDD128">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default" w:ascii="Times New Roman" w:hAnsi="Times New Roman" w:eastAsia="宋体" w:cs="Times New Roman"/>
                <w:i w:val="0"/>
                <w:iCs w:val="0"/>
                <w:color w:val="0000FF"/>
                <w:kern w:val="0"/>
                <w:sz w:val="21"/>
                <w:szCs w:val="21"/>
                <w:u w:val="none"/>
                <w:lang w:val="en-US" w:eastAsia="zh-CN" w:bidi="ar"/>
              </w:rPr>
              <w:t>1</w:t>
            </w:r>
            <w:r>
              <w:rPr>
                <w:rFonts w:hint="eastAsia" w:ascii="Times New Roman" w:hAnsi="Times New Roman" w:eastAsia="宋体" w:cs="Times New Roman"/>
                <w:i w:val="0"/>
                <w:iCs w:val="0"/>
                <w:color w:val="0000FF"/>
                <w:kern w:val="0"/>
                <w:sz w:val="21"/>
                <w:szCs w:val="21"/>
                <w:u w:val="none"/>
                <w:lang w:val="en-US" w:eastAsia="zh-CN" w:bidi="ar"/>
              </w:rPr>
              <w:t>小时</w:t>
            </w:r>
          </w:p>
        </w:tc>
        <w:tc>
          <w:tcPr>
            <w:tcW w:w="677" w:type="pct"/>
            <w:tcBorders>
              <w:tl2br w:val="nil"/>
              <w:tr2bl w:val="nil"/>
            </w:tcBorders>
            <w:shd w:val="clear" w:color="auto" w:fill="auto"/>
            <w:noWrap/>
            <w:vAlign w:val="center"/>
          </w:tcPr>
          <w:p w14:paraId="79C7835E">
            <w:pPr>
              <w:keepNext w:val="0"/>
              <w:keepLines w:val="0"/>
              <w:pageBreakBefore w:val="0"/>
              <w:widowControl/>
              <w:suppressLineNumbers w:val="0"/>
              <w:kinsoku/>
              <w:wordWrap/>
              <w:overflowPunct/>
              <w:topLinePunct w:val="0"/>
              <w:autoSpaceDE/>
              <w:autoSpaceDN/>
              <w:bidi w:val="0"/>
              <w:adjustRightInd/>
              <w:snapToGrid w:val="0"/>
              <w:jc w:val="right"/>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default" w:ascii="Times New Roman" w:hAnsi="Times New Roman" w:eastAsia="宋体" w:cs="Times New Roman"/>
                <w:i w:val="0"/>
                <w:iCs w:val="0"/>
                <w:color w:val="0000FF"/>
                <w:kern w:val="0"/>
                <w:sz w:val="21"/>
                <w:szCs w:val="21"/>
                <w:u w:val="none"/>
                <w:lang w:val="en-US" w:eastAsia="zh-CN" w:bidi="ar"/>
              </w:rPr>
              <w:t>1.83E+00</w:t>
            </w:r>
          </w:p>
        </w:tc>
        <w:tc>
          <w:tcPr>
            <w:tcW w:w="686" w:type="pct"/>
            <w:tcBorders>
              <w:tl2br w:val="nil"/>
              <w:tr2bl w:val="nil"/>
            </w:tcBorders>
            <w:shd w:val="clear" w:color="auto" w:fill="auto"/>
            <w:noWrap/>
            <w:vAlign w:val="center"/>
          </w:tcPr>
          <w:p w14:paraId="0D1000C9">
            <w:pPr>
              <w:keepNext w:val="0"/>
              <w:keepLines w:val="0"/>
              <w:pageBreakBefore w:val="0"/>
              <w:widowControl/>
              <w:suppressLineNumbers w:val="0"/>
              <w:kinsoku/>
              <w:wordWrap/>
              <w:overflowPunct/>
              <w:topLinePunct w:val="0"/>
              <w:autoSpaceDE/>
              <w:autoSpaceDN/>
              <w:bidi w:val="0"/>
              <w:adjustRightInd/>
              <w:snapToGrid w:val="0"/>
              <w:jc w:val="right"/>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default" w:ascii="Times New Roman" w:hAnsi="Times New Roman" w:eastAsia="宋体" w:cs="Times New Roman"/>
                <w:i w:val="0"/>
                <w:iCs w:val="0"/>
                <w:color w:val="0000FF"/>
                <w:kern w:val="0"/>
                <w:sz w:val="21"/>
                <w:szCs w:val="21"/>
                <w:u w:val="none"/>
                <w:lang w:val="en-US" w:eastAsia="zh-CN" w:bidi="ar"/>
              </w:rPr>
              <w:t>24102701</w:t>
            </w:r>
          </w:p>
        </w:tc>
        <w:tc>
          <w:tcPr>
            <w:tcW w:w="615" w:type="pct"/>
            <w:tcBorders>
              <w:tl2br w:val="nil"/>
              <w:tr2bl w:val="nil"/>
            </w:tcBorders>
            <w:shd w:val="clear" w:color="auto" w:fill="auto"/>
            <w:noWrap/>
            <w:vAlign w:val="center"/>
          </w:tcPr>
          <w:p w14:paraId="20454E03">
            <w:pPr>
              <w:keepNext w:val="0"/>
              <w:keepLines w:val="0"/>
              <w:pageBreakBefore w:val="0"/>
              <w:widowControl/>
              <w:suppressLineNumbers w:val="0"/>
              <w:kinsoku/>
              <w:wordWrap/>
              <w:overflowPunct/>
              <w:topLinePunct w:val="0"/>
              <w:autoSpaceDE/>
              <w:autoSpaceDN/>
              <w:bidi w:val="0"/>
              <w:adjustRightInd/>
              <w:snapToGrid w:val="0"/>
              <w:jc w:val="right"/>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default" w:ascii="Times New Roman" w:hAnsi="Times New Roman" w:eastAsia="宋体" w:cs="Times New Roman"/>
                <w:i w:val="0"/>
                <w:iCs w:val="0"/>
                <w:color w:val="0000FF"/>
                <w:kern w:val="0"/>
                <w:sz w:val="21"/>
                <w:szCs w:val="21"/>
                <w:u w:val="none"/>
                <w:lang w:val="en-US" w:eastAsia="zh-CN" w:bidi="ar"/>
              </w:rPr>
              <w:t>9.00E-01</w:t>
            </w:r>
          </w:p>
        </w:tc>
        <w:tc>
          <w:tcPr>
            <w:tcW w:w="536" w:type="pct"/>
            <w:tcBorders>
              <w:tl2br w:val="nil"/>
              <w:tr2bl w:val="nil"/>
            </w:tcBorders>
            <w:shd w:val="clear" w:color="auto" w:fill="auto"/>
            <w:noWrap/>
            <w:vAlign w:val="center"/>
          </w:tcPr>
          <w:p w14:paraId="72F83C3D">
            <w:pPr>
              <w:keepNext w:val="0"/>
              <w:keepLines w:val="0"/>
              <w:pageBreakBefore w:val="0"/>
              <w:widowControl/>
              <w:suppressLineNumbers w:val="0"/>
              <w:kinsoku/>
              <w:wordWrap/>
              <w:overflowPunct/>
              <w:topLinePunct w:val="0"/>
              <w:autoSpaceDE/>
              <w:autoSpaceDN/>
              <w:bidi w:val="0"/>
              <w:adjustRightInd/>
              <w:snapToGrid w:val="0"/>
              <w:jc w:val="right"/>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default" w:ascii="Times New Roman" w:hAnsi="Times New Roman" w:eastAsia="宋体" w:cs="Times New Roman"/>
                <w:i w:val="0"/>
                <w:iCs w:val="0"/>
                <w:color w:val="0000FF"/>
                <w:kern w:val="0"/>
                <w:sz w:val="21"/>
                <w:szCs w:val="21"/>
                <w:u w:val="none"/>
                <w:lang w:val="en-US" w:eastAsia="zh-CN" w:bidi="ar"/>
              </w:rPr>
              <w:t>202.83</w:t>
            </w:r>
          </w:p>
        </w:tc>
        <w:tc>
          <w:tcPr>
            <w:tcW w:w="391" w:type="pct"/>
            <w:tcBorders>
              <w:tl2br w:val="nil"/>
              <w:tr2bl w:val="nil"/>
            </w:tcBorders>
            <w:shd w:val="clear" w:color="auto" w:fill="auto"/>
            <w:noWrap/>
            <w:vAlign w:val="center"/>
          </w:tcPr>
          <w:p w14:paraId="27034E02">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default" w:ascii="Times New Roman" w:hAnsi="Times New Roman" w:eastAsia="宋体" w:cs="Times New Roman"/>
                <w:i w:val="0"/>
                <w:iCs w:val="0"/>
                <w:color w:val="0000FF"/>
                <w:kern w:val="0"/>
                <w:sz w:val="21"/>
                <w:szCs w:val="21"/>
                <w:u w:val="none"/>
                <w:lang w:val="en-US" w:eastAsia="zh-CN" w:bidi="ar"/>
              </w:rPr>
              <w:t>超标</w:t>
            </w:r>
          </w:p>
        </w:tc>
      </w:tr>
      <w:tr w14:paraId="0E03ABCA">
        <w:tblPrEx>
          <w:tblBorders>
            <w:top w:val="thinThickSmallGap" w:color="000000" w:sz="12" w:space="0"/>
            <w:left w:val="none" w:color="auto" w:sz="0" w:space="0"/>
            <w:bottom w:val="thinThickSmallGap" w:color="000000" w:sz="12" w:space="0"/>
            <w:right w:val="none" w:color="auto" w:sz="0"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295" w:hRule="atLeast"/>
        </w:trPr>
        <w:tc>
          <w:tcPr>
            <w:tcW w:w="235" w:type="pct"/>
            <w:tcBorders>
              <w:tl2br w:val="nil"/>
              <w:tr2bl w:val="nil"/>
            </w:tcBorders>
            <w:shd w:val="clear" w:color="auto" w:fill="auto"/>
            <w:noWrap/>
            <w:vAlign w:val="center"/>
          </w:tcPr>
          <w:p w14:paraId="2E483675">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default" w:ascii="Times New Roman" w:hAnsi="Times New Roman" w:eastAsia="宋体" w:cs="Times New Roman"/>
                <w:i w:val="0"/>
                <w:iCs w:val="0"/>
                <w:color w:val="0000FF"/>
                <w:kern w:val="0"/>
                <w:sz w:val="21"/>
                <w:szCs w:val="21"/>
                <w:u w:val="none"/>
                <w:lang w:val="en-US" w:eastAsia="zh-CN" w:bidi="ar"/>
              </w:rPr>
              <w:t>5</w:t>
            </w:r>
          </w:p>
        </w:tc>
        <w:tc>
          <w:tcPr>
            <w:tcW w:w="668" w:type="pct"/>
            <w:tcBorders>
              <w:tl2br w:val="nil"/>
              <w:tr2bl w:val="nil"/>
            </w:tcBorders>
            <w:shd w:val="clear" w:color="auto" w:fill="auto"/>
            <w:noWrap/>
            <w:vAlign w:val="center"/>
          </w:tcPr>
          <w:p w14:paraId="613227AE">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四道河子</w:t>
            </w:r>
          </w:p>
        </w:tc>
        <w:tc>
          <w:tcPr>
            <w:tcW w:w="659" w:type="pct"/>
            <w:tcBorders>
              <w:tl2br w:val="nil"/>
              <w:tr2bl w:val="nil"/>
            </w:tcBorders>
            <w:shd w:val="clear" w:color="auto" w:fill="auto"/>
            <w:noWrap/>
            <w:vAlign w:val="center"/>
          </w:tcPr>
          <w:p w14:paraId="71539E23">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430,1123</w:t>
            </w:r>
          </w:p>
        </w:tc>
        <w:tc>
          <w:tcPr>
            <w:tcW w:w="527" w:type="pct"/>
            <w:tcBorders>
              <w:tl2br w:val="nil"/>
              <w:tr2bl w:val="nil"/>
            </w:tcBorders>
            <w:shd w:val="clear" w:color="auto" w:fill="auto"/>
            <w:noWrap/>
            <w:vAlign w:val="center"/>
          </w:tcPr>
          <w:p w14:paraId="721FFDD8">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default" w:ascii="Times New Roman" w:hAnsi="Times New Roman" w:eastAsia="宋体" w:cs="Times New Roman"/>
                <w:i w:val="0"/>
                <w:iCs w:val="0"/>
                <w:color w:val="0000FF"/>
                <w:kern w:val="0"/>
                <w:sz w:val="21"/>
                <w:szCs w:val="21"/>
                <w:u w:val="none"/>
                <w:lang w:val="en-US" w:eastAsia="zh-CN" w:bidi="ar"/>
              </w:rPr>
              <w:t>1</w:t>
            </w:r>
            <w:r>
              <w:rPr>
                <w:rFonts w:hint="eastAsia" w:ascii="Times New Roman" w:hAnsi="Times New Roman" w:eastAsia="宋体" w:cs="Times New Roman"/>
                <w:i w:val="0"/>
                <w:iCs w:val="0"/>
                <w:color w:val="0000FF"/>
                <w:kern w:val="0"/>
                <w:sz w:val="21"/>
                <w:szCs w:val="21"/>
                <w:u w:val="none"/>
                <w:lang w:val="en-US" w:eastAsia="zh-CN" w:bidi="ar"/>
              </w:rPr>
              <w:t>小时</w:t>
            </w:r>
          </w:p>
        </w:tc>
        <w:tc>
          <w:tcPr>
            <w:tcW w:w="677" w:type="pct"/>
            <w:tcBorders>
              <w:tl2br w:val="nil"/>
              <w:tr2bl w:val="nil"/>
            </w:tcBorders>
            <w:shd w:val="clear" w:color="auto" w:fill="auto"/>
            <w:noWrap/>
            <w:vAlign w:val="center"/>
          </w:tcPr>
          <w:p w14:paraId="50E1E45F">
            <w:pPr>
              <w:keepNext w:val="0"/>
              <w:keepLines w:val="0"/>
              <w:pageBreakBefore w:val="0"/>
              <w:widowControl/>
              <w:suppressLineNumbers w:val="0"/>
              <w:kinsoku/>
              <w:wordWrap/>
              <w:overflowPunct/>
              <w:topLinePunct w:val="0"/>
              <w:autoSpaceDE/>
              <w:autoSpaceDN/>
              <w:bidi w:val="0"/>
              <w:adjustRightInd/>
              <w:snapToGrid w:val="0"/>
              <w:jc w:val="right"/>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default" w:ascii="Times New Roman" w:hAnsi="Times New Roman" w:eastAsia="宋体" w:cs="Times New Roman"/>
                <w:i w:val="0"/>
                <w:iCs w:val="0"/>
                <w:color w:val="0000FF"/>
                <w:kern w:val="0"/>
                <w:sz w:val="21"/>
                <w:szCs w:val="21"/>
                <w:u w:val="none"/>
                <w:lang w:val="en-US" w:eastAsia="zh-CN" w:bidi="ar"/>
              </w:rPr>
              <w:t>3.33E+00</w:t>
            </w:r>
          </w:p>
        </w:tc>
        <w:tc>
          <w:tcPr>
            <w:tcW w:w="686" w:type="pct"/>
            <w:tcBorders>
              <w:tl2br w:val="nil"/>
              <w:tr2bl w:val="nil"/>
            </w:tcBorders>
            <w:shd w:val="clear" w:color="auto" w:fill="auto"/>
            <w:noWrap/>
            <w:vAlign w:val="center"/>
          </w:tcPr>
          <w:p w14:paraId="5C03393F">
            <w:pPr>
              <w:keepNext w:val="0"/>
              <w:keepLines w:val="0"/>
              <w:pageBreakBefore w:val="0"/>
              <w:widowControl/>
              <w:suppressLineNumbers w:val="0"/>
              <w:kinsoku/>
              <w:wordWrap/>
              <w:overflowPunct/>
              <w:topLinePunct w:val="0"/>
              <w:autoSpaceDE/>
              <w:autoSpaceDN/>
              <w:bidi w:val="0"/>
              <w:adjustRightInd/>
              <w:snapToGrid w:val="0"/>
              <w:jc w:val="right"/>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default" w:ascii="Times New Roman" w:hAnsi="Times New Roman" w:eastAsia="宋体" w:cs="Times New Roman"/>
                <w:i w:val="0"/>
                <w:iCs w:val="0"/>
                <w:color w:val="0000FF"/>
                <w:kern w:val="0"/>
                <w:sz w:val="21"/>
                <w:szCs w:val="21"/>
                <w:u w:val="none"/>
                <w:lang w:val="en-US" w:eastAsia="zh-CN" w:bidi="ar"/>
              </w:rPr>
              <w:t>24110302</w:t>
            </w:r>
          </w:p>
        </w:tc>
        <w:tc>
          <w:tcPr>
            <w:tcW w:w="615" w:type="pct"/>
            <w:tcBorders>
              <w:tl2br w:val="nil"/>
              <w:tr2bl w:val="nil"/>
            </w:tcBorders>
            <w:shd w:val="clear" w:color="auto" w:fill="auto"/>
            <w:noWrap/>
            <w:vAlign w:val="center"/>
          </w:tcPr>
          <w:p w14:paraId="1810609F">
            <w:pPr>
              <w:keepNext w:val="0"/>
              <w:keepLines w:val="0"/>
              <w:pageBreakBefore w:val="0"/>
              <w:widowControl/>
              <w:suppressLineNumbers w:val="0"/>
              <w:kinsoku/>
              <w:wordWrap/>
              <w:overflowPunct/>
              <w:topLinePunct w:val="0"/>
              <w:autoSpaceDE/>
              <w:autoSpaceDN/>
              <w:bidi w:val="0"/>
              <w:adjustRightInd/>
              <w:snapToGrid w:val="0"/>
              <w:jc w:val="right"/>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default" w:ascii="Times New Roman" w:hAnsi="Times New Roman" w:eastAsia="宋体" w:cs="Times New Roman"/>
                <w:i w:val="0"/>
                <w:iCs w:val="0"/>
                <w:color w:val="0000FF"/>
                <w:kern w:val="0"/>
                <w:sz w:val="21"/>
                <w:szCs w:val="21"/>
                <w:u w:val="none"/>
                <w:lang w:val="en-US" w:eastAsia="zh-CN" w:bidi="ar"/>
              </w:rPr>
              <w:t>9.00E-01</w:t>
            </w:r>
          </w:p>
        </w:tc>
        <w:tc>
          <w:tcPr>
            <w:tcW w:w="536" w:type="pct"/>
            <w:tcBorders>
              <w:tl2br w:val="nil"/>
              <w:tr2bl w:val="nil"/>
            </w:tcBorders>
            <w:shd w:val="clear" w:color="auto" w:fill="auto"/>
            <w:noWrap/>
            <w:vAlign w:val="center"/>
          </w:tcPr>
          <w:p w14:paraId="6F612D88">
            <w:pPr>
              <w:keepNext w:val="0"/>
              <w:keepLines w:val="0"/>
              <w:pageBreakBefore w:val="0"/>
              <w:widowControl/>
              <w:suppressLineNumbers w:val="0"/>
              <w:kinsoku/>
              <w:wordWrap/>
              <w:overflowPunct/>
              <w:topLinePunct w:val="0"/>
              <w:autoSpaceDE/>
              <w:autoSpaceDN/>
              <w:bidi w:val="0"/>
              <w:adjustRightInd/>
              <w:snapToGrid w:val="0"/>
              <w:jc w:val="right"/>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default" w:ascii="Times New Roman" w:hAnsi="Times New Roman" w:eastAsia="宋体" w:cs="Times New Roman"/>
                <w:i w:val="0"/>
                <w:iCs w:val="0"/>
                <w:color w:val="0000FF"/>
                <w:kern w:val="0"/>
                <w:sz w:val="21"/>
                <w:szCs w:val="21"/>
                <w:u w:val="none"/>
                <w:lang w:val="en-US" w:eastAsia="zh-CN" w:bidi="ar"/>
              </w:rPr>
              <w:t>369.82</w:t>
            </w:r>
          </w:p>
        </w:tc>
        <w:tc>
          <w:tcPr>
            <w:tcW w:w="391" w:type="pct"/>
            <w:tcBorders>
              <w:tl2br w:val="nil"/>
              <w:tr2bl w:val="nil"/>
            </w:tcBorders>
            <w:shd w:val="clear" w:color="auto" w:fill="auto"/>
            <w:noWrap/>
            <w:vAlign w:val="center"/>
          </w:tcPr>
          <w:p w14:paraId="147327A9">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default" w:ascii="Times New Roman" w:hAnsi="Times New Roman" w:eastAsia="宋体" w:cs="Times New Roman"/>
                <w:i w:val="0"/>
                <w:iCs w:val="0"/>
                <w:color w:val="0000FF"/>
                <w:kern w:val="0"/>
                <w:sz w:val="21"/>
                <w:szCs w:val="21"/>
                <w:u w:val="none"/>
                <w:lang w:val="en-US" w:eastAsia="zh-CN" w:bidi="ar"/>
              </w:rPr>
              <w:t>超标</w:t>
            </w:r>
          </w:p>
        </w:tc>
      </w:tr>
      <w:tr w14:paraId="4EACBA63">
        <w:tblPrEx>
          <w:tblBorders>
            <w:top w:val="thinThickSmallGap" w:color="000000" w:sz="12" w:space="0"/>
            <w:left w:val="none" w:color="auto" w:sz="0" w:space="0"/>
            <w:bottom w:val="thinThickSmallGap"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295" w:hRule="atLeast"/>
        </w:trPr>
        <w:tc>
          <w:tcPr>
            <w:tcW w:w="235" w:type="pct"/>
            <w:tcBorders>
              <w:tl2br w:val="nil"/>
              <w:tr2bl w:val="nil"/>
            </w:tcBorders>
            <w:shd w:val="clear" w:color="auto" w:fill="auto"/>
            <w:noWrap/>
            <w:vAlign w:val="center"/>
          </w:tcPr>
          <w:p w14:paraId="48C448FB">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default" w:ascii="Times New Roman" w:hAnsi="Times New Roman" w:eastAsia="宋体" w:cs="Times New Roman"/>
                <w:i w:val="0"/>
                <w:iCs w:val="0"/>
                <w:color w:val="0000FF"/>
                <w:kern w:val="0"/>
                <w:sz w:val="21"/>
                <w:szCs w:val="21"/>
                <w:u w:val="none"/>
                <w:lang w:val="en-US" w:eastAsia="zh-CN" w:bidi="ar"/>
              </w:rPr>
              <w:t>6</w:t>
            </w:r>
          </w:p>
        </w:tc>
        <w:tc>
          <w:tcPr>
            <w:tcW w:w="668" w:type="pct"/>
            <w:tcBorders>
              <w:tl2br w:val="nil"/>
              <w:tr2bl w:val="nil"/>
            </w:tcBorders>
            <w:shd w:val="clear" w:color="auto" w:fill="auto"/>
            <w:vAlign w:val="center"/>
          </w:tcPr>
          <w:p w14:paraId="3FB71881">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五道沟</w:t>
            </w:r>
          </w:p>
        </w:tc>
        <w:tc>
          <w:tcPr>
            <w:tcW w:w="659" w:type="pct"/>
            <w:tcBorders>
              <w:tl2br w:val="nil"/>
              <w:tr2bl w:val="nil"/>
            </w:tcBorders>
            <w:shd w:val="clear" w:color="auto" w:fill="auto"/>
            <w:noWrap/>
            <w:vAlign w:val="center"/>
          </w:tcPr>
          <w:p w14:paraId="6A6D68CB">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815,1679</w:t>
            </w:r>
          </w:p>
        </w:tc>
        <w:tc>
          <w:tcPr>
            <w:tcW w:w="527" w:type="pct"/>
            <w:tcBorders>
              <w:tl2br w:val="nil"/>
              <w:tr2bl w:val="nil"/>
            </w:tcBorders>
            <w:shd w:val="clear" w:color="auto" w:fill="auto"/>
            <w:noWrap/>
            <w:vAlign w:val="center"/>
          </w:tcPr>
          <w:p w14:paraId="7045AD2C">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default" w:ascii="Times New Roman" w:hAnsi="Times New Roman" w:eastAsia="宋体" w:cs="Times New Roman"/>
                <w:i w:val="0"/>
                <w:iCs w:val="0"/>
                <w:color w:val="0000FF"/>
                <w:kern w:val="0"/>
                <w:sz w:val="21"/>
                <w:szCs w:val="21"/>
                <w:u w:val="none"/>
                <w:lang w:val="en-US" w:eastAsia="zh-CN" w:bidi="ar"/>
              </w:rPr>
              <w:t>1</w:t>
            </w:r>
            <w:r>
              <w:rPr>
                <w:rFonts w:hint="eastAsia" w:ascii="Times New Roman" w:hAnsi="Times New Roman" w:eastAsia="宋体" w:cs="Times New Roman"/>
                <w:i w:val="0"/>
                <w:iCs w:val="0"/>
                <w:color w:val="0000FF"/>
                <w:kern w:val="0"/>
                <w:sz w:val="21"/>
                <w:szCs w:val="21"/>
                <w:u w:val="none"/>
                <w:lang w:val="en-US" w:eastAsia="zh-CN" w:bidi="ar"/>
              </w:rPr>
              <w:t>小时</w:t>
            </w:r>
          </w:p>
        </w:tc>
        <w:tc>
          <w:tcPr>
            <w:tcW w:w="677" w:type="pct"/>
            <w:tcBorders>
              <w:tl2br w:val="nil"/>
              <w:tr2bl w:val="nil"/>
            </w:tcBorders>
            <w:shd w:val="clear" w:color="auto" w:fill="auto"/>
            <w:noWrap/>
            <w:vAlign w:val="center"/>
          </w:tcPr>
          <w:p w14:paraId="6C70555E">
            <w:pPr>
              <w:keepNext w:val="0"/>
              <w:keepLines w:val="0"/>
              <w:pageBreakBefore w:val="0"/>
              <w:widowControl/>
              <w:suppressLineNumbers w:val="0"/>
              <w:kinsoku/>
              <w:wordWrap/>
              <w:overflowPunct/>
              <w:topLinePunct w:val="0"/>
              <w:autoSpaceDE/>
              <w:autoSpaceDN/>
              <w:bidi w:val="0"/>
              <w:adjustRightInd/>
              <w:snapToGrid w:val="0"/>
              <w:jc w:val="right"/>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default" w:ascii="Times New Roman" w:hAnsi="Times New Roman" w:eastAsia="宋体" w:cs="Times New Roman"/>
                <w:i w:val="0"/>
                <w:iCs w:val="0"/>
                <w:color w:val="0000FF"/>
                <w:kern w:val="0"/>
                <w:sz w:val="21"/>
                <w:szCs w:val="21"/>
                <w:u w:val="none"/>
                <w:lang w:val="en-US" w:eastAsia="zh-CN" w:bidi="ar"/>
              </w:rPr>
              <w:t>1.60E+00</w:t>
            </w:r>
          </w:p>
        </w:tc>
        <w:tc>
          <w:tcPr>
            <w:tcW w:w="686" w:type="pct"/>
            <w:tcBorders>
              <w:tl2br w:val="nil"/>
              <w:tr2bl w:val="nil"/>
            </w:tcBorders>
            <w:shd w:val="clear" w:color="auto" w:fill="auto"/>
            <w:noWrap/>
            <w:vAlign w:val="center"/>
          </w:tcPr>
          <w:p w14:paraId="4EEF9C87">
            <w:pPr>
              <w:keepNext w:val="0"/>
              <w:keepLines w:val="0"/>
              <w:pageBreakBefore w:val="0"/>
              <w:widowControl/>
              <w:suppressLineNumbers w:val="0"/>
              <w:kinsoku/>
              <w:wordWrap/>
              <w:overflowPunct/>
              <w:topLinePunct w:val="0"/>
              <w:autoSpaceDE/>
              <w:autoSpaceDN/>
              <w:bidi w:val="0"/>
              <w:adjustRightInd/>
              <w:snapToGrid w:val="0"/>
              <w:jc w:val="right"/>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default" w:ascii="Times New Roman" w:hAnsi="Times New Roman" w:eastAsia="宋体" w:cs="Times New Roman"/>
                <w:i w:val="0"/>
                <w:iCs w:val="0"/>
                <w:color w:val="0000FF"/>
                <w:kern w:val="0"/>
                <w:sz w:val="21"/>
                <w:szCs w:val="21"/>
                <w:u w:val="none"/>
                <w:lang w:val="en-US" w:eastAsia="zh-CN" w:bidi="ar"/>
              </w:rPr>
              <w:t>24010222</w:t>
            </w:r>
          </w:p>
        </w:tc>
        <w:tc>
          <w:tcPr>
            <w:tcW w:w="615" w:type="pct"/>
            <w:tcBorders>
              <w:tl2br w:val="nil"/>
              <w:tr2bl w:val="nil"/>
            </w:tcBorders>
            <w:shd w:val="clear" w:color="auto" w:fill="auto"/>
            <w:noWrap/>
            <w:vAlign w:val="center"/>
          </w:tcPr>
          <w:p w14:paraId="1314CF45">
            <w:pPr>
              <w:keepNext w:val="0"/>
              <w:keepLines w:val="0"/>
              <w:pageBreakBefore w:val="0"/>
              <w:widowControl/>
              <w:suppressLineNumbers w:val="0"/>
              <w:kinsoku/>
              <w:wordWrap/>
              <w:overflowPunct/>
              <w:topLinePunct w:val="0"/>
              <w:autoSpaceDE/>
              <w:autoSpaceDN/>
              <w:bidi w:val="0"/>
              <w:adjustRightInd/>
              <w:snapToGrid w:val="0"/>
              <w:jc w:val="right"/>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default" w:ascii="Times New Roman" w:hAnsi="Times New Roman" w:eastAsia="宋体" w:cs="Times New Roman"/>
                <w:i w:val="0"/>
                <w:iCs w:val="0"/>
                <w:color w:val="0000FF"/>
                <w:kern w:val="0"/>
                <w:sz w:val="21"/>
                <w:szCs w:val="21"/>
                <w:u w:val="none"/>
                <w:lang w:val="en-US" w:eastAsia="zh-CN" w:bidi="ar"/>
              </w:rPr>
              <w:t>9.00E-01</w:t>
            </w:r>
          </w:p>
        </w:tc>
        <w:tc>
          <w:tcPr>
            <w:tcW w:w="536" w:type="pct"/>
            <w:tcBorders>
              <w:tl2br w:val="nil"/>
              <w:tr2bl w:val="nil"/>
            </w:tcBorders>
            <w:shd w:val="clear" w:color="auto" w:fill="auto"/>
            <w:noWrap/>
            <w:vAlign w:val="center"/>
          </w:tcPr>
          <w:p w14:paraId="6B95337E">
            <w:pPr>
              <w:keepNext w:val="0"/>
              <w:keepLines w:val="0"/>
              <w:pageBreakBefore w:val="0"/>
              <w:widowControl/>
              <w:suppressLineNumbers w:val="0"/>
              <w:kinsoku/>
              <w:wordWrap/>
              <w:overflowPunct/>
              <w:topLinePunct w:val="0"/>
              <w:autoSpaceDE/>
              <w:autoSpaceDN/>
              <w:bidi w:val="0"/>
              <w:adjustRightInd/>
              <w:snapToGrid w:val="0"/>
              <w:jc w:val="right"/>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default" w:ascii="Times New Roman" w:hAnsi="Times New Roman" w:eastAsia="宋体" w:cs="Times New Roman"/>
                <w:i w:val="0"/>
                <w:iCs w:val="0"/>
                <w:color w:val="0000FF"/>
                <w:kern w:val="0"/>
                <w:sz w:val="21"/>
                <w:szCs w:val="21"/>
                <w:u w:val="none"/>
                <w:lang w:val="en-US" w:eastAsia="zh-CN" w:bidi="ar"/>
              </w:rPr>
              <w:t>177.96</w:t>
            </w:r>
          </w:p>
        </w:tc>
        <w:tc>
          <w:tcPr>
            <w:tcW w:w="391" w:type="pct"/>
            <w:tcBorders>
              <w:tl2br w:val="nil"/>
              <w:tr2bl w:val="nil"/>
            </w:tcBorders>
            <w:shd w:val="clear" w:color="auto" w:fill="auto"/>
            <w:noWrap/>
            <w:vAlign w:val="center"/>
          </w:tcPr>
          <w:p w14:paraId="516E7067">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default" w:ascii="Times New Roman" w:hAnsi="Times New Roman" w:eastAsia="宋体" w:cs="Times New Roman"/>
                <w:i w:val="0"/>
                <w:iCs w:val="0"/>
                <w:color w:val="0000FF"/>
                <w:kern w:val="0"/>
                <w:sz w:val="21"/>
                <w:szCs w:val="21"/>
                <w:u w:val="none"/>
                <w:lang w:val="en-US" w:eastAsia="zh-CN" w:bidi="ar"/>
              </w:rPr>
              <w:t>超标</w:t>
            </w:r>
          </w:p>
        </w:tc>
      </w:tr>
      <w:tr w14:paraId="69971223">
        <w:tblPrEx>
          <w:tblBorders>
            <w:top w:val="thinThickSmallGap" w:color="000000" w:sz="12" w:space="0"/>
            <w:left w:val="none" w:color="auto" w:sz="0" w:space="0"/>
            <w:bottom w:val="thinThickSmallGap"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295" w:hRule="atLeast"/>
        </w:trPr>
        <w:tc>
          <w:tcPr>
            <w:tcW w:w="235" w:type="pct"/>
            <w:tcBorders>
              <w:tl2br w:val="nil"/>
              <w:tr2bl w:val="nil"/>
            </w:tcBorders>
            <w:shd w:val="clear" w:color="auto" w:fill="auto"/>
            <w:noWrap/>
            <w:vAlign w:val="center"/>
          </w:tcPr>
          <w:p w14:paraId="5E17FA4D">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7</w:t>
            </w:r>
          </w:p>
        </w:tc>
        <w:tc>
          <w:tcPr>
            <w:tcW w:w="668" w:type="pct"/>
            <w:tcBorders>
              <w:tl2br w:val="nil"/>
              <w:tr2bl w:val="nil"/>
            </w:tcBorders>
            <w:shd w:val="clear" w:color="auto" w:fill="auto"/>
            <w:vAlign w:val="center"/>
          </w:tcPr>
          <w:p w14:paraId="16295D7F">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杨家堡子</w:t>
            </w:r>
          </w:p>
        </w:tc>
        <w:tc>
          <w:tcPr>
            <w:tcW w:w="659" w:type="pct"/>
            <w:tcBorders>
              <w:tl2br w:val="nil"/>
              <w:tr2bl w:val="nil"/>
            </w:tcBorders>
            <w:shd w:val="clear" w:color="auto" w:fill="auto"/>
            <w:noWrap/>
            <w:vAlign w:val="center"/>
          </w:tcPr>
          <w:p w14:paraId="2477ACD2">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1113,1984</w:t>
            </w:r>
          </w:p>
        </w:tc>
        <w:tc>
          <w:tcPr>
            <w:tcW w:w="527" w:type="pct"/>
            <w:tcBorders>
              <w:tl2br w:val="nil"/>
              <w:tr2bl w:val="nil"/>
            </w:tcBorders>
            <w:shd w:val="clear" w:color="auto" w:fill="auto"/>
            <w:noWrap/>
            <w:vAlign w:val="center"/>
          </w:tcPr>
          <w:p w14:paraId="2D67C7DD">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Times New Roman" w:hAnsi="Times New Roman" w:eastAsia="宋体" w:cs="Times New Roman"/>
                <w:i w:val="0"/>
                <w:iCs w:val="0"/>
                <w:color w:val="0000FF"/>
                <w:kern w:val="0"/>
                <w:sz w:val="21"/>
                <w:szCs w:val="21"/>
                <w:u w:val="none"/>
                <w:lang w:val="en-US" w:eastAsia="zh-CN" w:bidi="ar"/>
              </w:rPr>
            </w:pPr>
            <w:r>
              <w:rPr>
                <w:rFonts w:hint="default" w:ascii="Times New Roman" w:hAnsi="Times New Roman" w:eastAsia="宋体" w:cs="Times New Roman"/>
                <w:i w:val="0"/>
                <w:iCs w:val="0"/>
                <w:color w:val="0000FF"/>
                <w:kern w:val="0"/>
                <w:sz w:val="21"/>
                <w:szCs w:val="21"/>
                <w:u w:val="none"/>
                <w:lang w:val="en-US" w:eastAsia="zh-CN" w:bidi="ar"/>
              </w:rPr>
              <w:t>1</w:t>
            </w:r>
            <w:r>
              <w:rPr>
                <w:rFonts w:hint="eastAsia" w:ascii="Times New Roman" w:hAnsi="Times New Roman" w:eastAsia="宋体" w:cs="Times New Roman"/>
                <w:i w:val="0"/>
                <w:iCs w:val="0"/>
                <w:color w:val="0000FF"/>
                <w:kern w:val="0"/>
                <w:sz w:val="21"/>
                <w:szCs w:val="21"/>
                <w:u w:val="none"/>
                <w:lang w:val="en-US" w:eastAsia="zh-CN" w:bidi="ar"/>
              </w:rPr>
              <w:t>小时</w:t>
            </w:r>
          </w:p>
        </w:tc>
        <w:tc>
          <w:tcPr>
            <w:tcW w:w="677" w:type="pct"/>
            <w:tcBorders>
              <w:tl2br w:val="nil"/>
              <w:tr2bl w:val="nil"/>
            </w:tcBorders>
            <w:shd w:val="clear" w:color="auto" w:fill="auto"/>
            <w:noWrap/>
            <w:vAlign w:val="center"/>
          </w:tcPr>
          <w:p w14:paraId="61C5D9C5">
            <w:pPr>
              <w:keepNext w:val="0"/>
              <w:keepLines w:val="0"/>
              <w:pageBreakBefore w:val="0"/>
              <w:widowControl/>
              <w:suppressLineNumbers w:val="0"/>
              <w:kinsoku/>
              <w:wordWrap/>
              <w:overflowPunct/>
              <w:topLinePunct w:val="0"/>
              <w:autoSpaceDE/>
              <w:autoSpaceDN/>
              <w:bidi w:val="0"/>
              <w:adjustRightInd/>
              <w:snapToGrid w:val="0"/>
              <w:jc w:val="right"/>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default" w:ascii="Times New Roman" w:hAnsi="Times New Roman" w:eastAsia="宋体" w:cs="Times New Roman"/>
                <w:i w:val="0"/>
                <w:iCs w:val="0"/>
                <w:color w:val="0000FF"/>
                <w:kern w:val="0"/>
                <w:sz w:val="21"/>
                <w:szCs w:val="21"/>
                <w:u w:val="none"/>
                <w:lang w:val="en-US" w:eastAsia="zh-CN" w:bidi="ar"/>
              </w:rPr>
              <w:t>1.23E+00</w:t>
            </w:r>
          </w:p>
        </w:tc>
        <w:tc>
          <w:tcPr>
            <w:tcW w:w="686" w:type="pct"/>
            <w:tcBorders>
              <w:tl2br w:val="nil"/>
              <w:tr2bl w:val="nil"/>
            </w:tcBorders>
            <w:shd w:val="clear" w:color="auto" w:fill="auto"/>
            <w:noWrap/>
            <w:vAlign w:val="center"/>
          </w:tcPr>
          <w:p w14:paraId="12FD9155">
            <w:pPr>
              <w:keepNext w:val="0"/>
              <w:keepLines w:val="0"/>
              <w:pageBreakBefore w:val="0"/>
              <w:widowControl/>
              <w:suppressLineNumbers w:val="0"/>
              <w:kinsoku/>
              <w:wordWrap/>
              <w:overflowPunct/>
              <w:topLinePunct w:val="0"/>
              <w:autoSpaceDE/>
              <w:autoSpaceDN/>
              <w:bidi w:val="0"/>
              <w:adjustRightInd/>
              <w:snapToGrid w:val="0"/>
              <w:jc w:val="right"/>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default" w:ascii="Times New Roman" w:hAnsi="Times New Roman" w:eastAsia="宋体" w:cs="Times New Roman"/>
                <w:i w:val="0"/>
                <w:iCs w:val="0"/>
                <w:color w:val="0000FF"/>
                <w:kern w:val="0"/>
                <w:sz w:val="21"/>
                <w:szCs w:val="21"/>
                <w:u w:val="none"/>
                <w:lang w:val="en-US" w:eastAsia="zh-CN" w:bidi="ar"/>
              </w:rPr>
              <w:t>24042005</w:t>
            </w:r>
          </w:p>
        </w:tc>
        <w:tc>
          <w:tcPr>
            <w:tcW w:w="615" w:type="pct"/>
            <w:tcBorders>
              <w:tl2br w:val="nil"/>
              <w:tr2bl w:val="nil"/>
            </w:tcBorders>
            <w:shd w:val="clear" w:color="auto" w:fill="auto"/>
            <w:noWrap/>
            <w:vAlign w:val="center"/>
          </w:tcPr>
          <w:p w14:paraId="4D69242E">
            <w:pPr>
              <w:keepNext w:val="0"/>
              <w:keepLines w:val="0"/>
              <w:pageBreakBefore w:val="0"/>
              <w:widowControl/>
              <w:suppressLineNumbers w:val="0"/>
              <w:kinsoku/>
              <w:wordWrap/>
              <w:overflowPunct/>
              <w:topLinePunct w:val="0"/>
              <w:autoSpaceDE/>
              <w:autoSpaceDN/>
              <w:bidi w:val="0"/>
              <w:adjustRightInd/>
              <w:snapToGrid w:val="0"/>
              <w:jc w:val="right"/>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default" w:ascii="Times New Roman" w:hAnsi="Times New Roman" w:eastAsia="宋体" w:cs="Times New Roman"/>
                <w:i w:val="0"/>
                <w:iCs w:val="0"/>
                <w:color w:val="0000FF"/>
                <w:kern w:val="0"/>
                <w:sz w:val="21"/>
                <w:szCs w:val="21"/>
                <w:u w:val="none"/>
                <w:lang w:val="en-US" w:eastAsia="zh-CN" w:bidi="ar"/>
              </w:rPr>
              <w:t>9.00E-01</w:t>
            </w:r>
          </w:p>
        </w:tc>
        <w:tc>
          <w:tcPr>
            <w:tcW w:w="536" w:type="pct"/>
            <w:tcBorders>
              <w:tl2br w:val="nil"/>
              <w:tr2bl w:val="nil"/>
            </w:tcBorders>
            <w:shd w:val="clear" w:color="auto" w:fill="auto"/>
            <w:noWrap/>
            <w:vAlign w:val="center"/>
          </w:tcPr>
          <w:p w14:paraId="192B2EEC">
            <w:pPr>
              <w:keepNext w:val="0"/>
              <w:keepLines w:val="0"/>
              <w:pageBreakBefore w:val="0"/>
              <w:widowControl/>
              <w:suppressLineNumbers w:val="0"/>
              <w:kinsoku/>
              <w:wordWrap/>
              <w:overflowPunct/>
              <w:topLinePunct w:val="0"/>
              <w:autoSpaceDE/>
              <w:autoSpaceDN/>
              <w:bidi w:val="0"/>
              <w:adjustRightInd/>
              <w:snapToGrid w:val="0"/>
              <w:jc w:val="right"/>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default" w:ascii="Times New Roman" w:hAnsi="Times New Roman" w:eastAsia="宋体" w:cs="Times New Roman"/>
                <w:i w:val="0"/>
                <w:iCs w:val="0"/>
                <w:color w:val="0000FF"/>
                <w:kern w:val="0"/>
                <w:sz w:val="21"/>
                <w:szCs w:val="21"/>
                <w:u w:val="none"/>
                <w:lang w:val="en-US" w:eastAsia="zh-CN" w:bidi="ar"/>
              </w:rPr>
              <w:t>136.58</w:t>
            </w:r>
          </w:p>
        </w:tc>
        <w:tc>
          <w:tcPr>
            <w:tcW w:w="391" w:type="pct"/>
            <w:tcBorders>
              <w:tl2br w:val="nil"/>
              <w:tr2bl w:val="nil"/>
            </w:tcBorders>
            <w:shd w:val="clear" w:color="auto" w:fill="auto"/>
            <w:noWrap/>
            <w:vAlign w:val="center"/>
          </w:tcPr>
          <w:p w14:paraId="40AE8A86">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default" w:ascii="Times New Roman" w:hAnsi="Times New Roman" w:eastAsia="宋体" w:cs="Times New Roman"/>
                <w:i w:val="0"/>
                <w:iCs w:val="0"/>
                <w:color w:val="0000FF"/>
                <w:kern w:val="0"/>
                <w:sz w:val="21"/>
                <w:szCs w:val="21"/>
                <w:u w:val="none"/>
                <w:lang w:val="en-US" w:eastAsia="zh-CN" w:bidi="ar"/>
              </w:rPr>
              <w:t>超标</w:t>
            </w:r>
          </w:p>
        </w:tc>
      </w:tr>
      <w:tr w14:paraId="7BF5CF7C">
        <w:tblPrEx>
          <w:tblBorders>
            <w:top w:val="thinThickSmallGap" w:color="000000" w:sz="12" w:space="0"/>
            <w:left w:val="none" w:color="auto" w:sz="0" w:space="0"/>
            <w:bottom w:val="thinThickSmallGap" w:color="000000" w:sz="12" w:space="0"/>
            <w:right w:val="none" w:color="auto" w:sz="0"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295" w:hRule="atLeast"/>
        </w:trPr>
        <w:tc>
          <w:tcPr>
            <w:tcW w:w="235" w:type="pct"/>
            <w:tcBorders>
              <w:tl2br w:val="nil"/>
              <w:tr2bl w:val="nil"/>
            </w:tcBorders>
            <w:shd w:val="clear" w:color="auto" w:fill="auto"/>
            <w:noWrap/>
            <w:vAlign w:val="center"/>
          </w:tcPr>
          <w:p w14:paraId="5006BDC9">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8</w:t>
            </w:r>
          </w:p>
        </w:tc>
        <w:tc>
          <w:tcPr>
            <w:tcW w:w="668" w:type="pct"/>
            <w:tcBorders>
              <w:tl2br w:val="nil"/>
              <w:tr2bl w:val="nil"/>
            </w:tcBorders>
            <w:shd w:val="clear" w:color="auto" w:fill="auto"/>
            <w:vAlign w:val="center"/>
          </w:tcPr>
          <w:p w14:paraId="0300E6A1">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网格</w:t>
            </w:r>
          </w:p>
        </w:tc>
        <w:tc>
          <w:tcPr>
            <w:tcW w:w="659" w:type="pct"/>
            <w:tcBorders>
              <w:tl2br w:val="nil"/>
              <w:tr2bl w:val="nil"/>
            </w:tcBorders>
            <w:shd w:val="clear" w:color="auto" w:fill="auto"/>
            <w:noWrap/>
            <w:vAlign w:val="center"/>
          </w:tcPr>
          <w:p w14:paraId="79393B09">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1</w:t>
            </w:r>
            <w:r>
              <w:rPr>
                <w:rFonts w:hint="default" w:ascii="Times New Roman" w:hAnsi="Times New Roman" w:eastAsia="宋体" w:cs="Times New Roman"/>
                <w:i w:val="0"/>
                <w:iCs w:val="0"/>
                <w:color w:val="0000FF"/>
                <w:kern w:val="0"/>
                <w:sz w:val="21"/>
                <w:szCs w:val="21"/>
                <w:u w:val="none"/>
                <w:lang w:val="en-US" w:eastAsia="zh-CN" w:bidi="ar"/>
              </w:rPr>
              <w:t>28,</w:t>
            </w:r>
            <w:r>
              <w:rPr>
                <w:rFonts w:hint="eastAsia" w:ascii="Times New Roman" w:hAnsi="Times New Roman" w:eastAsia="宋体" w:cs="Times New Roman"/>
                <w:i w:val="0"/>
                <w:iCs w:val="0"/>
                <w:color w:val="0000FF"/>
                <w:kern w:val="0"/>
                <w:sz w:val="21"/>
                <w:szCs w:val="21"/>
                <w:u w:val="none"/>
                <w:lang w:val="en-US" w:eastAsia="zh-CN" w:bidi="ar"/>
              </w:rPr>
              <w:t>-269</w:t>
            </w:r>
          </w:p>
        </w:tc>
        <w:tc>
          <w:tcPr>
            <w:tcW w:w="527" w:type="pct"/>
            <w:tcBorders>
              <w:tl2br w:val="nil"/>
              <w:tr2bl w:val="nil"/>
            </w:tcBorders>
            <w:shd w:val="clear" w:color="auto" w:fill="auto"/>
            <w:noWrap/>
            <w:vAlign w:val="center"/>
          </w:tcPr>
          <w:p w14:paraId="0CB237C0">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Times New Roman" w:hAnsi="Times New Roman" w:eastAsia="宋体" w:cs="Times New Roman"/>
                <w:i w:val="0"/>
                <w:iCs w:val="0"/>
                <w:color w:val="0000FF"/>
                <w:kern w:val="0"/>
                <w:sz w:val="21"/>
                <w:szCs w:val="21"/>
                <w:u w:val="none"/>
                <w:lang w:val="en-US" w:eastAsia="zh-CN" w:bidi="ar"/>
              </w:rPr>
            </w:pPr>
            <w:r>
              <w:rPr>
                <w:rFonts w:hint="default" w:ascii="Times New Roman" w:hAnsi="Times New Roman" w:eastAsia="宋体" w:cs="Times New Roman"/>
                <w:i w:val="0"/>
                <w:iCs w:val="0"/>
                <w:color w:val="0000FF"/>
                <w:kern w:val="0"/>
                <w:sz w:val="21"/>
                <w:szCs w:val="21"/>
                <w:u w:val="none"/>
                <w:lang w:val="en-US" w:eastAsia="zh-CN" w:bidi="ar"/>
              </w:rPr>
              <w:t>1</w:t>
            </w:r>
            <w:r>
              <w:rPr>
                <w:rFonts w:hint="eastAsia" w:ascii="Times New Roman" w:hAnsi="Times New Roman" w:eastAsia="宋体" w:cs="Times New Roman"/>
                <w:i w:val="0"/>
                <w:iCs w:val="0"/>
                <w:color w:val="0000FF"/>
                <w:kern w:val="0"/>
                <w:sz w:val="21"/>
                <w:szCs w:val="21"/>
                <w:u w:val="none"/>
                <w:lang w:val="en-US" w:eastAsia="zh-CN" w:bidi="ar"/>
              </w:rPr>
              <w:t>小时</w:t>
            </w:r>
          </w:p>
        </w:tc>
        <w:tc>
          <w:tcPr>
            <w:tcW w:w="677" w:type="pct"/>
            <w:tcBorders>
              <w:tl2br w:val="nil"/>
              <w:tr2bl w:val="nil"/>
            </w:tcBorders>
            <w:shd w:val="clear" w:color="auto" w:fill="auto"/>
            <w:noWrap/>
            <w:vAlign w:val="center"/>
          </w:tcPr>
          <w:p w14:paraId="02491C25">
            <w:pPr>
              <w:keepNext w:val="0"/>
              <w:keepLines w:val="0"/>
              <w:pageBreakBefore w:val="0"/>
              <w:widowControl/>
              <w:suppressLineNumbers w:val="0"/>
              <w:kinsoku/>
              <w:wordWrap/>
              <w:overflowPunct/>
              <w:topLinePunct w:val="0"/>
              <w:autoSpaceDE/>
              <w:autoSpaceDN/>
              <w:bidi w:val="0"/>
              <w:adjustRightInd/>
              <w:snapToGrid w:val="0"/>
              <w:jc w:val="right"/>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default" w:ascii="Times New Roman" w:hAnsi="Times New Roman" w:eastAsia="宋体" w:cs="Times New Roman"/>
                <w:i w:val="0"/>
                <w:iCs w:val="0"/>
                <w:color w:val="0000FF"/>
                <w:kern w:val="0"/>
                <w:sz w:val="21"/>
                <w:szCs w:val="21"/>
                <w:u w:val="none"/>
                <w:lang w:val="en-US" w:eastAsia="zh-CN" w:bidi="ar"/>
              </w:rPr>
              <w:t>8.03E+01</w:t>
            </w:r>
          </w:p>
        </w:tc>
        <w:tc>
          <w:tcPr>
            <w:tcW w:w="686" w:type="pct"/>
            <w:tcBorders>
              <w:tl2br w:val="nil"/>
              <w:tr2bl w:val="nil"/>
            </w:tcBorders>
            <w:shd w:val="clear" w:color="auto" w:fill="auto"/>
            <w:noWrap/>
            <w:vAlign w:val="center"/>
          </w:tcPr>
          <w:p w14:paraId="04C9CC69">
            <w:pPr>
              <w:keepNext w:val="0"/>
              <w:keepLines w:val="0"/>
              <w:pageBreakBefore w:val="0"/>
              <w:widowControl/>
              <w:suppressLineNumbers w:val="0"/>
              <w:kinsoku/>
              <w:wordWrap/>
              <w:overflowPunct/>
              <w:topLinePunct w:val="0"/>
              <w:autoSpaceDE/>
              <w:autoSpaceDN/>
              <w:bidi w:val="0"/>
              <w:adjustRightInd/>
              <w:snapToGrid w:val="0"/>
              <w:jc w:val="right"/>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default" w:ascii="Times New Roman" w:hAnsi="Times New Roman" w:eastAsia="宋体" w:cs="Times New Roman"/>
                <w:i w:val="0"/>
                <w:iCs w:val="0"/>
                <w:color w:val="0000FF"/>
                <w:kern w:val="0"/>
                <w:sz w:val="21"/>
                <w:szCs w:val="21"/>
                <w:u w:val="none"/>
                <w:lang w:val="en-US" w:eastAsia="zh-CN" w:bidi="ar"/>
              </w:rPr>
              <w:t>24051222</w:t>
            </w:r>
          </w:p>
        </w:tc>
        <w:tc>
          <w:tcPr>
            <w:tcW w:w="615" w:type="pct"/>
            <w:tcBorders>
              <w:tl2br w:val="nil"/>
              <w:tr2bl w:val="nil"/>
            </w:tcBorders>
            <w:shd w:val="clear" w:color="auto" w:fill="auto"/>
            <w:noWrap/>
            <w:vAlign w:val="center"/>
          </w:tcPr>
          <w:p w14:paraId="5D4E2119">
            <w:pPr>
              <w:keepNext w:val="0"/>
              <w:keepLines w:val="0"/>
              <w:pageBreakBefore w:val="0"/>
              <w:widowControl/>
              <w:suppressLineNumbers w:val="0"/>
              <w:kinsoku/>
              <w:wordWrap/>
              <w:overflowPunct/>
              <w:topLinePunct w:val="0"/>
              <w:autoSpaceDE/>
              <w:autoSpaceDN/>
              <w:bidi w:val="0"/>
              <w:adjustRightInd/>
              <w:snapToGrid w:val="0"/>
              <w:jc w:val="right"/>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default" w:ascii="Times New Roman" w:hAnsi="Times New Roman" w:eastAsia="宋体" w:cs="Times New Roman"/>
                <w:i w:val="0"/>
                <w:iCs w:val="0"/>
                <w:color w:val="0000FF"/>
                <w:kern w:val="0"/>
                <w:sz w:val="21"/>
                <w:szCs w:val="21"/>
                <w:u w:val="none"/>
                <w:lang w:val="en-US" w:eastAsia="zh-CN" w:bidi="ar"/>
              </w:rPr>
              <w:t>9.00E-01</w:t>
            </w:r>
          </w:p>
        </w:tc>
        <w:tc>
          <w:tcPr>
            <w:tcW w:w="536" w:type="pct"/>
            <w:tcBorders>
              <w:tl2br w:val="nil"/>
              <w:tr2bl w:val="nil"/>
            </w:tcBorders>
            <w:shd w:val="clear" w:color="auto" w:fill="auto"/>
            <w:noWrap/>
            <w:vAlign w:val="center"/>
          </w:tcPr>
          <w:p w14:paraId="35C5506E">
            <w:pPr>
              <w:keepNext w:val="0"/>
              <w:keepLines w:val="0"/>
              <w:pageBreakBefore w:val="0"/>
              <w:widowControl/>
              <w:suppressLineNumbers w:val="0"/>
              <w:kinsoku/>
              <w:wordWrap/>
              <w:overflowPunct/>
              <w:topLinePunct w:val="0"/>
              <w:autoSpaceDE/>
              <w:autoSpaceDN/>
              <w:bidi w:val="0"/>
              <w:adjustRightInd/>
              <w:snapToGrid w:val="0"/>
              <w:jc w:val="right"/>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default" w:ascii="Times New Roman" w:hAnsi="Times New Roman" w:eastAsia="宋体" w:cs="Times New Roman"/>
                <w:i w:val="0"/>
                <w:iCs w:val="0"/>
                <w:color w:val="0000FF"/>
                <w:kern w:val="0"/>
                <w:sz w:val="21"/>
                <w:szCs w:val="21"/>
                <w:u w:val="none"/>
                <w:lang w:val="en-US" w:eastAsia="zh-CN" w:bidi="ar"/>
              </w:rPr>
              <w:t>8922.06</w:t>
            </w:r>
          </w:p>
        </w:tc>
        <w:tc>
          <w:tcPr>
            <w:tcW w:w="391" w:type="pct"/>
            <w:tcBorders>
              <w:tl2br w:val="nil"/>
              <w:tr2bl w:val="nil"/>
            </w:tcBorders>
            <w:shd w:val="clear" w:color="auto" w:fill="auto"/>
            <w:noWrap/>
            <w:vAlign w:val="center"/>
          </w:tcPr>
          <w:p w14:paraId="1243EE41">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default" w:ascii="Times New Roman" w:hAnsi="Times New Roman" w:eastAsia="宋体" w:cs="Times New Roman"/>
                <w:i w:val="0"/>
                <w:iCs w:val="0"/>
                <w:color w:val="0000FF"/>
                <w:kern w:val="0"/>
                <w:sz w:val="21"/>
                <w:szCs w:val="21"/>
                <w:u w:val="none"/>
                <w:lang w:val="en-US" w:eastAsia="zh-CN" w:bidi="ar"/>
              </w:rPr>
              <w:t>超标</w:t>
            </w:r>
          </w:p>
        </w:tc>
      </w:tr>
    </w:tbl>
    <w:p w14:paraId="0670FAC4">
      <w:pPr>
        <w:pStyle w:val="727"/>
        <w:keepNext w:val="0"/>
        <w:keepLines w:val="0"/>
        <w:pageBreakBefore w:val="0"/>
        <w:widowControl/>
        <w:kinsoku/>
        <w:wordWrap/>
        <w:overflowPunct/>
        <w:topLinePunct w:val="0"/>
        <w:autoSpaceDE/>
        <w:autoSpaceDN/>
        <w:bidi w:val="0"/>
        <w:adjustRightInd w:val="0"/>
        <w:snapToGrid w:val="0"/>
        <w:spacing w:line="240" w:lineRule="auto"/>
        <w:textAlignment w:val="center"/>
        <w:rPr>
          <w:rFonts w:eastAsia="宋体"/>
          <w:color w:val="auto"/>
          <w:highlight w:val="none"/>
        </w:rPr>
      </w:pPr>
      <w:r>
        <w:drawing>
          <wp:inline distT="0" distB="0" distL="114300" distR="114300">
            <wp:extent cx="4875530" cy="2506345"/>
            <wp:effectExtent l="0" t="0" r="1270" b="8255"/>
            <wp:docPr id="187"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 name="图片 26"/>
                    <pic:cNvPicPr>
                      <a:picLocks noChangeAspect="1"/>
                    </pic:cNvPicPr>
                  </pic:nvPicPr>
                  <pic:blipFill>
                    <a:blip r:embed="rId98"/>
                    <a:stretch>
                      <a:fillRect/>
                    </a:stretch>
                  </pic:blipFill>
                  <pic:spPr>
                    <a:xfrm>
                      <a:off x="0" y="0"/>
                      <a:ext cx="4875530" cy="2506345"/>
                    </a:xfrm>
                    <a:prstGeom prst="rect">
                      <a:avLst/>
                    </a:prstGeom>
                    <a:noFill/>
                    <a:ln>
                      <a:noFill/>
                    </a:ln>
                  </pic:spPr>
                </pic:pic>
              </a:graphicData>
            </a:graphic>
          </wp:inline>
        </w:drawing>
      </w:r>
    </w:p>
    <w:p w14:paraId="0AC0B564">
      <w:pPr>
        <w:pStyle w:val="727"/>
        <w:keepNext w:val="0"/>
        <w:keepLines w:val="0"/>
        <w:pageBreakBefore w:val="0"/>
        <w:widowControl/>
        <w:kinsoku/>
        <w:wordWrap/>
        <w:overflowPunct/>
        <w:topLinePunct w:val="0"/>
        <w:autoSpaceDE/>
        <w:autoSpaceDN/>
        <w:bidi w:val="0"/>
        <w:adjustRightInd w:val="0"/>
        <w:snapToGrid/>
        <w:spacing w:line="240" w:lineRule="auto"/>
        <w:textAlignment w:val="center"/>
        <w:rPr>
          <w:rFonts w:hint="eastAsia" w:ascii="Times New Roman" w:hAnsi="Times New Roman" w:eastAsia="黑体" w:cs="Times New Roman"/>
          <w:b w:val="0"/>
          <w:bCs/>
          <w:color w:val="0000FF"/>
          <w:highlight w:val="none"/>
          <w:lang w:val="en-US" w:eastAsia="zh-CN"/>
        </w:rPr>
      </w:pPr>
      <w:r>
        <w:rPr>
          <w:rFonts w:hint="eastAsia" w:ascii="Times New Roman" w:hAnsi="Times New Roman" w:eastAsia="黑体" w:cs="Times New Roman"/>
          <w:b w:val="0"/>
          <w:bCs/>
          <w:color w:val="0000FF"/>
          <w:highlight w:val="none"/>
          <w:lang w:val="en-US" w:eastAsia="zh-CN"/>
        </w:rPr>
        <w:t>图</w:t>
      </w:r>
      <w:r>
        <w:rPr>
          <w:rFonts w:hint="eastAsia" w:eastAsia="黑体" w:cs="Times New Roman"/>
          <w:b w:val="0"/>
          <w:bCs/>
          <w:color w:val="0000FF"/>
          <w:highlight w:val="none"/>
          <w:lang w:val="en-US" w:eastAsia="zh-CN"/>
        </w:rPr>
        <w:t>5.1-31</w:t>
      </w:r>
      <w:r>
        <w:rPr>
          <w:rFonts w:hint="eastAsia" w:ascii="Times New Roman" w:hAnsi="Times New Roman" w:eastAsia="黑体" w:cs="Times New Roman"/>
          <w:b w:val="0"/>
          <w:bCs/>
          <w:color w:val="0000FF"/>
          <w:highlight w:val="none"/>
          <w:lang w:val="en-US" w:eastAsia="zh-CN"/>
        </w:rPr>
        <w:t xml:space="preserve">  非正常工况关心点及网格点</w:t>
      </w:r>
      <w:r>
        <w:rPr>
          <w:rFonts w:hint="eastAsia" w:eastAsia="黑体" w:cs="Times New Roman"/>
          <w:b w:val="0"/>
          <w:bCs/>
          <w:color w:val="0000FF"/>
          <w:highlight w:val="none"/>
          <w:lang w:val="en-US" w:eastAsia="zh-CN"/>
        </w:rPr>
        <w:t>TSP</w:t>
      </w:r>
      <w:r>
        <w:rPr>
          <w:rFonts w:hint="eastAsia" w:ascii="Times New Roman" w:hAnsi="Times New Roman" w:eastAsia="黑体" w:cs="Times New Roman"/>
          <w:b w:val="0"/>
          <w:bCs/>
          <w:color w:val="0000FF"/>
          <w:highlight w:val="none"/>
          <w:lang w:val="en-US" w:eastAsia="zh-CN"/>
        </w:rPr>
        <w:t>小时浓度贡献分布图（</w:t>
      </w:r>
      <w:r>
        <w:rPr>
          <w:rFonts w:hint="default" w:ascii="Times New Roman" w:hAnsi="Times New Roman" w:eastAsia="黑体" w:cs="Times New Roman"/>
          <w:b w:val="0"/>
          <w:bCs/>
          <w:color w:val="0000FF"/>
          <w:highlight w:val="none"/>
          <w:lang w:val="en-US" w:eastAsia="zh-CN"/>
        </w:rPr>
        <w:t>mg/m</w:t>
      </w:r>
      <w:r>
        <w:rPr>
          <w:rFonts w:hint="default" w:ascii="Times New Roman" w:hAnsi="Times New Roman" w:eastAsia="黑体" w:cs="Times New Roman"/>
          <w:b w:val="0"/>
          <w:bCs/>
          <w:color w:val="0000FF"/>
          <w:highlight w:val="none"/>
          <w:vertAlign w:val="superscript"/>
          <w:lang w:val="en-US" w:eastAsia="zh-CN"/>
        </w:rPr>
        <w:t>3</w:t>
      </w:r>
      <w:r>
        <w:rPr>
          <w:rFonts w:hint="eastAsia" w:ascii="Times New Roman" w:hAnsi="Times New Roman" w:eastAsia="黑体" w:cs="Times New Roman"/>
          <w:b w:val="0"/>
          <w:bCs/>
          <w:color w:val="0000FF"/>
          <w:highlight w:val="none"/>
          <w:lang w:val="en-US" w:eastAsia="zh-CN"/>
        </w:rPr>
        <w:t>）</w:t>
      </w:r>
    </w:p>
    <w:p w14:paraId="2C1A2A2E">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ascii="Times New Roman" w:hAnsi="Times New Roman" w:cs="Times New Roman"/>
          <w:color w:val="0000FF"/>
        </w:rPr>
      </w:pPr>
      <w:r>
        <w:rPr>
          <w:rFonts w:eastAsia="宋体"/>
          <w:color w:val="0000FF"/>
          <w:highlight w:val="none"/>
        </w:rPr>
        <w:t>本项目非正常工况假设配套的废气处理措施故障，处理效率</w:t>
      </w:r>
      <w:r>
        <w:rPr>
          <w:rFonts w:hint="eastAsia" w:eastAsia="宋体"/>
          <w:color w:val="0000FF"/>
          <w:highlight w:val="none"/>
          <w:lang w:val="en-US" w:eastAsia="zh-CN"/>
        </w:rPr>
        <w:t>为0</w:t>
      </w:r>
      <w:r>
        <w:rPr>
          <w:rFonts w:eastAsia="宋体"/>
          <w:color w:val="0000FF"/>
          <w:highlight w:val="none"/>
        </w:rPr>
        <w:t>，非正常排放历时不超过</w:t>
      </w:r>
      <w:r>
        <w:rPr>
          <w:rFonts w:ascii="Times New Roman" w:hAnsi="Times New Roman" w:eastAsia="宋体"/>
          <w:color w:val="0000FF"/>
          <w:highlight w:val="none"/>
        </w:rPr>
        <w:t>30min</w:t>
      </w:r>
      <w:r>
        <w:rPr>
          <w:rFonts w:eastAsia="宋体"/>
          <w:color w:val="0000FF"/>
          <w:highlight w:val="none"/>
        </w:rPr>
        <w:t>。</w:t>
      </w:r>
      <w:r>
        <w:rPr>
          <w:rFonts w:eastAsia="宋体"/>
          <w:color w:val="0000FF"/>
          <w:kern w:val="0"/>
          <w:highlight w:val="none"/>
        </w:rPr>
        <w:t>预测结果表明，在非正常工况下，将造成敏感点</w:t>
      </w:r>
      <w:r>
        <w:rPr>
          <w:rFonts w:hint="eastAsia" w:eastAsia="宋体"/>
          <w:color w:val="0000FF"/>
          <w:kern w:val="0"/>
          <w:highlight w:val="none"/>
          <w:lang w:eastAsia="zh-CN"/>
        </w:rPr>
        <w:t>、</w:t>
      </w:r>
      <w:r>
        <w:rPr>
          <w:rFonts w:hint="eastAsia"/>
          <w:color w:val="0000FF"/>
          <w:kern w:val="0"/>
          <w:highlight w:val="none"/>
          <w:lang w:val="en-US" w:eastAsia="zh-CN"/>
        </w:rPr>
        <w:t>网格点</w:t>
      </w:r>
      <w:r>
        <w:rPr>
          <w:rFonts w:eastAsia="宋体"/>
          <w:color w:val="0000FF"/>
          <w:kern w:val="0"/>
          <w:highlight w:val="none"/>
        </w:rPr>
        <w:t>各污染物的地面小时浓度贡献值</w:t>
      </w:r>
      <w:r>
        <w:rPr>
          <w:rFonts w:hint="eastAsia"/>
          <w:color w:val="0000FF"/>
          <w:kern w:val="0"/>
          <w:highlight w:val="none"/>
          <w:lang w:val="en-US" w:eastAsia="zh-CN"/>
        </w:rPr>
        <w:t>均超标</w:t>
      </w:r>
      <w:r>
        <w:rPr>
          <w:rFonts w:eastAsia="宋体"/>
          <w:color w:val="0000FF"/>
          <w:kern w:val="0"/>
          <w:highlight w:val="none"/>
        </w:rPr>
        <w:t>。一般来说，在典型小时的气象条件下遇上事故性排放的概率相当低。废气非正常排放属于超标排放，其排放浓度不能达到排放标准的要求，无论是否造成环境质量超标，都必须立即处理。</w:t>
      </w:r>
    </w:p>
    <w:p w14:paraId="2194120C">
      <w:pPr>
        <w:pStyle w:val="7"/>
      </w:pPr>
      <w:bookmarkStart w:id="456" w:name="_Toc1170"/>
      <w:bookmarkStart w:id="457" w:name="_Toc90026299"/>
      <w:r>
        <w:rPr>
          <w:rFonts w:hint="eastAsia"/>
          <w:lang w:eastAsia="zh-CN"/>
        </w:rPr>
        <w:t>5</w:t>
      </w:r>
      <w:r>
        <w:t>.1.</w:t>
      </w:r>
      <w:r>
        <w:rPr>
          <w:rFonts w:hint="eastAsia"/>
          <w:lang w:val="en-US" w:eastAsia="zh-CN"/>
        </w:rPr>
        <w:t>9</w:t>
      </w:r>
      <w:r>
        <w:t xml:space="preserve"> 厂界达标排放评价</w:t>
      </w:r>
      <w:bookmarkEnd w:id="456"/>
      <w:bookmarkEnd w:id="457"/>
    </w:p>
    <w:p w14:paraId="4F4E7837">
      <w:pPr>
        <w:spacing w:line="500" w:lineRule="exact"/>
        <w:ind w:firstLine="480" w:firstLineChars="200"/>
        <w:rPr>
          <w:rFonts w:hint="eastAsia" w:ascii="Times New Roman" w:hAnsi="Times New Roman" w:eastAsia="宋体" w:cs="Times New Roman"/>
          <w:color w:val="0000FF"/>
        </w:rPr>
      </w:pPr>
      <w:r>
        <w:rPr>
          <w:rFonts w:hint="eastAsia" w:ascii="Times New Roman" w:hAnsi="Times New Roman" w:eastAsia="宋体" w:cs="Times New Roman"/>
          <w:color w:val="0000FF"/>
        </w:rPr>
        <w:t>计算污染物在厂界的小时平均浓度贡献最大值，详见</w:t>
      </w:r>
      <w:r>
        <w:rPr>
          <w:rFonts w:hint="eastAsia" w:ascii="Times New Roman" w:hAnsi="Times New Roman" w:eastAsia="宋体" w:cs="Times New Roman"/>
          <w:color w:val="0000FF"/>
          <w:lang w:val="en-US" w:eastAsia="zh-CN"/>
        </w:rPr>
        <w:t>下</w:t>
      </w:r>
      <w:r>
        <w:rPr>
          <w:rFonts w:hint="eastAsia" w:ascii="Times New Roman" w:hAnsi="Times New Roman" w:eastAsia="宋体" w:cs="Times New Roman"/>
          <w:color w:val="0000FF"/>
        </w:rPr>
        <w:t>表，可以看出各类污染物满足厂界监控限值，能够保证本项目各项污染物厂界达标排放。</w:t>
      </w:r>
    </w:p>
    <w:p w14:paraId="1FE80038">
      <w:pPr>
        <w:tabs>
          <w:tab w:val="left" w:pos="851"/>
          <w:tab w:val="left" w:pos="1141"/>
          <w:tab w:val="left" w:pos="4335"/>
        </w:tabs>
        <w:jc w:val="center"/>
        <w:rPr>
          <w:rFonts w:ascii="Times New Roman" w:hAnsi="Times New Roman" w:eastAsia="黑体" w:cs="Times New Roman"/>
        </w:rPr>
      </w:pPr>
      <w:r>
        <w:rPr>
          <w:rFonts w:ascii="Times New Roman" w:hAnsi="Times New Roman" w:eastAsia="黑体" w:cs="Times New Roman"/>
          <w:color w:val="0000FF"/>
          <w:highlight w:val="none"/>
        </w:rPr>
        <w:t>表</w:t>
      </w:r>
      <w:r>
        <w:rPr>
          <w:rFonts w:hint="eastAsia" w:ascii="Times New Roman" w:hAnsi="Times New Roman" w:eastAsia="黑体" w:cs="Times New Roman"/>
          <w:bCs/>
          <w:color w:val="0000FF"/>
          <w:highlight w:val="none"/>
        </w:rPr>
        <w:t>5</w:t>
      </w:r>
      <w:r>
        <w:rPr>
          <w:rFonts w:ascii="Times New Roman" w:hAnsi="Times New Roman" w:eastAsia="黑体" w:cs="Times New Roman"/>
          <w:bCs/>
          <w:color w:val="0000FF"/>
          <w:highlight w:val="none"/>
        </w:rPr>
        <w:t>.1-</w:t>
      </w:r>
      <w:r>
        <w:rPr>
          <w:rFonts w:hint="eastAsia" w:ascii="Times New Roman" w:hAnsi="Times New Roman" w:eastAsia="黑体" w:cs="Times New Roman"/>
          <w:bCs/>
          <w:color w:val="0000FF"/>
          <w:highlight w:val="none"/>
        </w:rPr>
        <w:t>29</w:t>
      </w:r>
      <w:r>
        <w:rPr>
          <w:rFonts w:ascii="Times New Roman" w:hAnsi="Times New Roman" w:eastAsia="黑体" w:cs="Times New Roman"/>
        </w:rPr>
        <w:t xml:space="preserve">  </w:t>
      </w:r>
      <w:r>
        <w:rPr>
          <w:rFonts w:ascii="Times New Roman" w:hAnsi="Times New Roman" w:eastAsia="黑体" w:cs="Times New Roman"/>
          <w:color w:val="0000FF"/>
        </w:rPr>
        <w:t>各厂界无组织排放浓度</w:t>
      </w:r>
      <w:r>
        <w:rPr>
          <w:rFonts w:hint="eastAsia" w:ascii="Times New Roman" w:hAnsi="Times New Roman" w:eastAsia="黑体" w:cs="Times New Roman"/>
          <w:color w:val="0000FF"/>
          <w:lang w:val="en-US" w:eastAsia="zh-CN"/>
        </w:rPr>
        <w:t>最大值</w:t>
      </w:r>
      <w:r>
        <w:rPr>
          <w:rFonts w:ascii="Times New Roman" w:hAnsi="Times New Roman" w:eastAsia="黑体" w:cs="Times New Roman"/>
          <w:color w:val="0000FF"/>
        </w:rPr>
        <w:t>预测结果</w:t>
      </w:r>
    </w:p>
    <w:tbl>
      <w:tblPr>
        <w:tblStyle w:val="56"/>
        <w:tblW w:w="5000" w:type="pct"/>
        <w:jc w:val="center"/>
        <w:tblBorders>
          <w:top w:val="double" w:color="auto" w:sz="4" w:space="0"/>
          <w:left w:val="none" w:color="auto" w:sz="0" w:space="0"/>
          <w:bottom w:val="double" w:color="auto" w:sz="4"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1785"/>
        <w:gridCol w:w="1637"/>
        <w:gridCol w:w="1639"/>
        <w:gridCol w:w="1785"/>
        <w:gridCol w:w="1875"/>
      </w:tblGrid>
      <w:tr w14:paraId="2BECDFC7">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23" w:type="pct"/>
            <w:vMerge w:val="restart"/>
            <w:noWrap w:val="0"/>
            <w:vAlign w:val="center"/>
          </w:tcPr>
          <w:p w14:paraId="422FE164">
            <w:pPr>
              <w:autoSpaceDE w:val="0"/>
              <w:autoSpaceDN w:val="0"/>
              <w:adjustRightInd w:val="0"/>
              <w:snapToGrid w:val="0"/>
              <w:jc w:val="center"/>
              <w:rPr>
                <w:rFonts w:hint="default" w:ascii="Times New Roman" w:hAnsi="Times New Roman" w:cs="Times New Roman"/>
                <w:color w:val="0000FF"/>
                <w:kern w:val="0"/>
                <w:sz w:val="21"/>
                <w:szCs w:val="21"/>
              </w:rPr>
            </w:pPr>
            <w:r>
              <w:rPr>
                <w:rFonts w:hint="default" w:ascii="Times New Roman" w:hAnsi="Times New Roman" w:cs="Times New Roman"/>
                <w:color w:val="0000FF"/>
                <w:kern w:val="0"/>
                <w:sz w:val="21"/>
                <w:szCs w:val="21"/>
              </w:rPr>
              <w:t>污染物</w:t>
            </w:r>
          </w:p>
        </w:tc>
        <w:tc>
          <w:tcPr>
            <w:tcW w:w="1877" w:type="pct"/>
            <w:gridSpan w:val="2"/>
            <w:noWrap w:val="0"/>
            <w:vAlign w:val="center"/>
          </w:tcPr>
          <w:p w14:paraId="54C9D06B">
            <w:pPr>
              <w:autoSpaceDE w:val="0"/>
              <w:autoSpaceDN w:val="0"/>
              <w:adjustRightInd w:val="0"/>
              <w:snapToGrid w:val="0"/>
              <w:jc w:val="center"/>
              <w:rPr>
                <w:rFonts w:hint="default" w:ascii="Times New Roman" w:hAnsi="Times New Roman" w:cs="Times New Roman"/>
                <w:color w:val="0000FF"/>
                <w:kern w:val="0"/>
                <w:sz w:val="21"/>
                <w:szCs w:val="21"/>
              </w:rPr>
            </w:pPr>
            <w:r>
              <w:rPr>
                <w:rFonts w:hint="default" w:ascii="Times New Roman" w:hAnsi="Times New Roman" w:cs="Times New Roman"/>
                <w:color w:val="0000FF"/>
                <w:kern w:val="0"/>
                <w:sz w:val="21"/>
                <w:szCs w:val="21"/>
              </w:rPr>
              <w:t>预测值</w:t>
            </w:r>
          </w:p>
        </w:tc>
        <w:tc>
          <w:tcPr>
            <w:tcW w:w="1023" w:type="pct"/>
            <w:vMerge w:val="restart"/>
            <w:noWrap w:val="0"/>
            <w:vAlign w:val="center"/>
          </w:tcPr>
          <w:p w14:paraId="108EE5A1">
            <w:pPr>
              <w:autoSpaceDE w:val="0"/>
              <w:autoSpaceDN w:val="0"/>
              <w:adjustRightInd w:val="0"/>
              <w:snapToGrid w:val="0"/>
              <w:jc w:val="center"/>
              <w:rPr>
                <w:rFonts w:hint="default" w:ascii="Times New Roman" w:hAnsi="Times New Roman" w:cs="Times New Roman"/>
                <w:color w:val="0000FF"/>
                <w:kern w:val="0"/>
                <w:sz w:val="21"/>
                <w:szCs w:val="21"/>
              </w:rPr>
            </w:pPr>
            <w:r>
              <w:rPr>
                <w:rFonts w:hint="default" w:ascii="Times New Roman" w:hAnsi="Times New Roman" w:cs="Times New Roman"/>
                <w:color w:val="0000FF"/>
                <w:kern w:val="0"/>
                <w:sz w:val="21"/>
                <w:szCs w:val="21"/>
              </w:rPr>
              <w:t>厂界监控限值</w:t>
            </w:r>
            <w:r>
              <w:rPr>
                <w:rFonts w:hint="default" w:ascii="Times New Roman" w:hAnsi="Times New Roman" w:cs="Times New Roman"/>
                <w:color w:val="0000FF"/>
                <w:sz w:val="21"/>
                <w:szCs w:val="21"/>
                <w:lang w:val="en-US" w:eastAsia="zh-CN"/>
              </w:rPr>
              <w:t>m</w:t>
            </w:r>
            <w:r>
              <w:rPr>
                <w:rFonts w:hint="default" w:ascii="Times New Roman" w:hAnsi="Times New Roman" w:cs="Times New Roman"/>
                <w:color w:val="0000FF"/>
                <w:sz w:val="21"/>
                <w:szCs w:val="21"/>
              </w:rPr>
              <w:t>g/m</w:t>
            </w:r>
            <w:r>
              <w:rPr>
                <w:rFonts w:hint="default" w:ascii="Times New Roman" w:hAnsi="Times New Roman" w:cs="Times New Roman"/>
                <w:color w:val="0000FF"/>
                <w:sz w:val="21"/>
                <w:szCs w:val="21"/>
                <w:vertAlign w:val="superscript"/>
              </w:rPr>
              <w:t>3</w:t>
            </w:r>
          </w:p>
        </w:tc>
        <w:tc>
          <w:tcPr>
            <w:tcW w:w="1074" w:type="pct"/>
            <w:vMerge w:val="restart"/>
            <w:noWrap w:val="0"/>
            <w:vAlign w:val="center"/>
          </w:tcPr>
          <w:p w14:paraId="312B182D">
            <w:pPr>
              <w:autoSpaceDE w:val="0"/>
              <w:autoSpaceDN w:val="0"/>
              <w:adjustRightInd w:val="0"/>
              <w:snapToGrid w:val="0"/>
              <w:jc w:val="center"/>
              <w:rPr>
                <w:rFonts w:hint="default" w:ascii="Times New Roman" w:hAnsi="Times New Roman" w:cs="Times New Roman"/>
                <w:color w:val="0000FF"/>
                <w:kern w:val="0"/>
                <w:sz w:val="21"/>
                <w:szCs w:val="21"/>
              </w:rPr>
            </w:pPr>
            <w:r>
              <w:rPr>
                <w:rFonts w:hint="default" w:ascii="Times New Roman" w:hAnsi="Times New Roman" w:cs="Times New Roman"/>
                <w:color w:val="0000FF"/>
                <w:kern w:val="0"/>
                <w:sz w:val="21"/>
                <w:szCs w:val="21"/>
              </w:rPr>
              <w:t>达标情况</w:t>
            </w:r>
          </w:p>
        </w:tc>
      </w:tr>
      <w:tr w14:paraId="54733D6A">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23" w:type="pct"/>
            <w:vMerge w:val="continue"/>
            <w:noWrap w:val="0"/>
            <w:vAlign w:val="center"/>
          </w:tcPr>
          <w:p w14:paraId="2A0E3A94">
            <w:pPr>
              <w:widowControl/>
              <w:jc w:val="left"/>
              <w:rPr>
                <w:rFonts w:hint="default" w:ascii="Times New Roman" w:hAnsi="Times New Roman" w:cs="Times New Roman"/>
                <w:color w:val="0000FF"/>
                <w:kern w:val="0"/>
                <w:sz w:val="21"/>
                <w:szCs w:val="21"/>
              </w:rPr>
            </w:pPr>
          </w:p>
        </w:tc>
        <w:tc>
          <w:tcPr>
            <w:tcW w:w="938" w:type="pct"/>
            <w:noWrap w:val="0"/>
            <w:vAlign w:val="center"/>
          </w:tcPr>
          <w:p w14:paraId="696040B7">
            <w:pPr>
              <w:autoSpaceDE w:val="0"/>
              <w:autoSpaceDN w:val="0"/>
              <w:adjustRightInd w:val="0"/>
              <w:snapToGrid w:val="0"/>
              <w:jc w:val="center"/>
              <w:rPr>
                <w:rFonts w:hint="default" w:ascii="Times New Roman" w:hAnsi="Times New Roman" w:cs="Times New Roman"/>
                <w:color w:val="0000FF"/>
                <w:kern w:val="0"/>
                <w:sz w:val="21"/>
                <w:szCs w:val="21"/>
              </w:rPr>
            </w:pPr>
            <w:r>
              <w:rPr>
                <w:rFonts w:hint="default" w:ascii="Times New Roman" w:hAnsi="Times New Roman" w:cs="Times New Roman"/>
                <w:color w:val="0000FF"/>
                <w:kern w:val="0"/>
                <w:sz w:val="21"/>
                <w:szCs w:val="21"/>
              </w:rPr>
              <w:t>浓度</w:t>
            </w:r>
            <w:r>
              <w:rPr>
                <w:rFonts w:hint="default" w:ascii="Times New Roman" w:hAnsi="Times New Roman" w:cs="Times New Roman"/>
                <w:color w:val="0000FF"/>
                <w:sz w:val="21"/>
                <w:szCs w:val="21"/>
                <w:lang w:val="en-US" w:eastAsia="zh-CN"/>
              </w:rPr>
              <w:t>m</w:t>
            </w:r>
            <w:r>
              <w:rPr>
                <w:rFonts w:hint="default" w:ascii="Times New Roman" w:hAnsi="Times New Roman" w:cs="Times New Roman"/>
                <w:color w:val="0000FF"/>
                <w:sz w:val="21"/>
                <w:szCs w:val="21"/>
              </w:rPr>
              <w:t>g/m</w:t>
            </w:r>
            <w:r>
              <w:rPr>
                <w:rFonts w:hint="default" w:ascii="Times New Roman" w:hAnsi="Times New Roman" w:cs="Times New Roman"/>
                <w:color w:val="0000FF"/>
                <w:sz w:val="21"/>
                <w:szCs w:val="21"/>
                <w:vertAlign w:val="superscript"/>
              </w:rPr>
              <w:t>3</w:t>
            </w:r>
          </w:p>
        </w:tc>
        <w:tc>
          <w:tcPr>
            <w:tcW w:w="938" w:type="pct"/>
            <w:noWrap w:val="0"/>
            <w:vAlign w:val="center"/>
          </w:tcPr>
          <w:p w14:paraId="75DAFF63">
            <w:pPr>
              <w:autoSpaceDE w:val="0"/>
              <w:autoSpaceDN w:val="0"/>
              <w:adjustRightInd w:val="0"/>
              <w:snapToGrid w:val="0"/>
              <w:jc w:val="center"/>
              <w:rPr>
                <w:rFonts w:hint="default" w:ascii="Times New Roman" w:hAnsi="Times New Roman" w:cs="Times New Roman"/>
                <w:color w:val="0000FF"/>
                <w:kern w:val="0"/>
                <w:sz w:val="21"/>
                <w:szCs w:val="21"/>
              </w:rPr>
            </w:pPr>
            <w:r>
              <w:rPr>
                <w:rFonts w:hint="default" w:ascii="Times New Roman" w:hAnsi="Times New Roman" w:cs="Times New Roman"/>
                <w:color w:val="0000FF"/>
                <w:kern w:val="0"/>
                <w:sz w:val="21"/>
                <w:szCs w:val="21"/>
              </w:rPr>
              <w:t>占标率</w:t>
            </w:r>
          </w:p>
        </w:tc>
        <w:tc>
          <w:tcPr>
            <w:tcW w:w="1023" w:type="pct"/>
            <w:vMerge w:val="continue"/>
            <w:noWrap w:val="0"/>
            <w:vAlign w:val="center"/>
          </w:tcPr>
          <w:p w14:paraId="2D400049">
            <w:pPr>
              <w:widowControl/>
              <w:jc w:val="left"/>
              <w:rPr>
                <w:rFonts w:hint="default" w:ascii="Times New Roman" w:hAnsi="Times New Roman" w:cs="Times New Roman"/>
                <w:color w:val="0000FF"/>
                <w:kern w:val="0"/>
                <w:sz w:val="21"/>
                <w:szCs w:val="21"/>
              </w:rPr>
            </w:pPr>
          </w:p>
        </w:tc>
        <w:tc>
          <w:tcPr>
            <w:tcW w:w="1074" w:type="pct"/>
            <w:vMerge w:val="continue"/>
            <w:noWrap w:val="0"/>
            <w:vAlign w:val="center"/>
          </w:tcPr>
          <w:p w14:paraId="347C9C1C">
            <w:pPr>
              <w:widowControl/>
              <w:jc w:val="left"/>
              <w:rPr>
                <w:rFonts w:hint="default" w:ascii="Times New Roman" w:hAnsi="Times New Roman" w:cs="Times New Roman"/>
                <w:color w:val="0000FF"/>
                <w:kern w:val="0"/>
                <w:sz w:val="21"/>
                <w:szCs w:val="21"/>
              </w:rPr>
            </w:pPr>
          </w:p>
        </w:tc>
      </w:tr>
      <w:tr w14:paraId="623569A3">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23" w:type="pct"/>
            <w:noWrap w:val="0"/>
            <w:vAlign w:val="center"/>
          </w:tcPr>
          <w:p w14:paraId="32916537">
            <w:pPr>
              <w:autoSpaceDE w:val="0"/>
              <w:autoSpaceDN w:val="0"/>
              <w:adjustRightInd w:val="0"/>
              <w:snapToGrid w:val="0"/>
              <w:jc w:val="center"/>
              <w:rPr>
                <w:rFonts w:hint="default" w:ascii="Times New Roman" w:hAnsi="Times New Roman" w:cs="Times New Roman"/>
                <w:color w:val="0000FF"/>
                <w:kern w:val="0"/>
                <w:sz w:val="21"/>
                <w:szCs w:val="21"/>
              </w:rPr>
            </w:pPr>
            <w:r>
              <w:rPr>
                <w:rFonts w:hint="default" w:ascii="Times New Roman" w:hAnsi="Times New Roman" w:cs="Times New Roman"/>
                <w:color w:val="0000FF"/>
                <w:kern w:val="0"/>
                <w:sz w:val="21"/>
                <w:szCs w:val="21"/>
              </w:rPr>
              <w:t>颗粒物</w:t>
            </w:r>
          </w:p>
        </w:tc>
        <w:tc>
          <w:tcPr>
            <w:tcW w:w="938" w:type="pct"/>
            <w:noWrap w:val="0"/>
            <w:vAlign w:val="center"/>
          </w:tcPr>
          <w:p w14:paraId="1D132283">
            <w:pPr>
              <w:autoSpaceDE w:val="0"/>
              <w:autoSpaceDN w:val="0"/>
              <w:adjustRightInd w:val="0"/>
              <w:snapToGrid w:val="0"/>
              <w:jc w:val="center"/>
              <w:rPr>
                <w:rFonts w:hint="default" w:ascii="Times New Roman" w:hAnsi="Times New Roman" w:cs="Times New Roman" w:eastAsiaTheme="minorEastAsia"/>
                <w:color w:val="0000FF"/>
                <w:kern w:val="0"/>
                <w:sz w:val="21"/>
                <w:szCs w:val="21"/>
                <w:lang w:val="en-US" w:eastAsia="zh-CN"/>
              </w:rPr>
            </w:pPr>
            <w:r>
              <w:rPr>
                <w:rFonts w:hint="eastAsia" w:ascii="Times New Roman" w:hAnsi="Times New Roman" w:cs="Times New Roman" w:eastAsiaTheme="minorEastAsia"/>
                <w:color w:val="0000FF"/>
                <w:kern w:val="0"/>
                <w:sz w:val="21"/>
                <w:szCs w:val="21"/>
                <w:lang w:val="en-US" w:eastAsia="zh-CN"/>
              </w:rPr>
              <w:t>0.0773</w:t>
            </w:r>
          </w:p>
        </w:tc>
        <w:tc>
          <w:tcPr>
            <w:tcW w:w="938" w:type="pct"/>
            <w:noWrap w:val="0"/>
            <w:vAlign w:val="center"/>
          </w:tcPr>
          <w:p w14:paraId="75ED67F5">
            <w:pPr>
              <w:jc w:val="center"/>
              <w:rPr>
                <w:rFonts w:hint="default" w:ascii="Times New Roman" w:hAnsi="Times New Roman" w:cs="Times New Roman" w:eastAsiaTheme="minorEastAsia"/>
                <w:color w:val="0000FF"/>
                <w:sz w:val="21"/>
                <w:szCs w:val="21"/>
                <w:lang w:val="en-US" w:eastAsia="zh-CN"/>
              </w:rPr>
            </w:pPr>
            <w:r>
              <w:rPr>
                <w:rFonts w:hint="eastAsia" w:ascii="Times New Roman" w:hAnsi="Times New Roman" w:cs="Times New Roman" w:eastAsiaTheme="minorEastAsia"/>
                <w:color w:val="0000FF"/>
                <w:sz w:val="21"/>
                <w:szCs w:val="21"/>
                <w:lang w:val="en-US" w:eastAsia="zh-CN"/>
              </w:rPr>
              <w:t>0.966%</w:t>
            </w:r>
          </w:p>
        </w:tc>
        <w:tc>
          <w:tcPr>
            <w:tcW w:w="1023" w:type="pct"/>
            <w:noWrap w:val="0"/>
            <w:vAlign w:val="center"/>
          </w:tcPr>
          <w:p w14:paraId="3099FF2C">
            <w:pPr>
              <w:autoSpaceDE w:val="0"/>
              <w:autoSpaceDN w:val="0"/>
              <w:adjustRightInd w:val="0"/>
              <w:snapToGrid w:val="0"/>
              <w:jc w:val="center"/>
              <w:rPr>
                <w:rFonts w:hint="default" w:ascii="Times New Roman" w:hAnsi="Times New Roman" w:eastAsia="宋体" w:cs="Times New Roman"/>
                <w:color w:val="0000FF"/>
                <w:kern w:val="0"/>
                <w:sz w:val="21"/>
                <w:szCs w:val="21"/>
                <w:lang w:val="en-US" w:eastAsia="zh-CN"/>
              </w:rPr>
            </w:pPr>
            <w:r>
              <w:rPr>
                <w:rFonts w:hint="eastAsia"/>
                <w:color w:val="0000FF"/>
                <w:lang w:val="en-US" w:eastAsia="zh-CN"/>
              </w:rPr>
              <w:t>8</w:t>
            </w:r>
          </w:p>
        </w:tc>
        <w:tc>
          <w:tcPr>
            <w:tcW w:w="1074" w:type="pct"/>
            <w:noWrap w:val="0"/>
            <w:vAlign w:val="center"/>
          </w:tcPr>
          <w:p w14:paraId="6BA39FB2">
            <w:pPr>
              <w:autoSpaceDE w:val="0"/>
              <w:autoSpaceDN w:val="0"/>
              <w:adjustRightInd w:val="0"/>
              <w:snapToGrid w:val="0"/>
              <w:jc w:val="center"/>
              <w:rPr>
                <w:rFonts w:hint="default" w:ascii="Times New Roman" w:hAnsi="Times New Roman" w:cs="Times New Roman"/>
                <w:color w:val="0000FF"/>
                <w:kern w:val="0"/>
                <w:sz w:val="21"/>
                <w:szCs w:val="21"/>
              </w:rPr>
            </w:pPr>
            <w:r>
              <w:rPr>
                <w:rFonts w:hint="default" w:ascii="Times New Roman" w:hAnsi="Times New Roman" w:cs="Times New Roman"/>
                <w:color w:val="0000FF"/>
                <w:kern w:val="0"/>
                <w:sz w:val="21"/>
                <w:szCs w:val="21"/>
              </w:rPr>
              <w:t>达标</w:t>
            </w:r>
          </w:p>
        </w:tc>
      </w:tr>
      <w:tr w14:paraId="683680C7">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23" w:type="pct"/>
            <w:noWrap w:val="0"/>
            <w:vAlign w:val="center"/>
          </w:tcPr>
          <w:p w14:paraId="4BE1BA2C">
            <w:pPr>
              <w:autoSpaceDE w:val="0"/>
              <w:autoSpaceDN w:val="0"/>
              <w:adjustRightInd w:val="0"/>
              <w:snapToGrid w:val="0"/>
              <w:jc w:val="center"/>
              <w:rPr>
                <w:rFonts w:hint="default" w:ascii="Times New Roman" w:hAnsi="Times New Roman" w:eastAsia="宋体" w:cs="Times New Roman"/>
                <w:color w:val="0000FF"/>
                <w:kern w:val="0"/>
                <w:sz w:val="21"/>
                <w:szCs w:val="21"/>
                <w:lang w:val="en-US" w:eastAsia="zh-CN"/>
              </w:rPr>
            </w:pPr>
            <w:r>
              <w:rPr>
                <w:rFonts w:hint="default" w:ascii="Times New Roman" w:hAnsi="Times New Roman" w:cs="Times New Roman"/>
                <w:color w:val="0000FF"/>
                <w:kern w:val="0"/>
                <w:sz w:val="21"/>
                <w:szCs w:val="21"/>
                <w:lang w:val="en-US" w:eastAsia="zh-CN"/>
              </w:rPr>
              <w:t>氨</w:t>
            </w:r>
          </w:p>
        </w:tc>
        <w:tc>
          <w:tcPr>
            <w:tcW w:w="938" w:type="pct"/>
            <w:noWrap w:val="0"/>
            <w:vAlign w:val="center"/>
          </w:tcPr>
          <w:p w14:paraId="22064A6B">
            <w:pPr>
              <w:autoSpaceDE w:val="0"/>
              <w:autoSpaceDN w:val="0"/>
              <w:adjustRightInd w:val="0"/>
              <w:snapToGrid w:val="0"/>
              <w:jc w:val="center"/>
              <w:rPr>
                <w:rFonts w:hint="default" w:ascii="Times New Roman" w:hAnsi="Times New Roman" w:cs="Times New Roman"/>
                <w:color w:val="0000FF"/>
                <w:kern w:val="0"/>
                <w:sz w:val="21"/>
                <w:szCs w:val="21"/>
                <w:lang w:val="en-US" w:eastAsia="zh-CN"/>
              </w:rPr>
            </w:pPr>
            <w:bookmarkStart w:id="458" w:name="OLE_LINK8"/>
            <w:r>
              <w:rPr>
                <w:rFonts w:hint="eastAsia" w:ascii="Times New Roman" w:hAnsi="Times New Roman" w:cs="Times New Roman" w:eastAsiaTheme="minorEastAsia"/>
                <w:color w:val="0000FF"/>
                <w:kern w:val="0"/>
                <w:sz w:val="21"/>
                <w:szCs w:val="21"/>
                <w:lang w:val="en-US" w:eastAsia="zh-CN"/>
              </w:rPr>
              <w:t>0.00</w:t>
            </w:r>
            <w:bookmarkEnd w:id="458"/>
            <w:r>
              <w:rPr>
                <w:rFonts w:hint="eastAsia" w:ascii="Times New Roman" w:hAnsi="Times New Roman" w:cs="Times New Roman" w:eastAsiaTheme="minorEastAsia"/>
                <w:color w:val="0000FF"/>
                <w:kern w:val="0"/>
                <w:sz w:val="21"/>
                <w:szCs w:val="21"/>
                <w:lang w:val="en-US" w:eastAsia="zh-CN"/>
              </w:rPr>
              <w:t>697</w:t>
            </w:r>
          </w:p>
        </w:tc>
        <w:tc>
          <w:tcPr>
            <w:tcW w:w="938" w:type="pct"/>
            <w:noWrap w:val="0"/>
            <w:vAlign w:val="center"/>
          </w:tcPr>
          <w:p w14:paraId="7FC3EABA">
            <w:pPr>
              <w:jc w:val="center"/>
              <w:rPr>
                <w:rFonts w:hint="default" w:ascii="Times New Roman" w:hAnsi="Times New Roman" w:cs="Times New Roman"/>
                <w:color w:val="0000FF"/>
                <w:sz w:val="21"/>
                <w:szCs w:val="21"/>
                <w:lang w:val="en-US" w:eastAsia="zh-CN"/>
              </w:rPr>
            </w:pPr>
            <w:r>
              <w:rPr>
                <w:rFonts w:hint="eastAsia" w:ascii="Times New Roman" w:hAnsi="Times New Roman" w:cs="Times New Roman"/>
                <w:color w:val="0000FF"/>
                <w:sz w:val="21"/>
                <w:szCs w:val="21"/>
                <w:lang w:val="en-US" w:eastAsia="zh-CN"/>
              </w:rPr>
              <w:t>3.485</w:t>
            </w:r>
            <w:r>
              <w:rPr>
                <w:rFonts w:hint="default" w:ascii="Times New Roman" w:hAnsi="Times New Roman" w:cs="Times New Roman"/>
                <w:color w:val="0000FF"/>
                <w:kern w:val="0"/>
                <w:sz w:val="21"/>
                <w:szCs w:val="21"/>
              </w:rPr>
              <w:t>%</w:t>
            </w:r>
          </w:p>
        </w:tc>
        <w:tc>
          <w:tcPr>
            <w:tcW w:w="1023" w:type="pct"/>
            <w:noWrap w:val="0"/>
            <w:vAlign w:val="center"/>
          </w:tcPr>
          <w:p w14:paraId="0AB4189D">
            <w:pPr>
              <w:autoSpaceDE w:val="0"/>
              <w:autoSpaceDN w:val="0"/>
              <w:adjustRightInd w:val="0"/>
              <w:snapToGrid w:val="0"/>
              <w:jc w:val="center"/>
              <w:rPr>
                <w:rFonts w:hint="default" w:ascii="Times New Roman" w:hAnsi="Times New Roman" w:cs="Times New Roman"/>
                <w:color w:val="0000FF"/>
                <w:kern w:val="0"/>
                <w:sz w:val="21"/>
                <w:szCs w:val="21"/>
                <w:lang w:val="en-US" w:eastAsia="zh-CN"/>
              </w:rPr>
            </w:pPr>
            <w:r>
              <w:rPr>
                <w:rFonts w:hint="eastAsia" w:ascii="Times New Roman" w:hAnsi="Times New Roman" w:cs="Times New Roman"/>
                <w:color w:val="0000FF"/>
                <w:kern w:val="0"/>
                <w:sz w:val="21"/>
                <w:szCs w:val="21"/>
                <w:lang w:val="en-US" w:eastAsia="zh-CN"/>
              </w:rPr>
              <w:t>0.2</w:t>
            </w:r>
          </w:p>
        </w:tc>
        <w:tc>
          <w:tcPr>
            <w:tcW w:w="1074" w:type="pct"/>
            <w:noWrap w:val="0"/>
            <w:vAlign w:val="center"/>
          </w:tcPr>
          <w:p w14:paraId="09308E7A">
            <w:pPr>
              <w:autoSpaceDE w:val="0"/>
              <w:autoSpaceDN w:val="0"/>
              <w:adjustRightInd w:val="0"/>
              <w:snapToGrid w:val="0"/>
              <w:jc w:val="center"/>
              <w:rPr>
                <w:rFonts w:hint="default" w:ascii="Times New Roman" w:hAnsi="Times New Roman" w:cs="Times New Roman"/>
                <w:color w:val="0000FF"/>
                <w:kern w:val="0"/>
                <w:sz w:val="21"/>
                <w:szCs w:val="21"/>
              </w:rPr>
            </w:pPr>
            <w:r>
              <w:rPr>
                <w:rFonts w:hint="default" w:ascii="Times New Roman" w:hAnsi="Times New Roman" w:cs="Times New Roman"/>
                <w:color w:val="0000FF"/>
                <w:kern w:val="0"/>
                <w:sz w:val="21"/>
                <w:szCs w:val="21"/>
              </w:rPr>
              <w:t>达标</w:t>
            </w:r>
          </w:p>
        </w:tc>
      </w:tr>
    </w:tbl>
    <w:p w14:paraId="646AC088">
      <w:pPr>
        <w:pStyle w:val="310"/>
        <w:snapToGrid/>
        <w:spacing w:line="500" w:lineRule="exact"/>
        <w:jc w:val="both"/>
        <w:rPr>
          <w:lang w:eastAsia="zh-CN"/>
        </w:rPr>
      </w:pPr>
      <w:r>
        <w:rPr>
          <w:color w:val="0000FF"/>
        </w:rPr>
        <w:t>本项目无组织排放颗粒物在周界外10m范围内的最高浓度为</w:t>
      </w:r>
      <w:r>
        <w:rPr>
          <w:color w:val="0000FF"/>
          <w:lang w:eastAsia="zh-CN"/>
        </w:rPr>
        <w:t>0.</w:t>
      </w:r>
      <w:r>
        <w:rPr>
          <w:rFonts w:hint="eastAsia"/>
          <w:color w:val="0000FF"/>
          <w:lang w:eastAsia="zh-CN"/>
        </w:rPr>
        <w:t>0</w:t>
      </w:r>
      <w:r>
        <w:rPr>
          <w:rFonts w:hint="eastAsia"/>
          <w:color w:val="0000FF"/>
          <w:lang w:val="en-US" w:eastAsia="zh-CN"/>
        </w:rPr>
        <w:t>774</w:t>
      </w:r>
      <w:r>
        <w:rPr>
          <w:color w:val="0000FF"/>
        </w:rPr>
        <w:t>mg/m</w:t>
      </w:r>
      <w:r>
        <w:rPr>
          <w:color w:val="0000FF"/>
          <w:vertAlign w:val="superscript"/>
        </w:rPr>
        <w:t>3</w:t>
      </w:r>
      <w:r>
        <w:rPr>
          <w:color w:val="0000FF"/>
        </w:rPr>
        <w:t>，满足</w:t>
      </w:r>
      <w:r>
        <w:rPr>
          <w:color w:val="0000FF"/>
          <w:lang w:eastAsia="zh-CN"/>
        </w:rPr>
        <w:t>《</w:t>
      </w:r>
      <w:r>
        <w:rPr>
          <w:rFonts w:hint="eastAsia"/>
          <w:color w:val="0000FF"/>
          <w:lang w:eastAsia="zh-CN"/>
        </w:rPr>
        <w:t>钢铁工业大气污染物排放标准</w:t>
      </w:r>
      <w:r>
        <w:rPr>
          <w:color w:val="0000FF"/>
          <w:lang w:eastAsia="zh-CN"/>
        </w:rPr>
        <w:t>》（</w:t>
      </w:r>
      <w:r>
        <w:rPr>
          <w:rFonts w:hint="eastAsia"/>
          <w:color w:val="0000FF"/>
          <w:lang w:val="en-US" w:eastAsia="zh-CN"/>
        </w:rPr>
        <w:t>DB21/4119</w:t>
      </w:r>
      <w:r>
        <w:rPr>
          <w:color w:val="0000FF"/>
          <w:lang w:eastAsia="zh-CN"/>
        </w:rPr>
        <w:t>-</w:t>
      </w:r>
      <w:r>
        <w:rPr>
          <w:rFonts w:hint="eastAsia"/>
          <w:color w:val="0000FF"/>
          <w:lang w:val="en-US" w:eastAsia="zh-CN"/>
        </w:rPr>
        <w:t>2025</w:t>
      </w:r>
      <w:r>
        <w:rPr>
          <w:color w:val="0000FF"/>
          <w:lang w:eastAsia="zh-CN"/>
        </w:rPr>
        <w:t>）表2“</w:t>
      </w:r>
      <w:r>
        <w:rPr>
          <w:rFonts w:hint="eastAsia"/>
          <w:color w:val="0000FF"/>
          <w:lang w:val="en-US" w:eastAsia="zh-CN"/>
        </w:rPr>
        <w:t>颗粒物</w:t>
      </w:r>
      <w:r>
        <w:rPr>
          <w:color w:val="0000FF"/>
          <w:lang w:eastAsia="zh-CN"/>
        </w:rPr>
        <w:t>无组织排放监控浓度限值”</w:t>
      </w:r>
      <w:r>
        <w:rPr>
          <w:rFonts w:hint="eastAsia"/>
          <w:color w:val="0000FF"/>
          <w:lang w:eastAsia="zh-CN"/>
        </w:rPr>
        <w:t>；</w:t>
      </w:r>
      <w:r>
        <w:rPr>
          <w:color w:val="0000FF"/>
        </w:rPr>
        <w:t>本项目无组织排放</w:t>
      </w:r>
      <w:r>
        <w:rPr>
          <w:rFonts w:hint="eastAsia"/>
          <w:color w:val="0000FF"/>
          <w:lang w:val="en-US" w:eastAsia="zh-CN"/>
        </w:rPr>
        <w:t>氨气</w:t>
      </w:r>
      <w:r>
        <w:rPr>
          <w:color w:val="0000FF"/>
        </w:rPr>
        <w:t>在周界外10m范围内的最高浓度为</w:t>
      </w:r>
      <w:r>
        <w:rPr>
          <w:rFonts w:hint="default" w:ascii="Times New Roman" w:hAnsi="Times New Roman" w:cs="Times New Roman" w:eastAsiaTheme="minorEastAsia"/>
          <w:color w:val="0000FF"/>
          <w:kern w:val="0"/>
          <w:sz w:val="24"/>
          <w:szCs w:val="24"/>
          <w:lang w:val="en-US" w:eastAsia="zh-CN"/>
        </w:rPr>
        <w:t>0.00705</w:t>
      </w:r>
      <w:r>
        <w:rPr>
          <w:rFonts w:hint="default" w:ascii="Times New Roman" w:hAnsi="Times New Roman" w:cs="Times New Roman"/>
          <w:color w:val="0000FF"/>
          <w:sz w:val="24"/>
          <w:szCs w:val="24"/>
        </w:rPr>
        <w:t>mg/m</w:t>
      </w:r>
      <w:r>
        <w:rPr>
          <w:rFonts w:hint="default" w:ascii="Times New Roman" w:hAnsi="Times New Roman" w:cs="Times New Roman"/>
          <w:color w:val="0000FF"/>
          <w:sz w:val="24"/>
          <w:szCs w:val="24"/>
          <w:vertAlign w:val="superscript"/>
        </w:rPr>
        <w:t>3</w:t>
      </w:r>
      <w:r>
        <w:rPr>
          <w:rFonts w:hint="default" w:ascii="Times New Roman" w:hAnsi="Times New Roman" w:cs="Times New Roman"/>
          <w:color w:val="0000FF"/>
          <w:sz w:val="24"/>
          <w:szCs w:val="24"/>
        </w:rPr>
        <w:t>，</w:t>
      </w:r>
      <w:r>
        <w:rPr>
          <w:color w:val="0000FF"/>
        </w:rPr>
        <w:t>满足</w:t>
      </w:r>
      <w:r>
        <w:rPr>
          <w:color w:val="0000FF"/>
          <w:lang w:eastAsia="zh-CN"/>
        </w:rPr>
        <w:t>《</w:t>
      </w:r>
      <w:r>
        <w:rPr>
          <w:rFonts w:hint="eastAsia"/>
          <w:color w:val="0000FF"/>
          <w:lang w:eastAsia="zh-CN"/>
        </w:rPr>
        <w:t>钢铁工业大气污染物排放标准</w:t>
      </w:r>
      <w:r>
        <w:rPr>
          <w:color w:val="0000FF"/>
          <w:lang w:eastAsia="zh-CN"/>
        </w:rPr>
        <w:t>》（</w:t>
      </w:r>
      <w:r>
        <w:rPr>
          <w:rFonts w:hint="eastAsia"/>
          <w:color w:val="0000FF"/>
          <w:lang w:val="en-US" w:eastAsia="zh-CN"/>
        </w:rPr>
        <w:t>DB21/4119</w:t>
      </w:r>
      <w:r>
        <w:rPr>
          <w:color w:val="0000FF"/>
          <w:lang w:eastAsia="zh-CN"/>
        </w:rPr>
        <w:t>-</w:t>
      </w:r>
      <w:r>
        <w:rPr>
          <w:rFonts w:hint="eastAsia"/>
          <w:color w:val="0000FF"/>
          <w:lang w:val="en-US" w:eastAsia="zh-CN"/>
        </w:rPr>
        <w:t>2025</w:t>
      </w:r>
      <w:r>
        <w:rPr>
          <w:color w:val="0000FF"/>
          <w:lang w:eastAsia="zh-CN"/>
        </w:rPr>
        <w:t>）表</w:t>
      </w:r>
      <w:r>
        <w:rPr>
          <w:rFonts w:hint="eastAsia"/>
          <w:color w:val="0000FF"/>
          <w:lang w:val="en-US" w:eastAsia="zh-CN"/>
        </w:rPr>
        <w:t>3</w:t>
      </w:r>
      <w:r>
        <w:rPr>
          <w:color w:val="0000FF"/>
          <w:lang w:eastAsia="zh-CN"/>
        </w:rPr>
        <w:t>“</w:t>
      </w:r>
      <w:r>
        <w:rPr>
          <w:rFonts w:hint="eastAsia"/>
          <w:color w:val="0000FF"/>
          <w:lang w:val="en-US" w:eastAsia="zh-CN"/>
        </w:rPr>
        <w:t>企业边界</w:t>
      </w:r>
      <w:r>
        <w:rPr>
          <w:color w:val="0000FF"/>
          <w:lang w:eastAsia="zh-CN"/>
        </w:rPr>
        <w:t>无组织排放监控浓度限值”</w:t>
      </w:r>
      <w:r>
        <w:rPr>
          <w:rFonts w:hint="eastAsia"/>
          <w:color w:val="0000FF"/>
          <w:lang w:eastAsia="zh-CN"/>
        </w:rPr>
        <w:t>。</w:t>
      </w:r>
    </w:p>
    <w:p w14:paraId="69A2A771">
      <w:pPr>
        <w:pStyle w:val="133"/>
        <w:outlineLvl w:val="2"/>
      </w:pPr>
      <w:r>
        <w:rPr>
          <w:rFonts w:hint="eastAsia"/>
          <w:lang w:eastAsia="zh-CN"/>
        </w:rPr>
        <w:t>5</w:t>
      </w:r>
      <w:r>
        <w:t>.1.1</w:t>
      </w:r>
      <w:r>
        <w:rPr>
          <w:rFonts w:hint="eastAsia"/>
          <w:lang w:val="en-US" w:eastAsia="zh-CN"/>
        </w:rPr>
        <w:t>0</w:t>
      </w:r>
      <w:r>
        <w:t xml:space="preserve"> </w:t>
      </w:r>
      <w:bookmarkEnd w:id="430"/>
      <w:r>
        <w:t>大气环境防护距离</w:t>
      </w:r>
    </w:p>
    <w:p w14:paraId="1581B2BE">
      <w:pPr>
        <w:spacing w:line="500" w:lineRule="exact"/>
        <w:ind w:firstLine="482"/>
        <w:jc w:val="both"/>
        <w:rPr>
          <w:rFonts w:hint="eastAsia" w:ascii="Times New Roman" w:hAnsi="Times New Roman" w:cs="Times New Roman"/>
          <w:color w:val="0000FF"/>
        </w:rPr>
      </w:pPr>
      <w:r>
        <w:rPr>
          <w:rFonts w:ascii="Times New Roman" w:hAnsi="Times New Roman" w:eastAsia="宋体" w:cs="Times New Roman"/>
          <w:color w:val="0000FF"/>
        </w:rPr>
        <w:t>根据《环境影响评价技术导则 大气环境》（HJ2.2-2018），“对于项目厂界浓度满足大气污染物厂界</w:t>
      </w:r>
      <w:r>
        <w:rPr>
          <w:rFonts w:ascii="Times New Roman" w:hAnsi="Times New Roman" w:cs="Times New Roman"/>
          <w:color w:val="0000FF"/>
        </w:rPr>
        <w:t>浓度限值，但厂界外大气污染物短期贡献浓度超过环境质量浓度限值的，可以自厂界向外设置一定范围的大气环境防护区域，以确保大气环境防护区域外的污染物贡献浓度满足环境质量标准”。</w:t>
      </w:r>
    </w:p>
    <w:p w14:paraId="378C2EA4">
      <w:pPr>
        <w:spacing w:line="500" w:lineRule="exact"/>
        <w:ind w:firstLine="482"/>
        <w:rPr>
          <w:rFonts w:hint="eastAsia" w:ascii="Times New Roman" w:hAnsi="Times New Roman" w:cs="Times New Roman"/>
        </w:rPr>
      </w:pPr>
      <w:r>
        <w:rPr>
          <w:rFonts w:hint="eastAsia" w:ascii="Times New Roman" w:hAnsi="Times New Roman" w:cs="Times New Roman"/>
          <w:color w:val="0000FF"/>
        </w:rPr>
        <w:t>根据计算各污染物的短期贡献浓度值未超过环境质量浓度限值，本项目生产过程中废气在厂界未出现超标点，因此，本项目不需设置大气环境防护距离</w:t>
      </w:r>
      <w:r>
        <w:rPr>
          <w:rFonts w:ascii="Times New Roman" w:hAnsi="Times New Roman" w:cs="Times New Roman"/>
        </w:rPr>
        <w:t>。</w:t>
      </w:r>
    </w:p>
    <w:p w14:paraId="3FFB4202">
      <w:pPr>
        <w:adjustRightInd w:val="0"/>
        <w:spacing w:line="500" w:lineRule="exact"/>
        <w:ind w:firstLine="482"/>
        <w:rPr>
          <w:rFonts w:hint="eastAsia" w:ascii="Times New Roman" w:hAnsi="Times New Roman" w:cs="Times New Roman"/>
        </w:rPr>
      </w:pPr>
    </w:p>
    <w:p w14:paraId="5E86C16C">
      <w:pPr>
        <w:adjustRightInd w:val="0"/>
        <w:spacing w:line="500" w:lineRule="exact"/>
        <w:ind w:firstLine="482"/>
        <w:rPr>
          <w:rFonts w:hint="eastAsia" w:ascii="Times New Roman" w:hAnsi="Times New Roman" w:cs="Times New Roman"/>
        </w:rPr>
        <w:sectPr>
          <w:headerReference r:id="rId26" w:type="default"/>
          <w:pgSz w:w="11907" w:h="16840"/>
          <w:pgMar w:top="1701" w:right="1701" w:bottom="1701" w:left="1701" w:header="851" w:footer="1077" w:gutter="0"/>
          <w:pgBorders w:offsetFrom="page">
            <w:top w:val="none" w:sz="0" w:space="0"/>
            <w:left w:val="none" w:sz="0" w:space="0"/>
            <w:bottom w:val="none" w:sz="0" w:space="0"/>
            <w:right w:val="none" w:sz="0" w:space="0"/>
          </w:pgBorders>
          <w:pgNumType w:fmt="decimal"/>
          <w:cols w:space="720" w:num="1"/>
          <w:docGrid w:type="lines" w:linePitch="479" w:charSpace="0"/>
        </w:sectPr>
      </w:pPr>
    </w:p>
    <w:p w14:paraId="25D88F0A">
      <w:pPr>
        <w:pStyle w:val="7"/>
      </w:pPr>
      <w:bookmarkStart w:id="459" w:name="_Toc32177"/>
      <w:bookmarkStart w:id="460" w:name="_Toc90026301"/>
      <w:r>
        <w:rPr>
          <w:rFonts w:hint="eastAsia"/>
          <w:lang w:eastAsia="zh-CN"/>
        </w:rPr>
        <w:t>5</w:t>
      </w:r>
      <w:r>
        <w:t>.1.1</w:t>
      </w:r>
      <w:r>
        <w:rPr>
          <w:rFonts w:hint="eastAsia"/>
          <w:lang w:val="en-US" w:eastAsia="zh-CN"/>
        </w:rPr>
        <w:t>1</w:t>
      </w:r>
      <w:r>
        <w:t xml:space="preserve"> 小结</w:t>
      </w:r>
      <w:bookmarkEnd w:id="459"/>
      <w:bookmarkEnd w:id="460"/>
    </w:p>
    <w:p w14:paraId="7A3A1E1C">
      <w:pPr>
        <w:spacing w:line="500" w:lineRule="exact"/>
        <w:ind w:firstLine="480" w:firstLineChars="200"/>
        <w:jc w:val="both"/>
        <w:rPr>
          <w:rFonts w:hint="eastAsia" w:ascii="Times New Roman" w:hAnsi="Times New Roman" w:cs="Times New Roman"/>
          <w:color w:val="0000FF"/>
        </w:rPr>
      </w:pPr>
      <w:bookmarkStart w:id="461" w:name="_Toc90026138"/>
      <w:r>
        <w:rPr>
          <w:rFonts w:ascii="Times New Roman" w:hAnsi="Times New Roman" w:cs="Times New Roman"/>
        </w:rPr>
        <w:t>（1）</w:t>
      </w:r>
      <w:r>
        <w:rPr>
          <w:rFonts w:ascii="Times New Roman" w:hAnsi="Times New Roman" w:cs="Times New Roman"/>
          <w:color w:val="0000FF"/>
        </w:rPr>
        <w:t>在正常排放条件下，各新增污染源在评价区域内短期贡献值和长期贡献值的最大浓度均达标</w:t>
      </w:r>
      <w:r>
        <w:rPr>
          <w:rFonts w:ascii="Times New Roman" w:hAnsi="Times New Roman" w:cs="Times New Roman"/>
        </w:rPr>
        <w:t>，</w:t>
      </w:r>
      <w:r>
        <w:rPr>
          <w:rFonts w:hint="eastAsia" w:ascii="Times New Roman" w:hAnsi="Times New Roman" w:cs="Times New Roman"/>
          <w:color w:val="0000FF"/>
        </w:rPr>
        <w:t>污染物短期浓度贡献值最大占标率小于</w:t>
      </w:r>
      <w:r>
        <w:rPr>
          <w:rFonts w:hint="eastAsia" w:ascii="Times New Roman" w:hAnsi="Times New Roman" w:cs="Times New Roman"/>
          <w:color w:val="0000FF"/>
          <w:lang w:val="en-US" w:eastAsia="zh-CN"/>
        </w:rPr>
        <w:t>34</w:t>
      </w:r>
      <w:r>
        <w:rPr>
          <w:rFonts w:hint="eastAsia" w:ascii="Times New Roman" w:hAnsi="Times New Roman" w:cs="Times New Roman"/>
          <w:color w:val="0000FF"/>
        </w:rPr>
        <w:t>%，污染物年均浓度贡献值最大占标率小于</w:t>
      </w:r>
      <w:r>
        <w:rPr>
          <w:rFonts w:hint="eastAsia" w:ascii="Times New Roman" w:hAnsi="Times New Roman" w:cs="Times New Roman"/>
          <w:color w:val="0000FF"/>
          <w:lang w:val="en-US" w:eastAsia="zh-CN"/>
        </w:rPr>
        <w:t>2</w:t>
      </w:r>
      <w:r>
        <w:rPr>
          <w:rFonts w:hint="eastAsia" w:ascii="Times New Roman" w:hAnsi="Times New Roman" w:cs="Times New Roman"/>
          <w:color w:val="0000FF"/>
        </w:rPr>
        <w:t>%，环境影响可接受。</w:t>
      </w:r>
    </w:p>
    <w:p w14:paraId="63ED6ED5">
      <w:pPr>
        <w:spacing w:line="500" w:lineRule="exact"/>
        <w:ind w:firstLine="480" w:firstLineChars="200"/>
        <w:jc w:val="both"/>
        <w:rPr>
          <w:rFonts w:ascii="Times New Roman" w:hAnsi="Times New Roman" w:cs="Times New Roman"/>
          <w:color w:val="0000FF"/>
        </w:rPr>
      </w:pPr>
      <w:r>
        <w:rPr>
          <w:rFonts w:hint="eastAsia" w:ascii="Times New Roman" w:hAnsi="Times New Roman" w:cs="Times New Roman"/>
          <w:color w:val="0000FF"/>
        </w:rPr>
        <w:t>根据预测结果，各污染因子叠加现状值、“以新带老”项目后短期浓度和长期浓度均能满足环境质量标准要求。</w:t>
      </w:r>
    </w:p>
    <w:p w14:paraId="5444DFDA">
      <w:pPr>
        <w:spacing w:line="500" w:lineRule="exact"/>
        <w:ind w:firstLine="480" w:firstLineChars="200"/>
        <w:rPr>
          <w:rFonts w:ascii="Times New Roman" w:hAnsi="Times New Roman" w:cs="Times New Roman"/>
          <w:highlight w:val="none"/>
        </w:rPr>
      </w:pPr>
      <w:r>
        <w:rPr>
          <w:rFonts w:ascii="Times New Roman" w:hAnsi="Times New Roman" w:cs="Times New Roman"/>
        </w:rPr>
        <w:t>（2）在非正常排放条件下，</w:t>
      </w:r>
      <w:r>
        <w:rPr>
          <w:rFonts w:hint="eastAsia" w:ascii="Times New Roman" w:hAnsi="Times New Roman" w:cs="Times New Roman"/>
        </w:rPr>
        <w:t>预测因子</w:t>
      </w:r>
      <w:r>
        <w:rPr>
          <w:rFonts w:ascii="Times New Roman" w:hAnsi="Times New Roman" w:cs="Times New Roman"/>
        </w:rPr>
        <w:t>在评价区域内和扩散到各敏感点处的</w:t>
      </w:r>
      <w:r>
        <w:rPr>
          <w:rFonts w:ascii="Times New Roman" w:hAnsi="Times New Roman" w:cs="Times New Roman"/>
          <w:highlight w:val="none"/>
        </w:rPr>
        <w:t>最大落地浓度1h贡献值满足相应的环境空气质量标准。</w:t>
      </w:r>
    </w:p>
    <w:p w14:paraId="005D5A30">
      <w:pPr>
        <w:pStyle w:val="310"/>
        <w:snapToGrid/>
        <w:spacing w:line="500" w:lineRule="exact"/>
        <w:jc w:val="both"/>
        <w:rPr>
          <w:color w:val="0000FF"/>
          <w:lang w:eastAsia="zh-CN"/>
        </w:rPr>
      </w:pPr>
      <w:r>
        <w:rPr>
          <w:color w:val="0000FF"/>
        </w:rPr>
        <w:t>（3）本项目无组织排放颗粒物在周界外10m范围内的最高浓度为</w:t>
      </w:r>
      <w:r>
        <w:rPr>
          <w:color w:val="0000FF"/>
          <w:lang w:eastAsia="zh-CN"/>
        </w:rPr>
        <w:t>0.</w:t>
      </w:r>
      <w:r>
        <w:rPr>
          <w:rFonts w:hint="eastAsia"/>
          <w:color w:val="0000FF"/>
          <w:lang w:eastAsia="zh-CN"/>
        </w:rPr>
        <w:t>0</w:t>
      </w:r>
      <w:r>
        <w:rPr>
          <w:rFonts w:hint="eastAsia"/>
          <w:color w:val="0000FF"/>
          <w:lang w:val="en-US" w:eastAsia="zh-CN"/>
        </w:rPr>
        <w:t xml:space="preserve">773 </w:t>
      </w:r>
      <w:r>
        <w:rPr>
          <w:color w:val="0000FF"/>
        </w:rPr>
        <w:t>mg/m</w:t>
      </w:r>
      <w:r>
        <w:rPr>
          <w:color w:val="0000FF"/>
          <w:vertAlign w:val="superscript"/>
        </w:rPr>
        <w:t>3</w:t>
      </w:r>
      <w:r>
        <w:rPr>
          <w:color w:val="0000FF"/>
        </w:rPr>
        <w:t>，满足</w:t>
      </w:r>
      <w:r>
        <w:rPr>
          <w:color w:val="0000FF"/>
          <w:lang w:eastAsia="zh-CN"/>
        </w:rPr>
        <w:t>《</w:t>
      </w:r>
      <w:r>
        <w:rPr>
          <w:rFonts w:hint="eastAsia"/>
          <w:color w:val="0000FF"/>
          <w:lang w:eastAsia="zh-CN"/>
        </w:rPr>
        <w:t>钢铁工业大气污染物排放标准</w:t>
      </w:r>
      <w:r>
        <w:rPr>
          <w:color w:val="0000FF"/>
          <w:lang w:eastAsia="zh-CN"/>
        </w:rPr>
        <w:t>》（</w:t>
      </w:r>
      <w:r>
        <w:rPr>
          <w:rFonts w:hint="eastAsia"/>
          <w:color w:val="0000FF"/>
          <w:lang w:val="en-US" w:eastAsia="zh-CN"/>
        </w:rPr>
        <w:t>DB21/4119</w:t>
      </w:r>
      <w:r>
        <w:rPr>
          <w:color w:val="0000FF"/>
          <w:lang w:eastAsia="zh-CN"/>
        </w:rPr>
        <w:t>-</w:t>
      </w:r>
      <w:r>
        <w:rPr>
          <w:rFonts w:hint="eastAsia"/>
          <w:color w:val="0000FF"/>
          <w:lang w:val="en-US" w:eastAsia="zh-CN"/>
        </w:rPr>
        <w:t>2025</w:t>
      </w:r>
      <w:r>
        <w:rPr>
          <w:color w:val="0000FF"/>
          <w:lang w:eastAsia="zh-CN"/>
        </w:rPr>
        <w:t>）表2“</w:t>
      </w:r>
      <w:r>
        <w:rPr>
          <w:rFonts w:hint="eastAsia"/>
          <w:color w:val="0000FF"/>
          <w:lang w:val="en-US" w:eastAsia="zh-CN"/>
        </w:rPr>
        <w:t>颗粒物</w:t>
      </w:r>
      <w:r>
        <w:rPr>
          <w:color w:val="0000FF"/>
          <w:lang w:eastAsia="zh-CN"/>
        </w:rPr>
        <w:t>无组织排放监控浓度限值”，</w:t>
      </w:r>
      <w:r>
        <w:rPr>
          <w:color w:val="0000FF"/>
        </w:rPr>
        <w:t>本项目无组织排放</w:t>
      </w:r>
      <w:r>
        <w:rPr>
          <w:rFonts w:hint="eastAsia"/>
          <w:color w:val="0000FF"/>
          <w:lang w:val="en-US" w:eastAsia="zh-CN"/>
        </w:rPr>
        <w:t>氨气</w:t>
      </w:r>
      <w:r>
        <w:rPr>
          <w:color w:val="0000FF"/>
        </w:rPr>
        <w:t>在周界外10m范围内的最高浓度为</w:t>
      </w:r>
      <w:r>
        <w:rPr>
          <w:rFonts w:hint="default" w:ascii="Times New Roman" w:hAnsi="Times New Roman" w:cs="Times New Roman" w:eastAsiaTheme="minorEastAsia"/>
          <w:color w:val="0000FF"/>
          <w:kern w:val="0"/>
          <w:sz w:val="24"/>
          <w:szCs w:val="24"/>
          <w:lang w:val="en-US" w:eastAsia="zh-CN"/>
        </w:rPr>
        <w:t>0.00705</w:t>
      </w:r>
      <w:r>
        <w:rPr>
          <w:rFonts w:hint="default" w:ascii="Times New Roman" w:hAnsi="Times New Roman" w:cs="Times New Roman"/>
          <w:color w:val="0000FF"/>
          <w:sz w:val="24"/>
          <w:szCs w:val="24"/>
        </w:rPr>
        <w:t>mg/m</w:t>
      </w:r>
      <w:r>
        <w:rPr>
          <w:rFonts w:hint="default" w:ascii="Times New Roman" w:hAnsi="Times New Roman" w:cs="Times New Roman"/>
          <w:color w:val="0000FF"/>
          <w:sz w:val="24"/>
          <w:szCs w:val="24"/>
          <w:vertAlign w:val="superscript"/>
        </w:rPr>
        <w:t>3</w:t>
      </w:r>
      <w:r>
        <w:rPr>
          <w:rFonts w:hint="default" w:ascii="Times New Roman" w:hAnsi="Times New Roman" w:cs="Times New Roman"/>
          <w:color w:val="0000FF"/>
          <w:sz w:val="24"/>
          <w:szCs w:val="24"/>
        </w:rPr>
        <w:t>，</w:t>
      </w:r>
      <w:r>
        <w:rPr>
          <w:color w:val="0000FF"/>
        </w:rPr>
        <w:t>满足</w:t>
      </w:r>
      <w:r>
        <w:rPr>
          <w:color w:val="0000FF"/>
          <w:lang w:eastAsia="zh-CN"/>
        </w:rPr>
        <w:t>《</w:t>
      </w:r>
      <w:r>
        <w:rPr>
          <w:rFonts w:hint="eastAsia"/>
          <w:color w:val="0000FF"/>
          <w:lang w:eastAsia="zh-CN"/>
        </w:rPr>
        <w:t>钢铁工业大气污染物排放标准</w:t>
      </w:r>
      <w:r>
        <w:rPr>
          <w:color w:val="0000FF"/>
          <w:lang w:eastAsia="zh-CN"/>
        </w:rPr>
        <w:t>》（</w:t>
      </w:r>
      <w:r>
        <w:rPr>
          <w:rFonts w:hint="eastAsia"/>
          <w:color w:val="0000FF"/>
          <w:lang w:val="en-US" w:eastAsia="zh-CN"/>
        </w:rPr>
        <w:t>DB21/4119</w:t>
      </w:r>
      <w:r>
        <w:rPr>
          <w:color w:val="0000FF"/>
          <w:lang w:eastAsia="zh-CN"/>
        </w:rPr>
        <w:t>-</w:t>
      </w:r>
      <w:r>
        <w:rPr>
          <w:rFonts w:hint="eastAsia"/>
          <w:color w:val="0000FF"/>
          <w:lang w:val="en-US" w:eastAsia="zh-CN"/>
        </w:rPr>
        <w:t>2025</w:t>
      </w:r>
      <w:r>
        <w:rPr>
          <w:color w:val="0000FF"/>
          <w:lang w:eastAsia="zh-CN"/>
        </w:rPr>
        <w:t>）表</w:t>
      </w:r>
      <w:r>
        <w:rPr>
          <w:rFonts w:hint="eastAsia"/>
          <w:color w:val="0000FF"/>
          <w:lang w:val="en-US" w:eastAsia="zh-CN"/>
        </w:rPr>
        <w:t>3</w:t>
      </w:r>
      <w:r>
        <w:rPr>
          <w:color w:val="0000FF"/>
          <w:lang w:eastAsia="zh-CN"/>
        </w:rPr>
        <w:t>“</w:t>
      </w:r>
      <w:r>
        <w:rPr>
          <w:rFonts w:hint="eastAsia"/>
          <w:color w:val="0000FF"/>
          <w:lang w:val="en-US" w:eastAsia="zh-CN"/>
        </w:rPr>
        <w:t>企业边界</w:t>
      </w:r>
      <w:r>
        <w:rPr>
          <w:color w:val="0000FF"/>
          <w:lang w:eastAsia="zh-CN"/>
        </w:rPr>
        <w:t>无组织排放监控浓度限值”</w:t>
      </w:r>
      <w:r>
        <w:rPr>
          <w:rFonts w:hint="eastAsia"/>
          <w:color w:val="0000FF"/>
          <w:lang w:eastAsia="zh-CN"/>
        </w:rPr>
        <w:t>，</w:t>
      </w:r>
      <w:r>
        <w:rPr>
          <w:rFonts w:hint="eastAsia"/>
          <w:color w:val="0000FF"/>
          <w:lang w:val="en-US" w:eastAsia="zh-CN"/>
        </w:rPr>
        <w:t>均</w:t>
      </w:r>
      <w:r>
        <w:rPr>
          <w:color w:val="0000FF"/>
          <w:lang w:eastAsia="zh-CN"/>
        </w:rPr>
        <w:t>能够达标排放。</w:t>
      </w:r>
    </w:p>
    <w:p w14:paraId="7795D375">
      <w:pPr>
        <w:adjustRightInd w:val="0"/>
        <w:spacing w:line="500" w:lineRule="exact"/>
        <w:ind w:firstLine="482"/>
        <w:rPr>
          <w:rFonts w:hint="eastAsia" w:ascii="Times New Roman" w:hAnsi="Times New Roman" w:cs="Times New Roman"/>
          <w:color w:val="0000FF"/>
        </w:rPr>
      </w:pPr>
      <w:r>
        <w:rPr>
          <w:rFonts w:ascii="Times New Roman" w:hAnsi="Times New Roman" w:cs="Times New Roman"/>
        </w:rPr>
        <w:t>（4）</w:t>
      </w:r>
      <w:r>
        <w:rPr>
          <w:rFonts w:hint="eastAsia" w:ascii="Times New Roman" w:hAnsi="Times New Roman" w:cs="Times New Roman"/>
          <w:color w:val="0000FF"/>
        </w:rPr>
        <w:t>本项目生产过程中废气在厂界未出现超标点，因此，本项目不需设置大气环境防护距离。</w:t>
      </w:r>
    </w:p>
    <w:p w14:paraId="28157CC3">
      <w:pPr>
        <w:pStyle w:val="6"/>
        <w:spacing w:before="239"/>
      </w:pPr>
      <w:bookmarkStart w:id="462" w:name="_Toc21757"/>
      <w:r>
        <w:rPr>
          <w:rFonts w:hint="eastAsia"/>
        </w:rPr>
        <w:t>5</w:t>
      </w:r>
      <w:r>
        <w:t>.2 噪声环境影响预测与分析</w:t>
      </w:r>
      <w:bookmarkEnd w:id="461"/>
      <w:bookmarkEnd w:id="462"/>
    </w:p>
    <w:p w14:paraId="556A8F76">
      <w:pPr>
        <w:pStyle w:val="7"/>
      </w:pPr>
      <w:bookmarkStart w:id="463" w:name="_Toc90026303"/>
      <w:bookmarkStart w:id="464" w:name="_Toc11346"/>
      <w:bookmarkStart w:id="465" w:name="_Toc151258773"/>
      <w:bookmarkStart w:id="466" w:name="_Toc151276192"/>
      <w:bookmarkStart w:id="467" w:name="_Toc151200139"/>
      <w:bookmarkStart w:id="468" w:name="_Toc151200299"/>
      <w:r>
        <w:rPr>
          <w:rFonts w:hint="eastAsia"/>
          <w:lang w:eastAsia="zh-CN"/>
        </w:rPr>
        <w:t>5</w:t>
      </w:r>
      <w:r>
        <w:t>.2.1 噪声源参数</w:t>
      </w:r>
      <w:bookmarkEnd w:id="463"/>
      <w:bookmarkEnd w:id="464"/>
    </w:p>
    <w:p w14:paraId="093BCE52">
      <w:pPr>
        <w:adjustRightInd w:val="0"/>
        <w:snapToGrid w:val="0"/>
        <w:spacing w:line="500" w:lineRule="exact"/>
        <w:ind w:firstLine="480" w:firstLineChars="200"/>
        <w:jc w:val="both"/>
        <w:rPr>
          <w:rFonts w:ascii="Times New Roman" w:hAnsi="Times New Roman" w:cs="Times New Roman"/>
        </w:rPr>
      </w:pPr>
      <w:r>
        <w:rPr>
          <w:rFonts w:ascii="Times New Roman" w:hAnsi="Times New Roman" w:cs="Times New Roman"/>
        </w:rPr>
        <w:t>本项目噪声源主要为</w:t>
      </w:r>
      <w:r>
        <w:rPr>
          <w:rFonts w:hint="eastAsia" w:ascii="Times New Roman" w:hAnsi="Times New Roman" w:cs="Times New Roman"/>
        </w:rPr>
        <w:t>生产设备噪声及真空泵等辅助设备噪声</w:t>
      </w:r>
      <w:r>
        <w:rPr>
          <w:rFonts w:ascii="Times New Roman" w:hAnsi="Times New Roman" w:cs="Times New Roman"/>
        </w:rPr>
        <w:t>，本项目采取选用低噪声设备、产噪设备布置在厂房内、</w:t>
      </w:r>
      <w:r>
        <w:rPr>
          <w:rFonts w:hint="eastAsia" w:ascii="Times New Roman" w:hAnsi="Times New Roman" w:cs="Times New Roman"/>
        </w:rPr>
        <w:t>设备减振基础</w:t>
      </w:r>
      <w:r>
        <w:rPr>
          <w:rFonts w:ascii="Times New Roman" w:hAnsi="Times New Roman" w:cs="Times New Roman"/>
        </w:rPr>
        <w:t>等措施，降噪效果达</w:t>
      </w:r>
      <w:r>
        <w:rPr>
          <w:rFonts w:hint="eastAsia" w:ascii="Times New Roman" w:hAnsi="Times New Roman" w:cs="Times New Roman"/>
          <w:lang w:val="en-US" w:eastAsia="zh-CN"/>
        </w:rPr>
        <w:t>2</w:t>
      </w:r>
      <w:r>
        <w:rPr>
          <w:rFonts w:hint="eastAsia" w:ascii="Times New Roman" w:hAnsi="Times New Roman" w:cs="Times New Roman"/>
        </w:rPr>
        <w:t>0</w:t>
      </w:r>
      <w:r>
        <w:rPr>
          <w:rFonts w:ascii="Times New Roman" w:hAnsi="Times New Roman" w:cs="Times New Roman"/>
        </w:rPr>
        <w:t>~25dB(A)。</w:t>
      </w:r>
    </w:p>
    <w:p w14:paraId="2BEFA9DE">
      <w:pPr>
        <w:adjustRightInd w:val="0"/>
        <w:snapToGrid w:val="0"/>
        <w:spacing w:line="500" w:lineRule="exact"/>
        <w:ind w:firstLine="480" w:firstLineChars="200"/>
        <w:rPr>
          <w:rFonts w:ascii="Times New Roman" w:hAnsi="Times New Roman" w:cs="Times New Roman"/>
        </w:rPr>
      </w:pPr>
      <w:r>
        <w:rPr>
          <w:rFonts w:ascii="Times New Roman" w:hAnsi="Times New Roman" w:cs="Times New Roman"/>
        </w:rPr>
        <w:t>各</w:t>
      </w:r>
      <w:r>
        <w:rPr>
          <w:rFonts w:hint="eastAsia" w:ascii="Times New Roman" w:hAnsi="Times New Roman" w:cs="Times New Roman"/>
        </w:rPr>
        <w:t>新增</w:t>
      </w:r>
      <w:r>
        <w:rPr>
          <w:rFonts w:ascii="Times New Roman" w:hAnsi="Times New Roman" w:cs="Times New Roman"/>
        </w:rPr>
        <w:t>噪声源参数见表</w:t>
      </w:r>
      <w:r>
        <w:rPr>
          <w:rFonts w:hint="eastAsia" w:ascii="Times New Roman" w:hAnsi="Times New Roman" w:cs="Times New Roman"/>
        </w:rPr>
        <w:t>5</w:t>
      </w:r>
      <w:r>
        <w:rPr>
          <w:rFonts w:ascii="Times New Roman" w:hAnsi="Times New Roman" w:cs="Times New Roman"/>
        </w:rPr>
        <w:t>.2-1。</w:t>
      </w:r>
    </w:p>
    <w:p w14:paraId="5A1AE7EE">
      <w:pPr>
        <w:jc w:val="center"/>
        <w:rPr>
          <w:rFonts w:ascii="Times New Roman" w:hAnsi="Times New Roman" w:eastAsia="黑体" w:cs="Times New Roman"/>
          <w:szCs w:val="21"/>
        </w:rPr>
      </w:pPr>
      <w:r>
        <w:rPr>
          <w:rFonts w:ascii="Times New Roman" w:hAnsi="Times New Roman" w:eastAsia="黑体" w:cs="Times New Roman"/>
        </w:rPr>
        <w:t>表</w:t>
      </w:r>
      <w:r>
        <w:rPr>
          <w:rFonts w:hint="eastAsia" w:ascii="Times New Roman" w:hAnsi="Times New Roman" w:eastAsia="黑体" w:cs="Times New Roman"/>
        </w:rPr>
        <w:t>5</w:t>
      </w:r>
      <w:r>
        <w:rPr>
          <w:rFonts w:ascii="Times New Roman" w:hAnsi="Times New Roman" w:eastAsia="黑体" w:cs="Times New Roman"/>
        </w:rPr>
        <w:t>.2-1  本项目新增噪声源参数一览表</w:t>
      </w:r>
    </w:p>
    <w:tbl>
      <w:tblPr>
        <w:tblStyle w:val="56"/>
        <w:tblW w:w="5209" w:type="pct"/>
        <w:jc w:val="center"/>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Layout w:type="autofit"/>
        <w:tblCellMar>
          <w:top w:w="0" w:type="dxa"/>
          <w:left w:w="0" w:type="dxa"/>
          <w:bottom w:w="0" w:type="dxa"/>
          <w:right w:w="0" w:type="dxa"/>
        </w:tblCellMar>
      </w:tblPr>
      <w:tblGrid>
        <w:gridCol w:w="1275"/>
        <w:gridCol w:w="1598"/>
        <w:gridCol w:w="1275"/>
        <w:gridCol w:w="1319"/>
        <w:gridCol w:w="2165"/>
        <w:gridCol w:w="1229"/>
      </w:tblGrid>
      <w:tr w14:paraId="2E8B92BA">
        <w:tblPrEx>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97" w:hRule="atLeast"/>
          <w:tblHeader/>
          <w:jc w:val="center"/>
        </w:trPr>
        <w:tc>
          <w:tcPr>
            <w:tcW w:w="719" w:type="pct"/>
            <w:tcBorders>
              <w:top w:val="thinThickSmallGap" w:color="auto" w:sz="12" w:space="0"/>
              <w:bottom w:val="single" w:color="auto" w:sz="4" w:space="0"/>
            </w:tcBorders>
            <w:shd w:val="clear" w:color="auto" w:fill="E0E0E0"/>
            <w:noWrap w:val="0"/>
            <w:vAlign w:val="center"/>
          </w:tcPr>
          <w:p w14:paraId="3C386BB0">
            <w:pPr>
              <w:pStyle w:val="465"/>
              <w:spacing w:line="240" w:lineRule="auto"/>
              <w:ind w:firstLine="0"/>
              <w:jc w:val="center"/>
              <w:rPr>
                <w:bCs/>
                <w:sz w:val="21"/>
                <w:szCs w:val="21"/>
                <w:lang w:val="en-US" w:eastAsia="zh-CN"/>
              </w:rPr>
            </w:pPr>
            <w:r>
              <w:rPr>
                <w:rFonts w:hint="eastAsia"/>
                <w:bCs/>
                <w:sz w:val="21"/>
                <w:szCs w:val="21"/>
                <w:lang w:val="en-US" w:eastAsia="zh-CN"/>
              </w:rPr>
              <w:t>位置</w:t>
            </w:r>
          </w:p>
        </w:tc>
        <w:tc>
          <w:tcPr>
            <w:tcW w:w="901" w:type="pct"/>
            <w:tcBorders>
              <w:top w:val="thinThickSmallGap" w:color="auto" w:sz="12" w:space="0"/>
              <w:bottom w:val="single" w:color="auto" w:sz="4" w:space="0"/>
            </w:tcBorders>
            <w:shd w:val="clear" w:color="auto" w:fill="E0E0E0"/>
            <w:noWrap w:val="0"/>
            <w:vAlign w:val="center"/>
          </w:tcPr>
          <w:p w14:paraId="08104DDC">
            <w:pPr>
              <w:pStyle w:val="465"/>
              <w:spacing w:line="240" w:lineRule="auto"/>
              <w:ind w:firstLine="0"/>
              <w:jc w:val="center"/>
              <w:rPr>
                <w:bCs/>
                <w:sz w:val="21"/>
                <w:szCs w:val="21"/>
                <w:lang w:val="en-US" w:eastAsia="zh-CN"/>
              </w:rPr>
            </w:pPr>
            <w:r>
              <w:rPr>
                <w:bCs/>
                <w:sz w:val="21"/>
                <w:szCs w:val="21"/>
                <w:lang w:val="en-US" w:eastAsia="zh-CN"/>
              </w:rPr>
              <w:t>噪声源</w:t>
            </w:r>
          </w:p>
        </w:tc>
        <w:tc>
          <w:tcPr>
            <w:tcW w:w="719" w:type="pct"/>
            <w:tcBorders>
              <w:top w:val="thinThickSmallGap" w:color="auto" w:sz="12" w:space="0"/>
              <w:bottom w:val="single" w:color="auto" w:sz="4" w:space="0"/>
            </w:tcBorders>
            <w:shd w:val="clear" w:color="auto" w:fill="E0E0E0"/>
            <w:noWrap w:val="0"/>
            <w:vAlign w:val="center"/>
          </w:tcPr>
          <w:p w14:paraId="241A7DB3">
            <w:pPr>
              <w:pStyle w:val="465"/>
              <w:spacing w:line="240" w:lineRule="auto"/>
              <w:ind w:firstLine="0"/>
              <w:jc w:val="center"/>
              <w:rPr>
                <w:bCs/>
                <w:sz w:val="21"/>
                <w:szCs w:val="21"/>
                <w:lang w:val="en-US" w:eastAsia="zh-CN"/>
              </w:rPr>
            </w:pPr>
            <w:r>
              <w:rPr>
                <w:rFonts w:hint="eastAsia"/>
                <w:bCs/>
                <w:sz w:val="21"/>
                <w:szCs w:val="21"/>
                <w:lang w:val="en-US" w:eastAsia="zh-CN"/>
              </w:rPr>
              <w:t>数量</w:t>
            </w:r>
            <w:r>
              <w:rPr>
                <w:bCs/>
                <w:sz w:val="21"/>
                <w:szCs w:val="21"/>
              </w:rPr>
              <w:t>（台/套）</w:t>
            </w:r>
          </w:p>
        </w:tc>
        <w:tc>
          <w:tcPr>
            <w:tcW w:w="744" w:type="pct"/>
            <w:tcBorders>
              <w:top w:val="thinThickSmallGap" w:color="auto" w:sz="12" w:space="0"/>
              <w:bottom w:val="single" w:color="auto" w:sz="4" w:space="0"/>
            </w:tcBorders>
            <w:shd w:val="clear" w:color="auto" w:fill="E0E0E0"/>
            <w:noWrap w:val="0"/>
            <w:vAlign w:val="center"/>
          </w:tcPr>
          <w:p w14:paraId="09FD29A8">
            <w:pPr>
              <w:pStyle w:val="465"/>
              <w:spacing w:line="240" w:lineRule="auto"/>
              <w:ind w:firstLine="0"/>
              <w:jc w:val="center"/>
              <w:rPr>
                <w:bCs/>
                <w:sz w:val="21"/>
                <w:szCs w:val="21"/>
                <w:lang w:val="en-US" w:eastAsia="zh-CN"/>
              </w:rPr>
            </w:pPr>
            <w:r>
              <w:rPr>
                <w:bCs/>
                <w:sz w:val="21"/>
                <w:szCs w:val="21"/>
                <w:lang w:val="en-US" w:eastAsia="zh-CN"/>
              </w:rPr>
              <w:t>源强dB(A)</w:t>
            </w:r>
          </w:p>
        </w:tc>
        <w:tc>
          <w:tcPr>
            <w:tcW w:w="1221" w:type="pct"/>
            <w:tcBorders>
              <w:top w:val="thinThickSmallGap" w:color="auto" w:sz="12" w:space="0"/>
              <w:bottom w:val="single" w:color="auto" w:sz="4" w:space="0"/>
            </w:tcBorders>
            <w:shd w:val="clear" w:color="auto" w:fill="E0E0E0"/>
            <w:noWrap w:val="0"/>
            <w:vAlign w:val="center"/>
          </w:tcPr>
          <w:p w14:paraId="70BC3697">
            <w:pPr>
              <w:pStyle w:val="465"/>
              <w:spacing w:line="240" w:lineRule="auto"/>
              <w:ind w:firstLine="0"/>
              <w:jc w:val="center"/>
              <w:rPr>
                <w:bCs/>
                <w:sz w:val="21"/>
                <w:szCs w:val="21"/>
                <w:lang w:val="en-US" w:eastAsia="zh-CN"/>
              </w:rPr>
            </w:pPr>
            <w:r>
              <w:rPr>
                <w:bCs/>
                <w:sz w:val="21"/>
                <w:szCs w:val="21"/>
                <w:lang w:val="en-US" w:eastAsia="zh-CN"/>
              </w:rPr>
              <w:t>治理措施</w:t>
            </w:r>
          </w:p>
        </w:tc>
        <w:tc>
          <w:tcPr>
            <w:tcW w:w="693" w:type="pct"/>
            <w:tcBorders>
              <w:top w:val="thinThickSmallGap" w:color="auto" w:sz="12" w:space="0"/>
              <w:bottom w:val="single" w:color="auto" w:sz="4" w:space="0"/>
            </w:tcBorders>
            <w:shd w:val="clear" w:color="auto" w:fill="E0E0E0"/>
            <w:noWrap w:val="0"/>
            <w:vAlign w:val="center"/>
          </w:tcPr>
          <w:p w14:paraId="4155EE84">
            <w:pPr>
              <w:pStyle w:val="465"/>
              <w:spacing w:line="240" w:lineRule="auto"/>
              <w:ind w:firstLine="0"/>
              <w:jc w:val="center"/>
              <w:rPr>
                <w:bCs/>
                <w:sz w:val="21"/>
                <w:szCs w:val="21"/>
                <w:lang w:val="en-US" w:eastAsia="zh-CN"/>
              </w:rPr>
            </w:pPr>
            <w:r>
              <w:rPr>
                <w:bCs/>
                <w:sz w:val="21"/>
                <w:szCs w:val="21"/>
                <w:lang w:val="en-US" w:eastAsia="zh-CN"/>
              </w:rPr>
              <w:t>降噪效果</w:t>
            </w:r>
          </w:p>
        </w:tc>
      </w:tr>
      <w:tr w14:paraId="08085A3A">
        <w:tblPrEx>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97" w:hRule="atLeast"/>
          <w:tblHeader/>
          <w:jc w:val="center"/>
        </w:trPr>
        <w:tc>
          <w:tcPr>
            <w:tcW w:w="719" w:type="pct"/>
            <w:vMerge w:val="restart"/>
            <w:tcBorders>
              <w:top w:val="thinThickSmallGap" w:color="auto" w:sz="12" w:space="0"/>
            </w:tcBorders>
            <w:shd w:val="clear" w:color="auto" w:fill="auto"/>
            <w:noWrap w:val="0"/>
            <w:vAlign w:val="center"/>
          </w:tcPr>
          <w:p w14:paraId="4C33021E">
            <w:pPr>
              <w:widowControl w:val="0"/>
              <w:jc w:val="center"/>
              <w:rPr>
                <w:rFonts w:ascii="Times New Roman" w:hAnsi="Times New Roman" w:cs="Times New Roman"/>
                <w:sz w:val="21"/>
                <w:szCs w:val="21"/>
              </w:rPr>
            </w:pPr>
            <w:r>
              <w:rPr>
                <w:rFonts w:hint="eastAsia" w:ascii="Times New Roman" w:hAnsi="Times New Roman" w:cs="Times New Roman"/>
                <w:sz w:val="21"/>
                <w:szCs w:val="21"/>
                <w:lang w:val="en-US" w:eastAsia="zh-CN"/>
              </w:rPr>
              <w:t>烧结</w:t>
            </w:r>
            <w:r>
              <w:rPr>
                <w:rFonts w:hint="eastAsia" w:ascii="Times New Roman" w:hAnsi="Times New Roman" w:cs="Times New Roman"/>
                <w:sz w:val="21"/>
                <w:szCs w:val="21"/>
              </w:rPr>
              <w:t>车间</w:t>
            </w:r>
          </w:p>
        </w:tc>
        <w:tc>
          <w:tcPr>
            <w:tcW w:w="901" w:type="pct"/>
            <w:tcBorders>
              <w:top w:val="thinThickSmallGap" w:color="auto" w:sz="12" w:space="0"/>
              <w:bottom w:val="single" w:color="auto" w:sz="4" w:space="0"/>
            </w:tcBorders>
            <w:shd w:val="clear" w:color="auto" w:fill="auto"/>
            <w:noWrap w:val="0"/>
            <w:vAlign w:val="center"/>
          </w:tcPr>
          <w:p w14:paraId="42E49ED2">
            <w:pPr>
              <w:pStyle w:val="465"/>
              <w:spacing w:line="240" w:lineRule="auto"/>
              <w:ind w:firstLine="0"/>
              <w:jc w:val="center"/>
              <w:rPr>
                <w:rFonts w:hint="default"/>
                <w:bCs/>
                <w:sz w:val="21"/>
                <w:szCs w:val="21"/>
                <w:lang w:val="en-US" w:eastAsia="zh-CN"/>
              </w:rPr>
            </w:pPr>
            <w:r>
              <w:rPr>
                <w:rFonts w:hint="eastAsia"/>
                <w:bCs/>
                <w:sz w:val="21"/>
                <w:szCs w:val="21"/>
                <w:lang w:val="en-US" w:eastAsia="zh-CN"/>
              </w:rPr>
              <w:t>带式烧结机</w:t>
            </w:r>
          </w:p>
        </w:tc>
        <w:tc>
          <w:tcPr>
            <w:tcW w:w="719" w:type="pct"/>
            <w:tcBorders>
              <w:top w:val="thinThickSmallGap" w:color="auto" w:sz="12" w:space="0"/>
              <w:bottom w:val="single" w:color="auto" w:sz="4" w:space="0"/>
            </w:tcBorders>
            <w:shd w:val="clear" w:color="auto" w:fill="auto"/>
            <w:noWrap w:val="0"/>
            <w:vAlign w:val="center"/>
          </w:tcPr>
          <w:p w14:paraId="5E8E358F">
            <w:pPr>
              <w:pStyle w:val="465"/>
              <w:spacing w:line="240" w:lineRule="auto"/>
              <w:ind w:firstLine="0"/>
              <w:jc w:val="center"/>
              <w:rPr>
                <w:rFonts w:hint="default"/>
                <w:bCs/>
                <w:sz w:val="21"/>
                <w:szCs w:val="21"/>
                <w:lang w:val="en-US" w:eastAsia="zh-CN"/>
              </w:rPr>
            </w:pPr>
            <w:r>
              <w:rPr>
                <w:rFonts w:hint="eastAsia"/>
                <w:bCs/>
                <w:sz w:val="21"/>
                <w:szCs w:val="21"/>
                <w:lang w:val="en-US" w:eastAsia="zh-CN"/>
              </w:rPr>
              <w:t>1</w:t>
            </w:r>
          </w:p>
        </w:tc>
        <w:tc>
          <w:tcPr>
            <w:tcW w:w="744" w:type="pct"/>
            <w:tcBorders>
              <w:top w:val="thinThickSmallGap" w:color="auto" w:sz="12" w:space="0"/>
              <w:bottom w:val="single" w:color="auto" w:sz="4" w:space="0"/>
            </w:tcBorders>
            <w:shd w:val="clear" w:color="auto" w:fill="auto"/>
            <w:noWrap w:val="0"/>
            <w:vAlign w:val="center"/>
          </w:tcPr>
          <w:p w14:paraId="6E96057F">
            <w:pPr>
              <w:pStyle w:val="465"/>
              <w:spacing w:line="240" w:lineRule="auto"/>
              <w:ind w:firstLine="0"/>
              <w:jc w:val="center"/>
              <w:rPr>
                <w:rFonts w:hint="default"/>
                <w:bCs/>
                <w:sz w:val="21"/>
                <w:szCs w:val="21"/>
                <w:lang w:val="en-US" w:eastAsia="zh-CN"/>
              </w:rPr>
            </w:pPr>
            <w:r>
              <w:rPr>
                <w:rFonts w:hint="eastAsia"/>
                <w:bCs/>
                <w:sz w:val="21"/>
                <w:szCs w:val="21"/>
                <w:lang w:val="en-US" w:eastAsia="zh-CN"/>
              </w:rPr>
              <w:t>80</w:t>
            </w:r>
          </w:p>
        </w:tc>
        <w:tc>
          <w:tcPr>
            <w:tcW w:w="2165" w:type="dxa"/>
            <w:tcBorders>
              <w:top w:val="thinThickSmallGap" w:color="auto" w:sz="12" w:space="0"/>
              <w:bottom w:val="single" w:color="auto" w:sz="4" w:space="0"/>
            </w:tcBorders>
            <w:shd w:val="clear" w:color="auto" w:fill="auto"/>
            <w:noWrap w:val="0"/>
            <w:vAlign w:val="center"/>
          </w:tcPr>
          <w:p w14:paraId="6C46EC94">
            <w:pPr>
              <w:jc w:val="center"/>
              <w:rPr>
                <w:bCs/>
                <w:sz w:val="21"/>
                <w:szCs w:val="21"/>
                <w:lang w:val="en-US" w:eastAsia="zh-CN"/>
              </w:rPr>
            </w:pPr>
            <w:r>
              <w:rPr>
                <w:rFonts w:hint="eastAsia" w:ascii="Times New Roman" w:hAnsi="Times New Roman" w:cs="Times New Roman"/>
                <w:sz w:val="21"/>
                <w:szCs w:val="21"/>
              </w:rPr>
              <w:t>建筑隔声</w:t>
            </w:r>
          </w:p>
        </w:tc>
        <w:tc>
          <w:tcPr>
            <w:tcW w:w="1229" w:type="dxa"/>
            <w:tcBorders>
              <w:top w:val="thinThickSmallGap" w:color="auto" w:sz="12" w:space="0"/>
              <w:bottom w:val="single" w:color="auto" w:sz="4" w:space="0"/>
            </w:tcBorders>
            <w:shd w:val="clear" w:color="auto" w:fill="auto"/>
            <w:noWrap w:val="0"/>
            <w:vAlign w:val="center"/>
          </w:tcPr>
          <w:p w14:paraId="0B800ABF">
            <w:pPr>
              <w:pStyle w:val="465"/>
              <w:spacing w:line="240" w:lineRule="auto"/>
              <w:ind w:firstLine="0" w:firstLineChars="0"/>
              <w:jc w:val="center"/>
              <w:rPr>
                <w:bCs/>
                <w:sz w:val="21"/>
                <w:szCs w:val="21"/>
                <w:lang w:val="en-US" w:eastAsia="zh-CN"/>
              </w:rPr>
            </w:pPr>
            <w:r>
              <w:rPr>
                <w:rFonts w:hint="eastAsia" w:ascii="Times New Roman" w:hAnsi="Times New Roman" w:eastAsia="宋体" w:cs="Times New Roman"/>
                <w:sz w:val="21"/>
                <w:szCs w:val="21"/>
                <w:lang w:val="en-US" w:eastAsia="zh-CN"/>
              </w:rPr>
              <w:t>25</w:t>
            </w:r>
          </w:p>
        </w:tc>
      </w:tr>
      <w:tr w14:paraId="1D337A7D">
        <w:tblPrEx>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719" w:type="pct"/>
            <w:vMerge w:val="continue"/>
            <w:noWrap w:val="0"/>
            <w:vAlign w:val="center"/>
          </w:tcPr>
          <w:p w14:paraId="0FB4E22B">
            <w:pPr>
              <w:widowControl w:val="0"/>
              <w:jc w:val="center"/>
              <w:rPr>
                <w:rFonts w:ascii="Times New Roman" w:hAnsi="Times New Roman" w:cs="Times New Roman"/>
                <w:sz w:val="21"/>
                <w:szCs w:val="21"/>
              </w:rPr>
            </w:pPr>
          </w:p>
        </w:tc>
        <w:tc>
          <w:tcPr>
            <w:tcW w:w="901" w:type="pct"/>
            <w:tcBorders>
              <w:top w:val="single" w:color="auto" w:sz="4" w:space="0"/>
            </w:tcBorders>
            <w:noWrap w:val="0"/>
            <w:vAlign w:val="center"/>
          </w:tcPr>
          <w:p w14:paraId="12F375FF">
            <w:pPr>
              <w:widowControl w:val="0"/>
              <w:jc w:val="center"/>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单辊破碎</w:t>
            </w:r>
          </w:p>
        </w:tc>
        <w:tc>
          <w:tcPr>
            <w:tcW w:w="719" w:type="pct"/>
            <w:tcBorders>
              <w:top w:val="single" w:color="auto" w:sz="4" w:space="0"/>
            </w:tcBorders>
            <w:noWrap w:val="0"/>
            <w:vAlign w:val="top"/>
          </w:tcPr>
          <w:p w14:paraId="469BFE45">
            <w:pPr>
              <w:widowControl w:val="0"/>
              <w:jc w:val="center"/>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1</w:t>
            </w:r>
          </w:p>
        </w:tc>
        <w:tc>
          <w:tcPr>
            <w:tcW w:w="744" w:type="pct"/>
            <w:tcBorders>
              <w:top w:val="single" w:color="auto" w:sz="4" w:space="0"/>
            </w:tcBorders>
            <w:noWrap w:val="0"/>
            <w:vAlign w:val="center"/>
          </w:tcPr>
          <w:p w14:paraId="1FA8316E">
            <w:pPr>
              <w:pStyle w:val="465"/>
              <w:spacing w:line="240" w:lineRule="auto"/>
              <w:ind w:firstLine="0"/>
              <w:jc w:val="center"/>
              <w:rPr>
                <w:bCs/>
                <w:sz w:val="21"/>
                <w:szCs w:val="21"/>
                <w:lang w:val="en-US" w:eastAsia="zh-CN"/>
              </w:rPr>
            </w:pPr>
            <w:r>
              <w:rPr>
                <w:bCs/>
                <w:sz w:val="21"/>
                <w:szCs w:val="21"/>
                <w:lang w:val="en-US" w:eastAsia="zh-CN"/>
              </w:rPr>
              <w:t>95</w:t>
            </w:r>
          </w:p>
        </w:tc>
        <w:tc>
          <w:tcPr>
            <w:tcW w:w="1221" w:type="pct"/>
            <w:tcBorders>
              <w:top w:val="single" w:color="auto" w:sz="4" w:space="0"/>
            </w:tcBorders>
            <w:noWrap w:val="0"/>
            <w:vAlign w:val="center"/>
          </w:tcPr>
          <w:p w14:paraId="4FEBA319">
            <w:pPr>
              <w:jc w:val="center"/>
              <w:rPr>
                <w:rFonts w:ascii="Times New Roman" w:hAnsi="Times New Roman" w:cs="Times New Roman"/>
                <w:sz w:val="21"/>
                <w:szCs w:val="21"/>
              </w:rPr>
            </w:pPr>
            <w:r>
              <w:rPr>
                <w:rFonts w:hint="eastAsia" w:ascii="Times New Roman" w:hAnsi="Times New Roman" w:cs="Times New Roman"/>
                <w:sz w:val="21"/>
                <w:szCs w:val="21"/>
              </w:rPr>
              <w:t>建筑隔声</w:t>
            </w:r>
          </w:p>
        </w:tc>
        <w:tc>
          <w:tcPr>
            <w:tcW w:w="693" w:type="pct"/>
            <w:tcBorders>
              <w:top w:val="single" w:color="auto" w:sz="4" w:space="0"/>
            </w:tcBorders>
            <w:noWrap w:val="0"/>
            <w:vAlign w:val="center"/>
          </w:tcPr>
          <w:p w14:paraId="6BB166A2">
            <w:pPr>
              <w:spacing w:line="240" w:lineRule="auto"/>
              <w:ind w:firstLine="0"/>
              <w:jc w:val="center"/>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25</w:t>
            </w:r>
          </w:p>
        </w:tc>
      </w:tr>
      <w:tr w14:paraId="0D8623F3">
        <w:tblPrEx>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719" w:type="pct"/>
            <w:vMerge w:val="continue"/>
            <w:noWrap w:val="0"/>
            <w:vAlign w:val="center"/>
          </w:tcPr>
          <w:p w14:paraId="59345645">
            <w:pPr>
              <w:widowControl w:val="0"/>
              <w:jc w:val="center"/>
              <w:rPr>
                <w:rFonts w:ascii="Times New Roman" w:hAnsi="Times New Roman" w:cs="Times New Roman"/>
                <w:sz w:val="21"/>
                <w:szCs w:val="21"/>
              </w:rPr>
            </w:pPr>
          </w:p>
        </w:tc>
        <w:tc>
          <w:tcPr>
            <w:tcW w:w="901" w:type="pct"/>
            <w:tcBorders>
              <w:top w:val="single" w:color="auto" w:sz="4" w:space="0"/>
            </w:tcBorders>
            <w:noWrap w:val="0"/>
            <w:vAlign w:val="center"/>
          </w:tcPr>
          <w:p w14:paraId="52C04208">
            <w:pPr>
              <w:widowControl w:val="0"/>
              <w:jc w:val="center"/>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rPr>
              <w:t>电动润滑</w:t>
            </w:r>
            <w:r>
              <w:rPr>
                <w:rFonts w:hint="eastAsia" w:ascii="Times New Roman" w:hAnsi="Times New Roman" w:eastAsia="宋体" w:cs="Times New Roman"/>
                <w:sz w:val="21"/>
                <w:szCs w:val="21"/>
                <w:lang w:val="en-US" w:eastAsia="zh-CN"/>
              </w:rPr>
              <w:t>泵</w:t>
            </w:r>
          </w:p>
        </w:tc>
        <w:tc>
          <w:tcPr>
            <w:tcW w:w="719" w:type="pct"/>
            <w:tcBorders>
              <w:top w:val="single" w:color="auto" w:sz="4" w:space="0"/>
            </w:tcBorders>
            <w:noWrap w:val="0"/>
            <w:vAlign w:val="top"/>
          </w:tcPr>
          <w:p w14:paraId="55D79E69">
            <w:pPr>
              <w:widowControl w:val="0"/>
              <w:jc w:val="center"/>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1</w:t>
            </w:r>
          </w:p>
        </w:tc>
        <w:tc>
          <w:tcPr>
            <w:tcW w:w="744" w:type="pct"/>
            <w:tcBorders>
              <w:top w:val="single" w:color="auto" w:sz="4" w:space="0"/>
            </w:tcBorders>
            <w:noWrap w:val="0"/>
            <w:vAlign w:val="center"/>
          </w:tcPr>
          <w:p w14:paraId="6D83494E">
            <w:pPr>
              <w:pStyle w:val="465"/>
              <w:spacing w:line="240" w:lineRule="auto"/>
              <w:ind w:firstLine="0"/>
              <w:jc w:val="center"/>
              <w:rPr>
                <w:bCs/>
                <w:sz w:val="21"/>
                <w:szCs w:val="21"/>
                <w:lang w:val="en-US" w:eastAsia="zh-CN"/>
              </w:rPr>
            </w:pPr>
            <w:r>
              <w:rPr>
                <w:rFonts w:hint="eastAsia"/>
                <w:bCs/>
                <w:sz w:val="21"/>
                <w:szCs w:val="21"/>
                <w:lang w:val="en-US" w:eastAsia="zh-CN"/>
              </w:rPr>
              <w:t>80</w:t>
            </w:r>
          </w:p>
        </w:tc>
        <w:tc>
          <w:tcPr>
            <w:tcW w:w="1221" w:type="pct"/>
            <w:tcBorders>
              <w:top w:val="single" w:color="auto" w:sz="4" w:space="0"/>
            </w:tcBorders>
            <w:noWrap w:val="0"/>
            <w:vAlign w:val="center"/>
          </w:tcPr>
          <w:p w14:paraId="49CFC648">
            <w:pPr>
              <w:jc w:val="center"/>
              <w:rPr>
                <w:rFonts w:ascii="Times New Roman" w:hAnsi="Times New Roman" w:cs="Times New Roman"/>
                <w:sz w:val="21"/>
                <w:szCs w:val="21"/>
              </w:rPr>
            </w:pPr>
            <w:r>
              <w:rPr>
                <w:rFonts w:hint="eastAsia" w:ascii="Times New Roman" w:hAnsi="Times New Roman" w:cs="Times New Roman"/>
                <w:sz w:val="21"/>
                <w:szCs w:val="21"/>
              </w:rPr>
              <w:t>建筑隔声</w:t>
            </w:r>
          </w:p>
        </w:tc>
        <w:tc>
          <w:tcPr>
            <w:tcW w:w="693" w:type="pct"/>
            <w:tcBorders>
              <w:top w:val="single" w:color="auto" w:sz="4" w:space="0"/>
            </w:tcBorders>
            <w:noWrap w:val="0"/>
            <w:vAlign w:val="center"/>
          </w:tcPr>
          <w:p w14:paraId="4496B320">
            <w:pPr>
              <w:spacing w:line="240" w:lineRule="auto"/>
              <w:ind w:firstLine="0"/>
              <w:jc w:val="center"/>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25</w:t>
            </w:r>
          </w:p>
        </w:tc>
      </w:tr>
      <w:tr w14:paraId="7A31A2EF">
        <w:tblPrEx>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719" w:type="pct"/>
            <w:vMerge w:val="continue"/>
            <w:noWrap w:val="0"/>
            <w:vAlign w:val="center"/>
          </w:tcPr>
          <w:p w14:paraId="651F17A3">
            <w:pPr>
              <w:widowControl w:val="0"/>
              <w:jc w:val="center"/>
              <w:rPr>
                <w:rFonts w:ascii="Times New Roman" w:hAnsi="Times New Roman" w:cs="Times New Roman"/>
                <w:sz w:val="21"/>
                <w:szCs w:val="21"/>
              </w:rPr>
            </w:pPr>
          </w:p>
        </w:tc>
        <w:tc>
          <w:tcPr>
            <w:tcW w:w="901" w:type="pct"/>
            <w:tcBorders>
              <w:top w:val="single" w:color="auto" w:sz="4" w:space="0"/>
            </w:tcBorders>
            <w:noWrap w:val="0"/>
            <w:vAlign w:val="center"/>
          </w:tcPr>
          <w:p w14:paraId="6AE8BAFD">
            <w:pPr>
              <w:widowControl w:val="0"/>
              <w:jc w:val="center"/>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助燃风机</w:t>
            </w:r>
          </w:p>
        </w:tc>
        <w:tc>
          <w:tcPr>
            <w:tcW w:w="719" w:type="pct"/>
            <w:tcBorders>
              <w:top w:val="single" w:color="auto" w:sz="4" w:space="0"/>
            </w:tcBorders>
            <w:noWrap w:val="0"/>
            <w:vAlign w:val="top"/>
          </w:tcPr>
          <w:p w14:paraId="0A0262BB">
            <w:pPr>
              <w:widowControl w:val="0"/>
              <w:jc w:val="center"/>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2</w:t>
            </w:r>
          </w:p>
        </w:tc>
        <w:tc>
          <w:tcPr>
            <w:tcW w:w="744" w:type="pct"/>
            <w:tcBorders>
              <w:top w:val="single" w:color="auto" w:sz="4" w:space="0"/>
            </w:tcBorders>
            <w:noWrap w:val="0"/>
            <w:vAlign w:val="center"/>
          </w:tcPr>
          <w:p w14:paraId="2592AC3C">
            <w:pPr>
              <w:pStyle w:val="465"/>
              <w:spacing w:line="240" w:lineRule="auto"/>
              <w:ind w:firstLine="0"/>
              <w:jc w:val="center"/>
              <w:rPr>
                <w:rFonts w:hint="default"/>
                <w:bCs/>
                <w:sz w:val="21"/>
                <w:szCs w:val="21"/>
                <w:lang w:val="en-US" w:eastAsia="zh-CN"/>
              </w:rPr>
            </w:pPr>
            <w:r>
              <w:rPr>
                <w:rFonts w:hint="eastAsia"/>
                <w:bCs/>
                <w:sz w:val="21"/>
                <w:szCs w:val="21"/>
                <w:lang w:val="en-US" w:eastAsia="zh-CN"/>
              </w:rPr>
              <w:t>90</w:t>
            </w:r>
          </w:p>
        </w:tc>
        <w:tc>
          <w:tcPr>
            <w:tcW w:w="1221" w:type="pct"/>
            <w:tcBorders>
              <w:top w:val="single" w:color="auto" w:sz="4" w:space="0"/>
            </w:tcBorders>
            <w:noWrap w:val="0"/>
            <w:vAlign w:val="center"/>
          </w:tcPr>
          <w:p w14:paraId="72BD7947">
            <w:pPr>
              <w:jc w:val="center"/>
              <w:rPr>
                <w:rFonts w:ascii="Times New Roman" w:hAnsi="Times New Roman" w:cs="Times New Roman"/>
                <w:sz w:val="21"/>
                <w:szCs w:val="21"/>
              </w:rPr>
            </w:pPr>
            <w:r>
              <w:rPr>
                <w:rFonts w:hint="eastAsia" w:ascii="Times New Roman" w:hAnsi="Times New Roman" w:cs="Times New Roman"/>
                <w:sz w:val="21"/>
                <w:szCs w:val="21"/>
              </w:rPr>
              <w:t>建筑隔声</w:t>
            </w:r>
          </w:p>
        </w:tc>
        <w:tc>
          <w:tcPr>
            <w:tcW w:w="693" w:type="pct"/>
            <w:tcBorders>
              <w:top w:val="single" w:color="auto" w:sz="4" w:space="0"/>
            </w:tcBorders>
            <w:noWrap w:val="0"/>
            <w:vAlign w:val="center"/>
          </w:tcPr>
          <w:p w14:paraId="045F52F8">
            <w:pPr>
              <w:spacing w:line="240" w:lineRule="auto"/>
              <w:ind w:firstLine="0"/>
              <w:jc w:val="center"/>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25</w:t>
            </w:r>
          </w:p>
        </w:tc>
      </w:tr>
      <w:tr w14:paraId="5A8B1230">
        <w:tblPrEx>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719" w:type="pct"/>
            <w:vMerge w:val="continue"/>
            <w:noWrap w:val="0"/>
            <w:vAlign w:val="center"/>
          </w:tcPr>
          <w:p w14:paraId="35841FCF">
            <w:pPr>
              <w:widowControl w:val="0"/>
              <w:jc w:val="center"/>
              <w:rPr>
                <w:rFonts w:ascii="Times New Roman" w:hAnsi="Times New Roman" w:cs="Times New Roman"/>
                <w:sz w:val="21"/>
                <w:szCs w:val="21"/>
              </w:rPr>
            </w:pPr>
          </w:p>
        </w:tc>
        <w:tc>
          <w:tcPr>
            <w:tcW w:w="901" w:type="pct"/>
            <w:noWrap w:val="0"/>
            <w:vAlign w:val="center"/>
          </w:tcPr>
          <w:p w14:paraId="5246B436">
            <w:pPr>
              <w:widowControl w:val="0"/>
              <w:jc w:val="center"/>
              <w:rPr>
                <w:rFonts w:hint="eastAsia" w:ascii="Times New Roman" w:hAnsi="Times New Roman" w:eastAsia="宋体" w:cs="Times New Roman"/>
                <w:sz w:val="21"/>
                <w:szCs w:val="21"/>
              </w:rPr>
            </w:pPr>
            <w:r>
              <w:rPr>
                <w:rFonts w:hint="eastAsia" w:ascii="Times New Roman" w:hAnsi="Times New Roman" w:eastAsia="宋体" w:cs="Times New Roman"/>
                <w:sz w:val="21"/>
                <w:szCs w:val="21"/>
                <w:lang w:val="en-US" w:eastAsia="zh-CN"/>
              </w:rPr>
              <w:t>布料</w:t>
            </w:r>
            <w:r>
              <w:rPr>
                <w:rFonts w:hint="eastAsia" w:ascii="Times New Roman" w:hAnsi="Times New Roman" w:eastAsia="宋体" w:cs="Times New Roman"/>
                <w:sz w:val="21"/>
                <w:szCs w:val="21"/>
              </w:rPr>
              <w:t>泥辊</w:t>
            </w:r>
          </w:p>
        </w:tc>
        <w:tc>
          <w:tcPr>
            <w:tcW w:w="719" w:type="pct"/>
            <w:noWrap w:val="0"/>
            <w:vAlign w:val="top"/>
          </w:tcPr>
          <w:p w14:paraId="2865D911">
            <w:pPr>
              <w:widowControl w:val="0"/>
              <w:jc w:val="center"/>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1</w:t>
            </w:r>
          </w:p>
        </w:tc>
        <w:tc>
          <w:tcPr>
            <w:tcW w:w="744" w:type="pct"/>
            <w:noWrap w:val="0"/>
            <w:vAlign w:val="center"/>
          </w:tcPr>
          <w:p w14:paraId="4F0B9AF8">
            <w:pPr>
              <w:pStyle w:val="465"/>
              <w:spacing w:line="240" w:lineRule="auto"/>
              <w:ind w:firstLine="0"/>
              <w:jc w:val="center"/>
              <w:rPr>
                <w:rFonts w:hint="default"/>
                <w:bCs/>
                <w:sz w:val="21"/>
                <w:szCs w:val="21"/>
                <w:lang w:val="en-US" w:eastAsia="zh-CN"/>
              </w:rPr>
            </w:pPr>
            <w:r>
              <w:rPr>
                <w:rFonts w:hint="eastAsia"/>
                <w:bCs/>
                <w:sz w:val="21"/>
                <w:szCs w:val="21"/>
                <w:lang w:val="en-US" w:eastAsia="zh-CN"/>
              </w:rPr>
              <w:t>85</w:t>
            </w:r>
          </w:p>
        </w:tc>
        <w:tc>
          <w:tcPr>
            <w:tcW w:w="1221" w:type="pct"/>
            <w:noWrap w:val="0"/>
            <w:vAlign w:val="center"/>
          </w:tcPr>
          <w:p w14:paraId="63DBAEFD">
            <w:pPr>
              <w:widowControl w:val="0"/>
              <w:jc w:val="center"/>
              <w:rPr>
                <w:rFonts w:ascii="Times New Roman" w:hAnsi="Times New Roman" w:cs="Times New Roman"/>
                <w:sz w:val="21"/>
                <w:szCs w:val="21"/>
              </w:rPr>
            </w:pPr>
            <w:r>
              <w:rPr>
                <w:rFonts w:hint="eastAsia" w:ascii="Times New Roman" w:hAnsi="Times New Roman" w:cs="Times New Roman"/>
                <w:sz w:val="21"/>
                <w:szCs w:val="21"/>
              </w:rPr>
              <w:t>建筑隔声</w:t>
            </w:r>
          </w:p>
        </w:tc>
        <w:tc>
          <w:tcPr>
            <w:tcW w:w="693" w:type="pct"/>
            <w:noWrap w:val="0"/>
            <w:vAlign w:val="center"/>
          </w:tcPr>
          <w:p w14:paraId="1FDF9D45">
            <w:pPr>
              <w:spacing w:line="240" w:lineRule="auto"/>
              <w:ind w:firstLine="0"/>
              <w:jc w:val="center"/>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25</w:t>
            </w:r>
          </w:p>
        </w:tc>
      </w:tr>
      <w:tr w14:paraId="16FC9E04">
        <w:tblPrEx>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719" w:type="pct"/>
            <w:vMerge w:val="continue"/>
            <w:noWrap w:val="0"/>
            <w:vAlign w:val="center"/>
          </w:tcPr>
          <w:p w14:paraId="252BF318">
            <w:pPr>
              <w:widowControl w:val="0"/>
              <w:jc w:val="center"/>
              <w:rPr>
                <w:rFonts w:ascii="Times New Roman" w:hAnsi="Times New Roman" w:cs="Times New Roman"/>
                <w:sz w:val="21"/>
                <w:szCs w:val="21"/>
              </w:rPr>
            </w:pPr>
          </w:p>
        </w:tc>
        <w:tc>
          <w:tcPr>
            <w:tcW w:w="901" w:type="pct"/>
            <w:noWrap w:val="0"/>
            <w:vAlign w:val="center"/>
          </w:tcPr>
          <w:p w14:paraId="109BD67E">
            <w:pPr>
              <w:widowControl w:val="0"/>
              <w:jc w:val="center"/>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7辊矫直机</w:t>
            </w:r>
          </w:p>
        </w:tc>
        <w:tc>
          <w:tcPr>
            <w:tcW w:w="719" w:type="pct"/>
            <w:noWrap w:val="0"/>
            <w:vAlign w:val="top"/>
          </w:tcPr>
          <w:p w14:paraId="50E001DB">
            <w:pPr>
              <w:widowControl w:val="0"/>
              <w:jc w:val="center"/>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1</w:t>
            </w:r>
          </w:p>
        </w:tc>
        <w:tc>
          <w:tcPr>
            <w:tcW w:w="744" w:type="pct"/>
            <w:noWrap w:val="0"/>
            <w:vAlign w:val="center"/>
          </w:tcPr>
          <w:p w14:paraId="124A0A6D">
            <w:pPr>
              <w:pStyle w:val="465"/>
              <w:spacing w:line="240" w:lineRule="auto"/>
              <w:ind w:firstLine="0"/>
              <w:jc w:val="center"/>
              <w:rPr>
                <w:rFonts w:hint="default"/>
                <w:sz w:val="21"/>
                <w:szCs w:val="21"/>
                <w:lang w:val="en-US" w:eastAsia="zh-CN"/>
              </w:rPr>
            </w:pPr>
            <w:r>
              <w:rPr>
                <w:rFonts w:hint="eastAsia"/>
                <w:sz w:val="21"/>
                <w:szCs w:val="21"/>
                <w:lang w:val="en-US" w:eastAsia="zh-CN"/>
              </w:rPr>
              <w:t>85</w:t>
            </w:r>
          </w:p>
        </w:tc>
        <w:tc>
          <w:tcPr>
            <w:tcW w:w="1221" w:type="pct"/>
            <w:noWrap w:val="0"/>
            <w:vAlign w:val="center"/>
          </w:tcPr>
          <w:p w14:paraId="5D7788FD">
            <w:pPr>
              <w:widowControl w:val="0"/>
              <w:jc w:val="center"/>
              <w:rPr>
                <w:rFonts w:ascii="Times New Roman" w:hAnsi="Times New Roman" w:cs="Times New Roman"/>
                <w:sz w:val="21"/>
                <w:szCs w:val="21"/>
              </w:rPr>
            </w:pPr>
            <w:r>
              <w:rPr>
                <w:rFonts w:hint="eastAsia" w:ascii="Times New Roman" w:hAnsi="Times New Roman" w:cs="Times New Roman"/>
                <w:sz w:val="21"/>
                <w:szCs w:val="21"/>
              </w:rPr>
              <w:t>建筑隔声</w:t>
            </w:r>
          </w:p>
        </w:tc>
        <w:tc>
          <w:tcPr>
            <w:tcW w:w="693" w:type="pct"/>
            <w:noWrap w:val="0"/>
            <w:vAlign w:val="center"/>
          </w:tcPr>
          <w:p w14:paraId="7AE333DD">
            <w:pPr>
              <w:spacing w:line="240" w:lineRule="auto"/>
              <w:ind w:firstLine="0"/>
              <w:jc w:val="center"/>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25</w:t>
            </w:r>
          </w:p>
        </w:tc>
      </w:tr>
      <w:tr w14:paraId="1D6D3F29">
        <w:tblPrEx>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719" w:type="pct"/>
            <w:vMerge w:val="continue"/>
            <w:noWrap w:val="0"/>
            <w:vAlign w:val="center"/>
          </w:tcPr>
          <w:p w14:paraId="4A7F9DE1">
            <w:pPr>
              <w:widowControl w:val="0"/>
              <w:jc w:val="center"/>
              <w:rPr>
                <w:rFonts w:ascii="Times New Roman" w:hAnsi="Times New Roman" w:cs="Times New Roman"/>
                <w:sz w:val="21"/>
                <w:szCs w:val="21"/>
              </w:rPr>
            </w:pPr>
          </w:p>
        </w:tc>
        <w:tc>
          <w:tcPr>
            <w:tcW w:w="901" w:type="pct"/>
            <w:noWrap w:val="0"/>
            <w:vAlign w:val="center"/>
          </w:tcPr>
          <w:p w14:paraId="6E6D948A">
            <w:pPr>
              <w:widowControl w:val="0"/>
              <w:jc w:val="center"/>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布料机</w:t>
            </w:r>
          </w:p>
        </w:tc>
        <w:tc>
          <w:tcPr>
            <w:tcW w:w="719" w:type="pct"/>
            <w:noWrap w:val="0"/>
            <w:vAlign w:val="top"/>
          </w:tcPr>
          <w:p w14:paraId="3B8B440D">
            <w:pPr>
              <w:widowControl w:val="0"/>
              <w:jc w:val="center"/>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1</w:t>
            </w:r>
          </w:p>
        </w:tc>
        <w:tc>
          <w:tcPr>
            <w:tcW w:w="744" w:type="pct"/>
            <w:noWrap w:val="0"/>
            <w:vAlign w:val="center"/>
          </w:tcPr>
          <w:p w14:paraId="6CF6D77F">
            <w:pPr>
              <w:pStyle w:val="465"/>
              <w:spacing w:line="240" w:lineRule="auto"/>
              <w:ind w:firstLine="0"/>
              <w:jc w:val="center"/>
              <w:rPr>
                <w:sz w:val="21"/>
                <w:szCs w:val="21"/>
                <w:lang w:val="en-US" w:eastAsia="zh-CN"/>
              </w:rPr>
            </w:pPr>
            <w:r>
              <w:rPr>
                <w:rFonts w:hint="eastAsia"/>
                <w:sz w:val="21"/>
                <w:szCs w:val="21"/>
                <w:lang w:val="en-US" w:eastAsia="zh-CN"/>
              </w:rPr>
              <w:t>85</w:t>
            </w:r>
          </w:p>
        </w:tc>
        <w:tc>
          <w:tcPr>
            <w:tcW w:w="1221" w:type="pct"/>
            <w:noWrap w:val="0"/>
            <w:vAlign w:val="center"/>
          </w:tcPr>
          <w:p w14:paraId="26AB2167">
            <w:pPr>
              <w:widowControl w:val="0"/>
              <w:jc w:val="center"/>
              <w:rPr>
                <w:rFonts w:ascii="Times New Roman" w:hAnsi="Times New Roman" w:cs="Times New Roman"/>
                <w:sz w:val="21"/>
                <w:szCs w:val="21"/>
              </w:rPr>
            </w:pPr>
            <w:r>
              <w:rPr>
                <w:rFonts w:hint="eastAsia" w:ascii="Times New Roman" w:hAnsi="Times New Roman" w:cs="Times New Roman"/>
                <w:sz w:val="21"/>
                <w:szCs w:val="21"/>
              </w:rPr>
              <w:t>建筑隔声</w:t>
            </w:r>
          </w:p>
        </w:tc>
        <w:tc>
          <w:tcPr>
            <w:tcW w:w="693" w:type="pct"/>
            <w:noWrap w:val="0"/>
            <w:vAlign w:val="center"/>
          </w:tcPr>
          <w:p w14:paraId="538F7D5E">
            <w:pPr>
              <w:spacing w:line="240" w:lineRule="auto"/>
              <w:ind w:firstLine="0"/>
              <w:jc w:val="center"/>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25</w:t>
            </w:r>
          </w:p>
        </w:tc>
      </w:tr>
      <w:tr w14:paraId="097260B9">
        <w:tblPrEx>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719" w:type="pct"/>
            <w:vMerge w:val="restart"/>
            <w:noWrap w:val="0"/>
            <w:vAlign w:val="center"/>
          </w:tcPr>
          <w:p w14:paraId="2C39C550">
            <w:pPr>
              <w:widowControl w:val="0"/>
              <w:jc w:val="center"/>
              <w:rPr>
                <w:rFonts w:hint="default" w:ascii="Times New Roman" w:hAnsi="Times New Roman" w:eastAsia="宋体" w:cs="Times New Roman"/>
                <w:sz w:val="21"/>
                <w:szCs w:val="21"/>
                <w:lang w:val="en-US" w:eastAsia="zh-CN"/>
              </w:rPr>
            </w:pPr>
            <w:bookmarkStart w:id="469" w:name="_Toc90026304"/>
            <w:r>
              <w:rPr>
                <w:rFonts w:hint="eastAsia" w:ascii="Times New Roman" w:hAnsi="Times New Roman" w:cs="Times New Roman"/>
                <w:sz w:val="21"/>
                <w:szCs w:val="21"/>
                <w:lang w:val="en-US" w:eastAsia="zh-CN"/>
              </w:rPr>
              <w:t>球团竖窑车间</w:t>
            </w:r>
          </w:p>
        </w:tc>
        <w:tc>
          <w:tcPr>
            <w:tcW w:w="901" w:type="pct"/>
            <w:noWrap w:val="0"/>
            <w:vAlign w:val="top"/>
          </w:tcPr>
          <w:p w14:paraId="36AB7364">
            <w:pPr>
              <w:pStyle w:val="465"/>
              <w:spacing w:line="240" w:lineRule="auto"/>
              <w:ind w:firstLine="0"/>
              <w:jc w:val="center"/>
              <w:rPr>
                <w:rFonts w:hint="eastAsia" w:ascii="Times New Roman" w:hAnsi="Times New Roman" w:eastAsia="宋体" w:cs="Times New Roman"/>
                <w:bCs/>
                <w:sz w:val="21"/>
                <w:szCs w:val="21"/>
                <w:lang w:val="en-US" w:eastAsia="zh-CN"/>
              </w:rPr>
            </w:pPr>
            <w:r>
              <w:rPr>
                <w:rFonts w:hint="eastAsia" w:ascii="Times New Roman" w:hAnsi="Times New Roman" w:eastAsia="宋体" w:cs="Times New Roman"/>
                <w:bCs/>
                <w:sz w:val="21"/>
                <w:szCs w:val="21"/>
                <w:lang w:val="en-US" w:eastAsia="zh-CN"/>
              </w:rPr>
              <w:t>圆盘给料机</w:t>
            </w:r>
          </w:p>
        </w:tc>
        <w:tc>
          <w:tcPr>
            <w:tcW w:w="719" w:type="pct"/>
            <w:noWrap w:val="0"/>
            <w:vAlign w:val="top"/>
          </w:tcPr>
          <w:p w14:paraId="15BAC1EF">
            <w:pPr>
              <w:pStyle w:val="465"/>
              <w:spacing w:line="240" w:lineRule="auto"/>
              <w:ind w:firstLine="0"/>
              <w:jc w:val="center"/>
              <w:rPr>
                <w:rFonts w:ascii="Times New Roman" w:hAnsi="Times New Roman" w:eastAsia="宋体" w:cs="Times New Roman"/>
                <w:bCs/>
                <w:sz w:val="21"/>
                <w:szCs w:val="21"/>
                <w:lang w:val="en-US" w:eastAsia="zh-CN"/>
              </w:rPr>
            </w:pPr>
            <w:r>
              <w:rPr>
                <w:rFonts w:hint="eastAsia" w:ascii="Times New Roman" w:hAnsi="Times New Roman" w:eastAsia="宋体" w:cs="Times New Roman"/>
                <w:bCs/>
                <w:sz w:val="21"/>
                <w:szCs w:val="21"/>
                <w:lang w:val="en-US" w:eastAsia="zh-CN"/>
              </w:rPr>
              <w:t>5</w:t>
            </w:r>
          </w:p>
        </w:tc>
        <w:tc>
          <w:tcPr>
            <w:tcW w:w="744" w:type="pct"/>
            <w:noWrap w:val="0"/>
            <w:vAlign w:val="center"/>
          </w:tcPr>
          <w:p w14:paraId="1114BBD2">
            <w:pPr>
              <w:pStyle w:val="465"/>
              <w:spacing w:line="240" w:lineRule="auto"/>
              <w:ind w:firstLine="0"/>
              <w:jc w:val="center"/>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85</w:t>
            </w:r>
          </w:p>
        </w:tc>
        <w:tc>
          <w:tcPr>
            <w:tcW w:w="1221" w:type="pct"/>
            <w:noWrap w:val="0"/>
            <w:vAlign w:val="center"/>
          </w:tcPr>
          <w:p w14:paraId="40C5DB97">
            <w:pPr>
              <w:widowControl w:val="0"/>
              <w:jc w:val="center"/>
              <w:rPr>
                <w:rFonts w:hint="eastAsia" w:ascii="Times New Roman" w:hAnsi="Times New Roman" w:cs="Times New Roman"/>
                <w:sz w:val="21"/>
                <w:szCs w:val="21"/>
              </w:rPr>
            </w:pPr>
            <w:r>
              <w:rPr>
                <w:rFonts w:hint="eastAsia" w:ascii="Times New Roman" w:hAnsi="Times New Roman" w:cs="Times New Roman"/>
                <w:sz w:val="21"/>
                <w:szCs w:val="21"/>
              </w:rPr>
              <w:t>建筑隔声</w:t>
            </w:r>
          </w:p>
        </w:tc>
        <w:tc>
          <w:tcPr>
            <w:tcW w:w="693" w:type="pct"/>
            <w:noWrap w:val="0"/>
            <w:vAlign w:val="center"/>
          </w:tcPr>
          <w:p w14:paraId="2CA76942">
            <w:pPr>
              <w:spacing w:line="240" w:lineRule="auto"/>
              <w:ind w:firstLine="0"/>
              <w:jc w:val="center"/>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25</w:t>
            </w:r>
          </w:p>
        </w:tc>
      </w:tr>
      <w:tr w14:paraId="5BEB0D36">
        <w:tblPrEx>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719" w:type="pct"/>
            <w:vMerge w:val="continue"/>
            <w:noWrap w:val="0"/>
            <w:vAlign w:val="center"/>
          </w:tcPr>
          <w:p w14:paraId="7AD96DBE">
            <w:pPr>
              <w:widowControl w:val="0"/>
              <w:jc w:val="center"/>
              <w:rPr>
                <w:rFonts w:ascii="Times New Roman" w:hAnsi="Times New Roman" w:cs="Times New Roman"/>
                <w:sz w:val="21"/>
                <w:szCs w:val="21"/>
              </w:rPr>
            </w:pPr>
          </w:p>
        </w:tc>
        <w:tc>
          <w:tcPr>
            <w:tcW w:w="901" w:type="pct"/>
            <w:noWrap w:val="0"/>
            <w:vAlign w:val="top"/>
          </w:tcPr>
          <w:p w14:paraId="7B0711D4">
            <w:pPr>
              <w:pStyle w:val="465"/>
              <w:spacing w:line="240" w:lineRule="auto"/>
              <w:ind w:firstLine="0"/>
              <w:jc w:val="center"/>
              <w:rPr>
                <w:rFonts w:hint="eastAsia" w:ascii="Times New Roman" w:hAnsi="Times New Roman" w:eastAsia="宋体" w:cs="Times New Roman"/>
                <w:bCs/>
                <w:sz w:val="21"/>
                <w:szCs w:val="21"/>
                <w:lang w:val="en-US" w:eastAsia="zh-CN"/>
              </w:rPr>
            </w:pPr>
            <w:r>
              <w:rPr>
                <w:rFonts w:hint="eastAsia" w:ascii="Times New Roman" w:hAnsi="Times New Roman" w:eastAsia="宋体" w:cs="Times New Roman"/>
                <w:bCs/>
                <w:sz w:val="21"/>
                <w:szCs w:val="21"/>
                <w:lang w:val="en-US" w:eastAsia="zh-CN"/>
              </w:rPr>
              <w:t>造球盘</w:t>
            </w:r>
          </w:p>
        </w:tc>
        <w:tc>
          <w:tcPr>
            <w:tcW w:w="719" w:type="pct"/>
            <w:noWrap w:val="0"/>
            <w:vAlign w:val="top"/>
          </w:tcPr>
          <w:p w14:paraId="6B1EED2E">
            <w:pPr>
              <w:pStyle w:val="465"/>
              <w:spacing w:line="240" w:lineRule="auto"/>
              <w:ind w:firstLine="0"/>
              <w:jc w:val="center"/>
              <w:rPr>
                <w:rFonts w:ascii="Times New Roman" w:hAnsi="Times New Roman" w:eastAsia="宋体" w:cs="Times New Roman"/>
                <w:bCs/>
                <w:sz w:val="21"/>
                <w:szCs w:val="21"/>
                <w:lang w:val="en-US" w:eastAsia="zh-CN"/>
              </w:rPr>
            </w:pPr>
            <w:r>
              <w:rPr>
                <w:rFonts w:hint="eastAsia" w:ascii="Times New Roman" w:hAnsi="Times New Roman" w:eastAsia="宋体" w:cs="Times New Roman"/>
                <w:bCs/>
                <w:sz w:val="21"/>
                <w:szCs w:val="21"/>
                <w:lang w:val="en-US" w:eastAsia="zh-CN"/>
              </w:rPr>
              <w:t>2</w:t>
            </w:r>
          </w:p>
        </w:tc>
        <w:tc>
          <w:tcPr>
            <w:tcW w:w="744" w:type="pct"/>
            <w:noWrap w:val="0"/>
            <w:vAlign w:val="center"/>
          </w:tcPr>
          <w:p w14:paraId="7DB252D8">
            <w:pPr>
              <w:pStyle w:val="465"/>
              <w:spacing w:line="240" w:lineRule="auto"/>
              <w:ind w:firstLine="0"/>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85</w:t>
            </w:r>
          </w:p>
        </w:tc>
        <w:tc>
          <w:tcPr>
            <w:tcW w:w="1221" w:type="pct"/>
            <w:noWrap w:val="0"/>
            <w:vAlign w:val="center"/>
          </w:tcPr>
          <w:p w14:paraId="04E81DE7">
            <w:pPr>
              <w:widowControl w:val="0"/>
              <w:jc w:val="center"/>
              <w:rPr>
                <w:rFonts w:hint="eastAsia" w:ascii="Times New Roman" w:hAnsi="Times New Roman" w:cs="Times New Roman"/>
                <w:sz w:val="21"/>
                <w:szCs w:val="21"/>
              </w:rPr>
            </w:pPr>
            <w:r>
              <w:rPr>
                <w:rFonts w:hint="eastAsia" w:ascii="Times New Roman" w:hAnsi="Times New Roman" w:cs="Times New Roman"/>
                <w:sz w:val="21"/>
                <w:szCs w:val="21"/>
              </w:rPr>
              <w:t>建筑隔声</w:t>
            </w:r>
          </w:p>
        </w:tc>
        <w:tc>
          <w:tcPr>
            <w:tcW w:w="693" w:type="pct"/>
            <w:noWrap w:val="0"/>
            <w:vAlign w:val="center"/>
          </w:tcPr>
          <w:p w14:paraId="45FEC235">
            <w:pPr>
              <w:spacing w:line="240" w:lineRule="auto"/>
              <w:ind w:firstLine="0"/>
              <w:jc w:val="center"/>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25</w:t>
            </w:r>
          </w:p>
        </w:tc>
      </w:tr>
      <w:tr w14:paraId="72BB4D09">
        <w:tblPrEx>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719" w:type="pct"/>
            <w:vMerge w:val="continue"/>
            <w:noWrap w:val="0"/>
            <w:vAlign w:val="center"/>
          </w:tcPr>
          <w:p w14:paraId="72CA3ED1">
            <w:pPr>
              <w:widowControl w:val="0"/>
              <w:jc w:val="center"/>
              <w:rPr>
                <w:rFonts w:ascii="Times New Roman" w:hAnsi="Times New Roman" w:cs="Times New Roman"/>
                <w:sz w:val="21"/>
                <w:szCs w:val="21"/>
              </w:rPr>
            </w:pPr>
          </w:p>
        </w:tc>
        <w:tc>
          <w:tcPr>
            <w:tcW w:w="901" w:type="pct"/>
            <w:noWrap w:val="0"/>
            <w:vAlign w:val="top"/>
          </w:tcPr>
          <w:p w14:paraId="59D391B0">
            <w:pPr>
              <w:pStyle w:val="465"/>
              <w:spacing w:line="240" w:lineRule="auto"/>
              <w:ind w:firstLine="0"/>
              <w:jc w:val="center"/>
              <w:rPr>
                <w:rFonts w:hint="eastAsia" w:ascii="Times New Roman" w:hAnsi="Times New Roman" w:eastAsia="宋体" w:cs="Times New Roman"/>
                <w:bCs/>
                <w:sz w:val="21"/>
                <w:szCs w:val="21"/>
                <w:lang w:val="en-US" w:eastAsia="zh-CN"/>
              </w:rPr>
            </w:pPr>
            <w:r>
              <w:rPr>
                <w:rFonts w:hint="eastAsia" w:ascii="Times New Roman" w:hAnsi="Times New Roman" w:eastAsia="宋体" w:cs="Times New Roman"/>
                <w:bCs/>
                <w:sz w:val="21"/>
                <w:szCs w:val="21"/>
                <w:lang w:val="en-US" w:eastAsia="zh-CN"/>
              </w:rPr>
              <w:t>生筛</w:t>
            </w:r>
          </w:p>
        </w:tc>
        <w:tc>
          <w:tcPr>
            <w:tcW w:w="719" w:type="pct"/>
            <w:noWrap w:val="0"/>
            <w:vAlign w:val="top"/>
          </w:tcPr>
          <w:p w14:paraId="5719B1F7">
            <w:pPr>
              <w:pStyle w:val="465"/>
              <w:spacing w:line="240" w:lineRule="auto"/>
              <w:ind w:firstLine="0"/>
              <w:jc w:val="center"/>
              <w:rPr>
                <w:rFonts w:ascii="Times New Roman" w:hAnsi="Times New Roman" w:eastAsia="宋体" w:cs="Times New Roman"/>
                <w:bCs/>
                <w:sz w:val="21"/>
                <w:szCs w:val="21"/>
                <w:lang w:val="en-US" w:eastAsia="zh-CN"/>
              </w:rPr>
            </w:pPr>
            <w:r>
              <w:rPr>
                <w:rFonts w:hint="eastAsia" w:ascii="Times New Roman" w:hAnsi="Times New Roman" w:eastAsia="宋体" w:cs="Times New Roman"/>
                <w:bCs/>
                <w:sz w:val="21"/>
                <w:szCs w:val="21"/>
                <w:lang w:val="en-US" w:eastAsia="zh-CN"/>
              </w:rPr>
              <w:t>1</w:t>
            </w:r>
          </w:p>
        </w:tc>
        <w:tc>
          <w:tcPr>
            <w:tcW w:w="744" w:type="pct"/>
            <w:noWrap w:val="0"/>
            <w:vAlign w:val="center"/>
          </w:tcPr>
          <w:p w14:paraId="2517265C">
            <w:pPr>
              <w:pStyle w:val="465"/>
              <w:spacing w:line="240" w:lineRule="auto"/>
              <w:ind w:firstLine="0"/>
              <w:jc w:val="center"/>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95</w:t>
            </w:r>
          </w:p>
        </w:tc>
        <w:tc>
          <w:tcPr>
            <w:tcW w:w="1221" w:type="pct"/>
            <w:noWrap w:val="0"/>
            <w:vAlign w:val="center"/>
          </w:tcPr>
          <w:p w14:paraId="785AFB71">
            <w:pPr>
              <w:widowControl w:val="0"/>
              <w:jc w:val="center"/>
              <w:rPr>
                <w:rFonts w:hint="eastAsia" w:ascii="Times New Roman" w:hAnsi="Times New Roman" w:cs="Times New Roman"/>
                <w:sz w:val="21"/>
                <w:szCs w:val="21"/>
              </w:rPr>
            </w:pPr>
            <w:r>
              <w:rPr>
                <w:rFonts w:hint="eastAsia" w:ascii="Times New Roman" w:hAnsi="Times New Roman" w:cs="Times New Roman"/>
                <w:sz w:val="21"/>
                <w:szCs w:val="21"/>
              </w:rPr>
              <w:t>建筑隔声</w:t>
            </w:r>
          </w:p>
        </w:tc>
        <w:tc>
          <w:tcPr>
            <w:tcW w:w="693" w:type="pct"/>
            <w:noWrap w:val="0"/>
            <w:vAlign w:val="center"/>
          </w:tcPr>
          <w:p w14:paraId="0E387947">
            <w:pPr>
              <w:spacing w:line="240" w:lineRule="auto"/>
              <w:ind w:firstLine="0"/>
              <w:jc w:val="center"/>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25</w:t>
            </w:r>
          </w:p>
        </w:tc>
      </w:tr>
      <w:tr w14:paraId="593DC0EA">
        <w:tblPrEx>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719" w:type="pct"/>
            <w:vMerge w:val="continue"/>
            <w:noWrap w:val="0"/>
            <w:vAlign w:val="center"/>
          </w:tcPr>
          <w:p w14:paraId="660C29C6">
            <w:pPr>
              <w:widowControl w:val="0"/>
              <w:jc w:val="center"/>
              <w:rPr>
                <w:rFonts w:ascii="Times New Roman" w:hAnsi="Times New Roman" w:cs="Times New Roman"/>
                <w:sz w:val="21"/>
                <w:szCs w:val="21"/>
              </w:rPr>
            </w:pPr>
          </w:p>
        </w:tc>
        <w:tc>
          <w:tcPr>
            <w:tcW w:w="901" w:type="pct"/>
            <w:noWrap w:val="0"/>
            <w:vAlign w:val="top"/>
          </w:tcPr>
          <w:p w14:paraId="66DC4C2A">
            <w:pPr>
              <w:pStyle w:val="465"/>
              <w:spacing w:line="240" w:lineRule="auto"/>
              <w:ind w:firstLine="0"/>
              <w:jc w:val="center"/>
              <w:rPr>
                <w:rFonts w:hint="eastAsia" w:ascii="Times New Roman" w:hAnsi="Times New Roman" w:eastAsia="宋体" w:cs="Times New Roman"/>
                <w:bCs/>
                <w:sz w:val="21"/>
                <w:szCs w:val="21"/>
                <w:lang w:val="en-US" w:eastAsia="zh-CN"/>
              </w:rPr>
            </w:pPr>
            <w:r>
              <w:rPr>
                <w:rFonts w:hint="eastAsia" w:ascii="Times New Roman" w:hAnsi="Times New Roman" w:eastAsia="宋体" w:cs="Times New Roman"/>
                <w:bCs/>
                <w:sz w:val="21"/>
                <w:szCs w:val="21"/>
                <w:lang w:val="en-US" w:eastAsia="zh-CN"/>
              </w:rPr>
              <w:t>炉顶布料机</w:t>
            </w:r>
          </w:p>
        </w:tc>
        <w:tc>
          <w:tcPr>
            <w:tcW w:w="719" w:type="pct"/>
            <w:noWrap w:val="0"/>
            <w:vAlign w:val="top"/>
          </w:tcPr>
          <w:p w14:paraId="5D9A7134">
            <w:pPr>
              <w:pStyle w:val="465"/>
              <w:spacing w:line="240" w:lineRule="auto"/>
              <w:ind w:firstLine="0"/>
              <w:jc w:val="center"/>
              <w:rPr>
                <w:rFonts w:ascii="Times New Roman" w:hAnsi="Times New Roman" w:eastAsia="宋体" w:cs="Times New Roman"/>
                <w:bCs/>
                <w:sz w:val="21"/>
                <w:szCs w:val="21"/>
                <w:lang w:val="en-US" w:eastAsia="zh-CN"/>
              </w:rPr>
            </w:pPr>
            <w:r>
              <w:rPr>
                <w:rFonts w:hint="eastAsia" w:ascii="Times New Roman" w:hAnsi="Times New Roman" w:eastAsia="宋体" w:cs="Times New Roman"/>
                <w:bCs/>
                <w:sz w:val="21"/>
                <w:szCs w:val="21"/>
                <w:lang w:val="en-US" w:eastAsia="zh-CN"/>
              </w:rPr>
              <w:t>1</w:t>
            </w:r>
          </w:p>
        </w:tc>
        <w:tc>
          <w:tcPr>
            <w:tcW w:w="744" w:type="pct"/>
            <w:noWrap w:val="0"/>
            <w:vAlign w:val="center"/>
          </w:tcPr>
          <w:p w14:paraId="083C5B55">
            <w:pPr>
              <w:pStyle w:val="465"/>
              <w:spacing w:line="240" w:lineRule="auto"/>
              <w:ind w:firstLine="0"/>
              <w:jc w:val="center"/>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85</w:t>
            </w:r>
          </w:p>
        </w:tc>
        <w:tc>
          <w:tcPr>
            <w:tcW w:w="1221" w:type="pct"/>
            <w:noWrap w:val="0"/>
            <w:vAlign w:val="center"/>
          </w:tcPr>
          <w:p w14:paraId="1243273A">
            <w:pPr>
              <w:widowControl w:val="0"/>
              <w:jc w:val="center"/>
              <w:rPr>
                <w:rFonts w:hint="eastAsia" w:ascii="Times New Roman" w:hAnsi="Times New Roman" w:cs="Times New Roman"/>
                <w:sz w:val="21"/>
                <w:szCs w:val="21"/>
              </w:rPr>
            </w:pPr>
            <w:r>
              <w:rPr>
                <w:rFonts w:hint="eastAsia" w:ascii="Times New Roman" w:hAnsi="Times New Roman" w:cs="Times New Roman"/>
                <w:sz w:val="21"/>
                <w:szCs w:val="21"/>
              </w:rPr>
              <w:t>建筑隔声</w:t>
            </w:r>
          </w:p>
        </w:tc>
        <w:tc>
          <w:tcPr>
            <w:tcW w:w="693" w:type="pct"/>
            <w:noWrap w:val="0"/>
            <w:vAlign w:val="center"/>
          </w:tcPr>
          <w:p w14:paraId="56FDC337">
            <w:pPr>
              <w:spacing w:line="240" w:lineRule="auto"/>
              <w:ind w:firstLine="0"/>
              <w:jc w:val="center"/>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25</w:t>
            </w:r>
          </w:p>
        </w:tc>
      </w:tr>
      <w:tr w14:paraId="11DF039B">
        <w:tblPrEx>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719" w:type="pct"/>
            <w:vMerge w:val="continue"/>
            <w:noWrap w:val="0"/>
            <w:vAlign w:val="center"/>
          </w:tcPr>
          <w:p w14:paraId="086A9284">
            <w:pPr>
              <w:widowControl w:val="0"/>
              <w:jc w:val="center"/>
              <w:rPr>
                <w:rFonts w:ascii="Times New Roman" w:hAnsi="Times New Roman" w:cs="Times New Roman"/>
                <w:sz w:val="21"/>
                <w:szCs w:val="21"/>
              </w:rPr>
            </w:pPr>
          </w:p>
        </w:tc>
        <w:tc>
          <w:tcPr>
            <w:tcW w:w="901" w:type="pct"/>
            <w:noWrap w:val="0"/>
            <w:vAlign w:val="top"/>
          </w:tcPr>
          <w:p w14:paraId="72975D26">
            <w:pPr>
              <w:pStyle w:val="465"/>
              <w:spacing w:line="240" w:lineRule="auto"/>
              <w:ind w:firstLine="0"/>
              <w:jc w:val="center"/>
              <w:rPr>
                <w:rFonts w:hint="eastAsia" w:ascii="Times New Roman" w:hAnsi="Times New Roman" w:eastAsia="宋体" w:cs="Times New Roman"/>
                <w:bCs/>
                <w:sz w:val="21"/>
                <w:szCs w:val="21"/>
                <w:lang w:val="en-US" w:eastAsia="zh-CN"/>
              </w:rPr>
            </w:pPr>
            <w:r>
              <w:rPr>
                <w:rFonts w:hint="eastAsia" w:ascii="Times New Roman" w:hAnsi="Times New Roman" w:eastAsia="宋体" w:cs="Times New Roman"/>
                <w:bCs/>
                <w:sz w:val="21"/>
                <w:szCs w:val="21"/>
                <w:lang w:val="en-US" w:eastAsia="zh-CN"/>
              </w:rPr>
              <w:t>竖炉排料</w:t>
            </w:r>
          </w:p>
        </w:tc>
        <w:tc>
          <w:tcPr>
            <w:tcW w:w="719" w:type="pct"/>
            <w:noWrap w:val="0"/>
            <w:vAlign w:val="top"/>
          </w:tcPr>
          <w:p w14:paraId="26548727">
            <w:pPr>
              <w:pStyle w:val="465"/>
              <w:spacing w:line="240" w:lineRule="auto"/>
              <w:ind w:firstLine="0"/>
              <w:jc w:val="center"/>
              <w:rPr>
                <w:rFonts w:ascii="Times New Roman" w:hAnsi="Times New Roman" w:eastAsia="宋体" w:cs="Times New Roman"/>
                <w:bCs/>
                <w:sz w:val="21"/>
                <w:szCs w:val="21"/>
                <w:lang w:val="en-US" w:eastAsia="zh-CN"/>
              </w:rPr>
            </w:pPr>
            <w:r>
              <w:rPr>
                <w:rFonts w:hint="eastAsia" w:ascii="Times New Roman" w:hAnsi="Times New Roman" w:eastAsia="宋体" w:cs="Times New Roman"/>
                <w:bCs/>
                <w:sz w:val="21"/>
                <w:szCs w:val="21"/>
                <w:lang w:val="en-US" w:eastAsia="zh-CN"/>
              </w:rPr>
              <w:t>1</w:t>
            </w:r>
          </w:p>
        </w:tc>
        <w:tc>
          <w:tcPr>
            <w:tcW w:w="744" w:type="pct"/>
            <w:noWrap w:val="0"/>
            <w:vAlign w:val="center"/>
          </w:tcPr>
          <w:p w14:paraId="669DE5F9">
            <w:pPr>
              <w:pStyle w:val="465"/>
              <w:spacing w:line="240" w:lineRule="auto"/>
              <w:ind w:firstLine="0"/>
              <w:jc w:val="center"/>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85</w:t>
            </w:r>
          </w:p>
        </w:tc>
        <w:tc>
          <w:tcPr>
            <w:tcW w:w="1221" w:type="pct"/>
            <w:noWrap w:val="0"/>
            <w:vAlign w:val="center"/>
          </w:tcPr>
          <w:p w14:paraId="719EF31F">
            <w:pPr>
              <w:widowControl w:val="0"/>
              <w:jc w:val="center"/>
              <w:rPr>
                <w:rFonts w:hint="eastAsia" w:ascii="Times New Roman" w:hAnsi="Times New Roman" w:cs="Times New Roman"/>
                <w:sz w:val="21"/>
                <w:szCs w:val="21"/>
              </w:rPr>
            </w:pPr>
            <w:r>
              <w:rPr>
                <w:rFonts w:hint="eastAsia" w:ascii="Times New Roman" w:hAnsi="Times New Roman" w:cs="Times New Roman"/>
                <w:sz w:val="21"/>
                <w:szCs w:val="21"/>
              </w:rPr>
              <w:t>建筑隔声</w:t>
            </w:r>
          </w:p>
        </w:tc>
        <w:tc>
          <w:tcPr>
            <w:tcW w:w="693" w:type="pct"/>
            <w:noWrap w:val="0"/>
            <w:vAlign w:val="center"/>
          </w:tcPr>
          <w:p w14:paraId="4B73D502">
            <w:pPr>
              <w:spacing w:line="240" w:lineRule="auto"/>
              <w:ind w:firstLine="0"/>
              <w:jc w:val="center"/>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25</w:t>
            </w:r>
          </w:p>
        </w:tc>
      </w:tr>
      <w:tr w14:paraId="5FD8D517">
        <w:tblPrEx>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719" w:type="pct"/>
            <w:vMerge w:val="continue"/>
            <w:noWrap w:val="0"/>
            <w:vAlign w:val="center"/>
          </w:tcPr>
          <w:p w14:paraId="2D69F3EA">
            <w:pPr>
              <w:widowControl w:val="0"/>
              <w:jc w:val="center"/>
              <w:rPr>
                <w:rFonts w:ascii="Times New Roman" w:hAnsi="Times New Roman" w:cs="Times New Roman"/>
                <w:sz w:val="21"/>
                <w:szCs w:val="21"/>
              </w:rPr>
            </w:pPr>
          </w:p>
        </w:tc>
        <w:tc>
          <w:tcPr>
            <w:tcW w:w="901" w:type="pct"/>
            <w:noWrap w:val="0"/>
            <w:vAlign w:val="top"/>
          </w:tcPr>
          <w:p w14:paraId="336ABE9D">
            <w:pPr>
              <w:pStyle w:val="465"/>
              <w:spacing w:line="240" w:lineRule="auto"/>
              <w:ind w:firstLine="0"/>
              <w:jc w:val="center"/>
              <w:rPr>
                <w:rFonts w:hint="eastAsia" w:ascii="Times New Roman" w:hAnsi="Times New Roman" w:eastAsia="宋体" w:cs="Times New Roman"/>
                <w:bCs/>
                <w:sz w:val="21"/>
                <w:szCs w:val="21"/>
                <w:lang w:val="en-US" w:eastAsia="zh-CN"/>
              </w:rPr>
            </w:pPr>
            <w:r>
              <w:rPr>
                <w:rFonts w:hint="eastAsia" w:ascii="Times New Roman" w:hAnsi="Times New Roman" w:eastAsia="宋体" w:cs="Times New Roman"/>
                <w:bCs/>
                <w:sz w:val="21"/>
                <w:szCs w:val="21"/>
                <w:lang w:val="en-US" w:eastAsia="zh-CN"/>
              </w:rPr>
              <w:t>竖炉助燃风机</w:t>
            </w:r>
          </w:p>
        </w:tc>
        <w:tc>
          <w:tcPr>
            <w:tcW w:w="719" w:type="pct"/>
            <w:noWrap w:val="0"/>
            <w:vAlign w:val="top"/>
          </w:tcPr>
          <w:p w14:paraId="69B921E8">
            <w:pPr>
              <w:pStyle w:val="465"/>
              <w:spacing w:line="240" w:lineRule="auto"/>
              <w:ind w:firstLine="0"/>
              <w:jc w:val="center"/>
              <w:rPr>
                <w:rFonts w:ascii="Times New Roman" w:hAnsi="Times New Roman" w:eastAsia="宋体" w:cs="Times New Roman"/>
                <w:bCs/>
                <w:sz w:val="21"/>
                <w:szCs w:val="21"/>
                <w:lang w:val="en-US" w:eastAsia="zh-CN"/>
              </w:rPr>
            </w:pPr>
            <w:r>
              <w:rPr>
                <w:rFonts w:hint="eastAsia" w:ascii="Times New Roman" w:hAnsi="Times New Roman" w:eastAsia="宋体" w:cs="Times New Roman"/>
                <w:bCs/>
                <w:sz w:val="21"/>
                <w:szCs w:val="21"/>
                <w:lang w:val="en-US" w:eastAsia="zh-CN"/>
              </w:rPr>
              <w:t>1</w:t>
            </w:r>
          </w:p>
        </w:tc>
        <w:tc>
          <w:tcPr>
            <w:tcW w:w="744" w:type="pct"/>
            <w:noWrap w:val="0"/>
            <w:vAlign w:val="center"/>
          </w:tcPr>
          <w:p w14:paraId="2A378778">
            <w:pPr>
              <w:pStyle w:val="465"/>
              <w:spacing w:line="240" w:lineRule="auto"/>
              <w:ind w:firstLine="0"/>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90</w:t>
            </w:r>
          </w:p>
        </w:tc>
        <w:tc>
          <w:tcPr>
            <w:tcW w:w="1221" w:type="pct"/>
            <w:noWrap w:val="0"/>
            <w:vAlign w:val="center"/>
          </w:tcPr>
          <w:p w14:paraId="4AF81A8B">
            <w:pPr>
              <w:widowControl w:val="0"/>
              <w:jc w:val="center"/>
              <w:rPr>
                <w:rFonts w:hint="eastAsia" w:ascii="Times New Roman" w:hAnsi="Times New Roman" w:cs="Times New Roman"/>
                <w:sz w:val="21"/>
                <w:szCs w:val="21"/>
              </w:rPr>
            </w:pPr>
            <w:r>
              <w:rPr>
                <w:rFonts w:hint="eastAsia" w:ascii="Times New Roman" w:hAnsi="Times New Roman" w:cs="Times New Roman"/>
                <w:sz w:val="21"/>
                <w:szCs w:val="21"/>
              </w:rPr>
              <w:t>建筑隔声</w:t>
            </w:r>
          </w:p>
        </w:tc>
        <w:tc>
          <w:tcPr>
            <w:tcW w:w="693" w:type="pct"/>
            <w:noWrap w:val="0"/>
            <w:vAlign w:val="center"/>
          </w:tcPr>
          <w:p w14:paraId="105C306C">
            <w:pPr>
              <w:spacing w:line="240" w:lineRule="auto"/>
              <w:ind w:firstLine="0"/>
              <w:jc w:val="center"/>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25</w:t>
            </w:r>
          </w:p>
        </w:tc>
      </w:tr>
      <w:tr w14:paraId="4CF18595">
        <w:tblPrEx>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719" w:type="pct"/>
            <w:vMerge w:val="continue"/>
            <w:noWrap w:val="0"/>
            <w:vAlign w:val="center"/>
          </w:tcPr>
          <w:p w14:paraId="1AB6FB6E">
            <w:pPr>
              <w:widowControl w:val="0"/>
              <w:jc w:val="center"/>
              <w:rPr>
                <w:rFonts w:ascii="Times New Roman" w:hAnsi="Times New Roman" w:cs="Times New Roman"/>
                <w:sz w:val="21"/>
                <w:szCs w:val="21"/>
              </w:rPr>
            </w:pPr>
          </w:p>
        </w:tc>
        <w:tc>
          <w:tcPr>
            <w:tcW w:w="901" w:type="pct"/>
            <w:noWrap w:val="0"/>
            <w:vAlign w:val="top"/>
          </w:tcPr>
          <w:p w14:paraId="028C4D95">
            <w:pPr>
              <w:pStyle w:val="465"/>
              <w:spacing w:line="240" w:lineRule="auto"/>
              <w:ind w:firstLine="0"/>
              <w:jc w:val="center"/>
              <w:rPr>
                <w:rFonts w:hint="eastAsia" w:ascii="Times New Roman" w:hAnsi="Times New Roman" w:eastAsia="宋体" w:cs="Times New Roman"/>
                <w:bCs/>
                <w:sz w:val="21"/>
                <w:szCs w:val="21"/>
                <w:lang w:val="en-US" w:eastAsia="zh-CN"/>
              </w:rPr>
            </w:pPr>
            <w:r>
              <w:rPr>
                <w:rFonts w:hint="eastAsia" w:ascii="Times New Roman" w:hAnsi="Times New Roman" w:eastAsia="宋体" w:cs="Times New Roman"/>
                <w:bCs/>
                <w:sz w:val="21"/>
                <w:szCs w:val="21"/>
                <w:lang w:val="en-US" w:eastAsia="zh-CN"/>
              </w:rPr>
              <w:t>竖炉窑上料机</w:t>
            </w:r>
          </w:p>
        </w:tc>
        <w:tc>
          <w:tcPr>
            <w:tcW w:w="719" w:type="pct"/>
            <w:noWrap w:val="0"/>
            <w:vAlign w:val="top"/>
          </w:tcPr>
          <w:p w14:paraId="4432EB73">
            <w:pPr>
              <w:pStyle w:val="465"/>
              <w:spacing w:line="240" w:lineRule="auto"/>
              <w:ind w:firstLine="0"/>
              <w:jc w:val="center"/>
              <w:rPr>
                <w:rFonts w:ascii="Times New Roman" w:hAnsi="Times New Roman" w:eastAsia="宋体" w:cs="Times New Roman"/>
                <w:bCs/>
                <w:sz w:val="21"/>
                <w:szCs w:val="21"/>
                <w:lang w:val="en-US" w:eastAsia="zh-CN"/>
              </w:rPr>
            </w:pPr>
            <w:r>
              <w:rPr>
                <w:rFonts w:hint="eastAsia" w:ascii="Times New Roman" w:hAnsi="Times New Roman" w:eastAsia="宋体" w:cs="Times New Roman"/>
                <w:bCs/>
                <w:sz w:val="21"/>
                <w:szCs w:val="21"/>
                <w:lang w:val="en-US" w:eastAsia="zh-CN"/>
              </w:rPr>
              <w:t>1</w:t>
            </w:r>
          </w:p>
        </w:tc>
        <w:tc>
          <w:tcPr>
            <w:tcW w:w="744" w:type="pct"/>
            <w:noWrap w:val="0"/>
            <w:vAlign w:val="center"/>
          </w:tcPr>
          <w:p w14:paraId="3F759C27">
            <w:pPr>
              <w:pStyle w:val="465"/>
              <w:spacing w:line="240" w:lineRule="auto"/>
              <w:ind w:firstLine="0"/>
              <w:jc w:val="center"/>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85</w:t>
            </w:r>
          </w:p>
        </w:tc>
        <w:tc>
          <w:tcPr>
            <w:tcW w:w="1221" w:type="pct"/>
            <w:noWrap w:val="0"/>
            <w:vAlign w:val="center"/>
          </w:tcPr>
          <w:p w14:paraId="2E3E8947">
            <w:pPr>
              <w:widowControl w:val="0"/>
              <w:jc w:val="center"/>
              <w:rPr>
                <w:rFonts w:hint="eastAsia" w:ascii="Times New Roman" w:hAnsi="Times New Roman" w:cs="Times New Roman"/>
                <w:sz w:val="21"/>
                <w:szCs w:val="21"/>
              </w:rPr>
            </w:pPr>
            <w:r>
              <w:rPr>
                <w:rFonts w:hint="eastAsia" w:ascii="Times New Roman" w:hAnsi="Times New Roman" w:cs="Times New Roman"/>
                <w:sz w:val="21"/>
                <w:szCs w:val="21"/>
              </w:rPr>
              <w:t>建筑隔声</w:t>
            </w:r>
          </w:p>
        </w:tc>
        <w:tc>
          <w:tcPr>
            <w:tcW w:w="693" w:type="pct"/>
            <w:noWrap w:val="0"/>
            <w:vAlign w:val="center"/>
          </w:tcPr>
          <w:p w14:paraId="2B3D94D0">
            <w:pPr>
              <w:spacing w:line="240" w:lineRule="auto"/>
              <w:ind w:firstLine="0"/>
              <w:jc w:val="center"/>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25</w:t>
            </w:r>
          </w:p>
        </w:tc>
      </w:tr>
      <w:tr w14:paraId="40C18B3C">
        <w:tblPrEx>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719" w:type="pct"/>
            <w:vMerge w:val="continue"/>
            <w:noWrap w:val="0"/>
            <w:vAlign w:val="center"/>
          </w:tcPr>
          <w:p w14:paraId="71C79BF7">
            <w:pPr>
              <w:widowControl w:val="0"/>
              <w:jc w:val="center"/>
              <w:rPr>
                <w:rFonts w:ascii="Times New Roman" w:hAnsi="Times New Roman" w:cs="Times New Roman"/>
                <w:sz w:val="21"/>
                <w:szCs w:val="21"/>
              </w:rPr>
            </w:pPr>
          </w:p>
        </w:tc>
        <w:tc>
          <w:tcPr>
            <w:tcW w:w="901" w:type="pct"/>
            <w:noWrap w:val="0"/>
            <w:vAlign w:val="top"/>
          </w:tcPr>
          <w:p w14:paraId="7DD1DED9">
            <w:pPr>
              <w:pStyle w:val="465"/>
              <w:spacing w:line="240" w:lineRule="auto"/>
              <w:ind w:firstLine="0"/>
              <w:jc w:val="center"/>
              <w:rPr>
                <w:rFonts w:hint="eastAsia" w:ascii="Times New Roman" w:hAnsi="Times New Roman" w:eastAsia="宋体" w:cs="Times New Roman"/>
                <w:bCs/>
                <w:sz w:val="21"/>
                <w:szCs w:val="21"/>
                <w:lang w:val="en-US" w:eastAsia="zh-CN"/>
              </w:rPr>
            </w:pPr>
            <w:r>
              <w:rPr>
                <w:rFonts w:hint="eastAsia" w:ascii="Times New Roman" w:hAnsi="Times New Roman" w:eastAsia="宋体" w:cs="Times New Roman"/>
                <w:bCs/>
                <w:sz w:val="21"/>
                <w:szCs w:val="21"/>
                <w:lang w:val="en-US" w:eastAsia="zh-CN"/>
              </w:rPr>
              <w:t>振动给料机</w:t>
            </w:r>
          </w:p>
        </w:tc>
        <w:tc>
          <w:tcPr>
            <w:tcW w:w="719" w:type="pct"/>
            <w:noWrap w:val="0"/>
            <w:vAlign w:val="top"/>
          </w:tcPr>
          <w:p w14:paraId="31213693">
            <w:pPr>
              <w:pStyle w:val="465"/>
              <w:spacing w:line="240" w:lineRule="auto"/>
              <w:ind w:firstLine="0"/>
              <w:jc w:val="center"/>
              <w:rPr>
                <w:rFonts w:ascii="Times New Roman" w:hAnsi="Times New Roman" w:eastAsia="宋体" w:cs="Times New Roman"/>
                <w:bCs/>
                <w:sz w:val="21"/>
                <w:szCs w:val="21"/>
                <w:lang w:val="en-US" w:eastAsia="zh-CN"/>
              </w:rPr>
            </w:pPr>
            <w:r>
              <w:rPr>
                <w:rFonts w:hint="eastAsia" w:ascii="Times New Roman" w:hAnsi="Times New Roman" w:eastAsia="宋体" w:cs="Times New Roman"/>
                <w:bCs/>
                <w:sz w:val="21"/>
                <w:szCs w:val="21"/>
                <w:lang w:val="en-US" w:eastAsia="zh-CN"/>
              </w:rPr>
              <w:t>1</w:t>
            </w:r>
          </w:p>
        </w:tc>
        <w:tc>
          <w:tcPr>
            <w:tcW w:w="744" w:type="pct"/>
            <w:noWrap w:val="0"/>
            <w:vAlign w:val="center"/>
          </w:tcPr>
          <w:p w14:paraId="721CF003">
            <w:pPr>
              <w:pStyle w:val="465"/>
              <w:spacing w:line="240" w:lineRule="auto"/>
              <w:ind w:firstLine="0"/>
              <w:jc w:val="center"/>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85</w:t>
            </w:r>
          </w:p>
        </w:tc>
        <w:tc>
          <w:tcPr>
            <w:tcW w:w="1221" w:type="pct"/>
            <w:noWrap w:val="0"/>
            <w:vAlign w:val="center"/>
          </w:tcPr>
          <w:p w14:paraId="2320915D">
            <w:pPr>
              <w:widowControl w:val="0"/>
              <w:jc w:val="center"/>
              <w:rPr>
                <w:rFonts w:hint="eastAsia" w:ascii="Times New Roman" w:hAnsi="Times New Roman" w:cs="Times New Roman"/>
                <w:sz w:val="21"/>
                <w:szCs w:val="21"/>
              </w:rPr>
            </w:pPr>
            <w:r>
              <w:rPr>
                <w:rFonts w:hint="eastAsia" w:ascii="Times New Roman" w:hAnsi="Times New Roman" w:cs="Times New Roman"/>
                <w:sz w:val="21"/>
                <w:szCs w:val="21"/>
              </w:rPr>
              <w:t>建筑隔声</w:t>
            </w:r>
          </w:p>
        </w:tc>
        <w:tc>
          <w:tcPr>
            <w:tcW w:w="693" w:type="pct"/>
            <w:noWrap w:val="0"/>
            <w:vAlign w:val="center"/>
          </w:tcPr>
          <w:p w14:paraId="29D74761">
            <w:pPr>
              <w:spacing w:line="240" w:lineRule="auto"/>
              <w:ind w:firstLine="0"/>
              <w:jc w:val="center"/>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25</w:t>
            </w:r>
          </w:p>
        </w:tc>
      </w:tr>
      <w:tr w14:paraId="38958A45">
        <w:tblPrEx>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719" w:type="pct"/>
            <w:vMerge w:val="continue"/>
            <w:noWrap w:val="0"/>
            <w:vAlign w:val="center"/>
          </w:tcPr>
          <w:p w14:paraId="1A979211">
            <w:pPr>
              <w:widowControl w:val="0"/>
              <w:jc w:val="center"/>
              <w:rPr>
                <w:rFonts w:ascii="Times New Roman" w:hAnsi="Times New Roman" w:cs="Times New Roman"/>
                <w:sz w:val="21"/>
                <w:szCs w:val="21"/>
              </w:rPr>
            </w:pPr>
          </w:p>
        </w:tc>
        <w:tc>
          <w:tcPr>
            <w:tcW w:w="901" w:type="pct"/>
            <w:noWrap w:val="0"/>
            <w:vAlign w:val="top"/>
          </w:tcPr>
          <w:p w14:paraId="36383047">
            <w:pPr>
              <w:pStyle w:val="465"/>
              <w:spacing w:line="240" w:lineRule="auto"/>
              <w:ind w:firstLine="0"/>
              <w:jc w:val="center"/>
              <w:rPr>
                <w:rFonts w:hint="eastAsia" w:ascii="Times New Roman" w:hAnsi="Times New Roman" w:eastAsia="宋体" w:cs="Times New Roman"/>
                <w:bCs/>
                <w:sz w:val="21"/>
                <w:szCs w:val="21"/>
                <w:lang w:val="en-US" w:eastAsia="zh-CN"/>
              </w:rPr>
            </w:pPr>
            <w:r>
              <w:rPr>
                <w:rFonts w:hint="eastAsia" w:ascii="Times New Roman" w:hAnsi="Times New Roman" w:eastAsia="宋体" w:cs="Times New Roman"/>
                <w:bCs/>
                <w:sz w:val="21"/>
                <w:szCs w:val="21"/>
                <w:lang w:val="en-US" w:eastAsia="zh-CN"/>
              </w:rPr>
              <w:t>振动筛</w:t>
            </w:r>
          </w:p>
        </w:tc>
        <w:tc>
          <w:tcPr>
            <w:tcW w:w="719" w:type="pct"/>
            <w:noWrap w:val="0"/>
            <w:vAlign w:val="top"/>
          </w:tcPr>
          <w:p w14:paraId="3BD84DFF">
            <w:pPr>
              <w:pStyle w:val="465"/>
              <w:spacing w:line="240" w:lineRule="auto"/>
              <w:ind w:firstLine="0"/>
              <w:jc w:val="center"/>
              <w:rPr>
                <w:rFonts w:ascii="Times New Roman" w:hAnsi="Times New Roman" w:eastAsia="宋体" w:cs="Times New Roman"/>
                <w:bCs/>
                <w:sz w:val="21"/>
                <w:szCs w:val="21"/>
                <w:lang w:val="en-US" w:eastAsia="zh-CN"/>
              </w:rPr>
            </w:pPr>
            <w:r>
              <w:rPr>
                <w:rFonts w:hint="eastAsia" w:ascii="Times New Roman" w:hAnsi="Times New Roman" w:eastAsia="宋体" w:cs="Times New Roman"/>
                <w:bCs/>
                <w:sz w:val="21"/>
                <w:szCs w:val="21"/>
                <w:lang w:val="en-US" w:eastAsia="zh-CN"/>
              </w:rPr>
              <w:t>1</w:t>
            </w:r>
          </w:p>
        </w:tc>
        <w:tc>
          <w:tcPr>
            <w:tcW w:w="744" w:type="pct"/>
            <w:noWrap w:val="0"/>
            <w:vAlign w:val="center"/>
          </w:tcPr>
          <w:p w14:paraId="3740D967">
            <w:pPr>
              <w:pStyle w:val="465"/>
              <w:spacing w:line="240" w:lineRule="auto"/>
              <w:ind w:firstLine="0"/>
              <w:jc w:val="center"/>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95</w:t>
            </w:r>
          </w:p>
        </w:tc>
        <w:tc>
          <w:tcPr>
            <w:tcW w:w="1221" w:type="pct"/>
            <w:noWrap w:val="0"/>
            <w:vAlign w:val="center"/>
          </w:tcPr>
          <w:p w14:paraId="1513E0F9">
            <w:pPr>
              <w:widowControl w:val="0"/>
              <w:jc w:val="center"/>
              <w:rPr>
                <w:rFonts w:hint="eastAsia" w:ascii="Times New Roman" w:hAnsi="Times New Roman" w:cs="Times New Roman"/>
                <w:sz w:val="21"/>
                <w:szCs w:val="21"/>
              </w:rPr>
            </w:pPr>
            <w:r>
              <w:rPr>
                <w:rFonts w:hint="eastAsia" w:ascii="Times New Roman" w:hAnsi="Times New Roman" w:cs="Times New Roman"/>
                <w:sz w:val="21"/>
                <w:szCs w:val="21"/>
              </w:rPr>
              <w:t>建筑隔声</w:t>
            </w:r>
          </w:p>
        </w:tc>
        <w:tc>
          <w:tcPr>
            <w:tcW w:w="693" w:type="pct"/>
            <w:noWrap w:val="0"/>
            <w:vAlign w:val="center"/>
          </w:tcPr>
          <w:p w14:paraId="53E60236">
            <w:pPr>
              <w:spacing w:line="240" w:lineRule="auto"/>
              <w:ind w:firstLine="0"/>
              <w:jc w:val="center"/>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25</w:t>
            </w:r>
          </w:p>
        </w:tc>
      </w:tr>
      <w:tr w14:paraId="5F5B05F0">
        <w:tblPrEx>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719" w:type="pct"/>
            <w:vMerge w:val="continue"/>
            <w:noWrap w:val="0"/>
            <w:vAlign w:val="center"/>
          </w:tcPr>
          <w:p w14:paraId="3D46ED8D">
            <w:pPr>
              <w:widowControl w:val="0"/>
              <w:jc w:val="center"/>
              <w:rPr>
                <w:rFonts w:ascii="Times New Roman" w:hAnsi="Times New Roman" w:cs="Times New Roman"/>
                <w:sz w:val="21"/>
                <w:szCs w:val="21"/>
              </w:rPr>
            </w:pPr>
          </w:p>
        </w:tc>
        <w:tc>
          <w:tcPr>
            <w:tcW w:w="901" w:type="pct"/>
            <w:noWrap w:val="0"/>
            <w:vAlign w:val="top"/>
          </w:tcPr>
          <w:p w14:paraId="1932024C">
            <w:pPr>
              <w:pStyle w:val="465"/>
              <w:spacing w:line="240" w:lineRule="auto"/>
              <w:ind w:firstLine="0"/>
              <w:jc w:val="center"/>
              <w:rPr>
                <w:rFonts w:hint="eastAsia" w:ascii="Times New Roman" w:hAnsi="Times New Roman" w:eastAsia="宋体" w:cs="Times New Roman"/>
                <w:bCs/>
                <w:sz w:val="21"/>
                <w:szCs w:val="21"/>
                <w:lang w:val="en-US" w:eastAsia="zh-CN"/>
              </w:rPr>
            </w:pPr>
            <w:r>
              <w:rPr>
                <w:rFonts w:hint="eastAsia" w:ascii="Times New Roman" w:hAnsi="Times New Roman" w:eastAsia="宋体" w:cs="Times New Roman"/>
                <w:bCs/>
                <w:sz w:val="21"/>
                <w:szCs w:val="21"/>
                <w:lang w:val="en-US" w:eastAsia="zh-CN"/>
              </w:rPr>
              <w:t>主排风机</w:t>
            </w:r>
          </w:p>
        </w:tc>
        <w:tc>
          <w:tcPr>
            <w:tcW w:w="719" w:type="pct"/>
            <w:noWrap w:val="0"/>
            <w:vAlign w:val="top"/>
          </w:tcPr>
          <w:p w14:paraId="1000EBC7">
            <w:pPr>
              <w:pStyle w:val="465"/>
              <w:spacing w:line="240" w:lineRule="auto"/>
              <w:ind w:firstLine="0"/>
              <w:jc w:val="center"/>
              <w:rPr>
                <w:rFonts w:hint="eastAsia" w:ascii="Times New Roman" w:hAnsi="Times New Roman" w:eastAsia="宋体" w:cs="Times New Roman"/>
                <w:bCs/>
                <w:sz w:val="21"/>
                <w:szCs w:val="21"/>
                <w:lang w:val="en-US" w:eastAsia="zh-CN"/>
              </w:rPr>
            </w:pPr>
            <w:r>
              <w:rPr>
                <w:rFonts w:hint="eastAsia" w:ascii="Times New Roman" w:hAnsi="Times New Roman" w:eastAsia="宋体" w:cs="Times New Roman"/>
                <w:bCs/>
                <w:sz w:val="21"/>
                <w:szCs w:val="21"/>
                <w:lang w:val="en-US" w:eastAsia="zh-CN"/>
              </w:rPr>
              <w:t>1</w:t>
            </w:r>
          </w:p>
        </w:tc>
        <w:tc>
          <w:tcPr>
            <w:tcW w:w="744" w:type="pct"/>
            <w:noWrap w:val="0"/>
            <w:vAlign w:val="top"/>
          </w:tcPr>
          <w:p w14:paraId="4CD2465C">
            <w:pPr>
              <w:pStyle w:val="465"/>
              <w:spacing w:line="240" w:lineRule="auto"/>
              <w:ind w:firstLine="0"/>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105</w:t>
            </w:r>
          </w:p>
        </w:tc>
        <w:tc>
          <w:tcPr>
            <w:tcW w:w="1221" w:type="pct"/>
            <w:noWrap w:val="0"/>
            <w:vAlign w:val="center"/>
          </w:tcPr>
          <w:p w14:paraId="714EFD78">
            <w:pPr>
              <w:widowControl w:val="0"/>
              <w:jc w:val="center"/>
              <w:rPr>
                <w:rFonts w:hint="eastAsia" w:ascii="Times New Roman" w:hAnsi="Times New Roman" w:cs="Times New Roman"/>
                <w:sz w:val="21"/>
                <w:szCs w:val="21"/>
              </w:rPr>
            </w:pPr>
            <w:r>
              <w:rPr>
                <w:rFonts w:hint="eastAsia" w:ascii="Times New Roman" w:hAnsi="Times New Roman" w:cs="Times New Roman"/>
                <w:sz w:val="21"/>
                <w:szCs w:val="21"/>
              </w:rPr>
              <w:t>建筑隔声</w:t>
            </w:r>
          </w:p>
        </w:tc>
        <w:tc>
          <w:tcPr>
            <w:tcW w:w="693" w:type="pct"/>
            <w:noWrap w:val="0"/>
            <w:vAlign w:val="center"/>
          </w:tcPr>
          <w:p w14:paraId="45A67BDD">
            <w:pPr>
              <w:spacing w:line="240" w:lineRule="auto"/>
              <w:ind w:firstLine="0"/>
              <w:jc w:val="center"/>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25</w:t>
            </w:r>
          </w:p>
        </w:tc>
      </w:tr>
      <w:tr w14:paraId="57B93FD9">
        <w:tblPrEx>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719" w:type="pct"/>
            <w:vMerge w:val="continue"/>
            <w:noWrap w:val="0"/>
            <w:vAlign w:val="center"/>
          </w:tcPr>
          <w:p w14:paraId="4FEE77A5">
            <w:pPr>
              <w:widowControl w:val="0"/>
              <w:jc w:val="center"/>
              <w:rPr>
                <w:rFonts w:ascii="Times New Roman" w:hAnsi="Times New Roman" w:cs="Times New Roman"/>
                <w:sz w:val="21"/>
                <w:szCs w:val="21"/>
              </w:rPr>
            </w:pPr>
          </w:p>
        </w:tc>
        <w:tc>
          <w:tcPr>
            <w:tcW w:w="901" w:type="pct"/>
            <w:noWrap w:val="0"/>
            <w:vAlign w:val="top"/>
          </w:tcPr>
          <w:p w14:paraId="382008E2">
            <w:pPr>
              <w:pStyle w:val="465"/>
              <w:spacing w:line="240" w:lineRule="auto"/>
              <w:ind w:firstLine="0"/>
              <w:jc w:val="center"/>
              <w:rPr>
                <w:rFonts w:hint="eastAsia" w:ascii="Times New Roman" w:hAnsi="Times New Roman" w:eastAsia="宋体" w:cs="Times New Roman"/>
                <w:bCs/>
                <w:sz w:val="21"/>
                <w:szCs w:val="21"/>
                <w:lang w:val="en-US" w:eastAsia="zh-CN"/>
              </w:rPr>
            </w:pPr>
            <w:r>
              <w:rPr>
                <w:rFonts w:hint="eastAsia" w:ascii="Times New Roman" w:hAnsi="Times New Roman" w:eastAsia="宋体" w:cs="Times New Roman"/>
                <w:bCs/>
                <w:sz w:val="21"/>
                <w:szCs w:val="21"/>
                <w:lang w:val="en-US" w:eastAsia="zh-CN"/>
              </w:rPr>
              <w:t>竖冷窑风机</w:t>
            </w:r>
          </w:p>
        </w:tc>
        <w:tc>
          <w:tcPr>
            <w:tcW w:w="719" w:type="pct"/>
            <w:noWrap w:val="0"/>
            <w:vAlign w:val="top"/>
          </w:tcPr>
          <w:p w14:paraId="04671106">
            <w:pPr>
              <w:pStyle w:val="465"/>
              <w:spacing w:line="240" w:lineRule="auto"/>
              <w:ind w:firstLine="0"/>
              <w:jc w:val="center"/>
              <w:rPr>
                <w:rFonts w:hint="eastAsia" w:ascii="Times New Roman" w:hAnsi="Times New Roman" w:eastAsia="宋体" w:cs="Times New Roman"/>
                <w:bCs/>
                <w:sz w:val="21"/>
                <w:szCs w:val="21"/>
                <w:lang w:val="en-US" w:eastAsia="zh-CN"/>
              </w:rPr>
            </w:pPr>
            <w:r>
              <w:rPr>
                <w:rFonts w:hint="eastAsia" w:ascii="Times New Roman" w:hAnsi="Times New Roman" w:eastAsia="宋体" w:cs="Times New Roman"/>
                <w:bCs/>
                <w:sz w:val="21"/>
                <w:szCs w:val="21"/>
                <w:lang w:val="en-US" w:eastAsia="zh-CN"/>
              </w:rPr>
              <w:t>1</w:t>
            </w:r>
          </w:p>
        </w:tc>
        <w:tc>
          <w:tcPr>
            <w:tcW w:w="744" w:type="pct"/>
            <w:noWrap w:val="0"/>
            <w:vAlign w:val="top"/>
          </w:tcPr>
          <w:p w14:paraId="2142CC2C">
            <w:pPr>
              <w:pStyle w:val="465"/>
              <w:spacing w:line="240" w:lineRule="auto"/>
              <w:ind w:firstLine="0"/>
              <w:jc w:val="center"/>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90</w:t>
            </w:r>
          </w:p>
        </w:tc>
        <w:tc>
          <w:tcPr>
            <w:tcW w:w="1221" w:type="pct"/>
            <w:noWrap w:val="0"/>
            <w:vAlign w:val="center"/>
          </w:tcPr>
          <w:p w14:paraId="164A8066">
            <w:pPr>
              <w:widowControl w:val="0"/>
              <w:jc w:val="center"/>
              <w:rPr>
                <w:rFonts w:hint="eastAsia" w:ascii="Times New Roman" w:hAnsi="Times New Roman" w:cs="Times New Roman"/>
                <w:sz w:val="21"/>
                <w:szCs w:val="21"/>
              </w:rPr>
            </w:pPr>
            <w:r>
              <w:rPr>
                <w:rFonts w:hint="eastAsia" w:ascii="Times New Roman" w:hAnsi="Times New Roman" w:cs="Times New Roman"/>
                <w:sz w:val="21"/>
                <w:szCs w:val="21"/>
              </w:rPr>
              <w:t>建筑隔声</w:t>
            </w:r>
          </w:p>
        </w:tc>
        <w:tc>
          <w:tcPr>
            <w:tcW w:w="693" w:type="pct"/>
            <w:noWrap w:val="0"/>
            <w:vAlign w:val="center"/>
          </w:tcPr>
          <w:p w14:paraId="47D13D19">
            <w:pPr>
              <w:spacing w:line="240" w:lineRule="auto"/>
              <w:ind w:firstLine="0"/>
              <w:jc w:val="center"/>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25</w:t>
            </w:r>
          </w:p>
        </w:tc>
      </w:tr>
      <w:tr w14:paraId="2A74ACD8">
        <w:tblPrEx>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719" w:type="pct"/>
            <w:vMerge w:val="continue"/>
            <w:noWrap w:val="0"/>
            <w:vAlign w:val="center"/>
          </w:tcPr>
          <w:p w14:paraId="78441360">
            <w:pPr>
              <w:widowControl w:val="0"/>
              <w:jc w:val="center"/>
              <w:rPr>
                <w:rFonts w:ascii="Times New Roman" w:hAnsi="Times New Roman" w:cs="Times New Roman"/>
                <w:sz w:val="21"/>
                <w:szCs w:val="21"/>
              </w:rPr>
            </w:pPr>
          </w:p>
        </w:tc>
        <w:tc>
          <w:tcPr>
            <w:tcW w:w="901" w:type="pct"/>
            <w:noWrap w:val="0"/>
            <w:vAlign w:val="top"/>
          </w:tcPr>
          <w:p w14:paraId="0C74ADBA">
            <w:pPr>
              <w:pStyle w:val="465"/>
              <w:spacing w:line="240" w:lineRule="auto"/>
              <w:ind w:firstLine="0"/>
              <w:jc w:val="center"/>
              <w:rPr>
                <w:rFonts w:hint="eastAsia" w:ascii="Times New Roman" w:hAnsi="Times New Roman" w:eastAsia="宋体" w:cs="Times New Roman"/>
                <w:bCs/>
                <w:sz w:val="21"/>
                <w:szCs w:val="21"/>
                <w:lang w:val="en-US" w:eastAsia="zh-CN"/>
              </w:rPr>
            </w:pPr>
            <w:r>
              <w:rPr>
                <w:rFonts w:hint="eastAsia" w:ascii="Times New Roman" w:hAnsi="Times New Roman" w:eastAsia="宋体" w:cs="Times New Roman"/>
                <w:bCs/>
                <w:sz w:val="21"/>
                <w:szCs w:val="21"/>
                <w:lang w:val="en-US" w:eastAsia="zh-CN"/>
              </w:rPr>
              <w:t>除尘风机</w:t>
            </w:r>
          </w:p>
        </w:tc>
        <w:tc>
          <w:tcPr>
            <w:tcW w:w="719" w:type="pct"/>
            <w:noWrap w:val="0"/>
            <w:vAlign w:val="top"/>
          </w:tcPr>
          <w:p w14:paraId="17AE4312">
            <w:pPr>
              <w:pStyle w:val="465"/>
              <w:spacing w:line="240" w:lineRule="auto"/>
              <w:ind w:firstLine="0"/>
              <w:jc w:val="center"/>
              <w:rPr>
                <w:rFonts w:hint="eastAsia" w:ascii="Times New Roman" w:hAnsi="Times New Roman" w:eastAsia="宋体" w:cs="Times New Roman"/>
                <w:bCs/>
                <w:sz w:val="21"/>
                <w:szCs w:val="21"/>
                <w:lang w:val="en-US" w:eastAsia="zh-CN"/>
              </w:rPr>
            </w:pPr>
            <w:r>
              <w:rPr>
                <w:rFonts w:hint="eastAsia" w:ascii="Times New Roman" w:hAnsi="Times New Roman" w:eastAsia="宋体" w:cs="Times New Roman"/>
                <w:bCs/>
                <w:sz w:val="21"/>
                <w:szCs w:val="21"/>
                <w:lang w:val="en-US" w:eastAsia="zh-CN"/>
              </w:rPr>
              <w:t>1</w:t>
            </w:r>
          </w:p>
        </w:tc>
        <w:tc>
          <w:tcPr>
            <w:tcW w:w="744" w:type="pct"/>
            <w:noWrap w:val="0"/>
            <w:vAlign w:val="top"/>
          </w:tcPr>
          <w:p w14:paraId="58E315AE">
            <w:pPr>
              <w:pStyle w:val="465"/>
              <w:spacing w:line="240" w:lineRule="auto"/>
              <w:ind w:firstLine="0"/>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90</w:t>
            </w:r>
          </w:p>
        </w:tc>
        <w:tc>
          <w:tcPr>
            <w:tcW w:w="1221" w:type="pct"/>
            <w:noWrap w:val="0"/>
            <w:vAlign w:val="center"/>
          </w:tcPr>
          <w:p w14:paraId="278C821C">
            <w:pPr>
              <w:widowControl w:val="0"/>
              <w:jc w:val="center"/>
              <w:rPr>
                <w:rFonts w:hint="eastAsia" w:ascii="Times New Roman" w:hAnsi="Times New Roman" w:cs="Times New Roman"/>
                <w:sz w:val="21"/>
                <w:szCs w:val="21"/>
              </w:rPr>
            </w:pPr>
            <w:r>
              <w:rPr>
                <w:rFonts w:hint="eastAsia" w:ascii="Times New Roman" w:hAnsi="Times New Roman" w:cs="Times New Roman"/>
                <w:sz w:val="21"/>
                <w:szCs w:val="21"/>
              </w:rPr>
              <w:t>建筑隔声</w:t>
            </w:r>
          </w:p>
        </w:tc>
        <w:tc>
          <w:tcPr>
            <w:tcW w:w="693" w:type="pct"/>
            <w:noWrap w:val="0"/>
            <w:vAlign w:val="center"/>
          </w:tcPr>
          <w:p w14:paraId="77F3635D">
            <w:pPr>
              <w:spacing w:line="240" w:lineRule="auto"/>
              <w:ind w:firstLine="0"/>
              <w:jc w:val="center"/>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25</w:t>
            </w:r>
          </w:p>
        </w:tc>
      </w:tr>
    </w:tbl>
    <w:p w14:paraId="0D985CC0">
      <w:pPr>
        <w:pStyle w:val="7"/>
      </w:pPr>
      <w:bookmarkStart w:id="470" w:name="_Toc24341"/>
      <w:r>
        <w:rPr>
          <w:rFonts w:hint="eastAsia"/>
          <w:lang w:eastAsia="zh-CN"/>
        </w:rPr>
        <w:t>5</w:t>
      </w:r>
      <w:r>
        <w:t xml:space="preserve">.2.2 </w:t>
      </w:r>
      <w:bookmarkEnd w:id="465"/>
      <w:bookmarkEnd w:id="466"/>
      <w:bookmarkEnd w:id="467"/>
      <w:bookmarkEnd w:id="468"/>
      <w:r>
        <w:t>预测点与评价标准</w:t>
      </w:r>
      <w:bookmarkEnd w:id="469"/>
      <w:bookmarkEnd w:id="470"/>
    </w:p>
    <w:p w14:paraId="6F4C2DF6">
      <w:pPr>
        <w:spacing w:line="500" w:lineRule="exact"/>
        <w:ind w:firstLine="482" w:firstLineChars="200"/>
        <w:rPr>
          <w:rFonts w:ascii="Times New Roman" w:hAnsi="Times New Roman" w:cs="Times New Roman"/>
          <w:b/>
        </w:rPr>
      </w:pPr>
      <w:bookmarkStart w:id="471" w:name="_Toc151200141"/>
      <w:bookmarkStart w:id="472" w:name="_Toc151258775"/>
      <w:bookmarkStart w:id="473" w:name="_Toc151276194"/>
      <w:bookmarkStart w:id="474" w:name="_Toc151200301"/>
      <w:r>
        <w:rPr>
          <w:rFonts w:ascii="Times New Roman" w:hAnsi="Times New Roman" w:cs="Times New Roman"/>
          <w:b/>
        </w:rPr>
        <w:t>（1）预测点</w:t>
      </w:r>
    </w:p>
    <w:p w14:paraId="5FCBF7F9">
      <w:pPr>
        <w:spacing w:line="500" w:lineRule="exact"/>
        <w:ind w:firstLine="480" w:firstLineChars="200"/>
        <w:rPr>
          <w:rFonts w:ascii="Times New Roman" w:hAnsi="Times New Roman" w:cs="Times New Roman"/>
        </w:rPr>
      </w:pPr>
      <w:r>
        <w:rPr>
          <w:rFonts w:ascii="Times New Roman" w:hAnsi="Times New Roman" w:cs="Times New Roman"/>
        </w:rPr>
        <w:t>本次评价选取厂区东、南、西、北四个厂界作为预测点，与声环境质量现状监测点位一致。</w:t>
      </w:r>
    </w:p>
    <w:p w14:paraId="2AA4F084">
      <w:pPr>
        <w:spacing w:line="460" w:lineRule="exact"/>
        <w:ind w:firstLine="482" w:firstLineChars="200"/>
        <w:rPr>
          <w:rFonts w:ascii="Times New Roman" w:hAnsi="Times New Roman" w:cs="Times New Roman"/>
          <w:b/>
        </w:rPr>
      </w:pPr>
      <w:r>
        <w:rPr>
          <w:rFonts w:ascii="Times New Roman" w:hAnsi="Times New Roman" w:cs="Times New Roman"/>
          <w:b/>
        </w:rPr>
        <w:t>（2）评价标准</w:t>
      </w:r>
    </w:p>
    <w:p w14:paraId="3ECEE629">
      <w:pPr>
        <w:spacing w:line="500" w:lineRule="exact"/>
        <w:ind w:firstLine="482"/>
        <w:jc w:val="both"/>
        <w:rPr>
          <w:rFonts w:hint="eastAsia" w:ascii="Times New Roman" w:hAnsi="Times New Roman" w:cs="Times New Roman"/>
        </w:rPr>
      </w:pPr>
      <w:r>
        <w:rPr>
          <w:rFonts w:ascii="Times New Roman" w:hAnsi="Times New Roman" w:cs="Times New Roman"/>
          <w:highlight w:val="none"/>
        </w:rPr>
        <w:t>本次评价</w:t>
      </w:r>
      <w:r>
        <w:rPr>
          <w:rFonts w:hint="eastAsia" w:ascii="Times New Roman" w:hAnsi="Times New Roman" w:cs="Times New Roman"/>
          <w:highlight w:val="none"/>
        </w:rPr>
        <w:t>厂界</w:t>
      </w:r>
      <w:r>
        <w:rPr>
          <w:rFonts w:hint="eastAsia" w:ascii="Times New Roman" w:hAnsi="Times New Roman" w:cs="Times New Roman"/>
        </w:rPr>
        <w:t>东侧，西侧，北侧噪声值满足《工业企业厂界环境噪声排放标准(GB12348-2008)》中2类标准(2类：昼间60dB(A)，夜间50dB(A))要求。厂界南侧噪声值满足《工业企业厂界环境噪声排放标准(GB12348-2008)》中4类标准(4类：昼间70dB(A)，夜间55dB(A))要求</w:t>
      </w:r>
      <w:r>
        <w:rPr>
          <w:rFonts w:ascii="Times New Roman" w:hAnsi="Times New Roman" w:cs="Times New Roman"/>
        </w:rPr>
        <w:t>。</w:t>
      </w:r>
    </w:p>
    <w:p w14:paraId="3C1CE030">
      <w:pPr>
        <w:pStyle w:val="7"/>
      </w:pPr>
      <w:bookmarkStart w:id="475" w:name="_Toc90026305"/>
      <w:bookmarkStart w:id="476" w:name="_Toc27441"/>
      <w:r>
        <w:rPr>
          <w:rFonts w:hint="eastAsia"/>
          <w:lang w:eastAsia="zh-CN"/>
        </w:rPr>
        <w:t>5</w:t>
      </w:r>
      <w:r>
        <w:t>.2.3 预测</w:t>
      </w:r>
      <w:bookmarkEnd w:id="471"/>
      <w:bookmarkEnd w:id="472"/>
      <w:bookmarkEnd w:id="473"/>
      <w:bookmarkEnd w:id="474"/>
      <w:r>
        <w:t>内容及模式</w:t>
      </w:r>
      <w:bookmarkEnd w:id="475"/>
      <w:bookmarkEnd w:id="476"/>
    </w:p>
    <w:p w14:paraId="5D66322E">
      <w:pPr>
        <w:adjustRightInd w:val="0"/>
        <w:spacing w:line="500" w:lineRule="exact"/>
        <w:ind w:firstLine="470" w:firstLineChars="196"/>
        <w:jc w:val="both"/>
        <w:rPr>
          <w:rFonts w:hint="eastAsia" w:ascii="Times New Roman" w:hAnsi="Times New Roman" w:eastAsia="宋体" w:cs="Times New Roman"/>
        </w:rPr>
      </w:pPr>
      <w:bookmarkStart w:id="477" w:name="_Toc151200140"/>
      <w:bookmarkStart w:id="478" w:name="_Toc151276193"/>
      <w:bookmarkStart w:id="479" w:name="_Toc151258774"/>
      <w:bookmarkStart w:id="480" w:name="_Toc151200300"/>
      <w:r>
        <w:rPr>
          <w:rFonts w:hint="eastAsia" w:ascii="Times New Roman" w:hAnsi="Times New Roman" w:eastAsia="宋体" w:cs="Times New Roman"/>
        </w:rPr>
        <w:t>预测模式采用《环境影响评价技术导则声环境》（HJ2.4-2021）中推荐的模型，应用过程中将根据具体情况做必要简化。</w:t>
      </w:r>
    </w:p>
    <w:p w14:paraId="12B1A9F3">
      <w:pPr>
        <w:adjustRightInd w:val="0"/>
        <w:spacing w:line="240" w:lineRule="auto"/>
        <w:ind w:firstLine="470" w:firstLineChars="196"/>
        <w:jc w:val="both"/>
        <w:rPr>
          <w:rFonts w:hint="eastAsia" w:ascii="Times New Roman" w:hAnsi="Times New Roman" w:eastAsia="宋体" w:cs="Times New Roman"/>
        </w:rPr>
      </w:pPr>
      <w:r>
        <w:rPr>
          <w:rFonts w:hint="eastAsia" w:ascii="Times New Roman" w:hAnsi="Times New Roman" w:eastAsia="宋体" w:cs="Times New Roman"/>
        </w:rPr>
        <w:t>（1）预测模式</w:t>
      </w:r>
    </w:p>
    <w:p w14:paraId="0A4BA17A">
      <w:pPr>
        <w:adjustRightInd w:val="0"/>
        <w:spacing w:line="240" w:lineRule="auto"/>
        <w:ind w:firstLine="470" w:firstLineChars="196"/>
        <w:jc w:val="both"/>
        <w:rPr>
          <w:rFonts w:hint="eastAsia" w:ascii="Times New Roman" w:hAnsi="Times New Roman" w:eastAsia="宋体" w:cs="Times New Roman"/>
        </w:rPr>
      </w:pPr>
      <w:r>
        <w:rPr>
          <w:rFonts w:hint="eastAsia" w:ascii="Times New Roman" w:hAnsi="Times New Roman" w:eastAsia="宋体" w:cs="Times New Roman"/>
        </w:rPr>
        <w:t>①无指向性点声源几何发散衰减</w:t>
      </w:r>
    </w:p>
    <w:p w14:paraId="67DE0171">
      <w:pPr>
        <w:adjustRightInd w:val="0"/>
        <w:spacing w:line="500" w:lineRule="exact"/>
        <w:ind w:firstLine="470" w:firstLineChars="196"/>
        <w:jc w:val="both"/>
        <w:rPr>
          <w:rFonts w:hint="eastAsia" w:ascii="Times New Roman" w:hAnsi="Times New Roman" w:eastAsia="宋体" w:cs="Times New Roman"/>
        </w:rPr>
      </w:pPr>
      <w:r>
        <w:rPr>
          <w:rFonts w:hint="eastAsia" w:ascii="Times New Roman" w:hAnsi="Times New Roman" w:eastAsia="宋体" w:cs="Times New Roman"/>
        </w:rPr>
        <w:t>无指向性点声源几何发散衰减的基本公式是：</w:t>
      </w:r>
    </w:p>
    <w:p w14:paraId="645FB3CD">
      <w:pPr>
        <w:adjustRightInd w:val="0"/>
        <w:spacing w:line="500" w:lineRule="exact"/>
        <w:ind w:firstLine="470" w:firstLineChars="196"/>
        <w:jc w:val="center"/>
        <w:rPr>
          <w:rFonts w:hint="default" w:ascii="Times New Roman" w:hAnsi="Times New Roman" w:eastAsia="宋体" w:cs="Times New Roman"/>
        </w:rPr>
      </w:pPr>
      <w:r>
        <w:rPr>
          <w:rFonts w:hint="default" w:ascii="Times New Roman" w:hAnsi="Times New Roman" w:eastAsia="宋体" w:cs="Times New Roman"/>
        </w:rPr>
        <w:t>Lp</w:t>
      </w:r>
      <w:r>
        <w:rPr>
          <w:rFonts w:hint="eastAsia" w:ascii="Times New Roman" w:hAnsi="Times New Roman" w:eastAsia="宋体" w:cs="Times New Roman"/>
        </w:rPr>
        <w:t>（</w:t>
      </w:r>
      <w:r>
        <w:rPr>
          <w:rFonts w:hint="default" w:ascii="Times New Roman" w:hAnsi="Times New Roman" w:eastAsia="宋体" w:cs="Times New Roman"/>
        </w:rPr>
        <w:t>r</w:t>
      </w:r>
      <w:r>
        <w:rPr>
          <w:rFonts w:hint="eastAsia" w:ascii="Times New Roman" w:hAnsi="Times New Roman" w:eastAsia="宋体" w:cs="Times New Roman"/>
        </w:rPr>
        <w:t>）</w:t>
      </w:r>
      <w:r>
        <w:rPr>
          <w:rFonts w:hint="default" w:ascii="Times New Roman" w:hAnsi="Times New Roman" w:eastAsia="宋体" w:cs="Times New Roman"/>
        </w:rPr>
        <w:t>=Lp</w:t>
      </w:r>
      <w:r>
        <w:rPr>
          <w:rFonts w:hint="eastAsia" w:ascii="Times New Roman" w:hAnsi="Times New Roman" w:eastAsia="宋体" w:cs="Times New Roman"/>
        </w:rPr>
        <w:t>（</w:t>
      </w:r>
      <w:r>
        <w:rPr>
          <w:rFonts w:hint="default" w:ascii="Times New Roman" w:hAnsi="Times New Roman" w:eastAsia="宋体" w:cs="Times New Roman"/>
        </w:rPr>
        <w:t>r0</w:t>
      </w:r>
      <w:r>
        <w:rPr>
          <w:rFonts w:hint="eastAsia" w:ascii="Times New Roman" w:hAnsi="Times New Roman" w:eastAsia="宋体" w:cs="Times New Roman"/>
        </w:rPr>
        <w:t>）</w:t>
      </w:r>
      <w:r>
        <w:rPr>
          <w:rFonts w:hint="default" w:ascii="Times New Roman" w:hAnsi="Times New Roman" w:eastAsia="宋体" w:cs="Times New Roman"/>
        </w:rPr>
        <w:t>-20lg(r/r0)-</w:t>
      </w:r>
      <w:r>
        <w:rPr>
          <w:rFonts w:hint="eastAsia" w:ascii="Times New Roman" w:hAnsi="Times New Roman" w:eastAsia="宋体" w:cs="Times New Roman"/>
        </w:rPr>
        <w:t>△</w:t>
      </w:r>
      <w:r>
        <w:rPr>
          <w:rFonts w:hint="default" w:ascii="Times New Roman" w:hAnsi="Times New Roman" w:eastAsia="宋体" w:cs="Times New Roman"/>
        </w:rPr>
        <w:t>L (5 .5.3-1)</w:t>
      </w:r>
    </w:p>
    <w:p w14:paraId="7A4CD4FE">
      <w:pPr>
        <w:adjustRightInd w:val="0"/>
        <w:spacing w:line="500" w:lineRule="exact"/>
        <w:ind w:firstLine="950" w:firstLineChars="396"/>
        <w:jc w:val="both"/>
        <w:rPr>
          <w:rFonts w:ascii="Times New Roman" w:hAnsi="Times New Roman" w:eastAsia="宋体" w:cs="Times New Roman"/>
        </w:rPr>
      </w:pPr>
      <w:r>
        <w:rPr>
          <w:rFonts w:hint="eastAsia" w:ascii="Times New Roman" w:hAnsi="Times New Roman" w:eastAsia="宋体" w:cs="Times New Roman"/>
        </w:rPr>
        <w:t>式中：</w:t>
      </w:r>
      <w:r>
        <w:rPr>
          <w:rFonts w:hint="default" w:ascii="Times New Roman" w:hAnsi="Times New Roman" w:eastAsia="宋体" w:cs="Times New Roman"/>
        </w:rPr>
        <w:t>Lp</w:t>
      </w:r>
      <w:r>
        <w:rPr>
          <w:rFonts w:hint="eastAsia" w:ascii="Times New Roman" w:hAnsi="Times New Roman" w:eastAsia="宋体" w:cs="Times New Roman"/>
        </w:rPr>
        <w:t>（</w:t>
      </w:r>
      <w:r>
        <w:rPr>
          <w:rFonts w:hint="default" w:ascii="Times New Roman" w:hAnsi="Times New Roman" w:eastAsia="宋体" w:cs="Times New Roman"/>
        </w:rPr>
        <w:t>r</w:t>
      </w:r>
      <w:r>
        <w:rPr>
          <w:rFonts w:hint="eastAsia" w:ascii="Times New Roman" w:hAnsi="Times New Roman" w:eastAsia="宋体" w:cs="Times New Roman"/>
        </w:rPr>
        <w:t>）</w:t>
      </w:r>
      <w:r>
        <w:rPr>
          <w:rFonts w:hint="default" w:ascii="Times New Roman" w:hAnsi="Times New Roman" w:eastAsia="宋体" w:cs="Times New Roman"/>
        </w:rPr>
        <w:t>—</w:t>
      </w:r>
      <w:r>
        <w:rPr>
          <w:rFonts w:hint="eastAsia" w:ascii="Times New Roman" w:hAnsi="Times New Roman" w:eastAsia="宋体" w:cs="Times New Roman"/>
        </w:rPr>
        <w:t>预测点处声压级，</w:t>
      </w:r>
      <w:r>
        <w:rPr>
          <w:rFonts w:hint="default" w:ascii="Times New Roman" w:hAnsi="Times New Roman" w:eastAsia="宋体" w:cs="Times New Roman"/>
        </w:rPr>
        <w:t>dB</w:t>
      </w:r>
      <w:r>
        <w:rPr>
          <w:rFonts w:hint="eastAsia" w:ascii="Times New Roman" w:hAnsi="Times New Roman" w:eastAsia="宋体" w:cs="Times New Roman"/>
        </w:rPr>
        <w:t>；</w:t>
      </w:r>
    </w:p>
    <w:p w14:paraId="5141DDD9">
      <w:pPr>
        <w:adjustRightInd w:val="0"/>
        <w:spacing w:line="500" w:lineRule="exact"/>
        <w:ind w:firstLine="1670" w:firstLineChars="696"/>
        <w:jc w:val="both"/>
        <w:rPr>
          <w:rFonts w:hint="default" w:ascii="Times New Roman" w:hAnsi="Times New Roman" w:eastAsia="宋体" w:cs="Times New Roman"/>
        </w:rPr>
      </w:pPr>
      <w:r>
        <w:rPr>
          <w:rFonts w:hint="default" w:ascii="Times New Roman" w:hAnsi="Times New Roman" w:eastAsia="宋体" w:cs="Times New Roman"/>
        </w:rPr>
        <w:t>Lp</w:t>
      </w:r>
      <w:r>
        <w:rPr>
          <w:rFonts w:hint="eastAsia" w:ascii="Times New Roman" w:hAnsi="Times New Roman" w:eastAsia="宋体" w:cs="Times New Roman"/>
        </w:rPr>
        <w:t>（</w:t>
      </w:r>
      <w:r>
        <w:rPr>
          <w:rFonts w:hint="default" w:ascii="Times New Roman" w:hAnsi="Times New Roman" w:eastAsia="宋体" w:cs="Times New Roman"/>
        </w:rPr>
        <w:t>r0</w:t>
      </w:r>
      <w:r>
        <w:rPr>
          <w:rFonts w:hint="eastAsia" w:ascii="Times New Roman" w:hAnsi="Times New Roman" w:eastAsia="宋体" w:cs="Times New Roman"/>
        </w:rPr>
        <w:t>）</w:t>
      </w:r>
      <w:r>
        <w:rPr>
          <w:rFonts w:hint="default" w:ascii="Times New Roman" w:hAnsi="Times New Roman" w:eastAsia="宋体" w:cs="Times New Roman"/>
        </w:rPr>
        <w:t>—</w:t>
      </w:r>
      <w:r>
        <w:rPr>
          <w:rFonts w:hint="eastAsia" w:ascii="Times New Roman" w:hAnsi="Times New Roman" w:eastAsia="宋体" w:cs="Times New Roman"/>
        </w:rPr>
        <w:t>参考位置</w:t>
      </w:r>
      <w:r>
        <w:rPr>
          <w:rFonts w:hint="default" w:ascii="Times New Roman" w:hAnsi="Times New Roman" w:eastAsia="宋体" w:cs="Times New Roman"/>
        </w:rPr>
        <w:t xml:space="preserve">r0 </w:t>
      </w:r>
      <w:r>
        <w:rPr>
          <w:rFonts w:hint="eastAsia" w:ascii="Times New Roman" w:hAnsi="Times New Roman" w:eastAsia="宋体" w:cs="Times New Roman"/>
        </w:rPr>
        <w:t>处的声压级，</w:t>
      </w:r>
      <w:r>
        <w:rPr>
          <w:rFonts w:hint="default" w:ascii="Times New Roman" w:hAnsi="Times New Roman" w:eastAsia="宋体" w:cs="Times New Roman"/>
        </w:rPr>
        <w:t>dB</w:t>
      </w:r>
      <w:r>
        <w:rPr>
          <w:rFonts w:hint="eastAsia" w:ascii="Times New Roman" w:hAnsi="Times New Roman" w:eastAsia="宋体" w:cs="Times New Roman"/>
        </w:rPr>
        <w:t>；</w:t>
      </w:r>
    </w:p>
    <w:p w14:paraId="0208E985">
      <w:pPr>
        <w:adjustRightInd w:val="0"/>
        <w:spacing w:line="500" w:lineRule="exact"/>
        <w:ind w:firstLine="1670" w:firstLineChars="696"/>
        <w:jc w:val="both"/>
        <w:rPr>
          <w:rFonts w:hint="default" w:ascii="Times New Roman" w:hAnsi="Times New Roman" w:eastAsia="宋体" w:cs="Times New Roman"/>
        </w:rPr>
      </w:pPr>
      <w:r>
        <w:rPr>
          <w:rFonts w:hint="default" w:ascii="Times New Roman" w:hAnsi="Times New Roman" w:eastAsia="宋体" w:cs="Times New Roman"/>
        </w:rPr>
        <w:t>r—</w:t>
      </w:r>
      <w:r>
        <w:rPr>
          <w:rFonts w:hint="eastAsia" w:ascii="Times New Roman" w:hAnsi="Times New Roman" w:eastAsia="宋体" w:cs="Times New Roman"/>
        </w:rPr>
        <w:t>预测点距声源的距离，</w:t>
      </w:r>
      <w:r>
        <w:rPr>
          <w:rFonts w:hint="default" w:ascii="Times New Roman" w:hAnsi="Times New Roman" w:eastAsia="宋体" w:cs="Times New Roman"/>
        </w:rPr>
        <w:t>m</w:t>
      </w:r>
      <w:r>
        <w:rPr>
          <w:rFonts w:hint="eastAsia" w:ascii="Times New Roman" w:hAnsi="Times New Roman" w:eastAsia="宋体" w:cs="Times New Roman"/>
        </w:rPr>
        <w:t>；</w:t>
      </w:r>
    </w:p>
    <w:p w14:paraId="3B8B01FB">
      <w:pPr>
        <w:adjustRightInd w:val="0"/>
        <w:spacing w:line="500" w:lineRule="exact"/>
        <w:ind w:firstLine="1670" w:firstLineChars="696"/>
        <w:jc w:val="both"/>
        <w:rPr>
          <w:rFonts w:hint="default" w:ascii="Times New Roman" w:hAnsi="Times New Roman" w:eastAsia="宋体" w:cs="Times New Roman"/>
        </w:rPr>
      </w:pPr>
      <w:r>
        <w:rPr>
          <w:rFonts w:hint="default" w:ascii="Times New Roman" w:hAnsi="Times New Roman" w:eastAsia="宋体" w:cs="Times New Roman"/>
        </w:rPr>
        <w:t>r0—</w:t>
      </w:r>
      <w:r>
        <w:rPr>
          <w:rFonts w:hint="eastAsia" w:ascii="Times New Roman" w:hAnsi="Times New Roman" w:eastAsia="宋体" w:cs="Times New Roman"/>
        </w:rPr>
        <w:t>参考位置距声源的距离，</w:t>
      </w:r>
      <w:r>
        <w:rPr>
          <w:rFonts w:hint="default" w:ascii="Times New Roman" w:hAnsi="Times New Roman" w:eastAsia="宋体" w:cs="Times New Roman"/>
        </w:rPr>
        <w:t>m</w:t>
      </w:r>
      <w:r>
        <w:rPr>
          <w:rFonts w:hint="eastAsia" w:ascii="Times New Roman" w:hAnsi="Times New Roman" w:eastAsia="宋体" w:cs="Times New Roman"/>
        </w:rPr>
        <w:t>。</w:t>
      </w:r>
    </w:p>
    <w:p w14:paraId="08177541">
      <w:pPr>
        <w:adjustRightInd w:val="0"/>
        <w:spacing w:line="500" w:lineRule="exact"/>
        <w:ind w:firstLine="470" w:firstLineChars="196"/>
        <w:jc w:val="both"/>
        <w:rPr>
          <w:rFonts w:hint="default" w:ascii="Times New Roman" w:hAnsi="Times New Roman" w:eastAsia="宋体" w:cs="Times New Roman"/>
        </w:rPr>
      </w:pPr>
      <w:r>
        <w:rPr>
          <w:rFonts w:hint="eastAsia" w:ascii="Times New Roman" w:hAnsi="Times New Roman" w:eastAsia="宋体" w:cs="Times New Roman"/>
        </w:rPr>
        <w:t>如果声源处于半自由声场，则上式等效为如下公式：</w:t>
      </w:r>
    </w:p>
    <w:p w14:paraId="111F3CE3">
      <w:pPr>
        <w:adjustRightInd w:val="0"/>
        <w:spacing w:line="500" w:lineRule="exact"/>
        <w:jc w:val="center"/>
        <w:rPr>
          <w:rFonts w:hint="default" w:ascii="Times New Roman" w:hAnsi="Times New Roman" w:eastAsia="宋体" w:cs="Times New Roman"/>
        </w:rPr>
      </w:pPr>
      <w:r>
        <w:rPr>
          <w:rFonts w:hint="default" w:ascii="Times New Roman" w:hAnsi="Times New Roman" w:eastAsia="宋体" w:cs="Times New Roman"/>
        </w:rPr>
        <w:t>Lp</w:t>
      </w:r>
      <w:r>
        <w:rPr>
          <w:rFonts w:hint="eastAsia" w:ascii="Times New Roman" w:hAnsi="Times New Roman" w:eastAsia="宋体" w:cs="Times New Roman"/>
        </w:rPr>
        <w:t>（</w:t>
      </w:r>
      <w:r>
        <w:rPr>
          <w:rFonts w:hint="default" w:ascii="Times New Roman" w:hAnsi="Times New Roman" w:eastAsia="宋体" w:cs="Times New Roman"/>
        </w:rPr>
        <w:t>r</w:t>
      </w:r>
      <w:r>
        <w:rPr>
          <w:rFonts w:hint="eastAsia" w:ascii="Times New Roman" w:hAnsi="Times New Roman" w:eastAsia="宋体" w:cs="Times New Roman"/>
        </w:rPr>
        <w:t>）</w:t>
      </w:r>
      <w:r>
        <w:rPr>
          <w:rFonts w:hint="default" w:ascii="Times New Roman" w:hAnsi="Times New Roman" w:eastAsia="宋体" w:cs="Times New Roman"/>
        </w:rPr>
        <w:t>=Lw-20Lgr-8 (5 .5.3-2)</w:t>
      </w:r>
    </w:p>
    <w:p w14:paraId="78829B52">
      <w:pPr>
        <w:adjustRightInd w:val="0"/>
        <w:spacing w:line="500" w:lineRule="exact"/>
        <w:ind w:firstLine="950" w:firstLineChars="396"/>
        <w:jc w:val="both"/>
        <w:rPr>
          <w:rFonts w:hint="default" w:ascii="Times New Roman" w:hAnsi="Times New Roman" w:eastAsia="宋体" w:cs="Times New Roman"/>
        </w:rPr>
      </w:pPr>
      <w:r>
        <w:rPr>
          <w:rFonts w:hint="eastAsia" w:ascii="Times New Roman" w:hAnsi="Times New Roman" w:eastAsia="宋体" w:cs="Times New Roman"/>
        </w:rPr>
        <w:t>式中：</w:t>
      </w:r>
      <w:r>
        <w:rPr>
          <w:rFonts w:hint="default" w:ascii="Times New Roman" w:hAnsi="Times New Roman" w:eastAsia="宋体" w:cs="Times New Roman"/>
        </w:rPr>
        <w:t>Lp</w:t>
      </w:r>
      <w:r>
        <w:rPr>
          <w:rFonts w:hint="eastAsia" w:ascii="Times New Roman" w:hAnsi="Times New Roman" w:eastAsia="宋体" w:cs="Times New Roman"/>
        </w:rPr>
        <w:t>（</w:t>
      </w:r>
      <w:r>
        <w:rPr>
          <w:rFonts w:hint="default" w:ascii="Times New Roman" w:hAnsi="Times New Roman" w:eastAsia="宋体" w:cs="Times New Roman"/>
        </w:rPr>
        <w:t>r</w:t>
      </w:r>
      <w:r>
        <w:rPr>
          <w:rFonts w:hint="eastAsia" w:ascii="Times New Roman" w:hAnsi="Times New Roman" w:eastAsia="宋体" w:cs="Times New Roman"/>
        </w:rPr>
        <w:t>）</w:t>
      </w:r>
      <w:r>
        <w:rPr>
          <w:rFonts w:hint="default" w:ascii="Times New Roman" w:hAnsi="Times New Roman" w:eastAsia="宋体" w:cs="Times New Roman"/>
        </w:rPr>
        <w:t>—</w:t>
      </w:r>
      <w:r>
        <w:rPr>
          <w:rFonts w:hint="eastAsia" w:ascii="Times New Roman" w:hAnsi="Times New Roman" w:eastAsia="宋体" w:cs="Times New Roman"/>
        </w:rPr>
        <w:t>预测点处声压级，</w:t>
      </w:r>
      <w:r>
        <w:rPr>
          <w:rFonts w:hint="default" w:ascii="Times New Roman" w:hAnsi="Times New Roman" w:eastAsia="宋体" w:cs="Times New Roman"/>
        </w:rPr>
        <w:t>dB</w:t>
      </w:r>
      <w:r>
        <w:rPr>
          <w:rFonts w:hint="eastAsia" w:ascii="Times New Roman" w:hAnsi="Times New Roman" w:eastAsia="宋体" w:cs="Times New Roman"/>
        </w:rPr>
        <w:t>；</w:t>
      </w:r>
    </w:p>
    <w:p w14:paraId="76C2C3D9">
      <w:pPr>
        <w:adjustRightInd w:val="0"/>
        <w:spacing w:line="500" w:lineRule="exact"/>
        <w:ind w:firstLine="1670" w:firstLineChars="696"/>
        <w:jc w:val="both"/>
        <w:rPr>
          <w:rFonts w:hint="default" w:ascii="Times New Roman" w:hAnsi="Times New Roman" w:eastAsia="宋体" w:cs="Times New Roman"/>
        </w:rPr>
      </w:pPr>
      <w:r>
        <w:rPr>
          <w:rFonts w:hint="default" w:ascii="Times New Roman" w:hAnsi="Times New Roman" w:eastAsia="宋体" w:cs="Times New Roman"/>
        </w:rPr>
        <w:t>Lw—</w:t>
      </w:r>
      <w:r>
        <w:rPr>
          <w:rFonts w:hint="eastAsia" w:ascii="Times New Roman" w:hAnsi="Times New Roman" w:eastAsia="宋体" w:cs="Times New Roman"/>
        </w:rPr>
        <w:t>由点声源产生的倍频带声功率级，</w:t>
      </w:r>
      <w:r>
        <w:rPr>
          <w:rFonts w:hint="default" w:ascii="Times New Roman" w:hAnsi="Times New Roman" w:eastAsia="宋体" w:cs="Times New Roman"/>
        </w:rPr>
        <w:t>dB</w:t>
      </w:r>
      <w:r>
        <w:rPr>
          <w:rFonts w:hint="eastAsia" w:ascii="Times New Roman" w:hAnsi="Times New Roman" w:eastAsia="宋体" w:cs="Times New Roman"/>
        </w:rPr>
        <w:t>；</w:t>
      </w:r>
    </w:p>
    <w:p w14:paraId="45D9970E">
      <w:pPr>
        <w:adjustRightInd w:val="0"/>
        <w:spacing w:line="500" w:lineRule="exact"/>
        <w:ind w:firstLine="1670" w:firstLineChars="696"/>
        <w:jc w:val="both"/>
        <w:rPr>
          <w:rFonts w:hint="default" w:ascii="Times New Roman" w:hAnsi="Times New Roman" w:eastAsia="宋体" w:cs="Times New Roman"/>
        </w:rPr>
      </w:pPr>
      <w:r>
        <w:rPr>
          <w:rFonts w:hint="default" w:ascii="Times New Roman" w:hAnsi="Times New Roman" w:eastAsia="宋体" w:cs="Times New Roman"/>
        </w:rPr>
        <w:t>r—</w:t>
      </w:r>
      <w:r>
        <w:rPr>
          <w:rFonts w:hint="eastAsia" w:ascii="Times New Roman" w:hAnsi="Times New Roman" w:eastAsia="宋体" w:cs="Times New Roman"/>
        </w:rPr>
        <w:t>预测点距声源的距离，</w:t>
      </w:r>
      <w:r>
        <w:rPr>
          <w:rFonts w:hint="default" w:ascii="Times New Roman" w:hAnsi="Times New Roman" w:eastAsia="宋体" w:cs="Times New Roman"/>
        </w:rPr>
        <w:t>m</w:t>
      </w:r>
      <w:r>
        <w:rPr>
          <w:rFonts w:hint="eastAsia" w:ascii="Times New Roman" w:hAnsi="Times New Roman" w:eastAsia="宋体" w:cs="Times New Roman"/>
        </w:rPr>
        <w:t>；</w:t>
      </w:r>
    </w:p>
    <w:p w14:paraId="7605CB86">
      <w:pPr>
        <w:adjustRightInd w:val="0"/>
        <w:spacing w:line="500" w:lineRule="exact"/>
        <w:ind w:firstLine="470" w:firstLineChars="196"/>
        <w:jc w:val="center"/>
        <w:rPr>
          <w:rFonts w:hint="default" w:ascii="Times New Roman" w:hAnsi="Times New Roman" w:eastAsia="宋体" w:cs="Times New Roman"/>
        </w:rPr>
      </w:pPr>
      <w:r>
        <w:rPr>
          <w:rFonts w:hint="default" w:ascii="Times New Roman" w:hAnsi="Times New Roman" w:eastAsia="宋体" w:cs="Times New Roman"/>
        </w:rPr>
        <w:t>LA</w:t>
      </w:r>
      <w:r>
        <w:rPr>
          <w:rFonts w:hint="eastAsia" w:ascii="Times New Roman" w:hAnsi="Times New Roman" w:eastAsia="宋体" w:cs="Times New Roman"/>
        </w:rPr>
        <w:t>（</w:t>
      </w:r>
      <w:r>
        <w:rPr>
          <w:rFonts w:hint="default" w:ascii="Times New Roman" w:hAnsi="Times New Roman" w:eastAsia="宋体" w:cs="Times New Roman"/>
        </w:rPr>
        <w:t>r</w:t>
      </w:r>
      <w:r>
        <w:rPr>
          <w:rFonts w:hint="eastAsia" w:ascii="Times New Roman" w:hAnsi="Times New Roman" w:eastAsia="宋体" w:cs="Times New Roman"/>
        </w:rPr>
        <w:t>）</w:t>
      </w:r>
      <w:r>
        <w:rPr>
          <w:rFonts w:hint="default" w:ascii="Times New Roman" w:hAnsi="Times New Roman" w:eastAsia="宋体" w:cs="Times New Roman"/>
        </w:rPr>
        <w:t>=LAw-20Lgr-8 (5 .5.3-3)</w:t>
      </w:r>
    </w:p>
    <w:p w14:paraId="21E11137">
      <w:pPr>
        <w:adjustRightInd w:val="0"/>
        <w:spacing w:line="500" w:lineRule="exact"/>
        <w:ind w:firstLine="950" w:firstLineChars="396"/>
        <w:jc w:val="both"/>
        <w:rPr>
          <w:rFonts w:hint="default" w:ascii="Times New Roman" w:hAnsi="Times New Roman" w:eastAsia="宋体" w:cs="Times New Roman"/>
        </w:rPr>
      </w:pPr>
      <w:r>
        <w:rPr>
          <w:rFonts w:hint="eastAsia" w:ascii="Times New Roman" w:hAnsi="Times New Roman" w:eastAsia="宋体" w:cs="Times New Roman"/>
        </w:rPr>
        <w:t>式中：</w:t>
      </w:r>
      <w:r>
        <w:rPr>
          <w:rFonts w:hint="default" w:ascii="Times New Roman" w:hAnsi="Times New Roman" w:eastAsia="宋体" w:cs="Times New Roman"/>
        </w:rPr>
        <w:t>LA</w:t>
      </w:r>
      <w:r>
        <w:rPr>
          <w:rFonts w:hint="eastAsia" w:ascii="Times New Roman" w:hAnsi="Times New Roman" w:eastAsia="宋体" w:cs="Times New Roman"/>
        </w:rPr>
        <w:t>（</w:t>
      </w:r>
      <w:r>
        <w:rPr>
          <w:rFonts w:hint="default" w:ascii="Times New Roman" w:hAnsi="Times New Roman" w:eastAsia="宋体" w:cs="Times New Roman"/>
        </w:rPr>
        <w:t>r</w:t>
      </w:r>
      <w:r>
        <w:rPr>
          <w:rFonts w:hint="eastAsia" w:ascii="Times New Roman" w:hAnsi="Times New Roman" w:eastAsia="宋体" w:cs="Times New Roman"/>
        </w:rPr>
        <w:t>）</w:t>
      </w:r>
      <w:r>
        <w:rPr>
          <w:rFonts w:hint="default" w:ascii="Times New Roman" w:hAnsi="Times New Roman" w:eastAsia="宋体" w:cs="Times New Roman"/>
        </w:rPr>
        <w:t>—</w:t>
      </w:r>
      <w:r>
        <w:rPr>
          <w:rFonts w:hint="eastAsia" w:ascii="Times New Roman" w:hAnsi="Times New Roman" w:eastAsia="宋体" w:cs="Times New Roman"/>
        </w:rPr>
        <w:t>距声源</w:t>
      </w:r>
      <w:r>
        <w:rPr>
          <w:rFonts w:hint="default" w:ascii="Times New Roman" w:hAnsi="Times New Roman" w:eastAsia="宋体" w:cs="Times New Roman"/>
        </w:rPr>
        <w:t xml:space="preserve">r </w:t>
      </w:r>
      <w:r>
        <w:rPr>
          <w:rFonts w:hint="eastAsia" w:ascii="Times New Roman" w:hAnsi="Times New Roman" w:eastAsia="宋体" w:cs="Times New Roman"/>
        </w:rPr>
        <w:t>处的</w:t>
      </w:r>
      <w:r>
        <w:rPr>
          <w:rFonts w:hint="default" w:ascii="Times New Roman" w:hAnsi="Times New Roman" w:eastAsia="宋体" w:cs="Times New Roman"/>
        </w:rPr>
        <w:t xml:space="preserve">A </w:t>
      </w:r>
      <w:r>
        <w:rPr>
          <w:rFonts w:hint="eastAsia" w:ascii="Times New Roman" w:hAnsi="Times New Roman" w:eastAsia="宋体" w:cs="Times New Roman"/>
        </w:rPr>
        <w:t>声级，</w:t>
      </w:r>
      <w:r>
        <w:rPr>
          <w:rFonts w:hint="default" w:ascii="Times New Roman" w:hAnsi="Times New Roman" w:eastAsia="宋体" w:cs="Times New Roman"/>
        </w:rPr>
        <w:t>dB</w:t>
      </w:r>
      <w:r>
        <w:rPr>
          <w:rFonts w:hint="eastAsia" w:ascii="Times New Roman" w:hAnsi="Times New Roman" w:eastAsia="宋体" w:cs="Times New Roman"/>
        </w:rPr>
        <w:t>（</w:t>
      </w:r>
      <w:r>
        <w:rPr>
          <w:rFonts w:hint="default" w:ascii="Times New Roman" w:hAnsi="Times New Roman" w:eastAsia="宋体" w:cs="Times New Roman"/>
        </w:rPr>
        <w:t>A</w:t>
      </w:r>
      <w:r>
        <w:rPr>
          <w:rFonts w:hint="eastAsia" w:ascii="Times New Roman" w:hAnsi="Times New Roman" w:eastAsia="宋体" w:cs="Times New Roman"/>
        </w:rPr>
        <w:t>）；</w:t>
      </w:r>
    </w:p>
    <w:p w14:paraId="6C264193">
      <w:pPr>
        <w:adjustRightInd w:val="0"/>
        <w:spacing w:line="500" w:lineRule="exact"/>
        <w:ind w:firstLine="1670" w:firstLineChars="696"/>
        <w:jc w:val="both"/>
        <w:rPr>
          <w:rFonts w:hint="default" w:ascii="Times New Roman" w:hAnsi="Times New Roman" w:eastAsia="宋体" w:cs="Times New Roman"/>
        </w:rPr>
      </w:pPr>
      <w:r>
        <w:rPr>
          <w:rFonts w:hint="default" w:ascii="Times New Roman" w:hAnsi="Times New Roman" w:eastAsia="宋体" w:cs="Times New Roman"/>
        </w:rPr>
        <w:t>LAw—</w:t>
      </w:r>
      <w:r>
        <w:rPr>
          <w:rFonts w:hint="eastAsia" w:ascii="Times New Roman" w:hAnsi="Times New Roman" w:eastAsia="宋体" w:cs="Times New Roman"/>
        </w:rPr>
        <w:t>点声源</w:t>
      </w:r>
      <w:r>
        <w:rPr>
          <w:rFonts w:hint="default" w:ascii="Times New Roman" w:hAnsi="Times New Roman" w:eastAsia="宋体" w:cs="Times New Roman"/>
        </w:rPr>
        <w:t xml:space="preserve">A </w:t>
      </w:r>
      <w:r>
        <w:rPr>
          <w:rFonts w:hint="eastAsia" w:ascii="Times New Roman" w:hAnsi="Times New Roman" w:eastAsia="宋体" w:cs="Times New Roman"/>
        </w:rPr>
        <w:t>计权声功率级，</w:t>
      </w:r>
      <w:r>
        <w:rPr>
          <w:rFonts w:hint="default" w:ascii="Times New Roman" w:hAnsi="Times New Roman" w:eastAsia="宋体" w:cs="Times New Roman"/>
        </w:rPr>
        <w:t>dB</w:t>
      </w:r>
      <w:r>
        <w:rPr>
          <w:rFonts w:hint="eastAsia" w:ascii="Times New Roman" w:hAnsi="Times New Roman" w:eastAsia="宋体" w:cs="Times New Roman"/>
        </w:rPr>
        <w:t>；</w:t>
      </w:r>
    </w:p>
    <w:p w14:paraId="06CA104E">
      <w:pPr>
        <w:adjustRightInd w:val="0"/>
        <w:spacing w:line="500" w:lineRule="exact"/>
        <w:ind w:firstLine="1430" w:firstLineChars="596"/>
        <w:jc w:val="both"/>
        <w:rPr>
          <w:rFonts w:hint="default" w:ascii="Times New Roman" w:hAnsi="Times New Roman" w:eastAsia="宋体" w:cs="Times New Roman"/>
        </w:rPr>
      </w:pPr>
      <w:r>
        <w:rPr>
          <w:rFonts w:hint="default" w:ascii="Times New Roman" w:hAnsi="Times New Roman" w:eastAsia="宋体" w:cs="Times New Roman"/>
        </w:rPr>
        <w:t>r—</w:t>
      </w:r>
      <w:r>
        <w:rPr>
          <w:rFonts w:hint="eastAsia" w:ascii="Times New Roman" w:hAnsi="Times New Roman" w:eastAsia="宋体" w:cs="Times New Roman"/>
        </w:rPr>
        <w:t>预测点距声源的距离，</w:t>
      </w:r>
      <w:r>
        <w:rPr>
          <w:rFonts w:hint="default" w:ascii="Times New Roman" w:hAnsi="Times New Roman" w:eastAsia="宋体" w:cs="Times New Roman"/>
        </w:rPr>
        <w:t>m</w:t>
      </w:r>
      <w:r>
        <w:rPr>
          <w:rFonts w:hint="eastAsia" w:ascii="Times New Roman" w:hAnsi="Times New Roman" w:eastAsia="宋体" w:cs="Times New Roman"/>
        </w:rPr>
        <w:t>。</w:t>
      </w:r>
    </w:p>
    <w:p w14:paraId="597FFFF5">
      <w:pPr>
        <w:adjustRightInd w:val="0"/>
        <w:spacing w:line="500" w:lineRule="exact"/>
        <w:ind w:firstLine="470" w:firstLineChars="196"/>
        <w:jc w:val="both"/>
        <w:rPr>
          <w:rFonts w:hint="default" w:ascii="Times New Roman" w:hAnsi="Times New Roman" w:eastAsia="宋体" w:cs="Times New Roman"/>
        </w:rPr>
      </w:pPr>
      <w:r>
        <w:rPr>
          <w:rFonts w:hint="eastAsia" w:ascii="Times New Roman" w:hAnsi="Times New Roman" w:eastAsia="宋体" w:cs="Times New Roman"/>
        </w:rPr>
        <w:t>②室内声源</w:t>
      </w:r>
    </w:p>
    <w:p w14:paraId="07A1074C">
      <w:pPr>
        <w:adjustRightInd w:val="0"/>
        <w:spacing w:line="500" w:lineRule="exact"/>
        <w:ind w:firstLine="470" w:firstLineChars="196"/>
        <w:jc w:val="both"/>
        <w:rPr>
          <w:rFonts w:hint="eastAsia" w:ascii="Times New Roman" w:hAnsi="Times New Roman" w:eastAsia="宋体" w:cs="Times New Roman"/>
        </w:rPr>
      </w:pPr>
      <w:r>
        <w:rPr>
          <w:rFonts w:hint="eastAsia" w:ascii="Times New Roman" w:hAnsi="Times New Roman" w:eastAsia="宋体" w:cs="Times New Roman"/>
        </w:rPr>
        <w:t>室内靠近围护结构处的声压级：</w:t>
      </w:r>
    </w:p>
    <w:p w14:paraId="65F341F2">
      <w:pPr>
        <w:jc w:val="center"/>
      </w:pPr>
      <w:r>
        <w:drawing>
          <wp:inline distT="0" distB="0" distL="114300" distR="114300">
            <wp:extent cx="1842135" cy="522605"/>
            <wp:effectExtent l="0" t="0" r="5715" b="10795"/>
            <wp:docPr id="109" name="图片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图片 70"/>
                    <pic:cNvPicPr>
                      <a:picLocks noChangeAspect="1"/>
                    </pic:cNvPicPr>
                  </pic:nvPicPr>
                  <pic:blipFill>
                    <a:blip r:embed="rId99"/>
                    <a:stretch>
                      <a:fillRect/>
                    </a:stretch>
                  </pic:blipFill>
                  <pic:spPr>
                    <a:xfrm>
                      <a:off x="0" y="0"/>
                      <a:ext cx="1842135" cy="522605"/>
                    </a:xfrm>
                    <a:prstGeom prst="rect">
                      <a:avLst/>
                    </a:prstGeom>
                    <a:noFill/>
                    <a:ln>
                      <a:noFill/>
                    </a:ln>
                  </pic:spPr>
                </pic:pic>
              </a:graphicData>
            </a:graphic>
          </wp:inline>
        </w:drawing>
      </w:r>
    </w:p>
    <w:p w14:paraId="2BADEACC">
      <w:pPr>
        <w:adjustRightInd w:val="0"/>
        <w:spacing w:line="500" w:lineRule="exact"/>
        <w:ind w:firstLine="480" w:firstLineChars="200"/>
        <w:jc w:val="both"/>
        <w:rPr>
          <w:rFonts w:hint="eastAsia" w:ascii="Times New Roman" w:hAnsi="Times New Roman" w:eastAsia="宋体" w:cs="Times New Roman"/>
        </w:rPr>
      </w:pPr>
      <w:r>
        <w:rPr>
          <w:rFonts w:hint="eastAsia" w:ascii="Times New Roman" w:hAnsi="Times New Roman" w:eastAsia="宋体" w:cs="Times New Roman"/>
        </w:rPr>
        <w:t>式中：</w:t>
      </w:r>
      <w:r>
        <w:rPr>
          <w:rFonts w:hint="default" w:ascii="Times New Roman" w:hAnsi="Times New Roman" w:eastAsia="宋体" w:cs="Times New Roman"/>
        </w:rPr>
        <w:t>LP1—</w:t>
      </w:r>
      <w:r>
        <w:rPr>
          <w:rFonts w:hint="eastAsia" w:ascii="Times New Roman" w:hAnsi="Times New Roman" w:eastAsia="宋体" w:cs="Times New Roman"/>
        </w:rPr>
        <w:t>靠近开口处（或窗户）室内某倍频带的声压级或</w:t>
      </w:r>
      <w:r>
        <w:rPr>
          <w:rFonts w:hint="default" w:ascii="Times New Roman" w:hAnsi="Times New Roman" w:eastAsia="宋体" w:cs="Times New Roman"/>
        </w:rPr>
        <w:t xml:space="preserve">A </w:t>
      </w:r>
      <w:r>
        <w:rPr>
          <w:rFonts w:hint="eastAsia" w:ascii="Times New Roman" w:hAnsi="Times New Roman" w:eastAsia="宋体" w:cs="Times New Roman"/>
        </w:rPr>
        <w:t>声级，</w:t>
      </w:r>
      <w:r>
        <w:rPr>
          <w:rFonts w:hint="default" w:ascii="Times New Roman" w:hAnsi="Times New Roman" w:eastAsia="宋体" w:cs="Times New Roman"/>
        </w:rPr>
        <w:t>dB</w:t>
      </w:r>
      <w:r>
        <w:rPr>
          <w:rFonts w:hint="eastAsia" w:ascii="Times New Roman" w:hAnsi="Times New Roman" w:eastAsia="宋体" w:cs="Times New Roman"/>
        </w:rPr>
        <w:t>；</w:t>
      </w:r>
    </w:p>
    <w:p w14:paraId="7EE17996">
      <w:pPr>
        <w:adjustRightInd w:val="0"/>
        <w:spacing w:line="500" w:lineRule="exact"/>
        <w:ind w:firstLine="1200" w:firstLineChars="500"/>
        <w:jc w:val="both"/>
        <w:rPr>
          <w:rFonts w:hint="eastAsia" w:ascii="Times New Roman" w:hAnsi="Times New Roman" w:eastAsia="宋体" w:cs="Times New Roman"/>
        </w:rPr>
      </w:pPr>
      <w:r>
        <w:rPr>
          <w:rFonts w:hint="default" w:ascii="Times New Roman" w:hAnsi="Times New Roman" w:eastAsia="宋体" w:cs="Times New Roman"/>
        </w:rPr>
        <w:t>LW—</w:t>
      </w:r>
      <w:r>
        <w:rPr>
          <w:rFonts w:hint="eastAsia" w:ascii="Times New Roman" w:hAnsi="Times New Roman" w:eastAsia="宋体" w:cs="Times New Roman"/>
        </w:rPr>
        <w:t>点声源声功率级（</w:t>
      </w:r>
      <w:r>
        <w:rPr>
          <w:rFonts w:hint="default" w:ascii="Times New Roman" w:hAnsi="Times New Roman" w:eastAsia="宋体" w:cs="Times New Roman"/>
        </w:rPr>
        <w:t xml:space="preserve">A </w:t>
      </w:r>
      <w:r>
        <w:rPr>
          <w:rFonts w:hint="eastAsia" w:ascii="Times New Roman" w:hAnsi="Times New Roman" w:eastAsia="宋体" w:cs="Times New Roman"/>
        </w:rPr>
        <w:t>计权或倍频带），</w:t>
      </w:r>
      <w:r>
        <w:rPr>
          <w:rFonts w:hint="default" w:ascii="Times New Roman" w:hAnsi="Times New Roman" w:eastAsia="宋体" w:cs="Times New Roman"/>
        </w:rPr>
        <w:t>dB</w:t>
      </w:r>
      <w:r>
        <w:rPr>
          <w:rFonts w:hint="eastAsia" w:ascii="Times New Roman" w:hAnsi="Times New Roman" w:eastAsia="宋体" w:cs="Times New Roman"/>
        </w:rPr>
        <w:t>；</w:t>
      </w:r>
    </w:p>
    <w:p w14:paraId="18012412">
      <w:pPr>
        <w:adjustRightInd w:val="0"/>
        <w:spacing w:line="500" w:lineRule="exact"/>
        <w:ind w:firstLine="1200" w:firstLineChars="500"/>
        <w:jc w:val="both"/>
        <w:rPr>
          <w:rFonts w:hint="eastAsia" w:ascii="Times New Roman" w:hAnsi="Times New Roman" w:eastAsia="宋体" w:cs="Times New Roman"/>
        </w:rPr>
      </w:pPr>
      <w:r>
        <w:rPr>
          <w:rFonts w:hint="default" w:ascii="Times New Roman" w:hAnsi="Times New Roman" w:eastAsia="宋体" w:cs="Times New Roman"/>
        </w:rPr>
        <w:t>Q—</w:t>
      </w:r>
      <w:r>
        <w:rPr>
          <w:rFonts w:hint="eastAsia" w:ascii="Times New Roman" w:hAnsi="Times New Roman" w:eastAsia="宋体" w:cs="Times New Roman"/>
        </w:rPr>
        <w:t>指向性因数；通常对无指向性声源，当声源放在房间中心时，</w:t>
      </w:r>
      <w:r>
        <w:rPr>
          <w:rFonts w:hint="default" w:ascii="Times New Roman" w:hAnsi="Times New Roman" w:eastAsia="宋体" w:cs="Times New Roman"/>
        </w:rPr>
        <w:t>Q=1</w:t>
      </w:r>
      <w:r>
        <w:rPr>
          <w:rFonts w:hint="eastAsia" w:ascii="Times New Roman" w:hAnsi="Times New Roman" w:eastAsia="宋体" w:cs="Times New Roman"/>
        </w:rPr>
        <w:t>；当放在一面墙的中心时，</w:t>
      </w:r>
      <w:r>
        <w:rPr>
          <w:rFonts w:hint="default" w:ascii="Times New Roman" w:hAnsi="Times New Roman" w:eastAsia="宋体" w:cs="Times New Roman"/>
        </w:rPr>
        <w:t>Q=2</w:t>
      </w:r>
      <w:r>
        <w:rPr>
          <w:rFonts w:hint="eastAsia" w:ascii="Times New Roman" w:hAnsi="Times New Roman" w:eastAsia="宋体" w:cs="Times New Roman"/>
        </w:rPr>
        <w:t>；当放在两面墙夹角处时，</w:t>
      </w:r>
      <w:r>
        <w:rPr>
          <w:rFonts w:hint="default" w:ascii="Times New Roman" w:hAnsi="Times New Roman" w:eastAsia="宋体" w:cs="Times New Roman"/>
        </w:rPr>
        <w:t>Q=4</w:t>
      </w:r>
      <w:r>
        <w:rPr>
          <w:rFonts w:hint="eastAsia" w:ascii="Times New Roman" w:hAnsi="Times New Roman" w:eastAsia="宋体" w:cs="Times New Roman"/>
        </w:rPr>
        <w:t>；当放在三面墙夹角处时，</w:t>
      </w:r>
      <w:r>
        <w:rPr>
          <w:rFonts w:hint="default" w:ascii="Times New Roman" w:hAnsi="Times New Roman" w:eastAsia="宋体" w:cs="Times New Roman"/>
        </w:rPr>
        <w:t>Q=8</w:t>
      </w:r>
      <w:r>
        <w:rPr>
          <w:rFonts w:hint="eastAsia" w:ascii="Times New Roman" w:hAnsi="Times New Roman" w:eastAsia="宋体" w:cs="Times New Roman"/>
        </w:rPr>
        <w:t>；</w:t>
      </w:r>
    </w:p>
    <w:p w14:paraId="709F627C">
      <w:pPr>
        <w:adjustRightInd w:val="0"/>
        <w:spacing w:line="500" w:lineRule="exact"/>
        <w:ind w:firstLine="1200" w:firstLineChars="500"/>
        <w:jc w:val="both"/>
        <w:rPr>
          <w:rFonts w:hint="eastAsia" w:ascii="Times New Roman" w:hAnsi="Times New Roman" w:eastAsia="宋体" w:cs="Times New Roman"/>
        </w:rPr>
      </w:pPr>
      <w:r>
        <w:rPr>
          <w:rFonts w:hint="default" w:ascii="Times New Roman" w:hAnsi="Times New Roman" w:eastAsia="宋体" w:cs="Times New Roman"/>
        </w:rPr>
        <w:t>R—</w:t>
      </w:r>
      <w:r>
        <w:rPr>
          <w:rFonts w:hint="eastAsia" w:ascii="Times New Roman" w:hAnsi="Times New Roman" w:eastAsia="宋体" w:cs="Times New Roman"/>
        </w:rPr>
        <w:t>房间常数；</w:t>
      </w:r>
      <w:r>
        <w:rPr>
          <w:rFonts w:hint="default" w:ascii="Times New Roman" w:hAnsi="Times New Roman" w:eastAsia="宋体" w:cs="Times New Roman"/>
        </w:rPr>
        <w:t>R=Sa/</w:t>
      </w:r>
      <w:r>
        <w:rPr>
          <w:rFonts w:hint="eastAsia" w:ascii="Times New Roman" w:hAnsi="Times New Roman" w:eastAsia="宋体" w:cs="Times New Roman"/>
        </w:rPr>
        <w:t>（</w:t>
      </w:r>
      <w:r>
        <w:rPr>
          <w:rFonts w:hint="default" w:ascii="Times New Roman" w:hAnsi="Times New Roman" w:eastAsia="宋体" w:cs="Times New Roman"/>
        </w:rPr>
        <w:t>1-a</w:t>
      </w:r>
      <w:r>
        <w:rPr>
          <w:rFonts w:hint="eastAsia" w:ascii="Times New Roman" w:hAnsi="Times New Roman" w:eastAsia="宋体" w:cs="Times New Roman"/>
        </w:rPr>
        <w:t>），</w:t>
      </w:r>
      <w:r>
        <w:rPr>
          <w:rFonts w:hint="default" w:ascii="Times New Roman" w:hAnsi="Times New Roman" w:eastAsia="宋体" w:cs="Times New Roman"/>
        </w:rPr>
        <w:t xml:space="preserve">S </w:t>
      </w:r>
      <w:r>
        <w:rPr>
          <w:rFonts w:hint="eastAsia" w:ascii="Times New Roman" w:hAnsi="Times New Roman" w:eastAsia="宋体" w:cs="Times New Roman"/>
        </w:rPr>
        <w:t>为房间内表面面积，</w:t>
      </w:r>
      <w:r>
        <w:rPr>
          <w:rFonts w:hint="default" w:ascii="Times New Roman" w:hAnsi="Times New Roman" w:eastAsia="宋体" w:cs="Times New Roman"/>
        </w:rPr>
        <w:t>m</w:t>
      </w:r>
      <w:r>
        <w:rPr>
          <w:rFonts w:hint="eastAsia" w:ascii="Times New Roman" w:hAnsi="Times New Roman" w:eastAsia="宋体" w:cs="Times New Roman"/>
        </w:rPr>
        <w:t>；</w:t>
      </w:r>
      <w:r>
        <w:rPr>
          <w:rFonts w:hint="default" w:ascii="Times New Roman" w:hAnsi="Times New Roman" w:eastAsia="宋体" w:cs="Times New Roman"/>
        </w:rPr>
        <w:t xml:space="preserve">a </w:t>
      </w:r>
      <w:r>
        <w:rPr>
          <w:rFonts w:hint="eastAsia" w:ascii="Times New Roman" w:hAnsi="Times New Roman" w:eastAsia="宋体" w:cs="Times New Roman"/>
        </w:rPr>
        <w:t>为平均吸声系数；</w:t>
      </w:r>
    </w:p>
    <w:p w14:paraId="705F560F">
      <w:pPr>
        <w:adjustRightInd w:val="0"/>
        <w:spacing w:line="500" w:lineRule="exact"/>
        <w:ind w:firstLine="480" w:firstLineChars="200"/>
        <w:jc w:val="both"/>
        <w:rPr>
          <w:rFonts w:hint="eastAsia" w:ascii="Times New Roman" w:hAnsi="Times New Roman" w:eastAsia="宋体" w:cs="Times New Roman"/>
        </w:rPr>
      </w:pPr>
      <w:r>
        <w:rPr>
          <w:rFonts w:hint="eastAsia" w:ascii="Times New Roman" w:hAnsi="Times New Roman" w:eastAsia="宋体" w:cs="Times New Roman"/>
        </w:rPr>
        <w:t>③噪声计算</w:t>
      </w:r>
    </w:p>
    <w:p w14:paraId="33F84FEC">
      <w:pPr>
        <w:adjustRightInd w:val="0"/>
        <w:spacing w:line="500" w:lineRule="exact"/>
        <w:ind w:firstLine="480" w:firstLineChars="200"/>
        <w:jc w:val="both"/>
        <w:rPr>
          <w:rFonts w:hint="eastAsia" w:ascii="Times New Roman" w:hAnsi="Times New Roman" w:eastAsia="宋体" w:cs="Times New Roman"/>
        </w:rPr>
      </w:pPr>
      <w:r>
        <w:rPr>
          <w:rFonts w:hint="eastAsia" w:ascii="Times New Roman" w:hAnsi="Times New Roman" w:eastAsia="宋体" w:cs="Times New Roman"/>
        </w:rPr>
        <w:t>设第</w:t>
      </w:r>
      <w:r>
        <w:rPr>
          <w:rFonts w:hint="default" w:ascii="Times New Roman" w:hAnsi="Times New Roman" w:eastAsia="宋体" w:cs="Times New Roman"/>
        </w:rPr>
        <w:t xml:space="preserve">i </w:t>
      </w:r>
      <w:r>
        <w:rPr>
          <w:rFonts w:hint="eastAsia" w:ascii="Times New Roman" w:hAnsi="Times New Roman" w:eastAsia="宋体" w:cs="Times New Roman"/>
        </w:rPr>
        <w:t>个室外声源在预测点产生的</w:t>
      </w:r>
      <w:r>
        <w:rPr>
          <w:rFonts w:hint="default" w:ascii="Times New Roman" w:hAnsi="Times New Roman" w:eastAsia="宋体" w:cs="Times New Roman"/>
        </w:rPr>
        <w:t xml:space="preserve">A </w:t>
      </w:r>
      <w:r>
        <w:rPr>
          <w:rFonts w:hint="eastAsia" w:ascii="Times New Roman" w:hAnsi="Times New Roman" w:eastAsia="宋体" w:cs="Times New Roman"/>
        </w:rPr>
        <w:t>声级为</w:t>
      </w:r>
      <w:r>
        <w:rPr>
          <w:rFonts w:hint="default" w:ascii="Times New Roman" w:hAnsi="Times New Roman" w:eastAsia="宋体" w:cs="Times New Roman"/>
        </w:rPr>
        <w:t>LAi</w:t>
      </w:r>
      <w:r>
        <w:rPr>
          <w:rFonts w:hint="eastAsia" w:ascii="Times New Roman" w:hAnsi="Times New Roman" w:eastAsia="宋体" w:cs="Times New Roman"/>
        </w:rPr>
        <w:t>，在</w:t>
      </w:r>
      <w:r>
        <w:rPr>
          <w:rFonts w:hint="default" w:ascii="Times New Roman" w:hAnsi="Times New Roman" w:eastAsia="宋体" w:cs="Times New Roman"/>
        </w:rPr>
        <w:t xml:space="preserve">T </w:t>
      </w:r>
      <w:r>
        <w:rPr>
          <w:rFonts w:hint="eastAsia" w:ascii="Times New Roman" w:hAnsi="Times New Roman" w:eastAsia="宋体" w:cs="Times New Roman"/>
        </w:rPr>
        <w:t>时间内该声源工作时间为</w:t>
      </w:r>
      <w:r>
        <w:rPr>
          <w:rFonts w:hint="default" w:ascii="Times New Roman" w:hAnsi="Times New Roman" w:eastAsia="宋体" w:cs="Times New Roman"/>
        </w:rPr>
        <w:t>ti</w:t>
      </w:r>
      <w:r>
        <w:rPr>
          <w:rFonts w:hint="eastAsia" w:ascii="Times New Roman" w:hAnsi="Times New Roman" w:eastAsia="宋体" w:cs="Times New Roman"/>
        </w:rPr>
        <w:t>；第</w:t>
      </w:r>
      <w:r>
        <w:rPr>
          <w:rFonts w:hint="default" w:ascii="Times New Roman" w:hAnsi="Times New Roman" w:eastAsia="宋体" w:cs="Times New Roman"/>
        </w:rPr>
        <w:t xml:space="preserve">j </w:t>
      </w:r>
      <w:r>
        <w:rPr>
          <w:rFonts w:hint="eastAsia" w:ascii="Times New Roman" w:hAnsi="Times New Roman" w:eastAsia="宋体" w:cs="Times New Roman"/>
        </w:rPr>
        <w:t>个等效室外声源在预测点产生的</w:t>
      </w:r>
      <w:r>
        <w:rPr>
          <w:rFonts w:hint="default" w:ascii="Times New Roman" w:hAnsi="Times New Roman" w:eastAsia="宋体" w:cs="Times New Roman"/>
        </w:rPr>
        <w:t xml:space="preserve">A </w:t>
      </w:r>
      <w:r>
        <w:rPr>
          <w:rFonts w:hint="eastAsia" w:ascii="Times New Roman" w:hAnsi="Times New Roman" w:eastAsia="宋体" w:cs="Times New Roman"/>
        </w:rPr>
        <w:t>声级为</w:t>
      </w:r>
      <w:r>
        <w:rPr>
          <w:rFonts w:hint="default" w:ascii="Times New Roman" w:hAnsi="Times New Roman" w:eastAsia="宋体" w:cs="Times New Roman"/>
        </w:rPr>
        <w:t>LAj</w:t>
      </w:r>
      <w:r>
        <w:rPr>
          <w:rFonts w:hint="eastAsia" w:ascii="Times New Roman" w:hAnsi="Times New Roman" w:eastAsia="宋体" w:cs="Times New Roman"/>
        </w:rPr>
        <w:t>，在</w:t>
      </w:r>
      <w:r>
        <w:rPr>
          <w:rFonts w:hint="default" w:ascii="Times New Roman" w:hAnsi="Times New Roman" w:eastAsia="宋体" w:cs="Times New Roman"/>
        </w:rPr>
        <w:t xml:space="preserve">T </w:t>
      </w:r>
      <w:r>
        <w:rPr>
          <w:rFonts w:hint="eastAsia" w:ascii="Times New Roman" w:hAnsi="Times New Roman" w:eastAsia="宋体" w:cs="Times New Roman"/>
        </w:rPr>
        <w:t>时间内该声源工作时间为</w:t>
      </w:r>
      <w:r>
        <w:rPr>
          <w:rFonts w:hint="default" w:ascii="Times New Roman" w:hAnsi="Times New Roman" w:eastAsia="宋体" w:cs="Times New Roman"/>
        </w:rPr>
        <w:t>tj</w:t>
      </w:r>
      <w:r>
        <w:rPr>
          <w:rFonts w:hint="eastAsia" w:ascii="Times New Roman" w:hAnsi="Times New Roman" w:eastAsia="宋体" w:cs="Times New Roman"/>
        </w:rPr>
        <w:t>，则拟建工程声源对预测点产生的贡献值（</w:t>
      </w:r>
      <w:r>
        <w:rPr>
          <w:rFonts w:hint="default" w:ascii="Times New Roman" w:hAnsi="Times New Roman" w:eastAsia="宋体" w:cs="Times New Roman"/>
        </w:rPr>
        <w:t>Leqg</w:t>
      </w:r>
      <w:r>
        <w:rPr>
          <w:rFonts w:hint="eastAsia" w:ascii="Times New Roman" w:hAnsi="Times New Roman" w:eastAsia="宋体" w:cs="Times New Roman"/>
        </w:rPr>
        <w:t>）为：</w:t>
      </w:r>
    </w:p>
    <w:p w14:paraId="6E336D89">
      <w:pPr>
        <w:pStyle w:val="52"/>
        <w:keepNext w:val="0"/>
        <w:keepLines w:val="0"/>
        <w:widowControl/>
        <w:suppressLineNumbers w:val="0"/>
        <w:spacing w:line="240" w:lineRule="auto"/>
        <w:ind w:firstLine="1200" w:firstLineChars="500"/>
        <w:jc w:val="center"/>
        <w:textAlignment w:val="center"/>
      </w:pPr>
      <w:r>
        <w:drawing>
          <wp:inline distT="0" distB="0" distL="114300" distR="114300">
            <wp:extent cx="2475865" cy="537210"/>
            <wp:effectExtent l="0" t="0" r="635" b="15240"/>
            <wp:docPr id="110" name="图片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 name="图片 72"/>
                    <pic:cNvPicPr>
                      <a:picLocks noChangeAspect="1"/>
                    </pic:cNvPicPr>
                  </pic:nvPicPr>
                  <pic:blipFill>
                    <a:blip r:embed="rId100"/>
                    <a:stretch>
                      <a:fillRect/>
                    </a:stretch>
                  </pic:blipFill>
                  <pic:spPr>
                    <a:xfrm>
                      <a:off x="0" y="0"/>
                      <a:ext cx="2475865" cy="537210"/>
                    </a:xfrm>
                    <a:prstGeom prst="rect">
                      <a:avLst/>
                    </a:prstGeom>
                    <a:noFill/>
                    <a:ln>
                      <a:noFill/>
                    </a:ln>
                  </pic:spPr>
                </pic:pic>
              </a:graphicData>
            </a:graphic>
          </wp:inline>
        </w:drawing>
      </w:r>
    </w:p>
    <w:p w14:paraId="05FBFEA7">
      <w:pPr>
        <w:pStyle w:val="129"/>
        <w:snapToGrid/>
        <w:spacing w:line="500" w:lineRule="exact"/>
        <w:ind w:firstLine="480"/>
        <w:rPr>
          <w:rFonts w:ascii="Times New Roman" w:hAnsi="Times New Roman" w:eastAsia="宋体" w:cs="Times New Roman"/>
          <w:lang w:val="en-US"/>
        </w:rPr>
      </w:pPr>
      <w:r>
        <w:rPr>
          <w:rFonts w:hint="eastAsia" w:ascii="Times New Roman" w:hAnsi="Times New Roman" w:eastAsia="宋体" w:cs="Times New Roman"/>
          <w:lang w:val="en-US"/>
        </w:rPr>
        <w:t>式中：</w:t>
      </w:r>
      <w:r>
        <w:rPr>
          <w:rFonts w:hint="default" w:ascii="Times New Roman" w:hAnsi="Times New Roman" w:eastAsia="宋体" w:cs="Times New Roman"/>
          <w:lang w:val="en-US"/>
        </w:rPr>
        <w:t>Leqg—</w:t>
      </w:r>
      <w:r>
        <w:rPr>
          <w:rFonts w:hint="eastAsia" w:ascii="Times New Roman" w:hAnsi="Times New Roman" w:eastAsia="宋体" w:cs="Times New Roman"/>
          <w:lang w:val="en-US"/>
        </w:rPr>
        <w:t>建设项目声源在预测点产生的噪声贡献值，</w:t>
      </w:r>
      <w:r>
        <w:rPr>
          <w:rFonts w:hint="default" w:ascii="Times New Roman" w:hAnsi="Times New Roman" w:eastAsia="宋体" w:cs="Times New Roman"/>
          <w:lang w:val="en-US"/>
        </w:rPr>
        <w:t>dB</w:t>
      </w:r>
      <w:r>
        <w:rPr>
          <w:rFonts w:hint="eastAsia" w:ascii="Times New Roman" w:hAnsi="Times New Roman" w:eastAsia="宋体" w:cs="Times New Roman"/>
          <w:lang w:val="en-US"/>
        </w:rPr>
        <w:t>；</w:t>
      </w:r>
    </w:p>
    <w:p w14:paraId="2018EE7F">
      <w:pPr>
        <w:pStyle w:val="129"/>
        <w:snapToGrid/>
        <w:spacing w:line="500" w:lineRule="exact"/>
        <w:ind w:firstLine="1200" w:firstLineChars="500"/>
        <w:rPr>
          <w:rFonts w:ascii="Times New Roman" w:hAnsi="Times New Roman" w:eastAsia="宋体" w:cs="Times New Roman"/>
          <w:lang w:val="en-US"/>
        </w:rPr>
      </w:pPr>
      <w:r>
        <w:rPr>
          <w:rFonts w:hint="default" w:ascii="Times New Roman" w:hAnsi="Times New Roman" w:eastAsia="宋体" w:cs="Times New Roman"/>
          <w:lang w:val="en-US"/>
        </w:rPr>
        <w:t>T—</w:t>
      </w:r>
      <w:r>
        <w:rPr>
          <w:rFonts w:hint="eastAsia" w:ascii="Times New Roman" w:hAnsi="Times New Roman" w:eastAsia="宋体" w:cs="Times New Roman"/>
          <w:lang w:val="en-US"/>
        </w:rPr>
        <w:t>用于计算等效声级的时间，</w:t>
      </w:r>
      <w:r>
        <w:rPr>
          <w:rFonts w:hint="default" w:ascii="Times New Roman" w:hAnsi="Times New Roman" w:eastAsia="宋体" w:cs="Times New Roman"/>
          <w:lang w:val="en-US"/>
        </w:rPr>
        <w:t>s</w:t>
      </w:r>
      <w:r>
        <w:rPr>
          <w:rFonts w:hint="eastAsia" w:ascii="Times New Roman" w:hAnsi="Times New Roman" w:eastAsia="宋体" w:cs="Times New Roman"/>
          <w:lang w:val="en-US"/>
        </w:rPr>
        <w:t>；</w:t>
      </w:r>
    </w:p>
    <w:p w14:paraId="2A3E4434">
      <w:pPr>
        <w:pStyle w:val="129"/>
        <w:snapToGrid/>
        <w:spacing w:line="500" w:lineRule="exact"/>
        <w:ind w:firstLine="1200" w:firstLineChars="500"/>
        <w:rPr>
          <w:rFonts w:ascii="Times New Roman" w:hAnsi="Times New Roman" w:eastAsia="宋体" w:cs="Times New Roman"/>
          <w:lang w:val="en-US"/>
        </w:rPr>
      </w:pPr>
      <w:r>
        <w:rPr>
          <w:rFonts w:hint="default" w:ascii="Times New Roman" w:hAnsi="Times New Roman" w:eastAsia="宋体" w:cs="Times New Roman"/>
          <w:lang w:val="en-US"/>
        </w:rPr>
        <w:t>N—</w:t>
      </w:r>
      <w:r>
        <w:rPr>
          <w:rFonts w:hint="eastAsia" w:ascii="Times New Roman" w:hAnsi="Times New Roman" w:eastAsia="宋体" w:cs="Times New Roman"/>
          <w:lang w:val="en-US"/>
        </w:rPr>
        <w:t>室外声源个数；</w:t>
      </w:r>
    </w:p>
    <w:p w14:paraId="4A5DE22E">
      <w:pPr>
        <w:pStyle w:val="129"/>
        <w:snapToGrid/>
        <w:spacing w:line="500" w:lineRule="exact"/>
        <w:ind w:firstLine="1200" w:firstLineChars="500"/>
        <w:rPr>
          <w:rFonts w:ascii="Times New Roman" w:hAnsi="Times New Roman" w:eastAsia="宋体" w:cs="Times New Roman"/>
          <w:lang w:val="en-US"/>
        </w:rPr>
      </w:pPr>
      <w:r>
        <w:rPr>
          <w:rFonts w:hint="default" w:ascii="Times New Roman" w:hAnsi="Times New Roman" w:eastAsia="宋体" w:cs="Times New Roman"/>
          <w:lang w:val="en-US"/>
        </w:rPr>
        <w:t>ti—</w:t>
      </w:r>
      <w:r>
        <w:rPr>
          <w:rFonts w:hint="eastAsia" w:ascii="Times New Roman" w:hAnsi="Times New Roman" w:eastAsia="宋体" w:cs="Times New Roman"/>
          <w:lang w:val="en-US"/>
        </w:rPr>
        <w:t>在</w:t>
      </w:r>
      <w:r>
        <w:rPr>
          <w:rFonts w:hint="default" w:ascii="Times New Roman" w:hAnsi="Times New Roman" w:eastAsia="宋体" w:cs="Times New Roman"/>
          <w:lang w:val="en-US"/>
        </w:rPr>
        <w:t xml:space="preserve">T </w:t>
      </w:r>
      <w:r>
        <w:rPr>
          <w:rFonts w:hint="eastAsia" w:ascii="Times New Roman" w:hAnsi="Times New Roman" w:eastAsia="宋体" w:cs="Times New Roman"/>
          <w:lang w:val="en-US"/>
        </w:rPr>
        <w:t>时间内</w:t>
      </w:r>
      <w:r>
        <w:rPr>
          <w:rFonts w:hint="default" w:ascii="Times New Roman" w:hAnsi="Times New Roman" w:eastAsia="宋体" w:cs="Times New Roman"/>
          <w:lang w:val="en-US"/>
        </w:rPr>
        <w:t xml:space="preserve">i </w:t>
      </w:r>
      <w:r>
        <w:rPr>
          <w:rFonts w:hint="eastAsia" w:ascii="Times New Roman" w:hAnsi="Times New Roman" w:eastAsia="宋体" w:cs="Times New Roman"/>
          <w:lang w:val="en-US"/>
        </w:rPr>
        <w:t>声源工作时间，</w:t>
      </w:r>
      <w:r>
        <w:rPr>
          <w:rFonts w:hint="default" w:ascii="Times New Roman" w:hAnsi="Times New Roman" w:eastAsia="宋体" w:cs="Times New Roman"/>
          <w:lang w:val="en-US"/>
        </w:rPr>
        <w:t>s</w:t>
      </w:r>
      <w:r>
        <w:rPr>
          <w:rFonts w:hint="eastAsia" w:ascii="Times New Roman" w:hAnsi="Times New Roman" w:eastAsia="宋体" w:cs="Times New Roman"/>
          <w:lang w:val="en-US"/>
        </w:rPr>
        <w:t>；</w:t>
      </w:r>
    </w:p>
    <w:p w14:paraId="30C75BD5">
      <w:pPr>
        <w:pStyle w:val="129"/>
        <w:snapToGrid/>
        <w:spacing w:line="500" w:lineRule="exact"/>
        <w:ind w:firstLine="1200" w:firstLineChars="500"/>
        <w:rPr>
          <w:rFonts w:ascii="Times New Roman" w:hAnsi="Times New Roman" w:eastAsia="宋体" w:cs="Times New Roman"/>
          <w:lang w:val="en-US"/>
        </w:rPr>
      </w:pPr>
      <w:r>
        <w:rPr>
          <w:rFonts w:hint="default" w:ascii="Times New Roman" w:hAnsi="Times New Roman" w:eastAsia="宋体" w:cs="Times New Roman"/>
          <w:lang w:val="en-US"/>
        </w:rPr>
        <w:t>M—</w:t>
      </w:r>
      <w:r>
        <w:rPr>
          <w:rFonts w:hint="eastAsia" w:ascii="Times New Roman" w:hAnsi="Times New Roman" w:eastAsia="宋体" w:cs="Times New Roman"/>
          <w:lang w:val="en-US"/>
        </w:rPr>
        <w:t>等效室外声源个数；</w:t>
      </w:r>
    </w:p>
    <w:p w14:paraId="64B2C62A">
      <w:pPr>
        <w:pStyle w:val="129"/>
        <w:snapToGrid/>
        <w:spacing w:line="500" w:lineRule="exact"/>
        <w:ind w:firstLine="1200" w:firstLineChars="500"/>
        <w:rPr>
          <w:rFonts w:ascii="Times New Roman" w:hAnsi="Times New Roman" w:eastAsia="宋体" w:cs="Times New Roman"/>
          <w:lang w:val="en-US"/>
        </w:rPr>
      </w:pPr>
      <w:r>
        <w:rPr>
          <w:rFonts w:hint="default" w:ascii="Times New Roman" w:hAnsi="Times New Roman" w:eastAsia="宋体" w:cs="Times New Roman"/>
          <w:lang w:val="en-US"/>
        </w:rPr>
        <w:t>tj—</w:t>
      </w:r>
      <w:r>
        <w:rPr>
          <w:rFonts w:hint="eastAsia" w:ascii="Times New Roman" w:hAnsi="Times New Roman" w:eastAsia="宋体" w:cs="Times New Roman"/>
          <w:lang w:val="en-US"/>
        </w:rPr>
        <w:t>在</w:t>
      </w:r>
      <w:r>
        <w:rPr>
          <w:rFonts w:hint="default" w:ascii="Times New Roman" w:hAnsi="Times New Roman" w:eastAsia="宋体" w:cs="Times New Roman"/>
          <w:lang w:val="en-US"/>
        </w:rPr>
        <w:t xml:space="preserve">T </w:t>
      </w:r>
      <w:r>
        <w:rPr>
          <w:rFonts w:hint="eastAsia" w:ascii="Times New Roman" w:hAnsi="Times New Roman" w:eastAsia="宋体" w:cs="Times New Roman"/>
          <w:lang w:val="en-US"/>
        </w:rPr>
        <w:t>时间内</w:t>
      </w:r>
      <w:r>
        <w:rPr>
          <w:rFonts w:hint="default" w:ascii="Times New Roman" w:hAnsi="Times New Roman" w:eastAsia="宋体" w:cs="Times New Roman"/>
          <w:lang w:val="en-US"/>
        </w:rPr>
        <w:t>j</w:t>
      </w:r>
      <w:r>
        <w:rPr>
          <w:rFonts w:hint="eastAsia" w:ascii="Times New Roman" w:hAnsi="Times New Roman" w:eastAsia="宋体" w:cs="Times New Roman"/>
          <w:lang w:val="en-US"/>
        </w:rPr>
        <w:t>声源工作时间，</w:t>
      </w:r>
      <w:r>
        <w:rPr>
          <w:rFonts w:hint="default" w:ascii="Times New Roman" w:hAnsi="Times New Roman" w:eastAsia="宋体" w:cs="Times New Roman"/>
          <w:lang w:val="en-US"/>
        </w:rPr>
        <w:t>s</w:t>
      </w:r>
      <w:r>
        <w:rPr>
          <w:rFonts w:hint="eastAsia" w:ascii="Times New Roman" w:hAnsi="Times New Roman" w:eastAsia="宋体" w:cs="Times New Roman"/>
          <w:lang w:val="en-US"/>
        </w:rPr>
        <w:t>。</w:t>
      </w:r>
    </w:p>
    <w:p w14:paraId="2C137785">
      <w:pPr>
        <w:pStyle w:val="52"/>
        <w:keepNext w:val="0"/>
        <w:keepLines w:val="0"/>
        <w:widowControl/>
        <w:suppressLineNumbers w:val="0"/>
        <w:spacing w:line="240" w:lineRule="auto"/>
        <w:ind w:firstLine="1200" w:firstLineChars="500"/>
        <w:jc w:val="left"/>
        <w:textAlignment w:val="center"/>
      </w:pPr>
    </w:p>
    <w:bookmarkEnd w:id="477"/>
    <w:bookmarkEnd w:id="478"/>
    <w:bookmarkEnd w:id="479"/>
    <w:bookmarkEnd w:id="480"/>
    <w:p w14:paraId="686673D3">
      <w:pPr>
        <w:pStyle w:val="7"/>
      </w:pPr>
      <w:bookmarkStart w:id="481" w:name="_Toc90026306"/>
      <w:bookmarkStart w:id="482" w:name="_Toc11682"/>
      <w:r>
        <w:rPr>
          <w:rFonts w:hint="eastAsia"/>
          <w:lang w:eastAsia="zh-CN"/>
        </w:rPr>
        <w:t>5</w:t>
      </w:r>
      <w:r>
        <w:t>.2.4 预测结果分析</w:t>
      </w:r>
      <w:bookmarkEnd w:id="481"/>
      <w:bookmarkEnd w:id="482"/>
    </w:p>
    <w:p w14:paraId="685F310B">
      <w:pPr>
        <w:pStyle w:val="52"/>
        <w:keepNext w:val="0"/>
        <w:keepLines w:val="0"/>
        <w:widowControl/>
        <w:suppressLineNumbers w:val="0"/>
        <w:spacing w:line="240" w:lineRule="auto"/>
        <w:ind w:left="0" w:firstLine="482"/>
        <w:jc w:val="left"/>
        <w:textAlignment w:val="center"/>
        <w:rPr>
          <w:rFonts w:hint="eastAsia" w:ascii="宋体" w:hAnsi="宋体" w:eastAsia="宋体" w:cs="宋体"/>
          <w:color w:val="000000"/>
          <w:spacing w:val="0"/>
          <w:position w:val="0"/>
          <w:sz w:val="24"/>
          <w:szCs w:val="24"/>
          <w:highlight w:val="none"/>
        </w:rPr>
      </w:pPr>
      <w:r>
        <w:rPr>
          <w:rFonts w:hint="eastAsia" w:ascii="宋体" w:hAnsi="宋体" w:eastAsia="宋体" w:cs="宋体"/>
          <w:color w:val="000000"/>
          <w:spacing w:val="0"/>
          <w:position w:val="0"/>
          <w:sz w:val="24"/>
          <w:szCs w:val="24"/>
          <w:highlight w:val="none"/>
        </w:rPr>
        <w:t>本项目选择噪声监测点作为噪声预测评价点，根据噪声预测模式和设备的声功率进行计算，计算结果见表</w:t>
      </w:r>
      <w:r>
        <w:rPr>
          <w:rFonts w:hint="default" w:ascii="Times New Roman" w:hAnsi="Times New Roman" w:cs="Times New Roman"/>
          <w:color w:val="000000"/>
          <w:spacing w:val="0"/>
          <w:position w:val="0"/>
          <w:sz w:val="24"/>
          <w:szCs w:val="24"/>
          <w:highlight w:val="none"/>
        </w:rPr>
        <w:t>6.3.2-1</w:t>
      </w:r>
      <w:r>
        <w:rPr>
          <w:rFonts w:hint="eastAsia" w:ascii="宋体" w:hAnsi="宋体" w:eastAsia="宋体" w:cs="宋体"/>
          <w:color w:val="000000"/>
          <w:spacing w:val="0"/>
          <w:position w:val="0"/>
          <w:sz w:val="24"/>
          <w:szCs w:val="24"/>
          <w:highlight w:val="none"/>
        </w:rPr>
        <w:t>。由预测结果可知，项目建成后设备及生产操作产生的噪声经降噪措施治理，对</w:t>
      </w:r>
      <w:r>
        <w:rPr>
          <w:rFonts w:hint="eastAsia" w:ascii="宋体" w:hAnsi="宋体" w:eastAsia="宋体" w:cs="宋体"/>
          <w:color w:val="000000"/>
          <w:spacing w:val="0"/>
          <w:position w:val="0"/>
          <w:sz w:val="24"/>
          <w:szCs w:val="24"/>
          <w:highlight w:val="none"/>
          <w:lang w:val="en-US" w:eastAsia="zh-CN"/>
        </w:rPr>
        <w:t>北</w:t>
      </w:r>
      <w:r>
        <w:rPr>
          <w:rFonts w:hint="eastAsia" w:ascii="宋体" w:hAnsi="宋体" w:eastAsia="宋体" w:cs="宋体"/>
          <w:color w:val="000000"/>
          <w:spacing w:val="0"/>
          <w:position w:val="0"/>
          <w:sz w:val="24"/>
          <w:szCs w:val="24"/>
          <w:highlight w:val="none"/>
        </w:rPr>
        <w:t>厂界夜间噪声增量较大，但</w:t>
      </w:r>
      <w:r>
        <w:rPr>
          <w:rFonts w:hint="eastAsia" w:ascii="Times New Roman" w:hAnsi="Times New Roman" w:cs="Times New Roman"/>
          <w:highlight w:val="none"/>
        </w:rPr>
        <w:t>厂界东侧，西侧，北侧噪声值满足《工业企业厂界环境噪声排放标准(GB12348-2008)》中2类标准(2类：昼间60dB(A)，夜间50dB(A))要求。厂界南侧噪声值满足《工业企业厂界环境噪声排放标准(GB12348-2008)》中4类标准(4类：昼间70dB(A)，夜间55dB(A))要求</w:t>
      </w:r>
      <w:r>
        <w:rPr>
          <w:rFonts w:ascii="Times New Roman" w:hAnsi="Times New Roman" w:cs="Times New Roman"/>
          <w:highlight w:val="none"/>
        </w:rPr>
        <w:t>。</w:t>
      </w:r>
      <w:r>
        <w:rPr>
          <w:rFonts w:hint="eastAsia" w:ascii="宋体" w:hAnsi="宋体" w:eastAsia="宋体" w:cs="宋体"/>
          <w:color w:val="000000"/>
          <w:spacing w:val="0"/>
          <w:position w:val="0"/>
          <w:sz w:val="24"/>
          <w:szCs w:val="24"/>
          <w:highlight w:val="none"/>
        </w:rPr>
        <w:t>项目运行过程中需加强噪声管理。项目周边</w:t>
      </w:r>
      <w:r>
        <w:rPr>
          <w:rFonts w:hint="default" w:ascii="Times New Roman" w:hAnsi="Times New Roman" w:cs="Times New Roman"/>
          <w:color w:val="000000"/>
          <w:spacing w:val="0"/>
          <w:position w:val="0"/>
          <w:sz w:val="24"/>
          <w:szCs w:val="24"/>
          <w:highlight w:val="none"/>
        </w:rPr>
        <w:t>200m</w:t>
      </w:r>
      <w:r>
        <w:rPr>
          <w:rFonts w:hint="eastAsia" w:ascii="宋体" w:hAnsi="宋体" w:eastAsia="宋体" w:cs="宋体"/>
          <w:color w:val="000000"/>
          <w:spacing w:val="0"/>
          <w:position w:val="0"/>
          <w:sz w:val="24"/>
          <w:szCs w:val="24"/>
          <w:highlight w:val="none"/>
        </w:rPr>
        <w:t>居民点，</w:t>
      </w:r>
      <w:r>
        <w:rPr>
          <w:rFonts w:hint="eastAsia" w:ascii="宋体" w:hAnsi="宋体" w:eastAsia="宋体" w:cs="宋体"/>
          <w:color w:val="000000"/>
          <w:spacing w:val="0"/>
          <w:position w:val="0"/>
          <w:sz w:val="24"/>
          <w:szCs w:val="24"/>
          <w:highlight w:val="none"/>
          <w:lang w:val="en-US" w:eastAsia="zh-CN"/>
        </w:rPr>
        <w:t>最近居民点距北厂界24m，距西厂界24m，</w:t>
      </w:r>
      <w:r>
        <w:rPr>
          <w:rFonts w:hint="eastAsia" w:ascii="Times New Roman" w:hAnsi="Times New Roman" w:cs="Times New Roman"/>
          <w:highlight w:val="none"/>
        </w:rPr>
        <w:t>噪声值满足《工业企业厂界环境噪声排放标准(GB12348-2008)》中</w:t>
      </w:r>
      <w:r>
        <w:rPr>
          <w:rFonts w:hint="eastAsia" w:ascii="Times New Roman" w:hAnsi="Times New Roman" w:cs="Times New Roman"/>
          <w:highlight w:val="none"/>
          <w:lang w:val="en-US" w:eastAsia="zh-CN"/>
        </w:rPr>
        <w:t>1</w:t>
      </w:r>
      <w:r>
        <w:rPr>
          <w:rFonts w:hint="eastAsia" w:ascii="Times New Roman" w:hAnsi="Times New Roman" w:cs="Times New Roman"/>
          <w:highlight w:val="none"/>
        </w:rPr>
        <w:t>类标准(4类：昼间</w:t>
      </w:r>
      <w:r>
        <w:rPr>
          <w:rFonts w:hint="eastAsia" w:ascii="Times New Roman" w:hAnsi="Times New Roman" w:cs="Times New Roman"/>
          <w:highlight w:val="none"/>
          <w:lang w:val="en-US" w:eastAsia="zh-CN"/>
        </w:rPr>
        <w:t>55</w:t>
      </w:r>
      <w:r>
        <w:rPr>
          <w:rFonts w:hint="eastAsia" w:ascii="Times New Roman" w:hAnsi="Times New Roman" w:cs="Times New Roman"/>
          <w:highlight w:val="none"/>
        </w:rPr>
        <w:t>dB(A)，夜间</w:t>
      </w:r>
      <w:r>
        <w:rPr>
          <w:rFonts w:hint="eastAsia" w:ascii="Times New Roman" w:hAnsi="Times New Roman" w:cs="Times New Roman"/>
          <w:highlight w:val="none"/>
          <w:lang w:val="en-US" w:eastAsia="zh-CN"/>
        </w:rPr>
        <w:t>4</w:t>
      </w:r>
      <w:r>
        <w:rPr>
          <w:rFonts w:hint="eastAsia" w:ascii="Times New Roman" w:hAnsi="Times New Roman" w:cs="Times New Roman"/>
          <w:highlight w:val="none"/>
        </w:rPr>
        <w:t>5dB(A))要求</w:t>
      </w:r>
      <w:r>
        <w:rPr>
          <w:rFonts w:hint="eastAsia" w:ascii="Times New Roman" w:hAnsi="Times New Roman" w:cs="Times New Roman"/>
          <w:highlight w:val="none"/>
          <w:lang w:eastAsia="zh-CN"/>
        </w:rPr>
        <w:t>，</w:t>
      </w:r>
      <w:r>
        <w:rPr>
          <w:rFonts w:hint="eastAsia" w:ascii="宋体" w:hAnsi="宋体" w:eastAsia="宋体" w:cs="宋体"/>
          <w:color w:val="000000"/>
          <w:spacing w:val="0"/>
          <w:position w:val="0"/>
          <w:sz w:val="24"/>
          <w:szCs w:val="24"/>
          <w:highlight w:val="none"/>
        </w:rPr>
        <w:t>对周边声环境的影响较小。</w:t>
      </w:r>
    </w:p>
    <w:p w14:paraId="72CFA029">
      <w:pPr>
        <w:pStyle w:val="52"/>
        <w:keepNext w:val="0"/>
        <w:keepLines w:val="0"/>
        <w:widowControl/>
        <w:suppressLineNumbers w:val="0"/>
        <w:spacing w:line="240" w:lineRule="auto"/>
        <w:ind w:left="0" w:firstLine="482"/>
        <w:jc w:val="left"/>
        <w:textAlignment w:val="center"/>
        <w:rPr>
          <w:rFonts w:hint="default" w:ascii="宋体" w:hAnsi="宋体" w:eastAsia="宋体" w:cs="宋体"/>
          <w:color w:val="000000"/>
          <w:spacing w:val="0"/>
          <w:position w:val="0"/>
          <w:sz w:val="24"/>
          <w:szCs w:val="24"/>
          <w:lang w:val="en-US" w:eastAsia="zh-CN"/>
        </w:rPr>
        <w:sectPr>
          <w:pgSz w:w="11907" w:h="16840"/>
          <w:pgMar w:top="1701" w:right="1701" w:bottom="1701" w:left="1701" w:header="851" w:footer="1077" w:gutter="0"/>
          <w:pgBorders w:offsetFrom="page">
            <w:top w:val="none" w:sz="0" w:space="0"/>
            <w:left w:val="none" w:sz="0" w:space="0"/>
            <w:bottom w:val="none" w:sz="0" w:space="0"/>
            <w:right w:val="none" w:sz="0" w:space="0"/>
          </w:pgBorders>
          <w:pgNumType w:fmt="decimal"/>
          <w:cols w:space="720" w:num="1"/>
          <w:docGrid w:type="lines" w:linePitch="479" w:charSpace="0"/>
        </w:sectPr>
      </w:pPr>
    </w:p>
    <w:p w14:paraId="35D86982">
      <w:pPr>
        <w:pStyle w:val="463"/>
        <w:spacing w:line="240" w:lineRule="auto"/>
        <w:ind w:firstLine="0" w:firstLineChars="0"/>
        <w:jc w:val="center"/>
        <w:rPr>
          <w:rFonts w:ascii="Times New Roman" w:hAnsi="Times New Roman" w:eastAsia="黑体" w:cs="Times New Roman"/>
          <w:sz w:val="21"/>
          <w:szCs w:val="21"/>
        </w:rPr>
      </w:pPr>
      <w:r>
        <w:rPr>
          <w:rFonts w:ascii="Times New Roman" w:hAnsi="Times New Roman" w:eastAsia="黑体" w:cs="Times New Roman"/>
        </w:rPr>
        <w:t>表</w:t>
      </w:r>
      <w:r>
        <w:rPr>
          <w:rFonts w:hint="eastAsia" w:ascii="Times New Roman" w:hAnsi="Times New Roman" w:eastAsia="黑体" w:cs="Times New Roman"/>
        </w:rPr>
        <w:t>5</w:t>
      </w:r>
      <w:r>
        <w:rPr>
          <w:rFonts w:ascii="Times New Roman" w:hAnsi="Times New Roman" w:eastAsia="黑体" w:cs="Times New Roman"/>
        </w:rPr>
        <w:t xml:space="preserve">.2-2  噪声预测结果统计表    </w:t>
      </w:r>
      <w:r>
        <w:rPr>
          <w:rFonts w:ascii="Times New Roman" w:hAnsi="Times New Roman" w:eastAsia="黑体" w:cs="Times New Roman"/>
          <w:sz w:val="21"/>
          <w:szCs w:val="21"/>
        </w:rPr>
        <w:t>单位：dB（A）</w:t>
      </w:r>
    </w:p>
    <w:tbl>
      <w:tblPr>
        <w:tblStyle w:val="56"/>
        <w:tblW w:w="4999"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589"/>
        <w:gridCol w:w="1153"/>
        <w:gridCol w:w="850"/>
        <w:gridCol w:w="850"/>
        <w:gridCol w:w="850"/>
        <w:gridCol w:w="850"/>
        <w:gridCol w:w="850"/>
        <w:gridCol w:w="850"/>
        <w:gridCol w:w="850"/>
        <w:gridCol w:w="850"/>
        <w:gridCol w:w="850"/>
        <w:gridCol w:w="850"/>
        <w:gridCol w:w="850"/>
        <w:gridCol w:w="850"/>
        <w:gridCol w:w="850"/>
        <w:gridCol w:w="858"/>
      </w:tblGrid>
      <w:tr w14:paraId="3D3C5C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590" w:type="dxa"/>
            <w:vMerge w:val="restart"/>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7110E3CC">
            <w:pPr>
              <w:jc w:val="center"/>
              <w:rPr>
                <w:b/>
                <w:sz w:val="21"/>
                <w:szCs w:val="21"/>
              </w:rPr>
            </w:pPr>
            <w:r>
              <w:rPr>
                <w:b/>
                <w:sz w:val="21"/>
                <w:szCs w:val="21"/>
              </w:rPr>
              <w:t>序号</w:t>
            </w:r>
          </w:p>
        </w:tc>
        <w:tc>
          <w:tcPr>
            <w:tcW w:w="1155" w:type="dxa"/>
            <w:vMerge w:val="restart"/>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67AC1F34">
            <w:pPr>
              <w:jc w:val="center"/>
              <w:rPr>
                <w:b/>
                <w:sz w:val="21"/>
                <w:szCs w:val="21"/>
              </w:rPr>
            </w:pPr>
            <w:r>
              <w:rPr>
                <w:b/>
                <w:sz w:val="21"/>
                <w:szCs w:val="21"/>
              </w:rPr>
              <w:t>声环境保护目标名称/厂界</w:t>
            </w:r>
          </w:p>
        </w:tc>
        <w:tc>
          <w:tcPr>
            <w:tcW w:w="1700" w:type="dxa"/>
            <w:gridSpan w:val="2"/>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06CA0078">
            <w:pPr>
              <w:jc w:val="center"/>
              <w:rPr>
                <w:b/>
                <w:sz w:val="21"/>
                <w:szCs w:val="21"/>
              </w:rPr>
            </w:pPr>
            <w:r>
              <w:rPr>
                <w:b/>
                <w:sz w:val="21"/>
                <w:szCs w:val="21"/>
              </w:rPr>
              <w:t>噪声背景值/dB(A)</w:t>
            </w:r>
          </w:p>
        </w:tc>
        <w:tc>
          <w:tcPr>
            <w:tcW w:w="1700" w:type="dxa"/>
            <w:gridSpan w:val="2"/>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2E890004">
            <w:pPr>
              <w:jc w:val="center"/>
              <w:rPr>
                <w:b/>
                <w:sz w:val="21"/>
                <w:szCs w:val="21"/>
              </w:rPr>
            </w:pPr>
            <w:r>
              <w:rPr>
                <w:b/>
                <w:sz w:val="21"/>
                <w:szCs w:val="21"/>
              </w:rPr>
              <w:t>噪声现状值/dB(A)</w:t>
            </w:r>
          </w:p>
        </w:tc>
        <w:tc>
          <w:tcPr>
            <w:tcW w:w="1700" w:type="dxa"/>
            <w:gridSpan w:val="2"/>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639C2564">
            <w:pPr>
              <w:jc w:val="center"/>
              <w:rPr>
                <w:b/>
                <w:sz w:val="21"/>
                <w:szCs w:val="21"/>
              </w:rPr>
            </w:pPr>
            <w:r>
              <w:rPr>
                <w:b/>
                <w:sz w:val="21"/>
                <w:szCs w:val="21"/>
              </w:rPr>
              <w:t>噪声标准/dB(A)</w:t>
            </w:r>
          </w:p>
        </w:tc>
        <w:tc>
          <w:tcPr>
            <w:tcW w:w="1700" w:type="dxa"/>
            <w:gridSpan w:val="2"/>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2C60E34E">
            <w:pPr>
              <w:jc w:val="center"/>
              <w:rPr>
                <w:b/>
                <w:sz w:val="21"/>
                <w:szCs w:val="21"/>
              </w:rPr>
            </w:pPr>
            <w:r>
              <w:rPr>
                <w:b/>
                <w:sz w:val="21"/>
                <w:szCs w:val="21"/>
              </w:rPr>
              <w:t>噪声贡献值 /dB(A)</w:t>
            </w:r>
          </w:p>
        </w:tc>
        <w:tc>
          <w:tcPr>
            <w:tcW w:w="1700" w:type="dxa"/>
            <w:gridSpan w:val="2"/>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19F52CD4">
            <w:pPr>
              <w:jc w:val="center"/>
              <w:rPr>
                <w:b/>
                <w:sz w:val="21"/>
                <w:szCs w:val="21"/>
              </w:rPr>
            </w:pPr>
            <w:r>
              <w:rPr>
                <w:b/>
                <w:sz w:val="21"/>
                <w:szCs w:val="21"/>
              </w:rPr>
              <w:t>噪声预测值 /dB(A)</w:t>
            </w:r>
          </w:p>
        </w:tc>
        <w:tc>
          <w:tcPr>
            <w:tcW w:w="1700" w:type="dxa"/>
            <w:gridSpan w:val="2"/>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77097A8D">
            <w:pPr>
              <w:jc w:val="center"/>
              <w:rPr>
                <w:b/>
                <w:sz w:val="21"/>
                <w:szCs w:val="21"/>
              </w:rPr>
            </w:pPr>
            <w:r>
              <w:rPr>
                <w:b/>
                <w:sz w:val="21"/>
                <w:szCs w:val="21"/>
              </w:rPr>
              <w:t>较现状增量/dB(A)</w:t>
            </w:r>
          </w:p>
        </w:tc>
        <w:tc>
          <w:tcPr>
            <w:tcW w:w="1708" w:type="dxa"/>
            <w:gridSpan w:val="2"/>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130BF481">
            <w:pPr>
              <w:jc w:val="center"/>
              <w:rPr>
                <w:b/>
                <w:sz w:val="21"/>
                <w:szCs w:val="21"/>
              </w:rPr>
            </w:pPr>
            <w:r>
              <w:rPr>
                <w:b/>
                <w:sz w:val="21"/>
                <w:szCs w:val="21"/>
              </w:rPr>
              <w:t>超标和达标情况</w:t>
            </w:r>
          </w:p>
        </w:tc>
      </w:tr>
      <w:tr w14:paraId="26531E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590" w:type="dxa"/>
            <w:vMerge w:val="continue"/>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39533E83">
            <w:pPr>
              <w:jc w:val="center"/>
              <w:rPr>
                <w:b/>
                <w:sz w:val="21"/>
                <w:szCs w:val="21"/>
              </w:rPr>
            </w:pPr>
          </w:p>
        </w:tc>
        <w:tc>
          <w:tcPr>
            <w:tcW w:w="1155" w:type="dxa"/>
            <w:vMerge w:val="continue"/>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2DE995F2">
            <w:pPr>
              <w:jc w:val="center"/>
              <w:rPr>
                <w:b/>
                <w:sz w:val="21"/>
                <w:szCs w:val="21"/>
              </w:rPr>
            </w:pPr>
          </w:p>
        </w:tc>
        <w:tc>
          <w:tcPr>
            <w:tcW w:w="850"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6FCE7B0B">
            <w:pPr>
              <w:jc w:val="center"/>
              <w:rPr>
                <w:b/>
                <w:sz w:val="21"/>
                <w:szCs w:val="21"/>
              </w:rPr>
            </w:pPr>
            <w:r>
              <w:rPr>
                <w:b/>
                <w:sz w:val="21"/>
                <w:szCs w:val="21"/>
              </w:rPr>
              <w:t>昼间</w:t>
            </w:r>
          </w:p>
        </w:tc>
        <w:tc>
          <w:tcPr>
            <w:tcW w:w="850"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41677206">
            <w:pPr>
              <w:jc w:val="center"/>
              <w:rPr>
                <w:b/>
                <w:sz w:val="21"/>
                <w:szCs w:val="21"/>
              </w:rPr>
            </w:pPr>
            <w:r>
              <w:rPr>
                <w:b/>
                <w:sz w:val="21"/>
                <w:szCs w:val="21"/>
              </w:rPr>
              <w:t>夜间</w:t>
            </w:r>
          </w:p>
        </w:tc>
        <w:tc>
          <w:tcPr>
            <w:tcW w:w="850"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5D8B0094">
            <w:pPr>
              <w:jc w:val="center"/>
              <w:rPr>
                <w:b/>
                <w:sz w:val="21"/>
                <w:szCs w:val="21"/>
              </w:rPr>
            </w:pPr>
            <w:r>
              <w:rPr>
                <w:b/>
                <w:sz w:val="21"/>
                <w:szCs w:val="21"/>
              </w:rPr>
              <w:t>昼间</w:t>
            </w:r>
          </w:p>
        </w:tc>
        <w:tc>
          <w:tcPr>
            <w:tcW w:w="850"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4AC50CDA">
            <w:pPr>
              <w:jc w:val="center"/>
              <w:rPr>
                <w:b/>
                <w:sz w:val="21"/>
                <w:szCs w:val="21"/>
              </w:rPr>
            </w:pPr>
            <w:r>
              <w:rPr>
                <w:b/>
                <w:sz w:val="21"/>
                <w:szCs w:val="21"/>
              </w:rPr>
              <w:t>夜间</w:t>
            </w:r>
          </w:p>
        </w:tc>
        <w:tc>
          <w:tcPr>
            <w:tcW w:w="850"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26882058">
            <w:pPr>
              <w:jc w:val="center"/>
              <w:rPr>
                <w:b/>
                <w:sz w:val="21"/>
                <w:szCs w:val="21"/>
              </w:rPr>
            </w:pPr>
            <w:r>
              <w:rPr>
                <w:b/>
                <w:sz w:val="21"/>
                <w:szCs w:val="21"/>
              </w:rPr>
              <w:t>昼间</w:t>
            </w:r>
          </w:p>
        </w:tc>
        <w:tc>
          <w:tcPr>
            <w:tcW w:w="850"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54D9F536">
            <w:pPr>
              <w:jc w:val="center"/>
              <w:rPr>
                <w:b/>
                <w:sz w:val="21"/>
                <w:szCs w:val="21"/>
              </w:rPr>
            </w:pPr>
            <w:r>
              <w:rPr>
                <w:b/>
                <w:sz w:val="21"/>
                <w:szCs w:val="21"/>
              </w:rPr>
              <w:t>夜间</w:t>
            </w:r>
          </w:p>
        </w:tc>
        <w:tc>
          <w:tcPr>
            <w:tcW w:w="850"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26390FF7">
            <w:pPr>
              <w:jc w:val="center"/>
              <w:rPr>
                <w:b/>
                <w:sz w:val="21"/>
                <w:szCs w:val="21"/>
              </w:rPr>
            </w:pPr>
            <w:r>
              <w:rPr>
                <w:b/>
                <w:sz w:val="21"/>
                <w:szCs w:val="21"/>
              </w:rPr>
              <w:t>昼间</w:t>
            </w:r>
          </w:p>
        </w:tc>
        <w:tc>
          <w:tcPr>
            <w:tcW w:w="850"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1D1DD0B6">
            <w:pPr>
              <w:jc w:val="center"/>
              <w:rPr>
                <w:b/>
                <w:sz w:val="21"/>
                <w:szCs w:val="21"/>
              </w:rPr>
            </w:pPr>
            <w:r>
              <w:rPr>
                <w:b/>
                <w:sz w:val="21"/>
                <w:szCs w:val="21"/>
              </w:rPr>
              <w:t>夜间</w:t>
            </w:r>
          </w:p>
        </w:tc>
        <w:tc>
          <w:tcPr>
            <w:tcW w:w="850"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29831425">
            <w:pPr>
              <w:jc w:val="center"/>
              <w:rPr>
                <w:b/>
                <w:sz w:val="21"/>
                <w:szCs w:val="21"/>
              </w:rPr>
            </w:pPr>
            <w:r>
              <w:rPr>
                <w:b/>
                <w:sz w:val="21"/>
                <w:szCs w:val="21"/>
              </w:rPr>
              <w:t>昼间</w:t>
            </w:r>
          </w:p>
        </w:tc>
        <w:tc>
          <w:tcPr>
            <w:tcW w:w="850"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675AE419">
            <w:pPr>
              <w:jc w:val="center"/>
              <w:rPr>
                <w:b/>
                <w:sz w:val="21"/>
                <w:szCs w:val="21"/>
              </w:rPr>
            </w:pPr>
            <w:r>
              <w:rPr>
                <w:b/>
                <w:sz w:val="21"/>
                <w:szCs w:val="21"/>
              </w:rPr>
              <w:t>夜间</w:t>
            </w:r>
          </w:p>
        </w:tc>
        <w:tc>
          <w:tcPr>
            <w:tcW w:w="850"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6B93FEF1">
            <w:pPr>
              <w:jc w:val="center"/>
              <w:rPr>
                <w:b/>
                <w:sz w:val="21"/>
                <w:szCs w:val="21"/>
              </w:rPr>
            </w:pPr>
            <w:r>
              <w:rPr>
                <w:b/>
                <w:sz w:val="21"/>
                <w:szCs w:val="21"/>
              </w:rPr>
              <w:t>昼间</w:t>
            </w:r>
          </w:p>
        </w:tc>
        <w:tc>
          <w:tcPr>
            <w:tcW w:w="850"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5BD9ABB7">
            <w:pPr>
              <w:jc w:val="center"/>
              <w:rPr>
                <w:b/>
                <w:sz w:val="21"/>
                <w:szCs w:val="21"/>
              </w:rPr>
            </w:pPr>
            <w:r>
              <w:rPr>
                <w:b/>
                <w:sz w:val="21"/>
                <w:szCs w:val="21"/>
              </w:rPr>
              <w:t>夜间</w:t>
            </w:r>
          </w:p>
        </w:tc>
        <w:tc>
          <w:tcPr>
            <w:tcW w:w="850"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7004EDD3">
            <w:pPr>
              <w:jc w:val="center"/>
              <w:rPr>
                <w:b/>
                <w:sz w:val="21"/>
                <w:szCs w:val="21"/>
              </w:rPr>
            </w:pPr>
            <w:r>
              <w:rPr>
                <w:b/>
                <w:sz w:val="21"/>
                <w:szCs w:val="21"/>
              </w:rPr>
              <w:t>昼间</w:t>
            </w:r>
          </w:p>
        </w:tc>
        <w:tc>
          <w:tcPr>
            <w:tcW w:w="858"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086EED7C">
            <w:pPr>
              <w:jc w:val="center"/>
              <w:rPr>
                <w:b/>
                <w:sz w:val="21"/>
                <w:szCs w:val="21"/>
              </w:rPr>
            </w:pPr>
            <w:r>
              <w:rPr>
                <w:b/>
                <w:sz w:val="21"/>
                <w:szCs w:val="21"/>
              </w:rPr>
              <w:t>夜间</w:t>
            </w:r>
          </w:p>
        </w:tc>
      </w:tr>
      <w:tr w14:paraId="0A0B10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590"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17D977B1">
            <w:pPr>
              <w:rPr>
                <w:sz w:val="21"/>
                <w:szCs w:val="21"/>
              </w:rPr>
            </w:pPr>
            <w:r>
              <w:rPr>
                <w:sz w:val="21"/>
                <w:szCs w:val="21"/>
              </w:rPr>
              <w:t>1</w:t>
            </w:r>
          </w:p>
        </w:tc>
        <w:tc>
          <w:tcPr>
            <w:tcW w:w="1155"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3329BE14">
            <w:pPr>
              <w:rPr>
                <w:sz w:val="21"/>
                <w:szCs w:val="21"/>
              </w:rPr>
            </w:pPr>
            <w:r>
              <w:rPr>
                <w:sz w:val="21"/>
                <w:szCs w:val="21"/>
              </w:rPr>
              <w:t>东侧厂界1m处N1</w:t>
            </w:r>
          </w:p>
        </w:tc>
        <w:tc>
          <w:tcPr>
            <w:tcW w:w="850"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6F796369">
            <w:pPr>
              <w:rPr>
                <w:rFonts w:hint="default" w:eastAsia="宋体"/>
                <w:sz w:val="21"/>
                <w:szCs w:val="21"/>
                <w:lang w:val="en-US" w:eastAsia="zh-CN"/>
              </w:rPr>
            </w:pPr>
            <w:r>
              <w:rPr>
                <w:rFonts w:hint="eastAsia"/>
                <w:sz w:val="21"/>
                <w:szCs w:val="21"/>
                <w:lang w:val="en-US" w:eastAsia="zh-CN"/>
              </w:rPr>
              <w:t>56</w:t>
            </w:r>
          </w:p>
        </w:tc>
        <w:tc>
          <w:tcPr>
            <w:tcW w:w="850"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371F145D">
            <w:pPr>
              <w:rPr>
                <w:rFonts w:hint="default" w:eastAsia="宋体"/>
                <w:sz w:val="21"/>
                <w:szCs w:val="21"/>
                <w:lang w:val="en-US" w:eastAsia="zh-CN"/>
              </w:rPr>
            </w:pPr>
            <w:r>
              <w:rPr>
                <w:rFonts w:hint="eastAsia"/>
                <w:sz w:val="21"/>
                <w:szCs w:val="21"/>
                <w:lang w:val="en-US" w:eastAsia="zh-CN"/>
              </w:rPr>
              <w:t>43</w:t>
            </w:r>
          </w:p>
        </w:tc>
        <w:tc>
          <w:tcPr>
            <w:tcW w:w="850"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725B1847">
            <w:pPr>
              <w:rPr>
                <w:sz w:val="21"/>
                <w:szCs w:val="21"/>
              </w:rPr>
            </w:pPr>
            <w:r>
              <w:rPr>
                <w:rFonts w:hint="eastAsia"/>
                <w:sz w:val="21"/>
                <w:szCs w:val="21"/>
                <w:lang w:val="en-US" w:eastAsia="zh-CN"/>
              </w:rPr>
              <w:t>56</w:t>
            </w:r>
          </w:p>
        </w:tc>
        <w:tc>
          <w:tcPr>
            <w:tcW w:w="850"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3CEF2A20">
            <w:pPr>
              <w:rPr>
                <w:sz w:val="21"/>
                <w:szCs w:val="21"/>
              </w:rPr>
            </w:pPr>
            <w:r>
              <w:rPr>
                <w:rFonts w:hint="eastAsia"/>
                <w:sz w:val="21"/>
                <w:szCs w:val="21"/>
                <w:lang w:val="en-US" w:eastAsia="zh-CN"/>
              </w:rPr>
              <w:t>43</w:t>
            </w:r>
          </w:p>
        </w:tc>
        <w:tc>
          <w:tcPr>
            <w:tcW w:w="850"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74124DF3">
            <w:pPr>
              <w:rPr>
                <w:rFonts w:hint="default" w:eastAsia="宋体"/>
                <w:sz w:val="21"/>
                <w:szCs w:val="21"/>
                <w:lang w:val="en-US" w:eastAsia="zh-CN"/>
              </w:rPr>
            </w:pPr>
            <w:r>
              <w:rPr>
                <w:rFonts w:hint="eastAsia"/>
                <w:sz w:val="21"/>
                <w:szCs w:val="21"/>
                <w:lang w:val="en-US" w:eastAsia="zh-CN"/>
              </w:rPr>
              <w:t>60</w:t>
            </w:r>
          </w:p>
        </w:tc>
        <w:tc>
          <w:tcPr>
            <w:tcW w:w="850"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2FED7C2C">
            <w:pPr>
              <w:rPr>
                <w:rFonts w:hint="default" w:eastAsia="宋体"/>
                <w:sz w:val="21"/>
                <w:szCs w:val="21"/>
                <w:lang w:val="en-US" w:eastAsia="zh-CN"/>
              </w:rPr>
            </w:pPr>
            <w:r>
              <w:rPr>
                <w:rFonts w:hint="eastAsia"/>
                <w:sz w:val="21"/>
                <w:szCs w:val="21"/>
                <w:lang w:val="en-US" w:eastAsia="zh-CN"/>
              </w:rPr>
              <w:t>50</w:t>
            </w:r>
          </w:p>
        </w:tc>
        <w:tc>
          <w:tcPr>
            <w:tcW w:w="850"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1918CA36">
            <w:pPr>
              <w:rPr>
                <w:rFonts w:hint="default" w:eastAsia="宋体"/>
                <w:sz w:val="21"/>
                <w:szCs w:val="21"/>
                <w:lang w:val="en-US" w:eastAsia="zh-CN"/>
              </w:rPr>
            </w:pPr>
            <w:r>
              <w:rPr>
                <w:rFonts w:hint="eastAsia"/>
                <w:sz w:val="21"/>
                <w:szCs w:val="21"/>
                <w:lang w:val="en-US" w:eastAsia="zh-CN"/>
              </w:rPr>
              <w:t>41.7</w:t>
            </w:r>
          </w:p>
        </w:tc>
        <w:tc>
          <w:tcPr>
            <w:tcW w:w="850"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14ED9D5D">
            <w:pPr>
              <w:rPr>
                <w:sz w:val="21"/>
                <w:szCs w:val="21"/>
              </w:rPr>
            </w:pPr>
            <w:r>
              <w:rPr>
                <w:rFonts w:hint="eastAsia"/>
                <w:sz w:val="21"/>
                <w:szCs w:val="21"/>
                <w:lang w:val="en-US" w:eastAsia="zh-CN"/>
              </w:rPr>
              <w:t>41.7</w:t>
            </w:r>
          </w:p>
        </w:tc>
        <w:tc>
          <w:tcPr>
            <w:tcW w:w="850"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44F224C6">
            <w:pPr>
              <w:rPr>
                <w:rFonts w:hint="eastAsia" w:eastAsia="宋体"/>
                <w:sz w:val="21"/>
                <w:szCs w:val="21"/>
                <w:lang w:eastAsia="zh-CN"/>
              </w:rPr>
            </w:pPr>
            <w:r>
              <w:rPr>
                <w:rFonts w:hint="eastAsia"/>
                <w:sz w:val="21"/>
                <w:szCs w:val="21"/>
              </w:rPr>
              <w:t>56.</w:t>
            </w:r>
            <w:r>
              <w:rPr>
                <w:rFonts w:hint="eastAsia"/>
                <w:sz w:val="21"/>
                <w:szCs w:val="21"/>
                <w:lang w:val="en-US" w:eastAsia="zh-CN"/>
              </w:rPr>
              <w:t>2</w:t>
            </w:r>
          </w:p>
        </w:tc>
        <w:tc>
          <w:tcPr>
            <w:tcW w:w="850"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55765353">
            <w:pPr>
              <w:rPr>
                <w:sz w:val="21"/>
                <w:szCs w:val="21"/>
              </w:rPr>
            </w:pPr>
            <w:r>
              <w:rPr>
                <w:rFonts w:hint="eastAsia"/>
                <w:sz w:val="21"/>
                <w:szCs w:val="21"/>
              </w:rPr>
              <w:t>45.4</w:t>
            </w:r>
          </w:p>
        </w:tc>
        <w:tc>
          <w:tcPr>
            <w:tcW w:w="850"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0019CDA0">
            <w:pPr>
              <w:rPr>
                <w:rFonts w:hint="default" w:eastAsia="宋体"/>
                <w:sz w:val="21"/>
                <w:szCs w:val="21"/>
                <w:lang w:val="en-US" w:eastAsia="zh-CN"/>
              </w:rPr>
            </w:pPr>
            <w:r>
              <w:rPr>
                <w:rFonts w:hint="eastAsia"/>
                <w:sz w:val="21"/>
                <w:szCs w:val="21"/>
                <w:lang w:val="en-US" w:eastAsia="zh-CN"/>
              </w:rPr>
              <w:t>0.2</w:t>
            </w:r>
          </w:p>
        </w:tc>
        <w:tc>
          <w:tcPr>
            <w:tcW w:w="850"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2AC008C7">
            <w:pPr>
              <w:rPr>
                <w:rFonts w:hint="default" w:eastAsia="宋体"/>
                <w:sz w:val="21"/>
                <w:szCs w:val="21"/>
                <w:lang w:val="en-US" w:eastAsia="zh-CN"/>
              </w:rPr>
            </w:pPr>
            <w:r>
              <w:rPr>
                <w:rFonts w:hint="eastAsia"/>
                <w:sz w:val="21"/>
                <w:szCs w:val="21"/>
                <w:lang w:val="en-US" w:eastAsia="zh-CN"/>
              </w:rPr>
              <w:t>2.4</w:t>
            </w:r>
          </w:p>
        </w:tc>
        <w:tc>
          <w:tcPr>
            <w:tcW w:w="850"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72961D0E">
            <w:pPr>
              <w:rPr>
                <w:sz w:val="21"/>
                <w:szCs w:val="21"/>
              </w:rPr>
            </w:pPr>
            <w:r>
              <w:rPr>
                <w:sz w:val="21"/>
                <w:szCs w:val="21"/>
              </w:rPr>
              <w:t>达标</w:t>
            </w:r>
          </w:p>
        </w:tc>
        <w:tc>
          <w:tcPr>
            <w:tcW w:w="858"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77945927">
            <w:pPr>
              <w:rPr>
                <w:sz w:val="21"/>
                <w:szCs w:val="21"/>
              </w:rPr>
            </w:pPr>
            <w:r>
              <w:rPr>
                <w:sz w:val="21"/>
                <w:szCs w:val="21"/>
              </w:rPr>
              <w:t>达标</w:t>
            </w:r>
          </w:p>
        </w:tc>
      </w:tr>
      <w:tr w14:paraId="0BE4B8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590"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6467D082">
            <w:pPr>
              <w:rPr>
                <w:sz w:val="21"/>
                <w:szCs w:val="21"/>
              </w:rPr>
            </w:pPr>
            <w:r>
              <w:rPr>
                <w:sz w:val="21"/>
                <w:szCs w:val="21"/>
              </w:rPr>
              <w:t>2</w:t>
            </w:r>
          </w:p>
        </w:tc>
        <w:tc>
          <w:tcPr>
            <w:tcW w:w="1155"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745F984F">
            <w:pPr>
              <w:rPr>
                <w:sz w:val="21"/>
                <w:szCs w:val="21"/>
              </w:rPr>
            </w:pPr>
            <w:r>
              <w:rPr>
                <w:sz w:val="21"/>
                <w:szCs w:val="21"/>
              </w:rPr>
              <w:t>南侧厂界1m处N2</w:t>
            </w:r>
          </w:p>
        </w:tc>
        <w:tc>
          <w:tcPr>
            <w:tcW w:w="850"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46D78CA8">
            <w:pPr>
              <w:rPr>
                <w:rFonts w:hint="default" w:eastAsia="宋体"/>
                <w:sz w:val="21"/>
                <w:szCs w:val="21"/>
                <w:lang w:val="en-US" w:eastAsia="zh-CN"/>
              </w:rPr>
            </w:pPr>
            <w:r>
              <w:rPr>
                <w:rFonts w:hint="eastAsia"/>
                <w:sz w:val="21"/>
                <w:szCs w:val="21"/>
                <w:lang w:val="en-US" w:eastAsia="zh-CN"/>
              </w:rPr>
              <w:t>52</w:t>
            </w:r>
          </w:p>
        </w:tc>
        <w:tc>
          <w:tcPr>
            <w:tcW w:w="850"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3467233B">
            <w:pPr>
              <w:rPr>
                <w:rFonts w:hint="default" w:eastAsia="宋体"/>
                <w:sz w:val="21"/>
                <w:szCs w:val="21"/>
                <w:lang w:val="en-US" w:eastAsia="zh-CN"/>
              </w:rPr>
            </w:pPr>
            <w:r>
              <w:rPr>
                <w:rFonts w:hint="eastAsia"/>
                <w:sz w:val="21"/>
                <w:szCs w:val="21"/>
                <w:lang w:val="en-US" w:eastAsia="zh-CN"/>
              </w:rPr>
              <w:t>43</w:t>
            </w:r>
          </w:p>
        </w:tc>
        <w:tc>
          <w:tcPr>
            <w:tcW w:w="850"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2AAF41D1">
            <w:pPr>
              <w:rPr>
                <w:sz w:val="21"/>
                <w:szCs w:val="21"/>
              </w:rPr>
            </w:pPr>
            <w:r>
              <w:rPr>
                <w:rFonts w:hint="eastAsia"/>
                <w:sz w:val="21"/>
                <w:szCs w:val="21"/>
                <w:lang w:val="en-US" w:eastAsia="zh-CN"/>
              </w:rPr>
              <w:t>52</w:t>
            </w:r>
          </w:p>
        </w:tc>
        <w:tc>
          <w:tcPr>
            <w:tcW w:w="850"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4855FF8B">
            <w:pPr>
              <w:rPr>
                <w:sz w:val="21"/>
                <w:szCs w:val="21"/>
              </w:rPr>
            </w:pPr>
            <w:r>
              <w:rPr>
                <w:rFonts w:hint="eastAsia"/>
                <w:sz w:val="21"/>
                <w:szCs w:val="21"/>
                <w:lang w:val="en-US" w:eastAsia="zh-CN"/>
              </w:rPr>
              <w:t>43</w:t>
            </w:r>
          </w:p>
        </w:tc>
        <w:tc>
          <w:tcPr>
            <w:tcW w:w="850"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1506DE8B">
            <w:pPr>
              <w:rPr>
                <w:rFonts w:hint="default" w:eastAsia="宋体"/>
                <w:sz w:val="21"/>
                <w:szCs w:val="21"/>
                <w:lang w:val="en-US" w:eastAsia="zh-CN"/>
              </w:rPr>
            </w:pPr>
            <w:r>
              <w:rPr>
                <w:rFonts w:hint="eastAsia"/>
                <w:sz w:val="21"/>
                <w:szCs w:val="21"/>
                <w:lang w:val="en-US" w:eastAsia="zh-CN"/>
              </w:rPr>
              <w:t>70</w:t>
            </w:r>
          </w:p>
        </w:tc>
        <w:tc>
          <w:tcPr>
            <w:tcW w:w="850"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7C4D2B52">
            <w:pPr>
              <w:rPr>
                <w:rFonts w:hint="default" w:eastAsia="宋体"/>
                <w:sz w:val="21"/>
                <w:szCs w:val="21"/>
                <w:lang w:val="en-US" w:eastAsia="zh-CN"/>
              </w:rPr>
            </w:pPr>
            <w:r>
              <w:rPr>
                <w:rFonts w:hint="eastAsia"/>
                <w:sz w:val="21"/>
                <w:szCs w:val="21"/>
                <w:lang w:val="en-US" w:eastAsia="zh-CN"/>
              </w:rPr>
              <w:t>55</w:t>
            </w:r>
          </w:p>
        </w:tc>
        <w:tc>
          <w:tcPr>
            <w:tcW w:w="850"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33A30EF5">
            <w:pPr>
              <w:rPr>
                <w:rFonts w:hint="default" w:eastAsia="宋体"/>
                <w:sz w:val="21"/>
                <w:szCs w:val="21"/>
                <w:lang w:val="en-US" w:eastAsia="zh-CN"/>
              </w:rPr>
            </w:pPr>
            <w:r>
              <w:rPr>
                <w:rFonts w:hint="eastAsia"/>
                <w:sz w:val="21"/>
                <w:szCs w:val="21"/>
                <w:lang w:val="en-US" w:eastAsia="zh-CN"/>
              </w:rPr>
              <w:t>26.5</w:t>
            </w:r>
          </w:p>
        </w:tc>
        <w:tc>
          <w:tcPr>
            <w:tcW w:w="850"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0D088486">
            <w:pPr>
              <w:rPr>
                <w:sz w:val="21"/>
                <w:szCs w:val="21"/>
              </w:rPr>
            </w:pPr>
            <w:r>
              <w:rPr>
                <w:rFonts w:hint="eastAsia"/>
                <w:sz w:val="21"/>
                <w:szCs w:val="21"/>
                <w:lang w:val="en-US" w:eastAsia="zh-CN"/>
              </w:rPr>
              <w:t>26.5</w:t>
            </w:r>
          </w:p>
        </w:tc>
        <w:tc>
          <w:tcPr>
            <w:tcW w:w="850"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044BF88B">
            <w:pPr>
              <w:rPr>
                <w:sz w:val="21"/>
                <w:szCs w:val="21"/>
              </w:rPr>
            </w:pPr>
            <w:r>
              <w:rPr>
                <w:rFonts w:hint="eastAsia"/>
                <w:sz w:val="21"/>
                <w:szCs w:val="21"/>
              </w:rPr>
              <w:t>52.0</w:t>
            </w:r>
          </w:p>
        </w:tc>
        <w:tc>
          <w:tcPr>
            <w:tcW w:w="850"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3BD9AC18">
            <w:pPr>
              <w:rPr>
                <w:sz w:val="21"/>
                <w:szCs w:val="21"/>
              </w:rPr>
            </w:pPr>
            <w:r>
              <w:rPr>
                <w:rFonts w:hint="eastAsia"/>
                <w:sz w:val="21"/>
                <w:szCs w:val="21"/>
              </w:rPr>
              <w:t>43.1</w:t>
            </w:r>
          </w:p>
        </w:tc>
        <w:tc>
          <w:tcPr>
            <w:tcW w:w="850"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373B3B75">
            <w:pPr>
              <w:rPr>
                <w:rFonts w:hint="eastAsia" w:eastAsia="宋体"/>
                <w:sz w:val="21"/>
                <w:szCs w:val="21"/>
                <w:lang w:val="en-US" w:eastAsia="zh-CN"/>
              </w:rPr>
            </w:pPr>
            <w:r>
              <w:rPr>
                <w:rFonts w:hint="eastAsia"/>
                <w:sz w:val="21"/>
                <w:szCs w:val="21"/>
                <w:lang w:val="en-US" w:eastAsia="zh-CN"/>
              </w:rPr>
              <w:t>0</w:t>
            </w:r>
          </w:p>
        </w:tc>
        <w:tc>
          <w:tcPr>
            <w:tcW w:w="850"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53B17F0E">
            <w:pPr>
              <w:rPr>
                <w:rFonts w:hint="default" w:eastAsia="宋体"/>
                <w:sz w:val="21"/>
                <w:szCs w:val="21"/>
                <w:lang w:val="en-US" w:eastAsia="zh-CN"/>
              </w:rPr>
            </w:pPr>
            <w:r>
              <w:rPr>
                <w:rFonts w:hint="eastAsia"/>
                <w:sz w:val="21"/>
                <w:szCs w:val="21"/>
                <w:lang w:val="en-US" w:eastAsia="zh-CN"/>
              </w:rPr>
              <w:t>0.1</w:t>
            </w:r>
          </w:p>
        </w:tc>
        <w:tc>
          <w:tcPr>
            <w:tcW w:w="850"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1199E86D">
            <w:pPr>
              <w:rPr>
                <w:sz w:val="21"/>
                <w:szCs w:val="21"/>
              </w:rPr>
            </w:pPr>
            <w:r>
              <w:rPr>
                <w:sz w:val="21"/>
                <w:szCs w:val="21"/>
              </w:rPr>
              <w:t>达标</w:t>
            </w:r>
          </w:p>
        </w:tc>
        <w:tc>
          <w:tcPr>
            <w:tcW w:w="858"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49868BCB">
            <w:pPr>
              <w:rPr>
                <w:sz w:val="21"/>
                <w:szCs w:val="21"/>
              </w:rPr>
            </w:pPr>
            <w:r>
              <w:rPr>
                <w:sz w:val="21"/>
                <w:szCs w:val="21"/>
              </w:rPr>
              <w:t>达标</w:t>
            </w:r>
          </w:p>
        </w:tc>
      </w:tr>
      <w:tr w14:paraId="36F6EE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590"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1EC1CF68">
            <w:pPr>
              <w:rPr>
                <w:sz w:val="21"/>
                <w:szCs w:val="21"/>
              </w:rPr>
            </w:pPr>
            <w:r>
              <w:rPr>
                <w:sz w:val="21"/>
                <w:szCs w:val="21"/>
              </w:rPr>
              <w:t>3</w:t>
            </w:r>
          </w:p>
        </w:tc>
        <w:tc>
          <w:tcPr>
            <w:tcW w:w="1155"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054296E3">
            <w:pPr>
              <w:rPr>
                <w:sz w:val="21"/>
                <w:szCs w:val="21"/>
              </w:rPr>
            </w:pPr>
            <w:r>
              <w:rPr>
                <w:sz w:val="21"/>
                <w:szCs w:val="21"/>
              </w:rPr>
              <w:t>西侧厂界1m处N3</w:t>
            </w:r>
          </w:p>
        </w:tc>
        <w:tc>
          <w:tcPr>
            <w:tcW w:w="850"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50195F78">
            <w:pPr>
              <w:rPr>
                <w:rFonts w:hint="default" w:eastAsia="宋体"/>
                <w:sz w:val="21"/>
                <w:szCs w:val="21"/>
                <w:lang w:val="en-US" w:eastAsia="zh-CN"/>
              </w:rPr>
            </w:pPr>
            <w:r>
              <w:rPr>
                <w:rFonts w:hint="eastAsia"/>
                <w:sz w:val="21"/>
                <w:szCs w:val="21"/>
                <w:lang w:val="en-US" w:eastAsia="zh-CN"/>
              </w:rPr>
              <w:t>53</w:t>
            </w:r>
          </w:p>
        </w:tc>
        <w:tc>
          <w:tcPr>
            <w:tcW w:w="850"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05C117AB">
            <w:pPr>
              <w:rPr>
                <w:rFonts w:hint="default" w:eastAsia="宋体"/>
                <w:sz w:val="21"/>
                <w:szCs w:val="21"/>
                <w:lang w:val="en-US" w:eastAsia="zh-CN"/>
              </w:rPr>
            </w:pPr>
            <w:r>
              <w:rPr>
                <w:rFonts w:hint="eastAsia"/>
                <w:sz w:val="21"/>
                <w:szCs w:val="21"/>
                <w:lang w:val="en-US" w:eastAsia="zh-CN"/>
              </w:rPr>
              <w:t>44</w:t>
            </w:r>
          </w:p>
        </w:tc>
        <w:tc>
          <w:tcPr>
            <w:tcW w:w="850"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03A4E7B5">
            <w:pPr>
              <w:rPr>
                <w:sz w:val="21"/>
                <w:szCs w:val="21"/>
              </w:rPr>
            </w:pPr>
            <w:r>
              <w:rPr>
                <w:rFonts w:hint="eastAsia"/>
                <w:sz w:val="21"/>
                <w:szCs w:val="21"/>
                <w:lang w:val="en-US" w:eastAsia="zh-CN"/>
              </w:rPr>
              <w:t>53</w:t>
            </w:r>
          </w:p>
        </w:tc>
        <w:tc>
          <w:tcPr>
            <w:tcW w:w="850"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4E1F1929">
            <w:pPr>
              <w:rPr>
                <w:sz w:val="21"/>
                <w:szCs w:val="21"/>
              </w:rPr>
            </w:pPr>
            <w:r>
              <w:rPr>
                <w:rFonts w:hint="eastAsia"/>
                <w:sz w:val="21"/>
                <w:szCs w:val="21"/>
                <w:lang w:val="en-US" w:eastAsia="zh-CN"/>
              </w:rPr>
              <w:t>44</w:t>
            </w:r>
          </w:p>
        </w:tc>
        <w:tc>
          <w:tcPr>
            <w:tcW w:w="850"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754518E2">
            <w:pPr>
              <w:rPr>
                <w:sz w:val="21"/>
                <w:szCs w:val="21"/>
              </w:rPr>
            </w:pPr>
            <w:r>
              <w:rPr>
                <w:rFonts w:hint="eastAsia"/>
                <w:sz w:val="21"/>
                <w:szCs w:val="21"/>
                <w:lang w:val="en-US" w:eastAsia="zh-CN"/>
              </w:rPr>
              <w:t>60</w:t>
            </w:r>
          </w:p>
        </w:tc>
        <w:tc>
          <w:tcPr>
            <w:tcW w:w="850"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3F5D4411">
            <w:pPr>
              <w:rPr>
                <w:sz w:val="21"/>
                <w:szCs w:val="21"/>
              </w:rPr>
            </w:pPr>
            <w:r>
              <w:rPr>
                <w:rFonts w:hint="eastAsia"/>
                <w:sz w:val="21"/>
                <w:szCs w:val="21"/>
                <w:lang w:val="en-US" w:eastAsia="zh-CN"/>
              </w:rPr>
              <w:t>50</w:t>
            </w:r>
          </w:p>
        </w:tc>
        <w:tc>
          <w:tcPr>
            <w:tcW w:w="850"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5B401A81">
            <w:pPr>
              <w:rPr>
                <w:rFonts w:hint="default" w:eastAsia="宋体"/>
                <w:sz w:val="21"/>
                <w:szCs w:val="21"/>
                <w:lang w:val="en-US" w:eastAsia="zh-CN"/>
              </w:rPr>
            </w:pPr>
            <w:r>
              <w:rPr>
                <w:rFonts w:hint="eastAsia"/>
                <w:sz w:val="21"/>
                <w:szCs w:val="21"/>
                <w:lang w:val="en-US" w:eastAsia="zh-CN"/>
              </w:rPr>
              <w:t>38.5</w:t>
            </w:r>
          </w:p>
        </w:tc>
        <w:tc>
          <w:tcPr>
            <w:tcW w:w="850"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31A927C8">
            <w:pPr>
              <w:rPr>
                <w:sz w:val="21"/>
                <w:szCs w:val="21"/>
              </w:rPr>
            </w:pPr>
            <w:r>
              <w:rPr>
                <w:rFonts w:hint="eastAsia"/>
                <w:sz w:val="21"/>
                <w:szCs w:val="21"/>
                <w:lang w:val="en-US" w:eastAsia="zh-CN"/>
              </w:rPr>
              <w:t>38.5</w:t>
            </w:r>
          </w:p>
        </w:tc>
        <w:tc>
          <w:tcPr>
            <w:tcW w:w="850"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1DBA07A2">
            <w:pPr>
              <w:rPr>
                <w:rFonts w:hint="eastAsia" w:eastAsia="宋体"/>
                <w:sz w:val="21"/>
                <w:szCs w:val="21"/>
                <w:lang w:val="en-US" w:eastAsia="zh-CN"/>
              </w:rPr>
            </w:pPr>
            <w:r>
              <w:rPr>
                <w:rFonts w:hint="eastAsia"/>
                <w:sz w:val="21"/>
                <w:szCs w:val="21"/>
              </w:rPr>
              <w:t>53.</w:t>
            </w:r>
            <w:r>
              <w:rPr>
                <w:rFonts w:hint="eastAsia"/>
                <w:sz w:val="21"/>
                <w:szCs w:val="21"/>
                <w:lang w:val="en-US" w:eastAsia="zh-CN"/>
              </w:rPr>
              <w:t>2</w:t>
            </w:r>
          </w:p>
        </w:tc>
        <w:tc>
          <w:tcPr>
            <w:tcW w:w="850"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4DB89FFA">
            <w:pPr>
              <w:rPr>
                <w:rFonts w:hint="eastAsia" w:eastAsia="宋体"/>
                <w:sz w:val="21"/>
                <w:szCs w:val="21"/>
                <w:lang w:eastAsia="zh-CN"/>
              </w:rPr>
            </w:pPr>
            <w:r>
              <w:rPr>
                <w:rFonts w:hint="eastAsia"/>
                <w:sz w:val="21"/>
                <w:szCs w:val="21"/>
              </w:rPr>
              <w:t>45.</w:t>
            </w:r>
            <w:r>
              <w:rPr>
                <w:rFonts w:hint="eastAsia"/>
                <w:sz w:val="21"/>
                <w:szCs w:val="21"/>
                <w:lang w:val="en-US" w:eastAsia="zh-CN"/>
              </w:rPr>
              <w:t>1</w:t>
            </w:r>
          </w:p>
        </w:tc>
        <w:tc>
          <w:tcPr>
            <w:tcW w:w="850"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0FCCE221">
            <w:pPr>
              <w:rPr>
                <w:rFonts w:hint="default" w:eastAsia="宋体"/>
                <w:sz w:val="21"/>
                <w:szCs w:val="21"/>
                <w:lang w:val="en-US" w:eastAsia="zh-CN"/>
              </w:rPr>
            </w:pPr>
            <w:r>
              <w:rPr>
                <w:rFonts w:hint="eastAsia"/>
                <w:sz w:val="21"/>
                <w:szCs w:val="21"/>
                <w:lang w:val="en-US" w:eastAsia="zh-CN"/>
              </w:rPr>
              <w:t>0.2</w:t>
            </w:r>
          </w:p>
        </w:tc>
        <w:tc>
          <w:tcPr>
            <w:tcW w:w="850"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7581D081">
            <w:pPr>
              <w:rPr>
                <w:rFonts w:hint="default" w:eastAsia="宋体"/>
                <w:sz w:val="21"/>
                <w:szCs w:val="21"/>
                <w:lang w:val="en-US" w:eastAsia="zh-CN"/>
              </w:rPr>
            </w:pPr>
            <w:r>
              <w:rPr>
                <w:rFonts w:hint="eastAsia"/>
                <w:sz w:val="21"/>
                <w:szCs w:val="21"/>
                <w:lang w:val="en-US" w:eastAsia="zh-CN"/>
              </w:rPr>
              <w:t>1.1</w:t>
            </w:r>
          </w:p>
        </w:tc>
        <w:tc>
          <w:tcPr>
            <w:tcW w:w="850"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3208BDE6">
            <w:pPr>
              <w:rPr>
                <w:sz w:val="21"/>
                <w:szCs w:val="21"/>
              </w:rPr>
            </w:pPr>
            <w:r>
              <w:rPr>
                <w:sz w:val="21"/>
                <w:szCs w:val="21"/>
              </w:rPr>
              <w:t>达标</w:t>
            </w:r>
          </w:p>
        </w:tc>
        <w:tc>
          <w:tcPr>
            <w:tcW w:w="858"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0B63FC8A">
            <w:pPr>
              <w:rPr>
                <w:sz w:val="21"/>
                <w:szCs w:val="21"/>
              </w:rPr>
            </w:pPr>
            <w:r>
              <w:rPr>
                <w:sz w:val="21"/>
                <w:szCs w:val="21"/>
              </w:rPr>
              <w:t>达标</w:t>
            </w:r>
          </w:p>
        </w:tc>
      </w:tr>
      <w:tr w14:paraId="1D99BF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590"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52AAB792">
            <w:pPr>
              <w:rPr>
                <w:sz w:val="21"/>
                <w:szCs w:val="21"/>
              </w:rPr>
            </w:pPr>
            <w:r>
              <w:rPr>
                <w:sz w:val="21"/>
                <w:szCs w:val="21"/>
              </w:rPr>
              <w:t>4</w:t>
            </w:r>
          </w:p>
        </w:tc>
        <w:tc>
          <w:tcPr>
            <w:tcW w:w="1155"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4B997034">
            <w:pPr>
              <w:rPr>
                <w:sz w:val="21"/>
                <w:szCs w:val="21"/>
              </w:rPr>
            </w:pPr>
            <w:r>
              <w:rPr>
                <w:sz w:val="21"/>
                <w:szCs w:val="21"/>
              </w:rPr>
              <w:t>北侧厂界1m处N4</w:t>
            </w:r>
          </w:p>
        </w:tc>
        <w:tc>
          <w:tcPr>
            <w:tcW w:w="850"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201854E7">
            <w:pPr>
              <w:rPr>
                <w:rFonts w:hint="default" w:eastAsia="宋体"/>
                <w:sz w:val="21"/>
                <w:szCs w:val="21"/>
                <w:lang w:val="en-US" w:eastAsia="zh-CN"/>
              </w:rPr>
            </w:pPr>
            <w:r>
              <w:rPr>
                <w:rFonts w:hint="eastAsia"/>
                <w:sz w:val="21"/>
                <w:szCs w:val="21"/>
                <w:lang w:val="en-US" w:eastAsia="zh-CN"/>
              </w:rPr>
              <w:t>57</w:t>
            </w:r>
          </w:p>
        </w:tc>
        <w:tc>
          <w:tcPr>
            <w:tcW w:w="850"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12E3B67D">
            <w:pPr>
              <w:rPr>
                <w:rFonts w:hint="default" w:eastAsia="宋体"/>
                <w:sz w:val="21"/>
                <w:szCs w:val="21"/>
                <w:lang w:val="en-US" w:eastAsia="zh-CN"/>
              </w:rPr>
            </w:pPr>
            <w:r>
              <w:rPr>
                <w:rFonts w:hint="eastAsia"/>
                <w:sz w:val="21"/>
                <w:szCs w:val="21"/>
                <w:lang w:val="en-US" w:eastAsia="zh-CN"/>
              </w:rPr>
              <w:t>46</w:t>
            </w:r>
          </w:p>
        </w:tc>
        <w:tc>
          <w:tcPr>
            <w:tcW w:w="850"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37DA9FED">
            <w:pPr>
              <w:rPr>
                <w:sz w:val="21"/>
                <w:szCs w:val="21"/>
              </w:rPr>
            </w:pPr>
            <w:r>
              <w:rPr>
                <w:rFonts w:hint="eastAsia"/>
                <w:sz w:val="21"/>
                <w:szCs w:val="21"/>
                <w:lang w:val="en-US" w:eastAsia="zh-CN"/>
              </w:rPr>
              <w:t>57</w:t>
            </w:r>
          </w:p>
        </w:tc>
        <w:tc>
          <w:tcPr>
            <w:tcW w:w="850"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52C8D7EF">
            <w:pPr>
              <w:rPr>
                <w:sz w:val="21"/>
                <w:szCs w:val="21"/>
              </w:rPr>
            </w:pPr>
            <w:r>
              <w:rPr>
                <w:rFonts w:hint="eastAsia"/>
                <w:sz w:val="21"/>
                <w:szCs w:val="21"/>
                <w:lang w:val="en-US" w:eastAsia="zh-CN"/>
              </w:rPr>
              <w:t>46</w:t>
            </w:r>
          </w:p>
        </w:tc>
        <w:tc>
          <w:tcPr>
            <w:tcW w:w="850"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2029969F">
            <w:pPr>
              <w:rPr>
                <w:sz w:val="21"/>
                <w:szCs w:val="21"/>
              </w:rPr>
            </w:pPr>
            <w:r>
              <w:rPr>
                <w:rFonts w:hint="eastAsia"/>
                <w:sz w:val="21"/>
                <w:szCs w:val="21"/>
                <w:lang w:val="en-US" w:eastAsia="zh-CN"/>
              </w:rPr>
              <w:t>60</w:t>
            </w:r>
          </w:p>
        </w:tc>
        <w:tc>
          <w:tcPr>
            <w:tcW w:w="850"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1B8403A9">
            <w:pPr>
              <w:rPr>
                <w:sz w:val="21"/>
                <w:szCs w:val="21"/>
              </w:rPr>
            </w:pPr>
            <w:r>
              <w:rPr>
                <w:rFonts w:hint="eastAsia"/>
                <w:sz w:val="21"/>
                <w:szCs w:val="21"/>
                <w:lang w:val="en-US" w:eastAsia="zh-CN"/>
              </w:rPr>
              <w:t>50</w:t>
            </w:r>
          </w:p>
        </w:tc>
        <w:tc>
          <w:tcPr>
            <w:tcW w:w="850"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6D28B767">
            <w:pPr>
              <w:rPr>
                <w:rFonts w:hint="default" w:eastAsia="宋体"/>
                <w:sz w:val="21"/>
                <w:szCs w:val="21"/>
                <w:lang w:val="en-US" w:eastAsia="zh-CN"/>
              </w:rPr>
            </w:pPr>
            <w:r>
              <w:rPr>
                <w:rFonts w:hint="eastAsia"/>
                <w:sz w:val="21"/>
                <w:szCs w:val="21"/>
                <w:lang w:val="en-US" w:eastAsia="zh-CN"/>
              </w:rPr>
              <w:t>47.0</w:t>
            </w:r>
          </w:p>
        </w:tc>
        <w:tc>
          <w:tcPr>
            <w:tcW w:w="850"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770895E9">
            <w:pPr>
              <w:rPr>
                <w:rFonts w:hint="default"/>
                <w:sz w:val="21"/>
                <w:szCs w:val="21"/>
                <w:lang w:val="en-US"/>
              </w:rPr>
            </w:pPr>
            <w:r>
              <w:rPr>
                <w:rFonts w:hint="eastAsia"/>
                <w:sz w:val="21"/>
                <w:szCs w:val="21"/>
                <w:lang w:val="en-US" w:eastAsia="zh-CN"/>
              </w:rPr>
              <w:t>47.0</w:t>
            </w:r>
          </w:p>
        </w:tc>
        <w:tc>
          <w:tcPr>
            <w:tcW w:w="850"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3120E0AF">
            <w:pPr>
              <w:rPr>
                <w:rFonts w:hint="default" w:eastAsia="宋体"/>
                <w:sz w:val="21"/>
                <w:szCs w:val="21"/>
                <w:lang w:val="en-US" w:eastAsia="zh-CN"/>
              </w:rPr>
            </w:pPr>
            <w:r>
              <w:rPr>
                <w:rFonts w:hint="eastAsia"/>
                <w:sz w:val="21"/>
                <w:szCs w:val="21"/>
                <w:lang w:val="en-US" w:eastAsia="zh-CN"/>
              </w:rPr>
              <w:t>57.4</w:t>
            </w:r>
          </w:p>
        </w:tc>
        <w:tc>
          <w:tcPr>
            <w:tcW w:w="850"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21B27290">
            <w:pPr>
              <w:rPr>
                <w:rFonts w:hint="default" w:eastAsia="宋体"/>
                <w:sz w:val="21"/>
                <w:szCs w:val="21"/>
                <w:lang w:val="en-US" w:eastAsia="zh-CN"/>
              </w:rPr>
            </w:pPr>
            <w:r>
              <w:rPr>
                <w:rFonts w:hint="eastAsia"/>
                <w:sz w:val="21"/>
                <w:szCs w:val="21"/>
                <w:lang w:val="en-US" w:eastAsia="zh-CN"/>
              </w:rPr>
              <w:t>50.0</w:t>
            </w:r>
          </w:p>
        </w:tc>
        <w:tc>
          <w:tcPr>
            <w:tcW w:w="850"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096A3A13">
            <w:pPr>
              <w:rPr>
                <w:rFonts w:hint="eastAsia" w:eastAsia="宋体"/>
                <w:sz w:val="21"/>
                <w:szCs w:val="21"/>
                <w:lang w:val="en-US" w:eastAsia="zh-CN"/>
              </w:rPr>
            </w:pPr>
            <w:r>
              <w:rPr>
                <w:rFonts w:hint="eastAsia"/>
                <w:sz w:val="21"/>
                <w:szCs w:val="21"/>
                <w:lang w:val="en-US" w:eastAsia="zh-CN"/>
              </w:rPr>
              <w:t>3</w:t>
            </w:r>
          </w:p>
        </w:tc>
        <w:tc>
          <w:tcPr>
            <w:tcW w:w="850"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5DC44B8D">
            <w:pPr>
              <w:rPr>
                <w:rFonts w:hint="default" w:eastAsia="宋体"/>
                <w:sz w:val="21"/>
                <w:szCs w:val="21"/>
                <w:lang w:val="en-US" w:eastAsia="zh-CN"/>
              </w:rPr>
            </w:pPr>
            <w:r>
              <w:rPr>
                <w:rFonts w:hint="eastAsia"/>
                <w:sz w:val="21"/>
                <w:szCs w:val="21"/>
                <w:lang w:val="en-US" w:eastAsia="zh-CN"/>
              </w:rPr>
              <w:t>11.3</w:t>
            </w:r>
          </w:p>
        </w:tc>
        <w:tc>
          <w:tcPr>
            <w:tcW w:w="850"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2406DA79">
            <w:pPr>
              <w:rPr>
                <w:sz w:val="21"/>
                <w:szCs w:val="21"/>
              </w:rPr>
            </w:pPr>
            <w:r>
              <w:rPr>
                <w:sz w:val="21"/>
                <w:szCs w:val="21"/>
              </w:rPr>
              <w:t>达标</w:t>
            </w:r>
          </w:p>
        </w:tc>
        <w:tc>
          <w:tcPr>
            <w:tcW w:w="858"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1D23DBE1">
            <w:pPr>
              <w:rPr>
                <w:sz w:val="21"/>
                <w:szCs w:val="21"/>
              </w:rPr>
            </w:pPr>
            <w:r>
              <w:rPr>
                <w:sz w:val="21"/>
                <w:szCs w:val="21"/>
              </w:rPr>
              <w:t>达标</w:t>
            </w:r>
          </w:p>
        </w:tc>
      </w:tr>
      <w:tr w14:paraId="042261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590"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259353D5">
            <w:pPr>
              <w:rPr>
                <w:rFonts w:hint="eastAsia" w:eastAsia="宋体"/>
                <w:sz w:val="21"/>
                <w:szCs w:val="21"/>
                <w:lang w:val="en-US" w:eastAsia="zh-CN"/>
              </w:rPr>
            </w:pPr>
            <w:r>
              <w:rPr>
                <w:rFonts w:hint="eastAsia"/>
                <w:sz w:val="21"/>
                <w:szCs w:val="21"/>
                <w:lang w:val="en-US" w:eastAsia="zh-CN"/>
              </w:rPr>
              <w:t>5</w:t>
            </w:r>
          </w:p>
        </w:tc>
        <w:tc>
          <w:tcPr>
            <w:tcW w:w="1155"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14C95983">
            <w:pPr>
              <w:rPr>
                <w:rFonts w:ascii="宋体" w:hAnsi="宋体" w:eastAsia="宋体" w:cs="宋体"/>
                <w:sz w:val="21"/>
                <w:szCs w:val="21"/>
              </w:rPr>
            </w:pPr>
            <w:r>
              <w:rPr>
                <w:rFonts w:hint="eastAsia" w:ascii="宋体" w:hAnsi="宋体" w:eastAsia="宋体" w:cs="宋体"/>
                <w:sz w:val="21"/>
                <w:szCs w:val="21"/>
                <w:lang w:val="en-US" w:eastAsia="zh-CN"/>
              </w:rPr>
              <w:t>北厂界24m</w:t>
            </w:r>
          </w:p>
        </w:tc>
        <w:tc>
          <w:tcPr>
            <w:tcW w:w="850"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779200FF">
            <w:pPr>
              <w:rPr>
                <w:rFonts w:hint="default"/>
                <w:sz w:val="21"/>
                <w:szCs w:val="21"/>
                <w:lang w:val="en-US" w:eastAsia="zh-CN"/>
              </w:rPr>
            </w:pPr>
            <w:r>
              <w:rPr>
                <w:rFonts w:hint="eastAsia"/>
                <w:sz w:val="21"/>
                <w:szCs w:val="21"/>
                <w:lang w:val="en-US" w:eastAsia="zh-CN"/>
              </w:rPr>
              <w:t>50</w:t>
            </w:r>
          </w:p>
        </w:tc>
        <w:tc>
          <w:tcPr>
            <w:tcW w:w="850"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566D0C23">
            <w:pPr>
              <w:rPr>
                <w:rFonts w:hint="default"/>
                <w:sz w:val="21"/>
                <w:szCs w:val="21"/>
                <w:lang w:val="en-US" w:eastAsia="zh-CN"/>
              </w:rPr>
            </w:pPr>
            <w:r>
              <w:rPr>
                <w:rFonts w:hint="eastAsia"/>
                <w:sz w:val="21"/>
                <w:szCs w:val="21"/>
                <w:lang w:val="en-US" w:eastAsia="zh-CN"/>
              </w:rPr>
              <w:t>43</w:t>
            </w:r>
          </w:p>
        </w:tc>
        <w:tc>
          <w:tcPr>
            <w:tcW w:w="850"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305476F3">
            <w:pPr>
              <w:rPr>
                <w:rFonts w:hint="eastAsia"/>
                <w:sz w:val="21"/>
                <w:szCs w:val="21"/>
                <w:lang w:val="en-US" w:eastAsia="zh-CN"/>
              </w:rPr>
            </w:pPr>
            <w:r>
              <w:rPr>
                <w:rFonts w:hint="eastAsia"/>
                <w:sz w:val="21"/>
                <w:szCs w:val="21"/>
                <w:lang w:val="en-US" w:eastAsia="zh-CN"/>
              </w:rPr>
              <w:t>50</w:t>
            </w:r>
          </w:p>
        </w:tc>
        <w:tc>
          <w:tcPr>
            <w:tcW w:w="850"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57F20AEB">
            <w:pPr>
              <w:rPr>
                <w:rFonts w:hint="eastAsia"/>
                <w:sz w:val="21"/>
                <w:szCs w:val="21"/>
                <w:lang w:val="en-US" w:eastAsia="zh-CN"/>
              </w:rPr>
            </w:pPr>
            <w:r>
              <w:rPr>
                <w:rFonts w:hint="eastAsia"/>
                <w:sz w:val="21"/>
                <w:szCs w:val="21"/>
                <w:lang w:val="en-US" w:eastAsia="zh-CN"/>
              </w:rPr>
              <w:t>43</w:t>
            </w:r>
          </w:p>
        </w:tc>
        <w:tc>
          <w:tcPr>
            <w:tcW w:w="850"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6E00693B">
            <w:pPr>
              <w:rPr>
                <w:rFonts w:hint="default" w:eastAsia="宋体"/>
                <w:sz w:val="21"/>
                <w:szCs w:val="21"/>
                <w:lang w:val="en-US" w:eastAsia="zh-CN"/>
              </w:rPr>
            </w:pPr>
            <w:r>
              <w:rPr>
                <w:rFonts w:hint="eastAsia"/>
                <w:sz w:val="21"/>
                <w:szCs w:val="21"/>
                <w:lang w:val="en-US" w:eastAsia="zh-CN"/>
              </w:rPr>
              <w:t>55</w:t>
            </w:r>
          </w:p>
        </w:tc>
        <w:tc>
          <w:tcPr>
            <w:tcW w:w="850"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2B60CE7E">
            <w:pPr>
              <w:rPr>
                <w:rFonts w:hint="default" w:eastAsia="宋体"/>
                <w:sz w:val="21"/>
                <w:szCs w:val="21"/>
                <w:lang w:val="en-US" w:eastAsia="zh-CN"/>
              </w:rPr>
            </w:pPr>
            <w:r>
              <w:rPr>
                <w:rFonts w:hint="eastAsia"/>
                <w:sz w:val="21"/>
                <w:szCs w:val="21"/>
                <w:lang w:val="en-US" w:eastAsia="zh-CN"/>
              </w:rPr>
              <w:t>45</w:t>
            </w:r>
          </w:p>
        </w:tc>
        <w:tc>
          <w:tcPr>
            <w:tcW w:w="850"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4715B118">
            <w:pPr>
              <w:rPr>
                <w:rFonts w:hint="default"/>
                <w:sz w:val="21"/>
                <w:szCs w:val="21"/>
                <w:lang w:val="en-US" w:eastAsia="zh-CN"/>
              </w:rPr>
            </w:pPr>
            <w:r>
              <w:rPr>
                <w:rFonts w:hint="eastAsia"/>
                <w:sz w:val="21"/>
                <w:szCs w:val="21"/>
                <w:lang w:val="en-US" w:eastAsia="zh-CN"/>
              </w:rPr>
              <w:t>19.4</w:t>
            </w:r>
          </w:p>
        </w:tc>
        <w:tc>
          <w:tcPr>
            <w:tcW w:w="850"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684E8A5C">
            <w:pPr>
              <w:rPr>
                <w:rFonts w:hint="eastAsia"/>
                <w:sz w:val="21"/>
                <w:szCs w:val="21"/>
                <w:lang w:val="en-US" w:eastAsia="zh-CN"/>
              </w:rPr>
            </w:pPr>
            <w:r>
              <w:rPr>
                <w:rFonts w:hint="eastAsia"/>
                <w:sz w:val="21"/>
                <w:szCs w:val="21"/>
                <w:lang w:val="en-US" w:eastAsia="zh-CN"/>
              </w:rPr>
              <w:t>19.4</w:t>
            </w:r>
          </w:p>
        </w:tc>
        <w:tc>
          <w:tcPr>
            <w:tcW w:w="850"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36FAEEAA">
            <w:pPr>
              <w:rPr>
                <w:rFonts w:hint="eastAsia"/>
                <w:sz w:val="21"/>
                <w:szCs w:val="21"/>
                <w:lang w:val="en-US" w:eastAsia="zh-CN"/>
              </w:rPr>
            </w:pPr>
            <w:r>
              <w:rPr>
                <w:rFonts w:hint="eastAsia"/>
                <w:sz w:val="21"/>
                <w:szCs w:val="21"/>
                <w:lang w:val="en-US" w:eastAsia="zh-CN"/>
              </w:rPr>
              <w:t>50</w:t>
            </w:r>
          </w:p>
        </w:tc>
        <w:tc>
          <w:tcPr>
            <w:tcW w:w="850"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67EDD7C4">
            <w:pPr>
              <w:rPr>
                <w:rFonts w:hint="eastAsia"/>
                <w:sz w:val="21"/>
                <w:szCs w:val="21"/>
              </w:rPr>
            </w:pPr>
            <w:r>
              <w:rPr>
                <w:rFonts w:hint="eastAsia"/>
                <w:sz w:val="21"/>
                <w:szCs w:val="21"/>
                <w:lang w:val="en-US" w:eastAsia="zh-CN"/>
              </w:rPr>
              <w:t>43</w:t>
            </w:r>
          </w:p>
        </w:tc>
        <w:tc>
          <w:tcPr>
            <w:tcW w:w="850"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648147C0">
            <w:pPr>
              <w:rPr>
                <w:rFonts w:hint="default"/>
                <w:sz w:val="21"/>
                <w:szCs w:val="21"/>
                <w:lang w:val="en-US" w:eastAsia="zh-CN"/>
              </w:rPr>
            </w:pPr>
            <w:r>
              <w:rPr>
                <w:rFonts w:hint="eastAsia"/>
                <w:sz w:val="21"/>
                <w:szCs w:val="21"/>
                <w:lang w:val="en-US" w:eastAsia="zh-CN"/>
              </w:rPr>
              <w:t>0</w:t>
            </w:r>
          </w:p>
        </w:tc>
        <w:tc>
          <w:tcPr>
            <w:tcW w:w="850"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42BDAD83">
            <w:pPr>
              <w:rPr>
                <w:rFonts w:hint="default"/>
                <w:sz w:val="21"/>
                <w:szCs w:val="21"/>
                <w:lang w:val="en-US" w:eastAsia="zh-CN"/>
              </w:rPr>
            </w:pPr>
            <w:r>
              <w:rPr>
                <w:rFonts w:hint="eastAsia"/>
                <w:sz w:val="21"/>
                <w:szCs w:val="21"/>
                <w:lang w:val="en-US" w:eastAsia="zh-CN"/>
              </w:rPr>
              <w:t>0</w:t>
            </w:r>
          </w:p>
        </w:tc>
        <w:tc>
          <w:tcPr>
            <w:tcW w:w="850"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4C3C6D4F">
            <w:pPr>
              <w:rPr>
                <w:sz w:val="21"/>
                <w:szCs w:val="21"/>
              </w:rPr>
            </w:pPr>
            <w:r>
              <w:rPr>
                <w:sz w:val="21"/>
                <w:szCs w:val="21"/>
              </w:rPr>
              <w:t>达标</w:t>
            </w:r>
          </w:p>
        </w:tc>
        <w:tc>
          <w:tcPr>
            <w:tcW w:w="858"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69FC06C5">
            <w:pPr>
              <w:rPr>
                <w:sz w:val="21"/>
                <w:szCs w:val="21"/>
              </w:rPr>
            </w:pPr>
            <w:r>
              <w:rPr>
                <w:sz w:val="21"/>
                <w:szCs w:val="21"/>
              </w:rPr>
              <w:t>达标</w:t>
            </w:r>
          </w:p>
        </w:tc>
      </w:tr>
      <w:tr w14:paraId="3DF9FC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590"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46E17B37">
            <w:pPr>
              <w:rPr>
                <w:rFonts w:hint="eastAsia" w:eastAsia="宋体"/>
                <w:sz w:val="21"/>
                <w:szCs w:val="21"/>
                <w:lang w:val="en-US" w:eastAsia="zh-CN"/>
              </w:rPr>
            </w:pPr>
            <w:r>
              <w:rPr>
                <w:rFonts w:hint="eastAsia"/>
                <w:sz w:val="21"/>
                <w:szCs w:val="21"/>
                <w:lang w:val="en-US" w:eastAsia="zh-CN"/>
              </w:rPr>
              <w:t>6</w:t>
            </w:r>
          </w:p>
        </w:tc>
        <w:tc>
          <w:tcPr>
            <w:tcW w:w="1155"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133C803D">
            <w:pPr>
              <w:rPr>
                <w:rFonts w:ascii="宋体" w:hAnsi="宋体" w:eastAsia="宋体" w:cs="宋体"/>
                <w:sz w:val="21"/>
                <w:szCs w:val="21"/>
              </w:rPr>
            </w:pPr>
            <w:r>
              <w:rPr>
                <w:rFonts w:hint="eastAsia" w:ascii="宋体" w:hAnsi="宋体" w:eastAsia="宋体" w:cs="宋体"/>
                <w:sz w:val="21"/>
                <w:szCs w:val="21"/>
                <w:lang w:val="en-US" w:eastAsia="zh-CN"/>
              </w:rPr>
              <w:t>西厂界24m</w:t>
            </w:r>
          </w:p>
        </w:tc>
        <w:tc>
          <w:tcPr>
            <w:tcW w:w="850"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59985704">
            <w:pPr>
              <w:rPr>
                <w:rFonts w:hint="default"/>
                <w:sz w:val="21"/>
                <w:szCs w:val="21"/>
                <w:lang w:val="en-US" w:eastAsia="zh-CN"/>
              </w:rPr>
            </w:pPr>
            <w:r>
              <w:rPr>
                <w:rFonts w:hint="eastAsia"/>
                <w:sz w:val="21"/>
                <w:szCs w:val="21"/>
                <w:lang w:val="en-US" w:eastAsia="zh-CN"/>
              </w:rPr>
              <w:t>51</w:t>
            </w:r>
          </w:p>
        </w:tc>
        <w:tc>
          <w:tcPr>
            <w:tcW w:w="850"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48102AB6">
            <w:pPr>
              <w:rPr>
                <w:rFonts w:hint="default"/>
                <w:sz w:val="21"/>
                <w:szCs w:val="21"/>
                <w:lang w:val="en-US" w:eastAsia="zh-CN"/>
              </w:rPr>
            </w:pPr>
            <w:r>
              <w:rPr>
                <w:rFonts w:hint="eastAsia"/>
                <w:sz w:val="21"/>
                <w:szCs w:val="21"/>
                <w:lang w:val="en-US" w:eastAsia="zh-CN"/>
              </w:rPr>
              <w:t>42</w:t>
            </w:r>
          </w:p>
        </w:tc>
        <w:tc>
          <w:tcPr>
            <w:tcW w:w="850"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1C22D8E4">
            <w:pPr>
              <w:rPr>
                <w:rFonts w:hint="eastAsia"/>
                <w:sz w:val="21"/>
                <w:szCs w:val="21"/>
                <w:lang w:val="en-US" w:eastAsia="zh-CN"/>
              </w:rPr>
            </w:pPr>
            <w:r>
              <w:rPr>
                <w:rFonts w:hint="eastAsia"/>
                <w:sz w:val="21"/>
                <w:szCs w:val="21"/>
                <w:lang w:val="en-US" w:eastAsia="zh-CN"/>
              </w:rPr>
              <w:t>51</w:t>
            </w:r>
          </w:p>
        </w:tc>
        <w:tc>
          <w:tcPr>
            <w:tcW w:w="850"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4F19DDA2">
            <w:pPr>
              <w:rPr>
                <w:rFonts w:hint="eastAsia"/>
                <w:sz w:val="21"/>
                <w:szCs w:val="21"/>
                <w:lang w:val="en-US" w:eastAsia="zh-CN"/>
              </w:rPr>
            </w:pPr>
            <w:r>
              <w:rPr>
                <w:rFonts w:hint="eastAsia"/>
                <w:sz w:val="21"/>
                <w:szCs w:val="21"/>
                <w:lang w:val="en-US" w:eastAsia="zh-CN"/>
              </w:rPr>
              <w:t>42</w:t>
            </w:r>
          </w:p>
        </w:tc>
        <w:tc>
          <w:tcPr>
            <w:tcW w:w="850"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6996D8A0">
            <w:pPr>
              <w:rPr>
                <w:rFonts w:hint="default" w:eastAsia="宋体"/>
                <w:sz w:val="21"/>
                <w:szCs w:val="21"/>
                <w:lang w:val="en-US" w:eastAsia="zh-CN"/>
              </w:rPr>
            </w:pPr>
            <w:r>
              <w:rPr>
                <w:rFonts w:hint="eastAsia"/>
                <w:sz w:val="21"/>
                <w:szCs w:val="21"/>
                <w:lang w:val="en-US" w:eastAsia="zh-CN"/>
              </w:rPr>
              <w:t>55</w:t>
            </w:r>
          </w:p>
        </w:tc>
        <w:tc>
          <w:tcPr>
            <w:tcW w:w="850"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2323FEB3">
            <w:pPr>
              <w:rPr>
                <w:rFonts w:hint="default" w:eastAsia="宋体"/>
                <w:sz w:val="21"/>
                <w:szCs w:val="21"/>
                <w:lang w:val="en-US" w:eastAsia="zh-CN"/>
              </w:rPr>
            </w:pPr>
            <w:r>
              <w:rPr>
                <w:rFonts w:hint="eastAsia"/>
                <w:sz w:val="21"/>
                <w:szCs w:val="21"/>
                <w:lang w:val="en-US" w:eastAsia="zh-CN"/>
              </w:rPr>
              <w:t>45</w:t>
            </w:r>
          </w:p>
        </w:tc>
        <w:tc>
          <w:tcPr>
            <w:tcW w:w="850"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1C58A29A">
            <w:pPr>
              <w:rPr>
                <w:rFonts w:hint="default"/>
                <w:sz w:val="21"/>
                <w:szCs w:val="21"/>
                <w:lang w:val="en-US" w:eastAsia="zh-CN"/>
              </w:rPr>
            </w:pPr>
            <w:r>
              <w:rPr>
                <w:rFonts w:hint="eastAsia"/>
                <w:sz w:val="21"/>
                <w:szCs w:val="21"/>
                <w:lang w:val="en-US" w:eastAsia="zh-CN"/>
              </w:rPr>
              <w:t>10.9</w:t>
            </w:r>
          </w:p>
        </w:tc>
        <w:tc>
          <w:tcPr>
            <w:tcW w:w="850"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1A285CEE">
            <w:pPr>
              <w:rPr>
                <w:rFonts w:hint="default"/>
                <w:sz w:val="21"/>
                <w:szCs w:val="21"/>
                <w:lang w:val="en-US" w:eastAsia="zh-CN"/>
              </w:rPr>
            </w:pPr>
            <w:r>
              <w:rPr>
                <w:rFonts w:hint="eastAsia"/>
                <w:sz w:val="21"/>
                <w:szCs w:val="21"/>
                <w:lang w:val="en-US" w:eastAsia="zh-CN"/>
              </w:rPr>
              <w:t>10.9</w:t>
            </w:r>
          </w:p>
        </w:tc>
        <w:tc>
          <w:tcPr>
            <w:tcW w:w="850"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65831B2B">
            <w:pPr>
              <w:rPr>
                <w:rFonts w:hint="eastAsia"/>
                <w:sz w:val="21"/>
                <w:szCs w:val="21"/>
                <w:lang w:val="en-US" w:eastAsia="zh-CN"/>
              </w:rPr>
            </w:pPr>
            <w:r>
              <w:rPr>
                <w:rFonts w:hint="eastAsia"/>
                <w:sz w:val="21"/>
                <w:szCs w:val="21"/>
                <w:lang w:val="en-US" w:eastAsia="zh-CN"/>
              </w:rPr>
              <w:t>51</w:t>
            </w:r>
          </w:p>
        </w:tc>
        <w:tc>
          <w:tcPr>
            <w:tcW w:w="850"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5C8C5DD3">
            <w:pPr>
              <w:rPr>
                <w:rFonts w:hint="eastAsia"/>
                <w:sz w:val="21"/>
                <w:szCs w:val="21"/>
              </w:rPr>
            </w:pPr>
            <w:r>
              <w:rPr>
                <w:rFonts w:hint="eastAsia"/>
                <w:sz w:val="21"/>
                <w:szCs w:val="21"/>
                <w:lang w:val="en-US" w:eastAsia="zh-CN"/>
              </w:rPr>
              <w:t>42</w:t>
            </w:r>
          </w:p>
        </w:tc>
        <w:tc>
          <w:tcPr>
            <w:tcW w:w="850"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71ED7A5E">
            <w:pPr>
              <w:rPr>
                <w:rFonts w:hint="default"/>
                <w:sz w:val="21"/>
                <w:szCs w:val="21"/>
                <w:lang w:val="en-US" w:eastAsia="zh-CN"/>
              </w:rPr>
            </w:pPr>
            <w:r>
              <w:rPr>
                <w:rFonts w:hint="eastAsia"/>
                <w:sz w:val="21"/>
                <w:szCs w:val="21"/>
                <w:lang w:val="en-US" w:eastAsia="zh-CN"/>
              </w:rPr>
              <w:t>0</w:t>
            </w:r>
          </w:p>
        </w:tc>
        <w:tc>
          <w:tcPr>
            <w:tcW w:w="850"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4DFB5BB9">
            <w:pPr>
              <w:rPr>
                <w:rFonts w:hint="default"/>
                <w:sz w:val="21"/>
                <w:szCs w:val="21"/>
                <w:lang w:val="en-US" w:eastAsia="zh-CN"/>
              </w:rPr>
            </w:pPr>
            <w:r>
              <w:rPr>
                <w:rFonts w:hint="eastAsia"/>
                <w:sz w:val="21"/>
                <w:szCs w:val="21"/>
                <w:lang w:val="en-US" w:eastAsia="zh-CN"/>
              </w:rPr>
              <w:t>0</w:t>
            </w:r>
          </w:p>
        </w:tc>
        <w:tc>
          <w:tcPr>
            <w:tcW w:w="850"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6B9C413F">
            <w:pPr>
              <w:rPr>
                <w:sz w:val="21"/>
                <w:szCs w:val="21"/>
              </w:rPr>
            </w:pPr>
            <w:r>
              <w:rPr>
                <w:sz w:val="21"/>
                <w:szCs w:val="21"/>
              </w:rPr>
              <w:t>达标</w:t>
            </w:r>
          </w:p>
        </w:tc>
        <w:tc>
          <w:tcPr>
            <w:tcW w:w="858"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628EFDAA">
            <w:pPr>
              <w:rPr>
                <w:sz w:val="21"/>
                <w:szCs w:val="21"/>
              </w:rPr>
            </w:pPr>
            <w:r>
              <w:rPr>
                <w:sz w:val="21"/>
                <w:szCs w:val="21"/>
              </w:rPr>
              <w:t>达标</w:t>
            </w:r>
          </w:p>
        </w:tc>
      </w:tr>
    </w:tbl>
    <w:p w14:paraId="6F2B2D51">
      <w:pPr>
        <w:pStyle w:val="52"/>
        <w:keepNext w:val="0"/>
        <w:keepLines w:val="0"/>
        <w:widowControl/>
        <w:suppressLineNumbers w:val="0"/>
        <w:spacing w:line="240" w:lineRule="auto"/>
        <w:ind w:firstLine="480" w:firstLineChars="200"/>
        <w:jc w:val="left"/>
        <w:textAlignment w:val="center"/>
        <w:rPr>
          <w:rFonts w:hint="eastAsia" w:ascii="宋体" w:hAnsi="宋体" w:eastAsia="宋体" w:cs="宋体"/>
          <w:color w:val="000000"/>
          <w:spacing w:val="0"/>
          <w:position w:val="0"/>
          <w:sz w:val="24"/>
          <w:szCs w:val="24"/>
          <w:highlight w:val="yellow"/>
        </w:rPr>
        <w:sectPr>
          <w:pgSz w:w="16840" w:h="11907" w:orient="landscape"/>
          <w:pgMar w:top="1701" w:right="1701" w:bottom="1701" w:left="1701" w:header="851" w:footer="1077" w:gutter="0"/>
          <w:pgBorders w:offsetFrom="page">
            <w:top w:val="none" w:sz="0" w:space="0"/>
            <w:left w:val="none" w:sz="0" w:space="0"/>
            <w:bottom w:val="none" w:sz="0" w:space="0"/>
            <w:right w:val="none" w:sz="0" w:space="0"/>
          </w:pgBorders>
          <w:pgNumType w:fmt="decimal"/>
          <w:cols w:space="720" w:num="1"/>
          <w:docGrid w:type="lines" w:linePitch="479" w:charSpace="0"/>
        </w:sectPr>
      </w:pPr>
      <w:r>
        <w:rPr>
          <w:highlight w:val="none"/>
          <w:lang w:val="en-US"/>
        </w:rPr>
        <w:t>由预测结果可知，本项目采取相应隔声、消声等一系列措施后，</w:t>
      </w:r>
      <w:r>
        <w:rPr>
          <w:rFonts w:hint="eastAsia" w:ascii="Times New Roman" w:hAnsi="Times New Roman" w:cs="Times New Roman"/>
          <w:highlight w:val="none"/>
        </w:rPr>
        <w:t>厂界东侧，西侧，北侧噪声值满足《工业企业厂界环境噪声排放标准(GB12348-2008)》中2类标准(2类：昼间60dB(A)，夜间50dB(A))要求。厂界南侧噪声值满足《工业企业厂界环境噪声排放标准(GB12348-2008)》中4类标准(4类：昼间70dB(A)，夜间55dB(A))要求</w:t>
      </w:r>
      <w:r>
        <w:rPr>
          <w:rFonts w:ascii="Times New Roman" w:hAnsi="Times New Roman" w:cs="Times New Roman"/>
          <w:highlight w:val="none"/>
        </w:rPr>
        <w:t>。</w:t>
      </w:r>
    </w:p>
    <w:p w14:paraId="727ACCB2">
      <w:pPr>
        <w:pStyle w:val="6"/>
        <w:spacing w:before="239"/>
      </w:pPr>
      <w:bookmarkStart w:id="483" w:name="_Toc30261"/>
      <w:bookmarkStart w:id="484" w:name="_Toc90026139"/>
      <w:r>
        <w:rPr>
          <w:rFonts w:hint="eastAsia"/>
        </w:rPr>
        <w:t>5</w:t>
      </w:r>
      <w:r>
        <w:t>.3 水环境影响分析</w:t>
      </w:r>
      <w:bookmarkEnd w:id="483"/>
      <w:bookmarkEnd w:id="484"/>
    </w:p>
    <w:p w14:paraId="0A6943DF">
      <w:pPr>
        <w:spacing w:line="500" w:lineRule="exact"/>
        <w:ind w:firstLine="480" w:firstLineChars="200"/>
        <w:jc w:val="both"/>
        <w:rPr>
          <w:rFonts w:ascii="Times New Roman" w:hAnsi="Times New Roman" w:cs="Times New Roman"/>
        </w:rPr>
      </w:pPr>
      <w:r>
        <w:rPr>
          <w:rFonts w:hint="eastAsia" w:ascii="Times New Roman" w:hAnsi="Times New Roman" w:cs="Times New Roman"/>
        </w:rPr>
        <w:t>厂区现有</w:t>
      </w:r>
      <w:r>
        <w:rPr>
          <w:rFonts w:ascii="Times New Roman" w:hAnsi="Times New Roman" w:cs="Times New Roman"/>
        </w:rPr>
        <w:t>排水实行雨污分流制：</w:t>
      </w:r>
      <w:r>
        <w:rPr>
          <w:rFonts w:hint="eastAsia" w:cs="Times New Roman"/>
        </w:rPr>
        <w:t>①</w:t>
      </w:r>
      <w:r>
        <w:rPr>
          <w:rFonts w:ascii="Times New Roman" w:hAnsi="Times New Roman" w:cs="Times New Roman"/>
        </w:rPr>
        <w:t>雨水经厂区路面和屋顶收集，排入</w:t>
      </w:r>
      <w:r>
        <w:rPr>
          <w:rFonts w:hint="eastAsia" w:ascii="Times New Roman" w:hAnsi="Times New Roman" w:cs="Times New Roman"/>
          <w:lang w:val="en-US" w:eastAsia="zh-CN"/>
        </w:rPr>
        <w:t>雨水池</w:t>
      </w:r>
      <w:r>
        <w:rPr>
          <w:rFonts w:ascii="Times New Roman" w:hAnsi="Times New Roman" w:cs="Times New Roman"/>
        </w:rPr>
        <w:t>，就近流入地表水体。</w:t>
      </w:r>
      <w:r>
        <w:rPr>
          <w:rFonts w:hint="eastAsia" w:cs="Times New Roman"/>
        </w:rPr>
        <w:t>②</w:t>
      </w:r>
      <w:r>
        <w:rPr>
          <w:rFonts w:hint="eastAsia" w:ascii="Times New Roman" w:hAnsi="Times New Roman" w:cs="Times New Roman"/>
        </w:rPr>
        <w:t>生产废水主要为净循环水，全部循环使用不外排。</w:t>
      </w:r>
      <w:r>
        <w:rPr>
          <w:rFonts w:hint="eastAsia" w:cs="Times New Roman"/>
        </w:rPr>
        <w:t>③</w:t>
      </w:r>
      <w:r>
        <w:rPr>
          <w:rFonts w:hint="eastAsia" w:ascii="Times New Roman" w:hAnsi="Times New Roman" w:cs="Times New Roman"/>
        </w:rPr>
        <w:t>生活污水</w:t>
      </w:r>
      <w:r>
        <w:rPr>
          <w:rFonts w:ascii="Times New Roman" w:hAnsi="Times New Roman" w:cs="Times New Roman"/>
        </w:rPr>
        <w:t>汇入</w:t>
      </w:r>
      <w:r>
        <w:rPr>
          <w:rFonts w:hint="eastAsia" w:ascii="Times New Roman" w:hAnsi="Times New Roman" w:cs="Times New Roman"/>
        </w:rPr>
        <w:t>厂区</w:t>
      </w:r>
      <w:r>
        <w:rPr>
          <w:rFonts w:ascii="Times New Roman" w:hAnsi="Times New Roman" w:cs="Times New Roman"/>
        </w:rPr>
        <w:t>化粪池，</w:t>
      </w:r>
      <w:r>
        <w:rPr>
          <w:rFonts w:hint="eastAsia" w:ascii="Times New Roman" w:hAnsi="Times New Roman" w:cs="Times New Roman"/>
          <w:lang w:val="en-US" w:eastAsia="zh-CN"/>
        </w:rPr>
        <w:t>定期清掏</w:t>
      </w:r>
      <w:r>
        <w:rPr>
          <w:rFonts w:ascii="Times New Roman" w:hAnsi="Times New Roman" w:cs="Times New Roman"/>
        </w:rPr>
        <w:t>。</w:t>
      </w:r>
    </w:p>
    <w:p w14:paraId="3081CFC8">
      <w:pPr>
        <w:spacing w:line="500" w:lineRule="exact"/>
        <w:ind w:firstLine="480" w:firstLineChars="200"/>
        <w:jc w:val="both"/>
        <w:rPr>
          <w:rFonts w:hint="eastAsia" w:ascii="Times New Roman" w:hAnsi="Times New Roman" w:cs="Times New Roman"/>
        </w:rPr>
      </w:pPr>
      <w:r>
        <w:rPr>
          <w:rFonts w:hint="eastAsia" w:ascii="Times New Roman" w:hAnsi="Times New Roman" w:cs="Times New Roman"/>
        </w:rPr>
        <w:t>根据影响因素分析，本项目不新增劳动定员，无新增生活污水。生产废水主要为间接冷却排污水，全部循环使用不外排。</w:t>
      </w:r>
    </w:p>
    <w:p w14:paraId="279F3D79">
      <w:pPr>
        <w:spacing w:line="500" w:lineRule="exact"/>
        <w:ind w:firstLine="480" w:firstLineChars="200"/>
        <w:jc w:val="both"/>
        <w:rPr>
          <w:rFonts w:hint="eastAsia" w:ascii="Times New Roman" w:hAnsi="Times New Roman" w:cs="Times New Roman"/>
        </w:rPr>
      </w:pPr>
      <w:r>
        <w:rPr>
          <w:rFonts w:hint="eastAsia" w:ascii="Times New Roman" w:hAnsi="Times New Roman" w:cs="Times New Roman"/>
        </w:rPr>
        <w:t>根据《环境影响评价技术导则 地表水环境》</w:t>
      </w:r>
      <w:r>
        <w:rPr>
          <w:rFonts w:ascii="Times New Roman" w:hAnsi="Times New Roman" w:cs="Times New Roman"/>
        </w:rPr>
        <w:t>（HJ2.3-2018）</w:t>
      </w:r>
      <w:r>
        <w:rPr>
          <w:rFonts w:hint="eastAsia" w:ascii="Times New Roman" w:hAnsi="Times New Roman" w:cs="Times New Roman"/>
        </w:rPr>
        <w:t>的评价等级判定，本项目地表水评价等级确定为</w:t>
      </w:r>
      <w:r>
        <w:rPr>
          <w:rFonts w:ascii="Times New Roman" w:hAnsi="Times New Roman" w:cs="Times New Roman"/>
        </w:rPr>
        <w:t>三级B，</w:t>
      </w:r>
      <w:r>
        <w:rPr>
          <w:rFonts w:hint="eastAsia" w:ascii="Times New Roman" w:hAnsi="Times New Roman" w:cs="Times New Roman"/>
        </w:rPr>
        <w:t>不需要进行区域污染源调查和环境影响预测。</w:t>
      </w:r>
    </w:p>
    <w:p w14:paraId="1010CE9E">
      <w:pPr>
        <w:spacing w:line="500" w:lineRule="exact"/>
        <w:ind w:firstLine="480" w:firstLineChars="200"/>
        <w:jc w:val="both"/>
        <w:rPr>
          <w:rFonts w:ascii="Times New Roman" w:hAnsi="Times New Roman" w:cs="Times New Roman"/>
        </w:rPr>
      </w:pPr>
      <w:r>
        <w:rPr>
          <w:rFonts w:hint="eastAsia" w:ascii="Times New Roman" w:hAnsi="Times New Roman" w:cs="Times New Roman"/>
        </w:rPr>
        <w:t>综上所述，本项目废水全部回用不外排，</w:t>
      </w:r>
      <w:r>
        <w:rPr>
          <w:rFonts w:ascii="Times New Roman" w:hAnsi="Times New Roman" w:cs="Times New Roman"/>
          <w:bCs/>
        </w:rPr>
        <w:t>对区域地表水环境影响较小</w:t>
      </w:r>
      <w:r>
        <w:rPr>
          <w:rFonts w:hint="eastAsia" w:ascii="Times New Roman" w:hAnsi="Times New Roman" w:cs="Times New Roman"/>
        </w:rPr>
        <w:t>。</w:t>
      </w:r>
    </w:p>
    <w:p w14:paraId="09BCF31A">
      <w:pPr>
        <w:pStyle w:val="6"/>
        <w:spacing w:before="239"/>
      </w:pPr>
      <w:bookmarkStart w:id="485" w:name="_Toc90026140"/>
      <w:bookmarkStart w:id="486" w:name="_Toc24634"/>
      <w:r>
        <w:rPr>
          <w:rFonts w:hint="eastAsia"/>
        </w:rPr>
        <w:t>5</w:t>
      </w:r>
      <w:r>
        <w:t>.4 地下水环境影响分析</w:t>
      </w:r>
      <w:bookmarkEnd w:id="485"/>
      <w:bookmarkEnd w:id="486"/>
    </w:p>
    <w:p w14:paraId="34111C10">
      <w:pPr>
        <w:pStyle w:val="7"/>
      </w:pPr>
      <w:bookmarkStart w:id="487" w:name="_Toc90026309"/>
      <w:bookmarkStart w:id="488" w:name="_Toc15520"/>
      <w:r>
        <w:rPr>
          <w:rFonts w:hint="eastAsia"/>
          <w:lang w:eastAsia="zh-CN"/>
        </w:rPr>
        <w:t>5</w:t>
      </w:r>
      <w:r>
        <w:t>.4.1 地下水污染来源</w:t>
      </w:r>
      <w:bookmarkEnd w:id="487"/>
      <w:bookmarkEnd w:id="488"/>
    </w:p>
    <w:p w14:paraId="1400E7E8">
      <w:pPr>
        <w:adjustRightInd w:val="0"/>
        <w:spacing w:line="500" w:lineRule="exact"/>
        <w:ind w:firstLine="480" w:firstLineChars="200"/>
        <w:jc w:val="both"/>
        <w:rPr>
          <w:rFonts w:ascii="Times New Roman" w:hAnsi="Times New Roman" w:cs="Times New Roman"/>
        </w:rPr>
      </w:pPr>
      <w:r>
        <w:rPr>
          <w:rFonts w:ascii="Times New Roman" w:hAnsi="Times New Roman" w:cs="Times New Roman"/>
          <w:bCs/>
        </w:rPr>
        <w:t>根据</w:t>
      </w:r>
      <w:r>
        <w:rPr>
          <w:rFonts w:hint="eastAsia" w:ascii="Times New Roman" w:hAnsi="Times New Roman" w:cs="Times New Roman"/>
        </w:rPr>
        <w:t>影响因素分析，</w:t>
      </w:r>
      <w:r>
        <w:rPr>
          <w:rFonts w:ascii="Times New Roman" w:hAnsi="Times New Roman" w:cs="Times New Roman"/>
        </w:rPr>
        <w:t>本项目</w:t>
      </w:r>
      <w:r>
        <w:rPr>
          <w:rFonts w:hint="eastAsia" w:ascii="Times New Roman" w:hAnsi="Times New Roman" w:cs="Times New Roman"/>
        </w:rPr>
        <w:t>无新增生活污水，生产废水主要为间接冷却排污水，</w:t>
      </w:r>
      <w:r>
        <w:rPr>
          <w:rFonts w:ascii="Times New Roman" w:hAnsi="Times New Roman" w:cs="Times New Roman"/>
        </w:rPr>
        <w:t>水质较洁净</w:t>
      </w:r>
      <w:r>
        <w:rPr>
          <w:rFonts w:hint="eastAsia" w:ascii="Times New Roman" w:hAnsi="Times New Roman" w:cs="Times New Roman"/>
        </w:rPr>
        <w:t>，全部循环使用不外排，</w:t>
      </w:r>
      <w:r>
        <w:rPr>
          <w:rFonts w:ascii="Times New Roman" w:hAnsi="Times New Roman" w:cs="Times New Roman"/>
        </w:rPr>
        <w:t>在正常情况下不会对地下水产生污染。</w:t>
      </w:r>
    </w:p>
    <w:p w14:paraId="7AE64E4C">
      <w:pPr>
        <w:adjustRightInd w:val="0"/>
        <w:spacing w:line="500" w:lineRule="exact"/>
        <w:ind w:firstLine="480" w:firstLineChars="200"/>
        <w:jc w:val="both"/>
        <w:rPr>
          <w:rFonts w:ascii="Times New Roman" w:hAnsi="Times New Roman" w:cs="Times New Roman"/>
        </w:rPr>
      </w:pPr>
      <w:r>
        <w:rPr>
          <w:rFonts w:ascii="Times New Roman" w:hAnsi="Times New Roman" w:cs="Times New Roman"/>
        </w:rPr>
        <w:t>本项目可能对地下水产生污染的主要途径为</w:t>
      </w:r>
      <w:r>
        <w:rPr>
          <w:rFonts w:hint="eastAsia" w:ascii="Times New Roman" w:hAnsi="Times New Roman" w:cs="Times New Roman"/>
        </w:rPr>
        <w:t>净环水系统循环</w:t>
      </w:r>
      <w:r>
        <w:rPr>
          <w:rFonts w:ascii="Times New Roman" w:hAnsi="Times New Roman" w:cs="Times New Roman"/>
        </w:rPr>
        <w:t>水池的跑、冒、滴、漏等，污染物</w:t>
      </w:r>
      <w:r>
        <w:rPr>
          <w:rFonts w:ascii="Times New Roman" w:hAnsi="Times New Roman" w:cs="Times New Roman"/>
          <w:bCs/>
        </w:rPr>
        <w:t>主要为</w:t>
      </w:r>
      <w:r>
        <w:rPr>
          <w:rFonts w:hint="eastAsia" w:ascii="Times New Roman" w:hAnsi="Times New Roman" w:cs="Times New Roman"/>
          <w:bCs/>
        </w:rPr>
        <w:t>少量COD、</w:t>
      </w:r>
      <w:r>
        <w:rPr>
          <w:rFonts w:ascii="Times New Roman" w:hAnsi="Times New Roman" w:cs="Times New Roman"/>
          <w:bCs/>
        </w:rPr>
        <w:t>SS，不含特殊有毒有害污染物，</w:t>
      </w:r>
      <w:r>
        <w:rPr>
          <w:rFonts w:hint="eastAsia" w:ascii="Times New Roman" w:hAnsi="Times New Roman" w:cs="Times New Roman"/>
        </w:rPr>
        <w:t>生产废水全部回用不外排</w:t>
      </w:r>
      <w:r>
        <w:rPr>
          <w:rFonts w:ascii="Times New Roman" w:hAnsi="Times New Roman" w:cs="Times New Roman"/>
          <w:bCs/>
        </w:rPr>
        <w:t>。</w:t>
      </w:r>
    </w:p>
    <w:p w14:paraId="31A43A40">
      <w:pPr>
        <w:pStyle w:val="7"/>
        <w:rPr>
          <w:lang w:eastAsia="zh-CN"/>
        </w:rPr>
      </w:pPr>
      <w:bookmarkStart w:id="489" w:name="_Toc26363"/>
      <w:bookmarkStart w:id="490" w:name="_Toc90026310"/>
      <w:r>
        <w:rPr>
          <w:rFonts w:hint="eastAsia"/>
          <w:lang w:eastAsia="zh-CN"/>
        </w:rPr>
        <w:t>5</w:t>
      </w:r>
      <w:r>
        <w:rPr>
          <w:lang w:eastAsia="zh-CN"/>
        </w:rPr>
        <w:t>.4.2 地下水环境影响分析</w:t>
      </w:r>
      <w:bookmarkEnd w:id="489"/>
      <w:bookmarkEnd w:id="490"/>
    </w:p>
    <w:p w14:paraId="5F595C51">
      <w:pPr>
        <w:adjustRightInd w:val="0"/>
        <w:spacing w:line="500" w:lineRule="exact"/>
        <w:ind w:firstLine="480" w:firstLineChars="200"/>
        <w:jc w:val="both"/>
        <w:rPr>
          <w:rFonts w:ascii="Times New Roman" w:hAnsi="Times New Roman" w:cs="Times New Roman"/>
        </w:rPr>
      </w:pPr>
      <w:r>
        <w:rPr>
          <w:rFonts w:ascii="Times New Roman" w:hAnsi="Times New Roman" w:cs="Times New Roman"/>
        </w:rPr>
        <w:t>根据《环境影响评价技术导则-地下水环境》（HJ610-2016），本项目属于Ⅳ类建设项目，不需开展地下水环境影响评价。本次环评对地下水环境影响进行简单分析。</w:t>
      </w:r>
    </w:p>
    <w:p w14:paraId="727EA465">
      <w:pPr>
        <w:adjustRightInd w:val="0"/>
        <w:spacing w:line="500" w:lineRule="exact"/>
        <w:ind w:firstLine="480" w:firstLineChars="200"/>
        <w:jc w:val="both"/>
        <w:rPr>
          <w:rFonts w:ascii="Times New Roman" w:hAnsi="Times New Roman" w:cs="Times New Roman"/>
        </w:rPr>
      </w:pPr>
      <w:r>
        <w:rPr>
          <w:rFonts w:ascii="Times New Roman" w:hAnsi="Times New Roman" w:cs="Times New Roman"/>
        </w:rPr>
        <w:t>废水污染物对地下水的污染途径主要取决于上覆地层岩性、包气带防护能力、含水层的埋藏分布等因素。未经处理的污水在非正常情况下泄漏，其有害物质的淋溶、流失、渗入地下，可通过包气带进入含水层导致对地下水的污染。因此，包气带的垂直渗漏是地下水的主要污染途径。包气带的防护能力大小与包气带厚度、岩性结构、弱渗透性地层的渗透性能及厚度有关，若包气带粘性土厚度小，且分布不连续、不稳定，即地下水自然防护能力就差，那么污水渗漏就易对地下水产生污染，若包气带粘性土厚度虽小，但分布连续、稳定，地下水自然防护条件相对就好些，污染物对地下水影响就相对小些。另外，不同的底地层对污染物的防护作用不同，从岩性来看，岩土的吸附净化能力由强到弱大致分为粘土、亚粘土、粉土、细砂和中粗砂。</w:t>
      </w:r>
    </w:p>
    <w:p w14:paraId="40D64E76">
      <w:pPr>
        <w:adjustRightInd w:val="0"/>
        <w:spacing w:line="500" w:lineRule="exact"/>
        <w:ind w:firstLine="480" w:firstLineChars="200"/>
        <w:jc w:val="both"/>
        <w:rPr>
          <w:rFonts w:ascii="Times New Roman" w:hAnsi="Times New Roman" w:cs="Times New Roman"/>
        </w:rPr>
      </w:pPr>
      <w:r>
        <w:rPr>
          <w:rFonts w:ascii="Times New Roman" w:hAnsi="Times New Roman" w:cs="Times New Roman"/>
        </w:rPr>
        <w:t>从本项目所在区域的地层岩性来看，其具有较低的渗透性，厂址区域地层防护性能较好。</w:t>
      </w:r>
    </w:p>
    <w:p w14:paraId="1A1BAEB4">
      <w:pPr>
        <w:spacing w:line="500" w:lineRule="exact"/>
        <w:ind w:firstLine="480" w:firstLineChars="200"/>
        <w:jc w:val="both"/>
        <w:rPr>
          <w:rFonts w:ascii="Times New Roman" w:hAnsi="Times New Roman" w:cs="Times New Roman"/>
        </w:rPr>
      </w:pPr>
      <w:r>
        <w:rPr>
          <w:rFonts w:ascii="Times New Roman" w:hAnsi="Times New Roman" w:cs="Times New Roman"/>
        </w:rPr>
        <w:t>废水在向地下渗透时，由于污染物被吸附形成一层微生物膜土层，在微生物的作用下，加之土壤的吸附、过滤等作用，会使得废水在向地下迁移过程中污染物浓度大幅度降低。据有关单位对广州污水处理厂处理后废水进行回灌补充地下水的试验结果表明，2m厚的自然土层对COD、BOD</w:t>
      </w:r>
      <w:r>
        <w:rPr>
          <w:rFonts w:ascii="Times New Roman" w:hAnsi="Times New Roman" w:cs="Times New Roman"/>
          <w:vertAlign w:val="subscript"/>
        </w:rPr>
        <w:t>5</w:t>
      </w:r>
      <w:r>
        <w:rPr>
          <w:rFonts w:ascii="Times New Roman" w:hAnsi="Times New Roman" w:cs="Times New Roman"/>
        </w:rPr>
        <w:t>的去除率分别达到90%和95%，因此经过自然土层的净化，废水对地下水质的影响较小。</w:t>
      </w:r>
    </w:p>
    <w:p w14:paraId="21B799FC">
      <w:pPr>
        <w:adjustRightInd w:val="0"/>
        <w:spacing w:line="500" w:lineRule="exact"/>
        <w:ind w:firstLine="480" w:firstLineChars="200"/>
        <w:jc w:val="both"/>
        <w:rPr>
          <w:rFonts w:ascii="Times New Roman" w:hAnsi="Times New Roman" w:cs="Times New Roman"/>
        </w:rPr>
      </w:pPr>
      <w:r>
        <w:rPr>
          <w:rFonts w:ascii="Times New Roman" w:hAnsi="Times New Roman" w:cs="Times New Roman"/>
        </w:rPr>
        <w:t>循环水池应进行防渗处理。本项目</w:t>
      </w:r>
      <w:r>
        <w:rPr>
          <w:rFonts w:hint="eastAsia" w:ascii="Times New Roman" w:hAnsi="Times New Roman" w:cs="Times New Roman"/>
        </w:rPr>
        <w:t>为技改项目，</w:t>
      </w:r>
      <w:r>
        <w:rPr>
          <w:rFonts w:ascii="Times New Roman" w:hAnsi="Times New Roman" w:cs="Times New Roman"/>
        </w:rPr>
        <w:t>循环水池</w:t>
      </w:r>
      <w:r>
        <w:rPr>
          <w:rFonts w:hint="eastAsia" w:ascii="Times New Roman" w:hAnsi="Times New Roman" w:cs="Times New Roman"/>
        </w:rPr>
        <w:t>利用现有，技改项目</w:t>
      </w:r>
      <w:r>
        <w:rPr>
          <w:rFonts w:ascii="Times New Roman" w:hAnsi="Times New Roman" w:cs="Times New Roman"/>
        </w:rPr>
        <w:t>实施后，建设单位应严格按照分区防渗要求进行地下水污染防治工作，定期维护防渗系统。一旦发现地下水污染事故时，应立即采取应急措施，查明并切断污染源，探明地下水污染深度、范围和污染程度，合理布置抽水井，抽取被污染的地下水，必要时也可在厂界内设置防渗墙，确保地下水污染控制在厂界内，避免区域地下水环境的进一步恶化。</w:t>
      </w:r>
    </w:p>
    <w:p w14:paraId="1CC32757">
      <w:pPr>
        <w:pStyle w:val="6"/>
        <w:spacing w:before="239"/>
      </w:pPr>
      <w:bookmarkStart w:id="491" w:name="_Toc90026141"/>
      <w:bookmarkStart w:id="492" w:name="_Toc15481"/>
      <w:bookmarkStart w:id="493" w:name="_Toc107304902"/>
      <w:bookmarkStart w:id="494" w:name="_Toc104631909"/>
      <w:bookmarkStart w:id="495" w:name="_Toc204651540"/>
      <w:bookmarkStart w:id="496" w:name="_Toc104632332"/>
      <w:bookmarkStart w:id="497" w:name="_Toc104632620"/>
      <w:bookmarkStart w:id="498" w:name="_Toc104632787"/>
      <w:r>
        <w:rPr>
          <w:rFonts w:hint="eastAsia"/>
        </w:rPr>
        <w:t>5</w:t>
      </w:r>
      <w:r>
        <w:t>.5 固体废物环境影响分析</w:t>
      </w:r>
      <w:bookmarkEnd w:id="491"/>
      <w:bookmarkEnd w:id="492"/>
    </w:p>
    <w:p w14:paraId="7DBFC6D2">
      <w:pPr>
        <w:spacing w:line="500" w:lineRule="exact"/>
        <w:ind w:firstLine="480" w:firstLineChars="200"/>
        <w:jc w:val="both"/>
        <w:rPr>
          <w:rFonts w:ascii="Times New Roman" w:hAnsi="Times New Roman" w:cs="Times New Roman"/>
        </w:rPr>
      </w:pPr>
      <w:r>
        <w:rPr>
          <w:rFonts w:ascii="Times New Roman" w:hAnsi="Times New Roman" w:cs="Times New Roman"/>
        </w:rPr>
        <w:t>根据工程污染分析中本项目运营后固体废物的产生环节、产生量、收集处置方式，分析评价固体废物对环境的影响。</w:t>
      </w:r>
    </w:p>
    <w:p w14:paraId="321680FF">
      <w:pPr>
        <w:spacing w:line="500" w:lineRule="exact"/>
        <w:ind w:firstLine="482"/>
        <w:jc w:val="both"/>
        <w:rPr>
          <w:rFonts w:hint="eastAsia" w:ascii="Times New Roman" w:hAnsi="Times New Roman" w:cs="Times New Roman"/>
          <w:b/>
        </w:rPr>
      </w:pPr>
      <w:r>
        <w:rPr>
          <w:rFonts w:hint="eastAsia" w:ascii="Times New Roman" w:hAnsi="Times New Roman" w:cs="Times New Roman"/>
          <w:b/>
        </w:rPr>
        <w:t>（1）一般工业固体废物</w:t>
      </w:r>
    </w:p>
    <w:p w14:paraId="0DBD15B1">
      <w:pPr>
        <w:spacing w:line="500" w:lineRule="exact"/>
        <w:ind w:firstLine="482"/>
        <w:jc w:val="both"/>
        <w:rPr>
          <w:rFonts w:hint="eastAsia" w:cs="Times New Roman"/>
          <w:b w:val="0"/>
          <w:bCs/>
        </w:rPr>
      </w:pPr>
      <w:r>
        <w:rPr>
          <w:rFonts w:hint="eastAsia" w:cs="Times New Roman"/>
          <w:b w:val="0"/>
          <w:bCs/>
        </w:rPr>
        <w:t>除尘灰、除尘灰浆回收后返炉回用，脱硫灰</w:t>
      </w:r>
      <w:r>
        <w:rPr>
          <w:rFonts w:hint="eastAsia" w:cs="Times New Roman"/>
          <w:b w:val="0"/>
          <w:bCs/>
          <w:lang w:val="en-US" w:eastAsia="zh-CN"/>
        </w:rPr>
        <w:t>外售</w:t>
      </w:r>
      <w:r>
        <w:rPr>
          <w:rFonts w:hint="eastAsia" w:cs="Times New Roman"/>
          <w:b w:val="0"/>
          <w:bCs/>
        </w:rPr>
        <w:t>，废布袋外售综合利用。生活垃圾主要为职工日常生活和办公区产生，设置若干个垃圾桶进行收集，委托环卫部门统一清运。</w:t>
      </w:r>
    </w:p>
    <w:p w14:paraId="4CE68FE1">
      <w:pPr>
        <w:spacing w:line="500" w:lineRule="exact"/>
        <w:ind w:firstLine="482"/>
        <w:jc w:val="both"/>
        <w:rPr>
          <w:rFonts w:hint="eastAsia" w:cs="Times New Roman"/>
          <w:b w:val="0"/>
          <w:bCs/>
        </w:rPr>
      </w:pPr>
      <w:r>
        <w:rPr>
          <w:rFonts w:hint="eastAsia" w:cs="Times New Roman"/>
          <w:b w:val="0"/>
          <w:bCs/>
        </w:rPr>
        <w:t>根据上述分析可知，技改项目产生的一般工业固废、危险废物可以得到有效的处理处置，对外环境影响较小。</w:t>
      </w:r>
    </w:p>
    <w:p w14:paraId="57D7C318">
      <w:pPr>
        <w:spacing w:line="500" w:lineRule="exact"/>
        <w:ind w:firstLine="482"/>
        <w:jc w:val="both"/>
        <w:rPr>
          <w:rFonts w:hint="eastAsia" w:ascii="Times New Roman" w:hAnsi="Times New Roman" w:cs="Times New Roman"/>
          <w:b/>
        </w:rPr>
      </w:pPr>
      <w:r>
        <w:rPr>
          <w:rFonts w:hint="eastAsia" w:ascii="Times New Roman" w:hAnsi="Times New Roman" w:cs="Times New Roman"/>
          <w:b/>
        </w:rPr>
        <w:t>（2）危险废物</w:t>
      </w:r>
    </w:p>
    <w:p w14:paraId="5AAA1574">
      <w:pPr>
        <w:spacing w:line="500" w:lineRule="exact"/>
        <w:ind w:firstLine="480" w:firstLineChars="200"/>
        <w:jc w:val="both"/>
        <w:rPr>
          <w:rFonts w:hint="eastAsia" w:cs="Times New Roman"/>
          <w:b w:val="0"/>
          <w:bCs/>
        </w:rPr>
      </w:pPr>
      <w:r>
        <w:rPr>
          <w:rFonts w:hint="eastAsia" w:cs="Times New Roman"/>
          <w:b w:val="0"/>
          <w:bCs/>
        </w:rPr>
        <w:t>1、危险废物贮存场所环境影响分析</w:t>
      </w:r>
    </w:p>
    <w:p w14:paraId="2419C86F">
      <w:pPr>
        <w:spacing w:line="500" w:lineRule="exact"/>
        <w:ind w:firstLine="480" w:firstLineChars="200"/>
        <w:jc w:val="both"/>
        <w:rPr>
          <w:rFonts w:hint="eastAsia" w:cs="Times New Roman"/>
          <w:b w:val="0"/>
          <w:bCs/>
        </w:rPr>
      </w:pPr>
      <w:r>
        <w:rPr>
          <w:rFonts w:hint="eastAsia" w:cs="Times New Roman"/>
          <w:b w:val="0"/>
          <w:bCs/>
        </w:rPr>
        <w:t>技改后废矿物油产生量不变，仍为2t/a，全厂危废产生量不变。废催化剂3 年更换一次，更换后及时委托有资质的单位处理。</w:t>
      </w:r>
    </w:p>
    <w:p w14:paraId="4C19148C">
      <w:pPr>
        <w:spacing w:line="500" w:lineRule="exact"/>
        <w:ind w:firstLine="480" w:firstLineChars="200"/>
        <w:jc w:val="both"/>
        <w:rPr>
          <w:rFonts w:hint="eastAsia" w:cs="Times New Roman"/>
          <w:b w:val="0"/>
          <w:bCs/>
        </w:rPr>
      </w:pPr>
      <w:r>
        <w:rPr>
          <w:rFonts w:hint="eastAsia" w:cs="Times New Roman"/>
          <w:b w:val="0"/>
          <w:bCs/>
        </w:rPr>
        <w:t>根据现有项目运行情况，现有贮存设施能满足本项目危废贮存需求。危废</w:t>
      </w:r>
      <w:r>
        <w:rPr>
          <w:rFonts w:hint="eastAsia" w:cs="Times New Roman"/>
          <w:b w:val="0"/>
          <w:bCs/>
          <w:lang w:val="en-US" w:eastAsia="zh-CN"/>
        </w:rPr>
        <w:t>贮存点</w:t>
      </w:r>
      <w:r>
        <w:rPr>
          <w:rFonts w:hint="eastAsia" w:cs="Times New Roman"/>
          <w:b w:val="0"/>
          <w:bCs/>
        </w:rPr>
        <w:t>位置不敏感、地质结构稳定，项目危险废物暂存设施底部高于地下水最高水位，选址合理。按照《危险废物贮存污染控制标准》（GB18597-2023）建设，危废库贮存场地基础已采用地面硬化防渗，环氧地坪防渗，同时采用桶装并在危废</w:t>
      </w:r>
      <w:r>
        <w:rPr>
          <w:rFonts w:hint="eastAsia" w:cs="Times New Roman"/>
          <w:b w:val="0"/>
          <w:bCs/>
          <w:lang w:val="en-US" w:eastAsia="zh-CN"/>
        </w:rPr>
        <w:t>贮存点</w:t>
      </w:r>
      <w:r>
        <w:rPr>
          <w:rFonts w:hint="eastAsia" w:cs="Times New Roman"/>
          <w:b w:val="0"/>
          <w:bCs/>
        </w:rPr>
        <w:t>设置围堰，废矿物油采用桶装，置于围堰内，能有效防止渗滤液进入附近地表水，对地下水、土壤影响较小。同时危废</w:t>
      </w:r>
      <w:r>
        <w:rPr>
          <w:rFonts w:hint="eastAsia" w:cs="Times New Roman"/>
          <w:b w:val="0"/>
          <w:bCs/>
          <w:lang w:val="en-US" w:eastAsia="zh-CN"/>
        </w:rPr>
        <w:t>贮存点</w:t>
      </w:r>
      <w:r>
        <w:rPr>
          <w:rFonts w:hint="eastAsia" w:cs="Times New Roman"/>
          <w:b w:val="0"/>
          <w:bCs/>
        </w:rPr>
        <w:t>设置灭火器及沙堆等安全措施，有效控制环境风险。</w:t>
      </w:r>
    </w:p>
    <w:p w14:paraId="00AEC3D8">
      <w:pPr>
        <w:spacing w:line="500" w:lineRule="exact"/>
        <w:ind w:firstLine="480" w:firstLineChars="200"/>
        <w:jc w:val="both"/>
        <w:rPr>
          <w:rFonts w:hint="eastAsia" w:cs="Times New Roman"/>
          <w:b w:val="0"/>
          <w:bCs/>
        </w:rPr>
      </w:pPr>
      <w:r>
        <w:rPr>
          <w:rFonts w:hint="eastAsia" w:cs="Times New Roman"/>
          <w:b w:val="0"/>
          <w:bCs/>
        </w:rPr>
        <w:t>综上，危险废物贮存过程对环境空气、地表水、地下水、土壤影响较小。</w:t>
      </w:r>
    </w:p>
    <w:p w14:paraId="3CD8DFE9">
      <w:pPr>
        <w:spacing w:line="500" w:lineRule="exact"/>
        <w:ind w:firstLine="480" w:firstLineChars="200"/>
        <w:jc w:val="both"/>
        <w:rPr>
          <w:rFonts w:hint="eastAsia" w:ascii="Times New Roman" w:hAnsi="Times New Roman" w:cs="Times New Roman"/>
        </w:rPr>
      </w:pPr>
      <w:r>
        <w:rPr>
          <w:rFonts w:hint="eastAsia" w:ascii="Times New Roman" w:hAnsi="Times New Roman" w:cs="Times New Roman"/>
        </w:rPr>
        <w:t>2、运输过程的环境影响分析</w:t>
      </w:r>
    </w:p>
    <w:p w14:paraId="3CAE2841">
      <w:pPr>
        <w:spacing w:line="500" w:lineRule="exact"/>
        <w:ind w:firstLine="480" w:firstLineChars="200"/>
        <w:jc w:val="both"/>
        <w:rPr>
          <w:rFonts w:hint="eastAsia" w:ascii="Times New Roman" w:hAnsi="Times New Roman" w:cs="Times New Roman"/>
        </w:rPr>
      </w:pPr>
      <w:r>
        <w:rPr>
          <w:rFonts w:hint="eastAsia" w:ascii="Times New Roman" w:hAnsi="Times New Roman" w:cs="Times New Roman"/>
        </w:rPr>
        <w:t>危险废物经有资质的单位收集后妥善处置，运输由持有危险废物经营许可证的单位组织实施，并按照相关危险货物运输管理规定执行；项目危险废物运输采用公路运输方式，应按照《道路危险货物运输管理规定》执行。运输单位承运危险废物时，应在危险废物包装上按照GB18597 附录A 设置标志，运输车辆应按 GB13392 设立车辆标志。危废运输车辆应配备符合有关国家标准以及与所载运的危险货物相适应的应急处理器材和安全防护设备；危险废物运输时的装卸应遵照如下技术要求：装卸区的工作人员应熟悉危险废物的危险特性，并配备适当的个人防护装备，如橡胶手套、防护服和口罩。装卸区域应配备必要的消防设备和设施，并设置明显的指示标志。装卸区域应设置隔离设施；厂区危险废物转移应实施转移联单制度，确保危险废物得到安全处置。经采取上述措施后，运输过程散落、泄露的概率极低，运输过程中对环境影响较小。</w:t>
      </w:r>
    </w:p>
    <w:p w14:paraId="4C501A78">
      <w:pPr>
        <w:spacing w:line="500" w:lineRule="exact"/>
        <w:ind w:firstLine="480" w:firstLineChars="200"/>
        <w:jc w:val="both"/>
        <w:rPr>
          <w:rFonts w:hint="eastAsia" w:ascii="Times New Roman" w:hAnsi="Times New Roman" w:cs="Times New Roman"/>
        </w:rPr>
      </w:pPr>
      <w:r>
        <w:rPr>
          <w:rFonts w:hint="eastAsia" w:ascii="Times New Roman" w:hAnsi="Times New Roman" w:cs="Times New Roman"/>
        </w:rPr>
        <w:t>3、危废处置环境影响分析</w:t>
      </w:r>
    </w:p>
    <w:p w14:paraId="7357068A">
      <w:pPr>
        <w:spacing w:line="500" w:lineRule="exact"/>
        <w:ind w:firstLine="480" w:firstLineChars="200"/>
        <w:jc w:val="both"/>
        <w:rPr>
          <w:rFonts w:hint="eastAsia" w:ascii="Times New Roman" w:hAnsi="Times New Roman" w:cs="Times New Roman"/>
          <w:highlight w:val="none"/>
        </w:rPr>
      </w:pPr>
      <w:r>
        <w:rPr>
          <w:rFonts w:hint="eastAsia" w:ascii="Times New Roman" w:hAnsi="Times New Roman" w:cs="Times New Roman"/>
          <w:highlight w:val="none"/>
        </w:rPr>
        <w:t>技改项目废</w:t>
      </w:r>
      <w:r>
        <w:rPr>
          <w:rFonts w:hint="eastAsia" w:ascii="Times New Roman" w:hAnsi="Times New Roman" w:cs="Times New Roman"/>
          <w:highlight w:val="none"/>
          <w:lang w:val="en-US" w:eastAsia="zh-CN"/>
        </w:rPr>
        <w:t>机</w:t>
      </w:r>
      <w:r>
        <w:rPr>
          <w:rFonts w:hint="eastAsia" w:ascii="Times New Roman" w:hAnsi="Times New Roman" w:cs="Times New Roman"/>
          <w:highlight w:val="none"/>
        </w:rPr>
        <w:t>油</w:t>
      </w:r>
      <w:r>
        <w:rPr>
          <w:rFonts w:hint="eastAsia" w:ascii="Times New Roman" w:hAnsi="Times New Roman" w:cs="Times New Roman"/>
          <w:highlight w:val="none"/>
          <w:lang w:eastAsia="zh-CN"/>
        </w:rPr>
        <w:t>、</w:t>
      </w:r>
      <w:r>
        <w:rPr>
          <w:rFonts w:hint="eastAsia" w:ascii="Times New Roman" w:hAnsi="Times New Roman" w:cs="Times New Roman"/>
          <w:highlight w:val="none"/>
        </w:rPr>
        <w:t>废脱硝催化剂委托有资质的单位处理。</w:t>
      </w:r>
    </w:p>
    <w:p w14:paraId="4D9653A7">
      <w:pPr>
        <w:pStyle w:val="6"/>
        <w:spacing w:before="239"/>
        <w:rPr>
          <w:highlight w:val="none"/>
        </w:rPr>
      </w:pPr>
      <w:bookmarkStart w:id="499" w:name="_Toc90026142"/>
      <w:bookmarkStart w:id="500" w:name="_Toc17601"/>
      <w:r>
        <w:rPr>
          <w:rFonts w:hint="eastAsia"/>
          <w:highlight w:val="none"/>
        </w:rPr>
        <w:t>5</w:t>
      </w:r>
      <w:r>
        <w:rPr>
          <w:highlight w:val="none"/>
        </w:rPr>
        <w:t>.6 土壤环境影响分析</w:t>
      </w:r>
      <w:bookmarkEnd w:id="499"/>
      <w:bookmarkEnd w:id="500"/>
    </w:p>
    <w:p w14:paraId="2577A600">
      <w:pPr>
        <w:pStyle w:val="7"/>
        <w:rPr>
          <w:rFonts w:hint="default" w:eastAsia="宋体"/>
          <w:lang w:eastAsia="zh-CN"/>
        </w:rPr>
      </w:pPr>
      <w:bookmarkStart w:id="501" w:name="_Toc15952"/>
      <w:r>
        <w:rPr>
          <w:rFonts w:hint="eastAsia" w:eastAsia="宋体"/>
          <w:lang w:val="en-US" w:eastAsia="zh-CN"/>
        </w:rPr>
        <w:t>5.6.1</w:t>
      </w:r>
      <w:r>
        <w:rPr>
          <w:rFonts w:hint="default" w:eastAsia="宋体"/>
          <w:lang w:eastAsia="zh-CN"/>
        </w:rPr>
        <w:t>区域土壤状况调查</w:t>
      </w:r>
      <w:bookmarkEnd w:id="501"/>
    </w:p>
    <w:p w14:paraId="36EBAFF5">
      <w:pPr>
        <w:spacing w:line="500" w:lineRule="exact"/>
        <w:ind w:firstLine="480" w:firstLineChars="200"/>
        <w:jc w:val="both"/>
        <w:rPr>
          <w:rFonts w:hint="default" w:ascii="Times New Roman" w:hAnsi="Times New Roman" w:eastAsia="宋体" w:cs="Times New Roman"/>
          <w:b w:val="0"/>
          <w:bCs/>
          <w:lang w:eastAsia="zh-CN"/>
        </w:rPr>
      </w:pPr>
      <w:r>
        <w:rPr>
          <w:rFonts w:hint="default" w:ascii="Times New Roman" w:hAnsi="Times New Roman" w:eastAsia="宋体" w:cs="Times New Roman"/>
          <w:b w:val="0"/>
          <w:bCs/>
        </w:rPr>
        <w:t>土壤区域分布是指由于中小地形、水文地质条件和成土母质等区域性成土条件的变化而引起的土壤有规律的变化。根据地貌和土壤组合特点，辽宁土壤的区域性分布可分为辽东山地丘陵区、辽西低山丘陵区、辽河平原区3种类型。</w:t>
      </w:r>
      <w:r>
        <w:rPr>
          <w:rFonts w:hint="default" w:ascii="Times New Roman" w:hAnsi="Times New Roman" w:eastAsia="宋体" w:cs="Times New Roman"/>
          <w:b w:val="0"/>
          <w:bCs/>
          <w:lang w:eastAsia="zh-CN"/>
        </w:rPr>
        <w:t>本溪满族自治县，位于辽宁省东部山区，太子河上游。地处北纬40°48′50″～41°33′50″，东经123°34'53″～124°45'42″之间。东与桓仁满族自治县接壤，东南邻丹东市宽甸满族自治县，南抵丹东市凤城市，西南邻辽阳市辽阳县，西靠本溪市南芬区、明山区、溪湖区，北接抚顺市抚顺县，东北与新宾满族自治县毗邻。总面积3344平方千米。东西长62千米，南北宽85千米。</w:t>
      </w:r>
      <w:r>
        <w:rPr>
          <w:rFonts w:hint="default" w:ascii="Times New Roman" w:hAnsi="Times New Roman" w:eastAsia="宋体" w:cs="Times New Roman"/>
          <w:b w:val="0"/>
          <w:bCs/>
        </w:rPr>
        <w:t>本项目厂区中心地理坐标为：123°49′53.65682″</w:t>
      </w:r>
      <w:r>
        <w:rPr>
          <w:rFonts w:hint="default" w:ascii="Times New Roman" w:hAnsi="Times New Roman" w:eastAsia="宋体" w:cs="Times New Roman"/>
          <w:b w:val="0"/>
          <w:bCs/>
          <w:lang w:eastAsia="zh-CN"/>
        </w:rPr>
        <w:t>，40°55′43.2</w:t>
      </w:r>
      <w:r>
        <w:rPr>
          <w:rFonts w:hint="default" w:ascii="Times New Roman" w:hAnsi="Times New Roman" w:eastAsia="宋体" w:cs="Times New Roman"/>
          <w:b w:val="0"/>
          <w:bCs/>
          <w:lang w:val="en-US" w:eastAsia="zh-CN"/>
        </w:rPr>
        <w:t>2</w:t>
      </w:r>
      <w:r>
        <w:rPr>
          <w:rFonts w:hint="default" w:ascii="Times New Roman" w:hAnsi="Times New Roman" w:eastAsia="宋体" w:cs="Times New Roman"/>
          <w:b w:val="0"/>
          <w:bCs/>
          <w:lang w:eastAsia="zh-CN"/>
        </w:rPr>
        <w:t>″，</w:t>
      </w:r>
      <w:r>
        <w:rPr>
          <w:rFonts w:hint="default" w:ascii="Times New Roman" w:hAnsi="Times New Roman" w:eastAsia="宋体" w:cs="Times New Roman"/>
          <w:b w:val="0"/>
          <w:bCs/>
        </w:rPr>
        <w:t>位于</w:t>
      </w:r>
      <w:r>
        <w:rPr>
          <w:rFonts w:hint="default" w:ascii="Times New Roman" w:hAnsi="Times New Roman" w:eastAsia="宋体" w:cs="Times New Roman"/>
          <w:b w:val="0"/>
          <w:bCs/>
          <w:lang w:val="en-US" w:eastAsia="zh-CN"/>
        </w:rPr>
        <w:t>本溪市本溪满族自治县草河口镇祁家堡村</w:t>
      </w:r>
      <w:r>
        <w:rPr>
          <w:rFonts w:hint="default" w:ascii="Times New Roman" w:hAnsi="Times New Roman" w:eastAsia="宋体" w:cs="Times New Roman"/>
          <w:b w:val="0"/>
          <w:bCs/>
          <w:lang w:eastAsia="zh-CN"/>
        </w:rPr>
        <w:t>。</w:t>
      </w:r>
    </w:p>
    <w:p w14:paraId="40733743">
      <w:pPr>
        <w:pStyle w:val="2"/>
        <w:ind w:left="0" w:leftChars="0" w:firstLine="0" w:firstLineChars="0"/>
        <w:rPr>
          <w:rFonts w:hint="default" w:ascii="Times New Roman" w:hAnsi="Times New Roman" w:cs="Times New Roman"/>
        </w:rPr>
      </w:pPr>
      <w:r>
        <w:rPr>
          <w:rFonts w:hint="default" w:ascii="Times New Roman" w:hAnsi="Times New Roman" w:cs="Times New Roman"/>
        </w:rPr>
        <w:drawing>
          <wp:inline distT="0" distB="0" distL="114300" distR="114300">
            <wp:extent cx="5398135" cy="3376930"/>
            <wp:effectExtent l="0" t="0" r="12065" b="13970"/>
            <wp:docPr id="163"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 name="图片 4"/>
                    <pic:cNvPicPr>
                      <a:picLocks noChangeAspect="1"/>
                    </pic:cNvPicPr>
                  </pic:nvPicPr>
                  <pic:blipFill>
                    <a:blip r:embed="rId101"/>
                    <a:stretch>
                      <a:fillRect/>
                    </a:stretch>
                  </pic:blipFill>
                  <pic:spPr>
                    <a:xfrm>
                      <a:off x="0" y="0"/>
                      <a:ext cx="5398135" cy="3376930"/>
                    </a:xfrm>
                    <a:prstGeom prst="rect">
                      <a:avLst/>
                    </a:prstGeom>
                    <a:noFill/>
                    <a:ln>
                      <a:noFill/>
                    </a:ln>
                  </pic:spPr>
                </pic:pic>
              </a:graphicData>
            </a:graphic>
          </wp:inline>
        </w:drawing>
      </w:r>
    </w:p>
    <w:p w14:paraId="7A681A86">
      <w:pPr>
        <w:pStyle w:val="719"/>
        <w:keepNext w:val="0"/>
        <w:keepLines w:val="0"/>
        <w:pageBreakBefore w:val="0"/>
        <w:widowControl/>
        <w:kinsoku/>
        <w:wordWrap/>
        <w:overflowPunct/>
        <w:topLinePunct w:val="0"/>
        <w:autoSpaceDE/>
        <w:autoSpaceDN/>
        <w:bidi w:val="0"/>
        <w:adjustRightInd w:val="0"/>
        <w:snapToGrid w:val="0"/>
        <w:spacing w:beforeLines="0" w:line="360" w:lineRule="auto"/>
        <w:textAlignment w:val="auto"/>
        <w:rPr>
          <w:rFonts w:hint="default" w:ascii="Times New Roman" w:hAnsi="Times New Roman" w:cs="Times New Roman"/>
          <w:sz w:val="24"/>
          <w:szCs w:val="24"/>
          <w:lang w:eastAsia="zh-CN"/>
        </w:rPr>
      </w:pPr>
      <w:r>
        <w:rPr>
          <w:rFonts w:hint="default" w:ascii="Times New Roman" w:hAnsi="Times New Roman" w:cs="Times New Roman"/>
          <w:sz w:val="24"/>
          <w:szCs w:val="24"/>
          <w:lang w:val="en-US" w:eastAsia="zh-CN"/>
        </w:rPr>
        <w:t>图</w:t>
      </w:r>
      <w:r>
        <w:rPr>
          <w:rFonts w:hint="eastAsia" w:ascii="Times New Roman" w:hAnsi="Times New Roman" w:cs="Times New Roman"/>
          <w:sz w:val="24"/>
          <w:szCs w:val="24"/>
          <w:lang w:val="en-US" w:eastAsia="zh-CN"/>
        </w:rPr>
        <w:t>5.6</w:t>
      </w:r>
      <w:r>
        <w:rPr>
          <w:rFonts w:hint="default" w:ascii="Times New Roman" w:hAnsi="Times New Roman" w:cs="Times New Roman"/>
          <w:sz w:val="24"/>
          <w:szCs w:val="24"/>
          <w:lang w:val="en-US" w:eastAsia="zh-CN"/>
        </w:rPr>
        <w:t>-1 本溪市地理位置图</w:t>
      </w:r>
    </w:p>
    <w:p w14:paraId="03AEF6A7">
      <w:pPr>
        <w:spacing w:line="500" w:lineRule="exact"/>
        <w:ind w:firstLine="480" w:firstLineChars="200"/>
        <w:jc w:val="both"/>
        <w:rPr>
          <w:rFonts w:hint="default" w:ascii="Times New Roman" w:hAnsi="Times New Roman" w:eastAsia="宋体" w:cs="Times New Roman"/>
          <w:b w:val="0"/>
          <w:bCs/>
          <w:lang w:eastAsia="zh-CN"/>
        </w:rPr>
      </w:pPr>
      <w:r>
        <w:rPr>
          <w:rFonts w:hint="default" w:ascii="Times New Roman" w:hAnsi="Times New Roman" w:eastAsia="宋体" w:cs="Times New Roman"/>
          <w:b w:val="0"/>
          <w:bCs/>
        </w:rPr>
        <w:t>本溪满族自治县大地构造单元位于中朝准地台上，次级构造属胶辽台隆太子河——浑河台陷区，辽阳——桓仁凹陷区的东侧。在漫长的地质历史发展过程中主要经历地台形成阶段、盖层发育阶段和大陆边缘活动阶段。经历的构造运动主要有鞍山运动、吕梁运动、燕辽旋回、加里东运动、华力西运动、印支运动、燕山运动、喜马拉雅运动。中朝准地台在燕辽旋回中形成，在华力西、印支和燕山运动的作用下，再度形成地槽褶曲及盖层褶皱，并伴随强烈的岩浆活动，大地不均衡缓慢上升和剥蚀，形成境内地质构造情况复杂的基本地貌</w:t>
      </w:r>
      <w:r>
        <w:rPr>
          <w:rFonts w:hint="default" w:ascii="Times New Roman" w:hAnsi="Times New Roman" w:eastAsia="宋体" w:cs="Times New Roman"/>
          <w:b w:val="0"/>
          <w:bCs/>
          <w:lang w:eastAsia="zh-CN"/>
        </w:rPr>
        <w:t>。</w:t>
      </w:r>
    </w:p>
    <w:p w14:paraId="3BEDBB5D">
      <w:pPr>
        <w:pStyle w:val="2"/>
        <w:ind w:left="0" w:leftChars="0" w:firstLine="0" w:firstLineChars="0"/>
        <w:rPr>
          <w:rFonts w:hint="default" w:ascii="Times New Roman" w:hAnsi="Times New Roman" w:cs="Times New Roman"/>
        </w:rPr>
      </w:pPr>
      <w:r>
        <w:rPr>
          <w:rFonts w:hint="default" w:ascii="Times New Roman" w:hAnsi="Times New Roman" w:cs="Times New Roman"/>
        </w:rPr>
        <w:drawing>
          <wp:inline distT="0" distB="0" distL="114300" distR="114300">
            <wp:extent cx="5398135" cy="3380740"/>
            <wp:effectExtent l="0" t="0" r="12065" b="10160"/>
            <wp:docPr id="164"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 name="图片 5"/>
                    <pic:cNvPicPr>
                      <a:picLocks noChangeAspect="1"/>
                    </pic:cNvPicPr>
                  </pic:nvPicPr>
                  <pic:blipFill>
                    <a:blip r:embed="rId102"/>
                    <a:stretch>
                      <a:fillRect/>
                    </a:stretch>
                  </pic:blipFill>
                  <pic:spPr>
                    <a:xfrm>
                      <a:off x="0" y="0"/>
                      <a:ext cx="5398135" cy="3380740"/>
                    </a:xfrm>
                    <a:prstGeom prst="rect">
                      <a:avLst/>
                    </a:prstGeom>
                    <a:noFill/>
                    <a:ln>
                      <a:noFill/>
                    </a:ln>
                  </pic:spPr>
                </pic:pic>
              </a:graphicData>
            </a:graphic>
          </wp:inline>
        </w:drawing>
      </w:r>
    </w:p>
    <w:p w14:paraId="7B829877">
      <w:pPr>
        <w:pStyle w:val="719"/>
        <w:keepNext w:val="0"/>
        <w:keepLines w:val="0"/>
        <w:pageBreakBefore w:val="0"/>
        <w:widowControl/>
        <w:kinsoku/>
        <w:wordWrap/>
        <w:overflowPunct/>
        <w:topLinePunct w:val="0"/>
        <w:autoSpaceDE/>
        <w:autoSpaceDN/>
        <w:bidi w:val="0"/>
        <w:adjustRightInd w:val="0"/>
        <w:snapToGrid w:val="0"/>
        <w:spacing w:beforeLines="0" w:line="360" w:lineRule="auto"/>
        <w:textAlignment w:val="auto"/>
        <w:rPr>
          <w:rFonts w:hint="default" w:ascii="Times New Roman" w:hAnsi="Times New Roman" w:cs="Times New Roman"/>
          <w:sz w:val="24"/>
          <w:szCs w:val="24"/>
          <w:lang w:eastAsia="zh-CN"/>
        </w:rPr>
      </w:pPr>
      <w:r>
        <w:rPr>
          <w:rFonts w:hint="default" w:ascii="Times New Roman" w:hAnsi="Times New Roman" w:cs="Times New Roman"/>
          <w:sz w:val="24"/>
          <w:szCs w:val="24"/>
          <w:lang w:val="en-US" w:eastAsia="zh-CN"/>
        </w:rPr>
        <w:t>图</w:t>
      </w:r>
      <w:r>
        <w:rPr>
          <w:rFonts w:hint="eastAsia" w:ascii="Times New Roman" w:hAnsi="Times New Roman" w:cs="Times New Roman"/>
          <w:sz w:val="24"/>
          <w:szCs w:val="24"/>
          <w:lang w:val="en-US" w:eastAsia="zh-CN"/>
        </w:rPr>
        <w:t>5.6</w:t>
      </w:r>
      <w:r>
        <w:rPr>
          <w:rFonts w:hint="default" w:ascii="Times New Roman" w:hAnsi="Times New Roman" w:cs="Times New Roman"/>
          <w:sz w:val="24"/>
          <w:szCs w:val="24"/>
          <w:lang w:val="en-US" w:eastAsia="zh-CN"/>
        </w:rPr>
        <w:t>-2 本溪市地貌图</w:t>
      </w:r>
    </w:p>
    <w:p w14:paraId="070DEB3D">
      <w:pPr>
        <w:spacing w:line="500" w:lineRule="exact"/>
        <w:ind w:firstLine="480" w:firstLineChars="200"/>
        <w:jc w:val="both"/>
        <w:rPr>
          <w:rFonts w:hint="default" w:ascii="Times New Roman" w:hAnsi="Times New Roman" w:eastAsia="宋体" w:cs="Times New Roman"/>
          <w:b w:val="0"/>
          <w:bCs/>
          <w:lang w:eastAsia="zh-CN"/>
        </w:rPr>
      </w:pPr>
      <w:r>
        <w:rPr>
          <w:rFonts w:hint="default" w:ascii="Times New Roman" w:hAnsi="Times New Roman" w:eastAsia="宋体" w:cs="Times New Roman"/>
          <w:b w:val="0"/>
          <w:bCs/>
          <w:lang w:eastAsia="zh-CN"/>
        </w:rPr>
        <w:t>本溪市呈东西长南北窄的哑铃型分布，境内山多地少，重峦叠嶂，连绵起伏，其中山地丘陵约占全境80%，平原占10%，水面及其他约占 10%，构成了“八山一水半分田，半分道路和庄园”的自然地貌。本溪满族自治县境内为长白山脉东南延续部分。本溪地势呈东部、中部较高，西部、南部较低。有大小山岭240多座。主要山峰有韭菜顶子山、西大顶子、大凹岭、长砬子等，海拔均在1032米以上。长白山系千山山脉从东向西横贯全境，形成东起东营坊、兰河峪，经草河掌到南部连山关的东南屋脊地带，平均高度海拔600米。位于千山山脉南麓的草河城、草河口一带，为南部丘陵地带，平均海拔高度400米。本溪满族自治县中部为太子河大断裂带。两岸形成许多羽毛状的小断裂，构成以太子河谷为中线的沉积小平原，平均海拔不足300米。北部为低山丘陵地带，山势较缓，平均海拔450米。</w:t>
      </w:r>
    </w:p>
    <w:p w14:paraId="1B939ED4">
      <w:pPr>
        <w:pStyle w:val="2"/>
        <w:ind w:left="0" w:leftChars="0" w:firstLine="0" w:firstLineChars="0"/>
        <w:rPr>
          <w:rFonts w:hint="default" w:ascii="Times New Roman" w:hAnsi="Times New Roman" w:cs="Times New Roman"/>
        </w:rPr>
      </w:pPr>
      <w:r>
        <w:rPr>
          <w:rFonts w:hint="default" w:ascii="Times New Roman" w:hAnsi="Times New Roman" w:cs="Times New Roman"/>
        </w:rPr>
        <w:drawing>
          <wp:inline distT="0" distB="0" distL="114300" distR="114300">
            <wp:extent cx="5391785" cy="3349625"/>
            <wp:effectExtent l="0" t="0" r="18415" b="3175"/>
            <wp:docPr id="165"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 name="图片 3"/>
                    <pic:cNvPicPr>
                      <a:picLocks noChangeAspect="1"/>
                    </pic:cNvPicPr>
                  </pic:nvPicPr>
                  <pic:blipFill>
                    <a:blip r:embed="rId103"/>
                    <a:stretch>
                      <a:fillRect/>
                    </a:stretch>
                  </pic:blipFill>
                  <pic:spPr>
                    <a:xfrm>
                      <a:off x="0" y="0"/>
                      <a:ext cx="5391785" cy="3349625"/>
                    </a:xfrm>
                    <a:prstGeom prst="rect">
                      <a:avLst/>
                    </a:prstGeom>
                    <a:noFill/>
                    <a:ln>
                      <a:noFill/>
                    </a:ln>
                  </pic:spPr>
                </pic:pic>
              </a:graphicData>
            </a:graphic>
          </wp:inline>
        </w:drawing>
      </w:r>
    </w:p>
    <w:p w14:paraId="154BBFF2">
      <w:pPr>
        <w:pStyle w:val="719"/>
        <w:keepNext w:val="0"/>
        <w:keepLines w:val="0"/>
        <w:pageBreakBefore w:val="0"/>
        <w:widowControl/>
        <w:kinsoku/>
        <w:wordWrap/>
        <w:overflowPunct/>
        <w:topLinePunct w:val="0"/>
        <w:autoSpaceDE/>
        <w:autoSpaceDN/>
        <w:bidi w:val="0"/>
        <w:adjustRightInd w:val="0"/>
        <w:snapToGrid w:val="0"/>
        <w:spacing w:beforeLines="0" w:line="360" w:lineRule="auto"/>
        <w:textAlignment w:val="auto"/>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图</w:t>
      </w:r>
      <w:r>
        <w:rPr>
          <w:rFonts w:hint="eastAsia" w:ascii="Times New Roman" w:hAnsi="Times New Roman" w:cs="Times New Roman"/>
          <w:sz w:val="24"/>
          <w:szCs w:val="24"/>
          <w:lang w:val="en-US" w:eastAsia="zh-CN"/>
        </w:rPr>
        <w:t>5.6</w:t>
      </w:r>
      <w:r>
        <w:rPr>
          <w:rFonts w:hint="default" w:ascii="Times New Roman" w:hAnsi="Times New Roman" w:cs="Times New Roman"/>
          <w:sz w:val="24"/>
          <w:szCs w:val="24"/>
          <w:lang w:val="en-US" w:eastAsia="zh-CN"/>
        </w:rPr>
        <w:t>-3 本溪市地势图</w:t>
      </w:r>
    </w:p>
    <w:p w14:paraId="694B7083">
      <w:pPr>
        <w:spacing w:line="500" w:lineRule="exact"/>
        <w:ind w:firstLine="480" w:firstLineChars="200"/>
        <w:jc w:val="both"/>
        <w:rPr>
          <w:rFonts w:hint="default" w:ascii="Times New Roman" w:hAnsi="Times New Roman" w:eastAsia="宋体" w:cs="Times New Roman"/>
          <w:b w:val="0"/>
          <w:bCs/>
          <w:lang w:eastAsia="zh-CN"/>
        </w:rPr>
      </w:pPr>
      <w:r>
        <w:rPr>
          <w:rFonts w:hint="default" w:ascii="Times New Roman" w:hAnsi="Times New Roman" w:eastAsia="宋体" w:cs="Times New Roman"/>
          <w:b w:val="0"/>
          <w:bCs/>
          <w:lang w:eastAsia="zh-CN"/>
        </w:rPr>
        <w:t>本溪满族自治县土壤可划分为棕壤、草甸、水稻、沼泽4个土类，7个亚类、34个土属，59个土种。棕壤土类，又称棕色森林土，多由残积质和坡积质形成，在本溪满族自治县分布广、面积大，约占总面积的1/2以上，多在山地上，呈垂直分布。本溪满族自治县草甸土类土质为淤积物，分布在河流漫滩处，或冲积平地、山间平地。水稻土类，是由多种自然土壤种植水稻以后，在淹水灌溉的条件下形成的独特形态。分布地太子河两岸的清河城、碱厂、南甸一带。沼泽土类，分布在山谷低洼地区或地下水位高、有季节性积水的地方。有机质含量较大，多数被开辟成为农田。</w:t>
      </w:r>
    </w:p>
    <w:p w14:paraId="17F8AF95">
      <w:pPr>
        <w:jc w:val="center"/>
        <w:rPr>
          <w:rFonts w:hint="default" w:ascii="Times New Roman" w:hAnsi="Times New Roman" w:cs="Times New Roman"/>
          <w:sz w:val="24"/>
        </w:rPr>
      </w:pPr>
      <w:r>
        <w:rPr>
          <w:rFonts w:hint="default" w:ascii="Times New Roman" w:hAnsi="Times New Roman" w:cs="Times New Roman"/>
        </w:rPr>
        <mc:AlternateContent>
          <mc:Choice Requires="wps">
            <w:drawing>
              <wp:anchor distT="0" distB="0" distL="114300" distR="114300" simplePos="0" relativeHeight="251717632" behindDoc="0" locked="0" layoutInCell="1" allowOverlap="1">
                <wp:simplePos x="0" y="0"/>
                <wp:positionH relativeFrom="column">
                  <wp:posOffset>2602230</wp:posOffset>
                </wp:positionH>
                <wp:positionV relativeFrom="paragraph">
                  <wp:posOffset>1746885</wp:posOffset>
                </wp:positionV>
                <wp:extent cx="781050" cy="249555"/>
                <wp:effectExtent l="5080" t="5080" r="356870" b="259715"/>
                <wp:wrapNone/>
                <wp:docPr id="166" name="自选图形 165"/>
                <wp:cNvGraphicFramePr/>
                <a:graphic xmlns:a="http://schemas.openxmlformats.org/drawingml/2006/main">
                  <a:graphicData uri="http://schemas.microsoft.com/office/word/2010/wordprocessingShape">
                    <wps:wsp>
                      <wps:cNvSpPr/>
                      <wps:spPr>
                        <a:xfrm>
                          <a:off x="0" y="0"/>
                          <a:ext cx="781050" cy="249555"/>
                        </a:xfrm>
                        <a:prstGeom prst="wedgeRectCallout">
                          <a:avLst>
                            <a:gd name="adj1" fmla="val 89593"/>
                            <a:gd name="adj2" fmla="val 141602"/>
                          </a:avLst>
                        </a:prstGeom>
                        <a:solidFill>
                          <a:srgbClr val="FFFFFF"/>
                        </a:solidFill>
                        <a:ln w="9525" cap="flat" cmpd="sng">
                          <a:solidFill>
                            <a:srgbClr val="000000"/>
                          </a:solidFill>
                          <a:prstDash val="solid"/>
                          <a:miter/>
                          <a:headEnd type="none" w="med" len="med"/>
                          <a:tailEnd type="none" w="med" len="med"/>
                        </a:ln>
                      </wps:spPr>
                      <wps:txbx>
                        <w:txbxContent>
                          <w:p w14:paraId="6AE1DC22">
                            <w:pPr>
                              <w:adjustRightInd w:val="0"/>
                              <w:snapToGrid w:val="0"/>
                              <w:rPr>
                                <w:sz w:val="18"/>
                                <w:szCs w:val="18"/>
                              </w:rPr>
                            </w:pPr>
                            <w:r>
                              <w:rPr>
                                <w:rFonts w:hint="eastAsia"/>
                                <w:sz w:val="18"/>
                                <w:szCs w:val="18"/>
                              </w:rPr>
                              <w:t>项目所在地</w:t>
                            </w:r>
                          </w:p>
                        </w:txbxContent>
                      </wps:txbx>
                      <wps:bodyPr upright="1"/>
                    </wps:wsp>
                  </a:graphicData>
                </a:graphic>
              </wp:anchor>
            </w:drawing>
          </mc:Choice>
          <mc:Fallback>
            <w:pict>
              <v:shape id="自选图形 165" o:spid="_x0000_s1026" o:spt="61" type="#_x0000_t61" style="position:absolute;left:0pt;margin-left:204.9pt;margin-top:137.55pt;height:19.65pt;width:61.5pt;z-index:251717632;mso-width-relative:page;mso-height-relative:page;" fillcolor="#FFFFFF" filled="t" stroked="t" coordsize="21600,21600" o:gfxdata="UEsDBAoAAAAAAIdO4kAAAAAAAAAAAAAAAAAEAAAAZHJzL1BLAwQUAAAACACHTuJAuzGTXdgAAAAL&#10;AQAADwAAAGRycy9kb3ducmV2LnhtbE2PzU7DMBCE70i8g7VI3KidNAES4lQCxJ0WJMTNjTc/EK+j&#10;2E3L27Oc6HFnRzPfVJuTG8WCcxg8aUhWCgRS4+1AnYb3t5ebexAhGrJm9IQafjDApr68qExp/ZG2&#10;uOxiJziEQmk09DFOpZSh6dGZsPITEv9aPzsT+Zw7aWdz5HA3ylSpW+nMQNzQmwmfemy+dwenYYmv&#10;27b4+ii6z+kxJ/Pc5k4tWl9fJeoBRMRT/DfDHz6jQ81Me38gG8SoIVMFo0cN6V2egGBHvk5Z2WtY&#10;J1kGsq7k+Yb6F1BLAwQUAAAACACHTuJACAZnXDwCAACQBAAADgAAAGRycy9lMm9Eb2MueG1srVRL&#10;ktMwEN1TxR1U2hN/GIckFWcWE8KGgikGDqBYsi1Kv5KU2NmxozgDO5ZzB7jNVMEtaMkmkxlYZIEX&#10;TstqPfV7rzvLy14KtGfWca1KnE1SjJiqNOWqKfGH95tnM4ycJ4oSoRUr8YE5fLl6+mTZmQXLdasF&#10;ZRYBiHKLzpS49d4sksRVLZPETbRhCjZrbSXxsLRNQi3pAF2KJE/TadJpS43VFXMOvq6HTTwi2nMA&#10;dV3ziq11tZNM+QHVMkE8UHItNw6vYrV1zSr/tq4d80iUGJj6+IZLIN6Gd7JakkVjiWl5NZZAzinh&#10;ESdJuIJLj1Br4gnaWf4XlOSV1U7XflJpmQxEoiLAIksfaXPTEsMiF5DamaPo7v/BVm/21xZxCp0w&#10;nWKkiATLf36+/fXpy93XH3ffv6FsWgSVOuMWkHxjru24chAGyn1tZfgFMqiPyh6OyrLeowo+vphl&#10;aQGaV7CVX8yLImIm94eNdf4V0xKFoMQdow17B+5dESH0zkdtyf6181FkOhZK6McMo1oK8GxPBJrN&#10;i/nz0dOTnPw0J7vIpmkekuD6ERKiPwUEfKcFpxsuRFzYZnslLAL8Em/iMx5+kCYU6ko8L/ICWBKY&#10;ixr6EUJpQFunmsjgwQl3CpzG51/AobA1ce1QQEQYGErumY392zJCXyqK/MGAewrGFodiJKMYCQZT&#10;HqKY6QkX52SCIEKBQsH1wecQ+X7bj+ZvNT1A4+yM5U0LhmWx9JAEjRqlHYcqTMLpOoLe/5GsfgN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CtBAAA&#10;W0NvbnRlbnRfVHlwZXNdLnhtbFBLAQIUAAoAAAAAAIdO4kAAAAAAAAAAAAAAAAAGAAAAAAAAAAAA&#10;EAAAAI8DAABfcmVscy9QSwECFAAUAAAACACHTuJAihRmPNEAAACUAQAACwAAAAAAAAABACAAAACz&#10;AwAAX3JlbHMvLnJlbHNQSwECFAAKAAAAAACHTuJAAAAAAAAAAAAAAAAABAAAAAAAAAAAABAAAAAA&#10;AAAAZHJzL1BLAQIUABQAAAAIAIdO4kC7MZNd2AAAAAsBAAAPAAAAAAAAAAEAIAAAACIAAABkcnMv&#10;ZG93bnJldi54bWxQSwECFAAUAAAACACHTuJACAZnXDwCAACQBAAADgAAAAAAAAABACAAAAAnAQAA&#10;ZHJzL2Uyb0RvYy54bWxQSwUGAAAAAAYABgBZAQAA1QUAAAAA&#10;" adj="30152,41386">
                <v:fill on="t" focussize="0,0"/>
                <v:stroke color="#000000" joinstyle="miter"/>
                <v:imagedata o:title=""/>
                <o:lock v:ext="edit" aspectratio="f"/>
                <v:textbox>
                  <w:txbxContent>
                    <w:p w14:paraId="6AE1DC22">
                      <w:pPr>
                        <w:adjustRightInd w:val="0"/>
                        <w:snapToGrid w:val="0"/>
                        <w:rPr>
                          <w:sz w:val="18"/>
                          <w:szCs w:val="18"/>
                        </w:rPr>
                      </w:pPr>
                      <w:r>
                        <w:rPr>
                          <w:rFonts w:hint="eastAsia"/>
                          <w:sz w:val="18"/>
                          <w:szCs w:val="18"/>
                        </w:rPr>
                        <w:t>项目所在地</w:t>
                      </w:r>
                    </w:p>
                  </w:txbxContent>
                </v:textbox>
              </v:shape>
            </w:pict>
          </mc:Fallback>
        </mc:AlternateContent>
      </w:r>
      <w:r>
        <w:rPr>
          <w:rFonts w:hint="default" w:ascii="Times New Roman" w:hAnsi="Times New Roman" w:cs="Times New Roman"/>
        </w:rPr>
        <w:drawing>
          <wp:inline distT="0" distB="0" distL="0" distR="0">
            <wp:extent cx="4705985" cy="3813810"/>
            <wp:effectExtent l="0" t="0" r="18415" b="15240"/>
            <wp:docPr id="167" name="图片 1" descr="C:\Users\ADMINI~1\AppData\Local\Temp\WeChat Files\0f7d9960a09ddf61495c9502d2eca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 name="图片 1" descr="C:\Users\ADMINI~1\AppData\Local\Temp\WeChat Files\0f7d9960a09ddf61495c9502d2ecae5.png"/>
                    <pic:cNvPicPr>
                      <a:picLocks noChangeAspect="1" noChangeArrowheads="1"/>
                    </pic:cNvPicPr>
                  </pic:nvPicPr>
                  <pic:blipFill>
                    <a:blip r:embed="rId104" cstate="print"/>
                    <a:srcRect l="9933" t="18343" r="3020" b="5155"/>
                    <a:stretch>
                      <a:fillRect/>
                    </a:stretch>
                  </pic:blipFill>
                  <pic:spPr>
                    <a:xfrm>
                      <a:off x="0" y="0"/>
                      <a:ext cx="4705985" cy="3813810"/>
                    </a:xfrm>
                    <a:prstGeom prst="rect">
                      <a:avLst/>
                    </a:prstGeom>
                    <a:noFill/>
                    <a:ln w="9525">
                      <a:noFill/>
                      <a:miter lim="800000"/>
                      <a:headEnd/>
                      <a:tailEnd/>
                    </a:ln>
                  </pic:spPr>
                </pic:pic>
              </a:graphicData>
            </a:graphic>
          </wp:inline>
        </w:drawing>
      </w:r>
    </w:p>
    <w:p w14:paraId="39B2AD88">
      <w:pPr>
        <w:pStyle w:val="719"/>
        <w:keepNext w:val="0"/>
        <w:keepLines w:val="0"/>
        <w:pageBreakBefore w:val="0"/>
        <w:widowControl/>
        <w:kinsoku/>
        <w:wordWrap/>
        <w:overflowPunct/>
        <w:topLinePunct w:val="0"/>
        <w:autoSpaceDE/>
        <w:autoSpaceDN/>
        <w:bidi w:val="0"/>
        <w:adjustRightInd w:val="0"/>
        <w:snapToGrid w:val="0"/>
        <w:spacing w:beforeLines="0" w:line="360" w:lineRule="auto"/>
        <w:textAlignment w:val="auto"/>
        <w:rPr>
          <w:rFonts w:hint="default" w:ascii="Times New Roman" w:hAnsi="Times New Roman" w:cs="Times New Roman"/>
          <w:sz w:val="24"/>
          <w:szCs w:val="24"/>
        </w:rPr>
      </w:pPr>
      <w:r>
        <w:rPr>
          <w:rFonts w:hint="default" w:ascii="Times New Roman" w:hAnsi="Times New Roman" w:cs="Times New Roman"/>
          <w:sz w:val="24"/>
          <w:szCs w:val="24"/>
        </w:rPr>
        <w:t>图</w:t>
      </w:r>
      <w:r>
        <w:rPr>
          <w:rFonts w:hint="eastAsia" w:ascii="Times New Roman" w:hAnsi="Times New Roman" w:cs="Times New Roman"/>
          <w:sz w:val="24"/>
          <w:szCs w:val="24"/>
          <w:lang w:val="en-US" w:eastAsia="zh-CN"/>
        </w:rPr>
        <w:t>5.6</w:t>
      </w:r>
      <w:r>
        <w:rPr>
          <w:rFonts w:hint="default" w:ascii="Times New Roman" w:hAnsi="Times New Roman" w:cs="Times New Roman"/>
          <w:sz w:val="24"/>
          <w:szCs w:val="24"/>
        </w:rPr>
        <w:t>-</w:t>
      </w:r>
      <w:r>
        <w:rPr>
          <w:rFonts w:hint="default" w:ascii="Times New Roman" w:hAnsi="Times New Roman" w:cs="Times New Roman"/>
          <w:sz w:val="24"/>
          <w:szCs w:val="24"/>
          <w:lang w:val="en-US" w:eastAsia="zh-CN"/>
        </w:rPr>
        <w:t>4</w:t>
      </w:r>
      <w:r>
        <w:rPr>
          <w:rFonts w:hint="default" w:ascii="Times New Roman" w:hAnsi="Times New Roman" w:cs="Times New Roman"/>
          <w:sz w:val="24"/>
          <w:szCs w:val="24"/>
        </w:rPr>
        <w:t xml:space="preserve">  土壤类型图</w:t>
      </w:r>
    </w:p>
    <w:p w14:paraId="55B98878">
      <w:pPr>
        <w:pStyle w:val="7"/>
        <w:rPr>
          <w:rFonts w:hint="default" w:eastAsia="宋体"/>
          <w:lang w:val="en-US" w:eastAsia="zh-CN"/>
        </w:rPr>
      </w:pPr>
      <w:bookmarkStart w:id="502" w:name="_Toc14105"/>
      <w:bookmarkStart w:id="503" w:name="_Toc13000"/>
      <w:bookmarkStart w:id="504" w:name="_Toc21601"/>
      <w:bookmarkStart w:id="505" w:name="_Toc11907"/>
      <w:r>
        <w:rPr>
          <w:rFonts w:hint="eastAsia" w:eastAsia="宋体"/>
          <w:lang w:val="en-US" w:eastAsia="zh-CN"/>
        </w:rPr>
        <w:t>5.6.2</w:t>
      </w:r>
      <w:r>
        <w:rPr>
          <w:rFonts w:hint="default" w:eastAsia="宋体"/>
          <w:lang w:val="en-US" w:eastAsia="zh-CN"/>
        </w:rPr>
        <w:t xml:space="preserve"> 土壤理化性质现状调查</w:t>
      </w:r>
      <w:bookmarkEnd w:id="502"/>
      <w:bookmarkEnd w:id="503"/>
      <w:bookmarkEnd w:id="504"/>
      <w:bookmarkEnd w:id="505"/>
    </w:p>
    <w:p w14:paraId="5EB83D17">
      <w:pPr>
        <w:spacing w:line="500" w:lineRule="exact"/>
        <w:ind w:firstLine="480" w:firstLineChars="200"/>
        <w:jc w:val="both"/>
        <w:rPr>
          <w:rFonts w:hint="default" w:ascii="Times New Roman" w:hAnsi="Times New Roman" w:eastAsia="宋体" w:cs="Times New Roman"/>
          <w:b w:val="0"/>
          <w:bCs/>
          <w:lang w:eastAsia="zh-CN"/>
        </w:rPr>
      </w:pPr>
      <w:r>
        <w:rPr>
          <w:rFonts w:hint="default" w:ascii="Times New Roman" w:hAnsi="Times New Roman" w:eastAsia="宋体" w:cs="Times New Roman"/>
          <w:b w:val="0"/>
          <w:bCs/>
          <w:lang w:eastAsia="zh-CN"/>
        </w:rPr>
        <w:t>根据调查范围土壤类型分布情况，</w:t>
      </w:r>
      <w:r>
        <w:rPr>
          <w:rFonts w:hint="default" w:ascii="Times New Roman" w:hAnsi="Times New Roman" w:eastAsia="宋体" w:cs="Times New Roman"/>
          <w:b w:val="0"/>
          <w:bCs/>
          <w:lang w:val="en-US" w:eastAsia="zh-CN"/>
        </w:rPr>
        <w:t>于2026年5月1日，对区域内土壤</w:t>
      </w:r>
      <w:r>
        <w:rPr>
          <w:rFonts w:hint="default" w:ascii="Times New Roman" w:hAnsi="Times New Roman" w:eastAsia="宋体" w:cs="Times New Roman"/>
          <w:b w:val="0"/>
          <w:bCs/>
          <w:lang w:eastAsia="zh-CN"/>
        </w:rPr>
        <w:t>进行理化特性调查，调查结果如下。</w:t>
      </w:r>
    </w:p>
    <w:p w14:paraId="3AA58C31">
      <w:pPr>
        <w:pStyle w:val="719"/>
        <w:keepNext w:val="0"/>
        <w:keepLines w:val="0"/>
        <w:pageBreakBefore w:val="0"/>
        <w:widowControl/>
        <w:kinsoku/>
        <w:wordWrap/>
        <w:overflowPunct/>
        <w:topLinePunct w:val="0"/>
        <w:autoSpaceDE/>
        <w:autoSpaceDN/>
        <w:bidi w:val="0"/>
        <w:adjustRightInd w:val="0"/>
        <w:snapToGrid w:val="0"/>
        <w:spacing w:beforeLines="0" w:line="360" w:lineRule="auto"/>
        <w:textAlignment w:val="auto"/>
        <w:rPr>
          <w:rFonts w:hint="default" w:ascii="Times New Roman" w:hAnsi="Times New Roman" w:cs="Times New Roman"/>
          <w:b/>
          <w:color w:val="auto"/>
          <w:sz w:val="24"/>
          <w:szCs w:val="24"/>
        </w:rPr>
      </w:pPr>
      <w:r>
        <w:rPr>
          <w:rFonts w:hint="default" w:ascii="Times New Roman" w:hAnsi="Times New Roman" w:cs="Times New Roman"/>
          <w:sz w:val="24"/>
          <w:szCs w:val="24"/>
        </w:rPr>
        <w:t>表</w:t>
      </w:r>
      <w:r>
        <w:rPr>
          <w:rFonts w:hint="eastAsia" w:ascii="Times New Roman" w:hAnsi="Times New Roman" w:cs="Times New Roman"/>
          <w:sz w:val="24"/>
          <w:szCs w:val="24"/>
          <w:lang w:val="en-US" w:eastAsia="zh-CN"/>
        </w:rPr>
        <w:t>5.6</w:t>
      </w:r>
      <w:r>
        <w:rPr>
          <w:rFonts w:hint="default" w:ascii="Times New Roman" w:hAnsi="Times New Roman" w:cs="Times New Roman"/>
          <w:sz w:val="24"/>
          <w:szCs w:val="24"/>
        </w:rPr>
        <w:t>-1  土壤理化特性调查表</w:t>
      </w:r>
    </w:p>
    <w:tbl>
      <w:tblPr>
        <w:tblStyle w:val="56"/>
        <w:tblW w:w="0" w:type="auto"/>
        <w:jc w:val="center"/>
        <w:tblBorders>
          <w:top w:val="double" w:color="auto" w:sz="4" w:space="0"/>
          <w:left w:val="none" w:color="auto" w:sz="0" w:space="0"/>
          <w:bottom w:val="double" w:color="auto" w:sz="4" w:space="0"/>
          <w:right w:val="none" w:color="auto" w:sz="0" w:space="0"/>
          <w:insideH w:val="single" w:color="auto" w:sz="4" w:space="0"/>
          <w:insideV w:val="single" w:color="auto" w:sz="4" w:space="0"/>
        </w:tblBorders>
        <w:tblLayout w:type="fixed"/>
        <w:tblCellMar>
          <w:top w:w="15" w:type="dxa"/>
          <w:left w:w="15" w:type="dxa"/>
          <w:bottom w:w="15" w:type="dxa"/>
          <w:right w:w="15" w:type="dxa"/>
        </w:tblCellMar>
      </w:tblPr>
      <w:tblGrid>
        <w:gridCol w:w="880"/>
        <w:gridCol w:w="2578"/>
        <w:gridCol w:w="801"/>
        <w:gridCol w:w="801"/>
        <w:gridCol w:w="801"/>
        <w:gridCol w:w="801"/>
        <w:gridCol w:w="801"/>
        <w:gridCol w:w="802"/>
      </w:tblGrid>
      <w:tr w14:paraId="5CD11AB8">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15" w:type="dxa"/>
            <w:left w:w="15" w:type="dxa"/>
            <w:bottom w:w="15" w:type="dxa"/>
            <w:right w:w="15" w:type="dxa"/>
          </w:tblCellMar>
        </w:tblPrEx>
        <w:trPr>
          <w:trHeight w:val="340" w:hRule="atLeast"/>
          <w:jc w:val="center"/>
        </w:trPr>
        <w:tc>
          <w:tcPr>
            <w:tcW w:w="880" w:type="dxa"/>
            <w:vMerge w:val="restart"/>
            <w:vAlign w:val="center"/>
          </w:tcPr>
          <w:p w14:paraId="64B9FA42">
            <w:pPr>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项目</w:t>
            </w:r>
          </w:p>
        </w:tc>
        <w:tc>
          <w:tcPr>
            <w:tcW w:w="2578" w:type="dxa"/>
            <w:vMerge w:val="restart"/>
            <w:vAlign w:val="center"/>
          </w:tcPr>
          <w:p w14:paraId="4DC2A672">
            <w:pPr>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指标</w:t>
            </w:r>
          </w:p>
        </w:tc>
        <w:tc>
          <w:tcPr>
            <w:tcW w:w="4807" w:type="dxa"/>
            <w:gridSpan w:val="6"/>
            <w:vAlign w:val="center"/>
          </w:tcPr>
          <w:p w14:paraId="1C3FC644">
            <w:pPr>
              <w:widowControl/>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理化性质</w:t>
            </w:r>
          </w:p>
        </w:tc>
      </w:tr>
      <w:tr w14:paraId="7E9A2C00">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15" w:type="dxa"/>
            <w:left w:w="15" w:type="dxa"/>
            <w:bottom w:w="15" w:type="dxa"/>
            <w:right w:w="15" w:type="dxa"/>
          </w:tblCellMar>
        </w:tblPrEx>
        <w:trPr>
          <w:trHeight w:val="90" w:hRule="atLeast"/>
          <w:jc w:val="center"/>
        </w:trPr>
        <w:tc>
          <w:tcPr>
            <w:tcW w:w="880" w:type="dxa"/>
            <w:vMerge w:val="continue"/>
            <w:vAlign w:val="center"/>
          </w:tcPr>
          <w:p w14:paraId="149EEFEC">
            <w:pPr>
              <w:jc w:val="center"/>
              <w:rPr>
                <w:rFonts w:hint="default" w:ascii="Times New Roman" w:hAnsi="Times New Roman" w:eastAsia="宋体" w:cs="Times New Roman"/>
                <w:sz w:val="21"/>
                <w:szCs w:val="21"/>
              </w:rPr>
            </w:pPr>
          </w:p>
        </w:tc>
        <w:tc>
          <w:tcPr>
            <w:tcW w:w="2578" w:type="dxa"/>
            <w:vMerge w:val="continue"/>
            <w:vAlign w:val="center"/>
          </w:tcPr>
          <w:p w14:paraId="3066E0C4">
            <w:pPr>
              <w:jc w:val="center"/>
              <w:rPr>
                <w:rFonts w:hint="default" w:ascii="Times New Roman" w:hAnsi="Times New Roman" w:eastAsia="宋体" w:cs="Times New Roman"/>
                <w:sz w:val="21"/>
                <w:szCs w:val="21"/>
              </w:rPr>
            </w:pPr>
          </w:p>
        </w:tc>
        <w:tc>
          <w:tcPr>
            <w:tcW w:w="2403" w:type="dxa"/>
            <w:gridSpan w:val="3"/>
            <w:vAlign w:val="center"/>
          </w:tcPr>
          <w:p w14:paraId="7643E08D">
            <w:pPr>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T1</w:t>
            </w:r>
          </w:p>
        </w:tc>
        <w:tc>
          <w:tcPr>
            <w:tcW w:w="2404" w:type="dxa"/>
            <w:gridSpan w:val="3"/>
            <w:vAlign w:val="center"/>
          </w:tcPr>
          <w:p w14:paraId="466196A2">
            <w:pPr>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T2</w:t>
            </w:r>
          </w:p>
        </w:tc>
      </w:tr>
      <w:tr w14:paraId="6777B23B">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15" w:type="dxa"/>
            <w:left w:w="15" w:type="dxa"/>
            <w:bottom w:w="15" w:type="dxa"/>
            <w:right w:w="15" w:type="dxa"/>
          </w:tblCellMar>
        </w:tblPrEx>
        <w:trPr>
          <w:trHeight w:val="340" w:hRule="atLeast"/>
          <w:jc w:val="center"/>
        </w:trPr>
        <w:tc>
          <w:tcPr>
            <w:tcW w:w="880" w:type="dxa"/>
            <w:vMerge w:val="continue"/>
            <w:vAlign w:val="center"/>
          </w:tcPr>
          <w:p w14:paraId="3968DB19">
            <w:pPr>
              <w:jc w:val="center"/>
              <w:rPr>
                <w:rFonts w:hint="default" w:ascii="Times New Roman" w:hAnsi="Times New Roman" w:eastAsia="宋体" w:cs="Times New Roman"/>
                <w:sz w:val="21"/>
                <w:szCs w:val="21"/>
              </w:rPr>
            </w:pPr>
          </w:p>
        </w:tc>
        <w:tc>
          <w:tcPr>
            <w:tcW w:w="2578" w:type="dxa"/>
            <w:vAlign w:val="center"/>
          </w:tcPr>
          <w:p w14:paraId="3BFAA0BD">
            <w:pPr>
              <w:jc w:val="center"/>
              <w:rPr>
                <w:rFonts w:hint="default" w:ascii="Times New Roman" w:hAnsi="Times New Roman" w:eastAsia="宋体" w:cs="Times New Roman"/>
                <w:sz w:val="21"/>
                <w:szCs w:val="21"/>
                <w:lang w:val="en-US" w:eastAsia="zh-CN"/>
              </w:rPr>
            </w:pPr>
            <w:r>
              <w:rPr>
                <w:rFonts w:hint="default" w:ascii="Times New Roman" w:hAnsi="Times New Roman" w:cs="Times New Roman"/>
                <w:sz w:val="21"/>
                <w:szCs w:val="21"/>
                <w:lang w:val="en-US" w:eastAsia="zh-CN"/>
              </w:rPr>
              <w:t>层次</w:t>
            </w:r>
          </w:p>
        </w:tc>
        <w:tc>
          <w:tcPr>
            <w:tcW w:w="801" w:type="dxa"/>
            <w:vAlign w:val="center"/>
          </w:tcPr>
          <w:p w14:paraId="4D56A549">
            <w:pPr>
              <w:spacing w:line="240" w:lineRule="auto"/>
              <w:jc w:val="center"/>
              <w:rPr>
                <w:rFonts w:hint="default" w:ascii="Times New Roman" w:hAnsi="Times New Roman" w:eastAsia="宋体" w:cs="Times New Roman"/>
                <w:sz w:val="21"/>
                <w:szCs w:val="21"/>
              </w:rPr>
            </w:pPr>
            <w:r>
              <w:rPr>
                <w:rFonts w:hint="default" w:ascii="Times New Roman" w:hAnsi="Times New Roman" w:eastAsia="宋体" w:cs="Times New Roman"/>
                <w:i w:val="0"/>
                <w:iCs w:val="0"/>
                <w:color w:val="auto"/>
                <w:kern w:val="0"/>
                <w:sz w:val="21"/>
                <w:szCs w:val="21"/>
                <w:highlight w:val="none"/>
                <w:u w:val="none"/>
                <w:lang w:val="en-US" w:eastAsia="zh-CN" w:bidi="ar"/>
              </w:rPr>
              <w:t>0.2</w:t>
            </w:r>
            <w:r>
              <w:rPr>
                <w:rFonts w:hint="default" w:ascii="Times New Roman" w:hAnsi="Times New Roman" w:eastAsia="宋体" w:cs="Times New Roman"/>
                <w:kern w:val="2"/>
                <w:sz w:val="21"/>
                <w:szCs w:val="21"/>
                <w:highlight w:val="none"/>
                <w:lang w:val="en-US" w:eastAsia="zh-CN" w:bidi="ar-SA"/>
              </w:rPr>
              <w:t>m</w:t>
            </w:r>
          </w:p>
        </w:tc>
        <w:tc>
          <w:tcPr>
            <w:tcW w:w="801" w:type="dxa"/>
            <w:vAlign w:val="center"/>
          </w:tcPr>
          <w:p w14:paraId="1BBB70E9">
            <w:pPr>
              <w:spacing w:line="240" w:lineRule="auto"/>
              <w:jc w:val="center"/>
              <w:rPr>
                <w:rFonts w:hint="default" w:ascii="Times New Roman" w:hAnsi="Times New Roman" w:eastAsia="宋体" w:cs="Times New Roman"/>
                <w:sz w:val="21"/>
                <w:szCs w:val="21"/>
              </w:rPr>
            </w:pPr>
            <w:r>
              <w:rPr>
                <w:rFonts w:hint="default" w:ascii="Times New Roman" w:hAnsi="Times New Roman" w:eastAsia="宋体" w:cs="Times New Roman"/>
                <w:i w:val="0"/>
                <w:iCs w:val="0"/>
                <w:color w:val="auto"/>
                <w:kern w:val="0"/>
                <w:sz w:val="21"/>
                <w:szCs w:val="21"/>
                <w:highlight w:val="none"/>
                <w:u w:val="none"/>
                <w:lang w:val="en-US" w:eastAsia="zh-CN" w:bidi="ar"/>
              </w:rPr>
              <w:t>0.7</w:t>
            </w:r>
            <w:r>
              <w:rPr>
                <w:rFonts w:hint="default" w:ascii="Times New Roman" w:hAnsi="Times New Roman" w:eastAsia="宋体" w:cs="Times New Roman"/>
                <w:kern w:val="2"/>
                <w:sz w:val="21"/>
                <w:szCs w:val="21"/>
                <w:highlight w:val="none"/>
                <w:lang w:val="en-US" w:eastAsia="zh-CN" w:bidi="ar-SA"/>
              </w:rPr>
              <w:t>m</w:t>
            </w:r>
          </w:p>
        </w:tc>
        <w:tc>
          <w:tcPr>
            <w:tcW w:w="801" w:type="dxa"/>
            <w:vAlign w:val="center"/>
          </w:tcPr>
          <w:p w14:paraId="3F1BF520">
            <w:pPr>
              <w:spacing w:line="240" w:lineRule="auto"/>
              <w:jc w:val="center"/>
              <w:rPr>
                <w:rFonts w:hint="default" w:ascii="Times New Roman" w:hAnsi="Times New Roman" w:eastAsia="宋体" w:cs="Times New Roman"/>
                <w:sz w:val="21"/>
                <w:szCs w:val="21"/>
              </w:rPr>
            </w:pPr>
            <w:r>
              <w:rPr>
                <w:rFonts w:hint="default" w:ascii="Times New Roman" w:hAnsi="Times New Roman" w:eastAsia="宋体" w:cs="Times New Roman"/>
                <w:i w:val="0"/>
                <w:iCs w:val="0"/>
                <w:color w:val="auto"/>
                <w:kern w:val="0"/>
                <w:sz w:val="21"/>
                <w:szCs w:val="21"/>
                <w:highlight w:val="none"/>
                <w:u w:val="none"/>
                <w:lang w:val="en-US" w:eastAsia="zh-CN" w:bidi="ar"/>
              </w:rPr>
              <w:t>1.8</w:t>
            </w:r>
            <w:r>
              <w:rPr>
                <w:rFonts w:hint="default" w:ascii="Times New Roman" w:hAnsi="Times New Roman" w:eastAsia="宋体" w:cs="Times New Roman"/>
                <w:kern w:val="2"/>
                <w:sz w:val="21"/>
                <w:szCs w:val="21"/>
                <w:highlight w:val="none"/>
                <w:lang w:val="en-US" w:eastAsia="zh-CN" w:bidi="ar-SA"/>
              </w:rPr>
              <w:t>m</w:t>
            </w:r>
          </w:p>
        </w:tc>
        <w:tc>
          <w:tcPr>
            <w:tcW w:w="801" w:type="dxa"/>
            <w:vAlign w:val="center"/>
          </w:tcPr>
          <w:p w14:paraId="3C784211">
            <w:pPr>
              <w:spacing w:line="240" w:lineRule="auto"/>
              <w:jc w:val="center"/>
              <w:rPr>
                <w:rFonts w:hint="default" w:ascii="Times New Roman" w:hAnsi="Times New Roman" w:eastAsia="宋体" w:cs="Times New Roman"/>
                <w:sz w:val="21"/>
                <w:szCs w:val="21"/>
              </w:rPr>
            </w:pPr>
            <w:r>
              <w:rPr>
                <w:rFonts w:hint="default" w:ascii="Times New Roman" w:hAnsi="Times New Roman" w:eastAsia="宋体" w:cs="Times New Roman"/>
                <w:i w:val="0"/>
                <w:iCs w:val="0"/>
                <w:color w:val="auto"/>
                <w:kern w:val="0"/>
                <w:sz w:val="21"/>
                <w:szCs w:val="21"/>
                <w:highlight w:val="none"/>
                <w:u w:val="none"/>
                <w:lang w:val="en-US" w:eastAsia="zh-CN" w:bidi="ar"/>
              </w:rPr>
              <w:t>0.2</w:t>
            </w:r>
            <w:r>
              <w:rPr>
                <w:rFonts w:hint="default" w:ascii="Times New Roman" w:hAnsi="Times New Roman" w:eastAsia="宋体" w:cs="Times New Roman"/>
                <w:kern w:val="2"/>
                <w:sz w:val="21"/>
                <w:szCs w:val="21"/>
                <w:highlight w:val="none"/>
                <w:lang w:val="en-US" w:eastAsia="zh-CN" w:bidi="ar-SA"/>
              </w:rPr>
              <w:t>m</w:t>
            </w:r>
          </w:p>
        </w:tc>
        <w:tc>
          <w:tcPr>
            <w:tcW w:w="801" w:type="dxa"/>
            <w:vAlign w:val="center"/>
          </w:tcPr>
          <w:p w14:paraId="0BC83798">
            <w:pPr>
              <w:spacing w:line="240" w:lineRule="auto"/>
              <w:jc w:val="center"/>
              <w:rPr>
                <w:rFonts w:hint="default" w:ascii="Times New Roman" w:hAnsi="Times New Roman" w:eastAsia="宋体" w:cs="Times New Roman"/>
                <w:sz w:val="21"/>
                <w:szCs w:val="21"/>
              </w:rPr>
            </w:pPr>
            <w:r>
              <w:rPr>
                <w:rFonts w:hint="default" w:ascii="Times New Roman" w:hAnsi="Times New Roman" w:eastAsia="宋体" w:cs="Times New Roman"/>
                <w:i w:val="0"/>
                <w:iCs w:val="0"/>
                <w:color w:val="auto"/>
                <w:kern w:val="0"/>
                <w:sz w:val="21"/>
                <w:szCs w:val="21"/>
                <w:highlight w:val="none"/>
                <w:u w:val="none"/>
                <w:lang w:val="en-US" w:eastAsia="zh-CN" w:bidi="ar"/>
              </w:rPr>
              <w:t>0.7</w:t>
            </w:r>
            <w:r>
              <w:rPr>
                <w:rFonts w:hint="default" w:ascii="Times New Roman" w:hAnsi="Times New Roman" w:eastAsia="宋体" w:cs="Times New Roman"/>
                <w:kern w:val="2"/>
                <w:sz w:val="21"/>
                <w:szCs w:val="21"/>
                <w:highlight w:val="none"/>
                <w:lang w:val="en-US" w:eastAsia="zh-CN" w:bidi="ar-SA"/>
              </w:rPr>
              <w:t>m</w:t>
            </w:r>
          </w:p>
        </w:tc>
        <w:tc>
          <w:tcPr>
            <w:tcW w:w="802" w:type="dxa"/>
            <w:vAlign w:val="center"/>
          </w:tcPr>
          <w:p w14:paraId="636595E8">
            <w:pPr>
              <w:spacing w:line="240" w:lineRule="auto"/>
              <w:jc w:val="center"/>
              <w:rPr>
                <w:rFonts w:hint="default" w:ascii="Times New Roman" w:hAnsi="Times New Roman" w:eastAsia="宋体" w:cs="Times New Roman"/>
                <w:sz w:val="21"/>
                <w:szCs w:val="21"/>
              </w:rPr>
            </w:pPr>
            <w:r>
              <w:rPr>
                <w:rFonts w:hint="default" w:ascii="Times New Roman" w:hAnsi="Times New Roman" w:eastAsia="宋体" w:cs="Times New Roman"/>
                <w:i w:val="0"/>
                <w:iCs w:val="0"/>
                <w:color w:val="auto"/>
                <w:kern w:val="0"/>
                <w:sz w:val="21"/>
                <w:szCs w:val="21"/>
                <w:highlight w:val="none"/>
                <w:u w:val="none"/>
                <w:lang w:val="en-US" w:eastAsia="zh-CN" w:bidi="ar"/>
              </w:rPr>
              <w:t>1.6</w:t>
            </w:r>
            <w:r>
              <w:rPr>
                <w:rFonts w:hint="default" w:ascii="Times New Roman" w:hAnsi="Times New Roman" w:eastAsia="宋体" w:cs="Times New Roman"/>
                <w:kern w:val="2"/>
                <w:sz w:val="21"/>
                <w:szCs w:val="21"/>
                <w:highlight w:val="none"/>
                <w:lang w:val="en-US" w:eastAsia="zh-CN" w:bidi="ar-SA"/>
              </w:rPr>
              <w:t>m</w:t>
            </w:r>
          </w:p>
        </w:tc>
      </w:tr>
      <w:tr w14:paraId="11049996">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15" w:type="dxa"/>
            <w:left w:w="15" w:type="dxa"/>
            <w:bottom w:w="15" w:type="dxa"/>
            <w:right w:w="15" w:type="dxa"/>
          </w:tblCellMar>
        </w:tblPrEx>
        <w:trPr>
          <w:trHeight w:val="340" w:hRule="atLeast"/>
          <w:jc w:val="center"/>
        </w:trPr>
        <w:tc>
          <w:tcPr>
            <w:tcW w:w="880" w:type="dxa"/>
            <w:vMerge w:val="restart"/>
            <w:vAlign w:val="center"/>
          </w:tcPr>
          <w:p w14:paraId="3C019035">
            <w:pPr>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现场记录</w:t>
            </w:r>
          </w:p>
        </w:tc>
        <w:tc>
          <w:tcPr>
            <w:tcW w:w="2578" w:type="dxa"/>
            <w:vAlign w:val="center"/>
          </w:tcPr>
          <w:p w14:paraId="23061699">
            <w:pPr>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颜色</w:t>
            </w:r>
          </w:p>
        </w:tc>
        <w:tc>
          <w:tcPr>
            <w:tcW w:w="801" w:type="dxa"/>
            <w:vAlign w:val="center"/>
          </w:tcPr>
          <w:p w14:paraId="3B9DC127">
            <w:pPr>
              <w:spacing w:line="240" w:lineRule="auto"/>
              <w:jc w:val="center"/>
              <w:rPr>
                <w:rFonts w:hint="default" w:ascii="Times New Roman" w:hAnsi="Times New Roman" w:eastAsia="宋体" w:cs="Times New Roman"/>
                <w:kern w:val="0"/>
                <w:sz w:val="21"/>
                <w:szCs w:val="21"/>
                <w:lang w:bidi="ar"/>
              </w:rPr>
            </w:pPr>
            <w:r>
              <w:rPr>
                <w:rFonts w:hint="default" w:ascii="Times New Roman" w:hAnsi="Times New Roman" w:eastAsia="宋体" w:cs="Times New Roman"/>
                <w:color w:val="auto"/>
                <w:sz w:val="21"/>
                <w:szCs w:val="21"/>
                <w:highlight w:val="none"/>
                <w:lang w:val="en-US" w:eastAsia="zh-CN"/>
              </w:rPr>
              <w:t>棕色</w:t>
            </w:r>
          </w:p>
        </w:tc>
        <w:tc>
          <w:tcPr>
            <w:tcW w:w="801" w:type="dxa"/>
            <w:vAlign w:val="center"/>
          </w:tcPr>
          <w:p w14:paraId="2E07B947">
            <w:pPr>
              <w:spacing w:line="240" w:lineRule="auto"/>
              <w:jc w:val="center"/>
              <w:rPr>
                <w:rFonts w:hint="default" w:ascii="Times New Roman" w:hAnsi="Times New Roman" w:eastAsia="宋体" w:cs="Times New Roman"/>
                <w:sz w:val="21"/>
                <w:szCs w:val="21"/>
              </w:rPr>
            </w:pPr>
            <w:r>
              <w:rPr>
                <w:rFonts w:hint="default" w:ascii="Times New Roman" w:hAnsi="Times New Roman" w:eastAsia="宋体" w:cs="Times New Roman"/>
                <w:color w:val="auto"/>
                <w:sz w:val="21"/>
                <w:szCs w:val="21"/>
                <w:highlight w:val="none"/>
                <w:lang w:val="en-US" w:eastAsia="zh-CN"/>
              </w:rPr>
              <w:t>暗棕色</w:t>
            </w:r>
          </w:p>
        </w:tc>
        <w:tc>
          <w:tcPr>
            <w:tcW w:w="801" w:type="dxa"/>
            <w:vAlign w:val="center"/>
          </w:tcPr>
          <w:p w14:paraId="2916B57F">
            <w:pPr>
              <w:spacing w:line="240" w:lineRule="auto"/>
              <w:jc w:val="center"/>
              <w:rPr>
                <w:rFonts w:hint="default" w:ascii="Times New Roman" w:hAnsi="Times New Roman" w:eastAsia="宋体" w:cs="Times New Roman"/>
                <w:sz w:val="21"/>
                <w:szCs w:val="21"/>
              </w:rPr>
            </w:pPr>
            <w:r>
              <w:rPr>
                <w:rFonts w:hint="default" w:ascii="Times New Roman" w:hAnsi="Times New Roman" w:cs="Times New Roman"/>
                <w:color w:val="auto"/>
                <w:sz w:val="21"/>
                <w:szCs w:val="21"/>
                <w:highlight w:val="none"/>
                <w:lang w:val="en-US" w:eastAsia="zh-CN"/>
              </w:rPr>
              <w:t>深棕</w:t>
            </w:r>
            <w:r>
              <w:rPr>
                <w:rFonts w:hint="default" w:ascii="Times New Roman" w:hAnsi="Times New Roman" w:eastAsia="宋体" w:cs="Times New Roman"/>
                <w:color w:val="auto"/>
                <w:sz w:val="21"/>
                <w:szCs w:val="21"/>
                <w:highlight w:val="none"/>
                <w:lang w:val="en-US" w:eastAsia="zh-CN"/>
              </w:rPr>
              <w:t>色</w:t>
            </w:r>
          </w:p>
        </w:tc>
        <w:tc>
          <w:tcPr>
            <w:tcW w:w="801" w:type="dxa"/>
            <w:vAlign w:val="center"/>
          </w:tcPr>
          <w:p w14:paraId="1D750FCF">
            <w:pPr>
              <w:spacing w:line="240" w:lineRule="auto"/>
              <w:jc w:val="center"/>
              <w:rPr>
                <w:rFonts w:hint="default" w:ascii="Times New Roman" w:hAnsi="Times New Roman" w:eastAsia="宋体" w:cs="Times New Roman"/>
                <w:sz w:val="21"/>
                <w:szCs w:val="21"/>
              </w:rPr>
            </w:pPr>
            <w:r>
              <w:rPr>
                <w:rFonts w:hint="default" w:ascii="Times New Roman" w:hAnsi="Times New Roman" w:eastAsia="宋体" w:cs="Times New Roman"/>
                <w:color w:val="auto"/>
                <w:sz w:val="21"/>
                <w:szCs w:val="21"/>
                <w:highlight w:val="none"/>
                <w:lang w:val="en-US" w:eastAsia="zh-CN"/>
              </w:rPr>
              <w:t>棕色</w:t>
            </w:r>
          </w:p>
        </w:tc>
        <w:tc>
          <w:tcPr>
            <w:tcW w:w="801" w:type="dxa"/>
            <w:vAlign w:val="center"/>
          </w:tcPr>
          <w:p w14:paraId="2936DBC6">
            <w:pPr>
              <w:spacing w:line="240" w:lineRule="auto"/>
              <w:jc w:val="center"/>
              <w:rPr>
                <w:rFonts w:hint="default" w:ascii="Times New Roman" w:hAnsi="Times New Roman" w:eastAsia="宋体" w:cs="Times New Roman"/>
                <w:sz w:val="21"/>
                <w:szCs w:val="21"/>
              </w:rPr>
            </w:pPr>
            <w:r>
              <w:rPr>
                <w:rFonts w:hint="default" w:ascii="Times New Roman" w:hAnsi="Times New Roman" w:eastAsia="宋体" w:cs="Times New Roman"/>
                <w:color w:val="auto"/>
                <w:sz w:val="21"/>
                <w:szCs w:val="21"/>
                <w:highlight w:val="none"/>
                <w:lang w:val="en-US" w:eastAsia="zh-CN"/>
              </w:rPr>
              <w:t>暗棕色</w:t>
            </w:r>
          </w:p>
        </w:tc>
        <w:tc>
          <w:tcPr>
            <w:tcW w:w="802" w:type="dxa"/>
            <w:vAlign w:val="center"/>
          </w:tcPr>
          <w:p w14:paraId="6AFD0350">
            <w:pPr>
              <w:spacing w:line="240" w:lineRule="auto"/>
              <w:jc w:val="center"/>
              <w:rPr>
                <w:rFonts w:hint="default" w:ascii="Times New Roman" w:hAnsi="Times New Roman" w:eastAsia="宋体" w:cs="Times New Roman"/>
                <w:sz w:val="21"/>
                <w:szCs w:val="21"/>
              </w:rPr>
            </w:pPr>
            <w:r>
              <w:rPr>
                <w:rFonts w:hint="default" w:ascii="Times New Roman" w:hAnsi="Times New Roman" w:cs="Times New Roman"/>
                <w:color w:val="auto"/>
                <w:sz w:val="21"/>
                <w:szCs w:val="21"/>
                <w:highlight w:val="none"/>
                <w:lang w:val="en-US" w:eastAsia="zh-CN"/>
              </w:rPr>
              <w:t>深棕</w:t>
            </w:r>
            <w:r>
              <w:rPr>
                <w:rFonts w:hint="default" w:ascii="Times New Roman" w:hAnsi="Times New Roman" w:eastAsia="宋体" w:cs="Times New Roman"/>
                <w:color w:val="auto"/>
                <w:sz w:val="21"/>
                <w:szCs w:val="21"/>
                <w:highlight w:val="none"/>
                <w:lang w:val="en-US" w:eastAsia="zh-CN"/>
              </w:rPr>
              <w:t>色</w:t>
            </w:r>
          </w:p>
        </w:tc>
      </w:tr>
      <w:tr w14:paraId="6391FBC2">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15" w:type="dxa"/>
            <w:left w:w="15" w:type="dxa"/>
            <w:bottom w:w="15" w:type="dxa"/>
            <w:right w:w="15" w:type="dxa"/>
          </w:tblCellMar>
        </w:tblPrEx>
        <w:trPr>
          <w:trHeight w:val="340" w:hRule="atLeast"/>
          <w:jc w:val="center"/>
        </w:trPr>
        <w:tc>
          <w:tcPr>
            <w:tcW w:w="880" w:type="dxa"/>
            <w:vMerge w:val="continue"/>
            <w:vAlign w:val="center"/>
          </w:tcPr>
          <w:p w14:paraId="18CDF63E">
            <w:pPr>
              <w:jc w:val="center"/>
              <w:rPr>
                <w:rFonts w:hint="default" w:ascii="Times New Roman" w:hAnsi="Times New Roman" w:eastAsia="宋体" w:cs="Times New Roman"/>
                <w:sz w:val="21"/>
                <w:szCs w:val="21"/>
              </w:rPr>
            </w:pPr>
          </w:p>
        </w:tc>
        <w:tc>
          <w:tcPr>
            <w:tcW w:w="2578" w:type="dxa"/>
            <w:vAlign w:val="center"/>
          </w:tcPr>
          <w:p w14:paraId="306C6511">
            <w:pPr>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结构</w:t>
            </w:r>
          </w:p>
        </w:tc>
        <w:tc>
          <w:tcPr>
            <w:tcW w:w="801" w:type="dxa"/>
            <w:vAlign w:val="center"/>
          </w:tcPr>
          <w:p w14:paraId="496E0E06">
            <w:pPr>
              <w:widowControl/>
              <w:jc w:val="center"/>
              <w:textAlignment w:val="center"/>
              <w:rPr>
                <w:rFonts w:hint="default" w:ascii="Times New Roman" w:hAnsi="Times New Roman" w:eastAsia="宋体" w:cs="Times New Roman"/>
                <w:kern w:val="0"/>
                <w:sz w:val="21"/>
                <w:szCs w:val="21"/>
                <w:lang w:bidi="ar"/>
              </w:rPr>
            </w:pPr>
            <w:r>
              <w:rPr>
                <w:rFonts w:hint="default" w:ascii="Times New Roman" w:hAnsi="Times New Roman" w:eastAsia="宋体" w:cs="Times New Roman"/>
                <w:kern w:val="0"/>
                <w:sz w:val="21"/>
                <w:szCs w:val="21"/>
                <w:lang w:bidi="ar"/>
              </w:rPr>
              <w:t>团粒</w:t>
            </w:r>
          </w:p>
        </w:tc>
        <w:tc>
          <w:tcPr>
            <w:tcW w:w="801" w:type="dxa"/>
            <w:vAlign w:val="center"/>
          </w:tcPr>
          <w:p w14:paraId="1E1CD5A5">
            <w:pPr>
              <w:widowControl/>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bidi="ar"/>
              </w:rPr>
              <w:t>团粒</w:t>
            </w:r>
          </w:p>
        </w:tc>
        <w:tc>
          <w:tcPr>
            <w:tcW w:w="801" w:type="dxa"/>
            <w:vAlign w:val="center"/>
          </w:tcPr>
          <w:p w14:paraId="6FE61600">
            <w:pPr>
              <w:widowControl/>
              <w:jc w:val="center"/>
              <w:textAlignment w:val="center"/>
              <w:rPr>
                <w:rFonts w:hint="default" w:ascii="Times New Roman" w:hAnsi="Times New Roman" w:eastAsia="宋体" w:cs="Times New Roman"/>
                <w:kern w:val="0"/>
                <w:sz w:val="21"/>
                <w:szCs w:val="21"/>
                <w:lang w:bidi="ar"/>
              </w:rPr>
            </w:pPr>
            <w:r>
              <w:rPr>
                <w:rFonts w:hint="default" w:ascii="Times New Roman" w:hAnsi="Times New Roman" w:eastAsia="宋体" w:cs="Times New Roman"/>
                <w:kern w:val="0"/>
                <w:sz w:val="21"/>
                <w:szCs w:val="21"/>
                <w:lang w:bidi="ar"/>
              </w:rPr>
              <w:t>团粒</w:t>
            </w:r>
          </w:p>
        </w:tc>
        <w:tc>
          <w:tcPr>
            <w:tcW w:w="801" w:type="dxa"/>
            <w:vAlign w:val="center"/>
          </w:tcPr>
          <w:p w14:paraId="587503B1">
            <w:pPr>
              <w:widowControl/>
              <w:jc w:val="center"/>
              <w:textAlignment w:val="center"/>
              <w:rPr>
                <w:rFonts w:hint="default" w:ascii="Times New Roman" w:hAnsi="Times New Roman" w:eastAsia="宋体" w:cs="Times New Roman"/>
                <w:kern w:val="0"/>
                <w:sz w:val="21"/>
                <w:szCs w:val="21"/>
                <w:lang w:bidi="ar"/>
              </w:rPr>
            </w:pPr>
            <w:r>
              <w:rPr>
                <w:rFonts w:hint="default" w:ascii="Times New Roman" w:hAnsi="Times New Roman" w:eastAsia="宋体" w:cs="Times New Roman"/>
                <w:kern w:val="0"/>
                <w:sz w:val="21"/>
                <w:szCs w:val="21"/>
                <w:lang w:bidi="ar"/>
              </w:rPr>
              <w:t>团粒</w:t>
            </w:r>
          </w:p>
        </w:tc>
        <w:tc>
          <w:tcPr>
            <w:tcW w:w="801" w:type="dxa"/>
            <w:vAlign w:val="center"/>
          </w:tcPr>
          <w:p w14:paraId="08A45281">
            <w:pPr>
              <w:widowControl/>
              <w:jc w:val="center"/>
              <w:textAlignment w:val="center"/>
              <w:rPr>
                <w:rFonts w:hint="default" w:ascii="Times New Roman" w:hAnsi="Times New Roman" w:eastAsia="宋体" w:cs="Times New Roman"/>
                <w:kern w:val="0"/>
                <w:sz w:val="21"/>
                <w:szCs w:val="21"/>
                <w:lang w:bidi="ar"/>
              </w:rPr>
            </w:pPr>
            <w:r>
              <w:rPr>
                <w:rFonts w:hint="default" w:ascii="Times New Roman" w:hAnsi="Times New Roman" w:eastAsia="宋体" w:cs="Times New Roman"/>
                <w:kern w:val="0"/>
                <w:sz w:val="21"/>
                <w:szCs w:val="21"/>
                <w:lang w:bidi="ar"/>
              </w:rPr>
              <w:t>团粒</w:t>
            </w:r>
          </w:p>
        </w:tc>
        <w:tc>
          <w:tcPr>
            <w:tcW w:w="802" w:type="dxa"/>
            <w:vAlign w:val="center"/>
          </w:tcPr>
          <w:p w14:paraId="4AE74F18">
            <w:pPr>
              <w:widowControl/>
              <w:jc w:val="center"/>
              <w:textAlignment w:val="center"/>
              <w:rPr>
                <w:rFonts w:hint="default" w:ascii="Times New Roman" w:hAnsi="Times New Roman" w:eastAsia="宋体" w:cs="Times New Roman"/>
                <w:kern w:val="0"/>
                <w:sz w:val="21"/>
                <w:szCs w:val="21"/>
                <w:lang w:bidi="ar"/>
              </w:rPr>
            </w:pPr>
            <w:r>
              <w:rPr>
                <w:rFonts w:hint="default" w:ascii="Times New Roman" w:hAnsi="Times New Roman" w:eastAsia="宋体" w:cs="Times New Roman"/>
                <w:kern w:val="0"/>
                <w:sz w:val="21"/>
                <w:szCs w:val="21"/>
                <w:lang w:bidi="ar"/>
              </w:rPr>
              <w:t>团粒</w:t>
            </w:r>
          </w:p>
        </w:tc>
      </w:tr>
      <w:tr w14:paraId="6F8099B0">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15" w:type="dxa"/>
            <w:left w:w="15" w:type="dxa"/>
            <w:bottom w:w="15" w:type="dxa"/>
            <w:right w:w="15" w:type="dxa"/>
          </w:tblCellMar>
        </w:tblPrEx>
        <w:trPr>
          <w:trHeight w:val="340" w:hRule="atLeast"/>
          <w:jc w:val="center"/>
        </w:trPr>
        <w:tc>
          <w:tcPr>
            <w:tcW w:w="880" w:type="dxa"/>
            <w:vMerge w:val="continue"/>
            <w:vAlign w:val="center"/>
          </w:tcPr>
          <w:p w14:paraId="4D95E9A6">
            <w:pPr>
              <w:jc w:val="center"/>
              <w:rPr>
                <w:rFonts w:hint="default" w:ascii="Times New Roman" w:hAnsi="Times New Roman" w:eastAsia="宋体" w:cs="Times New Roman"/>
                <w:sz w:val="21"/>
                <w:szCs w:val="21"/>
              </w:rPr>
            </w:pPr>
          </w:p>
        </w:tc>
        <w:tc>
          <w:tcPr>
            <w:tcW w:w="2578" w:type="dxa"/>
            <w:vAlign w:val="center"/>
          </w:tcPr>
          <w:p w14:paraId="0B31607F">
            <w:pPr>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质地</w:t>
            </w:r>
          </w:p>
        </w:tc>
        <w:tc>
          <w:tcPr>
            <w:tcW w:w="801" w:type="dxa"/>
            <w:vAlign w:val="center"/>
          </w:tcPr>
          <w:p w14:paraId="004F9DCA">
            <w:pPr>
              <w:spacing w:line="240" w:lineRule="auto"/>
              <w:jc w:val="center"/>
              <w:rPr>
                <w:rFonts w:hint="default" w:ascii="Times New Roman" w:hAnsi="Times New Roman" w:eastAsia="宋体" w:cs="Times New Roman"/>
                <w:kern w:val="0"/>
                <w:sz w:val="21"/>
                <w:szCs w:val="21"/>
                <w:lang w:bidi="ar"/>
              </w:rPr>
            </w:pPr>
            <w:r>
              <w:rPr>
                <w:rFonts w:hint="default" w:ascii="Times New Roman" w:hAnsi="Times New Roman" w:cs="Times New Roman"/>
                <w:sz w:val="21"/>
                <w:szCs w:val="21"/>
                <w:highlight w:val="none"/>
                <w:lang w:val="en-US" w:eastAsia="zh-CN"/>
              </w:rPr>
              <w:t>砂壤土</w:t>
            </w:r>
          </w:p>
        </w:tc>
        <w:tc>
          <w:tcPr>
            <w:tcW w:w="801" w:type="dxa"/>
            <w:vAlign w:val="center"/>
          </w:tcPr>
          <w:p w14:paraId="096503F6">
            <w:pPr>
              <w:spacing w:line="240" w:lineRule="auto"/>
              <w:jc w:val="center"/>
              <w:rPr>
                <w:rFonts w:hint="default" w:ascii="Times New Roman" w:hAnsi="Times New Roman" w:eastAsia="宋体" w:cs="Times New Roman"/>
                <w:sz w:val="21"/>
                <w:szCs w:val="21"/>
              </w:rPr>
            </w:pPr>
            <w:r>
              <w:rPr>
                <w:rFonts w:hint="default" w:ascii="Times New Roman" w:hAnsi="Times New Roman" w:cs="Times New Roman"/>
                <w:sz w:val="21"/>
                <w:szCs w:val="21"/>
                <w:highlight w:val="none"/>
                <w:lang w:val="en-US" w:eastAsia="zh-CN"/>
              </w:rPr>
              <w:t>轻</w:t>
            </w:r>
            <w:r>
              <w:rPr>
                <w:rFonts w:hint="default" w:ascii="Times New Roman" w:hAnsi="Times New Roman" w:cs="Times New Roman"/>
                <w:sz w:val="21"/>
                <w:szCs w:val="21"/>
                <w:highlight w:val="none"/>
                <w:lang w:eastAsia="zh-CN"/>
              </w:rPr>
              <w:t>壤</w:t>
            </w:r>
            <w:r>
              <w:rPr>
                <w:rFonts w:hint="default" w:ascii="Times New Roman" w:hAnsi="Times New Roman" w:cs="Times New Roman"/>
                <w:sz w:val="21"/>
                <w:szCs w:val="21"/>
                <w:highlight w:val="none"/>
              </w:rPr>
              <w:t>土</w:t>
            </w:r>
          </w:p>
        </w:tc>
        <w:tc>
          <w:tcPr>
            <w:tcW w:w="801" w:type="dxa"/>
            <w:vAlign w:val="center"/>
          </w:tcPr>
          <w:p w14:paraId="4873A385">
            <w:pPr>
              <w:spacing w:line="240" w:lineRule="auto"/>
              <w:jc w:val="center"/>
              <w:rPr>
                <w:rFonts w:hint="default" w:ascii="Times New Roman" w:hAnsi="Times New Roman" w:eastAsia="宋体" w:cs="Times New Roman"/>
                <w:sz w:val="21"/>
                <w:szCs w:val="21"/>
              </w:rPr>
            </w:pPr>
            <w:r>
              <w:rPr>
                <w:rFonts w:hint="default" w:ascii="Times New Roman" w:hAnsi="Times New Roman" w:cs="Times New Roman"/>
                <w:sz w:val="21"/>
                <w:szCs w:val="21"/>
                <w:highlight w:val="none"/>
                <w:lang w:val="en-US" w:eastAsia="zh-CN"/>
              </w:rPr>
              <w:t>中</w:t>
            </w:r>
            <w:r>
              <w:rPr>
                <w:rFonts w:hint="default" w:ascii="Times New Roman" w:hAnsi="Times New Roman" w:cs="Times New Roman"/>
                <w:sz w:val="21"/>
                <w:szCs w:val="21"/>
                <w:highlight w:val="none"/>
                <w:lang w:eastAsia="zh-CN"/>
              </w:rPr>
              <w:t>壤</w:t>
            </w:r>
            <w:r>
              <w:rPr>
                <w:rFonts w:hint="default" w:ascii="Times New Roman" w:hAnsi="Times New Roman" w:cs="Times New Roman"/>
                <w:sz w:val="21"/>
                <w:szCs w:val="21"/>
                <w:highlight w:val="none"/>
              </w:rPr>
              <w:t>土</w:t>
            </w:r>
          </w:p>
        </w:tc>
        <w:tc>
          <w:tcPr>
            <w:tcW w:w="801" w:type="dxa"/>
            <w:vAlign w:val="center"/>
          </w:tcPr>
          <w:p w14:paraId="728298B3">
            <w:pPr>
              <w:spacing w:line="240" w:lineRule="auto"/>
              <w:jc w:val="center"/>
              <w:rPr>
                <w:rFonts w:hint="default" w:ascii="Times New Roman" w:hAnsi="Times New Roman" w:eastAsia="宋体" w:cs="Times New Roman"/>
                <w:sz w:val="21"/>
                <w:szCs w:val="21"/>
              </w:rPr>
            </w:pPr>
            <w:r>
              <w:rPr>
                <w:rFonts w:hint="default" w:ascii="Times New Roman" w:hAnsi="Times New Roman" w:cs="Times New Roman"/>
                <w:sz w:val="21"/>
                <w:szCs w:val="21"/>
                <w:highlight w:val="none"/>
                <w:lang w:val="en-US" w:eastAsia="zh-CN"/>
              </w:rPr>
              <w:t>砂壤土</w:t>
            </w:r>
          </w:p>
        </w:tc>
        <w:tc>
          <w:tcPr>
            <w:tcW w:w="801" w:type="dxa"/>
            <w:vAlign w:val="center"/>
          </w:tcPr>
          <w:p w14:paraId="0C15304C">
            <w:pPr>
              <w:spacing w:line="240" w:lineRule="auto"/>
              <w:jc w:val="center"/>
              <w:rPr>
                <w:rFonts w:hint="default" w:ascii="Times New Roman" w:hAnsi="Times New Roman" w:eastAsia="宋体" w:cs="Times New Roman"/>
                <w:sz w:val="21"/>
                <w:szCs w:val="21"/>
              </w:rPr>
            </w:pPr>
            <w:r>
              <w:rPr>
                <w:rFonts w:hint="default" w:ascii="Times New Roman" w:hAnsi="Times New Roman" w:cs="Times New Roman"/>
                <w:sz w:val="21"/>
                <w:szCs w:val="21"/>
                <w:highlight w:val="none"/>
                <w:lang w:val="en-US" w:eastAsia="zh-CN"/>
              </w:rPr>
              <w:t>轻</w:t>
            </w:r>
            <w:r>
              <w:rPr>
                <w:rFonts w:hint="default" w:ascii="Times New Roman" w:hAnsi="Times New Roman" w:cs="Times New Roman"/>
                <w:sz w:val="21"/>
                <w:szCs w:val="21"/>
                <w:highlight w:val="none"/>
                <w:lang w:eastAsia="zh-CN"/>
              </w:rPr>
              <w:t>壤</w:t>
            </w:r>
            <w:r>
              <w:rPr>
                <w:rFonts w:hint="default" w:ascii="Times New Roman" w:hAnsi="Times New Roman" w:cs="Times New Roman"/>
                <w:sz w:val="21"/>
                <w:szCs w:val="21"/>
                <w:highlight w:val="none"/>
              </w:rPr>
              <w:t>土</w:t>
            </w:r>
          </w:p>
        </w:tc>
        <w:tc>
          <w:tcPr>
            <w:tcW w:w="802" w:type="dxa"/>
            <w:vAlign w:val="center"/>
          </w:tcPr>
          <w:p w14:paraId="5B8E05E1">
            <w:pPr>
              <w:spacing w:line="240" w:lineRule="auto"/>
              <w:jc w:val="center"/>
              <w:rPr>
                <w:rFonts w:hint="default" w:ascii="Times New Roman" w:hAnsi="Times New Roman" w:eastAsia="宋体" w:cs="Times New Roman"/>
                <w:sz w:val="21"/>
                <w:szCs w:val="21"/>
              </w:rPr>
            </w:pPr>
            <w:r>
              <w:rPr>
                <w:rFonts w:hint="default" w:ascii="Times New Roman" w:hAnsi="Times New Roman" w:cs="Times New Roman"/>
                <w:sz w:val="21"/>
                <w:szCs w:val="21"/>
                <w:highlight w:val="none"/>
                <w:lang w:val="en-US" w:eastAsia="zh-CN"/>
              </w:rPr>
              <w:t>中</w:t>
            </w:r>
            <w:r>
              <w:rPr>
                <w:rFonts w:hint="default" w:ascii="Times New Roman" w:hAnsi="Times New Roman" w:cs="Times New Roman"/>
                <w:sz w:val="21"/>
                <w:szCs w:val="21"/>
                <w:highlight w:val="none"/>
                <w:lang w:eastAsia="zh-CN"/>
              </w:rPr>
              <w:t>壤</w:t>
            </w:r>
            <w:r>
              <w:rPr>
                <w:rFonts w:hint="default" w:ascii="Times New Roman" w:hAnsi="Times New Roman" w:cs="Times New Roman"/>
                <w:sz w:val="21"/>
                <w:szCs w:val="21"/>
                <w:highlight w:val="none"/>
              </w:rPr>
              <w:t>土</w:t>
            </w:r>
          </w:p>
        </w:tc>
      </w:tr>
      <w:tr w14:paraId="4CB99A50">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15" w:type="dxa"/>
            <w:left w:w="15" w:type="dxa"/>
            <w:bottom w:w="15" w:type="dxa"/>
            <w:right w:w="15" w:type="dxa"/>
          </w:tblCellMar>
        </w:tblPrEx>
        <w:trPr>
          <w:trHeight w:val="340" w:hRule="atLeast"/>
          <w:jc w:val="center"/>
        </w:trPr>
        <w:tc>
          <w:tcPr>
            <w:tcW w:w="880" w:type="dxa"/>
            <w:vMerge w:val="continue"/>
            <w:vAlign w:val="center"/>
          </w:tcPr>
          <w:p w14:paraId="710EA8A7">
            <w:pPr>
              <w:jc w:val="center"/>
              <w:rPr>
                <w:rFonts w:hint="default" w:ascii="Times New Roman" w:hAnsi="Times New Roman" w:eastAsia="宋体" w:cs="Times New Roman"/>
                <w:sz w:val="21"/>
                <w:szCs w:val="21"/>
              </w:rPr>
            </w:pPr>
          </w:p>
        </w:tc>
        <w:tc>
          <w:tcPr>
            <w:tcW w:w="2578" w:type="dxa"/>
            <w:vAlign w:val="center"/>
          </w:tcPr>
          <w:p w14:paraId="5A69135D">
            <w:pPr>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其他异物</w:t>
            </w:r>
          </w:p>
        </w:tc>
        <w:tc>
          <w:tcPr>
            <w:tcW w:w="801" w:type="dxa"/>
            <w:vAlign w:val="center"/>
          </w:tcPr>
          <w:p w14:paraId="0C18CB01">
            <w:pPr>
              <w:spacing w:line="240" w:lineRule="auto"/>
              <w:jc w:val="center"/>
              <w:rPr>
                <w:rFonts w:hint="default" w:ascii="Times New Roman" w:hAnsi="Times New Roman" w:eastAsia="宋体" w:cs="Times New Roman"/>
                <w:kern w:val="0"/>
                <w:sz w:val="21"/>
                <w:szCs w:val="21"/>
                <w:lang w:bidi="ar"/>
              </w:rPr>
            </w:pPr>
            <w:r>
              <w:rPr>
                <w:rFonts w:hint="default" w:ascii="Times New Roman" w:hAnsi="Times New Roman" w:cs="Times New Roman"/>
                <w:color w:val="auto"/>
                <w:sz w:val="21"/>
                <w:szCs w:val="21"/>
                <w:highlight w:val="none"/>
                <w:lang w:val="en-US" w:eastAsia="zh-CN"/>
              </w:rPr>
              <w:t>无根系</w:t>
            </w:r>
          </w:p>
        </w:tc>
        <w:tc>
          <w:tcPr>
            <w:tcW w:w="801" w:type="dxa"/>
            <w:vAlign w:val="center"/>
          </w:tcPr>
          <w:p w14:paraId="2E308E47">
            <w:pPr>
              <w:spacing w:line="240" w:lineRule="auto"/>
              <w:jc w:val="center"/>
              <w:rPr>
                <w:rFonts w:hint="default" w:ascii="Times New Roman" w:hAnsi="Times New Roman" w:eastAsia="宋体" w:cs="Times New Roman"/>
                <w:sz w:val="21"/>
                <w:szCs w:val="21"/>
              </w:rPr>
            </w:pPr>
            <w:r>
              <w:rPr>
                <w:rFonts w:hint="default" w:ascii="Times New Roman" w:hAnsi="Times New Roman" w:cs="Times New Roman"/>
                <w:color w:val="auto"/>
                <w:sz w:val="21"/>
                <w:szCs w:val="21"/>
                <w:highlight w:val="none"/>
                <w:lang w:val="en-US" w:eastAsia="zh-CN"/>
              </w:rPr>
              <w:t>少量根系</w:t>
            </w:r>
          </w:p>
        </w:tc>
        <w:tc>
          <w:tcPr>
            <w:tcW w:w="801" w:type="dxa"/>
            <w:vAlign w:val="center"/>
          </w:tcPr>
          <w:p w14:paraId="6AE59ED0">
            <w:pPr>
              <w:spacing w:line="240" w:lineRule="auto"/>
              <w:jc w:val="center"/>
              <w:rPr>
                <w:rFonts w:hint="default" w:ascii="Times New Roman" w:hAnsi="Times New Roman" w:eastAsia="宋体" w:cs="Times New Roman"/>
                <w:kern w:val="0"/>
                <w:sz w:val="21"/>
                <w:szCs w:val="21"/>
                <w:lang w:bidi="ar"/>
              </w:rPr>
            </w:pPr>
            <w:r>
              <w:rPr>
                <w:rFonts w:hint="default" w:ascii="Times New Roman" w:hAnsi="Times New Roman" w:cs="Times New Roman"/>
                <w:color w:val="auto"/>
                <w:sz w:val="21"/>
                <w:szCs w:val="21"/>
                <w:highlight w:val="none"/>
                <w:lang w:val="en-US" w:eastAsia="zh-CN"/>
              </w:rPr>
              <w:t>少量根系</w:t>
            </w:r>
          </w:p>
        </w:tc>
        <w:tc>
          <w:tcPr>
            <w:tcW w:w="801" w:type="dxa"/>
            <w:vAlign w:val="center"/>
          </w:tcPr>
          <w:p w14:paraId="5EDD18EB">
            <w:pPr>
              <w:spacing w:line="240" w:lineRule="auto"/>
              <w:jc w:val="center"/>
              <w:rPr>
                <w:rFonts w:hint="default" w:ascii="Times New Roman" w:hAnsi="Times New Roman" w:eastAsia="宋体" w:cs="Times New Roman"/>
                <w:kern w:val="0"/>
                <w:sz w:val="21"/>
                <w:szCs w:val="21"/>
                <w:lang w:bidi="ar"/>
              </w:rPr>
            </w:pPr>
            <w:r>
              <w:rPr>
                <w:rFonts w:hint="default" w:ascii="Times New Roman" w:hAnsi="Times New Roman" w:cs="Times New Roman"/>
                <w:color w:val="auto"/>
                <w:sz w:val="21"/>
                <w:szCs w:val="21"/>
                <w:highlight w:val="none"/>
                <w:lang w:val="en-US" w:eastAsia="zh-CN"/>
              </w:rPr>
              <w:t>无根系</w:t>
            </w:r>
          </w:p>
        </w:tc>
        <w:tc>
          <w:tcPr>
            <w:tcW w:w="801" w:type="dxa"/>
            <w:vAlign w:val="center"/>
          </w:tcPr>
          <w:p w14:paraId="6697B459">
            <w:pPr>
              <w:spacing w:line="240" w:lineRule="auto"/>
              <w:jc w:val="center"/>
              <w:rPr>
                <w:rFonts w:hint="default" w:ascii="Times New Roman" w:hAnsi="Times New Roman" w:eastAsia="宋体" w:cs="Times New Roman"/>
                <w:kern w:val="0"/>
                <w:sz w:val="21"/>
                <w:szCs w:val="21"/>
                <w:lang w:bidi="ar"/>
              </w:rPr>
            </w:pPr>
            <w:r>
              <w:rPr>
                <w:rFonts w:hint="default" w:ascii="Times New Roman" w:hAnsi="Times New Roman" w:cs="Times New Roman"/>
                <w:color w:val="auto"/>
                <w:sz w:val="21"/>
                <w:szCs w:val="21"/>
                <w:highlight w:val="none"/>
                <w:lang w:val="en-US" w:eastAsia="zh-CN"/>
              </w:rPr>
              <w:t>少量根系</w:t>
            </w:r>
          </w:p>
        </w:tc>
        <w:tc>
          <w:tcPr>
            <w:tcW w:w="802" w:type="dxa"/>
            <w:vAlign w:val="center"/>
          </w:tcPr>
          <w:p w14:paraId="22CDDEF9">
            <w:pPr>
              <w:spacing w:line="240" w:lineRule="auto"/>
              <w:jc w:val="center"/>
              <w:rPr>
                <w:rFonts w:hint="default" w:ascii="Times New Roman" w:hAnsi="Times New Roman" w:eastAsia="宋体" w:cs="Times New Roman"/>
                <w:kern w:val="0"/>
                <w:sz w:val="21"/>
                <w:szCs w:val="21"/>
                <w:lang w:bidi="ar"/>
              </w:rPr>
            </w:pPr>
            <w:r>
              <w:rPr>
                <w:rFonts w:hint="default" w:ascii="Times New Roman" w:hAnsi="Times New Roman" w:cs="Times New Roman"/>
                <w:color w:val="auto"/>
                <w:sz w:val="21"/>
                <w:szCs w:val="21"/>
                <w:highlight w:val="none"/>
                <w:lang w:val="en-US" w:eastAsia="zh-CN"/>
              </w:rPr>
              <w:t>少量根系</w:t>
            </w:r>
          </w:p>
        </w:tc>
      </w:tr>
      <w:tr w14:paraId="3A6ABFBE">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15" w:type="dxa"/>
            <w:left w:w="15" w:type="dxa"/>
            <w:bottom w:w="15" w:type="dxa"/>
            <w:right w:w="15" w:type="dxa"/>
          </w:tblCellMar>
        </w:tblPrEx>
        <w:trPr>
          <w:trHeight w:val="340" w:hRule="atLeast"/>
          <w:jc w:val="center"/>
        </w:trPr>
        <w:tc>
          <w:tcPr>
            <w:tcW w:w="880" w:type="dxa"/>
            <w:vMerge w:val="restart"/>
            <w:vAlign w:val="center"/>
          </w:tcPr>
          <w:p w14:paraId="566F1299">
            <w:pPr>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实验室测定</w:t>
            </w:r>
          </w:p>
        </w:tc>
        <w:tc>
          <w:tcPr>
            <w:tcW w:w="2578" w:type="dxa"/>
            <w:vAlign w:val="center"/>
          </w:tcPr>
          <w:p w14:paraId="01FC6AC7">
            <w:pPr>
              <w:widowControl/>
              <w:spacing w:line="240" w:lineRule="auto"/>
              <w:ind w:firstLine="0" w:firstLineChars="0"/>
              <w:jc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rPr>
              <w:t>阳离子交换量</w:t>
            </w:r>
            <w:r>
              <w:rPr>
                <w:rFonts w:hint="default" w:ascii="Times New Roman" w:hAnsi="Times New Roman" w:eastAsia="宋体" w:cs="Times New Roman"/>
                <w:kern w:val="0"/>
                <w:sz w:val="21"/>
                <w:szCs w:val="21"/>
                <w:lang w:eastAsia="zh-CN"/>
              </w:rPr>
              <w:t>（</w:t>
            </w:r>
            <w:r>
              <w:rPr>
                <w:rFonts w:hint="default" w:ascii="Times New Roman" w:hAnsi="Times New Roman" w:eastAsia="宋体" w:cs="Times New Roman"/>
                <w:color w:val="auto"/>
                <w:kern w:val="0"/>
                <w:sz w:val="21"/>
                <w:szCs w:val="21"/>
                <w:lang w:val="en-US" w:eastAsia="zh-CN" w:bidi="ar-SA"/>
              </w:rPr>
              <w:t>cmol</w:t>
            </w:r>
            <w:r>
              <w:rPr>
                <w:rFonts w:hint="default" w:ascii="Times New Roman" w:hAnsi="Times New Roman" w:eastAsia="宋体" w:cs="Times New Roman"/>
                <w:color w:val="auto"/>
                <w:kern w:val="0"/>
                <w:sz w:val="21"/>
                <w:szCs w:val="21"/>
                <w:vertAlign w:val="superscript"/>
                <w:lang w:val="en-US" w:eastAsia="zh-CN" w:bidi="ar-SA"/>
              </w:rPr>
              <w:t>+</w:t>
            </w:r>
            <w:r>
              <w:rPr>
                <w:rFonts w:hint="default" w:ascii="Times New Roman" w:hAnsi="Times New Roman" w:eastAsia="宋体" w:cs="Times New Roman"/>
                <w:color w:val="auto"/>
                <w:kern w:val="0"/>
                <w:sz w:val="21"/>
                <w:szCs w:val="21"/>
                <w:lang w:val="en-US" w:eastAsia="zh-CN" w:bidi="ar-SA"/>
              </w:rPr>
              <w:t>/kg</w:t>
            </w:r>
            <w:r>
              <w:rPr>
                <w:rFonts w:hint="default" w:ascii="Times New Roman" w:hAnsi="Times New Roman" w:eastAsia="宋体" w:cs="Times New Roman"/>
                <w:kern w:val="0"/>
                <w:sz w:val="21"/>
                <w:szCs w:val="21"/>
                <w:lang w:eastAsia="zh-CN"/>
              </w:rPr>
              <w:t>）</w:t>
            </w:r>
          </w:p>
        </w:tc>
        <w:tc>
          <w:tcPr>
            <w:tcW w:w="801" w:type="dxa"/>
            <w:vAlign w:val="center"/>
          </w:tcPr>
          <w:p w14:paraId="4B98F436">
            <w:pPr>
              <w:tabs>
                <w:tab w:val="left" w:pos="3794"/>
                <w:tab w:val="left" w:pos="7380"/>
              </w:tabs>
              <w:adjustRightInd w:val="0"/>
              <w:snapToGrid w:val="0"/>
              <w:spacing w:line="240" w:lineRule="atLeast"/>
              <w:jc w:val="center"/>
              <w:rPr>
                <w:rFonts w:hint="default" w:ascii="Times New Roman" w:hAnsi="Times New Roman" w:eastAsia="宋体" w:cs="Times New Roman"/>
                <w:sz w:val="21"/>
                <w:szCs w:val="21"/>
              </w:rPr>
            </w:pPr>
            <w:r>
              <w:rPr>
                <w:rFonts w:hint="default" w:ascii="Times New Roman" w:hAnsi="Times New Roman" w:cs="Times New Roman"/>
                <w:i w:val="0"/>
                <w:iCs w:val="0"/>
                <w:color w:val="000000"/>
                <w:kern w:val="0"/>
                <w:sz w:val="21"/>
                <w:szCs w:val="21"/>
                <w:u w:val="none"/>
                <w:lang w:val="en-US" w:eastAsia="zh-CN" w:bidi="ar"/>
              </w:rPr>
              <w:t>12.62</w:t>
            </w:r>
          </w:p>
        </w:tc>
        <w:tc>
          <w:tcPr>
            <w:tcW w:w="801" w:type="dxa"/>
            <w:vAlign w:val="center"/>
          </w:tcPr>
          <w:p w14:paraId="45DDA3FF">
            <w:pPr>
              <w:tabs>
                <w:tab w:val="left" w:pos="3794"/>
                <w:tab w:val="left" w:pos="7380"/>
              </w:tabs>
              <w:adjustRightInd w:val="0"/>
              <w:snapToGrid w:val="0"/>
              <w:spacing w:line="240" w:lineRule="atLeast"/>
              <w:jc w:val="center"/>
              <w:rPr>
                <w:rFonts w:hint="default" w:ascii="Times New Roman" w:hAnsi="Times New Roman" w:eastAsia="宋体" w:cs="Times New Roman"/>
                <w:sz w:val="21"/>
                <w:szCs w:val="21"/>
              </w:rPr>
            </w:pPr>
            <w:r>
              <w:rPr>
                <w:rFonts w:hint="default" w:ascii="Times New Roman" w:hAnsi="Times New Roman" w:eastAsia="宋体" w:cs="Times New Roman"/>
                <w:i w:val="0"/>
                <w:iCs w:val="0"/>
                <w:color w:val="000000"/>
                <w:kern w:val="0"/>
                <w:sz w:val="21"/>
                <w:szCs w:val="21"/>
                <w:u w:val="none"/>
                <w:lang w:val="en-US" w:eastAsia="zh-CN" w:bidi="ar"/>
              </w:rPr>
              <w:t>12.67</w:t>
            </w:r>
          </w:p>
        </w:tc>
        <w:tc>
          <w:tcPr>
            <w:tcW w:w="801" w:type="dxa"/>
            <w:vAlign w:val="center"/>
          </w:tcPr>
          <w:p w14:paraId="4DF2A050">
            <w:pPr>
              <w:tabs>
                <w:tab w:val="left" w:pos="3794"/>
                <w:tab w:val="left" w:pos="7380"/>
              </w:tabs>
              <w:adjustRightInd w:val="0"/>
              <w:snapToGrid w:val="0"/>
              <w:spacing w:line="240" w:lineRule="atLeast"/>
              <w:jc w:val="center"/>
              <w:rPr>
                <w:rFonts w:hint="default" w:ascii="Times New Roman" w:hAnsi="Times New Roman" w:eastAsia="宋体" w:cs="Times New Roman"/>
                <w:sz w:val="21"/>
                <w:szCs w:val="21"/>
              </w:rPr>
            </w:pPr>
            <w:r>
              <w:rPr>
                <w:rFonts w:hint="default" w:ascii="Times New Roman" w:hAnsi="Times New Roman" w:eastAsia="宋体" w:cs="Times New Roman"/>
                <w:i w:val="0"/>
                <w:iCs w:val="0"/>
                <w:color w:val="000000"/>
                <w:kern w:val="0"/>
                <w:sz w:val="21"/>
                <w:szCs w:val="21"/>
                <w:u w:val="none"/>
                <w:lang w:val="en-US" w:eastAsia="zh-CN" w:bidi="ar"/>
              </w:rPr>
              <w:t>12.90</w:t>
            </w:r>
          </w:p>
        </w:tc>
        <w:tc>
          <w:tcPr>
            <w:tcW w:w="801" w:type="dxa"/>
            <w:vAlign w:val="center"/>
          </w:tcPr>
          <w:p w14:paraId="67D7C5D0">
            <w:pPr>
              <w:tabs>
                <w:tab w:val="left" w:pos="3794"/>
                <w:tab w:val="left" w:pos="7380"/>
              </w:tabs>
              <w:adjustRightInd w:val="0"/>
              <w:snapToGrid w:val="0"/>
              <w:spacing w:line="240" w:lineRule="atLeast"/>
              <w:jc w:val="center"/>
              <w:rPr>
                <w:rFonts w:hint="default" w:ascii="Times New Roman" w:hAnsi="Times New Roman" w:eastAsia="宋体" w:cs="Times New Roman"/>
                <w:sz w:val="21"/>
                <w:szCs w:val="21"/>
              </w:rPr>
            </w:pPr>
            <w:r>
              <w:rPr>
                <w:rFonts w:hint="default" w:ascii="Times New Roman" w:hAnsi="Times New Roman" w:eastAsia="宋体" w:cs="Times New Roman"/>
                <w:i w:val="0"/>
                <w:iCs w:val="0"/>
                <w:color w:val="000000"/>
                <w:kern w:val="0"/>
                <w:sz w:val="21"/>
                <w:szCs w:val="21"/>
                <w:u w:val="none"/>
                <w:lang w:val="en-US" w:eastAsia="zh-CN" w:bidi="ar"/>
              </w:rPr>
              <w:t>12.46</w:t>
            </w:r>
          </w:p>
        </w:tc>
        <w:tc>
          <w:tcPr>
            <w:tcW w:w="801" w:type="dxa"/>
            <w:vAlign w:val="center"/>
          </w:tcPr>
          <w:p w14:paraId="7357CEF0">
            <w:pPr>
              <w:tabs>
                <w:tab w:val="left" w:pos="3794"/>
                <w:tab w:val="left" w:pos="7380"/>
              </w:tabs>
              <w:adjustRightInd w:val="0"/>
              <w:snapToGrid w:val="0"/>
              <w:spacing w:line="240" w:lineRule="atLeast"/>
              <w:jc w:val="center"/>
              <w:rPr>
                <w:rFonts w:hint="default" w:ascii="Times New Roman" w:hAnsi="Times New Roman" w:eastAsia="宋体" w:cs="Times New Roman"/>
                <w:sz w:val="21"/>
                <w:szCs w:val="21"/>
              </w:rPr>
            </w:pPr>
            <w:r>
              <w:rPr>
                <w:rFonts w:hint="default" w:ascii="Times New Roman" w:hAnsi="Times New Roman" w:eastAsia="宋体" w:cs="Times New Roman"/>
                <w:i w:val="0"/>
                <w:iCs w:val="0"/>
                <w:color w:val="000000"/>
                <w:kern w:val="0"/>
                <w:sz w:val="21"/>
                <w:szCs w:val="21"/>
                <w:u w:val="none"/>
                <w:lang w:val="en-US" w:eastAsia="zh-CN" w:bidi="ar"/>
              </w:rPr>
              <w:t>12.63</w:t>
            </w:r>
          </w:p>
        </w:tc>
        <w:tc>
          <w:tcPr>
            <w:tcW w:w="802" w:type="dxa"/>
            <w:vAlign w:val="center"/>
          </w:tcPr>
          <w:p w14:paraId="501A7B4E">
            <w:pPr>
              <w:tabs>
                <w:tab w:val="left" w:pos="3794"/>
                <w:tab w:val="left" w:pos="7380"/>
              </w:tabs>
              <w:adjustRightInd w:val="0"/>
              <w:snapToGrid w:val="0"/>
              <w:spacing w:line="240" w:lineRule="atLeast"/>
              <w:jc w:val="center"/>
              <w:rPr>
                <w:rFonts w:hint="default" w:ascii="Times New Roman" w:hAnsi="Times New Roman" w:eastAsia="宋体" w:cs="Times New Roman"/>
                <w:sz w:val="21"/>
                <w:szCs w:val="21"/>
              </w:rPr>
            </w:pPr>
            <w:r>
              <w:rPr>
                <w:rFonts w:hint="default" w:ascii="Times New Roman" w:hAnsi="Times New Roman" w:cs="Times New Roman"/>
                <w:kern w:val="0"/>
                <w:sz w:val="21"/>
                <w:szCs w:val="21"/>
                <w:lang w:val="en-US" w:eastAsia="zh-CN"/>
              </w:rPr>
              <w:t>12.71</w:t>
            </w:r>
          </w:p>
        </w:tc>
      </w:tr>
      <w:tr w14:paraId="6AD80CAC">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15" w:type="dxa"/>
            <w:left w:w="15" w:type="dxa"/>
            <w:bottom w:w="15" w:type="dxa"/>
            <w:right w:w="15" w:type="dxa"/>
          </w:tblCellMar>
        </w:tblPrEx>
        <w:trPr>
          <w:trHeight w:val="348" w:hRule="atLeast"/>
          <w:jc w:val="center"/>
        </w:trPr>
        <w:tc>
          <w:tcPr>
            <w:tcW w:w="880" w:type="dxa"/>
            <w:vMerge w:val="continue"/>
            <w:vAlign w:val="center"/>
          </w:tcPr>
          <w:p w14:paraId="7810B0BA">
            <w:pPr>
              <w:jc w:val="center"/>
              <w:rPr>
                <w:rFonts w:hint="default" w:ascii="Times New Roman" w:hAnsi="Times New Roman" w:eastAsia="宋体" w:cs="Times New Roman"/>
                <w:sz w:val="21"/>
                <w:szCs w:val="21"/>
              </w:rPr>
            </w:pPr>
          </w:p>
        </w:tc>
        <w:tc>
          <w:tcPr>
            <w:tcW w:w="2578" w:type="dxa"/>
            <w:vAlign w:val="center"/>
          </w:tcPr>
          <w:p w14:paraId="3358BE8B">
            <w:pPr>
              <w:widowControl/>
              <w:spacing w:line="240" w:lineRule="auto"/>
              <w:ind w:firstLine="0" w:firstLineChars="0"/>
              <w:jc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rPr>
              <w:t>氧化还原电位</w:t>
            </w:r>
            <w:r>
              <w:rPr>
                <w:rFonts w:hint="default" w:ascii="Times New Roman" w:hAnsi="Times New Roman" w:eastAsia="宋体" w:cs="Times New Roman"/>
                <w:kern w:val="0"/>
                <w:sz w:val="21"/>
                <w:szCs w:val="21"/>
                <w:lang w:eastAsia="zh-CN"/>
              </w:rPr>
              <w:t>（</w:t>
            </w:r>
            <w:r>
              <w:rPr>
                <w:rFonts w:hint="default" w:ascii="Times New Roman" w:hAnsi="Times New Roman" w:eastAsia="宋体" w:cs="Times New Roman"/>
                <w:color w:val="auto"/>
                <w:kern w:val="0"/>
                <w:sz w:val="21"/>
                <w:szCs w:val="21"/>
                <w:lang w:val="en-US" w:eastAsia="zh-CN" w:bidi="ar-SA"/>
              </w:rPr>
              <w:t>mV</w:t>
            </w:r>
            <w:r>
              <w:rPr>
                <w:rFonts w:hint="default" w:ascii="Times New Roman" w:hAnsi="Times New Roman" w:eastAsia="宋体" w:cs="Times New Roman"/>
                <w:kern w:val="0"/>
                <w:sz w:val="21"/>
                <w:szCs w:val="21"/>
                <w:lang w:eastAsia="zh-CN"/>
              </w:rPr>
              <w:t>）</w:t>
            </w:r>
          </w:p>
        </w:tc>
        <w:tc>
          <w:tcPr>
            <w:tcW w:w="801" w:type="dxa"/>
            <w:vAlign w:val="center"/>
          </w:tcPr>
          <w:p w14:paraId="6E9299F5">
            <w:pPr>
              <w:tabs>
                <w:tab w:val="left" w:pos="3794"/>
                <w:tab w:val="left" w:pos="7380"/>
              </w:tabs>
              <w:adjustRightInd w:val="0"/>
              <w:snapToGrid w:val="0"/>
              <w:spacing w:line="240" w:lineRule="atLeast"/>
              <w:jc w:val="center"/>
              <w:rPr>
                <w:rFonts w:hint="default" w:ascii="Times New Roman" w:hAnsi="Times New Roman" w:eastAsia="宋体" w:cs="Times New Roman"/>
                <w:sz w:val="21"/>
                <w:szCs w:val="21"/>
              </w:rPr>
            </w:pPr>
            <w:r>
              <w:rPr>
                <w:rFonts w:hint="default" w:ascii="Times New Roman" w:hAnsi="Times New Roman" w:cs="Times New Roman"/>
                <w:i w:val="0"/>
                <w:iCs w:val="0"/>
                <w:color w:val="000000"/>
                <w:kern w:val="0"/>
                <w:sz w:val="21"/>
                <w:szCs w:val="21"/>
                <w:u w:val="none"/>
                <w:lang w:val="en-US" w:eastAsia="zh-CN" w:bidi="ar"/>
              </w:rPr>
              <w:t>340</w:t>
            </w:r>
          </w:p>
        </w:tc>
        <w:tc>
          <w:tcPr>
            <w:tcW w:w="801" w:type="dxa"/>
            <w:vAlign w:val="center"/>
          </w:tcPr>
          <w:p w14:paraId="09294671">
            <w:pPr>
              <w:tabs>
                <w:tab w:val="left" w:pos="3794"/>
                <w:tab w:val="left" w:pos="7380"/>
              </w:tabs>
              <w:adjustRightInd w:val="0"/>
              <w:snapToGrid w:val="0"/>
              <w:spacing w:line="240" w:lineRule="atLeast"/>
              <w:jc w:val="center"/>
              <w:rPr>
                <w:rFonts w:hint="default" w:ascii="Times New Roman" w:hAnsi="Times New Roman" w:eastAsia="宋体" w:cs="Times New Roman"/>
                <w:sz w:val="21"/>
                <w:szCs w:val="21"/>
              </w:rPr>
            </w:pPr>
            <w:r>
              <w:rPr>
                <w:rFonts w:hint="default" w:ascii="Times New Roman" w:hAnsi="Times New Roman" w:cs="Times New Roman"/>
                <w:kern w:val="0"/>
                <w:sz w:val="21"/>
                <w:szCs w:val="21"/>
                <w:lang w:val="en-US" w:eastAsia="zh-CN"/>
              </w:rPr>
              <w:t>222</w:t>
            </w:r>
          </w:p>
        </w:tc>
        <w:tc>
          <w:tcPr>
            <w:tcW w:w="801" w:type="dxa"/>
            <w:vAlign w:val="center"/>
          </w:tcPr>
          <w:p w14:paraId="6D8FEF19">
            <w:pPr>
              <w:tabs>
                <w:tab w:val="left" w:pos="3794"/>
                <w:tab w:val="left" w:pos="7380"/>
              </w:tabs>
              <w:adjustRightInd w:val="0"/>
              <w:snapToGrid w:val="0"/>
              <w:spacing w:line="240" w:lineRule="atLeast"/>
              <w:jc w:val="center"/>
              <w:rPr>
                <w:rFonts w:hint="default" w:ascii="Times New Roman" w:hAnsi="Times New Roman" w:eastAsia="宋体" w:cs="Times New Roman"/>
                <w:sz w:val="21"/>
                <w:szCs w:val="21"/>
              </w:rPr>
            </w:pPr>
            <w:r>
              <w:rPr>
                <w:rFonts w:hint="default" w:ascii="Times New Roman" w:hAnsi="Times New Roman" w:cs="Times New Roman"/>
                <w:kern w:val="0"/>
                <w:sz w:val="21"/>
                <w:szCs w:val="21"/>
                <w:lang w:val="en-US" w:eastAsia="zh-CN"/>
              </w:rPr>
              <w:t>145</w:t>
            </w:r>
          </w:p>
        </w:tc>
        <w:tc>
          <w:tcPr>
            <w:tcW w:w="801" w:type="dxa"/>
            <w:vAlign w:val="center"/>
          </w:tcPr>
          <w:p w14:paraId="1480B353">
            <w:pPr>
              <w:tabs>
                <w:tab w:val="left" w:pos="3794"/>
                <w:tab w:val="left" w:pos="7380"/>
              </w:tabs>
              <w:adjustRightInd w:val="0"/>
              <w:snapToGrid w:val="0"/>
              <w:spacing w:line="240" w:lineRule="atLeast"/>
              <w:jc w:val="center"/>
              <w:rPr>
                <w:rFonts w:hint="default" w:ascii="Times New Roman" w:hAnsi="Times New Roman" w:eastAsia="宋体" w:cs="Times New Roman"/>
                <w:sz w:val="21"/>
                <w:szCs w:val="21"/>
              </w:rPr>
            </w:pPr>
            <w:r>
              <w:rPr>
                <w:rFonts w:hint="default" w:ascii="Times New Roman" w:hAnsi="Times New Roman" w:cs="Times New Roman"/>
                <w:kern w:val="0"/>
                <w:sz w:val="21"/>
                <w:szCs w:val="21"/>
                <w:lang w:val="en-US" w:eastAsia="zh-CN"/>
              </w:rPr>
              <w:t>324</w:t>
            </w:r>
          </w:p>
        </w:tc>
        <w:tc>
          <w:tcPr>
            <w:tcW w:w="801" w:type="dxa"/>
            <w:vAlign w:val="center"/>
          </w:tcPr>
          <w:p w14:paraId="489EF6CD">
            <w:pPr>
              <w:tabs>
                <w:tab w:val="left" w:pos="3794"/>
                <w:tab w:val="left" w:pos="7380"/>
              </w:tabs>
              <w:adjustRightInd w:val="0"/>
              <w:snapToGrid w:val="0"/>
              <w:spacing w:line="240" w:lineRule="atLeast"/>
              <w:jc w:val="center"/>
              <w:rPr>
                <w:rFonts w:hint="default" w:ascii="Times New Roman" w:hAnsi="Times New Roman" w:eastAsia="宋体" w:cs="Times New Roman"/>
                <w:sz w:val="21"/>
                <w:szCs w:val="21"/>
              </w:rPr>
            </w:pPr>
            <w:r>
              <w:rPr>
                <w:rFonts w:hint="default" w:ascii="Times New Roman" w:hAnsi="Times New Roman" w:cs="Times New Roman"/>
                <w:kern w:val="0"/>
                <w:sz w:val="21"/>
                <w:szCs w:val="21"/>
                <w:lang w:val="en-US" w:eastAsia="zh-CN"/>
              </w:rPr>
              <w:t>228</w:t>
            </w:r>
          </w:p>
        </w:tc>
        <w:tc>
          <w:tcPr>
            <w:tcW w:w="802" w:type="dxa"/>
            <w:vAlign w:val="center"/>
          </w:tcPr>
          <w:p w14:paraId="5FA3EFD4">
            <w:pPr>
              <w:tabs>
                <w:tab w:val="left" w:pos="3794"/>
                <w:tab w:val="left" w:pos="7380"/>
              </w:tabs>
              <w:adjustRightInd w:val="0"/>
              <w:snapToGrid w:val="0"/>
              <w:spacing w:line="240" w:lineRule="atLeast"/>
              <w:jc w:val="center"/>
              <w:rPr>
                <w:rFonts w:hint="default" w:ascii="Times New Roman" w:hAnsi="Times New Roman" w:eastAsia="宋体" w:cs="Times New Roman"/>
                <w:sz w:val="21"/>
                <w:szCs w:val="21"/>
              </w:rPr>
            </w:pPr>
            <w:r>
              <w:rPr>
                <w:rFonts w:hint="default" w:ascii="Times New Roman" w:hAnsi="Times New Roman" w:cs="Times New Roman"/>
                <w:kern w:val="0"/>
                <w:sz w:val="21"/>
                <w:szCs w:val="21"/>
                <w:lang w:val="en-US" w:eastAsia="zh-CN"/>
              </w:rPr>
              <w:t>154</w:t>
            </w:r>
          </w:p>
        </w:tc>
      </w:tr>
      <w:tr w14:paraId="69138712">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15" w:type="dxa"/>
            <w:left w:w="15" w:type="dxa"/>
            <w:bottom w:w="15" w:type="dxa"/>
            <w:right w:w="15" w:type="dxa"/>
          </w:tblCellMar>
        </w:tblPrEx>
        <w:trPr>
          <w:trHeight w:val="340" w:hRule="atLeast"/>
          <w:jc w:val="center"/>
        </w:trPr>
        <w:tc>
          <w:tcPr>
            <w:tcW w:w="880" w:type="dxa"/>
            <w:vMerge w:val="continue"/>
            <w:vAlign w:val="center"/>
          </w:tcPr>
          <w:p w14:paraId="192B3813">
            <w:pPr>
              <w:jc w:val="center"/>
              <w:rPr>
                <w:rFonts w:hint="default" w:ascii="Times New Roman" w:hAnsi="Times New Roman" w:eastAsia="宋体" w:cs="Times New Roman"/>
                <w:sz w:val="21"/>
                <w:szCs w:val="21"/>
              </w:rPr>
            </w:pPr>
          </w:p>
        </w:tc>
        <w:tc>
          <w:tcPr>
            <w:tcW w:w="2578" w:type="dxa"/>
            <w:vAlign w:val="center"/>
          </w:tcPr>
          <w:p w14:paraId="2A12ED12">
            <w:pPr>
              <w:widowControl/>
              <w:spacing w:line="240" w:lineRule="auto"/>
              <w:ind w:firstLine="0" w:firstLineChars="0"/>
              <w:jc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rPr>
              <w:t>饱和导水率/(mm/min)</w:t>
            </w:r>
          </w:p>
        </w:tc>
        <w:tc>
          <w:tcPr>
            <w:tcW w:w="801" w:type="dxa"/>
            <w:vAlign w:val="center"/>
          </w:tcPr>
          <w:p w14:paraId="331D9FE9">
            <w:pPr>
              <w:tabs>
                <w:tab w:val="left" w:pos="3794"/>
                <w:tab w:val="left" w:pos="7380"/>
              </w:tabs>
              <w:adjustRightInd w:val="0"/>
              <w:snapToGrid w:val="0"/>
              <w:spacing w:line="240" w:lineRule="atLeast"/>
              <w:jc w:val="center"/>
              <w:rPr>
                <w:rFonts w:hint="default" w:ascii="Times New Roman" w:hAnsi="Times New Roman" w:eastAsia="宋体" w:cs="Times New Roman"/>
                <w:sz w:val="21"/>
                <w:szCs w:val="21"/>
              </w:rPr>
            </w:pPr>
            <w:r>
              <w:rPr>
                <w:rFonts w:hint="default" w:ascii="Times New Roman" w:hAnsi="Times New Roman" w:cs="Times New Roman"/>
                <w:kern w:val="0"/>
                <w:sz w:val="21"/>
                <w:szCs w:val="21"/>
                <w:lang w:val="en-US" w:eastAsia="zh-CN"/>
              </w:rPr>
              <w:t>0.87</w:t>
            </w:r>
          </w:p>
        </w:tc>
        <w:tc>
          <w:tcPr>
            <w:tcW w:w="801" w:type="dxa"/>
            <w:vAlign w:val="center"/>
          </w:tcPr>
          <w:p w14:paraId="128C755B">
            <w:pPr>
              <w:tabs>
                <w:tab w:val="left" w:pos="3794"/>
                <w:tab w:val="left" w:pos="7380"/>
              </w:tabs>
              <w:adjustRightInd w:val="0"/>
              <w:snapToGrid w:val="0"/>
              <w:spacing w:line="240" w:lineRule="atLeast"/>
              <w:jc w:val="center"/>
              <w:rPr>
                <w:rFonts w:hint="default" w:ascii="Times New Roman" w:hAnsi="Times New Roman" w:eastAsia="宋体" w:cs="Times New Roman"/>
                <w:sz w:val="21"/>
                <w:szCs w:val="21"/>
              </w:rPr>
            </w:pPr>
            <w:r>
              <w:rPr>
                <w:rFonts w:hint="default" w:ascii="Times New Roman" w:hAnsi="Times New Roman" w:cs="Times New Roman"/>
                <w:kern w:val="0"/>
                <w:sz w:val="21"/>
                <w:szCs w:val="21"/>
                <w:lang w:val="en-US" w:eastAsia="zh-CN"/>
              </w:rPr>
              <w:t>0.93</w:t>
            </w:r>
          </w:p>
        </w:tc>
        <w:tc>
          <w:tcPr>
            <w:tcW w:w="801" w:type="dxa"/>
            <w:vAlign w:val="center"/>
          </w:tcPr>
          <w:p w14:paraId="058E08A8">
            <w:pPr>
              <w:widowControl/>
              <w:spacing w:line="240" w:lineRule="auto"/>
              <w:ind w:firstLine="0" w:firstLineChars="0"/>
              <w:jc w:val="center"/>
              <w:rPr>
                <w:rFonts w:hint="default" w:ascii="Times New Roman" w:hAnsi="Times New Roman" w:eastAsia="宋体" w:cs="Times New Roman"/>
                <w:sz w:val="21"/>
                <w:szCs w:val="21"/>
              </w:rPr>
            </w:pPr>
            <w:r>
              <w:rPr>
                <w:rFonts w:hint="default" w:ascii="Times New Roman" w:hAnsi="Times New Roman" w:cs="Times New Roman"/>
                <w:kern w:val="0"/>
                <w:sz w:val="21"/>
                <w:szCs w:val="21"/>
                <w:lang w:val="en-US" w:eastAsia="zh-CN"/>
              </w:rPr>
              <w:t>0.91</w:t>
            </w:r>
          </w:p>
        </w:tc>
        <w:tc>
          <w:tcPr>
            <w:tcW w:w="801" w:type="dxa"/>
            <w:vAlign w:val="center"/>
          </w:tcPr>
          <w:p w14:paraId="5E780F39">
            <w:pPr>
              <w:tabs>
                <w:tab w:val="left" w:pos="3794"/>
                <w:tab w:val="left" w:pos="7380"/>
              </w:tabs>
              <w:adjustRightInd w:val="0"/>
              <w:snapToGrid w:val="0"/>
              <w:spacing w:line="240" w:lineRule="atLeast"/>
              <w:jc w:val="center"/>
              <w:rPr>
                <w:rFonts w:hint="default" w:ascii="Times New Roman" w:hAnsi="Times New Roman" w:eastAsia="宋体" w:cs="Times New Roman"/>
                <w:sz w:val="21"/>
                <w:szCs w:val="21"/>
              </w:rPr>
            </w:pPr>
            <w:r>
              <w:rPr>
                <w:rFonts w:hint="default" w:ascii="Times New Roman" w:hAnsi="Times New Roman" w:cs="Times New Roman"/>
                <w:kern w:val="0"/>
                <w:sz w:val="21"/>
                <w:szCs w:val="21"/>
                <w:lang w:val="en-US" w:eastAsia="zh-CN"/>
              </w:rPr>
              <w:t>0.95</w:t>
            </w:r>
          </w:p>
        </w:tc>
        <w:tc>
          <w:tcPr>
            <w:tcW w:w="801" w:type="dxa"/>
            <w:vAlign w:val="center"/>
          </w:tcPr>
          <w:p w14:paraId="5A022D5A">
            <w:pPr>
              <w:tabs>
                <w:tab w:val="left" w:pos="3794"/>
                <w:tab w:val="left" w:pos="7380"/>
              </w:tabs>
              <w:adjustRightInd w:val="0"/>
              <w:snapToGrid w:val="0"/>
              <w:spacing w:line="240" w:lineRule="atLeast"/>
              <w:jc w:val="center"/>
              <w:rPr>
                <w:rFonts w:hint="default" w:ascii="Times New Roman" w:hAnsi="Times New Roman" w:eastAsia="宋体" w:cs="Times New Roman"/>
                <w:sz w:val="21"/>
                <w:szCs w:val="21"/>
              </w:rPr>
            </w:pPr>
            <w:r>
              <w:rPr>
                <w:rFonts w:hint="default" w:ascii="Times New Roman" w:hAnsi="Times New Roman" w:cs="Times New Roman"/>
                <w:kern w:val="0"/>
                <w:sz w:val="21"/>
                <w:szCs w:val="21"/>
                <w:lang w:val="en-US" w:eastAsia="zh-CN"/>
              </w:rPr>
              <w:t>0.85</w:t>
            </w:r>
          </w:p>
        </w:tc>
        <w:tc>
          <w:tcPr>
            <w:tcW w:w="802" w:type="dxa"/>
            <w:vAlign w:val="center"/>
          </w:tcPr>
          <w:p w14:paraId="7B322F9E">
            <w:pPr>
              <w:widowControl/>
              <w:spacing w:line="240" w:lineRule="auto"/>
              <w:ind w:firstLine="0" w:firstLineChars="0"/>
              <w:jc w:val="center"/>
              <w:rPr>
                <w:rFonts w:hint="default" w:ascii="Times New Roman" w:hAnsi="Times New Roman" w:eastAsia="宋体" w:cs="Times New Roman"/>
                <w:sz w:val="21"/>
                <w:szCs w:val="21"/>
              </w:rPr>
            </w:pPr>
            <w:r>
              <w:rPr>
                <w:rFonts w:hint="default" w:ascii="Times New Roman" w:hAnsi="Times New Roman" w:cs="Times New Roman"/>
                <w:kern w:val="0"/>
                <w:sz w:val="21"/>
                <w:szCs w:val="21"/>
                <w:lang w:val="en-US" w:eastAsia="zh-CN"/>
              </w:rPr>
              <w:t>0.82</w:t>
            </w:r>
          </w:p>
        </w:tc>
      </w:tr>
      <w:tr w14:paraId="1FC42991">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15" w:type="dxa"/>
            <w:left w:w="15" w:type="dxa"/>
            <w:bottom w:w="15" w:type="dxa"/>
            <w:right w:w="15" w:type="dxa"/>
          </w:tblCellMar>
        </w:tblPrEx>
        <w:trPr>
          <w:trHeight w:val="340" w:hRule="atLeast"/>
          <w:jc w:val="center"/>
        </w:trPr>
        <w:tc>
          <w:tcPr>
            <w:tcW w:w="880" w:type="dxa"/>
            <w:vMerge w:val="continue"/>
            <w:vAlign w:val="center"/>
          </w:tcPr>
          <w:p w14:paraId="113C14A8">
            <w:pPr>
              <w:jc w:val="center"/>
              <w:rPr>
                <w:rFonts w:hint="default" w:ascii="Times New Roman" w:hAnsi="Times New Roman" w:eastAsia="宋体" w:cs="Times New Roman"/>
                <w:sz w:val="21"/>
                <w:szCs w:val="21"/>
              </w:rPr>
            </w:pPr>
          </w:p>
        </w:tc>
        <w:tc>
          <w:tcPr>
            <w:tcW w:w="2578" w:type="dxa"/>
            <w:vAlign w:val="center"/>
          </w:tcPr>
          <w:p w14:paraId="48F124CE">
            <w:pPr>
              <w:widowControl/>
              <w:spacing w:line="240" w:lineRule="auto"/>
              <w:ind w:firstLine="0" w:firstLineChars="0"/>
              <w:jc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rPr>
              <w:t>土壤容重/(g/</w:t>
            </w:r>
            <w:r>
              <w:rPr>
                <w:rFonts w:hint="default" w:ascii="Times New Roman" w:hAnsi="Times New Roman" w:eastAsia="宋体" w:cs="Times New Roman"/>
                <w:kern w:val="0"/>
                <w:sz w:val="21"/>
                <w:szCs w:val="21"/>
                <w:lang w:val="en-US" w:eastAsia="zh-CN"/>
              </w:rPr>
              <w:t>c</w:t>
            </w:r>
            <w:r>
              <w:rPr>
                <w:rFonts w:hint="default" w:ascii="Times New Roman" w:hAnsi="Times New Roman" w:eastAsia="宋体" w:cs="Times New Roman"/>
                <w:kern w:val="0"/>
                <w:sz w:val="21"/>
                <w:szCs w:val="21"/>
              </w:rPr>
              <w:t>m</w:t>
            </w:r>
            <w:r>
              <w:rPr>
                <w:rFonts w:hint="default" w:ascii="Times New Roman" w:hAnsi="Times New Roman" w:eastAsia="宋体" w:cs="Times New Roman"/>
                <w:kern w:val="0"/>
                <w:sz w:val="21"/>
                <w:szCs w:val="21"/>
                <w:vertAlign w:val="superscript"/>
              </w:rPr>
              <w:t>3</w:t>
            </w:r>
            <w:r>
              <w:rPr>
                <w:rFonts w:hint="default" w:ascii="Times New Roman" w:hAnsi="Times New Roman" w:eastAsia="宋体" w:cs="Times New Roman"/>
                <w:kern w:val="0"/>
                <w:sz w:val="21"/>
                <w:szCs w:val="21"/>
              </w:rPr>
              <w:t>)</w:t>
            </w:r>
          </w:p>
        </w:tc>
        <w:tc>
          <w:tcPr>
            <w:tcW w:w="801" w:type="dxa"/>
            <w:vAlign w:val="center"/>
          </w:tcPr>
          <w:p w14:paraId="661DE061">
            <w:pPr>
              <w:tabs>
                <w:tab w:val="left" w:pos="3794"/>
                <w:tab w:val="left" w:pos="7380"/>
              </w:tabs>
              <w:adjustRightInd w:val="0"/>
              <w:snapToGrid w:val="0"/>
              <w:spacing w:line="240" w:lineRule="atLeast"/>
              <w:jc w:val="center"/>
              <w:rPr>
                <w:rFonts w:hint="default" w:ascii="Times New Roman" w:hAnsi="Times New Roman" w:eastAsia="宋体" w:cs="Times New Roman"/>
                <w:sz w:val="21"/>
                <w:szCs w:val="21"/>
              </w:rPr>
            </w:pPr>
            <w:r>
              <w:rPr>
                <w:rFonts w:hint="default" w:ascii="Times New Roman" w:hAnsi="Times New Roman" w:eastAsia="宋体" w:cs="Times New Roman"/>
                <w:i w:val="0"/>
                <w:iCs w:val="0"/>
                <w:color w:val="000000"/>
                <w:kern w:val="0"/>
                <w:sz w:val="21"/>
                <w:szCs w:val="21"/>
                <w:u w:val="none"/>
                <w:lang w:val="en-US" w:eastAsia="zh-CN" w:bidi="ar"/>
              </w:rPr>
              <w:t>1.70</w:t>
            </w:r>
          </w:p>
        </w:tc>
        <w:tc>
          <w:tcPr>
            <w:tcW w:w="801" w:type="dxa"/>
            <w:vAlign w:val="center"/>
          </w:tcPr>
          <w:p w14:paraId="2335D882">
            <w:pPr>
              <w:tabs>
                <w:tab w:val="left" w:pos="3794"/>
                <w:tab w:val="left" w:pos="7380"/>
              </w:tabs>
              <w:adjustRightInd w:val="0"/>
              <w:snapToGrid w:val="0"/>
              <w:spacing w:line="240" w:lineRule="atLeast"/>
              <w:jc w:val="center"/>
              <w:rPr>
                <w:rFonts w:hint="default" w:ascii="Times New Roman" w:hAnsi="Times New Roman" w:eastAsia="宋体" w:cs="Times New Roman"/>
                <w:sz w:val="21"/>
                <w:szCs w:val="21"/>
              </w:rPr>
            </w:pPr>
            <w:r>
              <w:rPr>
                <w:rFonts w:hint="default" w:ascii="Times New Roman" w:hAnsi="Times New Roman" w:eastAsia="宋体" w:cs="Times New Roman"/>
                <w:i w:val="0"/>
                <w:iCs w:val="0"/>
                <w:color w:val="000000"/>
                <w:kern w:val="0"/>
                <w:sz w:val="21"/>
                <w:szCs w:val="21"/>
                <w:u w:val="none"/>
                <w:lang w:val="en-US" w:eastAsia="zh-CN" w:bidi="ar"/>
              </w:rPr>
              <w:t>1.74</w:t>
            </w:r>
          </w:p>
        </w:tc>
        <w:tc>
          <w:tcPr>
            <w:tcW w:w="801" w:type="dxa"/>
            <w:vAlign w:val="center"/>
          </w:tcPr>
          <w:p w14:paraId="0239BD9B">
            <w:pPr>
              <w:tabs>
                <w:tab w:val="left" w:pos="3794"/>
                <w:tab w:val="left" w:pos="7380"/>
              </w:tabs>
              <w:adjustRightInd w:val="0"/>
              <w:snapToGrid w:val="0"/>
              <w:spacing w:line="240" w:lineRule="atLeast"/>
              <w:jc w:val="center"/>
              <w:rPr>
                <w:rFonts w:hint="default" w:ascii="Times New Roman" w:hAnsi="Times New Roman" w:eastAsia="宋体" w:cs="Times New Roman"/>
                <w:sz w:val="21"/>
                <w:szCs w:val="21"/>
              </w:rPr>
            </w:pPr>
            <w:r>
              <w:rPr>
                <w:rFonts w:hint="default" w:ascii="Times New Roman" w:hAnsi="Times New Roman" w:eastAsia="宋体" w:cs="Times New Roman"/>
                <w:i w:val="0"/>
                <w:iCs w:val="0"/>
                <w:color w:val="000000"/>
                <w:kern w:val="0"/>
                <w:sz w:val="21"/>
                <w:szCs w:val="21"/>
                <w:u w:val="none"/>
                <w:lang w:val="en-US" w:eastAsia="zh-CN" w:bidi="ar"/>
              </w:rPr>
              <w:t>1.79</w:t>
            </w:r>
          </w:p>
        </w:tc>
        <w:tc>
          <w:tcPr>
            <w:tcW w:w="801" w:type="dxa"/>
            <w:vAlign w:val="center"/>
          </w:tcPr>
          <w:p w14:paraId="28CC3807">
            <w:pPr>
              <w:tabs>
                <w:tab w:val="left" w:pos="3794"/>
                <w:tab w:val="left" w:pos="7380"/>
              </w:tabs>
              <w:adjustRightInd w:val="0"/>
              <w:snapToGrid w:val="0"/>
              <w:spacing w:line="240" w:lineRule="atLeast"/>
              <w:jc w:val="center"/>
              <w:rPr>
                <w:rFonts w:hint="default" w:ascii="Times New Roman" w:hAnsi="Times New Roman" w:eastAsia="宋体" w:cs="Times New Roman"/>
                <w:sz w:val="21"/>
                <w:szCs w:val="21"/>
              </w:rPr>
            </w:pPr>
            <w:r>
              <w:rPr>
                <w:rFonts w:hint="default" w:ascii="Times New Roman" w:hAnsi="Times New Roman" w:cs="Times New Roman"/>
                <w:kern w:val="0"/>
                <w:sz w:val="21"/>
                <w:szCs w:val="21"/>
                <w:lang w:val="en-US" w:eastAsia="zh-CN"/>
              </w:rPr>
              <w:t>1.73</w:t>
            </w:r>
          </w:p>
        </w:tc>
        <w:tc>
          <w:tcPr>
            <w:tcW w:w="801" w:type="dxa"/>
            <w:vAlign w:val="center"/>
          </w:tcPr>
          <w:p w14:paraId="231A4920">
            <w:pPr>
              <w:tabs>
                <w:tab w:val="left" w:pos="3794"/>
                <w:tab w:val="left" w:pos="7380"/>
              </w:tabs>
              <w:adjustRightInd w:val="0"/>
              <w:snapToGrid w:val="0"/>
              <w:spacing w:line="240" w:lineRule="atLeast"/>
              <w:jc w:val="center"/>
              <w:rPr>
                <w:rFonts w:hint="default" w:ascii="Times New Roman" w:hAnsi="Times New Roman" w:eastAsia="宋体" w:cs="Times New Roman"/>
                <w:sz w:val="21"/>
                <w:szCs w:val="21"/>
              </w:rPr>
            </w:pPr>
            <w:r>
              <w:rPr>
                <w:rFonts w:hint="default" w:ascii="Times New Roman" w:hAnsi="Times New Roman" w:cs="Times New Roman"/>
                <w:kern w:val="0"/>
                <w:sz w:val="21"/>
                <w:szCs w:val="21"/>
                <w:lang w:val="en-US" w:eastAsia="zh-CN"/>
              </w:rPr>
              <w:t>1.78</w:t>
            </w:r>
          </w:p>
        </w:tc>
        <w:tc>
          <w:tcPr>
            <w:tcW w:w="802" w:type="dxa"/>
            <w:vAlign w:val="center"/>
          </w:tcPr>
          <w:p w14:paraId="65771054">
            <w:pPr>
              <w:tabs>
                <w:tab w:val="left" w:pos="3794"/>
                <w:tab w:val="left" w:pos="7380"/>
              </w:tabs>
              <w:adjustRightInd w:val="0"/>
              <w:snapToGrid w:val="0"/>
              <w:spacing w:line="240" w:lineRule="atLeast"/>
              <w:jc w:val="center"/>
              <w:rPr>
                <w:rFonts w:hint="default" w:ascii="Times New Roman" w:hAnsi="Times New Roman" w:eastAsia="宋体" w:cs="Times New Roman"/>
                <w:sz w:val="21"/>
                <w:szCs w:val="21"/>
              </w:rPr>
            </w:pPr>
            <w:r>
              <w:rPr>
                <w:rFonts w:hint="default" w:ascii="Times New Roman" w:hAnsi="Times New Roman" w:cs="Times New Roman"/>
                <w:kern w:val="0"/>
                <w:sz w:val="21"/>
                <w:szCs w:val="21"/>
                <w:lang w:val="en-US" w:eastAsia="zh-CN"/>
              </w:rPr>
              <w:t>1.82</w:t>
            </w:r>
          </w:p>
        </w:tc>
      </w:tr>
      <w:tr w14:paraId="51C43F70">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15" w:type="dxa"/>
            <w:left w:w="15" w:type="dxa"/>
            <w:bottom w:w="15" w:type="dxa"/>
            <w:right w:w="15" w:type="dxa"/>
          </w:tblCellMar>
        </w:tblPrEx>
        <w:trPr>
          <w:trHeight w:val="340" w:hRule="atLeast"/>
          <w:jc w:val="center"/>
        </w:trPr>
        <w:tc>
          <w:tcPr>
            <w:tcW w:w="880" w:type="dxa"/>
            <w:vMerge w:val="continue"/>
            <w:vAlign w:val="center"/>
          </w:tcPr>
          <w:p w14:paraId="64BCC0A2">
            <w:pPr>
              <w:jc w:val="center"/>
              <w:rPr>
                <w:rFonts w:hint="default" w:ascii="Times New Roman" w:hAnsi="Times New Roman" w:eastAsia="宋体" w:cs="Times New Roman"/>
                <w:sz w:val="21"/>
                <w:szCs w:val="21"/>
              </w:rPr>
            </w:pPr>
          </w:p>
        </w:tc>
        <w:tc>
          <w:tcPr>
            <w:tcW w:w="2578" w:type="dxa"/>
            <w:vAlign w:val="center"/>
          </w:tcPr>
          <w:p w14:paraId="3836E1F7">
            <w:pPr>
              <w:widowControl/>
              <w:spacing w:line="240" w:lineRule="auto"/>
              <w:ind w:firstLine="0" w:firstLineChars="0"/>
              <w:jc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rPr>
              <w:t>孔隙度</w:t>
            </w:r>
            <w:r>
              <w:rPr>
                <w:rFonts w:hint="default" w:ascii="Times New Roman" w:hAnsi="Times New Roman" w:eastAsia="宋体" w:cs="Times New Roman"/>
                <w:kern w:val="0"/>
                <w:sz w:val="21"/>
                <w:szCs w:val="21"/>
                <w:lang w:eastAsia="zh-CN"/>
              </w:rPr>
              <w:t>（</w:t>
            </w:r>
            <w:r>
              <w:rPr>
                <w:rFonts w:hint="default" w:ascii="Times New Roman" w:hAnsi="Times New Roman" w:eastAsia="宋体" w:cs="Times New Roman"/>
                <w:kern w:val="0"/>
                <w:sz w:val="21"/>
                <w:szCs w:val="21"/>
                <w:lang w:val="en-US" w:eastAsia="zh-CN"/>
              </w:rPr>
              <w:t>%</w:t>
            </w:r>
            <w:r>
              <w:rPr>
                <w:rFonts w:hint="default" w:ascii="Times New Roman" w:hAnsi="Times New Roman" w:eastAsia="宋体" w:cs="Times New Roman"/>
                <w:kern w:val="0"/>
                <w:sz w:val="21"/>
                <w:szCs w:val="21"/>
                <w:lang w:eastAsia="zh-CN"/>
              </w:rPr>
              <w:t>）</w:t>
            </w:r>
          </w:p>
        </w:tc>
        <w:tc>
          <w:tcPr>
            <w:tcW w:w="801" w:type="dxa"/>
            <w:vAlign w:val="center"/>
          </w:tcPr>
          <w:p w14:paraId="2C8795C7">
            <w:pPr>
              <w:tabs>
                <w:tab w:val="left" w:pos="3794"/>
                <w:tab w:val="left" w:pos="7380"/>
              </w:tabs>
              <w:adjustRightInd w:val="0"/>
              <w:snapToGrid w:val="0"/>
              <w:spacing w:line="240" w:lineRule="atLeast"/>
              <w:jc w:val="center"/>
              <w:rPr>
                <w:rFonts w:hint="default" w:ascii="Times New Roman" w:hAnsi="Times New Roman" w:eastAsia="宋体" w:cs="Times New Roman"/>
                <w:sz w:val="21"/>
                <w:szCs w:val="21"/>
              </w:rPr>
            </w:pPr>
            <w:r>
              <w:rPr>
                <w:rFonts w:hint="default" w:ascii="Times New Roman" w:hAnsi="Times New Roman" w:cs="Times New Roman"/>
                <w:kern w:val="0"/>
                <w:sz w:val="21"/>
                <w:szCs w:val="21"/>
                <w:lang w:val="en-US" w:eastAsia="zh-CN"/>
              </w:rPr>
              <w:t>49</w:t>
            </w:r>
          </w:p>
        </w:tc>
        <w:tc>
          <w:tcPr>
            <w:tcW w:w="801" w:type="dxa"/>
            <w:vAlign w:val="center"/>
          </w:tcPr>
          <w:p w14:paraId="6889ACFC">
            <w:pPr>
              <w:tabs>
                <w:tab w:val="left" w:pos="3794"/>
                <w:tab w:val="left" w:pos="7380"/>
              </w:tabs>
              <w:adjustRightInd w:val="0"/>
              <w:snapToGrid w:val="0"/>
              <w:spacing w:line="240" w:lineRule="atLeast"/>
              <w:jc w:val="center"/>
              <w:rPr>
                <w:rFonts w:hint="default" w:ascii="Times New Roman" w:hAnsi="Times New Roman" w:eastAsia="宋体" w:cs="Times New Roman"/>
                <w:sz w:val="21"/>
                <w:szCs w:val="21"/>
              </w:rPr>
            </w:pPr>
            <w:r>
              <w:rPr>
                <w:rFonts w:hint="default" w:ascii="Times New Roman" w:hAnsi="Times New Roman" w:cs="Times New Roman"/>
                <w:kern w:val="0"/>
                <w:sz w:val="21"/>
                <w:szCs w:val="21"/>
                <w:lang w:val="en-US" w:eastAsia="zh-CN"/>
              </w:rPr>
              <w:t>51</w:t>
            </w:r>
          </w:p>
        </w:tc>
        <w:tc>
          <w:tcPr>
            <w:tcW w:w="801" w:type="dxa"/>
            <w:vAlign w:val="center"/>
          </w:tcPr>
          <w:p w14:paraId="568B9C68">
            <w:pPr>
              <w:tabs>
                <w:tab w:val="left" w:pos="3794"/>
                <w:tab w:val="left" w:pos="7380"/>
              </w:tabs>
              <w:adjustRightInd w:val="0"/>
              <w:snapToGrid w:val="0"/>
              <w:spacing w:line="240" w:lineRule="atLeast"/>
              <w:jc w:val="center"/>
              <w:rPr>
                <w:rFonts w:hint="default" w:ascii="Times New Roman" w:hAnsi="Times New Roman" w:eastAsia="宋体" w:cs="Times New Roman"/>
                <w:sz w:val="21"/>
                <w:szCs w:val="21"/>
              </w:rPr>
            </w:pPr>
            <w:r>
              <w:rPr>
                <w:rFonts w:hint="default" w:ascii="Times New Roman" w:hAnsi="Times New Roman" w:cs="Times New Roman"/>
                <w:kern w:val="0"/>
                <w:sz w:val="21"/>
                <w:szCs w:val="21"/>
                <w:lang w:val="en-US" w:eastAsia="zh-CN"/>
              </w:rPr>
              <w:t>53</w:t>
            </w:r>
          </w:p>
        </w:tc>
        <w:tc>
          <w:tcPr>
            <w:tcW w:w="801" w:type="dxa"/>
            <w:vAlign w:val="center"/>
          </w:tcPr>
          <w:p w14:paraId="5D67FD15">
            <w:pPr>
              <w:tabs>
                <w:tab w:val="left" w:pos="3794"/>
                <w:tab w:val="left" w:pos="7380"/>
              </w:tabs>
              <w:adjustRightInd w:val="0"/>
              <w:snapToGrid w:val="0"/>
              <w:spacing w:line="240" w:lineRule="atLeast"/>
              <w:jc w:val="center"/>
              <w:rPr>
                <w:rFonts w:hint="default" w:ascii="Times New Roman" w:hAnsi="Times New Roman" w:eastAsia="宋体" w:cs="Times New Roman"/>
                <w:sz w:val="21"/>
                <w:szCs w:val="21"/>
              </w:rPr>
            </w:pPr>
            <w:r>
              <w:rPr>
                <w:rFonts w:hint="default" w:ascii="Times New Roman" w:hAnsi="Times New Roman" w:cs="Times New Roman"/>
                <w:kern w:val="0"/>
                <w:sz w:val="21"/>
                <w:szCs w:val="21"/>
                <w:lang w:val="en-US" w:eastAsia="zh-CN"/>
              </w:rPr>
              <w:t>46</w:t>
            </w:r>
          </w:p>
        </w:tc>
        <w:tc>
          <w:tcPr>
            <w:tcW w:w="801" w:type="dxa"/>
            <w:vAlign w:val="center"/>
          </w:tcPr>
          <w:p w14:paraId="419E5763">
            <w:pPr>
              <w:tabs>
                <w:tab w:val="left" w:pos="3794"/>
                <w:tab w:val="left" w:pos="7380"/>
              </w:tabs>
              <w:adjustRightInd w:val="0"/>
              <w:snapToGrid w:val="0"/>
              <w:spacing w:line="240" w:lineRule="atLeast"/>
              <w:jc w:val="center"/>
              <w:rPr>
                <w:rFonts w:hint="default" w:ascii="Times New Roman" w:hAnsi="Times New Roman" w:eastAsia="宋体" w:cs="Times New Roman"/>
                <w:sz w:val="21"/>
                <w:szCs w:val="21"/>
              </w:rPr>
            </w:pPr>
            <w:r>
              <w:rPr>
                <w:rFonts w:hint="default" w:ascii="Times New Roman" w:hAnsi="Times New Roman" w:cs="Times New Roman"/>
                <w:kern w:val="0"/>
                <w:sz w:val="21"/>
                <w:szCs w:val="21"/>
                <w:lang w:val="en-US" w:eastAsia="zh-CN"/>
              </w:rPr>
              <w:t>48</w:t>
            </w:r>
          </w:p>
        </w:tc>
        <w:tc>
          <w:tcPr>
            <w:tcW w:w="802" w:type="dxa"/>
            <w:vAlign w:val="center"/>
          </w:tcPr>
          <w:p w14:paraId="384F78A5">
            <w:pPr>
              <w:tabs>
                <w:tab w:val="left" w:pos="3794"/>
                <w:tab w:val="left" w:pos="7380"/>
              </w:tabs>
              <w:adjustRightInd w:val="0"/>
              <w:snapToGrid w:val="0"/>
              <w:spacing w:line="240" w:lineRule="atLeast"/>
              <w:jc w:val="center"/>
              <w:rPr>
                <w:rFonts w:hint="default" w:ascii="Times New Roman" w:hAnsi="Times New Roman" w:eastAsia="宋体" w:cs="Times New Roman"/>
                <w:sz w:val="21"/>
                <w:szCs w:val="21"/>
              </w:rPr>
            </w:pPr>
            <w:r>
              <w:rPr>
                <w:rFonts w:hint="default" w:ascii="Times New Roman" w:hAnsi="Times New Roman" w:cs="Times New Roman"/>
                <w:kern w:val="0"/>
                <w:sz w:val="21"/>
                <w:szCs w:val="21"/>
                <w:lang w:val="en-US" w:eastAsia="zh-CN"/>
              </w:rPr>
              <w:t>57</w:t>
            </w:r>
          </w:p>
        </w:tc>
      </w:tr>
    </w:tbl>
    <w:p w14:paraId="3C5EACFB">
      <w:pPr>
        <w:pStyle w:val="7"/>
        <w:rPr>
          <w:rFonts w:hint="default" w:eastAsia="宋体"/>
          <w:lang w:val="en-US" w:eastAsia="zh-CN"/>
        </w:rPr>
      </w:pPr>
      <w:bookmarkStart w:id="506" w:name="_Toc15197"/>
      <w:bookmarkStart w:id="507" w:name="_Toc7201"/>
      <w:bookmarkStart w:id="508" w:name="_Toc10445"/>
      <w:bookmarkStart w:id="509" w:name="_Toc27673"/>
      <w:bookmarkStart w:id="510" w:name="_Toc90026143"/>
      <w:r>
        <w:rPr>
          <w:rFonts w:hint="eastAsia" w:eastAsia="宋体"/>
          <w:lang w:val="en-US" w:eastAsia="zh-CN"/>
        </w:rPr>
        <w:t>5.6.3</w:t>
      </w:r>
      <w:r>
        <w:rPr>
          <w:rFonts w:hint="default" w:eastAsia="宋体"/>
          <w:lang w:val="en-US" w:eastAsia="zh-CN"/>
        </w:rPr>
        <w:t>土壤环境影响预测分析与评价</w:t>
      </w:r>
      <w:bookmarkEnd w:id="506"/>
      <w:bookmarkEnd w:id="507"/>
      <w:bookmarkEnd w:id="508"/>
      <w:bookmarkEnd w:id="509"/>
    </w:p>
    <w:p w14:paraId="20C4785E">
      <w:pPr>
        <w:spacing w:line="500" w:lineRule="exact"/>
        <w:ind w:firstLine="482" w:firstLineChars="200"/>
        <w:jc w:val="both"/>
        <w:rPr>
          <w:rFonts w:hint="default" w:ascii="Times New Roman" w:hAnsi="Times New Roman" w:eastAsia="宋体" w:cs="Times New Roman"/>
          <w:b/>
          <w:bCs w:val="0"/>
          <w:lang w:eastAsia="zh-CN"/>
        </w:rPr>
      </w:pPr>
      <w:bookmarkStart w:id="511" w:name="_Toc3190"/>
      <w:bookmarkStart w:id="512" w:name="_Toc7937"/>
      <w:bookmarkStart w:id="513" w:name="_Toc10154"/>
      <w:r>
        <w:rPr>
          <w:rFonts w:hint="eastAsia" w:ascii="Times New Roman" w:hAnsi="Times New Roman" w:eastAsia="宋体" w:cs="Times New Roman"/>
          <w:b/>
          <w:bCs w:val="0"/>
          <w:lang w:val="en-US" w:eastAsia="zh-CN"/>
        </w:rPr>
        <w:t>5.6.3.1</w:t>
      </w:r>
      <w:r>
        <w:rPr>
          <w:rFonts w:hint="default" w:ascii="Times New Roman" w:hAnsi="Times New Roman" w:eastAsia="宋体" w:cs="Times New Roman"/>
          <w:b/>
          <w:bCs w:val="0"/>
          <w:lang w:eastAsia="zh-CN"/>
        </w:rPr>
        <w:t>土壤环境影响类型与影响途径识别</w:t>
      </w:r>
      <w:bookmarkEnd w:id="511"/>
      <w:bookmarkEnd w:id="512"/>
      <w:bookmarkEnd w:id="513"/>
    </w:p>
    <w:p w14:paraId="5A8AA320">
      <w:pPr>
        <w:spacing w:line="500" w:lineRule="exact"/>
        <w:ind w:firstLine="480" w:firstLineChars="200"/>
        <w:jc w:val="both"/>
        <w:rPr>
          <w:rFonts w:hint="default" w:ascii="Times New Roman" w:hAnsi="Times New Roman" w:eastAsia="宋体" w:cs="Times New Roman"/>
          <w:b w:val="0"/>
          <w:bCs/>
          <w:lang w:val="en-US" w:eastAsia="zh-CN"/>
        </w:rPr>
      </w:pPr>
      <w:bookmarkStart w:id="514" w:name="_Toc9526"/>
      <w:bookmarkStart w:id="515" w:name="_Toc5854"/>
      <w:r>
        <w:rPr>
          <w:rFonts w:hint="eastAsia" w:ascii="Times New Roman" w:hAnsi="Times New Roman" w:eastAsia="宋体" w:cs="Times New Roman"/>
          <w:b w:val="0"/>
          <w:bCs/>
          <w:lang w:val="en-US" w:eastAsia="zh-CN"/>
        </w:rPr>
        <w:t>1、</w:t>
      </w:r>
      <w:r>
        <w:rPr>
          <w:rFonts w:hint="default" w:ascii="Times New Roman" w:hAnsi="Times New Roman" w:eastAsia="宋体" w:cs="Times New Roman"/>
          <w:b w:val="0"/>
          <w:bCs/>
          <w:lang w:val="en-US" w:eastAsia="zh-CN"/>
        </w:rPr>
        <w:t>基本原则与要求</w:t>
      </w:r>
      <w:bookmarkEnd w:id="514"/>
      <w:bookmarkEnd w:id="515"/>
    </w:p>
    <w:p w14:paraId="0ED108B7">
      <w:pPr>
        <w:spacing w:line="500" w:lineRule="exact"/>
        <w:ind w:firstLine="480" w:firstLineChars="200"/>
        <w:jc w:val="both"/>
        <w:rPr>
          <w:rFonts w:hint="default" w:ascii="Times New Roman" w:hAnsi="Times New Roman" w:eastAsia="宋体" w:cs="Times New Roman"/>
          <w:b w:val="0"/>
          <w:bCs/>
          <w:lang w:val="en-US" w:eastAsia="zh-CN"/>
        </w:rPr>
      </w:pPr>
      <w:r>
        <w:rPr>
          <w:rFonts w:hint="default" w:ascii="Times New Roman" w:hAnsi="Times New Roman" w:eastAsia="宋体" w:cs="Times New Roman"/>
          <w:b w:val="0"/>
          <w:bCs/>
          <w:lang w:val="en-US" w:eastAsia="zh-CN"/>
        </w:rPr>
        <w:t>根据影响识别结果与评价工作等级，结合当地土地利用规划确定影响预测的范围、时段、内容和方法。</w:t>
      </w:r>
    </w:p>
    <w:p w14:paraId="3E5F007F">
      <w:pPr>
        <w:spacing w:line="500" w:lineRule="exact"/>
        <w:ind w:firstLine="480" w:firstLineChars="200"/>
        <w:jc w:val="both"/>
        <w:rPr>
          <w:rFonts w:hint="default" w:ascii="Times New Roman" w:hAnsi="Times New Roman" w:eastAsia="宋体" w:cs="Times New Roman"/>
          <w:b w:val="0"/>
          <w:bCs/>
          <w:lang w:val="en-US" w:eastAsia="zh-CN"/>
        </w:rPr>
      </w:pPr>
      <w:r>
        <w:rPr>
          <w:rFonts w:hint="default" w:ascii="Times New Roman" w:hAnsi="Times New Roman" w:eastAsia="宋体" w:cs="Times New Roman"/>
          <w:b w:val="0"/>
          <w:bCs/>
          <w:lang w:val="en-US" w:eastAsia="zh-CN"/>
        </w:rPr>
        <w:t>选择适宜的预测方法，预测评价建设项目各实施阶段不同环节与不同环境影响防控措施下的土壤环境影响，给出预测因子的影响范围与程度，明确建设项目对土壤环境的影响结果。</w:t>
      </w:r>
    </w:p>
    <w:p w14:paraId="7D6A9743">
      <w:pPr>
        <w:spacing w:line="500" w:lineRule="exact"/>
        <w:ind w:firstLine="480" w:firstLineChars="200"/>
        <w:jc w:val="both"/>
        <w:rPr>
          <w:rFonts w:hint="default" w:ascii="Times New Roman" w:hAnsi="Times New Roman" w:eastAsia="宋体" w:cs="Times New Roman"/>
          <w:b w:val="0"/>
          <w:bCs/>
          <w:lang w:val="en-US" w:eastAsia="zh-CN"/>
        </w:rPr>
      </w:pPr>
      <w:r>
        <w:rPr>
          <w:rFonts w:hint="default" w:ascii="Times New Roman" w:hAnsi="Times New Roman" w:eastAsia="宋体" w:cs="Times New Roman"/>
          <w:b w:val="0"/>
          <w:bCs/>
          <w:lang w:val="en-US" w:eastAsia="zh-CN"/>
        </w:rPr>
        <w:t>应重点预测评价建设项目对占地范围外土壤环境敏感目标的累积影响，并根据建设项目特征兼顾对占地范围内的影响预测。</w:t>
      </w:r>
    </w:p>
    <w:p w14:paraId="0EF8F377">
      <w:pPr>
        <w:spacing w:line="500" w:lineRule="exact"/>
        <w:ind w:firstLine="480" w:firstLineChars="200"/>
        <w:jc w:val="both"/>
        <w:rPr>
          <w:rFonts w:hint="default" w:ascii="Times New Roman" w:hAnsi="Times New Roman" w:eastAsia="宋体" w:cs="Times New Roman"/>
          <w:b w:val="0"/>
          <w:bCs/>
          <w:lang w:val="en-US" w:eastAsia="zh-CN"/>
        </w:rPr>
      </w:pPr>
      <w:r>
        <w:rPr>
          <w:rFonts w:hint="default" w:ascii="Times New Roman" w:hAnsi="Times New Roman" w:eastAsia="宋体" w:cs="Times New Roman"/>
          <w:b w:val="0"/>
          <w:bCs/>
          <w:lang w:val="en-US" w:eastAsia="zh-CN"/>
        </w:rPr>
        <w:t>土壤环境影响分析可定性或半定量地说明建设项目对土壤环境产生的影响及趋势。</w:t>
      </w:r>
    </w:p>
    <w:p w14:paraId="1C2923BD">
      <w:pPr>
        <w:spacing w:line="500" w:lineRule="exact"/>
        <w:ind w:firstLine="480" w:firstLineChars="200"/>
        <w:jc w:val="both"/>
        <w:rPr>
          <w:rFonts w:hint="default" w:ascii="Times New Roman" w:hAnsi="Times New Roman" w:eastAsia="宋体" w:cs="Times New Roman"/>
          <w:b w:val="0"/>
          <w:bCs/>
          <w:lang w:val="en-US" w:eastAsia="zh-CN"/>
        </w:rPr>
      </w:pPr>
      <w:bookmarkStart w:id="516" w:name="_Toc9669"/>
      <w:bookmarkStart w:id="517" w:name="_Toc17559"/>
      <w:r>
        <w:rPr>
          <w:rFonts w:hint="eastAsia" w:ascii="Times New Roman" w:hAnsi="Times New Roman" w:eastAsia="宋体" w:cs="Times New Roman"/>
          <w:b w:val="0"/>
          <w:bCs/>
          <w:lang w:val="en-US" w:eastAsia="zh-CN"/>
        </w:rPr>
        <w:t>2、</w:t>
      </w:r>
      <w:r>
        <w:rPr>
          <w:rFonts w:hint="default" w:ascii="Times New Roman" w:hAnsi="Times New Roman" w:eastAsia="宋体" w:cs="Times New Roman"/>
          <w:b w:val="0"/>
          <w:bCs/>
          <w:lang w:val="en-US" w:eastAsia="zh-CN"/>
        </w:rPr>
        <w:t>预测范围与情形</w:t>
      </w:r>
      <w:bookmarkEnd w:id="516"/>
      <w:bookmarkEnd w:id="517"/>
    </w:p>
    <w:p w14:paraId="0D00AED7">
      <w:pPr>
        <w:spacing w:line="500" w:lineRule="exact"/>
        <w:ind w:firstLine="480" w:firstLineChars="200"/>
        <w:jc w:val="both"/>
        <w:rPr>
          <w:rFonts w:hint="default" w:ascii="Times New Roman" w:hAnsi="Times New Roman" w:eastAsia="宋体" w:cs="Times New Roman"/>
          <w:b w:val="0"/>
          <w:bCs/>
          <w:lang w:val="en-US" w:eastAsia="zh-CN"/>
        </w:rPr>
      </w:pPr>
      <w:r>
        <w:rPr>
          <w:rFonts w:hint="default" w:ascii="Times New Roman" w:hAnsi="Times New Roman" w:eastAsia="宋体" w:cs="Times New Roman"/>
          <w:b w:val="0"/>
          <w:bCs/>
          <w:lang w:val="en-US" w:eastAsia="zh-CN"/>
        </w:rPr>
        <w:t>本次项目预测范围与现状调查评价范围一致，为厂区内及厂区边界外0.2km范围内。</w:t>
      </w:r>
    </w:p>
    <w:p w14:paraId="43859A7D">
      <w:pPr>
        <w:spacing w:line="500" w:lineRule="exact"/>
        <w:ind w:firstLine="480" w:firstLineChars="200"/>
        <w:jc w:val="both"/>
        <w:rPr>
          <w:rFonts w:hint="eastAsia" w:ascii="Times New Roman" w:hAnsi="Times New Roman" w:eastAsia="宋体" w:cs="Times New Roman"/>
          <w:b w:val="0"/>
          <w:bCs/>
          <w:lang w:val="en-US" w:eastAsia="zh-CN"/>
        </w:rPr>
      </w:pPr>
      <w:r>
        <w:rPr>
          <w:rFonts w:hint="default" w:ascii="Times New Roman" w:hAnsi="Times New Roman" w:eastAsia="宋体" w:cs="Times New Roman"/>
          <w:b w:val="0"/>
          <w:bCs/>
          <w:lang w:val="en-US" w:eastAsia="zh-CN"/>
        </w:rPr>
        <w:t>在影响识别的基础上，根据建设项目特征设定预测情景。预测评价主要针对本项目建设期、运营期对土壤环境的影响进行分析。本项目为本溪玉麒麟新材料有限公司超低排放技术改造项目，建设期对土壤环境影响较小，因此主要针对项目运营期间对土壤环境可能产生的影响进行分析、预测和评估。</w:t>
      </w:r>
    </w:p>
    <w:p w14:paraId="51C84065">
      <w:pPr>
        <w:spacing w:line="500" w:lineRule="exact"/>
        <w:ind w:firstLine="480" w:firstLineChars="200"/>
        <w:jc w:val="both"/>
        <w:rPr>
          <w:rFonts w:hint="default" w:ascii="Times New Roman" w:hAnsi="Times New Roman" w:eastAsia="宋体" w:cs="Times New Roman"/>
          <w:b w:val="0"/>
          <w:bCs/>
          <w:lang w:val="en-US" w:eastAsia="zh-CN"/>
        </w:rPr>
      </w:pPr>
      <w:r>
        <w:rPr>
          <w:rFonts w:hint="default" w:ascii="Times New Roman" w:hAnsi="Times New Roman" w:eastAsia="宋体" w:cs="Times New Roman"/>
          <w:b w:val="0"/>
          <w:bCs/>
          <w:lang w:val="en-US" w:eastAsia="zh-CN"/>
        </w:rPr>
        <w:t>根据工程分析，本项目产生的废气污染物主要为烧结生产线和球团竖炉生产线在生产过程中产生的粉尘，废气污染物主要包括“SO2、NOx、烟尘、氟化物、氨气和二噁英等”，最终均能够有组织排放，但排放的大气污染物可能随大气沉降进入到土壤；废水污染物主要为生活污水、脱硫设施循环水和冷却循环水系统排水，均不外排，初期雨水经雨水收集池收集后，排入厂区外地表水细河，厂区内厂房及道路均进行了地面硬化，废水污染物进入到土壤中可能性较小。因此，本技改项目对土壤的影响类型和途径主要为大气沉降。</w:t>
      </w:r>
    </w:p>
    <w:p w14:paraId="655E8650">
      <w:pPr>
        <w:pStyle w:val="719"/>
        <w:keepNext w:val="0"/>
        <w:keepLines w:val="0"/>
        <w:pageBreakBefore w:val="0"/>
        <w:widowControl/>
        <w:kinsoku/>
        <w:wordWrap/>
        <w:overflowPunct/>
        <w:topLinePunct w:val="0"/>
        <w:autoSpaceDE/>
        <w:autoSpaceDN/>
        <w:bidi w:val="0"/>
        <w:adjustRightInd w:val="0"/>
        <w:snapToGrid w:val="0"/>
        <w:spacing w:beforeLines="0" w:line="360" w:lineRule="auto"/>
        <w:textAlignment w:val="auto"/>
        <w:rPr>
          <w:rFonts w:hint="default" w:ascii="Times New Roman" w:hAnsi="Times New Roman" w:cs="Times New Roman"/>
          <w:sz w:val="24"/>
          <w:szCs w:val="24"/>
        </w:rPr>
      </w:pPr>
      <w:r>
        <w:rPr>
          <w:rFonts w:hint="default" w:ascii="Times New Roman" w:hAnsi="Times New Roman" w:cs="Times New Roman"/>
          <w:sz w:val="24"/>
          <w:szCs w:val="24"/>
        </w:rPr>
        <w:t>表</w:t>
      </w:r>
      <w:r>
        <w:rPr>
          <w:rFonts w:hint="eastAsia" w:ascii="Times New Roman" w:hAnsi="Times New Roman" w:cs="Times New Roman"/>
          <w:sz w:val="24"/>
          <w:szCs w:val="24"/>
          <w:lang w:val="en-US" w:eastAsia="zh-CN"/>
        </w:rPr>
        <w:t>5.6-2</w:t>
      </w:r>
      <w:r>
        <w:rPr>
          <w:rFonts w:hint="default" w:ascii="Times New Roman" w:hAnsi="Times New Roman" w:cs="Times New Roman"/>
          <w:sz w:val="24"/>
          <w:szCs w:val="24"/>
        </w:rPr>
        <w:t xml:space="preserve">  土壤环境影响类型与影响途径表</w:t>
      </w:r>
    </w:p>
    <w:tbl>
      <w:tblPr>
        <w:tblStyle w:val="56"/>
        <w:tblW w:w="5000" w:type="pct"/>
        <w:tblInd w:w="0" w:type="dxa"/>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autofit"/>
        <w:tblCellMar>
          <w:top w:w="0" w:type="dxa"/>
          <w:left w:w="108" w:type="dxa"/>
          <w:bottom w:w="0" w:type="dxa"/>
          <w:right w:w="108" w:type="dxa"/>
        </w:tblCellMar>
      </w:tblPr>
      <w:tblGrid>
        <w:gridCol w:w="1877"/>
        <w:gridCol w:w="1736"/>
        <w:gridCol w:w="1888"/>
        <w:gridCol w:w="1734"/>
        <w:gridCol w:w="1486"/>
      </w:tblGrid>
      <w:tr w14:paraId="4705D8DD">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03" w:hRule="atLeast"/>
        </w:trPr>
        <w:tc>
          <w:tcPr>
            <w:tcW w:w="1076" w:type="pct"/>
            <w:vMerge w:val="restart"/>
            <w:shd w:val="clear" w:color="auto" w:fill="auto"/>
            <w:noWrap/>
            <w:vAlign w:val="center"/>
          </w:tcPr>
          <w:p w14:paraId="6438CD2D">
            <w:pPr>
              <w:widowControl/>
              <w:jc w:val="center"/>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1"/>
                <w:szCs w:val="21"/>
              </w:rPr>
              <w:t>不同时段</w:t>
            </w:r>
          </w:p>
        </w:tc>
        <w:tc>
          <w:tcPr>
            <w:tcW w:w="3923" w:type="pct"/>
            <w:gridSpan w:val="4"/>
            <w:shd w:val="clear" w:color="auto" w:fill="auto"/>
            <w:noWrap/>
            <w:vAlign w:val="center"/>
          </w:tcPr>
          <w:p w14:paraId="24EF3B67">
            <w:pPr>
              <w:widowControl/>
              <w:jc w:val="center"/>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1"/>
                <w:szCs w:val="21"/>
              </w:rPr>
              <w:t>污染影响型</w:t>
            </w:r>
          </w:p>
        </w:tc>
      </w:tr>
      <w:tr w14:paraId="677C43BC">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85" w:hRule="atLeast"/>
        </w:trPr>
        <w:tc>
          <w:tcPr>
            <w:tcW w:w="1076" w:type="pct"/>
            <w:vMerge w:val="continue"/>
            <w:vAlign w:val="center"/>
          </w:tcPr>
          <w:p w14:paraId="2D861D7A">
            <w:pPr>
              <w:widowControl/>
              <w:jc w:val="center"/>
              <w:rPr>
                <w:rFonts w:hint="default" w:ascii="Times New Roman" w:hAnsi="Times New Roman" w:eastAsia="宋体" w:cs="Times New Roman"/>
                <w:kern w:val="0"/>
                <w:sz w:val="21"/>
                <w:szCs w:val="21"/>
              </w:rPr>
            </w:pPr>
          </w:p>
        </w:tc>
        <w:tc>
          <w:tcPr>
            <w:tcW w:w="995" w:type="pct"/>
            <w:shd w:val="clear" w:color="auto" w:fill="auto"/>
            <w:noWrap/>
            <w:vAlign w:val="center"/>
          </w:tcPr>
          <w:p w14:paraId="19E8B3D6">
            <w:pPr>
              <w:widowControl/>
              <w:jc w:val="center"/>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1"/>
                <w:szCs w:val="21"/>
              </w:rPr>
              <w:t>大气沉降</w:t>
            </w:r>
          </w:p>
        </w:tc>
        <w:tc>
          <w:tcPr>
            <w:tcW w:w="1082" w:type="pct"/>
            <w:shd w:val="clear" w:color="auto" w:fill="auto"/>
            <w:noWrap/>
            <w:vAlign w:val="center"/>
          </w:tcPr>
          <w:p w14:paraId="1A531415">
            <w:pPr>
              <w:widowControl/>
              <w:jc w:val="center"/>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1"/>
                <w:szCs w:val="21"/>
              </w:rPr>
              <w:t>地面漫流</w:t>
            </w:r>
          </w:p>
        </w:tc>
        <w:tc>
          <w:tcPr>
            <w:tcW w:w="994" w:type="pct"/>
            <w:shd w:val="clear" w:color="auto" w:fill="auto"/>
            <w:noWrap/>
            <w:vAlign w:val="center"/>
          </w:tcPr>
          <w:p w14:paraId="580416AB">
            <w:pPr>
              <w:widowControl/>
              <w:jc w:val="center"/>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1"/>
                <w:szCs w:val="21"/>
              </w:rPr>
              <w:t>垂直入渗</w:t>
            </w:r>
          </w:p>
        </w:tc>
        <w:tc>
          <w:tcPr>
            <w:tcW w:w="851" w:type="pct"/>
            <w:shd w:val="clear" w:color="auto" w:fill="auto"/>
            <w:noWrap/>
            <w:vAlign w:val="center"/>
          </w:tcPr>
          <w:p w14:paraId="63546ED6">
            <w:pPr>
              <w:widowControl/>
              <w:jc w:val="center"/>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1"/>
                <w:szCs w:val="21"/>
              </w:rPr>
              <w:t>其他</w:t>
            </w:r>
          </w:p>
        </w:tc>
      </w:tr>
      <w:tr w14:paraId="7F16F519">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85" w:hRule="atLeast"/>
        </w:trPr>
        <w:tc>
          <w:tcPr>
            <w:tcW w:w="1076" w:type="pct"/>
            <w:shd w:val="clear" w:color="auto" w:fill="auto"/>
            <w:noWrap/>
            <w:vAlign w:val="center"/>
          </w:tcPr>
          <w:p w14:paraId="05AF6DEA">
            <w:pPr>
              <w:widowControl/>
              <w:jc w:val="center"/>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1"/>
                <w:szCs w:val="21"/>
              </w:rPr>
              <w:t>建设期</w:t>
            </w:r>
          </w:p>
        </w:tc>
        <w:tc>
          <w:tcPr>
            <w:tcW w:w="995" w:type="pct"/>
            <w:shd w:val="clear" w:color="auto" w:fill="auto"/>
            <w:noWrap/>
            <w:vAlign w:val="center"/>
          </w:tcPr>
          <w:p w14:paraId="77F37073">
            <w:pPr>
              <w:widowControl/>
              <w:jc w:val="center"/>
              <w:rPr>
                <w:rFonts w:hint="default" w:ascii="Times New Roman" w:hAnsi="Times New Roman" w:eastAsia="宋体" w:cs="Times New Roman"/>
                <w:kern w:val="0"/>
                <w:sz w:val="21"/>
                <w:szCs w:val="21"/>
              </w:rPr>
            </w:pPr>
          </w:p>
        </w:tc>
        <w:tc>
          <w:tcPr>
            <w:tcW w:w="1082" w:type="pct"/>
            <w:shd w:val="clear" w:color="auto" w:fill="auto"/>
            <w:noWrap/>
            <w:vAlign w:val="center"/>
          </w:tcPr>
          <w:p w14:paraId="2CA85BF9">
            <w:pPr>
              <w:widowControl/>
              <w:jc w:val="center"/>
              <w:rPr>
                <w:rFonts w:hint="default" w:ascii="Times New Roman" w:hAnsi="Times New Roman" w:eastAsia="宋体" w:cs="Times New Roman"/>
                <w:kern w:val="0"/>
                <w:sz w:val="21"/>
                <w:szCs w:val="21"/>
              </w:rPr>
            </w:pPr>
          </w:p>
        </w:tc>
        <w:tc>
          <w:tcPr>
            <w:tcW w:w="994" w:type="pct"/>
            <w:shd w:val="clear" w:color="auto" w:fill="auto"/>
            <w:noWrap/>
            <w:vAlign w:val="center"/>
          </w:tcPr>
          <w:p w14:paraId="7BA8D8E7">
            <w:pPr>
              <w:widowControl/>
              <w:jc w:val="center"/>
              <w:rPr>
                <w:rFonts w:hint="default" w:ascii="Times New Roman" w:hAnsi="Times New Roman" w:eastAsia="宋体" w:cs="Times New Roman"/>
                <w:kern w:val="0"/>
                <w:sz w:val="21"/>
                <w:szCs w:val="21"/>
              </w:rPr>
            </w:pPr>
          </w:p>
        </w:tc>
        <w:tc>
          <w:tcPr>
            <w:tcW w:w="851" w:type="pct"/>
            <w:shd w:val="clear" w:color="auto" w:fill="auto"/>
            <w:noWrap/>
            <w:vAlign w:val="center"/>
          </w:tcPr>
          <w:p w14:paraId="5A08691C">
            <w:pPr>
              <w:widowControl/>
              <w:jc w:val="center"/>
              <w:rPr>
                <w:rFonts w:hint="default" w:ascii="Times New Roman" w:hAnsi="Times New Roman" w:eastAsia="宋体" w:cs="Times New Roman"/>
                <w:kern w:val="0"/>
                <w:sz w:val="21"/>
                <w:szCs w:val="21"/>
              </w:rPr>
            </w:pPr>
          </w:p>
        </w:tc>
      </w:tr>
      <w:tr w14:paraId="73BCA34A">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85" w:hRule="atLeast"/>
        </w:trPr>
        <w:tc>
          <w:tcPr>
            <w:tcW w:w="1076" w:type="pct"/>
            <w:shd w:val="clear" w:color="auto" w:fill="auto"/>
            <w:noWrap/>
            <w:vAlign w:val="center"/>
          </w:tcPr>
          <w:p w14:paraId="259564E3">
            <w:pPr>
              <w:widowControl/>
              <w:jc w:val="center"/>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1"/>
                <w:szCs w:val="21"/>
              </w:rPr>
              <w:t>运营期</w:t>
            </w:r>
          </w:p>
        </w:tc>
        <w:tc>
          <w:tcPr>
            <w:tcW w:w="995" w:type="pct"/>
            <w:shd w:val="clear" w:color="auto" w:fill="auto"/>
            <w:noWrap/>
            <w:vAlign w:val="center"/>
          </w:tcPr>
          <w:p w14:paraId="3C4D1703">
            <w:pPr>
              <w:widowControl/>
              <w:jc w:val="center"/>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1"/>
                <w:szCs w:val="21"/>
              </w:rPr>
              <w:t>√</w:t>
            </w:r>
          </w:p>
        </w:tc>
        <w:tc>
          <w:tcPr>
            <w:tcW w:w="1082" w:type="pct"/>
            <w:shd w:val="clear" w:color="auto" w:fill="auto"/>
            <w:noWrap/>
            <w:vAlign w:val="center"/>
          </w:tcPr>
          <w:p w14:paraId="5DF0E923">
            <w:pPr>
              <w:widowControl/>
              <w:jc w:val="center"/>
              <w:rPr>
                <w:rFonts w:hint="default" w:ascii="Times New Roman" w:hAnsi="Times New Roman" w:eastAsia="宋体" w:cs="Times New Roman"/>
                <w:kern w:val="0"/>
                <w:sz w:val="21"/>
                <w:szCs w:val="21"/>
              </w:rPr>
            </w:pPr>
          </w:p>
        </w:tc>
        <w:tc>
          <w:tcPr>
            <w:tcW w:w="994" w:type="pct"/>
            <w:shd w:val="clear" w:color="auto" w:fill="auto"/>
            <w:noWrap/>
            <w:vAlign w:val="center"/>
          </w:tcPr>
          <w:p w14:paraId="4BEFAD38">
            <w:pPr>
              <w:widowControl/>
              <w:jc w:val="center"/>
              <w:rPr>
                <w:rFonts w:hint="default" w:ascii="Times New Roman" w:hAnsi="Times New Roman" w:eastAsia="宋体" w:cs="Times New Roman"/>
                <w:kern w:val="0"/>
                <w:sz w:val="21"/>
                <w:szCs w:val="21"/>
              </w:rPr>
            </w:pPr>
          </w:p>
        </w:tc>
        <w:tc>
          <w:tcPr>
            <w:tcW w:w="851" w:type="pct"/>
            <w:shd w:val="clear" w:color="auto" w:fill="auto"/>
            <w:noWrap/>
            <w:vAlign w:val="center"/>
          </w:tcPr>
          <w:p w14:paraId="47DFC6F5">
            <w:pPr>
              <w:widowControl/>
              <w:jc w:val="center"/>
              <w:rPr>
                <w:rFonts w:hint="default" w:ascii="Times New Roman" w:hAnsi="Times New Roman" w:eastAsia="宋体" w:cs="Times New Roman"/>
                <w:kern w:val="0"/>
                <w:sz w:val="21"/>
                <w:szCs w:val="21"/>
              </w:rPr>
            </w:pPr>
          </w:p>
        </w:tc>
      </w:tr>
      <w:tr w14:paraId="2B755FF9">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85" w:hRule="atLeast"/>
        </w:trPr>
        <w:tc>
          <w:tcPr>
            <w:tcW w:w="1076" w:type="pct"/>
            <w:shd w:val="clear" w:color="auto" w:fill="auto"/>
            <w:noWrap/>
            <w:vAlign w:val="center"/>
          </w:tcPr>
          <w:p w14:paraId="553D4479">
            <w:pPr>
              <w:widowControl/>
              <w:jc w:val="center"/>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1"/>
                <w:szCs w:val="21"/>
              </w:rPr>
              <w:t>服务期满后</w:t>
            </w:r>
          </w:p>
        </w:tc>
        <w:tc>
          <w:tcPr>
            <w:tcW w:w="995" w:type="pct"/>
            <w:shd w:val="clear" w:color="auto" w:fill="auto"/>
            <w:noWrap/>
            <w:vAlign w:val="center"/>
          </w:tcPr>
          <w:p w14:paraId="0E2F5993">
            <w:pPr>
              <w:widowControl/>
              <w:jc w:val="center"/>
              <w:rPr>
                <w:rFonts w:hint="default" w:ascii="Times New Roman" w:hAnsi="Times New Roman" w:eastAsia="宋体" w:cs="Times New Roman"/>
                <w:kern w:val="0"/>
                <w:sz w:val="21"/>
                <w:szCs w:val="21"/>
              </w:rPr>
            </w:pPr>
          </w:p>
        </w:tc>
        <w:tc>
          <w:tcPr>
            <w:tcW w:w="1082" w:type="pct"/>
            <w:shd w:val="clear" w:color="auto" w:fill="auto"/>
            <w:noWrap/>
            <w:vAlign w:val="center"/>
          </w:tcPr>
          <w:p w14:paraId="4CADBED1">
            <w:pPr>
              <w:widowControl/>
              <w:jc w:val="center"/>
              <w:rPr>
                <w:rFonts w:hint="default" w:ascii="Times New Roman" w:hAnsi="Times New Roman" w:eastAsia="宋体" w:cs="Times New Roman"/>
                <w:kern w:val="0"/>
                <w:sz w:val="21"/>
                <w:szCs w:val="21"/>
              </w:rPr>
            </w:pPr>
          </w:p>
        </w:tc>
        <w:tc>
          <w:tcPr>
            <w:tcW w:w="994" w:type="pct"/>
            <w:shd w:val="clear" w:color="auto" w:fill="auto"/>
            <w:noWrap/>
            <w:vAlign w:val="center"/>
          </w:tcPr>
          <w:p w14:paraId="3EFB56DB">
            <w:pPr>
              <w:widowControl/>
              <w:jc w:val="center"/>
              <w:rPr>
                <w:rFonts w:hint="default" w:ascii="Times New Roman" w:hAnsi="Times New Roman" w:eastAsia="宋体" w:cs="Times New Roman"/>
                <w:kern w:val="0"/>
                <w:sz w:val="21"/>
                <w:szCs w:val="21"/>
              </w:rPr>
            </w:pPr>
          </w:p>
        </w:tc>
        <w:tc>
          <w:tcPr>
            <w:tcW w:w="851" w:type="pct"/>
            <w:shd w:val="clear" w:color="auto" w:fill="auto"/>
            <w:noWrap/>
            <w:vAlign w:val="center"/>
          </w:tcPr>
          <w:p w14:paraId="669E00EF">
            <w:pPr>
              <w:widowControl/>
              <w:jc w:val="center"/>
              <w:rPr>
                <w:rFonts w:hint="default" w:ascii="Times New Roman" w:hAnsi="Times New Roman" w:eastAsia="宋体" w:cs="Times New Roman"/>
                <w:kern w:val="0"/>
                <w:sz w:val="21"/>
                <w:szCs w:val="21"/>
              </w:rPr>
            </w:pPr>
          </w:p>
        </w:tc>
      </w:tr>
    </w:tbl>
    <w:p w14:paraId="419BF1AC">
      <w:pPr>
        <w:spacing w:line="500" w:lineRule="exact"/>
        <w:ind w:firstLine="482" w:firstLineChars="200"/>
        <w:jc w:val="both"/>
        <w:rPr>
          <w:rFonts w:hint="default" w:ascii="Times New Roman" w:hAnsi="Times New Roman" w:eastAsia="宋体" w:cs="Times New Roman"/>
          <w:b/>
          <w:bCs w:val="0"/>
          <w:lang w:val="en-US" w:eastAsia="zh-CN"/>
        </w:rPr>
      </w:pPr>
      <w:bookmarkStart w:id="518" w:name="_Toc14841"/>
      <w:bookmarkStart w:id="519" w:name="_Toc19240"/>
      <w:bookmarkStart w:id="520" w:name="_Toc6027"/>
      <w:r>
        <w:rPr>
          <w:rFonts w:hint="eastAsia" w:ascii="Times New Roman" w:hAnsi="Times New Roman" w:eastAsia="宋体" w:cs="Times New Roman"/>
          <w:b/>
          <w:bCs w:val="0"/>
          <w:lang w:val="en-US" w:eastAsia="zh-CN"/>
        </w:rPr>
        <w:t>5.6.3.2</w:t>
      </w:r>
      <w:r>
        <w:rPr>
          <w:rFonts w:hint="default" w:ascii="Times New Roman" w:hAnsi="Times New Roman" w:eastAsia="宋体" w:cs="Times New Roman"/>
          <w:b/>
          <w:bCs w:val="0"/>
          <w:lang w:val="en-US" w:eastAsia="zh-CN"/>
        </w:rPr>
        <w:t>土壤环境影响源及影响因子识别</w:t>
      </w:r>
      <w:bookmarkEnd w:id="518"/>
      <w:bookmarkEnd w:id="519"/>
      <w:bookmarkEnd w:id="520"/>
    </w:p>
    <w:p w14:paraId="72FD8A78">
      <w:pPr>
        <w:spacing w:line="500" w:lineRule="exact"/>
        <w:ind w:firstLine="480" w:firstLineChars="200"/>
        <w:jc w:val="both"/>
        <w:rPr>
          <w:rFonts w:hint="default" w:ascii="Times New Roman" w:hAnsi="Times New Roman" w:eastAsia="宋体" w:cs="Times New Roman"/>
          <w:b w:val="0"/>
          <w:bCs/>
          <w:lang w:val="en-US" w:eastAsia="zh-CN"/>
        </w:rPr>
      </w:pPr>
      <w:r>
        <w:rPr>
          <w:rFonts w:hint="default" w:ascii="Times New Roman" w:hAnsi="Times New Roman" w:eastAsia="宋体" w:cs="Times New Roman"/>
          <w:b w:val="0"/>
          <w:bCs/>
          <w:lang w:val="en-US" w:eastAsia="zh-CN"/>
        </w:rPr>
        <w:t>本项目大气沉降主要为生产工序产生的废气对土壤环境产生的影响，根据工程分析本项目废气污染物主要为SO</w:t>
      </w:r>
      <w:r>
        <w:rPr>
          <w:rFonts w:hint="default" w:ascii="Times New Roman" w:hAnsi="Times New Roman" w:eastAsia="宋体" w:cs="Times New Roman"/>
          <w:b w:val="0"/>
          <w:bCs/>
          <w:vertAlign w:val="subscript"/>
          <w:lang w:val="en-US" w:eastAsia="zh-CN"/>
        </w:rPr>
        <w:t>2</w:t>
      </w:r>
      <w:r>
        <w:rPr>
          <w:rFonts w:hint="default" w:ascii="Times New Roman" w:hAnsi="Times New Roman" w:eastAsia="宋体" w:cs="Times New Roman"/>
          <w:b w:val="0"/>
          <w:bCs/>
          <w:lang w:val="en-US" w:eastAsia="zh-CN"/>
        </w:rPr>
        <w:t>、NOx、烟尘、氟化物、氨气和二噁英，污染物进入土壤后，由于土壤对它们的固定作用，不易向下迁移，多数集中分布在表层。通过收集处理、有组织排放等措施，产生废气影响范围较小，对厂区范围外土壤影响不大。本项目选取污染物氟化物、氨氮和二噁英进行预测。</w:t>
      </w:r>
    </w:p>
    <w:p w14:paraId="4438D0D9">
      <w:pPr>
        <w:spacing w:line="500" w:lineRule="exact"/>
        <w:ind w:firstLine="482" w:firstLineChars="200"/>
        <w:jc w:val="both"/>
        <w:rPr>
          <w:rFonts w:hint="default" w:ascii="Times New Roman" w:hAnsi="Times New Roman" w:eastAsia="宋体" w:cs="Times New Roman"/>
          <w:b/>
          <w:bCs w:val="0"/>
          <w:lang w:val="en-US" w:eastAsia="zh-CN"/>
        </w:rPr>
      </w:pPr>
      <w:bookmarkStart w:id="521" w:name="_Toc22859"/>
      <w:bookmarkStart w:id="522" w:name="_Toc30550"/>
      <w:bookmarkStart w:id="523" w:name="_Toc16157"/>
      <w:bookmarkStart w:id="524" w:name="_Toc16405"/>
      <w:r>
        <w:rPr>
          <w:rFonts w:hint="eastAsia" w:ascii="Times New Roman" w:hAnsi="Times New Roman" w:eastAsia="宋体" w:cs="Times New Roman"/>
          <w:b/>
          <w:bCs w:val="0"/>
          <w:lang w:val="en-US" w:eastAsia="zh-CN"/>
        </w:rPr>
        <w:t>5.6.3.3</w:t>
      </w:r>
      <w:r>
        <w:rPr>
          <w:rFonts w:hint="default" w:ascii="Times New Roman" w:hAnsi="Times New Roman" w:eastAsia="宋体" w:cs="Times New Roman"/>
          <w:b/>
          <w:bCs w:val="0"/>
          <w:lang w:val="en-US" w:eastAsia="zh-CN"/>
        </w:rPr>
        <w:t>大气沉降土壤中污染物影响预测分析</w:t>
      </w:r>
      <w:bookmarkEnd w:id="521"/>
      <w:bookmarkEnd w:id="522"/>
      <w:bookmarkEnd w:id="523"/>
      <w:bookmarkEnd w:id="524"/>
    </w:p>
    <w:p w14:paraId="08914794">
      <w:pPr>
        <w:spacing w:line="500" w:lineRule="exact"/>
        <w:ind w:firstLine="480" w:firstLineChars="200"/>
        <w:jc w:val="both"/>
        <w:rPr>
          <w:rFonts w:hint="default" w:ascii="Times New Roman" w:hAnsi="Times New Roman" w:eastAsia="宋体" w:cs="Times New Roman"/>
          <w:b w:val="0"/>
          <w:bCs/>
          <w:lang w:val="en-US" w:eastAsia="zh-CN"/>
        </w:rPr>
      </w:pPr>
      <w:r>
        <w:rPr>
          <w:rFonts w:hint="default" w:ascii="Times New Roman" w:hAnsi="Times New Roman" w:eastAsia="宋体" w:cs="Times New Roman"/>
          <w:b w:val="0"/>
          <w:bCs/>
          <w:lang w:val="en-US" w:eastAsia="zh-CN"/>
        </w:rPr>
        <w:t>本技改项目废气中含有氟化物、氨氮和二噁英，随废气排放至大气环境中，最后可能由于沉降作用而进入土壤环境，有可能对土壤环境产生影响。</w:t>
      </w:r>
    </w:p>
    <w:p w14:paraId="0E195D6B">
      <w:pPr>
        <w:spacing w:line="500" w:lineRule="exact"/>
        <w:ind w:firstLine="480" w:firstLineChars="200"/>
        <w:jc w:val="both"/>
        <w:rPr>
          <w:rFonts w:hint="default" w:ascii="Times New Roman" w:hAnsi="Times New Roman" w:eastAsia="宋体" w:cs="Times New Roman"/>
          <w:b w:val="0"/>
          <w:bCs/>
          <w:lang w:val="en-US" w:eastAsia="zh-CN"/>
        </w:rPr>
      </w:pPr>
      <w:bookmarkStart w:id="525" w:name="_Toc6543"/>
      <w:bookmarkStart w:id="526" w:name="_Toc23363"/>
      <w:bookmarkStart w:id="527" w:name="_Toc20250"/>
      <w:r>
        <w:rPr>
          <w:rFonts w:hint="eastAsia" w:ascii="Times New Roman" w:hAnsi="Times New Roman" w:eastAsia="宋体" w:cs="Times New Roman"/>
          <w:b w:val="0"/>
          <w:bCs/>
          <w:lang w:val="en-US" w:eastAsia="zh-CN"/>
        </w:rPr>
        <w:t>1、</w:t>
      </w:r>
      <w:r>
        <w:rPr>
          <w:rFonts w:hint="default" w:ascii="Times New Roman" w:hAnsi="Times New Roman" w:eastAsia="宋体" w:cs="Times New Roman"/>
          <w:b w:val="0"/>
          <w:bCs/>
          <w:lang w:val="en-US" w:eastAsia="zh-CN"/>
        </w:rPr>
        <w:t>模型选择</w:t>
      </w:r>
      <w:bookmarkEnd w:id="525"/>
      <w:bookmarkEnd w:id="526"/>
      <w:bookmarkEnd w:id="527"/>
    </w:p>
    <w:p w14:paraId="508CD72B">
      <w:pPr>
        <w:spacing w:line="500" w:lineRule="exact"/>
        <w:ind w:firstLine="480" w:firstLineChars="200"/>
        <w:jc w:val="both"/>
        <w:rPr>
          <w:rFonts w:hint="default" w:ascii="Times New Roman" w:hAnsi="Times New Roman" w:eastAsia="宋体" w:cs="Times New Roman"/>
          <w:b w:val="0"/>
          <w:bCs/>
          <w:lang w:val="en-US" w:eastAsia="zh-CN"/>
        </w:rPr>
      </w:pPr>
      <w:r>
        <w:rPr>
          <w:rFonts w:hint="default" w:ascii="Times New Roman" w:hAnsi="Times New Roman" w:eastAsia="宋体" w:cs="Times New Roman"/>
          <w:b w:val="0"/>
          <w:bCs/>
          <w:lang w:val="en-US" w:eastAsia="zh-CN"/>
        </w:rPr>
        <w:t>本次评价选取《环境影响评价技术导则 土壤环境（试行）》（HJ964-2018）中附录E的方法一进行预测分析评价，预测方法如下。</w:t>
      </w:r>
    </w:p>
    <w:p w14:paraId="3EFB4860">
      <w:pPr>
        <w:spacing w:line="500" w:lineRule="exact"/>
        <w:ind w:firstLine="480" w:firstLineChars="200"/>
        <w:jc w:val="both"/>
        <w:rPr>
          <w:rFonts w:hint="default" w:ascii="Times New Roman" w:hAnsi="Times New Roman" w:eastAsia="宋体" w:cs="Times New Roman"/>
          <w:b w:val="0"/>
          <w:bCs/>
          <w:lang w:val="en-US" w:eastAsia="zh-CN"/>
        </w:rPr>
      </w:pPr>
      <w:r>
        <w:rPr>
          <w:rFonts w:hint="default" w:ascii="Times New Roman" w:hAnsi="Times New Roman" w:eastAsia="宋体" w:cs="Times New Roman"/>
          <w:b w:val="0"/>
          <w:bCs/>
          <w:lang w:val="en-US" w:eastAsia="zh-CN"/>
        </w:rPr>
        <w:t>单位质量土壤中某种物质的增量可用下式进行计算：</w:t>
      </w:r>
    </w:p>
    <w:p w14:paraId="2C7DB11D">
      <w:pPr>
        <w:keepNext w:val="0"/>
        <w:keepLines w:val="0"/>
        <w:pageBreakBefore w:val="0"/>
        <w:widowControl/>
        <w:kinsoku/>
        <w:wordWrap/>
        <w:overflowPunct/>
        <w:topLinePunct w:val="0"/>
        <w:autoSpaceDE/>
        <w:autoSpaceDN/>
        <w:bidi w:val="0"/>
        <w:adjustRightInd/>
        <w:snapToGrid/>
        <w:spacing w:line="360" w:lineRule="auto"/>
        <w:jc w:val="center"/>
        <w:textAlignment w:val="auto"/>
        <w:outlineLvl w:val="9"/>
        <w:rPr>
          <w:rFonts w:hint="default" w:ascii="Times New Roman" w:hAnsi="Times New Roman" w:cs="Times New Roman"/>
          <w:kern w:val="0"/>
          <w:sz w:val="28"/>
          <w:szCs w:val="28"/>
        </w:rPr>
      </w:pPr>
      <w:r>
        <w:rPr>
          <w:rFonts w:hint="default" w:ascii="Times New Roman" w:hAnsi="Times New Roman" w:cs="Times New Roman"/>
          <w:kern w:val="0"/>
          <w:sz w:val="28"/>
          <w:szCs w:val="28"/>
        </w:rPr>
        <w:t>ΔS=n</w:t>
      </w:r>
      <w:r>
        <w:rPr>
          <w:rFonts w:hint="default" w:ascii="Times New Roman" w:hAnsi="Times New Roman" w:cs="Times New Roman"/>
          <w:kern w:val="0"/>
          <w:sz w:val="28"/>
          <w:szCs w:val="28"/>
          <w:lang w:eastAsia="zh-CN"/>
        </w:rPr>
        <w:t>（</w:t>
      </w:r>
      <w:r>
        <w:rPr>
          <w:rFonts w:hint="default" w:ascii="Times New Roman" w:hAnsi="Times New Roman" w:cs="Times New Roman"/>
          <w:kern w:val="0"/>
          <w:sz w:val="28"/>
          <w:szCs w:val="28"/>
        </w:rPr>
        <w:t>Is-Ls-Rs</w:t>
      </w:r>
      <w:r>
        <w:rPr>
          <w:rFonts w:hint="default" w:ascii="Times New Roman" w:hAnsi="Times New Roman" w:cs="Times New Roman"/>
          <w:kern w:val="0"/>
          <w:sz w:val="28"/>
          <w:szCs w:val="28"/>
          <w:lang w:eastAsia="zh-CN"/>
        </w:rPr>
        <w:t>）</w:t>
      </w:r>
      <w:r>
        <w:rPr>
          <w:rFonts w:hint="default" w:ascii="Times New Roman" w:hAnsi="Times New Roman" w:cs="Times New Roman"/>
          <w:kern w:val="0"/>
          <w:sz w:val="28"/>
          <w:szCs w:val="28"/>
        </w:rPr>
        <w:t>/</w:t>
      </w:r>
      <w:r>
        <w:rPr>
          <w:rFonts w:hint="default" w:ascii="Times New Roman" w:hAnsi="Times New Roman" w:cs="Times New Roman"/>
          <w:kern w:val="0"/>
          <w:sz w:val="28"/>
          <w:szCs w:val="28"/>
          <w:lang w:eastAsia="zh-CN"/>
        </w:rPr>
        <w:t>（</w:t>
      </w:r>
      <w:r>
        <w:rPr>
          <w:rFonts w:hint="default" w:ascii="Times New Roman" w:hAnsi="Times New Roman" w:cs="Times New Roman"/>
          <w:kern w:val="0"/>
          <w:sz w:val="28"/>
          <w:szCs w:val="28"/>
        </w:rPr>
        <w:t>ρb</w:t>
      </w:r>
      <w:r>
        <w:rPr>
          <w:rFonts w:hint="default" w:ascii="Times New Roman" w:hAnsi="Times New Roman" w:cs="Times New Roman"/>
          <w:kern w:val="0"/>
          <w:sz w:val="28"/>
          <w:szCs w:val="28"/>
          <w:lang w:val="en-US" w:eastAsia="zh-CN"/>
        </w:rPr>
        <w:t>×</w:t>
      </w:r>
      <w:r>
        <w:rPr>
          <w:rFonts w:hint="default" w:ascii="Times New Roman" w:hAnsi="Times New Roman" w:cs="Times New Roman"/>
          <w:kern w:val="0"/>
          <w:sz w:val="28"/>
          <w:szCs w:val="28"/>
        </w:rPr>
        <w:t>A</w:t>
      </w:r>
      <w:r>
        <w:rPr>
          <w:rFonts w:hint="default" w:ascii="Times New Roman" w:hAnsi="Times New Roman" w:cs="Times New Roman"/>
          <w:kern w:val="0"/>
          <w:sz w:val="28"/>
          <w:szCs w:val="28"/>
          <w:lang w:val="en-US" w:eastAsia="zh-CN"/>
        </w:rPr>
        <w:t>×</w:t>
      </w:r>
      <w:r>
        <w:rPr>
          <w:rFonts w:hint="default" w:ascii="Times New Roman" w:hAnsi="Times New Roman" w:cs="Times New Roman"/>
          <w:kern w:val="0"/>
          <w:sz w:val="28"/>
          <w:szCs w:val="28"/>
        </w:rPr>
        <w:t>D</w:t>
      </w:r>
      <w:r>
        <w:rPr>
          <w:rFonts w:hint="default" w:ascii="Times New Roman" w:hAnsi="Times New Roman" w:cs="Times New Roman"/>
          <w:kern w:val="0"/>
          <w:sz w:val="28"/>
          <w:szCs w:val="28"/>
          <w:lang w:eastAsia="zh-CN"/>
        </w:rPr>
        <w:t>）</w:t>
      </w:r>
    </w:p>
    <w:p w14:paraId="1EE9D4E4">
      <w:pPr>
        <w:spacing w:line="500" w:lineRule="exact"/>
        <w:ind w:firstLine="480" w:firstLineChars="200"/>
        <w:jc w:val="both"/>
        <w:rPr>
          <w:rFonts w:hint="default" w:ascii="Times New Roman" w:hAnsi="Times New Roman" w:eastAsia="宋体" w:cs="Times New Roman"/>
          <w:b w:val="0"/>
          <w:bCs/>
          <w:lang w:val="en-US" w:eastAsia="zh-CN"/>
        </w:rPr>
      </w:pPr>
      <w:r>
        <w:rPr>
          <w:rFonts w:hint="default" w:ascii="Times New Roman" w:hAnsi="Times New Roman" w:eastAsia="宋体" w:cs="Times New Roman"/>
          <w:b w:val="0"/>
          <w:bCs/>
          <w:lang w:val="en-US" w:eastAsia="zh-CN"/>
        </w:rPr>
        <w:t>式中：ΔS—单位质量表层土壤中某种物质的增量，g/kg；</w:t>
      </w:r>
    </w:p>
    <w:p w14:paraId="23C2544C">
      <w:pPr>
        <w:spacing w:line="500" w:lineRule="exact"/>
        <w:ind w:firstLine="1200" w:firstLineChars="500"/>
        <w:jc w:val="both"/>
        <w:rPr>
          <w:rFonts w:hint="default" w:ascii="Times New Roman" w:hAnsi="Times New Roman" w:eastAsia="宋体" w:cs="Times New Roman"/>
          <w:b w:val="0"/>
          <w:bCs/>
          <w:lang w:val="en-US" w:eastAsia="zh-CN"/>
        </w:rPr>
      </w:pPr>
      <w:r>
        <w:rPr>
          <w:rFonts w:hint="default" w:ascii="Times New Roman" w:hAnsi="Times New Roman" w:eastAsia="宋体" w:cs="Times New Roman"/>
          <w:b w:val="0"/>
          <w:bCs/>
          <w:lang w:val="en-US" w:eastAsia="zh-CN"/>
        </w:rPr>
        <w:t>Is—预测评价范围内单位年份表层土壤中某种物质的输入量，g；</w:t>
      </w:r>
    </w:p>
    <w:p w14:paraId="2BB36BD9">
      <w:pPr>
        <w:spacing w:line="500" w:lineRule="exact"/>
        <w:ind w:firstLine="1200" w:firstLineChars="500"/>
        <w:jc w:val="both"/>
        <w:rPr>
          <w:rFonts w:hint="default" w:ascii="Times New Roman" w:hAnsi="Times New Roman" w:eastAsia="宋体" w:cs="Times New Roman"/>
          <w:b w:val="0"/>
          <w:bCs/>
          <w:lang w:val="en-US" w:eastAsia="zh-CN"/>
        </w:rPr>
      </w:pPr>
      <w:r>
        <w:rPr>
          <w:rFonts w:hint="default" w:ascii="Times New Roman" w:hAnsi="Times New Roman" w:eastAsia="宋体" w:cs="Times New Roman"/>
          <w:b w:val="0"/>
          <w:bCs/>
          <w:lang w:val="en-US" w:eastAsia="zh-CN"/>
        </w:rPr>
        <w:t>Ls—预测评价范围内单位年份表层土壤中某种物质经淋溶排出的量，g；</w:t>
      </w:r>
    </w:p>
    <w:p w14:paraId="2E37AE18">
      <w:pPr>
        <w:spacing w:line="500" w:lineRule="exact"/>
        <w:ind w:firstLine="1200" w:firstLineChars="500"/>
        <w:jc w:val="both"/>
        <w:rPr>
          <w:rFonts w:hint="default" w:ascii="Times New Roman" w:hAnsi="Times New Roman" w:eastAsia="宋体" w:cs="Times New Roman"/>
          <w:b w:val="0"/>
          <w:bCs/>
          <w:lang w:val="en-US" w:eastAsia="zh-CN"/>
        </w:rPr>
      </w:pPr>
      <w:r>
        <w:rPr>
          <w:rFonts w:hint="default" w:ascii="Times New Roman" w:hAnsi="Times New Roman" w:eastAsia="宋体" w:cs="Times New Roman"/>
          <w:b w:val="0"/>
          <w:bCs/>
          <w:lang w:val="en-US" w:eastAsia="zh-CN"/>
        </w:rPr>
        <w:t>Rs—预测评价范围内单位年份表层土壤中某种物质经径流排出的量，g；</w:t>
      </w:r>
    </w:p>
    <w:p w14:paraId="1E3FDF1E">
      <w:pPr>
        <w:spacing w:line="500" w:lineRule="exact"/>
        <w:ind w:firstLine="1200" w:firstLineChars="500"/>
        <w:jc w:val="both"/>
        <w:rPr>
          <w:rFonts w:hint="default" w:ascii="Times New Roman" w:hAnsi="Times New Roman" w:eastAsia="宋体" w:cs="Times New Roman"/>
          <w:b w:val="0"/>
          <w:bCs/>
          <w:lang w:val="en-US" w:eastAsia="zh-CN"/>
        </w:rPr>
      </w:pPr>
      <w:r>
        <w:rPr>
          <w:rFonts w:hint="default" w:ascii="Times New Roman" w:hAnsi="Times New Roman" w:eastAsia="宋体" w:cs="Times New Roman"/>
          <w:b w:val="0"/>
          <w:bCs/>
          <w:lang w:val="en-US" w:eastAsia="zh-CN"/>
        </w:rPr>
        <w:t>ρb—表层土壤容重，kg/m</w:t>
      </w:r>
      <w:r>
        <w:rPr>
          <w:rFonts w:hint="default" w:ascii="Times New Roman" w:hAnsi="Times New Roman" w:eastAsia="宋体" w:cs="Times New Roman"/>
          <w:b w:val="0"/>
          <w:bCs/>
          <w:vertAlign w:val="superscript"/>
          <w:lang w:val="en-US" w:eastAsia="zh-CN"/>
        </w:rPr>
        <w:t>3</w:t>
      </w:r>
      <w:r>
        <w:rPr>
          <w:rFonts w:hint="default" w:ascii="Times New Roman" w:hAnsi="Times New Roman" w:eastAsia="宋体" w:cs="Times New Roman"/>
          <w:b w:val="0"/>
          <w:bCs/>
          <w:lang w:val="en-US" w:eastAsia="zh-CN"/>
        </w:rPr>
        <w:t>；</w:t>
      </w:r>
    </w:p>
    <w:p w14:paraId="00420D38">
      <w:pPr>
        <w:spacing w:line="500" w:lineRule="exact"/>
        <w:ind w:firstLine="1200" w:firstLineChars="500"/>
        <w:jc w:val="both"/>
        <w:rPr>
          <w:rFonts w:hint="default" w:ascii="Times New Roman" w:hAnsi="Times New Roman" w:eastAsia="宋体" w:cs="Times New Roman"/>
          <w:b w:val="0"/>
          <w:bCs/>
          <w:lang w:val="en-US" w:eastAsia="zh-CN"/>
        </w:rPr>
      </w:pPr>
      <w:r>
        <w:rPr>
          <w:rFonts w:hint="default" w:ascii="Times New Roman" w:hAnsi="Times New Roman" w:eastAsia="宋体" w:cs="Times New Roman"/>
          <w:b w:val="0"/>
          <w:bCs/>
          <w:lang w:val="en-US" w:eastAsia="zh-CN"/>
        </w:rPr>
        <w:t>A—预测评价范围，m</w:t>
      </w:r>
      <w:r>
        <w:rPr>
          <w:rFonts w:hint="default" w:ascii="Times New Roman" w:hAnsi="Times New Roman" w:eastAsia="宋体" w:cs="Times New Roman"/>
          <w:b w:val="0"/>
          <w:bCs/>
          <w:vertAlign w:val="superscript"/>
          <w:lang w:val="en-US" w:eastAsia="zh-CN"/>
        </w:rPr>
        <w:t>2</w:t>
      </w:r>
      <w:r>
        <w:rPr>
          <w:rFonts w:hint="default" w:ascii="Times New Roman" w:hAnsi="Times New Roman" w:eastAsia="宋体" w:cs="Times New Roman"/>
          <w:b w:val="0"/>
          <w:bCs/>
          <w:lang w:val="en-US" w:eastAsia="zh-CN"/>
        </w:rPr>
        <w:t>；</w:t>
      </w:r>
    </w:p>
    <w:p w14:paraId="5DE8283D">
      <w:pPr>
        <w:spacing w:line="500" w:lineRule="exact"/>
        <w:ind w:firstLine="960" w:firstLineChars="400"/>
        <w:jc w:val="both"/>
        <w:rPr>
          <w:rFonts w:hint="default" w:ascii="Times New Roman" w:hAnsi="Times New Roman" w:eastAsia="宋体" w:cs="Times New Roman"/>
          <w:b w:val="0"/>
          <w:bCs/>
          <w:lang w:val="en-US" w:eastAsia="zh-CN"/>
        </w:rPr>
      </w:pPr>
      <w:r>
        <w:rPr>
          <w:rFonts w:hint="default" w:ascii="Times New Roman" w:hAnsi="Times New Roman" w:eastAsia="宋体" w:cs="Times New Roman"/>
          <w:b w:val="0"/>
          <w:bCs/>
          <w:lang w:val="en-US" w:eastAsia="zh-CN"/>
        </w:rPr>
        <w:t>D—表层土壤深度，一般取0.2m；</w:t>
      </w:r>
    </w:p>
    <w:p w14:paraId="03AAC8CA">
      <w:pPr>
        <w:spacing w:line="500" w:lineRule="exact"/>
        <w:ind w:firstLine="960" w:firstLineChars="400"/>
        <w:jc w:val="both"/>
        <w:rPr>
          <w:rFonts w:hint="default" w:ascii="Times New Roman" w:hAnsi="Times New Roman" w:eastAsia="宋体" w:cs="Times New Roman"/>
          <w:b w:val="0"/>
          <w:bCs/>
          <w:lang w:val="en-US" w:eastAsia="zh-CN"/>
        </w:rPr>
      </w:pPr>
      <w:r>
        <w:rPr>
          <w:rFonts w:hint="default" w:ascii="Times New Roman" w:hAnsi="Times New Roman" w:eastAsia="宋体" w:cs="Times New Roman"/>
          <w:b w:val="0"/>
          <w:bCs/>
          <w:lang w:val="en-US" w:eastAsia="zh-CN"/>
        </w:rPr>
        <w:t>n—持续年份，a。</w:t>
      </w:r>
    </w:p>
    <w:p w14:paraId="6D59E907">
      <w:pPr>
        <w:keepNext w:val="0"/>
        <w:keepLines w:val="0"/>
        <w:pageBreakBefore w:val="0"/>
        <w:widowControl/>
        <w:kinsoku/>
        <w:wordWrap/>
        <w:overflowPunct/>
        <w:topLinePunct w:val="0"/>
        <w:autoSpaceDE/>
        <w:autoSpaceDN/>
        <w:bidi w:val="0"/>
        <w:adjustRightInd/>
        <w:snapToGrid/>
        <w:spacing w:line="360" w:lineRule="auto"/>
        <w:jc w:val="center"/>
        <w:textAlignment w:val="auto"/>
        <w:outlineLvl w:val="9"/>
        <w:rPr>
          <w:rFonts w:hint="default" w:ascii="Times New Roman" w:hAnsi="Times New Roman" w:eastAsia="宋体" w:cs="Times New Roman"/>
          <w:kern w:val="0"/>
          <w:sz w:val="28"/>
          <w:szCs w:val="28"/>
          <w:lang w:val="en-US" w:eastAsia="zh-CN"/>
        </w:rPr>
      </w:pPr>
      <w:r>
        <w:rPr>
          <w:rFonts w:hint="default" w:ascii="Times New Roman" w:hAnsi="Times New Roman" w:eastAsia="宋体" w:cs="Times New Roman"/>
          <w:kern w:val="0"/>
          <w:sz w:val="28"/>
          <w:szCs w:val="28"/>
          <w:lang w:val="en-US" w:eastAsia="zh-CN"/>
        </w:rPr>
        <w:t>S=Sb+ΔS</w:t>
      </w:r>
    </w:p>
    <w:p w14:paraId="6B6A7A8E">
      <w:pPr>
        <w:spacing w:line="500" w:lineRule="exact"/>
        <w:ind w:firstLine="480" w:firstLineChars="200"/>
        <w:jc w:val="both"/>
        <w:rPr>
          <w:rFonts w:hint="default" w:ascii="Times New Roman" w:hAnsi="Times New Roman" w:eastAsia="宋体" w:cs="Times New Roman"/>
          <w:b w:val="0"/>
          <w:bCs/>
          <w:lang w:val="en-US" w:eastAsia="zh-CN"/>
        </w:rPr>
      </w:pPr>
      <w:r>
        <w:rPr>
          <w:rFonts w:hint="default" w:ascii="Times New Roman" w:hAnsi="Times New Roman" w:eastAsia="宋体" w:cs="Times New Roman"/>
          <w:b w:val="0"/>
          <w:bCs/>
          <w:lang w:val="en-US" w:eastAsia="zh-CN"/>
        </w:rPr>
        <w:t>式中：Sb—单位质量土壤中某种物质的现状值，g/kg；</w:t>
      </w:r>
    </w:p>
    <w:p w14:paraId="41F8E8B4">
      <w:pPr>
        <w:spacing w:line="500" w:lineRule="exact"/>
        <w:ind w:firstLine="1200" w:firstLineChars="500"/>
        <w:jc w:val="both"/>
        <w:rPr>
          <w:rFonts w:hint="default" w:ascii="Times New Roman" w:hAnsi="Times New Roman" w:eastAsia="宋体" w:cs="Times New Roman"/>
          <w:b w:val="0"/>
          <w:bCs/>
          <w:lang w:val="en-US" w:eastAsia="zh-CN"/>
        </w:rPr>
      </w:pPr>
      <w:r>
        <w:rPr>
          <w:rFonts w:hint="default" w:ascii="Times New Roman" w:hAnsi="Times New Roman" w:eastAsia="宋体" w:cs="Times New Roman"/>
          <w:b w:val="0"/>
          <w:bCs/>
          <w:lang w:val="en-US" w:eastAsia="zh-CN"/>
        </w:rPr>
        <w:t>S—单位质量土壤中某种物质的预测值，g/kg。</w:t>
      </w:r>
    </w:p>
    <w:p w14:paraId="3E7B8A25">
      <w:pPr>
        <w:spacing w:line="500" w:lineRule="exact"/>
        <w:ind w:firstLine="480" w:firstLineChars="200"/>
        <w:jc w:val="both"/>
        <w:rPr>
          <w:rFonts w:hint="default" w:ascii="Times New Roman" w:hAnsi="Times New Roman" w:eastAsia="宋体" w:cs="Times New Roman"/>
          <w:b w:val="0"/>
          <w:bCs/>
          <w:lang w:val="en-US" w:eastAsia="zh-CN"/>
        </w:rPr>
      </w:pPr>
      <w:bookmarkStart w:id="528" w:name="_Toc25425"/>
      <w:bookmarkStart w:id="529" w:name="_Toc32164"/>
      <w:bookmarkStart w:id="530" w:name="_Toc26669"/>
      <w:r>
        <w:rPr>
          <w:rFonts w:hint="eastAsia" w:ascii="Times New Roman" w:hAnsi="Times New Roman" w:eastAsia="宋体" w:cs="Times New Roman"/>
          <w:b w:val="0"/>
          <w:bCs/>
          <w:lang w:val="en-US" w:eastAsia="zh-CN"/>
        </w:rPr>
        <w:t>2、</w:t>
      </w:r>
      <w:r>
        <w:rPr>
          <w:rFonts w:hint="default" w:ascii="Times New Roman" w:hAnsi="Times New Roman" w:eastAsia="宋体" w:cs="Times New Roman"/>
          <w:b w:val="0"/>
          <w:bCs/>
          <w:lang w:val="en-US" w:eastAsia="zh-CN"/>
        </w:rPr>
        <w:t>预测参数</w:t>
      </w:r>
      <w:bookmarkEnd w:id="528"/>
      <w:bookmarkEnd w:id="529"/>
      <w:bookmarkEnd w:id="530"/>
    </w:p>
    <w:p w14:paraId="0F5DF6C5">
      <w:pPr>
        <w:spacing w:line="500" w:lineRule="exact"/>
        <w:ind w:firstLine="480" w:firstLineChars="200"/>
        <w:jc w:val="both"/>
        <w:rPr>
          <w:rFonts w:hint="default" w:ascii="Times New Roman" w:hAnsi="Times New Roman" w:eastAsia="宋体" w:cs="Times New Roman"/>
          <w:b w:val="0"/>
          <w:bCs/>
          <w:lang w:val="en-US" w:eastAsia="zh-CN"/>
        </w:rPr>
      </w:pPr>
      <w:r>
        <w:rPr>
          <w:rFonts w:hint="default" w:ascii="Times New Roman" w:hAnsi="Times New Roman" w:eastAsia="宋体" w:cs="Times New Roman"/>
          <w:b w:val="0"/>
          <w:bCs/>
          <w:lang w:val="en-US" w:eastAsia="zh-CN"/>
        </w:rPr>
        <w:t>本项目选取的特征污染物质为氟化物、氨氮和二噁英，输入量根据工程分析为特征污染物有组织和无组织排放量总和计算。土壤容重根据本次现状调查表层土壤样品平均容重为1.72(g/cm</w:t>
      </w:r>
      <w:r>
        <w:rPr>
          <w:rFonts w:hint="default" w:ascii="Times New Roman" w:hAnsi="Times New Roman" w:eastAsia="宋体" w:cs="Times New Roman"/>
          <w:b w:val="0"/>
          <w:bCs/>
          <w:vertAlign w:val="superscript"/>
          <w:lang w:val="en-US" w:eastAsia="zh-CN"/>
        </w:rPr>
        <w:t>3</w:t>
      </w:r>
      <w:r>
        <w:rPr>
          <w:rFonts w:hint="default" w:ascii="Times New Roman" w:hAnsi="Times New Roman" w:eastAsia="宋体" w:cs="Times New Roman"/>
          <w:b w:val="0"/>
          <w:bCs/>
          <w:lang w:val="en-US" w:eastAsia="zh-CN"/>
        </w:rPr>
        <w:t>)，土壤评价范围面积约为475200m</w:t>
      </w:r>
      <w:r>
        <w:rPr>
          <w:rFonts w:hint="default" w:ascii="Times New Roman" w:hAnsi="Times New Roman" w:eastAsia="宋体" w:cs="Times New Roman"/>
          <w:b w:val="0"/>
          <w:bCs/>
          <w:vertAlign w:val="superscript"/>
          <w:lang w:val="en-US" w:eastAsia="zh-CN"/>
        </w:rPr>
        <w:t>2</w:t>
      </w:r>
      <w:r>
        <w:rPr>
          <w:rFonts w:hint="default" w:ascii="Times New Roman" w:hAnsi="Times New Roman" w:eastAsia="宋体" w:cs="Times New Roman"/>
          <w:b w:val="0"/>
          <w:bCs/>
          <w:lang w:val="en-US" w:eastAsia="zh-CN"/>
        </w:rPr>
        <w:t>，各参数选取如下表4-3。</w:t>
      </w:r>
    </w:p>
    <w:p w14:paraId="6756DAB8">
      <w:pPr>
        <w:pStyle w:val="719"/>
        <w:keepNext w:val="0"/>
        <w:keepLines w:val="0"/>
        <w:pageBreakBefore w:val="0"/>
        <w:widowControl/>
        <w:kinsoku/>
        <w:wordWrap/>
        <w:overflowPunct/>
        <w:topLinePunct w:val="0"/>
        <w:autoSpaceDE/>
        <w:autoSpaceDN/>
        <w:bidi w:val="0"/>
        <w:adjustRightInd w:val="0"/>
        <w:snapToGrid w:val="0"/>
        <w:spacing w:beforeLines="0" w:line="360" w:lineRule="auto"/>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表</w:t>
      </w:r>
      <w:r>
        <w:rPr>
          <w:rFonts w:hint="default" w:ascii="Times New Roman" w:hAnsi="Times New Roman" w:eastAsia="宋体" w:cs="Times New Roman"/>
          <w:sz w:val="24"/>
          <w:szCs w:val="24"/>
          <w:lang w:val="en-US" w:eastAsia="zh-CN"/>
        </w:rPr>
        <w:t>4-3</w:t>
      </w:r>
      <w:r>
        <w:rPr>
          <w:rFonts w:hint="default" w:ascii="Times New Roman" w:hAnsi="Times New Roman" w:eastAsia="宋体" w:cs="Times New Roman"/>
          <w:sz w:val="24"/>
          <w:szCs w:val="24"/>
        </w:rPr>
        <w:t xml:space="preserve">  预测参数选取</w:t>
      </w:r>
    </w:p>
    <w:tbl>
      <w:tblPr>
        <w:tblStyle w:val="57"/>
        <w:tblW w:w="5000" w:type="pct"/>
        <w:tblInd w:w="0" w:type="dxa"/>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autofit"/>
        <w:tblCellMar>
          <w:top w:w="0" w:type="dxa"/>
          <w:left w:w="108" w:type="dxa"/>
          <w:bottom w:w="0" w:type="dxa"/>
          <w:right w:w="108" w:type="dxa"/>
        </w:tblCellMar>
      </w:tblPr>
      <w:tblGrid>
        <w:gridCol w:w="1088"/>
        <w:gridCol w:w="1419"/>
        <w:gridCol w:w="674"/>
        <w:gridCol w:w="676"/>
        <w:gridCol w:w="1260"/>
        <w:gridCol w:w="1335"/>
        <w:gridCol w:w="829"/>
        <w:gridCol w:w="1440"/>
      </w:tblGrid>
      <w:tr w14:paraId="1DC2F0D7">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97" w:hRule="atLeast"/>
        </w:trPr>
        <w:tc>
          <w:tcPr>
            <w:tcW w:w="623" w:type="pct"/>
            <w:vAlign w:val="center"/>
          </w:tcPr>
          <w:p w14:paraId="411ED2CE">
            <w:pPr>
              <w:widowControl w:val="0"/>
              <w:jc w:val="center"/>
              <w:rPr>
                <w:rFonts w:hint="default" w:ascii="Times New Roman" w:hAnsi="Times New Roman" w:eastAsia="宋体" w:cs="Times New Roman"/>
                <w:sz w:val="21"/>
                <w:szCs w:val="21"/>
              </w:rPr>
            </w:pPr>
            <w:r>
              <w:rPr>
                <w:rFonts w:hint="default" w:ascii="Times New Roman" w:hAnsi="Times New Roman" w:cs="Times New Roman"/>
                <w:sz w:val="21"/>
                <w:szCs w:val="21"/>
              </w:rPr>
              <w:t>预测参数</w:t>
            </w:r>
          </w:p>
        </w:tc>
        <w:tc>
          <w:tcPr>
            <w:tcW w:w="813" w:type="pct"/>
            <w:vAlign w:val="center"/>
          </w:tcPr>
          <w:p w14:paraId="7ECA1435">
            <w:pPr>
              <w:widowControl w:val="0"/>
              <w:jc w:val="center"/>
              <w:rPr>
                <w:rFonts w:hint="default" w:ascii="Times New Roman" w:hAnsi="Times New Roman" w:eastAsia="宋体" w:cs="Times New Roman"/>
                <w:sz w:val="21"/>
                <w:szCs w:val="21"/>
              </w:rPr>
            </w:pPr>
            <w:r>
              <w:rPr>
                <w:rFonts w:hint="default" w:ascii="Times New Roman" w:hAnsi="Times New Roman" w:cs="Times New Roman"/>
                <w:kern w:val="0"/>
                <w:sz w:val="21"/>
                <w:szCs w:val="21"/>
              </w:rPr>
              <w:t>Is</w:t>
            </w:r>
          </w:p>
        </w:tc>
        <w:tc>
          <w:tcPr>
            <w:tcW w:w="386" w:type="pct"/>
            <w:vAlign w:val="center"/>
          </w:tcPr>
          <w:p w14:paraId="4D78CEDE">
            <w:pPr>
              <w:widowControl w:val="0"/>
              <w:jc w:val="center"/>
              <w:rPr>
                <w:rFonts w:hint="default" w:ascii="Times New Roman" w:hAnsi="Times New Roman" w:eastAsia="宋体" w:cs="Times New Roman"/>
                <w:sz w:val="21"/>
                <w:szCs w:val="21"/>
              </w:rPr>
            </w:pPr>
            <w:r>
              <w:rPr>
                <w:rFonts w:hint="default" w:ascii="Times New Roman" w:hAnsi="Times New Roman" w:cs="Times New Roman"/>
                <w:kern w:val="0"/>
                <w:sz w:val="21"/>
                <w:szCs w:val="21"/>
              </w:rPr>
              <w:t>Ls</w:t>
            </w:r>
          </w:p>
        </w:tc>
        <w:tc>
          <w:tcPr>
            <w:tcW w:w="387" w:type="pct"/>
            <w:vAlign w:val="center"/>
          </w:tcPr>
          <w:p w14:paraId="4562CDC1">
            <w:pPr>
              <w:widowControl w:val="0"/>
              <w:jc w:val="center"/>
              <w:rPr>
                <w:rFonts w:hint="default" w:ascii="Times New Roman" w:hAnsi="Times New Roman" w:eastAsia="宋体" w:cs="Times New Roman"/>
                <w:sz w:val="21"/>
                <w:szCs w:val="21"/>
              </w:rPr>
            </w:pPr>
            <w:r>
              <w:rPr>
                <w:rFonts w:hint="default" w:ascii="Times New Roman" w:hAnsi="Times New Roman" w:cs="Times New Roman"/>
                <w:kern w:val="0"/>
                <w:sz w:val="21"/>
                <w:szCs w:val="21"/>
              </w:rPr>
              <w:t>Rs</w:t>
            </w:r>
          </w:p>
        </w:tc>
        <w:tc>
          <w:tcPr>
            <w:tcW w:w="722" w:type="pct"/>
            <w:vAlign w:val="center"/>
          </w:tcPr>
          <w:p w14:paraId="573249A6">
            <w:pPr>
              <w:widowControl w:val="0"/>
              <w:jc w:val="center"/>
              <w:rPr>
                <w:rFonts w:hint="default" w:ascii="Times New Roman" w:hAnsi="Times New Roman" w:eastAsia="宋体" w:cs="Times New Roman"/>
                <w:sz w:val="21"/>
                <w:szCs w:val="21"/>
              </w:rPr>
            </w:pPr>
            <w:r>
              <w:rPr>
                <w:rFonts w:hint="default" w:ascii="Times New Roman" w:hAnsi="Times New Roman" w:cs="Times New Roman"/>
                <w:kern w:val="0"/>
                <w:sz w:val="21"/>
                <w:szCs w:val="21"/>
              </w:rPr>
              <w:t>ρb</w:t>
            </w:r>
          </w:p>
        </w:tc>
        <w:tc>
          <w:tcPr>
            <w:tcW w:w="765" w:type="pct"/>
            <w:vAlign w:val="center"/>
          </w:tcPr>
          <w:p w14:paraId="6D6AB2AC">
            <w:pPr>
              <w:widowControl w:val="0"/>
              <w:jc w:val="center"/>
              <w:rPr>
                <w:rFonts w:hint="default" w:ascii="Times New Roman" w:hAnsi="Times New Roman" w:eastAsia="宋体" w:cs="Times New Roman"/>
                <w:sz w:val="21"/>
                <w:szCs w:val="21"/>
              </w:rPr>
            </w:pPr>
            <w:r>
              <w:rPr>
                <w:rFonts w:hint="default" w:ascii="Times New Roman" w:hAnsi="Times New Roman" w:cs="Times New Roman"/>
                <w:kern w:val="0"/>
                <w:sz w:val="21"/>
                <w:szCs w:val="21"/>
              </w:rPr>
              <w:t>A</w:t>
            </w:r>
          </w:p>
        </w:tc>
        <w:tc>
          <w:tcPr>
            <w:tcW w:w="475" w:type="pct"/>
            <w:vAlign w:val="center"/>
          </w:tcPr>
          <w:p w14:paraId="7C03CB48">
            <w:pPr>
              <w:widowControl w:val="0"/>
              <w:jc w:val="center"/>
              <w:rPr>
                <w:rFonts w:hint="default" w:ascii="Times New Roman" w:hAnsi="Times New Roman" w:eastAsia="宋体" w:cs="Times New Roman"/>
                <w:sz w:val="21"/>
                <w:szCs w:val="21"/>
              </w:rPr>
            </w:pPr>
            <w:r>
              <w:rPr>
                <w:rFonts w:hint="default" w:ascii="Times New Roman" w:hAnsi="Times New Roman" w:cs="Times New Roman"/>
                <w:kern w:val="0"/>
                <w:sz w:val="21"/>
                <w:szCs w:val="21"/>
              </w:rPr>
              <w:t>D</w:t>
            </w:r>
          </w:p>
        </w:tc>
        <w:tc>
          <w:tcPr>
            <w:tcW w:w="825" w:type="pct"/>
            <w:vAlign w:val="center"/>
          </w:tcPr>
          <w:p w14:paraId="33B2E2FD">
            <w:pPr>
              <w:widowControl w:val="0"/>
              <w:jc w:val="center"/>
              <w:rPr>
                <w:rFonts w:hint="default" w:ascii="Times New Roman" w:hAnsi="Times New Roman" w:eastAsia="宋体" w:cs="Times New Roman"/>
                <w:sz w:val="21"/>
                <w:szCs w:val="21"/>
              </w:rPr>
            </w:pPr>
            <w:r>
              <w:rPr>
                <w:rFonts w:hint="default" w:ascii="Times New Roman" w:hAnsi="Times New Roman" w:cs="Times New Roman"/>
                <w:kern w:val="0"/>
                <w:sz w:val="21"/>
                <w:szCs w:val="21"/>
              </w:rPr>
              <w:t>n</w:t>
            </w:r>
          </w:p>
        </w:tc>
      </w:tr>
      <w:tr w14:paraId="0E23AB70">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97" w:hRule="atLeast"/>
        </w:trPr>
        <w:tc>
          <w:tcPr>
            <w:tcW w:w="623" w:type="pct"/>
            <w:vAlign w:val="center"/>
          </w:tcPr>
          <w:p w14:paraId="427F4097">
            <w:pPr>
              <w:widowControl w:val="0"/>
              <w:jc w:val="center"/>
              <w:rPr>
                <w:rFonts w:hint="default" w:ascii="Times New Roman" w:hAnsi="Times New Roman" w:eastAsia="宋体" w:cs="Times New Roman"/>
                <w:sz w:val="21"/>
                <w:szCs w:val="21"/>
                <w:lang w:eastAsia="zh-CN"/>
              </w:rPr>
            </w:pPr>
            <w:r>
              <w:rPr>
                <w:rFonts w:hint="default" w:ascii="Times New Roman" w:hAnsi="Times New Roman" w:cs="Times New Roman"/>
                <w:sz w:val="21"/>
                <w:szCs w:val="21"/>
                <w:lang w:val="en-US" w:eastAsia="zh-CN"/>
              </w:rPr>
              <w:t>氟化物</w:t>
            </w:r>
          </w:p>
        </w:tc>
        <w:tc>
          <w:tcPr>
            <w:tcW w:w="813" w:type="pct"/>
            <w:vAlign w:val="center"/>
          </w:tcPr>
          <w:p w14:paraId="51B8BFAF">
            <w:pPr>
              <w:widowControl w:val="0"/>
              <w:jc w:val="center"/>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2581.92kg</w:t>
            </w:r>
          </w:p>
        </w:tc>
        <w:tc>
          <w:tcPr>
            <w:tcW w:w="386" w:type="pct"/>
            <w:vAlign w:val="center"/>
          </w:tcPr>
          <w:p w14:paraId="04D01D41">
            <w:pPr>
              <w:widowControl w:val="0"/>
              <w:jc w:val="center"/>
              <w:rPr>
                <w:rFonts w:hint="default" w:ascii="Times New Roman" w:hAnsi="Times New Roman" w:cs="Times New Roman"/>
                <w:sz w:val="21"/>
                <w:szCs w:val="21"/>
              </w:rPr>
            </w:pPr>
            <w:r>
              <w:rPr>
                <w:rFonts w:hint="default" w:ascii="Times New Roman" w:hAnsi="Times New Roman" w:cs="Times New Roman"/>
                <w:sz w:val="21"/>
                <w:szCs w:val="21"/>
              </w:rPr>
              <w:t>0</w:t>
            </w:r>
          </w:p>
        </w:tc>
        <w:tc>
          <w:tcPr>
            <w:tcW w:w="387" w:type="pct"/>
            <w:vAlign w:val="center"/>
          </w:tcPr>
          <w:p w14:paraId="3A144392">
            <w:pPr>
              <w:widowControl w:val="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0</w:t>
            </w:r>
          </w:p>
        </w:tc>
        <w:tc>
          <w:tcPr>
            <w:tcW w:w="722" w:type="pct"/>
            <w:vAlign w:val="center"/>
          </w:tcPr>
          <w:p w14:paraId="75021F03">
            <w:pPr>
              <w:widowControl w:val="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1</w:t>
            </w:r>
            <w:r>
              <w:rPr>
                <w:rFonts w:hint="default" w:ascii="Times New Roman" w:hAnsi="Times New Roman" w:cs="Times New Roman"/>
                <w:color w:val="auto"/>
                <w:sz w:val="21"/>
                <w:szCs w:val="21"/>
                <w:lang w:val="en-US" w:eastAsia="zh-CN"/>
              </w:rPr>
              <w:t>72</w:t>
            </w:r>
            <w:r>
              <w:rPr>
                <w:rFonts w:hint="default" w:ascii="Times New Roman" w:hAnsi="Times New Roman" w:cs="Times New Roman"/>
                <w:color w:val="auto"/>
                <w:sz w:val="21"/>
                <w:szCs w:val="21"/>
              </w:rPr>
              <w:t>0</w:t>
            </w:r>
            <w:r>
              <w:rPr>
                <w:rFonts w:hint="default" w:ascii="Times New Roman" w:hAnsi="Times New Roman" w:cs="Times New Roman"/>
                <w:color w:val="auto"/>
                <w:kern w:val="0"/>
                <w:sz w:val="21"/>
                <w:szCs w:val="21"/>
              </w:rPr>
              <w:t>kg/m</w:t>
            </w:r>
            <w:r>
              <w:rPr>
                <w:rFonts w:hint="default" w:ascii="Times New Roman" w:hAnsi="Times New Roman" w:cs="Times New Roman"/>
                <w:color w:val="auto"/>
                <w:kern w:val="0"/>
                <w:sz w:val="21"/>
                <w:szCs w:val="21"/>
                <w:vertAlign w:val="superscript"/>
              </w:rPr>
              <w:t>3</w:t>
            </w:r>
          </w:p>
        </w:tc>
        <w:tc>
          <w:tcPr>
            <w:tcW w:w="765" w:type="pct"/>
            <w:vAlign w:val="center"/>
          </w:tcPr>
          <w:p w14:paraId="66CF2E53">
            <w:pPr>
              <w:widowControl w:val="0"/>
              <w:jc w:val="center"/>
              <w:rPr>
                <w:rFonts w:hint="default" w:ascii="Times New Roman" w:hAnsi="Times New Roman" w:cs="Times New Roman"/>
                <w:color w:val="auto"/>
                <w:kern w:val="0"/>
                <w:sz w:val="21"/>
                <w:szCs w:val="21"/>
              </w:rPr>
            </w:pPr>
            <w:r>
              <w:rPr>
                <w:rFonts w:hint="default" w:ascii="Times New Roman" w:hAnsi="Times New Roman" w:cs="Times New Roman"/>
                <w:color w:val="auto"/>
                <w:kern w:val="0"/>
                <w:sz w:val="21"/>
                <w:szCs w:val="21"/>
                <w:lang w:val="en-US" w:eastAsia="zh-CN"/>
              </w:rPr>
              <w:t>475200</w:t>
            </w:r>
            <w:r>
              <w:rPr>
                <w:rFonts w:hint="default" w:ascii="Times New Roman" w:hAnsi="Times New Roman" w:cs="Times New Roman"/>
                <w:color w:val="auto"/>
                <w:kern w:val="0"/>
                <w:sz w:val="21"/>
                <w:szCs w:val="21"/>
              </w:rPr>
              <w:t>m</w:t>
            </w:r>
            <w:r>
              <w:rPr>
                <w:rFonts w:hint="default" w:ascii="Times New Roman" w:hAnsi="Times New Roman" w:cs="Times New Roman"/>
                <w:color w:val="auto"/>
                <w:kern w:val="0"/>
                <w:sz w:val="21"/>
                <w:szCs w:val="21"/>
                <w:vertAlign w:val="superscript"/>
              </w:rPr>
              <w:t>2</w:t>
            </w:r>
          </w:p>
        </w:tc>
        <w:tc>
          <w:tcPr>
            <w:tcW w:w="475" w:type="pct"/>
            <w:vAlign w:val="center"/>
          </w:tcPr>
          <w:p w14:paraId="4C259CB7">
            <w:pPr>
              <w:widowControl w:val="0"/>
              <w:jc w:val="center"/>
              <w:rPr>
                <w:rFonts w:hint="default" w:ascii="Times New Roman" w:hAnsi="Times New Roman" w:cs="Times New Roman"/>
                <w:sz w:val="21"/>
                <w:szCs w:val="21"/>
              </w:rPr>
            </w:pPr>
            <w:r>
              <w:rPr>
                <w:rFonts w:hint="default" w:ascii="Times New Roman" w:hAnsi="Times New Roman" w:cs="Times New Roman"/>
                <w:sz w:val="21"/>
                <w:szCs w:val="21"/>
              </w:rPr>
              <w:t>0.2m</w:t>
            </w:r>
          </w:p>
        </w:tc>
        <w:tc>
          <w:tcPr>
            <w:tcW w:w="825" w:type="pct"/>
            <w:vAlign w:val="center"/>
          </w:tcPr>
          <w:p w14:paraId="2660319B">
            <w:pPr>
              <w:widowControl/>
              <w:jc w:val="center"/>
              <w:rPr>
                <w:rFonts w:hint="default" w:ascii="Times New Roman" w:hAnsi="Times New Roman" w:eastAsia="宋体" w:cs="Times New Roman"/>
                <w:sz w:val="21"/>
                <w:szCs w:val="21"/>
                <w:lang w:val="en-US" w:eastAsia="zh-CN"/>
              </w:rPr>
            </w:pPr>
            <w:r>
              <w:rPr>
                <w:rFonts w:hint="default" w:ascii="Times New Roman" w:hAnsi="Times New Roman" w:cs="Times New Roman"/>
                <w:sz w:val="21"/>
                <w:szCs w:val="21"/>
                <w:lang w:val="en-US" w:eastAsia="zh-CN"/>
              </w:rPr>
              <w:t>10a、20a、30a</w:t>
            </w:r>
          </w:p>
        </w:tc>
      </w:tr>
      <w:tr w14:paraId="1C46FDE3">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97" w:hRule="atLeast"/>
        </w:trPr>
        <w:tc>
          <w:tcPr>
            <w:tcW w:w="623" w:type="pct"/>
            <w:vAlign w:val="center"/>
          </w:tcPr>
          <w:p w14:paraId="500C7BD6">
            <w:pPr>
              <w:widowControl w:val="0"/>
              <w:jc w:val="center"/>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氨氮</w:t>
            </w:r>
          </w:p>
        </w:tc>
        <w:tc>
          <w:tcPr>
            <w:tcW w:w="813" w:type="pct"/>
            <w:vAlign w:val="center"/>
          </w:tcPr>
          <w:p w14:paraId="596467A8">
            <w:pPr>
              <w:widowControl w:val="0"/>
              <w:jc w:val="center"/>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10034.64kg</w:t>
            </w:r>
          </w:p>
        </w:tc>
        <w:tc>
          <w:tcPr>
            <w:tcW w:w="673" w:type="dxa"/>
            <w:shd w:val="clear" w:color="auto" w:fill="auto"/>
            <w:vAlign w:val="center"/>
          </w:tcPr>
          <w:p w14:paraId="06769A9F">
            <w:pPr>
              <w:widowControl w:val="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sz w:val="21"/>
                <w:szCs w:val="21"/>
              </w:rPr>
              <w:t>0</w:t>
            </w:r>
          </w:p>
        </w:tc>
        <w:tc>
          <w:tcPr>
            <w:tcW w:w="674" w:type="dxa"/>
            <w:shd w:val="clear" w:color="auto" w:fill="auto"/>
            <w:vAlign w:val="center"/>
          </w:tcPr>
          <w:p w14:paraId="2F48E36A">
            <w:pPr>
              <w:widowControl w:val="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cs="Times New Roman"/>
                <w:color w:val="auto"/>
                <w:sz w:val="21"/>
                <w:szCs w:val="21"/>
              </w:rPr>
              <w:t>0</w:t>
            </w:r>
          </w:p>
        </w:tc>
        <w:tc>
          <w:tcPr>
            <w:tcW w:w="1267" w:type="dxa"/>
            <w:shd w:val="clear" w:color="auto" w:fill="auto"/>
            <w:vAlign w:val="center"/>
          </w:tcPr>
          <w:p w14:paraId="6D9DCCBE">
            <w:pPr>
              <w:widowControl w:val="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cs="Times New Roman"/>
                <w:color w:val="auto"/>
                <w:sz w:val="21"/>
                <w:szCs w:val="21"/>
              </w:rPr>
              <w:t>1</w:t>
            </w:r>
            <w:r>
              <w:rPr>
                <w:rFonts w:hint="default" w:ascii="Times New Roman" w:hAnsi="Times New Roman" w:cs="Times New Roman"/>
                <w:color w:val="auto"/>
                <w:sz w:val="21"/>
                <w:szCs w:val="21"/>
                <w:lang w:val="en-US" w:eastAsia="zh-CN"/>
              </w:rPr>
              <w:t>72</w:t>
            </w:r>
            <w:r>
              <w:rPr>
                <w:rFonts w:hint="default" w:ascii="Times New Roman" w:hAnsi="Times New Roman" w:cs="Times New Roman"/>
                <w:color w:val="auto"/>
                <w:sz w:val="21"/>
                <w:szCs w:val="21"/>
              </w:rPr>
              <w:t>0</w:t>
            </w:r>
            <w:r>
              <w:rPr>
                <w:rFonts w:hint="default" w:ascii="Times New Roman" w:hAnsi="Times New Roman" w:cs="Times New Roman"/>
                <w:color w:val="auto"/>
                <w:kern w:val="0"/>
                <w:sz w:val="21"/>
                <w:szCs w:val="21"/>
              </w:rPr>
              <w:t>kg/m</w:t>
            </w:r>
            <w:r>
              <w:rPr>
                <w:rFonts w:hint="default" w:ascii="Times New Roman" w:hAnsi="Times New Roman" w:cs="Times New Roman"/>
                <w:color w:val="auto"/>
                <w:kern w:val="0"/>
                <w:sz w:val="21"/>
                <w:szCs w:val="21"/>
                <w:vertAlign w:val="superscript"/>
              </w:rPr>
              <w:t>3</w:t>
            </w:r>
          </w:p>
        </w:tc>
        <w:tc>
          <w:tcPr>
            <w:tcW w:w="765" w:type="pct"/>
            <w:shd w:val="clear" w:color="auto" w:fill="auto"/>
            <w:vAlign w:val="center"/>
          </w:tcPr>
          <w:p w14:paraId="5E20D420">
            <w:pPr>
              <w:widowControl w:val="0"/>
              <w:jc w:val="center"/>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cs="Times New Roman"/>
                <w:color w:val="auto"/>
                <w:kern w:val="0"/>
                <w:sz w:val="21"/>
                <w:szCs w:val="21"/>
                <w:lang w:val="en-US" w:eastAsia="zh-CN"/>
              </w:rPr>
              <w:t>475200</w:t>
            </w:r>
            <w:r>
              <w:rPr>
                <w:rFonts w:hint="default" w:ascii="Times New Roman" w:hAnsi="Times New Roman" w:cs="Times New Roman"/>
                <w:color w:val="auto"/>
                <w:kern w:val="0"/>
                <w:sz w:val="21"/>
                <w:szCs w:val="21"/>
              </w:rPr>
              <w:t>m</w:t>
            </w:r>
            <w:r>
              <w:rPr>
                <w:rFonts w:hint="default" w:ascii="Times New Roman" w:hAnsi="Times New Roman" w:cs="Times New Roman"/>
                <w:color w:val="auto"/>
                <w:kern w:val="0"/>
                <w:sz w:val="21"/>
                <w:szCs w:val="21"/>
                <w:vertAlign w:val="superscript"/>
              </w:rPr>
              <w:t>2</w:t>
            </w:r>
          </w:p>
        </w:tc>
        <w:tc>
          <w:tcPr>
            <w:tcW w:w="475" w:type="pct"/>
            <w:shd w:val="clear" w:color="auto" w:fill="auto"/>
            <w:vAlign w:val="center"/>
          </w:tcPr>
          <w:p w14:paraId="45E23A72">
            <w:pPr>
              <w:widowControl w:val="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sz w:val="21"/>
                <w:szCs w:val="21"/>
              </w:rPr>
              <w:t>0.2m</w:t>
            </w:r>
          </w:p>
        </w:tc>
        <w:tc>
          <w:tcPr>
            <w:tcW w:w="825" w:type="pct"/>
            <w:shd w:val="clear" w:color="auto" w:fill="auto"/>
            <w:vAlign w:val="center"/>
          </w:tcPr>
          <w:p w14:paraId="755B8F65">
            <w:pPr>
              <w:widowControl/>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sz w:val="21"/>
                <w:szCs w:val="21"/>
                <w:lang w:val="en-US" w:eastAsia="zh-CN"/>
              </w:rPr>
              <w:t>10a、20a、30a</w:t>
            </w:r>
          </w:p>
        </w:tc>
      </w:tr>
      <w:tr w14:paraId="4559D082">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97" w:hRule="atLeast"/>
        </w:trPr>
        <w:tc>
          <w:tcPr>
            <w:tcW w:w="623" w:type="pct"/>
            <w:vAlign w:val="center"/>
          </w:tcPr>
          <w:p w14:paraId="5C1EE94A">
            <w:pPr>
              <w:widowControl w:val="0"/>
              <w:jc w:val="center"/>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二噁英</w:t>
            </w:r>
          </w:p>
        </w:tc>
        <w:tc>
          <w:tcPr>
            <w:tcW w:w="813" w:type="pct"/>
            <w:vAlign w:val="center"/>
          </w:tcPr>
          <w:p w14:paraId="793AF48A">
            <w:pPr>
              <w:widowControl w:val="0"/>
              <w:jc w:val="center"/>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1.72656mg</w:t>
            </w:r>
          </w:p>
        </w:tc>
        <w:tc>
          <w:tcPr>
            <w:tcW w:w="673" w:type="dxa"/>
            <w:shd w:val="clear" w:color="auto" w:fill="auto"/>
            <w:vAlign w:val="center"/>
          </w:tcPr>
          <w:p w14:paraId="2DE29995">
            <w:pPr>
              <w:widowControl w:val="0"/>
              <w:jc w:val="center"/>
              <w:rPr>
                <w:rFonts w:hint="default" w:ascii="Times New Roman" w:hAnsi="Times New Roman" w:cs="Times New Roman"/>
                <w:sz w:val="21"/>
                <w:szCs w:val="21"/>
              </w:rPr>
            </w:pPr>
            <w:r>
              <w:rPr>
                <w:rFonts w:hint="default" w:ascii="Times New Roman" w:hAnsi="Times New Roman" w:cs="Times New Roman"/>
                <w:sz w:val="21"/>
                <w:szCs w:val="21"/>
              </w:rPr>
              <w:t>0</w:t>
            </w:r>
          </w:p>
        </w:tc>
        <w:tc>
          <w:tcPr>
            <w:tcW w:w="674" w:type="dxa"/>
            <w:shd w:val="clear" w:color="auto" w:fill="auto"/>
            <w:vAlign w:val="center"/>
          </w:tcPr>
          <w:p w14:paraId="3613E2F4">
            <w:pPr>
              <w:widowControl w:val="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0</w:t>
            </w:r>
          </w:p>
        </w:tc>
        <w:tc>
          <w:tcPr>
            <w:tcW w:w="1267" w:type="dxa"/>
            <w:shd w:val="clear" w:color="auto" w:fill="auto"/>
            <w:vAlign w:val="center"/>
          </w:tcPr>
          <w:p w14:paraId="654B539A">
            <w:pPr>
              <w:widowControl w:val="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1</w:t>
            </w:r>
            <w:r>
              <w:rPr>
                <w:rFonts w:hint="default" w:ascii="Times New Roman" w:hAnsi="Times New Roman" w:cs="Times New Roman"/>
                <w:color w:val="auto"/>
                <w:sz w:val="21"/>
                <w:szCs w:val="21"/>
                <w:lang w:val="en-US" w:eastAsia="zh-CN"/>
              </w:rPr>
              <w:t>72</w:t>
            </w:r>
            <w:r>
              <w:rPr>
                <w:rFonts w:hint="default" w:ascii="Times New Roman" w:hAnsi="Times New Roman" w:cs="Times New Roman"/>
                <w:color w:val="auto"/>
                <w:sz w:val="21"/>
                <w:szCs w:val="21"/>
              </w:rPr>
              <w:t>0</w:t>
            </w:r>
            <w:r>
              <w:rPr>
                <w:rFonts w:hint="default" w:ascii="Times New Roman" w:hAnsi="Times New Roman" w:cs="Times New Roman"/>
                <w:color w:val="auto"/>
                <w:kern w:val="0"/>
                <w:sz w:val="21"/>
                <w:szCs w:val="21"/>
              </w:rPr>
              <w:t>kg/m</w:t>
            </w:r>
            <w:r>
              <w:rPr>
                <w:rFonts w:hint="default" w:ascii="Times New Roman" w:hAnsi="Times New Roman" w:cs="Times New Roman"/>
                <w:color w:val="auto"/>
                <w:kern w:val="0"/>
                <w:sz w:val="21"/>
                <w:szCs w:val="21"/>
                <w:vertAlign w:val="superscript"/>
              </w:rPr>
              <w:t>3</w:t>
            </w:r>
          </w:p>
        </w:tc>
        <w:tc>
          <w:tcPr>
            <w:tcW w:w="765" w:type="pct"/>
            <w:shd w:val="clear" w:color="auto" w:fill="auto"/>
            <w:vAlign w:val="center"/>
          </w:tcPr>
          <w:p w14:paraId="23F6B21F">
            <w:pPr>
              <w:widowControl w:val="0"/>
              <w:jc w:val="center"/>
              <w:rPr>
                <w:rFonts w:hint="default" w:ascii="Times New Roman" w:hAnsi="Times New Roman" w:cs="Times New Roman"/>
                <w:color w:val="auto"/>
                <w:kern w:val="0"/>
                <w:sz w:val="21"/>
                <w:szCs w:val="21"/>
                <w:lang w:val="en-US" w:eastAsia="zh-CN"/>
              </w:rPr>
            </w:pPr>
            <w:r>
              <w:rPr>
                <w:rFonts w:hint="default" w:ascii="Times New Roman" w:hAnsi="Times New Roman" w:cs="Times New Roman"/>
                <w:color w:val="auto"/>
                <w:kern w:val="0"/>
                <w:sz w:val="21"/>
                <w:szCs w:val="21"/>
                <w:lang w:val="en-US" w:eastAsia="zh-CN"/>
              </w:rPr>
              <w:t>475200</w:t>
            </w:r>
            <w:r>
              <w:rPr>
                <w:rFonts w:hint="default" w:ascii="Times New Roman" w:hAnsi="Times New Roman" w:cs="Times New Roman"/>
                <w:color w:val="auto"/>
                <w:kern w:val="0"/>
                <w:sz w:val="21"/>
                <w:szCs w:val="21"/>
              </w:rPr>
              <w:t>m</w:t>
            </w:r>
            <w:r>
              <w:rPr>
                <w:rFonts w:hint="default" w:ascii="Times New Roman" w:hAnsi="Times New Roman" w:cs="Times New Roman"/>
                <w:color w:val="auto"/>
                <w:kern w:val="0"/>
                <w:sz w:val="21"/>
                <w:szCs w:val="21"/>
                <w:vertAlign w:val="superscript"/>
              </w:rPr>
              <w:t>2</w:t>
            </w:r>
          </w:p>
        </w:tc>
        <w:tc>
          <w:tcPr>
            <w:tcW w:w="829" w:type="dxa"/>
            <w:shd w:val="clear" w:color="auto" w:fill="auto"/>
            <w:vAlign w:val="center"/>
          </w:tcPr>
          <w:p w14:paraId="79706AB3">
            <w:pPr>
              <w:widowControl w:val="0"/>
              <w:jc w:val="center"/>
              <w:rPr>
                <w:rFonts w:hint="default" w:ascii="Times New Roman" w:hAnsi="Times New Roman" w:cs="Times New Roman"/>
                <w:sz w:val="21"/>
                <w:szCs w:val="21"/>
              </w:rPr>
            </w:pPr>
            <w:r>
              <w:rPr>
                <w:rFonts w:hint="default" w:ascii="Times New Roman" w:hAnsi="Times New Roman" w:cs="Times New Roman"/>
                <w:sz w:val="21"/>
                <w:szCs w:val="21"/>
              </w:rPr>
              <w:t>0.2m</w:t>
            </w:r>
          </w:p>
        </w:tc>
        <w:tc>
          <w:tcPr>
            <w:tcW w:w="1441" w:type="dxa"/>
            <w:shd w:val="clear" w:color="auto" w:fill="auto"/>
            <w:vAlign w:val="center"/>
          </w:tcPr>
          <w:p w14:paraId="5E696148">
            <w:pPr>
              <w:widowControl/>
              <w:jc w:val="center"/>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10a、20a、30a</w:t>
            </w:r>
          </w:p>
        </w:tc>
      </w:tr>
    </w:tbl>
    <w:p w14:paraId="1688927F">
      <w:pPr>
        <w:spacing w:line="500" w:lineRule="exact"/>
        <w:ind w:firstLine="480" w:firstLineChars="200"/>
        <w:jc w:val="both"/>
        <w:rPr>
          <w:rFonts w:hint="default" w:ascii="Times New Roman" w:hAnsi="Times New Roman" w:eastAsia="宋体" w:cs="Times New Roman"/>
          <w:b w:val="0"/>
          <w:bCs/>
          <w:lang w:val="en-US" w:eastAsia="zh-CN"/>
        </w:rPr>
      </w:pPr>
      <w:r>
        <w:rPr>
          <w:rFonts w:hint="default" w:ascii="Times New Roman" w:hAnsi="Times New Roman" w:eastAsia="宋体" w:cs="Times New Roman"/>
          <w:b w:val="0"/>
          <w:bCs/>
          <w:lang w:val="en-US" w:eastAsia="zh-CN"/>
        </w:rPr>
        <w:t>注：附录E中E.1.2 b）“涉及大气沉降影响的，可不考虑输出量”。</w:t>
      </w:r>
    </w:p>
    <w:p w14:paraId="2F01B18D">
      <w:pPr>
        <w:spacing w:line="500" w:lineRule="exact"/>
        <w:ind w:firstLine="480" w:firstLineChars="200"/>
        <w:jc w:val="both"/>
        <w:rPr>
          <w:rFonts w:hint="default" w:ascii="Times New Roman" w:hAnsi="Times New Roman" w:eastAsia="宋体" w:cs="Times New Roman"/>
          <w:b w:val="0"/>
          <w:bCs/>
          <w:lang w:val="en-US" w:eastAsia="zh-CN"/>
        </w:rPr>
      </w:pPr>
      <w:bookmarkStart w:id="531" w:name="_Toc8136"/>
      <w:bookmarkStart w:id="532" w:name="_Toc1401"/>
      <w:bookmarkStart w:id="533" w:name="_Toc20103"/>
      <w:r>
        <w:rPr>
          <w:rFonts w:hint="eastAsia" w:ascii="Times New Roman" w:hAnsi="Times New Roman" w:eastAsia="宋体" w:cs="Times New Roman"/>
          <w:b w:val="0"/>
          <w:bCs/>
          <w:lang w:val="en-US" w:eastAsia="zh-CN"/>
        </w:rPr>
        <w:t>3、</w:t>
      </w:r>
      <w:r>
        <w:rPr>
          <w:rFonts w:hint="default" w:ascii="Times New Roman" w:hAnsi="Times New Roman" w:eastAsia="宋体" w:cs="Times New Roman"/>
          <w:b w:val="0"/>
          <w:bCs/>
          <w:lang w:val="en-US" w:eastAsia="zh-CN"/>
        </w:rPr>
        <w:t>预测结果与分析评价</w:t>
      </w:r>
      <w:bookmarkEnd w:id="531"/>
      <w:bookmarkEnd w:id="532"/>
      <w:bookmarkEnd w:id="533"/>
    </w:p>
    <w:p w14:paraId="3D24FA1A">
      <w:pPr>
        <w:spacing w:line="500" w:lineRule="exact"/>
        <w:ind w:firstLine="480" w:firstLineChars="200"/>
        <w:jc w:val="both"/>
        <w:rPr>
          <w:rFonts w:hint="default" w:ascii="Times New Roman" w:hAnsi="Times New Roman" w:eastAsia="宋体" w:cs="Times New Roman"/>
          <w:b w:val="0"/>
          <w:bCs/>
          <w:lang w:val="en-US" w:eastAsia="zh-CN"/>
        </w:rPr>
      </w:pPr>
      <w:r>
        <w:rPr>
          <w:rFonts w:hint="default" w:ascii="Times New Roman" w:hAnsi="Times New Roman" w:eastAsia="宋体" w:cs="Times New Roman"/>
          <w:b w:val="0"/>
          <w:bCs/>
          <w:lang w:val="en-US" w:eastAsia="zh-CN"/>
        </w:rPr>
        <w:t>（1）二噁英污染物预测与评价</w:t>
      </w:r>
    </w:p>
    <w:p w14:paraId="5AD47D4D">
      <w:pPr>
        <w:spacing w:line="500" w:lineRule="exact"/>
        <w:ind w:firstLine="480" w:firstLineChars="200"/>
        <w:jc w:val="both"/>
        <w:rPr>
          <w:rFonts w:hint="default" w:ascii="Times New Roman" w:hAnsi="Times New Roman" w:eastAsia="宋体" w:cs="Times New Roman"/>
          <w:b w:val="0"/>
          <w:bCs/>
          <w:lang w:val="en-US" w:eastAsia="zh-CN"/>
        </w:rPr>
      </w:pPr>
      <w:r>
        <w:rPr>
          <w:rFonts w:hint="default" w:ascii="Times New Roman" w:hAnsi="Times New Roman" w:eastAsia="宋体" w:cs="Times New Roman"/>
          <w:b w:val="0"/>
          <w:bCs/>
          <w:lang w:val="en-US" w:eastAsia="zh-CN"/>
        </w:rPr>
        <w:t>经过计算，单位质量土壤中二噁英的增量如下，预测评价标准限值采用《土壤环境质量 建设用地土壤污染风险管控标准（试行）》(GB36600—2018)中第二类用地筛选值进行达标性评价。</w:t>
      </w:r>
    </w:p>
    <w:p w14:paraId="5F026F67">
      <w:pPr>
        <w:pStyle w:val="719"/>
        <w:keepNext w:val="0"/>
        <w:keepLines w:val="0"/>
        <w:pageBreakBefore w:val="0"/>
        <w:widowControl/>
        <w:kinsoku/>
        <w:wordWrap/>
        <w:overflowPunct/>
        <w:topLinePunct w:val="0"/>
        <w:autoSpaceDE/>
        <w:autoSpaceDN/>
        <w:bidi w:val="0"/>
        <w:adjustRightInd w:val="0"/>
        <w:snapToGrid w:val="0"/>
        <w:spacing w:beforeLines="0" w:line="360" w:lineRule="auto"/>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表</w:t>
      </w:r>
      <w:r>
        <w:rPr>
          <w:rFonts w:hint="default" w:ascii="Times New Roman" w:hAnsi="Times New Roman" w:eastAsia="宋体" w:cs="Times New Roman"/>
          <w:sz w:val="24"/>
          <w:szCs w:val="24"/>
          <w:lang w:val="en-US" w:eastAsia="zh-CN"/>
        </w:rPr>
        <w:t>4-4</w:t>
      </w:r>
      <w:r>
        <w:rPr>
          <w:rFonts w:hint="default" w:ascii="Times New Roman" w:hAnsi="Times New Roman" w:eastAsia="宋体" w:cs="Times New Roman"/>
          <w:sz w:val="24"/>
          <w:szCs w:val="24"/>
        </w:rPr>
        <w:t xml:space="preserve">  二噁英预测结果</w:t>
      </w:r>
    </w:p>
    <w:tbl>
      <w:tblPr>
        <w:tblStyle w:val="57"/>
        <w:tblW w:w="4997" w:type="pct"/>
        <w:tblInd w:w="0" w:type="dxa"/>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autofit"/>
        <w:tblCellMar>
          <w:top w:w="0" w:type="dxa"/>
          <w:left w:w="108" w:type="dxa"/>
          <w:bottom w:w="0" w:type="dxa"/>
          <w:right w:w="108" w:type="dxa"/>
        </w:tblCellMar>
      </w:tblPr>
      <w:tblGrid>
        <w:gridCol w:w="1230"/>
        <w:gridCol w:w="1800"/>
        <w:gridCol w:w="1427"/>
        <w:gridCol w:w="1458"/>
        <w:gridCol w:w="1474"/>
        <w:gridCol w:w="1327"/>
      </w:tblGrid>
      <w:tr w14:paraId="1BDA7325">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772" w:hRule="atLeast"/>
        </w:trPr>
        <w:tc>
          <w:tcPr>
            <w:tcW w:w="705" w:type="pct"/>
            <w:vAlign w:val="center"/>
          </w:tcPr>
          <w:p w14:paraId="5FD42FC1">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cs="Times New Roman"/>
                <w:sz w:val="21"/>
                <w:szCs w:val="21"/>
                <w:lang w:val="en-US" w:eastAsia="zh-CN"/>
              </w:rPr>
              <w:t>预测时段</w:t>
            </w:r>
          </w:p>
        </w:tc>
        <w:tc>
          <w:tcPr>
            <w:tcW w:w="1032" w:type="pct"/>
            <w:vAlign w:val="center"/>
          </w:tcPr>
          <w:p w14:paraId="32B8BA3B">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sz w:val="21"/>
                <w:szCs w:val="21"/>
              </w:rPr>
            </w:pPr>
            <w:r>
              <w:rPr>
                <w:rFonts w:hint="default" w:ascii="Times New Roman" w:hAnsi="Times New Roman" w:cs="Times New Roman"/>
                <w:sz w:val="21"/>
                <w:szCs w:val="21"/>
              </w:rPr>
              <w:t>单位年份增量</w:t>
            </w:r>
            <w:r>
              <w:rPr>
                <w:rFonts w:hint="default" w:ascii="Times New Roman" w:hAnsi="Times New Roman" w:cs="Times New Roman"/>
                <w:sz w:val="21"/>
                <w:szCs w:val="21"/>
                <w:lang w:val="en-US" w:eastAsia="zh-CN"/>
              </w:rPr>
              <w:t>m</w:t>
            </w:r>
            <w:r>
              <w:rPr>
                <w:rFonts w:hint="default" w:ascii="Times New Roman" w:hAnsi="Times New Roman" w:cs="Times New Roman"/>
                <w:sz w:val="21"/>
                <w:szCs w:val="21"/>
              </w:rPr>
              <w:t>gTEQ/kg</w:t>
            </w:r>
          </w:p>
        </w:tc>
        <w:tc>
          <w:tcPr>
            <w:tcW w:w="818" w:type="pct"/>
            <w:vAlign w:val="center"/>
          </w:tcPr>
          <w:p w14:paraId="6DF2DF59">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sz w:val="21"/>
                <w:szCs w:val="21"/>
              </w:rPr>
            </w:pPr>
            <w:r>
              <w:rPr>
                <w:rFonts w:hint="default" w:ascii="Times New Roman" w:hAnsi="Times New Roman" w:cs="Times New Roman"/>
                <w:sz w:val="21"/>
                <w:szCs w:val="21"/>
              </w:rPr>
              <w:t>质量现状</w:t>
            </w:r>
          </w:p>
          <w:p w14:paraId="49147EBE">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sz w:val="21"/>
                <w:szCs w:val="21"/>
              </w:rPr>
            </w:pPr>
            <w:r>
              <w:rPr>
                <w:rFonts w:hint="default" w:ascii="Times New Roman" w:hAnsi="Times New Roman" w:cs="Times New Roman"/>
                <w:sz w:val="21"/>
                <w:szCs w:val="21"/>
                <w:lang w:val="en-US" w:eastAsia="zh-CN"/>
              </w:rPr>
              <w:t>m</w:t>
            </w:r>
            <w:r>
              <w:rPr>
                <w:rFonts w:hint="default" w:ascii="Times New Roman" w:hAnsi="Times New Roman" w:cs="Times New Roman"/>
                <w:sz w:val="21"/>
                <w:szCs w:val="21"/>
              </w:rPr>
              <w:t>gTEQ/kg</w:t>
            </w:r>
          </w:p>
        </w:tc>
        <w:tc>
          <w:tcPr>
            <w:tcW w:w="836" w:type="pct"/>
            <w:vAlign w:val="center"/>
          </w:tcPr>
          <w:p w14:paraId="5E007AD9">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sz w:val="21"/>
                <w:szCs w:val="21"/>
              </w:rPr>
            </w:pPr>
            <w:r>
              <w:rPr>
                <w:rFonts w:hint="default" w:ascii="Times New Roman" w:hAnsi="Times New Roman" w:cs="Times New Roman"/>
                <w:sz w:val="21"/>
                <w:szCs w:val="21"/>
              </w:rPr>
              <w:t>叠加值</w:t>
            </w:r>
          </w:p>
          <w:p w14:paraId="6943889C">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sz w:val="21"/>
                <w:szCs w:val="21"/>
              </w:rPr>
            </w:pPr>
            <w:r>
              <w:rPr>
                <w:rFonts w:hint="default" w:ascii="Times New Roman" w:hAnsi="Times New Roman" w:cs="Times New Roman"/>
                <w:sz w:val="21"/>
                <w:szCs w:val="21"/>
                <w:lang w:val="en-US" w:eastAsia="zh-CN"/>
              </w:rPr>
              <w:t>m</w:t>
            </w:r>
            <w:r>
              <w:rPr>
                <w:rFonts w:hint="default" w:ascii="Times New Roman" w:hAnsi="Times New Roman" w:cs="Times New Roman"/>
                <w:sz w:val="21"/>
                <w:szCs w:val="21"/>
              </w:rPr>
              <w:t>gTEQ/kg</w:t>
            </w:r>
          </w:p>
        </w:tc>
        <w:tc>
          <w:tcPr>
            <w:tcW w:w="845" w:type="pct"/>
            <w:vAlign w:val="center"/>
          </w:tcPr>
          <w:p w14:paraId="347DA0FE">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sz w:val="21"/>
                <w:szCs w:val="21"/>
              </w:rPr>
            </w:pPr>
            <w:r>
              <w:rPr>
                <w:rFonts w:hint="default" w:ascii="Times New Roman" w:hAnsi="Times New Roman" w:cs="Times New Roman"/>
                <w:sz w:val="21"/>
                <w:szCs w:val="21"/>
              </w:rPr>
              <w:t>标准值</w:t>
            </w:r>
          </w:p>
          <w:p w14:paraId="23EC8A31">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bidi="ar"/>
              </w:rPr>
              <w:t>mg</w:t>
            </w:r>
            <w:r>
              <w:rPr>
                <w:rFonts w:hint="default" w:ascii="Times New Roman" w:hAnsi="Times New Roman" w:eastAsia="宋体" w:cs="Times New Roman"/>
                <w:kern w:val="0"/>
                <w:sz w:val="21"/>
                <w:szCs w:val="21"/>
              </w:rPr>
              <w:t>TEQ</w:t>
            </w:r>
            <w:r>
              <w:rPr>
                <w:rFonts w:hint="default" w:ascii="Times New Roman" w:hAnsi="Times New Roman" w:eastAsia="宋体" w:cs="Times New Roman"/>
                <w:kern w:val="0"/>
                <w:sz w:val="21"/>
                <w:szCs w:val="21"/>
                <w:lang w:bidi="ar"/>
              </w:rPr>
              <w:t>/kg</w:t>
            </w:r>
          </w:p>
        </w:tc>
        <w:tc>
          <w:tcPr>
            <w:tcW w:w="761" w:type="pct"/>
            <w:vAlign w:val="center"/>
          </w:tcPr>
          <w:p w14:paraId="6FED5305">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cs="Times New Roman"/>
                <w:sz w:val="21"/>
                <w:szCs w:val="21"/>
                <w:lang w:val="en-US" w:eastAsia="zh-CN"/>
              </w:rPr>
              <w:t>是否达标</w:t>
            </w:r>
          </w:p>
        </w:tc>
      </w:tr>
      <w:tr w14:paraId="425A7112">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97" w:hRule="atLeast"/>
        </w:trPr>
        <w:tc>
          <w:tcPr>
            <w:tcW w:w="705" w:type="pct"/>
            <w:vAlign w:val="center"/>
          </w:tcPr>
          <w:p w14:paraId="7AF15314">
            <w:pPr>
              <w:widowControl w:val="0"/>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color w:val="auto"/>
                <w:sz w:val="21"/>
                <w:szCs w:val="21"/>
                <w:lang w:val="en-US" w:eastAsia="zh-CN"/>
              </w:rPr>
              <w:t>10</w:t>
            </w:r>
            <w:r>
              <w:rPr>
                <w:rFonts w:hint="default" w:ascii="Times New Roman" w:hAnsi="Times New Roman" w:cs="Times New Roman"/>
                <w:color w:val="auto"/>
                <w:sz w:val="21"/>
                <w:szCs w:val="21"/>
                <w:lang w:val="en-US" w:eastAsia="zh-CN"/>
              </w:rPr>
              <w:t>年</w:t>
            </w:r>
          </w:p>
        </w:tc>
        <w:tc>
          <w:tcPr>
            <w:tcW w:w="1800" w:type="dxa"/>
            <w:vAlign w:val="center"/>
          </w:tcPr>
          <w:p w14:paraId="3E205F1B">
            <w:pPr>
              <w:keepNext w:val="0"/>
              <w:keepLines w:val="0"/>
              <w:widowControl/>
              <w:suppressLineNumbers w:val="0"/>
              <w:jc w:val="center"/>
              <w:textAlignment w:val="center"/>
              <w:rPr>
                <w:rFonts w:hint="default" w:ascii="Times New Roman" w:hAnsi="Times New Roman" w:eastAsia="宋体" w:cs="Times New Roman"/>
                <w:color w:val="C00000"/>
                <w:sz w:val="21"/>
                <w:szCs w:val="21"/>
                <w:lang w:val="en-US" w:eastAsia="zh-CN"/>
              </w:rPr>
            </w:pPr>
            <w:r>
              <w:rPr>
                <w:rFonts w:hint="default" w:ascii="Times New Roman" w:hAnsi="Times New Roman" w:cs="Times New Roman"/>
                <w:i w:val="0"/>
                <w:iCs w:val="0"/>
                <w:color w:val="000000"/>
                <w:kern w:val="0"/>
                <w:sz w:val="21"/>
                <w:szCs w:val="21"/>
                <w:u w:val="none"/>
                <w:lang w:val="en-US" w:eastAsia="zh-CN" w:bidi="ar"/>
              </w:rPr>
              <w:t>+1.06</w:t>
            </w:r>
            <w:r>
              <w:rPr>
                <w:rFonts w:hint="default" w:ascii="Times New Roman" w:hAnsi="Times New Roman" w:eastAsia="宋体" w:cs="Times New Roman"/>
                <w:kern w:val="0"/>
                <w:sz w:val="21"/>
                <w:szCs w:val="21"/>
              </w:rPr>
              <w:t>×10</w:t>
            </w:r>
            <w:r>
              <w:rPr>
                <w:rFonts w:hint="default" w:ascii="Times New Roman" w:hAnsi="Times New Roman" w:eastAsia="宋体" w:cs="Times New Roman"/>
                <w:kern w:val="0"/>
                <w:sz w:val="21"/>
                <w:szCs w:val="21"/>
                <w:vertAlign w:val="superscript"/>
              </w:rPr>
              <w:t>-</w:t>
            </w:r>
            <w:r>
              <w:rPr>
                <w:rFonts w:hint="default" w:ascii="Times New Roman" w:hAnsi="Times New Roman" w:eastAsia="宋体" w:cs="Times New Roman"/>
                <w:kern w:val="0"/>
                <w:sz w:val="21"/>
                <w:szCs w:val="21"/>
                <w:vertAlign w:val="superscript"/>
                <w:lang w:val="en-US" w:eastAsia="zh-CN"/>
              </w:rPr>
              <w:t>8</w:t>
            </w:r>
          </w:p>
        </w:tc>
        <w:tc>
          <w:tcPr>
            <w:tcW w:w="1427" w:type="dxa"/>
            <w:vAlign w:val="center"/>
          </w:tcPr>
          <w:p w14:paraId="06FF0B0D">
            <w:pPr>
              <w:keepNext w:val="0"/>
              <w:keepLines w:val="0"/>
              <w:widowControl/>
              <w:suppressLineNumbers w:val="0"/>
              <w:jc w:val="center"/>
              <w:textAlignment w:val="center"/>
              <w:rPr>
                <w:rFonts w:hint="default" w:ascii="Times New Roman" w:hAnsi="Times New Roman" w:cs="Times New Roman"/>
                <w:color w:val="auto"/>
                <w:sz w:val="21"/>
                <w:szCs w:val="21"/>
                <w:lang w:val="en-US" w:eastAsia="zh-CN"/>
              </w:rPr>
            </w:pPr>
            <w:r>
              <w:rPr>
                <w:rFonts w:hint="default" w:ascii="Times New Roman" w:hAnsi="Times New Roman" w:cs="Times New Roman"/>
                <w:i w:val="0"/>
                <w:iCs w:val="0"/>
                <w:color w:val="000000"/>
                <w:kern w:val="0"/>
                <w:sz w:val="21"/>
                <w:szCs w:val="21"/>
                <w:u w:val="none"/>
                <w:lang w:val="en-US" w:eastAsia="zh-CN" w:bidi="ar"/>
              </w:rPr>
              <w:t>0</w:t>
            </w:r>
          </w:p>
        </w:tc>
        <w:tc>
          <w:tcPr>
            <w:tcW w:w="1458" w:type="dxa"/>
            <w:vAlign w:val="center"/>
          </w:tcPr>
          <w:p w14:paraId="6D4B8ED8">
            <w:pPr>
              <w:keepNext w:val="0"/>
              <w:keepLines w:val="0"/>
              <w:widowControl/>
              <w:suppressLineNumbers w:val="0"/>
              <w:jc w:val="center"/>
              <w:textAlignment w:val="center"/>
              <w:rPr>
                <w:rFonts w:hint="default" w:ascii="Times New Roman" w:hAnsi="Times New Roman" w:eastAsia="宋体" w:cs="Times New Roman"/>
                <w:color w:val="C00000"/>
                <w:sz w:val="21"/>
                <w:szCs w:val="21"/>
                <w:lang w:val="en-US" w:eastAsia="zh-CN"/>
              </w:rPr>
            </w:pPr>
            <w:r>
              <w:rPr>
                <w:rFonts w:hint="default" w:ascii="Times New Roman" w:hAnsi="Times New Roman" w:cs="Times New Roman"/>
                <w:i w:val="0"/>
                <w:iCs w:val="0"/>
                <w:color w:val="000000"/>
                <w:kern w:val="0"/>
                <w:sz w:val="21"/>
                <w:szCs w:val="21"/>
                <w:u w:val="none"/>
                <w:lang w:val="en-US" w:eastAsia="zh-CN" w:bidi="ar"/>
              </w:rPr>
              <w:t>1.06</w:t>
            </w:r>
            <w:r>
              <w:rPr>
                <w:rFonts w:hint="default" w:ascii="Times New Roman" w:hAnsi="Times New Roman" w:eastAsia="宋体" w:cs="Times New Roman"/>
                <w:kern w:val="0"/>
                <w:sz w:val="21"/>
                <w:szCs w:val="21"/>
              </w:rPr>
              <w:t>×10</w:t>
            </w:r>
            <w:r>
              <w:rPr>
                <w:rFonts w:hint="default" w:ascii="Times New Roman" w:hAnsi="Times New Roman" w:eastAsia="宋体" w:cs="Times New Roman"/>
                <w:kern w:val="0"/>
                <w:sz w:val="21"/>
                <w:szCs w:val="21"/>
                <w:vertAlign w:val="superscript"/>
              </w:rPr>
              <w:t>-</w:t>
            </w:r>
            <w:r>
              <w:rPr>
                <w:rFonts w:hint="default" w:ascii="Times New Roman" w:hAnsi="Times New Roman" w:eastAsia="宋体" w:cs="Times New Roman"/>
                <w:kern w:val="0"/>
                <w:sz w:val="21"/>
                <w:szCs w:val="21"/>
                <w:vertAlign w:val="superscript"/>
                <w:lang w:val="en-US" w:eastAsia="zh-CN"/>
              </w:rPr>
              <w:t>7</w:t>
            </w:r>
          </w:p>
        </w:tc>
        <w:tc>
          <w:tcPr>
            <w:tcW w:w="845" w:type="pct"/>
            <w:vAlign w:val="center"/>
          </w:tcPr>
          <w:p w14:paraId="2A6B53BF">
            <w:pPr>
              <w:widowControl w:val="0"/>
              <w:jc w:val="center"/>
              <w:rPr>
                <w:rFonts w:hint="default" w:ascii="Times New Roman" w:hAnsi="Times New Roman" w:cs="Times New Roman"/>
                <w:color w:val="auto"/>
                <w:sz w:val="21"/>
                <w:szCs w:val="21"/>
                <w:lang w:val="en-US" w:eastAsia="zh-CN"/>
              </w:rPr>
            </w:pPr>
            <w:r>
              <w:rPr>
                <w:rFonts w:hint="default" w:ascii="Times New Roman" w:hAnsi="Times New Roman" w:eastAsia="宋体" w:cs="Times New Roman"/>
                <w:kern w:val="0"/>
                <w:sz w:val="21"/>
                <w:szCs w:val="21"/>
              </w:rPr>
              <w:t>4×10</w:t>
            </w:r>
            <w:r>
              <w:rPr>
                <w:rFonts w:hint="default" w:ascii="Times New Roman" w:hAnsi="Times New Roman" w:eastAsia="宋体" w:cs="Times New Roman"/>
                <w:kern w:val="0"/>
                <w:sz w:val="21"/>
                <w:szCs w:val="21"/>
                <w:vertAlign w:val="superscript"/>
              </w:rPr>
              <w:t>-5</w:t>
            </w:r>
            <w:r>
              <w:rPr>
                <w:rFonts w:hint="default" w:ascii="Times New Roman" w:hAnsi="Times New Roman" w:eastAsia="宋体" w:cs="Times New Roman"/>
                <w:kern w:val="0"/>
                <w:sz w:val="21"/>
                <w:szCs w:val="21"/>
              </w:rPr>
              <w:t xml:space="preserve"> </w:t>
            </w:r>
          </w:p>
        </w:tc>
        <w:tc>
          <w:tcPr>
            <w:tcW w:w="761" w:type="pct"/>
            <w:vAlign w:val="center"/>
          </w:tcPr>
          <w:p w14:paraId="6E3B8785">
            <w:pPr>
              <w:widowControl w:val="0"/>
              <w:jc w:val="center"/>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达标</w:t>
            </w:r>
          </w:p>
        </w:tc>
      </w:tr>
      <w:tr w14:paraId="72B44796">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97" w:hRule="atLeast"/>
        </w:trPr>
        <w:tc>
          <w:tcPr>
            <w:tcW w:w="705" w:type="pct"/>
            <w:vAlign w:val="center"/>
          </w:tcPr>
          <w:p w14:paraId="1253F621">
            <w:pPr>
              <w:widowControl w:val="0"/>
              <w:jc w:val="center"/>
              <w:rPr>
                <w:rFonts w:hint="default" w:ascii="Times New Roman" w:hAnsi="Times New Roman" w:cs="Times New Roman"/>
                <w:sz w:val="21"/>
                <w:szCs w:val="21"/>
                <w:lang w:val="en-US" w:eastAsia="zh-CN"/>
              </w:rPr>
            </w:pPr>
            <w:r>
              <w:rPr>
                <w:rFonts w:hint="default" w:ascii="Times New Roman" w:hAnsi="Times New Roman" w:cs="Times New Roman"/>
                <w:color w:val="auto"/>
                <w:sz w:val="21"/>
                <w:szCs w:val="21"/>
                <w:lang w:val="en-US" w:eastAsia="zh-CN"/>
              </w:rPr>
              <w:t>20年</w:t>
            </w:r>
          </w:p>
        </w:tc>
        <w:tc>
          <w:tcPr>
            <w:tcW w:w="1800" w:type="dxa"/>
            <w:vAlign w:val="center"/>
          </w:tcPr>
          <w:p w14:paraId="31FF199A">
            <w:pPr>
              <w:keepNext w:val="0"/>
              <w:keepLines w:val="0"/>
              <w:widowControl/>
              <w:suppressLineNumbers w:val="0"/>
              <w:jc w:val="center"/>
              <w:textAlignment w:val="center"/>
              <w:rPr>
                <w:rFonts w:hint="default" w:ascii="Times New Roman" w:hAnsi="Times New Roman" w:cs="Times New Roman"/>
                <w:color w:val="C00000"/>
                <w:sz w:val="21"/>
                <w:szCs w:val="21"/>
                <w:lang w:val="en-US"/>
              </w:rPr>
            </w:pPr>
            <w:r>
              <w:rPr>
                <w:rFonts w:hint="default" w:ascii="Times New Roman" w:hAnsi="Times New Roman" w:cs="Times New Roman"/>
                <w:i w:val="0"/>
                <w:iCs w:val="0"/>
                <w:color w:val="000000"/>
                <w:kern w:val="0"/>
                <w:sz w:val="21"/>
                <w:szCs w:val="21"/>
                <w:u w:val="none"/>
                <w:lang w:val="en-US" w:eastAsia="zh-CN" w:bidi="ar"/>
              </w:rPr>
              <w:t>+1.06</w:t>
            </w:r>
            <w:r>
              <w:rPr>
                <w:rFonts w:hint="default" w:ascii="Times New Roman" w:hAnsi="Times New Roman" w:eastAsia="宋体" w:cs="Times New Roman"/>
                <w:kern w:val="0"/>
                <w:sz w:val="21"/>
                <w:szCs w:val="21"/>
              </w:rPr>
              <w:t>×10</w:t>
            </w:r>
            <w:r>
              <w:rPr>
                <w:rFonts w:hint="default" w:ascii="Times New Roman" w:hAnsi="Times New Roman" w:eastAsia="宋体" w:cs="Times New Roman"/>
                <w:kern w:val="0"/>
                <w:sz w:val="21"/>
                <w:szCs w:val="21"/>
                <w:vertAlign w:val="superscript"/>
              </w:rPr>
              <w:t>-</w:t>
            </w:r>
            <w:r>
              <w:rPr>
                <w:rFonts w:hint="default" w:ascii="Times New Roman" w:hAnsi="Times New Roman" w:eastAsia="宋体" w:cs="Times New Roman"/>
                <w:kern w:val="0"/>
                <w:sz w:val="21"/>
                <w:szCs w:val="21"/>
                <w:vertAlign w:val="superscript"/>
                <w:lang w:val="en-US" w:eastAsia="zh-CN"/>
              </w:rPr>
              <w:t>8</w:t>
            </w:r>
          </w:p>
        </w:tc>
        <w:tc>
          <w:tcPr>
            <w:tcW w:w="1427" w:type="dxa"/>
            <w:vAlign w:val="center"/>
          </w:tcPr>
          <w:p w14:paraId="589E7C60">
            <w:pPr>
              <w:keepNext w:val="0"/>
              <w:keepLines w:val="0"/>
              <w:widowControl/>
              <w:suppressLineNumbers w:val="0"/>
              <w:jc w:val="center"/>
              <w:textAlignment w:val="center"/>
              <w:rPr>
                <w:rFonts w:hint="default" w:ascii="Times New Roman" w:hAnsi="Times New Roman" w:cs="Times New Roman"/>
                <w:color w:val="auto"/>
                <w:sz w:val="21"/>
                <w:szCs w:val="21"/>
                <w:lang w:val="en-US" w:eastAsia="zh-CN"/>
              </w:rPr>
            </w:pPr>
            <w:r>
              <w:rPr>
                <w:rFonts w:hint="default" w:ascii="Times New Roman" w:hAnsi="Times New Roman" w:cs="Times New Roman"/>
                <w:i w:val="0"/>
                <w:iCs w:val="0"/>
                <w:color w:val="000000"/>
                <w:kern w:val="0"/>
                <w:sz w:val="21"/>
                <w:szCs w:val="21"/>
                <w:u w:val="none"/>
                <w:lang w:val="en-US" w:eastAsia="zh-CN" w:bidi="ar"/>
              </w:rPr>
              <w:t>0</w:t>
            </w:r>
          </w:p>
        </w:tc>
        <w:tc>
          <w:tcPr>
            <w:tcW w:w="1458" w:type="dxa"/>
            <w:vAlign w:val="center"/>
          </w:tcPr>
          <w:p w14:paraId="2F649D50">
            <w:pPr>
              <w:keepNext w:val="0"/>
              <w:keepLines w:val="0"/>
              <w:widowControl/>
              <w:suppressLineNumbers w:val="0"/>
              <w:jc w:val="center"/>
              <w:textAlignment w:val="center"/>
              <w:rPr>
                <w:rFonts w:hint="default" w:ascii="Times New Roman" w:hAnsi="Times New Roman" w:eastAsia="宋体" w:cs="Times New Roman"/>
                <w:color w:val="C00000"/>
                <w:sz w:val="21"/>
                <w:szCs w:val="21"/>
                <w:lang w:val="en-US" w:eastAsia="zh-CN"/>
              </w:rPr>
            </w:pPr>
            <w:r>
              <w:rPr>
                <w:rFonts w:hint="default" w:ascii="Times New Roman" w:hAnsi="Times New Roman" w:cs="Times New Roman"/>
                <w:i w:val="0"/>
                <w:iCs w:val="0"/>
                <w:color w:val="000000"/>
                <w:kern w:val="0"/>
                <w:sz w:val="21"/>
                <w:szCs w:val="21"/>
                <w:u w:val="none"/>
                <w:lang w:val="en-US" w:eastAsia="zh-CN" w:bidi="ar"/>
              </w:rPr>
              <w:t>2.11</w:t>
            </w:r>
            <w:r>
              <w:rPr>
                <w:rFonts w:hint="default" w:ascii="Times New Roman" w:hAnsi="Times New Roman" w:eastAsia="宋体" w:cs="Times New Roman"/>
                <w:kern w:val="0"/>
                <w:sz w:val="21"/>
                <w:szCs w:val="21"/>
              </w:rPr>
              <w:t>×10</w:t>
            </w:r>
            <w:r>
              <w:rPr>
                <w:rFonts w:hint="default" w:ascii="Times New Roman" w:hAnsi="Times New Roman" w:eastAsia="宋体" w:cs="Times New Roman"/>
                <w:kern w:val="0"/>
                <w:sz w:val="21"/>
                <w:szCs w:val="21"/>
                <w:vertAlign w:val="superscript"/>
              </w:rPr>
              <w:t>-</w:t>
            </w:r>
            <w:r>
              <w:rPr>
                <w:rFonts w:hint="default" w:ascii="Times New Roman" w:hAnsi="Times New Roman" w:eastAsia="宋体" w:cs="Times New Roman"/>
                <w:kern w:val="0"/>
                <w:sz w:val="21"/>
                <w:szCs w:val="21"/>
                <w:vertAlign w:val="superscript"/>
                <w:lang w:val="en-US" w:eastAsia="zh-CN"/>
              </w:rPr>
              <w:t>7</w:t>
            </w:r>
          </w:p>
        </w:tc>
        <w:tc>
          <w:tcPr>
            <w:tcW w:w="845" w:type="pct"/>
            <w:vAlign w:val="center"/>
          </w:tcPr>
          <w:p w14:paraId="268A1129">
            <w:pPr>
              <w:widowControl w:val="0"/>
              <w:jc w:val="center"/>
              <w:rPr>
                <w:rFonts w:hint="default" w:ascii="Times New Roman" w:hAnsi="Times New Roman" w:cs="Times New Roman"/>
                <w:color w:val="auto"/>
                <w:sz w:val="21"/>
                <w:szCs w:val="21"/>
                <w:lang w:val="en-US" w:eastAsia="zh-CN"/>
              </w:rPr>
            </w:pPr>
            <w:r>
              <w:rPr>
                <w:rFonts w:hint="default" w:ascii="Times New Roman" w:hAnsi="Times New Roman" w:eastAsia="宋体" w:cs="Times New Roman"/>
                <w:kern w:val="0"/>
                <w:sz w:val="21"/>
                <w:szCs w:val="21"/>
              </w:rPr>
              <w:t>4×10</w:t>
            </w:r>
            <w:r>
              <w:rPr>
                <w:rFonts w:hint="default" w:ascii="Times New Roman" w:hAnsi="Times New Roman" w:eastAsia="宋体" w:cs="Times New Roman"/>
                <w:kern w:val="0"/>
                <w:sz w:val="21"/>
                <w:szCs w:val="21"/>
                <w:vertAlign w:val="superscript"/>
              </w:rPr>
              <w:t>-5</w:t>
            </w:r>
            <w:r>
              <w:rPr>
                <w:rFonts w:hint="default" w:ascii="Times New Roman" w:hAnsi="Times New Roman" w:eastAsia="宋体" w:cs="Times New Roman"/>
                <w:kern w:val="0"/>
                <w:sz w:val="21"/>
                <w:szCs w:val="21"/>
              </w:rPr>
              <w:t xml:space="preserve"> </w:t>
            </w:r>
          </w:p>
        </w:tc>
        <w:tc>
          <w:tcPr>
            <w:tcW w:w="761" w:type="pct"/>
            <w:vAlign w:val="center"/>
          </w:tcPr>
          <w:p w14:paraId="3A94CA0E">
            <w:pPr>
              <w:widowControl w:val="0"/>
              <w:jc w:val="center"/>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达标</w:t>
            </w:r>
          </w:p>
        </w:tc>
      </w:tr>
      <w:tr w14:paraId="52A523AF">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97" w:hRule="atLeast"/>
        </w:trPr>
        <w:tc>
          <w:tcPr>
            <w:tcW w:w="705" w:type="pct"/>
            <w:vAlign w:val="center"/>
          </w:tcPr>
          <w:p w14:paraId="2D530A25">
            <w:pPr>
              <w:widowControl w:val="0"/>
              <w:jc w:val="center"/>
              <w:rPr>
                <w:rFonts w:hint="default" w:ascii="Times New Roman" w:hAnsi="Times New Roman" w:cs="Times New Roman"/>
                <w:sz w:val="21"/>
                <w:szCs w:val="21"/>
                <w:lang w:val="en-US" w:eastAsia="zh-CN"/>
              </w:rPr>
            </w:pPr>
            <w:r>
              <w:rPr>
                <w:rFonts w:hint="default" w:ascii="Times New Roman" w:hAnsi="Times New Roman" w:cs="Times New Roman"/>
                <w:color w:val="auto"/>
                <w:sz w:val="21"/>
                <w:szCs w:val="21"/>
                <w:lang w:val="en-US" w:eastAsia="zh-CN"/>
              </w:rPr>
              <w:t>30年</w:t>
            </w:r>
          </w:p>
        </w:tc>
        <w:tc>
          <w:tcPr>
            <w:tcW w:w="1800" w:type="dxa"/>
            <w:vAlign w:val="center"/>
          </w:tcPr>
          <w:p w14:paraId="2C5AC4E9">
            <w:pPr>
              <w:keepNext w:val="0"/>
              <w:keepLines w:val="0"/>
              <w:widowControl/>
              <w:suppressLineNumbers w:val="0"/>
              <w:jc w:val="center"/>
              <w:textAlignment w:val="center"/>
              <w:rPr>
                <w:rFonts w:hint="default" w:ascii="Times New Roman" w:hAnsi="Times New Roman" w:cs="Times New Roman"/>
                <w:color w:val="C00000"/>
                <w:sz w:val="21"/>
                <w:szCs w:val="21"/>
                <w:lang w:val="en-US"/>
              </w:rPr>
            </w:pPr>
            <w:r>
              <w:rPr>
                <w:rFonts w:hint="default" w:ascii="Times New Roman" w:hAnsi="Times New Roman" w:cs="Times New Roman"/>
                <w:i w:val="0"/>
                <w:iCs w:val="0"/>
                <w:color w:val="000000"/>
                <w:kern w:val="0"/>
                <w:sz w:val="21"/>
                <w:szCs w:val="21"/>
                <w:u w:val="none"/>
                <w:lang w:val="en-US" w:eastAsia="zh-CN" w:bidi="ar"/>
              </w:rPr>
              <w:t>+1.06</w:t>
            </w:r>
            <w:r>
              <w:rPr>
                <w:rFonts w:hint="default" w:ascii="Times New Roman" w:hAnsi="Times New Roman" w:eastAsia="宋体" w:cs="Times New Roman"/>
                <w:kern w:val="0"/>
                <w:sz w:val="21"/>
                <w:szCs w:val="21"/>
              </w:rPr>
              <w:t>×10</w:t>
            </w:r>
            <w:r>
              <w:rPr>
                <w:rFonts w:hint="default" w:ascii="Times New Roman" w:hAnsi="Times New Roman" w:eastAsia="宋体" w:cs="Times New Roman"/>
                <w:kern w:val="0"/>
                <w:sz w:val="21"/>
                <w:szCs w:val="21"/>
                <w:vertAlign w:val="superscript"/>
              </w:rPr>
              <w:t>-</w:t>
            </w:r>
            <w:r>
              <w:rPr>
                <w:rFonts w:hint="default" w:ascii="Times New Roman" w:hAnsi="Times New Roman" w:eastAsia="宋体" w:cs="Times New Roman"/>
                <w:kern w:val="0"/>
                <w:sz w:val="21"/>
                <w:szCs w:val="21"/>
                <w:vertAlign w:val="superscript"/>
                <w:lang w:val="en-US" w:eastAsia="zh-CN"/>
              </w:rPr>
              <w:t>8</w:t>
            </w:r>
          </w:p>
        </w:tc>
        <w:tc>
          <w:tcPr>
            <w:tcW w:w="1427" w:type="dxa"/>
            <w:vAlign w:val="center"/>
          </w:tcPr>
          <w:p w14:paraId="48DF1D17">
            <w:pPr>
              <w:keepNext w:val="0"/>
              <w:keepLines w:val="0"/>
              <w:widowControl/>
              <w:suppressLineNumbers w:val="0"/>
              <w:jc w:val="center"/>
              <w:textAlignment w:val="center"/>
              <w:rPr>
                <w:rFonts w:hint="default" w:ascii="Times New Roman" w:hAnsi="Times New Roman" w:cs="Times New Roman"/>
                <w:color w:val="auto"/>
                <w:sz w:val="21"/>
                <w:szCs w:val="21"/>
                <w:lang w:val="en-US" w:eastAsia="zh-CN"/>
              </w:rPr>
            </w:pPr>
            <w:r>
              <w:rPr>
                <w:rFonts w:hint="default" w:ascii="Times New Roman" w:hAnsi="Times New Roman" w:cs="Times New Roman"/>
                <w:i w:val="0"/>
                <w:iCs w:val="0"/>
                <w:color w:val="000000"/>
                <w:kern w:val="0"/>
                <w:sz w:val="21"/>
                <w:szCs w:val="21"/>
                <w:u w:val="none"/>
                <w:lang w:val="en-US" w:eastAsia="zh-CN" w:bidi="ar"/>
              </w:rPr>
              <w:t>0</w:t>
            </w:r>
          </w:p>
        </w:tc>
        <w:tc>
          <w:tcPr>
            <w:tcW w:w="1458" w:type="dxa"/>
            <w:vAlign w:val="center"/>
          </w:tcPr>
          <w:p w14:paraId="1A67C187">
            <w:pPr>
              <w:keepNext w:val="0"/>
              <w:keepLines w:val="0"/>
              <w:widowControl/>
              <w:suppressLineNumbers w:val="0"/>
              <w:jc w:val="center"/>
              <w:textAlignment w:val="center"/>
              <w:rPr>
                <w:rFonts w:hint="default" w:ascii="Times New Roman" w:hAnsi="Times New Roman" w:eastAsia="宋体" w:cs="Times New Roman"/>
                <w:color w:val="C00000"/>
                <w:sz w:val="21"/>
                <w:szCs w:val="21"/>
                <w:lang w:val="en-US" w:eastAsia="zh-CN"/>
              </w:rPr>
            </w:pPr>
            <w:r>
              <w:rPr>
                <w:rFonts w:hint="default" w:ascii="Times New Roman" w:hAnsi="Times New Roman" w:cs="Times New Roman"/>
                <w:i w:val="0"/>
                <w:iCs w:val="0"/>
                <w:color w:val="000000"/>
                <w:kern w:val="0"/>
                <w:sz w:val="21"/>
                <w:szCs w:val="21"/>
                <w:u w:val="none"/>
                <w:lang w:val="en-US" w:eastAsia="zh-CN" w:bidi="ar"/>
              </w:rPr>
              <w:t>3.17</w:t>
            </w:r>
            <w:r>
              <w:rPr>
                <w:rFonts w:hint="default" w:ascii="Times New Roman" w:hAnsi="Times New Roman" w:eastAsia="宋体" w:cs="Times New Roman"/>
                <w:kern w:val="0"/>
                <w:sz w:val="21"/>
                <w:szCs w:val="21"/>
              </w:rPr>
              <w:t>×10</w:t>
            </w:r>
            <w:r>
              <w:rPr>
                <w:rFonts w:hint="default" w:ascii="Times New Roman" w:hAnsi="Times New Roman" w:eastAsia="宋体" w:cs="Times New Roman"/>
                <w:kern w:val="0"/>
                <w:sz w:val="21"/>
                <w:szCs w:val="21"/>
                <w:vertAlign w:val="superscript"/>
              </w:rPr>
              <w:t>-</w:t>
            </w:r>
            <w:r>
              <w:rPr>
                <w:rFonts w:hint="default" w:ascii="Times New Roman" w:hAnsi="Times New Roman" w:eastAsia="宋体" w:cs="Times New Roman"/>
                <w:kern w:val="0"/>
                <w:sz w:val="21"/>
                <w:szCs w:val="21"/>
                <w:vertAlign w:val="superscript"/>
                <w:lang w:val="en-US" w:eastAsia="zh-CN"/>
              </w:rPr>
              <w:t>7</w:t>
            </w:r>
          </w:p>
        </w:tc>
        <w:tc>
          <w:tcPr>
            <w:tcW w:w="845" w:type="pct"/>
            <w:vAlign w:val="center"/>
          </w:tcPr>
          <w:p w14:paraId="7584B3CA">
            <w:pPr>
              <w:widowControl w:val="0"/>
              <w:jc w:val="center"/>
              <w:rPr>
                <w:rFonts w:hint="default" w:ascii="Times New Roman" w:hAnsi="Times New Roman" w:cs="Times New Roman"/>
                <w:color w:val="auto"/>
                <w:sz w:val="21"/>
                <w:szCs w:val="21"/>
                <w:lang w:val="en-US" w:eastAsia="zh-CN"/>
              </w:rPr>
            </w:pPr>
            <w:r>
              <w:rPr>
                <w:rFonts w:hint="default" w:ascii="Times New Roman" w:hAnsi="Times New Roman" w:eastAsia="宋体" w:cs="Times New Roman"/>
                <w:kern w:val="0"/>
                <w:sz w:val="21"/>
                <w:szCs w:val="21"/>
              </w:rPr>
              <w:t>4×10</w:t>
            </w:r>
            <w:r>
              <w:rPr>
                <w:rFonts w:hint="default" w:ascii="Times New Roman" w:hAnsi="Times New Roman" w:eastAsia="宋体" w:cs="Times New Roman"/>
                <w:kern w:val="0"/>
                <w:sz w:val="21"/>
                <w:szCs w:val="21"/>
                <w:vertAlign w:val="superscript"/>
              </w:rPr>
              <w:t>-5</w:t>
            </w:r>
            <w:r>
              <w:rPr>
                <w:rFonts w:hint="default" w:ascii="Times New Roman" w:hAnsi="Times New Roman" w:eastAsia="宋体" w:cs="Times New Roman"/>
                <w:kern w:val="0"/>
                <w:sz w:val="21"/>
                <w:szCs w:val="21"/>
              </w:rPr>
              <w:t xml:space="preserve"> </w:t>
            </w:r>
          </w:p>
        </w:tc>
        <w:tc>
          <w:tcPr>
            <w:tcW w:w="761" w:type="pct"/>
            <w:vAlign w:val="center"/>
          </w:tcPr>
          <w:p w14:paraId="526B19E1">
            <w:pPr>
              <w:widowControl w:val="0"/>
              <w:jc w:val="center"/>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达标</w:t>
            </w:r>
          </w:p>
        </w:tc>
      </w:tr>
    </w:tbl>
    <w:p w14:paraId="1381A993">
      <w:pPr>
        <w:spacing w:line="500" w:lineRule="exact"/>
        <w:ind w:firstLine="480" w:firstLineChars="200"/>
        <w:jc w:val="both"/>
        <w:rPr>
          <w:rFonts w:hint="default" w:ascii="Times New Roman" w:hAnsi="Times New Roman" w:eastAsia="宋体" w:cs="Times New Roman"/>
          <w:b w:val="0"/>
          <w:bCs/>
          <w:lang w:val="en-US" w:eastAsia="zh-CN"/>
        </w:rPr>
      </w:pPr>
      <w:r>
        <w:rPr>
          <w:rFonts w:hint="default" w:ascii="Times New Roman" w:hAnsi="Times New Roman" w:eastAsia="宋体" w:cs="Times New Roman"/>
          <w:b w:val="0"/>
          <w:bCs/>
          <w:lang w:val="en-US" w:eastAsia="zh-CN"/>
        </w:rPr>
        <w:t>由上表可知，本项目运行10年至30年后，大气沉降至土壤中的二噁英污染物增量较小，叠加大气沉降污染物后仍可达标。在实际情况中，污染物会逐渐被土壤中微生物分解消耗，残留在土壤环境中的污染物会随时间的推移而逐渐减少。因此，大气沉降二噁英污染物对评价范围内土壤环境影响可接受。</w:t>
      </w:r>
    </w:p>
    <w:p w14:paraId="0B23572B">
      <w:pPr>
        <w:spacing w:line="500" w:lineRule="exact"/>
        <w:ind w:firstLine="480" w:firstLineChars="200"/>
        <w:jc w:val="both"/>
        <w:rPr>
          <w:rFonts w:hint="default" w:ascii="Times New Roman" w:hAnsi="Times New Roman" w:eastAsia="宋体" w:cs="Times New Roman"/>
          <w:b w:val="0"/>
          <w:bCs/>
          <w:lang w:val="en-US" w:eastAsia="zh-CN"/>
        </w:rPr>
      </w:pPr>
      <w:r>
        <w:rPr>
          <w:rFonts w:hint="default" w:ascii="Times New Roman" w:hAnsi="Times New Roman" w:eastAsia="宋体" w:cs="Times New Roman"/>
          <w:b w:val="0"/>
          <w:bCs/>
          <w:lang w:val="en-US" w:eastAsia="zh-CN"/>
        </w:rPr>
        <w:t>（2）氟化物染物预测与评价</w:t>
      </w:r>
    </w:p>
    <w:p w14:paraId="70EFBB9F">
      <w:pPr>
        <w:spacing w:line="500" w:lineRule="exact"/>
        <w:ind w:firstLine="480" w:firstLineChars="200"/>
        <w:jc w:val="both"/>
        <w:rPr>
          <w:rFonts w:hint="default" w:ascii="Times New Roman" w:hAnsi="Times New Roman" w:eastAsia="宋体" w:cs="Times New Roman"/>
          <w:b w:val="0"/>
          <w:bCs/>
          <w:lang w:val="en-US" w:eastAsia="zh-CN"/>
        </w:rPr>
      </w:pPr>
      <w:r>
        <w:rPr>
          <w:rFonts w:hint="default" w:ascii="Times New Roman" w:hAnsi="Times New Roman" w:eastAsia="宋体" w:cs="Times New Roman"/>
          <w:b w:val="0"/>
          <w:bCs/>
          <w:lang w:val="en-US" w:eastAsia="zh-CN"/>
        </w:rPr>
        <w:t>经过计算，单位质量土壤中氟化物的增量如下，由于《土壤环境质量 建设用地土壤污染风险管控标准（试行）》(GB36600—2018)中第二类用地筛选值中不包含氟化物指标，因此预测评价标准限值参考河北省地方标准《建设用地土壤污染风险筛选值》（DB 13/T 5216—2022）中第二类用地筛选值进行达标性评价。</w:t>
      </w:r>
    </w:p>
    <w:p w14:paraId="237766C1">
      <w:pPr>
        <w:pStyle w:val="719"/>
        <w:keepNext w:val="0"/>
        <w:keepLines w:val="0"/>
        <w:pageBreakBefore w:val="0"/>
        <w:widowControl/>
        <w:kinsoku/>
        <w:wordWrap/>
        <w:overflowPunct/>
        <w:topLinePunct w:val="0"/>
        <w:autoSpaceDE/>
        <w:autoSpaceDN/>
        <w:bidi w:val="0"/>
        <w:adjustRightInd w:val="0"/>
        <w:snapToGrid w:val="0"/>
        <w:spacing w:beforeLines="0" w:line="360" w:lineRule="auto"/>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表</w:t>
      </w:r>
      <w:r>
        <w:rPr>
          <w:rFonts w:hint="default" w:ascii="Times New Roman" w:hAnsi="Times New Roman" w:eastAsia="宋体" w:cs="Times New Roman"/>
          <w:sz w:val="24"/>
          <w:szCs w:val="24"/>
          <w:lang w:val="en-US" w:eastAsia="zh-CN"/>
        </w:rPr>
        <w:t>4-5</w:t>
      </w:r>
      <w:r>
        <w:rPr>
          <w:rFonts w:hint="default" w:ascii="Times New Roman" w:hAnsi="Times New Roman" w:eastAsia="宋体" w:cs="Times New Roman"/>
          <w:sz w:val="24"/>
          <w:szCs w:val="24"/>
        </w:rPr>
        <w:t xml:space="preserve">  </w:t>
      </w:r>
      <w:r>
        <w:rPr>
          <w:rFonts w:hint="default" w:ascii="Times New Roman" w:hAnsi="Times New Roman" w:eastAsia="宋体" w:cs="Times New Roman"/>
          <w:sz w:val="24"/>
          <w:szCs w:val="24"/>
          <w:lang w:val="en-US" w:eastAsia="zh-CN"/>
        </w:rPr>
        <w:t>氟化物</w:t>
      </w:r>
      <w:r>
        <w:rPr>
          <w:rFonts w:hint="default" w:ascii="Times New Roman" w:hAnsi="Times New Roman" w:eastAsia="宋体" w:cs="Times New Roman"/>
          <w:sz w:val="24"/>
          <w:szCs w:val="24"/>
        </w:rPr>
        <w:t>预测结果</w:t>
      </w:r>
    </w:p>
    <w:tbl>
      <w:tblPr>
        <w:tblStyle w:val="57"/>
        <w:tblW w:w="4997" w:type="pct"/>
        <w:tblInd w:w="0" w:type="dxa"/>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autofit"/>
        <w:tblCellMar>
          <w:top w:w="0" w:type="dxa"/>
          <w:left w:w="108" w:type="dxa"/>
          <w:bottom w:w="0" w:type="dxa"/>
          <w:right w:w="108" w:type="dxa"/>
        </w:tblCellMar>
      </w:tblPr>
      <w:tblGrid>
        <w:gridCol w:w="1230"/>
        <w:gridCol w:w="1800"/>
        <w:gridCol w:w="1427"/>
        <w:gridCol w:w="1458"/>
        <w:gridCol w:w="1474"/>
        <w:gridCol w:w="1327"/>
      </w:tblGrid>
      <w:tr w14:paraId="15F17D71">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772" w:hRule="atLeast"/>
        </w:trPr>
        <w:tc>
          <w:tcPr>
            <w:tcW w:w="705" w:type="pct"/>
            <w:vAlign w:val="center"/>
          </w:tcPr>
          <w:p w14:paraId="0BCE6EF9">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cs="Times New Roman"/>
                <w:sz w:val="21"/>
                <w:szCs w:val="21"/>
                <w:lang w:val="en-US" w:eastAsia="zh-CN"/>
              </w:rPr>
              <w:t>预测时段</w:t>
            </w:r>
          </w:p>
        </w:tc>
        <w:tc>
          <w:tcPr>
            <w:tcW w:w="1032" w:type="pct"/>
            <w:vAlign w:val="center"/>
          </w:tcPr>
          <w:p w14:paraId="2460CD77">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sz w:val="21"/>
                <w:szCs w:val="21"/>
              </w:rPr>
            </w:pPr>
            <w:r>
              <w:rPr>
                <w:rFonts w:hint="default" w:ascii="Times New Roman" w:hAnsi="Times New Roman" w:cs="Times New Roman"/>
                <w:sz w:val="21"/>
                <w:szCs w:val="21"/>
              </w:rPr>
              <w:t>单位年份增量</w:t>
            </w:r>
            <w:r>
              <w:rPr>
                <w:rFonts w:hint="default" w:ascii="Times New Roman" w:hAnsi="Times New Roman" w:cs="Times New Roman"/>
                <w:sz w:val="21"/>
                <w:szCs w:val="21"/>
                <w:lang w:val="en-US" w:eastAsia="zh-CN"/>
              </w:rPr>
              <w:t>m</w:t>
            </w:r>
            <w:r>
              <w:rPr>
                <w:rFonts w:hint="default" w:ascii="Times New Roman" w:hAnsi="Times New Roman" w:cs="Times New Roman"/>
                <w:sz w:val="21"/>
                <w:szCs w:val="21"/>
              </w:rPr>
              <w:t>g/kg</w:t>
            </w:r>
          </w:p>
        </w:tc>
        <w:tc>
          <w:tcPr>
            <w:tcW w:w="818" w:type="pct"/>
            <w:vAlign w:val="center"/>
          </w:tcPr>
          <w:p w14:paraId="1F0A5962">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sz w:val="21"/>
                <w:szCs w:val="21"/>
              </w:rPr>
            </w:pPr>
            <w:r>
              <w:rPr>
                <w:rFonts w:hint="default" w:ascii="Times New Roman" w:hAnsi="Times New Roman" w:cs="Times New Roman"/>
                <w:sz w:val="21"/>
                <w:szCs w:val="21"/>
              </w:rPr>
              <w:t>质量现状</w:t>
            </w:r>
          </w:p>
          <w:p w14:paraId="610FB968">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sz w:val="21"/>
                <w:szCs w:val="21"/>
              </w:rPr>
            </w:pPr>
            <w:r>
              <w:rPr>
                <w:rFonts w:hint="default" w:ascii="Times New Roman" w:hAnsi="Times New Roman" w:cs="Times New Roman"/>
                <w:sz w:val="21"/>
                <w:szCs w:val="21"/>
                <w:lang w:val="en-US" w:eastAsia="zh-CN"/>
              </w:rPr>
              <w:t>m</w:t>
            </w:r>
            <w:r>
              <w:rPr>
                <w:rFonts w:hint="default" w:ascii="Times New Roman" w:hAnsi="Times New Roman" w:cs="Times New Roman"/>
                <w:sz w:val="21"/>
                <w:szCs w:val="21"/>
              </w:rPr>
              <w:t>g/kg</w:t>
            </w:r>
          </w:p>
        </w:tc>
        <w:tc>
          <w:tcPr>
            <w:tcW w:w="836" w:type="pct"/>
            <w:vAlign w:val="center"/>
          </w:tcPr>
          <w:p w14:paraId="120B3C98">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sz w:val="21"/>
                <w:szCs w:val="21"/>
              </w:rPr>
            </w:pPr>
            <w:r>
              <w:rPr>
                <w:rFonts w:hint="default" w:ascii="Times New Roman" w:hAnsi="Times New Roman" w:cs="Times New Roman"/>
                <w:sz w:val="21"/>
                <w:szCs w:val="21"/>
              </w:rPr>
              <w:t>叠加值</w:t>
            </w:r>
          </w:p>
          <w:p w14:paraId="30D08992">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sz w:val="21"/>
                <w:szCs w:val="21"/>
              </w:rPr>
            </w:pPr>
            <w:r>
              <w:rPr>
                <w:rFonts w:hint="default" w:ascii="Times New Roman" w:hAnsi="Times New Roman" w:cs="Times New Roman"/>
                <w:sz w:val="21"/>
                <w:szCs w:val="21"/>
                <w:lang w:val="en-US" w:eastAsia="zh-CN"/>
              </w:rPr>
              <w:t>m</w:t>
            </w:r>
            <w:r>
              <w:rPr>
                <w:rFonts w:hint="default" w:ascii="Times New Roman" w:hAnsi="Times New Roman" w:cs="Times New Roman"/>
                <w:sz w:val="21"/>
                <w:szCs w:val="21"/>
              </w:rPr>
              <w:t>g/kg</w:t>
            </w:r>
          </w:p>
        </w:tc>
        <w:tc>
          <w:tcPr>
            <w:tcW w:w="845" w:type="pct"/>
            <w:vAlign w:val="center"/>
          </w:tcPr>
          <w:p w14:paraId="6A7A9749">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sz w:val="21"/>
                <w:szCs w:val="21"/>
              </w:rPr>
            </w:pPr>
            <w:r>
              <w:rPr>
                <w:rFonts w:hint="default" w:ascii="Times New Roman" w:hAnsi="Times New Roman" w:cs="Times New Roman"/>
                <w:sz w:val="21"/>
                <w:szCs w:val="21"/>
              </w:rPr>
              <w:t>第</w:t>
            </w:r>
            <w:r>
              <w:rPr>
                <w:rFonts w:hint="default" w:ascii="Times New Roman" w:hAnsi="Times New Roman" w:cs="Times New Roman"/>
                <w:sz w:val="21"/>
                <w:szCs w:val="21"/>
                <w:lang w:val="en-US" w:eastAsia="zh-CN"/>
              </w:rPr>
              <w:t>二</w:t>
            </w:r>
            <w:r>
              <w:rPr>
                <w:rFonts w:hint="default" w:ascii="Times New Roman" w:hAnsi="Times New Roman" w:cs="Times New Roman"/>
                <w:sz w:val="21"/>
                <w:szCs w:val="21"/>
              </w:rPr>
              <w:t>类用地筛选值</w:t>
            </w:r>
            <w:r>
              <w:rPr>
                <w:rFonts w:hint="default" w:ascii="Times New Roman" w:hAnsi="Times New Roman" w:cs="Times New Roman"/>
                <w:sz w:val="21"/>
                <w:szCs w:val="21"/>
                <w:lang w:val="en-US" w:eastAsia="zh-CN"/>
              </w:rPr>
              <w:t>m</w:t>
            </w:r>
            <w:r>
              <w:rPr>
                <w:rFonts w:hint="default" w:ascii="Times New Roman" w:hAnsi="Times New Roman" w:cs="Times New Roman"/>
                <w:sz w:val="21"/>
                <w:szCs w:val="21"/>
              </w:rPr>
              <w:t>g/kg</w:t>
            </w:r>
          </w:p>
        </w:tc>
        <w:tc>
          <w:tcPr>
            <w:tcW w:w="761" w:type="pct"/>
            <w:vAlign w:val="center"/>
          </w:tcPr>
          <w:p w14:paraId="2864548C">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cs="Times New Roman"/>
                <w:sz w:val="21"/>
                <w:szCs w:val="21"/>
                <w:lang w:val="en-US" w:eastAsia="zh-CN"/>
              </w:rPr>
              <w:t>是否达标</w:t>
            </w:r>
          </w:p>
        </w:tc>
      </w:tr>
      <w:tr w14:paraId="6C65E857">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97" w:hRule="atLeast"/>
        </w:trPr>
        <w:tc>
          <w:tcPr>
            <w:tcW w:w="705" w:type="pct"/>
            <w:vAlign w:val="center"/>
          </w:tcPr>
          <w:p w14:paraId="302F0AA3">
            <w:pPr>
              <w:widowControl w:val="0"/>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color w:val="auto"/>
                <w:sz w:val="21"/>
                <w:szCs w:val="21"/>
                <w:lang w:val="en-US" w:eastAsia="zh-CN"/>
              </w:rPr>
              <w:t>10</w:t>
            </w:r>
            <w:r>
              <w:rPr>
                <w:rFonts w:hint="default" w:ascii="Times New Roman" w:hAnsi="Times New Roman" w:cs="Times New Roman"/>
                <w:color w:val="auto"/>
                <w:sz w:val="21"/>
                <w:szCs w:val="21"/>
                <w:lang w:val="en-US" w:eastAsia="zh-CN"/>
              </w:rPr>
              <w:t>年</w:t>
            </w:r>
          </w:p>
        </w:tc>
        <w:tc>
          <w:tcPr>
            <w:tcW w:w="1800" w:type="dxa"/>
            <w:vAlign w:val="center"/>
          </w:tcPr>
          <w:p w14:paraId="6CED7C89">
            <w:pPr>
              <w:keepNext w:val="0"/>
              <w:keepLines w:val="0"/>
              <w:widowControl/>
              <w:suppressLineNumbers w:val="0"/>
              <w:jc w:val="center"/>
              <w:textAlignment w:val="center"/>
              <w:rPr>
                <w:rFonts w:hint="default" w:ascii="Times New Roman" w:hAnsi="Times New Roman" w:cs="Times New Roman"/>
                <w:color w:val="C00000"/>
                <w:sz w:val="21"/>
                <w:szCs w:val="21"/>
                <w:lang w:val="en-US"/>
              </w:rPr>
            </w:pPr>
            <w:r>
              <w:rPr>
                <w:rFonts w:hint="default" w:ascii="Times New Roman" w:hAnsi="Times New Roman" w:cs="Times New Roman"/>
                <w:i w:val="0"/>
                <w:iCs w:val="0"/>
                <w:color w:val="000000"/>
                <w:kern w:val="0"/>
                <w:sz w:val="21"/>
                <w:szCs w:val="21"/>
                <w:u w:val="none"/>
                <w:lang w:val="en-US" w:eastAsia="zh-CN" w:bidi="ar"/>
              </w:rPr>
              <w:t>+15.8</w:t>
            </w:r>
          </w:p>
        </w:tc>
        <w:tc>
          <w:tcPr>
            <w:tcW w:w="1427" w:type="dxa"/>
            <w:vAlign w:val="center"/>
          </w:tcPr>
          <w:p w14:paraId="42CC018E">
            <w:pPr>
              <w:keepNext w:val="0"/>
              <w:keepLines w:val="0"/>
              <w:widowControl/>
              <w:suppressLineNumbers w:val="0"/>
              <w:jc w:val="center"/>
              <w:textAlignment w:val="center"/>
              <w:rPr>
                <w:rFonts w:hint="default" w:ascii="Times New Roman" w:hAnsi="Times New Roman" w:cs="Times New Roman"/>
                <w:color w:val="auto"/>
                <w:sz w:val="21"/>
                <w:szCs w:val="21"/>
                <w:lang w:val="en-US" w:eastAsia="zh-CN"/>
              </w:rPr>
            </w:pPr>
            <w:r>
              <w:rPr>
                <w:rFonts w:hint="default" w:ascii="Times New Roman" w:hAnsi="Times New Roman" w:cs="Times New Roman"/>
                <w:i w:val="0"/>
                <w:iCs w:val="0"/>
                <w:color w:val="000000"/>
                <w:kern w:val="0"/>
                <w:sz w:val="21"/>
                <w:szCs w:val="21"/>
                <w:u w:val="none"/>
                <w:lang w:val="en-US" w:eastAsia="zh-CN" w:bidi="ar"/>
              </w:rPr>
              <w:t>0</w:t>
            </w:r>
          </w:p>
        </w:tc>
        <w:tc>
          <w:tcPr>
            <w:tcW w:w="1458" w:type="dxa"/>
            <w:vAlign w:val="center"/>
          </w:tcPr>
          <w:p w14:paraId="10100A4D">
            <w:pPr>
              <w:keepNext w:val="0"/>
              <w:keepLines w:val="0"/>
              <w:widowControl/>
              <w:suppressLineNumbers w:val="0"/>
              <w:jc w:val="center"/>
              <w:textAlignment w:val="center"/>
              <w:rPr>
                <w:rFonts w:hint="default" w:ascii="Times New Roman" w:hAnsi="Times New Roman" w:eastAsia="宋体" w:cs="Times New Roman"/>
                <w:color w:val="C00000"/>
                <w:sz w:val="21"/>
                <w:szCs w:val="21"/>
                <w:lang w:val="en-US" w:eastAsia="zh-CN"/>
              </w:rPr>
            </w:pPr>
            <w:r>
              <w:rPr>
                <w:rFonts w:hint="default" w:ascii="Times New Roman" w:hAnsi="Times New Roman" w:cs="Times New Roman"/>
                <w:i w:val="0"/>
                <w:iCs w:val="0"/>
                <w:color w:val="000000"/>
                <w:kern w:val="0"/>
                <w:sz w:val="21"/>
                <w:szCs w:val="21"/>
                <w:u w:val="none"/>
                <w:lang w:val="en-US" w:eastAsia="zh-CN" w:bidi="ar"/>
              </w:rPr>
              <w:t>157.9</w:t>
            </w:r>
          </w:p>
        </w:tc>
        <w:tc>
          <w:tcPr>
            <w:tcW w:w="845" w:type="pct"/>
            <w:vAlign w:val="center"/>
          </w:tcPr>
          <w:p w14:paraId="5538CAE2">
            <w:pPr>
              <w:widowControl w:val="0"/>
              <w:jc w:val="center"/>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10000</w:t>
            </w:r>
          </w:p>
        </w:tc>
        <w:tc>
          <w:tcPr>
            <w:tcW w:w="761" w:type="pct"/>
            <w:vAlign w:val="center"/>
          </w:tcPr>
          <w:p w14:paraId="17F76CEF">
            <w:pPr>
              <w:widowControl w:val="0"/>
              <w:jc w:val="center"/>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达标</w:t>
            </w:r>
          </w:p>
        </w:tc>
      </w:tr>
      <w:tr w14:paraId="0245A35A">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97" w:hRule="atLeast"/>
        </w:trPr>
        <w:tc>
          <w:tcPr>
            <w:tcW w:w="705" w:type="pct"/>
            <w:vAlign w:val="center"/>
          </w:tcPr>
          <w:p w14:paraId="5744FD12">
            <w:pPr>
              <w:widowControl w:val="0"/>
              <w:jc w:val="center"/>
              <w:rPr>
                <w:rFonts w:hint="default" w:ascii="Times New Roman" w:hAnsi="Times New Roman" w:cs="Times New Roman"/>
                <w:sz w:val="21"/>
                <w:szCs w:val="21"/>
                <w:lang w:val="en-US" w:eastAsia="zh-CN"/>
              </w:rPr>
            </w:pPr>
            <w:r>
              <w:rPr>
                <w:rFonts w:hint="default" w:ascii="Times New Roman" w:hAnsi="Times New Roman" w:cs="Times New Roman"/>
                <w:color w:val="auto"/>
                <w:sz w:val="21"/>
                <w:szCs w:val="21"/>
                <w:lang w:val="en-US" w:eastAsia="zh-CN"/>
              </w:rPr>
              <w:t>20年</w:t>
            </w:r>
          </w:p>
        </w:tc>
        <w:tc>
          <w:tcPr>
            <w:tcW w:w="1800" w:type="dxa"/>
            <w:vAlign w:val="center"/>
          </w:tcPr>
          <w:p w14:paraId="0F084CFA">
            <w:pPr>
              <w:keepNext w:val="0"/>
              <w:keepLines w:val="0"/>
              <w:widowControl/>
              <w:suppressLineNumbers w:val="0"/>
              <w:jc w:val="center"/>
              <w:textAlignment w:val="center"/>
              <w:rPr>
                <w:rFonts w:hint="default" w:ascii="Times New Roman" w:hAnsi="Times New Roman" w:cs="Times New Roman"/>
                <w:color w:val="C00000"/>
                <w:sz w:val="21"/>
                <w:szCs w:val="21"/>
                <w:lang w:val="en-US"/>
              </w:rPr>
            </w:pPr>
            <w:r>
              <w:rPr>
                <w:rFonts w:hint="default" w:ascii="Times New Roman" w:hAnsi="Times New Roman" w:cs="Times New Roman"/>
                <w:i w:val="0"/>
                <w:iCs w:val="0"/>
                <w:color w:val="000000"/>
                <w:kern w:val="0"/>
                <w:sz w:val="21"/>
                <w:szCs w:val="21"/>
                <w:u w:val="none"/>
                <w:lang w:val="en-US" w:eastAsia="zh-CN" w:bidi="ar"/>
              </w:rPr>
              <w:t>+15.8</w:t>
            </w:r>
          </w:p>
        </w:tc>
        <w:tc>
          <w:tcPr>
            <w:tcW w:w="1427" w:type="dxa"/>
            <w:vAlign w:val="center"/>
          </w:tcPr>
          <w:p w14:paraId="67CFC73F">
            <w:pPr>
              <w:keepNext w:val="0"/>
              <w:keepLines w:val="0"/>
              <w:widowControl/>
              <w:suppressLineNumbers w:val="0"/>
              <w:jc w:val="center"/>
              <w:textAlignment w:val="center"/>
              <w:rPr>
                <w:rFonts w:hint="default" w:ascii="Times New Roman" w:hAnsi="Times New Roman" w:cs="Times New Roman"/>
                <w:color w:val="auto"/>
                <w:sz w:val="21"/>
                <w:szCs w:val="21"/>
                <w:lang w:val="en-US" w:eastAsia="zh-CN"/>
              </w:rPr>
            </w:pPr>
            <w:r>
              <w:rPr>
                <w:rFonts w:hint="default" w:ascii="Times New Roman" w:hAnsi="Times New Roman" w:cs="Times New Roman"/>
                <w:i w:val="0"/>
                <w:iCs w:val="0"/>
                <w:color w:val="000000"/>
                <w:kern w:val="0"/>
                <w:sz w:val="21"/>
                <w:szCs w:val="21"/>
                <w:u w:val="none"/>
                <w:lang w:val="en-US" w:eastAsia="zh-CN" w:bidi="ar"/>
              </w:rPr>
              <w:t>0</w:t>
            </w:r>
          </w:p>
        </w:tc>
        <w:tc>
          <w:tcPr>
            <w:tcW w:w="1458" w:type="dxa"/>
            <w:vAlign w:val="center"/>
          </w:tcPr>
          <w:p w14:paraId="7EC2A50E">
            <w:pPr>
              <w:keepNext w:val="0"/>
              <w:keepLines w:val="0"/>
              <w:widowControl/>
              <w:suppressLineNumbers w:val="0"/>
              <w:jc w:val="center"/>
              <w:textAlignment w:val="center"/>
              <w:rPr>
                <w:rFonts w:hint="default" w:ascii="Times New Roman" w:hAnsi="Times New Roman" w:eastAsia="宋体" w:cs="Times New Roman"/>
                <w:color w:val="C00000"/>
                <w:sz w:val="21"/>
                <w:szCs w:val="21"/>
                <w:lang w:val="en-US" w:eastAsia="zh-CN"/>
              </w:rPr>
            </w:pPr>
            <w:r>
              <w:rPr>
                <w:rFonts w:hint="default" w:ascii="Times New Roman" w:hAnsi="Times New Roman" w:cs="Times New Roman"/>
                <w:i w:val="0"/>
                <w:iCs w:val="0"/>
                <w:color w:val="000000"/>
                <w:kern w:val="0"/>
                <w:sz w:val="21"/>
                <w:szCs w:val="21"/>
                <w:u w:val="none"/>
                <w:lang w:val="en-US" w:eastAsia="zh-CN" w:bidi="ar"/>
              </w:rPr>
              <w:t>315.9</w:t>
            </w:r>
          </w:p>
        </w:tc>
        <w:tc>
          <w:tcPr>
            <w:tcW w:w="845" w:type="pct"/>
            <w:vAlign w:val="center"/>
          </w:tcPr>
          <w:p w14:paraId="6AF0210F">
            <w:pPr>
              <w:widowControl w:val="0"/>
              <w:jc w:val="center"/>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10000</w:t>
            </w:r>
          </w:p>
        </w:tc>
        <w:tc>
          <w:tcPr>
            <w:tcW w:w="761" w:type="pct"/>
            <w:vAlign w:val="center"/>
          </w:tcPr>
          <w:p w14:paraId="2AAF83DF">
            <w:pPr>
              <w:widowControl w:val="0"/>
              <w:jc w:val="center"/>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达标</w:t>
            </w:r>
          </w:p>
        </w:tc>
      </w:tr>
      <w:tr w14:paraId="30BE3D54">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97" w:hRule="atLeast"/>
        </w:trPr>
        <w:tc>
          <w:tcPr>
            <w:tcW w:w="705" w:type="pct"/>
            <w:vAlign w:val="center"/>
          </w:tcPr>
          <w:p w14:paraId="3C62FF59">
            <w:pPr>
              <w:widowControl w:val="0"/>
              <w:jc w:val="center"/>
              <w:rPr>
                <w:rFonts w:hint="default" w:ascii="Times New Roman" w:hAnsi="Times New Roman" w:cs="Times New Roman"/>
                <w:sz w:val="21"/>
                <w:szCs w:val="21"/>
                <w:lang w:val="en-US" w:eastAsia="zh-CN"/>
              </w:rPr>
            </w:pPr>
            <w:r>
              <w:rPr>
                <w:rFonts w:hint="default" w:ascii="Times New Roman" w:hAnsi="Times New Roman" w:cs="Times New Roman"/>
                <w:color w:val="auto"/>
                <w:sz w:val="21"/>
                <w:szCs w:val="21"/>
                <w:lang w:val="en-US" w:eastAsia="zh-CN"/>
              </w:rPr>
              <w:t>30年</w:t>
            </w:r>
          </w:p>
        </w:tc>
        <w:tc>
          <w:tcPr>
            <w:tcW w:w="1800" w:type="dxa"/>
            <w:vAlign w:val="center"/>
          </w:tcPr>
          <w:p w14:paraId="284C77B6">
            <w:pPr>
              <w:keepNext w:val="0"/>
              <w:keepLines w:val="0"/>
              <w:widowControl/>
              <w:suppressLineNumbers w:val="0"/>
              <w:jc w:val="center"/>
              <w:textAlignment w:val="center"/>
              <w:rPr>
                <w:rFonts w:hint="default" w:ascii="Times New Roman" w:hAnsi="Times New Roman" w:cs="Times New Roman"/>
                <w:color w:val="C00000"/>
                <w:sz w:val="21"/>
                <w:szCs w:val="21"/>
                <w:lang w:val="en-US"/>
              </w:rPr>
            </w:pPr>
            <w:r>
              <w:rPr>
                <w:rFonts w:hint="default" w:ascii="Times New Roman" w:hAnsi="Times New Roman" w:cs="Times New Roman"/>
                <w:i w:val="0"/>
                <w:iCs w:val="0"/>
                <w:color w:val="000000"/>
                <w:kern w:val="0"/>
                <w:sz w:val="21"/>
                <w:szCs w:val="21"/>
                <w:u w:val="none"/>
                <w:lang w:val="en-US" w:eastAsia="zh-CN" w:bidi="ar"/>
              </w:rPr>
              <w:t>+15.8</w:t>
            </w:r>
          </w:p>
        </w:tc>
        <w:tc>
          <w:tcPr>
            <w:tcW w:w="1427" w:type="dxa"/>
            <w:vAlign w:val="center"/>
          </w:tcPr>
          <w:p w14:paraId="76DEEB9C">
            <w:pPr>
              <w:keepNext w:val="0"/>
              <w:keepLines w:val="0"/>
              <w:widowControl/>
              <w:suppressLineNumbers w:val="0"/>
              <w:jc w:val="center"/>
              <w:textAlignment w:val="center"/>
              <w:rPr>
                <w:rFonts w:hint="default" w:ascii="Times New Roman" w:hAnsi="Times New Roman" w:cs="Times New Roman"/>
                <w:color w:val="auto"/>
                <w:sz w:val="21"/>
                <w:szCs w:val="21"/>
                <w:lang w:val="en-US" w:eastAsia="zh-CN"/>
              </w:rPr>
            </w:pPr>
            <w:r>
              <w:rPr>
                <w:rFonts w:hint="default" w:ascii="Times New Roman" w:hAnsi="Times New Roman" w:cs="Times New Roman"/>
                <w:i w:val="0"/>
                <w:iCs w:val="0"/>
                <w:color w:val="000000"/>
                <w:kern w:val="0"/>
                <w:sz w:val="21"/>
                <w:szCs w:val="21"/>
                <w:u w:val="none"/>
                <w:lang w:val="en-US" w:eastAsia="zh-CN" w:bidi="ar"/>
              </w:rPr>
              <w:t>0</w:t>
            </w:r>
          </w:p>
        </w:tc>
        <w:tc>
          <w:tcPr>
            <w:tcW w:w="1458" w:type="dxa"/>
            <w:vAlign w:val="center"/>
          </w:tcPr>
          <w:p w14:paraId="2140F4B1">
            <w:pPr>
              <w:keepNext w:val="0"/>
              <w:keepLines w:val="0"/>
              <w:widowControl/>
              <w:suppressLineNumbers w:val="0"/>
              <w:jc w:val="center"/>
              <w:textAlignment w:val="center"/>
              <w:rPr>
                <w:rFonts w:hint="default" w:ascii="Times New Roman" w:hAnsi="Times New Roman" w:eastAsia="宋体" w:cs="Times New Roman"/>
                <w:color w:val="C00000"/>
                <w:sz w:val="21"/>
                <w:szCs w:val="21"/>
                <w:lang w:val="en-US" w:eastAsia="zh-CN"/>
              </w:rPr>
            </w:pPr>
            <w:r>
              <w:rPr>
                <w:rFonts w:hint="default" w:ascii="Times New Roman" w:hAnsi="Times New Roman" w:cs="Times New Roman"/>
                <w:i w:val="0"/>
                <w:iCs w:val="0"/>
                <w:color w:val="000000"/>
                <w:kern w:val="0"/>
                <w:sz w:val="21"/>
                <w:szCs w:val="21"/>
                <w:u w:val="none"/>
                <w:lang w:val="en-US" w:eastAsia="zh-CN" w:bidi="ar"/>
              </w:rPr>
              <w:t>473.8</w:t>
            </w:r>
          </w:p>
        </w:tc>
        <w:tc>
          <w:tcPr>
            <w:tcW w:w="845" w:type="pct"/>
            <w:vAlign w:val="center"/>
          </w:tcPr>
          <w:p w14:paraId="26FF3B70">
            <w:pPr>
              <w:widowControl w:val="0"/>
              <w:jc w:val="center"/>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10000</w:t>
            </w:r>
          </w:p>
        </w:tc>
        <w:tc>
          <w:tcPr>
            <w:tcW w:w="761" w:type="pct"/>
            <w:vAlign w:val="center"/>
          </w:tcPr>
          <w:p w14:paraId="47782297">
            <w:pPr>
              <w:widowControl w:val="0"/>
              <w:jc w:val="center"/>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达标</w:t>
            </w:r>
          </w:p>
        </w:tc>
      </w:tr>
    </w:tbl>
    <w:p w14:paraId="59ED8538">
      <w:pPr>
        <w:spacing w:line="500" w:lineRule="exact"/>
        <w:ind w:firstLine="480" w:firstLineChars="200"/>
        <w:jc w:val="both"/>
        <w:rPr>
          <w:rFonts w:hint="default" w:ascii="Times New Roman" w:hAnsi="Times New Roman" w:eastAsia="宋体" w:cs="Times New Roman"/>
          <w:b w:val="0"/>
          <w:bCs/>
          <w:lang w:val="en-US" w:eastAsia="zh-CN"/>
        </w:rPr>
      </w:pPr>
      <w:r>
        <w:rPr>
          <w:rFonts w:hint="default" w:ascii="Times New Roman" w:hAnsi="Times New Roman" w:eastAsia="宋体" w:cs="Times New Roman"/>
          <w:b w:val="0"/>
          <w:bCs/>
          <w:lang w:val="en-US" w:eastAsia="zh-CN"/>
        </w:rPr>
        <w:t>由上表可知，本项目运行10年至30年后，大气沉降至土壤中的氟化物污染物增量较小，叠加大气沉降污染物后仍可达标。在实际情况中，污染物会逐渐被土壤中微生物分解消耗，残留在土壤环境中的污染物会随时间的推移而逐渐减少。因此，大气沉降氟化物污染物对评价范围内土壤环境影响可接受。</w:t>
      </w:r>
    </w:p>
    <w:p w14:paraId="646F1822">
      <w:pPr>
        <w:spacing w:line="500" w:lineRule="exact"/>
        <w:ind w:firstLine="480" w:firstLineChars="200"/>
        <w:jc w:val="both"/>
        <w:rPr>
          <w:rFonts w:hint="default" w:ascii="Times New Roman" w:hAnsi="Times New Roman" w:eastAsia="宋体" w:cs="Times New Roman"/>
          <w:b w:val="0"/>
          <w:bCs/>
          <w:lang w:val="en-US" w:eastAsia="zh-CN"/>
        </w:rPr>
      </w:pPr>
      <w:r>
        <w:rPr>
          <w:rFonts w:hint="default" w:ascii="Times New Roman" w:hAnsi="Times New Roman" w:eastAsia="宋体" w:cs="Times New Roman"/>
          <w:b w:val="0"/>
          <w:bCs/>
          <w:lang w:val="en-US" w:eastAsia="zh-CN"/>
        </w:rPr>
        <w:t>（3）氨氮染物预测与评价</w:t>
      </w:r>
    </w:p>
    <w:p w14:paraId="11C84F39">
      <w:pPr>
        <w:spacing w:line="500" w:lineRule="exact"/>
        <w:ind w:firstLine="480" w:firstLineChars="200"/>
        <w:jc w:val="both"/>
        <w:rPr>
          <w:rFonts w:hint="default" w:ascii="Times New Roman" w:hAnsi="Times New Roman" w:eastAsia="宋体" w:cs="Times New Roman"/>
          <w:b w:val="0"/>
          <w:bCs/>
          <w:lang w:val="en-US" w:eastAsia="zh-CN"/>
        </w:rPr>
      </w:pPr>
      <w:r>
        <w:rPr>
          <w:rFonts w:hint="default" w:ascii="Times New Roman" w:hAnsi="Times New Roman" w:eastAsia="宋体" w:cs="Times New Roman"/>
          <w:b w:val="0"/>
          <w:bCs/>
          <w:lang w:val="en-US" w:eastAsia="zh-CN"/>
        </w:rPr>
        <w:t>经过计算，单位质量土壤中氨氮的增量如下，由于《土壤环境质量 建设用地土壤污染风险管控标准（试行）》(GB36600—2018)中第二类用地筛选值中不包含氨氮指标，因此预测评价标准限值参考河北省地方标准《建设用地土壤污染风险筛选值》（DB 13/T 5216—2022）中第二类用地筛选值进行达标性评价。</w:t>
      </w:r>
    </w:p>
    <w:p w14:paraId="1B9E52D7">
      <w:pPr>
        <w:pStyle w:val="719"/>
        <w:keepNext w:val="0"/>
        <w:keepLines w:val="0"/>
        <w:pageBreakBefore w:val="0"/>
        <w:widowControl/>
        <w:kinsoku/>
        <w:wordWrap/>
        <w:overflowPunct/>
        <w:topLinePunct w:val="0"/>
        <w:autoSpaceDE/>
        <w:autoSpaceDN/>
        <w:bidi w:val="0"/>
        <w:adjustRightInd w:val="0"/>
        <w:snapToGrid w:val="0"/>
        <w:spacing w:beforeLines="0" w:line="360" w:lineRule="auto"/>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表</w:t>
      </w:r>
      <w:r>
        <w:rPr>
          <w:rFonts w:hint="default" w:ascii="Times New Roman" w:hAnsi="Times New Roman" w:eastAsia="宋体" w:cs="Times New Roman"/>
          <w:sz w:val="24"/>
          <w:szCs w:val="24"/>
          <w:lang w:val="en-US" w:eastAsia="zh-CN"/>
        </w:rPr>
        <w:t>4-6</w:t>
      </w:r>
      <w:r>
        <w:rPr>
          <w:rFonts w:hint="default" w:ascii="Times New Roman" w:hAnsi="Times New Roman" w:eastAsia="宋体" w:cs="Times New Roman"/>
          <w:sz w:val="24"/>
          <w:szCs w:val="24"/>
        </w:rPr>
        <w:t xml:space="preserve">  </w:t>
      </w:r>
      <w:r>
        <w:rPr>
          <w:rFonts w:hint="default" w:ascii="Times New Roman" w:hAnsi="Times New Roman" w:eastAsia="宋体" w:cs="Times New Roman"/>
          <w:sz w:val="24"/>
          <w:szCs w:val="24"/>
          <w:lang w:val="en-US" w:eastAsia="zh-CN"/>
        </w:rPr>
        <w:t>氨氮</w:t>
      </w:r>
      <w:r>
        <w:rPr>
          <w:rFonts w:hint="default" w:ascii="Times New Roman" w:hAnsi="Times New Roman" w:eastAsia="宋体" w:cs="Times New Roman"/>
          <w:sz w:val="24"/>
          <w:szCs w:val="24"/>
        </w:rPr>
        <w:t>预测结果</w:t>
      </w:r>
    </w:p>
    <w:tbl>
      <w:tblPr>
        <w:tblStyle w:val="57"/>
        <w:tblW w:w="4997" w:type="pct"/>
        <w:tblInd w:w="0" w:type="dxa"/>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autofit"/>
        <w:tblCellMar>
          <w:top w:w="0" w:type="dxa"/>
          <w:left w:w="108" w:type="dxa"/>
          <w:bottom w:w="0" w:type="dxa"/>
          <w:right w:w="108" w:type="dxa"/>
        </w:tblCellMar>
      </w:tblPr>
      <w:tblGrid>
        <w:gridCol w:w="1230"/>
        <w:gridCol w:w="1800"/>
        <w:gridCol w:w="1427"/>
        <w:gridCol w:w="1458"/>
        <w:gridCol w:w="1474"/>
        <w:gridCol w:w="1327"/>
      </w:tblGrid>
      <w:tr w14:paraId="7FA837E2">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772" w:hRule="atLeast"/>
        </w:trPr>
        <w:tc>
          <w:tcPr>
            <w:tcW w:w="705" w:type="pct"/>
            <w:vAlign w:val="center"/>
          </w:tcPr>
          <w:p w14:paraId="630777BB">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cs="Times New Roman"/>
                <w:sz w:val="21"/>
                <w:szCs w:val="21"/>
                <w:lang w:val="en-US" w:eastAsia="zh-CN"/>
              </w:rPr>
              <w:t>预测时段</w:t>
            </w:r>
          </w:p>
        </w:tc>
        <w:tc>
          <w:tcPr>
            <w:tcW w:w="1032" w:type="pct"/>
            <w:vAlign w:val="center"/>
          </w:tcPr>
          <w:p w14:paraId="0052C79D">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sz w:val="21"/>
                <w:szCs w:val="21"/>
              </w:rPr>
            </w:pPr>
            <w:r>
              <w:rPr>
                <w:rFonts w:hint="default" w:ascii="Times New Roman" w:hAnsi="Times New Roman" w:cs="Times New Roman"/>
                <w:sz w:val="21"/>
                <w:szCs w:val="21"/>
              </w:rPr>
              <w:t>单位年份增量</w:t>
            </w:r>
            <w:r>
              <w:rPr>
                <w:rFonts w:hint="default" w:ascii="Times New Roman" w:hAnsi="Times New Roman" w:cs="Times New Roman"/>
                <w:sz w:val="21"/>
                <w:szCs w:val="21"/>
                <w:lang w:val="en-US" w:eastAsia="zh-CN"/>
              </w:rPr>
              <w:t>m</w:t>
            </w:r>
            <w:r>
              <w:rPr>
                <w:rFonts w:hint="default" w:ascii="Times New Roman" w:hAnsi="Times New Roman" w:cs="Times New Roman"/>
                <w:sz w:val="21"/>
                <w:szCs w:val="21"/>
              </w:rPr>
              <w:t>g/kg</w:t>
            </w:r>
          </w:p>
        </w:tc>
        <w:tc>
          <w:tcPr>
            <w:tcW w:w="818" w:type="pct"/>
            <w:vAlign w:val="center"/>
          </w:tcPr>
          <w:p w14:paraId="59E697AC">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sz w:val="21"/>
                <w:szCs w:val="21"/>
              </w:rPr>
            </w:pPr>
            <w:r>
              <w:rPr>
                <w:rFonts w:hint="default" w:ascii="Times New Roman" w:hAnsi="Times New Roman" w:cs="Times New Roman"/>
                <w:sz w:val="21"/>
                <w:szCs w:val="21"/>
              </w:rPr>
              <w:t>质量现状</w:t>
            </w:r>
          </w:p>
          <w:p w14:paraId="18B78DB2">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sz w:val="21"/>
                <w:szCs w:val="21"/>
              </w:rPr>
            </w:pPr>
            <w:r>
              <w:rPr>
                <w:rFonts w:hint="default" w:ascii="Times New Roman" w:hAnsi="Times New Roman" w:cs="Times New Roman"/>
                <w:sz w:val="21"/>
                <w:szCs w:val="21"/>
                <w:lang w:val="en-US" w:eastAsia="zh-CN"/>
              </w:rPr>
              <w:t>m</w:t>
            </w:r>
            <w:r>
              <w:rPr>
                <w:rFonts w:hint="default" w:ascii="Times New Roman" w:hAnsi="Times New Roman" w:cs="Times New Roman"/>
                <w:sz w:val="21"/>
                <w:szCs w:val="21"/>
              </w:rPr>
              <w:t>g/kg</w:t>
            </w:r>
          </w:p>
        </w:tc>
        <w:tc>
          <w:tcPr>
            <w:tcW w:w="836" w:type="pct"/>
            <w:vAlign w:val="center"/>
          </w:tcPr>
          <w:p w14:paraId="4625CC1D">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sz w:val="21"/>
                <w:szCs w:val="21"/>
              </w:rPr>
            </w:pPr>
            <w:r>
              <w:rPr>
                <w:rFonts w:hint="default" w:ascii="Times New Roman" w:hAnsi="Times New Roman" w:cs="Times New Roman"/>
                <w:sz w:val="21"/>
                <w:szCs w:val="21"/>
              </w:rPr>
              <w:t>叠加值</w:t>
            </w:r>
          </w:p>
          <w:p w14:paraId="52FA8C58">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sz w:val="21"/>
                <w:szCs w:val="21"/>
              </w:rPr>
            </w:pPr>
            <w:r>
              <w:rPr>
                <w:rFonts w:hint="default" w:ascii="Times New Roman" w:hAnsi="Times New Roman" w:cs="Times New Roman"/>
                <w:sz w:val="21"/>
                <w:szCs w:val="21"/>
                <w:lang w:val="en-US" w:eastAsia="zh-CN"/>
              </w:rPr>
              <w:t>m</w:t>
            </w:r>
            <w:r>
              <w:rPr>
                <w:rFonts w:hint="default" w:ascii="Times New Roman" w:hAnsi="Times New Roman" w:cs="Times New Roman"/>
                <w:sz w:val="21"/>
                <w:szCs w:val="21"/>
              </w:rPr>
              <w:t>g/kg</w:t>
            </w:r>
          </w:p>
        </w:tc>
        <w:tc>
          <w:tcPr>
            <w:tcW w:w="845" w:type="pct"/>
            <w:vAlign w:val="center"/>
          </w:tcPr>
          <w:p w14:paraId="60211870">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sz w:val="21"/>
                <w:szCs w:val="21"/>
              </w:rPr>
            </w:pPr>
            <w:r>
              <w:rPr>
                <w:rFonts w:hint="default" w:ascii="Times New Roman" w:hAnsi="Times New Roman" w:cs="Times New Roman"/>
                <w:sz w:val="21"/>
                <w:szCs w:val="21"/>
              </w:rPr>
              <w:t>第</w:t>
            </w:r>
            <w:r>
              <w:rPr>
                <w:rFonts w:hint="default" w:ascii="Times New Roman" w:hAnsi="Times New Roman" w:cs="Times New Roman"/>
                <w:sz w:val="21"/>
                <w:szCs w:val="21"/>
                <w:lang w:val="en-US" w:eastAsia="zh-CN"/>
              </w:rPr>
              <w:t>二</w:t>
            </w:r>
            <w:r>
              <w:rPr>
                <w:rFonts w:hint="default" w:ascii="Times New Roman" w:hAnsi="Times New Roman" w:cs="Times New Roman"/>
                <w:sz w:val="21"/>
                <w:szCs w:val="21"/>
              </w:rPr>
              <w:t>类用地筛选值</w:t>
            </w:r>
            <w:r>
              <w:rPr>
                <w:rFonts w:hint="default" w:ascii="Times New Roman" w:hAnsi="Times New Roman" w:cs="Times New Roman"/>
                <w:sz w:val="21"/>
                <w:szCs w:val="21"/>
                <w:lang w:val="en-US" w:eastAsia="zh-CN"/>
              </w:rPr>
              <w:t>m</w:t>
            </w:r>
            <w:r>
              <w:rPr>
                <w:rFonts w:hint="default" w:ascii="Times New Roman" w:hAnsi="Times New Roman" w:cs="Times New Roman"/>
                <w:sz w:val="21"/>
                <w:szCs w:val="21"/>
              </w:rPr>
              <w:t>g/kg</w:t>
            </w:r>
          </w:p>
        </w:tc>
        <w:tc>
          <w:tcPr>
            <w:tcW w:w="761" w:type="pct"/>
            <w:vAlign w:val="center"/>
          </w:tcPr>
          <w:p w14:paraId="651AFEBB">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cs="Times New Roman"/>
                <w:sz w:val="21"/>
                <w:szCs w:val="21"/>
                <w:lang w:val="en-US" w:eastAsia="zh-CN"/>
              </w:rPr>
              <w:t>是否达标</w:t>
            </w:r>
          </w:p>
        </w:tc>
      </w:tr>
      <w:tr w14:paraId="40B10C6E">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97" w:hRule="atLeast"/>
        </w:trPr>
        <w:tc>
          <w:tcPr>
            <w:tcW w:w="705" w:type="pct"/>
            <w:vAlign w:val="center"/>
          </w:tcPr>
          <w:p w14:paraId="74479038">
            <w:pPr>
              <w:widowControl w:val="0"/>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color w:val="auto"/>
                <w:sz w:val="21"/>
                <w:szCs w:val="21"/>
                <w:lang w:val="en-US" w:eastAsia="zh-CN"/>
              </w:rPr>
              <w:t>10</w:t>
            </w:r>
            <w:r>
              <w:rPr>
                <w:rFonts w:hint="default" w:ascii="Times New Roman" w:hAnsi="Times New Roman" w:cs="Times New Roman"/>
                <w:color w:val="auto"/>
                <w:sz w:val="21"/>
                <w:szCs w:val="21"/>
                <w:lang w:val="en-US" w:eastAsia="zh-CN"/>
              </w:rPr>
              <w:t>年</w:t>
            </w:r>
          </w:p>
        </w:tc>
        <w:tc>
          <w:tcPr>
            <w:tcW w:w="1800" w:type="dxa"/>
            <w:vAlign w:val="center"/>
          </w:tcPr>
          <w:p w14:paraId="49A89876">
            <w:pPr>
              <w:keepNext w:val="0"/>
              <w:keepLines w:val="0"/>
              <w:widowControl/>
              <w:suppressLineNumbers w:val="0"/>
              <w:jc w:val="center"/>
              <w:textAlignment w:val="center"/>
              <w:rPr>
                <w:rFonts w:hint="default" w:ascii="Times New Roman" w:hAnsi="Times New Roman" w:cs="Times New Roman"/>
                <w:color w:val="C00000"/>
                <w:sz w:val="21"/>
                <w:szCs w:val="21"/>
                <w:lang w:val="en-US"/>
              </w:rPr>
            </w:pPr>
            <w:r>
              <w:rPr>
                <w:rFonts w:hint="default" w:ascii="Times New Roman" w:hAnsi="Times New Roman" w:cs="Times New Roman"/>
                <w:i w:val="0"/>
                <w:iCs w:val="0"/>
                <w:color w:val="000000"/>
                <w:kern w:val="0"/>
                <w:sz w:val="21"/>
                <w:szCs w:val="21"/>
                <w:u w:val="none"/>
                <w:lang w:val="en-US" w:eastAsia="zh-CN" w:bidi="ar"/>
              </w:rPr>
              <w:t>+61.39</w:t>
            </w:r>
          </w:p>
        </w:tc>
        <w:tc>
          <w:tcPr>
            <w:tcW w:w="1427" w:type="dxa"/>
            <w:vAlign w:val="center"/>
          </w:tcPr>
          <w:p w14:paraId="2F4513AD">
            <w:pPr>
              <w:keepNext w:val="0"/>
              <w:keepLines w:val="0"/>
              <w:widowControl/>
              <w:suppressLineNumbers w:val="0"/>
              <w:jc w:val="center"/>
              <w:textAlignment w:val="center"/>
              <w:rPr>
                <w:rFonts w:hint="default" w:ascii="Times New Roman" w:hAnsi="Times New Roman" w:cs="Times New Roman"/>
                <w:color w:val="auto"/>
                <w:sz w:val="21"/>
                <w:szCs w:val="21"/>
                <w:lang w:val="en-US" w:eastAsia="zh-CN"/>
              </w:rPr>
            </w:pPr>
            <w:r>
              <w:rPr>
                <w:rFonts w:hint="default" w:ascii="Times New Roman" w:hAnsi="Times New Roman" w:cs="Times New Roman"/>
                <w:i w:val="0"/>
                <w:iCs w:val="0"/>
                <w:color w:val="000000"/>
                <w:kern w:val="0"/>
                <w:sz w:val="21"/>
                <w:szCs w:val="21"/>
                <w:u w:val="none"/>
                <w:lang w:val="en-US" w:eastAsia="zh-CN" w:bidi="ar"/>
              </w:rPr>
              <w:t>0</w:t>
            </w:r>
          </w:p>
        </w:tc>
        <w:tc>
          <w:tcPr>
            <w:tcW w:w="1458" w:type="dxa"/>
            <w:vAlign w:val="center"/>
          </w:tcPr>
          <w:p w14:paraId="67F1CFD8">
            <w:pPr>
              <w:keepNext w:val="0"/>
              <w:keepLines w:val="0"/>
              <w:widowControl/>
              <w:suppressLineNumbers w:val="0"/>
              <w:jc w:val="center"/>
              <w:textAlignment w:val="center"/>
              <w:rPr>
                <w:rFonts w:hint="default" w:ascii="Times New Roman" w:hAnsi="Times New Roman" w:eastAsia="宋体" w:cs="Times New Roman"/>
                <w:color w:val="C00000"/>
                <w:sz w:val="21"/>
                <w:szCs w:val="21"/>
                <w:lang w:val="en-US" w:eastAsia="zh-CN"/>
              </w:rPr>
            </w:pPr>
            <w:r>
              <w:rPr>
                <w:rFonts w:hint="default" w:ascii="Times New Roman" w:hAnsi="Times New Roman" w:cs="Times New Roman"/>
                <w:i w:val="0"/>
                <w:iCs w:val="0"/>
                <w:color w:val="000000"/>
                <w:kern w:val="0"/>
                <w:sz w:val="21"/>
                <w:szCs w:val="21"/>
                <w:u w:val="none"/>
                <w:lang w:val="en-US" w:eastAsia="zh-CN" w:bidi="ar"/>
              </w:rPr>
              <w:t>613.9</w:t>
            </w:r>
          </w:p>
        </w:tc>
        <w:tc>
          <w:tcPr>
            <w:tcW w:w="845" w:type="pct"/>
            <w:vAlign w:val="center"/>
          </w:tcPr>
          <w:p w14:paraId="3C87BF19">
            <w:pPr>
              <w:widowControl w:val="0"/>
              <w:jc w:val="center"/>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1200</w:t>
            </w:r>
          </w:p>
        </w:tc>
        <w:tc>
          <w:tcPr>
            <w:tcW w:w="761" w:type="pct"/>
            <w:vAlign w:val="center"/>
          </w:tcPr>
          <w:p w14:paraId="6FF957CE">
            <w:pPr>
              <w:widowControl w:val="0"/>
              <w:jc w:val="center"/>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达标</w:t>
            </w:r>
          </w:p>
        </w:tc>
      </w:tr>
      <w:tr w14:paraId="0B0971D6">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97" w:hRule="atLeast"/>
        </w:trPr>
        <w:tc>
          <w:tcPr>
            <w:tcW w:w="705" w:type="pct"/>
            <w:vAlign w:val="center"/>
          </w:tcPr>
          <w:p w14:paraId="77A2B3DC">
            <w:pPr>
              <w:widowControl w:val="0"/>
              <w:jc w:val="center"/>
              <w:rPr>
                <w:rFonts w:hint="default" w:ascii="Times New Roman" w:hAnsi="Times New Roman" w:cs="Times New Roman"/>
                <w:sz w:val="21"/>
                <w:szCs w:val="21"/>
                <w:lang w:val="en-US" w:eastAsia="zh-CN"/>
              </w:rPr>
            </w:pPr>
            <w:r>
              <w:rPr>
                <w:rFonts w:hint="default" w:ascii="Times New Roman" w:hAnsi="Times New Roman" w:cs="Times New Roman"/>
                <w:color w:val="auto"/>
                <w:sz w:val="21"/>
                <w:szCs w:val="21"/>
                <w:lang w:val="en-US" w:eastAsia="zh-CN"/>
              </w:rPr>
              <w:t>15年</w:t>
            </w:r>
          </w:p>
        </w:tc>
        <w:tc>
          <w:tcPr>
            <w:tcW w:w="1800" w:type="dxa"/>
            <w:vAlign w:val="center"/>
          </w:tcPr>
          <w:p w14:paraId="62B2DFF0">
            <w:pPr>
              <w:keepNext w:val="0"/>
              <w:keepLines w:val="0"/>
              <w:widowControl/>
              <w:suppressLineNumbers w:val="0"/>
              <w:jc w:val="center"/>
              <w:textAlignment w:val="center"/>
              <w:rPr>
                <w:rFonts w:hint="default" w:ascii="Times New Roman" w:hAnsi="Times New Roman" w:cs="Times New Roman"/>
                <w:color w:val="C00000"/>
                <w:sz w:val="21"/>
                <w:szCs w:val="21"/>
                <w:lang w:val="en-US"/>
              </w:rPr>
            </w:pPr>
            <w:r>
              <w:rPr>
                <w:rFonts w:hint="default" w:ascii="Times New Roman" w:hAnsi="Times New Roman" w:cs="Times New Roman"/>
                <w:i w:val="0"/>
                <w:iCs w:val="0"/>
                <w:color w:val="000000"/>
                <w:kern w:val="0"/>
                <w:sz w:val="21"/>
                <w:szCs w:val="21"/>
                <w:u w:val="none"/>
                <w:lang w:val="en-US" w:eastAsia="zh-CN" w:bidi="ar"/>
              </w:rPr>
              <w:t>+61.39</w:t>
            </w:r>
          </w:p>
        </w:tc>
        <w:tc>
          <w:tcPr>
            <w:tcW w:w="1427" w:type="dxa"/>
            <w:vAlign w:val="center"/>
          </w:tcPr>
          <w:p w14:paraId="369B8BA1">
            <w:pPr>
              <w:keepNext w:val="0"/>
              <w:keepLines w:val="0"/>
              <w:widowControl/>
              <w:suppressLineNumbers w:val="0"/>
              <w:jc w:val="center"/>
              <w:textAlignment w:val="center"/>
              <w:rPr>
                <w:rFonts w:hint="default" w:ascii="Times New Roman" w:hAnsi="Times New Roman" w:cs="Times New Roman"/>
                <w:color w:val="auto"/>
                <w:sz w:val="21"/>
                <w:szCs w:val="21"/>
                <w:lang w:val="en-US" w:eastAsia="zh-CN"/>
              </w:rPr>
            </w:pPr>
            <w:r>
              <w:rPr>
                <w:rFonts w:hint="default" w:ascii="Times New Roman" w:hAnsi="Times New Roman" w:cs="Times New Roman"/>
                <w:i w:val="0"/>
                <w:iCs w:val="0"/>
                <w:color w:val="000000"/>
                <w:kern w:val="0"/>
                <w:sz w:val="21"/>
                <w:szCs w:val="21"/>
                <w:u w:val="none"/>
                <w:lang w:val="en-US" w:eastAsia="zh-CN" w:bidi="ar"/>
              </w:rPr>
              <w:t>0</w:t>
            </w:r>
          </w:p>
        </w:tc>
        <w:tc>
          <w:tcPr>
            <w:tcW w:w="1458" w:type="dxa"/>
            <w:vAlign w:val="center"/>
          </w:tcPr>
          <w:p w14:paraId="37F170A0">
            <w:pPr>
              <w:keepNext w:val="0"/>
              <w:keepLines w:val="0"/>
              <w:widowControl/>
              <w:suppressLineNumbers w:val="0"/>
              <w:jc w:val="center"/>
              <w:textAlignment w:val="center"/>
              <w:rPr>
                <w:rFonts w:hint="default" w:ascii="Times New Roman" w:hAnsi="Times New Roman" w:eastAsia="宋体" w:cs="Times New Roman"/>
                <w:color w:val="C00000"/>
                <w:sz w:val="21"/>
                <w:szCs w:val="21"/>
                <w:lang w:val="en-US" w:eastAsia="zh-CN"/>
              </w:rPr>
            </w:pPr>
            <w:r>
              <w:rPr>
                <w:rFonts w:hint="default" w:ascii="Times New Roman" w:hAnsi="Times New Roman" w:cs="Times New Roman"/>
                <w:i w:val="0"/>
                <w:iCs w:val="0"/>
                <w:color w:val="000000"/>
                <w:kern w:val="0"/>
                <w:sz w:val="21"/>
                <w:szCs w:val="21"/>
                <w:u w:val="none"/>
                <w:lang w:val="en-US" w:eastAsia="zh-CN" w:bidi="ar"/>
              </w:rPr>
              <w:t>920.8</w:t>
            </w:r>
          </w:p>
        </w:tc>
        <w:tc>
          <w:tcPr>
            <w:tcW w:w="845" w:type="pct"/>
            <w:vAlign w:val="center"/>
          </w:tcPr>
          <w:p w14:paraId="482EACB6">
            <w:pPr>
              <w:widowControl w:val="0"/>
              <w:jc w:val="center"/>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1200</w:t>
            </w:r>
          </w:p>
        </w:tc>
        <w:tc>
          <w:tcPr>
            <w:tcW w:w="761" w:type="pct"/>
            <w:vAlign w:val="center"/>
          </w:tcPr>
          <w:p w14:paraId="0DCA6DA2">
            <w:pPr>
              <w:widowControl w:val="0"/>
              <w:jc w:val="center"/>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达标</w:t>
            </w:r>
          </w:p>
        </w:tc>
      </w:tr>
      <w:tr w14:paraId="67C76578">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97" w:hRule="atLeast"/>
        </w:trPr>
        <w:tc>
          <w:tcPr>
            <w:tcW w:w="705" w:type="pct"/>
            <w:vAlign w:val="center"/>
          </w:tcPr>
          <w:p w14:paraId="0528F167">
            <w:pPr>
              <w:widowControl w:val="0"/>
              <w:jc w:val="center"/>
              <w:rPr>
                <w:rFonts w:hint="default" w:ascii="Times New Roman" w:hAnsi="Times New Roman" w:cs="Times New Roman"/>
                <w:sz w:val="21"/>
                <w:szCs w:val="21"/>
                <w:lang w:val="en-US" w:eastAsia="zh-CN"/>
              </w:rPr>
            </w:pPr>
            <w:r>
              <w:rPr>
                <w:rFonts w:hint="default" w:ascii="Times New Roman" w:hAnsi="Times New Roman" w:cs="Times New Roman"/>
                <w:color w:val="auto"/>
                <w:sz w:val="21"/>
                <w:szCs w:val="21"/>
                <w:lang w:val="en-US" w:eastAsia="zh-CN"/>
              </w:rPr>
              <w:t>20年</w:t>
            </w:r>
          </w:p>
        </w:tc>
        <w:tc>
          <w:tcPr>
            <w:tcW w:w="1800" w:type="dxa"/>
            <w:vAlign w:val="center"/>
          </w:tcPr>
          <w:p w14:paraId="7873996A">
            <w:pPr>
              <w:keepNext w:val="0"/>
              <w:keepLines w:val="0"/>
              <w:widowControl/>
              <w:suppressLineNumbers w:val="0"/>
              <w:jc w:val="center"/>
              <w:textAlignment w:val="center"/>
              <w:rPr>
                <w:rFonts w:hint="default" w:ascii="Times New Roman" w:hAnsi="Times New Roman" w:cs="Times New Roman"/>
                <w:color w:val="C00000"/>
                <w:sz w:val="21"/>
                <w:szCs w:val="21"/>
                <w:lang w:val="en-US"/>
              </w:rPr>
            </w:pPr>
            <w:r>
              <w:rPr>
                <w:rFonts w:hint="default" w:ascii="Times New Roman" w:hAnsi="Times New Roman" w:cs="Times New Roman"/>
                <w:i w:val="0"/>
                <w:iCs w:val="0"/>
                <w:color w:val="000000"/>
                <w:kern w:val="0"/>
                <w:sz w:val="21"/>
                <w:szCs w:val="21"/>
                <w:u w:val="none"/>
                <w:lang w:val="en-US" w:eastAsia="zh-CN" w:bidi="ar"/>
              </w:rPr>
              <w:t>+61.39</w:t>
            </w:r>
          </w:p>
        </w:tc>
        <w:tc>
          <w:tcPr>
            <w:tcW w:w="1427" w:type="dxa"/>
            <w:vAlign w:val="center"/>
          </w:tcPr>
          <w:p w14:paraId="3B66AA20">
            <w:pPr>
              <w:keepNext w:val="0"/>
              <w:keepLines w:val="0"/>
              <w:widowControl/>
              <w:suppressLineNumbers w:val="0"/>
              <w:jc w:val="center"/>
              <w:textAlignment w:val="center"/>
              <w:rPr>
                <w:rFonts w:hint="default" w:ascii="Times New Roman" w:hAnsi="Times New Roman" w:cs="Times New Roman"/>
                <w:color w:val="auto"/>
                <w:sz w:val="21"/>
                <w:szCs w:val="21"/>
                <w:lang w:val="en-US" w:eastAsia="zh-CN"/>
              </w:rPr>
            </w:pPr>
            <w:r>
              <w:rPr>
                <w:rFonts w:hint="default" w:ascii="Times New Roman" w:hAnsi="Times New Roman" w:cs="Times New Roman"/>
                <w:i w:val="0"/>
                <w:iCs w:val="0"/>
                <w:color w:val="000000"/>
                <w:kern w:val="0"/>
                <w:sz w:val="21"/>
                <w:szCs w:val="21"/>
                <w:u w:val="none"/>
                <w:lang w:val="en-US" w:eastAsia="zh-CN" w:bidi="ar"/>
              </w:rPr>
              <w:t>0</w:t>
            </w:r>
          </w:p>
        </w:tc>
        <w:tc>
          <w:tcPr>
            <w:tcW w:w="1458" w:type="dxa"/>
            <w:vAlign w:val="center"/>
          </w:tcPr>
          <w:p w14:paraId="7F6FEED9">
            <w:pPr>
              <w:keepNext w:val="0"/>
              <w:keepLines w:val="0"/>
              <w:widowControl/>
              <w:suppressLineNumbers w:val="0"/>
              <w:jc w:val="center"/>
              <w:textAlignment w:val="center"/>
              <w:rPr>
                <w:rFonts w:hint="default" w:ascii="Times New Roman" w:hAnsi="Times New Roman" w:eastAsia="宋体" w:cs="Times New Roman"/>
                <w:color w:val="C00000"/>
                <w:sz w:val="21"/>
                <w:szCs w:val="21"/>
                <w:lang w:val="en-US" w:eastAsia="zh-CN"/>
              </w:rPr>
            </w:pPr>
            <w:r>
              <w:rPr>
                <w:rFonts w:hint="default" w:ascii="Times New Roman" w:hAnsi="Times New Roman" w:cs="Times New Roman"/>
                <w:i w:val="0"/>
                <w:iCs w:val="0"/>
                <w:color w:val="000000"/>
                <w:kern w:val="0"/>
                <w:sz w:val="21"/>
                <w:szCs w:val="21"/>
                <w:u w:val="none"/>
                <w:lang w:val="en-US" w:eastAsia="zh-CN" w:bidi="ar"/>
              </w:rPr>
              <w:t>1227.7</w:t>
            </w:r>
          </w:p>
        </w:tc>
        <w:tc>
          <w:tcPr>
            <w:tcW w:w="845" w:type="pct"/>
            <w:vAlign w:val="center"/>
          </w:tcPr>
          <w:p w14:paraId="6D1B2B64">
            <w:pPr>
              <w:widowControl w:val="0"/>
              <w:jc w:val="center"/>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1200</w:t>
            </w:r>
          </w:p>
        </w:tc>
        <w:tc>
          <w:tcPr>
            <w:tcW w:w="761" w:type="pct"/>
            <w:vAlign w:val="center"/>
          </w:tcPr>
          <w:p w14:paraId="17B7B3F1">
            <w:pPr>
              <w:widowControl w:val="0"/>
              <w:jc w:val="center"/>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不达标</w:t>
            </w:r>
          </w:p>
        </w:tc>
      </w:tr>
    </w:tbl>
    <w:p w14:paraId="12654BCF">
      <w:pPr>
        <w:spacing w:line="500" w:lineRule="exact"/>
        <w:ind w:firstLine="480" w:firstLineChars="200"/>
        <w:jc w:val="both"/>
        <w:rPr>
          <w:rFonts w:hint="default" w:ascii="Times New Roman" w:hAnsi="Times New Roman" w:eastAsia="宋体" w:cs="Times New Roman"/>
          <w:b w:val="0"/>
          <w:bCs/>
          <w:lang w:val="en-US" w:eastAsia="zh-CN"/>
        </w:rPr>
      </w:pPr>
      <w:r>
        <w:rPr>
          <w:rFonts w:hint="default" w:ascii="Times New Roman" w:hAnsi="Times New Roman" w:eastAsia="宋体" w:cs="Times New Roman"/>
          <w:b w:val="0"/>
          <w:bCs/>
          <w:lang w:val="en-US" w:eastAsia="zh-CN"/>
        </w:rPr>
        <w:t>由上表可知，本项目运行10年至20年后，大气沉降至土壤中的氨氮污染物增量于第20年超过河北省地方标准《建设用地土壤污染风险筛选值》（DB 13/T 5216—2022）中第二类用地筛选值。在实际情况中，无组织排放的氨气不会全部沉降到土壤中，沉降到土壤中的氨氮会作为养分被植物根系吸收利用，残留在土壤环境中的氨氮污染物会被硝化细菌逐步转化为硝态氮，同时还存在氨挥发作用，因此在多种作用下土壤中氨氮含量会随时间的推移而逐渐减少。因此，可对土壤保持长期监测，若出现显著上升趋势或超标，可采取相关措施进行管控，总体上大气沉降氨氮污染物对评价范围内土壤环境影响可接受。</w:t>
      </w:r>
    </w:p>
    <w:p w14:paraId="01271790">
      <w:pPr>
        <w:pStyle w:val="6"/>
        <w:spacing w:before="239"/>
      </w:pPr>
      <w:bookmarkStart w:id="534" w:name="_Toc12407"/>
      <w:r>
        <w:rPr>
          <w:rFonts w:hint="eastAsia"/>
        </w:rPr>
        <w:t>5</w:t>
      </w:r>
      <w:r>
        <w:t>.7 生态环境影响分析</w:t>
      </w:r>
      <w:bookmarkEnd w:id="510"/>
      <w:bookmarkEnd w:id="534"/>
    </w:p>
    <w:p w14:paraId="51FC0165">
      <w:pPr>
        <w:spacing w:line="500" w:lineRule="exact"/>
        <w:ind w:firstLine="480" w:firstLineChars="200"/>
        <w:rPr>
          <w:rFonts w:ascii="Times New Roman" w:hAnsi="Times New Roman" w:cs="Times New Roman"/>
        </w:rPr>
      </w:pPr>
      <w:r>
        <w:rPr>
          <w:rFonts w:ascii="Times New Roman" w:hAnsi="Times New Roman" w:cs="Times New Roman"/>
        </w:rPr>
        <w:t>本项目用地位于</w:t>
      </w:r>
      <w:r>
        <w:rPr>
          <w:rFonts w:hint="eastAsia" w:ascii="Times New Roman" w:hAnsi="Times New Roman" w:cs="Times New Roman"/>
          <w:lang w:eastAsia="zh-CN"/>
        </w:rPr>
        <w:t>本溪玉麒麟新材料有限公司</w:t>
      </w:r>
      <w:r>
        <w:rPr>
          <w:rFonts w:hint="eastAsia" w:ascii="Times New Roman" w:hAnsi="Times New Roman" w:cs="Times New Roman"/>
        </w:rPr>
        <w:t>现有厂区内，</w:t>
      </w:r>
      <w:r>
        <w:rPr>
          <w:rFonts w:ascii="Times New Roman" w:hAnsi="Times New Roman" w:cs="Times New Roman"/>
        </w:rPr>
        <w:t>占地类型为工业用地。</w:t>
      </w:r>
      <w:r>
        <w:rPr>
          <w:rFonts w:hint="eastAsia" w:ascii="Times New Roman" w:hAnsi="Times New Roman" w:cs="Times New Roman"/>
        </w:rPr>
        <w:t>本项目利用原有工业用地，不改变土地原有使用功能，</w:t>
      </w:r>
      <w:r>
        <w:rPr>
          <w:rFonts w:ascii="Times New Roman" w:hAnsi="Times New Roman" w:cs="Times New Roman"/>
        </w:rPr>
        <w:t>不涉及自然保护区、风景名胜区、森林公园、地质公园等生态敏感区，且占地范围内无需要特殊保护的野生动植物。</w:t>
      </w:r>
      <w:r>
        <w:rPr>
          <w:rFonts w:hint="eastAsia" w:ascii="Times New Roman" w:hAnsi="Times New Roman" w:cs="Times New Roman"/>
        </w:rPr>
        <w:t>因此本项目实施后，不会对周围生态环境产生明显影响</w:t>
      </w:r>
      <w:r>
        <w:rPr>
          <w:rFonts w:ascii="Times New Roman" w:hAnsi="Times New Roman" w:cs="Times New Roman"/>
        </w:rPr>
        <w:t>。</w:t>
      </w:r>
      <w:bookmarkEnd w:id="493"/>
      <w:bookmarkEnd w:id="494"/>
      <w:bookmarkEnd w:id="495"/>
      <w:bookmarkEnd w:id="496"/>
      <w:bookmarkEnd w:id="497"/>
      <w:bookmarkEnd w:id="498"/>
      <w:bookmarkStart w:id="535" w:name="_Toc154570265"/>
      <w:bookmarkStart w:id="536" w:name="_Toc151200147"/>
      <w:bookmarkStart w:id="537" w:name="_Toc151276200"/>
      <w:bookmarkStart w:id="538" w:name="_Toc175714280"/>
      <w:bookmarkStart w:id="539" w:name="_Toc158523427"/>
      <w:bookmarkStart w:id="540" w:name="_Toc151200307"/>
      <w:bookmarkStart w:id="541" w:name="_Toc153878474"/>
      <w:bookmarkStart w:id="542" w:name="_Toc175711447"/>
      <w:bookmarkStart w:id="543" w:name="_Toc166464748"/>
      <w:bookmarkStart w:id="544" w:name="_Toc153007138"/>
      <w:bookmarkStart w:id="545" w:name="_Toc151278939"/>
      <w:bookmarkStart w:id="546" w:name="_Toc154569878"/>
    </w:p>
    <w:p w14:paraId="38A5E9DB">
      <w:pPr>
        <w:adjustRightInd w:val="0"/>
        <w:spacing w:line="500" w:lineRule="exact"/>
        <w:ind w:firstLine="480" w:firstLineChars="200"/>
        <w:rPr>
          <w:rFonts w:ascii="Times New Roman" w:hAnsi="Times New Roman" w:eastAsia="方正书宋简体" w:cs="Times New Roman"/>
        </w:rPr>
        <w:sectPr>
          <w:pgSz w:w="11907" w:h="16840"/>
          <w:pgMar w:top="1701" w:right="1701" w:bottom="1701" w:left="1701" w:header="851" w:footer="1077" w:gutter="0"/>
          <w:pgBorders w:offsetFrom="page">
            <w:top w:val="none" w:sz="0" w:space="0"/>
            <w:left w:val="none" w:sz="0" w:space="0"/>
            <w:bottom w:val="none" w:sz="0" w:space="0"/>
            <w:right w:val="none" w:sz="0" w:space="0"/>
          </w:pgBorders>
          <w:pgNumType w:fmt="decimal"/>
          <w:cols w:space="720" w:num="1"/>
          <w:docGrid w:type="lines" w:linePitch="479" w:charSpace="0"/>
        </w:sectPr>
      </w:pPr>
    </w:p>
    <w:p w14:paraId="70D78480">
      <w:pPr>
        <w:pStyle w:val="5"/>
        <w:spacing w:line="240" w:lineRule="auto"/>
        <w:rPr>
          <w:lang w:eastAsia="zh-CN"/>
        </w:rPr>
      </w:pPr>
      <w:bookmarkStart w:id="547" w:name="_Toc90026144"/>
      <w:bookmarkStart w:id="548" w:name="_Toc21605"/>
      <w:r>
        <w:rPr>
          <w:rFonts w:hint="eastAsia"/>
          <w:lang w:eastAsia="zh-CN"/>
        </w:rPr>
        <w:t>6</w:t>
      </w:r>
      <w:r>
        <w:t xml:space="preserve">. </w:t>
      </w:r>
      <w:r>
        <w:rPr>
          <w:lang w:eastAsia="zh-CN"/>
        </w:rPr>
        <w:t>环境风险评价</w:t>
      </w:r>
      <w:bookmarkEnd w:id="547"/>
      <w:bookmarkEnd w:id="548"/>
    </w:p>
    <w:p w14:paraId="4C3AF9DD">
      <w:pPr>
        <w:spacing w:line="500" w:lineRule="exact"/>
        <w:ind w:firstLine="480" w:firstLineChars="200"/>
        <w:jc w:val="both"/>
        <w:rPr>
          <w:rFonts w:ascii="Times New Roman" w:hAnsi="Times New Roman" w:cs="Times New Roman"/>
        </w:rPr>
      </w:pPr>
      <w:r>
        <w:rPr>
          <w:rFonts w:ascii="Times New Roman" w:hAnsi="Times New Roman" w:cs="Times New Roman"/>
        </w:rPr>
        <w:t>根据《建设项目环境风险评价技术导则》（HJ169-2018）的环境风险评价工作等级划分依据，本项目环境风险潜势为Ⅰ，环境风险评价工作等级为简单分析。根据导则要求，“简单分析”的基本内容主要包括环境风险识别、环境风险分析、环境风险防范措施及应急要求、分析结论等，不需进行定量预测。</w:t>
      </w:r>
    </w:p>
    <w:p w14:paraId="690CB03C">
      <w:pPr>
        <w:keepNext/>
        <w:tabs>
          <w:tab w:val="left" w:pos="1503"/>
        </w:tabs>
        <w:spacing w:line="360" w:lineRule="auto"/>
        <w:outlineLvl w:val="1"/>
        <w:rPr>
          <w:rFonts w:ascii="Times New Roman" w:hAnsi="Times New Roman" w:cs="Times New Roman"/>
          <w:b/>
          <w:sz w:val="32"/>
        </w:rPr>
      </w:pPr>
      <w:bookmarkStart w:id="549" w:name="_Toc90026145"/>
      <w:bookmarkStart w:id="550" w:name="_Toc6842"/>
      <w:r>
        <w:rPr>
          <w:rFonts w:hint="eastAsia" w:ascii="Times New Roman" w:hAnsi="Times New Roman" w:cs="Times New Roman"/>
          <w:b/>
          <w:sz w:val="32"/>
        </w:rPr>
        <w:t>6</w:t>
      </w:r>
      <w:r>
        <w:rPr>
          <w:rFonts w:ascii="Times New Roman" w:hAnsi="Times New Roman" w:cs="Times New Roman"/>
          <w:b/>
          <w:sz w:val="32"/>
        </w:rPr>
        <w:t>.1 环境风险识别</w:t>
      </w:r>
      <w:bookmarkEnd w:id="549"/>
      <w:bookmarkEnd w:id="550"/>
    </w:p>
    <w:p w14:paraId="1DBEF716">
      <w:pPr>
        <w:keepNext/>
        <w:tabs>
          <w:tab w:val="left" w:pos="658"/>
        </w:tabs>
        <w:spacing w:line="360" w:lineRule="auto"/>
        <w:outlineLvl w:val="2"/>
        <w:rPr>
          <w:rFonts w:ascii="Times New Roman" w:hAnsi="Times New Roman" w:cs="Times New Roman"/>
          <w:b/>
          <w:szCs w:val="28"/>
        </w:rPr>
      </w:pPr>
      <w:bookmarkStart w:id="551" w:name="_Toc29328"/>
      <w:bookmarkStart w:id="552" w:name="_Toc90026316"/>
      <w:r>
        <w:rPr>
          <w:rFonts w:hint="eastAsia" w:ascii="Times New Roman" w:hAnsi="Times New Roman" w:cs="Times New Roman"/>
          <w:b/>
          <w:szCs w:val="28"/>
        </w:rPr>
        <w:t>6</w:t>
      </w:r>
      <w:r>
        <w:rPr>
          <w:rFonts w:ascii="Times New Roman" w:hAnsi="Times New Roman" w:cs="Times New Roman"/>
          <w:b/>
          <w:szCs w:val="28"/>
        </w:rPr>
        <w:t>.1.1 物质危险性识别</w:t>
      </w:r>
      <w:bookmarkEnd w:id="551"/>
      <w:bookmarkEnd w:id="552"/>
    </w:p>
    <w:p w14:paraId="359CDEA6">
      <w:pPr>
        <w:pStyle w:val="52"/>
        <w:keepNext w:val="0"/>
        <w:keepLines w:val="0"/>
        <w:widowControl/>
        <w:suppressLineNumbers w:val="0"/>
        <w:spacing w:before="0" w:beforeAutospacing="0" w:after="0" w:afterAutospacing="0" w:line="240" w:lineRule="auto"/>
        <w:ind w:left="0" w:firstLine="500"/>
        <w:contextualSpacing/>
        <w:jc w:val="left"/>
      </w:pPr>
      <w:r>
        <w:rPr>
          <w:rFonts w:hint="default" w:ascii="Times New Roman" w:hAnsi="Times New Roman" w:cs="Times New Roman"/>
          <w:color w:val="000000"/>
          <w:spacing w:val="0"/>
          <w:position w:val="0"/>
          <w:sz w:val="24"/>
          <w:szCs w:val="24"/>
        </w:rPr>
        <w:t>1</w:t>
      </w:r>
      <w:r>
        <w:rPr>
          <w:rFonts w:hint="eastAsia" w:ascii="宋体" w:hAnsi="宋体" w:eastAsia="宋体" w:cs="宋体"/>
          <w:color w:val="000000"/>
          <w:spacing w:val="0"/>
          <w:position w:val="0"/>
          <w:sz w:val="24"/>
          <w:szCs w:val="24"/>
        </w:rPr>
        <w:t>、物质危险性识别，包括主要原辅材料、燃料、中间产品、副产品、最终产品、污染物、火灾和爆炸伴生</w:t>
      </w:r>
      <w:r>
        <w:rPr>
          <w:rFonts w:hint="default" w:ascii="Times New Roman" w:hAnsi="Times New Roman" w:cs="Times New Roman"/>
          <w:color w:val="000000"/>
          <w:spacing w:val="0"/>
          <w:position w:val="0"/>
          <w:sz w:val="24"/>
          <w:szCs w:val="24"/>
        </w:rPr>
        <w:t>/</w:t>
      </w:r>
      <w:r>
        <w:rPr>
          <w:rFonts w:hint="eastAsia" w:ascii="宋体" w:hAnsi="宋体" w:eastAsia="宋体" w:cs="宋体"/>
          <w:color w:val="000000"/>
          <w:spacing w:val="0"/>
          <w:position w:val="0"/>
          <w:sz w:val="24"/>
          <w:szCs w:val="24"/>
        </w:rPr>
        <w:t>次生物等。</w:t>
      </w:r>
    </w:p>
    <w:p w14:paraId="1CEFB45D">
      <w:pPr>
        <w:pStyle w:val="52"/>
        <w:keepNext w:val="0"/>
        <w:keepLines w:val="0"/>
        <w:widowControl/>
        <w:suppressLineNumbers w:val="0"/>
        <w:spacing w:before="0" w:beforeAutospacing="0" w:after="0" w:afterAutospacing="0" w:line="240" w:lineRule="auto"/>
        <w:ind w:left="0" w:firstLine="500"/>
        <w:contextualSpacing/>
        <w:jc w:val="left"/>
        <w:rPr>
          <w:rFonts w:hint="default" w:ascii="Times New Roman" w:hAnsi="Times New Roman" w:cs="Times New Roman"/>
          <w:color w:val="000000"/>
          <w:spacing w:val="0"/>
          <w:position w:val="0"/>
          <w:sz w:val="24"/>
          <w:szCs w:val="24"/>
        </w:rPr>
      </w:pPr>
      <w:r>
        <w:rPr>
          <w:rFonts w:hint="default" w:ascii="Times New Roman" w:hAnsi="Times New Roman" w:cs="Times New Roman"/>
          <w:color w:val="000000"/>
          <w:spacing w:val="0"/>
          <w:position w:val="0"/>
          <w:sz w:val="24"/>
          <w:szCs w:val="24"/>
        </w:rPr>
        <w:t>2</w:t>
      </w:r>
      <w:r>
        <w:rPr>
          <w:rFonts w:hint="eastAsia" w:ascii="Times New Roman" w:hAnsi="Times New Roman" w:cs="Times New Roman"/>
          <w:color w:val="000000"/>
          <w:spacing w:val="0"/>
          <w:position w:val="0"/>
          <w:sz w:val="24"/>
          <w:szCs w:val="24"/>
        </w:rPr>
        <w:t>、生产系统危险性识别，包括主要生产装置、储运设施、公用工程和辅助生产设施，以及环境保护设施等。</w:t>
      </w:r>
    </w:p>
    <w:p w14:paraId="1AB03F0D">
      <w:pPr>
        <w:pStyle w:val="52"/>
        <w:keepNext w:val="0"/>
        <w:keepLines w:val="0"/>
        <w:widowControl/>
        <w:suppressLineNumbers w:val="0"/>
        <w:spacing w:before="0" w:beforeAutospacing="0" w:after="0" w:afterAutospacing="0" w:line="240" w:lineRule="auto"/>
        <w:ind w:left="0" w:firstLine="500"/>
        <w:contextualSpacing/>
        <w:jc w:val="left"/>
        <w:rPr>
          <w:rFonts w:hint="default" w:ascii="Times New Roman" w:hAnsi="Times New Roman" w:cs="Times New Roman"/>
          <w:color w:val="000000"/>
          <w:spacing w:val="0"/>
          <w:position w:val="0"/>
          <w:sz w:val="24"/>
          <w:szCs w:val="24"/>
        </w:rPr>
      </w:pPr>
      <w:r>
        <w:rPr>
          <w:rFonts w:hint="default" w:ascii="Times New Roman" w:hAnsi="Times New Roman" w:cs="Times New Roman"/>
          <w:color w:val="000000"/>
          <w:spacing w:val="0"/>
          <w:position w:val="0"/>
          <w:sz w:val="24"/>
          <w:szCs w:val="24"/>
        </w:rPr>
        <w:t>3</w:t>
      </w:r>
      <w:r>
        <w:rPr>
          <w:rFonts w:hint="eastAsia" w:ascii="Times New Roman" w:hAnsi="Times New Roman" w:cs="Times New Roman"/>
          <w:color w:val="000000"/>
          <w:spacing w:val="0"/>
          <w:position w:val="0"/>
          <w:sz w:val="24"/>
          <w:szCs w:val="24"/>
        </w:rPr>
        <w:t>、危险物质向环境转移的途径识别，包括分析危险物质特性及可能的环境风险类型，识别危险物质影响环境的途径，分析可能影响的环境敏感目标。</w:t>
      </w:r>
    </w:p>
    <w:p w14:paraId="60904A1B">
      <w:pPr>
        <w:pStyle w:val="52"/>
        <w:keepNext w:val="0"/>
        <w:keepLines w:val="0"/>
        <w:widowControl/>
        <w:suppressLineNumbers w:val="0"/>
        <w:spacing w:before="0" w:beforeAutospacing="0" w:after="0" w:afterAutospacing="0" w:line="240" w:lineRule="auto"/>
        <w:ind w:left="0" w:firstLine="500"/>
        <w:contextualSpacing/>
        <w:jc w:val="left"/>
        <w:rPr>
          <w:rFonts w:hint="default" w:ascii="Times New Roman" w:hAnsi="Times New Roman" w:cs="Times New Roman"/>
          <w:color w:val="000000"/>
          <w:spacing w:val="0"/>
          <w:position w:val="0"/>
          <w:sz w:val="24"/>
          <w:szCs w:val="24"/>
        </w:rPr>
      </w:pPr>
      <w:r>
        <w:rPr>
          <w:rFonts w:hint="eastAsia" w:ascii="Times New Roman" w:hAnsi="Times New Roman" w:cs="Times New Roman"/>
          <w:color w:val="000000"/>
          <w:spacing w:val="0"/>
          <w:position w:val="0"/>
          <w:sz w:val="24"/>
          <w:szCs w:val="24"/>
        </w:rPr>
        <w:t>根据《建设项目环境风险评价技术导则》（</w:t>
      </w:r>
      <w:r>
        <w:rPr>
          <w:rFonts w:hint="default" w:ascii="Times New Roman" w:hAnsi="Times New Roman" w:cs="Times New Roman"/>
          <w:color w:val="000000"/>
          <w:spacing w:val="0"/>
          <w:position w:val="0"/>
          <w:sz w:val="24"/>
          <w:szCs w:val="24"/>
        </w:rPr>
        <w:t>HJ169-2018</w:t>
      </w:r>
      <w:r>
        <w:rPr>
          <w:rFonts w:hint="eastAsia" w:ascii="Times New Roman" w:hAnsi="Times New Roman" w:cs="Times New Roman"/>
          <w:color w:val="000000"/>
          <w:spacing w:val="0"/>
          <w:position w:val="0"/>
          <w:sz w:val="24"/>
          <w:szCs w:val="24"/>
        </w:rPr>
        <w:t>）中附录</w:t>
      </w:r>
      <w:r>
        <w:rPr>
          <w:rFonts w:hint="default" w:ascii="Times New Roman" w:hAnsi="Times New Roman" w:cs="Times New Roman"/>
          <w:color w:val="000000"/>
          <w:spacing w:val="0"/>
          <w:position w:val="0"/>
          <w:sz w:val="24"/>
          <w:szCs w:val="24"/>
        </w:rPr>
        <w:t>B</w:t>
      </w:r>
      <w:r>
        <w:rPr>
          <w:rFonts w:hint="eastAsia" w:ascii="Times New Roman" w:hAnsi="Times New Roman" w:cs="Times New Roman"/>
          <w:color w:val="000000"/>
          <w:spacing w:val="0"/>
          <w:position w:val="0"/>
          <w:sz w:val="24"/>
          <w:szCs w:val="24"/>
        </w:rPr>
        <w:t>，识别出的危险物质为煤气、氨水、氨气、危险废物等。</w:t>
      </w:r>
    </w:p>
    <w:p w14:paraId="56D7A977">
      <w:pPr>
        <w:tabs>
          <w:tab w:val="left" w:pos="851"/>
          <w:tab w:val="left" w:pos="1141"/>
          <w:tab w:val="left" w:pos="4335"/>
        </w:tabs>
        <w:jc w:val="center"/>
        <w:rPr>
          <w:rFonts w:hint="eastAsia" w:ascii="Times New Roman" w:hAnsi="Times New Roman" w:eastAsia="黑体" w:cs="Times New Roman"/>
        </w:rPr>
      </w:pPr>
      <w:r>
        <w:rPr>
          <w:rFonts w:ascii="Times New Roman" w:hAnsi="Times New Roman" w:eastAsia="黑体" w:cs="Times New Roman"/>
        </w:rPr>
        <w:t>表</w:t>
      </w:r>
      <w:r>
        <w:rPr>
          <w:rFonts w:hint="eastAsia" w:ascii="Times New Roman" w:hAnsi="Times New Roman" w:eastAsia="黑体" w:cs="Times New Roman"/>
        </w:rPr>
        <w:t xml:space="preserve">6.1-1    </w:t>
      </w:r>
      <w:r>
        <w:rPr>
          <w:rFonts w:hint="eastAsia" w:ascii="Times New Roman" w:hAnsi="Times New Roman" w:eastAsia="黑体" w:cs="Times New Roman"/>
          <w:lang w:val="en-US" w:eastAsia="zh-CN"/>
        </w:rPr>
        <w:t>煤气</w:t>
      </w:r>
      <w:r>
        <w:rPr>
          <w:rFonts w:hint="eastAsia" w:ascii="Times New Roman" w:hAnsi="Times New Roman" w:eastAsia="黑体" w:cs="Times New Roman"/>
        </w:rPr>
        <w:t>危险特性一览表</w:t>
      </w:r>
    </w:p>
    <w:tbl>
      <w:tblPr>
        <w:tblStyle w:val="56"/>
        <w:tblW w:w="5000" w:type="pct"/>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60"/>
        <w:gridCol w:w="1225"/>
        <w:gridCol w:w="1253"/>
        <w:gridCol w:w="1416"/>
        <w:gridCol w:w="1372"/>
        <w:gridCol w:w="2695"/>
      </w:tblGrid>
      <w:tr w14:paraId="123A93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restart"/>
            <w:tcBorders>
              <w:top w:val="single" w:color="000000" w:sz="4" w:space="0"/>
              <w:left w:val="single" w:color="000000" w:sz="4" w:space="0"/>
              <w:bottom w:val="single" w:color="000000" w:sz="4" w:space="0"/>
              <w:right w:val="single" w:color="000000" w:sz="4" w:space="0"/>
            </w:tcBorders>
            <w:vAlign w:val="center"/>
          </w:tcPr>
          <w:p w14:paraId="38757830">
            <w:pPr>
              <w:jc w:val="center"/>
              <w:rPr>
                <w:rFonts w:ascii="Times New Roman" w:hAnsi="Times New Roman" w:eastAsia="宋体" w:cs="Times New Roman"/>
                <w:spacing w:val="10"/>
                <w:sz w:val="21"/>
                <w:szCs w:val="21"/>
              </w:rPr>
            </w:pPr>
            <w:r>
              <w:rPr>
                <w:rFonts w:ascii="Times New Roman" w:hAnsi="Times New Roman" w:eastAsia="宋体" w:cs="Times New Roman"/>
                <w:spacing w:val="10"/>
                <w:sz w:val="21"/>
                <w:szCs w:val="21"/>
              </w:rPr>
              <w:t>标识</w:t>
            </w:r>
          </w:p>
        </w:tc>
        <w:tc>
          <w:tcPr>
            <w:tcW w:w="0" w:type="auto"/>
            <w:gridSpan w:val="4"/>
            <w:tcBorders>
              <w:top w:val="single" w:color="000000" w:sz="4" w:space="0"/>
              <w:left w:val="single" w:color="000000" w:sz="4" w:space="0"/>
              <w:bottom w:val="single" w:color="000000" w:sz="4" w:space="0"/>
              <w:right w:val="single" w:color="000000" w:sz="4" w:space="0"/>
            </w:tcBorders>
            <w:vAlign w:val="center"/>
          </w:tcPr>
          <w:p w14:paraId="71EE9A45">
            <w:pPr>
              <w:jc w:val="center"/>
              <w:rPr>
                <w:rFonts w:ascii="Times New Roman" w:hAnsi="Times New Roman" w:eastAsia="宋体" w:cs="Times New Roman"/>
                <w:spacing w:val="10"/>
                <w:sz w:val="21"/>
                <w:szCs w:val="21"/>
              </w:rPr>
            </w:pPr>
            <w:r>
              <w:rPr>
                <w:rFonts w:ascii="Times New Roman" w:hAnsi="Times New Roman" w:eastAsia="宋体" w:cs="Times New Roman"/>
                <w:spacing w:val="10"/>
                <w:sz w:val="21"/>
                <w:szCs w:val="21"/>
              </w:rPr>
              <w:t>英文名：Coal gas</w:t>
            </w:r>
          </w:p>
        </w:tc>
        <w:tc>
          <w:tcPr>
            <w:tcW w:w="0" w:type="auto"/>
            <w:tcBorders>
              <w:top w:val="single" w:color="000000" w:sz="4" w:space="0"/>
              <w:left w:val="single" w:color="000000" w:sz="4" w:space="0"/>
              <w:bottom w:val="single" w:color="000000" w:sz="4" w:space="0"/>
              <w:right w:val="single" w:color="000000" w:sz="4" w:space="0"/>
            </w:tcBorders>
            <w:vAlign w:val="center"/>
          </w:tcPr>
          <w:p w14:paraId="2F4C7FBE">
            <w:pPr>
              <w:jc w:val="center"/>
              <w:rPr>
                <w:rFonts w:ascii="Times New Roman" w:hAnsi="Times New Roman" w:eastAsia="宋体" w:cs="Times New Roman"/>
                <w:spacing w:val="10"/>
                <w:sz w:val="21"/>
                <w:szCs w:val="21"/>
              </w:rPr>
            </w:pPr>
            <w:r>
              <w:rPr>
                <w:rFonts w:ascii="Times New Roman" w:hAnsi="Times New Roman" w:eastAsia="宋体" w:cs="Times New Roman"/>
                <w:spacing w:val="10"/>
                <w:sz w:val="21"/>
                <w:szCs w:val="21"/>
              </w:rPr>
              <w:t>UN编号：1023</w:t>
            </w:r>
          </w:p>
        </w:tc>
      </w:tr>
      <w:tr w14:paraId="306CA4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4BE999EF">
            <w:pPr>
              <w:jc w:val="center"/>
              <w:rPr>
                <w:rFonts w:ascii="Times New Roman" w:hAnsi="Times New Roman" w:eastAsia="宋体" w:cs="Times New Roman"/>
                <w:spacing w:val="10"/>
                <w:sz w:val="21"/>
                <w:szCs w:val="21"/>
              </w:rPr>
            </w:pPr>
          </w:p>
        </w:tc>
        <w:tc>
          <w:tcPr>
            <w:tcW w:w="0" w:type="auto"/>
            <w:gridSpan w:val="3"/>
            <w:tcBorders>
              <w:top w:val="single" w:color="000000" w:sz="4" w:space="0"/>
              <w:left w:val="single" w:color="000000" w:sz="4" w:space="0"/>
              <w:bottom w:val="single" w:color="000000" w:sz="4" w:space="0"/>
              <w:right w:val="single" w:color="000000" w:sz="4" w:space="0"/>
            </w:tcBorders>
            <w:vAlign w:val="center"/>
          </w:tcPr>
          <w:p w14:paraId="6358DF21">
            <w:pPr>
              <w:jc w:val="center"/>
              <w:rPr>
                <w:rFonts w:ascii="Times New Roman" w:hAnsi="Times New Roman" w:eastAsia="宋体" w:cs="Times New Roman"/>
                <w:spacing w:val="10"/>
                <w:sz w:val="21"/>
                <w:szCs w:val="21"/>
              </w:rPr>
            </w:pPr>
            <w:r>
              <w:rPr>
                <w:rFonts w:ascii="Times New Roman" w:hAnsi="Times New Roman" w:eastAsia="宋体" w:cs="Times New Roman"/>
                <w:spacing w:val="10"/>
                <w:sz w:val="21"/>
                <w:szCs w:val="21"/>
              </w:rPr>
              <w:t>分子式：无资料</w:t>
            </w:r>
          </w:p>
        </w:tc>
        <w:tc>
          <w:tcPr>
            <w:tcW w:w="0" w:type="auto"/>
            <w:gridSpan w:val="2"/>
            <w:tcBorders>
              <w:top w:val="single" w:color="000000" w:sz="4" w:space="0"/>
              <w:left w:val="single" w:color="000000" w:sz="4" w:space="0"/>
              <w:bottom w:val="single" w:color="000000" w:sz="4" w:space="0"/>
              <w:right w:val="single" w:color="000000" w:sz="4" w:space="0"/>
            </w:tcBorders>
            <w:vAlign w:val="center"/>
          </w:tcPr>
          <w:p w14:paraId="76F3C817">
            <w:pPr>
              <w:jc w:val="center"/>
              <w:rPr>
                <w:rFonts w:ascii="Times New Roman" w:hAnsi="Times New Roman" w:eastAsia="宋体" w:cs="Times New Roman"/>
                <w:spacing w:val="10"/>
                <w:sz w:val="21"/>
                <w:szCs w:val="21"/>
              </w:rPr>
            </w:pPr>
            <w:r>
              <w:rPr>
                <w:rFonts w:ascii="Times New Roman" w:hAnsi="Times New Roman" w:eastAsia="宋体" w:cs="Times New Roman"/>
                <w:spacing w:val="10"/>
                <w:sz w:val="21"/>
                <w:szCs w:val="21"/>
              </w:rPr>
              <w:t>危险化学品编号：23030</w:t>
            </w:r>
          </w:p>
        </w:tc>
      </w:tr>
      <w:tr w14:paraId="66C748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restart"/>
            <w:tcBorders>
              <w:top w:val="single" w:color="000000" w:sz="4" w:space="0"/>
              <w:left w:val="single" w:color="000000" w:sz="4" w:space="0"/>
              <w:bottom w:val="single" w:color="000000" w:sz="4" w:space="0"/>
              <w:right w:val="single" w:color="000000" w:sz="4" w:space="0"/>
            </w:tcBorders>
            <w:vAlign w:val="center"/>
          </w:tcPr>
          <w:p w14:paraId="3B88AA02">
            <w:pPr>
              <w:jc w:val="center"/>
              <w:rPr>
                <w:rFonts w:ascii="Times New Roman" w:hAnsi="Times New Roman" w:eastAsia="宋体" w:cs="Times New Roman"/>
                <w:spacing w:val="10"/>
                <w:sz w:val="21"/>
                <w:szCs w:val="21"/>
              </w:rPr>
            </w:pPr>
            <w:r>
              <w:rPr>
                <w:rFonts w:ascii="Times New Roman" w:hAnsi="Times New Roman" w:eastAsia="宋体" w:cs="Times New Roman"/>
                <w:spacing w:val="10"/>
                <w:sz w:val="21"/>
                <w:szCs w:val="21"/>
              </w:rPr>
              <w:t>理化性质</w:t>
            </w:r>
          </w:p>
        </w:tc>
        <w:tc>
          <w:tcPr>
            <w:tcW w:w="0" w:type="auto"/>
            <w:tcBorders>
              <w:top w:val="single" w:color="000000" w:sz="4" w:space="0"/>
              <w:left w:val="single" w:color="000000" w:sz="4" w:space="0"/>
              <w:bottom w:val="single" w:color="000000" w:sz="4" w:space="0"/>
              <w:right w:val="single" w:color="000000" w:sz="4" w:space="0"/>
            </w:tcBorders>
            <w:vAlign w:val="center"/>
          </w:tcPr>
          <w:p w14:paraId="789F601D">
            <w:pPr>
              <w:jc w:val="center"/>
              <w:rPr>
                <w:rFonts w:ascii="Times New Roman" w:hAnsi="Times New Roman" w:eastAsia="宋体" w:cs="Times New Roman"/>
                <w:spacing w:val="10"/>
                <w:sz w:val="21"/>
                <w:szCs w:val="21"/>
              </w:rPr>
            </w:pPr>
            <w:r>
              <w:rPr>
                <w:rFonts w:ascii="Times New Roman" w:hAnsi="Times New Roman" w:eastAsia="宋体" w:cs="Times New Roman"/>
                <w:spacing w:val="10"/>
                <w:sz w:val="21"/>
                <w:szCs w:val="21"/>
              </w:rPr>
              <w:t>外观与性状</w:t>
            </w:r>
          </w:p>
        </w:tc>
        <w:tc>
          <w:tcPr>
            <w:tcW w:w="0" w:type="auto"/>
            <w:gridSpan w:val="4"/>
            <w:tcBorders>
              <w:top w:val="single" w:color="000000" w:sz="4" w:space="0"/>
              <w:left w:val="single" w:color="000000" w:sz="4" w:space="0"/>
              <w:bottom w:val="single" w:color="000000" w:sz="4" w:space="0"/>
              <w:right w:val="single" w:color="000000" w:sz="4" w:space="0"/>
            </w:tcBorders>
            <w:vAlign w:val="center"/>
          </w:tcPr>
          <w:p w14:paraId="3F22E446">
            <w:pPr>
              <w:jc w:val="center"/>
              <w:rPr>
                <w:rFonts w:ascii="Times New Roman" w:hAnsi="Times New Roman" w:eastAsia="宋体" w:cs="Times New Roman"/>
                <w:spacing w:val="10"/>
                <w:sz w:val="21"/>
                <w:szCs w:val="21"/>
              </w:rPr>
            </w:pPr>
            <w:r>
              <w:rPr>
                <w:rFonts w:ascii="Times New Roman" w:hAnsi="Times New Roman" w:eastAsia="宋体" w:cs="Times New Roman"/>
                <w:spacing w:val="10"/>
                <w:sz w:val="21"/>
                <w:szCs w:val="21"/>
              </w:rPr>
              <w:t>无色有特殊臭味的易燃气体。</w:t>
            </w:r>
          </w:p>
        </w:tc>
      </w:tr>
      <w:tr w14:paraId="35ED6F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75ABCD48">
            <w:pPr>
              <w:jc w:val="center"/>
              <w:rPr>
                <w:rFonts w:ascii="Times New Roman" w:hAnsi="Times New Roman" w:eastAsia="宋体" w:cs="Times New Roman"/>
                <w:spacing w:val="10"/>
                <w:sz w:val="21"/>
                <w:szCs w:val="21"/>
              </w:rPr>
            </w:pPr>
          </w:p>
        </w:tc>
        <w:tc>
          <w:tcPr>
            <w:tcW w:w="0" w:type="auto"/>
            <w:tcBorders>
              <w:top w:val="single" w:color="000000" w:sz="4" w:space="0"/>
              <w:left w:val="single" w:color="000000" w:sz="4" w:space="0"/>
              <w:bottom w:val="single" w:color="000000" w:sz="4" w:space="0"/>
              <w:right w:val="single" w:color="000000" w:sz="4" w:space="0"/>
            </w:tcBorders>
            <w:vAlign w:val="center"/>
          </w:tcPr>
          <w:p w14:paraId="0147D014">
            <w:pPr>
              <w:jc w:val="center"/>
              <w:rPr>
                <w:rFonts w:ascii="Times New Roman" w:hAnsi="Times New Roman" w:eastAsia="宋体" w:cs="Times New Roman"/>
                <w:spacing w:val="10"/>
                <w:sz w:val="21"/>
                <w:szCs w:val="21"/>
              </w:rPr>
            </w:pPr>
            <w:r>
              <w:rPr>
                <w:rFonts w:ascii="Times New Roman" w:hAnsi="Times New Roman" w:eastAsia="宋体" w:cs="Times New Roman"/>
                <w:spacing w:val="10"/>
                <w:sz w:val="21"/>
                <w:szCs w:val="21"/>
              </w:rPr>
              <w:t>熔点（℃）</w:t>
            </w:r>
          </w:p>
        </w:tc>
        <w:tc>
          <w:tcPr>
            <w:tcW w:w="0" w:type="auto"/>
            <w:tcBorders>
              <w:top w:val="single" w:color="000000" w:sz="4" w:space="0"/>
              <w:left w:val="single" w:color="000000" w:sz="4" w:space="0"/>
              <w:bottom w:val="single" w:color="000000" w:sz="4" w:space="0"/>
              <w:right w:val="single" w:color="000000" w:sz="4" w:space="0"/>
            </w:tcBorders>
            <w:vAlign w:val="center"/>
          </w:tcPr>
          <w:p w14:paraId="0C3B1F32">
            <w:pPr>
              <w:jc w:val="center"/>
              <w:rPr>
                <w:rFonts w:ascii="Times New Roman" w:hAnsi="Times New Roman" w:eastAsia="宋体" w:cs="Times New Roman"/>
                <w:spacing w:val="10"/>
                <w:sz w:val="21"/>
                <w:szCs w:val="21"/>
              </w:rPr>
            </w:pPr>
            <w:r>
              <w:rPr>
                <w:rFonts w:ascii="Times New Roman" w:hAnsi="Times New Roman" w:eastAsia="宋体" w:cs="Times New Roman"/>
                <w:spacing w:val="10"/>
                <w:sz w:val="21"/>
                <w:szCs w:val="21"/>
              </w:rPr>
              <w:t>无资料</w:t>
            </w:r>
          </w:p>
        </w:tc>
        <w:tc>
          <w:tcPr>
            <w:tcW w:w="0" w:type="auto"/>
            <w:gridSpan w:val="2"/>
            <w:tcBorders>
              <w:top w:val="single" w:color="000000" w:sz="4" w:space="0"/>
              <w:left w:val="single" w:color="000000" w:sz="4" w:space="0"/>
              <w:bottom w:val="single" w:color="000000" w:sz="4" w:space="0"/>
              <w:right w:val="single" w:color="000000" w:sz="4" w:space="0"/>
            </w:tcBorders>
            <w:vAlign w:val="center"/>
          </w:tcPr>
          <w:p w14:paraId="6705B21A">
            <w:pPr>
              <w:jc w:val="center"/>
              <w:rPr>
                <w:rFonts w:ascii="Times New Roman" w:hAnsi="Times New Roman" w:eastAsia="宋体" w:cs="Times New Roman"/>
                <w:spacing w:val="10"/>
                <w:sz w:val="21"/>
                <w:szCs w:val="21"/>
              </w:rPr>
            </w:pPr>
            <w:r>
              <w:rPr>
                <w:rFonts w:ascii="Times New Roman" w:hAnsi="Times New Roman" w:eastAsia="宋体" w:cs="Times New Roman"/>
                <w:spacing w:val="10"/>
                <w:sz w:val="21"/>
                <w:szCs w:val="21"/>
              </w:rPr>
              <w:t>相对密度(水=1)</w:t>
            </w:r>
          </w:p>
        </w:tc>
        <w:tc>
          <w:tcPr>
            <w:tcW w:w="0" w:type="auto"/>
            <w:tcBorders>
              <w:top w:val="single" w:color="000000" w:sz="4" w:space="0"/>
              <w:left w:val="single" w:color="000000" w:sz="4" w:space="0"/>
              <w:bottom w:val="single" w:color="000000" w:sz="4" w:space="0"/>
              <w:right w:val="single" w:color="000000" w:sz="4" w:space="0"/>
            </w:tcBorders>
            <w:vAlign w:val="center"/>
          </w:tcPr>
          <w:p w14:paraId="50B0295E">
            <w:pPr>
              <w:jc w:val="center"/>
              <w:rPr>
                <w:rFonts w:ascii="Times New Roman" w:hAnsi="Times New Roman" w:eastAsia="宋体" w:cs="Times New Roman"/>
                <w:spacing w:val="10"/>
                <w:sz w:val="21"/>
                <w:szCs w:val="21"/>
              </w:rPr>
            </w:pPr>
            <w:r>
              <w:rPr>
                <w:rFonts w:ascii="Times New Roman" w:hAnsi="Times New Roman" w:eastAsia="宋体" w:cs="Times New Roman"/>
                <w:spacing w:val="10"/>
                <w:sz w:val="21"/>
                <w:szCs w:val="21"/>
              </w:rPr>
              <w:t>无资料</w:t>
            </w:r>
          </w:p>
        </w:tc>
      </w:tr>
      <w:tr w14:paraId="5162B1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04C5298F">
            <w:pPr>
              <w:jc w:val="center"/>
              <w:rPr>
                <w:rFonts w:ascii="Times New Roman" w:hAnsi="Times New Roman" w:eastAsia="宋体" w:cs="Times New Roman"/>
                <w:spacing w:val="10"/>
                <w:sz w:val="21"/>
                <w:szCs w:val="21"/>
              </w:rPr>
            </w:pPr>
          </w:p>
        </w:tc>
        <w:tc>
          <w:tcPr>
            <w:tcW w:w="0" w:type="auto"/>
            <w:tcBorders>
              <w:top w:val="single" w:color="000000" w:sz="4" w:space="0"/>
              <w:left w:val="single" w:color="000000" w:sz="4" w:space="0"/>
              <w:bottom w:val="single" w:color="000000" w:sz="4" w:space="0"/>
              <w:right w:val="single" w:color="000000" w:sz="4" w:space="0"/>
            </w:tcBorders>
            <w:vAlign w:val="center"/>
          </w:tcPr>
          <w:p w14:paraId="199CADBC">
            <w:pPr>
              <w:jc w:val="center"/>
              <w:rPr>
                <w:rFonts w:ascii="Times New Roman" w:hAnsi="Times New Roman" w:eastAsia="宋体" w:cs="Times New Roman"/>
                <w:spacing w:val="10"/>
                <w:sz w:val="21"/>
                <w:szCs w:val="21"/>
              </w:rPr>
            </w:pPr>
            <w:r>
              <w:rPr>
                <w:rFonts w:ascii="Times New Roman" w:hAnsi="Times New Roman" w:eastAsia="宋体" w:cs="Times New Roman"/>
                <w:spacing w:val="10"/>
                <w:sz w:val="21"/>
                <w:szCs w:val="21"/>
              </w:rPr>
              <w:t>沸点（℃）</w:t>
            </w:r>
          </w:p>
        </w:tc>
        <w:tc>
          <w:tcPr>
            <w:tcW w:w="0" w:type="auto"/>
            <w:tcBorders>
              <w:top w:val="single" w:color="000000" w:sz="4" w:space="0"/>
              <w:left w:val="single" w:color="000000" w:sz="4" w:space="0"/>
              <w:bottom w:val="single" w:color="000000" w:sz="4" w:space="0"/>
              <w:right w:val="single" w:color="000000" w:sz="4" w:space="0"/>
            </w:tcBorders>
            <w:vAlign w:val="center"/>
          </w:tcPr>
          <w:p w14:paraId="09528F0F">
            <w:pPr>
              <w:jc w:val="center"/>
              <w:rPr>
                <w:rFonts w:ascii="Times New Roman" w:hAnsi="Times New Roman" w:eastAsia="宋体" w:cs="Times New Roman"/>
                <w:spacing w:val="10"/>
                <w:sz w:val="21"/>
                <w:szCs w:val="21"/>
              </w:rPr>
            </w:pPr>
            <w:r>
              <w:rPr>
                <w:rFonts w:ascii="Times New Roman" w:hAnsi="Times New Roman" w:eastAsia="宋体" w:cs="Times New Roman"/>
                <w:spacing w:val="10"/>
                <w:sz w:val="21"/>
                <w:szCs w:val="21"/>
              </w:rPr>
              <w:t>无资料</w:t>
            </w:r>
          </w:p>
        </w:tc>
        <w:tc>
          <w:tcPr>
            <w:tcW w:w="0" w:type="auto"/>
            <w:gridSpan w:val="2"/>
            <w:tcBorders>
              <w:top w:val="single" w:color="000000" w:sz="4" w:space="0"/>
              <w:left w:val="single" w:color="000000" w:sz="4" w:space="0"/>
              <w:bottom w:val="single" w:color="000000" w:sz="4" w:space="0"/>
              <w:right w:val="single" w:color="000000" w:sz="4" w:space="0"/>
            </w:tcBorders>
            <w:vAlign w:val="center"/>
          </w:tcPr>
          <w:p w14:paraId="5589C8A6">
            <w:pPr>
              <w:jc w:val="center"/>
              <w:rPr>
                <w:rFonts w:ascii="Times New Roman" w:hAnsi="Times New Roman" w:eastAsia="宋体" w:cs="Times New Roman"/>
                <w:spacing w:val="10"/>
                <w:sz w:val="21"/>
                <w:szCs w:val="21"/>
              </w:rPr>
            </w:pPr>
            <w:r>
              <w:rPr>
                <w:rFonts w:ascii="Times New Roman" w:hAnsi="Times New Roman" w:eastAsia="宋体" w:cs="Times New Roman"/>
                <w:spacing w:val="10"/>
                <w:sz w:val="21"/>
                <w:szCs w:val="21"/>
              </w:rPr>
              <w:t>相对蒸汽密度（空气=1）</w:t>
            </w:r>
          </w:p>
        </w:tc>
        <w:tc>
          <w:tcPr>
            <w:tcW w:w="0" w:type="auto"/>
            <w:tcBorders>
              <w:top w:val="single" w:color="000000" w:sz="4" w:space="0"/>
              <w:left w:val="single" w:color="000000" w:sz="4" w:space="0"/>
              <w:bottom w:val="single" w:color="000000" w:sz="4" w:space="0"/>
              <w:right w:val="single" w:color="000000" w:sz="4" w:space="0"/>
            </w:tcBorders>
            <w:vAlign w:val="center"/>
          </w:tcPr>
          <w:p w14:paraId="5A54D77B">
            <w:pPr>
              <w:jc w:val="center"/>
              <w:rPr>
                <w:rFonts w:ascii="Times New Roman" w:hAnsi="Times New Roman" w:eastAsia="宋体" w:cs="Times New Roman"/>
                <w:spacing w:val="10"/>
                <w:sz w:val="21"/>
                <w:szCs w:val="21"/>
              </w:rPr>
            </w:pPr>
            <w:r>
              <w:rPr>
                <w:rFonts w:ascii="Times New Roman" w:hAnsi="Times New Roman" w:eastAsia="宋体" w:cs="Times New Roman"/>
                <w:spacing w:val="10"/>
                <w:sz w:val="21"/>
                <w:szCs w:val="21"/>
              </w:rPr>
              <w:t>0.4~0.6</w:t>
            </w:r>
          </w:p>
        </w:tc>
      </w:tr>
      <w:tr w14:paraId="774259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585126E8">
            <w:pPr>
              <w:jc w:val="center"/>
              <w:rPr>
                <w:rFonts w:ascii="Times New Roman" w:hAnsi="Times New Roman" w:eastAsia="宋体" w:cs="Times New Roman"/>
                <w:spacing w:val="10"/>
                <w:sz w:val="21"/>
                <w:szCs w:val="21"/>
              </w:rPr>
            </w:pPr>
          </w:p>
        </w:tc>
        <w:tc>
          <w:tcPr>
            <w:tcW w:w="0" w:type="auto"/>
            <w:tcBorders>
              <w:top w:val="single" w:color="000000" w:sz="4" w:space="0"/>
              <w:left w:val="single" w:color="000000" w:sz="4" w:space="0"/>
              <w:bottom w:val="single" w:color="000000" w:sz="4" w:space="0"/>
              <w:right w:val="single" w:color="000000" w:sz="4" w:space="0"/>
            </w:tcBorders>
            <w:vAlign w:val="center"/>
          </w:tcPr>
          <w:p w14:paraId="396248B2">
            <w:pPr>
              <w:jc w:val="center"/>
              <w:rPr>
                <w:rFonts w:ascii="Times New Roman" w:hAnsi="Times New Roman" w:eastAsia="宋体" w:cs="Times New Roman"/>
                <w:spacing w:val="10"/>
                <w:sz w:val="21"/>
                <w:szCs w:val="21"/>
              </w:rPr>
            </w:pPr>
            <w:r>
              <w:rPr>
                <w:rFonts w:ascii="Times New Roman" w:hAnsi="Times New Roman" w:eastAsia="宋体" w:cs="Times New Roman"/>
                <w:spacing w:val="10"/>
                <w:sz w:val="21"/>
                <w:szCs w:val="21"/>
              </w:rPr>
              <w:t>闪点（℃）</w:t>
            </w:r>
          </w:p>
        </w:tc>
        <w:tc>
          <w:tcPr>
            <w:tcW w:w="0" w:type="auto"/>
            <w:tcBorders>
              <w:top w:val="single" w:color="000000" w:sz="4" w:space="0"/>
              <w:left w:val="single" w:color="000000" w:sz="4" w:space="0"/>
              <w:bottom w:val="single" w:color="000000" w:sz="4" w:space="0"/>
              <w:right w:val="single" w:color="000000" w:sz="4" w:space="0"/>
            </w:tcBorders>
            <w:vAlign w:val="center"/>
          </w:tcPr>
          <w:p w14:paraId="57771322">
            <w:pPr>
              <w:jc w:val="center"/>
              <w:rPr>
                <w:rFonts w:ascii="Times New Roman" w:hAnsi="Times New Roman" w:eastAsia="宋体" w:cs="Times New Roman"/>
                <w:spacing w:val="10"/>
                <w:sz w:val="21"/>
                <w:szCs w:val="21"/>
              </w:rPr>
            </w:pPr>
            <w:r>
              <w:rPr>
                <w:rFonts w:ascii="Times New Roman" w:hAnsi="Times New Roman" w:eastAsia="宋体" w:cs="Times New Roman"/>
                <w:spacing w:val="10"/>
                <w:sz w:val="21"/>
                <w:szCs w:val="21"/>
              </w:rPr>
              <w:t>无资料</w:t>
            </w:r>
          </w:p>
        </w:tc>
        <w:tc>
          <w:tcPr>
            <w:tcW w:w="0" w:type="auto"/>
            <w:gridSpan w:val="2"/>
            <w:tcBorders>
              <w:top w:val="single" w:color="000000" w:sz="4" w:space="0"/>
              <w:left w:val="single" w:color="000000" w:sz="4" w:space="0"/>
              <w:bottom w:val="single" w:color="000000" w:sz="4" w:space="0"/>
              <w:right w:val="single" w:color="000000" w:sz="4" w:space="0"/>
            </w:tcBorders>
            <w:vAlign w:val="center"/>
          </w:tcPr>
          <w:p w14:paraId="644B529D">
            <w:pPr>
              <w:jc w:val="center"/>
              <w:rPr>
                <w:rFonts w:ascii="Times New Roman" w:hAnsi="Times New Roman" w:eastAsia="宋体" w:cs="Times New Roman"/>
                <w:spacing w:val="10"/>
                <w:sz w:val="21"/>
                <w:szCs w:val="21"/>
              </w:rPr>
            </w:pPr>
            <w:r>
              <w:rPr>
                <w:rFonts w:ascii="Times New Roman" w:hAnsi="Times New Roman" w:eastAsia="宋体" w:cs="Times New Roman"/>
                <w:spacing w:val="10"/>
                <w:sz w:val="21"/>
                <w:szCs w:val="21"/>
              </w:rPr>
              <w:t>饱和蒸汽压（k Pa）</w:t>
            </w:r>
          </w:p>
        </w:tc>
        <w:tc>
          <w:tcPr>
            <w:tcW w:w="0" w:type="auto"/>
            <w:tcBorders>
              <w:top w:val="single" w:color="000000" w:sz="4" w:space="0"/>
              <w:left w:val="single" w:color="000000" w:sz="4" w:space="0"/>
              <w:bottom w:val="single" w:color="000000" w:sz="4" w:space="0"/>
              <w:right w:val="single" w:color="000000" w:sz="4" w:space="0"/>
            </w:tcBorders>
            <w:vAlign w:val="center"/>
          </w:tcPr>
          <w:p w14:paraId="7628C827">
            <w:pPr>
              <w:jc w:val="center"/>
              <w:rPr>
                <w:rFonts w:ascii="Times New Roman" w:hAnsi="Times New Roman" w:eastAsia="宋体" w:cs="Times New Roman"/>
                <w:spacing w:val="10"/>
                <w:sz w:val="21"/>
                <w:szCs w:val="21"/>
              </w:rPr>
            </w:pPr>
            <w:r>
              <w:rPr>
                <w:rFonts w:ascii="Times New Roman" w:hAnsi="Times New Roman" w:eastAsia="宋体" w:cs="Times New Roman"/>
                <w:spacing w:val="10"/>
                <w:sz w:val="21"/>
                <w:szCs w:val="21"/>
              </w:rPr>
              <w:t>无资料</w:t>
            </w:r>
          </w:p>
        </w:tc>
      </w:tr>
      <w:tr w14:paraId="023F2D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156843EC">
            <w:pPr>
              <w:jc w:val="center"/>
              <w:rPr>
                <w:rFonts w:ascii="Times New Roman" w:hAnsi="Times New Roman" w:eastAsia="宋体" w:cs="Times New Roman"/>
                <w:spacing w:val="10"/>
                <w:sz w:val="21"/>
                <w:szCs w:val="21"/>
              </w:rPr>
            </w:pPr>
          </w:p>
        </w:tc>
        <w:tc>
          <w:tcPr>
            <w:tcW w:w="0" w:type="auto"/>
            <w:tcBorders>
              <w:top w:val="single" w:color="000000" w:sz="4" w:space="0"/>
              <w:left w:val="single" w:color="000000" w:sz="4" w:space="0"/>
              <w:bottom w:val="single" w:color="000000" w:sz="4" w:space="0"/>
              <w:right w:val="single" w:color="000000" w:sz="4" w:space="0"/>
            </w:tcBorders>
            <w:vAlign w:val="center"/>
          </w:tcPr>
          <w:p w14:paraId="02A8DE08">
            <w:pPr>
              <w:jc w:val="center"/>
              <w:rPr>
                <w:rFonts w:ascii="Times New Roman" w:hAnsi="Times New Roman" w:eastAsia="宋体" w:cs="Times New Roman"/>
                <w:spacing w:val="10"/>
                <w:sz w:val="21"/>
                <w:szCs w:val="21"/>
              </w:rPr>
            </w:pPr>
            <w:r>
              <w:rPr>
                <w:rFonts w:ascii="Times New Roman" w:hAnsi="Times New Roman" w:eastAsia="宋体" w:cs="Times New Roman"/>
                <w:spacing w:val="10"/>
                <w:sz w:val="21"/>
                <w:szCs w:val="21"/>
              </w:rPr>
              <w:t>自然温度(℃)</w:t>
            </w:r>
          </w:p>
        </w:tc>
        <w:tc>
          <w:tcPr>
            <w:tcW w:w="0" w:type="auto"/>
            <w:tcBorders>
              <w:top w:val="single" w:color="000000" w:sz="4" w:space="0"/>
              <w:left w:val="single" w:color="000000" w:sz="4" w:space="0"/>
              <w:bottom w:val="single" w:color="000000" w:sz="4" w:space="0"/>
              <w:right w:val="single" w:color="000000" w:sz="4" w:space="0"/>
            </w:tcBorders>
            <w:vAlign w:val="center"/>
          </w:tcPr>
          <w:p w14:paraId="459D649F">
            <w:pPr>
              <w:jc w:val="center"/>
              <w:rPr>
                <w:rFonts w:ascii="Times New Roman" w:hAnsi="Times New Roman" w:eastAsia="宋体" w:cs="Times New Roman"/>
                <w:spacing w:val="10"/>
                <w:sz w:val="21"/>
                <w:szCs w:val="21"/>
              </w:rPr>
            </w:pPr>
            <w:r>
              <w:rPr>
                <w:rFonts w:ascii="Times New Roman" w:hAnsi="Times New Roman" w:eastAsia="宋体" w:cs="Times New Roman"/>
                <w:spacing w:val="10"/>
                <w:sz w:val="21"/>
                <w:szCs w:val="21"/>
              </w:rPr>
              <w:t>648.9</w:t>
            </w:r>
          </w:p>
        </w:tc>
        <w:tc>
          <w:tcPr>
            <w:tcW w:w="0" w:type="auto"/>
            <w:gridSpan w:val="2"/>
            <w:tcBorders>
              <w:top w:val="single" w:color="000000" w:sz="4" w:space="0"/>
              <w:left w:val="single" w:color="000000" w:sz="4" w:space="0"/>
              <w:bottom w:val="single" w:color="000000" w:sz="4" w:space="0"/>
              <w:right w:val="single" w:color="000000" w:sz="4" w:space="0"/>
            </w:tcBorders>
            <w:vAlign w:val="center"/>
          </w:tcPr>
          <w:p w14:paraId="5C2D00E0">
            <w:pPr>
              <w:jc w:val="center"/>
              <w:rPr>
                <w:rFonts w:ascii="Times New Roman" w:hAnsi="Times New Roman" w:eastAsia="宋体" w:cs="Times New Roman"/>
                <w:spacing w:val="10"/>
                <w:sz w:val="21"/>
                <w:szCs w:val="21"/>
              </w:rPr>
            </w:pPr>
            <w:r>
              <w:rPr>
                <w:rFonts w:ascii="Times New Roman" w:hAnsi="Times New Roman" w:eastAsia="宋体" w:cs="Times New Roman"/>
                <w:spacing w:val="10"/>
                <w:sz w:val="21"/>
                <w:szCs w:val="21"/>
              </w:rPr>
              <w:t>爆炸上限/下限[% (V/ V)]：</w:t>
            </w:r>
          </w:p>
        </w:tc>
        <w:tc>
          <w:tcPr>
            <w:tcW w:w="0" w:type="auto"/>
            <w:tcBorders>
              <w:top w:val="single" w:color="000000" w:sz="4" w:space="0"/>
              <w:left w:val="single" w:color="000000" w:sz="4" w:space="0"/>
              <w:bottom w:val="single" w:color="000000" w:sz="4" w:space="0"/>
              <w:right w:val="single" w:color="000000" w:sz="4" w:space="0"/>
            </w:tcBorders>
            <w:vAlign w:val="center"/>
          </w:tcPr>
          <w:p w14:paraId="6B3FFAA6">
            <w:pPr>
              <w:jc w:val="center"/>
              <w:rPr>
                <w:rFonts w:ascii="Times New Roman" w:hAnsi="Times New Roman" w:eastAsia="宋体" w:cs="Times New Roman"/>
                <w:spacing w:val="10"/>
                <w:sz w:val="21"/>
                <w:szCs w:val="21"/>
              </w:rPr>
            </w:pPr>
            <w:r>
              <w:rPr>
                <w:rFonts w:ascii="Times New Roman" w:hAnsi="Times New Roman" w:eastAsia="宋体" w:cs="Times New Roman"/>
                <w:spacing w:val="10"/>
                <w:sz w:val="21"/>
                <w:szCs w:val="21"/>
              </w:rPr>
              <w:t>40/4.5</w:t>
            </w:r>
          </w:p>
        </w:tc>
      </w:tr>
      <w:tr w14:paraId="6706EF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0122AF68">
            <w:pPr>
              <w:jc w:val="center"/>
              <w:rPr>
                <w:rFonts w:ascii="Times New Roman" w:hAnsi="Times New Roman" w:eastAsia="宋体" w:cs="Times New Roman"/>
                <w:spacing w:val="10"/>
                <w:sz w:val="21"/>
                <w:szCs w:val="21"/>
              </w:rPr>
            </w:pPr>
          </w:p>
        </w:tc>
        <w:tc>
          <w:tcPr>
            <w:tcW w:w="0" w:type="auto"/>
            <w:tcBorders>
              <w:top w:val="single" w:color="000000" w:sz="4" w:space="0"/>
              <w:left w:val="single" w:color="000000" w:sz="4" w:space="0"/>
              <w:bottom w:val="single" w:color="000000" w:sz="4" w:space="0"/>
              <w:right w:val="single" w:color="000000" w:sz="4" w:space="0"/>
            </w:tcBorders>
            <w:vAlign w:val="center"/>
          </w:tcPr>
          <w:p w14:paraId="72A2FABA">
            <w:pPr>
              <w:jc w:val="center"/>
              <w:rPr>
                <w:rFonts w:ascii="Times New Roman" w:hAnsi="Times New Roman" w:eastAsia="宋体" w:cs="Times New Roman"/>
                <w:spacing w:val="10"/>
                <w:sz w:val="21"/>
                <w:szCs w:val="21"/>
              </w:rPr>
            </w:pPr>
            <w:r>
              <w:rPr>
                <w:rFonts w:ascii="Times New Roman" w:hAnsi="Times New Roman" w:eastAsia="宋体" w:cs="Times New Roman"/>
                <w:spacing w:val="10"/>
                <w:sz w:val="21"/>
                <w:szCs w:val="21"/>
              </w:rPr>
              <w:t>临界压力(MPa)</w:t>
            </w:r>
          </w:p>
        </w:tc>
        <w:tc>
          <w:tcPr>
            <w:tcW w:w="0" w:type="auto"/>
            <w:tcBorders>
              <w:top w:val="single" w:color="000000" w:sz="4" w:space="0"/>
              <w:left w:val="single" w:color="000000" w:sz="4" w:space="0"/>
              <w:bottom w:val="single" w:color="000000" w:sz="4" w:space="0"/>
              <w:right w:val="single" w:color="000000" w:sz="4" w:space="0"/>
            </w:tcBorders>
            <w:vAlign w:val="center"/>
          </w:tcPr>
          <w:p w14:paraId="648B680B">
            <w:pPr>
              <w:jc w:val="center"/>
              <w:rPr>
                <w:rFonts w:ascii="Times New Roman" w:hAnsi="Times New Roman" w:eastAsia="宋体" w:cs="Times New Roman"/>
                <w:spacing w:val="10"/>
                <w:sz w:val="21"/>
                <w:szCs w:val="21"/>
              </w:rPr>
            </w:pPr>
            <w:r>
              <w:rPr>
                <w:rFonts w:ascii="Times New Roman" w:hAnsi="Times New Roman" w:eastAsia="宋体" w:cs="Times New Roman"/>
                <w:spacing w:val="10"/>
                <w:sz w:val="21"/>
                <w:szCs w:val="21"/>
              </w:rPr>
              <w:t>无资料</w:t>
            </w:r>
          </w:p>
        </w:tc>
        <w:tc>
          <w:tcPr>
            <w:tcW w:w="0" w:type="auto"/>
            <w:gridSpan w:val="2"/>
            <w:tcBorders>
              <w:top w:val="single" w:color="000000" w:sz="4" w:space="0"/>
              <w:left w:val="single" w:color="000000" w:sz="4" w:space="0"/>
              <w:bottom w:val="single" w:color="000000" w:sz="4" w:space="0"/>
              <w:right w:val="single" w:color="000000" w:sz="4" w:space="0"/>
            </w:tcBorders>
            <w:vAlign w:val="center"/>
          </w:tcPr>
          <w:p w14:paraId="218144B0">
            <w:pPr>
              <w:jc w:val="center"/>
              <w:rPr>
                <w:rFonts w:ascii="Times New Roman" w:hAnsi="Times New Roman" w:eastAsia="宋体" w:cs="Times New Roman"/>
                <w:spacing w:val="10"/>
                <w:sz w:val="21"/>
                <w:szCs w:val="21"/>
              </w:rPr>
            </w:pPr>
            <w:r>
              <w:rPr>
                <w:rFonts w:ascii="Times New Roman" w:hAnsi="Times New Roman" w:eastAsia="宋体" w:cs="Times New Roman"/>
                <w:spacing w:val="10"/>
                <w:sz w:val="21"/>
                <w:szCs w:val="21"/>
              </w:rPr>
              <w:t>临界温度(℃)</w:t>
            </w:r>
          </w:p>
        </w:tc>
        <w:tc>
          <w:tcPr>
            <w:tcW w:w="0" w:type="auto"/>
            <w:tcBorders>
              <w:top w:val="single" w:color="000000" w:sz="4" w:space="0"/>
              <w:left w:val="single" w:color="000000" w:sz="4" w:space="0"/>
              <w:bottom w:val="single" w:color="000000" w:sz="4" w:space="0"/>
              <w:right w:val="single" w:color="000000" w:sz="4" w:space="0"/>
            </w:tcBorders>
            <w:vAlign w:val="center"/>
          </w:tcPr>
          <w:p w14:paraId="60CC519C">
            <w:pPr>
              <w:jc w:val="center"/>
              <w:rPr>
                <w:rFonts w:ascii="Times New Roman" w:hAnsi="Times New Roman" w:eastAsia="宋体" w:cs="Times New Roman"/>
                <w:spacing w:val="10"/>
                <w:sz w:val="21"/>
                <w:szCs w:val="21"/>
              </w:rPr>
            </w:pPr>
            <w:r>
              <w:rPr>
                <w:rFonts w:ascii="Times New Roman" w:hAnsi="Times New Roman" w:eastAsia="宋体" w:cs="Times New Roman"/>
                <w:spacing w:val="10"/>
                <w:sz w:val="21"/>
                <w:szCs w:val="21"/>
              </w:rPr>
              <w:t>无资料</w:t>
            </w:r>
          </w:p>
        </w:tc>
      </w:tr>
      <w:tr w14:paraId="66F8DF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3F3C8DD9">
            <w:pPr>
              <w:jc w:val="center"/>
              <w:rPr>
                <w:rFonts w:ascii="Times New Roman" w:hAnsi="Times New Roman" w:eastAsia="宋体" w:cs="Times New Roman"/>
                <w:spacing w:val="10"/>
                <w:sz w:val="21"/>
                <w:szCs w:val="21"/>
              </w:rPr>
            </w:pPr>
          </w:p>
        </w:tc>
        <w:tc>
          <w:tcPr>
            <w:tcW w:w="0" w:type="auto"/>
            <w:tcBorders>
              <w:top w:val="single" w:color="000000" w:sz="4" w:space="0"/>
              <w:left w:val="single" w:color="000000" w:sz="4" w:space="0"/>
              <w:bottom w:val="single" w:color="000000" w:sz="4" w:space="0"/>
              <w:right w:val="single" w:color="000000" w:sz="4" w:space="0"/>
            </w:tcBorders>
            <w:vAlign w:val="center"/>
          </w:tcPr>
          <w:p w14:paraId="21EF7F13">
            <w:pPr>
              <w:jc w:val="center"/>
              <w:rPr>
                <w:rFonts w:ascii="Times New Roman" w:hAnsi="Times New Roman" w:eastAsia="宋体" w:cs="Times New Roman"/>
                <w:spacing w:val="10"/>
                <w:sz w:val="21"/>
                <w:szCs w:val="21"/>
              </w:rPr>
            </w:pPr>
            <w:r>
              <w:rPr>
                <w:rFonts w:ascii="Times New Roman" w:hAnsi="Times New Roman" w:eastAsia="宋体" w:cs="Times New Roman"/>
                <w:spacing w:val="10"/>
                <w:sz w:val="21"/>
                <w:szCs w:val="21"/>
              </w:rPr>
              <w:t>主要用途</w:t>
            </w:r>
          </w:p>
        </w:tc>
        <w:tc>
          <w:tcPr>
            <w:tcW w:w="0" w:type="auto"/>
            <w:gridSpan w:val="4"/>
            <w:tcBorders>
              <w:top w:val="single" w:color="000000" w:sz="4" w:space="0"/>
              <w:left w:val="single" w:color="000000" w:sz="4" w:space="0"/>
              <w:bottom w:val="single" w:color="000000" w:sz="4" w:space="0"/>
              <w:right w:val="single" w:color="000000" w:sz="4" w:space="0"/>
            </w:tcBorders>
            <w:vAlign w:val="center"/>
          </w:tcPr>
          <w:p w14:paraId="75B0FF52">
            <w:pPr>
              <w:jc w:val="center"/>
              <w:rPr>
                <w:rFonts w:ascii="Times New Roman" w:hAnsi="Times New Roman" w:eastAsia="宋体" w:cs="Times New Roman"/>
                <w:spacing w:val="10"/>
                <w:sz w:val="21"/>
                <w:szCs w:val="21"/>
              </w:rPr>
            </w:pPr>
            <w:r>
              <w:rPr>
                <w:rFonts w:ascii="Times New Roman" w:hAnsi="Times New Roman" w:eastAsia="宋体" w:cs="Times New Roman"/>
                <w:spacing w:val="10"/>
                <w:sz w:val="21"/>
                <w:szCs w:val="21"/>
              </w:rPr>
              <w:t>燃料气</w:t>
            </w:r>
          </w:p>
        </w:tc>
      </w:tr>
      <w:tr w14:paraId="3EC2AA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6E757328">
            <w:pPr>
              <w:jc w:val="center"/>
              <w:rPr>
                <w:rFonts w:ascii="Times New Roman" w:hAnsi="Times New Roman" w:eastAsia="宋体" w:cs="Times New Roman"/>
                <w:spacing w:val="10"/>
                <w:sz w:val="21"/>
                <w:szCs w:val="21"/>
              </w:rPr>
            </w:pPr>
          </w:p>
        </w:tc>
        <w:tc>
          <w:tcPr>
            <w:tcW w:w="0" w:type="auto"/>
            <w:tcBorders>
              <w:top w:val="single" w:color="000000" w:sz="4" w:space="0"/>
              <w:left w:val="single" w:color="000000" w:sz="4" w:space="0"/>
              <w:bottom w:val="single" w:color="000000" w:sz="4" w:space="0"/>
              <w:right w:val="single" w:color="000000" w:sz="4" w:space="0"/>
            </w:tcBorders>
            <w:vAlign w:val="center"/>
          </w:tcPr>
          <w:p w14:paraId="00359E6C">
            <w:pPr>
              <w:jc w:val="center"/>
              <w:rPr>
                <w:rFonts w:ascii="Times New Roman" w:hAnsi="Times New Roman" w:eastAsia="宋体" w:cs="Times New Roman"/>
                <w:spacing w:val="10"/>
                <w:sz w:val="21"/>
                <w:szCs w:val="21"/>
              </w:rPr>
            </w:pPr>
            <w:r>
              <w:rPr>
                <w:rFonts w:ascii="Times New Roman" w:hAnsi="Times New Roman" w:eastAsia="宋体" w:cs="Times New Roman"/>
                <w:spacing w:val="10"/>
                <w:sz w:val="21"/>
                <w:szCs w:val="21"/>
              </w:rPr>
              <w:t>溶解性</w:t>
            </w:r>
          </w:p>
        </w:tc>
        <w:tc>
          <w:tcPr>
            <w:tcW w:w="0" w:type="auto"/>
            <w:gridSpan w:val="4"/>
            <w:tcBorders>
              <w:top w:val="single" w:color="000000" w:sz="4" w:space="0"/>
              <w:left w:val="single" w:color="000000" w:sz="4" w:space="0"/>
              <w:bottom w:val="single" w:color="000000" w:sz="4" w:space="0"/>
              <w:right w:val="single" w:color="000000" w:sz="4" w:space="0"/>
            </w:tcBorders>
            <w:vAlign w:val="center"/>
          </w:tcPr>
          <w:p w14:paraId="66F87A3A">
            <w:pPr>
              <w:jc w:val="center"/>
              <w:rPr>
                <w:rFonts w:ascii="Times New Roman" w:hAnsi="Times New Roman" w:eastAsia="宋体" w:cs="Times New Roman"/>
                <w:spacing w:val="10"/>
                <w:sz w:val="21"/>
                <w:szCs w:val="21"/>
              </w:rPr>
            </w:pPr>
            <w:r>
              <w:rPr>
                <w:rFonts w:ascii="Times New Roman" w:hAnsi="Times New Roman" w:eastAsia="宋体" w:cs="Times New Roman"/>
                <w:spacing w:val="10"/>
                <w:sz w:val="21"/>
                <w:szCs w:val="21"/>
              </w:rPr>
              <w:t>无资料</w:t>
            </w:r>
          </w:p>
        </w:tc>
      </w:tr>
      <w:tr w14:paraId="308F3C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restart"/>
            <w:tcBorders>
              <w:top w:val="single" w:color="000000" w:sz="4" w:space="0"/>
              <w:left w:val="single" w:color="000000" w:sz="4" w:space="0"/>
              <w:bottom w:val="single" w:color="000000" w:sz="4" w:space="0"/>
              <w:right w:val="single" w:color="000000" w:sz="4" w:space="0"/>
            </w:tcBorders>
            <w:vAlign w:val="center"/>
          </w:tcPr>
          <w:p w14:paraId="34DD459F">
            <w:pPr>
              <w:jc w:val="center"/>
              <w:rPr>
                <w:rFonts w:ascii="Times New Roman" w:hAnsi="Times New Roman" w:eastAsia="宋体" w:cs="Times New Roman"/>
                <w:spacing w:val="10"/>
                <w:sz w:val="21"/>
                <w:szCs w:val="21"/>
              </w:rPr>
            </w:pPr>
            <w:r>
              <w:rPr>
                <w:rFonts w:ascii="Times New Roman" w:hAnsi="Times New Roman" w:eastAsia="宋体" w:cs="Times New Roman"/>
                <w:spacing w:val="10"/>
                <w:sz w:val="21"/>
                <w:szCs w:val="21"/>
              </w:rPr>
              <w:t>毒性健康危害</w:t>
            </w:r>
          </w:p>
        </w:tc>
        <w:tc>
          <w:tcPr>
            <w:tcW w:w="0" w:type="auto"/>
            <w:tcBorders>
              <w:top w:val="single" w:color="000000" w:sz="4" w:space="0"/>
              <w:left w:val="single" w:color="000000" w:sz="4" w:space="0"/>
              <w:bottom w:val="single" w:color="000000" w:sz="4" w:space="0"/>
              <w:right w:val="single" w:color="000000" w:sz="4" w:space="0"/>
            </w:tcBorders>
            <w:vAlign w:val="center"/>
          </w:tcPr>
          <w:p w14:paraId="2E17F992">
            <w:pPr>
              <w:jc w:val="center"/>
              <w:rPr>
                <w:rFonts w:ascii="Times New Roman" w:hAnsi="Times New Roman" w:eastAsia="宋体" w:cs="Times New Roman"/>
                <w:spacing w:val="10"/>
                <w:sz w:val="21"/>
                <w:szCs w:val="21"/>
              </w:rPr>
            </w:pPr>
            <w:r>
              <w:rPr>
                <w:rFonts w:ascii="Times New Roman" w:hAnsi="Times New Roman" w:eastAsia="宋体" w:cs="Times New Roman"/>
                <w:spacing w:val="10"/>
                <w:sz w:val="21"/>
                <w:szCs w:val="21"/>
              </w:rPr>
              <w:t>毒性</w:t>
            </w:r>
          </w:p>
        </w:tc>
        <w:tc>
          <w:tcPr>
            <w:tcW w:w="0" w:type="auto"/>
            <w:gridSpan w:val="4"/>
            <w:tcBorders>
              <w:top w:val="single" w:color="000000" w:sz="4" w:space="0"/>
              <w:left w:val="single" w:color="000000" w:sz="4" w:space="0"/>
              <w:bottom w:val="single" w:color="000000" w:sz="4" w:space="0"/>
              <w:right w:val="single" w:color="000000" w:sz="4" w:space="0"/>
            </w:tcBorders>
            <w:vAlign w:val="center"/>
          </w:tcPr>
          <w:p w14:paraId="5E2C76B4">
            <w:pPr>
              <w:jc w:val="center"/>
              <w:rPr>
                <w:rFonts w:ascii="Times New Roman" w:hAnsi="Times New Roman" w:eastAsia="宋体" w:cs="Times New Roman"/>
                <w:spacing w:val="10"/>
                <w:sz w:val="21"/>
                <w:szCs w:val="21"/>
              </w:rPr>
            </w:pPr>
            <w:r>
              <w:rPr>
                <w:rFonts w:ascii="Times New Roman" w:hAnsi="Times New Roman" w:eastAsia="宋体" w:cs="Times New Roman"/>
                <w:spacing w:val="10"/>
                <w:sz w:val="21"/>
                <w:szCs w:val="21"/>
              </w:rPr>
              <w:t>无资料</w:t>
            </w:r>
          </w:p>
        </w:tc>
      </w:tr>
      <w:tr w14:paraId="139416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48CDC89F">
            <w:pPr>
              <w:jc w:val="center"/>
              <w:rPr>
                <w:rFonts w:ascii="Times New Roman" w:hAnsi="Times New Roman" w:eastAsia="宋体" w:cs="Times New Roman"/>
                <w:spacing w:val="10"/>
                <w:sz w:val="21"/>
                <w:szCs w:val="21"/>
              </w:rPr>
            </w:pPr>
          </w:p>
        </w:tc>
        <w:tc>
          <w:tcPr>
            <w:tcW w:w="0" w:type="auto"/>
            <w:tcBorders>
              <w:top w:val="single" w:color="000000" w:sz="4" w:space="0"/>
              <w:left w:val="single" w:color="000000" w:sz="4" w:space="0"/>
              <w:bottom w:val="single" w:color="000000" w:sz="4" w:space="0"/>
              <w:right w:val="single" w:color="000000" w:sz="4" w:space="0"/>
            </w:tcBorders>
            <w:vAlign w:val="center"/>
          </w:tcPr>
          <w:p w14:paraId="00AA57F3">
            <w:pPr>
              <w:jc w:val="center"/>
              <w:rPr>
                <w:rFonts w:ascii="Times New Roman" w:hAnsi="Times New Roman" w:eastAsia="宋体" w:cs="Times New Roman"/>
                <w:spacing w:val="10"/>
                <w:sz w:val="21"/>
                <w:szCs w:val="21"/>
              </w:rPr>
            </w:pPr>
            <w:r>
              <w:rPr>
                <w:rFonts w:ascii="Times New Roman" w:hAnsi="Times New Roman" w:eastAsia="宋体" w:cs="Times New Roman"/>
                <w:spacing w:val="10"/>
                <w:sz w:val="21"/>
                <w:szCs w:val="21"/>
              </w:rPr>
              <w:t>健康危害</w:t>
            </w:r>
          </w:p>
        </w:tc>
        <w:tc>
          <w:tcPr>
            <w:tcW w:w="0" w:type="auto"/>
            <w:gridSpan w:val="4"/>
            <w:tcBorders>
              <w:top w:val="single" w:color="000000" w:sz="4" w:space="0"/>
              <w:left w:val="single" w:color="000000" w:sz="4" w:space="0"/>
              <w:bottom w:val="single" w:color="000000" w:sz="4" w:space="0"/>
              <w:right w:val="single" w:color="000000" w:sz="4" w:space="0"/>
            </w:tcBorders>
            <w:vAlign w:val="center"/>
          </w:tcPr>
          <w:p w14:paraId="54F8D696">
            <w:pPr>
              <w:jc w:val="center"/>
              <w:rPr>
                <w:rFonts w:ascii="Times New Roman" w:hAnsi="Times New Roman" w:eastAsia="宋体" w:cs="Times New Roman"/>
                <w:spacing w:val="10"/>
                <w:sz w:val="21"/>
                <w:szCs w:val="21"/>
              </w:rPr>
            </w:pPr>
            <w:r>
              <w:rPr>
                <w:rFonts w:ascii="Times New Roman" w:hAnsi="Times New Roman" w:eastAsia="宋体" w:cs="Times New Roman"/>
                <w:spacing w:val="10"/>
                <w:sz w:val="21"/>
                <w:szCs w:val="21"/>
              </w:rPr>
              <w:t>煤气中含有一氧化碳、芳烃等，前者能与人体中的血红蛋白结合，造成缺氧，使人昏迷不醒。在低浓度下停留，也能产生头晕、心跳、恶心以及虚脱等。</w:t>
            </w:r>
          </w:p>
        </w:tc>
      </w:tr>
      <w:tr w14:paraId="078E89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restart"/>
            <w:tcBorders>
              <w:top w:val="single" w:color="000000" w:sz="4" w:space="0"/>
              <w:left w:val="single" w:color="000000" w:sz="4" w:space="0"/>
              <w:bottom w:val="single" w:color="000000" w:sz="4" w:space="0"/>
              <w:right w:val="single" w:color="000000" w:sz="4" w:space="0"/>
            </w:tcBorders>
            <w:vAlign w:val="center"/>
          </w:tcPr>
          <w:p w14:paraId="2E2B69C0">
            <w:pPr>
              <w:jc w:val="center"/>
              <w:rPr>
                <w:rFonts w:ascii="Times New Roman" w:hAnsi="Times New Roman" w:eastAsia="宋体" w:cs="Times New Roman"/>
                <w:spacing w:val="10"/>
                <w:sz w:val="21"/>
                <w:szCs w:val="21"/>
              </w:rPr>
            </w:pPr>
            <w:r>
              <w:rPr>
                <w:rFonts w:ascii="Times New Roman" w:hAnsi="Times New Roman" w:eastAsia="宋体" w:cs="Times New Roman"/>
                <w:spacing w:val="10"/>
                <w:sz w:val="21"/>
                <w:szCs w:val="21"/>
              </w:rPr>
              <w:t>燃烧爆炸危险性</w:t>
            </w:r>
          </w:p>
        </w:tc>
        <w:tc>
          <w:tcPr>
            <w:tcW w:w="0" w:type="auto"/>
            <w:tcBorders>
              <w:top w:val="single" w:color="000000" w:sz="4" w:space="0"/>
              <w:left w:val="single" w:color="000000" w:sz="4" w:space="0"/>
              <w:bottom w:val="single" w:color="000000" w:sz="4" w:space="0"/>
              <w:right w:val="single" w:color="000000" w:sz="4" w:space="0"/>
            </w:tcBorders>
            <w:vAlign w:val="center"/>
          </w:tcPr>
          <w:p w14:paraId="633C7839">
            <w:pPr>
              <w:jc w:val="center"/>
              <w:rPr>
                <w:rFonts w:ascii="Times New Roman" w:hAnsi="Times New Roman" w:eastAsia="宋体" w:cs="Times New Roman"/>
                <w:spacing w:val="10"/>
                <w:sz w:val="21"/>
                <w:szCs w:val="21"/>
              </w:rPr>
            </w:pPr>
            <w:r>
              <w:rPr>
                <w:rFonts w:ascii="Times New Roman" w:hAnsi="Times New Roman" w:eastAsia="宋体" w:cs="Times New Roman"/>
                <w:spacing w:val="10"/>
                <w:sz w:val="21"/>
                <w:szCs w:val="21"/>
              </w:rPr>
              <w:t>燃爆危险</w:t>
            </w:r>
          </w:p>
        </w:tc>
        <w:tc>
          <w:tcPr>
            <w:tcW w:w="0" w:type="auto"/>
            <w:gridSpan w:val="4"/>
            <w:tcBorders>
              <w:top w:val="single" w:color="000000" w:sz="4" w:space="0"/>
              <w:left w:val="single" w:color="000000" w:sz="4" w:space="0"/>
              <w:bottom w:val="single" w:color="000000" w:sz="4" w:space="0"/>
              <w:right w:val="single" w:color="000000" w:sz="4" w:space="0"/>
            </w:tcBorders>
            <w:vAlign w:val="center"/>
          </w:tcPr>
          <w:p w14:paraId="28929A65">
            <w:pPr>
              <w:jc w:val="center"/>
              <w:rPr>
                <w:rFonts w:ascii="Times New Roman" w:hAnsi="Times New Roman" w:eastAsia="宋体" w:cs="Times New Roman"/>
                <w:spacing w:val="10"/>
                <w:sz w:val="21"/>
                <w:szCs w:val="21"/>
              </w:rPr>
            </w:pPr>
            <w:r>
              <w:rPr>
                <w:rFonts w:ascii="Times New Roman" w:hAnsi="Times New Roman" w:eastAsia="宋体" w:cs="Times New Roman"/>
                <w:spacing w:val="10"/>
                <w:sz w:val="21"/>
                <w:szCs w:val="21"/>
              </w:rPr>
              <w:t>无资料</w:t>
            </w:r>
          </w:p>
        </w:tc>
      </w:tr>
      <w:tr w14:paraId="65703E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5B6C02EC">
            <w:pPr>
              <w:jc w:val="center"/>
              <w:rPr>
                <w:rFonts w:ascii="Times New Roman" w:hAnsi="Times New Roman" w:eastAsia="宋体" w:cs="Times New Roman"/>
                <w:spacing w:val="10"/>
                <w:sz w:val="21"/>
                <w:szCs w:val="21"/>
              </w:rPr>
            </w:pPr>
          </w:p>
        </w:tc>
        <w:tc>
          <w:tcPr>
            <w:tcW w:w="0" w:type="auto"/>
            <w:tcBorders>
              <w:top w:val="single" w:color="000000" w:sz="4" w:space="0"/>
              <w:left w:val="single" w:color="000000" w:sz="4" w:space="0"/>
              <w:bottom w:val="single" w:color="000000" w:sz="4" w:space="0"/>
              <w:right w:val="single" w:color="000000" w:sz="4" w:space="0"/>
            </w:tcBorders>
            <w:vAlign w:val="center"/>
          </w:tcPr>
          <w:p w14:paraId="5AA737D9">
            <w:pPr>
              <w:jc w:val="center"/>
              <w:rPr>
                <w:rFonts w:ascii="Times New Roman" w:hAnsi="Times New Roman" w:eastAsia="宋体" w:cs="Times New Roman"/>
                <w:spacing w:val="10"/>
                <w:sz w:val="21"/>
                <w:szCs w:val="21"/>
              </w:rPr>
            </w:pPr>
            <w:r>
              <w:rPr>
                <w:rFonts w:ascii="Times New Roman" w:hAnsi="Times New Roman" w:eastAsia="宋体" w:cs="Times New Roman"/>
                <w:spacing w:val="10"/>
                <w:sz w:val="21"/>
                <w:szCs w:val="21"/>
              </w:rPr>
              <w:t>危险特性</w:t>
            </w:r>
          </w:p>
        </w:tc>
        <w:tc>
          <w:tcPr>
            <w:tcW w:w="0" w:type="auto"/>
            <w:gridSpan w:val="4"/>
            <w:tcBorders>
              <w:top w:val="single" w:color="000000" w:sz="4" w:space="0"/>
              <w:left w:val="single" w:color="000000" w:sz="4" w:space="0"/>
              <w:bottom w:val="single" w:color="000000" w:sz="4" w:space="0"/>
              <w:right w:val="single" w:color="000000" w:sz="4" w:space="0"/>
            </w:tcBorders>
            <w:vAlign w:val="center"/>
          </w:tcPr>
          <w:p w14:paraId="0411E8AF">
            <w:pPr>
              <w:jc w:val="center"/>
              <w:rPr>
                <w:rFonts w:ascii="Times New Roman" w:hAnsi="Times New Roman" w:eastAsia="宋体" w:cs="Times New Roman"/>
                <w:spacing w:val="10"/>
                <w:sz w:val="21"/>
                <w:szCs w:val="21"/>
              </w:rPr>
            </w:pPr>
            <w:r>
              <w:rPr>
                <w:rFonts w:ascii="Times New Roman" w:hAnsi="Times New Roman" w:eastAsia="宋体" w:cs="Times New Roman"/>
                <w:spacing w:val="10"/>
                <w:sz w:val="21"/>
                <w:szCs w:val="21"/>
              </w:rPr>
              <w:t>易燃，气体能与空气形成爆炸性混合物。如果易燃气体混合物扩散到火源处，就会立即回燃。遇火源，高热有着火、爆炸危险。遇氧化剂激烈反应。高毒。</w:t>
            </w:r>
          </w:p>
        </w:tc>
      </w:tr>
      <w:tr w14:paraId="6A8663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55B55DAA">
            <w:pPr>
              <w:jc w:val="center"/>
              <w:rPr>
                <w:rFonts w:ascii="Times New Roman" w:hAnsi="Times New Roman" w:eastAsia="宋体" w:cs="Times New Roman"/>
                <w:spacing w:val="10"/>
                <w:sz w:val="21"/>
                <w:szCs w:val="21"/>
              </w:rPr>
            </w:pPr>
          </w:p>
        </w:tc>
        <w:tc>
          <w:tcPr>
            <w:tcW w:w="0" w:type="auto"/>
            <w:tcBorders>
              <w:top w:val="single" w:color="000000" w:sz="4" w:space="0"/>
              <w:left w:val="single" w:color="000000" w:sz="4" w:space="0"/>
              <w:bottom w:val="single" w:color="000000" w:sz="4" w:space="0"/>
              <w:right w:val="single" w:color="000000" w:sz="4" w:space="0"/>
            </w:tcBorders>
            <w:vAlign w:val="center"/>
          </w:tcPr>
          <w:p w14:paraId="5308A501">
            <w:pPr>
              <w:jc w:val="center"/>
              <w:rPr>
                <w:rFonts w:ascii="Times New Roman" w:hAnsi="Times New Roman" w:eastAsia="宋体" w:cs="Times New Roman"/>
                <w:spacing w:val="10"/>
                <w:sz w:val="21"/>
                <w:szCs w:val="21"/>
              </w:rPr>
            </w:pPr>
            <w:r>
              <w:rPr>
                <w:rFonts w:ascii="Times New Roman" w:hAnsi="Times New Roman" w:eastAsia="宋体" w:cs="Times New Roman"/>
                <w:spacing w:val="10"/>
                <w:sz w:val="21"/>
                <w:szCs w:val="21"/>
              </w:rPr>
              <w:t>灭火方法</w:t>
            </w:r>
          </w:p>
        </w:tc>
        <w:tc>
          <w:tcPr>
            <w:tcW w:w="0" w:type="auto"/>
            <w:gridSpan w:val="4"/>
            <w:tcBorders>
              <w:top w:val="single" w:color="000000" w:sz="4" w:space="0"/>
              <w:left w:val="single" w:color="000000" w:sz="4" w:space="0"/>
              <w:bottom w:val="single" w:color="000000" w:sz="4" w:space="0"/>
              <w:right w:val="single" w:color="000000" w:sz="4" w:space="0"/>
            </w:tcBorders>
            <w:vAlign w:val="center"/>
          </w:tcPr>
          <w:p w14:paraId="2087C03D">
            <w:pPr>
              <w:jc w:val="center"/>
              <w:rPr>
                <w:rFonts w:ascii="Times New Roman" w:hAnsi="Times New Roman" w:eastAsia="宋体" w:cs="Times New Roman"/>
                <w:spacing w:val="10"/>
                <w:sz w:val="21"/>
                <w:szCs w:val="21"/>
              </w:rPr>
            </w:pPr>
            <w:r>
              <w:rPr>
                <w:rFonts w:ascii="Times New Roman" w:hAnsi="Times New Roman" w:eastAsia="宋体" w:cs="Times New Roman"/>
                <w:spacing w:val="10"/>
                <w:sz w:val="21"/>
                <w:szCs w:val="21"/>
              </w:rPr>
              <w:t>消防人员必须必须空戴防护面具。关闭阀门，切断气源，消杀火势。</w:t>
            </w:r>
          </w:p>
        </w:tc>
      </w:tr>
      <w:tr w14:paraId="114B43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16314E05">
            <w:pPr>
              <w:jc w:val="center"/>
              <w:rPr>
                <w:rFonts w:ascii="Times New Roman" w:hAnsi="Times New Roman" w:eastAsia="宋体" w:cs="Times New Roman"/>
                <w:spacing w:val="10"/>
                <w:sz w:val="21"/>
                <w:szCs w:val="21"/>
              </w:rPr>
            </w:pPr>
          </w:p>
        </w:tc>
        <w:tc>
          <w:tcPr>
            <w:tcW w:w="0" w:type="auto"/>
            <w:tcBorders>
              <w:top w:val="single" w:color="000000" w:sz="4" w:space="0"/>
              <w:left w:val="single" w:color="000000" w:sz="4" w:space="0"/>
              <w:bottom w:val="single" w:color="000000" w:sz="4" w:space="0"/>
              <w:right w:val="single" w:color="000000" w:sz="4" w:space="0"/>
            </w:tcBorders>
            <w:vAlign w:val="center"/>
          </w:tcPr>
          <w:p w14:paraId="1F62A43B">
            <w:pPr>
              <w:jc w:val="center"/>
              <w:rPr>
                <w:rFonts w:ascii="Times New Roman" w:hAnsi="Times New Roman" w:eastAsia="宋体" w:cs="Times New Roman"/>
                <w:spacing w:val="10"/>
                <w:sz w:val="21"/>
                <w:szCs w:val="21"/>
              </w:rPr>
            </w:pPr>
            <w:r>
              <w:rPr>
                <w:rFonts w:ascii="Times New Roman" w:hAnsi="Times New Roman" w:eastAsia="宋体" w:cs="Times New Roman"/>
                <w:spacing w:val="10"/>
                <w:sz w:val="21"/>
                <w:szCs w:val="21"/>
              </w:rPr>
              <w:t>有害分解产物</w:t>
            </w:r>
          </w:p>
        </w:tc>
        <w:tc>
          <w:tcPr>
            <w:tcW w:w="0" w:type="auto"/>
            <w:gridSpan w:val="4"/>
            <w:tcBorders>
              <w:top w:val="single" w:color="000000" w:sz="4" w:space="0"/>
              <w:left w:val="single" w:color="000000" w:sz="4" w:space="0"/>
              <w:bottom w:val="single" w:color="000000" w:sz="4" w:space="0"/>
              <w:right w:val="single" w:color="000000" w:sz="4" w:space="0"/>
            </w:tcBorders>
            <w:vAlign w:val="center"/>
          </w:tcPr>
          <w:p w14:paraId="0FE251CD">
            <w:pPr>
              <w:jc w:val="center"/>
              <w:rPr>
                <w:rFonts w:ascii="Times New Roman" w:hAnsi="Times New Roman" w:eastAsia="宋体" w:cs="Times New Roman"/>
                <w:spacing w:val="10"/>
                <w:sz w:val="21"/>
                <w:szCs w:val="21"/>
              </w:rPr>
            </w:pPr>
            <w:r>
              <w:rPr>
                <w:rFonts w:ascii="Times New Roman" w:hAnsi="Times New Roman" w:eastAsia="宋体" w:cs="Times New Roman"/>
                <w:spacing w:val="10"/>
                <w:sz w:val="21"/>
                <w:szCs w:val="21"/>
              </w:rPr>
              <w:t>气体</w:t>
            </w:r>
          </w:p>
        </w:tc>
      </w:tr>
      <w:tr w14:paraId="18F6E9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tcBorders>
              <w:top w:val="single" w:color="000000" w:sz="4" w:space="0"/>
              <w:left w:val="single" w:color="000000" w:sz="4" w:space="0"/>
              <w:bottom w:val="single" w:color="000000" w:sz="4" w:space="0"/>
              <w:right w:val="single" w:color="000000" w:sz="4" w:space="0"/>
            </w:tcBorders>
            <w:vAlign w:val="center"/>
          </w:tcPr>
          <w:p w14:paraId="08ED71E3">
            <w:pPr>
              <w:jc w:val="center"/>
              <w:rPr>
                <w:rFonts w:ascii="Times New Roman" w:hAnsi="Times New Roman" w:eastAsia="宋体" w:cs="Times New Roman"/>
                <w:spacing w:val="10"/>
                <w:sz w:val="21"/>
                <w:szCs w:val="21"/>
              </w:rPr>
            </w:pPr>
            <w:r>
              <w:rPr>
                <w:rFonts w:ascii="Times New Roman" w:hAnsi="Times New Roman" w:eastAsia="宋体" w:cs="Times New Roman"/>
                <w:spacing w:val="10"/>
                <w:sz w:val="21"/>
                <w:szCs w:val="21"/>
              </w:rPr>
              <w:t>急救措施</w:t>
            </w:r>
          </w:p>
        </w:tc>
        <w:tc>
          <w:tcPr>
            <w:tcW w:w="0" w:type="auto"/>
            <w:gridSpan w:val="5"/>
            <w:tcBorders>
              <w:top w:val="single" w:color="000000" w:sz="4" w:space="0"/>
              <w:left w:val="single" w:color="000000" w:sz="4" w:space="0"/>
              <w:bottom w:val="single" w:color="000000" w:sz="4" w:space="0"/>
              <w:right w:val="single" w:color="000000" w:sz="4" w:space="0"/>
            </w:tcBorders>
            <w:vAlign w:val="center"/>
          </w:tcPr>
          <w:p w14:paraId="08B110A9">
            <w:pPr>
              <w:jc w:val="center"/>
              <w:rPr>
                <w:rFonts w:ascii="Times New Roman" w:hAnsi="Times New Roman" w:eastAsia="宋体" w:cs="Times New Roman"/>
                <w:spacing w:val="10"/>
                <w:sz w:val="21"/>
                <w:szCs w:val="21"/>
              </w:rPr>
            </w:pPr>
            <w:r>
              <w:rPr>
                <w:rFonts w:ascii="Times New Roman" w:hAnsi="Times New Roman" w:eastAsia="宋体" w:cs="Times New Roman"/>
                <w:spacing w:val="10"/>
                <w:sz w:val="21"/>
                <w:szCs w:val="21"/>
              </w:rPr>
              <w:t>吸入：应使吸入气体的患者立即脱离污染区，如果发生昏迷等症状，须速送医院诊治。</w:t>
            </w:r>
          </w:p>
        </w:tc>
      </w:tr>
      <w:tr w14:paraId="6DE037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tcBorders>
              <w:top w:val="single" w:color="000000" w:sz="4" w:space="0"/>
              <w:left w:val="single" w:color="000000" w:sz="4" w:space="0"/>
              <w:bottom w:val="single" w:color="000000" w:sz="4" w:space="0"/>
              <w:right w:val="single" w:color="000000" w:sz="4" w:space="0"/>
            </w:tcBorders>
            <w:vAlign w:val="center"/>
          </w:tcPr>
          <w:p w14:paraId="1057EBE9">
            <w:pPr>
              <w:jc w:val="center"/>
              <w:rPr>
                <w:rFonts w:ascii="Times New Roman" w:hAnsi="Times New Roman" w:eastAsia="宋体" w:cs="Times New Roman"/>
                <w:spacing w:val="10"/>
                <w:sz w:val="21"/>
                <w:szCs w:val="21"/>
              </w:rPr>
            </w:pPr>
            <w:r>
              <w:rPr>
                <w:rFonts w:ascii="Times New Roman" w:hAnsi="Times New Roman" w:eastAsia="宋体" w:cs="Times New Roman"/>
                <w:spacing w:val="10"/>
                <w:sz w:val="21"/>
                <w:szCs w:val="21"/>
              </w:rPr>
              <w:t>泄漏处置</w:t>
            </w:r>
          </w:p>
        </w:tc>
        <w:tc>
          <w:tcPr>
            <w:tcW w:w="0" w:type="auto"/>
            <w:gridSpan w:val="5"/>
            <w:tcBorders>
              <w:top w:val="single" w:color="000000" w:sz="4" w:space="0"/>
              <w:left w:val="single" w:color="000000" w:sz="4" w:space="0"/>
              <w:bottom w:val="single" w:color="000000" w:sz="4" w:space="0"/>
              <w:right w:val="single" w:color="000000" w:sz="4" w:space="0"/>
            </w:tcBorders>
            <w:vAlign w:val="center"/>
          </w:tcPr>
          <w:p w14:paraId="42BBE7E7">
            <w:pPr>
              <w:jc w:val="center"/>
              <w:rPr>
                <w:rFonts w:ascii="Times New Roman" w:hAnsi="Times New Roman" w:eastAsia="宋体" w:cs="Times New Roman"/>
                <w:spacing w:val="10"/>
                <w:sz w:val="21"/>
                <w:szCs w:val="21"/>
              </w:rPr>
            </w:pPr>
            <w:r>
              <w:rPr>
                <w:rFonts w:ascii="Times New Roman" w:hAnsi="Times New Roman" w:eastAsia="宋体" w:cs="Times New Roman"/>
                <w:spacing w:val="10"/>
                <w:sz w:val="21"/>
                <w:szCs w:val="21"/>
              </w:rPr>
              <w:t>首先切断一切火源，戴好防毒面具与手套。在泄漏处周围设置雾状水幕。</w:t>
            </w:r>
          </w:p>
        </w:tc>
      </w:tr>
      <w:tr w14:paraId="3B5BB2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tcBorders>
              <w:top w:val="single" w:color="000000" w:sz="4" w:space="0"/>
              <w:left w:val="single" w:color="000000" w:sz="4" w:space="0"/>
              <w:bottom w:val="single" w:color="000000" w:sz="4" w:space="0"/>
              <w:right w:val="single" w:color="000000" w:sz="4" w:space="0"/>
            </w:tcBorders>
            <w:vAlign w:val="center"/>
          </w:tcPr>
          <w:p w14:paraId="5C9B486E">
            <w:pPr>
              <w:jc w:val="center"/>
              <w:rPr>
                <w:rFonts w:ascii="Times New Roman" w:hAnsi="Times New Roman" w:eastAsia="宋体" w:cs="Times New Roman"/>
                <w:spacing w:val="10"/>
                <w:sz w:val="21"/>
                <w:szCs w:val="21"/>
              </w:rPr>
            </w:pPr>
            <w:r>
              <w:rPr>
                <w:rFonts w:ascii="Times New Roman" w:hAnsi="Times New Roman" w:eastAsia="宋体" w:cs="Times New Roman"/>
                <w:spacing w:val="10"/>
                <w:sz w:val="21"/>
                <w:szCs w:val="21"/>
              </w:rPr>
              <w:t>储运注意事项</w:t>
            </w:r>
          </w:p>
        </w:tc>
        <w:tc>
          <w:tcPr>
            <w:tcW w:w="0" w:type="auto"/>
            <w:gridSpan w:val="5"/>
            <w:tcBorders>
              <w:top w:val="single" w:color="000000" w:sz="4" w:space="0"/>
              <w:left w:val="single" w:color="000000" w:sz="4" w:space="0"/>
              <w:bottom w:val="single" w:color="000000" w:sz="4" w:space="0"/>
              <w:right w:val="single" w:color="000000" w:sz="4" w:space="0"/>
            </w:tcBorders>
            <w:vAlign w:val="center"/>
          </w:tcPr>
          <w:p w14:paraId="68838B20">
            <w:pPr>
              <w:jc w:val="center"/>
              <w:rPr>
                <w:rFonts w:ascii="Times New Roman" w:hAnsi="Times New Roman" w:eastAsia="宋体" w:cs="Times New Roman"/>
                <w:spacing w:val="10"/>
                <w:sz w:val="21"/>
                <w:szCs w:val="21"/>
              </w:rPr>
            </w:pPr>
            <w:r>
              <w:rPr>
                <w:rFonts w:ascii="Times New Roman" w:hAnsi="Times New Roman" w:eastAsia="宋体" w:cs="Times New Roman"/>
                <w:spacing w:val="10"/>
                <w:sz w:val="21"/>
                <w:szCs w:val="21"/>
              </w:rPr>
              <w:t>储存注意事项：</w:t>
            </w:r>
            <w:r>
              <w:rPr>
                <w:rFonts w:ascii="Times New Roman" w:hAnsi="Times New Roman" w:eastAsia="宋体" w:cs="Times New Roman"/>
                <w:spacing w:val="10"/>
                <w:sz w:val="21"/>
                <w:szCs w:val="21"/>
              </w:rPr>
              <w:br w:type="textWrapping"/>
            </w:r>
            <w:r>
              <w:rPr>
                <w:rFonts w:ascii="Times New Roman" w:hAnsi="Times New Roman" w:eastAsia="宋体" w:cs="Times New Roman"/>
                <w:spacing w:val="10"/>
                <w:sz w:val="21"/>
                <w:szCs w:val="21"/>
              </w:rPr>
              <w:t>一般用管道煤气方式储运。钢瓶煤气应储存于阴凉、通风的专用仓间。远离热源、火源，防止阳光直射。与氧化剂、氧气、压缩空气隔离储运。平时用肥皂水检查钢瓶是否漏气，搬运时戴好钢瓶安全帽和防震橡皮圈，防止撞击受损。</w:t>
            </w:r>
          </w:p>
        </w:tc>
      </w:tr>
    </w:tbl>
    <w:p w14:paraId="35500C8E">
      <w:pPr>
        <w:pStyle w:val="2"/>
      </w:pPr>
    </w:p>
    <w:p w14:paraId="16C41D72">
      <w:pPr>
        <w:tabs>
          <w:tab w:val="left" w:pos="851"/>
          <w:tab w:val="left" w:pos="1141"/>
          <w:tab w:val="left" w:pos="4335"/>
        </w:tabs>
        <w:jc w:val="center"/>
        <w:rPr>
          <w:rFonts w:ascii="Times New Roman" w:hAnsi="Times New Roman" w:eastAsia="黑体" w:cs="Times New Roman"/>
        </w:rPr>
      </w:pPr>
      <w:r>
        <w:rPr>
          <w:rFonts w:ascii="Times New Roman" w:hAnsi="Times New Roman" w:eastAsia="黑体" w:cs="Times New Roman"/>
        </w:rPr>
        <w:t>表</w:t>
      </w:r>
      <w:r>
        <w:rPr>
          <w:rFonts w:hint="eastAsia" w:ascii="Times New Roman" w:hAnsi="Times New Roman" w:eastAsia="黑体" w:cs="Times New Roman"/>
        </w:rPr>
        <w:t xml:space="preserve">6.1-2   </w:t>
      </w:r>
      <w:r>
        <w:rPr>
          <w:rFonts w:ascii="Times New Roman" w:hAnsi="Times New Roman" w:eastAsia="黑体" w:cs="Times New Roman"/>
        </w:rPr>
        <w:t xml:space="preserve"> </w:t>
      </w:r>
      <w:r>
        <w:rPr>
          <w:rFonts w:hint="eastAsia" w:ascii="Times New Roman" w:hAnsi="Times New Roman" w:eastAsia="黑体" w:cs="Times New Roman"/>
          <w:lang w:val="en-US" w:eastAsia="zh-CN"/>
        </w:rPr>
        <w:t>氨水</w:t>
      </w:r>
      <w:r>
        <w:rPr>
          <w:rFonts w:ascii="Times New Roman" w:hAnsi="Times New Roman" w:eastAsia="黑体" w:cs="Times New Roman"/>
        </w:rPr>
        <w:t>理化、毒理性质</w:t>
      </w:r>
    </w:p>
    <w:tbl>
      <w:tblPr>
        <w:tblStyle w:val="56"/>
        <w:tblW w:w="5000" w:type="pct"/>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69"/>
        <w:gridCol w:w="1131"/>
        <w:gridCol w:w="572"/>
        <w:gridCol w:w="1493"/>
        <w:gridCol w:w="668"/>
        <w:gridCol w:w="1657"/>
        <w:gridCol w:w="2531"/>
      </w:tblGrid>
      <w:tr w14:paraId="078335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restart"/>
            <w:tcBorders>
              <w:top w:val="single" w:color="000000" w:sz="4" w:space="0"/>
              <w:left w:val="single" w:color="000000" w:sz="4" w:space="0"/>
              <w:bottom w:val="single" w:color="000000" w:sz="4" w:space="0"/>
              <w:right w:val="single" w:color="000000" w:sz="4" w:space="0"/>
            </w:tcBorders>
            <w:vAlign w:val="center"/>
          </w:tcPr>
          <w:p w14:paraId="20ABBAF3">
            <w:pPr>
              <w:jc w:val="center"/>
              <w:rPr>
                <w:rFonts w:ascii="Times New Roman" w:hAnsi="Times New Roman" w:eastAsia="宋体" w:cs="Times New Roman"/>
                <w:spacing w:val="10"/>
                <w:sz w:val="21"/>
                <w:szCs w:val="21"/>
              </w:rPr>
            </w:pPr>
            <w:r>
              <w:rPr>
                <w:rFonts w:ascii="Times New Roman" w:hAnsi="Times New Roman" w:eastAsia="宋体" w:cs="Times New Roman"/>
                <w:spacing w:val="10"/>
                <w:sz w:val="21"/>
                <w:szCs w:val="21"/>
              </w:rPr>
              <w:br w:type="textWrapping"/>
            </w:r>
            <w:r>
              <w:rPr>
                <w:rFonts w:ascii="Times New Roman" w:hAnsi="Times New Roman" w:eastAsia="宋体" w:cs="Times New Roman"/>
                <w:spacing w:val="10"/>
                <w:sz w:val="21"/>
                <w:szCs w:val="21"/>
              </w:rPr>
              <w:t>标识</w:t>
            </w:r>
          </w:p>
        </w:tc>
        <w:tc>
          <w:tcPr>
            <w:tcW w:w="0" w:type="auto"/>
            <w:gridSpan w:val="4"/>
            <w:tcBorders>
              <w:top w:val="single" w:color="000000" w:sz="4" w:space="0"/>
              <w:left w:val="single" w:color="000000" w:sz="4" w:space="0"/>
              <w:bottom w:val="single" w:color="000000" w:sz="4" w:space="0"/>
              <w:right w:val="single" w:color="000000" w:sz="4" w:space="0"/>
            </w:tcBorders>
            <w:vAlign w:val="center"/>
          </w:tcPr>
          <w:p w14:paraId="1786082F">
            <w:pPr>
              <w:jc w:val="center"/>
              <w:rPr>
                <w:rFonts w:ascii="Times New Roman" w:hAnsi="Times New Roman" w:eastAsia="宋体" w:cs="Times New Roman"/>
                <w:spacing w:val="10"/>
                <w:sz w:val="21"/>
                <w:szCs w:val="21"/>
              </w:rPr>
            </w:pPr>
            <w:r>
              <w:rPr>
                <w:rFonts w:ascii="Times New Roman" w:hAnsi="Times New Roman" w:eastAsia="宋体" w:cs="Times New Roman"/>
                <w:spacing w:val="10"/>
                <w:sz w:val="21"/>
                <w:szCs w:val="21"/>
              </w:rPr>
              <w:t>中文名：氨溶液〔10％&lt;含氨≤35％〕;氢氧化铵；氨水</w:t>
            </w:r>
          </w:p>
        </w:tc>
        <w:tc>
          <w:tcPr>
            <w:tcW w:w="0" w:type="auto"/>
            <w:gridSpan w:val="2"/>
            <w:tcBorders>
              <w:top w:val="single" w:color="000000" w:sz="4" w:space="0"/>
              <w:left w:val="single" w:color="000000" w:sz="4" w:space="0"/>
              <w:bottom w:val="single" w:color="000000" w:sz="4" w:space="0"/>
              <w:right w:val="single" w:color="000000" w:sz="4" w:space="0"/>
            </w:tcBorders>
            <w:vAlign w:val="center"/>
          </w:tcPr>
          <w:p w14:paraId="1E14CB4E">
            <w:pPr>
              <w:jc w:val="center"/>
              <w:rPr>
                <w:rFonts w:ascii="Times New Roman" w:hAnsi="Times New Roman" w:eastAsia="宋体" w:cs="Times New Roman"/>
                <w:spacing w:val="10"/>
                <w:sz w:val="21"/>
                <w:szCs w:val="21"/>
              </w:rPr>
            </w:pPr>
            <w:r>
              <w:rPr>
                <w:rFonts w:ascii="Times New Roman" w:hAnsi="Times New Roman" w:eastAsia="宋体" w:cs="Times New Roman"/>
                <w:spacing w:val="10"/>
                <w:sz w:val="21"/>
                <w:szCs w:val="21"/>
              </w:rPr>
              <w:t>危险货物编号：82503</w:t>
            </w:r>
          </w:p>
        </w:tc>
      </w:tr>
      <w:tr w14:paraId="68C6F0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655721BB">
            <w:pPr>
              <w:jc w:val="center"/>
              <w:rPr>
                <w:rFonts w:ascii="Times New Roman" w:hAnsi="Times New Roman" w:eastAsia="宋体" w:cs="Times New Roman"/>
                <w:spacing w:val="10"/>
                <w:sz w:val="21"/>
                <w:szCs w:val="21"/>
              </w:rPr>
            </w:pPr>
          </w:p>
        </w:tc>
        <w:tc>
          <w:tcPr>
            <w:tcW w:w="0" w:type="auto"/>
            <w:gridSpan w:val="4"/>
            <w:tcBorders>
              <w:top w:val="single" w:color="000000" w:sz="4" w:space="0"/>
              <w:left w:val="single" w:color="000000" w:sz="4" w:space="0"/>
              <w:bottom w:val="single" w:color="000000" w:sz="4" w:space="0"/>
              <w:right w:val="single" w:color="000000" w:sz="4" w:space="0"/>
            </w:tcBorders>
            <w:vAlign w:val="center"/>
          </w:tcPr>
          <w:p w14:paraId="1E3A415A">
            <w:pPr>
              <w:jc w:val="center"/>
              <w:rPr>
                <w:rFonts w:ascii="Times New Roman" w:hAnsi="Times New Roman" w:eastAsia="宋体" w:cs="Times New Roman"/>
                <w:spacing w:val="10"/>
                <w:sz w:val="21"/>
                <w:szCs w:val="21"/>
              </w:rPr>
            </w:pPr>
            <w:r>
              <w:rPr>
                <w:rFonts w:ascii="Times New Roman" w:hAnsi="Times New Roman" w:eastAsia="宋体" w:cs="Times New Roman"/>
                <w:spacing w:val="10"/>
                <w:sz w:val="21"/>
                <w:szCs w:val="21"/>
              </w:rPr>
              <w:t>英文名:Ammonium hydroxide； Ammonia water</w:t>
            </w:r>
          </w:p>
        </w:tc>
        <w:tc>
          <w:tcPr>
            <w:tcW w:w="0" w:type="auto"/>
            <w:gridSpan w:val="2"/>
            <w:tcBorders>
              <w:top w:val="single" w:color="000000" w:sz="4" w:space="0"/>
              <w:left w:val="single" w:color="000000" w:sz="4" w:space="0"/>
              <w:bottom w:val="single" w:color="000000" w:sz="4" w:space="0"/>
              <w:right w:val="single" w:color="000000" w:sz="4" w:space="0"/>
            </w:tcBorders>
            <w:vAlign w:val="center"/>
          </w:tcPr>
          <w:p w14:paraId="7561C260">
            <w:pPr>
              <w:jc w:val="center"/>
              <w:rPr>
                <w:rFonts w:ascii="Times New Roman" w:hAnsi="Times New Roman" w:eastAsia="宋体" w:cs="Times New Roman"/>
                <w:spacing w:val="10"/>
                <w:sz w:val="21"/>
                <w:szCs w:val="21"/>
              </w:rPr>
            </w:pPr>
            <w:r>
              <w:rPr>
                <w:rFonts w:ascii="Times New Roman" w:hAnsi="Times New Roman" w:eastAsia="宋体" w:cs="Times New Roman"/>
                <w:spacing w:val="10"/>
                <w:sz w:val="21"/>
                <w:szCs w:val="21"/>
              </w:rPr>
              <w:t>UN编号:2672</w:t>
            </w:r>
          </w:p>
        </w:tc>
      </w:tr>
      <w:tr w14:paraId="0A57C2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76B9DA3C">
            <w:pPr>
              <w:jc w:val="center"/>
              <w:rPr>
                <w:rFonts w:ascii="Times New Roman" w:hAnsi="Times New Roman" w:eastAsia="宋体" w:cs="Times New Roman"/>
                <w:spacing w:val="10"/>
                <w:sz w:val="21"/>
                <w:szCs w:val="21"/>
              </w:rPr>
            </w:pPr>
          </w:p>
        </w:tc>
        <w:tc>
          <w:tcPr>
            <w:tcW w:w="0" w:type="auto"/>
            <w:gridSpan w:val="2"/>
            <w:tcBorders>
              <w:top w:val="single" w:color="000000" w:sz="4" w:space="0"/>
              <w:left w:val="single" w:color="000000" w:sz="4" w:space="0"/>
              <w:bottom w:val="single" w:color="000000" w:sz="4" w:space="0"/>
              <w:right w:val="single" w:color="000000" w:sz="4" w:space="0"/>
            </w:tcBorders>
            <w:vAlign w:val="center"/>
          </w:tcPr>
          <w:p w14:paraId="54C2C07D">
            <w:pPr>
              <w:jc w:val="center"/>
              <w:rPr>
                <w:rFonts w:ascii="Times New Roman" w:hAnsi="Times New Roman" w:eastAsia="宋体" w:cs="Times New Roman"/>
                <w:spacing w:val="10"/>
                <w:sz w:val="21"/>
                <w:szCs w:val="21"/>
              </w:rPr>
            </w:pPr>
            <w:r>
              <w:rPr>
                <w:rFonts w:ascii="Times New Roman" w:hAnsi="Times New Roman" w:eastAsia="宋体" w:cs="Times New Roman"/>
                <w:spacing w:val="10"/>
                <w:sz w:val="21"/>
                <w:szCs w:val="21"/>
              </w:rPr>
              <w:t>分子式：NH4OH</w:t>
            </w:r>
          </w:p>
        </w:tc>
        <w:tc>
          <w:tcPr>
            <w:tcW w:w="0" w:type="auto"/>
            <w:gridSpan w:val="2"/>
            <w:tcBorders>
              <w:top w:val="single" w:color="000000" w:sz="4" w:space="0"/>
              <w:left w:val="single" w:color="000000" w:sz="4" w:space="0"/>
              <w:bottom w:val="single" w:color="000000" w:sz="4" w:space="0"/>
              <w:right w:val="single" w:color="000000" w:sz="4" w:space="0"/>
            </w:tcBorders>
            <w:vAlign w:val="center"/>
          </w:tcPr>
          <w:p w14:paraId="6C516806">
            <w:pPr>
              <w:jc w:val="center"/>
              <w:rPr>
                <w:rFonts w:ascii="Times New Roman" w:hAnsi="Times New Roman" w:eastAsia="宋体" w:cs="Times New Roman"/>
                <w:spacing w:val="10"/>
                <w:sz w:val="21"/>
                <w:szCs w:val="21"/>
              </w:rPr>
            </w:pPr>
            <w:r>
              <w:rPr>
                <w:rFonts w:ascii="Times New Roman" w:hAnsi="Times New Roman" w:eastAsia="宋体" w:cs="Times New Roman"/>
                <w:spacing w:val="10"/>
                <w:sz w:val="21"/>
                <w:szCs w:val="21"/>
              </w:rPr>
              <w:t>分子量：35。05</w:t>
            </w:r>
          </w:p>
        </w:tc>
        <w:tc>
          <w:tcPr>
            <w:tcW w:w="2401" w:type="pct"/>
            <w:gridSpan w:val="2"/>
            <w:tcBorders>
              <w:top w:val="single" w:color="000000" w:sz="4" w:space="0"/>
              <w:left w:val="single" w:color="000000" w:sz="4" w:space="0"/>
              <w:bottom w:val="single" w:color="000000" w:sz="4" w:space="0"/>
              <w:right w:val="single" w:color="000000" w:sz="4" w:space="0"/>
            </w:tcBorders>
            <w:vAlign w:val="center"/>
          </w:tcPr>
          <w:p w14:paraId="0A846CA5">
            <w:pPr>
              <w:jc w:val="center"/>
              <w:rPr>
                <w:rFonts w:ascii="Times New Roman" w:hAnsi="Times New Roman" w:eastAsia="宋体" w:cs="Times New Roman"/>
                <w:spacing w:val="10"/>
                <w:sz w:val="21"/>
                <w:szCs w:val="21"/>
              </w:rPr>
            </w:pPr>
            <w:r>
              <w:rPr>
                <w:rFonts w:ascii="Times New Roman" w:hAnsi="Times New Roman" w:eastAsia="宋体" w:cs="Times New Roman"/>
                <w:spacing w:val="10"/>
                <w:sz w:val="21"/>
                <w:szCs w:val="21"/>
              </w:rPr>
              <w:t>CAS号：1336—21—6</w:t>
            </w:r>
          </w:p>
        </w:tc>
      </w:tr>
      <w:tr w14:paraId="7B8D4D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restart"/>
            <w:tcBorders>
              <w:top w:val="single" w:color="000000" w:sz="4" w:space="0"/>
              <w:left w:val="single" w:color="000000" w:sz="4" w:space="0"/>
              <w:bottom w:val="single" w:color="000000" w:sz="4" w:space="0"/>
              <w:right w:val="single" w:color="000000" w:sz="4" w:space="0"/>
            </w:tcBorders>
            <w:vAlign w:val="center"/>
          </w:tcPr>
          <w:p w14:paraId="74DDB53E">
            <w:pPr>
              <w:jc w:val="center"/>
              <w:rPr>
                <w:rFonts w:ascii="Times New Roman" w:hAnsi="Times New Roman" w:eastAsia="宋体" w:cs="Times New Roman"/>
                <w:spacing w:val="10"/>
                <w:sz w:val="21"/>
                <w:szCs w:val="21"/>
              </w:rPr>
            </w:pPr>
            <w:r>
              <w:rPr>
                <w:rFonts w:ascii="Times New Roman" w:hAnsi="Times New Roman" w:eastAsia="宋体" w:cs="Times New Roman"/>
                <w:spacing w:val="10"/>
                <w:sz w:val="21"/>
                <w:szCs w:val="21"/>
              </w:rPr>
              <w:t>理化性质</w:t>
            </w:r>
          </w:p>
        </w:tc>
        <w:tc>
          <w:tcPr>
            <w:tcW w:w="0" w:type="auto"/>
            <w:tcBorders>
              <w:top w:val="single" w:color="000000" w:sz="4" w:space="0"/>
              <w:left w:val="single" w:color="000000" w:sz="4" w:space="0"/>
              <w:bottom w:val="single" w:color="000000" w:sz="4" w:space="0"/>
              <w:right w:val="single" w:color="000000" w:sz="4" w:space="0"/>
            </w:tcBorders>
            <w:vAlign w:val="center"/>
          </w:tcPr>
          <w:p w14:paraId="77B50511">
            <w:pPr>
              <w:jc w:val="center"/>
              <w:rPr>
                <w:rFonts w:ascii="Times New Roman" w:hAnsi="Times New Roman" w:eastAsia="宋体" w:cs="Times New Roman"/>
                <w:spacing w:val="10"/>
                <w:sz w:val="21"/>
                <w:szCs w:val="21"/>
              </w:rPr>
            </w:pPr>
            <w:r>
              <w:rPr>
                <w:rFonts w:ascii="Times New Roman" w:hAnsi="Times New Roman" w:eastAsia="宋体" w:cs="Times New Roman"/>
                <w:spacing w:val="10"/>
                <w:sz w:val="21"/>
                <w:szCs w:val="21"/>
              </w:rPr>
              <w:t>外观与性状</w:t>
            </w:r>
          </w:p>
        </w:tc>
        <w:tc>
          <w:tcPr>
            <w:tcW w:w="3968" w:type="pct"/>
            <w:gridSpan w:val="5"/>
            <w:tcBorders>
              <w:top w:val="single" w:color="000000" w:sz="4" w:space="0"/>
              <w:left w:val="single" w:color="000000" w:sz="4" w:space="0"/>
              <w:bottom w:val="single" w:color="000000" w:sz="4" w:space="0"/>
              <w:right w:val="single" w:color="000000" w:sz="4" w:space="0"/>
            </w:tcBorders>
            <w:vAlign w:val="center"/>
          </w:tcPr>
          <w:p w14:paraId="5F41921E">
            <w:pPr>
              <w:jc w:val="center"/>
              <w:rPr>
                <w:rFonts w:ascii="Times New Roman" w:hAnsi="Times New Roman" w:eastAsia="宋体" w:cs="Times New Roman"/>
                <w:spacing w:val="10"/>
                <w:sz w:val="21"/>
                <w:szCs w:val="21"/>
              </w:rPr>
            </w:pPr>
            <w:r>
              <w:rPr>
                <w:rFonts w:ascii="Times New Roman" w:hAnsi="Times New Roman" w:eastAsia="宋体" w:cs="Times New Roman"/>
                <w:spacing w:val="10"/>
                <w:sz w:val="21"/>
                <w:szCs w:val="21"/>
              </w:rPr>
              <w:t>无色透明液体,有强烈的刺激性臭味。</w:t>
            </w:r>
          </w:p>
        </w:tc>
      </w:tr>
      <w:tr w14:paraId="1E7232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0592C7BD">
            <w:pPr>
              <w:jc w:val="center"/>
              <w:rPr>
                <w:rFonts w:ascii="Times New Roman" w:hAnsi="Times New Roman" w:eastAsia="宋体" w:cs="Times New Roman"/>
                <w:spacing w:val="10"/>
                <w:sz w:val="21"/>
                <w:szCs w:val="21"/>
              </w:rPr>
            </w:pPr>
          </w:p>
        </w:tc>
        <w:tc>
          <w:tcPr>
            <w:tcW w:w="0" w:type="auto"/>
            <w:tcBorders>
              <w:top w:val="single" w:color="000000" w:sz="4" w:space="0"/>
              <w:left w:val="single" w:color="000000" w:sz="4" w:space="0"/>
              <w:bottom w:val="single" w:color="000000" w:sz="4" w:space="0"/>
              <w:right w:val="single" w:color="000000" w:sz="4" w:space="0"/>
            </w:tcBorders>
            <w:vAlign w:val="center"/>
          </w:tcPr>
          <w:p w14:paraId="08F4D796">
            <w:pPr>
              <w:jc w:val="center"/>
              <w:rPr>
                <w:rFonts w:ascii="Times New Roman" w:hAnsi="Times New Roman" w:eastAsia="宋体" w:cs="Times New Roman"/>
                <w:spacing w:val="10"/>
                <w:sz w:val="21"/>
                <w:szCs w:val="21"/>
              </w:rPr>
            </w:pPr>
            <w:r>
              <w:rPr>
                <w:rFonts w:ascii="Times New Roman" w:hAnsi="Times New Roman" w:eastAsia="宋体" w:cs="Times New Roman"/>
                <w:spacing w:val="10"/>
                <w:sz w:val="21"/>
                <w:szCs w:val="21"/>
              </w:rPr>
              <w:t>熔点（℃）</w:t>
            </w:r>
          </w:p>
        </w:tc>
        <w:tc>
          <w:tcPr>
            <w:tcW w:w="0" w:type="auto"/>
            <w:tcBorders>
              <w:top w:val="single" w:color="000000" w:sz="4" w:space="0"/>
              <w:left w:val="single" w:color="000000" w:sz="4" w:space="0"/>
              <w:bottom w:val="single" w:color="000000" w:sz="4" w:space="0"/>
              <w:right w:val="single" w:color="000000" w:sz="4" w:space="0"/>
            </w:tcBorders>
            <w:vAlign w:val="center"/>
          </w:tcPr>
          <w:p w14:paraId="2A89E381">
            <w:pPr>
              <w:jc w:val="center"/>
              <w:rPr>
                <w:rFonts w:ascii="Times New Roman" w:hAnsi="Times New Roman" w:eastAsia="宋体" w:cs="Times New Roman"/>
                <w:spacing w:val="10"/>
                <w:sz w:val="21"/>
                <w:szCs w:val="21"/>
              </w:rPr>
            </w:pPr>
            <w:r>
              <w:rPr>
                <w:rFonts w:ascii="Times New Roman" w:hAnsi="Times New Roman" w:eastAsia="宋体" w:cs="Times New Roman"/>
                <w:spacing w:val="10"/>
                <w:sz w:val="21"/>
                <w:szCs w:val="21"/>
              </w:rPr>
              <w:t>/</w:t>
            </w:r>
          </w:p>
        </w:tc>
        <w:tc>
          <w:tcPr>
            <w:tcW w:w="0" w:type="auto"/>
            <w:tcBorders>
              <w:top w:val="single" w:color="000000" w:sz="4" w:space="0"/>
              <w:left w:val="single" w:color="000000" w:sz="4" w:space="0"/>
              <w:bottom w:val="single" w:color="000000" w:sz="4" w:space="0"/>
              <w:right w:val="single" w:color="000000" w:sz="4" w:space="0"/>
            </w:tcBorders>
            <w:vAlign w:val="center"/>
          </w:tcPr>
          <w:p w14:paraId="338DF1EC">
            <w:pPr>
              <w:jc w:val="center"/>
              <w:rPr>
                <w:rFonts w:ascii="Times New Roman" w:hAnsi="Times New Roman" w:eastAsia="宋体" w:cs="Times New Roman"/>
                <w:spacing w:val="10"/>
                <w:sz w:val="21"/>
                <w:szCs w:val="21"/>
              </w:rPr>
            </w:pPr>
            <w:r>
              <w:rPr>
                <w:rFonts w:ascii="Times New Roman" w:hAnsi="Times New Roman" w:eastAsia="宋体" w:cs="Times New Roman"/>
                <w:spacing w:val="10"/>
                <w:sz w:val="21"/>
                <w:szCs w:val="21"/>
              </w:rPr>
              <w:t>相对密度(水=1)</w:t>
            </w:r>
          </w:p>
        </w:tc>
        <w:tc>
          <w:tcPr>
            <w:tcW w:w="0" w:type="auto"/>
            <w:tcBorders>
              <w:top w:val="single" w:color="000000" w:sz="4" w:space="0"/>
              <w:left w:val="single" w:color="000000" w:sz="4" w:space="0"/>
              <w:bottom w:val="single" w:color="000000" w:sz="4" w:space="0"/>
              <w:right w:val="single" w:color="000000" w:sz="4" w:space="0"/>
            </w:tcBorders>
            <w:vAlign w:val="center"/>
          </w:tcPr>
          <w:p w14:paraId="62A2CDB9">
            <w:pPr>
              <w:jc w:val="center"/>
              <w:rPr>
                <w:rFonts w:ascii="Times New Roman" w:hAnsi="Times New Roman" w:eastAsia="宋体" w:cs="Times New Roman"/>
                <w:spacing w:val="10"/>
                <w:sz w:val="21"/>
                <w:szCs w:val="21"/>
              </w:rPr>
            </w:pPr>
            <w:r>
              <w:rPr>
                <w:rFonts w:ascii="Times New Roman" w:hAnsi="Times New Roman" w:eastAsia="宋体" w:cs="Times New Roman"/>
                <w:spacing w:val="10"/>
                <w:sz w:val="21"/>
                <w:szCs w:val="21"/>
              </w:rPr>
              <w:t>0。91</w:t>
            </w:r>
          </w:p>
        </w:tc>
        <w:tc>
          <w:tcPr>
            <w:tcW w:w="0" w:type="auto"/>
            <w:tcBorders>
              <w:top w:val="single" w:color="000000" w:sz="4" w:space="0"/>
              <w:left w:val="single" w:color="000000" w:sz="4" w:space="0"/>
              <w:bottom w:val="single" w:color="000000" w:sz="4" w:space="0"/>
              <w:right w:val="single" w:color="000000" w:sz="4" w:space="0"/>
            </w:tcBorders>
            <w:vAlign w:val="center"/>
          </w:tcPr>
          <w:p w14:paraId="23A8EC64">
            <w:pPr>
              <w:jc w:val="center"/>
              <w:rPr>
                <w:rFonts w:ascii="Times New Roman" w:hAnsi="Times New Roman" w:eastAsia="宋体" w:cs="Times New Roman"/>
                <w:spacing w:val="10"/>
                <w:sz w:val="21"/>
                <w:szCs w:val="21"/>
              </w:rPr>
            </w:pPr>
            <w:r>
              <w:rPr>
                <w:rFonts w:ascii="Times New Roman" w:hAnsi="Times New Roman" w:eastAsia="宋体" w:cs="Times New Roman"/>
                <w:spacing w:val="10"/>
                <w:sz w:val="21"/>
                <w:szCs w:val="21"/>
              </w:rPr>
              <w:t>相对密度(空气=1)</w:t>
            </w:r>
          </w:p>
        </w:tc>
        <w:tc>
          <w:tcPr>
            <w:tcW w:w="1451" w:type="pct"/>
            <w:tcBorders>
              <w:top w:val="single" w:color="000000" w:sz="4" w:space="0"/>
              <w:left w:val="single" w:color="000000" w:sz="4" w:space="0"/>
              <w:bottom w:val="single" w:color="000000" w:sz="4" w:space="0"/>
              <w:right w:val="single" w:color="000000" w:sz="4" w:space="0"/>
            </w:tcBorders>
            <w:vAlign w:val="center"/>
          </w:tcPr>
          <w:p w14:paraId="653CF322">
            <w:pPr>
              <w:jc w:val="center"/>
              <w:rPr>
                <w:rFonts w:ascii="Times New Roman" w:hAnsi="Times New Roman" w:eastAsia="宋体" w:cs="Times New Roman"/>
                <w:spacing w:val="10"/>
                <w:sz w:val="21"/>
                <w:szCs w:val="21"/>
              </w:rPr>
            </w:pPr>
            <w:r>
              <w:rPr>
                <w:rFonts w:ascii="Times New Roman" w:hAnsi="Times New Roman" w:eastAsia="宋体" w:cs="Times New Roman"/>
                <w:spacing w:val="10"/>
                <w:sz w:val="21"/>
                <w:szCs w:val="21"/>
              </w:rPr>
              <w:t>/</w:t>
            </w:r>
          </w:p>
        </w:tc>
      </w:tr>
      <w:tr w14:paraId="146DEF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384CA274">
            <w:pPr>
              <w:jc w:val="center"/>
              <w:rPr>
                <w:rFonts w:ascii="Times New Roman" w:hAnsi="Times New Roman" w:eastAsia="宋体" w:cs="Times New Roman"/>
                <w:spacing w:val="10"/>
                <w:sz w:val="21"/>
                <w:szCs w:val="21"/>
              </w:rPr>
            </w:pPr>
          </w:p>
        </w:tc>
        <w:tc>
          <w:tcPr>
            <w:tcW w:w="0" w:type="auto"/>
            <w:tcBorders>
              <w:top w:val="single" w:color="000000" w:sz="4" w:space="0"/>
              <w:left w:val="single" w:color="000000" w:sz="4" w:space="0"/>
              <w:bottom w:val="single" w:color="000000" w:sz="4" w:space="0"/>
              <w:right w:val="single" w:color="000000" w:sz="4" w:space="0"/>
            </w:tcBorders>
            <w:vAlign w:val="center"/>
          </w:tcPr>
          <w:p w14:paraId="61D9B866">
            <w:pPr>
              <w:jc w:val="center"/>
              <w:rPr>
                <w:rFonts w:ascii="Times New Roman" w:hAnsi="Times New Roman" w:eastAsia="宋体" w:cs="Times New Roman"/>
                <w:spacing w:val="10"/>
                <w:sz w:val="21"/>
                <w:szCs w:val="21"/>
              </w:rPr>
            </w:pPr>
            <w:r>
              <w:rPr>
                <w:rFonts w:ascii="Times New Roman" w:hAnsi="Times New Roman" w:eastAsia="宋体" w:cs="Times New Roman"/>
                <w:spacing w:val="10"/>
                <w:sz w:val="21"/>
                <w:szCs w:val="21"/>
              </w:rPr>
              <w:t>沸点（℃）</w:t>
            </w:r>
          </w:p>
        </w:tc>
        <w:tc>
          <w:tcPr>
            <w:tcW w:w="0" w:type="auto"/>
            <w:tcBorders>
              <w:top w:val="single" w:color="000000" w:sz="4" w:space="0"/>
              <w:left w:val="single" w:color="000000" w:sz="4" w:space="0"/>
              <w:bottom w:val="single" w:color="000000" w:sz="4" w:space="0"/>
              <w:right w:val="single" w:color="000000" w:sz="4" w:space="0"/>
            </w:tcBorders>
            <w:vAlign w:val="center"/>
          </w:tcPr>
          <w:p w14:paraId="2CD6CEFC">
            <w:pPr>
              <w:jc w:val="center"/>
              <w:rPr>
                <w:rFonts w:ascii="Times New Roman" w:hAnsi="Times New Roman" w:eastAsia="宋体" w:cs="Times New Roman"/>
                <w:spacing w:val="10"/>
                <w:sz w:val="21"/>
                <w:szCs w:val="21"/>
              </w:rPr>
            </w:pPr>
            <w:r>
              <w:rPr>
                <w:rFonts w:ascii="Times New Roman" w:hAnsi="Times New Roman" w:eastAsia="宋体" w:cs="Times New Roman"/>
                <w:spacing w:val="10"/>
                <w:sz w:val="21"/>
                <w:szCs w:val="21"/>
              </w:rPr>
              <w:t>/</w:t>
            </w:r>
          </w:p>
        </w:tc>
        <w:tc>
          <w:tcPr>
            <w:tcW w:w="0" w:type="auto"/>
            <w:gridSpan w:val="2"/>
            <w:tcBorders>
              <w:top w:val="single" w:color="000000" w:sz="4" w:space="0"/>
              <w:left w:val="single" w:color="000000" w:sz="4" w:space="0"/>
              <w:bottom w:val="single" w:color="000000" w:sz="4" w:space="0"/>
              <w:right w:val="single" w:color="000000" w:sz="4" w:space="0"/>
            </w:tcBorders>
            <w:vAlign w:val="center"/>
          </w:tcPr>
          <w:p w14:paraId="5265E36F">
            <w:pPr>
              <w:jc w:val="center"/>
              <w:rPr>
                <w:rFonts w:ascii="Times New Roman" w:hAnsi="Times New Roman" w:eastAsia="宋体" w:cs="Times New Roman"/>
                <w:spacing w:val="10"/>
                <w:sz w:val="21"/>
                <w:szCs w:val="21"/>
              </w:rPr>
            </w:pPr>
            <w:r>
              <w:rPr>
                <w:rFonts w:ascii="Times New Roman" w:hAnsi="Times New Roman" w:eastAsia="宋体" w:cs="Times New Roman"/>
                <w:spacing w:val="10"/>
                <w:sz w:val="21"/>
                <w:szCs w:val="21"/>
              </w:rPr>
              <w:t>饱和蒸气压（kPa）</w:t>
            </w:r>
          </w:p>
        </w:tc>
        <w:tc>
          <w:tcPr>
            <w:tcW w:w="2401" w:type="pct"/>
            <w:gridSpan w:val="2"/>
            <w:tcBorders>
              <w:top w:val="single" w:color="000000" w:sz="4" w:space="0"/>
              <w:left w:val="single" w:color="000000" w:sz="4" w:space="0"/>
              <w:bottom w:val="single" w:color="000000" w:sz="4" w:space="0"/>
              <w:right w:val="single" w:color="000000" w:sz="4" w:space="0"/>
            </w:tcBorders>
            <w:vAlign w:val="center"/>
          </w:tcPr>
          <w:p w14:paraId="0A5C255D">
            <w:pPr>
              <w:jc w:val="center"/>
              <w:rPr>
                <w:rFonts w:ascii="Times New Roman" w:hAnsi="Times New Roman" w:eastAsia="宋体" w:cs="Times New Roman"/>
                <w:spacing w:val="10"/>
                <w:sz w:val="21"/>
                <w:szCs w:val="21"/>
              </w:rPr>
            </w:pPr>
            <w:r>
              <w:rPr>
                <w:rFonts w:ascii="Times New Roman" w:hAnsi="Times New Roman" w:eastAsia="宋体" w:cs="Times New Roman"/>
                <w:spacing w:val="10"/>
                <w:sz w:val="21"/>
                <w:szCs w:val="21"/>
              </w:rPr>
              <w:t>1。59/20℃</w:t>
            </w:r>
          </w:p>
        </w:tc>
      </w:tr>
      <w:tr w14:paraId="0DCDA1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5847F556">
            <w:pPr>
              <w:jc w:val="center"/>
              <w:rPr>
                <w:rFonts w:ascii="Times New Roman" w:hAnsi="Times New Roman" w:eastAsia="宋体" w:cs="Times New Roman"/>
                <w:spacing w:val="10"/>
                <w:sz w:val="21"/>
                <w:szCs w:val="21"/>
              </w:rPr>
            </w:pPr>
          </w:p>
        </w:tc>
        <w:tc>
          <w:tcPr>
            <w:tcW w:w="0" w:type="auto"/>
            <w:tcBorders>
              <w:top w:val="single" w:color="000000" w:sz="4" w:space="0"/>
              <w:left w:val="single" w:color="000000" w:sz="4" w:space="0"/>
              <w:bottom w:val="single" w:color="000000" w:sz="4" w:space="0"/>
              <w:right w:val="single" w:color="000000" w:sz="4" w:space="0"/>
            </w:tcBorders>
            <w:vAlign w:val="center"/>
          </w:tcPr>
          <w:p w14:paraId="47E2FE06">
            <w:pPr>
              <w:jc w:val="center"/>
              <w:rPr>
                <w:rFonts w:ascii="Times New Roman" w:hAnsi="Times New Roman" w:eastAsia="宋体" w:cs="Times New Roman"/>
                <w:spacing w:val="10"/>
                <w:sz w:val="21"/>
                <w:szCs w:val="21"/>
              </w:rPr>
            </w:pPr>
            <w:r>
              <w:rPr>
                <w:rFonts w:ascii="Times New Roman" w:hAnsi="Times New Roman" w:eastAsia="宋体" w:cs="Times New Roman"/>
                <w:spacing w:val="10"/>
                <w:sz w:val="21"/>
                <w:szCs w:val="21"/>
              </w:rPr>
              <w:t>溶解性</w:t>
            </w:r>
          </w:p>
        </w:tc>
        <w:tc>
          <w:tcPr>
            <w:tcW w:w="3968" w:type="pct"/>
            <w:gridSpan w:val="5"/>
            <w:tcBorders>
              <w:top w:val="single" w:color="000000" w:sz="4" w:space="0"/>
              <w:left w:val="single" w:color="000000" w:sz="4" w:space="0"/>
              <w:bottom w:val="single" w:color="000000" w:sz="4" w:space="0"/>
              <w:right w:val="single" w:color="000000" w:sz="4" w:space="0"/>
            </w:tcBorders>
            <w:vAlign w:val="center"/>
          </w:tcPr>
          <w:p w14:paraId="28730786">
            <w:pPr>
              <w:jc w:val="center"/>
              <w:rPr>
                <w:rFonts w:ascii="Times New Roman" w:hAnsi="Times New Roman" w:eastAsia="宋体" w:cs="Times New Roman"/>
                <w:spacing w:val="10"/>
                <w:sz w:val="21"/>
                <w:szCs w:val="21"/>
              </w:rPr>
            </w:pPr>
            <w:r>
              <w:rPr>
                <w:rFonts w:ascii="Times New Roman" w:hAnsi="Times New Roman" w:eastAsia="宋体" w:cs="Times New Roman"/>
                <w:spacing w:val="10"/>
                <w:sz w:val="21"/>
                <w:szCs w:val="21"/>
              </w:rPr>
              <w:t>溶于水、醇。</w:t>
            </w:r>
          </w:p>
        </w:tc>
      </w:tr>
      <w:tr w14:paraId="5FFB00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restart"/>
            <w:tcBorders>
              <w:top w:val="single" w:color="000000" w:sz="4" w:space="0"/>
              <w:left w:val="single" w:color="000000" w:sz="4" w:space="0"/>
              <w:bottom w:val="single" w:color="000000" w:sz="4" w:space="0"/>
              <w:right w:val="single" w:color="000000" w:sz="4" w:space="0"/>
            </w:tcBorders>
            <w:vAlign w:val="center"/>
          </w:tcPr>
          <w:p w14:paraId="3F112FD2">
            <w:pPr>
              <w:jc w:val="center"/>
              <w:rPr>
                <w:rFonts w:ascii="Times New Roman" w:hAnsi="Times New Roman" w:eastAsia="宋体" w:cs="Times New Roman"/>
                <w:spacing w:val="10"/>
                <w:sz w:val="21"/>
                <w:szCs w:val="21"/>
              </w:rPr>
            </w:pPr>
            <w:r>
              <w:rPr>
                <w:rFonts w:ascii="Times New Roman" w:hAnsi="Times New Roman" w:eastAsia="宋体" w:cs="Times New Roman"/>
                <w:spacing w:val="10"/>
                <w:sz w:val="21"/>
                <w:szCs w:val="21"/>
              </w:rPr>
              <w:t>毒性及健康危害</w:t>
            </w:r>
          </w:p>
        </w:tc>
        <w:tc>
          <w:tcPr>
            <w:tcW w:w="0" w:type="auto"/>
            <w:tcBorders>
              <w:top w:val="single" w:color="000000" w:sz="4" w:space="0"/>
              <w:left w:val="single" w:color="000000" w:sz="4" w:space="0"/>
              <w:bottom w:val="single" w:color="000000" w:sz="4" w:space="0"/>
              <w:right w:val="single" w:color="000000" w:sz="4" w:space="0"/>
            </w:tcBorders>
            <w:vAlign w:val="center"/>
          </w:tcPr>
          <w:p w14:paraId="2C55C788">
            <w:pPr>
              <w:jc w:val="center"/>
              <w:rPr>
                <w:rFonts w:ascii="Times New Roman" w:hAnsi="Times New Roman" w:eastAsia="宋体" w:cs="Times New Roman"/>
                <w:spacing w:val="10"/>
                <w:sz w:val="21"/>
                <w:szCs w:val="21"/>
              </w:rPr>
            </w:pPr>
            <w:r>
              <w:rPr>
                <w:rFonts w:ascii="Times New Roman" w:hAnsi="Times New Roman" w:eastAsia="宋体" w:cs="Times New Roman"/>
                <w:spacing w:val="10"/>
                <w:sz w:val="21"/>
                <w:szCs w:val="21"/>
              </w:rPr>
              <w:t>侵入途径</w:t>
            </w:r>
          </w:p>
        </w:tc>
        <w:tc>
          <w:tcPr>
            <w:tcW w:w="3968" w:type="pct"/>
            <w:gridSpan w:val="5"/>
            <w:tcBorders>
              <w:top w:val="single" w:color="000000" w:sz="4" w:space="0"/>
              <w:left w:val="single" w:color="000000" w:sz="4" w:space="0"/>
              <w:bottom w:val="single" w:color="000000" w:sz="4" w:space="0"/>
              <w:right w:val="single" w:color="000000" w:sz="4" w:space="0"/>
            </w:tcBorders>
            <w:vAlign w:val="center"/>
          </w:tcPr>
          <w:p w14:paraId="4EB11930">
            <w:pPr>
              <w:jc w:val="center"/>
              <w:rPr>
                <w:rFonts w:ascii="Times New Roman" w:hAnsi="Times New Roman" w:eastAsia="宋体" w:cs="Times New Roman"/>
                <w:spacing w:val="10"/>
                <w:sz w:val="21"/>
                <w:szCs w:val="21"/>
              </w:rPr>
            </w:pPr>
            <w:r>
              <w:rPr>
                <w:rFonts w:ascii="Times New Roman" w:hAnsi="Times New Roman" w:eastAsia="宋体" w:cs="Times New Roman"/>
                <w:spacing w:val="10"/>
                <w:sz w:val="21"/>
                <w:szCs w:val="21"/>
              </w:rPr>
              <w:t>吸入、食入、经皮吸收。</w:t>
            </w:r>
          </w:p>
        </w:tc>
      </w:tr>
      <w:tr w14:paraId="64668D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55C203EB">
            <w:pPr>
              <w:jc w:val="center"/>
              <w:rPr>
                <w:rFonts w:ascii="Times New Roman" w:hAnsi="Times New Roman" w:eastAsia="宋体" w:cs="Times New Roman"/>
                <w:spacing w:val="10"/>
                <w:sz w:val="21"/>
                <w:szCs w:val="21"/>
              </w:rPr>
            </w:pPr>
          </w:p>
        </w:tc>
        <w:tc>
          <w:tcPr>
            <w:tcW w:w="0" w:type="auto"/>
            <w:tcBorders>
              <w:top w:val="single" w:color="000000" w:sz="4" w:space="0"/>
              <w:left w:val="single" w:color="000000" w:sz="4" w:space="0"/>
              <w:bottom w:val="single" w:color="000000" w:sz="4" w:space="0"/>
              <w:right w:val="single" w:color="000000" w:sz="4" w:space="0"/>
            </w:tcBorders>
            <w:vAlign w:val="center"/>
          </w:tcPr>
          <w:p w14:paraId="3B1AF28E">
            <w:pPr>
              <w:jc w:val="center"/>
              <w:rPr>
                <w:rFonts w:ascii="Times New Roman" w:hAnsi="Times New Roman" w:eastAsia="宋体" w:cs="Times New Roman"/>
                <w:spacing w:val="10"/>
                <w:sz w:val="21"/>
                <w:szCs w:val="21"/>
              </w:rPr>
            </w:pPr>
            <w:r>
              <w:rPr>
                <w:rFonts w:ascii="Times New Roman" w:hAnsi="Times New Roman" w:eastAsia="宋体" w:cs="Times New Roman"/>
                <w:spacing w:val="10"/>
                <w:sz w:val="21"/>
                <w:szCs w:val="21"/>
              </w:rPr>
              <w:t>毒性</w:t>
            </w:r>
          </w:p>
        </w:tc>
        <w:tc>
          <w:tcPr>
            <w:tcW w:w="3968" w:type="pct"/>
            <w:gridSpan w:val="5"/>
            <w:tcBorders>
              <w:top w:val="single" w:color="000000" w:sz="4" w:space="0"/>
              <w:left w:val="single" w:color="000000" w:sz="4" w:space="0"/>
              <w:bottom w:val="single" w:color="000000" w:sz="4" w:space="0"/>
              <w:right w:val="single" w:color="000000" w:sz="4" w:space="0"/>
            </w:tcBorders>
            <w:vAlign w:val="center"/>
          </w:tcPr>
          <w:p w14:paraId="56992CB3">
            <w:pPr>
              <w:jc w:val="center"/>
              <w:rPr>
                <w:rFonts w:ascii="Times New Roman" w:hAnsi="Times New Roman" w:eastAsia="宋体" w:cs="Times New Roman"/>
                <w:spacing w:val="10"/>
                <w:sz w:val="21"/>
                <w:szCs w:val="21"/>
              </w:rPr>
            </w:pPr>
            <w:r>
              <w:rPr>
                <w:rFonts w:ascii="Times New Roman" w:hAnsi="Times New Roman" w:eastAsia="宋体" w:cs="Times New Roman"/>
                <w:spacing w:val="10"/>
                <w:sz w:val="21"/>
                <w:szCs w:val="21"/>
              </w:rPr>
              <w:t>LD50：350mg/kg（大鼠经口）</w:t>
            </w:r>
            <w:r>
              <w:rPr>
                <w:rFonts w:ascii="Times New Roman" w:hAnsi="Times New Roman" w:eastAsia="宋体" w:cs="Times New Roman"/>
                <w:spacing w:val="10"/>
                <w:sz w:val="21"/>
                <w:szCs w:val="21"/>
              </w:rPr>
              <w:br w:type="textWrapping"/>
            </w:r>
            <w:r>
              <w:rPr>
                <w:rFonts w:ascii="Times New Roman" w:hAnsi="Times New Roman" w:eastAsia="宋体" w:cs="Times New Roman"/>
                <w:spacing w:val="10"/>
                <w:sz w:val="21"/>
                <w:szCs w:val="21"/>
              </w:rPr>
              <w:t>LC50：</w:t>
            </w:r>
          </w:p>
        </w:tc>
      </w:tr>
      <w:tr w14:paraId="1956E2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1103F2AC">
            <w:pPr>
              <w:jc w:val="center"/>
              <w:rPr>
                <w:rFonts w:ascii="Times New Roman" w:hAnsi="Times New Roman" w:eastAsia="宋体" w:cs="Times New Roman"/>
                <w:spacing w:val="10"/>
                <w:sz w:val="21"/>
                <w:szCs w:val="21"/>
              </w:rPr>
            </w:pPr>
          </w:p>
        </w:tc>
        <w:tc>
          <w:tcPr>
            <w:tcW w:w="0" w:type="auto"/>
            <w:tcBorders>
              <w:top w:val="single" w:color="000000" w:sz="4" w:space="0"/>
              <w:left w:val="single" w:color="000000" w:sz="4" w:space="0"/>
              <w:bottom w:val="single" w:color="000000" w:sz="4" w:space="0"/>
              <w:right w:val="single" w:color="000000" w:sz="4" w:space="0"/>
            </w:tcBorders>
            <w:vAlign w:val="center"/>
          </w:tcPr>
          <w:p w14:paraId="511397DE">
            <w:pPr>
              <w:jc w:val="center"/>
              <w:rPr>
                <w:rFonts w:ascii="Times New Roman" w:hAnsi="Times New Roman" w:eastAsia="宋体" w:cs="Times New Roman"/>
                <w:spacing w:val="10"/>
                <w:sz w:val="21"/>
                <w:szCs w:val="21"/>
              </w:rPr>
            </w:pPr>
            <w:r>
              <w:rPr>
                <w:rFonts w:ascii="Times New Roman" w:hAnsi="Times New Roman" w:eastAsia="宋体" w:cs="Times New Roman"/>
                <w:spacing w:val="10"/>
                <w:sz w:val="21"/>
                <w:szCs w:val="21"/>
              </w:rPr>
              <w:t>健康危害</w:t>
            </w:r>
          </w:p>
        </w:tc>
        <w:tc>
          <w:tcPr>
            <w:tcW w:w="3968" w:type="pct"/>
            <w:gridSpan w:val="5"/>
            <w:tcBorders>
              <w:top w:val="single" w:color="000000" w:sz="4" w:space="0"/>
              <w:left w:val="single" w:color="000000" w:sz="4" w:space="0"/>
              <w:bottom w:val="single" w:color="000000" w:sz="4" w:space="0"/>
              <w:right w:val="single" w:color="000000" w:sz="4" w:space="0"/>
            </w:tcBorders>
            <w:vAlign w:val="center"/>
          </w:tcPr>
          <w:p w14:paraId="6D0F27B3">
            <w:pPr>
              <w:jc w:val="center"/>
              <w:rPr>
                <w:rFonts w:ascii="Times New Roman" w:hAnsi="Times New Roman" w:eastAsia="宋体" w:cs="Times New Roman"/>
                <w:spacing w:val="10"/>
                <w:sz w:val="21"/>
                <w:szCs w:val="21"/>
              </w:rPr>
            </w:pPr>
            <w:r>
              <w:rPr>
                <w:rFonts w:ascii="Times New Roman" w:hAnsi="Times New Roman" w:eastAsia="宋体" w:cs="Times New Roman"/>
                <w:spacing w:val="10"/>
                <w:sz w:val="21"/>
                <w:szCs w:val="21"/>
              </w:rPr>
              <w:t>吸入后对鼻、喉和肺有刺激性引起咳嗽、气短和哮喘等；可因喉头水肿而窒息死亡；可发生肺水肿，引起死亡。氨水溅入眼内，可造成严重损害，甚至导致失明；皮肤接触可致灼伤.慢性影响：反复低浓度接触,可引起支气管炎.皮肤反复接触，可致皮炎,表现为皮肤干燥、痒、发红.</w:t>
            </w:r>
          </w:p>
        </w:tc>
      </w:tr>
      <w:tr w14:paraId="146043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1B1089CB">
            <w:pPr>
              <w:jc w:val="center"/>
              <w:rPr>
                <w:rFonts w:ascii="Times New Roman" w:hAnsi="Times New Roman" w:eastAsia="宋体" w:cs="Times New Roman"/>
                <w:spacing w:val="10"/>
                <w:sz w:val="21"/>
                <w:szCs w:val="21"/>
              </w:rPr>
            </w:pPr>
          </w:p>
        </w:tc>
        <w:tc>
          <w:tcPr>
            <w:tcW w:w="0" w:type="auto"/>
            <w:tcBorders>
              <w:top w:val="single" w:color="000000" w:sz="4" w:space="0"/>
              <w:left w:val="single" w:color="000000" w:sz="4" w:space="0"/>
              <w:bottom w:val="single" w:color="000000" w:sz="4" w:space="0"/>
              <w:right w:val="single" w:color="000000" w:sz="4" w:space="0"/>
            </w:tcBorders>
            <w:vAlign w:val="center"/>
          </w:tcPr>
          <w:p w14:paraId="7E78BFFA">
            <w:pPr>
              <w:jc w:val="center"/>
              <w:rPr>
                <w:rFonts w:ascii="Times New Roman" w:hAnsi="Times New Roman" w:eastAsia="宋体" w:cs="Times New Roman"/>
                <w:spacing w:val="10"/>
                <w:sz w:val="21"/>
                <w:szCs w:val="21"/>
              </w:rPr>
            </w:pPr>
            <w:r>
              <w:rPr>
                <w:rFonts w:ascii="Times New Roman" w:hAnsi="Times New Roman" w:eastAsia="宋体" w:cs="Times New Roman"/>
                <w:spacing w:val="10"/>
                <w:sz w:val="21"/>
                <w:szCs w:val="21"/>
              </w:rPr>
              <w:t>急救方法</w:t>
            </w:r>
          </w:p>
        </w:tc>
        <w:tc>
          <w:tcPr>
            <w:tcW w:w="3968" w:type="pct"/>
            <w:gridSpan w:val="5"/>
            <w:tcBorders>
              <w:top w:val="single" w:color="000000" w:sz="4" w:space="0"/>
              <w:left w:val="single" w:color="000000" w:sz="4" w:space="0"/>
              <w:bottom w:val="single" w:color="000000" w:sz="4" w:space="0"/>
              <w:right w:val="single" w:color="000000" w:sz="4" w:space="0"/>
            </w:tcBorders>
            <w:vAlign w:val="center"/>
          </w:tcPr>
          <w:p w14:paraId="7DD6560C">
            <w:pPr>
              <w:jc w:val="center"/>
              <w:rPr>
                <w:rFonts w:ascii="Times New Roman" w:hAnsi="Times New Roman" w:eastAsia="宋体" w:cs="Times New Roman"/>
                <w:spacing w:val="10"/>
                <w:sz w:val="21"/>
                <w:szCs w:val="21"/>
              </w:rPr>
            </w:pPr>
            <w:r>
              <w:rPr>
                <w:rFonts w:ascii="Times New Roman" w:hAnsi="Times New Roman" w:eastAsia="宋体" w:cs="Times New Roman"/>
                <w:spacing w:val="10"/>
                <w:sz w:val="21"/>
                <w:szCs w:val="21"/>
              </w:rPr>
              <w:t>皮肤接触：立即用水冲洗至少15分钟.若有灼伤,就医治疗。眼睛接触：立即提起眼睑,用流动清水或生理盐水冲洗至少15分钟。或用3％硼酸溶液冲洗。立即就医.吸入：迅速脱离现场至空气新鲜处。保持呼吸道通畅.呼吸困难时给输氧。呼吸停止时，立即进行人工呼吸。就医。食入:误服者立即漱口，口服稀释的醋或柠檬汁，就医。</w:t>
            </w:r>
          </w:p>
        </w:tc>
      </w:tr>
      <w:tr w14:paraId="5BD872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restart"/>
            <w:tcBorders>
              <w:top w:val="single" w:color="000000" w:sz="4" w:space="0"/>
              <w:left w:val="single" w:color="000000" w:sz="4" w:space="0"/>
              <w:bottom w:val="single" w:color="000000" w:sz="4" w:space="0"/>
              <w:right w:val="single" w:color="000000" w:sz="4" w:space="0"/>
            </w:tcBorders>
            <w:vAlign w:val="center"/>
          </w:tcPr>
          <w:p w14:paraId="59A5F830">
            <w:pPr>
              <w:jc w:val="center"/>
              <w:rPr>
                <w:rFonts w:ascii="Times New Roman" w:hAnsi="Times New Roman" w:eastAsia="宋体" w:cs="Times New Roman"/>
                <w:spacing w:val="10"/>
                <w:sz w:val="21"/>
                <w:szCs w:val="21"/>
              </w:rPr>
            </w:pPr>
            <w:r>
              <w:rPr>
                <w:rFonts w:ascii="Times New Roman" w:hAnsi="Times New Roman" w:eastAsia="宋体" w:cs="Times New Roman"/>
                <w:spacing w:val="10"/>
                <w:sz w:val="21"/>
                <w:szCs w:val="21"/>
              </w:rPr>
              <w:t>燃爆危险性</w:t>
            </w:r>
          </w:p>
        </w:tc>
        <w:tc>
          <w:tcPr>
            <w:tcW w:w="0" w:type="auto"/>
            <w:tcBorders>
              <w:top w:val="single" w:color="000000" w:sz="4" w:space="0"/>
              <w:left w:val="single" w:color="000000" w:sz="4" w:space="0"/>
              <w:bottom w:val="single" w:color="000000" w:sz="4" w:space="0"/>
              <w:right w:val="single" w:color="000000" w:sz="4" w:space="0"/>
            </w:tcBorders>
            <w:vAlign w:val="center"/>
          </w:tcPr>
          <w:p w14:paraId="6B7D2E69">
            <w:pPr>
              <w:jc w:val="center"/>
              <w:rPr>
                <w:rFonts w:ascii="Times New Roman" w:hAnsi="Times New Roman" w:eastAsia="宋体" w:cs="Times New Roman"/>
                <w:spacing w:val="10"/>
                <w:sz w:val="21"/>
                <w:szCs w:val="21"/>
              </w:rPr>
            </w:pPr>
            <w:r>
              <w:rPr>
                <w:rFonts w:ascii="Times New Roman" w:hAnsi="Times New Roman" w:eastAsia="宋体" w:cs="Times New Roman"/>
                <w:spacing w:val="10"/>
                <w:sz w:val="21"/>
                <w:szCs w:val="21"/>
              </w:rPr>
              <w:t>燃烧性</w:t>
            </w:r>
          </w:p>
        </w:tc>
        <w:tc>
          <w:tcPr>
            <w:tcW w:w="0" w:type="auto"/>
            <w:tcBorders>
              <w:top w:val="single" w:color="000000" w:sz="4" w:space="0"/>
              <w:left w:val="single" w:color="000000" w:sz="4" w:space="0"/>
              <w:bottom w:val="single" w:color="000000" w:sz="4" w:space="0"/>
              <w:right w:val="single" w:color="000000" w:sz="4" w:space="0"/>
            </w:tcBorders>
            <w:vAlign w:val="center"/>
          </w:tcPr>
          <w:p w14:paraId="17941111">
            <w:pPr>
              <w:jc w:val="center"/>
              <w:rPr>
                <w:rFonts w:ascii="Times New Roman" w:hAnsi="Times New Roman" w:eastAsia="宋体" w:cs="Times New Roman"/>
                <w:spacing w:val="10"/>
                <w:sz w:val="21"/>
                <w:szCs w:val="21"/>
              </w:rPr>
            </w:pPr>
            <w:r>
              <w:rPr>
                <w:rFonts w:ascii="Times New Roman" w:hAnsi="Times New Roman" w:eastAsia="宋体" w:cs="Times New Roman"/>
                <w:spacing w:val="10"/>
                <w:sz w:val="21"/>
                <w:szCs w:val="21"/>
              </w:rPr>
              <w:t>可燃</w:t>
            </w:r>
          </w:p>
        </w:tc>
        <w:tc>
          <w:tcPr>
            <w:tcW w:w="0" w:type="auto"/>
            <w:gridSpan w:val="2"/>
            <w:tcBorders>
              <w:top w:val="single" w:color="000000" w:sz="4" w:space="0"/>
              <w:left w:val="single" w:color="000000" w:sz="4" w:space="0"/>
              <w:bottom w:val="single" w:color="000000" w:sz="4" w:space="0"/>
              <w:right w:val="single" w:color="000000" w:sz="4" w:space="0"/>
            </w:tcBorders>
            <w:vAlign w:val="center"/>
          </w:tcPr>
          <w:p w14:paraId="4E1E9AAC">
            <w:pPr>
              <w:jc w:val="center"/>
              <w:rPr>
                <w:rFonts w:ascii="Times New Roman" w:hAnsi="Times New Roman" w:eastAsia="宋体" w:cs="Times New Roman"/>
                <w:spacing w:val="10"/>
                <w:sz w:val="21"/>
                <w:szCs w:val="21"/>
              </w:rPr>
            </w:pPr>
            <w:r>
              <w:rPr>
                <w:rFonts w:ascii="Times New Roman" w:hAnsi="Times New Roman" w:eastAsia="宋体" w:cs="Times New Roman"/>
                <w:spacing w:val="10"/>
                <w:sz w:val="21"/>
                <w:szCs w:val="21"/>
              </w:rPr>
              <w:t>燃烧分解物</w:t>
            </w:r>
          </w:p>
        </w:tc>
        <w:tc>
          <w:tcPr>
            <w:tcW w:w="2401" w:type="pct"/>
            <w:gridSpan w:val="2"/>
            <w:tcBorders>
              <w:top w:val="single" w:color="000000" w:sz="4" w:space="0"/>
              <w:left w:val="single" w:color="000000" w:sz="4" w:space="0"/>
              <w:bottom w:val="single" w:color="000000" w:sz="4" w:space="0"/>
              <w:right w:val="single" w:color="000000" w:sz="4" w:space="0"/>
            </w:tcBorders>
            <w:vAlign w:val="center"/>
          </w:tcPr>
          <w:p w14:paraId="278157DF">
            <w:pPr>
              <w:jc w:val="center"/>
              <w:rPr>
                <w:rFonts w:ascii="Times New Roman" w:hAnsi="Times New Roman" w:eastAsia="宋体" w:cs="Times New Roman"/>
                <w:spacing w:val="10"/>
                <w:sz w:val="21"/>
                <w:szCs w:val="21"/>
              </w:rPr>
            </w:pPr>
            <w:r>
              <w:rPr>
                <w:rFonts w:ascii="Times New Roman" w:hAnsi="Times New Roman" w:eastAsia="宋体" w:cs="Times New Roman"/>
                <w:spacing w:val="10"/>
                <w:sz w:val="21"/>
                <w:szCs w:val="21"/>
              </w:rPr>
              <w:t>氨。</w:t>
            </w:r>
          </w:p>
        </w:tc>
      </w:tr>
      <w:tr w14:paraId="432564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6A996DBA">
            <w:pPr>
              <w:jc w:val="center"/>
              <w:rPr>
                <w:rFonts w:ascii="Times New Roman" w:hAnsi="Times New Roman" w:eastAsia="宋体" w:cs="Times New Roman"/>
                <w:spacing w:val="10"/>
                <w:sz w:val="21"/>
                <w:szCs w:val="21"/>
              </w:rPr>
            </w:pPr>
          </w:p>
        </w:tc>
        <w:tc>
          <w:tcPr>
            <w:tcW w:w="0" w:type="auto"/>
            <w:tcBorders>
              <w:top w:val="single" w:color="000000" w:sz="4" w:space="0"/>
              <w:left w:val="single" w:color="000000" w:sz="4" w:space="0"/>
              <w:bottom w:val="single" w:color="000000" w:sz="4" w:space="0"/>
              <w:right w:val="single" w:color="000000" w:sz="4" w:space="0"/>
            </w:tcBorders>
            <w:vAlign w:val="center"/>
          </w:tcPr>
          <w:p w14:paraId="024EF308">
            <w:pPr>
              <w:jc w:val="center"/>
              <w:rPr>
                <w:rFonts w:ascii="Times New Roman" w:hAnsi="Times New Roman" w:eastAsia="宋体" w:cs="Times New Roman"/>
                <w:spacing w:val="10"/>
                <w:sz w:val="21"/>
                <w:szCs w:val="21"/>
              </w:rPr>
            </w:pPr>
            <w:r>
              <w:rPr>
                <w:rFonts w:ascii="Times New Roman" w:hAnsi="Times New Roman" w:eastAsia="宋体" w:cs="Times New Roman"/>
                <w:spacing w:val="10"/>
                <w:sz w:val="21"/>
                <w:szCs w:val="21"/>
              </w:rPr>
              <w:t>闪点（℃）</w:t>
            </w:r>
          </w:p>
        </w:tc>
        <w:tc>
          <w:tcPr>
            <w:tcW w:w="0" w:type="auto"/>
            <w:tcBorders>
              <w:top w:val="single" w:color="000000" w:sz="4" w:space="0"/>
              <w:left w:val="single" w:color="000000" w:sz="4" w:space="0"/>
              <w:bottom w:val="single" w:color="000000" w:sz="4" w:space="0"/>
              <w:right w:val="single" w:color="000000" w:sz="4" w:space="0"/>
            </w:tcBorders>
            <w:vAlign w:val="center"/>
          </w:tcPr>
          <w:p w14:paraId="3AE96F6B">
            <w:pPr>
              <w:jc w:val="center"/>
              <w:rPr>
                <w:rFonts w:ascii="Times New Roman" w:hAnsi="Times New Roman" w:eastAsia="宋体" w:cs="Times New Roman"/>
                <w:spacing w:val="10"/>
                <w:sz w:val="21"/>
                <w:szCs w:val="21"/>
              </w:rPr>
            </w:pPr>
            <w:r>
              <w:rPr>
                <w:rFonts w:ascii="Times New Roman" w:hAnsi="Times New Roman" w:eastAsia="宋体" w:cs="Times New Roman"/>
                <w:spacing w:val="10"/>
                <w:sz w:val="21"/>
                <w:szCs w:val="21"/>
              </w:rPr>
              <w:t>/</w:t>
            </w:r>
          </w:p>
        </w:tc>
        <w:tc>
          <w:tcPr>
            <w:tcW w:w="0" w:type="auto"/>
            <w:gridSpan w:val="2"/>
            <w:tcBorders>
              <w:top w:val="single" w:color="000000" w:sz="4" w:space="0"/>
              <w:left w:val="single" w:color="000000" w:sz="4" w:space="0"/>
              <w:bottom w:val="single" w:color="000000" w:sz="4" w:space="0"/>
              <w:right w:val="single" w:color="000000" w:sz="4" w:space="0"/>
            </w:tcBorders>
            <w:vAlign w:val="center"/>
          </w:tcPr>
          <w:p w14:paraId="18A207BB">
            <w:pPr>
              <w:jc w:val="center"/>
              <w:rPr>
                <w:rFonts w:ascii="Times New Roman" w:hAnsi="Times New Roman" w:eastAsia="宋体" w:cs="Times New Roman"/>
                <w:spacing w:val="10"/>
                <w:sz w:val="21"/>
                <w:szCs w:val="21"/>
              </w:rPr>
            </w:pPr>
            <w:r>
              <w:rPr>
                <w:rFonts w:ascii="Times New Roman" w:hAnsi="Times New Roman" w:eastAsia="宋体" w:cs="Times New Roman"/>
                <w:spacing w:val="10"/>
                <w:sz w:val="21"/>
                <w:szCs w:val="21"/>
              </w:rPr>
              <w:t>爆炸上限（v％）</w:t>
            </w:r>
          </w:p>
        </w:tc>
        <w:tc>
          <w:tcPr>
            <w:tcW w:w="2401" w:type="pct"/>
            <w:gridSpan w:val="2"/>
            <w:tcBorders>
              <w:top w:val="single" w:color="000000" w:sz="4" w:space="0"/>
              <w:left w:val="single" w:color="000000" w:sz="4" w:space="0"/>
              <w:bottom w:val="single" w:color="000000" w:sz="4" w:space="0"/>
              <w:right w:val="single" w:color="000000" w:sz="4" w:space="0"/>
            </w:tcBorders>
            <w:vAlign w:val="center"/>
          </w:tcPr>
          <w:p w14:paraId="605238C4">
            <w:pPr>
              <w:jc w:val="center"/>
              <w:rPr>
                <w:rFonts w:ascii="Times New Roman" w:hAnsi="Times New Roman" w:eastAsia="宋体" w:cs="Times New Roman"/>
                <w:spacing w:val="10"/>
                <w:sz w:val="21"/>
                <w:szCs w:val="21"/>
              </w:rPr>
            </w:pPr>
            <w:r>
              <w:rPr>
                <w:rFonts w:ascii="Times New Roman" w:hAnsi="Times New Roman" w:eastAsia="宋体" w:cs="Times New Roman"/>
                <w:spacing w:val="10"/>
                <w:sz w:val="21"/>
                <w:szCs w:val="21"/>
              </w:rPr>
              <w:t>25。0</w:t>
            </w:r>
          </w:p>
        </w:tc>
      </w:tr>
      <w:tr w14:paraId="0B0E31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5ED14FBC">
            <w:pPr>
              <w:jc w:val="center"/>
              <w:rPr>
                <w:rFonts w:ascii="Times New Roman" w:hAnsi="Times New Roman" w:eastAsia="宋体" w:cs="Times New Roman"/>
                <w:spacing w:val="10"/>
                <w:sz w:val="21"/>
                <w:szCs w:val="21"/>
              </w:rPr>
            </w:pPr>
          </w:p>
        </w:tc>
        <w:tc>
          <w:tcPr>
            <w:tcW w:w="0" w:type="auto"/>
            <w:tcBorders>
              <w:top w:val="single" w:color="000000" w:sz="4" w:space="0"/>
              <w:left w:val="single" w:color="000000" w:sz="4" w:space="0"/>
              <w:bottom w:val="single" w:color="000000" w:sz="4" w:space="0"/>
              <w:right w:val="single" w:color="000000" w:sz="4" w:space="0"/>
            </w:tcBorders>
            <w:vAlign w:val="center"/>
          </w:tcPr>
          <w:p w14:paraId="4303EB16">
            <w:pPr>
              <w:jc w:val="center"/>
              <w:rPr>
                <w:rFonts w:ascii="Times New Roman" w:hAnsi="Times New Roman" w:eastAsia="宋体" w:cs="Times New Roman"/>
                <w:spacing w:val="10"/>
                <w:sz w:val="21"/>
                <w:szCs w:val="21"/>
              </w:rPr>
            </w:pPr>
            <w:r>
              <w:rPr>
                <w:rFonts w:ascii="Times New Roman" w:hAnsi="Times New Roman" w:eastAsia="宋体" w:cs="Times New Roman"/>
                <w:spacing w:val="10"/>
                <w:sz w:val="21"/>
                <w:szCs w:val="21"/>
              </w:rPr>
              <w:t>引燃温度(℃)</w:t>
            </w:r>
          </w:p>
        </w:tc>
        <w:tc>
          <w:tcPr>
            <w:tcW w:w="0" w:type="auto"/>
            <w:tcBorders>
              <w:top w:val="single" w:color="000000" w:sz="4" w:space="0"/>
              <w:left w:val="single" w:color="000000" w:sz="4" w:space="0"/>
              <w:bottom w:val="single" w:color="000000" w:sz="4" w:space="0"/>
              <w:right w:val="single" w:color="000000" w:sz="4" w:space="0"/>
            </w:tcBorders>
            <w:vAlign w:val="center"/>
          </w:tcPr>
          <w:p w14:paraId="00C86DEA">
            <w:pPr>
              <w:jc w:val="center"/>
              <w:rPr>
                <w:rFonts w:ascii="Times New Roman" w:hAnsi="Times New Roman" w:eastAsia="宋体" w:cs="Times New Roman"/>
                <w:spacing w:val="10"/>
                <w:sz w:val="21"/>
                <w:szCs w:val="21"/>
              </w:rPr>
            </w:pPr>
            <w:r>
              <w:rPr>
                <w:rFonts w:ascii="Times New Roman" w:hAnsi="Times New Roman" w:eastAsia="宋体" w:cs="Times New Roman"/>
                <w:spacing w:val="10"/>
                <w:sz w:val="21"/>
                <w:szCs w:val="21"/>
              </w:rPr>
              <w:t>/</w:t>
            </w:r>
          </w:p>
        </w:tc>
        <w:tc>
          <w:tcPr>
            <w:tcW w:w="0" w:type="auto"/>
            <w:gridSpan w:val="2"/>
            <w:tcBorders>
              <w:top w:val="single" w:color="000000" w:sz="4" w:space="0"/>
              <w:left w:val="single" w:color="000000" w:sz="4" w:space="0"/>
              <w:bottom w:val="single" w:color="000000" w:sz="4" w:space="0"/>
              <w:right w:val="single" w:color="000000" w:sz="4" w:space="0"/>
            </w:tcBorders>
            <w:vAlign w:val="center"/>
          </w:tcPr>
          <w:p w14:paraId="1F409CCB">
            <w:pPr>
              <w:jc w:val="center"/>
              <w:rPr>
                <w:rFonts w:ascii="Times New Roman" w:hAnsi="Times New Roman" w:eastAsia="宋体" w:cs="Times New Roman"/>
                <w:spacing w:val="10"/>
                <w:sz w:val="21"/>
                <w:szCs w:val="21"/>
              </w:rPr>
            </w:pPr>
            <w:r>
              <w:rPr>
                <w:rFonts w:ascii="Times New Roman" w:hAnsi="Times New Roman" w:eastAsia="宋体" w:cs="Times New Roman"/>
                <w:spacing w:val="10"/>
                <w:sz w:val="21"/>
                <w:szCs w:val="21"/>
              </w:rPr>
              <w:t>爆炸下限（v％）</w:t>
            </w:r>
          </w:p>
        </w:tc>
        <w:tc>
          <w:tcPr>
            <w:tcW w:w="2401" w:type="pct"/>
            <w:gridSpan w:val="2"/>
            <w:tcBorders>
              <w:top w:val="single" w:color="000000" w:sz="4" w:space="0"/>
              <w:left w:val="single" w:color="000000" w:sz="4" w:space="0"/>
              <w:bottom w:val="single" w:color="000000" w:sz="4" w:space="0"/>
              <w:right w:val="single" w:color="000000" w:sz="4" w:space="0"/>
            </w:tcBorders>
            <w:vAlign w:val="center"/>
          </w:tcPr>
          <w:p w14:paraId="63538255">
            <w:pPr>
              <w:jc w:val="center"/>
              <w:rPr>
                <w:rFonts w:ascii="Times New Roman" w:hAnsi="Times New Roman" w:eastAsia="宋体" w:cs="Times New Roman"/>
                <w:spacing w:val="10"/>
                <w:sz w:val="21"/>
                <w:szCs w:val="21"/>
              </w:rPr>
            </w:pPr>
            <w:r>
              <w:rPr>
                <w:rFonts w:ascii="Times New Roman" w:hAnsi="Times New Roman" w:eastAsia="宋体" w:cs="Times New Roman"/>
                <w:spacing w:val="10"/>
                <w:sz w:val="21"/>
                <w:szCs w:val="21"/>
              </w:rPr>
              <w:t>16.0</w:t>
            </w:r>
          </w:p>
        </w:tc>
      </w:tr>
      <w:tr w14:paraId="4BC847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6D6968EE">
            <w:pPr>
              <w:jc w:val="center"/>
              <w:rPr>
                <w:rFonts w:ascii="Times New Roman" w:hAnsi="Times New Roman" w:eastAsia="宋体" w:cs="Times New Roman"/>
                <w:spacing w:val="10"/>
                <w:sz w:val="21"/>
                <w:szCs w:val="21"/>
              </w:rPr>
            </w:pPr>
          </w:p>
        </w:tc>
        <w:tc>
          <w:tcPr>
            <w:tcW w:w="0" w:type="auto"/>
            <w:tcBorders>
              <w:top w:val="single" w:color="000000" w:sz="4" w:space="0"/>
              <w:left w:val="single" w:color="000000" w:sz="4" w:space="0"/>
              <w:bottom w:val="single" w:color="000000" w:sz="4" w:space="0"/>
              <w:right w:val="single" w:color="000000" w:sz="4" w:space="0"/>
            </w:tcBorders>
            <w:vAlign w:val="center"/>
          </w:tcPr>
          <w:p w14:paraId="65591850">
            <w:pPr>
              <w:jc w:val="center"/>
              <w:rPr>
                <w:rFonts w:ascii="Times New Roman" w:hAnsi="Times New Roman" w:eastAsia="宋体" w:cs="Times New Roman"/>
                <w:spacing w:val="10"/>
                <w:sz w:val="21"/>
                <w:szCs w:val="21"/>
              </w:rPr>
            </w:pPr>
            <w:r>
              <w:rPr>
                <w:rFonts w:ascii="Times New Roman" w:hAnsi="Times New Roman" w:eastAsia="宋体" w:cs="Times New Roman"/>
                <w:spacing w:val="10"/>
                <w:sz w:val="21"/>
                <w:szCs w:val="21"/>
              </w:rPr>
              <w:t>危险特性</w:t>
            </w:r>
          </w:p>
        </w:tc>
        <w:tc>
          <w:tcPr>
            <w:tcW w:w="3968" w:type="pct"/>
            <w:gridSpan w:val="5"/>
            <w:tcBorders>
              <w:top w:val="single" w:color="000000" w:sz="4" w:space="0"/>
              <w:left w:val="single" w:color="000000" w:sz="4" w:space="0"/>
              <w:bottom w:val="single" w:color="000000" w:sz="4" w:space="0"/>
              <w:right w:val="single" w:color="000000" w:sz="4" w:space="0"/>
            </w:tcBorders>
            <w:vAlign w:val="center"/>
          </w:tcPr>
          <w:p w14:paraId="6245F5A0">
            <w:pPr>
              <w:jc w:val="center"/>
              <w:rPr>
                <w:rFonts w:ascii="Times New Roman" w:hAnsi="Times New Roman" w:eastAsia="宋体" w:cs="Times New Roman"/>
                <w:spacing w:val="10"/>
                <w:sz w:val="21"/>
                <w:szCs w:val="21"/>
              </w:rPr>
            </w:pPr>
            <w:r>
              <w:rPr>
                <w:rFonts w:ascii="Times New Roman" w:hAnsi="Times New Roman" w:eastAsia="宋体" w:cs="Times New Roman"/>
                <w:spacing w:val="10"/>
                <w:sz w:val="21"/>
                <w:szCs w:val="21"/>
              </w:rPr>
              <w:t>易分解放出氨气，温度越高,分解速度越快,可形成爆炸性气体。若遇高热,容器内压增大,有开裂和爆炸的危险。</w:t>
            </w:r>
          </w:p>
        </w:tc>
      </w:tr>
      <w:tr w14:paraId="3CE1EA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7CAD2719">
            <w:pPr>
              <w:jc w:val="center"/>
              <w:rPr>
                <w:rFonts w:ascii="Times New Roman" w:hAnsi="Times New Roman" w:eastAsia="宋体" w:cs="Times New Roman"/>
                <w:spacing w:val="10"/>
                <w:sz w:val="21"/>
                <w:szCs w:val="21"/>
              </w:rPr>
            </w:pPr>
          </w:p>
        </w:tc>
        <w:tc>
          <w:tcPr>
            <w:tcW w:w="0" w:type="auto"/>
            <w:tcBorders>
              <w:top w:val="single" w:color="000000" w:sz="4" w:space="0"/>
              <w:left w:val="single" w:color="000000" w:sz="4" w:space="0"/>
              <w:bottom w:val="single" w:color="000000" w:sz="4" w:space="0"/>
              <w:right w:val="single" w:color="000000" w:sz="4" w:space="0"/>
            </w:tcBorders>
            <w:vAlign w:val="center"/>
          </w:tcPr>
          <w:p w14:paraId="1A0EFAEB">
            <w:pPr>
              <w:jc w:val="center"/>
              <w:rPr>
                <w:rFonts w:ascii="Times New Roman" w:hAnsi="Times New Roman" w:eastAsia="宋体" w:cs="Times New Roman"/>
                <w:spacing w:val="10"/>
                <w:sz w:val="21"/>
                <w:szCs w:val="21"/>
              </w:rPr>
            </w:pPr>
            <w:r>
              <w:rPr>
                <w:rFonts w:ascii="Times New Roman" w:hAnsi="Times New Roman" w:eastAsia="宋体" w:cs="Times New Roman"/>
                <w:spacing w:val="10"/>
                <w:sz w:val="21"/>
                <w:szCs w:val="21"/>
              </w:rPr>
              <w:t>建规火险分级</w:t>
            </w:r>
          </w:p>
        </w:tc>
        <w:tc>
          <w:tcPr>
            <w:tcW w:w="0" w:type="auto"/>
            <w:tcBorders>
              <w:top w:val="single" w:color="000000" w:sz="4" w:space="0"/>
              <w:left w:val="single" w:color="000000" w:sz="4" w:space="0"/>
              <w:bottom w:val="single" w:color="000000" w:sz="4" w:space="0"/>
              <w:right w:val="single" w:color="000000" w:sz="4" w:space="0"/>
            </w:tcBorders>
            <w:vAlign w:val="center"/>
          </w:tcPr>
          <w:p w14:paraId="1A467CD3">
            <w:pPr>
              <w:jc w:val="center"/>
              <w:rPr>
                <w:rFonts w:ascii="Times New Roman" w:hAnsi="Times New Roman" w:eastAsia="宋体" w:cs="Times New Roman"/>
                <w:spacing w:val="10"/>
                <w:sz w:val="21"/>
                <w:szCs w:val="21"/>
              </w:rPr>
            </w:pPr>
            <w:r>
              <w:rPr>
                <w:rFonts w:ascii="Times New Roman" w:hAnsi="Times New Roman" w:eastAsia="宋体" w:cs="Times New Roman"/>
                <w:spacing w:val="10"/>
                <w:sz w:val="21"/>
                <w:szCs w:val="21"/>
              </w:rPr>
              <w:t>戊</w:t>
            </w:r>
          </w:p>
        </w:tc>
        <w:tc>
          <w:tcPr>
            <w:tcW w:w="0" w:type="auto"/>
            <w:tcBorders>
              <w:top w:val="single" w:color="000000" w:sz="4" w:space="0"/>
              <w:left w:val="single" w:color="000000" w:sz="4" w:space="0"/>
              <w:bottom w:val="single" w:color="000000" w:sz="4" w:space="0"/>
              <w:right w:val="single" w:color="000000" w:sz="4" w:space="0"/>
            </w:tcBorders>
            <w:vAlign w:val="center"/>
          </w:tcPr>
          <w:p w14:paraId="076AA1AE">
            <w:pPr>
              <w:jc w:val="center"/>
              <w:rPr>
                <w:rFonts w:ascii="Times New Roman" w:hAnsi="Times New Roman" w:eastAsia="宋体" w:cs="Times New Roman"/>
                <w:spacing w:val="10"/>
                <w:sz w:val="21"/>
                <w:szCs w:val="21"/>
              </w:rPr>
            </w:pPr>
            <w:r>
              <w:rPr>
                <w:rFonts w:ascii="Times New Roman" w:hAnsi="Times New Roman" w:eastAsia="宋体" w:cs="Times New Roman"/>
                <w:spacing w:val="10"/>
                <w:sz w:val="21"/>
                <w:szCs w:val="21"/>
              </w:rPr>
              <w:t>稳定性</w:t>
            </w:r>
          </w:p>
        </w:tc>
        <w:tc>
          <w:tcPr>
            <w:tcW w:w="0" w:type="auto"/>
            <w:tcBorders>
              <w:top w:val="single" w:color="000000" w:sz="4" w:space="0"/>
              <w:left w:val="single" w:color="000000" w:sz="4" w:space="0"/>
              <w:bottom w:val="single" w:color="000000" w:sz="4" w:space="0"/>
              <w:right w:val="single" w:color="000000" w:sz="4" w:space="0"/>
            </w:tcBorders>
            <w:vAlign w:val="center"/>
          </w:tcPr>
          <w:p w14:paraId="0BF93724">
            <w:pPr>
              <w:jc w:val="center"/>
              <w:rPr>
                <w:rFonts w:ascii="Times New Roman" w:hAnsi="Times New Roman" w:eastAsia="宋体" w:cs="Times New Roman"/>
                <w:spacing w:val="10"/>
                <w:sz w:val="21"/>
                <w:szCs w:val="21"/>
              </w:rPr>
            </w:pPr>
            <w:r>
              <w:rPr>
                <w:rFonts w:ascii="Times New Roman" w:hAnsi="Times New Roman" w:eastAsia="宋体" w:cs="Times New Roman"/>
                <w:spacing w:val="10"/>
                <w:sz w:val="21"/>
                <w:szCs w:val="21"/>
              </w:rPr>
              <w:t>稳定</w:t>
            </w:r>
          </w:p>
        </w:tc>
        <w:tc>
          <w:tcPr>
            <w:tcW w:w="0" w:type="auto"/>
            <w:tcBorders>
              <w:top w:val="single" w:color="000000" w:sz="4" w:space="0"/>
              <w:left w:val="single" w:color="000000" w:sz="4" w:space="0"/>
              <w:bottom w:val="single" w:color="000000" w:sz="4" w:space="0"/>
              <w:right w:val="single" w:color="000000" w:sz="4" w:space="0"/>
            </w:tcBorders>
            <w:vAlign w:val="center"/>
          </w:tcPr>
          <w:p w14:paraId="020DD2CF">
            <w:pPr>
              <w:jc w:val="center"/>
              <w:rPr>
                <w:rFonts w:ascii="Times New Roman" w:hAnsi="Times New Roman" w:eastAsia="宋体" w:cs="Times New Roman"/>
                <w:spacing w:val="10"/>
                <w:sz w:val="21"/>
                <w:szCs w:val="21"/>
              </w:rPr>
            </w:pPr>
            <w:r>
              <w:rPr>
                <w:rFonts w:ascii="Times New Roman" w:hAnsi="Times New Roman" w:eastAsia="宋体" w:cs="Times New Roman"/>
                <w:spacing w:val="10"/>
                <w:sz w:val="21"/>
                <w:szCs w:val="21"/>
              </w:rPr>
              <w:t>聚合危害</w:t>
            </w:r>
          </w:p>
        </w:tc>
        <w:tc>
          <w:tcPr>
            <w:tcW w:w="1451" w:type="pct"/>
            <w:tcBorders>
              <w:top w:val="single" w:color="000000" w:sz="4" w:space="0"/>
              <w:left w:val="single" w:color="000000" w:sz="4" w:space="0"/>
              <w:bottom w:val="single" w:color="000000" w:sz="4" w:space="0"/>
              <w:right w:val="single" w:color="000000" w:sz="4" w:space="0"/>
            </w:tcBorders>
            <w:vAlign w:val="center"/>
          </w:tcPr>
          <w:p w14:paraId="2F263ADA">
            <w:pPr>
              <w:jc w:val="center"/>
              <w:rPr>
                <w:rFonts w:ascii="Times New Roman" w:hAnsi="Times New Roman" w:eastAsia="宋体" w:cs="Times New Roman"/>
                <w:spacing w:val="10"/>
                <w:sz w:val="21"/>
                <w:szCs w:val="21"/>
              </w:rPr>
            </w:pPr>
            <w:r>
              <w:rPr>
                <w:rFonts w:ascii="Times New Roman" w:hAnsi="Times New Roman" w:eastAsia="宋体" w:cs="Times New Roman"/>
                <w:spacing w:val="10"/>
                <w:sz w:val="21"/>
                <w:szCs w:val="21"/>
              </w:rPr>
              <w:t>不聚合</w:t>
            </w:r>
          </w:p>
        </w:tc>
      </w:tr>
      <w:tr w14:paraId="749BC7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1A73D8AE">
            <w:pPr>
              <w:jc w:val="center"/>
              <w:rPr>
                <w:rFonts w:ascii="Times New Roman" w:hAnsi="Times New Roman" w:eastAsia="宋体" w:cs="Times New Roman"/>
                <w:spacing w:val="10"/>
                <w:sz w:val="21"/>
                <w:szCs w:val="21"/>
              </w:rPr>
            </w:pPr>
          </w:p>
        </w:tc>
        <w:tc>
          <w:tcPr>
            <w:tcW w:w="0" w:type="auto"/>
            <w:tcBorders>
              <w:top w:val="single" w:color="000000" w:sz="4" w:space="0"/>
              <w:left w:val="single" w:color="000000" w:sz="4" w:space="0"/>
              <w:bottom w:val="single" w:color="000000" w:sz="4" w:space="0"/>
              <w:right w:val="single" w:color="000000" w:sz="4" w:space="0"/>
            </w:tcBorders>
            <w:vAlign w:val="center"/>
          </w:tcPr>
          <w:p w14:paraId="5DA0E0FC">
            <w:pPr>
              <w:jc w:val="center"/>
              <w:rPr>
                <w:rFonts w:ascii="Times New Roman" w:hAnsi="Times New Roman" w:eastAsia="宋体" w:cs="Times New Roman"/>
                <w:spacing w:val="10"/>
                <w:sz w:val="21"/>
                <w:szCs w:val="21"/>
              </w:rPr>
            </w:pPr>
            <w:r>
              <w:rPr>
                <w:rFonts w:ascii="Times New Roman" w:hAnsi="Times New Roman" w:eastAsia="宋体" w:cs="Times New Roman"/>
                <w:spacing w:val="10"/>
                <w:sz w:val="21"/>
                <w:szCs w:val="21"/>
              </w:rPr>
              <w:t>禁忌物</w:t>
            </w:r>
          </w:p>
        </w:tc>
        <w:tc>
          <w:tcPr>
            <w:tcW w:w="3968" w:type="pct"/>
            <w:gridSpan w:val="5"/>
            <w:tcBorders>
              <w:top w:val="single" w:color="000000" w:sz="4" w:space="0"/>
              <w:left w:val="single" w:color="000000" w:sz="4" w:space="0"/>
              <w:bottom w:val="single" w:color="000000" w:sz="4" w:space="0"/>
              <w:right w:val="single" w:color="000000" w:sz="4" w:space="0"/>
            </w:tcBorders>
            <w:vAlign w:val="center"/>
          </w:tcPr>
          <w:p w14:paraId="28283190">
            <w:pPr>
              <w:jc w:val="center"/>
              <w:rPr>
                <w:rFonts w:ascii="Times New Roman" w:hAnsi="Times New Roman" w:eastAsia="宋体" w:cs="Times New Roman"/>
                <w:spacing w:val="10"/>
                <w:sz w:val="21"/>
                <w:szCs w:val="21"/>
              </w:rPr>
            </w:pPr>
            <w:r>
              <w:rPr>
                <w:rFonts w:ascii="Times New Roman" w:hAnsi="Times New Roman" w:eastAsia="宋体" w:cs="Times New Roman"/>
                <w:spacing w:val="10"/>
                <w:sz w:val="21"/>
                <w:szCs w:val="21"/>
              </w:rPr>
              <w:t>酸类、铝、铜.</w:t>
            </w:r>
          </w:p>
        </w:tc>
      </w:tr>
      <w:tr w14:paraId="707465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111B2470">
            <w:pPr>
              <w:jc w:val="center"/>
              <w:rPr>
                <w:rFonts w:ascii="Times New Roman" w:hAnsi="Times New Roman" w:eastAsia="宋体" w:cs="Times New Roman"/>
                <w:spacing w:val="10"/>
                <w:sz w:val="21"/>
                <w:szCs w:val="21"/>
              </w:rPr>
            </w:pPr>
          </w:p>
        </w:tc>
        <w:tc>
          <w:tcPr>
            <w:tcW w:w="0" w:type="auto"/>
            <w:tcBorders>
              <w:top w:val="single" w:color="000000" w:sz="4" w:space="0"/>
              <w:left w:val="single" w:color="000000" w:sz="4" w:space="0"/>
              <w:bottom w:val="single" w:color="000000" w:sz="4" w:space="0"/>
              <w:right w:val="single" w:color="000000" w:sz="4" w:space="0"/>
            </w:tcBorders>
            <w:vAlign w:val="center"/>
          </w:tcPr>
          <w:p w14:paraId="1363BB2B">
            <w:pPr>
              <w:jc w:val="center"/>
              <w:rPr>
                <w:rFonts w:ascii="Times New Roman" w:hAnsi="Times New Roman" w:eastAsia="宋体" w:cs="Times New Roman"/>
                <w:spacing w:val="10"/>
                <w:sz w:val="21"/>
                <w:szCs w:val="21"/>
              </w:rPr>
            </w:pPr>
            <w:r>
              <w:rPr>
                <w:rFonts w:ascii="Times New Roman" w:hAnsi="Times New Roman" w:eastAsia="宋体" w:cs="Times New Roman"/>
                <w:spacing w:val="10"/>
                <w:sz w:val="21"/>
                <w:szCs w:val="21"/>
              </w:rPr>
              <w:t>储运条件与泄漏处理</w:t>
            </w:r>
          </w:p>
        </w:tc>
        <w:tc>
          <w:tcPr>
            <w:tcW w:w="3968" w:type="pct"/>
            <w:gridSpan w:val="5"/>
            <w:tcBorders>
              <w:top w:val="single" w:color="000000" w:sz="4" w:space="0"/>
              <w:left w:val="single" w:color="000000" w:sz="4" w:space="0"/>
              <w:bottom w:val="single" w:color="000000" w:sz="4" w:space="0"/>
              <w:right w:val="single" w:color="000000" w:sz="4" w:space="0"/>
            </w:tcBorders>
            <w:vAlign w:val="center"/>
          </w:tcPr>
          <w:p w14:paraId="2B025AE7">
            <w:pPr>
              <w:jc w:val="center"/>
              <w:rPr>
                <w:rFonts w:ascii="Times New Roman" w:hAnsi="Times New Roman" w:eastAsia="宋体" w:cs="Times New Roman"/>
                <w:spacing w:val="10"/>
                <w:sz w:val="21"/>
                <w:szCs w:val="21"/>
              </w:rPr>
            </w:pPr>
            <w:r>
              <w:rPr>
                <w:rFonts w:ascii="Times New Roman" w:hAnsi="Times New Roman" w:eastAsia="宋体" w:cs="Times New Roman"/>
                <w:spacing w:val="10"/>
                <w:sz w:val="21"/>
                <w:szCs w:val="21"/>
              </w:rPr>
              <w:t>储运条件：储存于阴凉、干燥通风良好的仓间内。远离火种、热源。防止阳光直射。应与酸类、金属类粉末分开存放。搬运时应轻装轻卸,防止包装和容器损坏。运输按规定路线行驶,勿在居民区和人口稠密区停留.</w:t>
            </w:r>
            <w:r>
              <w:rPr>
                <w:rFonts w:ascii="Times New Roman" w:hAnsi="Times New Roman" w:eastAsia="宋体" w:cs="Times New Roman"/>
                <w:spacing w:val="10"/>
                <w:sz w:val="21"/>
                <w:szCs w:val="21"/>
              </w:rPr>
              <w:br w:type="textWrapping"/>
            </w:r>
            <w:r>
              <w:rPr>
                <w:rFonts w:ascii="Times New Roman" w:hAnsi="Times New Roman" w:eastAsia="宋体" w:cs="Times New Roman"/>
                <w:spacing w:val="10"/>
                <w:sz w:val="21"/>
                <w:szCs w:val="21"/>
              </w:rPr>
              <w:t>泄漏处理：疏散泄漏污染区人员至安全区,禁止无关人员进入污染区，建议应急处理人员戴自给式呼吸器，穿化学防护服.不要直接接触泄漏物，在确保安全情况下堵漏。用大量水冲洗，经稀释的洗水放入废水系统。用沙土、蛭石或其它惰性材料吸收，然后以少量加入大量水中，调节至中性，再放入废水系统。如大量泄漏，利用围堤收容,然后收集、转移、回收或无害处理后废弃。</w:t>
            </w:r>
          </w:p>
        </w:tc>
      </w:tr>
    </w:tbl>
    <w:p w14:paraId="191DA159">
      <w:pPr>
        <w:pStyle w:val="2"/>
        <w:rPr>
          <w:rFonts w:hint="eastAsia"/>
        </w:rPr>
      </w:pPr>
    </w:p>
    <w:p w14:paraId="66E7CDD3">
      <w:pPr>
        <w:tabs>
          <w:tab w:val="left" w:pos="851"/>
          <w:tab w:val="left" w:pos="1141"/>
          <w:tab w:val="left" w:pos="4335"/>
        </w:tabs>
        <w:jc w:val="center"/>
        <w:rPr>
          <w:rFonts w:ascii="Times New Roman" w:hAnsi="Times New Roman" w:eastAsia="黑体" w:cs="Times New Roman"/>
        </w:rPr>
      </w:pPr>
      <w:r>
        <w:rPr>
          <w:rFonts w:ascii="Times New Roman" w:hAnsi="Times New Roman" w:eastAsia="黑体" w:cs="Times New Roman"/>
        </w:rPr>
        <w:t>表</w:t>
      </w:r>
      <w:r>
        <w:rPr>
          <w:rFonts w:hint="eastAsia" w:ascii="Times New Roman" w:hAnsi="Times New Roman" w:eastAsia="黑体" w:cs="Times New Roman"/>
        </w:rPr>
        <w:t>6</w:t>
      </w:r>
      <w:r>
        <w:rPr>
          <w:rFonts w:ascii="Times New Roman" w:hAnsi="Times New Roman" w:eastAsia="黑体" w:cs="Times New Roman"/>
        </w:rPr>
        <w:t xml:space="preserve">.1-3  </w:t>
      </w:r>
      <w:r>
        <w:rPr>
          <w:rFonts w:hint="eastAsia" w:ascii="Times New Roman" w:hAnsi="Times New Roman" w:eastAsia="黑体" w:cs="Times New Roman"/>
          <w:lang w:val="en-US" w:eastAsia="zh-CN"/>
        </w:rPr>
        <w:t>废机油</w:t>
      </w:r>
      <w:r>
        <w:rPr>
          <w:rFonts w:ascii="Times New Roman" w:hAnsi="Times New Roman" w:eastAsia="黑体" w:cs="Times New Roman"/>
        </w:rPr>
        <w:t>理化性质及主要危险特性一览表</w:t>
      </w:r>
    </w:p>
    <w:tbl>
      <w:tblPr>
        <w:tblStyle w:val="56"/>
        <w:tblW w:w="5000" w:type="pct"/>
        <w:jc w:val="center"/>
        <w:tblBorders>
          <w:top w:val="thinThickSmallGap" w:color="auto" w:sz="12" w:space="0"/>
          <w:left w:val="none" w:color="auto" w:sz="0" w:space="0"/>
          <w:bottom w:val="thickThinSmallGap" w:color="auto" w:sz="12" w:space="0"/>
          <w:right w:val="none" w:color="auto" w:sz="0" w:space="0"/>
          <w:insideH w:val="single" w:color="auto" w:sz="6" w:space="0"/>
          <w:insideV w:val="single" w:color="auto" w:sz="6" w:space="0"/>
        </w:tblBorders>
        <w:tblLayout w:type="autofit"/>
        <w:tblCellMar>
          <w:top w:w="0" w:type="dxa"/>
          <w:left w:w="108" w:type="dxa"/>
          <w:bottom w:w="0" w:type="dxa"/>
          <w:right w:w="108" w:type="dxa"/>
        </w:tblCellMar>
      </w:tblPr>
      <w:tblGrid>
        <w:gridCol w:w="501"/>
        <w:gridCol w:w="1435"/>
        <w:gridCol w:w="1097"/>
        <w:gridCol w:w="930"/>
        <w:gridCol w:w="682"/>
        <w:gridCol w:w="996"/>
        <w:gridCol w:w="134"/>
        <w:gridCol w:w="1704"/>
        <w:gridCol w:w="1242"/>
      </w:tblGrid>
      <w:tr w14:paraId="5C2E7F51">
        <w:tblPrEx>
          <w:tblBorders>
            <w:top w:val="thinThickSmallGap" w:color="auto" w:sz="12" w:space="0"/>
            <w:left w:val="none" w:color="auto" w:sz="0" w:space="0"/>
            <w:bottom w:val="thickThinSmallGap"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287" w:type="pct"/>
            <w:tcBorders>
              <w:top w:val="thinThickSmallGap" w:color="auto" w:sz="12" w:space="0"/>
              <w:bottom w:val="single" w:color="auto" w:sz="6" w:space="0"/>
            </w:tcBorders>
            <w:shd w:val="clear" w:color="auto" w:fill="C2C2C2"/>
            <w:noWrap w:val="0"/>
            <w:vAlign w:val="center"/>
          </w:tcPr>
          <w:p w14:paraId="09F643C3">
            <w:pPr>
              <w:jc w:val="center"/>
              <w:rPr>
                <w:rFonts w:ascii="Times New Roman" w:hAnsi="Times New Roman" w:cs="Times New Roman"/>
                <w:spacing w:val="10"/>
                <w:sz w:val="21"/>
                <w:szCs w:val="21"/>
              </w:rPr>
            </w:pPr>
            <w:r>
              <w:rPr>
                <w:rFonts w:ascii="Times New Roman" w:hAnsi="Times New Roman" w:cs="Times New Roman"/>
                <w:spacing w:val="10"/>
                <w:sz w:val="21"/>
                <w:szCs w:val="21"/>
              </w:rPr>
              <w:t>标识</w:t>
            </w:r>
          </w:p>
        </w:tc>
        <w:tc>
          <w:tcPr>
            <w:tcW w:w="4713" w:type="pct"/>
            <w:gridSpan w:val="8"/>
            <w:noWrap w:val="0"/>
            <w:vAlign w:val="center"/>
          </w:tcPr>
          <w:p w14:paraId="47BC754B">
            <w:pPr>
              <w:rPr>
                <w:rFonts w:hint="eastAsia" w:ascii="Times New Roman" w:hAnsi="Times New Roman" w:eastAsia="宋体" w:cs="Times New Roman"/>
                <w:spacing w:val="10"/>
                <w:sz w:val="21"/>
                <w:szCs w:val="21"/>
                <w:lang w:eastAsia="zh-CN"/>
              </w:rPr>
            </w:pPr>
            <w:r>
              <w:rPr>
                <w:rFonts w:ascii="Times New Roman" w:hAnsi="Times New Roman" w:cs="Times New Roman"/>
                <w:spacing w:val="10"/>
                <w:sz w:val="21"/>
                <w:szCs w:val="21"/>
              </w:rPr>
              <w:t>中文名：</w:t>
            </w:r>
            <w:r>
              <w:rPr>
                <w:rFonts w:hint="eastAsia" w:ascii="Times New Roman" w:hAnsi="Times New Roman" w:cs="Times New Roman"/>
                <w:spacing w:val="10"/>
                <w:sz w:val="21"/>
                <w:szCs w:val="21"/>
                <w:lang w:val="en-US" w:eastAsia="zh-CN"/>
              </w:rPr>
              <w:t>废机油</w:t>
            </w:r>
          </w:p>
        </w:tc>
      </w:tr>
      <w:tr w14:paraId="5906536E">
        <w:tblPrEx>
          <w:tblBorders>
            <w:top w:val="thinThickSmallGap" w:color="auto" w:sz="12" w:space="0"/>
            <w:left w:val="none" w:color="auto" w:sz="0" w:space="0"/>
            <w:bottom w:val="thickThinSmallGap"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287" w:type="pct"/>
            <w:vMerge w:val="restart"/>
            <w:tcBorders>
              <w:top w:val="single" w:color="auto" w:sz="6" w:space="0"/>
              <w:bottom w:val="single" w:color="auto" w:sz="6" w:space="0"/>
            </w:tcBorders>
            <w:shd w:val="clear" w:color="auto" w:fill="C2C2C2"/>
            <w:noWrap w:val="0"/>
            <w:vAlign w:val="center"/>
          </w:tcPr>
          <w:p w14:paraId="21BB1F13">
            <w:pPr>
              <w:jc w:val="center"/>
              <w:rPr>
                <w:rFonts w:ascii="Times New Roman" w:hAnsi="Times New Roman" w:cs="Times New Roman"/>
                <w:spacing w:val="10"/>
                <w:sz w:val="21"/>
                <w:szCs w:val="21"/>
              </w:rPr>
            </w:pPr>
            <w:r>
              <w:rPr>
                <w:rFonts w:ascii="Times New Roman" w:hAnsi="Times New Roman" w:cs="Times New Roman"/>
                <w:spacing w:val="10"/>
                <w:sz w:val="21"/>
                <w:szCs w:val="21"/>
              </w:rPr>
              <w:t>理化性质</w:t>
            </w:r>
          </w:p>
        </w:tc>
        <w:tc>
          <w:tcPr>
            <w:tcW w:w="823" w:type="pct"/>
            <w:noWrap w:val="0"/>
            <w:vAlign w:val="center"/>
          </w:tcPr>
          <w:p w14:paraId="19021A2E">
            <w:pPr>
              <w:jc w:val="center"/>
              <w:rPr>
                <w:rFonts w:ascii="Times New Roman" w:hAnsi="Times New Roman" w:cs="Times New Roman"/>
                <w:spacing w:val="10"/>
                <w:sz w:val="21"/>
                <w:szCs w:val="21"/>
              </w:rPr>
            </w:pPr>
            <w:r>
              <w:rPr>
                <w:rFonts w:ascii="Times New Roman" w:hAnsi="Times New Roman" w:cs="Times New Roman"/>
                <w:spacing w:val="10"/>
                <w:sz w:val="21"/>
                <w:szCs w:val="21"/>
              </w:rPr>
              <w:t>外观与性状</w:t>
            </w:r>
          </w:p>
        </w:tc>
        <w:tc>
          <w:tcPr>
            <w:tcW w:w="1553" w:type="pct"/>
            <w:gridSpan w:val="3"/>
            <w:noWrap w:val="0"/>
            <w:vAlign w:val="center"/>
          </w:tcPr>
          <w:p w14:paraId="403EEAF6">
            <w:pPr>
              <w:jc w:val="center"/>
              <w:rPr>
                <w:rFonts w:ascii="Times New Roman" w:hAnsi="Times New Roman" w:cs="Times New Roman"/>
                <w:spacing w:val="10"/>
                <w:sz w:val="21"/>
                <w:szCs w:val="21"/>
              </w:rPr>
            </w:pPr>
            <w:r>
              <w:rPr>
                <w:rFonts w:ascii="Times New Roman" w:hAnsi="Times New Roman" w:cs="Times New Roman"/>
                <w:sz w:val="21"/>
                <w:szCs w:val="21"/>
              </w:rPr>
              <w:t>琥珀色液体</w:t>
            </w:r>
            <w:r>
              <w:rPr>
                <w:rFonts w:ascii="Times New Roman" w:hAnsi="Times New Roman" w:cs="Times New Roman"/>
                <w:spacing w:val="10"/>
                <w:sz w:val="21"/>
                <w:szCs w:val="21"/>
              </w:rPr>
              <w:t>（室温）</w:t>
            </w:r>
          </w:p>
        </w:tc>
        <w:tc>
          <w:tcPr>
            <w:tcW w:w="1625" w:type="pct"/>
            <w:gridSpan w:val="3"/>
            <w:noWrap w:val="0"/>
            <w:vAlign w:val="center"/>
          </w:tcPr>
          <w:p w14:paraId="059B7A88">
            <w:pPr>
              <w:jc w:val="center"/>
              <w:rPr>
                <w:rFonts w:ascii="Times New Roman" w:hAnsi="Times New Roman" w:cs="Times New Roman"/>
                <w:spacing w:val="10"/>
                <w:sz w:val="21"/>
                <w:szCs w:val="21"/>
              </w:rPr>
            </w:pPr>
            <w:r>
              <w:rPr>
                <w:rFonts w:ascii="Times New Roman" w:hAnsi="Times New Roman" w:cs="Times New Roman"/>
                <w:spacing w:val="10"/>
                <w:sz w:val="21"/>
                <w:szCs w:val="21"/>
              </w:rPr>
              <w:t>闪点</w:t>
            </w:r>
            <w:r>
              <w:rPr>
                <w:rFonts w:ascii="Times New Roman" w:hAnsi="Times New Roman" w:cs="Times New Roman"/>
                <w:sz w:val="21"/>
                <w:szCs w:val="21"/>
              </w:rPr>
              <w:t>（℃）</w:t>
            </w:r>
          </w:p>
        </w:tc>
        <w:tc>
          <w:tcPr>
            <w:tcW w:w="712" w:type="pct"/>
            <w:noWrap w:val="0"/>
            <w:vAlign w:val="center"/>
          </w:tcPr>
          <w:p w14:paraId="79E1654F">
            <w:pPr>
              <w:jc w:val="center"/>
              <w:rPr>
                <w:rFonts w:ascii="Times New Roman" w:hAnsi="Times New Roman" w:cs="Times New Roman"/>
                <w:spacing w:val="10"/>
                <w:sz w:val="21"/>
                <w:szCs w:val="21"/>
              </w:rPr>
            </w:pPr>
            <w:r>
              <w:rPr>
                <w:rFonts w:ascii="Times New Roman" w:hAnsi="Times New Roman" w:cs="Times New Roman"/>
                <w:spacing w:val="10"/>
                <w:sz w:val="21"/>
                <w:szCs w:val="21"/>
              </w:rPr>
              <w:t>222</w:t>
            </w:r>
          </w:p>
        </w:tc>
      </w:tr>
      <w:tr w14:paraId="0ADB8375">
        <w:tblPrEx>
          <w:tblBorders>
            <w:top w:val="thinThickSmallGap" w:color="auto" w:sz="12" w:space="0"/>
            <w:left w:val="none" w:color="auto" w:sz="0" w:space="0"/>
            <w:bottom w:val="thickThinSmallGap"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287" w:type="pct"/>
            <w:vMerge w:val="continue"/>
            <w:tcBorders>
              <w:top w:val="single" w:color="auto" w:sz="6" w:space="0"/>
              <w:bottom w:val="single" w:color="auto" w:sz="6" w:space="0"/>
            </w:tcBorders>
            <w:shd w:val="clear" w:color="auto" w:fill="C2C2C2"/>
            <w:noWrap w:val="0"/>
            <w:vAlign w:val="center"/>
          </w:tcPr>
          <w:p w14:paraId="50BCCBD0">
            <w:pPr>
              <w:rPr>
                <w:rFonts w:ascii="Times New Roman" w:hAnsi="Times New Roman" w:cs="Times New Roman"/>
                <w:spacing w:val="10"/>
                <w:sz w:val="21"/>
                <w:szCs w:val="21"/>
              </w:rPr>
            </w:pPr>
          </w:p>
        </w:tc>
        <w:tc>
          <w:tcPr>
            <w:tcW w:w="823" w:type="pct"/>
            <w:noWrap w:val="0"/>
            <w:vAlign w:val="center"/>
          </w:tcPr>
          <w:p w14:paraId="12B87747">
            <w:pPr>
              <w:jc w:val="center"/>
              <w:rPr>
                <w:rFonts w:ascii="Times New Roman" w:hAnsi="Times New Roman" w:cs="Times New Roman"/>
                <w:spacing w:val="10"/>
                <w:sz w:val="21"/>
                <w:szCs w:val="21"/>
              </w:rPr>
            </w:pPr>
            <w:r>
              <w:rPr>
                <w:rFonts w:ascii="Times New Roman" w:hAnsi="Times New Roman" w:cs="Times New Roman"/>
                <w:spacing w:val="10"/>
                <w:sz w:val="21"/>
                <w:szCs w:val="21"/>
              </w:rPr>
              <w:t>自燃点（℃）</w:t>
            </w:r>
          </w:p>
        </w:tc>
        <w:tc>
          <w:tcPr>
            <w:tcW w:w="629" w:type="pct"/>
            <w:noWrap w:val="0"/>
            <w:vAlign w:val="center"/>
          </w:tcPr>
          <w:p w14:paraId="0A915484">
            <w:pPr>
              <w:jc w:val="center"/>
              <w:rPr>
                <w:rFonts w:ascii="Times New Roman" w:hAnsi="Times New Roman" w:cs="Times New Roman"/>
                <w:spacing w:val="10"/>
                <w:sz w:val="21"/>
                <w:szCs w:val="21"/>
              </w:rPr>
            </w:pPr>
            <w:r>
              <w:rPr>
                <w:rFonts w:ascii="Times New Roman" w:hAnsi="Times New Roman" w:cs="Times New Roman"/>
                <w:sz w:val="21"/>
                <w:szCs w:val="21"/>
              </w:rPr>
              <w:t>＞320</w:t>
            </w:r>
          </w:p>
        </w:tc>
        <w:tc>
          <w:tcPr>
            <w:tcW w:w="924" w:type="pct"/>
            <w:gridSpan w:val="2"/>
            <w:noWrap w:val="0"/>
            <w:vAlign w:val="center"/>
          </w:tcPr>
          <w:p w14:paraId="3CEB7D51">
            <w:pPr>
              <w:jc w:val="center"/>
              <w:rPr>
                <w:rFonts w:hint="eastAsia" w:ascii="Times New Roman" w:hAnsi="Times New Roman" w:cs="Times New Roman"/>
                <w:spacing w:val="10"/>
                <w:sz w:val="21"/>
                <w:szCs w:val="21"/>
              </w:rPr>
            </w:pPr>
            <w:r>
              <w:rPr>
                <w:rFonts w:ascii="Times New Roman" w:hAnsi="Times New Roman" w:cs="Times New Roman"/>
                <w:spacing w:val="10"/>
                <w:sz w:val="21"/>
                <w:szCs w:val="21"/>
              </w:rPr>
              <w:t>相对密度</w:t>
            </w:r>
          </w:p>
          <w:p w14:paraId="63E8B389">
            <w:pPr>
              <w:jc w:val="center"/>
              <w:rPr>
                <w:rFonts w:ascii="Times New Roman" w:hAnsi="Times New Roman" w:cs="Times New Roman"/>
                <w:spacing w:val="10"/>
                <w:sz w:val="21"/>
                <w:szCs w:val="21"/>
              </w:rPr>
            </w:pPr>
            <w:r>
              <w:rPr>
                <w:rFonts w:ascii="Times New Roman" w:hAnsi="Times New Roman" w:cs="Times New Roman"/>
                <w:spacing w:val="10"/>
                <w:sz w:val="21"/>
                <w:szCs w:val="21"/>
              </w:rPr>
              <w:t>(水=1)</w:t>
            </w:r>
          </w:p>
        </w:tc>
        <w:tc>
          <w:tcPr>
            <w:tcW w:w="648" w:type="pct"/>
            <w:gridSpan w:val="2"/>
            <w:noWrap w:val="0"/>
            <w:vAlign w:val="center"/>
          </w:tcPr>
          <w:p w14:paraId="0E2DF053">
            <w:pPr>
              <w:jc w:val="center"/>
              <w:rPr>
                <w:rFonts w:ascii="Times New Roman" w:hAnsi="Times New Roman" w:cs="Times New Roman"/>
                <w:spacing w:val="10"/>
                <w:sz w:val="21"/>
                <w:szCs w:val="21"/>
              </w:rPr>
            </w:pPr>
            <w:r>
              <w:rPr>
                <w:rFonts w:ascii="Times New Roman" w:hAnsi="Times New Roman" w:cs="Times New Roman"/>
                <w:sz w:val="21"/>
                <w:szCs w:val="21"/>
              </w:rPr>
              <w:t>0.896</w:t>
            </w:r>
          </w:p>
        </w:tc>
        <w:tc>
          <w:tcPr>
            <w:tcW w:w="977" w:type="pct"/>
            <w:noWrap w:val="0"/>
            <w:vAlign w:val="center"/>
          </w:tcPr>
          <w:p w14:paraId="4EA192C2">
            <w:pPr>
              <w:jc w:val="center"/>
              <w:rPr>
                <w:rFonts w:hint="eastAsia" w:ascii="Times New Roman" w:hAnsi="Times New Roman" w:cs="Times New Roman"/>
                <w:spacing w:val="10"/>
                <w:sz w:val="21"/>
                <w:szCs w:val="21"/>
              </w:rPr>
            </w:pPr>
            <w:r>
              <w:rPr>
                <w:rFonts w:ascii="Times New Roman" w:hAnsi="Times New Roman" w:cs="Times New Roman"/>
                <w:spacing w:val="10"/>
                <w:sz w:val="21"/>
                <w:szCs w:val="21"/>
              </w:rPr>
              <w:t>相对密度</w:t>
            </w:r>
          </w:p>
          <w:p w14:paraId="15F6D2E7">
            <w:pPr>
              <w:jc w:val="center"/>
              <w:rPr>
                <w:rFonts w:ascii="Times New Roman" w:hAnsi="Times New Roman" w:cs="Times New Roman"/>
                <w:spacing w:val="10"/>
                <w:sz w:val="21"/>
                <w:szCs w:val="21"/>
              </w:rPr>
            </w:pPr>
            <w:r>
              <w:rPr>
                <w:rFonts w:ascii="Times New Roman" w:hAnsi="Times New Roman" w:cs="Times New Roman"/>
                <w:spacing w:val="10"/>
                <w:sz w:val="21"/>
                <w:szCs w:val="21"/>
              </w:rPr>
              <w:t>(空气=1)</w:t>
            </w:r>
          </w:p>
        </w:tc>
        <w:tc>
          <w:tcPr>
            <w:tcW w:w="712" w:type="pct"/>
            <w:noWrap w:val="0"/>
            <w:vAlign w:val="center"/>
          </w:tcPr>
          <w:p w14:paraId="0491F86E">
            <w:pPr>
              <w:jc w:val="center"/>
              <w:rPr>
                <w:rFonts w:ascii="Times New Roman" w:hAnsi="Times New Roman" w:cs="Times New Roman"/>
                <w:spacing w:val="10"/>
                <w:sz w:val="21"/>
                <w:szCs w:val="21"/>
              </w:rPr>
            </w:pPr>
            <w:r>
              <w:rPr>
                <w:rFonts w:ascii="Times New Roman" w:hAnsi="Times New Roman" w:cs="Times New Roman"/>
                <w:spacing w:val="10"/>
                <w:sz w:val="21"/>
                <w:szCs w:val="21"/>
              </w:rPr>
              <w:t>＞1</w:t>
            </w:r>
          </w:p>
        </w:tc>
      </w:tr>
      <w:tr w14:paraId="0C46BB8A">
        <w:tblPrEx>
          <w:tblBorders>
            <w:top w:val="thinThickSmallGap" w:color="auto" w:sz="12" w:space="0"/>
            <w:left w:val="none" w:color="auto" w:sz="0" w:space="0"/>
            <w:bottom w:val="thickThinSmallGap"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287" w:type="pct"/>
            <w:vMerge w:val="continue"/>
            <w:tcBorders>
              <w:top w:val="single" w:color="auto" w:sz="6" w:space="0"/>
              <w:bottom w:val="single" w:color="auto" w:sz="6" w:space="0"/>
            </w:tcBorders>
            <w:shd w:val="clear" w:color="auto" w:fill="C2C2C2"/>
            <w:noWrap w:val="0"/>
            <w:vAlign w:val="center"/>
          </w:tcPr>
          <w:p w14:paraId="72FFD7CF">
            <w:pPr>
              <w:rPr>
                <w:rFonts w:ascii="Times New Roman" w:hAnsi="Times New Roman" w:cs="Times New Roman"/>
                <w:spacing w:val="10"/>
                <w:sz w:val="21"/>
                <w:szCs w:val="21"/>
              </w:rPr>
            </w:pPr>
          </w:p>
        </w:tc>
        <w:tc>
          <w:tcPr>
            <w:tcW w:w="823" w:type="pct"/>
            <w:noWrap w:val="0"/>
            <w:vAlign w:val="center"/>
          </w:tcPr>
          <w:p w14:paraId="128D3337">
            <w:pPr>
              <w:jc w:val="center"/>
              <w:rPr>
                <w:rFonts w:ascii="Times New Roman" w:hAnsi="Times New Roman" w:cs="Times New Roman"/>
                <w:spacing w:val="10"/>
                <w:sz w:val="21"/>
                <w:szCs w:val="21"/>
              </w:rPr>
            </w:pPr>
            <w:r>
              <w:rPr>
                <w:rFonts w:ascii="Times New Roman" w:hAnsi="Times New Roman" w:cs="Times New Roman"/>
                <w:spacing w:val="10"/>
                <w:sz w:val="21"/>
                <w:szCs w:val="21"/>
              </w:rPr>
              <w:t>沸点（℃）</w:t>
            </w:r>
          </w:p>
        </w:tc>
        <w:tc>
          <w:tcPr>
            <w:tcW w:w="629" w:type="pct"/>
            <w:noWrap w:val="0"/>
            <w:vAlign w:val="center"/>
          </w:tcPr>
          <w:p w14:paraId="7F708816">
            <w:pPr>
              <w:jc w:val="center"/>
              <w:rPr>
                <w:rFonts w:ascii="Times New Roman" w:hAnsi="Times New Roman" w:cs="Times New Roman"/>
                <w:spacing w:val="10"/>
                <w:sz w:val="21"/>
                <w:szCs w:val="21"/>
              </w:rPr>
            </w:pPr>
            <w:r>
              <w:rPr>
                <w:rFonts w:ascii="Times New Roman" w:hAnsi="Times New Roman" w:cs="Times New Roman"/>
                <w:spacing w:val="10"/>
                <w:sz w:val="21"/>
                <w:szCs w:val="21"/>
              </w:rPr>
              <w:t>＞290</w:t>
            </w:r>
          </w:p>
        </w:tc>
        <w:tc>
          <w:tcPr>
            <w:tcW w:w="1572" w:type="pct"/>
            <w:gridSpan w:val="4"/>
            <w:noWrap w:val="0"/>
            <w:vAlign w:val="center"/>
          </w:tcPr>
          <w:p w14:paraId="0FA9CDCF">
            <w:pPr>
              <w:ind w:left="-40"/>
              <w:jc w:val="center"/>
              <w:rPr>
                <w:rFonts w:ascii="Times New Roman" w:hAnsi="Times New Roman" w:cs="Times New Roman"/>
                <w:spacing w:val="10"/>
                <w:sz w:val="21"/>
                <w:szCs w:val="21"/>
              </w:rPr>
            </w:pPr>
            <w:r>
              <w:rPr>
                <w:rFonts w:ascii="Times New Roman" w:hAnsi="Times New Roman" w:cs="Times New Roman"/>
                <w:spacing w:val="10"/>
                <w:sz w:val="21"/>
                <w:szCs w:val="21"/>
              </w:rPr>
              <w:t>饱和蒸气压（Pa）</w:t>
            </w:r>
          </w:p>
        </w:tc>
        <w:tc>
          <w:tcPr>
            <w:tcW w:w="1689" w:type="pct"/>
            <w:gridSpan w:val="2"/>
            <w:noWrap w:val="0"/>
            <w:vAlign w:val="center"/>
          </w:tcPr>
          <w:p w14:paraId="23B3BC04">
            <w:pPr>
              <w:jc w:val="center"/>
              <w:rPr>
                <w:rFonts w:ascii="Times New Roman" w:hAnsi="Times New Roman" w:cs="Times New Roman"/>
                <w:spacing w:val="10"/>
                <w:sz w:val="21"/>
                <w:szCs w:val="21"/>
              </w:rPr>
            </w:pPr>
            <w:r>
              <w:rPr>
                <w:rFonts w:ascii="Times New Roman" w:hAnsi="Times New Roman" w:cs="Times New Roman"/>
                <w:spacing w:val="10"/>
                <w:sz w:val="21"/>
                <w:szCs w:val="21"/>
              </w:rPr>
              <w:t>小于0.5/20℃</w:t>
            </w:r>
          </w:p>
        </w:tc>
      </w:tr>
      <w:tr w14:paraId="6E2C48A4">
        <w:tblPrEx>
          <w:tblBorders>
            <w:top w:val="thinThickSmallGap" w:color="auto" w:sz="12" w:space="0"/>
            <w:left w:val="none" w:color="auto" w:sz="0" w:space="0"/>
            <w:bottom w:val="thickThinSmallGap"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287" w:type="pct"/>
            <w:vMerge w:val="continue"/>
            <w:tcBorders>
              <w:top w:val="single" w:color="auto" w:sz="6" w:space="0"/>
              <w:bottom w:val="single" w:color="auto" w:sz="6" w:space="0"/>
            </w:tcBorders>
            <w:shd w:val="clear" w:color="auto" w:fill="C2C2C2"/>
            <w:noWrap w:val="0"/>
            <w:vAlign w:val="center"/>
          </w:tcPr>
          <w:p w14:paraId="7AE53FC2">
            <w:pPr>
              <w:rPr>
                <w:rFonts w:ascii="Times New Roman" w:hAnsi="Times New Roman" w:cs="Times New Roman"/>
                <w:spacing w:val="10"/>
                <w:sz w:val="21"/>
                <w:szCs w:val="21"/>
              </w:rPr>
            </w:pPr>
          </w:p>
        </w:tc>
        <w:tc>
          <w:tcPr>
            <w:tcW w:w="823" w:type="pct"/>
            <w:noWrap w:val="0"/>
            <w:vAlign w:val="center"/>
          </w:tcPr>
          <w:p w14:paraId="4CD902A6">
            <w:pPr>
              <w:jc w:val="center"/>
              <w:rPr>
                <w:rFonts w:ascii="Times New Roman" w:hAnsi="Times New Roman" w:cs="Times New Roman"/>
                <w:spacing w:val="10"/>
                <w:sz w:val="21"/>
                <w:szCs w:val="21"/>
              </w:rPr>
            </w:pPr>
            <w:r>
              <w:rPr>
                <w:rFonts w:ascii="Times New Roman" w:hAnsi="Times New Roman" w:cs="Times New Roman"/>
                <w:spacing w:val="10"/>
                <w:sz w:val="21"/>
                <w:szCs w:val="21"/>
              </w:rPr>
              <w:t>溶解性</w:t>
            </w:r>
          </w:p>
        </w:tc>
        <w:tc>
          <w:tcPr>
            <w:tcW w:w="3890" w:type="pct"/>
            <w:gridSpan w:val="7"/>
            <w:noWrap w:val="0"/>
            <w:vAlign w:val="center"/>
          </w:tcPr>
          <w:p w14:paraId="53057AFA">
            <w:pPr>
              <w:rPr>
                <w:rFonts w:ascii="Times New Roman" w:hAnsi="Times New Roman" w:cs="Times New Roman"/>
                <w:sz w:val="21"/>
                <w:szCs w:val="21"/>
              </w:rPr>
            </w:pPr>
            <w:r>
              <w:rPr>
                <w:rFonts w:ascii="Times New Roman" w:hAnsi="Times New Roman" w:cs="Times New Roman"/>
                <w:sz w:val="21"/>
                <w:szCs w:val="21"/>
              </w:rPr>
              <w:t>不溶于水。</w:t>
            </w:r>
          </w:p>
        </w:tc>
      </w:tr>
      <w:tr w14:paraId="3B41CC7D">
        <w:tblPrEx>
          <w:tblBorders>
            <w:top w:val="thinThickSmallGap" w:color="auto" w:sz="12" w:space="0"/>
            <w:left w:val="none" w:color="auto" w:sz="0" w:space="0"/>
            <w:bottom w:val="thickThinSmallGap"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287" w:type="pct"/>
            <w:vMerge w:val="restart"/>
            <w:tcBorders>
              <w:top w:val="single" w:color="auto" w:sz="6" w:space="0"/>
            </w:tcBorders>
            <w:shd w:val="clear" w:color="auto" w:fill="C2C2C2"/>
            <w:noWrap w:val="0"/>
            <w:vAlign w:val="center"/>
          </w:tcPr>
          <w:p w14:paraId="50C10E12">
            <w:pPr>
              <w:jc w:val="center"/>
              <w:rPr>
                <w:rFonts w:ascii="Times New Roman" w:hAnsi="Times New Roman" w:cs="Times New Roman"/>
                <w:spacing w:val="10"/>
                <w:sz w:val="21"/>
                <w:szCs w:val="21"/>
              </w:rPr>
            </w:pPr>
            <w:r>
              <w:rPr>
                <w:rFonts w:ascii="Times New Roman" w:hAnsi="Times New Roman" w:cs="Times New Roman"/>
                <w:spacing w:val="10"/>
                <w:sz w:val="21"/>
                <w:szCs w:val="21"/>
              </w:rPr>
              <w:t>毒性及健康危害</w:t>
            </w:r>
          </w:p>
        </w:tc>
        <w:tc>
          <w:tcPr>
            <w:tcW w:w="823" w:type="pct"/>
            <w:noWrap w:val="0"/>
            <w:vAlign w:val="center"/>
          </w:tcPr>
          <w:p w14:paraId="5BCB537E">
            <w:pPr>
              <w:jc w:val="center"/>
              <w:rPr>
                <w:rFonts w:ascii="Times New Roman" w:hAnsi="Times New Roman" w:cs="Times New Roman"/>
                <w:spacing w:val="10"/>
                <w:sz w:val="21"/>
                <w:szCs w:val="21"/>
              </w:rPr>
            </w:pPr>
            <w:r>
              <w:rPr>
                <w:rFonts w:ascii="Times New Roman" w:hAnsi="Times New Roman" w:cs="Times New Roman"/>
                <w:spacing w:val="10"/>
                <w:sz w:val="21"/>
                <w:szCs w:val="21"/>
              </w:rPr>
              <w:t>侵入途径</w:t>
            </w:r>
          </w:p>
        </w:tc>
        <w:tc>
          <w:tcPr>
            <w:tcW w:w="3890" w:type="pct"/>
            <w:gridSpan w:val="7"/>
            <w:noWrap w:val="0"/>
            <w:vAlign w:val="center"/>
          </w:tcPr>
          <w:p w14:paraId="28B5590E">
            <w:pPr>
              <w:rPr>
                <w:rFonts w:ascii="Times New Roman" w:hAnsi="Times New Roman" w:cs="Times New Roman"/>
                <w:spacing w:val="10"/>
                <w:sz w:val="21"/>
                <w:szCs w:val="21"/>
              </w:rPr>
            </w:pPr>
            <w:r>
              <w:rPr>
                <w:rFonts w:ascii="Times New Roman" w:hAnsi="Times New Roman" w:cs="Times New Roman"/>
                <w:spacing w:val="10"/>
                <w:sz w:val="21"/>
                <w:szCs w:val="21"/>
              </w:rPr>
              <w:t>吸入。</w:t>
            </w:r>
          </w:p>
        </w:tc>
      </w:tr>
      <w:tr w14:paraId="2B0C2113">
        <w:tblPrEx>
          <w:tblBorders>
            <w:top w:val="thinThickSmallGap" w:color="auto" w:sz="12" w:space="0"/>
            <w:left w:val="none" w:color="auto" w:sz="0" w:space="0"/>
            <w:bottom w:val="thickThinSmallGap"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287" w:type="pct"/>
            <w:vMerge w:val="continue"/>
            <w:shd w:val="clear" w:color="auto" w:fill="C2C2C2"/>
            <w:noWrap w:val="0"/>
            <w:vAlign w:val="center"/>
          </w:tcPr>
          <w:p w14:paraId="6F11C058">
            <w:pPr>
              <w:ind w:firstLine="460"/>
              <w:jc w:val="center"/>
              <w:rPr>
                <w:rFonts w:ascii="Times New Roman" w:hAnsi="Times New Roman" w:cs="Times New Roman"/>
                <w:spacing w:val="10"/>
                <w:sz w:val="21"/>
                <w:szCs w:val="21"/>
              </w:rPr>
            </w:pPr>
          </w:p>
        </w:tc>
        <w:tc>
          <w:tcPr>
            <w:tcW w:w="823" w:type="pct"/>
            <w:noWrap w:val="0"/>
            <w:vAlign w:val="center"/>
          </w:tcPr>
          <w:p w14:paraId="64205530">
            <w:pPr>
              <w:jc w:val="center"/>
              <w:rPr>
                <w:rFonts w:ascii="Times New Roman" w:hAnsi="Times New Roman" w:cs="Times New Roman"/>
                <w:spacing w:val="10"/>
                <w:sz w:val="21"/>
                <w:szCs w:val="21"/>
              </w:rPr>
            </w:pPr>
            <w:r>
              <w:rPr>
                <w:rFonts w:ascii="Times New Roman" w:hAnsi="Times New Roman" w:cs="Times New Roman"/>
                <w:spacing w:val="10"/>
                <w:sz w:val="21"/>
                <w:szCs w:val="21"/>
              </w:rPr>
              <w:t>毒性</w:t>
            </w:r>
          </w:p>
        </w:tc>
        <w:tc>
          <w:tcPr>
            <w:tcW w:w="3890" w:type="pct"/>
            <w:gridSpan w:val="7"/>
            <w:noWrap w:val="0"/>
            <w:vAlign w:val="center"/>
          </w:tcPr>
          <w:p w14:paraId="26CCEC63">
            <w:pPr>
              <w:rPr>
                <w:rFonts w:ascii="Times New Roman" w:hAnsi="Times New Roman" w:cs="Times New Roman"/>
                <w:spacing w:val="10"/>
                <w:sz w:val="21"/>
                <w:szCs w:val="21"/>
              </w:rPr>
            </w:pPr>
            <w:r>
              <w:rPr>
                <w:rFonts w:ascii="Times New Roman" w:hAnsi="Times New Roman" w:cs="Times New Roman"/>
                <w:spacing w:val="10"/>
                <w:sz w:val="21"/>
                <w:szCs w:val="21"/>
              </w:rPr>
              <w:t>美国（ACGIH） 5mg/m</w:t>
            </w:r>
            <w:r>
              <w:rPr>
                <w:rFonts w:ascii="Times New Roman" w:hAnsi="Times New Roman" w:cs="Times New Roman"/>
                <w:spacing w:val="10"/>
                <w:sz w:val="21"/>
                <w:szCs w:val="21"/>
                <w:vertAlign w:val="superscript"/>
              </w:rPr>
              <w:t>3</w:t>
            </w:r>
          </w:p>
        </w:tc>
      </w:tr>
      <w:tr w14:paraId="2BBCDF0F">
        <w:tblPrEx>
          <w:tblBorders>
            <w:top w:val="thinThickSmallGap" w:color="auto" w:sz="12" w:space="0"/>
            <w:left w:val="none" w:color="auto" w:sz="0" w:space="0"/>
            <w:bottom w:val="thickThinSmallGap"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287" w:type="pct"/>
            <w:vMerge w:val="continue"/>
            <w:shd w:val="clear" w:color="auto" w:fill="C2C2C2"/>
            <w:noWrap w:val="0"/>
            <w:vAlign w:val="center"/>
          </w:tcPr>
          <w:p w14:paraId="0D4C79D8">
            <w:pPr>
              <w:jc w:val="center"/>
              <w:rPr>
                <w:rFonts w:ascii="Times New Roman" w:hAnsi="Times New Roman" w:cs="Times New Roman"/>
                <w:spacing w:val="10"/>
                <w:sz w:val="21"/>
                <w:szCs w:val="21"/>
              </w:rPr>
            </w:pPr>
          </w:p>
        </w:tc>
        <w:tc>
          <w:tcPr>
            <w:tcW w:w="823" w:type="pct"/>
            <w:noWrap w:val="0"/>
            <w:vAlign w:val="center"/>
          </w:tcPr>
          <w:p w14:paraId="27C04E92">
            <w:pPr>
              <w:jc w:val="center"/>
              <w:rPr>
                <w:rFonts w:ascii="Times New Roman" w:hAnsi="Times New Roman" w:cs="Times New Roman"/>
                <w:spacing w:val="10"/>
                <w:sz w:val="21"/>
                <w:szCs w:val="21"/>
              </w:rPr>
            </w:pPr>
            <w:r>
              <w:rPr>
                <w:rFonts w:ascii="Times New Roman" w:hAnsi="Times New Roman" w:cs="Times New Roman"/>
                <w:spacing w:val="10"/>
                <w:sz w:val="21"/>
                <w:szCs w:val="21"/>
              </w:rPr>
              <w:t>健康危害</w:t>
            </w:r>
          </w:p>
        </w:tc>
        <w:tc>
          <w:tcPr>
            <w:tcW w:w="3890" w:type="pct"/>
            <w:gridSpan w:val="7"/>
            <w:noWrap w:val="0"/>
            <w:vAlign w:val="center"/>
          </w:tcPr>
          <w:p w14:paraId="66C8722B">
            <w:pPr>
              <w:rPr>
                <w:rFonts w:ascii="Times New Roman" w:hAnsi="Times New Roman" w:cs="Times New Roman"/>
                <w:sz w:val="21"/>
                <w:szCs w:val="21"/>
              </w:rPr>
            </w:pPr>
            <w:r>
              <w:rPr>
                <w:rFonts w:ascii="Times New Roman" w:hAnsi="Times New Roman" w:cs="Times New Roman"/>
                <w:sz w:val="21"/>
                <w:szCs w:val="21"/>
              </w:rPr>
              <w:t>在正常条件下使用不应会成为健康危险源。长时间接触可造成眩晕或反胃，如果发生了，将患者转移到由新鲜空气的地方，若症状持续则要求求助医生。</w:t>
            </w:r>
          </w:p>
        </w:tc>
      </w:tr>
      <w:tr w14:paraId="20E50D5D">
        <w:tblPrEx>
          <w:tblBorders>
            <w:top w:val="thinThickSmallGap" w:color="auto" w:sz="12" w:space="0"/>
            <w:left w:val="none" w:color="auto" w:sz="0" w:space="0"/>
            <w:bottom w:val="thickThinSmallGap"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287" w:type="pct"/>
            <w:vMerge w:val="continue"/>
            <w:shd w:val="clear" w:color="auto" w:fill="C2C2C2"/>
            <w:noWrap w:val="0"/>
            <w:vAlign w:val="center"/>
          </w:tcPr>
          <w:p w14:paraId="593D3A69">
            <w:pPr>
              <w:rPr>
                <w:rFonts w:ascii="Times New Roman" w:hAnsi="Times New Roman" w:cs="Times New Roman"/>
                <w:spacing w:val="10"/>
                <w:sz w:val="21"/>
                <w:szCs w:val="21"/>
              </w:rPr>
            </w:pPr>
          </w:p>
        </w:tc>
        <w:tc>
          <w:tcPr>
            <w:tcW w:w="823" w:type="pct"/>
            <w:noWrap w:val="0"/>
            <w:vAlign w:val="center"/>
          </w:tcPr>
          <w:p w14:paraId="75F05DFE">
            <w:pPr>
              <w:jc w:val="center"/>
              <w:rPr>
                <w:rFonts w:ascii="Times New Roman" w:hAnsi="Times New Roman" w:cs="Times New Roman"/>
                <w:spacing w:val="10"/>
                <w:sz w:val="21"/>
                <w:szCs w:val="21"/>
              </w:rPr>
            </w:pPr>
            <w:r>
              <w:rPr>
                <w:rFonts w:ascii="Times New Roman" w:hAnsi="Times New Roman" w:cs="Times New Roman"/>
                <w:spacing w:val="10"/>
                <w:sz w:val="21"/>
                <w:szCs w:val="21"/>
              </w:rPr>
              <w:t>急救方法</w:t>
            </w:r>
          </w:p>
        </w:tc>
        <w:tc>
          <w:tcPr>
            <w:tcW w:w="3890" w:type="pct"/>
            <w:gridSpan w:val="7"/>
            <w:noWrap w:val="0"/>
            <w:vAlign w:val="center"/>
          </w:tcPr>
          <w:p w14:paraId="394B4308">
            <w:pPr>
              <w:rPr>
                <w:rFonts w:ascii="Times New Roman" w:hAnsi="Times New Roman" w:cs="Times New Roman"/>
                <w:sz w:val="21"/>
                <w:szCs w:val="21"/>
              </w:rPr>
            </w:pPr>
            <w:r>
              <w:rPr>
                <w:rFonts w:ascii="Times New Roman" w:hAnsi="Times New Roman" w:cs="Times New Roman"/>
                <w:sz w:val="21"/>
                <w:szCs w:val="21"/>
              </w:rPr>
              <w:t>皮肤接触：脱去污染的衣着，用大量流动性清水清洗暴露的部位，并用肥皂进行清洗。如刺激持续，就医。在使用高压设备时，有可能造成本品注入皮下，如发生此种情况，立即就医。</w:t>
            </w:r>
          </w:p>
          <w:p w14:paraId="7B44FDC4">
            <w:pPr>
              <w:rPr>
                <w:rFonts w:ascii="Times New Roman" w:hAnsi="Times New Roman" w:cs="Times New Roman"/>
                <w:sz w:val="21"/>
                <w:szCs w:val="21"/>
              </w:rPr>
            </w:pPr>
            <w:r>
              <w:rPr>
                <w:rFonts w:ascii="Times New Roman" w:hAnsi="Times New Roman" w:cs="Times New Roman"/>
                <w:sz w:val="21"/>
                <w:szCs w:val="21"/>
              </w:rPr>
              <w:t>眼接触：提起眼睑，用流动清水或生理盐水冲洗。就医。</w:t>
            </w:r>
          </w:p>
          <w:p w14:paraId="38F30DC9">
            <w:pPr>
              <w:rPr>
                <w:rFonts w:ascii="Times New Roman" w:hAnsi="Times New Roman" w:cs="Times New Roman"/>
                <w:sz w:val="21"/>
                <w:szCs w:val="21"/>
              </w:rPr>
            </w:pPr>
            <w:r>
              <w:rPr>
                <w:rFonts w:ascii="Times New Roman" w:hAnsi="Times New Roman" w:cs="Times New Roman"/>
                <w:sz w:val="21"/>
                <w:szCs w:val="21"/>
              </w:rPr>
              <w:t>吸入：迅速脱离现场至空气新鲜处。保持呼吸道通畅。如呼吸困难，给输氧。如呼吸停止，立即进行人工呼吸。就医。</w:t>
            </w:r>
          </w:p>
          <w:p w14:paraId="3C2BEAD0">
            <w:pPr>
              <w:rPr>
                <w:rFonts w:ascii="Times New Roman" w:hAnsi="Times New Roman" w:cs="Times New Roman"/>
                <w:spacing w:val="10"/>
                <w:sz w:val="21"/>
                <w:szCs w:val="21"/>
              </w:rPr>
            </w:pPr>
            <w:r>
              <w:rPr>
                <w:rFonts w:ascii="Times New Roman" w:hAnsi="Times New Roman" w:cs="Times New Roman"/>
                <w:spacing w:val="10"/>
                <w:sz w:val="21"/>
                <w:szCs w:val="21"/>
              </w:rPr>
              <w:t>食用：不要催吐，用水漱口并就医。</w:t>
            </w:r>
          </w:p>
        </w:tc>
      </w:tr>
      <w:tr w14:paraId="21FBFC6D">
        <w:tblPrEx>
          <w:tblBorders>
            <w:top w:val="thinThickSmallGap" w:color="auto" w:sz="12" w:space="0"/>
            <w:left w:val="none" w:color="auto" w:sz="0" w:space="0"/>
            <w:bottom w:val="thickThinSmallGap"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287" w:type="pct"/>
            <w:vMerge w:val="continue"/>
            <w:tcBorders>
              <w:bottom w:val="single" w:color="auto" w:sz="6" w:space="0"/>
            </w:tcBorders>
            <w:shd w:val="clear" w:color="auto" w:fill="C2C2C2"/>
            <w:noWrap w:val="0"/>
            <w:vAlign w:val="center"/>
          </w:tcPr>
          <w:p w14:paraId="616C53E9">
            <w:pPr>
              <w:rPr>
                <w:rFonts w:ascii="Times New Roman" w:hAnsi="Times New Roman" w:cs="Times New Roman"/>
                <w:spacing w:val="10"/>
                <w:sz w:val="21"/>
                <w:szCs w:val="21"/>
              </w:rPr>
            </w:pPr>
          </w:p>
        </w:tc>
        <w:tc>
          <w:tcPr>
            <w:tcW w:w="823" w:type="pct"/>
            <w:noWrap w:val="0"/>
            <w:vAlign w:val="center"/>
          </w:tcPr>
          <w:p w14:paraId="48082928">
            <w:pPr>
              <w:jc w:val="center"/>
              <w:rPr>
                <w:rFonts w:ascii="Times New Roman" w:hAnsi="Times New Roman" w:cs="Times New Roman"/>
                <w:spacing w:val="10"/>
                <w:sz w:val="21"/>
                <w:szCs w:val="21"/>
              </w:rPr>
            </w:pPr>
            <w:r>
              <w:rPr>
                <w:rFonts w:ascii="Times New Roman" w:hAnsi="Times New Roman" w:cs="Times New Roman"/>
                <w:spacing w:val="10"/>
                <w:sz w:val="21"/>
                <w:szCs w:val="21"/>
              </w:rPr>
              <w:t>防护处理</w:t>
            </w:r>
          </w:p>
        </w:tc>
        <w:tc>
          <w:tcPr>
            <w:tcW w:w="3890" w:type="pct"/>
            <w:gridSpan w:val="7"/>
            <w:noWrap w:val="0"/>
            <w:vAlign w:val="center"/>
          </w:tcPr>
          <w:p w14:paraId="01443ADA">
            <w:pPr>
              <w:rPr>
                <w:rFonts w:ascii="Times New Roman" w:hAnsi="Times New Roman" w:cs="Times New Roman"/>
                <w:sz w:val="21"/>
                <w:szCs w:val="21"/>
              </w:rPr>
            </w:pPr>
            <w:r>
              <w:rPr>
                <w:rFonts w:ascii="Times New Roman" w:hAnsi="Times New Roman" w:cs="Times New Roman"/>
                <w:sz w:val="21"/>
                <w:szCs w:val="21"/>
              </w:rPr>
              <w:t>呼吸系统防护：空气中浓度超标时，必须佩戴自吸过滤式防毒面具（半面罩），紧急事态抢救或撤离时，应佩戴空气呼吸器。</w:t>
            </w:r>
          </w:p>
          <w:p w14:paraId="30ADF145">
            <w:pPr>
              <w:rPr>
                <w:rFonts w:ascii="Times New Roman" w:hAnsi="Times New Roman" w:cs="Times New Roman"/>
                <w:sz w:val="21"/>
                <w:szCs w:val="21"/>
              </w:rPr>
            </w:pPr>
            <w:r>
              <w:rPr>
                <w:rFonts w:ascii="Times New Roman" w:hAnsi="Times New Roman" w:cs="Times New Roman"/>
                <w:sz w:val="21"/>
                <w:szCs w:val="21"/>
              </w:rPr>
              <w:t>眼睛防护：戴化学安全防护眼镜。</w:t>
            </w:r>
          </w:p>
          <w:p w14:paraId="5BAFA1DE">
            <w:pPr>
              <w:rPr>
                <w:rFonts w:ascii="Times New Roman" w:hAnsi="Times New Roman" w:cs="Times New Roman"/>
                <w:sz w:val="21"/>
                <w:szCs w:val="21"/>
              </w:rPr>
            </w:pPr>
            <w:r>
              <w:rPr>
                <w:rFonts w:ascii="Times New Roman" w:hAnsi="Times New Roman" w:cs="Times New Roman"/>
                <w:sz w:val="21"/>
                <w:szCs w:val="21"/>
              </w:rPr>
              <w:t>身体防护：穿防毒渗透工作服。</w:t>
            </w:r>
          </w:p>
          <w:p w14:paraId="7A0B48B8">
            <w:pPr>
              <w:rPr>
                <w:rFonts w:ascii="Times New Roman" w:hAnsi="Times New Roman" w:cs="Times New Roman"/>
                <w:sz w:val="21"/>
                <w:szCs w:val="21"/>
              </w:rPr>
            </w:pPr>
            <w:r>
              <w:rPr>
                <w:rFonts w:ascii="Times New Roman" w:hAnsi="Times New Roman" w:cs="Times New Roman"/>
                <w:sz w:val="21"/>
                <w:szCs w:val="21"/>
              </w:rPr>
              <w:t>手防护：戴聚氯乙烯、氯丁或丁腈橡胶手套。</w:t>
            </w:r>
          </w:p>
          <w:p w14:paraId="7FD8D62C">
            <w:pPr>
              <w:rPr>
                <w:rFonts w:ascii="Times New Roman" w:hAnsi="Times New Roman" w:cs="Times New Roman"/>
                <w:sz w:val="21"/>
                <w:szCs w:val="21"/>
              </w:rPr>
            </w:pPr>
            <w:r>
              <w:rPr>
                <w:rFonts w:ascii="Times New Roman" w:hAnsi="Times New Roman" w:cs="Times New Roman"/>
                <w:sz w:val="21"/>
                <w:szCs w:val="21"/>
              </w:rPr>
              <w:t>其他：工作现场严禁吸烟，避免长期反复接触。进入限制性空间或其他高浓度区作业，需有人监护。</w:t>
            </w:r>
          </w:p>
        </w:tc>
      </w:tr>
      <w:tr w14:paraId="7824F221">
        <w:tblPrEx>
          <w:tblBorders>
            <w:top w:val="thinThickSmallGap" w:color="auto" w:sz="12" w:space="0"/>
            <w:left w:val="none" w:color="auto" w:sz="0" w:space="0"/>
            <w:bottom w:val="thickThinSmallGap"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287" w:type="pct"/>
            <w:vMerge w:val="restart"/>
            <w:tcBorders>
              <w:top w:val="single" w:color="auto" w:sz="6" w:space="0"/>
              <w:bottom w:val="thickThinSmallGap" w:color="auto" w:sz="12" w:space="0"/>
            </w:tcBorders>
            <w:shd w:val="clear" w:color="auto" w:fill="C2C2C2"/>
            <w:noWrap w:val="0"/>
            <w:vAlign w:val="center"/>
          </w:tcPr>
          <w:p w14:paraId="4E599E7C">
            <w:pPr>
              <w:jc w:val="center"/>
              <w:rPr>
                <w:rFonts w:ascii="Times New Roman" w:hAnsi="Times New Roman" w:cs="Times New Roman"/>
                <w:spacing w:val="10"/>
                <w:sz w:val="21"/>
                <w:szCs w:val="21"/>
              </w:rPr>
            </w:pPr>
            <w:r>
              <w:rPr>
                <w:rFonts w:ascii="Times New Roman" w:hAnsi="Times New Roman" w:cs="Times New Roman"/>
                <w:spacing w:val="10"/>
                <w:sz w:val="21"/>
                <w:szCs w:val="21"/>
              </w:rPr>
              <w:t>燃烧爆炸危险性</w:t>
            </w:r>
          </w:p>
        </w:tc>
        <w:tc>
          <w:tcPr>
            <w:tcW w:w="823" w:type="pct"/>
            <w:noWrap w:val="0"/>
            <w:vAlign w:val="center"/>
          </w:tcPr>
          <w:p w14:paraId="7A5DC0B3">
            <w:pPr>
              <w:jc w:val="center"/>
              <w:rPr>
                <w:rFonts w:ascii="Times New Roman" w:hAnsi="Times New Roman" w:cs="Times New Roman"/>
                <w:spacing w:val="10"/>
                <w:sz w:val="21"/>
                <w:szCs w:val="21"/>
              </w:rPr>
            </w:pPr>
            <w:r>
              <w:rPr>
                <w:rFonts w:ascii="Times New Roman" w:hAnsi="Times New Roman" w:cs="Times New Roman"/>
                <w:spacing w:val="10"/>
                <w:sz w:val="21"/>
                <w:szCs w:val="21"/>
              </w:rPr>
              <w:t>燃烧性</w:t>
            </w:r>
          </w:p>
        </w:tc>
        <w:tc>
          <w:tcPr>
            <w:tcW w:w="1162" w:type="pct"/>
            <w:gridSpan w:val="2"/>
            <w:noWrap w:val="0"/>
            <w:vAlign w:val="center"/>
          </w:tcPr>
          <w:p w14:paraId="6B0CE27F">
            <w:pPr>
              <w:jc w:val="center"/>
              <w:rPr>
                <w:rFonts w:ascii="Times New Roman" w:hAnsi="Times New Roman" w:cs="Times New Roman"/>
                <w:spacing w:val="10"/>
                <w:sz w:val="21"/>
                <w:szCs w:val="21"/>
              </w:rPr>
            </w:pPr>
            <w:r>
              <w:rPr>
                <w:rFonts w:ascii="Times New Roman" w:hAnsi="Times New Roman" w:cs="Times New Roman"/>
                <w:spacing w:val="10"/>
                <w:sz w:val="21"/>
                <w:szCs w:val="21"/>
              </w:rPr>
              <w:t>可燃</w:t>
            </w:r>
          </w:p>
        </w:tc>
        <w:tc>
          <w:tcPr>
            <w:tcW w:w="962" w:type="pct"/>
            <w:gridSpan w:val="2"/>
            <w:noWrap w:val="0"/>
            <w:vAlign w:val="center"/>
          </w:tcPr>
          <w:p w14:paraId="22480FA6">
            <w:pPr>
              <w:jc w:val="center"/>
              <w:rPr>
                <w:rFonts w:ascii="Times New Roman" w:hAnsi="Times New Roman" w:cs="Times New Roman"/>
                <w:spacing w:val="10"/>
                <w:sz w:val="21"/>
                <w:szCs w:val="21"/>
              </w:rPr>
            </w:pPr>
            <w:r>
              <w:rPr>
                <w:rFonts w:ascii="Times New Roman" w:hAnsi="Times New Roman" w:cs="Times New Roman"/>
                <w:spacing w:val="10"/>
                <w:sz w:val="21"/>
                <w:szCs w:val="21"/>
              </w:rPr>
              <w:t>燃烧分解物</w:t>
            </w:r>
          </w:p>
        </w:tc>
        <w:tc>
          <w:tcPr>
            <w:tcW w:w="1766" w:type="pct"/>
            <w:gridSpan w:val="3"/>
            <w:noWrap w:val="0"/>
            <w:vAlign w:val="center"/>
          </w:tcPr>
          <w:p w14:paraId="0973FFD5">
            <w:pPr>
              <w:jc w:val="center"/>
              <w:rPr>
                <w:rFonts w:ascii="Times New Roman" w:hAnsi="Times New Roman" w:cs="Times New Roman"/>
                <w:spacing w:val="10"/>
                <w:sz w:val="21"/>
                <w:szCs w:val="21"/>
              </w:rPr>
            </w:pPr>
            <w:r>
              <w:rPr>
                <w:rFonts w:ascii="Times New Roman" w:hAnsi="Times New Roman" w:cs="Times New Roman"/>
                <w:spacing w:val="10"/>
                <w:sz w:val="21"/>
                <w:szCs w:val="21"/>
              </w:rPr>
              <w:t>一氧化碳、氧化硫等。</w:t>
            </w:r>
          </w:p>
        </w:tc>
      </w:tr>
      <w:tr w14:paraId="106CC3E7">
        <w:tblPrEx>
          <w:tblBorders>
            <w:top w:val="thinThickSmallGap" w:color="auto" w:sz="12" w:space="0"/>
            <w:left w:val="none" w:color="auto" w:sz="0" w:space="0"/>
            <w:bottom w:val="thickThinSmallGap"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287" w:type="pct"/>
            <w:vMerge w:val="continue"/>
            <w:tcBorders>
              <w:top w:val="single" w:color="auto" w:sz="6" w:space="0"/>
              <w:bottom w:val="thickThinSmallGap" w:color="auto" w:sz="12" w:space="0"/>
            </w:tcBorders>
            <w:shd w:val="clear" w:color="auto" w:fill="C2C2C2"/>
            <w:noWrap w:val="0"/>
            <w:vAlign w:val="center"/>
          </w:tcPr>
          <w:p w14:paraId="7ADF3F33">
            <w:pPr>
              <w:rPr>
                <w:rFonts w:ascii="Times New Roman" w:hAnsi="Times New Roman" w:cs="Times New Roman"/>
                <w:spacing w:val="10"/>
                <w:sz w:val="21"/>
                <w:szCs w:val="21"/>
              </w:rPr>
            </w:pPr>
          </w:p>
        </w:tc>
        <w:tc>
          <w:tcPr>
            <w:tcW w:w="823" w:type="pct"/>
            <w:noWrap w:val="0"/>
            <w:vAlign w:val="center"/>
          </w:tcPr>
          <w:p w14:paraId="6A7D610D">
            <w:pPr>
              <w:jc w:val="center"/>
              <w:rPr>
                <w:rFonts w:ascii="Times New Roman" w:hAnsi="Times New Roman" w:cs="Times New Roman"/>
                <w:spacing w:val="10"/>
                <w:sz w:val="21"/>
                <w:szCs w:val="21"/>
              </w:rPr>
            </w:pPr>
            <w:r>
              <w:rPr>
                <w:rFonts w:ascii="Times New Roman" w:hAnsi="Times New Roman" w:cs="Times New Roman"/>
                <w:spacing w:val="10"/>
                <w:sz w:val="21"/>
                <w:szCs w:val="21"/>
              </w:rPr>
              <w:t>稳定性</w:t>
            </w:r>
          </w:p>
        </w:tc>
        <w:tc>
          <w:tcPr>
            <w:tcW w:w="1162" w:type="pct"/>
            <w:gridSpan w:val="2"/>
            <w:noWrap w:val="0"/>
            <w:vAlign w:val="center"/>
          </w:tcPr>
          <w:p w14:paraId="42678707">
            <w:pPr>
              <w:jc w:val="center"/>
              <w:rPr>
                <w:rFonts w:ascii="Times New Roman" w:hAnsi="Times New Roman" w:cs="Times New Roman"/>
                <w:spacing w:val="10"/>
                <w:sz w:val="21"/>
                <w:szCs w:val="21"/>
              </w:rPr>
            </w:pPr>
            <w:r>
              <w:rPr>
                <w:rFonts w:ascii="Times New Roman" w:hAnsi="Times New Roman" w:cs="Times New Roman"/>
                <w:sz w:val="21"/>
                <w:szCs w:val="21"/>
              </w:rPr>
              <w:t>稳定</w:t>
            </w:r>
          </w:p>
        </w:tc>
        <w:tc>
          <w:tcPr>
            <w:tcW w:w="962" w:type="pct"/>
            <w:gridSpan w:val="2"/>
            <w:noWrap w:val="0"/>
            <w:vAlign w:val="center"/>
          </w:tcPr>
          <w:p w14:paraId="1D6605C8">
            <w:pPr>
              <w:jc w:val="center"/>
              <w:rPr>
                <w:rFonts w:ascii="Times New Roman" w:hAnsi="Times New Roman" w:cs="Times New Roman"/>
                <w:spacing w:val="10"/>
                <w:sz w:val="21"/>
                <w:szCs w:val="21"/>
              </w:rPr>
            </w:pPr>
            <w:r>
              <w:rPr>
                <w:rFonts w:ascii="Times New Roman" w:hAnsi="Times New Roman" w:cs="Times New Roman"/>
                <w:spacing w:val="10"/>
                <w:sz w:val="21"/>
                <w:szCs w:val="21"/>
              </w:rPr>
              <w:t>禁忌物</w:t>
            </w:r>
          </w:p>
        </w:tc>
        <w:tc>
          <w:tcPr>
            <w:tcW w:w="1766" w:type="pct"/>
            <w:gridSpan w:val="3"/>
            <w:noWrap w:val="0"/>
            <w:vAlign w:val="center"/>
          </w:tcPr>
          <w:p w14:paraId="37126D3D">
            <w:pPr>
              <w:jc w:val="center"/>
              <w:rPr>
                <w:rFonts w:ascii="Times New Roman" w:hAnsi="Times New Roman" w:cs="Times New Roman"/>
                <w:spacing w:val="10"/>
                <w:sz w:val="21"/>
                <w:szCs w:val="21"/>
              </w:rPr>
            </w:pPr>
            <w:r>
              <w:rPr>
                <w:rFonts w:ascii="Times New Roman" w:hAnsi="Times New Roman" w:cs="Times New Roman"/>
                <w:spacing w:val="10"/>
                <w:sz w:val="21"/>
                <w:szCs w:val="21"/>
              </w:rPr>
              <w:t>强氧化剂</w:t>
            </w:r>
          </w:p>
        </w:tc>
      </w:tr>
      <w:tr w14:paraId="4FA3692D">
        <w:tblPrEx>
          <w:tblBorders>
            <w:top w:val="thinThickSmallGap" w:color="auto" w:sz="12" w:space="0"/>
            <w:left w:val="none" w:color="auto" w:sz="0" w:space="0"/>
            <w:bottom w:val="thickThinSmallGap"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287" w:type="pct"/>
            <w:vMerge w:val="continue"/>
            <w:tcBorders>
              <w:top w:val="single" w:color="auto" w:sz="6" w:space="0"/>
              <w:bottom w:val="thickThinSmallGap" w:color="auto" w:sz="12" w:space="0"/>
            </w:tcBorders>
            <w:shd w:val="clear" w:color="auto" w:fill="C2C2C2"/>
            <w:noWrap w:val="0"/>
            <w:vAlign w:val="center"/>
          </w:tcPr>
          <w:p w14:paraId="3E793375">
            <w:pPr>
              <w:rPr>
                <w:rFonts w:ascii="Times New Roman" w:hAnsi="Times New Roman" w:cs="Times New Roman"/>
                <w:spacing w:val="10"/>
                <w:sz w:val="21"/>
                <w:szCs w:val="21"/>
              </w:rPr>
            </w:pPr>
          </w:p>
        </w:tc>
        <w:tc>
          <w:tcPr>
            <w:tcW w:w="823" w:type="pct"/>
            <w:noWrap w:val="0"/>
            <w:vAlign w:val="center"/>
          </w:tcPr>
          <w:p w14:paraId="73A9FD23">
            <w:pPr>
              <w:jc w:val="center"/>
              <w:rPr>
                <w:rFonts w:ascii="Times New Roman" w:hAnsi="Times New Roman" w:cs="Times New Roman"/>
                <w:spacing w:val="10"/>
                <w:sz w:val="21"/>
                <w:szCs w:val="21"/>
              </w:rPr>
            </w:pPr>
            <w:r>
              <w:rPr>
                <w:rFonts w:ascii="Times New Roman" w:hAnsi="Times New Roman" w:cs="Times New Roman"/>
                <w:spacing w:val="10"/>
                <w:sz w:val="21"/>
                <w:szCs w:val="21"/>
              </w:rPr>
              <w:t>危险特性</w:t>
            </w:r>
          </w:p>
        </w:tc>
        <w:tc>
          <w:tcPr>
            <w:tcW w:w="3890" w:type="pct"/>
            <w:gridSpan w:val="7"/>
            <w:noWrap w:val="0"/>
            <w:vAlign w:val="center"/>
          </w:tcPr>
          <w:p w14:paraId="7A4D9695">
            <w:pPr>
              <w:rPr>
                <w:rFonts w:ascii="Times New Roman" w:hAnsi="Times New Roman" w:cs="Times New Roman"/>
                <w:sz w:val="21"/>
                <w:szCs w:val="21"/>
              </w:rPr>
            </w:pPr>
            <w:r>
              <w:rPr>
                <w:rFonts w:ascii="Times New Roman" w:hAnsi="Times New Roman" w:cs="Times New Roman"/>
                <w:sz w:val="21"/>
                <w:szCs w:val="21"/>
              </w:rPr>
              <w:t>可燃，燃烧可能形成在空气中的固体和液体微粒及气体的复杂混合物，包括一氧化碳、氧化硫及未识别的有机及无机化合物。</w:t>
            </w:r>
          </w:p>
        </w:tc>
      </w:tr>
      <w:tr w14:paraId="727E40C8">
        <w:tblPrEx>
          <w:tblBorders>
            <w:top w:val="thinThickSmallGap" w:color="auto" w:sz="12" w:space="0"/>
            <w:left w:val="none" w:color="auto" w:sz="0" w:space="0"/>
            <w:bottom w:val="thickThinSmallGap"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287" w:type="pct"/>
            <w:vMerge w:val="continue"/>
            <w:tcBorders>
              <w:top w:val="single" w:color="auto" w:sz="6" w:space="0"/>
              <w:bottom w:val="thickThinSmallGap" w:color="auto" w:sz="12" w:space="0"/>
            </w:tcBorders>
            <w:shd w:val="clear" w:color="auto" w:fill="C2C2C2"/>
            <w:noWrap w:val="0"/>
            <w:vAlign w:val="center"/>
          </w:tcPr>
          <w:p w14:paraId="0363E7D4">
            <w:pPr>
              <w:rPr>
                <w:rFonts w:ascii="Times New Roman" w:hAnsi="Times New Roman" w:cs="Times New Roman"/>
                <w:spacing w:val="10"/>
                <w:sz w:val="21"/>
                <w:szCs w:val="21"/>
              </w:rPr>
            </w:pPr>
          </w:p>
        </w:tc>
        <w:tc>
          <w:tcPr>
            <w:tcW w:w="823" w:type="pct"/>
            <w:noWrap w:val="0"/>
            <w:vAlign w:val="center"/>
          </w:tcPr>
          <w:p w14:paraId="2D923E80">
            <w:pPr>
              <w:jc w:val="center"/>
              <w:rPr>
                <w:rFonts w:ascii="Times New Roman" w:hAnsi="Times New Roman" w:cs="Times New Roman"/>
                <w:spacing w:val="10"/>
                <w:sz w:val="21"/>
                <w:szCs w:val="21"/>
              </w:rPr>
            </w:pPr>
            <w:r>
              <w:rPr>
                <w:rFonts w:ascii="Times New Roman" w:hAnsi="Times New Roman" w:cs="Times New Roman"/>
                <w:spacing w:val="10"/>
                <w:sz w:val="21"/>
                <w:szCs w:val="21"/>
              </w:rPr>
              <w:t>储运条件</w:t>
            </w:r>
          </w:p>
          <w:p w14:paraId="4ADFBB28">
            <w:pPr>
              <w:jc w:val="center"/>
              <w:rPr>
                <w:rFonts w:ascii="Times New Roman" w:hAnsi="Times New Roman" w:cs="Times New Roman"/>
                <w:spacing w:val="10"/>
                <w:sz w:val="21"/>
                <w:szCs w:val="21"/>
              </w:rPr>
            </w:pPr>
            <w:r>
              <w:rPr>
                <w:rFonts w:ascii="Times New Roman" w:hAnsi="Times New Roman" w:cs="Times New Roman"/>
                <w:spacing w:val="10"/>
                <w:sz w:val="21"/>
                <w:szCs w:val="21"/>
              </w:rPr>
              <w:t>与泄漏处理</w:t>
            </w:r>
          </w:p>
        </w:tc>
        <w:tc>
          <w:tcPr>
            <w:tcW w:w="3890" w:type="pct"/>
            <w:gridSpan w:val="7"/>
            <w:noWrap w:val="0"/>
            <w:vAlign w:val="center"/>
          </w:tcPr>
          <w:p w14:paraId="79D49838">
            <w:pPr>
              <w:rPr>
                <w:rFonts w:ascii="Times New Roman" w:hAnsi="Times New Roman" w:cs="Times New Roman"/>
                <w:spacing w:val="-2"/>
                <w:sz w:val="21"/>
                <w:szCs w:val="21"/>
              </w:rPr>
            </w:pPr>
            <w:r>
              <w:rPr>
                <w:rFonts w:ascii="Times New Roman" w:hAnsi="Times New Roman" w:cs="Times New Roman"/>
                <w:b/>
                <w:spacing w:val="-2"/>
                <w:sz w:val="21"/>
                <w:szCs w:val="21"/>
              </w:rPr>
              <w:t>储存要求：</w:t>
            </w:r>
            <w:r>
              <w:rPr>
                <w:rFonts w:ascii="Times New Roman" w:hAnsi="Times New Roman" w:cs="Times New Roman"/>
                <w:spacing w:val="-2"/>
                <w:sz w:val="21"/>
                <w:szCs w:val="21"/>
              </w:rPr>
              <w:t>密闭容器，储存于阴凉、通风的库房。储存温度：长期储存（3个月以上）-15~50℃，短期储存20~60℃。</w:t>
            </w:r>
          </w:p>
          <w:p w14:paraId="3BD4DBD8">
            <w:pPr>
              <w:rPr>
                <w:rFonts w:ascii="Times New Roman" w:hAnsi="Times New Roman" w:cs="Times New Roman"/>
                <w:spacing w:val="-2"/>
                <w:sz w:val="21"/>
                <w:szCs w:val="21"/>
              </w:rPr>
            </w:pPr>
            <w:r>
              <w:rPr>
                <w:rFonts w:ascii="Times New Roman" w:hAnsi="Times New Roman" w:cs="Times New Roman"/>
                <w:b/>
                <w:spacing w:val="-2"/>
                <w:sz w:val="21"/>
                <w:szCs w:val="21"/>
              </w:rPr>
              <w:t>泄漏处理</w:t>
            </w:r>
            <w:r>
              <w:rPr>
                <w:rFonts w:ascii="Times New Roman" w:hAnsi="Times New Roman" w:cs="Times New Roman"/>
                <w:spacing w:val="-2"/>
                <w:sz w:val="21"/>
                <w:szCs w:val="21"/>
              </w:rPr>
              <w:t>：溢出后，地面非常光滑，应立即清洁。用沙、泥土或其他可用来拦堵的材料设置障碍，防止扩散。直接回收液体或存放于吸收剂中。用粘土、沙或其他吸附材料吸收残余物，回收或运至废物处理场所处置。</w:t>
            </w:r>
          </w:p>
        </w:tc>
      </w:tr>
      <w:tr w14:paraId="7E48CE60">
        <w:tblPrEx>
          <w:tblBorders>
            <w:top w:val="thinThickSmallGap" w:color="auto" w:sz="12" w:space="0"/>
            <w:left w:val="none" w:color="auto" w:sz="0" w:space="0"/>
            <w:bottom w:val="thickThinSmallGap"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287" w:type="pct"/>
            <w:vMerge w:val="continue"/>
            <w:tcBorders>
              <w:top w:val="single" w:color="auto" w:sz="6" w:space="0"/>
              <w:bottom w:val="thickThinSmallGap" w:color="auto" w:sz="12" w:space="0"/>
            </w:tcBorders>
            <w:shd w:val="clear" w:color="auto" w:fill="C2C2C2"/>
            <w:noWrap w:val="0"/>
            <w:vAlign w:val="center"/>
          </w:tcPr>
          <w:p w14:paraId="4B00C75D">
            <w:pPr>
              <w:rPr>
                <w:rFonts w:ascii="Times New Roman" w:hAnsi="Times New Roman" w:cs="Times New Roman"/>
                <w:spacing w:val="10"/>
                <w:sz w:val="21"/>
                <w:szCs w:val="21"/>
              </w:rPr>
            </w:pPr>
          </w:p>
        </w:tc>
        <w:tc>
          <w:tcPr>
            <w:tcW w:w="823" w:type="pct"/>
            <w:noWrap w:val="0"/>
            <w:vAlign w:val="center"/>
          </w:tcPr>
          <w:p w14:paraId="30CF51F9">
            <w:pPr>
              <w:jc w:val="center"/>
              <w:rPr>
                <w:rFonts w:ascii="Times New Roman" w:hAnsi="Times New Roman" w:cs="Times New Roman"/>
                <w:spacing w:val="10"/>
                <w:sz w:val="21"/>
                <w:szCs w:val="21"/>
              </w:rPr>
            </w:pPr>
            <w:r>
              <w:rPr>
                <w:rFonts w:ascii="Times New Roman" w:hAnsi="Times New Roman" w:cs="Times New Roman"/>
                <w:spacing w:val="10"/>
                <w:sz w:val="21"/>
                <w:szCs w:val="21"/>
              </w:rPr>
              <w:t>灭火方法</w:t>
            </w:r>
          </w:p>
        </w:tc>
        <w:tc>
          <w:tcPr>
            <w:tcW w:w="3890" w:type="pct"/>
            <w:gridSpan w:val="7"/>
            <w:noWrap w:val="0"/>
            <w:vAlign w:val="center"/>
          </w:tcPr>
          <w:p w14:paraId="7ACFC77F">
            <w:pPr>
              <w:rPr>
                <w:rFonts w:ascii="Times New Roman" w:hAnsi="Times New Roman" w:cs="Times New Roman"/>
                <w:spacing w:val="-6"/>
                <w:sz w:val="21"/>
                <w:szCs w:val="21"/>
              </w:rPr>
            </w:pPr>
            <w:r>
              <w:rPr>
                <w:rFonts w:ascii="Times New Roman" w:hAnsi="Times New Roman" w:cs="Times New Roman"/>
                <w:spacing w:val="-6"/>
                <w:sz w:val="21"/>
                <w:szCs w:val="21"/>
              </w:rPr>
              <w:t>消防人员须佩戴防毒面具、穿全身消防服，在上风向灭火。尽可能将容器从火场移至空旷处。喷火保持火场容器冷却，直至灭火结束。灭火剂：泡沫、干粉、二氧化碳。</w:t>
            </w:r>
          </w:p>
        </w:tc>
      </w:tr>
    </w:tbl>
    <w:p w14:paraId="4D754741">
      <w:pPr>
        <w:keepNext/>
        <w:tabs>
          <w:tab w:val="left" w:pos="658"/>
        </w:tabs>
        <w:spacing w:line="360" w:lineRule="auto"/>
        <w:outlineLvl w:val="2"/>
        <w:rPr>
          <w:rFonts w:ascii="Times New Roman" w:hAnsi="Times New Roman" w:cs="Times New Roman"/>
          <w:b/>
          <w:szCs w:val="28"/>
        </w:rPr>
      </w:pPr>
      <w:bookmarkStart w:id="553" w:name="_Toc90026317"/>
      <w:bookmarkStart w:id="554" w:name="_Toc26367"/>
      <w:r>
        <w:rPr>
          <w:rFonts w:hint="eastAsia" w:ascii="Times New Roman" w:hAnsi="Times New Roman" w:cs="Times New Roman"/>
          <w:b/>
          <w:szCs w:val="28"/>
        </w:rPr>
        <w:t>6</w:t>
      </w:r>
      <w:r>
        <w:rPr>
          <w:rFonts w:ascii="Times New Roman" w:hAnsi="Times New Roman" w:cs="Times New Roman"/>
          <w:b/>
          <w:szCs w:val="28"/>
        </w:rPr>
        <w:t>.1.2 生产系统危险性识别</w:t>
      </w:r>
      <w:bookmarkEnd w:id="553"/>
      <w:bookmarkEnd w:id="554"/>
    </w:p>
    <w:p w14:paraId="61CEE399">
      <w:pPr>
        <w:spacing w:line="500" w:lineRule="exact"/>
        <w:ind w:firstLine="480" w:firstLineChars="200"/>
        <w:jc w:val="both"/>
        <w:rPr>
          <w:rFonts w:hint="eastAsia" w:ascii="Times New Roman" w:hAnsi="Times New Roman" w:cs="Times New Roman"/>
        </w:rPr>
      </w:pPr>
      <w:r>
        <w:rPr>
          <w:rFonts w:hint="eastAsia" w:ascii="Times New Roman" w:hAnsi="Times New Roman" w:cs="Times New Roman"/>
        </w:rPr>
        <w:t>1、危险单元分析</w:t>
      </w:r>
    </w:p>
    <w:p w14:paraId="35D857C3">
      <w:pPr>
        <w:spacing w:line="500" w:lineRule="exact"/>
        <w:ind w:firstLine="480" w:firstLineChars="200"/>
        <w:jc w:val="both"/>
        <w:rPr>
          <w:rFonts w:hint="eastAsia" w:ascii="Times New Roman" w:hAnsi="Times New Roman" w:cs="Times New Roman"/>
        </w:rPr>
      </w:pPr>
      <w:r>
        <w:rPr>
          <w:rFonts w:hint="eastAsia" w:ascii="Times New Roman" w:hAnsi="Times New Roman" w:cs="Times New Roman"/>
        </w:rPr>
        <w:t>根据危险有害因素分析，结合物质危险性识别，确定项目的危险单元划分结果如下：</w:t>
      </w:r>
    </w:p>
    <w:p w14:paraId="6009C25D">
      <w:pPr>
        <w:tabs>
          <w:tab w:val="left" w:pos="851"/>
          <w:tab w:val="left" w:pos="1141"/>
          <w:tab w:val="left" w:pos="4335"/>
        </w:tabs>
        <w:jc w:val="center"/>
        <w:rPr>
          <w:rFonts w:ascii="Times New Roman" w:hAnsi="Times New Roman" w:eastAsia="黑体" w:cs="Times New Roman"/>
        </w:rPr>
      </w:pPr>
      <w:bookmarkStart w:id="555" w:name="_Toc90026318"/>
      <w:r>
        <w:rPr>
          <w:rFonts w:ascii="Times New Roman" w:hAnsi="Times New Roman" w:eastAsia="黑体" w:cs="Times New Roman"/>
        </w:rPr>
        <w:t>表</w:t>
      </w:r>
      <w:r>
        <w:rPr>
          <w:rFonts w:hint="eastAsia" w:ascii="Times New Roman" w:hAnsi="Times New Roman" w:eastAsia="黑体" w:cs="Times New Roman"/>
        </w:rPr>
        <w:t>6</w:t>
      </w:r>
      <w:r>
        <w:rPr>
          <w:rFonts w:ascii="Times New Roman" w:hAnsi="Times New Roman" w:eastAsia="黑体" w:cs="Times New Roman"/>
        </w:rPr>
        <w:t>.1-</w:t>
      </w:r>
      <w:r>
        <w:rPr>
          <w:rFonts w:hint="eastAsia" w:ascii="Times New Roman" w:hAnsi="Times New Roman" w:eastAsia="黑体" w:cs="Times New Roman"/>
          <w:lang w:val="en-US" w:eastAsia="zh-CN"/>
        </w:rPr>
        <w:t>4</w:t>
      </w:r>
      <w:r>
        <w:rPr>
          <w:rFonts w:ascii="Times New Roman" w:hAnsi="Times New Roman" w:eastAsia="黑体" w:cs="Times New Roman"/>
        </w:rPr>
        <w:t xml:space="preserve"> 危险单元划分一览表</w:t>
      </w:r>
    </w:p>
    <w:tbl>
      <w:tblPr>
        <w:tblStyle w:val="56"/>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700"/>
        <w:gridCol w:w="1411"/>
        <w:gridCol w:w="1971"/>
        <w:gridCol w:w="3227"/>
        <w:gridCol w:w="1412"/>
      </w:tblGrid>
      <w:tr w14:paraId="0D7433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0" w:type="auto"/>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50CFC69A">
            <w:pPr>
              <w:jc w:val="center"/>
              <w:rPr>
                <w:rFonts w:ascii="Times New Roman" w:hAnsi="Times New Roman" w:eastAsia="宋体" w:cs="Times New Roman"/>
                <w:b/>
                <w:bCs/>
                <w:spacing w:val="10"/>
                <w:sz w:val="21"/>
                <w:szCs w:val="21"/>
              </w:rPr>
            </w:pPr>
            <w:r>
              <w:rPr>
                <w:rFonts w:ascii="Times New Roman" w:hAnsi="Times New Roman" w:eastAsia="宋体" w:cs="Times New Roman"/>
                <w:b/>
                <w:bCs/>
                <w:spacing w:val="10"/>
                <w:sz w:val="21"/>
                <w:szCs w:val="21"/>
              </w:rPr>
              <w:t>序号</w:t>
            </w:r>
          </w:p>
        </w:tc>
        <w:tc>
          <w:tcPr>
            <w:tcW w:w="0" w:type="auto"/>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607C7219">
            <w:pPr>
              <w:jc w:val="center"/>
              <w:rPr>
                <w:rFonts w:ascii="Times New Roman" w:hAnsi="Times New Roman" w:eastAsia="宋体" w:cs="Times New Roman"/>
                <w:b/>
                <w:bCs/>
                <w:spacing w:val="10"/>
                <w:sz w:val="21"/>
                <w:szCs w:val="21"/>
              </w:rPr>
            </w:pPr>
            <w:r>
              <w:rPr>
                <w:rFonts w:ascii="Times New Roman" w:hAnsi="Times New Roman" w:eastAsia="宋体" w:cs="Times New Roman"/>
                <w:b/>
                <w:bCs/>
                <w:spacing w:val="10"/>
                <w:sz w:val="21"/>
                <w:szCs w:val="21"/>
              </w:rPr>
              <w:t>单元名称</w:t>
            </w:r>
          </w:p>
        </w:tc>
        <w:tc>
          <w:tcPr>
            <w:tcW w:w="0" w:type="auto"/>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6E5555EB">
            <w:pPr>
              <w:jc w:val="center"/>
              <w:rPr>
                <w:rFonts w:ascii="Times New Roman" w:hAnsi="Times New Roman" w:eastAsia="宋体" w:cs="Times New Roman"/>
                <w:b/>
                <w:bCs/>
                <w:spacing w:val="10"/>
                <w:sz w:val="21"/>
                <w:szCs w:val="21"/>
              </w:rPr>
            </w:pPr>
            <w:r>
              <w:rPr>
                <w:rFonts w:ascii="Times New Roman" w:hAnsi="Times New Roman" w:eastAsia="宋体" w:cs="Times New Roman"/>
                <w:b/>
                <w:bCs/>
                <w:spacing w:val="10"/>
                <w:sz w:val="21"/>
                <w:szCs w:val="21"/>
              </w:rPr>
              <w:t>单元内容</w:t>
            </w:r>
          </w:p>
        </w:tc>
        <w:tc>
          <w:tcPr>
            <w:tcW w:w="0" w:type="auto"/>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1067E37D">
            <w:pPr>
              <w:jc w:val="center"/>
              <w:rPr>
                <w:rFonts w:ascii="Times New Roman" w:hAnsi="Times New Roman" w:eastAsia="宋体" w:cs="Times New Roman"/>
                <w:b/>
                <w:bCs/>
                <w:spacing w:val="10"/>
                <w:sz w:val="21"/>
                <w:szCs w:val="21"/>
              </w:rPr>
            </w:pPr>
            <w:r>
              <w:rPr>
                <w:rFonts w:ascii="Times New Roman" w:hAnsi="Times New Roman" w:eastAsia="宋体" w:cs="Times New Roman"/>
                <w:b/>
                <w:bCs/>
                <w:spacing w:val="10"/>
                <w:sz w:val="21"/>
                <w:szCs w:val="21"/>
              </w:rPr>
              <w:t>单元内危险物质最大存在量t</w:t>
            </w:r>
          </w:p>
        </w:tc>
        <w:tc>
          <w:tcPr>
            <w:tcW w:w="0" w:type="auto"/>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5FF1E98E">
            <w:pPr>
              <w:jc w:val="center"/>
              <w:rPr>
                <w:rFonts w:ascii="Times New Roman" w:hAnsi="Times New Roman" w:eastAsia="宋体" w:cs="Times New Roman"/>
                <w:b/>
                <w:bCs/>
                <w:spacing w:val="10"/>
                <w:sz w:val="21"/>
                <w:szCs w:val="21"/>
              </w:rPr>
            </w:pPr>
            <w:r>
              <w:rPr>
                <w:rFonts w:ascii="Times New Roman" w:hAnsi="Times New Roman" w:eastAsia="宋体" w:cs="Times New Roman"/>
                <w:b/>
                <w:bCs/>
                <w:spacing w:val="10"/>
                <w:sz w:val="21"/>
                <w:szCs w:val="21"/>
              </w:rPr>
              <w:t>分布</w:t>
            </w:r>
          </w:p>
        </w:tc>
      </w:tr>
      <w:tr w14:paraId="7D3A35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0" w:type="auto"/>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3080BBAF">
            <w:pPr>
              <w:jc w:val="center"/>
              <w:rPr>
                <w:rFonts w:ascii="Times New Roman" w:hAnsi="Times New Roman" w:eastAsia="宋体" w:cs="Times New Roman"/>
                <w:spacing w:val="10"/>
                <w:sz w:val="21"/>
                <w:szCs w:val="21"/>
              </w:rPr>
            </w:pPr>
            <w:r>
              <w:rPr>
                <w:rFonts w:ascii="Times New Roman" w:hAnsi="Times New Roman" w:eastAsia="宋体" w:cs="Times New Roman"/>
                <w:spacing w:val="10"/>
                <w:sz w:val="21"/>
                <w:szCs w:val="21"/>
              </w:rPr>
              <w:t>1</w:t>
            </w:r>
          </w:p>
        </w:tc>
        <w:tc>
          <w:tcPr>
            <w:tcW w:w="0" w:type="auto"/>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6DD4EBB5">
            <w:pPr>
              <w:jc w:val="center"/>
              <w:rPr>
                <w:rFonts w:ascii="Times New Roman" w:hAnsi="Times New Roman" w:eastAsia="宋体" w:cs="Times New Roman"/>
                <w:spacing w:val="10"/>
                <w:sz w:val="21"/>
                <w:szCs w:val="21"/>
              </w:rPr>
            </w:pPr>
            <w:r>
              <w:rPr>
                <w:rFonts w:ascii="Times New Roman" w:hAnsi="Times New Roman" w:eastAsia="宋体" w:cs="Times New Roman"/>
                <w:spacing w:val="10"/>
                <w:sz w:val="21"/>
                <w:szCs w:val="21"/>
              </w:rPr>
              <w:t>煤气管道</w:t>
            </w:r>
          </w:p>
        </w:tc>
        <w:tc>
          <w:tcPr>
            <w:tcW w:w="0" w:type="auto"/>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3F8A52E8">
            <w:pPr>
              <w:jc w:val="center"/>
              <w:rPr>
                <w:rFonts w:ascii="Times New Roman" w:hAnsi="Times New Roman" w:eastAsia="宋体" w:cs="Times New Roman"/>
                <w:spacing w:val="10"/>
                <w:sz w:val="21"/>
                <w:szCs w:val="21"/>
              </w:rPr>
            </w:pPr>
            <w:r>
              <w:rPr>
                <w:rFonts w:ascii="Times New Roman" w:hAnsi="Times New Roman" w:eastAsia="宋体" w:cs="Times New Roman"/>
                <w:spacing w:val="10"/>
                <w:sz w:val="21"/>
                <w:szCs w:val="21"/>
              </w:rPr>
              <w:t>高炉煤气（CO）</w:t>
            </w:r>
          </w:p>
        </w:tc>
        <w:tc>
          <w:tcPr>
            <w:tcW w:w="0" w:type="auto"/>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3A8274CB">
            <w:pPr>
              <w:jc w:val="center"/>
              <w:rPr>
                <w:rFonts w:ascii="Times New Roman" w:hAnsi="Times New Roman" w:eastAsia="宋体" w:cs="Times New Roman"/>
                <w:spacing w:val="10"/>
                <w:sz w:val="21"/>
                <w:szCs w:val="21"/>
              </w:rPr>
            </w:pPr>
            <w:r>
              <w:rPr>
                <w:rFonts w:ascii="Times New Roman" w:hAnsi="Times New Roman" w:eastAsia="宋体" w:cs="Times New Roman"/>
                <w:spacing w:val="10"/>
                <w:sz w:val="21"/>
                <w:szCs w:val="21"/>
              </w:rPr>
              <w:t>2（7.5）</w:t>
            </w:r>
          </w:p>
        </w:tc>
        <w:tc>
          <w:tcPr>
            <w:tcW w:w="0" w:type="auto"/>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7901842A">
            <w:pPr>
              <w:jc w:val="center"/>
              <w:rPr>
                <w:rFonts w:ascii="Times New Roman" w:hAnsi="Times New Roman" w:eastAsia="宋体" w:cs="Times New Roman"/>
                <w:spacing w:val="10"/>
                <w:sz w:val="21"/>
                <w:szCs w:val="21"/>
              </w:rPr>
            </w:pPr>
            <w:r>
              <w:rPr>
                <w:rFonts w:ascii="Times New Roman" w:hAnsi="Times New Roman" w:eastAsia="宋体" w:cs="Times New Roman"/>
                <w:spacing w:val="10"/>
                <w:sz w:val="21"/>
                <w:szCs w:val="21"/>
              </w:rPr>
              <w:t>煤气管道</w:t>
            </w:r>
          </w:p>
        </w:tc>
      </w:tr>
      <w:tr w14:paraId="2719E9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0" w:type="auto"/>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2C2170C7">
            <w:pPr>
              <w:jc w:val="center"/>
              <w:rPr>
                <w:rFonts w:ascii="Times New Roman" w:hAnsi="Times New Roman" w:eastAsia="宋体" w:cs="Times New Roman"/>
                <w:spacing w:val="10"/>
                <w:sz w:val="21"/>
                <w:szCs w:val="21"/>
              </w:rPr>
            </w:pPr>
            <w:r>
              <w:rPr>
                <w:rFonts w:ascii="Times New Roman" w:hAnsi="Times New Roman" w:eastAsia="宋体" w:cs="Times New Roman"/>
                <w:spacing w:val="10"/>
                <w:sz w:val="21"/>
                <w:szCs w:val="21"/>
              </w:rPr>
              <w:t>2</w:t>
            </w:r>
          </w:p>
        </w:tc>
        <w:tc>
          <w:tcPr>
            <w:tcW w:w="0" w:type="auto"/>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0D1BA394">
            <w:pPr>
              <w:jc w:val="center"/>
              <w:rPr>
                <w:rFonts w:hint="eastAsia" w:ascii="Times New Roman" w:hAnsi="Times New Roman" w:eastAsia="宋体" w:cs="Times New Roman"/>
                <w:spacing w:val="10"/>
                <w:sz w:val="21"/>
                <w:szCs w:val="21"/>
                <w:lang w:val="en-US" w:eastAsia="zh-CN"/>
              </w:rPr>
            </w:pPr>
            <w:r>
              <w:rPr>
                <w:rFonts w:ascii="Times New Roman" w:hAnsi="Times New Roman" w:eastAsia="宋体" w:cs="Times New Roman"/>
                <w:spacing w:val="10"/>
                <w:sz w:val="21"/>
                <w:szCs w:val="21"/>
              </w:rPr>
              <w:t>危废</w:t>
            </w:r>
            <w:r>
              <w:rPr>
                <w:rFonts w:hint="eastAsia" w:ascii="Times New Roman" w:hAnsi="Times New Roman" w:cs="Times New Roman"/>
                <w:spacing w:val="10"/>
                <w:sz w:val="21"/>
                <w:szCs w:val="21"/>
                <w:lang w:val="en-US" w:eastAsia="zh-CN"/>
              </w:rPr>
              <w:t>贮存点</w:t>
            </w:r>
          </w:p>
        </w:tc>
        <w:tc>
          <w:tcPr>
            <w:tcW w:w="0" w:type="auto"/>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19504EB7">
            <w:pPr>
              <w:jc w:val="center"/>
              <w:rPr>
                <w:rFonts w:ascii="Times New Roman" w:hAnsi="Times New Roman" w:eastAsia="宋体" w:cs="Times New Roman"/>
                <w:spacing w:val="10"/>
                <w:sz w:val="21"/>
                <w:szCs w:val="21"/>
              </w:rPr>
            </w:pPr>
            <w:r>
              <w:rPr>
                <w:rFonts w:ascii="Times New Roman" w:hAnsi="Times New Roman" w:eastAsia="宋体" w:cs="Times New Roman"/>
                <w:spacing w:val="10"/>
                <w:sz w:val="21"/>
                <w:szCs w:val="21"/>
              </w:rPr>
              <w:t>废矿物油</w:t>
            </w:r>
          </w:p>
        </w:tc>
        <w:tc>
          <w:tcPr>
            <w:tcW w:w="0" w:type="auto"/>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100F08D4">
            <w:pPr>
              <w:jc w:val="center"/>
              <w:rPr>
                <w:rFonts w:ascii="Times New Roman" w:hAnsi="Times New Roman" w:eastAsia="宋体" w:cs="Times New Roman"/>
                <w:spacing w:val="10"/>
                <w:sz w:val="21"/>
                <w:szCs w:val="21"/>
              </w:rPr>
            </w:pPr>
            <w:r>
              <w:rPr>
                <w:rFonts w:ascii="Times New Roman" w:hAnsi="Times New Roman" w:eastAsia="宋体" w:cs="Times New Roman"/>
                <w:spacing w:val="10"/>
                <w:sz w:val="21"/>
                <w:szCs w:val="21"/>
              </w:rPr>
              <w:t>0.2（2500）</w:t>
            </w:r>
          </w:p>
        </w:tc>
        <w:tc>
          <w:tcPr>
            <w:tcW w:w="0" w:type="auto"/>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2D4E2E1B">
            <w:pPr>
              <w:jc w:val="center"/>
              <w:rPr>
                <w:rFonts w:hint="eastAsia" w:ascii="Times New Roman" w:hAnsi="Times New Roman" w:eastAsia="宋体" w:cs="Times New Roman"/>
                <w:spacing w:val="10"/>
                <w:sz w:val="21"/>
                <w:szCs w:val="21"/>
                <w:lang w:eastAsia="zh-CN"/>
              </w:rPr>
            </w:pPr>
            <w:r>
              <w:rPr>
                <w:rFonts w:ascii="Times New Roman" w:hAnsi="Times New Roman" w:eastAsia="宋体" w:cs="Times New Roman"/>
                <w:spacing w:val="10"/>
                <w:sz w:val="21"/>
                <w:szCs w:val="21"/>
              </w:rPr>
              <w:t>危废</w:t>
            </w:r>
            <w:r>
              <w:rPr>
                <w:rFonts w:hint="eastAsia" w:ascii="Times New Roman" w:hAnsi="Times New Roman" w:eastAsia="宋体" w:cs="Times New Roman"/>
                <w:spacing w:val="10"/>
                <w:sz w:val="21"/>
                <w:szCs w:val="21"/>
                <w:lang w:val="en-US" w:eastAsia="zh-CN"/>
              </w:rPr>
              <w:t>贮存点</w:t>
            </w:r>
          </w:p>
        </w:tc>
      </w:tr>
      <w:tr w14:paraId="4BD39C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0" w:type="auto"/>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08C2588C">
            <w:pPr>
              <w:jc w:val="center"/>
              <w:rPr>
                <w:rFonts w:ascii="Times New Roman" w:hAnsi="Times New Roman" w:eastAsia="宋体" w:cs="Times New Roman"/>
                <w:spacing w:val="10"/>
                <w:sz w:val="21"/>
                <w:szCs w:val="21"/>
              </w:rPr>
            </w:pPr>
            <w:r>
              <w:rPr>
                <w:rFonts w:ascii="Times New Roman" w:hAnsi="Times New Roman" w:eastAsia="宋体" w:cs="Times New Roman"/>
                <w:spacing w:val="10"/>
                <w:sz w:val="21"/>
                <w:szCs w:val="21"/>
              </w:rPr>
              <w:t>3</w:t>
            </w:r>
          </w:p>
        </w:tc>
        <w:tc>
          <w:tcPr>
            <w:tcW w:w="0" w:type="auto"/>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23B6F0AE">
            <w:pPr>
              <w:jc w:val="center"/>
              <w:rPr>
                <w:rFonts w:ascii="Times New Roman" w:hAnsi="Times New Roman" w:eastAsia="宋体" w:cs="Times New Roman"/>
                <w:spacing w:val="10"/>
                <w:sz w:val="21"/>
                <w:szCs w:val="21"/>
              </w:rPr>
            </w:pPr>
            <w:r>
              <w:rPr>
                <w:rFonts w:ascii="Times New Roman" w:hAnsi="Times New Roman" w:eastAsia="宋体" w:cs="Times New Roman"/>
                <w:spacing w:val="10"/>
                <w:sz w:val="21"/>
                <w:szCs w:val="21"/>
              </w:rPr>
              <w:t>储罐区</w:t>
            </w:r>
          </w:p>
        </w:tc>
        <w:tc>
          <w:tcPr>
            <w:tcW w:w="0" w:type="auto"/>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3AEB42D1">
            <w:pPr>
              <w:jc w:val="center"/>
              <w:rPr>
                <w:rFonts w:ascii="Times New Roman" w:hAnsi="Times New Roman" w:eastAsia="宋体" w:cs="Times New Roman"/>
                <w:spacing w:val="10"/>
                <w:sz w:val="21"/>
                <w:szCs w:val="21"/>
              </w:rPr>
            </w:pPr>
            <w:r>
              <w:rPr>
                <w:rFonts w:ascii="Times New Roman" w:hAnsi="Times New Roman" w:eastAsia="宋体" w:cs="Times New Roman"/>
                <w:spacing w:val="10"/>
                <w:sz w:val="21"/>
                <w:szCs w:val="21"/>
              </w:rPr>
              <w:t>20%氨水</w:t>
            </w:r>
          </w:p>
        </w:tc>
        <w:tc>
          <w:tcPr>
            <w:tcW w:w="0" w:type="auto"/>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27B07E00">
            <w:pPr>
              <w:jc w:val="center"/>
              <w:rPr>
                <w:rFonts w:ascii="Times New Roman" w:hAnsi="Times New Roman" w:eastAsia="宋体" w:cs="Times New Roman"/>
                <w:spacing w:val="10"/>
                <w:sz w:val="21"/>
                <w:szCs w:val="21"/>
              </w:rPr>
            </w:pPr>
            <w:r>
              <w:rPr>
                <w:rFonts w:hint="eastAsia" w:ascii="Times New Roman" w:hAnsi="Times New Roman" w:eastAsia="宋体" w:cs="Times New Roman"/>
                <w:spacing w:val="10"/>
                <w:sz w:val="21"/>
                <w:szCs w:val="21"/>
                <w:lang w:val="en-US" w:eastAsia="zh-CN"/>
              </w:rPr>
              <w:t>8</w:t>
            </w:r>
            <w:r>
              <w:rPr>
                <w:rFonts w:ascii="Times New Roman" w:hAnsi="Times New Roman" w:eastAsia="宋体" w:cs="Times New Roman"/>
                <w:spacing w:val="10"/>
                <w:sz w:val="21"/>
                <w:szCs w:val="21"/>
              </w:rPr>
              <w:t>（10）</w:t>
            </w:r>
          </w:p>
        </w:tc>
        <w:tc>
          <w:tcPr>
            <w:tcW w:w="0" w:type="auto"/>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77BB8D14">
            <w:pPr>
              <w:jc w:val="center"/>
              <w:rPr>
                <w:rFonts w:ascii="Times New Roman" w:hAnsi="Times New Roman" w:eastAsia="宋体" w:cs="Times New Roman"/>
                <w:spacing w:val="10"/>
                <w:sz w:val="21"/>
                <w:szCs w:val="21"/>
              </w:rPr>
            </w:pPr>
            <w:r>
              <w:rPr>
                <w:rFonts w:ascii="Times New Roman" w:hAnsi="Times New Roman" w:eastAsia="宋体" w:cs="Times New Roman"/>
                <w:spacing w:val="10"/>
                <w:sz w:val="21"/>
                <w:szCs w:val="21"/>
              </w:rPr>
              <w:t>储罐区</w:t>
            </w:r>
          </w:p>
        </w:tc>
      </w:tr>
    </w:tbl>
    <w:p w14:paraId="5EA62366">
      <w:pPr>
        <w:tabs>
          <w:tab w:val="left" w:pos="851"/>
          <w:tab w:val="left" w:pos="1141"/>
          <w:tab w:val="left" w:pos="4335"/>
        </w:tabs>
        <w:jc w:val="center"/>
        <w:rPr>
          <w:rFonts w:ascii="Times New Roman" w:hAnsi="Times New Roman" w:eastAsia="黑体" w:cs="Times New Roman"/>
        </w:rPr>
      </w:pPr>
      <w:r>
        <w:rPr>
          <w:rFonts w:ascii="Times New Roman" w:hAnsi="Times New Roman" w:eastAsia="黑体" w:cs="Times New Roman"/>
        </w:rPr>
        <w:t>表</w:t>
      </w:r>
      <w:r>
        <w:rPr>
          <w:rFonts w:hint="eastAsia" w:ascii="Times New Roman" w:hAnsi="Times New Roman" w:eastAsia="黑体" w:cs="Times New Roman"/>
        </w:rPr>
        <w:t>6</w:t>
      </w:r>
      <w:r>
        <w:rPr>
          <w:rFonts w:ascii="Times New Roman" w:hAnsi="Times New Roman" w:eastAsia="黑体" w:cs="Times New Roman"/>
        </w:rPr>
        <w:t>.1-</w:t>
      </w:r>
      <w:r>
        <w:rPr>
          <w:rFonts w:hint="eastAsia" w:ascii="Times New Roman" w:hAnsi="Times New Roman" w:eastAsia="黑体" w:cs="Times New Roman"/>
          <w:lang w:val="en-US" w:eastAsia="zh-CN"/>
        </w:rPr>
        <w:t>5</w:t>
      </w:r>
      <w:r>
        <w:rPr>
          <w:rFonts w:ascii="Times New Roman" w:hAnsi="Times New Roman" w:eastAsia="黑体" w:cs="Times New Roman"/>
        </w:rPr>
        <w:t xml:space="preserve"> 生产、储运、公用设施危险性识别分析一览表</w:t>
      </w:r>
    </w:p>
    <w:tbl>
      <w:tblPr>
        <w:tblStyle w:val="56"/>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3016"/>
        <w:gridCol w:w="2679"/>
        <w:gridCol w:w="3026"/>
      </w:tblGrid>
      <w:tr w14:paraId="5F96C1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0" w:type="auto"/>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342AC2A5">
            <w:pPr>
              <w:jc w:val="center"/>
              <w:rPr>
                <w:rFonts w:ascii="Times New Roman" w:hAnsi="Times New Roman" w:eastAsia="宋体" w:cs="Times New Roman"/>
                <w:b/>
                <w:bCs/>
                <w:spacing w:val="10"/>
                <w:sz w:val="21"/>
                <w:szCs w:val="21"/>
              </w:rPr>
            </w:pPr>
            <w:r>
              <w:rPr>
                <w:rFonts w:ascii="Times New Roman" w:hAnsi="Times New Roman" w:eastAsia="宋体" w:cs="Times New Roman"/>
                <w:b/>
                <w:bCs/>
                <w:spacing w:val="10"/>
                <w:sz w:val="21"/>
                <w:szCs w:val="21"/>
              </w:rPr>
              <w:t>危险有害因素</w:t>
            </w:r>
          </w:p>
        </w:tc>
        <w:tc>
          <w:tcPr>
            <w:tcW w:w="0" w:type="auto"/>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294F5017">
            <w:pPr>
              <w:jc w:val="center"/>
              <w:rPr>
                <w:rFonts w:ascii="Times New Roman" w:hAnsi="Times New Roman" w:eastAsia="宋体" w:cs="Times New Roman"/>
                <w:b/>
                <w:bCs/>
                <w:spacing w:val="10"/>
                <w:sz w:val="21"/>
                <w:szCs w:val="21"/>
              </w:rPr>
            </w:pPr>
            <w:r>
              <w:rPr>
                <w:rFonts w:ascii="Times New Roman" w:hAnsi="Times New Roman" w:eastAsia="宋体" w:cs="Times New Roman"/>
                <w:b/>
                <w:bCs/>
                <w:spacing w:val="10"/>
                <w:sz w:val="21"/>
                <w:szCs w:val="21"/>
              </w:rPr>
              <w:t>危险单元</w:t>
            </w:r>
          </w:p>
        </w:tc>
        <w:tc>
          <w:tcPr>
            <w:tcW w:w="0" w:type="auto"/>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11AA5AC1">
            <w:pPr>
              <w:jc w:val="center"/>
              <w:rPr>
                <w:rFonts w:ascii="Times New Roman" w:hAnsi="Times New Roman" w:eastAsia="宋体" w:cs="Times New Roman"/>
                <w:b/>
                <w:bCs/>
                <w:spacing w:val="10"/>
                <w:sz w:val="21"/>
                <w:szCs w:val="21"/>
              </w:rPr>
            </w:pPr>
            <w:r>
              <w:rPr>
                <w:rFonts w:ascii="Times New Roman" w:hAnsi="Times New Roman" w:eastAsia="宋体" w:cs="Times New Roman"/>
                <w:b/>
                <w:bCs/>
                <w:spacing w:val="10"/>
                <w:sz w:val="21"/>
                <w:szCs w:val="21"/>
              </w:rPr>
              <w:t>风险源及风险类型</w:t>
            </w:r>
          </w:p>
        </w:tc>
      </w:tr>
      <w:tr w14:paraId="3A2564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0" w:type="auto"/>
            <w:vMerge w:val="restart"/>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1D2D12CA">
            <w:pPr>
              <w:jc w:val="center"/>
              <w:rPr>
                <w:rFonts w:ascii="Times New Roman" w:hAnsi="Times New Roman" w:eastAsia="宋体" w:cs="Times New Roman"/>
                <w:spacing w:val="10"/>
                <w:sz w:val="21"/>
                <w:szCs w:val="21"/>
              </w:rPr>
            </w:pPr>
            <w:r>
              <w:rPr>
                <w:rFonts w:ascii="Times New Roman" w:hAnsi="Times New Roman" w:eastAsia="宋体" w:cs="Times New Roman"/>
                <w:spacing w:val="10"/>
                <w:sz w:val="21"/>
                <w:szCs w:val="21"/>
              </w:rPr>
              <w:t>泄漏、火灾、爆炸</w:t>
            </w:r>
          </w:p>
        </w:tc>
        <w:tc>
          <w:tcPr>
            <w:tcW w:w="0" w:type="auto"/>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3EA96002">
            <w:pPr>
              <w:jc w:val="center"/>
              <w:rPr>
                <w:rFonts w:ascii="Times New Roman" w:hAnsi="Times New Roman" w:eastAsia="宋体" w:cs="Times New Roman"/>
                <w:spacing w:val="10"/>
                <w:sz w:val="21"/>
                <w:szCs w:val="21"/>
              </w:rPr>
            </w:pPr>
            <w:r>
              <w:rPr>
                <w:rFonts w:ascii="Times New Roman" w:hAnsi="Times New Roman" w:eastAsia="宋体" w:cs="Times New Roman"/>
                <w:spacing w:val="10"/>
                <w:sz w:val="21"/>
                <w:szCs w:val="21"/>
              </w:rPr>
              <w:t>生产装置区</w:t>
            </w:r>
          </w:p>
        </w:tc>
        <w:tc>
          <w:tcPr>
            <w:tcW w:w="0" w:type="auto"/>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058705EC">
            <w:pPr>
              <w:jc w:val="center"/>
              <w:rPr>
                <w:rFonts w:ascii="Times New Roman" w:hAnsi="Times New Roman" w:eastAsia="宋体" w:cs="Times New Roman"/>
                <w:spacing w:val="10"/>
                <w:sz w:val="21"/>
                <w:szCs w:val="21"/>
              </w:rPr>
            </w:pPr>
            <w:r>
              <w:rPr>
                <w:rFonts w:ascii="Times New Roman" w:hAnsi="Times New Roman" w:eastAsia="宋体" w:cs="Times New Roman"/>
                <w:spacing w:val="10"/>
                <w:sz w:val="21"/>
                <w:szCs w:val="21"/>
              </w:rPr>
              <w:t>煤气</w:t>
            </w:r>
          </w:p>
        </w:tc>
      </w:tr>
      <w:tr w14:paraId="43C2C0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0" w:type="auto"/>
            <w:vMerge w:val="continue"/>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143EE0E6">
            <w:pPr>
              <w:jc w:val="center"/>
              <w:rPr>
                <w:rFonts w:ascii="Times New Roman" w:hAnsi="Times New Roman" w:eastAsia="宋体" w:cs="Times New Roman"/>
                <w:spacing w:val="10"/>
                <w:sz w:val="21"/>
                <w:szCs w:val="21"/>
              </w:rPr>
            </w:pPr>
          </w:p>
        </w:tc>
        <w:tc>
          <w:tcPr>
            <w:tcW w:w="0" w:type="auto"/>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59F55366">
            <w:pPr>
              <w:jc w:val="center"/>
              <w:rPr>
                <w:rFonts w:ascii="Times New Roman" w:hAnsi="Times New Roman" w:eastAsia="宋体" w:cs="Times New Roman"/>
                <w:spacing w:val="10"/>
                <w:sz w:val="21"/>
                <w:szCs w:val="21"/>
              </w:rPr>
            </w:pPr>
            <w:r>
              <w:rPr>
                <w:rFonts w:ascii="Times New Roman" w:hAnsi="Times New Roman" w:eastAsia="宋体" w:cs="Times New Roman"/>
                <w:spacing w:val="10"/>
                <w:sz w:val="21"/>
                <w:szCs w:val="21"/>
              </w:rPr>
              <w:t>煤气管道</w:t>
            </w:r>
          </w:p>
        </w:tc>
        <w:tc>
          <w:tcPr>
            <w:tcW w:w="0" w:type="auto"/>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63D1ADE6">
            <w:pPr>
              <w:jc w:val="center"/>
              <w:rPr>
                <w:rFonts w:ascii="Times New Roman" w:hAnsi="Times New Roman" w:eastAsia="宋体" w:cs="Times New Roman"/>
                <w:spacing w:val="10"/>
                <w:sz w:val="21"/>
                <w:szCs w:val="21"/>
              </w:rPr>
            </w:pPr>
            <w:r>
              <w:rPr>
                <w:rFonts w:ascii="Times New Roman" w:hAnsi="Times New Roman" w:eastAsia="宋体" w:cs="Times New Roman"/>
                <w:spacing w:val="10"/>
                <w:sz w:val="21"/>
                <w:szCs w:val="21"/>
              </w:rPr>
              <w:t>煤气</w:t>
            </w:r>
          </w:p>
        </w:tc>
      </w:tr>
      <w:tr w14:paraId="4FF1BE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0" w:type="auto"/>
            <w:vMerge w:val="continue"/>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075977E7">
            <w:pPr>
              <w:jc w:val="center"/>
              <w:rPr>
                <w:rFonts w:ascii="Times New Roman" w:hAnsi="Times New Roman" w:eastAsia="宋体" w:cs="Times New Roman"/>
                <w:spacing w:val="10"/>
                <w:sz w:val="21"/>
                <w:szCs w:val="21"/>
              </w:rPr>
            </w:pPr>
          </w:p>
        </w:tc>
        <w:tc>
          <w:tcPr>
            <w:tcW w:w="0" w:type="auto"/>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134C06C3">
            <w:pPr>
              <w:jc w:val="center"/>
              <w:rPr>
                <w:rFonts w:hint="eastAsia" w:ascii="Times New Roman" w:hAnsi="Times New Roman" w:eastAsia="宋体" w:cs="Times New Roman"/>
                <w:spacing w:val="10"/>
                <w:sz w:val="21"/>
                <w:szCs w:val="21"/>
                <w:lang w:eastAsia="zh-CN"/>
              </w:rPr>
            </w:pPr>
            <w:r>
              <w:rPr>
                <w:rFonts w:ascii="Times New Roman" w:hAnsi="Times New Roman" w:eastAsia="宋体" w:cs="Times New Roman"/>
                <w:spacing w:val="10"/>
                <w:sz w:val="21"/>
                <w:szCs w:val="21"/>
              </w:rPr>
              <w:t>危险</w:t>
            </w:r>
            <w:r>
              <w:rPr>
                <w:rFonts w:hint="eastAsia" w:ascii="Times New Roman" w:hAnsi="Times New Roman" w:eastAsia="宋体" w:cs="Times New Roman"/>
                <w:spacing w:val="10"/>
                <w:sz w:val="21"/>
                <w:szCs w:val="21"/>
                <w:lang w:val="en-US" w:eastAsia="zh-CN"/>
              </w:rPr>
              <w:t>废物贮存点</w:t>
            </w:r>
          </w:p>
        </w:tc>
        <w:tc>
          <w:tcPr>
            <w:tcW w:w="0" w:type="auto"/>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47F44115">
            <w:pPr>
              <w:jc w:val="center"/>
              <w:rPr>
                <w:rFonts w:ascii="Times New Roman" w:hAnsi="Times New Roman" w:eastAsia="宋体" w:cs="Times New Roman"/>
                <w:spacing w:val="10"/>
                <w:sz w:val="21"/>
                <w:szCs w:val="21"/>
              </w:rPr>
            </w:pPr>
            <w:r>
              <w:rPr>
                <w:rFonts w:ascii="Times New Roman" w:hAnsi="Times New Roman" w:eastAsia="宋体" w:cs="Times New Roman"/>
                <w:spacing w:val="10"/>
                <w:sz w:val="21"/>
                <w:szCs w:val="21"/>
              </w:rPr>
              <w:t>废矿物油</w:t>
            </w:r>
          </w:p>
        </w:tc>
      </w:tr>
      <w:tr w14:paraId="7BEBFB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0" w:type="auto"/>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0BC21A45">
            <w:pPr>
              <w:jc w:val="center"/>
              <w:rPr>
                <w:rFonts w:ascii="Times New Roman" w:hAnsi="Times New Roman" w:eastAsia="宋体" w:cs="Times New Roman"/>
                <w:spacing w:val="10"/>
                <w:sz w:val="21"/>
                <w:szCs w:val="21"/>
              </w:rPr>
            </w:pPr>
            <w:r>
              <w:rPr>
                <w:rFonts w:ascii="Times New Roman" w:hAnsi="Times New Roman" w:eastAsia="宋体" w:cs="Times New Roman"/>
                <w:spacing w:val="10"/>
                <w:sz w:val="21"/>
                <w:szCs w:val="21"/>
              </w:rPr>
              <w:t>中毒</w:t>
            </w:r>
          </w:p>
        </w:tc>
        <w:tc>
          <w:tcPr>
            <w:tcW w:w="0" w:type="auto"/>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0BB5D8D0">
            <w:pPr>
              <w:jc w:val="center"/>
              <w:rPr>
                <w:rFonts w:ascii="Times New Roman" w:hAnsi="Times New Roman" w:eastAsia="宋体" w:cs="Times New Roman"/>
                <w:spacing w:val="10"/>
                <w:sz w:val="21"/>
                <w:szCs w:val="21"/>
              </w:rPr>
            </w:pPr>
            <w:r>
              <w:rPr>
                <w:rFonts w:ascii="Times New Roman" w:hAnsi="Times New Roman" w:eastAsia="宋体" w:cs="Times New Roman"/>
                <w:spacing w:val="10"/>
                <w:sz w:val="21"/>
                <w:szCs w:val="21"/>
              </w:rPr>
              <w:t>储存场所</w:t>
            </w:r>
          </w:p>
        </w:tc>
        <w:tc>
          <w:tcPr>
            <w:tcW w:w="0" w:type="auto"/>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5DA06445">
            <w:pPr>
              <w:jc w:val="center"/>
              <w:rPr>
                <w:rFonts w:ascii="Times New Roman" w:hAnsi="Times New Roman" w:eastAsia="宋体" w:cs="Times New Roman"/>
                <w:spacing w:val="10"/>
                <w:sz w:val="21"/>
                <w:szCs w:val="21"/>
              </w:rPr>
            </w:pPr>
            <w:r>
              <w:rPr>
                <w:rFonts w:ascii="Times New Roman" w:hAnsi="Times New Roman" w:eastAsia="宋体" w:cs="Times New Roman"/>
                <w:spacing w:val="10"/>
                <w:sz w:val="21"/>
                <w:szCs w:val="21"/>
              </w:rPr>
              <w:t>涉及氨气</w:t>
            </w:r>
          </w:p>
        </w:tc>
      </w:tr>
    </w:tbl>
    <w:p w14:paraId="79AC6412">
      <w:pPr>
        <w:ind w:firstLine="480" w:firstLineChars="200"/>
        <w:jc w:val="left"/>
      </w:pPr>
      <w:r>
        <w:t>项目生产环境风险事故主要体现在物料泄漏所引起的火灾、爆炸及毒性泄漏事故等方面，项目生产过程风险识别情况见表</w:t>
      </w:r>
      <w:r>
        <w:rPr>
          <w:rFonts w:hint="eastAsia" w:ascii="Times New Roman" w:hAnsi="Times New Roman" w:eastAsia="黑体" w:cs="Times New Roman"/>
          <w:lang w:val="en-US" w:eastAsia="zh-CN"/>
        </w:rPr>
        <w:t>6.1-6</w:t>
      </w:r>
      <w:r>
        <w:t>。</w:t>
      </w:r>
    </w:p>
    <w:p w14:paraId="25DC9B19">
      <w:pPr>
        <w:tabs>
          <w:tab w:val="left" w:pos="851"/>
          <w:tab w:val="left" w:pos="1141"/>
          <w:tab w:val="left" w:pos="4335"/>
        </w:tabs>
        <w:jc w:val="center"/>
        <w:rPr>
          <w:rFonts w:ascii="Times New Roman" w:hAnsi="Times New Roman" w:eastAsia="黑体" w:cs="Times New Roman"/>
        </w:rPr>
      </w:pPr>
      <w:r>
        <w:rPr>
          <w:rFonts w:ascii="Times New Roman" w:hAnsi="Times New Roman" w:eastAsia="黑体" w:cs="Times New Roman"/>
        </w:rPr>
        <w:t>表</w:t>
      </w:r>
      <w:r>
        <w:rPr>
          <w:rFonts w:hint="eastAsia" w:ascii="Times New Roman" w:hAnsi="Times New Roman" w:eastAsia="黑体" w:cs="Times New Roman"/>
          <w:lang w:val="en-US" w:eastAsia="zh-CN"/>
        </w:rPr>
        <w:t xml:space="preserve">6.1-6 </w:t>
      </w:r>
      <w:r>
        <w:rPr>
          <w:rFonts w:ascii="Times New Roman" w:hAnsi="Times New Roman" w:eastAsia="黑体" w:cs="Times New Roman"/>
        </w:rPr>
        <w:t xml:space="preserve"> 项目环境风险识别表</w:t>
      </w:r>
    </w:p>
    <w:tbl>
      <w:tblPr>
        <w:tblStyle w:val="56"/>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757"/>
        <w:gridCol w:w="963"/>
        <w:gridCol w:w="860"/>
        <w:gridCol w:w="1296"/>
        <w:gridCol w:w="3672"/>
        <w:gridCol w:w="1173"/>
      </w:tblGrid>
      <w:tr w14:paraId="506856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0" w:type="auto"/>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5102DE20">
            <w:pPr>
              <w:jc w:val="center"/>
              <w:rPr>
                <w:rFonts w:ascii="Times New Roman" w:hAnsi="Times New Roman" w:eastAsia="宋体" w:cs="Times New Roman"/>
                <w:b/>
                <w:bCs/>
                <w:spacing w:val="10"/>
                <w:sz w:val="21"/>
                <w:szCs w:val="21"/>
              </w:rPr>
            </w:pPr>
            <w:r>
              <w:rPr>
                <w:rFonts w:ascii="Times New Roman" w:hAnsi="Times New Roman" w:eastAsia="宋体" w:cs="Times New Roman"/>
                <w:b/>
                <w:bCs/>
                <w:spacing w:val="10"/>
                <w:sz w:val="21"/>
                <w:szCs w:val="21"/>
              </w:rPr>
              <w:t>危险单元</w:t>
            </w:r>
          </w:p>
        </w:tc>
        <w:tc>
          <w:tcPr>
            <w:tcW w:w="0" w:type="auto"/>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694E2EEE">
            <w:pPr>
              <w:jc w:val="center"/>
              <w:rPr>
                <w:rFonts w:ascii="Times New Roman" w:hAnsi="Times New Roman" w:eastAsia="宋体" w:cs="Times New Roman"/>
                <w:b/>
                <w:bCs/>
                <w:spacing w:val="10"/>
                <w:sz w:val="21"/>
                <w:szCs w:val="21"/>
              </w:rPr>
            </w:pPr>
            <w:r>
              <w:rPr>
                <w:rFonts w:ascii="Times New Roman" w:hAnsi="Times New Roman" w:eastAsia="宋体" w:cs="Times New Roman"/>
                <w:b/>
                <w:bCs/>
                <w:spacing w:val="10"/>
                <w:sz w:val="21"/>
                <w:szCs w:val="21"/>
              </w:rPr>
              <w:t>潜在风险源</w:t>
            </w:r>
          </w:p>
        </w:tc>
        <w:tc>
          <w:tcPr>
            <w:tcW w:w="0" w:type="auto"/>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2FBA1D7E">
            <w:pPr>
              <w:jc w:val="center"/>
              <w:rPr>
                <w:rFonts w:ascii="Times New Roman" w:hAnsi="Times New Roman" w:eastAsia="宋体" w:cs="Times New Roman"/>
                <w:b/>
                <w:bCs/>
                <w:spacing w:val="10"/>
                <w:sz w:val="21"/>
                <w:szCs w:val="21"/>
              </w:rPr>
            </w:pPr>
            <w:r>
              <w:rPr>
                <w:rFonts w:ascii="Times New Roman" w:hAnsi="Times New Roman" w:eastAsia="宋体" w:cs="Times New Roman"/>
                <w:b/>
                <w:bCs/>
                <w:spacing w:val="10"/>
                <w:sz w:val="21"/>
                <w:szCs w:val="21"/>
              </w:rPr>
              <w:t>危险物质</w:t>
            </w:r>
          </w:p>
        </w:tc>
        <w:tc>
          <w:tcPr>
            <w:tcW w:w="0" w:type="auto"/>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1B7DA0D3">
            <w:pPr>
              <w:jc w:val="center"/>
              <w:rPr>
                <w:rFonts w:ascii="Times New Roman" w:hAnsi="Times New Roman" w:eastAsia="宋体" w:cs="Times New Roman"/>
                <w:b/>
                <w:bCs/>
                <w:spacing w:val="10"/>
                <w:sz w:val="21"/>
                <w:szCs w:val="21"/>
              </w:rPr>
            </w:pPr>
            <w:r>
              <w:rPr>
                <w:rFonts w:ascii="Times New Roman" w:hAnsi="Times New Roman" w:eastAsia="宋体" w:cs="Times New Roman"/>
                <w:b/>
                <w:bCs/>
                <w:spacing w:val="10"/>
                <w:sz w:val="21"/>
                <w:szCs w:val="21"/>
              </w:rPr>
              <w:t>危险性</w:t>
            </w:r>
          </w:p>
        </w:tc>
        <w:tc>
          <w:tcPr>
            <w:tcW w:w="0" w:type="auto"/>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4CCBB71E">
            <w:pPr>
              <w:jc w:val="center"/>
              <w:rPr>
                <w:rFonts w:ascii="Times New Roman" w:hAnsi="Times New Roman" w:eastAsia="宋体" w:cs="Times New Roman"/>
                <w:b/>
                <w:bCs/>
                <w:spacing w:val="10"/>
                <w:sz w:val="21"/>
                <w:szCs w:val="21"/>
              </w:rPr>
            </w:pPr>
            <w:r>
              <w:rPr>
                <w:rFonts w:ascii="Times New Roman" w:hAnsi="Times New Roman" w:eastAsia="宋体" w:cs="Times New Roman"/>
                <w:b/>
                <w:bCs/>
                <w:spacing w:val="10"/>
                <w:sz w:val="21"/>
                <w:szCs w:val="21"/>
              </w:rPr>
              <w:t>存在条件、转化为事故的触发因素</w:t>
            </w:r>
          </w:p>
        </w:tc>
        <w:tc>
          <w:tcPr>
            <w:tcW w:w="0" w:type="auto"/>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6A43085C">
            <w:pPr>
              <w:jc w:val="center"/>
              <w:rPr>
                <w:rFonts w:ascii="Times New Roman" w:hAnsi="Times New Roman" w:eastAsia="宋体" w:cs="Times New Roman"/>
                <w:b/>
                <w:bCs/>
                <w:spacing w:val="10"/>
                <w:sz w:val="21"/>
                <w:szCs w:val="21"/>
              </w:rPr>
            </w:pPr>
            <w:r>
              <w:rPr>
                <w:rFonts w:ascii="Times New Roman" w:hAnsi="Times New Roman" w:eastAsia="宋体" w:cs="Times New Roman"/>
                <w:b/>
                <w:bCs/>
                <w:spacing w:val="10"/>
                <w:sz w:val="21"/>
                <w:szCs w:val="21"/>
              </w:rPr>
              <w:t>是否为重点风险源</w:t>
            </w:r>
          </w:p>
        </w:tc>
      </w:tr>
      <w:tr w14:paraId="08002B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0" w:type="auto"/>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4908EFF6">
            <w:pPr>
              <w:jc w:val="center"/>
              <w:rPr>
                <w:rFonts w:ascii="Times New Roman" w:hAnsi="Times New Roman" w:eastAsia="宋体" w:cs="Times New Roman"/>
                <w:spacing w:val="10"/>
                <w:sz w:val="21"/>
                <w:szCs w:val="21"/>
              </w:rPr>
            </w:pPr>
            <w:r>
              <w:rPr>
                <w:rFonts w:ascii="Times New Roman" w:hAnsi="Times New Roman" w:eastAsia="宋体" w:cs="Times New Roman"/>
                <w:spacing w:val="10"/>
                <w:sz w:val="21"/>
                <w:szCs w:val="21"/>
              </w:rPr>
              <w:t>煤气管道</w:t>
            </w:r>
          </w:p>
        </w:tc>
        <w:tc>
          <w:tcPr>
            <w:tcW w:w="0" w:type="auto"/>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6B82E581">
            <w:pPr>
              <w:jc w:val="center"/>
              <w:rPr>
                <w:rFonts w:ascii="Times New Roman" w:hAnsi="Times New Roman" w:eastAsia="宋体" w:cs="Times New Roman"/>
                <w:spacing w:val="10"/>
                <w:sz w:val="21"/>
                <w:szCs w:val="21"/>
              </w:rPr>
            </w:pPr>
            <w:r>
              <w:rPr>
                <w:rFonts w:ascii="Times New Roman" w:hAnsi="Times New Roman" w:eastAsia="宋体" w:cs="Times New Roman"/>
                <w:spacing w:val="10"/>
                <w:sz w:val="21"/>
                <w:szCs w:val="21"/>
              </w:rPr>
              <w:t>高炉煤气管道</w:t>
            </w:r>
          </w:p>
        </w:tc>
        <w:tc>
          <w:tcPr>
            <w:tcW w:w="0" w:type="auto"/>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2A48A441">
            <w:pPr>
              <w:jc w:val="center"/>
              <w:rPr>
                <w:rFonts w:ascii="Times New Roman" w:hAnsi="Times New Roman" w:eastAsia="宋体" w:cs="Times New Roman"/>
                <w:spacing w:val="10"/>
                <w:sz w:val="21"/>
                <w:szCs w:val="21"/>
              </w:rPr>
            </w:pPr>
            <w:r>
              <w:rPr>
                <w:rFonts w:ascii="Times New Roman" w:hAnsi="Times New Roman" w:eastAsia="宋体" w:cs="Times New Roman"/>
                <w:spacing w:val="10"/>
                <w:sz w:val="21"/>
                <w:szCs w:val="21"/>
              </w:rPr>
              <w:t>高炉煤气</w:t>
            </w:r>
          </w:p>
        </w:tc>
        <w:tc>
          <w:tcPr>
            <w:tcW w:w="0" w:type="auto"/>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618807A5">
            <w:pPr>
              <w:jc w:val="center"/>
              <w:rPr>
                <w:rFonts w:ascii="Times New Roman" w:hAnsi="Times New Roman" w:eastAsia="宋体" w:cs="Times New Roman"/>
                <w:spacing w:val="10"/>
                <w:sz w:val="21"/>
                <w:szCs w:val="21"/>
              </w:rPr>
            </w:pPr>
            <w:r>
              <w:rPr>
                <w:rFonts w:ascii="Times New Roman" w:hAnsi="Times New Roman" w:eastAsia="宋体" w:cs="Times New Roman"/>
                <w:spacing w:val="10"/>
                <w:sz w:val="21"/>
                <w:szCs w:val="21"/>
              </w:rPr>
              <w:t>燃爆危险性、毒性</w:t>
            </w:r>
          </w:p>
        </w:tc>
        <w:tc>
          <w:tcPr>
            <w:tcW w:w="0" w:type="auto"/>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6833FCE8">
            <w:pPr>
              <w:jc w:val="center"/>
              <w:rPr>
                <w:rFonts w:ascii="Times New Roman" w:hAnsi="Times New Roman" w:eastAsia="宋体" w:cs="Times New Roman"/>
                <w:spacing w:val="10"/>
                <w:sz w:val="21"/>
                <w:szCs w:val="21"/>
              </w:rPr>
            </w:pPr>
            <w:r>
              <w:rPr>
                <w:rFonts w:ascii="Times New Roman" w:hAnsi="Times New Roman" w:eastAsia="宋体" w:cs="Times New Roman"/>
                <w:spacing w:val="10"/>
                <w:sz w:val="21"/>
                <w:szCs w:val="21"/>
              </w:rPr>
              <w:t>误操作、管道破损，导致泄漏；泄漏遇明火、高热发生火灾、爆炸事故</w:t>
            </w:r>
          </w:p>
        </w:tc>
        <w:tc>
          <w:tcPr>
            <w:tcW w:w="0" w:type="auto"/>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44770381">
            <w:pPr>
              <w:jc w:val="center"/>
              <w:rPr>
                <w:rFonts w:ascii="Times New Roman" w:hAnsi="Times New Roman" w:eastAsia="宋体" w:cs="Times New Roman"/>
                <w:spacing w:val="10"/>
                <w:sz w:val="21"/>
                <w:szCs w:val="21"/>
              </w:rPr>
            </w:pPr>
            <w:r>
              <w:rPr>
                <w:rFonts w:ascii="Times New Roman" w:hAnsi="Times New Roman" w:eastAsia="宋体" w:cs="Times New Roman"/>
                <w:spacing w:val="10"/>
                <w:sz w:val="21"/>
                <w:szCs w:val="21"/>
              </w:rPr>
              <w:t>是</w:t>
            </w:r>
          </w:p>
        </w:tc>
      </w:tr>
      <w:tr w14:paraId="3B8138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0" w:type="auto"/>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352EE1BF">
            <w:pPr>
              <w:jc w:val="center"/>
              <w:rPr>
                <w:rFonts w:ascii="Times New Roman" w:hAnsi="Times New Roman" w:eastAsia="宋体" w:cs="Times New Roman"/>
                <w:spacing w:val="10"/>
                <w:sz w:val="21"/>
                <w:szCs w:val="21"/>
              </w:rPr>
            </w:pPr>
            <w:r>
              <w:rPr>
                <w:rFonts w:ascii="Times New Roman" w:hAnsi="Times New Roman" w:eastAsia="宋体" w:cs="Times New Roman"/>
                <w:spacing w:val="10"/>
                <w:sz w:val="21"/>
                <w:szCs w:val="21"/>
              </w:rPr>
              <w:t>危废库</w:t>
            </w:r>
          </w:p>
        </w:tc>
        <w:tc>
          <w:tcPr>
            <w:tcW w:w="0" w:type="auto"/>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54E8CEDF">
            <w:pPr>
              <w:jc w:val="center"/>
              <w:rPr>
                <w:rFonts w:ascii="Times New Roman" w:hAnsi="Times New Roman" w:eastAsia="宋体" w:cs="Times New Roman"/>
                <w:spacing w:val="10"/>
                <w:sz w:val="21"/>
                <w:szCs w:val="21"/>
              </w:rPr>
            </w:pPr>
            <w:r>
              <w:rPr>
                <w:rFonts w:ascii="Times New Roman" w:hAnsi="Times New Roman" w:eastAsia="宋体" w:cs="Times New Roman"/>
                <w:spacing w:val="10"/>
                <w:sz w:val="21"/>
                <w:szCs w:val="21"/>
              </w:rPr>
              <w:t>废油桶</w:t>
            </w:r>
          </w:p>
        </w:tc>
        <w:tc>
          <w:tcPr>
            <w:tcW w:w="0" w:type="auto"/>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45920BA6">
            <w:pPr>
              <w:jc w:val="center"/>
              <w:rPr>
                <w:rFonts w:ascii="Times New Roman" w:hAnsi="Times New Roman" w:eastAsia="宋体" w:cs="Times New Roman"/>
                <w:spacing w:val="10"/>
                <w:sz w:val="21"/>
                <w:szCs w:val="21"/>
              </w:rPr>
            </w:pPr>
            <w:r>
              <w:rPr>
                <w:rFonts w:ascii="Times New Roman" w:hAnsi="Times New Roman" w:eastAsia="宋体" w:cs="Times New Roman"/>
                <w:spacing w:val="10"/>
                <w:sz w:val="21"/>
                <w:szCs w:val="21"/>
              </w:rPr>
              <w:t>废矿物油</w:t>
            </w:r>
          </w:p>
        </w:tc>
        <w:tc>
          <w:tcPr>
            <w:tcW w:w="0" w:type="auto"/>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317C38B1">
            <w:pPr>
              <w:jc w:val="center"/>
              <w:rPr>
                <w:rFonts w:ascii="Times New Roman" w:hAnsi="Times New Roman" w:eastAsia="宋体" w:cs="Times New Roman"/>
                <w:spacing w:val="10"/>
                <w:sz w:val="21"/>
                <w:szCs w:val="21"/>
              </w:rPr>
            </w:pPr>
            <w:r>
              <w:rPr>
                <w:rFonts w:ascii="Times New Roman" w:hAnsi="Times New Roman" w:eastAsia="宋体" w:cs="Times New Roman"/>
                <w:spacing w:val="10"/>
                <w:sz w:val="21"/>
                <w:szCs w:val="21"/>
              </w:rPr>
              <w:t>火灾、毒性</w:t>
            </w:r>
          </w:p>
        </w:tc>
        <w:tc>
          <w:tcPr>
            <w:tcW w:w="0" w:type="auto"/>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03D9A39A">
            <w:pPr>
              <w:jc w:val="center"/>
              <w:rPr>
                <w:rFonts w:ascii="Times New Roman" w:hAnsi="Times New Roman" w:eastAsia="宋体" w:cs="Times New Roman"/>
                <w:spacing w:val="10"/>
                <w:sz w:val="21"/>
                <w:szCs w:val="21"/>
              </w:rPr>
            </w:pPr>
            <w:r>
              <w:rPr>
                <w:rFonts w:ascii="Times New Roman" w:hAnsi="Times New Roman" w:eastAsia="宋体" w:cs="Times New Roman"/>
                <w:spacing w:val="10"/>
                <w:sz w:val="21"/>
                <w:szCs w:val="21"/>
              </w:rPr>
              <w:t>误操作、包装破损，导致泄漏；泄漏遇明火、高热发生火灾事故</w:t>
            </w:r>
          </w:p>
        </w:tc>
        <w:tc>
          <w:tcPr>
            <w:tcW w:w="0" w:type="auto"/>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539CFD32">
            <w:pPr>
              <w:jc w:val="center"/>
              <w:rPr>
                <w:rFonts w:ascii="Times New Roman" w:hAnsi="Times New Roman" w:eastAsia="宋体" w:cs="Times New Roman"/>
                <w:spacing w:val="10"/>
                <w:sz w:val="21"/>
                <w:szCs w:val="21"/>
              </w:rPr>
            </w:pPr>
            <w:r>
              <w:rPr>
                <w:rFonts w:ascii="Times New Roman" w:hAnsi="Times New Roman" w:eastAsia="宋体" w:cs="Times New Roman"/>
                <w:spacing w:val="10"/>
                <w:sz w:val="21"/>
                <w:szCs w:val="21"/>
              </w:rPr>
              <w:t>否</w:t>
            </w:r>
          </w:p>
        </w:tc>
      </w:tr>
      <w:tr w14:paraId="531183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0" w:type="auto"/>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200D7ED8">
            <w:pPr>
              <w:jc w:val="center"/>
              <w:rPr>
                <w:rFonts w:ascii="Times New Roman" w:hAnsi="Times New Roman" w:eastAsia="宋体" w:cs="Times New Roman"/>
                <w:spacing w:val="10"/>
                <w:sz w:val="21"/>
                <w:szCs w:val="21"/>
              </w:rPr>
            </w:pPr>
            <w:r>
              <w:rPr>
                <w:rFonts w:ascii="Times New Roman" w:hAnsi="Times New Roman" w:eastAsia="宋体" w:cs="Times New Roman"/>
                <w:spacing w:val="10"/>
                <w:sz w:val="21"/>
                <w:szCs w:val="21"/>
              </w:rPr>
              <w:t>储罐区</w:t>
            </w:r>
          </w:p>
        </w:tc>
        <w:tc>
          <w:tcPr>
            <w:tcW w:w="0" w:type="auto"/>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0A74F9C4">
            <w:pPr>
              <w:jc w:val="center"/>
              <w:rPr>
                <w:rFonts w:ascii="Times New Roman" w:hAnsi="Times New Roman" w:eastAsia="宋体" w:cs="Times New Roman"/>
                <w:spacing w:val="10"/>
                <w:sz w:val="21"/>
                <w:szCs w:val="21"/>
              </w:rPr>
            </w:pPr>
            <w:r>
              <w:rPr>
                <w:rFonts w:ascii="Times New Roman" w:hAnsi="Times New Roman" w:eastAsia="宋体" w:cs="Times New Roman"/>
                <w:spacing w:val="10"/>
                <w:sz w:val="21"/>
                <w:szCs w:val="21"/>
              </w:rPr>
              <w:t>氨水储罐</w:t>
            </w:r>
          </w:p>
        </w:tc>
        <w:tc>
          <w:tcPr>
            <w:tcW w:w="0" w:type="auto"/>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67F7CB0E">
            <w:pPr>
              <w:jc w:val="center"/>
              <w:rPr>
                <w:rFonts w:ascii="Times New Roman" w:hAnsi="Times New Roman" w:eastAsia="宋体" w:cs="Times New Roman"/>
                <w:spacing w:val="10"/>
                <w:sz w:val="21"/>
                <w:szCs w:val="21"/>
              </w:rPr>
            </w:pPr>
            <w:r>
              <w:rPr>
                <w:rFonts w:ascii="Times New Roman" w:hAnsi="Times New Roman" w:eastAsia="宋体" w:cs="Times New Roman"/>
                <w:spacing w:val="10"/>
                <w:sz w:val="21"/>
                <w:szCs w:val="21"/>
              </w:rPr>
              <w:t>20%氨水</w:t>
            </w:r>
          </w:p>
        </w:tc>
        <w:tc>
          <w:tcPr>
            <w:tcW w:w="0" w:type="auto"/>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6985E7BF">
            <w:pPr>
              <w:jc w:val="center"/>
              <w:rPr>
                <w:rFonts w:ascii="Times New Roman" w:hAnsi="Times New Roman" w:eastAsia="宋体" w:cs="Times New Roman"/>
                <w:spacing w:val="10"/>
                <w:sz w:val="21"/>
                <w:szCs w:val="21"/>
              </w:rPr>
            </w:pPr>
            <w:r>
              <w:rPr>
                <w:rFonts w:ascii="Times New Roman" w:hAnsi="Times New Roman" w:eastAsia="宋体" w:cs="Times New Roman"/>
                <w:spacing w:val="10"/>
                <w:sz w:val="21"/>
                <w:szCs w:val="21"/>
              </w:rPr>
              <w:t>毒性、燃爆危险性</w:t>
            </w:r>
          </w:p>
        </w:tc>
        <w:tc>
          <w:tcPr>
            <w:tcW w:w="0" w:type="auto"/>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02266C05">
            <w:pPr>
              <w:jc w:val="center"/>
              <w:rPr>
                <w:rFonts w:ascii="Times New Roman" w:hAnsi="Times New Roman" w:eastAsia="宋体" w:cs="Times New Roman"/>
                <w:spacing w:val="10"/>
                <w:sz w:val="21"/>
                <w:szCs w:val="21"/>
              </w:rPr>
            </w:pPr>
            <w:r>
              <w:rPr>
                <w:rFonts w:ascii="Times New Roman" w:hAnsi="Times New Roman" w:eastAsia="宋体" w:cs="Times New Roman"/>
                <w:spacing w:val="10"/>
                <w:sz w:val="21"/>
                <w:szCs w:val="21"/>
              </w:rPr>
              <w:t>易分解放出氨气，温度越高，分解速度越快，可形成爆炸性气氛。</w:t>
            </w:r>
          </w:p>
        </w:tc>
        <w:tc>
          <w:tcPr>
            <w:tcW w:w="0" w:type="auto"/>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5C0E7CD9">
            <w:pPr>
              <w:jc w:val="center"/>
              <w:rPr>
                <w:rFonts w:ascii="Times New Roman" w:hAnsi="Times New Roman" w:eastAsia="宋体" w:cs="Times New Roman"/>
                <w:spacing w:val="10"/>
                <w:sz w:val="21"/>
                <w:szCs w:val="21"/>
              </w:rPr>
            </w:pPr>
            <w:r>
              <w:rPr>
                <w:rFonts w:ascii="Times New Roman" w:hAnsi="Times New Roman" w:eastAsia="宋体" w:cs="Times New Roman"/>
                <w:spacing w:val="10"/>
                <w:sz w:val="21"/>
                <w:szCs w:val="21"/>
              </w:rPr>
              <w:t>是</w:t>
            </w:r>
          </w:p>
        </w:tc>
      </w:tr>
    </w:tbl>
    <w:p w14:paraId="22562C4C">
      <w:pPr>
        <w:spacing w:line="500" w:lineRule="exact"/>
        <w:ind w:firstLine="480" w:firstLineChars="200"/>
        <w:jc w:val="both"/>
        <w:rPr>
          <w:rFonts w:hint="eastAsia" w:ascii="Times New Roman" w:hAnsi="Times New Roman" w:eastAsia="宋体" w:cs="Times New Roman"/>
        </w:rPr>
      </w:pPr>
      <w:r>
        <w:rPr>
          <w:rFonts w:hint="eastAsia" w:ascii="Times New Roman" w:hAnsi="Times New Roman" w:eastAsia="宋体" w:cs="Times New Roman"/>
          <w:lang w:val="en-US" w:eastAsia="zh-CN"/>
        </w:rPr>
        <w:t>2、</w:t>
      </w:r>
      <w:r>
        <w:rPr>
          <w:rFonts w:hint="eastAsia" w:ascii="Times New Roman" w:hAnsi="Times New Roman" w:eastAsia="宋体" w:cs="Times New Roman"/>
        </w:rPr>
        <w:t>次生/伴生污染分析</w:t>
      </w:r>
    </w:p>
    <w:p w14:paraId="1341D311">
      <w:pPr>
        <w:spacing w:line="500" w:lineRule="exact"/>
        <w:ind w:firstLine="480" w:firstLineChars="200"/>
        <w:jc w:val="both"/>
        <w:rPr>
          <w:rFonts w:hint="eastAsia" w:ascii="Times New Roman" w:hAnsi="Times New Roman" w:eastAsia="宋体" w:cs="Times New Roman"/>
        </w:rPr>
      </w:pPr>
      <w:r>
        <w:rPr>
          <w:rFonts w:hint="eastAsia" w:ascii="Times New Roman" w:hAnsi="Times New Roman" w:eastAsia="宋体" w:cs="Times New Roman"/>
        </w:rPr>
        <w:t>发生伴生/次生作用，主要决定于物质性质和事故类型，物质性质是指事故中物质可能通过氧化、水解、热解、物料间反应等过程产生的对环境污染的危害性，事故类型的不同，可能产生相应的上述过程不同，如燃烧可能产生物料氧化、热解过程，泄漏冲洗可能发生水解过程、物料不相容过程等。</w:t>
      </w:r>
    </w:p>
    <w:p w14:paraId="21C5C3CC">
      <w:pPr>
        <w:tabs>
          <w:tab w:val="left" w:pos="851"/>
          <w:tab w:val="left" w:pos="1141"/>
          <w:tab w:val="left" w:pos="4335"/>
        </w:tabs>
        <w:jc w:val="center"/>
        <w:rPr>
          <w:rFonts w:ascii="Times New Roman" w:hAnsi="Times New Roman" w:eastAsia="黑体" w:cs="Times New Roman"/>
        </w:rPr>
      </w:pPr>
      <w:r>
        <w:rPr>
          <w:rFonts w:ascii="Times New Roman" w:hAnsi="Times New Roman" w:eastAsia="黑体" w:cs="Times New Roman"/>
        </w:rPr>
        <w:t>表</w:t>
      </w:r>
      <w:r>
        <w:rPr>
          <w:rFonts w:hint="eastAsia" w:ascii="Times New Roman" w:hAnsi="Times New Roman" w:eastAsia="黑体" w:cs="Times New Roman"/>
          <w:lang w:val="en-US" w:eastAsia="zh-CN"/>
        </w:rPr>
        <w:t>6.1-7</w:t>
      </w:r>
      <w:r>
        <w:rPr>
          <w:rFonts w:ascii="Times New Roman" w:hAnsi="Times New Roman" w:eastAsia="黑体" w:cs="Times New Roman"/>
        </w:rPr>
        <w:t xml:space="preserve"> 次生/伴生污染分析一览表</w:t>
      </w:r>
    </w:p>
    <w:tbl>
      <w:tblPr>
        <w:tblStyle w:val="56"/>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1255"/>
        <w:gridCol w:w="3946"/>
        <w:gridCol w:w="3520"/>
      </w:tblGrid>
      <w:tr w14:paraId="3BDCAC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0" w:type="auto"/>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125AD320">
            <w:pPr>
              <w:jc w:val="center"/>
              <w:rPr>
                <w:rFonts w:ascii="Times New Roman" w:hAnsi="Times New Roman" w:eastAsia="宋体" w:cs="Times New Roman"/>
                <w:b/>
                <w:bCs/>
                <w:spacing w:val="10"/>
                <w:sz w:val="21"/>
                <w:szCs w:val="21"/>
              </w:rPr>
            </w:pPr>
            <w:r>
              <w:rPr>
                <w:rFonts w:ascii="Times New Roman" w:hAnsi="Times New Roman" w:eastAsia="宋体" w:cs="Times New Roman"/>
                <w:b/>
                <w:bCs/>
                <w:spacing w:val="10"/>
                <w:sz w:val="21"/>
                <w:szCs w:val="21"/>
              </w:rPr>
              <w:t>物质</w:t>
            </w:r>
          </w:p>
        </w:tc>
        <w:tc>
          <w:tcPr>
            <w:tcW w:w="0" w:type="auto"/>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2EEB1AC7">
            <w:pPr>
              <w:jc w:val="center"/>
              <w:rPr>
                <w:rFonts w:ascii="Times New Roman" w:hAnsi="Times New Roman" w:eastAsia="宋体" w:cs="Times New Roman"/>
                <w:b/>
                <w:bCs/>
                <w:spacing w:val="10"/>
                <w:sz w:val="21"/>
                <w:szCs w:val="21"/>
              </w:rPr>
            </w:pPr>
            <w:r>
              <w:rPr>
                <w:rFonts w:ascii="Times New Roman" w:hAnsi="Times New Roman" w:eastAsia="宋体" w:cs="Times New Roman"/>
                <w:b/>
                <w:bCs/>
                <w:spacing w:val="10"/>
                <w:sz w:val="21"/>
                <w:szCs w:val="21"/>
              </w:rPr>
              <w:t>次生/伴生发生条件</w:t>
            </w:r>
          </w:p>
        </w:tc>
        <w:tc>
          <w:tcPr>
            <w:tcW w:w="0" w:type="auto"/>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6F24514B">
            <w:pPr>
              <w:jc w:val="center"/>
              <w:rPr>
                <w:rFonts w:ascii="Times New Roman" w:hAnsi="Times New Roman" w:eastAsia="宋体" w:cs="Times New Roman"/>
                <w:b/>
                <w:bCs/>
                <w:spacing w:val="10"/>
                <w:sz w:val="21"/>
                <w:szCs w:val="21"/>
              </w:rPr>
            </w:pPr>
            <w:r>
              <w:rPr>
                <w:rFonts w:ascii="Times New Roman" w:hAnsi="Times New Roman" w:eastAsia="宋体" w:cs="Times New Roman"/>
                <w:b/>
                <w:bCs/>
                <w:spacing w:val="10"/>
                <w:sz w:val="21"/>
                <w:szCs w:val="21"/>
              </w:rPr>
              <w:t>次生/伴生污染物</w:t>
            </w:r>
          </w:p>
        </w:tc>
      </w:tr>
      <w:tr w14:paraId="54D4CF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0" w:type="auto"/>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14355D22">
            <w:pPr>
              <w:jc w:val="center"/>
              <w:rPr>
                <w:rFonts w:ascii="Times New Roman" w:hAnsi="Times New Roman" w:eastAsia="宋体" w:cs="Times New Roman"/>
                <w:spacing w:val="10"/>
                <w:sz w:val="21"/>
                <w:szCs w:val="21"/>
              </w:rPr>
            </w:pPr>
            <w:r>
              <w:rPr>
                <w:rFonts w:ascii="Times New Roman" w:hAnsi="Times New Roman" w:eastAsia="宋体" w:cs="Times New Roman"/>
                <w:spacing w:val="10"/>
                <w:sz w:val="21"/>
                <w:szCs w:val="21"/>
              </w:rPr>
              <w:t>煤气</w:t>
            </w:r>
          </w:p>
        </w:tc>
        <w:tc>
          <w:tcPr>
            <w:tcW w:w="0" w:type="auto"/>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119A533B">
            <w:pPr>
              <w:jc w:val="center"/>
              <w:rPr>
                <w:rFonts w:ascii="Times New Roman" w:hAnsi="Times New Roman" w:eastAsia="宋体" w:cs="Times New Roman"/>
                <w:spacing w:val="10"/>
                <w:sz w:val="21"/>
                <w:szCs w:val="21"/>
              </w:rPr>
            </w:pPr>
            <w:r>
              <w:rPr>
                <w:rFonts w:ascii="Times New Roman" w:hAnsi="Times New Roman" w:eastAsia="宋体" w:cs="Times New Roman"/>
                <w:spacing w:val="10"/>
                <w:sz w:val="21"/>
                <w:szCs w:val="21"/>
              </w:rPr>
              <w:t>遇明火、燃烧</w:t>
            </w:r>
          </w:p>
        </w:tc>
        <w:tc>
          <w:tcPr>
            <w:tcW w:w="0" w:type="auto"/>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343ACDA4">
            <w:pPr>
              <w:jc w:val="center"/>
              <w:rPr>
                <w:rFonts w:ascii="Times New Roman" w:hAnsi="Times New Roman" w:eastAsia="宋体" w:cs="Times New Roman"/>
                <w:spacing w:val="10"/>
                <w:sz w:val="21"/>
                <w:szCs w:val="21"/>
              </w:rPr>
            </w:pPr>
            <w:r>
              <w:rPr>
                <w:rFonts w:ascii="Times New Roman" w:hAnsi="Times New Roman" w:eastAsia="宋体" w:cs="Times New Roman"/>
                <w:spacing w:val="10"/>
                <w:sz w:val="21"/>
                <w:szCs w:val="21"/>
              </w:rPr>
              <w:t>CO</w:t>
            </w:r>
          </w:p>
        </w:tc>
      </w:tr>
    </w:tbl>
    <w:p w14:paraId="3BA51AF0">
      <w:pPr>
        <w:pStyle w:val="52"/>
        <w:keepNext w:val="0"/>
        <w:keepLines w:val="0"/>
        <w:widowControl/>
        <w:suppressLineNumbers w:val="0"/>
        <w:spacing w:line="240" w:lineRule="auto"/>
        <w:ind w:left="0" w:firstLine="478"/>
        <w:jc w:val="left"/>
        <w:textAlignment w:val="center"/>
      </w:pPr>
      <w:r>
        <w:rPr>
          <w:rFonts w:hint="eastAsia" w:ascii="宋体" w:hAnsi="宋体" w:eastAsia="宋体" w:cs="宋体"/>
          <w:color w:val="000000"/>
          <w:spacing w:val="0"/>
          <w:position w:val="0"/>
          <w:sz w:val="24"/>
          <w:szCs w:val="24"/>
        </w:rPr>
        <w:t>煤气与空气反应或不完全燃烧将产生的有毒气体</w:t>
      </w:r>
      <w:r>
        <w:rPr>
          <w:rFonts w:hint="default" w:ascii="Times New Roman" w:hAnsi="Times New Roman" w:cs="Times New Roman"/>
          <w:color w:val="000000"/>
          <w:spacing w:val="0"/>
          <w:position w:val="0"/>
          <w:sz w:val="24"/>
          <w:szCs w:val="24"/>
        </w:rPr>
        <w:t>CO</w:t>
      </w:r>
      <w:r>
        <w:rPr>
          <w:rFonts w:hint="eastAsia" w:ascii="宋体" w:hAnsi="宋体" w:eastAsia="宋体" w:cs="宋体"/>
          <w:color w:val="000000"/>
          <w:spacing w:val="0"/>
          <w:position w:val="0"/>
          <w:sz w:val="24"/>
          <w:szCs w:val="24"/>
        </w:rPr>
        <w:t>，释放进入大气。如不及时采取有效的减缓措施，将对周边人群、环境造成更为严重的健康危害。</w:t>
      </w:r>
    </w:p>
    <w:p w14:paraId="02E71E45">
      <w:pPr>
        <w:rPr>
          <w:rFonts w:hint="eastAsia"/>
        </w:rPr>
      </w:pPr>
      <w:r>
        <w:drawing>
          <wp:inline distT="0" distB="0" distL="114300" distR="114300">
            <wp:extent cx="5395595" cy="3542665"/>
            <wp:effectExtent l="0" t="0" r="14605" b="635"/>
            <wp:docPr id="111" name="图片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 name="图片 79"/>
                    <pic:cNvPicPr>
                      <a:picLocks noChangeAspect="1"/>
                    </pic:cNvPicPr>
                  </pic:nvPicPr>
                  <pic:blipFill>
                    <a:blip r:embed="rId105"/>
                    <a:stretch>
                      <a:fillRect/>
                    </a:stretch>
                  </pic:blipFill>
                  <pic:spPr>
                    <a:xfrm>
                      <a:off x="0" y="0"/>
                      <a:ext cx="5395595" cy="3542665"/>
                    </a:xfrm>
                    <a:prstGeom prst="rect">
                      <a:avLst/>
                    </a:prstGeom>
                    <a:noFill/>
                    <a:ln>
                      <a:noFill/>
                    </a:ln>
                  </pic:spPr>
                </pic:pic>
              </a:graphicData>
            </a:graphic>
          </wp:inline>
        </w:drawing>
      </w:r>
    </w:p>
    <w:p w14:paraId="011B1EB1">
      <w:pPr>
        <w:pStyle w:val="52"/>
        <w:keepNext w:val="0"/>
        <w:keepLines w:val="0"/>
        <w:widowControl/>
        <w:suppressLineNumbers w:val="0"/>
        <w:spacing w:line="240" w:lineRule="auto"/>
        <w:ind w:left="0" w:firstLine="0"/>
        <w:jc w:val="center"/>
        <w:textAlignment w:val="center"/>
      </w:pPr>
      <w:r>
        <w:rPr>
          <w:rFonts w:hint="eastAsia" w:ascii="宋体" w:hAnsi="宋体" w:eastAsia="宋体" w:cs="宋体"/>
          <w:b/>
          <w:bCs/>
          <w:color w:val="000000"/>
          <w:spacing w:val="0"/>
          <w:position w:val="0"/>
          <w:sz w:val="24"/>
          <w:szCs w:val="24"/>
        </w:rPr>
        <w:t>图</w:t>
      </w:r>
      <w:r>
        <w:rPr>
          <w:rFonts w:hint="eastAsia" w:ascii="Times New Roman" w:hAnsi="Times New Roman" w:eastAsia="宋体" w:cs="Times New Roman"/>
          <w:b/>
          <w:bCs/>
          <w:color w:val="000000"/>
          <w:spacing w:val="0"/>
          <w:position w:val="0"/>
          <w:sz w:val="24"/>
          <w:szCs w:val="24"/>
          <w:lang w:val="en-US" w:eastAsia="zh-CN"/>
        </w:rPr>
        <w:t>6.1</w:t>
      </w:r>
      <w:r>
        <w:rPr>
          <w:rFonts w:hint="default" w:ascii="Times New Roman" w:hAnsi="Times New Roman" w:cs="Times New Roman"/>
          <w:b/>
          <w:bCs/>
          <w:color w:val="000000"/>
          <w:spacing w:val="0"/>
          <w:position w:val="0"/>
          <w:sz w:val="24"/>
          <w:szCs w:val="24"/>
        </w:rPr>
        <w:t>-</w:t>
      </w:r>
      <w:r>
        <w:rPr>
          <w:rFonts w:hint="eastAsia" w:ascii="Times New Roman" w:hAnsi="Times New Roman" w:cs="Times New Roman"/>
          <w:b/>
          <w:bCs/>
          <w:color w:val="000000"/>
          <w:spacing w:val="0"/>
          <w:position w:val="0"/>
          <w:sz w:val="24"/>
          <w:szCs w:val="24"/>
          <w:lang w:val="en-US" w:eastAsia="zh-CN"/>
        </w:rPr>
        <w:t>1</w:t>
      </w:r>
      <w:r>
        <w:rPr>
          <w:rFonts w:hint="default" w:ascii="Times New Roman" w:hAnsi="Times New Roman" w:cs="Times New Roman"/>
          <w:b/>
          <w:bCs/>
          <w:color w:val="000000"/>
          <w:spacing w:val="0"/>
          <w:position w:val="0"/>
          <w:sz w:val="24"/>
          <w:szCs w:val="24"/>
        </w:rPr>
        <w:t xml:space="preserve"> </w:t>
      </w:r>
      <w:r>
        <w:rPr>
          <w:rFonts w:hint="eastAsia" w:ascii="宋体" w:hAnsi="宋体" w:eastAsia="宋体" w:cs="宋体"/>
          <w:b/>
          <w:bCs/>
          <w:color w:val="000000"/>
          <w:spacing w:val="0"/>
          <w:position w:val="0"/>
          <w:sz w:val="24"/>
          <w:szCs w:val="24"/>
        </w:rPr>
        <w:t>事故状况次生</w:t>
      </w:r>
      <w:r>
        <w:rPr>
          <w:rFonts w:hint="default" w:ascii="Times New Roman" w:hAnsi="Times New Roman" w:cs="Times New Roman"/>
          <w:b/>
          <w:bCs/>
          <w:color w:val="000000"/>
          <w:spacing w:val="0"/>
          <w:position w:val="0"/>
          <w:sz w:val="24"/>
          <w:szCs w:val="24"/>
        </w:rPr>
        <w:t>/</w:t>
      </w:r>
      <w:r>
        <w:rPr>
          <w:rFonts w:hint="eastAsia" w:ascii="宋体" w:hAnsi="宋体" w:eastAsia="宋体" w:cs="宋体"/>
          <w:b/>
          <w:bCs/>
          <w:color w:val="000000"/>
          <w:spacing w:val="0"/>
          <w:position w:val="0"/>
          <w:sz w:val="24"/>
          <w:szCs w:val="24"/>
        </w:rPr>
        <w:t>伴生危险性分析</w:t>
      </w:r>
    </w:p>
    <w:p w14:paraId="1BDD9688">
      <w:pPr>
        <w:pStyle w:val="52"/>
        <w:keepNext w:val="0"/>
        <w:keepLines w:val="0"/>
        <w:widowControl/>
        <w:suppressLineNumbers w:val="0"/>
        <w:spacing w:line="240" w:lineRule="auto"/>
        <w:ind w:left="0" w:firstLine="241" w:firstLineChars="100"/>
        <w:jc w:val="left"/>
        <w:textAlignment w:val="center"/>
      </w:pPr>
      <w:r>
        <w:rPr>
          <w:rFonts w:hint="eastAsia" w:ascii="Times New Roman" w:hAnsi="Times New Roman" w:cs="Times New Roman"/>
          <w:b/>
          <w:szCs w:val="28"/>
        </w:rPr>
        <w:t>6</w:t>
      </w:r>
      <w:r>
        <w:rPr>
          <w:rFonts w:ascii="Times New Roman" w:hAnsi="Times New Roman" w:cs="Times New Roman"/>
          <w:b/>
          <w:szCs w:val="28"/>
        </w:rPr>
        <w:t>.1.</w:t>
      </w:r>
      <w:r>
        <w:rPr>
          <w:rFonts w:hint="eastAsia" w:ascii="Times New Roman" w:hAnsi="Times New Roman" w:cs="Times New Roman"/>
          <w:b/>
          <w:szCs w:val="28"/>
          <w:lang w:val="en-US" w:eastAsia="zh-CN"/>
        </w:rPr>
        <w:t>3</w:t>
      </w:r>
      <w:r>
        <w:rPr>
          <w:rFonts w:ascii="Times New Roman" w:hAnsi="Times New Roman" w:cs="Times New Roman"/>
          <w:b/>
          <w:szCs w:val="28"/>
        </w:rPr>
        <w:t xml:space="preserve"> </w:t>
      </w:r>
      <w:r>
        <w:rPr>
          <w:rFonts w:hint="eastAsia" w:ascii="宋体" w:hAnsi="宋体" w:eastAsia="宋体" w:cs="宋体"/>
          <w:b/>
          <w:bCs/>
          <w:color w:val="000000"/>
          <w:spacing w:val="0"/>
          <w:position w:val="0"/>
          <w:sz w:val="24"/>
          <w:szCs w:val="24"/>
        </w:rPr>
        <w:t>环境风险类型及危害分析</w:t>
      </w:r>
    </w:p>
    <w:p w14:paraId="44297C5E">
      <w:pPr>
        <w:spacing w:line="500" w:lineRule="exact"/>
        <w:ind w:firstLine="480" w:firstLineChars="200"/>
        <w:jc w:val="both"/>
        <w:rPr>
          <w:rFonts w:hint="eastAsia" w:ascii="Times New Roman" w:hAnsi="Times New Roman" w:eastAsia="宋体" w:cs="Times New Roman"/>
        </w:rPr>
      </w:pPr>
      <w:r>
        <w:rPr>
          <w:rFonts w:hint="eastAsia" w:ascii="Times New Roman" w:hAnsi="Times New Roman" w:eastAsia="宋体" w:cs="Times New Roman"/>
        </w:rPr>
        <w:t>环境风险类型包括危险物质泄漏，以及火灾、爆炸等引发的伴生</w:t>
      </w:r>
      <w:r>
        <w:rPr>
          <w:rFonts w:hint="default" w:ascii="Times New Roman" w:hAnsi="Times New Roman" w:eastAsia="宋体" w:cs="Times New Roman"/>
        </w:rPr>
        <w:t>/</w:t>
      </w:r>
      <w:r>
        <w:rPr>
          <w:rFonts w:hint="eastAsia" w:ascii="Times New Roman" w:hAnsi="Times New Roman" w:eastAsia="宋体" w:cs="Times New Roman"/>
        </w:rPr>
        <w:t>次生污染物排放。</w:t>
      </w:r>
    </w:p>
    <w:p w14:paraId="09A67C52">
      <w:pPr>
        <w:spacing w:line="500" w:lineRule="exact"/>
        <w:ind w:firstLine="480" w:firstLineChars="200"/>
        <w:jc w:val="both"/>
        <w:rPr>
          <w:rFonts w:hint="eastAsia" w:ascii="Times New Roman" w:hAnsi="Times New Roman" w:eastAsia="宋体" w:cs="Times New Roman"/>
        </w:rPr>
      </w:pPr>
      <w:r>
        <w:rPr>
          <w:rFonts w:hint="eastAsia" w:ascii="Times New Roman" w:hAnsi="Times New Roman" w:eastAsia="宋体" w:cs="Times New Roman"/>
        </w:rPr>
        <w:t>根据物质及生产系统危险性识别结果，项目事故中物质泄漏、伴生</w:t>
      </w:r>
      <w:r>
        <w:rPr>
          <w:rFonts w:hint="default" w:ascii="Times New Roman" w:hAnsi="Times New Roman" w:eastAsia="宋体" w:cs="Times New Roman"/>
        </w:rPr>
        <w:t>/</w:t>
      </w:r>
      <w:r>
        <w:rPr>
          <w:rFonts w:hint="eastAsia" w:ascii="Times New Roman" w:hAnsi="Times New Roman" w:eastAsia="宋体" w:cs="Times New Roman"/>
        </w:rPr>
        <w:t>次生危险性分析及事故情况下污染转移途径及危害形式如下：</w:t>
      </w:r>
    </w:p>
    <w:p w14:paraId="06F5D256">
      <w:pPr>
        <w:spacing w:line="500" w:lineRule="exact"/>
        <w:ind w:firstLine="480" w:firstLineChars="200"/>
        <w:jc w:val="both"/>
        <w:rPr>
          <w:rFonts w:hint="eastAsia" w:ascii="Times New Roman" w:hAnsi="Times New Roman" w:eastAsia="宋体" w:cs="Times New Roman"/>
        </w:rPr>
      </w:pPr>
      <w:r>
        <w:rPr>
          <w:rFonts w:hint="default" w:ascii="Times New Roman" w:hAnsi="Times New Roman" w:eastAsia="宋体" w:cs="Times New Roman"/>
        </w:rPr>
        <w:t>1</w:t>
      </w:r>
      <w:r>
        <w:rPr>
          <w:rFonts w:hint="eastAsia" w:ascii="Times New Roman" w:hAnsi="Times New Roman" w:eastAsia="宋体" w:cs="Times New Roman"/>
        </w:rPr>
        <w:t>、物质泄漏、伴生</w:t>
      </w:r>
      <w:r>
        <w:rPr>
          <w:rFonts w:hint="default" w:ascii="Times New Roman" w:hAnsi="Times New Roman" w:eastAsia="宋体" w:cs="Times New Roman"/>
        </w:rPr>
        <w:t>/</w:t>
      </w:r>
      <w:r>
        <w:rPr>
          <w:rFonts w:hint="eastAsia" w:ascii="Times New Roman" w:hAnsi="Times New Roman" w:eastAsia="宋体" w:cs="Times New Roman"/>
        </w:rPr>
        <w:t>次生危险性分析</w:t>
      </w:r>
    </w:p>
    <w:p w14:paraId="3261EDF7">
      <w:pPr>
        <w:spacing w:line="500" w:lineRule="exact"/>
        <w:ind w:firstLine="480" w:firstLineChars="200"/>
        <w:jc w:val="both"/>
        <w:rPr>
          <w:rFonts w:hint="eastAsia" w:ascii="Times New Roman" w:hAnsi="Times New Roman" w:eastAsia="宋体" w:cs="Times New Roman"/>
        </w:rPr>
      </w:pPr>
      <w:r>
        <w:rPr>
          <w:rFonts w:hint="eastAsia" w:ascii="Times New Roman" w:hAnsi="Times New Roman" w:eastAsia="宋体" w:cs="Times New Roman"/>
        </w:rPr>
        <w:t>事故发生中发生伴生</w:t>
      </w:r>
      <w:r>
        <w:rPr>
          <w:rFonts w:hint="default" w:ascii="Times New Roman" w:hAnsi="Times New Roman" w:eastAsia="宋体" w:cs="Times New Roman"/>
        </w:rPr>
        <w:t>/</w:t>
      </w:r>
      <w:r>
        <w:rPr>
          <w:rFonts w:hint="eastAsia" w:ascii="Times New Roman" w:hAnsi="Times New Roman" w:eastAsia="宋体" w:cs="Times New Roman"/>
        </w:rPr>
        <w:t>次生作用，主要决定于物质性质和事故类型，物质性质是指事故中物质可能通过氧化、水解、热解、物料间反应等过程产生的对环境污染的危害性，事故类型的不同，可能产生相应的上述过程不同，如燃烧可能产生物料氧化、热解过程，泄漏冲洗可能发生水解过程、物料不相容过程等。</w:t>
      </w:r>
    </w:p>
    <w:p w14:paraId="086FED63">
      <w:pPr>
        <w:spacing w:line="500" w:lineRule="exact"/>
        <w:ind w:firstLine="480" w:firstLineChars="200"/>
        <w:jc w:val="both"/>
        <w:rPr>
          <w:rFonts w:hint="eastAsia" w:ascii="Times New Roman" w:hAnsi="Times New Roman" w:eastAsia="宋体" w:cs="Times New Roman"/>
        </w:rPr>
      </w:pPr>
      <w:r>
        <w:rPr>
          <w:rFonts w:hint="eastAsia" w:ascii="Times New Roman" w:hAnsi="Times New Roman" w:eastAsia="宋体" w:cs="Times New Roman"/>
        </w:rPr>
        <w:t>本项目氨水储罐泄漏主要污染物是氨气挥发，高炉煤气泄漏或火灾爆炸产生的伴生</w:t>
      </w:r>
      <w:r>
        <w:rPr>
          <w:rFonts w:hint="default" w:ascii="Times New Roman" w:hAnsi="Times New Roman" w:eastAsia="宋体" w:cs="Times New Roman"/>
        </w:rPr>
        <w:t>/</w:t>
      </w:r>
      <w:r>
        <w:rPr>
          <w:rFonts w:hint="eastAsia" w:ascii="Times New Roman" w:hAnsi="Times New Roman" w:eastAsia="宋体" w:cs="Times New Roman"/>
        </w:rPr>
        <w:t>次生污染物主要为</w:t>
      </w:r>
      <w:r>
        <w:rPr>
          <w:rFonts w:hint="default" w:ascii="Times New Roman" w:hAnsi="Times New Roman" w:eastAsia="宋体" w:cs="Times New Roman"/>
        </w:rPr>
        <w:t>CO</w:t>
      </w:r>
      <w:r>
        <w:rPr>
          <w:rFonts w:hint="eastAsia" w:ascii="Times New Roman" w:hAnsi="Times New Roman" w:eastAsia="宋体" w:cs="Times New Roman"/>
        </w:rPr>
        <w:t>。</w:t>
      </w:r>
    </w:p>
    <w:p w14:paraId="310502BA">
      <w:pPr>
        <w:spacing w:line="500" w:lineRule="exact"/>
        <w:ind w:firstLine="480" w:firstLineChars="200"/>
        <w:jc w:val="both"/>
        <w:rPr>
          <w:rFonts w:hint="eastAsia" w:ascii="Times New Roman" w:hAnsi="Times New Roman" w:eastAsia="宋体" w:cs="Times New Roman"/>
        </w:rPr>
      </w:pPr>
      <w:r>
        <w:rPr>
          <w:rFonts w:hint="eastAsia" w:ascii="Times New Roman" w:hAnsi="Times New Roman" w:eastAsia="宋体" w:cs="Times New Roman"/>
        </w:rPr>
        <w:t>（</w:t>
      </w:r>
      <w:r>
        <w:rPr>
          <w:rFonts w:hint="default" w:ascii="Times New Roman" w:hAnsi="Times New Roman" w:eastAsia="宋体" w:cs="Times New Roman"/>
        </w:rPr>
        <w:t>1</w:t>
      </w:r>
      <w:r>
        <w:rPr>
          <w:rFonts w:hint="eastAsia" w:ascii="Times New Roman" w:hAnsi="Times New Roman" w:eastAsia="宋体" w:cs="Times New Roman"/>
        </w:rPr>
        <w:t>）对大气环境的污染影响</w:t>
      </w:r>
    </w:p>
    <w:p w14:paraId="35E8EF36">
      <w:pPr>
        <w:spacing w:line="500" w:lineRule="exact"/>
        <w:ind w:firstLine="480" w:firstLineChars="200"/>
        <w:jc w:val="both"/>
        <w:rPr>
          <w:rFonts w:hint="eastAsia" w:ascii="Times New Roman" w:hAnsi="Times New Roman" w:eastAsia="宋体" w:cs="Times New Roman"/>
        </w:rPr>
      </w:pPr>
      <w:r>
        <w:rPr>
          <w:rFonts w:hint="default" w:ascii="Times New Roman" w:hAnsi="Times New Roman" w:eastAsia="宋体" w:cs="Times New Roman"/>
        </w:rPr>
        <w:t xml:space="preserve">CO </w:t>
      </w:r>
      <w:r>
        <w:rPr>
          <w:rFonts w:hint="eastAsia" w:ascii="Times New Roman" w:hAnsi="Times New Roman" w:eastAsia="宋体" w:cs="Times New Roman"/>
        </w:rPr>
        <w:t>轻度中毒表现为头痛、头昏、四肢无力、恶心呕吐、轻度意识障碍等；中度中毒表现为浅至中度昏迷；重度中毒意识障碍达深昏迷或去大脑皮层状态，如</w:t>
      </w:r>
      <w:r>
        <w:rPr>
          <w:rFonts w:hint="default" w:ascii="Times New Roman" w:hAnsi="Times New Roman" w:eastAsia="宋体" w:cs="Times New Roman"/>
        </w:rPr>
        <w:t xml:space="preserve">CO </w:t>
      </w:r>
      <w:r>
        <w:rPr>
          <w:rFonts w:hint="eastAsia" w:ascii="Times New Roman" w:hAnsi="Times New Roman" w:eastAsia="宋体" w:cs="Times New Roman"/>
        </w:rPr>
        <w:t>浓度极高时，可使人迅速昏迷，甚至</w:t>
      </w:r>
      <w:r>
        <w:rPr>
          <w:rFonts w:hint="default" w:ascii="Times New Roman" w:hAnsi="Times New Roman" w:eastAsia="宋体" w:cs="Times New Roman"/>
        </w:rPr>
        <w:t>“</w:t>
      </w:r>
      <w:r>
        <w:rPr>
          <w:rFonts w:hint="eastAsia" w:ascii="Times New Roman" w:hAnsi="Times New Roman" w:eastAsia="宋体" w:cs="Times New Roman"/>
        </w:rPr>
        <w:t>电击样</w:t>
      </w:r>
      <w:r>
        <w:rPr>
          <w:rFonts w:hint="default" w:ascii="Times New Roman" w:hAnsi="Times New Roman" w:eastAsia="宋体" w:cs="Times New Roman"/>
        </w:rPr>
        <w:t>”</w:t>
      </w:r>
      <w:r>
        <w:rPr>
          <w:rFonts w:hint="eastAsia" w:ascii="Times New Roman" w:hAnsi="Times New Roman" w:eastAsia="宋体" w:cs="Times New Roman"/>
        </w:rPr>
        <w:t>死亡。除中枢神经系统病变之外，急性</w:t>
      </w:r>
      <w:r>
        <w:rPr>
          <w:rFonts w:hint="default" w:ascii="Times New Roman" w:hAnsi="Times New Roman" w:eastAsia="宋体" w:cs="Times New Roman"/>
        </w:rPr>
        <w:t xml:space="preserve">CO </w:t>
      </w:r>
      <w:r>
        <w:rPr>
          <w:rFonts w:hint="eastAsia" w:ascii="Times New Roman" w:hAnsi="Times New Roman" w:eastAsia="宋体" w:cs="Times New Roman"/>
        </w:rPr>
        <w:t>中毒尚可合并多器官功能障碍，如肺水肿，呼吸衰竭，上消化道出血，休克，周围神经病变（多为单神经损害），皮肤水疱或红肿，身体挤压综合征（包括筋膜间隙综合征和横纹肌溶解综合征），极少部分患者可合并脑梗死或心肌梗死。</w:t>
      </w:r>
    </w:p>
    <w:p w14:paraId="4D9C3A57">
      <w:pPr>
        <w:spacing w:line="500" w:lineRule="exact"/>
        <w:ind w:firstLine="480" w:firstLineChars="200"/>
        <w:jc w:val="both"/>
        <w:rPr>
          <w:rFonts w:hint="eastAsia" w:ascii="Times New Roman" w:hAnsi="Times New Roman" w:eastAsia="宋体" w:cs="Times New Roman"/>
        </w:rPr>
      </w:pPr>
      <w:r>
        <w:rPr>
          <w:rFonts w:hint="eastAsia" w:ascii="Times New Roman" w:hAnsi="Times New Roman" w:eastAsia="宋体" w:cs="Times New Roman"/>
        </w:rPr>
        <w:t>（</w:t>
      </w:r>
      <w:r>
        <w:rPr>
          <w:rFonts w:hint="default" w:ascii="Times New Roman" w:hAnsi="Times New Roman" w:eastAsia="宋体" w:cs="Times New Roman"/>
        </w:rPr>
        <w:t>2</w:t>
      </w:r>
      <w:r>
        <w:rPr>
          <w:rFonts w:hint="eastAsia" w:ascii="Times New Roman" w:hAnsi="Times New Roman" w:eastAsia="宋体" w:cs="Times New Roman"/>
        </w:rPr>
        <w:t>）对水环境和土壤污染</w:t>
      </w:r>
    </w:p>
    <w:p w14:paraId="3296C7EF">
      <w:pPr>
        <w:spacing w:line="500" w:lineRule="exact"/>
        <w:ind w:firstLine="480" w:firstLineChars="200"/>
        <w:jc w:val="both"/>
        <w:rPr>
          <w:rFonts w:hint="eastAsia" w:ascii="Times New Roman" w:hAnsi="Times New Roman" w:eastAsia="宋体" w:cs="Times New Roman"/>
        </w:rPr>
      </w:pPr>
      <w:r>
        <w:rPr>
          <w:rFonts w:hint="eastAsia" w:ascii="Times New Roman" w:hAnsi="Times New Roman" w:eastAsia="宋体" w:cs="Times New Roman"/>
        </w:rPr>
        <w:t>一旦消防废水未及时发现收集进入事故池或处理设施，有毒物质有可能通过雨水或消防水排水系统进入周围水环境，将造成水环境和土壤污染。</w:t>
      </w:r>
    </w:p>
    <w:p w14:paraId="587C3F70">
      <w:pPr>
        <w:spacing w:line="500" w:lineRule="exact"/>
        <w:ind w:firstLine="480" w:firstLineChars="200"/>
        <w:jc w:val="both"/>
        <w:rPr>
          <w:rFonts w:hint="eastAsia" w:ascii="Times New Roman" w:hAnsi="Times New Roman" w:eastAsia="宋体" w:cs="Times New Roman"/>
        </w:rPr>
      </w:pPr>
      <w:r>
        <w:rPr>
          <w:rFonts w:hint="default" w:ascii="Times New Roman" w:hAnsi="Times New Roman" w:eastAsia="宋体" w:cs="Times New Roman"/>
        </w:rPr>
        <w:t>2</w:t>
      </w:r>
      <w:r>
        <w:rPr>
          <w:rFonts w:hint="eastAsia" w:ascii="Times New Roman" w:hAnsi="Times New Roman" w:eastAsia="宋体" w:cs="Times New Roman"/>
        </w:rPr>
        <w:t>、事故情况下污染转移途径及危害形式</w:t>
      </w:r>
    </w:p>
    <w:p w14:paraId="493D60F0">
      <w:pPr>
        <w:spacing w:line="500" w:lineRule="exact"/>
        <w:ind w:firstLine="480" w:firstLineChars="200"/>
        <w:jc w:val="both"/>
        <w:rPr>
          <w:rFonts w:hint="eastAsia" w:ascii="Times New Roman" w:hAnsi="Times New Roman" w:eastAsia="宋体" w:cs="Times New Roman"/>
        </w:rPr>
      </w:pPr>
      <w:r>
        <w:rPr>
          <w:rFonts w:hint="eastAsia" w:ascii="Times New Roman" w:hAnsi="Times New Roman" w:eastAsia="宋体" w:cs="Times New Roman"/>
        </w:rPr>
        <w:t>物料泄漏后，可能产生物料的环境扩散或发生燃爆事故，而对环境构成重大污染事故的主要是环境扩散，或者是由燃爆事故后产生的伴生</w:t>
      </w:r>
      <w:r>
        <w:rPr>
          <w:rFonts w:hint="default" w:ascii="Times New Roman" w:hAnsi="Times New Roman" w:eastAsia="宋体" w:cs="Times New Roman"/>
        </w:rPr>
        <w:t>/</w:t>
      </w:r>
      <w:r>
        <w:rPr>
          <w:rFonts w:hint="eastAsia" w:ascii="Times New Roman" w:hAnsi="Times New Roman" w:eastAsia="宋体" w:cs="Times New Roman"/>
        </w:rPr>
        <w:t>次生危害导致环境污染事故。环境扩散途径示意图见图</w:t>
      </w:r>
      <w:r>
        <w:rPr>
          <w:rFonts w:hint="default" w:ascii="Times New Roman" w:hAnsi="Times New Roman" w:eastAsia="宋体" w:cs="Times New Roman"/>
        </w:rPr>
        <w:t>4.8.2-3</w:t>
      </w:r>
      <w:r>
        <w:rPr>
          <w:rFonts w:hint="eastAsia" w:ascii="Times New Roman" w:hAnsi="Times New Roman" w:eastAsia="宋体" w:cs="Times New Roman"/>
        </w:rPr>
        <w:t>：</w:t>
      </w:r>
    </w:p>
    <w:p w14:paraId="1907D71B">
      <w:r>
        <w:drawing>
          <wp:inline distT="0" distB="0" distL="114300" distR="114300">
            <wp:extent cx="5398770" cy="3742690"/>
            <wp:effectExtent l="0" t="0" r="11430" b="10160"/>
            <wp:docPr id="16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 name="图片 11"/>
                    <pic:cNvPicPr>
                      <a:picLocks noChangeAspect="1"/>
                    </pic:cNvPicPr>
                  </pic:nvPicPr>
                  <pic:blipFill>
                    <a:blip r:embed="rId106"/>
                    <a:stretch>
                      <a:fillRect/>
                    </a:stretch>
                  </pic:blipFill>
                  <pic:spPr>
                    <a:xfrm>
                      <a:off x="0" y="0"/>
                      <a:ext cx="5398770" cy="3742690"/>
                    </a:xfrm>
                    <a:prstGeom prst="rect">
                      <a:avLst/>
                    </a:prstGeom>
                    <a:noFill/>
                    <a:ln>
                      <a:noFill/>
                    </a:ln>
                  </pic:spPr>
                </pic:pic>
              </a:graphicData>
            </a:graphic>
          </wp:inline>
        </w:drawing>
      </w:r>
    </w:p>
    <w:p w14:paraId="34F2713A">
      <w:pPr>
        <w:pStyle w:val="52"/>
        <w:keepNext w:val="0"/>
        <w:keepLines w:val="0"/>
        <w:widowControl/>
        <w:suppressLineNumbers w:val="0"/>
        <w:spacing w:line="240" w:lineRule="auto"/>
        <w:ind w:left="0" w:firstLine="0"/>
        <w:jc w:val="center"/>
        <w:textAlignment w:val="center"/>
      </w:pPr>
      <w:r>
        <w:rPr>
          <w:rFonts w:hint="eastAsia" w:ascii="宋体" w:hAnsi="宋体" w:eastAsia="宋体" w:cs="宋体"/>
          <w:b/>
          <w:bCs/>
          <w:color w:val="000000"/>
          <w:spacing w:val="0"/>
          <w:position w:val="0"/>
          <w:sz w:val="24"/>
          <w:szCs w:val="24"/>
        </w:rPr>
        <w:t>图</w:t>
      </w:r>
      <w:r>
        <w:rPr>
          <w:rFonts w:hint="default" w:ascii="Times New Roman" w:hAnsi="Times New Roman" w:cs="Times New Roman"/>
          <w:b/>
          <w:bCs/>
          <w:color w:val="000000"/>
          <w:spacing w:val="0"/>
          <w:position w:val="0"/>
          <w:sz w:val="24"/>
          <w:szCs w:val="24"/>
        </w:rPr>
        <w:t xml:space="preserve">4.8.2-3 </w:t>
      </w:r>
      <w:r>
        <w:rPr>
          <w:rFonts w:hint="eastAsia" w:ascii="宋体" w:hAnsi="宋体" w:eastAsia="宋体" w:cs="宋体"/>
          <w:b/>
          <w:bCs/>
          <w:color w:val="000000"/>
          <w:spacing w:val="0"/>
          <w:position w:val="0"/>
          <w:sz w:val="24"/>
          <w:szCs w:val="24"/>
        </w:rPr>
        <w:t>环境扩散途径示意图</w:t>
      </w:r>
    </w:p>
    <w:p w14:paraId="7B422D23">
      <w:pPr>
        <w:pStyle w:val="52"/>
        <w:keepNext w:val="0"/>
        <w:keepLines w:val="0"/>
        <w:widowControl/>
        <w:suppressLineNumbers w:val="0"/>
        <w:spacing w:line="240" w:lineRule="auto"/>
        <w:ind w:left="0" w:firstLine="480"/>
        <w:jc w:val="left"/>
        <w:textAlignment w:val="center"/>
      </w:pPr>
      <w:r>
        <w:rPr>
          <w:rFonts w:hint="eastAsia" w:ascii="宋体" w:hAnsi="宋体" w:eastAsia="宋体" w:cs="宋体"/>
          <w:color w:val="000000"/>
          <w:spacing w:val="0"/>
          <w:position w:val="0"/>
          <w:sz w:val="24"/>
          <w:szCs w:val="24"/>
        </w:rPr>
        <w:t>对地表水的直接污染程度，取决于泄漏点的位置和泄漏量情况。但假如泄漏发生在无围堰或裸露地面位置，如管道或输送泵泄漏，则极有可能随下水道或渗漏污染地表水体，或土壤和地下水体。项目危废</w:t>
      </w:r>
      <w:r>
        <w:rPr>
          <w:rFonts w:hint="eastAsia" w:ascii="宋体" w:hAnsi="宋体" w:eastAsia="宋体" w:cs="宋体"/>
          <w:color w:val="000000"/>
          <w:spacing w:val="0"/>
          <w:position w:val="0"/>
          <w:sz w:val="24"/>
          <w:szCs w:val="24"/>
          <w:lang w:val="en-US" w:eastAsia="zh-CN"/>
        </w:rPr>
        <w:t>贮存点</w:t>
      </w:r>
      <w:r>
        <w:rPr>
          <w:rFonts w:hint="eastAsia" w:ascii="宋体" w:hAnsi="宋体" w:eastAsia="宋体" w:cs="宋体"/>
          <w:color w:val="000000"/>
          <w:spacing w:val="0"/>
          <w:position w:val="0"/>
          <w:sz w:val="24"/>
          <w:szCs w:val="24"/>
        </w:rPr>
        <w:t>、管道沿线都进行地面硬化防渗处理，且无伴生</w:t>
      </w:r>
      <w:r>
        <w:rPr>
          <w:rFonts w:hint="default" w:ascii="Times New Roman" w:hAnsi="Times New Roman" w:cs="Times New Roman"/>
          <w:color w:val="000000"/>
          <w:spacing w:val="0"/>
          <w:position w:val="0"/>
          <w:sz w:val="24"/>
          <w:szCs w:val="24"/>
        </w:rPr>
        <w:t>/</w:t>
      </w:r>
      <w:r>
        <w:rPr>
          <w:rFonts w:hint="eastAsia" w:ascii="宋体" w:hAnsi="宋体" w:eastAsia="宋体" w:cs="宋体"/>
          <w:color w:val="000000"/>
          <w:spacing w:val="0"/>
          <w:position w:val="0"/>
          <w:sz w:val="24"/>
          <w:szCs w:val="24"/>
        </w:rPr>
        <w:t>次生污染物因子进入水体，因此发生土壤和地下水体渗漏污染可能性不大。</w:t>
      </w:r>
    </w:p>
    <w:p w14:paraId="6836DE87">
      <w:pPr>
        <w:keepNext/>
        <w:tabs>
          <w:tab w:val="left" w:pos="658"/>
        </w:tabs>
        <w:spacing w:line="360" w:lineRule="auto"/>
        <w:outlineLvl w:val="2"/>
        <w:rPr>
          <w:rFonts w:ascii="Times New Roman" w:hAnsi="Times New Roman" w:cs="Times New Roman"/>
          <w:b/>
          <w:szCs w:val="28"/>
        </w:rPr>
      </w:pPr>
      <w:bookmarkStart w:id="556" w:name="_Toc24714"/>
      <w:r>
        <w:rPr>
          <w:rFonts w:hint="eastAsia" w:ascii="Times New Roman" w:hAnsi="Times New Roman" w:cs="Times New Roman"/>
          <w:b/>
          <w:szCs w:val="28"/>
        </w:rPr>
        <w:t>6</w:t>
      </w:r>
      <w:r>
        <w:rPr>
          <w:rFonts w:ascii="Times New Roman" w:hAnsi="Times New Roman" w:cs="Times New Roman"/>
          <w:b/>
          <w:szCs w:val="28"/>
        </w:rPr>
        <w:t>.1.</w:t>
      </w:r>
      <w:r>
        <w:rPr>
          <w:rFonts w:hint="eastAsia" w:ascii="Times New Roman" w:hAnsi="Times New Roman" w:cs="Times New Roman"/>
          <w:b/>
          <w:szCs w:val="28"/>
          <w:lang w:val="en-US" w:eastAsia="zh-CN"/>
        </w:rPr>
        <w:t>4</w:t>
      </w:r>
      <w:r>
        <w:rPr>
          <w:rFonts w:ascii="Times New Roman" w:hAnsi="Times New Roman" w:cs="Times New Roman"/>
          <w:b/>
          <w:szCs w:val="28"/>
        </w:rPr>
        <w:t>危险物质向环境转移途径识别</w:t>
      </w:r>
      <w:bookmarkEnd w:id="555"/>
      <w:bookmarkEnd w:id="556"/>
    </w:p>
    <w:p w14:paraId="15C71DA4">
      <w:pPr>
        <w:spacing w:line="500" w:lineRule="exact"/>
        <w:ind w:firstLine="480" w:firstLineChars="200"/>
        <w:jc w:val="both"/>
        <w:rPr>
          <w:rFonts w:hint="eastAsia" w:ascii="Times New Roman" w:hAnsi="Times New Roman" w:eastAsia="宋体" w:cs="Times New Roman"/>
        </w:rPr>
      </w:pPr>
      <w:r>
        <w:rPr>
          <w:rFonts w:hint="eastAsia" w:ascii="Times New Roman" w:hAnsi="Times New Roman" w:eastAsia="宋体" w:cs="Times New Roman"/>
        </w:rPr>
        <w:t>根据可能发生突发环境事件的情况下，污染物的转移途径如表</w:t>
      </w:r>
      <w:r>
        <w:rPr>
          <w:rFonts w:hint="default" w:ascii="Times New Roman" w:hAnsi="Times New Roman" w:eastAsia="宋体" w:cs="Times New Roman"/>
        </w:rPr>
        <w:t>4.8.2-5</w:t>
      </w:r>
      <w:r>
        <w:rPr>
          <w:rFonts w:hint="eastAsia" w:ascii="Times New Roman" w:hAnsi="Times New Roman" w:eastAsia="宋体" w:cs="Times New Roman"/>
        </w:rPr>
        <w:t>。</w:t>
      </w:r>
    </w:p>
    <w:p w14:paraId="66CAC75E">
      <w:pPr>
        <w:jc w:val="center"/>
      </w:pPr>
      <w:r>
        <w:t>表</w:t>
      </w:r>
      <w:r>
        <w:rPr>
          <w:rFonts w:hint="eastAsia"/>
          <w:lang w:val="en-US" w:eastAsia="zh-CN"/>
        </w:rPr>
        <w:t>6.1</w:t>
      </w:r>
      <w:r>
        <w:t>-</w:t>
      </w:r>
      <w:r>
        <w:rPr>
          <w:rFonts w:hint="eastAsia"/>
          <w:lang w:val="en-US" w:eastAsia="zh-CN"/>
        </w:rPr>
        <w:t>8</w:t>
      </w:r>
      <w:r>
        <w:t xml:space="preserve"> 事故污染物转移途径</w:t>
      </w:r>
    </w:p>
    <w:tbl>
      <w:tblPr>
        <w:tblStyle w:val="56"/>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1284"/>
        <w:gridCol w:w="1406"/>
        <w:gridCol w:w="1911"/>
        <w:gridCol w:w="1298"/>
        <w:gridCol w:w="1645"/>
        <w:gridCol w:w="1177"/>
      </w:tblGrid>
      <w:tr w14:paraId="02E5A1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736" w:type="pct"/>
            <w:vMerge w:val="restart"/>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5CAB4D4D">
            <w:pPr>
              <w:jc w:val="center"/>
              <w:rPr>
                <w:b/>
                <w:sz w:val="21"/>
                <w:szCs w:val="21"/>
              </w:rPr>
            </w:pPr>
            <w:r>
              <w:rPr>
                <w:b/>
                <w:sz w:val="21"/>
                <w:szCs w:val="21"/>
              </w:rPr>
              <w:t>事故类型</w:t>
            </w:r>
          </w:p>
        </w:tc>
        <w:tc>
          <w:tcPr>
            <w:tcW w:w="806" w:type="pct"/>
            <w:vMerge w:val="restart"/>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690135E0">
            <w:pPr>
              <w:jc w:val="center"/>
              <w:rPr>
                <w:b/>
                <w:sz w:val="21"/>
                <w:szCs w:val="21"/>
              </w:rPr>
            </w:pPr>
            <w:r>
              <w:rPr>
                <w:b/>
                <w:sz w:val="21"/>
                <w:szCs w:val="21"/>
              </w:rPr>
              <w:t>事故位置</w:t>
            </w:r>
          </w:p>
        </w:tc>
        <w:tc>
          <w:tcPr>
            <w:tcW w:w="1095" w:type="pct"/>
            <w:vMerge w:val="restart"/>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4D1FE8E4">
            <w:pPr>
              <w:jc w:val="center"/>
              <w:rPr>
                <w:b/>
                <w:sz w:val="21"/>
                <w:szCs w:val="21"/>
              </w:rPr>
            </w:pPr>
            <w:r>
              <w:rPr>
                <w:b/>
                <w:sz w:val="21"/>
                <w:szCs w:val="21"/>
              </w:rPr>
              <w:t>事故危害形式</w:t>
            </w:r>
          </w:p>
        </w:tc>
        <w:tc>
          <w:tcPr>
            <w:tcW w:w="0" w:type="auto"/>
            <w:gridSpan w:val="3"/>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53590C9E">
            <w:pPr>
              <w:jc w:val="center"/>
              <w:rPr>
                <w:b/>
                <w:sz w:val="21"/>
                <w:szCs w:val="21"/>
              </w:rPr>
            </w:pPr>
            <w:r>
              <w:rPr>
                <w:b/>
                <w:sz w:val="21"/>
                <w:szCs w:val="21"/>
              </w:rPr>
              <w:t>污染物转移途径</w:t>
            </w:r>
          </w:p>
        </w:tc>
      </w:tr>
      <w:tr w14:paraId="48A412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736" w:type="pct"/>
            <w:vMerge w:val="continue"/>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02BDFE6B">
            <w:pPr>
              <w:jc w:val="center"/>
              <w:rPr>
                <w:b/>
                <w:sz w:val="21"/>
                <w:szCs w:val="21"/>
              </w:rPr>
            </w:pPr>
          </w:p>
        </w:tc>
        <w:tc>
          <w:tcPr>
            <w:tcW w:w="806" w:type="pct"/>
            <w:vMerge w:val="continue"/>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232EC061">
            <w:pPr>
              <w:jc w:val="center"/>
              <w:rPr>
                <w:b/>
                <w:sz w:val="21"/>
                <w:szCs w:val="21"/>
              </w:rPr>
            </w:pPr>
          </w:p>
        </w:tc>
        <w:tc>
          <w:tcPr>
            <w:tcW w:w="1095" w:type="pct"/>
            <w:vMerge w:val="continue"/>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0C799F47">
            <w:pPr>
              <w:jc w:val="center"/>
              <w:rPr>
                <w:b/>
                <w:sz w:val="21"/>
                <w:szCs w:val="21"/>
              </w:rPr>
            </w:pPr>
          </w:p>
        </w:tc>
        <w:tc>
          <w:tcPr>
            <w:tcW w:w="744" w:type="pct"/>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346202C0">
            <w:pPr>
              <w:jc w:val="center"/>
              <w:rPr>
                <w:b/>
                <w:sz w:val="21"/>
                <w:szCs w:val="21"/>
              </w:rPr>
            </w:pPr>
            <w:r>
              <w:rPr>
                <w:b/>
                <w:sz w:val="21"/>
                <w:szCs w:val="21"/>
              </w:rPr>
              <w:t>大气</w:t>
            </w:r>
          </w:p>
        </w:tc>
        <w:tc>
          <w:tcPr>
            <w:tcW w:w="943" w:type="pct"/>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2F7CE9AD">
            <w:pPr>
              <w:jc w:val="center"/>
              <w:rPr>
                <w:b/>
                <w:sz w:val="21"/>
                <w:szCs w:val="21"/>
              </w:rPr>
            </w:pPr>
            <w:r>
              <w:rPr>
                <w:b/>
                <w:sz w:val="21"/>
                <w:szCs w:val="21"/>
              </w:rPr>
              <w:t>排水系统</w:t>
            </w:r>
          </w:p>
        </w:tc>
        <w:tc>
          <w:tcPr>
            <w:tcW w:w="674" w:type="pct"/>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21F4A945">
            <w:pPr>
              <w:jc w:val="center"/>
              <w:rPr>
                <w:b/>
                <w:sz w:val="21"/>
                <w:szCs w:val="21"/>
              </w:rPr>
            </w:pPr>
            <w:r>
              <w:rPr>
                <w:b/>
                <w:sz w:val="21"/>
                <w:szCs w:val="21"/>
              </w:rPr>
              <w:t>土壤、地下水</w:t>
            </w:r>
          </w:p>
        </w:tc>
      </w:tr>
      <w:tr w14:paraId="06EEED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736" w:type="pct"/>
            <w:vMerge w:val="restart"/>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22F2B137">
            <w:pPr>
              <w:rPr>
                <w:sz w:val="21"/>
                <w:szCs w:val="21"/>
              </w:rPr>
            </w:pPr>
            <w:r>
              <w:rPr>
                <w:sz w:val="21"/>
                <w:szCs w:val="21"/>
              </w:rPr>
              <w:t>泄漏</w:t>
            </w:r>
          </w:p>
        </w:tc>
        <w:tc>
          <w:tcPr>
            <w:tcW w:w="806" w:type="pct"/>
            <w:vMerge w:val="restart"/>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26E6A29E">
            <w:pPr>
              <w:rPr>
                <w:sz w:val="21"/>
                <w:szCs w:val="21"/>
              </w:rPr>
            </w:pPr>
            <w:r>
              <w:rPr>
                <w:sz w:val="21"/>
                <w:szCs w:val="21"/>
              </w:rPr>
              <w:t>生产装置储存系统</w:t>
            </w:r>
          </w:p>
        </w:tc>
        <w:tc>
          <w:tcPr>
            <w:tcW w:w="1095" w:type="pct"/>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235466B8">
            <w:pPr>
              <w:rPr>
                <w:sz w:val="21"/>
                <w:szCs w:val="21"/>
              </w:rPr>
            </w:pPr>
            <w:r>
              <w:rPr>
                <w:sz w:val="21"/>
                <w:szCs w:val="21"/>
              </w:rPr>
              <w:t>气态</w:t>
            </w:r>
          </w:p>
        </w:tc>
        <w:tc>
          <w:tcPr>
            <w:tcW w:w="744" w:type="pct"/>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59EBF558">
            <w:pPr>
              <w:rPr>
                <w:sz w:val="21"/>
                <w:szCs w:val="21"/>
              </w:rPr>
            </w:pPr>
            <w:r>
              <w:rPr>
                <w:sz w:val="21"/>
                <w:szCs w:val="21"/>
              </w:rPr>
              <w:t>扩散</w:t>
            </w:r>
          </w:p>
        </w:tc>
        <w:tc>
          <w:tcPr>
            <w:tcW w:w="943" w:type="pct"/>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40B31195">
            <w:pPr>
              <w:rPr>
                <w:sz w:val="21"/>
                <w:szCs w:val="21"/>
              </w:rPr>
            </w:pPr>
            <w:r>
              <w:rPr>
                <w:sz w:val="21"/>
                <w:szCs w:val="21"/>
              </w:rPr>
              <w:t>/</w:t>
            </w:r>
          </w:p>
        </w:tc>
        <w:tc>
          <w:tcPr>
            <w:tcW w:w="674" w:type="pct"/>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3DA98EB5">
            <w:pPr>
              <w:rPr>
                <w:sz w:val="21"/>
                <w:szCs w:val="21"/>
              </w:rPr>
            </w:pPr>
            <w:r>
              <w:rPr>
                <w:sz w:val="21"/>
                <w:szCs w:val="21"/>
              </w:rPr>
              <w:t>/</w:t>
            </w:r>
          </w:p>
        </w:tc>
      </w:tr>
      <w:tr w14:paraId="6B270D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736" w:type="pct"/>
            <w:vMerge w:val="continue"/>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41278B5D">
            <w:pPr>
              <w:rPr>
                <w:sz w:val="21"/>
                <w:szCs w:val="21"/>
              </w:rPr>
            </w:pPr>
          </w:p>
        </w:tc>
        <w:tc>
          <w:tcPr>
            <w:tcW w:w="806" w:type="pct"/>
            <w:vMerge w:val="continue"/>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6377540B">
            <w:pPr>
              <w:rPr>
                <w:sz w:val="21"/>
                <w:szCs w:val="21"/>
              </w:rPr>
            </w:pPr>
          </w:p>
        </w:tc>
        <w:tc>
          <w:tcPr>
            <w:tcW w:w="1095" w:type="pct"/>
            <w:vMerge w:val="restart"/>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6D7409F8">
            <w:pPr>
              <w:rPr>
                <w:sz w:val="21"/>
                <w:szCs w:val="21"/>
              </w:rPr>
            </w:pPr>
            <w:r>
              <w:rPr>
                <w:sz w:val="21"/>
                <w:szCs w:val="21"/>
              </w:rPr>
              <w:t>液态</w:t>
            </w:r>
          </w:p>
        </w:tc>
        <w:tc>
          <w:tcPr>
            <w:tcW w:w="744" w:type="pct"/>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2680D097">
            <w:pPr>
              <w:rPr>
                <w:sz w:val="21"/>
                <w:szCs w:val="21"/>
              </w:rPr>
            </w:pPr>
            <w:r>
              <w:rPr>
                <w:sz w:val="21"/>
                <w:szCs w:val="21"/>
              </w:rPr>
              <w:t>/</w:t>
            </w:r>
          </w:p>
        </w:tc>
        <w:tc>
          <w:tcPr>
            <w:tcW w:w="943" w:type="pct"/>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193F00EC">
            <w:pPr>
              <w:rPr>
                <w:sz w:val="21"/>
                <w:szCs w:val="21"/>
              </w:rPr>
            </w:pPr>
            <w:r>
              <w:rPr>
                <w:sz w:val="21"/>
                <w:szCs w:val="21"/>
              </w:rPr>
              <w:t>漫流</w:t>
            </w:r>
          </w:p>
        </w:tc>
        <w:tc>
          <w:tcPr>
            <w:tcW w:w="674" w:type="pct"/>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650AF616">
            <w:pPr>
              <w:rPr>
                <w:sz w:val="21"/>
                <w:szCs w:val="21"/>
              </w:rPr>
            </w:pPr>
            <w:r>
              <w:rPr>
                <w:sz w:val="21"/>
                <w:szCs w:val="21"/>
              </w:rPr>
              <w:t>渗透、吸收</w:t>
            </w:r>
          </w:p>
        </w:tc>
      </w:tr>
      <w:tr w14:paraId="186004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736" w:type="pct"/>
            <w:vMerge w:val="continue"/>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3FF97096">
            <w:pPr>
              <w:rPr>
                <w:sz w:val="21"/>
                <w:szCs w:val="21"/>
              </w:rPr>
            </w:pPr>
          </w:p>
        </w:tc>
        <w:tc>
          <w:tcPr>
            <w:tcW w:w="806" w:type="pct"/>
            <w:vMerge w:val="continue"/>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175FC58D">
            <w:pPr>
              <w:rPr>
                <w:sz w:val="21"/>
                <w:szCs w:val="21"/>
              </w:rPr>
            </w:pPr>
          </w:p>
        </w:tc>
        <w:tc>
          <w:tcPr>
            <w:tcW w:w="1095" w:type="pct"/>
            <w:vMerge w:val="continue"/>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37296326">
            <w:pPr>
              <w:rPr>
                <w:sz w:val="21"/>
                <w:szCs w:val="21"/>
              </w:rPr>
            </w:pPr>
          </w:p>
        </w:tc>
        <w:tc>
          <w:tcPr>
            <w:tcW w:w="744" w:type="pct"/>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4548FB2F">
            <w:pPr>
              <w:rPr>
                <w:sz w:val="21"/>
                <w:szCs w:val="21"/>
              </w:rPr>
            </w:pPr>
            <w:r>
              <w:rPr>
                <w:sz w:val="21"/>
                <w:szCs w:val="21"/>
              </w:rPr>
              <w:t>/</w:t>
            </w:r>
          </w:p>
        </w:tc>
        <w:tc>
          <w:tcPr>
            <w:tcW w:w="943" w:type="pct"/>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391AAAD8">
            <w:pPr>
              <w:rPr>
                <w:sz w:val="21"/>
                <w:szCs w:val="21"/>
              </w:rPr>
            </w:pPr>
            <w:r>
              <w:rPr>
                <w:sz w:val="21"/>
                <w:szCs w:val="21"/>
              </w:rPr>
              <w:t>生产废水、清下水、雨水、消防废水</w:t>
            </w:r>
          </w:p>
        </w:tc>
        <w:tc>
          <w:tcPr>
            <w:tcW w:w="674" w:type="pct"/>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0489EFED">
            <w:pPr>
              <w:rPr>
                <w:sz w:val="21"/>
                <w:szCs w:val="21"/>
              </w:rPr>
            </w:pPr>
            <w:r>
              <w:rPr>
                <w:sz w:val="21"/>
                <w:szCs w:val="21"/>
              </w:rPr>
              <w:t>渗透、吸收</w:t>
            </w:r>
          </w:p>
        </w:tc>
      </w:tr>
      <w:tr w14:paraId="1064B1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736" w:type="pct"/>
            <w:vMerge w:val="restart"/>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0E534F36">
            <w:pPr>
              <w:rPr>
                <w:sz w:val="21"/>
                <w:szCs w:val="21"/>
              </w:rPr>
            </w:pPr>
            <w:r>
              <w:rPr>
                <w:sz w:val="21"/>
                <w:szCs w:val="21"/>
              </w:rPr>
              <w:t>火灾引发的次伴生污染</w:t>
            </w:r>
          </w:p>
        </w:tc>
        <w:tc>
          <w:tcPr>
            <w:tcW w:w="806" w:type="pct"/>
            <w:vMerge w:val="restart"/>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45D0D820">
            <w:pPr>
              <w:rPr>
                <w:sz w:val="21"/>
                <w:szCs w:val="21"/>
              </w:rPr>
            </w:pPr>
            <w:r>
              <w:rPr>
                <w:sz w:val="21"/>
                <w:szCs w:val="21"/>
              </w:rPr>
              <w:t>生产装置储存系统</w:t>
            </w:r>
          </w:p>
        </w:tc>
        <w:tc>
          <w:tcPr>
            <w:tcW w:w="1095" w:type="pct"/>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18305662">
            <w:pPr>
              <w:rPr>
                <w:sz w:val="21"/>
                <w:szCs w:val="21"/>
              </w:rPr>
            </w:pPr>
            <w:r>
              <w:rPr>
                <w:sz w:val="21"/>
                <w:szCs w:val="21"/>
              </w:rPr>
              <w:t>毒物蒸发</w:t>
            </w:r>
          </w:p>
        </w:tc>
        <w:tc>
          <w:tcPr>
            <w:tcW w:w="744" w:type="pct"/>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46BA91E6">
            <w:pPr>
              <w:rPr>
                <w:sz w:val="21"/>
                <w:szCs w:val="21"/>
              </w:rPr>
            </w:pPr>
            <w:r>
              <w:rPr>
                <w:sz w:val="21"/>
                <w:szCs w:val="21"/>
              </w:rPr>
              <w:t>扩散</w:t>
            </w:r>
          </w:p>
        </w:tc>
        <w:tc>
          <w:tcPr>
            <w:tcW w:w="943" w:type="pct"/>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4349584E">
            <w:pPr>
              <w:rPr>
                <w:sz w:val="21"/>
                <w:szCs w:val="21"/>
              </w:rPr>
            </w:pPr>
            <w:r>
              <w:rPr>
                <w:sz w:val="21"/>
                <w:szCs w:val="21"/>
              </w:rPr>
              <w:t>/</w:t>
            </w:r>
          </w:p>
        </w:tc>
        <w:tc>
          <w:tcPr>
            <w:tcW w:w="674" w:type="pct"/>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0CDB78DD">
            <w:pPr>
              <w:rPr>
                <w:sz w:val="21"/>
                <w:szCs w:val="21"/>
              </w:rPr>
            </w:pPr>
            <w:r>
              <w:rPr>
                <w:sz w:val="21"/>
                <w:szCs w:val="21"/>
              </w:rPr>
              <w:t>/</w:t>
            </w:r>
          </w:p>
        </w:tc>
      </w:tr>
      <w:tr w14:paraId="358DBA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736" w:type="pct"/>
            <w:vMerge w:val="continue"/>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2419D037">
            <w:pPr>
              <w:rPr>
                <w:sz w:val="21"/>
                <w:szCs w:val="21"/>
              </w:rPr>
            </w:pPr>
          </w:p>
        </w:tc>
        <w:tc>
          <w:tcPr>
            <w:tcW w:w="806" w:type="pct"/>
            <w:vMerge w:val="continue"/>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505244D9">
            <w:pPr>
              <w:rPr>
                <w:sz w:val="21"/>
                <w:szCs w:val="21"/>
              </w:rPr>
            </w:pPr>
          </w:p>
        </w:tc>
        <w:tc>
          <w:tcPr>
            <w:tcW w:w="1095" w:type="pct"/>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1C26D4B4">
            <w:pPr>
              <w:rPr>
                <w:sz w:val="21"/>
                <w:szCs w:val="21"/>
              </w:rPr>
            </w:pPr>
            <w:r>
              <w:rPr>
                <w:sz w:val="21"/>
                <w:szCs w:val="21"/>
              </w:rPr>
              <w:t>烟雾</w:t>
            </w:r>
          </w:p>
        </w:tc>
        <w:tc>
          <w:tcPr>
            <w:tcW w:w="744" w:type="pct"/>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6B9FFD49">
            <w:pPr>
              <w:rPr>
                <w:sz w:val="21"/>
                <w:szCs w:val="21"/>
              </w:rPr>
            </w:pPr>
            <w:r>
              <w:rPr>
                <w:sz w:val="21"/>
                <w:szCs w:val="21"/>
              </w:rPr>
              <w:t>扩散</w:t>
            </w:r>
          </w:p>
        </w:tc>
        <w:tc>
          <w:tcPr>
            <w:tcW w:w="943" w:type="pct"/>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1F9884DD">
            <w:pPr>
              <w:rPr>
                <w:sz w:val="21"/>
                <w:szCs w:val="21"/>
              </w:rPr>
            </w:pPr>
            <w:r>
              <w:rPr>
                <w:sz w:val="21"/>
                <w:szCs w:val="21"/>
              </w:rPr>
              <w:t>/</w:t>
            </w:r>
          </w:p>
        </w:tc>
        <w:tc>
          <w:tcPr>
            <w:tcW w:w="674" w:type="pct"/>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6691800B">
            <w:pPr>
              <w:rPr>
                <w:sz w:val="21"/>
                <w:szCs w:val="21"/>
              </w:rPr>
            </w:pPr>
            <w:r>
              <w:rPr>
                <w:sz w:val="21"/>
                <w:szCs w:val="21"/>
              </w:rPr>
              <w:t>/</w:t>
            </w:r>
          </w:p>
        </w:tc>
      </w:tr>
      <w:tr w14:paraId="6C36E1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736" w:type="pct"/>
            <w:vMerge w:val="continue"/>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486EDCF9">
            <w:pPr>
              <w:rPr>
                <w:sz w:val="21"/>
                <w:szCs w:val="21"/>
              </w:rPr>
            </w:pPr>
          </w:p>
        </w:tc>
        <w:tc>
          <w:tcPr>
            <w:tcW w:w="806" w:type="pct"/>
            <w:vMerge w:val="continue"/>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6C55ED7F">
            <w:pPr>
              <w:rPr>
                <w:sz w:val="21"/>
                <w:szCs w:val="21"/>
              </w:rPr>
            </w:pPr>
          </w:p>
        </w:tc>
        <w:tc>
          <w:tcPr>
            <w:tcW w:w="1095" w:type="pct"/>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1FBEA117">
            <w:pPr>
              <w:rPr>
                <w:sz w:val="21"/>
                <w:szCs w:val="21"/>
              </w:rPr>
            </w:pPr>
            <w:r>
              <w:rPr>
                <w:sz w:val="21"/>
                <w:szCs w:val="21"/>
              </w:rPr>
              <w:t>伴生毒物</w:t>
            </w:r>
          </w:p>
        </w:tc>
        <w:tc>
          <w:tcPr>
            <w:tcW w:w="744" w:type="pct"/>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5CFC7825">
            <w:pPr>
              <w:rPr>
                <w:sz w:val="21"/>
                <w:szCs w:val="21"/>
              </w:rPr>
            </w:pPr>
            <w:r>
              <w:rPr>
                <w:sz w:val="21"/>
                <w:szCs w:val="21"/>
              </w:rPr>
              <w:t>扩散</w:t>
            </w:r>
          </w:p>
        </w:tc>
        <w:tc>
          <w:tcPr>
            <w:tcW w:w="943" w:type="pct"/>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7E52A965">
            <w:pPr>
              <w:rPr>
                <w:sz w:val="21"/>
                <w:szCs w:val="21"/>
              </w:rPr>
            </w:pPr>
            <w:r>
              <w:rPr>
                <w:sz w:val="21"/>
                <w:szCs w:val="21"/>
              </w:rPr>
              <w:t>/</w:t>
            </w:r>
          </w:p>
        </w:tc>
        <w:tc>
          <w:tcPr>
            <w:tcW w:w="674" w:type="pct"/>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0318F8E5">
            <w:pPr>
              <w:rPr>
                <w:sz w:val="21"/>
                <w:szCs w:val="21"/>
              </w:rPr>
            </w:pPr>
            <w:r>
              <w:rPr>
                <w:sz w:val="21"/>
                <w:szCs w:val="21"/>
              </w:rPr>
              <w:t>/</w:t>
            </w:r>
          </w:p>
        </w:tc>
      </w:tr>
      <w:tr w14:paraId="452C71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736" w:type="pct"/>
            <w:vMerge w:val="continue"/>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1D0118A2">
            <w:pPr>
              <w:rPr>
                <w:sz w:val="21"/>
                <w:szCs w:val="21"/>
              </w:rPr>
            </w:pPr>
          </w:p>
        </w:tc>
        <w:tc>
          <w:tcPr>
            <w:tcW w:w="806" w:type="pct"/>
            <w:vMerge w:val="continue"/>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6E423DFE">
            <w:pPr>
              <w:rPr>
                <w:sz w:val="21"/>
                <w:szCs w:val="21"/>
              </w:rPr>
            </w:pPr>
          </w:p>
        </w:tc>
        <w:tc>
          <w:tcPr>
            <w:tcW w:w="1095" w:type="pct"/>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06BB0CC1">
            <w:pPr>
              <w:rPr>
                <w:sz w:val="21"/>
                <w:szCs w:val="21"/>
              </w:rPr>
            </w:pPr>
            <w:r>
              <w:rPr>
                <w:sz w:val="21"/>
                <w:szCs w:val="21"/>
              </w:rPr>
              <w:t>消防废水</w:t>
            </w:r>
          </w:p>
        </w:tc>
        <w:tc>
          <w:tcPr>
            <w:tcW w:w="744" w:type="pct"/>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349ACFAE">
            <w:pPr>
              <w:rPr>
                <w:sz w:val="21"/>
                <w:szCs w:val="21"/>
              </w:rPr>
            </w:pPr>
            <w:r>
              <w:rPr>
                <w:sz w:val="21"/>
                <w:szCs w:val="21"/>
              </w:rPr>
              <w:t>/</w:t>
            </w:r>
          </w:p>
        </w:tc>
        <w:tc>
          <w:tcPr>
            <w:tcW w:w="943" w:type="pct"/>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7E03371A">
            <w:pPr>
              <w:rPr>
                <w:sz w:val="21"/>
                <w:szCs w:val="21"/>
              </w:rPr>
            </w:pPr>
            <w:r>
              <w:rPr>
                <w:sz w:val="21"/>
                <w:szCs w:val="21"/>
              </w:rPr>
              <w:t>生产废水、清下水、雨水、消防废水</w:t>
            </w:r>
          </w:p>
        </w:tc>
        <w:tc>
          <w:tcPr>
            <w:tcW w:w="674" w:type="pct"/>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2AF4803D">
            <w:pPr>
              <w:rPr>
                <w:sz w:val="21"/>
                <w:szCs w:val="21"/>
              </w:rPr>
            </w:pPr>
            <w:r>
              <w:rPr>
                <w:sz w:val="21"/>
                <w:szCs w:val="21"/>
              </w:rPr>
              <w:t>渗透、吸收</w:t>
            </w:r>
          </w:p>
        </w:tc>
      </w:tr>
      <w:tr w14:paraId="0DD18A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736" w:type="pct"/>
            <w:vMerge w:val="restart"/>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1989375A">
            <w:pPr>
              <w:rPr>
                <w:sz w:val="21"/>
                <w:szCs w:val="21"/>
              </w:rPr>
            </w:pPr>
            <w:r>
              <w:rPr>
                <w:sz w:val="21"/>
                <w:szCs w:val="21"/>
              </w:rPr>
              <w:t>爆炸引发的次伴生污染</w:t>
            </w:r>
          </w:p>
        </w:tc>
        <w:tc>
          <w:tcPr>
            <w:tcW w:w="806" w:type="pct"/>
            <w:vMerge w:val="restart"/>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7F4B7654">
            <w:pPr>
              <w:rPr>
                <w:sz w:val="21"/>
                <w:szCs w:val="21"/>
              </w:rPr>
            </w:pPr>
            <w:r>
              <w:rPr>
                <w:sz w:val="21"/>
                <w:szCs w:val="21"/>
              </w:rPr>
              <w:t>生产装置储存系统</w:t>
            </w:r>
          </w:p>
        </w:tc>
        <w:tc>
          <w:tcPr>
            <w:tcW w:w="1095" w:type="pct"/>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364F226F">
            <w:pPr>
              <w:rPr>
                <w:sz w:val="21"/>
                <w:szCs w:val="21"/>
              </w:rPr>
            </w:pPr>
            <w:r>
              <w:rPr>
                <w:sz w:val="21"/>
                <w:szCs w:val="21"/>
              </w:rPr>
              <w:t>毒物逸散</w:t>
            </w:r>
          </w:p>
        </w:tc>
        <w:tc>
          <w:tcPr>
            <w:tcW w:w="744" w:type="pct"/>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14DDAC79">
            <w:pPr>
              <w:rPr>
                <w:sz w:val="21"/>
                <w:szCs w:val="21"/>
              </w:rPr>
            </w:pPr>
            <w:r>
              <w:rPr>
                <w:sz w:val="21"/>
                <w:szCs w:val="21"/>
              </w:rPr>
              <w:t>扩散</w:t>
            </w:r>
          </w:p>
        </w:tc>
        <w:tc>
          <w:tcPr>
            <w:tcW w:w="943" w:type="pct"/>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1AF96DFD">
            <w:pPr>
              <w:rPr>
                <w:sz w:val="21"/>
                <w:szCs w:val="21"/>
              </w:rPr>
            </w:pPr>
            <w:r>
              <w:rPr>
                <w:sz w:val="21"/>
                <w:szCs w:val="21"/>
              </w:rPr>
              <w:t>/</w:t>
            </w:r>
          </w:p>
        </w:tc>
        <w:tc>
          <w:tcPr>
            <w:tcW w:w="674" w:type="pct"/>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1944B707">
            <w:pPr>
              <w:rPr>
                <w:sz w:val="21"/>
                <w:szCs w:val="21"/>
              </w:rPr>
            </w:pPr>
            <w:r>
              <w:rPr>
                <w:sz w:val="21"/>
                <w:szCs w:val="21"/>
              </w:rPr>
              <w:t>/</w:t>
            </w:r>
          </w:p>
        </w:tc>
      </w:tr>
      <w:tr w14:paraId="6F61EB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736" w:type="pct"/>
            <w:vMerge w:val="continue"/>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69B62DEB">
            <w:pPr>
              <w:rPr>
                <w:sz w:val="21"/>
                <w:szCs w:val="21"/>
              </w:rPr>
            </w:pPr>
          </w:p>
        </w:tc>
        <w:tc>
          <w:tcPr>
            <w:tcW w:w="806" w:type="pct"/>
            <w:vMerge w:val="continue"/>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475F8C1F">
            <w:pPr>
              <w:rPr>
                <w:sz w:val="21"/>
                <w:szCs w:val="21"/>
              </w:rPr>
            </w:pPr>
          </w:p>
        </w:tc>
        <w:tc>
          <w:tcPr>
            <w:tcW w:w="1095" w:type="pct"/>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13392E37">
            <w:pPr>
              <w:rPr>
                <w:sz w:val="21"/>
                <w:szCs w:val="21"/>
              </w:rPr>
            </w:pPr>
            <w:r>
              <w:rPr>
                <w:sz w:val="21"/>
                <w:szCs w:val="21"/>
              </w:rPr>
              <w:t>伴生毒物</w:t>
            </w:r>
          </w:p>
        </w:tc>
        <w:tc>
          <w:tcPr>
            <w:tcW w:w="744" w:type="pct"/>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1DED2511">
            <w:pPr>
              <w:rPr>
                <w:sz w:val="21"/>
                <w:szCs w:val="21"/>
              </w:rPr>
            </w:pPr>
            <w:r>
              <w:rPr>
                <w:sz w:val="21"/>
                <w:szCs w:val="21"/>
              </w:rPr>
              <w:t>扩散</w:t>
            </w:r>
          </w:p>
        </w:tc>
        <w:tc>
          <w:tcPr>
            <w:tcW w:w="943" w:type="pct"/>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7F163829">
            <w:pPr>
              <w:rPr>
                <w:sz w:val="21"/>
                <w:szCs w:val="21"/>
              </w:rPr>
            </w:pPr>
            <w:r>
              <w:rPr>
                <w:sz w:val="21"/>
                <w:szCs w:val="21"/>
              </w:rPr>
              <w:t>/</w:t>
            </w:r>
          </w:p>
        </w:tc>
        <w:tc>
          <w:tcPr>
            <w:tcW w:w="674" w:type="pct"/>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6CD1D85F">
            <w:pPr>
              <w:rPr>
                <w:sz w:val="21"/>
                <w:szCs w:val="21"/>
              </w:rPr>
            </w:pPr>
            <w:r>
              <w:rPr>
                <w:sz w:val="21"/>
                <w:szCs w:val="21"/>
              </w:rPr>
              <w:t>/</w:t>
            </w:r>
          </w:p>
        </w:tc>
      </w:tr>
      <w:tr w14:paraId="6EE4CA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736" w:type="pct"/>
            <w:vMerge w:val="continue"/>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5941188C">
            <w:pPr>
              <w:rPr>
                <w:sz w:val="21"/>
                <w:szCs w:val="21"/>
              </w:rPr>
            </w:pPr>
          </w:p>
        </w:tc>
        <w:tc>
          <w:tcPr>
            <w:tcW w:w="806" w:type="pct"/>
            <w:vMerge w:val="continue"/>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61C0068E">
            <w:pPr>
              <w:rPr>
                <w:sz w:val="21"/>
                <w:szCs w:val="21"/>
              </w:rPr>
            </w:pPr>
          </w:p>
        </w:tc>
        <w:tc>
          <w:tcPr>
            <w:tcW w:w="1095" w:type="pct"/>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70824980">
            <w:pPr>
              <w:rPr>
                <w:sz w:val="21"/>
                <w:szCs w:val="21"/>
              </w:rPr>
            </w:pPr>
            <w:r>
              <w:rPr>
                <w:sz w:val="21"/>
                <w:szCs w:val="21"/>
              </w:rPr>
              <w:t>消防废水</w:t>
            </w:r>
          </w:p>
        </w:tc>
        <w:tc>
          <w:tcPr>
            <w:tcW w:w="744" w:type="pct"/>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19F3EBDD">
            <w:pPr>
              <w:rPr>
                <w:sz w:val="21"/>
                <w:szCs w:val="21"/>
              </w:rPr>
            </w:pPr>
            <w:r>
              <w:rPr>
                <w:sz w:val="21"/>
                <w:szCs w:val="21"/>
              </w:rPr>
              <w:t>/</w:t>
            </w:r>
          </w:p>
        </w:tc>
        <w:tc>
          <w:tcPr>
            <w:tcW w:w="943" w:type="pct"/>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186224E6">
            <w:pPr>
              <w:rPr>
                <w:sz w:val="21"/>
                <w:szCs w:val="21"/>
              </w:rPr>
            </w:pPr>
            <w:r>
              <w:rPr>
                <w:sz w:val="21"/>
                <w:szCs w:val="21"/>
              </w:rPr>
              <w:t>生产废水、清下水、雨水、消防废水</w:t>
            </w:r>
          </w:p>
        </w:tc>
        <w:tc>
          <w:tcPr>
            <w:tcW w:w="674" w:type="pct"/>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23A68398">
            <w:pPr>
              <w:rPr>
                <w:sz w:val="21"/>
                <w:szCs w:val="21"/>
              </w:rPr>
            </w:pPr>
            <w:r>
              <w:rPr>
                <w:sz w:val="21"/>
                <w:szCs w:val="21"/>
              </w:rPr>
              <w:t>渗透、吸收</w:t>
            </w:r>
          </w:p>
        </w:tc>
      </w:tr>
      <w:tr w14:paraId="050361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736" w:type="pct"/>
            <w:vMerge w:val="restart"/>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7F21E5AD">
            <w:pPr>
              <w:rPr>
                <w:sz w:val="21"/>
                <w:szCs w:val="21"/>
              </w:rPr>
            </w:pPr>
            <w:r>
              <w:rPr>
                <w:sz w:val="21"/>
                <w:szCs w:val="21"/>
              </w:rPr>
              <w:t>环境风险防控设施失灵或非正常操作</w:t>
            </w:r>
          </w:p>
        </w:tc>
        <w:tc>
          <w:tcPr>
            <w:tcW w:w="806" w:type="pct"/>
            <w:vMerge w:val="restart"/>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0E76D1A4">
            <w:pPr>
              <w:rPr>
                <w:sz w:val="21"/>
                <w:szCs w:val="21"/>
              </w:rPr>
            </w:pPr>
            <w:r>
              <w:rPr>
                <w:sz w:val="21"/>
                <w:szCs w:val="21"/>
              </w:rPr>
              <w:t>环境风险防控设施</w:t>
            </w:r>
          </w:p>
        </w:tc>
        <w:tc>
          <w:tcPr>
            <w:tcW w:w="1095" w:type="pct"/>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7344599E">
            <w:pPr>
              <w:rPr>
                <w:sz w:val="21"/>
                <w:szCs w:val="21"/>
              </w:rPr>
            </w:pPr>
            <w:r>
              <w:rPr>
                <w:sz w:val="21"/>
                <w:szCs w:val="21"/>
              </w:rPr>
              <w:t>气态</w:t>
            </w:r>
          </w:p>
        </w:tc>
        <w:tc>
          <w:tcPr>
            <w:tcW w:w="744" w:type="pct"/>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4635EC54">
            <w:pPr>
              <w:rPr>
                <w:sz w:val="21"/>
                <w:szCs w:val="21"/>
              </w:rPr>
            </w:pPr>
            <w:r>
              <w:rPr>
                <w:sz w:val="21"/>
                <w:szCs w:val="21"/>
              </w:rPr>
              <w:t>扩散</w:t>
            </w:r>
          </w:p>
        </w:tc>
        <w:tc>
          <w:tcPr>
            <w:tcW w:w="943" w:type="pct"/>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1E043F70">
            <w:pPr>
              <w:rPr>
                <w:sz w:val="21"/>
                <w:szCs w:val="21"/>
              </w:rPr>
            </w:pPr>
            <w:r>
              <w:rPr>
                <w:sz w:val="21"/>
                <w:szCs w:val="21"/>
              </w:rPr>
              <w:t>/</w:t>
            </w:r>
          </w:p>
        </w:tc>
        <w:tc>
          <w:tcPr>
            <w:tcW w:w="674" w:type="pct"/>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4F557315">
            <w:pPr>
              <w:rPr>
                <w:sz w:val="21"/>
                <w:szCs w:val="21"/>
              </w:rPr>
            </w:pPr>
            <w:r>
              <w:rPr>
                <w:sz w:val="21"/>
                <w:szCs w:val="21"/>
              </w:rPr>
              <w:t>/</w:t>
            </w:r>
          </w:p>
        </w:tc>
      </w:tr>
      <w:tr w14:paraId="712321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736" w:type="pct"/>
            <w:vMerge w:val="continue"/>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2B01CB82">
            <w:pPr>
              <w:rPr>
                <w:sz w:val="21"/>
                <w:szCs w:val="21"/>
              </w:rPr>
            </w:pPr>
          </w:p>
        </w:tc>
        <w:tc>
          <w:tcPr>
            <w:tcW w:w="806" w:type="pct"/>
            <w:vMerge w:val="continue"/>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53D13DB3">
            <w:pPr>
              <w:rPr>
                <w:sz w:val="21"/>
                <w:szCs w:val="21"/>
              </w:rPr>
            </w:pPr>
          </w:p>
        </w:tc>
        <w:tc>
          <w:tcPr>
            <w:tcW w:w="1095" w:type="pct"/>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6EDB2C56">
            <w:pPr>
              <w:rPr>
                <w:sz w:val="21"/>
                <w:szCs w:val="21"/>
              </w:rPr>
            </w:pPr>
            <w:r>
              <w:rPr>
                <w:sz w:val="21"/>
                <w:szCs w:val="21"/>
              </w:rPr>
              <w:t>液态</w:t>
            </w:r>
          </w:p>
        </w:tc>
        <w:tc>
          <w:tcPr>
            <w:tcW w:w="744" w:type="pct"/>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118F67A0">
            <w:pPr>
              <w:rPr>
                <w:sz w:val="21"/>
                <w:szCs w:val="21"/>
              </w:rPr>
            </w:pPr>
            <w:r>
              <w:rPr>
                <w:sz w:val="21"/>
                <w:szCs w:val="21"/>
              </w:rPr>
              <w:t>/</w:t>
            </w:r>
          </w:p>
        </w:tc>
        <w:tc>
          <w:tcPr>
            <w:tcW w:w="943" w:type="pct"/>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6C27C536">
            <w:pPr>
              <w:rPr>
                <w:sz w:val="21"/>
                <w:szCs w:val="21"/>
              </w:rPr>
            </w:pPr>
            <w:r>
              <w:rPr>
                <w:sz w:val="21"/>
                <w:szCs w:val="21"/>
              </w:rPr>
              <w:t>生产废水、清下水、雨水、消防废水</w:t>
            </w:r>
          </w:p>
        </w:tc>
        <w:tc>
          <w:tcPr>
            <w:tcW w:w="674" w:type="pct"/>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62A28B6D">
            <w:pPr>
              <w:rPr>
                <w:sz w:val="21"/>
                <w:szCs w:val="21"/>
              </w:rPr>
            </w:pPr>
            <w:r>
              <w:rPr>
                <w:sz w:val="21"/>
                <w:szCs w:val="21"/>
              </w:rPr>
              <w:t>渗透、吸收</w:t>
            </w:r>
          </w:p>
        </w:tc>
      </w:tr>
      <w:tr w14:paraId="482D08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736" w:type="pct"/>
            <w:vMerge w:val="continue"/>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1680D39A">
            <w:pPr>
              <w:rPr>
                <w:sz w:val="21"/>
                <w:szCs w:val="21"/>
              </w:rPr>
            </w:pPr>
          </w:p>
        </w:tc>
        <w:tc>
          <w:tcPr>
            <w:tcW w:w="806" w:type="pct"/>
            <w:vMerge w:val="continue"/>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53B66177">
            <w:pPr>
              <w:rPr>
                <w:sz w:val="21"/>
                <w:szCs w:val="21"/>
              </w:rPr>
            </w:pPr>
          </w:p>
        </w:tc>
        <w:tc>
          <w:tcPr>
            <w:tcW w:w="1095" w:type="pct"/>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6CA4B550">
            <w:pPr>
              <w:rPr>
                <w:sz w:val="21"/>
                <w:szCs w:val="21"/>
              </w:rPr>
            </w:pPr>
            <w:r>
              <w:rPr>
                <w:sz w:val="21"/>
                <w:szCs w:val="21"/>
              </w:rPr>
              <w:t>固态</w:t>
            </w:r>
          </w:p>
        </w:tc>
        <w:tc>
          <w:tcPr>
            <w:tcW w:w="744" w:type="pct"/>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5E6A75BC">
            <w:pPr>
              <w:rPr>
                <w:sz w:val="21"/>
                <w:szCs w:val="21"/>
              </w:rPr>
            </w:pPr>
            <w:r>
              <w:rPr>
                <w:sz w:val="21"/>
                <w:szCs w:val="21"/>
              </w:rPr>
              <w:t>/</w:t>
            </w:r>
          </w:p>
        </w:tc>
        <w:tc>
          <w:tcPr>
            <w:tcW w:w="943" w:type="pct"/>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1FF21697">
            <w:pPr>
              <w:rPr>
                <w:sz w:val="21"/>
                <w:szCs w:val="21"/>
              </w:rPr>
            </w:pPr>
            <w:r>
              <w:rPr>
                <w:sz w:val="21"/>
                <w:szCs w:val="21"/>
              </w:rPr>
              <w:t>/</w:t>
            </w:r>
          </w:p>
        </w:tc>
        <w:tc>
          <w:tcPr>
            <w:tcW w:w="674" w:type="pct"/>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6C436CC3">
            <w:pPr>
              <w:rPr>
                <w:sz w:val="21"/>
                <w:szCs w:val="21"/>
              </w:rPr>
            </w:pPr>
            <w:r>
              <w:rPr>
                <w:sz w:val="21"/>
                <w:szCs w:val="21"/>
              </w:rPr>
              <w:t>渗透、吸收</w:t>
            </w:r>
          </w:p>
        </w:tc>
      </w:tr>
      <w:tr w14:paraId="383428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736" w:type="pct"/>
            <w:vMerge w:val="restart"/>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0701AA83">
            <w:pPr>
              <w:rPr>
                <w:sz w:val="21"/>
                <w:szCs w:val="21"/>
              </w:rPr>
            </w:pPr>
            <w:r>
              <w:rPr>
                <w:sz w:val="21"/>
                <w:szCs w:val="21"/>
              </w:rPr>
              <w:t>非正常工况</w:t>
            </w:r>
          </w:p>
        </w:tc>
        <w:tc>
          <w:tcPr>
            <w:tcW w:w="806" w:type="pct"/>
            <w:vMerge w:val="restart"/>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78D1A4D6">
            <w:pPr>
              <w:rPr>
                <w:sz w:val="21"/>
                <w:szCs w:val="21"/>
              </w:rPr>
            </w:pPr>
            <w:r>
              <w:rPr>
                <w:sz w:val="21"/>
                <w:szCs w:val="21"/>
              </w:rPr>
              <w:t>生产装置储存系统</w:t>
            </w:r>
          </w:p>
        </w:tc>
        <w:tc>
          <w:tcPr>
            <w:tcW w:w="1095" w:type="pct"/>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6410082F">
            <w:pPr>
              <w:rPr>
                <w:sz w:val="21"/>
                <w:szCs w:val="21"/>
              </w:rPr>
            </w:pPr>
            <w:r>
              <w:rPr>
                <w:sz w:val="21"/>
                <w:szCs w:val="21"/>
              </w:rPr>
              <w:t>气态</w:t>
            </w:r>
          </w:p>
        </w:tc>
        <w:tc>
          <w:tcPr>
            <w:tcW w:w="744" w:type="pct"/>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41D85571">
            <w:pPr>
              <w:rPr>
                <w:sz w:val="21"/>
                <w:szCs w:val="21"/>
              </w:rPr>
            </w:pPr>
            <w:r>
              <w:rPr>
                <w:sz w:val="21"/>
                <w:szCs w:val="21"/>
              </w:rPr>
              <w:t>扩散</w:t>
            </w:r>
          </w:p>
        </w:tc>
        <w:tc>
          <w:tcPr>
            <w:tcW w:w="943" w:type="pct"/>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0410AA33">
            <w:pPr>
              <w:rPr>
                <w:sz w:val="21"/>
                <w:szCs w:val="21"/>
              </w:rPr>
            </w:pPr>
            <w:r>
              <w:rPr>
                <w:sz w:val="21"/>
                <w:szCs w:val="21"/>
              </w:rPr>
              <w:t>/</w:t>
            </w:r>
          </w:p>
        </w:tc>
        <w:tc>
          <w:tcPr>
            <w:tcW w:w="674" w:type="pct"/>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3AFC2D3A">
            <w:pPr>
              <w:rPr>
                <w:sz w:val="21"/>
                <w:szCs w:val="21"/>
              </w:rPr>
            </w:pPr>
            <w:r>
              <w:rPr>
                <w:sz w:val="21"/>
                <w:szCs w:val="21"/>
              </w:rPr>
              <w:t>/</w:t>
            </w:r>
          </w:p>
        </w:tc>
      </w:tr>
      <w:tr w14:paraId="405E88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736" w:type="pct"/>
            <w:vMerge w:val="continue"/>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197F5B5E">
            <w:pPr>
              <w:rPr>
                <w:sz w:val="21"/>
                <w:szCs w:val="21"/>
              </w:rPr>
            </w:pPr>
          </w:p>
        </w:tc>
        <w:tc>
          <w:tcPr>
            <w:tcW w:w="806" w:type="pct"/>
            <w:vMerge w:val="continue"/>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58D0F4ED">
            <w:pPr>
              <w:rPr>
                <w:sz w:val="21"/>
                <w:szCs w:val="21"/>
              </w:rPr>
            </w:pPr>
          </w:p>
        </w:tc>
        <w:tc>
          <w:tcPr>
            <w:tcW w:w="1095" w:type="pct"/>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6C681C9E">
            <w:pPr>
              <w:rPr>
                <w:sz w:val="21"/>
                <w:szCs w:val="21"/>
              </w:rPr>
            </w:pPr>
            <w:r>
              <w:rPr>
                <w:sz w:val="21"/>
                <w:szCs w:val="21"/>
              </w:rPr>
              <w:t>液态</w:t>
            </w:r>
          </w:p>
        </w:tc>
        <w:tc>
          <w:tcPr>
            <w:tcW w:w="744" w:type="pct"/>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0F06277F">
            <w:pPr>
              <w:rPr>
                <w:sz w:val="21"/>
                <w:szCs w:val="21"/>
              </w:rPr>
            </w:pPr>
            <w:r>
              <w:rPr>
                <w:sz w:val="21"/>
                <w:szCs w:val="21"/>
              </w:rPr>
              <w:t>/</w:t>
            </w:r>
          </w:p>
        </w:tc>
        <w:tc>
          <w:tcPr>
            <w:tcW w:w="943" w:type="pct"/>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4724B65A">
            <w:pPr>
              <w:rPr>
                <w:sz w:val="21"/>
                <w:szCs w:val="21"/>
              </w:rPr>
            </w:pPr>
            <w:r>
              <w:rPr>
                <w:sz w:val="21"/>
                <w:szCs w:val="21"/>
              </w:rPr>
              <w:t>生产废水、清下水、雨水、消防废水</w:t>
            </w:r>
          </w:p>
        </w:tc>
        <w:tc>
          <w:tcPr>
            <w:tcW w:w="674" w:type="pct"/>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71BCFE95">
            <w:pPr>
              <w:rPr>
                <w:sz w:val="21"/>
                <w:szCs w:val="21"/>
              </w:rPr>
            </w:pPr>
            <w:r>
              <w:rPr>
                <w:sz w:val="21"/>
                <w:szCs w:val="21"/>
              </w:rPr>
              <w:t>渗透、吸收</w:t>
            </w:r>
          </w:p>
        </w:tc>
      </w:tr>
      <w:tr w14:paraId="24F8DE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736" w:type="pct"/>
            <w:vMerge w:val="restart"/>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0A4BCC6A">
            <w:pPr>
              <w:rPr>
                <w:sz w:val="21"/>
                <w:szCs w:val="21"/>
              </w:rPr>
            </w:pPr>
            <w:r>
              <w:rPr>
                <w:sz w:val="21"/>
                <w:szCs w:val="21"/>
              </w:rPr>
              <w:t>污染治理设施非正常运行</w:t>
            </w:r>
          </w:p>
        </w:tc>
        <w:tc>
          <w:tcPr>
            <w:tcW w:w="806" w:type="pct"/>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60C6D3B4">
            <w:pPr>
              <w:rPr>
                <w:sz w:val="21"/>
                <w:szCs w:val="21"/>
              </w:rPr>
            </w:pPr>
            <w:r>
              <w:rPr>
                <w:sz w:val="21"/>
                <w:szCs w:val="21"/>
              </w:rPr>
              <w:t>污水处理站</w:t>
            </w:r>
          </w:p>
        </w:tc>
        <w:tc>
          <w:tcPr>
            <w:tcW w:w="1095" w:type="pct"/>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09E63D7C">
            <w:pPr>
              <w:rPr>
                <w:sz w:val="21"/>
                <w:szCs w:val="21"/>
              </w:rPr>
            </w:pPr>
            <w:r>
              <w:rPr>
                <w:sz w:val="21"/>
                <w:szCs w:val="21"/>
              </w:rPr>
              <w:t>废水</w:t>
            </w:r>
          </w:p>
        </w:tc>
        <w:tc>
          <w:tcPr>
            <w:tcW w:w="744" w:type="pct"/>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5F33D02C">
            <w:pPr>
              <w:rPr>
                <w:sz w:val="21"/>
                <w:szCs w:val="21"/>
              </w:rPr>
            </w:pPr>
            <w:r>
              <w:rPr>
                <w:sz w:val="21"/>
                <w:szCs w:val="21"/>
              </w:rPr>
              <w:t>/</w:t>
            </w:r>
          </w:p>
        </w:tc>
        <w:tc>
          <w:tcPr>
            <w:tcW w:w="943" w:type="pct"/>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5DDE15BB">
            <w:pPr>
              <w:rPr>
                <w:sz w:val="21"/>
                <w:szCs w:val="21"/>
              </w:rPr>
            </w:pPr>
            <w:r>
              <w:rPr>
                <w:sz w:val="21"/>
                <w:szCs w:val="21"/>
              </w:rPr>
              <w:t>生产废水</w:t>
            </w:r>
          </w:p>
        </w:tc>
        <w:tc>
          <w:tcPr>
            <w:tcW w:w="674" w:type="pct"/>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1D8312BA">
            <w:pPr>
              <w:rPr>
                <w:sz w:val="21"/>
                <w:szCs w:val="21"/>
              </w:rPr>
            </w:pPr>
            <w:r>
              <w:rPr>
                <w:sz w:val="21"/>
                <w:szCs w:val="21"/>
              </w:rPr>
              <w:t>渗透、吸收</w:t>
            </w:r>
          </w:p>
        </w:tc>
      </w:tr>
      <w:tr w14:paraId="43D2D3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736" w:type="pct"/>
            <w:vMerge w:val="continue"/>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634C71C8">
            <w:pPr>
              <w:rPr>
                <w:sz w:val="21"/>
                <w:szCs w:val="21"/>
              </w:rPr>
            </w:pPr>
          </w:p>
        </w:tc>
        <w:tc>
          <w:tcPr>
            <w:tcW w:w="806" w:type="pct"/>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79B48D37">
            <w:pPr>
              <w:rPr>
                <w:sz w:val="21"/>
                <w:szCs w:val="21"/>
              </w:rPr>
            </w:pPr>
            <w:r>
              <w:rPr>
                <w:sz w:val="21"/>
                <w:szCs w:val="21"/>
              </w:rPr>
              <w:t>废气处理系统</w:t>
            </w:r>
          </w:p>
        </w:tc>
        <w:tc>
          <w:tcPr>
            <w:tcW w:w="1095" w:type="pct"/>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19B8262E">
            <w:pPr>
              <w:rPr>
                <w:sz w:val="21"/>
                <w:szCs w:val="21"/>
              </w:rPr>
            </w:pPr>
            <w:r>
              <w:rPr>
                <w:sz w:val="21"/>
                <w:szCs w:val="21"/>
              </w:rPr>
              <w:t>废气</w:t>
            </w:r>
          </w:p>
        </w:tc>
        <w:tc>
          <w:tcPr>
            <w:tcW w:w="744" w:type="pct"/>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504C2E08">
            <w:pPr>
              <w:rPr>
                <w:sz w:val="21"/>
                <w:szCs w:val="21"/>
              </w:rPr>
            </w:pPr>
            <w:r>
              <w:rPr>
                <w:sz w:val="21"/>
                <w:szCs w:val="21"/>
              </w:rPr>
              <w:t>扩散</w:t>
            </w:r>
          </w:p>
        </w:tc>
        <w:tc>
          <w:tcPr>
            <w:tcW w:w="943" w:type="pct"/>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3D5798CF">
            <w:pPr>
              <w:rPr>
                <w:sz w:val="21"/>
                <w:szCs w:val="21"/>
              </w:rPr>
            </w:pPr>
            <w:r>
              <w:rPr>
                <w:sz w:val="21"/>
                <w:szCs w:val="21"/>
              </w:rPr>
              <w:t>/</w:t>
            </w:r>
          </w:p>
        </w:tc>
        <w:tc>
          <w:tcPr>
            <w:tcW w:w="674" w:type="pct"/>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29F201F6">
            <w:pPr>
              <w:rPr>
                <w:sz w:val="21"/>
                <w:szCs w:val="21"/>
              </w:rPr>
            </w:pPr>
            <w:r>
              <w:rPr>
                <w:sz w:val="21"/>
                <w:szCs w:val="21"/>
              </w:rPr>
              <w:t>/</w:t>
            </w:r>
          </w:p>
        </w:tc>
      </w:tr>
      <w:tr w14:paraId="26167A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736" w:type="pct"/>
            <w:vMerge w:val="continue"/>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36A270FF">
            <w:pPr>
              <w:rPr>
                <w:sz w:val="21"/>
                <w:szCs w:val="21"/>
              </w:rPr>
            </w:pPr>
          </w:p>
        </w:tc>
        <w:tc>
          <w:tcPr>
            <w:tcW w:w="806" w:type="pct"/>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60340674">
            <w:pPr>
              <w:rPr>
                <w:rFonts w:hint="eastAsia" w:eastAsia="宋体"/>
                <w:sz w:val="21"/>
                <w:szCs w:val="21"/>
                <w:lang w:eastAsia="zh-CN"/>
              </w:rPr>
            </w:pPr>
            <w:r>
              <w:rPr>
                <w:sz w:val="21"/>
                <w:szCs w:val="21"/>
              </w:rPr>
              <w:t>危废</w:t>
            </w:r>
            <w:r>
              <w:rPr>
                <w:rFonts w:hint="eastAsia"/>
                <w:sz w:val="21"/>
                <w:szCs w:val="21"/>
                <w:lang w:val="en-US" w:eastAsia="zh-CN"/>
              </w:rPr>
              <w:t>贮存点</w:t>
            </w:r>
          </w:p>
        </w:tc>
        <w:tc>
          <w:tcPr>
            <w:tcW w:w="1095" w:type="pct"/>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41723A0E">
            <w:pPr>
              <w:rPr>
                <w:sz w:val="21"/>
                <w:szCs w:val="21"/>
              </w:rPr>
            </w:pPr>
            <w:r>
              <w:rPr>
                <w:sz w:val="21"/>
                <w:szCs w:val="21"/>
              </w:rPr>
              <w:t>固废</w:t>
            </w:r>
          </w:p>
        </w:tc>
        <w:tc>
          <w:tcPr>
            <w:tcW w:w="744" w:type="pct"/>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2242F734">
            <w:pPr>
              <w:rPr>
                <w:sz w:val="21"/>
                <w:szCs w:val="21"/>
              </w:rPr>
            </w:pPr>
            <w:r>
              <w:rPr>
                <w:sz w:val="21"/>
                <w:szCs w:val="21"/>
              </w:rPr>
              <w:t>/</w:t>
            </w:r>
          </w:p>
        </w:tc>
        <w:tc>
          <w:tcPr>
            <w:tcW w:w="943" w:type="pct"/>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1E9F9C10">
            <w:pPr>
              <w:rPr>
                <w:sz w:val="21"/>
                <w:szCs w:val="21"/>
              </w:rPr>
            </w:pPr>
            <w:r>
              <w:rPr>
                <w:sz w:val="21"/>
                <w:szCs w:val="21"/>
              </w:rPr>
              <w:t>/</w:t>
            </w:r>
          </w:p>
        </w:tc>
        <w:tc>
          <w:tcPr>
            <w:tcW w:w="674" w:type="pct"/>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7A71BD0D">
            <w:pPr>
              <w:rPr>
                <w:sz w:val="21"/>
                <w:szCs w:val="21"/>
              </w:rPr>
            </w:pPr>
            <w:r>
              <w:rPr>
                <w:sz w:val="21"/>
                <w:szCs w:val="21"/>
              </w:rPr>
              <w:t>渗透、吸收</w:t>
            </w:r>
          </w:p>
        </w:tc>
      </w:tr>
      <w:tr w14:paraId="0B6E96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736" w:type="pct"/>
            <w:vMerge w:val="restart"/>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730D40AF">
            <w:pPr>
              <w:rPr>
                <w:sz w:val="21"/>
                <w:szCs w:val="21"/>
              </w:rPr>
            </w:pPr>
            <w:r>
              <w:rPr>
                <w:sz w:val="21"/>
                <w:szCs w:val="21"/>
              </w:rPr>
              <w:t>运输系统故障</w:t>
            </w:r>
          </w:p>
        </w:tc>
        <w:tc>
          <w:tcPr>
            <w:tcW w:w="806" w:type="pct"/>
            <w:vMerge w:val="restart"/>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605E4893">
            <w:pPr>
              <w:rPr>
                <w:sz w:val="21"/>
                <w:szCs w:val="21"/>
              </w:rPr>
            </w:pPr>
            <w:r>
              <w:rPr>
                <w:sz w:val="21"/>
                <w:szCs w:val="21"/>
              </w:rPr>
              <w:t>储存系统</w:t>
            </w:r>
          </w:p>
        </w:tc>
        <w:tc>
          <w:tcPr>
            <w:tcW w:w="1095" w:type="pct"/>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4F6968E5">
            <w:pPr>
              <w:rPr>
                <w:sz w:val="21"/>
                <w:szCs w:val="21"/>
              </w:rPr>
            </w:pPr>
            <w:r>
              <w:rPr>
                <w:sz w:val="21"/>
                <w:szCs w:val="21"/>
              </w:rPr>
              <w:t>热辐射</w:t>
            </w:r>
          </w:p>
        </w:tc>
        <w:tc>
          <w:tcPr>
            <w:tcW w:w="744" w:type="pct"/>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0A9D92F1">
            <w:pPr>
              <w:rPr>
                <w:sz w:val="21"/>
                <w:szCs w:val="21"/>
              </w:rPr>
            </w:pPr>
            <w:r>
              <w:rPr>
                <w:sz w:val="21"/>
                <w:szCs w:val="21"/>
              </w:rPr>
              <w:t>扩散</w:t>
            </w:r>
          </w:p>
        </w:tc>
        <w:tc>
          <w:tcPr>
            <w:tcW w:w="943" w:type="pct"/>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41E585C9">
            <w:pPr>
              <w:rPr>
                <w:sz w:val="21"/>
                <w:szCs w:val="21"/>
              </w:rPr>
            </w:pPr>
            <w:r>
              <w:rPr>
                <w:sz w:val="21"/>
                <w:szCs w:val="21"/>
              </w:rPr>
              <w:t>/</w:t>
            </w:r>
          </w:p>
        </w:tc>
        <w:tc>
          <w:tcPr>
            <w:tcW w:w="674" w:type="pct"/>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7F58ECBD">
            <w:pPr>
              <w:rPr>
                <w:sz w:val="21"/>
                <w:szCs w:val="21"/>
              </w:rPr>
            </w:pPr>
            <w:r>
              <w:rPr>
                <w:sz w:val="21"/>
                <w:szCs w:val="21"/>
              </w:rPr>
              <w:t>/</w:t>
            </w:r>
          </w:p>
        </w:tc>
      </w:tr>
      <w:tr w14:paraId="495157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736" w:type="pct"/>
            <w:vMerge w:val="continue"/>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2C276757">
            <w:pPr>
              <w:rPr>
                <w:sz w:val="21"/>
                <w:szCs w:val="21"/>
              </w:rPr>
            </w:pPr>
          </w:p>
        </w:tc>
        <w:tc>
          <w:tcPr>
            <w:tcW w:w="806" w:type="pct"/>
            <w:vMerge w:val="continue"/>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3B103092">
            <w:pPr>
              <w:rPr>
                <w:sz w:val="21"/>
                <w:szCs w:val="21"/>
              </w:rPr>
            </w:pPr>
          </w:p>
        </w:tc>
        <w:tc>
          <w:tcPr>
            <w:tcW w:w="1095" w:type="pct"/>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4B1DB91E">
            <w:pPr>
              <w:rPr>
                <w:sz w:val="21"/>
                <w:szCs w:val="21"/>
              </w:rPr>
            </w:pPr>
            <w:r>
              <w:rPr>
                <w:sz w:val="21"/>
                <w:szCs w:val="21"/>
              </w:rPr>
              <w:t>毒物蒸发</w:t>
            </w:r>
          </w:p>
        </w:tc>
        <w:tc>
          <w:tcPr>
            <w:tcW w:w="744" w:type="pct"/>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170DBB13">
            <w:pPr>
              <w:rPr>
                <w:sz w:val="21"/>
                <w:szCs w:val="21"/>
              </w:rPr>
            </w:pPr>
            <w:r>
              <w:rPr>
                <w:sz w:val="21"/>
                <w:szCs w:val="21"/>
              </w:rPr>
              <w:t>扩散</w:t>
            </w:r>
          </w:p>
        </w:tc>
        <w:tc>
          <w:tcPr>
            <w:tcW w:w="943" w:type="pct"/>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4C45D97A">
            <w:pPr>
              <w:rPr>
                <w:sz w:val="21"/>
                <w:szCs w:val="21"/>
              </w:rPr>
            </w:pPr>
            <w:r>
              <w:rPr>
                <w:sz w:val="21"/>
                <w:szCs w:val="21"/>
              </w:rPr>
              <w:t>/</w:t>
            </w:r>
          </w:p>
        </w:tc>
        <w:tc>
          <w:tcPr>
            <w:tcW w:w="674" w:type="pct"/>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2A07B347">
            <w:pPr>
              <w:rPr>
                <w:sz w:val="21"/>
                <w:szCs w:val="21"/>
              </w:rPr>
            </w:pPr>
            <w:r>
              <w:rPr>
                <w:sz w:val="21"/>
                <w:szCs w:val="21"/>
              </w:rPr>
              <w:t>/</w:t>
            </w:r>
          </w:p>
        </w:tc>
      </w:tr>
      <w:tr w14:paraId="2F2001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736" w:type="pct"/>
            <w:vMerge w:val="continue"/>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1511D59E">
            <w:pPr>
              <w:rPr>
                <w:sz w:val="21"/>
                <w:szCs w:val="21"/>
              </w:rPr>
            </w:pPr>
          </w:p>
        </w:tc>
        <w:tc>
          <w:tcPr>
            <w:tcW w:w="806" w:type="pct"/>
            <w:vMerge w:val="continue"/>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2F59949A">
            <w:pPr>
              <w:rPr>
                <w:sz w:val="21"/>
                <w:szCs w:val="21"/>
              </w:rPr>
            </w:pPr>
          </w:p>
        </w:tc>
        <w:tc>
          <w:tcPr>
            <w:tcW w:w="1095" w:type="pct"/>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6AA9211C">
            <w:pPr>
              <w:rPr>
                <w:sz w:val="21"/>
                <w:szCs w:val="21"/>
              </w:rPr>
            </w:pPr>
            <w:r>
              <w:rPr>
                <w:sz w:val="21"/>
                <w:szCs w:val="21"/>
              </w:rPr>
              <w:t>烟雾</w:t>
            </w:r>
          </w:p>
        </w:tc>
        <w:tc>
          <w:tcPr>
            <w:tcW w:w="744" w:type="pct"/>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6DF14338">
            <w:pPr>
              <w:rPr>
                <w:sz w:val="21"/>
                <w:szCs w:val="21"/>
              </w:rPr>
            </w:pPr>
            <w:r>
              <w:rPr>
                <w:sz w:val="21"/>
                <w:szCs w:val="21"/>
              </w:rPr>
              <w:t>扩散</w:t>
            </w:r>
          </w:p>
        </w:tc>
        <w:tc>
          <w:tcPr>
            <w:tcW w:w="943" w:type="pct"/>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5505B8CA">
            <w:pPr>
              <w:rPr>
                <w:sz w:val="21"/>
                <w:szCs w:val="21"/>
              </w:rPr>
            </w:pPr>
            <w:r>
              <w:rPr>
                <w:sz w:val="21"/>
                <w:szCs w:val="21"/>
              </w:rPr>
              <w:t>/</w:t>
            </w:r>
          </w:p>
        </w:tc>
        <w:tc>
          <w:tcPr>
            <w:tcW w:w="674" w:type="pct"/>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0DCA3B60">
            <w:pPr>
              <w:rPr>
                <w:sz w:val="21"/>
                <w:szCs w:val="21"/>
              </w:rPr>
            </w:pPr>
            <w:r>
              <w:rPr>
                <w:sz w:val="21"/>
                <w:szCs w:val="21"/>
              </w:rPr>
              <w:t>/</w:t>
            </w:r>
          </w:p>
        </w:tc>
      </w:tr>
      <w:tr w14:paraId="7DC005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736" w:type="pct"/>
            <w:vMerge w:val="continue"/>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75FE1DF8">
            <w:pPr>
              <w:rPr>
                <w:sz w:val="21"/>
                <w:szCs w:val="21"/>
              </w:rPr>
            </w:pPr>
          </w:p>
        </w:tc>
        <w:tc>
          <w:tcPr>
            <w:tcW w:w="806" w:type="pct"/>
            <w:vMerge w:val="continue"/>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505BFAF4">
            <w:pPr>
              <w:rPr>
                <w:sz w:val="21"/>
                <w:szCs w:val="21"/>
              </w:rPr>
            </w:pPr>
          </w:p>
        </w:tc>
        <w:tc>
          <w:tcPr>
            <w:tcW w:w="1095" w:type="pct"/>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5EF9AA4A">
            <w:pPr>
              <w:rPr>
                <w:sz w:val="21"/>
                <w:szCs w:val="21"/>
              </w:rPr>
            </w:pPr>
            <w:r>
              <w:rPr>
                <w:sz w:val="21"/>
                <w:szCs w:val="21"/>
              </w:rPr>
              <w:t>伴生毒物</w:t>
            </w:r>
          </w:p>
        </w:tc>
        <w:tc>
          <w:tcPr>
            <w:tcW w:w="744" w:type="pct"/>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0A489744">
            <w:pPr>
              <w:rPr>
                <w:sz w:val="21"/>
                <w:szCs w:val="21"/>
              </w:rPr>
            </w:pPr>
            <w:r>
              <w:rPr>
                <w:sz w:val="21"/>
                <w:szCs w:val="21"/>
              </w:rPr>
              <w:t>扩散</w:t>
            </w:r>
          </w:p>
        </w:tc>
        <w:tc>
          <w:tcPr>
            <w:tcW w:w="943" w:type="pct"/>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4C52FD01">
            <w:pPr>
              <w:rPr>
                <w:sz w:val="21"/>
                <w:szCs w:val="21"/>
              </w:rPr>
            </w:pPr>
            <w:r>
              <w:rPr>
                <w:sz w:val="21"/>
                <w:szCs w:val="21"/>
              </w:rPr>
              <w:t>/</w:t>
            </w:r>
          </w:p>
        </w:tc>
        <w:tc>
          <w:tcPr>
            <w:tcW w:w="674" w:type="pct"/>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03DE82DB">
            <w:pPr>
              <w:rPr>
                <w:sz w:val="21"/>
                <w:szCs w:val="21"/>
              </w:rPr>
            </w:pPr>
            <w:r>
              <w:rPr>
                <w:sz w:val="21"/>
                <w:szCs w:val="21"/>
              </w:rPr>
              <w:t>/</w:t>
            </w:r>
          </w:p>
        </w:tc>
      </w:tr>
      <w:tr w14:paraId="249E92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736" w:type="pct"/>
            <w:vMerge w:val="continue"/>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0D73A565">
            <w:pPr>
              <w:rPr>
                <w:sz w:val="21"/>
                <w:szCs w:val="21"/>
              </w:rPr>
            </w:pPr>
          </w:p>
        </w:tc>
        <w:tc>
          <w:tcPr>
            <w:tcW w:w="806" w:type="pct"/>
            <w:vMerge w:val="restart"/>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22021BF2">
            <w:pPr>
              <w:rPr>
                <w:sz w:val="21"/>
                <w:szCs w:val="21"/>
              </w:rPr>
            </w:pPr>
            <w:r>
              <w:rPr>
                <w:sz w:val="21"/>
                <w:szCs w:val="21"/>
              </w:rPr>
              <w:t>输送系统</w:t>
            </w:r>
          </w:p>
        </w:tc>
        <w:tc>
          <w:tcPr>
            <w:tcW w:w="1095" w:type="pct"/>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57C560CE">
            <w:pPr>
              <w:rPr>
                <w:sz w:val="21"/>
                <w:szCs w:val="21"/>
              </w:rPr>
            </w:pPr>
            <w:r>
              <w:rPr>
                <w:sz w:val="21"/>
                <w:szCs w:val="21"/>
              </w:rPr>
              <w:t>气态</w:t>
            </w:r>
          </w:p>
        </w:tc>
        <w:tc>
          <w:tcPr>
            <w:tcW w:w="744" w:type="pct"/>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63541E87">
            <w:pPr>
              <w:rPr>
                <w:sz w:val="21"/>
                <w:szCs w:val="21"/>
              </w:rPr>
            </w:pPr>
            <w:r>
              <w:rPr>
                <w:sz w:val="21"/>
                <w:szCs w:val="21"/>
              </w:rPr>
              <w:t>扩散</w:t>
            </w:r>
          </w:p>
        </w:tc>
        <w:tc>
          <w:tcPr>
            <w:tcW w:w="943" w:type="pct"/>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0DB8D3A2">
            <w:pPr>
              <w:rPr>
                <w:sz w:val="21"/>
                <w:szCs w:val="21"/>
              </w:rPr>
            </w:pPr>
            <w:r>
              <w:rPr>
                <w:sz w:val="21"/>
                <w:szCs w:val="21"/>
              </w:rPr>
              <w:t>/</w:t>
            </w:r>
          </w:p>
        </w:tc>
        <w:tc>
          <w:tcPr>
            <w:tcW w:w="674" w:type="pct"/>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3DAFA567">
            <w:pPr>
              <w:rPr>
                <w:sz w:val="21"/>
                <w:szCs w:val="21"/>
              </w:rPr>
            </w:pPr>
            <w:r>
              <w:rPr>
                <w:sz w:val="21"/>
                <w:szCs w:val="21"/>
              </w:rPr>
              <w:t>/</w:t>
            </w:r>
          </w:p>
        </w:tc>
      </w:tr>
      <w:tr w14:paraId="1BB92D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736" w:type="pct"/>
            <w:vMerge w:val="continue"/>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647BF760">
            <w:pPr>
              <w:rPr>
                <w:sz w:val="21"/>
                <w:szCs w:val="21"/>
              </w:rPr>
            </w:pPr>
          </w:p>
        </w:tc>
        <w:tc>
          <w:tcPr>
            <w:tcW w:w="806" w:type="pct"/>
            <w:vMerge w:val="continue"/>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11DA8F60">
            <w:pPr>
              <w:rPr>
                <w:sz w:val="21"/>
                <w:szCs w:val="21"/>
              </w:rPr>
            </w:pPr>
          </w:p>
        </w:tc>
        <w:tc>
          <w:tcPr>
            <w:tcW w:w="1095" w:type="pct"/>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4C2C965C">
            <w:pPr>
              <w:rPr>
                <w:sz w:val="21"/>
                <w:szCs w:val="21"/>
              </w:rPr>
            </w:pPr>
            <w:r>
              <w:rPr>
                <w:sz w:val="21"/>
                <w:szCs w:val="21"/>
              </w:rPr>
              <w:t>液态</w:t>
            </w:r>
          </w:p>
        </w:tc>
        <w:tc>
          <w:tcPr>
            <w:tcW w:w="744" w:type="pct"/>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44FF58BC">
            <w:pPr>
              <w:rPr>
                <w:sz w:val="21"/>
                <w:szCs w:val="21"/>
              </w:rPr>
            </w:pPr>
            <w:r>
              <w:rPr>
                <w:sz w:val="21"/>
                <w:szCs w:val="21"/>
              </w:rPr>
              <w:t>/</w:t>
            </w:r>
          </w:p>
        </w:tc>
        <w:tc>
          <w:tcPr>
            <w:tcW w:w="943" w:type="pct"/>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160812E1">
            <w:pPr>
              <w:rPr>
                <w:sz w:val="21"/>
                <w:szCs w:val="21"/>
              </w:rPr>
            </w:pPr>
            <w:r>
              <w:rPr>
                <w:sz w:val="21"/>
                <w:szCs w:val="21"/>
              </w:rPr>
              <w:t>生产废水、清下水、雨水、消防废水</w:t>
            </w:r>
          </w:p>
        </w:tc>
        <w:tc>
          <w:tcPr>
            <w:tcW w:w="674" w:type="pct"/>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425D394A">
            <w:pPr>
              <w:rPr>
                <w:sz w:val="21"/>
                <w:szCs w:val="21"/>
              </w:rPr>
            </w:pPr>
            <w:r>
              <w:rPr>
                <w:sz w:val="21"/>
                <w:szCs w:val="21"/>
              </w:rPr>
              <w:t>/</w:t>
            </w:r>
          </w:p>
        </w:tc>
      </w:tr>
      <w:tr w14:paraId="12797C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736" w:type="pct"/>
            <w:vMerge w:val="continue"/>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0030CF9D">
            <w:pPr>
              <w:rPr>
                <w:sz w:val="21"/>
                <w:szCs w:val="21"/>
              </w:rPr>
            </w:pPr>
          </w:p>
        </w:tc>
        <w:tc>
          <w:tcPr>
            <w:tcW w:w="806" w:type="pct"/>
            <w:vMerge w:val="continue"/>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5FC601C2">
            <w:pPr>
              <w:rPr>
                <w:sz w:val="21"/>
                <w:szCs w:val="21"/>
              </w:rPr>
            </w:pPr>
          </w:p>
        </w:tc>
        <w:tc>
          <w:tcPr>
            <w:tcW w:w="1095" w:type="pct"/>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39F2AE7E">
            <w:pPr>
              <w:rPr>
                <w:sz w:val="21"/>
                <w:szCs w:val="21"/>
              </w:rPr>
            </w:pPr>
            <w:r>
              <w:rPr>
                <w:sz w:val="21"/>
                <w:szCs w:val="21"/>
              </w:rPr>
              <w:t>固态</w:t>
            </w:r>
          </w:p>
        </w:tc>
        <w:tc>
          <w:tcPr>
            <w:tcW w:w="744" w:type="pct"/>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4367AC3A">
            <w:pPr>
              <w:rPr>
                <w:sz w:val="21"/>
                <w:szCs w:val="21"/>
              </w:rPr>
            </w:pPr>
            <w:r>
              <w:rPr>
                <w:sz w:val="21"/>
                <w:szCs w:val="21"/>
              </w:rPr>
              <w:t>/</w:t>
            </w:r>
          </w:p>
        </w:tc>
        <w:tc>
          <w:tcPr>
            <w:tcW w:w="943" w:type="pct"/>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3C77DDBA">
            <w:pPr>
              <w:rPr>
                <w:sz w:val="21"/>
                <w:szCs w:val="21"/>
              </w:rPr>
            </w:pPr>
            <w:r>
              <w:rPr>
                <w:sz w:val="21"/>
                <w:szCs w:val="21"/>
              </w:rPr>
              <w:t>/</w:t>
            </w:r>
          </w:p>
        </w:tc>
        <w:tc>
          <w:tcPr>
            <w:tcW w:w="674" w:type="pct"/>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5C9AE9BB">
            <w:pPr>
              <w:rPr>
                <w:sz w:val="21"/>
                <w:szCs w:val="21"/>
              </w:rPr>
            </w:pPr>
            <w:r>
              <w:rPr>
                <w:sz w:val="21"/>
                <w:szCs w:val="21"/>
              </w:rPr>
              <w:t>渗透、吸收</w:t>
            </w:r>
          </w:p>
        </w:tc>
      </w:tr>
    </w:tbl>
    <w:p w14:paraId="2C0400E0">
      <w:pPr>
        <w:pStyle w:val="52"/>
        <w:keepNext w:val="0"/>
        <w:keepLines w:val="0"/>
        <w:widowControl/>
        <w:suppressLineNumbers w:val="0"/>
        <w:spacing w:line="240" w:lineRule="auto"/>
        <w:ind w:left="0" w:firstLine="0"/>
        <w:jc w:val="left"/>
        <w:textAlignment w:val="center"/>
        <w:rPr>
          <w:rFonts w:hint="default" w:ascii="Times New Roman" w:hAnsi="Times New Roman" w:cs="Times New Roman"/>
          <w:b/>
          <w:bCs/>
          <w:color w:val="000000"/>
          <w:spacing w:val="0"/>
          <w:position w:val="0"/>
          <w:sz w:val="24"/>
          <w:szCs w:val="24"/>
        </w:rPr>
        <w:sectPr>
          <w:pgSz w:w="11907" w:h="16840"/>
          <w:pgMar w:top="1701" w:right="1701" w:bottom="1701" w:left="1701" w:header="851" w:footer="1077" w:gutter="0"/>
          <w:pgBorders w:offsetFrom="page">
            <w:top w:val="none" w:sz="0" w:space="0"/>
            <w:left w:val="none" w:sz="0" w:space="0"/>
            <w:bottom w:val="none" w:sz="0" w:space="0"/>
            <w:right w:val="none" w:sz="0" w:space="0"/>
          </w:pgBorders>
          <w:pgNumType w:fmt="decimal"/>
          <w:cols w:space="720" w:num="1"/>
          <w:docGrid w:type="lines" w:linePitch="479" w:charSpace="0"/>
        </w:sectPr>
      </w:pPr>
    </w:p>
    <w:p w14:paraId="24AA1816">
      <w:pPr>
        <w:pStyle w:val="52"/>
        <w:keepNext w:val="0"/>
        <w:keepLines w:val="0"/>
        <w:widowControl/>
        <w:suppressLineNumbers w:val="0"/>
        <w:spacing w:line="240" w:lineRule="auto"/>
        <w:ind w:left="0" w:firstLine="0"/>
        <w:jc w:val="left"/>
        <w:textAlignment w:val="center"/>
      </w:pPr>
      <w:r>
        <w:rPr>
          <w:rFonts w:hint="eastAsia" w:ascii="Times New Roman" w:hAnsi="Times New Roman" w:cs="Times New Roman"/>
          <w:b/>
          <w:bCs/>
          <w:color w:val="000000"/>
          <w:spacing w:val="0"/>
          <w:position w:val="0"/>
          <w:sz w:val="24"/>
          <w:szCs w:val="24"/>
          <w:lang w:val="en-US" w:eastAsia="zh-CN"/>
        </w:rPr>
        <w:t>6.1.5</w:t>
      </w:r>
      <w:r>
        <w:rPr>
          <w:rFonts w:hint="default" w:ascii="Times New Roman" w:hAnsi="Times New Roman" w:cs="Times New Roman"/>
          <w:b/>
          <w:bCs/>
          <w:color w:val="000000"/>
          <w:spacing w:val="0"/>
          <w:position w:val="0"/>
          <w:sz w:val="24"/>
          <w:szCs w:val="24"/>
        </w:rPr>
        <w:t xml:space="preserve"> </w:t>
      </w:r>
      <w:r>
        <w:rPr>
          <w:rFonts w:hint="eastAsia" w:ascii="宋体" w:hAnsi="宋体" w:eastAsia="宋体" w:cs="宋体"/>
          <w:b/>
          <w:bCs/>
          <w:color w:val="000000"/>
          <w:spacing w:val="0"/>
          <w:position w:val="0"/>
          <w:sz w:val="24"/>
          <w:szCs w:val="24"/>
        </w:rPr>
        <w:t>风险识别结果</w:t>
      </w:r>
    </w:p>
    <w:p w14:paraId="4A12CDCF">
      <w:pPr>
        <w:pStyle w:val="52"/>
        <w:keepNext w:val="0"/>
        <w:keepLines w:val="0"/>
        <w:widowControl/>
        <w:suppressLineNumbers w:val="0"/>
        <w:spacing w:line="240" w:lineRule="auto"/>
        <w:ind w:left="0" w:firstLine="0"/>
        <w:jc w:val="left"/>
        <w:textAlignment w:val="center"/>
      </w:pPr>
      <w:r>
        <w:rPr>
          <w:rFonts w:hint="eastAsia" w:ascii="宋体" w:hAnsi="宋体" w:eastAsia="宋体" w:cs="宋体"/>
          <w:color w:val="000000"/>
          <w:spacing w:val="0"/>
          <w:position w:val="0"/>
          <w:sz w:val="24"/>
          <w:szCs w:val="24"/>
        </w:rPr>
        <w:t>环境风险识别汇总详见下表。</w:t>
      </w:r>
    </w:p>
    <w:p w14:paraId="0CE18A0C">
      <w:pPr>
        <w:pStyle w:val="52"/>
        <w:keepNext w:val="0"/>
        <w:keepLines w:val="0"/>
        <w:widowControl/>
        <w:suppressLineNumbers w:val="0"/>
        <w:spacing w:line="240" w:lineRule="auto"/>
        <w:ind w:left="0" w:firstLine="0"/>
        <w:jc w:val="center"/>
        <w:textAlignment w:val="center"/>
      </w:pPr>
      <w:r>
        <w:rPr>
          <w:rFonts w:hint="eastAsia" w:ascii="宋体" w:hAnsi="宋体" w:eastAsia="宋体" w:cs="宋体"/>
          <w:b/>
          <w:bCs/>
          <w:color w:val="000000"/>
          <w:spacing w:val="0"/>
          <w:position w:val="0"/>
          <w:sz w:val="24"/>
          <w:szCs w:val="24"/>
        </w:rPr>
        <w:t>表</w:t>
      </w:r>
      <w:r>
        <w:rPr>
          <w:rFonts w:hint="eastAsia" w:ascii="Times New Roman" w:hAnsi="Times New Roman" w:eastAsia="宋体" w:cs="Times New Roman"/>
          <w:b/>
          <w:bCs/>
          <w:color w:val="000000"/>
          <w:spacing w:val="0"/>
          <w:position w:val="0"/>
          <w:sz w:val="24"/>
          <w:szCs w:val="24"/>
          <w:lang w:val="en-US" w:eastAsia="zh-CN"/>
        </w:rPr>
        <w:t>6.1</w:t>
      </w:r>
      <w:r>
        <w:rPr>
          <w:rFonts w:hint="default" w:ascii="Times New Roman" w:hAnsi="Times New Roman" w:cs="Times New Roman"/>
          <w:b/>
          <w:bCs/>
          <w:color w:val="000000"/>
          <w:spacing w:val="0"/>
          <w:position w:val="0"/>
          <w:sz w:val="24"/>
          <w:szCs w:val="24"/>
        </w:rPr>
        <w:t>-</w:t>
      </w:r>
      <w:r>
        <w:rPr>
          <w:rFonts w:hint="eastAsia" w:ascii="Times New Roman" w:hAnsi="Times New Roman" w:cs="Times New Roman"/>
          <w:b/>
          <w:bCs/>
          <w:color w:val="000000"/>
          <w:spacing w:val="0"/>
          <w:position w:val="0"/>
          <w:sz w:val="24"/>
          <w:szCs w:val="24"/>
          <w:lang w:val="en-US" w:eastAsia="zh-CN"/>
        </w:rPr>
        <w:t>9</w:t>
      </w:r>
      <w:r>
        <w:rPr>
          <w:rFonts w:hint="default" w:ascii="Times New Roman" w:hAnsi="Times New Roman" w:cs="Times New Roman"/>
          <w:b/>
          <w:bCs/>
          <w:color w:val="000000"/>
          <w:spacing w:val="0"/>
          <w:position w:val="0"/>
          <w:sz w:val="24"/>
          <w:szCs w:val="24"/>
        </w:rPr>
        <w:t xml:space="preserve"> </w:t>
      </w:r>
      <w:r>
        <w:rPr>
          <w:rFonts w:hint="eastAsia" w:ascii="宋体" w:hAnsi="宋体" w:eastAsia="宋体" w:cs="宋体"/>
          <w:b/>
          <w:bCs/>
          <w:color w:val="000000"/>
          <w:spacing w:val="0"/>
          <w:position w:val="0"/>
          <w:sz w:val="24"/>
          <w:szCs w:val="24"/>
        </w:rPr>
        <w:t>项目环境风险识别汇总表</w:t>
      </w:r>
    </w:p>
    <w:tbl>
      <w:tblPr>
        <w:tblStyle w:val="56"/>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557"/>
        <w:gridCol w:w="1080"/>
        <w:gridCol w:w="1080"/>
        <w:gridCol w:w="2521"/>
        <w:gridCol w:w="3739"/>
        <w:gridCol w:w="2603"/>
        <w:gridCol w:w="2074"/>
      </w:tblGrid>
      <w:tr w14:paraId="363F83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0" w:type="auto"/>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7E40B0EE">
            <w:pPr>
              <w:jc w:val="center"/>
              <w:rPr>
                <w:b/>
                <w:sz w:val="21"/>
                <w:szCs w:val="21"/>
              </w:rPr>
            </w:pPr>
            <w:r>
              <w:rPr>
                <w:b/>
                <w:sz w:val="21"/>
                <w:szCs w:val="21"/>
              </w:rPr>
              <w:t>序号</w:t>
            </w:r>
          </w:p>
        </w:tc>
        <w:tc>
          <w:tcPr>
            <w:tcW w:w="0" w:type="auto"/>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04505002">
            <w:pPr>
              <w:jc w:val="center"/>
              <w:rPr>
                <w:b/>
                <w:sz w:val="21"/>
                <w:szCs w:val="21"/>
              </w:rPr>
            </w:pPr>
            <w:r>
              <w:rPr>
                <w:b/>
                <w:sz w:val="21"/>
                <w:szCs w:val="21"/>
              </w:rPr>
              <w:t>危险单元</w:t>
            </w:r>
          </w:p>
        </w:tc>
        <w:tc>
          <w:tcPr>
            <w:tcW w:w="0" w:type="auto"/>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37582C72">
            <w:pPr>
              <w:jc w:val="center"/>
              <w:rPr>
                <w:b/>
                <w:sz w:val="21"/>
                <w:szCs w:val="21"/>
              </w:rPr>
            </w:pPr>
            <w:r>
              <w:rPr>
                <w:b/>
                <w:sz w:val="21"/>
                <w:szCs w:val="21"/>
              </w:rPr>
              <w:t>风险源</w:t>
            </w:r>
          </w:p>
        </w:tc>
        <w:tc>
          <w:tcPr>
            <w:tcW w:w="923" w:type="pct"/>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01432887">
            <w:pPr>
              <w:jc w:val="center"/>
              <w:rPr>
                <w:b/>
                <w:sz w:val="21"/>
                <w:szCs w:val="21"/>
              </w:rPr>
            </w:pPr>
            <w:r>
              <w:rPr>
                <w:b/>
                <w:sz w:val="21"/>
                <w:szCs w:val="21"/>
              </w:rPr>
              <w:t>主要危险物质</w:t>
            </w:r>
          </w:p>
        </w:tc>
        <w:tc>
          <w:tcPr>
            <w:tcW w:w="1369" w:type="pct"/>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1B22DD13">
            <w:pPr>
              <w:jc w:val="center"/>
              <w:rPr>
                <w:b/>
                <w:sz w:val="21"/>
                <w:szCs w:val="21"/>
              </w:rPr>
            </w:pPr>
            <w:r>
              <w:rPr>
                <w:b/>
                <w:sz w:val="21"/>
                <w:szCs w:val="21"/>
              </w:rPr>
              <w:t>环境风险类型</w:t>
            </w:r>
          </w:p>
        </w:tc>
        <w:tc>
          <w:tcPr>
            <w:tcW w:w="953" w:type="pct"/>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29339ECC">
            <w:pPr>
              <w:jc w:val="center"/>
              <w:rPr>
                <w:b/>
                <w:sz w:val="21"/>
                <w:szCs w:val="21"/>
              </w:rPr>
            </w:pPr>
            <w:r>
              <w:rPr>
                <w:b/>
                <w:sz w:val="21"/>
                <w:szCs w:val="21"/>
              </w:rPr>
              <w:t>环境影响途径</w:t>
            </w:r>
          </w:p>
        </w:tc>
        <w:tc>
          <w:tcPr>
            <w:tcW w:w="0" w:type="auto"/>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571448D2">
            <w:pPr>
              <w:jc w:val="center"/>
              <w:rPr>
                <w:b/>
                <w:sz w:val="21"/>
                <w:szCs w:val="21"/>
              </w:rPr>
            </w:pPr>
            <w:r>
              <w:rPr>
                <w:b/>
                <w:sz w:val="21"/>
                <w:szCs w:val="21"/>
              </w:rPr>
              <w:t>可能受影响的环境敏感目标</w:t>
            </w:r>
          </w:p>
        </w:tc>
      </w:tr>
      <w:tr w14:paraId="58CB57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0" w:type="auto"/>
            <w:vMerge w:val="restart"/>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2897BE48">
            <w:pPr>
              <w:rPr>
                <w:sz w:val="21"/>
                <w:szCs w:val="21"/>
              </w:rPr>
            </w:pPr>
            <w:r>
              <w:rPr>
                <w:sz w:val="21"/>
                <w:szCs w:val="21"/>
              </w:rPr>
              <w:t>1</w:t>
            </w:r>
          </w:p>
        </w:tc>
        <w:tc>
          <w:tcPr>
            <w:tcW w:w="0" w:type="auto"/>
            <w:vMerge w:val="restart"/>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30FCA81D">
            <w:pPr>
              <w:rPr>
                <w:sz w:val="21"/>
                <w:szCs w:val="21"/>
              </w:rPr>
            </w:pPr>
            <w:r>
              <w:rPr>
                <w:sz w:val="21"/>
                <w:szCs w:val="21"/>
              </w:rPr>
              <w:t>生产装置区</w:t>
            </w:r>
          </w:p>
        </w:tc>
        <w:tc>
          <w:tcPr>
            <w:tcW w:w="0" w:type="auto"/>
            <w:vMerge w:val="restart"/>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3013204C">
            <w:pPr>
              <w:rPr>
                <w:sz w:val="21"/>
                <w:szCs w:val="21"/>
              </w:rPr>
            </w:pPr>
            <w:r>
              <w:rPr>
                <w:sz w:val="21"/>
                <w:szCs w:val="21"/>
              </w:rPr>
              <w:t>煤气管道</w:t>
            </w:r>
          </w:p>
        </w:tc>
        <w:tc>
          <w:tcPr>
            <w:tcW w:w="923" w:type="pct"/>
            <w:vMerge w:val="restart"/>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1C1B2FAE">
            <w:pPr>
              <w:rPr>
                <w:sz w:val="21"/>
                <w:szCs w:val="21"/>
              </w:rPr>
            </w:pPr>
            <w:r>
              <w:rPr>
                <w:sz w:val="21"/>
                <w:szCs w:val="21"/>
              </w:rPr>
              <w:t>高炉煤气</w:t>
            </w:r>
          </w:p>
        </w:tc>
        <w:tc>
          <w:tcPr>
            <w:tcW w:w="1369" w:type="pct"/>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6C247215">
            <w:pPr>
              <w:rPr>
                <w:sz w:val="21"/>
                <w:szCs w:val="21"/>
              </w:rPr>
            </w:pPr>
            <w:r>
              <w:rPr>
                <w:sz w:val="21"/>
                <w:szCs w:val="21"/>
              </w:rPr>
              <w:t>泄漏</w:t>
            </w:r>
          </w:p>
        </w:tc>
        <w:tc>
          <w:tcPr>
            <w:tcW w:w="953" w:type="pct"/>
            <w:vMerge w:val="restart"/>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737EE58F">
            <w:pPr>
              <w:rPr>
                <w:sz w:val="21"/>
                <w:szCs w:val="21"/>
              </w:rPr>
            </w:pPr>
            <w:r>
              <w:rPr>
                <w:sz w:val="21"/>
                <w:szCs w:val="21"/>
              </w:rPr>
              <w:t>扩散</w:t>
            </w:r>
          </w:p>
        </w:tc>
        <w:tc>
          <w:tcPr>
            <w:tcW w:w="0" w:type="auto"/>
            <w:vMerge w:val="restart"/>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6EEBE54B">
            <w:pPr>
              <w:rPr>
                <w:sz w:val="21"/>
                <w:szCs w:val="21"/>
              </w:rPr>
            </w:pPr>
            <w:r>
              <w:rPr>
                <w:sz w:val="21"/>
                <w:szCs w:val="21"/>
              </w:rPr>
              <w:t>周边居民</w:t>
            </w:r>
          </w:p>
        </w:tc>
      </w:tr>
      <w:tr w14:paraId="2E584D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0" w:type="auto"/>
            <w:vMerge w:val="continue"/>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75DF0DDF">
            <w:pPr>
              <w:rPr>
                <w:sz w:val="21"/>
                <w:szCs w:val="21"/>
              </w:rPr>
            </w:pPr>
          </w:p>
        </w:tc>
        <w:tc>
          <w:tcPr>
            <w:tcW w:w="0" w:type="auto"/>
            <w:vMerge w:val="continue"/>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507ED2F8">
            <w:pPr>
              <w:rPr>
                <w:sz w:val="21"/>
                <w:szCs w:val="21"/>
              </w:rPr>
            </w:pPr>
          </w:p>
        </w:tc>
        <w:tc>
          <w:tcPr>
            <w:tcW w:w="0" w:type="auto"/>
            <w:vMerge w:val="continue"/>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644CD6B3">
            <w:pPr>
              <w:rPr>
                <w:sz w:val="21"/>
                <w:szCs w:val="21"/>
              </w:rPr>
            </w:pPr>
          </w:p>
        </w:tc>
        <w:tc>
          <w:tcPr>
            <w:tcW w:w="923" w:type="pct"/>
            <w:vMerge w:val="continue"/>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7EE60F20">
            <w:pPr>
              <w:rPr>
                <w:sz w:val="21"/>
                <w:szCs w:val="21"/>
              </w:rPr>
            </w:pPr>
          </w:p>
        </w:tc>
        <w:tc>
          <w:tcPr>
            <w:tcW w:w="1369" w:type="pct"/>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7061D597">
            <w:pPr>
              <w:rPr>
                <w:sz w:val="21"/>
                <w:szCs w:val="21"/>
              </w:rPr>
            </w:pPr>
            <w:r>
              <w:rPr>
                <w:sz w:val="21"/>
                <w:szCs w:val="21"/>
              </w:rPr>
              <w:t>火灾、爆炸引发次伴生</w:t>
            </w:r>
          </w:p>
        </w:tc>
        <w:tc>
          <w:tcPr>
            <w:tcW w:w="953" w:type="pct"/>
            <w:vMerge w:val="continue"/>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2EA97BFB">
            <w:pPr>
              <w:rPr>
                <w:sz w:val="21"/>
                <w:szCs w:val="21"/>
              </w:rPr>
            </w:pPr>
          </w:p>
        </w:tc>
        <w:tc>
          <w:tcPr>
            <w:tcW w:w="0" w:type="auto"/>
            <w:vMerge w:val="continue"/>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0E2A3B24">
            <w:pPr>
              <w:rPr>
                <w:sz w:val="21"/>
                <w:szCs w:val="21"/>
              </w:rPr>
            </w:pPr>
          </w:p>
        </w:tc>
      </w:tr>
      <w:tr w14:paraId="2E2D4D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0" w:type="auto"/>
            <w:vMerge w:val="restart"/>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234E3721">
            <w:pPr>
              <w:rPr>
                <w:sz w:val="21"/>
                <w:szCs w:val="21"/>
              </w:rPr>
            </w:pPr>
            <w:r>
              <w:rPr>
                <w:sz w:val="21"/>
                <w:szCs w:val="21"/>
              </w:rPr>
              <w:t>2</w:t>
            </w:r>
          </w:p>
        </w:tc>
        <w:tc>
          <w:tcPr>
            <w:tcW w:w="0" w:type="auto"/>
            <w:vMerge w:val="restart"/>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553B277F">
            <w:pPr>
              <w:rPr>
                <w:rFonts w:hint="eastAsia" w:eastAsia="宋体"/>
                <w:sz w:val="21"/>
                <w:szCs w:val="21"/>
                <w:lang w:eastAsia="zh-CN"/>
              </w:rPr>
            </w:pPr>
            <w:r>
              <w:rPr>
                <w:sz w:val="21"/>
                <w:szCs w:val="21"/>
              </w:rPr>
              <w:t>危废</w:t>
            </w:r>
            <w:r>
              <w:rPr>
                <w:rFonts w:hint="eastAsia"/>
                <w:sz w:val="21"/>
                <w:szCs w:val="21"/>
                <w:lang w:val="en-US" w:eastAsia="zh-CN"/>
              </w:rPr>
              <w:t>贮存点</w:t>
            </w:r>
          </w:p>
        </w:tc>
        <w:tc>
          <w:tcPr>
            <w:tcW w:w="0" w:type="auto"/>
            <w:vMerge w:val="restart"/>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791B33A2">
            <w:pPr>
              <w:rPr>
                <w:sz w:val="21"/>
                <w:szCs w:val="21"/>
              </w:rPr>
            </w:pPr>
            <w:r>
              <w:rPr>
                <w:sz w:val="21"/>
                <w:szCs w:val="21"/>
              </w:rPr>
              <w:t>各危险固废</w:t>
            </w:r>
          </w:p>
        </w:tc>
        <w:tc>
          <w:tcPr>
            <w:tcW w:w="923" w:type="pct"/>
            <w:vMerge w:val="restart"/>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0C8B4057">
            <w:pPr>
              <w:rPr>
                <w:sz w:val="21"/>
                <w:szCs w:val="21"/>
              </w:rPr>
            </w:pPr>
            <w:r>
              <w:rPr>
                <w:sz w:val="21"/>
                <w:szCs w:val="21"/>
              </w:rPr>
              <w:t>废矿物油</w:t>
            </w:r>
          </w:p>
        </w:tc>
        <w:tc>
          <w:tcPr>
            <w:tcW w:w="1369" w:type="pct"/>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1C633341">
            <w:pPr>
              <w:rPr>
                <w:sz w:val="21"/>
                <w:szCs w:val="21"/>
              </w:rPr>
            </w:pPr>
            <w:r>
              <w:rPr>
                <w:sz w:val="21"/>
                <w:szCs w:val="21"/>
              </w:rPr>
              <w:t>火灾、爆炸引发次伴生</w:t>
            </w:r>
          </w:p>
        </w:tc>
        <w:tc>
          <w:tcPr>
            <w:tcW w:w="953" w:type="pct"/>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42A98C21">
            <w:pPr>
              <w:rPr>
                <w:sz w:val="21"/>
                <w:szCs w:val="21"/>
              </w:rPr>
            </w:pPr>
            <w:r>
              <w:rPr>
                <w:sz w:val="21"/>
                <w:szCs w:val="21"/>
              </w:rPr>
              <w:t>扩散，消防废水漫流、渗透、吸收</w:t>
            </w:r>
          </w:p>
        </w:tc>
        <w:tc>
          <w:tcPr>
            <w:tcW w:w="0" w:type="auto"/>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2ADBEBFA">
            <w:pPr>
              <w:rPr>
                <w:sz w:val="21"/>
                <w:szCs w:val="21"/>
              </w:rPr>
            </w:pPr>
            <w:r>
              <w:rPr>
                <w:sz w:val="21"/>
                <w:szCs w:val="21"/>
              </w:rPr>
              <w:t>周边居民、地表水、地下水等</w:t>
            </w:r>
          </w:p>
        </w:tc>
      </w:tr>
      <w:tr w14:paraId="759077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0" w:type="auto"/>
            <w:vMerge w:val="continue"/>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517DD451">
            <w:pPr>
              <w:rPr>
                <w:sz w:val="21"/>
                <w:szCs w:val="21"/>
              </w:rPr>
            </w:pPr>
          </w:p>
        </w:tc>
        <w:tc>
          <w:tcPr>
            <w:tcW w:w="0" w:type="auto"/>
            <w:vMerge w:val="continue"/>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3F0D7E12">
            <w:pPr>
              <w:rPr>
                <w:sz w:val="21"/>
                <w:szCs w:val="21"/>
              </w:rPr>
            </w:pPr>
          </w:p>
        </w:tc>
        <w:tc>
          <w:tcPr>
            <w:tcW w:w="0" w:type="auto"/>
            <w:vMerge w:val="continue"/>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6FCA722A">
            <w:pPr>
              <w:rPr>
                <w:sz w:val="21"/>
                <w:szCs w:val="21"/>
              </w:rPr>
            </w:pPr>
          </w:p>
        </w:tc>
        <w:tc>
          <w:tcPr>
            <w:tcW w:w="923" w:type="pct"/>
            <w:vMerge w:val="continue"/>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51165A9B">
            <w:pPr>
              <w:rPr>
                <w:sz w:val="21"/>
                <w:szCs w:val="21"/>
              </w:rPr>
            </w:pPr>
          </w:p>
        </w:tc>
        <w:tc>
          <w:tcPr>
            <w:tcW w:w="1369" w:type="pct"/>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055883DE">
            <w:pPr>
              <w:rPr>
                <w:sz w:val="21"/>
                <w:szCs w:val="21"/>
              </w:rPr>
            </w:pPr>
            <w:r>
              <w:rPr>
                <w:sz w:val="21"/>
                <w:szCs w:val="21"/>
              </w:rPr>
              <w:t>泄漏</w:t>
            </w:r>
          </w:p>
        </w:tc>
        <w:tc>
          <w:tcPr>
            <w:tcW w:w="953" w:type="pct"/>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03E87A5D">
            <w:pPr>
              <w:rPr>
                <w:sz w:val="21"/>
                <w:szCs w:val="21"/>
              </w:rPr>
            </w:pPr>
            <w:r>
              <w:rPr>
                <w:sz w:val="21"/>
                <w:szCs w:val="21"/>
              </w:rPr>
              <w:t>扩散、漫流、渗透、吸收</w:t>
            </w:r>
          </w:p>
        </w:tc>
        <w:tc>
          <w:tcPr>
            <w:tcW w:w="0" w:type="auto"/>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1078BBB5">
            <w:pPr>
              <w:rPr>
                <w:sz w:val="21"/>
                <w:szCs w:val="21"/>
              </w:rPr>
            </w:pPr>
            <w:r>
              <w:rPr>
                <w:sz w:val="21"/>
                <w:szCs w:val="21"/>
              </w:rPr>
              <w:t>周边居民、地表水、地下水等</w:t>
            </w:r>
          </w:p>
        </w:tc>
      </w:tr>
      <w:tr w14:paraId="3FC861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0" w:type="auto"/>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1F194383">
            <w:pPr>
              <w:rPr>
                <w:sz w:val="21"/>
                <w:szCs w:val="21"/>
              </w:rPr>
            </w:pPr>
            <w:r>
              <w:rPr>
                <w:sz w:val="21"/>
                <w:szCs w:val="21"/>
              </w:rPr>
              <w:t>3</w:t>
            </w:r>
          </w:p>
        </w:tc>
        <w:tc>
          <w:tcPr>
            <w:tcW w:w="0" w:type="auto"/>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3B4D685F">
            <w:pPr>
              <w:rPr>
                <w:sz w:val="21"/>
                <w:szCs w:val="21"/>
              </w:rPr>
            </w:pPr>
            <w:r>
              <w:rPr>
                <w:sz w:val="21"/>
                <w:szCs w:val="21"/>
              </w:rPr>
              <w:t>废气治理措施</w:t>
            </w:r>
          </w:p>
        </w:tc>
        <w:tc>
          <w:tcPr>
            <w:tcW w:w="0" w:type="auto"/>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2D16F8BD">
            <w:pPr>
              <w:rPr>
                <w:sz w:val="21"/>
                <w:szCs w:val="21"/>
              </w:rPr>
            </w:pPr>
            <w:r>
              <w:rPr>
                <w:sz w:val="21"/>
                <w:szCs w:val="21"/>
              </w:rPr>
              <w:t>废气处理装置</w:t>
            </w:r>
          </w:p>
        </w:tc>
        <w:tc>
          <w:tcPr>
            <w:tcW w:w="923" w:type="pct"/>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205B531F">
            <w:pPr>
              <w:rPr>
                <w:sz w:val="21"/>
                <w:szCs w:val="21"/>
              </w:rPr>
            </w:pPr>
            <w:r>
              <w:rPr>
                <w:sz w:val="21"/>
                <w:szCs w:val="21"/>
              </w:rPr>
              <w:t>二氧化硫、NOx、颗粒物、氟化物、二噁英类等</w:t>
            </w:r>
          </w:p>
        </w:tc>
        <w:tc>
          <w:tcPr>
            <w:tcW w:w="1369" w:type="pct"/>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0E7D951B">
            <w:pPr>
              <w:rPr>
                <w:sz w:val="21"/>
                <w:szCs w:val="21"/>
              </w:rPr>
            </w:pPr>
            <w:r>
              <w:rPr>
                <w:sz w:val="21"/>
                <w:szCs w:val="21"/>
              </w:rPr>
              <w:t>废气处理设施发生故障，事故排放</w:t>
            </w:r>
          </w:p>
        </w:tc>
        <w:tc>
          <w:tcPr>
            <w:tcW w:w="953" w:type="pct"/>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74D93C8E">
            <w:pPr>
              <w:rPr>
                <w:sz w:val="21"/>
                <w:szCs w:val="21"/>
              </w:rPr>
            </w:pPr>
            <w:r>
              <w:rPr>
                <w:sz w:val="21"/>
                <w:szCs w:val="21"/>
              </w:rPr>
              <w:t>扩散</w:t>
            </w:r>
          </w:p>
        </w:tc>
        <w:tc>
          <w:tcPr>
            <w:tcW w:w="0" w:type="auto"/>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25C2B102">
            <w:pPr>
              <w:rPr>
                <w:sz w:val="21"/>
                <w:szCs w:val="21"/>
              </w:rPr>
            </w:pPr>
            <w:r>
              <w:rPr>
                <w:sz w:val="21"/>
                <w:szCs w:val="21"/>
              </w:rPr>
              <w:t>周边居民</w:t>
            </w:r>
          </w:p>
        </w:tc>
      </w:tr>
      <w:tr w14:paraId="374665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0" w:type="auto"/>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261D9394">
            <w:pPr>
              <w:rPr>
                <w:rFonts w:hint="eastAsia" w:eastAsia="宋体"/>
                <w:sz w:val="21"/>
                <w:szCs w:val="21"/>
                <w:lang w:eastAsia="zh-CN"/>
              </w:rPr>
            </w:pPr>
            <w:r>
              <w:rPr>
                <w:rFonts w:hint="eastAsia"/>
                <w:sz w:val="21"/>
                <w:szCs w:val="21"/>
                <w:lang w:val="en-US" w:eastAsia="zh-CN"/>
              </w:rPr>
              <w:t>4</w:t>
            </w:r>
          </w:p>
        </w:tc>
        <w:tc>
          <w:tcPr>
            <w:tcW w:w="0" w:type="auto"/>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3F4CE9B0">
            <w:pPr>
              <w:rPr>
                <w:sz w:val="21"/>
                <w:szCs w:val="21"/>
              </w:rPr>
            </w:pPr>
            <w:r>
              <w:rPr>
                <w:sz w:val="21"/>
                <w:szCs w:val="21"/>
              </w:rPr>
              <w:t>储罐区</w:t>
            </w:r>
          </w:p>
        </w:tc>
        <w:tc>
          <w:tcPr>
            <w:tcW w:w="0" w:type="auto"/>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52AE39C9">
            <w:pPr>
              <w:rPr>
                <w:sz w:val="21"/>
                <w:szCs w:val="21"/>
              </w:rPr>
            </w:pPr>
            <w:r>
              <w:rPr>
                <w:sz w:val="21"/>
                <w:szCs w:val="21"/>
              </w:rPr>
              <w:t>储罐区</w:t>
            </w:r>
          </w:p>
        </w:tc>
        <w:tc>
          <w:tcPr>
            <w:tcW w:w="923" w:type="pct"/>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33E119C9">
            <w:pPr>
              <w:rPr>
                <w:sz w:val="21"/>
                <w:szCs w:val="21"/>
              </w:rPr>
            </w:pPr>
            <w:r>
              <w:rPr>
                <w:sz w:val="21"/>
                <w:szCs w:val="21"/>
              </w:rPr>
              <w:t>氨水、氨气</w:t>
            </w:r>
          </w:p>
        </w:tc>
        <w:tc>
          <w:tcPr>
            <w:tcW w:w="1369" w:type="pct"/>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11279242">
            <w:pPr>
              <w:rPr>
                <w:sz w:val="21"/>
                <w:szCs w:val="21"/>
              </w:rPr>
            </w:pPr>
            <w:r>
              <w:rPr>
                <w:sz w:val="21"/>
                <w:szCs w:val="21"/>
              </w:rPr>
              <w:t>氨水泄漏可能导致人员伤害或引发大气、水环境污染事故</w:t>
            </w:r>
          </w:p>
        </w:tc>
        <w:tc>
          <w:tcPr>
            <w:tcW w:w="953" w:type="pct"/>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68F2C877">
            <w:pPr>
              <w:rPr>
                <w:sz w:val="21"/>
                <w:szCs w:val="21"/>
              </w:rPr>
            </w:pPr>
            <w:r>
              <w:rPr>
                <w:sz w:val="21"/>
                <w:szCs w:val="21"/>
              </w:rPr>
              <w:t>扩散，消防废水漫流、渗透、吸收</w:t>
            </w:r>
          </w:p>
        </w:tc>
        <w:tc>
          <w:tcPr>
            <w:tcW w:w="0" w:type="auto"/>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158887A6">
            <w:pPr>
              <w:rPr>
                <w:sz w:val="21"/>
                <w:szCs w:val="21"/>
              </w:rPr>
            </w:pPr>
            <w:r>
              <w:rPr>
                <w:sz w:val="21"/>
                <w:szCs w:val="21"/>
              </w:rPr>
              <w:t>周边居民、地表水、地下水等</w:t>
            </w:r>
          </w:p>
        </w:tc>
      </w:tr>
    </w:tbl>
    <w:p w14:paraId="033B0AA3">
      <w:pPr>
        <w:pStyle w:val="52"/>
        <w:keepNext w:val="0"/>
        <w:keepLines w:val="0"/>
        <w:widowControl/>
        <w:suppressLineNumbers w:val="0"/>
        <w:spacing w:line="240" w:lineRule="auto"/>
        <w:ind w:left="0" w:firstLine="0"/>
        <w:jc w:val="left"/>
        <w:textAlignment w:val="center"/>
        <w:rPr>
          <w:rFonts w:hint="default"/>
        </w:rPr>
        <w:sectPr>
          <w:pgSz w:w="16840" w:h="11907" w:orient="landscape"/>
          <w:pgMar w:top="1701" w:right="1701" w:bottom="1701" w:left="1701" w:header="851" w:footer="1077" w:gutter="0"/>
          <w:pgBorders w:offsetFrom="page">
            <w:top w:val="none" w:sz="0" w:space="0"/>
            <w:left w:val="none" w:sz="0" w:space="0"/>
            <w:bottom w:val="none" w:sz="0" w:space="0"/>
            <w:right w:val="none" w:sz="0" w:space="0"/>
          </w:pgBorders>
          <w:pgNumType w:fmt="decimal"/>
          <w:cols w:space="720" w:num="1"/>
          <w:docGrid w:type="lines" w:linePitch="479" w:charSpace="0"/>
        </w:sectPr>
      </w:pPr>
    </w:p>
    <w:p w14:paraId="14D27595">
      <w:pPr>
        <w:keepNext/>
        <w:tabs>
          <w:tab w:val="left" w:pos="1503"/>
        </w:tabs>
        <w:spacing w:line="360" w:lineRule="auto"/>
        <w:outlineLvl w:val="1"/>
        <w:rPr>
          <w:rFonts w:ascii="Times New Roman" w:hAnsi="Times New Roman" w:cs="Times New Roman"/>
          <w:b/>
          <w:sz w:val="32"/>
        </w:rPr>
      </w:pPr>
      <w:bookmarkStart w:id="557" w:name="_Toc2923583"/>
      <w:bookmarkStart w:id="558" w:name="_Toc90026146"/>
      <w:bookmarkStart w:id="559" w:name="_Toc20309"/>
      <w:r>
        <w:rPr>
          <w:rFonts w:hint="eastAsia" w:ascii="Times New Roman" w:hAnsi="Times New Roman" w:cs="Times New Roman"/>
          <w:b/>
          <w:sz w:val="32"/>
        </w:rPr>
        <w:t>6</w:t>
      </w:r>
      <w:r>
        <w:rPr>
          <w:rFonts w:ascii="Times New Roman" w:hAnsi="Times New Roman" w:cs="Times New Roman"/>
          <w:b/>
          <w:sz w:val="32"/>
        </w:rPr>
        <w:t>.2 环境风险分析</w:t>
      </w:r>
      <w:bookmarkEnd w:id="557"/>
      <w:bookmarkEnd w:id="558"/>
      <w:bookmarkEnd w:id="559"/>
    </w:p>
    <w:p w14:paraId="0FF6019E">
      <w:pPr>
        <w:pStyle w:val="52"/>
        <w:keepNext w:val="0"/>
        <w:keepLines w:val="0"/>
        <w:widowControl/>
        <w:suppressLineNumbers w:val="0"/>
        <w:spacing w:line="240" w:lineRule="auto"/>
        <w:ind w:left="0" w:firstLine="0"/>
        <w:jc w:val="left"/>
        <w:textAlignment w:val="center"/>
      </w:pPr>
      <w:r>
        <w:rPr>
          <w:rFonts w:hint="eastAsia" w:ascii="Times New Roman" w:hAnsi="Times New Roman" w:cs="Times New Roman"/>
          <w:b/>
          <w:bCs/>
          <w:color w:val="000000"/>
          <w:spacing w:val="0"/>
          <w:position w:val="0"/>
          <w:sz w:val="24"/>
          <w:szCs w:val="24"/>
          <w:lang w:val="en-US" w:eastAsia="zh-CN"/>
        </w:rPr>
        <w:t>6.2.1</w:t>
      </w:r>
      <w:r>
        <w:rPr>
          <w:rFonts w:hint="eastAsia" w:ascii="宋体" w:hAnsi="宋体" w:eastAsia="宋体" w:cs="宋体"/>
          <w:b/>
          <w:bCs/>
          <w:color w:val="000000"/>
          <w:spacing w:val="0"/>
          <w:position w:val="0"/>
          <w:sz w:val="24"/>
          <w:szCs w:val="24"/>
        </w:rPr>
        <w:t>风险事故情形设定</w:t>
      </w:r>
    </w:p>
    <w:p w14:paraId="5F0FC3CF">
      <w:pPr>
        <w:pStyle w:val="52"/>
        <w:keepNext w:val="0"/>
        <w:keepLines w:val="0"/>
        <w:widowControl/>
        <w:suppressLineNumbers w:val="0"/>
        <w:spacing w:line="240" w:lineRule="auto"/>
        <w:ind w:left="0" w:firstLine="0"/>
        <w:jc w:val="left"/>
        <w:textAlignment w:val="center"/>
      </w:pPr>
      <w:r>
        <w:rPr>
          <w:rFonts w:hint="eastAsia" w:ascii="Times New Roman" w:hAnsi="Times New Roman" w:eastAsia="宋体" w:cs="Times New Roman"/>
          <w:b/>
          <w:bCs/>
          <w:color w:val="000000"/>
          <w:spacing w:val="0"/>
          <w:position w:val="0"/>
          <w:sz w:val="24"/>
          <w:szCs w:val="24"/>
          <w:lang w:val="en-US" w:eastAsia="zh-CN"/>
        </w:rPr>
        <w:t>1、</w:t>
      </w:r>
      <w:r>
        <w:rPr>
          <w:rFonts w:hint="eastAsia" w:ascii="宋体" w:hAnsi="宋体" w:eastAsia="宋体" w:cs="宋体"/>
          <w:b/>
          <w:bCs/>
          <w:color w:val="000000"/>
          <w:spacing w:val="0"/>
          <w:position w:val="0"/>
          <w:sz w:val="24"/>
          <w:szCs w:val="24"/>
        </w:rPr>
        <w:t>最大可信事故概率分析</w:t>
      </w:r>
    </w:p>
    <w:p w14:paraId="7BC31628">
      <w:pPr>
        <w:pStyle w:val="52"/>
        <w:keepNext w:val="0"/>
        <w:keepLines w:val="0"/>
        <w:widowControl/>
        <w:suppressLineNumbers w:val="0"/>
        <w:spacing w:line="240" w:lineRule="auto"/>
        <w:ind w:left="0" w:firstLine="478"/>
        <w:jc w:val="left"/>
        <w:textAlignment w:val="center"/>
      </w:pPr>
      <w:r>
        <w:rPr>
          <w:rFonts w:hint="eastAsia" w:ascii="宋体" w:hAnsi="宋体" w:eastAsia="宋体" w:cs="宋体"/>
          <w:color w:val="000000"/>
          <w:spacing w:val="0"/>
          <w:position w:val="0"/>
          <w:sz w:val="24"/>
          <w:szCs w:val="24"/>
        </w:rPr>
        <w:t>根据对世界石油化工企业近</w:t>
      </w:r>
      <w:r>
        <w:rPr>
          <w:rFonts w:hint="default" w:ascii="Times New Roman" w:hAnsi="Times New Roman" w:cs="Times New Roman"/>
          <w:color w:val="000000"/>
          <w:spacing w:val="0"/>
          <w:position w:val="0"/>
          <w:sz w:val="24"/>
          <w:szCs w:val="24"/>
        </w:rPr>
        <w:t xml:space="preserve">30 </w:t>
      </w:r>
      <w:r>
        <w:rPr>
          <w:rFonts w:hint="eastAsia" w:ascii="宋体" w:hAnsi="宋体" w:eastAsia="宋体" w:cs="宋体"/>
          <w:color w:val="000000"/>
          <w:spacing w:val="0"/>
          <w:position w:val="0"/>
          <w:sz w:val="24"/>
          <w:szCs w:val="24"/>
        </w:rPr>
        <w:t>年发生的</w:t>
      </w:r>
      <w:r>
        <w:rPr>
          <w:rFonts w:hint="default" w:ascii="Times New Roman" w:hAnsi="Times New Roman" w:cs="Times New Roman"/>
          <w:color w:val="000000"/>
          <w:spacing w:val="0"/>
          <w:position w:val="0"/>
          <w:sz w:val="24"/>
          <w:szCs w:val="24"/>
        </w:rPr>
        <w:t xml:space="preserve">100 </w:t>
      </w:r>
      <w:r>
        <w:rPr>
          <w:rFonts w:hint="eastAsia" w:ascii="宋体" w:hAnsi="宋体" w:eastAsia="宋体" w:cs="宋体"/>
          <w:color w:val="000000"/>
          <w:spacing w:val="0"/>
          <w:position w:val="0"/>
          <w:sz w:val="24"/>
          <w:szCs w:val="24"/>
        </w:rPr>
        <w:t>起特大事故的分析，石油化工装置重大事故的比率见表</w:t>
      </w:r>
      <w:r>
        <w:rPr>
          <w:rFonts w:hint="default" w:ascii="Times New Roman" w:hAnsi="Times New Roman" w:cs="Times New Roman"/>
          <w:color w:val="000000"/>
          <w:spacing w:val="0"/>
          <w:position w:val="0"/>
          <w:sz w:val="24"/>
          <w:szCs w:val="24"/>
        </w:rPr>
        <w:t>6.2-1</w:t>
      </w:r>
      <w:r>
        <w:rPr>
          <w:rFonts w:hint="eastAsia" w:ascii="宋体" w:hAnsi="宋体" w:eastAsia="宋体" w:cs="宋体"/>
          <w:color w:val="000000"/>
          <w:spacing w:val="0"/>
          <w:position w:val="0"/>
          <w:sz w:val="24"/>
          <w:szCs w:val="24"/>
        </w:rPr>
        <w:t>。储罐区事故比例最高，占重大事故比率的</w:t>
      </w:r>
      <w:r>
        <w:rPr>
          <w:rFonts w:hint="default" w:ascii="Times New Roman" w:hAnsi="Times New Roman" w:cs="Times New Roman"/>
          <w:color w:val="000000"/>
          <w:spacing w:val="0"/>
          <w:position w:val="0"/>
          <w:sz w:val="24"/>
          <w:szCs w:val="24"/>
        </w:rPr>
        <w:t>16.8%</w:t>
      </w:r>
      <w:r>
        <w:rPr>
          <w:rFonts w:hint="eastAsia" w:ascii="宋体" w:hAnsi="宋体" w:eastAsia="宋体" w:cs="宋体"/>
          <w:color w:val="000000"/>
          <w:spacing w:val="0"/>
          <w:position w:val="0"/>
          <w:sz w:val="24"/>
          <w:szCs w:val="24"/>
        </w:rPr>
        <w:t>。</w:t>
      </w:r>
    </w:p>
    <w:p w14:paraId="328D5016">
      <w:pPr>
        <w:jc w:val="center"/>
        <w:rPr>
          <w:rFonts w:hint="eastAsia" w:ascii="宋体" w:hAnsi="宋体" w:eastAsia="宋体" w:cs="宋体"/>
          <w:color w:val="000000"/>
          <w:spacing w:val="0"/>
          <w:kern w:val="0"/>
          <w:position w:val="0"/>
          <w:sz w:val="24"/>
          <w:szCs w:val="24"/>
          <w:lang w:val="en-US" w:eastAsia="zh-CN" w:bidi="ar-SA"/>
        </w:rPr>
      </w:pPr>
      <w:r>
        <w:rPr>
          <w:rFonts w:hint="eastAsia" w:ascii="宋体" w:hAnsi="宋体" w:eastAsia="宋体" w:cs="宋体"/>
          <w:color w:val="000000"/>
          <w:spacing w:val="0"/>
          <w:kern w:val="0"/>
          <w:position w:val="0"/>
          <w:sz w:val="24"/>
          <w:szCs w:val="24"/>
          <w:lang w:val="en-US" w:eastAsia="zh-CN" w:bidi="ar-SA"/>
        </w:rPr>
        <w:t>表</w:t>
      </w:r>
      <w:r>
        <w:rPr>
          <w:rFonts w:hint="eastAsia" w:cs="宋体"/>
          <w:color w:val="000000"/>
          <w:spacing w:val="0"/>
          <w:kern w:val="0"/>
          <w:position w:val="0"/>
          <w:sz w:val="24"/>
          <w:szCs w:val="24"/>
          <w:lang w:val="en-US" w:eastAsia="zh-CN" w:bidi="ar-SA"/>
        </w:rPr>
        <w:t xml:space="preserve">6.2-1 </w:t>
      </w:r>
      <w:r>
        <w:rPr>
          <w:rFonts w:hint="eastAsia" w:ascii="宋体" w:hAnsi="宋体" w:eastAsia="宋体" w:cs="宋体"/>
          <w:color w:val="000000"/>
          <w:spacing w:val="0"/>
          <w:kern w:val="0"/>
          <w:position w:val="0"/>
          <w:sz w:val="24"/>
          <w:szCs w:val="24"/>
          <w:lang w:val="en-US" w:eastAsia="zh-CN" w:bidi="ar-SA"/>
        </w:rPr>
        <w:t>重大事故比率表</w:t>
      </w:r>
    </w:p>
    <w:tbl>
      <w:tblPr>
        <w:tblStyle w:val="56"/>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3706"/>
        <w:gridCol w:w="1562"/>
        <w:gridCol w:w="3453"/>
      </w:tblGrid>
      <w:tr w14:paraId="6D9E37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0" w:type="auto"/>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6A1B9D8C">
            <w:pPr>
              <w:jc w:val="center"/>
              <w:rPr>
                <w:b/>
              </w:rPr>
            </w:pPr>
            <w:r>
              <w:rPr>
                <w:b/>
              </w:rPr>
              <w:t>事故位置</w:t>
            </w:r>
          </w:p>
        </w:tc>
        <w:tc>
          <w:tcPr>
            <w:tcW w:w="0" w:type="auto"/>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7676F084">
            <w:pPr>
              <w:jc w:val="center"/>
              <w:rPr>
                <w:b/>
              </w:rPr>
            </w:pPr>
            <w:r>
              <w:rPr>
                <w:b/>
              </w:rPr>
              <w:t>次数</w:t>
            </w:r>
          </w:p>
        </w:tc>
        <w:tc>
          <w:tcPr>
            <w:tcW w:w="0" w:type="auto"/>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6CD39B16">
            <w:pPr>
              <w:jc w:val="center"/>
              <w:rPr>
                <w:b/>
              </w:rPr>
            </w:pPr>
            <w:r>
              <w:rPr>
                <w:b/>
              </w:rPr>
              <w:t>所占比例(%)</w:t>
            </w:r>
          </w:p>
        </w:tc>
      </w:tr>
      <w:tr w14:paraId="355A45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0" w:type="auto"/>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3A212AEC">
            <w:pPr>
              <w:jc w:val="center"/>
            </w:pPr>
            <w:r>
              <w:t>烷基化</w:t>
            </w:r>
          </w:p>
        </w:tc>
        <w:tc>
          <w:tcPr>
            <w:tcW w:w="0" w:type="auto"/>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016AC366">
            <w:pPr>
              <w:jc w:val="center"/>
            </w:pPr>
            <w:r>
              <w:t>7</w:t>
            </w:r>
          </w:p>
        </w:tc>
        <w:tc>
          <w:tcPr>
            <w:tcW w:w="0" w:type="auto"/>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1069E68D">
            <w:pPr>
              <w:jc w:val="center"/>
            </w:pPr>
            <w:r>
              <w:t>6.3</w:t>
            </w:r>
          </w:p>
        </w:tc>
      </w:tr>
      <w:tr w14:paraId="20E2BF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0" w:type="auto"/>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30D275E2">
            <w:pPr>
              <w:jc w:val="center"/>
            </w:pPr>
            <w:r>
              <w:t>加氢</w:t>
            </w:r>
          </w:p>
        </w:tc>
        <w:tc>
          <w:tcPr>
            <w:tcW w:w="0" w:type="auto"/>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31B836D8">
            <w:pPr>
              <w:jc w:val="center"/>
            </w:pPr>
            <w:r>
              <w:t>7</w:t>
            </w:r>
          </w:p>
        </w:tc>
        <w:tc>
          <w:tcPr>
            <w:tcW w:w="0" w:type="auto"/>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02975300">
            <w:pPr>
              <w:jc w:val="center"/>
            </w:pPr>
            <w:r>
              <w:t>7.3</w:t>
            </w:r>
          </w:p>
        </w:tc>
      </w:tr>
      <w:tr w14:paraId="5B9AF6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0" w:type="auto"/>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16A2749A">
            <w:pPr>
              <w:jc w:val="center"/>
            </w:pPr>
            <w:r>
              <w:t>催化气分</w:t>
            </w:r>
          </w:p>
        </w:tc>
        <w:tc>
          <w:tcPr>
            <w:tcW w:w="0" w:type="auto"/>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118FBBB0">
            <w:pPr>
              <w:jc w:val="center"/>
            </w:pPr>
            <w:r>
              <w:t>7</w:t>
            </w:r>
          </w:p>
        </w:tc>
        <w:tc>
          <w:tcPr>
            <w:tcW w:w="0" w:type="auto"/>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76CD2E47">
            <w:pPr>
              <w:jc w:val="center"/>
            </w:pPr>
            <w:r>
              <w:t>7.3</w:t>
            </w:r>
          </w:p>
        </w:tc>
      </w:tr>
      <w:tr w14:paraId="129355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0" w:type="auto"/>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368C23F9">
            <w:pPr>
              <w:jc w:val="center"/>
            </w:pPr>
            <w:r>
              <w:t>焦化</w:t>
            </w:r>
          </w:p>
        </w:tc>
        <w:tc>
          <w:tcPr>
            <w:tcW w:w="0" w:type="auto"/>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30CC75B0">
            <w:pPr>
              <w:jc w:val="center"/>
            </w:pPr>
            <w:r>
              <w:t>3</w:t>
            </w:r>
          </w:p>
        </w:tc>
        <w:tc>
          <w:tcPr>
            <w:tcW w:w="0" w:type="auto"/>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6B762D77">
            <w:pPr>
              <w:jc w:val="center"/>
            </w:pPr>
            <w:r>
              <w:t>3.1</w:t>
            </w:r>
          </w:p>
        </w:tc>
      </w:tr>
      <w:tr w14:paraId="6AA60C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0" w:type="auto"/>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49E3C403">
            <w:pPr>
              <w:jc w:val="center"/>
            </w:pPr>
            <w:r>
              <w:t>溶剂脱沥青</w:t>
            </w:r>
          </w:p>
        </w:tc>
        <w:tc>
          <w:tcPr>
            <w:tcW w:w="0" w:type="auto"/>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6FF2FF0A">
            <w:pPr>
              <w:jc w:val="center"/>
            </w:pPr>
            <w:r>
              <w:t>3</w:t>
            </w:r>
          </w:p>
        </w:tc>
        <w:tc>
          <w:tcPr>
            <w:tcW w:w="0" w:type="auto"/>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384FDC46">
            <w:pPr>
              <w:jc w:val="center"/>
            </w:pPr>
            <w:r>
              <w:t>3.1</w:t>
            </w:r>
          </w:p>
        </w:tc>
      </w:tr>
      <w:tr w14:paraId="1BA091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0" w:type="auto"/>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2EA63E15">
            <w:pPr>
              <w:jc w:val="center"/>
            </w:pPr>
            <w:r>
              <w:t>蒸馏</w:t>
            </w:r>
          </w:p>
        </w:tc>
        <w:tc>
          <w:tcPr>
            <w:tcW w:w="0" w:type="auto"/>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71DC56A6">
            <w:pPr>
              <w:jc w:val="center"/>
            </w:pPr>
            <w:r>
              <w:t>3</w:t>
            </w:r>
          </w:p>
        </w:tc>
        <w:tc>
          <w:tcPr>
            <w:tcW w:w="0" w:type="auto"/>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773695B3">
            <w:pPr>
              <w:jc w:val="center"/>
            </w:pPr>
            <w:r>
              <w:t>3.1</w:t>
            </w:r>
          </w:p>
        </w:tc>
      </w:tr>
      <w:tr w14:paraId="0E0F16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0" w:type="auto"/>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698E1763">
            <w:pPr>
              <w:jc w:val="center"/>
            </w:pPr>
            <w:r>
              <w:t>罐区</w:t>
            </w:r>
          </w:p>
        </w:tc>
        <w:tc>
          <w:tcPr>
            <w:tcW w:w="0" w:type="auto"/>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530FFE1E">
            <w:pPr>
              <w:jc w:val="center"/>
            </w:pPr>
            <w:r>
              <w:t>16</w:t>
            </w:r>
          </w:p>
        </w:tc>
        <w:tc>
          <w:tcPr>
            <w:tcW w:w="0" w:type="auto"/>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4C49D303">
            <w:pPr>
              <w:jc w:val="center"/>
            </w:pPr>
            <w:r>
              <w:t>16.8</w:t>
            </w:r>
          </w:p>
        </w:tc>
      </w:tr>
      <w:tr w14:paraId="24BC5F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0" w:type="auto"/>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73E45ADF">
            <w:pPr>
              <w:jc w:val="center"/>
            </w:pPr>
            <w:r>
              <w:t>油船</w:t>
            </w:r>
          </w:p>
        </w:tc>
        <w:tc>
          <w:tcPr>
            <w:tcW w:w="0" w:type="auto"/>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5ED5E5B4">
            <w:pPr>
              <w:jc w:val="center"/>
            </w:pPr>
            <w:r>
              <w:t>7</w:t>
            </w:r>
          </w:p>
        </w:tc>
        <w:tc>
          <w:tcPr>
            <w:tcW w:w="0" w:type="auto"/>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175FFE49">
            <w:pPr>
              <w:jc w:val="center"/>
            </w:pPr>
            <w:r>
              <w:t>6.3</w:t>
            </w:r>
          </w:p>
        </w:tc>
      </w:tr>
      <w:tr w14:paraId="1FD628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0" w:type="auto"/>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03585746">
            <w:pPr>
              <w:jc w:val="center"/>
            </w:pPr>
            <w:r>
              <w:t>乙烯</w:t>
            </w:r>
          </w:p>
        </w:tc>
        <w:tc>
          <w:tcPr>
            <w:tcW w:w="0" w:type="auto"/>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3BA463D8">
            <w:pPr>
              <w:jc w:val="center"/>
            </w:pPr>
            <w:r>
              <w:t>8</w:t>
            </w:r>
          </w:p>
        </w:tc>
        <w:tc>
          <w:tcPr>
            <w:tcW w:w="0" w:type="auto"/>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03099076">
            <w:pPr>
              <w:jc w:val="center"/>
            </w:pPr>
            <w:r>
              <w:t>7.3</w:t>
            </w:r>
          </w:p>
        </w:tc>
      </w:tr>
      <w:tr w14:paraId="1F15C2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0" w:type="auto"/>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312A5267">
            <w:pPr>
              <w:jc w:val="center"/>
            </w:pPr>
            <w:r>
              <w:t>乙烯加工</w:t>
            </w:r>
          </w:p>
        </w:tc>
        <w:tc>
          <w:tcPr>
            <w:tcW w:w="0" w:type="auto"/>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6F7F628B">
            <w:pPr>
              <w:jc w:val="center"/>
            </w:pPr>
            <w:r>
              <w:t>9</w:t>
            </w:r>
          </w:p>
        </w:tc>
        <w:tc>
          <w:tcPr>
            <w:tcW w:w="0" w:type="auto"/>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3A7C2B7F">
            <w:pPr>
              <w:jc w:val="center"/>
            </w:pPr>
            <w:r>
              <w:t>8.7</w:t>
            </w:r>
          </w:p>
        </w:tc>
      </w:tr>
      <w:tr w14:paraId="79B056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0" w:type="auto"/>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0918C1E4">
            <w:pPr>
              <w:jc w:val="center"/>
            </w:pPr>
            <w:r>
              <w:t>聚乙烯等塑料</w:t>
            </w:r>
          </w:p>
        </w:tc>
        <w:tc>
          <w:tcPr>
            <w:tcW w:w="0" w:type="auto"/>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108523FC">
            <w:pPr>
              <w:jc w:val="center"/>
            </w:pPr>
            <w:r>
              <w:t>10</w:t>
            </w:r>
          </w:p>
        </w:tc>
        <w:tc>
          <w:tcPr>
            <w:tcW w:w="0" w:type="auto"/>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79A96D3E">
            <w:pPr>
              <w:jc w:val="center"/>
            </w:pPr>
            <w:r>
              <w:t>9.5</w:t>
            </w:r>
          </w:p>
        </w:tc>
      </w:tr>
      <w:tr w14:paraId="549B17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0" w:type="auto"/>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1F17E367">
            <w:pPr>
              <w:jc w:val="center"/>
            </w:pPr>
            <w:r>
              <w:t>橡胶</w:t>
            </w:r>
          </w:p>
        </w:tc>
        <w:tc>
          <w:tcPr>
            <w:tcW w:w="0" w:type="auto"/>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65768F3F">
            <w:pPr>
              <w:jc w:val="center"/>
            </w:pPr>
            <w:r>
              <w:t>8</w:t>
            </w:r>
          </w:p>
        </w:tc>
        <w:tc>
          <w:tcPr>
            <w:tcW w:w="0" w:type="auto"/>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007800F4">
            <w:pPr>
              <w:jc w:val="center"/>
            </w:pPr>
            <w:r>
              <w:t>8.4</w:t>
            </w:r>
          </w:p>
        </w:tc>
      </w:tr>
      <w:tr w14:paraId="2BC705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0" w:type="auto"/>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0E1A00F8">
            <w:pPr>
              <w:jc w:val="center"/>
            </w:pPr>
            <w:r>
              <w:t>天然气输送</w:t>
            </w:r>
          </w:p>
        </w:tc>
        <w:tc>
          <w:tcPr>
            <w:tcW w:w="0" w:type="auto"/>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5E7EEB32">
            <w:pPr>
              <w:jc w:val="center"/>
            </w:pPr>
            <w:r>
              <w:t>1</w:t>
            </w:r>
          </w:p>
        </w:tc>
        <w:tc>
          <w:tcPr>
            <w:tcW w:w="0" w:type="auto"/>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74ACA183">
            <w:pPr>
              <w:jc w:val="center"/>
            </w:pPr>
            <w:r>
              <w:t>1.1</w:t>
            </w:r>
          </w:p>
        </w:tc>
      </w:tr>
      <w:tr w14:paraId="3D2E0E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0" w:type="auto"/>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48FCE41C">
            <w:pPr>
              <w:jc w:val="center"/>
            </w:pPr>
            <w:r>
              <w:t>合成氨</w:t>
            </w:r>
          </w:p>
        </w:tc>
        <w:tc>
          <w:tcPr>
            <w:tcW w:w="0" w:type="auto"/>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24E5A5FC">
            <w:pPr>
              <w:jc w:val="center"/>
            </w:pPr>
            <w:r>
              <w:t>1</w:t>
            </w:r>
          </w:p>
        </w:tc>
        <w:tc>
          <w:tcPr>
            <w:tcW w:w="0" w:type="auto"/>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7E9BEFDC">
            <w:pPr>
              <w:jc w:val="center"/>
            </w:pPr>
            <w:r>
              <w:t>1.1</w:t>
            </w:r>
          </w:p>
        </w:tc>
      </w:tr>
      <w:tr w14:paraId="357C4B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0" w:type="auto"/>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688887FB">
            <w:pPr>
              <w:jc w:val="center"/>
            </w:pPr>
            <w:r>
              <w:t>电厂</w:t>
            </w:r>
          </w:p>
        </w:tc>
        <w:tc>
          <w:tcPr>
            <w:tcW w:w="0" w:type="auto"/>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305F888D">
            <w:pPr>
              <w:jc w:val="center"/>
            </w:pPr>
            <w:r>
              <w:t>1</w:t>
            </w:r>
          </w:p>
        </w:tc>
        <w:tc>
          <w:tcPr>
            <w:tcW w:w="0" w:type="auto"/>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2A2BDAF4">
            <w:pPr>
              <w:jc w:val="center"/>
            </w:pPr>
            <w:r>
              <w:t>1.1</w:t>
            </w:r>
          </w:p>
        </w:tc>
      </w:tr>
    </w:tbl>
    <w:p w14:paraId="2E54122E">
      <w:pPr>
        <w:ind w:firstLine="480" w:firstLineChars="200"/>
        <w:jc w:val="left"/>
      </w:pPr>
      <w:r>
        <w:t>国际上重大事故发生原因和频率分析结果见表</w:t>
      </w:r>
      <w:r>
        <w:rPr>
          <w:rFonts w:hint="eastAsia"/>
        </w:rPr>
        <w:t>6.2-</w:t>
      </w:r>
      <w:r>
        <w:rPr>
          <w:rFonts w:hint="eastAsia"/>
          <w:lang w:val="en-US" w:eastAsia="zh-CN"/>
        </w:rPr>
        <w:t>2</w:t>
      </w:r>
      <w:r>
        <w:t>。阀门管线泄漏造成的事故频率最高，比例为35.1%，其次是设备故障，占18.2%。另外报警消防措施不力也是事态扩大的一个因素。</w:t>
      </w:r>
    </w:p>
    <w:p w14:paraId="0277251A">
      <w:pPr>
        <w:jc w:val="center"/>
        <w:rPr>
          <w:b/>
          <w:bCs/>
        </w:rPr>
      </w:pPr>
      <w:r>
        <w:rPr>
          <w:b/>
          <w:bCs/>
        </w:rPr>
        <w:t>表</w:t>
      </w:r>
      <w:r>
        <w:rPr>
          <w:rFonts w:hint="eastAsia"/>
          <w:b/>
          <w:bCs/>
        </w:rPr>
        <w:t>6.2-</w:t>
      </w:r>
      <w:r>
        <w:rPr>
          <w:rFonts w:hint="eastAsia"/>
          <w:b/>
          <w:bCs/>
          <w:lang w:val="en-US" w:eastAsia="zh-CN"/>
        </w:rPr>
        <w:t xml:space="preserve">2 </w:t>
      </w:r>
      <w:r>
        <w:rPr>
          <w:b/>
          <w:bCs/>
        </w:rPr>
        <w:t xml:space="preserve"> 国际重大事故频率分布表</w:t>
      </w:r>
    </w:p>
    <w:tbl>
      <w:tblPr>
        <w:tblStyle w:val="56"/>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2213"/>
        <w:gridCol w:w="2223"/>
        <w:gridCol w:w="2063"/>
        <w:gridCol w:w="2222"/>
      </w:tblGrid>
      <w:tr w14:paraId="7E5F2F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0" w:type="auto"/>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623BD89B">
            <w:pPr>
              <w:jc w:val="center"/>
              <w:rPr>
                <w:b/>
              </w:rPr>
            </w:pPr>
            <w:r>
              <w:rPr>
                <w:b/>
              </w:rPr>
              <w:t>事故原因</w:t>
            </w:r>
          </w:p>
        </w:tc>
        <w:tc>
          <w:tcPr>
            <w:tcW w:w="0" w:type="auto"/>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7F6AB375">
            <w:pPr>
              <w:jc w:val="center"/>
              <w:rPr>
                <w:b/>
              </w:rPr>
            </w:pPr>
            <w:r>
              <w:rPr>
                <w:b/>
              </w:rPr>
              <w:t>事故频率(件)</w:t>
            </w:r>
          </w:p>
        </w:tc>
        <w:tc>
          <w:tcPr>
            <w:tcW w:w="0" w:type="auto"/>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482C8200">
            <w:pPr>
              <w:jc w:val="center"/>
              <w:rPr>
                <w:b/>
              </w:rPr>
            </w:pPr>
            <w:r>
              <w:rPr>
                <w:b/>
              </w:rPr>
              <w:t>事故比例(%)</w:t>
            </w:r>
          </w:p>
        </w:tc>
        <w:tc>
          <w:tcPr>
            <w:tcW w:w="0" w:type="auto"/>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7BA4B365">
            <w:pPr>
              <w:jc w:val="center"/>
              <w:rPr>
                <w:b/>
              </w:rPr>
            </w:pPr>
            <w:r>
              <w:rPr>
                <w:b/>
              </w:rPr>
              <w:t>所占比例顺序</w:t>
            </w:r>
          </w:p>
        </w:tc>
      </w:tr>
      <w:tr w14:paraId="404434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0" w:type="auto"/>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4F634DA3">
            <w:pPr>
              <w:jc w:val="center"/>
            </w:pPr>
            <w:r>
              <w:t>操作失误</w:t>
            </w:r>
          </w:p>
        </w:tc>
        <w:tc>
          <w:tcPr>
            <w:tcW w:w="0" w:type="auto"/>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426610A4">
            <w:pPr>
              <w:jc w:val="center"/>
            </w:pPr>
            <w:r>
              <w:t>15</w:t>
            </w:r>
          </w:p>
        </w:tc>
        <w:tc>
          <w:tcPr>
            <w:tcW w:w="0" w:type="auto"/>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7EC49763">
            <w:pPr>
              <w:jc w:val="center"/>
            </w:pPr>
            <w:r>
              <w:t>15.6</w:t>
            </w:r>
          </w:p>
        </w:tc>
        <w:tc>
          <w:tcPr>
            <w:tcW w:w="0" w:type="auto"/>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39603B8E">
            <w:pPr>
              <w:jc w:val="center"/>
            </w:pPr>
            <w:r>
              <w:t>3</w:t>
            </w:r>
          </w:p>
        </w:tc>
      </w:tr>
      <w:tr w14:paraId="53741C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0" w:type="auto"/>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22D21515">
            <w:pPr>
              <w:jc w:val="center"/>
            </w:pPr>
            <w:r>
              <w:t>泵设备故障</w:t>
            </w:r>
          </w:p>
        </w:tc>
        <w:tc>
          <w:tcPr>
            <w:tcW w:w="0" w:type="auto"/>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4F6DE578">
            <w:pPr>
              <w:jc w:val="center"/>
            </w:pPr>
            <w:r>
              <w:t>18</w:t>
            </w:r>
          </w:p>
        </w:tc>
        <w:tc>
          <w:tcPr>
            <w:tcW w:w="0" w:type="auto"/>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38362A8A">
            <w:pPr>
              <w:jc w:val="center"/>
            </w:pPr>
            <w:r>
              <w:t>18.2</w:t>
            </w:r>
          </w:p>
        </w:tc>
        <w:tc>
          <w:tcPr>
            <w:tcW w:w="0" w:type="auto"/>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48D7EE56">
            <w:pPr>
              <w:jc w:val="center"/>
            </w:pPr>
            <w:r>
              <w:t>2</w:t>
            </w:r>
          </w:p>
        </w:tc>
      </w:tr>
      <w:tr w14:paraId="082528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0" w:type="auto"/>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325F3224">
            <w:pPr>
              <w:jc w:val="center"/>
            </w:pPr>
            <w:r>
              <w:t>阀门管线泄漏</w:t>
            </w:r>
          </w:p>
        </w:tc>
        <w:tc>
          <w:tcPr>
            <w:tcW w:w="0" w:type="auto"/>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6D65BC34">
            <w:pPr>
              <w:jc w:val="center"/>
            </w:pPr>
            <w:r>
              <w:t>34</w:t>
            </w:r>
          </w:p>
        </w:tc>
        <w:tc>
          <w:tcPr>
            <w:tcW w:w="0" w:type="auto"/>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5AD73E18">
            <w:pPr>
              <w:jc w:val="center"/>
            </w:pPr>
            <w:r>
              <w:t>35.1</w:t>
            </w:r>
          </w:p>
        </w:tc>
        <w:tc>
          <w:tcPr>
            <w:tcW w:w="0" w:type="auto"/>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070FE15E">
            <w:pPr>
              <w:jc w:val="center"/>
            </w:pPr>
            <w:r>
              <w:t>1</w:t>
            </w:r>
          </w:p>
        </w:tc>
      </w:tr>
      <w:tr w14:paraId="78F0AA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0" w:type="auto"/>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0D2828E9">
            <w:pPr>
              <w:jc w:val="center"/>
            </w:pPr>
            <w:r>
              <w:t>雷击自然灾害</w:t>
            </w:r>
          </w:p>
        </w:tc>
        <w:tc>
          <w:tcPr>
            <w:tcW w:w="0" w:type="auto"/>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6364AE52">
            <w:pPr>
              <w:jc w:val="center"/>
            </w:pPr>
            <w:r>
              <w:t>8</w:t>
            </w:r>
          </w:p>
        </w:tc>
        <w:tc>
          <w:tcPr>
            <w:tcW w:w="0" w:type="auto"/>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14B0C40C">
            <w:pPr>
              <w:jc w:val="center"/>
            </w:pPr>
            <w:r>
              <w:t>8.2</w:t>
            </w:r>
          </w:p>
        </w:tc>
        <w:tc>
          <w:tcPr>
            <w:tcW w:w="0" w:type="auto"/>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4213BA4E">
            <w:pPr>
              <w:jc w:val="center"/>
            </w:pPr>
            <w:r>
              <w:t>6</w:t>
            </w:r>
          </w:p>
        </w:tc>
      </w:tr>
      <w:tr w14:paraId="1FDBA5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0" w:type="auto"/>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1267A6D4">
            <w:pPr>
              <w:jc w:val="center"/>
            </w:pPr>
            <w:r>
              <w:t>仪表电气失灵</w:t>
            </w:r>
          </w:p>
        </w:tc>
        <w:tc>
          <w:tcPr>
            <w:tcW w:w="0" w:type="auto"/>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7B5979C2">
            <w:pPr>
              <w:jc w:val="center"/>
            </w:pPr>
            <w:r>
              <w:t>12</w:t>
            </w:r>
          </w:p>
        </w:tc>
        <w:tc>
          <w:tcPr>
            <w:tcW w:w="0" w:type="auto"/>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3C58DA8C">
            <w:pPr>
              <w:jc w:val="center"/>
            </w:pPr>
            <w:r>
              <w:t>12.4</w:t>
            </w:r>
          </w:p>
        </w:tc>
        <w:tc>
          <w:tcPr>
            <w:tcW w:w="0" w:type="auto"/>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50F4CDB7">
            <w:pPr>
              <w:jc w:val="center"/>
            </w:pPr>
            <w:r>
              <w:t>4</w:t>
            </w:r>
          </w:p>
        </w:tc>
      </w:tr>
      <w:tr w14:paraId="0B88CC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0" w:type="auto"/>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35D2E284">
            <w:pPr>
              <w:jc w:val="center"/>
            </w:pPr>
            <w:r>
              <w:t>突沸反应试控</w:t>
            </w:r>
          </w:p>
        </w:tc>
        <w:tc>
          <w:tcPr>
            <w:tcW w:w="0" w:type="auto"/>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10A8B851">
            <w:pPr>
              <w:jc w:val="center"/>
            </w:pPr>
            <w:r>
              <w:t>10</w:t>
            </w:r>
          </w:p>
        </w:tc>
        <w:tc>
          <w:tcPr>
            <w:tcW w:w="0" w:type="auto"/>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411312AE">
            <w:pPr>
              <w:jc w:val="center"/>
            </w:pPr>
            <w:r>
              <w:t>10.4</w:t>
            </w:r>
          </w:p>
        </w:tc>
        <w:tc>
          <w:tcPr>
            <w:tcW w:w="0" w:type="auto"/>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724A42A7">
            <w:pPr>
              <w:jc w:val="center"/>
            </w:pPr>
            <w:r>
              <w:t>5</w:t>
            </w:r>
          </w:p>
        </w:tc>
      </w:tr>
      <w:tr w14:paraId="2EBF52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0" w:type="auto"/>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245A65A1">
            <w:pPr>
              <w:jc w:val="center"/>
            </w:pPr>
            <w:r>
              <w:t>合计</w:t>
            </w:r>
          </w:p>
        </w:tc>
        <w:tc>
          <w:tcPr>
            <w:tcW w:w="0" w:type="auto"/>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0753B3BA">
            <w:pPr>
              <w:jc w:val="center"/>
            </w:pPr>
            <w:r>
              <w:t>97</w:t>
            </w:r>
          </w:p>
        </w:tc>
        <w:tc>
          <w:tcPr>
            <w:tcW w:w="0" w:type="auto"/>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2F8F5018">
            <w:pPr>
              <w:jc w:val="center"/>
            </w:pPr>
            <w:r>
              <w:t>100</w:t>
            </w:r>
          </w:p>
        </w:tc>
        <w:tc>
          <w:tcPr>
            <w:tcW w:w="0" w:type="auto"/>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6ED0B947">
            <w:pPr>
              <w:jc w:val="center"/>
            </w:pPr>
          </w:p>
        </w:tc>
      </w:tr>
    </w:tbl>
    <w:p w14:paraId="3DA5BEE4">
      <w:pPr>
        <w:ind w:firstLine="480" w:firstLineChars="200"/>
        <w:jc w:val="left"/>
      </w:pPr>
      <w:r>
        <w:t>比较各类事故对环境影响的可能性和严重性，5类污染事故的排列次数见表</w:t>
      </w:r>
      <w:r>
        <w:rPr>
          <w:rFonts w:hint="eastAsia"/>
        </w:rPr>
        <w:t>6.2-3</w:t>
      </w:r>
      <w:r>
        <w:t>。</w:t>
      </w:r>
    </w:p>
    <w:p w14:paraId="74AB3688">
      <w:pPr>
        <w:ind w:firstLine="480" w:firstLineChars="200"/>
        <w:jc w:val="left"/>
        <w:rPr>
          <w:rFonts w:ascii="宋体" w:hAnsi="宋体" w:eastAsia="宋体" w:cs="宋体"/>
        </w:rPr>
      </w:pPr>
      <w:r>
        <w:rPr>
          <w:rFonts w:hint="eastAsia" w:ascii="宋体" w:hAnsi="宋体" w:eastAsia="宋体" w:cs="宋体"/>
        </w:rPr>
        <w:t>火灾事故排出的烟雾和炭粒会直接影响周围居住区及植物，其可能性排列在第</w:t>
      </w:r>
      <w:r>
        <w:rPr>
          <w:rFonts w:hint="default" w:ascii="宋体" w:hAnsi="宋体" w:eastAsia="宋体" w:cs="宋体"/>
        </w:rPr>
        <w:t>1</w:t>
      </w:r>
      <w:r>
        <w:rPr>
          <w:rFonts w:hint="eastAsia" w:ascii="宋体" w:hAnsi="宋体" w:eastAsia="宋体" w:cs="宋体"/>
        </w:rPr>
        <w:t>位，但因属于暂时性危害，严重性被列于最后。有毒液体泄漏事故较为常见，水体和土壤的污染会引起许多环境问题，因此可能性和严重性均居第</w:t>
      </w:r>
      <w:r>
        <w:rPr>
          <w:rFonts w:hint="default" w:ascii="宋体" w:hAnsi="宋体" w:eastAsia="宋体" w:cs="宋体"/>
        </w:rPr>
        <w:t>2</w:t>
      </w:r>
      <w:r>
        <w:rPr>
          <w:rFonts w:hint="eastAsia" w:ascii="宋体" w:hAnsi="宋体" w:eastAsia="宋体" w:cs="宋体"/>
        </w:rPr>
        <w:t>位。爆炸震动波可能会使</w:t>
      </w:r>
      <w:r>
        <w:rPr>
          <w:rFonts w:hint="default" w:ascii="宋体" w:hAnsi="宋体" w:eastAsia="宋体" w:cs="宋体"/>
        </w:rPr>
        <w:t>10km</w:t>
      </w:r>
      <w:r>
        <w:rPr>
          <w:rFonts w:hint="eastAsia" w:ascii="宋体" w:hAnsi="宋体" w:eastAsia="宋体" w:cs="宋体"/>
        </w:rPr>
        <w:t>以内的建筑物受损，其严重性居第</w:t>
      </w:r>
      <w:r>
        <w:rPr>
          <w:rFonts w:hint="default" w:ascii="宋体" w:hAnsi="宋体" w:eastAsia="宋体" w:cs="宋体"/>
        </w:rPr>
        <w:t>1</w:t>
      </w:r>
      <w:r>
        <w:rPr>
          <w:rFonts w:hint="eastAsia" w:ascii="宋体" w:hAnsi="宋体" w:eastAsia="宋体" w:cs="宋体"/>
        </w:rPr>
        <w:t>位。据记载特大爆炸事故中</w:t>
      </w:r>
      <w:r>
        <w:rPr>
          <w:rFonts w:hint="default" w:ascii="宋体" w:hAnsi="宋体" w:eastAsia="宋体" w:cs="宋体"/>
        </w:rPr>
        <w:t>3t</w:t>
      </w:r>
      <w:r>
        <w:rPr>
          <w:rFonts w:hint="eastAsia" w:ascii="宋体" w:hAnsi="宋体" w:eastAsia="宋体" w:cs="宋体"/>
        </w:rPr>
        <w:t>重的设备碎片会飞出</w:t>
      </w:r>
      <w:r>
        <w:rPr>
          <w:rFonts w:hint="default" w:ascii="宋体" w:hAnsi="宋体" w:eastAsia="宋体" w:cs="宋体"/>
        </w:rPr>
        <w:t>1000m</w:t>
      </w:r>
      <w:r>
        <w:rPr>
          <w:rFonts w:hint="eastAsia" w:ascii="宋体" w:hAnsi="宋体" w:eastAsia="宋体" w:cs="宋体"/>
        </w:rPr>
        <w:t>以外，故爆炸飞出物对环境的威胁也是有的。据国内</w:t>
      </w:r>
      <w:r>
        <w:rPr>
          <w:rFonts w:hint="default" w:ascii="宋体" w:hAnsi="宋体" w:eastAsia="宋体" w:cs="宋体"/>
        </w:rPr>
        <w:t>35</w:t>
      </w:r>
      <w:r>
        <w:rPr>
          <w:rFonts w:hint="eastAsia" w:ascii="宋体" w:hAnsi="宋体" w:eastAsia="宋体" w:cs="宋体"/>
        </w:rPr>
        <w:t>年以来的统计，有毒气体外逸比较容易控制，故对环境产生影响的可能性最小，但如果泄漏量大，则造成严重性是比较大的。</w:t>
      </w:r>
    </w:p>
    <w:p w14:paraId="313A9D43">
      <w:pPr>
        <w:jc w:val="center"/>
      </w:pPr>
      <w:r>
        <w:t>表</w:t>
      </w:r>
      <w:r>
        <w:rPr>
          <w:rFonts w:hint="eastAsia" w:cs="宋体"/>
          <w:color w:val="000000"/>
          <w:spacing w:val="0"/>
          <w:kern w:val="0"/>
          <w:position w:val="0"/>
          <w:sz w:val="24"/>
          <w:szCs w:val="24"/>
          <w:lang w:val="en-US" w:eastAsia="zh-CN" w:bidi="ar-SA"/>
        </w:rPr>
        <w:t>6.2-3</w:t>
      </w:r>
      <w:r>
        <w:t xml:space="preserve"> 污染事故可能性、严重性排序表</w:t>
      </w:r>
    </w:p>
    <w:tbl>
      <w:tblPr>
        <w:tblStyle w:val="56"/>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711"/>
        <w:gridCol w:w="5113"/>
        <w:gridCol w:w="1448"/>
        <w:gridCol w:w="1449"/>
      </w:tblGrid>
      <w:tr w14:paraId="6AFA42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0" w:type="auto"/>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13887E2D">
            <w:pPr>
              <w:jc w:val="center"/>
              <w:rPr>
                <w:b/>
              </w:rPr>
            </w:pPr>
            <w:r>
              <w:rPr>
                <w:b/>
              </w:rPr>
              <w:t>序号</w:t>
            </w:r>
          </w:p>
        </w:tc>
        <w:tc>
          <w:tcPr>
            <w:tcW w:w="0" w:type="auto"/>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287C066A">
            <w:pPr>
              <w:jc w:val="center"/>
              <w:rPr>
                <w:b/>
              </w:rPr>
            </w:pPr>
            <w:r>
              <w:rPr>
                <w:b/>
              </w:rPr>
              <w:t>污染事故类型</w:t>
            </w:r>
          </w:p>
        </w:tc>
        <w:tc>
          <w:tcPr>
            <w:tcW w:w="0" w:type="auto"/>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54FAA495">
            <w:pPr>
              <w:jc w:val="center"/>
              <w:rPr>
                <w:b/>
              </w:rPr>
            </w:pPr>
            <w:r>
              <w:rPr>
                <w:b/>
              </w:rPr>
              <w:t>可能性排序</w:t>
            </w:r>
          </w:p>
        </w:tc>
        <w:tc>
          <w:tcPr>
            <w:tcW w:w="0" w:type="auto"/>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6EC19FA5">
            <w:pPr>
              <w:jc w:val="center"/>
              <w:rPr>
                <w:b/>
              </w:rPr>
            </w:pPr>
            <w:r>
              <w:rPr>
                <w:b/>
              </w:rPr>
              <w:t>严重性排序</w:t>
            </w:r>
          </w:p>
        </w:tc>
      </w:tr>
      <w:tr w14:paraId="561EA5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0" w:type="auto"/>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3BD026CE">
            <w:pPr>
              <w:jc w:val="center"/>
            </w:pPr>
            <w:r>
              <w:t>1</w:t>
            </w:r>
          </w:p>
        </w:tc>
        <w:tc>
          <w:tcPr>
            <w:tcW w:w="0" w:type="auto"/>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6DE8F86C">
            <w:pPr>
              <w:jc w:val="center"/>
            </w:pPr>
            <w:r>
              <w:t>着火燃烧后烟雾影响环境</w:t>
            </w:r>
          </w:p>
        </w:tc>
        <w:tc>
          <w:tcPr>
            <w:tcW w:w="0" w:type="auto"/>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5FA6D6BC">
            <w:pPr>
              <w:jc w:val="center"/>
            </w:pPr>
            <w:r>
              <w:t>1</w:t>
            </w:r>
          </w:p>
        </w:tc>
        <w:tc>
          <w:tcPr>
            <w:tcW w:w="0" w:type="auto"/>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0E089349">
            <w:pPr>
              <w:jc w:val="center"/>
            </w:pPr>
            <w:r>
              <w:t>5</w:t>
            </w:r>
          </w:p>
        </w:tc>
      </w:tr>
      <w:tr w14:paraId="69A7E9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0" w:type="auto"/>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60DD4387">
            <w:pPr>
              <w:jc w:val="center"/>
            </w:pPr>
            <w:r>
              <w:t>2</w:t>
            </w:r>
          </w:p>
        </w:tc>
        <w:tc>
          <w:tcPr>
            <w:tcW w:w="0" w:type="auto"/>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2674A645">
            <w:pPr>
              <w:jc w:val="center"/>
            </w:pPr>
            <w:r>
              <w:t>爆炸碎片飞出界外影响环境造成损失</w:t>
            </w:r>
          </w:p>
        </w:tc>
        <w:tc>
          <w:tcPr>
            <w:tcW w:w="0" w:type="auto"/>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05E5ACD2">
            <w:pPr>
              <w:jc w:val="center"/>
            </w:pPr>
            <w:r>
              <w:t>4</w:t>
            </w:r>
          </w:p>
        </w:tc>
        <w:tc>
          <w:tcPr>
            <w:tcW w:w="0" w:type="auto"/>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24A2F256">
            <w:pPr>
              <w:jc w:val="center"/>
            </w:pPr>
            <w:r>
              <w:t>4</w:t>
            </w:r>
          </w:p>
        </w:tc>
      </w:tr>
      <w:tr w14:paraId="2660D6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0" w:type="auto"/>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3B34E1E5">
            <w:pPr>
              <w:jc w:val="center"/>
            </w:pPr>
            <w:r>
              <w:t>3</w:t>
            </w:r>
          </w:p>
        </w:tc>
        <w:tc>
          <w:tcPr>
            <w:tcW w:w="0" w:type="auto"/>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234EC998">
            <w:pPr>
              <w:jc w:val="center"/>
            </w:pPr>
            <w:r>
              <w:t>有毒气体外逸污染环境</w:t>
            </w:r>
          </w:p>
        </w:tc>
        <w:tc>
          <w:tcPr>
            <w:tcW w:w="0" w:type="auto"/>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6988193C">
            <w:pPr>
              <w:jc w:val="center"/>
            </w:pPr>
            <w:r>
              <w:t>5</w:t>
            </w:r>
          </w:p>
        </w:tc>
        <w:tc>
          <w:tcPr>
            <w:tcW w:w="0" w:type="auto"/>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26B61FBD">
            <w:pPr>
              <w:jc w:val="center"/>
            </w:pPr>
            <w:r>
              <w:t>3</w:t>
            </w:r>
          </w:p>
        </w:tc>
      </w:tr>
      <w:tr w14:paraId="093779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0" w:type="auto"/>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2621FA91">
            <w:pPr>
              <w:jc w:val="center"/>
            </w:pPr>
            <w:r>
              <w:t>4</w:t>
            </w:r>
          </w:p>
        </w:tc>
        <w:tc>
          <w:tcPr>
            <w:tcW w:w="0" w:type="auto"/>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2C4308A9">
            <w:pPr>
              <w:jc w:val="center"/>
            </w:pPr>
            <w:r>
              <w:t>燃爆或泄漏后有毒液体流入周围环境造成污染</w:t>
            </w:r>
          </w:p>
        </w:tc>
        <w:tc>
          <w:tcPr>
            <w:tcW w:w="0" w:type="auto"/>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4323099E">
            <w:pPr>
              <w:jc w:val="center"/>
            </w:pPr>
            <w:r>
              <w:t>2</w:t>
            </w:r>
          </w:p>
        </w:tc>
        <w:tc>
          <w:tcPr>
            <w:tcW w:w="0" w:type="auto"/>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1B31A82E">
            <w:pPr>
              <w:jc w:val="center"/>
            </w:pPr>
            <w:r>
              <w:t>2</w:t>
            </w:r>
          </w:p>
        </w:tc>
      </w:tr>
      <w:tr w14:paraId="7ED674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0" w:type="auto"/>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1D8CEDC6">
            <w:pPr>
              <w:jc w:val="center"/>
            </w:pPr>
            <w:r>
              <w:t>5</w:t>
            </w:r>
          </w:p>
        </w:tc>
        <w:tc>
          <w:tcPr>
            <w:tcW w:w="0" w:type="auto"/>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78C40447">
            <w:pPr>
              <w:jc w:val="center"/>
            </w:pPr>
            <w:r>
              <w:t>爆炸震动波及界外环境造成损失</w:t>
            </w:r>
          </w:p>
        </w:tc>
        <w:tc>
          <w:tcPr>
            <w:tcW w:w="0" w:type="auto"/>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6C57D94B">
            <w:pPr>
              <w:jc w:val="center"/>
            </w:pPr>
            <w:r>
              <w:t>3</w:t>
            </w:r>
          </w:p>
        </w:tc>
        <w:tc>
          <w:tcPr>
            <w:tcW w:w="0" w:type="auto"/>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06C2D37F">
            <w:pPr>
              <w:jc w:val="center"/>
            </w:pPr>
            <w:r>
              <w:t>1</w:t>
            </w:r>
          </w:p>
        </w:tc>
      </w:tr>
    </w:tbl>
    <w:p w14:paraId="715C152F">
      <w:pPr>
        <w:pStyle w:val="52"/>
        <w:keepNext w:val="0"/>
        <w:keepLines w:val="0"/>
        <w:widowControl/>
        <w:suppressLineNumbers w:val="0"/>
        <w:spacing w:line="240" w:lineRule="auto"/>
        <w:ind w:left="0" w:firstLine="0"/>
        <w:jc w:val="left"/>
        <w:textAlignment w:val="center"/>
      </w:pPr>
      <w:r>
        <w:rPr>
          <w:rFonts w:hint="default" w:ascii="Times New Roman" w:hAnsi="Times New Roman" w:cs="Times New Roman"/>
          <w:b/>
          <w:bCs/>
          <w:color w:val="000000"/>
          <w:spacing w:val="0"/>
          <w:position w:val="0"/>
          <w:sz w:val="24"/>
          <w:szCs w:val="24"/>
        </w:rPr>
        <w:t>2</w:t>
      </w:r>
      <w:r>
        <w:rPr>
          <w:rFonts w:hint="eastAsia" w:ascii="宋体" w:hAnsi="宋体" w:eastAsia="宋体" w:cs="宋体"/>
          <w:b/>
          <w:bCs/>
          <w:color w:val="000000"/>
          <w:spacing w:val="0"/>
          <w:position w:val="0"/>
          <w:sz w:val="24"/>
          <w:szCs w:val="24"/>
        </w:rPr>
        <w:t>）风险事故情形设定</w:t>
      </w:r>
    </w:p>
    <w:p w14:paraId="35DB868E">
      <w:pPr>
        <w:ind w:firstLine="480" w:firstLineChars="200"/>
        <w:jc w:val="left"/>
        <w:rPr>
          <w:rFonts w:hint="eastAsia" w:ascii="宋体" w:hAnsi="宋体" w:eastAsia="宋体" w:cs="宋体"/>
        </w:rPr>
      </w:pPr>
      <w:r>
        <w:rPr>
          <w:rFonts w:hint="eastAsia" w:ascii="宋体" w:hAnsi="宋体" w:eastAsia="宋体" w:cs="宋体"/>
        </w:rPr>
        <w:t>风险事故的特征及其对环境的影响包括泄漏、火灾、爆炸引发的次伴生类型以及废水处理设施发生故障、废气处理设施发生故障等。根据对同类行业的调研、生产过程中各个工序的分析，针对已识别的危险因素和风险类型，确定最大可信事故及其概率。泄漏事故类型如容器、管道、泵体、压缩机、装卸臂和装卸软管的泄漏和破裂等泄漏频率参照《建设项目环境风险评价技术导则》（</w:t>
      </w:r>
      <w:r>
        <w:rPr>
          <w:rFonts w:hint="default" w:ascii="宋体" w:hAnsi="宋体" w:eastAsia="宋体" w:cs="宋体"/>
        </w:rPr>
        <w:t>HJ169-2018</w:t>
      </w:r>
      <w:r>
        <w:rPr>
          <w:rFonts w:hint="eastAsia" w:ascii="宋体" w:hAnsi="宋体" w:eastAsia="宋体" w:cs="宋体"/>
        </w:rPr>
        <w:t>）附录</w:t>
      </w:r>
      <w:r>
        <w:rPr>
          <w:rFonts w:hint="default" w:ascii="宋体" w:hAnsi="宋体" w:eastAsia="宋体" w:cs="宋体"/>
        </w:rPr>
        <w:t>E.1</w:t>
      </w:r>
      <w:r>
        <w:rPr>
          <w:rFonts w:hint="eastAsia" w:ascii="宋体" w:hAnsi="宋体" w:eastAsia="宋体" w:cs="宋体"/>
        </w:rPr>
        <w:t>，详见下表。</w:t>
      </w:r>
    </w:p>
    <w:p w14:paraId="31C0FCF9">
      <w:pPr>
        <w:jc w:val="center"/>
        <w:rPr>
          <w:b/>
          <w:bCs/>
        </w:rPr>
      </w:pPr>
      <w:r>
        <w:rPr>
          <w:rFonts w:hint="eastAsia"/>
          <w:b/>
          <w:bCs/>
        </w:rPr>
        <w:t>表</w:t>
      </w:r>
      <w:r>
        <w:rPr>
          <w:rFonts w:hint="default"/>
          <w:b/>
          <w:bCs/>
        </w:rPr>
        <w:t>6.2-</w:t>
      </w:r>
      <w:r>
        <w:rPr>
          <w:rFonts w:hint="eastAsia"/>
          <w:b/>
          <w:bCs/>
          <w:lang w:val="en-US" w:eastAsia="zh-CN"/>
        </w:rPr>
        <w:t>4</w:t>
      </w:r>
      <w:r>
        <w:rPr>
          <w:rFonts w:hint="default"/>
          <w:b/>
          <w:bCs/>
        </w:rPr>
        <w:t xml:space="preserve"> </w:t>
      </w:r>
      <w:r>
        <w:rPr>
          <w:rFonts w:hint="eastAsia"/>
          <w:b/>
          <w:bCs/>
        </w:rPr>
        <w:t>泄漏频率表</w:t>
      </w:r>
    </w:p>
    <w:tbl>
      <w:tblPr>
        <w:tblStyle w:val="56"/>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2330"/>
        <w:gridCol w:w="4019"/>
        <w:gridCol w:w="2372"/>
      </w:tblGrid>
      <w:tr w14:paraId="301F60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2337"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48C2BFCF">
            <w:pPr>
              <w:jc w:val="center"/>
              <w:rPr>
                <w:b/>
              </w:rPr>
            </w:pPr>
            <w:r>
              <w:rPr>
                <w:b/>
              </w:rPr>
              <w:t>部件类型</w:t>
            </w:r>
          </w:p>
        </w:tc>
        <w:tc>
          <w:tcPr>
            <w:tcW w:w="4035"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6BB40CAD">
            <w:pPr>
              <w:jc w:val="center"/>
              <w:rPr>
                <w:b/>
              </w:rPr>
            </w:pPr>
            <w:r>
              <w:rPr>
                <w:b/>
              </w:rPr>
              <w:t>泄漏模式</w:t>
            </w:r>
          </w:p>
        </w:tc>
        <w:tc>
          <w:tcPr>
            <w:tcW w:w="0" w:type="auto"/>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1584519A">
            <w:pPr>
              <w:jc w:val="center"/>
              <w:rPr>
                <w:b/>
              </w:rPr>
            </w:pPr>
            <w:r>
              <w:rPr>
                <w:b/>
              </w:rPr>
              <w:t>泄漏频率</w:t>
            </w:r>
          </w:p>
        </w:tc>
      </w:tr>
      <w:tr w14:paraId="6D3477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2337" w:type="dxa"/>
            <w:vMerge w:val="restart"/>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04972635">
            <w:r>
              <w:t>反应器/工艺储罐/气体储罐/塔器</w:t>
            </w:r>
          </w:p>
        </w:tc>
        <w:tc>
          <w:tcPr>
            <w:tcW w:w="4035"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437BE220">
            <w:r>
              <w:t>泄漏孔径为10mm孔径</w:t>
            </w:r>
          </w:p>
        </w:tc>
        <w:tc>
          <w:tcPr>
            <w:tcW w:w="0" w:type="auto"/>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2A5C394C">
            <w:r>
              <w:t>1.00×10</w:t>
            </w:r>
            <w:r>
              <w:rPr>
                <w:vertAlign w:val="superscript"/>
              </w:rPr>
              <w:t>-4</w:t>
            </w:r>
            <w:r>
              <w:t>/a</w:t>
            </w:r>
          </w:p>
        </w:tc>
      </w:tr>
      <w:tr w14:paraId="2CA7F2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2337" w:type="dxa"/>
            <w:vMerge w:val="continue"/>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099E8FFF"/>
        </w:tc>
        <w:tc>
          <w:tcPr>
            <w:tcW w:w="4035"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2D104E28">
            <w:r>
              <w:t>10min内储罐泄漏完</w:t>
            </w:r>
          </w:p>
        </w:tc>
        <w:tc>
          <w:tcPr>
            <w:tcW w:w="0" w:type="auto"/>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69EC127F">
            <w:r>
              <w:t>5.00×10</w:t>
            </w:r>
            <w:r>
              <w:rPr>
                <w:vertAlign w:val="superscript"/>
              </w:rPr>
              <w:t>-6</w:t>
            </w:r>
            <w:r>
              <w:t>/a</w:t>
            </w:r>
          </w:p>
        </w:tc>
      </w:tr>
      <w:tr w14:paraId="5644E2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2337" w:type="dxa"/>
            <w:vMerge w:val="continue"/>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01D28586"/>
        </w:tc>
        <w:tc>
          <w:tcPr>
            <w:tcW w:w="4035"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1C0BDAB7">
            <w:r>
              <w:t>储罐全破裂</w:t>
            </w:r>
          </w:p>
        </w:tc>
        <w:tc>
          <w:tcPr>
            <w:tcW w:w="0" w:type="auto"/>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5B95CFED">
            <w:r>
              <w:t>5.00×10</w:t>
            </w:r>
            <w:r>
              <w:rPr>
                <w:vertAlign w:val="superscript"/>
              </w:rPr>
              <w:t>-6</w:t>
            </w:r>
            <w:r>
              <w:t>/a</w:t>
            </w:r>
          </w:p>
        </w:tc>
      </w:tr>
      <w:tr w14:paraId="2A30FF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2337" w:type="dxa"/>
            <w:vMerge w:val="restart"/>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73C169A5">
            <w:r>
              <w:t>常压单包容储罐</w:t>
            </w:r>
          </w:p>
        </w:tc>
        <w:tc>
          <w:tcPr>
            <w:tcW w:w="4035"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5436CAF9">
            <w:r>
              <w:t>泄漏孔径为10mm孔径</w:t>
            </w:r>
          </w:p>
        </w:tc>
        <w:tc>
          <w:tcPr>
            <w:tcW w:w="0" w:type="auto"/>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796813FF">
            <w:r>
              <w:t>1.00×10</w:t>
            </w:r>
            <w:r>
              <w:rPr>
                <w:vertAlign w:val="superscript"/>
              </w:rPr>
              <w:t>-4</w:t>
            </w:r>
            <w:r>
              <w:t>/a</w:t>
            </w:r>
          </w:p>
        </w:tc>
      </w:tr>
      <w:tr w14:paraId="72B036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2337" w:type="dxa"/>
            <w:vMerge w:val="continue"/>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2288CEE4"/>
        </w:tc>
        <w:tc>
          <w:tcPr>
            <w:tcW w:w="4035"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24772FF6">
            <w:r>
              <w:t>10min内储罐泄漏完</w:t>
            </w:r>
          </w:p>
        </w:tc>
        <w:tc>
          <w:tcPr>
            <w:tcW w:w="0" w:type="auto"/>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63510D9F">
            <w:r>
              <w:t>5.00×10</w:t>
            </w:r>
            <w:r>
              <w:rPr>
                <w:vertAlign w:val="superscript"/>
              </w:rPr>
              <w:t>-6</w:t>
            </w:r>
            <w:r>
              <w:t>/a</w:t>
            </w:r>
          </w:p>
        </w:tc>
      </w:tr>
      <w:tr w14:paraId="20E754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2337" w:type="dxa"/>
            <w:vMerge w:val="continue"/>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10180DC9"/>
        </w:tc>
        <w:tc>
          <w:tcPr>
            <w:tcW w:w="4035"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218A8698">
            <w:r>
              <w:t>储罐全破裂</w:t>
            </w:r>
          </w:p>
        </w:tc>
        <w:tc>
          <w:tcPr>
            <w:tcW w:w="0" w:type="auto"/>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56673183">
            <w:r>
              <w:t>5.00×10</w:t>
            </w:r>
            <w:r>
              <w:rPr>
                <w:vertAlign w:val="superscript"/>
              </w:rPr>
              <w:t>-6</w:t>
            </w:r>
            <w:r>
              <w:t>/a</w:t>
            </w:r>
          </w:p>
        </w:tc>
      </w:tr>
      <w:tr w14:paraId="770BFC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2337" w:type="dxa"/>
            <w:vMerge w:val="restart"/>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2636FDED">
            <w:r>
              <w:t>常压双包容储罐</w:t>
            </w:r>
          </w:p>
        </w:tc>
        <w:tc>
          <w:tcPr>
            <w:tcW w:w="4035"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6549D0C6">
            <w:r>
              <w:t>泄漏孔径为10mm孔径</w:t>
            </w:r>
          </w:p>
        </w:tc>
        <w:tc>
          <w:tcPr>
            <w:tcW w:w="0" w:type="auto"/>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63F34799">
            <w:r>
              <w:t>1.00×10</w:t>
            </w:r>
            <w:r>
              <w:rPr>
                <w:vertAlign w:val="superscript"/>
              </w:rPr>
              <w:t>-4</w:t>
            </w:r>
            <w:r>
              <w:t>/a</w:t>
            </w:r>
          </w:p>
        </w:tc>
      </w:tr>
      <w:tr w14:paraId="3F3D69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2337" w:type="dxa"/>
            <w:vMerge w:val="continue"/>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7D0B5B33"/>
        </w:tc>
        <w:tc>
          <w:tcPr>
            <w:tcW w:w="4035"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106B3719">
            <w:r>
              <w:t>10min内储罐泄漏完</w:t>
            </w:r>
          </w:p>
        </w:tc>
        <w:tc>
          <w:tcPr>
            <w:tcW w:w="0" w:type="auto"/>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32AAA449">
            <w:r>
              <w:t>1.25×10</w:t>
            </w:r>
            <w:r>
              <w:rPr>
                <w:vertAlign w:val="superscript"/>
              </w:rPr>
              <w:t>-8</w:t>
            </w:r>
            <w:r>
              <w:t>/a</w:t>
            </w:r>
          </w:p>
        </w:tc>
      </w:tr>
      <w:tr w14:paraId="6B79B4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2337" w:type="dxa"/>
            <w:vMerge w:val="continue"/>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554FA0A4"/>
        </w:tc>
        <w:tc>
          <w:tcPr>
            <w:tcW w:w="4035"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1B0C3A76">
            <w:r>
              <w:t>储罐全破裂</w:t>
            </w:r>
          </w:p>
        </w:tc>
        <w:tc>
          <w:tcPr>
            <w:tcW w:w="0" w:type="auto"/>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14354878">
            <w:r>
              <w:t>1.25×10</w:t>
            </w:r>
            <w:r>
              <w:rPr>
                <w:vertAlign w:val="superscript"/>
              </w:rPr>
              <w:t>-8</w:t>
            </w:r>
            <w:r>
              <w:t>/a</w:t>
            </w:r>
          </w:p>
        </w:tc>
      </w:tr>
      <w:tr w14:paraId="3AB047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2337"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48285E82">
            <w:r>
              <w:t>常压全包容储罐</w:t>
            </w:r>
          </w:p>
        </w:tc>
        <w:tc>
          <w:tcPr>
            <w:tcW w:w="4035"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372FEFD1">
            <w:r>
              <w:t>储罐全破裂</w:t>
            </w:r>
          </w:p>
        </w:tc>
        <w:tc>
          <w:tcPr>
            <w:tcW w:w="0" w:type="auto"/>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7C818643">
            <w:r>
              <w:t>1.00×10</w:t>
            </w:r>
            <w:r>
              <w:rPr>
                <w:vertAlign w:val="superscript"/>
              </w:rPr>
              <w:t>-8</w:t>
            </w:r>
            <w:r>
              <w:t>/a</w:t>
            </w:r>
          </w:p>
        </w:tc>
      </w:tr>
      <w:tr w14:paraId="184411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2337" w:type="dxa"/>
            <w:vMerge w:val="restart"/>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69B525EA">
            <w:r>
              <w:t>内径≤75mm的管道</w:t>
            </w:r>
          </w:p>
        </w:tc>
        <w:tc>
          <w:tcPr>
            <w:tcW w:w="4035"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7BC3AE62">
            <w:r>
              <w:t>泄漏孔径为10%孔径</w:t>
            </w:r>
          </w:p>
        </w:tc>
        <w:tc>
          <w:tcPr>
            <w:tcW w:w="0" w:type="auto"/>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25C38B35">
            <w:r>
              <w:t>5.00×10</w:t>
            </w:r>
            <w:r>
              <w:rPr>
                <w:vertAlign w:val="superscript"/>
              </w:rPr>
              <w:t>-6</w:t>
            </w:r>
            <w:r>
              <w:t>/（m·a）</w:t>
            </w:r>
          </w:p>
        </w:tc>
      </w:tr>
      <w:tr w14:paraId="6E134F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2337" w:type="dxa"/>
            <w:vMerge w:val="continue"/>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1A571282"/>
        </w:tc>
        <w:tc>
          <w:tcPr>
            <w:tcW w:w="4035"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60AACBDB">
            <w:r>
              <w:t>全管径泄漏</w:t>
            </w:r>
          </w:p>
        </w:tc>
        <w:tc>
          <w:tcPr>
            <w:tcW w:w="0" w:type="auto"/>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3AB18F0F">
            <w:r>
              <w:t>1.00×10</w:t>
            </w:r>
            <w:r>
              <w:rPr>
                <w:vertAlign w:val="superscript"/>
              </w:rPr>
              <w:t>-6</w:t>
            </w:r>
            <w:r>
              <w:t>/（m·a）</w:t>
            </w:r>
          </w:p>
        </w:tc>
      </w:tr>
      <w:tr w14:paraId="44DF86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2337" w:type="dxa"/>
            <w:vMerge w:val="restart"/>
            <w:tcBorders>
              <w:top w:val="single" w:color="000000" w:sz="4" w:space="0"/>
              <w:left w:val="single" w:color="000000" w:sz="4" w:space="0"/>
              <w:right w:val="single" w:color="000000" w:sz="4" w:space="0"/>
            </w:tcBorders>
            <w:noWrap w:val="0"/>
            <w:tcMar>
              <w:left w:w="108" w:type="dxa"/>
              <w:right w:w="108" w:type="dxa"/>
            </w:tcMar>
            <w:vAlign w:val="center"/>
          </w:tcPr>
          <w:p w14:paraId="4BA1E1F0">
            <w:r>
              <w:t>75mm&lt;内径≤150mm的管道</w:t>
            </w:r>
          </w:p>
        </w:tc>
        <w:tc>
          <w:tcPr>
            <w:tcW w:w="4035"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45BF8128">
            <w:r>
              <w:t>泄漏孔径为10%孔径</w:t>
            </w:r>
          </w:p>
        </w:tc>
        <w:tc>
          <w:tcPr>
            <w:tcW w:w="0" w:type="auto"/>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2EF4B7B4">
            <w:r>
              <w:t>2.00×10</w:t>
            </w:r>
            <w:r>
              <w:rPr>
                <w:vertAlign w:val="superscript"/>
              </w:rPr>
              <w:t>-6</w:t>
            </w:r>
            <w:r>
              <w:t>/（m·a）</w:t>
            </w:r>
          </w:p>
        </w:tc>
      </w:tr>
      <w:tr w14:paraId="0D1AA3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2337" w:type="dxa"/>
            <w:vMerge w:val="continue"/>
            <w:tcBorders>
              <w:left w:val="single" w:color="000000" w:sz="4" w:space="0"/>
              <w:bottom w:val="single" w:color="000000" w:sz="4" w:space="0"/>
              <w:right w:val="single" w:color="000000" w:sz="4" w:space="0"/>
            </w:tcBorders>
            <w:noWrap w:val="0"/>
            <w:tcMar>
              <w:left w:w="108" w:type="dxa"/>
              <w:right w:w="108" w:type="dxa"/>
            </w:tcMar>
            <w:vAlign w:val="center"/>
          </w:tcPr>
          <w:p w14:paraId="57A12661"/>
        </w:tc>
        <w:tc>
          <w:tcPr>
            <w:tcW w:w="4035"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51671C5D">
            <w:pPr>
              <w:jc w:val="both"/>
            </w:pPr>
            <w:r>
              <w:rPr>
                <w:b/>
              </w:rPr>
              <w:t>全管径泄漏</w:t>
            </w:r>
          </w:p>
        </w:tc>
        <w:tc>
          <w:tcPr>
            <w:tcW w:w="2349"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1E4B5359">
            <w:pPr>
              <w:jc w:val="center"/>
            </w:pPr>
            <w:r>
              <w:rPr>
                <w:b/>
              </w:rPr>
              <w:t>3.00×10</w:t>
            </w:r>
            <w:r>
              <w:rPr>
                <w:b/>
                <w:vertAlign w:val="superscript"/>
              </w:rPr>
              <w:t>-7</w:t>
            </w:r>
            <w:r>
              <w:rPr>
                <w:b/>
              </w:rPr>
              <w:t>/（m·a）</w:t>
            </w:r>
          </w:p>
        </w:tc>
      </w:tr>
      <w:tr w14:paraId="11C453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2337" w:type="dxa"/>
            <w:vMerge w:val="restart"/>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2E37C520">
            <w:r>
              <w:t>内径&gt;150mm的管道</w:t>
            </w:r>
          </w:p>
        </w:tc>
        <w:tc>
          <w:tcPr>
            <w:tcW w:w="4035"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4BEBB275">
            <w:r>
              <w:t>泄漏孔径为10%孔径（最大50mm）</w:t>
            </w:r>
          </w:p>
        </w:tc>
        <w:tc>
          <w:tcPr>
            <w:tcW w:w="0" w:type="auto"/>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51D97E0D">
            <w:r>
              <w:t>2.40×10</w:t>
            </w:r>
            <w:r>
              <w:rPr>
                <w:vertAlign w:val="superscript"/>
              </w:rPr>
              <w:t>-6</w:t>
            </w:r>
            <w:r>
              <w:t>/（m·a）</w:t>
            </w:r>
          </w:p>
        </w:tc>
      </w:tr>
      <w:tr w14:paraId="71906D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2337" w:type="dxa"/>
            <w:vMerge w:val="continue"/>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063D54DF"/>
        </w:tc>
        <w:tc>
          <w:tcPr>
            <w:tcW w:w="4035"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6B7CC821">
            <w:r>
              <w:t>全管径泄漏</w:t>
            </w:r>
          </w:p>
        </w:tc>
        <w:tc>
          <w:tcPr>
            <w:tcW w:w="0" w:type="auto"/>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4460743F">
            <w:r>
              <w:t>1.00×10</w:t>
            </w:r>
            <w:r>
              <w:rPr>
                <w:vertAlign w:val="superscript"/>
              </w:rPr>
              <w:t>-7</w:t>
            </w:r>
            <w:r>
              <w:t>/（m·a）</w:t>
            </w:r>
          </w:p>
        </w:tc>
      </w:tr>
      <w:tr w14:paraId="22C74C5F">
        <w:tblPrEx>
          <w:tblCellMar>
            <w:top w:w="0" w:type="dxa"/>
            <w:left w:w="0" w:type="dxa"/>
            <w:bottom w:w="0" w:type="dxa"/>
            <w:right w:w="0" w:type="dxa"/>
          </w:tblCellMar>
        </w:tblPrEx>
        <w:tc>
          <w:tcPr>
            <w:tcW w:w="2337" w:type="dxa"/>
            <w:vMerge w:val="restart"/>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26DA6B02">
            <w:r>
              <w:t>泵体和压缩机</w:t>
            </w:r>
          </w:p>
        </w:tc>
        <w:tc>
          <w:tcPr>
            <w:tcW w:w="4035"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4AE3331D">
            <w:r>
              <w:t>泵体和压缩机最大连接管泄漏孔径为10%孔径（最大50mm）</w:t>
            </w:r>
          </w:p>
        </w:tc>
        <w:tc>
          <w:tcPr>
            <w:tcW w:w="0" w:type="auto"/>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2DB48E00">
            <w:r>
              <w:t>5.00×10</w:t>
            </w:r>
            <w:r>
              <w:rPr>
                <w:vertAlign w:val="superscript"/>
              </w:rPr>
              <w:t>-4</w:t>
            </w:r>
            <w:r>
              <w:t>/a</w:t>
            </w:r>
          </w:p>
        </w:tc>
      </w:tr>
      <w:tr w14:paraId="68752A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2337" w:type="dxa"/>
            <w:vMerge w:val="continue"/>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4C60717D"/>
        </w:tc>
        <w:tc>
          <w:tcPr>
            <w:tcW w:w="4035"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5AC2C68B">
            <w:r>
              <w:t>泵体和压缩机最大连接管全管径泄漏</w:t>
            </w:r>
          </w:p>
        </w:tc>
        <w:tc>
          <w:tcPr>
            <w:tcW w:w="0" w:type="auto"/>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0DCD1184">
            <w:r>
              <w:t>1.00×10</w:t>
            </w:r>
            <w:r>
              <w:rPr>
                <w:vertAlign w:val="superscript"/>
              </w:rPr>
              <w:t>-4</w:t>
            </w:r>
            <w:r>
              <w:t>/a</w:t>
            </w:r>
          </w:p>
        </w:tc>
      </w:tr>
      <w:tr w14:paraId="326EE1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2337" w:type="dxa"/>
            <w:vMerge w:val="restart"/>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0D6882E4">
            <w:r>
              <w:t>装卸臂</w:t>
            </w:r>
          </w:p>
        </w:tc>
        <w:tc>
          <w:tcPr>
            <w:tcW w:w="4035"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3C7ABB2F">
            <w:r>
              <w:t>装卸臂连接管泄漏孔径为10%孔径（最大50mm）</w:t>
            </w:r>
          </w:p>
        </w:tc>
        <w:tc>
          <w:tcPr>
            <w:tcW w:w="0" w:type="auto"/>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2967F0DB">
            <w:r>
              <w:t>3.00×10</w:t>
            </w:r>
            <w:r>
              <w:rPr>
                <w:vertAlign w:val="superscript"/>
              </w:rPr>
              <w:t>-7</w:t>
            </w:r>
            <w:r>
              <w:t>/h</w:t>
            </w:r>
          </w:p>
        </w:tc>
      </w:tr>
      <w:tr w14:paraId="27FFCD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2337" w:type="dxa"/>
            <w:vMerge w:val="continue"/>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19BE7F3B"/>
        </w:tc>
        <w:tc>
          <w:tcPr>
            <w:tcW w:w="4035"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01D04E22">
            <w:r>
              <w:t>装卸臂全管径泄漏</w:t>
            </w:r>
          </w:p>
        </w:tc>
        <w:tc>
          <w:tcPr>
            <w:tcW w:w="0" w:type="auto"/>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37C5CD90">
            <w:r>
              <w:t>3.00×10</w:t>
            </w:r>
            <w:r>
              <w:rPr>
                <w:vertAlign w:val="superscript"/>
              </w:rPr>
              <w:t>-8</w:t>
            </w:r>
            <w:r>
              <w:t>/h</w:t>
            </w:r>
          </w:p>
        </w:tc>
      </w:tr>
      <w:tr w14:paraId="37DDD6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2337" w:type="dxa"/>
            <w:vMerge w:val="restart"/>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29D418B4">
            <w:r>
              <w:t>装卸软管</w:t>
            </w:r>
          </w:p>
        </w:tc>
        <w:tc>
          <w:tcPr>
            <w:tcW w:w="4035"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750241D7">
            <w:r>
              <w:t>装卸软管连接管泄漏孔径为10%孔径（最大50mm）</w:t>
            </w:r>
          </w:p>
        </w:tc>
        <w:tc>
          <w:tcPr>
            <w:tcW w:w="0" w:type="auto"/>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07F5DB15">
            <w:r>
              <w:t>4.00×10</w:t>
            </w:r>
            <w:r>
              <w:rPr>
                <w:vertAlign w:val="superscript"/>
              </w:rPr>
              <w:t>-5</w:t>
            </w:r>
            <w:r>
              <w:t>/h</w:t>
            </w:r>
          </w:p>
        </w:tc>
      </w:tr>
      <w:tr w14:paraId="3F9DD3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2337" w:type="dxa"/>
            <w:vMerge w:val="continue"/>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4A6F7971"/>
        </w:tc>
        <w:tc>
          <w:tcPr>
            <w:tcW w:w="4035"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432B4568">
            <w:r>
              <w:t>装卸软管全管径泄漏</w:t>
            </w:r>
          </w:p>
        </w:tc>
        <w:tc>
          <w:tcPr>
            <w:tcW w:w="0" w:type="auto"/>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20559557">
            <w:r>
              <w:t>4.00×10</w:t>
            </w:r>
            <w:r>
              <w:rPr>
                <w:vertAlign w:val="superscript"/>
              </w:rPr>
              <w:t>-6</w:t>
            </w:r>
            <w:r>
              <w:t>/h</w:t>
            </w:r>
          </w:p>
        </w:tc>
      </w:tr>
    </w:tbl>
    <w:p w14:paraId="73ADA4CD">
      <w:pPr>
        <w:ind w:firstLine="480" w:firstLineChars="200"/>
        <w:jc w:val="left"/>
        <w:rPr>
          <w:rFonts w:hint="eastAsia" w:ascii="宋体" w:hAnsi="宋体" w:eastAsia="宋体" w:cs="宋体"/>
        </w:rPr>
      </w:pPr>
      <w:r>
        <w:rPr>
          <w:rFonts w:hint="eastAsia" w:ascii="宋体" w:hAnsi="宋体" w:eastAsia="宋体" w:cs="宋体"/>
        </w:rPr>
        <w:t>根据导则</w:t>
      </w:r>
      <w:r>
        <w:rPr>
          <w:rFonts w:hint="default" w:ascii="宋体" w:hAnsi="宋体" w:eastAsia="宋体" w:cs="宋体"/>
        </w:rPr>
        <w:t xml:space="preserve">8.1.2.3 </w:t>
      </w:r>
      <w:r>
        <w:rPr>
          <w:rFonts w:hint="eastAsia" w:ascii="宋体" w:hAnsi="宋体" w:eastAsia="宋体" w:cs="宋体"/>
        </w:rPr>
        <w:t>条，</w:t>
      </w:r>
      <w:r>
        <w:rPr>
          <w:rFonts w:hint="default" w:ascii="宋体" w:hAnsi="宋体" w:eastAsia="宋体" w:cs="宋体"/>
        </w:rPr>
        <w:t>“</w:t>
      </w:r>
      <w:r>
        <w:rPr>
          <w:rFonts w:hint="eastAsia" w:ascii="宋体" w:hAnsi="宋体" w:eastAsia="宋体" w:cs="宋体"/>
        </w:rPr>
        <w:t>设定的风险事故情形发生可能性应处于合理的区间，并与经济技术发展水平相适应。一般而言，发生频率小于</w:t>
      </w:r>
      <w:r>
        <w:rPr>
          <w:rFonts w:hint="default" w:ascii="宋体" w:hAnsi="宋体" w:eastAsia="宋体" w:cs="宋体"/>
        </w:rPr>
        <w:t>10</w:t>
      </w:r>
      <w:r>
        <w:rPr>
          <w:rFonts w:hint="default" w:ascii="宋体" w:hAnsi="宋体" w:eastAsia="宋体" w:cs="宋体"/>
          <w:vertAlign w:val="superscript"/>
        </w:rPr>
        <w:t>-6</w:t>
      </w:r>
      <w:r>
        <w:rPr>
          <w:rFonts w:hint="default" w:ascii="宋体" w:hAnsi="宋体" w:eastAsia="宋体" w:cs="宋体"/>
        </w:rPr>
        <w:t>/</w:t>
      </w:r>
      <w:r>
        <w:rPr>
          <w:rFonts w:hint="eastAsia" w:ascii="宋体" w:hAnsi="宋体" w:eastAsia="宋体" w:cs="宋体"/>
        </w:rPr>
        <w:t>年的事件是极小概率事件，可作为代表性事故情形中最大可信事故设定的参考</w:t>
      </w:r>
      <w:r>
        <w:rPr>
          <w:rFonts w:hint="default" w:ascii="宋体" w:hAnsi="宋体" w:eastAsia="宋体" w:cs="宋体"/>
        </w:rPr>
        <w:t>”</w:t>
      </w:r>
      <w:r>
        <w:rPr>
          <w:rFonts w:hint="eastAsia" w:ascii="宋体" w:hAnsi="宋体" w:eastAsia="宋体" w:cs="宋体"/>
        </w:rPr>
        <w:t>。环境风险事故情形应包括危险物质泄漏，以及火灾、爆炸等引发的伴生</w:t>
      </w:r>
      <w:r>
        <w:rPr>
          <w:rFonts w:hint="default" w:ascii="宋体" w:hAnsi="宋体" w:eastAsia="宋体" w:cs="宋体"/>
        </w:rPr>
        <w:t>/</w:t>
      </w:r>
      <w:r>
        <w:rPr>
          <w:rFonts w:hint="eastAsia" w:ascii="宋体" w:hAnsi="宋体" w:eastAsia="宋体" w:cs="宋体"/>
        </w:rPr>
        <w:t>次生污染物排放情形。对不同环境要素产生影响的风险事故情形分别进行设定由于环境风险事故触发因素具有不确定性，因此事故情形设定并不能包含全部可能的环境风险，风险事故情形设定具有不确定性与筛选性，但本项目通过具有代表性的事故情形分析可为风险管理提供科学依据。</w:t>
      </w:r>
    </w:p>
    <w:p w14:paraId="122277D0">
      <w:pPr>
        <w:ind w:firstLine="480" w:firstLineChars="200"/>
        <w:jc w:val="left"/>
        <w:rPr>
          <w:rFonts w:hint="eastAsia" w:ascii="宋体" w:hAnsi="宋体" w:eastAsia="宋体" w:cs="宋体"/>
        </w:rPr>
      </w:pPr>
      <w:r>
        <w:rPr>
          <w:rFonts w:hint="eastAsia" w:ascii="宋体" w:hAnsi="宋体" w:eastAsia="宋体" w:cs="宋体"/>
        </w:rPr>
        <w:t>考虑可能发生的事故情形涉及的危险物质、环境危害、影响途径等方面，经类比同类装置事故，本次评价假定煤气管道、氨水储罐泄漏为最大可信事故，同时对泄漏和不完全燃烧可能引发的环境风险事故进行分析，提出预防和减缓措施，详见表</w:t>
      </w:r>
      <w:r>
        <w:rPr>
          <w:rFonts w:hint="eastAsia" w:cs="宋体"/>
          <w:lang w:val="en-US" w:eastAsia="zh-CN"/>
        </w:rPr>
        <w:t>5</w:t>
      </w:r>
      <w:r>
        <w:rPr>
          <w:rFonts w:hint="eastAsia" w:ascii="宋体" w:hAnsi="宋体" w:eastAsia="宋体" w:cs="宋体"/>
        </w:rPr>
        <w:t>。</w:t>
      </w:r>
    </w:p>
    <w:p w14:paraId="1ED93A1D">
      <w:pPr>
        <w:pStyle w:val="2"/>
        <w:rPr>
          <w:rFonts w:hint="eastAsia"/>
        </w:rPr>
      </w:pPr>
    </w:p>
    <w:p w14:paraId="1CE31140">
      <w:pPr>
        <w:jc w:val="center"/>
        <w:rPr>
          <w:rFonts w:hint="eastAsia"/>
          <w:b/>
          <w:bCs/>
        </w:rPr>
      </w:pPr>
      <w:r>
        <w:rPr>
          <w:rFonts w:hint="eastAsia"/>
          <w:b/>
          <w:bCs/>
        </w:rPr>
        <w:t>表</w:t>
      </w:r>
      <w:r>
        <w:rPr>
          <w:rFonts w:hint="default"/>
          <w:b/>
          <w:bCs/>
        </w:rPr>
        <w:t>6.2-</w:t>
      </w:r>
      <w:r>
        <w:rPr>
          <w:rFonts w:hint="eastAsia"/>
          <w:b/>
          <w:bCs/>
          <w:lang w:val="en-US" w:eastAsia="zh-CN"/>
        </w:rPr>
        <w:t>5</w:t>
      </w:r>
      <w:r>
        <w:rPr>
          <w:rFonts w:hint="default"/>
          <w:b/>
          <w:bCs/>
        </w:rPr>
        <w:t xml:space="preserve"> </w:t>
      </w:r>
      <w:r>
        <w:rPr>
          <w:rFonts w:hint="eastAsia"/>
          <w:b/>
          <w:bCs/>
        </w:rPr>
        <w:t>拟建项目风险事故情形设定一览表</w:t>
      </w:r>
    </w:p>
    <w:tbl>
      <w:tblPr>
        <w:tblStyle w:val="56"/>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807"/>
        <w:gridCol w:w="779"/>
        <w:gridCol w:w="1145"/>
        <w:gridCol w:w="2073"/>
        <w:gridCol w:w="1841"/>
        <w:gridCol w:w="1351"/>
        <w:gridCol w:w="725"/>
      </w:tblGrid>
      <w:tr w14:paraId="4A3F4C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463" w:type="pct"/>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6217A5CD">
            <w:pPr>
              <w:jc w:val="center"/>
              <w:rPr>
                <w:b/>
                <w:sz w:val="21"/>
                <w:szCs w:val="21"/>
              </w:rPr>
            </w:pPr>
            <w:r>
              <w:rPr>
                <w:b/>
                <w:sz w:val="21"/>
                <w:szCs w:val="21"/>
              </w:rPr>
              <w:t>危险单元</w:t>
            </w:r>
          </w:p>
        </w:tc>
        <w:tc>
          <w:tcPr>
            <w:tcW w:w="446" w:type="pct"/>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73378193">
            <w:pPr>
              <w:jc w:val="center"/>
              <w:rPr>
                <w:b/>
                <w:sz w:val="21"/>
                <w:szCs w:val="21"/>
              </w:rPr>
            </w:pPr>
            <w:r>
              <w:rPr>
                <w:b/>
                <w:sz w:val="21"/>
                <w:szCs w:val="21"/>
              </w:rPr>
              <w:t>风险源</w:t>
            </w:r>
          </w:p>
        </w:tc>
        <w:tc>
          <w:tcPr>
            <w:tcW w:w="656" w:type="pct"/>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5AC2A877">
            <w:pPr>
              <w:jc w:val="center"/>
              <w:rPr>
                <w:b/>
                <w:sz w:val="21"/>
                <w:szCs w:val="21"/>
              </w:rPr>
            </w:pPr>
            <w:r>
              <w:rPr>
                <w:b/>
                <w:sz w:val="21"/>
                <w:szCs w:val="21"/>
              </w:rPr>
              <w:t>危险物质</w:t>
            </w:r>
          </w:p>
        </w:tc>
        <w:tc>
          <w:tcPr>
            <w:tcW w:w="1188" w:type="pct"/>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4D9A2EE5">
            <w:pPr>
              <w:jc w:val="center"/>
              <w:rPr>
                <w:b/>
                <w:sz w:val="21"/>
                <w:szCs w:val="21"/>
              </w:rPr>
            </w:pPr>
            <w:r>
              <w:rPr>
                <w:b/>
                <w:sz w:val="21"/>
                <w:szCs w:val="21"/>
              </w:rPr>
              <w:t>环境风险类型</w:t>
            </w:r>
          </w:p>
        </w:tc>
        <w:tc>
          <w:tcPr>
            <w:tcW w:w="1055" w:type="pct"/>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6B8FEDC5">
            <w:pPr>
              <w:jc w:val="center"/>
              <w:rPr>
                <w:b/>
                <w:sz w:val="21"/>
                <w:szCs w:val="21"/>
              </w:rPr>
            </w:pPr>
            <w:r>
              <w:rPr>
                <w:b/>
                <w:sz w:val="21"/>
                <w:szCs w:val="21"/>
              </w:rPr>
              <w:t>环境影响途径</w:t>
            </w:r>
          </w:p>
        </w:tc>
        <w:tc>
          <w:tcPr>
            <w:tcW w:w="774" w:type="pct"/>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005B0D23">
            <w:pPr>
              <w:jc w:val="center"/>
              <w:rPr>
                <w:b/>
                <w:sz w:val="21"/>
                <w:szCs w:val="21"/>
              </w:rPr>
            </w:pPr>
            <w:r>
              <w:rPr>
                <w:b/>
                <w:sz w:val="21"/>
                <w:szCs w:val="21"/>
              </w:rPr>
              <w:t>统计概率</w:t>
            </w:r>
          </w:p>
        </w:tc>
        <w:tc>
          <w:tcPr>
            <w:tcW w:w="415" w:type="pct"/>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05D8B328">
            <w:pPr>
              <w:jc w:val="center"/>
              <w:rPr>
                <w:b/>
                <w:sz w:val="21"/>
                <w:szCs w:val="21"/>
              </w:rPr>
            </w:pPr>
            <w:r>
              <w:rPr>
                <w:b/>
                <w:sz w:val="21"/>
                <w:szCs w:val="21"/>
              </w:rPr>
              <w:t>是否预测</w:t>
            </w:r>
          </w:p>
        </w:tc>
      </w:tr>
      <w:tr w14:paraId="57AE4A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463" w:type="pct"/>
            <w:vMerge w:val="restart"/>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0AA40EC2">
            <w:pPr>
              <w:rPr>
                <w:sz w:val="21"/>
                <w:szCs w:val="21"/>
              </w:rPr>
            </w:pPr>
            <w:r>
              <w:rPr>
                <w:sz w:val="21"/>
                <w:szCs w:val="21"/>
              </w:rPr>
              <w:t>生产装置区</w:t>
            </w:r>
          </w:p>
        </w:tc>
        <w:tc>
          <w:tcPr>
            <w:tcW w:w="446" w:type="pct"/>
            <w:vMerge w:val="restart"/>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256C40BF">
            <w:pPr>
              <w:rPr>
                <w:sz w:val="21"/>
                <w:szCs w:val="21"/>
              </w:rPr>
            </w:pPr>
            <w:r>
              <w:rPr>
                <w:sz w:val="21"/>
                <w:szCs w:val="21"/>
              </w:rPr>
              <w:t>煤气管道</w:t>
            </w:r>
          </w:p>
        </w:tc>
        <w:tc>
          <w:tcPr>
            <w:tcW w:w="656" w:type="pct"/>
            <w:vMerge w:val="restart"/>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3DAA3107">
            <w:pPr>
              <w:rPr>
                <w:sz w:val="21"/>
                <w:szCs w:val="21"/>
              </w:rPr>
            </w:pPr>
            <w:r>
              <w:rPr>
                <w:sz w:val="21"/>
                <w:szCs w:val="21"/>
              </w:rPr>
              <w:t>高炉煤气</w:t>
            </w:r>
          </w:p>
        </w:tc>
        <w:tc>
          <w:tcPr>
            <w:tcW w:w="1188" w:type="pct"/>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3FA5CFD2">
            <w:pPr>
              <w:rPr>
                <w:sz w:val="21"/>
                <w:szCs w:val="21"/>
              </w:rPr>
            </w:pPr>
            <w:r>
              <w:rPr>
                <w:sz w:val="21"/>
                <w:szCs w:val="21"/>
              </w:rPr>
              <w:t>火灾、爆炸引发次伴生</w:t>
            </w:r>
          </w:p>
        </w:tc>
        <w:tc>
          <w:tcPr>
            <w:tcW w:w="1055" w:type="pct"/>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02E4728F">
            <w:pPr>
              <w:rPr>
                <w:sz w:val="21"/>
                <w:szCs w:val="21"/>
              </w:rPr>
            </w:pPr>
            <w:r>
              <w:rPr>
                <w:sz w:val="21"/>
                <w:szCs w:val="21"/>
              </w:rPr>
              <w:t>扩散，消防废水漫流、渗透、吸收</w:t>
            </w:r>
          </w:p>
        </w:tc>
        <w:tc>
          <w:tcPr>
            <w:tcW w:w="774" w:type="pct"/>
            <w:vMerge w:val="restart"/>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2ACCBAF1">
            <w:pPr>
              <w:rPr>
                <w:sz w:val="21"/>
                <w:szCs w:val="21"/>
              </w:rPr>
            </w:pPr>
            <w:r>
              <w:rPr>
                <w:sz w:val="21"/>
                <w:szCs w:val="21"/>
              </w:rPr>
              <w:t>2.00×10</w:t>
            </w:r>
            <w:r>
              <w:rPr>
                <w:sz w:val="21"/>
                <w:szCs w:val="21"/>
                <w:vertAlign w:val="superscript"/>
              </w:rPr>
              <w:t>-6</w:t>
            </w:r>
            <w:r>
              <w:rPr>
                <w:sz w:val="21"/>
                <w:szCs w:val="21"/>
              </w:rPr>
              <w:t>（m·a）</w:t>
            </w:r>
          </w:p>
        </w:tc>
        <w:tc>
          <w:tcPr>
            <w:tcW w:w="415" w:type="pct"/>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45373F92">
            <w:pPr>
              <w:rPr>
                <w:sz w:val="21"/>
                <w:szCs w:val="21"/>
              </w:rPr>
            </w:pPr>
            <w:r>
              <w:rPr>
                <w:sz w:val="21"/>
                <w:szCs w:val="21"/>
              </w:rPr>
              <w:t>否</w:t>
            </w:r>
          </w:p>
        </w:tc>
      </w:tr>
      <w:tr w14:paraId="6F97C4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463" w:type="pct"/>
            <w:vMerge w:val="continue"/>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2D51E7AB">
            <w:pPr>
              <w:rPr>
                <w:sz w:val="21"/>
                <w:szCs w:val="21"/>
              </w:rPr>
            </w:pPr>
          </w:p>
        </w:tc>
        <w:tc>
          <w:tcPr>
            <w:tcW w:w="446" w:type="pct"/>
            <w:vMerge w:val="continue"/>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5DE13E73">
            <w:pPr>
              <w:rPr>
                <w:sz w:val="21"/>
                <w:szCs w:val="21"/>
              </w:rPr>
            </w:pPr>
          </w:p>
        </w:tc>
        <w:tc>
          <w:tcPr>
            <w:tcW w:w="656" w:type="pct"/>
            <w:vMerge w:val="continue"/>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45703876">
            <w:pPr>
              <w:rPr>
                <w:sz w:val="21"/>
                <w:szCs w:val="21"/>
              </w:rPr>
            </w:pPr>
          </w:p>
        </w:tc>
        <w:tc>
          <w:tcPr>
            <w:tcW w:w="1188" w:type="pct"/>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5B406E3B">
            <w:pPr>
              <w:rPr>
                <w:sz w:val="21"/>
                <w:szCs w:val="21"/>
              </w:rPr>
            </w:pPr>
            <w:r>
              <w:rPr>
                <w:sz w:val="21"/>
                <w:szCs w:val="21"/>
              </w:rPr>
              <w:t>火灾爆炸过程未完全燃烧物扩散</w:t>
            </w:r>
          </w:p>
        </w:tc>
        <w:tc>
          <w:tcPr>
            <w:tcW w:w="1055" w:type="pct"/>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6098CDBE">
            <w:pPr>
              <w:rPr>
                <w:sz w:val="21"/>
                <w:szCs w:val="21"/>
              </w:rPr>
            </w:pPr>
            <w:r>
              <w:rPr>
                <w:sz w:val="21"/>
                <w:szCs w:val="21"/>
              </w:rPr>
              <w:t>扩散、漫流、渗透、吸收</w:t>
            </w:r>
          </w:p>
        </w:tc>
        <w:tc>
          <w:tcPr>
            <w:tcW w:w="774" w:type="pct"/>
            <w:vMerge w:val="continue"/>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7BE703FB">
            <w:pPr>
              <w:rPr>
                <w:sz w:val="21"/>
                <w:szCs w:val="21"/>
              </w:rPr>
            </w:pPr>
          </w:p>
        </w:tc>
        <w:tc>
          <w:tcPr>
            <w:tcW w:w="415" w:type="pct"/>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488FAB98">
            <w:pPr>
              <w:rPr>
                <w:sz w:val="21"/>
                <w:szCs w:val="21"/>
              </w:rPr>
            </w:pPr>
            <w:r>
              <w:rPr>
                <w:sz w:val="21"/>
                <w:szCs w:val="21"/>
              </w:rPr>
              <w:t>否</w:t>
            </w:r>
          </w:p>
        </w:tc>
      </w:tr>
      <w:tr w14:paraId="05C824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463" w:type="pct"/>
            <w:vMerge w:val="continue"/>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11B5D819">
            <w:pPr>
              <w:rPr>
                <w:sz w:val="21"/>
                <w:szCs w:val="21"/>
              </w:rPr>
            </w:pPr>
          </w:p>
        </w:tc>
        <w:tc>
          <w:tcPr>
            <w:tcW w:w="446" w:type="pct"/>
            <w:vMerge w:val="continue"/>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22845BDD">
            <w:pPr>
              <w:rPr>
                <w:sz w:val="21"/>
                <w:szCs w:val="21"/>
              </w:rPr>
            </w:pPr>
          </w:p>
        </w:tc>
        <w:tc>
          <w:tcPr>
            <w:tcW w:w="656" w:type="pct"/>
            <w:vMerge w:val="continue"/>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21E995CE">
            <w:pPr>
              <w:rPr>
                <w:sz w:val="21"/>
                <w:szCs w:val="21"/>
              </w:rPr>
            </w:pPr>
          </w:p>
        </w:tc>
        <w:tc>
          <w:tcPr>
            <w:tcW w:w="1188" w:type="pct"/>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4728D6DB">
            <w:pPr>
              <w:rPr>
                <w:sz w:val="21"/>
                <w:szCs w:val="21"/>
              </w:rPr>
            </w:pPr>
            <w:r>
              <w:rPr>
                <w:sz w:val="21"/>
                <w:szCs w:val="21"/>
              </w:rPr>
              <w:t>10%管径泄漏（最大50mm）</w:t>
            </w:r>
          </w:p>
        </w:tc>
        <w:tc>
          <w:tcPr>
            <w:tcW w:w="1055" w:type="pct"/>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2A55123B">
            <w:pPr>
              <w:rPr>
                <w:sz w:val="21"/>
                <w:szCs w:val="21"/>
              </w:rPr>
            </w:pPr>
            <w:r>
              <w:rPr>
                <w:sz w:val="21"/>
                <w:szCs w:val="21"/>
              </w:rPr>
              <w:t>扩散</w:t>
            </w:r>
          </w:p>
        </w:tc>
        <w:tc>
          <w:tcPr>
            <w:tcW w:w="774" w:type="pct"/>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54801F97">
            <w:pPr>
              <w:rPr>
                <w:sz w:val="21"/>
                <w:szCs w:val="21"/>
              </w:rPr>
            </w:pPr>
            <w:r>
              <w:rPr>
                <w:sz w:val="21"/>
                <w:szCs w:val="21"/>
              </w:rPr>
              <w:t>2.4×10</w:t>
            </w:r>
            <w:r>
              <w:rPr>
                <w:sz w:val="21"/>
                <w:szCs w:val="21"/>
                <w:vertAlign w:val="superscript"/>
              </w:rPr>
              <w:t>-6</w:t>
            </w:r>
            <w:r>
              <w:rPr>
                <w:sz w:val="21"/>
                <w:szCs w:val="21"/>
              </w:rPr>
              <w:t>（m·a）</w:t>
            </w:r>
          </w:p>
        </w:tc>
        <w:tc>
          <w:tcPr>
            <w:tcW w:w="415" w:type="pct"/>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7286AB9B">
            <w:pPr>
              <w:rPr>
                <w:sz w:val="21"/>
                <w:szCs w:val="21"/>
              </w:rPr>
            </w:pPr>
            <w:r>
              <w:rPr>
                <w:sz w:val="21"/>
                <w:szCs w:val="21"/>
              </w:rPr>
              <w:t>是</w:t>
            </w:r>
          </w:p>
        </w:tc>
      </w:tr>
      <w:tr w14:paraId="230566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463" w:type="pct"/>
            <w:vMerge w:val="restart"/>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09C892D9">
            <w:pPr>
              <w:rPr>
                <w:sz w:val="21"/>
                <w:szCs w:val="21"/>
              </w:rPr>
            </w:pPr>
            <w:r>
              <w:rPr>
                <w:sz w:val="21"/>
                <w:szCs w:val="21"/>
              </w:rPr>
              <w:t>储罐区</w:t>
            </w:r>
          </w:p>
        </w:tc>
        <w:tc>
          <w:tcPr>
            <w:tcW w:w="446" w:type="pct"/>
            <w:vMerge w:val="restart"/>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6B8BEC26">
            <w:pPr>
              <w:rPr>
                <w:sz w:val="21"/>
                <w:szCs w:val="21"/>
              </w:rPr>
            </w:pPr>
            <w:r>
              <w:rPr>
                <w:sz w:val="21"/>
                <w:szCs w:val="21"/>
              </w:rPr>
              <w:t>氨水储罐</w:t>
            </w:r>
          </w:p>
        </w:tc>
        <w:tc>
          <w:tcPr>
            <w:tcW w:w="656" w:type="pct"/>
            <w:vMerge w:val="restart"/>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79BCD8C6">
            <w:pPr>
              <w:rPr>
                <w:sz w:val="21"/>
                <w:szCs w:val="21"/>
              </w:rPr>
            </w:pPr>
            <w:r>
              <w:rPr>
                <w:sz w:val="21"/>
                <w:szCs w:val="21"/>
              </w:rPr>
              <w:t>氨</w:t>
            </w:r>
          </w:p>
        </w:tc>
        <w:tc>
          <w:tcPr>
            <w:tcW w:w="1188" w:type="pct"/>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608A697E">
            <w:pPr>
              <w:rPr>
                <w:sz w:val="21"/>
                <w:szCs w:val="21"/>
              </w:rPr>
            </w:pPr>
            <w:r>
              <w:rPr>
                <w:sz w:val="21"/>
                <w:szCs w:val="21"/>
              </w:rPr>
              <w:t>10min 内储罐泄漏完氨气挥发扩散</w:t>
            </w:r>
          </w:p>
        </w:tc>
        <w:tc>
          <w:tcPr>
            <w:tcW w:w="1055" w:type="pct"/>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0B965FB9">
            <w:pPr>
              <w:rPr>
                <w:sz w:val="21"/>
                <w:szCs w:val="21"/>
              </w:rPr>
            </w:pPr>
            <w:r>
              <w:rPr>
                <w:sz w:val="21"/>
                <w:szCs w:val="21"/>
              </w:rPr>
              <w:t>大气扩散</w:t>
            </w:r>
          </w:p>
        </w:tc>
        <w:tc>
          <w:tcPr>
            <w:tcW w:w="774" w:type="pct"/>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6819ADC4">
            <w:pPr>
              <w:rPr>
                <w:sz w:val="21"/>
                <w:szCs w:val="21"/>
              </w:rPr>
            </w:pPr>
            <w:r>
              <w:rPr>
                <w:sz w:val="21"/>
                <w:szCs w:val="21"/>
              </w:rPr>
              <w:t>5.00×10</w:t>
            </w:r>
            <w:r>
              <w:rPr>
                <w:sz w:val="21"/>
                <w:szCs w:val="21"/>
                <w:vertAlign w:val="superscript"/>
              </w:rPr>
              <w:t>-6</w:t>
            </w:r>
            <w:r>
              <w:rPr>
                <w:sz w:val="21"/>
                <w:szCs w:val="21"/>
              </w:rPr>
              <w:t>/a</w:t>
            </w:r>
          </w:p>
        </w:tc>
        <w:tc>
          <w:tcPr>
            <w:tcW w:w="415" w:type="pct"/>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6B04FC8F">
            <w:pPr>
              <w:rPr>
                <w:sz w:val="21"/>
                <w:szCs w:val="21"/>
              </w:rPr>
            </w:pPr>
            <w:r>
              <w:rPr>
                <w:sz w:val="21"/>
                <w:szCs w:val="21"/>
              </w:rPr>
              <w:t>是</w:t>
            </w:r>
          </w:p>
        </w:tc>
      </w:tr>
      <w:tr w14:paraId="3A9F4B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463" w:type="pct"/>
            <w:vMerge w:val="continue"/>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65E2615C">
            <w:pPr>
              <w:rPr>
                <w:sz w:val="21"/>
                <w:szCs w:val="21"/>
              </w:rPr>
            </w:pPr>
          </w:p>
        </w:tc>
        <w:tc>
          <w:tcPr>
            <w:tcW w:w="446" w:type="pct"/>
            <w:vMerge w:val="continue"/>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24C9EF5D">
            <w:pPr>
              <w:rPr>
                <w:sz w:val="21"/>
                <w:szCs w:val="21"/>
              </w:rPr>
            </w:pPr>
          </w:p>
        </w:tc>
        <w:tc>
          <w:tcPr>
            <w:tcW w:w="656" w:type="pct"/>
            <w:vMerge w:val="continue"/>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29CCD21F">
            <w:pPr>
              <w:rPr>
                <w:sz w:val="21"/>
                <w:szCs w:val="21"/>
              </w:rPr>
            </w:pPr>
          </w:p>
        </w:tc>
        <w:tc>
          <w:tcPr>
            <w:tcW w:w="1188" w:type="pct"/>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5DE08CA9">
            <w:pPr>
              <w:rPr>
                <w:sz w:val="21"/>
                <w:szCs w:val="21"/>
              </w:rPr>
            </w:pPr>
            <w:r>
              <w:rPr>
                <w:sz w:val="21"/>
                <w:szCs w:val="21"/>
              </w:rPr>
              <w:t>10min 内储罐泄漏完，罐区防渗层损坏</w:t>
            </w:r>
          </w:p>
        </w:tc>
        <w:tc>
          <w:tcPr>
            <w:tcW w:w="1055" w:type="pct"/>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3A3D8C87">
            <w:pPr>
              <w:rPr>
                <w:sz w:val="21"/>
                <w:szCs w:val="21"/>
              </w:rPr>
            </w:pPr>
            <w:r>
              <w:rPr>
                <w:sz w:val="21"/>
                <w:szCs w:val="21"/>
              </w:rPr>
              <w:t>扩散、漫流、渗透、吸收渗漏</w:t>
            </w:r>
          </w:p>
        </w:tc>
        <w:tc>
          <w:tcPr>
            <w:tcW w:w="774" w:type="pct"/>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09D92DD4">
            <w:pPr>
              <w:rPr>
                <w:sz w:val="21"/>
                <w:szCs w:val="21"/>
              </w:rPr>
            </w:pPr>
            <w:r>
              <w:rPr>
                <w:sz w:val="21"/>
                <w:szCs w:val="21"/>
              </w:rPr>
              <w:t>8.00×10</w:t>
            </w:r>
            <w:r>
              <w:rPr>
                <w:sz w:val="21"/>
                <w:szCs w:val="21"/>
                <w:vertAlign w:val="superscript"/>
              </w:rPr>
              <w:t>-6</w:t>
            </w:r>
            <w:r>
              <w:rPr>
                <w:sz w:val="21"/>
                <w:szCs w:val="21"/>
              </w:rPr>
              <w:t>/a</w:t>
            </w:r>
          </w:p>
        </w:tc>
        <w:tc>
          <w:tcPr>
            <w:tcW w:w="415" w:type="pct"/>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121FEF60">
            <w:pPr>
              <w:rPr>
                <w:sz w:val="21"/>
                <w:szCs w:val="21"/>
              </w:rPr>
            </w:pPr>
            <w:r>
              <w:rPr>
                <w:sz w:val="21"/>
                <w:szCs w:val="21"/>
              </w:rPr>
              <w:t>否</w:t>
            </w:r>
          </w:p>
        </w:tc>
      </w:tr>
      <w:tr w14:paraId="56D2E8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463" w:type="pct"/>
            <w:vMerge w:val="restart"/>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4F2B2856">
            <w:pPr>
              <w:rPr>
                <w:sz w:val="21"/>
                <w:szCs w:val="21"/>
              </w:rPr>
            </w:pPr>
            <w:r>
              <w:rPr>
                <w:sz w:val="21"/>
                <w:szCs w:val="21"/>
              </w:rPr>
              <w:t>危废库</w:t>
            </w:r>
          </w:p>
        </w:tc>
        <w:tc>
          <w:tcPr>
            <w:tcW w:w="446" w:type="pct"/>
            <w:vMerge w:val="restart"/>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4C510270">
            <w:pPr>
              <w:rPr>
                <w:sz w:val="21"/>
                <w:szCs w:val="21"/>
              </w:rPr>
            </w:pPr>
            <w:r>
              <w:rPr>
                <w:sz w:val="21"/>
                <w:szCs w:val="21"/>
              </w:rPr>
              <w:t>废油桶、废催化剂</w:t>
            </w:r>
          </w:p>
        </w:tc>
        <w:tc>
          <w:tcPr>
            <w:tcW w:w="656" w:type="pct"/>
            <w:vMerge w:val="restart"/>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37D7D531">
            <w:pPr>
              <w:rPr>
                <w:sz w:val="21"/>
                <w:szCs w:val="21"/>
              </w:rPr>
            </w:pPr>
            <w:r>
              <w:rPr>
                <w:sz w:val="21"/>
                <w:szCs w:val="21"/>
              </w:rPr>
              <w:t>废矿物油、重金属</w:t>
            </w:r>
          </w:p>
        </w:tc>
        <w:tc>
          <w:tcPr>
            <w:tcW w:w="1188" w:type="pct"/>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1D6ADCA7">
            <w:pPr>
              <w:rPr>
                <w:sz w:val="21"/>
                <w:szCs w:val="21"/>
              </w:rPr>
            </w:pPr>
            <w:r>
              <w:rPr>
                <w:sz w:val="21"/>
                <w:szCs w:val="21"/>
              </w:rPr>
              <w:t>10min内包装泄漏完</w:t>
            </w:r>
          </w:p>
        </w:tc>
        <w:tc>
          <w:tcPr>
            <w:tcW w:w="1055" w:type="pct"/>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0E96C509">
            <w:pPr>
              <w:rPr>
                <w:sz w:val="21"/>
                <w:szCs w:val="21"/>
              </w:rPr>
            </w:pPr>
            <w:r>
              <w:rPr>
                <w:sz w:val="21"/>
                <w:szCs w:val="21"/>
              </w:rPr>
              <w:t>扩散</w:t>
            </w:r>
          </w:p>
        </w:tc>
        <w:tc>
          <w:tcPr>
            <w:tcW w:w="774" w:type="pct"/>
            <w:vMerge w:val="restart"/>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139A32C4">
            <w:pPr>
              <w:rPr>
                <w:sz w:val="21"/>
                <w:szCs w:val="21"/>
              </w:rPr>
            </w:pPr>
            <w:r>
              <w:rPr>
                <w:sz w:val="21"/>
                <w:szCs w:val="21"/>
              </w:rPr>
              <w:t>5.00×10</w:t>
            </w:r>
            <w:r>
              <w:rPr>
                <w:sz w:val="21"/>
                <w:szCs w:val="21"/>
                <w:vertAlign w:val="superscript"/>
              </w:rPr>
              <w:t>-6</w:t>
            </w:r>
            <w:r>
              <w:rPr>
                <w:sz w:val="21"/>
                <w:szCs w:val="21"/>
              </w:rPr>
              <w:t>/a</w:t>
            </w:r>
          </w:p>
        </w:tc>
        <w:tc>
          <w:tcPr>
            <w:tcW w:w="415" w:type="pct"/>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0E5515F2">
            <w:pPr>
              <w:rPr>
                <w:sz w:val="21"/>
                <w:szCs w:val="21"/>
              </w:rPr>
            </w:pPr>
            <w:r>
              <w:rPr>
                <w:sz w:val="21"/>
                <w:szCs w:val="21"/>
              </w:rPr>
              <w:t>否</w:t>
            </w:r>
          </w:p>
        </w:tc>
      </w:tr>
      <w:tr w14:paraId="20F12B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463" w:type="pct"/>
            <w:vMerge w:val="continue"/>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12245232">
            <w:pPr>
              <w:rPr>
                <w:sz w:val="21"/>
                <w:szCs w:val="21"/>
              </w:rPr>
            </w:pPr>
          </w:p>
        </w:tc>
        <w:tc>
          <w:tcPr>
            <w:tcW w:w="446" w:type="pct"/>
            <w:vMerge w:val="continue"/>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1AE88E3C">
            <w:pPr>
              <w:rPr>
                <w:sz w:val="21"/>
                <w:szCs w:val="21"/>
              </w:rPr>
            </w:pPr>
          </w:p>
        </w:tc>
        <w:tc>
          <w:tcPr>
            <w:tcW w:w="656" w:type="pct"/>
            <w:vMerge w:val="continue"/>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5C5EDA24">
            <w:pPr>
              <w:rPr>
                <w:sz w:val="21"/>
                <w:szCs w:val="21"/>
              </w:rPr>
            </w:pPr>
          </w:p>
        </w:tc>
        <w:tc>
          <w:tcPr>
            <w:tcW w:w="1188" w:type="pct"/>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7082E61C">
            <w:pPr>
              <w:rPr>
                <w:sz w:val="21"/>
                <w:szCs w:val="21"/>
              </w:rPr>
            </w:pPr>
            <w:r>
              <w:rPr>
                <w:sz w:val="21"/>
                <w:szCs w:val="21"/>
              </w:rPr>
              <w:t>火灾、爆炸引发次伴生</w:t>
            </w:r>
          </w:p>
        </w:tc>
        <w:tc>
          <w:tcPr>
            <w:tcW w:w="1055" w:type="pct"/>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4F59BABC">
            <w:pPr>
              <w:rPr>
                <w:sz w:val="21"/>
                <w:szCs w:val="21"/>
              </w:rPr>
            </w:pPr>
            <w:r>
              <w:rPr>
                <w:sz w:val="21"/>
                <w:szCs w:val="21"/>
              </w:rPr>
              <w:t>扩散，消防废水漫流、渗透、吸收</w:t>
            </w:r>
          </w:p>
        </w:tc>
        <w:tc>
          <w:tcPr>
            <w:tcW w:w="774" w:type="pct"/>
            <w:vMerge w:val="continue"/>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53D1F083">
            <w:pPr>
              <w:rPr>
                <w:sz w:val="21"/>
                <w:szCs w:val="21"/>
              </w:rPr>
            </w:pPr>
          </w:p>
        </w:tc>
        <w:tc>
          <w:tcPr>
            <w:tcW w:w="415" w:type="pct"/>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7300AC95">
            <w:pPr>
              <w:rPr>
                <w:sz w:val="21"/>
                <w:szCs w:val="21"/>
              </w:rPr>
            </w:pPr>
            <w:r>
              <w:rPr>
                <w:sz w:val="21"/>
                <w:szCs w:val="21"/>
              </w:rPr>
              <w:t>否</w:t>
            </w:r>
          </w:p>
        </w:tc>
      </w:tr>
      <w:tr w14:paraId="682B1C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463" w:type="pct"/>
            <w:vMerge w:val="continue"/>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7BB81D4E">
            <w:pPr>
              <w:rPr>
                <w:sz w:val="21"/>
                <w:szCs w:val="21"/>
              </w:rPr>
            </w:pPr>
          </w:p>
        </w:tc>
        <w:tc>
          <w:tcPr>
            <w:tcW w:w="446" w:type="pct"/>
            <w:vMerge w:val="continue"/>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530AB9BF">
            <w:pPr>
              <w:rPr>
                <w:sz w:val="21"/>
                <w:szCs w:val="21"/>
              </w:rPr>
            </w:pPr>
          </w:p>
        </w:tc>
        <w:tc>
          <w:tcPr>
            <w:tcW w:w="656" w:type="pct"/>
            <w:vMerge w:val="continue"/>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07CE527C">
            <w:pPr>
              <w:rPr>
                <w:sz w:val="21"/>
                <w:szCs w:val="21"/>
              </w:rPr>
            </w:pPr>
          </w:p>
        </w:tc>
        <w:tc>
          <w:tcPr>
            <w:tcW w:w="1188" w:type="pct"/>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1D9E104E">
            <w:pPr>
              <w:rPr>
                <w:sz w:val="21"/>
                <w:szCs w:val="21"/>
              </w:rPr>
            </w:pPr>
            <w:r>
              <w:rPr>
                <w:sz w:val="21"/>
                <w:szCs w:val="21"/>
              </w:rPr>
              <w:t>火灾爆炸过程未完全燃烧物</w:t>
            </w:r>
          </w:p>
        </w:tc>
        <w:tc>
          <w:tcPr>
            <w:tcW w:w="1055" w:type="pct"/>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797DAEB6">
            <w:pPr>
              <w:rPr>
                <w:sz w:val="21"/>
                <w:szCs w:val="21"/>
              </w:rPr>
            </w:pPr>
            <w:r>
              <w:rPr>
                <w:sz w:val="21"/>
                <w:szCs w:val="21"/>
              </w:rPr>
              <w:t>扩散</w:t>
            </w:r>
          </w:p>
        </w:tc>
        <w:tc>
          <w:tcPr>
            <w:tcW w:w="774" w:type="pct"/>
            <w:vMerge w:val="continue"/>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00326337">
            <w:pPr>
              <w:rPr>
                <w:sz w:val="21"/>
                <w:szCs w:val="21"/>
              </w:rPr>
            </w:pPr>
          </w:p>
        </w:tc>
        <w:tc>
          <w:tcPr>
            <w:tcW w:w="415" w:type="pct"/>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2FFA965E">
            <w:pPr>
              <w:rPr>
                <w:sz w:val="21"/>
                <w:szCs w:val="21"/>
              </w:rPr>
            </w:pPr>
            <w:r>
              <w:rPr>
                <w:sz w:val="21"/>
                <w:szCs w:val="21"/>
              </w:rPr>
              <w:t>否</w:t>
            </w:r>
          </w:p>
        </w:tc>
      </w:tr>
      <w:tr w14:paraId="239522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463" w:type="pct"/>
            <w:vMerge w:val="restart"/>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6FB6162D">
            <w:pPr>
              <w:rPr>
                <w:sz w:val="21"/>
                <w:szCs w:val="21"/>
              </w:rPr>
            </w:pPr>
            <w:r>
              <w:rPr>
                <w:sz w:val="21"/>
                <w:szCs w:val="21"/>
              </w:rPr>
              <w:t>环保设施</w:t>
            </w:r>
          </w:p>
        </w:tc>
        <w:tc>
          <w:tcPr>
            <w:tcW w:w="446" w:type="pct"/>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528097F5">
            <w:pPr>
              <w:rPr>
                <w:sz w:val="21"/>
                <w:szCs w:val="21"/>
              </w:rPr>
            </w:pPr>
            <w:r>
              <w:rPr>
                <w:sz w:val="21"/>
                <w:szCs w:val="21"/>
              </w:rPr>
              <w:t>废气治理措施</w:t>
            </w:r>
          </w:p>
        </w:tc>
        <w:tc>
          <w:tcPr>
            <w:tcW w:w="656" w:type="pct"/>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2BA69762">
            <w:pPr>
              <w:rPr>
                <w:sz w:val="21"/>
                <w:szCs w:val="21"/>
              </w:rPr>
            </w:pPr>
            <w:r>
              <w:rPr>
                <w:sz w:val="21"/>
                <w:szCs w:val="21"/>
              </w:rPr>
              <w:t>二氧化硫、NOx、颗粒物、氟化物、二噁英类等</w:t>
            </w:r>
          </w:p>
        </w:tc>
        <w:tc>
          <w:tcPr>
            <w:tcW w:w="1188" w:type="pct"/>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3D69511E">
            <w:pPr>
              <w:rPr>
                <w:sz w:val="21"/>
                <w:szCs w:val="21"/>
              </w:rPr>
            </w:pPr>
            <w:r>
              <w:rPr>
                <w:sz w:val="21"/>
                <w:szCs w:val="21"/>
              </w:rPr>
              <w:t>废气处理设施发生故障，事故排放</w:t>
            </w:r>
          </w:p>
        </w:tc>
        <w:tc>
          <w:tcPr>
            <w:tcW w:w="1055" w:type="pct"/>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501BFE1B">
            <w:pPr>
              <w:rPr>
                <w:sz w:val="21"/>
                <w:szCs w:val="21"/>
              </w:rPr>
            </w:pPr>
            <w:r>
              <w:rPr>
                <w:sz w:val="21"/>
                <w:szCs w:val="21"/>
              </w:rPr>
              <w:t>扩散</w:t>
            </w:r>
          </w:p>
        </w:tc>
        <w:tc>
          <w:tcPr>
            <w:tcW w:w="774" w:type="pct"/>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1EAE4C43">
            <w:pPr>
              <w:rPr>
                <w:sz w:val="21"/>
                <w:szCs w:val="21"/>
              </w:rPr>
            </w:pPr>
            <w:r>
              <w:rPr>
                <w:sz w:val="21"/>
                <w:szCs w:val="21"/>
              </w:rPr>
              <w:t>2.00×10</w:t>
            </w:r>
            <w:r>
              <w:rPr>
                <w:sz w:val="21"/>
                <w:szCs w:val="21"/>
                <w:vertAlign w:val="superscript"/>
              </w:rPr>
              <w:t>-6</w:t>
            </w:r>
            <w:r>
              <w:rPr>
                <w:sz w:val="21"/>
                <w:szCs w:val="21"/>
              </w:rPr>
              <w:t>/a</w:t>
            </w:r>
          </w:p>
        </w:tc>
        <w:tc>
          <w:tcPr>
            <w:tcW w:w="415" w:type="pct"/>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5DEF9CC0">
            <w:pPr>
              <w:rPr>
                <w:sz w:val="21"/>
                <w:szCs w:val="21"/>
              </w:rPr>
            </w:pPr>
            <w:r>
              <w:rPr>
                <w:sz w:val="21"/>
                <w:szCs w:val="21"/>
              </w:rPr>
              <w:t>否</w:t>
            </w:r>
          </w:p>
        </w:tc>
      </w:tr>
      <w:tr w14:paraId="1E99F0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463" w:type="pct"/>
            <w:vMerge w:val="continue"/>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1BC99B4B">
            <w:pPr>
              <w:rPr>
                <w:sz w:val="21"/>
                <w:szCs w:val="21"/>
              </w:rPr>
            </w:pPr>
          </w:p>
        </w:tc>
        <w:tc>
          <w:tcPr>
            <w:tcW w:w="446" w:type="pct"/>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4952889E">
            <w:pPr>
              <w:rPr>
                <w:sz w:val="21"/>
                <w:szCs w:val="21"/>
              </w:rPr>
            </w:pPr>
            <w:r>
              <w:rPr>
                <w:sz w:val="21"/>
                <w:szCs w:val="21"/>
              </w:rPr>
              <w:t>废水治理措施</w:t>
            </w:r>
          </w:p>
        </w:tc>
        <w:tc>
          <w:tcPr>
            <w:tcW w:w="656" w:type="pct"/>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5A397B33">
            <w:pPr>
              <w:rPr>
                <w:sz w:val="21"/>
                <w:szCs w:val="21"/>
              </w:rPr>
            </w:pPr>
            <w:r>
              <w:rPr>
                <w:sz w:val="21"/>
                <w:szCs w:val="21"/>
              </w:rPr>
              <w:t>废水</w:t>
            </w:r>
          </w:p>
        </w:tc>
        <w:tc>
          <w:tcPr>
            <w:tcW w:w="1188" w:type="pct"/>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5FDA02BC">
            <w:pPr>
              <w:rPr>
                <w:sz w:val="21"/>
                <w:szCs w:val="21"/>
              </w:rPr>
            </w:pPr>
            <w:r>
              <w:rPr>
                <w:sz w:val="21"/>
                <w:szCs w:val="21"/>
              </w:rPr>
              <w:t>废水处理设施发生故障，事故排放</w:t>
            </w:r>
          </w:p>
        </w:tc>
        <w:tc>
          <w:tcPr>
            <w:tcW w:w="1055" w:type="pct"/>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5F0CD735">
            <w:pPr>
              <w:rPr>
                <w:sz w:val="21"/>
                <w:szCs w:val="21"/>
              </w:rPr>
            </w:pPr>
            <w:r>
              <w:rPr>
                <w:sz w:val="21"/>
                <w:szCs w:val="21"/>
              </w:rPr>
              <w:t>漫流、渗透、吸收</w:t>
            </w:r>
          </w:p>
        </w:tc>
        <w:tc>
          <w:tcPr>
            <w:tcW w:w="774" w:type="pct"/>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11B0D936">
            <w:pPr>
              <w:rPr>
                <w:sz w:val="21"/>
                <w:szCs w:val="21"/>
              </w:rPr>
            </w:pPr>
            <w:r>
              <w:rPr>
                <w:sz w:val="21"/>
                <w:szCs w:val="21"/>
              </w:rPr>
              <w:t>2.00×10</w:t>
            </w:r>
            <w:r>
              <w:rPr>
                <w:sz w:val="21"/>
                <w:szCs w:val="21"/>
                <w:vertAlign w:val="superscript"/>
              </w:rPr>
              <w:t>-6</w:t>
            </w:r>
            <w:r>
              <w:rPr>
                <w:sz w:val="21"/>
                <w:szCs w:val="21"/>
              </w:rPr>
              <w:t>/a</w:t>
            </w:r>
          </w:p>
        </w:tc>
        <w:tc>
          <w:tcPr>
            <w:tcW w:w="415" w:type="pct"/>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03862F9B">
            <w:pPr>
              <w:rPr>
                <w:sz w:val="21"/>
                <w:szCs w:val="21"/>
              </w:rPr>
            </w:pPr>
            <w:r>
              <w:rPr>
                <w:sz w:val="21"/>
                <w:szCs w:val="21"/>
              </w:rPr>
              <w:t>否</w:t>
            </w:r>
          </w:p>
        </w:tc>
      </w:tr>
    </w:tbl>
    <w:p w14:paraId="2B3F1280">
      <w:pPr>
        <w:pStyle w:val="52"/>
        <w:keepNext w:val="0"/>
        <w:keepLines w:val="0"/>
        <w:widowControl/>
        <w:suppressLineNumbers w:val="0"/>
        <w:spacing w:line="240" w:lineRule="auto"/>
        <w:ind w:left="0" w:firstLine="0"/>
        <w:jc w:val="left"/>
        <w:textAlignment w:val="center"/>
      </w:pPr>
      <w:bookmarkStart w:id="560" w:name="_Toc90026321"/>
      <w:r>
        <w:rPr>
          <w:rFonts w:hint="eastAsia" w:ascii="Times New Roman" w:hAnsi="Times New Roman" w:cs="Times New Roman"/>
          <w:b/>
          <w:szCs w:val="28"/>
        </w:rPr>
        <w:t>6</w:t>
      </w:r>
      <w:r>
        <w:rPr>
          <w:rFonts w:ascii="Times New Roman" w:hAnsi="Times New Roman" w:cs="Times New Roman"/>
          <w:b/>
          <w:szCs w:val="28"/>
        </w:rPr>
        <w:t>.2.2</w:t>
      </w:r>
      <w:bookmarkEnd w:id="560"/>
      <w:r>
        <w:rPr>
          <w:rFonts w:hint="eastAsia" w:ascii="宋体" w:hAnsi="宋体" w:eastAsia="宋体" w:cs="宋体"/>
          <w:b/>
          <w:bCs/>
          <w:color w:val="000000"/>
          <w:spacing w:val="0"/>
          <w:position w:val="0"/>
          <w:sz w:val="28"/>
          <w:szCs w:val="28"/>
        </w:rPr>
        <w:t>源项分析</w:t>
      </w:r>
    </w:p>
    <w:p w14:paraId="60461935">
      <w:pPr>
        <w:ind w:firstLine="480" w:firstLineChars="200"/>
        <w:jc w:val="left"/>
        <w:rPr>
          <w:rFonts w:hint="eastAsia" w:ascii="宋体" w:hAnsi="宋体" w:eastAsia="宋体" w:cs="宋体"/>
        </w:rPr>
      </w:pPr>
      <w:r>
        <w:rPr>
          <w:rFonts w:hint="default" w:ascii="宋体" w:hAnsi="宋体" w:eastAsia="宋体" w:cs="宋体"/>
        </w:rPr>
        <w:t>1</w:t>
      </w:r>
      <w:r>
        <w:rPr>
          <w:rFonts w:hint="eastAsia" w:ascii="宋体" w:hAnsi="宋体" w:eastAsia="宋体" w:cs="宋体"/>
        </w:rPr>
        <w:t>、泄漏事故源项分析</w:t>
      </w:r>
    </w:p>
    <w:p w14:paraId="3E68A38D">
      <w:pPr>
        <w:ind w:firstLine="480" w:firstLineChars="200"/>
        <w:jc w:val="left"/>
        <w:rPr>
          <w:rFonts w:hint="eastAsia" w:ascii="宋体" w:hAnsi="宋体" w:eastAsia="宋体" w:cs="宋体"/>
        </w:rPr>
      </w:pPr>
      <w:r>
        <w:rPr>
          <w:rFonts w:hint="eastAsia" w:ascii="宋体" w:hAnsi="宋体" w:eastAsia="宋体" w:cs="宋体"/>
        </w:rPr>
        <w:t>（</w:t>
      </w:r>
      <w:r>
        <w:rPr>
          <w:rFonts w:hint="default" w:ascii="宋体" w:hAnsi="宋体" w:eastAsia="宋体" w:cs="宋体"/>
        </w:rPr>
        <w:t>1</w:t>
      </w:r>
      <w:r>
        <w:rPr>
          <w:rFonts w:hint="eastAsia" w:ascii="宋体" w:hAnsi="宋体" w:eastAsia="宋体" w:cs="宋体"/>
        </w:rPr>
        <w:t>）煤气泄漏</w:t>
      </w:r>
    </w:p>
    <w:p w14:paraId="0B8D4428">
      <w:pPr>
        <w:ind w:firstLine="480" w:firstLineChars="200"/>
        <w:jc w:val="left"/>
        <w:rPr>
          <w:rFonts w:hint="eastAsia" w:ascii="宋体" w:hAnsi="宋体" w:eastAsia="宋体" w:cs="宋体"/>
        </w:rPr>
      </w:pPr>
      <w:r>
        <w:rPr>
          <w:rFonts w:hint="eastAsia" w:ascii="宋体" w:hAnsi="宋体" w:eastAsia="宋体" w:cs="宋体"/>
        </w:rPr>
        <w:t>泄出气体的泄漏速率用下式计算。</w:t>
      </w:r>
    </w:p>
    <w:p w14:paraId="43CFD204">
      <w:pPr>
        <w:ind w:firstLine="480" w:firstLineChars="200"/>
        <w:jc w:val="left"/>
        <w:rPr>
          <w:rFonts w:hint="eastAsia" w:ascii="宋体" w:hAnsi="宋体" w:eastAsia="宋体" w:cs="宋体"/>
        </w:rPr>
      </w:pPr>
      <w:r>
        <w:rPr>
          <w:rFonts w:hint="eastAsia" w:ascii="宋体" w:hAnsi="宋体" w:eastAsia="宋体" w:cs="宋体"/>
        </w:rPr>
        <w:t>当气体流速在音速范围（临界流）：</w:t>
      </w:r>
    </w:p>
    <w:p w14:paraId="29D2DD62">
      <w:pPr>
        <w:pStyle w:val="52"/>
        <w:keepNext w:val="0"/>
        <w:keepLines w:val="0"/>
        <w:widowControl/>
        <w:suppressLineNumbers w:val="0"/>
        <w:spacing w:line="240" w:lineRule="auto"/>
        <w:ind w:left="0" w:firstLine="0"/>
        <w:jc w:val="center"/>
        <w:textAlignment w:val="center"/>
      </w:pPr>
      <w:r>
        <w:drawing>
          <wp:inline distT="0" distB="0" distL="114300" distR="114300">
            <wp:extent cx="1082675" cy="564515"/>
            <wp:effectExtent l="0" t="0" r="3175" b="6985"/>
            <wp:docPr id="113" name="图片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 name="图片 92"/>
                    <pic:cNvPicPr>
                      <a:picLocks noChangeAspect="1"/>
                    </pic:cNvPicPr>
                  </pic:nvPicPr>
                  <pic:blipFill>
                    <a:blip r:embed="rId107"/>
                    <a:stretch>
                      <a:fillRect/>
                    </a:stretch>
                  </pic:blipFill>
                  <pic:spPr>
                    <a:xfrm>
                      <a:off x="0" y="0"/>
                      <a:ext cx="1082675" cy="564515"/>
                    </a:xfrm>
                    <a:prstGeom prst="rect">
                      <a:avLst/>
                    </a:prstGeom>
                    <a:noFill/>
                    <a:ln>
                      <a:noFill/>
                    </a:ln>
                  </pic:spPr>
                </pic:pic>
              </a:graphicData>
            </a:graphic>
          </wp:inline>
        </w:drawing>
      </w:r>
    </w:p>
    <w:p w14:paraId="369060D8">
      <w:pPr>
        <w:ind w:firstLine="480" w:firstLineChars="200"/>
        <w:jc w:val="left"/>
        <w:rPr>
          <w:rFonts w:hint="default" w:ascii="宋体" w:hAnsi="宋体" w:eastAsia="宋体" w:cs="宋体"/>
        </w:rPr>
      </w:pPr>
      <w:r>
        <w:rPr>
          <w:rFonts w:hint="eastAsia" w:ascii="宋体" w:hAnsi="宋体" w:eastAsia="宋体" w:cs="宋体"/>
        </w:rPr>
        <w:t>当气体流速在亚音速范围（次临界流）：</w:t>
      </w:r>
    </w:p>
    <w:p w14:paraId="1119C2DF">
      <w:pPr>
        <w:ind w:firstLine="480" w:firstLineChars="200"/>
        <w:jc w:val="center"/>
        <w:rPr>
          <w:rFonts w:hint="default" w:ascii="宋体" w:hAnsi="宋体" w:eastAsia="宋体" w:cs="宋体"/>
        </w:rPr>
      </w:pPr>
      <w:r>
        <w:rPr>
          <w:rFonts w:hint="default" w:ascii="宋体" w:hAnsi="宋体" w:eastAsia="宋体" w:cs="宋体"/>
        </w:rPr>
        <w:drawing>
          <wp:inline distT="0" distB="0" distL="114300" distR="114300">
            <wp:extent cx="1082040" cy="482600"/>
            <wp:effectExtent l="0" t="0" r="3810" b="12700"/>
            <wp:docPr id="114" name="图片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 name="图片 93"/>
                    <pic:cNvPicPr>
                      <a:picLocks noChangeAspect="1"/>
                    </pic:cNvPicPr>
                  </pic:nvPicPr>
                  <pic:blipFill>
                    <a:blip r:embed="rId108"/>
                    <a:stretch>
                      <a:fillRect/>
                    </a:stretch>
                  </pic:blipFill>
                  <pic:spPr>
                    <a:xfrm>
                      <a:off x="0" y="0"/>
                      <a:ext cx="1082040" cy="482600"/>
                    </a:xfrm>
                    <a:prstGeom prst="rect">
                      <a:avLst/>
                    </a:prstGeom>
                    <a:noFill/>
                    <a:ln>
                      <a:noFill/>
                    </a:ln>
                  </pic:spPr>
                </pic:pic>
              </a:graphicData>
            </a:graphic>
          </wp:inline>
        </w:drawing>
      </w:r>
    </w:p>
    <w:p w14:paraId="26766530">
      <w:pPr>
        <w:ind w:firstLine="480" w:firstLineChars="200"/>
        <w:jc w:val="left"/>
        <w:rPr>
          <w:rFonts w:hint="default" w:ascii="宋体" w:hAnsi="宋体" w:eastAsia="宋体" w:cs="宋体"/>
        </w:rPr>
      </w:pPr>
      <w:r>
        <w:rPr>
          <w:rFonts w:hint="eastAsia" w:ascii="宋体" w:hAnsi="宋体" w:eastAsia="宋体" w:cs="宋体"/>
        </w:rPr>
        <w:t>式中：</w:t>
      </w:r>
      <w:r>
        <w:rPr>
          <w:rFonts w:hint="default" w:ascii="宋体" w:hAnsi="宋体" w:eastAsia="宋体" w:cs="宋体"/>
        </w:rPr>
        <w:t>P——</w:t>
      </w:r>
      <w:r>
        <w:rPr>
          <w:rFonts w:hint="eastAsia" w:ascii="宋体" w:hAnsi="宋体" w:eastAsia="宋体" w:cs="宋体"/>
        </w:rPr>
        <w:t>容器内介质压力，</w:t>
      </w:r>
      <w:r>
        <w:rPr>
          <w:rFonts w:hint="default" w:ascii="宋体" w:hAnsi="宋体" w:eastAsia="宋体" w:cs="宋体"/>
        </w:rPr>
        <w:t>Pa</w:t>
      </w:r>
      <w:r>
        <w:rPr>
          <w:rFonts w:hint="eastAsia" w:ascii="宋体" w:hAnsi="宋体" w:eastAsia="宋体" w:cs="宋体"/>
        </w:rPr>
        <w:t>；</w:t>
      </w:r>
    </w:p>
    <w:p w14:paraId="671F9330">
      <w:pPr>
        <w:ind w:firstLine="1200" w:firstLineChars="500"/>
        <w:jc w:val="left"/>
        <w:rPr>
          <w:rFonts w:hint="default" w:ascii="宋体" w:hAnsi="宋体" w:eastAsia="宋体" w:cs="宋体"/>
        </w:rPr>
      </w:pPr>
      <w:r>
        <w:rPr>
          <w:rFonts w:hint="default" w:ascii="宋体" w:hAnsi="宋体" w:eastAsia="宋体" w:cs="宋体"/>
        </w:rPr>
        <w:t>P0——</w:t>
      </w:r>
      <w:r>
        <w:rPr>
          <w:rFonts w:hint="eastAsia" w:ascii="宋体" w:hAnsi="宋体" w:eastAsia="宋体" w:cs="宋体"/>
        </w:rPr>
        <w:t>环境压力，</w:t>
      </w:r>
      <w:r>
        <w:rPr>
          <w:rFonts w:hint="default" w:ascii="宋体" w:hAnsi="宋体" w:eastAsia="宋体" w:cs="宋体"/>
        </w:rPr>
        <w:t>Pa</w:t>
      </w:r>
      <w:r>
        <w:rPr>
          <w:rFonts w:hint="eastAsia" w:ascii="宋体" w:hAnsi="宋体" w:eastAsia="宋体" w:cs="宋体"/>
        </w:rPr>
        <w:t>；</w:t>
      </w:r>
    </w:p>
    <w:p w14:paraId="40DF0E55">
      <w:pPr>
        <w:ind w:firstLine="1200" w:firstLineChars="500"/>
        <w:jc w:val="left"/>
        <w:rPr>
          <w:rFonts w:hint="default" w:ascii="宋体" w:hAnsi="宋体" w:eastAsia="宋体" w:cs="宋体"/>
        </w:rPr>
      </w:pPr>
      <w:r>
        <w:rPr>
          <w:rFonts w:hint="default" w:ascii="宋体" w:hAnsi="宋体" w:eastAsia="宋体" w:cs="宋体"/>
        </w:rPr>
        <w:t>γ——</w:t>
      </w:r>
      <w:r>
        <w:rPr>
          <w:rFonts w:hint="eastAsia" w:ascii="宋体" w:hAnsi="宋体" w:eastAsia="宋体" w:cs="宋体"/>
        </w:rPr>
        <w:t>气体的绝热指数（比热容比），即定压比热容</w:t>
      </w:r>
      <w:r>
        <w:rPr>
          <w:rFonts w:hint="default" w:ascii="宋体" w:hAnsi="宋体" w:eastAsia="宋体" w:cs="宋体"/>
        </w:rPr>
        <w:t xml:space="preserve">Cp </w:t>
      </w:r>
      <w:r>
        <w:rPr>
          <w:rFonts w:hint="eastAsia" w:ascii="宋体" w:hAnsi="宋体" w:eastAsia="宋体" w:cs="宋体"/>
        </w:rPr>
        <w:t>与定容比热容</w:t>
      </w:r>
      <w:r>
        <w:rPr>
          <w:rFonts w:hint="default" w:ascii="宋体" w:hAnsi="宋体" w:eastAsia="宋体" w:cs="宋体"/>
        </w:rPr>
        <w:t xml:space="preserve">CV </w:t>
      </w:r>
      <w:r>
        <w:rPr>
          <w:rFonts w:hint="eastAsia" w:ascii="宋体" w:hAnsi="宋体" w:eastAsia="宋体" w:cs="宋体"/>
        </w:rPr>
        <w:t>之比。</w:t>
      </w:r>
    </w:p>
    <w:p w14:paraId="55D9C59B">
      <w:pPr>
        <w:ind w:firstLine="480" w:firstLineChars="200"/>
        <w:jc w:val="left"/>
        <w:rPr>
          <w:rFonts w:hint="eastAsia" w:ascii="宋体" w:hAnsi="宋体" w:eastAsia="宋体" w:cs="宋体"/>
        </w:rPr>
      </w:pPr>
      <w:r>
        <w:rPr>
          <w:rFonts w:hint="eastAsia" w:ascii="宋体" w:hAnsi="宋体" w:eastAsia="宋体" w:cs="宋体"/>
        </w:rPr>
        <w:t>假定气体的特性是理想气体，气体泄漏速度</w:t>
      </w:r>
      <w:r>
        <w:rPr>
          <w:rFonts w:hint="default" w:ascii="宋体" w:hAnsi="宋体" w:eastAsia="宋体" w:cs="宋体"/>
        </w:rPr>
        <w:t xml:space="preserve">QG </w:t>
      </w:r>
      <w:r>
        <w:rPr>
          <w:rFonts w:hint="eastAsia" w:ascii="宋体" w:hAnsi="宋体" w:eastAsia="宋体" w:cs="宋体"/>
        </w:rPr>
        <w:t>按下式计算：</w:t>
      </w:r>
    </w:p>
    <w:p w14:paraId="599A1D4A">
      <w:pPr>
        <w:pStyle w:val="52"/>
        <w:keepNext w:val="0"/>
        <w:keepLines w:val="0"/>
        <w:widowControl/>
        <w:suppressLineNumbers w:val="0"/>
        <w:spacing w:line="240" w:lineRule="auto"/>
        <w:ind w:left="0" w:firstLine="480" w:firstLineChars="200"/>
        <w:jc w:val="center"/>
        <w:textAlignment w:val="center"/>
        <w:rPr>
          <w:rFonts w:hint="eastAsia" w:ascii="宋体" w:hAnsi="宋体" w:eastAsia="宋体" w:cs="宋体"/>
          <w:color w:val="000000"/>
          <w:spacing w:val="0"/>
          <w:position w:val="0"/>
          <w:sz w:val="24"/>
          <w:szCs w:val="24"/>
        </w:rPr>
      </w:pPr>
      <w:r>
        <w:drawing>
          <wp:inline distT="0" distB="0" distL="114300" distR="114300">
            <wp:extent cx="1399540" cy="559435"/>
            <wp:effectExtent l="0" t="0" r="10160" b="12065"/>
            <wp:docPr id="115" name="图片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 name="图片 94"/>
                    <pic:cNvPicPr>
                      <a:picLocks noChangeAspect="1"/>
                    </pic:cNvPicPr>
                  </pic:nvPicPr>
                  <pic:blipFill>
                    <a:blip r:embed="rId109"/>
                    <a:stretch>
                      <a:fillRect/>
                    </a:stretch>
                  </pic:blipFill>
                  <pic:spPr>
                    <a:xfrm>
                      <a:off x="0" y="0"/>
                      <a:ext cx="1399540" cy="559435"/>
                    </a:xfrm>
                    <a:prstGeom prst="rect">
                      <a:avLst/>
                    </a:prstGeom>
                    <a:noFill/>
                    <a:ln>
                      <a:noFill/>
                    </a:ln>
                  </pic:spPr>
                </pic:pic>
              </a:graphicData>
            </a:graphic>
          </wp:inline>
        </w:drawing>
      </w:r>
    </w:p>
    <w:p w14:paraId="39A67D58">
      <w:pPr>
        <w:ind w:firstLine="480" w:firstLineChars="200"/>
        <w:jc w:val="left"/>
        <w:rPr>
          <w:rFonts w:hint="eastAsia" w:ascii="宋体" w:hAnsi="宋体" w:eastAsia="宋体" w:cs="宋体"/>
        </w:rPr>
      </w:pPr>
      <w:r>
        <w:rPr>
          <w:rFonts w:hint="eastAsia" w:ascii="宋体" w:hAnsi="宋体" w:eastAsia="宋体" w:cs="宋体"/>
        </w:rPr>
        <w:t>式中：</w:t>
      </w:r>
      <w:r>
        <w:rPr>
          <w:rFonts w:hint="default" w:ascii="宋体" w:hAnsi="宋体" w:eastAsia="宋体" w:cs="宋体"/>
        </w:rPr>
        <w:t>Q</w:t>
      </w:r>
      <w:r>
        <w:rPr>
          <w:rFonts w:hint="default" w:ascii="宋体" w:hAnsi="宋体" w:eastAsia="宋体" w:cs="宋体"/>
          <w:vertAlign w:val="subscript"/>
        </w:rPr>
        <w:t>G</w:t>
      </w:r>
      <w:r>
        <w:rPr>
          <w:rFonts w:hint="default" w:ascii="宋体" w:hAnsi="宋体" w:eastAsia="宋体" w:cs="宋体"/>
        </w:rPr>
        <w:t>——</w:t>
      </w:r>
      <w:r>
        <w:rPr>
          <w:rFonts w:hint="eastAsia" w:ascii="宋体" w:hAnsi="宋体" w:eastAsia="宋体" w:cs="宋体"/>
        </w:rPr>
        <w:t>气体泄漏速度，</w:t>
      </w:r>
      <w:r>
        <w:rPr>
          <w:rFonts w:hint="default" w:ascii="宋体" w:hAnsi="宋体" w:eastAsia="宋体" w:cs="宋体"/>
        </w:rPr>
        <w:t>kg/s</w:t>
      </w:r>
      <w:r>
        <w:rPr>
          <w:rFonts w:hint="eastAsia" w:ascii="宋体" w:hAnsi="宋体" w:eastAsia="宋体" w:cs="宋体"/>
        </w:rPr>
        <w:t>；</w:t>
      </w:r>
    </w:p>
    <w:p w14:paraId="0AF85315">
      <w:pPr>
        <w:ind w:firstLine="960" w:firstLineChars="400"/>
        <w:jc w:val="left"/>
        <w:rPr>
          <w:rFonts w:hint="eastAsia" w:ascii="宋体" w:hAnsi="宋体" w:eastAsia="宋体" w:cs="宋体"/>
        </w:rPr>
      </w:pPr>
      <w:r>
        <w:rPr>
          <w:rFonts w:hint="default" w:ascii="宋体" w:hAnsi="宋体" w:eastAsia="宋体" w:cs="宋体"/>
        </w:rPr>
        <w:t>P——</w:t>
      </w:r>
      <w:r>
        <w:rPr>
          <w:rFonts w:hint="eastAsia" w:ascii="宋体" w:hAnsi="宋体" w:eastAsia="宋体" w:cs="宋体"/>
        </w:rPr>
        <w:t>容器压力，</w:t>
      </w:r>
      <w:r>
        <w:rPr>
          <w:rFonts w:hint="default" w:ascii="宋体" w:hAnsi="宋体" w:eastAsia="宋体" w:cs="宋体"/>
        </w:rPr>
        <w:t>Pa</w:t>
      </w:r>
      <w:r>
        <w:rPr>
          <w:rFonts w:hint="eastAsia" w:ascii="宋体" w:hAnsi="宋体" w:eastAsia="宋体" w:cs="宋体"/>
        </w:rPr>
        <w:t>；</w:t>
      </w:r>
    </w:p>
    <w:p w14:paraId="7B7DE6BF">
      <w:pPr>
        <w:ind w:firstLine="960" w:firstLineChars="400"/>
        <w:jc w:val="left"/>
        <w:rPr>
          <w:rFonts w:hint="eastAsia" w:ascii="宋体" w:hAnsi="宋体" w:eastAsia="宋体" w:cs="宋体"/>
        </w:rPr>
      </w:pPr>
      <w:r>
        <w:rPr>
          <w:rFonts w:hint="default" w:ascii="宋体" w:hAnsi="宋体" w:eastAsia="宋体" w:cs="宋体"/>
        </w:rPr>
        <w:t>Cd——</w:t>
      </w:r>
      <w:r>
        <w:rPr>
          <w:rFonts w:hint="eastAsia" w:ascii="宋体" w:hAnsi="宋体" w:eastAsia="宋体" w:cs="宋体"/>
        </w:rPr>
        <w:t>气体泄漏系数；当裂口形状为圆形时取</w:t>
      </w:r>
      <w:r>
        <w:rPr>
          <w:rFonts w:hint="default" w:ascii="宋体" w:hAnsi="宋体" w:eastAsia="宋体" w:cs="宋体"/>
        </w:rPr>
        <w:t>1.00</w:t>
      </w:r>
      <w:r>
        <w:rPr>
          <w:rFonts w:hint="eastAsia" w:ascii="宋体" w:hAnsi="宋体" w:eastAsia="宋体" w:cs="宋体"/>
        </w:rPr>
        <w:t>，三角形时取</w:t>
      </w:r>
      <w:r>
        <w:rPr>
          <w:rFonts w:hint="default" w:ascii="宋体" w:hAnsi="宋体" w:eastAsia="宋体" w:cs="宋体"/>
        </w:rPr>
        <w:t>0.95</w:t>
      </w:r>
      <w:r>
        <w:rPr>
          <w:rFonts w:hint="eastAsia" w:ascii="宋体" w:hAnsi="宋体" w:eastAsia="宋体" w:cs="宋体"/>
        </w:rPr>
        <w:t>，长方形时取</w:t>
      </w:r>
      <w:r>
        <w:rPr>
          <w:rFonts w:hint="default" w:ascii="宋体" w:hAnsi="宋体" w:eastAsia="宋体" w:cs="宋体"/>
        </w:rPr>
        <w:t>0.90</w:t>
      </w:r>
      <w:r>
        <w:rPr>
          <w:rFonts w:hint="eastAsia" w:ascii="宋体" w:hAnsi="宋体" w:eastAsia="宋体" w:cs="宋体"/>
        </w:rPr>
        <w:t>；</w:t>
      </w:r>
    </w:p>
    <w:p w14:paraId="23A2F8F2">
      <w:pPr>
        <w:ind w:firstLine="960" w:firstLineChars="400"/>
        <w:jc w:val="left"/>
        <w:rPr>
          <w:rFonts w:hint="eastAsia" w:ascii="宋体" w:hAnsi="宋体" w:eastAsia="宋体" w:cs="宋体"/>
        </w:rPr>
      </w:pPr>
      <w:r>
        <w:rPr>
          <w:rFonts w:hint="default" w:ascii="宋体" w:hAnsi="宋体" w:eastAsia="宋体" w:cs="宋体"/>
        </w:rPr>
        <w:t>M——</w:t>
      </w:r>
      <w:r>
        <w:rPr>
          <w:rFonts w:hint="eastAsia" w:ascii="宋体" w:hAnsi="宋体" w:eastAsia="宋体" w:cs="宋体"/>
        </w:rPr>
        <w:t xml:space="preserve">物质的摩尔质量， </w:t>
      </w:r>
      <w:r>
        <w:rPr>
          <w:rFonts w:hint="default" w:ascii="宋体" w:hAnsi="宋体" w:eastAsia="宋体" w:cs="宋体"/>
        </w:rPr>
        <w:t>kg/mol</w:t>
      </w:r>
      <w:r>
        <w:rPr>
          <w:rFonts w:hint="eastAsia" w:ascii="宋体" w:hAnsi="宋体" w:eastAsia="宋体" w:cs="宋体"/>
        </w:rPr>
        <w:t>；</w:t>
      </w:r>
    </w:p>
    <w:p w14:paraId="068F6DEB">
      <w:pPr>
        <w:ind w:firstLine="960" w:firstLineChars="400"/>
        <w:jc w:val="left"/>
        <w:rPr>
          <w:rFonts w:hint="eastAsia" w:ascii="宋体" w:hAnsi="宋体" w:eastAsia="宋体" w:cs="宋体"/>
        </w:rPr>
      </w:pPr>
      <w:r>
        <w:rPr>
          <w:rFonts w:hint="default" w:ascii="宋体" w:hAnsi="宋体" w:eastAsia="宋体" w:cs="宋体"/>
        </w:rPr>
        <w:t>R——</w:t>
      </w:r>
      <w:r>
        <w:rPr>
          <w:rFonts w:hint="eastAsia" w:ascii="宋体" w:hAnsi="宋体" w:eastAsia="宋体" w:cs="宋体"/>
        </w:rPr>
        <w:t>气体常数，</w:t>
      </w:r>
      <w:r>
        <w:rPr>
          <w:rFonts w:hint="default" w:ascii="宋体" w:hAnsi="宋体" w:eastAsia="宋体" w:cs="宋体"/>
        </w:rPr>
        <w:t>J/</w:t>
      </w:r>
      <w:r>
        <w:rPr>
          <w:rFonts w:hint="eastAsia" w:ascii="宋体" w:hAnsi="宋体" w:eastAsia="宋体" w:cs="宋体"/>
        </w:rPr>
        <w:t>（</w:t>
      </w:r>
      <w:r>
        <w:rPr>
          <w:rFonts w:hint="default" w:ascii="宋体" w:hAnsi="宋体" w:eastAsia="宋体" w:cs="宋体"/>
        </w:rPr>
        <w:t>mol·k</w:t>
      </w:r>
      <w:r>
        <w:rPr>
          <w:rFonts w:hint="eastAsia" w:ascii="宋体" w:hAnsi="宋体" w:eastAsia="宋体" w:cs="宋体"/>
        </w:rPr>
        <w:t>）；</w:t>
      </w:r>
    </w:p>
    <w:p w14:paraId="58A3D489">
      <w:pPr>
        <w:ind w:firstLine="960" w:firstLineChars="400"/>
        <w:jc w:val="left"/>
        <w:rPr>
          <w:rFonts w:hint="eastAsia" w:ascii="宋体" w:hAnsi="宋体" w:eastAsia="宋体" w:cs="宋体"/>
        </w:rPr>
      </w:pPr>
      <w:r>
        <w:rPr>
          <w:rFonts w:hint="default" w:ascii="宋体" w:hAnsi="宋体" w:eastAsia="宋体" w:cs="宋体"/>
        </w:rPr>
        <w:t>TG——</w:t>
      </w:r>
      <w:r>
        <w:rPr>
          <w:rFonts w:hint="eastAsia" w:ascii="宋体" w:hAnsi="宋体" w:eastAsia="宋体" w:cs="宋体"/>
        </w:rPr>
        <w:t>气体温度，</w:t>
      </w:r>
      <w:r>
        <w:rPr>
          <w:rFonts w:hint="default" w:ascii="宋体" w:hAnsi="宋体" w:eastAsia="宋体" w:cs="宋体"/>
        </w:rPr>
        <w:t>K</w:t>
      </w:r>
      <w:r>
        <w:rPr>
          <w:rFonts w:hint="eastAsia" w:ascii="宋体" w:hAnsi="宋体" w:eastAsia="宋体" w:cs="宋体"/>
        </w:rPr>
        <w:t>；</w:t>
      </w:r>
    </w:p>
    <w:p w14:paraId="58051E7F">
      <w:pPr>
        <w:ind w:firstLine="960" w:firstLineChars="400"/>
        <w:jc w:val="left"/>
        <w:rPr>
          <w:rFonts w:hint="eastAsia" w:ascii="宋体" w:hAnsi="宋体" w:eastAsia="宋体" w:cs="宋体"/>
        </w:rPr>
      </w:pPr>
      <w:r>
        <w:rPr>
          <w:rFonts w:hint="default" w:ascii="宋体" w:hAnsi="宋体" w:eastAsia="宋体" w:cs="宋体"/>
        </w:rPr>
        <w:t>A——</w:t>
      </w:r>
      <w:r>
        <w:rPr>
          <w:rFonts w:hint="eastAsia" w:ascii="宋体" w:hAnsi="宋体" w:eastAsia="宋体" w:cs="宋体"/>
        </w:rPr>
        <w:t>裂口面积，</w:t>
      </w:r>
      <w:r>
        <w:rPr>
          <w:rFonts w:hint="default" w:ascii="宋体" w:hAnsi="宋体" w:eastAsia="宋体" w:cs="宋体"/>
        </w:rPr>
        <w:t>m</w:t>
      </w:r>
      <w:r>
        <w:rPr>
          <w:rFonts w:hint="default" w:ascii="宋体" w:hAnsi="宋体" w:eastAsia="宋体" w:cs="宋体"/>
          <w:vertAlign w:val="superscript"/>
        </w:rPr>
        <w:t>2</w:t>
      </w:r>
      <w:r>
        <w:rPr>
          <w:rFonts w:hint="eastAsia" w:ascii="宋体" w:hAnsi="宋体" w:eastAsia="宋体" w:cs="宋体"/>
        </w:rPr>
        <w:t>；</w:t>
      </w:r>
    </w:p>
    <w:p w14:paraId="737D10CE">
      <w:pPr>
        <w:ind w:firstLine="960" w:firstLineChars="400"/>
        <w:jc w:val="left"/>
        <w:rPr>
          <w:rFonts w:hint="eastAsia" w:ascii="宋体" w:hAnsi="宋体" w:eastAsia="宋体" w:cs="宋体"/>
        </w:rPr>
      </w:pPr>
      <w:r>
        <w:rPr>
          <w:rFonts w:hint="default" w:ascii="宋体" w:hAnsi="宋体" w:eastAsia="宋体" w:cs="宋体"/>
        </w:rPr>
        <w:t>Y ——</w:t>
      </w:r>
      <w:r>
        <w:rPr>
          <w:rFonts w:hint="eastAsia" w:ascii="宋体" w:hAnsi="宋体" w:eastAsia="宋体" w:cs="宋体"/>
        </w:rPr>
        <w:t>流出系数，对于临界流</w:t>
      </w:r>
      <w:r>
        <w:rPr>
          <w:rFonts w:hint="default" w:ascii="宋体" w:hAnsi="宋体" w:eastAsia="宋体" w:cs="宋体"/>
        </w:rPr>
        <w:t>Y=1.0</w:t>
      </w:r>
      <w:r>
        <w:rPr>
          <w:rFonts w:hint="eastAsia" w:ascii="宋体" w:hAnsi="宋体" w:eastAsia="宋体" w:cs="宋体"/>
        </w:rPr>
        <w:t>；</w:t>
      </w:r>
    </w:p>
    <w:p w14:paraId="7EE2EB85">
      <w:pPr>
        <w:ind w:firstLine="480" w:firstLineChars="200"/>
        <w:jc w:val="left"/>
        <w:rPr>
          <w:rFonts w:hint="eastAsia" w:ascii="宋体" w:hAnsi="宋体" w:eastAsia="宋体" w:cs="宋体"/>
        </w:rPr>
      </w:pPr>
      <w:r>
        <w:rPr>
          <w:rFonts w:hint="eastAsia" w:ascii="宋体" w:hAnsi="宋体" w:eastAsia="宋体" w:cs="宋体"/>
        </w:rPr>
        <w:t>本项目环境风险事故为高炉煤气输送管道的泄漏，接口压力均要求</w:t>
      </w:r>
      <w:r>
        <w:rPr>
          <w:rFonts w:hint="default" w:ascii="宋体" w:hAnsi="宋体" w:eastAsia="宋体" w:cs="宋体"/>
        </w:rPr>
        <w:t>10~20kPa</w:t>
      </w:r>
      <w:r>
        <w:rPr>
          <w:rFonts w:hint="eastAsia" w:ascii="宋体" w:hAnsi="宋体" w:eastAsia="宋体" w:cs="宋体"/>
        </w:rPr>
        <w:t>；管道煤气管道采用架空管道敷设，内径</w:t>
      </w:r>
      <w:r>
        <w:rPr>
          <w:rFonts w:hint="default" w:ascii="宋体" w:hAnsi="宋体" w:eastAsia="宋体" w:cs="宋体"/>
        </w:rPr>
        <w:t>630mm</w:t>
      </w:r>
      <w:r>
        <w:rPr>
          <w:rFonts w:hint="eastAsia" w:ascii="宋体" w:hAnsi="宋体" w:eastAsia="宋体" w:cs="宋体"/>
        </w:rPr>
        <w:t>（</w:t>
      </w:r>
      <w:r>
        <w:rPr>
          <w:rFonts w:hint="default" w:ascii="宋体" w:hAnsi="宋体" w:eastAsia="宋体" w:cs="宋体"/>
        </w:rPr>
        <w:t>10%</w:t>
      </w:r>
      <w:r>
        <w:rPr>
          <w:rFonts w:hint="eastAsia" w:ascii="宋体" w:hAnsi="宋体" w:eastAsia="宋体" w:cs="宋体"/>
        </w:rPr>
        <w:t>管径泄漏），地面高程</w:t>
      </w:r>
      <w:r>
        <w:rPr>
          <w:rFonts w:hint="default" w:ascii="宋体" w:hAnsi="宋体" w:eastAsia="宋体" w:cs="宋体"/>
        </w:rPr>
        <w:t>3m</w:t>
      </w:r>
      <w:r>
        <w:rPr>
          <w:rFonts w:hint="eastAsia" w:ascii="宋体" w:hAnsi="宋体" w:eastAsia="宋体" w:cs="宋体"/>
        </w:rPr>
        <w:t>。</w:t>
      </w:r>
    </w:p>
    <w:p w14:paraId="6C03B19E">
      <w:pPr>
        <w:ind w:firstLine="480" w:firstLineChars="200"/>
        <w:jc w:val="left"/>
        <w:rPr>
          <w:rFonts w:hint="eastAsia" w:ascii="宋体" w:hAnsi="宋体" w:eastAsia="宋体" w:cs="宋体"/>
        </w:rPr>
      </w:pPr>
      <w:r>
        <w:rPr>
          <w:rFonts w:hint="eastAsia" w:ascii="宋体" w:hAnsi="宋体" w:eastAsia="宋体" w:cs="宋体"/>
        </w:rPr>
        <w:t>根据上述公式计算，本项目高炉废气泄漏速率为0.0064</w:t>
      </w:r>
      <w:r>
        <w:rPr>
          <w:rFonts w:hint="default" w:ascii="宋体" w:hAnsi="宋体" w:eastAsia="宋体" w:cs="宋体"/>
        </w:rPr>
        <w:t>kg/s</w:t>
      </w:r>
      <w:r>
        <w:rPr>
          <w:rFonts w:hint="eastAsia" w:ascii="宋体" w:hAnsi="宋体" w:eastAsia="宋体" w:cs="宋体"/>
        </w:rPr>
        <w:t>，根据表</w:t>
      </w:r>
      <w:r>
        <w:rPr>
          <w:rFonts w:hint="default" w:ascii="宋体" w:hAnsi="宋体" w:eastAsia="宋体" w:cs="宋体"/>
        </w:rPr>
        <w:t>4.5.3-4</w:t>
      </w:r>
      <w:r>
        <w:rPr>
          <w:rFonts w:hint="eastAsia" w:ascii="宋体" w:hAnsi="宋体" w:eastAsia="宋体" w:cs="宋体"/>
        </w:rPr>
        <w:t>，本项目高炉煤气中</w:t>
      </w:r>
      <w:r>
        <w:rPr>
          <w:rFonts w:hint="default" w:ascii="宋体" w:hAnsi="宋体" w:eastAsia="宋体" w:cs="宋体"/>
        </w:rPr>
        <w:t>CO</w:t>
      </w:r>
      <w:r>
        <w:rPr>
          <w:rFonts w:hint="eastAsia" w:ascii="宋体" w:hAnsi="宋体" w:eastAsia="宋体" w:cs="宋体"/>
        </w:rPr>
        <w:t>含量为</w:t>
      </w:r>
      <w:r>
        <w:rPr>
          <w:rFonts w:hint="default" w:ascii="宋体" w:hAnsi="宋体" w:eastAsia="宋体" w:cs="宋体"/>
        </w:rPr>
        <w:t>28.07%</w:t>
      </w:r>
      <w:r>
        <w:rPr>
          <w:rFonts w:hint="eastAsia" w:ascii="宋体" w:hAnsi="宋体" w:eastAsia="宋体" w:cs="宋体"/>
        </w:rPr>
        <w:t>，则本项目</w:t>
      </w:r>
      <w:r>
        <w:rPr>
          <w:rFonts w:hint="default" w:ascii="宋体" w:hAnsi="宋体" w:eastAsia="宋体" w:cs="宋体"/>
        </w:rPr>
        <w:t>CO</w:t>
      </w:r>
      <w:r>
        <w:rPr>
          <w:rFonts w:hint="eastAsia" w:ascii="宋体" w:hAnsi="宋体" w:eastAsia="宋体" w:cs="宋体"/>
        </w:rPr>
        <w:t>泄漏速率为</w:t>
      </w:r>
      <w:r>
        <w:rPr>
          <w:rFonts w:hint="default" w:ascii="宋体" w:hAnsi="宋体" w:eastAsia="宋体" w:cs="宋体"/>
        </w:rPr>
        <w:t>0.864kg/s</w:t>
      </w:r>
      <w:r>
        <w:rPr>
          <w:rFonts w:hint="eastAsia" w:ascii="宋体" w:hAnsi="宋体" w:eastAsia="宋体" w:cs="宋体"/>
        </w:rPr>
        <w:t>，拟建项目煤气管道设置紧急隔离系统单元及自动监控设施，同时考虑响应时间，泄漏时间设置</w:t>
      </w:r>
      <w:r>
        <w:rPr>
          <w:rFonts w:hint="default" w:ascii="宋体" w:hAnsi="宋体" w:eastAsia="宋体" w:cs="宋体"/>
        </w:rPr>
        <w:t>10min</w:t>
      </w:r>
      <w:r>
        <w:rPr>
          <w:rFonts w:hint="eastAsia" w:ascii="宋体" w:hAnsi="宋体" w:eastAsia="宋体" w:cs="宋体"/>
        </w:rPr>
        <w:t>。则计算结果见表</w:t>
      </w:r>
      <w:r>
        <w:rPr>
          <w:rFonts w:hint="default" w:ascii="宋体" w:hAnsi="宋体" w:eastAsia="宋体" w:cs="宋体"/>
        </w:rPr>
        <w:t>6.2-</w:t>
      </w:r>
      <w:r>
        <w:rPr>
          <w:rFonts w:hint="eastAsia" w:cs="宋体"/>
          <w:lang w:val="en-US" w:eastAsia="zh-CN"/>
        </w:rPr>
        <w:t>6</w:t>
      </w:r>
      <w:r>
        <w:rPr>
          <w:rFonts w:hint="eastAsia" w:ascii="宋体" w:hAnsi="宋体" w:eastAsia="宋体" w:cs="宋体"/>
        </w:rPr>
        <w:t>。</w:t>
      </w:r>
    </w:p>
    <w:p w14:paraId="731486AA">
      <w:pPr>
        <w:jc w:val="center"/>
      </w:pPr>
      <w:r>
        <w:t>表</w:t>
      </w:r>
      <w:r>
        <w:rPr>
          <w:rFonts w:hint="eastAsia"/>
        </w:rPr>
        <w:t>6.2-</w:t>
      </w:r>
      <w:r>
        <w:rPr>
          <w:rFonts w:hint="eastAsia"/>
          <w:lang w:val="en-US" w:eastAsia="zh-CN"/>
        </w:rPr>
        <w:t>6</w:t>
      </w:r>
      <w:r>
        <w:t xml:space="preserve"> 建设项目源强一览表</w:t>
      </w:r>
    </w:p>
    <w:tbl>
      <w:tblPr>
        <w:tblStyle w:val="56"/>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537"/>
        <w:gridCol w:w="1197"/>
        <w:gridCol w:w="757"/>
        <w:gridCol w:w="757"/>
        <w:gridCol w:w="1101"/>
        <w:gridCol w:w="1506"/>
        <w:gridCol w:w="1331"/>
        <w:gridCol w:w="1535"/>
      </w:tblGrid>
      <w:tr w14:paraId="7BBB57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0" w:type="auto"/>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666CB898">
            <w:pPr>
              <w:jc w:val="center"/>
              <w:rPr>
                <w:b/>
                <w:sz w:val="21"/>
                <w:szCs w:val="21"/>
              </w:rPr>
            </w:pPr>
            <w:r>
              <w:rPr>
                <w:b/>
                <w:sz w:val="21"/>
                <w:szCs w:val="21"/>
              </w:rPr>
              <w:t>序号</w:t>
            </w:r>
          </w:p>
        </w:tc>
        <w:tc>
          <w:tcPr>
            <w:tcW w:w="0" w:type="auto"/>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20C47E3E">
            <w:pPr>
              <w:jc w:val="center"/>
              <w:rPr>
                <w:b/>
                <w:sz w:val="21"/>
                <w:szCs w:val="21"/>
              </w:rPr>
            </w:pPr>
            <w:r>
              <w:rPr>
                <w:b/>
                <w:sz w:val="21"/>
                <w:szCs w:val="21"/>
              </w:rPr>
              <w:t>风险事故情形描述</w:t>
            </w:r>
          </w:p>
        </w:tc>
        <w:tc>
          <w:tcPr>
            <w:tcW w:w="0" w:type="auto"/>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6CDA88B2">
            <w:pPr>
              <w:jc w:val="center"/>
              <w:rPr>
                <w:b/>
                <w:sz w:val="21"/>
                <w:szCs w:val="21"/>
              </w:rPr>
            </w:pPr>
            <w:r>
              <w:rPr>
                <w:b/>
                <w:sz w:val="21"/>
                <w:szCs w:val="21"/>
              </w:rPr>
              <w:t>危险单元</w:t>
            </w:r>
          </w:p>
        </w:tc>
        <w:tc>
          <w:tcPr>
            <w:tcW w:w="0" w:type="auto"/>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431781FE">
            <w:pPr>
              <w:jc w:val="center"/>
              <w:rPr>
                <w:b/>
                <w:sz w:val="21"/>
                <w:szCs w:val="21"/>
              </w:rPr>
            </w:pPr>
            <w:r>
              <w:rPr>
                <w:b/>
                <w:sz w:val="21"/>
                <w:szCs w:val="21"/>
              </w:rPr>
              <w:t>危险物质</w:t>
            </w:r>
          </w:p>
        </w:tc>
        <w:tc>
          <w:tcPr>
            <w:tcW w:w="631" w:type="pct"/>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5A635826">
            <w:pPr>
              <w:jc w:val="center"/>
              <w:rPr>
                <w:b/>
                <w:sz w:val="21"/>
                <w:szCs w:val="21"/>
              </w:rPr>
            </w:pPr>
            <w:r>
              <w:rPr>
                <w:b/>
                <w:sz w:val="21"/>
                <w:szCs w:val="21"/>
              </w:rPr>
              <w:t>影响途径</w:t>
            </w:r>
          </w:p>
        </w:tc>
        <w:tc>
          <w:tcPr>
            <w:tcW w:w="863" w:type="pct"/>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75C9259A">
            <w:pPr>
              <w:jc w:val="center"/>
              <w:rPr>
                <w:b/>
                <w:sz w:val="21"/>
                <w:szCs w:val="21"/>
              </w:rPr>
            </w:pPr>
            <w:r>
              <w:rPr>
                <w:b/>
                <w:sz w:val="21"/>
                <w:szCs w:val="21"/>
              </w:rPr>
              <w:t>释放或泄漏速率（kg/s）</w:t>
            </w:r>
          </w:p>
        </w:tc>
        <w:tc>
          <w:tcPr>
            <w:tcW w:w="0" w:type="auto"/>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1736F3A2">
            <w:pPr>
              <w:jc w:val="center"/>
              <w:rPr>
                <w:b/>
                <w:sz w:val="21"/>
                <w:szCs w:val="21"/>
              </w:rPr>
            </w:pPr>
            <w:r>
              <w:rPr>
                <w:b/>
                <w:sz w:val="21"/>
                <w:szCs w:val="21"/>
              </w:rPr>
              <w:t>释放或泄漏时间min</w:t>
            </w:r>
          </w:p>
        </w:tc>
        <w:tc>
          <w:tcPr>
            <w:tcW w:w="0" w:type="auto"/>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194F6642">
            <w:pPr>
              <w:jc w:val="center"/>
              <w:rPr>
                <w:b/>
                <w:sz w:val="21"/>
                <w:szCs w:val="21"/>
              </w:rPr>
            </w:pPr>
            <w:r>
              <w:rPr>
                <w:b/>
                <w:sz w:val="21"/>
                <w:szCs w:val="21"/>
              </w:rPr>
              <w:t>最大释放或泄漏量kg</w:t>
            </w:r>
          </w:p>
        </w:tc>
      </w:tr>
      <w:tr w14:paraId="5FDFE8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0" w:type="auto"/>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0A3649C8">
            <w:pPr>
              <w:jc w:val="center"/>
              <w:rPr>
                <w:sz w:val="21"/>
                <w:szCs w:val="21"/>
              </w:rPr>
            </w:pPr>
            <w:r>
              <w:rPr>
                <w:sz w:val="21"/>
                <w:szCs w:val="21"/>
              </w:rPr>
              <w:t>1</w:t>
            </w:r>
          </w:p>
        </w:tc>
        <w:tc>
          <w:tcPr>
            <w:tcW w:w="0" w:type="auto"/>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28F0398B">
            <w:pPr>
              <w:jc w:val="center"/>
              <w:rPr>
                <w:sz w:val="21"/>
                <w:szCs w:val="21"/>
              </w:rPr>
            </w:pPr>
            <w:r>
              <w:rPr>
                <w:sz w:val="21"/>
                <w:szCs w:val="21"/>
              </w:rPr>
              <w:t>煤气输送管道泄漏</w:t>
            </w:r>
          </w:p>
        </w:tc>
        <w:tc>
          <w:tcPr>
            <w:tcW w:w="0" w:type="auto"/>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60AA989F">
            <w:pPr>
              <w:jc w:val="center"/>
              <w:rPr>
                <w:sz w:val="21"/>
                <w:szCs w:val="21"/>
              </w:rPr>
            </w:pPr>
            <w:r>
              <w:rPr>
                <w:sz w:val="21"/>
                <w:szCs w:val="21"/>
              </w:rPr>
              <w:t>高炉煤气</w:t>
            </w:r>
          </w:p>
        </w:tc>
        <w:tc>
          <w:tcPr>
            <w:tcW w:w="0" w:type="auto"/>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13138170">
            <w:pPr>
              <w:jc w:val="center"/>
              <w:rPr>
                <w:sz w:val="21"/>
                <w:szCs w:val="21"/>
              </w:rPr>
            </w:pPr>
            <w:r>
              <w:rPr>
                <w:sz w:val="21"/>
                <w:szCs w:val="21"/>
              </w:rPr>
              <w:t>CO</w:t>
            </w:r>
          </w:p>
        </w:tc>
        <w:tc>
          <w:tcPr>
            <w:tcW w:w="631" w:type="pct"/>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21A6BB0D">
            <w:pPr>
              <w:jc w:val="center"/>
              <w:rPr>
                <w:sz w:val="21"/>
                <w:szCs w:val="21"/>
              </w:rPr>
            </w:pPr>
            <w:r>
              <w:rPr>
                <w:sz w:val="21"/>
                <w:szCs w:val="21"/>
              </w:rPr>
              <w:t>大气</w:t>
            </w:r>
          </w:p>
        </w:tc>
        <w:tc>
          <w:tcPr>
            <w:tcW w:w="863" w:type="pct"/>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3332EBC9">
            <w:pPr>
              <w:jc w:val="center"/>
              <w:rPr>
                <w:sz w:val="21"/>
                <w:szCs w:val="21"/>
              </w:rPr>
            </w:pPr>
            <w:r>
              <w:rPr>
                <w:rFonts w:hint="eastAsia"/>
                <w:sz w:val="21"/>
                <w:szCs w:val="21"/>
              </w:rPr>
              <w:t>0.0064</w:t>
            </w:r>
          </w:p>
        </w:tc>
        <w:tc>
          <w:tcPr>
            <w:tcW w:w="0" w:type="auto"/>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4043A60A">
            <w:pPr>
              <w:jc w:val="center"/>
              <w:rPr>
                <w:sz w:val="21"/>
                <w:szCs w:val="21"/>
              </w:rPr>
            </w:pPr>
            <w:r>
              <w:rPr>
                <w:sz w:val="21"/>
                <w:szCs w:val="21"/>
              </w:rPr>
              <w:t>10</w:t>
            </w:r>
          </w:p>
        </w:tc>
        <w:tc>
          <w:tcPr>
            <w:tcW w:w="0" w:type="auto"/>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5E0E99C1">
            <w:pPr>
              <w:jc w:val="center"/>
              <w:rPr>
                <w:sz w:val="21"/>
                <w:szCs w:val="21"/>
              </w:rPr>
            </w:pPr>
            <w:r>
              <w:rPr>
                <w:rFonts w:hint="eastAsia"/>
                <w:sz w:val="21"/>
                <w:szCs w:val="21"/>
              </w:rPr>
              <w:t>3.8225</w:t>
            </w:r>
          </w:p>
        </w:tc>
      </w:tr>
    </w:tbl>
    <w:p w14:paraId="0D738570">
      <w:pPr>
        <w:ind w:firstLine="480" w:firstLineChars="200"/>
        <w:jc w:val="left"/>
        <w:rPr>
          <w:rFonts w:hint="eastAsia" w:ascii="宋体" w:hAnsi="宋体" w:eastAsia="宋体" w:cs="宋体"/>
        </w:rPr>
      </w:pPr>
    </w:p>
    <w:p w14:paraId="5DBB2AD1">
      <w:pPr>
        <w:ind w:firstLine="480" w:firstLineChars="200"/>
        <w:jc w:val="left"/>
        <w:rPr>
          <w:rFonts w:hint="eastAsia" w:ascii="宋体" w:hAnsi="宋体" w:eastAsia="宋体" w:cs="宋体"/>
        </w:rPr>
      </w:pPr>
      <w:r>
        <w:rPr>
          <w:rFonts w:hint="eastAsia" w:ascii="宋体" w:hAnsi="宋体" w:eastAsia="宋体" w:cs="宋体"/>
        </w:rPr>
        <w:t>（</w:t>
      </w:r>
      <w:r>
        <w:rPr>
          <w:rFonts w:hint="default" w:ascii="宋体" w:hAnsi="宋体" w:eastAsia="宋体" w:cs="宋体"/>
        </w:rPr>
        <w:t>2</w:t>
      </w:r>
      <w:r>
        <w:rPr>
          <w:rFonts w:hint="eastAsia" w:ascii="宋体" w:hAnsi="宋体" w:eastAsia="宋体" w:cs="宋体"/>
        </w:rPr>
        <w:t>）氨水泄漏</w:t>
      </w:r>
    </w:p>
    <w:p w14:paraId="29792E49">
      <w:pPr>
        <w:ind w:firstLine="480" w:firstLineChars="200"/>
        <w:jc w:val="left"/>
        <w:rPr>
          <w:rFonts w:hint="eastAsia" w:ascii="宋体" w:hAnsi="宋体" w:eastAsia="宋体" w:cs="宋体"/>
        </w:rPr>
      </w:pPr>
      <w:r>
        <w:rPr>
          <w:rFonts w:hint="eastAsia" w:ascii="宋体" w:hAnsi="宋体" w:eastAsia="宋体" w:cs="宋体"/>
        </w:rPr>
        <w:t>考虑事故发生频率及影响，选取</w:t>
      </w:r>
      <w:r>
        <w:rPr>
          <w:rFonts w:hint="default" w:ascii="宋体" w:hAnsi="宋体" w:eastAsia="宋体" w:cs="宋体"/>
        </w:rPr>
        <w:t>20%</w:t>
      </w:r>
      <w:r>
        <w:rPr>
          <w:rFonts w:hint="eastAsia" w:ascii="宋体" w:hAnsi="宋体" w:eastAsia="宋体" w:cs="宋体"/>
        </w:rPr>
        <w:t>氨水储罐</w:t>
      </w:r>
      <w:r>
        <w:rPr>
          <w:rFonts w:hint="default" w:ascii="宋体" w:hAnsi="宋体" w:eastAsia="宋体" w:cs="宋体"/>
        </w:rPr>
        <w:t>10min</w:t>
      </w:r>
      <w:r>
        <w:rPr>
          <w:rFonts w:hint="eastAsia" w:ascii="宋体" w:hAnsi="宋体" w:eastAsia="宋体" w:cs="宋体"/>
        </w:rPr>
        <w:t>内泄漏完进行预测，氨水储罐泄漏事故采用液体泄漏计算泄漏速率，并考虑表面气流的运动导致的质 量蒸发。厂区内设置</w:t>
      </w:r>
      <w:r>
        <w:rPr>
          <w:rFonts w:hint="eastAsia" w:ascii="宋体" w:hAnsi="宋体" w:eastAsia="宋体" w:cs="宋体"/>
          <w:lang w:val="en-US" w:eastAsia="zh-CN"/>
        </w:rPr>
        <w:t>1</w:t>
      </w:r>
      <w:r>
        <w:rPr>
          <w:rFonts w:hint="eastAsia" w:ascii="宋体" w:hAnsi="宋体" w:eastAsia="宋体" w:cs="宋体"/>
        </w:rPr>
        <w:t>个氨水储罐，容积为</w:t>
      </w:r>
      <w:r>
        <w:rPr>
          <w:rFonts w:hint="eastAsia" w:cs="宋体"/>
          <w:lang w:val="en-US" w:eastAsia="zh-CN"/>
        </w:rPr>
        <w:t>1</w:t>
      </w:r>
      <w:r>
        <w:rPr>
          <w:rFonts w:hint="default" w:ascii="宋体" w:hAnsi="宋体" w:eastAsia="宋体" w:cs="宋体"/>
        </w:rPr>
        <w:t>0m</w:t>
      </w:r>
      <w:r>
        <w:rPr>
          <w:rFonts w:hint="default" w:ascii="宋体" w:hAnsi="宋体" w:eastAsia="宋体" w:cs="宋体"/>
          <w:vertAlign w:val="superscript"/>
        </w:rPr>
        <w:t>3</w:t>
      </w:r>
      <w:r>
        <w:rPr>
          <w:rFonts w:hint="eastAsia" w:ascii="宋体" w:hAnsi="宋体" w:eastAsia="宋体" w:cs="宋体"/>
        </w:rPr>
        <w:t>。氨水蒸发量的估算：</w:t>
      </w:r>
    </w:p>
    <w:p w14:paraId="167747B8">
      <w:pPr>
        <w:ind w:firstLine="480" w:firstLineChars="200"/>
        <w:jc w:val="left"/>
        <w:rPr>
          <w:rFonts w:hint="eastAsia" w:ascii="宋体" w:hAnsi="宋体" w:eastAsia="宋体" w:cs="宋体"/>
        </w:rPr>
      </w:pPr>
      <w:r>
        <w:rPr>
          <w:rFonts w:hint="eastAsia" w:ascii="宋体" w:hAnsi="宋体" w:eastAsia="宋体" w:cs="宋体"/>
        </w:rPr>
        <w:t>氨水泄漏后，在围堰中形成液池，并随着表面风的对流而蒸发扩散。氨水蒸汽即氨气比空气轻，能在高处扩散至较远地方，使环境受到污染。泄漏氨水的蒸发主要是质量蒸发，质量蒸发速度</w:t>
      </w:r>
      <w:r>
        <w:rPr>
          <w:rFonts w:hint="default" w:ascii="宋体" w:hAnsi="宋体" w:eastAsia="宋体" w:cs="宋体"/>
        </w:rPr>
        <w:t>Q3</w:t>
      </w:r>
      <w:r>
        <w:rPr>
          <w:rFonts w:hint="eastAsia" w:ascii="宋体" w:hAnsi="宋体" w:eastAsia="宋体" w:cs="宋体"/>
        </w:rPr>
        <w:t>按下式计算：</w:t>
      </w:r>
    </w:p>
    <w:p w14:paraId="0F63BA87">
      <w:pPr>
        <w:ind w:firstLine="480" w:firstLineChars="200"/>
        <w:jc w:val="center"/>
      </w:pPr>
      <w:r>
        <w:drawing>
          <wp:inline distT="0" distB="0" distL="114300" distR="114300">
            <wp:extent cx="3749675" cy="383540"/>
            <wp:effectExtent l="0" t="0" r="3175" b="16510"/>
            <wp:docPr id="116" name="图片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 name="图片 96"/>
                    <pic:cNvPicPr>
                      <a:picLocks noChangeAspect="1"/>
                    </pic:cNvPicPr>
                  </pic:nvPicPr>
                  <pic:blipFill>
                    <a:blip r:embed="rId110"/>
                    <a:stretch>
                      <a:fillRect/>
                    </a:stretch>
                  </pic:blipFill>
                  <pic:spPr>
                    <a:xfrm>
                      <a:off x="0" y="0"/>
                      <a:ext cx="3749675" cy="383540"/>
                    </a:xfrm>
                    <a:prstGeom prst="rect">
                      <a:avLst/>
                    </a:prstGeom>
                    <a:noFill/>
                    <a:ln>
                      <a:noFill/>
                    </a:ln>
                  </pic:spPr>
                </pic:pic>
              </a:graphicData>
            </a:graphic>
          </wp:inline>
        </w:drawing>
      </w:r>
    </w:p>
    <w:p w14:paraId="3EC64D51">
      <w:pPr>
        <w:ind w:firstLine="480" w:firstLineChars="200"/>
        <w:jc w:val="left"/>
        <w:rPr>
          <w:rFonts w:hint="eastAsia" w:ascii="宋体" w:hAnsi="宋体" w:eastAsia="宋体" w:cs="宋体"/>
        </w:rPr>
      </w:pPr>
      <w:r>
        <w:rPr>
          <w:rFonts w:hint="eastAsia" w:ascii="宋体" w:hAnsi="宋体" w:eastAsia="宋体" w:cs="宋体"/>
        </w:rPr>
        <w:t xml:space="preserve">式中： </w:t>
      </w:r>
      <w:r>
        <w:rPr>
          <w:rFonts w:hint="default" w:ascii="宋体" w:hAnsi="宋体" w:eastAsia="宋体" w:cs="宋体"/>
        </w:rPr>
        <w:t>Q</w:t>
      </w:r>
      <w:r>
        <w:rPr>
          <w:rFonts w:hint="default" w:ascii="宋体" w:hAnsi="宋体" w:eastAsia="宋体" w:cs="宋体"/>
          <w:vertAlign w:val="subscript"/>
        </w:rPr>
        <w:t>3</w:t>
      </w:r>
      <w:r>
        <w:rPr>
          <w:rFonts w:hint="default" w:ascii="宋体" w:hAnsi="宋体" w:eastAsia="宋体" w:cs="宋体"/>
        </w:rPr>
        <w:t>—</w:t>
      </w:r>
      <w:r>
        <w:rPr>
          <w:rFonts w:hint="eastAsia" w:ascii="宋体" w:hAnsi="宋体" w:eastAsia="宋体" w:cs="宋体"/>
        </w:rPr>
        <w:t>质量蒸发速度，</w:t>
      </w:r>
      <w:r>
        <w:rPr>
          <w:rFonts w:hint="default" w:ascii="宋体" w:hAnsi="宋体" w:eastAsia="宋体" w:cs="宋体"/>
        </w:rPr>
        <w:t>kg/s</w:t>
      </w:r>
      <w:r>
        <w:rPr>
          <w:rFonts w:hint="eastAsia" w:ascii="宋体" w:hAnsi="宋体" w:eastAsia="宋体" w:cs="宋体"/>
        </w:rPr>
        <w:t>；</w:t>
      </w:r>
    </w:p>
    <w:p w14:paraId="527E4127">
      <w:pPr>
        <w:ind w:firstLine="1200" w:firstLineChars="500"/>
        <w:jc w:val="left"/>
        <w:rPr>
          <w:rFonts w:hint="eastAsia" w:ascii="宋体" w:hAnsi="宋体" w:eastAsia="宋体" w:cs="宋体"/>
        </w:rPr>
      </w:pPr>
      <w:r>
        <w:rPr>
          <w:rFonts w:hint="default" w:ascii="宋体" w:hAnsi="宋体" w:eastAsia="宋体" w:cs="宋体"/>
        </w:rPr>
        <w:t>α,n—</w:t>
      </w:r>
      <w:r>
        <w:rPr>
          <w:rFonts w:hint="eastAsia" w:ascii="宋体" w:hAnsi="宋体" w:eastAsia="宋体" w:cs="宋体"/>
        </w:rPr>
        <w:t xml:space="preserve">大气稳定度系数，按表 </w:t>
      </w:r>
      <w:r>
        <w:rPr>
          <w:rFonts w:hint="default" w:ascii="宋体" w:hAnsi="宋体" w:eastAsia="宋体" w:cs="宋体"/>
        </w:rPr>
        <w:t xml:space="preserve">F.3 </w:t>
      </w:r>
      <w:r>
        <w:rPr>
          <w:rFonts w:hint="eastAsia" w:ascii="宋体" w:hAnsi="宋体" w:eastAsia="宋体" w:cs="宋体"/>
        </w:rPr>
        <w:t>选取；</w:t>
      </w:r>
      <w:r>
        <w:rPr>
          <w:rFonts w:hint="default" w:ascii="宋体" w:hAnsi="宋体" w:eastAsia="宋体" w:cs="宋体"/>
        </w:rPr>
        <w:t xml:space="preserve"> p—</w:t>
      </w:r>
      <w:r>
        <w:rPr>
          <w:rFonts w:hint="eastAsia" w:ascii="宋体" w:hAnsi="宋体" w:eastAsia="宋体" w:cs="宋体"/>
        </w:rPr>
        <w:t>液体表面蒸气压，</w:t>
      </w:r>
      <w:r>
        <w:rPr>
          <w:rFonts w:hint="default" w:ascii="宋体" w:hAnsi="宋体" w:eastAsia="宋体" w:cs="宋体"/>
        </w:rPr>
        <w:t>Pa</w:t>
      </w:r>
      <w:r>
        <w:rPr>
          <w:rFonts w:hint="eastAsia" w:ascii="宋体" w:hAnsi="宋体" w:eastAsia="宋体" w:cs="宋体"/>
        </w:rPr>
        <w:t>；</w:t>
      </w:r>
    </w:p>
    <w:p w14:paraId="5B7FF2EA">
      <w:pPr>
        <w:ind w:firstLine="1200" w:firstLineChars="500"/>
        <w:jc w:val="left"/>
        <w:rPr>
          <w:rFonts w:hint="eastAsia" w:ascii="宋体" w:hAnsi="宋体" w:eastAsia="宋体" w:cs="宋体"/>
        </w:rPr>
      </w:pPr>
      <w:r>
        <w:rPr>
          <w:rFonts w:hint="default" w:ascii="宋体" w:hAnsi="宋体" w:eastAsia="宋体" w:cs="宋体"/>
        </w:rPr>
        <w:t>M—</w:t>
      </w:r>
      <w:r>
        <w:rPr>
          <w:rFonts w:hint="eastAsia" w:ascii="宋体" w:hAnsi="宋体" w:eastAsia="宋体" w:cs="宋体"/>
        </w:rPr>
        <w:t>物质的摩尔质量，</w:t>
      </w:r>
      <w:r>
        <w:rPr>
          <w:rFonts w:hint="default" w:ascii="宋体" w:hAnsi="宋体" w:eastAsia="宋体" w:cs="宋体"/>
        </w:rPr>
        <w:t>kg/mol</w:t>
      </w:r>
      <w:r>
        <w:rPr>
          <w:rFonts w:hint="eastAsia" w:ascii="宋体" w:hAnsi="宋体" w:eastAsia="宋体" w:cs="宋体"/>
        </w:rPr>
        <w:t>；</w:t>
      </w:r>
    </w:p>
    <w:p w14:paraId="2C074754">
      <w:pPr>
        <w:ind w:firstLine="1200" w:firstLineChars="500"/>
        <w:jc w:val="left"/>
        <w:rPr>
          <w:rFonts w:hint="eastAsia" w:ascii="宋体" w:hAnsi="宋体" w:eastAsia="宋体" w:cs="宋体"/>
        </w:rPr>
      </w:pPr>
      <w:r>
        <w:rPr>
          <w:rFonts w:hint="default" w:ascii="宋体" w:hAnsi="宋体" w:eastAsia="宋体" w:cs="宋体"/>
        </w:rPr>
        <w:t>R—</w:t>
      </w:r>
      <w:r>
        <w:rPr>
          <w:rFonts w:hint="eastAsia" w:ascii="宋体" w:hAnsi="宋体" w:eastAsia="宋体" w:cs="宋体"/>
        </w:rPr>
        <w:t>气体常数，</w:t>
      </w:r>
      <w:r>
        <w:rPr>
          <w:rFonts w:hint="default" w:ascii="宋体" w:hAnsi="宋体" w:eastAsia="宋体" w:cs="宋体"/>
        </w:rPr>
        <w:t>J/ (mol ·k)</w:t>
      </w:r>
      <w:r>
        <w:rPr>
          <w:rFonts w:hint="eastAsia" w:ascii="宋体" w:hAnsi="宋体" w:eastAsia="宋体" w:cs="宋体"/>
        </w:rPr>
        <w:t>；</w:t>
      </w:r>
    </w:p>
    <w:p w14:paraId="761C55DC">
      <w:pPr>
        <w:ind w:firstLine="1200" w:firstLineChars="500"/>
        <w:jc w:val="left"/>
        <w:rPr>
          <w:rFonts w:hint="eastAsia" w:ascii="宋体" w:hAnsi="宋体" w:eastAsia="宋体" w:cs="宋体"/>
        </w:rPr>
      </w:pPr>
      <w:r>
        <w:rPr>
          <w:rFonts w:hint="default" w:ascii="宋体" w:hAnsi="宋体" w:eastAsia="宋体" w:cs="宋体"/>
        </w:rPr>
        <w:t>T</w:t>
      </w:r>
      <w:r>
        <w:rPr>
          <w:rFonts w:hint="default" w:ascii="宋体" w:hAnsi="宋体" w:eastAsia="宋体" w:cs="宋体"/>
          <w:vertAlign w:val="subscript"/>
        </w:rPr>
        <w:t>0</w:t>
      </w:r>
      <w:r>
        <w:rPr>
          <w:rFonts w:hint="default" w:ascii="宋体" w:hAnsi="宋体" w:eastAsia="宋体" w:cs="宋体"/>
        </w:rPr>
        <w:t>—</w:t>
      </w:r>
      <w:r>
        <w:rPr>
          <w:rFonts w:hint="eastAsia" w:ascii="宋体" w:hAnsi="宋体" w:eastAsia="宋体" w:cs="宋体"/>
        </w:rPr>
        <w:t>环境温度，</w:t>
      </w:r>
      <w:r>
        <w:rPr>
          <w:rFonts w:hint="default" w:ascii="宋体" w:hAnsi="宋体" w:eastAsia="宋体" w:cs="宋体"/>
        </w:rPr>
        <w:t>k</w:t>
      </w:r>
      <w:r>
        <w:rPr>
          <w:rFonts w:hint="eastAsia" w:ascii="宋体" w:hAnsi="宋体" w:eastAsia="宋体" w:cs="宋体"/>
        </w:rPr>
        <w:t>；</w:t>
      </w:r>
    </w:p>
    <w:p w14:paraId="0F0B81A2">
      <w:pPr>
        <w:ind w:firstLine="1200" w:firstLineChars="500"/>
        <w:jc w:val="left"/>
        <w:rPr>
          <w:rFonts w:hint="eastAsia" w:ascii="宋体" w:hAnsi="宋体" w:eastAsia="宋体" w:cs="宋体"/>
        </w:rPr>
      </w:pPr>
      <w:r>
        <w:rPr>
          <w:rFonts w:hint="default" w:ascii="宋体" w:hAnsi="宋体" w:eastAsia="宋体" w:cs="宋体"/>
        </w:rPr>
        <w:t>u—</w:t>
      </w:r>
      <w:r>
        <w:rPr>
          <w:rFonts w:hint="eastAsia" w:ascii="宋体" w:hAnsi="宋体" w:eastAsia="宋体" w:cs="宋体"/>
        </w:rPr>
        <w:t>风速，</w:t>
      </w:r>
      <w:r>
        <w:rPr>
          <w:rFonts w:hint="default" w:ascii="宋体" w:hAnsi="宋体" w:eastAsia="宋体" w:cs="宋体"/>
        </w:rPr>
        <w:t>m/s</w:t>
      </w:r>
      <w:r>
        <w:rPr>
          <w:rFonts w:hint="eastAsia" w:ascii="宋体" w:hAnsi="宋体" w:eastAsia="宋体" w:cs="宋体"/>
        </w:rPr>
        <w:t>；</w:t>
      </w:r>
    </w:p>
    <w:p w14:paraId="76983B56">
      <w:pPr>
        <w:ind w:firstLine="1200" w:firstLineChars="500"/>
        <w:jc w:val="left"/>
        <w:rPr>
          <w:rFonts w:hint="eastAsia" w:ascii="宋体" w:hAnsi="宋体" w:eastAsia="宋体" w:cs="宋体"/>
        </w:rPr>
      </w:pPr>
      <w:r>
        <w:rPr>
          <w:rFonts w:hint="default" w:ascii="宋体" w:hAnsi="宋体" w:eastAsia="宋体" w:cs="宋体"/>
        </w:rPr>
        <w:t>r—</w:t>
      </w:r>
      <w:r>
        <w:rPr>
          <w:rFonts w:hint="eastAsia" w:ascii="宋体" w:hAnsi="宋体" w:eastAsia="宋体" w:cs="宋体"/>
        </w:rPr>
        <w:t>液池半径，</w:t>
      </w:r>
      <w:r>
        <w:rPr>
          <w:rFonts w:hint="default" w:ascii="宋体" w:hAnsi="宋体" w:eastAsia="宋体" w:cs="宋体"/>
        </w:rPr>
        <w:t>m</w:t>
      </w:r>
      <w:r>
        <w:rPr>
          <w:rFonts w:hint="eastAsia" w:ascii="宋体" w:hAnsi="宋体" w:eastAsia="宋体" w:cs="宋体"/>
        </w:rPr>
        <w:t>。</w:t>
      </w:r>
    </w:p>
    <w:p w14:paraId="1000AE1D">
      <w:pPr>
        <w:ind w:firstLine="480" w:firstLineChars="200"/>
        <w:jc w:val="left"/>
        <w:rPr>
          <w:rFonts w:hint="eastAsia" w:ascii="宋体" w:hAnsi="宋体" w:eastAsia="宋体" w:cs="宋体"/>
        </w:rPr>
      </w:pPr>
      <w:r>
        <w:rPr>
          <w:rFonts w:hint="eastAsia" w:ascii="宋体" w:hAnsi="宋体" w:eastAsia="宋体" w:cs="宋体"/>
        </w:rPr>
        <w:t>实际泄漏时，直接蒸发的液体将以细小烟雾的形式形成云团，与空气相混合而吸热蒸发。如空气传给液体烟雾的热量不足以使其蒸发，有一些液体烟雾将凝结成液滴降落到地面，与未蒸发的液体形成液池。本项目氨水储罐设置</w:t>
      </w:r>
      <w:r>
        <w:rPr>
          <w:rFonts w:hint="eastAsia" w:cs="宋体"/>
          <w:lang w:val="en-US" w:eastAsia="zh-CN"/>
        </w:rPr>
        <w:t>9</w:t>
      </w:r>
      <w:r>
        <w:rPr>
          <w:rFonts w:hint="default" w:ascii="宋体" w:hAnsi="宋体" w:eastAsia="宋体" w:cs="宋体"/>
        </w:rPr>
        <w:t>m</w:t>
      </w:r>
      <w:r>
        <w:rPr>
          <w:rFonts w:hint="default" w:ascii="宋体" w:hAnsi="宋体" w:eastAsia="宋体" w:cs="宋体"/>
          <w:vertAlign w:val="superscript"/>
        </w:rPr>
        <w:t>2</w:t>
      </w:r>
      <w:r>
        <w:rPr>
          <w:rFonts w:hint="eastAsia" w:ascii="宋体" w:hAnsi="宋体" w:eastAsia="宋体" w:cs="宋体"/>
        </w:rPr>
        <w:t>的围堰，则液池半径换算后约</w:t>
      </w:r>
      <w:r>
        <w:rPr>
          <w:rFonts w:hint="eastAsia" w:cs="宋体"/>
          <w:lang w:val="en-US" w:eastAsia="zh-CN"/>
        </w:rPr>
        <w:t>2.25</w:t>
      </w:r>
      <w:r>
        <w:rPr>
          <w:rFonts w:hint="default" w:ascii="宋体" w:hAnsi="宋体" w:eastAsia="宋体" w:cs="宋体"/>
        </w:rPr>
        <w:t>m</w:t>
      </w:r>
      <w:r>
        <w:rPr>
          <w:rFonts w:hint="eastAsia" w:ascii="宋体" w:hAnsi="宋体" w:eastAsia="宋体" w:cs="宋体"/>
        </w:rPr>
        <w:t>，经计算，稳定度</w:t>
      </w:r>
      <w:r>
        <w:rPr>
          <w:rFonts w:hint="default" w:ascii="宋体" w:hAnsi="宋体" w:eastAsia="宋体" w:cs="宋体"/>
        </w:rPr>
        <w:t>F</w:t>
      </w:r>
      <w:r>
        <w:rPr>
          <w:rFonts w:hint="eastAsia" w:ascii="宋体" w:hAnsi="宋体" w:eastAsia="宋体" w:cs="宋体"/>
        </w:rPr>
        <w:t>，风速为</w:t>
      </w:r>
      <w:r>
        <w:rPr>
          <w:rFonts w:hint="default" w:ascii="宋体" w:hAnsi="宋体" w:eastAsia="宋体" w:cs="宋体"/>
        </w:rPr>
        <w:t>1.5m/s</w:t>
      </w:r>
      <w:r>
        <w:rPr>
          <w:rFonts w:hint="eastAsia" w:ascii="宋体" w:hAnsi="宋体" w:eastAsia="宋体" w:cs="宋体"/>
        </w:rPr>
        <w:t>的情况下，</w:t>
      </w:r>
      <w:r>
        <w:rPr>
          <w:rFonts w:hint="default" w:ascii="宋体" w:hAnsi="宋体" w:eastAsia="宋体" w:cs="宋体"/>
        </w:rPr>
        <w:t>Q</w:t>
      </w:r>
      <w:r>
        <w:rPr>
          <w:rFonts w:hint="default" w:ascii="宋体" w:hAnsi="宋体" w:eastAsia="宋体" w:cs="宋体"/>
          <w:vertAlign w:val="subscript"/>
        </w:rPr>
        <w:t>3</w:t>
      </w:r>
      <w:r>
        <w:rPr>
          <w:rFonts w:hint="default" w:ascii="宋体" w:hAnsi="宋体" w:eastAsia="宋体" w:cs="宋体"/>
        </w:rPr>
        <w:t>=</w:t>
      </w:r>
      <w:r>
        <w:rPr>
          <w:rFonts w:ascii="宋体" w:hAnsi="宋体" w:eastAsia="宋体"/>
          <w:b w:val="0"/>
          <w:sz w:val="23"/>
          <w:szCs w:val="23"/>
        </w:rPr>
        <w:t>0.0267</w:t>
      </w:r>
      <w:r>
        <w:rPr>
          <w:rFonts w:hint="default" w:ascii="宋体" w:hAnsi="宋体" w:eastAsia="宋体" w:cs="宋体"/>
        </w:rPr>
        <w:t>kg/s</w:t>
      </w:r>
      <w:r>
        <w:rPr>
          <w:rFonts w:hint="eastAsia" w:ascii="宋体" w:hAnsi="宋体" w:eastAsia="宋体" w:cs="宋体"/>
        </w:rPr>
        <w:t>。</w:t>
      </w:r>
    </w:p>
    <w:p w14:paraId="0ED0A977">
      <w:pPr>
        <w:jc w:val="center"/>
      </w:pPr>
      <w:r>
        <w:t>表</w:t>
      </w:r>
      <w:r>
        <w:rPr>
          <w:rFonts w:hint="eastAsia"/>
        </w:rPr>
        <w:t>6.2-</w:t>
      </w:r>
      <w:r>
        <w:rPr>
          <w:rFonts w:hint="eastAsia"/>
          <w:lang w:val="en-US" w:eastAsia="zh-CN"/>
        </w:rPr>
        <w:t>7</w:t>
      </w:r>
      <w:r>
        <w:t xml:space="preserve"> 20%氨水储罐泄漏事故源项分析表（最不利气象条件）</w:t>
      </w:r>
    </w:p>
    <w:tbl>
      <w:tblPr>
        <w:tblStyle w:val="56"/>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1255"/>
        <w:gridCol w:w="1674"/>
        <w:gridCol w:w="1721"/>
        <w:gridCol w:w="1251"/>
        <w:gridCol w:w="1569"/>
        <w:gridCol w:w="1251"/>
      </w:tblGrid>
      <w:tr w14:paraId="04AA28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1255"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4976A924">
            <w:pPr>
              <w:jc w:val="center"/>
              <w:rPr>
                <w:b w:val="0"/>
                <w:bCs/>
                <w:sz w:val="21"/>
                <w:szCs w:val="21"/>
              </w:rPr>
            </w:pPr>
            <w:r>
              <w:rPr>
                <w:rFonts w:ascii="宋体" w:hAnsi="宋体" w:eastAsia="宋体"/>
                <w:b w:val="0"/>
                <w:sz w:val="23"/>
                <w:szCs w:val="23"/>
              </w:rPr>
              <w:t>泄露设备类型</w:t>
            </w:r>
          </w:p>
        </w:tc>
        <w:tc>
          <w:tcPr>
            <w:tcW w:w="1674"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5FFC1822">
            <w:pPr>
              <w:jc w:val="center"/>
              <w:rPr>
                <w:b w:val="0"/>
                <w:bCs/>
                <w:sz w:val="21"/>
                <w:szCs w:val="21"/>
              </w:rPr>
            </w:pPr>
            <w:r>
              <w:rPr>
                <w:rFonts w:ascii="宋体" w:hAnsi="宋体" w:eastAsia="宋体"/>
                <w:b w:val="0"/>
                <w:sz w:val="23"/>
                <w:szCs w:val="23"/>
              </w:rPr>
              <w:t>常温常压液体容器</w:t>
            </w:r>
          </w:p>
        </w:tc>
        <w:tc>
          <w:tcPr>
            <w:tcW w:w="1721"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3CE06021">
            <w:pPr>
              <w:jc w:val="center"/>
              <w:rPr>
                <w:b w:val="0"/>
                <w:bCs/>
                <w:sz w:val="21"/>
                <w:szCs w:val="21"/>
              </w:rPr>
            </w:pPr>
            <w:r>
              <w:rPr>
                <w:rFonts w:ascii="宋体" w:hAnsi="宋体" w:eastAsia="宋体"/>
                <w:b w:val="0"/>
                <w:sz w:val="23"/>
                <w:szCs w:val="23"/>
              </w:rPr>
              <w:t>操作温度(℃)</w:t>
            </w:r>
          </w:p>
        </w:tc>
        <w:tc>
          <w:tcPr>
            <w:tcW w:w="1251"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6759F80E">
            <w:pPr>
              <w:jc w:val="center"/>
              <w:rPr>
                <w:b w:val="0"/>
                <w:bCs/>
                <w:sz w:val="21"/>
                <w:szCs w:val="21"/>
              </w:rPr>
            </w:pPr>
            <w:r>
              <w:rPr>
                <w:rFonts w:ascii="宋体" w:hAnsi="宋体" w:eastAsia="宋体"/>
                <w:b w:val="0"/>
                <w:sz w:val="23"/>
                <w:szCs w:val="23"/>
              </w:rPr>
              <w:t>15.00</w:t>
            </w:r>
          </w:p>
        </w:tc>
        <w:tc>
          <w:tcPr>
            <w:tcW w:w="1569"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70C18226">
            <w:pPr>
              <w:jc w:val="center"/>
              <w:rPr>
                <w:b w:val="0"/>
                <w:bCs/>
                <w:sz w:val="21"/>
                <w:szCs w:val="21"/>
              </w:rPr>
            </w:pPr>
            <w:r>
              <w:rPr>
                <w:rFonts w:ascii="宋体" w:hAnsi="宋体" w:eastAsia="宋体"/>
                <w:b w:val="0"/>
                <w:sz w:val="23"/>
                <w:szCs w:val="23"/>
              </w:rPr>
              <w:t>操作压力(MPa)</w:t>
            </w:r>
          </w:p>
        </w:tc>
        <w:tc>
          <w:tcPr>
            <w:tcW w:w="1251"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7F5D0E81">
            <w:pPr>
              <w:jc w:val="center"/>
              <w:rPr>
                <w:b w:val="0"/>
                <w:bCs/>
                <w:sz w:val="21"/>
                <w:szCs w:val="21"/>
              </w:rPr>
            </w:pPr>
            <w:r>
              <w:rPr>
                <w:rFonts w:ascii="宋体" w:hAnsi="宋体" w:eastAsia="宋体"/>
                <w:b w:val="0"/>
                <w:sz w:val="23"/>
                <w:szCs w:val="23"/>
              </w:rPr>
              <w:t>0.101325</w:t>
            </w:r>
          </w:p>
        </w:tc>
      </w:tr>
      <w:tr w14:paraId="6625BA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1255"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0D87E34C">
            <w:pPr>
              <w:jc w:val="center"/>
              <w:rPr>
                <w:sz w:val="21"/>
                <w:szCs w:val="21"/>
              </w:rPr>
            </w:pPr>
            <w:r>
              <w:rPr>
                <w:rFonts w:ascii="宋体" w:hAnsi="宋体" w:eastAsia="宋体"/>
                <w:b w:val="0"/>
                <w:sz w:val="23"/>
                <w:szCs w:val="23"/>
              </w:rPr>
              <w:t>泄露危险物质</w:t>
            </w:r>
          </w:p>
        </w:tc>
        <w:tc>
          <w:tcPr>
            <w:tcW w:w="1674"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45AEC790">
            <w:pPr>
              <w:jc w:val="center"/>
              <w:rPr>
                <w:sz w:val="21"/>
                <w:szCs w:val="21"/>
              </w:rPr>
            </w:pPr>
            <w:r>
              <w:rPr>
                <w:rFonts w:ascii="宋体" w:hAnsi="宋体" w:eastAsia="宋体"/>
                <w:b w:val="0"/>
                <w:sz w:val="23"/>
                <w:szCs w:val="23"/>
              </w:rPr>
              <w:t>氨</w:t>
            </w:r>
          </w:p>
        </w:tc>
        <w:tc>
          <w:tcPr>
            <w:tcW w:w="1721"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2A8D1A5C">
            <w:pPr>
              <w:jc w:val="center"/>
              <w:rPr>
                <w:sz w:val="21"/>
                <w:szCs w:val="21"/>
              </w:rPr>
            </w:pPr>
            <w:r>
              <w:rPr>
                <w:rFonts w:ascii="宋体" w:hAnsi="宋体" w:eastAsia="宋体"/>
                <w:b w:val="0"/>
                <w:sz w:val="23"/>
                <w:szCs w:val="23"/>
              </w:rPr>
              <w:t>最大存在量(kg)</w:t>
            </w:r>
          </w:p>
        </w:tc>
        <w:tc>
          <w:tcPr>
            <w:tcW w:w="1251"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3A015403">
            <w:pPr>
              <w:jc w:val="center"/>
              <w:rPr>
                <w:rFonts w:hint="default" w:eastAsia="宋体"/>
                <w:sz w:val="21"/>
                <w:szCs w:val="21"/>
                <w:lang w:val="en-US" w:eastAsia="zh-CN"/>
              </w:rPr>
            </w:pPr>
            <w:r>
              <w:rPr>
                <w:rFonts w:ascii="宋体" w:hAnsi="宋体" w:eastAsia="宋体"/>
                <w:b w:val="0"/>
                <w:sz w:val="23"/>
                <w:szCs w:val="23"/>
              </w:rPr>
              <w:t>8327.7000</w:t>
            </w:r>
          </w:p>
        </w:tc>
        <w:tc>
          <w:tcPr>
            <w:tcW w:w="1569"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6890CFAC">
            <w:pPr>
              <w:jc w:val="center"/>
              <w:rPr>
                <w:sz w:val="21"/>
                <w:szCs w:val="21"/>
              </w:rPr>
            </w:pPr>
            <w:r>
              <w:rPr>
                <w:rFonts w:ascii="宋体" w:hAnsi="宋体" w:eastAsia="宋体"/>
                <w:b w:val="0"/>
                <w:sz w:val="23"/>
                <w:szCs w:val="23"/>
              </w:rPr>
              <w:t>裂口直径(mm)</w:t>
            </w:r>
          </w:p>
        </w:tc>
        <w:tc>
          <w:tcPr>
            <w:tcW w:w="1251"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60D09AAA">
            <w:pPr>
              <w:jc w:val="center"/>
              <w:rPr>
                <w:sz w:val="21"/>
                <w:szCs w:val="21"/>
              </w:rPr>
            </w:pPr>
            <w:r>
              <w:rPr>
                <w:rFonts w:ascii="宋体" w:hAnsi="宋体" w:eastAsia="宋体"/>
                <w:b w:val="0"/>
                <w:sz w:val="23"/>
                <w:szCs w:val="23"/>
              </w:rPr>
              <w:t>-</w:t>
            </w:r>
          </w:p>
        </w:tc>
      </w:tr>
      <w:tr w14:paraId="46E1B9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1255"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1A3CE3AC">
            <w:pPr>
              <w:jc w:val="center"/>
              <w:rPr>
                <w:sz w:val="21"/>
                <w:szCs w:val="21"/>
              </w:rPr>
            </w:pPr>
            <w:r>
              <w:rPr>
                <w:rFonts w:ascii="宋体" w:hAnsi="宋体" w:eastAsia="宋体"/>
                <w:b w:val="0"/>
                <w:sz w:val="23"/>
                <w:szCs w:val="23"/>
              </w:rPr>
              <w:t>泄露速率(kg/s)</w:t>
            </w:r>
          </w:p>
        </w:tc>
        <w:tc>
          <w:tcPr>
            <w:tcW w:w="1674"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5D7F5039">
            <w:pPr>
              <w:jc w:val="center"/>
              <w:rPr>
                <w:sz w:val="21"/>
                <w:szCs w:val="21"/>
              </w:rPr>
            </w:pPr>
            <w:r>
              <w:rPr>
                <w:rFonts w:ascii="宋体" w:hAnsi="宋体" w:eastAsia="宋体"/>
                <w:b w:val="0"/>
                <w:sz w:val="23"/>
                <w:szCs w:val="23"/>
              </w:rPr>
              <w:t>0.0267</w:t>
            </w:r>
          </w:p>
        </w:tc>
        <w:tc>
          <w:tcPr>
            <w:tcW w:w="1721"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71DC8A74">
            <w:pPr>
              <w:jc w:val="center"/>
              <w:rPr>
                <w:sz w:val="21"/>
                <w:szCs w:val="21"/>
              </w:rPr>
            </w:pPr>
            <w:r>
              <w:rPr>
                <w:rFonts w:ascii="宋体" w:hAnsi="宋体" w:eastAsia="宋体"/>
                <w:b w:val="0"/>
                <w:sz w:val="23"/>
                <w:szCs w:val="23"/>
              </w:rPr>
              <w:t>泄露时间(min)</w:t>
            </w:r>
          </w:p>
        </w:tc>
        <w:tc>
          <w:tcPr>
            <w:tcW w:w="1251"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6A854747">
            <w:pPr>
              <w:jc w:val="center"/>
              <w:rPr>
                <w:sz w:val="21"/>
                <w:szCs w:val="21"/>
              </w:rPr>
            </w:pPr>
            <w:r>
              <w:rPr>
                <w:rFonts w:ascii="宋体" w:hAnsi="宋体" w:eastAsia="宋体"/>
                <w:b w:val="0"/>
                <w:sz w:val="23"/>
                <w:szCs w:val="23"/>
              </w:rPr>
              <w:t>3576.60</w:t>
            </w:r>
          </w:p>
        </w:tc>
        <w:tc>
          <w:tcPr>
            <w:tcW w:w="1569"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714A6088">
            <w:pPr>
              <w:jc w:val="center"/>
              <w:rPr>
                <w:sz w:val="21"/>
                <w:szCs w:val="21"/>
              </w:rPr>
            </w:pPr>
            <w:r>
              <w:rPr>
                <w:rFonts w:ascii="宋体" w:hAnsi="宋体" w:eastAsia="宋体"/>
                <w:b w:val="0"/>
                <w:sz w:val="23"/>
                <w:szCs w:val="23"/>
              </w:rPr>
              <w:t>泄露量(kg)</w:t>
            </w:r>
          </w:p>
        </w:tc>
        <w:tc>
          <w:tcPr>
            <w:tcW w:w="1251"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2E0F573C">
            <w:pPr>
              <w:jc w:val="center"/>
              <w:rPr>
                <w:sz w:val="21"/>
                <w:szCs w:val="21"/>
              </w:rPr>
            </w:pPr>
            <w:r>
              <w:rPr>
                <w:rFonts w:ascii="宋体" w:hAnsi="宋体" w:eastAsia="宋体"/>
                <w:b w:val="0"/>
                <w:sz w:val="23"/>
                <w:szCs w:val="23"/>
              </w:rPr>
              <w:t>5729.7132</w:t>
            </w:r>
          </w:p>
        </w:tc>
      </w:tr>
      <w:tr w14:paraId="66C9FE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1255"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5C87D09F">
            <w:pPr>
              <w:jc w:val="center"/>
              <w:rPr>
                <w:sz w:val="21"/>
                <w:szCs w:val="21"/>
              </w:rPr>
            </w:pPr>
            <w:r>
              <w:rPr>
                <w:rFonts w:ascii="宋体" w:hAnsi="宋体" w:eastAsia="宋体"/>
                <w:b w:val="0"/>
                <w:sz w:val="23"/>
                <w:szCs w:val="23"/>
              </w:rPr>
              <w:t>泄露高度(m)</w:t>
            </w:r>
          </w:p>
        </w:tc>
        <w:tc>
          <w:tcPr>
            <w:tcW w:w="1674"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545BDA3E">
            <w:pPr>
              <w:jc w:val="center"/>
              <w:rPr>
                <w:rFonts w:hint="default" w:eastAsia="宋体"/>
                <w:sz w:val="21"/>
                <w:szCs w:val="21"/>
                <w:lang w:val="en-US" w:eastAsia="zh-CN"/>
              </w:rPr>
            </w:pPr>
            <w:r>
              <w:rPr>
                <w:rFonts w:ascii="宋体" w:hAnsi="宋体" w:eastAsia="宋体"/>
                <w:b w:val="0"/>
                <w:sz w:val="23"/>
                <w:szCs w:val="23"/>
              </w:rPr>
              <w:t>0.5000</w:t>
            </w:r>
          </w:p>
        </w:tc>
        <w:tc>
          <w:tcPr>
            <w:tcW w:w="1721"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70DE59AE">
            <w:pPr>
              <w:jc w:val="center"/>
              <w:rPr>
                <w:sz w:val="21"/>
                <w:szCs w:val="21"/>
              </w:rPr>
            </w:pPr>
            <w:r>
              <w:rPr>
                <w:rFonts w:ascii="宋体" w:hAnsi="宋体" w:eastAsia="宋体"/>
                <w:b w:val="0"/>
                <w:sz w:val="23"/>
                <w:szCs w:val="23"/>
              </w:rPr>
              <w:t>泄露概率(次/年)</w:t>
            </w:r>
          </w:p>
        </w:tc>
        <w:tc>
          <w:tcPr>
            <w:tcW w:w="1251"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41CE98E5">
            <w:pPr>
              <w:jc w:val="center"/>
              <w:rPr>
                <w:sz w:val="21"/>
                <w:szCs w:val="21"/>
              </w:rPr>
            </w:pPr>
            <w:r>
              <w:rPr>
                <w:rFonts w:ascii="宋体" w:hAnsi="宋体" w:eastAsia="宋体"/>
                <w:b w:val="0"/>
                <w:sz w:val="23"/>
                <w:szCs w:val="23"/>
              </w:rPr>
              <w:t>-</w:t>
            </w:r>
          </w:p>
        </w:tc>
        <w:tc>
          <w:tcPr>
            <w:tcW w:w="1569"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65348DA3">
            <w:pPr>
              <w:jc w:val="center"/>
              <w:rPr>
                <w:sz w:val="21"/>
                <w:szCs w:val="21"/>
              </w:rPr>
            </w:pPr>
            <w:r>
              <w:rPr>
                <w:rFonts w:ascii="宋体" w:hAnsi="宋体" w:eastAsia="宋体"/>
                <w:b w:val="0"/>
                <w:sz w:val="23"/>
                <w:szCs w:val="23"/>
              </w:rPr>
              <w:t>蒸发量(kg)</w:t>
            </w:r>
          </w:p>
        </w:tc>
        <w:tc>
          <w:tcPr>
            <w:tcW w:w="1251"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5FC56E69">
            <w:pPr>
              <w:jc w:val="center"/>
              <w:rPr>
                <w:sz w:val="21"/>
                <w:szCs w:val="21"/>
              </w:rPr>
            </w:pPr>
            <w:r>
              <w:rPr>
                <w:rFonts w:ascii="宋体" w:hAnsi="宋体" w:eastAsia="宋体"/>
                <w:b w:val="0"/>
                <w:sz w:val="23"/>
                <w:szCs w:val="23"/>
              </w:rPr>
              <w:t>-</w:t>
            </w:r>
          </w:p>
        </w:tc>
      </w:tr>
    </w:tbl>
    <w:p w14:paraId="6F0214B4">
      <w:pPr>
        <w:pStyle w:val="2"/>
        <w:rPr>
          <w:rFonts w:hint="default"/>
        </w:rPr>
      </w:pPr>
    </w:p>
    <w:p w14:paraId="6DDF6611">
      <w:pPr>
        <w:ind w:firstLine="480" w:firstLineChars="200"/>
        <w:jc w:val="left"/>
        <w:rPr>
          <w:rFonts w:hint="eastAsia" w:ascii="宋体" w:hAnsi="宋体" w:eastAsia="宋体" w:cs="宋体"/>
        </w:rPr>
      </w:pPr>
      <w:r>
        <w:rPr>
          <w:rFonts w:hint="default" w:ascii="宋体" w:hAnsi="宋体" w:eastAsia="宋体" w:cs="宋体"/>
        </w:rPr>
        <w:t>2</w:t>
      </w:r>
      <w:r>
        <w:rPr>
          <w:rFonts w:hint="eastAsia" w:ascii="宋体" w:hAnsi="宋体" w:eastAsia="宋体" w:cs="宋体"/>
        </w:rPr>
        <w:t>、火灾爆炸事故源项分析</w:t>
      </w:r>
    </w:p>
    <w:p w14:paraId="204671C5">
      <w:pPr>
        <w:ind w:firstLine="480" w:firstLineChars="200"/>
        <w:jc w:val="left"/>
        <w:rPr>
          <w:rFonts w:hint="eastAsia" w:ascii="宋体" w:hAnsi="宋体" w:eastAsia="宋体" w:cs="宋体"/>
        </w:rPr>
      </w:pPr>
      <w:r>
        <w:rPr>
          <w:rFonts w:hint="eastAsia" w:ascii="宋体" w:hAnsi="宋体" w:eastAsia="宋体" w:cs="宋体"/>
        </w:rPr>
        <w:t>（</w:t>
      </w:r>
      <w:r>
        <w:rPr>
          <w:rFonts w:hint="default" w:ascii="宋体" w:hAnsi="宋体" w:eastAsia="宋体" w:cs="宋体"/>
        </w:rPr>
        <w:t>1</w:t>
      </w:r>
      <w:r>
        <w:rPr>
          <w:rFonts w:hint="eastAsia" w:ascii="宋体" w:hAnsi="宋体" w:eastAsia="宋体" w:cs="宋体"/>
        </w:rPr>
        <w:t>）未参与燃烧的有毒有害物质源强</w:t>
      </w:r>
    </w:p>
    <w:p w14:paraId="36B95C8D">
      <w:pPr>
        <w:ind w:firstLine="480" w:firstLineChars="200"/>
        <w:jc w:val="left"/>
        <w:rPr>
          <w:rFonts w:hint="eastAsia" w:ascii="宋体" w:hAnsi="宋体" w:eastAsia="宋体" w:cs="宋体"/>
        </w:rPr>
      </w:pPr>
      <w:r>
        <w:rPr>
          <w:rFonts w:hint="eastAsia" w:ascii="宋体" w:hAnsi="宋体" w:eastAsia="宋体" w:cs="宋体"/>
        </w:rPr>
        <w:t>对照《建设项目环境风险评价技术导则》（</w:t>
      </w:r>
      <w:r>
        <w:rPr>
          <w:rFonts w:hint="default" w:ascii="宋体" w:hAnsi="宋体" w:eastAsia="宋体" w:cs="宋体"/>
        </w:rPr>
        <w:t>HJ 169-2018</w:t>
      </w:r>
      <w:r>
        <w:rPr>
          <w:rFonts w:hint="eastAsia" w:ascii="宋体" w:hAnsi="宋体" w:eastAsia="宋体" w:cs="宋体"/>
        </w:rPr>
        <w:t>）附录</w:t>
      </w:r>
      <w:r>
        <w:rPr>
          <w:rFonts w:hint="default" w:ascii="宋体" w:hAnsi="宋体" w:eastAsia="宋体" w:cs="宋体"/>
        </w:rPr>
        <w:t xml:space="preserve">F </w:t>
      </w:r>
      <w:r>
        <w:rPr>
          <w:rFonts w:hint="eastAsia" w:ascii="宋体" w:hAnsi="宋体" w:eastAsia="宋体" w:cs="宋体"/>
        </w:rPr>
        <w:t>表</w:t>
      </w:r>
      <w:r>
        <w:rPr>
          <w:rFonts w:hint="default" w:ascii="宋体" w:hAnsi="宋体" w:eastAsia="宋体" w:cs="宋体"/>
        </w:rPr>
        <w:t>F.4</w:t>
      </w:r>
      <w:r>
        <w:rPr>
          <w:rFonts w:hint="eastAsia" w:ascii="宋体" w:hAnsi="宋体" w:eastAsia="宋体" w:cs="宋体"/>
        </w:rPr>
        <w:t>。</w:t>
      </w:r>
    </w:p>
    <w:p w14:paraId="7E0A7BD0">
      <w:pPr>
        <w:jc w:val="center"/>
      </w:pPr>
      <w:r>
        <w:t>表</w:t>
      </w:r>
      <w:r>
        <w:rPr>
          <w:rFonts w:hint="eastAsia"/>
        </w:rPr>
        <w:t>6.2-</w:t>
      </w:r>
      <w:r>
        <w:rPr>
          <w:rFonts w:hint="eastAsia"/>
          <w:lang w:val="en-US" w:eastAsia="zh-CN"/>
        </w:rPr>
        <w:t>5</w:t>
      </w:r>
      <w:r>
        <w:t xml:space="preserve"> 火灾爆炸事故有毒有害物质释放比例 单位%</w:t>
      </w:r>
    </w:p>
    <w:tbl>
      <w:tblPr>
        <w:tblStyle w:val="56"/>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206"/>
        <w:gridCol w:w="1252"/>
        <w:gridCol w:w="1252"/>
        <w:gridCol w:w="1252"/>
        <w:gridCol w:w="1252"/>
        <w:gridCol w:w="1252"/>
        <w:gridCol w:w="1254"/>
      </w:tblGrid>
      <w:tr w14:paraId="02E3F1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1207" w:type="dxa"/>
            <w:vMerge w:val="restart"/>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265B0175">
            <w:pPr>
              <w:jc w:val="center"/>
              <w:rPr>
                <w:b/>
              </w:rPr>
            </w:pPr>
            <w:r>
              <w:rPr>
                <w:b/>
              </w:rPr>
              <w:t>Q</w:t>
            </w:r>
          </w:p>
        </w:tc>
        <w:tc>
          <w:tcPr>
            <w:tcW w:w="7514" w:type="dxa"/>
            <w:gridSpan w:val="6"/>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1F5F68EC">
            <w:pPr>
              <w:jc w:val="center"/>
              <w:rPr>
                <w:b/>
              </w:rPr>
            </w:pPr>
            <w:r>
              <w:rPr>
                <w:b/>
              </w:rPr>
              <w:t>LC</w:t>
            </w:r>
            <w:r>
              <w:rPr>
                <w:b/>
                <w:vertAlign w:val="subscript"/>
              </w:rPr>
              <w:t>50</w:t>
            </w:r>
          </w:p>
        </w:tc>
      </w:tr>
      <w:tr w14:paraId="424936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1207" w:type="dxa"/>
            <w:vMerge w:val="continue"/>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01E308DF">
            <w:pPr>
              <w:jc w:val="center"/>
              <w:rPr>
                <w:b/>
              </w:rPr>
            </w:pPr>
          </w:p>
        </w:tc>
        <w:tc>
          <w:tcPr>
            <w:tcW w:w="1252"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37AA8AAF">
            <w:pPr>
              <w:jc w:val="center"/>
              <w:rPr>
                <w:b/>
              </w:rPr>
            </w:pPr>
            <w:r>
              <w:rPr>
                <w:b/>
              </w:rPr>
              <w:t>&lt;200</w:t>
            </w:r>
          </w:p>
        </w:tc>
        <w:tc>
          <w:tcPr>
            <w:tcW w:w="1252"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20CFB75B">
            <w:pPr>
              <w:jc w:val="center"/>
              <w:rPr>
                <w:b/>
              </w:rPr>
            </w:pPr>
            <w:r>
              <w:rPr>
                <w:b/>
              </w:rPr>
              <w:t>≥200，&lt;1000</w:t>
            </w:r>
          </w:p>
        </w:tc>
        <w:tc>
          <w:tcPr>
            <w:tcW w:w="1252"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2C805B46">
            <w:pPr>
              <w:jc w:val="center"/>
              <w:rPr>
                <w:b/>
              </w:rPr>
            </w:pPr>
            <w:r>
              <w:rPr>
                <w:b/>
              </w:rPr>
              <w:t>≥1000，&lt;2000</w:t>
            </w:r>
          </w:p>
        </w:tc>
        <w:tc>
          <w:tcPr>
            <w:tcW w:w="1252"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61DAF367">
            <w:pPr>
              <w:jc w:val="center"/>
              <w:rPr>
                <w:b/>
              </w:rPr>
            </w:pPr>
            <w:r>
              <w:rPr>
                <w:b/>
              </w:rPr>
              <w:t>≥2000，&lt;10000</w:t>
            </w:r>
          </w:p>
        </w:tc>
        <w:tc>
          <w:tcPr>
            <w:tcW w:w="1252"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65CDC35B">
            <w:pPr>
              <w:jc w:val="center"/>
              <w:rPr>
                <w:b/>
              </w:rPr>
            </w:pPr>
            <w:r>
              <w:rPr>
                <w:b/>
              </w:rPr>
              <w:t>≥10000，&lt;20000</w:t>
            </w:r>
          </w:p>
        </w:tc>
        <w:tc>
          <w:tcPr>
            <w:tcW w:w="1254"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4E0DBD19">
            <w:pPr>
              <w:jc w:val="center"/>
              <w:rPr>
                <w:b/>
              </w:rPr>
            </w:pPr>
            <w:r>
              <w:rPr>
                <w:b/>
              </w:rPr>
              <w:t>≥20000</w:t>
            </w:r>
          </w:p>
        </w:tc>
      </w:tr>
      <w:tr w14:paraId="21EB3D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1207"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55717A71">
            <w:r>
              <w:t>≤100</w:t>
            </w:r>
          </w:p>
        </w:tc>
        <w:tc>
          <w:tcPr>
            <w:tcW w:w="1252"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03356CB1">
            <w:r>
              <w:t>5</w:t>
            </w:r>
          </w:p>
        </w:tc>
        <w:tc>
          <w:tcPr>
            <w:tcW w:w="1252"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6B685A97">
            <w:r>
              <w:t>10</w:t>
            </w:r>
          </w:p>
        </w:tc>
        <w:tc>
          <w:tcPr>
            <w:tcW w:w="1252"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474C3D6C"/>
        </w:tc>
        <w:tc>
          <w:tcPr>
            <w:tcW w:w="1252"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1B0CD958"/>
        </w:tc>
        <w:tc>
          <w:tcPr>
            <w:tcW w:w="1252"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7BA6D55A"/>
        </w:tc>
        <w:tc>
          <w:tcPr>
            <w:tcW w:w="1254"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41D1F6A2"/>
        </w:tc>
      </w:tr>
      <w:tr w14:paraId="77D551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1207"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206C0A6E">
            <w:r>
              <w:t>&gt;100，≤500</w:t>
            </w:r>
          </w:p>
        </w:tc>
        <w:tc>
          <w:tcPr>
            <w:tcW w:w="1252"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01D67F35">
            <w:r>
              <w:t>1.5</w:t>
            </w:r>
          </w:p>
        </w:tc>
        <w:tc>
          <w:tcPr>
            <w:tcW w:w="1252"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63823C13">
            <w:r>
              <w:t>3</w:t>
            </w:r>
          </w:p>
        </w:tc>
        <w:tc>
          <w:tcPr>
            <w:tcW w:w="1252"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4219DCAF">
            <w:r>
              <w:t>6</w:t>
            </w:r>
          </w:p>
        </w:tc>
        <w:tc>
          <w:tcPr>
            <w:tcW w:w="1252"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7684EB56"/>
        </w:tc>
        <w:tc>
          <w:tcPr>
            <w:tcW w:w="1252"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5FCFB1C0"/>
        </w:tc>
        <w:tc>
          <w:tcPr>
            <w:tcW w:w="1254"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28420DF7"/>
        </w:tc>
      </w:tr>
      <w:tr w14:paraId="5747C9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1207"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5BA3FAC7">
            <w:r>
              <w:t>&gt;500，≤1000</w:t>
            </w:r>
          </w:p>
        </w:tc>
        <w:tc>
          <w:tcPr>
            <w:tcW w:w="1252"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78B5480E">
            <w:r>
              <w:t>1</w:t>
            </w:r>
          </w:p>
        </w:tc>
        <w:tc>
          <w:tcPr>
            <w:tcW w:w="1252"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1CFD0D66">
            <w:r>
              <w:t>2</w:t>
            </w:r>
          </w:p>
        </w:tc>
        <w:tc>
          <w:tcPr>
            <w:tcW w:w="1252"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7BF702E3">
            <w:r>
              <w:t>4</w:t>
            </w:r>
          </w:p>
        </w:tc>
        <w:tc>
          <w:tcPr>
            <w:tcW w:w="1252"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1813E248">
            <w:r>
              <w:t>5</w:t>
            </w:r>
          </w:p>
        </w:tc>
        <w:tc>
          <w:tcPr>
            <w:tcW w:w="1252"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48A5BD80">
            <w:r>
              <w:t>8</w:t>
            </w:r>
          </w:p>
        </w:tc>
        <w:tc>
          <w:tcPr>
            <w:tcW w:w="1254"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61A940FF"/>
        </w:tc>
      </w:tr>
      <w:tr w14:paraId="57C26D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1207"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611AA243">
            <w:r>
              <w:t>&gt;1000，≤5000</w:t>
            </w:r>
          </w:p>
        </w:tc>
        <w:tc>
          <w:tcPr>
            <w:tcW w:w="1252"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789C407A"/>
        </w:tc>
        <w:tc>
          <w:tcPr>
            <w:tcW w:w="1252"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2F96C583">
            <w:r>
              <w:t>0.5</w:t>
            </w:r>
          </w:p>
        </w:tc>
        <w:tc>
          <w:tcPr>
            <w:tcW w:w="1252"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2DA04179">
            <w:r>
              <w:t>1</w:t>
            </w:r>
          </w:p>
        </w:tc>
        <w:tc>
          <w:tcPr>
            <w:tcW w:w="1252"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3E3819B3">
            <w:r>
              <w:t>1.5</w:t>
            </w:r>
          </w:p>
        </w:tc>
        <w:tc>
          <w:tcPr>
            <w:tcW w:w="1252"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25A130FE">
            <w:r>
              <w:t>2</w:t>
            </w:r>
          </w:p>
        </w:tc>
        <w:tc>
          <w:tcPr>
            <w:tcW w:w="1254"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0046C0F7">
            <w:r>
              <w:t>3</w:t>
            </w:r>
          </w:p>
        </w:tc>
      </w:tr>
      <w:tr w14:paraId="7ECD3B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1207"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7B795677">
            <w:r>
              <w:t>&gt;5000，≤10000</w:t>
            </w:r>
          </w:p>
        </w:tc>
        <w:tc>
          <w:tcPr>
            <w:tcW w:w="1252"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16B2C5A3"/>
        </w:tc>
        <w:tc>
          <w:tcPr>
            <w:tcW w:w="1252"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37F951BD"/>
        </w:tc>
        <w:tc>
          <w:tcPr>
            <w:tcW w:w="1252"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4BE85B8B">
            <w:r>
              <w:t>0.5</w:t>
            </w:r>
          </w:p>
        </w:tc>
        <w:tc>
          <w:tcPr>
            <w:tcW w:w="1252"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464A82AF">
            <w:r>
              <w:t>1</w:t>
            </w:r>
          </w:p>
        </w:tc>
        <w:tc>
          <w:tcPr>
            <w:tcW w:w="1252"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30704C40">
            <w:r>
              <w:t>1</w:t>
            </w:r>
          </w:p>
        </w:tc>
        <w:tc>
          <w:tcPr>
            <w:tcW w:w="1254"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3A0C1A5F">
            <w:r>
              <w:t>2</w:t>
            </w:r>
          </w:p>
        </w:tc>
      </w:tr>
      <w:tr w14:paraId="673605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1207"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59CBAD49">
            <w:r>
              <w:t>&gt;10000，≤20000</w:t>
            </w:r>
          </w:p>
        </w:tc>
        <w:tc>
          <w:tcPr>
            <w:tcW w:w="1252"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210C37F6"/>
        </w:tc>
        <w:tc>
          <w:tcPr>
            <w:tcW w:w="1252"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79735171"/>
        </w:tc>
        <w:tc>
          <w:tcPr>
            <w:tcW w:w="1252"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29262BAF"/>
        </w:tc>
        <w:tc>
          <w:tcPr>
            <w:tcW w:w="1252"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47A0440C">
            <w:r>
              <w:t>0.5</w:t>
            </w:r>
          </w:p>
        </w:tc>
        <w:tc>
          <w:tcPr>
            <w:tcW w:w="1252"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18E10FA2">
            <w:r>
              <w:t>1</w:t>
            </w:r>
          </w:p>
        </w:tc>
        <w:tc>
          <w:tcPr>
            <w:tcW w:w="1254"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1E346A75">
            <w:r>
              <w:t>1</w:t>
            </w:r>
          </w:p>
        </w:tc>
      </w:tr>
      <w:tr w14:paraId="49FDAC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1207"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4E433BCA">
            <w:r>
              <w:t>&gt;20000，≤50000</w:t>
            </w:r>
          </w:p>
        </w:tc>
        <w:tc>
          <w:tcPr>
            <w:tcW w:w="1252"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12C840A1"/>
        </w:tc>
        <w:tc>
          <w:tcPr>
            <w:tcW w:w="1252"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55402187"/>
        </w:tc>
        <w:tc>
          <w:tcPr>
            <w:tcW w:w="1252"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213C8B3E"/>
        </w:tc>
        <w:tc>
          <w:tcPr>
            <w:tcW w:w="1252"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171CCC63"/>
        </w:tc>
        <w:tc>
          <w:tcPr>
            <w:tcW w:w="1252"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5CB69B4A">
            <w:r>
              <w:t>0.5</w:t>
            </w:r>
          </w:p>
        </w:tc>
        <w:tc>
          <w:tcPr>
            <w:tcW w:w="1254"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06BA99B7">
            <w:r>
              <w:t>0.5</w:t>
            </w:r>
          </w:p>
        </w:tc>
      </w:tr>
      <w:tr w14:paraId="29269C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1207"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014FB0E0">
            <w:r>
              <w:t>&gt;50000，≤100000</w:t>
            </w:r>
          </w:p>
        </w:tc>
        <w:tc>
          <w:tcPr>
            <w:tcW w:w="1252"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0EAE98A0"/>
        </w:tc>
        <w:tc>
          <w:tcPr>
            <w:tcW w:w="1252"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04EB6A5B"/>
        </w:tc>
        <w:tc>
          <w:tcPr>
            <w:tcW w:w="1252"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57424A40"/>
        </w:tc>
        <w:tc>
          <w:tcPr>
            <w:tcW w:w="1252"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31996AC2"/>
        </w:tc>
        <w:tc>
          <w:tcPr>
            <w:tcW w:w="1252"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59FA9843"/>
        </w:tc>
        <w:tc>
          <w:tcPr>
            <w:tcW w:w="1254"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7A98C14D">
            <w:r>
              <w:t>0.5</w:t>
            </w:r>
          </w:p>
        </w:tc>
      </w:tr>
    </w:tbl>
    <w:p w14:paraId="32C418CE">
      <w:pPr>
        <w:ind w:firstLine="480" w:firstLineChars="200"/>
        <w:jc w:val="left"/>
      </w:pPr>
      <w:r>
        <w:t>一氧化碳 LC</w:t>
      </w:r>
      <w:r>
        <w:rPr>
          <w:vertAlign w:val="subscript"/>
        </w:rPr>
        <w:t>50</w:t>
      </w:r>
      <w:r>
        <w:t>：2069mg/m</w:t>
      </w:r>
      <w:r>
        <w:rPr>
          <w:vertAlign w:val="superscript"/>
        </w:rPr>
        <w:t>3</w:t>
      </w:r>
      <w:r>
        <w:t>，4小时（大鼠吸入），Q≤100；故危险物质火灾爆炸事故无需考虑有毒有害释放，本次评价不对其进行预测。</w:t>
      </w:r>
    </w:p>
    <w:p w14:paraId="5E82322A">
      <w:pPr>
        <w:numPr>
          <w:ilvl w:val="0"/>
          <w:numId w:val="32"/>
        </w:numPr>
        <w:ind w:left="480" w:leftChars="200" w:firstLine="0" w:firstLineChars="0"/>
        <w:jc w:val="left"/>
      </w:pPr>
      <w:r>
        <w:t>伴生/次生源强</w:t>
      </w:r>
    </w:p>
    <w:p w14:paraId="79C51FAB">
      <w:pPr>
        <w:numPr>
          <w:ilvl w:val="0"/>
          <w:numId w:val="0"/>
        </w:numPr>
        <w:ind w:firstLine="480" w:firstLineChars="200"/>
        <w:jc w:val="left"/>
        <w:rPr>
          <w:rFonts w:hint="eastAsia"/>
        </w:rPr>
      </w:pPr>
      <w:r>
        <w:t>火灾爆炸事故消防废水成分单一、污染物含量较小，厂区设置三级防控等</w:t>
      </w:r>
      <w:r>
        <w:rPr>
          <w:rFonts w:hint="eastAsia"/>
        </w:rPr>
        <w:t>设有防渗措施，可确保消防废水不进入地表水及地下水/土壤，因此，本次评价不定量分析火灾爆炸事故对地表水和地下水/土壤的影响。</w:t>
      </w:r>
    </w:p>
    <w:p w14:paraId="523CB67D">
      <w:pPr>
        <w:pStyle w:val="52"/>
        <w:keepNext w:val="0"/>
        <w:keepLines w:val="0"/>
        <w:widowControl/>
        <w:suppressLineNumbers w:val="0"/>
        <w:spacing w:line="240" w:lineRule="auto"/>
        <w:ind w:left="0" w:firstLine="0"/>
        <w:jc w:val="left"/>
        <w:textAlignment w:val="center"/>
        <w:rPr>
          <w:rFonts w:hint="eastAsia" w:ascii="Times New Roman" w:hAnsi="Times New Roman" w:cs="Times New Roman"/>
          <w:b/>
          <w:szCs w:val="28"/>
        </w:rPr>
      </w:pPr>
      <w:r>
        <w:rPr>
          <w:rFonts w:hint="eastAsia" w:ascii="Times New Roman" w:hAnsi="Times New Roman" w:cs="Times New Roman"/>
          <w:b/>
          <w:szCs w:val="28"/>
          <w:lang w:val="en-US" w:eastAsia="zh-CN"/>
        </w:rPr>
        <w:t xml:space="preserve">6.2.3 事故后果分析 </w:t>
      </w:r>
    </w:p>
    <w:p w14:paraId="7F709EBC">
      <w:pPr>
        <w:pStyle w:val="52"/>
        <w:keepNext w:val="0"/>
        <w:keepLines w:val="0"/>
        <w:widowControl/>
        <w:suppressLineNumbers w:val="0"/>
        <w:spacing w:line="240" w:lineRule="auto"/>
        <w:ind w:left="0" w:firstLine="0"/>
        <w:jc w:val="left"/>
        <w:textAlignment w:val="center"/>
        <w:rPr>
          <w:rFonts w:hint="eastAsia" w:ascii="Times New Roman" w:hAnsi="Times New Roman" w:cs="Times New Roman"/>
          <w:b/>
          <w:szCs w:val="28"/>
          <w:lang w:val="en-US" w:eastAsia="zh-CN"/>
        </w:rPr>
      </w:pPr>
      <w:bookmarkStart w:id="561" w:name="_Toc26231"/>
      <w:r>
        <w:rPr>
          <w:rFonts w:hint="default" w:ascii="Times New Roman" w:hAnsi="Times New Roman" w:cs="Times New Roman"/>
          <w:b/>
          <w:szCs w:val="28"/>
          <w:lang w:val="en-US" w:eastAsia="zh-CN"/>
        </w:rPr>
        <w:t>6.</w:t>
      </w:r>
      <w:r>
        <w:rPr>
          <w:rFonts w:hint="eastAsia" w:ascii="Times New Roman" w:hAnsi="Times New Roman" w:cs="Times New Roman"/>
          <w:b/>
          <w:szCs w:val="28"/>
          <w:lang w:val="en-US" w:eastAsia="zh-CN"/>
        </w:rPr>
        <w:t>2.3.1大气环境风险事故预测与评价</w:t>
      </w:r>
      <w:bookmarkEnd w:id="561"/>
      <w:r>
        <w:rPr>
          <w:rFonts w:hint="eastAsia" w:ascii="Times New Roman" w:hAnsi="Times New Roman" w:cs="Times New Roman"/>
          <w:b/>
          <w:szCs w:val="28"/>
          <w:lang w:val="en-US" w:eastAsia="zh-CN"/>
        </w:rPr>
        <w:t xml:space="preserve"> </w:t>
      </w:r>
    </w:p>
    <w:p w14:paraId="6DF65C85">
      <w:pPr>
        <w:keepNext w:val="0"/>
        <w:keepLines w:val="0"/>
        <w:widowControl/>
        <w:suppressLineNumbers w:val="0"/>
        <w:ind w:firstLine="480" w:firstLineChars="200"/>
        <w:jc w:val="left"/>
      </w:pPr>
      <w:r>
        <w:rPr>
          <w:rFonts w:hint="default" w:ascii="Times New Roman" w:hAnsi="Times New Roman" w:eastAsia="宋体" w:cs="Times New Roman"/>
          <w:color w:val="000000"/>
          <w:kern w:val="0"/>
          <w:sz w:val="24"/>
          <w:szCs w:val="24"/>
          <w:lang w:val="en-US" w:eastAsia="zh-CN" w:bidi="ar"/>
        </w:rPr>
        <w:t>1</w:t>
      </w:r>
      <w:r>
        <w:rPr>
          <w:rFonts w:hint="eastAsia" w:ascii="宋体" w:hAnsi="宋体" w:eastAsia="宋体" w:cs="宋体"/>
          <w:color w:val="000000"/>
          <w:kern w:val="0"/>
          <w:sz w:val="24"/>
          <w:szCs w:val="24"/>
          <w:lang w:val="en-US" w:eastAsia="zh-CN" w:bidi="ar"/>
        </w:rPr>
        <w:t xml:space="preserve">、氨水储罐泄漏事故 </w:t>
      </w:r>
    </w:p>
    <w:p w14:paraId="16E2F689">
      <w:pPr>
        <w:keepNext w:val="0"/>
        <w:keepLines w:val="0"/>
        <w:widowControl/>
        <w:suppressLineNumbers w:val="0"/>
        <w:ind w:firstLine="480" w:firstLineChars="200"/>
        <w:jc w:val="left"/>
      </w:pPr>
      <w:r>
        <w:rPr>
          <w:rFonts w:hint="eastAsia" w:ascii="宋体" w:hAnsi="宋体" w:eastAsia="宋体" w:cs="宋体"/>
          <w:color w:val="000000"/>
          <w:kern w:val="0"/>
          <w:sz w:val="24"/>
          <w:szCs w:val="24"/>
          <w:lang w:val="en-US" w:eastAsia="zh-CN" w:bidi="ar"/>
        </w:rPr>
        <w:t>（</w:t>
      </w:r>
      <w:r>
        <w:rPr>
          <w:rFonts w:hint="default" w:ascii="Times New Roman" w:hAnsi="Times New Roman" w:eastAsia="宋体" w:cs="Times New Roman"/>
          <w:color w:val="000000"/>
          <w:kern w:val="0"/>
          <w:sz w:val="24"/>
          <w:szCs w:val="24"/>
          <w:lang w:val="en-US" w:eastAsia="zh-CN" w:bidi="ar"/>
        </w:rPr>
        <w:t>1</w:t>
      </w:r>
      <w:r>
        <w:rPr>
          <w:rFonts w:hint="eastAsia" w:ascii="宋体" w:hAnsi="宋体" w:eastAsia="宋体" w:cs="宋体"/>
          <w:color w:val="000000"/>
          <w:kern w:val="0"/>
          <w:sz w:val="24"/>
          <w:szCs w:val="24"/>
          <w:lang w:val="en-US" w:eastAsia="zh-CN" w:bidi="ar"/>
        </w:rPr>
        <w:t xml:space="preserve">）预测模型筛选 </w:t>
      </w:r>
    </w:p>
    <w:p w14:paraId="6D90C8CE">
      <w:pPr>
        <w:keepNext w:val="0"/>
        <w:keepLines w:val="0"/>
        <w:widowControl/>
        <w:suppressLineNumbers w:val="0"/>
        <w:ind w:firstLine="480" w:firstLineChars="200"/>
        <w:jc w:val="left"/>
      </w:pPr>
      <w:r>
        <w:rPr>
          <w:rFonts w:hint="eastAsia" w:ascii="宋体" w:hAnsi="宋体" w:eastAsia="宋体" w:cs="宋体"/>
          <w:color w:val="000000"/>
          <w:kern w:val="0"/>
          <w:sz w:val="24"/>
          <w:szCs w:val="24"/>
          <w:lang w:val="en-US" w:eastAsia="zh-CN" w:bidi="ar"/>
        </w:rPr>
        <w:t>根据《建设项目环境风险评价技术导则》（</w:t>
      </w:r>
      <w:r>
        <w:rPr>
          <w:rFonts w:hint="default" w:ascii="Times New Roman" w:hAnsi="Times New Roman" w:eastAsia="宋体" w:cs="Times New Roman"/>
          <w:color w:val="000000"/>
          <w:kern w:val="0"/>
          <w:sz w:val="24"/>
          <w:szCs w:val="24"/>
          <w:lang w:val="en-US" w:eastAsia="zh-CN" w:bidi="ar"/>
        </w:rPr>
        <w:t>HJ 169-2018</w:t>
      </w:r>
      <w:r>
        <w:rPr>
          <w:rFonts w:hint="eastAsia" w:ascii="宋体" w:hAnsi="宋体" w:eastAsia="宋体" w:cs="宋体"/>
          <w:color w:val="000000"/>
          <w:kern w:val="0"/>
          <w:sz w:val="24"/>
          <w:szCs w:val="24"/>
          <w:lang w:val="en-US" w:eastAsia="zh-CN" w:bidi="ar"/>
        </w:rPr>
        <w:t xml:space="preserve">）附录 </w:t>
      </w:r>
      <w:r>
        <w:rPr>
          <w:rFonts w:hint="default" w:ascii="Times New Roman" w:hAnsi="Times New Roman" w:eastAsia="宋体" w:cs="Times New Roman"/>
          <w:color w:val="000000"/>
          <w:kern w:val="0"/>
          <w:sz w:val="24"/>
          <w:szCs w:val="24"/>
          <w:lang w:val="en-US" w:eastAsia="zh-CN" w:bidi="ar"/>
        </w:rPr>
        <w:t>G</w:t>
      </w:r>
      <w:r>
        <w:rPr>
          <w:rFonts w:hint="eastAsia" w:ascii="宋体" w:hAnsi="宋体" w:eastAsia="宋体" w:cs="宋体"/>
          <w:color w:val="000000"/>
          <w:kern w:val="0"/>
          <w:sz w:val="24"/>
          <w:szCs w:val="24"/>
          <w:lang w:val="en-US" w:eastAsia="zh-CN" w:bidi="ar"/>
        </w:rPr>
        <w:t xml:space="preserve">，氨气为轻质气体，本次采用导则推荐的 </w:t>
      </w:r>
      <w:r>
        <w:rPr>
          <w:rFonts w:hint="default" w:ascii="Times New Roman" w:hAnsi="Times New Roman" w:eastAsia="宋体" w:cs="Times New Roman"/>
          <w:color w:val="000000"/>
          <w:kern w:val="0"/>
          <w:sz w:val="24"/>
          <w:szCs w:val="24"/>
          <w:lang w:val="en-US" w:eastAsia="zh-CN" w:bidi="ar"/>
        </w:rPr>
        <w:t xml:space="preserve">AFTOX </w:t>
      </w:r>
      <w:r>
        <w:rPr>
          <w:rFonts w:hint="eastAsia" w:ascii="宋体" w:hAnsi="宋体" w:eastAsia="宋体" w:cs="宋体"/>
          <w:color w:val="000000"/>
          <w:kern w:val="0"/>
          <w:sz w:val="24"/>
          <w:szCs w:val="24"/>
          <w:lang w:val="en-US" w:eastAsia="zh-CN" w:bidi="ar"/>
        </w:rPr>
        <w:t xml:space="preserve">模型进行预测。预测时段为泄漏事故开始后的 </w:t>
      </w:r>
      <w:r>
        <w:rPr>
          <w:rFonts w:hint="default" w:ascii="Times New Roman" w:hAnsi="Times New Roman" w:eastAsia="宋体" w:cs="Times New Roman"/>
          <w:color w:val="000000"/>
          <w:kern w:val="0"/>
          <w:sz w:val="24"/>
          <w:szCs w:val="24"/>
          <w:lang w:val="en-US" w:eastAsia="zh-CN" w:bidi="ar"/>
        </w:rPr>
        <w:t>30min</w:t>
      </w:r>
      <w:r>
        <w:rPr>
          <w:rFonts w:hint="eastAsia" w:ascii="宋体" w:hAnsi="宋体" w:eastAsia="宋体" w:cs="宋体"/>
          <w:color w:val="000000"/>
          <w:kern w:val="0"/>
          <w:sz w:val="24"/>
          <w:szCs w:val="24"/>
          <w:lang w:val="en-US" w:eastAsia="zh-CN" w:bidi="ar"/>
        </w:rPr>
        <w:t>，按最不利气象条件（</w:t>
      </w:r>
      <w:r>
        <w:rPr>
          <w:rFonts w:hint="default" w:ascii="Times New Roman" w:hAnsi="Times New Roman" w:eastAsia="宋体" w:cs="Times New Roman"/>
          <w:color w:val="000000"/>
          <w:kern w:val="0"/>
          <w:sz w:val="24"/>
          <w:szCs w:val="24"/>
          <w:lang w:val="en-US" w:eastAsia="zh-CN" w:bidi="ar"/>
        </w:rPr>
        <w:t xml:space="preserve">F </w:t>
      </w:r>
      <w:r>
        <w:rPr>
          <w:rFonts w:hint="eastAsia" w:ascii="宋体" w:hAnsi="宋体" w:eastAsia="宋体" w:cs="宋体"/>
          <w:color w:val="000000"/>
          <w:kern w:val="0"/>
          <w:sz w:val="24"/>
          <w:szCs w:val="24"/>
          <w:lang w:val="en-US" w:eastAsia="zh-CN" w:bidi="ar"/>
        </w:rPr>
        <w:t xml:space="preserve">稳定度，风速 </w:t>
      </w:r>
      <w:r>
        <w:rPr>
          <w:rFonts w:hint="default" w:ascii="Times New Roman" w:hAnsi="Times New Roman" w:eastAsia="宋体" w:cs="Times New Roman"/>
          <w:color w:val="000000"/>
          <w:kern w:val="0"/>
          <w:sz w:val="24"/>
          <w:szCs w:val="24"/>
          <w:lang w:val="en-US" w:eastAsia="zh-CN" w:bidi="ar"/>
        </w:rPr>
        <w:t>1.5m/s</w:t>
      </w:r>
      <w:r>
        <w:rPr>
          <w:rFonts w:hint="eastAsia" w:ascii="宋体" w:hAnsi="宋体" w:eastAsia="宋体" w:cs="宋体"/>
          <w:color w:val="000000"/>
          <w:kern w:val="0"/>
          <w:sz w:val="24"/>
          <w:szCs w:val="24"/>
          <w:lang w:val="en-US" w:eastAsia="zh-CN" w:bidi="ar"/>
        </w:rPr>
        <w:t xml:space="preserve">，温度 </w:t>
      </w:r>
      <w:r>
        <w:rPr>
          <w:rFonts w:hint="default" w:ascii="Times New Roman" w:hAnsi="Times New Roman" w:eastAsia="宋体" w:cs="Times New Roman"/>
          <w:color w:val="000000"/>
          <w:kern w:val="0"/>
          <w:sz w:val="24"/>
          <w:szCs w:val="24"/>
          <w:lang w:val="en-US" w:eastAsia="zh-CN" w:bidi="ar"/>
        </w:rPr>
        <w:t>25℃</w:t>
      </w:r>
      <w:r>
        <w:rPr>
          <w:rFonts w:hint="eastAsia" w:ascii="宋体" w:hAnsi="宋体" w:eastAsia="宋体" w:cs="宋体"/>
          <w:color w:val="000000"/>
          <w:kern w:val="0"/>
          <w:sz w:val="24"/>
          <w:szCs w:val="24"/>
          <w:lang w:val="en-US" w:eastAsia="zh-CN" w:bidi="ar"/>
        </w:rPr>
        <w:t xml:space="preserve">，湿度 </w:t>
      </w:r>
      <w:r>
        <w:rPr>
          <w:rFonts w:hint="default" w:ascii="Times New Roman" w:hAnsi="Times New Roman" w:eastAsia="宋体" w:cs="Times New Roman"/>
          <w:color w:val="000000"/>
          <w:kern w:val="0"/>
          <w:sz w:val="24"/>
          <w:szCs w:val="24"/>
          <w:lang w:val="en-US" w:eastAsia="zh-CN" w:bidi="ar"/>
        </w:rPr>
        <w:t>50%</w:t>
      </w:r>
      <w:r>
        <w:rPr>
          <w:rFonts w:hint="eastAsia" w:ascii="宋体" w:hAnsi="宋体" w:eastAsia="宋体" w:cs="宋体"/>
          <w:color w:val="000000"/>
          <w:kern w:val="0"/>
          <w:sz w:val="24"/>
          <w:szCs w:val="24"/>
          <w:lang w:val="en-US" w:eastAsia="zh-CN" w:bidi="ar"/>
        </w:rPr>
        <w:t xml:space="preserve">）预测影响后果。 </w:t>
      </w:r>
    </w:p>
    <w:p w14:paraId="3AD2634F">
      <w:pPr>
        <w:keepNext w:val="0"/>
        <w:keepLines w:val="0"/>
        <w:widowControl/>
        <w:suppressLineNumbers w:val="0"/>
        <w:ind w:firstLine="480" w:firstLineChars="200"/>
        <w:jc w:val="left"/>
      </w:pPr>
      <w:r>
        <w:rPr>
          <w:rFonts w:hint="eastAsia" w:ascii="宋体" w:hAnsi="宋体" w:eastAsia="宋体" w:cs="宋体"/>
          <w:color w:val="000000"/>
          <w:kern w:val="0"/>
          <w:sz w:val="24"/>
          <w:szCs w:val="24"/>
          <w:lang w:val="en-US" w:eastAsia="zh-CN" w:bidi="ar"/>
        </w:rPr>
        <w:t xml:space="preserve">预测模型主要参数详见表 </w:t>
      </w:r>
      <w:r>
        <w:rPr>
          <w:rFonts w:hint="default" w:ascii="Times New Roman" w:hAnsi="Times New Roman" w:eastAsia="宋体" w:cs="Times New Roman"/>
          <w:color w:val="000000"/>
          <w:kern w:val="0"/>
          <w:sz w:val="24"/>
          <w:szCs w:val="24"/>
          <w:lang w:val="en-US" w:eastAsia="zh-CN" w:bidi="ar"/>
        </w:rPr>
        <w:t>6.</w:t>
      </w:r>
      <w:r>
        <w:rPr>
          <w:rFonts w:hint="eastAsia" w:ascii="Times New Roman" w:hAnsi="Times New Roman" w:cs="Times New Roman"/>
          <w:color w:val="000000"/>
          <w:kern w:val="0"/>
          <w:sz w:val="24"/>
          <w:szCs w:val="24"/>
          <w:lang w:val="en-US" w:eastAsia="zh-CN" w:bidi="ar"/>
        </w:rPr>
        <w:t>2-6</w:t>
      </w:r>
      <w:r>
        <w:rPr>
          <w:rFonts w:hint="eastAsia" w:ascii="宋体" w:hAnsi="宋体" w:eastAsia="宋体" w:cs="宋体"/>
          <w:color w:val="000000"/>
          <w:kern w:val="0"/>
          <w:sz w:val="24"/>
          <w:szCs w:val="24"/>
          <w:lang w:val="en-US" w:eastAsia="zh-CN" w:bidi="ar"/>
        </w:rPr>
        <w:t>。</w:t>
      </w:r>
    </w:p>
    <w:p w14:paraId="33DEDF99">
      <w:pPr>
        <w:jc w:val="center"/>
      </w:pPr>
      <w:r>
        <w:t>表</w:t>
      </w:r>
      <w:r>
        <w:rPr>
          <w:rFonts w:hint="default" w:ascii="Times New Roman" w:hAnsi="Times New Roman" w:eastAsia="宋体" w:cs="Times New Roman"/>
          <w:color w:val="000000"/>
          <w:kern w:val="0"/>
          <w:sz w:val="24"/>
          <w:szCs w:val="24"/>
          <w:lang w:val="en-US" w:eastAsia="zh-CN" w:bidi="ar"/>
        </w:rPr>
        <w:t>6.</w:t>
      </w:r>
      <w:r>
        <w:rPr>
          <w:rFonts w:hint="eastAsia" w:ascii="Times New Roman" w:hAnsi="Times New Roman" w:cs="Times New Roman"/>
          <w:color w:val="000000"/>
          <w:kern w:val="0"/>
          <w:sz w:val="24"/>
          <w:szCs w:val="24"/>
          <w:lang w:val="en-US" w:eastAsia="zh-CN" w:bidi="ar"/>
        </w:rPr>
        <w:t>2-6</w:t>
      </w:r>
      <w:r>
        <w:t xml:space="preserve"> 氨水罐泄漏大气风险预测模型主要参数表</w:t>
      </w:r>
    </w:p>
    <w:tbl>
      <w:tblPr>
        <w:tblStyle w:val="56"/>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2121"/>
        <w:gridCol w:w="4055"/>
        <w:gridCol w:w="2545"/>
      </w:tblGrid>
      <w:tr w14:paraId="689121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0" w:type="auto"/>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0350C8BD">
            <w:pPr>
              <w:jc w:val="center"/>
              <w:rPr>
                <w:b/>
              </w:rPr>
            </w:pPr>
            <w:r>
              <w:rPr>
                <w:b/>
              </w:rPr>
              <w:t>参数类型</w:t>
            </w:r>
          </w:p>
        </w:tc>
        <w:tc>
          <w:tcPr>
            <w:tcW w:w="0" w:type="auto"/>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1593DC1A">
            <w:pPr>
              <w:jc w:val="center"/>
              <w:rPr>
                <w:b/>
              </w:rPr>
            </w:pPr>
            <w:r>
              <w:rPr>
                <w:b/>
              </w:rPr>
              <w:t>选项</w:t>
            </w:r>
          </w:p>
        </w:tc>
        <w:tc>
          <w:tcPr>
            <w:tcW w:w="0" w:type="auto"/>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07AA4589">
            <w:pPr>
              <w:jc w:val="center"/>
              <w:rPr>
                <w:b/>
              </w:rPr>
            </w:pPr>
            <w:r>
              <w:rPr>
                <w:b/>
              </w:rPr>
              <w:t>参数</w:t>
            </w:r>
          </w:p>
        </w:tc>
      </w:tr>
      <w:tr w14:paraId="320BEF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0" w:type="auto"/>
            <w:vMerge w:val="restart"/>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36E2878E">
            <w:r>
              <w:t>基本情况</w:t>
            </w:r>
          </w:p>
        </w:tc>
        <w:tc>
          <w:tcPr>
            <w:tcW w:w="4055"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3BF5D44C">
            <w:pPr>
              <w:jc w:val="center"/>
              <w:rPr>
                <w:highlight w:val="yellow"/>
              </w:rPr>
            </w:pPr>
            <w:r>
              <w:rPr>
                <w:rFonts w:ascii="宋体" w:hAnsi="宋体" w:eastAsia="宋体"/>
                <w:b w:val="0"/>
                <w:sz w:val="23"/>
                <w:szCs w:val="23"/>
              </w:rPr>
              <w:t>事故源经度(°)</w:t>
            </w:r>
          </w:p>
        </w:tc>
        <w:tc>
          <w:tcPr>
            <w:tcW w:w="2545"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541D0708">
            <w:pPr>
              <w:jc w:val="center"/>
              <w:rPr>
                <w:highlight w:val="yellow"/>
              </w:rPr>
            </w:pPr>
            <w:r>
              <w:rPr>
                <w:rFonts w:ascii="宋体" w:hAnsi="宋体" w:eastAsia="宋体"/>
                <w:b w:val="0"/>
                <w:sz w:val="23"/>
                <w:szCs w:val="23"/>
              </w:rPr>
              <w:t>123.831792</w:t>
            </w:r>
          </w:p>
        </w:tc>
      </w:tr>
      <w:tr w14:paraId="709531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0" w:type="auto"/>
            <w:vMerge w:val="continue"/>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24F47F98"/>
        </w:tc>
        <w:tc>
          <w:tcPr>
            <w:tcW w:w="4055"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4BC99916">
            <w:pPr>
              <w:jc w:val="center"/>
              <w:rPr>
                <w:highlight w:val="yellow"/>
              </w:rPr>
            </w:pPr>
            <w:r>
              <w:rPr>
                <w:rFonts w:ascii="宋体" w:hAnsi="宋体" w:eastAsia="宋体"/>
                <w:b w:val="0"/>
                <w:sz w:val="23"/>
                <w:szCs w:val="23"/>
              </w:rPr>
              <w:t>事故源纬度(°)</w:t>
            </w:r>
          </w:p>
        </w:tc>
        <w:tc>
          <w:tcPr>
            <w:tcW w:w="2545"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204FEC52">
            <w:pPr>
              <w:jc w:val="center"/>
              <w:rPr>
                <w:highlight w:val="yellow"/>
              </w:rPr>
            </w:pPr>
            <w:r>
              <w:rPr>
                <w:rFonts w:ascii="宋体" w:hAnsi="宋体" w:eastAsia="宋体"/>
                <w:b w:val="0"/>
                <w:sz w:val="23"/>
                <w:szCs w:val="23"/>
              </w:rPr>
              <w:t>40.928602</w:t>
            </w:r>
          </w:p>
        </w:tc>
      </w:tr>
      <w:tr w14:paraId="29B69F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0" w:type="auto"/>
            <w:vMerge w:val="continue"/>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3077F5C4"/>
        </w:tc>
        <w:tc>
          <w:tcPr>
            <w:tcW w:w="4055"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4A429891">
            <w:pPr>
              <w:jc w:val="center"/>
            </w:pPr>
            <w:r>
              <w:rPr>
                <w:rFonts w:ascii="宋体" w:hAnsi="宋体" w:eastAsia="宋体"/>
                <w:b w:val="0"/>
                <w:sz w:val="23"/>
                <w:szCs w:val="23"/>
              </w:rPr>
              <w:t>事故源类型</w:t>
            </w:r>
          </w:p>
        </w:tc>
        <w:tc>
          <w:tcPr>
            <w:tcW w:w="2545"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6AD387B8">
            <w:pPr>
              <w:jc w:val="center"/>
            </w:pPr>
            <w:r>
              <w:rPr>
                <w:rFonts w:ascii="宋体" w:hAnsi="宋体" w:eastAsia="宋体"/>
                <w:b w:val="0"/>
                <w:sz w:val="23"/>
                <w:szCs w:val="23"/>
              </w:rPr>
              <w:t>液体泄漏</w:t>
            </w:r>
          </w:p>
        </w:tc>
      </w:tr>
      <w:tr w14:paraId="3D4EE6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0" w:type="auto"/>
            <w:vMerge w:val="restart"/>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0FB58AD4">
            <w:r>
              <w:t>气象参数</w:t>
            </w:r>
          </w:p>
        </w:tc>
        <w:tc>
          <w:tcPr>
            <w:tcW w:w="4055"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60AA4DC5">
            <w:pPr>
              <w:jc w:val="center"/>
            </w:pPr>
            <w:r>
              <w:rPr>
                <w:rFonts w:ascii="宋体" w:hAnsi="宋体" w:eastAsia="宋体"/>
                <w:b w:val="0"/>
                <w:sz w:val="23"/>
                <w:szCs w:val="23"/>
              </w:rPr>
              <w:t>气象条件类型</w:t>
            </w:r>
          </w:p>
        </w:tc>
        <w:tc>
          <w:tcPr>
            <w:tcW w:w="2545"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1CE53657">
            <w:pPr>
              <w:jc w:val="center"/>
            </w:pPr>
            <w:r>
              <w:rPr>
                <w:rFonts w:ascii="宋体" w:hAnsi="宋体" w:eastAsia="宋体"/>
                <w:b w:val="0"/>
                <w:sz w:val="23"/>
                <w:szCs w:val="23"/>
              </w:rPr>
              <w:t>最不利气象条件</w:t>
            </w:r>
          </w:p>
        </w:tc>
      </w:tr>
      <w:tr w14:paraId="6F1046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0" w:type="auto"/>
            <w:vMerge w:val="continue"/>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19583F95"/>
        </w:tc>
        <w:tc>
          <w:tcPr>
            <w:tcW w:w="4055"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2EAD3753">
            <w:pPr>
              <w:jc w:val="center"/>
            </w:pPr>
            <w:r>
              <w:rPr>
                <w:rFonts w:ascii="宋体" w:hAnsi="宋体" w:eastAsia="宋体"/>
                <w:b w:val="0"/>
                <w:sz w:val="23"/>
                <w:szCs w:val="23"/>
              </w:rPr>
              <w:t>风速(m/s)</w:t>
            </w:r>
          </w:p>
        </w:tc>
        <w:tc>
          <w:tcPr>
            <w:tcW w:w="2545"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272BE202">
            <w:pPr>
              <w:jc w:val="center"/>
            </w:pPr>
            <w:r>
              <w:rPr>
                <w:rFonts w:ascii="宋体" w:hAnsi="宋体" w:eastAsia="宋体"/>
                <w:b w:val="0"/>
                <w:sz w:val="23"/>
                <w:szCs w:val="23"/>
              </w:rPr>
              <w:t>1.5000</w:t>
            </w:r>
          </w:p>
        </w:tc>
      </w:tr>
      <w:tr w14:paraId="3DB36C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0" w:type="auto"/>
            <w:vMerge w:val="continue"/>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180B5FB7"/>
        </w:tc>
        <w:tc>
          <w:tcPr>
            <w:tcW w:w="4055"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72D95438">
            <w:pPr>
              <w:jc w:val="center"/>
            </w:pPr>
            <w:r>
              <w:rPr>
                <w:rFonts w:ascii="宋体" w:hAnsi="宋体" w:eastAsia="宋体"/>
                <w:b w:val="0"/>
                <w:sz w:val="23"/>
                <w:szCs w:val="23"/>
              </w:rPr>
              <w:t>环境温度(℃)</w:t>
            </w:r>
          </w:p>
        </w:tc>
        <w:tc>
          <w:tcPr>
            <w:tcW w:w="2545"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118C3CAF">
            <w:pPr>
              <w:jc w:val="center"/>
            </w:pPr>
            <w:r>
              <w:rPr>
                <w:rFonts w:ascii="宋体" w:hAnsi="宋体" w:eastAsia="宋体"/>
                <w:b w:val="0"/>
                <w:sz w:val="23"/>
                <w:szCs w:val="23"/>
              </w:rPr>
              <w:t>25.00</w:t>
            </w:r>
          </w:p>
        </w:tc>
      </w:tr>
      <w:tr w14:paraId="29B9E2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0" w:type="auto"/>
            <w:vMerge w:val="continue"/>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57C91A22"/>
        </w:tc>
        <w:tc>
          <w:tcPr>
            <w:tcW w:w="4055"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74F1B64A">
            <w:pPr>
              <w:jc w:val="center"/>
            </w:pPr>
            <w:r>
              <w:rPr>
                <w:rFonts w:ascii="宋体" w:hAnsi="宋体" w:eastAsia="宋体"/>
                <w:b w:val="0"/>
                <w:sz w:val="23"/>
                <w:szCs w:val="23"/>
              </w:rPr>
              <w:t>相对湿度(%)</w:t>
            </w:r>
          </w:p>
        </w:tc>
        <w:tc>
          <w:tcPr>
            <w:tcW w:w="2545"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400AB643">
            <w:pPr>
              <w:jc w:val="center"/>
            </w:pPr>
            <w:r>
              <w:rPr>
                <w:rFonts w:ascii="宋体" w:hAnsi="宋体" w:eastAsia="宋体"/>
                <w:b w:val="0"/>
                <w:sz w:val="23"/>
                <w:szCs w:val="23"/>
              </w:rPr>
              <w:t>50.0</w:t>
            </w:r>
          </w:p>
        </w:tc>
      </w:tr>
      <w:tr w14:paraId="169440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0" w:type="auto"/>
            <w:vMerge w:val="continue"/>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12B5BA96"/>
        </w:tc>
        <w:tc>
          <w:tcPr>
            <w:tcW w:w="4055"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1684E584">
            <w:pPr>
              <w:jc w:val="center"/>
            </w:pPr>
            <w:r>
              <w:rPr>
                <w:rFonts w:ascii="宋体" w:hAnsi="宋体" w:eastAsia="宋体"/>
                <w:b w:val="0"/>
                <w:sz w:val="23"/>
                <w:szCs w:val="23"/>
              </w:rPr>
              <w:t>稳定度</w:t>
            </w:r>
          </w:p>
        </w:tc>
        <w:tc>
          <w:tcPr>
            <w:tcW w:w="2545"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1AA814B4">
            <w:pPr>
              <w:jc w:val="center"/>
            </w:pPr>
            <w:r>
              <w:rPr>
                <w:rFonts w:ascii="宋体" w:hAnsi="宋体" w:eastAsia="宋体"/>
                <w:b w:val="0"/>
                <w:sz w:val="23"/>
                <w:szCs w:val="23"/>
              </w:rPr>
              <w:t>F(稳定)</w:t>
            </w:r>
          </w:p>
        </w:tc>
      </w:tr>
      <w:tr w14:paraId="1E914C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0" w:type="auto"/>
            <w:vMerge w:val="restart"/>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10810726">
            <w:r>
              <w:t>其他参数</w:t>
            </w:r>
          </w:p>
        </w:tc>
        <w:tc>
          <w:tcPr>
            <w:tcW w:w="4055"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6F40A88E">
            <w:pPr>
              <w:jc w:val="center"/>
            </w:pPr>
            <w:r>
              <w:rPr>
                <w:rFonts w:ascii="宋体" w:hAnsi="宋体" w:eastAsia="宋体"/>
                <w:b w:val="0"/>
                <w:sz w:val="23"/>
                <w:szCs w:val="23"/>
              </w:rPr>
              <w:t>地表粗糙度（m）</w:t>
            </w:r>
          </w:p>
        </w:tc>
        <w:tc>
          <w:tcPr>
            <w:tcW w:w="2545"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3D815D66">
            <w:pPr>
              <w:jc w:val="center"/>
            </w:pPr>
            <w:r>
              <w:rPr>
                <w:rFonts w:ascii="宋体" w:hAnsi="宋体" w:eastAsia="宋体"/>
                <w:b w:val="0"/>
                <w:sz w:val="23"/>
                <w:szCs w:val="23"/>
              </w:rPr>
              <w:t>0.5</w:t>
            </w:r>
          </w:p>
        </w:tc>
      </w:tr>
      <w:tr w14:paraId="25DB4B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0" w:type="auto"/>
            <w:vMerge w:val="continue"/>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66DE96DA"/>
        </w:tc>
        <w:tc>
          <w:tcPr>
            <w:tcW w:w="4055"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4E50EE02">
            <w:pPr>
              <w:jc w:val="center"/>
            </w:pPr>
            <w:r>
              <w:rPr>
                <w:rFonts w:ascii="宋体" w:hAnsi="宋体" w:eastAsia="宋体"/>
                <w:b w:val="0"/>
                <w:sz w:val="23"/>
                <w:szCs w:val="23"/>
              </w:rPr>
              <w:t>是否考虑地形</w:t>
            </w:r>
          </w:p>
        </w:tc>
        <w:tc>
          <w:tcPr>
            <w:tcW w:w="2545"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5C5C59DB">
            <w:pPr>
              <w:jc w:val="center"/>
            </w:pPr>
            <w:r>
              <w:rPr>
                <w:rFonts w:ascii="宋体" w:hAnsi="宋体" w:eastAsia="宋体"/>
                <w:b w:val="0"/>
                <w:sz w:val="23"/>
                <w:szCs w:val="23"/>
              </w:rPr>
              <w:t>否</w:t>
            </w:r>
          </w:p>
        </w:tc>
      </w:tr>
      <w:tr w14:paraId="245DB2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0" w:type="auto"/>
            <w:vMerge w:val="continue"/>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79F526AE"/>
        </w:tc>
        <w:tc>
          <w:tcPr>
            <w:tcW w:w="4055"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0E8E5B10">
            <w:pPr>
              <w:jc w:val="center"/>
            </w:pPr>
            <w:r>
              <w:rPr>
                <w:rFonts w:ascii="宋体" w:hAnsi="宋体" w:eastAsia="宋体"/>
                <w:b w:val="0"/>
                <w:sz w:val="23"/>
                <w:szCs w:val="23"/>
              </w:rPr>
              <w:t>地形数据精度</w:t>
            </w:r>
          </w:p>
        </w:tc>
        <w:tc>
          <w:tcPr>
            <w:tcW w:w="2545"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31C5D726">
            <w:pPr>
              <w:jc w:val="center"/>
            </w:pPr>
            <w:r>
              <w:rPr>
                <w:rFonts w:ascii="宋体" w:hAnsi="宋体" w:eastAsia="宋体"/>
                <w:b w:val="0"/>
                <w:sz w:val="23"/>
                <w:szCs w:val="23"/>
              </w:rPr>
              <w:t>90m</w:t>
            </w:r>
          </w:p>
        </w:tc>
      </w:tr>
    </w:tbl>
    <w:p w14:paraId="56458BEE">
      <w:pPr>
        <w:jc w:val="left"/>
      </w:pPr>
      <w:r>
        <w:t>（2）预测计算</w:t>
      </w:r>
    </w:p>
    <w:p w14:paraId="44F454D2">
      <w:pPr>
        <w:keepNext w:val="0"/>
        <w:keepLines w:val="0"/>
        <w:widowControl/>
        <w:suppressLineNumbers w:val="0"/>
        <w:ind w:firstLine="480" w:firstLineChars="200"/>
        <w:jc w:val="left"/>
      </w:pPr>
      <w:r>
        <w:rPr>
          <w:rFonts w:hint="eastAsia" w:ascii="宋体" w:hAnsi="宋体" w:eastAsia="宋体" w:cs="宋体"/>
          <w:color w:val="000000"/>
          <w:kern w:val="0"/>
          <w:sz w:val="24"/>
          <w:szCs w:val="24"/>
          <w:lang w:val="en-US" w:eastAsia="zh-CN" w:bidi="ar"/>
        </w:rPr>
        <w:t>采用</w:t>
      </w:r>
      <w:r>
        <w:rPr>
          <w:rFonts w:hint="default" w:ascii="Times New Roman" w:hAnsi="Times New Roman" w:eastAsia="宋体" w:cs="Times New Roman"/>
          <w:color w:val="000000"/>
          <w:kern w:val="0"/>
          <w:sz w:val="24"/>
          <w:szCs w:val="24"/>
          <w:lang w:val="en-US" w:eastAsia="zh-CN" w:bidi="ar"/>
        </w:rPr>
        <w:t>AFTOX</w:t>
      </w:r>
      <w:r>
        <w:rPr>
          <w:rFonts w:hint="eastAsia" w:ascii="宋体" w:hAnsi="宋体" w:eastAsia="宋体" w:cs="宋体"/>
          <w:color w:val="000000"/>
          <w:kern w:val="0"/>
          <w:sz w:val="24"/>
          <w:szCs w:val="24"/>
          <w:lang w:val="en-US" w:eastAsia="zh-CN" w:bidi="ar"/>
        </w:rPr>
        <w:t>模型进行计算事故影响。最不利气象条件，氨水储罐泄漏产生氨气预测结果见表</w:t>
      </w:r>
      <w:r>
        <w:rPr>
          <w:rFonts w:hint="default" w:ascii="Times New Roman" w:hAnsi="Times New Roman" w:eastAsia="宋体" w:cs="Times New Roman"/>
          <w:color w:val="000000"/>
          <w:kern w:val="0"/>
          <w:sz w:val="24"/>
          <w:szCs w:val="24"/>
          <w:lang w:val="en-US" w:eastAsia="zh-CN" w:bidi="ar"/>
        </w:rPr>
        <w:t>6.</w:t>
      </w:r>
      <w:r>
        <w:rPr>
          <w:rFonts w:hint="eastAsia" w:ascii="Times New Roman" w:hAnsi="Times New Roman" w:cs="Times New Roman"/>
          <w:color w:val="000000"/>
          <w:kern w:val="0"/>
          <w:sz w:val="24"/>
          <w:szCs w:val="24"/>
          <w:lang w:val="en-US" w:eastAsia="zh-CN" w:bidi="ar"/>
        </w:rPr>
        <w:t>2-7</w:t>
      </w:r>
      <w:r>
        <w:rPr>
          <w:rFonts w:hint="eastAsia" w:ascii="宋体" w:hAnsi="宋体" w:eastAsia="宋体" w:cs="宋体"/>
          <w:color w:val="000000"/>
          <w:kern w:val="0"/>
          <w:sz w:val="24"/>
          <w:szCs w:val="24"/>
          <w:lang w:val="en-US" w:eastAsia="zh-CN" w:bidi="ar"/>
        </w:rPr>
        <w:t>。</w:t>
      </w:r>
    </w:p>
    <w:p w14:paraId="68212B79">
      <w:pPr>
        <w:jc w:val="center"/>
      </w:pPr>
      <w:r>
        <w:t>表</w:t>
      </w:r>
      <w:r>
        <w:rPr>
          <w:rFonts w:hint="eastAsia"/>
        </w:rPr>
        <w:t>6.2-</w:t>
      </w:r>
      <w:r>
        <w:rPr>
          <w:rFonts w:hint="eastAsia"/>
          <w:lang w:val="en-US" w:eastAsia="zh-CN"/>
        </w:rPr>
        <w:t>7</w:t>
      </w:r>
      <w:r>
        <w:t xml:space="preserve"> 最不利气象条件，氨水储罐泄漏事故产生氨气预测结果</w:t>
      </w:r>
    </w:p>
    <w:tbl>
      <w:tblPr>
        <w:tblStyle w:val="56"/>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1284"/>
        <w:gridCol w:w="1357"/>
        <w:gridCol w:w="1401"/>
        <w:gridCol w:w="1794"/>
        <w:gridCol w:w="1401"/>
        <w:gridCol w:w="1484"/>
      </w:tblGrid>
      <w:tr w14:paraId="0EF3A2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0" w:type="auto"/>
            <w:gridSpan w:val="6"/>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76FA470A">
            <w:pPr>
              <w:jc w:val="center"/>
              <w:rPr>
                <w:b/>
              </w:rPr>
            </w:pPr>
            <w:r>
              <w:rPr>
                <w:b/>
              </w:rPr>
              <w:t>风险事故情形分析</w:t>
            </w:r>
          </w:p>
        </w:tc>
      </w:tr>
      <w:tr w14:paraId="499B96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1284"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0FF0EA06">
            <w:pPr>
              <w:jc w:val="center"/>
            </w:pPr>
            <w:r>
              <w:rPr>
                <w:rFonts w:ascii="宋体" w:hAnsi="宋体" w:eastAsia="宋体"/>
                <w:b w:val="0"/>
                <w:sz w:val="23"/>
                <w:szCs w:val="23"/>
              </w:rPr>
              <w:t>泄露危险物质</w:t>
            </w:r>
          </w:p>
        </w:tc>
        <w:tc>
          <w:tcPr>
            <w:tcW w:w="1357"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7E46CADD">
            <w:pPr>
              <w:jc w:val="center"/>
            </w:pPr>
            <w:r>
              <w:rPr>
                <w:rFonts w:ascii="宋体" w:hAnsi="宋体" w:eastAsia="宋体"/>
                <w:b w:val="0"/>
                <w:sz w:val="23"/>
                <w:szCs w:val="23"/>
              </w:rPr>
              <w:t>氨</w:t>
            </w:r>
          </w:p>
        </w:tc>
        <w:tc>
          <w:tcPr>
            <w:tcW w:w="1401"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0EB023F4">
            <w:pPr>
              <w:jc w:val="center"/>
            </w:pPr>
            <w:r>
              <w:rPr>
                <w:rFonts w:ascii="宋体" w:hAnsi="宋体" w:eastAsia="宋体"/>
                <w:b w:val="0"/>
                <w:sz w:val="23"/>
                <w:szCs w:val="23"/>
              </w:rPr>
              <w:t>最大存在量(kg)</w:t>
            </w:r>
          </w:p>
        </w:tc>
        <w:tc>
          <w:tcPr>
            <w:tcW w:w="1794"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68A520F8">
            <w:pPr>
              <w:jc w:val="center"/>
            </w:pPr>
            <w:r>
              <w:rPr>
                <w:rFonts w:ascii="宋体" w:hAnsi="宋体" w:eastAsia="宋体"/>
                <w:b w:val="0"/>
                <w:sz w:val="23"/>
                <w:szCs w:val="23"/>
              </w:rPr>
              <w:t>8327.7000</w:t>
            </w:r>
          </w:p>
        </w:tc>
        <w:tc>
          <w:tcPr>
            <w:tcW w:w="1401"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3CEBD2CE">
            <w:pPr>
              <w:jc w:val="center"/>
            </w:pPr>
            <w:r>
              <w:rPr>
                <w:rFonts w:ascii="宋体" w:hAnsi="宋体" w:eastAsia="宋体"/>
                <w:b w:val="0"/>
                <w:sz w:val="23"/>
                <w:szCs w:val="23"/>
              </w:rPr>
              <w:t>裂口直径(mm)</w:t>
            </w:r>
          </w:p>
        </w:tc>
        <w:tc>
          <w:tcPr>
            <w:tcW w:w="1484"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19911BF1">
            <w:pPr>
              <w:jc w:val="center"/>
            </w:pPr>
            <w:r>
              <w:rPr>
                <w:rFonts w:ascii="宋体" w:hAnsi="宋体" w:eastAsia="宋体"/>
                <w:b w:val="0"/>
                <w:sz w:val="23"/>
                <w:szCs w:val="23"/>
              </w:rPr>
              <w:t>-</w:t>
            </w:r>
          </w:p>
        </w:tc>
      </w:tr>
      <w:tr w14:paraId="2AB028AB">
        <w:tblPrEx>
          <w:tblCellMar>
            <w:top w:w="0" w:type="dxa"/>
            <w:left w:w="0" w:type="dxa"/>
            <w:bottom w:w="0" w:type="dxa"/>
            <w:right w:w="0" w:type="dxa"/>
          </w:tblCellMar>
        </w:tblPrEx>
        <w:tc>
          <w:tcPr>
            <w:tcW w:w="1284"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0A288794">
            <w:pPr>
              <w:jc w:val="center"/>
            </w:pPr>
            <w:r>
              <w:rPr>
                <w:rFonts w:ascii="宋体" w:hAnsi="宋体" w:eastAsia="宋体"/>
                <w:b w:val="0"/>
                <w:sz w:val="23"/>
                <w:szCs w:val="23"/>
              </w:rPr>
              <w:t>泄露速率(kg/s)</w:t>
            </w:r>
          </w:p>
        </w:tc>
        <w:tc>
          <w:tcPr>
            <w:tcW w:w="1357"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2C7CA69E">
            <w:pPr>
              <w:jc w:val="center"/>
            </w:pPr>
            <w:r>
              <w:rPr>
                <w:rFonts w:ascii="宋体" w:hAnsi="宋体" w:eastAsia="宋体"/>
                <w:b w:val="0"/>
                <w:sz w:val="23"/>
                <w:szCs w:val="23"/>
              </w:rPr>
              <w:t>0.0267</w:t>
            </w:r>
          </w:p>
        </w:tc>
        <w:tc>
          <w:tcPr>
            <w:tcW w:w="1401"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2C715719">
            <w:pPr>
              <w:jc w:val="center"/>
            </w:pPr>
            <w:r>
              <w:rPr>
                <w:rFonts w:ascii="宋体" w:hAnsi="宋体" w:eastAsia="宋体"/>
                <w:b w:val="0"/>
                <w:sz w:val="23"/>
                <w:szCs w:val="23"/>
              </w:rPr>
              <w:t>泄露时间(min)</w:t>
            </w:r>
          </w:p>
        </w:tc>
        <w:tc>
          <w:tcPr>
            <w:tcW w:w="1794"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7CA69A69">
            <w:pPr>
              <w:jc w:val="center"/>
            </w:pPr>
            <w:r>
              <w:rPr>
                <w:rFonts w:ascii="宋体" w:hAnsi="宋体" w:eastAsia="宋体"/>
                <w:b w:val="0"/>
                <w:sz w:val="23"/>
                <w:szCs w:val="23"/>
              </w:rPr>
              <w:t>10.00</w:t>
            </w:r>
          </w:p>
        </w:tc>
        <w:tc>
          <w:tcPr>
            <w:tcW w:w="1401"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4388C11A">
            <w:pPr>
              <w:jc w:val="center"/>
            </w:pPr>
            <w:r>
              <w:rPr>
                <w:rFonts w:ascii="宋体" w:hAnsi="宋体" w:eastAsia="宋体"/>
                <w:b w:val="0"/>
                <w:sz w:val="23"/>
                <w:szCs w:val="23"/>
              </w:rPr>
              <w:t>泄露量(kg)</w:t>
            </w:r>
          </w:p>
        </w:tc>
        <w:tc>
          <w:tcPr>
            <w:tcW w:w="1484"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104D9B9B">
            <w:pPr>
              <w:jc w:val="center"/>
            </w:pPr>
            <w:r>
              <w:rPr>
                <w:rFonts w:ascii="宋体" w:hAnsi="宋体" w:eastAsia="宋体"/>
                <w:b w:val="0"/>
                <w:sz w:val="23"/>
                <w:szCs w:val="23"/>
              </w:rPr>
              <w:t>16.0200</w:t>
            </w:r>
          </w:p>
        </w:tc>
      </w:tr>
      <w:tr w14:paraId="33F7D1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1284"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6C92D8EF">
            <w:pPr>
              <w:jc w:val="center"/>
            </w:pPr>
            <w:r>
              <w:rPr>
                <w:rFonts w:ascii="宋体" w:hAnsi="宋体" w:eastAsia="宋体"/>
                <w:b w:val="0"/>
                <w:sz w:val="23"/>
                <w:szCs w:val="23"/>
              </w:rPr>
              <w:t>泄露高度(m)</w:t>
            </w:r>
          </w:p>
        </w:tc>
        <w:tc>
          <w:tcPr>
            <w:tcW w:w="1357"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632A1803">
            <w:pPr>
              <w:jc w:val="center"/>
            </w:pPr>
            <w:r>
              <w:rPr>
                <w:rFonts w:ascii="宋体" w:hAnsi="宋体" w:eastAsia="宋体"/>
                <w:b w:val="0"/>
                <w:sz w:val="23"/>
                <w:szCs w:val="23"/>
              </w:rPr>
              <w:t>3.0000</w:t>
            </w:r>
          </w:p>
        </w:tc>
        <w:tc>
          <w:tcPr>
            <w:tcW w:w="1401"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425C2652">
            <w:pPr>
              <w:jc w:val="center"/>
            </w:pPr>
            <w:r>
              <w:rPr>
                <w:rFonts w:ascii="宋体" w:hAnsi="宋体" w:eastAsia="宋体"/>
                <w:b w:val="0"/>
                <w:sz w:val="23"/>
                <w:szCs w:val="23"/>
              </w:rPr>
              <w:t>泄露概率(次/年)</w:t>
            </w:r>
          </w:p>
        </w:tc>
        <w:tc>
          <w:tcPr>
            <w:tcW w:w="1794"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4D2AD34D">
            <w:pPr>
              <w:jc w:val="center"/>
            </w:pPr>
            <w:r>
              <w:rPr>
                <w:rFonts w:ascii="宋体" w:hAnsi="宋体" w:eastAsia="宋体"/>
                <w:b w:val="0"/>
                <w:sz w:val="23"/>
                <w:szCs w:val="23"/>
              </w:rPr>
              <w:t>-</w:t>
            </w:r>
          </w:p>
        </w:tc>
        <w:tc>
          <w:tcPr>
            <w:tcW w:w="1401"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403CB220">
            <w:pPr>
              <w:jc w:val="center"/>
            </w:pPr>
            <w:r>
              <w:rPr>
                <w:rFonts w:ascii="宋体" w:hAnsi="宋体" w:eastAsia="宋体"/>
                <w:b w:val="0"/>
                <w:sz w:val="23"/>
                <w:szCs w:val="23"/>
              </w:rPr>
              <w:t>蒸发量(kg)</w:t>
            </w:r>
          </w:p>
        </w:tc>
        <w:tc>
          <w:tcPr>
            <w:tcW w:w="1484"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6ED1BAAF">
            <w:pPr>
              <w:jc w:val="center"/>
            </w:pPr>
            <w:r>
              <w:rPr>
                <w:rFonts w:ascii="宋体" w:hAnsi="宋体" w:eastAsia="宋体"/>
                <w:b w:val="0"/>
                <w:sz w:val="23"/>
                <w:szCs w:val="23"/>
              </w:rPr>
              <w:t>-</w:t>
            </w:r>
          </w:p>
        </w:tc>
      </w:tr>
      <w:tr w14:paraId="361975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4042" w:type="dxa"/>
            <w:gridSpan w:val="3"/>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5496BBE2">
            <w:pPr>
              <w:jc w:val="center"/>
            </w:pPr>
            <w:r>
              <w:rPr>
                <w:rFonts w:ascii="宋体" w:hAnsi="宋体" w:eastAsia="宋体"/>
                <w:b w:val="0"/>
                <w:sz w:val="23"/>
                <w:szCs w:val="23"/>
              </w:rPr>
              <w:t>大气环境影响-气象条件名称-模型类型</w:t>
            </w:r>
          </w:p>
        </w:tc>
        <w:tc>
          <w:tcPr>
            <w:tcW w:w="4679" w:type="dxa"/>
            <w:gridSpan w:val="3"/>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55E82A5C">
            <w:pPr>
              <w:jc w:val="center"/>
            </w:pPr>
            <w:r>
              <w:rPr>
                <w:rFonts w:ascii="宋体" w:hAnsi="宋体" w:eastAsia="宋体"/>
                <w:b w:val="0"/>
                <w:sz w:val="23"/>
                <w:szCs w:val="23"/>
              </w:rPr>
              <w:t>最不利气象条件-aftox模型</w:t>
            </w:r>
          </w:p>
        </w:tc>
      </w:tr>
      <w:tr w14:paraId="08F5BC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1284"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08EFC8B7">
            <w:pPr>
              <w:jc w:val="center"/>
            </w:pPr>
            <w:r>
              <w:rPr>
                <w:rFonts w:ascii="宋体" w:hAnsi="宋体" w:eastAsia="宋体"/>
                <w:b w:val="0"/>
                <w:sz w:val="23"/>
                <w:szCs w:val="23"/>
              </w:rPr>
              <w:t>指标</w:t>
            </w:r>
          </w:p>
        </w:tc>
        <w:tc>
          <w:tcPr>
            <w:tcW w:w="2758" w:type="dxa"/>
            <w:gridSpan w:val="2"/>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02AFB187">
            <w:pPr>
              <w:jc w:val="center"/>
            </w:pPr>
            <w:r>
              <w:rPr>
                <w:rFonts w:ascii="宋体" w:hAnsi="宋体" w:eastAsia="宋体"/>
                <w:b w:val="0"/>
                <w:sz w:val="23"/>
                <w:szCs w:val="23"/>
              </w:rPr>
              <w:t>浓度值(mg/m3)</w:t>
            </w:r>
          </w:p>
        </w:tc>
        <w:tc>
          <w:tcPr>
            <w:tcW w:w="1794"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3B459F02">
            <w:pPr>
              <w:jc w:val="center"/>
            </w:pPr>
            <w:r>
              <w:rPr>
                <w:rFonts w:ascii="宋体" w:hAnsi="宋体" w:eastAsia="宋体"/>
                <w:b w:val="0"/>
                <w:sz w:val="23"/>
                <w:szCs w:val="23"/>
              </w:rPr>
              <w:t>最远影响距离(m)</w:t>
            </w:r>
          </w:p>
        </w:tc>
        <w:tc>
          <w:tcPr>
            <w:tcW w:w="2885" w:type="dxa"/>
            <w:gridSpan w:val="2"/>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284E7593">
            <w:pPr>
              <w:jc w:val="center"/>
            </w:pPr>
            <w:r>
              <w:rPr>
                <w:rFonts w:ascii="宋体" w:hAnsi="宋体" w:eastAsia="宋体"/>
                <w:b w:val="0"/>
                <w:sz w:val="23"/>
                <w:szCs w:val="23"/>
              </w:rPr>
              <w:t>到达时间(min)</w:t>
            </w:r>
          </w:p>
        </w:tc>
      </w:tr>
      <w:tr w14:paraId="1A6277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1284"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1507B719">
            <w:pPr>
              <w:jc w:val="center"/>
            </w:pPr>
            <w:r>
              <w:rPr>
                <w:rFonts w:ascii="宋体" w:hAnsi="宋体" w:eastAsia="宋体"/>
                <w:b w:val="0"/>
                <w:sz w:val="23"/>
                <w:szCs w:val="23"/>
              </w:rPr>
              <w:t>大气毒性终点浓度-1</w:t>
            </w:r>
          </w:p>
        </w:tc>
        <w:tc>
          <w:tcPr>
            <w:tcW w:w="2758" w:type="dxa"/>
            <w:gridSpan w:val="2"/>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211259CD">
            <w:pPr>
              <w:jc w:val="center"/>
            </w:pPr>
            <w:r>
              <w:rPr>
                <w:rFonts w:ascii="宋体" w:hAnsi="宋体" w:eastAsia="宋体"/>
                <w:b w:val="0"/>
                <w:sz w:val="23"/>
                <w:szCs w:val="23"/>
              </w:rPr>
              <w:t>770.000000</w:t>
            </w:r>
          </w:p>
        </w:tc>
        <w:tc>
          <w:tcPr>
            <w:tcW w:w="1794"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4156CEF3">
            <w:pPr>
              <w:jc w:val="center"/>
            </w:pPr>
            <w:r>
              <w:rPr>
                <w:rFonts w:ascii="宋体" w:hAnsi="宋体" w:eastAsia="宋体"/>
                <w:b w:val="0"/>
                <w:sz w:val="23"/>
                <w:szCs w:val="23"/>
              </w:rPr>
              <w:t>-</w:t>
            </w:r>
          </w:p>
        </w:tc>
        <w:tc>
          <w:tcPr>
            <w:tcW w:w="2885" w:type="dxa"/>
            <w:gridSpan w:val="2"/>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53F112B4">
            <w:pPr>
              <w:jc w:val="center"/>
            </w:pPr>
            <w:r>
              <w:rPr>
                <w:rFonts w:ascii="宋体" w:hAnsi="宋体" w:eastAsia="宋体"/>
                <w:b w:val="0"/>
                <w:sz w:val="23"/>
                <w:szCs w:val="23"/>
              </w:rPr>
              <w:t>-</w:t>
            </w:r>
          </w:p>
        </w:tc>
      </w:tr>
      <w:tr w14:paraId="535DBF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1284"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75667EC1">
            <w:pPr>
              <w:jc w:val="center"/>
            </w:pPr>
            <w:r>
              <w:rPr>
                <w:rFonts w:ascii="宋体" w:hAnsi="宋体" w:eastAsia="宋体"/>
                <w:b w:val="0"/>
                <w:sz w:val="23"/>
                <w:szCs w:val="23"/>
              </w:rPr>
              <w:t>大气毒性终点浓度-2</w:t>
            </w:r>
          </w:p>
        </w:tc>
        <w:tc>
          <w:tcPr>
            <w:tcW w:w="2758" w:type="dxa"/>
            <w:gridSpan w:val="2"/>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5306DF7B">
            <w:pPr>
              <w:jc w:val="center"/>
            </w:pPr>
            <w:r>
              <w:rPr>
                <w:rFonts w:ascii="宋体" w:hAnsi="宋体" w:eastAsia="宋体"/>
                <w:b w:val="0"/>
                <w:sz w:val="23"/>
                <w:szCs w:val="23"/>
              </w:rPr>
              <w:t>110.000000</w:t>
            </w:r>
          </w:p>
        </w:tc>
        <w:tc>
          <w:tcPr>
            <w:tcW w:w="1794"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2A835BE6">
            <w:pPr>
              <w:jc w:val="center"/>
            </w:pPr>
            <w:r>
              <w:rPr>
                <w:rFonts w:ascii="宋体" w:hAnsi="宋体" w:eastAsia="宋体"/>
                <w:b w:val="0"/>
                <w:sz w:val="23"/>
                <w:szCs w:val="23"/>
              </w:rPr>
              <w:t>20.70</w:t>
            </w:r>
          </w:p>
        </w:tc>
        <w:tc>
          <w:tcPr>
            <w:tcW w:w="2885" w:type="dxa"/>
            <w:gridSpan w:val="2"/>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146C530F">
            <w:pPr>
              <w:jc w:val="center"/>
            </w:pPr>
            <w:r>
              <w:rPr>
                <w:rFonts w:ascii="宋体" w:hAnsi="宋体" w:eastAsia="宋体"/>
                <w:b w:val="0"/>
                <w:sz w:val="23"/>
                <w:szCs w:val="23"/>
              </w:rPr>
              <w:t>0.41</w:t>
            </w:r>
          </w:p>
        </w:tc>
      </w:tr>
      <w:tr w14:paraId="225FC3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1284"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5D595362">
            <w:pPr>
              <w:jc w:val="center"/>
            </w:pPr>
            <w:r>
              <w:rPr>
                <w:rFonts w:ascii="宋体" w:hAnsi="宋体" w:eastAsia="宋体"/>
                <w:b w:val="0"/>
                <w:sz w:val="23"/>
                <w:szCs w:val="23"/>
              </w:rPr>
              <w:t>敏感目标名称</w:t>
            </w:r>
          </w:p>
        </w:tc>
        <w:tc>
          <w:tcPr>
            <w:tcW w:w="1357"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212A3AEF">
            <w:pPr>
              <w:jc w:val="center"/>
            </w:pPr>
            <w:r>
              <w:rPr>
                <w:rFonts w:ascii="宋体" w:hAnsi="宋体" w:eastAsia="宋体"/>
                <w:b w:val="0"/>
                <w:sz w:val="23"/>
                <w:szCs w:val="23"/>
              </w:rPr>
              <w:t>大气毒性终点浓度-1-超标时间(min)</w:t>
            </w:r>
          </w:p>
        </w:tc>
        <w:tc>
          <w:tcPr>
            <w:tcW w:w="1401"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1DE8FB7B">
            <w:pPr>
              <w:jc w:val="center"/>
            </w:pPr>
            <w:r>
              <w:rPr>
                <w:rFonts w:ascii="宋体" w:hAnsi="宋体" w:eastAsia="宋体"/>
                <w:b w:val="0"/>
                <w:sz w:val="23"/>
                <w:szCs w:val="23"/>
              </w:rPr>
              <w:t>大气毒性终点浓度-1-超标持续时间(min)</w:t>
            </w:r>
          </w:p>
        </w:tc>
        <w:tc>
          <w:tcPr>
            <w:tcW w:w="1794"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25C7C031">
            <w:pPr>
              <w:jc w:val="center"/>
            </w:pPr>
            <w:r>
              <w:rPr>
                <w:rFonts w:ascii="宋体" w:hAnsi="宋体" w:eastAsia="宋体"/>
                <w:b w:val="0"/>
                <w:sz w:val="23"/>
                <w:szCs w:val="23"/>
              </w:rPr>
              <w:t>大气毒性终点浓度-2-超标时间(min)</w:t>
            </w:r>
          </w:p>
        </w:tc>
        <w:tc>
          <w:tcPr>
            <w:tcW w:w="1401"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6EF5D98B">
            <w:pPr>
              <w:jc w:val="center"/>
            </w:pPr>
            <w:r>
              <w:rPr>
                <w:rFonts w:ascii="宋体" w:hAnsi="宋体" w:eastAsia="宋体"/>
                <w:b w:val="0"/>
                <w:sz w:val="23"/>
                <w:szCs w:val="23"/>
              </w:rPr>
              <w:t>大气毒性终点浓度-2-超标持续时间(min)</w:t>
            </w:r>
          </w:p>
        </w:tc>
        <w:tc>
          <w:tcPr>
            <w:tcW w:w="1484"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093B9055">
            <w:pPr>
              <w:jc w:val="center"/>
            </w:pPr>
            <w:r>
              <w:rPr>
                <w:rFonts w:ascii="宋体" w:hAnsi="宋体" w:eastAsia="宋体"/>
                <w:b w:val="0"/>
                <w:sz w:val="23"/>
                <w:szCs w:val="23"/>
              </w:rPr>
              <w:t>敏感目标-最大浓度(mg/m3)</w:t>
            </w:r>
          </w:p>
        </w:tc>
      </w:tr>
      <w:tr w14:paraId="051B43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1284"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43B93FDE">
            <w:pPr>
              <w:jc w:val="center"/>
            </w:pPr>
            <w:r>
              <w:rPr>
                <w:rFonts w:ascii="宋体" w:hAnsi="宋体" w:eastAsia="宋体"/>
                <w:b w:val="0"/>
                <w:sz w:val="23"/>
                <w:szCs w:val="23"/>
              </w:rPr>
              <w:t>北居民点</w:t>
            </w:r>
          </w:p>
        </w:tc>
        <w:tc>
          <w:tcPr>
            <w:tcW w:w="1357"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5F448AD3">
            <w:pPr>
              <w:jc w:val="center"/>
            </w:pPr>
            <w:r>
              <w:rPr>
                <w:rFonts w:ascii="宋体" w:hAnsi="宋体" w:eastAsia="宋体"/>
                <w:b w:val="0"/>
                <w:sz w:val="23"/>
                <w:szCs w:val="23"/>
              </w:rPr>
              <w:t>-</w:t>
            </w:r>
          </w:p>
        </w:tc>
        <w:tc>
          <w:tcPr>
            <w:tcW w:w="1401"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4D687F81">
            <w:pPr>
              <w:jc w:val="center"/>
            </w:pPr>
            <w:r>
              <w:rPr>
                <w:rFonts w:ascii="宋体" w:hAnsi="宋体" w:eastAsia="宋体"/>
                <w:b w:val="0"/>
                <w:sz w:val="23"/>
                <w:szCs w:val="23"/>
              </w:rPr>
              <w:t>-</w:t>
            </w:r>
          </w:p>
        </w:tc>
        <w:tc>
          <w:tcPr>
            <w:tcW w:w="1794"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6DB27D3C">
            <w:pPr>
              <w:jc w:val="center"/>
            </w:pPr>
            <w:r>
              <w:rPr>
                <w:rFonts w:ascii="宋体" w:hAnsi="宋体" w:eastAsia="宋体"/>
                <w:b w:val="0"/>
                <w:sz w:val="23"/>
                <w:szCs w:val="23"/>
              </w:rPr>
              <w:t>-</w:t>
            </w:r>
          </w:p>
        </w:tc>
        <w:tc>
          <w:tcPr>
            <w:tcW w:w="1401"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2EECEE14">
            <w:pPr>
              <w:jc w:val="center"/>
            </w:pPr>
            <w:r>
              <w:rPr>
                <w:rFonts w:ascii="宋体" w:hAnsi="宋体" w:eastAsia="宋体"/>
                <w:b w:val="0"/>
                <w:sz w:val="23"/>
                <w:szCs w:val="23"/>
              </w:rPr>
              <w:t>-</w:t>
            </w:r>
          </w:p>
        </w:tc>
        <w:tc>
          <w:tcPr>
            <w:tcW w:w="1484"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0B12C429">
            <w:pPr>
              <w:jc w:val="center"/>
            </w:pPr>
            <w:r>
              <w:rPr>
                <w:rFonts w:ascii="宋体" w:hAnsi="宋体" w:eastAsia="宋体"/>
                <w:b w:val="0"/>
                <w:sz w:val="23"/>
                <w:szCs w:val="23"/>
              </w:rPr>
              <w:t>1.295357</w:t>
            </w:r>
          </w:p>
        </w:tc>
      </w:tr>
      <w:tr w14:paraId="12093C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1284"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52E747C3">
            <w:pPr>
              <w:jc w:val="center"/>
            </w:pPr>
            <w:r>
              <w:rPr>
                <w:rFonts w:ascii="宋体" w:hAnsi="宋体" w:eastAsia="宋体"/>
                <w:b w:val="0"/>
                <w:sz w:val="23"/>
                <w:szCs w:val="23"/>
              </w:rPr>
              <w:t>西居民点</w:t>
            </w:r>
          </w:p>
        </w:tc>
        <w:tc>
          <w:tcPr>
            <w:tcW w:w="1357"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4DF7BF97">
            <w:pPr>
              <w:jc w:val="center"/>
            </w:pPr>
            <w:r>
              <w:rPr>
                <w:rFonts w:ascii="宋体" w:hAnsi="宋体" w:eastAsia="宋体"/>
                <w:b w:val="0"/>
                <w:sz w:val="23"/>
                <w:szCs w:val="23"/>
              </w:rPr>
              <w:t>-</w:t>
            </w:r>
          </w:p>
        </w:tc>
        <w:tc>
          <w:tcPr>
            <w:tcW w:w="1401"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646DCFAA">
            <w:pPr>
              <w:jc w:val="center"/>
            </w:pPr>
            <w:r>
              <w:rPr>
                <w:rFonts w:ascii="宋体" w:hAnsi="宋体" w:eastAsia="宋体"/>
                <w:b w:val="0"/>
                <w:sz w:val="23"/>
                <w:szCs w:val="23"/>
              </w:rPr>
              <w:t>-</w:t>
            </w:r>
          </w:p>
        </w:tc>
        <w:tc>
          <w:tcPr>
            <w:tcW w:w="1794"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3E0025ED">
            <w:pPr>
              <w:jc w:val="center"/>
            </w:pPr>
            <w:r>
              <w:rPr>
                <w:rFonts w:ascii="宋体" w:hAnsi="宋体" w:eastAsia="宋体"/>
                <w:b w:val="0"/>
                <w:sz w:val="23"/>
                <w:szCs w:val="23"/>
              </w:rPr>
              <w:t>-</w:t>
            </w:r>
          </w:p>
        </w:tc>
        <w:tc>
          <w:tcPr>
            <w:tcW w:w="1401"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4EFFDC77">
            <w:pPr>
              <w:jc w:val="center"/>
            </w:pPr>
            <w:r>
              <w:rPr>
                <w:rFonts w:ascii="宋体" w:hAnsi="宋体" w:eastAsia="宋体"/>
                <w:b w:val="0"/>
                <w:sz w:val="23"/>
                <w:szCs w:val="23"/>
              </w:rPr>
              <w:t>-</w:t>
            </w:r>
          </w:p>
        </w:tc>
        <w:tc>
          <w:tcPr>
            <w:tcW w:w="1484"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72B0910B">
            <w:pPr>
              <w:jc w:val="center"/>
            </w:pPr>
            <w:r>
              <w:rPr>
                <w:rFonts w:ascii="宋体" w:hAnsi="宋体" w:eastAsia="宋体"/>
                <w:b w:val="0"/>
                <w:sz w:val="23"/>
                <w:szCs w:val="23"/>
              </w:rPr>
              <w:t>2.652909</w:t>
            </w:r>
          </w:p>
        </w:tc>
      </w:tr>
    </w:tbl>
    <w:p w14:paraId="38AD2732">
      <w:pPr>
        <w:ind w:firstLine="480" w:firstLineChars="200"/>
        <w:jc w:val="left"/>
      </w:pPr>
      <w:bookmarkStart w:id="562" w:name="_Toc2923584"/>
      <w:bookmarkStart w:id="563" w:name="_Toc90026147"/>
      <w:r>
        <w:t>根据以上预测结果可知，氨水泄漏事故导致氨气超过大气毒性终点浓度2的范围为</w:t>
      </w:r>
      <w:r>
        <w:rPr>
          <w:rFonts w:hint="eastAsia"/>
        </w:rPr>
        <w:t>20.70</w:t>
      </w:r>
      <w:r>
        <w:t>m。</w:t>
      </w:r>
    </w:p>
    <w:p w14:paraId="451F5BDA">
      <w:pPr>
        <w:keepNext/>
        <w:tabs>
          <w:tab w:val="left" w:pos="1503"/>
        </w:tabs>
        <w:spacing w:line="360" w:lineRule="auto"/>
        <w:outlineLvl w:val="1"/>
        <w:rPr>
          <w:rFonts w:hint="eastAsia"/>
        </w:rPr>
      </w:pPr>
      <w:bookmarkStart w:id="564" w:name="_Toc11909"/>
      <w:bookmarkStart w:id="565" w:name="_Toc4324"/>
      <w:r>
        <w:drawing>
          <wp:anchor distT="0" distB="0" distL="114300" distR="114300" simplePos="0" relativeHeight="251725824" behindDoc="0" locked="0" layoutInCell="1" allowOverlap="1">
            <wp:simplePos x="0" y="0"/>
            <wp:positionH relativeFrom="column">
              <wp:posOffset>4861560</wp:posOffset>
            </wp:positionH>
            <wp:positionV relativeFrom="paragraph">
              <wp:posOffset>126365</wp:posOffset>
            </wp:positionV>
            <wp:extent cx="540385" cy="526415"/>
            <wp:effectExtent l="0" t="0" r="12065" b="6985"/>
            <wp:wrapNone/>
            <wp:docPr id="196"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 name="图片 19"/>
                    <pic:cNvPicPr>
                      <a:picLocks noChangeAspect="1"/>
                    </pic:cNvPicPr>
                  </pic:nvPicPr>
                  <pic:blipFill>
                    <a:blip r:embed="rId111"/>
                    <a:stretch>
                      <a:fillRect/>
                    </a:stretch>
                  </pic:blipFill>
                  <pic:spPr>
                    <a:xfrm>
                      <a:off x="0" y="0"/>
                      <a:ext cx="540385" cy="526415"/>
                    </a:xfrm>
                    <a:prstGeom prst="rect">
                      <a:avLst/>
                    </a:prstGeom>
                    <a:noFill/>
                    <a:ln>
                      <a:noFill/>
                    </a:ln>
                  </pic:spPr>
                </pic:pic>
              </a:graphicData>
            </a:graphic>
          </wp:anchor>
        </w:drawing>
      </w:r>
      <w:r>
        <w:drawing>
          <wp:anchor distT="0" distB="0" distL="114300" distR="114300" simplePos="0" relativeHeight="251724800" behindDoc="0" locked="0" layoutInCell="1" allowOverlap="1">
            <wp:simplePos x="0" y="0"/>
            <wp:positionH relativeFrom="column">
              <wp:posOffset>4661535</wp:posOffset>
            </wp:positionH>
            <wp:positionV relativeFrom="paragraph">
              <wp:posOffset>3263265</wp:posOffset>
            </wp:positionV>
            <wp:extent cx="742950" cy="561975"/>
            <wp:effectExtent l="0" t="0" r="0" b="9525"/>
            <wp:wrapNone/>
            <wp:docPr id="195"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 name="图片 18"/>
                    <pic:cNvPicPr>
                      <a:picLocks noChangeAspect="1"/>
                    </pic:cNvPicPr>
                  </pic:nvPicPr>
                  <pic:blipFill>
                    <a:blip r:embed="rId112"/>
                    <a:stretch>
                      <a:fillRect/>
                    </a:stretch>
                  </pic:blipFill>
                  <pic:spPr>
                    <a:xfrm>
                      <a:off x="0" y="0"/>
                      <a:ext cx="742950" cy="561975"/>
                    </a:xfrm>
                    <a:prstGeom prst="rect">
                      <a:avLst/>
                    </a:prstGeom>
                    <a:noFill/>
                    <a:ln>
                      <a:noFill/>
                    </a:ln>
                  </pic:spPr>
                </pic:pic>
              </a:graphicData>
            </a:graphic>
          </wp:anchor>
        </w:drawing>
      </w:r>
      <w:r>
        <w:drawing>
          <wp:inline distT="0" distB="0" distL="114300" distR="114300">
            <wp:extent cx="5398770" cy="3703955"/>
            <wp:effectExtent l="0" t="0" r="11430" b="10795"/>
            <wp:docPr id="194"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图片 17"/>
                    <pic:cNvPicPr>
                      <a:picLocks noChangeAspect="1"/>
                    </pic:cNvPicPr>
                  </pic:nvPicPr>
                  <pic:blipFill>
                    <a:blip r:embed="rId113"/>
                    <a:stretch>
                      <a:fillRect/>
                    </a:stretch>
                  </pic:blipFill>
                  <pic:spPr>
                    <a:xfrm>
                      <a:off x="0" y="0"/>
                      <a:ext cx="5398770" cy="3703955"/>
                    </a:xfrm>
                    <a:prstGeom prst="rect">
                      <a:avLst/>
                    </a:prstGeom>
                    <a:noFill/>
                    <a:ln>
                      <a:noFill/>
                    </a:ln>
                  </pic:spPr>
                </pic:pic>
              </a:graphicData>
            </a:graphic>
          </wp:inline>
        </w:drawing>
      </w:r>
      <w:bookmarkEnd w:id="564"/>
      <w:bookmarkEnd w:id="565"/>
    </w:p>
    <w:p w14:paraId="69AFE804">
      <w:pPr>
        <w:keepNext w:val="0"/>
        <w:keepLines w:val="0"/>
        <w:widowControl/>
        <w:suppressLineNumbers w:val="0"/>
        <w:jc w:val="cente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 xml:space="preserve">图 </w:t>
      </w:r>
      <w:r>
        <w:rPr>
          <w:rFonts w:hint="default" w:ascii="Times New Roman" w:hAnsi="Times New Roman" w:eastAsia="TimesNewRomanPS-BoldMT" w:cs="Times New Roman"/>
          <w:b/>
          <w:bCs/>
          <w:color w:val="000000"/>
          <w:kern w:val="0"/>
          <w:sz w:val="24"/>
          <w:szCs w:val="24"/>
          <w:lang w:val="en-US" w:eastAsia="zh-CN" w:bidi="ar"/>
        </w:rPr>
        <w:t>6.</w:t>
      </w:r>
      <w:r>
        <w:rPr>
          <w:rFonts w:hint="eastAsia" w:ascii="Times New Roman" w:hAnsi="Times New Roman" w:eastAsia="TimesNewRomanPS-BoldMT" w:cs="Times New Roman"/>
          <w:b/>
          <w:bCs/>
          <w:color w:val="000000"/>
          <w:kern w:val="0"/>
          <w:sz w:val="24"/>
          <w:szCs w:val="24"/>
          <w:lang w:val="en-US" w:eastAsia="zh-CN" w:bidi="ar"/>
        </w:rPr>
        <w:t>2</w:t>
      </w:r>
      <w:r>
        <w:rPr>
          <w:rFonts w:hint="default" w:ascii="Times New Roman" w:hAnsi="Times New Roman" w:eastAsia="TimesNewRomanPS-BoldMT" w:cs="Times New Roman"/>
          <w:b/>
          <w:bCs/>
          <w:color w:val="000000"/>
          <w:kern w:val="0"/>
          <w:sz w:val="24"/>
          <w:szCs w:val="24"/>
          <w:lang w:val="en-US" w:eastAsia="zh-CN" w:bidi="ar"/>
        </w:rPr>
        <w:t xml:space="preserve">-1 </w:t>
      </w:r>
      <w:r>
        <w:rPr>
          <w:rFonts w:hint="default" w:ascii="Times New Roman" w:hAnsi="Times New Roman" w:eastAsia="宋体" w:cs="Times New Roman"/>
          <w:b/>
          <w:bCs/>
          <w:color w:val="000000"/>
          <w:kern w:val="0"/>
          <w:sz w:val="24"/>
          <w:szCs w:val="24"/>
          <w:lang w:val="en-US" w:eastAsia="zh-CN" w:bidi="ar"/>
        </w:rPr>
        <w:t>最不利气象条件下氨水储罐泄漏事故大气环境风险预测结果</w:t>
      </w:r>
    </w:p>
    <w:p w14:paraId="71F344A2">
      <w:pPr>
        <w:keepNext w:val="0"/>
        <w:keepLines w:val="0"/>
        <w:widowControl/>
        <w:suppressLineNumbers w:val="0"/>
        <w:jc w:val="center"/>
        <w:rPr>
          <w:rFonts w:hint="default" w:ascii="Times New Roman" w:hAnsi="Times New Roman" w:eastAsia="宋体" w:cs="Times New Roman"/>
          <w:b/>
          <w:bCs/>
          <w:color w:val="000000"/>
          <w:kern w:val="0"/>
          <w:sz w:val="24"/>
          <w:szCs w:val="24"/>
          <w:lang w:val="en-US" w:eastAsia="zh-CN" w:bidi="ar"/>
        </w:rPr>
      </w:pPr>
    </w:p>
    <w:p w14:paraId="42136B84">
      <w:pPr>
        <w:keepNext w:val="0"/>
        <w:keepLines w:val="0"/>
        <w:widowControl/>
        <w:suppressLineNumbers w:val="0"/>
        <w:ind w:firstLine="480" w:firstLineChars="200"/>
        <w:jc w:val="left"/>
      </w:pPr>
      <w:r>
        <w:rPr>
          <w:rFonts w:hint="default" w:ascii="Times New Roman" w:hAnsi="Times New Roman" w:eastAsia="宋体" w:cs="Times New Roman"/>
          <w:color w:val="000000"/>
          <w:kern w:val="0"/>
          <w:sz w:val="24"/>
          <w:szCs w:val="24"/>
          <w:lang w:val="en-US" w:eastAsia="zh-CN" w:bidi="ar"/>
        </w:rPr>
        <w:t>2</w:t>
      </w:r>
      <w:r>
        <w:rPr>
          <w:rFonts w:hint="eastAsia" w:ascii="宋体" w:hAnsi="宋体" w:eastAsia="宋体" w:cs="宋体"/>
          <w:color w:val="000000"/>
          <w:kern w:val="0"/>
          <w:sz w:val="24"/>
          <w:szCs w:val="24"/>
          <w:lang w:val="en-US" w:eastAsia="zh-CN" w:bidi="ar"/>
        </w:rPr>
        <w:t xml:space="preserve">、煤气管道泄漏事故 </w:t>
      </w:r>
    </w:p>
    <w:p w14:paraId="4FFC97E4">
      <w:pPr>
        <w:keepNext w:val="0"/>
        <w:keepLines w:val="0"/>
        <w:widowControl/>
        <w:suppressLineNumbers w:val="0"/>
        <w:ind w:firstLine="480" w:firstLineChars="200"/>
        <w:jc w:val="left"/>
      </w:pPr>
      <w:r>
        <w:rPr>
          <w:rFonts w:hint="eastAsia" w:ascii="宋体" w:hAnsi="宋体" w:eastAsia="宋体" w:cs="宋体"/>
          <w:color w:val="000000"/>
          <w:kern w:val="0"/>
          <w:sz w:val="24"/>
          <w:szCs w:val="24"/>
          <w:lang w:val="en-US" w:eastAsia="zh-CN" w:bidi="ar"/>
        </w:rPr>
        <w:t>（</w:t>
      </w:r>
      <w:r>
        <w:rPr>
          <w:rFonts w:hint="default" w:ascii="Times New Roman" w:hAnsi="Times New Roman" w:eastAsia="宋体" w:cs="Times New Roman"/>
          <w:color w:val="000000"/>
          <w:kern w:val="0"/>
          <w:sz w:val="24"/>
          <w:szCs w:val="24"/>
          <w:lang w:val="en-US" w:eastAsia="zh-CN" w:bidi="ar"/>
        </w:rPr>
        <w:t>1</w:t>
      </w:r>
      <w:r>
        <w:rPr>
          <w:rFonts w:hint="eastAsia" w:ascii="宋体" w:hAnsi="宋体" w:eastAsia="宋体" w:cs="宋体"/>
          <w:color w:val="000000"/>
          <w:kern w:val="0"/>
          <w:sz w:val="24"/>
          <w:szCs w:val="24"/>
          <w:lang w:val="en-US" w:eastAsia="zh-CN" w:bidi="ar"/>
        </w:rPr>
        <w:t xml:space="preserve">）预测模型筛选 </w:t>
      </w:r>
    </w:p>
    <w:p w14:paraId="16009300">
      <w:pPr>
        <w:keepNext w:val="0"/>
        <w:keepLines w:val="0"/>
        <w:widowControl/>
        <w:suppressLineNumbers w:val="0"/>
        <w:ind w:firstLine="480" w:firstLineChars="200"/>
        <w:jc w:val="left"/>
      </w:pPr>
      <w:r>
        <w:rPr>
          <w:rFonts w:hint="eastAsia" w:ascii="宋体" w:hAnsi="宋体" w:eastAsia="宋体" w:cs="宋体"/>
          <w:color w:val="000000"/>
          <w:kern w:val="0"/>
          <w:sz w:val="24"/>
          <w:szCs w:val="24"/>
          <w:lang w:val="en-US" w:eastAsia="zh-CN" w:bidi="ar"/>
        </w:rPr>
        <w:t>根据《建设项目环境风险评价技术导则》（</w:t>
      </w:r>
      <w:r>
        <w:rPr>
          <w:rFonts w:hint="default" w:ascii="Times New Roman" w:hAnsi="Times New Roman" w:eastAsia="宋体" w:cs="Times New Roman"/>
          <w:color w:val="000000"/>
          <w:kern w:val="0"/>
          <w:sz w:val="24"/>
          <w:szCs w:val="24"/>
          <w:lang w:val="en-US" w:eastAsia="zh-CN" w:bidi="ar"/>
        </w:rPr>
        <w:t>HJ 169-2018</w:t>
      </w:r>
      <w:r>
        <w:rPr>
          <w:rFonts w:hint="eastAsia" w:ascii="宋体" w:hAnsi="宋体" w:eastAsia="宋体" w:cs="宋体"/>
          <w:color w:val="000000"/>
          <w:kern w:val="0"/>
          <w:sz w:val="24"/>
          <w:szCs w:val="24"/>
          <w:lang w:val="en-US" w:eastAsia="zh-CN" w:bidi="ar"/>
        </w:rPr>
        <w:t xml:space="preserve">）附录 </w:t>
      </w:r>
      <w:r>
        <w:rPr>
          <w:rFonts w:hint="default" w:ascii="Times New Roman" w:hAnsi="Times New Roman" w:eastAsia="宋体" w:cs="Times New Roman"/>
          <w:color w:val="000000"/>
          <w:kern w:val="0"/>
          <w:sz w:val="24"/>
          <w:szCs w:val="24"/>
          <w:lang w:val="en-US" w:eastAsia="zh-CN" w:bidi="ar"/>
        </w:rPr>
        <w:t>G</w:t>
      </w:r>
      <w:r>
        <w:rPr>
          <w:rFonts w:hint="eastAsia" w:ascii="宋体" w:hAnsi="宋体" w:eastAsia="宋体" w:cs="宋体"/>
          <w:color w:val="000000"/>
          <w:kern w:val="0"/>
          <w:sz w:val="24"/>
          <w:szCs w:val="24"/>
          <w:lang w:val="en-US" w:eastAsia="zh-CN" w:bidi="ar"/>
        </w:rPr>
        <w:t xml:space="preserve">，煤气管道泄漏排放的一氧化碳为轻质气体，采用导则推荐的 </w:t>
      </w:r>
      <w:r>
        <w:rPr>
          <w:rFonts w:hint="default" w:ascii="Times New Roman" w:hAnsi="Times New Roman" w:eastAsia="宋体" w:cs="Times New Roman"/>
          <w:color w:val="000000"/>
          <w:kern w:val="0"/>
          <w:sz w:val="24"/>
          <w:szCs w:val="24"/>
          <w:lang w:val="en-US" w:eastAsia="zh-CN" w:bidi="ar"/>
        </w:rPr>
        <w:t xml:space="preserve">AFTOX </w:t>
      </w:r>
      <w:r>
        <w:rPr>
          <w:rFonts w:hint="eastAsia" w:ascii="宋体" w:hAnsi="宋体" w:eastAsia="宋体" w:cs="宋体"/>
          <w:color w:val="000000"/>
          <w:kern w:val="0"/>
          <w:sz w:val="24"/>
          <w:szCs w:val="24"/>
          <w:lang w:val="en-US" w:eastAsia="zh-CN" w:bidi="ar"/>
        </w:rPr>
        <w:t xml:space="preserve">模型进行预测。预测时段为泄漏事故开始后的 </w:t>
      </w:r>
      <w:r>
        <w:rPr>
          <w:rFonts w:hint="default" w:ascii="Times New Roman" w:hAnsi="Times New Roman" w:eastAsia="宋体" w:cs="Times New Roman"/>
          <w:color w:val="000000"/>
          <w:kern w:val="0"/>
          <w:sz w:val="24"/>
          <w:szCs w:val="24"/>
          <w:lang w:val="en-US" w:eastAsia="zh-CN" w:bidi="ar"/>
        </w:rPr>
        <w:t>30min</w:t>
      </w:r>
      <w:r>
        <w:rPr>
          <w:rFonts w:hint="eastAsia" w:ascii="宋体" w:hAnsi="宋体" w:eastAsia="宋体" w:cs="宋体"/>
          <w:color w:val="000000"/>
          <w:kern w:val="0"/>
          <w:sz w:val="24"/>
          <w:szCs w:val="24"/>
          <w:lang w:val="en-US" w:eastAsia="zh-CN" w:bidi="ar"/>
        </w:rPr>
        <w:t>。按最不利气象条件（</w:t>
      </w:r>
      <w:r>
        <w:rPr>
          <w:rFonts w:hint="default" w:ascii="Times New Roman" w:hAnsi="Times New Roman" w:eastAsia="宋体" w:cs="Times New Roman"/>
          <w:color w:val="000000"/>
          <w:kern w:val="0"/>
          <w:sz w:val="24"/>
          <w:szCs w:val="24"/>
          <w:lang w:val="en-US" w:eastAsia="zh-CN" w:bidi="ar"/>
        </w:rPr>
        <w:t xml:space="preserve">F </w:t>
      </w:r>
      <w:r>
        <w:rPr>
          <w:rFonts w:hint="eastAsia" w:ascii="宋体" w:hAnsi="宋体" w:eastAsia="宋体" w:cs="宋体"/>
          <w:color w:val="000000"/>
          <w:kern w:val="0"/>
          <w:sz w:val="24"/>
          <w:szCs w:val="24"/>
          <w:lang w:val="en-US" w:eastAsia="zh-CN" w:bidi="ar"/>
        </w:rPr>
        <w:t xml:space="preserve">稳定度，风速 </w:t>
      </w:r>
      <w:r>
        <w:rPr>
          <w:rFonts w:hint="default" w:ascii="Times New Roman" w:hAnsi="Times New Roman" w:eastAsia="宋体" w:cs="Times New Roman"/>
          <w:color w:val="000000"/>
          <w:kern w:val="0"/>
          <w:sz w:val="24"/>
          <w:szCs w:val="24"/>
          <w:lang w:val="en-US" w:eastAsia="zh-CN" w:bidi="ar"/>
        </w:rPr>
        <w:t>1.5m/s</w:t>
      </w:r>
      <w:r>
        <w:rPr>
          <w:rFonts w:hint="eastAsia" w:ascii="宋体" w:hAnsi="宋体" w:eastAsia="宋体" w:cs="宋体"/>
          <w:color w:val="000000"/>
          <w:kern w:val="0"/>
          <w:sz w:val="24"/>
          <w:szCs w:val="24"/>
          <w:lang w:val="en-US" w:eastAsia="zh-CN" w:bidi="ar"/>
        </w:rPr>
        <w:t xml:space="preserve">，温度 </w:t>
      </w:r>
      <w:r>
        <w:rPr>
          <w:rFonts w:hint="default" w:ascii="Times New Roman" w:hAnsi="Times New Roman" w:eastAsia="宋体" w:cs="Times New Roman"/>
          <w:color w:val="000000"/>
          <w:kern w:val="0"/>
          <w:sz w:val="24"/>
          <w:szCs w:val="24"/>
          <w:lang w:val="en-US" w:eastAsia="zh-CN" w:bidi="ar"/>
        </w:rPr>
        <w:t>25℃</w:t>
      </w:r>
      <w:r>
        <w:rPr>
          <w:rFonts w:hint="eastAsia" w:ascii="宋体" w:hAnsi="宋体" w:eastAsia="宋体" w:cs="宋体"/>
          <w:color w:val="000000"/>
          <w:kern w:val="0"/>
          <w:sz w:val="24"/>
          <w:szCs w:val="24"/>
          <w:lang w:val="en-US" w:eastAsia="zh-CN" w:bidi="ar"/>
        </w:rPr>
        <w:t xml:space="preserve">，湿度 </w:t>
      </w:r>
      <w:r>
        <w:rPr>
          <w:rFonts w:hint="default" w:ascii="Times New Roman" w:hAnsi="Times New Roman" w:eastAsia="宋体" w:cs="Times New Roman"/>
          <w:color w:val="000000"/>
          <w:kern w:val="0"/>
          <w:sz w:val="24"/>
          <w:szCs w:val="24"/>
          <w:lang w:val="en-US" w:eastAsia="zh-CN" w:bidi="ar"/>
        </w:rPr>
        <w:t>50%</w:t>
      </w:r>
      <w:r>
        <w:rPr>
          <w:rFonts w:hint="eastAsia" w:ascii="宋体" w:hAnsi="宋体" w:eastAsia="宋体" w:cs="宋体"/>
          <w:color w:val="000000"/>
          <w:kern w:val="0"/>
          <w:sz w:val="24"/>
          <w:szCs w:val="24"/>
          <w:lang w:val="en-US" w:eastAsia="zh-CN" w:bidi="ar"/>
        </w:rPr>
        <w:t>）预测影响后果。预测模型主要参数详见表6.2-</w:t>
      </w:r>
      <w:r>
        <w:rPr>
          <w:rFonts w:hint="eastAsia" w:cs="宋体"/>
          <w:color w:val="000000"/>
          <w:kern w:val="0"/>
          <w:sz w:val="24"/>
          <w:szCs w:val="24"/>
          <w:lang w:val="en-US" w:eastAsia="zh-CN" w:bidi="ar"/>
        </w:rPr>
        <w:t>8</w:t>
      </w:r>
      <w:r>
        <w:rPr>
          <w:rFonts w:hint="eastAsia" w:ascii="宋体" w:hAnsi="宋体" w:eastAsia="宋体" w:cs="宋体"/>
          <w:color w:val="000000"/>
          <w:kern w:val="0"/>
          <w:sz w:val="24"/>
          <w:szCs w:val="24"/>
          <w:lang w:val="en-US" w:eastAsia="zh-CN" w:bidi="ar"/>
        </w:rPr>
        <w:t xml:space="preserve">。 </w:t>
      </w:r>
    </w:p>
    <w:p w14:paraId="4957661B">
      <w:pPr>
        <w:keepNext w:val="0"/>
        <w:keepLines w:val="0"/>
        <w:widowControl/>
        <w:suppressLineNumbers w:val="0"/>
        <w:jc w:val="cente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表6.2-</w:t>
      </w:r>
      <w:r>
        <w:rPr>
          <w:rFonts w:hint="eastAsia" w:ascii="Times New Roman" w:hAnsi="Times New Roman" w:cs="Times New Roman"/>
          <w:b/>
          <w:bCs/>
          <w:color w:val="000000"/>
          <w:kern w:val="0"/>
          <w:sz w:val="24"/>
          <w:szCs w:val="24"/>
          <w:lang w:val="en-US" w:eastAsia="zh-CN" w:bidi="ar"/>
        </w:rPr>
        <w:t>8</w:t>
      </w:r>
      <w:r>
        <w:rPr>
          <w:rFonts w:hint="default" w:ascii="Times New Roman" w:hAnsi="Times New Roman" w:eastAsia="TimesNewRomanPS-BoldMT" w:cs="Times New Roman"/>
          <w:b/>
          <w:bCs/>
          <w:color w:val="000000"/>
          <w:kern w:val="0"/>
          <w:sz w:val="24"/>
          <w:szCs w:val="24"/>
          <w:lang w:val="en-US" w:eastAsia="zh-CN" w:bidi="ar"/>
        </w:rPr>
        <w:t xml:space="preserve"> </w:t>
      </w:r>
      <w:r>
        <w:rPr>
          <w:rFonts w:hint="default" w:ascii="Times New Roman" w:hAnsi="Times New Roman" w:eastAsia="宋体" w:cs="Times New Roman"/>
          <w:b/>
          <w:bCs/>
          <w:color w:val="000000"/>
          <w:kern w:val="0"/>
          <w:sz w:val="24"/>
          <w:szCs w:val="24"/>
          <w:lang w:val="en-US" w:eastAsia="zh-CN" w:bidi="ar"/>
        </w:rPr>
        <w:t>煤气管道泄漏事故大气风险预测模型主要参数表</w:t>
      </w:r>
    </w:p>
    <w:tbl>
      <w:tblPr>
        <w:tblStyle w:val="56"/>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2021"/>
        <w:gridCol w:w="3864"/>
        <w:gridCol w:w="2836"/>
      </w:tblGrid>
      <w:tr w14:paraId="7FA4BF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0" w:type="auto"/>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25F273CF">
            <w:pPr>
              <w:jc w:val="center"/>
              <w:rPr>
                <w:b/>
              </w:rPr>
            </w:pPr>
            <w:r>
              <w:rPr>
                <w:b/>
              </w:rPr>
              <w:t>参数类型</w:t>
            </w:r>
          </w:p>
        </w:tc>
        <w:tc>
          <w:tcPr>
            <w:tcW w:w="0" w:type="auto"/>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07109FC2">
            <w:pPr>
              <w:jc w:val="center"/>
              <w:rPr>
                <w:b/>
              </w:rPr>
            </w:pPr>
            <w:r>
              <w:rPr>
                <w:b/>
              </w:rPr>
              <w:t>选项</w:t>
            </w:r>
          </w:p>
        </w:tc>
        <w:tc>
          <w:tcPr>
            <w:tcW w:w="0" w:type="auto"/>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5D4CE62F">
            <w:pPr>
              <w:jc w:val="center"/>
              <w:rPr>
                <w:b/>
              </w:rPr>
            </w:pPr>
            <w:r>
              <w:rPr>
                <w:b/>
              </w:rPr>
              <w:t>参数</w:t>
            </w:r>
          </w:p>
        </w:tc>
      </w:tr>
      <w:tr w14:paraId="2F8F4A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0" w:type="auto"/>
            <w:vMerge w:val="restart"/>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691E806D">
            <w:r>
              <w:t>基本情况</w:t>
            </w:r>
          </w:p>
        </w:tc>
        <w:tc>
          <w:tcPr>
            <w:tcW w:w="3864"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30B8F7D6">
            <w:pPr>
              <w:jc w:val="center"/>
            </w:pPr>
            <w:r>
              <w:rPr>
                <w:rFonts w:ascii="宋体" w:hAnsi="宋体" w:eastAsia="宋体"/>
                <w:b w:val="0"/>
                <w:sz w:val="23"/>
                <w:szCs w:val="23"/>
              </w:rPr>
              <w:t>事故源经度(°)</w:t>
            </w:r>
          </w:p>
        </w:tc>
        <w:tc>
          <w:tcPr>
            <w:tcW w:w="2836"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1511F062">
            <w:pPr>
              <w:jc w:val="center"/>
            </w:pPr>
            <w:r>
              <w:rPr>
                <w:rFonts w:ascii="宋体" w:hAnsi="宋体" w:eastAsia="宋体"/>
                <w:b w:val="0"/>
                <w:sz w:val="23"/>
                <w:szCs w:val="23"/>
              </w:rPr>
              <w:t>123.832237</w:t>
            </w:r>
          </w:p>
        </w:tc>
      </w:tr>
      <w:tr w14:paraId="26E45F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0" w:type="auto"/>
            <w:vMerge w:val="continue"/>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33DBCD0A"/>
        </w:tc>
        <w:tc>
          <w:tcPr>
            <w:tcW w:w="3864"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2B5DDB99">
            <w:pPr>
              <w:jc w:val="center"/>
            </w:pPr>
            <w:r>
              <w:rPr>
                <w:rFonts w:ascii="宋体" w:hAnsi="宋体" w:eastAsia="宋体"/>
                <w:b w:val="0"/>
                <w:sz w:val="23"/>
                <w:szCs w:val="23"/>
              </w:rPr>
              <w:t>事故源纬度(°)</w:t>
            </w:r>
          </w:p>
        </w:tc>
        <w:tc>
          <w:tcPr>
            <w:tcW w:w="2836"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4CDA79C5">
            <w:pPr>
              <w:jc w:val="center"/>
            </w:pPr>
            <w:r>
              <w:rPr>
                <w:rFonts w:ascii="宋体" w:hAnsi="宋体" w:eastAsia="宋体"/>
                <w:b w:val="0"/>
                <w:sz w:val="23"/>
                <w:szCs w:val="23"/>
              </w:rPr>
              <w:t>40.928674</w:t>
            </w:r>
          </w:p>
        </w:tc>
      </w:tr>
      <w:tr w14:paraId="1322FB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0" w:type="auto"/>
            <w:vMerge w:val="continue"/>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73E73067"/>
        </w:tc>
        <w:tc>
          <w:tcPr>
            <w:tcW w:w="3864"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6347010C">
            <w:pPr>
              <w:jc w:val="center"/>
            </w:pPr>
            <w:r>
              <w:rPr>
                <w:rFonts w:ascii="宋体" w:hAnsi="宋体" w:eastAsia="宋体"/>
                <w:b w:val="0"/>
                <w:sz w:val="23"/>
                <w:szCs w:val="23"/>
              </w:rPr>
              <w:t>事故源类型</w:t>
            </w:r>
          </w:p>
        </w:tc>
        <w:tc>
          <w:tcPr>
            <w:tcW w:w="2836"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5172122B">
            <w:pPr>
              <w:jc w:val="center"/>
            </w:pPr>
            <w:r>
              <w:rPr>
                <w:rFonts w:ascii="宋体" w:hAnsi="宋体" w:eastAsia="宋体"/>
                <w:b w:val="0"/>
                <w:sz w:val="23"/>
                <w:szCs w:val="23"/>
              </w:rPr>
              <w:t>气体泄漏</w:t>
            </w:r>
          </w:p>
        </w:tc>
      </w:tr>
      <w:tr w14:paraId="14C303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0" w:type="auto"/>
            <w:vMerge w:val="restart"/>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6E929F9F">
            <w:r>
              <w:t>气象参数</w:t>
            </w:r>
          </w:p>
        </w:tc>
        <w:tc>
          <w:tcPr>
            <w:tcW w:w="3864"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4D7F981C">
            <w:pPr>
              <w:jc w:val="center"/>
            </w:pPr>
            <w:r>
              <w:rPr>
                <w:rFonts w:ascii="宋体" w:hAnsi="宋体" w:eastAsia="宋体"/>
                <w:b w:val="0"/>
                <w:sz w:val="23"/>
                <w:szCs w:val="23"/>
              </w:rPr>
              <w:t>气象条件类型</w:t>
            </w:r>
          </w:p>
        </w:tc>
        <w:tc>
          <w:tcPr>
            <w:tcW w:w="2836"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4BD6DC26">
            <w:pPr>
              <w:jc w:val="center"/>
            </w:pPr>
            <w:r>
              <w:rPr>
                <w:rFonts w:ascii="宋体" w:hAnsi="宋体" w:eastAsia="宋体"/>
                <w:b w:val="0"/>
                <w:sz w:val="23"/>
                <w:szCs w:val="23"/>
              </w:rPr>
              <w:t>最不利气象条件</w:t>
            </w:r>
          </w:p>
        </w:tc>
      </w:tr>
      <w:tr w14:paraId="6F8BFB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0" w:type="auto"/>
            <w:vMerge w:val="continue"/>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461F284D"/>
        </w:tc>
        <w:tc>
          <w:tcPr>
            <w:tcW w:w="3864"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08477FEC">
            <w:pPr>
              <w:jc w:val="center"/>
            </w:pPr>
            <w:r>
              <w:rPr>
                <w:rFonts w:ascii="宋体" w:hAnsi="宋体" w:eastAsia="宋体"/>
                <w:b w:val="0"/>
                <w:sz w:val="23"/>
                <w:szCs w:val="23"/>
              </w:rPr>
              <w:t>风速(m/s)</w:t>
            </w:r>
          </w:p>
        </w:tc>
        <w:tc>
          <w:tcPr>
            <w:tcW w:w="2836"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4CF5B444">
            <w:pPr>
              <w:jc w:val="center"/>
            </w:pPr>
            <w:r>
              <w:rPr>
                <w:rFonts w:ascii="宋体" w:hAnsi="宋体" w:eastAsia="宋体"/>
                <w:b w:val="0"/>
                <w:sz w:val="23"/>
                <w:szCs w:val="23"/>
              </w:rPr>
              <w:t>1.5000</w:t>
            </w:r>
          </w:p>
        </w:tc>
      </w:tr>
      <w:tr w14:paraId="7B7FD3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0" w:type="auto"/>
            <w:vMerge w:val="continue"/>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2C6A8ABC"/>
        </w:tc>
        <w:tc>
          <w:tcPr>
            <w:tcW w:w="3864"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2AE502C7">
            <w:pPr>
              <w:jc w:val="center"/>
            </w:pPr>
            <w:r>
              <w:rPr>
                <w:rFonts w:ascii="宋体" w:hAnsi="宋体" w:eastAsia="宋体"/>
                <w:b w:val="0"/>
                <w:sz w:val="23"/>
                <w:szCs w:val="23"/>
              </w:rPr>
              <w:t>环境温度(℃)</w:t>
            </w:r>
          </w:p>
        </w:tc>
        <w:tc>
          <w:tcPr>
            <w:tcW w:w="2836"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28A20FFF">
            <w:pPr>
              <w:jc w:val="center"/>
            </w:pPr>
            <w:r>
              <w:rPr>
                <w:rFonts w:ascii="宋体" w:hAnsi="宋体" w:eastAsia="宋体"/>
                <w:b w:val="0"/>
                <w:sz w:val="23"/>
                <w:szCs w:val="23"/>
              </w:rPr>
              <w:t>25.00</w:t>
            </w:r>
          </w:p>
        </w:tc>
      </w:tr>
      <w:tr w14:paraId="7F6BCF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0" w:type="auto"/>
            <w:vMerge w:val="continue"/>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321095A0"/>
        </w:tc>
        <w:tc>
          <w:tcPr>
            <w:tcW w:w="3864"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6397204E">
            <w:pPr>
              <w:jc w:val="center"/>
            </w:pPr>
            <w:r>
              <w:rPr>
                <w:rFonts w:ascii="宋体" w:hAnsi="宋体" w:eastAsia="宋体"/>
                <w:b w:val="0"/>
                <w:sz w:val="23"/>
                <w:szCs w:val="23"/>
              </w:rPr>
              <w:t>相对湿度(%)</w:t>
            </w:r>
          </w:p>
        </w:tc>
        <w:tc>
          <w:tcPr>
            <w:tcW w:w="2836"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5B53AA75">
            <w:pPr>
              <w:jc w:val="center"/>
            </w:pPr>
            <w:r>
              <w:rPr>
                <w:rFonts w:ascii="宋体" w:hAnsi="宋体" w:eastAsia="宋体"/>
                <w:b w:val="0"/>
                <w:sz w:val="23"/>
                <w:szCs w:val="23"/>
              </w:rPr>
              <w:t>50.0</w:t>
            </w:r>
          </w:p>
        </w:tc>
      </w:tr>
      <w:tr w14:paraId="452159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0" w:type="auto"/>
            <w:vMerge w:val="continue"/>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5C4177DE"/>
        </w:tc>
        <w:tc>
          <w:tcPr>
            <w:tcW w:w="3864"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73F81DA4">
            <w:pPr>
              <w:jc w:val="center"/>
            </w:pPr>
            <w:r>
              <w:rPr>
                <w:rFonts w:ascii="宋体" w:hAnsi="宋体" w:eastAsia="宋体"/>
                <w:b w:val="0"/>
                <w:sz w:val="23"/>
                <w:szCs w:val="23"/>
              </w:rPr>
              <w:t>稳定度</w:t>
            </w:r>
          </w:p>
        </w:tc>
        <w:tc>
          <w:tcPr>
            <w:tcW w:w="2836"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335497E3">
            <w:pPr>
              <w:jc w:val="center"/>
            </w:pPr>
            <w:r>
              <w:rPr>
                <w:rFonts w:ascii="宋体" w:hAnsi="宋体" w:eastAsia="宋体"/>
                <w:b w:val="0"/>
                <w:sz w:val="23"/>
                <w:szCs w:val="23"/>
              </w:rPr>
              <w:t>F(稳定)</w:t>
            </w:r>
          </w:p>
        </w:tc>
      </w:tr>
      <w:tr w14:paraId="350046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0" w:type="auto"/>
            <w:vMerge w:val="restart"/>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36DB80A0">
            <w:r>
              <w:t>其他参数</w:t>
            </w:r>
          </w:p>
        </w:tc>
        <w:tc>
          <w:tcPr>
            <w:tcW w:w="3864"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745C4658">
            <w:pPr>
              <w:jc w:val="center"/>
            </w:pPr>
            <w:r>
              <w:rPr>
                <w:rFonts w:ascii="宋体" w:hAnsi="宋体" w:eastAsia="宋体"/>
                <w:b w:val="0"/>
                <w:sz w:val="23"/>
                <w:szCs w:val="23"/>
              </w:rPr>
              <w:t>地表粗糙度（m）</w:t>
            </w:r>
          </w:p>
        </w:tc>
        <w:tc>
          <w:tcPr>
            <w:tcW w:w="2836"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59CA5827">
            <w:pPr>
              <w:jc w:val="center"/>
            </w:pPr>
            <w:r>
              <w:rPr>
                <w:rFonts w:ascii="宋体" w:hAnsi="宋体" w:eastAsia="宋体"/>
                <w:b w:val="0"/>
                <w:sz w:val="23"/>
                <w:szCs w:val="23"/>
              </w:rPr>
              <w:t>0.5</w:t>
            </w:r>
          </w:p>
        </w:tc>
      </w:tr>
      <w:tr w14:paraId="507D3B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0" w:type="auto"/>
            <w:vMerge w:val="continue"/>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1F70D469"/>
        </w:tc>
        <w:tc>
          <w:tcPr>
            <w:tcW w:w="3864"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3AB8C8F3">
            <w:pPr>
              <w:jc w:val="center"/>
            </w:pPr>
            <w:r>
              <w:rPr>
                <w:rFonts w:ascii="宋体" w:hAnsi="宋体" w:eastAsia="宋体"/>
                <w:b w:val="0"/>
                <w:sz w:val="23"/>
                <w:szCs w:val="23"/>
              </w:rPr>
              <w:t>是否考虑地形</w:t>
            </w:r>
          </w:p>
        </w:tc>
        <w:tc>
          <w:tcPr>
            <w:tcW w:w="2836"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6C8A6834">
            <w:pPr>
              <w:jc w:val="center"/>
            </w:pPr>
            <w:r>
              <w:rPr>
                <w:rFonts w:ascii="宋体" w:hAnsi="宋体" w:eastAsia="宋体"/>
                <w:b w:val="0"/>
                <w:sz w:val="23"/>
                <w:szCs w:val="23"/>
              </w:rPr>
              <w:t>否</w:t>
            </w:r>
          </w:p>
        </w:tc>
      </w:tr>
      <w:tr w14:paraId="2FCD6E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0" w:type="auto"/>
            <w:vMerge w:val="continue"/>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382674E4"/>
        </w:tc>
        <w:tc>
          <w:tcPr>
            <w:tcW w:w="3864"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0E6B2389">
            <w:pPr>
              <w:jc w:val="center"/>
            </w:pPr>
            <w:r>
              <w:rPr>
                <w:rFonts w:ascii="宋体" w:hAnsi="宋体" w:eastAsia="宋体"/>
                <w:b w:val="0"/>
                <w:sz w:val="23"/>
                <w:szCs w:val="23"/>
              </w:rPr>
              <w:t>地形数据精度</w:t>
            </w:r>
          </w:p>
        </w:tc>
        <w:tc>
          <w:tcPr>
            <w:tcW w:w="2836"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335EA13F">
            <w:pPr>
              <w:jc w:val="center"/>
            </w:pPr>
            <w:r>
              <w:rPr>
                <w:rFonts w:ascii="宋体" w:hAnsi="宋体" w:eastAsia="宋体"/>
                <w:b w:val="0"/>
                <w:sz w:val="23"/>
                <w:szCs w:val="23"/>
              </w:rPr>
              <w:t>90m</w:t>
            </w:r>
          </w:p>
        </w:tc>
      </w:tr>
    </w:tbl>
    <w:p w14:paraId="05D684B3">
      <w:pPr>
        <w:keepNext w:val="0"/>
        <w:keepLines w:val="0"/>
        <w:widowControl/>
        <w:suppressLineNumbers w:val="0"/>
        <w:jc w:val="left"/>
      </w:pPr>
      <w:r>
        <w:rPr>
          <w:rFonts w:hint="eastAsia" w:ascii="宋体" w:hAnsi="宋体" w:eastAsia="宋体" w:cs="宋体"/>
          <w:color w:val="000000"/>
          <w:kern w:val="0"/>
          <w:sz w:val="24"/>
          <w:szCs w:val="24"/>
          <w:lang w:val="en-US" w:eastAsia="zh-CN" w:bidi="ar"/>
        </w:rPr>
        <w:t>（</w:t>
      </w:r>
      <w:r>
        <w:rPr>
          <w:rFonts w:hint="default" w:ascii="Times New Roman" w:hAnsi="Times New Roman" w:eastAsia="宋体" w:cs="Times New Roman"/>
          <w:color w:val="000000"/>
          <w:kern w:val="0"/>
          <w:sz w:val="24"/>
          <w:szCs w:val="24"/>
          <w:lang w:val="en-US" w:eastAsia="zh-CN" w:bidi="ar"/>
        </w:rPr>
        <w:t>2</w:t>
      </w:r>
      <w:r>
        <w:rPr>
          <w:rFonts w:hint="eastAsia" w:ascii="宋体" w:hAnsi="宋体" w:eastAsia="宋体" w:cs="宋体"/>
          <w:color w:val="000000"/>
          <w:kern w:val="0"/>
          <w:sz w:val="24"/>
          <w:szCs w:val="24"/>
          <w:lang w:val="en-US" w:eastAsia="zh-CN" w:bidi="ar"/>
        </w:rPr>
        <w:t xml:space="preserve">）预测计算 </w:t>
      </w:r>
    </w:p>
    <w:p w14:paraId="04D7D504">
      <w:pPr>
        <w:keepNext w:val="0"/>
        <w:keepLines w:val="0"/>
        <w:widowControl/>
        <w:suppressLineNumbers w:val="0"/>
        <w:ind w:firstLine="480" w:firstLineChars="200"/>
        <w:jc w:val="left"/>
      </w:pPr>
      <w:r>
        <w:rPr>
          <w:rFonts w:hint="eastAsia" w:ascii="宋体" w:hAnsi="宋体" w:eastAsia="宋体" w:cs="宋体"/>
          <w:color w:val="000000"/>
          <w:kern w:val="0"/>
          <w:sz w:val="24"/>
          <w:szCs w:val="24"/>
          <w:lang w:val="en-US" w:eastAsia="zh-CN" w:bidi="ar"/>
        </w:rPr>
        <w:t xml:space="preserve">采用 </w:t>
      </w:r>
      <w:r>
        <w:rPr>
          <w:rFonts w:hint="default" w:ascii="Times New Roman" w:hAnsi="Times New Roman" w:eastAsia="宋体" w:cs="Times New Roman"/>
          <w:color w:val="000000"/>
          <w:kern w:val="0"/>
          <w:sz w:val="24"/>
          <w:szCs w:val="24"/>
          <w:lang w:val="en-US" w:eastAsia="zh-CN" w:bidi="ar"/>
        </w:rPr>
        <w:t xml:space="preserve">AFTOX </w:t>
      </w:r>
      <w:r>
        <w:rPr>
          <w:rFonts w:hint="eastAsia" w:ascii="宋体" w:hAnsi="宋体" w:eastAsia="宋体" w:cs="宋体"/>
          <w:color w:val="000000"/>
          <w:kern w:val="0"/>
          <w:sz w:val="24"/>
          <w:szCs w:val="24"/>
          <w:lang w:val="en-US" w:eastAsia="zh-CN" w:bidi="ar"/>
        </w:rPr>
        <w:t xml:space="preserve">模型进行计算事故影响。最不利气象条件，煤气管道泄漏预测结果见表 </w:t>
      </w:r>
      <w:r>
        <w:rPr>
          <w:rFonts w:hint="default" w:ascii="Times New Roman" w:hAnsi="Times New Roman" w:eastAsia="宋体" w:cs="Times New Roman"/>
          <w:color w:val="000000"/>
          <w:kern w:val="0"/>
          <w:sz w:val="24"/>
          <w:szCs w:val="24"/>
          <w:lang w:val="en-US" w:eastAsia="zh-CN" w:bidi="ar"/>
        </w:rPr>
        <w:t>6.2-</w:t>
      </w:r>
      <w:r>
        <w:rPr>
          <w:rFonts w:hint="eastAsia" w:ascii="Times New Roman" w:hAnsi="Times New Roman" w:cs="Times New Roman"/>
          <w:color w:val="000000"/>
          <w:kern w:val="0"/>
          <w:sz w:val="24"/>
          <w:szCs w:val="24"/>
          <w:lang w:val="en-US" w:eastAsia="zh-CN" w:bidi="ar"/>
        </w:rPr>
        <w:t>9</w:t>
      </w:r>
      <w:r>
        <w:rPr>
          <w:rFonts w:hint="eastAsia" w:ascii="宋体" w:hAnsi="宋体" w:eastAsia="宋体" w:cs="宋体"/>
          <w:color w:val="000000"/>
          <w:kern w:val="0"/>
          <w:sz w:val="24"/>
          <w:szCs w:val="24"/>
          <w:lang w:val="en-US" w:eastAsia="zh-CN" w:bidi="ar"/>
        </w:rPr>
        <w:t xml:space="preserve">。 </w:t>
      </w:r>
    </w:p>
    <w:p w14:paraId="5535CA0F">
      <w:pPr>
        <w:keepNext w:val="0"/>
        <w:keepLines w:val="0"/>
        <w:widowControl/>
        <w:suppressLineNumbers w:val="0"/>
        <w:jc w:val="center"/>
      </w:pPr>
      <w:r>
        <w:rPr>
          <w:rFonts w:hint="default" w:ascii="Times New Roman" w:hAnsi="Times New Roman" w:eastAsia="宋体" w:cs="Times New Roman"/>
          <w:b/>
          <w:bCs/>
          <w:color w:val="000000"/>
          <w:kern w:val="0"/>
          <w:sz w:val="24"/>
          <w:szCs w:val="24"/>
          <w:lang w:val="en-US" w:eastAsia="zh-CN" w:bidi="ar"/>
        </w:rPr>
        <w:t xml:space="preserve">表 </w:t>
      </w:r>
      <w:r>
        <w:rPr>
          <w:rFonts w:hint="default" w:ascii="Times New Roman" w:hAnsi="Times New Roman" w:eastAsia="TimesNewRomanPS-BoldMT" w:cs="Times New Roman"/>
          <w:b/>
          <w:bCs/>
          <w:color w:val="000000"/>
          <w:kern w:val="0"/>
          <w:sz w:val="24"/>
          <w:szCs w:val="24"/>
          <w:lang w:val="en-US" w:eastAsia="zh-CN" w:bidi="ar"/>
        </w:rPr>
        <w:t>6.2-</w:t>
      </w:r>
      <w:r>
        <w:rPr>
          <w:rFonts w:hint="eastAsia" w:ascii="Times New Roman" w:hAnsi="Times New Roman" w:eastAsia="TimesNewRomanPS-BoldMT" w:cs="Times New Roman"/>
          <w:b/>
          <w:bCs/>
          <w:color w:val="000000"/>
          <w:kern w:val="0"/>
          <w:sz w:val="24"/>
          <w:szCs w:val="24"/>
          <w:lang w:val="en-US" w:eastAsia="zh-CN" w:bidi="ar"/>
        </w:rPr>
        <w:t>9</w:t>
      </w:r>
      <w:r>
        <w:rPr>
          <w:rFonts w:hint="default" w:ascii="Times New Roman" w:hAnsi="Times New Roman" w:eastAsia="TimesNewRomanPS-BoldMT" w:cs="Times New Roman"/>
          <w:b/>
          <w:bCs/>
          <w:color w:val="000000"/>
          <w:kern w:val="0"/>
          <w:sz w:val="24"/>
          <w:szCs w:val="24"/>
          <w:lang w:val="en-US" w:eastAsia="zh-CN" w:bidi="ar"/>
        </w:rPr>
        <w:t xml:space="preserve"> </w:t>
      </w:r>
      <w:r>
        <w:rPr>
          <w:rFonts w:hint="default" w:ascii="Times New Roman" w:hAnsi="Times New Roman" w:eastAsia="宋体" w:cs="Times New Roman"/>
          <w:b/>
          <w:bCs/>
          <w:color w:val="000000"/>
          <w:kern w:val="0"/>
          <w:sz w:val="24"/>
          <w:szCs w:val="24"/>
          <w:lang w:val="en-US" w:eastAsia="zh-CN" w:bidi="ar"/>
        </w:rPr>
        <w:t>最不利气象条件，煤气管道泄漏事故排放一氧化碳预测结果</w:t>
      </w:r>
    </w:p>
    <w:tbl>
      <w:tblPr>
        <w:tblStyle w:val="56"/>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1390"/>
        <w:gridCol w:w="1391"/>
        <w:gridCol w:w="1278"/>
        <w:gridCol w:w="1729"/>
        <w:gridCol w:w="1278"/>
        <w:gridCol w:w="1655"/>
      </w:tblGrid>
      <w:tr w14:paraId="62218E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0" w:type="auto"/>
            <w:gridSpan w:val="6"/>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46C9E37D">
            <w:pPr>
              <w:jc w:val="center"/>
              <w:rPr>
                <w:b/>
              </w:rPr>
            </w:pPr>
            <w:r>
              <w:rPr>
                <w:b/>
              </w:rPr>
              <w:t>风险事故情形分析</w:t>
            </w:r>
          </w:p>
        </w:tc>
      </w:tr>
      <w:tr w14:paraId="1CB94D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1390"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5584271B">
            <w:pPr>
              <w:jc w:val="center"/>
            </w:pPr>
            <w:r>
              <w:rPr>
                <w:rFonts w:ascii="宋体" w:hAnsi="宋体" w:eastAsia="宋体"/>
                <w:b w:val="0"/>
                <w:sz w:val="23"/>
                <w:szCs w:val="23"/>
              </w:rPr>
              <w:t>泄露设备类型</w:t>
            </w:r>
          </w:p>
        </w:tc>
        <w:tc>
          <w:tcPr>
            <w:tcW w:w="1391"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1257FBE0">
            <w:pPr>
              <w:jc w:val="center"/>
            </w:pPr>
            <w:r>
              <w:rPr>
                <w:rFonts w:ascii="宋体" w:hAnsi="宋体" w:eastAsia="宋体"/>
                <w:b w:val="0"/>
                <w:sz w:val="23"/>
                <w:szCs w:val="23"/>
              </w:rPr>
              <w:t>压力气体容器</w:t>
            </w:r>
          </w:p>
        </w:tc>
        <w:tc>
          <w:tcPr>
            <w:tcW w:w="1278"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1D3E5632">
            <w:pPr>
              <w:jc w:val="center"/>
            </w:pPr>
            <w:r>
              <w:rPr>
                <w:rFonts w:ascii="宋体" w:hAnsi="宋体" w:eastAsia="宋体"/>
                <w:b w:val="0"/>
                <w:sz w:val="23"/>
                <w:szCs w:val="23"/>
              </w:rPr>
              <w:t>操作温度(℃)</w:t>
            </w:r>
          </w:p>
        </w:tc>
        <w:tc>
          <w:tcPr>
            <w:tcW w:w="1729"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6838064C">
            <w:pPr>
              <w:jc w:val="center"/>
            </w:pPr>
            <w:r>
              <w:rPr>
                <w:rFonts w:ascii="宋体" w:hAnsi="宋体" w:eastAsia="宋体"/>
                <w:b w:val="0"/>
                <w:sz w:val="23"/>
                <w:szCs w:val="23"/>
              </w:rPr>
              <w:t>30.00</w:t>
            </w:r>
          </w:p>
        </w:tc>
        <w:tc>
          <w:tcPr>
            <w:tcW w:w="1278"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22B52C54">
            <w:pPr>
              <w:jc w:val="center"/>
            </w:pPr>
            <w:r>
              <w:rPr>
                <w:rFonts w:ascii="宋体" w:hAnsi="宋体" w:eastAsia="宋体"/>
                <w:b w:val="0"/>
                <w:sz w:val="23"/>
                <w:szCs w:val="23"/>
              </w:rPr>
              <w:t>操作压力(MPa)</w:t>
            </w:r>
          </w:p>
        </w:tc>
        <w:tc>
          <w:tcPr>
            <w:tcW w:w="1655"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082FB4D1">
            <w:pPr>
              <w:jc w:val="center"/>
            </w:pPr>
            <w:r>
              <w:rPr>
                <w:rFonts w:ascii="宋体" w:hAnsi="宋体" w:eastAsia="宋体"/>
                <w:b w:val="0"/>
                <w:sz w:val="23"/>
                <w:szCs w:val="23"/>
              </w:rPr>
              <w:t>0.150000</w:t>
            </w:r>
          </w:p>
        </w:tc>
      </w:tr>
      <w:tr w14:paraId="7141B7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1390"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77F138E2">
            <w:pPr>
              <w:jc w:val="center"/>
            </w:pPr>
            <w:r>
              <w:rPr>
                <w:rFonts w:ascii="宋体" w:hAnsi="宋体" w:eastAsia="宋体"/>
                <w:b w:val="0"/>
                <w:sz w:val="23"/>
                <w:szCs w:val="23"/>
              </w:rPr>
              <w:t>泄露危险物质</w:t>
            </w:r>
          </w:p>
        </w:tc>
        <w:tc>
          <w:tcPr>
            <w:tcW w:w="1391"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4327BFC8">
            <w:pPr>
              <w:jc w:val="center"/>
            </w:pPr>
            <w:r>
              <w:rPr>
                <w:rFonts w:ascii="宋体" w:hAnsi="宋体" w:eastAsia="宋体"/>
                <w:b w:val="0"/>
                <w:sz w:val="23"/>
                <w:szCs w:val="23"/>
              </w:rPr>
              <w:t>一氧化碳</w:t>
            </w:r>
          </w:p>
        </w:tc>
        <w:tc>
          <w:tcPr>
            <w:tcW w:w="1278"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35703C9C">
            <w:pPr>
              <w:jc w:val="center"/>
            </w:pPr>
            <w:r>
              <w:rPr>
                <w:rFonts w:ascii="宋体" w:hAnsi="宋体" w:eastAsia="宋体"/>
                <w:b w:val="0"/>
                <w:sz w:val="23"/>
                <w:szCs w:val="23"/>
              </w:rPr>
              <w:t>最大存在量(kg)</w:t>
            </w:r>
          </w:p>
        </w:tc>
        <w:tc>
          <w:tcPr>
            <w:tcW w:w="1729"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79443E35">
            <w:pPr>
              <w:jc w:val="center"/>
            </w:pPr>
            <w:r>
              <w:rPr>
                <w:rFonts w:ascii="宋体" w:hAnsi="宋体" w:eastAsia="宋体"/>
                <w:b w:val="0"/>
                <w:sz w:val="23"/>
                <w:szCs w:val="23"/>
              </w:rPr>
              <w:t>1283.5935</w:t>
            </w:r>
          </w:p>
        </w:tc>
        <w:tc>
          <w:tcPr>
            <w:tcW w:w="1278"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62B9DC7A">
            <w:pPr>
              <w:jc w:val="center"/>
            </w:pPr>
            <w:r>
              <w:rPr>
                <w:rFonts w:ascii="宋体" w:hAnsi="宋体" w:eastAsia="宋体"/>
                <w:b w:val="0"/>
                <w:sz w:val="23"/>
                <w:szCs w:val="23"/>
              </w:rPr>
              <w:t>裂口直径(mm)</w:t>
            </w:r>
          </w:p>
        </w:tc>
        <w:tc>
          <w:tcPr>
            <w:tcW w:w="1655"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78A332FD">
            <w:pPr>
              <w:jc w:val="center"/>
            </w:pPr>
            <w:r>
              <w:rPr>
                <w:rFonts w:ascii="宋体" w:hAnsi="宋体" w:eastAsia="宋体"/>
                <w:b w:val="0"/>
                <w:sz w:val="23"/>
                <w:szCs w:val="23"/>
              </w:rPr>
              <w:t>5.0000</w:t>
            </w:r>
          </w:p>
        </w:tc>
      </w:tr>
      <w:tr w14:paraId="7C6ED3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1390"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3D891941">
            <w:pPr>
              <w:jc w:val="center"/>
            </w:pPr>
            <w:r>
              <w:rPr>
                <w:rFonts w:ascii="宋体" w:hAnsi="宋体" w:eastAsia="宋体"/>
                <w:b w:val="0"/>
                <w:sz w:val="23"/>
                <w:szCs w:val="23"/>
              </w:rPr>
              <w:t>泄露速率(kg/s)</w:t>
            </w:r>
          </w:p>
        </w:tc>
        <w:tc>
          <w:tcPr>
            <w:tcW w:w="1391"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48E9F447">
            <w:pPr>
              <w:jc w:val="center"/>
            </w:pPr>
            <w:r>
              <w:rPr>
                <w:rFonts w:ascii="宋体" w:hAnsi="宋体" w:eastAsia="宋体"/>
                <w:b w:val="0"/>
                <w:sz w:val="23"/>
                <w:szCs w:val="23"/>
              </w:rPr>
              <w:t>0.0064</w:t>
            </w:r>
          </w:p>
        </w:tc>
        <w:tc>
          <w:tcPr>
            <w:tcW w:w="1278"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21FF0730">
            <w:pPr>
              <w:jc w:val="center"/>
            </w:pPr>
            <w:r>
              <w:rPr>
                <w:rFonts w:ascii="宋体" w:hAnsi="宋体" w:eastAsia="宋体"/>
                <w:b w:val="0"/>
                <w:sz w:val="23"/>
                <w:szCs w:val="23"/>
              </w:rPr>
              <w:t>泄露时间(min)</w:t>
            </w:r>
          </w:p>
        </w:tc>
        <w:tc>
          <w:tcPr>
            <w:tcW w:w="1729"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1E61453B">
            <w:pPr>
              <w:jc w:val="center"/>
            </w:pPr>
            <w:r>
              <w:rPr>
                <w:rFonts w:ascii="宋体" w:hAnsi="宋体" w:eastAsia="宋体"/>
                <w:b w:val="0"/>
                <w:sz w:val="23"/>
                <w:szCs w:val="23"/>
              </w:rPr>
              <w:t>10.00</w:t>
            </w:r>
          </w:p>
        </w:tc>
        <w:tc>
          <w:tcPr>
            <w:tcW w:w="1278"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255675B5">
            <w:pPr>
              <w:jc w:val="center"/>
            </w:pPr>
            <w:r>
              <w:rPr>
                <w:rFonts w:ascii="宋体" w:hAnsi="宋体" w:eastAsia="宋体"/>
                <w:b w:val="0"/>
                <w:sz w:val="23"/>
                <w:szCs w:val="23"/>
              </w:rPr>
              <w:t>泄露量(kg)</w:t>
            </w:r>
          </w:p>
        </w:tc>
        <w:tc>
          <w:tcPr>
            <w:tcW w:w="1655"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5C892BEF">
            <w:pPr>
              <w:jc w:val="center"/>
            </w:pPr>
            <w:r>
              <w:rPr>
                <w:rFonts w:ascii="宋体" w:hAnsi="宋体" w:eastAsia="宋体"/>
                <w:b w:val="0"/>
                <w:sz w:val="23"/>
                <w:szCs w:val="23"/>
              </w:rPr>
              <w:t>3.8225</w:t>
            </w:r>
          </w:p>
        </w:tc>
      </w:tr>
      <w:tr w14:paraId="1D9F8F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1390"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3152359A">
            <w:pPr>
              <w:jc w:val="center"/>
            </w:pPr>
            <w:r>
              <w:rPr>
                <w:rFonts w:ascii="宋体" w:hAnsi="宋体" w:eastAsia="宋体"/>
                <w:b w:val="0"/>
                <w:sz w:val="23"/>
                <w:szCs w:val="23"/>
              </w:rPr>
              <w:t>泄露高度(m)</w:t>
            </w:r>
          </w:p>
        </w:tc>
        <w:tc>
          <w:tcPr>
            <w:tcW w:w="1391"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481F0B08">
            <w:pPr>
              <w:jc w:val="center"/>
            </w:pPr>
            <w:r>
              <w:rPr>
                <w:rFonts w:ascii="宋体" w:hAnsi="宋体" w:eastAsia="宋体"/>
                <w:b w:val="0"/>
                <w:sz w:val="23"/>
                <w:szCs w:val="23"/>
              </w:rPr>
              <w:t>3.5000</w:t>
            </w:r>
          </w:p>
        </w:tc>
        <w:tc>
          <w:tcPr>
            <w:tcW w:w="1278"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4C87D830">
            <w:pPr>
              <w:jc w:val="center"/>
            </w:pPr>
            <w:r>
              <w:rPr>
                <w:rFonts w:ascii="宋体" w:hAnsi="宋体" w:eastAsia="宋体"/>
                <w:b w:val="0"/>
                <w:sz w:val="23"/>
                <w:szCs w:val="23"/>
              </w:rPr>
              <w:t>泄露概率(次/年)</w:t>
            </w:r>
          </w:p>
        </w:tc>
        <w:tc>
          <w:tcPr>
            <w:tcW w:w="1729"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3E61F2CA">
            <w:pPr>
              <w:jc w:val="center"/>
            </w:pPr>
            <w:r>
              <w:rPr>
                <w:rFonts w:ascii="宋体" w:hAnsi="宋体" w:eastAsia="宋体"/>
                <w:b w:val="0"/>
                <w:sz w:val="23"/>
                <w:szCs w:val="23"/>
              </w:rPr>
              <w:t>0.0022</w:t>
            </w:r>
          </w:p>
        </w:tc>
        <w:tc>
          <w:tcPr>
            <w:tcW w:w="1278"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59021076">
            <w:pPr>
              <w:jc w:val="center"/>
            </w:pPr>
            <w:r>
              <w:rPr>
                <w:rFonts w:ascii="宋体" w:hAnsi="宋体" w:eastAsia="宋体"/>
                <w:b w:val="0"/>
                <w:sz w:val="23"/>
                <w:szCs w:val="23"/>
              </w:rPr>
              <w:t>蒸发量(kg)</w:t>
            </w:r>
          </w:p>
        </w:tc>
        <w:tc>
          <w:tcPr>
            <w:tcW w:w="1655"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5F299E1A">
            <w:pPr>
              <w:jc w:val="center"/>
            </w:pPr>
            <w:r>
              <w:rPr>
                <w:rFonts w:ascii="宋体" w:hAnsi="宋体" w:eastAsia="宋体"/>
                <w:b w:val="0"/>
                <w:sz w:val="23"/>
                <w:szCs w:val="23"/>
              </w:rPr>
              <w:t>-</w:t>
            </w:r>
          </w:p>
        </w:tc>
      </w:tr>
      <w:tr w14:paraId="417984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4059" w:type="dxa"/>
            <w:gridSpan w:val="3"/>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6D13E8FE">
            <w:pPr>
              <w:jc w:val="center"/>
            </w:pPr>
            <w:r>
              <w:rPr>
                <w:rFonts w:ascii="宋体" w:hAnsi="宋体" w:eastAsia="宋体"/>
                <w:b w:val="0"/>
                <w:sz w:val="23"/>
                <w:szCs w:val="23"/>
              </w:rPr>
              <w:t>大气环境影响-气象条件名称-模型类型</w:t>
            </w:r>
          </w:p>
        </w:tc>
        <w:tc>
          <w:tcPr>
            <w:tcW w:w="4662" w:type="dxa"/>
            <w:gridSpan w:val="3"/>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3FDE9356">
            <w:pPr>
              <w:jc w:val="center"/>
            </w:pPr>
            <w:r>
              <w:rPr>
                <w:rFonts w:ascii="宋体" w:hAnsi="宋体" w:eastAsia="宋体"/>
                <w:b w:val="0"/>
                <w:sz w:val="23"/>
                <w:szCs w:val="23"/>
              </w:rPr>
              <w:t>最不利气象条件-aftox模型</w:t>
            </w:r>
          </w:p>
        </w:tc>
      </w:tr>
      <w:tr w14:paraId="50ED4A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1390"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23D326F0">
            <w:pPr>
              <w:jc w:val="center"/>
            </w:pPr>
            <w:r>
              <w:rPr>
                <w:rFonts w:ascii="宋体" w:hAnsi="宋体" w:eastAsia="宋体"/>
                <w:b w:val="0"/>
                <w:sz w:val="23"/>
                <w:szCs w:val="23"/>
              </w:rPr>
              <w:t>指标</w:t>
            </w:r>
          </w:p>
        </w:tc>
        <w:tc>
          <w:tcPr>
            <w:tcW w:w="2669" w:type="dxa"/>
            <w:gridSpan w:val="2"/>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2B5D0D76">
            <w:pPr>
              <w:jc w:val="center"/>
            </w:pPr>
            <w:r>
              <w:rPr>
                <w:rFonts w:ascii="宋体" w:hAnsi="宋体" w:eastAsia="宋体"/>
                <w:b w:val="0"/>
                <w:sz w:val="23"/>
                <w:szCs w:val="23"/>
              </w:rPr>
              <w:t>浓度值(mg/m3)</w:t>
            </w:r>
          </w:p>
        </w:tc>
        <w:tc>
          <w:tcPr>
            <w:tcW w:w="1729"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77CC4EDF">
            <w:pPr>
              <w:jc w:val="center"/>
            </w:pPr>
            <w:r>
              <w:rPr>
                <w:rFonts w:ascii="宋体" w:hAnsi="宋体" w:eastAsia="宋体"/>
                <w:b w:val="0"/>
                <w:sz w:val="23"/>
                <w:szCs w:val="23"/>
              </w:rPr>
              <w:t>最远影响距离(m)</w:t>
            </w:r>
          </w:p>
        </w:tc>
        <w:tc>
          <w:tcPr>
            <w:tcW w:w="2933" w:type="dxa"/>
            <w:gridSpan w:val="2"/>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2A9A5304">
            <w:pPr>
              <w:jc w:val="center"/>
            </w:pPr>
            <w:r>
              <w:rPr>
                <w:rFonts w:ascii="宋体" w:hAnsi="宋体" w:eastAsia="宋体"/>
                <w:b w:val="0"/>
                <w:sz w:val="23"/>
                <w:szCs w:val="23"/>
              </w:rPr>
              <w:t>到达时间(min)</w:t>
            </w:r>
          </w:p>
        </w:tc>
      </w:tr>
      <w:tr w14:paraId="6AAA11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1390"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48F6EF61">
            <w:pPr>
              <w:jc w:val="center"/>
            </w:pPr>
            <w:r>
              <w:rPr>
                <w:rFonts w:ascii="宋体" w:hAnsi="宋体" w:eastAsia="宋体"/>
                <w:b w:val="0"/>
                <w:sz w:val="23"/>
                <w:szCs w:val="23"/>
              </w:rPr>
              <w:t>大气毒性终点浓度-1</w:t>
            </w:r>
          </w:p>
        </w:tc>
        <w:tc>
          <w:tcPr>
            <w:tcW w:w="2669" w:type="dxa"/>
            <w:gridSpan w:val="2"/>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424668E1">
            <w:pPr>
              <w:jc w:val="center"/>
            </w:pPr>
            <w:r>
              <w:rPr>
                <w:rFonts w:ascii="宋体" w:hAnsi="宋体" w:eastAsia="宋体"/>
                <w:b w:val="0"/>
                <w:sz w:val="23"/>
                <w:szCs w:val="23"/>
              </w:rPr>
              <w:t>380.000000</w:t>
            </w:r>
          </w:p>
        </w:tc>
        <w:tc>
          <w:tcPr>
            <w:tcW w:w="1729"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40162B0F">
            <w:pPr>
              <w:jc w:val="center"/>
            </w:pPr>
            <w:r>
              <w:rPr>
                <w:rFonts w:ascii="宋体" w:hAnsi="宋体" w:eastAsia="宋体"/>
                <w:b w:val="0"/>
                <w:sz w:val="23"/>
                <w:szCs w:val="23"/>
              </w:rPr>
              <w:t>-</w:t>
            </w:r>
          </w:p>
        </w:tc>
        <w:tc>
          <w:tcPr>
            <w:tcW w:w="2933" w:type="dxa"/>
            <w:gridSpan w:val="2"/>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0B2335F3">
            <w:pPr>
              <w:jc w:val="center"/>
            </w:pPr>
            <w:r>
              <w:rPr>
                <w:rFonts w:ascii="宋体" w:hAnsi="宋体" w:eastAsia="宋体"/>
                <w:b w:val="0"/>
                <w:sz w:val="23"/>
                <w:szCs w:val="23"/>
              </w:rPr>
              <w:t>-</w:t>
            </w:r>
          </w:p>
        </w:tc>
      </w:tr>
      <w:tr w14:paraId="00CFE8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1390"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74532A8B">
            <w:pPr>
              <w:jc w:val="center"/>
            </w:pPr>
            <w:r>
              <w:rPr>
                <w:rFonts w:ascii="宋体" w:hAnsi="宋体" w:eastAsia="宋体"/>
                <w:b w:val="0"/>
                <w:sz w:val="23"/>
                <w:szCs w:val="23"/>
              </w:rPr>
              <w:t>大气毒性终点浓度-2</w:t>
            </w:r>
          </w:p>
        </w:tc>
        <w:tc>
          <w:tcPr>
            <w:tcW w:w="2669" w:type="dxa"/>
            <w:gridSpan w:val="2"/>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67242317">
            <w:pPr>
              <w:jc w:val="center"/>
            </w:pPr>
            <w:r>
              <w:rPr>
                <w:rFonts w:ascii="宋体" w:hAnsi="宋体" w:eastAsia="宋体"/>
                <w:b w:val="0"/>
                <w:sz w:val="23"/>
                <w:szCs w:val="23"/>
              </w:rPr>
              <w:t>95.000000</w:t>
            </w:r>
          </w:p>
        </w:tc>
        <w:tc>
          <w:tcPr>
            <w:tcW w:w="1729"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621BF123">
            <w:pPr>
              <w:jc w:val="center"/>
            </w:pPr>
            <w:r>
              <w:rPr>
                <w:rFonts w:ascii="宋体" w:hAnsi="宋体" w:eastAsia="宋体"/>
                <w:b w:val="0"/>
                <w:sz w:val="23"/>
                <w:szCs w:val="23"/>
              </w:rPr>
              <w:t>-</w:t>
            </w:r>
          </w:p>
        </w:tc>
        <w:tc>
          <w:tcPr>
            <w:tcW w:w="2933" w:type="dxa"/>
            <w:gridSpan w:val="2"/>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75C7029A">
            <w:pPr>
              <w:jc w:val="center"/>
            </w:pPr>
            <w:r>
              <w:rPr>
                <w:rFonts w:ascii="宋体" w:hAnsi="宋体" w:eastAsia="宋体"/>
                <w:b w:val="0"/>
                <w:sz w:val="23"/>
                <w:szCs w:val="23"/>
              </w:rPr>
              <w:t>-</w:t>
            </w:r>
          </w:p>
        </w:tc>
      </w:tr>
      <w:tr w14:paraId="6B2F5D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1390"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33C2BB2B">
            <w:pPr>
              <w:jc w:val="center"/>
            </w:pPr>
            <w:r>
              <w:rPr>
                <w:rFonts w:ascii="宋体" w:hAnsi="宋体" w:eastAsia="宋体"/>
                <w:b w:val="0"/>
                <w:sz w:val="23"/>
                <w:szCs w:val="23"/>
              </w:rPr>
              <w:t>敏感目标名称</w:t>
            </w:r>
          </w:p>
        </w:tc>
        <w:tc>
          <w:tcPr>
            <w:tcW w:w="1391"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094E588D">
            <w:pPr>
              <w:jc w:val="center"/>
            </w:pPr>
            <w:r>
              <w:rPr>
                <w:rFonts w:ascii="宋体" w:hAnsi="宋体" w:eastAsia="宋体"/>
                <w:b w:val="0"/>
                <w:sz w:val="23"/>
                <w:szCs w:val="23"/>
              </w:rPr>
              <w:t>大气毒性终点浓度-1-超标时间(min)</w:t>
            </w:r>
          </w:p>
        </w:tc>
        <w:tc>
          <w:tcPr>
            <w:tcW w:w="1278"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470F8F3E">
            <w:pPr>
              <w:jc w:val="center"/>
            </w:pPr>
            <w:r>
              <w:rPr>
                <w:rFonts w:ascii="宋体" w:hAnsi="宋体" w:eastAsia="宋体"/>
                <w:b w:val="0"/>
                <w:sz w:val="23"/>
                <w:szCs w:val="23"/>
              </w:rPr>
              <w:t>大气毒性终点浓度-1-超标持续时间(min)</w:t>
            </w:r>
          </w:p>
        </w:tc>
        <w:tc>
          <w:tcPr>
            <w:tcW w:w="1729"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7A4E3814">
            <w:pPr>
              <w:jc w:val="center"/>
            </w:pPr>
            <w:r>
              <w:rPr>
                <w:rFonts w:ascii="宋体" w:hAnsi="宋体" w:eastAsia="宋体"/>
                <w:b w:val="0"/>
                <w:sz w:val="23"/>
                <w:szCs w:val="23"/>
              </w:rPr>
              <w:t>大气毒性终点浓度-2-超标时间(min)</w:t>
            </w:r>
          </w:p>
        </w:tc>
        <w:tc>
          <w:tcPr>
            <w:tcW w:w="1278"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3BCCEAAB">
            <w:pPr>
              <w:jc w:val="center"/>
            </w:pPr>
            <w:r>
              <w:rPr>
                <w:rFonts w:ascii="宋体" w:hAnsi="宋体" w:eastAsia="宋体"/>
                <w:b w:val="0"/>
                <w:sz w:val="23"/>
                <w:szCs w:val="23"/>
              </w:rPr>
              <w:t>大气毒性终点浓度-2-超标持续时间(min)</w:t>
            </w:r>
          </w:p>
        </w:tc>
        <w:tc>
          <w:tcPr>
            <w:tcW w:w="1655"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50029799">
            <w:pPr>
              <w:jc w:val="center"/>
            </w:pPr>
            <w:r>
              <w:rPr>
                <w:rFonts w:ascii="宋体" w:hAnsi="宋体" w:eastAsia="宋体"/>
                <w:b w:val="0"/>
                <w:sz w:val="23"/>
                <w:szCs w:val="23"/>
              </w:rPr>
              <w:t>敏感目标-最大浓度(mg/m3)</w:t>
            </w:r>
          </w:p>
        </w:tc>
      </w:tr>
      <w:tr w14:paraId="447C0F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1390"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7F8A6329">
            <w:pPr>
              <w:jc w:val="center"/>
            </w:pPr>
            <w:r>
              <w:rPr>
                <w:rFonts w:ascii="宋体" w:hAnsi="宋体" w:eastAsia="宋体"/>
                <w:b w:val="0"/>
                <w:sz w:val="23"/>
                <w:szCs w:val="23"/>
              </w:rPr>
              <w:t>北居民点</w:t>
            </w:r>
          </w:p>
        </w:tc>
        <w:tc>
          <w:tcPr>
            <w:tcW w:w="1391"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49798277">
            <w:pPr>
              <w:jc w:val="center"/>
            </w:pPr>
            <w:r>
              <w:rPr>
                <w:rFonts w:ascii="宋体" w:hAnsi="宋体" w:eastAsia="宋体"/>
                <w:b w:val="0"/>
                <w:sz w:val="23"/>
                <w:szCs w:val="23"/>
              </w:rPr>
              <w:t>-</w:t>
            </w:r>
          </w:p>
        </w:tc>
        <w:tc>
          <w:tcPr>
            <w:tcW w:w="1278"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42F91783">
            <w:pPr>
              <w:jc w:val="center"/>
            </w:pPr>
            <w:r>
              <w:rPr>
                <w:rFonts w:ascii="宋体" w:hAnsi="宋体" w:eastAsia="宋体"/>
                <w:b w:val="0"/>
                <w:sz w:val="23"/>
                <w:szCs w:val="23"/>
              </w:rPr>
              <w:t>-</w:t>
            </w:r>
          </w:p>
        </w:tc>
        <w:tc>
          <w:tcPr>
            <w:tcW w:w="1729"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0D178712">
            <w:pPr>
              <w:jc w:val="center"/>
            </w:pPr>
            <w:r>
              <w:rPr>
                <w:rFonts w:ascii="宋体" w:hAnsi="宋体" w:eastAsia="宋体"/>
                <w:b w:val="0"/>
                <w:sz w:val="23"/>
                <w:szCs w:val="23"/>
              </w:rPr>
              <w:t>-</w:t>
            </w:r>
          </w:p>
        </w:tc>
        <w:tc>
          <w:tcPr>
            <w:tcW w:w="1278"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63C5B94B">
            <w:pPr>
              <w:jc w:val="center"/>
            </w:pPr>
            <w:r>
              <w:rPr>
                <w:rFonts w:ascii="宋体" w:hAnsi="宋体" w:eastAsia="宋体"/>
                <w:b w:val="0"/>
                <w:sz w:val="23"/>
                <w:szCs w:val="23"/>
              </w:rPr>
              <w:t>-</w:t>
            </w:r>
          </w:p>
        </w:tc>
        <w:tc>
          <w:tcPr>
            <w:tcW w:w="1655"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2D01DBEA">
            <w:pPr>
              <w:jc w:val="center"/>
            </w:pPr>
            <w:r>
              <w:rPr>
                <w:rFonts w:ascii="宋体" w:hAnsi="宋体" w:eastAsia="宋体"/>
                <w:b w:val="0"/>
                <w:sz w:val="23"/>
                <w:szCs w:val="23"/>
              </w:rPr>
              <w:t>0.360083</w:t>
            </w:r>
          </w:p>
        </w:tc>
      </w:tr>
      <w:tr w14:paraId="60A490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1390"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664A34BB">
            <w:pPr>
              <w:jc w:val="center"/>
            </w:pPr>
            <w:r>
              <w:rPr>
                <w:rFonts w:ascii="宋体" w:hAnsi="宋体" w:eastAsia="宋体"/>
                <w:b w:val="0"/>
                <w:sz w:val="23"/>
                <w:szCs w:val="23"/>
              </w:rPr>
              <w:t>西居民点</w:t>
            </w:r>
          </w:p>
        </w:tc>
        <w:tc>
          <w:tcPr>
            <w:tcW w:w="1391"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0785B906">
            <w:pPr>
              <w:jc w:val="center"/>
            </w:pPr>
            <w:r>
              <w:rPr>
                <w:rFonts w:ascii="宋体" w:hAnsi="宋体" w:eastAsia="宋体"/>
                <w:b w:val="0"/>
                <w:sz w:val="23"/>
                <w:szCs w:val="23"/>
              </w:rPr>
              <w:t>-</w:t>
            </w:r>
          </w:p>
        </w:tc>
        <w:tc>
          <w:tcPr>
            <w:tcW w:w="1278"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61955AE6">
            <w:pPr>
              <w:jc w:val="center"/>
            </w:pPr>
            <w:r>
              <w:rPr>
                <w:rFonts w:ascii="宋体" w:hAnsi="宋体" w:eastAsia="宋体"/>
                <w:b w:val="0"/>
                <w:sz w:val="23"/>
                <w:szCs w:val="23"/>
              </w:rPr>
              <w:t>-</w:t>
            </w:r>
          </w:p>
        </w:tc>
        <w:tc>
          <w:tcPr>
            <w:tcW w:w="1729"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3FE93E65">
            <w:pPr>
              <w:jc w:val="center"/>
            </w:pPr>
            <w:r>
              <w:rPr>
                <w:rFonts w:ascii="宋体" w:hAnsi="宋体" w:eastAsia="宋体"/>
                <w:b w:val="0"/>
                <w:sz w:val="23"/>
                <w:szCs w:val="23"/>
              </w:rPr>
              <w:t>-</w:t>
            </w:r>
          </w:p>
        </w:tc>
        <w:tc>
          <w:tcPr>
            <w:tcW w:w="1278"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385591AE">
            <w:pPr>
              <w:jc w:val="center"/>
            </w:pPr>
            <w:r>
              <w:rPr>
                <w:rFonts w:ascii="宋体" w:hAnsi="宋体" w:eastAsia="宋体"/>
                <w:b w:val="0"/>
                <w:sz w:val="23"/>
                <w:szCs w:val="23"/>
              </w:rPr>
              <w:t>-</w:t>
            </w:r>
          </w:p>
        </w:tc>
        <w:tc>
          <w:tcPr>
            <w:tcW w:w="1655"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54E1EF0F">
            <w:pPr>
              <w:jc w:val="center"/>
            </w:pPr>
            <w:r>
              <w:rPr>
                <w:rFonts w:ascii="宋体" w:hAnsi="宋体" w:eastAsia="宋体"/>
                <w:b w:val="0"/>
                <w:sz w:val="23"/>
                <w:szCs w:val="23"/>
              </w:rPr>
              <w:t>0.504049</w:t>
            </w:r>
          </w:p>
        </w:tc>
      </w:tr>
    </w:tbl>
    <w:p w14:paraId="58113274">
      <w:pPr>
        <w:keepNext w:val="0"/>
        <w:keepLines w:val="0"/>
        <w:widowControl/>
        <w:suppressLineNumbers w:val="0"/>
        <w:jc w:val="center"/>
      </w:pPr>
    </w:p>
    <w:p w14:paraId="0CD36BF3">
      <w:pPr>
        <w:keepNext w:val="0"/>
        <w:keepLines w:val="0"/>
        <w:widowControl/>
        <w:suppressLineNumbers w:val="0"/>
        <w:jc w:val="left"/>
        <w:rPr>
          <w:rFonts w:hint="default" w:ascii="Times New Roman" w:hAnsi="Times New Roman" w:cs="Times New Roman"/>
        </w:rPr>
      </w:pPr>
      <w:r>
        <w:rPr>
          <w:rFonts w:hint="default" w:ascii="Times New Roman" w:hAnsi="Times New Roman" w:eastAsia="TimesNewRomanPS-BoldMT" w:cs="Times New Roman"/>
          <w:b/>
          <w:bCs/>
          <w:color w:val="000000"/>
          <w:kern w:val="0"/>
          <w:sz w:val="24"/>
          <w:szCs w:val="24"/>
          <w:lang w:val="en-US" w:eastAsia="zh-CN" w:bidi="ar"/>
        </w:rPr>
        <w:t>6.</w:t>
      </w:r>
      <w:r>
        <w:rPr>
          <w:rFonts w:hint="eastAsia" w:ascii="Times New Roman" w:hAnsi="Times New Roman" w:eastAsia="TimesNewRomanPS-BoldMT" w:cs="Times New Roman"/>
          <w:b/>
          <w:bCs/>
          <w:color w:val="000000"/>
          <w:kern w:val="0"/>
          <w:sz w:val="24"/>
          <w:szCs w:val="24"/>
          <w:lang w:val="en-US" w:eastAsia="zh-CN" w:bidi="ar"/>
        </w:rPr>
        <w:t>2.3</w:t>
      </w:r>
      <w:r>
        <w:rPr>
          <w:rFonts w:hint="default" w:ascii="Times New Roman" w:hAnsi="Times New Roman" w:eastAsia="TimesNewRomanPS-BoldMT" w:cs="Times New Roman"/>
          <w:b/>
          <w:bCs/>
          <w:color w:val="000000"/>
          <w:kern w:val="0"/>
          <w:sz w:val="24"/>
          <w:szCs w:val="24"/>
          <w:lang w:val="en-US" w:eastAsia="zh-CN" w:bidi="ar"/>
        </w:rPr>
        <w:t xml:space="preserve">.2 </w:t>
      </w:r>
      <w:r>
        <w:rPr>
          <w:rFonts w:hint="default" w:ascii="Times New Roman" w:hAnsi="Times New Roman" w:eastAsia="宋体" w:cs="Times New Roman"/>
          <w:b/>
          <w:bCs/>
          <w:color w:val="000000"/>
          <w:kern w:val="0"/>
          <w:sz w:val="24"/>
          <w:szCs w:val="24"/>
          <w:lang w:val="en-US" w:eastAsia="zh-CN" w:bidi="ar"/>
        </w:rPr>
        <w:t xml:space="preserve">有毒有害物质在地表水、地下水中的扩散后果计算 </w:t>
      </w:r>
    </w:p>
    <w:p w14:paraId="0007D305">
      <w:pPr>
        <w:keepNext w:val="0"/>
        <w:keepLines w:val="0"/>
        <w:widowControl/>
        <w:suppressLineNumbers w:val="0"/>
        <w:ind w:firstLine="480" w:firstLineChars="200"/>
        <w:jc w:val="left"/>
      </w:pPr>
      <w:r>
        <w:rPr>
          <w:rFonts w:hint="eastAsia" w:ascii="宋体" w:hAnsi="宋体" w:eastAsia="宋体" w:cs="宋体"/>
          <w:color w:val="000000"/>
          <w:kern w:val="0"/>
          <w:sz w:val="24"/>
          <w:szCs w:val="24"/>
          <w:lang w:val="en-US" w:eastAsia="zh-CN" w:bidi="ar"/>
        </w:rPr>
        <w:t>技改项目发生火灾事故后会产生消防废水，这些废水如果直接进入外环境，会对受纳水体环境产生严重影响。根据《建筑设计防火规范》（</w:t>
      </w:r>
      <w:r>
        <w:rPr>
          <w:rFonts w:hint="default" w:ascii="Times New Roman" w:hAnsi="Times New Roman" w:eastAsia="宋体" w:cs="Times New Roman"/>
          <w:color w:val="000000"/>
          <w:kern w:val="0"/>
          <w:sz w:val="24"/>
          <w:szCs w:val="24"/>
          <w:lang w:val="en-US" w:eastAsia="zh-CN" w:bidi="ar"/>
        </w:rPr>
        <w:t>GB 50016-2014</w:t>
      </w:r>
      <w:r>
        <w:rPr>
          <w:rFonts w:hint="eastAsia" w:ascii="宋体" w:hAnsi="宋体" w:eastAsia="宋体" w:cs="宋体"/>
          <w:color w:val="000000"/>
          <w:kern w:val="0"/>
          <w:sz w:val="24"/>
          <w:szCs w:val="24"/>
          <w:lang w:val="en-US" w:eastAsia="zh-CN" w:bidi="ar"/>
        </w:rPr>
        <w:t>〔</w:t>
      </w:r>
      <w:r>
        <w:rPr>
          <w:rFonts w:hint="default" w:ascii="Times New Roman" w:hAnsi="Times New Roman" w:eastAsia="宋体" w:cs="Times New Roman"/>
          <w:color w:val="000000"/>
          <w:kern w:val="0"/>
          <w:sz w:val="24"/>
          <w:szCs w:val="24"/>
          <w:lang w:val="en-US" w:eastAsia="zh-CN" w:bidi="ar"/>
        </w:rPr>
        <w:t xml:space="preserve">2018 </w:t>
      </w:r>
      <w:r>
        <w:rPr>
          <w:rFonts w:hint="eastAsia" w:ascii="宋体" w:hAnsi="宋体" w:eastAsia="宋体" w:cs="宋体"/>
          <w:color w:val="000000"/>
          <w:kern w:val="0"/>
          <w:sz w:val="24"/>
          <w:szCs w:val="24"/>
          <w:lang w:val="en-US" w:eastAsia="zh-CN" w:bidi="ar"/>
        </w:rPr>
        <w:t xml:space="preserve">年版〕），厂房消防水量为 </w:t>
      </w:r>
      <w:r>
        <w:rPr>
          <w:rFonts w:hint="default" w:ascii="Times New Roman" w:hAnsi="Times New Roman" w:eastAsia="宋体" w:cs="Times New Roman"/>
          <w:color w:val="000000"/>
          <w:kern w:val="0"/>
          <w:sz w:val="24"/>
          <w:szCs w:val="24"/>
          <w:lang w:val="en-US" w:eastAsia="zh-CN" w:bidi="ar"/>
        </w:rPr>
        <w:t>45L/s</w:t>
      </w:r>
      <w:r>
        <w:rPr>
          <w:rFonts w:hint="eastAsia" w:ascii="宋体" w:hAnsi="宋体" w:eastAsia="宋体" w:cs="宋体"/>
          <w:color w:val="000000"/>
          <w:kern w:val="0"/>
          <w:sz w:val="24"/>
          <w:szCs w:val="24"/>
          <w:lang w:val="en-US" w:eastAsia="zh-CN" w:bidi="ar"/>
        </w:rPr>
        <w:t>，火灾延续供水时间按</w:t>
      </w:r>
      <w:r>
        <w:rPr>
          <w:rFonts w:hint="default" w:ascii="Times New Roman" w:hAnsi="Times New Roman" w:eastAsia="宋体" w:cs="Times New Roman"/>
          <w:color w:val="000000"/>
          <w:kern w:val="0"/>
          <w:sz w:val="24"/>
          <w:szCs w:val="24"/>
          <w:lang w:val="en-US" w:eastAsia="zh-CN" w:bidi="ar"/>
        </w:rPr>
        <w:t>3</w:t>
      </w:r>
      <w:r>
        <w:rPr>
          <w:rFonts w:hint="eastAsia" w:ascii="宋体" w:hAnsi="宋体" w:eastAsia="宋体" w:cs="宋体"/>
          <w:color w:val="000000"/>
          <w:kern w:val="0"/>
          <w:sz w:val="24"/>
          <w:szCs w:val="24"/>
          <w:lang w:val="en-US" w:eastAsia="zh-CN" w:bidi="ar"/>
        </w:rPr>
        <w:t>小时计算，事故时消防水量为</w:t>
      </w:r>
      <w:r>
        <w:rPr>
          <w:rFonts w:hint="default" w:ascii="Times New Roman" w:hAnsi="Times New Roman" w:eastAsia="宋体" w:cs="Times New Roman"/>
          <w:color w:val="000000"/>
          <w:kern w:val="0"/>
          <w:sz w:val="24"/>
          <w:szCs w:val="24"/>
          <w:lang w:val="en-US" w:eastAsia="zh-CN" w:bidi="ar"/>
        </w:rPr>
        <w:t>486m</w:t>
      </w:r>
      <w:r>
        <w:rPr>
          <w:rFonts w:hint="eastAsia" w:ascii="Times New Roman" w:hAnsi="Times New Roman" w:cs="Times New Roman"/>
          <w:color w:val="000000"/>
          <w:kern w:val="0"/>
          <w:sz w:val="24"/>
          <w:szCs w:val="24"/>
          <w:vertAlign w:val="superscript"/>
          <w:lang w:val="en-US" w:eastAsia="zh-CN" w:bidi="ar"/>
        </w:rPr>
        <w:t>3</w:t>
      </w:r>
      <w:r>
        <w:rPr>
          <w:rFonts w:hint="eastAsia" w:ascii="宋体" w:hAnsi="宋体" w:eastAsia="宋体" w:cs="宋体"/>
          <w:color w:val="000000"/>
          <w:kern w:val="0"/>
          <w:sz w:val="24"/>
          <w:szCs w:val="24"/>
          <w:lang w:val="en-US" w:eastAsia="zh-CN" w:bidi="ar"/>
        </w:rPr>
        <w:t xml:space="preserve">。 </w:t>
      </w:r>
    </w:p>
    <w:p w14:paraId="3098E744">
      <w:pPr>
        <w:keepNext w:val="0"/>
        <w:keepLines w:val="0"/>
        <w:widowControl/>
        <w:suppressLineNumbers w:val="0"/>
        <w:ind w:firstLine="480" w:firstLineChars="200"/>
        <w:jc w:val="left"/>
      </w:pPr>
      <w:r>
        <w:rPr>
          <w:rFonts w:hint="eastAsia" w:ascii="宋体" w:hAnsi="宋体" w:eastAsia="宋体" w:cs="宋体"/>
          <w:color w:val="000000"/>
          <w:kern w:val="0"/>
          <w:sz w:val="24"/>
          <w:szCs w:val="24"/>
          <w:lang w:val="en-US" w:eastAsia="zh-CN" w:bidi="ar"/>
        </w:rPr>
        <w:t>由于本项目为技改项目，</w:t>
      </w:r>
      <w:r>
        <w:rPr>
          <w:rFonts w:hint="eastAsia" w:cs="宋体"/>
          <w:color w:val="000000"/>
          <w:kern w:val="0"/>
          <w:sz w:val="24"/>
          <w:szCs w:val="24"/>
          <w:lang w:val="en-US" w:eastAsia="zh-CN" w:bidi="ar"/>
        </w:rPr>
        <w:t>玉麒麟</w:t>
      </w:r>
      <w:r>
        <w:rPr>
          <w:rFonts w:hint="eastAsia" w:ascii="宋体" w:hAnsi="宋体" w:eastAsia="宋体" w:cs="宋体"/>
          <w:color w:val="000000"/>
          <w:kern w:val="0"/>
          <w:sz w:val="24"/>
          <w:szCs w:val="24"/>
          <w:highlight w:val="none"/>
          <w:lang w:val="en-US" w:eastAsia="zh-CN" w:bidi="ar"/>
        </w:rPr>
        <w:t>公司已于厂区</w:t>
      </w:r>
      <w:r>
        <w:rPr>
          <w:rFonts w:hint="eastAsia" w:cs="宋体"/>
          <w:color w:val="000000"/>
          <w:kern w:val="0"/>
          <w:sz w:val="24"/>
          <w:szCs w:val="24"/>
          <w:highlight w:val="none"/>
          <w:lang w:val="en-US" w:eastAsia="zh-CN" w:bidi="ar"/>
        </w:rPr>
        <w:t>南</w:t>
      </w:r>
      <w:r>
        <w:rPr>
          <w:rFonts w:hint="eastAsia" w:ascii="宋体" w:hAnsi="宋体" w:eastAsia="宋体" w:cs="宋体"/>
          <w:color w:val="000000"/>
          <w:kern w:val="0"/>
          <w:sz w:val="24"/>
          <w:szCs w:val="24"/>
          <w:highlight w:val="none"/>
          <w:lang w:val="en-US" w:eastAsia="zh-CN" w:bidi="ar"/>
        </w:rPr>
        <w:t>侧</w:t>
      </w:r>
      <w:r>
        <w:rPr>
          <w:rFonts w:hint="eastAsia" w:cs="宋体"/>
          <w:color w:val="000000"/>
          <w:kern w:val="0"/>
          <w:sz w:val="24"/>
          <w:szCs w:val="24"/>
          <w:highlight w:val="none"/>
          <w:lang w:val="en-US" w:eastAsia="zh-CN" w:bidi="ar"/>
        </w:rPr>
        <w:t>、东侧</w:t>
      </w:r>
      <w:r>
        <w:rPr>
          <w:rFonts w:hint="eastAsia" w:ascii="宋体" w:hAnsi="宋体" w:eastAsia="宋体" w:cs="宋体"/>
          <w:color w:val="000000"/>
          <w:kern w:val="0"/>
          <w:sz w:val="24"/>
          <w:szCs w:val="24"/>
          <w:highlight w:val="none"/>
          <w:lang w:val="en-US" w:eastAsia="zh-CN" w:bidi="ar"/>
        </w:rPr>
        <w:t>设置</w:t>
      </w:r>
      <w:r>
        <w:rPr>
          <w:rFonts w:hint="eastAsia" w:ascii="Times New Roman" w:hAnsi="Times New Roman" w:cs="Times New Roman"/>
          <w:color w:val="000000"/>
          <w:kern w:val="0"/>
          <w:sz w:val="24"/>
          <w:szCs w:val="24"/>
          <w:highlight w:val="none"/>
          <w:lang w:val="en-US" w:eastAsia="zh-CN" w:bidi="ar"/>
        </w:rPr>
        <w:t>2240</w:t>
      </w:r>
      <w:r>
        <w:rPr>
          <w:rFonts w:hint="default" w:ascii="Times New Roman" w:hAnsi="Times New Roman" w:eastAsia="宋体" w:cs="Times New Roman"/>
          <w:color w:val="000000"/>
          <w:kern w:val="0"/>
          <w:sz w:val="24"/>
          <w:szCs w:val="24"/>
          <w:highlight w:val="none"/>
          <w:lang w:val="en-US" w:eastAsia="zh-CN" w:bidi="ar"/>
        </w:rPr>
        <w:t>m</w:t>
      </w:r>
      <w:r>
        <w:rPr>
          <w:rFonts w:hint="eastAsia" w:ascii="Times New Roman" w:hAnsi="Times New Roman" w:cs="Times New Roman"/>
          <w:color w:val="000000"/>
          <w:kern w:val="0"/>
          <w:sz w:val="24"/>
          <w:szCs w:val="24"/>
          <w:highlight w:val="none"/>
          <w:vertAlign w:val="superscript"/>
          <w:lang w:val="en-US" w:eastAsia="zh-CN" w:bidi="ar"/>
        </w:rPr>
        <w:t>3</w:t>
      </w:r>
      <w:r>
        <w:rPr>
          <w:rFonts w:hint="default" w:ascii="Times New Roman" w:hAnsi="Times New Roman" w:eastAsia="宋体" w:cs="Times New Roman"/>
          <w:color w:val="000000"/>
          <w:kern w:val="0"/>
          <w:sz w:val="16"/>
          <w:szCs w:val="16"/>
          <w:highlight w:val="none"/>
          <w:lang w:val="en-US" w:eastAsia="zh-CN" w:bidi="ar"/>
        </w:rPr>
        <w:t xml:space="preserve"> </w:t>
      </w:r>
      <w:r>
        <w:rPr>
          <w:rFonts w:hint="eastAsia" w:cs="宋体"/>
          <w:color w:val="000000"/>
          <w:kern w:val="0"/>
          <w:sz w:val="24"/>
          <w:szCs w:val="24"/>
          <w:highlight w:val="none"/>
          <w:lang w:val="en-US" w:eastAsia="zh-CN" w:bidi="ar"/>
        </w:rPr>
        <w:t>循环</w:t>
      </w:r>
      <w:r>
        <w:rPr>
          <w:rFonts w:hint="eastAsia" w:ascii="宋体" w:hAnsi="宋体" w:eastAsia="宋体" w:cs="宋体"/>
          <w:color w:val="000000"/>
          <w:kern w:val="0"/>
          <w:sz w:val="24"/>
          <w:szCs w:val="24"/>
          <w:highlight w:val="none"/>
          <w:lang w:val="en-US" w:eastAsia="zh-CN" w:bidi="ar"/>
        </w:rPr>
        <w:t>水池，可满足</w:t>
      </w:r>
      <w:r>
        <w:rPr>
          <w:rFonts w:hint="eastAsia" w:cs="宋体"/>
          <w:color w:val="000000"/>
          <w:kern w:val="0"/>
          <w:sz w:val="24"/>
          <w:szCs w:val="24"/>
          <w:highlight w:val="none"/>
          <w:lang w:val="en-US" w:eastAsia="zh-CN" w:bidi="ar"/>
        </w:rPr>
        <w:t>消防用水</w:t>
      </w:r>
      <w:r>
        <w:rPr>
          <w:rFonts w:hint="eastAsia" w:ascii="宋体" w:hAnsi="宋体" w:eastAsia="宋体" w:cs="宋体"/>
          <w:color w:val="000000"/>
          <w:kern w:val="0"/>
          <w:sz w:val="24"/>
          <w:szCs w:val="24"/>
          <w:highlight w:val="none"/>
          <w:lang w:val="en-US" w:eastAsia="zh-CN" w:bidi="ar"/>
        </w:rPr>
        <w:t>的需求。若消</w:t>
      </w:r>
      <w:r>
        <w:rPr>
          <w:rFonts w:hint="eastAsia" w:ascii="宋体" w:hAnsi="宋体" w:eastAsia="宋体" w:cs="宋体"/>
          <w:color w:val="000000"/>
          <w:kern w:val="0"/>
          <w:sz w:val="24"/>
          <w:szCs w:val="24"/>
          <w:lang w:val="en-US" w:eastAsia="zh-CN" w:bidi="ar"/>
        </w:rPr>
        <w:t>防尾水在意外情况下排入外环境，会造成鱼类和水生生物的死亡。可在雨水排口</w:t>
      </w:r>
      <w:r>
        <w:rPr>
          <w:rFonts w:hint="eastAsia" w:eastAsia="宋体" w:cs="宋体"/>
          <w:color w:val="000000"/>
          <w:kern w:val="0"/>
          <w:sz w:val="24"/>
          <w:szCs w:val="24"/>
          <w:lang w:val="en-US" w:eastAsia="zh-CN" w:bidi="ar"/>
        </w:rPr>
        <w:t>设封堵</w:t>
      </w:r>
      <w:r>
        <w:rPr>
          <w:rFonts w:hint="eastAsia" w:ascii="宋体" w:hAnsi="宋体" w:eastAsia="宋体" w:cs="宋体"/>
          <w:color w:val="000000"/>
          <w:kern w:val="0"/>
          <w:sz w:val="24"/>
          <w:szCs w:val="24"/>
          <w:lang w:val="en-US" w:eastAsia="zh-CN" w:bidi="ar"/>
        </w:rPr>
        <w:t>，</w:t>
      </w:r>
      <w:r>
        <w:rPr>
          <w:rFonts w:hint="eastAsia" w:cs="宋体"/>
          <w:color w:val="000000"/>
          <w:kern w:val="0"/>
          <w:sz w:val="24"/>
          <w:szCs w:val="24"/>
          <w:lang w:val="en-US" w:eastAsia="zh-CN" w:bidi="ar"/>
        </w:rPr>
        <w:t>厂区范围内利用沙袋围堵</w:t>
      </w:r>
      <w:r>
        <w:rPr>
          <w:rFonts w:hint="eastAsia" w:ascii="宋体" w:hAnsi="宋体" w:eastAsia="宋体" w:cs="宋体"/>
          <w:color w:val="000000"/>
          <w:kern w:val="0"/>
          <w:sz w:val="24"/>
          <w:szCs w:val="24"/>
          <w:lang w:val="en-US" w:eastAsia="zh-CN" w:bidi="ar"/>
        </w:rPr>
        <w:t xml:space="preserve">进而降低对水体的影响。 </w:t>
      </w:r>
    </w:p>
    <w:p w14:paraId="1EF3DC5F">
      <w:pPr>
        <w:pStyle w:val="52"/>
        <w:keepNext w:val="0"/>
        <w:keepLines w:val="0"/>
        <w:widowControl/>
        <w:suppressLineNumbers w:val="0"/>
        <w:spacing w:line="240" w:lineRule="auto"/>
        <w:ind w:left="0" w:firstLine="0"/>
        <w:jc w:val="left"/>
        <w:textAlignment w:val="center"/>
        <w:rPr>
          <w:rFonts w:hint="default" w:ascii="Times New Roman" w:hAnsi="Times New Roman" w:cs="Times New Roman"/>
          <w:b/>
          <w:szCs w:val="28"/>
          <w:lang w:val="en-US" w:eastAsia="zh-CN"/>
        </w:rPr>
      </w:pPr>
      <w:r>
        <w:rPr>
          <w:rFonts w:hint="default" w:ascii="Times New Roman" w:hAnsi="Times New Roman" w:cs="Times New Roman"/>
          <w:b/>
          <w:szCs w:val="28"/>
          <w:lang w:val="en-US" w:eastAsia="zh-CN"/>
        </w:rPr>
        <w:t>6.</w:t>
      </w:r>
      <w:r>
        <w:rPr>
          <w:rFonts w:hint="eastAsia" w:ascii="Times New Roman" w:hAnsi="Times New Roman" w:cs="Times New Roman"/>
          <w:b/>
          <w:szCs w:val="28"/>
          <w:lang w:val="en-US" w:eastAsia="zh-CN"/>
        </w:rPr>
        <w:t>2.4</w:t>
      </w:r>
      <w:r>
        <w:rPr>
          <w:rFonts w:hint="default" w:ascii="Times New Roman" w:hAnsi="Times New Roman" w:cs="Times New Roman"/>
          <w:b/>
          <w:szCs w:val="28"/>
          <w:lang w:val="en-US" w:eastAsia="zh-CN"/>
        </w:rPr>
        <w:t>小结</w:t>
      </w:r>
    </w:p>
    <w:p w14:paraId="170C58D5">
      <w:pPr>
        <w:keepNext w:val="0"/>
        <w:keepLines w:val="0"/>
        <w:widowControl/>
        <w:suppressLineNumbers w:val="0"/>
        <w:ind w:firstLine="480" w:firstLineChars="200"/>
        <w:jc w:val="both"/>
        <w:rPr>
          <w:rFonts w:hint="default"/>
          <w:lang w:val="en-US" w:eastAsia="zh-CN"/>
        </w:rPr>
      </w:pPr>
      <w:r>
        <w:rPr>
          <w:rFonts w:hint="default"/>
          <w:lang w:val="en-US" w:eastAsia="zh-CN"/>
        </w:rPr>
        <w:t>在采取有效的风险防范措施和制定充分可行的应急预案的情况下，本项目的风险是可控的。</w:t>
      </w:r>
    </w:p>
    <w:p w14:paraId="326F064F">
      <w:pPr>
        <w:keepNext/>
        <w:tabs>
          <w:tab w:val="left" w:pos="1503"/>
        </w:tabs>
        <w:spacing w:line="360" w:lineRule="auto"/>
        <w:outlineLvl w:val="1"/>
        <w:rPr>
          <w:rFonts w:ascii="Times New Roman" w:hAnsi="Times New Roman" w:cs="Times New Roman"/>
          <w:b/>
          <w:sz w:val="32"/>
          <w:highlight w:val="none"/>
        </w:rPr>
      </w:pPr>
      <w:bookmarkStart w:id="566" w:name="_Toc466"/>
      <w:r>
        <w:rPr>
          <w:rFonts w:hint="eastAsia" w:ascii="Times New Roman" w:hAnsi="Times New Roman" w:cs="Times New Roman"/>
          <w:b/>
          <w:sz w:val="32"/>
          <w:highlight w:val="none"/>
        </w:rPr>
        <w:t>6</w:t>
      </w:r>
      <w:r>
        <w:rPr>
          <w:rFonts w:ascii="Times New Roman" w:hAnsi="Times New Roman" w:cs="Times New Roman"/>
          <w:b/>
          <w:sz w:val="32"/>
          <w:highlight w:val="none"/>
        </w:rPr>
        <w:t>.3 环境风险防范措施及应急要求</w:t>
      </w:r>
      <w:bookmarkEnd w:id="562"/>
      <w:bookmarkEnd w:id="563"/>
      <w:bookmarkEnd w:id="566"/>
    </w:p>
    <w:p w14:paraId="03755923">
      <w:pPr>
        <w:spacing w:line="500" w:lineRule="exact"/>
        <w:ind w:firstLine="482"/>
        <w:jc w:val="both"/>
        <w:rPr>
          <w:rFonts w:ascii="Times New Roman" w:hAnsi="Times New Roman" w:cs="Times New Roman"/>
          <w:highlight w:val="none"/>
        </w:rPr>
      </w:pPr>
      <w:r>
        <w:rPr>
          <w:rFonts w:ascii="Times New Roman" w:hAnsi="Times New Roman" w:cs="Times New Roman"/>
          <w:highlight w:val="none"/>
        </w:rPr>
        <w:t>依据环境保护部文件环发[2012]77号《关于进一步加强环境影响评价管理防范环境风险的通知》中相关要求，针对本项目的特点，为保证生产安全，减少事故的发生，尽可能消除事故隐患，并降低事故发生对环境的影响。建设单位应制定环境风险防范措施和事故应急处理。</w:t>
      </w:r>
    </w:p>
    <w:p w14:paraId="6A1E785B">
      <w:pPr>
        <w:keepNext/>
        <w:tabs>
          <w:tab w:val="left" w:pos="658"/>
        </w:tabs>
        <w:spacing w:line="360" w:lineRule="auto"/>
        <w:outlineLvl w:val="2"/>
        <w:rPr>
          <w:rFonts w:ascii="Times New Roman" w:hAnsi="Times New Roman" w:cs="Times New Roman"/>
          <w:b/>
          <w:szCs w:val="28"/>
          <w:highlight w:val="none"/>
        </w:rPr>
      </w:pPr>
      <w:bookmarkStart w:id="567" w:name="_Toc90026325"/>
      <w:bookmarkStart w:id="568" w:name="_Toc12258"/>
      <w:r>
        <w:rPr>
          <w:rFonts w:hint="eastAsia" w:ascii="Times New Roman" w:hAnsi="Times New Roman" w:cs="Times New Roman"/>
          <w:b/>
          <w:szCs w:val="28"/>
          <w:highlight w:val="none"/>
        </w:rPr>
        <w:t>6</w:t>
      </w:r>
      <w:r>
        <w:rPr>
          <w:rFonts w:ascii="Times New Roman" w:hAnsi="Times New Roman" w:cs="Times New Roman"/>
          <w:b/>
          <w:szCs w:val="28"/>
          <w:highlight w:val="none"/>
        </w:rPr>
        <w:t>.3.1 风险管理措施</w:t>
      </w:r>
      <w:bookmarkEnd w:id="567"/>
      <w:bookmarkEnd w:id="568"/>
    </w:p>
    <w:p w14:paraId="26E9BAC3">
      <w:pPr>
        <w:adjustRightInd w:val="0"/>
        <w:spacing w:line="500" w:lineRule="exact"/>
        <w:ind w:firstLine="480" w:firstLineChars="200"/>
        <w:jc w:val="both"/>
        <w:rPr>
          <w:rFonts w:ascii="Times New Roman" w:hAnsi="Times New Roman" w:cs="Times New Roman"/>
          <w:highlight w:val="none"/>
        </w:rPr>
      </w:pPr>
      <w:r>
        <w:rPr>
          <w:rFonts w:ascii="Times New Roman" w:hAnsi="Times New Roman" w:cs="Times New Roman"/>
          <w:highlight w:val="none"/>
        </w:rPr>
        <w:t>本工程风险管理包括：</w:t>
      </w:r>
    </w:p>
    <w:p w14:paraId="5B5011CD">
      <w:pPr>
        <w:adjustRightInd w:val="0"/>
        <w:spacing w:line="500" w:lineRule="exact"/>
        <w:ind w:firstLine="480" w:firstLineChars="200"/>
        <w:jc w:val="both"/>
        <w:rPr>
          <w:rFonts w:ascii="Times New Roman" w:hAnsi="Times New Roman" w:cs="Times New Roman"/>
          <w:highlight w:val="none"/>
        </w:rPr>
      </w:pPr>
      <w:r>
        <w:rPr>
          <w:rFonts w:hint="eastAsia" w:ascii="Times New Roman" w:hAnsi="Times New Roman" w:cs="Times New Roman"/>
          <w:highlight w:val="none"/>
        </w:rPr>
        <w:t>（</w:t>
      </w:r>
      <w:r>
        <w:rPr>
          <w:rFonts w:ascii="Times New Roman" w:hAnsi="Times New Roman" w:cs="Times New Roman"/>
          <w:highlight w:val="none"/>
        </w:rPr>
        <w:t>1）建立健全环境/安全管理制度，并严格予以执行。</w:t>
      </w:r>
    </w:p>
    <w:p w14:paraId="30325FEF">
      <w:pPr>
        <w:adjustRightInd w:val="0"/>
        <w:spacing w:line="500" w:lineRule="exact"/>
        <w:ind w:firstLine="480" w:firstLineChars="200"/>
        <w:jc w:val="both"/>
        <w:rPr>
          <w:rFonts w:ascii="Times New Roman" w:hAnsi="Times New Roman" w:cs="Times New Roman"/>
          <w:highlight w:val="none"/>
        </w:rPr>
      </w:pPr>
      <w:r>
        <w:rPr>
          <w:rFonts w:hint="eastAsia" w:ascii="Times New Roman" w:hAnsi="Times New Roman" w:cs="Times New Roman"/>
          <w:highlight w:val="none"/>
        </w:rPr>
        <w:t>（</w:t>
      </w:r>
      <w:r>
        <w:rPr>
          <w:rFonts w:ascii="Times New Roman" w:hAnsi="Times New Roman" w:cs="Times New Roman"/>
          <w:highlight w:val="none"/>
        </w:rPr>
        <w:t>2）定期检查</w:t>
      </w:r>
      <w:r>
        <w:rPr>
          <w:rFonts w:hint="eastAsia" w:ascii="Times New Roman" w:hAnsi="Times New Roman" w:cs="Times New Roman"/>
          <w:highlight w:val="none"/>
          <w:lang w:val="en-US" w:eastAsia="zh-CN"/>
        </w:rPr>
        <w:t>高炉煤气</w:t>
      </w:r>
      <w:r>
        <w:rPr>
          <w:rFonts w:ascii="Times New Roman" w:hAnsi="Times New Roman" w:cs="Times New Roman"/>
          <w:highlight w:val="none"/>
        </w:rPr>
        <w:t>输送管道等的安全性。</w:t>
      </w:r>
    </w:p>
    <w:p w14:paraId="00CDD80C">
      <w:pPr>
        <w:adjustRightInd w:val="0"/>
        <w:spacing w:line="500" w:lineRule="exact"/>
        <w:ind w:firstLine="480" w:firstLineChars="200"/>
        <w:jc w:val="both"/>
        <w:rPr>
          <w:rFonts w:hint="eastAsia" w:ascii="Times New Roman" w:hAnsi="Times New Roman" w:cs="Times New Roman"/>
          <w:highlight w:val="none"/>
        </w:rPr>
      </w:pPr>
      <w:r>
        <w:rPr>
          <w:rFonts w:hint="eastAsia" w:ascii="Times New Roman" w:hAnsi="Times New Roman" w:cs="Times New Roman"/>
          <w:highlight w:val="none"/>
        </w:rPr>
        <w:t>（</w:t>
      </w:r>
      <w:r>
        <w:rPr>
          <w:rFonts w:ascii="Times New Roman" w:hAnsi="Times New Roman" w:cs="Times New Roman"/>
          <w:highlight w:val="none"/>
        </w:rPr>
        <w:t>3）建立应急预案，并与当地的应急预案衔接，一旦出现事故可借助社会救援，把损失和对环境的污染降到最低。</w:t>
      </w:r>
    </w:p>
    <w:p w14:paraId="7F38E067">
      <w:pPr>
        <w:keepNext/>
        <w:tabs>
          <w:tab w:val="left" w:pos="658"/>
        </w:tabs>
        <w:spacing w:line="360" w:lineRule="auto"/>
        <w:outlineLvl w:val="2"/>
        <w:rPr>
          <w:rFonts w:ascii="Times New Roman" w:hAnsi="Times New Roman" w:cs="Times New Roman"/>
          <w:b/>
          <w:szCs w:val="28"/>
          <w:highlight w:val="none"/>
        </w:rPr>
      </w:pPr>
      <w:bookmarkStart w:id="569" w:name="_Toc90026326"/>
      <w:bookmarkStart w:id="570" w:name="_Toc32277"/>
      <w:r>
        <w:rPr>
          <w:rFonts w:hint="eastAsia" w:ascii="Times New Roman" w:hAnsi="Times New Roman" w:cs="Times New Roman"/>
          <w:b/>
          <w:szCs w:val="28"/>
          <w:highlight w:val="none"/>
        </w:rPr>
        <w:t>6</w:t>
      </w:r>
      <w:r>
        <w:rPr>
          <w:rFonts w:ascii="Times New Roman" w:hAnsi="Times New Roman" w:cs="Times New Roman"/>
          <w:b/>
          <w:szCs w:val="28"/>
          <w:highlight w:val="none"/>
        </w:rPr>
        <w:t>.3.2 安全管理与监督</w:t>
      </w:r>
      <w:bookmarkEnd w:id="569"/>
      <w:bookmarkEnd w:id="570"/>
    </w:p>
    <w:p w14:paraId="14444752">
      <w:pPr>
        <w:adjustRightInd w:val="0"/>
        <w:spacing w:line="500" w:lineRule="exact"/>
        <w:ind w:firstLine="482" w:firstLineChars="200"/>
        <w:rPr>
          <w:rFonts w:ascii="Times New Roman" w:hAnsi="Times New Roman" w:cs="Times New Roman"/>
          <w:b/>
          <w:highlight w:val="none"/>
        </w:rPr>
      </w:pPr>
      <w:r>
        <w:rPr>
          <w:rFonts w:ascii="Times New Roman" w:hAnsi="Times New Roman" w:cs="Times New Roman"/>
          <w:b/>
          <w:highlight w:val="none"/>
        </w:rPr>
        <w:t>（1）安全生产管理机构</w:t>
      </w:r>
    </w:p>
    <w:p w14:paraId="2268FAE7">
      <w:pPr>
        <w:adjustRightInd w:val="0"/>
        <w:spacing w:line="500" w:lineRule="exact"/>
        <w:ind w:firstLine="480" w:firstLineChars="200"/>
        <w:jc w:val="both"/>
        <w:rPr>
          <w:rFonts w:ascii="Times New Roman" w:hAnsi="Times New Roman" w:cs="Times New Roman"/>
          <w:highlight w:val="none"/>
        </w:rPr>
      </w:pPr>
      <w:r>
        <w:rPr>
          <w:rFonts w:ascii="Times New Roman" w:hAnsi="Times New Roman" w:cs="Times New Roman"/>
          <w:highlight w:val="none"/>
        </w:rPr>
        <w:t>设置安全生产管理机构，配备安全生产人员，企业主要负责人和职业卫生管理人员，必须经过安全培训取得安全资格证书。</w:t>
      </w:r>
    </w:p>
    <w:p w14:paraId="45D2ACA5">
      <w:pPr>
        <w:adjustRightInd w:val="0"/>
        <w:spacing w:line="500" w:lineRule="exact"/>
        <w:ind w:firstLine="482" w:firstLineChars="200"/>
        <w:rPr>
          <w:rFonts w:ascii="Times New Roman" w:hAnsi="Times New Roman" w:cs="Times New Roman"/>
          <w:b/>
          <w:highlight w:val="none"/>
        </w:rPr>
      </w:pPr>
      <w:r>
        <w:rPr>
          <w:rFonts w:ascii="Times New Roman" w:hAnsi="Times New Roman" w:cs="Times New Roman"/>
          <w:b/>
          <w:highlight w:val="none"/>
        </w:rPr>
        <w:t>（2）企业安全生产管理</w:t>
      </w:r>
    </w:p>
    <w:p w14:paraId="58CD120C">
      <w:pPr>
        <w:spacing w:line="500" w:lineRule="exact"/>
        <w:ind w:firstLine="482"/>
        <w:jc w:val="both"/>
        <w:rPr>
          <w:rFonts w:ascii="Times New Roman" w:hAnsi="Times New Roman" w:cs="Times New Roman"/>
          <w:highlight w:val="none"/>
        </w:rPr>
      </w:pPr>
      <w:r>
        <w:rPr>
          <w:rFonts w:ascii="Times New Roman" w:hAnsi="Times New Roman" w:cs="Times New Roman"/>
          <w:highlight w:val="none"/>
        </w:rPr>
        <w:t>企业应当对本单位存在的各类危险源进行辨识，实行分级管理。</w:t>
      </w:r>
    </w:p>
    <w:p w14:paraId="7F6181E6">
      <w:pPr>
        <w:adjustRightInd w:val="0"/>
        <w:spacing w:line="500" w:lineRule="exact"/>
        <w:ind w:firstLine="480" w:firstLineChars="200"/>
        <w:jc w:val="both"/>
        <w:rPr>
          <w:rFonts w:ascii="Times New Roman" w:hAnsi="Times New Roman" w:cs="Times New Roman"/>
          <w:highlight w:val="none"/>
        </w:rPr>
      </w:pPr>
      <w:r>
        <w:rPr>
          <w:rFonts w:ascii="Times New Roman" w:hAnsi="Times New Roman" w:cs="Times New Roman"/>
          <w:highlight w:val="none"/>
        </w:rPr>
        <w:t>企业结合厂里实际情况，建立隐患排查治理制度，开展安全检查；对检查中发现的事故隐患，及时整改；暂时不能整改完毕的，应当制定具体整改计划，并采取可靠的安全保障措施。</w:t>
      </w:r>
    </w:p>
    <w:p w14:paraId="691AF441">
      <w:pPr>
        <w:adjustRightInd w:val="0"/>
        <w:spacing w:line="500" w:lineRule="exact"/>
        <w:ind w:firstLine="482" w:firstLineChars="200"/>
        <w:rPr>
          <w:rFonts w:ascii="Times New Roman" w:hAnsi="Times New Roman" w:cs="Times New Roman"/>
          <w:b/>
          <w:highlight w:val="none"/>
        </w:rPr>
      </w:pPr>
      <w:r>
        <w:rPr>
          <w:rFonts w:ascii="Times New Roman" w:hAnsi="Times New Roman" w:cs="Times New Roman"/>
          <w:b/>
          <w:highlight w:val="none"/>
        </w:rPr>
        <w:t>（3）职业卫生监督检查设施</w:t>
      </w:r>
    </w:p>
    <w:p w14:paraId="765FBD86">
      <w:pPr>
        <w:adjustRightInd w:val="0"/>
        <w:spacing w:line="500" w:lineRule="exact"/>
        <w:ind w:firstLine="480" w:firstLineChars="200"/>
        <w:jc w:val="both"/>
        <w:rPr>
          <w:rFonts w:ascii="Times New Roman" w:hAnsi="Times New Roman" w:cs="Times New Roman"/>
          <w:highlight w:val="none"/>
        </w:rPr>
      </w:pPr>
      <w:r>
        <w:rPr>
          <w:rFonts w:ascii="Times New Roman" w:hAnsi="Times New Roman" w:cs="Times New Roman"/>
          <w:highlight w:val="none"/>
        </w:rPr>
        <w:t>按照国家有关规定，加强职业危害的防治与职业健康监护工作，采取有效措施控制职业危害，保证作业场所的职业卫生条件符合法律、行政法规和国家标准或者行业标准的规定。在强化监管力度的同时，加大职业危害的防范的投入，及时整治改善职业危害超标场所，改善劳动条件，特别要加强对粉尘等职业危害较严重项目检测设施的投入。</w:t>
      </w:r>
    </w:p>
    <w:p w14:paraId="6F2B9CDF">
      <w:pPr>
        <w:keepNext/>
        <w:tabs>
          <w:tab w:val="left" w:pos="658"/>
        </w:tabs>
        <w:spacing w:line="360" w:lineRule="auto"/>
        <w:outlineLvl w:val="2"/>
        <w:rPr>
          <w:rFonts w:ascii="Times New Roman" w:hAnsi="Times New Roman" w:cs="Times New Roman"/>
          <w:b/>
          <w:szCs w:val="28"/>
          <w:highlight w:val="none"/>
        </w:rPr>
      </w:pPr>
      <w:bookmarkStart w:id="571" w:name="_Toc90026327"/>
      <w:bookmarkStart w:id="572" w:name="_Toc14726"/>
      <w:r>
        <w:rPr>
          <w:rFonts w:hint="eastAsia" w:ascii="Times New Roman" w:hAnsi="Times New Roman" w:cs="Times New Roman"/>
          <w:b/>
          <w:szCs w:val="28"/>
          <w:highlight w:val="none"/>
        </w:rPr>
        <w:t>6</w:t>
      </w:r>
      <w:r>
        <w:rPr>
          <w:rFonts w:ascii="Times New Roman" w:hAnsi="Times New Roman" w:cs="Times New Roman"/>
          <w:b/>
          <w:szCs w:val="28"/>
          <w:highlight w:val="none"/>
        </w:rPr>
        <w:t>.3.3 环境风险防范措施</w:t>
      </w:r>
      <w:bookmarkEnd w:id="571"/>
      <w:bookmarkEnd w:id="572"/>
    </w:p>
    <w:p w14:paraId="0C749AC2">
      <w:pPr>
        <w:spacing w:line="500" w:lineRule="exact"/>
        <w:ind w:firstLine="482"/>
        <w:jc w:val="both"/>
        <w:rPr>
          <w:rFonts w:ascii="Times New Roman" w:hAnsi="Times New Roman" w:cs="Times New Roman"/>
          <w:b/>
          <w:highlight w:val="none"/>
        </w:rPr>
      </w:pPr>
      <w:r>
        <w:rPr>
          <w:rFonts w:hint="eastAsia" w:ascii="Times New Roman" w:hAnsi="Times New Roman" w:cs="Times New Roman"/>
          <w:b/>
          <w:highlight w:val="none"/>
        </w:rPr>
        <w:t>（</w:t>
      </w:r>
      <w:r>
        <w:rPr>
          <w:rFonts w:ascii="Times New Roman" w:hAnsi="Times New Roman" w:cs="Times New Roman"/>
          <w:b/>
          <w:highlight w:val="none"/>
        </w:rPr>
        <w:t>1）工艺设计安全防范措施</w:t>
      </w:r>
    </w:p>
    <w:p w14:paraId="3F36C4D5">
      <w:pPr>
        <w:spacing w:line="500" w:lineRule="exact"/>
        <w:ind w:firstLine="482"/>
        <w:jc w:val="both"/>
        <w:rPr>
          <w:rFonts w:ascii="Times New Roman" w:hAnsi="Times New Roman" w:cs="Times New Roman"/>
          <w:highlight w:val="none"/>
        </w:rPr>
      </w:pPr>
      <w:r>
        <w:rPr>
          <w:rFonts w:hint="eastAsia" w:ascii="Times New Roman" w:hAnsi="Times New Roman" w:cs="Times New Roman"/>
          <w:highlight w:val="none"/>
        </w:rPr>
        <w:t xml:space="preserve">① </w:t>
      </w:r>
      <w:r>
        <w:rPr>
          <w:rFonts w:ascii="Times New Roman" w:hAnsi="Times New Roman" w:cs="Times New Roman"/>
          <w:highlight w:val="none"/>
        </w:rPr>
        <w:t>各阀门、管道等系统</w:t>
      </w:r>
      <w:r>
        <w:rPr>
          <w:rFonts w:hint="eastAsia" w:ascii="Times New Roman" w:hAnsi="Times New Roman" w:cs="Times New Roman"/>
          <w:highlight w:val="none"/>
        </w:rPr>
        <w:t>选择符合规定要求的生产厂家，</w:t>
      </w:r>
      <w:r>
        <w:rPr>
          <w:rFonts w:ascii="Times New Roman" w:hAnsi="Times New Roman" w:cs="Times New Roman"/>
          <w:highlight w:val="none"/>
        </w:rPr>
        <w:t>确保设备</w:t>
      </w:r>
      <w:r>
        <w:rPr>
          <w:rFonts w:hint="eastAsia" w:ascii="Times New Roman" w:hAnsi="Times New Roman" w:cs="Times New Roman"/>
          <w:highlight w:val="none"/>
        </w:rPr>
        <w:t>质量</w:t>
      </w:r>
      <w:r>
        <w:rPr>
          <w:rFonts w:ascii="Times New Roman" w:hAnsi="Times New Roman" w:cs="Times New Roman"/>
          <w:highlight w:val="none"/>
        </w:rPr>
        <w:t>。</w:t>
      </w:r>
    </w:p>
    <w:p w14:paraId="1F4E0E69">
      <w:pPr>
        <w:spacing w:line="500" w:lineRule="exact"/>
        <w:ind w:firstLine="482"/>
        <w:jc w:val="both"/>
        <w:rPr>
          <w:rFonts w:ascii="Times New Roman" w:hAnsi="Times New Roman" w:cs="Times New Roman"/>
          <w:highlight w:val="none"/>
        </w:rPr>
      </w:pPr>
      <w:r>
        <w:rPr>
          <w:rFonts w:hint="eastAsia" w:ascii="Times New Roman" w:hAnsi="Times New Roman" w:cs="Times New Roman"/>
          <w:highlight w:val="none"/>
        </w:rPr>
        <w:t xml:space="preserve">② </w:t>
      </w:r>
      <w:r>
        <w:rPr>
          <w:rFonts w:hint="eastAsia" w:ascii="Times New Roman" w:hAnsi="Times New Roman" w:cs="Times New Roman"/>
          <w:highlight w:val="none"/>
          <w:lang w:val="en-US" w:eastAsia="zh-CN"/>
        </w:rPr>
        <w:t>煤气</w:t>
      </w:r>
      <w:r>
        <w:rPr>
          <w:rFonts w:hint="eastAsia" w:ascii="Times New Roman" w:hAnsi="Times New Roman" w:cs="Times New Roman"/>
          <w:highlight w:val="none"/>
        </w:rPr>
        <w:t>管道设切断阀，</w:t>
      </w:r>
      <w:r>
        <w:rPr>
          <w:rFonts w:ascii="Times New Roman" w:hAnsi="Times New Roman" w:cs="Times New Roman"/>
          <w:highlight w:val="none"/>
        </w:rPr>
        <w:t>压力低于规定值时，切断</w:t>
      </w:r>
      <w:r>
        <w:rPr>
          <w:rFonts w:hint="eastAsia" w:ascii="Times New Roman" w:hAnsi="Times New Roman" w:cs="Times New Roman"/>
          <w:highlight w:val="none"/>
          <w:lang w:val="en-US" w:eastAsia="zh-CN"/>
        </w:rPr>
        <w:t>煤气</w:t>
      </w:r>
      <w:r>
        <w:rPr>
          <w:rFonts w:ascii="Times New Roman" w:hAnsi="Times New Roman" w:cs="Times New Roman"/>
          <w:highlight w:val="none"/>
        </w:rPr>
        <w:t>。</w:t>
      </w:r>
    </w:p>
    <w:p w14:paraId="1D01A4FB">
      <w:pPr>
        <w:spacing w:line="500" w:lineRule="exact"/>
        <w:ind w:firstLine="482"/>
        <w:jc w:val="both"/>
        <w:rPr>
          <w:rFonts w:ascii="Times New Roman" w:hAnsi="Times New Roman" w:cs="Times New Roman"/>
          <w:highlight w:val="none"/>
        </w:rPr>
      </w:pPr>
      <w:r>
        <w:rPr>
          <w:rFonts w:hint="eastAsia" w:ascii="Times New Roman" w:hAnsi="Times New Roman" w:cs="Times New Roman"/>
          <w:highlight w:val="none"/>
        </w:rPr>
        <w:t>③ 贮存设施应加强防震抗震措施等。</w:t>
      </w:r>
    </w:p>
    <w:p w14:paraId="2FFA2A30">
      <w:pPr>
        <w:spacing w:line="500" w:lineRule="exact"/>
        <w:ind w:firstLine="482"/>
        <w:jc w:val="both"/>
        <w:rPr>
          <w:rFonts w:hint="eastAsia" w:ascii="Times New Roman" w:hAnsi="Times New Roman" w:cs="Times New Roman"/>
          <w:highlight w:val="none"/>
        </w:rPr>
      </w:pPr>
      <w:r>
        <w:rPr>
          <w:rFonts w:hint="eastAsia" w:ascii="Times New Roman" w:hAnsi="Times New Roman" w:cs="Times New Roman"/>
          <w:highlight w:val="none"/>
          <w:lang w:val="en-US" w:eastAsia="zh-CN"/>
        </w:rPr>
        <w:t>④煤气</w:t>
      </w:r>
      <w:r>
        <w:rPr>
          <w:rFonts w:hint="eastAsia" w:ascii="Times New Roman" w:hAnsi="Times New Roman" w:cs="Times New Roman"/>
          <w:highlight w:val="none"/>
        </w:rPr>
        <w:t>管道的连接应采用焊接。管道与阀门或设备的连接应采用法兰，在与管道直径小于</w:t>
      </w:r>
      <w:r>
        <w:rPr>
          <w:rFonts w:ascii="Times New Roman" w:hAnsi="Times New Roman" w:cs="Times New Roman"/>
          <w:highlight w:val="none"/>
        </w:rPr>
        <w:t>50mm的附件连接处可采用螺纹连接。</w:t>
      </w:r>
    </w:p>
    <w:p w14:paraId="07788377">
      <w:pPr>
        <w:spacing w:line="500" w:lineRule="exact"/>
        <w:ind w:firstLine="482"/>
        <w:jc w:val="both"/>
        <w:rPr>
          <w:rFonts w:ascii="Times New Roman" w:hAnsi="Times New Roman" w:cs="Times New Roman"/>
          <w:b/>
          <w:highlight w:val="none"/>
        </w:rPr>
      </w:pPr>
      <w:r>
        <w:rPr>
          <w:rFonts w:hint="eastAsia" w:ascii="Times New Roman" w:hAnsi="Times New Roman" w:cs="Times New Roman"/>
          <w:b/>
          <w:highlight w:val="none"/>
        </w:rPr>
        <w:t>（</w:t>
      </w:r>
      <w:r>
        <w:rPr>
          <w:rFonts w:ascii="Times New Roman" w:hAnsi="Times New Roman" w:cs="Times New Roman"/>
          <w:b/>
          <w:highlight w:val="none"/>
        </w:rPr>
        <w:t>2）</w:t>
      </w:r>
      <w:r>
        <w:rPr>
          <w:rFonts w:hint="eastAsia" w:ascii="Times New Roman" w:hAnsi="Times New Roman" w:cs="Times New Roman"/>
          <w:b/>
          <w:highlight w:val="none"/>
        </w:rPr>
        <w:t>操作过程</w:t>
      </w:r>
      <w:r>
        <w:rPr>
          <w:rFonts w:ascii="Times New Roman" w:hAnsi="Times New Roman" w:cs="Times New Roman"/>
          <w:b/>
          <w:highlight w:val="none"/>
        </w:rPr>
        <w:t>安全防范措施</w:t>
      </w:r>
    </w:p>
    <w:p w14:paraId="19974C8C">
      <w:pPr>
        <w:spacing w:line="500" w:lineRule="exact"/>
        <w:ind w:firstLine="482"/>
        <w:jc w:val="both"/>
        <w:rPr>
          <w:rFonts w:hint="eastAsia" w:ascii="Times New Roman" w:hAnsi="Times New Roman" w:cs="Times New Roman"/>
          <w:highlight w:val="none"/>
        </w:rPr>
      </w:pPr>
      <w:r>
        <w:rPr>
          <w:rFonts w:hint="eastAsia" w:ascii="Times New Roman" w:hAnsi="Times New Roman" w:cs="Times New Roman"/>
          <w:highlight w:val="none"/>
        </w:rPr>
        <w:t>本项目生产过程必须制定严格生产规程，由总经理纵览生产安全职责，车间主任具体负责，实行责任到人制度。员工岗前进行安全生产培训，并进行技术操作考核，考核合格后方能上岗操作；车间生产过程员工不得擅自离岗；假期或休息日须有一定数量员工值班，在采取严格的生产操作管理后，可将人为因素导致的事故风险降到最小。</w:t>
      </w:r>
    </w:p>
    <w:p w14:paraId="7A4BEA62">
      <w:pPr>
        <w:spacing w:line="500" w:lineRule="exact"/>
        <w:ind w:firstLine="482"/>
        <w:jc w:val="both"/>
        <w:rPr>
          <w:rFonts w:hint="eastAsia" w:ascii="Times New Roman" w:hAnsi="Times New Roman" w:cs="Times New Roman"/>
          <w:highlight w:val="none"/>
        </w:rPr>
      </w:pPr>
      <w:r>
        <w:rPr>
          <w:rFonts w:hint="eastAsia" w:ascii="Times New Roman" w:hAnsi="Times New Roman" w:cs="Times New Roman"/>
          <w:highlight w:val="none"/>
        </w:rPr>
        <w:t>定期检查各阀门、管道等系统，要注意关闭严密，保证其灵敏可靠，防止发生泄漏事故。如发现有火灾危险，应立即停炉，关闭通往中间输送管道上的阀门，以防管内</w:t>
      </w:r>
      <w:r>
        <w:rPr>
          <w:rFonts w:hint="eastAsia" w:ascii="Times New Roman" w:hAnsi="Times New Roman" w:cs="Times New Roman"/>
          <w:highlight w:val="none"/>
          <w:lang w:val="en-US" w:eastAsia="zh-CN"/>
        </w:rPr>
        <w:t>煤气</w:t>
      </w:r>
      <w:r>
        <w:rPr>
          <w:rFonts w:hint="eastAsia" w:ascii="Times New Roman" w:hAnsi="Times New Roman" w:cs="Times New Roman"/>
          <w:highlight w:val="none"/>
        </w:rPr>
        <w:t>倒流。生产车间内还应设置可燃气体浓度检测报警器。</w:t>
      </w:r>
    </w:p>
    <w:p w14:paraId="4B23B50B">
      <w:pPr>
        <w:spacing w:line="500" w:lineRule="exact"/>
        <w:ind w:firstLine="482"/>
        <w:jc w:val="both"/>
        <w:rPr>
          <w:rFonts w:ascii="Times New Roman" w:hAnsi="Times New Roman" w:cs="Times New Roman"/>
          <w:b/>
          <w:highlight w:val="none"/>
        </w:rPr>
      </w:pPr>
      <w:r>
        <w:rPr>
          <w:rFonts w:hint="eastAsia" w:ascii="Times New Roman" w:hAnsi="Times New Roman" w:cs="Times New Roman"/>
          <w:b/>
          <w:highlight w:val="none"/>
        </w:rPr>
        <w:t>（</w:t>
      </w:r>
      <w:r>
        <w:rPr>
          <w:rFonts w:ascii="Times New Roman" w:hAnsi="Times New Roman" w:cs="Times New Roman"/>
          <w:b/>
          <w:highlight w:val="none"/>
        </w:rPr>
        <w:t>3）</w:t>
      </w:r>
      <w:r>
        <w:rPr>
          <w:rFonts w:hint="eastAsia" w:ascii="Times New Roman" w:hAnsi="Times New Roman" w:cs="Times New Roman"/>
          <w:b/>
          <w:highlight w:val="none"/>
        </w:rPr>
        <w:t>消防及火灾报警</w:t>
      </w:r>
    </w:p>
    <w:p w14:paraId="3FFC5158">
      <w:pPr>
        <w:spacing w:line="500" w:lineRule="exact"/>
        <w:ind w:firstLine="482"/>
        <w:jc w:val="both"/>
        <w:rPr>
          <w:rFonts w:hint="eastAsia" w:ascii="Times New Roman" w:hAnsi="Times New Roman" w:cs="Times New Roman"/>
          <w:highlight w:val="none"/>
        </w:rPr>
      </w:pPr>
      <w:r>
        <w:rPr>
          <w:rFonts w:hint="eastAsia" w:cs="Times New Roman"/>
          <w:highlight w:val="none"/>
        </w:rPr>
        <w:t>①</w:t>
      </w:r>
      <w:r>
        <w:rPr>
          <w:rFonts w:hint="eastAsia" w:ascii="Times New Roman" w:hAnsi="Times New Roman" w:cs="Times New Roman"/>
          <w:highlight w:val="none"/>
        </w:rPr>
        <w:t xml:space="preserve"> </w:t>
      </w:r>
      <w:r>
        <w:rPr>
          <w:rFonts w:ascii="Times New Roman" w:hAnsi="Times New Roman" w:cs="Times New Roman"/>
          <w:highlight w:val="none"/>
        </w:rPr>
        <w:t>生产车间内应设置可燃气体浓度检测报警器和良好的通风设施。</w:t>
      </w:r>
    </w:p>
    <w:p w14:paraId="3C15E3A6">
      <w:pPr>
        <w:spacing w:line="500" w:lineRule="exact"/>
        <w:ind w:firstLine="482"/>
        <w:jc w:val="both"/>
        <w:rPr>
          <w:rFonts w:hint="eastAsia" w:ascii="Times New Roman" w:hAnsi="Times New Roman" w:cs="Times New Roman"/>
          <w:highlight w:val="none"/>
        </w:rPr>
      </w:pPr>
      <w:r>
        <w:rPr>
          <w:rFonts w:hint="eastAsia" w:ascii="Times New Roman" w:hAnsi="Times New Roman" w:cs="Times New Roman"/>
          <w:highlight w:val="none"/>
        </w:rPr>
        <w:t xml:space="preserve">② </w:t>
      </w:r>
      <w:r>
        <w:rPr>
          <w:rFonts w:ascii="Times New Roman" w:hAnsi="Times New Roman" w:cs="Times New Roman"/>
          <w:highlight w:val="none"/>
        </w:rPr>
        <w:t>消防体制和方针：采用专职消防和义务消防相结合的消防体制，设置必要的岗位应急使用的消防设施。贯彻“预防为主、防治结合，减少火灾损失，保障人身和财产安全”的消防原则。严格执行国家有关的设计防火规范，采取可靠的防范措施，防止和减少火灾危害；严格执行国家各项抗灾防火技术和行政法规，积极采用先进成熟的抗灾防灾技术，做到设施可靠、技术先进、经济合理、便于操作。对员工进行安全生产教育与培训，熟悉车间及厂区内安全消防器材配备情况、存放位置及使用方式。</w:t>
      </w:r>
    </w:p>
    <w:p w14:paraId="2E690911">
      <w:pPr>
        <w:spacing w:line="500" w:lineRule="exact"/>
        <w:ind w:firstLine="482"/>
        <w:jc w:val="both"/>
        <w:rPr>
          <w:rFonts w:hint="eastAsia" w:ascii="Times New Roman" w:hAnsi="Times New Roman" w:cs="Times New Roman"/>
          <w:highlight w:val="none"/>
        </w:rPr>
      </w:pPr>
      <w:r>
        <w:rPr>
          <w:rFonts w:hint="eastAsia" w:ascii="Times New Roman" w:hAnsi="Times New Roman" w:cs="Times New Roman"/>
          <w:highlight w:val="none"/>
        </w:rPr>
        <w:t xml:space="preserve">③ </w:t>
      </w:r>
      <w:r>
        <w:rPr>
          <w:rFonts w:ascii="Times New Roman" w:hAnsi="Times New Roman" w:cs="Times New Roman"/>
          <w:highlight w:val="none"/>
        </w:rPr>
        <w:t>消防措施：一旦发生火灾立即组织人员进行灭火，首先迅速撤离现场群众，对事故原因进行排查，根据火灾发生原因选择合理有效的消防方式迅速组织人员进行灭火，车间内应配备灭火器材、灭火干砂、铁锹和砂桶等。以上措施只对初期火灾而设，遇有较大范围的火灾应及时求救于当地消防部门。</w:t>
      </w:r>
    </w:p>
    <w:p w14:paraId="487DD75C">
      <w:pPr>
        <w:spacing w:line="500" w:lineRule="exact"/>
        <w:ind w:firstLine="482"/>
        <w:jc w:val="both"/>
        <w:rPr>
          <w:rFonts w:ascii="Times New Roman" w:hAnsi="Times New Roman" w:cs="Times New Roman"/>
          <w:b/>
          <w:highlight w:val="none"/>
        </w:rPr>
      </w:pPr>
      <w:r>
        <w:rPr>
          <w:rFonts w:hint="eastAsia" w:ascii="Times New Roman" w:hAnsi="Times New Roman" w:cs="Times New Roman"/>
          <w:b/>
          <w:highlight w:val="none"/>
        </w:rPr>
        <w:t>（</w:t>
      </w:r>
      <w:r>
        <w:rPr>
          <w:rFonts w:ascii="Times New Roman" w:hAnsi="Times New Roman" w:cs="Times New Roman"/>
          <w:b/>
          <w:highlight w:val="none"/>
        </w:rPr>
        <w:t>4）生产管理防范措施</w:t>
      </w:r>
    </w:p>
    <w:p w14:paraId="685E35D1">
      <w:pPr>
        <w:spacing w:line="500" w:lineRule="exact"/>
        <w:ind w:firstLine="482"/>
        <w:jc w:val="both"/>
        <w:rPr>
          <w:rFonts w:ascii="Times New Roman" w:hAnsi="Times New Roman" w:cs="Times New Roman"/>
          <w:highlight w:val="none"/>
        </w:rPr>
      </w:pPr>
      <w:r>
        <w:rPr>
          <w:rFonts w:hint="eastAsia" w:ascii="Times New Roman" w:hAnsi="Times New Roman" w:cs="Times New Roman"/>
          <w:highlight w:val="none"/>
        </w:rPr>
        <w:t xml:space="preserve">① </w:t>
      </w:r>
      <w:r>
        <w:rPr>
          <w:rFonts w:ascii="Times New Roman" w:hAnsi="Times New Roman" w:cs="Times New Roman"/>
          <w:highlight w:val="none"/>
        </w:rPr>
        <w:t>建立和完善各级安全生产责任制，并切实落到实处。各级领导和生产管理人员必须重视安全生产，积极推广科学安全管理方法，强化安全操作制度和劳动纪律。</w:t>
      </w:r>
    </w:p>
    <w:p w14:paraId="41AB53A9">
      <w:pPr>
        <w:spacing w:line="500" w:lineRule="exact"/>
        <w:ind w:firstLine="482"/>
        <w:jc w:val="both"/>
        <w:rPr>
          <w:rFonts w:ascii="Times New Roman" w:hAnsi="Times New Roman" w:cs="Times New Roman"/>
          <w:highlight w:val="none"/>
        </w:rPr>
      </w:pPr>
      <w:r>
        <w:rPr>
          <w:rFonts w:hint="eastAsia" w:ascii="Times New Roman" w:hAnsi="Times New Roman" w:cs="Times New Roman"/>
          <w:highlight w:val="none"/>
        </w:rPr>
        <w:t xml:space="preserve">② </w:t>
      </w:r>
      <w:r>
        <w:rPr>
          <w:rFonts w:ascii="Times New Roman" w:hAnsi="Times New Roman" w:cs="Times New Roman"/>
          <w:highlight w:val="none"/>
        </w:rPr>
        <w:t>对职工要加强职业培训和安全教育。培养职工要有高度的安全生产责任心，并且要熟悉相应的业务，有熟练的操作技能，具备有关物料、设备、设施、工艺参数变动及泄漏等的危险、危害知识，在紧急情况下能采取正确的应急方法。</w:t>
      </w:r>
    </w:p>
    <w:p w14:paraId="52583A87">
      <w:pPr>
        <w:spacing w:line="500" w:lineRule="exact"/>
        <w:ind w:firstLine="482"/>
        <w:jc w:val="both"/>
        <w:rPr>
          <w:rFonts w:ascii="Times New Roman" w:hAnsi="Times New Roman" w:cs="Times New Roman"/>
          <w:highlight w:val="none"/>
        </w:rPr>
      </w:pPr>
      <w:r>
        <w:rPr>
          <w:rFonts w:hint="eastAsia" w:ascii="Times New Roman" w:hAnsi="Times New Roman" w:cs="Times New Roman"/>
          <w:highlight w:val="none"/>
        </w:rPr>
        <w:t xml:space="preserve">③ </w:t>
      </w:r>
      <w:r>
        <w:rPr>
          <w:rFonts w:ascii="Times New Roman" w:hAnsi="Times New Roman" w:cs="Times New Roman"/>
          <w:highlight w:val="none"/>
        </w:rPr>
        <w:t>车间、仓库等危险场所按“建筑灭火器配置设计规范”配置手提式干粉灭火器和推车式干粉灭火器。</w:t>
      </w:r>
    </w:p>
    <w:p w14:paraId="2BF4AEF0">
      <w:pPr>
        <w:spacing w:line="500" w:lineRule="exact"/>
        <w:ind w:firstLine="482"/>
        <w:jc w:val="both"/>
        <w:rPr>
          <w:rFonts w:ascii="Times New Roman" w:hAnsi="Times New Roman" w:cs="Times New Roman"/>
          <w:highlight w:val="none"/>
        </w:rPr>
      </w:pPr>
      <w:r>
        <w:rPr>
          <w:rFonts w:hint="eastAsia" w:ascii="Times New Roman" w:hAnsi="Times New Roman" w:cs="Times New Roman"/>
          <w:highlight w:val="none"/>
        </w:rPr>
        <w:t xml:space="preserve">④ </w:t>
      </w:r>
      <w:r>
        <w:rPr>
          <w:rFonts w:ascii="Times New Roman" w:hAnsi="Times New Roman" w:cs="Times New Roman"/>
          <w:highlight w:val="none"/>
        </w:rPr>
        <w:t>从工程筹建开始就要建立安全技术档案，包括各种技术图纸、安全操作规程、安全规章制度、设备运行档案、特种设备档案、电气设施检测数据、安全部件检测记录等，为安全生产管理提供依据。</w:t>
      </w:r>
    </w:p>
    <w:p w14:paraId="1D889611">
      <w:pPr>
        <w:spacing w:line="500" w:lineRule="exact"/>
        <w:ind w:firstLine="482"/>
        <w:jc w:val="both"/>
        <w:rPr>
          <w:rFonts w:ascii="Times New Roman" w:hAnsi="Times New Roman" w:cs="Times New Roman"/>
          <w:highlight w:val="none"/>
        </w:rPr>
      </w:pPr>
      <w:r>
        <w:rPr>
          <w:rFonts w:hint="eastAsia" w:ascii="Times New Roman" w:hAnsi="Times New Roman" w:cs="Times New Roman"/>
          <w:highlight w:val="none"/>
        </w:rPr>
        <w:t xml:space="preserve">⑤ </w:t>
      </w:r>
      <w:r>
        <w:rPr>
          <w:rFonts w:ascii="Times New Roman" w:hAnsi="Times New Roman" w:cs="Times New Roman"/>
          <w:highlight w:val="none"/>
        </w:rPr>
        <w:t>加强对电工及电气设备的管理，并对职工进行各种电气事故案例的教育，不乱拉临时线、防止各类电气事故的发生。应规定作业场所要严禁手机等个人电子设备的使用，以避免自动控制系统、报警系统受到干扰而引发事故。</w:t>
      </w:r>
    </w:p>
    <w:p w14:paraId="23C10E03">
      <w:pPr>
        <w:spacing w:line="500" w:lineRule="exact"/>
        <w:ind w:firstLine="482"/>
        <w:jc w:val="both"/>
        <w:rPr>
          <w:rFonts w:hint="eastAsia" w:ascii="Times New Roman" w:hAnsi="Times New Roman" w:cs="Times New Roman"/>
          <w:highlight w:val="none"/>
        </w:rPr>
      </w:pPr>
      <w:r>
        <w:rPr>
          <w:rFonts w:hint="eastAsia" w:ascii="Times New Roman" w:hAnsi="Times New Roman" w:cs="Times New Roman"/>
          <w:highlight w:val="none"/>
        </w:rPr>
        <w:t xml:space="preserve">⑥ </w:t>
      </w:r>
      <w:r>
        <w:rPr>
          <w:rFonts w:ascii="Times New Roman" w:hAnsi="Times New Roman" w:cs="Times New Roman"/>
          <w:highlight w:val="none"/>
        </w:rPr>
        <w:t>建立健全安全检查制度，定期进行安全检查，及时整改安全隐患，防止事故发生。</w:t>
      </w:r>
    </w:p>
    <w:p w14:paraId="0D5CBCCB">
      <w:pPr>
        <w:keepNext/>
        <w:tabs>
          <w:tab w:val="left" w:pos="658"/>
        </w:tabs>
        <w:spacing w:line="360" w:lineRule="auto"/>
        <w:outlineLvl w:val="2"/>
        <w:rPr>
          <w:rFonts w:ascii="Times New Roman" w:hAnsi="Times New Roman" w:cs="Times New Roman"/>
          <w:b/>
          <w:szCs w:val="28"/>
          <w:highlight w:val="none"/>
        </w:rPr>
      </w:pPr>
      <w:bookmarkStart w:id="573" w:name="_Toc18309"/>
      <w:bookmarkStart w:id="574" w:name="_Toc90026328"/>
      <w:r>
        <w:rPr>
          <w:rFonts w:hint="eastAsia" w:ascii="Times New Roman" w:hAnsi="Times New Roman" w:cs="Times New Roman"/>
          <w:b/>
          <w:szCs w:val="28"/>
          <w:highlight w:val="none"/>
        </w:rPr>
        <w:t>6</w:t>
      </w:r>
      <w:r>
        <w:rPr>
          <w:rFonts w:ascii="Times New Roman" w:hAnsi="Times New Roman" w:cs="Times New Roman"/>
          <w:b/>
          <w:szCs w:val="28"/>
          <w:highlight w:val="none"/>
        </w:rPr>
        <w:t>.3.4 事故应急措施</w:t>
      </w:r>
      <w:bookmarkEnd w:id="573"/>
      <w:bookmarkEnd w:id="574"/>
    </w:p>
    <w:p w14:paraId="713A331B">
      <w:pPr>
        <w:adjustRightInd w:val="0"/>
        <w:spacing w:line="500" w:lineRule="exact"/>
        <w:ind w:firstLine="480" w:firstLineChars="200"/>
        <w:jc w:val="both"/>
        <w:rPr>
          <w:rFonts w:ascii="Times New Roman" w:hAnsi="Times New Roman" w:cs="Times New Roman"/>
          <w:highlight w:val="none"/>
        </w:rPr>
      </w:pPr>
      <w:r>
        <w:rPr>
          <w:rFonts w:hint="eastAsia" w:ascii="Times New Roman" w:hAnsi="Times New Roman" w:cs="Times New Roman"/>
          <w:highlight w:val="none"/>
          <w:lang w:val="en-US" w:eastAsia="zh-CN"/>
        </w:rPr>
        <w:t>煤气</w:t>
      </w:r>
      <w:r>
        <w:rPr>
          <w:rFonts w:ascii="Times New Roman" w:hAnsi="Times New Roman" w:cs="Times New Roman"/>
          <w:highlight w:val="none"/>
        </w:rPr>
        <w:t>管线</w:t>
      </w:r>
      <w:r>
        <w:rPr>
          <w:rFonts w:hint="eastAsia" w:ascii="Times New Roman" w:hAnsi="Times New Roman" w:cs="Times New Roman"/>
          <w:highlight w:val="none"/>
        </w:rPr>
        <w:t>或</w:t>
      </w:r>
      <w:r>
        <w:rPr>
          <w:rFonts w:ascii="Times New Roman" w:hAnsi="Times New Roman" w:cs="Times New Roman"/>
          <w:highlight w:val="none"/>
        </w:rPr>
        <w:t>燃烧器</w:t>
      </w:r>
      <w:r>
        <w:rPr>
          <w:rFonts w:hint="eastAsia" w:ascii="Times New Roman" w:hAnsi="Times New Roman" w:cs="Times New Roman"/>
          <w:highlight w:val="none"/>
        </w:rPr>
        <w:t>一旦泄漏，应</w:t>
      </w:r>
      <w:r>
        <w:rPr>
          <w:rFonts w:ascii="Times New Roman" w:hAnsi="Times New Roman" w:cs="Times New Roman"/>
          <w:highlight w:val="none"/>
        </w:rPr>
        <w:t>立即紧急停炉，切断总气阀，通知调度室调整供气压力，并向安全生产部门进行汇报，根据</w:t>
      </w:r>
      <w:r>
        <w:rPr>
          <w:rFonts w:hint="eastAsia" w:ascii="Times New Roman" w:hAnsi="Times New Roman" w:cs="Times New Roman"/>
          <w:highlight w:val="none"/>
          <w:lang w:val="en-US" w:eastAsia="zh-CN"/>
        </w:rPr>
        <w:t>煤气</w:t>
      </w:r>
      <w:r>
        <w:rPr>
          <w:rFonts w:ascii="Times New Roman" w:hAnsi="Times New Roman" w:cs="Times New Roman"/>
          <w:highlight w:val="none"/>
        </w:rPr>
        <w:t>泄漏应急预案进行处理。</w:t>
      </w:r>
    </w:p>
    <w:p w14:paraId="47939D8D">
      <w:pPr>
        <w:adjustRightInd w:val="0"/>
        <w:spacing w:line="500" w:lineRule="exact"/>
        <w:ind w:firstLine="480" w:firstLineChars="200"/>
        <w:jc w:val="both"/>
        <w:rPr>
          <w:rFonts w:hint="eastAsia" w:ascii="Times New Roman" w:hAnsi="Times New Roman" w:cs="Times New Roman"/>
          <w:highlight w:val="none"/>
        </w:rPr>
      </w:pPr>
      <w:r>
        <w:rPr>
          <w:rFonts w:ascii="Times New Roman" w:hAnsi="Times New Roman" w:cs="Times New Roman"/>
          <w:highlight w:val="none"/>
        </w:rPr>
        <w:t>一旦发生火灾事故，采取消防器材及固定式消防设施进行灭火。</w:t>
      </w:r>
    </w:p>
    <w:p w14:paraId="71D50160">
      <w:pPr>
        <w:adjustRightInd w:val="0"/>
        <w:spacing w:line="500" w:lineRule="exact"/>
        <w:ind w:firstLine="480" w:firstLineChars="200"/>
        <w:jc w:val="both"/>
        <w:rPr>
          <w:rFonts w:ascii="Times New Roman" w:hAnsi="Times New Roman" w:cs="Times New Roman"/>
          <w:highlight w:val="none"/>
        </w:rPr>
      </w:pPr>
      <w:r>
        <w:rPr>
          <w:rFonts w:hint="eastAsia" w:ascii="Times New Roman" w:hAnsi="Times New Roman" w:cs="Times New Roman"/>
          <w:highlight w:val="none"/>
        </w:rPr>
        <w:t>若火灾时发生C</w:t>
      </w:r>
      <w:r>
        <w:rPr>
          <w:rFonts w:ascii="Times New Roman" w:hAnsi="Times New Roman" w:cs="Times New Roman"/>
          <w:highlight w:val="none"/>
        </w:rPr>
        <w:t>O</w:t>
      </w:r>
      <w:r>
        <w:rPr>
          <w:rFonts w:hint="eastAsia" w:ascii="Times New Roman" w:hAnsi="Times New Roman" w:cs="Times New Roman"/>
          <w:highlight w:val="none"/>
        </w:rPr>
        <w:t>中毒，</w:t>
      </w:r>
      <w:r>
        <w:rPr>
          <w:rFonts w:ascii="Times New Roman" w:hAnsi="Times New Roman" w:cs="Times New Roman"/>
          <w:highlight w:val="none"/>
        </w:rPr>
        <w:t>迅速将患者移离中毒现场至通风处，松开衣领，注意保暖，密切观察意识状态。血HbCO系CO中毒唯一特异的化验指标，但只有及时测定才对诊断更有参考意义。脱离中毒环境8h以上患者血中HbCO多在10%以下。及时有效给氧是急性CO中毒最重要的治疗原则。应用高压氧疗法，可加速患者血中HbCO的清除，迅速纠正组织缺氧。方法是用2～2.5个大气压活瓣式面罩吸入纯氧60min，每日1次，轻度中毒一般5～7次，中度中毒10～20次，重度中毒20～30次。</w:t>
      </w:r>
    </w:p>
    <w:p w14:paraId="2E320893">
      <w:pPr>
        <w:keepNext/>
        <w:tabs>
          <w:tab w:val="left" w:pos="658"/>
        </w:tabs>
        <w:spacing w:line="360" w:lineRule="auto"/>
        <w:outlineLvl w:val="2"/>
        <w:rPr>
          <w:rFonts w:ascii="Times New Roman" w:hAnsi="Times New Roman" w:cs="Times New Roman"/>
          <w:b/>
          <w:szCs w:val="28"/>
          <w:highlight w:val="none"/>
        </w:rPr>
      </w:pPr>
      <w:bookmarkStart w:id="575" w:name="_Toc1345"/>
      <w:bookmarkStart w:id="576" w:name="_Toc90026329"/>
      <w:r>
        <w:rPr>
          <w:rFonts w:hint="eastAsia" w:ascii="Times New Roman" w:hAnsi="Times New Roman" w:cs="Times New Roman"/>
          <w:b/>
          <w:szCs w:val="28"/>
          <w:highlight w:val="none"/>
        </w:rPr>
        <w:t>6</w:t>
      </w:r>
      <w:r>
        <w:rPr>
          <w:rFonts w:ascii="Times New Roman" w:hAnsi="Times New Roman" w:cs="Times New Roman"/>
          <w:b/>
          <w:szCs w:val="28"/>
          <w:highlight w:val="none"/>
        </w:rPr>
        <w:t>.3.5 制定突发环境风险应急预案</w:t>
      </w:r>
      <w:bookmarkEnd w:id="575"/>
      <w:bookmarkEnd w:id="576"/>
    </w:p>
    <w:p w14:paraId="3AD64629">
      <w:pPr>
        <w:adjustRightInd w:val="0"/>
        <w:snapToGrid w:val="0"/>
        <w:spacing w:line="500" w:lineRule="exact"/>
        <w:ind w:firstLine="480" w:firstLineChars="200"/>
        <w:rPr>
          <w:rFonts w:ascii="Times New Roman" w:hAnsi="Times New Roman" w:cs="Times New Roman"/>
          <w:highlight w:val="none"/>
        </w:rPr>
      </w:pPr>
      <w:r>
        <w:rPr>
          <w:rFonts w:ascii="Times New Roman" w:hAnsi="Times New Roman" w:cs="Times New Roman"/>
          <w:highlight w:val="none"/>
        </w:rPr>
        <w:t>根据环境保护部环发[2015]4号文《关于印发&lt;企业事业单位突发环境事件应急预案备案管理办法（试行）&gt;的通知》和《突发环境事件应急管理办法》等相关文件要求，建设单位应开展环境风险应急预案编制</w:t>
      </w:r>
      <w:r>
        <w:rPr>
          <w:rFonts w:hint="eastAsia" w:ascii="Times New Roman" w:hAnsi="Times New Roman" w:cs="Times New Roman"/>
          <w:highlight w:val="none"/>
        </w:rPr>
        <w:t>修订</w:t>
      </w:r>
      <w:r>
        <w:rPr>
          <w:rFonts w:ascii="Times New Roman" w:hAnsi="Times New Roman" w:cs="Times New Roman"/>
          <w:highlight w:val="none"/>
        </w:rPr>
        <w:t>工作，并进行备案。</w:t>
      </w:r>
    </w:p>
    <w:p w14:paraId="54FBC55A">
      <w:pPr>
        <w:adjustRightInd w:val="0"/>
        <w:snapToGrid w:val="0"/>
        <w:spacing w:line="500" w:lineRule="exact"/>
        <w:ind w:firstLine="482" w:firstLineChars="200"/>
        <w:rPr>
          <w:rFonts w:ascii="Times New Roman" w:hAnsi="Times New Roman" w:cs="Times New Roman"/>
          <w:b/>
          <w:highlight w:val="none"/>
        </w:rPr>
      </w:pPr>
      <w:r>
        <w:rPr>
          <w:rFonts w:ascii="Times New Roman" w:hAnsi="Times New Roman" w:cs="Times New Roman"/>
          <w:b/>
          <w:highlight w:val="none"/>
        </w:rPr>
        <w:t>（1）应急预案制定</w:t>
      </w:r>
    </w:p>
    <w:p w14:paraId="18347031">
      <w:pPr>
        <w:adjustRightInd w:val="0"/>
        <w:snapToGrid w:val="0"/>
        <w:spacing w:line="500" w:lineRule="exact"/>
        <w:ind w:firstLine="480" w:firstLineChars="200"/>
        <w:rPr>
          <w:rFonts w:ascii="Times New Roman" w:hAnsi="Times New Roman" w:cs="Times New Roman"/>
          <w:highlight w:val="none"/>
        </w:rPr>
      </w:pPr>
      <w:r>
        <w:rPr>
          <w:rFonts w:ascii="Times New Roman" w:hAnsi="Times New Roman" w:cs="Times New Roman"/>
          <w:highlight w:val="none"/>
        </w:rPr>
        <w:t>企业应按照以下步骤制定环境应急预案：</w:t>
      </w:r>
    </w:p>
    <w:p w14:paraId="4A716341">
      <w:pPr>
        <w:adjustRightInd w:val="0"/>
        <w:snapToGrid w:val="0"/>
        <w:spacing w:line="500" w:lineRule="exact"/>
        <w:ind w:firstLine="480" w:firstLineChars="200"/>
        <w:rPr>
          <w:rFonts w:ascii="Times New Roman" w:hAnsi="Times New Roman" w:cs="Times New Roman"/>
          <w:highlight w:val="none"/>
        </w:rPr>
      </w:pPr>
      <w:r>
        <w:rPr>
          <w:rFonts w:hint="eastAsia"/>
          <w:highlight w:val="none"/>
        </w:rPr>
        <w:t>①</w:t>
      </w:r>
      <w:r>
        <w:rPr>
          <w:rFonts w:ascii="Times New Roman" w:hAnsi="Times New Roman" w:cs="Times New Roman"/>
          <w:highlight w:val="none"/>
        </w:rPr>
        <w:t>成立环境应急预案编制组，明确编制组组长和成员组成、工作任务、编制计划和经费预算。</w:t>
      </w:r>
    </w:p>
    <w:p w14:paraId="54D17977">
      <w:pPr>
        <w:adjustRightInd w:val="0"/>
        <w:snapToGrid w:val="0"/>
        <w:spacing w:line="500" w:lineRule="exact"/>
        <w:ind w:firstLine="480" w:firstLineChars="200"/>
        <w:rPr>
          <w:rFonts w:ascii="Times New Roman" w:hAnsi="Times New Roman" w:cs="Times New Roman"/>
          <w:highlight w:val="none"/>
        </w:rPr>
      </w:pPr>
      <w:r>
        <w:rPr>
          <w:rFonts w:hint="eastAsia"/>
          <w:highlight w:val="none"/>
        </w:rPr>
        <w:t>②</w:t>
      </w:r>
      <w:r>
        <w:rPr>
          <w:rFonts w:ascii="Times New Roman" w:hAnsi="Times New Roman" w:cs="Times New Roman"/>
          <w:highlight w:val="none"/>
        </w:rPr>
        <w:t>开展环境风险评估和应急资源调查。</w:t>
      </w:r>
    </w:p>
    <w:p w14:paraId="51067195">
      <w:pPr>
        <w:adjustRightInd w:val="0"/>
        <w:snapToGrid w:val="0"/>
        <w:spacing w:line="500" w:lineRule="exact"/>
        <w:ind w:firstLine="480" w:firstLineChars="200"/>
        <w:rPr>
          <w:rFonts w:ascii="Times New Roman" w:hAnsi="Times New Roman" w:cs="Times New Roman"/>
          <w:highlight w:val="none"/>
        </w:rPr>
      </w:pPr>
      <w:r>
        <w:rPr>
          <w:rFonts w:ascii="Times New Roman" w:hAnsi="Times New Roman" w:cs="Times New Roman"/>
          <w:highlight w:val="none"/>
        </w:rPr>
        <w:t>环境风险评估包括但不限于：分析各类事故衍化规律、自然灾害影响程度，识别环境危害因素，分析与周边可能受影响的居民、单位、区域环境的关系，构建突发环境事件及其后果情景，确定环境风险等级。</w:t>
      </w:r>
    </w:p>
    <w:p w14:paraId="6B109CEE">
      <w:pPr>
        <w:adjustRightInd w:val="0"/>
        <w:snapToGrid w:val="0"/>
        <w:spacing w:line="500" w:lineRule="exact"/>
        <w:ind w:firstLine="480" w:firstLineChars="200"/>
        <w:rPr>
          <w:rFonts w:ascii="Times New Roman" w:hAnsi="Times New Roman" w:cs="Times New Roman"/>
          <w:highlight w:val="none"/>
        </w:rPr>
      </w:pPr>
      <w:r>
        <w:rPr>
          <w:rFonts w:ascii="Times New Roman" w:hAnsi="Times New Roman" w:cs="Times New Roman"/>
          <w:highlight w:val="none"/>
        </w:rPr>
        <w:t>应急资源调查包括但不限于：调查企业第一时间可调用的环境应急队伍、装备、物资、场所等应急资源状况和可请求援助或协议援助的应急资源状况。</w:t>
      </w:r>
    </w:p>
    <w:p w14:paraId="473FA256">
      <w:pPr>
        <w:adjustRightInd w:val="0"/>
        <w:snapToGrid w:val="0"/>
        <w:spacing w:line="500" w:lineRule="exact"/>
        <w:ind w:firstLine="480" w:firstLineChars="200"/>
        <w:rPr>
          <w:rFonts w:ascii="Times New Roman" w:hAnsi="Times New Roman" w:cs="Times New Roman"/>
          <w:highlight w:val="none"/>
        </w:rPr>
      </w:pPr>
      <w:r>
        <w:rPr>
          <w:rFonts w:hint="eastAsia"/>
          <w:highlight w:val="none"/>
        </w:rPr>
        <w:t>③</w:t>
      </w:r>
      <w:r>
        <w:rPr>
          <w:rFonts w:ascii="Times New Roman" w:hAnsi="Times New Roman" w:cs="Times New Roman"/>
          <w:highlight w:val="none"/>
        </w:rPr>
        <w:t>编制环境应急预案。</w:t>
      </w:r>
    </w:p>
    <w:p w14:paraId="5C36AE62">
      <w:pPr>
        <w:adjustRightInd w:val="0"/>
        <w:snapToGrid w:val="0"/>
        <w:spacing w:line="500" w:lineRule="exact"/>
        <w:ind w:firstLine="480" w:firstLineChars="200"/>
        <w:rPr>
          <w:rFonts w:ascii="Times New Roman" w:hAnsi="Times New Roman" w:cs="Times New Roman"/>
          <w:highlight w:val="none"/>
        </w:rPr>
      </w:pPr>
      <w:r>
        <w:rPr>
          <w:rFonts w:ascii="Times New Roman" w:hAnsi="Times New Roman" w:cs="Times New Roman"/>
          <w:highlight w:val="none"/>
        </w:rPr>
        <w:t>合理选择类别，确定内容，重点说明可能的突发环境事件情景下需要采取的处置措施、向可能受影响的居民和单位通报的内容与方式、向环境保护主管部门和有关部门报告的内容与方式，以及与政府预案的衔接方式，形成环境应急预案。编制过程中，应征求员工和可能受影响的居民和单位代表的意见。</w:t>
      </w:r>
    </w:p>
    <w:p w14:paraId="2779CB00">
      <w:pPr>
        <w:adjustRightInd w:val="0"/>
        <w:snapToGrid w:val="0"/>
        <w:spacing w:line="500" w:lineRule="exact"/>
        <w:ind w:firstLine="480" w:firstLineChars="200"/>
        <w:rPr>
          <w:rFonts w:ascii="Times New Roman" w:hAnsi="Times New Roman" w:cs="Times New Roman"/>
          <w:highlight w:val="none"/>
        </w:rPr>
      </w:pPr>
      <w:r>
        <w:rPr>
          <w:rFonts w:hint="eastAsia"/>
          <w:highlight w:val="none"/>
        </w:rPr>
        <w:t>④</w:t>
      </w:r>
      <w:r>
        <w:rPr>
          <w:rFonts w:ascii="Times New Roman" w:hAnsi="Times New Roman" w:cs="Times New Roman"/>
          <w:highlight w:val="none"/>
        </w:rPr>
        <w:t>评审和演练环境应急预案。</w:t>
      </w:r>
    </w:p>
    <w:p w14:paraId="4BE4D7D5">
      <w:pPr>
        <w:adjustRightInd w:val="0"/>
        <w:snapToGrid w:val="0"/>
        <w:spacing w:line="500" w:lineRule="exact"/>
        <w:ind w:firstLine="480" w:firstLineChars="200"/>
        <w:rPr>
          <w:rFonts w:ascii="Times New Roman" w:hAnsi="Times New Roman" w:cs="Times New Roman"/>
          <w:highlight w:val="none"/>
        </w:rPr>
      </w:pPr>
      <w:r>
        <w:rPr>
          <w:rFonts w:ascii="Times New Roman" w:hAnsi="Times New Roman" w:cs="Times New Roman"/>
          <w:highlight w:val="none"/>
        </w:rPr>
        <w:t>企业组织专家和可能受影响的居民、单位代表对环境应急预案进行评审，开展演练进行检验。</w:t>
      </w:r>
    </w:p>
    <w:p w14:paraId="56429904">
      <w:pPr>
        <w:adjustRightInd w:val="0"/>
        <w:snapToGrid w:val="0"/>
        <w:spacing w:line="500" w:lineRule="exact"/>
        <w:ind w:firstLine="480" w:firstLineChars="200"/>
        <w:rPr>
          <w:rFonts w:ascii="Times New Roman" w:hAnsi="Times New Roman" w:cs="Times New Roman"/>
          <w:highlight w:val="none"/>
        </w:rPr>
      </w:pPr>
      <w:r>
        <w:rPr>
          <w:rFonts w:ascii="Times New Roman" w:hAnsi="Times New Roman" w:cs="Times New Roman"/>
          <w:highlight w:val="none"/>
        </w:rPr>
        <w:t>评审专家一般应包括环境应急预案涉及的相关政府管理部门人员、相关行业协会代表、具有相关领域经验的人员等。</w:t>
      </w:r>
    </w:p>
    <w:p w14:paraId="6D859990">
      <w:pPr>
        <w:adjustRightInd w:val="0"/>
        <w:snapToGrid w:val="0"/>
        <w:spacing w:line="500" w:lineRule="exact"/>
        <w:ind w:firstLine="480" w:firstLineChars="200"/>
        <w:rPr>
          <w:rFonts w:ascii="Times New Roman" w:hAnsi="Times New Roman" w:cs="Times New Roman"/>
          <w:highlight w:val="none"/>
        </w:rPr>
      </w:pPr>
      <w:r>
        <w:rPr>
          <w:rFonts w:hint="eastAsia"/>
          <w:highlight w:val="none"/>
        </w:rPr>
        <w:t>⑤</w:t>
      </w:r>
      <w:r>
        <w:rPr>
          <w:rFonts w:ascii="Times New Roman" w:hAnsi="Times New Roman" w:cs="Times New Roman"/>
          <w:highlight w:val="none"/>
        </w:rPr>
        <w:t>签署发布环境应急预案。</w:t>
      </w:r>
    </w:p>
    <w:p w14:paraId="458342BD">
      <w:pPr>
        <w:adjustRightInd w:val="0"/>
        <w:snapToGrid w:val="0"/>
        <w:spacing w:line="500" w:lineRule="exact"/>
        <w:ind w:firstLine="480" w:firstLineChars="200"/>
        <w:rPr>
          <w:rFonts w:ascii="Times New Roman" w:hAnsi="Times New Roman" w:cs="Times New Roman"/>
          <w:highlight w:val="none"/>
        </w:rPr>
      </w:pPr>
      <w:r>
        <w:rPr>
          <w:rFonts w:ascii="Times New Roman" w:hAnsi="Times New Roman" w:cs="Times New Roman"/>
          <w:highlight w:val="none"/>
        </w:rPr>
        <w:t>环境应急预案经企业有关会议审议，由企业主要负责人签署发布。</w:t>
      </w:r>
    </w:p>
    <w:p w14:paraId="2AD13CAA">
      <w:pPr>
        <w:adjustRightInd w:val="0"/>
        <w:snapToGrid w:val="0"/>
        <w:spacing w:line="500" w:lineRule="exact"/>
        <w:ind w:firstLine="480" w:firstLineChars="200"/>
        <w:rPr>
          <w:rFonts w:ascii="Times New Roman" w:hAnsi="Times New Roman" w:cs="Times New Roman"/>
          <w:highlight w:val="none"/>
        </w:rPr>
      </w:pPr>
      <w:r>
        <w:rPr>
          <w:rFonts w:ascii="Times New Roman" w:hAnsi="Times New Roman" w:cs="Times New Roman"/>
          <w:highlight w:val="none"/>
        </w:rPr>
        <w:t>企业应根据有关要求，结合实际情况，开展环境应急预案的培训、宣传和必要的应急演练，发生或者可能发生突发环境事件时启动环境应急预案。企业应结合环境应急预案实施情况至少每三年对环境应急预案进行一次回顾性评估。</w:t>
      </w:r>
    </w:p>
    <w:p w14:paraId="215CD100">
      <w:pPr>
        <w:adjustRightInd w:val="0"/>
        <w:snapToGrid w:val="0"/>
        <w:spacing w:line="500" w:lineRule="exact"/>
        <w:ind w:firstLine="482" w:firstLineChars="200"/>
        <w:rPr>
          <w:rFonts w:ascii="Times New Roman" w:hAnsi="Times New Roman" w:cs="Times New Roman"/>
          <w:b/>
          <w:highlight w:val="none"/>
        </w:rPr>
      </w:pPr>
      <w:r>
        <w:rPr>
          <w:rFonts w:ascii="Times New Roman" w:hAnsi="Times New Roman" w:cs="Times New Roman"/>
          <w:b/>
          <w:highlight w:val="none"/>
        </w:rPr>
        <w:t>（2）应急预案备案</w:t>
      </w:r>
    </w:p>
    <w:p w14:paraId="19667161">
      <w:pPr>
        <w:adjustRightInd w:val="0"/>
        <w:snapToGrid w:val="0"/>
        <w:spacing w:line="500" w:lineRule="exact"/>
        <w:ind w:firstLine="480" w:firstLineChars="200"/>
        <w:rPr>
          <w:rFonts w:ascii="Times New Roman" w:hAnsi="Times New Roman" w:cs="Times New Roman"/>
          <w:highlight w:val="none"/>
        </w:rPr>
      </w:pPr>
      <w:r>
        <w:rPr>
          <w:rFonts w:ascii="Times New Roman" w:hAnsi="Times New Roman" w:cs="Times New Roman"/>
          <w:highlight w:val="none"/>
        </w:rPr>
        <w:t>企业环境应急预案应当在环境应急预案签署发布之日起20个工作日内，向企业所在地县级环境保护主管部门备案。首次备案应提交下列文件：</w:t>
      </w:r>
    </w:p>
    <w:p w14:paraId="469E3934">
      <w:pPr>
        <w:adjustRightInd w:val="0"/>
        <w:snapToGrid w:val="0"/>
        <w:spacing w:line="500" w:lineRule="exact"/>
        <w:ind w:firstLine="480" w:firstLineChars="200"/>
        <w:rPr>
          <w:rFonts w:ascii="Times New Roman" w:hAnsi="Times New Roman" w:cs="Times New Roman"/>
          <w:highlight w:val="none"/>
        </w:rPr>
      </w:pPr>
      <w:r>
        <w:rPr>
          <w:rFonts w:hint="eastAsia"/>
          <w:highlight w:val="none"/>
        </w:rPr>
        <w:t>①</w:t>
      </w:r>
      <w:r>
        <w:rPr>
          <w:rFonts w:ascii="Times New Roman" w:hAnsi="Times New Roman" w:cs="Times New Roman"/>
          <w:highlight w:val="none"/>
        </w:rPr>
        <w:t>突发环境事件应急预案备案表；</w:t>
      </w:r>
    </w:p>
    <w:p w14:paraId="1A2B35D4">
      <w:pPr>
        <w:adjustRightInd w:val="0"/>
        <w:snapToGrid w:val="0"/>
        <w:spacing w:line="500" w:lineRule="exact"/>
        <w:ind w:firstLine="480" w:firstLineChars="200"/>
        <w:rPr>
          <w:rFonts w:ascii="Times New Roman" w:hAnsi="Times New Roman" w:cs="Times New Roman"/>
          <w:highlight w:val="none"/>
        </w:rPr>
      </w:pPr>
      <w:r>
        <w:rPr>
          <w:rFonts w:hint="eastAsia"/>
          <w:highlight w:val="none"/>
        </w:rPr>
        <w:t>②</w:t>
      </w:r>
      <w:r>
        <w:rPr>
          <w:rFonts w:ascii="Times New Roman" w:hAnsi="Times New Roman" w:cs="Times New Roman"/>
          <w:highlight w:val="none"/>
        </w:rPr>
        <w:t>环境应急预案及编制说明的纸质文件和电子文件；</w:t>
      </w:r>
    </w:p>
    <w:p w14:paraId="001F442F">
      <w:pPr>
        <w:adjustRightInd w:val="0"/>
        <w:snapToGrid w:val="0"/>
        <w:spacing w:line="500" w:lineRule="exact"/>
        <w:ind w:firstLine="480" w:firstLineChars="200"/>
        <w:rPr>
          <w:rFonts w:ascii="Times New Roman" w:hAnsi="Times New Roman" w:cs="Times New Roman"/>
          <w:highlight w:val="none"/>
        </w:rPr>
      </w:pPr>
      <w:r>
        <w:rPr>
          <w:rFonts w:hint="eastAsia"/>
          <w:highlight w:val="none"/>
        </w:rPr>
        <w:t>③</w:t>
      </w:r>
      <w:r>
        <w:rPr>
          <w:rFonts w:ascii="Times New Roman" w:hAnsi="Times New Roman" w:cs="Times New Roman"/>
          <w:highlight w:val="none"/>
        </w:rPr>
        <w:t>环境风险评估报告的纸质文件和电子文件；</w:t>
      </w:r>
    </w:p>
    <w:p w14:paraId="1176D763">
      <w:pPr>
        <w:adjustRightInd w:val="0"/>
        <w:snapToGrid w:val="0"/>
        <w:spacing w:line="500" w:lineRule="exact"/>
        <w:ind w:firstLine="480" w:firstLineChars="200"/>
        <w:rPr>
          <w:rFonts w:ascii="Times New Roman" w:hAnsi="Times New Roman" w:cs="Times New Roman"/>
          <w:highlight w:val="none"/>
        </w:rPr>
      </w:pPr>
      <w:r>
        <w:rPr>
          <w:rFonts w:hint="eastAsia"/>
          <w:highlight w:val="none"/>
        </w:rPr>
        <w:t>④</w:t>
      </w:r>
      <w:r>
        <w:rPr>
          <w:rFonts w:ascii="Times New Roman" w:hAnsi="Times New Roman" w:cs="Times New Roman"/>
          <w:highlight w:val="none"/>
        </w:rPr>
        <w:t>环境应急资源调查报告的纸质文件和电子文件；</w:t>
      </w:r>
    </w:p>
    <w:p w14:paraId="03662832">
      <w:pPr>
        <w:adjustRightInd w:val="0"/>
        <w:snapToGrid w:val="0"/>
        <w:spacing w:line="500" w:lineRule="exact"/>
        <w:ind w:firstLine="480" w:firstLineChars="200"/>
        <w:rPr>
          <w:rFonts w:ascii="Times New Roman" w:hAnsi="Times New Roman" w:cs="Times New Roman"/>
          <w:highlight w:val="none"/>
        </w:rPr>
      </w:pPr>
      <w:r>
        <w:rPr>
          <w:rFonts w:hint="eastAsia"/>
          <w:highlight w:val="none"/>
        </w:rPr>
        <w:t>⑤</w:t>
      </w:r>
      <w:r>
        <w:rPr>
          <w:rFonts w:ascii="Times New Roman" w:hAnsi="Times New Roman" w:cs="Times New Roman"/>
          <w:highlight w:val="none"/>
        </w:rPr>
        <w:t>环境应急预案评审意见的纸质文件和电子文件。</w:t>
      </w:r>
    </w:p>
    <w:p w14:paraId="0CE7CA5B">
      <w:pPr>
        <w:adjustRightInd w:val="0"/>
        <w:snapToGrid w:val="0"/>
        <w:spacing w:line="500" w:lineRule="exact"/>
        <w:ind w:firstLine="482" w:firstLineChars="200"/>
        <w:rPr>
          <w:rFonts w:ascii="Times New Roman" w:hAnsi="Times New Roman" w:cs="Times New Roman"/>
          <w:b/>
          <w:highlight w:val="none"/>
        </w:rPr>
      </w:pPr>
      <w:r>
        <w:rPr>
          <w:rFonts w:ascii="Times New Roman" w:hAnsi="Times New Roman" w:cs="Times New Roman"/>
          <w:b/>
          <w:highlight w:val="none"/>
        </w:rPr>
        <w:t>（3）应急预案主要内容</w:t>
      </w:r>
    </w:p>
    <w:p w14:paraId="77B148CB">
      <w:pPr>
        <w:adjustRightInd w:val="0"/>
        <w:snapToGrid w:val="0"/>
        <w:spacing w:line="500" w:lineRule="exact"/>
        <w:ind w:firstLine="480" w:firstLineChars="200"/>
        <w:rPr>
          <w:rFonts w:ascii="Times New Roman" w:hAnsi="Times New Roman" w:cs="Times New Roman"/>
          <w:highlight w:val="none"/>
        </w:rPr>
      </w:pPr>
      <w:r>
        <w:rPr>
          <w:rFonts w:hint="eastAsia"/>
          <w:highlight w:val="none"/>
        </w:rPr>
        <w:t>①</w:t>
      </w:r>
      <w:r>
        <w:rPr>
          <w:rFonts w:ascii="Times New Roman" w:hAnsi="Times New Roman" w:cs="Times New Roman"/>
          <w:highlight w:val="none"/>
        </w:rPr>
        <w:t>突发环境事件风险应急预案主要内容</w:t>
      </w:r>
    </w:p>
    <w:p w14:paraId="5F37AE5C">
      <w:pPr>
        <w:adjustRightInd w:val="0"/>
        <w:snapToGrid w:val="0"/>
        <w:spacing w:line="500" w:lineRule="exact"/>
        <w:ind w:firstLine="480" w:firstLineChars="200"/>
        <w:rPr>
          <w:rFonts w:hint="eastAsia" w:ascii="Times New Roman" w:hAnsi="Times New Roman" w:cs="Times New Roman"/>
          <w:highlight w:val="none"/>
        </w:rPr>
      </w:pPr>
      <w:r>
        <w:rPr>
          <w:rFonts w:ascii="Times New Roman" w:hAnsi="Times New Roman" w:cs="Times New Roman"/>
          <w:highlight w:val="none"/>
        </w:rPr>
        <w:t>突发环境事件风险应急预案的主要内容见表</w:t>
      </w:r>
      <w:r>
        <w:rPr>
          <w:rFonts w:hint="eastAsia" w:ascii="Times New Roman" w:hAnsi="Times New Roman" w:eastAsia="黑体" w:cs="Times New Roman"/>
          <w:highlight w:val="none"/>
        </w:rPr>
        <w:t>6</w:t>
      </w:r>
      <w:r>
        <w:rPr>
          <w:rFonts w:ascii="Times New Roman" w:hAnsi="Times New Roman" w:eastAsia="黑体" w:cs="Times New Roman"/>
          <w:highlight w:val="none"/>
        </w:rPr>
        <w:t>.3-</w:t>
      </w:r>
      <w:r>
        <w:rPr>
          <w:rFonts w:hint="eastAsia" w:ascii="Times New Roman" w:hAnsi="Times New Roman" w:eastAsia="黑体" w:cs="Times New Roman"/>
          <w:highlight w:val="none"/>
        </w:rPr>
        <w:t>1</w:t>
      </w:r>
      <w:r>
        <w:rPr>
          <w:rFonts w:ascii="Times New Roman" w:hAnsi="Times New Roman" w:cs="Times New Roman"/>
          <w:highlight w:val="none"/>
        </w:rPr>
        <w:t>。</w:t>
      </w:r>
    </w:p>
    <w:p w14:paraId="217888E2">
      <w:pPr>
        <w:adjustRightInd w:val="0"/>
        <w:jc w:val="center"/>
        <w:rPr>
          <w:rFonts w:ascii="Times New Roman" w:hAnsi="Times New Roman" w:eastAsia="黑体" w:cs="Times New Roman"/>
          <w:highlight w:val="none"/>
        </w:rPr>
      </w:pPr>
      <w:r>
        <w:rPr>
          <w:rFonts w:ascii="Times New Roman" w:hAnsi="Times New Roman" w:eastAsia="黑体" w:cs="Times New Roman"/>
          <w:highlight w:val="none"/>
        </w:rPr>
        <w:t>表</w:t>
      </w:r>
      <w:r>
        <w:rPr>
          <w:rFonts w:hint="eastAsia" w:ascii="Times New Roman" w:hAnsi="Times New Roman" w:eastAsia="黑体" w:cs="Times New Roman"/>
          <w:highlight w:val="none"/>
        </w:rPr>
        <w:t>6</w:t>
      </w:r>
      <w:r>
        <w:rPr>
          <w:rFonts w:ascii="Times New Roman" w:hAnsi="Times New Roman" w:eastAsia="黑体" w:cs="Times New Roman"/>
          <w:highlight w:val="none"/>
        </w:rPr>
        <w:t>.3-</w:t>
      </w:r>
      <w:r>
        <w:rPr>
          <w:rFonts w:hint="eastAsia" w:ascii="Times New Roman" w:hAnsi="Times New Roman" w:eastAsia="黑体" w:cs="Times New Roman"/>
          <w:highlight w:val="none"/>
        </w:rPr>
        <w:t>1</w:t>
      </w:r>
      <w:r>
        <w:rPr>
          <w:rFonts w:ascii="Times New Roman" w:hAnsi="Times New Roman" w:eastAsia="黑体" w:cs="Times New Roman"/>
          <w:highlight w:val="none"/>
        </w:rPr>
        <w:t xml:space="preserve">  事故应急预案内容一览表</w:t>
      </w:r>
    </w:p>
    <w:tbl>
      <w:tblPr>
        <w:tblStyle w:val="56"/>
        <w:tblW w:w="0" w:type="auto"/>
        <w:jc w:val="center"/>
        <w:tblBorders>
          <w:top w:val="thinThickSmallGap" w:color="auto" w:sz="12" w:space="0"/>
          <w:left w:val="none" w:color="auto" w:sz="0" w:space="0"/>
          <w:bottom w:val="thickThinSmallGap" w:color="auto" w:sz="12" w:space="0"/>
          <w:right w:val="none" w:color="auto" w:sz="0" w:space="0"/>
          <w:insideH w:val="single" w:color="000000" w:sz="4" w:space="0"/>
          <w:insideV w:val="single" w:color="000000" w:sz="4" w:space="0"/>
        </w:tblBorders>
        <w:tblLayout w:type="autofit"/>
        <w:tblCellMar>
          <w:top w:w="0" w:type="dxa"/>
          <w:left w:w="108" w:type="dxa"/>
          <w:bottom w:w="0" w:type="dxa"/>
          <w:right w:w="108" w:type="dxa"/>
        </w:tblCellMar>
      </w:tblPr>
      <w:tblGrid>
        <w:gridCol w:w="647"/>
        <w:gridCol w:w="2283"/>
        <w:gridCol w:w="5592"/>
      </w:tblGrid>
      <w:tr w14:paraId="41166030">
        <w:tblPrEx>
          <w:tblBorders>
            <w:top w:val="thinThickSmallGap" w:color="auto" w:sz="12" w:space="0"/>
            <w:left w:val="none" w:color="auto" w:sz="0" w:space="0"/>
            <w:bottom w:val="thickThinSmallGap" w:color="auto"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47" w:hRule="atLeast"/>
          <w:tblHeader/>
          <w:jc w:val="center"/>
        </w:trPr>
        <w:tc>
          <w:tcPr>
            <w:tcW w:w="647" w:type="dxa"/>
            <w:tcBorders>
              <w:top w:val="thinThickSmallGap" w:color="auto" w:sz="12" w:space="0"/>
              <w:bottom w:val="single" w:color="000000" w:sz="4" w:space="0"/>
            </w:tcBorders>
            <w:shd w:val="clear" w:color="auto" w:fill="E0E0E0"/>
            <w:noWrap w:val="0"/>
            <w:vAlign w:val="center"/>
          </w:tcPr>
          <w:p w14:paraId="5FB475ED">
            <w:pPr>
              <w:jc w:val="center"/>
              <w:rPr>
                <w:rFonts w:ascii="Times New Roman" w:hAnsi="Times New Roman" w:cs="Times New Roman"/>
                <w:sz w:val="21"/>
                <w:szCs w:val="21"/>
                <w:highlight w:val="none"/>
              </w:rPr>
            </w:pPr>
            <w:r>
              <w:rPr>
                <w:rFonts w:ascii="Times New Roman" w:hAnsi="Times New Roman" w:cs="Times New Roman"/>
                <w:sz w:val="21"/>
                <w:szCs w:val="21"/>
                <w:highlight w:val="none"/>
              </w:rPr>
              <w:t>序号</w:t>
            </w:r>
          </w:p>
        </w:tc>
        <w:tc>
          <w:tcPr>
            <w:tcW w:w="2283" w:type="dxa"/>
            <w:tcBorders>
              <w:top w:val="thinThickSmallGap" w:color="auto" w:sz="12" w:space="0"/>
              <w:bottom w:val="single" w:color="000000" w:sz="4" w:space="0"/>
            </w:tcBorders>
            <w:shd w:val="clear" w:color="auto" w:fill="E0E0E0"/>
            <w:noWrap w:val="0"/>
            <w:vAlign w:val="center"/>
          </w:tcPr>
          <w:p w14:paraId="25D1FBF4">
            <w:pPr>
              <w:jc w:val="center"/>
              <w:rPr>
                <w:rFonts w:ascii="Times New Roman" w:hAnsi="Times New Roman" w:cs="Times New Roman"/>
                <w:sz w:val="21"/>
                <w:szCs w:val="21"/>
                <w:highlight w:val="none"/>
              </w:rPr>
            </w:pPr>
            <w:r>
              <w:rPr>
                <w:rFonts w:ascii="Times New Roman" w:hAnsi="Times New Roman" w:cs="Times New Roman"/>
                <w:sz w:val="21"/>
                <w:szCs w:val="21"/>
                <w:highlight w:val="none"/>
              </w:rPr>
              <w:t>项目</w:t>
            </w:r>
          </w:p>
        </w:tc>
        <w:tc>
          <w:tcPr>
            <w:tcW w:w="5592" w:type="dxa"/>
            <w:tcBorders>
              <w:top w:val="thinThickSmallGap" w:color="auto" w:sz="12" w:space="0"/>
              <w:bottom w:val="single" w:color="000000" w:sz="4" w:space="0"/>
            </w:tcBorders>
            <w:shd w:val="clear" w:color="auto" w:fill="E0E0E0"/>
            <w:noWrap w:val="0"/>
            <w:vAlign w:val="center"/>
          </w:tcPr>
          <w:p w14:paraId="6A393801">
            <w:pPr>
              <w:jc w:val="center"/>
              <w:rPr>
                <w:rFonts w:ascii="Times New Roman" w:hAnsi="Times New Roman" w:cs="Times New Roman"/>
                <w:sz w:val="21"/>
                <w:szCs w:val="21"/>
                <w:highlight w:val="none"/>
              </w:rPr>
            </w:pPr>
            <w:r>
              <w:rPr>
                <w:rFonts w:ascii="Times New Roman" w:hAnsi="Times New Roman" w:cs="Times New Roman"/>
                <w:sz w:val="21"/>
                <w:szCs w:val="21"/>
                <w:highlight w:val="none"/>
              </w:rPr>
              <w:t>主要内容</w:t>
            </w:r>
          </w:p>
        </w:tc>
      </w:tr>
      <w:tr w14:paraId="0CCA7AFC">
        <w:tblPrEx>
          <w:tblBorders>
            <w:top w:val="thinThickSmallGap" w:color="auto" w:sz="12" w:space="0"/>
            <w:left w:val="none" w:color="auto" w:sz="0" w:space="0"/>
            <w:bottom w:val="thickThinSmallGap" w:color="auto"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47" w:hRule="atLeast"/>
          <w:jc w:val="center"/>
        </w:trPr>
        <w:tc>
          <w:tcPr>
            <w:tcW w:w="647" w:type="dxa"/>
            <w:tcBorders>
              <w:top w:val="single" w:color="000000" w:sz="4" w:space="0"/>
            </w:tcBorders>
            <w:noWrap w:val="0"/>
            <w:vAlign w:val="center"/>
          </w:tcPr>
          <w:p w14:paraId="7666AA85">
            <w:pPr>
              <w:jc w:val="center"/>
              <w:rPr>
                <w:rFonts w:ascii="Times New Roman" w:hAnsi="Times New Roman" w:cs="Times New Roman"/>
                <w:sz w:val="21"/>
                <w:szCs w:val="21"/>
                <w:highlight w:val="none"/>
              </w:rPr>
            </w:pPr>
            <w:r>
              <w:rPr>
                <w:rFonts w:ascii="Times New Roman" w:hAnsi="Times New Roman" w:cs="Times New Roman"/>
                <w:sz w:val="21"/>
                <w:szCs w:val="21"/>
                <w:highlight w:val="none"/>
              </w:rPr>
              <w:t>1</w:t>
            </w:r>
          </w:p>
        </w:tc>
        <w:tc>
          <w:tcPr>
            <w:tcW w:w="2283" w:type="dxa"/>
            <w:tcBorders>
              <w:top w:val="single" w:color="000000" w:sz="4" w:space="0"/>
            </w:tcBorders>
            <w:noWrap w:val="0"/>
            <w:vAlign w:val="center"/>
          </w:tcPr>
          <w:p w14:paraId="6753504B">
            <w:pPr>
              <w:jc w:val="center"/>
              <w:rPr>
                <w:rFonts w:ascii="Times New Roman" w:hAnsi="Times New Roman" w:cs="Times New Roman"/>
                <w:sz w:val="21"/>
                <w:szCs w:val="21"/>
                <w:highlight w:val="none"/>
              </w:rPr>
            </w:pPr>
            <w:r>
              <w:rPr>
                <w:rFonts w:ascii="Times New Roman" w:hAnsi="Times New Roman" w:cs="Times New Roman"/>
                <w:sz w:val="21"/>
                <w:szCs w:val="21"/>
                <w:highlight w:val="none"/>
              </w:rPr>
              <w:t>总则</w:t>
            </w:r>
          </w:p>
        </w:tc>
        <w:tc>
          <w:tcPr>
            <w:tcW w:w="5592" w:type="dxa"/>
            <w:tcBorders>
              <w:top w:val="single" w:color="000000" w:sz="4" w:space="0"/>
            </w:tcBorders>
            <w:noWrap w:val="0"/>
            <w:vAlign w:val="center"/>
          </w:tcPr>
          <w:p w14:paraId="598BFAA1">
            <w:pPr>
              <w:rPr>
                <w:rFonts w:ascii="Times New Roman" w:hAnsi="Times New Roman" w:cs="Times New Roman"/>
                <w:sz w:val="21"/>
                <w:szCs w:val="21"/>
                <w:highlight w:val="none"/>
              </w:rPr>
            </w:pPr>
            <w:r>
              <w:rPr>
                <w:rFonts w:ascii="Times New Roman" w:hAnsi="Times New Roman" w:cs="Times New Roman"/>
                <w:sz w:val="21"/>
                <w:szCs w:val="21"/>
                <w:highlight w:val="none"/>
              </w:rPr>
              <w:t>编制目的，编制依据，适用范围，应急工作原则。</w:t>
            </w:r>
          </w:p>
        </w:tc>
      </w:tr>
      <w:tr w14:paraId="35555C88">
        <w:tblPrEx>
          <w:tblBorders>
            <w:top w:val="thinThickSmallGap" w:color="auto" w:sz="12" w:space="0"/>
            <w:left w:val="none" w:color="auto" w:sz="0" w:space="0"/>
            <w:bottom w:val="thickThinSmallGap" w:color="auto"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47" w:hRule="atLeast"/>
          <w:jc w:val="center"/>
        </w:trPr>
        <w:tc>
          <w:tcPr>
            <w:tcW w:w="647" w:type="dxa"/>
            <w:noWrap w:val="0"/>
            <w:vAlign w:val="center"/>
          </w:tcPr>
          <w:p w14:paraId="1712568D">
            <w:pPr>
              <w:jc w:val="center"/>
              <w:rPr>
                <w:rFonts w:ascii="Times New Roman" w:hAnsi="Times New Roman" w:cs="Times New Roman"/>
                <w:sz w:val="21"/>
                <w:szCs w:val="21"/>
                <w:highlight w:val="none"/>
              </w:rPr>
            </w:pPr>
            <w:r>
              <w:rPr>
                <w:rFonts w:ascii="Times New Roman" w:hAnsi="Times New Roman" w:cs="Times New Roman"/>
                <w:sz w:val="21"/>
                <w:szCs w:val="21"/>
                <w:highlight w:val="none"/>
              </w:rPr>
              <w:t>2</w:t>
            </w:r>
          </w:p>
        </w:tc>
        <w:tc>
          <w:tcPr>
            <w:tcW w:w="2283" w:type="dxa"/>
            <w:noWrap w:val="0"/>
            <w:vAlign w:val="center"/>
          </w:tcPr>
          <w:p w14:paraId="783D817D">
            <w:pPr>
              <w:jc w:val="center"/>
              <w:rPr>
                <w:rFonts w:ascii="Times New Roman" w:hAnsi="Times New Roman" w:cs="Times New Roman"/>
                <w:sz w:val="21"/>
                <w:szCs w:val="21"/>
                <w:highlight w:val="none"/>
              </w:rPr>
            </w:pPr>
            <w:r>
              <w:rPr>
                <w:rFonts w:ascii="Times New Roman" w:hAnsi="Times New Roman" w:cs="Times New Roman"/>
                <w:sz w:val="21"/>
                <w:szCs w:val="21"/>
                <w:highlight w:val="none"/>
              </w:rPr>
              <w:t>基本情况</w:t>
            </w:r>
          </w:p>
        </w:tc>
        <w:tc>
          <w:tcPr>
            <w:tcW w:w="5592" w:type="dxa"/>
            <w:noWrap w:val="0"/>
            <w:vAlign w:val="center"/>
          </w:tcPr>
          <w:p w14:paraId="7B5E0058">
            <w:pPr>
              <w:rPr>
                <w:rFonts w:ascii="Times New Roman" w:hAnsi="Times New Roman" w:cs="Times New Roman"/>
                <w:sz w:val="21"/>
                <w:szCs w:val="21"/>
                <w:highlight w:val="none"/>
              </w:rPr>
            </w:pPr>
            <w:r>
              <w:rPr>
                <w:rFonts w:ascii="Times New Roman" w:hAnsi="Times New Roman" w:cs="Times New Roman"/>
                <w:sz w:val="21"/>
                <w:szCs w:val="21"/>
                <w:highlight w:val="none"/>
              </w:rPr>
              <w:t>单位的基本情况及周边环境概况；</w:t>
            </w:r>
          </w:p>
          <w:p w14:paraId="6AF0B892">
            <w:pPr>
              <w:rPr>
                <w:rFonts w:ascii="Times New Roman" w:hAnsi="Times New Roman" w:cs="Times New Roman"/>
                <w:sz w:val="21"/>
                <w:szCs w:val="21"/>
                <w:highlight w:val="none"/>
              </w:rPr>
            </w:pPr>
            <w:r>
              <w:rPr>
                <w:rFonts w:ascii="Times New Roman" w:hAnsi="Times New Roman" w:cs="Times New Roman"/>
                <w:sz w:val="21"/>
                <w:szCs w:val="21"/>
                <w:highlight w:val="none"/>
              </w:rPr>
              <w:t>生产的基本情况；</w:t>
            </w:r>
          </w:p>
          <w:p w14:paraId="40112D0B">
            <w:pPr>
              <w:rPr>
                <w:rFonts w:ascii="Times New Roman" w:hAnsi="Times New Roman" w:cs="Times New Roman"/>
                <w:sz w:val="21"/>
                <w:szCs w:val="21"/>
                <w:highlight w:val="none"/>
              </w:rPr>
            </w:pPr>
            <w:r>
              <w:rPr>
                <w:rFonts w:ascii="Times New Roman" w:hAnsi="Times New Roman" w:cs="Times New Roman"/>
                <w:sz w:val="21"/>
                <w:szCs w:val="21"/>
                <w:highlight w:val="none"/>
              </w:rPr>
              <w:t>危险化学品和危险废物的基本情况。</w:t>
            </w:r>
          </w:p>
        </w:tc>
      </w:tr>
      <w:tr w14:paraId="383DD582">
        <w:tblPrEx>
          <w:tblBorders>
            <w:top w:val="thinThickSmallGap" w:color="auto" w:sz="12" w:space="0"/>
            <w:left w:val="none" w:color="auto" w:sz="0" w:space="0"/>
            <w:bottom w:val="thickThinSmallGap" w:color="auto"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47" w:hRule="atLeast"/>
          <w:jc w:val="center"/>
        </w:trPr>
        <w:tc>
          <w:tcPr>
            <w:tcW w:w="647" w:type="dxa"/>
            <w:noWrap w:val="0"/>
            <w:vAlign w:val="center"/>
          </w:tcPr>
          <w:p w14:paraId="5D043DB5">
            <w:pPr>
              <w:jc w:val="center"/>
              <w:rPr>
                <w:rFonts w:ascii="Times New Roman" w:hAnsi="Times New Roman" w:cs="Times New Roman"/>
                <w:sz w:val="21"/>
                <w:szCs w:val="21"/>
                <w:highlight w:val="none"/>
              </w:rPr>
            </w:pPr>
            <w:r>
              <w:rPr>
                <w:rFonts w:ascii="Times New Roman" w:hAnsi="Times New Roman" w:cs="Times New Roman"/>
                <w:sz w:val="21"/>
                <w:szCs w:val="21"/>
                <w:highlight w:val="none"/>
              </w:rPr>
              <w:t>3</w:t>
            </w:r>
          </w:p>
        </w:tc>
        <w:tc>
          <w:tcPr>
            <w:tcW w:w="2283" w:type="dxa"/>
            <w:noWrap w:val="0"/>
            <w:vAlign w:val="center"/>
          </w:tcPr>
          <w:p w14:paraId="707F0E49">
            <w:pPr>
              <w:jc w:val="center"/>
              <w:rPr>
                <w:rFonts w:ascii="Times New Roman" w:hAnsi="Times New Roman" w:cs="Times New Roman"/>
                <w:sz w:val="21"/>
                <w:szCs w:val="21"/>
                <w:highlight w:val="none"/>
              </w:rPr>
            </w:pPr>
            <w:r>
              <w:rPr>
                <w:rFonts w:ascii="Times New Roman" w:hAnsi="Times New Roman" w:cs="Times New Roman"/>
                <w:sz w:val="21"/>
                <w:szCs w:val="21"/>
                <w:highlight w:val="none"/>
              </w:rPr>
              <w:t>环境风险源辨识与风险评估</w:t>
            </w:r>
          </w:p>
        </w:tc>
        <w:tc>
          <w:tcPr>
            <w:tcW w:w="5592" w:type="dxa"/>
            <w:noWrap w:val="0"/>
            <w:vAlign w:val="center"/>
          </w:tcPr>
          <w:p w14:paraId="4EA4C2E5">
            <w:pPr>
              <w:rPr>
                <w:rFonts w:ascii="Times New Roman" w:hAnsi="Times New Roman" w:cs="Times New Roman"/>
                <w:sz w:val="21"/>
                <w:szCs w:val="21"/>
                <w:highlight w:val="none"/>
              </w:rPr>
            </w:pPr>
            <w:r>
              <w:rPr>
                <w:rFonts w:ascii="Times New Roman" w:hAnsi="Times New Roman" w:cs="Times New Roman"/>
                <w:sz w:val="21"/>
                <w:szCs w:val="21"/>
                <w:highlight w:val="none"/>
              </w:rPr>
              <w:t>风险源：车间、储存区</w:t>
            </w:r>
          </w:p>
          <w:p w14:paraId="7FBF6457">
            <w:pPr>
              <w:rPr>
                <w:rFonts w:ascii="Times New Roman" w:hAnsi="Times New Roman" w:cs="Times New Roman"/>
                <w:sz w:val="21"/>
                <w:szCs w:val="21"/>
                <w:highlight w:val="none"/>
              </w:rPr>
            </w:pPr>
            <w:r>
              <w:rPr>
                <w:rFonts w:ascii="Times New Roman" w:hAnsi="Times New Roman" w:cs="Times New Roman"/>
                <w:sz w:val="21"/>
                <w:szCs w:val="21"/>
                <w:highlight w:val="none"/>
              </w:rPr>
              <w:t>风险事故：火灾爆炸事故，有毒有害物质泄漏事故。</w:t>
            </w:r>
          </w:p>
        </w:tc>
      </w:tr>
      <w:tr w14:paraId="6BF80A55">
        <w:tblPrEx>
          <w:tblBorders>
            <w:top w:val="thinThickSmallGap" w:color="auto" w:sz="12" w:space="0"/>
            <w:left w:val="none" w:color="auto" w:sz="0" w:space="0"/>
            <w:bottom w:val="thickThinSmallGap" w:color="auto"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47" w:hRule="atLeast"/>
          <w:jc w:val="center"/>
        </w:trPr>
        <w:tc>
          <w:tcPr>
            <w:tcW w:w="647" w:type="dxa"/>
            <w:noWrap w:val="0"/>
            <w:vAlign w:val="center"/>
          </w:tcPr>
          <w:p w14:paraId="63ACB988">
            <w:pPr>
              <w:jc w:val="center"/>
              <w:rPr>
                <w:rFonts w:ascii="Times New Roman" w:hAnsi="Times New Roman" w:cs="Times New Roman"/>
                <w:sz w:val="21"/>
                <w:szCs w:val="21"/>
                <w:highlight w:val="none"/>
              </w:rPr>
            </w:pPr>
            <w:r>
              <w:rPr>
                <w:rFonts w:ascii="Times New Roman" w:hAnsi="Times New Roman" w:cs="Times New Roman"/>
                <w:sz w:val="21"/>
                <w:szCs w:val="21"/>
                <w:highlight w:val="none"/>
              </w:rPr>
              <w:t>4</w:t>
            </w:r>
          </w:p>
        </w:tc>
        <w:tc>
          <w:tcPr>
            <w:tcW w:w="2283" w:type="dxa"/>
            <w:noWrap w:val="0"/>
            <w:vAlign w:val="center"/>
          </w:tcPr>
          <w:p w14:paraId="344D1644">
            <w:pPr>
              <w:jc w:val="center"/>
              <w:rPr>
                <w:rFonts w:ascii="Times New Roman" w:hAnsi="Times New Roman" w:cs="Times New Roman"/>
                <w:sz w:val="21"/>
                <w:szCs w:val="21"/>
                <w:highlight w:val="none"/>
              </w:rPr>
            </w:pPr>
            <w:r>
              <w:rPr>
                <w:rFonts w:ascii="Times New Roman" w:hAnsi="Times New Roman" w:cs="Times New Roman"/>
                <w:sz w:val="21"/>
                <w:szCs w:val="21"/>
                <w:highlight w:val="none"/>
              </w:rPr>
              <w:t>组织机构及职责</w:t>
            </w:r>
          </w:p>
        </w:tc>
        <w:tc>
          <w:tcPr>
            <w:tcW w:w="5592" w:type="dxa"/>
            <w:noWrap w:val="0"/>
            <w:vAlign w:val="center"/>
          </w:tcPr>
          <w:p w14:paraId="7397E10B">
            <w:pPr>
              <w:rPr>
                <w:rFonts w:ascii="Times New Roman" w:hAnsi="Times New Roman" w:cs="Times New Roman"/>
                <w:sz w:val="21"/>
                <w:szCs w:val="21"/>
                <w:highlight w:val="none"/>
              </w:rPr>
            </w:pPr>
            <w:r>
              <w:rPr>
                <w:rFonts w:ascii="Times New Roman" w:hAnsi="Times New Roman" w:cs="Times New Roman"/>
                <w:sz w:val="21"/>
                <w:szCs w:val="21"/>
                <w:highlight w:val="none"/>
              </w:rPr>
              <w:t>应急组织体系，指挥机构及职责。</w:t>
            </w:r>
          </w:p>
        </w:tc>
      </w:tr>
      <w:tr w14:paraId="0FA42776">
        <w:tblPrEx>
          <w:tblBorders>
            <w:top w:val="thinThickSmallGap" w:color="auto" w:sz="12" w:space="0"/>
            <w:left w:val="none" w:color="auto" w:sz="0" w:space="0"/>
            <w:bottom w:val="thickThinSmallGap" w:color="auto"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47" w:hRule="atLeast"/>
          <w:jc w:val="center"/>
        </w:trPr>
        <w:tc>
          <w:tcPr>
            <w:tcW w:w="647" w:type="dxa"/>
            <w:noWrap w:val="0"/>
            <w:vAlign w:val="center"/>
          </w:tcPr>
          <w:p w14:paraId="3E539D97">
            <w:pPr>
              <w:jc w:val="center"/>
              <w:rPr>
                <w:rFonts w:ascii="Times New Roman" w:hAnsi="Times New Roman" w:cs="Times New Roman"/>
                <w:sz w:val="21"/>
                <w:szCs w:val="21"/>
                <w:highlight w:val="none"/>
              </w:rPr>
            </w:pPr>
            <w:r>
              <w:rPr>
                <w:rFonts w:ascii="Times New Roman" w:hAnsi="Times New Roman" w:cs="Times New Roman"/>
                <w:sz w:val="21"/>
                <w:szCs w:val="21"/>
                <w:highlight w:val="none"/>
              </w:rPr>
              <w:t>5</w:t>
            </w:r>
          </w:p>
        </w:tc>
        <w:tc>
          <w:tcPr>
            <w:tcW w:w="2283" w:type="dxa"/>
            <w:noWrap w:val="0"/>
            <w:vAlign w:val="center"/>
          </w:tcPr>
          <w:p w14:paraId="3A6FE6D1">
            <w:pPr>
              <w:jc w:val="center"/>
              <w:rPr>
                <w:rFonts w:ascii="Times New Roman" w:hAnsi="Times New Roman" w:cs="Times New Roman"/>
                <w:sz w:val="21"/>
                <w:szCs w:val="21"/>
                <w:highlight w:val="none"/>
              </w:rPr>
            </w:pPr>
            <w:r>
              <w:rPr>
                <w:rFonts w:ascii="Times New Roman" w:hAnsi="Times New Roman" w:cs="Times New Roman"/>
                <w:sz w:val="21"/>
                <w:szCs w:val="21"/>
                <w:highlight w:val="none"/>
              </w:rPr>
              <w:t>应急能力建设</w:t>
            </w:r>
          </w:p>
        </w:tc>
        <w:tc>
          <w:tcPr>
            <w:tcW w:w="5592" w:type="dxa"/>
            <w:noWrap w:val="0"/>
            <w:vAlign w:val="center"/>
          </w:tcPr>
          <w:p w14:paraId="07784868">
            <w:pPr>
              <w:rPr>
                <w:rFonts w:ascii="Times New Roman" w:hAnsi="Times New Roman" w:cs="Times New Roman"/>
                <w:sz w:val="21"/>
                <w:szCs w:val="21"/>
                <w:highlight w:val="none"/>
              </w:rPr>
            </w:pPr>
            <w:r>
              <w:rPr>
                <w:rFonts w:ascii="Times New Roman" w:hAnsi="Times New Roman" w:cs="Times New Roman"/>
                <w:sz w:val="21"/>
                <w:szCs w:val="21"/>
                <w:highlight w:val="none"/>
              </w:rPr>
              <w:t>应急队伍建设，应急设施和物资。</w:t>
            </w:r>
          </w:p>
        </w:tc>
      </w:tr>
      <w:tr w14:paraId="6521EB7C">
        <w:tblPrEx>
          <w:tblBorders>
            <w:top w:val="thinThickSmallGap" w:color="auto" w:sz="12" w:space="0"/>
            <w:left w:val="none" w:color="auto" w:sz="0" w:space="0"/>
            <w:bottom w:val="thickThinSmallGap" w:color="auto"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47" w:hRule="atLeast"/>
          <w:jc w:val="center"/>
        </w:trPr>
        <w:tc>
          <w:tcPr>
            <w:tcW w:w="647" w:type="dxa"/>
            <w:noWrap w:val="0"/>
            <w:vAlign w:val="center"/>
          </w:tcPr>
          <w:p w14:paraId="4D6007E1">
            <w:pPr>
              <w:jc w:val="center"/>
              <w:rPr>
                <w:rFonts w:ascii="Times New Roman" w:hAnsi="Times New Roman" w:cs="Times New Roman"/>
                <w:sz w:val="21"/>
                <w:szCs w:val="21"/>
                <w:highlight w:val="none"/>
              </w:rPr>
            </w:pPr>
            <w:r>
              <w:rPr>
                <w:rFonts w:ascii="Times New Roman" w:hAnsi="Times New Roman" w:cs="Times New Roman"/>
                <w:sz w:val="21"/>
                <w:szCs w:val="21"/>
                <w:highlight w:val="none"/>
              </w:rPr>
              <w:t>6</w:t>
            </w:r>
          </w:p>
        </w:tc>
        <w:tc>
          <w:tcPr>
            <w:tcW w:w="2283" w:type="dxa"/>
            <w:noWrap w:val="0"/>
            <w:vAlign w:val="center"/>
          </w:tcPr>
          <w:p w14:paraId="4FE9783A">
            <w:pPr>
              <w:jc w:val="center"/>
              <w:rPr>
                <w:rFonts w:ascii="Times New Roman" w:hAnsi="Times New Roman" w:cs="Times New Roman"/>
                <w:sz w:val="21"/>
                <w:szCs w:val="21"/>
                <w:highlight w:val="none"/>
              </w:rPr>
            </w:pPr>
            <w:r>
              <w:rPr>
                <w:rFonts w:ascii="Times New Roman" w:hAnsi="Times New Roman" w:cs="Times New Roman"/>
                <w:sz w:val="21"/>
                <w:szCs w:val="21"/>
                <w:highlight w:val="none"/>
              </w:rPr>
              <w:t>预防和预警</w:t>
            </w:r>
          </w:p>
        </w:tc>
        <w:tc>
          <w:tcPr>
            <w:tcW w:w="5592" w:type="dxa"/>
            <w:noWrap w:val="0"/>
            <w:vAlign w:val="center"/>
          </w:tcPr>
          <w:p w14:paraId="0F843110">
            <w:pPr>
              <w:rPr>
                <w:rFonts w:ascii="Times New Roman" w:hAnsi="Times New Roman" w:cs="Times New Roman"/>
                <w:sz w:val="21"/>
                <w:szCs w:val="21"/>
                <w:highlight w:val="none"/>
              </w:rPr>
            </w:pPr>
            <w:r>
              <w:rPr>
                <w:rFonts w:ascii="Times New Roman" w:hAnsi="Times New Roman" w:cs="Times New Roman"/>
                <w:sz w:val="21"/>
                <w:szCs w:val="21"/>
                <w:highlight w:val="none"/>
              </w:rPr>
              <w:t>危险源控制，预警行动，信息报告与处理。</w:t>
            </w:r>
          </w:p>
        </w:tc>
      </w:tr>
      <w:tr w14:paraId="632C3BDD">
        <w:tblPrEx>
          <w:tblBorders>
            <w:top w:val="thinThickSmallGap" w:color="auto" w:sz="12" w:space="0"/>
            <w:left w:val="none" w:color="auto" w:sz="0" w:space="0"/>
            <w:bottom w:val="thickThinSmallGap" w:color="auto"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47" w:hRule="atLeast"/>
          <w:jc w:val="center"/>
        </w:trPr>
        <w:tc>
          <w:tcPr>
            <w:tcW w:w="647" w:type="dxa"/>
            <w:noWrap w:val="0"/>
            <w:vAlign w:val="center"/>
          </w:tcPr>
          <w:p w14:paraId="330625FB">
            <w:pPr>
              <w:jc w:val="center"/>
              <w:rPr>
                <w:rFonts w:ascii="Times New Roman" w:hAnsi="Times New Roman" w:cs="Times New Roman"/>
                <w:sz w:val="21"/>
                <w:szCs w:val="21"/>
                <w:highlight w:val="none"/>
              </w:rPr>
            </w:pPr>
            <w:r>
              <w:rPr>
                <w:rFonts w:ascii="Times New Roman" w:hAnsi="Times New Roman" w:cs="Times New Roman"/>
                <w:sz w:val="21"/>
                <w:szCs w:val="21"/>
                <w:highlight w:val="none"/>
              </w:rPr>
              <w:t>7</w:t>
            </w:r>
          </w:p>
        </w:tc>
        <w:tc>
          <w:tcPr>
            <w:tcW w:w="2283" w:type="dxa"/>
            <w:noWrap w:val="0"/>
            <w:vAlign w:val="center"/>
          </w:tcPr>
          <w:p w14:paraId="29666C23">
            <w:pPr>
              <w:jc w:val="center"/>
              <w:rPr>
                <w:rFonts w:ascii="Times New Roman" w:hAnsi="Times New Roman" w:cs="Times New Roman"/>
                <w:sz w:val="21"/>
                <w:szCs w:val="21"/>
                <w:highlight w:val="none"/>
              </w:rPr>
            </w:pPr>
            <w:r>
              <w:rPr>
                <w:rFonts w:ascii="Times New Roman" w:hAnsi="Times New Roman" w:cs="Times New Roman"/>
                <w:sz w:val="21"/>
                <w:szCs w:val="21"/>
                <w:highlight w:val="none"/>
              </w:rPr>
              <w:t>应急响应</w:t>
            </w:r>
          </w:p>
        </w:tc>
        <w:tc>
          <w:tcPr>
            <w:tcW w:w="5592" w:type="dxa"/>
            <w:noWrap w:val="0"/>
            <w:vAlign w:val="center"/>
          </w:tcPr>
          <w:p w14:paraId="525ED92D">
            <w:pPr>
              <w:rPr>
                <w:rFonts w:ascii="Times New Roman" w:hAnsi="Times New Roman" w:cs="Times New Roman"/>
                <w:sz w:val="21"/>
                <w:szCs w:val="21"/>
                <w:highlight w:val="none"/>
              </w:rPr>
            </w:pPr>
            <w:r>
              <w:rPr>
                <w:rFonts w:ascii="Times New Roman" w:hAnsi="Times New Roman" w:cs="Times New Roman"/>
                <w:sz w:val="21"/>
                <w:szCs w:val="21"/>
                <w:highlight w:val="none"/>
              </w:rPr>
              <w:t>分级响应机制，响应程序，人员紧急疏散及撤离。</w:t>
            </w:r>
          </w:p>
        </w:tc>
      </w:tr>
      <w:tr w14:paraId="19A38098">
        <w:tblPrEx>
          <w:tblBorders>
            <w:top w:val="thinThickSmallGap" w:color="auto" w:sz="12" w:space="0"/>
            <w:left w:val="none" w:color="auto" w:sz="0" w:space="0"/>
            <w:bottom w:val="thickThinSmallGap" w:color="auto"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47" w:hRule="atLeast"/>
          <w:jc w:val="center"/>
        </w:trPr>
        <w:tc>
          <w:tcPr>
            <w:tcW w:w="647" w:type="dxa"/>
            <w:noWrap w:val="0"/>
            <w:vAlign w:val="center"/>
          </w:tcPr>
          <w:p w14:paraId="3E661D30">
            <w:pPr>
              <w:jc w:val="center"/>
              <w:rPr>
                <w:rFonts w:ascii="Times New Roman" w:hAnsi="Times New Roman" w:cs="Times New Roman"/>
                <w:sz w:val="21"/>
                <w:szCs w:val="21"/>
                <w:highlight w:val="none"/>
              </w:rPr>
            </w:pPr>
            <w:r>
              <w:rPr>
                <w:rFonts w:ascii="Times New Roman" w:hAnsi="Times New Roman" w:cs="Times New Roman"/>
                <w:sz w:val="21"/>
                <w:szCs w:val="21"/>
                <w:highlight w:val="none"/>
              </w:rPr>
              <w:t>8</w:t>
            </w:r>
          </w:p>
        </w:tc>
        <w:tc>
          <w:tcPr>
            <w:tcW w:w="2283" w:type="dxa"/>
            <w:noWrap w:val="0"/>
            <w:vAlign w:val="center"/>
          </w:tcPr>
          <w:p w14:paraId="2B9BAA32">
            <w:pPr>
              <w:jc w:val="center"/>
              <w:rPr>
                <w:rFonts w:ascii="Times New Roman" w:hAnsi="Times New Roman" w:cs="Times New Roman"/>
                <w:sz w:val="21"/>
                <w:szCs w:val="21"/>
                <w:highlight w:val="none"/>
              </w:rPr>
            </w:pPr>
            <w:r>
              <w:rPr>
                <w:rFonts w:ascii="Times New Roman" w:hAnsi="Times New Roman" w:cs="Times New Roman"/>
                <w:sz w:val="21"/>
                <w:szCs w:val="21"/>
                <w:highlight w:val="none"/>
              </w:rPr>
              <w:t>后期处理</w:t>
            </w:r>
          </w:p>
        </w:tc>
        <w:tc>
          <w:tcPr>
            <w:tcW w:w="5592" w:type="dxa"/>
            <w:noWrap w:val="0"/>
            <w:vAlign w:val="center"/>
          </w:tcPr>
          <w:p w14:paraId="7DBB98E5">
            <w:pPr>
              <w:rPr>
                <w:rFonts w:ascii="Times New Roman" w:hAnsi="Times New Roman" w:cs="Times New Roman"/>
                <w:sz w:val="21"/>
                <w:szCs w:val="21"/>
                <w:highlight w:val="none"/>
              </w:rPr>
            </w:pPr>
            <w:r>
              <w:rPr>
                <w:rFonts w:ascii="Times New Roman" w:hAnsi="Times New Roman" w:cs="Times New Roman"/>
                <w:sz w:val="21"/>
                <w:szCs w:val="21"/>
                <w:highlight w:val="none"/>
              </w:rPr>
              <w:t>污染物处理，事故后果影响消除、恢复生产秩序，善后赔偿。</w:t>
            </w:r>
          </w:p>
        </w:tc>
      </w:tr>
      <w:tr w14:paraId="4984D77C">
        <w:tblPrEx>
          <w:tblBorders>
            <w:top w:val="thinThickSmallGap" w:color="auto" w:sz="12" w:space="0"/>
            <w:left w:val="none" w:color="auto" w:sz="0" w:space="0"/>
            <w:bottom w:val="thickThinSmallGap" w:color="auto"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47" w:hRule="atLeast"/>
          <w:jc w:val="center"/>
        </w:trPr>
        <w:tc>
          <w:tcPr>
            <w:tcW w:w="647" w:type="dxa"/>
            <w:noWrap w:val="0"/>
            <w:vAlign w:val="center"/>
          </w:tcPr>
          <w:p w14:paraId="1C0A7322">
            <w:pPr>
              <w:jc w:val="center"/>
              <w:rPr>
                <w:rFonts w:ascii="Times New Roman" w:hAnsi="Times New Roman" w:cs="Times New Roman"/>
                <w:sz w:val="21"/>
                <w:szCs w:val="21"/>
                <w:highlight w:val="none"/>
              </w:rPr>
            </w:pPr>
            <w:r>
              <w:rPr>
                <w:rFonts w:ascii="Times New Roman" w:hAnsi="Times New Roman" w:cs="Times New Roman"/>
                <w:sz w:val="21"/>
                <w:szCs w:val="21"/>
                <w:highlight w:val="none"/>
              </w:rPr>
              <w:t>9</w:t>
            </w:r>
          </w:p>
        </w:tc>
        <w:tc>
          <w:tcPr>
            <w:tcW w:w="2283" w:type="dxa"/>
            <w:noWrap w:val="0"/>
            <w:vAlign w:val="center"/>
          </w:tcPr>
          <w:p w14:paraId="043DC814">
            <w:pPr>
              <w:jc w:val="center"/>
              <w:rPr>
                <w:rFonts w:ascii="Times New Roman" w:hAnsi="Times New Roman" w:cs="Times New Roman"/>
                <w:sz w:val="21"/>
                <w:szCs w:val="21"/>
                <w:highlight w:val="none"/>
              </w:rPr>
            </w:pPr>
            <w:r>
              <w:rPr>
                <w:rFonts w:ascii="Times New Roman" w:hAnsi="Times New Roman" w:cs="Times New Roman"/>
                <w:sz w:val="21"/>
                <w:szCs w:val="21"/>
                <w:highlight w:val="none"/>
              </w:rPr>
              <w:t>保障措施</w:t>
            </w:r>
          </w:p>
        </w:tc>
        <w:tc>
          <w:tcPr>
            <w:tcW w:w="5592" w:type="dxa"/>
            <w:noWrap w:val="0"/>
            <w:vAlign w:val="center"/>
          </w:tcPr>
          <w:p w14:paraId="33C34C4D">
            <w:pPr>
              <w:rPr>
                <w:rFonts w:ascii="Times New Roman" w:hAnsi="Times New Roman" w:cs="Times New Roman"/>
                <w:sz w:val="21"/>
                <w:szCs w:val="21"/>
                <w:highlight w:val="none"/>
              </w:rPr>
            </w:pPr>
            <w:r>
              <w:rPr>
                <w:rFonts w:ascii="Times New Roman" w:hAnsi="Times New Roman" w:cs="Times New Roman"/>
                <w:sz w:val="21"/>
                <w:szCs w:val="21"/>
                <w:highlight w:val="none"/>
              </w:rPr>
              <w:t>通信与信息保障，应急队伍保障，应急物资装备保障，经费保障，其他保障。</w:t>
            </w:r>
          </w:p>
        </w:tc>
      </w:tr>
      <w:tr w14:paraId="00E3967F">
        <w:tblPrEx>
          <w:tblBorders>
            <w:top w:val="thinThickSmallGap" w:color="auto" w:sz="12" w:space="0"/>
            <w:left w:val="none" w:color="auto" w:sz="0" w:space="0"/>
            <w:bottom w:val="thickThinSmallGap" w:color="auto"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47" w:hRule="atLeast"/>
          <w:jc w:val="center"/>
        </w:trPr>
        <w:tc>
          <w:tcPr>
            <w:tcW w:w="647" w:type="dxa"/>
            <w:noWrap w:val="0"/>
            <w:vAlign w:val="center"/>
          </w:tcPr>
          <w:p w14:paraId="7DC71BED">
            <w:pPr>
              <w:jc w:val="center"/>
              <w:rPr>
                <w:rFonts w:ascii="Times New Roman" w:hAnsi="Times New Roman" w:cs="Times New Roman"/>
                <w:sz w:val="21"/>
                <w:szCs w:val="21"/>
                <w:highlight w:val="none"/>
              </w:rPr>
            </w:pPr>
            <w:r>
              <w:rPr>
                <w:rFonts w:ascii="Times New Roman" w:hAnsi="Times New Roman" w:cs="Times New Roman"/>
                <w:sz w:val="21"/>
                <w:szCs w:val="21"/>
                <w:highlight w:val="none"/>
              </w:rPr>
              <w:t>10</w:t>
            </w:r>
          </w:p>
        </w:tc>
        <w:tc>
          <w:tcPr>
            <w:tcW w:w="2283" w:type="dxa"/>
            <w:noWrap w:val="0"/>
            <w:vAlign w:val="center"/>
          </w:tcPr>
          <w:p w14:paraId="1E2880D8">
            <w:pPr>
              <w:jc w:val="center"/>
              <w:rPr>
                <w:rFonts w:ascii="Times New Roman" w:hAnsi="Times New Roman" w:cs="Times New Roman"/>
                <w:sz w:val="21"/>
                <w:szCs w:val="21"/>
                <w:highlight w:val="none"/>
              </w:rPr>
            </w:pPr>
            <w:r>
              <w:rPr>
                <w:rFonts w:ascii="Times New Roman" w:hAnsi="Times New Roman" w:cs="Times New Roman"/>
                <w:sz w:val="21"/>
                <w:szCs w:val="21"/>
                <w:highlight w:val="none"/>
              </w:rPr>
              <w:t>培训与演练</w:t>
            </w:r>
          </w:p>
        </w:tc>
        <w:tc>
          <w:tcPr>
            <w:tcW w:w="5592" w:type="dxa"/>
            <w:noWrap w:val="0"/>
            <w:vAlign w:val="center"/>
          </w:tcPr>
          <w:p w14:paraId="7EFA3AFB">
            <w:pPr>
              <w:rPr>
                <w:rFonts w:ascii="Times New Roman" w:hAnsi="Times New Roman" w:cs="Times New Roman"/>
                <w:sz w:val="21"/>
                <w:szCs w:val="21"/>
                <w:highlight w:val="none"/>
              </w:rPr>
            </w:pPr>
            <w:r>
              <w:rPr>
                <w:rFonts w:ascii="Times New Roman" w:hAnsi="Times New Roman" w:cs="Times New Roman"/>
                <w:sz w:val="21"/>
                <w:szCs w:val="21"/>
                <w:highlight w:val="none"/>
              </w:rPr>
              <w:t>应急救援人员的培训，员工应急响应的培训，公司每年至少组织两次全员性的应急救援演练。</w:t>
            </w:r>
          </w:p>
        </w:tc>
      </w:tr>
      <w:tr w14:paraId="5D957DFD">
        <w:tblPrEx>
          <w:tblBorders>
            <w:top w:val="thinThickSmallGap" w:color="auto" w:sz="12" w:space="0"/>
            <w:left w:val="none" w:color="auto" w:sz="0" w:space="0"/>
            <w:bottom w:val="thickThinSmallGap" w:color="auto"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47" w:hRule="atLeast"/>
          <w:jc w:val="center"/>
        </w:trPr>
        <w:tc>
          <w:tcPr>
            <w:tcW w:w="647" w:type="dxa"/>
            <w:noWrap w:val="0"/>
            <w:vAlign w:val="center"/>
          </w:tcPr>
          <w:p w14:paraId="770B0B66">
            <w:pPr>
              <w:jc w:val="center"/>
              <w:rPr>
                <w:rFonts w:ascii="Times New Roman" w:hAnsi="Times New Roman" w:cs="Times New Roman"/>
                <w:sz w:val="21"/>
                <w:szCs w:val="21"/>
                <w:highlight w:val="none"/>
              </w:rPr>
            </w:pPr>
            <w:r>
              <w:rPr>
                <w:rFonts w:ascii="Times New Roman" w:hAnsi="Times New Roman" w:cs="Times New Roman"/>
                <w:sz w:val="21"/>
                <w:szCs w:val="21"/>
                <w:highlight w:val="none"/>
              </w:rPr>
              <w:t>11</w:t>
            </w:r>
          </w:p>
        </w:tc>
        <w:tc>
          <w:tcPr>
            <w:tcW w:w="2283" w:type="dxa"/>
            <w:noWrap w:val="0"/>
            <w:vAlign w:val="center"/>
          </w:tcPr>
          <w:p w14:paraId="478300B7">
            <w:pPr>
              <w:jc w:val="center"/>
              <w:rPr>
                <w:rFonts w:ascii="Times New Roman" w:hAnsi="Times New Roman" w:cs="Times New Roman"/>
                <w:sz w:val="21"/>
                <w:szCs w:val="21"/>
                <w:highlight w:val="none"/>
              </w:rPr>
            </w:pPr>
            <w:r>
              <w:rPr>
                <w:rFonts w:ascii="Times New Roman" w:hAnsi="Times New Roman" w:cs="Times New Roman"/>
                <w:sz w:val="21"/>
                <w:szCs w:val="21"/>
                <w:highlight w:val="none"/>
              </w:rPr>
              <w:t>奖惩</w:t>
            </w:r>
          </w:p>
        </w:tc>
        <w:tc>
          <w:tcPr>
            <w:tcW w:w="5592" w:type="dxa"/>
            <w:noWrap w:val="0"/>
            <w:vAlign w:val="center"/>
          </w:tcPr>
          <w:p w14:paraId="311C7CB1">
            <w:pPr>
              <w:rPr>
                <w:rFonts w:ascii="Times New Roman" w:hAnsi="Times New Roman" w:cs="Times New Roman"/>
                <w:sz w:val="21"/>
                <w:szCs w:val="21"/>
                <w:highlight w:val="none"/>
              </w:rPr>
            </w:pPr>
            <w:r>
              <w:rPr>
                <w:rFonts w:ascii="Times New Roman" w:hAnsi="Times New Roman" w:cs="Times New Roman"/>
                <w:sz w:val="21"/>
                <w:szCs w:val="21"/>
                <w:highlight w:val="none"/>
              </w:rPr>
              <w:t>事故应急救援抢险中积极抢险、救助他人、抢救财产表现突出者；预案演练工作中，表现突出的员工；在事故应急救援演习中，不服从指挥命令，消极怠工等不良表现者，依据《安全生产奖惩管理制度》执行。</w:t>
            </w:r>
          </w:p>
        </w:tc>
      </w:tr>
      <w:tr w14:paraId="7B59C619">
        <w:tblPrEx>
          <w:tblBorders>
            <w:top w:val="thinThickSmallGap" w:color="auto" w:sz="12" w:space="0"/>
            <w:left w:val="none" w:color="auto" w:sz="0" w:space="0"/>
            <w:bottom w:val="thickThinSmallGap" w:color="auto"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47" w:hRule="atLeast"/>
          <w:jc w:val="center"/>
        </w:trPr>
        <w:tc>
          <w:tcPr>
            <w:tcW w:w="647" w:type="dxa"/>
            <w:noWrap w:val="0"/>
            <w:vAlign w:val="center"/>
          </w:tcPr>
          <w:p w14:paraId="783A751B">
            <w:pPr>
              <w:jc w:val="center"/>
              <w:rPr>
                <w:rFonts w:ascii="Times New Roman" w:hAnsi="Times New Roman" w:cs="Times New Roman"/>
                <w:sz w:val="21"/>
                <w:szCs w:val="21"/>
                <w:highlight w:val="none"/>
              </w:rPr>
            </w:pPr>
            <w:r>
              <w:rPr>
                <w:rFonts w:ascii="Times New Roman" w:hAnsi="Times New Roman" w:cs="Times New Roman"/>
                <w:sz w:val="21"/>
                <w:szCs w:val="21"/>
                <w:highlight w:val="none"/>
              </w:rPr>
              <w:t>12</w:t>
            </w:r>
          </w:p>
        </w:tc>
        <w:tc>
          <w:tcPr>
            <w:tcW w:w="2283" w:type="dxa"/>
            <w:noWrap w:val="0"/>
            <w:vAlign w:val="center"/>
          </w:tcPr>
          <w:p w14:paraId="044CBD69">
            <w:pPr>
              <w:jc w:val="center"/>
              <w:rPr>
                <w:rFonts w:ascii="Times New Roman" w:hAnsi="Times New Roman" w:cs="Times New Roman"/>
                <w:sz w:val="21"/>
                <w:szCs w:val="21"/>
                <w:highlight w:val="none"/>
              </w:rPr>
            </w:pPr>
            <w:r>
              <w:rPr>
                <w:rFonts w:ascii="Times New Roman" w:hAnsi="Times New Roman" w:cs="Times New Roman"/>
                <w:sz w:val="21"/>
                <w:szCs w:val="21"/>
                <w:highlight w:val="none"/>
              </w:rPr>
              <w:t>预案评审、发布和更新</w:t>
            </w:r>
          </w:p>
        </w:tc>
        <w:tc>
          <w:tcPr>
            <w:tcW w:w="5592" w:type="dxa"/>
            <w:noWrap w:val="0"/>
            <w:vAlign w:val="center"/>
          </w:tcPr>
          <w:p w14:paraId="292C58A3">
            <w:pPr>
              <w:rPr>
                <w:rFonts w:ascii="Times New Roman" w:hAnsi="Times New Roman" w:cs="Times New Roman"/>
                <w:sz w:val="21"/>
                <w:szCs w:val="21"/>
                <w:highlight w:val="none"/>
              </w:rPr>
            </w:pPr>
            <w:r>
              <w:rPr>
                <w:rFonts w:ascii="Times New Roman" w:hAnsi="Times New Roman" w:cs="Times New Roman"/>
                <w:sz w:val="21"/>
                <w:szCs w:val="21"/>
                <w:highlight w:val="none"/>
              </w:rPr>
              <w:t>预案经评审，由总经理批准后，按规定报开发区环保局备案。预案发布之日起实施生效，每三年进行一次修订，及时向有关部门或者单位报告应急预案的修订情况，并按照有关应急报备程序重新备案。</w:t>
            </w:r>
          </w:p>
        </w:tc>
      </w:tr>
      <w:tr w14:paraId="5D27B1CA">
        <w:tblPrEx>
          <w:tblBorders>
            <w:top w:val="thinThickSmallGap" w:color="auto" w:sz="12" w:space="0"/>
            <w:left w:val="none" w:color="auto" w:sz="0" w:space="0"/>
            <w:bottom w:val="thickThinSmallGap" w:color="auto"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47" w:hRule="atLeast"/>
          <w:jc w:val="center"/>
        </w:trPr>
        <w:tc>
          <w:tcPr>
            <w:tcW w:w="647" w:type="dxa"/>
            <w:noWrap w:val="0"/>
            <w:vAlign w:val="center"/>
          </w:tcPr>
          <w:p w14:paraId="45B22BF9">
            <w:pPr>
              <w:jc w:val="center"/>
              <w:rPr>
                <w:rFonts w:ascii="Times New Roman" w:hAnsi="Times New Roman" w:cs="Times New Roman"/>
                <w:sz w:val="21"/>
                <w:szCs w:val="21"/>
                <w:highlight w:val="none"/>
              </w:rPr>
            </w:pPr>
            <w:r>
              <w:rPr>
                <w:rFonts w:ascii="Times New Roman" w:hAnsi="Times New Roman" w:cs="Times New Roman"/>
                <w:sz w:val="21"/>
                <w:szCs w:val="21"/>
                <w:highlight w:val="none"/>
              </w:rPr>
              <w:t>13</w:t>
            </w:r>
          </w:p>
        </w:tc>
        <w:tc>
          <w:tcPr>
            <w:tcW w:w="2283" w:type="dxa"/>
            <w:noWrap w:val="0"/>
            <w:vAlign w:val="center"/>
          </w:tcPr>
          <w:p w14:paraId="1BFD0F6C">
            <w:pPr>
              <w:jc w:val="center"/>
              <w:rPr>
                <w:rFonts w:ascii="Times New Roman" w:hAnsi="Times New Roman" w:cs="Times New Roman"/>
                <w:sz w:val="21"/>
                <w:szCs w:val="21"/>
                <w:highlight w:val="none"/>
              </w:rPr>
            </w:pPr>
            <w:r>
              <w:rPr>
                <w:rFonts w:ascii="Times New Roman" w:hAnsi="Times New Roman" w:cs="Times New Roman"/>
                <w:sz w:val="21"/>
                <w:szCs w:val="21"/>
                <w:highlight w:val="none"/>
              </w:rPr>
              <w:t>附录</w:t>
            </w:r>
          </w:p>
        </w:tc>
        <w:tc>
          <w:tcPr>
            <w:tcW w:w="5592" w:type="dxa"/>
            <w:noWrap w:val="0"/>
            <w:vAlign w:val="center"/>
          </w:tcPr>
          <w:p w14:paraId="1B205C54">
            <w:pPr>
              <w:rPr>
                <w:rFonts w:ascii="Times New Roman" w:hAnsi="Times New Roman" w:cs="Times New Roman"/>
                <w:sz w:val="21"/>
                <w:szCs w:val="21"/>
                <w:highlight w:val="none"/>
              </w:rPr>
            </w:pPr>
            <w:r>
              <w:rPr>
                <w:rFonts w:ascii="Times New Roman" w:hAnsi="Times New Roman" w:cs="Times New Roman"/>
                <w:sz w:val="21"/>
                <w:szCs w:val="21"/>
                <w:highlight w:val="none"/>
              </w:rPr>
              <w:t>危险废物登记表，公司应急处置有关人员联系电话表，应急设施平面布置图等。</w:t>
            </w:r>
          </w:p>
        </w:tc>
      </w:tr>
    </w:tbl>
    <w:p w14:paraId="5A8495BA">
      <w:pPr>
        <w:numPr>
          <w:ilvl w:val="0"/>
          <w:numId w:val="33"/>
        </w:numPr>
        <w:adjustRightInd w:val="0"/>
        <w:snapToGrid w:val="0"/>
        <w:spacing w:line="480" w:lineRule="exact"/>
        <w:rPr>
          <w:rFonts w:ascii="Times New Roman" w:hAnsi="Times New Roman" w:cs="Times New Roman"/>
          <w:highlight w:val="none"/>
        </w:rPr>
      </w:pPr>
      <w:r>
        <w:rPr>
          <w:rFonts w:ascii="Times New Roman" w:hAnsi="Times New Roman" w:cs="Times New Roman"/>
          <w:highlight w:val="none"/>
        </w:rPr>
        <w:t>突发环境事件风险评估报告主要内容</w:t>
      </w:r>
    </w:p>
    <w:p w14:paraId="109F6C10">
      <w:pPr>
        <w:adjustRightInd w:val="0"/>
        <w:snapToGrid w:val="0"/>
        <w:spacing w:line="500" w:lineRule="exact"/>
        <w:ind w:firstLine="480" w:firstLineChars="200"/>
        <w:rPr>
          <w:rFonts w:ascii="Times New Roman" w:hAnsi="Times New Roman" w:cs="Times New Roman"/>
          <w:highlight w:val="none"/>
        </w:rPr>
      </w:pPr>
      <w:r>
        <w:rPr>
          <w:rFonts w:ascii="Times New Roman" w:hAnsi="Times New Roman" w:cs="Times New Roman"/>
          <w:highlight w:val="none"/>
        </w:rPr>
        <w:t>突发环境事件风险评估报告的主要内容见表</w:t>
      </w:r>
      <w:r>
        <w:rPr>
          <w:rFonts w:hint="eastAsia" w:ascii="Times New Roman" w:hAnsi="Times New Roman" w:eastAsia="黑体" w:cs="Times New Roman"/>
          <w:highlight w:val="none"/>
        </w:rPr>
        <w:t>6</w:t>
      </w:r>
      <w:r>
        <w:rPr>
          <w:rFonts w:ascii="Times New Roman" w:hAnsi="Times New Roman" w:eastAsia="黑体" w:cs="Times New Roman"/>
          <w:highlight w:val="none"/>
        </w:rPr>
        <w:t>.3-</w:t>
      </w:r>
      <w:r>
        <w:rPr>
          <w:rFonts w:hint="eastAsia" w:ascii="Times New Roman" w:hAnsi="Times New Roman" w:eastAsia="黑体" w:cs="Times New Roman"/>
          <w:highlight w:val="none"/>
        </w:rPr>
        <w:t>2</w:t>
      </w:r>
      <w:r>
        <w:rPr>
          <w:rFonts w:ascii="Times New Roman" w:hAnsi="Times New Roman" w:cs="Times New Roman"/>
          <w:highlight w:val="none"/>
        </w:rPr>
        <w:t>。</w:t>
      </w:r>
    </w:p>
    <w:p w14:paraId="05B5C708">
      <w:pPr>
        <w:adjustRightInd w:val="0"/>
        <w:jc w:val="center"/>
        <w:rPr>
          <w:rFonts w:ascii="Times New Roman" w:hAnsi="Times New Roman" w:eastAsia="黑体" w:cs="Times New Roman"/>
          <w:highlight w:val="none"/>
        </w:rPr>
      </w:pPr>
      <w:r>
        <w:rPr>
          <w:rFonts w:ascii="Times New Roman" w:hAnsi="Times New Roman" w:eastAsia="黑体" w:cs="Times New Roman"/>
          <w:highlight w:val="none"/>
        </w:rPr>
        <w:t>表</w:t>
      </w:r>
      <w:r>
        <w:rPr>
          <w:rFonts w:hint="eastAsia" w:ascii="Times New Roman" w:hAnsi="Times New Roman" w:eastAsia="黑体" w:cs="Times New Roman"/>
          <w:highlight w:val="none"/>
        </w:rPr>
        <w:t>6</w:t>
      </w:r>
      <w:r>
        <w:rPr>
          <w:rFonts w:ascii="Times New Roman" w:hAnsi="Times New Roman" w:eastAsia="黑体" w:cs="Times New Roman"/>
          <w:highlight w:val="none"/>
        </w:rPr>
        <w:t>.3-</w:t>
      </w:r>
      <w:r>
        <w:rPr>
          <w:rFonts w:hint="eastAsia" w:ascii="Times New Roman" w:hAnsi="Times New Roman" w:eastAsia="黑体" w:cs="Times New Roman"/>
          <w:highlight w:val="none"/>
        </w:rPr>
        <w:t>2</w:t>
      </w:r>
      <w:r>
        <w:rPr>
          <w:rFonts w:ascii="Times New Roman" w:hAnsi="Times New Roman" w:eastAsia="黑体" w:cs="Times New Roman"/>
          <w:highlight w:val="none"/>
        </w:rPr>
        <w:t xml:space="preserve">  风险评估报告内容一览表</w:t>
      </w:r>
    </w:p>
    <w:tbl>
      <w:tblPr>
        <w:tblStyle w:val="56"/>
        <w:tblW w:w="0" w:type="auto"/>
        <w:jc w:val="center"/>
        <w:tblBorders>
          <w:top w:val="thinThickSmallGap" w:color="auto" w:sz="12" w:space="0"/>
          <w:left w:val="none" w:color="auto" w:sz="0" w:space="0"/>
          <w:bottom w:val="thickThinSmallGap" w:color="auto" w:sz="12" w:space="0"/>
          <w:right w:val="none" w:color="auto" w:sz="0" w:space="0"/>
          <w:insideH w:val="single" w:color="000000" w:sz="4" w:space="0"/>
          <w:insideV w:val="single" w:color="000000" w:sz="4" w:space="0"/>
        </w:tblBorders>
        <w:tblLayout w:type="autofit"/>
        <w:tblCellMar>
          <w:top w:w="0" w:type="dxa"/>
          <w:left w:w="108" w:type="dxa"/>
          <w:bottom w:w="0" w:type="dxa"/>
          <w:right w:w="108" w:type="dxa"/>
        </w:tblCellMar>
      </w:tblPr>
      <w:tblGrid>
        <w:gridCol w:w="641"/>
        <w:gridCol w:w="2263"/>
        <w:gridCol w:w="5543"/>
      </w:tblGrid>
      <w:tr w14:paraId="40E50DA5">
        <w:tblPrEx>
          <w:tblBorders>
            <w:top w:val="thinThickSmallGap" w:color="auto" w:sz="12" w:space="0"/>
            <w:left w:val="none" w:color="auto" w:sz="0" w:space="0"/>
            <w:bottom w:val="thickThinSmallGap" w:color="auto"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21" w:hRule="atLeast"/>
          <w:tblHeader/>
          <w:jc w:val="center"/>
        </w:trPr>
        <w:tc>
          <w:tcPr>
            <w:tcW w:w="641" w:type="dxa"/>
            <w:tcBorders>
              <w:top w:val="thinThickSmallGap" w:color="auto" w:sz="12" w:space="0"/>
              <w:bottom w:val="single" w:color="000000" w:sz="4" w:space="0"/>
            </w:tcBorders>
            <w:shd w:val="clear" w:color="auto" w:fill="E0E0E0"/>
            <w:noWrap w:val="0"/>
            <w:vAlign w:val="center"/>
          </w:tcPr>
          <w:p w14:paraId="64A58E28">
            <w:pPr>
              <w:jc w:val="center"/>
              <w:rPr>
                <w:rFonts w:ascii="Times New Roman" w:hAnsi="Times New Roman" w:cs="Times New Roman"/>
                <w:sz w:val="21"/>
                <w:szCs w:val="21"/>
                <w:highlight w:val="none"/>
              </w:rPr>
            </w:pPr>
            <w:r>
              <w:rPr>
                <w:rFonts w:ascii="Times New Roman" w:hAnsi="Times New Roman" w:cs="Times New Roman"/>
                <w:sz w:val="21"/>
                <w:szCs w:val="21"/>
                <w:highlight w:val="none"/>
              </w:rPr>
              <w:t>序号</w:t>
            </w:r>
          </w:p>
        </w:tc>
        <w:tc>
          <w:tcPr>
            <w:tcW w:w="2263" w:type="dxa"/>
            <w:tcBorders>
              <w:top w:val="thinThickSmallGap" w:color="auto" w:sz="12" w:space="0"/>
              <w:bottom w:val="single" w:color="000000" w:sz="4" w:space="0"/>
            </w:tcBorders>
            <w:shd w:val="clear" w:color="auto" w:fill="E0E0E0"/>
            <w:noWrap w:val="0"/>
            <w:vAlign w:val="center"/>
          </w:tcPr>
          <w:p w14:paraId="70DB17B3">
            <w:pPr>
              <w:jc w:val="center"/>
              <w:rPr>
                <w:rFonts w:ascii="Times New Roman" w:hAnsi="Times New Roman" w:cs="Times New Roman"/>
                <w:sz w:val="21"/>
                <w:szCs w:val="21"/>
                <w:highlight w:val="none"/>
              </w:rPr>
            </w:pPr>
            <w:r>
              <w:rPr>
                <w:rFonts w:ascii="Times New Roman" w:hAnsi="Times New Roman" w:cs="Times New Roman"/>
                <w:sz w:val="21"/>
                <w:szCs w:val="21"/>
                <w:highlight w:val="none"/>
              </w:rPr>
              <w:t>项目</w:t>
            </w:r>
          </w:p>
        </w:tc>
        <w:tc>
          <w:tcPr>
            <w:tcW w:w="5543" w:type="dxa"/>
            <w:tcBorders>
              <w:top w:val="thinThickSmallGap" w:color="auto" w:sz="12" w:space="0"/>
              <w:bottom w:val="single" w:color="000000" w:sz="4" w:space="0"/>
            </w:tcBorders>
            <w:shd w:val="clear" w:color="auto" w:fill="E0E0E0"/>
            <w:noWrap w:val="0"/>
            <w:vAlign w:val="center"/>
          </w:tcPr>
          <w:p w14:paraId="4569AC64">
            <w:pPr>
              <w:jc w:val="center"/>
              <w:rPr>
                <w:rFonts w:ascii="Times New Roman" w:hAnsi="Times New Roman" w:cs="Times New Roman"/>
                <w:sz w:val="21"/>
                <w:szCs w:val="21"/>
                <w:highlight w:val="none"/>
              </w:rPr>
            </w:pPr>
            <w:r>
              <w:rPr>
                <w:rFonts w:ascii="Times New Roman" w:hAnsi="Times New Roman" w:cs="Times New Roman"/>
                <w:sz w:val="21"/>
                <w:szCs w:val="21"/>
                <w:highlight w:val="none"/>
              </w:rPr>
              <w:t>主要内容</w:t>
            </w:r>
          </w:p>
        </w:tc>
      </w:tr>
      <w:tr w14:paraId="0EDBD430">
        <w:tblPrEx>
          <w:tblBorders>
            <w:top w:val="thinThickSmallGap" w:color="auto" w:sz="12" w:space="0"/>
            <w:left w:val="none" w:color="auto" w:sz="0" w:space="0"/>
            <w:bottom w:val="thickThinSmallGap" w:color="auto"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21" w:hRule="atLeast"/>
          <w:jc w:val="center"/>
        </w:trPr>
        <w:tc>
          <w:tcPr>
            <w:tcW w:w="641" w:type="dxa"/>
            <w:tcBorders>
              <w:top w:val="single" w:color="000000" w:sz="4" w:space="0"/>
            </w:tcBorders>
            <w:noWrap w:val="0"/>
            <w:vAlign w:val="center"/>
          </w:tcPr>
          <w:p w14:paraId="3D6A6E08">
            <w:pPr>
              <w:jc w:val="center"/>
              <w:rPr>
                <w:rFonts w:ascii="Times New Roman" w:hAnsi="Times New Roman" w:cs="Times New Roman"/>
                <w:sz w:val="21"/>
                <w:szCs w:val="21"/>
                <w:highlight w:val="none"/>
              </w:rPr>
            </w:pPr>
            <w:r>
              <w:rPr>
                <w:rFonts w:ascii="Times New Roman" w:hAnsi="Times New Roman" w:cs="Times New Roman"/>
                <w:sz w:val="21"/>
                <w:szCs w:val="21"/>
                <w:highlight w:val="none"/>
              </w:rPr>
              <w:t>1</w:t>
            </w:r>
          </w:p>
        </w:tc>
        <w:tc>
          <w:tcPr>
            <w:tcW w:w="2263" w:type="dxa"/>
            <w:tcBorders>
              <w:top w:val="single" w:color="000000" w:sz="4" w:space="0"/>
            </w:tcBorders>
            <w:noWrap w:val="0"/>
            <w:vAlign w:val="center"/>
          </w:tcPr>
          <w:p w14:paraId="0B77AD69">
            <w:pPr>
              <w:jc w:val="center"/>
              <w:rPr>
                <w:rFonts w:ascii="Times New Roman" w:hAnsi="Times New Roman" w:cs="Times New Roman"/>
                <w:sz w:val="21"/>
                <w:szCs w:val="21"/>
                <w:highlight w:val="none"/>
              </w:rPr>
            </w:pPr>
            <w:r>
              <w:rPr>
                <w:rFonts w:ascii="Times New Roman" w:hAnsi="Times New Roman" w:cs="Times New Roman"/>
                <w:sz w:val="21"/>
                <w:szCs w:val="21"/>
                <w:highlight w:val="none"/>
              </w:rPr>
              <w:t>前言</w:t>
            </w:r>
          </w:p>
        </w:tc>
        <w:tc>
          <w:tcPr>
            <w:tcW w:w="5543" w:type="dxa"/>
            <w:tcBorders>
              <w:top w:val="single" w:color="000000" w:sz="4" w:space="0"/>
            </w:tcBorders>
            <w:noWrap w:val="0"/>
            <w:vAlign w:val="center"/>
          </w:tcPr>
          <w:p w14:paraId="0DC324FC">
            <w:pPr>
              <w:jc w:val="center"/>
              <w:rPr>
                <w:rFonts w:ascii="Times New Roman" w:hAnsi="Times New Roman" w:cs="Times New Roman"/>
                <w:sz w:val="21"/>
                <w:szCs w:val="21"/>
                <w:highlight w:val="none"/>
              </w:rPr>
            </w:pPr>
            <w:r>
              <w:rPr>
                <w:rFonts w:ascii="Times New Roman" w:hAnsi="Times New Roman" w:cs="Times New Roman"/>
                <w:sz w:val="21"/>
                <w:szCs w:val="21"/>
                <w:highlight w:val="none"/>
              </w:rPr>
              <w:t>--</w:t>
            </w:r>
          </w:p>
        </w:tc>
      </w:tr>
      <w:tr w14:paraId="62000B12">
        <w:tblPrEx>
          <w:tblBorders>
            <w:top w:val="thinThickSmallGap" w:color="auto" w:sz="12" w:space="0"/>
            <w:left w:val="none" w:color="auto" w:sz="0" w:space="0"/>
            <w:bottom w:val="thickThinSmallGap" w:color="auto"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21" w:hRule="atLeast"/>
          <w:jc w:val="center"/>
        </w:trPr>
        <w:tc>
          <w:tcPr>
            <w:tcW w:w="641" w:type="dxa"/>
            <w:noWrap w:val="0"/>
            <w:vAlign w:val="center"/>
          </w:tcPr>
          <w:p w14:paraId="573FE472">
            <w:pPr>
              <w:jc w:val="center"/>
              <w:rPr>
                <w:rFonts w:ascii="Times New Roman" w:hAnsi="Times New Roman" w:cs="Times New Roman"/>
                <w:sz w:val="21"/>
                <w:szCs w:val="21"/>
                <w:highlight w:val="none"/>
              </w:rPr>
            </w:pPr>
            <w:r>
              <w:rPr>
                <w:rFonts w:ascii="Times New Roman" w:hAnsi="Times New Roman" w:cs="Times New Roman"/>
                <w:sz w:val="21"/>
                <w:szCs w:val="21"/>
                <w:highlight w:val="none"/>
              </w:rPr>
              <w:t>2</w:t>
            </w:r>
          </w:p>
        </w:tc>
        <w:tc>
          <w:tcPr>
            <w:tcW w:w="2263" w:type="dxa"/>
            <w:noWrap w:val="0"/>
            <w:vAlign w:val="center"/>
          </w:tcPr>
          <w:p w14:paraId="0E9D32FE">
            <w:pPr>
              <w:jc w:val="center"/>
              <w:rPr>
                <w:rFonts w:ascii="Times New Roman" w:hAnsi="Times New Roman" w:cs="Times New Roman"/>
                <w:sz w:val="21"/>
                <w:szCs w:val="21"/>
                <w:highlight w:val="none"/>
              </w:rPr>
            </w:pPr>
            <w:r>
              <w:rPr>
                <w:rFonts w:ascii="Times New Roman" w:hAnsi="Times New Roman" w:cs="Times New Roman"/>
                <w:sz w:val="21"/>
                <w:szCs w:val="21"/>
                <w:highlight w:val="none"/>
              </w:rPr>
              <w:t>总则</w:t>
            </w:r>
          </w:p>
        </w:tc>
        <w:tc>
          <w:tcPr>
            <w:tcW w:w="5543" w:type="dxa"/>
            <w:noWrap w:val="0"/>
            <w:vAlign w:val="center"/>
          </w:tcPr>
          <w:p w14:paraId="74A118D3">
            <w:pPr>
              <w:jc w:val="center"/>
              <w:rPr>
                <w:rFonts w:ascii="Times New Roman" w:hAnsi="Times New Roman" w:cs="Times New Roman"/>
                <w:sz w:val="21"/>
                <w:szCs w:val="21"/>
                <w:highlight w:val="none"/>
              </w:rPr>
            </w:pPr>
            <w:r>
              <w:rPr>
                <w:rFonts w:ascii="Times New Roman" w:hAnsi="Times New Roman" w:cs="Times New Roman"/>
                <w:sz w:val="21"/>
                <w:szCs w:val="21"/>
                <w:highlight w:val="none"/>
              </w:rPr>
              <w:t>编制原则，编制依据</w:t>
            </w:r>
          </w:p>
        </w:tc>
      </w:tr>
      <w:tr w14:paraId="22D99F4E">
        <w:tblPrEx>
          <w:tblBorders>
            <w:top w:val="thinThickSmallGap" w:color="auto" w:sz="12" w:space="0"/>
            <w:left w:val="none" w:color="auto" w:sz="0" w:space="0"/>
            <w:bottom w:val="thickThinSmallGap" w:color="auto"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21" w:hRule="atLeast"/>
          <w:jc w:val="center"/>
        </w:trPr>
        <w:tc>
          <w:tcPr>
            <w:tcW w:w="641" w:type="dxa"/>
            <w:noWrap w:val="0"/>
            <w:vAlign w:val="center"/>
          </w:tcPr>
          <w:p w14:paraId="7AC6FCC9">
            <w:pPr>
              <w:jc w:val="center"/>
              <w:rPr>
                <w:rFonts w:ascii="Times New Roman" w:hAnsi="Times New Roman" w:cs="Times New Roman"/>
                <w:sz w:val="21"/>
                <w:szCs w:val="21"/>
                <w:highlight w:val="none"/>
              </w:rPr>
            </w:pPr>
            <w:r>
              <w:rPr>
                <w:rFonts w:ascii="Times New Roman" w:hAnsi="Times New Roman" w:cs="Times New Roman"/>
                <w:sz w:val="21"/>
                <w:szCs w:val="21"/>
                <w:highlight w:val="none"/>
              </w:rPr>
              <w:t>3</w:t>
            </w:r>
          </w:p>
        </w:tc>
        <w:tc>
          <w:tcPr>
            <w:tcW w:w="2263" w:type="dxa"/>
            <w:noWrap w:val="0"/>
            <w:vAlign w:val="center"/>
          </w:tcPr>
          <w:p w14:paraId="10267111">
            <w:pPr>
              <w:jc w:val="center"/>
              <w:rPr>
                <w:rFonts w:ascii="Times New Roman" w:hAnsi="Times New Roman" w:cs="Times New Roman"/>
                <w:sz w:val="21"/>
                <w:szCs w:val="21"/>
                <w:highlight w:val="none"/>
              </w:rPr>
            </w:pPr>
            <w:r>
              <w:rPr>
                <w:rFonts w:ascii="Times New Roman" w:hAnsi="Times New Roman" w:cs="Times New Roman"/>
                <w:sz w:val="21"/>
                <w:szCs w:val="21"/>
                <w:highlight w:val="none"/>
              </w:rPr>
              <w:t>资料准备与环境风险识别</w:t>
            </w:r>
          </w:p>
        </w:tc>
        <w:tc>
          <w:tcPr>
            <w:tcW w:w="5543" w:type="dxa"/>
            <w:noWrap w:val="0"/>
            <w:vAlign w:val="center"/>
          </w:tcPr>
          <w:p w14:paraId="6A048053">
            <w:pPr>
              <w:rPr>
                <w:rFonts w:ascii="Times New Roman" w:hAnsi="Times New Roman" w:cs="Times New Roman"/>
                <w:sz w:val="21"/>
                <w:szCs w:val="21"/>
                <w:highlight w:val="none"/>
              </w:rPr>
            </w:pPr>
            <w:r>
              <w:rPr>
                <w:rFonts w:ascii="Times New Roman" w:hAnsi="Times New Roman" w:cs="Times New Roman"/>
                <w:sz w:val="21"/>
                <w:szCs w:val="21"/>
                <w:highlight w:val="none"/>
              </w:rPr>
              <w:t>企业基本信息，企业周边环境风险受体情况，涉及环境风险物质情况，生产工艺，安全生产管理，现有环境风险防控与应急措施情况，现有应急物资与装备、救援队伍情况</w:t>
            </w:r>
          </w:p>
        </w:tc>
      </w:tr>
      <w:tr w14:paraId="0EC1235B">
        <w:tblPrEx>
          <w:tblBorders>
            <w:top w:val="thinThickSmallGap" w:color="auto" w:sz="12" w:space="0"/>
            <w:left w:val="none" w:color="auto" w:sz="0" w:space="0"/>
            <w:bottom w:val="thickThinSmallGap" w:color="auto"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21" w:hRule="atLeast"/>
          <w:jc w:val="center"/>
        </w:trPr>
        <w:tc>
          <w:tcPr>
            <w:tcW w:w="641" w:type="dxa"/>
            <w:noWrap w:val="0"/>
            <w:vAlign w:val="center"/>
          </w:tcPr>
          <w:p w14:paraId="21D87F25">
            <w:pPr>
              <w:jc w:val="center"/>
              <w:rPr>
                <w:rFonts w:ascii="Times New Roman" w:hAnsi="Times New Roman" w:cs="Times New Roman"/>
                <w:sz w:val="21"/>
                <w:szCs w:val="21"/>
                <w:highlight w:val="none"/>
              </w:rPr>
            </w:pPr>
            <w:r>
              <w:rPr>
                <w:rFonts w:ascii="Times New Roman" w:hAnsi="Times New Roman" w:cs="Times New Roman"/>
                <w:sz w:val="21"/>
                <w:szCs w:val="21"/>
                <w:highlight w:val="none"/>
              </w:rPr>
              <w:t>4</w:t>
            </w:r>
          </w:p>
        </w:tc>
        <w:tc>
          <w:tcPr>
            <w:tcW w:w="2263" w:type="dxa"/>
            <w:noWrap w:val="0"/>
            <w:vAlign w:val="center"/>
          </w:tcPr>
          <w:p w14:paraId="7BD76329">
            <w:pPr>
              <w:jc w:val="center"/>
              <w:rPr>
                <w:rFonts w:ascii="Times New Roman" w:hAnsi="Times New Roman" w:cs="Times New Roman"/>
                <w:sz w:val="21"/>
                <w:szCs w:val="21"/>
                <w:highlight w:val="none"/>
              </w:rPr>
            </w:pPr>
            <w:r>
              <w:rPr>
                <w:rFonts w:ascii="Times New Roman" w:hAnsi="Times New Roman" w:cs="Times New Roman"/>
                <w:sz w:val="21"/>
                <w:szCs w:val="21"/>
                <w:highlight w:val="none"/>
              </w:rPr>
              <w:t>突发环境事件及其后果分析</w:t>
            </w:r>
          </w:p>
        </w:tc>
        <w:tc>
          <w:tcPr>
            <w:tcW w:w="5543" w:type="dxa"/>
            <w:noWrap w:val="0"/>
            <w:vAlign w:val="center"/>
          </w:tcPr>
          <w:p w14:paraId="7B065448">
            <w:pPr>
              <w:rPr>
                <w:rFonts w:ascii="Times New Roman" w:hAnsi="Times New Roman" w:cs="Times New Roman"/>
                <w:sz w:val="21"/>
                <w:szCs w:val="21"/>
                <w:highlight w:val="none"/>
              </w:rPr>
            </w:pPr>
            <w:r>
              <w:rPr>
                <w:rFonts w:ascii="Times New Roman" w:hAnsi="Times New Roman" w:cs="Times New Roman"/>
                <w:sz w:val="21"/>
                <w:szCs w:val="21"/>
                <w:highlight w:val="none"/>
              </w:rPr>
              <w:t>突发环境事件情景分析，突发环境事件情景源强分析，释放环境风险物质的扩散途径、涉及环境风险防控与应急措施、与应急资源情况分析，突发环境事件危害后果分析，</w:t>
            </w:r>
          </w:p>
        </w:tc>
      </w:tr>
      <w:tr w14:paraId="79AF30E9">
        <w:tblPrEx>
          <w:tblBorders>
            <w:top w:val="thinThickSmallGap" w:color="auto" w:sz="12" w:space="0"/>
            <w:left w:val="none" w:color="auto" w:sz="0" w:space="0"/>
            <w:bottom w:val="thickThinSmallGap" w:color="auto"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21" w:hRule="atLeast"/>
          <w:jc w:val="center"/>
        </w:trPr>
        <w:tc>
          <w:tcPr>
            <w:tcW w:w="641" w:type="dxa"/>
            <w:noWrap w:val="0"/>
            <w:vAlign w:val="center"/>
          </w:tcPr>
          <w:p w14:paraId="53E2FF73">
            <w:pPr>
              <w:jc w:val="center"/>
              <w:rPr>
                <w:rFonts w:ascii="Times New Roman" w:hAnsi="Times New Roman" w:cs="Times New Roman"/>
                <w:sz w:val="21"/>
                <w:szCs w:val="21"/>
                <w:highlight w:val="none"/>
              </w:rPr>
            </w:pPr>
            <w:r>
              <w:rPr>
                <w:rFonts w:ascii="Times New Roman" w:hAnsi="Times New Roman" w:cs="Times New Roman"/>
                <w:sz w:val="21"/>
                <w:szCs w:val="21"/>
                <w:highlight w:val="none"/>
              </w:rPr>
              <w:t>5</w:t>
            </w:r>
          </w:p>
        </w:tc>
        <w:tc>
          <w:tcPr>
            <w:tcW w:w="2263" w:type="dxa"/>
            <w:noWrap w:val="0"/>
            <w:vAlign w:val="center"/>
          </w:tcPr>
          <w:p w14:paraId="605125F2">
            <w:pPr>
              <w:jc w:val="center"/>
              <w:rPr>
                <w:rFonts w:ascii="Times New Roman" w:hAnsi="Times New Roman" w:cs="Times New Roman"/>
                <w:sz w:val="21"/>
                <w:szCs w:val="21"/>
                <w:highlight w:val="none"/>
              </w:rPr>
            </w:pPr>
            <w:r>
              <w:rPr>
                <w:rFonts w:ascii="Times New Roman" w:hAnsi="Times New Roman" w:cs="Times New Roman"/>
                <w:sz w:val="21"/>
                <w:szCs w:val="21"/>
                <w:highlight w:val="none"/>
              </w:rPr>
              <w:t>现有环境风险防控和应急措施差距分析</w:t>
            </w:r>
          </w:p>
        </w:tc>
        <w:tc>
          <w:tcPr>
            <w:tcW w:w="5543" w:type="dxa"/>
            <w:noWrap w:val="0"/>
            <w:vAlign w:val="center"/>
          </w:tcPr>
          <w:p w14:paraId="79F2D1A1">
            <w:pPr>
              <w:rPr>
                <w:rFonts w:ascii="Times New Roman" w:hAnsi="Times New Roman" w:cs="Times New Roman"/>
                <w:sz w:val="21"/>
                <w:szCs w:val="21"/>
                <w:highlight w:val="none"/>
              </w:rPr>
            </w:pPr>
            <w:r>
              <w:rPr>
                <w:rFonts w:ascii="Times New Roman" w:hAnsi="Times New Roman" w:cs="Times New Roman"/>
                <w:sz w:val="21"/>
                <w:szCs w:val="21"/>
                <w:highlight w:val="none"/>
              </w:rPr>
              <w:t>从环境风险管理制、环境风险防控与应急措施，环境应急资源，历史经验教训总结，需要整改的短期、中期和长期项目内容五个方面对现有环境风险防控与应急措施的完备性、可靠性和有效性进行分析论证，找出差距、问题，提出需要整改的短期、中期、长期项目内容</w:t>
            </w:r>
          </w:p>
        </w:tc>
      </w:tr>
      <w:tr w14:paraId="4CBB05B3">
        <w:tblPrEx>
          <w:tblBorders>
            <w:top w:val="thinThickSmallGap" w:color="auto" w:sz="12" w:space="0"/>
            <w:left w:val="none" w:color="auto" w:sz="0" w:space="0"/>
            <w:bottom w:val="thickThinSmallGap" w:color="auto"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21" w:hRule="atLeast"/>
          <w:jc w:val="center"/>
        </w:trPr>
        <w:tc>
          <w:tcPr>
            <w:tcW w:w="641" w:type="dxa"/>
            <w:noWrap w:val="0"/>
            <w:vAlign w:val="center"/>
          </w:tcPr>
          <w:p w14:paraId="413054BE">
            <w:pPr>
              <w:jc w:val="center"/>
              <w:rPr>
                <w:rFonts w:ascii="Times New Roman" w:hAnsi="Times New Roman" w:cs="Times New Roman"/>
                <w:sz w:val="21"/>
                <w:szCs w:val="21"/>
                <w:highlight w:val="none"/>
              </w:rPr>
            </w:pPr>
            <w:r>
              <w:rPr>
                <w:rFonts w:ascii="Times New Roman" w:hAnsi="Times New Roman" w:cs="Times New Roman"/>
                <w:sz w:val="21"/>
                <w:szCs w:val="21"/>
                <w:highlight w:val="none"/>
              </w:rPr>
              <w:t>6</w:t>
            </w:r>
          </w:p>
        </w:tc>
        <w:tc>
          <w:tcPr>
            <w:tcW w:w="2263" w:type="dxa"/>
            <w:noWrap w:val="0"/>
            <w:vAlign w:val="center"/>
          </w:tcPr>
          <w:p w14:paraId="22188598">
            <w:pPr>
              <w:jc w:val="center"/>
              <w:rPr>
                <w:rFonts w:ascii="Times New Roman" w:hAnsi="Times New Roman" w:cs="Times New Roman"/>
                <w:sz w:val="21"/>
                <w:szCs w:val="21"/>
                <w:highlight w:val="none"/>
              </w:rPr>
            </w:pPr>
            <w:r>
              <w:rPr>
                <w:rFonts w:ascii="Times New Roman" w:hAnsi="Times New Roman" w:cs="Times New Roman"/>
                <w:sz w:val="21"/>
                <w:szCs w:val="21"/>
                <w:highlight w:val="none"/>
              </w:rPr>
              <w:t>完善环境风险防控和应急措施的实施计划</w:t>
            </w:r>
          </w:p>
        </w:tc>
        <w:tc>
          <w:tcPr>
            <w:tcW w:w="5543" w:type="dxa"/>
            <w:noWrap w:val="0"/>
            <w:vAlign w:val="center"/>
          </w:tcPr>
          <w:p w14:paraId="68A69A6A">
            <w:pPr>
              <w:rPr>
                <w:rFonts w:ascii="Times New Roman" w:hAnsi="Times New Roman" w:cs="Times New Roman"/>
                <w:sz w:val="21"/>
                <w:szCs w:val="21"/>
                <w:highlight w:val="none"/>
              </w:rPr>
            </w:pPr>
            <w:r>
              <w:rPr>
                <w:rFonts w:ascii="Times New Roman" w:hAnsi="Times New Roman" w:cs="Times New Roman"/>
                <w:sz w:val="21"/>
                <w:szCs w:val="21"/>
                <w:highlight w:val="none"/>
              </w:rPr>
              <w:t>明确环境风险管理制度，环境风险防控措施，环境应急能力建设能内容，逐项制定加强环境风险防控措施和应急管理的目标、责任人及完成时间</w:t>
            </w:r>
          </w:p>
        </w:tc>
      </w:tr>
      <w:tr w14:paraId="1AC9A73A">
        <w:tblPrEx>
          <w:tblBorders>
            <w:top w:val="thinThickSmallGap" w:color="auto" w:sz="12" w:space="0"/>
            <w:left w:val="none" w:color="auto" w:sz="0" w:space="0"/>
            <w:bottom w:val="thickThinSmallGap" w:color="auto"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21" w:hRule="atLeast"/>
          <w:jc w:val="center"/>
        </w:trPr>
        <w:tc>
          <w:tcPr>
            <w:tcW w:w="641" w:type="dxa"/>
            <w:noWrap w:val="0"/>
            <w:vAlign w:val="center"/>
          </w:tcPr>
          <w:p w14:paraId="7A8C97D4">
            <w:pPr>
              <w:jc w:val="center"/>
              <w:rPr>
                <w:rFonts w:ascii="Times New Roman" w:hAnsi="Times New Roman" w:cs="Times New Roman"/>
                <w:sz w:val="21"/>
                <w:szCs w:val="21"/>
                <w:highlight w:val="none"/>
              </w:rPr>
            </w:pPr>
            <w:r>
              <w:rPr>
                <w:rFonts w:ascii="Times New Roman" w:hAnsi="Times New Roman" w:cs="Times New Roman"/>
                <w:sz w:val="21"/>
                <w:szCs w:val="21"/>
                <w:highlight w:val="none"/>
              </w:rPr>
              <w:t>7</w:t>
            </w:r>
          </w:p>
        </w:tc>
        <w:tc>
          <w:tcPr>
            <w:tcW w:w="2263" w:type="dxa"/>
            <w:noWrap w:val="0"/>
            <w:vAlign w:val="center"/>
          </w:tcPr>
          <w:p w14:paraId="57191EAA">
            <w:pPr>
              <w:jc w:val="center"/>
              <w:rPr>
                <w:rFonts w:ascii="Times New Roman" w:hAnsi="Times New Roman" w:cs="Times New Roman"/>
                <w:sz w:val="21"/>
                <w:szCs w:val="21"/>
                <w:highlight w:val="none"/>
              </w:rPr>
            </w:pPr>
            <w:r>
              <w:rPr>
                <w:rFonts w:ascii="Times New Roman" w:hAnsi="Times New Roman" w:cs="Times New Roman"/>
                <w:sz w:val="21"/>
                <w:szCs w:val="21"/>
                <w:highlight w:val="none"/>
              </w:rPr>
              <w:t>企业突发环境事件风险等级</w:t>
            </w:r>
          </w:p>
        </w:tc>
        <w:tc>
          <w:tcPr>
            <w:tcW w:w="5543" w:type="dxa"/>
            <w:noWrap w:val="0"/>
            <w:vAlign w:val="center"/>
          </w:tcPr>
          <w:p w14:paraId="1D9F87D2">
            <w:pPr>
              <w:rPr>
                <w:rFonts w:ascii="Times New Roman" w:hAnsi="Times New Roman" w:cs="Times New Roman"/>
                <w:sz w:val="21"/>
                <w:szCs w:val="21"/>
                <w:highlight w:val="none"/>
              </w:rPr>
            </w:pPr>
            <w:r>
              <w:rPr>
                <w:rFonts w:ascii="Times New Roman" w:hAnsi="Times New Roman" w:cs="Times New Roman"/>
                <w:sz w:val="21"/>
                <w:szCs w:val="21"/>
                <w:highlight w:val="none"/>
              </w:rPr>
              <w:t>计算所涉及环境风险物质数量与其临界量比值，逐项计算工艺过程与环境风险控制水平值，确定工艺过程与环境风险控制水平，判断企业周边环境风险受体是否符合环评及批复文件的卫生或大气防护距离要求，确定环境风险受体类型，确定企业环境风险等级，按要求表征级别</w:t>
            </w:r>
          </w:p>
        </w:tc>
      </w:tr>
      <w:tr w14:paraId="0CC55470">
        <w:tblPrEx>
          <w:tblBorders>
            <w:top w:val="thinThickSmallGap" w:color="auto" w:sz="12" w:space="0"/>
            <w:left w:val="none" w:color="auto" w:sz="0" w:space="0"/>
            <w:bottom w:val="thickThinSmallGap" w:color="auto"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21" w:hRule="atLeast"/>
          <w:jc w:val="center"/>
        </w:trPr>
        <w:tc>
          <w:tcPr>
            <w:tcW w:w="641" w:type="dxa"/>
            <w:noWrap w:val="0"/>
            <w:vAlign w:val="center"/>
          </w:tcPr>
          <w:p w14:paraId="35825DB9">
            <w:pPr>
              <w:jc w:val="center"/>
              <w:rPr>
                <w:rFonts w:ascii="Times New Roman" w:hAnsi="Times New Roman" w:cs="Times New Roman"/>
                <w:sz w:val="21"/>
                <w:szCs w:val="21"/>
                <w:highlight w:val="none"/>
              </w:rPr>
            </w:pPr>
            <w:r>
              <w:rPr>
                <w:rFonts w:ascii="Times New Roman" w:hAnsi="Times New Roman" w:cs="Times New Roman"/>
                <w:sz w:val="21"/>
                <w:szCs w:val="21"/>
                <w:highlight w:val="none"/>
              </w:rPr>
              <w:t>8</w:t>
            </w:r>
          </w:p>
        </w:tc>
        <w:tc>
          <w:tcPr>
            <w:tcW w:w="2263" w:type="dxa"/>
            <w:noWrap w:val="0"/>
            <w:vAlign w:val="center"/>
          </w:tcPr>
          <w:p w14:paraId="2924EA76">
            <w:pPr>
              <w:jc w:val="center"/>
              <w:rPr>
                <w:rFonts w:ascii="Times New Roman" w:hAnsi="Times New Roman" w:cs="Times New Roman"/>
                <w:sz w:val="21"/>
                <w:szCs w:val="21"/>
                <w:highlight w:val="none"/>
              </w:rPr>
            </w:pPr>
            <w:r>
              <w:rPr>
                <w:rFonts w:ascii="Times New Roman" w:hAnsi="Times New Roman" w:cs="Times New Roman"/>
                <w:sz w:val="21"/>
                <w:szCs w:val="21"/>
                <w:highlight w:val="none"/>
              </w:rPr>
              <w:t>附图</w:t>
            </w:r>
          </w:p>
        </w:tc>
        <w:tc>
          <w:tcPr>
            <w:tcW w:w="5543" w:type="dxa"/>
            <w:noWrap w:val="0"/>
            <w:vAlign w:val="center"/>
          </w:tcPr>
          <w:p w14:paraId="32141DC7">
            <w:pPr>
              <w:rPr>
                <w:rFonts w:ascii="Times New Roman" w:hAnsi="Times New Roman" w:cs="Times New Roman"/>
                <w:sz w:val="21"/>
                <w:szCs w:val="21"/>
                <w:highlight w:val="none"/>
              </w:rPr>
            </w:pPr>
            <w:r>
              <w:rPr>
                <w:rFonts w:ascii="Times New Roman" w:hAnsi="Times New Roman" w:cs="Times New Roman"/>
                <w:sz w:val="21"/>
                <w:szCs w:val="21"/>
                <w:highlight w:val="none"/>
              </w:rPr>
              <w:t>企业地理位置图，厂区平面布置图，周边环境风险受体分布图，企业雨水、清净下水收集、排放管网图、污水收集、排放管网图以及所有排水最终去向图</w:t>
            </w:r>
          </w:p>
        </w:tc>
      </w:tr>
    </w:tbl>
    <w:p w14:paraId="0EBCB7A7">
      <w:pPr>
        <w:adjustRightInd w:val="0"/>
        <w:snapToGrid w:val="0"/>
        <w:spacing w:line="500" w:lineRule="exact"/>
        <w:ind w:firstLine="480" w:firstLineChars="200"/>
        <w:rPr>
          <w:rFonts w:ascii="Times New Roman" w:hAnsi="Times New Roman" w:cs="Times New Roman"/>
          <w:highlight w:val="none"/>
        </w:rPr>
      </w:pPr>
      <w:r>
        <w:rPr>
          <w:rFonts w:hint="eastAsia"/>
          <w:highlight w:val="none"/>
        </w:rPr>
        <w:t>③</w:t>
      </w:r>
      <w:r>
        <w:rPr>
          <w:rFonts w:ascii="Times New Roman" w:hAnsi="Times New Roman" w:cs="Times New Roman"/>
          <w:highlight w:val="none"/>
        </w:rPr>
        <w:t>应急资源调查报告主要内容</w:t>
      </w:r>
    </w:p>
    <w:p w14:paraId="46F71503">
      <w:pPr>
        <w:adjustRightInd w:val="0"/>
        <w:snapToGrid w:val="0"/>
        <w:spacing w:line="500" w:lineRule="exact"/>
        <w:ind w:firstLine="480" w:firstLineChars="200"/>
        <w:rPr>
          <w:rFonts w:ascii="Times New Roman" w:hAnsi="Times New Roman" w:cs="Times New Roman"/>
          <w:highlight w:val="none"/>
        </w:rPr>
      </w:pPr>
      <w:r>
        <w:rPr>
          <w:rFonts w:ascii="Times New Roman" w:hAnsi="Times New Roman" w:cs="Times New Roman"/>
          <w:highlight w:val="none"/>
        </w:rPr>
        <w:t>调查企业第一时间可调用的环境应急队伍、装备、物资、场所等应急资源状况和可请求援助或协议援助的应急资源状况。</w:t>
      </w:r>
    </w:p>
    <w:p w14:paraId="34C61275">
      <w:pPr>
        <w:adjustRightInd w:val="0"/>
        <w:snapToGrid w:val="0"/>
        <w:spacing w:line="500" w:lineRule="exact"/>
        <w:ind w:firstLine="480" w:firstLineChars="200"/>
        <w:rPr>
          <w:rFonts w:ascii="Times New Roman" w:hAnsi="Times New Roman" w:cs="Times New Roman"/>
          <w:highlight w:val="none"/>
        </w:rPr>
      </w:pPr>
      <w:r>
        <w:rPr>
          <w:rFonts w:hint="eastAsia"/>
          <w:highlight w:val="none"/>
        </w:rPr>
        <w:t>④</w:t>
      </w:r>
      <w:r>
        <w:rPr>
          <w:rFonts w:ascii="Times New Roman" w:hAnsi="Times New Roman" w:cs="Times New Roman"/>
          <w:highlight w:val="none"/>
        </w:rPr>
        <w:t>编制说明主要内容</w:t>
      </w:r>
    </w:p>
    <w:p w14:paraId="532CB2D2">
      <w:pPr>
        <w:spacing w:line="500" w:lineRule="exact"/>
        <w:ind w:firstLine="480" w:firstLineChars="200"/>
        <w:rPr>
          <w:rFonts w:ascii="Times New Roman" w:hAnsi="Times New Roman" w:cs="Times New Roman"/>
          <w:highlight w:val="none"/>
        </w:rPr>
      </w:pPr>
      <w:r>
        <w:rPr>
          <w:rFonts w:ascii="Times New Roman" w:hAnsi="Times New Roman" w:cs="Times New Roman"/>
          <w:highlight w:val="none"/>
        </w:rPr>
        <w:t>编制过程概述、重点内容说明、征求意见及采纳情况说明、评审情况说明。</w:t>
      </w:r>
    </w:p>
    <w:p w14:paraId="058624D4">
      <w:pPr>
        <w:keepNext/>
        <w:tabs>
          <w:tab w:val="left" w:pos="1503"/>
        </w:tabs>
        <w:spacing w:line="360" w:lineRule="auto"/>
        <w:outlineLvl w:val="1"/>
        <w:rPr>
          <w:rFonts w:ascii="Times New Roman" w:hAnsi="Times New Roman" w:cs="Times New Roman"/>
          <w:b/>
          <w:sz w:val="32"/>
          <w:highlight w:val="none"/>
        </w:rPr>
      </w:pPr>
      <w:bookmarkStart w:id="577" w:name="_Toc2923585"/>
      <w:bookmarkStart w:id="578" w:name="_Toc90026148"/>
      <w:bookmarkStart w:id="579" w:name="_Toc23250"/>
      <w:r>
        <w:rPr>
          <w:rFonts w:hint="eastAsia" w:ascii="Times New Roman" w:hAnsi="Times New Roman" w:cs="Times New Roman"/>
          <w:b/>
          <w:sz w:val="32"/>
          <w:highlight w:val="none"/>
        </w:rPr>
        <w:t>6</w:t>
      </w:r>
      <w:r>
        <w:rPr>
          <w:rFonts w:ascii="Times New Roman" w:hAnsi="Times New Roman" w:cs="Times New Roman"/>
          <w:b/>
          <w:sz w:val="32"/>
          <w:highlight w:val="none"/>
        </w:rPr>
        <w:t>.4 环境风险简单分析结论</w:t>
      </w:r>
      <w:bookmarkEnd w:id="577"/>
      <w:bookmarkEnd w:id="578"/>
      <w:bookmarkEnd w:id="579"/>
    </w:p>
    <w:p w14:paraId="76D3EF0D">
      <w:pPr>
        <w:adjustRightInd w:val="0"/>
        <w:snapToGrid w:val="0"/>
        <w:spacing w:line="500" w:lineRule="exact"/>
        <w:ind w:firstLine="480" w:firstLineChars="200"/>
        <w:rPr>
          <w:rFonts w:hint="eastAsia" w:ascii="Times New Roman" w:hAnsi="Times New Roman" w:cs="Times New Roman"/>
          <w:highlight w:val="none"/>
        </w:rPr>
      </w:pPr>
      <w:r>
        <w:rPr>
          <w:rFonts w:hint="eastAsia" w:ascii="Times New Roman" w:hAnsi="Times New Roman" w:cs="Times New Roman"/>
          <w:highlight w:val="none"/>
        </w:rPr>
        <w:t>本项目涉及的风险物质主要为</w:t>
      </w:r>
      <w:r>
        <w:rPr>
          <w:rFonts w:hint="eastAsia" w:ascii="Times New Roman" w:hAnsi="Times New Roman" w:cs="Times New Roman"/>
          <w:highlight w:val="none"/>
          <w:lang w:val="en-US" w:eastAsia="zh-CN"/>
        </w:rPr>
        <w:t>煤气</w:t>
      </w:r>
      <w:r>
        <w:rPr>
          <w:rFonts w:hint="eastAsia" w:ascii="Times New Roman" w:hAnsi="Times New Roman" w:cs="Times New Roman"/>
          <w:highlight w:val="none"/>
        </w:rPr>
        <w:t>、</w:t>
      </w:r>
      <w:r>
        <w:rPr>
          <w:rFonts w:hint="eastAsia" w:ascii="Times New Roman" w:hAnsi="Times New Roman" w:cs="Times New Roman"/>
          <w:highlight w:val="none"/>
          <w:lang w:val="en-US" w:eastAsia="zh-CN"/>
        </w:rPr>
        <w:t>危险废物</w:t>
      </w:r>
      <w:r>
        <w:rPr>
          <w:rFonts w:hint="eastAsia" w:ascii="Times New Roman" w:hAnsi="Times New Roman" w:cs="Times New Roman"/>
          <w:highlight w:val="none"/>
        </w:rPr>
        <w:t>，主要事故类型为：</w:t>
      </w:r>
      <w:r>
        <w:rPr>
          <w:rFonts w:hint="eastAsia" w:cs="Times New Roman"/>
          <w:highlight w:val="none"/>
        </w:rPr>
        <w:t>①</w:t>
      </w:r>
      <w:r>
        <w:rPr>
          <w:rFonts w:hint="eastAsia" w:ascii="Times New Roman" w:hAnsi="Times New Roman" w:cs="Times New Roman"/>
          <w:highlight w:val="none"/>
        </w:rPr>
        <w:t xml:space="preserve"> </w:t>
      </w:r>
      <w:r>
        <w:rPr>
          <w:rFonts w:hint="eastAsia" w:ascii="Times New Roman" w:hAnsi="Times New Roman" w:cs="Times New Roman"/>
          <w:highlight w:val="none"/>
          <w:lang w:val="en-US" w:eastAsia="zh-CN"/>
        </w:rPr>
        <w:t>煤气</w:t>
      </w:r>
      <w:r>
        <w:rPr>
          <w:rFonts w:hint="eastAsia" w:ascii="Times New Roman" w:hAnsi="Times New Roman" w:cs="Times New Roman"/>
          <w:highlight w:val="none"/>
        </w:rPr>
        <w:t>管道由于阀门、法兰损坏、管线老化等导致</w:t>
      </w:r>
      <w:r>
        <w:rPr>
          <w:rFonts w:hint="eastAsia" w:ascii="Times New Roman" w:hAnsi="Times New Roman" w:cs="Times New Roman"/>
          <w:highlight w:val="none"/>
          <w:lang w:val="en-US" w:eastAsia="zh-CN"/>
        </w:rPr>
        <w:t>煤气</w:t>
      </w:r>
      <w:r>
        <w:rPr>
          <w:rFonts w:hint="eastAsia" w:ascii="Times New Roman" w:hAnsi="Times New Roman" w:cs="Times New Roman"/>
          <w:highlight w:val="none"/>
        </w:rPr>
        <w:t>泄漏，</w:t>
      </w:r>
      <w:r>
        <w:rPr>
          <w:rFonts w:ascii="Times New Roman" w:hAnsi="Times New Roman" w:cs="Times New Roman"/>
          <w:highlight w:val="none"/>
        </w:rPr>
        <w:t>造成火灾、爆炸及不完全燃烧产生的CO伴生烟气污染等事故；</w:t>
      </w:r>
      <w:r>
        <w:rPr>
          <w:rFonts w:hint="eastAsia" w:cs="Times New Roman"/>
          <w:highlight w:val="none"/>
        </w:rPr>
        <w:t>②</w:t>
      </w:r>
      <w:r>
        <w:rPr>
          <w:rFonts w:hint="eastAsia" w:ascii="Times New Roman" w:hAnsi="Times New Roman" w:cs="Times New Roman"/>
          <w:highlight w:val="none"/>
          <w:lang w:val="en-US" w:eastAsia="zh-CN"/>
        </w:rPr>
        <w:t>危废贮存点包装</w:t>
      </w:r>
      <w:r>
        <w:rPr>
          <w:rFonts w:hint="eastAsia" w:ascii="Times New Roman" w:hAnsi="Times New Roman" w:cs="Times New Roman"/>
          <w:highlight w:val="none"/>
        </w:rPr>
        <w:t>由于制造缺陷或受到外力作用破裂，导致泄漏，</w:t>
      </w:r>
      <w:r>
        <w:rPr>
          <w:rFonts w:ascii="Times New Roman" w:hAnsi="Times New Roman" w:cs="Times New Roman"/>
          <w:highlight w:val="none"/>
        </w:rPr>
        <w:t>由于处理措施不当，排入外环境造成水环境污染事件。</w:t>
      </w:r>
    </w:p>
    <w:p w14:paraId="3FDC3FC2">
      <w:pPr>
        <w:adjustRightInd w:val="0"/>
        <w:snapToGrid w:val="0"/>
        <w:spacing w:line="500" w:lineRule="exact"/>
        <w:ind w:firstLine="480" w:firstLineChars="200"/>
        <w:rPr>
          <w:rFonts w:hint="eastAsia" w:ascii="Times New Roman" w:hAnsi="Times New Roman" w:cs="Times New Roman"/>
          <w:highlight w:val="none"/>
        </w:rPr>
      </w:pPr>
      <w:r>
        <w:rPr>
          <w:rFonts w:hint="eastAsia" w:ascii="Times New Roman" w:hAnsi="Times New Roman" w:cs="Times New Roman"/>
          <w:highlight w:val="none"/>
        </w:rPr>
        <w:t>在泄漏或火灾事故时必定会对周围环境产生一定的不良影响，本项目风险物质贮存量较小，且采取风险防范措施，事故影响持续时间不长，总体来说对周边环境影响在可接受范围内。企业拟设置可燃气体泄漏自动报警装置并配备应急设备，制定环境风险应急预案，发生事故时及时采取措施。</w:t>
      </w:r>
    </w:p>
    <w:p w14:paraId="19D150DE">
      <w:pPr>
        <w:adjustRightInd w:val="0"/>
        <w:snapToGrid w:val="0"/>
        <w:spacing w:line="500" w:lineRule="exact"/>
        <w:ind w:firstLine="480" w:firstLineChars="200"/>
        <w:rPr>
          <w:rFonts w:hint="eastAsia" w:ascii="Times New Roman" w:hAnsi="Times New Roman" w:cs="Times New Roman"/>
          <w:highlight w:val="none"/>
        </w:rPr>
      </w:pPr>
      <w:r>
        <w:rPr>
          <w:rFonts w:hint="eastAsia" w:ascii="Times New Roman" w:hAnsi="Times New Roman" w:cs="Times New Roman"/>
          <w:highlight w:val="none"/>
        </w:rPr>
        <w:t>根据风险导则要求，本项目环境风险简单分析内容汇总于表</w:t>
      </w:r>
      <w:r>
        <w:rPr>
          <w:rFonts w:ascii="Times New Roman" w:hAnsi="Times New Roman" w:cs="Times New Roman"/>
          <w:highlight w:val="none"/>
        </w:rPr>
        <w:t>6.4-1。</w:t>
      </w:r>
    </w:p>
    <w:p w14:paraId="580D2494">
      <w:pPr>
        <w:tabs>
          <w:tab w:val="left" w:pos="851"/>
          <w:tab w:val="left" w:pos="1141"/>
          <w:tab w:val="left" w:pos="4335"/>
        </w:tabs>
        <w:jc w:val="center"/>
        <w:rPr>
          <w:rFonts w:ascii="Times New Roman" w:hAnsi="Times New Roman" w:eastAsia="黑体" w:cs="Times New Roman"/>
          <w:highlight w:val="none"/>
        </w:rPr>
      </w:pPr>
      <w:r>
        <w:rPr>
          <w:rFonts w:ascii="Times New Roman" w:hAnsi="Times New Roman" w:eastAsia="黑体" w:cs="Times New Roman"/>
          <w:highlight w:val="none"/>
        </w:rPr>
        <w:t>表</w:t>
      </w:r>
      <w:r>
        <w:rPr>
          <w:rFonts w:hint="eastAsia" w:ascii="Times New Roman" w:hAnsi="Times New Roman" w:eastAsia="黑体" w:cs="Times New Roman"/>
          <w:highlight w:val="none"/>
        </w:rPr>
        <w:t>6</w:t>
      </w:r>
      <w:r>
        <w:rPr>
          <w:rFonts w:ascii="Times New Roman" w:hAnsi="Times New Roman" w:eastAsia="黑体" w:cs="Times New Roman"/>
          <w:highlight w:val="none"/>
        </w:rPr>
        <w:t xml:space="preserve">.4-1 </w:t>
      </w:r>
      <w:r>
        <w:rPr>
          <w:rFonts w:hint="eastAsia" w:ascii="Times New Roman" w:hAnsi="Times New Roman" w:eastAsia="黑体" w:cs="Times New Roman"/>
          <w:highlight w:val="none"/>
        </w:rPr>
        <w:t>环境风险简单分析内容一览</w:t>
      </w:r>
      <w:r>
        <w:rPr>
          <w:rFonts w:ascii="Times New Roman" w:hAnsi="Times New Roman" w:eastAsia="黑体" w:cs="Times New Roman"/>
          <w:highlight w:val="none"/>
        </w:rPr>
        <w:t>表</w:t>
      </w:r>
    </w:p>
    <w:tbl>
      <w:tblPr>
        <w:tblStyle w:val="56"/>
        <w:tblW w:w="4901" w:type="pct"/>
        <w:tblInd w:w="0" w:type="dxa"/>
        <w:tblBorders>
          <w:top w:val="thinThickSmallGap" w:color="000000" w:sz="12" w:space="0"/>
          <w:left w:val="none" w:color="auto" w:sz="0" w:space="0"/>
          <w:bottom w:val="thickThinSmallGap" w:color="000000"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1668"/>
        <w:gridCol w:w="1751"/>
        <w:gridCol w:w="1709"/>
        <w:gridCol w:w="1710"/>
        <w:gridCol w:w="1710"/>
      </w:tblGrid>
      <w:tr w14:paraId="7D96CB35">
        <w:tblPrEx>
          <w:tblBorders>
            <w:top w:val="thinThickSmallGap" w:color="000000" w:sz="12" w:space="0"/>
            <w:left w:val="none" w:color="auto" w:sz="0" w:space="0"/>
            <w:bottom w:val="thickThinSmallGap" w:color="000000"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668" w:type="dxa"/>
            <w:noWrap w:val="0"/>
            <w:vAlign w:val="center"/>
          </w:tcPr>
          <w:p w14:paraId="23B3C58A">
            <w:pPr>
              <w:overflowPunct w:val="0"/>
              <w:adjustRightInd w:val="0"/>
              <w:jc w:val="center"/>
              <w:textAlignment w:val="baseline"/>
              <w:rPr>
                <w:rFonts w:ascii="Times New Roman" w:hAnsi="Times New Roman" w:cs="Times New Roman"/>
                <w:kern w:val="24"/>
                <w:sz w:val="21"/>
                <w:highlight w:val="none"/>
              </w:rPr>
            </w:pPr>
            <w:r>
              <w:rPr>
                <w:rFonts w:hint="eastAsia" w:ascii="Times New Roman" w:hAnsi="Times New Roman" w:cs="Times New Roman"/>
                <w:kern w:val="24"/>
                <w:sz w:val="21"/>
                <w:highlight w:val="none"/>
              </w:rPr>
              <w:t>建设项目名称</w:t>
            </w:r>
          </w:p>
        </w:tc>
        <w:tc>
          <w:tcPr>
            <w:tcW w:w="6880" w:type="dxa"/>
            <w:gridSpan w:val="4"/>
            <w:noWrap w:val="0"/>
            <w:vAlign w:val="center"/>
          </w:tcPr>
          <w:p w14:paraId="69AE1450">
            <w:pPr>
              <w:overflowPunct w:val="0"/>
              <w:adjustRightInd w:val="0"/>
              <w:jc w:val="center"/>
              <w:textAlignment w:val="baseline"/>
              <w:rPr>
                <w:rFonts w:hint="eastAsia" w:ascii="Times New Roman" w:hAnsi="Times New Roman" w:eastAsia="宋体" w:cs="Times New Roman"/>
                <w:kern w:val="24"/>
                <w:sz w:val="21"/>
                <w:highlight w:val="none"/>
                <w:lang w:eastAsia="zh-CN"/>
              </w:rPr>
            </w:pPr>
            <w:r>
              <w:rPr>
                <w:rFonts w:hint="eastAsia" w:ascii="Times New Roman" w:hAnsi="Times New Roman" w:cs="Times New Roman"/>
                <w:kern w:val="24"/>
                <w:sz w:val="21"/>
                <w:highlight w:val="none"/>
                <w:lang w:eastAsia="zh-CN"/>
              </w:rPr>
              <w:t>本溪玉麒麟新材料有限公司超低排放技改项目</w:t>
            </w:r>
          </w:p>
        </w:tc>
      </w:tr>
      <w:tr w14:paraId="355FF25B">
        <w:tblPrEx>
          <w:tblBorders>
            <w:top w:val="thinThickSmallGap" w:color="000000" w:sz="12" w:space="0"/>
            <w:left w:val="none" w:color="auto" w:sz="0" w:space="0"/>
            <w:bottom w:val="thickThinSmallGap" w:color="000000"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668" w:type="dxa"/>
            <w:noWrap w:val="0"/>
            <w:vAlign w:val="center"/>
          </w:tcPr>
          <w:p w14:paraId="0076D7C5">
            <w:pPr>
              <w:overflowPunct w:val="0"/>
              <w:adjustRightInd w:val="0"/>
              <w:jc w:val="center"/>
              <w:textAlignment w:val="baseline"/>
              <w:rPr>
                <w:rFonts w:ascii="Times New Roman" w:hAnsi="Times New Roman" w:cs="Times New Roman"/>
                <w:kern w:val="24"/>
                <w:sz w:val="21"/>
                <w:highlight w:val="none"/>
              </w:rPr>
            </w:pPr>
            <w:r>
              <w:rPr>
                <w:rFonts w:hint="eastAsia" w:ascii="Times New Roman" w:hAnsi="Times New Roman" w:cs="Times New Roman"/>
                <w:kern w:val="24"/>
                <w:sz w:val="21"/>
                <w:highlight w:val="none"/>
              </w:rPr>
              <w:t>建设地点</w:t>
            </w:r>
          </w:p>
        </w:tc>
        <w:tc>
          <w:tcPr>
            <w:tcW w:w="1751" w:type="dxa"/>
            <w:noWrap w:val="0"/>
            <w:vAlign w:val="center"/>
          </w:tcPr>
          <w:p w14:paraId="3DAE9AD6">
            <w:pPr>
              <w:overflowPunct w:val="0"/>
              <w:adjustRightInd w:val="0"/>
              <w:jc w:val="center"/>
              <w:textAlignment w:val="baseline"/>
              <w:rPr>
                <w:rFonts w:ascii="Times New Roman" w:hAnsi="Times New Roman" w:cs="Times New Roman"/>
                <w:kern w:val="24"/>
                <w:sz w:val="21"/>
                <w:highlight w:val="none"/>
              </w:rPr>
            </w:pPr>
            <w:r>
              <w:rPr>
                <w:rFonts w:hint="eastAsia" w:ascii="Times New Roman" w:hAnsi="Times New Roman" w:cs="Times New Roman"/>
                <w:kern w:val="24"/>
                <w:sz w:val="21"/>
                <w:highlight w:val="none"/>
              </w:rPr>
              <w:t>辽宁省</w:t>
            </w:r>
          </w:p>
        </w:tc>
        <w:tc>
          <w:tcPr>
            <w:tcW w:w="1709" w:type="dxa"/>
            <w:noWrap w:val="0"/>
            <w:vAlign w:val="center"/>
          </w:tcPr>
          <w:p w14:paraId="499B8CB3">
            <w:pPr>
              <w:overflowPunct w:val="0"/>
              <w:adjustRightInd w:val="0"/>
              <w:jc w:val="center"/>
              <w:textAlignment w:val="baseline"/>
              <w:rPr>
                <w:rFonts w:ascii="Times New Roman" w:hAnsi="Times New Roman" w:cs="Times New Roman"/>
                <w:kern w:val="24"/>
                <w:sz w:val="21"/>
                <w:highlight w:val="none"/>
              </w:rPr>
            </w:pPr>
            <w:r>
              <w:rPr>
                <w:rFonts w:hint="eastAsia" w:ascii="Times New Roman" w:hAnsi="Times New Roman" w:cs="Times New Roman"/>
                <w:kern w:val="24"/>
                <w:sz w:val="21"/>
                <w:highlight w:val="none"/>
                <w:lang w:val="en-US" w:eastAsia="zh-CN"/>
              </w:rPr>
              <w:t>本溪</w:t>
            </w:r>
            <w:r>
              <w:rPr>
                <w:rFonts w:hint="eastAsia" w:ascii="Times New Roman" w:hAnsi="Times New Roman" w:cs="Times New Roman"/>
                <w:kern w:val="24"/>
                <w:sz w:val="21"/>
                <w:highlight w:val="none"/>
              </w:rPr>
              <w:t>市</w:t>
            </w:r>
          </w:p>
        </w:tc>
        <w:tc>
          <w:tcPr>
            <w:tcW w:w="1710" w:type="dxa"/>
            <w:noWrap w:val="0"/>
            <w:vAlign w:val="center"/>
          </w:tcPr>
          <w:p w14:paraId="222898B1">
            <w:pPr>
              <w:overflowPunct w:val="0"/>
              <w:adjustRightInd w:val="0"/>
              <w:jc w:val="center"/>
              <w:textAlignment w:val="baseline"/>
              <w:rPr>
                <w:rFonts w:hint="eastAsia" w:ascii="Times New Roman" w:hAnsi="Times New Roman" w:eastAsia="宋体" w:cs="Times New Roman"/>
                <w:kern w:val="24"/>
                <w:sz w:val="21"/>
                <w:highlight w:val="none"/>
                <w:lang w:eastAsia="zh-CN"/>
              </w:rPr>
            </w:pPr>
            <w:r>
              <w:rPr>
                <w:rFonts w:hint="eastAsia" w:ascii="Times New Roman" w:hAnsi="Times New Roman" w:cs="Times New Roman"/>
                <w:kern w:val="24"/>
                <w:sz w:val="21"/>
                <w:highlight w:val="none"/>
                <w:lang w:val="en-US" w:eastAsia="zh-CN"/>
              </w:rPr>
              <w:t>本溪满族自治县</w:t>
            </w:r>
          </w:p>
        </w:tc>
        <w:tc>
          <w:tcPr>
            <w:tcW w:w="1710" w:type="dxa"/>
            <w:noWrap w:val="0"/>
            <w:vAlign w:val="center"/>
          </w:tcPr>
          <w:p w14:paraId="65F452C0">
            <w:pPr>
              <w:overflowPunct w:val="0"/>
              <w:adjustRightInd w:val="0"/>
              <w:jc w:val="center"/>
              <w:textAlignment w:val="baseline"/>
              <w:rPr>
                <w:rFonts w:hint="default" w:ascii="Times New Roman" w:hAnsi="Times New Roman" w:eastAsia="宋体" w:cs="Times New Roman"/>
                <w:kern w:val="24"/>
                <w:sz w:val="21"/>
                <w:highlight w:val="none"/>
                <w:lang w:val="en-US" w:eastAsia="zh-CN"/>
              </w:rPr>
            </w:pPr>
            <w:r>
              <w:rPr>
                <w:rFonts w:hint="eastAsia" w:ascii="Times New Roman" w:hAnsi="Times New Roman" w:cs="Times New Roman"/>
                <w:kern w:val="24"/>
                <w:sz w:val="21"/>
                <w:highlight w:val="none"/>
                <w:lang w:val="en-US" w:eastAsia="zh-CN"/>
              </w:rPr>
              <w:t>祁家堡村</w:t>
            </w:r>
          </w:p>
        </w:tc>
      </w:tr>
      <w:tr w14:paraId="7EC7A805">
        <w:tblPrEx>
          <w:tblBorders>
            <w:top w:val="thinThickSmallGap" w:color="000000" w:sz="12" w:space="0"/>
            <w:left w:val="none" w:color="auto" w:sz="0" w:space="0"/>
            <w:bottom w:val="thickThinSmallGap" w:color="000000"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668" w:type="dxa"/>
            <w:noWrap w:val="0"/>
            <w:vAlign w:val="center"/>
          </w:tcPr>
          <w:p w14:paraId="69F511D0">
            <w:pPr>
              <w:overflowPunct w:val="0"/>
              <w:adjustRightInd w:val="0"/>
              <w:jc w:val="center"/>
              <w:textAlignment w:val="baseline"/>
              <w:rPr>
                <w:rFonts w:hint="eastAsia" w:ascii="Times New Roman" w:hAnsi="Times New Roman" w:cs="Times New Roman"/>
                <w:kern w:val="24"/>
                <w:sz w:val="21"/>
                <w:highlight w:val="none"/>
              </w:rPr>
            </w:pPr>
            <w:r>
              <w:rPr>
                <w:rFonts w:hint="eastAsia" w:ascii="Times New Roman" w:hAnsi="Times New Roman" w:cs="Times New Roman"/>
                <w:kern w:val="24"/>
                <w:sz w:val="21"/>
                <w:highlight w:val="none"/>
              </w:rPr>
              <w:t>地理坐标</w:t>
            </w:r>
          </w:p>
        </w:tc>
        <w:tc>
          <w:tcPr>
            <w:tcW w:w="1751" w:type="dxa"/>
            <w:noWrap w:val="0"/>
            <w:vAlign w:val="center"/>
          </w:tcPr>
          <w:p w14:paraId="171614A6">
            <w:pPr>
              <w:overflowPunct w:val="0"/>
              <w:adjustRightInd w:val="0"/>
              <w:jc w:val="center"/>
              <w:textAlignment w:val="baseline"/>
              <w:rPr>
                <w:rFonts w:hint="eastAsia" w:ascii="Times New Roman" w:hAnsi="Times New Roman" w:cs="Times New Roman"/>
                <w:kern w:val="24"/>
                <w:sz w:val="21"/>
                <w:highlight w:val="none"/>
              </w:rPr>
            </w:pPr>
            <w:r>
              <w:rPr>
                <w:rFonts w:hint="eastAsia" w:ascii="Times New Roman" w:hAnsi="Times New Roman" w:cs="Times New Roman"/>
                <w:kern w:val="24"/>
                <w:sz w:val="21"/>
                <w:highlight w:val="none"/>
              </w:rPr>
              <w:t>经度</w:t>
            </w:r>
          </w:p>
        </w:tc>
        <w:tc>
          <w:tcPr>
            <w:tcW w:w="1709" w:type="dxa"/>
            <w:noWrap w:val="0"/>
            <w:vAlign w:val="center"/>
          </w:tcPr>
          <w:p w14:paraId="43B94C84">
            <w:pPr>
              <w:overflowPunct w:val="0"/>
              <w:adjustRightInd w:val="0"/>
              <w:jc w:val="center"/>
              <w:textAlignment w:val="baseline"/>
              <w:rPr>
                <w:rFonts w:hint="eastAsia" w:ascii="Times New Roman" w:hAnsi="Times New Roman" w:cs="Times New Roman"/>
                <w:kern w:val="24"/>
                <w:sz w:val="21"/>
                <w:highlight w:val="none"/>
              </w:rPr>
            </w:pPr>
            <w:r>
              <w:rPr>
                <w:rFonts w:hint="eastAsia" w:ascii="Times New Roman" w:hAnsi="Times New Roman" w:cs="Times New Roman"/>
                <w:kern w:val="24"/>
                <w:sz w:val="21"/>
                <w:highlight w:val="none"/>
              </w:rPr>
              <w:t>123.83687640°</w:t>
            </w:r>
          </w:p>
        </w:tc>
        <w:tc>
          <w:tcPr>
            <w:tcW w:w="1710" w:type="dxa"/>
            <w:noWrap w:val="0"/>
            <w:vAlign w:val="center"/>
          </w:tcPr>
          <w:p w14:paraId="21F4D54E">
            <w:pPr>
              <w:overflowPunct w:val="0"/>
              <w:adjustRightInd w:val="0"/>
              <w:jc w:val="center"/>
              <w:textAlignment w:val="baseline"/>
              <w:rPr>
                <w:rFonts w:hint="eastAsia" w:ascii="Times New Roman" w:hAnsi="Times New Roman" w:cs="Times New Roman"/>
                <w:kern w:val="24"/>
                <w:sz w:val="21"/>
                <w:highlight w:val="none"/>
              </w:rPr>
            </w:pPr>
            <w:r>
              <w:rPr>
                <w:rFonts w:hint="eastAsia" w:ascii="Times New Roman" w:hAnsi="Times New Roman" w:cs="Times New Roman"/>
                <w:kern w:val="24"/>
                <w:sz w:val="21"/>
                <w:highlight w:val="none"/>
              </w:rPr>
              <w:t>纬度</w:t>
            </w:r>
          </w:p>
        </w:tc>
        <w:tc>
          <w:tcPr>
            <w:tcW w:w="1710" w:type="dxa"/>
            <w:noWrap w:val="0"/>
            <w:vAlign w:val="center"/>
          </w:tcPr>
          <w:p w14:paraId="0FC4A578">
            <w:pPr>
              <w:overflowPunct w:val="0"/>
              <w:adjustRightInd w:val="0"/>
              <w:jc w:val="center"/>
              <w:textAlignment w:val="baseline"/>
              <w:rPr>
                <w:rFonts w:hint="eastAsia" w:ascii="Times New Roman" w:hAnsi="Times New Roman" w:cs="Times New Roman"/>
                <w:kern w:val="24"/>
                <w:sz w:val="21"/>
                <w:highlight w:val="none"/>
              </w:rPr>
            </w:pPr>
            <w:r>
              <w:rPr>
                <w:rFonts w:hint="eastAsia" w:ascii="Times New Roman" w:hAnsi="Times New Roman" w:cs="Times New Roman"/>
                <w:kern w:val="24"/>
                <w:sz w:val="21"/>
                <w:highlight w:val="none"/>
              </w:rPr>
              <w:t>40.93042889°</w:t>
            </w:r>
          </w:p>
        </w:tc>
      </w:tr>
      <w:tr w14:paraId="228E8495">
        <w:tblPrEx>
          <w:tblBorders>
            <w:top w:val="thinThickSmallGap" w:color="000000" w:sz="12" w:space="0"/>
            <w:left w:val="none" w:color="auto" w:sz="0" w:space="0"/>
            <w:bottom w:val="thickThinSmallGap" w:color="000000"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668" w:type="dxa"/>
            <w:noWrap w:val="0"/>
            <w:vAlign w:val="center"/>
          </w:tcPr>
          <w:p w14:paraId="1F1E861E">
            <w:pPr>
              <w:overflowPunct w:val="0"/>
              <w:adjustRightInd w:val="0"/>
              <w:jc w:val="center"/>
              <w:textAlignment w:val="baseline"/>
              <w:rPr>
                <w:rFonts w:hint="eastAsia" w:ascii="Times New Roman" w:hAnsi="Times New Roman" w:cs="Times New Roman"/>
                <w:kern w:val="24"/>
                <w:sz w:val="21"/>
                <w:highlight w:val="none"/>
              </w:rPr>
            </w:pPr>
            <w:r>
              <w:rPr>
                <w:rFonts w:hint="eastAsia" w:ascii="Times New Roman" w:hAnsi="Times New Roman" w:cs="Times New Roman"/>
                <w:kern w:val="24"/>
                <w:sz w:val="21"/>
                <w:highlight w:val="none"/>
              </w:rPr>
              <w:t>主要危险物质及分布</w:t>
            </w:r>
          </w:p>
        </w:tc>
        <w:tc>
          <w:tcPr>
            <w:tcW w:w="6880" w:type="dxa"/>
            <w:gridSpan w:val="4"/>
            <w:noWrap w:val="0"/>
            <w:vAlign w:val="center"/>
          </w:tcPr>
          <w:p w14:paraId="224D6B9B">
            <w:pPr>
              <w:overflowPunct w:val="0"/>
              <w:adjustRightInd w:val="0"/>
              <w:jc w:val="center"/>
              <w:textAlignment w:val="baseline"/>
              <w:rPr>
                <w:rFonts w:hint="eastAsia" w:ascii="Times New Roman" w:hAnsi="Times New Roman" w:cs="Times New Roman"/>
                <w:kern w:val="24"/>
                <w:sz w:val="21"/>
                <w:highlight w:val="none"/>
              </w:rPr>
            </w:pPr>
            <w:r>
              <w:rPr>
                <w:rFonts w:hint="eastAsia" w:ascii="Times New Roman" w:hAnsi="Times New Roman" w:cs="Times New Roman"/>
                <w:kern w:val="24"/>
                <w:sz w:val="21"/>
                <w:highlight w:val="none"/>
              </w:rPr>
              <w:t>主要危险物质：</w:t>
            </w:r>
            <w:r>
              <w:rPr>
                <w:rFonts w:hint="eastAsia" w:ascii="Times New Roman" w:hAnsi="Times New Roman" w:cs="Times New Roman"/>
                <w:kern w:val="24"/>
                <w:sz w:val="21"/>
                <w:highlight w:val="none"/>
                <w:lang w:val="en-US" w:eastAsia="zh-CN"/>
              </w:rPr>
              <w:t>煤气</w:t>
            </w:r>
            <w:r>
              <w:rPr>
                <w:rFonts w:hint="eastAsia" w:ascii="Times New Roman" w:hAnsi="Times New Roman" w:cs="Times New Roman"/>
                <w:kern w:val="24"/>
                <w:sz w:val="21"/>
                <w:highlight w:val="none"/>
              </w:rPr>
              <w:t>、</w:t>
            </w:r>
            <w:r>
              <w:rPr>
                <w:rFonts w:hint="eastAsia" w:ascii="Times New Roman" w:hAnsi="Times New Roman" w:cs="Times New Roman"/>
                <w:kern w:val="24"/>
                <w:sz w:val="21"/>
                <w:highlight w:val="none"/>
                <w:lang w:val="en-US" w:eastAsia="zh-CN"/>
              </w:rPr>
              <w:t>氨水、危险废物</w:t>
            </w:r>
            <w:r>
              <w:rPr>
                <w:rFonts w:hint="eastAsia" w:ascii="Times New Roman" w:hAnsi="Times New Roman" w:cs="Times New Roman"/>
                <w:kern w:val="24"/>
                <w:sz w:val="21"/>
                <w:highlight w:val="none"/>
              </w:rPr>
              <w:t xml:space="preserve">  </w:t>
            </w:r>
          </w:p>
          <w:p w14:paraId="3B6DCB9A">
            <w:pPr>
              <w:overflowPunct w:val="0"/>
              <w:adjustRightInd w:val="0"/>
              <w:jc w:val="center"/>
              <w:textAlignment w:val="baseline"/>
              <w:rPr>
                <w:rFonts w:hint="eastAsia" w:ascii="Times New Roman" w:hAnsi="Times New Roman" w:cs="Times New Roman"/>
                <w:kern w:val="24"/>
                <w:sz w:val="21"/>
                <w:highlight w:val="none"/>
              </w:rPr>
            </w:pPr>
            <w:r>
              <w:rPr>
                <w:rFonts w:hint="eastAsia" w:ascii="Times New Roman" w:hAnsi="Times New Roman" w:cs="Times New Roman"/>
                <w:kern w:val="24"/>
                <w:sz w:val="21"/>
                <w:highlight w:val="none"/>
              </w:rPr>
              <w:t>位置：</w:t>
            </w:r>
            <w:r>
              <w:rPr>
                <w:rFonts w:hint="eastAsia" w:ascii="Times New Roman" w:hAnsi="Times New Roman" w:cs="Times New Roman"/>
                <w:kern w:val="24"/>
                <w:sz w:val="21"/>
                <w:highlight w:val="none"/>
                <w:lang w:val="en-US" w:eastAsia="zh-CN"/>
              </w:rPr>
              <w:t>煤气</w:t>
            </w:r>
            <w:r>
              <w:rPr>
                <w:rFonts w:hint="eastAsia" w:ascii="Times New Roman" w:hAnsi="Times New Roman" w:cs="Times New Roman"/>
                <w:kern w:val="24"/>
                <w:sz w:val="21"/>
                <w:highlight w:val="none"/>
              </w:rPr>
              <w:t>管道、</w:t>
            </w:r>
            <w:r>
              <w:rPr>
                <w:rFonts w:hint="eastAsia" w:ascii="Times New Roman" w:hAnsi="Times New Roman" w:cs="Times New Roman"/>
                <w:kern w:val="24"/>
                <w:sz w:val="21"/>
                <w:highlight w:val="none"/>
                <w:lang w:val="en-US" w:eastAsia="zh-CN"/>
              </w:rPr>
              <w:t>氨水储罐、危险废物贮存点</w:t>
            </w:r>
          </w:p>
        </w:tc>
      </w:tr>
      <w:tr w14:paraId="4873B542">
        <w:tblPrEx>
          <w:tblBorders>
            <w:top w:val="thinThickSmallGap" w:color="000000" w:sz="12" w:space="0"/>
            <w:left w:val="none" w:color="auto" w:sz="0" w:space="0"/>
            <w:bottom w:val="thickThinSmallGap" w:color="000000"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668" w:type="dxa"/>
            <w:noWrap w:val="0"/>
            <w:vAlign w:val="center"/>
          </w:tcPr>
          <w:p w14:paraId="7169D359">
            <w:pPr>
              <w:overflowPunct w:val="0"/>
              <w:adjustRightInd w:val="0"/>
              <w:jc w:val="center"/>
              <w:textAlignment w:val="baseline"/>
              <w:rPr>
                <w:rFonts w:ascii="Times New Roman" w:hAnsi="Times New Roman" w:cs="Times New Roman"/>
                <w:kern w:val="24"/>
                <w:sz w:val="21"/>
                <w:highlight w:val="none"/>
              </w:rPr>
            </w:pPr>
            <w:r>
              <w:rPr>
                <w:rFonts w:hint="eastAsia" w:ascii="Times New Roman" w:hAnsi="Times New Roman" w:cs="Times New Roman"/>
                <w:kern w:val="24"/>
                <w:sz w:val="21"/>
                <w:highlight w:val="none"/>
              </w:rPr>
              <w:t>环境影响途径及危害后果</w:t>
            </w:r>
          </w:p>
        </w:tc>
        <w:tc>
          <w:tcPr>
            <w:tcW w:w="6880" w:type="dxa"/>
            <w:gridSpan w:val="4"/>
            <w:noWrap w:val="0"/>
            <w:vAlign w:val="center"/>
          </w:tcPr>
          <w:p w14:paraId="25EC298E">
            <w:pPr>
              <w:overflowPunct w:val="0"/>
              <w:adjustRightInd w:val="0"/>
              <w:textAlignment w:val="baseline"/>
              <w:rPr>
                <w:rFonts w:hint="eastAsia" w:ascii="Times New Roman" w:hAnsi="Times New Roman" w:cs="Times New Roman"/>
                <w:kern w:val="24"/>
                <w:sz w:val="21"/>
                <w:highlight w:val="none"/>
              </w:rPr>
            </w:pPr>
            <w:r>
              <w:rPr>
                <w:rFonts w:hint="eastAsia" w:ascii="Times New Roman" w:hAnsi="Times New Roman" w:cs="Times New Roman"/>
                <w:kern w:val="24"/>
                <w:sz w:val="21"/>
                <w:highlight w:val="none"/>
                <w:lang w:val="en-US" w:eastAsia="zh-CN"/>
              </w:rPr>
              <w:t>煤气</w:t>
            </w:r>
            <w:r>
              <w:rPr>
                <w:rFonts w:hint="eastAsia" w:ascii="Times New Roman" w:hAnsi="Times New Roman" w:cs="Times New Roman"/>
                <w:kern w:val="24"/>
                <w:sz w:val="21"/>
                <w:highlight w:val="none"/>
              </w:rPr>
              <w:t>发生泄漏事故时进入大气，对区域空气质量造成影响，并造成火灾、爆炸及不完全燃烧产生的</w:t>
            </w:r>
            <w:r>
              <w:rPr>
                <w:rFonts w:ascii="Times New Roman" w:hAnsi="Times New Roman" w:cs="Times New Roman"/>
                <w:kern w:val="24"/>
                <w:sz w:val="21"/>
                <w:highlight w:val="none"/>
              </w:rPr>
              <w:t>CO伴生烟气污染等事故；</w:t>
            </w:r>
          </w:p>
          <w:p w14:paraId="5CC9089B">
            <w:pPr>
              <w:overflowPunct w:val="0"/>
              <w:adjustRightInd w:val="0"/>
              <w:textAlignment w:val="baseline"/>
              <w:rPr>
                <w:rFonts w:hint="default" w:ascii="Times New Roman" w:hAnsi="Times New Roman" w:eastAsia="宋体" w:cs="Times New Roman"/>
                <w:kern w:val="24"/>
                <w:sz w:val="21"/>
                <w:highlight w:val="none"/>
                <w:lang w:val="en-US" w:eastAsia="zh-CN"/>
              </w:rPr>
            </w:pPr>
            <w:r>
              <w:rPr>
                <w:rFonts w:hint="eastAsia" w:ascii="Times New Roman" w:hAnsi="Times New Roman" w:cs="Times New Roman"/>
                <w:kern w:val="24"/>
                <w:sz w:val="21"/>
                <w:highlight w:val="none"/>
                <w:lang w:val="en-US" w:eastAsia="zh-CN"/>
              </w:rPr>
              <w:t>氨水泄露</w:t>
            </w:r>
            <w:r>
              <w:rPr>
                <w:rFonts w:hint="eastAsia" w:ascii="Times New Roman" w:hAnsi="Times New Roman" w:cs="Times New Roman"/>
                <w:kern w:val="24"/>
                <w:sz w:val="21"/>
                <w:highlight w:val="none"/>
              </w:rPr>
              <w:t>进入大气，对区域空气质量造成影响</w:t>
            </w:r>
            <w:r>
              <w:rPr>
                <w:rFonts w:hint="eastAsia" w:ascii="Times New Roman" w:hAnsi="Times New Roman" w:cs="Times New Roman"/>
                <w:kern w:val="24"/>
                <w:sz w:val="21"/>
                <w:highlight w:val="none"/>
                <w:lang w:eastAsia="zh-CN"/>
              </w:rPr>
              <w:t>，</w:t>
            </w:r>
            <w:r>
              <w:rPr>
                <w:rFonts w:hint="eastAsia" w:ascii="Times New Roman" w:hAnsi="Times New Roman" w:cs="Times New Roman"/>
                <w:kern w:val="24"/>
                <w:sz w:val="21"/>
                <w:highlight w:val="none"/>
                <w:lang w:val="en-US" w:eastAsia="zh-CN"/>
              </w:rPr>
              <w:t>泄露对地下水、土壤环境造成影响。</w:t>
            </w:r>
          </w:p>
          <w:p w14:paraId="5831466D">
            <w:pPr>
              <w:overflowPunct w:val="0"/>
              <w:adjustRightInd w:val="0"/>
              <w:textAlignment w:val="baseline"/>
              <w:rPr>
                <w:rFonts w:ascii="Times New Roman" w:hAnsi="Times New Roman" w:cs="Times New Roman"/>
                <w:kern w:val="24"/>
                <w:sz w:val="21"/>
                <w:highlight w:val="none"/>
              </w:rPr>
            </w:pPr>
            <w:r>
              <w:rPr>
                <w:rFonts w:hint="eastAsia" w:ascii="Times New Roman" w:hAnsi="Times New Roman" w:cs="Times New Roman"/>
                <w:kern w:val="24"/>
                <w:sz w:val="21"/>
                <w:highlight w:val="none"/>
                <w:lang w:val="en-US" w:eastAsia="zh-CN"/>
              </w:rPr>
              <w:t>危险废物</w:t>
            </w:r>
            <w:r>
              <w:rPr>
                <w:rFonts w:ascii="Times New Roman" w:hAnsi="Times New Roman" w:cs="Times New Roman"/>
                <w:kern w:val="24"/>
                <w:sz w:val="21"/>
                <w:highlight w:val="none"/>
              </w:rPr>
              <w:t>发生</w:t>
            </w:r>
            <w:r>
              <w:rPr>
                <w:rFonts w:hint="eastAsia" w:ascii="Times New Roman" w:hAnsi="Times New Roman" w:cs="Times New Roman"/>
                <w:kern w:val="24"/>
                <w:sz w:val="21"/>
                <w:highlight w:val="none"/>
              </w:rPr>
              <w:t>泄漏</w:t>
            </w:r>
            <w:r>
              <w:rPr>
                <w:rFonts w:ascii="Times New Roman" w:hAnsi="Times New Roman" w:cs="Times New Roman"/>
                <w:kern w:val="24"/>
                <w:sz w:val="21"/>
                <w:highlight w:val="none"/>
              </w:rPr>
              <w:t>事故时</w:t>
            </w:r>
            <w:r>
              <w:rPr>
                <w:rFonts w:hint="eastAsia" w:ascii="Times New Roman" w:hAnsi="Times New Roman" w:cs="Times New Roman"/>
                <w:kern w:val="24"/>
                <w:sz w:val="21"/>
                <w:highlight w:val="none"/>
              </w:rPr>
              <w:t>由于处理措施不当，排入外环境造成水环境污染事件。</w:t>
            </w:r>
          </w:p>
        </w:tc>
      </w:tr>
      <w:tr w14:paraId="3D13C8A9">
        <w:tblPrEx>
          <w:tblBorders>
            <w:top w:val="thinThickSmallGap" w:color="000000" w:sz="12" w:space="0"/>
            <w:left w:val="none" w:color="auto" w:sz="0" w:space="0"/>
            <w:bottom w:val="thickThinSmallGap" w:color="000000"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668" w:type="dxa"/>
            <w:noWrap w:val="0"/>
            <w:vAlign w:val="center"/>
          </w:tcPr>
          <w:p w14:paraId="50D2FE2C">
            <w:pPr>
              <w:overflowPunct w:val="0"/>
              <w:adjustRightInd w:val="0"/>
              <w:jc w:val="center"/>
              <w:textAlignment w:val="baseline"/>
              <w:rPr>
                <w:rFonts w:hint="eastAsia" w:ascii="Times New Roman" w:hAnsi="Times New Roman" w:cs="Times New Roman"/>
                <w:kern w:val="24"/>
                <w:sz w:val="21"/>
                <w:highlight w:val="none"/>
              </w:rPr>
            </w:pPr>
            <w:r>
              <w:rPr>
                <w:rFonts w:hint="eastAsia" w:ascii="Times New Roman" w:hAnsi="Times New Roman" w:cs="Times New Roman"/>
                <w:kern w:val="24"/>
                <w:sz w:val="21"/>
                <w:highlight w:val="none"/>
              </w:rPr>
              <w:t>风险防范措施要求</w:t>
            </w:r>
          </w:p>
        </w:tc>
        <w:tc>
          <w:tcPr>
            <w:tcW w:w="6880" w:type="dxa"/>
            <w:gridSpan w:val="4"/>
            <w:noWrap w:val="0"/>
            <w:vAlign w:val="center"/>
          </w:tcPr>
          <w:p w14:paraId="0803D146">
            <w:pPr>
              <w:overflowPunct w:val="0"/>
              <w:adjustRightInd w:val="0"/>
              <w:textAlignment w:val="baseline"/>
              <w:rPr>
                <w:rFonts w:ascii="Times New Roman" w:hAnsi="Times New Roman" w:cs="Times New Roman"/>
                <w:kern w:val="24"/>
                <w:sz w:val="21"/>
                <w:highlight w:val="none"/>
              </w:rPr>
            </w:pPr>
            <w:r>
              <w:rPr>
                <w:rFonts w:hint="eastAsia" w:ascii="Times New Roman" w:hAnsi="Times New Roman" w:cs="Times New Roman"/>
                <w:kern w:val="24"/>
                <w:sz w:val="21"/>
                <w:highlight w:val="none"/>
              </w:rPr>
              <w:t>（</w:t>
            </w:r>
            <w:r>
              <w:rPr>
                <w:rFonts w:ascii="Times New Roman" w:hAnsi="Times New Roman" w:cs="Times New Roman"/>
                <w:kern w:val="24"/>
                <w:sz w:val="21"/>
                <w:highlight w:val="none"/>
              </w:rPr>
              <w:t>1）加强风险管理措施；</w:t>
            </w:r>
          </w:p>
          <w:p w14:paraId="6173FBC0">
            <w:pPr>
              <w:overflowPunct w:val="0"/>
              <w:adjustRightInd w:val="0"/>
              <w:textAlignment w:val="baseline"/>
              <w:rPr>
                <w:rFonts w:ascii="Times New Roman" w:hAnsi="Times New Roman" w:cs="Times New Roman"/>
                <w:kern w:val="24"/>
                <w:sz w:val="21"/>
                <w:highlight w:val="none"/>
              </w:rPr>
            </w:pPr>
            <w:r>
              <w:rPr>
                <w:rFonts w:hint="eastAsia" w:ascii="Times New Roman" w:hAnsi="Times New Roman" w:cs="Times New Roman"/>
                <w:kern w:val="24"/>
                <w:sz w:val="21"/>
                <w:highlight w:val="none"/>
              </w:rPr>
              <w:t>（</w:t>
            </w:r>
            <w:r>
              <w:rPr>
                <w:rFonts w:ascii="Times New Roman" w:hAnsi="Times New Roman" w:cs="Times New Roman"/>
                <w:kern w:val="24"/>
                <w:sz w:val="21"/>
                <w:highlight w:val="none"/>
              </w:rPr>
              <w:t>2）制定相关安全和风险管理制度，加强生产中的安全管理；</w:t>
            </w:r>
          </w:p>
          <w:p w14:paraId="77751EEF">
            <w:pPr>
              <w:overflowPunct w:val="0"/>
              <w:adjustRightInd w:val="0"/>
              <w:textAlignment w:val="baseline"/>
              <w:rPr>
                <w:rFonts w:ascii="Times New Roman" w:hAnsi="Times New Roman" w:cs="Times New Roman"/>
                <w:kern w:val="24"/>
                <w:sz w:val="21"/>
                <w:highlight w:val="none"/>
              </w:rPr>
            </w:pPr>
            <w:r>
              <w:rPr>
                <w:rFonts w:hint="eastAsia" w:ascii="Times New Roman" w:hAnsi="Times New Roman" w:cs="Times New Roman"/>
                <w:kern w:val="24"/>
                <w:sz w:val="21"/>
                <w:highlight w:val="none"/>
              </w:rPr>
              <w:t>（</w:t>
            </w:r>
            <w:r>
              <w:rPr>
                <w:rFonts w:ascii="Times New Roman" w:hAnsi="Times New Roman" w:cs="Times New Roman"/>
                <w:kern w:val="24"/>
                <w:sz w:val="21"/>
                <w:highlight w:val="none"/>
              </w:rPr>
              <w:t>3）设置</w:t>
            </w:r>
            <w:r>
              <w:rPr>
                <w:rFonts w:hint="eastAsia" w:ascii="Times New Roman" w:hAnsi="Times New Roman" w:cs="Times New Roman"/>
                <w:kern w:val="24"/>
                <w:sz w:val="21"/>
                <w:highlight w:val="none"/>
              </w:rPr>
              <w:t>固定式天然气报警仪</w:t>
            </w:r>
            <w:r>
              <w:rPr>
                <w:rFonts w:ascii="Times New Roman" w:hAnsi="Times New Roman" w:cs="Times New Roman"/>
                <w:kern w:val="24"/>
                <w:sz w:val="21"/>
                <w:highlight w:val="none"/>
              </w:rPr>
              <w:t>并配备消防灭火器材；</w:t>
            </w:r>
          </w:p>
          <w:p w14:paraId="6F1EA084">
            <w:pPr>
              <w:overflowPunct w:val="0"/>
              <w:adjustRightInd w:val="0"/>
              <w:textAlignment w:val="baseline"/>
              <w:rPr>
                <w:rFonts w:ascii="Times New Roman" w:hAnsi="Times New Roman" w:cs="Times New Roman"/>
                <w:kern w:val="24"/>
                <w:sz w:val="21"/>
                <w:highlight w:val="none"/>
              </w:rPr>
            </w:pPr>
            <w:r>
              <w:rPr>
                <w:rFonts w:hint="eastAsia" w:ascii="Times New Roman" w:hAnsi="Times New Roman" w:cs="Times New Roman"/>
                <w:kern w:val="24"/>
                <w:sz w:val="21"/>
                <w:highlight w:val="none"/>
              </w:rPr>
              <w:t>（</w:t>
            </w:r>
            <w:r>
              <w:rPr>
                <w:rFonts w:ascii="Times New Roman" w:hAnsi="Times New Roman" w:cs="Times New Roman"/>
                <w:kern w:val="24"/>
                <w:sz w:val="21"/>
                <w:highlight w:val="none"/>
              </w:rPr>
              <w:t>4）配备必要的急救设备及药品，为应急处理人员配备呼吸器、防毒服等应急装备；</w:t>
            </w:r>
          </w:p>
          <w:p w14:paraId="2A205292">
            <w:pPr>
              <w:overflowPunct w:val="0"/>
              <w:adjustRightInd w:val="0"/>
              <w:textAlignment w:val="baseline"/>
              <w:rPr>
                <w:rFonts w:hint="eastAsia" w:ascii="Times New Roman" w:hAnsi="Times New Roman" w:cs="Times New Roman"/>
                <w:kern w:val="24"/>
                <w:sz w:val="21"/>
                <w:highlight w:val="none"/>
              </w:rPr>
            </w:pPr>
            <w:r>
              <w:rPr>
                <w:rFonts w:hint="eastAsia" w:ascii="Times New Roman" w:hAnsi="Times New Roman" w:cs="Times New Roman"/>
                <w:kern w:val="24"/>
                <w:sz w:val="21"/>
                <w:highlight w:val="none"/>
              </w:rPr>
              <w:t>（</w:t>
            </w:r>
            <w:r>
              <w:rPr>
                <w:rFonts w:ascii="Times New Roman" w:hAnsi="Times New Roman" w:cs="Times New Roman"/>
                <w:kern w:val="24"/>
                <w:sz w:val="21"/>
                <w:highlight w:val="none"/>
              </w:rPr>
              <w:t>5）制定环境风险应急预案并备案，定期演练、培训并至少三年修订一次。</w:t>
            </w:r>
          </w:p>
        </w:tc>
      </w:tr>
    </w:tbl>
    <w:p w14:paraId="762909BA">
      <w:pPr>
        <w:adjustRightInd w:val="0"/>
        <w:rPr>
          <w:rFonts w:hint="eastAsia" w:ascii="Times New Roman" w:hAnsi="Times New Roman" w:cs="Times New Roman"/>
          <w:sz w:val="15"/>
        </w:rPr>
      </w:pPr>
    </w:p>
    <w:p w14:paraId="6C193814">
      <w:pPr>
        <w:adjustRightInd w:val="0"/>
        <w:rPr>
          <w:rFonts w:ascii="Times New Roman" w:hAnsi="Times New Roman" w:cs="Times New Roman"/>
          <w:sz w:val="15"/>
        </w:rPr>
      </w:pPr>
    </w:p>
    <w:p w14:paraId="00A331C8">
      <w:pPr>
        <w:pStyle w:val="52"/>
        <w:keepNext w:val="0"/>
        <w:keepLines w:val="0"/>
        <w:widowControl/>
        <w:suppressLineNumbers w:val="0"/>
        <w:spacing w:line="240" w:lineRule="auto"/>
        <w:ind w:left="0" w:firstLine="0"/>
        <w:jc w:val="left"/>
        <w:textAlignment w:val="center"/>
      </w:pPr>
      <w:r>
        <w:rPr>
          <w:rFonts w:hint="default" w:ascii="Times New Roman" w:hAnsi="Times New Roman" w:cs="Times New Roman"/>
          <w:b/>
          <w:bCs/>
          <w:color w:val="000000"/>
          <w:spacing w:val="0"/>
          <w:position w:val="0"/>
          <w:sz w:val="31"/>
          <w:szCs w:val="31"/>
        </w:rPr>
        <w:t>6.</w:t>
      </w:r>
      <w:r>
        <w:rPr>
          <w:rFonts w:hint="eastAsia" w:ascii="Times New Roman" w:hAnsi="Times New Roman" w:cs="Times New Roman"/>
          <w:b/>
          <w:bCs/>
          <w:color w:val="000000"/>
          <w:spacing w:val="0"/>
          <w:position w:val="0"/>
          <w:sz w:val="31"/>
          <w:szCs w:val="31"/>
          <w:lang w:val="en-US" w:eastAsia="zh-CN"/>
        </w:rPr>
        <w:t>5</w:t>
      </w:r>
      <w:r>
        <w:rPr>
          <w:rFonts w:hint="eastAsia" w:ascii="宋体" w:hAnsi="宋体" w:eastAsia="宋体" w:cs="宋体"/>
          <w:b/>
          <w:bCs/>
          <w:color w:val="000000"/>
          <w:spacing w:val="0"/>
          <w:position w:val="0"/>
          <w:sz w:val="31"/>
          <w:szCs w:val="31"/>
        </w:rPr>
        <w:t>碳排放影响评价</w:t>
      </w:r>
    </w:p>
    <w:p w14:paraId="59786E05">
      <w:pPr>
        <w:pStyle w:val="52"/>
        <w:keepNext w:val="0"/>
        <w:keepLines w:val="0"/>
        <w:widowControl/>
        <w:suppressLineNumbers w:val="0"/>
        <w:spacing w:line="240" w:lineRule="auto"/>
        <w:ind w:left="0" w:firstLine="0"/>
        <w:jc w:val="left"/>
        <w:textAlignment w:val="center"/>
      </w:pPr>
      <w:r>
        <w:rPr>
          <w:rFonts w:hint="default" w:ascii="Times New Roman" w:hAnsi="Times New Roman" w:cs="Times New Roman"/>
          <w:b/>
          <w:bCs/>
          <w:color w:val="000000"/>
          <w:spacing w:val="0"/>
          <w:position w:val="0"/>
          <w:sz w:val="28"/>
          <w:szCs w:val="28"/>
        </w:rPr>
        <w:t>6.</w:t>
      </w:r>
      <w:r>
        <w:rPr>
          <w:rFonts w:hint="eastAsia" w:ascii="Times New Roman" w:hAnsi="Times New Roman" w:cs="Times New Roman"/>
          <w:b/>
          <w:bCs/>
          <w:color w:val="000000"/>
          <w:spacing w:val="0"/>
          <w:position w:val="0"/>
          <w:sz w:val="28"/>
          <w:szCs w:val="28"/>
          <w:lang w:val="en-US" w:eastAsia="zh-CN"/>
        </w:rPr>
        <w:t>5</w:t>
      </w:r>
      <w:r>
        <w:rPr>
          <w:rFonts w:hint="default" w:ascii="Times New Roman" w:hAnsi="Times New Roman" w:cs="Times New Roman"/>
          <w:b/>
          <w:bCs/>
          <w:color w:val="000000"/>
          <w:spacing w:val="0"/>
          <w:position w:val="0"/>
          <w:sz w:val="28"/>
          <w:szCs w:val="28"/>
        </w:rPr>
        <w:t xml:space="preserve">.1 </w:t>
      </w:r>
      <w:r>
        <w:rPr>
          <w:rFonts w:hint="eastAsia" w:ascii="宋体" w:hAnsi="宋体" w:eastAsia="宋体" w:cs="宋体"/>
          <w:b/>
          <w:bCs/>
          <w:color w:val="000000"/>
          <w:spacing w:val="0"/>
          <w:position w:val="0"/>
          <w:sz w:val="28"/>
          <w:szCs w:val="28"/>
        </w:rPr>
        <w:t>评价依据</w:t>
      </w:r>
    </w:p>
    <w:p w14:paraId="5BF2FDC1">
      <w:pPr>
        <w:pStyle w:val="52"/>
        <w:keepNext w:val="0"/>
        <w:keepLines w:val="0"/>
        <w:widowControl/>
        <w:suppressLineNumbers w:val="0"/>
        <w:spacing w:before="0" w:beforeAutospacing="0" w:after="0" w:afterAutospacing="0" w:line="240" w:lineRule="auto"/>
        <w:ind w:left="0" w:firstLine="496"/>
        <w:contextualSpacing/>
        <w:jc w:val="left"/>
        <w:rPr>
          <w:highlight w:val="none"/>
        </w:rPr>
      </w:pPr>
      <w:r>
        <w:rPr>
          <w:rFonts w:hint="default" w:ascii="Times New Roman" w:hAnsi="Times New Roman" w:cs="Times New Roman"/>
          <w:color w:val="000000"/>
          <w:spacing w:val="0"/>
          <w:position w:val="0"/>
          <w:sz w:val="24"/>
          <w:szCs w:val="24"/>
          <w:highlight w:val="none"/>
        </w:rPr>
        <w:t>1</w:t>
      </w:r>
      <w:r>
        <w:rPr>
          <w:rFonts w:hint="eastAsia" w:ascii="宋体" w:hAnsi="宋体" w:eastAsia="宋体" w:cs="宋体"/>
          <w:color w:val="000000"/>
          <w:spacing w:val="0"/>
          <w:position w:val="0"/>
          <w:sz w:val="24"/>
          <w:szCs w:val="24"/>
          <w:highlight w:val="none"/>
        </w:rPr>
        <w:t>、</w:t>
      </w:r>
      <w:r>
        <w:rPr>
          <w:rFonts w:ascii="MicrosoftYaHei" w:hAnsi="MicrosoftYaHei" w:eastAsia="MicrosoftYaHei" w:cs="MicrosoftYaHei"/>
          <w:i w:val="0"/>
          <w:iCs w:val="0"/>
          <w:caps w:val="0"/>
          <w:color w:val="000000"/>
          <w:spacing w:val="0"/>
          <w:sz w:val="24"/>
          <w:szCs w:val="24"/>
          <w:highlight w:val="none"/>
          <w:shd w:val="clear" w:color="auto" w:fill="FFFFFF"/>
        </w:rPr>
        <w:t>生态环境部</w:t>
      </w:r>
      <w:r>
        <w:rPr>
          <w:rFonts w:hint="eastAsia" w:ascii="宋体" w:hAnsi="宋体" w:eastAsia="宋体" w:cs="宋体"/>
          <w:color w:val="000000"/>
          <w:spacing w:val="0"/>
          <w:position w:val="0"/>
          <w:sz w:val="24"/>
          <w:szCs w:val="24"/>
          <w:highlight w:val="none"/>
        </w:rPr>
        <w:t>《重点行业建设项目碳排放环境影响评价试点技术指南（试行）》；</w:t>
      </w:r>
    </w:p>
    <w:p w14:paraId="618C27E8">
      <w:pPr>
        <w:pStyle w:val="52"/>
        <w:keepNext w:val="0"/>
        <w:keepLines w:val="0"/>
        <w:widowControl/>
        <w:suppressLineNumbers w:val="0"/>
        <w:spacing w:before="0" w:beforeAutospacing="0" w:after="0" w:afterAutospacing="0" w:line="240" w:lineRule="auto"/>
        <w:ind w:left="0" w:firstLine="474"/>
        <w:contextualSpacing/>
        <w:jc w:val="left"/>
        <w:rPr>
          <w:highlight w:val="none"/>
        </w:rPr>
      </w:pPr>
      <w:r>
        <w:rPr>
          <w:rFonts w:hint="default" w:ascii="Times New Roman" w:hAnsi="Times New Roman" w:cs="Times New Roman"/>
          <w:color w:val="000000"/>
          <w:spacing w:val="0"/>
          <w:position w:val="0"/>
          <w:sz w:val="24"/>
          <w:szCs w:val="24"/>
          <w:highlight w:val="none"/>
        </w:rPr>
        <w:t>2</w:t>
      </w:r>
      <w:r>
        <w:rPr>
          <w:rFonts w:hint="eastAsia" w:ascii="宋体" w:hAnsi="宋体" w:eastAsia="宋体" w:cs="宋体"/>
          <w:color w:val="000000"/>
          <w:spacing w:val="0"/>
          <w:position w:val="0"/>
          <w:sz w:val="24"/>
          <w:szCs w:val="24"/>
          <w:highlight w:val="none"/>
        </w:rPr>
        <w:t>、《中国钢铁生产企业温室气体排放核算方法与报告指南（试行）》。</w:t>
      </w:r>
    </w:p>
    <w:p w14:paraId="669B45C0">
      <w:pPr>
        <w:pStyle w:val="52"/>
        <w:keepNext w:val="0"/>
        <w:keepLines w:val="0"/>
        <w:widowControl/>
        <w:suppressLineNumbers w:val="0"/>
        <w:spacing w:line="240" w:lineRule="auto"/>
        <w:ind w:left="0" w:firstLine="0"/>
        <w:jc w:val="left"/>
        <w:textAlignment w:val="center"/>
        <w:rPr>
          <w:highlight w:val="none"/>
        </w:rPr>
      </w:pPr>
      <w:r>
        <w:rPr>
          <w:rFonts w:hint="default" w:ascii="Times New Roman" w:hAnsi="Times New Roman" w:cs="Times New Roman"/>
          <w:b/>
          <w:bCs/>
          <w:color w:val="000000"/>
          <w:spacing w:val="0"/>
          <w:position w:val="0"/>
          <w:sz w:val="28"/>
          <w:szCs w:val="28"/>
          <w:highlight w:val="none"/>
        </w:rPr>
        <w:t>6.</w:t>
      </w:r>
      <w:r>
        <w:rPr>
          <w:rFonts w:hint="eastAsia" w:ascii="Times New Roman" w:hAnsi="Times New Roman" w:cs="Times New Roman"/>
          <w:b/>
          <w:bCs/>
          <w:color w:val="000000"/>
          <w:spacing w:val="0"/>
          <w:position w:val="0"/>
          <w:sz w:val="28"/>
          <w:szCs w:val="28"/>
          <w:highlight w:val="none"/>
          <w:lang w:val="en-US" w:eastAsia="zh-CN"/>
        </w:rPr>
        <w:t>5</w:t>
      </w:r>
      <w:r>
        <w:rPr>
          <w:rFonts w:hint="default" w:ascii="Times New Roman" w:hAnsi="Times New Roman" w:cs="Times New Roman"/>
          <w:b/>
          <w:bCs/>
          <w:color w:val="000000"/>
          <w:spacing w:val="0"/>
          <w:position w:val="0"/>
          <w:sz w:val="28"/>
          <w:szCs w:val="28"/>
          <w:highlight w:val="none"/>
        </w:rPr>
        <w:t xml:space="preserve">.2 </w:t>
      </w:r>
      <w:r>
        <w:rPr>
          <w:rFonts w:hint="eastAsia" w:ascii="宋体" w:hAnsi="宋体" w:eastAsia="宋体" w:cs="宋体"/>
          <w:b/>
          <w:bCs/>
          <w:color w:val="000000"/>
          <w:spacing w:val="0"/>
          <w:position w:val="0"/>
          <w:sz w:val="28"/>
          <w:szCs w:val="28"/>
          <w:highlight w:val="none"/>
        </w:rPr>
        <w:t>碳排放核算边界</w:t>
      </w:r>
    </w:p>
    <w:p w14:paraId="438AEF7D">
      <w:pPr>
        <w:pStyle w:val="52"/>
        <w:keepNext w:val="0"/>
        <w:keepLines w:val="0"/>
        <w:widowControl/>
        <w:suppressLineNumbers w:val="0"/>
        <w:spacing w:before="0" w:beforeAutospacing="0" w:after="0" w:afterAutospacing="0" w:line="240" w:lineRule="auto"/>
        <w:ind w:left="0" w:firstLine="496"/>
        <w:contextualSpacing/>
        <w:jc w:val="left"/>
        <w:rPr>
          <w:rFonts w:hint="default" w:ascii="Times New Roman" w:hAnsi="Times New Roman" w:cs="Times New Roman"/>
          <w:color w:val="000000"/>
          <w:spacing w:val="0"/>
          <w:position w:val="0"/>
          <w:sz w:val="24"/>
          <w:szCs w:val="24"/>
        </w:rPr>
      </w:pPr>
      <w:r>
        <w:rPr>
          <w:rFonts w:hint="eastAsia" w:ascii="Times New Roman" w:hAnsi="Times New Roman" w:cs="Times New Roman"/>
          <w:color w:val="000000"/>
          <w:spacing w:val="0"/>
          <w:position w:val="0"/>
          <w:sz w:val="24"/>
          <w:szCs w:val="24"/>
          <w:highlight w:val="none"/>
        </w:rPr>
        <w:t>本项目为技改项目，根据</w:t>
      </w:r>
      <w:r>
        <w:rPr>
          <w:rFonts w:hint="eastAsia" w:ascii="宋体" w:hAnsi="宋体" w:eastAsia="宋体" w:cs="宋体"/>
          <w:color w:val="000000"/>
          <w:spacing w:val="0"/>
          <w:position w:val="0"/>
          <w:sz w:val="24"/>
          <w:szCs w:val="24"/>
          <w:highlight w:val="none"/>
        </w:rPr>
        <w:t>《重点行业建设项目碳排放环境影响评价试点技术指南（试行）》</w:t>
      </w:r>
      <w:r>
        <w:rPr>
          <w:rFonts w:hint="eastAsia" w:ascii="Times New Roman" w:hAnsi="Times New Roman" w:cs="Times New Roman"/>
          <w:color w:val="000000"/>
          <w:spacing w:val="0"/>
          <w:position w:val="0"/>
          <w:sz w:val="24"/>
          <w:szCs w:val="24"/>
          <w:highlight w:val="none"/>
        </w:rPr>
        <w:t>，核算边界，应对拟建项</w:t>
      </w:r>
      <w:r>
        <w:rPr>
          <w:rFonts w:hint="eastAsia" w:ascii="Times New Roman" w:hAnsi="Times New Roman" w:cs="Times New Roman"/>
          <w:color w:val="000000"/>
          <w:spacing w:val="0"/>
          <w:position w:val="0"/>
          <w:sz w:val="24"/>
          <w:szCs w:val="24"/>
        </w:rPr>
        <w:t>目和现有项目分别进行核算，具体核算范围包括主要生产系统、辅助生产系统和附属生产系统，其中辅助生产系统包括动力、供电、供水、机修、库房和运输等，附属生产系统包括生产指挥系统（厂部）等。</w:t>
      </w:r>
    </w:p>
    <w:p w14:paraId="380BA551">
      <w:pPr>
        <w:pStyle w:val="52"/>
        <w:keepNext w:val="0"/>
        <w:keepLines w:val="0"/>
        <w:widowControl/>
        <w:suppressLineNumbers w:val="0"/>
        <w:spacing w:before="0" w:beforeAutospacing="0" w:after="0" w:afterAutospacing="0" w:line="240" w:lineRule="auto"/>
        <w:ind w:left="0" w:firstLine="496"/>
        <w:contextualSpacing/>
        <w:jc w:val="left"/>
        <w:rPr>
          <w:rFonts w:hint="eastAsia" w:ascii="Times New Roman" w:hAnsi="Times New Roman" w:cs="Times New Roman"/>
          <w:color w:val="000000"/>
          <w:spacing w:val="0"/>
          <w:position w:val="0"/>
          <w:sz w:val="24"/>
          <w:szCs w:val="24"/>
        </w:rPr>
      </w:pPr>
      <w:r>
        <w:rPr>
          <w:rFonts w:hint="eastAsia" w:ascii="Times New Roman" w:hAnsi="Times New Roman" w:cs="Times New Roman"/>
          <w:color w:val="000000"/>
          <w:spacing w:val="0"/>
          <w:position w:val="0"/>
          <w:sz w:val="24"/>
          <w:szCs w:val="24"/>
        </w:rPr>
        <w:t>对于涉及产能置换、区域削减的建设项目，还应核算被置换项目及污染物减排量出让方碳排放量变化情况。</w:t>
      </w:r>
    </w:p>
    <w:p w14:paraId="39C81F21">
      <w:pPr>
        <w:pStyle w:val="52"/>
        <w:keepNext w:val="0"/>
        <w:keepLines w:val="0"/>
        <w:widowControl/>
        <w:suppressLineNumbers w:val="0"/>
        <w:spacing w:before="0" w:beforeAutospacing="0" w:after="0" w:afterAutospacing="0" w:line="240" w:lineRule="auto"/>
        <w:ind w:left="0" w:firstLine="496"/>
        <w:contextualSpacing/>
        <w:jc w:val="left"/>
        <w:rPr>
          <w:rFonts w:hint="eastAsia" w:ascii="Times New Roman" w:hAnsi="Times New Roman" w:cs="Times New Roman"/>
          <w:color w:val="000000"/>
          <w:spacing w:val="0"/>
          <w:position w:val="0"/>
          <w:sz w:val="24"/>
          <w:szCs w:val="24"/>
        </w:rPr>
      </w:pPr>
      <w:r>
        <w:rPr>
          <w:rFonts w:hint="eastAsia" w:ascii="Times New Roman" w:hAnsi="Times New Roman" w:cs="Times New Roman"/>
          <w:color w:val="000000"/>
          <w:spacing w:val="0"/>
          <w:position w:val="0"/>
          <w:sz w:val="24"/>
          <w:szCs w:val="24"/>
        </w:rPr>
        <w:t>根据《中国钢铁生产企业温室气体排放核算方法与报告指南（试行）》，钢铁生产企业温室气体排放包括：</w:t>
      </w:r>
    </w:p>
    <w:p w14:paraId="0AF10C8B">
      <w:pPr>
        <w:pStyle w:val="52"/>
        <w:keepNext w:val="0"/>
        <w:keepLines w:val="0"/>
        <w:widowControl/>
        <w:suppressLineNumbers w:val="0"/>
        <w:spacing w:before="0" w:beforeAutospacing="0" w:after="0" w:afterAutospacing="0" w:line="240" w:lineRule="auto"/>
        <w:ind w:left="0" w:firstLine="496"/>
        <w:contextualSpacing/>
        <w:jc w:val="left"/>
        <w:rPr>
          <w:rFonts w:hint="eastAsia" w:ascii="Times New Roman" w:hAnsi="Times New Roman" w:cs="Times New Roman"/>
          <w:color w:val="000000"/>
          <w:spacing w:val="0"/>
          <w:position w:val="0"/>
          <w:sz w:val="24"/>
          <w:szCs w:val="24"/>
        </w:rPr>
      </w:pPr>
      <w:r>
        <w:rPr>
          <w:rFonts w:hint="eastAsia" w:ascii="Times New Roman" w:hAnsi="Times New Roman" w:cs="Times New Roman"/>
          <w:color w:val="000000"/>
          <w:spacing w:val="0"/>
          <w:position w:val="0"/>
          <w:sz w:val="24"/>
          <w:szCs w:val="24"/>
        </w:rPr>
        <w:t>①燃料燃烧排放</w:t>
      </w:r>
    </w:p>
    <w:p w14:paraId="25C21570">
      <w:pPr>
        <w:pStyle w:val="52"/>
        <w:keepNext w:val="0"/>
        <w:keepLines w:val="0"/>
        <w:widowControl/>
        <w:suppressLineNumbers w:val="0"/>
        <w:spacing w:before="0" w:beforeAutospacing="0" w:after="0" w:afterAutospacing="0" w:line="240" w:lineRule="auto"/>
        <w:ind w:left="0" w:firstLine="496"/>
        <w:contextualSpacing/>
        <w:jc w:val="left"/>
        <w:rPr>
          <w:rFonts w:hint="eastAsia" w:ascii="Times New Roman" w:hAnsi="Times New Roman" w:cs="Times New Roman"/>
          <w:color w:val="000000"/>
          <w:spacing w:val="0"/>
          <w:position w:val="0"/>
          <w:sz w:val="24"/>
          <w:szCs w:val="24"/>
        </w:rPr>
      </w:pPr>
      <w:r>
        <w:rPr>
          <w:rFonts w:hint="eastAsia" w:ascii="Times New Roman" w:hAnsi="Times New Roman" w:cs="Times New Roman"/>
          <w:color w:val="000000"/>
          <w:spacing w:val="0"/>
          <w:position w:val="0"/>
          <w:sz w:val="24"/>
          <w:szCs w:val="24"/>
        </w:rPr>
        <w:t>净消耗的化石燃料燃烧产生的</w:t>
      </w:r>
      <w:r>
        <w:rPr>
          <w:rFonts w:hint="default" w:ascii="Times New Roman" w:hAnsi="Times New Roman" w:cs="Times New Roman"/>
          <w:color w:val="000000"/>
          <w:spacing w:val="0"/>
          <w:position w:val="0"/>
          <w:sz w:val="24"/>
          <w:szCs w:val="24"/>
        </w:rPr>
        <w:t>CO</w:t>
      </w:r>
      <w:r>
        <w:rPr>
          <w:rFonts w:hint="default" w:ascii="Times New Roman" w:hAnsi="Times New Roman" w:cs="Times New Roman"/>
          <w:color w:val="000000"/>
          <w:spacing w:val="0"/>
          <w:position w:val="0"/>
          <w:sz w:val="24"/>
          <w:szCs w:val="24"/>
          <w:vertAlign w:val="subscript"/>
        </w:rPr>
        <w:t>2</w:t>
      </w:r>
      <w:r>
        <w:rPr>
          <w:rFonts w:hint="eastAsia" w:ascii="Times New Roman" w:hAnsi="Times New Roman" w:cs="Times New Roman"/>
          <w:color w:val="000000"/>
          <w:spacing w:val="0"/>
          <w:position w:val="0"/>
          <w:sz w:val="24"/>
          <w:szCs w:val="24"/>
        </w:rPr>
        <w:t>排放，包括钢铁生产企业内固定源排放（如焦炉、烧结机、高炉、工业锅炉等固定燃烧设备），以及用于生产的移动源排放（如运输用车辆及厂内搬运设备等）。</w:t>
      </w:r>
    </w:p>
    <w:p w14:paraId="1616F9DA">
      <w:pPr>
        <w:pStyle w:val="52"/>
        <w:keepNext w:val="0"/>
        <w:keepLines w:val="0"/>
        <w:widowControl/>
        <w:suppressLineNumbers w:val="0"/>
        <w:spacing w:before="0" w:beforeAutospacing="0" w:after="0" w:afterAutospacing="0" w:line="240" w:lineRule="auto"/>
        <w:ind w:left="0" w:firstLine="496"/>
        <w:contextualSpacing/>
        <w:jc w:val="left"/>
        <w:rPr>
          <w:rFonts w:hint="eastAsia" w:ascii="Times New Roman" w:hAnsi="Times New Roman" w:cs="Times New Roman"/>
          <w:color w:val="000000"/>
          <w:spacing w:val="0"/>
          <w:position w:val="0"/>
          <w:sz w:val="24"/>
          <w:szCs w:val="24"/>
        </w:rPr>
      </w:pPr>
      <w:r>
        <w:rPr>
          <w:rFonts w:hint="eastAsia" w:ascii="Times New Roman" w:hAnsi="Times New Roman" w:cs="Times New Roman"/>
          <w:color w:val="000000"/>
          <w:spacing w:val="0"/>
          <w:position w:val="0"/>
          <w:sz w:val="24"/>
          <w:szCs w:val="24"/>
        </w:rPr>
        <w:t>②工业生产过程排放</w:t>
      </w:r>
    </w:p>
    <w:p w14:paraId="47B95830">
      <w:pPr>
        <w:pStyle w:val="52"/>
        <w:keepNext w:val="0"/>
        <w:keepLines w:val="0"/>
        <w:widowControl/>
        <w:suppressLineNumbers w:val="0"/>
        <w:spacing w:before="0" w:beforeAutospacing="0" w:after="0" w:afterAutospacing="0" w:line="240" w:lineRule="auto"/>
        <w:ind w:left="0" w:firstLine="496"/>
        <w:contextualSpacing/>
        <w:jc w:val="left"/>
        <w:rPr>
          <w:rFonts w:hint="eastAsia" w:ascii="Times New Roman" w:hAnsi="Times New Roman" w:cs="Times New Roman"/>
          <w:color w:val="000000"/>
          <w:spacing w:val="0"/>
          <w:position w:val="0"/>
          <w:sz w:val="24"/>
          <w:szCs w:val="24"/>
        </w:rPr>
      </w:pPr>
      <w:r>
        <w:rPr>
          <w:rFonts w:hint="eastAsia" w:ascii="Times New Roman" w:hAnsi="Times New Roman" w:cs="Times New Roman"/>
          <w:color w:val="000000"/>
          <w:spacing w:val="0"/>
          <w:position w:val="0"/>
          <w:sz w:val="24"/>
          <w:szCs w:val="24"/>
        </w:rPr>
        <w:t>钢铁生产企业在烧结、炼铁、炼钢等工序中由于其他外购含碳原料（如电极、生铁、铁合金、直接还原铁等）和熔剂的分解和氧化产生的</w:t>
      </w:r>
      <w:r>
        <w:rPr>
          <w:rFonts w:hint="default" w:ascii="Times New Roman" w:hAnsi="Times New Roman" w:cs="Times New Roman"/>
          <w:color w:val="000000"/>
          <w:spacing w:val="0"/>
          <w:position w:val="0"/>
          <w:sz w:val="24"/>
          <w:szCs w:val="24"/>
        </w:rPr>
        <w:t>CO</w:t>
      </w:r>
      <w:r>
        <w:rPr>
          <w:rFonts w:hint="default" w:ascii="Times New Roman" w:hAnsi="Times New Roman" w:cs="Times New Roman"/>
          <w:color w:val="000000"/>
          <w:spacing w:val="0"/>
          <w:position w:val="0"/>
          <w:sz w:val="24"/>
          <w:szCs w:val="24"/>
          <w:vertAlign w:val="subscript"/>
        </w:rPr>
        <w:t>2</w:t>
      </w:r>
      <w:r>
        <w:rPr>
          <w:rFonts w:hint="eastAsia" w:ascii="Times New Roman" w:hAnsi="Times New Roman" w:cs="Times New Roman"/>
          <w:color w:val="000000"/>
          <w:spacing w:val="0"/>
          <w:position w:val="0"/>
          <w:sz w:val="24"/>
          <w:szCs w:val="24"/>
        </w:rPr>
        <w:t>排放。</w:t>
      </w:r>
    </w:p>
    <w:p w14:paraId="599A9EF3">
      <w:pPr>
        <w:pStyle w:val="52"/>
        <w:keepNext w:val="0"/>
        <w:keepLines w:val="0"/>
        <w:widowControl/>
        <w:suppressLineNumbers w:val="0"/>
        <w:spacing w:before="0" w:beforeAutospacing="0" w:after="0" w:afterAutospacing="0" w:line="240" w:lineRule="auto"/>
        <w:ind w:left="0" w:firstLine="496"/>
        <w:contextualSpacing/>
        <w:jc w:val="left"/>
        <w:rPr>
          <w:rFonts w:hint="eastAsia" w:ascii="Times New Roman" w:hAnsi="Times New Roman" w:cs="Times New Roman"/>
          <w:color w:val="000000"/>
          <w:spacing w:val="0"/>
          <w:position w:val="0"/>
          <w:sz w:val="24"/>
          <w:szCs w:val="24"/>
        </w:rPr>
      </w:pPr>
      <w:r>
        <w:rPr>
          <w:rFonts w:hint="eastAsia" w:ascii="Times New Roman" w:hAnsi="Times New Roman" w:cs="Times New Roman"/>
          <w:color w:val="000000"/>
          <w:spacing w:val="0"/>
          <w:position w:val="0"/>
          <w:sz w:val="24"/>
          <w:szCs w:val="24"/>
        </w:rPr>
        <w:t>③净购入使用的电力、热力产生的排放</w:t>
      </w:r>
    </w:p>
    <w:p w14:paraId="2C5FE9C4">
      <w:pPr>
        <w:pStyle w:val="52"/>
        <w:keepNext w:val="0"/>
        <w:keepLines w:val="0"/>
        <w:widowControl/>
        <w:suppressLineNumbers w:val="0"/>
        <w:spacing w:before="0" w:beforeAutospacing="0" w:after="0" w:afterAutospacing="0" w:line="240" w:lineRule="auto"/>
        <w:ind w:left="0" w:firstLine="496"/>
        <w:contextualSpacing/>
        <w:jc w:val="left"/>
        <w:rPr>
          <w:rFonts w:hint="eastAsia" w:ascii="Times New Roman" w:hAnsi="Times New Roman" w:cs="Times New Roman"/>
          <w:color w:val="000000"/>
          <w:spacing w:val="0"/>
          <w:position w:val="0"/>
          <w:sz w:val="24"/>
          <w:szCs w:val="24"/>
        </w:rPr>
      </w:pPr>
      <w:r>
        <w:rPr>
          <w:rFonts w:hint="eastAsia" w:ascii="Times New Roman" w:hAnsi="Times New Roman" w:cs="Times New Roman"/>
          <w:color w:val="000000"/>
          <w:spacing w:val="0"/>
          <w:position w:val="0"/>
          <w:sz w:val="24"/>
          <w:szCs w:val="24"/>
        </w:rPr>
        <w:t>企业净购入电力和净购入热力（如蒸汽）隐含产生的</w:t>
      </w:r>
      <w:r>
        <w:rPr>
          <w:rFonts w:hint="default" w:ascii="Times New Roman" w:hAnsi="Times New Roman" w:cs="Times New Roman"/>
          <w:color w:val="000000"/>
          <w:spacing w:val="0"/>
          <w:position w:val="0"/>
          <w:sz w:val="24"/>
          <w:szCs w:val="24"/>
        </w:rPr>
        <w:t>CO</w:t>
      </w:r>
      <w:r>
        <w:rPr>
          <w:rFonts w:hint="default" w:ascii="Times New Roman" w:hAnsi="Times New Roman" w:cs="Times New Roman"/>
          <w:color w:val="000000"/>
          <w:spacing w:val="0"/>
          <w:position w:val="0"/>
          <w:sz w:val="24"/>
          <w:szCs w:val="24"/>
          <w:vertAlign w:val="subscript"/>
        </w:rPr>
        <w:t>2</w:t>
      </w:r>
      <w:r>
        <w:rPr>
          <w:rFonts w:hint="eastAsia" w:ascii="Times New Roman" w:hAnsi="Times New Roman" w:cs="Times New Roman"/>
          <w:color w:val="000000"/>
          <w:spacing w:val="0"/>
          <w:position w:val="0"/>
          <w:sz w:val="24"/>
          <w:szCs w:val="24"/>
        </w:rPr>
        <w:t>排放。该部分排放实际发生在电力、热力生产企业。</w:t>
      </w:r>
    </w:p>
    <w:p w14:paraId="5E2095CA">
      <w:pPr>
        <w:pStyle w:val="52"/>
        <w:keepNext w:val="0"/>
        <w:keepLines w:val="0"/>
        <w:widowControl/>
        <w:suppressLineNumbers w:val="0"/>
        <w:spacing w:before="0" w:beforeAutospacing="0" w:after="0" w:afterAutospacing="0" w:line="240" w:lineRule="auto"/>
        <w:ind w:left="0" w:firstLine="496"/>
        <w:contextualSpacing/>
        <w:jc w:val="left"/>
        <w:rPr>
          <w:rFonts w:hint="eastAsia" w:ascii="Times New Roman" w:hAnsi="Times New Roman" w:cs="Times New Roman"/>
          <w:color w:val="000000"/>
          <w:spacing w:val="0"/>
          <w:position w:val="0"/>
          <w:sz w:val="24"/>
          <w:szCs w:val="24"/>
        </w:rPr>
      </w:pPr>
      <w:r>
        <w:rPr>
          <w:rFonts w:hint="eastAsia" w:ascii="Times New Roman" w:hAnsi="Times New Roman" w:cs="Times New Roman"/>
          <w:color w:val="000000"/>
          <w:spacing w:val="0"/>
          <w:position w:val="0"/>
          <w:sz w:val="24"/>
          <w:szCs w:val="24"/>
        </w:rPr>
        <w:t>④固碳产品隐含的排放</w:t>
      </w:r>
    </w:p>
    <w:p w14:paraId="37613A15">
      <w:pPr>
        <w:pStyle w:val="52"/>
        <w:keepNext w:val="0"/>
        <w:keepLines w:val="0"/>
        <w:widowControl/>
        <w:suppressLineNumbers w:val="0"/>
        <w:spacing w:before="0" w:beforeAutospacing="0" w:after="0" w:afterAutospacing="0" w:line="240" w:lineRule="auto"/>
        <w:ind w:left="0" w:firstLine="496"/>
        <w:contextualSpacing/>
        <w:jc w:val="left"/>
        <w:rPr>
          <w:rFonts w:hint="eastAsia" w:ascii="Times New Roman" w:hAnsi="Times New Roman" w:cs="Times New Roman"/>
          <w:color w:val="000000"/>
          <w:spacing w:val="0"/>
          <w:position w:val="0"/>
          <w:sz w:val="24"/>
          <w:szCs w:val="24"/>
        </w:rPr>
      </w:pPr>
      <w:r>
        <w:rPr>
          <w:rFonts w:hint="eastAsia" w:ascii="Times New Roman" w:hAnsi="Times New Roman" w:cs="Times New Roman"/>
          <w:color w:val="000000"/>
          <w:spacing w:val="0"/>
          <w:position w:val="0"/>
          <w:sz w:val="24"/>
          <w:szCs w:val="24"/>
        </w:rPr>
        <w:t>钢铁生产过程中有少部分碳固化在企业生产的生铁、粗钢等外销产品中，还有一小部分碳固化在以副产煤气为原料生产的甲醇等固碳产品中。这部分固化在产品中的碳所对应的二氧化碳排放应予扣除。</w:t>
      </w:r>
    </w:p>
    <w:p w14:paraId="72AD907F">
      <w:pPr>
        <w:pStyle w:val="52"/>
        <w:keepNext w:val="0"/>
        <w:keepLines w:val="0"/>
        <w:widowControl/>
        <w:suppressLineNumbers w:val="0"/>
        <w:spacing w:line="240" w:lineRule="auto"/>
        <w:ind w:left="0" w:firstLine="0"/>
        <w:jc w:val="left"/>
        <w:textAlignment w:val="center"/>
      </w:pPr>
      <w:r>
        <w:rPr>
          <w:rFonts w:hint="default" w:ascii="Times New Roman" w:hAnsi="Times New Roman" w:cs="Times New Roman"/>
          <w:b/>
          <w:bCs/>
          <w:color w:val="000000"/>
          <w:spacing w:val="0"/>
          <w:position w:val="0"/>
          <w:sz w:val="28"/>
          <w:szCs w:val="28"/>
        </w:rPr>
        <w:t>6.</w:t>
      </w:r>
      <w:r>
        <w:rPr>
          <w:rFonts w:hint="eastAsia" w:ascii="Times New Roman" w:hAnsi="Times New Roman" w:cs="Times New Roman"/>
          <w:b/>
          <w:bCs/>
          <w:color w:val="000000"/>
          <w:spacing w:val="0"/>
          <w:position w:val="0"/>
          <w:sz w:val="28"/>
          <w:szCs w:val="28"/>
          <w:lang w:val="en-US" w:eastAsia="zh-CN"/>
        </w:rPr>
        <w:t>5</w:t>
      </w:r>
      <w:r>
        <w:rPr>
          <w:rFonts w:hint="default" w:ascii="Times New Roman" w:hAnsi="Times New Roman" w:cs="Times New Roman"/>
          <w:b/>
          <w:bCs/>
          <w:color w:val="000000"/>
          <w:spacing w:val="0"/>
          <w:position w:val="0"/>
          <w:sz w:val="28"/>
          <w:szCs w:val="28"/>
        </w:rPr>
        <w:t xml:space="preserve">.3 </w:t>
      </w:r>
      <w:r>
        <w:rPr>
          <w:rFonts w:hint="eastAsia" w:ascii="宋体" w:hAnsi="宋体" w:eastAsia="宋体" w:cs="宋体"/>
          <w:b/>
          <w:bCs/>
          <w:color w:val="000000"/>
          <w:spacing w:val="0"/>
          <w:position w:val="0"/>
          <w:sz w:val="28"/>
          <w:szCs w:val="28"/>
        </w:rPr>
        <w:t>碳排放分析</w:t>
      </w:r>
    </w:p>
    <w:p w14:paraId="0C96F233">
      <w:pPr>
        <w:pStyle w:val="52"/>
        <w:keepNext w:val="0"/>
        <w:keepLines w:val="0"/>
        <w:widowControl/>
        <w:suppressLineNumbers w:val="0"/>
        <w:spacing w:line="240" w:lineRule="auto"/>
        <w:ind w:left="0" w:firstLine="0"/>
        <w:jc w:val="left"/>
        <w:textAlignment w:val="center"/>
      </w:pPr>
      <w:r>
        <w:rPr>
          <w:rFonts w:hint="default" w:ascii="Times New Roman" w:hAnsi="Times New Roman" w:cs="Times New Roman"/>
          <w:b/>
          <w:bCs/>
          <w:color w:val="000000"/>
          <w:spacing w:val="0"/>
          <w:position w:val="0"/>
          <w:sz w:val="24"/>
          <w:szCs w:val="24"/>
        </w:rPr>
        <w:t>1</w:t>
      </w:r>
      <w:r>
        <w:rPr>
          <w:rFonts w:hint="eastAsia" w:ascii="宋体" w:hAnsi="宋体" w:eastAsia="宋体" w:cs="宋体"/>
          <w:b/>
          <w:bCs/>
          <w:color w:val="000000"/>
          <w:spacing w:val="0"/>
          <w:position w:val="0"/>
          <w:sz w:val="24"/>
          <w:szCs w:val="24"/>
        </w:rPr>
        <w:t>、碳排放源强核算</w:t>
      </w:r>
    </w:p>
    <w:p w14:paraId="04ED27BE">
      <w:pPr>
        <w:pStyle w:val="52"/>
        <w:keepNext w:val="0"/>
        <w:keepLines w:val="0"/>
        <w:widowControl/>
        <w:suppressLineNumbers w:val="0"/>
        <w:spacing w:before="0" w:beforeAutospacing="0" w:after="0" w:afterAutospacing="0" w:line="240" w:lineRule="auto"/>
        <w:ind w:left="0" w:firstLine="496"/>
        <w:contextualSpacing/>
        <w:jc w:val="left"/>
        <w:rPr>
          <w:rFonts w:hint="default" w:ascii="Times New Roman" w:hAnsi="Times New Roman" w:cs="Times New Roman"/>
          <w:color w:val="000000"/>
          <w:spacing w:val="0"/>
          <w:position w:val="0"/>
          <w:sz w:val="24"/>
          <w:szCs w:val="24"/>
        </w:rPr>
      </w:pPr>
      <w:r>
        <w:rPr>
          <w:rFonts w:hint="eastAsia" w:ascii="Times New Roman" w:hAnsi="Times New Roman" w:cs="Times New Roman"/>
          <w:color w:val="000000"/>
          <w:spacing w:val="0"/>
          <w:position w:val="0"/>
          <w:sz w:val="24"/>
          <w:szCs w:val="24"/>
        </w:rPr>
        <w:t>根据《中国钢铁生产企业温室气体排放核算方法与报告指南（试行）》，建设项目碳排放总量计算公式如下：</w:t>
      </w:r>
    </w:p>
    <w:p w14:paraId="5388E45A">
      <w:pPr>
        <w:pStyle w:val="52"/>
        <w:keepNext w:val="0"/>
        <w:keepLines w:val="0"/>
        <w:widowControl/>
        <w:suppressLineNumbers w:val="0"/>
        <w:spacing w:before="0" w:beforeAutospacing="0" w:after="0" w:afterAutospacing="0" w:line="240" w:lineRule="auto"/>
        <w:ind w:left="0" w:firstLine="496"/>
        <w:contextualSpacing/>
        <w:jc w:val="left"/>
        <w:rPr>
          <w:rFonts w:hint="default" w:ascii="Times New Roman" w:hAnsi="Times New Roman" w:cs="Times New Roman"/>
          <w:color w:val="000000"/>
          <w:spacing w:val="0"/>
          <w:position w:val="0"/>
          <w:sz w:val="24"/>
          <w:szCs w:val="24"/>
        </w:rPr>
      </w:pPr>
      <w:r>
        <w:rPr>
          <w:rFonts w:hint="eastAsia" w:ascii="Times New Roman" w:hAnsi="Times New Roman" w:cs="Times New Roman"/>
          <w:color w:val="000000"/>
          <w:spacing w:val="0"/>
          <w:position w:val="0"/>
          <w:sz w:val="24"/>
          <w:szCs w:val="24"/>
        </w:rPr>
        <w:t>钢铁生产企业的</w:t>
      </w:r>
      <w:r>
        <w:rPr>
          <w:rFonts w:hint="default" w:ascii="Times New Roman" w:hAnsi="Times New Roman" w:cs="Times New Roman"/>
          <w:color w:val="000000"/>
          <w:spacing w:val="0"/>
          <w:position w:val="0"/>
          <w:sz w:val="24"/>
          <w:szCs w:val="24"/>
        </w:rPr>
        <w:t>CO</w:t>
      </w:r>
      <w:r>
        <w:rPr>
          <w:rFonts w:hint="default" w:ascii="Times New Roman" w:hAnsi="Times New Roman" w:cs="Times New Roman"/>
          <w:color w:val="000000"/>
          <w:spacing w:val="0"/>
          <w:position w:val="0"/>
          <w:sz w:val="24"/>
          <w:szCs w:val="24"/>
          <w:vertAlign w:val="subscript"/>
        </w:rPr>
        <w:t>2</w:t>
      </w:r>
      <w:r>
        <w:rPr>
          <w:rFonts w:hint="eastAsia" w:ascii="Times New Roman" w:hAnsi="Times New Roman" w:cs="Times New Roman"/>
          <w:color w:val="000000"/>
          <w:spacing w:val="0"/>
          <w:position w:val="0"/>
          <w:sz w:val="24"/>
          <w:szCs w:val="24"/>
        </w:rPr>
        <w:t>排放总量等于企业边界内所有的化石燃料燃烧排放量、工业生产过程排放量及企业净购入电力和净购入热力隐含产生的</w:t>
      </w:r>
      <w:r>
        <w:rPr>
          <w:rFonts w:hint="default" w:ascii="Times New Roman" w:hAnsi="Times New Roman" w:cs="Times New Roman"/>
          <w:color w:val="000000"/>
          <w:spacing w:val="0"/>
          <w:position w:val="0"/>
          <w:sz w:val="24"/>
          <w:szCs w:val="24"/>
        </w:rPr>
        <w:t>CO</w:t>
      </w:r>
      <w:r>
        <w:rPr>
          <w:rFonts w:hint="default" w:ascii="Times New Roman" w:hAnsi="Times New Roman" w:cs="Times New Roman"/>
          <w:color w:val="000000"/>
          <w:spacing w:val="0"/>
          <w:position w:val="0"/>
          <w:sz w:val="24"/>
          <w:szCs w:val="24"/>
          <w:vertAlign w:val="subscript"/>
        </w:rPr>
        <w:t>2</w:t>
      </w:r>
      <w:r>
        <w:rPr>
          <w:rFonts w:hint="default" w:ascii="Times New Roman" w:hAnsi="Times New Roman" w:cs="Times New Roman"/>
          <w:color w:val="000000"/>
          <w:spacing w:val="0"/>
          <w:position w:val="0"/>
          <w:sz w:val="24"/>
          <w:szCs w:val="24"/>
        </w:rPr>
        <w:t xml:space="preserve"> </w:t>
      </w:r>
      <w:r>
        <w:rPr>
          <w:rFonts w:hint="eastAsia" w:ascii="Times New Roman" w:hAnsi="Times New Roman" w:cs="Times New Roman"/>
          <w:color w:val="000000"/>
          <w:spacing w:val="0"/>
          <w:position w:val="0"/>
          <w:sz w:val="24"/>
          <w:szCs w:val="24"/>
        </w:rPr>
        <w:t>排放量之和，还应扣除固碳产品隐含的排放量，按公式（</w:t>
      </w:r>
      <w:r>
        <w:rPr>
          <w:rFonts w:hint="default" w:ascii="Times New Roman" w:hAnsi="Times New Roman" w:cs="Times New Roman"/>
          <w:color w:val="000000"/>
          <w:spacing w:val="0"/>
          <w:position w:val="0"/>
          <w:sz w:val="24"/>
          <w:szCs w:val="24"/>
        </w:rPr>
        <w:t>1</w:t>
      </w:r>
      <w:r>
        <w:rPr>
          <w:rFonts w:hint="eastAsia" w:ascii="Times New Roman" w:hAnsi="Times New Roman" w:cs="Times New Roman"/>
          <w:color w:val="000000"/>
          <w:spacing w:val="0"/>
          <w:position w:val="0"/>
          <w:sz w:val="24"/>
          <w:szCs w:val="24"/>
        </w:rPr>
        <w:t>）计算。</w:t>
      </w:r>
    </w:p>
    <w:p w14:paraId="40A240D0">
      <w:pPr>
        <w:pStyle w:val="52"/>
        <w:keepNext w:val="0"/>
        <w:keepLines w:val="0"/>
        <w:widowControl/>
        <w:suppressLineNumbers w:val="0"/>
        <w:spacing w:before="0" w:beforeAutospacing="0" w:after="0" w:afterAutospacing="0" w:line="240" w:lineRule="auto"/>
        <w:ind w:left="0" w:firstLine="496"/>
        <w:contextualSpacing/>
        <w:jc w:val="center"/>
        <w:rPr>
          <w:rFonts w:hint="eastAsia" w:ascii="Times New Roman" w:hAnsi="Times New Roman" w:eastAsia="Arial Unicode MS" w:cs="Times New Roman"/>
          <w:color w:val="000000"/>
          <w:spacing w:val="0"/>
          <w:position w:val="0"/>
          <w:sz w:val="24"/>
          <w:szCs w:val="24"/>
          <w:lang w:eastAsia="zh-CN"/>
        </w:rPr>
      </w:pPr>
      <w:r>
        <w:rPr>
          <w:rFonts w:hint="eastAsia" w:ascii="Times New Roman" w:hAnsi="Times New Roman" w:cs="Times New Roman"/>
          <w:color w:val="000000"/>
          <w:spacing w:val="0"/>
          <w:position w:val="0"/>
          <w:sz w:val="24"/>
          <w:szCs w:val="24"/>
        </w:rPr>
        <w:drawing>
          <wp:inline distT="0" distB="0" distL="114300" distR="114300">
            <wp:extent cx="1863725" cy="393065"/>
            <wp:effectExtent l="0" t="0" r="3175" b="6985"/>
            <wp:docPr id="121" name="图片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 name="图片 99"/>
                    <pic:cNvPicPr>
                      <a:picLocks noChangeAspect="1"/>
                    </pic:cNvPicPr>
                  </pic:nvPicPr>
                  <pic:blipFill>
                    <a:blip r:embed="rId114"/>
                    <a:stretch>
                      <a:fillRect/>
                    </a:stretch>
                  </pic:blipFill>
                  <pic:spPr>
                    <a:xfrm>
                      <a:off x="0" y="0"/>
                      <a:ext cx="1863725" cy="393065"/>
                    </a:xfrm>
                    <a:prstGeom prst="rect">
                      <a:avLst/>
                    </a:prstGeom>
                    <a:noFill/>
                    <a:ln>
                      <a:noFill/>
                    </a:ln>
                  </pic:spPr>
                </pic:pic>
              </a:graphicData>
            </a:graphic>
          </wp:inline>
        </w:drawing>
      </w:r>
      <w:r>
        <w:rPr>
          <w:rFonts w:hint="eastAsia" w:ascii="Times New Roman" w:hAnsi="Times New Roman" w:cs="Times New Roman"/>
          <w:color w:val="000000"/>
          <w:spacing w:val="0"/>
          <w:position w:val="0"/>
          <w:sz w:val="24"/>
          <w:szCs w:val="24"/>
          <w:lang w:eastAsia="zh-CN"/>
        </w:rPr>
        <w:t>（</w:t>
      </w:r>
      <w:r>
        <w:rPr>
          <w:rFonts w:hint="eastAsia" w:ascii="Times New Roman" w:hAnsi="Times New Roman" w:cs="Times New Roman"/>
          <w:color w:val="000000"/>
          <w:spacing w:val="0"/>
          <w:position w:val="0"/>
          <w:sz w:val="24"/>
          <w:szCs w:val="24"/>
          <w:lang w:val="en-US" w:eastAsia="zh-CN"/>
        </w:rPr>
        <w:t>1</w:t>
      </w:r>
      <w:r>
        <w:rPr>
          <w:rFonts w:hint="eastAsia" w:ascii="Times New Roman" w:hAnsi="Times New Roman" w:cs="Times New Roman"/>
          <w:color w:val="000000"/>
          <w:spacing w:val="0"/>
          <w:position w:val="0"/>
          <w:sz w:val="24"/>
          <w:szCs w:val="24"/>
          <w:lang w:eastAsia="zh-CN"/>
        </w:rPr>
        <w:t>）</w:t>
      </w:r>
    </w:p>
    <w:p w14:paraId="3BB79DF5">
      <w:pPr>
        <w:pStyle w:val="52"/>
        <w:keepNext w:val="0"/>
        <w:keepLines w:val="0"/>
        <w:widowControl/>
        <w:suppressLineNumbers w:val="0"/>
        <w:spacing w:before="0" w:beforeAutospacing="0" w:after="0" w:afterAutospacing="0" w:line="240" w:lineRule="auto"/>
        <w:ind w:left="0" w:firstLine="496"/>
        <w:contextualSpacing/>
        <w:jc w:val="both"/>
        <w:rPr>
          <w:rFonts w:hint="eastAsia" w:ascii="Times New Roman" w:hAnsi="Times New Roman" w:cs="Times New Roman"/>
          <w:color w:val="000000"/>
          <w:spacing w:val="0"/>
          <w:position w:val="0"/>
          <w:sz w:val="24"/>
          <w:szCs w:val="24"/>
        </w:rPr>
      </w:pPr>
      <w:r>
        <w:rPr>
          <w:rFonts w:hint="eastAsia" w:ascii="Times New Roman" w:hAnsi="Times New Roman" w:cs="Times New Roman"/>
          <w:color w:val="000000"/>
          <w:spacing w:val="0"/>
          <w:position w:val="0"/>
          <w:sz w:val="24"/>
          <w:szCs w:val="24"/>
        </w:rPr>
        <w:t>式中：</w:t>
      </w:r>
    </w:p>
    <w:p w14:paraId="438FBD56">
      <w:pPr>
        <w:pStyle w:val="52"/>
        <w:keepNext w:val="0"/>
        <w:keepLines w:val="0"/>
        <w:widowControl/>
        <w:suppressLineNumbers w:val="0"/>
        <w:spacing w:before="0" w:beforeAutospacing="0" w:after="0" w:afterAutospacing="0" w:line="240" w:lineRule="auto"/>
        <w:ind w:left="0" w:firstLine="496"/>
        <w:contextualSpacing/>
        <w:jc w:val="both"/>
        <w:rPr>
          <w:rFonts w:hint="eastAsia" w:ascii="Times New Roman" w:hAnsi="Times New Roman" w:cs="Times New Roman"/>
          <w:color w:val="000000"/>
          <w:spacing w:val="0"/>
          <w:position w:val="0"/>
          <w:sz w:val="24"/>
          <w:szCs w:val="24"/>
        </w:rPr>
      </w:pPr>
      <w:r>
        <w:rPr>
          <w:rFonts w:hint="eastAsia" w:ascii="Times New Roman" w:hAnsi="Times New Roman" w:cs="Times New Roman"/>
          <w:color w:val="000000"/>
          <w:spacing w:val="0"/>
          <w:position w:val="0"/>
          <w:sz w:val="24"/>
          <w:szCs w:val="24"/>
        </w:rPr>
        <w:t>Eco</w:t>
      </w:r>
      <w:r>
        <w:rPr>
          <w:rFonts w:hint="eastAsia" w:ascii="Times New Roman" w:hAnsi="Times New Roman" w:cs="Times New Roman"/>
          <w:color w:val="000000"/>
          <w:spacing w:val="0"/>
          <w:position w:val="0"/>
          <w:sz w:val="24"/>
          <w:szCs w:val="24"/>
          <w:vertAlign w:val="subscript"/>
        </w:rPr>
        <w:t>2</w:t>
      </w:r>
      <w:r>
        <w:rPr>
          <w:rFonts w:hint="eastAsia" w:ascii="Times New Roman" w:hAnsi="Times New Roman" w:cs="Times New Roman"/>
          <w:color w:val="000000"/>
          <w:spacing w:val="0"/>
          <w:position w:val="0"/>
          <w:sz w:val="24"/>
          <w:szCs w:val="24"/>
        </w:rPr>
        <w:t>为企业CO</w:t>
      </w:r>
      <w:r>
        <w:rPr>
          <w:rFonts w:hint="eastAsia" w:ascii="Times New Roman" w:hAnsi="Times New Roman" w:cs="Times New Roman"/>
          <w:color w:val="000000"/>
          <w:spacing w:val="0"/>
          <w:position w:val="0"/>
          <w:sz w:val="24"/>
          <w:szCs w:val="24"/>
          <w:vertAlign w:val="subscript"/>
        </w:rPr>
        <w:t>2</w:t>
      </w:r>
      <w:r>
        <w:rPr>
          <w:rFonts w:hint="eastAsia" w:ascii="Times New Roman" w:hAnsi="Times New Roman" w:cs="Times New Roman"/>
          <w:color w:val="000000"/>
          <w:spacing w:val="0"/>
          <w:position w:val="0"/>
          <w:sz w:val="24"/>
          <w:szCs w:val="24"/>
        </w:rPr>
        <w:t>排放总量，单位为吨（tCO</w:t>
      </w:r>
      <w:r>
        <w:rPr>
          <w:rFonts w:hint="eastAsia" w:ascii="Times New Roman" w:hAnsi="Times New Roman" w:cs="Times New Roman"/>
          <w:color w:val="000000"/>
          <w:spacing w:val="0"/>
          <w:position w:val="0"/>
          <w:sz w:val="24"/>
          <w:szCs w:val="24"/>
          <w:vertAlign w:val="subscript"/>
        </w:rPr>
        <w:t>2</w:t>
      </w:r>
      <w:r>
        <w:rPr>
          <w:rFonts w:hint="eastAsia" w:ascii="Times New Roman" w:hAnsi="Times New Roman" w:cs="Times New Roman"/>
          <w:color w:val="000000"/>
          <w:spacing w:val="0"/>
          <w:position w:val="0"/>
          <w:sz w:val="24"/>
          <w:szCs w:val="24"/>
        </w:rPr>
        <w:t>）；</w:t>
      </w:r>
    </w:p>
    <w:p w14:paraId="351FF373">
      <w:pPr>
        <w:pStyle w:val="52"/>
        <w:keepNext w:val="0"/>
        <w:keepLines w:val="0"/>
        <w:widowControl/>
        <w:suppressLineNumbers w:val="0"/>
        <w:spacing w:before="0" w:beforeAutospacing="0" w:after="0" w:afterAutospacing="0" w:line="240" w:lineRule="auto"/>
        <w:ind w:left="0" w:firstLine="496"/>
        <w:contextualSpacing/>
        <w:jc w:val="both"/>
        <w:rPr>
          <w:rFonts w:hint="eastAsia" w:ascii="Times New Roman" w:hAnsi="Times New Roman" w:cs="Times New Roman"/>
          <w:color w:val="000000"/>
          <w:spacing w:val="0"/>
          <w:position w:val="0"/>
          <w:sz w:val="24"/>
          <w:szCs w:val="24"/>
        </w:rPr>
      </w:pPr>
      <w:r>
        <w:rPr>
          <w:rFonts w:hint="eastAsia" w:ascii="Times New Roman" w:hAnsi="Times New Roman" w:cs="Times New Roman"/>
          <w:color w:val="000000"/>
          <w:spacing w:val="0"/>
          <w:position w:val="0"/>
          <w:sz w:val="24"/>
          <w:szCs w:val="24"/>
        </w:rPr>
        <w:t>E</w:t>
      </w:r>
      <w:r>
        <w:rPr>
          <w:rFonts w:hint="eastAsia" w:ascii="Times New Roman" w:hAnsi="Times New Roman" w:cs="Times New Roman"/>
          <w:color w:val="000000"/>
          <w:spacing w:val="0"/>
          <w:position w:val="0"/>
          <w:sz w:val="24"/>
          <w:szCs w:val="24"/>
          <w:vertAlign w:val="subscript"/>
        </w:rPr>
        <w:t>燃烧</w:t>
      </w:r>
      <w:r>
        <w:rPr>
          <w:rFonts w:hint="eastAsia" w:ascii="Times New Roman" w:hAnsi="Times New Roman" w:cs="Times New Roman"/>
          <w:color w:val="000000"/>
          <w:spacing w:val="0"/>
          <w:position w:val="0"/>
          <w:sz w:val="24"/>
          <w:szCs w:val="24"/>
        </w:rPr>
        <w:t>为企业所有净消耗化石燃料燃烧活动产生的CO</w:t>
      </w:r>
      <w:r>
        <w:rPr>
          <w:rFonts w:hint="eastAsia" w:ascii="Times New Roman" w:hAnsi="Times New Roman" w:cs="Times New Roman"/>
          <w:color w:val="000000"/>
          <w:spacing w:val="0"/>
          <w:position w:val="0"/>
          <w:sz w:val="24"/>
          <w:szCs w:val="24"/>
          <w:vertAlign w:val="subscript"/>
        </w:rPr>
        <w:t>2</w:t>
      </w:r>
      <w:r>
        <w:rPr>
          <w:rFonts w:hint="eastAsia" w:ascii="Times New Roman" w:hAnsi="Times New Roman" w:cs="Times New Roman"/>
          <w:color w:val="000000"/>
          <w:spacing w:val="0"/>
          <w:position w:val="0"/>
          <w:sz w:val="24"/>
          <w:szCs w:val="24"/>
        </w:rPr>
        <w:t>排放量，单位为吨（tCO</w:t>
      </w:r>
      <w:r>
        <w:rPr>
          <w:rFonts w:hint="eastAsia" w:ascii="Times New Roman" w:hAnsi="Times New Roman" w:cs="Times New Roman"/>
          <w:color w:val="000000"/>
          <w:spacing w:val="0"/>
          <w:position w:val="0"/>
          <w:sz w:val="24"/>
          <w:szCs w:val="24"/>
          <w:vertAlign w:val="subscript"/>
        </w:rPr>
        <w:t>2</w:t>
      </w:r>
      <w:r>
        <w:rPr>
          <w:rFonts w:hint="eastAsia" w:ascii="Times New Roman" w:hAnsi="Times New Roman" w:cs="Times New Roman"/>
          <w:color w:val="000000"/>
          <w:spacing w:val="0"/>
          <w:position w:val="0"/>
          <w:sz w:val="24"/>
          <w:szCs w:val="24"/>
        </w:rPr>
        <w:t>）；</w:t>
      </w:r>
    </w:p>
    <w:p w14:paraId="7550C4BD">
      <w:pPr>
        <w:pStyle w:val="52"/>
        <w:keepNext w:val="0"/>
        <w:keepLines w:val="0"/>
        <w:widowControl/>
        <w:suppressLineNumbers w:val="0"/>
        <w:spacing w:before="0" w:beforeAutospacing="0" w:after="0" w:afterAutospacing="0" w:line="240" w:lineRule="auto"/>
        <w:ind w:left="0" w:firstLine="496"/>
        <w:contextualSpacing/>
        <w:jc w:val="both"/>
        <w:rPr>
          <w:rFonts w:hint="eastAsia" w:ascii="Times New Roman" w:hAnsi="Times New Roman" w:cs="Times New Roman"/>
          <w:color w:val="000000"/>
          <w:spacing w:val="0"/>
          <w:position w:val="0"/>
          <w:sz w:val="24"/>
          <w:szCs w:val="24"/>
        </w:rPr>
      </w:pPr>
      <w:r>
        <w:rPr>
          <w:rFonts w:hint="eastAsia" w:ascii="Times New Roman" w:hAnsi="Times New Roman" w:cs="Times New Roman"/>
          <w:color w:val="000000"/>
          <w:spacing w:val="0"/>
          <w:position w:val="0"/>
          <w:sz w:val="24"/>
          <w:szCs w:val="24"/>
        </w:rPr>
        <w:t>E</w:t>
      </w:r>
      <w:r>
        <w:rPr>
          <w:rFonts w:hint="eastAsia" w:ascii="Times New Roman" w:hAnsi="Times New Roman" w:cs="Times New Roman"/>
          <w:color w:val="000000"/>
          <w:spacing w:val="0"/>
          <w:position w:val="0"/>
          <w:sz w:val="24"/>
          <w:szCs w:val="24"/>
          <w:vertAlign w:val="subscript"/>
        </w:rPr>
        <w:t>过程</w:t>
      </w:r>
      <w:r>
        <w:rPr>
          <w:rFonts w:hint="eastAsia" w:ascii="Times New Roman" w:hAnsi="Times New Roman" w:cs="Times New Roman"/>
          <w:color w:val="000000"/>
          <w:spacing w:val="0"/>
          <w:position w:val="0"/>
          <w:sz w:val="24"/>
          <w:szCs w:val="24"/>
        </w:rPr>
        <w:t>为企业工业生产过程产生的CO</w:t>
      </w:r>
      <w:r>
        <w:rPr>
          <w:rFonts w:hint="eastAsia" w:ascii="Times New Roman" w:hAnsi="Times New Roman" w:cs="Times New Roman"/>
          <w:color w:val="000000"/>
          <w:spacing w:val="0"/>
          <w:position w:val="0"/>
          <w:sz w:val="24"/>
          <w:szCs w:val="24"/>
          <w:vertAlign w:val="subscript"/>
        </w:rPr>
        <w:t>2</w:t>
      </w:r>
      <w:r>
        <w:rPr>
          <w:rFonts w:hint="eastAsia" w:ascii="Times New Roman" w:hAnsi="Times New Roman" w:cs="Times New Roman"/>
          <w:color w:val="000000"/>
          <w:spacing w:val="0"/>
          <w:position w:val="0"/>
          <w:sz w:val="24"/>
          <w:szCs w:val="24"/>
        </w:rPr>
        <w:t>排放量，单位为吨（tCO</w:t>
      </w:r>
      <w:r>
        <w:rPr>
          <w:rFonts w:hint="eastAsia" w:ascii="Times New Roman" w:hAnsi="Times New Roman" w:cs="Times New Roman"/>
          <w:color w:val="000000"/>
          <w:spacing w:val="0"/>
          <w:position w:val="0"/>
          <w:sz w:val="24"/>
          <w:szCs w:val="24"/>
          <w:vertAlign w:val="subscript"/>
        </w:rPr>
        <w:t>2</w:t>
      </w:r>
      <w:r>
        <w:rPr>
          <w:rFonts w:hint="eastAsia" w:ascii="Times New Roman" w:hAnsi="Times New Roman" w:cs="Times New Roman"/>
          <w:color w:val="000000"/>
          <w:spacing w:val="0"/>
          <w:position w:val="0"/>
          <w:sz w:val="24"/>
          <w:szCs w:val="24"/>
        </w:rPr>
        <w:t>）；</w:t>
      </w:r>
    </w:p>
    <w:p w14:paraId="40E56AFB">
      <w:pPr>
        <w:pStyle w:val="52"/>
        <w:keepNext w:val="0"/>
        <w:keepLines w:val="0"/>
        <w:widowControl/>
        <w:suppressLineNumbers w:val="0"/>
        <w:spacing w:before="0" w:beforeAutospacing="0" w:after="0" w:afterAutospacing="0" w:line="240" w:lineRule="auto"/>
        <w:ind w:firstLine="480" w:firstLineChars="200"/>
        <w:contextualSpacing/>
        <w:jc w:val="both"/>
        <w:rPr>
          <w:rFonts w:hint="eastAsia" w:ascii="Times New Roman" w:hAnsi="Times New Roman" w:cs="Times New Roman"/>
          <w:color w:val="000000"/>
          <w:spacing w:val="0"/>
          <w:position w:val="0"/>
          <w:sz w:val="24"/>
          <w:szCs w:val="24"/>
        </w:rPr>
      </w:pPr>
      <w:r>
        <w:rPr>
          <w:rFonts w:hint="eastAsia" w:ascii="Times New Roman" w:hAnsi="Times New Roman" w:cs="Times New Roman"/>
          <w:color w:val="000000"/>
          <w:spacing w:val="0"/>
          <w:position w:val="0"/>
          <w:sz w:val="24"/>
          <w:szCs w:val="24"/>
        </w:rPr>
        <w:t>E</w:t>
      </w:r>
      <w:r>
        <w:rPr>
          <w:rFonts w:hint="eastAsia" w:ascii="Times New Roman" w:hAnsi="Times New Roman" w:cs="Times New Roman"/>
          <w:color w:val="000000"/>
          <w:spacing w:val="0"/>
          <w:position w:val="0"/>
          <w:sz w:val="24"/>
          <w:szCs w:val="24"/>
          <w:vertAlign w:val="subscript"/>
        </w:rPr>
        <w:t>电和热</w:t>
      </w:r>
      <w:r>
        <w:rPr>
          <w:rFonts w:hint="eastAsia" w:ascii="Times New Roman" w:hAnsi="Times New Roman" w:cs="Times New Roman"/>
          <w:color w:val="000000"/>
          <w:spacing w:val="0"/>
          <w:position w:val="0"/>
          <w:sz w:val="24"/>
          <w:szCs w:val="24"/>
        </w:rPr>
        <w:t>为企业净购入电力和净购入热力产生的CO</w:t>
      </w:r>
      <w:r>
        <w:rPr>
          <w:rFonts w:hint="eastAsia" w:ascii="Times New Roman" w:hAnsi="Times New Roman" w:cs="Times New Roman"/>
          <w:color w:val="000000"/>
          <w:spacing w:val="0"/>
          <w:position w:val="0"/>
          <w:sz w:val="24"/>
          <w:szCs w:val="24"/>
          <w:vertAlign w:val="subscript"/>
        </w:rPr>
        <w:t>2</w:t>
      </w:r>
      <w:r>
        <w:rPr>
          <w:rFonts w:hint="eastAsia" w:ascii="Times New Roman" w:hAnsi="Times New Roman" w:cs="Times New Roman"/>
          <w:color w:val="000000"/>
          <w:spacing w:val="0"/>
          <w:position w:val="0"/>
          <w:sz w:val="24"/>
          <w:szCs w:val="24"/>
        </w:rPr>
        <w:t>排放量，单位为吨（tCO</w:t>
      </w:r>
      <w:r>
        <w:rPr>
          <w:rFonts w:hint="eastAsia" w:ascii="Times New Roman" w:hAnsi="Times New Roman" w:cs="Times New Roman"/>
          <w:color w:val="000000"/>
          <w:spacing w:val="0"/>
          <w:position w:val="0"/>
          <w:sz w:val="24"/>
          <w:szCs w:val="24"/>
          <w:vertAlign w:val="subscript"/>
        </w:rPr>
        <w:t>2</w:t>
      </w:r>
      <w:r>
        <w:rPr>
          <w:rFonts w:hint="eastAsia" w:ascii="Times New Roman" w:hAnsi="Times New Roman" w:cs="Times New Roman"/>
          <w:color w:val="000000"/>
          <w:spacing w:val="0"/>
          <w:position w:val="0"/>
          <w:sz w:val="24"/>
          <w:szCs w:val="24"/>
        </w:rPr>
        <w:t>）；</w:t>
      </w:r>
    </w:p>
    <w:p w14:paraId="700B5D2A">
      <w:pPr>
        <w:pStyle w:val="52"/>
        <w:keepNext w:val="0"/>
        <w:keepLines w:val="0"/>
        <w:widowControl/>
        <w:suppressLineNumbers w:val="0"/>
        <w:spacing w:before="0" w:beforeAutospacing="0" w:after="0" w:afterAutospacing="0" w:line="240" w:lineRule="auto"/>
        <w:ind w:left="0" w:firstLine="496"/>
        <w:contextualSpacing/>
        <w:jc w:val="both"/>
        <w:rPr>
          <w:rFonts w:hint="eastAsia" w:ascii="Times New Roman" w:hAnsi="Times New Roman" w:cs="Times New Roman"/>
          <w:color w:val="000000"/>
          <w:spacing w:val="0"/>
          <w:position w:val="0"/>
          <w:sz w:val="24"/>
          <w:szCs w:val="24"/>
        </w:rPr>
      </w:pPr>
      <w:r>
        <w:rPr>
          <w:rFonts w:hint="eastAsia" w:ascii="Times New Roman" w:hAnsi="Times New Roman" w:cs="Times New Roman"/>
          <w:color w:val="000000"/>
          <w:spacing w:val="0"/>
          <w:position w:val="0"/>
          <w:sz w:val="24"/>
          <w:szCs w:val="24"/>
        </w:rPr>
        <w:t>R</w:t>
      </w:r>
      <w:r>
        <w:rPr>
          <w:rFonts w:hint="eastAsia" w:ascii="Times New Roman" w:hAnsi="Times New Roman" w:cs="Times New Roman"/>
          <w:color w:val="000000"/>
          <w:spacing w:val="0"/>
          <w:position w:val="0"/>
          <w:sz w:val="24"/>
          <w:szCs w:val="24"/>
          <w:vertAlign w:val="subscript"/>
        </w:rPr>
        <w:t>固碳</w:t>
      </w:r>
      <w:r>
        <w:rPr>
          <w:rFonts w:hint="eastAsia" w:ascii="Times New Roman" w:hAnsi="Times New Roman" w:cs="Times New Roman"/>
          <w:color w:val="000000"/>
          <w:spacing w:val="0"/>
          <w:position w:val="0"/>
          <w:sz w:val="24"/>
          <w:szCs w:val="24"/>
        </w:rPr>
        <w:t>为企业固碳产品隐含的CO2 排放量，单位为吨（tCO</w:t>
      </w:r>
      <w:r>
        <w:rPr>
          <w:rFonts w:hint="eastAsia" w:ascii="Times New Roman" w:hAnsi="Times New Roman" w:cs="Times New Roman"/>
          <w:color w:val="000000"/>
          <w:spacing w:val="0"/>
          <w:position w:val="0"/>
          <w:sz w:val="24"/>
          <w:szCs w:val="24"/>
          <w:vertAlign w:val="subscript"/>
        </w:rPr>
        <w:t>2</w:t>
      </w:r>
      <w:r>
        <w:rPr>
          <w:rFonts w:hint="eastAsia" w:ascii="Times New Roman" w:hAnsi="Times New Roman" w:cs="Times New Roman"/>
          <w:color w:val="000000"/>
          <w:spacing w:val="0"/>
          <w:position w:val="0"/>
          <w:sz w:val="24"/>
          <w:szCs w:val="24"/>
        </w:rPr>
        <w:t>）。</w:t>
      </w:r>
    </w:p>
    <w:p w14:paraId="121D07E9">
      <w:pPr>
        <w:pStyle w:val="52"/>
        <w:keepNext w:val="0"/>
        <w:keepLines w:val="0"/>
        <w:widowControl/>
        <w:suppressLineNumbers w:val="0"/>
        <w:spacing w:before="0" w:beforeAutospacing="0" w:after="0" w:afterAutospacing="0" w:line="240" w:lineRule="auto"/>
        <w:contextualSpacing/>
        <w:jc w:val="both"/>
        <w:rPr>
          <w:rFonts w:hint="eastAsia" w:ascii="Times New Roman" w:hAnsi="Times New Roman" w:cs="Times New Roman"/>
          <w:color w:val="000000"/>
          <w:spacing w:val="0"/>
          <w:position w:val="0"/>
          <w:sz w:val="24"/>
          <w:szCs w:val="24"/>
        </w:rPr>
      </w:pPr>
      <w:r>
        <w:rPr>
          <w:rFonts w:hint="eastAsia" w:ascii="Times New Roman" w:hAnsi="Times New Roman" w:cs="Times New Roman"/>
          <w:color w:val="000000"/>
          <w:spacing w:val="0"/>
          <w:position w:val="0"/>
          <w:sz w:val="24"/>
          <w:szCs w:val="24"/>
        </w:rPr>
        <w:t>（一）燃料燃烧排放</w:t>
      </w:r>
    </w:p>
    <w:p w14:paraId="573725B8">
      <w:pPr>
        <w:pStyle w:val="52"/>
        <w:keepNext w:val="0"/>
        <w:keepLines w:val="0"/>
        <w:widowControl/>
        <w:suppressLineNumbers w:val="0"/>
        <w:spacing w:before="0" w:beforeAutospacing="0" w:after="0" w:afterAutospacing="0" w:line="240" w:lineRule="auto"/>
        <w:contextualSpacing/>
        <w:jc w:val="both"/>
        <w:rPr>
          <w:rFonts w:hint="eastAsia" w:ascii="Times New Roman" w:hAnsi="Times New Roman" w:cs="Times New Roman"/>
          <w:color w:val="000000"/>
          <w:spacing w:val="0"/>
          <w:position w:val="0"/>
          <w:sz w:val="24"/>
          <w:szCs w:val="24"/>
        </w:rPr>
      </w:pPr>
      <w:r>
        <w:rPr>
          <w:rFonts w:hint="eastAsia" w:ascii="Times New Roman" w:hAnsi="Times New Roman" w:cs="Times New Roman"/>
          <w:color w:val="000000"/>
          <w:spacing w:val="0"/>
          <w:position w:val="0"/>
          <w:sz w:val="24"/>
          <w:szCs w:val="24"/>
        </w:rPr>
        <w:t>1.  计算公式</w:t>
      </w:r>
    </w:p>
    <w:p w14:paraId="079F7D56">
      <w:pPr>
        <w:pStyle w:val="52"/>
        <w:keepNext w:val="0"/>
        <w:keepLines w:val="0"/>
        <w:widowControl/>
        <w:suppressLineNumbers w:val="0"/>
        <w:spacing w:before="0" w:beforeAutospacing="0" w:after="0" w:afterAutospacing="0" w:line="240" w:lineRule="auto"/>
        <w:ind w:firstLine="480" w:firstLineChars="200"/>
        <w:contextualSpacing/>
        <w:jc w:val="both"/>
        <w:rPr>
          <w:rFonts w:hint="eastAsia" w:ascii="Times New Roman" w:hAnsi="Times New Roman" w:cs="Times New Roman"/>
          <w:color w:val="000000"/>
          <w:spacing w:val="0"/>
          <w:position w:val="0"/>
          <w:sz w:val="24"/>
          <w:szCs w:val="24"/>
        </w:rPr>
      </w:pPr>
      <w:r>
        <w:rPr>
          <w:rFonts w:hint="eastAsia" w:ascii="Times New Roman" w:hAnsi="Times New Roman" w:cs="Times New Roman"/>
          <w:color w:val="000000"/>
          <w:spacing w:val="0"/>
          <w:position w:val="0"/>
          <w:sz w:val="24"/>
          <w:szCs w:val="24"/>
        </w:rPr>
        <w:t>燃料燃烧活动产生的CO</w:t>
      </w:r>
      <w:r>
        <w:rPr>
          <w:rFonts w:hint="eastAsia" w:ascii="Times New Roman" w:hAnsi="Times New Roman" w:cs="Times New Roman"/>
          <w:color w:val="000000"/>
          <w:spacing w:val="0"/>
          <w:position w:val="0"/>
          <w:sz w:val="24"/>
          <w:szCs w:val="24"/>
          <w:vertAlign w:val="subscript"/>
        </w:rPr>
        <w:t>2</w:t>
      </w:r>
      <w:r>
        <w:rPr>
          <w:rFonts w:hint="eastAsia" w:ascii="Times New Roman" w:hAnsi="Times New Roman" w:cs="Times New Roman"/>
          <w:color w:val="000000"/>
          <w:spacing w:val="0"/>
          <w:position w:val="0"/>
          <w:sz w:val="24"/>
          <w:szCs w:val="24"/>
        </w:rPr>
        <w:t>排放量是企业核算和报告期内各种燃料燃烧产生的CO</w:t>
      </w:r>
      <w:r>
        <w:rPr>
          <w:rFonts w:hint="eastAsia" w:ascii="Times New Roman" w:hAnsi="Times New Roman" w:cs="Times New Roman"/>
          <w:color w:val="000000"/>
          <w:spacing w:val="0"/>
          <w:position w:val="0"/>
          <w:sz w:val="24"/>
          <w:szCs w:val="24"/>
          <w:vertAlign w:val="subscript"/>
        </w:rPr>
        <w:t>2</w:t>
      </w:r>
      <w:r>
        <w:rPr>
          <w:rFonts w:hint="eastAsia" w:ascii="Times New Roman" w:hAnsi="Times New Roman" w:cs="Times New Roman"/>
          <w:color w:val="000000"/>
          <w:spacing w:val="0"/>
          <w:position w:val="0"/>
          <w:sz w:val="24"/>
          <w:szCs w:val="24"/>
        </w:rPr>
        <w:t>排放量的加总，按公式（2）计算。</w:t>
      </w:r>
    </w:p>
    <w:p w14:paraId="44506517">
      <w:pPr>
        <w:pStyle w:val="52"/>
        <w:keepNext w:val="0"/>
        <w:keepLines w:val="0"/>
        <w:widowControl/>
        <w:suppressLineNumbers w:val="0"/>
        <w:spacing w:before="0" w:beforeAutospacing="0" w:after="0" w:afterAutospacing="0" w:line="240" w:lineRule="auto"/>
        <w:ind w:firstLine="480" w:firstLineChars="200"/>
        <w:contextualSpacing/>
        <w:jc w:val="center"/>
        <w:rPr>
          <w:rFonts w:hint="eastAsia" w:eastAsia="Arial Unicode MS"/>
          <w:lang w:eastAsia="zh-CN"/>
        </w:rPr>
      </w:pPr>
      <w:r>
        <w:drawing>
          <wp:inline distT="0" distB="0" distL="114300" distR="114300">
            <wp:extent cx="1609725" cy="371475"/>
            <wp:effectExtent l="0" t="0" r="9525" b="9525"/>
            <wp:docPr id="122" name="图片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 name="图片 100"/>
                    <pic:cNvPicPr>
                      <a:picLocks noChangeAspect="1"/>
                    </pic:cNvPicPr>
                  </pic:nvPicPr>
                  <pic:blipFill>
                    <a:blip r:embed="rId115"/>
                    <a:stretch>
                      <a:fillRect/>
                    </a:stretch>
                  </pic:blipFill>
                  <pic:spPr>
                    <a:xfrm>
                      <a:off x="0" y="0"/>
                      <a:ext cx="1609725" cy="371475"/>
                    </a:xfrm>
                    <a:prstGeom prst="rect">
                      <a:avLst/>
                    </a:prstGeom>
                    <a:noFill/>
                    <a:ln>
                      <a:noFill/>
                    </a:ln>
                  </pic:spPr>
                </pic:pic>
              </a:graphicData>
            </a:graphic>
          </wp:inline>
        </w:drawing>
      </w:r>
      <w:r>
        <w:rPr>
          <w:rFonts w:hint="eastAsia"/>
          <w:lang w:eastAsia="zh-CN"/>
        </w:rPr>
        <w:t>（</w:t>
      </w:r>
      <w:r>
        <w:rPr>
          <w:rFonts w:hint="eastAsia"/>
          <w:lang w:val="en-US" w:eastAsia="zh-CN"/>
        </w:rPr>
        <w:t>2</w:t>
      </w:r>
      <w:r>
        <w:rPr>
          <w:rFonts w:hint="eastAsia"/>
          <w:lang w:eastAsia="zh-CN"/>
        </w:rPr>
        <w:t>）</w:t>
      </w:r>
    </w:p>
    <w:p w14:paraId="69E632B1">
      <w:pPr>
        <w:pStyle w:val="52"/>
        <w:keepNext w:val="0"/>
        <w:keepLines w:val="0"/>
        <w:widowControl/>
        <w:suppressLineNumbers w:val="0"/>
        <w:spacing w:before="0" w:beforeAutospacing="0" w:after="0" w:afterAutospacing="0" w:line="240" w:lineRule="auto"/>
        <w:ind w:firstLine="480" w:firstLineChars="200"/>
        <w:contextualSpacing/>
        <w:jc w:val="both"/>
        <w:rPr>
          <w:rFonts w:hint="eastAsia"/>
        </w:rPr>
      </w:pPr>
      <w:r>
        <w:rPr>
          <w:rFonts w:hint="eastAsia"/>
        </w:rPr>
        <w:t>式中：</w:t>
      </w:r>
    </w:p>
    <w:p w14:paraId="08E9BD16">
      <w:pPr>
        <w:pStyle w:val="52"/>
        <w:keepNext w:val="0"/>
        <w:keepLines w:val="0"/>
        <w:widowControl/>
        <w:suppressLineNumbers w:val="0"/>
        <w:spacing w:before="0" w:beforeAutospacing="0" w:after="0" w:afterAutospacing="0" w:line="240" w:lineRule="auto"/>
        <w:ind w:firstLine="480" w:firstLineChars="200"/>
        <w:contextualSpacing/>
        <w:jc w:val="both"/>
        <w:rPr>
          <w:rFonts w:hint="eastAsia"/>
        </w:rPr>
      </w:pPr>
      <w:r>
        <w:rPr>
          <w:rFonts w:hint="eastAsia"/>
        </w:rPr>
        <w:t>E</w:t>
      </w:r>
      <w:r>
        <w:rPr>
          <w:rFonts w:hint="eastAsia"/>
          <w:vertAlign w:val="subscript"/>
        </w:rPr>
        <w:t>燃烧</w:t>
      </w:r>
      <w:r>
        <w:rPr>
          <w:rFonts w:hint="eastAsia"/>
        </w:rPr>
        <w:t>为核算和报告期内净消耗化石燃料燃烧产生的CO</w:t>
      </w:r>
      <w:r>
        <w:rPr>
          <w:rFonts w:hint="eastAsia"/>
          <w:vertAlign w:val="subscript"/>
        </w:rPr>
        <w:t>2</w:t>
      </w:r>
      <w:r>
        <w:rPr>
          <w:rFonts w:hint="eastAsia"/>
        </w:rPr>
        <w:t xml:space="preserve"> 排放量，单位为吨（tCO</w:t>
      </w:r>
      <w:r>
        <w:rPr>
          <w:rFonts w:hint="eastAsia"/>
          <w:vertAlign w:val="subscript"/>
        </w:rPr>
        <w:t>2</w:t>
      </w:r>
      <w:r>
        <w:rPr>
          <w:rFonts w:hint="eastAsia"/>
        </w:rPr>
        <w:t>）；</w:t>
      </w:r>
    </w:p>
    <w:p w14:paraId="154E7DF8">
      <w:pPr>
        <w:pStyle w:val="52"/>
        <w:keepNext w:val="0"/>
        <w:keepLines w:val="0"/>
        <w:widowControl/>
        <w:suppressLineNumbers w:val="0"/>
        <w:spacing w:before="0" w:beforeAutospacing="0" w:after="0" w:afterAutospacing="0" w:line="240" w:lineRule="auto"/>
        <w:ind w:firstLine="480" w:firstLineChars="200"/>
        <w:contextualSpacing/>
        <w:jc w:val="both"/>
        <w:rPr>
          <w:rFonts w:hint="eastAsia"/>
        </w:rPr>
      </w:pPr>
      <w:r>
        <w:rPr>
          <w:rFonts w:hint="eastAsia"/>
        </w:rPr>
        <w:t>AD</w:t>
      </w:r>
      <w:r>
        <w:rPr>
          <w:rFonts w:hint="eastAsia"/>
          <w:vertAlign w:val="subscript"/>
        </w:rPr>
        <w:t>i</w:t>
      </w:r>
      <w:r>
        <w:rPr>
          <w:rFonts w:hint="eastAsia"/>
        </w:rPr>
        <w:t>为核算和报告期内第i种化石燃料的活动水平，单位为百万千焦（GJ）；</w:t>
      </w:r>
    </w:p>
    <w:p w14:paraId="4D553A38">
      <w:pPr>
        <w:pStyle w:val="52"/>
        <w:keepNext w:val="0"/>
        <w:keepLines w:val="0"/>
        <w:widowControl/>
        <w:suppressLineNumbers w:val="0"/>
        <w:spacing w:before="0" w:beforeAutospacing="0" w:after="0" w:afterAutospacing="0" w:line="240" w:lineRule="auto"/>
        <w:ind w:firstLine="480" w:firstLineChars="200"/>
        <w:contextualSpacing/>
        <w:jc w:val="both"/>
        <w:rPr>
          <w:rFonts w:hint="eastAsia"/>
        </w:rPr>
      </w:pPr>
      <w:r>
        <w:rPr>
          <w:rFonts w:hint="eastAsia"/>
        </w:rPr>
        <w:t>EF</w:t>
      </w:r>
      <w:r>
        <w:rPr>
          <w:rFonts w:hint="eastAsia"/>
          <w:vertAlign w:val="subscript"/>
        </w:rPr>
        <w:t>i</w:t>
      </w:r>
      <w:r>
        <w:rPr>
          <w:rFonts w:hint="eastAsia"/>
        </w:rPr>
        <w:t>为第i种化石燃料的二氧化碳排放因子，单位为tCO</w:t>
      </w:r>
      <w:r>
        <w:rPr>
          <w:rFonts w:hint="eastAsia"/>
          <w:vertAlign w:val="subscript"/>
        </w:rPr>
        <w:t>2</w:t>
      </w:r>
      <w:r>
        <w:rPr>
          <w:rFonts w:hint="eastAsia"/>
        </w:rPr>
        <w:t>/GJ；</w:t>
      </w:r>
    </w:p>
    <w:p w14:paraId="26A1E912">
      <w:pPr>
        <w:pStyle w:val="52"/>
        <w:keepNext w:val="0"/>
        <w:keepLines w:val="0"/>
        <w:widowControl/>
        <w:suppressLineNumbers w:val="0"/>
        <w:spacing w:before="0" w:beforeAutospacing="0" w:after="0" w:afterAutospacing="0" w:line="240" w:lineRule="auto"/>
        <w:ind w:firstLine="480" w:firstLineChars="200"/>
        <w:contextualSpacing/>
        <w:jc w:val="both"/>
        <w:rPr>
          <w:rFonts w:hint="eastAsia"/>
        </w:rPr>
      </w:pPr>
      <w:r>
        <w:rPr>
          <w:rFonts w:hint="eastAsia"/>
        </w:rPr>
        <w:t>i 为净消耗化石燃料的类型。</w:t>
      </w:r>
    </w:p>
    <w:p w14:paraId="0CEAE348">
      <w:pPr>
        <w:pStyle w:val="52"/>
        <w:keepNext w:val="0"/>
        <w:keepLines w:val="0"/>
        <w:widowControl/>
        <w:suppressLineNumbers w:val="0"/>
        <w:spacing w:before="0" w:beforeAutospacing="0" w:after="0" w:afterAutospacing="0" w:line="240" w:lineRule="auto"/>
        <w:ind w:firstLine="480" w:firstLineChars="200"/>
        <w:contextualSpacing/>
        <w:jc w:val="both"/>
        <w:rPr>
          <w:rFonts w:hint="eastAsia"/>
        </w:rPr>
      </w:pPr>
      <w:r>
        <w:rPr>
          <w:rFonts w:hint="eastAsia"/>
        </w:rPr>
        <w:t>核算和报告期内第</w:t>
      </w:r>
      <w:r>
        <w:rPr>
          <w:rFonts w:hint="default"/>
        </w:rPr>
        <w:t>i</w:t>
      </w:r>
      <w:r>
        <w:rPr>
          <w:rFonts w:hint="eastAsia"/>
        </w:rPr>
        <w:t>种化石燃料的活动水平</w:t>
      </w:r>
      <w:r>
        <w:rPr>
          <w:rFonts w:hint="default"/>
        </w:rPr>
        <w:t xml:space="preserve">ADi </w:t>
      </w:r>
      <w:r>
        <w:rPr>
          <w:rFonts w:hint="eastAsia"/>
        </w:rPr>
        <w:t>按公式（</w:t>
      </w:r>
      <w:r>
        <w:rPr>
          <w:rFonts w:hint="default"/>
        </w:rPr>
        <w:t>3</w:t>
      </w:r>
      <w:r>
        <w:rPr>
          <w:rFonts w:hint="eastAsia"/>
        </w:rPr>
        <w:t>）计算。</w:t>
      </w:r>
    </w:p>
    <w:p w14:paraId="72FEE608">
      <w:pPr>
        <w:pStyle w:val="52"/>
        <w:keepNext w:val="0"/>
        <w:keepLines w:val="0"/>
        <w:widowControl/>
        <w:suppressLineNumbers w:val="0"/>
        <w:spacing w:before="0" w:beforeAutospacing="0" w:after="0" w:afterAutospacing="0" w:line="240" w:lineRule="auto"/>
        <w:ind w:firstLine="480" w:firstLineChars="200"/>
        <w:contextualSpacing/>
        <w:jc w:val="center"/>
        <w:rPr>
          <w:rFonts w:hint="eastAsia" w:eastAsia="Arial Unicode MS"/>
          <w:lang w:eastAsia="zh-CN"/>
        </w:rPr>
      </w:pPr>
      <w:r>
        <w:drawing>
          <wp:inline distT="0" distB="0" distL="114300" distR="114300">
            <wp:extent cx="1571625" cy="400050"/>
            <wp:effectExtent l="0" t="0" r="9525" b="0"/>
            <wp:docPr id="123" name="图片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 name="图片 101"/>
                    <pic:cNvPicPr>
                      <a:picLocks noChangeAspect="1"/>
                    </pic:cNvPicPr>
                  </pic:nvPicPr>
                  <pic:blipFill>
                    <a:blip r:embed="rId116"/>
                    <a:stretch>
                      <a:fillRect/>
                    </a:stretch>
                  </pic:blipFill>
                  <pic:spPr>
                    <a:xfrm>
                      <a:off x="0" y="0"/>
                      <a:ext cx="1571625" cy="400050"/>
                    </a:xfrm>
                    <a:prstGeom prst="rect">
                      <a:avLst/>
                    </a:prstGeom>
                    <a:noFill/>
                    <a:ln>
                      <a:noFill/>
                    </a:ln>
                  </pic:spPr>
                </pic:pic>
              </a:graphicData>
            </a:graphic>
          </wp:inline>
        </w:drawing>
      </w:r>
      <w:r>
        <w:rPr>
          <w:rFonts w:hint="eastAsia"/>
          <w:lang w:eastAsia="zh-CN"/>
        </w:rPr>
        <w:t>（</w:t>
      </w:r>
      <w:r>
        <w:rPr>
          <w:rFonts w:hint="eastAsia"/>
          <w:lang w:val="en-US" w:eastAsia="zh-CN"/>
        </w:rPr>
        <w:t>3</w:t>
      </w:r>
      <w:r>
        <w:rPr>
          <w:rFonts w:hint="eastAsia"/>
          <w:lang w:eastAsia="zh-CN"/>
        </w:rPr>
        <w:t>）</w:t>
      </w:r>
    </w:p>
    <w:p w14:paraId="4BB6BEF8">
      <w:pPr>
        <w:pStyle w:val="52"/>
        <w:keepNext w:val="0"/>
        <w:keepLines w:val="0"/>
        <w:widowControl/>
        <w:suppressLineNumbers w:val="0"/>
        <w:spacing w:before="0" w:beforeAutospacing="0" w:after="0" w:afterAutospacing="0" w:line="240" w:lineRule="auto"/>
        <w:ind w:firstLine="480" w:firstLineChars="200"/>
        <w:contextualSpacing/>
        <w:jc w:val="both"/>
        <w:rPr>
          <w:rFonts w:hint="eastAsia"/>
        </w:rPr>
      </w:pPr>
      <w:r>
        <w:rPr>
          <w:rFonts w:hint="eastAsia"/>
        </w:rPr>
        <w:t>式中：</w:t>
      </w:r>
    </w:p>
    <w:p w14:paraId="1738AEB5">
      <w:pPr>
        <w:pStyle w:val="52"/>
        <w:keepNext w:val="0"/>
        <w:keepLines w:val="0"/>
        <w:widowControl/>
        <w:suppressLineNumbers w:val="0"/>
        <w:spacing w:before="0" w:beforeAutospacing="0" w:after="0" w:afterAutospacing="0" w:line="240" w:lineRule="auto"/>
        <w:ind w:firstLine="480" w:firstLineChars="200"/>
        <w:contextualSpacing/>
        <w:jc w:val="both"/>
        <w:rPr>
          <w:rFonts w:hint="eastAsia"/>
        </w:rPr>
      </w:pPr>
      <w:r>
        <w:rPr>
          <w:rFonts w:hint="eastAsia"/>
        </w:rPr>
        <w:t>NCV</w:t>
      </w:r>
      <w:r>
        <w:rPr>
          <w:rFonts w:hint="eastAsia"/>
          <w:vertAlign w:val="subscript"/>
        </w:rPr>
        <w:t>i</w:t>
      </w:r>
      <w:r>
        <w:rPr>
          <w:rFonts w:hint="eastAsia"/>
        </w:rPr>
        <w:t xml:space="preserve"> 是核算和报告期第i种化石燃料的平均低位发热量，对固体或液体燃料，单位为百万千焦/吨（GJ/t）；对气体燃料，单位为百万千焦/万立方米（GJ/万Nm</w:t>
      </w:r>
      <w:r>
        <w:rPr>
          <w:rFonts w:hint="eastAsia"/>
          <w:vertAlign w:val="superscript"/>
        </w:rPr>
        <w:t>3</w:t>
      </w:r>
      <w:r>
        <w:rPr>
          <w:rFonts w:hint="eastAsia"/>
        </w:rPr>
        <w:t>）；</w:t>
      </w:r>
    </w:p>
    <w:p w14:paraId="1F1907E8">
      <w:pPr>
        <w:pStyle w:val="52"/>
        <w:keepNext w:val="0"/>
        <w:keepLines w:val="0"/>
        <w:widowControl/>
        <w:suppressLineNumbers w:val="0"/>
        <w:spacing w:before="0" w:beforeAutospacing="0" w:after="0" w:afterAutospacing="0" w:line="240" w:lineRule="auto"/>
        <w:ind w:firstLine="480" w:firstLineChars="200"/>
        <w:contextualSpacing/>
        <w:jc w:val="both"/>
        <w:rPr>
          <w:rFonts w:hint="eastAsia"/>
        </w:rPr>
      </w:pPr>
      <w:r>
        <w:rPr>
          <w:rFonts w:hint="eastAsia"/>
        </w:rPr>
        <w:t>FC</w:t>
      </w:r>
      <w:r>
        <w:rPr>
          <w:rFonts w:hint="eastAsia"/>
          <w:vertAlign w:val="subscript"/>
        </w:rPr>
        <w:t>i</w:t>
      </w:r>
      <w:r>
        <w:rPr>
          <w:rFonts w:hint="eastAsia"/>
        </w:rPr>
        <w:t>是核算和报告期内第i种化石燃料的净消耗量，对固体或液体燃料，单位为吨（t）；对气体燃料，单位为万立方米（万Nm</w:t>
      </w:r>
      <w:r>
        <w:rPr>
          <w:rFonts w:hint="eastAsia"/>
          <w:vertAlign w:val="superscript"/>
        </w:rPr>
        <w:t>3</w:t>
      </w:r>
      <w:r>
        <w:rPr>
          <w:rFonts w:hint="eastAsia"/>
        </w:rPr>
        <w:t>）。</w:t>
      </w:r>
    </w:p>
    <w:p w14:paraId="1EB835E8">
      <w:pPr>
        <w:pStyle w:val="52"/>
        <w:keepNext w:val="0"/>
        <w:keepLines w:val="0"/>
        <w:widowControl/>
        <w:suppressLineNumbers w:val="0"/>
        <w:spacing w:before="0" w:beforeAutospacing="0" w:after="0" w:afterAutospacing="0" w:line="240" w:lineRule="auto"/>
        <w:ind w:firstLine="480" w:firstLineChars="200"/>
        <w:contextualSpacing/>
        <w:jc w:val="both"/>
        <w:rPr>
          <w:rFonts w:hint="eastAsia"/>
        </w:rPr>
      </w:pPr>
      <w:r>
        <w:rPr>
          <w:rFonts w:hint="eastAsia"/>
        </w:rPr>
        <w:t>化石燃料的二氧化碳排放因子按公式（4）计算。</w:t>
      </w:r>
    </w:p>
    <w:p w14:paraId="50BFB90F">
      <w:pPr>
        <w:pStyle w:val="52"/>
        <w:keepNext w:val="0"/>
        <w:keepLines w:val="0"/>
        <w:widowControl/>
        <w:suppressLineNumbers w:val="0"/>
        <w:spacing w:before="0" w:beforeAutospacing="0" w:after="0" w:afterAutospacing="0" w:line="240" w:lineRule="auto"/>
        <w:ind w:firstLine="480" w:firstLineChars="200"/>
        <w:contextualSpacing/>
        <w:jc w:val="center"/>
        <w:rPr>
          <w:rFonts w:hint="eastAsia" w:eastAsia="Arial Unicode MS"/>
          <w:lang w:eastAsia="zh-CN"/>
        </w:rPr>
      </w:pPr>
      <w:r>
        <w:drawing>
          <wp:inline distT="0" distB="0" distL="114300" distR="114300">
            <wp:extent cx="1609725" cy="419100"/>
            <wp:effectExtent l="0" t="0" r="9525" b="0"/>
            <wp:docPr id="124" name="图片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 name="图片 102"/>
                    <pic:cNvPicPr>
                      <a:picLocks noChangeAspect="1"/>
                    </pic:cNvPicPr>
                  </pic:nvPicPr>
                  <pic:blipFill>
                    <a:blip r:embed="rId117"/>
                    <a:stretch>
                      <a:fillRect/>
                    </a:stretch>
                  </pic:blipFill>
                  <pic:spPr>
                    <a:xfrm>
                      <a:off x="0" y="0"/>
                      <a:ext cx="1609725" cy="419100"/>
                    </a:xfrm>
                    <a:prstGeom prst="rect">
                      <a:avLst/>
                    </a:prstGeom>
                    <a:noFill/>
                    <a:ln>
                      <a:noFill/>
                    </a:ln>
                  </pic:spPr>
                </pic:pic>
              </a:graphicData>
            </a:graphic>
          </wp:inline>
        </w:drawing>
      </w:r>
      <w:r>
        <w:rPr>
          <w:rFonts w:hint="eastAsia"/>
          <w:lang w:eastAsia="zh-CN"/>
        </w:rPr>
        <w:t>（</w:t>
      </w:r>
      <w:r>
        <w:rPr>
          <w:rFonts w:hint="eastAsia"/>
          <w:lang w:val="en-US" w:eastAsia="zh-CN"/>
        </w:rPr>
        <w:t>4</w:t>
      </w:r>
      <w:r>
        <w:rPr>
          <w:rFonts w:hint="eastAsia"/>
          <w:lang w:eastAsia="zh-CN"/>
        </w:rPr>
        <w:t>）</w:t>
      </w:r>
    </w:p>
    <w:p w14:paraId="65FF0307">
      <w:pPr>
        <w:pStyle w:val="52"/>
        <w:keepNext w:val="0"/>
        <w:keepLines w:val="0"/>
        <w:widowControl/>
        <w:suppressLineNumbers w:val="0"/>
        <w:spacing w:before="0" w:beforeAutospacing="0" w:after="0" w:afterAutospacing="0" w:line="240" w:lineRule="auto"/>
        <w:ind w:firstLine="480" w:firstLineChars="200"/>
        <w:contextualSpacing/>
        <w:jc w:val="both"/>
        <w:rPr>
          <w:rFonts w:hint="eastAsia"/>
        </w:rPr>
      </w:pPr>
      <w:r>
        <w:rPr>
          <w:rFonts w:hint="eastAsia"/>
        </w:rPr>
        <w:t>式中：</w:t>
      </w:r>
    </w:p>
    <w:p w14:paraId="68308E00">
      <w:pPr>
        <w:pStyle w:val="52"/>
        <w:keepNext w:val="0"/>
        <w:keepLines w:val="0"/>
        <w:widowControl/>
        <w:suppressLineNumbers w:val="0"/>
        <w:spacing w:before="0" w:beforeAutospacing="0" w:after="0" w:afterAutospacing="0" w:line="240" w:lineRule="auto"/>
        <w:ind w:firstLine="480" w:firstLineChars="200"/>
        <w:contextualSpacing/>
        <w:jc w:val="both"/>
        <w:rPr>
          <w:rFonts w:hint="eastAsia"/>
        </w:rPr>
      </w:pPr>
      <w:r>
        <w:rPr>
          <w:rFonts w:hint="default"/>
        </w:rPr>
        <w:t>CC</w:t>
      </w:r>
      <w:r>
        <w:rPr>
          <w:rFonts w:hint="default"/>
          <w:vertAlign w:val="subscript"/>
        </w:rPr>
        <w:t>i</w:t>
      </w:r>
      <w:r>
        <w:rPr>
          <w:rFonts w:hint="eastAsia"/>
        </w:rPr>
        <w:t>为第</w:t>
      </w:r>
      <w:r>
        <w:rPr>
          <w:rFonts w:hint="default"/>
        </w:rPr>
        <w:t>i</w:t>
      </w:r>
      <w:r>
        <w:rPr>
          <w:rFonts w:hint="eastAsia"/>
        </w:rPr>
        <w:t>种化石燃料的单位热值含碳量，单位为吨碳</w:t>
      </w:r>
      <w:r>
        <w:rPr>
          <w:rFonts w:hint="default"/>
        </w:rPr>
        <w:t>/</w:t>
      </w:r>
      <w:r>
        <w:rPr>
          <w:rFonts w:hint="eastAsia"/>
        </w:rPr>
        <w:t>百万千焦（</w:t>
      </w:r>
      <w:r>
        <w:rPr>
          <w:rFonts w:hint="default"/>
        </w:rPr>
        <w:t>tC/GJ</w:t>
      </w:r>
      <w:r>
        <w:rPr>
          <w:rFonts w:hint="eastAsia"/>
        </w:rPr>
        <w:t>）；</w:t>
      </w:r>
    </w:p>
    <w:p w14:paraId="43510C34">
      <w:pPr>
        <w:pStyle w:val="52"/>
        <w:keepNext w:val="0"/>
        <w:keepLines w:val="0"/>
        <w:widowControl/>
        <w:suppressLineNumbers w:val="0"/>
        <w:spacing w:before="0" w:beforeAutospacing="0" w:after="0" w:afterAutospacing="0" w:line="240" w:lineRule="auto"/>
        <w:ind w:firstLine="480" w:firstLineChars="200"/>
        <w:contextualSpacing/>
        <w:jc w:val="both"/>
        <w:rPr>
          <w:rFonts w:hint="eastAsia"/>
        </w:rPr>
      </w:pPr>
      <w:r>
        <w:rPr>
          <w:rFonts w:hint="default"/>
        </w:rPr>
        <w:t>OF</w:t>
      </w:r>
      <w:r>
        <w:rPr>
          <w:rFonts w:hint="default"/>
          <w:vertAlign w:val="subscript"/>
        </w:rPr>
        <w:t>i</w:t>
      </w:r>
      <w:r>
        <w:rPr>
          <w:rFonts w:hint="eastAsia"/>
        </w:rPr>
        <w:t>为第</w:t>
      </w:r>
      <w:r>
        <w:rPr>
          <w:rFonts w:hint="default"/>
        </w:rPr>
        <w:t>i</w:t>
      </w:r>
      <w:r>
        <w:rPr>
          <w:rFonts w:hint="eastAsia"/>
        </w:rPr>
        <w:t>种化石燃料的碳氧化率，单位为</w:t>
      </w:r>
      <w:r>
        <w:rPr>
          <w:rFonts w:hint="default"/>
        </w:rPr>
        <w:t>%</w:t>
      </w:r>
      <w:r>
        <w:rPr>
          <w:rFonts w:hint="eastAsia"/>
        </w:rPr>
        <w:t>。</w:t>
      </w:r>
    </w:p>
    <w:p w14:paraId="50F2BB30">
      <w:pPr>
        <w:pStyle w:val="52"/>
        <w:keepNext w:val="0"/>
        <w:keepLines w:val="0"/>
        <w:widowControl/>
        <w:suppressLineNumbers w:val="0"/>
        <w:spacing w:before="0" w:beforeAutospacing="0" w:after="0" w:afterAutospacing="0" w:line="240" w:lineRule="auto"/>
        <w:ind w:firstLine="480" w:firstLineChars="200"/>
        <w:contextualSpacing/>
        <w:jc w:val="both"/>
        <w:rPr>
          <w:rFonts w:hint="eastAsia"/>
        </w:rPr>
      </w:pPr>
      <w:r>
        <w:rPr>
          <w:rFonts w:hint="default"/>
        </w:rPr>
        <w:t xml:space="preserve">2. </w:t>
      </w:r>
      <w:r>
        <w:rPr>
          <w:rFonts w:hint="eastAsia"/>
        </w:rPr>
        <w:t>活动水平数据获取</w:t>
      </w:r>
    </w:p>
    <w:p w14:paraId="704A7257">
      <w:pPr>
        <w:pStyle w:val="52"/>
        <w:keepNext w:val="0"/>
        <w:keepLines w:val="0"/>
        <w:widowControl/>
        <w:suppressLineNumbers w:val="0"/>
        <w:spacing w:before="0" w:beforeAutospacing="0" w:after="0" w:afterAutospacing="0" w:line="240" w:lineRule="auto"/>
        <w:ind w:firstLine="480" w:firstLineChars="200"/>
        <w:contextualSpacing/>
        <w:jc w:val="both"/>
        <w:rPr>
          <w:rFonts w:hint="eastAsia"/>
        </w:rPr>
      </w:pPr>
      <w:r>
        <w:rPr>
          <w:rFonts w:hint="eastAsia"/>
        </w:rPr>
        <w:t>根据核算和报告期内各种化石燃料购入量、外销量、库存变化量以及除钢铁生产之外的其他消耗量来确定各自的净消耗量。化石燃料购入量、外销量采用采购单或销售单等结算凭证上的数据，库存变化量采用计量工具读数或其他符合要求的方法来确定，钢铁生产之外的其他消耗量依据企业能源平衡表获取，采用公式（</w:t>
      </w:r>
      <w:r>
        <w:rPr>
          <w:rFonts w:hint="default"/>
        </w:rPr>
        <w:t>5</w:t>
      </w:r>
      <w:r>
        <w:rPr>
          <w:rFonts w:hint="eastAsia"/>
        </w:rPr>
        <w:t>）计算。</w:t>
      </w:r>
    </w:p>
    <w:p w14:paraId="28701A1D">
      <w:pPr>
        <w:pStyle w:val="52"/>
        <w:keepNext w:val="0"/>
        <w:keepLines w:val="0"/>
        <w:widowControl/>
        <w:suppressLineNumbers w:val="0"/>
        <w:spacing w:before="0" w:beforeAutospacing="0" w:after="0" w:afterAutospacing="0" w:line="240" w:lineRule="auto"/>
        <w:ind w:firstLine="480" w:firstLineChars="200"/>
        <w:contextualSpacing/>
        <w:jc w:val="both"/>
        <w:rPr>
          <w:rFonts w:hint="eastAsia"/>
        </w:rPr>
      </w:pPr>
      <w:r>
        <w:rPr>
          <w:rFonts w:hint="eastAsia"/>
        </w:rPr>
        <w:t>净消耗量</w:t>
      </w:r>
      <w:r>
        <w:rPr>
          <w:rFonts w:hint="default"/>
        </w:rPr>
        <w:t>=</w:t>
      </w:r>
      <w:r>
        <w:rPr>
          <w:rFonts w:hint="eastAsia"/>
        </w:rPr>
        <w:t>购入量</w:t>
      </w:r>
      <w:r>
        <w:rPr>
          <w:rFonts w:hint="default"/>
        </w:rPr>
        <w:t>+(</w:t>
      </w:r>
      <w:r>
        <w:rPr>
          <w:rFonts w:hint="eastAsia"/>
        </w:rPr>
        <w:t>期初库存量−期末库存量</w:t>
      </w:r>
      <w:r>
        <w:rPr>
          <w:rFonts w:hint="default"/>
        </w:rPr>
        <w:t>) −</w:t>
      </w:r>
      <w:r>
        <w:rPr>
          <w:rFonts w:hint="eastAsia"/>
        </w:rPr>
        <w:t>钢铁生产之外的其他消耗量</w:t>
      </w:r>
      <w:r>
        <w:rPr>
          <w:rFonts w:hint="default"/>
        </w:rPr>
        <w:t>−</w:t>
      </w:r>
      <w:r>
        <w:rPr>
          <w:rFonts w:hint="eastAsia"/>
        </w:rPr>
        <w:t>外销量（</w:t>
      </w:r>
      <w:r>
        <w:rPr>
          <w:rFonts w:hint="default"/>
        </w:rPr>
        <w:t>5</w:t>
      </w:r>
      <w:r>
        <w:rPr>
          <w:rFonts w:hint="eastAsia"/>
        </w:rPr>
        <w:t>）</w:t>
      </w:r>
    </w:p>
    <w:p w14:paraId="73464766">
      <w:pPr>
        <w:pStyle w:val="52"/>
        <w:keepNext w:val="0"/>
        <w:keepLines w:val="0"/>
        <w:widowControl/>
        <w:suppressLineNumbers w:val="0"/>
        <w:spacing w:before="0" w:beforeAutospacing="0" w:after="0" w:afterAutospacing="0" w:line="240" w:lineRule="auto"/>
        <w:ind w:firstLine="480" w:firstLineChars="200"/>
        <w:contextualSpacing/>
        <w:jc w:val="both"/>
        <w:rPr>
          <w:rFonts w:hint="eastAsia"/>
        </w:rPr>
      </w:pPr>
      <w:r>
        <w:rPr>
          <w:rFonts w:hint="eastAsia"/>
        </w:rPr>
        <w:t>企业可选择采用本指南提供的化石燃料平均低位发热量缺省值，如表</w:t>
      </w:r>
      <w:r>
        <w:rPr>
          <w:rFonts w:hint="default"/>
        </w:rPr>
        <w:t>2.1</w:t>
      </w:r>
      <w:r>
        <w:rPr>
          <w:rFonts w:hint="eastAsia"/>
        </w:rPr>
        <w:t>所示。具备条件的企业可开展实测，或委托有资质的专业机构进行检测，也可采用与相关方结算凭证中提供的检测值。如采用实测，化石燃料低位发热量检测应遵循《</w:t>
      </w:r>
      <w:r>
        <w:rPr>
          <w:rFonts w:hint="default"/>
        </w:rPr>
        <w:t xml:space="preserve">GB/T 213 </w:t>
      </w:r>
      <w:r>
        <w:rPr>
          <w:rFonts w:hint="eastAsia"/>
        </w:rPr>
        <w:t>煤的发热量测定方法》、《</w:t>
      </w:r>
      <w:r>
        <w:rPr>
          <w:rFonts w:hint="default"/>
        </w:rPr>
        <w:t xml:space="preserve">GB/T 384 </w:t>
      </w:r>
      <w:r>
        <w:rPr>
          <w:rFonts w:hint="eastAsia"/>
        </w:rPr>
        <w:t>石油产品热值测定法》、《</w:t>
      </w:r>
      <w:r>
        <w:rPr>
          <w:rFonts w:hint="default"/>
        </w:rPr>
        <w:t xml:space="preserve">GB/T 22723 </w:t>
      </w:r>
      <w:r>
        <w:rPr>
          <w:rFonts w:hint="eastAsia"/>
        </w:rPr>
        <w:t>天然气能量的测定》等相关标准。</w:t>
      </w:r>
    </w:p>
    <w:p w14:paraId="5D34E4B9">
      <w:pPr>
        <w:pStyle w:val="52"/>
        <w:keepNext w:val="0"/>
        <w:keepLines w:val="0"/>
        <w:widowControl/>
        <w:suppressLineNumbers w:val="0"/>
        <w:spacing w:before="0" w:beforeAutospacing="0" w:after="0" w:afterAutospacing="0" w:line="240" w:lineRule="auto"/>
        <w:ind w:firstLine="480" w:firstLineChars="200"/>
        <w:contextualSpacing/>
        <w:jc w:val="both"/>
        <w:rPr>
          <w:rFonts w:hint="eastAsia"/>
        </w:rPr>
      </w:pPr>
      <w:r>
        <w:rPr>
          <w:rFonts w:hint="default"/>
        </w:rPr>
        <w:t xml:space="preserve">3. </w:t>
      </w:r>
      <w:r>
        <w:rPr>
          <w:rFonts w:hint="eastAsia"/>
        </w:rPr>
        <w:t>排放因子数据获取</w:t>
      </w:r>
    </w:p>
    <w:p w14:paraId="7D99D217">
      <w:pPr>
        <w:pStyle w:val="52"/>
        <w:keepNext w:val="0"/>
        <w:keepLines w:val="0"/>
        <w:widowControl/>
        <w:suppressLineNumbers w:val="0"/>
        <w:spacing w:before="0" w:beforeAutospacing="0" w:after="0" w:afterAutospacing="0" w:line="240" w:lineRule="auto"/>
        <w:ind w:firstLine="480" w:firstLineChars="200"/>
        <w:contextualSpacing/>
        <w:jc w:val="both"/>
        <w:rPr>
          <w:rFonts w:hint="eastAsia"/>
        </w:rPr>
      </w:pPr>
      <w:r>
        <w:rPr>
          <w:rFonts w:hint="eastAsia"/>
        </w:rPr>
        <w:t>企业可采用本指南提供的单位热值含碳量和碳氧化率缺省值，如表</w:t>
      </w:r>
      <w:r>
        <w:rPr>
          <w:rFonts w:hint="default"/>
        </w:rPr>
        <w:t xml:space="preserve">2.1 </w:t>
      </w:r>
      <w:r>
        <w:rPr>
          <w:rFonts w:hint="eastAsia"/>
        </w:rPr>
        <w:t>所示。</w:t>
      </w:r>
    </w:p>
    <w:p w14:paraId="4956CB21">
      <w:pPr>
        <w:pStyle w:val="52"/>
        <w:keepNext w:val="0"/>
        <w:keepLines w:val="0"/>
        <w:widowControl/>
        <w:suppressLineNumbers w:val="0"/>
        <w:spacing w:before="0" w:beforeAutospacing="0" w:after="0" w:afterAutospacing="0" w:line="240" w:lineRule="auto"/>
        <w:ind w:firstLine="480" w:firstLineChars="200"/>
        <w:contextualSpacing/>
        <w:jc w:val="both"/>
        <w:rPr>
          <w:rFonts w:hint="eastAsia"/>
        </w:rPr>
      </w:pPr>
      <w:r>
        <w:rPr>
          <w:rFonts w:hint="default"/>
        </w:rPr>
        <w:t xml:space="preserve">4. </w:t>
      </w:r>
      <w:r>
        <w:rPr>
          <w:rFonts w:hint="eastAsia"/>
        </w:rPr>
        <w:t>计算结果</w:t>
      </w:r>
    </w:p>
    <w:p w14:paraId="5A722C6C">
      <w:pPr>
        <w:pStyle w:val="52"/>
        <w:keepNext w:val="0"/>
        <w:keepLines w:val="0"/>
        <w:widowControl/>
        <w:suppressLineNumbers w:val="0"/>
        <w:spacing w:before="0" w:beforeAutospacing="0" w:after="0" w:afterAutospacing="0" w:line="240" w:lineRule="auto"/>
        <w:ind w:firstLine="480" w:firstLineChars="200"/>
        <w:contextualSpacing/>
        <w:jc w:val="both"/>
        <w:rPr>
          <w:rFonts w:hint="eastAsia"/>
        </w:rPr>
      </w:pPr>
      <w:r>
        <w:rPr>
          <w:rFonts w:hint="eastAsia"/>
        </w:rPr>
        <w:t>本次技改前使用高炉煤气、焦炭、无烟煤，技改后使用也高炉煤气、焦炭、无烟煤。技改前后燃料燃烧排放情况见下表所示：</w:t>
      </w:r>
    </w:p>
    <w:p w14:paraId="6811BA54">
      <w:pPr>
        <w:jc w:val="center"/>
      </w:pPr>
      <w:r>
        <w:t>表6.</w:t>
      </w:r>
      <w:r>
        <w:rPr>
          <w:rFonts w:hint="eastAsia"/>
          <w:lang w:val="en-US" w:eastAsia="zh-CN"/>
        </w:rPr>
        <w:t>5</w:t>
      </w:r>
      <w:r>
        <w:t>-1 本次技改前后化石燃料燃烧碳排放量</w:t>
      </w:r>
    </w:p>
    <w:tbl>
      <w:tblPr>
        <w:tblStyle w:val="56"/>
        <w:tblW w:w="5001"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045"/>
        <w:gridCol w:w="1461"/>
        <w:gridCol w:w="1438"/>
        <w:gridCol w:w="1206"/>
        <w:gridCol w:w="1385"/>
        <w:gridCol w:w="894"/>
        <w:gridCol w:w="1295"/>
      </w:tblGrid>
      <w:tr w14:paraId="7118B7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2506" w:type="dxa"/>
            <w:gridSpan w:val="2"/>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484DD0AB">
            <w:pPr>
              <w:jc w:val="center"/>
              <w:rPr>
                <w:b/>
              </w:rPr>
            </w:pPr>
            <w:r>
              <w:rPr>
                <w:b/>
              </w:rPr>
              <w:t>项目</w:t>
            </w:r>
          </w:p>
        </w:tc>
        <w:tc>
          <w:tcPr>
            <w:tcW w:w="1438"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70F6F310">
            <w:pPr>
              <w:jc w:val="center"/>
              <w:rPr>
                <w:b/>
              </w:rPr>
            </w:pPr>
            <w:r>
              <w:rPr>
                <w:b/>
              </w:rPr>
              <w:t>NCV</w:t>
            </w:r>
            <w:r>
              <w:rPr>
                <w:b/>
                <w:vertAlign w:val="subscript"/>
              </w:rPr>
              <w:t>i</w:t>
            </w:r>
            <w:r>
              <w:rPr>
                <w:b/>
              </w:rPr>
              <w:t>（GJ/万Nm</w:t>
            </w:r>
            <w:r>
              <w:rPr>
                <w:b/>
                <w:vertAlign w:val="superscript"/>
              </w:rPr>
              <w:t>3</w:t>
            </w:r>
            <w:r>
              <w:rPr>
                <w:b/>
              </w:rPr>
              <w:t>、GJ/t）</w:t>
            </w:r>
          </w:p>
        </w:tc>
        <w:tc>
          <w:tcPr>
            <w:tcW w:w="1206"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20A798AC">
            <w:pPr>
              <w:jc w:val="center"/>
              <w:rPr>
                <w:b/>
              </w:rPr>
            </w:pPr>
            <w:r>
              <w:rPr>
                <w:b/>
              </w:rPr>
              <w:t>FC</w:t>
            </w:r>
            <w:r>
              <w:rPr>
                <w:b/>
                <w:vertAlign w:val="subscript"/>
              </w:rPr>
              <w:t>i</w:t>
            </w:r>
            <w:r>
              <w:rPr>
                <w:b/>
              </w:rPr>
              <w:t>（万Nm</w:t>
            </w:r>
            <w:r>
              <w:rPr>
                <w:b/>
                <w:vertAlign w:val="superscript"/>
              </w:rPr>
              <w:t>3</w:t>
            </w:r>
            <w:r>
              <w:rPr>
                <w:b/>
              </w:rPr>
              <w:t>、t）</w:t>
            </w:r>
          </w:p>
        </w:tc>
        <w:tc>
          <w:tcPr>
            <w:tcW w:w="1385"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255E93F4">
            <w:pPr>
              <w:jc w:val="center"/>
              <w:rPr>
                <w:b/>
              </w:rPr>
            </w:pPr>
            <w:r>
              <w:rPr>
                <w:b/>
              </w:rPr>
              <w:t>CC</w:t>
            </w:r>
            <w:r>
              <w:rPr>
                <w:b/>
                <w:vertAlign w:val="subscript"/>
              </w:rPr>
              <w:t>i</w:t>
            </w:r>
            <w:r>
              <w:rPr>
                <w:b/>
              </w:rPr>
              <w:t>（tC/GJ）</w:t>
            </w:r>
          </w:p>
        </w:tc>
        <w:tc>
          <w:tcPr>
            <w:tcW w:w="894"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1B2AEF9D">
            <w:pPr>
              <w:jc w:val="center"/>
              <w:rPr>
                <w:b/>
              </w:rPr>
            </w:pPr>
            <w:r>
              <w:rPr>
                <w:b/>
              </w:rPr>
              <w:t>OF</w:t>
            </w:r>
            <w:r>
              <w:rPr>
                <w:b/>
                <w:vertAlign w:val="subscript"/>
              </w:rPr>
              <w:t>i</w:t>
            </w:r>
            <w:r>
              <w:rPr>
                <w:b/>
              </w:rPr>
              <w:t>（%）</w:t>
            </w:r>
          </w:p>
        </w:tc>
        <w:tc>
          <w:tcPr>
            <w:tcW w:w="1295"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7ECD4B74">
            <w:pPr>
              <w:jc w:val="center"/>
              <w:rPr>
                <w:b/>
              </w:rPr>
            </w:pPr>
            <w:r>
              <w:rPr>
                <w:b/>
              </w:rPr>
              <w:t>E</w:t>
            </w:r>
            <w:r>
              <w:rPr>
                <w:b/>
                <w:vertAlign w:val="subscript"/>
              </w:rPr>
              <w:t>燃烧</w:t>
            </w:r>
            <w:r>
              <w:rPr>
                <w:b/>
              </w:rPr>
              <w:t>（tCO2）</w:t>
            </w:r>
          </w:p>
        </w:tc>
      </w:tr>
      <w:tr w14:paraId="0D2B05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1045" w:type="dxa"/>
            <w:vMerge w:val="restart"/>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55B77A74">
            <w:r>
              <w:t>技改前</w:t>
            </w:r>
          </w:p>
        </w:tc>
        <w:tc>
          <w:tcPr>
            <w:tcW w:w="1461"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11021C9B">
            <w:r>
              <w:t>高炉煤气</w:t>
            </w:r>
          </w:p>
        </w:tc>
        <w:tc>
          <w:tcPr>
            <w:tcW w:w="1438"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6ED0AC44">
            <w:r>
              <w:t>33.000</w:t>
            </w:r>
          </w:p>
        </w:tc>
        <w:tc>
          <w:tcPr>
            <w:tcW w:w="1206"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27D0C733">
            <w:pPr>
              <w:rPr>
                <w:rFonts w:hint="default" w:ascii="宋体" w:hAnsi="宋体" w:eastAsia="宋体" w:cs="宋体"/>
                <w:lang w:val="en-US" w:eastAsia="zh-CN"/>
              </w:rPr>
            </w:pPr>
            <w:r>
              <w:rPr>
                <w:rFonts w:hint="eastAsia" w:ascii="宋体" w:hAnsi="宋体" w:eastAsia="宋体" w:cs="宋体"/>
                <w:lang w:val="en-US" w:eastAsia="zh-CN"/>
              </w:rPr>
              <w:t>32210</w:t>
            </w:r>
          </w:p>
        </w:tc>
        <w:tc>
          <w:tcPr>
            <w:tcW w:w="1385"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14AE1763">
            <w:r>
              <w:t>0.0708</w:t>
            </w:r>
          </w:p>
        </w:tc>
        <w:tc>
          <w:tcPr>
            <w:tcW w:w="894"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32E266A9">
            <w:r>
              <w:t>99%</w:t>
            </w:r>
          </w:p>
        </w:tc>
        <w:tc>
          <w:tcPr>
            <w:tcW w:w="1295"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6C4DBEAC">
            <w:pPr>
              <w:rPr>
                <w:rFonts w:hint="default" w:eastAsia="宋体"/>
                <w:lang w:val="en-US" w:eastAsia="zh-CN"/>
              </w:rPr>
            </w:pPr>
            <w:r>
              <w:rPr>
                <w:rFonts w:hint="eastAsia"/>
                <w:lang w:val="en-US" w:eastAsia="zh-CN"/>
              </w:rPr>
              <w:t>273177</w:t>
            </w:r>
          </w:p>
        </w:tc>
      </w:tr>
      <w:tr w14:paraId="6F30F0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1045" w:type="dxa"/>
            <w:vMerge w:val="continue"/>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0D9E9D44"/>
        </w:tc>
        <w:tc>
          <w:tcPr>
            <w:tcW w:w="1461"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1F5A8413">
            <w:r>
              <w:t>焦炭</w:t>
            </w:r>
          </w:p>
        </w:tc>
        <w:tc>
          <w:tcPr>
            <w:tcW w:w="1438"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4A3253E0">
            <w:r>
              <w:t>28.447</w:t>
            </w:r>
          </w:p>
        </w:tc>
        <w:tc>
          <w:tcPr>
            <w:tcW w:w="1206"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5B2C7EA8">
            <w:pPr>
              <w:rPr>
                <w:rFonts w:ascii="宋体" w:hAnsi="宋体" w:eastAsia="宋体" w:cs="宋体"/>
              </w:rPr>
            </w:pPr>
            <w:r>
              <w:rPr>
                <w:rFonts w:hint="eastAsia" w:ascii="宋体" w:hAnsi="宋体" w:eastAsia="宋体" w:cs="宋体"/>
                <w:lang w:val="en-US" w:eastAsia="zh-CN"/>
              </w:rPr>
              <w:t>12750</w:t>
            </w:r>
          </w:p>
        </w:tc>
        <w:tc>
          <w:tcPr>
            <w:tcW w:w="1385"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26BDD60E">
            <w:r>
              <w:t>0.0295</w:t>
            </w:r>
          </w:p>
        </w:tc>
        <w:tc>
          <w:tcPr>
            <w:tcW w:w="894"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29967C1D">
            <w:r>
              <w:t>93%</w:t>
            </w:r>
          </w:p>
        </w:tc>
        <w:tc>
          <w:tcPr>
            <w:tcW w:w="1295"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0C53FC4F">
            <w:pPr>
              <w:rPr>
                <w:rFonts w:hint="default" w:eastAsia="宋体"/>
                <w:lang w:val="en-US" w:eastAsia="zh-CN"/>
              </w:rPr>
            </w:pPr>
            <w:r>
              <w:rPr>
                <w:rFonts w:hint="eastAsia"/>
                <w:lang w:val="en-US" w:eastAsia="zh-CN"/>
              </w:rPr>
              <w:t>36486</w:t>
            </w:r>
          </w:p>
        </w:tc>
      </w:tr>
      <w:tr w14:paraId="6909CA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1045" w:type="dxa"/>
            <w:vMerge w:val="continue"/>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66706C83"/>
        </w:tc>
        <w:tc>
          <w:tcPr>
            <w:tcW w:w="1461"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0F701BC9">
            <w:r>
              <w:t>煤</w:t>
            </w:r>
          </w:p>
        </w:tc>
        <w:tc>
          <w:tcPr>
            <w:tcW w:w="1438"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244D5E92">
            <w:r>
              <w:t>20.304</w:t>
            </w:r>
          </w:p>
        </w:tc>
        <w:tc>
          <w:tcPr>
            <w:tcW w:w="1206"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2B5171F9">
            <w:pPr>
              <w:rPr>
                <w:rFonts w:ascii="宋体" w:hAnsi="宋体" w:eastAsia="宋体" w:cs="宋体"/>
              </w:rPr>
            </w:pPr>
            <w:r>
              <w:rPr>
                <w:rFonts w:hint="eastAsia" w:ascii="宋体" w:hAnsi="宋体" w:eastAsia="宋体" w:cs="宋体"/>
                <w:lang w:val="en-US" w:eastAsia="zh-CN"/>
              </w:rPr>
              <w:t>5960</w:t>
            </w:r>
          </w:p>
        </w:tc>
        <w:tc>
          <w:tcPr>
            <w:tcW w:w="1385"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5C920B4B">
            <w:r>
              <w:t>0.02749</w:t>
            </w:r>
          </w:p>
        </w:tc>
        <w:tc>
          <w:tcPr>
            <w:tcW w:w="894"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1F9B35E3">
            <w:r>
              <w:t>94%</w:t>
            </w:r>
          </w:p>
        </w:tc>
        <w:tc>
          <w:tcPr>
            <w:tcW w:w="1295"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55CC52EC">
            <w:pPr>
              <w:rPr>
                <w:rFonts w:hint="default" w:eastAsia="宋体"/>
                <w:lang w:val="en-US" w:eastAsia="zh-CN"/>
              </w:rPr>
            </w:pPr>
            <w:r>
              <w:rPr>
                <w:rFonts w:hint="eastAsia"/>
                <w:lang w:val="en-US" w:eastAsia="zh-CN"/>
              </w:rPr>
              <w:t>11466</w:t>
            </w:r>
          </w:p>
        </w:tc>
      </w:tr>
      <w:tr w14:paraId="59A19E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1045" w:type="dxa"/>
            <w:vMerge w:val="continue"/>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6064667D"/>
        </w:tc>
        <w:tc>
          <w:tcPr>
            <w:tcW w:w="1461"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221347D7">
            <w:r>
              <w:t>小计</w:t>
            </w:r>
          </w:p>
        </w:tc>
        <w:tc>
          <w:tcPr>
            <w:tcW w:w="1438"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749BDFD7">
            <w:r>
              <w:t>/</w:t>
            </w:r>
          </w:p>
        </w:tc>
        <w:tc>
          <w:tcPr>
            <w:tcW w:w="1206"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78AEE96B">
            <w:r>
              <w:t>/</w:t>
            </w:r>
          </w:p>
        </w:tc>
        <w:tc>
          <w:tcPr>
            <w:tcW w:w="1385"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3F785841">
            <w:r>
              <w:t>/</w:t>
            </w:r>
          </w:p>
        </w:tc>
        <w:tc>
          <w:tcPr>
            <w:tcW w:w="894"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327DB83A">
            <w:pPr>
              <w:rPr>
                <w:rFonts w:hint="eastAsia" w:ascii="宋体" w:hAnsi="宋体" w:eastAsia="宋体" w:cs="宋体"/>
                <w:lang w:val="en-US" w:eastAsia="zh-CN"/>
              </w:rPr>
            </w:pPr>
            <w:r>
              <w:rPr>
                <w:rFonts w:hint="eastAsia" w:ascii="宋体" w:hAnsi="宋体" w:eastAsia="宋体" w:cs="宋体"/>
                <w:lang w:val="en-US" w:eastAsia="zh-CN"/>
              </w:rPr>
              <w:t>/</w:t>
            </w:r>
          </w:p>
        </w:tc>
        <w:tc>
          <w:tcPr>
            <w:tcW w:w="1295"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2D9424C0">
            <w:pPr>
              <w:rPr>
                <w:rFonts w:hint="eastAsia" w:ascii="宋体" w:hAnsi="宋体" w:eastAsia="宋体" w:cs="宋体"/>
                <w:lang w:val="en-US" w:eastAsia="zh-CN"/>
              </w:rPr>
            </w:pPr>
            <w:r>
              <w:rPr>
                <w:rFonts w:hint="eastAsia" w:ascii="宋体" w:hAnsi="宋体" w:eastAsia="宋体" w:cs="宋体"/>
                <w:lang w:val="en-US" w:eastAsia="zh-CN"/>
              </w:rPr>
              <w:t>321129</w:t>
            </w:r>
          </w:p>
        </w:tc>
      </w:tr>
      <w:tr w14:paraId="5F69FB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1045" w:type="dxa"/>
            <w:vMerge w:val="restart"/>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68982A8B">
            <w:r>
              <w:t>技改后</w:t>
            </w:r>
          </w:p>
        </w:tc>
        <w:tc>
          <w:tcPr>
            <w:tcW w:w="1461"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2A042ADB">
            <w:r>
              <w:t>高炉煤气</w:t>
            </w:r>
          </w:p>
        </w:tc>
        <w:tc>
          <w:tcPr>
            <w:tcW w:w="1438"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21B49EA6">
            <w:r>
              <w:t>33.000</w:t>
            </w:r>
          </w:p>
        </w:tc>
        <w:tc>
          <w:tcPr>
            <w:tcW w:w="1206"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6ADBCCE2">
            <w:r>
              <w:rPr>
                <w:rFonts w:hint="eastAsia" w:ascii="宋体" w:hAnsi="宋体" w:eastAsia="宋体" w:cs="宋体"/>
                <w:lang w:val="en-US" w:eastAsia="zh-CN"/>
              </w:rPr>
              <w:t>32210</w:t>
            </w:r>
          </w:p>
        </w:tc>
        <w:tc>
          <w:tcPr>
            <w:tcW w:w="1385"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7F238371">
            <w:r>
              <w:t>0.0708</w:t>
            </w:r>
          </w:p>
        </w:tc>
        <w:tc>
          <w:tcPr>
            <w:tcW w:w="894"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7BAB1065">
            <w:r>
              <w:t>99%</w:t>
            </w:r>
          </w:p>
        </w:tc>
        <w:tc>
          <w:tcPr>
            <w:tcW w:w="1295"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3056ED83">
            <w:r>
              <w:rPr>
                <w:rFonts w:hint="eastAsia"/>
                <w:lang w:val="en-US" w:eastAsia="zh-CN"/>
              </w:rPr>
              <w:t>273177</w:t>
            </w:r>
          </w:p>
        </w:tc>
      </w:tr>
      <w:tr w14:paraId="56D673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1045" w:type="dxa"/>
            <w:vMerge w:val="continue"/>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24FE4709"/>
        </w:tc>
        <w:tc>
          <w:tcPr>
            <w:tcW w:w="1461"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3E57FA9E">
            <w:r>
              <w:t>焦炭</w:t>
            </w:r>
          </w:p>
        </w:tc>
        <w:tc>
          <w:tcPr>
            <w:tcW w:w="1438"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4B18758A">
            <w:r>
              <w:t>28.447</w:t>
            </w:r>
          </w:p>
        </w:tc>
        <w:tc>
          <w:tcPr>
            <w:tcW w:w="1206"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228D5E52">
            <w:r>
              <w:rPr>
                <w:rFonts w:hint="eastAsia" w:ascii="宋体" w:hAnsi="宋体" w:eastAsia="宋体" w:cs="宋体"/>
                <w:lang w:val="en-US" w:eastAsia="zh-CN"/>
              </w:rPr>
              <w:t>12600</w:t>
            </w:r>
          </w:p>
        </w:tc>
        <w:tc>
          <w:tcPr>
            <w:tcW w:w="1385"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3593420E">
            <w:r>
              <w:t>0.0295</w:t>
            </w:r>
          </w:p>
        </w:tc>
        <w:tc>
          <w:tcPr>
            <w:tcW w:w="894"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201A895D">
            <w:r>
              <w:t>93%</w:t>
            </w:r>
          </w:p>
        </w:tc>
        <w:tc>
          <w:tcPr>
            <w:tcW w:w="1295"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785CD236">
            <w:pPr>
              <w:rPr>
                <w:rFonts w:hint="default"/>
                <w:lang w:val="en-US"/>
              </w:rPr>
            </w:pPr>
            <w:r>
              <w:rPr>
                <w:rFonts w:hint="eastAsia"/>
                <w:lang w:val="en-US" w:eastAsia="zh-CN"/>
              </w:rPr>
              <w:t>36056</w:t>
            </w:r>
          </w:p>
        </w:tc>
      </w:tr>
      <w:tr w14:paraId="62DEE6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1045" w:type="dxa"/>
            <w:vMerge w:val="continue"/>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3C3AE74F"/>
        </w:tc>
        <w:tc>
          <w:tcPr>
            <w:tcW w:w="1461"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5B917969">
            <w:r>
              <w:t>煤</w:t>
            </w:r>
          </w:p>
        </w:tc>
        <w:tc>
          <w:tcPr>
            <w:tcW w:w="1438"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5306B5D5">
            <w:r>
              <w:t>20.304</w:t>
            </w:r>
          </w:p>
        </w:tc>
        <w:tc>
          <w:tcPr>
            <w:tcW w:w="1206"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0C07C944">
            <w:r>
              <w:rPr>
                <w:rFonts w:hint="eastAsia" w:ascii="宋体" w:hAnsi="宋体" w:eastAsia="宋体" w:cs="宋体"/>
                <w:lang w:val="en-US" w:eastAsia="zh-CN"/>
              </w:rPr>
              <w:t>6060</w:t>
            </w:r>
          </w:p>
        </w:tc>
        <w:tc>
          <w:tcPr>
            <w:tcW w:w="1385"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4E409029">
            <w:r>
              <w:t>0.02749</w:t>
            </w:r>
          </w:p>
        </w:tc>
        <w:tc>
          <w:tcPr>
            <w:tcW w:w="894"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60FC52F4">
            <w:r>
              <w:t>94%</w:t>
            </w:r>
          </w:p>
        </w:tc>
        <w:tc>
          <w:tcPr>
            <w:tcW w:w="1295"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4E1832FE">
            <w:pPr>
              <w:rPr>
                <w:rFonts w:hint="default" w:ascii="宋体" w:hAnsi="宋体" w:eastAsia="宋体" w:cs="宋体"/>
                <w:lang w:val="en-US" w:eastAsia="zh-CN"/>
              </w:rPr>
            </w:pPr>
            <w:r>
              <w:rPr>
                <w:rFonts w:hint="eastAsia" w:ascii="宋体" w:hAnsi="宋体" w:eastAsia="宋体" w:cs="宋体"/>
                <w:lang w:val="en-US" w:eastAsia="zh-CN"/>
              </w:rPr>
              <w:t>11658</w:t>
            </w:r>
          </w:p>
        </w:tc>
      </w:tr>
      <w:tr w14:paraId="6FD248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1045" w:type="dxa"/>
            <w:vMerge w:val="continue"/>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28D1DCA5"/>
        </w:tc>
        <w:tc>
          <w:tcPr>
            <w:tcW w:w="1461"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4D8E1F54">
            <w:r>
              <w:t>小计</w:t>
            </w:r>
          </w:p>
        </w:tc>
        <w:tc>
          <w:tcPr>
            <w:tcW w:w="1438"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6C4ED722">
            <w:r>
              <w:t>/</w:t>
            </w:r>
          </w:p>
        </w:tc>
        <w:tc>
          <w:tcPr>
            <w:tcW w:w="1206"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48EED4F6">
            <w:r>
              <w:t>/</w:t>
            </w:r>
          </w:p>
        </w:tc>
        <w:tc>
          <w:tcPr>
            <w:tcW w:w="1385"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41D858E3">
            <w:r>
              <w:t>/</w:t>
            </w:r>
          </w:p>
        </w:tc>
        <w:tc>
          <w:tcPr>
            <w:tcW w:w="894"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6BA248CD">
            <w:r>
              <w:t>/</w:t>
            </w:r>
          </w:p>
        </w:tc>
        <w:tc>
          <w:tcPr>
            <w:tcW w:w="1295"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17047F34">
            <w:pPr>
              <w:rPr>
                <w:rFonts w:hint="eastAsia" w:ascii="宋体" w:hAnsi="宋体" w:eastAsia="宋体" w:cs="宋体"/>
                <w:lang w:val="en-US" w:eastAsia="zh-CN"/>
              </w:rPr>
            </w:pPr>
            <w:r>
              <w:rPr>
                <w:rFonts w:hint="eastAsia" w:ascii="宋体" w:hAnsi="宋体" w:eastAsia="宋体" w:cs="宋体"/>
                <w:lang w:val="en-US" w:eastAsia="zh-CN"/>
              </w:rPr>
              <w:t>320891</w:t>
            </w:r>
          </w:p>
        </w:tc>
      </w:tr>
    </w:tbl>
    <w:p w14:paraId="12B486DB">
      <w:pPr>
        <w:jc w:val="left"/>
        <w:rPr>
          <w:rFonts w:ascii="宋体" w:hAnsi="宋体" w:eastAsia="宋体" w:cs="宋体"/>
        </w:rPr>
      </w:pPr>
      <w:r>
        <w:rPr>
          <w:rFonts w:hint="eastAsia" w:ascii="宋体" w:hAnsi="宋体" w:eastAsia="宋体" w:cs="宋体"/>
        </w:rPr>
        <w:t>（二）工业生产过程排放</w:t>
      </w:r>
    </w:p>
    <w:p w14:paraId="21EB7E71">
      <w:pPr>
        <w:jc w:val="left"/>
        <w:rPr>
          <w:rFonts w:ascii="宋体" w:hAnsi="宋体" w:eastAsia="宋体" w:cs="宋体"/>
        </w:rPr>
      </w:pPr>
      <w:r>
        <w:rPr>
          <w:rFonts w:hint="default" w:ascii="宋体" w:hAnsi="宋体" w:eastAsia="宋体" w:cs="宋体"/>
        </w:rPr>
        <w:t xml:space="preserve">1. </w:t>
      </w:r>
      <w:r>
        <w:rPr>
          <w:rFonts w:hint="eastAsia" w:ascii="宋体" w:hAnsi="宋体" w:eastAsia="宋体" w:cs="宋体"/>
        </w:rPr>
        <w:t>计算公式</w:t>
      </w:r>
    </w:p>
    <w:p w14:paraId="3949FFC2">
      <w:pPr>
        <w:jc w:val="left"/>
        <w:rPr>
          <w:rFonts w:ascii="宋体" w:hAnsi="宋体" w:eastAsia="宋体" w:cs="宋体"/>
        </w:rPr>
      </w:pPr>
      <w:r>
        <w:rPr>
          <w:rFonts w:hint="eastAsia" w:ascii="宋体" w:hAnsi="宋体" w:eastAsia="宋体" w:cs="宋体"/>
        </w:rPr>
        <w:t>工业生产过程中产生的</w:t>
      </w:r>
      <w:r>
        <w:rPr>
          <w:rFonts w:hint="default" w:ascii="宋体" w:hAnsi="宋体" w:eastAsia="宋体" w:cs="宋体"/>
        </w:rPr>
        <w:t>CO</w:t>
      </w:r>
      <w:r>
        <w:rPr>
          <w:rFonts w:hint="default" w:ascii="宋体" w:hAnsi="宋体" w:eastAsia="宋体" w:cs="宋体"/>
          <w:vertAlign w:val="subscript"/>
        </w:rPr>
        <w:t>2</w:t>
      </w:r>
      <w:r>
        <w:rPr>
          <w:rFonts w:hint="eastAsia" w:ascii="宋体" w:hAnsi="宋体" w:eastAsia="宋体" w:cs="宋体"/>
        </w:rPr>
        <w:t>排放量按公式（</w:t>
      </w:r>
      <w:r>
        <w:rPr>
          <w:rFonts w:hint="default" w:ascii="宋体" w:hAnsi="宋体" w:eastAsia="宋体" w:cs="宋体"/>
        </w:rPr>
        <w:t>6</w:t>
      </w:r>
      <w:r>
        <w:rPr>
          <w:rFonts w:hint="eastAsia" w:ascii="宋体" w:hAnsi="宋体" w:eastAsia="宋体" w:cs="宋体"/>
        </w:rPr>
        <w:t>）</w:t>
      </w:r>
      <w:r>
        <w:rPr>
          <w:rFonts w:hint="default" w:ascii="宋体" w:hAnsi="宋体" w:eastAsia="宋体" w:cs="宋体"/>
        </w:rPr>
        <w:t>-</w:t>
      </w:r>
      <w:r>
        <w:rPr>
          <w:rFonts w:hint="eastAsia" w:ascii="宋体" w:hAnsi="宋体" w:eastAsia="宋体" w:cs="宋体"/>
        </w:rPr>
        <w:t>（</w:t>
      </w:r>
      <w:r>
        <w:rPr>
          <w:rFonts w:hint="default" w:ascii="宋体" w:hAnsi="宋体" w:eastAsia="宋体" w:cs="宋体"/>
        </w:rPr>
        <w:t>9</w:t>
      </w:r>
      <w:r>
        <w:rPr>
          <w:rFonts w:hint="eastAsia" w:ascii="宋体" w:hAnsi="宋体" w:eastAsia="宋体" w:cs="宋体"/>
        </w:rPr>
        <w:t>）计算。</w:t>
      </w:r>
    </w:p>
    <w:p w14:paraId="4AEEFB40">
      <w:pPr>
        <w:pStyle w:val="52"/>
        <w:keepNext w:val="0"/>
        <w:keepLines w:val="0"/>
        <w:widowControl/>
        <w:suppressLineNumbers w:val="0"/>
        <w:spacing w:before="0" w:beforeAutospacing="0" w:after="0" w:afterAutospacing="0" w:line="240" w:lineRule="auto"/>
        <w:ind w:firstLine="480" w:firstLineChars="200"/>
        <w:contextualSpacing/>
        <w:jc w:val="center"/>
        <w:rPr>
          <w:rFonts w:hint="eastAsia"/>
        </w:rPr>
      </w:pPr>
      <w:r>
        <w:rPr>
          <w:rFonts w:hint="eastAsia"/>
        </w:rPr>
        <w:t>E</w:t>
      </w:r>
      <w:r>
        <w:rPr>
          <w:rFonts w:hint="eastAsia"/>
          <w:vertAlign w:val="subscript"/>
        </w:rPr>
        <w:t>过程</w:t>
      </w:r>
      <w:r>
        <w:rPr>
          <w:rFonts w:hint="eastAsia"/>
        </w:rPr>
        <w:t>=E</w:t>
      </w:r>
      <w:r>
        <w:rPr>
          <w:rFonts w:hint="eastAsia"/>
          <w:vertAlign w:val="subscript"/>
        </w:rPr>
        <w:t>熔剂</w:t>
      </w:r>
      <w:r>
        <w:rPr>
          <w:rFonts w:hint="eastAsia"/>
        </w:rPr>
        <w:t>+E</w:t>
      </w:r>
      <w:r>
        <w:rPr>
          <w:rFonts w:hint="eastAsia"/>
          <w:vertAlign w:val="subscript"/>
        </w:rPr>
        <w:t>电极</w:t>
      </w:r>
      <w:r>
        <w:rPr>
          <w:rFonts w:hint="eastAsia"/>
        </w:rPr>
        <w:t>+E</w:t>
      </w:r>
      <w:r>
        <w:rPr>
          <w:rFonts w:hint="eastAsia"/>
          <w:vertAlign w:val="subscript"/>
        </w:rPr>
        <w:t>原料</w:t>
      </w:r>
      <w:r>
        <w:rPr>
          <w:rFonts w:hint="eastAsia"/>
        </w:rPr>
        <w:t>（6）</w:t>
      </w:r>
    </w:p>
    <w:p w14:paraId="561B4057">
      <w:pPr>
        <w:pStyle w:val="52"/>
        <w:keepNext w:val="0"/>
        <w:keepLines w:val="0"/>
        <w:widowControl/>
        <w:suppressLineNumbers w:val="0"/>
        <w:spacing w:before="0" w:beforeAutospacing="0" w:after="0" w:afterAutospacing="0" w:line="240" w:lineRule="auto"/>
        <w:ind w:firstLine="480" w:firstLineChars="200"/>
        <w:contextualSpacing/>
        <w:jc w:val="both"/>
        <w:rPr>
          <w:rFonts w:hint="eastAsia"/>
        </w:rPr>
      </w:pPr>
      <w:r>
        <w:rPr>
          <w:rFonts w:hint="eastAsia"/>
        </w:rPr>
        <w:t>1)熔剂消耗产生的CO</w:t>
      </w:r>
      <w:r>
        <w:rPr>
          <w:rFonts w:hint="eastAsia"/>
          <w:vertAlign w:val="subscript"/>
        </w:rPr>
        <w:t>2</w:t>
      </w:r>
      <w:r>
        <w:rPr>
          <w:rFonts w:hint="eastAsia"/>
        </w:rPr>
        <w:t>排放</w:t>
      </w:r>
    </w:p>
    <w:p w14:paraId="090A3FF6">
      <w:pPr>
        <w:pStyle w:val="52"/>
        <w:keepNext w:val="0"/>
        <w:keepLines w:val="0"/>
        <w:widowControl/>
        <w:suppressLineNumbers w:val="0"/>
        <w:spacing w:before="0" w:beforeAutospacing="0" w:after="0" w:afterAutospacing="0" w:line="240" w:lineRule="auto"/>
        <w:ind w:firstLine="480" w:firstLineChars="200"/>
        <w:contextualSpacing/>
        <w:jc w:val="both"/>
      </w:pPr>
      <w:r>
        <w:drawing>
          <wp:inline distT="0" distB="0" distL="114300" distR="114300">
            <wp:extent cx="1543050" cy="400050"/>
            <wp:effectExtent l="0" t="0" r="0" b="0"/>
            <wp:docPr id="125" name="图片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 name="图片 105"/>
                    <pic:cNvPicPr>
                      <a:picLocks noChangeAspect="1"/>
                    </pic:cNvPicPr>
                  </pic:nvPicPr>
                  <pic:blipFill>
                    <a:blip r:embed="rId118"/>
                    <a:stretch>
                      <a:fillRect/>
                    </a:stretch>
                  </pic:blipFill>
                  <pic:spPr>
                    <a:xfrm>
                      <a:off x="0" y="0"/>
                      <a:ext cx="1543050" cy="400050"/>
                    </a:xfrm>
                    <a:prstGeom prst="rect">
                      <a:avLst/>
                    </a:prstGeom>
                    <a:noFill/>
                    <a:ln>
                      <a:noFill/>
                    </a:ln>
                  </pic:spPr>
                </pic:pic>
              </a:graphicData>
            </a:graphic>
          </wp:inline>
        </w:drawing>
      </w:r>
    </w:p>
    <w:p w14:paraId="46B5F3C8">
      <w:pPr>
        <w:pStyle w:val="52"/>
        <w:keepNext w:val="0"/>
        <w:keepLines w:val="0"/>
        <w:widowControl/>
        <w:suppressLineNumbers w:val="0"/>
        <w:spacing w:before="0" w:beforeAutospacing="0" w:after="0" w:afterAutospacing="0" w:line="240" w:lineRule="auto"/>
        <w:ind w:firstLine="480" w:firstLineChars="200"/>
        <w:contextualSpacing/>
        <w:jc w:val="both"/>
        <w:rPr>
          <w:rFonts w:hint="eastAsia"/>
        </w:rPr>
      </w:pPr>
      <w:r>
        <w:rPr>
          <w:rFonts w:hint="eastAsia"/>
        </w:rPr>
        <w:t>式中：</w:t>
      </w:r>
    </w:p>
    <w:p w14:paraId="7A4B0F0D">
      <w:pPr>
        <w:pStyle w:val="52"/>
        <w:keepNext w:val="0"/>
        <w:keepLines w:val="0"/>
        <w:widowControl/>
        <w:suppressLineNumbers w:val="0"/>
        <w:spacing w:before="0" w:beforeAutospacing="0" w:after="0" w:afterAutospacing="0" w:line="240" w:lineRule="auto"/>
        <w:ind w:firstLine="480" w:firstLineChars="200"/>
        <w:contextualSpacing/>
        <w:jc w:val="both"/>
        <w:rPr>
          <w:rFonts w:hint="eastAsia"/>
        </w:rPr>
      </w:pPr>
      <w:r>
        <w:rPr>
          <w:rFonts w:hint="eastAsia"/>
        </w:rPr>
        <w:t>E</w:t>
      </w:r>
      <w:r>
        <w:rPr>
          <w:rFonts w:hint="eastAsia"/>
          <w:vertAlign w:val="subscript"/>
        </w:rPr>
        <w:t>熔剂</w:t>
      </w:r>
      <w:r>
        <w:rPr>
          <w:rFonts w:hint="eastAsia"/>
        </w:rPr>
        <w:t>为熔剂消耗产生的CO</w:t>
      </w:r>
      <w:r>
        <w:rPr>
          <w:rFonts w:hint="eastAsia"/>
          <w:vertAlign w:val="subscript"/>
        </w:rPr>
        <w:t>2</w:t>
      </w:r>
      <w:r>
        <w:rPr>
          <w:rFonts w:hint="eastAsia"/>
        </w:rPr>
        <w:t>排放量，单位为吨（tCO</w:t>
      </w:r>
      <w:r>
        <w:rPr>
          <w:rFonts w:hint="eastAsia"/>
          <w:vertAlign w:val="subscript"/>
        </w:rPr>
        <w:t>2</w:t>
      </w:r>
      <w:r>
        <w:rPr>
          <w:rFonts w:hint="eastAsia"/>
        </w:rPr>
        <w:t>）；</w:t>
      </w:r>
    </w:p>
    <w:p w14:paraId="0965A66B">
      <w:pPr>
        <w:pStyle w:val="52"/>
        <w:keepNext w:val="0"/>
        <w:keepLines w:val="0"/>
        <w:widowControl/>
        <w:suppressLineNumbers w:val="0"/>
        <w:spacing w:before="0" w:beforeAutospacing="0" w:after="0" w:afterAutospacing="0" w:line="240" w:lineRule="auto"/>
        <w:ind w:firstLine="480" w:firstLineChars="200"/>
        <w:contextualSpacing/>
        <w:jc w:val="both"/>
        <w:rPr>
          <w:rFonts w:hint="eastAsia"/>
        </w:rPr>
      </w:pPr>
      <w:r>
        <w:rPr>
          <w:rFonts w:hint="eastAsia"/>
        </w:rPr>
        <w:t>P</w:t>
      </w:r>
      <w:r>
        <w:rPr>
          <w:rFonts w:hint="eastAsia"/>
          <w:vertAlign w:val="subscript"/>
        </w:rPr>
        <w:t>i</w:t>
      </w:r>
      <w:r>
        <w:rPr>
          <w:rFonts w:hint="eastAsia"/>
        </w:rPr>
        <w:t>为核算和报告期内第i种熔剂的净消耗量，单位为吨（t）；</w:t>
      </w:r>
    </w:p>
    <w:p w14:paraId="51201410">
      <w:pPr>
        <w:pStyle w:val="52"/>
        <w:keepNext w:val="0"/>
        <w:keepLines w:val="0"/>
        <w:widowControl/>
        <w:suppressLineNumbers w:val="0"/>
        <w:spacing w:before="0" w:beforeAutospacing="0" w:after="0" w:afterAutospacing="0" w:line="240" w:lineRule="auto"/>
        <w:ind w:firstLine="480" w:firstLineChars="200"/>
        <w:contextualSpacing/>
        <w:jc w:val="both"/>
        <w:rPr>
          <w:rFonts w:hint="eastAsia"/>
        </w:rPr>
      </w:pPr>
      <w:r>
        <w:rPr>
          <w:rFonts w:hint="eastAsia"/>
        </w:rPr>
        <w:t>EF</w:t>
      </w:r>
      <w:r>
        <w:rPr>
          <w:rFonts w:hint="eastAsia"/>
          <w:vertAlign w:val="subscript"/>
        </w:rPr>
        <w:t>i</w:t>
      </w:r>
      <w:r>
        <w:rPr>
          <w:rFonts w:hint="eastAsia"/>
        </w:rPr>
        <w:t>为第i种熔剂的CO</w:t>
      </w:r>
      <w:r>
        <w:rPr>
          <w:rFonts w:hint="eastAsia"/>
          <w:vertAlign w:val="subscript"/>
        </w:rPr>
        <w:t>2</w:t>
      </w:r>
      <w:r>
        <w:rPr>
          <w:rFonts w:hint="eastAsia"/>
        </w:rPr>
        <w:t>排放因子，单位为tCO</w:t>
      </w:r>
      <w:r>
        <w:rPr>
          <w:rFonts w:hint="eastAsia"/>
          <w:vertAlign w:val="subscript"/>
        </w:rPr>
        <w:t>2</w:t>
      </w:r>
      <w:r>
        <w:rPr>
          <w:rFonts w:hint="eastAsia"/>
        </w:rPr>
        <w:t>/t 熔剂；</w:t>
      </w:r>
    </w:p>
    <w:p w14:paraId="292BAAD2">
      <w:pPr>
        <w:pStyle w:val="52"/>
        <w:keepNext w:val="0"/>
        <w:keepLines w:val="0"/>
        <w:widowControl/>
        <w:suppressLineNumbers w:val="0"/>
        <w:spacing w:before="0" w:beforeAutospacing="0" w:after="0" w:afterAutospacing="0" w:line="240" w:lineRule="auto"/>
        <w:ind w:firstLine="480" w:firstLineChars="200"/>
        <w:contextualSpacing/>
        <w:jc w:val="both"/>
        <w:rPr>
          <w:rFonts w:hint="eastAsia"/>
        </w:rPr>
      </w:pPr>
      <w:r>
        <w:rPr>
          <w:rFonts w:hint="eastAsia"/>
        </w:rPr>
        <w:t>i 为消耗熔剂的种类 (白云石等)。</w:t>
      </w:r>
    </w:p>
    <w:p w14:paraId="64CDF115">
      <w:pPr>
        <w:pStyle w:val="52"/>
        <w:keepNext w:val="0"/>
        <w:keepLines w:val="0"/>
        <w:widowControl/>
        <w:suppressLineNumbers w:val="0"/>
        <w:spacing w:before="0" w:beforeAutospacing="0" w:after="0" w:afterAutospacing="0" w:line="240" w:lineRule="auto"/>
        <w:ind w:firstLine="480" w:firstLineChars="200"/>
        <w:contextualSpacing/>
        <w:jc w:val="both"/>
        <w:rPr>
          <w:rFonts w:hint="eastAsia"/>
        </w:rPr>
      </w:pPr>
      <w:r>
        <w:rPr>
          <w:rFonts w:hint="eastAsia"/>
        </w:rPr>
        <w:t>2）电极消耗产生的CO</w:t>
      </w:r>
      <w:r>
        <w:rPr>
          <w:rFonts w:hint="eastAsia"/>
          <w:vertAlign w:val="subscript"/>
        </w:rPr>
        <w:t>2</w:t>
      </w:r>
      <w:r>
        <w:rPr>
          <w:rFonts w:hint="eastAsia"/>
        </w:rPr>
        <w:t>排放</w:t>
      </w:r>
    </w:p>
    <w:p w14:paraId="26B709D7">
      <w:pPr>
        <w:pStyle w:val="52"/>
        <w:keepNext w:val="0"/>
        <w:keepLines w:val="0"/>
        <w:widowControl/>
        <w:suppressLineNumbers w:val="0"/>
        <w:spacing w:before="0" w:beforeAutospacing="0" w:after="0" w:afterAutospacing="0" w:line="240" w:lineRule="auto"/>
        <w:ind w:firstLine="480" w:firstLineChars="200"/>
        <w:contextualSpacing/>
        <w:jc w:val="center"/>
        <w:rPr>
          <w:rFonts w:hint="eastAsia"/>
        </w:rPr>
      </w:pPr>
      <w:r>
        <w:rPr>
          <w:rFonts w:hint="eastAsia"/>
        </w:rPr>
        <w:t>E</w:t>
      </w:r>
      <w:r>
        <w:rPr>
          <w:rFonts w:hint="eastAsia"/>
          <w:vertAlign w:val="subscript"/>
        </w:rPr>
        <w:t>电极</w:t>
      </w:r>
      <w:r>
        <w:rPr>
          <w:rFonts w:hint="eastAsia"/>
        </w:rPr>
        <w:t>=P</w:t>
      </w:r>
      <w:r>
        <w:rPr>
          <w:rFonts w:hint="eastAsia"/>
          <w:vertAlign w:val="subscript"/>
        </w:rPr>
        <w:t>电极</w:t>
      </w:r>
      <w:r>
        <w:rPr>
          <w:rFonts w:hint="eastAsia"/>
          <w:lang w:val="en-US" w:eastAsia="zh-CN"/>
        </w:rPr>
        <w:t>×</w:t>
      </w:r>
      <w:r>
        <w:rPr>
          <w:rFonts w:hint="eastAsia"/>
        </w:rPr>
        <w:t>EF</w:t>
      </w:r>
      <w:r>
        <w:rPr>
          <w:rFonts w:hint="eastAsia"/>
          <w:vertAlign w:val="subscript"/>
        </w:rPr>
        <w:t>电极</w:t>
      </w:r>
      <w:r>
        <w:rPr>
          <w:rFonts w:hint="eastAsia"/>
        </w:rPr>
        <w:t>（8）</w:t>
      </w:r>
    </w:p>
    <w:p w14:paraId="336A7530">
      <w:pPr>
        <w:pStyle w:val="52"/>
        <w:keepNext w:val="0"/>
        <w:keepLines w:val="0"/>
        <w:widowControl/>
        <w:suppressLineNumbers w:val="0"/>
        <w:spacing w:before="0" w:beforeAutospacing="0" w:after="0" w:afterAutospacing="0" w:line="240" w:lineRule="auto"/>
        <w:ind w:firstLine="480" w:firstLineChars="200"/>
        <w:contextualSpacing/>
        <w:jc w:val="both"/>
        <w:rPr>
          <w:rFonts w:hint="eastAsia"/>
        </w:rPr>
      </w:pPr>
      <w:r>
        <w:rPr>
          <w:rFonts w:hint="eastAsia"/>
        </w:rPr>
        <w:t>式中：</w:t>
      </w:r>
    </w:p>
    <w:p w14:paraId="3BB03D08">
      <w:pPr>
        <w:pStyle w:val="52"/>
        <w:keepNext w:val="0"/>
        <w:keepLines w:val="0"/>
        <w:widowControl/>
        <w:suppressLineNumbers w:val="0"/>
        <w:spacing w:before="0" w:beforeAutospacing="0" w:after="0" w:afterAutospacing="0" w:line="240" w:lineRule="auto"/>
        <w:ind w:firstLine="480" w:firstLineChars="200"/>
        <w:contextualSpacing/>
        <w:jc w:val="both"/>
        <w:rPr>
          <w:rFonts w:hint="eastAsia"/>
        </w:rPr>
      </w:pPr>
      <w:r>
        <w:rPr>
          <w:rFonts w:hint="eastAsia"/>
        </w:rPr>
        <w:t>E</w:t>
      </w:r>
      <w:r>
        <w:rPr>
          <w:rFonts w:hint="eastAsia"/>
          <w:vertAlign w:val="subscript"/>
        </w:rPr>
        <w:t>电极</w:t>
      </w:r>
      <w:r>
        <w:rPr>
          <w:rFonts w:hint="eastAsia"/>
        </w:rPr>
        <w:t>为电极消耗产生的CO</w:t>
      </w:r>
      <w:r>
        <w:rPr>
          <w:rFonts w:hint="eastAsia"/>
          <w:vertAlign w:val="subscript"/>
        </w:rPr>
        <w:t>2</w:t>
      </w:r>
      <w:r>
        <w:rPr>
          <w:rFonts w:hint="eastAsia"/>
        </w:rPr>
        <w:t>排放量，单位为吨（tCO</w:t>
      </w:r>
      <w:r>
        <w:rPr>
          <w:rFonts w:hint="eastAsia"/>
          <w:vertAlign w:val="subscript"/>
        </w:rPr>
        <w:t>2</w:t>
      </w:r>
      <w:r>
        <w:rPr>
          <w:rFonts w:hint="eastAsia"/>
        </w:rPr>
        <w:t>）；</w:t>
      </w:r>
    </w:p>
    <w:p w14:paraId="5D3D5947">
      <w:pPr>
        <w:pStyle w:val="52"/>
        <w:keepNext w:val="0"/>
        <w:keepLines w:val="0"/>
        <w:widowControl/>
        <w:suppressLineNumbers w:val="0"/>
        <w:spacing w:before="0" w:beforeAutospacing="0" w:after="0" w:afterAutospacing="0" w:line="240" w:lineRule="auto"/>
        <w:ind w:firstLine="480" w:firstLineChars="200"/>
        <w:contextualSpacing/>
        <w:jc w:val="both"/>
        <w:rPr>
          <w:rFonts w:hint="eastAsia"/>
        </w:rPr>
      </w:pPr>
      <w:r>
        <w:rPr>
          <w:rFonts w:hint="eastAsia"/>
        </w:rPr>
        <w:t>P</w:t>
      </w:r>
      <w:r>
        <w:rPr>
          <w:rFonts w:hint="eastAsia"/>
          <w:vertAlign w:val="subscript"/>
        </w:rPr>
        <w:t>电极</w:t>
      </w:r>
      <w:r>
        <w:rPr>
          <w:rFonts w:hint="eastAsia"/>
        </w:rPr>
        <w:t>为核算和报告期内电炉炼钢及精炼炉等消耗的电极量，单位为吨（t）；</w:t>
      </w:r>
    </w:p>
    <w:p w14:paraId="4F285750">
      <w:pPr>
        <w:pStyle w:val="52"/>
        <w:keepNext w:val="0"/>
        <w:keepLines w:val="0"/>
        <w:widowControl/>
        <w:suppressLineNumbers w:val="0"/>
        <w:spacing w:before="0" w:beforeAutospacing="0" w:after="0" w:afterAutospacing="0" w:line="240" w:lineRule="auto"/>
        <w:ind w:firstLine="480" w:firstLineChars="200"/>
        <w:contextualSpacing/>
        <w:jc w:val="both"/>
        <w:rPr>
          <w:rFonts w:hint="eastAsia"/>
        </w:rPr>
      </w:pPr>
      <w:r>
        <w:rPr>
          <w:rFonts w:hint="eastAsia"/>
        </w:rPr>
        <w:t>EF</w:t>
      </w:r>
      <w:r>
        <w:rPr>
          <w:rFonts w:hint="eastAsia"/>
          <w:vertAlign w:val="subscript"/>
        </w:rPr>
        <w:t>电极</w:t>
      </w:r>
      <w:r>
        <w:rPr>
          <w:rFonts w:hint="eastAsia"/>
        </w:rPr>
        <w:t>为电炉炼钢及精炼炉等所消耗电极的CO</w:t>
      </w:r>
      <w:r>
        <w:rPr>
          <w:rFonts w:hint="eastAsia"/>
          <w:vertAlign w:val="subscript"/>
        </w:rPr>
        <w:t>2</w:t>
      </w:r>
      <w:r>
        <w:rPr>
          <w:rFonts w:hint="eastAsia"/>
        </w:rPr>
        <w:t>排放因子，单位为tCO</w:t>
      </w:r>
      <w:r>
        <w:rPr>
          <w:rFonts w:hint="eastAsia"/>
          <w:vertAlign w:val="subscript"/>
        </w:rPr>
        <w:t>2</w:t>
      </w:r>
      <w:r>
        <w:rPr>
          <w:rFonts w:hint="eastAsia"/>
        </w:rPr>
        <w:t>/t 电极。</w:t>
      </w:r>
    </w:p>
    <w:p w14:paraId="3C47D2FC">
      <w:pPr>
        <w:pStyle w:val="52"/>
        <w:keepNext w:val="0"/>
        <w:keepLines w:val="0"/>
        <w:widowControl/>
        <w:numPr>
          <w:ilvl w:val="0"/>
          <w:numId w:val="34"/>
        </w:numPr>
        <w:suppressLineNumbers w:val="0"/>
        <w:spacing w:before="0" w:beforeAutospacing="0" w:after="0" w:afterAutospacing="0" w:line="240" w:lineRule="auto"/>
        <w:ind w:firstLine="480" w:firstLineChars="200"/>
        <w:contextualSpacing/>
        <w:jc w:val="both"/>
        <w:rPr>
          <w:rFonts w:hint="eastAsia"/>
        </w:rPr>
      </w:pPr>
      <w:r>
        <w:rPr>
          <w:rFonts w:hint="eastAsia"/>
        </w:rPr>
        <w:t>外购生铁等含碳原料消耗而产生的CO</w:t>
      </w:r>
      <w:r>
        <w:rPr>
          <w:rFonts w:hint="eastAsia"/>
          <w:vertAlign w:val="subscript"/>
        </w:rPr>
        <w:t>2</w:t>
      </w:r>
      <w:r>
        <w:rPr>
          <w:rFonts w:hint="eastAsia"/>
        </w:rPr>
        <w:t>排放</w:t>
      </w:r>
    </w:p>
    <w:p w14:paraId="79FE9873">
      <w:pPr>
        <w:pStyle w:val="52"/>
        <w:keepNext w:val="0"/>
        <w:keepLines w:val="0"/>
        <w:widowControl/>
        <w:numPr>
          <w:ilvl w:val="0"/>
          <w:numId w:val="0"/>
        </w:numPr>
        <w:suppressLineNumbers w:val="0"/>
        <w:spacing w:before="0" w:beforeAutospacing="0" w:after="0" w:afterAutospacing="0" w:line="240" w:lineRule="auto"/>
        <w:contextualSpacing/>
        <w:jc w:val="center"/>
      </w:pPr>
      <w:r>
        <w:drawing>
          <wp:inline distT="0" distB="0" distL="114300" distR="114300">
            <wp:extent cx="1504950" cy="342900"/>
            <wp:effectExtent l="0" t="0" r="0" b="0"/>
            <wp:docPr id="126" name="图片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 name="图片 106"/>
                    <pic:cNvPicPr>
                      <a:picLocks noChangeAspect="1"/>
                    </pic:cNvPicPr>
                  </pic:nvPicPr>
                  <pic:blipFill>
                    <a:blip r:embed="rId119"/>
                    <a:stretch>
                      <a:fillRect/>
                    </a:stretch>
                  </pic:blipFill>
                  <pic:spPr>
                    <a:xfrm>
                      <a:off x="0" y="0"/>
                      <a:ext cx="1504950" cy="342900"/>
                    </a:xfrm>
                    <a:prstGeom prst="rect">
                      <a:avLst/>
                    </a:prstGeom>
                    <a:noFill/>
                    <a:ln>
                      <a:noFill/>
                    </a:ln>
                  </pic:spPr>
                </pic:pic>
              </a:graphicData>
            </a:graphic>
          </wp:inline>
        </w:drawing>
      </w:r>
    </w:p>
    <w:p w14:paraId="0240B1C8">
      <w:pPr>
        <w:pStyle w:val="52"/>
        <w:keepNext w:val="0"/>
        <w:keepLines w:val="0"/>
        <w:widowControl/>
        <w:suppressLineNumbers w:val="0"/>
        <w:spacing w:before="0" w:beforeAutospacing="0" w:after="0" w:afterAutospacing="0" w:line="240" w:lineRule="auto"/>
        <w:ind w:firstLine="480" w:firstLineChars="200"/>
        <w:contextualSpacing/>
        <w:jc w:val="both"/>
        <w:rPr>
          <w:rFonts w:hint="eastAsia"/>
        </w:rPr>
      </w:pPr>
      <w:r>
        <w:rPr>
          <w:rFonts w:hint="eastAsia"/>
        </w:rPr>
        <w:t>式中：</w:t>
      </w:r>
    </w:p>
    <w:p w14:paraId="6A64E5AA">
      <w:pPr>
        <w:pStyle w:val="52"/>
        <w:keepNext w:val="0"/>
        <w:keepLines w:val="0"/>
        <w:widowControl/>
        <w:suppressLineNumbers w:val="0"/>
        <w:spacing w:before="0" w:beforeAutospacing="0" w:after="0" w:afterAutospacing="0" w:line="240" w:lineRule="auto"/>
        <w:ind w:firstLine="480" w:firstLineChars="200"/>
        <w:contextualSpacing/>
        <w:jc w:val="both"/>
        <w:rPr>
          <w:rFonts w:hint="eastAsia"/>
        </w:rPr>
      </w:pPr>
      <w:r>
        <w:rPr>
          <w:rFonts w:hint="default"/>
        </w:rPr>
        <w:t>E</w:t>
      </w:r>
      <w:r>
        <w:rPr>
          <w:rFonts w:hint="eastAsia"/>
          <w:vertAlign w:val="subscript"/>
        </w:rPr>
        <w:t>原料</w:t>
      </w:r>
      <w:r>
        <w:rPr>
          <w:rFonts w:hint="eastAsia"/>
        </w:rPr>
        <w:t>为外购生铁、铁合金、直接还原铁等其他含碳原料消耗而产生的</w:t>
      </w:r>
      <w:r>
        <w:rPr>
          <w:rFonts w:hint="default"/>
        </w:rPr>
        <w:t>CO</w:t>
      </w:r>
      <w:r>
        <w:rPr>
          <w:rFonts w:hint="default"/>
          <w:vertAlign w:val="subscript"/>
        </w:rPr>
        <w:t>2</w:t>
      </w:r>
      <w:r>
        <w:rPr>
          <w:rFonts w:hint="eastAsia"/>
        </w:rPr>
        <w:t>排放量，单位为吨（</w:t>
      </w:r>
      <w:r>
        <w:rPr>
          <w:rFonts w:hint="default"/>
        </w:rPr>
        <w:t>tCO</w:t>
      </w:r>
      <w:r>
        <w:rPr>
          <w:rFonts w:hint="default"/>
          <w:vertAlign w:val="subscript"/>
        </w:rPr>
        <w:t>2</w:t>
      </w:r>
      <w:r>
        <w:rPr>
          <w:rFonts w:hint="eastAsia"/>
        </w:rPr>
        <w:t>）；</w:t>
      </w:r>
    </w:p>
    <w:p w14:paraId="1C5E4BA5">
      <w:pPr>
        <w:pStyle w:val="52"/>
        <w:keepNext w:val="0"/>
        <w:keepLines w:val="0"/>
        <w:widowControl/>
        <w:suppressLineNumbers w:val="0"/>
        <w:spacing w:before="0" w:beforeAutospacing="0" w:after="0" w:afterAutospacing="0" w:line="240" w:lineRule="auto"/>
        <w:ind w:firstLine="480" w:firstLineChars="200"/>
        <w:contextualSpacing/>
        <w:jc w:val="both"/>
        <w:rPr>
          <w:rFonts w:hint="default"/>
        </w:rPr>
      </w:pPr>
      <w:r>
        <w:rPr>
          <w:rFonts w:hint="default"/>
        </w:rPr>
        <w:t>M</w:t>
      </w:r>
      <w:r>
        <w:rPr>
          <w:rFonts w:hint="default"/>
          <w:vertAlign w:val="subscript"/>
        </w:rPr>
        <w:t>i</w:t>
      </w:r>
      <w:r>
        <w:rPr>
          <w:rFonts w:hint="eastAsia"/>
        </w:rPr>
        <w:t>为核算和报告期内第</w:t>
      </w:r>
      <w:r>
        <w:rPr>
          <w:rFonts w:hint="default"/>
        </w:rPr>
        <w:t>i</w:t>
      </w:r>
      <w:r>
        <w:rPr>
          <w:rFonts w:hint="eastAsia"/>
        </w:rPr>
        <w:t>种含碳原料的购入量，单位为吨（</w:t>
      </w:r>
      <w:r>
        <w:rPr>
          <w:rFonts w:hint="default"/>
        </w:rPr>
        <w:t>t</w:t>
      </w:r>
      <w:r>
        <w:rPr>
          <w:rFonts w:hint="eastAsia"/>
        </w:rPr>
        <w:t>）；</w:t>
      </w:r>
      <w:r>
        <w:rPr>
          <w:rFonts w:hint="default"/>
        </w:rPr>
        <w:t xml:space="preserve"> </w:t>
      </w:r>
    </w:p>
    <w:p w14:paraId="1539B94C">
      <w:pPr>
        <w:pStyle w:val="52"/>
        <w:keepNext w:val="0"/>
        <w:keepLines w:val="0"/>
        <w:widowControl/>
        <w:suppressLineNumbers w:val="0"/>
        <w:spacing w:before="0" w:beforeAutospacing="0" w:after="0" w:afterAutospacing="0" w:line="240" w:lineRule="auto"/>
        <w:ind w:firstLine="480" w:firstLineChars="200"/>
        <w:contextualSpacing/>
        <w:jc w:val="both"/>
        <w:rPr>
          <w:rFonts w:hint="eastAsia"/>
        </w:rPr>
      </w:pPr>
      <w:r>
        <w:rPr>
          <w:rFonts w:hint="default"/>
        </w:rPr>
        <w:t>EF</w:t>
      </w:r>
      <w:r>
        <w:rPr>
          <w:rFonts w:hint="default"/>
          <w:vertAlign w:val="subscript"/>
        </w:rPr>
        <w:t>i</w:t>
      </w:r>
      <w:r>
        <w:rPr>
          <w:rFonts w:hint="eastAsia"/>
        </w:rPr>
        <w:t>为第</w:t>
      </w:r>
      <w:r>
        <w:rPr>
          <w:rFonts w:hint="default"/>
        </w:rPr>
        <w:t>i</w:t>
      </w:r>
      <w:r>
        <w:rPr>
          <w:rFonts w:hint="eastAsia"/>
        </w:rPr>
        <w:t>种购入含碳原料的</w:t>
      </w:r>
      <w:r>
        <w:rPr>
          <w:rFonts w:hint="default"/>
        </w:rPr>
        <w:t>CO</w:t>
      </w:r>
      <w:r>
        <w:rPr>
          <w:rFonts w:hint="default"/>
          <w:vertAlign w:val="subscript"/>
        </w:rPr>
        <w:t>2</w:t>
      </w:r>
      <w:r>
        <w:rPr>
          <w:rFonts w:hint="eastAsia"/>
        </w:rPr>
        <w:t>排放因子，单位为</w:t>
      </w:r>
      <w:r>
        <w:rPr>
          <w:rFonts w:hint="default"/>
        </w:rPr>
        <w:t>tCO</w:t>
      </w:r>
      <w:r>
        <w:rPr>
          <w:rFonts w:hint="default"/>
          <w:vertAlign w:val="subscript"/>
        </w:rPr>
        <w:t>2</w:t>
      </w:r>
      <w:r>
        <w:rPr>
          <w:rFonts w:hint="default"/>
        </w:rPr>
        <w:t>/t</w:t>
      </w:r>
      <w:r>
        <w:rPr>
          <w:rFonts w:hint="eastAsia"/>
        </w:rPr>
        <w:t>原料；</w:t>
      </w:r>
    </w:p>
    <w:p w14:paraId="0C5872A8">
      <w:pPr>
        <w:pStyle w:val="52"/>
        <w:keepNext w:val="0"/>
        <w:keepLines w:val="0"/>
        <w:widowControl/>
        <w:suppressLineNumbers w:val="0"/>
        <w:spacing w:before="0" w:beforeAutospacing="0" w:after="0" w:afterAutospacing="0" w:line="240" w:lineRule="auto"/>
        <w:ind w:left="0" w:firstLine="480" w:firstLineChars="200"/>
        <w:contextualSpacing/>
        <w:jc w:val="left"/>
      </w:pPr>
      <w:r>
        <w:rPr>
          <w:rFonts w:hint="default" w:ascii="Times New Roman" w:hAnsi="Times New Roman" w:cs="Times New Roman"/>
          <w:color w:val="000000"/>
          <w:spacing w:val="0"/>
          <w:position w:val="0"/>
          <w:sz w:val="24"/>
          <w:szCs w:val="24"/>
        </w:rPr>
        <w:t xml:space="preserve">i </w:t>
      </w:r>
      <w:r>
        <w:rPr>
          <w:rFonts w:hint="eastAsia" w:ascii="宋体" w:hAnsi="宋体" w:eastAsia="宋体" w:cs="宋体"/>
          <w:color w:val="000000"/>
          <w:spacing w:val="0"/>
          <w:position w:val="0"/>
          <w:sz w:val="24"/>
          <w:szCs w:val="24"/>
        </w:rPr>
        <w:t>为外购含碳原料类型（如生铁、铁合金、直接还原铁等）。</w:t>
      </w:r>
    </w:p>
    <w:p w14:paraId="6291DC95">
      <w:pPr>
        <w:pStyle w:val="52"/>
        <w:keepNext w:val="0"/>
        <w:keepLines w:val="0"/>
        <w:widowControl/>
        <w:suppressLineNumbers w:val="0"/>
        <w:spacing w:before="0" w:beforeAutospacing="0" w:after="0" w:afterAutospacing="0" w:line="240" w:lineRule="auto"/>
        <w:ind w:firstLine="480" w:firstLineChars="200"/>
        <w:contextualSpacing/>
        <w:jc w:val="both"/>
        <w:rPr>
          <w:rFonts w:hint="default"/>
        </w:rPr>
      </w:pPr>
      <w:r>
        <w:rPr>
          <w:rFonts w:hint="default"/>
        </w:rPr>
        <w:t>2.</w:t>
      </w:r>
      <w:r>
        <w:rPr>
          <w:rFonts w:hint="eastAsia"/>
        </w:rPr>
        <w:t>活动水平数据获取</w:t>
      </w:r>
    </w:p>
    <w:p w14:paraId="701075A0">
      <w:pPr>
        <w:pStyle w:val="52"/>
        <w:keepNext w:val="0"/>
        <w:keepLines w:val="0"/>
        <w:widowControl/>
        <w:suppressLineNumbers w:val="0"/>
        <w:spacing w:before="0" w:beforeAutospacing="0" w:after="0" w:afterAutospacing="0" w:line="240" w:lineRule="auto"/>
        <w:ind w:firstLine="480" w:firstLineChars="200"/>
        <w:contextualSpacing/>
        <w:jc w:val="both"/>
        <w:rPr>
          <w:rFonts w:hint="default"/>
        </w:rPr>
      </w:pPr>
      <w:r>
        <w:rPr>
          <w:rFonts w:hint="eastAsia"/>
        </w:rPr>
        <w:t>熔剂和电极的净消耗量采用公式（</w:t>
      </w:r>
      <w:r>
        <w:rPr>
          <w:rFonts w:hint="default"/>
        </w:rPr>
        <w:t>5</w:t>
      </w:r>
      <w:r>
        <w:rPr>
          <w:rFonts w:hint="eastAsia"/>
        </w:rPr>
        <w:t>）计算，含碳原料的购入量采用采购单等结算凭证上的数据。</w:t>
      </w:r>
    </w:p>
    <w:p w14:paraId="32C02BD0">
      <w:pPr>
        <w:pStyle w:val="52"/>
        <w:keepNext w:val="0"/>
        <w:keepLines w:val="0"/>
        <w:widowControl/>
        <w:suppressLineNumbers w:val="0"/>
        <w:spacing w:before="0" w:beforeAutospacing="0" w:after="0" w:afterAutospacing="0" w:line="240" w:lineRule="auto"/>
        <w:ind w:firstLine="480" w:firstLineChars="200"/>
        <w:contextualSpacing/>
        <w:jc w:val="both"/>
        <w:rPr>
          <w:rFonts w:hint="default"/>
        </w:rPr>
      </w:pPr>
      <w:r>
        <w:rPr>
          <w:rFonts w:hint="default"/>
        </w:rPr>
        <w:t xml:space="preserve">3. </w:t>
      </w:r>
      <w:r>
        <w:rPr>
          <w:rFonts w:hint="eastAsia"/>
        </w:rPr>
        <w:t>排放因子数据获取</w:t>
      </w:r>
    </w:p>
    <w:p w14:paraId="164D983F">
      <w:pPr>
        <w:pStyle w:val="52"/>
        <w:keepNext w:val="0"/>
        <w:keepLines w:val="0"/>
        <w:widowControl/>
        <w:suppressLineNumbers w:val="0"/>
        <w:spacing w:before="0" w:beforeAutospacing="0" w:after="0" w:afterAutospacing="0" w:line="240" w:lineRule="auto"/>
        <w:ind w:firstLine="480" w:firstLineChars="200"/>
        <w:contextualSpacing/>
        <w:jc w:val="both"/>
        <w:rPr>
          <w:rFonts w:hint="eastAsia"/>
        </w:rPr>
      </w:pPr>
      <w:r>
        <w:rPr>
          <w:rFonts w:hint="eastAsia"/>
        </w:rPr>
        <w:t>采用《国际钢铁协会二氧化碳排放数据收集指南（第六版）》中的相关缺省值作为熔剂、电极、生铁、直接还原铁和部分铁合金的</w:t>
      </w:r>
      <w:r>
        <w:rPr>
          <w:rFonts w:hint="default"/>
        </w:rPr>
        <w:t>CO</w:t>
      </w:r>
      <w:r>
        <w:rPr>
          <w:rFonts w:hint="default"/>
          <w:vertAlign w:val="subscript"/>
        </w:rPr>
        <w:t>2</w:t>
      </w:r>
      <w:r>
        <w:rPr>
          <w:rFonts w:hint="eastAsia"/>
        </w:rPr>
        <w:t>排放因子，如表</w:t>
      </w:r>
      <w:r>
        <w:rPr>
          <w:rFonts w:hint="default"/>
        </w:rPr>
        <w:t>2.2</w:t>
      </w:r>
      <w:r>
        <w:rPr>
          <w:rFonts w:hint="eastAsia"/>
        </w:rPr>
        <w:t>所示。具备条件的企业也可委托有资质的专业机构进行检测或采用与相关方结算凭证中提供的检测值。石灰石排放因子检测应遵循《石灰石、白云石化学分析方法二氧化碳量的测定》标准进行；含铁物质排放因子可由相对应的含碳量换算而得，含铁物质含碳量检测应遵循《</w:t>
      </w:r>
      <w:r>
        <w:rPr>
          <w:rFonts w:hint="default"/>
        </w:rPr>
        <w:t xml:space="preserve">GB/T 223.6 </w:t>
      </w:r>
      <w:r>
        <w:rPr>
          <w:rFonts w:hint="eastAsia"/>
        </w:rPr>
        <w:t>钢铁及合金碳含量的测定管式炉内燃烧后气体容量法》《</w:t>
      </w:r>
      <w:r>
        <w:rPr>
          <w:rFonts w:hint="default"/>
        </w:rPr>
        <w:t xml:space="preserve">GB/T 223.86 </w:t>
      </w:r>
      <w:r>
        <w:rPr>
          <w:rFonts w:hint="eastAsia"/>
        </w:rPr>
        <w:t>钢铁及合金总碳含量的测定感应炉燃烧后红外吸收法》《</w:t>
      </w:r>
      <w:r>
        <w:rPr>
          <w:rFonts w:hint="default"/>
        </w:rPr>
        <w:t xml:space="preserve">GB/T 4699.4 </w:t>
      </w:r>
      <w:r>
        <w:rPr>
          <w:rFonts w:hint="eastAsia"/>
        </w:rPr>
        <w:t>铬铁和硅铬合金碳含量的测定红外线吸收法和重量法》《</w:t>
      </w:r>
      <w:r>
        <w:rPr>
          <w:rFonts w:hint="default"/>
        </w:rPr>
        <w:t xml:space="preserve">GB/T 4333.10 </w:t>
      </w:r>
      <w:r>
        <w:rPr>
          <w:rFonts w:hint="eastAsia"/>
        </w:rPr>
        <w:t>硅铁化学分析方法红外线吸收法测定碳量》《</w:t>
      </w:r>
      <w:r>
        <w:rPr>
          <w:rFonts w:hint="default"/>
        </w:rPr>
        <w:t xml:space="preserve">GB/T 7731.10 </w:t>
      </w:r>
      <w:r>
        <w:rPr>
          <w:rFonts w:hint="eastAsia"/>
        </w:rPr>
        <w:t>钨铁化学分析方法红外线吸收法测定碳量》《</w:t>
      </w:r>
      <w:r>
        <w:rPr>
          <w:rFonts w:hint="default"/>
        </w:rPr>
        <w:t xml:space="preserve">GB/T 8704.1 </w:t>
      </w:r>
      <w:r>
        <w:rPr>
          <w:rFonts w:hint="eastAsia"/>
        </w:rPr>
        <w:t>钒铁碳含量的测定红外线吸收法及气体容量法》《</w:t>
      </w:r>
      <w:r>
        <w:rPr>
          <w:rFonts w:hint="default"/>
        </w:rPr>
        <w:t xml:space="preserve">YB/T 5339 </w:t>
      </w:r>
      <w:r>
        <w:rPr>
          <w:rFonts w:hint="eastAsia"/>
        </w:rPr>
        <w:t>磷铁化学分析方法红外线吸收法测定碳量》《</w:t>
      </w:r>
      <w:r>
        <w:rPr>
          <w:rFonts w:hint="default"/>
        </w:rPr>
        <w:t xml:space="preserve">YB/T 5340 </w:t>
      </w:r>
      <w:r>
        <w:rPr>
          <w:rFonts w:hint="eastAsia"/>
        </w:rPr>
        <w:t>磷铁化学分析方法气体容量法测定碳量》等相关标准。</w:t>
      </w:r>
    </w:p>
    <w:p w14:paraId="59CF9BB8">
      <w:pPr>
        <w:pStyle w:val="52"/>
        <w:keepNext w:val="0"/>
        <w:keepLines w:val="0"/>
        <w:widowControl/>
        <w:suppressLineNumbers w:val="0"/>
        <w:spacing w:before="0" w:beforeAutospacing="0" w:after="0" w:afterAutospacing="0" w:line="240" w:lineRule="auto"/>
        <w:ind w:firstLine="480" w:firstLineChars="200"/>
        <w:contextualSpacing/>
        <w:jc w:val="both"/>
        <w:rPr>
          <w:rFonts w:hint="eastAsia"/>
          <w:vertAlign w:val="subscript"/>
        </w:rPr>
      </w:pPr>
      <w:r>
        <w:rPr>
          <w:rFonts w:hint="default"/>
        </w:rPr>
        <w:t>4.</w:t>
      </w:r>
      <w:r>
        <w:rPr>
          <w:rFonts w:hint="eastAsia"/>
        </w:rPr>
        <w:t>计算结果：本次技改前后仅涉及熔剂消耗，因此，</w:t>
      </w:r>
      <w:r>
        <w:rPr>
          <w:rFonts w:hint="default"/>
        </w:rPr>
        <w:t>E</w:t>
      </w:r>
      <w:r>
        <w:rPr>
          <w:rFonts w:hint="eastAsia"/>
          <w:vertAlign w:val="subscript"/>
        </w:rPr>
        <w:t>过程</w:t>
      </w:r>
      <w:r>
        <w:rPr>
          <w:rFonts w:hint="default"/>
        </w:rPr>
        <w:t>= E</w:t>
      </w:r>
      <w:r>
        <w:rPr>
          <w:rFonts w:hint="eastAsia"/>
          <w:vertAlign w:val="subscript"/>
        </w:rPr>
        <w:t>熔剂</w:t>
      </w:r>
    </w:p>
    <w:p w14:paraId="7DA6E7A7">
      <w:pPr>
        <w:jc w:val="center"/>
      </w:pPr>
      <w:r>
        <w:t>表6.</w:t>
      </w:r>
      <w:r>
        <w:rPr>
          <w:rFonts w:hint="eastAsia"/>
          <w:lang w:val="en-US" w:eastAsia="zh-CN"/>
        </w:rPr>
        <w:t>5</w:t>
      </w:r>
      <w:r>
        <w:t>-2 本次技改前后工业生产过程碳排放量</w:t>
      </w:r>
    </w:p>
    <w:tbl>
      <w:tblPr>
        <w:tblStyle w:val="56"/>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1066"/>
        <w:gridCol w:w="1066"/>
        <w:gridCol w:w="1909"/>
        <w:gridCol w:w="1140"/>
        <w:gridCol w:w="1770"/>
        <w:gridCol w:w="1770"/>
      </w:tblGrid>
      <w:tr w14:paraId="063E03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0" w:type="auto"/>
            <w:gridSpan w:val="2"/>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5D31ACBD">
            <w:pPr>
              <w:jc w:val="center"/>
              <w:rPr>
                <w:b/>
              </w:rPr>
            </w:pPr>
            <w:r>
              <w:rPr>
                <w:b/>
              </w:rPr>
              <w:t>项目</w:t>
            </w:r>
          </w:p>
        </w:tc>
        <w:tc>
          <w:tcPr>
            <w:tcW w:w="0" w:type="auto"/>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58CFE32E">
            <w:pPr>
              <w:jc w:val="center"/>
              <w:rPr>
                <w:b/>
              </w:rPr>
            </w:pPr>
            <w:r>
              <w:rPr>
                <w:b/>
              </w:rPr>
              <w:t>EF</w:t>
            </w:r>
            <w:r>
              <w:rPr>
                <w:b/>
                <w:vertAlign w:val="subscript"/>
              </w:rPr>
              <w:t>i</w:t>
            </w:r>
            <w:r>
              <w:rPr>
                <w:b/>
              </w:rPr>
              <w:t>（tCO₂/t）</w:t>
            </w:r>
          </w:p>
        </w:tc>
        <w:tc>
          <w:tcPr>
            <w:tcW w:w="0" w:type="auto"/>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5095AF55">
            <w:pPr>
              <w:jc w:val="center"/>
              <w:rPr>
                <w:b/>
              </w:rPr>
            </w:pPr>
            <w:r>
              <w:rPr>
                <w:b/>
              </w:rPr>
              <w:t>P</w:t>
            </w:r>
            <w:r>
              <w:rPr>
                <w:b/>
                <w:vertAlign w:val="subscript"/>
              </w:rPr>
              <w:t>i</w:t>
            </w:r>
            <w:r>
              <w:rPr>
                <w:b/>
              </w:rPr>
              <w:t>（t）</w:t>
            </w:r>
          </w:p>
        </w:tc>
        <w:tc>
          <w:tcPr>
            <w:tcW w:w="0" w:type="auto"/>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7F76E562">
            <w:pPr>
              <w:jc w:val="center"/>
              <w:rPr>
                <w:b/>
              </w:rPr>
            </w:pPr>
            <w:r>
              <w:rPr>
                <w:b/>
              </w:rPr>
              <w:t>E</w:t>
            </w:r>
            <w:r>
              <w:rPr>
                <w:b/>
                <w:vertAlign w:val="subscript"/>
              </w:rPr>
              <w:t>熔剂</w:t>
            </w:r>
            <w:r>
              <w:rPr>
                <w:b/>
              </w:rPr>
              <w:t>（tCO₂）</w:t>
            </w:r>
          </w:p>
        </w:tc>
        <w:tc>
          <w:tcPr>
            <w:tcW w:w="0" w:type="auto"/>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02F4155B">
            <w:pPr>
              <w:jc w:val="center"/>
              <w:rPr>
                <w:b/>
              </w:rPr>
            </w:pPr>
            <w:r>
              <w:rPr>
                <w:b/>
              </w:rPr>
              <w:t>E</w:t>
            </w:r>
            <w:r>
              <w:rPr>
                <w:b/>
                <w:vertAlign w:val="subscript"/>
              </w:rPr>
              <w:t>熔剂</w:t>
            </w:r>
            <w:r>
              <w:rPr>
                <w:b/>
              </w:rPr>
              <w:t>（tCO₂）</w:t>
            </w:r>
          </w:p>
        </w:tc>
      </w:tr>
      <w:tr w14:paraId="5627FF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0" w:type="auto"/>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61DBB883">
            <w:r>
              <w:t>技改前</w:t>
            </w:r>
          </w:p>
        </w:tc>
        <w:tc>
          <w:tcPr>
            <w:tcW w:w="0" w:type="auto"/>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699E6955">
            <w:r>
              <w:t>石灰石</w:t>
            </w:r>
          </w:p>
        </w:tc>
        <w:tc>
          <w:tcPr>
            <w:tcW w:w="0" w:type="auto"/>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102E6007">
            <w:r>
              <w:t>0.44</w:t>
            </w:r>
          </w:p>
        </w:tc>
        <w:tc>
          <w:tcPr>
            <w:tcW w:w="0" w:type="auto"/>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723BB54B">
            <w:pPr>
              <w:rPr>
                <w:rFonts w:hint="default" w:eastAsia="宋体"/>
                <w:lang w:val="en-US" w:eastAsia="zh-CN"/>
              </w:rPr>
            </w:pPr>
            <w:r>
              <w:rPr>
                <w:rFonts w:hint="eastAsia"/>
                <w:lang w:val="en-US" w:eastAsia="zh-CN"/>
              </w:rPr>
              <w:t>75710</w:t>
            </w:r>
          </w:p>
        </w:tc>
        <w:tc>
          <w:tcPr>
            <w:tcW w:w="0" w:type="auto"/>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478CF456">
            <w:pPr>
              <w:rPr>
                <w:rFonts w:hint="default" w:eastAsia="宋体"/>
                <w:lang w:val="en-US" w:eastAsia="zh-CN"/>
              </w:rPr>
            </w:pPr>
            <w:r>
              <w:rPr>
                <w:rFonts w:hint="eastAsia"/>
                <w:lang w:val="en-US" w:eastAsia="zh-CN"/>
              </w:rPr>
              <w:t>33312</w:t>
            </w:r>
          </w:p>
        </w:tc>
        <w:tc>
          <w:tcPr>
            <w:tcW w:w="1770"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52A2589D">
            <w:r>
              <w:rPr>
                <w:rFonts w:hint="eastAsia"/>
                <w:lang w:val="en-US" w:eastAsia="zh-CN"/>
              </w:rPr>
              <w:t>33312</w:t>
            </w:r>
          </w:p>
        </w:tc>
      </w:tr>
      <w:tr w14:paraId="36E544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0" w:type="auto"/>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4E4F8DFE">
            <w:r>
              <w:t>技改后</w:t>
            </w:r>
          </w:p>
        </w:tc>
        <w:tc>
          <w:tcPr>
            <w:tcW w:w="0" w:type="auto"/>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2315D812">
            <w:r>
              <w:t>石灰石</w:t>
            </w:r>
          </w:p>
        </w:tc>
        <w:tc>
          <w:tcPr>
            <w:tcW w:w="0" w:type="auto"/>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6811D7AC">
            <w:r>
              <w:t>0.44</w:t>
            </w:r>
          </w:p>
        </w:tc>
        <w:tc>
          <w:tcPr>
            <w:tcW w:w="0" w:type="auto"/>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2651FF88">
            <w:r>
              <w:rPr>
                <w:rFonts w:hint="eastAsia"/>
                <w:lang w:val="en-US" w:eastAsia="zh-CN"/>
              </w:rPr>
              <w:t>75710</w:t>
            </w:r>
          </w:p>
        </w:tc>
        <w:tc>
          <w:tcPr>
            <w:tcW w:w="0" w:type="auto"/>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5896FADD">
            <w:r>
              <w:rPr>
                <w:rFonts w:hint="eastAsia"/>
                <w:lang w:val="en-US" w:eastAsia="zh-CN"/>
              </w:rPr>
              <w:t>33312</w:t>
            </w:r>
          </w:p>
        </w:tc>
        <w:tc>
          <w:tcPr>
            <w:tcW w:w="1770"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22A517BD">
            <w:r>
              <w:rPr>
                <w:rFonts w:hint="eastAsia"/>
                <w:lang w:val="en-US" w:eastAsia="zh-CN"/>
              </w:rPr>
              <w:t>33312</w:t>
            </w:r>
          </w:p>
        </w:tc>
      </w:tr>
    </w:tbl>
    <w:p w14:paraId="2CA0BC43">
      <w:pPr>
        <w:pStyle w:val="52"/>
        <w:keepNext w:val="0"/>
        <w:keepLines w:val="0"/>
        <w:widowControl/>
        <w:suppressLineNumbers w:val="0"/>
        <w:spacing w:before="0" w:beforeAutospacing="0" w:after="0" w:afterAutospacing="0" w:line="240" w:lineRule="auto"/>
        <w:ind w:firstLine="480" w:firstLineChars="200"/>
        <w:contextualSpacing/>
        <w:jc w:val="both"/>
        <w:rPr>
          <w:rFonts w:hint="eastAsia"/>
        </w:rPr>
      </w:pPr>
      <w:r>
        <w:rPr>
          <w:rFonts w:hint="eastAsia"/>
        </w:rPr>
        <w:t>（三）净购入使用的电力、热力产生的排放</w:t>
      </w:r>
    </w:p>
    <w:p w14:paraId="1304A646">
      <w:pPr>
        <w:pStyle w:val="52"/>
        <w:keepNext w:val="0"/>
        <w:keepLines w:val="0"/>
        <w:widowControl/>
        <w:suppressLineNumbers w:val="0"/>
        <w:spacing w:before="0" w:beforeAutospacing="0" w:after="0" w:afterAutospacing="0" w:line="240" w:lineRule="auto"/>
        <w:ind w:firstLine="480" w:firstLineChars="200"/>
        <w:contextualSpacing/>
        <w:jc w:val="both"/>
        <w:rPr>
          <w:rFonts w:hint="eastAsia"/>
        </w:rPr>
      </w:pPr>
      <w:r>
        <w:rPr>
          <w:rFonts w:hint="default"/>
        </w:rPr>
        <w:t xml:space="preserve">1. </w:t>
      </w:r>
      <w:r>
        <w:rPr>
          <w:rFonts w:hint="eastAsia"/>
        </w:rPr>
        <w:t>计算公式</w:t>
      </w:r>
    </w:p>
    <w:p w14:paraId="4F9E16CE">
      <w:pPr>
        <w:pStyle w:val="52"/>
        <w:keepNext w:val="0"/>
        <w:keepLines w:val="0"/>
        <w:widowControl/>
        <w:suppressLineNumbers w:val="0"/>
        <w:spacing w:before="0" w:beforeAutospacing="0" w:after="0" w:afterAutospacing="0" w:line="240" w:lineRule="auto"/>
        <w:ind w:firstLine="480" w:firstLineChars="200"/>
        <w:contextualSpacing/>
        <w:jc w:val="both"/>
        <w:rPr>
          <w:rFonts w:hint="eastAsia"/>
        </w:rPr>
      </w:pPr>
      <w:r>
        <w:rPr>
          <w:rFonts w:hint="eastAsia"/>
        </w:rPr>
        <w:t>净购入的生产用电力、热力（如蒸汽）隐含产生的</w:t>
      </w:r>
      <w:r>
        <w:rPr>
          <w:rFonts w:hint="default"/>
        </w:rPr>
        <w:t>CO</w:t>
      </w:r>
      <w:r>
        <w:rPr>
          <w:rFonts w:hint="default"/>
          <w:vertAlign w:val="subscript"/>
        </w:rPr>
        <w:t>2</w:t>
      </w:r>
      <w:r>
        <w:rPr>
          <w:rFonts w:hint="default"/>
        </w:rPr>
        <w:t xml:space="preserve"> </w:t>
      </w:r>
      <w:r>
        <w:rPr>
          <w:rFonts w:hint="eastAsia"/>
        </w:rPr>
        <w:t>排放量按公式（</w:t>
      </w:r>
      <w:r>
        <w:rPr>
          <w:rFonts w:hint="default"/>
        </w:rPr>
        <w:t>10</w:t>
      </w:r>
      <w:r>
        <w:rPr>
          <w:rFonts w:hint="eastAsia"/>
        </w:rPr>
        <w:t>）计算。</w:t>
      </w:r>
    </w:p>
    <w:p w14:paraId="27E9D2BA">
      <w:pPr>
        <w:pStyle w:val="52"/>
        <w:keepNext w:val="0"/>
        <w:keepLines w:val="0"/>
        <w:widowControl/>
        <w:suppressLineNumbers w:val="0"/>
        <w:spacing w:before="0" w:beforeAutospacing="0" w:after="0" w:afterAutospacing="0" w:line="240" w:lineRule="auto"/>
        <w:ind w:firstLine="480" w:firstLineChars="200"/>
        <w:contextualSpacing/>
        <w:jc w:val="center"/>
        <w:rPr>
          <w:rFonts w:hint="eastAsia"/>
          <w:vertAlign w:val="subscript"/>
        </w:rPr>
      </w:pPr>
      <w:r>
        <w:rPr>
          <w:rFonts w:hint="default"/>
        </w:rPr>
        <w:t>E</w:t>
      </w:r>
      <w:r>
        <w:rPr>
          <w:rFonts w:hint="eastAsia"/>
          <w:vertAlign w:val="subscript"/>
        </w:rPr>
        <w:t>电和热</w:t>
      </w:r>
      <w:r>
        <w:rPr>
          <w:rFonts w:hint="default"/>
        </w:rPr>
        <w:t>=AD</w:t>
      </w:r>
      <w:r>
        <w:rPr>
          <w:rFonts w:hint="eastAsia"/>
          <w:vertAlign w:val="subscript"/>
        </w:rPr>
        <w:t>电力</w:t>
      </w:r>
      <w:r>
        <w:rPr>
          <w:rFonts w:hint="default"/>
        </w:rPr>
        <w:t>EF</w:t>
      </w:r>
      <w:r>
        <w:rPr>
          <w:rFonts w:hint="eastAsia"/>
          <w:vertAlign w:val="subscript"/>
        </w:rPr>
        <w:t>电力</w:t>
      </w:r>
      <w:r>
        <w:rPr>
          <w:rFonts w:hint="default"/>
        </w:rPr>
        <w:t>+AD</w:t>
      </w:r>
      <w:r>
        <w:rPr>
          <w:rFonts w:hint="eastAsia"/>
          <w:vertAlign w:val="subscript"/>
        </w:rPr>
        <w:t>热力</w:t>
      </w:r>
      <w:r>
        <w:rPr>
          <w:rFonts w:hint="default"/>
        </w:rPr>
        <w:t>EF</w:t>
      </w:r>
      <w:r>
        <w:rPr>
          <w:rFonts w:hint="eastAsia"/>
          <w:vertAlign w:val="subscript"/>
        </w:rPr>
        <w:t>热力</w:t>
      </w:r>
    </w:p>
    <w:p w14:paraId="4DB67FBA">
      <w:pPr>
        <w:pStyle w:val="52"/>
        <w:keepNext w:val="0"/>
        <w:keepLines w:val="0"/>
        <w:widowControl/>
        <w:suppressLineNumbers w:val="0"/>
        <w:spacing w:before="0" w:beforeAutospacing="0" w:after="0" w:afterAutospacing="0" w:line="240" w:lineRule="auto"/>
        <w:ind w:firstLine="480" w:firstLineChars="200"/>
        <w:contextualSpacing/>
        <w:jc w:val="both"/>
        <w:rPr>
          <w:rFonts w:hint="default"/>
        </w:rPr>
      </w:pPr>
      <w:r>
        <w:rPr>
          <w:rFonts w:hint="eastAsia"/>
        </w:rPr>
        <w:t>式中：</w:t>
      </w:r>
    </w:p>
    <w:p w14:paraId="2354C3E9">
      <w:pPr>
        <w:pStyle w:val="52"/>
        <w:keepNext w:val="0"/>
        <w:keepLines w:val="0"/>
        <w:widowControl/>
        <w:suppressLineNumbers w:val="0"/>
        <w:spacing w:before="0" w:beforeAutospacing="0" w:after="0" w:afterAutospacing="0" w:line="240" w:lineRule="auto"/>
        <w:ind w:firstLine="480" w:firstLineChars="200"/>
        <w:contextualSpacing/>
        <w:jc w:val="both"/>
        <w:rPr>
          <w:rFonts w:hint="default"/>
        </w:rPr>
      </w:pPr>
      <w:r>
        <w:rPr>
          <w:rFonts w:hint="default"/>
        </w:rPr>
        <w:t>E</w:t>
      </w:r>
      <w:r>
        <w:rPr>
          <w:rFonts w:hint="eastAsia"/>
          <w:vertAlign w:val="subscript"/>
        </w:rPr>
        <w:t>电和热</w:t>
      </w:r>
      <w:r>
        <w:rPr>
          <w:rFonts w:hint="eastAsia"/>
        </w:rPr>
        <w:t>为净购入生产用电力、热力隐含产生的</w:t>
      </w:r>
      <w:r>
        <w:rPr>
          <w:rFonts w:hint="default"/>
        </w:rPr>
        <w:t>CO</w:t>
      </w:r>
      <w:r>
        <w:rPr>
          <w:rFonts w:hint="default"/>
          <w:vertAlign w:val="subscript"/>
        </w:rPr>
        <w:t>2</w:t>
      </w:r>
      <w:r>
        <w:rPr>
          <w:rFonts w:hint="eastAsia"/>
        </w:rPr>
        <w:t>排放量，单位为吨（</w:t>
      </w:r>
      <w:r>
        <w:rPr>
          <w:rFonts w:hint="default"/>
        </w:rPr>
        <w:t>tCO</w:t>
      </w:r>
      <w:r>
        <w:rPr>
          <w:rFonts w:hint="default"/>
          <w:vertAlign w:val="subscript"/>
        </w:rPr>
        <w:t>2</w:t>
      </w:r>
      <w:r>
        <w:rPr>
          <w:rFonts w:hint="eastAsia"/>
        </w:rPr>
        <w:t>）；</w:t>
      </w:r>
    </w:p>
    <w:p w14:paraId="52551C9A">
      <w:pPr>
        <w:pStyle w:val="52"/>
        <w:keepNext w:val="0"/>
        <w:keepLines w:val="0"/>
        <w:widowControl/>
        <w:suppressLineNumbers w:val="0"/>
        <w:spacing w:before="0" w:beforeAutospacing="0" w:after="0" w:afterAutospacing="0" w:line="240" w:lineRule="auto"/>
        <w:ind w:firstLine="480" w:firstLineChars="200"/>
        <w:contextualSpacing/>
        <w:jc w:val="both"/>
        <w:rPr>
          <w:rFonts w:hint="default"/>
        </w:rPr>
      </w:pPr>
      <w:r>
        <w:rPr>
          <w:rFonts w:hint="default"/>
        </w:rPr>
        <w:t>AD</w:t>
      </w:r>
      <w:r>
        <w:rPr>
          <w:rFonts w:hint="eastAsia"/>
          <w:vertAlign w:val="subscript"/>
        </w:rPr>
        <w:t>电力</w:t>
      </w:r>
      <w:r>
        <w:rPr>
          <w:rFonts w:hint="eastAsia"/>
        </w:rPr>
        <w:t>、</w:t>
      </w:r>
      <w:r>
        <w:rPr>
          <w:rFonts w:hint="default"/>
        </w:rPr>
        <w:t>AD</w:t>
      </w:r>
      <w:r>
        <w:rPr>
          <w:rFonts w:hint="eastAsia"/>
          <w:vertAlign w:val="subscript"/>
        </w:rPr>
        <w:t>热力</w:t>
      </w:r>
      <w:r>
        <w:rPr>
          <w:rFonts w:hint="eastAsia"/>
        </w:rPr>
        <w:t>分别为核算和报告期内净购入电量和热力量（如蒸汽量），单位分别为兆瓦时（</w:t>
      </w:r>
      <w:r>
        <w:rPr>
          <w:rFonts w:hint="default"/>
        </w:rPr>
        <w:t>MWh</w:t>
      </w:r>
      <w:r>
        <w:rPr>
          <w:rFonts w:hint="eastAsia"/>
        </w:rPr>
        <w:t>）和百万千焦（</w:t>
      </w:r>
      <w:r>
        <w:rPr>
          <w:rFonts w:hint="default"/>
        </w:rPr>
        <w:t>GJ</w:t>
      </w:r>
      <w:r>
        <w:rPr>
          <w:rFonts w:hint="eastAsia"/>
        </w:rPr>
        <w:t>）；</w:t>
      </w:r>
    </w:p>
    <w:p w14:paraId="6A000D37">
      <w:pPr>
        <w:pStyle w:val="52"/>
        <w:keepNext w:val="0"/>
        <w:keepLines w:val="0"/>
        <w:widowControl/>
        <w:suppressLineNumbers w:val="0"/>
        <w:spacing w:before="0" w:beforeAutospacing="0" w:after="0" w:afterAutospacing="0" w:line="240" w:lineRule="auto"/>
        <w:ind w:firstLine="480" w:firstLineChars="200"/>
        <w:contextualSpacing/>
        <w:jc w:val="both"/>
        <w:rPr>
          <w:rFonts w:hint="default"/>
        </w:rPr>
      </w:pPr>
      <w:r>
        <w:rPr>
          <w:rFonts w:hint="default"/>
        </w:rPr>
        <w:t>EF</w:t>
      </w:r>
      <w:r>
        <w:rPr>
          <w:rFonts w:hint="eastAsia"/>
          <w:vertAlign w:val="subscript"/>
        </w:rPr>
        <w:t>电力</w:t>
      </w:r>
      <w:r>
        <w:rPr>
          <w:rFonts w:hint="eastAsia"/>
        </w:rPr>
        <w:t>、</w:t>
      </w:r>
      <w:r>
        <w:rPr>
          <w:rFonts w:hint="default"/>
        </w:rPr>
        <w:t>EF</w:t>
      </w:r>
      <w:r>
        <w:rPr>
          <w:rFonts w:hint="eastAsia"/>
          <w:vertAlign w:val="subscript"/>
        </w:rPr>
        <w:t>热力</w:t>
      </w:r>
      <w:r>
        <w:rPr>
          <w:rFonts w:hint="eastAsia"/>
        </w:rPr>
        <w:t>分别为电力和热力（如蒸汽）的</w:t>
      </w:r>
      <w:r>
        <w:rPr>
          <w:rFonts w:hint="default"/>
        </w:rPr>
        <w:t>CO</w:t>
      </w:r>
      <w:r>
        <w:rPr>
          <w:rFonts w:hint="default"/>
          <w:vertAlign w:val="subscript"/>
        </w:rPr>
        <w:t>2</w:t>
      </w:r>
      <w:r>
        <w:rPr>
          <w:rFonts w:hint="eastAsia"/>
        </w:rPr>
        <w:t>排放因子，单位分别为吨</w:t>
      </w:r>
      <w:r>
        <w:rPr>
          <w:rFonts w:hint="default"/>
        </w:rPr>
        <w:t>CO</w:t>
      </w:r>
      <w:r>
        <w:rPr>
          <w:rFonts w:hint="default"/>
          <w:vertAlign w:val="subscript"/>
        </w:rPr>
        <w:t>2</w:t>
      </w:r>
      <w:r>
        <w:rPr>
          <w:rFonts w:hint="default"/>
        </w:rPr>
        <w:t>/EF</w:t>
      </w:r>
      <w:r>
        <w:rPr>
          <w:rFonts w:hint="eastAsia"/>
        </w:rPr>
        <w:t>兆瓦时（</w:t>
      </w:r>
      <w:r>
        <w:rPr>
          <w:rFonts w:hint="default"/>
        </w:rPr>
        <w:t>tCO</w:t>
      </w:r>
      <w:r>
        <w:rPr>
          <w:rFonts w:hint="default"/>
          <w:vertAlign w:val="subscript"/>
        </w:rPr>
        <w:t>2</w:t>
      </w:r>
      <w:r>
        <w:rPr>
          <w:rFonts w:hint="default"/>
        </w:rPr>
        <w:t>/MWh</w:t>
      </w:r>
      <w:r>
        <w:rPr>
          <w:rFonts w:hint="eastAsia"/>
        </w:rPr>
        <w:t>）和吨</w:t>
      </w:r>
      <w:r>
        <w:rPr>
          <w:rFonts w:hint="default"/>
        </w:rPr>
        <w:t>CO</w:t>
      </w:r>
      <w:r>
        <w:rPr>
          <w:rFonts w:hint="default"/>
          <w:vertAlign w:val="subscript"/>
        </w:rPr>
        <w:t>2</w:t>
      </w:r>
      <w:r>
        <w:rPr>
          <w:rFonts w:hint="default"/>
        </w:rPr>
        <w:t>/</w:t>
      </w:r>
      <w:r>
        <w:rPr>
          <w:rFonts w:hint="eastAsia"/>
        </w:rPr>
        <w:t>百万千焦（</w:t>
      </w:r>
      <w:r>
        <w:rPr>
          <w:rFonts w:hint="default"/>
        </w:rPr>
        <w:t>tCO</w:t>
      </w:r>
      <w:r>
        <w:rPr>
          <w:rFonts w:hint="default"/>
          <w:vertAlign w:val="subscript"/>
        </w:rPr>
        <w:t>2</w:t>
      </w:r>
      <w:r>
        <w:rPr>
          <w:rFonts w:hint="default"/>
        </w:rPr>
        <w:t>/GJ</w:t>
      </w:r>
      <w:r>
        <w:rPr>
          <w:rFonts w:hint="eastAsia"/>
        </w:rPr>
        <w:t>），根据指南电力选取值为</w:t>
      </w:r>
      <w:r>
        <w:rPr>
          <w:rFonts w:hint="default"/>
        </w:rPr>
        <w:t>0.6829tCO</w:t>
      </w:r>
      <w:r>
        <w:rPr>
          <w:rFonts w:hint="default"/>
          <w:vertAlign w:val="subscript"/>
        </w:rPr>
        <w:t>2</w:t>
      </w:r>
      <w:r>
        <w:rPr>
          <w:rFonts w:hint="default"/>
        </w:rPr>
        <w:t>/MWh</w:t>
      </w:r>
      <w:r>
        <w:rPr>
          <w:rFonts w:hint="eastAsia"/>
        </w:rPr>
        <w:t>。</w:t>
      </w:r>
    </w:p>
    <w:p w14:paraId="72F49FE5">
      <w:pPr>
        <w:pStyle w:val="52"/>
        <w:keepNext w:val="0"/>
        <w:keepLines w:val="0"/>
        <w:widowControl/>
        <w:suppressLineNumbers w:val="0"/>
        <w:spacing w:before="0" w:beforeAutospacing="0" w:after="0" w:afterAutospacing="0" w:line="240" w:lineRule="auto"/>
        <w:ind w:firstLine="480" w:firstLineChars="200"/>
        <w:contextualSpacing/>
        <w:jc w:val="both"/>
        <w:rPr>
          <w:rFonts w:hint="default"/>
        </w:rPr>
      </w:pPr>
      <w:r>
        <w:rPr>
          <w:rFonts w:hint="default"/>
        </w:rPr>
        <w:t xml:space="preserve">2. </w:t>
      </w:r>
      <w:r>
        <w:rPr>
          <w:rFonts w:hint="eastAsia"/>
        </w:rPr>
        <w:t>活动水平数据获取</w:t>
      </w:r>
    </w:p>
    <w:p w14:paraId="735BFCFC">
      <w:pPr>
        <w:pStyle w:val="52"/>
        <w:keepNext w:val="0"/>
        <w:keepLines w:val="0"/>
        <w:widowControl/>
        <w:suppressLineNumbers w:val="0"/>
        <w:spacing w:before="0" w:beforeAutospacing="0" w:after="0" w:afterAutospacing="0" w:line="240" w:lineRule="auto"/>
        <w:ind w:firstLine="480" w:firstLineChars="200"/>
        <w:contextualSpacing/>
        <w:jc w:val="both"/>
        <w:rPr>
          <w:rFonts w:hint="default"/>
        </w:rPr>
      </w:pPr>
      <w:r>
        <w:rPr>
          <w:rFonts w:hint="eastAsia"/>
        </w:rPr>
        <w:t>根据核算和报告期内电力（或热力）供应商、钢铁生产企业存档的购售结算凭证以及企业能源平衡表，采用公式（</w:t>
      </w:r>
      <w:r>
        <w:rPr>
          <w:rFonts w:hint="default"/>
        </w:rPr>
        <w:t>11</w:t>
      </w:r>
      <w:r>
        <w:rPr>
          <w:rFonts w:hint="eastAsia"/>
        </w:rPr>
        <w:t>）计算。</w:t>
      </w:r>
    </w:p>
    <w:p w14:paraId="28CA4ECF">
      <w:pPr>
        <w:pStyle w:val="52"/>
        <w:keepNext w:val="0"/>
        <w:keepLines w:val="0"/>
        <w:widowControl/>
        <w:suppressLineNumbers w:val="0"/>
        <w:spacing w:before="0" w:beforeAutospacing="0" w:after="0" w:afterAutospacing="0" w:line="240" w:lineRule="auto"/>
        <w:ind w:firstLine="480" w:firstLineChars="200"/>
        <w:contextualSpacing/>
        <w:jc w:val="both"/>
        <w:rPr>
          <w:rFonts w:hint="default"/>
        </w:rPr>
      </w:pPr>
      <w:r>
        <w:rPr>
          <w:rFonts w:hint="eastAsia"/>
        </w:rPr>
        <w:t>净购入电量（热力量）</w:t>
      </w:r>
      <w:r>
        <w:rPr>
          <w:rFonts w:hint="default"/>
        </w:rPr>
        <w:t xml:space="preserve">= </w:t>
      </w:r>
      <w:r>
        <w:rPr>
          <w:rFonts w:hint="eastAsia"/>
        </w:rPr>
        <w:t>购入量</w:t>
      </w:r>
      <w:r>
        <w:rPr>
          <w:rFonts w:hint="default"/>
        </w:rPr>
        <w:t>−</w:t>
      </w:r>
      <w:r>
        <w:rPr>
          <w:rFonts w:hint="eastAsia"/>
        </w:rPr>
        <w:t>钢铁生产之外的其他用电量（热力量）</w:t>
      </w:r>
      <w:r>
        <w:rPr>
          <w:rFonts w:hint="default"/>
        </w:rPr>
        <w:t>−</w:t>
      </w:r>
      <w:r>
        <w:rPr>
          <w:rFonts w:hint="eastAsia"/>
        </w:rPr>
        <w:t>外销量（</w:t>
      </w:r>
      <w:r>
        <w:rPr>
          <w:rFonts w:hint="default"/>
        </w:rPr>
        <w:t>11</w:t>
      </w:r>
      <w:r>
        <w:rPr>
          <w:rFonts w:hint="eastAsia"/>
        </w:rPr>
        <w:t>）</w:t>
      </w:r>
    </w:p>
    <w:p w14:paraId="7D78F88A">
      <w:pPr>
        <w:pStyle w:val="52"/>
        <w:keepNext w:val="0"/>
        <w:keepLines w:val="0"/>
        <w:widowControl/>
        <w:suppressLineNumbers w:val="0"/>
        <w:spacing w:before="0" w:beforeAutospacing="0" w:after="0" w:afterAutospacing="0" w:line="240" w:lineRule="auto"/>
        <w:ind w:firstLine="480" w:firstLineChars="200"/>
        <w:contextualSpacing/>
        <w:jc w:val="both"/>
        <w:rPr>
          <w:rFonts w:hint="default"/>
        </w:rPr>
      </w:pPr>
      <w:r>
        <w:rPr>
          <w:rFonts w:hint="default"/>
        </w:rPr>
        <w:t xml:space="preserve">3. </w:t>
      </w:r>
      <w:r>
        <w:rPr>
          <w:rFonts w:hint="eastAsia"/>
        </w:rPr>
        <w:t>排放因子数据获取</w:t>
      </w:r>
    </w:p>
    <w:p w14:paraId="54A3F6A1">
      <w:pPr>
        <w:pStyle w:val="52"/>
        <w:keepNext w:val="0"/>
        <w:keepLines w:val="0"/>
        <w:widowControl/>
        <w:suppressLineNumbers w:val="0"/>
        <w:spacing w:before="0" w:beforeAutospacing="0" w:after="0" w:afterAutospacing="0" w:line="240" w:lineRule="auto"/>
        <w:ind w:firstLine="480" w:firstLineChars="200"/>
        <w:contextualSpacing/>
        <w:jc w:val="both"/>
        <w:rPr>
          <w:rFonts w:hint="default"/>
        </w:rPr>
      </w:pPr>
      <w:r>
        <w:rPr>
          <w:rFonts w:hint="eastAsia"/>
        </w:rPr>
        <w:t>电力排放因子应根据企业生产地址及目前的东北、华北、华东、华中、西北、南方电网划分，选用国家主管部门最近年份公布的相应区域电网排放因子进行计算。供热排放因子暂按</w:t>
      </w:r>
      <w:r>
        <w:rPr>
          <w:rFonts w:hint="default"/>
        </w:rPr>
        <w:t>0.11 tCO</w:t>
      </w:r>
      <w:r>
        <w:rPr>
          <w:rFonts w:hint="default"/>
          <w:vertAlign w:val="subscript"/>
        </w:rPr>
        <w:t>2</w:t>
      </w:r>
      <w:r>
        <w:rPr>
          <w:rFonts w:hint="default"/>
        </w:rPr>
        <w:t xml:space="preserve">/GJ </w:t>
      </w:r>
      <w:r>
        <w:rPr>
          <w:rFonts w:hint="eastAsia"/>
        </w:rPr>
        <w:t>计，待政府主管部门发布官方数据后应采用官方发布数据并保持更新。</w:t>
      </w:r>
    </w:p>
    <w:p w14:paraId="57083CFC">
      <w:pPr>
        <w:pStyle w:val="52"/>
        <w:keepNext w:val="0"/>
        <w:keepLines w:val="0"/>
        <w:widowControl/>
        <w:suppressLineNumbers w:val="0"/>
        <w:spacing w:before="0" w:beforeAutospacing="0" w:after="0" w:afterAutospacing="0" w:line="240" w:lineRule="auto"/>
        <w:ind w:firstLine="480" w:firstLineChars="200"/>
        <w:contextualSpacing/>
        <w:jc w:val="both"/>
        <w:rPr>
          <w:rFonts w:hint="eastAsia"/>
        </w:rPr>
      </w:pPr>
      <w:r>
        <w:rPr>
          <w:rFonts w:hint="default"/>
        </w:rPr>
        <w:t>4.</w:t>
      </w:r>
      <w:r>
        <w:rPr>
          <w:rFonts w:hint="eastAsia"/>
        </w:rPr>
        <w:t>计算结果</w:t>
      </w:r>
    </w:p>
    <w:p w14:paraId="12B0212B">
      <w:pPr>
        <w:jc w:val="center"/>
      </w:pPr>
      <w:r>
        <w:t>表6.</w:t>
      </w:r>
      <w:r>
        <w:rPr>
          <w:rFonts w:hint="eastAsia"/>
          <w:lang w:val="en-US" w:eastAsia="zh-CN"/>
        </w:rPr>
        <w:t>5</w:t>
      </w:r>
      <w:r>
        <w:t>-3 本次技改前后工业生产过程碳排放量</w:t>
      </w:r>
    </w:p>
    <w:tbl>
      <w:tblPr>
        <w:tblStyle w:val="56"/>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1918"/>
        <w:gridCol w:w="1488"/>
        <w:gridCol w:w="1947"/>
        <w:gridCol w:w="1816"/>
        <w:gridCol w:w="1552"/>
      </w:tblGrid>
      <w:tr w14:paraId="4D1292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0" w:type="auto"/>
            <w:gridSpan w:val="2"/>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558E73FE">
            <w:pPr>
              <w:jc w:val="center"/>
              <w:rPr>
                <w:b/>
              </w:rPr>
            </w:pPr>
            <w:r>
              <w:rPr>
                <w:b/>
              </w:rPr>
              <w:t>项目</w:t>
            </w:r>
          </w:p>
        </w:tc>
        <w:tc>
          <w:tcPr>
            <w:tcW w:w="1116" w:type="pct"/>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78C5599F">
            <w:pPr>
              <w:jc w:val="center"/>
              <w:rPr>
                <w:b/>
              </w:rPr>
            </w:pPr>
            <w:r>
              <w:rPr>
                <w:b/>
              </w:rPr>
              <w:t>EF</w:t>
            </w:r>
            <w:r>
              <w:rPr>
                <w:b/>
                <w:vertAlign w:val="subscript"/>
              </w:rPr>
              <w:t>i</w:t>
            </w:r>
            <w:r>
              <w:rPr>
                <w:b/>
              </w:rPr>
              <w:t>（tCO</w:t>
            </w:r>
            <w:r>
              <w:rPr>
                <w:b/>
                <w:vertAlign w:val="subscript"/>
              </w:rPr>
              <w:t>2</w:t>
            </w:r>
            <w:r>
              <w:rPr>
                <w:b/>
              </w:rPr>
              <w:t>/MWh、tCO</w:t>
            </w:r>
            <w:r>
              <w:rPr>
                <w:b/>
                <w:vertAlign w:val="subscript"/>
              </w:rPr>
              <w:t>2</w:t>
            </w:r>
            <w:r>
              <w:rPr>
                <w:b/>
              </w:rPr>
              <w:t>/GJ）</w:t>
            </w:r>
          </w:p>
        </w:tc>
        <w:tc>
          <w:tcPr>
            <w:tcW w:w="1041" w:type="pct"/>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18EA1CB0">
            <w:pPr>
              <w:jc w:val="center"/>
              <w:rPr>
                <w:b/>
              </w:rPr>
            </w:pPr>
            <w:r>
              <w:rPr>
                <w:b/>
              </w:rPr>
              <w:t>AD（MWh、GJ）</w:t>
            </w:r>
          </w:p>
        </w:tc>
        <w:tc>
          <w:tcPr>
            <w:tcW w:w="0" w:type="auto"/>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1DFE015E">
            <w:pPr>
              <w:jc w:val="center"/>
              <w:rPr>
                <w:b/>
              </w:rPr>
            </w:pPr>
            <w:r>
              <w:rPr>
                <w:b/>
              </w:rPr>
              <w:t>E</w:t>
            </w:r>
            <w:r>
              <w:rPr>
                <w:b/>
                <w:vertAlign w:val="subscript"/>
              </w:rPr>
              <w:t>电和热</w:t>
            </w:r>
            <w:r>
              <w:rPr>
                <w:b/>
              </w:rPr>
              <w:t>（tCO</w:t>
            </w:r>
            <w:r>
              <w:rPr>
                <w:b/>
                <w:vertAlign w:val="subscript"/>
              </w:rPr>
              <w:t>2</w:t>
            </w:r>
            <w:r>
              <w:rPr>
                <w:b/>
              </w:rPr>
              <w:t>）</w:t>
            </w:r>
          </w:p>
        </w:tc>
      </w:tr>
      <w:tr w14:paraId="5AD521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1099" w:type="pct"/>
            <w:vMerge w:val="restart"/>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60A40163">
            <w:r>
              <w:t>技改前</w:t>
            </w:r>
          </w:p>
        </w:tc>
        <w:tc>
          <w:tcPr>
            <w:tcW w:w="853" w:type="pct"/>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73D61EE2">
            <w:r>
              <w:t>购入电力</w:t>
            </w:r>
          </w:p>
        </w:tc>
        <w:tc>
          <w:tcPr>
            <w:tcW w:w="1116" w:type="pct"/>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66EEED61">
            <w:r>
              <w:t>0.6829</w:t>
            </w:r>
          </w:p>
        </w:tc>
        <w:tc>
          <w:tcPr>
            <w:tcW w:w="1041" w:type="pct"/>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19C84FB2">
            <w:pPr>
              <w:rPr>
                <w:rFonts w:hint="default" w:eastAsia="宋体"/>
                <w:lang w:val="en-US" w:eastAsia="zh-CN"/>
              </w:rPr>
            </w:pPr>
            <w:r>
              <w:t>2</w:t>
            </w:r>
            <w:r>
              <w:rPr>
                <w:rFonts w:hint="eastAsia"/>
                <w:lang w:val="en-US" w:eastAsia="zh-CN"/>
              </w:rPr>
              <w:t>1.92</w:t>
            </w:r>
          </w:p>
        </w:tc>
        <w:tc>
          <w:tcPr>
            <w:tcW w:w="889" w:type="pct"/>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3BF645AA">
            <w:pPr>
              <w:rPr>
                <w:rFonts w:hint="default" w:eastAsia="宋体"/>
                <w:lang w:val="en-US" w:eastAsia="zh-CN"/>
              </w:rPr>
            </w:pPr>
            <w:r>
              <w:rPr>
                <w:rFonts w:hint="eastAsia"/>
                <w:lang w:val="en-US" w:eastAsia="zh-CN"/>
              </w:rPr>
              <w:t>14.97</w:t>
            </w:r>
          </w:p>
        </w:tc>
      </w:tr>
      <w:tr w14:paraId="034649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1099" w:type="pct"/>
            <w:vMerge w:val="continue"/>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127EC603"/>
        </w:tc>
        <w:tc>
          <w:tcPr>
            <w:tcW w:w="853" w:type="pct"/>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3C004F46">
            <w:r>
              <w:t>净购入</w:t>
            </w:r>
          </w:p>
        </w:tc>
        <w:tc>
          <w:tcPr>
            <w:tcW w:w="1116" w:type="pct"/>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12E29161">
            <w:r>
              <w:t>/</w:t>
            </w:r>
          </w:p>
        </w:tc>
        <w:tc>
          <w:tcPr>
            <w:tcW w:w="1041" w:type="pct"/>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54AA424F">
            <w:r>
              <w:t>/</w:t>
            </w:r>
          </w:p>
        </w:tc>
        <w:tc>
          <w:tcPr>
            <w:tcW w:w="0" w:type="auto"/>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71FC01B0">
            <w:r>
              <w:rPr>
                <w:rFonts w:hint="eastAsia"/>
                <w:lang w:val="en-US" w:eastAsia="zh-CN"/>
              </w:rPr>
              <w:t>14.97</w:t>
            </w:r>
          </w:p>
        </w:tc>
      </w:tr>
      <w:tr w14:paraId="5E5C11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1099" w:type="pct"/>
            <w:vMerge w:val="restart"/>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6DC821F0">
            <w:r>
              <w:t>技改后</w:t>
            </w:r>
          </w:p>
        </w:tc>
        <w:tc>
          <w:tcPr>
            <w:tcW w:w="853" w:type="pct"/>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7003F85C">
            <w:r>
              <w:t>购入电力</w:t>
            </w:r>
          </w:p>
        </w:tc>
        <w:tc>
          <w:tcPr>
            <w:tcW w:w="1116" w:type="pct"/>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191C03C2">
            <w:r>
              <w:t>0.6829</w:t>
            </w:r>
          </w:p>
        </w:tc>
        <w:tc>
          <w:tcPr>
            <w:tcW w:w="1041" w:type="pct"/>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74F35884">
            <w:pPr>
              <w:rPr>
                <w:rFonts w:hint="default" w:eastAsia="宋体"/>
                <w:lang w:val="en-US" w:eastAsia="zh-CN"/>
              </w:rPr>
            </w:pPr>
            <w:r>
              <w:rPr>
                <w:rFonts w:hint="eastAsia"/>
                <w:lang w:val="en-US" w:eastAsia="zh-CN"/>
              </w:rPr>
              <w:t>20.20</w:t>
            </w:r>
          </w:p>
        </w:tc>
        <w:tc>
          <w:tcPr>
            <w:tcW w:w="889" w:type="pct"/>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08EA22FC">
            <w:pPr>
              <w:rPr>
                <w:rFonts w:hint="default" w:eastAsia="宋体"/>
                <w:lang w:val="en-US" w:eastAsia="zh-CN"/>
              </w:rPr>
            </w:pPr>
            <w:r>
              <w:rPr>
                <w:rFonts w:hint="eastAsia"/>
                <w:lang w:val="en-US" w:eastAsia="zh-CN"/>
              </w:rPr>
              <w:t>13.79</w:t>
            </w:r>
          </w:p>
        </w:tc>
      </w:tr>
      <w:tr w14:paraId="724D1A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1099" w:type="pct"/>
            <w:vMerge w:val="continue"/>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32FC18A0"/>
        </w:tc>
        <w:tc>
          <w:tcPr>
            <w:tcW w:w="853" w:type="pct"/>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6A580B8B">
            <w:r>
              <w:t>净购入</w:t>
            </w:r>
          </w:p>
        </w:tc>
        <w:tc>
          <w:tcPr>
            <w:tcW w:w="1116" w:type="pct"/>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6531D0C4">
            <w:r>
              <w:t>/</w:t>
            </w:r>
          </w:p>
        </w:tc>
        <w:tc>
          <w:tcPr>
            <w:tcW w:w="1041" w:type="pct"/>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015B1753">
            <w:r>
              <w:t>/</w:t>
            </w:r>
          </w:p>
        </w:tc>
        <w:tc>
          <w:tcPr>
            <w:tcW w:w="889" w:type="pct"/>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02556D9C">
            <w:r>
              <w:rPr>
                <w:rFonts w:hint="eastAsia"/>
                <w:lang w:val="en-US" w:eastAsia="zh-CN"/>
              </w:rPr>
              <w:t>13.79</w:t>
            </w:r>
          </w:p>
        </w:tc>
      </w:tr>
    </w:tbl>
    <w:p w14:paraId="06D2001A">
      <w:pPr>
        <w:pStyle w:val="52"/>
        <w:keepNext w:val="0"/>
        <w:keepLines w:val="0"/>
        <w:widowControl/>
        <w:suppressLineNumbers w:val="0"/>
        <w:spacing w:before="0" w:beforeAutospacing="0" w:after="0" w:afterAutospacing="0" w:line="240" w:lineRule="auto"/>
        <w:ind w:firstLine="480" w:firstLineChars="200"/>
        <w:contextualSpacing/>
        <w:jc w:val="both"/>
        <w:rPr>
          <w:rFonts w:hint="default"/>
        </w:rPr>
      </w:pPr>
    </w:p>
    <w:p w14:paraId="05A8FD32">
      <w:pPr>
        <w:pStyle w:val="52"/>
        <w:keepNext w:val="0"/>
        <w:keepLines w:val="0"/>
        <w:widowControl/>
        <w:suppressLineNumbers w:val="0"/>
        <w:spacing w:before="0" w:beforeAutospacing="0" w:after="0" w:afterAutospacing="0" w:line="240" w:lineRule="auto"/>
        <w:ind w:firstLine="480" w:firstLineChars="200"/>
        <w:contextualSpacing/>
        <w:jc w:val="both"/>
        <w:rPr>
          <w:rFonts w:hint="default"/>
        </w:rPr>
      </w:pPr>
      <w:r>
        <w:rPr>
          <w:rFonts w:hint="eastAsia"/>
        </w:rPr>
        <w:t>（四）固碳产品隐含的排放</w:t>
      </w:r>
    </w:p>
    <w:p w14:paraId="16EE2B97">
      <w:pPr>
        <w:pStyle w:val="52"/>
        <w:keepNext w:val="0"/>
        <w:keepLines w:val="0"/>
        <w:widowControl/>
        <w:suppressLineNumbers w:val="0"/>
        <w:spacing w:before="0" w:beforeAutospacing="0" w:after="0" w:afterAutospacing="0" w:line="240" w:lineRule="auto"/>
        <w:ind w:firstLine="480" w:firstLineChars="200"/>
        <w:contextualSpacing/>
        <w:jc w:val="both"/>
        <w:rPr>
          <w:rFonts w:hint="default"/>
        </w:rPr>
      </w:pPr>
      <w:r>
        <w:rPr>
          <w:rFonts w:hint="default"/>
        </w:rPr>
        <w:t xml:space="preserve">1. </w:t>
      </w:r>
      <w:r>
        <w:rPr>
          <w:rFonts w:hint="eastAsia"/>
        </w:rPr>
        <w:t>计算公式</w:t>
      </w:r>
    </w:p>
    <w:p w14:paraId="5F0027AA">
      <w:pPr>
        <w:pStyle w:val="52"/>
        <w:keepNext w:val="0"/>
        <w:keepLines w:val="0"/>
        <w:widowControl/>
        <w:suppressLineNumbers w:val="0"/>
        <w:spacing w:before="0" w:beforeAutospacing="0" w:after="0" w:afterAutospacing="0" w:line="240" w:lineRule="auto"/>
        <w:ind w:firstLine="480" w:firstLineChars="200"/>
        <w:contextualSpacing/>
        <w:jc w:val="both"/>
        <w:rPr>
          <w:rFonts w:hint="default"/>
        </w:rPr>
      </w:pPr>
      <w:r>
        <w:rPr>
          <w:rFonts w:hint="eastAsia"/>
        </w:rPr>
        <w:t>固碳产品所隐含的</w:t>
      </w:r>
      <w:r>
        <w:rPr>
          <w:rFonts w:hint="default"/>
        </w:rPr>
        <w:t>CO</w:t>
      </w:r>
      <w:r>
        <w:rPr>
          <w:rFonts w:hint="default"/>
          <w:vertAlign w:val="subscript"/>
        </w:rPr>
        <w:t>2</w:t>
      </w:r>
      <w:r>
        <w:rPr>
          <w:rFonts w:hint="eastAsia"/>
        </w:rPr>
        <w:t>排放量按公式（</w:t>
      </w:r>
      <w:r>
        <w:rPr>
          <w:rFonts w:hint="default"/>
        </w:rPr>
        <w:t>12</w:t>
      </w:r>
      <w:r>
        <w:rPr>
          <w:rFonts w:hint="eastAsia"/>
        </w:rPr>
        <w:t>）计算</w:t>
      </w:r>
    </w:p>
    <w:p w14:paraId="38AC3D68">
      <w:pPr>
        <w:pStyle w:val="52"/>
        <w:keepNext w:val="0"/>
        <w:keepLines w:val="0"/>
        <w:widowControl/>
        <w:suppressLineNumbers w:val="0"/>
        <w:spacing w:before="0" w:beforeAutospacing="0" w:after="0" w:afterAutospacing="0" w:line="240" w:lineRule="auto"/>
        <w:ind w:firstLine="480" w:firstLineChars="200"/>
        <w:contextualSpacing/>
        <w:jc w:val="center"/>
        <w:rPr>
          <w:rFonts w:hint="eastAsia"/>
          <w:vertAlign w:val="subscript"/>
        </w:rPr>
      </w:pPr>
      <w:r>
        <w:drawing>
          <wp:inline distT="0" distB="0" distL="114300" distR="114300">
            <wp:extent cx="1857375" cy="371475"/>
            <wp:effectExtent l="0" t="0" r="9525" b="9525"/>
            <wp:docPr id="127" name="图片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 name="图片 109"/>
                    <pic:cNvPicPr>
                      <a:picLocks noChangeAspect="1"/>
                    </pic:cNvPicPr>
                  </pic:nvPicPr>
                  <pic:blipFill>
                    <a:blip r:embed="rId120"/>
                    <a:stretch>
                      <a:fillRect/>
                    </a:stretch>
                  </pic:blipFill>
                  <pic:spPr>
                    <a:xfrm>
                      <a:off x="0" y="0"/>
                      <a:ext cx="1857375" cy="371475"/>
                    </a:xfrm>
                    <a:prstGeom prst="rect">
                      <a:avLst/>
                    </a:prstGeom>
                    <a:noFill/>
                    <a:ln>
                      <a:noFill/>
                    </a:ln>
                  </pic:spPr>
                </pic:pic>
              </a:graphicData>
            </a:graphic>
          </wp:inline>
        </w:drawing>
      </w:r>
    </w:p>
    <w:p w14:paraId="38CE022A">
      <w:pPr>
        <w:pStyle w:val="52"/>
        <w:keepNext w:val="0"/>
        <w:keepLines w:val="0"/>
        <w:widowControl/>
        <w:suppressLineNumbers w:val="0"/>
        <w:spacing w:before="0" w:beforeAutospacing="0" w:after="0" w:afterAutospacing="0" w:line="240" w:lineRule="auto"/>
        <w:ind w:firstLine="480" w:firstLineChars="200"/>
        <w:contextualSpacing/>
        <w:jc w:val="both"/>
        <w:rPr>
          <w:rFonts w:hint="eastAsia"/>
        </w:rPr>
      </w:pPr>
      <w:r>
        <w:rPr>
          <w:rFonts w:hint="eastAsia"/>
        </w:rPr>
        <w:t>式中：</w:t>
      </w:r>
    </w:p>
    <w:p w14:paraId="4FF0ACFF">
      <w:pPr>
        <w:pStyle w:val="52"/>
        <w:keepNext w:val="0"/>
        <w:keepLines w:val="0"/>
        <w:widowControl/>
        <w:suppressLineNumbers w:val="0"/>
        <w:spacing w:before="0" w:beforeAutospacing="0" w:after="0" w:afterAutospacing="0" w:line="240" w:lineRule="auto"/>
        <w:ind w:firstLine="480" w:firstLineChars="200"/>
        <w:contextualSpacing/>
        <w:jc w:val="both"/>
        <w:rPr>
          <w:rFonts w:hint="eastAsia"/>
        </w:rPr>
      </w:pPr>
      <w:r>
        <w:rPr>
          <w:rFonts w:hint="default"/>
        </w:rPr>
        <w:t>R</w:t>
      </w:r>
      <w:r>
        <w:rPr>
          <w:rFonts w:hint="eastAsia"/>
          <w:vertAlign w:val="subscript"/>
        </w:rPr>
        <w:t>固碳</w:t>
      </w:r>
      <w:r>
        <w:rPr>
          <w:rFonts w:hint="eastAsia"/>
        </w:rPr>
        <w:t>为固碳产品所隐含的</w:t>
      </w:r>
      <w:r>
        <w:rPr>
          <w:rFonts w:hint="default"/>
        </w:rPr>
        <w:t>CO</w:t>
      </w:r>
      <w:r>
        <w:rPr>
          <w:rFonts w:hint="default"/>
          <w:vertAlign w:val="subscript"/>
        </w:rPr>
        <w:t>2</w:t>
      </w:r>
      <w:r>
        <w:rPr>
          <w:rFonts w:hint="default"/>
        </w:rPr>
        <w:t xml:space="preserve"> </w:t>
      </w:r>
      <w:r>
        <w:rPr>
          <w:rFonts w:hint="eastAsia"/>
        </w:rPr>
        <w:t>排放量，单位为吨（</w:t>
      </w:r>
      <w:r>
        <w:rPr>
          <w:rFonts w:hint="default"/>
        </w:rPr>
        <w:t>tCO</w:t>
      </w:r>
      <w:r>
        <w:rPr>
          <w:rFonts w:hint="default"/>
          <w:vertAlign w:val="subscript"/>
        </w:rPr>
        <w:t>2</w:t>
      </w:r>
      <w:r>
        <w:rPr>
          <w:rFonts w:hint="eastAsia"/>
        </w:rPr>
        <w:t>）；</w:t>
      </w:r>
    </w:p>
    <w:p w14:paraId="7937366A">
      <w:pPr>
        <w:pStyle w:val="52"/>
        <w:keepNext w:val="0"/>
        <w:keepLines w:val="0"/>
        <w:widowControl/>
        <w:suppressLineNumbers w:val="0"/>
        <w:spacing w:before="0" w:beforeAutospacing="0" w:after="0" w:afterAutospacing="0" w:line="240" w:lineRule="auto"/>
        <w:ind w:firstLine="480" w:firstLineChars="200"/>
        <w:contextualSpacing/>
        <w:jc w:val="both"/>
        <w:rPr>
          <w:rFonts w:hint="eastAsia"/>
        </w:rPr>
      </w:pPr>
      <w:r>
        <w:rPr>
          <w:rFonts w:hint="default"/>
        </w:rPr>
        <w:t>AD</w:t>
      </w:r>
      <w:r>
        <w:rPr>
          <w:rFonts w:hint="eastAsia"/>
          <w:vertAlign w:val="subscript"/>
        </w:rPr>
        <w:t>固碳</w:t>
      </w:r>
      <w:r>
        <w:rPr>
          <w:rFonts w:hint="eastAsia"/>
        </w:rPr>
        <w:t>为第</w:t>
      </w:r>
      <w:r>
        <w:rPr>
          <w:rFonts w:hint="default"/>
        </w:rPr>
        <w:t>i</w:t>
      </w:r>
      <w:r>
        <w:rPr>
          <w:rFonts w:hint="eastAsia"/>
        </w:rPr>
        <w:t>种固碳产品的产量，单位为吨（</w:t>
      </w:r>
      <w:r>
        <w:rPr>
          <w:rFonts w:hint="default"/>
        </w:rPr>
        <w:t>t</w:t>
      </w:r>
      <w:r>
        <w:rPr>
          <w:rFonts w:hint="eastAsia"/>
        </w:rPr>
        <w:t>）；</w:t>
      </w:r>
    </w:p>
    <w:p w14:paraId="2FFECB30">
      <w:pPr>
        <w:pStyle w:val="52"/>
        <w:keepNext w:val="0"/>
        <w:keepLines w:val="0"/>
        <w:widowControl/>
        <w:suppressLineNumbers w:val="0"/>
        <w:spacing w:before="0" w:beforeAutospacing="0" w:after="0" w:afterAutospacing="0" w:line="240" w:lineRule="auto"/>
        <w:ind w:firstLine="480" w:firstLineChars="200"/>
        <w:contextualSpacing/>
        <w:jc w:val="both"/>
        <w:rPr>
          <w:rFonts w:hint="eastAsia"/>
        </w:rPr>
      </w:pPr>
      <w:r>
        <w:rPr>
          <w:rFonts w:hint="default"/>
        </w:rPr>
        <w:t>EF</w:t>
      </w:r>
      <w:r>
        <w:rPr>
          <w:rFonts w:hint="eastAsia"/>
          <w:vertAlign w:val="subscript"/>
        </w:rPr>
        <w:t>固碳</w:t>
      </w:r>
      <w:r>
        <w:rPr>
          <w:rFonts w:hint="eastAsia"/>
        </w:rPr>
        <w:t>为第</w:t>
      </w:r>
      <w:r>
        <w:rPr>
          <w:rFonts w:hint="default"/>
        </w:rPr>
        <w:t>i</w:t>
      </w:r>
      <w:r>
        <w:rPr>
          <w:rFonts w:hint="eastAsia"/>
        </w:rPr>
        <w:t>种固碳产品的</w:t>
      </w:r>
      <w:r>
        <w:rPr>
          <w:rFonts w:hint="default"/>
        </w:rPr>
        <w:t xml:space="preserve">CO2 </w:t>
      </w:r>
      <w:r>
        <w:rPr>
          <w:rFonts w:hint="eastAsia"/>
        </w:rPr>
        <w:t>排放因子，单位为</w:t>
      </w:r>
      <w:r>
        <w:rPr>
          <w:rFonts w:hint="default"/>
        </w:rPr>
        <w:t>tCO</w:t>
      </w:r>
      <w:r>
        <w:rPr>
          <w:rFonts w:hint="default"/>
          <w:vertAlign w:val="subscript"/>
        </w:rPr>
        <w:t>2</w:t>
      </w:r>
      <w:r>
        <w:rPr>
          <w:rFonts w:hint="default"/>
        </w:rPr>
        <w:t>/t</w:t>
      </w:r>
      <w:r>
        <w:rPr>
          <w:rFonts w:hint="eastAsia"/>
        </w:rPr>
        <w:t>；</w:t>
      </w:r>
    </w:p>
    <w:p w14:paraId="09E347EC">
      <w:pPr>
        <w:pStyle w:val="52"/>
        <w:keepNext w:val="0"/>
        <w:keepLines w:val="0"/>
        <w:widowControl/>
        <w:suppressLineNumbers w:val="0"/>
        <w:spacing w:before="0" w:beforeAutospacing="0" w:after="0" w:afterAutospacing="0" w:line="240" w:lineRule="auto"/>
        <w:ind w:firstLine="480" w:firstLineChars="200"/>
        <w:contextualSpacing/>
        <w:jc w:val="both"/>
        <w:rPr>
          <w:rFonts w:hint="eastAsia"/>
        </w:rPr>
      </w:pPr>
      <w:r>
        <w:rPr>
          <w:rFonts w:hint="default"/>
        </w:rPr>
        <w:t>i</w:t>
      </w:r>
      <w:r>
        <w:rPr>
          <w:rFonts w:hint="eastAsia"/>
        </w:rPr>
        <w:t>为固碳产品的种类（如粗钢、甲醇等）。</w:t>
      </w:r>
    </w:p>
    <w:p w14:paraId="025F7CEE">
      <w:pPr>
        <w:pStyle w:val="52"/>
        <w:keepNext w:val="0"/>
        <w:keepLines w:val="0"/>
        <w:widowControl/>
        <w:suppressLineNumbers w:val="0"/>
        <w:spacing w:before="0" w:beforeAutospacing="0" w:after="0" w:afterAutospacing="0" w:line="240" w:lineRule="auto"/>
        <w:ind w:firstLine="480" w:firstLineChars="200"/>
        <w:contextualSpacing/>
        <w:jc w:val="both"/>
        <w:rPr>
          <w:rFonts w:hint="default"/>
        </w:rPr>
      </w:pPr>
      <w:r>
        <w:rPr>
          <w:rFonts w:hint="default"/>
        </w:rPr>
        <w:t xml:space="preserve">2. </w:t>
      </w:r>
      <w:r>
        <w:rPr>
          <w:rFonts w:hint="eastAsia"/>
        </w:rPr>
        <w:t>活动水平数据获取</w:t>
      </w:r>
    </w:p>
    <w:p w14:paraId="4635258E">
      <w:pPr>
        <w:pStyle w:val="52"/>
        <w:keepNext w:val="0"/>
        <w:keepLines w:val="0"/>
        <w:widowControl/>
        <w:suppressLineNumbers w:val="0"/>
        <w:spacing w:before="0" w:beforeAutospacing="0" w:after="0" w:afterAutospacing="0" w:line="240" w:lineRule="auto"/>
        <w:ind w:firstLine="480" w:firstLineChars="200"/>
        <w:contextualSpacing/>
        <w:jc w:val="both"/>
        <w:rPr>
          <w:rFonts w:hint="default"/>
        </w:rPr>
      </w:pPr>
      <w:r>
        <w:rPr>
          <w:rFonts w:hint="eastAsia"/>
        </w:rPr>
        <w:t>根据核算和报告期内固碳产品外销量、库存变化量来确定各自的产量。外销量采用销售单等结算凭证上的数据，库存变化量采用计量工具读数或其他符合要求的方法来确定，采用公式（</w:t>
      </w:r>
      <w:r>
        <w:rPr>
          <w:rFonts w:hint="default"/>
        </w:rPr>
        <w:t>13</w:t>
      </w:r>
      <w:r>
        <w:rPr>
          <w:rFonts w:hint="eastAsia"/>
        </w:rPr>
        <w:t>）计算获得。</w:t>
      </w:r>
    </w:p>
    <w:p w14:paraId="4DDBE12A">
      <w:pPr>
        <w:pStyle w:val="52"/>
        <w:keepNext w:val="0"/>
        <w:keepLines w:val="0"/>
        <w:widowControl/>
        <w:suppressLineNumbers w:val="0"/>
        <w:spacing w:before="0" w:beforeAutospacing="0" w:after="0" w:afterAutospacing="0" w:line="240" w:lineRule="auto"/>
        <w:ind w:firstLine="480" w:firstLineChars="200"/>
        <w:contextualSpacing/>
        <w:jc w:val="both"/>
        <w:rPr>
          <w:rFonts w:hint="default"/>
        </w:rPr>
      </w:pPr>
      <w:r>
        <w:rPr>
          <w:rFonts w:hint="eastAsia"/>
        </w:rPr>
        <w:t xml:space="preserve">产量 </w:t>
      </w:r>
      <w:r>
        <w:rPr>
          <w:rFonts w:hint="default"/>
        </w:rPr>
        <w:t xml:space="preserve">= </w:t>
      </w:r>
      <w:r>
        <w:rPr>
          <w:rFonts w:hint="eastAsia"/>
        </w:rPr>
        <w:t xml:space="preserve">销售量 </w:t>
      </w:r>
      <w:r>
        <w:rPr>
          <w:rFonts w:hint="default"/>
        </w:rPr>
        <w:t>+ (</w:t>
      </w:r>
      <w:r>
        <w:rPr>
          <w:rFonts w:hint="eastAsia"/>
        </w:rPr>
        <w:t>期末库存量</w:t>
      </w:r>
      <w:r>
        <w:rPr>
          <w:rFonts w:hint="default"/>
        </w:rPr>
        <w:t>−</w:t>
      </w:r>
      <w:r>
        <w:rPr>
          <w:rFonts w:hint="eastAsia"/>
        </w:rPr>
        <w:t>期初库存量</w:t>
      </w:r>
      <w:r>
        <w:rPr>
          <w:rFonts w:hint="default"/>
        </w:rPr>
        <w:t>)</w:t>
      </w:r>
      <w:r>
        <w:rPr>
          <w:rFonts w:hint="eastAsia"/>
        </w:rPr>
        <w:t>（</w:t>
      </w:r>
      <w:r>
        <w:rPr>
          <w:rFonts w:hint="default"/>
        </w:rPr>
        <w:t>13</w:t>
      </w:r>
      <w:r>
        <w:rPr>
          <w:rFonts w:hint="eastAsia"/>
        </w:rPr>
        <w:t>）</w:t>
      </w:r>
    </w:p>
    <w:p w14:paraId="0F1771D6">
      <w:pPr>
        <w:pStyle w:val="52"/>
        <w:keepNext w:val="0"/>
        <w:keepLines w:val="0"/>
        <w:widowControl/>
        <w:suppressLineNumbers w:val="0"/>
        <w:spacing w:before="0" w:beforeAutospacing="0" w:after="0" w:afterAutospacing="0" w:line="240" w:lineRule="auto"/>
        <w:ind w:firstLine="480" w:firstLineChars="200"/>
        <w:contextualSpacing/>
        <w:jc w:val="both"/>
        <w:rPr>
          <w:rFonts w:hint="default"/>
        </w:rPr>
      </w:pPr>
      <w:r>
        <w:rPr>
          <w:rFonts w:hint="default"/>
        </w:rPr>
        <w:t xml:space="preserve">3. </w:t>
      </w:r>
      <w:r>
        <w:rPr>
          <w:rFonts w:hint="eastAsia"/>
        </w:rPr>
        <w:t>排放因子数据获取</w:t>
      </w:r>
    </w:p>
    <w:p w14:paraId="3A821558">
      <w:pPr>
        <w:pStyle w:val="52"/>
        <w:keepNext w:val="0"/>
        <w:keepLines w:val="0"/>
        <w:widowControl/>
        <w:suppressLineNumbers w:val="0"/>
        <w:spacing w:before="0" w:beforeAutospacing="0" w:after="0" w:afterAutospacing="0" w:line="240" w:lineRule="auto"/>
        <w:ind w:firstLine="480" w:firstLineChars="200"/>
        <w:contextualSpacing/>
        <w:jc w:val="both"/>
        <w:rPr>
          <w:rFonts w:hint="default"/>
        </w:rPr>
      </w:pPr>
      <w:r>
        <w:rPr>
          <w:rFonts w:hint="eastAsia"/>
        </w:rPr>
        <w:t>企业可采用《国际钢铁协会二氧化碳排放数据收集指南（第六版）》中的缺省值作为生铁的</w:t>
      </w:r>
      <w:r>
        <w:rPr>
          <w:rFonts w:hint="default"/>
        </w:rPr>
        <w:t>CO</w:t>
      </w:r>
      <w:r>
        <w:rPr>
          <w:rFonts w:hint="default"/>
          <w:vertAlign w:val="subscript"/>
        </w:rPr>
        <w:t>2</w:t>
      </w:r>
      <w:r>
        <w:rPr>
          <w:rFonts w:hint="eastAsia"/>
        </w:rPr>
        <w:t>排放因子，如表</w:t>
      </w:r>
      <w:r>
        <w:rPr>
          <w:rFonts w:hint="default"/>
        </w:rPr>
        <w:t xml:space="preserve">2.2 </w:t>
      </w:r>
      <w:r>
        <w:rPr>
          <w:rFonts w:hint="eastAsia"/>
        </w:rPr>
        <w:t>所示。粗钢的</w:t>
      </w:r>
      <w:r>
        <w:rPr>
          <w:rFonts w:hint="default"/>
        </w:rPr>
        <w:t>CO</w:t>
      </w:r>
      <w:r>
        <w:rPr>
          <w:rFonts w:hint="default"/>
          <w:vertAlign w:val="subscript"/>
        </w:rPr>
        <w:t>2</w:t>
      </w:r>
      <w:r>
        <w:rPr>
          <w:rFonts w:hint="eastAsia"/>
        </w:rPr>
        <w:t>排放因子可采用表</w:t>
      </w:r>
      <w:r>
        <w:rPr>
          <w:rFonts w:hint="default"/>
        </w:rPr>
        <w:t xml:space="preserve">2.3 </w:t>
      </w:r>
      <w:r>
        <w:rPr>
          <w:rFonts w:hint="eastAsia"/>
        </w:rPr>
        <w:t>中的缺省值。</w:t>
      </w:r>
    </w:p>
    <w:p w14:paraId="2A5D52B8">
      <w:pPr>
        <w:pStyle w:val="52"/>
        <w:keepNext w:val="0"/>
        <w:keepLines w:val="0"/>
        <w:widowControl/>
        <w:suppressLineNumbers w:val="0"/>
        <w:spacing w:before="0" w:beforeAutospacing="0" w:after="0" w:afterAutospacing="0" w:line="240" w:lineRule="auto"/>
        <w:ind w:firstLine="480" w:firstLineChars="200"/>
        <w:contextualSpacing/>
        <w:jc w:val="both"/>
        <w:rPr>
          <w:rFonts w:hint="default"/>
        </w:rPr>
      </w:pPr>
      <w:r>
        <w:rPr>
          <w:rFonts w:hint="default"/>
        </w:rPr>
        <w:t xml:space="preserve">4. </w:t>
      </w:r>
      <w:r>
        <w:rPr>
          <w:rFonts w:hint="eastAsia"/>
        </w:rPr>
        <w:t>计算结果</w:t>
      </w:r>
    </w:p>
    <w:p w14:paraId="15C870C6">
      <w:pPr>
        <w:pStyle w:val="52"/>
        <w:keepNext w:val="0"/>
        <w:keepLines w:val="0"/>
        <w:widowControl/>
        <w:suppressLineNumbers w:val="0"/>
        <w:spacing w:before="0" w:beforeAutospacing="0" w:after="0" w:afterAutospacing="0" w:line="240" w:lineRule="auto"/>
        <w:ind w:firstLine="480" w:firstLineChars="200"/>
        <w:contextualSpacing/>
        <w:jc w:val="both"/>
        <w:rPr>
          <w:rFonts w:hint="eastAsia"/>
        </w:rPr>
      </w:pPr>
      <w:r>
        <w:rPr>
          <w:rFonts w:hint="eastAsia"/>
        </w:rPr>
        <w:t>本次技改前后不涉及固碳产品隐含的排放，因此，</w:t>
      </w:r>
      <w:r>
        <w:rPr>
          <w:rFonts w:hint="default"/>
        </w:rPr>
        <w:t>R</w:t>
      </w:r>
      <w:r>
        <w:rPr>
          <w:rFonts w:hint="eastAsia"/>
          <w:vertAlign w:val="subscript"/>
        </w:rPr>
        <w:t>固碳</w:t>
      </w:r>
      <w:r>
        <w:rPr>
          <w:rFonts w:hint="eastAsia"/>
        </w:rPr>
        <w:t>为</w:t>
      </w:r>
      <w:r>
        <w:rPr>
          <w:rFonts w:hint="default"/>
        </w:rPr>
        <w:t>0</w:t>
      </w:r>
      <w:r>
        <w:rPr>
          <w:rFonts w:hint="eastAsia"/>
        </w:rPr>
        <w:t>。综上，则本次技改前后碳排放总量计算如下：</w:t>
      </w:r>
    </w:p>
    <w:p w14:paraId="7E96A32F">
      <w:pPr>
        <w:jc w:val="center"/>
      </w:pPr>
      <w:r>
        <w:t>表6.</w:t>
      </w:r>
      <w:r>
        <w:rPr>
          <w:rFonts w:hint="eastAsia"/>
          <w:lang w:val="en-US" w:eastAsia="zh-CN"/>
        </w:rPr>
        <w:t>5</w:t>
      </w:r>
      <w:r>
        <w:t>-4 本次技改前后碳排放总量</w:t>
      </w:r>
    </w:p>
    <w:tbl>
      <w:tblPr>
        <w:tblStyle w:val="56"/>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891"/>
        <w:gridCol w:w="965"/>
        <w:gridCol w:w="2679"/>
        <w:gridCol w:w="2679"/>
        <w:gridCol w:w="1507"/>
      </w:tblGrid>
      <w:tr w14:paraId="2B433C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0" w:type="auto"/>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368052E8">
            <w:pPr>
              <w:jc w:val="center"/>
              <w:rPr>
                <w:b/>
              </w:rPr>
            </w:pPr>
            <w:r>
              <w:rPr>
                <w:b/>
              </w:rPr>
              <w:t>序号</w:t>
            </w:r>
          </w:p>
        </w:tc>
        <w:tc>
          <w:tcPr>
            <w:tcW w:w="0" w:type="auto"/>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726F76FD">
            <w:pPr>
              <w:jc w:val="center"/>
              <w:rPr>
                <w:b/>
              </w:rPr>
            </w:pPr>
            <w:r>
              <w:rPr>
                <w:b/>
              </w:rPr>
              <w:t>项目</w:t>
            </w:r>
          </w:p>
        </w:tc>
        <w:tc>
          <w:tcPr>
            <w:tcW w:w="0" w:type="auto"/>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6FAE2DD4">
            <w:pPr>
              <w:jc w:val="center"/>
              <w:rPr>
                <w:b/>
              </w:rPr>
            </w:pPr>
            <w:r>
              <w:rPr>
                <w:b/>
              </w:rPr>
              <w:t>技改前（tCO₂/a）</w:t>
            </w:r>
          </w:p>
        </w:tc>
        <w:tc>
          <w:tcPr>
            <w:tcW w:w="0" w:type="auto"/>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28298EF8">
            <w:pPr>
              <w:jc w:val="center"/>
              <w:rPr>
                <w:b/>
              </w:rPr>
            </w:pPr>
            <w:r>
              <w:rPr>
                <w:b/>
              </w:rPr>
              <w:t>技改后（tCO₂/a）</w:t>
            </w:r>
          </w:p>
        </w:tc>
        <w:tc>
          <w:tcPr>
            <w:tcW w:w="0" w:type="auto"/>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22113537">
            <w:pPr>
              <w:jc w:val="center"/>
              <w:rPr>
                <w:b/>
              </w:rPr>
            </w:pPr>
            <w:r>
              <w:rPr>
                <w:b/>
              </w:rPr>
              <w:t>变化情况</w:t>
            </w:r>
          </w:p>
        </w:tc>
      </w:tr>
      <w:tr w14:paraId="4C08CA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0" w:type="auto"/>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344E8B56">
            <w:r>
              <w:t>1</w:t>
            </w:r>
          </w:p>
        </w:tc>
        <w:tc>
          <w:tcPr>
            <w:tcW w:w="0" w:type="auto"/>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130CE962">
            <w:r>
              <w:t>E</w:t>
            </w:r>
            <w:r>
              <w:rPr>
                <w:vertAlign w:val="subscript"/>
              </w:rPr>
              <w:t>燃烧</w:t>
            </w:r>
          </w:p>
        </w:tc>
        <w:tc>
          <w:tcPr>
            <w:tcW w:w="0" w:type="auto"/>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1B201052">
            <w:r>
              <w:rPr>
                <w:rFonts w:hint="eastAsia" w:ascii="宋体" w:hAnsi="宋体" w:eastAsia="宋体" w:cs="宋体"/>
                <w:lang w:val="en-US" w:eastAsia="zh-CN"/>
              </w:rPr>
              <w:t>321129</w:t>
            </w:r>
          </w:p>
        </w:tc>
        <w:tc>
          <w:tcPr>
            <w:tcW w:w="0" w:type="auto"/>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054B83D9">
            <w:pPr>
              <w:rPr>
                <w:rFonts w:hint="default" w:eastAsia="宋体"/>
                <w:lang w:val="en-US" w:eastAsia="zh-CN"/>
              </w:rPr>
            </w:pPr>
            <w:r>
              <w:rPr>
                <w:rFonts w:hint="eastAsia"/>
                <w:lang w:val="en-US" w:eastAsia="zh-CN"/>
              </w:rPr>
              <w:t>320891</w:t>
            </w:r>
          </w:p>
        </w:tc>
        <w:tc>
          <w:tcPr>
            <w:tcW w:w="0" w:type="auto"/>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6AC47060">
            <w:r>
              <w:t>-</w:t>
            </w:r>
            <w:r>
              <w:rPr>
                <w:rFonts w:hint="eastAsia"/>
                <w:lang w:val="en-US" w:eastAsia="zh-CN"/>
              </w:rPr>
              <w:t>23</w:t>
            </w:r>
            <w:r>
              <w:t>8</w:t>
            </w:r>
          </w:p>
        </w:tc>
      </w:tr>
      <w:tr w14:paraId="4289D2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0" w:type="auto"/>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2A79C94B">
            <w:r>
              <w:t>2</w:t>
            </w:r>
          </w:p>
        </w:tc>
        <w:tc>
          <w:tcPr>
            <w:tcW w:w="0" w:type="auto"/>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3DF58695">
            <w:r>
              <w:t>E</w:t>
            </w:r>
            <w:r>
              <w:rPr>
                <w:vertAlign w:val="subscript"/>
              </w:rPr>
              <w:t>过程</w:t>
            </w:r>
          </w:p>
        </w:tc>
        <w:tc>
          <w:tcPr>
            <w:tcW w:w="0" w:type="auto"/>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29D66629">
            <w:pPr>
              <w:rPr>
                <w:rFonts w:hint="default" w:ascii="宋体" w:hAnsi="宋体" w:eastAsia="宋体" w:cs="宋体"/>
                <w:sz w:val="24"/>
                <w:szCs w:val="24"/>
                <w:lang w:val="en-US" w:eastAsia="zh-CN" w:bidi="ar-SA"/>
              </w:rPr>
            </w:pPr>
            <w:r>
              <w:rPr>
                <w:rFonts w:hint="eastAsia"/>
                <w:lang w:val="en-US" w:eastAsia="zh-CN"/>
              </w:rPr>
              <w:t>33312</w:t>
            </w:r>
          </w:p>
        </w:tc>
        <w:tc>
          <w:tcPr>
            <w:tcW w:w="0" w:type="auto"/>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7D7ACDB3">
            <w:pPr>
              <w:rPr>
                <w:rFonts w:hint="default" w:ascii="宋体" w:hAnsi="宋体" w:eastAsia="宋体" w:cs="宋体"/>
                <w:sz w:val="24"/>
                <w:szCs w:val="24"/>
                <w:lang w:val="en-US" w:eastAsia="zh-CN" w:bidi="ar-SA"/>
              </w:rPr>
            </w:pPr>
            <w:r>
              <w:rPr>
                <w:rFonts w:hint="eastAsia"/>
                <w:lang w:val="en-US" w:eastAsia="zh-CN"/>
              </w:rPr>
              <w:t>33312</w:t>
            </w:r>
          </w:p>
        </w:tc>
        <w:tc>
          <w:tcPr>
            <w:tcW w:w="0" w:type="auto"/>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111CA6F5">
            <w:r>
              <w:t>0</w:t>
            </w:r>
          </w:p>
        </w:tc>
      </w:tr>
      <w:tr w14:paraId="6E431E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0" w:type="auto"/>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374C10B3">
            <w:r>
              <w:t>3</w:t>
            </w:r>
          </w:p>
        </w:tc>
        <w:tc>
          <w:tcPr>
            <w:tcW w:w="0" w:type="auto"/>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43AEA7DB">
            <w:r>
              <w:t>E</w:t>
            </w:r>
            <w:r>
              <w:rPr>
                <w:vertAlign w:val="subscript"/>
              </w:rPr>
              <w:t>电和热</w:t>
            </w:r>
          </w:p>
        </w:tc>
        <w:tc>
          <w:tcPr>
            <w:tcW w:w="0" w:type="auto"/>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2A22284C">
            <w:pPr>
              <w:rPr>
                <w:rFonts w:ascii="宋体" w:hAnsi="宋体" w:cs="宋体"/>
                <w:sz w:val="24"/>
                <w:szCs w:val="24"/>
                <w:lang w:val="en-US" w:eastAsia="zh-CN" w:bidi="ar-SA"/>
              </w:rPr>
            </w:pPr>
            <w:r>
              <w:rPr>
                <w:rFonts w:hint="eastAsia"/>
                <w:lang w:val="en-US" w:eastAsia="zh-CN"/>
              </w:rPr>
              <w:t>14.97</w:t>
            </w:r>
          </w:p>
        </w:tc>
        <w:tc>
          <w:tcPr>
            <w:tcW w:w="0" w:type="auto"/>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5B55D9F8">
            <w:pPr>
              <w:rPr>
                <w:rFonts w:hint="default" w:ascii="宋体" w:hAnsi="宋体" w:cs="宋体"/>
                <w:sz w:val="24"/>
                <w:szCs w:val="24"/>
                <w:lang w:val="en-US" w:eastAsia="zh-CN" w:bidi="ar-SA"/>
              </w:rPr>
            </w:pPr>
            <w:r>
              <w:rPr>
                <w:rFonts w:hint="eastAsia"/>
                <w:lang w:val="en-US" w:eastAsia="zh-CN"/>
              </w:rPr>
              <w:t>13.79</w:t>
            </w:r>
          </w:p>
        </w:tc>
        <w:tc>
          <w:tcPr>
            <w:tcW w:w="0" w:type="auto"/>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2698BC1F">
            <w:pPr>
              <w:rPr>
                <w:rFonts w:hint="default" w:eastAsia="宋体"/>
                <w:lang w:val="en-US" w:eastAsia="zh-CN"/>
              </w:rPr>
            </w:pPr>
            <w:r>
              <w:t>-</w:t>
            </w:r>
            <w:r>
              <w:rPr>
                <w:rFonts w:hint="eastAsia"/>
                <w:lang w:val="en-US" w:eastAsia="zh-CN"/>
              </w:rPr>
              <w:t>1.18</w:t>
            </w:r>
          </w:p>
        </w:tc>
      </w:tr>
      <w:tr w14:paraId="774B65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0" w:type="auto"/>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3B6631EC">
            <w:r>
              <w:t>4</w:t>
            </w:r>
          </w:p>
        </w:tc>
        <w:tc>
          <w:tcPr>
            <w:tcW w:w="0" w:type="auto"/>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77EA1650">
            <w:r>
              <w:t>R</w:t>
            </w:r>
            <w:r>
              <w:rPr>
                <w:vertAlign w:val="subscript"/>
              </w:rPr>
              <w:t>固碳</w:t>
            </w:r>
          </w:p>
        </w:tc>
        <w:tc>
          <w:tcPr>
            <w:tcW w:w="0" w:type="auto"/>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48C5EF5B">
            <w:r>
              <w:t>0</w:t>
            </w:r>
          </w:p>
        </w:tc>
        <w:tc>
          <w:tcPr>
            <w:tcW w:w="0" w:type="auto"/>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661B8787">
            <w:r>
              <w:t>0</w:t>
            </w:r>
          </w:p>
        </w:tc>
        <w:tc>
          <w:tcPr>
            <w:tcW w:w="0" w:type="auto"/>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49491A05">
            <w:r>
              <w:t>0</w:t>
            </w:r>
          </w:p>
        </w:tc>
      </w:tr>
      <w:tr w14:paraId="782B3A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0" w:type="auto"/>
            <w:gridSpan w:val="2"/>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0FB32BB2">
            <w:r>
              <w:t>合计</w:t>
            </w:r>
          </w:p>
        </w:tc>
        <w:tc>
          <w:tcPr>
            <w:tcW w:w="2679"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60A042C3">
            <w:pPr>
              <w:rPr>
                <w:rFonts w:hint="eastAsia" w:ascii="宋体" w:hAnsi="宋体" w:eastAsia="宋体" w:cs="宋体"/>
                <w:lang w:val="en-US" w:eastAsia="zh-CN"/>
              </w:rPr>
            </w:pPr>
            <w:r>
              <w:rPr>
                <w:rFonts w:hint="eastAsia" w:ascii="宋体" w:hAnsi="宋体" w:eastAsia="宋体" w:cs="宋体"/>
                <w:lang w:val="en-US" w:eastAsia="zh-CN"/>
              </w:rPr>
              <w:t>354455.97</w:t>
            </w:r>
          </w:p>
        </w:tc>
        <w:tc>
          <w:tcPr>
            <w:tcW w:w="2679"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12DD4AE0">
            <w:pPr>
              <w:rPr>
                <w:rFonts w:hint="eastAsia" w:ascii="宋体" w:hAnsi="宋体" w:eastAsia="宋体" w:cs="宋体"/>
                <w:lang w:val="en-US" w:eastAsia="zh-CN"/>
              </w:rPr>
            </w:pPr>
            <w:r>
              <w:rPr>
                <w:rFonts w:hint="eastAsia" w:ascii="宋体" w:hAnsi="宋体" w:eastAsia="宋体" w:cs="宋体"/>
                <w:lang w:val="en-US" w:eastAsia="zh-CN"/>
              </w:rPr>
              <w:t>354216.79</w:t>
            </w:r>
          </w:p>
        </w:tc>
        <w:tc>
          <w:tcPr>
            <w:tcW w:w="0" w:type="auto"/>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5AE268E9">
            <w:pPr>
              <w:rPr>
                <w:rFonts w:hint="default" w:eastAsia="宋体"/>
                <w:lang w:val="en-US" w:eastAsia="zh-CN"/>
              </w:rPr>
            </w:pPr>
            <w:r>
              <w:t>-</w:t>
            </w:r>
            <w:r>
              <w:rPr>
                <w:rFonts w:hint="eastAsia"/>
                <w:lang w:val="en-US" w:eastAsia="zh-CN"/>
              </w:rPr>
              <w:t>239.18</w:t>
            </w:r>
          </w:p>
        </w:tc>
      </w:tr>
    </w:tbl>
    <w:p w14:paraId="6A293AC3"/>
    <w:p w14:paraId="1AB18648">
      <w:pPr>
        <w:jc w:val="left"/>
      </w:pPr>
      <w:r>
        <w:t>2、碳排放水平评价</w:t>
      </w:r>
    </w:p>
    <w:p w14:paraId="589F1C3B">
      <w:pPr>
        <w:jc w:val="left"/>
      </w:pPr>
      <w:r>
        <w:t>技改前后碳排放量对比结果如下表所示：</w:t>
      </w:r>
    </w:p>
    <w:p w14:paraId="42BEDD37">
      <w:pPr>
        <w:jc w:val="center"/>
      </w:pPr>
      <w:r>
        <w:t>表6.</w:t>
      </w:r>
      <w:r>
        <w:rPr>
          <w:rFonts w:hint="eastAsia"/>
          <w:lang w:val="en-US" w:eastAsia="zh-CN"/>
        </w:rPr>
        <w:t>5</w:t>
      </w:r>
      <w:r>
        <w:t>-5 碳排放量对比结果</w:t>
      </w:r>
    </w:p>
    <w:tbl>
      <w:tblPr>
        <w:tblStyle w:val="56"/>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2591"/>
        <w:gridCol w:w="1968"/>
        <w:gridCol w:w="1416"/>
        <w:gridCol w:w="1536"/>
        <w:gridCol w:w="1210"/>
      </w:tblGrid>
      <w:tr w14:paraId="6E6D50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0" w:type="auto"/>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593F2273">
            <w:pPr>
              <w:jc w:val="center"/>
              <w:rPr>
                <w:b/>
              </w:rPr>
            </w:pPr>
            <w:r>
              <w:rPr>
                <w:b/>
              </w:rPr>
              <w:t>项目</w:t>
            </w:r>
          </w:p>
        </w:tc>
        <w:tc>
          <w:tcPr>
            <w:tcW w:w="0" w:type="auto"/>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00DDBF81">
            <w:pPr>
              <w:jc w:val="center"/>
              <w:rPr>
                <w:b/>
              </w:rPr>
            </w:pPr>
            <w:r>
              <w:rPr>
                <w:b/>
              </w:rPr>
              <w:t>单位</w:t>
            </w:r>
          </w:p>
        </w:tc>
        <w:tc>
          <w:tcPr>
            <w:tcW w:w="0" w:type="auto"/>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70A983B5">
            <w:pPr>
              <w:jc w:val="center"/>
              <w:rPr>
                <w:b/>
              </w:rPr>
            </w:pPr>
            <w:r>
              <w:rPr>
                <w:b/>
              </w:rPr>
              <w:t>技改前</w:t>
            </w:r>
          </w:p>
        </w:tc>
        <w:tc>
          <w:tcPr>
            <w:tcW w:w="0" w:type="auto"/>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2493FDA9">
            <w:pPr>
              <w:jc w:val="center"/>
              <w:rPr>
                <w:b/>
              </w:rPr>
            </w:pPr>
            <w:r>
              <w:rPr>
                <w:b/>
              </w:rPr>
              <w:t>技改后</w:t>
            </w:r>
          </w:p>
        </w:tc>
        <w:tc>
          <w:tcPr>
            <w:tcW w:w="0" w:type="auto"/>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35B40960">
            <w:pPr>
              <w:jc w:val="center"/>
              <w:rPr>
                <w:b/>
              </w:rPr>
            </w:pPr>
            <w:r>
              <w:rPr>
                <w:b/>
              </w:rPr>
              <w:t>指标变化率</w:t>
            </w:r>
          </w:p>
        </w:tc>
      </w:tr>
      <w:tr w14:paraId="5BF882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0" w:type="auto"/>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0B403CC0">
            <w:r>
              <w:t>二氧化碳排放量</w:t>
            </w:r>
          </w:p>
        </w:tc>
        <w:tc>
          <w:tcPr>
            <w:tcW w:w="0" w:type="auto"/>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64918A35">
            <w:r>
              <w:t>tCO₂</w:t>
            </w:r>
          </w:p>
        </w:tc>
        <w:tc>
          <w:tcPr>
            <w:tcW w:w="1416"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455983B1">
            <w:r>
              <w:rPr>
                <w:rFonts w:hint="eastAsia" w:ascii="宋体" w:hAnsi="宋体" w:eastAsia="宋体" w:cs="宋体"/>
                <w:lang w:val="en-US" w:eastAsia="zh-CN"/>
              </w:rPr>
              <w:t>354455.97</w:t>
            </w:r>
          </w:p>
        </w:tc>
        <w:tc>
          <w:tcPr>
            <w:tcW w:w="1536"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7E58797B">
            <w:r>
              <w:rPr>
                <w:rFonts w:hint="eastAsia" w:ascii="宋体" w:hAnsi="宋体" w:eastAsia="宋体" w:cs="宋体"/>
                <w:lang w:val="en-US" w:eastAsia="zh-CN"/>
              </w:rPr>
              <w:t>354216.79</w:t>
            </w:r>
          </w:p>
        </w:tc>
        <w:tc>
          <w:tcPr>
            <w:tcW w:w="0" w:type="auto"/>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7AFB335D">
            <w:r>
              <w:t>-1%</w:t>
            </w:r>
          </w:p>
        </w:tc>
      </w:tr>
      <w:tr w14:paraId="06BBFC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0" w:type="auto"/>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24EB08C0">
            <w:r>
              <w:t>单位产品碳排放量（Q产品）</w:t>
            </w:r>
          </w:p>
        </w:tc>
        <w:tc>
          <w:tcPr>
            <w:tcW w:w="0" w:type="auto"/>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5D72ABCE">
            <w:r>
              <w:t>tCO₂/(t/MWh/GJ)</w:t>
            </w:r>
          </w:p>
        </w:tc>
        <w:tc>
          <w:tcPr>
            <w:tcW w:w="0" w:type="auto"/>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099243ED">
            <w:pPr>
              <w:rPr>
                <w:rFonts w:hint="default" w:eastAsia="宋体"/>
                <w:lang w:val="en-US" w:eastAsia="zh-CN"/>
              </w:rPr>
            </w:pPr>
            <w:r>
              <w:t>0.</w:t>
            </w:r>
            <w:r>
              <w:rPr>
                <w:rFonts w:hint="eastAsia"/>
                <w:lang w:val="en-US" w:eastAsia="zh-CN"/>
              </w:rPr>
              <w:t>4431</w:t>
            </w:r>
          </w:p>
        </w:tc>
        <w:tc>
          <w:tcPr>
            <w:tcW w:w="0" w:type="auto"/>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195B71F4">
            <w:pPr>
              <w:rPr>
                <w:rFonts w:hint="default" w:eastAsia="宋体"/>
                <w:lang w:val="en-US" w:eastAsia="zh-CN"/>
              </w:rPr>
            </w:pPr>
            <w:r>
              <w:t>0.</w:t>
            </w:r>
            <w:r>
              <w:rPr>
                <w:rFonts w:hint="eastAsia"/>
                <w:lang w:val="en-US" w:eastAsia="zh-CN"/>
              </w:rPr>
              <w:t>4427</w:t>
            </w:r>
          </w:p>
        </w:tc>
        <w:tc>
          <w:tcPr>
            <w:tcW w:w="0" w:type="auto"/>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046B0422">
            <w:r>
              <w:t>-1%</w:t>
            </w:r>
          </w:p>
        </w:tc>
      </w:tr>
      <w:tr w14:paraId="685740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0" w:type="auto"/>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6B64C4E7">
            <w:r>
              <w:t>单位工业增加值碳排放量（Q 工增）</w:t>
            </w:r>
          </w:p>
        </w:tc>
        <w:tc>
          <w:tcPr>
            <w:tcW w:w="0" w:type="auto"/>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2A70E277">
            <w:r>
              <w:t>tCO₂/万元</w:t>
            </w:r>
          </w:p>
        </w:tc>
        <w:tc>
          <w:tcPr>
            <w:tcW w:w="0" w:type="auto"/>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3AE3E1D8">
            <w:r>
              <w:t>44.14</w:t>
            </w:r>
          </w:p>
        </w:tc>
        <w:tc>
          <w:tcPr>
            <w:tcW w:w="0" w:type="auto"/>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3EA3ACA6">
            <w:r>
              <w:t>30.43</w:t>
            </w:r>
          </w:p>
        </w:tc>
        <w:tc>
          <w:tcPr>
            <w:tcW w:w="0" w:type="auto"/>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076E7E2C">
            <w:r>
              <w:t>26.42%</w:t>
            </w:r>
          </w:p>
        </w:tc>
      </w:tr>
      <w:tr w14:paraId="45E690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0" w:type="auto"/>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28F8460D">
            <w:r>
              <w:t>单位工业总产值碳排放量（Q 工总）</w:t>
            </w:r>
          </w:p>
        </w:tc>
        <w:tc>
          <w:tcPr>
            <w:tcW w:w="0" w:type="auto"/>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018416E2">
            <w:r>
              <w:t>tCO₂/万元</w:t>
            </w:r>
          </w:p>
        </w:tc>
        <w:tc>
          <w:tcPr>
            <w:tcW w:w="0" w:type="auto"/>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33A55D59">
            <w:r>
              <w:t>1.10</w:t>
            </w:r>
          </w:p>
        </w:tc>
        <w:tc>
          <w:tcPr>
            <w:tcW w:w="0" w:type="auto"/>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20662A63">
            <w:r>
              <w:t>0.91</w:t>
            </w:r>
          </w:p>
        </w:tc>
        <w:tc>
          <w:tcPr>
            <w:tcW w:w="0" w:type="auto"/>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326EDFC5">
            <w:r>
              <w:t>11.70%</w:t>
            </w:r>
          </w:p>
        </w:tc>
      </w:tr>
      <w:tr w14:paraId="1B1206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0" w:type="auto"/>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2073A7AC">
            <w:r>
              <w:t>单位能耗碳排放量（Q 能耗）</w:t>
            </w:r>
          </w:p>
        </w:tc>
        <w:tc>
          <w:tcPr>
            <w:tcW w:w="0" w:type="auto"/>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6FCCB7EF">
            <w:r>
              <w:t>tCO₂/t标煤</w:t>
            </w:r>
          </w:p>
        </w:tc>
        <w:tc>
          <w:tcPr>
            <w:tcW w:w="0" w:type="auto"/>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502BCEE4">
            <w:pPr>
              <w:rPr>
                <w:rFonts w:hint="default" w:eastAsia="宋体"/>
                <w:lang w:val="en-US" w:eastAsia="zh-CN"/>
              </w:rPr>
            </w:pPr>
            <w:r>
              <w:rPr>
                <w:rFonts w:hint="eastAsia"/>
                <w:lang w:val="en-US" w:eastAsia="zh-CN"/>
              </w:rPr>
              <w:t>1.471</w:t>
            </w:r>
          </w:p>
        </w:tc>
        <w:tc>
          <w:tcPr>
            <w:tcW w:w="0" w:type="auto"/>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728CA055">
            <w:pPr>
              <w:rPr>
                <w:rFonts w:hint="default" w:eastAsia="宋体"/>
                <w:lang w:val="en-US" w:eastAsia="zh-CN"/>
              </w:rPr>
            </w:pPr>
            <w:r>
              <w:t>1.</w:t>
            </w:r>
            <w:r>
              <w:rPr>
                <w:rFonts w:hint="eastAsia"/>
                <w:lang w:val="en-US" w:eastAsia="zh-CN"/>
              </w:rPr>
              <w:t>472</w:t>
            </w:r>
          </w:p>
        </w:tc>
        <w:tc>
          <w:tcPr>
            <w:tcW w:w="0" w:type="auto"/>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0756E7E0">
            <w:r>
              <w:t>-</w:t>
            </w:r>
            <w:r>
              <w:rPr>
                <w:rFonts w:hint="eastAsia"/>
                <w:lang w:val="en-US" w:eastAsia="zh-CN"/>
              </w:rPr>
              <w:t>0.07</w:t>
            </w:r>
            <w:r>
              <w:t>%</w:t>
            </w:r>
          </w:p>
        </w:tc>
      </w:tr>
    </w:tbl>
    <w:p w14:paraId="1D837582">
      <w:pPr>
        <w:ind w:firstLine="480" w:firstLineChars="200"/>
        <w:jc w:val="left"/>
      </w:pPr>
      <w:r>
        <w:t>根据对比结果，技改后二氧化碳排放量、单位产品碳排放量、单位工业增加值碳排放量、单位工业总产值碳排放量、单位能耗碳排放量等指标均降低，碳排放减排，碳排放水平可接受。</w:t>
      </w:r>
    </w:p>
    <w:p w14:paraId="0FFEDD07">
      <w:pPr>
        <w:pStyle w:val="52"/>
        <w:keepNext w:val="0"/>
        <w:keepLines w:val="0"/>
        <w:widowControl/>
        <w:suppressLineNumbers w:val="0"/>
        <w:spacing w:line="240" w:lineRule="auto"/>
        <w:ind w:left="0" w:firstLine="0"/>
        <w:jc w:val="left"/>
        <w:textAlignment w:val="center"/>
      </w:pPr>
      <w:r>
        <w:rPr>
          <w:rFonts w:hint="default" w:ascii="Times New Roman" w:hAnsi="Times New Roman" w:cs="Times New Roman"/>
          <w:b/>
          <w:bCs/>
          <w:color w:val="000000"/>
          <w:spacing w:val="0"/>
          <w:position w:val="0"/>
          <w:sz w:val="28"/>
          <w:szCs w:val="28"/>
        </w:rPr>
        <w:t>6.</w:t>
      </w:r>
      <w:r>
        <w:rPr>
          <w:rFonts w:hint="eastAsia" w:ascii="Times New Roman" w:hAnsi="Times New Roman" w:cs="Times New Roman"/>
          <w:b/>
          <w:bCs/>
          <w:color w:val="000000"/>
          <w:spacing w:val="0"/>
          <w:position w:val="0"/>
          <w:sz w:val="28"/>
          <w:szCs w:val="28"/>
          <w:lang w:val="en-US" w:eastAsia="zh-CN"/>
        </w:rPr>
        <w:t>5</w:t>
      </w:r>
      <w:r>
        <w:rPr>
          <w:rFonts w:hint="default" w:ascii="Times New Roman" w:hAnsi="Times New Roman" w:cs="Times New Roman"/>
          <w:b/>
          <w:bCs/>
          <w:color w:val="000000"/>
          <w:spacing w:val="0"/>
          <w:position w:val="0"/>
          <w:sz w:val="28"/>
          <w:szCs w:val="28"/>
        </w:rPr>
        <w:t>.</w:t>
      </w:r>
      <w:r>
        <w:rPr>
          <w:rFonts w:hint="eastAsia" w:ascii="Times New Roman" w:hAnsi="Times New Roman" w:cs="Times New Roman"/>
          <w:b/>
          <w:bCs/>
          <w:color w:val="000000"/>
          <w:spacing w:val="0"/>
          <w:position w:val="0"/>
          <w:sz w:val="28"/>
          <w:szCs w:val="28"/>
          <w:lang w:val="en-US" w:eastAsia="zh-CN"/>
        </w:rPr>
        <w:t>4</w:t>
      </w:r>
      <w:r>
        <w:rPr>
          <w:rFonts w:hint="default" w:ascii="Times New Roman" w:hAnsi="Times New Roman" w:cs="Times New Roman"/>
          <w:b/>
          <w:bCs/>
          <w:color w:val="000000"/>
          <w:spacing w:val="0"/>
          <w:position w:val="0"/>
          <w:sz w:val="28"/>
          <w:szCs w:val="28"/>
        </w:rPr>
        <w:t xml:space="preserve"> </w:t>
      </w:r>
      <w:r>
        <w:rPr>
          <w:rFonts w:hint="eastAsia" w:ascii="宋体" w:hAnsi="宋体" w:eastAsia="宋体" w:cs="宋体"/>
          <w:b/>
          <w:bCs/>
          <w:color w:val="000000"/>
          <w:spacing w:val="0"/>
          <w:position w:val="0"/>
          <w:sz w:val="28"/>
          <w:szCs w:val="28"/>
        </w:rPr>
        <w:t>碳减排措施</w:t>
      </w:r>
    </w:p>
    <w:p w14:paraId="13DDC6AA">
      <w:pPr>
        <w:ind w:firstLine="480" w:firstLineChars="200"/>
        <w:jc w:val="left"/>
        <w:rPr>
          <w:rFonts w:ascii="宋体" w:hAnsi="宋体" w:eastAsia="宋体" w:cs="宋体"/>
        </w:rPr>
      </w:pPr>
      <w:r>
        <w:rPr>
          <w:rFonts w:hint="eastAsia" w:ascii="宋体" w:hAnsi="宋体" w:eastAsia="宋体" w:cs="宋体"/>
        </w:rPr>
        <w:t>（</w:t>
      </w:r>
      <w:r>
        <w:rPr>
          <w:rFonts w:hint="default" w:ascii="宋体" w:hAnsi="宋体" w:eastAsia="宋体" w:cs="宋体"/>
        </w:rPr>
        <w:t>1</w:t>
      </w:r>
      <w:r>
        <w:rPr>
          <w:rFonts w:hint="eastAsia" w:ascii="宋体" w:hAnsi="宋体" w:eastAsia="宋体" w:cs="宋体"/>
        </w:rPr>
        <w:t>）碳减排潜力分析</w:t>
      </w:r>
    </w:p>
    <w:p w14:paraId="7DC68FB1">
      <w:pPr>
        <w:ind w:firstLine="480" w:firstLineChars="200"/>
        <w:jc w:val="left"/>
        <w:rPr>
          <w:rFonts w:ascii="宋体" w:hAnsi="宋体" w:eastAsia="宋体" w:cs="宋体"/>
        </w:rPr>
      </w:pPr>
      <w:r>
        <w:rPr>
          <w:rFonts w:hint="eastAsia" w:ascii="宋体" w:hAnsi="宋体" w:eastAsia="宋体" w:cs="宋体"/>
        </w:rPr>
        <w:t>本项目碳排放源主要为煤气燃料燃烧排放和间接排放中的净调入电力消耗，因此减排途径主要为降低煤气用量和电耗，可通过以下途径进行碳减排：</w:t>
      </w:r>
    </w:p>
    <w:p w14:paraId="0BC07181">
      <w:pPr>
        <w:ind w:firstLine="480" w:firstLineChars="200"/>
        <w:jc w:val="left"/>
        <w:rPr>
          <w:rFonts w:ascii="宋体" w:hAnsi="宋体" w:eastAsia="宋体" w:cs="宋体"/>
        </w:rPr>
      </w:pPr>
      <w:r>
        <w:rPr>
          <w:rFonts w:hint="eastAsia" w:ascii="宋体" w:hAnsi="宋体" w:eastAsia="宋体" w:cs="宋体"/>
        </w:rPr>
        <w:t>①积极开展源头控制：优先选用绿色节能的工艺、产品和设备，优化用能结构。</w:t>
      </w:r>
    </w:p>
    <w:p w14:paraId="771F9D3F">
      <w:pPr>
        <w:ind w:firstLine="480" w:firstLineChars="200"/>
        <w:jc w:val="left"/>
        <w:rPr>
          <w:rFonts w:ascii="宋体" w:hAnsi="宋体" w:eastAsia="宋体" w:cs="宋体"/>
        </w:rPr>
      </w:pPr>
      <w:r>
        <w:rPr>
          <w:rFonts w:hint="eastAsia" w:ascii="宋体" w:hAnsi="宋体" w:eastAsia="宋体" w:cs="宋体"/>
        </w:rPr>
        <w:t>②落实节能和提高能效技术：提高工业生产过程中能源使用效率，对项目主体工程进行高耗能工艺改进，提高能源综合利用效率，对余热进行回收利用。</w:t>
      </w:r>
    </w:p>
    <w:p w14:paraId="28CE7B2F">
      <w:pPr>
        <w:ind w:firstLine="480" w:firstLineChars="200"/>
        <w:jc w:val="left"/>
        <w:rPr>
          <w:rFonts w:ascii="宋体" w:hAnsi="宋体" w:eastAsia="宋体" w:cs="宋体"/>
        </w:rPr>
      </w:pPr>
      <w:r>
        <w:rPr>
          <w:rFonts w:hint="eastAsia" w:ascii="宋体" w:hAnsi="宋体" w:eastAsia="宋体" w:cs="宋体"/>
        </w:rPr>
        <w:t>（</w:t>
      </w:r>
      <w:r>
        <w:rPr>
          <w:rFonts w:hint="default" w:ascii="宋体" w:hAnsi="宋体" w:eastAsia="宋体" w:cs="宋体"/>
        </w:rPr>
        <w:t>2</w:t>
      </w:r>
      <w:r>
        <w:rPr>
          <w:rFonts w:hint="eastAsia" w:ascii="宋体" w:hAnsi="宋体" w:eastAsia="宋体" w:cs="宋体"/>
        </w:rPr>
        <w:t>）管理建议</w:t>
      </w:r>
    </w:p>
    <w:p w14:paraId="2D31DD46">
      <w:pPr>
        <w:ind w:firstLine="480" w:firstLineChars="200"/>
        <w:jc w:val="left"/>
        <w:rPr>
          <w:rFonts w:ascii="宋体" w:hAnsi="宋体" w:eastAsia="宋体" w:cs="宋体"/>
        </w:rPr>
      </w:pPr>
      <w:r>
        <w:rPr>
          <w:rFonts w:hint="eastAsia" w:ascii="宋体" w:hAnsi="宋体" w:eastAsia="宋体" w:cs="宋体"/>
        </w:rPr>
        <w:t>首先，要进一步提高企业能源管理水平，包括建立健全能源管理机构、健全企业的能源计量系统、建立企业综合能源管理体系、积极开展合同能源管理、强化职工的能源管理和节能培训等。其次，要进一步创新企业温室气体排放管理，包括建立企业温室气体排放管理机构、建立企业温室气体排放统计监测体系、建立企业温室气体排放信息平台、加强管理者和全体职工低碳培训等。</w:t>
      </w:r>
    </w:p>
    <w:p w14:paraId="4921DD75">
      <w:pPr>
        <w:pStyle w:val="52"/>
        <w:keepNext w:val="0"/>
        <w:keepLines w:val="0"/>
        <w:widowControl/>
        <w:suppressLineNumbers w:val="0"/>
        <w:spacing w:line="240" w:lineRule="auto"/>
        <w:ind w:left="0" w:firstLine="0"/>
        <w:jc w:val="left"/>
        <w:textAlignment w:val="center"/>
      </w:pPr>
      <w:r>
        <w:rPr>
          <w:rFonts w:hint="default" w:ascii="Times New Roman" w:hAnsi="Times New Roman" w:cs="Times New Roman"/>
          <w:b/>
          <w:bCs/>
          <w:color w:val="000000"/>
          <w:spacing w:val="0"/>
          <w:position w:val="0"/>
          <w:sz w:val="28"/>
          <w:szCs w:val="28"/>
        </w:rPr>
        <w:t>6.</w:t>
      </w:r>
      <w:r>
        <w:rPr>
          <w:rFonts w:hint="eastAsia" w:ascii="Times New Roman" w:hAnsi="Times New Roman" w:cs="Times New Roman"/>
          <w:b/>
          <w:bCs/>
          <w:color w:val="000000"/>
          <w:spacing w:val="0"/>
          <w:position w:val="0"/>
          <w:sz w:val="28"/>
          <w:szCs w:val="28"/>
          <w:lang w:val="en-US" w:eastAsia="zh-CN"/>
        </w:rPr>
        <w:t>5</w:t>
      </w:r>
      <w:r>
        <w:rPr>
          <w:rFonts w:hint="default" w:ascii="Times New Roman" w:hAnsi="Times New Roman" w:cs="Times New Roman"/>
          <w:b/>
          <w:bCs/>
          <w:color w:val="000000"/>
          <w:spacing w:val="0"/>
          <w:position w:val="0"/>
          <w:sz w:val="28"/>
          <w:szCs w:val="28"/>
        </w:rPr>
        <w:t>.</w:t>
      </w:r>
      <w:r>
        <w:rPr>
          <w:rFonts w:hint="eastAsia" w:ascii="Times New Roman" w:hAnsi="Times New Roman" w:cs="Times New Roman"/>
          <w:b/>
          <w:bCs/>
          <w:color w:val="000000"/>
          <w:spacing w:val="0"/>
          <w:position w:val="0"/>
          <w:sz w:val="28"/>
          <w:szCs w:val="28"/>
          <w:lang w:val="en-US" w:eastAsia="zh-CN"/>
        </w:rPr>
        <w:t>5</w:t>
      </w:r>
      <w:r>
        <w:rPr>
          <w:rFonts w:hint="default" w:ascii="Times New Roman" w:hAnsi="Times New Roman" w:cs="Times New Roman"/>
          <w:b/>
          <w:bCs/>
          <w:color w:val="000000"/>
          <w:spacing w:val="0"/>
          <w:position w:val="0"/>
          <w:sz w:val="28"/>
          <w:szCs w:val="28"/>
        </w:rPr>
        <w:t xml:space="preserve"> </w:t>
      </w:r>
      <w:r>
        <w:rPr>
          <w:rFonts w:hint="eastAsia" w:ascii="宋体" w:hAnsi="宋体" w:eastAsia="宋体" w:cs="宋体"/>
          <w:b/>
          <w:bCs/>
          <w:color w:val="000000"/>
          <w:spacing w:val="0"/>
          <w:position w:val="0"/>
          <w:sz w:val="28"/>
          <w:szCs w:val="28"/>
        </w:rPr>
        <w:t>碳排放评价结论</w:t>
      </w:r>
    </w:p>
    <w:p w14:paraId="71F08A61">
      <w:pPr>
        <w:ind w:firstLine="480" w:firstLineChars="200"/>
        <w:jc w:val="left"/>
        <w:rPr>
          <w:rFonts w:hint="eastAsia" w:ascii="宋体" w:hAnsi="宋体" w:eastAsia="宋体" w:cs="宋体"/>
        </w:rPr>
      </w:pPr>
      <w:r>
        <w:rPr>
          <w:rFonts w:hint="eastAsia" w:ascii="宋体" w:hAnsi="宋体" w:eastAsia="宋体" w:cs="宋体"/>
        </w:rPr>
        <w:t>本次技改项目在维持现有钢铁及烧结产量不变的前提下，建设</w:t>
      </w:r>
      <w:r>
        <w:rPr>
          <w:rFonts w:hint="eastAsia" w:ascii="宋体" w:hAnsi="宋体" w:eastAsia="宋体" w:cs="宋体"/>
          <w:lang w:val="en-US" w:eastAsia="zh-CN"/>
        </w:rPr>
        <w:t>5</w:t>
      </w:r>
      <w:r>
        <w:rPr>
          <w:rFonts w:hint="default" w:ascii="宋体" w:hAnsi="宋体" w:eastAsia="宋体" w:cs="宋体"/>
        </w:rPr>
        <w:t>0m</w:t>
      </w:r>
      <w:r>
        <w:rPr>
          <w:rFonts w:hint="default" w:ascii="宋体" w:hAnsi="宋体" w:eastAsia="宋体" w:cs="宋体"/>
          <w:vertAlign w:val="superscript"/>
        </w:rPr>
        <w:t>2</w:t>
      </w:r>
      <w:r>
        <w:rPr>
          <w:rFonts w:hint="default" w:ascii="宋体" w:hAnsi="宋体" w:eastAsia="宋体" w:cs="宋体"/>
        </w:rPr>
        <w:t xml:space="preserve"> </w:t>
      </w:r>
      <w:r>
        <w:rPr>
          <w:rFonts w:hint="eastAsia" w:ascii="宋体" w:hAnsi="宋体" w:eastAsia="宋体" w:cs="宋体"/>
        </w:rPr>
        <w:t>带式烧结机系统，</w:t>
      </w:r>
      <w:r>
        <w:rPr>
          <w:rFonts w:hint="eastAsia" w:ascii="宋体" w:hAnsi="宋体" w:eastAsia="宋体" w:cs="宋体"/>
          <w:lang w:val="en-US" w:eastAsia="zh-CN"/>
        </w:rPr>
        <w:t>12m</w:t>
      </w:r>
      <w:r>
        <w:rPr>
          <w:rFonts w:hint="eastAsia" w:ascii="宋体" w:hAnsi="宋体" w:eastAsia="宋体" w:cs="宋体"/>
          <w:vertAlign w:val="superscript"/>
          <w:lang w:val="en-US" w:eastAsia="zh-CN"/>
        </w:rPr>
        <w:t>2</w:t>
      </w:r>
      <w:r>
        <w:rPr>
          <w:rFonts w:hint="eastAsia" w:ascii="宋体" w:hAnsi="宋体" w:eastAsia="宋体" w:cs="宋体"/>
          <w:vertAlign w:val="baseline"/>
          <w:lang w:val="en-US" w:eastAsia="zh-CN"/>
        </w:rPr>
        <w:t>球团竖炉系统，</w:t>
      </w:r>
      <w:r>
        <w:rPr>
          <w:rFonts w:hint="eastAsia" w:ascii="宋体" w:hAnsi="宋体" w:eastAsia="宋体" w:cs="宋体"/>
        </w:rPr>
        <w:t>本次技改项目建成后，</w:t>
      </w:r>
      <w:r>
        <w:rPr>
          <w:rFonts w:hint="eastAsia" w:ascii="宋体" w:hAnsi="宋体" w:eastAsia="宋体" w:cs="宋体"/>
          <w:lang w:val="en-US" w:eastAsia="zh-CN"/>
        </w:rPr>
        <w:t>原有</w:t>
      </w:r>
      <w:r>
        <w:rPr>
          <w:rFonts w:hint="eastAsia" w:ascii="宋体" w:hAnsi="宋体" w:eastAsia="宋体" w:cs="宋体"/>
        </w:rPr>
        <w:t>烧结机</w:t>
      </w:r>
      <w:r>
        <w:rPr>
          <w:rFonts w:hint="eastAsia" w:ascii="宋体" w:hAnsi="宋体" w:eastAsia="宋体" w:cs="宋体"/>
          <w:lang w:eastAsia="zh-CN"/>
        </w:rPr>
        <w:t>、</w:t>
      </w:r>
      <w:r>
        <w:rPr>
          <w:rFonts w:hint="eastAsia" w:ascii="宋体" w:hAnsi="宋体" w:eastAsia="宋体" w:cs="宋体"/>
          <w:vertAlign w:val="baseline"/>
          <w:lang w:val="en-US" w:eastAsia="zh-CN"/>
        </w:rPr>
        <w:t>球团竖炉</w:t>
      </w:r>
      <w:r>
        <w:rPr>
          <w:rFonts w:hint="eastAsia" w:ascii="宋体" w:hAnsi="宋体" w:eastAsia="宋体" w:cs="宋体"/>
        </w:rPr>
        <w:t>系统停产，技改后碳排放量均得到削减，符合国家及地方碳排放相关政策，根据碳排放计算结果，技改后二氧化碳排放量、单位产品碳排放量等指标均降低，落实采取源头控制、提高节能技术和加强企业能源管理水平等节能降碳措施。本项目碳排放水平可接受。</w:t>
      </w:r>
    </w:p>
    <w:p w14:paraId="6E9624FC">
      <w:pPr>
        <w:pStyle w:val="52"/>
        <w:keepNext w:val="0"/>
        <w:keepLines w:val="0"/>
        <w:widowControl/>
        <w:numPr>
          <w:ilvl w:val="0"/>
          <w:numId w:val="0"/>
        </w:numPr>
        <w:suppressLineNumbers w:val="0"/>
        <w:spacing w:before="0" w:beforeAutospacing="0" w:after="0" w:afterAutospacing="0" w:line="240" w:lineRule="auto"/>
        <w:contextualSpacing/>
        <w:jc w:val="both"/>
        <w:rPr>
          <w:rFonts w:hint="eastAsia"/>
        </w:rPr>
      </w:pPr>
    </w:p>
    <w:p w14:paraId="10A5D03B">
      <w:pPr>
        <w:pStyle w:val="5"/>
      </w:pPr>
      <w:bookmarkStart w:id="580" w:name="_Toc90026149"/>
      <w:r>
        <w:rPr>
          <w:lang w:eastAsia="zh-CN"/>
        </w:rPr>
        <w:br w:type="page"/>
      </w:r>
      <w:bookmarkStart w:id="581" w:name="_Toc7167"/>
      <w:r>
        <w:rPr>
          <w:lang w:eastAsia="zh-CN"/>
        </w:rPr>
        <w:t>7</w:t>
      </w:r>
      <w:r>
        <w:t xml:space="preserve">. </w:t>
      </w:r>
      <w:bookmarkEnd w:id="535"/>
      <w:bookmarkEnd w:id="536"/>
      <w:bookmarkEnd w:id="537"/>
      <w:bookmarkEnd w:id="538"/>
      <w:bookmarkEnd w:id="539"/>
      <w:bookmarkEnd w:id="540"/>
      <w:bookmarkEnd w:id="541"/>
      <w:bookmarkEnd w:id="542"/>
      <w:bookmarkEnd w:id="543"/>
      <w:bookmarkEnd w:id="544"/>
      <w:bookmarkEnd w:id="545"/>
      <w:bookmarkEnd w:id="546"/>
      <w:r>
        <w:t>环境保护措施及其可行性论证</w:t>
      </w:r>
      <w:bookmarkEnd w:id="580"/>
      <w:bookmarkEnd w:id="581"/>
    </w:p>
    <w:p w14:paraId="1E1600F6">
      <w:pPr>
        <w:pStyle w:val="6"/>
        <w:spacing w:before="239"/>
      </w:pPr>
      <w:bookmarkStart w:id="582" w:name="_Toc90026150"/>
      <w:bookmarkStart w:id="583" w:name="_Toc2123"/>
      <w:bookmarkStart w:id="584" w:name="_Toc153878476"/>
      <w:bookmarkStart w:id="585" w:name="_Toc175714281"/>
      <w:bookmarkStart w:id="586" w:name="_Toc158523429"/>
      <w:bookmarkStart w:id="587" w:name="_Toc151276207"/>
      <w:bookmarkStart w:id="588" w:name="_Toc166464749"/>
      <w:bookmarkStart w:id="589" w:name="_Toc151278941"/>
      <w:bookmarkStart w:id="590" w:name="_Toc154569880"/>
      <w:bookmarkStart w:id="591" w:name="_Toc151200154"/>
      <w:bookmarkStart w:id="592" w:name="_Toc154570267"/>
      <w:bookmarkStart w:id="593" w:name="_Toc175711448"/>
      <w:bookmarkStart w:id="594" w:name="_Toc151200314"/>
      <w:bookmarkStart w:id="595" w:name="_Toc153007140"/>
      <w:r>
        <w:t>7.1 施工期污染防治措施</w:t>
      </w:r>
      <w:bookmarkEnd w:id="582"/>
      <w:bookmarkEnd w:id="583"/>
    </w:p>
    <w:p w14:paraId="33D574AD">
      <w:pPr>
        <w:spacing w:line="500" w:lineRule="exact"/>
        <w:ind w:firstLine="480" w:firstLineChars="200"/>
        <w:rPr>
          <w:rFonts w:ascii="Times New Roman" w:hAnsi="Times New Roman" w:cs="Times New Roman"/>
        </w:rPr>
      </w:pPr>
      <w:r>
        <w:rPr>
          <w:rFonts w:ascii="Times New Roman" w:hAnsi="Times New Roman" w:cs="Times New Roman"/>
        </w:rPr>
        <w:t>本项目施工期主要影响因素为施工</w:t>
      </w:r>
      <w:r>
        <w:rPr>
          <w:rFonts w:hint="eastAsia" w:ascii="Times New Roman" w:hAnsi="Times New Roman" w:cs="Times New Roman"/>
        </w:rPr>
        <w:t>机械尾气</w:t>
      </w:r>
      <w:r>
        <w:rPr>
          <w:rFonts w:ascii="Times New Roman" w:hAnsi="Times New Roman" w:cs="Times New Roman"/>
        </w:rPr>
        <w:t>、施工噪声等，防治措施如下：</w:t>
      </w:r>
    </w:p>
    <w:p w14:paraId="60F57525">
      <w:pPr>
        <w:pStyle w:val="7"/>
      </w:pPr>
      <w:bookmarkStart w:id="596" w:name="_Toc90026333"/>
      <w:bookmarkStart w:id="597" w:name="_Toc5021"/>
      <w:r>
        <w:t>7.1.</w:t>
      </w:r>
      <w:r>
        <w:rPr>
          <w:lang w:eastAsia="zh-CN"/>
        </w:rPr>
        <w:t>1</w:t>
      </w:r>
      <w:r>
        <w:t xml:space="preserve"> 施工</w:t>
      </w:r>
      <w:bookmarkEnd w:id="596"/>
      <w:r>
        <w:rPr>
          <w:rFonts w:hint="eastAsia"/>
          <w:lang w:eastAsia="zh-CN"/>
        </w:rPr>
        <w:t>机械尾气</w:t>
      </w:r>
      <w:bookmarkEnd w:id="597"/>
    </w:p>
    <w:p w14:paraId="4CA74E94">
      <w:pPr>
        <w:tabs>
          <w:tab w:val="left" w:pos="1506"/>
        </w:tabs>
        <w:spacing w:line="500" w:lineRule="exact"/>
        <w:ind w:firstLine="480" w:firstLineChars="200"/>
        <w:rPr>
          <w:rFonts w:ascii="Times New Roman" w:hAnsi="Times New Roman" w:cs="Times New Roman"/>
        </w:rPr>
      </w:pPr>
      <w:r>
        <w:rPr>
          <w:rFonts w:ascii="Times New Roman" w:hAnsi="Times New Roman" w:cs="Times New Roman"/>
        </w:rPr>
        <w:t>本工程建设期间，需进行设备安装等施工行为，</w:t>
      </w:r>
      <w:r>
        <w:rPr>
          <w:rFonts w:hint="eastAsia" w:ascii="Times New Roman" w:hAnsi="Times New Roman" w:cs="Times New Roman"/>
        </w:rPr>
        <w:t>不涉及土建工程。</w:t>
      </w:r>
      <w:r>
        <w:rPr>
          <w:rFonts w:ascii="Times New Roman" w:hAnsi="Times New Roman" w:cs="Times New Roman"/>
        </w:rPr>
        <w:t>在施工期内对周边区域的环境质量造成影响</w:t>
      </w:r>
      <w:r>
        <w:rPr>
          <w:rFonts w:hint="eastAsia" w:ascii="Times New Roman" w:hAnsi="Times New Roman" w:cs="Times New Roman"/>
        </w:rPr>
        <w:t>的主要为施工机械及车辆尾气</w:t>
      </w:r>
      <w:r>
        <w:rPr>
          <w:rFonts w:ascii="Times New Roman" w:hAnsi="Times New Roman" w:cs="Times New Roman"/>
        </w:rPr>
        <w:t>，</w:t>
      </w:r>
      <w:r>
        <w:rPr>
          <w:rFonts w:hint="eastAsia" w:ascii="Times New Roman" w:hAnsi="Times New Roman" w:cs="Times New Roman"/>
        </w:rPr>
        <w:t>污染因子为颗粒物、二氧化硫和氮氧化物</w:t>
      </w:r>
      <w:r>
        <w:rPr>
          <w:rFonts w:ascii="Times New Roman" w:hAnsi="Times New Roman" w:cs="Times New Roman"/>
        </w:rPr>
        <w:t>。这种污染影响是暂时的，可逆的，工程一结束，污染影响也就随之而停止。</w:t>
      </w:r>
    </w:p>
    <w:p w14:paraId="263256EA">
      <w:pPr>
        <w:pStyle w:val="7"/>
      </w:pPr>
      <w:bookmarkStart w:id="598" w:name="_Toc8700"/>
      <w:bookmarkStart w:id="599" w:name="_Toc90026334"/>
      <w:r>
        <w:t>7.1.</w:t>
      </w:r>
      <w:r>
        <w:rPr>
          <w:lang w:eastAsia="zh-CN"/>
        </w:rPr>
        <w:t>2</w:t>
      </w:r>
      <w:r>
        <w:t xml:space="preserve"> 施工噪声</w:t>
      </w:r>
      <w:bookmarkEnd w:id="598"/>
      <w:bookmarkEnd w:id="599"/>
    </w:p>
    <w:p w14:paraId="7E8D25D9">
      <w:pPr>
        <w:spacing w:line="500" w:lineRule="exact"/>
        <w:ind w:firstLine="480" w:firstLineChars="200"/>
        <w:rPr>
          <w:rFonts w:ascii="Times New Roman" w:hAnsi="Times New Roman" w:cs="Times New Roman"/>
        </w:rPr>
      </w:pPr>
      <w:r>
        <w:rPr>
          <w:rFonts w:ascii="Times New Roman" w:hAnsi="Times New Roman" w:cs="Times New Roman"/>
        </w:rPr>
        <w:t>由于施工流动性和间歇性较强，对各生产环节中的噪声治理具有一定难度，下面结合施工特点，对一些重点噪声设备和声源，提出一些治理措施和建议：</w:t>
      </w:r>
    </w:p>
    <w:p w14:paraId="6B7B2FB4">
      <w:pPr>
        <w:numPr>
          <w:ilvl w:val="0"/>
          <w:numId w:val="35"/>
        </w:numPr>
        <w:spacing w:line="500" w:lineRule="exact"/>
        <w:rPr>
          <w:rFonts w:ascii="Times New Roman" w:hAnsi="Times New Roman" w:cs="Times New Roman"/>
        </w:rPr>
      </w:pPr>
      <w:r>
        <w:rPr>
          <w:rFonts w:ascii="Times New Roman" w:hAnsi="Times New Roman" w:cs="Times New Roman"/>
        </w:rPr>
        <w:t>采用局部吸声、隔声降噪技术</w:t>
      </w:r>
    </w:p>
    <w:p w14:paraId="3C4EA3CC">
      <w:pPr>
        <w:spacing w:line="500" w:lineRule="exact"/>
        <w:ind w:firstLine="480" w:firstLineChars="200"/>
        <w:rPr>
          <w:rFonts w:ascii="Times New Roman" w:hAnsi="Times New Roman" w:cs="Times New Roman"/>
        </w:rPr>
      </w:pPr>
      <w:r>
        <w:rPr>
          <w:rFonts w:ascii="Times New Roman" w:hAnsi="Times New Roman" w:cs="Times New Roman"/>
        </w:rPr>
        <w:t>对各施工环节中噪声较为突出的，且难以对声源进行降噪可能的设备装置，应采取临时隔声措施，在隔离体上敷以吸声材料，以此达到降噪效果。</w:t>
      </w:r>
    </w:p>
    <w:p w14:paraId="08F9FD16">
      <w:pPr>
        <w:numPr>
          <w:ilvl w:val="0"/>
          <w:numId w:val="35"/>
        </w:numPr>
        <w:spacing w:line="500" w:lineRule="exact"/>
        <w:rPr>
          <w:rFonts w:ascii="Times New Roman" w:hAnsi="Times New Roman" w:cs="Times New Roman"/>
        </w:rPr>
      </w:pPr>
      <w:r>
        <w:rPr>
          <w:rFonts w:ascii="Times New Roman" w:hAnsi="Times New Roman" w:cs="Times New Roman"/>
        </w:rPr>
        <w:t>加强施工队伍的教育，提高职工的环保意识</w:t>
      </w:r>
    </w:p>
    <w:p w14:paraId="63FCF2AB">
      <w:pPr>
        <w:spacing w:line="500" w:lineRule="exact"/>
        <w:ind w:firstLine="480" w:firstLineChars="200"/>
        <w:rPr>
          <w:rFonts w:ascii="Times New Roman" w:hAnsi="Times New Roman" w:cs="Times New Roman"/>
        </w:rPr>
      </w:pPr>
      <w:r>
        <w:rPr>
          <w:rFonts w:ascii="Times New Roman" w:hAnsi="Times New Roman" w:cs="Times New Roman"/>
        </w:rPr>
        <w:t>施工现场的许多噪声只要施工人员能合理操作就可以大大减轻，要求卸货时轻拿轻放、用振动器时减少和金属物的接触等，因此加强施工队伍的环保教育十分必要。</w:t>
      </w:r>
    </w:p>
    <w:p w14:paraId="54EFF44D">
      <w:pPr>
        <w:spacing w:line="500" w:lineRule="exact"/>
        <w:ind w:firstLine="480" w:firstLineChars="200"/>
        <w:jc w:val="both"/>
        <w:rPr>
          <w:rFonts w:ascii="Times New Roman" w:hAnsi="Times New Roman" w:cs="Times New Roman"/>
        </w:rPr>
      </w:pPr>
      <w:r>
        <w:rPr>
          <w:rFonts w:ascii="Times New Roman" w:hAnsi="Times New Roman" w:cs="Times New Roman"/>
        </w:rPr>
        <w:t>对不同阶段的施工噪声必须遵守《建筑施工场界环境噪声排放标准》</w:t>
      </w:r>
      <w:r>
        <w:rPr>
          <w:rFonts w:ascii="Times New Roman" w:hAnsi="Times New Roman" w:eastAsia="黑体" w:cs="Times New Roman"/>
        </w:rPr>
        <w:t>（GB12523-2011）</w:t>
      </w:r>
      <w:r>
        <w:rPr>
          <w:rFonts w:ascii="Times New Roman" w:hAnsi="Times New Roman" w:cs="Times New Roman"/>
        </w:rPr>
        <w:t>中规定标准。项目施工噪声产生的影响属于短期行为，待施工结束后即可消除，施工过程中产生的噪声通过采取以上防治措施后，并依照</w:t>
      </w:r>
      <w:r>
        <w:rPr>
          <w:rFonts w:hint="eastAsia" w:ascii="Times New Roman" w:hAnsi="Times New Roman" w:cs="Times New Roman"/>
          <w:lang w:val="en-US" w:eastAsia="zh-CN"/>
        </w:rPr>
        <w:t>本溪</w:t>
      </w:r>
      <w:r>
        <w:rPr>
          <w:rFonts w:ascii="Times New Roman" w:hAnsi="Times New Roman" w:cs="Times New Roman"/>
        </w:rPr>
        <w:t>市施工的有关规定进行施工，其对周围环境的影响可降到较低程度。</w:t>
      </w:r>
    </w:p>
    <w:p w14:paraId="18D85531">
      <w:pPr>
        <w:pStyle w:val="7"/>
      </w:pPr>
      <w:bookmarkStart w:id="600" w:name="_Toc90026335"/>
      <w:bookmarkStart w:id="601" w:name="_Toc17166"/>
      <w:r>
        <w:t>7.1.</w:t>
      </w:r>
      <w:r>
        <w:rPr>
          <w:lang w:eastAsia="zh-CN"/>
        </w:rPr>
        <w:t>3</w:t>
      </w:r>
      <w:r>
        <w:t xml:space="preserve"> 施工垃圾</w:t>
      </w:r>
      <w:bookmarkEnd w:id="600"/>
      <w:bookmarkEnd w:id="601"/>
    </w:p>
    <w:p w14:paraId="70BCBA36">
      <w:pPr>
        <w:tabs>
          <w:tab w:val="left" w:pos="1506"/>
        </w:tabs>
        <w:spacing w:line="500" w:lineRule="exact"/>
        <w:ind w:firstLine="480" w:firstLineChars="200"/>
        <w:rPr>
          <w:rFonts w:ascii="Times New Roman" w:hAnsi="Times New Roman" w:cs="Times New Roman"/>
        </w:rPr>
      </w:pPr>
      <w:r>
        <w:rPr>
          <w:rFonts w:ascii="Times New Roman" w:hAnsi="Times New Roman" w:cs="Times New Roman"/>
        </w:rPr>
        <w:t>本项目施工期固废主要有设备安装过程中产生的废包装材料以及施工人员生活垃圾。</w:t>
      </w:r>
    </w:p>
    <w:p w14:paraId="58211F62">
      <w:pPr>
        <w:tabs>
          <w:tab w:val="left" w:pos="1506"/>
        </w:tabs>
        <w:spacing w:line="500" w:lineRule="exact"/>
        <w:ind w:firstLine="480" w:firstLineChars="200"/>
        <w:rPr>
          <w:rFonts w:ascii="Times New Roman" w:hAnsi="Times New Roman" w:cs="Times New Roman"/>
        </w:rPr>
      </w:pPr>
      <w:r>
        <w:rPr>
          <w:rFonts w:ascii="Times New Roman" w:hAnsi="Times New Roman" w:cs="Times New Roman"/>
        </w:rPr>
        <w:t>设备安装过程中产生的废包装材料基本属于无害废物。产生的建筑垃圾需要集中收集堆放，外排至政府指定渣场，金属、木块等废物回收利用。</w:t>
      </w:r>
    </w:p>
    <w:p w14:paraId="69CC5501">
      <w:pPr>
        <w:tabs>
          <w:tab w:val="left" w:pos="1506"/>
        </w:tabs>
        <w:spacing w:line="500" w:lineRule="exact"/>
        <w:ind w:firstLine="480" w:firstLineChars="200"/>
        <w:rPr>
          <w:rFonts w:ascii="Times New Roman" w:hAnsi="Times New Roman" w:cs="Times New Roman"/>
        </w:rPr>
      </w:pPr>
      <w:r>
        <w:rPr>
          <w:rFonts w:ascii="Times New Roman" w:hAnsi="Times New Roman" w:cs="Times New Roman"/>
        </w:rPr>
        <w:t>生活垃圾主要为就餐后的废饭盒和少量日常办公垃圾，如果施工期间能及时收集、清理和转运，则不会对当地环境产生明显影响。</w:t>
      </w:r>
    </w:p>
    <w:p w14:paraId="2C52D411">
      <w:pPr>
        <w:tabs>
          <w:tab w:val="left" w:pos="1506"/>
        </w:tabs>
        <w:spacing w:line="500" w:lineRule="exact"/>
        <w:ind w:firstLine="480" w:firstLineChars="200"/>
        <w:rPr>
          <w:rFonts w:ascii="Times New Roman" w:hAnsi="Times New Roman" w:cs="Times New Roman"/>
        </w:rPr>
      </w:pPr>
      <w:r>
        <w:rPr>
          <w:rFonts w:ascii="Times New Roman" w:hAnsi="Times New Roman" w:cs="Times New Roman"/>
        </w:rPr>
        <w:t>为防止施工期产生的固体废物对环境产生不利影响，建设单位应要求施工单位采取如下控制措施：</w:t>
      </w:r>
    </w:p>
    <w:p w14:paraId="152FE319">
      <w:pPr>
        <w:tabs>
          <w:tab w:val="left" w:pos="1506"/>
        </w:tabs>
        <w:spacing w:line="500" w:lineRule="exact"/>
        <w:ind w:firstLine="480" w:firstLineChars="200"/>
        <w:rPr>
          <w:rFonts w:ascii="Times New Roman" w:hAnsi="Times New Roman" w:cs="Times New Roman"/>
        </w:rPr>
      </w:pPr>
      <w:r>
        <w:rPr>
          <w:rFonts w:ascii="Times New Roman" w:hAnsi="Times New Roman" w:cs="Times New Roman"/>
        </w:rPr>
        <w:t>（1）生活垃圾与建筑垃圾分开，设封闭式垃圾站，以免污染环境。将生活垃圾收集后，应及时由环卫部门分类进行消纳处理。</w:t>
      </w:r>
    </w:p>
    <w:p w14:paraId="4A109D3A">
      <w:pPr>
        <w:tabs>
          <w:tab w:val="left" w:pos="1506"/>
        </w:tabs>
        <w:spacing w:line="500" w:lineRule="exact"/>
        <w:ind w:firstLine="480" w:firstLineChars="200"/>
        <w:rPr>
          <w:rFonts w:ascii="Times New Roman" w:hAnsi="Times New Roman" w:cs="Times New Roman"/>
        </w:rPr>
      </w:pPr>
      <w:r>
        <w:rPr>
          <w:rFonts w:ascii="Times New Roman" w:hAnsi="Times New Roman" w:cs="Times New Roman"/>
        </w:rPr>
        <w:t>（2）根据材料不同性质要求，采取防锈、防雨、防潮、防晒措施，减少因不合理存放造成材料无法使用而产生的固体废物量。</w:t>
      </w:r>
    </w:p>
    <w:p w14:paraId="22AE470B">
      <w:pPr>
        <w:tabs>
          <w:tab w:val="left" w:pos="1506"/>
        </w:tabs>
        <w:spacing w:line="500" w:lineRule="exact"/>
        <w:ind w:firstLine="480" w:firstLineChars="200"/>
        <w:rPr>
          <w:rFonts w:ascii="Times New Roman" w:hAnsi="Times New Roman" w:cs="Times New Roman"/>
        </w:rPr>
      </w:pPr>
      <w:r>
        <w:rPr>
          <w:rFonts w:ascii="Times New Roman" w:hAnsi="Times New Roman" w:cs="Times New Roman"/>
        </w:rPr>
        <w:t>（3）对于工程实施中产生的废弃材料，应严格按照国家相关法律法规及产业政策进行管理，按照“减量化、无害化、资源化”的原则进行处理。可回收利用的材料应优先进行综合利用；属于危废的应交由具备资质的专业单位安全处置，并加强危废的全过程管理。</w:t>
      </w:r>
    </w:p>
    <w:p w14:paraId="7EBB5403">
      <w:pPr>
        <w:pStyle w:val="7"/>
      </w:pPr>
      <w:bookmarkStart w:id="602" w:name="_Toc9146"/>
      <w:bookmarkStart w:id="603" w:name="_Toc90026336"/>
      <w:r>
        <w:t>7.1.</w:t>
      </w:r>
      <w:r>
        <w:rPr>
          <w:lang w:eastAsia="zh-CN"/>
        </w:rPr>
        <w:t>4</w:t>
      </w:r>
      <w:r>
        <w:t xml:space="preserve"> 施工废水</w:t>
      </w:r>
      <w:bookmarkEnd w:id="602"/>
      <w:bookmarkEnd w:id="603"/>
    </w:p>
    <w:p w14:paraId="73ADC45B">
      <w:pPr>
        <w:spacing w:line="500" w:lineRule="exact"/>
        <w:ind w:firstLine="480" w:firstLineChars="200"/>
        <w:rPr>
          <w:rFonts w:ascii="Times New Roman" w:hAnsi="Times New Roman" w:cs="Times New Roman"/>
        </w:rPr>
      </w:pPr>
      <w:r>
        <w:rPr>
          <w:rFonts w:ascii="Times New Roman" w:hAnsi="Times New Roman" w:cs="Times New Roman"/>
        </w:rPr>
        <w:t>本项目施工期</w:t>
      </w:r>
      <w:r>
        <w:rPr>
          <w:rFonts w:hint="eastAsia" w:ascii="Times New Roman" w:hAnsi="Times New Roman" w:cs="Times New Roman"/>
        </w:rPr>
        <w:t>废水主要为</w:t>
      </w:r>
      <w:r>
        <w:rPr>
          <w:rFonts w:ascii="Times New Roman" w:hAnsi="Times New Roman" w:cs="Times New Roman"/>
        </w:rPr>
        <w:t>生活污水，是由于施工队伍的生活活动造成的，含有大量细菌和病原体。生活污水水量不大，但如果不经处理或处理不当，同时会危害环境。所以，施工期废污水不能随意直排，排入厂内化粪池。</w:t>
      </w:r>
    </w:p>
    <w:p w14:paraId="13BB228D">
      <w:pPr>
        <w:pStyle w:val="6"/>
        <w:spacing w:before="239"/>
      </w:pPr>
      <w:bookmarkStart w:id="604" w:name="_Toc31935"/>
      <w:bookmarkStart w:id="605" w:name="_Toc90026151"/>
      <w:r>
        <w:t>7.2 营运期环境保护措施及可行性分析</w:t>
      </w:r>
      <w:bookmarkEnd w:id="604"/>
      <w:bookmarkEnd w:id="605"/>
    </w:p>
    <w:p w14:paraId="3218A78E">
      <w:pPr>
        <w:pStyle w:val="7"/>
      </w:pPr>
      <w:bookmarkStart w:id="606" w:name="_Toc90026338"/>
      <w:bookmarkStart w:id="607" w:name="_Toc27777"/>
      <w:r>
        <w:t xml:space="preserve">7.2.1 </w:t>
      </w:r>
      <w:r>
        <w:rPr>
          <w:rFonts w:hint="eastAsia"/>
          <w:lang w:eastAsia="zh-CN"/>
        </w:rPr>
        <w:t>废气污染防治</w:t>
      </w:r>
      <w:r>
        <w:t>措施及可行性分析</w:t>
      </w:r>
      <w:bookmarkEnd w:id="606"/>
      <w:bookmarkEnd w:id="607"/>
    </w:p>
    <w:p w14:paraId="13229303">
      <w:pPr>
        <w:spacing w:line="500" w:lineRule="exact"/>
        <w:ind w:firstLine="480" w:firstLineChars="200"/>
        <w:rPr>
          <w:rFonts w:ascii="Times New Roman" w:hAnsi="Times New Roman" w:cs="Times New Roman"/>
        </w:rPr>
      </w:pPr>
      <w:r>
        <w:rPr>
          <w:rFonts w:hint="eastAsia" w:ascii="Times New Roman" w:hAnsi="Times New Roman" w:cs="Times New Roman"/>
        </w:rPr>
        <w:t>本项目废气包括有组织废气和无组织废气。有组织废气主要为</w:t>
      </w:r>
      <w:r>
        <w:rPr>
          <w:rFonts w:hint="eastAsia" w:ascii="Times New Roman" w:hAnsi="Times New Roman" w:cs="Times New Roman"/>
          <w:lang w:val="en-US" w:eastAsia="zh-CN"/>
        </w:rPr>
        <w:t>烧结</w:t>
      </w:r>
      <w:r>
        <w:rPr>
          <w:rFonts w:hint="eastAsia" w:ascii="Times New Roman" w:hAnsi="Times New Roman" w:cs="Times New Roman"/>
        </w:rPr>
        <w:t>车间</w:t>
      </w:r>
      <w:r>
        <w:rPr>
          <w:rFonts w:hint="eastAsia" w:ascii="Times New Roman" w:hAnsi="Times New Roman" w:cs="Times New Roman"/>
          <w:lang w:val="en-US" w:eastAsia="zh-CN"/>
        </w:rPr>
        <w:t>烧结机</w:t>
      </w:r>
      <w:r>
        <w:rPr>
          <w:rFonts w:hint="eastAsia" w:ascii="Times New Roman" w:hAnsi="Times New Roman" w:cs="Times New Roman"/>
        </w:rPr>
        <w:t>产生的</w:t>
      </w:r>
      <w:r>
        <w:rPr>
          <w:rFonts w:hint="eastAsia" w:ascii="Times New Roman" w:hAnsi="Times New Roman" w:cs="Times New Roman"/>
          <w:lang w:val="en-US" w:eastAsia="zh-CN"/>
        </w:rPr>
        <w:t>废气</w:t>
      </w:r>
      <w:r>
        <w:rPr>
          <w:rFonts w:hint="eastAsia" w:ascii="Times New Roman" w:hAnsi="Times New Roman" w:cs="Times New Roman"/>
          <w:lang w:eastAsia="zh-CN"/>
        </w:rPr>
        <w:t>、</w:t>
      </w:r>
      <w:r>
        <w:rPr>
          <w:rFonts w:hint="eastAsia" w:ascii="Times New Roman" w:hAnsi="Times New Roman" w:cs="Times New Roman"/>
          <w:lang w:val="en-US" w:eastAsia="zh-CN"/>
        </w:rPr>
        <w:t>上料、出料、破碎产生的废气，</w:t>
      </w:r>
      <w:r>
        <w:rPr>
          <w:rFonts w:hint="eastAsia" w:ascii="Times New Roman" w:hAnsi="Times New Roman" w:cs="Times New Roman"/>
        </w:rPr>
        <w:t>及</w:t>
      </w:r>
      <w:r>
        <w:rPr>
          <w:rFonts w:hint="eastAsia" w:ascii="Times New Roman" w:hAnsi="Times New Roman" w:cs="Times New Roman"/>
          <w:lang w:val="en-US" w:eastAsia="zh-CN"/>
        </w:rPr>
        <w:t>球团竖炉、造球、上料、出料</w:t>
      </w:r>
      <w:r>
        <w:rPr>
          <w:rFonts w:hint="eastAsia" w:ascii="Times New Roman" w:hAnsi="Times New Roman" w:cs="Times New Roman"/>
        </w:rPr>
        <w:t>废气，主要污染物为颗粒物、SO</w:t>
      </w:r>
      <w:r>
        <w:rPr>
          <w:rFonts w:hint="eastAsia" w:ascii="Times New Roman" w:hAnsi="Times New Roman" w:cs="Times New Roman"/>
          <w:vertAlign w:val="subscript"/>
        </w:rPr>
        <w:t>2</w:t>
      </w:r>
      <w:r>
        <w:rPr>
          <w:rFonts w:hint="eastAsia" w:ascii="Times New Roman" w:hAnsi="Times New Roman" w:cs="Times New Roman"/>
        </w:rPr>
        <w:t>、NOx</w:t>
      </w:r>
      <w:r>
        <w:rPr>
          <w:rFonts w:ascii="Times New Roman" w:hAnsi="Times New Roman" w:cs="Times New Roman"/>
        </w:rPr>
        <w:t>。</w:t>
      </w:r>
      <w:r>
        <w:rPr>
          <w:rFonts w:hint="eastAsia" w:ascii="Times New Roman" w:hAnsi="Times New Roman" w:cs="Times New Roman"/>
        </w:rPr>
        <w:t>无组织废气主要包括</w:t>
      </w:r>
      <w:r>
        <w:rPr>
          <w:rFonts w:hint="eastAsia" w:ascii="Times New Roman" w:hAnsi="Times New Roman" w:cs="Times New Roman"/>
          <w:lang w:val="en-US" w:eastAsia="zh-CN"/>
        </w:rPr>
        <w:t>烧结</w:t>
      </w:r>
      <w:r>
        <w:rPr>
          <w:rFonts w:hint="eastAsia" w:ascii="Times New Roman" w:hAnsi="Times New Roman" w:cs="Times New Roman"/>
        </w:rPr>
        <w:t>车间</w:t>
      </w:r>
      <w:r>
        <w:rPr>
          <w:rFonts w:hint="eastAsia" w:ascii="Times New Roman" w:hAnsi="Times New Roman" w:cs="Times New Roman"/>
          <w:lang w:eastAsia="zh-CN"/>
        </w:rPr>
        <w:t>、</w:t>
      </w:r>
      <w:r>
        <w:rPr>
          <w:rFonts w:hint="eastAsia" w:ascii="Times New Roman" w:hAnsi="Times New Roman" w:cs="Times New Roman"/>
          <w:lang w:val="en-US" w:eastAsia="zh-CN"/>
        </w:rPr>
        <w:t>球团竖炉</w:t>
      </w:r>
      <w:r>
        <w:rPr>
          <w:rFonts w:hint="eastAsia" w:ascii="Times New Roman" w:hAnsi="Times New Roman" w:cs="Times New Roman"/>
        </w:rPr>
        <w:t>未捕集烟气，主要污染物为颗粒物</w:t>
      </w:r>
      <w:r>
        <w:rPr>
          <w:rFonts w:ascii="Times New Roman" w:hAnsi="Times New Roman" w:cs="Times New Roman"/>
        </w:rPr>
        <w:t>。</w:t>
      </w:r>
    </w:p>
    <w:p w14:paraId="5DB509BC">
      <w:pPr>
        <w:spacing w:line="500" w:lineRule="exact"/>
        <w:ind w:firstLine="480" w:firstLineChars="200"/>
        <w:rPr>
          <w:rFonts w:hint="eastAsia" w:ascii="Times New Roman" w:hAnsi="Times New Roman" w:cs="Times New Roman"/>
        </w:rPr>
      </w:pPr>
      <w:r>
        <w:rPr>
          <w:rFonts w:hint="eastAsia" w:ascii="Times New Roman" w:hAnsi="Times New Roman" w:cs="Times New Roman"/>
        </w:rPr>
        <w:t>本项目实施后，全厂废气收集处理系统工艺流程详见图7.2-1。</w:t>
      </w:r>
    </w:p>
    <w:p w14:paraId="6958A956">
      <w:pPr>
        <w:pStyle w:val="2"/>
        <w:ind w:left="0" w:leftChars="0" w:firstLine="0" w:firstLineChars="0"/>
        <w:rPr>
          <w:rFonts w:hint="eastAsia" w:eastAsia="方正书宋简体"/>
          <w:lang w:eastAsia="zh-CN"/>
        </w:rPr>
      </w:pPr>
      <w:r>
        <w:rPr>
          <w:rFonts w:hint="eastAsia" w:eastAsia="方正书宋简体"/>
          <w:lang w:eastAsia="zh-CN"/>
        </w:rPr>
        <w:drawing>
          <wp:inline distT="0" distB="0" distL="114300" distR="114300">
            <wp:extent cx="5306060" cy="6884035"/>
            <wp:effectExtent l="0" t="0" r="8890" b="12065"/>
            <wp:docPr id="58" name="E657119C-6982-421D-8BA7-E74DEB70A7D9-1" descr="w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E657119C-6982-421D-8BA7-E74DEB70A7D9-1" descr="wps"/>
                    <pic:cNvPicPr>
                      <a:picLocks noChangeAspect="1"/>
                    </pic:cNvPicPr>
                  </pic:nvPicPr>
                  <pic:blipFill>
                    <a:blip r:embed="rId121"/>
                    <a:stretch>
                      <a:fillRect/>
                    </a:stretch>
                  </pic:blipFill>
                  <pic:spPr>
                    <a:xfrm>
                      <a:off x="0" y="0"/>
                      <a:ext cx="5306060" cy="6884035"/>
                    </a:xfrm>
                    <a:prstGeom prst="rect">
                      <a:avLst/>
                    </a:prstGeom>
                  </pic:spPr>
                </pic:pic>
              </a:graphicData>
            </a:graphic>
          </wp:inline>
        </w:drawing>
      </w:r>
      <w:bookmarkStart w:id="755" w:name="_GoBack"/>
      <w:bookmarkEnd w:id="755"/>
    </w:p>
    <w:p w14:paraId="42E3A810">
      <w:pPr>
        <w:jc w:val="center"/>
        <w:rPr>
          <w:rFonts w:ascii="Times New Roman" w:hAnsi="Times New Roman" w:cs="Times New Roman"/>
        </w:rPr>
      </w:pPr>
      <w:r>
        <w:rPr>
          <w:rFonts w:ascii="Times New Roman" w:hAnsi="Times New Roman" w:eastAsia="黑体" w:cs="Times New Roman"/>
        </w:rPr>
        <w:t>图7.2-1    本项目废气收集处理系统工艺流程图</w:t>
      </w:r>
    </w:p>
    <w:p w14:paraId="4031870F">
      <w:pPr>
        <w:pStyle w:val="133"/>
      </w:pPr>
      <w:r>
        <w:t>7.2.1.1 有组织废气捕集措施</w:t>
      </w:r>
    </w:p>
    <w:p w14:paraId="4CB168D7">
      <w:pPr>
        <w:spacing w:line="500" w:lineRule="exact"/>
        <w:ind w:firstLine="480" w:firstLineChars="200"/>
        <w:rPr>
          <w:rFonts w:hint="eastAsia" w:ascii="Times New Roman" w:hAnsi="Times New Roman" w:eastAsia="宋体" w:cs="Times New Roman"/>
        </w:rPr>
      </w:pPr>
      <w:r>
        <w:rPr>
          <w:rFonts w:hint="eastAsia" w:ascii="Times New Roman" w:hAnsi="Times New Roman" w:eastAsia="宋体" w:cs="Times New Roman"/>
        </w:rPr>
        <w:t>本项目对典型产尘点有针对性的采取了捕集措施，具体情况见下表。</w:t>
      </w:r>
    </w:p>
    <w:p w14:paraId="463F1532">
      <w:pPr>
        <w:jc w:val="center"/>
      </w:pPr>
      <w:r>
        <w:t>表7.1.1-1 本项目废气捕集措施一览表</w:t>
      </w:r>
    </w:p>
    <w:tbl>
      <w:tblPr>
        <w:tblStyle w:val="56"/>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557"/>
        <w:gridCol w:w="1459"/>
        <w:gridCol w:w="6705"/>
      </w:tblGrid>
      <w:tr w14:paraId="1FE878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0" w:type="auto"/>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7F9B2194">
            <w:pPr>
              <w:jc w:val="center"/>
              <w:rPr>
                <w:b/>
                <w:sz w:val="21"/>
                <w:szCs w:val="21"/>
              </w:rPr>
            </w:pPr>
            <w:r>
              <w:rPr>
                <w:b/>
                <w:sz w:val="21"/>
                <w:szCs w:val="21"/>
              </w:rPr>
              <w:t>序号</w:t>
            </w:r>
          </w:p>
        </w:tc>
        <w:tc>
          <w:tcPr>
            <w:tcW w:w="0" w:type="auto"/>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29D83BE1">
            <w:pPr>
              <w:jc w:val="center"/>
              <w:rPr>
                <w:b/>
                <w:sz w:val="21"/>
                <w:szCs w:val="21"/>
              </w:rPr>
            </w:pPr>
            <w:r>
              <w:rPr>
                <w:b/>
                <w:sz w:val="21"/>
                <w:szCs w:val="21"/>
              </w:rPr>
              <w:t>污染源</w:t>
            </w:r>
          </w:p>
        </w:tc>
        <w:tc>
          <w:tcPr>
            <w:tcW w:w="0" w:type="auto"/>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72584E99">
            <w:pPr>
              <w:jc w:val="center"/>
              <w:rPr>
                <w:b/>
                <w:sz w:val="21"/>
                <w:szCs w:val="21"/>
              </w:rPr>
            </w:pPr>
            <w:r>
              <w:rPr>
                <w:b/>
                <w:sz w:val="21"/>
                <w:szCs w:val="21"/>
              </w:rPr>
              <w:t>采取的捕集措施</w:t>
            </w:r>
          </w:p>
        </w:tc>
      </w:tr>
      <w:tr w14:paraId="4D2F04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0" w:type="auto"/>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24D5278D">
            <w:pPr>
              <w:rPr>
                <w:sz w:val="21"/>
                <w:szCs w:val="21"/>
              </w:rPr>
            </w:pPr>
            <w:r>
              <w:rPr>
                <w:sz w:val="21"/>
                <w:szCs w:val="21"/>
              </w:rPr>
              <w:t>1</w:t>
            </w:r>
          </w:p>
        </w:tc>
        <w:tc>
          <w:tcPr>
            <w:tcW w:w="0" w:type="auto"/>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1B30B28F">
            <w:pPr>
              <w:rPr>
                <w:sz w:val="21"/>
                <w:szCs w:val="21"/>
              </w:rPr>
            </w:pPr>
            <w:r>
              <w:rPr>
                <w:sz w:val="21"/>
                <w:szCs w:val="21"/>
              </w:rPr>
              <w:t>燃料转运及破碎废气</w:t>
            </w:r>
          </w:p>
        </w:tc>
        <w:tc>
          <w:tcPr>
            <w:tcW w:w="0" w:type="auto"/>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14F6FE64">
            <w:pPr>
              <w:rPr>
                <w:sz w:val="21"/>
                <w:szCs w:val="21"/>
              </w:rPr>
            </w:pPr>
            <w:r>
              <w:rPr>
                <w:sz w:val="21"/>
                <w:szCs w:val="21"/>
              </w:rPr>
              <w:t>在燃料转运落料点、破碎机入料点上方设集气罩捕集含尘气体。</w:t>
            </w:r>
          </w:p>
        </w:tc>
      </w:tr>
      <w:tr w14:paraId="1B3E4A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0" w:type="auto"/>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1CBABF83">
            <w:pPr>
              <w:rPr>
                <w:sz w:val="21"/>
                <w:szCs w:val="21"/>
              </w:rPr>
            </w:pPr>
            <w:r>
              <w:rPr>
                <w:sz w:val="21"/>
                <w:szCs w:val="21"/>
              </w:rPr>
              <w:t>2</w:t>
            </w:r>
          </w:p>
        </w:tc>
        <w:tc>
          <w:tcPr>
            <w:tcW w:w="0" w:type="auto"/>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22B210C1">
            <w:pPr>
              <w:rPr>
                <w:sz w:val="21"/>
                <w:szCs w:val="21"/>
              </w:rPr>
            </w:pPr>
            <w:r>
              <w:rPr>
                <w:sz w:val="21"/>
                <w:szCs w:val="21"/>
              </w:rPr>
              <w:t>烧结配料废气</w:t>
            </w:r>
          </w:p>
        </w:tc>
        <w:tc>
          <w:tcPr>
            <w:tcW w:w="0" w:type="auto"/>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3DCB939B">
            <w:pPr>
              <w:rPr>
                <w:sz w:val="21"/>
                <w:szCs w:val="21"/>
              </w:rPr>
            </w:pPr>
            <w:r>
              <w:rPr>
                <w:sz w:val="21"/>
                <w:szCs w:val="21"/>
              </w:rPr>
              <w:t>①物料转运落料点设置集气罩；</w:t>
            </w:r>
            <w:r>
              <w:rPr>
                <w:sz w:val="21"/>
                <w:szCs w:val="21"/>
              </w:rPr>
              <w:br w:type="textWrapping"/>
            </w:r>
            <w:r>
              <w:rPr>
                <w:sz w:val="21"/>
                <w:szCs w:val="21"/>
              </w:rPr>
              <w:t>②除尘灰仓、生石灰仓顶设置袋式除尘器，仓下采用集气罩收集。其余料仓仓上设置集气管、仓下设置集气罩。</w:t>
            </w:r>
            <w:r>
              <w:rPr>
                <w:sz w:val="21"/>
                <w:szCs w:val="21"/>
              </w:rPr>
              <w:br w:type="textWrapping"/>
            </w:r>
            <w:r>
              <w:rPr>
                <w:sz w:val="21"/>
                <w:szCs w:val="21"/>
              </w:rPr>
              <w:t>③各料仓均为密闭料仓。</w:t>
            </w:r>
          </w:p>
        </w:tc>
      </w:tr>
      <w:tr w14:paraId="15D01C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0" w:type="auto"/>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6B05D107">
            <w:pPr>
              <w:rPr>
                <w:sz w:val="21"/>
                <w:szCs w:val="21"/>
              </w:rPr>
            </w:pPr>
            <w:r>
              <w:rPr>
                <w:sz w:val="21"/>
                <w:szCs w:val="21"/>
              </w:rPr>
              <w:t>3</w:t>
            </w:r>
          </w:p>
        </w:tc>
        <w:tc>
          <w:tcPr>
            <w:tcW w:w="0" w:type="auto"/>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4259584D">
            <w:pPr>
              <w:rPr>
                <w:sz w:val="21"/>
                <w:szCs w:val="21"/>
              </w:rPr>
            </w:pPr>
            <w:r>
              <w:rPr>
                <w:sz w:val="21"/>
                <w:szCs w:val="21"/>
              </w:rPr>
              <w:t>混合机废气</w:t>
            </w:r>
          </w:p>
        </w:tc>
        <w:tc>
          <w:tcPr>
            <w:tcW w:w="0" w:type="auto"/>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747A14E6">
            <w:pPr>
              <w:rPr>
                <w:sz w:val="21"/>
                <w:szCs w:val="21"/>
              </w:rPr>
            </w:pPr>
            <w:r>
              <w:rPr>
                <w:sz w:val="21"/>
                <w:szCs w:val="21"/>
              </w:rPr>
              <w:t>一次混合机二次混合机采取密闭形式，混合机进料废气全部进入湿式水浴除尘器。</w:t>
            </w:r>
          </w:p>
        </w:tc>
      </w:tr>
      <w:tr w14:paraId="5342DB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0" w:type="auto"/>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3B375993">
            <w:pPr>
              <w:rPr>
                <w:sz w:val="21"/>
                <w:szCs w:val="21"/>
              </w:rPr>
            </w:pPr>
            <w:r>
              <w:rPr>
                <w:sz w:val="21"/>
                <w:szCs w:val="21"/>
              </w:rPr>
              <w:t>4</w:t>
            </w:r>
          </w:p>
        </w:tc>
        <w:tc>
          <w:tcPr>
            <w:tcW w:w="0" w:type="auto"/>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71190DC6">
            <w:pPr>
              <w:rPr>
                <w:sz w:val="21"/>
                <w:szCs w:val="21"/>
              </w:rPr>
            </w:pPr>
            <w:r>
              <w:rPr>
                <w:sz w:val="21"/>
                <w:szCs w:val="21"/>
              </w:rPr>
              <w:t>布料废气</w:t>
            </w:r>
          </w:p>
        </w:tc>
        <w:tc>
          <w:tcPr>
            <w:tcW w:w="0" w:type="auto"/>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529E103C">
            <w:pPr>
              <w:rPr>
                <w:sz w:val="21"/>
                <w:szCs w:val="21"/>
              </w:rPr>
            </w:pPr>
            <w:r>
              <w:rPr>
                <w:sz w:val="21"/>
                <w:szCs w:val="21"/>
              </w:rPr>
              <w:t>烧结机头铺底料仓仓上、料斗上设置集气罩。</w:t>
            </w:r>
          </w:p>
        </w:tc>
      </w:tr>
      <w:tr w14:paraId="586E65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0" w:type="auto"/>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3125BCB9">
            <w:pPr>
              <w:rPr>
                <w:sz w:val="21"/>
                <w:szCs w:val="21"/>
              </w:rPr>
            </w:pPr>
            <w:r>
              <w:rPr>
                <w:sz w:val="21"/>
                <w:szCs w:val="21"/>
              </w:rPr>
              <w:t>5</w:t>
            </w:r>
          </w:p>
        </w:tc>
        <w:tc>
          <w:tcPr>
            <w:tcW w:w="0" w:type="auto"/>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3B8379AA">
            <w:pPr>
              <w:rPr>
                <w:sz w:val="21"/>
                <w:szCs w:val="21"/>
              </w:rPr>
            </w:pPr>
            <w:r>
              <w:rPr>
                <w:sz w:val="21"/>
                <w:szCs w:val="21"/>
              </w:rPr>
              <w:t>烧结机头烟气</w:t>
            </w:r>
          </w:p>
        </w:tc>
        <w:tc>
          <w:tcPr>
            <w:tcW w:w="0" w:type="auto"/>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164211C4">
            <w:pPr>
              <w:rPr>
                <w:sz w:val="21"/>
                <w:szCs w:val="21"/>
              </w:rPr>
            </w:pPr>
            <w:r>
              <w:rPr>
                <w:sz w:val="21"/>
                <w:szCs w:val="21"/>
              </w:rPr>
              <w:t>烧结烟道收集。</w:t>
            </w:r>
          </w:p>
        </w:tc>
      </w:tr>
      <w:tr w14:paraId="02BD2A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0" w:type="auto"/>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48B6A1A5">
            <w:pPr>
              <w:rPr>
                <w:sz w:val="21"/>
                <w:szCs w:val="21"/>
              </w:rPr>
            </w:pPr>
            <w:r>
              <w:rPr>
                <w:sz w:val="21"/>
                <w:szCs w:val="21"/>
              </w:rPr>
              <w:t>6</w:t>
            </w:r>
          </w:p>
        </w:tc>
        <w:tc>
          <w:tcPr>
            <w:tcW w:w="0" w:type="auto"/>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1D89BFD9">
            <w:pPr>
              <w:rPr>
                <w:sz w:val="21"/>
                <w:szCs w:val="21"/>
              </w:rPr>
            </w:pPr>
            <w:r>
              <w:rPr>
                <w:sz w:val="21"/>
                <w:szCs w:val="21"/>
              </w:rPr>
              <w:t>机尾破碎及冷却废气</w:t>
            </w:r>
          </w:p>
        </w:tc>
        <w:tc>
          <w:tcPr>
            <w:tcW w:w="0" w:type="auto"/>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7D3C4388">
            <w:pPr>
              <w:rPr>
                <w:sz w:val="21"/>
                <w:szCs w:val="21"/>
              </w:rPr>
            </w:pPr>
            <w:r>
              <w:rPr>
                <w:sz w:val="21"/>
                <w:szCs w:val="21"/>
              </w:rPr>
              <w:t>烧结机尾设大容积密闭罩，环冷机受料点、卸料点设集气罩。</w:t>
            </w:r>
          </w:p>
        </w:tc>
      </w:tr>
      <w:tr w14:paraId="022441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0" w:type="auto"/>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4BAEEEC3">
            <w:pPr>
              <w:rPr>
                <w:sz w:val="21"/>
                <w:szCs w:val="21"/>
              </w:rPr>
            </w:pPr>
            <w:r>
              <w:rPr>
                <w:sz w:val="21"/>
                <w:szCs w:val="21"/>
              </w:rPr>
              <w:t>7</w:t>
            </w:r>
          </w:p>
        </w:tc>
        <w:tc>
          <w:tcPr>
            <w:tcW w:w="0" w:type="auto"/>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1B32D35A">
            <w:pPr>
              <w:rPr>
                <w:sz w:val="21"/>
                <w:szCs w:val="21"/>
              </w:rPr>
            </w:pPr>
            <w:r>
              <w:rPr>
                <w:sz w:val="21"/>
                <w:szCs w:val="21"/>
              </w:rPr>
              <w:t>成品筛分废气</w:t>
            </w:r>
          </w:p>
        </w:tc>
        <w:tc>
          <w:tcPr>
            <w:tcW w:w="0" w:type="auto"/>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4420C507">
            <w:pPr>
              <w:rPr>
                <w:sz w:val="21"/>
                <w:szCs w:val="21"/>
              </w:rPr>
            </w:pPr>
            <w:r>
              <w:rPr>
                <w:sz w:val="21"/>
                <w:szCs w:val="21"/>
              </w:rPr>
              <w:t>筛分机上方设密闭罩。</w:t>
            </w:r>
          </w:p>
        </w:tc>
      </w:tr>
      <w:tr w14:paraId="0F610D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0" w:type="auto"/>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7186BA8B">
            <w:pPr>
              <w:rPr>
                <w:sz w:val="21"/>
                <w:szCs w:val="21"/>
              </w:rPr>
            </w:pPr>
            <w:r>
              <w:rPr>
                <w:sz w:val="21"/>
                <w:szCs w:val="21"/>
              </w:rPr>
              <w:t>8</w:t>
            </w:r>
          </w:p>
        </w:tc>
        <w:tc>
          <w:tcPr>
            <w:tcW w:w="0" w:type="auto"/>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33579039">
            <w:pPr>
              <w:rPr>
                <w:sz w:val="21"/>
                <w:szCs w:val="21"/>
              </w:rPr>
            </w:pPr>
            <w:r>
              <w:rPr>
                <w:sz w:val="21"/>
                <w:szCs w:val="21"/>
              </w:rPr>
              <w:t>成品仓废气</w:t>
            </w:r>
          </w:p>
        </w:tc>
        <w:tc>
          <w:tcPr>
            <w:tcW w:w="0" w:type="auto"/>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0080D69F">
            <w:pPr>
              <w:rPr>
                <w:sz w:val="21"/>
                <w:szCs w:val="21"/>
              </w:rPr>
            </w:pPr>
            <w:r>
              <w:rPr>
                <w:sz w:val="21"/>
                <w:szCs w:val="21"/>
              </w:rPr>
              <w:t>①物料转运落料点设置集气罩；</w:t>
            </w:r>
            <w:r>
              <w:rPr>
                <w:sz w:val="21"/>
                <w:szCs w:val="21"/>
              </w:rPr>
              <w:br w:type="textWrapping"/>
            </w:r>
            <w:r>
              <w:rPr>
                <w:sz w:val="21"/>
                <w:szCs w:val="21"/>
              </w:rPr>
              <w:t>②料仓均为密闭料仓，料仓上设置集气管、仓下设置集气罩。</w:t>
            </w:r>
          </w:p>
        </w:tc>
      </w:tr>
    </w:tbl>
    <w:p w14:paraId="577A7CFC">
      <w:pPr>
        <w:ind w:firstLine="480" w:firstLineChars="200"/>
        <w:jc w:val="left"/>
      </w:pPr>
      <w:r>
        <w:t>根据不同废气来源，技改项目采用设备密闭、设置集气管、集气罩等方式捕集含尘废气，采取的捕集措施均符合《钢铁工业除尘工程技术规范》（HJ435-2008）中的相关要求。类比现有工程及同类工程在采取上述同样捕集措施的情况下，捕集效率较好。经分析可知，技改项目在各个产尘点采用的捕集措施捕集效率可≥95%，因此技改项目采取的捕集措施可行。</w:t>
      </w:r>
    </w:p>
    <w:p w14:paraId="24C9C7EE">
      <w:pPr>
        <w:pStyle w:val="52"/>
        <w:keepNext w:val="0"/>
        <w:keepLines w:val="0"/>
        <w:widowControl/>
        <w:suppressLineNumbers w:val="0"/>
        <w:spacing w:line="240" w:lineRule="auto"/>
        <w:ind w:left="0" w:firstLine="0"/>
        <w:jc w:val="left"/>
        <w:textAlignment w:val="center"/>
      </w:pPr>
      <w:r>
        <w:rPr>
          <w:rFonts w:hint="default" w:ascii="Times New Roman" w:hAnsi="Times New Roman" w:cs="Times New Roman"/>
          <w:b/>
          <w:bCs/>
          <w:color w:val="000000"/>
          <w:spacing w:val="0"/>
          <w:position w:val="0"/>
          <w:sz w:val="24"/>
          <w:szCs w:val="24"/>
        </w:rPr>
        <w:t xml:space="preserve">7.1.1.2 </w:t>
      </w:r>
      <w:r>
        <w:rPr>
          <w:rFonts w:hint="eastAsia" w:ascii="宋体" w:hAnsi="宋体" w:eastAsia="宋体" w:cs="宋体"/>
          <w:b/>
          <w:bCs/>
          <w:color w:val="000000"/>
          <w:spacing w:val="0"/>
          <w:position w:val="0"/>
          <w:sz w:val="24"/>
          <w:szCs w:val="24"/>
        </w:rPr>
        <w:t>含尘废气治理措施</w:t>
      </w:r>
    </w:p>
    <w:p w14:paraId="3EE2F86A">
      <w:pPr>
        <w:ind w:firstLine="480" w:firstLineChars="200"/>
        <w:jc w:val="left"/>
        <w:rPr>
          <w:rFonts w:ascii="宋体" w:hAnsi="宋体" w:eastAsia="宋体" w:cs="宋体"/>
        </w:rPr>
      </w:pPr>
      <w:r>
        <w:rPr>
          <w:rFonts w:hint="eastAsia" w:ascii="宋体" w:hAnsi="宋体" w:eastAsia="宋体" w:cs="宋体"/>
        </w:rPr>
        <w:t>钢铁企业是粉尘排放大户，需采取有效的捕集措施将含尘气体收集后送袋式除尘器进行净化后达标排放。</w:t>
      </w:r>
    </w:p>
    <w:p w14:paraId="2246726C">
      <w:pPr>
        <w:ind w:firstLine="480" w:firstLineChars="200"/>
        <w:jc w:val="left"/>
        <w:rPr>
          <w:rFonts w:ascii="宋体" w:hAnsi="宋体" w:eastAsia="宋体" w:cs="宋体"/>
        </w:rPr>
      </w:pPr>
      <w:r>
        <w:rPr>
          <w:rFonts w:hint="eastAsia" w:ascii="宋体" w:hAnsi="宋体" w:eastAsia="宋体" w:cs="宋体"/>
        </w:rPr>
        <w:t>（</w:t>
      </w:r>
      <w:r>
        <w:rPr>
          <w:rFonts w:hint="default" w:ascii="宋体" w:hAnsi="宋体" w:eastAsia="宋体" w:cs="宋体"/>
        </w:rPr>
        <w:t>1</w:t>
      </w:r>
      <w:r>
        <w:rPr>
          <w:rFonts w:hint="eastAsia" w:ascii="宋体" w:hAnsi="宋体" w:eastAsia="宋体" w:cs="宋体"/>
        </w:rPr>
        <w:t>）袋式除尘器原理</w:t>
      </w:r>
    </w:p>
    <w:p w14:paraId="5A65E375">
      <w:pPr>
        <w:ind w:firstLine="480" w:firstLineChars="200"/>
        <w:jc w:val="left"/>
        <w:rPr>
          <w:rFonts w:hint="eastAsia" w:ascii="宋体" w:hAnsi="宋体" w:eastAsia="宋体" w:cs="宋体"/>
        </w:rPr>
      </w:pPr>
      <w:r>
        <w:rPr>
          <w:rFonts w:hint="eastAsia" w:ascii="宋体" w:hAnsi="宋体" w:eastAsia="宋体" w:cs="宋体"/>
        </w:rPr>
        <w:t>含尘气体进入挂有一定数量滤袋的袋室后，被滤袋纤维过滤。随着阻留的粉尘不断增加，一部分粉尘嵌入滤料内部；一部分覆盖在滤袋表面形成一层粉尘层。此时，含尘气体的过滤主要依靠粉尘层进行。其除尘机理为含尘气体通过粉尘层与滤料时产生的筛分、惯性、粘附、扩散与静电等作用，使粉尘得到捕集。当粉尘层加厚，压力损失达到一定程度时，需要进行清灰。清灰后压力降低，但仍有一部分粉尘残留在滤袋上，在下一个过滤周期开始时，起良好的捕尘作用。</w:t>
      </w:r>
    </w:p>
    <w:p w14:paraId="172D243E">
      <w:pPr>
        <w:ind w:firstLine="480" w:firstLineChars="200"/>
        <w:jc w:val="left"/>
        <w:rPr>
          <w:rFonts w:hint="eastAsia" w:ascii="宋体" w:hAnsi="宋体" w:eastAsia="宋体" w:cs="宋体"/>
        </w:rPr>
      </w:pPr>
      <w:r>
        <w:rPr>
          <w:rFonts w:hint="eastAsia" w:ascii="宋体" w:hAnsi="宋体" w:eastAsia="宋体" w:cs="宋体"/>
        </w:rPr>
        <w:t>袋式除尘技术是利用纤维织物的过滤作用对含尘气体进行过滤分离。当含尘气体进入袋式除尘器后，粒径大、比重大的粉尘在重力作用下沉降，落入灰斗；携带烟尘的气体通过滤料时，细小粉尘被阻留在滤料上，气体通过滤料，从而尘气分离，使含尘气体得到净化。</w:t>
      </w:r>
    </w:p>
    <w:p w14:paraId="15162749">
      <w:pPr>
        <w:ind w:firstLine="480" w:firstLineChars="200"/>
        <w:jc w:val="left"/>
        <w:rPr>
          <w:rFonts w:hint="eastAsia" w:ascii="宋体" w:hAnsi="宋体" w:eastAsia="宋体" w:cs="宋体"/>
        </w:rPr>
      </w:pPr>
      <w:r>
        <w:rPr>
          <w:rFonts w:hint="eastAsia" w:ascii="宋体" w:hAnsi="宋体" w:eastAsia="宋体" w:cs="宋体"/>
        </w:rPr>
        <w:t>袋式除尘器属高效除尘设备，广泛应用于粉尘的净化过程。袋式除尘器对粉尘比电阻变化适应性强，适用于温度和水分不高且波动不大的含尘废气的净化。粉尘和烟气成分不同时，袋式除尘器可能需要采用不同的滤料。滤袋破损时需要更换，运行维护工作量较大，对制造、安装、运行、维护都有较高要求。</w:t>
      </w:r>
    </w:p>
    <w:p w14:paraId="5FB9E72C">
      <w:pPr>
        <w:ind w:firstLine="480" w:firstLineChars="200"/>
        <w:jc w:val="left"/>
        <w:rPr>
          <w:rFonts w:hint="eastAsia" w:ascii="宋体" w:hAnsi="宋体" w:eastAsia="宋体" w:cs="宋体"/>
        </w:rPr>
      </w:pPr>
      <w:r>
        <w:rPr>
          <w:rFonts w:hint="eastAsia" w:ascii="宋体" w:hAnsi="宋体" w:eastAsia="宋体" w:cs="宋体"/>
        </w:rPr>
        <w:t>（</w:t>
      </w:r>
      <w:r>
        <w:rPr>
          <w:rFonts w:hint="eastAsia" w:ascii="宋体" w:hAnsi="宋体" w:eastAsia="宋体" w:cs="宋体"/>
          <w:lang w:val="en-US" w:eastAsia="zh-CN"/>
        </w:rPr>
        <w:t>2</w:t>
      </w:r>
      <w:r>
        <w:rPr>
          <w:rFonts w:hint="eastAsia" w:ascii="宋体" w:hAnsi="宋体" w:eastAsia="宋体" w:cs="宋体"/>
        </w:rPr>
        <w:t>）袋式除尘器滤料选择</w:t>
      </w:r>
    </w:p>
    <w:p w14:paraId="6656B25A">
      <w:pPr>
        <w:ind w:firstLine="480" w:firstLineChars="200"/>
        <w:jc w:val="left"/>
        <w:rPr>
          <w:rFonts w:hint="eastAsia" w:ascii="宋体" w:hAnsi="宋体" w:eastAsia="宋体" w:cs="宋体"/>
        </w:rPr>
      </w:pPr>
      <w:r>
        <w:rPr>
          <w:rFonts w:hint="eastAsia" w:ascii="宋体" w:hAnsi="宋体" w:eastAsia="宋体" w:cs="宋体"/>
        </w:rPr>
        <w:t>根据袋式除尘器原理分析可知，对袋式除尘器效率起决定性作用的是滤袋的选择。滤袋的材质包括天然纤维和化学纤维，目前应用较为广泛的是化学纤维，包括有涤纶机织布和涤纶、腈纶、丙纶针刺毡等。综合对比断裂强度、耐磨性、定长回弹率等各方面性质，涤纶材质具有较好的综合性能以及广泛的适用性；同时由于涤纶针刺毡滤料工作原理是</w:t>
      </w:r>
      <w:r>
        <w:rPr>
          <w:rFonts w:hint="default" w:ascii="宋体" w:hAnsi="宋体" w:eastAsia="宋体" w:cs="宋体"/>
        </w:rPr>
        <w:t>“</w:t>
      </w:r>
      <w:r>
        <w:rPr>
          <w:rFonts w:hint="eastAsia" w:ascii="宋体" w:hAnsi="宋体" w:eastAsia="宋体" w:cs="宋体"/>
        </w:rPr>
        <w:t>深层过滤</w:t>
      </w:r>
      <w:r>
        <w:rPr>
          <w:rFonts w:hint="default" w:ascii="宋体" w:hAnsi="宋体" w:eastAsia="宋体" w:cs="宋体"/>
        </w:rPr>
        <w:t>”</w:t>
      </w:r>
      <w:r>
        <w:rPr>
          <w:rFonts w:hint="eastAsia" w:ascii="宋体" w:hAnsi="宋体" w:eastAsia="宋体" w:cs="宋体"/>
        </w:rPr>
        <w:t>，即通过滤料纤维的捕集，先在滤料表面形成</w:t>
      </w:r>
      <w:r>
        <w:rPr>
          <w:rFonts w:hint="default" w:ascii="宋体" w:hAnsi="宋体" w:eastAsia="宋体" w:cs="宋体"/>
        </w:rPr>
        <w:t>“</w:t>
      </w:r>
      <w:r>
        <w:rPr>
          <w:rFonts w:hint="eastAsia" w:ascii="宋体" w:hAnsi="宋体" w:eastAsia="宋体" w:cs="宋体"/>
        </w:rPr>
        <w:t>一次粉尘层</w:t>
      </w:r>
      <w:r>
        <w:rPr>
          <w:rFonts w:hint="default" w:ascii="宋体" w:hAnsi="宋体" w:eastAsia="宋体" w:cs="宋体"/>
        </w:rPr>
        <w:t>”</w:t>
      </w:r>
      <w:r>
        <w:rPr>
          <w:rFonts w:hint="eastAsia" w:ascii="宋体" w:hAnsi="宋体" w:eastAsia="宋体" w:cs="宋体"/>
        </w:rPr>
        <w:t>（即粉饼），再通过这层粉饼来过滤后续的粉尘；在使用初期，由于滤料本身的空隙较大，部分粉尘会穿过滤料排放出去，只有当粉饼形成后过滤过程才真正开始；继续使用后，滤料表面的粉尘会逐渐渗入到滤料中，导致滤料孔隙堵塞，使设备运行阻力不断增加，直至必须更换滤料为止。</w:t>
      </w:r>
    </w:p>
    <w:p w14:paraId="061D4ED6">
      <w:pPr>
        <w:ind w:firstLine="480" w:firstLineChars="200"/>
        <w:jc w:val="left"/>
        <w:rPr>
          <w:rFonts w:hint="eastAsia" w:ascii="宋体" w:hAnsi="宋体" w:eastAsia="宋体" w:cs="宋体"/>
        </w:rPr>
      </w:pPr>
      <w:r>
        <w:rPr>
          <w:rFonts w:hint="eastAsia" w:ascii="宋体" w:hAnsi="宋体" w:eastAsia="宋体" w:cs="宋体"/>
        </w:rPr>
        <w:t>为了克服普通滤料初期低效率、后期高耗能、滤料更换周期高等缺点，目前普遍采用覆膜滤料，即在普通滤料表面复合一层薄膜而形成的一种新型滤料，这层薄膜相当于起到了</w:t>
      </w:r>
      <w:r>
        <w:rPr>
          <w:rFonts w:hint="default" w:ascii="宋体" w:hAnsi="宋体" w:eastAsia="宋体" w:cs="宋体"/>
        </w:rPr>
        <w:t>“</w:t>
      </w:r>
      <w:r>
        <w:rPr>
          <w:rFonts w:hint="eastAsia" w:ascii="宋体" w:hAnsi="宋体" w:eastAsia="宋体" w:cs="宋体"/>
        </w:rPr>
        <w:t>一次粉尘层</w:t>
      </w:r>
      <w:r>
        <w:rPr>
          <w:rFonts w:hint="default" w:ascii="宋体" w:hAnsi="宋体" w:eastAsia="宋体" w:cs="宋体"/>
        </w:rPr>
        <w:t>”</w:t>
      </w:r>
      <w:r>
        <w:rPr>
          <w:rFonts w:hint="eastAsia" w:ascii="宋体" w:hAnsi="宋体" w:eastAsia="宋体" w:cs="宋体"/>
        </w:rPr>
        <w:t>的作用，物料交换是在膜表面进行的，使用之初就能进行有效的过滤；薄膜特有的立体网状结构，使粉尘无法穿过，无孔隙堵塞危害；过滤膜通常是由高分子聚合物制成的，厚度一般为</w:t>
      </w:r>
      <w:r>
        <w:rPr>
          <w:rFonts w:hint="default" w:ascii="宋体" w:hAnsi="宋体" w:eastAsia="宋体" w:cs="宋体"/>
        </w:rPr>
        <w:t>100~150μm</w:t>
      </w:r>
      <w:r>
        <w:rPr>
          <w:rFonts w:hint="eastAsia" w:ascii="宋体" w:hAnsi="宋体" w:eastAsia="宋体" w:cs="宋体"/>
        </w:rPr>
        <w:t>，微孔滤膜孔径小，捕集率很高，即使对不同粒径的微细粒子也有较高的捕集率，并可防止进入滤料深处，不需要形成普通滤料具有的粉尘初层，清灰容易。这一特性为袋式除尘器在潮湿条件下工作防止因结露造成滤袋结垢而失效创造了一定的条件，同时防止滤料的堵塞和结垢，降低滤料的阻力，因而有利于降低除尘器系统运行的能耗。</w:t>
      </w:r>
    </w:p>
    <w:p w14:paraId="2FE850BD">
      <w:pPr>
        <w:ind w:firstLine="480" w:firstLineChars="200"/>
        <w:jc w:val="left"/>
        <w:rPr>
          <w:rFonts w:hint="eastAsia" w:ascii="宋体" w:hAnsi="宋体" w:eastAsia="宋体" w:cs="宋体"/>
        </w:rPr>
      </w:pPr>
      <w:r>
        <w:rPr>
          <w:rFonts w:hint="eastAsia" w:ascii="宋体" w:hAnsi="宋体" w:eastAsia="宋体" w:cs="宋体"/>
        </w:rPr>
        <w:t>（</w:t>
      </w:r>
      <w:r>
        <w:rPr>
          <w:rFonts w:hint="default" w:ascii="宋体" w:hAnsi="宋体" w:eastAsia="宋体" w:cs="宋体"/>
        </w:rPr>
        <w:t>3</w:t>
      </w:r>
      <w:r>
        <w:rPr>
          <w:rFonts w:hint="eastAsia" w:ascii="宋体" w:hAnsi="宋体" w:eastAsia="宋体" w:cs="宋体"/>
        </w:rPr>
        <w:t>）可行性分析</w:t>
      </w:r>
    </w:p>
    <w:p w14:paraId="3F819E43">
      <w:pPr>
        <w:ind w:firstLine="480" w:firstLineChars="200"/>
        <w:jc w:val="left"/>
        <w:rPr>
          <w:rFonts w:hint="eastAsia" w:ascii="宋体" w:hAnsi="宋体" w:eastAsia="宋体" w:cs="宋体"/>
        </w:rPr>
      </w:pPr>
      <w:r>
        <w:rPr>
          <w:rFonts w:hint="eastAsia" w:ascii="宋体" w:hAnsi="宋体" w:eastAsia="宋体" w:cs="宋体"/>
        </w:rPr>
        <w:t>本项目除混合室废气以及烧结机头烟气</w:t>
      </w:r>
      <w:r>
        <w:rPr>
          <w:rFonts w:hint="eastAsia" w:cs="宋体"/>
          <w:lang w:eastAsia="zh-CN"/>
        </w:rPr>
        <w:t>、</w:t>
      </w:r>
      <w:r>
        <w:rPr>
          <w:rFonts w:hint="eastAsia" w:cs="宋体"/>
          <w:lang w:val="en-US" w:eastAsia="zh-CN"/>
        </w:rPr>
        <w:t>球团竖炉烟气</w:t>
      </w:r>
      <w:r>
        <w:rPr>
          <w:rFonts w:hint="eastAsia" w:ascii="宋体" w:hAnsi="宋体" w:eastAsia="宋体" w:cs="宋体"/>
        </w:rPr>
        <w:t>外，其余各产尘点含尘废气净化措施均采用袋式除尘器（覆膜滤料）。袋式除尘器（覆膜滤料）属于《排污许可证申请与核发技术规范 钢铁工业》（</w:t>
      </w:r>
      <w:r>
        <w:rPr>
          <w:rFonts w:hint="default" w:ascii="宋体" w:hAnsi="宋体" w:eastAsia="宋体" w:cs="宋体"/>
        </w:rPr>
        <w:t>HJ846-2017</w:t>
      </w:r>
      <w:r>
        <w:rPr>
          <w:rFonts w:hint="eastAsia" w:ascii="宋体" w:hAnsi="宋体" w:eastAsia="宋体" w:cs="宋体"/>
        </w:rPr>
        <w:t>）中特别排放限值可行技术。除尘器要求按照《钢铁工业除尘工程技术规范》（</w:t>
      </w:r>
      <w:r>
        <w:rPr>
          <w:rFonts w:hint="default" w:ascii="宋体" w:hAnsi="宋体" w:eastAsia="宋体" w:cs="宋体"/>
        </w:rPr>
        <w:t>HJ435-2008</w:t>
      </w:r>
      <w:r>
        <w:rPr>
          <w:rFonts w:hint="eastAsia" w:ascii="宋体" w:hAnsi="宋体" w:eastAsia="宋体" w:cs="宋体"/>
        </w:rPr>
        <w:t>）和《袋式除尘工程通用技术规范》（</w:t>
      </w:r>
      <w:r>
        <w:rPr>
          <w:rFonts w:hint="default" w:ascii="宋体" w:hAnsi="宋体" w:eastAsia="宋体" w:cs="宋体"/>
        </w:rPr>
        <w:t>HJ2020-2012</w:t>
      </w:r>
      <w:r>
        <w:rPr>
          <w:rFonts w:hint="eastAsia" w:ascii="宋体" w:hAnsi="宋体" w:eastAsia="宋体" w:cs="宋体"/>
        </w:rPr>
        <w:t>）等技术规范的要求进行设计、建设、运营维护。</w:t>
      </w:r>
    </w:p>
    <w:p w14:paraId="11D69010">
      <w:pPr>
        <w:ind w:firstLine="480" w:firstLineChars="200"/>
        <w:jc w:val="left"/>
        <w:rPr>
          <w:rFonts w:hint="eastAsia" w:ascii="宋体" w:hAnsi="宋体" w:eastAsia="宋体" w:cs="宋体"/>
        </w:rPr>
      </w:pPr>
      <w:r>
        <w:rPr>
          <w:rFonts w:hint="eastAsia" w:ascii="宋体" w:hAnsi="宋体" w:eastAsia="宋体" w:cs="宋体"/>
        </w:rPr>
        <w:t>经类比调查，烧结机除机头烟气</w:t>
      </w:r>
      <w:r>
        <w:rPr>
          <w:rFonts w:hint="eastAsia" w:cs="宋体"/>
          <w:lang w:eastAsia="zh-CN"/>
        </w:rPr>
        <w:t>、</w:t>
      </w:r>
      <w:r>
        <w:rPr>
          <w:rFonts w:hint="eastAsia" w:cs="宋体"/>
          <w:lang w:val="en-US" w:eastAsia="zh-CN"/>
        </w:rPr>
        <w:t>球团竖炉烟气</w:t>
      </w:r>
      <w:r>
        <w:rPr>
          <w:rFonts w:hint="eastAsia" w:ascii="宋体" w:hAnsi="宋体" w:eastAsia="宋体" w:cs="宋体"/>
        </w:rPr>
        <w:t>外各产尘点含尘废气均采用覆膜料袋式除尘器净化处理，外排颗粒物浓度小于</w:t>
      </w:r>
      <w:r>
        <w:rPr>
          <w:rFonts w:hint="default" w:ascii="宋体" w:hAnsi="宋体" w:eastAsia="宋体" w:cs="宋体"/>
        </w:rPr>
        <w:t>10mg/m</w:t>
      </w:r>
      <w:r>
        <w:rPr>
          <w:rFonts w:hint="default" w:ascii="宋体" w:hAnsi="宋体" w:eastAsia="宋体" w:cs="宋体"/>
          <w:vertAlign w:val="superscript"/>
        </w:rPr>
        <w:t>3</w:t>
      </w:r>
      <w:r>
        <w:rPr>
          <w:rFonts w:hint="eastAsia" w:ascii="宋体" w:hAnsi="宋体" w:eastAsia="宋体" w:cs="宋体"/>
        </w:rPr>
        <w:t>。</w:t>
      </w:r>
    </w:p>
    <w:p w14:paraId="01DFF948">
      <w:pPr>
        <w:ind w:firstLine="480" w:firstLineChars="200"/>
        <w:jc w:val="left"/>
        <w:rPr>
          <w:rFonts w:hint="eastAsia" w:ascii="宋体" w:hAnsi="宋体" w:eastAsia="宋体" w:cs="宋体"/>
        </w:rPr>
      </w:pPr>
      <w:r>
        <w:rPr>
          <w:rFonts w:hint="eastAsia" w:ascii="宋体" w:hAnsi="宋体" w:eastAsia="宋体" w:cs="宋体"/>
        </w:rPr>
        <w:t>综合以上分析结果，新建烧结机袋式除尘器滤料选用覆膜滤料，保证排放废气中颗粒物浓度小于</w:t>
      </w:r>
      <w:r>
        <w:rPr>
          <w:rFonts w:hint="default" w:ascii="宋体" w:hAnsi="宋体" w:eastAsia="宋体" w:cs="宋体"/>
        </w:rPr>
        <w:t>10mg/m</w:t>
      </w:r>
      <w:r>
        <w:rPr>
          <w:rFonts w:hint="default" w:ascii="宋体" w:hAnsi="宋体" w:eastAsia="宋体" w:cs="宋体"/>
          <w:vertAlign w:val="superscript"/>
        </w:rPr>
        <w:t>3</w:t>
      </w:r>
      <w:r>
        <w:rPr>
          <w:rFonts w:hint="eastAsia" w:ascii="宋体" w:hAnsi="宋体" w:eastAsia="宋体" w:cs="宋体"/>
        </w:rPr>
        <w:t>，满足《关于推进实施钢铁行业超低排放的意见》（环大气〔</w:t>
      </w:r>
      <w:r>
        <w:rPr>
          <w:rFonts w:hint="default" w:ascii="宋体" w:hAnsi="宋体" w:eastAsia="宋体" w:cs="宋体"/>
        </w:rPr>
        <w:t>2019</w:t>
      </w:r>
      <w:r>
        <w:rPr>
          <w:rFonts w:hint="eastAsia" w:ascii="宋体" w:hAnsi="宋体" w:eastAsia="宋体" w:cs="宋体"/>
        </w:rPr>
        <w:t>〕</w:t>
      </w:r>
      <w:r>
        <w:rPr>
          <w:rFonts w:hint="default" w:ascii="宋体" w:hAnsi="宋体" w:eastAsia="宋体" w:cs="宋体"/>
        </w:rPr>
        <w:t xml:space="preserve">35 </w:t>
      </w:r>
      <w:r>
        <w:rPr>
          <w:rFonts w:hint="eastAsia" w:ascii="宋体" w:hAnsi="宋体" w:eastAsia="宋体" w:cs="宋体"/>
        </w:rPr>
        <w:t>号）超低排放限值。</w:t>
      </w:r>
    </w:p>
    <w:p w14:paraId="5EF4B7E0">
      <w:pPr>
        <w:pStyle w:val="52"/>
        <w:keepNext w:val="0"/>
        <w:keepLines w:val="0"/>
        <w:widowControl/>
        <w:suppressLineNumbers w:val="0"/>
        <w:spacing w:line="240" w:lineRule="auto"/>
        <w:ind w:left="0" w:firstLine="0"/>
        <w:jc w:val="left"/>
        <w:textAlignment w:val="center"/>
      </w:pPr>
      <w:r>
        <w:rPr>
          <w:rFonts w:hint="default" w:ascii="Times New Roman" w:hAnsi="Times New Roman" w:cs="Times New Roman"/>
          <w:b/>
          <w:bCs/>
          <w:color w:val="000000"/>
          <w:spacing w:val="0"/>
          <w:position w:val="0"/>
          <w:sz w:val="24"/>
          <w:szCs w:val="24"/>
        </w:rPr>
        <w:t xml:space="preserve">7.1.1.3 </w:t>
      </w:r>
      <w:r>
        <w:rPr>
          <w:rFonts w:hint="eastAsia" w:ascii="宋体" w:hAnsi="宋体" w:eastAsia="宋体" w:cs="宋体"/>
          <w:b/>
          <w:bCs/>
          <w:color w:val="000000"/>
          <w:spacing w:val="0"/>
          <w:position w:val="0"/>
          <w:sz w:val="24"/>
          <w:szCs w:val="24"/>
        </w:rPr>
        <w:t>机头废气治理措施</w:t>
      </w:r>
    </w:p>
    <w:p w14:paraId="66CC7F6B">
      <w:pPr>
        <w:ind w:firstLine="480" w:firstLineChars="200"/>
        <w:jc w:val="left"/>
        <w:rPr>
          <w:rFonts w:hint="eastAsia" w:ascii="宋体" w:hAnsi="宋体" w:eastAsia="宋体" w:cs="宋体"/>
          <w:lang w:val="en-US" w:eastAsia="zh-CN"/>
        </w:rPr>
      </w:pPr>
      <w:r>
        <w:rPr>
          <w:rFonts w:hint="eastAsia" w:ascii="宋体" w:hAnsi="宋体" w:eastAsia="宋体" w:cs="宋体"/>
          <w:lang w:val="en-US" w:eastAsia="zh-CN"/>
        </w:rPr>
        <w:t>本项目烧结烟气收集装置，包括烟气收集罩，进气管道和兑风装置。烟气收集罩为半圆形烟气收集罩，通过悬挂式固定装置与烧结机台车平台相连接；悬挂式固定装置由设置在烧结机台车平台上，并将半圆形烟气收集罩置于其中的固定支架，设置在固定支架上端的上连接环及侧端连接环，连接半圆形烟气收集罩和固定支架的横向连接梁及纵向吊挂式连接杆所组成；进气管道通过膨胀节与半圆形烟气收集罩的进气管道接口相连接。由于采用了悬挂式固定装置和膨胀节形成了</w:t>
      </w:r>
      <w:r>
        <w:rPr>
          <w:rFonts w:hint="default" w:ascii="宋体" w:hAnsi="宋体" w:eastAsia="宋体" w:cs="宋体"/>
          <w:lang w:val="en-US" w:eastAsia="zh-CN"/>
        </w:rPr>
        <w:t>“</w:t>
      </w:r>
      <w:r>
        <w:rPr>
          <w:rFonts w:hint="eastAsia" w:ascii="宋体" w:hAnsi="宋体" w:eastAsia="宋体" w:cs="宋体"/>
          <w:lang w:val="en-US" w:eastAsia="zh-CN"/>
        </w:rPr>
        <w:t>软连接</w:t>
      </w:r>
      <w:r>
        <w:rPr>
          <w:rFonts w:hint="default" w:ascii="宋体" w:hAnsi="宋体" w:eastAsia="宋体" w:cs="宋体"/>
          <w:lang w:val="en-US" w:eastAsia="zh-CN"/>
        </w:rPr>
        <w:t>”</w:t>
      </w:r>
      <w:r>
        <w:rPr>
          <w:rFonts w:hint="eastAsia" w:ascii="宋体" w:hAnsi="宋体" w:eastAsia="宋体" w:cs="宋体"/>
          <w:lang w:val="en-US" w:eastAsia="zh-CN"/>
        </w:rPr>
        <w:t>，有效地消除了半圆形烟气收集罩的热膨胀对固定装置和进气管造成的影响。收集罩的进气管道接口一侧或者两侧计成</w:t>
      </w:r>
      <w:r>
        <w:rPr>
          <w:rFonts w:hint="default" w:ascii="宋体" w:hAnsi="宋体" w:eastAsia="宋体" w:cs="宋体"/>
          <w:lang w:val="en-US" w:eastAsia="zh-CN"/>
        </w:rPr>
        <w:t>“</w:t>
      </w:r>
      <w:r>
        <w:rPr>
          <w:rFonts w:hint="eastAsia" w:ascii="宋体" w:hAnsi="宋体" w:eastAsia="宋体" w:cs="宋体"/>
          <w:lang w:val="en-US" w:eastAsia="zh-CN"/>
        </w:rPr>
        <w:t>喇叭口</w:t>
      </w:r>
      <w:r>
        <w:rPr>
          <w:rFonts w:hint="default" w:ascii="宋体" w:hAnsi="宋体" w:eastAsia="宋体" w:cs="宋体"/>
          <w:lang w:val="en-US" w:eastAsia="zh-CN"/>
        </w:rPr>
        <w:t>”</w:t>
      </w:r>
      <w:r>
        <w:rPr>
          <w:rFonts w:hint="eastAsia" w:ascii="宋体" w:hAnsi="宋体" w:eastAsia="宋体" w:cs="宋体"/>
          <w:lang w:val="en-US" w:eastAsia="zh-CN"/>
        </w:rPr>
        <w:t>形结构，进气管道设计成矩形，有利于罩体内气体均匀分布，保证收集效果。</w:t>
      </w:r>
    </w:p>
    <w:p w14:paraId="56611A8E">
      <w:pPr>
        <w:ind w:firstLine="480" w:firstLineChars="200"/>
        <w:jc w:val="left"/>
        <w:rPr>
          <w:rFonts w:hint="eastAsia" w:ascii="宋体" w:hAnsi="宋体" w:eastAsia="宋体" w:cs="宋体"/>
          <w:kern w:val="0"/>
          <w:sz w:val="24"/>
          <w:szCs w:val="24"/>
          <w:lang w:val="en-US" w:eastAsia="zh-CN" w:bidi="ar-SA"/>
        </w:rPr>
      </w:pPr>
      <w:r>
        <w:rPr>
          <w:rFonts w:hint="eastAsia" w:ascii="宋体" w:hAnsi="宋体" w:eastAsia="宋体" w:cs="宋体"/>
          <w:lang w:val="en-US" w:eastAsia="zh-CN"/>
        </w:rPr>
        <w:t>烧结机产生的废气主要是二氧化硫、氮氧化物、烟尘、氟化物、二噁英等，</w:t>
      </w:r>
      <w:r>
        <w:rPr>
          <w:rFonts w:hint="eastAsia" w:ascii="宋体" w:hAnsi="宋体" w:eastAsia="宋体" w:cs="宋体"/>
          <w:kern w:val="0"/>
          <w:sz w:val="24"/>
          <w:szCs w:val="24"/>
          <w:lang w:val="en-US" w:eastAsia="zh-CN" w:bidi="ar-SA"/>
        </w:rPr>
        <w:t>拟采用 “电除尘器</w:t>
      </w:r>
      <w:r>
        <w:rPr>
          <w:rFonts w:hint="default" w:ascii="宋体" w:hAnsi="宋体" w:eastAsia="宋体" w:cs="宋体"/>
          <w:kern w:val="0"/>
          <w:sz w:val="24"/>
          <w:szCs w:val="24"/>
          <w:lang w:val="en-US" w:eastAsia="zh-CN" w:bidi="ar-SA"/>
        </w:rPr>
        <w:t>+</w:t>
      </w:r>
      <w:r>
        <w:rPr>
          <w:rFonts w:hint="eastAsia" w:ascii="宋体" w:hAnsi="宋体" w:eastAsia="宋体" w:cs="宋体"/>
          <w:kern w:val="0"/>
          <w:sz w:val="24"/>
          <w:szCs w:val="24"/>
          <w:lang w:val="en-US" w:eastAsia="zh-CN" w:bidi="ar-SA"/>
        </w:rPr>
        <w:t>石灰石-石膏脱硫</w:t>
      </w:r>
      <w:r>
        <w:rPr>
          <w:rFonts w:hint="default" w:ascii="宋体" w:hAnsi="宋体" w:eastAsia="宋体" w:cs="宋体"/>
          <w:kern w:val="0"/>
          <w:sz w:val="24"/>
          <w:szCs w:val="24"/>
          <w:lang w:val="en-US" w:eastAsia="zh-CN" w:bidi="ar-SA"/>
        </w:rPr>
        <w:t>+SCR</w:t>
      </w:r>
      <w:r>
        <w:rPr>
          <w:rFonts w:hint="eastAsia" w:ascii="宋体" w:hAnsi="宋体" w:eastAsia="宋体" w:cs="宋体"/>
          <w:kern w:val="0"/>
          <w:sz w:val="24"/>
          <w:szCs w:val="24"/>
          <w:lang w:val="en-US" w:eastAsia="zh-CN" w:bidi="ar-SA"/>
        </w:rPr>
        <w:t>脱硝”。根据国家及当地环保部门的超低排放及业主要求，本次除尘、脱硫及</w:t>
      </w:r>
      <w:r>
        <w:rPr>
          <w:rFonts w:hint="default" w:ascii="宋体" w:hAnsi="宋体" w:eastAsia="宋体" w:cs="宋体"/>
          <w:kern w:val="0"/>
          <w:sz w:val="24"/>
          <w:szCs w:val="24"/>
          <w:lang w:val="en-US" w:eastAsia="zh-CN" w:bidi="ar-SA"/>
        </w:rPr>
        <w:t>SCR</w:t>
      </w:r>
      <w:r>
        <w:rPr>
          <w:rFonts w:hint="eastAsia" w:ascii="宋体" w:hAnsi="宋体" w:eastAsia="宋体" w:cs="宋体"/>
          <w:kern w:val="0"/>
          <w:sz w:val="24"/>
          <w:szCs w:val="24"/>
          <w:lang w:val="en-US" w:eastAsia="zh-CN" w:bidi="ar-SA"/>
        </w:rPr>
        <w:t>脱硝系统</w:t>
      </w:r>
      <w:r>
        <w:rPr>
          <w:rFonts w:hint="eastAsia" w:ascii="宋体" w:hAnsi="宋体" w:eastAsia="宋体" w:cs="宋体"/>
          <w:color w:val="000000"/>
          <w:spacing w:val="0"/>
          <w:position w:val="0"/>
          <w:sz w:val="24"/>
          <w:szCs w:val="24"/>
        </w:rPr>
        <w:t>在</w:t>
      </w:r>
      <w:r>
        <w:rPr>
          <w:rFonts w:hint="eastAsia" w:ascii="宋体" w:hAnsi="宋体" w:eastAsia="宋体" w:cs="宋体"/>
          <w:kern w:val="0"/>
          <w:sz w:val="24"/>
          <w:szCs w:val="24"/>
          <w:lang w:val="en-US" w:eastAsia="zh-CN" w:bidi="ar-SA"/>
        </w:rPr>
        <w:t>基准氧含量</w:t>
      </w:r>
      <w:r>
        <w:rPr>
          <w:rFonts w:hint="default" w:ascii="宋体" w:hAnsi="宋体" w:eastAsia="宋体" w:cs="宋体"/>
          <w:kern w:val="0"/>
          <w:sz w:val="24"/>
          <w:szCs w:val="24"/>
          <w:lang w:val="en-US" w:eastAsia="zh-CN" w:bidi="ar-SA"/>
        </w:rPr>
        <w:t>16%</w:t>
      </w:r>
      <w:r>
        <w:rPr>
          <w:rFonts w:hint="eastAsia" w:ascii="宋体" w:hAnsi="宋体" w:eastAsia="宋体" w:cs="宋体"/>
          <w:kern w:val="0"/>
          <w:sz w:val="24"/>
          <w:szCs w:val="24"/>
          <w:lang w:val="en-US" w:eastAsia="zh-CN" w:bidi="ar-SA"/>
        </w:rPr>
        <w:t>的条件下，确保排放烟气烟尘</w:t>
      </w:r>
      <w:r>
        <w:rPr>
          <w:rFonts w:hint="default" w:ascii="宋体" w:hAnsi="宋体" w:eastAsia="宋体" w:cs="宋体"/>
          <w:kern w:val="0"/>
          <w:sz w:val="24"/>
          <w:szCs w:val="24"/>
          <w:lang w:val="en-US" w:eastAsia="zh-CN" w:bidi="ar-SA"/>
        </w:rPr>
        <w:t>≤10mg/Nm³</w:t>
      </w:r>
      <w:r>
        <w:rPr>
          <w:rFonts w:hint="eastAsia" w:ascii="宋体" w:hAnsi="宋体" w:eastAsia="宋体" w:cs="宋体"/>
          <w:kern w:val="0"/>
          <w:sz w:val="24"/>
          <w:szCs w:val="24"/>
          <w:lang w:val="en-US" w:eastAsia="zh-CN" w:bidi="ar-SA"/>
        </w:rPr>
        <w:t>，</w:t>
      </w:r>
      <w:r>
        <w:rPr>
          <w:rFonts w:hint="default" w:ascii="宋体" w:hAnsi="宋体" w:eastAsia="宋体" w:cs="宋体"/>
          <w:kern w:val="0"/>
          <w:sz w:val="24"/>
          <w:szCs w:val="24"/>
          <w:lang w:val="en-US" w:eastAsia="zh-CN" w:bidi="ar-SA"/>
        </w:rPr>
        <w:t>SO</w:t>
      </w:r>
      <w:r>
        <w:rPr>
          <w:rFonts w:hint="default" w:ascii="宋体" w:hAnsi="宋体" w:eastAsia="宋体" w:cs="宋体"/>
          <w:kern w:val="0"/>
          <w:sz w:val="24"/>
          <w:szCs w:val="24"/>
          <w:vertAlign w:val="subscript"/>
          <w:lang w:val="en-US" w:eastAsia="zh-CN" w:bidi="ar-SA"/>
        </w:rPr>
        <w:t>2</w:t>
      </w:r>
      <w:r>
        <w:rPr>
          <w:rFonts w:hint="default" w:ascii="宋体" w:hAnsi="宋体" w:eastAsia="宋体" w:cs="宋体"/>
          <w:kern w:val="0"/>
          <w:sz w:val="24"/>
          <w:szCs w:val="24"/>
          <w:lang w:val="en-US" w:eastAsia="zh-CN" w:bidi="ar-SA"/>
        </w:rPr>
        <w:t>≤35mg/Nm³</w:t>
      </w:r>
      <w:r>
        <w:rPr>
          <w:rFonts w:hint="eastAsia" w:ascii="宋体" w:hAnsi="宋体" w:eastAsia="宋体" w:cs="宋体"/>
          <w:kern w:val="0"/>
          <w:sz w:val="24"/>
          <w:szCs w:val="24"/>
          <w:lang w:val="en-US" w:eastAsia="zh-CN" w:bidi="ar-SA"/>
        </w:rPr>
        <w:t xml:space="preserve">， </w:t>
      </w:r>
      <w:r>
        <w:rPr>
          <w:rFonts w:hint="default" w:ascii="宋体" w:hAnsi="宋体" w:eastAsia="宋体" w:cs="宋体"/>
          <w:kern w:val="0"/>
          <w:sz w:val="24"/>
          <w:szCs w:val="24"/>
          <w:lang w:val="en-US" w:eastAsia="zh-CN" w:bidi="ar-SA"/>
        </w:rPr>
        <w:t>NOx≤50mg/Nm³</w:t>
      </w:r>
      <w:r>
        <w:rPr>
          <w:rFonts w:hint="eastAsia" w:ascii="宋体" w:hAnsi="宋体" w:eastAsia="宋体" w:cs="宋体"/>
          <w:kern w:val="0"/>
          <w:sz w:val="24"/>
          <w:szCs w:val="24"/>
          <w:lang w:val="en-US" w:eastAsia="zh-CN" w:bidi="ar-SA"/>
        </w:rPr>
        <w:t>。</w:t>
      </w:r>
    </w:p>
    <w:p w14:paraId="7F6C3231">
      <w:pPr>
        <w:pStyle w:val="52"/>
        <w:keepNext w:val="0"/>
        <w:keepLines w:val="0"/>
        <w:widowControl/>
        <w:suppressLineNumbers w:val="0"/>
        <w:spacing w:line="240" w:lineRule="auto"/>
        <w:ind w:left="0" w:firstLine="0"/>
        <w:jc w:val="left"/>
        <w:textAlignment w:val="center"/>
      </w:pPr>
      <w:r>
        <w:rPr>
          <w:rFonts w:hint="default" w:ascii="Times New Roman" w:hAnsi="Times New Roman" w:cs="Times New Roman"/>
          <w:b/>
          <w:bCs/>
          <w:color w:val="000000"/>
          <w:spacing w:val="0"/>
          <w:position w:val="0"/>
          <w:sz w:val="24"/>
          <w:szCs w:val="24"/>
        </w:rPr>
        <w:t>1</w:t>
      </w:r>
      <w:r>
        <w:rPr>
          <w:rFonts w:hint="eastAsia" w:ascii="宋体" w:hAnsi="宋体" w:eastAsia="宋体" w:cs="宋体"/>
          <w:b/>
          <w:bCs/>
          <w:color w:val="000000"/>
          <w:spacing w:val="0"/>
          <w:position w:val="0"/>
          <w:sz w:val="24"/>
          <w:szCs w:val="24"/>
        </w:rPr>
        <w:t>、机头废气除尘系统</w:t>
      </w:r>
    </w:p>
    <w:p w14:paraId="34F8E3AF">
      <w:pPr>
        <w:ind w:firstLine="480" w:firstLineChars="200"/>
        <w:jc w:val="left"/>
        <w:rPr>
          <w:rFonts w:hint="eastAsia" w:ascii="宋体" w:hAnsi="宋体" w:eastAsia="宋体" w:cs="宋体"/>
          <w:lang w:val="en-US" w:eastAsia="zh-CN"/>
        </w:rPr>
      </w:pPr>
      <w:r>
        <w:rPr>
          <w:rFonts w:hint="eastAsia" w:ascii="宋体" w:hAnsi="宋体" w:eastAsia="宋体" w:cs="宋体"/>
          <w:lang w:val="en-US" w:eastAsia="zh-CN"/>
        </w:rPr>
        <w:t>（</w:t>
      </w:r>
      <w:r>
        <w:rPr>
          <w:rFonts w:hint="default" w:ascii="宋体" w:hAnsi="宋体" w:eastAsia="宋体" w:cs="宋体"/>
          <w:lang w:val="en-US" w:eastAsia="zh-CN"/>
        </w:rPr>
        <w:t>1</w:t>
      </w:r>
      <w:r>
        <w:rPr>
          <w:rFonts w:hint="eastAsia" w:ascii="宋体" w:hAnsi="宋体" w:eastAsia="宋体" w:cs="宋体"/>
          <w:lang w:val="en-US" w:eastAsia="zh-CN"/>
        </w:rPr>
        <w:t>）工艺条件及除尘风量</w:t>
      </w:r>
    </w:p>
    <w:p w14:paraId="2853441B">
      <w:pPr>
        <w:ind w:firstLine="480" w:firstLineChars="200"/>
        <w:jc w:val="left"/>
        <w:rPr>
          <w:rFonts w:hint="eastAsia" w:ascii="宋体" w:hAnsi="宋体" w:eastAsia="宋体" w:cs="宋体"/>
          <w:lang w:val="en-US" w:eastAsia="zh-CN"/>
        </w:rPr>
      </w:pPr>
      <w:r>
        <w:rPr>
          <w:rFonts w:hint="eastAsia" w:ascii="宋体" w:hAnsi="宋体" w:eastAsia="宋体" w:cs="宋体"/>
          <w:lang w:val="en-US" w:eastAsia="zh-CN"/>
        </w:rPr>
        <w:t>根据工艺要求，来自烧结机大烟道的烟气需除尘处理，进入</w:t>
      </w:r>
      <w:r>
        <w:rPr>
          <w:rFonts w:hint="eastAsia" w:cs="宋体"/>
          <w:lang w:val="en-US" w:eastAsia="zh-CN"/>
        </w:rPr>
        <w:t>湿</w:t>
      </w:r>
      <w:r>
        <w:rPr>
          <w:rFonts w:hint="eastAsia" w:ascii="宋体" w:hAnsi="宋体" w:eastAsia="宋体" w:cs="宋体"/>
          <w:lang w:val="en-US" w:eastAsia="zh-CN"/>
        </w:rPr>
        <w:t>电除尘器，电除尘器设计风量为</w:t>
      </w:r>
      <w:r>
        <w:rPr>
          <w:rFonts w:hint="eastAsia" w:cs="宋体"/>
          <w:highlight w:val="none"/>
          <w:lang w:val="en-US" w:eastAsia="zh-CN"/>
        </w:rPr>
        <w:t>2</w:t>
      </w:r>
      <w:r>
        <w:rPr>
          <w:rFonts w:hint="default" w:ascii="宋体" w:hAnsi="宋体" w:eastAsia="宋体" w:cs="宋体"/>
          <w:highlight w:val="none"/>
          <w:lang w:val="en-US" w:eastAsia="zh-CN"/>
        </w:rPr>
        <w:t>700</w:t>
      </w:r>
      <w:r>
        <w:rPr>
          <w:rFonts w:hint="eastAsia" w:cs="宋体"/>
          <w:highlight w:val="none"/>
          <w:lang w:val="en-US" w:eastAsia="zh-CN"/>
        </w:rPr>
        <w:t>0</w:t>
      </w:r>
      <w:r>
        <w:rPr>
          <w:rFonts w:hint="default" w:ascii="宋体" w:hAnsi="宋体" w:eastAsia="宋体" w:cs="宋体"/>
          <w:highlight w:val="none"/>
          <w:lang w:val="en-US" w:eastAsia="zh-CN"/>
        </w:rPr>
        <w:t>0m</w:t>
      </w:r>
      <w:r>
        <w:rPr>
          <w:rFonts w:hint="default" w:ascii="宋体" w:hAnsi="宋体" w:eastAsia="宋体" w:cs="宋体"/>
          <w:highlight w:val="none"/>
          <w:vertAlign w:val="superscript"/>
          <w:lang w:val="en-US" w:eastAsia="zh-CN"/>
        </w:rPr>
        <w:t>3</w:t>
      </w:r>
      <w:r>
        <w:rPr>
          <w:rFonts w:hint="default" w:ascii="宋体" w:hAnsi="宋体" w:eastAsia="宋体" w:cs="宋体"/>
          <w:highlight w:val="none"/>
          <w:lang w:val="en-US" w:eastAsia="zh-CN"/>
        </w:rPr>
        <w:t>/</w:t>
      </w:r>
      <w:r>
        <w:rPr>
          <w:rFonts w:hint="eastAsia" w:cs="宋体"/>
          <w:highlight w:val="none"/>
          <w:lang w:val="en-US" w:eastAsia="zh-CN"/>
        </w:rPr>
        <w:t>h</w:t>
      </w:r>
      <w:r>
        <w:rPr>
          <w:rFonts w:hint="eastAsia" w:ascii="宋体" w:hAnsi="宋体" w:eastAsia="宋体" w:cs="宋体"/>
          <w:lang w:val="en-US" w:eastAsia="zh-CN"/>
        </w:rPr>
        <w:t>台。</w:t>
      </w:r>
    </w:p>
    <w:p w14:paraId="6C8CBC43">
      <w:pPr>
        <w:ind w:firstLine="480" w:firstLineChars="200"/>
        <w:jc w:val="left"/>
        <w:rPr>
          <w:rFonts w:hint="eastAsia" w:ascii="宋体" w:hAnsi="宋体" w:eastAsia="宋体" w:cs="宋体"/>
          <w:lang w:val="en-US" w:eastAsia="zh-CN"/>
        </w:rPr>
      </w:pPr>
      <w:r>
        <w:rPr>
          <w:rFonts w:hint="eastAsia" w:ascii="宋体" w:hAnsi="宋体" w:eastAsia="宋体" w:cs="宋体"/>
          <w:lang w:val="en-US" w:eastAsia="zh-CN"/>
        </w:rPr>
        <w:t>（</w:t>
      </w:r>
      <w:r>
        <w:rPr>
          <w:rFonts w:hint="default" w:ascii="宋体" w:hAnsi="宋体" w:eastAsia="宋体" w:cs="宋体"/>
          <w:lang w:val="en-US" w:eastAsia="zh-CN"/>
        </w:rPr>
        <w:t>2</w:t>
      </w:r>
      <w:r>
        <w:rPr>
          <w:rFonts w:hint="eastAsia" w:ascii="宋体" w:hAnsi="宋体" w:eastAsia="宋体" w:cs="宋体"/>
          <w:lang w:val="en-US" w:eastAsia="zh-CN"/>
        </w:rPr>
        <w:t>）除尘系统工艺流程</w:t>
      </w:r>
    </w:p>
    <w:p w14:paraId="1FECDB9C">
      <w:pPr>
        <w:ind w:firstLine="480" w:firstLineChars="200"/>
        <w:jc w:val="left"/>
        <w:rPr>
          <w:rFonts w:hint="eastAsia" w:ascii="宋体" w:hAnsi="宋体" w:eastAsia="宋体" w:cs="宋体"/>
          <w:lang w:val="en-US" w:eastAsia="zh-CN"/>
        </w:rPr>
      </w:pPr>
      <w:r>
        <w:rPr>
          <w:rFonts w:hint="eastAsia" w:ascii="宋体" w:hAnsi="宋体" w:eastAsia="宋体" w:cs="宋体"/>
          <w:lang w:val="en-US" w:eastAsia="zh-CN"/>
        </w:rPr>
        <w:t>烧结机大烟道</w:t>
      </w:r>
      <w:r>
        <w:rPr>
          <w:rFonts w:hint="default" w:ascii="宋体" w:hAnsi="宋体" w:eastAsia="宋体" w:cs="宋体"/>
          <w:lang w:val="en-US" w:eastAsia="zh-CN"/>
        </w:rPr>
        <w:t>→</w:t>
      </w:r>
      <w:r>
        <w:rPr>
          <w:rFonts w:hint="eastAsia" w:ascii="宋体" w:hAnsi="宋体" w:eastAsia="宋体" w:cs="宋体"/>
          <w:lang w:val="en-US" w:eastAsia="zh-CN"/>
        </w:rPr>
        <w:t>除尘管道</w:t>
      </w:r>
      <w:r>
        <w:rPr>
          <w:rFonts w:hint="default" w:ascii="宋体" w:hAnsi="宋体" w:eastAsia="宋体" w:cs="宋体"/>
          <w:lang w:val="en-US" w:eastAsia="zh-CN"/>
        </w:rPr>
        <w:t>→</w:t>
      </w:r>
      <w:r>
        <w:rPr>
          <w:rFonts w:hint="eastAsia" w:cs="宋体"/>
          <w:lang w:val="en-US" w:eastAsia="zh-CN"/>
        </w:rPr>
        <w:t>湿</w:t>
      </w:r>
      <w:r>
        <w:rPr>
          <w:rFonts w:hint="eastAsia" w:ascii="宋体" w:hAnsi="宋体" w:eastAsia="宋体" w:cs="宋体"/>
          <w:lang w:val="en-US" w:eastAsia="zh-CN"/>
        </w:rPr>
        <w:t>电除尘器（出口含尘浓度＜</w:t>
      </w:r>
      <w:r>
        <w:rPr>
          <w:rFonts w:hint="default" w:ascii="宋体" w:hAnsi="宋体" w:eastAsia="宋体" w:cs="宋体"/>
          <w:lang w:val="en-US" w:eastAsia="zh-CN"/>
        </w:rPr>
        <w:t>50mg/Nm3</w:t>
      </w:r>
      <w:r>
        <w:rPr>
          <w:rFonts w:hint="eastAsia" w:ascii="宋体" w:hAnsi="宋体" w:eastAsia="宋体" w:cs="宋体"/>
          <w:lang w:val="en-US" w:eastAsia="zh-CN"/>
        </w:rPr>
        <w:t>）</w:t>
      </w:r>
      <w:r>
        <w:rPr>
          <w:rFonts w:hint="default" w:ascii="宋体" w:hAnsi="宋体" w:eastAsia="宋体" w:cs="宋体"/>
          <w:lang w:val="en-US" w:eastAsia="zh-CN"/>
        </w:rPr>
        <w:t>→</w:t>
      </w:r>
      <w:r>
        <w:rPr>
          <w:rFonts w:hint="eastAsia" w:ascii="宋体" w:hAnsi="宋体" w:eastAsia="宋体" w:cs="宋体"/>
          <w:lang w:val="en-US" w:eastAsia="zh-CN"/>
        </w:rPr>
        <w:t>主抽风机</w:t>
      </w:r>
      <w:r>
        <w:rPr>
          <w:rFonts w:hint="default" w:ascii="宋体" w:hAnsi="宋体" w:eastAsia="宋体" w:cs="宋体"/>
          <w:lang w:val="en-US" w:eastAsia="zh-CN"/>
        </w:rPr>
        <w:t>→</w:t>
      </w:r>
      <w:r>
        <w:rPr>
          <w:rFonts w:hint="eastAsia" w:ascii="宋体" w:hAnsi="宋体" w:eastAsia="宋体" w:cs="宋体"/>
          <w:lang w:val="en-US" w:eastAsia="zh-CN"/>
        </w:rPr>
        <w:t>脱硫、脱硝系统。</w:t>
      </w:r>
    </w:p>
    <w:p w14:paraId="0C46DBCB">
      <w:pPr>
        <w:ind w:firstLine="480" w:firstLineChars="200"/>
        <w:jc w:val="left"/>
        <w:rPr>
          <w:rFonts w:hint="eastAsia" w:ascii="宋体" w:hAnsi="宋体" w:eastAsia="宋体" w:cs="宋体"/>
          <w:lang w:val="en-US" w:eastAsia="zh-CN"/>
        </w:rPr>
      </w:pPr>
      <w:r>
        <w:rPr>
          <w:rFonts w:hint="eastAsia" w:ascii="宋体" w:hAnsi="宋体" w:eastAsia="宋体" w:cs="宋体"/>
          <w:lang w:val="en-US" w:eastAsia="zh-CN"/>
        </w:rPr>
        <w:t>（</w:t>
      </w:r>
      <w:r>
        <w:rPr>
          <w:rFonts w:hint="default" w:ascii="宋体" w:hAnsi="宋体" w:eastAsia="宋体" w:cs="宋体"/>
          <w:lang w:val="en-US" w:eastAsia="zh-CN"/>
        </w:rPr>
        <w:t>3</w:t>
      </w:r>
      <w:r>
        <w:rPr>
          <w:rFonts w:hint="eastAsia" w:ascii="宋体" w:hAnsi="宋体" w:eastAsia="宋体" w:cs="宋体"/>
          <w:lang w:val="en-US" w:eastAsia="zh-CN"/>
        </w:rPr>
        <w:t>）除尘系统的输灰流程：</w:t>
      </w:r>
    </w:p>
    <w:p w14:paraId="14BCAB8D">
      <w:pPr>
        <w:ind w:firstLine="480" w:firstLineChars="200"/>
        <w:jc w:val="left"/>
        <w:rPr>
          <w:rFonts w:hint="default" w:ascii="宋体" w:hAnsi="宋体" w:eastAsia="宋体" w:cs="宋体"/>
          <w:lang w:val="en-US" w:eastAsia="zh-CN"/>
        </w:rPr>
      </w:pPr>
      <w:r>
        <w:rPr>
          <w:rFonts w:hint="default" w:ascii="宋体" w:hAnsi="宋体" w:eastAsia="宋体" w:cs="宋体"/>
          <w:lang w:val="en-US" w:eastAsia="zh-CN"/>
        </w:rPr>
        <w:t>1</w:t>
      </w:r>
      <w:r>
        <w:rPr>
          <w:rFonts w:hint="eastAsia" w:ascii="宋体" w:hAnsi="宋体" w:eastAsia="宋体" w:cs="宋体"/>
          <w:lang w:val="en-US" w:eastAsia="zh-CN"/>
        </w:rPr>
        <w:t>、</w:t>
      </w:r>
      <w:r>
        <w:rPr>
          <w:rFonts w:hint="default" w:ascii="宋体" w:hAnsi="宋体" w:eastAsia="宋体" w:cs="宋体"/>
          <w:lang w:val="en-US" w:eastAsia="zh-CN"/>
        </w:rPr>
        <w:t xml:space="preserve">2 </w:t>
      </w:r>
      <w:r>
        <w:rPr>
          <w:rFonts w:hint="eastAsia" w:ascii="宋体" w:hAnsi="宋体" w:eastAsia="宋体" w:cs="宋体"/>
          <w:lang w:val="en-US" w:eastAsia="zh-CN"/>
        </w:rPr>
        <w:t>电场除尘器灰斗</w:t>
      </w:r>
      <w:r>
        <w:rPr>
          <w:rFonts w:hint="default" w:ascii="宋体" w:hAnsi="宋体" w:eastAsia="宋体" w:cs="宋体"/>
          <w:lang w:val="en-US" w:eastAsia="zh-CN"/>
        </w:rPr>
        <w:t>→</w:t>
      </w:r>
      <w:r>
        <w:rPr>
          <w:rFonts w:hint="eastAsia" w:ascii="宋体" w:hAnsi="宋体" w:eastAsia="宋体" w:cs="宋体"/>
          <w:lang w:val="en-US" w:eastAsia="zh-CN"/>
        </w:rPr>
        <w:t>双层卸灰阀</w:t>
      </w:r>
      <w:r>
        <w:rPr>
          <w:rFonts w:hint="default" w:ascii="宋体" w:hAnsi="宋体" w:eastAsia="宋体" w:cs="宋体"/>
          <w:lang w:val="en-US" w:eastAsia="zh-CN"/>
        </w:rPr>
        <w:t>→</w:t>
      </w:r>
      <w:r>
        <w:rPr>
          <w:rFonts w:hint="eastAsia" w:ascii="宋体" w:hAnsi="宋体" w:eastAsia="宋体" w:cs="宋体"/>
          <w:lang w:val="en-US" w:eastAsia="zh-CN"/>
        </w:rPr>
        <w:t>切出刮板输送机</w:t>
      </w:r>
      <w:r>
        <w:rPr>
          <w:rFonts w:hint="default" w:ascii="宋体" w:hAnsi="宋体" w:eastAsia="宋体" w:cs="宋体"/>
          <w:lang w:val="en-US" w:eastAsia="zh-CN"/>
        </w:rPr>
        <w:t>→</w:t>
      </w:r>
      <w:r>
        <w:rPr>
          <w:rFonts w:hint="eastAsia" w:ascii="宋体" w:hAnsi="宋体" w:eastAsia="宋体" w:cs="宋体"/>
          <w:lang w:val="en-US" w:eastAsia="zh-CN"/>
        </w:rPr>
        <w:t>集合刮板输送机</w:t>
      </w:r>
      <w:r>
        <w:rPr>
          <w:rFonts w:hint="default" w:ascii="宋体" w:hAnsi="宋体" w:eastAsia="宋体" w:cs="宋体"/>
          <w:lang w:val="en-US" w:eastAsia="zh-CN"/>
        </w:rPr>
        <w:t>→</w:t>
      </w:r>
      <w:r>
        <w:rPr>
          <w:rFonts w:hint="eastAsia" w:ascii="宋体" w:hAnsi="宋体" w:eastAsia="宋体" w:cs="宋体"/>
          <w:lang w:val="en-US" w:eastAsia="zh-CN"/>
        </w:rPr>
        <w:t>小灰仓</w:t>
      </w:r>
      <w:r>
        <w:rPr>
          <w:rFonts w:hint="default" w:ascii="宋体" w:hAnsi="宋体" w:eastAsia="宋体" w:cs="宋体"/>
          <w:lang w:val="en-US" w:eastAsia="zh-CN"/>
        </w:rPr>
        <w:t>→气力输灰系统→烧结配料室</w:t>
      </w:r>
    </w:p>
    <w:p w14:paraId="48FBD583">
      <w:pPr>
        <w:ind w:firstLine="480" w:firstLineChars="200"/>
        <w:jc w:val="left"/>
        <w:rPr>
          <w:rFonts w:hint="default" w:ascii="宋体" w:hAnsi="宋体" w:eastAsia="宋体" w:cs="宋体"/>
          <w:lang w:val="en-US" w:eastAsia="zh-CN"/>
        </w:rPr>
      </w:pPr>
      <w:r>
        <w:rPr>
          <w:rFonts w:hint="default" w:ascii="宋体" w:hAnsi="宋体" w:eastAsia="宋体" w:cs="宋体"/>
          <w:lang w:val="en-US" w:eastAsia="zh-CN"/>
        </w:rPr>
        <w:t>（4）主要除尘设备</w:t>
      </w:r>
    </w:p>
    <w:p w14:paraId="00435E05">
      <w:pPr>
        <w:ind w:firstLine="480" w:firstLineChars="200"/>
        <w:jc w:val="left"/>
        <w:rPr>
          <w:rFonts w:hint="default" w:ascii="宋体" w:hAnsi="宋体" w:eastAsia="宋体" w:cs="宋体"/>
          <w:lang w:val="en-US" w:eastAsia="zh-CN"/>
        </w:rPr>
      </w:pPr>
      <w:r>
        <w:rPr>
          <w:rFonts w:hint="default" w:ascii="宋体" w:hAnsi="宋体" w:eastAsia="宋体" w:cs="宋体"/>
          <w:lang w:val="en-US" w:eastAsia="zh-CN"/>
        </w:rPr>
        <w:t xml:space="preserve">机头电除尘器 ： </w:t>
      </w:r>
      <w:r>
        <w:rPr>
          <w:rFonts w:hint="eastAsia" w:ascii="宋体" w:hAnsi="宋体" w:eastAsia="宋体" w:cs="宋体"/>
          <w:lang w:val="en-US" w:eastAsia="zh-CN"/>
        </w:rPr>
        <w:t>1</w:t>
      </w:r>
      <w:r>
        <w:rPr>
          <w:rFonts w:hint="default" w:ascii="宋体" w:hAnsi="宋体" w:eastAsia="宋体" w:cs="宋体"/>
          <w:lang w:val="en-US" w:eastAsia="zh-CN"/>
        </w:rPr>
        <w:t>台</w:t>
      </w:r>
    </w:p>
    <w:p w14:paraId="3B2DF322">
      <w:pPr>
        <w:ind w:firstLine="480" w:firstLineChars="200"/>
        <w:jc w:val="left"/>
        <w:rPr>
          <w:rFonts w:hint="default" w:ascii="宋体" w:hAnsi="宋体" w:eastAsia="宋体" w:cs="宋体"/>
          <w:lang w:val="en-US" w:eastAsia="zh-CN"/>
        </w:rPr>
      </w:pPr>
      <w:r>
        <w:rPr>
          <w:rFonts w:hint="default" w:ascii="宋体" w:hAnsi="宋体" w:eastAsia="宋体" w:cs="宋体"/>
          <w:lang w:val="en-US" w:eastAsia="zh-CN"/>
        </w:rPr>
        <w:t>除尘器类型： 卧式</w:t>
      </w:r>
      <w:r>
        <w:rPr>
          <w:rFonts w:hint="eastAsia" w:cs="宋体"/>
          <w:lang w:val="en-US" w:eastAsia="zh-CN"/>
        </w:rPr>
        <w:t>湿</w:t>
      </w:r>
      <w:r>
        <w:rPr>
          <w:rFonts w:hint="default" w:ascii="宋体" w:hAnsi="宋体" w:eastAsia="宋体" w:cs="宋体"/>
          <w:lang w:val="en-US" w:eastAsia="zh-CN"/>
        </w:rPr>
        <w:t>电除尘器</w:t>
      </w:r>
    </w:p>
    <w:p w14:paraId="304B1E06">
      <w:pPr>
        <w:ind w:firstLine="480" w:firstLineChars="200"/>
        <w:jc w:val="left"/>
        <w:rPr>
          <w:rFonts w:hint="default" w:ascii="宋体" w:hAnsi="宋体" w:eastAsia="宋体" w:cs="宋体"/>
          <w:highlight w:val="yellow"/>
          <w:lang w:val="en-US" w:eastAsia="zh-CN"/>
        </w:rPr>
      </w:pPr>
      <w:r>
        <w:rPr>
          <w:rFonts w:hint="default" w:ascii="宋体" w:hAnsi="宋体" w:eastAsia="宋体" w:cs="宋体"/>
          <w:lang w:val="en-US" w:eastAsia="zh-CN"/>
        </w:rPr>
        <w:t xml:space="preserve">处理烟气量： </w:t>
      </w:r>
      <w:r>
        <w:rPr>
          <w:rFonts w:hint="eastAsia" w:cs="宋体"/>
          <w:lang w:val="en-US" w:eastAsia="zh-CN"/>
        </w:rPr>
        <w:t>2</w:t>
      </w:r>
      <w:r>
        <w:rPr>
          <w:rFonts w:hint="default" w:ascii="宋体" w:hAnsi="宋体" w:eastAsia="宋体" w:cs="宋体"/>
          <w:highlight w:val="yellow"/>
          <w:lang w:val="en-US" w:eastAsia="zh-CN"/>
        </w:rPr>
        <w:t>7</w:t>
      </w:r>
      <w:r>
        <w:rPr>
          <w:rFonts w:hint="eastAsia" w:cs="宋体"/>
          <w:highlight w:val="yellow"/>
          <w:lang w:val="en-US" w:eastAsia="zh-CN"/>
        </w:rPr>
        <w:t>0</w:t>
      </w:r>
      <w:r>
        <w:rPr>
          <w:rFonts w:hint="default" w:ascii="宋体" w:hAnsi="宋体" w:eastAsia="宋体" w:cs="宋体"/>
          <w:highlight w:val="yellow"/>
          <w:lang w:val="en-US" w:eastAsia="zh-CN"/>
        </w:rPr>
        <w:t>000m3/</w:t>
      </w:r>
      <w:r>
        <w:rPr>
          <w:rFonts w:hint="eastAsia" w:cs="宋体"/>
          <w:highlight w:val="yellow"/>
          <w:lang w:val="en-US" w:eastAsia="zh-CN"/>
        </w:rPr>
        <w:t>h</w:t>
      </w:r>
    </w:p>
    <w:p w14:paraId="7921AFEE">
      <w:pPr>
        <w:ind w:firstLine="480" w:firstLineChars="200"/>
        <w:jc w:val="left"/>
        <w:rPr>
          <w:rFonts w:hint="default" w:ascii="宋体" w:hAnsi="宋体" w:eastAsia="宋体" w:cs="宋体"/>
          <w:lang w:val="en-US" w:eastAsia="zh-CN"/>
        </w:rPr>
      </w:pPr>
      <w:r>
        <w:rPr>
          <w:rFonts w:hint="default" w:ascii="宋体" w:hAnsi="宋体" w:eastAsia="宋体" w:cs="宋体"/>
          <w:lang w:val="en-US" w:eastAsia="zh-CN"/>
        </w:rPr>
        <w:t>断面积： 355m</w:t>
      </w:r>
      <w:r>
        <w:rPr>
          <w:rFonts w:hint="default" w:ascii="宋体" w:hAnsi="宋体" w:eastAsia="宋体" w:cs="宋体"/>
          <w:vertAlign w:val="superscript"/>
          <w:lang w:val="en-US" w:eastAsia="zh-CN"/>
        </w:rPr>
        <w:t>2</w:t>
      </w:r>
    </w:p>
    <w:p w14:paraId="7CE10901">
      <w:pPr>
        <w:ind w:firstLine="480" w:firstLineChars="200"/>
        <w:jc w:val="left"/>
        <w:rPr>
          <w:rFonts w:hint="default" w:ascii="宋体" w:hAnsi="宋体" w:eastAsia="宋体" w:cs="宋体"/>
          <w:lang w:val="en-US" w:eastAsia="zh-CN"/>
        </w:rPr>
      </w:pPr>
      <w:r>
        <w:rPr>
          <w:rFonts w:hint="default" w:ascii="宋体" w:hAnsi="宋体" w:eastAsia="宋体" w:cs="宋体"/>
          <w:lang w:val="en-US" w:eastAsia="zh-CN"/>
        </w:rPr>
        <w:t>电场风速： ~0.8m/s</w:t>
      </w:r>
    </w:p>
    <w:p w14:paraId="54651199">
      <w:pPr>
        <w:ind w:firstLine="480" w:firstLineChars="200"/>
        <w:jc w:val="left"/>
        <w:rPr>
          <w:rFonts w:hint="default" w:ascii="宋体" w:hAnsi="宋体" w:eastAsia="宋体" w:cs="宋体"/>
          <w:lang w:val="en-US" w:eastAsia="zh-CN"/>
        </w:rPr>
      </w:pPr>
      <w:r>
        <w:rPr>
          <w:rFonts w:hint="default" w:ascii="宋体" w:hAnsi="宋体" w:eastAsia="宋体" w:cs="宋体"/>
          <w:lang w:val="en-US" w:eastAsia="zh-CN"/>
        </w:rPr>
        <w:t>室数电场数： 双室、4电场</w:t>
      </w:r>
    </w:p>
    <w:p w14:paraId="64451DAE">
      <w:pPr>
        <w:ind w:firstLine="480" w:firstLineChars="200"/>
        <w:jc w:val="left"/>
        <w:rPr>
          <w:rFonts w:hint="default" w:ascii="宋体" w:hAnsi="宋体" w:eastAsia="宋体" w:cs="宋体"/>
          <w:lang w:val="en-US" w:eastAsia="zh-CN"/>
        </w:rPr>
      </w:pPr>
      <w:r>
        <w:rPr>
          <w:rFonts w:hint="default" w:ascii="宋体" w:hAnsi="宋体" w:eastAsia="宋体" w:cs="宋体"/>
          <w:lang w:val="en-US" w:eastAsia="zh-CN"/>
        </w:rPr>
        <w:t>除尘器壳体最大承压：－22KPa</w:t>
      </w:r>
    </w:p>
    <w:p w14:paraId="13286C47">
      <w:pPr>
        <w:ind w:firstLine="480" w:firstLineChars="200"/>
        <w:jc w:val="left"/>
        <w:rPr>
          <w:rFonts w:hint="default" w:ascii="宋体" w:hAnsi="宋体" w:eastAsia="宋体" w:cs="宋体"/>
          <w:lang w:val="en-US" w:eastAsia="zh-CN"/>
        </w:rPr>
      </w:pPr>
      <w:r>
        <w:rPr>
          <w:rFonts w:hint="default" w:ascii="宋体" w:hAnsi="宋体" w:eastAsia="宋体" w:cs="宋体"/>
          <w:lang w:val="en-US" w:eastAsia="zh-CN"/>
        </w:rPr>
        <w:t>电除尘器电源：第 1、2 电场采用高频电源，第 3、4 电场采用高频脉冲电源。</w:t>
      </w:r>
    </w:p>
    <w:p w14:paraId="731309AF">
      <w:pPr>
        <w:ind w:firstLine="480" w:firstLineChars="200"/>
        <w:jc w:val="left"/>
        <w:rPr>
          <w:rFonts w:hint="default" w:ascii="宋体" w:hAnsi="宋体" w:eastAsia="宋体" w:cs="宋体"/>
          <w:lang w:val="en-US" w:eastAsia="zh-CN"/>
        </w:rPr>
      </w:pPr>
      <w:r>
        <w:rPr>
          <w:rFonts w:hint="default" w:ascii="宋体" w:hAnsi="宋体" w:eastAsia="宋体" w:cs="宋体"/>
          <w:lang w:val="en-US" w:eastAsia="zh-CN"/>
        </w:rPr>
        <w:t>（4）可行性分析</w:t>
      </w:r>
    </w:p>
    <w:p w14:paraId="5D4F0679">
      <w:pPr>
        <w:ind w:firstLine="480" w:firstLineChars="200"/>
        <w:jc w:val="left"/>
        <w:rPr>
          <w:rFonts w:hint="default" w:ascii="宋体" w:hAnsi="宋体" w:eastAsia="宋体" w:cs="宋体"/>
          <w:lang w:val="en-US" w:eastAsia="zh-CN"/>
        </w:rPr>
      </w:pPr>
      <w:r>
        <w:rPr>
          <w:rFonts w:hint="default" w:ascii="宋体" w:hAnsi="宋体" w:eastAsia="宋体" w:cs="宋体"/>
          <w:lang w:val="en-US" w:eastAsia="zh-CN"/>
        </w:rPr>
        <w:t>静电除尘器的工作原理是利用高压电场使烟气发生电离，气流中的粉尘荷电在电场作用下与气流分离。负极由不同断面形状的金属导线制成，为放电电极。正极由不同几何形状的金属板制成，为集尘电极。静电除尘器的性能受粉尘性质、设备构造和烟气流速等三个因素的影响。</w:t>
      </w:r>
    </w:p>
    <w:p w14:paraId="3ECD5AD1">
      <w:pPr>
        <w:ind w:firstLine="480" w:firstLineChars="200"/>
        <w:jc w:val="left"/>
        <w:rPr>
          <w:rFonts w:hint="default" w:ascii="宋体" w:hAnsi="宋体" w:eastAsia="宋体" w:cs="宋体"/>
          <w:lang w:val="en-US" w:eastAsia="zh-CN"/>
        </w:rPr>
      </w:pPr>
      <w:r>
        <w:rPr>
          <w:rFonts w:hint="default" w:ascii="宋体" w:hAnsi="宋体" w:eastAsia="宋体" w:cs="宋体"/>
          <w:lang w:val="en-US" w:eastAsia="zh-CN"/>
        </w:rPr>
        <w:t>静电除尘器与其他除尘设备相比，耗能少，除尘效率高，适用于除去烟气中0.01~50μm 的粉尘，而且可用于烟气温度高、压力大的场合。实践表明，处理的烟气量越大，使用静电除尘器的投资和运行费用越经济。</w:t>
      </w:r>
    </w:p>
    <w:p w14:paraId="51567E5B">
      <w:pPr>
        <w:ind w:firstLine="480" w:firstLineChars="200"/>
        <w:jc w:val="left"/>
        <w:rPr>
          <w:rFonts w:hint="default" w:ascii="宋体" w:hAnsi="宋体" w:eastAsia="宋体" w:cs="宋体"/>
          <w:highlight w:val="yellow"/>
          <w:lang w:val="en-US" w:eastAsia="zh-CN"/>
        </w:rPr>
      </w:pPr>
      <w:r>
        <w:rPr>
          <w:rFonts w:hint="default" w:ascii="宋体" w:hAnsi="宋体" w:eastAsia="宋体" w:cs="宋体"/>
          <w:highlight w:val="none"/>
          <w:lang w:val="en-US" w:eastAsia="zh-CN"/>
        </w:rPr>
        <w:t>钢铁企业的烧结机头产生的烟气因温度较高，不宜直接采用布袋除尘器处理该部分烟气，而电除尘器则具有设备运行阻力小、能处理高温废气、设备检修维护的工作环境较袋式除尘器好等优点，因此被国内大部分钢铁企业广泛采用处理烧结烟气。根据国内多家钢铁企业的烧结机机头机尾等污染源的监测结果表明，目前国内广泛使用的四电场静电除尘器处理后的烟气中烟粉尘浓度均可稳定控制在小于50mg/m3的水平，再通过</w:t>
      </w:r>
      <w:r>
        <w:rPr>
          <w:rFonts w:hint="eastAsia" w:cs="宋体"/>
          <w:highlight w:val="none"/>
          <w:lang w:val="en-US" w:eastAsia="zh-CN"/>
        </w:rPr>
        <w:t>石灰石-石膏法脱硫</w:t>
      </w:r>
      <w:r>
        <w:rPr>
          <w:rFonts w:hint="default" w:ascii="宋体" w:hAnsi="宋体" w:eastAsia="宋体" w:cs="宋体"/>
          <w:highlight w:val="none"/>
          <w:lang w:val="en-US" w:eastAsia="zh-CN"/>
        </w:rPr>
        <w:t>+</w:t>
      </w:r>
      <w:r>
        <w:rPr>
          <w:rFonts w:hint="eastAsia" w:cs="宋体"/>
          <w:highlight w:val="none"/>
          <w:lang w:val="en-US" w:eastAsia="zh-CN"/>
        </w:rPr>
        <w:t>湿式</w:t>
      </w:r>
      <w:r>
        <w:rPr>
          <w:rFonts w:hint="default" w:ascii="宋体" w:hAnsi="宋体" w:eastAsia="宋体" w:cs="宋体"/>
          <w:highlight w:val="none"/>
          <w:lang w:val="en-US" w:eastAsia="zh-CN"/>
        </w:rPr>
        <w:t>除尘系统的进一步净化，烧结机头最终的颗粒物排放浓度可控制在小于10mg/m</w:t>
      </w:r>
      <w:r>
        <w:rPr>
          <w:rFonts w:hint="default" w:ascii="宋体" w:hAnsi="宋体" w:eastAsia="宋体" w:cs="宋体"/>
          <w:highlight w:val="none"/>
          <w:vertAlign w:val="superscript"/>
          <w:lang w:val="en-US" w:eastAsia="zh-CN"/>
        </w:rPr>
        <w:t>3</w:t>
      </w:r>
      <w:r>
        <w:rPr>
          <w:rFonts w:hint="default" w:ascii="宋体" w:hAnsi="宋体" w:eastAsia="宋体" w:cs="宋体"/>
          <w:highlight w:val="none"/>
          <w:lang w:val="en-US" w:eastAsia="zh-CN"/>
        </w:rPr>
        <w:t>的水平，可以达到特别排放限值的要求。</w:t>
      </w:r>
    </w:p>
    <w:p w14:paraId="2A9CD145">
      <w:pPr>
        <w:ind w:firstLine="480" w:firstLineChars="200"/>
        <w:jc w:val="left"/>
        <w:rPr>
          <w:rFonts w:hint="default" w:ascii="宋体" w:hAnsi="宋体" w:eastAsia="宋体" w:cs="宋体"/>
          <w:lang w:val="en-US" w:eastAsia="zh-CN"/>
        </w:rPr>
      </w:pPr>
      <w:r>
        <w:rPr>
          <w:rFonts w:hint="default" w:ascii="宋体" w:hAnsi="宋体" w:eastAsia="宋体" w:cs="宋体"/>
          <w:lang w:val="en-US" w:eastAsia="zh-CN"/>
        </w:rPr>
        <w:t>技改项目烧结机机头废气除尘选用的四电场静电除尘器。根据《钢铁行业污染防治最佳可行性技术导则－烧结球团》（征求意见稿）关于颗粒物治理技术研究可知，国内约占84.2%的烧结机采用电除尘器。四电场静电除尘为《排污许可证申请与核发技术规范钢铁工业》（HJ 846—2017）中给出的烧结机头废气的颗粒物净化的可行技术。</w:t>
      </w:r>
    </w:p>
    <w:p w14:paraId="047300F5">
      <w:pPr>
        <w:ind w:firstLine="480" w:firstLineChars="200"/>
        <w:jc w:val="left"/>
        <w:rPr>
          <w:rFonts w:hint="eastAsia" w:ascii="宋体" w:hAnsi="宋体" w:eastAsia="宋体" w:cs="宋体"/>
          <w:lang w:val="en-US" w:eastAsia="zh-CN"/>
        </w:rPr>
      </w:pPr>
      <w:r>
        <w:rPr>
          <w:rFonts w:hint="default" w:ascii="宋体" w:hAnsi="宋体" w:eastAsia="宋体" w:cs="宋体"/>
          <w:lang w:val="en-US" w:eastAsia="zh-CN"/>
        </w:rPr>
        <w:t>2、机头废气脱硫系统</w:t>
      </w:r>
    </w:p>
    <w:p w14:paraId="0BBD5E18">
      <w:pPr>
        <w:keepNext w:val="0"/>
        <w:keepLines w:val="0"/>
        <w:widowControl/>
        <w:suppressLineNumbers w:val="0"/>
        <w:ind w:firstLine="480" w:firstLineChars="200"/>
        <w:jc w:val="left"/>
      </w:pPr>
      <w:r>
        <w:rPr>
          <w:rFonts w:hint="default" w:ascii="Times New Roman" w:hAnsi="Times New Roman" w:eastAsia="宋体" w:cs="Times New Roman"/>
          <w:color w:val="000000"/>
          <w:kern w:val="0"/>
          <w:sz w:val="24"/>
          <w:szCs w:val="24"/>
          <w:lang w:val="en-US" w:eastAsia="zh-CN" w:bidi="ar"/>
        </w:rPr>
        <w:t>1</w:t>
      </w:r>
      <w:r>
        <w:rPr>
          <w:rFonts w:hint="eastAsia" w:ascii="宋体" w:hAnsi="宋体" w:eastAsia="宋体" w:cs="宋体"/>
          <w:color w:val="000000"/>
          <w:kern w:val="0"/>
          <w:sz w:val="24"/>
          <w:szCs w:val="24"/>
          <w:lang w:val="en-US" w:eastAsia="zh-CN" w:bidi="ar"/>
        </w:rPr>
        <w:t xml:space="preserve">）二氧化硫污染防止措施 </w:t>
      </w:r>
    </w:p>
    <w:p w14:paraId="3193D6D9">
      <w:pPr>
        <w:keepNext w:val="0"/>
        <w:keepLines w:val="0"/>
        <w:widowControl/>
        <w:suppressLineNumbers w:val="0"/>
        <w:ind w:firstLine="480" w:firstLineChars="200"/>
        <w:jc w:val="left"/>
      </w:pPr>
      <w:r>
        <w:rPr>
          <w:rFonts w:hint="eastAsia" w:ascii="宋体" w:hAnsi="宋体" w:eastAsia="宋体" w:cs="宋体"/>
          <w:color w:val="000000"/>
          <w:kern w:val="0"/>
          <w:sz w:val="24"/>
          <w:szCs w:val="24"/>
          <w:lang w:val="en-US" w:eastAsia="zh-CN" w:bidi="ar"/>
        </w:rPr>
        <w:t>脱硫常用方法：烧结、球团二氧化硫治理技术，通常分为干法和湿法。湿法脱硫技术主要有石灰石</w:t>
      </w:r>
      <w:r>
        <w:rPr>
          <w:rFonts w:hint="default" w:ascii="Times New Roman" w:hAnsi="Times New Roman" w:eastAsia="宋体" w:cs="Times New Roman"/>
          <w:color w:val="000000"/>
          <w:kern w:val="0"/>
          <w:sz w:val="24"/>
          <w:szCs w:val="24"/>
          <w:lang w:val="en-US" w:eastAsia="zh-CN" w:bidi="ar"/>
        </w:rPr>
        <w:t>/</w:t>
      </w:r>
      <w:r>
        <w:rPr>
          <w:rFonts w:hint="eastAsia" w:ascii="宋体" w:hAnsi="宋体" w:eastAsia="宋体" w:cs="宋体"/>
          <w:color w:val="000000"/>
          <w:kern w:val="0"/>
          <w:sz w:val="24"/>
          <w:szCs w:val="24"/>
          <w:lang w:val="en-US" w:eastAsia="zh-CN" w:bidi="ar"/>
        </w:rPr>
        <w:t>石灰</w:t>
      </w:r>
      <w:r>
        <w:rPr>
          <w:rFonts w:hint="default" w:ascii="Times New Roman" w:hAnsi="Times New Roman" w:eastAsia="宋体" w:cs="Times New Roman"/>
          <w:color w:val="000000"/>
          <w:kern w:val="0"/>
          <w:sz w:val="24"/>
          <w:szCs w:val="24"/>
          <w:lang w:val="en-US" w:eastAsia="zh-CN" w:bidi="ar"/>
        </w:rPr>
        <w:t>-</w:t>
      </w:r>
      <w:r>
        <w:rPr>
          <w:rFonts w:hint="eastAsia" w:ascii="宋体" w:hAnsi="宋体" w:eastAsia="宋体" w:cs="宋体"/>
          <w:color w:val="000000"/>
          <w:kern w:val="0"/>
          <w:sz w:val="24"/>
          <w:szCs w:val="24"/>
          <w:lang w:val="en-US" w:eastAsia="zh-CN" w:bidi="ar"/>
        </w:rPr>
        <w:t>石膏法、氧化镁法、氨</w:t>
      </w:r>
      <w:r>
        <w:rPr>
          <w:rFonts w:hint="default" w:ascii="Times New Roman" w:hAnsi="Times New Roman" w:eastAsia="宋体" w:cs="Times New Roman"/>
          <w:color w:val="000000"/>
          <w:kern w:val="0"/>
          <w:sz w:val="24"/>
          <w:szCs w:val="24"/>
          <w:lang w:val="en-US" w:eastAsia="zh-CN" w:bidi="ar"/>
        </w:rPr>
        <w:t>-</w:t>
      </w:r>
      <w:r>
        <w:rPr>
          <w:rFonts w:hint="eastAsia" w:ascii="宋体" w:hAnsi="宋体" w:eastAsia="宋体" w:cs="宋体"/>
          <w:color w:val="000000"/>
          <w:kern w:val="0"/>
          <w:sz w:val="24"/>
          <w:szCs w:val="24"/>
          <w:lang w:val="en-US" w:eastAsia="zh-CN" w:bidi="ar"/>
        </w:rPr>
        <w:t>硫铵法、双碱法等。干（半干）法脱硫技术包括循环流化床法（</w:t>
      </w:r>
      <w:r>
        <w:rPr>
          <w:rFonts w:hint="default" w:ascii="Times New Roman" w:hAnsi="Times New Roman" w:eastAsia="宋体" w:cs="Times New Roman"/>
          <w:color w:val="000000"/>
          <w:kern w:val="0"/>
          <w:sz w:val="24"/>
          <w:szCs w:val="24"/>
          <w:lang w:val="en-US" w:eastAsia="zh-CN" w:bidi="ar"/>
        </w:rPr>
        <w:t>CFB</w:t>
      </w:r>
      <w:r>
        <w:rPr>
          <w:rFonts w:hint="eastAsia" w:ascii="宋体" w:hAnsi="宋体" w:eastAsia="宋体" w:cs="宋体"/>
          <w:color w:val="000000"/>
          <w:kern w:val="0"/>
          <w:sz w:val="24"/>
          <w:szCs w:val="24"/>
          <w:lang w:val="en-US" w:eastAsia="zh-CN" w:bidi="ar"/>
        </w:rPr>
        <w:t>）、喷雾干燥法（</w:t>
      </w:r>
      <w:r>
        <w:rPr>
          <w:rFonts w:hint="default" w:ascii="Times New Roman" w:hAnsi="Times New Roman" w:eastAsia="宋体" w:cs="Times New Roman"/>
          <w:color w:val="000000"/>
          <w:kern w:val="0"/>
          <w:sz w:val="24"/>
          <w:szCs w:val="24"/>
          <w:lang w:val="en-US" w:eastAsia="zh-CN" w:bidi="ar"/>
        </w:rPr>
        <w:t>SDA</w:t>
      </w:r>
      <w:r>
        <w:rPr>
          <w:rFonts w:hint="eastAsia" w:ascii="宋体" w:hAnsi="宋体" w:eastAsia="宋体" w:cs="宋体"/>
          <w:color w:val="000000"/>
          <w:kern w:val="0"/>
          <w:sz w:val="24"/>
          <w:szCs w:val="24"/>
          <w:lang w:val="en-US" w:eastAsia="zh-CN" w:bidi="ar"/>
        </w:rPr>
        <w:t>）、密相干塔法、新型脱硫除尘一体化技术（</w:t>
      </w:r>
      <w:r>
        <w:rPr>
          <w:rFonts w:hint="default" w:ascii="Times New Roman" w:hAnsi="Times New Roman" w:eastAsia="宋体" w:cs="Times New Roman"/>
          <w:color w:val="000000"/>
          <w:kern w:val="0"/>
          <w:sz w:val="24"/>
          <w:szCs w:val="24"/>
          <w:lang w:val="en-US" w:eastAsia="zh-CN" w:bidi="ar"/>
        </w:rPr>
        <w:t>NID</w:t>
      </w:r>
      <w:r>
        <w:rPr>
          <w:rFonts w:hint="eastAsia" w:ascii="宋体" w:hAnsi="宋体" w:eastAsia="宋体" w:cs="宋体"/>
          <w:color w:val="000000"/>
          <w:kern w:val="0"/>
          <w:sz w:val="24"/>
          <w:szCs w:val="24"/>
          <w:lang w:val="en-US" w:eastAsia="zh-CN" w:bidi="ar"/>
        </w:rPr>
        <w:t>）、</w:t>
      </w:r>
      <w:r>
        <w:rPr>
          <w:rFonts w:hint="default" w:ascii="Times New Roman" w:hAnsi="Times New Roman" w:eastAsia="宋体" w:cs="Times New Roman"/>
          <w:color w:val="000000"/>
          <w:kern w:val="0"/>
          <w:sz w:val="24"/>
          <w:szCs w:val="24"/>
          <w:lang w:val="en-US" w:eastAsia="zh-CN" w:bidi="ar"/>
        </w:rPr>
        <w:t>MEROS</w:t>
      </w:r>
      <w:r>
        <w:rPr>
          <w:rFonts w:hint="eastAsia" w:ascii="宋体" w:hAnsi="宋体" w:eastAsia="宋体" w:cs="宋体"/>
          <w:color w:val="000000"/>
          <w:kern w:val="0"/>
          <w:sz w:val="24"/>
          <w:szCs w:val="24"/>
          <w:lang w:val="en-US" w:eastAsia="zh-CN" w:bidi="ar"/>
        </w:rPr>
        <w:t>法、活性炭法（</w:t>
      </w:r>
      <w:r>
        <w:rPr>
          <w:rFonts w:hint="default" w:ascii="Times New Roman" w:hAnsi="Times New Roman" w:eastAsia="宋体" w:cs="Times New Roman"/>
          <w:color w:val="000000"/>
          <w:kern w:val="0"/>
          <w:sz w:val="24"/>
          <w:szCs w:val="24"/>
          <w:lang w:val="en-US" w:eastAsia="zh-CN" w:bidi="ar"/>
        </w:rPr>
        <w:t>AC</w:t>
      </w:r>
      <w:r>
        <w:rPr>
          <w:rFonts w:hint="eastAsia" w:ascii="宋体" w:hAnsi="宋体" w:eastAsia="宋体" w:cs="宋体"/>
          <w:color w:val="000000"/>
          <w:kern w:val="0"/>
          <w:sz w:val="24"/>
          <w:szCs w:val="24"/>
          <w:lang w:val="en-US" w:eastAsia="zh-CN" w:bidi="ar"/>
        </w:rPr>
        <w:t xml:space="preserve">）等脱硫工艺技术。 </w:t>
      </w:r>
    </w:p>
    <w:p w14:paraId="4B83A4B6">
      <w:pPr>
        <w:keepNext w:val="0"/>
        <w:keepLines w:val="0"/>
        <w:widowControl/>
        <w:suppressLineNumbers w:val="0"/>
        <w:jc w:val="left"/>
      </w:pPr>
      <w:r>
        <w:rPr>
          <w:rFonts w:hint="eastAsia" w:ascii="宋体" w:hAnsi="宋体" w:eastAsia="宋体" w:cs="宋体"/>
          <w:color w:val="000000"/>
          <w:kern w:val="0"/>
          <w:sz w:val="24"/>
          <w:szCs w:val="24"/>
          <w:lang w:val="en-US" w:eastAsia="zh-CN" w:bidi="ar"/>
        </w:rPr>
        <w:t>《钢铁行业烧结、球团工艺污染防治可行技术指南（试行）》推荐的可行技术有石灰石</w:t>
      </w:r>
      <w:r>
        <w:rPr>
          <w:rFonts w:hint="default" w:ascii="Times New Roman" w:hAnsi="Times New Roman" w:eastAsia="宋体" w:cs="Times New Roman"/>
          <w:color w:val="000000"/>
          <w:kern w:val="0"/>
          <w:sz w:val="24"/>
          <w:szCs w:val="24"/>
          <w:lang w:val="en-US" w:eastAsia="zh-CN" w:bidi="ar"/>
        </w:rPr>
        <w:t>--</w:t>
      </w:r>
      <w:r>
        <w:rPr>
          <w:rFonts w:hint="eastAsia" w:ascii="宋体" w:hAnsi="宋体" w:eastAsia="宋体" w:cs="宋体"/>
          <w:color w:val="000000"/>
          <w:kern w:val="0"/>
          <w:sz w:val="24"/>
          <w:szCs w:val="24"/>
          <w:lang w:val="en-US" w:eastAsia="zh-CN" w:bidi="ar"/>
        </w:rPr>
        <w:t>石膏法脱硫技术、氨法脱硫技术、喷雾干燥脱硫技术以及循环流化床法脱硫技术，其主要技术指标及经济技术比较见表</w:t>
      </w:r>
      <w:r>
        <w:rPr>
          <w:rFonts w:hint="default" w:ascii="Times New Roman" w:hAnsi="Times New Roman" w:eastAsia="宋体" w:cs="Times New Roman"/>
          <w:color w:val="000000"/>
          <w:kern w:val="0"/>
          <w:sz w:val="24"/>
          <w:szCs w:val="24"/>
          <w:lang w:val="en-US" w:eastAsia="zh-CN" w:bidi="ar"/>
        </w:rPr>
        <w:t>7.2-2</w:t>
      </w:r>
      <w:r>
        <w:rPr>
          <w:rFonts w:hint="eastAsia" w:ascii="宋体" w:hAnsi="宋体" w:eastAsia="宋体" w:cs="宋体"/>
          <w:color w:val="000000"/>
          <w:kern w:val="0"/>
          <w:sz w:val="24"/>
          <w:szCs w:val="24"/>
          <w:lang w:val="en-US" w:eastAsia="zh-CN" w:bidi="ar"/>
        </w:rPr>
        <w:t>：</w:t>
      </w:r>
    </w:p>
    <w:p w14:paraId="149D50A6">
      <w:pPr>
        <w:jc w:val="center"/>
      </w:pPr>
      <w:r>
        <w:t>表7.2-2 球团二氧化硫治理可行技术</w:t>
      </w:r>
    </w:p>
    <w:tbl>
      <w:tblPr>
        <w:tblStyle w:val="56"/>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1113"/>
        <w:gridCol w:w="1879"/>
        <w:gridCol w:w="5729"/>
      </w:tblGrid>
      <w:tr w14:paraId="649538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0" w:type="auto"/>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52A57E35">
            <w:pPr>
              <w:jc w:val="center"/>
              <w:rPr>
                <w:b/>
              </w:rPr>
            </w:pPr>
            <w:r>
              <w:rPr>
                <w:b/>
              </w:rPr>
              <w:t>可行技术</w:t>
            </w:r>
          </w:p>
        </w:tc>
        <w:tc>
          <w:tcPr>
            <w:tcW w:w="0" w:type="auto"/>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58AE146F">
            <w:pPr>
              <w:jc w:val="center"/>
              <w:rPr>
                <w:b/>
              </w:rPr>
            </w:pPr>
            <w:r>
              <w:rPr>
                <w:b/>
              </w:rPr>
              <w:t>主要技术指标</w:t>
            </w:r>
          </w:p>
        </w:tc>
        <w:tc>
          <w:tcPr>
            <w:tcW w:w="0" w:type="auto"/>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13DB6392">
            <w:pPr>
              <w:jc w:val="center"/>
              <w:rPr>
                <w:b/>
              </w:rPr>
            </w:pPr>
            <w:r>
              <w:rPr>
                <w:b/>
              </w:rPr>
              <w:t>技术经济适用性</w:t>
            </w:r>
          </w:p>
        </w:tc>
      </w:tr>
      <w:tr w14:paraId="09139F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0" w:type="auto"/>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5081BE9A">
            <w:r>
              <w:t>石灰石/石灰--石膏法脱硫技术</w:t>
            </w:r>
          </w:p>
        </w:tc>
        <w:tc>
          <w:tcPr>
            <w:tcW w:w="0" w:type="auto"/>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16E2A06B">
            <w:r>
              <w:t>脱硫效率可达95%以上，氟化物、氯化物脱除率大于95%</w:t>
            </w:r>
          </w:p>
        </w:tc>
        <w:tc>
          <w:tcPr>
            <w:tcW w:w="0" w:type="auto"/>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2C12ED2E">
            <w:r>
              <w:t>适用于高浓度、大烟气量、要求脱硫效率在95%以上的脱硫系统。脱硫剂可采用同类性质碱性较强的废弃物，可以达到以废治废的目的。</w:t>
            </w:r>
          </w:p>
        </w:tc>
      </w:tr>
      <w:tr w14:paraId="0178CA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0" w:type="auto"/>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2DDF36AA">
            <w:r>
              <w:t>氨法脱硫技术</w:t>
            </w:r>
          </w:p>
        </w:tc>
        <w:tc>
          <w:tcPr>
            <w:tcW w:w="0" w:type="auto"/>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70AA162F">
            <w:r>
              <w:t>脱硫效率可达95%以上，氟化物、氯化物脱除率大于95%</w:t>
            </w:r>
          </w:p>
        </w:tc>
        <w:tc>
          <w:tcPr>
            <w:tcW w:w="0" w:type="auto"/>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413527B8">
            <w:r>
              <w:t>适用于高浓度、大烟气量、要求脱硫效率在95%以上的脱硫项目，尤其适合有焦化厂的钢铁联合企业或厂区附近建有化工厂的企业，采用焦化氨源时，选择合适的氨源获取点，对废氨水进行处理，使氨水质达到要求后使用。</w:t>
            </w:r>
          </w:p>
        </w:tc>
      </w:tr>
      <w:tr w14:paraId="467B28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1113"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109EC0A0">
            <w:r>
              <w:t>喷雾干燥脱硫技术</w:t>
            </w:r>
          </w:p>
        </w:tc>
        <w:tc>
          <w:tcPr>
            <w:tcW w:w="1879"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256B29A8">
            <w:r>
              <w:t>二氧化硫脱除率可达到90%，颗粒物排放浓度小于30mg/m3或更低</w:t>
            </w:r>
          </w:p>
        </w:tc>
        <w:tc>
          <w:tcPr>
            <w:tcW w:w="5729"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7CBF6BAE">
            <w:r>
              <w:t>在干（半）法脱硫方法中脱硫效率较相对较高，运行稳定，添加活性炭或褐煤具有协同处理氮氧化物、二噁英、汞等重金属的功能，适用于老厂改造、水资源紧缺、中低SO</w:t>
            </w:r>
            <w:r>
              <w:rPr>
                <w:vertAlign w:val="subscript"/>
              </w:rPr>
              <w:t>2</w:t>
            </w:r>
            <w:r>
              <w:t>浓度的烟气脱硫项目。对于吸附二噁英的除尘灰，应进行无害化处理处置。</w:t>
            </w:r>
          </w:p>
        </w:tc>
      </w:tr>
      <w:tr w14:paraId="6609E4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1113"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78946679">
            <w:r>
              <w:t>循环流化床法脱硫技术</w:t>
            </w:r>
          </w:p>
        </w:tc>
        <w:tc>
          <w:tcPr>
            <w:tcW w:w="1879"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4AFAF1EC">
            <w:r>
              <w:t>二氧化硫脱除率可达到85%，颗粒物排放浓度小于30mg/m3或更低</w:t>
            </w:r>
          </w:p>
        </w:tc>
        <w:tc>
          <w:tcPr>
            <w:tcW w:w="5729"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7CA4324C">
            <w:r>
              <w:t>一次投资和运行成本比湿法工艺低，系统占地面积小，添加活性炭或褐煤具有协同处理二噁英、重金属的功能。适用于老厂改造、水资源紧缺、中低SO2浓度的烟气脱硫项目。对于吸附二噁英的除尘灰，应进行无害化处理处置。</w:t>
            </w:r>
          </w:p>
        </w:tc>
      </w:tr>
    </w:tbl>
    <w:p w14:paraId="2A15AC6F">
      <w:pPr>
        <w:ind w:firstLine="480" w:firstLineChars="200"/>
        <w:jc w:val="left"/>
      </w:pPr>
      <w:r>
        <w:t>本工程采取的脱硫技术为石灰-石膏法脱硫。石灰石/石灰-石膏法是目前应用最为广泛的脱硫技术，该技术成熟，工艺稳定，脱硫效率高，脱硫剂来源广泛、价格便宜。</w:t>
      </w:r>
    </w:p>
    <w:p w14:paraId="2115DD58">
      <w:pPr>
        <w:keepNext w:val="0"/>
        <w:keepLines w:val="0"/>
        <w:widowControl/>
        <w:suppressLineNumbers w:val="0"/>
        <w:ind w:firstLine="480" w:firstLineChars="200"/>
        <w:jc w:val="left"/>
      </w:pPr>
      <w:r>
        <w:rPr>
          <w:rFonts w:hint="eastAsia" w:ascii="宋体" w:hAnsi="宋体" w:eastAsia="宋体" w:cs="宋体"/>
          <w:color w:val="000000"/>
          <w:kern w:val="0"/>
          <w:sz w:val="24"/>
          <w:szCs w:val="24"/>
          <w:lang w:val="en-US" w:eastAsia="zh-CN" w:bidi="ar"/>
        </w:rPr>
        <w:t xml:space="preserve">2）石灰-石膏法工艺原理及主要系统流程 </w:t>
      </w:r>
    </w:p>
    <w:p w14:paraId="13437F73">
      <w:pPr>
        <w:keepNext w:val="0"/>
        <w:keepLines w:val="0"/>
        <w:widowControl/>
        <w:suppressLineNumbers w:val="0"/>
        <w:ind w:firstLine="480" w:firstLineChars="200"/>
        <w:jc w:val="left"/>
      </w:pPr>
      <w:r>
        <w:rPr>
          <w:rFonts w:hint="eastAsia" w:ascii="宋体" w:hAnsi="宋体" w:eastAsia="宋体" w:cs="宋体"/>
          <w:color w:val="000000"/>
          <w:kern w:val="0"/>
          <w:sz w:val="24"/>
          <w:szCs w:val="24"/>
          <w:lang w:val="en-US" w:eastAsia="zh-CN" w:bidi="ar"/>
        </w:rPr>
        <w:t xml:space="preserve">（1）工艺原理 </w:t>
      </w:r>
    </w:p>
    <w:p w14:paraId="3FEEF5AC">
      <w:pPr>
        <w:keepNext w:val="0"/>
        <w:keepLines w:val="0"/>
        <w:widowControl/>
        <w:suppressLineNumbers w:val="0"/>
        <w:ind w:firstLine="480" w:firstLineChars="200"/>
        <w:jc w:val="left"/>
      </w:pPr>
      <w:r>
        <w:rPr>
          <w:rFonts w:hint="eastAsia" w:ascii="宋体" w:hAnsi="宋体" w:eastAsia="宋体" w:cs="宋体"/>
          <w:color w:val="000000"/>
          <w:kern w:val="0"/>
          <w:sz w:val="24"/>
          <w:szCs w:val="24"/>
          <w:lang w:val="en-US" w:eastAsia="zh-CN" w:bidi="ar"/>
        </w:rPr>
        <w:t xml:space="preserve">采用石灰作为脱硫吸收剂，石灰粉经消化处理后加水制成吸收剂浆液。 </w:t>
      </w:r>
    </w:p>
    <w:p w14:paraId="753F4A17">
      <w:pPr>
        <w:keepNext w:val="0"/>
        <w:keepLines w:val="0"/>
        <w:widowControl/>
        <w:suppressLineNumbers w:val="0"/>
        <w:jc w:val="left"/>
      </w:pPr>
      <w:r>
        <w:rPr>
          <w:rFonts w:hint="eastAsia" w:ascii="宋体" w:hAnsi="宋体" w:eastAsia="宋体" w:cs="宋体"/>
          <w:color w:val="000000"/>
          <w:kern w:val="0"/>
          <w:sz w:val="24"/>
          <w:szCs w:val="24"/>
          <w:lang w:val="en-US" w:eastAsia="zh-CN" w:bidi="ar"/>
        </w:rPr>
        <w:t>主引风电除尘器除尘后的烟气由主引风机送入脱硫塔脱硫，在上升过程中与脱硫液中的脱硫浆液逆流接触反应，烟气中所含的污染气体绝大部分因此被清洗入浆液，SO</w:t>
      </w:r>
      <w:r>
        <w:rPr>
          <w:rFonts w:hint="eastAsia" w:ascii="宋体" w:hAnsi="宋体" w:eastAsia="宋体" w:cs="宋体"/>
          <w:color w:val="000000"/>
          <w:kern w:val="0"/>
          <w:sz w:val="15"/>
          <w:szCs w:val="15"/>
          <w:lang w:val="en-US" w:eastAsia="zh-CN" w:bidi="ar"/>
        </w:rPr>
        <w:t xml:space="preserve">2 </w:t>
      </w:r>
      <w:r>
        <w:rPr>
          <w:rFonts w:hint="eastAsia" w:ascii="宋体" w:hAnsi="宋体" w:eastAsia="宋体" w:cs="宋体"/>
          <w:color w:val="000000"/>
          <w:kern w:val="0"/>
          <w:sz w:val="24"/>
          <w:szCs w:val="24"/>
          <w:lang w:val="en-US" w:eastAsia="zh-CN" w:bidi="ar"/>
        </w:rPr>
        <w:t xml:space="preserve">与浆液中的石灰颗粒发生化学反应而被脱除，处理后的净烟气经过除雾器除去水滴后进入直排烟囱。另外在脱硫过程中由于气、液、固三相间的充分接触和强大的离心作用，烟气中所含的少量烟尘也将被除雾器折板及高效管束式除雾器分离下来，使烟尘的排放 浓度低于排放指标。脱硫后烟气由塔顶直排烟囱达标排放。烟气中的二氧化硫与浆液中的碳酸钙以及鼓入的氧化空气进行化学反应从而被脱除，最终反应产物为石膏。 </w:t>
      </w:r>
    </w:p>
    <w:p w14:paraId="6CEC0E93">
      <w:pPr>
        <w:keepNext w:val="0"/>
        <w:keepLines w:val="0"/>
        <w:widowControl/>
        <w:suppressLineNumbers w:val="0"/>
        <w:ind w:firstLine="480" w:firstLineChars="200"/>
        <w:jc w:val="left"/>
      </w:pPr>
      <w:r>
        <w:rPr>
          <w:rFonts w:hint="eastAsia" w:ascii="宋体" w:hAnsi="宋体" w:eastAsia="宋体" w:cs="宋体"/>
          <w:color w:val="000000"/>
          <w:kern w:val="0"/>
          <w:sz w:val="24"/>
          <w:szCs w:val="24"/>
          <w:lang w:val="en-US" w:eastAsia="zh-CN" w:bidi="ar"/>
        </w:rPr>
        <w:t xml:space="preserve">（2）、脱硫系统 </w:t>
      </w:r>
    </w:p>
    <w:p w14:paraId="683B886B">
      <w:pPr>
        <w:keepNext w:val="0"/>
        <w:keepLines w:val="0"/>
        <w:widowControl/>
        <w:suppressLineNumbers w:val="0"/>
        <w:ind w:firstLine="480" w:firstLineChars="200"/>
        <w:jc w:val="left"/>
      </w:pPr>
      <w:r>
        <w:rPr>
          <w:rFonts w:hint="eastAsia" w:ascii="宋体" w:hAnsi="宋体" w:eastAsia="宋体" w:cs="宋体"/>
          <w:color w:val="000000"/>
          <w:kern w:val="0"/>
          <w:sz w:val="24"/>
          <w:szCs w:val="24"/>
          <w:lang w:val="en-US" w:eastAsia="zh-CN" w:bidi="ar"/>
        </w:rPr>
        <w:t xml:space="preserve">脱硫系统构成如下： </w:t>
      </w:r>
    </w:p>
    <w:p w14:paraId="1168511C">
      <w:pPr>
        <w:keepNext w:val="0"/>
        <w:keepLines w:val="0"/>
        <w:widowControl/>
        <w:suppressLineNumbers w:val="0"/>
        <w:ind w:firstLine="480" w:firstLineChars="200"/>
        <w:jc w:val="left"/>
      </w:pPr>
      <w:r>
        <w:rPr>
          <w:rFonts w:hint="eastAsia" w:ascii="宋体" w:hAnsi="宋体" w:eastAsia="宋体" w:cs="宋体"/>
          <w:color w:val="000000"/>
          <w:kern w:val="0"/>
          <w:sz w:val="24"/>
          <w:szCs w:val="24"/>
          <w:lang w:val="en-US" w:eastAsia="zh-CN" w:bidi="ar"/>
        </w:rPr>
        <w:t>脱硫剂制备系统：采用外购石灰粉，将成品石灰粉粒径通过250目筛，筛余量小于10%通过气力输送管路送入钢制石灰粉仓内，通过给料机输送到制浆池。调浆后输送至脱硫区域。</w:t>
      </w:r>
    </w:p>
    <w:p w14:paraId="00A6292B">
      <w:pPr>
        <w:keepNext w:val="0"/>
        <w:keepLines w:val="0"/>
        <w:widowControl/>
        <w:suppressLineNumbers w:val="0"/>
        <w:ind w:firstLine="480" w:firstLineChars="200"/>
        <w:jc w:val="left"/>
      </w:pPr>
      <w:r>
        <w:rPr>
          <w:rFonts w:hint="eastAsia" w:ascii="宋体" w:hAnsi="宋体" w:eastAsia="宋体" w:cs="宋体"/>
          <w:color w:val="000000"/>
          <w:kern w:val="0"/>
          <w:sz w:val="24"/>
          <w:szCs w:val="24"/>
          <w:lang w:val="en-US" w:eastAsia="zh-CN" w:bidi="ar"/>
        </w:rPr>
        <w:t xml:space="preserve">吸收剂浆液制备系统主要包括以下装置：石灰粉仓、螺旋给料机、泵、制浆池和搅拌器。 </w:t>
      </w:r>
    </w:p>
    <w:p w14:paraId="3685CF9B">
      <w:pPr>
        <w:keepNext w:val="0"/>
        <w:keepLines w:val="0"/>
        <w:widowControl/>
        <w:suppressLineNumbers w:val="0"/>
        <w:ind w:firstLine="480" w:firstLineChars="200"/>
        <w:jc w:val="left"/>
      </w:pPr>
      <w:r>
        <w:rPr>
          <w:rFonts w:hint="eastAsia" w:ascii="宋体" w:hAnsi="宋体" w:eastAsia="宋体" w:cs="宋体"/>
          <w:color w:val="000000"/>
          <w:kern w:val="0"/>
          <w:sz w:val="24"/>
          <w:szCs w:val="24"/>
          <w:lang w:val="en-US" w:eastAsia="zh-CN" w:bidi="ar"/>
        </w:rPr>
        <w:t>烟气系统：从主引风机引出的原烟气经烟道送入吸收塔，向上流动穿过喷淋层，在此过程中烟气被冷却，烟气中的SO</w:t>
      </w:r>
      <w:r>
        <w:rPr>
          <w:rFonts w:hint="eastAsia" w:ascii="宋体" w:hAnsi="宋体" w:eastAsia="宋体" w:cs="宋体"/>
          <w:color w:val="000000"/>
          <w:kern w:val="0"/>
          <w:sz w:val="15"/>
          <w:szCs w:val="15"/>
          <w:lang w:val="en-US" w:eastAsia="zh-CN" w:bidi="ar"/>
        </w:rPr>
        <w:t>2</w:t>
      </w:r>
      <w:r>
        <w:rPr>
          <w:rFonts w:hint="eastAsia" w:ascii="宋体" w:hAnsi="宋体" w:eastAsia="宋体" w:cs="宋体"/>
          <w:color w:val="000000"/>
          <w:kern w:val="0"/>
          <w:sz w:val="24"/>
          <w:szCs w:val="24"/>
          <w:lang w:val="en-US" w:eastAsia="zh-CN" w:bidi="ar"/>
        </w:rPr>
        <w:t>被脱硫浆液吸收。除去SO</w:t>
      </w:r>
      <w:r>
        <w:rPr>
          <w:rFonts w:hint="eastAsia" w:ascii="宋体" w:hAnsi="宋体" w:eastAsia="宋体" w:cs="宋体"/>
          <w:color w:val="000000"/>
          <w:kern w:val="0"/>
          <w:sz w:val="15"/>
          <w:szCs w:val="15"/>
          <w:lang w:val="en-US" w:eastAsia="zh-CN" w:bidi="ar"/>
        </w:rPr>
        <w:t>2</w:t>
      </w:r>
      <w:r>
        <w:rPr>
          <w:rFonts w:hint="eastAsia" w:ascii="宋体" w:hAnsi="宋体" w:eastAsia="宋体" w:cs="宋体"/>
          <w:color w:val="000000"/>
          <w:kern w:val="0"/>
          <w:sz w:val="24"/>
          <w:szCs w:val="24"/>
          <w:lang w:val="en-US" w:eastAsia="zh-CN" w:bidi="ar"/>
        </w:rPr>
        <w:t xml:space="preserve">及其它污染物的烟气经除雾器脱水后通过脱硫塔上部烟囱达标排放。 </w:t>
      </w:r>
    </w:p>
    <w:p w14:paraId="33EF3D75">
      <w:pPr>
        <w:keepNext w:val="0"/>
        <w:keepLines w:val="0"/>
        <w:widowControl/>
        <w:suppressLineNumbers w:val="0"/>
        <w:ind w:firstLine="480" w:firstLineChars="200"/>
        <w:jc w:val="left"/>
      </w:pPr>
      <w:r>
        <w:rPr>
          <w:rFonts w:hint="eastAsia" w:ascii="宋体" w:hAnsi="宋体" w:eastAsia="宋体" w:cs="宋体"/>
          <w:color w:val="000000"/>
          <w:kern w:val="0"/>
          <w:sz w:val="24"/>
          <w:szCs w:val="24"/>
          <w:lang w:val="en-US" w:eastAsia="zh-CN" w:bidi="ar"/>
        </w:rPr>
        <w:t xml:space="preserve">脱硫塔顶部设置直排烟囱，烟囱材质为FRP+玻璃鳞片防腐，脱硫后的烟气温度≦50。 </w:t>
      </w:r>
    </w:p>
    <w:p w14:paraId="0ECA6E48">
      <w:pPr>
        <w:keepNext w:val="0"/>
        <w:keepLines w:val="0"/>
        <w:widowControl/>
        <w:suppressLineNumbers w:val="0"/>
        <w:ind w:firstLine="480" w:firstLineChars="200"/>
        <w:jc w:val="left"/>
      </w:pPr>
      <w:r>
        <w:rPr>
          <w:rFonts w:hint="eastAsia" w:ascii="宋体" w:hAnsi="宋体" w:eastAsia="宋体" w:cs="宋体"/>
          <w:color w:val="000000"/>
          <w:kern w:val="0"/>
          <w:sz w:val="24"/>
          <w:szCs w:val="24"/>
          <w:lang w:val="en-US" w:eastAsia="zh-CN" w:bidi="ar"/>
        </w:rPr>
        <w:t>SO</w:t>
      </w:r>
      <w:r>
        <w:rPr>
          <w:rFonts w:hint="eastAsia" w:ascii="宋体" w:hAnsi="宋体" w:eastAsia="宋体" w:cs="宋体"/>
          <w:color w:val="000000"/>
          <w:kern w:val="0"/>
          <w:sz w:val="15"/>
          <w:szCs w:val="15"/>
          <w:lang w:val="en-US" w:eastAsia="zh-CN" w:bidi="ar"/>
        </w:rPr>
        <w:t>2</w:t>
      </w:r>
      <w:r>
        <w:rPr>
          <w:rFonts w:hint="eastAsia" w:ascii="宋体" w:hAnsi="宋体" w:eastAsia="宋体" w:cs="宋体"/>
          <w:color w:val="000000"/>
          <w:kern w:val="0"/>
          <w:sz w:val="24"/>
          <w:szCs w:val="24"/>
          <w:lang w:val="en-US" w:eastAsia="zh-CN" w:bidi="ar"/>
        </w:rPr>
        <w:t>吸收系统：原烟气进入吸收塔中下部，浆池液面以上。吸收塔上部布置有石灰浆液喷淋层，烟气由下至上与喷淋层的吸收浆液逆流接触，逆气流运行有利于烟气与吸收塔充分接触，更有利于吸收反应的进行。在吸收塔内进行吸收反应，生成 CaSO</w:t>
      </w:r>
      <w:r>
        <w:rPr>
          <w:rFonts w:hint="eastAsia" w:ascii="宋体" w:hAnsi="宋体" w:eastAsia="宋体" w:cs="宋体"/>
          <w:color w:val="000000"/>
          <w:kern w:val="0"/>
          <w:sz w:val="15"/>
          <w:szCs w:val="15"/>
          <w:lang w:val="en-US" w:eastAsia="zh-CN" w:bidi="ar"/>
        </w:rPr>
        <w:t>3</w:t>
      </w:r>
      <w:r>
        <w:rPr>
          <w:rFonts w:hint="eastAsia" w:ascii="宋体" w:hAnsi="宋体" w:eastAsia="宋体" w:cs="宋体"/>
          <w:color w:val="000000"/>
          <w:kern w:val="0"/>
          <w:sz w:val="24"/>
          <w:szCs w:val="24"/>
          <w:lang w:val="en-US" w:eastAsia="zh-CN" w:bidi="ar"/>
        </w:rPr>
        <w:t>•1/2H</w:t>
      </w:r>
      <w:r>
        <w:rPr>
          <w:rFonts w:hint="eastAsia" w:ascii="宋体" w:hAnsi="宋体" w:eastAsia="宋体" w:cs="宋体"/>
          <w:color w:val="000000"/>
          <w:kern w:val="0"/>
          <w:sz w:val="15"/>
          <w:szCs w:val="15"/>
          <w:lang w:val="en-US" w:eastAsia="zh-CN" w:bidi="ar"/>
        </w:rPr>
        <w:t>2</w:t>
      </w:r>
      <w:r>
        <w:rPr>
          <w:rFonts w:hint="eastAsia" w:ascii="宋体" w:hAnsi="宋体" w:eastAsia="宋体" w:cs="宋体"/>
          <w:color w:val="000000"/>
          <w:kern w:val="0"/>
          <w:sz w:val="24"/>
          <w:szCs w:val="24"/>
          <w:lang w:val="en-US" w:eastAsia="zh-CN" w:bidi="ar"/>
        </w:rPr>
        <w:t>O 落入吸收塔底部浆池中，氧化空气经氧化喷枪注入吸收塔浆池对中间产物进行强制氧化生成脱硫副产品石膏（CaSO</w:t>
      </w:r>
      <w:r>
        <w:rPr>
          <w:rFonts w:hint="eastAsia" w:ascii="宋体" w:hAnsi="宋体" w:eastAsia="宋体" w:cs="宋体"/>
          <w:color w:val="000000"/>
          <w:kern w:val="0"/>
          <w:sz w:val="15"/>
          <w:szCs w:val="15"/>
          <w:lang w:val="en-US" w:eastAsia="zh-CN" w:bidi="ar"/>
        </w:rPr>
        <w:t>4</w:t>
      </w:r>
      <w:r>
        <w:rPr>
          <w:rFonts w:hint="eastAsia" w:ascii="宋体" w:hAnsi="宋体" w:eastAsia="宋体" w:cs="宋体"/>
          <w:color w:val="000000"/>
          <w:kern w:val="0"/>
          <w:sz w:val="24"/>
          <w:szCs w:val="24"/>
          <w:lang w:val="en-US" w:eastAsia="zh-CN" w:bidi="ar"/>
        </w:rPr>
        <w:t>•2H</w:t>
      </w:r>
      <w:r>
        <w:rPr>
          <w:rFonts w:hint="eastAsia" w:ascii="宋体" w:hAnsi="宋体" w:eastAsia="宋体" w:cs="宋体"/>
          <w:color w:val="000000"/>
          <w:kern w:val="0"/>
          <w:sz w:val="15"/>
          <w:szCs w:val="15"/>
          <w:lang w:val="en-US" w:eastAsia="zh-CN" w:bidi="ar"/>
        </w:rPr>
        <w:t>2</w:t>
      </w:r>
      <w:r>
        <w:rPr>
          <w:rFonts w:hint="eastAsia" w:ascii="宋体" w:hAnsi="宋体" w:eastAsia="宋体" w:cs="宋体"/>
          <w:color w:val="000000"/>
          <w:kern w:val="0"/>
          <w:sz w:val="24"/>
          <w:szCs w:val="24"/>
          <w:lang w:val="en-US" w:eastAsia="zh-CN" w:bidi="ar"/>
        </w:rPr>
        <w:t xml:space="preserve">O）。 </w:t>
      </w:r>
    </w:p>
    <w:p w14:paraId="52025D62">
      <w:pPr>
        <w:keepNext w:val="0"/>
        <w:keepLines w:val="0"/>
        <w:widowControl/>
        <w:suppressLineNumbers w:val="0"/>
        <w:ind w:firstLine="480" w:firstLineChars="200"/>
        <w:jc w:val="left"/>
      </w:pPr>
      <w:r>
        <w:rPr>
          <w:rFonts w:hint="eastAsia" w:ascii="宋体" w:hAnsi="宋体" w:eastAsia="宋体" w:cs="宋体"/>
          <w:color w:val="000000"/>
          <w:kern w:val="0"/>
          <w:sz w:val="24"/>
          <w:szCs w:val="24"/>
          <w:lang w:val="en-US" w:eastAsia="zh-CN" w:bidi="ar"/>
        </w:rPr>
        <w:t xml:space="preserve">1）这两个过程的化学反应方程式如下： </w:t>
      </w:r>
    </w:p>
    <w:p w14:paraId="139BBCF5">
      <w:pPr>
        <w:keepNext w:val="0"/>
        <w:keepLines w:val="0"/>
        <w:widowControl/>
        <w:suppressLineNumbers w:val="0"/>
        <w:ind w:firstLine="480" w:firstLineChars="200"/>
        <w:jc w:val="left"/>
      </w:pPr>
      <w:r>
        <w:rPr>
          <w:rFonts w:hint="eastAsia" w:ascii="宋体" w:hAnsi="宋体" w:eastAsia="宋体" w:cs="宋体"/>
          <w:color w:val="000000"/>
          <w:kern w:val="0"/>
          <w:sz w:val="24"/>
          <w:szCs w:val="24"/>
          <w:lang w:val="en-US" w:eastAsia="zh-CN" w:bidi="ar"/>
        </w:rPr>
        <w:t xml:space="preserve">①吸收反应 </w:t>
      </w:r>
    </w:p>
    <w:p w14:paraId="10B11C68">
      <w:pPr>
        <w:keepNext w:val="0"/>
        <w:keepLines w:val="0"/>
        <w:widowControl/>
        <w:suppressLineNumbers w:val="0"/>
        <w:ind w:firstLine="480" w:firstLineChars="200"/>
        <w:jc w:val="left"/>
      </w:pPr>
      <w:r>
        <w:rPr>
          <w:rFonts w:hint="eastAsia" w:ascii="宋体" w:hAnsi="宋体" w:eastAsia="宋体" w:cs="宋体"/>
          <w:color w:val="000000"/>
          <w:kern w:val="0"/>
          <w:sz w:val="24"/>
          <w:szCs w:val="24"/>
          <w:lang w:val="en-US" w:eastAsia="zh-CN" w:bidi="ar"/>
        </w:rPr>
        <w:t>高速烟气与循环浆液在吸收塔内逆流接触，循环浆液吸收 SO</w:t>
      </w:r>
      <w:r>
        <w:rPr>
          <w:rFonts w:hint="eastAsia" w:ascii="宋体" w:hAnsi="宋体" w:eastAsia="宋体" w:cs="宋体"/>
          <w:color w:val="000000"/>
          <w:kern w:val="0"/>
          <w:sz w:val="15"/>
          <w:szCs w:val="15"/>
          <w:lang w:val="en-US" w:eastAsia="zh-CN" w:bidi="ar"/>
        </w:rPr>
        <w:t>2</w:t>
      </w:r>
      <w:r>
        <w:rPr>
          <w:rFonts w:hint="eastAsia" w:ascii="宋体" w:hAnsi="宋体" w:eastAsia="宋体" w:cs="宋体"/>
          <w:color w:val="000000"/>
          <w:kern w:val="0"/>
          <w:sz w:val="24"/>
          <w:szCs w:val="24"/>
          <w:lang w:val="en-US" w:eastAsia="zh-CN" w:bidi="ar"/>
        </w:rPr>
        <w:t xml:space="preserve">，生成亚硫酸钙，并排放出二氧化碳，反应如下： </w:t>
      </w:r>
    </w:p>
    <w:p w14:paraId="7B70AC88">
      <w:pPr>
        <w:keepNext w:val="0"/>
        <w:keepLines w:val="0"/>
        <w:widowControl/>
        <w:suppressLineNumbers w:val="0"/>
        <w:ind w:firstLine="480" w:firstLineChars="200"/>
        <w:jc w:val="left"/>
      </w:pPr>
      <w:r>
        <w:rPr>
          <w:rFonts w:hint="eastAsia" w:ascii="宋体" w:hAnsi="宋体" w:eastAsia="宋体" w:cs="宋体"/>
          <w:color w:val="000000"/>
          <w:kern w:val="0"/>
          <w:sz w:val="24"/>
          <w:szCs w:val="24"/>
          <w:lang w:val="en-US" w:eastAsia="zh-CN" w:bidi="ar"/>
        </w:rPr>
        <w:t>SO</w:t>
      </w:r>
      <w:r>
        <w:rPr>
          <w:rFonts w:hint="eastAsia" w:ascii="宋体" w:hAnsi="宋体" w:eastAsia="宋体" w:cs="宋体"/>
          <w:color w:val="000000"/>
          <w:kern w:val="0"/>
          <w:sz w:val="15"/>
          <w:szCs w:val="15"/>
          <w:lang w:val="en-US" w:eastAsia="zh-CN" w:bidi="ar"/>
        </w:rPr>
        <w:t>2</w:t>
      </w:r>
      <w:r>
        <w:rPr>
          <w:rFonts w:hint="eastAsia" w:ascii="宋体" w:hAnsi="宋体" w:eastAsia="宋体" w:cs="宋体"/>
          <w:color w:val="000000"/>
          <w:kern w:val="0"/>
          <w:sz w:val="24"/>
          <w:szCs w:val="24"/>
          <w:lang w:val="en-US" w:eastAsia="zh-CN" w:bidi="ar"/>
        </w:rPr>
        <w:t>＋H</w:t>
      </w:r>
      <w:r>
        <w:rPr>
          <w:rFonts w:hint="eastAsia" w:ascii="宋体" w:hAnsi="宋体" w:eastAsia="宋体" w:cs="宋体"/>
          <w:color w:val="000000"/>
          <w:kern w:val="0"/>
          <w:sz w:val="15"/>
          <w:szCs w:val="15"/>
          <w:lang w:val="en-US" w:eastAsia="zh-CN" w:bidi="ar"/>
        </w:rPr>
        <w:t>2</w:t>
      </w:r>
      <w:r>
        <w:rPr>
          <w:rFonts w:hint="eastAsia" w:ascii="宋体" w:hAnsi="宋体" w:eastAsia="宋体" w:cs="宋体"/>
          <w:color w:val="000000"/>
          <w:kern w:val="0"/>
          <w:sz w:val="24"/>
          <w:szCs w:val="24"/>
          <w:lang w:val="en-US" w:eastAsia="zh-CN" w:bidi="ar"/>
        </w:rPr>
        <w:t>O→H</w:t>
      </w:r>
      <w:r>
        <w:rPr>
          <w:rFonts w:hint="eastAsia" w:ascii="宋体" w:hAnsi="宋体" w:eastAsia="宋体" w:cs="宋体"/>
          <w:color w:val="000000"/>
          <w:kern w:val="0"/>
          <w:sz w:val="15"/>
          <w:szCs w:val="15"/>
          <w:lang w:val="en-US" w:eastAsia="zh-CN" w:bidi="ar"/>
        </w:rPr>
        <w:t>2</w:t>
      </w:r>
      <w:r>
        <w:rPr>
          <w:rFonts w:hint="eastAsia" w:ascii="宋体" w:hAnsi="宋体" w:eastAsia="宋体" w:cs="宋体"/>
          <w:color w:val="000000"/>
          <w:kern w:val="0"/>
          <w:sz w:val="24"/>
          <w:szCs w:val="24"/>
          <w:lang w:val="en-US" w:eastAsia="zh-CN" w:bidi="ar"/>
        </w:rPr>
        <w:t>SO</w:t>
      </w:r>
      <w:r>
        <w:rPr>
          <w:rFonts w:hint="eastAsia" w:ascii="宋体" w:hAnsi="宋体" w:eastAsia="宋体" w:cs="宋体"/>
          <w:color w:val="000000"/>
          <w:kern w:val="0"/>
          <w:sz w:val="15"/>
          <w:szCs w:val="15"/>
          <w:lang w:val="en-US" w:eastAsia="zh-CN" w:bidi="ar"/>
        </w:rPr>
        <w:t xml:space="preserve">3 </w:t>
      </w:r>
    </w:p>
    <w:p w14:paraId="6CA9E815">
      <w:pPr>
        <w:keepNext w:val="0"/>
        <w:keepLines w:val="0"/>
        <w:widowControl/>
        <w:suppressLineNumbers w:val="0"/>
        <w:ind w:firstLine="480" w:firstLineChars="200"/>
        <w:jc w:val="left"/>
      </w:pPr>
      <w:r>
        <w:rPr>
          <w:rFonts w:hint="eastAsia" w:ascii="宋体" w:hAnsi="宋体" w:eastAsia="宋体" w:cs="宋体"/>
          <w:color w:val="000000"/>
          <w:kern w:val="0"/>
          <w:sz w:val="24"/>
          <w:szCs w:val="24"/>
          <w:lang w:val="en-US" w:eastAsia="zh-CN" w:bidi="ar"/>
        </w:rPr>
        <w:t>H</w:t>
      </w:r>
      <w:r>
        <w:rPr>
          <w:rFonts w:hint="eastAsia" w:ascii="宋体" w:hAnsi="宋体" w:eastAsia="宋体" w:cs="宋体"/>
          <w:color w:val="000000"/>
          <w:kern w:val="0"/>
          <w:sz w:val="15"/>
          <w:szCs w:val="15"/>
          <w:lang w:val="en-US" w:eastAsia="zh-CN" w:bidi="ar"/>
        </w:rPr>
        <w:t>2</w:t>
      </w:r>
      <w:r>
        <w:rPr>
          <w:rFonts w:hint="eastAsia" w:ascii="宋体" w:hAnsi="宋体" w:eastAsia="宋体" w:cs="宋体"/>
          <w:color w:val="000000"/>
          <w:kern w:val="0"/>
          <w:sz w:val="24"/>
          <w:szCs w:val="24"/>
          <w:lang w:val="en-US" w:eastAsia="zh-CN" w:bidi="ar"/>
        </w:rPr>
        <w:t>SO</w:t>
      </w:r>
      <w:r>
        <w:rPr>
          <w:rFonts w:hint="eastAsia" w:ascii="宋体" w:hAnsi="宋体" w:eastAsia="宋体" w:cs="宋体"/>
          <w:color w:val="000000"/>
          <w:kern w:val="0"/>
          <w:sz w:val="15"/>
          <w:szCs w:val="15"/>
          <w:lang w:val="en-US" w:eastAsia="zh-CN" w:bidi="ar"/>
        </w:rPr>
        <w:t>3</w:t>
      </w:r>
      <w:r>
        <w:rPr>
          <w:rFonts w:hint="eastAsia" w:ascii="宋体" w:hAnsi="宋体" w:eastAsia="宋体" w:cs="宋体"/>
          <w:color w:val="000000"/>
          <w:kern w:val="0"/>
          <w:sz w:val="24"/>
          <w:szCs w:val="24"/>
          <w:lang w:val="en-US" w:eastAsia="zh-CN" w:bidi="ar"/>
        </w:rPr>
        <w:t>→H</w:t>
      </w:r>
      <w:r>
        <w:rPr>
          <w:rFonts w:hint="eastAsia" w:eastAsia="宋体" w:cs="宋体"/>
          <w:color w:val="000000"/>
          <w:kern w:val="0"/>
          <w:sz w:val="24"/>
          <w:szCs w:val="24"/>
          <w:vertAlign w:val="superscript"/>
          <w:lang w:val="en-US" w:eastAsia="zh-CN" w:bidi="ar"/>
        </w:rPr>
        <w:t>+</w:t>
      </w:r>
      <w:r>
        <w:rPr>
          <w:rFonts w:hint="eastAsia" w:ascii="宋体" w:hAnsi="宋体" w:eastAsia="宋体" w:cs="宋体"/>
          <w:color w:val="000000"/>
          <w:kern w:val="0"/>
          <w:sz w:val="24"/>
          <w:szCs w:val="24"/>
          <w:lang w:val="en-US" w:eastAsia="zh-CN" w:bidi="ar"/>
        </w:rPr>
        <w:t>＋HSO</w:t>
      </w:r>
      <w:r>
        <w:rPr>
          <w:rFonts w:hint="eastAsia" w:eastAsia="宋体" w:cs="宋体"/>
          <w:color w:val="000000"/>
          <w:kern w:val="0"/>
          <w:sz w:val="24"/>
          <w:szCs w:val="24"/>
          <w:vertAlign w:val="subscript"/>
          <w:lang w:val="en-US" w:eastAsia="zh-CN" w:bidi="ar"/>
        </w:rPr>
        <w:t>3</w:t>
      </w:r>
      <w:r>
        <w:rPr>
          <w:rFonts w:hint="eastAsia" w:eastAsia="宋体" w:cs="宋体"/>
          <w:color w:val="000000"/>
          <w:kern w:val="0"/>
          <w:sz w:val="24"/>
          <w:szCs w:val="24"/>
          <w:vertAlign w:val="superscript"/>
          <w:lang w:val="en-US" w:eastAsia="zh-CN" w:bidi="ar"/>
        </w:rPr>
        <w:t>-</w:t>
      </w:r>
      <w:r>
        <w:rPr>
          <w:rFonts w:hint="eastAsia" w:ascii="宋体" w:hAnsi="宋体" w:eastAsia="宋体" w:cs="宋体"/>
          <w:color w:val="000000"/>
          <w:kern w:val="0"/>
          <w:sz w:val="15"/>
          <w:szCs w:val="15"/>
          <w:lang w:val="en-US" w:eastAsia="zh-CN" w:bidi="ar"/>
        </w:rPr>
        <w:t xml:space="preserve"> </w:t>
      </w:r>
    </w:p>
    <w:p w14:paraId="517E7507">
      <w:pPr>
        <w:keepNext w:val="0"/>
        <w:keepLines w:val="0"/>
        <w:widowControl/>
        <w:suppressLineNumbers w:val="0"/>
        <w:ind w:firstLine="480" w:firstLineChars="200"/>
        <w:jc w:val="left"/>
      </w:pPr>
      <w:r>
        <w:rPr>
          <w:rFonts w:hint="eastAsia" w:ascii="宋体" w:hAnsi="宋体" w:eastAsia="宋体" w:cs="宋体"/>
          <w:color w:val="000000"/>
          <w:kern w:val="0"/>
          <w:sz w:val="24"/>
          <w:szCs w:val="24"/>
          <w:lang w:val="en-US" w:eastAsia="zh-CN" w:bidi="ar"/>
        </w:rPr>
        <w:t>HSO</w:t>
      </w:r>
      <w:r>
        <w:rPr>
          <w:rFonts w:hint="eastAsia" w:ascii="宋体" w:hAnsi="宋体" w:eastAsia="宋体" w:cs="宋体"/>
          <w:color w:val="000000"/>
          <w:kern w:val="0"/>
          <w:sz w:val="15"/>
          <w:szCs w:val="15"/>
          <w:lang w:val="en-US" w:eastAsia="zh-CN" w:bidi="ar"/>
        </w:rPr>
        <w:t>3－</w:t>
      </w:r>
      <w:r>
        <w:rPr>
          <w:rFonts w:hint="eastAsia" w:ascii="宋体" w:hAnsi="宋体" w:eastAsia="宋体" w:cs="宋体"/>
          <w:color w:val="000000"/>
          <w:kern w:val="0"/>
          <w:sz w:val="24"/>
          <w:szCs w:val="24"/>
          <w:lang w:val="en-US" w:eastAsia="zh-CN" w:bidi="ar"/>
        </w:rPr>
        <w:t>→H</w:t>
      </w:r>
      <w:r>
        <w:rPr>
          <w:rFonts w:hint="eastAsia" w:eastAsia="宋体" w:cs="宋体"/>
          <w:color w:val="000000"/>
          <w:kern w:val="0"/>
          <w:sz w:val="24"/>
          <w:szCs w:val="24"/>
          <w:vertAlign w:val="superscript"/>
          <w:lang w:val="en-US" w:eastAsia="zh-CN" w:bidi="ar"/>
        </w:rPr>
        <w:t>+</w:t>
      </w:r>
      <w:r>
        <w:rPr>
          <w:rFonts w:hint="eastAsia" w:ascii="宋体" w:hAnsi="宋体" w:eastAsia="宋体" w:cs="宋体"/>
          <w:color w:val="000000"/>
          <w:kern w:val="0"/>
          <w:sz w:val="24"/>
          <w:szCs w:val="24"/>
          <w:lang w:val="en-US" w:eastAsia="zh-CN" w:bidi="ar"/>
        </w:rPr>
        <w:t>＋SO</w:t>
      </w:r>
      <w:r>
        <w:rPr>
          <w:rFonts w:hint="eastAsia" w:eastAsia="宋体" w:cs="宋体"/>
          <w:color w:val="000000"/>
          <w:kern w:val="0"/>
          <w:sz w:val="24"/>
          <w:szCs w:val="24"/>
          <w:vertAlign w:val="subscript"/>
          <w:lang w:val="en-US" w:eastAsia="zh-CN" w:bidi="ar"/>
        </w:rPr>
        <w:t>3</w:t>
      </w:r>
      <w:r>
        <w:rPr>
          <w:rFonts w:hint="eastAsia" w:eastAsia="宋体" w:cs="宋体"/>
          <w:color w:val="000000"/>
          <w:kern w:val="0"/>
          <w:sz w:val="24"/>
          <w:szCs w:val="24"/>
          <w:vertAlign w:val="superscript"/>
          <w:lang w:val="en-US" w:eastAsia="zh-CN" w:bidi="ar"/>
        </w:rPr>
        <w:t>2-</w:t>
      </w:r>
      <w:r>
        <w:rPr>
          <w:rFonts w:hint="eastAsia" w:ascii="宋体" w:hAnsi="宋体" w:eastAsia="宋体" w:cs="宋体"/>
          <w:color w:val="000000"/>
          <w:kern w:val="0"/>
          <w:sz w:val="15"/>
          <w:szCs w:val="15"/>
          <w:lang w:val="en-US" w:eastAsia="zh-CN" w:bidi="ar"/>
        </w:rPr>
        <w:t xml:space="preserve"> </w:t>
      </w:r>
    </w:p>
    <w:p w14:paraId="0048C5BE">
      <w:pPr>
        <w:keepNext w:val="0"/>
        <w:keepLines w:val="0"/>
        <w:widowControl/>
        <w:suppressLineNumbers w:val="0"/>
        <w:ind w:firstLine="480" w:firstLineChars="200"/>
        <w:jc w:val="left"/>
      </w:pPr>
      <w:r>
        <w:rPr>
          <w:rFonts w:hint="eastAsia" w:ascii="宋体" w:hAnsi="宋体" w:eastAsia="宋体" w:cs="宋体"/>
          <w:color w:val="000000"/>
          <w:kern w:val="0"/>
          <w:sz w:val="24"/>
          <w:szCs w:val="24"/>
          <w:lang w:val="en-US" w:eastAsia="zh-CN" w:bidi="ar"/>
        </w:rPr>
        <w:t xml:space="preserve">②氧化反应 </w:t>
      </w:r>
    </w:p>
    <w:p w14:paraId="16A9D5D9">
      <w:pPr>
        <w:keepNext w:val="0"/>
        <w:keepLines w:val="0"/>
        <w:widowControl/>
        <w:suppressLineNumbers w:val="0"/>
        <w:ind w:firstLine="480" w:firstLineChars="200"/>
        <w:jc w:val="left"/>
      </w:pPr>
      <w:r>
        <w:rPr>
          <w:rFonts w:hint="eastAsia" w:ascii="宋体" w:hAnsi="宋体" w:eastAsia="宋体" w:cs="宋体"/>
          <w:color w:val="000000"/>
          <w:kern w:val="0"/>
          <w:sz w:val="24"/>
          <w:szCs w:val="24"/>
          <w:lang w:val="en-US" w:eastAsia="zh-CN" w:bidi="ar"/>
        </w:rPr>
        <w:t>在石灰-石膏湿法烟气脱硫工艺中采用强制氧化，氧化率达不到时，不能产生足够的石膏晶种而使石膏晶体迅速增长，导致石膏在吸收塔内结垢。强制氧化通过向洗涤液中鼓入空气，提高氧化率，避免石膏在塔内结垢。一部分HSO</w:t>
      </w:r>
      <w:r>
        <w:rPr>
          <w:rFonts w:hint="eastAsia" w:eastAsia="宋体" w:cs="宋体"/>
          <w:color w:val="000000"/>
          <w:kern w:val="0"/>
          <w:sz w:val="24"/>
          <w:szCs w:val="24"/>
          <w:vertAlign w:val="subscript"/>
          <w:lang w:val="en-US" w:eastAsia="zh-CN" w:bidi="ar"/>
        </w:rPr>
        <w:t>3</w:t>
      </w:r>
      <w:r>
        <w:rPr>
          <w:rFonts w:hint="eastAsia" w:eastAsia="宋体" w:cs="宋体"/>
          <w:color w:val="000000"/>
          <w:kern w:val="0"/>
          <w:sz w:val="24"/>
          <w:szCs w:val="24"/>
          <w:vertAlign w:val="superscript"/>
          <w:lang w:val="en-US" w:eastAsia="zh-CN" w:bidi="ar"/>
        </w:rPr>
        <w:t>-</w:t>
      </w:r>
      <w:r>
        <w:rPr>
          <w:rFonts w:hint="eastAsia" w:ascii="宋体" w:hAnsi="宋体" w:eastAsia="宋体" w:cs="宋体"/>
          <w:color w:val="000000"/>
          <w:kern w:val="0"/>
          <w:sz w:val="24"/>
          <w:szCs w:val="24"/>
          <w:lang w:val="en-US" w:eastAsia="zh-CN" w:bidi="ar"/>
        </w:rPr>
        <w:t>在湍流层中被烟气中的氧所氧化，其它的HSO</w:t>
      </w:r>
      <w:r>
        <w:rPr>
          <w:rFonts w:hint="eastAsia" w:eastAsia="宋体" w:cs="宋体"/>
          <w:color w:val="000000"/>
          <w:kern w:val="0"/>
          <w:sz w:val="24"/>
          <w:szCs w:val="24"/>
          <w:vertAlign w:val="subscript"/>
          <w:lang w:val="en-US" w:eastAsia="zh-CN" w:bidi="ar"/>
        </w:rPr>
        <w:t>3</w:t>
      </w:r>
      <w:r>
        <w:rPr>
          <w:rFonts w:hint="eastAsia" w:eastAsia="宋体" w:cs="宋体"/>
          <w:color w:val="000000"/>
          <w:kern w:val="0"/>
          <w:sz w:val="24"/>
          <w:szCs w:val="24"/>
          <w:vertAlign w:val="superscript"/>
          <w:lang w:val="en-US" w:eastAsia="zh-CN" w:bidi="ar"/>
        </w:rPr>
        <w:t>-</w:t>
      </w:r>
      <w:r>
        <w:rPr>
          <w:rFonts w:hint="eastAsia" w:ascii="宋体" w:hAnsi="宋体" w:eastAsia="宋体" w:cs="宋体"/>
          <w:color w:val="000000"/>
          <w:kern w:val="0"/>
          <w:sz w:val="24"/>
          <w:szCs w:val="24"/>
          <w:lang w:val="en-US" w:eastAsia="zh-CN" w:bidi="ar"/>
        </w:rPr>
        <w:t xml:space="preserve">在氧化池中被氧化空气完全氧化，反应如下： </w:t>
      </w:r>
    </w:p>
    <w:p w14:paraId="6E2221BA">
      <w:pPr>
        <w:keepNext w:val="0"/>
        <w:keepLines w:val="0"/>
        <w:widowControl/>
        <w:suppressLineNumbers w:val="0"/>
        <w:ind w:firstLine="480" w:firstLineChars="200"/>
        <w:jc w:val="left"/>
      </w:pPr>
      <w:r>
        <w:rPr>
          <w:rFonts w:hint="eastAsia" w:ascii="宋体" w:hAnsi="宋体" w:eastAsia="宋体" w:cs="宋体"/>
          <w:color w:val="000000"/>
          <w:kern w:val="0"/>
          <w:sz w:val="24"/>
          <w:szCs w:val="24"/>
          <w:lang w:val="en-US" w:eastAsia="zh-CN" w:bidi="ar"/>
        </w:rPr>
        <w:t>HSO</w:t>
      </w:r>
      <w:r>
        <w:rPr>
          <w:rFonts w:hint="eastAsia" w:eastAsia="宋体" w:cs="宋体"/>
          <w:color w:val="000000"/>
          <w:kern w:val="0"/>
          <w:sz w:val="24"/>
          <w:szCs w:val="24"/>
          <w:vertAlign w:val="subscript"/>
          <w:lang w:val="en-US" w:eastAsia="zh-CN" w:bidi="ar"/>
        </w:rPr>
        <w:t>3</w:t>
      </w:r>
      <w:r>
        <w:rPr>
          <w:rFonts w:hint="eastAsia" w:eastAsia="宋体" w:cs="宋体"/>
          <w:color w:val="000000"/>
          <w:kern w:val="0"/>
          <w:sz w:val="24"/>
          <w:szCs w:val="24"/>
          <w:vertAlign w:val="superscript"/>
          <w:lang w:val="en-US" w:eastAsia="zh-CN" w:bidi="ar"/>
        </w:rPr>
        <w:t>-</w:t>
      </w:r>
      <w:r>
        <w:rPr>
          <w:rFonts w:hint="eastAsia" w:ascii="宋体" w:hAnsi="宋体" w:eastAsia="宋体" w:cs="宋体"/>
          <w:color w:val="000000"/>
          <w:kern w:val="0"/>
          <w:sz w:val="24"/>
          <w:szCs w:val="24"/>
          <w:lang w:val="en-US" w:eastAsia="zh-CN" w:bidi="ar"/>
        </w:rPr>
        <w:t>＋1/2O</w:t>
      </w:r>
      <w:r>
        <w:rPr>
          <w:rFonts w:hint="eastAsia" w:ascii="宋体" w:hAnsi="宋体" w:eastAsia="宋体" w:cs="宋体"/>
          <w:color w:val="000000"/>
          <w:kern w:val="0"/>
          <w:sz w:val="15"/>
          <w:szCs w:val="15"/>
          <w:lang w:val="en-US" w:eastAsia="zh-CN" w:bidi="ar"/>
        </w:rPr>
        <w:t>2</w:t>
      </w:r>
      <w:r>
        <w:rPr>
          <w:rFonts w:hint="eastAsia" w:ascii="宋体" w:hAnsi="宋体" w:eastAsia="宋体" w:cs="宋体"/>
          <w:color w:val="000000"/>
          <w:kern w:val="0"/>
          <w:sz w:val="24"/>
          <w:szCs w:val="24"/>
          <w:lang w:val="en-US" w:eastAsia="zh-CN" w:bidi="ar"/>
        </w:rPr>
        <w:t>→HSO</w:t>
      </w:r>
      <w:r>
        <w:rPr>
          <w:rFonts w:hint="eastAsia" w:eastAsia="宋体" w:cs="宋体"/>
          <w:color w:val="000000"/>
          <w:kern w:val="0"/>
          <w:sz w:val="24"/>
          <w:szCs w:val="24"/>
          <w:vertAlign w:val="subscript"/>
          <w:lang w:val="en-US" w:eastAsia="zh-CN" w:bidi="ar"/>
        </w:rPr>
        <w:t>4</w:t>
      </w:r>
      <w:r>
        <w:rPr>
          <w:rFonts w:hint="eastAsia" w:eastAsia="宋体" w:cs="宋体"/>
          <w:color w:val="000000"/>
          <w:kern w:val="0"/>
          <w:sz w:val="24"/>
          <w:szCs w:val="24"/>
          <w:vertAlign w:val="superscript"/>
          <w:lang w:val="en-US" w:eastAsia="zh-CN" w:bidi="ar"/>
        </w:rPr>
        <w:t>-</w:t>
      </w:r>
      <w:r>
        <w:rPr>
          <w:rFonts w:hint="eastAsia" w:ascii="宋体" w:hAnsi="宋体" w:eastAsia="宋体" w:cs="宋体"/>
          <w:color w:val="000000"/>
          <w:kern w:val="0"/>
          <w:sz w:val="15"/>
          <w:szCs w:val="15"/>
          <w:lang w:val="en-US" w:eastAsia="zh-CN" w:bidi="ar"/>
        </w:rPr>
        <w:t xml:space="preserve"> </w:t>
      </w:r>
    </w:p>
    <w:p w14:paraId="5536D375">
      <w:pPr>
        <w:keepNext w:val="0"/>
        <w:keepLines w:val="0"/>
        <w:widowControl/>
        <w:suppressLineNumbers w:val="0"/>
        <w:ind w:firstLine="480" w:firstLineChars="200"/>
        <w:jc w:val="left"/>
      </w:pPr>
      <w:r>
        <w:rPr>
          <w:rFonts w:hint="eastAsia" w:ascii="宋体" w:hAnsi="宋体" w:eastAsia="宋体" w:cs="宋体"/>
          <w:color w:val="000000"/>
          <w:kern w:val="0"/>
          <w:sz w:val="24"/>
          <w:szCs w:val="24"/>
          <w:lang w:val="en-US" w:eastAsia="zh-CN" w:bidi="ar"/>
        </w:rPr>
        <w:t>HSO</w:t>
      </w:r>
      <w:r>
        <w:rPr>
          <w:rFonts w:hint="eastAsia" w:eastAsia="宋体" w:cs="宋体"/>
          <w:color w:val="000000"/>
          <w:kern w:val="0"/>
          <w:sz w:val="24"/>
          <w:szCs w:val="24"/>
          <w:vertAlign w:val="subscript"/>
          <w:lang w:val="en-US" w:eastAsia="zh-CN" w:bidi="ar"/>
        </w:rPr>
        <w:t>4</w:t>
      </w:r>
      <w:r>
        <w:rPr>
          <w:rFonts w:hint="eastAsia" w:eastAsia="宋体" w:cs="宋体"/>
          <w:color w:val="000000"/>
          <w:kern w:val="0"/>
          <w:sz w:val="24"/>
          <w:szCs w:val="24"/>
          <w:vertAlign w:val="superscript"/>
          <w:lang w:val="en-US" w:eastAsia="zh-CN" w:bidi="ar"/>
        </w:rPr>
        <w:t>-</w:t>
      </w:r>
      <w:r>
        <w:rPr>
          <w:rFonts w:hint="eastAsia" w:ascii="宋体" w:hAnsi="宋体" w:eastAsia="宋体" w:cs="宋体"/>
          <w:color w:val="000000"/>
          <w:kern w:val="0"/>
          <w:sz w:val="24"/>
          <w:szCs w:val="24"/>
          <w:lang w:val="en-US" w:eastAsia="zh-CN" w:bidi="ar"/>
        </w:rPr>
        <w:t>→H＋＋SO</w:t>
      </w:r>
      <w:r>
        <w:rPr>
          <w:rFonts w:hint="eastAsia" w:eastAsia="宋体" w:cs="宋体"/>
          <w:color w:val="000000"/>
          <w:kern w:val="0"/>
          <w:sz w:val="24"/>
          <w:szCs w:val="24"/>
          <w:vertAlign w:val="subscript"/>
          <w:lang w:val="en-US" w:eastAsia="zh-CN" w:bidi="ar"/>
        </w:rPr>
        <w:t>4</w:t>
      </w:r>
      <w:r>
        <w:rPr>
          <w:rFonts w:hint="eastAsia" w:eastAsia="宋体" w:cs="宋体"/>
          <w:color w:val="000000"/>
          <w:kern w:val="0"/>
          <w:sz w:val="24"/>
          <w:szCs w:val="24"/>
          <w:vertAlign w:val="superscript"/>
          <w:lang w:val="en-US" w:eastAsia="zh-CN" w:bidi="ar"/>
        </w:rPr>
        <w:t>2-</w:t>
      </w:r>
      <w:r>
        <w:rPr>
          <w:rFonts w:hint="eastAsia" w:ascii="宋体" w:hAnsi="宋体" w:eastAsia="宋体" w:cs="宋体"/>
          <w:color w:val="000000"/>
          <w:kern w:val="0"/>
          <w:sz w:val="15"/>
          <w:szCs w:val="15"/>
          <w:lang w:val="en-US" w:eastAsia="zh-CN" w:bidi="ar"/>
        </w:rPr>
        <w:t xml:space="preserve"> </w:t>
      </w:r>
    </w:p>
    <w:p w14:paraId="54DAA883">
      <w:pPr>
        <w:keepNext w:val="0"/>
        <w:keepLines w:val="0"/>
        <w:widowControl/>
        <w:suppressLineNumbers w:val="0"/>
        <w:ind w:firstLine="480" w:firstLineChars="200"/>
        <w:jc w:val="left"/>
      </w:pPr>
      <w:r>
        <w:rPr>
          <w:rFonts w:hint="eastAsia" w:ascii="宋体" w:hAnsi="宋体" w:eastAsia="宋体" w:cs="宋体"/>
          <w:color w:val="000000"/>
          <w:kern w:val="0"/>
          <w:sz w:val="24"/>
          <w:szCs w:val="24"/>
          <w:lang w:val="en-US" w:eastAsia="zh-CN" w:bidi="ar"/>
        </w:rPr>
        <w:t xml:space="preserve">③中和反应 </w:t>
      </w:r>
    </w:p>
    <w:p w14:paraId="3B90280F">
      <w:pPr>
        <w:keepNext w:val="0"/>
        <w:keepLines w:val="0"/>
        <w:widowControl/>
        <w:suppressLineNumbers w:val="0"/>
        <w:ind w:firstLine="480" w:firstLineChars="200"/>
        <w:jc w:val="left"/>
      </w:pPr>
      <w:r>
        <w:rPr>
          <w:rFonts w:hint="eastAsia" w:ascii="宋体" w:hAnsi="宋体" w:eastAsia="宋体" w:cs="宋体"/>
          <w:color w:val="000000"/>
          <w:kern w:val="0"/>
          <w:sz w:val="24"/>
          <w:szCs w:val="24"/>
          <w:lang w:val="en-US" w:eastAsia="zh-CN" w:bidi="ar"/>
        </w:rPr>
        <w:t>吸收剂浆液被引入吸收塔内中和氢离子，使吸收液保持一定的pH值。中和后的浆液再循环。中和反应如下：</w:t>
      </w:r>
    </w:p>
    <w:p w14:paraId="611A0153">
      <w:pPr>
        <w:keepNext w:val="0"/>
        <w:keepLines w:val="0"/>
        <w:widowControl/>
        <w:suppressLineNumbers w:val="0"/>
        <w:jc w:val="left"/>
      </w:pPr>
      <w:r>
        <w:rPr>
          <w:rFonts w:hint="eastAsia" w:ascii="宋体" w:hAnsi="宋体" w:eastAsia="宋体" w:cs="宋体"/>
          <w:color w:val="000000"/>
          <w:kern w:val="0"/>
          <w:sz w:val="24"/>
          <w:szCs w:val="24"/>
          <w:lang w:val="en-US" w:eastAsia="zh-CN" w:bidi="ar"/>
        </w:rPr>
        <w:t>CaCO</w:t>
      </w:r>
      <w:r>
        <w:rPr>
          <w:rFonts w:hint="eastAsia" w:ascii="宋体" w:hAnsi="宋体" w:eastAsia="宋体" w:cs="宋体"/>
          <w:color w:val="000000"/>
          <w:kern w:val="0"/>
          <w:sz w:val="15"/>
          <w:szCs w:val="15"/>
          <w:lang w:val="en-US" w:eastAsia="zh-CN" w:bidi="ar"/>
        </w:rPr>
        <w:t>3</w:t>
      </w:r>
      <w:r>
        <w:rPr>
          <w:rFonts w:hint="eastAsia" w:ascii="宋体" w:hAnsi="宋体" w:eastAsia="宋体" w:cs="宋体"/>
          <w:color w:val="000000"/>
          <w:kern w:val="0"/>
          <w:sz w:val="24"/>
          <w:szCs w:val="24"/>
          <w:lang w:val="en-US" w:eastAsia="zh-CN" w:bidi="ar"/>
        </w:rPr>
        <w:t xml:space="preserve">＋2H </w:t>
      </w:r>
      <w:r>
        <w:rPr>
          <w:rFonts w:hint="eastAsia" w:ascii="宋体" w:hAnsi="宋体" w:eastAsia="宋体" w:cs="宋体"/>
          <w:color w:val="000000"/>
          <w:kern w:val="0"/>
          <w:sz w:val="15"/>
          <w:szCs w:val="15"/>
          <w:lang w:val="en-US" w:eastAsia="zh-CN" w:bidi="ar"/>
        </w:rPr>
        <w:t>＋</w:t>
      </w:r>
      <w:r>
        <w:rPr>
          <w:rFonts w:hint="eastAsia" w:ascii="宋体" w:hAnsi="宋体" w:eastAsia="宋体" w:cs="宋体"/>
          <w:color w:val="000000"/>
          <w:kern w:val="0"/>
          <w:sz w:val="24"/>
          <w:szCs w:val="24"/>
          <w:lang w:val="en-US" w:eastAsia="zh-CN" w:bidi="ar"/>
        </w:rPr>
        <w:t xml:space="preserve">→Ca </w:t>
      </w:r>
      <w:r>
        <w:rPr>
          <w:rFonts w:hint="eastAsia" w:ascii="宋体" w:hAnsi="宋体" w:eastAsia="宋体" w:cs="宋体"/>
          <w:color w:val="000000"/>
          <w:kern w:val="0"/>
          <w:sz w:val="15"/>
          <w:szCs w:val="15"/>
          <w:lang w:val="en-US" w:eastAsia="zh-CN" w:bidi="ar"/>
        </w:rPr>
        <w:t>2+</w:t>
      </w:r>
      <w:r>
        <w:rPr>
          <w:rFonts w:hint="eastAsia" w:ascii="宋体" w:hAnsi="宋体" w:eastAsia="宋体" w:cs="宋体"/>
          <w:color w:val="000000"/>
          <w:kern w:val="0"/>
          <w:sz w:val="24"/>
          <w:szCs w:val="24"/>
          <w:lang w:val="en-US" w:eastAsia="zh-CN" w:bidi="ar"/>
        </w:rPr>
        <w:t>＋H</w:t>
      </w:r>
      <w:r>
        <w:rPr>
          <w:rFonts w:hint="eastAsia" w:ascii="宋体" w:hAnsi="宋体" w:eastAsia="宋体" w:cs="宋体"/>
          <w:color w:val="000000"/>
          <w:kern w:val="0"/>
          <w:sz w:val="15"/>
          <w:szCs w:val="15"/>
          <w:lang w:val="en-US" w:eastAsia="zh-CN" w:bidi="ar"/>
        </w:rPr>
        <w:t>2</w:t>
      </w:r>
      <w:r>
        <w:rPr>
          <w:rFonts w:hint="eastAsia" w:ascii="宋体" w:hAnsi="宋体" w:eastAsia="宋体" w:cs="宋体"/>
          <w:color w:val="000000"/>
          <w:kern w:val="0"/>
          <w:sz w:val="24"/>
          <w:szCs w:val="24"/>
          <w:lang w:val="en-US" w:eastAsia="zh-CN" w:bidi="ar"/>
        </w:rPr>
        <w:t>O＋CO</w:t>
      </w:r>
      <w:r>
        <w:rPr>
          <w:rFonts w:hint="eastAsia" w:ascii="宋体" w:hAnsi="宋体" w:eastAsia="宋体" w:cs="宋体"/>
          <w:color w:val="000000"/>
          <w:kern w:val="0"/>
          <w:sz w:val="15"/>
          <w:szCs w:val="15"/>
          <w:lang w:val="en-US" w:eastAsia="zh-CN" w:bidi="ar"/>
        </w:rPr>
        <w:t xml:space="preserve">2 </w:t>
      </w:r>
    </w:p>
    <w:p w14:paraId="4B0D1D51">
      <w:pPr>
        <w:keepNext w:val="0"/>
        <w:keepLines w:val="0"/>
        <w:widowControl/>
        <w:suppressLineNumbers w:val="0"/>
        <w:jc w:val="left"/>
      </w:pPr>
      <w:r>
        <w:rPr>
          <w:rFonts w:hint="eastAsia" w:ascii="宋体" w:hAnsi="宋体" w:eastAsia="宋体" w:cs="宋体"/>
          <w:color w:val="000000"/>
          <w:kern w:val="0"/>
          <w:sz w:val="24"/>
          <w:szCs w:val="24"/>
          <w:lang w:val="en-US" w:eastAsia="zh-CN" w:bidi="ar"/>
        </w:rPr>
        <w:t xml:space="preserve">Ca </w:t>
      </w:r>
      <w:r>
        <w:rPr>
          <w:rFonts w:hint="eastAsia" w:ascii="宋体" w:hAnsi="宋体" w:eastAsia="宋体" w:cs="宋体"/>
          <w:color w:val="000000"/>
          <w:kern w:val="0"/>
          <w:sz w:val="15"/>
          <w:szCs w:val="15"/>
          <w:lang w:val="en-US" w:eastAsia="zh-CN" w:bidi="ar"/>
        </w:rPr>
        <w:t>2+</w:t>
      </w:r>
      <w:r>
        <w:rPr>
          <w:rFonts w:hint="eastAsia" w:ascii="宋体" w:hAnsi="宋体" w:eastAsia="宋体" w:cs="宋体"/>
          <w:color w:val="000000"/>
          <w:kern w:val="0"/>
          <w:sz w:val="24"/>
          <w:szCs w:val="24"/>
          <w:lang w:val="en-US" w:eastAsia="zh-CN" w:bidi="ar"/>
        </w:rPr>
        <w:t>＋SO</w:t>
      </w:r>
      <w:r>
        <w:rPr>
          <w:rFonts w:hint="eastAsia" w:ascii="宋体" w:hAnsi="宋体" w:eastAsia="宋体" w:cs="宋体"/>
          <w:color w:val="000000"/>
          <w:kern w:val="0"/>
          <w:sz w:val="15"/>
          <w:szCs w:val="15"/>
          <w:lang w:val="en-US" w:eastAsia="zh-CN" w:bidi="ar"/>
        </w:rPr>
        <w:t>4 2－</w:t>
      </w:r>
      <w:r>
        <w:rPr>
          <w:rFonts w:hint="eastAsia" w:ascii="宋体" w:hAnsi="宋体" w:eastAsia="宋体" w:cs="宋体"/>
          <w:color w:val="000000"/>
          <w:kern w:val="0"/>
          <w:sz w:val="24"/>
          <w:szCs w:val="24"/>
          <w:lang w:val="en-US" w:eastAsia="zh-CN" w:bidi="ar"/>
        </w:rPr>
        <w:t>＋2H</w:t>
      </w:r>
      <w:r>
        <w:rPr>
          <w:rFonts w:hint="eastAsia" w:ascii="宋体" w:hAnsi="宋体" w:eastAsia="宋体" w:cs="宋体"/>
          <w:color w:val="000000"/>
          <w:kern w:val="0"/>
          <w:sz w:val="15"/>
          <w:szCs w:val="15"/>
          <w:lang w:val="en-US" w:eastAsia="zh-CN" w:bidi="ar"/>
        </w:rPr>
        <w:t>2</w:t>
      </w:r>
      <w:r>
        <w:rPr>
          <w:rFonts w:hint="eastAsia" w:ascii="宋体" w:hAnsi="宋体" w:eastAsia="宋体" w:cs="宋体"/>
          <w:color w:val="000000"/>
          <w:kern w:val="0"/>
          <w:sz w:val="24"/>
          <w:szCs w:val="24"/>
          <w:lang w:val="en-US" w:eastAsia="zh-CN" w:bidi="ar"/>
        </w:rPr>
        <w:t>O→CaSO</w:t>
      </w:r>
      <w:r>
        <w:rPr>
          <w:rFonts w:hint="eastAsia" w:ascii="宋体" w:hAnsi="宋体" w:eastAsia="宋体" w:cs="宋体"/>
          <w:color w:val="000000"/>
          <w:kern w:val="0"/>
          <w:sz w:val="15"/>
          <w:szCs w:val="15"/>
          <w:lang w:val="en-US" w:eastAsia="zh-CN" w:bidi="ar"/>
        </w:rPr>
        <w:t>4</w:t>
      </w:r>
      <w:r>
        <w:rPr>
          <w:rFonts w:hint="eastAsia" w:ascii="宋体" w:hAnsi="宋体" w:eastAsia="宋体" w:cs="宋体"/>
          <w:color w:val="000000"/>
          <w:kern w:val="0"/>
          <w:sz w:val="24"/>
          <w:szCs w:val="24"/>
          <w:lang w:val="en-US" w:eastAsia="zh-CN" w:bidi="ar"/>
        </w:rPr>
        <w:t>•2H</w:t>
      </w:r>
      <w:r>
        <w:rPr>
          <w:rFonts w:hint="eastAsia" w:ascii="宋体" w:hAnsi="宋体" w:eastAsia="宋体" w:cs="宋体"/>
          <w:color w:val="000000"/>
          <w:kern w:val="0"/>
          <w:sz w:val="15"/>
          <w:szCs w:val="15"/>
          <w:lang w:val="en-US" w:eastAsia="zh-CN" w:bidi="ar"/>
        </w:rPr>
        <w:t>2</w:t>
      </w:r>
      <w:r>
        <w:rPr>
          <w:rFonts w:hint="eastAsia" w:ascii="宋体" w:hAnsi="宋体" w:eastAsia="宋体" w:cs="宋体"/>
          <w:color w:val="000000"/>
          <w:kern w:val="0"/>
          <w:sz w:val="24"/>
          <w:szCs w:val="24"/>
          <w:lang w:val="en-US" w:eastAsia="zh-CN" w:bidi="ar"/>
        </w:rPr>
        <w:t xml:space="preserve">O </w:t>
      </w:r>
    </w:p>
    <w:p w14:paraId="62559E99">
      <w:pPr>
        <w:keepNext w:val="0"/>
        <w:keepLines w:val="0"/>
        <w:widowControl/>
        <w:suppressLineNumbers w:val="0"/>
        <w:jc w:val="left"/>
      </w:pPr>
      <w:r>
        <w:rPr>
          <w:rFonts w:hint="eastAsia" w:ascii="宋体" w:hAnsi="宋体" w:eastAsia="宋体" w:cs="宋体"/>
          <w:color w:val="000000"/>
          <w:kern w:val="0"/>
          <w:sz w:val="24"/>
          <w:szCs w:val="24"/>
          <w:lang w:val="en-US" w:eastAsia="zh-CN" w:bidi="ar"/>
        </w:rPr>
        <w:t xml:space="preserve">或 Ca </w:t>
      </w:r>
      <w:r>
        <w:rPr>
          <w:rFonts w:hint="eastAsia" w:ascii="宋体" w:hAnsi="宋体" w:eastAsia="宋体" w:cs="宋体"/>
          <w:color w:val="000000"/>
          <w:kern w:val="0"/>
          <w:sz w:val="15"/>
          <w:szCs w:val="15"/>
          <w:lang w:val="en-US" w:eastAsia="zh-CN" w:bidi="ar"/>
        </w:rPr>
        <w:t>2+</w:t>
      </w:r>
      <w:r>
        <w:rPr>
          <w:rFonts w:hint="eastAsia" w:ascii="宋体" w:hAnsi="宋体" w:eastAsia="宋体" w:cs="宋体"/>
          <w:color w:val="000000"/>
          <w:kern w:val="0"/>
          <w:sz w:val="24"/>
          <w:szCs w:val="24"/>
          <w:lang w:val="en-US" w:eastAsia="zh-CN" w:bidi="ar"/>
        </w:rPr>
        <w:t xml:space="preserve">＋2OH </w:t>
      </w:r>
      <w:r>
        <w:rPr>
          <w:rFonts w:hint="eastAsia" w:ascii="宋体" w:hAnsi="宋体" w:eastAsia="宋体" w:cs="宋体"/>
          <w:color w:val="000000"/>
          <w:kern w:val="0"/>
          <w:sz w:val="15"/>
          <w:szCs w:val="15"/>
          <w:lang w:val="en-US" w:eastAsia="zh-CN" w:bidi="ar"/>
        </w:rPr>
        <w:t>－</w:t>
      </w:r>
      <w:r>
        <w:rPr>
          <w:rFonts w:hint="eastAsia" w:ascii="宋体" w:hAnsi="宋体" w:eastAsia="宋体" w:cs="宋体"/>
          <w:color w:val="000000"/>
          <w:kern w:val="0"/>
          <w:sz w:val="24"/>
          <w:szCs w:val="24"/>
          <w:lang w:val="en-US" w:eastAsia="zh-CN" w:bidi="ar"/>
        </w:rPr>
        <w:t xml:space="preserve">＋2H </w:t>
      </w:r>
      <w:r>
        <w:rPr>
          <w:rFonts w:hint="eastAsia" w:ascii="宋体" w:hAnsi="宋体" w:eastAsia="宋体" w:cs="宋体"/>
          <w:color w:val="000000"/>
          <w:kern w:val="0"/>
          <w:sz w:val="15"/>
          <w:szCs w:val="15"/>
          <w:lang w:val="en-US" w:eastAsia="zh-CN" w:bidi="ar"/>
        </w:rPr>
        <w:t>+</w:t>
      </w:r>
      <w:r>
        <w:rPr>
          <w:rFonts w:hint="eastAsia" w:ascii="宋体" w:hAnsi="宋体" w:eastAsia="宋体" w:cs="宋体"/>
          <w:color w:val="000000"/>
          <w:kern w:val="0"/>
          <w:sz w:val="24"/>
          <w:szCs w:val="24"/>
          <w:lang w:val="en-US" w:eastAsia="zh-CN" w:bidi="ar"/>
        </w:rPr>
        <w:t>＋SO</w:t>
      </w:r>
      <w:r>
        <w:rPr>
          <w:rFonts w:hint="eastAsia" w:ascii="宋体" w:hAnsi="宋体" w:eastAsia="宋体" w:cs="宋体"/>
          <w:color w:val="000000"/>
          <w:kern w:val="0"/>
          <w:sz w:val="15"/>
          <w:szCs w:val="15"/>
          <w:lang w:val="en-US" w:eastAsia="zh-CN" w:bidi="ar"/>
        </w:rPr>
        <w:t>4 2－</w:t>
      </w:r>
      <w:r>
        <w:rPr>
          <w:rFonts w:hint="eastAsia" w:ascii="宋体" w:hAnsi="宋体" w:eastAsia="宋体" w:cs="宋体"/>
          <w:color w:val="000000"/>
          <w:kern w:val="0"/>
          <w:sz w:val="24"/>
          <w:szCs w:val="24"/>
          <w:lang w:val="en-US" w:eastAsia="zh-CN" w:bidi="ar"/>
        </w:rPr>
        <w:t>＋H</w:t>
      </w:r>
      <w:r>
        <w:rPr>
          <w:rFonts w:hint="eastAsia" w:ascii="宋体" w:hAnsi="宋体" w:eastAsia="宋体" w:cs="宋体"/>
          <w:color w:val="000000"/>
          <w:kern w:val="0"/>
          <w:sz w:val="15"/>
          <w:szCs w:val="15"/>
          <w:lang w:val="en-US" w:eastAsia="zh-CN" w:bidi="ar"/>
        </w:rPr>
        <w:t>2</w:t>
      </w:r>
      <w:r>
        <w:rPr>
          <w:rFonts w:hint="eastAsia" w:ascii="宋体" w:hAnsi="宋体" w:eastAsia="宋体" w:cs="宋体"/>
          <w:color w:val="000000"/>
          <w:kern w:val="0"/>
          <w:sz w:val="24"/>
          <w:szCs w:val="24"/>
          <w:lang w:val="en-US" w:eastAsia="zh-CN" w:bidi="ar"/>
        </w:rPr>
        <w:t>O→CaSO</w:t>
      </w:r>
      <w:r>
        <w:rPr>
          <w:rFonts w:hint="eastAsia" w:ascii="宋体" w:hAnsi="宋体" w:eastAsia="宋体" w:cs="宋体"/>
          <w:color w:val="000000"/>
          <w:kern w:val="0"/>
          <w:sz w:val="15"/>
          <w:szCs w:val="15"/>
          <w:lang w:val="en-US" w:eastAsia="zh-CN" w:bidi="ar"/>
        </w:rPr>
        <w:t>4</w:t>
      </w:r>
      <w:r>
        <w:rPr>
          <w:rFonts w:hint="eastAsia" w:ascii="宋体" w:hAnsi="宋体" w:eastAsia="宋体" w:cs="宋体"/>
          <w:color w:val="000000"/>
          <w:kern w:val="0"/>
          <w:sz w:val="24"/>
          <w:szCs w:val="24"/>
          <w:lang w:val="en-US" w:eastAsia="zh-CN" w:bidi="ar"/>
        </w:rPr>
        <w:t>•2H</w:t>
      </w:r>
      <w:r>
        <w:rPr>
          <w:rFonts w:hint="eastAsia" w:ascii="宋体" w:hAnsi="宋体" w:eastAsia="宋体" w:cs="宋体"/>
          <w:color w:val="000000"/>
          <w:kern w:val="0"/>
          <w:sz w:val="15"/>
          <w:szCs w:val="15"/>
          <w:lang w:val="en-US" w:eastAsia="zh-CN" w:bidi="ar"/>
        </w:rPr>
        <w:t>2</w:t>
      </w:r>
      <w:r>
        <w:rPr>
          <w:rFonts w:hint="eastAsia" w:ascii="宋体" w:hAnsi="宋体" w:eastAsia="宋体" w:cs="宋体"/>
          <w:color w:val="000000"/>
          <w:kern w:val="0"/>
          <w:sz w:val="24"/>
          <w:szCs w:val="24"/>
          <w:lang w:val="en-US" w:eastAsia="zh-CN" w:bidi="ar"/>
        </w:rPr>
        <w:t xml:space="preserve">O </w:t>
      </w:r>
    </w:p>
    <w:p w14:paraId="405F38F2">
      <w:pPr>
        <w:keepNext w:val="0"/>
        <w:keepLines w:val="0"/>
        <w:widowControl/>
        <w:suppressLineNumbers w:val="0"/>
        <w:ind w:firstLine="480" w:firstLineChars="200"/>
        <w:jc w:val="left"/>
      </w:pPr>
      <w:r>
        <w:rPr>
          <w:rFonts w:hint="eastAsia" w:ascii="宋体" w:hAnsi="宋体" w:eastAsia="宋体" w:cs="宋体"/>
          <w:color w:val="000000"/>
          <w:kern w:val="0"/>
          <w:sz w:val="24"/>
          <w:szCs w:val="24"/>
          <w:lang w:val="en-US" w:eastAsia="zh-CN" w:bidi="ar"/>
        </w:rPr>
        <w:t xml:space="preserve">经吸收剂洗涤脱硫后的净烟气，通过除雾器除去雾滴后由吸收塔顶部引出。脱硫后的烟气夹带的液滴在吸收塔出口的除雾器中收集，使净烟气的液滴含量不超过保证值。吸收塔和整个浆液循环系统尽可能优化设计，能适应生产负荷的变化，保证脱硫效率及其他各项技术指标达到合同要求。 </w:t>
      </w:r>
    </w:p>
    <w:p w14:paraId="79DB8A01">
      <w:pPr>
        <w:keepNext w:val="0"/>
        <w:keepLines w:val="0"/>
        <w:widowControl/>
        <w:suppressLineNumbers w:val="0"/>
        <w:ind w:firstLine="480" w:firstLineChars="200"/>
        <w:jc w:val="left"/>
      </w:pPr>
      <w:r>
        <w:rPr>
          <w:rFonts w:hint="eastAsia" w:ascii="宋体" w:hAnsi="宋体" w:eastAsia="宋体" w:cs="宋体"/>
          <w:color w:val="000000"/>
          <w:kern w:val="0"/>
          <w:sz w:val="24"/>
          <w:szCs w:val="24"/>
          <w:lang w:val="en-US" w:eastAsia="zh-CN" w:bidi="ar"/>
        </w:rPr>
        <w:t>2）SO</w:t>
      </w:r>
      <w:r>
        <w:rPr>
          <w:rFonts w:hint="eastAsia" w:ascii="宋体" w:hAnsi="宋体" w:eastAsia="宋体" w:cs="宋体"/>
          <w:color w:val="000000"/>
          <w:kern w:val="0"/>
          <w:sz w:val="15"/>
          <w:szCs w:val="15"/>
          <w:lang w:val="en-US" w:eastAsia="zh-CN" w:bidi="ar"/>
        </w:rPr>
        <w:t>2</w:t>
      </w:r>
      <w:r>
        <w:rPr>
          <w:rFonts w:hint="eastAsia" w:ascii="宋体" w:hAnsi="宋体" w:eastAsia="宋体" w:cs="宋体"/>
          <w:color w:val="000000"/>
          <w:kern w:val="0"/>
          <w:sz w:val="24"/>
          <w:szCs w:val="24"/>
          <w:lang w:val="en-US" w:eastAsia="zh-CN" w:bidi="ar"/>
        </w:rPr>
        <w:t xml:space="preserve">吸收系统包括：吸收塔、浆液循环泵、浆液搅拌系统、石膏浆液排出系统、烟气除雾等几个部分，还包括辅助的放空、排空设施。 </w:t>
      </w:r>
    </w:p>
    <w:p w14:paraId="5C92D61F">
      <w:pPr>
        <w:keepNext w:val="0"/>
        <w:keepLines w:val="0"/>
        <w:widowControl/>
        <w:suppressLineNumbers w:val="0"/>
        <w:ind w:firstLine="480" w:firstLineChars="200"/>
        <w:jc w:val="left"/>
      </w:pPr>
      <w:r>
        <w:rPr>
          <w:rFonts w:hint="eastAsia" w:ascii="宋体" w:hAnsi="宋体" w:eastAsia="宋体" w:cs="宋体"/>
          <w:color w:val="000000"/>
          <w:kern w:val="0"/>
          <w:sz w:val="24"/>
          <w:szCs w:val="24"/>
          <w:lang w:val="en-US" w:eastAsia="zh-CN" w:bidi="ar"/>
        </w:rPr>
        <w:t xml:space="preserve">3）副产物回收系统 </w:t>
      </w:r>
    </w:p>
    <w:p w14:paraId="5165EE31">
      <w:pPr>
        <w:keepNext w:val="0"/>
        <w:keepLines w:val="0"/>
        <w:widowControl/>
        <w:suppressLineNumbers w:val="0"/>
        <w:ind w:firstLine="480" w:firstLineChars="200"/>
        <w:jc w:val="left"/>
      </w:pPr>
      <w:r>
        <w:rPr>
          <w:rFonts w:hint="eastAsia" w:ascii="宋体" w:hAnsi="宋体" w:eastAsia="宋体" w:cs="宋体"/>
          <w:color w:val="000000"/>
          <w:kern w:val="0"/>
          <w:sz w:val="24"/>
          <w:szCs w:val="24"/>
          <w:lang w:val="en-US" w:eastAsia="zh-CN" w:bidi="ar"/>
        </w:rPr>
        <w:t xml:space="preserve">石膏脱水系统包括两级脱水系统，第一级为石膏旋流器，离开旋流器的含固量为40%至60%，第二级为真空皮带机，石膏滤液返回新建吸收塔。 </w:t>
      </w:r>
    </w:p>
    <w:p w14:paraId="4124E7CF">
      <w:pPr>
        <w:keepNext w:val="0"/>
        <w:keepLines w:val="0"/>
        <w:widowControl/>
        <w:suppressLineNumbers w:val="0"/>
        <w:ind w:firstLine="480" w:firstLineChars="200"/>
        <w:jc w:val="left"/>
      </w:pPr>
      <w:r>
        <w:rPr>
          <w:rFonts w:hint="eastAsia" w:ascii="宋体" w:hAnsi="宋体" w:eastAsia="宋体" w:cs="宋体"/>
          <w:color w:val="000000"/>
          <w:kern w:val="0"/>
          <w:sz w:val="24"/>
          <w:szCs w:val="24"/>
          <w:lang w:val="en-US" w:eastAsia="zh-CN" w:bidi="ar"/>
        </w:rPr>
        <w:t xml:space="preserve">石膏旋流器浓缩后的石膏浆液从旋流器下部经石膏浆液箱缓冲后自流到真空皮带脱水机。离开旋流器的浆液中固体含量约为 40%～60%。 </w:t>
      </w:r>
    </w:p>
    <w:p w14:paraId="6D6F4FF7">
      <w:pPr>
        <w:keepNext w:val="0"/>
        <w:keepLines w:val="0"/>
        <w:widowControl/>
        <w:suppressLineNumbers w:val="0"/>
        <w:ind w:firstLine="480" w:firstLineChars="200"/>
        <w:jc w:val="left"/>
      </w:pPr>
      <w:r>
        <w:rPr>
          <w:rFonts w:hint="eastAsia" w:ascii="宋体" w:hAnsi="宋体" w:eastAsia="宋体" w:cs="宋体"/>
          <w:color w:val="000000"/>
          <w:kern w:val="0"/>
          <w:sz w:val="24"/>
          <w:szCs w:val="24"/>
          <w:lang w:val="en-US" w:eastAsia="zh-CN" w:bidi="ar"/>
        </w:rPr>
        <w:t xml:space="preserve">石膏旋流浓缩器的设计保证吸收塔排出浆液的分离效率，同时还考虑石膏浆液量变化范围调整的要求。 </w:t>
      </w:r>
    </w:p>
    <w:p w14:paraId="40492EEF">
      <w:pPr>
        <w:keepNext w:val="0"/>
        <w:keepLines w:val="0"/>
        <w:widowControl/>
        <w:suppressLineNumbers w:val="0"/>
        <w:ind w:firstLine="480" w:firstLineChars="200"/>
        <w:jc w:val="left"/>
      </w:pPr>
      <w:r>
        <w:rPr>
          <w:rFonts w:hint="eastAsia" w:ascii="宋体" w:hAnsi="宋体" w:eastAsia="宋体" w:cs="宋体"/>
          <w:color w:val="000000"/>
          <w:kern w:val="0"/>
          <w:sz w:val="24"/>
          <w:szCs w:val="24"/>
          <w:lang w:val="en-US" w:eastAsia="zh-CN" w:bidi="ar"/>
        </w:rPr>
        <w:t xml:space="preserve">浓缩后的石膏浆液进入真空皮带脱水机，进入真空皮带脱水机的石膏浆液经脱水处理后表面含水率不大于10%，石膏送入石膏库存放待运，或综合利用。石膏旋流器出来的溢流浆液返回吸收塔循环使用；真空皮带机的滤液大部分返回制浆系统，小部分送往脱硫废水处理站进行处理。 </w:t>
      </w:r>
    </w:p>
    <w:p w14:paraId="528D81C1">
      <w:pPr>
        <w:keepNext w:val="0"/>
        <w:keepLines w:val="0"/>
        <w:widowControl/>
        <w:suppressLineNumbers w:val="0"/>
        <w:ind w:firstLine="480" w:firstLineChars="200"/>
        <w:jc w:val="left"/>
      </w:pPr>
      <w:r>
        <w:rPr>
          <w:rFonts w:hint="eastAsia" w:ascii="宋体" w:hAnsi="宋体" w:eastAsia="宋体" w:cs="宋体"/>
          <w:color w:val="000000"/>
          <w:kern w:val="0"/>
          <w:sz w:val="24"/>
          <w:szCs w:val="24"/>
          <w:lang w:val="en-US" w:eastAsia="zh-CN" w:bidi="ar"/>
        </w:rPr>
        <w:t xml:space="preserve">4）工艺水系统 </w:t>
      </w:r>
    </w:p>
    <w:p w14:paraId="52196F57">
      <w:pPr>
        <w:keepNext w:val="0"/>
        <w:keepLines w:val="0"/>
        <w:widowControl/>
        <w:suppressLineNumbers w:val="0"/>
        <w:ind w:firstLine="480" w:firstLineChars="200"/>
        <w:jc w:val="left"/>
      </w:pPr>
      <w:r>
        <w:rPr>
          <w:rFonts w:hint="eastAsia" w:ascii="宋体" w:hAnsi="宋体" w:eastAsia="宋体" w:cs="宋体"/>
          <w:color w:val="000000"/>
          <w:kern w:val="0"/>
          <w:sz w:val="24"/>
          <w:szCs w:val="24"/>
          <w:lang w:val="en-US" w:eastAsia="zh-CN" w:bidi="ar"/>
        </w:rPr>
        <w:t xml:space="preserve">满足脱硫设施正常运转的用水从供水系统引接至脱硫岛。 </w:t>
      </w:r>
    </w:p>
    <w:p w14:paraId="22CBE71C">
      <w:pPr>
        <w:keepNext w:val="0"/>
        <w:keepLines w:val="0"/>
        <w:widowControl/>
        <w:suppressLineNumbers w:val="0"/>
        <w:ind w:firstLine="480" w:firstLineChars="200"/>
        <w:jc w:val="left"/>
      </w:pPr>
      <w:r>
        <w:rPr>
          <w:rFonts w:hint="eastAsia" w:ascii="宋体" w:hAnsi="宋体" w:eastAsia="宋体" w:cs="宋体"/>
          <w:color w:val="000000"/>
          <w:kern w:val="0"/>
          <w:sz w:val="24"/>
          <w:szCs w:val="24"/>
          <w:lang w:val="en-US" w:eastAsia="zh-CN" w:bidi="ar"/>
        </w:rPr>
        <w:t xml:space="preserve">工业清水主要用于：除雾器冲洗用水；烟气降温消耗补充水；溶液输送设备、输送管路的冲洗水。 </w:t>
      </w:r>
    </w:p>
    <w:p w14:paraId="3A7A71C4">
      <w:pPr>
        <w:keepNext w:val="0"/>
        <w:keepLines w:val="0"/>
        <w:widowControl/>
        <w:suppressLineNumbers w:val="0"/>
        <w:ind w:firstLine="480" w:firstLineChars="200"/>
        <w:jc w:val="left"/>
      </w:pPr>
      <w:r>
        <w:rPr>
          <w:rFonts w:hint="eastAsia" w:ascii="宋体" w:hAnsi="宋体" w:eastAsia="宋体" w:cs="宋体"/>
          <w:color w:val="000000"/>
          <w:kern w:val="0"/>
          <w:sz w:val="24"/>
          <w:szCs w:val="24"/>
          <w:lang w:val="en-US" w:eastAsia="zh-CN" w:bidi="ar"/>
        </w:rPr>
        <w:t xml:space="preserve">冷却水主要用于：循环泵和其他设备的冷却水及密封水，并考虑回收利用。 </w:t>
      </w:r>
    </w:p>
    <w:p w14:paraId="1AD61AC3">
      <w:pPr>
        <w:keepNext w:val="0"/>
        <w:keepLines w:val="0"/>
        <w:widowControl/>
        <w:suppressLineNumbers w:val="0"/>
        <w:ind w:firstLine="480" w:firstLineChars="200"/>
        <w:jc w:val="left"/>
      </w:pPr>
      <w:r>
        <w:rPr>
          <w:rFonts w:hint="eastAsia" w:ascii="宋体" w:hAnsi="宋体" w:eastAsia="宋体" w:cs="宋体"/>
          <w:color w:val="000000"/>
          <w:kern w:val="0"/>
          <w:sz w:val="24"/>
          <w:szCs w:val="24"/>
          <w:lang w:val="en-US" w:eastAsia="zh-CN" w:bidi="ar"/>
        </w:rPr>
        <w:t xml:space="preserve">5）事故浆液系统 </w:t>
      </w:r>
    </w:p>
    <w:p w14:paraId="5F503AAA">
      <w:pPr>
        <w:keepNext w:val="0"/>
        <w:keepLines w:val="0"/>
        <w:widowControl/>
        <w:suppressLineNumbers w:val="0"/>
        <w:ind w:firstLine="480" w:firstLineChars="200"/>
        <w:jc w:val="left"/>
      </w:pPr>
      <w:r>
        <w:rPr>
          <w:rFonts w:hint="eastAsia" w:ascii="宋体" w:hAnsi="宋体" w:eastAsia="宋体" w:cs="宋体"/>
          <w:color w:val="000000"/>
          <w:kern w:val="0"/>
          <w:sz w:val="24"/>
          <w:szCs w:val="24"/>
          <w:lang w:val="en-US" w:eastAsia="zh-CN" w:bidi="ar"/>
        </w:rPr>
        <w:t>本脱硫系统新建一座事故浆液箱，用于存放脱硫系统故障时塔内浆液以便脱硫系统的快速启动。设置2台浆液返回泵，一台立式搅拌器，叶片及轴的材质至少 2205 材质，防止池内颗粒物沉淀至池底，将池内的浆液返回到脱硫塔或外送处理。</w:t>
      </w:r>
    </w:p>
    <w:p w14:paraId="4A6E5C77">
      <w:pPr>
        <w:keepNext w:val="0"/>
        <w:keepLines w:val="0"/>
        <w:widowControl/>
        <w:suppressLineNumbers w:val="0"/>
        <w:ind w:firstLine="482" w:firstLineChars="200"/>
        <w:jc w:val="left"/>
      </w:pPr>
      <w:r>
        <w:rPr>
          <w:rFonts w:hint="eastAsia" w:ascii="宋体" w:hAnsi="宋体" w:eastAsia="宋体" w:cs="宋体"/>
          <w:b/>
          <w:bCs/>
          <w:color w:val="000000"/>
          <w:kern w:val="0"/>
          <w:sz w:val="24"/>
          <w:szCs w:val="24"/>
          <w:lang w:val="en-US" w:eastAsia="zh-CN" w:bidi="ar"/>
        </w:rPr>
        <w:t xml:space="preserve">3）二氧化硫排放达标可行性 </w:t>
      </w:r>
    </w:p>
    <w:p w14:paraId="72499884">
      <w:pPr>
        <w:keepNext w:val="0"/>
        <w:keepLines w:val="0"/>
        <w:widowControl/>
        <w:suppressLineNumbers w:val="0"/>
        <w:ind w:firstLine="480" w:firstLineChars="200"/>
        <w:jc w:val="left"/>
      </w:pPr>
      <w:r>
        <w:rPr>
          <w:rFonts w:hint="eastAsia" w:ascii="宋体" w:hAnsi="宋体" w:eastAsia="宋体" w:cs="宋体"/>
          <w:color w:val="000000"/>
          <w:kern w:val="0"/>
          <w:sz w:val="24"/>
          <w:szCs w:val="24"/>
          <w:lang w:val="en-US" w:eastAsia="zh-CN" w:bidi="ar"/>
        </w:rPr>
        <w:t xml:space="preserve">根据《钢铁行业烧结、球团工艺污染防治可行技术指南》石灰/石膏可行工艺参数： </w:t>
      </w:r>
    </w:p>
    <w:p w14:paraId="12315B59">
      <w:pPr>
        <w:keepNext w:val="0"/>
        <w:keepLines w:val="0"/>
        <w:widowControl/>
        <w:suppressLineNumbers w:val="0"/>
        <w:ind w:firstLine="480" w:firstLineChars="200"/>
        <w:jc w:val="left"/>
      </w:pPr>
      <w:r>
        <w:rPr>
          <w:rFonts w:hint="eastAsia" w:ascii="宋体" w:hAnsi="宋体" w:eastAsia="宋体" w:cs="宋体"/>
          <w:color w:val="000000"/>
          <w:kern w:val="0"/>
          <w:sz w:val="24"/>
          <w:szCs w:val="24"/>
          <w:lang w:val="en-US" w:eastAsia="zh-CN" w:bidi="ar"/>
        </w:rPr>
        <w:t>（1）吸收塔的设计流速宜低于 3.5m/s；（2）进入脱硫系统的烟气粉尘浓度应小于100mg/m</w:t>
      </w:r>
      <w:r>
        <w:rPr>
          <w:rFonts w:hint="eastAsia" w:ascii="宋体" w:hAnsi="宋体" w:eastAsia="宋体" w:cs="宋体"/>
          <w:color w:val="000000"/>
          <w:kern w:val="0"/>
          <w:sz w:val="15"/>
          <w:szCs w:val="15"/>
          <w:lang w:val="en-US" w:eastAsia="zh-CN" w:bidi="ar"/>
        </w:rPr>
        <w:t>3</w:t>
      </w:r>
      <w:r>
        <w:rPr>
          <w:rFonts w:hint="eastAsia" w:ascii="宋体" w:hAnsi="宋体" w:eastAsia="宋体" w:cs="宋体"/>
          <w:color w:val="000000"/>
          <w:kern w:val="0"/>
          <w:sz w:val="24"/>
          <w:szCs w:val="24"/>
          <w:lang w:val="en-US" w:eastAsia="zh-CN" w:bidi="ar"/>
        </w:rPr>
        <w:t>；（3）钙硫摩尔比 1.03-1.05，吸收液 pH 值控制在 5~6；（4）采用石灰石为脱硫剂时，CaCO</w:t>
      </w:r>
      <w:r>
        <w:rPr>
          <w:rFonts w:hint="eastAsia" w:ascii="宋体" w:hAnsi="宋体" w:eastAsia="宋体" w:cs="宋体"/>
          <w:color w:val="000000"/>
          <w:kern w:val="0"/>
          <w:sz w:val="15"/>
          <w:szCs w:val="15"/>
          <w:lang w:val="en-US" w:eastAsia="zh-CN" w:bidi="ar"/>
        </w:rPr>
        <w:t>3</w:t>
      </w:r>
      <w:r>
        <w:rPr>
          <w:rFonts w:hint="eastAsia" w:ascii="宋体" w:hAnsi="宋体" w:eastAsia="宋体" w:cs="宋体"/>
          <w:color w:val="000000"/>
          <w:kern w:val="0"/>
          <w:sz w:val="24"/>
          <w:szCs w:val="24"/>
          <w:lang w:val="en-US" w:eastAsia="zh-CN" w:bidi="ar"/>
        </w:rPr>
        <w:t xml:space="preserve">含量应高于 90%；中低浓度含硫量时，脱硫剂粒度 250 目应大于 90%；高浓度含硫量时，脱硫剂粒度 325 目应大于 90%；采用生石灰时，其纯度应高于 85%。 </w:t>
      </w:r>
    </w:p>
    <w:p w14:paraId="439D8E2C">
      <w:pPr>
        <w:keepNext w:val="0"/>
        <w:keepLines w:val="0"/>
        <w:widowControl/>
        <w:suppressLineNumbers w:val="0"/>
        <w:ind w:firstLine="480" w:firstLineChars="200"/>
        <w:jc w:val="left"/>
      </w:pPr>
      <w:r>
        <w:rPr>
          <w:rFonts w:hint="eastAsia" w:ascii="宋体" w:hAnsi="宋体" w:eastAsia="宋体" w:cs="宋体"/>
          <w:color w:val="000000"/>
          <w:kern w:val="0"/>
          <w:sz w:val="24"/>
          <w:szCs w:val="24"/>
          <w:lang w:val="en-US" w:eastAsia="zh-CN" w:bidi="ar"/>
        </w:rPr>
        <w:t xml:space="preserve">脱硫效率一般可达 95%以上，氟化物、氯化物脱除效率大于 95%。 </w:t>
      </w:r>
    </w:p>
    <w:p w14:paraId="7D556C62">
      <w:pPr>
        <w:keepNext w:val="0"/>
        <w:keepLines w:val="0"/>
        <w:widowControl/>
        <w:suppressLineNumbers w:val="0"/>
        <w:ind w:firstLine="480" w:firstLineChars="200"/>
        <w:jc w:val="left"/>
      </w:pPr>
      <w:r>
        <w:rPr>
          <w:rFonts w:hint="eastAsia" w:ascii="宋体" w:hAnsi="宋体" w:eastAsia="宋体" w:cs="宋体"/>
          <w:color w:val="000000"/>
          <w:kern w:val="0"/>
          <w:sz w:val="24"/>
          <w:szCs w:val="24"/>
          <w:lang w:val="en-US" w:eastAsia="zh-CN" w:bidi="ar"/>
        </w:rPr>
        <w:t>本项目吸收塔的设计流速3.2m/s，低于3.5m/s，进入脱硫系统的烟气粉尘浓度50mg/m</w:t>
      </w:r>
      <w:r>
        <w:rPr>
          <w:rFonts w:hint="eastAsia" w:ascii="宋体" w:hAnsi="宋体" w:eastAsia="宋体" w:cs="宋体"/>
          <w:color w:val="000000"/>
          <w:kern w:val="0"/>
          <w:sz w:val="15"/>
          <w:szCs w:val="15"/>
          <w:lang w:val="en-US" w:eastAsia="zh-CN" w:bidi="ar"/>
        </w:rPr>
        <w:t>3</w:t>
      </w:r>
      <w:r>
        <w:rPr>
          <w:rFonts w:hint="eastAsia" w:ascii="宋体" w:hAnsi="宋体" w:eastAsia="宋体" w:cs="宋体"/>
          <w:color w:val="000000"/>
          <w:kern w:val="0"/>
          <w:sz w:val="24"/>
          <w:szCs w:val="24"/>
          <w:lang w:val="en-US" w:eastAsia="zh-CN" w:bidi="ar"/>
        </w:rPr>
        <w:t>，小于100mg/m</w:t>
      </w:r>
      <w:r>
        <w:rPr>
          <w:rFonts w:hint="eastAsia" w:ascii="宋体" w:hAnsi="宋体" w:eastAsia="宋体" w:cs="宋体"/>
          <w:color w:val="000000"/>
          <w:kern w:val="0"/>
          <w:sz w:val="15"/>
          <w:szCs w:val="15"/>
          <w:lang w:val="en-US" w:eastAsia="zh-CN" w:bidi="ar"/>
        </w:rPr>
        <w:t>3</w:t>
      </w:r>
      <w:r>
        <w:rPr>
          <w:rFonts w:hint="eastAsia" w:ascii="宋体" w:hAnsi="宋体" w:eastAsia="宋体" w:cs="宋体"/>
          <w:color w:val="000000"/>
          <w:kern w:val="0"/>
          <w:sz w:val="24"/>
          <w:szCs w:val="24"/>
          <w:lang w:val="en-US" w:eastAsia="zh-CN" w:bidi="ar"/>
        </w:rPr>
        <w:t>，钙硫摩尔比1.03，吸收液pH值控制在5~6。本项目脱硫剂采用石灰，纯度高于85%，满足球团工艺污染防治可行技术指南，脱硫后二氧化硫排放浓度低于35mg/m</w:t>
      </w:r>
      <w:r>
        <w:rPr>
          <w:rFonts w:hint="eastAsia" w:ascii="宋体" w:hAnsi="宋体" w:eastAsia="宋体" w:cs="宋体"/>
          <w:color w:val="000000"/>
          <w:kern w:val="0"/>
          <w:sz w:val="15"/>
          <w:szCs w:val="15"/>
          <w:lang w:val="en-US" w:eastAsia="zh-CN" w:bidi="ar"/>
        </w:rPr>
        <w:t>3</w:t>
      </w:r>
      <w:r>
        <w:rPr>
          <w:rFonts w:hint="eastAsia" w:ascii="宋体" w:hAnsi="宋体" w:eastAsia="宋体" w:cs="宋体"/>
          <w:color w:val="000000"/>
          <w:kern w:val="0"/>
          <w:sz w:val="24"/>
          <w:szCs w:val="24"/>
          <w:lang w:val="en-US" w:eastAsia="zh-CN" w:bidi="ar"/>
        </w:rPr>
        <w:t xml:space="preserve">，是有保证的。 </w:t>
      </w:r>
    </w:p>
    <w:p w14:paraId="2CF9DA69">
      <w:pPr>
        <w:keepNext w:val="0"/>
        <w:keepLines w:val="0"/>
        <w:widowControl/>
        <w:suppressLineNumbers w:val="0"/>
        <w:jc w:val="left"/>
      </w:pPr>
      <w:r>
        <w:rPr>
          <w:rFonts w:hint="eastAsia" w:ascii="Times New Roman" w:hAnsi="Times New Roman" w:eastAsia="宋体" w:cs="Times New Roman"/>
          <w:b/>
          <w:bCs/>
          <w:color w:val="000000"/>
          <w:kern w:val="0"/>
          <w:sz w:val="24"/>
          <w:szCs w:val="24"/>
          <w:lang w:val="en-US" w:eastAsia="zh-CN" w:bidi="ar"/>
        </w:rPr>
        <w:t>3、</w:t>
      </w:r>
      <w:r>
        <w:rPr>
          <w:rFonts w:hint="eastAsia" w:ascii="宋体" w:hAnsi="宋体" w:eastAsia="宋体" w:cs="宋体"/>
          <w:b/>
          <w:bCs/>
          <w:color w:val="000000"/>
          <w:kern w:val="0"/>
          <w:sz w:val="24"/>
          <w:szCs w:val="24"/>
          <w:lang w:val="en-US" w:eastAsia="zh-CN" w:bidi="ar"/>
        </w:rPr>
        <w:t xml:space="preserve">氮氧化物污染防治措施及可行性分析 </w:t>
      </w:r>
    </w:p>
    <w:p w14:paraId="27E1C05E">
      <w:pPr>
        <w:keepNext w:val="0"/>
        <w:keepLines w:val="0"/>
        <w:widowControl/>
        <w:suppressLineNumbers w:val="0"/>
        <w:ind w:firstLine="482" w:firstLineChars="200"/>
        <w:jc w:val="left"/>
      </w:pPr>
      <w:r>
        <w:rPr>
          <w:rFonts w:hint="default" w:ascii="Times New Roman" w:hAnsi="Times New Roman" w:eastAsia="宋体" w:cs="Times New Roman"/>
          <w:b/>
          <w:bCs/>
          <w:color w:val="000000"/>
          <w:kern w:val="0"/>
          <w:sz w:val="24"/>
          <w:szCs w:val="24"/>
          <w:lang w:val="en-US" w:eastAsia="zh-CN" w:bidi="ar"/>
        </w:rPr>
        <w:t>1</w:t>
      </w:r>
      <w:r>
        <w:rPr>
          <w:rFonts w:hint="eastAsia" w:ascii="宋体" w:hAnsi="宋体" w:eastAsia="宋体" w:cs="宋体"/>
          <w:b/>
          <w:bCs/>
          <w:color w:val="000000"/>
          <w:kern w:val="0"/>
          <w:sz w:val="24"/>
          <w:szCs w:val="24"/>
          <w:lang w:val="en-US" w:eastAsia="zh-CN" w:bidi="ar"/>
        </w:rPr>
        <w:t xml:space="preserve">）氮氧化物污染防治措施 </w:t>
      </w:r>
    </w:p>
    <w:p w14:paraId="66ABC5DA">
      <w:pPr>
        <w:keepNext w:val="0"/>
        <w:keepLines w:val="0"/>
        <w:widowControl/>
        <w:suppressLineNumbers w:val="0"/>
        <w:ind w:firstLine="480" w:firstLineChars="200"/>
        <w:jc w:val="left"/>
      </w:pPr>
      <w:r>
        <w:rPr>
          <w:rFonts w:hint="eastAsia" w:ascii="宋体" w:hAnsi="宋体" w:eastAsia="宋体" w:cs="宋体"/>
          <w:color w:val="000000"/>
          <w:kern w:val="0"/>
          <w:sz w:val="24"/>
          <w:szCs w:val="24"/>
          <w:lang w:val="en-US" w:eastAsia="zh-CN" w:bidi="ar"/>
        </w:rPr>
        <w:t>（</w:t>
      </w:r>
      <w:r>
        <w:rPr>
          <w:rFonts w:hint="default" w:ascii="Times New Roman" w:hAnsi="Times New Roman" w:eastAsia="宋体" w:cs="Times New Roman"/>
          <w:color w:val="000000"/>
          <w:kern w:val="0"/>
          <w:sz w:val="24"/>
          <w:szCs w:val="24"/>
          <w:lang w:val="en-US" w:eastAsia="zh-CN" w:bidi="ar"/>
        </w:rPr>
        <w:t>1</w:t>
      </w:r>
      <w:r>
        <w:rPr>
          <w:rFonts w:hint="eastAsia" w:ascii="宋体" w:hAnsi="宋体" w:eastAsia="宋体" w:cs="宋体"/>
          <w:color w:val="000000"/>
          <w:kern w:val="0"/>
          <w:sz w:val="24"/>
          <w:szCs w:val="24"/>
          <w:lang w:val="en-US" w:eastAsia="zh-CN" w:bidi="ar"/>
        </w:rPr>
        <w:t xml:space="preserve">）脱硝常用方法 </w:t>
      </w:r>
    </w:p>
    <w:p w14:paraId="72EB03ED">
      <w:pPr>
        <w:keepNext w:val="0"/>
        <w:keepLines w:val="0"/>
        <w:widowControl/>
        <w:suppressLineNumbers w:val="0"/>
        <w:ind w:firstLine="480" w:firstLineChars="200"/>
        <w:jc w:val="left"/>
      </w:pPr>
      <w:r>
        <w:rPr>
          <w:rFonts w:hint="default" w:ascii="Times New Roman" w:hAnsi="Times New Roman" w:eastAsia="宋体" w:cs="Times New Roman"/>
          <w:color w:val="000000"/>
          <w:kern w:val="0"/>
          <w:sz w:val="24"/>
          <w:szCs w:val="24"/>
          <w:lang w:val="en-US" w:eastAsia="zh-CN" w:bidi="ar"/>
        </w:rPr>
        <w:t>NO</w:t>
      </w:r>
      <w:r>
        <w:rPr>
          <w:rFonts w:hint="default" w:ascii="Times New Roman" w:hAnsi="Times New Roman" w:eastAsia="宋体" w:cs="Times New Roman"/>
          <w:color w:val="000000"/>
          <w:kern w:val="0"/>
          <w:sz w:val="15"/>
          <w:szCs w:val="15"/>
          <w:lang w:val="en-US" w:eastAsia="zh-CN" w:bidi="ar"/>
        </w:rPr>
        <w:t>X</w:t>
      </w:r>
      <w:r>
        <w:rPr>
          <w:rFonts w:hint="eastAsia" w:ascii="宋体" w:hAnsi="宋体" w:eastAsia="宋体" w:cs="宋体"/>
          <w:color w:val="000000"/>
          <w:kern w:val="0"/>
          <w:sz w:val="24"/>
          <w:szCs w:val="24"/>
          <w:lang w:val="en-US" w:eastAsia="zh-CN" w:bidi="ar"/>
        </w:rPr>
        <w:t xml:space="preserve">是燃天然气与空气在高温燃烧时产生的，主要包括 </w:t>
      </w:r>
      <w:r>
        <w:rPr>
          <w:rFonts w:hint="default" w:ascii="Times New Roman" w:hAnsi="Times New Roman" w:eastAsia="宋体" w:cs="Times New Roman"/>
          <w:color w:val="000000"/>
          <w:kern w:val="0"/>
          <w:sz w:val="24"/>
          <w:szCs w:val="24"/>
          <w:lang w:val="en-US" w:eastAsia="zh-CN" w:bidi="ar"/>
        </w:rPr>
        <w:t>NO</w:t>
      </w:r>
      <w:r>
        <w:rPr>
          <w:rFonts w:hint="eastAsia" w:ascii="宋体" w:hAnsi="宋体" w:eastAsia="宋体" w:cs="宋体"/>
          <w:color w:val="000000"/>
          <w:kern w:val="0"/>
          <w:sz w:val="24"/>
          <w:szCs w:val="24"/>
          <w:lang w:val="en-US" w:eastAsia="zh-CN" w:bidi="ar"/>
        </w:rPr>
        <w:t>和</w:t>
      </w:r>
      <w:r>
        <w:rPr>
          <w:rFonts w:hint="default" w:ascii="Times New Roman" w:hAnsi="Times New Roman" w:eastAsia="宋体" w:cs="Times New Roman"/>
          <w:color w:val="000000"/>
          <w:kern w:val="0"/>
          <w:sz w:val="24"/>
          <w:szCs w:val="24"/>
          <w:lang w:val="en-US" w:eastAsia="zh-CN" w:bidi="ar"/>
        </w:rPr>
        <w:t>NO</w:t>
      </w:r>
      <w:r>
        <w:rPr>
          <w:rFonts w:hint="default" w:ascii="Times New Roman" w:hAnsi="Times New Roman" w:eastAsia="宋体" w:cs="Times New Roman"/>
          <w:color w:val="000000"/>
          <w:kern w:val="0"/>
          <w:sz w:val="15"/>
          <w:szCs w:val="15"/>
          <w:lang w:val="en-US" w:eastAsia="zh-CN" w:bidi="ar"/>
        </w:rPr>
        <w:t>2</w:t>
      </w:r>
      <w:r>
        <w:rPr>
          <w:rFonts w:hint="eastAsia" w:ascii="宋体" w:hAnsi="宋体" w:eastAsia="宋体" w:cs="宋体"/>
          <w:color w:val="000000"/>
          <w:kern w:val="0"/>
          <w:sz w:val="24"/>
          <w:szCs w:val="24"/>
          <w:lang w:val="en-US" w:eastAsia="zh-CN" w:bidi="ar"/>
        </w:rPr>
        <w:t>，其中</w:t>
      </w:r>
      <w:r>
        <w:rPr>
          <w:rFonts w:hint="default" w:ascii="Times New Roman" w:hAnsi="Times New Roman" w:eastAsia="宋体" w:cs="Times New Roman"/>
          <w:color w:val="000000"/>
          <w:kern w:val="0"/>
          <w:sz w:val="24"/>
          <w:szCs w:val="24"/>
          <w:lang w:val="en-US" w:eastAsia="zh-CN" w:bidi="ar"/>
        </w:rPr>
        <w:t xml:space="preserve">NO </w:t>
      </w:r>
      <w:r>
        <w:rPr>
          <w:rFonts w:hint="eastAsia" w:ascii="宋体" w:hAnsi="宋体" w:eastAsia="宋体" w:cs="宋体"/>
          <w:color w:val="000000"/>
          <w:kern w:val="0"/>
          <w:sz w:val="24"/>
          <w:szCs w:val="24"/>
          <w:lang w:val="en-US" w:eastAsia="zh-CN" w:bidi="ar"/>
        </w:rPr>
        <w:t>占</w:t>
      </w:r>
      <w:r>
        <w:rPr>
          <w:rFonts w:hint="default" w:ascii="Times New Roman" w:hAnsi="Times New Roman" w:eastAsia="宋体" w:cs="Times New Roman"/>
          <w:color w:val="000000"/>
          <w:kern w:val="0"/>
          <w:sz w:val="24"/>
          <w:szCs w:val="24"/>
          <w:lang w:val="en-US" w:eastAsia="zh-CN" w:bidi="ar"/>
        </w:rPr>
        <w:t>90%</w:t>
      </w:r>
      <w:r>
        <w:rPr>
          <w:rFonts w:hint="eastAsia" w:ascii="宋体" w:hAnsi="宋体" w:eastAsia="宋体" w:cs="宋体"/>
          <w:color w:val="000000"/>
          <w:kern w:val="0"/>
          <w:sz w:val="24"/>
          <w:szCs w:val="24"/>
          <w:lang w:val="en-US" w:eastAsia="zh-CN" w:bidi="ar"/>
        </w:rPr>
        <w:t>以上，</w:t>
      </w:r>
      <w:r>
        <w:rPr>
          <w:rFonts w:hint="default" w:ascii="Times New Roman" w:hAnsi="Times New Roman" w:eastAsia="宋体" w:cs="Times New Roman"/>
          <w:color w:val="000000"/>
          <w:kern w:val="0"/>
          <w:sz w:val="24"/>
          <w:szCs w:val="24"/>
          <w:lang w:val="en-US" w:eastAsia="zh-CN" w:bidi="ar"/>
        </w:rPr>
        <w:t>NO</w:t>
      </w:r>
      <w:r>
        <w:rPr>
          <w:rFonts w:hint="default" w:ascii="Times New Roman" w:hAnsi="Times New Roman" w:eastAsia="宋体" w:cs="Times New Roman"/>
          <w:color w:val="000000"/>
          <w:kern w:val="0"/>
          <w:sz w:val="15"/>
          <w:szCs w:val="15"/>
          <w:lang w:val="en-US" w:eastAsia="zh-CN" w:bidi="ar"/>
        </w:rPr>
        <w:t>2</w:t>
      </w:r>
      <w:r>
        <w:rPr>
          <w:rFonts w:hint="eastAsia" w:ascii="宋体" w:hAnsi="宋体" w:eastAsia="宋体" w:cs="宋体"/>
          <w:color w:val="000000"/>
          <w:kern w:val="0"/>
          <w:sz w:val="24"/>
          <w:szCs w:val="24"/>
          <w:lang w:val="en-US" w:eastAsia="zh-CN" w:bidi="ar"/>
        </w:rPr>
        <w:t>占</w:t>
      </w:r>
      <w:r>
        <w:rPr>
          <w:rFonts w:hint="default" w:ascii="Times New Roman" w:hAnsi="Times New Roman" w:eastAsia="宋体" w:cs="Times New Roman"/>
          <w:color w:val="000000"/>
          <w:kern w:val="0"/>
          <w:sz w:val="24"/>
          <w:szCs w:val="24"/>
          <w:lang w:val="en-US" w:eastAsia="zh-CN" w:bidi="ar"/>
        </w:rPr>
        <w:t>5%</w:t>
      </w:r>
      <w:r>
        <w:rPr>
          <w:rFonts w:hint="eastAsia" w:ascii="宋体" w:hAnsi="宋体" w:eastAsia="宋体" w:cs="宋体"/>
          <w:color w:val="000000"/>
          <w:kern w:val="0"/>
          <w:sz w:val="24"/>
          <w:szCs w:val="24"/>
          <w:lang w:val="en-US" w:eastAsia="zh-CN" w:bidi="ar"/>
        </w:rPr>
        <w:t>～</w:t>
      </w:r>
      <w:r>
        <w:rPr>
          <w:rFonts w:hint="default" w:ascii="Times New Roman" w:hAnsi="Times New Roman" w:eastAsia="宋体" w:cs="Times New Roman"/>
          <w:color w:val="000000"/>
          <w:kern w:val="0"/>
          <w:sz w:val="24"/>
          <w:szCs w:val="24"/>
          <w:lang w:val="en-US" w:eastAsia="zh-CN" w:bidi="ar"/>
        </w:rPr>
        <w:t>10%</w:t>
      </w:r>
      <w:r>
        <w:rPr>
          <w:rFonts w:hint="eastAsia" w:ascii="宋体" w:hAnsi="宋体" w:eastAsia="宋体" w:cs="宋体"/>
          <w:color w:val="000000"/>
          <w:kern w:val="0"/>
          <w:sz w:val="24"/>
          <w:szCs w:val="24"/>
          <w:lang w:val="en-US" w:eastAsia="zh-CN" w:bidi="ar"/>
        </w:rPr>
        <w:t xml:space="preserve">。氮氧化物的生成量与燃烧方式，特别是燃烧温度和过量空气系数等燃烧条件有关，其主要生成途径有：热力型 </w:t>
      </w:r>
      <w:r>
        <w:rPr>
          <w:rFonts w:hint="default" w:ascii="Times New Roman" w:hAnsi="Times New Roman" w:eastAsia="宋体" w:cs="Times New Roman"/>
          <w:color w:val="000000"/>
          <w:kern w:val="0"/>
          <w:sz w:val="24"/>
          <w:szCs w:val="24"/>
          <w:lang w:val="en-US" w:eastAsia="zh-CN" w:bidi="ar"/>
        </w:rPr>
        <w:t>NO</w:t>
      </w:r>
      <w:r>
        <w:rPr>
          <w:rFonts w:hint="default" w:ascii="Times New Roman" w:hAnsi="Times New Roman" w:eastAsia="宋体" w:cs="Times New Roman"/>
          <w:color w:val="000000"/>
          <w:kern w:val="0"/>
          <w:sz w:val="15"/>
          <w:szCs w:val="15"/>
          <w:lang w:val="en-US" w:eastAsia="zh-CN" w:bidi="ar"/>
        </w:rPr>
        <w:t>X</w:t>
      </w:r>
      <w:r>
        <w:rPr>
          <w:rFonts w:hint="eastAsia" w:ascii="宋体" w:hAnsi="宋体" w:eastAsia="宋体" w:cs="宋体"/>
          <w:color w:val="000000"/>
          <w:kern w:val="0"/>
          <w:sz w:val="24"/>
          <w:szCs w:val="24"/>
          <w:lang w:val="en-US" w:eastAsia="zh-CN" w:bidi="ar"/>
        </w:rPr>
        <w:t>、快速型</w:t>
      </w:r>
      <w:r>
        <w:rPr>
          <w:rFonts w:hint="default" w:ascii="Times New Roman" w:hAnsi="Times New Roman" w:eastAsia="宋体" w:cs="Times New Roman"/>
          <w:color w:val="000000"/>
          <w:kern w:val="0"/>
          <w:sz w:val="24"/>
          <w:szCs w:val="24"/>
          <w:lang w:val="en-US" w:eastAsia="zh-CN" w:bidi="ar"/>
        </w:rPr>
        <w:t>NO</w:t>
      </w:r>
    </w:p>
    <w:p w14:paraId="2E569B5F">
      <w:pPr>
        <w:keepNext w:val="0"/>
        <w:keepLines w:val="0"/>
        <w:widowControl/>
        <w:suppressLineNumbers w:val="0"/>
        <w:jc w:val="left"/>
      </w:pPr>
      <w:r>
        <w:rPr>
          <w:rFonts w:hint="default" w:ascii="Times New Roman" w:hAnsi="Times New Roman" w:eastAsia="宋体" w:cs="Times New Roman"/>
          <w:color w:val="000000"/>
          <w:kern w:val="0"/>
          <w:sz w:val="15"/>
          <w:szCs w:val="15"/>
          <w:lang w:val="en-US" w:eastAsia="zh-CN" w:bidi="ar"/>
        </w:rPr>
        <w:t>X</w:t>
      </w:r>
      <w:r>
        <w:rPr>
          <w:rFonts w:hint="eastAsia" w:ascii="宋体" w:hAnsi="宋体" w:eastAsia="宋体" w:cs="宋体"/>
          <w:color w:val="000000"/>
          <w:kern w:val="0"/>
          <w:sz w:val="24"/>
          <w:szCs w:val="24"/>
          <w:lang w:val="en-US" w:eastAsia="zh-CN" w:bidi="ar"/>
        </w:rPr>
        <w:t>和燃料型</w:t>
      </w:r>
      <w:r>
        <w:rPr>
          <w:rFonts w:hint="default" w:ascii="Times New Roman" w:hAnsi="Times New Roman" w:eastAsia="宋体" w:cs="Times New Roman"/>
          <w:color w:val="000000"/>
          <w:kern w:val="0"/>
          <w:sz w:val="24"/>
          <w:szCs w:val="24"/>
          <w:lang w:val="en-US" w:eastAsia="zh-CN" w:bidi="ar"/>
        </w:rPr>
        <w:t>NO</w:t>
      </w:r>
      <w:r>
        <w:rPr>
          <w:rFonts w:hint="default" w:ascii="Times New Roman" w:hAnsi="Times New Roman" w:eastAsia="宋体" w:cs="Times New Roman"/>
          <w:color w:val="000000"/>
          <w:kern w:val="0"/>
          <w:sz w:val="15"/>
          <w:szCs w:val="15"/>
          <w:lang w:val="en-US" w:eastAsia="zh-CN" w:bidi="ar"/>
        </w:rPr>
        <w:t>X</w:t>
      </w:r>
      <w:r>
        <w:rPr>
          <w:rFonts w:hint="eastAsia" w:ascii="宋体" w:hAnsi="宋体" w:eastAsia="宋体" w:cs="宋体"/>
          <w:color w:val="000000"/>
          <w:kern w:val="0"/>
          <w:sz w:val="24"/>
          <w:szCs w:val="24"/>
          <w:lang w:val="en-US" w:eastAsia="zh-CN" w:bidi="ar"/>
        </w:rPr>
        <w:t xml:space="preserve">。 </w:t>
      </w:r>
    </w:p>
    <w:p w14:paraId="72A57ECC">
      <w:pPr>
        <w:keepNext w:val="0"/>
        <w:keepLines w:val="0"/>
        <w:widowControl/>
        <w:suppressLineNumbers w:val="0"/>
        <w:ind w:firstLine="480" w:firstLineChars="200"/>
        <w:jc w:val="left"/>
      </w:pPr>
      <w:r>
        <w:rPr>
          <w:rFonts w:hint="eastAsia" w:ascii="宋体" w:hAnsi="宋体" w:eastAsia="宋体" w:cs="宋体"/>
          <w:color w:val="000000"/>
          <w:kern w:val="0"/>
          <w:sz w:val="24"/>
          <w:szCs w:val="24"/>
          <w:lang w:val="en-US" w:eastAsia="zh-CN" w:bidi="ar"/>
        </w:rPr>
        <w:t>氮氧化物的治理常用的烟气脱硝常用技术有选择性催化还原法（</w:t>
      </w:r>
      <w:r>
        <w:rPr>
          <w:rFonts w:hint="default" w:ascii="Times New Roman" w:hAnsi="Times New Roman" w:eastAsia="宋体" w:cs="Times New Roman"/>
          <w:color w:val="000000"/>
          <w:kern w:val="0"/>
          <w:sz w:val="24"/>
          <w:szCs w:val="24"/>
          <w:lang w:val="en-US" w:eastAsia="zh-CN" w:bidi="ar"/>
        </w:rPr>
        <w:t>SCR</w:t>
      </w:r>
      <w:r>
        <w:rPr>
          <w:rFonts w:hint="eastAsia" w:ascii="宋体" w:hAnsi="宋体" w:eastAsia="宋体" w:cs="宋体"/>
          <w:color w:val="000000"/>
          <w:kern w:val="0"/>
          <w:sz w:val="24"/>
          <w:szCs w:val="24"/>
          <w:lang w:val="en-US" w:eastAsia="zh-CN" w:bidi="ar"/>
        </w:rPr>
        <w:t>）和选择性非催化还原法（</w:t>
      </w:r>
      <w:r>
        <w:rPr>
          <w:rFonts w:hint="default" w:ascii="Times New Roman" w:hAnsi="Times New Roman" w:eastAsia="宋体" w:cs="Times New Roman"/>
          <w:color w:val="000000"/>
          <w:kern w:val="0"/>
          <w:sz w:val="24"/>
          <w:szCs w:val="24"/>
          <w:lang w:val="en-US" w:eastAsia="zh-CN" w:bidi="ar"/>
        </w:rPr>
        <w:t>SNCR</w:t>
      </w:r>
      <w:r>
        <w:rPr>
          <w:rFonts w:hint="eastAsia" w:ascii="宋体" w:hAnsi="宋体" w:eastAsia="宋体" w:cs="宋体"/>
          <w:color w:val="000000"/>
          <w:kern w:val="0"/>
          <w:sz w:val="24"/>
          <w:szCs w:val="24"/>
          <w:lang w:val="en-US" w:eastAsia="zh-CN" w:bidi="ar"/>
        </w:rPr>
        <w:t xml:space="preserve">）两种。其他脱硝工艺还有电子束照射法和电晕放电等离子同时脱硫脱硝法，但由于部分相关技术的限制以及技术尚不成熟等原因，目前应用不多。 </w:t>
      </w:r>
    </w:p>
    <w:p w14:paraId="12195EAA">
      <w:pPr>
        <w:keepNext w:val="0"/>
        <w:keepLines w:val="0"/>
        <w:widowControl/>
        <w:suppressLineNumbers w:val="0"/>
        <w:ind w:firstLine="480" w:firstLineChars="200"/>
        <w:jc w:val="left"/>
      </w:pPr>
      <w:r>
        <w:rPr>
          <w:rFonts w:hint="eastAsia" w:ascii="宋体" w:hAnsi="宋体" w:eastAsia="宋体" w:cs="宋体"/>
          <w:color w:val="000000"/>
          <w:kern w:val="0"/>
          <w:sz w:val="24"/>
          <w:szCs w:val="24"/>
          <w:lang w:val="en-US" w:eastAsia="zh-CN" w:bidi="ar"/>
        </w:rPr>
        <w:t>（</w:t>
      </w:r>
      <w:r>
        <w:rPr>
          <w:rFonts w:hint="default" w:ascii="Times New Roman" w:hAnsi="Times New Roman" w:eastAsia="宋体" w:cs="Times New Roman"/>
          <w:color w:val="000000"/>
          <w:kern w:val="0"/>
          <w:sz w:val="24"/>
          <w:szCs w:val="24"/>
          <w:lang w:val="en-US" w:eastAsia="zh-CN" w:bidi="ar"/>
        </w:rPr>
        <w:t>2</w:t>
      </w:r>
      <w:r>
        <w:rPr>
          <w:rFonts w:hint="eastAsia" w:ascii="宋体" w:hAnsi="宋体" w:eastAsia="宋体" w:cs="宋体"/>
          <w:color w:val="000000"/>
          <w:kern w:val="0"/>
          <w:sz w:val="24"/>
          <w:szCs w:val="24"/>
          <w:lang w:val="en-US" w:eastAsia="zh-CN" w:bidi="ar"/>
        </w:rPr>
        <w:t>）</w:t>
      </w:r>
      <w:r>
        <w:rPr>
          <w:rFonts w:hint="default" w:ascii="Times New Roman" w:hAnsi="Times New Roman" w:eastAsia="宋体" w:cs="Times New Roman"/>
          <w:color w:val="000000"/>
          <w:kern w:val="0"/>
          <w:sz w:val="24"/>
          <w:szCs w:val="24"/>
          <w:lang w:val="en-US" w:eastAsia="zh-CN" w:bidi="ar"/>
        </w:rPr>
        <w:t xml:space="preserve">SCR </w:t>
      </w:r>
      <w:r>
        <w:rPr>
          <w:rFonts w:hint="eastAsia" w:ascii="宋体" w:hAnsi="宋体" w:eastAsia="宋体" w:cs="宋体"/>
          <w:color w:val="000000"/>
          <w:kern w:val="0"/>
          <w:sz w:val="24"/>
          <w:szCs w:val="24"/>
          <w:lang w:val="en-US" w:eastAsia="zh-CN" w:bidi="ar"/>
        </w:rPr>
        <w:t xml:space="preserve">技术与 </w:t>
      </w:r>
      <w:r>
        <w:rPr>
          <w:rFonts w:hint="default" w:ascii="Times New Roman" w:hAnsi="Times New Roman" w:eastAsia="宋体" w:cs="Times New Roman"/>
          <w:color w:val="000000"/>
          <w:kern w:val="0"/>
          <w:sz w:val="24"/>
          <w:szCs w:val="24"/>
          <w:lang w:val="en-US" w:eastAsia="zh-CN" w:bidi="ar"/>
        </w:rPr>
        <w:t xml:space="preserve">SNCR </w:t>
      </w:r>
      <w:r>
        <w:rPr>
          <w:rFonts w:hint="eastAsia" w:ascii="宋体" w:hAnsi="宋体" w:eastAsia="宋体" w:cs="宋体"/>
          <w:color w:val="000000"/>
          <w:kern w:val="0"/>
          <w:sz w:val="24"/>
          <w:szCs w:val="24"/>
          <w:lang w:val="en-US" w:eastAsia="zh-CN" w:bidi="ar"/>
        </w:rPr>
        <w:t xml:space="preserve">技术对比分析 </w:t>
      </w:r>
    </w:p>
    <w:p w14:paraId="7623413C">
      <w:pPr>
        <w:keepNext w:val="0"/>
        <w:keepLines w:val="0"/>
        <w:widowControl/>
        <w:suppressLineNumbers w:val="0"/>
        <w:ind w:firstLine="480" w:firstLineChars="200"/>
        <w:jc w:val="left"/>
      </w:pPr>
      <w:r>
        <w:rPr>
          <w:rFonts w:hint="default" w:ascii="Times New Roman" w:hAnsi="Times New Roman" w:eastAsia="宋体" w:cs="Times New Roman"/>
          <w:color w:val="000000"/>
          <w:kern w:val="0"/>
          <w:sz w:val="24"/>
          <w:szCs w:val="24"/>
          <w:lang w:val="en-US" w:eastAsia="zh-CN" w:bidi="ar"/>
        </w:rPr>
        <w:t xml:space="preserve">a </w:t>
      </w:r>
      <w:r>
        <w:rPr>
          <w:rFonts w:hint="eastAsia" w:ascii="宋体" w:hAnsi="宋体" w:eastAsia="宋体" w:cs="宋体"/>
          <w:color w:val="000000"/>
          <w:kern w:val="0"/>
          <w:sz w:val="24"/>
          <w:szCs w:val="24"/>
          <w:lang w:val="en-US" w:eastAsia="zh-CN" w:bidi="ar"/>
        </w:rPr>
        <w:t xml:space="preserve">工艺介绍 </w:t>
      </w:r>
    </w:p>
    <w:p w14:paraId="0175AE89">
      <w:pPr>
        <w:keepNext w:val="0"/>
        <w:keepLines w:val="0"/>
        <w:widowControl/>
        <w:suppressLineNumbers w:val="0"/>
        <w:ind w:firstLine="480" w:firstLineChars="200"/>
        <w:jc w:val="left"/>
      </w:pPr>
      <w:r>
        <w:rPr>
          <w:rFonts w:ascii="FZSongS-Extended" w:hAnsi="FZSongS-Extended" w:eastAsia="FZSongS-Extended" w:cs="FZSongS-Extended"/>
          <w:color w:val="000000"/>
          <w:kern w:val="0"/>
          <w:sz w:val="24"/>
          <w:szCs w:val="24"/>
          <w:lang w:val="en-US" w:eastAsia="zh-CN" w:bidi="ar"/>
        </w:rPr>
        <w:t>①</w:t>
      </w:r>
      <w:r>
        <w:rPr>
          <w:rFonts w:hint="eastAsia" w:ascii="宋体" w:hAnsi="宋体" w:eastAsia="宋体" w:cs="宋体"/>
          <w:color w:val="000000"/>
          <w:kern w:val="0"/>
          <w:sz w:val="24"/>
          <w:szCs w:val="24"/>
          <w:lang w:val="en-US" w:eastAsia="zh-CN" w:bidi="ar"/>
        </w:rPr>
        <w:t>选择性催化还原法（</w:t>
      </w:r>
      <w:r>
        <w:rPr>
          <w:rFonts w:hint="default" w:ascii="Times New Roman" w:hAnsi="Times New Roman" w:eastAsia="宋体" w:cs="Times New Roman"/>
          <w:color w:val="000000"/>
          <w:kern w:val="0"/>
          <w:sz w:val="24"/>
          <w:szCs w:val="24"/>
          <w:lang w:val="en-US" w:eastAsia="zh-CN" w:bidi="ar"/>
        </w:rPr>
        <w:t>SCR</w:t>
      </w:r>
      <w:r>
        <w:rPr>
          <w:rFonts w:hint="eastAsia" w:ascii="宋体" w:hAnsi="宋体" w:eastAsia="宋体" w:cs="宋体"/>
          <w:color w:val="000000"/>
          <w:kern w:val="0"/>
          <w:sz w:val="24"/>
          <w:szCs w:val="24"/>
          <w:lang w:val="en-US" w:eastAsia="zh-CN" w:bidi="ar"/>
        </w:rPr>
        <w:t xml:space="preserve">） </w:t>
      </w:r>
    </w:p>
    <w:p w14:paraId="6BF207F0">
      <w:pPr>
        <w:keepNext w:val="0"/>
        <w:keepLines w:val="0"/>
        <w:widowControl/>
        <w:suppressLineNumbers w:val="0"/>
        <w:ind w:firstLine="480" w:firstLineChars="200"/>
        <w:jc w:val="left"/>
      </w:pPr>
      <w:r>
        <w:rPr>
          <w:rFonts w:hint="eastAsia" w:ascii="宋体" w:hAnsi="宋体" w:eastAsia="宋体" w:cs="宋体"/>
          <w:color w:val="000000"/>
          <w:kern w:val="0"/>
          <w:sz w:val="24"/>
          <w:szCs w:val="24"/>
          <w:lang w:val="en-US" w:eastAsia="zh-CN" w:bidi="ar"/>
        </w:rPr>
        <w:t>近几年来选择性催化还原烟气脱硝技术（</w:t>
      </w:r>
      <w:r>
        <w:rPr>
          <w:rFonts w:hint="default" w:ascii="Times New Roman" w:hAnsi="Times New Roman" w:eastAsia="宋体" w:cs="Times New Roman"/>
          <w:color w:val="000000"/>
          <w:kern w:val="0"/>
          <w:sz w:val="24"/>
          <w:szCs w:val="24"/>
          <w:lang w:val="en-US" w:eastAsia="zh-CN" w:bidi="ar"/>
        </w:rPr>
        <w:t>SCR</w:t>
      </w:r>
      <w:r>
        <w:rPr>
          <w:rFonts w:hint="eastAsia" w:ascii="宋体" w:hAnsi="宋体" w:eastAsia="宋体" w:cs="宋体"/>
          <w:color w:val="000000"/>
          <w:kern w:val="0"/>
          <w:sz w:val="24"/>
          <w:szCs w:val="24"/>
          <w:lang w:val="en-US" w:eastAsia="zh-CN" w:bidi="ar"/>
        </w:rPr>
        <w:t>）发展较快</w:t>
      </w:r>
      <w:r>
        <w:rPr>
          <w:rFonts w:hint="default" w:ascii="Times New Roman" w:hAnsi="Times New Roman" w:eastAsia="宋体" w:cs="Times New Roman"/>
          <w:color w:val="000000"/>
          <w:kern w:val="0"/>
          <w:sz w:val="24"/>
          <w:szCs w:val="24"/>
          <w:lang w:val="en-US" w:eastAsia="zh-CN" w:bidi="ar"/>
        </w:rPr>
        <w:t>,</w:t>
      </w:r>
      <w:r>
        <w:rPr>
          <w:rFonts w:hint="eastAsia" w:ascii="宋体" w:hAnsi="宋体" w:eastAsia="宋体" w:cs="宋体"/>
          <w:color w:val="000000"/>
          <w:kern w:val="0"/>
          <w:sz w:val="24"/>
          <w:szCs w:val="24"/>
          <w:lang w:val="en-US" w:eastAsia="zh-CN" w:bidi="ar"/>
        </w:rPr>
        <w:t>在欧洲和日本得到了广泛的应用。目前，氨催化还原烟气脱硝技术是应用最多的技术。</w:t>
      </w:r>
    </w:p>
    <w:p w14:paraId="2B2C6F53">
      <w:pPr>
        <w:keepNext w:val="0"/>
        <w:keepLines w:val="0"/>
        <w:widowControl/>
        <w:suppressLineNumbers w:val="0"/>
        <w:jc w:val="left"/>
      </w:pPr>
      <w:r>
        <w:rPr>
          <w:rFonts w:hint="default" w:ascii="Times New Roman" w:hAnsi="Times New Roman" w:eastAsia="宋体" w:cs="Times New Roman"/>
          <w:color w:val="000000"/>
          <w:kern w:val="0"/>
          <w:sz w:val="24"/>
          <w:szCs w:val="24"/>
          <w:lang w:val="en-US" w:eastAsia="zh-CN" w:bidi="ar"/>
        </w:rPr>
        <w:t>SCR</w:t>
      </w:r>
      <w:r>
        <w:rPr>
          <w:rFonts w:hint="eastAsia" w:ascii="宋体" w:hAnsi="宋体" w:eastAsia="宋体" w:cs="宋体"/>
          <w:color w:val="000000"/>
          <w:kern w:val="0"/>
          <w:sz w:val="24"/>
          <w:szCs w:val="24"/>
          <w:lang w:val="en-US" w:eastAsia="zh-CN" w:bidi="ar"/>
        </w:rPr>
        <w:t xml:space="preserve">脱硝系统是向催化剂上游的烟气中喷入氨气或其它合适的还原剂，使用氧化 </w:t>
      </w:r>
    </w:p>
    <w:p w14:paraId="17365403">
      <w:pPr>
        <w:keepNext w:val="0"/>
        <w:keepLines w:val="0"/>
        <w:widowControl/>
        <w:suppressLineNumbers w:val="0"/>
        <w:jc w:val="left"/>
      </w:pPr>
      <w:r>
        <w:rPr>
          <w:rFonts w:hint="eastAsia" w:ascii="宋体" w:hAnsi="宋体" w:eastAsia="宋体" w:cs="宋体"/>
          <w:color w:val="000000"/>
          <w:kern w:val="0"/>
          <w:sz w:val="24"/>
          <w:szCs w:val="24"/>
          <w:lang w:val="en-US" w:eastAsia="zh-CN" w:bidi="ar"/>
        </w:rPr>
        <w:t>钛、氧化铁、沸石、活性碳等催化剂，在</w:t>
      </w:r>
      <w:r>
        <w:rPr>
          <w:rFonts w:hint="default" w:ascii="Times New Roman" w:hAnsi="Times New Roman" w:eastAsia="宋体" w:cs="Times New Roman"/>
          <w:color w:val="000000"/>
          <w:kern w:val="0"/>
          <w:sz w:val="24"/>
          <w:szCs w:val="24"/>
          <w:lang w:val="en-US" w:eastAsia="zh-CN" w:bidi="ar"/>
        </w:rPr>
        <w:t>300</w:t>
      </w:r>
      <w:r>
        <w:rPr>
          <w:rFonts w:hint="eastAsia" w:ascii="宋体" w:hAnsi="宋体" w:eastAsia="宋体" w:cs="宋体"/>
          <w:color w:val="000000"/>
          <w:kern w:val="0"/>
          <w:sz w:val="24"/>
          <w:szCs w:val="24"/>
          <w:lang w:val="en-US" w:eastAsia="zh-CN" w:bidi="ar"/>
        </w:rPr>
        <w:t>～</w:t>
      </w:r>
      <w:r>
        <w:rPr>
          <w:rFonts w:hint="default" w:ascii="Times New Roman" w:hAnsi="Times New Roman" w:eastAsia="宋体" w:cs="Times New Roman"/>
          <w:color w:val="000000"/>
          <w:kern w:val="0"/>
          <w:sz w:val="24"/>
          <w:szCs w:val="24"/>
          <w:lang w:val="en-US" w:eastAsia="zh-CN" w:bidi="ar"/>
        </w:rPr>
        <w:t>400</w:t>
      </w:r>
      <w:r>
        <w:rPr>
          <w:rFonts w:ascii="FZSongS-Extended" w:hAnsi="FZSongS-Extended" w:eastAsia="FZSongS-Extended" w:cs="FZSongS-Extended"/>
          <w:color w:val="000000"/>
          <w:kern w:val="0"/>
          <w:sz w:val="24"/>
          <w:szCs w:val="24"/>
          <w:lang w:val="en-US" w:eastAsia="zh-CN" w:bidi="ar"/>
        </w:rPr>
        <w:t>℃</w:t>
      </w:r>
      <w:r>
        <w:rPr>
          <w:rFonts w:hint="eastAsia" w:ascii="宋体" w:hAnsi="宋体" w:eastAsia="宋体" w:cs="宋体"/>
          <w:color w:val="000000"/>
          <w:kern w:val="0"/>
          <w:sz w:val="24"/>
          <w:szCs w:val="24"/>
          <w:lang w:val="en-US" w:eastAsia="zh-CN" w:bidi="ar"/>
        </w:rPr>
        <w:t>较低的工作温度下，将</w:t>
      </w:r>
      <w:r>
        <w:rPr>
          <w:rFonts w:hint="default" w:ascii="Times New Roman" w:hAnsi="Times New Roman" w:eastAsia="宋体" w:cs="Times New Roman"/>
          <w:color w:val="000000"/>
          <w:kern w:val="0"/>
          <w:sz w:val="24"/>
          <w:szCs w:val="24"/>
          <w:lang w:val="en-US" w:eastAsia="zh-CN" w:bidi="ar"/>
        </w:rPr>
        <w:t>NO</w:t>
      </w:r>
      <w:r>
        <w:rPr>
          <w:rFonts w:hint="default" w:ascii="Times New Roman" w:hAnsi="Times New Roman" w:eastAsia="宋体" w:cs="Times New Roman"/>
          <w:color w:val="000000"/>
          <w:kern w:val="0"/>
          <w:sz w:val="15"/>
          <w:szCs w:val="15"/>
          <w:lang w:val="en-US" w:eastAsia="zh-CN" w:bidi="ar"/>
        </w:rPr>
        <w:t>X</w:t>
      </w:r>
      <w:r>
        <w:rPr>
          <w:rFonts w:hint="eastAsia" w:ascii="宋体" w:hAnsi="宋体" w:eastAsia="宋体" w:cs="宋体"/>
          <w:color w:val="000000"/>
          <w:kern w:val="0"/>
          <w:sz w:val="24"/>
          <w:szCs w:val="24"/>
          <w:lang w:val="en-US" w:eastAsia="zh-CN" w:bidi="ar"/>
        </w:rPr>
        <w:t>还原为无害的</w:t>
      </w:r>
      <w:r>
        <w:rPr>
          <w:rFonts w:hint="default" w:ascii="Times New Roman" w:hAnsi="Times New Roman" w:eastAsia="宋体" w:cs="Times New Roman"/>
          <w:color w:val="000000"/>
          <w:kern w:val="0"/>
          <w:sz w:val="24"/>
          <w:szCs w:val="24"/>
          <w:lang w:val="en-US" w:eastAsia="zh-CN" w:bidi="ar"/>
        </w:rPr>
        <w:t>N</w:t>
      </w:r>
      <w:r>
        <w:rPr>
          <w:rFonts w:hint="default" w:ascii="Times New Roman" w:hAnsi="Times New Roman" w:eastAsia="宋体" w:cs="Times New Roman"/>
          <w:color w:val="000000"/>
          <w:kern w:val="0"/>
          <w:sz w:val="15"/>
          <w:szCs w:val="15"/>
          <w:lang w:val="en-US" w:eastAsia="zh-CN" w:bidi="ar"/>
        </w:rPr>
        <w:t>2</w:t>
      </w:r>
      <w:r>
        <w:rPr>
          <w:rFonts w:hint="eastAsia" w:ascii="宋体" w:hAnsi="宋体" w:eastAsia="宋体" w:cs="宋体"/>
          <w:color w:val="000000"/>
          <w:kern w:val="0"/>
          <w:sz w:val="24"/>
          <w:szCs w:val="24"/>
          <w:lang w:val="en-US" w:eastAsia="zh-CN" w:bidi="ar"/>
        </w:rPr>
        <w:t>和</w:t>
      </w:r>
      <w:r>
        <w:rPr>
          <w:rFonts w:hint="default" w:ascii="Times New Roman" w:hAnsi="Times New Roman" w:eastAsia="宋体" w:cs="Times New Roman"/>
          <w:color w:val="000000"/>
          <w:kern w:val="0"/>
          <w:sz w:val="24"/>
          <w:szCs w:val="24"/>
          <w:lang w:val="en-US" w:eastAsia="zh-CN" w:bidi="ar"/>
        </w:rPr>
        <w:t>H</w:t>
      </w:r>
      <w:r>
        <w:rPr>
          <w:rFonts w:hint="default" w:ascii="Times New Roman" w:hAnsi="Times New Roman" w:eastAsia="宋体" w:cs="Times New Roman"/>
          <w:color w:val="000000"/>
          <w:kern w:val="0"/>
          <w:sz w:val="15"/>
          <w:szCs w:val="15"/>
          <w:lang w:val="en-US" w:eastAsia="zh-CN" w:bidi="ar"/>
        </w:rPr>
        <w:t>2</w:t>
      </w:r>
      <w:r>
        <w:rPr>
          <w:rFonts w:hint="default" w:ascii="Times New Roman" w:hAnsi="Times New Roman" w:eastAsia="宋体" w:cs="Times New Roman"/>
          <w:color w:val="000000"/>
          <w:kern w:val="0"/>
          <w:sz w:val="24"/>
          <w:szCs w:val="24"/>
          <w:lang w:val="en-US" w:eastAsia="zh-CN" w:bidi="ar"/>
        </w:rPr>
        <w:t>O</w:t>
      </w:r>
      <w:r>
        <w:rPr>
          <w:rFonts w:hint="eastAsia" w:ascii="宋体" w:hAnsi="宋体" w:eastAsia="宋体" w:cs="宋体"/>
          <w:color w:val="000000"/>
          <w:kern w:val="0"/>
          <w:sz w:val="24"/>
          <w:szCs w:val="24"/>
          <w:lang w:val="en-US" w:eastAsia="zh-CN" w:bidi="ar"/>
        </w:rPr>
        <w:t xml:space="preserve">。在通常的设计中，使用液态无水氨或氨水（氨的水溶液），无论以何种形式使用氨，首先使氨蒸发，然后氨和稀释空气或烟气混合，最后利用喷氨格栅将其喷入 </w:t>
      </w:r>
      <w:r>
        <w:rPr>
          <w:rFonts w:hint="default" w:ascii="Times New Roman" w:hAnsi="Times New Roman" w:eastAsia="宋体" w:cs="Times New Roman"/>
          <w:color w:val="000000"/>
          <w:kern w:val="0"/>
          <w:sz w:val="24"/>
          <w:szCs w:val="24"/>
          <w:lang w:val="en-US" w:eastAsia="zh-CN" w:bidi="ar"/>
        </w:rPr>
        <w:t>SCR</w:t>
      </w:r>
      <w:r>
        <w:rPr>
          <w:rFonts w:hint="eastAsia" w:ascii="宋体" w:hAnsi="宋体" w:eastAsia="宋体" w:cs="宋体"/>
          <w:color w:val="000000"/>
          <w:kern w:val="0"/>
          <w:sz w:val="24"/>
          <w:szCs w:val="24"/>
          <w:lang w:val="en-US" w:eastAsia="zh-CN" w:bidi="ar"/>
        </w:rPr>
        <w:t>反应器上游的烟气中。</w:t>
      </w:r>
      <w:r>
        <w:rPr>
          <w:rFonts w:hint="default" w:ascii="Times New Roman" w:hAnsi="Times New Roman" w:eastAsia="宋体" w:cs="Times New Roman"/>
          <w:color w:val="000000"/>
          <w:kern w:val="0"/>
          <w:sz w:val="24"/>
          <w:szCs w:val="24"/>
          <w:lang w:val="en-US" w:eastAsia="zh-CN" w:bidi="ar"/>
        </w:rPr>
        <w:t>SCR</w:t>
      </w:r>
      <w:r>
        <w:rPr>
          <w:rFonts w:hint="eastAsia" w:ascii="宋体" w:hAnsi="宋体" w:eastAsia="宋体" w:cs="宋体"/>
          <w:color w:val="000000"/>
          <w:kern w:val="0"/>
          <w:sz w:val="24"/>
          <w:szCs w:val="24"/>
          <w:lang w:val="en-US" w:eastAsia="zh-CN" w:bidi="ar"/>
        </w:rPr>
        <w:t>工艺是向锅炉烟气中喷入氨气（</w:t>
      </w:r>
      <w:r>
        <w:rPr>
          <w:rFonts w:hint="default" w:ascii="Times New Roman" w:hAnsi="Times New Roman" w:eastAsia="宋体" w:cs="Times New Roman"/>
          <w:color w:val="000000"/>
          <w:kern w:val="0"/>
          <w:sz w:val="24"/>
          <w:szCs w:val="24"/>
          <w:lang w:val="en-US" w:eastAsia="zh-CN" w:bidi="ar"/>
        </w:rPr>
        <w:t>NH</w:t>
      </w:r>
      <w:r>
        <w:rPr>
          <w:rFonts w:hint="default" w:ascii="Times New Roman" w:hAnsi="Times New Roman" w:eastAsia="宋体" w:cs="Times New Roman"/>
          <w:color w:val="000000"/>
          <w:kern w:val="0"/>
          <w:sz w:val="15"/>
          <w:szCs w:val="15"/>
          <w:lang w:val="en-US" w:eastAsia="zh-CN" w:bidi="ar"/>
        </w:rPr>
        <w:t>3</w:t>
      </w:r>
      <w:r>
        <w:rPr>
          <w:rFonts w:hint="eastAsia" w:ascii="宋体" w:hAnsi="宋体" w:eastAsia="宋体" w:cs="宋体"/>
          <w:color w:val="000000"/>
          <w:kern w:val="0"/>
          <w:sz w:val="24"/>
          <w:szCs w:val="24"/>
          <w:lang w:val="en-US" w:eastAsia="zh-CN" w:bidi="ar"/>
        </w:rPr>
        <w:t>）作为还原剂，</w:t>
      </w:r>
      <w:r>
        <w:rPr>
          <w:rFonts w:hint="default" w:ascii="Times New Roman" w:hAnsi="Times New Roman" w:eastAsia="宋体" w:cs="Times New Roman"/>
          <w:color w:val="000000"/>
          <w:kern w:val="0"/>
          <w:sz w:val="24"/>
          <w:szCs w:val="24"/>
          <w:lang w:val="en-US" w:eastAsia="zh-CN" w:bidi="ar"/>
        </w:rPr>
        <w:t>SCR</w:t>
      </w:r>
      <w:r>
        <w:rPr>
          <w:rFonts w:hint="eastAsia" w:ascii="宋体" w:hAnsi="宋体" w:eastAsia="宋体" w:cs="宋体"/>
          <w:color w:val="000000"/>
          <w:kern w:val="0"/>
          <w:sz w:val="24"/>
          <w:szCs w:val="24"/>
          <w:lang w:val="en-US" w:eastAsia="zh-CN" w:bidi="ar"/>
        </w:rPr>
        <w:t>系统</w:t>
      </w:r>
      <w:r>
        <w:rPr>
          <w:rFonts w:hint="default" w:ascii="Times New Roman" w:hAnsi="Times New Roman" w:eastAsia="宋体" w:cs="Times New Roman"/>
          <w:color w:val="000000"/>
          <w:kern w:val="0"/>
          <w:sz w:val="24"/>
          <w:szCs w:val="24"/>
          <w:lang w:val="en-US" w:eastAsia="zh-CN" w:bidi="ar"/>
        </w:rPr>
        <w:t>NO</w:t>
      </w:r>
      <w:r>
        <w:rPr>
          <w:rFonts w:hint="default" w:ascii="Times New Roman" w:hAnsi="Times New Roman" w:eastAsia="宋体" w:cs="Times New Roman"/>
          <w:color w:val="000000"/>
          <w:kern w:val="0"/>
          <w:sz w:val="15"/>
          <w:szCs w:val="15"/>
          <w:lang w:val="en-US" w:eastAsia="zh-CN" w:bidi="ar"/>
        </w:rPr>
        <w:t>X</w:t>
      </w:r>
      <w:r>
        <w:rPr>
          <w:rFonts w:hint="eastAsia" w:ascii="宋体" w:hAnsi="宋体" w:eastAsia="宋体" w:cs="宋体"/>
          <w:color w:val="000000"/>
          <w:kern w:val="0"/>
          <w:sz w:val="24"/>
          <w:szCs w:val="24"/>
          <w:lang w:val="en-US" w:eastAsia="zh-CN" w:bidi="ar"/>
        </w:rPr>
        <w:t>脱除效率通常很高，脱硝效率</w:t>
      </w:r>
      <w:r>
        <w:rPr>
          <w:rFonts w:hint="default" w:ascii="Times New Roman" w:hAnsi="Times New Roman" w:eastAsia="宋体" w:cs="Times New Roman"/>
          <w:color w:val="000000"/>
          <w:kern w:val="0"/>
          <w:sz w:val="24"/>
          <w:szCs w:val="24"/>
          <w:lang w:val="en-US" w:eastAsia="zh-CN" w:bidi="ar"/>
        </w:rPr>
        <w:t>80</w:t>
      </w:r>
      <w:r>
        <w:rPr>
          <w:rFonts w:hint="eastAsia" w:ascii="宋体" w:hAnsi="宋体" w:eastAsia="宋体" w:cs="宋体"/>
          <w:color w:val="000000"/>
          <w:kern w:val="0"/>
          <w:sz w:val="24"/>
          <w:szCs w:val="24"/>
          <w:lang w:val="en-US" w:eastAsia="zh-CN" w:bidi="ar"/>
        </w:rPr>
        <w:t>～</w:t>
      </w:r>
      <w:r>
        <w:rPr>
          <w:rFonts w:hint="default" w:ascii="Times New Roman" w:hAnsi="Times New Roman" w:eastAsia="宋体" w:cs="Times New Roman"/>
          <w:color w:val="000000"/>
          <w:kern w:val="0"/>
          <w:sz w:val="24"/>
          <w:szCs w:val="24"/>
          <w:lang w:val="en-US" w:eastAsia="zh-CN" w:bidi="ar"/>
        </w:rPr>
        <w:t>90%</w:t>
      </w:r>
      <w:r>
        <w:rPr>
          <w:rFonts w:hint="eastAsia" w:ascii="宋体" w:hAnsi="宋体" w:eastAsia="宋体" w:cs="宋体"/>
          <w:color w:val="000000"/>
          <w:kern w:val="0"/>
          <w:sz w:val="24"/>
          <w:szCs w:val="24"/>
          <w:lang w:val="en-US" w:eastAsia="zh-CN" w:bidi="ar"/>
        </w:rPr>
        <w:t>。喷入到烟气中的氨几乎完全和</w:t>
      </w:r>
      <w:r>
        <w:rPr>
          <w:rFonts w:hint="default" w:ascii="Times New Roman" w:hAnsi="Times New Roman" w:eastAsia="宋体" w:cs="Times New Roman"/>
          <w:color w:val="000000"/>
          <w:kern w:val="0"/>
          <w:sz w:val="24"/>
          <w:szCs w:val="24"/>
          <w:lang w:val="en-US" w:eastAsia="zh-CN" w:bidi="ar"/>
        </w:rPr>
        <w:t>NO</w:t>
      </w:r>
      <w:r>
        <w:rPr>
          <w:rFonts w:hint="default" w:ascii="Times New Roman" w:hAnsi="Times New Roman" w:eastAsia="宋体" w:cs="Times New Roman"/>
          <w:color w:val="000000"/>
          <w:kern w:val="0"/>
          <w:sz w:val="15"/>
          <w:szCs w:val="15"/>
          <w:lang w:val="en-US" w:eastAsia="zh-CN" w:bidi="ar"/>
        </w:rPr>
        <w:t>X</w:t>
      </w:r>
      <w:r>
        <w:rPr>
          <w:rFonts w:hint="eastAsia" w:ascii="宋体" w:hAnsi="宋体" w:eastAsia="宋体" w:cs="宋体"/>
          <w:color w:val="000000"/>
          <w:kern w:val="0"/>
          <w:sz w:val="24"/>
          <w:szCs w:val="24"/>
          <w:lang w:val="en-US" w:eastAsia="zh-CN" w:bidi="ar"/>
        </w:rPr>
        <w:t>反应。有少量氨不反应而是作为氨逃逸离开了反应器。一般来说，对于新的催化剂，氨逃逸量很低。但是，随着催化剂失活或者表面被飞灰覆盖或堵塞，氨逃逸量就会增加，为了维持需要的</w:t>
      </w:r>
      <w:r>
        <w:rPr>
          <w:rFonts w:hint="default" w:ascii="Times New Roman" w:hAnsi="Times New Roman" w:eastAsia="宋体" w:cs="Times New Roman"/>
          <w:color w:val="000000"/>
          <w:kern w:val="0"/>
          <w:sz w:val="24"/>
          <w:szCs w:val="24"/>
          <w:lang w:val="en-US" w:eastAsia="zh-CN" w:bidi="ar"/>
        </w:rPr>
        <w:t>NO</w:t>
      </w:r>
      <w:r>
        <w:rPr>
          <w:rFonts w:hint="default" w:ascii="Times New Roman" w:hAnsi="Times New Roman" w:eastAsia="宋体" w:cs="Times New Roman"/>
          <w:color w:val="000000"/>
          <w:kern w:val="0"/>
          <w:sz w:val="15"/>
          <w:szCs w:val="15"/>
          <w:lang w:val="en-US" w:eastAsia="zh-CN" w:bidi="ar"/>
        </w:rPr>
        <w:t>X</w:t>
      </w:r>
      <w:r>
        <w:rPr>
          <w:rFonts w:hint="eastAsia" w:ascii="宋体" w:hAnsi="宋体" w:eastAsia="宋体" w:cs="宋体"/>
          <w:color w:val="000000"/>
          <w:kern w:val="0"/>
          <w:sz w:val="24"/>
          <w:szCs w:val="24"/>
          <w:lang w:val="en-US" w:eastAsia="zh-CN" w:bidi="ar"/>
        </w:rPr>
        <w:t>脱除率，就必须增加反应器中</w:t>
      </w:r>
      <w:r>
        <w:rPr>
          <w:rFonts w:hint="default" w:ascii="Times New Roman" w:hAnsi="Times New Roman" w:eastAsia="宋体" w:cs="Times New Roman"/>
          <w:color w:val="000000"/>
          <w:kern w:val="0"/>
          <w:sz w:val="24"/>
          <w:szCs w:val="24"/>
          <w:lang w:val="en-US" w:eastAsia="zh-CN" w:bidi="ar"/>
        </w:rPr>
        <w:t>NH</w:t>
      </w:r>
      <w:r>
        <w:rPr>
          <w:rFonts w:hint="default" w:ascii="Times New Roman" w:hAnsi="Times New Roman" w:eastAsia="宋体" w:cs="Times New Roman"/>
          <w:color w:val="000000"/>
          <w:kern w:val="0"/>
          <w:sz w:val="15"/>
          <w:szCs w:val="15"/>
          <w:lang w:val="en-US" w:eastAsia="zh-CN" w:bidi="ar"/>
        </w:rPr>
        <w:t>3</w:t>
      </w:r>
      <w:r>
        <w:rPr>
          <w:rFonts w:hint="default" w:ascii="Times New Roman" w:hAnsi="Times New Roman" w:eastAsia="宋体" w:cs="Times New Roman"/>
          <w:color w:val="000000"/>
          <w:kern w:val="0"/>
          <w:sz w:val="24"/>
          <w:szCs w:val="24"/>
          <w:lang w:val="en-US" w:eastAsia="zh-CN" w:bidi="ar"/>
        </w:rPr>
        <w:t>/NO</w:t>
      </w:r>
      <w:r>
        <w:rPr>
          <w:rFonts w:hint="default" w:ascii="Times New Roman" w:hAnsi="Times New Roman" w:eastAsia="宋体" w:cs="Times New Roman"/>
          <w:color w:val="000000"/>
          <w:kern w:val="0"/>
          <w:sz w:val="15"/>
          <w:szCs w:val="15"/>
          <w:lang w:val="en-US" w:eastAsia="zh-CN" w:bidi="ar"/>
        </w:rPr>
        <w:t>X</w:t>
      </w:r>
      <w:r>
        <w:rPr>
          <w:rFonts w:hint="eastAsia" w:ascii="宋体" w:hAnsi="宋体" w:eastAsia="宋体" w:cs="宋体"/>
          <w:color w:val="000000"/>
          <w:kern w:val="0"/>
          <w:sz w:val="24"/>
          <w:szCs w:val="24"/>
          <w:lang w:val="en-US" w:eastAsia="zh-CN" w:bidi="ar"/>
        </w:rPr>
        <w:t xml:space="preserve">摩尔比。当不能保证预先设定的脱硝效率和氨逃逸量的性能标准时，就必须在反应器内添加或更换新的催化剂以恢复催化剂的活性和反应器性能。从新催化剂开始使用到被更换这段时间称为催化剂寿命。 </w:t>
      </w:r>
    </w:p>
    <w:p w14:paraId="3AFFF252">
      <w:pPr>
        <w:keepNext w:val="0"/>
        <w:keepLines w:val="0"/>
        <w:widowControl/>
        <w:suppressLineNumbers w:val="0"/>
        <w:ind w:firstLine="480" w:firstLineChars="200"/>
        <w:jc w:val="left"/>
      </w:pPr>
      <w:r>
        <w:rPr>
          <w:rFonts w:hint="eastAsia" w:ascii="宋体" w:hAnsi="宋体" w:eastAsia="宋体" w:cs="宋体"/>
          <w:color w:val="000000"/>
          <w:kern w:val="0"/>
          <w:sz w:val="24"/>
          <w:szCs w:val="24"/>
          <w:lang w:val="en-US" w:eastAsia="zh-CN" w:bidi="ar"/>
        </w:rPr>
        <w:t>选择性催化还原法，脱硝装置结构简单、无副产品、运行方便、可靠性高、脱硝效率可达到</w:t>
      </w:r>
      <w:r>
        <w:rPr>
          <w:rFonts w:hint="default" w:ascii="Times New Roman" w:hAnsi="Times New Roman" w:eastAsia="宋体" w:cs="Times New Roman"/>
          <w:color w:val="000000"/>
          <w:kern w:val="0"/>
          <w:sz w:val="24"/>
          <w:szCs w:val="24"/>
          <w:lang w:val="en-US" w:eastAsia="zh-CN" w:bidi="ar"/>
        </w:rPr>
        <w:t>85%</w:t>
      </w:r>
      <w:r>
        <w:rPr>
          <w:rFonts w:hint="eastAsia" w:ascii="宋体" w:hAnsi="宋体" w:eastAsia="宋体" w:cs="宋体"/>
          <w:color w:val="000000"/>
          <w:kern w:val="0"/>
          <w:sz w:val="24"/>
          <w:szCs w:val="24"/>
          <w:lang w:val="en-US" w:eastAsia="zh-CN" w:bidi="ar"/>
        </w:rPr>
        <w:t>以上。目前全世界在运行的脱硝装置约</w:t>
      </w:r>
      <w:r>
        <w:rPr>
          <w:rFonts w:hint="default" w:ascii="Times New Roman" w:hAnsi="Times New Roman" w:eastAsia="宋体" w:cs="Times New Roman"/>
          <w:color w:val="000000"/>
          <w:kern w:val="0"/>
          <w:sz w:val="24"/>
          <w:szCs w:val="24"/>
          <w:lang w:val="en-US" w:eastAsia="zh-CN" w:bidi="ar"/>
        </w:rPr>
        <w:t>80%</w:t>
      </w:r>
      <w:r>
        <w:rPr>
          <w:rFonts w:hint="eastAsia" w:ascii="宋体" w:hAnsi="宋体" w:eastAsia="宋体" w:cs="宋体"/>
          <w:color w:val="000000"/>
          <w:kern w:val="0"/>
          <w:sz w:val="24"/>
          <w:szCs w:val="24"/>
          <w:lang w:val="en-US" w:eastAsia="zh-CN" w:bidi="ar"/>
        </w:rPr>
        <w:t>采用了</w:t>
      </w:r>
      <w:r>
        <w:rPr>
          <w:rFonts w:hint="default" w:ascii="Times New Roman" w:hAnsi="Times New Roman" w:eastAsia="宋体" w:cs="Times New Roman"/>
          <w:color w:val="000000"/>
          <w:kern w:val="0"/>
          <w:sz w:val="24"/>
          <w:szCs w:val="24"/>
          <w:lang w:val="en-US" w:eastAsia="zh-CN" w:bidi="ar"/>
        </w:rPr>
        <w:t>SCR</w:t>
      </w:r>
      <w:r>
        <w:rPr>
          <w:rFonts w:hint="eastAsia" w:ascii="宋体" w:hAnsi="宋体" w:eastAsia="宋体" w:cs="宋体"/>
          <w:color w:val="000000"/>
          <w:kern w:val="0"/>
          <w:sz w:val="24"/>
          <w:szCs w:val="24"/>
          <w:lang w:val="en-US" w:eastAsia="zh-CN" w:bidi="ar"/>
        </w:rPr>
        <w:t xml:space="preserve">工艺，该工艺技术成熟，在全世界脱硝方法中占主导地位。 </w:t>
      </w:r>
    </w:p>
    <w:p w14:paraId="273ED027">
      <w:pPr>
        <w:keepNext w:val="0"/>
        <w:keepLines w:val="0"/>
        <w:widowControl/>
        <w:suppressLineNumbers w:val="0"/>
        <w:ind w:firstLine="480" w:firstLineChars="200"/>
        <w:jc w:val="left"/>
      </w:pPr>
      <w:r>
        <w:rPr>
          <w:rFonts w:hint="default" w:ascii="FZSongS-Extended" w:hAnsi="FZSongS-Extended" w:eastAsia="FZSongS-Extended" w:cs="FZSongS-Extended"/>
          <w:color w:val="000000"/>
          <w:kern w:val="0"/>
          <w:sz w:val="24"/>
          <w:szCs w:val="24"/>
          <w:lang w:val="en-US" w:eastAsia="zh-CN" w:bidi="ar"/>
        </w:rPr>
        <w:t>②</w:t>
      </w:r>
      <w:r>
        <w:rPr>
          <w:rFonts w:hint="eastAsia" w:ascii="宋体" w:hAnsi="宋体" w:eastAsia="宋体" w:cs="宋体"/>
          <w:color w:val="000000"/>
          <w:kern w:val="0"/>
          <w:sz w:val="24"/>
          <w:szCs w:val="24"/>
          <w:lang w:val="en-US" w:eastAsia="zh-CN" w:bidi="ar"/>
        </w:rPr>
        <w:t>选择性非催化还原法（</w:t>
      </w:r>
      <w:r>
        <w:rPr>
          <w:rFonts w:hint="default" w:ascii="Times New Roman" w:hAnsi="Times New Roman" w:eastAsia="宋体" w:cs="Times New Roman"/>
          <w:color w:val="000000"/>
          <w:kern w:val="0"/>
          <w:sz w:val="24"/>
          <w:szCs w:val="24"/>
          <w:lang w:val="en-US" w:eastAsia="zh-CN" w:bidi="ar"/>
        </w:rPr>
        <w:t>SNCR</w:t>
      </w:r>
      <w:r>
        <w:rPr>
          <w:rFonts w:hint="eastAsia" w:ascii="宋体" w:hAnsi="宋体" w:eastAsia="宋体" w:cs="宋体"/>
          <w:color w:val="000000"/>
          <w:kern w:val="0"/>
          <w:sz w:val="24"/>
          <w:szCs w:val="24"/>
          <w:lang w:val="en-US" w:eastAsia="zh-CN" w:bidi="ar"/>
        </w:rPr>
        <w:t xml:space="preserve">） </w:t>
      </w:r>
    </w:p>
    <w:p w14:paraId="2A50A4D4">
      <w:pPr>
        <w:keepNext w:val="0"/>
        <w:keepLines w:val="0"/>
        <w:widowControl/>
        <w:suppressLineNumbers w:val="0"/>
        <w:ind w:firstLine="480" w:firstLineChars="200"/>
        <w:jc w:val="left"/>
      </w:pPr>
      <w:r>
        <w:rPr>
          <w:rFonts w:hint="eastAsia" w:ascii="宋体" w:hAnsi="宋体" w:eastAsia="宋体" w:cs="宋体"/>
          <w:color w:val="000000"/>
          <w:kern w:val="0"/>
          <w:sz w:val="24"/>
          <w:szCs w:val="24"/>
          <w:lang w:val="en-US" w:eastAsia="zh-CN" w:bidi="ar"/>
        </w:rPr>
        <w:t>选择性非催化还原法（</w:t>
      </w:r>
      <w:r>
        <w:rPr>
          <w:rFonts w:hint="default" w:ascii="Times New Roman" w:hAnsi="Times New Roman" w:eastAsia="宋体" w:cs="Times New Roman"/>
          <w:color w:val="000000"/>
          <w:kern w:val="0"/>
          <w:sz w:val="24"/>
          <w:szCs w:val="24"/>
          <w:lang w:val="en-US" w:eastAsia="zh-CN" w:bidi="ar"/>
        </w:rPr>
        <w:t>SNCR</w:t>
      </w:r>
      <w:r>
        <w:rPr>
          <w:rFonts w:hint="eastAsia" w:ascii="宋体" w:hAnsi="宋体" w:eastAsia="宋体" w:cs="宋体"/>
          <w:color w:val="000000"/>
          <w:kern w:val="0"/>
          <w:sz w:val="24"/>
          <w:szCs w:val="24"/>
          <w:lang w:val="en-US" w:eastAsia="zh-CN" w:bidi="ar"/>
        </w:rPr>
        <w:t>）是当前</w:t>
      </w:r>
      <w:r>
        <w:rPr>
          <w:rFonts w:hint="default" w:ascii="Times New Roman" w:hAnsi="Times New Roman" w:eastAsia="宋体" w:cs="Times New Roman"/>
          <w:color w:val="000000"/>
          <w:kern w:val="0"/>
          <w:sz w:val="24"/>
          <w:szCs w:val="24"/>
          <w:lang w:val="en-US" w:eastAsia="zh-CN" w:bidi="ar"/>
        </w:rPr>
        <w:t>NO</w:t>
      </w:r>
      <w:r>
        <w:rPr>
          <w:rFonts w:hint="default" w:ascii="Times New Roman" w:hAnsi="Times New Roman" w:eastAsia="宋体" w:cs="Times New Roman"/>
          <w:color w:val="000000"/>
          <w:kern w:val="0"/>
          <w:sz w:val="15"/>
          <w:szCs w:val="15"/>
          <w:lang w:val="en-US" w:eastAsia="zh-CN" w:bidi="ar"/>
        </w:rPr>
        <w:t>X</w:t>
      </w:r>
      <w:r>
        <w:rPr>
          <w:rFonts w:hint="eastAsia" w:ascii="宋体" w:hAnsi="宋体" w:eastAsia="宋体" w:cs="宋体"/>
          <w:color w:val="000000"/>
          <w:kern w:val="0"/>
          <w:sz w:val="24"/>
          <w:szCs w:val="24"/>
          <w:lang w:val="en-US" w:eastAsia="zh-CN" w:bidi="ar"/>
        </w:rPr>
        <w:t>治理采用的技术之一，脱硝效率可达到</w:t>
      </w:r>
      <w:r>
        <w:rPr>
          <w:rFonts w:hint="default" w:ascii="Times New Roman" w:hAnsi="Times New Roman" w:eastAsia="宋体" w:cs="Times New Roman"/>
          <w:color w:val="000000"/>
          <w:kern w:val="0"/>
          <w:sz w:val="24"/>
          <w:szCs w:val="24"/>
          <w:lang w:val="en-US" w:eastAsia="zh-CN" w:bidi="ar"/>
        </w:rPr>
        <w:t>40%</w:t>
      </w:r>
      <w:r>
        <w:rPr>
          <w:rFonts w:hint="eastAsia" w:ascii="宋体" w:hAnsi="宋体" w:eastAsia="宋体" w:cs="宋体"/>
          <w:color w:val="000000"/>
          <w:kern w:val="0"/>
          <w:sz w:val="24"/>
          <w:szCs w:val="24"/>
          <w:lang w:val="en-US" w:eastAsia="zh-CN" w:bidi="ar"/>
        </w:rPr>
        <w:t>～</w:t>
      </w:r>
      <w:r>
        <w:rPr>
          <w:rFonts w:hint="default" w:ascii="Times New Roman" w:hAnsi="Times New Roman" w:eastAsia="宋体" w:cs="Times New Roman"/>
          <w:color w:val="000000"/>
          <w:kern w:val="0"/>
          <w:sz w:val="24"/>
          <w:szCs w:val="24"/>
          <w:lang w:val="en-US" w:eastAsia="zh-CN" w:bidi="ar"/>
        </w:rPr>
        <w:t>50%</w:t>
      </w:r>
      <w:r>
        <w:rPr>
          <w:rFonts w:hint="eastAsia" w:ascii="宋体" w:hAnsi="宋体" w:eastAsia="宋体" w:cs="宋体"/>
          <w:color w:val="000000"/>
          <w:kern w:val="0"/>
          <w:sz w:val="24"/>
          <w:szCs w:val="24"/>
          <w:lang w:val="en-US" w:eastAsia="zh-CN" w:bidi="ar"/>
        </w:rPr>
        <w:t>。</w:t>
      </w:r>
      <w:r>
        <w:rPr>
          <w:rFonts w:hint="default" w:ascii="Times New Roman" w:hAnsi="Times New Roman" w:eastAsia="宋体" w:cs="Times New Roman"/>
          <w:color w:val="000000"/>
          <w:kern w:val="0"/>
          <w:sz w:val="24"/>
          <w:szCs w:val="24"/>
          <w:lang w:val="en-US" w:eastAsia="zh-CN" w:bidi="ar"/>
        </w:rPr>
        <w:t xml:space="preserve">SNCR </w:t>
      </w:r>
      <w:r>
        <w:rPr>
          <w:rFonts w:hint="eastAsia" w:ascii="宋体" w:hAnsi="宋体" w:eastAsia="宋体" w:cs="宋体"/>
          <w:color w:val="000000"/>
          <w:kern w:val="0"/>
          <w:sz w:val="24"/>
          <w:szCs w:val="24"/>
          <w:lang w:val="en-US" w:eastAsia="zh-CN" w:bidi="ar"/>
        </w:rPr>
        <w:t>通过注入</w:t>
      </w:r>
      <w:r>
        <w:rPr>
          <w:rFonts w:hint="default" w:ascii="Times New Roman" w:hAnsi="Times New Roman" w:eastAsia="宋体" w:cs="Times New Roman"/>
          <w:color w:val="000000"/>
          <w:kern w:val="0"/>
          <w:sz w:val="24"/>
          <w:szCs w:val="24"/>
          <w:lang w:val="en-US" w:eastAsia="zh-CN" w:bidi="ar"/>
        </w:rPr>
        <w:t>NH</w:t>
      </w:r>
      <w:r>
        <w:rPr>
          <w:rFonts w:hint="default" w:ascii="Times New Roman" w:hAnsi="Times New Roman" w:eastAsia="宋体" w:cs="Times New Roman"/>
          <w:color w:val="000000"/>
          <w:kern w:val="0"/>
          <w:sz w:val="15"/>
          <w:szCs w:val="15"/>
          <w:lang w:val="en-US" w:eastAsia="zh-CN" w:bidi="ar"/>
        </w:rPr>
        <w:t>3</w:t>
      </w:r>
      <w:r>
        <w:rPr>
          <w:rFonts w:hint="eastAsia" w:ascii="宋体" w:hAnsi="宋体" w:eastAsia="宋体" w:cs="宋体"/>
          <w:color w:val="000000"/>
          <w:kern w:val="0"/>
          <w:sz w:val="24"/>
          <w:szCs w:val="24"/>
          <w:lang w:val="en-US" w:eastAsia="zh-CN" w:bidi="ar"/>
        </w:rPr>
        <w:t xml:space="preserve">或尿素等还原剂在没有催化剂的情况下发生还原反应。 </w:t>
      </w:r>
    </w:p>
    <w:p w14:paraId="33FC79A5">
      <w:pPr>
        <w:keepNext w:val="0"/>
        <w:keepLines w:val="0"/>
        <w:widowControl/>
        <w:suppressLineNumbers w:val="0"/>
        <w:ind w:firstLine="480" w:firstLineChars="200"/>
        <w:jc w:val="left"/>
      </w:pPr>
      <w:r>
        <w:rPr>
          <w:rFonts w:hint="default" w:ascii="Times New Roman" w:hAnsi="Times New Roman" w:eastAsia="宋体" w:cs="Times New Roman"/>
          <w:color w:val="000000"/>
          <w:kern w:val="0"/>
          <w:sz w:val="24"/>
          <w:szCs w:val="24"/>
          <w:lang w:val="en-US" w:eastAsia="zh-CN" w:bidi="ar"/>
        </w:rPr>
        <w:t xml:space="preserve">SNCR </w:t>
      </w:r>
      <w:r>
        <w:rPr>
          <w:rFonts w:hint="eastAsia" w:ascii="宋体" w:hAnsi="宋体" w:eastAsia="宋体" w:cs="宋体"/>
          <w:color w:val="000000"/>
          <w:kern w:val="0"/>
          <w:sz w:val="24"/>
          <w:szCs w:val="24"/>
          <w:lang w:val="en-US" w:eastAsia="zh-CN" w:bidi="ar"/>
        </w:rPr>
        <w:t xml:space="preserve">通过烟道气流中产生的氨自由基与 </w:t>
      </w:r>
      <w:r>
        <w:rPr>
          <w:rFonts w:hint="default" w:ascii="Times New Roman" w:hAnsi="Times New Roman" w:eastAsia="宋体" w:cs="Times New Roman"/>
          <w:color w:val="000000"/>
          <w:kern w:val="0"/>
          <w:sz w:val="24"/>
          <w:szCs w:val="24"/>
          <w:lang w:val="en-US" w:eastAsia="zh-CN" w:bidi="ar"/>
        </w:rPr>
        <w:t>NO</w:t>
      </w:r>
      <w:r>
        <w:rPr>
          <w:rFonts w:hint="default" w:ascii="Times New Roman" w:hAnsi="Times New Roman" w:eastAsia="宋体" w:cs="Times New Roman"/>
          <w:color w:val="000000"/>
          <w:kern w:val="0"/>
          <w:sz w:val="15"/>
          <w:szCs w:val="15"/>
          <w:lang w:val="en-US" w:eastAsia="zh-CN" w:bidi="ar"/>
        </w:rPr>
        <w:t>X</w:t>
      </w:r>
      <w:r>
        <w:rPr>
          <w:rFonts w:hint="eastAsia" w:ascii="宋体" w:hAnsi="宋体" w:eastAsia="宋体" w:cs="宋体"/>
          <w:color w:val="000000"/>
          <w:kern w:val="0"/>
          <w:sz w:val="24"/>
          <w:szCs w:val="24"/>
          <w:lang w:val="en-US" w:eastAsia="zh-CN" w:bidi="ar"/>
        </w:rPr>
        <w:t>反应，达到去除</w:t>
      </w:r>
      <w:r>
        <w:rPr>
          <w:rFonts w:hint="default" w:ascii="Times New Roman" w:hAnsi="Times New Roman" w:eastAsia="宋体" w:cs="Times New Roman"/>
          <w:color w:val="000000"/>
          <w:kern w:val="0"/>
          <w:sz w:val="24"/>
          <w:szCs w:val="24"/>
          <w:lang w:val="en-US" w:eastAsia="zh-CN" w:bidi="ar"/>
        </w:rPr>
        <w:t>NO</w:t>
      </w:r>
      <w:r>
        <w:rPr>
          <w:rFonts w:hint="default" w:ascii="Times New Roman" w:hAnsi="Times New Roman" w:eastAsia="宋体" w:cs="Times New Roman"/>
          <w:color w:val="000000"/>
          <w:kern w:val="0"/>
          <w:sz w:val="15"/>
          <w:szCs w:val="15"/>
          <w:lang w:val="en-US" w:eastAsia="zh-CN" w:bidi="ar"/>
        </w:rPr>
        <w:t>X</w:t>
      </w:r>
      <w:r>
        <w:rPr>
          <w:rFonts w:hint="eastAsia" w:ascii="宋体" w:hAnsi="宋体" w:eastAsia="宋体" w:cs="宋体"/>
          <w:color w:val="000000"/>
          <w:kern w:val="0"/>
          <w:sz w:val="24"/>
          <w:szCs w:val="24"/>
          <w:lang w:val="en-US" w:eastAsia="zh-CN" w:bidi="ar"/>
        </w:rPr>
        <w:t>的目的，反应主要发生在</w:t>
      </w:r>
      <w:r>
        <w:rPr>
          <w:rFonts w:hint="default" w:ascii="Times New Roman" w:hAnsi="Times New Roman" w:eastAsia="宋体" w:cs="Times New Roman"/>
          <w:color w:val="000000"/>
          <w:kern w:val="0"/>
          <w:sz w:val="24"/>
          <w:szCs w:val="24"/>
          <w:lang w:val="en-US" w:eastAsia="zh-CN" w:bidi="ar"/>
        </w:rPr>
        <w:t>850</w:t>
      </w:r>
      <w:r>
        <w:rPr>
          <w:rFonts w:hint="default" w:ascii="FZSongS-Extended" w:hAnsi="FZSongS-Extended" w:eastAsia="FZSongS-Extended" w:cs="FZSongS-Extended"/>
          <w:color w:val="000000"/>
          <w:kern w:val="0"/>
          <w:sz w:val="24"/>
          <w:szCs w:val="24"/>
          <w:lang w:val="en-US" w:eastAsia="zh-CN" w:bidi="ar"/>
        </w:rPr>
        <w:t>℃</w:t>
      </w:r>
      <w:r>
        <w:rPr>
          <w:rFonts w:hint="eastAsia" w:ascii="宋体" w:hAnsi="宋体" w:eastAsia="宋体" w:cs="宋体"/>
          <w:color w:val="000000"/>
          <w:kern w:val="0"/>
          <w:sz w:val="24"/>
          <w:szCs w:val="24"/>
          <w:lang w:val="en-US" w:eastAsia="zh-CN" w:bidi="ar"/>
        </w:rPr>
        <w:t>～</w:t>
      </w:r>
      <w:r>
        <w:rPr>
          <w:rFonts w:hint="default" w:ascii="Times New Roman" w:hAnsi="Times New Roman" w:eastAsia="宋体" w:cs="Times New Roman"/>
          <w:color w:val="000000"/>
          <w:kern w:val="0"/>
          <w:sz w:val="24"/>
          <w:szCs w:val="24"/>
          <w:lang w:val="en-US" w:eastAsia="zh-CN" w:bidi="ar"/>
        </w:rPr>
        <w:t>1000</w:t>
      </w:r>
      <w:r>
        <w:rPr>
          <w:rFonts w:hint="default" w:ascii="FZSongS-Extended" w:hAnsi="FZSongS-Extended" w:eastAsia="FZSongS-Extended" w:cs="FZSongS-Extended"/>
          <w:color w:val="000000"/>
          <w:kern w:val="0"/>
          <w:sz w:val="24"/>
          <w:szCs w:val="24"/>
          <w:lang w:val="en-US" w:eastAsia="zh-CN" w:bidi="ar"/>
        </w:rPr>
        <w:t>℃</w:t>
      </w:r>
      <w:r>
        <w:rPr>
          <w:rFonts w:hint="eastAsia" w:ascii="宋体" w:hAnsi="宋体" w:eastAsia="宋体" w:cs="宋体"/>
          <w:color w:val="000000"/>
          <w:kern w:val="0"/>
          <w:sz w:val="24"/>
          <w:szCs w:val="24"/>
          <w:lang w:val="en-US" w:eastAsia="zh-CN" w:bidi="ar"/>
        </w:rPr>
        <w:t>的温度范围内，当温度更高时</w:t>
      </w:r>
      <w:r>
        <w:rPr>
          <w:rFonts w:hint="default" w:ascii="Times New Roman" w:hAnsi="Times New Roman" w:eastAsia="宋体" w:cs="Times New Roman"/>
          <w:color w:val="000000"/>
          <w:kern w:val="0"/>
          <w:sz w:val="24"/>
          <w:szCs w:val="24"/>
          <w:lang w:val="en-US" w:eastAsia="zh-CN" w:bidi="ar"/>
        </w:rPr>
        <w:t>NH</w:t>
      </w:r>
      <w:r>
        <w:rPr>
          <w:rFonts w:hint="default" w:ascii="Times New Roman" w:hAnsi="Times New Roman" w:eastAsia="宋体" w:cs="Times New Roman"/>
          <w:color w:val="000000"/>
          <w:kern w:val="0"/>
          <w:sz w:val="15"/>
          <w:szCs w:val="15"/>
          <w:lang w:val="en-US" w:eastAsia="zh-CN" w:bidi="ar"/>
        </w:rPr>
        <w:t>3</w:t>
      </w:r>
      <w:r>
        <w:rPr>
          <w:rFonts w:hint="eastAsia" w:ascii="宋体" w:hAnsi="宋体" w:eastAsia="宋体" w:cs="宋体"/>
          <w:color w:val="000000"/>
          <w:kern w:val="0"/>
          <w:sz w:val="24"/>
          <w:szCs w:val="24"/>
          <w:lang w:val="en-US" w:eastAsia="zh-CN" w:bidi="ar"/>
        </w:rPr>
        <w:t>被氧化为</w:t>
      </w:r>
      <w:r>
        <w:rPr>
          <w:rFonts w:hint="default" w:ascii="Times New Roman" w:hAnsi="Times New Roman" w:eastAsia="宋体" w:cs="Times New Roman"/>
          <w:color w:val="000000"/>
          <w:kern w:val="0"/>
          <w:sz w:val="24"/>
          <w:szCs w:val="24"/>
          <w:lang w:val="en-US" w:eastAsia="zh-CN" w:bidi="ar"/>
        </w:rPr>
        <w:t>NO</w:t>
      </w:r>
      <w:r>
        <w:rPr>
          <w:rFonts w:hint="default" w:ascii="Times New Roman" w:hAnsi="Times New Roman" w:eastAsia="宋体" w:cs="Times New Roman"/>
          <w:color w:val="000000"/>
          <w:kern w:val="0"/>
          <w:sz w:val="15"/>
          <w:szCs w:val="15"/>
          <w:lang w:val="en-US" w:eastAsia="zh-CN" w:bidi="ar"/>
        </w:rPr>
        <w:t>X</w:t>
      </w:r>
      <w:r>
        <w:rPr>
          <w:rFonts w:hint="eastAsia" w:ascii="宋体" w:hAnsi="宋体" w:eastAsia="宋体" w:cs="宋体"/>
          <w:color w:val="000000"/>
          <w:kern w:val="0"/>
          <w:sz w:val="24"/>
          <w:szCs w:val="24"/>
          <w:lang w:val="en-US" w:eastAsia="zh-CN" w:bidi="ar"/>
        </w:rPr>
        <w:t>，低于反应温度时</w:t>
      </w:r>
      <w:r>
        <w:rPr>
          <w:rFonts w:hint="default" w:ascii="Times New Roman" w:hAnsi="Times New Roman" w:eastAsia="宋体" w:cs="Times New Roman"/>
          <w:color w:val="000000"/>
          <w:kern w:val="0"/>
          <w:sz w:val="24"/>
          <w:szCs w:val="24"/>
          <w:lang w:val="en-US" w:eastAsia="zh-CN" w:bidi="ar"/>
        </w:rPr>
        <w:t>NO</w:t>
      </w:r>
      <w:r>
        <w:rPr>
          <w:rFonts w:hint="default" w:ascii="Times New Roman" w:hAnsi="Times New Roman" w:eastAsia="宋体" w:cs="Times New Roman"/>
          <w:color w:val="000000"/>
          <w:kern w:val="0"/>
          <w:sz w:val="15"/>
          <w:szCs w:val="15"/>
          <w:lang w:val="en-US" w:eastAsia="zh-CN" w:bidi="ar"/>
        </w:rPr>
        <w:t>X</w:t>
      </w:r>
      <w:r>
        <w:rPr>
          <w:rFonts w:hint="eastAsia" w:ascii="宋体" w:hAnsi="宋体" w:eastAsia="宋体" w:cs="宋体"/>
          <w:color w:val="000000"/>
          <w:kern w:val="0"/>
          <w:sz w:val="24"/>
          <w:szCs w:val="24"/>
          <w:lang w:val="en-US" w:eastAsia="zh-CN" w:bidi="ar"/>
        </w:rPr>
        <w:t>反应效率降低，因此在</w:t>
      </w:r>
      <w:r>
        <w:rPr>
          <w:rFonts w:hint="default" w:ascii="Times New Roman" w:hAnsi="Times New Roman" w:eastAsia="宋体" w:cs="Times New Roman"/>
          <w:color w:val="000000"/>
          <w:kern w:val="0"/>
          <w:sz w:val="24"/>
          <w:szCs w:val="24"/>
          <w:lang w:val="en-US" w:eastAsia="zh-CN" w:bidi="ar"/>
        </w:rPr>
        <w:t>SNCR</w:t>
      </w:r>
      <w:r>
        <w:rPr>
          <w:rFonts w:hint="eastAsia" w:ascii="宋体" w:hAnsi="宋体" w:eastAsia="宋体" w:cs="宋体"/>
          <w:color w:val="000000"/>
          <w:kern w:val="0"/>
          <w:sz w:val="24"/>
          <w:szCs w:val="24"/>
          <w:lang w:val="en-US" w:eastAsia="zh-CN" w:bidi="ar"/>
        </w:rPr>
        <w:t>中温度的控制是致关重要的。由于没有催化剂加速反应，故其操作温度高于</w:t>
      </w:r>
      <w:r>
        <w:rPr>
          <w:rFonts w:hint="default" w:ascii="Times New Roman" w:hAnsi="Times New Roman" w:eastAsia="宋体" w:cs="Times New Roman"/>
          <w:color w:val="000000"/>
          <w:kern w:val="0"/>
          <w:sz w:val="24"/>
          <w:szCs w:val="24"/>
          <w:lang w:val="en-US" w:eastAsia="zh-CN" w:bidi="ar"/>
        </w:rPr>
        <w:t>SCR</w:t>
      </w:r>
      <w:r>
        <w:rPr>
          <w:rFonts w:hint="eastAsia" w:ascii="宋体" w:hAnsi="宋体" w:eastAsia="宋体" w:cs="宋体"/>
          <w:color w:val="000000"/>
          <w:kern w:val="0"/>
          <w:sz w:val="24"/>
          <w:szCs w:val="24"/>
          <w:lang w:val="en-US" w:eastAsia="zh-CN" w:bidi="ar"/>
        </w:rPr>
        <w:t>法。为避免</w:t>
      </w:r>
      <w:r>
        <w:rPr>
          <w:rFonts w:hint="default" w:ascii="Times New Roman" w:hAnsi="Times New Roman" w:eastAsia="宋体" w:cs="Times New Roman"/>
          <w:color w:val="000000"/>
          <w:kern w:val="0"/>
          <w:sz w:val="24"/>
          <w:szCs w:val="24"/>
          <w:lang w:val="en-US" w:eastAsia="zh-CN" w:bidi="ar"/>
        </w:rPr>
        <w:t>NH</w:t>
      </w:r>
      <w:r>
        <w:rPr>
          <w:rFonts w:hint="default" w:ascii="Times New Roman" w:hAnsi="Times New Roman" w:eastAsia="宋体" w:cs="Times New Roman"/>
          <w:color w:val="000000"/>
          <w:kern w:val="0"/>
          <w:sz w:val="15"/>
          <w:szCs w:val="15"/>
          <w:lang w:val="en-US" w:eastAsia="zh-CN" w:bidi="ar"/>
        </w:rPr>
        <w:t>3</w:t>
      </w:r>
      <w:r>
        <w:rPr>
          <w:rFonts w:hint="eastAsia" w:ascii="宋体" w:hAnsi="宋体" w:eastAsia="宋体" w:cs="宋体"/>
          <w:color w:val="000000"/>
          <w:kern w:val="0"/>
          <w:sz w:val="24"/>
          <w:szCs w:val="24"/>
          <w:lang w:val="en-US" w:eastAsia="zh-CN" w:bidi="ar"/>
        </w:rPr>
        <w:t>被氧化，温度又不宜过高。</w:t>
      </w:r>
    </w:p>
    <w:p w14:paraId="2E5AB3F5">
      <w:pPr>
        <w:keepNext w:val="0"/>
        <w:keepLines w:val="0"/>
        <w:widowControl/>
        <w:suppressLineNumbers w:val="0"/>
        <w:ind w:firstLine="480" w:firstLineChars="200"/>
        <w:jc w:val="left"/>
      </w:pPr>
      <w:r>
        <w:rPr>
          <w:rFonts w:ascii="FZSongS-Extended" w:hAnsi="FZSongS-Extended" w:eastAsia="FZSongS-Extended" w:cs="FZSongS-Extended"/>
          <w:color w:val="000000"/>
          <w:kern w:val="0"/>
          <w:sz w:val="24"/>
          <w:szCs w:val="24"/>
          <w:lang w:val="en-US" w:eastAsia="zh-CN" w:bidi="ar"/>
        </w:rPr>
        <w:t>③</w:t>
      </w:r>
      <w:r>
        <w:rPr>
          <w:rFonts w:hint="eastAsia" w:ascii="宋体" w:hAnsi="宋体" w:eastAsia="宋体" w:cs="宋体"/>
          <w:color w:val="000000"/>
          <w:kern w:val="0"/>
          <w:sz w:val="24"/>
          <w:szCs w:val="24"/>
          <w:lang w:val="en-US" w:eastAsia="zh-CN" w:bidi="ar"/>
        </w:rPr>
        <w:t xml:space="preserve">工艺对比分析 </w:t>
      </w:r>
    </w:p>
    <w:p w14:paraId="650E8E99">
      <w:pPr>
        <w:keepNext w:val="0"/>
        <w:keepLines w:val="0"/>
        <w:widowControl/>
        <w:suppressLineNumbers w:val="0"/>
        <w:ind w:firstLine="480" w:firstLineChars="200"/>
        <w:jc w:val="left"/>
      </w:pPr>
      <w:r>
        <w:rPr>
          <w:rFonts w:hint="eastAsia" w:ascii="宋体" w:hAnsi="宋体" w:eastAsia="宋体" w:cs="宋体"/>
          <w:color w:val="000000"/>
          <w:kern w:val="0"/>
          <w:sz w:val="24"/>
          <w:szCs w:val="24"/>
          <w:lang w:val="en-US" w:eastAsia="zh-CN" w:bidi="ar"/>
        </w:rPr>
        <w:t>本工程从技术成熟、脱硝效率、运行成本等方面对选择性催化还原法（</w:t>
      </w:r>
      <w:r>
        <w:rPr>
          <w:rFonts w:hint="default" w:ascii="Times New Roman" w:hAnsi="Times New Roman" w:eastAsia="宋体" w:cs="Times New Roman"/>
          <w:color w:val="000000"/>
          <w:kern w:val="0"/>
          <w:sz w:val="24"/>
          <w:szCs w:val="24"/>
          <w:lang w:val="en-US" w:eastAsia="zh-CN" w:bidi="ar"/>
        </w:rPr>
        <w:t>SCR</w:t>
      </w:r>
      <w:r>
        <w:rPr>
          <w:rFonts w:hint="eastAsia" w:ascii="宋体" w:hAnsi="宋体" w:eastAsia="宋体" w:cs="宋体"/>
          <w:color w:val="000000"/>
          <w:kern w:val="0"/>
          <w:sz w:val="24"/>
          <w:szCs w:val="24"/>
          <w:lang w:val="en-US" w:eastAsia="zh-CN" w:bidi="ar"/>
        </w:rPr>
        <w:t>）及选择性非催化还原法（</w:t>
      </w:r>
      <w:r>
        <w:rPr>
          <w:rFonts w:hint="default" w:ascii="Times New Roman" w:hAnsi="Times New Roman" w:eastAsia="宋体" w:cs="Times New Roman"/>
          <w:color w:val="000000"/>
          <w:kern w:val="0"/>
          <w:sz w:val="24"/>
          <w:szCs w:val="24"/>
          <w:lang w:val="en-US" w:eastAsia="zh-CN" w:bidi="ar"/>
        </w:rPr>
        <w:t>SNCR</w:t>
      </w:r>
      <w:r>
        <w:rPr>
          <w:rFonts w:hint="eastAsia" w:ascii="宋体" w:hAnsi="宋体" w:eastAsia="宋体" w:cs="宋体"/>
          <w:color w:val="000000"/>
          <w:kern w:val="0"/>
          <w:sz w:val="24"/>
          <w:szCs w:val="24"/>
          <w:lang w:val="en-US" w:eastAsia="zh-CN" w:bidi="ar"/>
        </w:rPr>
        <w:t xml:space="preserve">）进行对比分析，见下表： </w:t>
      </w:r>
    </w:p>
    <w:p w14:paraId="1125A160">
      <w:pPr>
        <w:keepNext w:val="0"/>
        <w:keepLines w:val="0"/>
        <w:widowControl/>
        <w:suppressLineNumbers w:val="0"/>
        <w:jc w:val="center"/>
      </w:pPr>
      <w:r>
        <w:rPr>
          <w:rFonts w:hint="eastAsia" w:ascii="宋体" w:hAnsi="宋体" w:eastAsia="宋体" w:cs="宋体"/>
          <w:b/>
          <w:bCs/>
          <w:color w:val="000000"/>
          <w:kern w:val="0"/>
          <w:sz w:val="24"/>
          <w:szCs w:val="24"/>
          <w:lang w:val="en-US" w:eastAsia="zh-CN" w:bidi="ar"/>
        </w:rPr>
        <w:t>表 7.2-3 脱硝工艺比较表</w:t>
      </w:r>
    </w:p>
    <w:tbl>
      <w:tblPr>
        <w:tblStyle w:val="56"/>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2198"/>
        <w:gridCol w:w="3075"/>
        <w:gridCol w:w="3448"/>
      </w:tblGrid>
      <w:tr w14:paraId="47CD65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0" w:type="auto"/>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243AE31E">
            <w:pPr>
              <w:jc w:val="center"/>
              <w:rPr>
                <w:b/>
              </w:rPr>
            </w:pPr>
            <w:r>
              <w:rPr>
                <w:b/>
              </w:rPr>
              <w:t>工艺方案项目</w:t>
            </w:r>
          </w:p>
        </w:tc>
        <w:tc>
          <w:tcPr>
            <w:tcW w:w="0" w:type="auto"/>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49BA0038">
            <w:pPr>
              <w:jc w:val="center"/>
              <w:rPr>
                <w:b/>
              </w:rPr>
            </w:pPr>
            <w:r>
              <w:rPr>
                <w:b/>
              </w:rPr>
              <w:t>选择性催化还原法（SCR）</w:t>
            </w:r>
          </w:p>
        </w:tc>
        <w:tc>
          <w:tcPr>
            <w:tcW w:w="0" w:type="auto"/>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276F9EBE">
            <w:pPr>
              <w:jc w:val="center"/>
              <w:rPr>
                <w:b/>
              </w:rPr>
            </w:pPr>
            <w:r>
              <w:rPr>
                <w:b/>
              </w:rPr>
              <w:t>选择性非催化还原法（SNCR）</w:t>
            </w:r>
          </w:p>
        </w:tc>
      </w:tr>
      <w:tr w14:paraId="78FD42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0" w:type="auto"/>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39BE866D">
            <w:r>
              <w:t>技术成熟应用程度</w:t>
            </w:r>
          </w:p>
        </w:tc>
        <w:tc>
          <w:tcPr>
            <w:tcW w:w="0" w:type="auto"/>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45AC6458">
            <w:r>
              <w:t>成熟，市场占有80%</w:t>
            </w:r>
          </w:p>
        </w:tc>
        <w:tc>
          <w:tcPr>
            <w:tcW w:w="0" w:type="auto"/>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4D2982AE">
            <w:r>
              <w:t>成熟</w:t>
            </w:r>
          </w:p>
        </w:tc>
      </w:tr>
      <w:tr w14:paraId="11A7C7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0" w:type="auto"/>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032D9C8E">
            <w:r>
              <w:t>操作难易程度</w:t>
            </w:r>
          </w:p>
        </w:tc>
        <w:tc>
          <w:tcPr>
            <w:tcW w:w="0" w:type="auto"/>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177EFA1C">
            <w:r>
              <w:t>较简单</w:t>
            </w:r>
          </w:p>
        </w:tc>
        <w:tc>
          <w:tcPr>
            <w:tcW w:w="0" w:type="auto"/>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27105A72">
            <w:r>
              <w:t>较复杂</w:t>
            </w:r>
          </w:p>
        </w:tc>
      </w:tr>
      <w:tr w14:paraId="5C9825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0" w:type="auto"/>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54442984">
            <w:r>
              <w:t>能达到脱硝率</w:t>
            </w:r>
          </w:p>
        </w:tc>
        <w:tc>
          <w:tcPr>
            <w:tcW w:w="0" w:type="auto"/>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25012D27">
            <w:r>
              <w:t>85%以上（3层催化剂）</w:t>
            </w:r>
          </w:p>
        </w:tc>
        <w:tc>
          <w:tcPr>
            <w:tcW w:w="0" w:type="auto"/>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4EC1C926">
            <w:r>
              <w:t>40%~50%，低于SCR法</w:t>
            </w:r>
          </w:p>
        </w:tc>
      </w:tr>
      <w:tr w14:paraId="6A8FAF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0" w:type="auto"/>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46A044FD">
            <w:r>
              <w:t>脱硝剂种类</w:t>
            </w:r>
          </w:p>
        </w:tc>
        <w:tc>
          <w:tcPr>
            <w:tcW w:w="0" w:type="auto"/>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3A435CC2">
            <w:r>
              <w:t>NH</w:t>
            </w:r>
            <w:r>
              <w:rPr>
                <w:vertAlign w:val="subscript"/>
              </w:rPr>
              <w:t>3</w:t>
            </w:r>
            <w:r>
              <w:t>或尿素</w:t>
            </w:r>
          </w:p>
        </w:tc>
        <w:tc>
          <w:tcPr>
            <w:tcW w:w="0" w:type="auto"/>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474FB2A8">
            <w:r>
              <w:t>NH</w:t>
            </w:r>
            <w:r>
              <w:rPr>
                <w:vertAlign w:val="subscript"/>
              </w:rPr>
              <w:t>3</w:t>
            </w:r>
            <w:r>
              <w:t>或尿素</w:t>
            </w:r>
          </w:p>
        </w:tc>
      </w:tr>
      <w:tr w14:paraId="6A631B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0" w:type="auto"/>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493B979F">
            <w:r>
              <w:t>催化剂</w:t>
            </w:r>
          </w:p>
        </w:tc>
        <w:tc>
          <w:tcPr>
            <w:tcW w:w="0" w:type="auto"/>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6F4690B2">
            <w:r>
              <w:t>需要催化剂</w:t>
            </w:r>
          </w:p>
        </w:tc>
        <w:tc>
          <w:tcPr>
            <w:tcW w:w="0" w:type="auto"/>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6614759D">
            <w:r>
              <w:t>不需要</w:t>
            </w:r>
          </w:p>
        </w:tc>
      </w:tr>
      <w:tr w14:paraId="3E39FF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0" w:type="auto"/>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125987EB">
            <w:r>
              <w:t>运行成本</w:t>
            </w:r>
          </w:p>
        </w:tc>
        <w:tc>
          <w:tcPr>
            <w:tcW w:w="0" w:type="auto"/>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0F948286">
            <w:r>
              <w:t>较高</w:t>
            </w:r>
          </w:p>
        </w:tc>
        <w:tc>
          <w:tcPr>
            <w:tcW w:w="0" w:type="auto"/>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3C336391">
            <w:r>
              <w:t>约为SCR的1/5左右</w:t>
            </w:r>
          </w:p>
        </w:tc>
      </w:tr>
    </w:tbl>
    <w:p w14:paraId="19B2419B">
      <w:pPr>
        <w:keepNext w:val="0"/>
        <w:keepLines w:val="0"/>
        <w:widowControl/>
        <w:suppressLineNumbers w:val="0"/>
        <w:ind w:firstLine="480" w:firstLineChars="200"/>
        <w:jc w:val="left"/>
      </w:pPr>
      <w:r>
        <w:rPr>
          <w:rFonts w:hint="eastAsia" w:ascii="宋体" w:hAnsi="宋体" w:eastAsia="宋体" w:cs="宋体"/>
          <w:color w:val="000000"/>
          <w:kern w:val="0"/>
          <w:sz w:val="24"/>
          <w:szCs w:val="24"/>
          <w:lang w:val="en-US" w:eastAsia="zh-CN" w:bidi="ar"/>
        </w:rPr>
        <w:t xml:space="preserve">通过上表对比分析，SCR法具有应用技术成熟、市场占有率高、操作简易、脱硝效率高的特点，本工程脱硝工艺选用以氨作为还原剂的选择性催化还原法（SCR）。 </w:t>
      </w:r>
    </w:p>
    <w:p w14:paraId="0D69E602">
      <w:pPr>
        <w:keepNext w:val="0"/>
        <w:keepLines w:val="0"/>
        <w:widowControl/>
        <w:suppressLineNumbers w:val="0"/>
        <w:ind w:firstLine="480" w:firstLineChars="200"/>
        <w:jc w:val="left"/>
      </w:pPr>
      <w:r>
        <w:rPr>
          <w:rFonts w:hint="eastAsia" w:ascii="宋体" w:hAnsi="宋体" w:eastAsia="宋体" w:cs="宋体"/>
          <w:color w:val="000000"/>
          <w:kern w:val="0"/>
          <w:sz w:val="24"/>
          <w:szCs w:val="24"/>
          <w:lang w:val="en-US" w:eastAsia="zh-CN" w:bidi="ar"/>
        </w:rPr>
        <w:t>（3）本工程采用的脱硝工艺</w:t>
      </w:r>
    </w:p>
    <w:p w14:paraId="6FB99EC5">
      <w:pPr>
        <w:ind w:firstLine="480" w:firstLineChars="200"/>
        <w:jc w:val="left"/>
        <w:rPr>
          <w:rFonts w:hint="eastAsia"/>
        </w:rPr>
      </w:pPr>
      <w:r>
        <w:rPr>
          <w:rFonts w:hint="eastAsia"/>
        </w:rPr>
        <w:t>烟气垂直向上通过烟道，经过喷氨格栅和氨气充分混合再经导流板均匀分布后流入SCR反应器顶部，成垂直向下流入第 1 层催化剂。在催化剂的作用下，氨气有选择地把烟气中的NOx 还原为无毒无污染的氮气和水。通过吹灰器定时将积灰吹扫干净，避免造成催化剂失效导致脱硝效率的下降。反应器内的主要化学反应如下所示：</w:t>
      </w:r>
    </w:p>
    <w:p w14:paraId="4EC08301">
      <w:pPr>
        <w:ind w:firstLine="480" w:firstLineChars="200"/>
        <w:jc w:val="left"/>
        <w:rPr>
          <w:rFonts w:hint="eastAsia"/>
        </w:rPr>
      </w:pPr>
      <w:r>
        <w:rPr>
          <w:rFonts w:hint="eastAsia"/>
        </w:rPr>
        <w:t>4NH</w:t>
      </w:r>
      <w:r>
        <w:rPr>
          <w:rFonts w:hint="eastAsia"/>
          <w:vertAlign w:val="subscript"/>
        </w:rPr>
        <w:t>3</w:t>
      </w:r>
      <w:r>
        <w:rPr>
          <w:rFonts w:hint="eastAsia"/>
        </w:rPr>
        <w:t>+4NO+O</w:t>
      </w:r>
      <w:r>
        <w:rPr>
          <w:rFonts w:hint="eastAsia"/>
          <w:vertAlign w:val="subscript"/>
        </w:rPr>
        <w:t>2</w:t>
      </w:r>
      <w:r>
        <w:rPr>
          <w:rFonts w:hint="eastAsia"/>
        </w:rPr>
        <w:t>=4N</w:t>
      </w:r>
      <w:r>
        <w:rPr>
          <w:rFonts w:hint="eastAsia"/>
          <w:vertAlign w:val="subscript"/>
        </w:rPr>
        <w:t>2</w:t>
      </w:r>
      <w:r>
        <w:rPr>
          <w:rFonts w:hint="eastAsia"/>
        </w:rPr>
        <w:t>+6H</w:t>
      </w:r>
      <w:r>
        <w:rPr>
          <w:rFonts w:hint="eastAsia"/>
          <w:vertAlign w:val="subscript"/>
        </w:rPr>
        <w:t>2</w:t>
      </w:r>
      <w:r>
        <w:rPr>
          <w:rFonts w:hint="eastAsia"/>
        </w:rPr>
        <w:t>O</w:t>
      </w:r>
    </w:p>
    <w:p w14:paraId="5B50CAF0">
      <w:pPr>
        <w:ind w:firstLine="480" w:firstLineChars="200"/>
        <w:jc w:val="left"/>
        <w:rPr>
          <w:rFonts w:hint="eastAsia"/>
        </w:rPr>
      </w:pPr>
      <w:r>
        <w:rPr>
          <w:rFonts w:hint="eastAsia"/>
        </w:rPr>
        <w:t>8NH</w:t>
      </w:r>
      <w:r>
        <w:rPr>
          <w:rFonts w:hint="eastAsia"/>
          <w:vertAlign w:val="subscript"/>
        </w:rPr>
        <w:t>3</w:t>
      </w:r>
      <w:r>
        <w:rPr>
          <w:rFonts w:hint="eastAsia"/>
        </w:rPr>
        <w:t>+6NO</w:t>
      </w:r>
      <w:r>
        <w:rPr>
          <w:rFonts w:hint="eastAsia"/>
          <w:vertAlign w:val="subscript"/>
        </w:rPr>
        <w:t>2</w:t>
      </w:r>
      <w:r>
        <w:rPr>
          <w:rFonts w:hint="eastAsia"/>
        </w:rPr>
        <w:t>=7N</w:t>
      </w:r>
      <w:r>
        <w:rPr>
          <w:rFonts w:hint="eastAsia"/>
          <w:vertAlign w:val="subscript"/>
        </w:rPr>
        <w:t>2</w:t>
      </w:r>
      <w:r>
        <w:rPr>
          <w:rFonts w:hint="eastAsia"/>
        </w:rPr>
        <w:t>+12H</w:t>
      </w:r>
      <w:r>
        <w:rPr>
          <w:rFonts w:hint="eastAsia"/>
          <w:vertAlign w:val="subscript"/>
        </w:rPr>
        <w:t>2</w:t>
      </w:r>
      <w:r>
        <w:rPr>
          <w:rFonts w:hint="eastAsia"/>
        </w:rPr>
        <w:t>O</w:t>
      </w:r>
    </w:p>
    <w:p w14:paraId="1388FA23">
      <w:pPr>
        <w:ind w:firstLine="480" w:firstLineChars="200"/>
        <w:jc w:val="left"/>
        <w:rPr>
          <w:rFonts w:hint="eastAsia"/>
        </w:rPr>
      </w:pPr>
      <w:r>
        <w:rPr>
          <w:rFonts w:hint="eastAsia"/>
        </w:rPr>
        <w:t>SCR法脱硝为选择性催化还原法属于《钢铁行业烧结、球团工艺污染防治最佳可行性技术指南》（试行）和《排污许可证申请与核发技术规范 钢铁工业》（HJ846-2017）推荐的可行技术。项目采取 SCR 法（20%氨水作还原剂）对机头烟气中的 NOx 进行净化处理。在催化剂的作用下烟气中的 NOx 与氨发生催化还原反应，NOx 被还原成氮气和水蒸气，NOx 净化效率达 90%以上。</w:t>
      </w:r>
    </w:p>
    <w:p w14:paraId="03373AA0">
      <w:pPr>
        <w:ind w:firstLine="480" w:firstLineChars="200"/>
        <w:jc w:val="left"/>
        <w:rPr>
          <w:rFonts w:hint="eastAsia"/>
        </w:rPr>
      </w:pPr>
      <w:r>
        <w:rPr>
          <w:rFonts w:hint="eastAsia"/>
        </w:rPr>
        <w:t>项目采取的 SCR 脱硝工艺属于《排污许可证申请与核发技术规范钢铁工业》（HJ846-2017）中推荐的“其他排污单位、执行特别排放限值排污单位”的可行技术，技术较为成熟、运行工况稳定，烧结</w:t>
      </w:r>
      <w:r>
        <w:rPr>
          <w:rFonts w:hint="eastAsia"/>
          <w:lang w:eastAsia="zh-CN"/>
        </w:rPr>
        <w:t>、</w:t>
      </w:r>
      <w:r>
        <w:rPr>
          <w:rFonts w:hint="eastAsia"/>
          <w:lang w:val="en-US" w:eastAsia="zh-CN"/>
        </w:rPr>
        <w:t>竖炉</w:t>
      </w:r>
      <w:r>
        <w:rPr>
          <w:rFonts w:hint="eastAsia"/>
        </w:rPr>
        <w:t>烟气中 NOx 排放浓度满足《钢铁工业大气污染物超低排放标准》（DB13/2169-2018）超低排放限值要求。</w:t>
      </w:r>
    </w:p>
    <w:p w14:paraId="24CB1676">
      <w:pPr>
        <w:ind w:firstLine="480" w:firstLineChars="200"/>
        <w:jc w:val="left"/>
        <w:rPr>
          <w:rFonts w:hint="eastAsia"/>
        </w:rPr>
      </w:pPr>
      <w:r>
        <w:rPr>
          <w:rFonts w:hint="eastAsia"/>
        </w:rPr>
        <w:t>因此，拟建工程采取的氮氧化物治理措施可行。</w:t>
      </w:r>
    </w:p>
    <w:p w14:paraId="033A360C">
      <w:pPr>
        <w:keepNext w:val="0"/>
        <w:keepLines w:val="0"/>
        <w:widowControl/>
        <w:suppressLineNumbers w:val="0"/>
        <w:ind w:firstLine="480" w:firstLineChars="200"/>
        <w:jc w:val="left"/>
        <w:rPr>
          <w:rFonts w:hint="default" w:ascii="Times New Roman" w:hAnsi="Times New Roman" w:cs="Times New Roman"/>
        </w:rPr>
      </w:pPr>
      <w:r>
        <w:rPr>
          <w:rFonts w:hint="default" w:ascii="Times New Roman" w:hAnsi="Times New Roman" w:eastAsia="TimesNewRomanPS-BoldMT" w:cs="Times New Roman"/>
          <w:b/>
          <w:bCs/>
          <w:color w:val="000000"/>
          <w:kern w:val="0"/>
          <w:sz w:val="24"/>
          <w:szCs w:val="24"/>
          <w:lang w:val="en-US" w:eastAsia="zh-CN" w:bidi="ar"/>
        </w:rPr>
        <w:t>4</w:t>
      </w:r>
      <w:r>
        <w:rPr>
          <w:rFonts w:hint="default" w:ascii="Times New Roman" w:hAnsi="Times New Roman" w:eastAsia="宋体" w:cs="Times New Roman"/>
          <w:b/>
          <w:bCs/>
          <w:color w:val="000000"/>
          <w:kern w:val="0"/>
          <w:sz w:val="24"/>
          <w:szCs w:val="24"/>
          <w:lang w:val="en-US" w:eastAsia="zh-CN" w:bidi="ar"/>
        </w:rPr>
        <w:t xml:space="preserve">、氟化物控制措施 </w:t>
      </w:r>
    </w:p>
    <w:p w14:paraId="4E043DA7">
      <w:pPr>
        <w:keepNext w:val="0"/>
        <w:keepLines w:val="0"/>
        <w:widowControl/>
        <w:suppressLineNumbers w:val="0"/>
        <w:ind w:firstLine="480" w:firstLineChars="200"/>
        <w:jc w:val="left"/>
      </w:pPr>
      <w:r>
        <w:rPr>
          <w:rFonts w:hint="eastAsia" w:ascii="宋体" w:hAnsi="宋体" w:eastAsia="宋体" w:cs="宋体"/>
          <w:color w:val="000000"/>
          <w:kern w:val="0"/>
          <w:sz w:val="24"/>
          <w:szCs w:val="24"/>
          <w:lang w:val="en-US" w:eastAsia="zh-CN" w:bidi="ar"/>
        </w:rPr>
        <w:t>（</w:t>
      </w:r>
      <w:r>
        <w:rPr>
          <w:rFonts w:hint="default" w:ascii="Times New Roman" w:hAnsi="Times New Roman" w:eastAsia="宋体" w:cs="Times New Roman"/>
          <w:color w:val="000000"/>
          <w:kern w:val="0"/>
          <w:sz w:val="24"/>
          <w:szCs w:val="24"/>
          <w:lang w:val="en-US" w:eastAsia="zh-CN" w:bidi="ar"/>
        </w:rPr>
        <w:t>1</w:t>
      </w:r>
      <w:r>
        <w:rPr>
          <w:rFonts w:hint="eastAsia" w:ascii="宋体" w:hAnsi="宋体" w:eastAsia="宋体" w:cs="宋体"/>
          <w:color w:val="000000"/>
          <w:kern w:val="0"/>
          <w:sz w:val="24"/>
          <w:szCs w:val="24"/>
          <w:lang w:val="en-US" w:eastAsia="zh-CN" w:bidi="ar"/>
        </w:rPr>
        <w:t xml:space="preserve">）从原料上进行控制 </w:t>
      </w:r>
    </w:p>
    <w:p w14:paraId="141AA2B2">
      <w:pPr>
        <w:keepNext w:val="0"/>
        <w:keepLines w:val="0"/>
        <w:widowControl/>
        <w:suppressLineNumbers w:val="0"/>
        <w:ind w:firstLine="480" w:firstLineChars="200"/>
        <w:jc w:val="left"/>
      </w:pPr>
      <w:r>
        <w:rPr>
          <w:rFonts w:hint="eastAsia" w:ascii="宋体" w:hAnsi="宋体" w:eastAsia="宋体" w:cs="宋体"/>
          <w:color w:val="000000"/>
          <w:kern w:val="0"/>
          <w:sz w:val="24"/>
          <w:szCs w:val="24"/>
          <w:lang w:val="en-US" w:eastAsia="zh-CN" w:bidi="ar"/>
        </w:rPr>
        <w:t xml:space="preserve">本项目不添加萤石，原料矿石选取低氟矿物，确保氟化物等达标排放，满足污染物总量控制指标要求。 </w:t>
      </w:r>
    </w:p>
    <w:p w14:paraId="5241963C">
      <w:pPr>
        <w:keepNext w:val="0"/>
        <w:keepLines w:val="0"/>
        <w:widowControl/>
        <w:suppressLineNumbers w:val="0"/>
        <w:ind w:firstLine="480" w:firstLineChars="200"/>
        <w:jc w:val="left"/>
      </w:pPr>
      <w:r>
        <w:rPr>
          <w:rFonts w:hint="eastAsia" w:ascii="宋体" w:hAnsi="宋体" w:eastAsia="宋体" w:cs="宋体"/>
          <w:color w:val="000000"/>
          <w:kern w:val="0"/>
          <w:sz w:val="24"/>
          <w:szCs w:val="24"/>
          <w:lang w:val="en-US" w:eastAsia="zh-CN" w:bidi="ar"/>
        </w:rPr>
        <w:t>（</w:t>
      </w:r>
      <w:r>
        <w:rPr>
          <w:rFonts w:hint="default" w:ascii="Times New Roman" w:hAnsi="Times New Roman" w:eastAsia="宋体" w:cs="Times New Roman"/>
          <w:color w:val="000000"/>
          <w:kern w:val="0"/>
          <w:sz w:val="24"/>
          <w:szCs w:val="24"/>
          <w:lang w:val="en-US" w:eastAsia="zh-CN" w:bidi="ar"/>
        </w:rPr>
        <w:t>2</w:t>
      </w:r>
      <w:r>
        <w:rPr>
          <w:rFonts w:hint="eastAsia" w:ascii="宋体" w:hAnsi="宋体" w:eastAsia="宋体" w:cs="宋体"/>
          <w:color w:val="000000"/>
          <w:kern w:val="0"/>
          <w:sz w:val="24"/>
          <w:szCs w:val="24"/>
          <w:lang w:val="en-US" w:eastAsia="zh-CN" w:bidi="ar"/>
        </w:rPr>
        <w:t xml:space="preserve">）企业加强管理 </w:t>
      </w:r>
    </w:p>
    <w:p w14:paraId="02FBCB71">
      <w:pPr>
        <w:keepNext w:val="0"/>
        <w:keepLines w:val="0"/>
        <w:widowControl/>
        <w:suppressLineNumbers w:val="0"/>
        <w:ind w:firstLine="480" w:firstLineChars="200"/>
        <w:jc w:val="left"/>
      </w:pPr>
      <w:r>
        <w:rPr>
          <w:rFonts w:hint="eastAsia" w:ascii="宋体" w:hAnsi="宋体" w:eastAsia="宋体" w:cs="宋体"/>
          <w:color w:val="000000"/>
          <w:kern w:val="0"/>
          <w:sz w:val="24"/>
          <w:szCs w:val="24"/>
          <w:lang w:val="en-US" w:eastAsia="zh-CN" w:bidi="ar"/>
        </w:rPr>
        <w:t xml:space="preserve">制定严格的矿石成分检测登记制度，企业严格管理，加强原辅材料来源监控，不得购买不符合项目要求矿石进行生产。 </w:t>
      </w:r>
    </w:p>
    <w:p w14:paraId="06184F27">
      <w:pPr>
        <w:keepNext w:val="0"/>
        <w:keepLines w:val="0"/>
        <w:widowControl/>
        <w:suppressLineNumbers w:val="0"/>
        <w:ind w:firstLine="480" w:firstLineChars="200"/>
        <w:jc w:val="left"/>
      </w:pPr>
      <w:r>
        <w:rPr>
          <w:rFonts w:hint="eastAsia" w:ascii="宋体" w:hAnsi="宋体" w:eastAsia="宋体" w:cs="宋体"/>
          <w:color w:val="000000"/>
          <w:kern w:val="0"/>
          <w:sz w:val="24"/>
          <w:szCs w:val="24"/>
          <w:lang w:val="en-US" w:eastAsia="zh-CN" w:bidi="ar"/>
        </w:rPr>
        <w:t>（</w:t>
      </w:r>
      <w:r>
        <w:rPr>
          <w:rFonts w:hint="default" w:ascii="Times New Roman" w:hAnsi="Times New Roman" w:eastAsia="宋体" w:cs="Times New Roman"/>
          <w:color w:val="000000"/>
          <w:kern w:val="0"/>
          <w:sz w:val="24"/>
          <w:szCs w:val="24"/>
          <w:lang w:val="en-US" w:eastAsia="zh-CN" w:bidi="ar"/>
        </w:rPr>
        <w:t>3</w:t>
      </w:r>
      <w:r>
        <w:rPr>
          <w:rFonts w:hint="eastAsia" w:ascii="宋体" w:hAnsi="宋体" w:eastAsia="宋体" w:cs="宋体"/>
          <w:color w:val="000000"/>
          <w:kern w:val="0"/>
          <w:sz w:val="24"/>
          <w:szCs w:val="24"/>
          <w:lang w:val="en-US" w:eastAsia="zh-CN" w:bidi="ar"/>
        </w:rPr>
        <w:t xml:space="preserve">）除尘、脱硫协同去除 </w:t>
      </w:r>
    </w:p>
    <w:p w14:paraId="0823D9B9">
      <w:pPr>
        <w:keepNext w:val="0"/>
        <w:keepLines w:val="0"/>
        <w:widowControl/>
        <w:suppressLineNumbers w:val="0"/>
        <w:ind w:firstLine="480" w:firstLineChars="200"/>
        <w:jc w:val="left"/>
      </w:pPr>
      <w:r>
        <w:rPr>
          <w:rFonts w:hint="eastAsia" w:ascii="宋体" w:hAnsi="宋体" w:eastAsia="宋体" w:cs="宋体"/>
          <w:color w:val="000000"/>
          <w:kern w:val="0"/>
          <w:sz w:val="24"/>
          <w:szCs w:val="24"/>
          <w:lang w:val="en-US" w:eastAsia="zh-CN" w:bidi="ar"/>
        </w:rPr>
        <w:t>烟气中氟化物的存在形式主要包括气态、固态颗粒。固态颗粒形式的氟化物较容易被除尘器脱除。气态形式的氟化物易被</w:t>
      </w:r>
      <w:r>
        <w:rPr>
          <w:rFonts w:hint="eastAsia" w:cs="宋体"/>
          <w:color w:val="000000"/>
          <w:kern w:val="0"/>
          <w:sz w:val="24"/>
          <w:szCs w:val="24"/>
          <w:lang w:val="en-US" w:eastAsia="zh-CN" w:bidi="ar"/>
        </w:rPr>
        <w:t>湿法</w:t>
      </w:r>
      <w:r>
        <w:rPr>
          <w:rFonts w:hint="eastAsia" w:ascii="宋体" w:hAnsi="宋体" w:eastAsia="宋体" w:cs="宋体"/>
          <w:color w:val="000000"/>
          <w:kern w:val="0"/>
          <w:sz w:val="24"/>
          <w:szCs w:val="24"/>
          <w:lang w:val="en-US" w:eastAsia="zh-CN" w:bidi="ar"/>
        </w:rPr>
        <w:t xml:space="preserve">脱硫等洗涤系统所捕获而脱除。研究表明，常规的烟气净化装置，包括除尘器、脱硫系统，可以去除大部分的固态颗粒氟化物，以及一半以上的气态氟化物。 </w:t>
      </w:r>
    </w:p>
    <w:p w14:paraId="79B85B58">
      <w:pPr>
        <w:keepNext w:val="0"/>
        <w:keepLines w:val="0"/>
        <w:widowControl/>
        <w:suppressLineNumbers w:val="0"/>
        <w:ind w:firstLine="480" w:firstLineChars="200"/>
        <w:jc w:val="left"/>
        <w:rPr>
          <w:rFonts w:hint="default" w:ascii="Times New Roman" w:hAnsi="Times New Roman" w:cs="Times New Roman"/>
        </w:rPr>
      </w:pPr>
      <w:r>
        <w:rPr>
          <w:rFonts w:hint="default" w:ascii="Times New Roman" w:hAnsi="Times New Roman" w:eastAsia="TimesNewRomanPS-BoldMT" w:cs="Times New Roman"/>
          <w:b/>
          <w:bCs/>
          <w:color w:val="000000"/>
          <w:kern w:val="0"/>
          <w:sz w:val="24"/>
          <w:szCs w:val="24"/>
          <w:lang w:val="en-US" w:eastAsia="zh-CN" w:bidi="ar"/>
        </w:rPr>
        <w:t>5</w:t>
      </w:r>
      <w:r>
        <w:rPr>
          <w:rFonts w:hint="default" w:ascii="Times New Roman" w:hAnsi="Times New Roman" w:eastAsia="宋体" w:cs="Times New Roman"/>
          <w:b/>
          <w:bCs/>
          <w:color w:val="000000"/>
          <w:kern w:val="0"/>
          <w:sz w:val="24"/>
          <w:szCs w:val="24"/>
          <w:lang w:val="en-US" w:eastAsia="zh-CN" w:bidi="ar"/>
        </w:rPr>
        <w:t xml:space="preserve">、二噁英控制措施 </w:t>
      </w:r>
    </w:p>
    <w:p w14:paraId="64A219B5">
      <w:pPr>
        <w:keepNext w:val="0"/>
        <w:keepLines w:val="0"/>
        <w:widowControl/>
        <w:suppressLineNumbers w:val="0"/>
        <w:ind w:firstLine="480" w:firstLineChars="200"/>
        <w:jc w:val="left"/>
      </w:pPr>
      <w:r>
        <w:rPr>
          <w:rFonts w:hint="eastAsia" w:ascii="宋体" w:hAnsi="宋体" w:eastAsia="宋体" w:cs="宋体"/>
          <w:color w:val="000000"/>
          <w:kern w:val="0"/>
          <w:sz w:val="24"/>
          <w:szCs w:val="24"/>
          <w:lang w:val="en-US" w:eastAsia="zh-CN" w:bidi="ar"/>
        </w:rPr>
        <w:t>本项目烧结机</w:t>
      </w:r>
      <w:r>
        <w:rPr>
          <w:rFonts w:hint="eastAsia" w:cs="宋体"/>
          <w:color w:val="000000"/>
          <w:kern w:val="0"/>
          <w:sz w:val="24"/>
          <w:szCs w:val="24"/>
          <w:lang w:val="en-US" w:eastAsia="zh-CN" w:bidi="ar"/>
        </w:rPr>
        <w:t>、竖炉</w:t>
      </w:r>
      <w:r>
        <w:rPr>
          <w:rFonts w:hint="eastAsia" w:ascii="宋体" w:hAnsi="宋体" w:eastAsia="宋体" w:cs="宋体"/>
          <w:color w:val="000000"/>
          <w:kern w:val="0"/>
          <w:sz w:val="24"/>
          <w:szCs w:val="24"/>
          <w:lang w:val="en-US" w:eastAsia="zh-CN" w:bidi="ar"/>
        </w:rPr>
        <w:t xml:space="preserve">采用先进的生产技术和生产设备，控制二噁英的产生和排放，具体采用的控制措施如下： </w:t>
      </w:r>
    </w:p>
    <w:p w14:paraId="6C721FA2">
      <w:pPr>
        <w:keepNext w:val="0"/>
        <w:keepLines w:val="0"/>
        <w:widowControl/>
        <w:suppressLineNumbers w:val="0"/>
        <w:ind w:firstLine="480" w:firstLineChars="200"/>
        <w:jc w:val="left"/>
      </w:pPr>
      <w:r>
        <w:rPr>
          <w:rFonts w:hint="eastAsia" w:ascii="宋体" w:hAnsi="宋体" w:eastAsia="宋体" w:cs="宋体"/>
          <w:color w:val="000000"/>
          <w:kern w:val="0"/>
          <w:sz w:val="24"/>
          <w:szCs w:val="24"/>
          <w:lang w:val="en-US" w:eastAsia="zh-CN" w:bidi="ar"/>
        </w:rPr>
        <w:t xml:space="preserve">①小球烧结，采用二次混料工艺，在二次混合过程中喷入水对混合料进行混合和制粒，为控制混合料适宜水分，二次混合机设红外水分自动控制喷水装置，进一步强化了制粒。 </w:t>
      </w:r>
    </w:p>
    <w:p w14:paraId="1D7C3F9D">
      <w:pPr>
        <w:keepNext w:val="0"/>
        <w:keepLines w:val="0"/>
        <w:widowControl/>
        <w:suppressLineNumbers w:val="0"/>
        <w:ind w:firstLine="480" w:firstLineChars="200"/>
        <w:jc w:val="left"/>
      </w:pPr>
      <w:r>
        <w:rPr>
          <w:rFonts w:hint="eastAsia" w:ascii="宋体" w:hAnsi="宋体" w:eastAsia="宋体" w:cs="宋体"/>
          <w:color w:val="000000"/>
          <w:kern w:val="0"/>
          <w:sz w:val="24"/>
          <w:szCs w:val="24"/>
          <w:lang w:val="en-US" w:eastAsia="zh-CN" w:bidi="ar"/>
        </w:rPr>
        <w:t xml:space="preserve">②低温烧结，点火温度控制在约 </w:t>
      </w:r>
      <w:r>
        <w:rPr>
          <w:rFonts w:hint="default" w:ascii="Times New Roman" w:hAnsi="Times New Roman" w:eastAsia="宋体" w:cs="Times New Roman"/>
          <w:color w:val="000000"/>
          <w:kern w:val="0"/>
          <w:sz w:val="24"/>
          <w:szCs w:val="24"/>
          <w:lang w:val="en-US" w:eastAsia="zh-CN" w:bidi="ar"/>
        </w:rPr>
        <w:t>1100±50℃</w:t>
      </w:r>
      <w:r>
        <w:rPr>
          <w:rFonts w:hint="eastAsia" w:ascii="宋体" w:hAnsi="宋体" w:eastAsia="宋体" w:cs="宋体"/>
          <w:color w:val="000000"/>
          <w:kern w:val="0"/>
          <w:sz w:val="24"/>
          <w:szCs w:val="24"/>
          <w:lang w:val="en-US" w:eastAsia="zh-CN" w:bidi="ar"/>
        </w:rPr>
        <w:t xml:space="preserve">，烧结温度控制在 </w:t>
      </w:r>
      <w:r>
        <w:rPr>
          <w:rFonts w:hint="default" w:ascii="Times New Roman" w:hAnsi="Times New Roman" w:eastAsia="宋体" w:cs="Times New Roman"/>
          <w:color w:val="000000"/>
          <w:kern w:val="0"/>
          <w:sz w:val="24"/>
          <w:szCs w:val="24"/>
          <w:lang w:val="en-US" w:eastAsia="zh-CN" w:bidi="ar"/>
        </w:rPr>
        <w:t>1250~1280℃</w:t>
      </w:r>
      <w:r>
        <w:rPr>
          <w:rFonts w:hint="eastAsia" w:ascii="宋体" w:hAnsi="宋体" w:eastAsia="宋体" w:cs="宋体"/>
          <w:color w:val="000000"/>
          <w:kern w:val="0"/>
          <w:sz w:val="24"/>
          <w:szCs w:val="24"/>
          <w:lang w:val="en-US" w:eastAsia="zh-CN" w:bidi="ar"/>
        </w:rPr>
        <w:t xml:space="preserve">。 </w:t>
      </w:r>
    </w:p>
    <w:p w14:paraId="56AD609F">
      <w:pPr>
        <w:keepNext w:val="0"/>
        <w:keepLines w:val="0"/>
        <w:widowControl/>
        <w:suppressLineNumbers w:val="0"/>
        <w:ind w:firstLine="480" w:firstLineChars="200"/>
        <w:jc w:val="left"/>
      </w:pPr>
      <w:r>
        <w:rPr>
          <w:rFonts w:hint="eastAsia" w:ascii="宋体" w:hAnsi="宋体" w:eastAsia="宋体" w:cs="宋体"/>
          <w:color w:val="000000"/>
          <w:kern w:val="0"/>
          <w:sz w:val="24"/>
          <w:szCs w:val="24"/>
          <w:lang w:val="en-US" w:eastAsia="zh-CN" w:bidi="ar"/>
        </w:rPr>
        <w:t>③厚料层烧结，</w:t>
      </w:r>
      <w:r>
        <w:rPr>
          <w:rFonts w:hint="eastAsia" w:ascii="宋体" w:hAnsi="宋体" w:eastAsia="宋体" w:cs="宋体"/>
          <w:color w:val="000000"/>
          <w:kern w:val="0"/>
          <w:sz w:val="24"/>
          <w:szCs w:val="24"/>
          <w:highlight w:val="none"/>
          <w:lang w:val="en-US" w:eastAsia="zh-CN" w:bidi="ar"/>
        </w:rPr>
        <w:t>烧结机有效面积</w:t>
      </w:r>
      <w:r>
        <w:rPr>
          <w:rFonts w:hint="eastAsia" w:ascii="Times New Roman" w:hAnsi="Times New Roman" w:cs="Times New Roman"/>
          <w:color w:val="000000"/>
          <w:kern w:val="0"/>
          <w:sz w:val="24"/>
          <w:szCs w:val="24"/>
          <w:highlight w:val="none"/>
          <w:lang w:val="en-US" w:eastAsia="zh-CN" w:bidi="ar"/>
        </w:rPr>
        <w:t>50</w:t>
      </w:r>
      <w:r>
        <w:rPr>
          <w:rFonts w:hint="default" w:ascii="Times New Roman" w:hAnsi="Times New Roman" w:eastAsia="宋体" w:cs="Times New Roman"/>
          <w:color w:val="000000"/>
          <w:kern w:val="0"/>
          <w:sz w:val="24"/>
          <w:szCs w:val="24"/>
          <w:highlight w:val="none"/>
          <w:lang w:val="en-US" w:eastAsia="zh-CN" w:bidi="ar"/>
        </w:rPr>
        <w:t>m</w:t>
      </w:r>
      <w:r>
        <w:rPr>
          <w:rFonts w:hint="eastAsia" w:ascii="Times New Roman" w:hAnsi="Times New Roman" w:cs="Times New Roman"/>
          <w:color w:val="000000"/>
          <w:kern w:val="0"/>
          <w:sz w:val="24"/>
          <w:szCs w:val="24"/>
          <w:highlight w:val="none"/>
          <w:vertAlign w:val="superscript"/>
          <w:lang w:val="en-US" w:eastAsia="zh-CN" w:bidi="ar"/>
        </w:rPr>
        <w:t>2</w:t>
      </w:r>
      <w:r>
        <w:rPr>
          <w:rFonts w:hint="eastAsia" w:ascii="宋体" w:hAnsi="宋体" w:eastAsia="宋体" w:cs="宋体"/>
          <w:color w:val="000000"/>
          <w:kern w:val="0"/>
          <w:sz w:val="24"/>
          <w:szCs w:val="24"/>
          <w:highlight w:val="none"/>
          <w:lang w:val="en-US" w:eastAsia="zh-CN" w:bidi="ar"/>
        </w:rPr>
        <w:t>，</w:t>
      </w:r>
      <w:r>
        <w:rPr>
          <w:rFonts w:hint="eastAsia" w:cs="宋体"/>
          <w:color w:val="000000"/>
          <w:kern w:val="0"/>
          <w:sz w:val="24"/>
          <w:szCs w:val="24"/>
          <w:highlight w:val="none"/>
          <w:lang w:val="en-US" w:eastAsia="zh-CN" w:bidi="ar"/>
        </w:rPr>
        <w:t>球团竖炉12m</w:t>
      </w:r>
      <w:r>
        <w:rPr>
          <w:rFonts w:hint="eastAsia" w:cs="宋体"/>
          <w:color w:val="000000"/>
          <w:kern w:val="0"/>
          <w:sz w:val="24"/>
          <w:szCs w:val="24"/>
          <w:highlight w:val="none"/>
          <w:vertAlign w:val="superscript"/>
          <w:lang w:val="en-US" w:eastAsia="zh-CN" w:bidi="ar"/>
        </w:rPr>
        <w:t>2</w:t>
      </w:r>
      <w:r>
        <w:rPr>
          <w:rFonts w:hint="eastAsia" w:ascii="宋体" w:hAnsi="宋体" w:eastAsia="宋体" w:cs="宋体"/>
          <w:color w:val="000000"/>
          <w:kern w:val="0"/>
          <w:sz w:val="24"/>
          <w:szCs w:val="24"/>
          <w:highlight w:val="none"/>
          <w:lang w:val="en-US" w:eastAsia="zh-CN" w:bidi="ar"/>
        </w:rPr>
        <w:t>，这些主体设备的大型化和烧结</w:t>
      </w:r>
      <w:r>
        <w:rPr>
          <w:rFonts w:hint="eastAsia" w:ascii="宋体" w:hAnsi="宋体" w:eastAsia="宋体" w:cs="宋体"/>
          <w:color w:val="000000"/>
          <w:kern w:val="0"/>
          <w:sz w:val="24"/>
          <w:szCs w:val="24"/>
          <w:lang w:val="en-US" w:eastAsia="zh-CN" w:bidi="ar"/>
        </w:rPr>
        <w:t xml:space="preserve">技术的采用，为厚料层烧结奠定了基础。 </w:t>
      </w:r>
    </w:p>
    <w:p w14:paraId="149F9767">
      <w:pPr>
        <w:keepNext w:val="0"/>
        <w:keepLines w:val="0"/>
        <w:widowControl/>
        <w:suppressLineNumbers w:val="0"/>
        <w:ind w:firstLine="480" w:firstLineChars="200"/>
        <w:jc w:val="left"/>
      </w:pPr>
      <w:r>
        <w:rPr>
          <w:rFonts w:hint="eastAsia" w:ascii="宋体" w:hAnsi="宋体" w:eastAsia="宋体" w:cs="宋体"/>
          <w:color w:val="000000"/>
          <w:kern w:val="0"/>
          <w:sz w:val="24"/>
          <w:szCs w:val="24"/>
          <w:lang w:val="en-US" w:eastAsia="zh-CN" w:bidi="ar"/>
        </w:rPr>
        <w:t xml:space="preserve">④自动控制，配备自动化控制系统和工况参数在线监测系统，确保工况稳定、减少设备漏风，配备高效袋式除尘器。 </w:t>
      </w:r>
    </w:p>
    <w:p w14:paraId="10449A3F">
      <w:pPr>
        <w:keepNext w:val="0"/>
        <w:keepLines w:val="0"/>
        <w:widowControl/>
        <w:suppressLineNumbers w:val="0"/>
        <w:ind w:firstLine="480" w:firstLineChars="200"/>
        <w:jc w:val="left"/>
      </w:pPr>
      <w:r>
        <w:rPr>
          <w:rFonts w:hint="eastAsia" w:ascii="宋体" w:hAnsi="宋体" w:eastAsia="宋体" w:cs="宋体"/>
          <w:color w:val="000000"/>
          <w:kern w:val="0"/>
          <w:sz w:val="24"/>
          <w:szCs w:val="24"/>
          <w:lang w:val="en-US" w:eastAsia="zh-CN" w:bidi="ar"/>
        </w:rPr>
        <w:t xml:space="preserve">⑤烧结热烟气循环技术，二噁英、一氧化碳等污染物随着热烟气循环时，通过烧结料层，在高温下得以分解或燃烧，从而减少其排放。 </w:t>
      </w:r>
    </w:p>
    <w:p w14:paraId="24399123">
      <w:pPr>
        <w:keepNext w:val="0"/>
        <w:keepLines w:val="0"/>
        <w:widowControl/>
        <w:suppressLineNumbers w:val="0"/>
        <w:ind w:firstLine="480" w:firstLineChars="200"/>
        <w:jc w:val="left"/>
      </w:pPr>
      <w:r>
        <w:rPr>
          <w:rFonts w:hint="eastAsia" w:ascii="宋体" w:hAnsi="宋体" w:eastAsia="宋体" w:cs="宋体"/>
          <w:color w:val="000000"/>
          <w:kern w:val="0"/>
          <w:sz w:val="24"/>
          <w:szCs w:val="24"/>
          <w:lang w:val="en-US" w:eastAsia="zh-CN" w:bidi="ar"/>
        </w:rPr>
        <w:t xml:space="preserve">⑥控制含氯杂料的使用，从源头减少二噁英的生成。 </w:t>
      </w:r>
    </w:p>
    <w:p w14:paraId="6B44F7EA">
      <w:pPr>
        <w:keepNext w:val="0"/>
        <w:keepLines w:val="0"/>
        <w:widowControl/>
        <w:suppressLineNumbers w:val="0"/>
        <w:ind w:firstLine="480" w:firstLineChars="200"/>
        <w:jc w:val="left"/>
      </w:pPr>
      <w:r>
        <w:rPr>
          <w:rFonts w:hint="eastAsia" w:ascii="宋体" w:hAnsi="宋体" w:eastAsia="宋体" w:cs="宋体"/>
          <w:color w:val="000000"/>
          <w:kern w:val="0"/>
          <w:sz w:val="24"/>
          <w:szCs w:val="24"/>
          <w:lang w:val="en-US" w:eastAsia="zh-CN" w:bidi="ar"/>
        </w:rPr>
        <w:t>根据《二噁英污染防治技术政策》（编制说明）静电除尘器对二噁英的去除效率在</w:t>
      </w:r>
      <w:r>
        <w:rPr>
          <w:rFonts w:hint="default" w:ascii="Times New Roman" w:hAnsi="Times New Roman" w:eastAsia="宋体" w:cs="Times New Roman"/>
          <w:color w:val="000000"/>
          <w:kern w:val="0"/>
          <w:sz w:val="24"/>
          <w:szCs w:val="24"/>
          <w:lang w:val="en-US" w:eastAsia="zh-CN" w:bidi="ar"/>
        </w:rPr>
        <w:t>50%</w:t>
      </w:r>
      <w:r>
        <w:rPr>
          <w:rFonts w:hint="eastAsia" w:ascii="宋体" w:hAnsi="宋体" w:eastAsia="宋体" w:cs="宋体"/>
          <w:color w:val="000000"/>
          <w:kern w:val="0"/>
          <w:sz w:val="24"/>
          <w:szCs w:val="24"/>
          <w:lang w:val="en-US" w:eastAsia="zh-CN" w:bidi="ar"/>
        </w:rPr>
        <w:t>～</w:t>
      </w:r>
      <w:r>
        <w:rPr>
          <w:rFonts w:hint="default" w:ascii="Times New Roman" w:hAnsi="Times New Roman" w:eastAsia="宋体" w:cs="Times New Roman"/>
          <w:color w:val="000000"/>
          <w:kern w:val="0"/>
          <w:sz w:val="24"/>
          <w:szCs w:val="24"/>
          <w:lang w:val="en-US" w:eastAsia="zh-CN" w:bidi="ar"/>
        </w:rPr>
        <w:t>60%</w:t>
      </w:r>
      <w:r>
        <w:rPr>
          <w:rFonts w:hint="eastAsia" w:ascii="宋体" w:hAnsi="宋体" w:eastAsia="宋体" w:cs="宋体"/>
          <w:color w:val="000000"/>
          <w:kern w:val="0"/>
          <w:sz w:val="24"/>
          <w:szCs w:val="24"/>
          <w:lang w:val="en-US" w:eastAsia="zh-CN" w:bidi="ar"/>
        </w:rPr>
        <w:t>，参照文献</w:t>
      </w:r>
      <w:r>
        <w:rPr>
          <w:rFonts w:hint="default" w:ascii="Times New Roman" w:hAnsi="Times New Roman" w:eastAsia="宋体" w:cs="Times New Roman"/>
          <w:color w:val="000000"/>
          <w:kern w:val="0"/>
          <w:sz w:val="24"/>
          <w:szCs w:val="24"/>
          <w:lang w:val="en-US" w:eastAsia="zh-CN" w:bidi="ar"/>
        </w:rPr>
        <w:t>“</w:t>
      </w:r>
      <w:r>
        <w:rPr>
          <w:rFonts w:hint="eastAsia" w:ascii="宋体" w:hAnsi="宋体" w:eastAsia="宋体" w:cs="宋体"/>
          <w:color w:val="000000"/>
          <w:kern w:val="0"/>
          <w:sz w:val="24"/>
          <w:szCs w:val="24"/>
          <w:lang w:val="en-US" w:eastAsia="zh-CN" w:bidi="ar"/>
        </w:rPr>
        <w:t>台湾中钢</w:t>
      </w:r>
      <w:r>
        <w:rPr>
          <w:rFonts w:hint="default" w:ascii="Times New Roman" w:hAnsi="Times New Roman" w:eastAsia="宋体" w:cs="Times New Roman"/>
          <w:color w:val="000000"/>
          <w:kern w:val="0"/>
          <w:sz w:val="24"/>
          <w:szCs w:val="24"/>
          <w:lang w:val="en-US" w:eastAsia="zh-CN" w:bidi="ar"/>
        </w:rPr>
        <w:t>SCR</w:t>
      </w:r>
      <w:r>
        <w:rPr>
          <w:rFonts w:hint="eastAsia" w:ascii="宋体" w:hAnsi="宋体" w:eastAsia="宋体" w:cs="宋体"/>
          <w:color w:val="000000"/>
          <w:kern w:val="0"/>
          <w:sz w:val="24"/>
          <w:szCs w:val="24"/>
          <w:lang w:val="en-US" w:eastAsia="zh-CN" w:bidi="ar"/>
        </w:rPr>
        <w:t>触媒在烧结场脱硝与脱二噁英中的应用</w:t>
      </w:r>
      <w:r>
        <w:rPr>
          <w:rFonts w:hint="default" w:ascii="Times New Roman" w:hAnsi="Times New Roman" w:eastAsia="宋体" w:cs="Times New Roman"/>
          <w:color w:val="000000"/>
          <w:kern w:val="0"/>
          <w:sz w:val="24"/>
          <w:szCs w:val="24"/>
          <w:lang w:val="en-US" w:eastAsia="zh-CN" w:bidi="ar"/>
        </w:rPr>
        <w:t>”</w:t>
      </w:r>
      <w:r>
        <w:rPr>
          <w:rFonts w:hint="eastAsia" w:ascii="宋体" w:hAnsi="宋体" w:eastAsia="宋体" w:cs="宋体"/>
          <w:color w:val="000000"/>
          <w:kern w:val="0"/>
          <w:sz w:val="24"/>
          <w:szCs w:val="24"/>
          <w:lang w:val="en-US" w:eastAsia="zh-CN" w:bidi="ar"/>
        </w:rPr>
        <w:t>（《武汉大学学报：工学报》</w:t>
      </w:r>
      <w:r>
        <w:rPr>
          <w:rFonts w:hint="default" w:ascii="Times New Roman" w:hAnsi="Times New Roman" w:eastAsia="宋体" w:cs="Times New Roman"/>
          <w:color w:val="000000"/>
          <w:kern w:val="0"/>
          <w:sz w:val="24"/>
          <w:szCs w:val="24"/>
          <w:lang w:val="en-US" w:eastAsia="zh-CN" w:bidi="ar"/>
        </w:rPr>
        <w:t>2012</w:t>
      </w:r>
      <w:r>
        <w:rPr>
          <w:rFonts w:hint="eastAsia" w:ascii="宋体" w:hAnsi="宋体" w:eastAsia="宋体" w:cs="宋体"/>
          <w:color w:val="000000"/>
          <w:kern w:val="0"/>
          <w:sz w:val="24"/>
          <w:szCs w:val="24"/>
          <w:lang w:val="en-US" w:eastAsia="zh-CN" w:bidi="ar"/>
        </w:rPr>
        <w:t>）</w:t>
      </w:r>
      <w:r>
        <w:rPr>
          <w:rFonts w:hint="default" w:ascii="Times New Roman" w:hAnsi="Times New Roman" w:eastAsia="宋体" w:cs="Times New Roman"/>
          <w:color w:val="000000"/>
          <w:kern w:val="0"/>
          <w:sz w:val="24"/>
          <w:szCs w:val="24"/>
          <w:lang w:val="en-US" w:eastAsia="zh-CN" w:bidi="ar"/>
        </w:rPr>
        <w:t>SCR</w:t>
      </w:r>
      <w:r>
        <w:rPr>
          <w:rFonts w:hint="eastAsia" w:ascii="宋体" w:hAnsi="宋体" w:eastAsia="宋体" w:cs="宋体"/>
          <w:color w:val="000000"/>
          <w:kern w:val="0"/>
          <w:sz w:val="24"/>
          <w:szCs w:val="24"/>
          <w:lang w:val="en-US" w:eastAsia="zh-CN" w:bidi="ar"/>
        </w:rPr>
        <w:t xml:space="preserve">脱硝工艺分解二噁英的效率可达 </w:t>
      </w:r>
      <w:r>
        <w:rPr>
          <w:rFonts w:hint="default" w:ascii="Times New Roman" w:hAnsi="Times New Roman" w:eastAsia="宋体" w:cs="Times New Roman"/>
          <w:color w:val="000000"/>
          <w:kern w:val="0"/>
          <w:sz w:val="24"/>
          <w:szCs w:val="24"/>
          <w:lang w:val="en-US" w:eastAsia="zh-CN" w:bidi="ar"/>
        </w:rPr>
        <w:t>80%</w:t>
      </w:r>
      <w:r>
        <w:rPr>
          <w:rFonts w:hint="eastAsia" w:ascii="宋体" w:hAnsi="宋体" w:eastAsia="宋体" w:cs="宋体"/>
          <w:color w:val="000000"/>
          <w:kern w:val="0"/>
          <w:sz w:val="24"/>
          <w:szCs w:val="24"/>
          <w:lang w:val="en-US" w:eastAsia="zh-CN" w:bidi="ar"/>
        </w:rPr>
        <w:t>以上，故静电除尘器和</w:t>
      </w:r>
      <w:r>
        <w:rPr>
          <w:rFonts w:hint="default" w:ascii="Times New Roman" w:hAnsi="Times New Roman" w:eastAsia="宋体" w:cs="Times New Roman"/>
          <w:color w:val="000000"/>
          <w:kern w:val="0"/>
          <w:sz w:val="24"/>
          <w:szCs w:val="24"/>
          <w:lang w:val="en-US" w:eastAsia="zh-CN" w:bidi="ar"/>
        </w:rPr>
        <w:t>SCR</w:t>
      </w:r>
      <w:r>
        <w:rPr>
          <w:rFonts w:hint="eastAsia" w:ascii="宋体" w:hAnsi="宋体" w:eastAsia="宋体" w:cs="宋体"/>
          <w:color w:val="000000"/>
          <w:kern w:val="0"/>
          <w:sz w:val="24"/>
          <w:szCs w:val="24"/>
          <w:lang w:val="en-US" w:eastAsia="zh-CN" w:bidi="ar"/>
        </w:rPr>
        <w:t xml:space="preserve">脱硝的总二噁英减排效率可达 </w:t>
      </w:r>
      <w:r>
        <w:rPr>
          <w:rFonts w:hint="default" w:ascii="Times New Roman" w:hAnsi="Times New Roman" w:eastAsia="宋体" w:cs="Times New Roman"/>
          <w:color w:val="000000"/>
          <w:kern w:val="0"/>
          <w:sz w:val="24"/>
          <w:szCs w:val="24"/>
          <w:lang w:val="en-US" w:eastAsia="zh-CN" w:bidi="ar"/>
        </w:rPr>
        <w:t>90%</w:t>
      </w:r>
      <w:r>
        <w:rPr>
          <w:rFonts w:hint="eastAsia" w:ascii="宋体" w:hAnsi="宋体" w:eastAsia="宋体" w:cs="宋体"/>
          <w:color w:val="000000"/>
          <w:kern w:val="0"/>
          <w:sz w:val="24"/>
          <w:szCs w:val="24"/>
          <w:lang w:val="en-US" w:eastAsia="zh-CN" w:bidi="ar"/>
        </w:rPr>
        <w:t xml:space="preserve">以上。 </w:t>
      </w:r>
    </w:p>
    <w:p w14:paraId="00BB31F4">
      <w:pPr>
        <w:keepNext w:val="0"/>
        <w:keepLines w:val="0"/>
        <w:widowControl/>
        <w:suppressLineNumbers w:val="0"/>
        <w:ind w:firstLine="480" w:firstLineChars="200"/>
        <w:jc w:val="left"/>
      </w:pPr>
      <w:r>
        <w:rPr>
          <w:rFonts w:hint="eastAsia" w:ascii="宋体" w:hAnsi="宋体" w:eastAsia="宋体" w:cs="宋体"/>
          <w:color w:val="000000"/>
          <w:kern w:val="0"/>
          <w:sz w:val="24"/>
          <w:szCs w:val="24"/>
          <w:lang w:val="en-US" w:eastAsia="zh-CN" w:bidi="ar"/>
        </w:rPr>
        <w:t xml:space="preserve">上述措施为目前国内大型烧结机通用的二噁英控制措施，亦是《重点行业二噁英污染防治技术政策》中推荐采用的控制措施，可有效地控制二噁英的产生和排放。经类比调查，通过采取上述措施，可实现二噁英达标排放，因此技改项目采取的上述控制措施控制二噁英可行。 </w:t>
      </w:r>
    </w:p>
    <w:p w14:paraId="09D4CCC8">
      <w:pPr>
        <w:keepNext w:val="0"/>
        <w:keepLines w:val="0"/>
        <w:widowControl/>
        <w:suppressLineNumbers w:val="0"/>
        <w:ind w:firstLine="480" w:firstLineChars="200"/>
        <w:jc w:val="left"/>
      </w:pPr>
      <w:r>
        <w:rPr>
          <w:rFonts w:hint="eastAsia" w:ascii="宋体" w:hAnsi="宋体" w:eastAsia="宋体" w:cs="宋体"/>
          <w:color w:val="000000"/>
          <w:kern w:val="0"/>
          <w:sz w:val="24"/>
          <w:szCs w:val="24"/>
          <w:lang w:val="en-US" w:eastAsia="zh-CN" w:bidi="ar"/>
        </w:rPr>
        <w:t>综合以上分析结果，本项目烟气脱硫脱硝采用《排污许可证申请与核发技术规范 钢铁工业》（</w:t>
      </w:r>
      <w:r>
        <w:rPr>
          <w:rFonts w:hint="default" w:ascii="Times New Roman" w:hAnsi="Times New Roman" w:eastAsia="宋体" w:cs="Times New Roman"/>
          <w:color w:val="000000"/>
          <w:kern w:val="0"/>
          <w:sz w:val="24"/>
          <w:szCs w:val="24"/>
          <w:lang w:val="en-US" w:eastAsia="zh-CN" w:bidi="ar"/>
        </w:rPr>
        <w:t>HJ846-2017</w:t>
      </w:r>
      <w:r>
        <w:rPr>
          <w:rFonts w:hint="eastAsia" w:ascii="宋体" w:hAnsi="宋体" w:eastAsia="宋体" w:cs="宋体"/>
          <w:color w:val="000000"/>
          <w:kern w:val="0"/>
          <w:sz w:val="24"/>
          <w:szCs w:val="24"/>
          <w:lang w:val="en-US" w:eastAsia="zh-CN" w:bidi="ar"/>
        </w:rPr>
        <w:t>）中推荐的“</w:t>
      </w:r>
      <w:r>
        <w:rPr>
          <w:rFonts w:hint="eastAsia" w:eastAsia="宋体" w:cs="宋体"/>
          <w:color w:val="000000"/>
          <w:kern w:val="0"/>
          <w:sz w:val="24"/>
          <w:szCs w:val="24"/>
          <w:lang w:val="en-US" w:eastAsia="zh-CN" w:bidi="ar"/>
        </w:rPr>
        <w:t>电</w:t>
      </w:r>
      <w:r>
        <w:rPr>
          <w:rFonts w:hint="eastAsia" w:ascii="宋体" w:hAnsi="宋体" w:eastAsia="宋体" w:cs="宋体"/>
          <w:color w:val="000000"/>
          <w:kern w:val="0"/>
          <w:sz w:val="24"/>
          <w:szCs w:val="24"/>
          <w:lang w:val="en-US" w:eastAsia="zh-CN" w:bidi="ar"/>
        </w:rPr>
        <w:t>除尘器</w:t>
      </w:r>
      <w:r>
        <w:rPr>
          <w:rFonts w:hint="default" w:ascii="Times New Roman" w:hAnsi="Times New Roman" w:eastAsia="宋体" w:cs="Times New Roman"/>
          <w:color w:val="000000"/>
          <w:kern w:val="0"/>
          <w:sz w:val="24"/>
          <w:szCs w:val="24"/>
          <w:lang w:val="en-US" w:eastAsia="zh-CN" w:bidi="ar"/>
        </w:rPr>
        <w:t>+</w:t>
      </w:r>
      <w:r>
        <w:rPr>
          <w:rFonts w:hint="eastAsia" w:ascii="Times New Roman" w:hAnsi="Times New Roman" w:cs="Times New Roman"/>
          <w:color w:val="000000"/>
          <w:kern w:val="0"/>
          <w:sz w:val="24"/>
          <w:szCs w:val="24"/>
          <w:lang w:val="en-US" w:eastAsia="zh-CN" w:bidi="ar"/>
        </w:rPr>
        <w:t>石灰石-</w:t>
      </w:r>
      <w:r>
        <w:rPr>
          <w:rFonts w:hint="eastAsia" w:eastAsia="宋体" w:cs="宋体"/>
          <w:color w:val="000000"/>
          <w:kern w:val="0"/>
          <w:sz w:val="24"/>
          <w:szCs w:val="24"/>
          <w:lang w:val="en-US" w:eastAsia="zh-CN" w:bidi="ar"/>
        </w:rPr>
        <w:t>石膏</w:t>
      </w:r>
      <w:r>
        <w:rPr>
          <w:rFonts w:hint="eastAsia" w:cs="宋体"/>
          <w:color w:val="000000"/>
          <w:kern w:val="0"/>
          <w:sz w:val="24"/>
          <w:szCs w:val="24"/>
          <w:lang w:val="en-US" w:eastAsia="zh-CN" w:bidi="ar"/>
        </w:rPr>
        <w:t>法脱硫</w:t>
      </w:r>
      <w:r>
        <w:rPr>
          <w:rFonts w:hint="default" w:ascii="Times New Roman" w:hAnsi="Times New Roman" w:eastAsia="宋体" w:cs="Times New Roman"/>
          <w:color w:val="000000"/>
          <w:kern w:val="0"/>
          <w:sz w:val="24"/>
          <w:szCs w:val="24"/>
          <w:lang w:val="en-US" w:eastAsia="zh-CN" w:bidi="ar"/>
        </w:rPr>
        <w:t xml:space="preserve">+SCR </w:t>
      </w:r>
      <w:r>
        <w:rPr>
          <w:rFonts w:hint="eastAsia" w:ascii="宋体" w:hAnsi="宋体" w:eastAsia="宋体" w:cs="宋体"/>
          <w:color w:val="000000"/>
          <w:kern w:val="0"/>
          <w:sz w:val="24"/>
          <w:szCs w:val="24"/>
          <w:lang w:val="en-US" w:eastAsia="zh-CN" w:bidi="ar"/>
        </w:rPr>
        <w:t>脱硝”处理工艺，根据同类采用相同工艺烧结机的实际运行结果，其控制排放浓度颗粒物、二氧化硫、氮氧化物、氟化物和二噁英能够满足《关于推进实施钢铁行业超低排放的意见》（环大气〔</w:t>
      </w:r>
      <w:r>
        <w:rPr>
          <w:rFonts w:hint="default" w:ascii="Times New Roman" w:hAnsi="Times New Roman" w:eastAsia="宋体" w:cs="Times New Roman"/>
          <w:color w:val="000000"/>
          <w:kern w:val="0"/>
          <w:sz w:val="24"/>
          <w:szCs w:val="24"/>
          <w:lang w:val="en-US" w:eastAsia="zh-CN" w:bidi="ar"/>
        </w:rPr>
        <w:t>2019</w:t>
      </w:r>
      <w:r>
        <w:rPr>
          <w:rFonts w:hint="eastAsia" w:ascii="宋体" w:hAnsi="宋体" w:eastAsia="宋体" w:cs="宋体"/>
          <w:color w:val="000000"/>
          <w:kern w:val="0"/>
          <w:sz w:val="24"/>
          <w:szCs w:val="24"/>
          <w:lang w:val="en-US" w:eastAsia="zh-CN" w:bidi="ar"/>
        </w:rPr>
        <w:t>〕</w:t>
      </w:r>
      <w:r>
        <w:rPr>
          <w:rFonts w:hint="default" w:ascii="Times New Roman" w:hAnsi="Times New Roman" w:eastAsia="宋体" w:cs="Times New Roman"/>
          <w:color w:val="000000"/>
          <w:kern w:val="0"/>
          <w:sz w:val="24"/>
          <w:szCs w:val="24"/>
          <w:lang w:val="en-US" w:eastAsia="zh-CN" w:bidi="ar"/>
        </w:rPr>
        <w:t>35</w:t>
      </w:r>
      <w:r>
        <w:rPr>
          <w:rFonts w:hint="eastAsia" w:ascii="宋体" w:hAnsi="宋体" w:eastAsia="宋体" w:cs="宋体"/>
          <w:color w:val="000000"/>
          <w:kern w:val="0"/>
          <w:sz w:val="24"/>
          <w:szCs w:val="24"/>
          <w:lang w:val="en-US" w:eastAsia="zh-CN" w:bidi="ar"/>
        </w:rPr>
        <w:t>号）超低排放限值要求。因此本项目机头废气污染控制措施可行。</w:t>
      </w:r>
    </w:p>
    <w:p w14:paraId="34FE329B">
      <w:pPr>
        <w:keepNext w:val="0"/>
        <w:keepLines w:val="0"/>
        <w:widowControl/>
        <w:suppressLineNumbers w:val="0"/>
        <w:ind w:firstLine="482" w:firstLineChars="200"/>
        <w:jc w:val="left"/>
      </w:pPr>
      <w:r>
        <w:rPr>
          <w:rFonts w:hint="eastAsia" w:eastAsia="宋体" w:cs="宋体"/>
          <w:b/>
          <w:bCs/>
          <w:color w:val="000000"/>
          <w:kern w:val="0"/>
          <w:sz w:val="24"/>
          <w:szCs w:val="24"/>
          <w:lang w:val="en-US" w:eastAsia="zh-CN" w:bidi="ar"/>
        </w:rPr>
        <w:t>5、</w:t>
      </w:r>
      <w:r>
        <w:rPr>
          <w:rFonts w:hint="eastAsia" w:ascii="宋体" w:hAnsi="宋体" w:eastAsia="宋体" w:cs="宋体"/>
          <w:b/>
          <w:bCs/>
          <w:color w:val="000000"/>
          <w:kern w:val="0"/>
          <w:sz w:val="24"/>
          <w:szCs w:val="24"/>
          <w:lang w:val="en-US" w:eastAsia="zh-CN" w:bidi="ar"/>
        </w:rPr>
        <w:t xml:space="preserve">混合废气处理措施 </w:t>
      </w:r>
    </w:p>
    <w:p w14:paraId="3AD35DC4">
      <w:pPr>
        <w:keepNext w:val="0"/>
        <w:keepLines w:val="0"/>
        <w:widowControl/>
        <w:suppressLineNumbers w:val="0"/>
        <w:ind w:firstLine="480" w:firstLineChars="200"/>
        <w:jc w:val="left"/>
      </w:pPr>
      <w:r>
        <w:rPr>
          <w:rFonts w:hint="eastAsia" w:ascii="宋体" w:hAnsi="宋体" w:eastAsia="宋体" w:cs="宋体"/>
          <w:color w:val="000000"/>
          <w:kern w:val="0"/>
          <w:sz w:val="24"/>
          <w:szCs w:val="24"/>
          <w:lang w:val="en-US" w:eastAsia="zh-CN" w:bidi="ar"/>
        </w:rPr>
        <w:t xml:space="preserve">钢铁企业的烧结混合工序产生的粉尘中含有蒸汽，采用传统布袋除尘和电除尘等干法除尘会导致堵塞严重、风机振动等情况的发生，而一般的湿式除尘器去除效率较低。 </w:t>
      </w:r>
    </w:p>
    <w:p w14:paraId="7F580782">
      <w:pPr>
        <w:keepNext w:val="0"/>
        <w:keepLines w:val="0"/>
        <w:widowControl/>
        <w:suppressLineNumbers w:val="0"/>
        <w:ind w:firstLine="480" w:firstLineChars="200"/>
        <w:jc w:val="left"/>
      </w:pPr>
      <w:r>
        <w:rPr>
          <w:rFonts w:hint="eastAsia" w:ascii="宋体" w:hAnsi="宋体" w:cs="宋体"/>
        </w:rPr>
        <w:t>高效湿法除尘系统</w:t>
      </w:r>
      <w:r>
        <w:rPr>
          <w:rFonts w:hint="eastAsia" w:ascii="宋体" w:hAnsi="宋体" w:eastAsia="宋体" w:cs="宋体"/>
          <w:color w:val="000000"/>
          <w:kern w:val="0"/>
          <w:sz w:val="24"/>
          <w:szCs w:val="24"/>
          <w:lang w:val="en-US" w:eastAsia="zh-CN" w:bidi="ar"/>
        </w:rPr>
        <w:t xml:space="preserve">根据含有蒸汽粉尘的特点，针对除尘效率、脱水、管道及除尘器的堵塞三个方面解决了蒸汽粉尘的除尘问题。 </w:t>
      </w:r>
    </w:p>
    <w:p w14:paraId="3F7C4B74">
      <w:pPr>
        <w:keepNext w:val="0"/>
        <w:keepLines w:val="0"/>
        <w:widowControl/>
        <w:suppressLineNumbers w:val="0"/>
        <w:ind w:firstLine="480" w:firstLineChars="200"/>
        <w:jc w:val="left"/>
        <w:rPr>
          <w:rFonts w:hint="eastAsia"/>
        </w:rPr>
      </w:pPr>
      <w:r>
        <w:rPr>
          <w:rFonts w:hint="eastAsia"/>
          <w:lang w:eastAsia="zh-CN"/>
        </w:rPr>
        <w:t>（</w:t>
      </w:r>
      <w:r>
        <w:rPr>
          <w:rFonts w:hint="eastAsia"/>
          <w:lang w:val="en-US" w:eastAsia="zh-CN"/>
        </w:rPr>
        <w:t>1</w:t>
      </w:r>
      <w:r>
        <w:rPr>
          <w:rFonts w:hint="eastAsia"/>
          <w:lang w:eastAsia="zh-CN"/>
        </w:rPr>
        <w:t>）</w:t>
      </w:r>
      <w:r>
        <w:rPr>
          <w:rFonts w:hint="eastAsia"/>
        </w:rPr>
        <w:t>除尘管道冲洗降尘系统</w:t>
      </w:r>
    </w:p>
    <w:p w14:paraId="296CEF9C">
      <w:pPr>
        <w:keepNext w:val="0"/>
        <w:keepLines w:val="0"/>
        <w:widowControl/>
        <w:suppressLineNumbers w:val="0"/>
        <w:ind w:firstLine="480" w:firstLineChars="200"/>
        <w:jc w:val="left"/>
        <w:rPr>
          <w:rFonts w:hint="eastAsia"/>
        </w:rPr>
      </w:pPr>
      <w:r>
        <w:rPr>
          <w:rFonts w:hint="eastAsia"/>
        </w:rPr>
        <w:t>所有除尘主管道设计冲洗降尘装置，接除尘罩分支管道在主管道最上端位置防止冲洗水进入除尘罩，弯头位置设置有多段布撒式喷管冲洗，大部分的废气粉尘在风管内被捕集脱除落入风管底部形成的湍流，并随含有微尘水雾的废气一起进入除尘器。各集尘点捕集的含尘含湿废气经支管汇入抽尘主风管，倾斜支管、主风管安装有多冲洗喷淋，保持支管、主风管润湿冲洗，避免风管运行过程中的积灰和堵塞，同时对烟气进行降温和粉尘预处理,冲洗管线岩棉保温50mm厚，并配备伴热线。</w:t>
      </w:r>
    </w:p>
    <w:p w14:paraId="3591B72B">
      <w:pPr>
        <w:keepNext w:val="0"/>
        <w:keepLines w:val="0"/>
        <w:widowControl/>
        <w:suppressLineNumbers w:val="0"/>
        <w:ind w:firstLine="480" w:firstLineChars="200"/>
        <w:jc w:val="left"/>
        <w:rPr>
          <w:rFonts w:hint="eastAsia"/>
        </w:rPr>
      </w:pPr>
      <w:r>
        <w:rPr>
          <w:rFonts w:hint="eastAsia"/>
          <w:lang w:eastAsia="zh-CN"/>
        </w:rPr>
        <w:t>（</w:t>
      </w:r>
      <w:r>
        <w:rPr>
          <w:rFonts w:hint="eastAsia"/>
          <w:lang w:val="en-US" w:eastAsia="zh-CN"/>
        </w:rPr>
        <w:t>2</w:t>
      </w:r>
      <w:r>
        <w:rPr>
          <w:rFonts w:hint="eastAsia"/>
          <w:lang w:eastAsia="zh-CN"/>
        </w:rPr>
        <w:t>）</w:t>
      </w:r>
      <w:r>
        <w:rPr>
          <w:rFonts w:hint="eastAsia"/>
        </w:rPr>
        <w:t>除尘器方案及治理工艺</w:t>
      </w:r>
    </w:p>
    <w:p w14:paraId="4429B3AB">
      <w:pPr>
        <w:keepNext w:val="0"/>
        <w:keepLines w:val="0"/>
        <w:widowControl/>
        <w:suppressLineNumbers w:val="0"/>
        <w:ind w:firstLine="480" w:firstLineChars="200"/>
        <w:jc w:val="left"/>
        <w:rPr>
          <w:rFonts w:hint="eastAsia"/>
        </w:rPr>
      </w:pPr>
      <w:r>
        <w:rPr>
          <w:rFonts w:hint="eastAsia"/>
        </w:rPr>
        <w:t>针对每个粉尘发生源经吸尘罩进行捕集。粉尘进行管道集中后，进入收尘系统，由旋流迷宫水浴+高效喷淋除尘系统进行净化处理。除尘器整体保温（岩棉厚度100mm，容重100Kg，外部彩板0.6mm厚，颜色根据甲方要求）</w:t>
      </w:r>
    </w:p>
    <w:p w14:paraId="5BBAE227">
      <w:pPr>
        <w:keepNext w:val="0"/>
        <w:keepLines w:val="0"/>
        <w:widowControl/>
        <w:suppressLineNumbers w:val="0"/>
        <w:ind w:firstLine="480" w:firstLineChars="200"/>
        <w:jc w:val="left"/>
        <w:rPr>
          <w:rFonts w:hint="eastAsia"/>
        </w:rPr>
      </w:pPr>
      <w:r>
        <w:rPr>
          <w:rFonts w:hint="eastAsia"/>
        </w:rPr>
        <w:t>含尘气体经过管道输送至高效喷淋除尘系统中，与经过喷淋处理后的小液滴进行充分混合碰撞吸附后，形成小颗粒聚合物，小颗粒聚合物再碰撞后变成大颗粒聚合物，借助重力及旋流双重作用，滴落至沉淀池，产生污泥如果生产用不完，经过挖机清理，装至车辆运输返回再次循环利用，再次定期排污水使循环水始终保持比较清洁的状态。</w:t>
      </w:r>
    </w:p>
    <w:p w14:paraId="3B5FA531">
      <w:pPr>
        <w:keepNext w:val="0"/>
        <w:keepLines w:val="0"/>
        <w:widowControl/>
        <w:suppressLineNumbers w:val="0"/>
        <w:ind w:firstLine="480" w:firstLineChars="200"/>
        <w:jc w:val="left"/>
      </w:pPr>
    </w:p>
    <w:p w14:paraId="2D77BE50">
      <w:pPr>
        <w:spacing w:line="500" w:lineRule="exact"/>
        <w:ind w:firstLine="480" w:firstLineChars="200"/>
        <w:jc w:val="both"/>
        <w:rPr>
          <w:rFonts w:hint="eastAsia"/>
        </w:rPr>
      </w:pPr>
      <w:r>
        <w:rPr>
          <w:rFonts w:hint="eastAsia"/>
        </w:rPr>
        <w:t>7.1.2 无组织废气</w:t>
      </w:r>
    </w:p>
    <w:p w14:paraId="3654C034">
      <w:pPr>
        <w:spacing w:line="500" w:lineRule="exact"/>
        <w:ind w:firstLine="480" w:firstLineChars="200"/>
        <w:jc w:val="both"/>
        <w:rPr>
          <w:rFonts w:hint="eastAsia"/>
        </w:rPr>
      </w:pPr>
      <w:r>
        <w:rPr>
          <w:rFonts w:hint="eastAsia"/>
        </w:rPr>
        <w:t>本项目无组织废气包括：原料的装卸、配料混合过程中产生的无组织粉尘。通过对同类企业的调查可知，在不重视预防的情况下，无组织排放的废气对环境的影响比有组织排放的废气对环境的影响大，因此，为减少废气污染物的排放，特别是无组织废气的排放量，本项目应特别注意无组织废气的防治。具体措施包括：</w:t>
      </w:r>
    </w:p>
    <w:p w14:paraId="6309F886">
      <w:pPr>
        <w:spacing w:line="500" w:lineRule="exact"/>
        <w:ind w:firstLine="480" w:firstLineChars="200"/>
        <w:jc w:val="both"/>
        <w:rPr>
          <w:rFonts w:hint="eastAsia"/>
        </w:rPr>
      </w:pPr>
      <w:r>
        <w:rPr>
          <w:rFonts w:hint="eastAsia"/>
        </w:rPr>
        <w:t>（1）采取配料间封闭收集处理，同时提高设备自动化水平，可有效降低粉尘排放。</w:t>
      </w:r>
    </w:p>
    <w:p w14:paraId="449B35E2">
      <w:pPr>
        <w:spacing w:line="500" w:lineRule="exact"/>
        <w:ind w:firstLine="480" w:firstLineChars="200"/>
        <w:jc w:val="both"/>
        <w:rPr>
          <w:rFonts w:hint="eastAsia"/>
        </w:rPr>
      </w:pPr>
      <w:r>
        <w:rPr>
          <w:rFonts w:hint="eastAsia"/>
        </w:rPr>
        <w:t>（2）在厂区外侧设置绿化带，种植对有机废气具有良好吸附效果的植被以降低无组织排放的影响。</w:t>
      </w:r>
    </w:p>
    <w:p w14:paraId="3ED0E0B4">
      <w:pPr>
        <w:spacing w:line="500" w:lineRule="exact"/>
        <w:ind w:firstLine="480" w:firstLineChars="200"/>
        <w:jc w:val="both"/>
        <w:rPr>
          <w:rFonts w:hint="eastAsia"/>
        </w:rPr>
      </w:pPr>
      <w:r>
        <w:rPr>
          <w:rFonts w:hint="eastAsia"/>
        </w:rPr>
        <w:t>（3）加强对运输管线的封闭效果，及时维护，保证密闭效果。</w:t>
      </w:r>
    </w:p>
    <w:p w14:paraId="5DFA0C28">
      <w:pPr>
        <w:spacing w:line="500" w:lineRule="exact"/>
        <w:ind w:firstLine="480" w:firstLineChars="200"/>
        <w:jc w:val="both"/>
        <w:rPr>
          <w:rFonts w:hint="eastAsia"/>
        </w:rPr>
      </w:pPr>
      <w:r>
        <w:rPr>
          <w:rFonts w:hint="eastAsia"/>
        </w:rPr>
        <w:t>（4）企业大宗物料采用水路运输，企业内部采用封闭廊道皮带运输或管道气力输送，减少陆路运输车辆，减少道路扬尘。</w:t>
      </w:r>
    </w:p>
    <w:p w14:paraId="68F854FE">
      <w:pPr>
        <w:keepNext w:val="0"/>
        <w:keepLines w:val="0"/>
        <w:widowControl/>
        <w:suppressLineNumbers w:val="0"/>
        <w:ind w:firstLine="480" w:firstLineChars="200"/>
        <w:jc w:val="left"/>
      </w:pPr>
      <w:r>
        <w:rPr>
          <w:rFonts w:hint="eastAsia"/>
        </w:rPr>
        <w:t>（5）在氨水储罐</w:t>
      </w:r>
      <w:r>
        <w:rPr>
          <w:rFonts w:hint="eastAsia"/>
          <w:lang w:val="en-US" w:eastAsia="zh-CN"/>
        </w:rPr>
        <w:t>旁</w:t>
      </w:r>
      <w:r>
        <w:rPr>
          <w:rFonts w:hint="eastAsia"/>
        </w:rPr>
        <w:t>安装一台水封罐，氨水储罐的出气口接入水封罐中，利用氨气易溶于水原理，将氨水溶于水封罐中，再定期将水封罐中一定浓度的氨水放至</w:t>
      </w:r>
      <w:r>
        <w:rPr>
          <w:rFonts w:hint="eastAsia" w:ascii="宋体" w:hAnsi="宋体" w:eastAsia="宋体" w:cs="宋体"/>
          <w:color w:val="000000"/>
          <w:kern w:val="0"/>
          <w:sz w:val="24"/>
          <w:szCs w:val="24"/>
          <w:lang w:val="en-US" w:eastAsia="zh-CN" w:bidi="ar"/>
        </w:rPr>
        <w:t xml:space="preserve">氨水罐中，降低废气排放量。 </w:t>
      </w:r>
    </w:p>
    <w:p w14:paraId="0A7E2DA7">
      <w:pPr>
        <w:pStyle w:val="133"/>
        <w:rPr>
          <w:rFonts w:ascii="Times New Roman" w:hAnsi="Times New Roman" w:eastAsia="宋体" w:cs="Times New Roman"/>
          <w:b/>
        </w:rPr>
      </w:pPr>
      <w:r>
        <w:rPr>
          <w:rFonts w:ascii="Times New Roman" w:hAnsi="Times New Roman" w:eastAsia="宋体" w:cs="Times New Roman"/>
          <w:b/>
          <w:lang w:val="en-US" w:eastAsia="zh-CN"/>
        </w:rPr>
        <w:t xml:space="preserve">7.1.3 </w:t>
      </w:r>
      <w:r>
        <w:rPr>
          <w:rFonts w:hint="eastAsia" w:ascii="Times New Roman" w:hAnsi="Times New Roman" w:eastAsia="宋体" w:cs="Times New Roman"/>
          <w:b/>
          <w:lang w:val="en-US" w:eastAsia="zh-CN"/>
        </w:rPr>
        <w:t xml:space="preserve">非正常排放控制措施 </w:t>
      </w:r>
    </w:p>
    <w:p w14:paraId="106FB643">
      <w:pPr>
        <w:keepNext w:val="0"/>
        <w:keepLines w:val="0"/>
        <w:widowControl/>
        <w:suppressLineNumbers w:val="0"/>
        <w:ind w:firstLine="480" w:firstLineChars="200"/>
        <w:jc w:val="left"/>
      </w:pPr>
      <w:r>
        <w:rPr>
          <w:rFonts w:hint="eastAsia" w:ascii="宋体" w:hAnsi="宋体" w:eastAsia="宋体" w:cs="宋体"/>
          <w:color w:val="000000"/>
          <w:kern w:val="0"/>
          <w:sz w:val="24"/>
          <w:szCs w:val="24"/>
          <w:lang w:val="en-US" w:eastAsia="zh-CN" w:bidi="ar"/>
        </w:rPr>
        <w:t xml:space="preserve">非正常排放情况主要是处理效率降低时废气排放量突然增大的情况，本项目拟采取以下处理措施进行处理： </w:t>
      </w:r>
    </w:p>
    <w:p w14:paraId="4C3ED66F">
      <w:pPr>
        <w:keepNext w:val="0"/>
        <w:keepLines w:val="0"/>
        <w:widowControl/>
        <w:suppressLineNumbers w:val="0"/>
        <w:ind w:firstLine="480" w:firstLineChars="200"/>
        <w:jc w:val="left"/>
      </w:pPr>
      <w:r>
        <w:rPr>
          <w:rFonts w:hint="eastAsia" w:ascii="宋体" w:hAnsi="宋体" w:eastAsia="宋体" w:cs="宋体"/>
          <w:color w:val="000000"/>
          <w:kern w:val="0"/>
          <w:sz w:val="24"/>
          <w:szCs w:val="24"/>
          <w:lang w:val="en-US" w:eastAsia="zh-CN" w:bidi="ar"/>
        </w:rPr>
        <w:t>（</w:t>
      </w:r>
      <w:r>
        <w:rPr>
          <w:rFonts w:hint="default" w:ascii="Times New Roman" w:hAnsi="Times New Roman" w:eastAsia="宋体" w:cs="Times New Roman"/>
          <w:color w:val="000000"/>
          <w:kern w:val="0"/>
          <w:sz w:val="24"/>
          <w:szCs w:val="24"/>
          <w:lang w:val="en-US" w:eastAsia="zh-CN" w:bidi="ar"/>
        </w:rPr>
        <w:t>1</w:t>
      </w:r>
      <w:r>
        <w:rPr>
          <w:rFonts w:hint="eastAsia" w:ascii="宋体" w:hAnsi="宋体" w:eastAsia="宋体" w:cs="宋体"/>
          <w:color w:val="000000"/>
          <w:kern w:val="0"/>
          <w:sz w:val="24"/>
          <w:szCs w:val="24"/>
          <w:lang w:val="en-US" w:eastAsia="zh-CN" w:bidi="ar"/>
        </w:rPr>
        <w:t xml:space="preserve">）提高设备自动控制水平，生产线上尽量采用自动监控、报警装置；并加强废气处理装置的管理，防止废气处理装置饱和而造成非正常排放的情况。 </w:t>
      </w:r>
    </w:p>
    <w:p w14:paraId="7E72DCB6">
      <w:pPr>
        <w:keepNext w:val="0"/>
        <w:keepLines w:val="0"/>
        <w:widowControl/>
        <w:suppressLineNumbers w:val="0"/>
        <w:ind w:firstLine="480" w:firstLineChars="200"/>
        <w:jc w:val="left"/>
      </w:pPr>
      <w:r>
        <w:rPr>
          <w:rFonts w:hint="eastAsia" w:ascii="宋体" w:hAnsi="宋体" w:eastAsia="宋体" w:cs="宋体"/>
          <w:color w:val="000000"/>
          <w:kern w:val="0"/>
          <w:sz w:val="24"/>
          <w:szCs w:val="24"/>
          <w:lang w:val="en-US" w:eastAsia="zh-CN" w:bidi="ar"/>
        </w:rPr>
        <w:t>（</w:t>
      </w:r>
      <w:r>
        <w:rPr>
          <w:rFonts w:hint="default" w:ascii="Times New Roman" w:hAnsi="Times New Roman" w:eastAsia="宋体" w:cs="Times New Roman"/>
          <w:color w:val="000000"/>
          <w:kern w:val="0"/>
          <w:sz w:val="24"/>
          <w:szCs w:val="24"/>
          <w:lang w:val="en-US" w:eastAsia="zh-CN" w:bidi="ar"/>
        </w:rPr>
        <w:t>2</w:t>
      </w:r>
      <w:r>
        <w:rPr>
          <w:rFonts w:hint="eastAsia" w:ascii="宋体" w:hAnsi="宋体" w:eastAsia="宋体" w:cs="宋体"/>
          <w:color w:val="000000"/>
          <w:kern w:val="0"/>
          <w:sz w:val="24"/>
          <w:szCs w:val="24"/>
          <w:lang w:val="en-US" w:eastAsia="zh-CN" w:bidi="ar"/>
        </w:rPr>
        <w:t xml:space="preserve">）加强生产的监督和管理，对可能出现的非正常排放情况制定预案或应急措施，出现非正常排放时及时妥善处理。 </w:t>
      </w:r>
    </w:p>
    <w:p w14:paraId="2D32AA60">
      <w:pPr>
        <w:keepNext w:val="0"/>
        <w:keepLines w:val="0"/>
        <w:widowControl/>
        <w:suppressLineNumbers w:val="0"/>
        <w:ind w:firstLine="480" w:firstLineChars="200"/>
        <w:jc w:val="left"/>
      </w:pPr>
      <w:r>
        <w:rPr>
          <w:rFonts w:hint="eastAsia" w:ascii="宋体" w:hAnsi="宋体" w:eastAsia="宋体" w:cs="宋体"/>
          <w:color w:val="000000"/>
          <w:kern w:val="0"/>
          <w:sz w:val="24"/>
          <w:szCs w:val="24"/>
          <w:lang w:val="en-US" w:eastAsia="zh-CN" w:bidi="ar"/>
        </w:rPr>
        <w:t>（</w:t>
      </w:r>
      <w:r>
        <w:rPr>
          <w:rFonts w:hint="default" w:ascii="Times New Roman" w:hAnsi="Times New Roman" w:eastAsia="宋体" w:cs="Times New Roman"/>
          <w:color w:val="000000"/>
          <w:kern w:val="0"/>
          <w:sz w:val="24"/>
          <w:szCs w:val="24"/>
          <w:lang w:val="en-US" w:eastAsia="zh-CN" w:bidi="ar"/>
        </w:rPr>
        <w:t>3</w:t>
      </w:r>
      <w:r>
        <w:rPr>
          <w:rFonts w:hint="eastAsia" w:ascii="宋体" w:hAnsi="宋体" w:eastAsia="宋体" w:cs="宋体"/>
          <w:color w:val="000000"/>
          <w:kern w:val="0"/>
          <w:sz w:val="24"/>
          <w:szCs w:val="24"/>
          <w:lang w:val="en-US" w:eastAsia="zh-CN" w:bidi="ar"/>
        </w:rPr>
        <w:t xml:space="preserve">）开车过程中，应先运行废气处理装置，后运行生产装置。 </w:t>
      </w:r>
    </w:p>
    <w:p w14:paraId="4E989719">
      <w:pPr>
        <w:keepNext w:val="0"/>
        <w:keepLines w:val="0"/>
        <w:widowControl/>
        <w:suppressLineNumbers w:val="0"/>
        <w:ind w:firstLine="480" w:firstLineChars="200"/>
        <w:jc w:val="left"/>
      </w:pPr>
      <w:r>
        <w:rPr>
          <w:rFonts w:hint="eastAsia" w:ascii="宋体" w:hAnsi="宋体" w:eastAsia="宋体" w:cs="宋体"/>
          <w:color w:val="000000"/>
          <w:kern w:val="0"/>
          <w:sz w:val="24"/>
          <w:szCs w:val="24"/>
          <w:lang w:val="en-US" w:eastAsia="zh-CN" w:bidi="ar"/>
        </w:rPr>
        <w:t>（</w:t>
      </w:r>
      <w:r>
        <w:rPr>
          <w:rFonts w:hint="default" w:ascii="Times New Roman" w:hAnsi="Times New Roman" w:eastAsia="宋体" w:cs="Times New Roman"/>
          <w:color w:val="000000"/>
          <w:kern w:val="0"/>
          <w:sz w:val="24"/>
          <w:szCs w:val="24"/>
          <w:lang w:val="en-US" w:eastAsia="zh-CN" w:bidi="ar"/>
        </w:rPr>
        <w:t>4</w:t>
      </w:r>
      <w:r>
        <w:rPr>
          <w:rFonts w:hint="eastAsia" w:ascii="宋体" w:hAnsi="宋体" w:eastAsia="宋体" w:cs="宋体"/>
          <w:color w:val="000000"/>
          <w:kern w:val="0"/>
          <w:sz w:val="24"/>
          <w:szCs w:val="24"/>
          <w:lang w:val="en-US" w:eastAsia="zh-CN" w:bidi="ar"/>
        </w:rPr>
        <w:t xml:space="preserve">）停车过程中，应先停止生产装置，后停止废气处理装置，在确保废气有效处理后再停止废气处理装置。 </w:t>
      </w:r>
    </w:p>
    <w:p w14:paraId="5F5082F3">
      <w:pPr>
        <w:keepNext w:val="0"/>
        <w:keepLines w:val="0"/>
        <w:widowControl/>
        <w:suppressLineNumbers w:val="0"/>
        <w:ind w:firstLine="480" w:firstLineChars="200"/>
        <w:jc w:val="left"/>
      </w:pPr>
      <w:r>
        <w:rPr>
          <w:rFonts w:hint="eastAsia" w:ascii="宋体" w:hAnsi="宋体" w:eastAsia="宋体" w:cs="宋体"/>
          <w:color w:val="000000"/>
          <w:kern w:val="0"/>
          <w:sz w:val="24"/>
          <w:szCs w:val="24"/>
          <w:lang w:val="en-US" w:eastAsia="zh-CN" w:bidi="ar"/>
        </w:rPr>
        <w:t>（</w:t>
      </w:r>
      <w:r>
        <w:rPr>
          <w:rFonts w:hint="default" w:ascii="Times New Roman" w:hAnsi="Times New Roman" w:eastAsia="宋体" w:cs="Times New Roman"/>
          <w:color w:val="000000"/>
          <w:kern w:val="0"/>
          <w:sz w:val="24"/>
          <w:szCs w:val="24"/>
          <w:lang w:val="en-US" w:eastAsia="zh-CN" w:bidi="ar"/>
        </w:rPr>
        <w:t>5</w:t>
      </w:r>
      <w:r>
        <w:rPr>
          <w:rFonts w:hint="eastAsia" w:ascii="宋体" w:hAnsi="宋体" w:eastAsia="宋体" w:cs="宋体"/>
          <w:color w:val="000000"/>
          <w:kern w:val="0"/>
          <w:sz w:val="24"/>
          <w:szCs w:val="24"/>
          <w:lang w:val="en-US" w:eastAsia="zh-CN" w:bidi="ar"/>
        </w:rPr>
        <w:t xml:space="preserve">）检修过程中，应与停车的操作规程一致，先停止生产装置，后停止废气处理装置，确保废气通过送至废气处理装置处理后通过排气筒排放。 </w:t>
      </w:r>
    </w:p>
    <w:p w14:paraId="26FAFA06">
      <w:pPr>
        <w:keepNext w:val="0"/>
        <w:keepLines w:val="0"/>
        <w:widowControl/>
        <w:suppressLineNumbers w:val="0"/>
        <w:ind w:firstLine="480" w:firstLineChars="200"/>
        <w:jc w:val="left"/>
      </w:pPr>
      <w:r>
        <w:rPr>
          <w:rFonts w:hint="eastAsia" w:ascii="宋体" w:hAnsi="宋体" w:eastAsia="宋体" w:cs="宋体"/>
          <w:color w:val="000000"/>
          <w:kern w:val="0"/>
          <w:sz w:val="24"/>
          <w:szCs w:val="24"/>
          <w:lang w:val="en-US" w:eastAsia="zh-CN" w:bidi="ar"/>
        </w:rPr>
        <w:t>通过以上处理措施处理后，本项目的非正常排放废气可得到有效的控制。</w:t>
      </w:r>
    </w:p>
    <w:bookmarkEnd w:id="584"/>
    <w:bookmarkEnd w:id="585"/>
    <w:bookmarkEnd w:id="586"/>
    <w:bookmarkEnd w:id="587"/>
    <w:bookmarkEnd w:id="588"/>
    <w:bookmarkEnd w:id="589"/>
    <w:bookmarkEnd w:id="590"/>
    <w:bookmarkEnd w:id="591"/>
    <w:bookmarkEnd w:id="592"/>
    <w:bookmarkEnd w:id="593"/>
    <w:bookmarkEnd w:id="594"/>
    <w:bookmarkEnd w:id="595"/>
    <w:p w14:paraId="07AE6BC9">
      <w:pPr>
        <w:pStyle w:val="7"/>
      </w:pPr>
      <w:bookmarkStart w:id="608" w:name="_Toc90026339"/>
      <w:bookmarkStart w:id="609" w:name="_Toc10487"/>
      <w:bookmarkStart w:id="610" w:name="_Toc151276209"/>
      <w:bookmarkStart w:id="611" w:name="_Toc151200156"/>
      <w:bookmarkStart w:id="612" w:name="_Toc151200316"/>
      <w:bookmarkStart w:id="613" w:name="_Toc151258790"/>
      <w:r>
        <w:rPr>
          <w:lang w:eastAsia="zh-CN"/>
        </w:rPr>
        <w:t>7.2.2</w:t>
      </w:r>
      <w:r>
        <w:t xml:space="preserve"> 水环境保护措施及可行性分析</w:t>
      </w:r>
      <w:bookmarkEnd w:id="608"/>
      <w:bookmarkEnd w:id="609"/>
    </w:p>
    <w:p w14:paraId="3B2ECD60">
      <w:pPr>
        <w:spacing w:line="500" w:lineRule="exact"/>
        <w:ind w:firstLine="480" w:firstLineChars="200"/>
        <w:jc w:val="both"/>
        <w:rPr>
          <w:rFonts w:ascii="Times New Roman" w:hAnsi="Times New Roman" w:cs="Times New Roman"/>
        </w:rPr>
      </w:pPr>
      <w:r>
        <w:rPr>
          <w:rFonts w:hint="eastAsia" w:ascii="Times New Roman" w:hAnsi="Times New Roman" w:cs="Times New Roman"/>
        </w:rPr>
        <w:t>厂区现有</w:t>
      </w:r>
      <w:r>
        <w:rPr>
          <w:rFonts w:ascii="Times New Roman" w:hAnsi="Times New Roman" w:cs="Times New Roman"/>
        </w:rPr>
        <w:t>排水实行雨污分流制：</w:t>
      </w:r>
      <w:r>
        <w:rPr>
          <w:rFonts w:hint="eastAsia" w:cs="Times New Roman"/>
        </w:rPr>
        <w:t>①</w:t>
      </w:r>
      <w:r>
        <w:rPr>
          <w:rFonts w:hint="eastAsia" w:ascii="Times New Roman" w:hAnsi="Times New Roman" w:cs="Times New Roman"/>
        </w:rPr>
        <w:t xml:space="preserve"> </w:t>
      </w:r>
      <w:r>
        <w:rPr>
          <w:rFonts w:ascii="Times New Roman" w:hAnsi="Times New Roman" w:cs="Times New Roman"/>
        </w:rPr>
        <w:t>雨水经厂区路面和屋顶收集，排入</w:t>
      </w:r>
      <w:r>
        <w:rPr>
          <w:rFonts w:hint="eastAsia" w:ascii="Times New Roman" w:hAnsi="Times New Roman" w:cs="Times New Roman"/>
          <w:lang w:val="en-US" w:eastAsia="zh-CN"/>
        </w:rPr>
        <w:t>雨水池</w:t>
      </w:r>
      <w:r>
        <w:rPr>
          <w:rFonts w:ascii="Times New Roman" w:hAnsi="Times New Roman" w:cs="Times New Roman"/>
        </w:rPr>
        <w:t>，就近流入地表水体。</w:t>
      </w:r>
      <w:r>
        <w:rPr>
          <w:rFonts w:hint="eastAsia" w:cs="Times New Roman"/>
        </w:rPr>
        <w:t>②</w:t>
      </w:r>
      <w:r>
        <w:rPr>
          <w:rFonts w:hint="eastAsia" w:ascii="Times New Roman" w:hAnsi="Times New Roman" w:cs="Times New Roman"/>
        </w:rPr>
        <w:t xml:space="preserve"> 生产废水主要为净循环水，循环使用</w:t>
      </w:r>
      <w:r>
        <w:rPr>
          <w:rFonts w:hint="eastAsia" w:ascii="Times New Roman" w:hAnsi="Times New Roman" w:cs="Times New Roman"/>
          <w:lang w:eastAsia="zh-CN"/>
        </w:rPr>
        <w:t>，</w:t>
      </w:r>
      <w:r>
        <w:rPr>
          <w:rFonts w:hint="eastAsia" w:ascii="Times New Roman" w:hAnsi="Times New Roman" w:cs="Times New Roman"/>
        </w:rPr>
        <w:t>少量循环冷却排污水送高炉冲渣补充水不外排。</w:t>
      </w:r>
      <w:r>
        <w:rPr>
          <w:rFonts w:hint="eastAsia" w:cs="Times New Roman"/>
        </w:rPr>
        <w:t xml:space="preserve">③ </w:t>
      </w:r>
      <w:r>
        <w:rPr>
          <w:rFonts w:hint="eastAsia" w:ascii="Times New Roman" w:hAnsi="Times New Roman" w:cs="Times New Roman"/>
        </w:rPr>
        <w:t>生活污水</w:t>
      </w:r>
      <w:r>
        <w:rPr>
          <w:rFonts w:ascii="Times New Roman" w:hAnsi="Times New Roman" w:cs="Times New Roman"/>
        </w:rPr>
        <w:t>汇入</w:t>
      </w:r>
      <w:r>
        <w:rPr>
          <w:rFonts w:hint="eastAsia" w:ascii="Times New Roman" w:hAnsi="Times New Roman" w:cs="Times New Roman"/>
        </w:rPr>
        <w:t>厂区</w:t>
      </w:r>
      <w:r>
        <w:rPr>
          <w:rFonts w:ascii="Times New Roman" w:hAnsi="Times New Roman" w:cs="Times New Roman"/>
        </w:rPr>
        <w:t>化粪池，</w:t>
      </w:r>
      <w:r>
        <w:rPr>
          <w:rFonts w:hint="eastAsia" w:ascii="Times New Roman" w:hAnsi="Times New Roman" w:cs="Times New Roman"/>
          <w:lang w:val="en-US" w:eastAsia="zh-CN"/>
        </w:rPr>
        <w:t>定期清掏</w:t>
      </w:r>
      <w:r>
        <w:rPr>
          <w:rFonts w:ascii="Times New Roman" w:hAnsi="Times New Roman" w:cs="Times New Roman"/>
        </w:rPr>
        <w:t>。</w:t>
      </w:r>
    </w:p>
    <w:p w14:paraId="62BD8BDA">
      <w:pPr>
        <w:spacing w:line="500" w:lineRule="exact"/>
        <w:ind w:firstLine="480" w:firstLineChars="200"/>
        <w:jc w:val="both"/>
        <w:rPr>
          <w:rFonts w:hint="eastAsia" w:ascii="Times New Roman" w:hAnsi="Times New Roman" w:cs="Times New Roman"/>
        </w:rPr>
      </w:pPr>
      <w:r>
        <w:rPr>
          <w:rFonts w:hint="eastAsia" w:ascii="Times New Roman" w:hAnsi="Times New Roman" w:cs="Times New Roman"/>
        </w:rPr>
        <w:t>根据影响因素分析，本项目不新增劳动定员，无新增生活污水。本项目少量循环冷却排污水送高炉冲渣补充水。脱硫废水</w:t>
      </w:r>
      <w:r>
        <w:rPr>
          <w:rFonts w:hint="eastAsia" w:ascii="Times New Roman" w:hAnsi="Times New Roman" w:cs="Times New Roman"/>
          <w:lang w:val="en-US" w:eastAsia="zh-CN"/>
        </w:rPr>
        <w:t>循环使用</w:t>
      </w:r>
      <w:r>
        <w:rPr>
          <w:rFonts w:hint="eastAsia" w:ascii="Times New Roman" w:hAnsi="Times New Roman" w:cs="Times New Roman"/>
        </w:rPr>
        <w:t>，无废水外排。</w:t>
      </w:r>
    </w:p>
    <w:p w14:paraId="34D2DFC3">
      <w:pPr>
        <w:spacing w:line="500" w:lineRule="exact"/>
        <w:ind w:firstLine="480" w:firstLineChars="200"/>
        <w:jc w:val="both"/>
        <w:rPr>
          <w:rFonts w:hint="eastAsia" w:ascii="Times New Roman" w:hAnsi="Times New Roman" w:cs="Times New Roman"/>
        </w:rPr>
      </w:pPr>
      <w:r>
        <w:rPr>
          <w:rFonts w:hint="eastAsia" w:ascii="Times New Roman" w:hAnsi="Times New Roman" w:cs="Times New Roman"/>
        </w:rPr>
        <w:t>综上所述，本项目废水全部回用不外排，</w:t>
      </w:r>
      <w:r>
        <w:rPr>
          <w:rFonts w:hint="eastAsia" w:ascii="Times New Roman" w:hAnsi="Times New Roman" w:cs="Times New Roman"/>
          <w:bCs/>
        </w:rPr>
        <w:t>废水污染防治措施可行。</w:t>
      </w:r>
    </w:p>
    <w:p w14:paraId="2448E2FD">
      <w:pPr>
        <w:pStyle w:val="7"/>
      </w:pPr>
      <w:bookmarkStart w:id="614" w:name="_Toc90026340"/>
      <w:bookmarkStart w:id="615" w:name="_Toc7122"/>
      <w:r>
        <w:rPr>
          <w:lang w:eastAsia="zh-CN"/>
        </w:rPr>
        <w:t>7</w:t>
      </w:r>
      <w:r>
        <w:t>.2.3 地下水污染防治措施</w:t>
      </w:r>
      <w:bookmarkEnd w:id="614"/>
      <w:bookmarkEnd w:id="615"/>
    </w:p>
    <w:p w14:paraId="14C22496">
      <w:pPr>
        <w:spacing w:line="500" w:lineRule="exact"/>
        <w:ind w:right="6" w:firstLine="482" w:firstLineChars="200"/>
        <w:rPr>
          <w:rFonts w:ascii="Times New Roman" w:hAnsi="Times New Roman" w:cs="Times New Roman"/>
          <w:b/>
        </w:rPr>
      </w:pPr>
      <w:r>
        <w:rPr>
          <w:rFonts w:ascii="Times New Roman" w:hAnsi="Times New Roman" w:cs="Times New Roman"/>
          <w:b/>
        </w:rPr>
        <w:t>（1）防治原则</w:t>
      </w:r>
    </w:p>
    <w:p w14:paraId="4E176410">
      <w:pPr>
        <w:spacing w:line="500" w:lineRule="exact"/>
        <w:ind w:right="6" w:firstLine="480" w:firstLineChars="200"/>
        <w:jc w:val="both"/>
        <w:rPr>
          <w:rFonts w:ascii="Times New Roman" w:hAnsi="Times New Roman" w:cs="Times New Roman"/>
        </w:rPr>
      </w:pPr>
      <w:r>
        <w:rPr>
          <w:rFonts w:ascii="Times New Roman" w:hAnsi="Times New Roman" w:cs="Times New Roman"/>
        </w:rPr>
        <w:t>本项目</w:t>
      </w:r>
      <w:r>
        <w:rPr>
          <w:rFonts w:hint="eastAsia" w:ascii="Times New Roman" w:hAnsi="Times New Roman" w:cs="Times New Roman"/>
        </w:rPr>
        <w:t>为技改项目，依托现有循环水池</w:t>
      </w:r>
      <w:r>
        <w:rPr>
          <w:rFonts w:ascii="Times New Roman" w:hAnsi="Times New Roman" w:cs="Times New Roman"/>
        </w:rPr>
        <w:t>和化粪池</w:t>
      </w:r>
      <w:r>
        <w:rPr>
          <w:rFonts w:hint="eastAsia" w:ascii="Times New Roman" w:hAnsi="Times New Roman" w:cs="Times New Roman"/>
        </w:rPr>
        <w:t>，不新增其他可能对地下水产生污染的设施</w:t>
      </w:r>
      <w:r>
        <w:rPr>
          <w:rFonts w:ascii="Times New Roman" w:hAnsi="Times New Roman" w:cs="Times New Roman"/>
        </w:rPr>
        <w:t>。按地下水环境影响评价导则提出的“源头控制、末端治理、污染监控、应急响应”的地下水污染防治要求，结合本项目工程类型及污染源分布，提出以下防治原则：</w:t>
      </w:r>
    </w:p>
    <w:p w14:paraId="7A77460C">
      <w:pPr>
        <w:spacing w:line="500" w:lineRule="exact"/>
        <w:ind w:right="6" w:firstLine="480" w:firstLineChars="200"/>
        <w:jc w:val="both"/>
        <w:rPr>
          <w:rFonts w:ascii="Times New Roman" w:hAnsi="Times New Roman" w:cs="Times New Roman"/>
        </w:rPr>
      </w:pPr>
      <w:r>
        <w:rPr>
          <w:rFonts w:hint="eastAsia"/>
        </w:rPr>
        <w:t>①</w:t>
      </w:r>
      <w:r>
        <w:rPr>
          <w:rFonts w:ascii="Times New Roman" w:hAnsi="Times New Roman" w:cs="Times New Roman"/>
        </w:rPr>
        <w:t>主动控制原则</w:t>
      </w:r>
    </w:p>
    <w:p w14:paraId="05B3B3E4">
      <w:pPr>
        <w:spacing w:line="500" w:lineRule="exact"/>
        <w:ind w:right="6" w:firstLine="480" w:firstLineChars="200"/>
        <w:jc w:val="both"/>
        <w:rPr>
          <w:rFonts w:ascii="Times New Roman" w:hAnsi="Times New Roman" w:cs="Times New Roman"/>
        </w:rPr>
      </w:pPr>
      <w:r>
        <w:rPr>
          <w:rFonts w:ascii="Times New Roman" w:hAnsi="Times New Roman" w:cs="Times New Roman"/>
        </w:rPr>
        <w:t>主动控制，即从源头控制措施，降低和防止污染物跑、冒、滴、漏，将污染物泄漏的环境风险事故降到最低程度。</w:t>
      </w:r>
    </w:p>
    <w:p w14:paraId="2516533E">
      <w:pPr>
        <w:spacing w:line="500" w:lineRule="exact"/>
        <w:ind w:right="6" w:firstLine="480" w:firstLineChars="200"/>
        <w:jc w:val="both"/>
        <w:rPr>
          <w:rFonts w:ascii="Times New Roman" w:hAnsi="Times New Roman" w:cs="Times New Roman"/>
        </w:rPr>
      </w:pPr>
      <w:r>
        <w:rPr>
          <w:rFonts w:hint="eastAsia"/>
        </w:rPr>
        <w:t>②</w:t>
      </w:r>
      <w:r>
        <w:rPr>
          <w:rFonts w:ascii="Times New Roman" w:hAnsi="Times New Roman" w:cs="Times New Roman"/>
        </w:rPr>
        <w:t>被动控制原则</w:t>
      </w:r>
    </w:p>
    <w:p w14:paraId="7BC2584B">
      <w:pPr>
        <w:spacing w:line="500" w:lineRule="exact"/>
        <w:ind w:right="6" w:firstLine="480" w:firstLineChars="200"/>
        <w:jc w:val="both"/>
        <w:rPr>
          <w:rFonts w:ascii="Times New Roman" w:hAnsi="Times New Roman" w:cs="Times New Roman"/>
        </w:rPr>
      </w:pPr>
      <w:r>
        <w:rPr>
          <w:rFonts w:ascii="Times New Roman" w:hAnsi="Times New Roman" w:cs="Times New Roman"/>
        </w:rPr>
        <w:t>被动控制，即末端控制措施，主要包括项目区内污染区地面的防渗措施和泄漏、渗漏污染物收集措施，防止洒落地面的污染物渗入地下，并把滞留在地面的污染物收集起来。</w:t>
      </w:r>
    </w:p>
    <w:p w14:paraId="790DFA86">
      <w:pPr>
        <w:spacing w:line="500" w:lineRule="exact"/>
        <w:ind w:right="6" w:firstLine="480" w:firstLineChars="200"/>
        <w:jc w:val="both"/>
        <w:rPr>
          <w:rFonts w:ascii="Times New Roman" w:hAnsi="Times New Roman" w:cs="Times New Roman"/>
        </w:rPr>
      </w:pPr>
      <w:r>
        <w:rPr>
          <w:rFonts w:hint="eastAsia"/>
        </w:rPr>
        <w:t>③</w:t>
      </w:r>
      <w:r>
        <w:rPr>
          <w:rFonts w:ascii="Times New Roman" w:hAnsi="Times New Roman" w:cs="Times New Roman"/>
        </w:rPr>
        <w:t>工程措施与污染监控相结合的原则</w:t>
      </w:r>
    </w:p>
    <w:p w14:paraId="15649FE7">
      <w:pPr>
        <w:spacing w:line="500" w:lineRule="exact"/>
        <w:ind w:right="6" w:firstLine="480" w:firstLineChars="200"/>
        <w:jc w:val="both"/>
        <w:rPr>
          <w:rFonts w:ascii="Times New Roman" w:hAnsi="Times New Roman" w:cs="Times New Roman"/>
        </w:rPr>
      </w:pPr>
      <w:r>
        <w:rPr>
          <w:rFonts w:ascii="Times New Roman" w:hAnsi="Times New Roman" w:cs="Times New Roman"/>
        </w:rPr>
        <w:t>采用先进的防渗材料、技术和实施手段，最大限度的强化防渗防污能力；同时对厂区实施定期的地下水污染监控措施，及时发现污染，及时采取措施，及早消除不良影响。</w:t>
      </w:r>
    </w:p>
    <w:p w14:paraId="7C2EC263">
      <w:pPr>
        <w:spacing w:line="500" w:lineRule="exact"/>
        <w:ind w:right="6" w:firstLine="482" w:firstLineChars="200"/>
        <w:rPr>
          <w:rFonts w:ascii="Times New Roman" w:hAnsi="Times New Roman" w:cs="Times New Roman"/>
          <w:b/>
        </w:rPr>
      </w:pPr>
      <w:r>
        <w:rPr>
          <w:rFonts w:ascii="Times New Roman" w:hAnsi="Times New Roman" w:cs="Times New Roman"/>
          <w:b/>
        </w:rPr>
        <w:t>（2）本项目拟采取的地下水防治措施</w:t>
      </w:r>
    </w:p>
    <w:p w14:paraId="1F6BB17A">
      <w:pPr>
        <w:adjustRightInd w:val="0"/>
        <w:snapToGrid w:val="0"/>
        <w:spacing w:line="500" w:lineRule="exact"/>
        <w:ind w:firstLine="480" w:firstLineChars="200"/>
        <w:rPr>
          <w:rFonts w:hint="eastAsia" w:ascii="Times New Roman" w:hAnsi="Times New Roman" w:cs="Times New Roman"/>
          <w:bCs/>
        </w:rPr>
      </w:pPr>
      <w:r>
        <w:rPr>
          <w:rFonts w:hint="eastAsia" w:ascii="Times New Roman" w:hAnsi="Times New Roman" w:cs="Times New Roman"/>
          <w:bCs/>
        </w:rPr>
        <w:t>本次环评对现有工程提出</w:t>
      </w:r>
      <w:r>
        <w:rPr>
          <w:rFonts w:ascii="Times New Roman" w:hAnsi="Times New Roman" w:cs="Times New Roman"/>
          <w:bCs/>
        </w:rPr>
        <w:t>严格的分区防渗措施</w:t>
      </w:r>
      <w:r>
        <w:rPr>
          <w:rFonts w:hint="eastAsia" w:ascii="Times New Roman" w:hAnsi="Times New Roman" w:cs="Times New Roman"/>
          <w:bCs/>
        </w:rPr>
        <w:t>要求</w:t>
      </w:r>
      <w:r>
        <w:rPr>
          <w:rFonts w:ascii="Times New Roman" w:hAnsi="Times New Roman" w:cs="Times New Roman"/>
          <w:bCs/>
        </w:rPr>
        <w:t>，</w:t>
      </w:r>
      <w:r>
        <w:rPr>
          <w:rFonts w:hint="eastAsia" w:ascii="Times New Roman" w:hAnsi="Times New Roman" w:cs="Times New Roman"/>
          <w:bCs/>
        </w:rPr>
        <w:t>若现有工程存在不满足现行防渗措施要求和管理要求的，应严格按要求进行完善，</w:t>
      </w:r>
      <w:r>
        <w:rPr>
          <w:rFonts w:ascii="Times New Roman" w:hAnsi="Times New Roman" w:cs="Times New Roman"/>
          <w:bCs/>
        </w:rPr>
        <w:t>可有效阻止泄漏废水入渗进入含水层中。因此，本项目建设对地下水环境的影响是可接受的。</w:t>
      </w:r>
    </w:p>
    <w:p w14:paraId="6B520C1B">
      <w:pPr>
        <w:spacing w:line="500" w:lineRule="exact"/>
        <w:ind w:right="6" w:firstLine="482" w:firstLineChars="200"/>
        <w:rPr>
          <w:rFonts w:ascii="Times New Roman" w:hAnsi="Times New Roman" w:cs="Times New Roman"/>
          <w:b/>
        </w:rPr>
      </w:pPr>
      <w:r>
        <w:rPr>
          <w:rFonts w:ascii="Times New Roman" w:hAnsi="Times New Roman" w:cs="Times New Roman"/>
          <w:b/>
        </w:rPr>
        <w:t>（3）污染防治措施技术可行性与经济合理性分析</w:t>
      </w:r>
    </w:p>
    <w:p w14:paraId="44968398">
      <w:pPr>
        <w:spacing w:line="500" w:lineRule="exact"/>
        <w:ind w:right="6" w:firstLine="480" w:firstLineChars="200"/>
        <w:rPr>
          <w:rFonts w:ascii="Times New Roman" w:hAnsi="Times New Roman" w:cs="Times New Roman"/>
        </w:rPr>
      </w:pPr>
      <w:r>
        <w:rPr>
          <w:rFonts w:ascii="Times New Roman" w:hAnsi="Times New Roman" w:cs="Times New Roman"/>
        </w:rPr>
        <w:t>本项目对地下水环境的影响主要来自无防渗措施条件下的泄漏，在采取合理有效防渗措施的条件下，项目对地下水体基本不会产生明显影响。</w:t>
      </w:r>
      <w:r>
        <w:rPr>
          <w:rFonts w:hint="eastAsia" w:ascii="Times New Roman" w:hAnsi="Times New Roman" w:cs="Times New Roman"/>
        </w:rPr>
        <w:t>现有工程已基本</w:t>
      </w:r>
      <w:r>
        <w:rPr>
          <w:rFonts w:ascii="Times New Roman" w:hAnsi="Times New Roman" w:cs="Times New Roman"/>
        </w:rPr>
        <w:t>采取</w:t>
      </w:r>
      <w:r>
        <w:rPr>
          <w:rFonts w:hint="eastAsia" w:ascii="Times New Roman" w:hAnsi="Times New Roman" w:cs="Times New Roman"/>
        </w:rPr>
        <w:t>了</w:t>
      </w:r>
      <w:r>
        <w:rPr>
          <w:rFonts w:ascii="Times New Roman" w:hAnsi="Times New Roman" w:cs="Times New Roman"/>
        </w:rPr>
        <w:t>防渗措施，</w:t>
      </w:r>
      <w:r>
        <w:rPr>
          <w:rFonts w:hint="eastAsia" w:ascii="Times New Roman" w:hAnsi="Times New Roman" w:cs="Times New Roman"/>
          <w:bCs/>
        </w:rPr>
        <w:t>现有工程存在不满足现行防渗措施要求和管理要求的，应严格按要求进行完善，采取成熟有效的防渗、监控措施</w:t>
      </w:r>
      <w:r>
        <w:rPr>
          <w:rFonts w:ascii="Times New Roman" w:hAnsi="Times New Roman" w:cs="Times New Roman"/>
        </w:rPr>
        <w:t>。该措施实施后，在降低或防止地下水污染所带来的环境效益及社会效益要远远大于本部分工程投资。因此本次环评提出的措施经济合理，技术可行。</w:t>
      </w:r>
    </w:p>
    <w:p w14:paraId="3205DD7D">
      <w:pPr>
        <w:pStyle w:val="7"/>
      </w:pPr>
      <w:bookmarkStart w:id="616" w:name="_Toc90026341"/>
      <w:bookmarkStart w:id="617" w:name="_Toc10302"/>
      <w:r>
        <w:rPr>
          <w:rFonts w:hint="eastAsia"/>
          <w:lang w:eastAsia="zh-CN"/>
        </w:rPr>
        <w:t>7</w:t>
      </w:r>
      <w:r>
        <w:t>.2.4 固体废物治理措施可行性论证</w:t>
      </w:r>
      <w:bookmarkEnd w:id="616"/>
      <w:bookmarkEnd w:id="617"/>
    </w:p>
    <w:p w14:paraId="2A6D245A">
      <w:pPr>
        <w:pStyle w:val="133"/>
      </w:pPr>
      <w:r>
        <w:rPr>
          <w:rFonts w:hint="eastAsia"/>
          <w:lang w:eastAsia="zh-CN"/>
        </w:rPr>
        <w:t>7</w:t>
      </w:r>
      <w:r>
        <w:t>.2.4.1 固体废物类别</w:t>
      </w:r>
    </w:p>
    <w:p w14:paraId="5BA38A7E">
      <w:pPr>
        <w:spacing w:line="500" w:lineRule="exact"/>
        <w:ind w:firstLine="482"/>
        <w:rPr>
          <w:rFonts w:hint="eastAsia" w:ascii="Times New Roman" w:hAnsi="Times New Roman" w:cs="Times New Roman"/>
        </w:rPr>
      </w:pPr>
      <w:r>
        <w:rPr>
          <w:rFonts w:hint="eastAsia" w:ascii="Times New Roman" w:hAnsi="Times New Roman" w:cs="Times New Roman"/>
        </w:rPr>
        <w:t>技改项目在运营过程产生的固体废弃物主要有除尘灰、除尘灰浆、脱硫灰、废布袋、废矿物油和废脱硝催化剂，除尘灰、除尘灰浆属于一般工业固废，回收后返炉回用；脱硫</w:t>
      </w:r>
      <w:r>
        <w:rPr>
          <w:rFonts w:hint="eastAsia" w:ascii="Times New Roman" w:hAnsi="Times New Roman" w:cs="Times New Roman"/>
          <w:lang w:val="en-US" w:eastAsia="zh-CN"/>
        </w:rPr>
        <w:t>石膏</w:t>
      </w:r>
      <w:r>
        <w:rPr>
          <w:rFonts w:hint="eastAsia" w:ascii="Times New Roman" w:hAnsi="Times New Roman" w:cs="Times New Roman"/>
        </w:rPr>
        <w:t>外售；废布袋收集后定期外售综合利用。</w:t>
      </w:r>
    </w:p>
    <w:p w14:paraId="78AD547A">
      <w:pPr>
        <w:spacing w:line="500" w:lineRule="exact"/>
        <w:ind w:firstLine="482"/>
        <w:rPr>
          <w:rFonts w:hint="eastAsia" w:ascii="Times New Roman" w:hAnsi="Times New Roman" w:cs="Times New Roman"/>
        </w:rPr>
      </w:pPr>
      <w:r>
        <w:rPr>
          <w:rFonts w:hint="eastAsia" w:ascii="Times New Roman" w:hAnsi="Times New Roman" w:cs="Times New Roman"/>
        </w:rPr>
        <w:t>废矿物油委托</w:t>
      </w:r>
      <w:r>
        <w:rPr>
          <w:rFonts w:hint="eastAsia" w:ascii="Times New Roman" w:hAnsi="Times New Roman" w:cs="Times New Roman"/>
          <w:highlight w:val="none"/>
          <w:lang w:val="en-US" w:eastAsia="zh-CN"/>
        </w:rPr>
        <w:t>有资质单位</w:t>
      </w:r>
      <w:r>
        <w:rPr>
          <w:rFonts w:hint="eastAsia" w:ascii="Times New Roman" w:hAnsi="Times New Roman" w:cs="Times New Roman"/>
          <w:highlight w:val="none"/>
        </w:rPr>
        <w:t>处理</w:t>
      </w:r>
      <w:r>
        <w:rPr>
          <w:rFonts w:hint="eastAsia" w:ascii="Times New Roman" w:hAnsi="Times New Roman" w:cs="Times New Roman"/>
        </w:rPr>
        <w:t>处置，已经签订危废处置协议；废催化剂 3 年更换一次，更换后及时委托有资质的单位处理。危险废物有合理的处置去向，能做到合理处置不外排。</w:t>
      </w:r>
    </w:p>
    <w:p w14:paraId="3CB10B0B">
      <w:pPr>
        <w:spacing w:line="500" w:lineRule="exact"/>
        <w:ind w:firstLine="482"/>
        <w:rPr>
          <w:rFonts w:hint="eastAsia" w:ascii="Times New Roman" w:hAnsi="Times New Roman" w:cs="Times New Roman"/>
        </w:rPr>
      </w:pPr>
      <w:r>
        <w:rPr>
          <w:rFonts w:hint="eastAsia" w:ascii="Times New Roman" w:hAnsi="Times New Roman" w:cs="Times New Roman"/>
        </w:rPr>
        <w:t>本项目未新增固体废物类型，拟采取的措施与技改前相同，根据技改前实际运行效果显示，技改项目产生的一般工业固废、危险固废采取以上措施可以实现固废废物合理处理处置。因此，本次技改项目固废废物经过合理的处理处置后，对外环境影响较小。</w:t>
      </w:r>
    </w:p>
    <w:p w14:paraId="376A0671">
      <w:pPr>
        <w:jc w:val="center"/>
      </w:pPr>
      <w:r>
        <w:t>表7.4.1-1 一般工业固废贮存场所基本信息</w:t>
      </w:r>
    </w:p>
    <w:tbl>
      <w:tblPr>
        <w:tblStyle w:val="56"/>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619"/>
        <w:gridCol w:w="1585"/>
        <w:gridCol w:w="592"/>
        <w:gridCol w:w="1411"/>
        <w:gridCol w:w="915"/>
        <w:gridCol w:w="3599"/>
      </w:tblGrid>
      <w:tr w14:paraId="07C263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0" w:type="auto"/>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0022DF32">
            <w:pPr>
              <w:jc w:val="center"/>
              <w:rPr>
                <w:b/>
              </w:rPr>
            </w:pPr>
            <w:r>
              <w:rPr>
                <w:b/>
              </w:rPr>
              <w:t>序号</w:t>
            </w:r>
          </w:p>
        </w:tc>
        <w:tc>
          <w:tcPr>
            <w:tcW w:w="0" w:type="auto"/>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16F8E81D">
            <w:pPr>
              <w:jc w:val="center"/>
              <w:rPr>
                <w:b/>
              </w:rPr>
            </w:pPr>
            <w:r>
              <w:rPr>
                <w:b/>
              </w:rPr>
              <w:t>固废暂存库房</w:t>
            </w:r>
          </w:p>
        </w:tc>
        <w:tc>
          <w:tcPr>
            <w:tcW w:w="0" w:type="auto"/>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36244DBF">
            <w:pPr>
              <w:jc w:val="center"/>
              <w:rPr>
                <w:b/>
              </w:rPr>
            </w:pPr>
            <w:r>
              <w:rPr>
                <w:b/>
              </w:rPr>
              <w:t>数量</w:t>
            </w:r>
          </w:p>
        </w:tc>
        <w:tc>
          <w:tcPr>
            <w:tcW w:w="0" w:type="auto"/>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7CEBAB70">
            <w:pPr>
              <w:jc w:val="center"/>
              <w:rPr>
                <w:b/>
              </w:rPr>
            </w:pPr>
            <w:r>
              <w:rPr>
                <w:b/>
              </w:rPr>
              <w:t>单个容积/面积</w:t>
            </w:r>
          </w:p>
        </w:tc>
        <w:tc>
          <w:tcPr>
            <w:tcW w:w="0" w:type="auto"/>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5816371A">
            <w:pPr>
              <w:jc w:val="center"/>
              <w:rPr>
                <w:b/>
              </w:rPr>
            </w:pPr>
            <w:r>
              <w:rPr>
                <w:b/>
              </w:rPr>
              <w:t>贮存周期</w:t>
            </w:r>
          </w:p>
        </w:tc>
        <w:tc>
          <w:tcPr>
            <w:tcW w:w="0" w:type="auto"/>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560CAB9F">
            <w:pPr>
              <w:jc w:val="center"/>
              <w:rPr>
                <w:b/>
              </w:rPr>
            </w:pPr>
            <w:r>
              <w:rPr>
                <w:b/>
              </w:rPr>
              <w:t>备注</w:t>
            </w:r>
          </w:p>
        </w:tc>
      </w:tr>
      <w:tr w14:paraId="0EE106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0" w:type="auto"/>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1472DBDC">
            <w:r>
              <w:t>1</w:t>
            </w:r>
          </w:p>
        </w:tc>
        <w:tc>
          <w:tcPr>
            <w:tcW w:w="0" w:type="auto"/>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599BB30C">
            <w:r>
              <w:t>干灰</w:t>
            </w:r>
          </w:p>
        </w:tc>
        <w:tc>
          <w:tcPr>
            <w:tcW w:w="592"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172D5215">
            <w:r>
              <w:t>/</w:t>
            </w:r>
          </w:p>
        </w:tc>
        <w:tc>
          <w:tcPr>
            <w:tcW w:w="1411"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0CF78D52">
            <w:r>
              <w:t>/</w:t>
            </w:r>
          </w:p>
        </w:tc>
        <w:tc>
          <w:tcPr>
            <w:tcW w:w="915"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734F1273">
            <w:r>
              <w:t>/</w:t>
            </w:r>
          </w:p>
        </w:tc>
        <w:tc>
          <w:tcPr>
            <w:tcW w:w="0" w:type="auto"/>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5E54DC00">
            <w:r>
              <w:t>顶部配置袋式除尘器，回用于烧结矿的生产</w:t>
            </w:r>
          </w:p>
        </w:tc>
      </w:tr>
      <w:tr w14:paraId="3466AF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0" w:type="auto"/>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49D07688">
            <w:r>
              <w:t>2</w:t>
            </w:r>
          </w:p>
        </w:tc>
        <w:tc>
          <w:tcPr>
            <w:tcW w:w="0" w:type="auto"/>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0A299220">
            <w:r>
              <w:t>除尘灰浆</w:t>
            </w:r>
          </w:p>
        </w:tc>
        <w:tc>
          <w:tcPr>
            <w:tcW w:w="0" w:type="auto"/>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2B5ED708">
            <w:r>
              <w:t>/</w:t>
            </w:r>
          </w:p>
        </w:tc>
        <w:tc>
          <w:tcPr>
            <w:tcW w:w="0" w:type="auto"/>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4AF8D0EB">
            <w:r>
              <w:t>/</w:t>
            </w:r>
          </w:p>
        </w:tc>
        <w:tc>
          <w:tcPr>
            <w:tcW w:w="0" w:type="auto"/>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2BF5E063">
            <w:r>
              <w:t>/</w:t>
            </w:r>
          </w:p>
        </w:tc>
        <w:tc>
          <w:tcPr>
            <w:tcW w:w="0" w:type="auto"/>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4C0E6D43">
            <w:r>
              <w:t>不存储，直接送混合机，回用于烧结矿的生产</w:t>
            </w:r>
          </w:p>
        </w:tc>
      </w:tr>
      <w:tr w14:paraId="52D55A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0" w:type="auto"/>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10294B4A">
            <w:r>
              <w:t>3</w:t>
            </w:r>
          </w:p>
        </w:tc>
        <w:tc>
          <w:tcPr>
            <w:tcW w:w="0" w:type="auto"/>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6BFEE286">
            <w:r>
              <w:t>脱硫灰库</w:t>
            </w:r>
          </w:p>
        </w:tc>
        <w:tc>
          <w:tcPr>
            <w:tcW w:w="592" w:type="dxa"/>
            <w:vMerge w:val="restart"/>
            <w:tcBorders>
              <w:top w:val="single" w:color="000000" w:sz="4" w:space="0"/>
              <w:left w:val="single" w:color="000000" w:sz="4" w:space="0"/>
              <w:right w:val="single" w:color="000000" w:sz="4" w:space="0"/>
            </w:tcBorders>
            <w:noWrap w:val="0"/>
            <w:tcMar>
              <w:left w:w="108" w:type="dxa"/>
              <w:right w:w="108" w:type="dxa"/>
            </w:tcMar>
            <w:vAlign w:val="center"/>
          </w:tcPr>
          <w:p w14:paraId="1E4A3C31">
            <w:r>
              <w:t>1</w:t>
            </w:r>
          </w:p>
        </w:tc>
        <w:tc>
          <w:tcPr>
            <w:tcW w:w="1411" w:type="dxa"/>
            <w:vMerge w:val="restart"/>
            <w:tcBorders>
              <w:top w:val="single" w:color="000000" w:sz="4" w:space="0"/>
              <w:left w:val="single" w:color="000000" w:sz="4" w:space="0"/>
              <w:right w:val="single" w:color="000000" w:sz="4" w:space="0"/>
            </w:tcBorders>
            <w:noWrap w:val="0"/>
            <w:tcMar>
              <w:left w:w="108" w:type="dxa"/>
              <w:right w:w="108" w:type="dxa"/>
            </w:tcMar>
            <w:vAlign w:val="center"/>
          </w:tcPr>
          <w:p w14:paraId="3F868E00">
            <w:r>
              <w:rPr>
                <w:rFonts w:hint="eastAsia"/>
                <w:lang w:val="en-US" w:eastAsia="zh-CN"/>
              </w:rPr>
              <w:t>200</w:t>
            </w:r>
            <w:r>
              <w:t>m²</w:t>
            </w:r>
          </w:p>
        </w:tc>
        <w:tc>
          <w:tcPr>
            <w:tcW w:w="915" w:type="dxa"/>
            <w:vMerge w:val="restart"/>
            <w:tcBorders>
              <w:top w:val="single" w:color="000000" w:sz="4" w:space="0"/>
              <w:left w:val="single" w:color="000000" w:sz="4" w:space="0"/>
              <w:right w:val="single" w:color="000000" w:sz="4" w:space="0"/>
            </w:tcBorders>
            <w:noWrap w:val="0"/>
            <w:tcMar>
              <w:left w:w="108" w:type="dxa"/>
              <w:right w:w="108" w:type="dxa"/>
            </w:tcMar>
            <w:vAlign w:val="center"/>
          </w:tcPr>
          <w:p w14:paraId="078B063F">
            <w:pPr>
              <w:rPr>
                <w:rFonts w:hint="default" w:eastAsia="宋体"/>
                <w:lang w:val="en-US" w:eastAsia="zh-CN"/>
              </w:rPr>
            </w:pPr>
            <w:r>
              <w:rPr>
                <w:rFonts w:hint="eastAsia"/>
                <w:lang w:val="en-US" w:eastAsia="zh-CN"/>
              </w:rPr>
              <w:t>3个月</w:t>
            </w:r>
          </w:p>
        </w:tc>
        <w:tc>
          <w:tcPr>
            <w:tcW w:w="0" w:type="auto"/>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52816F1E">
            <w:r>
              <w:t>储存</w:t>
            </w:r>
            <w:r>
              <w:rPr>
                <w:rFonts w:hint="eastAsia"/>
                <w:lang w:eastAsia="zh-CN"/>
              </w:rPr>
              <w:t>，</w:t>
            </w:r>
            <w:r>
              <w:t>外售，依托现有。</w:t>
            </w:r>
          </w:p>
        </w:tc>
      </w:tr>
      <w:tr w14:paraId="424065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0" w:type="auto"/>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50952D7D">
            <w:r>
              <w:t>4</w:t>
            </w:r>
          </w:p>
        </w:tc>
        <w:tc>
          <w:tcPr>
            <w:tcW w:w="0" w:type="auto"/>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0FB59CA3">
            <w:r>
              <w:t>一般工业</w:t>
            </w:r>
            <w:r>
              <w:rPr>
                <w:rFonts w:hint="eastAsia"/>
                <w:lang w:val="en-US" w:eastAsia="zh-CN"/>
              </w:rPr>
              <w:t>固废</w:t>
            </w:r>
            <w:r>
              <w:t>库房</w:t>
            </w:r>
          </w:p>
        </w:tc>
        <w:tc>
          <w:tcPr>
            <w:tcW w:w="592" w:type="dxa"/>
            <w:vMerge w:val="continue"/>
            <w:tcBorders>
              <w:left w:val="single" w:color="000000" w:sz="4" w:space="0"/>
              <w:bottom w:val="single" w:color="000000" w:sz="4" w:space="0"/>
              <w:right w:val="single" w:color="000000" w:sz="4" w:space="0"/>
            </w:tcBorders>
            <w:noWrap w:val="0"/>
            <w:tcMar>
              <w:left w:w="108" w:type="dxa"/>
              <w:right w:w="108" w:type="dxa"/>
            </w:tcMar>
            <w:vAlign w:val="center"/>
          </w:tcPr>
          <w:p w14:paraId="34D367F5"/>
        </w:tc>
        <w:tc>
          <w:tcPr>
            <w:tcW w:w="1411" w:type="dxa"/>
            <w:vMerge w:val="continue"/>
            <w:tcBorders>
              <w:left w:val="single" w:color="000000" w:sz="4" w:space="0"/>
              <w:bottom w:val="single" w:color="000000" w:sz="4" w:space="0"/>
              <w:right w:val="single" w:color="000000" w:sz="4" w:space="0"/>
            </w:tcBorders>
            <w:noWrap w:val="0"/>
            <w:tcMar>
              <w:left w:w="108" w:type="dxa"/>
              <w:right w:w="108" w:type="dxa"/>
            </w:tcMar>
            <w:vAlign w:val="center"/>
          </w:tcPr>
          <w:p w14:paraId="369878D1"/>
        </w:tc>
        <w:tc>
          <w:tcPr>
            <w:tcW w:w="915" w:type="dxa"/>
            <w:vMerge w:val="continue"/>
            <w:tcBorders>
              <w:left w:val="single" w:color="000000" w:sz="4" w:space="0"/>
              <w:bottom w:val="single" w:color="000000" w:sz="4" w:space="0"/>
              <w:right w:val="single" w:color="000000" w:sz="4" w:space="0"/>
            </w:tcBorders>
            <w:noWrap w:val="0"/>
            <w:tcMar>
              <w:left w:w="108" w:type="dxa"/>
              <w:right w:w="108" w:type="dxa"/>
            </w:tcMar>
            <w:vAlign w:val="center"/>
          </w:tcPr>
          <w:p w14:paraId="6CCCBE10"/>
        </w:tc>
        <w:tc>
          <w:tcPr>
            <w:tcW w:w="0" w:type="auto"/>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2441BB6B">
            <w:r>
              <w:t>储存废布袋，依托现有。</w:t>
            </w:r>
          </w:p>
        </w:tc>
      </w:tr>
    </w:tbl>
    <w:p w14:paraId="79ECF72F">
      <w:pPr>
        <w:ind w:firstLine="480" w:firstLineChars="200"/>
        <w:jc w:val="left"/>
      </w:pPr>
      <w:r>
        <w:t>一般工业固废贮存场所建设应符合《一般工业固体废物贮存和填埋污染控制标准》（GB18599-2020）规定，贮存场构挡土墙等设施，防止一般固废和渗滤液的流失。</w:t>
      </w:r>
    </w:p>
    <w:p w14:paraId="3B723099">
      <w:pPr>
        <w:spacing w:line="500" w:lineRule="exact"/>
        <w:ind w:firstLine="482"/>
        <w:rPr>
          <w:rFonts w:hint="eastAsia"/>
        </w:rPr>
      </w:pPr>
    </w:p>
    <w:p w14:paraId="202287E5">
      <w:pPr>
        <w:pStyle w:val="133"/>
      </w:pPr>
      <w:r>
        <w:rPr>
          <w:rFonts w:hint="eastAsia"/>
          <w:lang w:eastAsia="zh-CN"/>
        </w:rPr>
        <w:t>7</w:t>
      </w:r>
      <w:r>
        <w:t>.2.4.2 一般工业固体废物处置措施可行性分析</w:t>
      </w:r>
    </w:p>
    <w:p w14:paraId="7990D30D">
      <w:pPr>
        <w:spacing w:line="500" w:lineRule="exact"/>
        <w:ind w:firstLine="482"/>
        <w:rPr>
          <w:rFonts w:hint="eastAsia" w:ascii="Times New Roman" w:hAnsi="Times New Roman" w:cs="Times New Roman"/>
        </w:rPr>
      </w:pPr>
      <w:r>
        <w:rPr>
          <w:rFonts w:ascii="Times New Roman" w:hAnsi="Times New Roman" w:cs="Times New Roman"/>
        </w:rPr>
        <w:t>本项目</w:t>
      </w:r>
      <w:r>
        <w:rPr>
          <w:rFonts w:hint="eastAsia" w:ascii="Times New Roman" w:hAnsi="Times New Roman" w:cs="Times New Roman"/>
        </w:rPr>
        <w:t>一般工业固体废物处置措施如下：</w:t>
      </w:r>
    </w:p>
    <w:p w14:paraId="180CAE23">
      <w:pPr>
        <w:spacing w:line="500" w:lineRule="exact"/>
        <w:ind w:firstLine="482"/>
        <w:rPr>
          <w:rFonts w:hint="eastAsia" w:ascii="Times New Roman" w:hAnsi="Times New Roman" w:cs="Times New Roman"/>
          <w:bCs/>
        </w:rPr>
      </w:pPr>
      <w:r>
        <w:rPr>
          <w:rFonts w:hint="eastAsia" w:ascii="Times New Roman" w:hAnsi="Times New Roman" w:cs="Times New Roman"/>
          <w:bCs/>
        </w:rPr>
        <w:t>除尘灰、除尘灰浆回收后返炉回用，脱硫灰</w:t>
      </w:r>
      <w:r>
        <w:rPr>
          <w:rFonts w:hint="eastAsia" w:ascii="Times New Roman" w:hAnsi="Times New Roman" w:cs="Times New Roman"/>
          <w:bCs/>
          <w:lang w:val="en-US" w:eastAsia="zh-CN"/>
        </w:rPr>
        <w:t>外售</w:t>
      </w:r>
      <w:r>
        <w:rPr>
          <w:rFonts w:hint="eastAsia" w:ascii="Times New Roman" w:hAnsi="Times New Roman" w:cs="Times New Roman"/>
          <w:bCs/>
        </w:rPr>
        <w:t>，废布袋外售综合利用。生活垃圾主要为职工日常生活和办公区产生，设置若干个垃圾桶进行收集，委托环卫部门统一清运。</w:t>
      </w:r>
    </w:p>
    <w:p w14:paraId="1A383BBE">
      <w:pPr>
        <w:spacing w:line="500" w:lineRule="exact"/>
        <w:ind w:firstLine="482"/>
        <w:rPr>
          <w:rFonts w:ascii="Times New Roman" w:hAnsi="Times New Roman" w:cs="Times New Roman"/>
          <w:bCs/>
        </w:rPr>
      </w:pPr>
      <w:r>
        <w:rPr>
          <w:rFonts w:hint="eastAsia" w:ascii="Times New Roman" w:hAnsi="Times New Roman" w:cs="Times New Roman"/>
          <w:bCs/>
        </w:rPr>
        <w:t>根据上述分析可知，技改项目产生的一般工业固废、危险废物可以得到有效的处理处置，对外环境影响较小。</w:t>
      </w:r>
    </w:p>
    <w:p w14:paraId="711261BD">
      <w:pPr>
        <w:spacing w:line="500" w:lineRule="exact"/>
        <w:ind w:firstLine="480" w:firstLineChars="200"/>
        <w:jc w:val="both"/>
        <w:rPr>
          <w:rFonts w:ascii="Times New Roman" w:hAnsi="Times New Roman" w:cs="Times New Roman"/>
          <w:highlight w:val="none"/>
        </w:rPr>
      </w:pPr>
      <w:r>
        <w:rPr>
          <w:rFonts w:hint="eastAsia" w:ascii="Times New Roman" w:hAnsi="Times New Roman" w:cs="Times New Roman"/>
          <w:highlight w:val="none"/>
        </w:rPr>
        <w:t>厂</w:t>
      </w:r>
      <w:r>
        <w:rPr>
          <w:rFonts w:ascii="Times New Roman" w:hAnsi="Times New Roman" w:cs="Times New Roman"/>
          <w:highlight w:val="none"/>
        </w:rPr>
        <w:t>内设置一座</w:t>
      </w:r>
      <w:r>
        <w:rPr>
          <w:rFonts w:hint="eastAsia" w:ascii="Times New Roman" w:hAnsi="Times New Roman" w:cs="Times New Roman"/>
          <w:highlight w:val="none"/>
          <w:lang w:val="en-US" w:eastAsia="zh-CN"/>
        </w:rPr>
        <w:t>200</w:t>
      </w:r>
      <w:r>
        <w:rPr>
          <w:rFonts w:ascii="Times New Roman" w:hAnsi="Times New Roman" w:cs="Times New Roman"/>
          <w:highlight w:val="none"/>
        </w:rPr>
        <w:t>m</w:t>
      </w:r>
      <w:r>
        <w:rPr>
          <w:rFonts w:ascii="Times New Roman" w:hAnsi="Times New Roman" w:cs="Times New Roman"/>
          <w:highlight w:val="none"/>
          <w:vertAlign w:val="superscript"/>
        </w:rPr>
        <w:t>2</w:t>
      </w:r>
      <w:r>
        <w:rPr>
          <w:rFonts w:ascii="Times New Roman" w:hAnsi="Times New Roman" w:cs="Times New Roman"/>
          <w:highlight w:val="none"/>
        </w:rPr>
        <w:t>的</w:t>
      </w:r>
      <w:r>
        <w:rPr>
          <w:rFonts w:hint="eastAsia" w:ascii="Times New Roman" w:hAnsi="Times New Roman" w:cs="Times New Roman"/>
          <w:highlight w:val="none"/>
          <w:lang w:val="en-US" w:eastAsia="zh-CN"/>
        </w:rPr>
        <w:t>一般固体废物库</w:t>
      </w:r>
      <w:r>
        <w:rPr>
          <w:rFonts w:ascii="Times New Roman" w:hAnsi="Times New Roman" w:cs="Times New Roman"/>
          <w:highlight w:val="none"/>
        </w:rPr>
        <w:t>，</w:t>
      </w:r>
      <w:r>
        <w:rPr>
          <w:rFonts w:hint="eastAsia" w:ascii="Times New Roman" w:hAnsi="Times New Roman" w:cs="Times New Roman"/>
          <w:highlight w:val="none"/>
        </w:rPr>
        <w:t>用以</w:t>
      </w:r>
      <w:r>
        <w:rPr>
          <w:highlight w:val="none"/>
        </w:rPr>
        <w:t>脱硫灰</w:t>
      </w:r>
      <w:r>
        <w:rPr>
          <w:rFonts w:hint="eastAsia"/>
          <w:highlight w:val="none"/>
          <w:lang w:eastAsia="zh-CN"/>
        </w:rPr>
        <w:t>、</w:t>
      </w:r>
      <w:r>
        <w:rPr>
          <w:rFonts w:hint="eastAsia"/>
          <w:highlight w:val="none"/>
          <w:lang w:val="en-US" w:eastAsia="zh-CN"/>
        </w:rPr>
        <w:t>废布袋</w:t>
      </w:r>
      <w:r>
        <w:rPr>
          <w:rFonts w:hint="eastAsia" w:ascii="Times New Roman" w:hAnsi="Times New Roman" w:cs="Times New Roman"/>
          <w:highlight w:val="none"/>
        </w:rPr>
        <w:t>以及其他一般固体废物，本次环评要求建设单位按</w:t>
      </w:r>
      <w:r>
        <w:rPr>
          <w:rFonts w:ascii="Times New Roman" w:hAnsi="Times New Roman" w:cs="Times New Roman"/>
          <w:highlight w:val="none"/>
        </w:rPr>
        <w:t>《一般工业固体废物贮存</w:t>
      </w:r>
      <w:r>
        <w:rPr>
          <w:rFonts w:hint="eastAsia" w:ascii="Times New Roman" w:hAnsi="Times New Roman" w:cs="Times New Roman"/>
          <w:highlight w:val="none"/>
        </w:rPr>
        <w:t>和填埋</w:t>
      </w:r>
      <w:r>
        <w:rPr>
          <w:rFonts w:ascii="Times New Roman" w:hAnsi="Times New Roman" w:cs="Times New Roman"/>
          <w:highlight w:val="none"/>
        </w:rPr>
        <w:t>污染控制标准》（GB18599-20</w:t>
      </w:r>
      <w:r>
        <w:rPr>
          <w:rFonts w:hint="eastAsia" w:ascii="Times New Roman" w:hAnsi="Times New Roman" w:cs="Times New Roman"/>
          <w:highlight w:val="none"/>
        </w:rPr>
        <w:t>20</w:t>
      </w:r>
      <w:r>
        <w:rPr>
          <w:rFonts w:ascii="Times New Roman" w:hAnsi="Times New Roman" w:cs="Times New Roman"/>
          <w:highlight w:val="none"/>
        </w:rPr>
        <w:t>）</w:t>
      </w:r>
      <w:r>
        <w:rPr>
          <w:rFonts w:hint="eastAsia" w:ascii="Times New Roman" w:hAnsi="Times New Roman" w:cs="Times New Roman"/>
          <w:highlight w:val="none"/>
        </w:rPr>
        <w:t>中相关要求执行，周边设置导流渠，按G</w:t>
      </w:r>
      <w:r>
        <w:rPr>
          <w:rFonts w:ascii="Times New Roman" w:hAnsi="Times New Roman" w:cs="Times New Roman"/>
          <w:highlight w:val="none"/>
        </w:rPr>
        <w:t>B 15562.2</w:t>
      </w:r>
      <w:r>
        <w:rPr>
          <w:rFonts w:hint="eastAsia" w:ascii="Times New Roman" w:hAnsi="Times New Roman" w:cs="Times New Roman"/>
          <w:highlight w:val="none"/>
        </w:rPr>
        <w:t>设置环境保护图形标志，设集排水设施并构筑堤坝、挡土墙等设施。</w:t>
      </w:r>
      <w:r>
        <w:rPr>
          <w:rFonts w:ascii="Times New Roman" w:hAnsi="Times New Roman" w:cs="Times New Roman"/>
          <w:highlight w:val="none"/>
        </w:rPr>
        <w:t>防渗层</w:t>
      </w:r>
      <w:r>
        <w:rPr>
          <w:rFonts w:hint="eastAsia" w:ascii="Times New Roman" w:hAnsi="Times New Roman" w:cs="Times New Roman"/>
          <w:highlight w:val="none"/>
        </w:rPr>
        <w:t>厚度应相当于</w:t>
      </w:r>
      <w:r>
        <w:rPr>
          <w:rFonts w:ascii="Times New Roman" w:hAnsi="Times New Roman" w:cs="Times New Roman"/>
          <w:highlight w:val="none"/>
        </w:rPr>
        <w:t>至少1</w:t>
      </w:r>
      <w:r>
        <w:rPr>
          <w:rFonts w:hint="eastAsia" w:ascii="Times New Roman" w:hAnsi="Times New Roman" w:cs="Times New Roman"/>
          <w:highlight w:val="none"/>
        </w:rPr>
        <w:t>.</w:t>
      </w:r>
      <w:r>
        <w:rPr>
          <w:rFonts w:ascii="Times New Roman" w:hAnsi="Times New Roman" w:cs="Times New Roman"/>
          <w:highlight w:val="none"/>
        </w:rPr>
        <w:t>5m厚粘土层（渗透系数≤10</w:t>
      </w:r>
      <w:r>
        <w:rPr>
          <w:rFonts w:ascii="Times New Roman" w:hAnsi="Times New Roman" w:cs="Times New Roman"/>
          <w:highlight w:val="none"/>
          <w:vertAlign w:val="superscript"/>
        </w:rPr>
        <w:t>-7</w:t>
      </w:r>
      <w:r>
        <w:rPr>
          <w:rFonts w:ascii="Times New Roman" w:hAnsi="Times New Roman" w:cs="Times New Roman"/>
          <w:highlight w:val="none"/>
        </w:rPr>
        <w:t>cm/s）。</w:t>
      </w:r>
      <w:r>
        <w:rPr>
          <w:rFonts w:hint="eastAsia" w:ascii="Times New Roman" w:hAnsi="Times New Roman" w:cs="Times New Roman"/>
          <w:highlight w:val="none"/>
        </w:rPr>
        <w:t>禁止危险废物和生活垃圾混入，建立检查维护制度和档案制度。</w:t>
      </w:r>
    </w:p>
    <w:p w14:paraId="5888294A">
      <w:pPr>
        <w:spacing w:line="500" w:lineRule="exact"/>
        <w:ind w:firstLine="480" w:firstLineChars="200"/>
        <w:rPr>
          <w:rFonts w:hint="eastAsia" w:ascii="Times New Roman" w:hAnsi="Times New Roman" w:cs="Times New Roman"/>
        </w:rPr>
      </w:pPr>
      <w:r>
        <w:rPr>
          <w:rFonts w:hint="eastAsia" w:ascii="Times New Roman" w:hAnsi="Times New Roman" w:cs="Times New Roman"/>
        </w:rPr>
        <w:t>综上，本项目依托现有一般固废处置措施可行。</w:t>
      </w:r>
    </w:p>
    <w:p w14:paraId="04508082">
      <w:pPr>
        <w:pStyle w:val="133"/>
      </w:pPr>
      <w:r>
        <w:rPr>
          <w:rFonts w:hint="eastAsia"/>
          <w:lang w:eastAsia="zh-CN"/>
        </w:rPr>
        <w:t>7</w:t>
      </w:r>
      <w:r>
        <w:t>.2.4.3 危险废物处置措施可行性分析</w:t>
      </w:r>
    </w:p>
    <w:p w14:paraId="0C10AACD">
      <w:pPr>
        <w:spacing w:line="500" w:lineRule="exact"/>
        <w:ind w:firstLine="482"/>
        <w:rPr>
          <w:rFonts w:hint="eastAsia" w:ascii="Times New Roman" w:hAnsi="Times New Roman" w:cs="Times New Roman"/>
        </w:rPr>
      </w:pPr>
      <w:r>
        <w:rPr>
          <w:rFonts w:hint="eastAsia" w:ascii="Times New Roman" w:hAnsi="Times New Roman" w:cs="Times New Roman"/>
        </w:rPr>
        <w:t>1、危险废物贮存场所环境影响分析</w:t>
      </w:r>
    </w:p>
    <w:p w14:paraId="6F65141A">
      <w:pPr>
        <w:spacing w:line="500" w:lineRule="exact"/>
        <w:ind w:firstLine="482"/>
        <w:rPr>
          <w:rFonts w:hint="eastAsia" w:ascii="Times New Roman" w:hAnsi="Times New Roman" w:cs="Times New Roman"/>
        </w:rPr>
      </w:pPr>
      <w:r>
        <w:rPr>
          <w:rFonts w:hint="eastAsia" w:ascii="Times New Roman" w:hAnsi="Times New Roman" w:cs="Times New Roman"/>
        </w:rPr>
        <w:t>技改后废矿物油产生量不变，仍为 2t/a，全厂危废产生量不变。废催化剂 3 年更换一次，更换后及时委托有资质的单位处理。</w:t>
      </w:r>
    </w:p>
    <w:p w14:paraId="7B2CDEE7">
      <w:pPr>
        <w:spacing w:line="500" w:lineRule="exact"/>
        <w:ind w:firstLine="482"/>
        <w:rPr>
          <w:rFonts w:hint="eastAsia" w:ascii="Times New Roman" w:hAnsi="Times New Roman" w:cs="Times New Roman"/>
        </w:rPr>
      </w:pPr>
      <w:r>
        <w:rPr>
          <w:rFonts w:hint="eastAsia" w:ascii="Times New Roman" w:hAnsi="Times New Roman" w:cs="Times New Roman"/>
        </w:rPr>
        <w:t>根据现有项目运行情况，现有贮存设施能满足本项目危废贮存需求。危废</w:t>
      </w:r>
      <w:r>
        <w:rPr>
          <w:rFonts w:hint="eastAsia" w:ascii="Times New Roman" w:hAnsi="Times New Roman" w:cs="Times New Roman"/>
          <w:lang w:val="en-US" w:eastAsia="zh-CN"/>
        </w:rPr>
        <w:t>贮存点</w:t>
      </w:r>
      <w:r>
        <w:rPr>
          <w:rFonts w:hint="eastAsia" w:ascii="Times New Roman" w:hAnsi="Times New Roman" w:cs="Times New Roman"/>
        </w:rPr>
        <w:t>位置不敏感、地质结构稳定，项目危险废物暂存设施底部高于地下水最高水位，选址合理。按照《危险废物贮存污染控制标准》（GB18597-2023）建设，危废贮存场地基础已采用地面硬化防渗，环氧地坪防渗，同时采用桶装并在危废</w:t>
      </w:r>
      <w:r>
        <w:rPr>
          <w:rFonts w:hint="eastAsia" w:ascii="Times New Roman" w:hAnsi="Times New Roman" w:cs="Times New Roman"/>
          <w:lang w:val="en-US" w:eastAsia="zh-CN"/>
        </w:rPr>
        <w:t>贮存点</w:t>
      </w:r>
      <w:r>
        <w:rPr>
          <w:rFonts w:hint="eastAsia" w:ascii="Times New Roman" w:hAnsi="Times New Roman" w:cs="Times New Roman"/>
        </w:rPr>
        <w:t>设置围堰，废矿物油采用桶装，置于围堰内，能有效防止渗滤液进入附近地表水，对地下水、土壤影响较小。同时危废</w:t>
      </w:r>
      <w:r>
        <w:rPr>
          <w:rFonts w:hint="eastAsia" w:ascii="Times New Roman" w:hAnsi="Times New Roman" w:cs="Times New Roman"/>
          <w:lang w:val="en-US" w:eastAsia="zh-CN"/>
        </w:rPr>
        <w:t>贮存点</w:t>
      </w:r>
      <w:r>
        <w:rPr>
          <w:rFonts w:hint="eastAsia" w:ascii="Times New Roman" w:hAnsi="Times New Roman" w:cs="Times New Roman"/>
        </w:rPr>
        <w:t>设置灭火器及沙堆等安全措施，有效控制环境风险。</w:t>
      </w:r>
    </w:p>
    <w:p w14:paraId="30966EFA">
      <w:pPr>
        <w:spacing w:line="500" w:lineRule="exact"/>
        <w:ind w:firstLine="482"/>
        <w:rPr>
          <w:rFonts w:hint="eastAsia" w:ascii="Times New Roman" w:hAnsi="Times New Roman" w:cs="Times New Roman"/>
        </w:rPr>
      </w:pPr>
      <w:r>
        <w:rPr>
          <w:rFonts w:hint="eastAsia" w:ascii="Times New Roman" w:hAnsi="Times New Roman" w:cs="Times New Roman"/>
        </w:rPr>
        <w:t>综上，危险废物贮存过程对环境空气、地表水、地下水、土壤影响较小。</w:t>
      </w:r>
    </w:p>
    <w:p w14:paraId="6FC43F32">
      <w:pPr>
        <w:keepNext w:val="0"/>
        <w:keepLines w:val="0"/>
        <w:widowControl/>
        <w:suppressLineNumbers w:val="0"/>
        <w:ind w:firstLine="480" w:firstLineChars="200"/>
        <w:jc w:val="left"/>
      </w:pPr>
      <w:r>
        <w:rPr>
          <w:rFonts w:hint="default" w:ascii="Times New Roman" w:hAnsi="Times New Roman" w:eastAsia="宋体" w:cs="Times New Roman"/>
          <w:color w:val="000000"/>
          <w:kern w:val="0"/>
          <w:sz w:val="24"/>
          <w:szCs w:val="24"/>
          <w:lang w:val="en-US" w:eastAsia="zh-CN" w:bidi="ar"/>
        </w:rPr>
        <w:t>2</w:t>
      </w:r>
      <w:r>
        <w:rPr>
          <w:rFonts w:hint="eastAsia" w:ascii="宋体" w:hAnsi="宋体" w:eastAsia="宋体" w:cs="宋体"/>
          <w:color w:val="000000"/>
          <w:kern w:val="0"/>
          <w:sz w:val="24"/>
          <w:szCs w:val="24"/>
          <w:lang w:val="en-US" w:eastAsia="zh-CN" w:bidi="ar"/>
        </w:rPr>
        <w:t xml:space="preserve">、运输过程的环境影响分析 </w:t>
      </w:r>
    </w:p>
    <w:p w14:paraId="53156BFD">
      <w:pPr>
        <w:keepNext w:val="0"/>
        <w:keepLines w:val="0"/>
        <w:widowControl/>
        <w:suppressLineNumbers w:val="0"/>
        <w:ind w:firstLine="480" w:firstLineChars="200"/>
        <w:jc w:val="left"/>
      </w:pPr>
      <w:r>
        <w:rPr>
          <w:rFonts w:hint="eastAsia" w:ascii="宋体" w:hAnsi="宋体" w:eastAsia="宋体" w:cs="宋体"/>
          <w:color w:val="000000"/>
          <w:kern w:val="0"/>
          <w:sz w:val="24"/>
          <w:szCs w:val="24"/>
          <w:lang w:val="en-US" w:eastAsia="zh-CN" w:bidi="ar"/>
        </w:rPr>
        <w:t xml:space="preserve">危险废物经有资质的单位收集后妥善处置，运输由持有危险废物经营许可证的单位组织实施，并按照相关危险货物运输管理规定执行；项目危险废物运输采用公路运输方式，应按照《道路危险货物运输管理规定》执行。运输单位承运危险废物时，应在危险废物包装上按照 </w:t>
      </w:r>
      <w:r>
        <w:rPr>
          <w:rFonts w:hint="default" w:ascii="Times New Roman" w:hAnsi="Times New Roman" w:eastAsia="宋体" w:cs="Times New Roman"/>
          <w:color w:val="000000"/>
          <w:kern w:val="0"/>
          <w:sz w:val="24"/>
          <w:szCs w:val="24"/>
          <w:lang w:val="en-US" w:eastAsia="zh-CN" w:bidi="ar"/>
        </w:rPr>
        <w:t xml:space="preserve">GB18597 </w:t>
      </w:r>
      <w:r>
        <w:rPr>
          <w:rFonts w:hint="eastAsia" w:ascii="宋体" w:hAnsi="宋体" w:eastAsia="宋体" w:cs="宋体"/>
          <w:color w:val="000000"/>
          <w:kern w:val="0"/>
          <w:sz w:val="24"/>
          <w:szCs w:val="24"/>
          <w:lang w:val="en-US" w:eastAsia="zh-CN" w:bidi="ar"/>
        </w:rPr>
        <w:t xml:space="preserve">附录 </w:t>
      </w:r>
      <w:r>
        <w:rPr>
          <w:rFonts w:hint="default" w:ascii="Times New Roman" w:hAnsi="Times New Roman" w:eastAsia="宋体" w:cs="Times New Roman"/>
          <w:color w:val="000000"/>
          <w:kern w:val="0"/>
          <w:sz w:val="24"/>
          <w:szCs w:val="24"/>
          <w:lang w:val="en-US" w:eastAsia="zh-CN" w:bidi="ar"/>
        </w:rPr>
        <w:t xml:space="preserve">A </w:t>
      </w:r>
      <w:r>
        <w:rPr>
          <w:rFonts w:hint="eastAsia" w:ascii="宋体" w:hAnsi="宋体" w:eastAsia="宋体" w:cs="宋体"/>
          <w:color w:val="000000"/>
          <w:kern w:val="0"/>
          <w:sz w:val="24"/>
          <w:szCs w:val="24"/>
          <w:lang w:val="en-US" w:eastAsia="zh-CN" w:bidi="ar"/>
        </w:rPr>
        <w:t xml:space="preserve">设置标志，运输车辆应按 </w:t>
      </w:r>
      <w:r>
        <w:rPr>
          <w:rFonts w:hint="default" w:ascii="Times New Roman" w:hAnsi="Times New Roman" w:eastAsia="宋体" w:cs="Times New Roman"/>
          <w:color w:val="000000"/>
          <w:kern w:val="0"/>
          <w:sz w:val="24"/>
          <w:szCs w:val="24"/>
          <w:lang w:val="en-US" w:eastAsia="zh-CN" w:bidi="ar"/>
        </w:rPr>
        <w:t xml:space="preserve">GB13392 </w:t>
      </w:r>
      <w:r>
        <w:rPr>
          <w:rFonts w:hint="eastAsia" w:ascii="宋体" w:hAnsi="宋体" w:eastAsia="宋体" w:cs="宋体"/>
          <w:color w:val="000000"/>
          <w:kern w:val="0"/>
          <w:sz w:val="24"/>
          <w:szCs w:val="24"/>
          <w:lang w:val="en-US" w:eastAsia="zh-CN" w:bidi="ar"/>
        </w:rPr>
        <w:t xml:space="preserve">设立车辆标志。危废运输车辆应配备符合有关国家标准以及与所载运的危险货物相适应的应急处理器材和安全防护设备；危险废物运输时的装卸应遵照如下技术要求：装卸区的工作人员应熟悉危险废物的危险特性，并配备适当的个人防护装备，如橡胶手套、防护服和口罩。装卸区域应配备必要的消防设备和设施，并设置明显的指示标志。装卸区域应设置隔离设施；厂区危险废物转移应实施转移联单制度，确保危险废物得到安全处置。经采取上述措施后，运输过程散落、泄露的概率极低，运输过程中对环境影响较小。 </w:t>
      </w:r>
    </w:p>
    <w:p w14:paraId="694609FC">
      <w:pPr>
        <w:keepNext w:val="0"/>
        <w:keepLines w:val="0"/>
        <w:widowControl/>
        <w:suppressLineNumbers w:val="0"/>
        <w:ind w:firstLine="480" w:firstLineChars="200"/>
        <w:jc w:val="left"/>
      </w:pPr>
      <w:r>
        <w:rPr>
          <w:rFonts w:hint="default" w:ascii="Times New Roman" w:hAnsi="Times New Roman" w:eastAsia="宋体" w:cs="Times New Roman"/>
          <w:color w:val="000000"/>
          <w:kern w:val="0"/>
          <w:sz w:val="24"/>
          <w:szCs w:val="24"/>
          <w:lang w:val="en-US" w:eastAsia="zh-CN" w:bidi="ar"/>
        </w:rPr>
        <w:t>3</w:t>
      </w:r>
      <w:r>
        <w:rPr>
          <w:rFonts w:hint="eastAsia" w:ascii="宋体" w:hAnsi="宋体" w:eastAsia="宋体" w:cs="宋体"/>
          <w:color w:val="000000"/>
          <w:kern w:val="0"/>
          <w:sz w:val="24"/>
          <w:szCs w:val="24"/>
          <w:lang w:val="en-US" w:eastAsia="zh-CN" w:bidi="ar"/>
        </w:rPr>
        <w:t xml:space="preserve">、危废处置环境影响分析 </w:t>
      </w:r>
    </w:p>
    <w:p w14:paraId="0531672B">
      <w:pPr>
        <w:keepNext w:val="0"/>
        <w:keepLines w:val="0"/>
        <w:widowControl/>
        <w:suppressLineNumbers w:val="0"/>
        <w:ind w:firstLine="480" w:firstLineChars="200"/>
        <w:jc w:val="left"/>
      </w:pPr>
      <w:r>
        <w:rPr>
          <w:rFonts w:hint="eastAsia" w:ascii="宋体" w:hAnsi="宋体" w:eastAsia="宋体" w:cs="宋体"/>
          <w:color w:val="000000"/>
          <w:kern w:val="0"/>
          <w:sz w:val="24"/>
          <w:szCs w:val="24"/>
          <w:lang w:val="en-US" w:eastAsia="zh-CN" w:bidi="ar"/>
        </w:rPr>
        <w:t>技改项目废矿物油签订了危废处置协议，</w:t>
      </w:r>
      <w:r>
        <w:rPr>
          <w:rFonts w:hint="eastAsia" w:cs="宋体"/>
          <w:color w:val="000000"/>
          <w:kern w:val="0"/>
          <w:sz w:val="24"/>
          <w:szCs w:val="24"/>
          <w:lang w:val="en-US" w:eastAsia="zh-CN" w:bidi="ar"/>
        </w:rPr>
        <w:t>废机油、</w:t>
      </w:r>
      <w:r>
        <w:rPr>
          <w:rFonts w:hint="eastAsia" w:ascii="宋体" w:hAnsi="宋体" w:eastAsia="宋体" w:cs="宋体"/>
          <w:color w:val="000000"/>
          <w:kern w:val="0"/>
          <w:sz w:val="24"/>
          <w:szCs w:val="24"/>
          <w:lang w:val="en-US" w:eastAsia="zh-CN" w:bidi="ar"/>
        </w:rPr>
        <w:t>废脱硝催化剂委托有资质的单位处理。</w:t>
      </w:r>
    </w:p>
    <w:p w14:paraId="3AC54A8A">
      <w:pPr>
        <w:spacing w:line="500" w:lineRule="exact"/>
        <w:ind w:firstLine="482"/>
        <w:rPr>
          <w:rFonts w:hint="eastAsia" w:ascii="Times New Roman" w:hAnsi="Times New Roman" w:cs="Times New Roman"/>
        </w:rPr>
      </w:pPr>
    </w:p>
    <w:p w14:paraId="6C600FDE">
      <w:pPr>
        <w:pStyle w:val="7"/>
      </w:pPr>
      <w:bookmarkStart w:id="618" w:name="_Toc90026342"/>
      <w:bookmarkStart w:id="619" w:name="_Toc31473"/>
      <w:r>
        <w:rPr>
          <w:rFonts w:hint="eastAsia"/>
          <w:lang w:eastAsia="zh-CN"/>
        </w:rPr>
        <w:t>7</w:t>
      </w:r>
      <w:r>
        <w:t>.2.5 噪声污染防治措施</w:t>
      </w:r>
      <w:bookmarkEnd w:id="618"/>
      <w:bookmarkEnd w:id="619"/>
    </w:p>
    <w:p w14:paraId="66FB1A39">
      <w:pPr>
        <w:spacing w:line="500" w:lineRule="exact"/>
        <w:ind w:firstLine="480" w:firstLineChars="200"/>
        <w:rPr>
          <w:rFonts w:ascii="Times New Roman" w:hAnsi="Times New Roman" w:cs="Times New Roman"/>
        </w:rPr>
      </w:pPr>
      <w:r>
        <w:rPr>
          <w:rFonts w:ascii="Times New Roman" w:hAnsi="Times New Roman" w:cs="Times New Roman"/>
        </w:rPr>
        <w:t>本项目噪声源主要为</w:t>
      </w:r>
      <w:r>
        <w:rPr>
          <w:rFonts w:hint="eastAsia" w:ascii="Times New Roman" w:hAnsi="Times New Roman" w:cs="Times New Roman"/>
        </w:rPr>
        <w:t>生产设备噪声及真空泵等辅助设备噪声</w:t>
      </w:r>
      <w:r>
        <w:rPr>
          <w:rFonts w:ascii="Times New Roman" w:hAnsi="Times New Roman" w:cs="Times New Roman"/>
        </w:rPr>
        <w:t>，对于各种设备噪声控制可分二步进行：第一、降低声源噪声，尽量选用低噪声设备；第二、在传播途径上采取隔绝和吸收措施以减低噪声影响。</w:t>
      </w:r>
    </w:p>
    <w:p w14:paraId="49C2FAD3">
      <w:pPr>
        <w:spacing w:line="500" w:lineRule="exact"/>
        <w:ind w:firstLine="482" w:firstLineChars="200"/>
        <w:rPr>
          <w:rFonts w:ascii="Times New Roman" w:hAnsi="Times New Roman" w:cs="Times New Roman"/>
          <w:b/>
        </w:rPr>
      </w:pPr>
      <w:r>
        <w:rPr>
          <w:rFonts w:ascii="Times New Roman" w:hAnsi="Times New Roman" w:cs="Times New Roman"/>
          <w:b/>
        </w:rPr>
        <w:t>（1）声源控制</w:t>
      </w:r>
    </w:p>
    <w:p w14:paraId="16D8A4A0">
      <w:pPr>
        <w:spacing w:line="500" w:lineRule="exact"/>
        <w:ind w:firstLine="480" w:firstLineChars="200"/>
        <w:jc w:val="both"/>
        <w:rPr>
          <w:rFonts w:ascii="Times New Roman" w:hAnsi="Times New Roman" w:cs="Times New Roman"/>
        </w:rPr>
      </w:pPr>
      <w:r>
        <w:rPr>
          <w:rFonts w:ascii="Times New Roman" w:hAnsi="Times New Roman" w:cs="Times New Roman"/>
        </w:rPr>
        <w:t>噪声是由物体振动产生的，物体运动或振动时产生的作用力会搅动临近的空气，使空气受力运动而激起声波。因此，噪声振动首先要减少各设备的振动，缓解物体之间的碰撞、摩擦，尽量减少噪声源。</w:t>
      </w:r>
    </w:p>
    <w:p w14:paraId="06418537">
      <w:pPr>
        <w:spacing w:line="500" w:lineRule="exact"/>
        <w:ind w:firstLine="480" w:firstLineChars="200"/>
        <w:jc w:val="both"/>
        <w:rPr>
          <w:rFonts w:ascii="Times New Roman" w:hAnsi="Times New Roman" w:cs="Times New Roman"/>
        </w:rPr>
      </w:pPr>
      <w:r>
        <w:rPr>
          <w:rFonts w:ascii="Times New Roman" w:hAnsi="Times New Roman" w:cs="Times New Roman"/>
        </w:rPr>
        <w:t>对于风机等设备应优先选用低噪声设备，并对各设备基座采取减振措施，外部管道应加设软管隔振。</w:t>
      </w:r>
    </w:p>
    <w:p w14:paraId="1219209F">
      <w:pPr>
        <w:spacing w:line="500" w:lineRule="exact"/>
        <w:ind w:firstLine="480" w:firstLineChars="200"/>
        <w:jc w:val="both"/>
        <w:rPr>
          <w:rFonts w:ascii="Times New Roman" w:hAnsi="Times New Roman" w:cs="Times New Roman"/>
        </w:rPr>
      </w:pPr>
      <w:r>
        <w:rPr>
          <w:rFonts w:ascii="Segoe UI Symbol" w:hAnsi="Segoe UI Symbol" w:cs="Segoe UI Symbol"/>
        </w:rPr>
        <w:t>★</w:t>
      </w:r>
      <w:r>
        <w:rPr>
          <w:rFonts w:ascii="Times New Roman" w:hAnsi="Times New Roman" w:cs="Times New Roman"/>
        </w:rPr>
        <w:t>对于各类电机的噪声控制，建议在设计阶段针对配备各类电机的功率、运转方式等，选择和安装适宜的避震装置、隔声罩和消音器等设施。</w:t>
      </w:r>
    </w:p>
    <w:p w14:paraId="17E91C42">
      <w:pPr>
        <w:spacing w:line="500" w:lineRule="exact"/>
        <w:ind w:firstLine="480" w:firstLineChars="200"/>
        <w:jc w:val="both"/>
        <w:rPr>
          <w:rFonts w:ascii="Times New Roman" w:hAnsi="Times New Roman" w:cs="Times New Roman"/>
        </w:rPr>
      </w:pPr>
      <w:r>
        <w:rPr>
          <w:rFonts w:ascii="Segoe UI Symbol" w:hAnsi="Segoe UI Symbol" w:cs="Segoe UI Symbol"/>
        </w:rPr>
        <w:t>★</w:t>
      </w:r>
      <w:r>
        <w:rPr>
          <w:rFonts w:ascii="Times New Roman" w:hAnsi="Times New Roman" w:cs="Times New Roman"/>
        </w:rPr>
        <w:t>各种泵类的噪声主要是电动机运转噪声、泵抽吸水或物料而产生的噪声以及泵内水或物料的波动激发泵体辐射噪声。其主要控制办法有：</w:t>
      </w:r>
    </w:p>
    <w:p w14:paraId="313577EB">
      <w:pPr>
        <w:spacing w:line="500" w:lineRule="exact"/>
        <w:ind w:firstLine="480" w:firstLineChars="200"/>
        <w:jc w:val="both"/>
        <w:rPr>
          <w:rFonts w:ascii="Times New Roman" w:hAnsi="Times New Roman" w:cs="Times New Roman"/>
        </w:rPr>
      </w:pPr>
      <w:r>
        <w:rPr>
          <w:rFonts w:hint="eastAsia"/>
        </w:rPr>
        <w:t>①</w:t>
      </w:r>
      <w:r>
        <w:rPr>
          <w:rFonts w:ascii="Times New Roman" w:hAnsi="Times New Roman" w:cs="Times New Roman"/>
        </w:rPr>
        <w:t>泵机组和电机处可设隔声罩或局部隔声罩、罩内衬吸声材料。</w:t>
      </w:r>
    </w:p>
    <w:p w14:paraId="0B3D2B7E">
      <w:pPr>
        <w:spacing w:line="500" w:lineRule="exact"/>
        <w:ind w:firstLine="480" w:firstLineChars="200"/>
        <w:jc w:val="both"/>
        <w:rPr>
          <w:rFonts w:ascii="Times New Roman" w:hAnsi="Times New Roman" w:cs="Times New Roman"/>
        </w:rPr>
      </w:pPr>
      <w:r>
        <w:rPr>
          <w:rFonts w:hint="eastAsia"/>
        </w:rPr>
        <w:t>②</w:t>
      </w:r>
      <w:r>
        <w:rPr>
          <w:rFonts w:ascii="Times New Roman" w:hAnsi="Times New Roman" w:cs="Times New Roman"/>
        </w:rPr>
        <w:t>电机部分可根据型号配消声器。</w:t>
      </w:r>
    </w:p>
    <w:p w14:paraId="60B48B31">
      <w:pPr>
        <w:spacing w:line="500" w:lineRule="exact"/>
        <w:ind w:firstLine="480" w:firstLineChars="200"/>
        <w:jc w:val="both"/>
        <w:rPr>
          <w:rFonts w:ascii="Times New Roman" w:hAnsi="Times New Roman" w:cs="Times New Roman"/>
        </w:rPr>
      </w:pPr>
      <w:r>
        <w:rPr>
          <w:rFonts w:hint="eastAsia"/>
        </w:rPr>
        <w:t>③</w:t>
      </w:r>
      <w:r>
        <w:rPr>
          <w:rFonts w:ascii="Times New Roman" w:hAnsi="Times New Roman" w:cs="Times New Roman"/>
        </w:rPr>
        <w:t>泵的进出口接管可做挠性连接和弹性连接。</w:t>
      </w:r>
    </w:p>
    <w:p w14:paraId="5675BB67">
      <w:pPr>
        <w:spacing w:line="500" w:lineRule="exact"/>
        <w:ind w:firstLine="480" w:firstLineChars="200"/>
        <w:jc w:val="both"/>
        <w:rPr>
          <w:rFonts w:ascii="Times New Roman" w:hAnsi="Times New Roman" w:cs="Times New Roman"/>
        </w:rPr>
      </w:pPr>
      <w:r>
        <w:rPr>
          <w:rFonts w:hint="eastAsia"/>
        </w:rPr>
        <w:t>④</w:t>
      </w:r>
      <w:r>
        <w:rPr>
          <w:rFonts w:ascii="Times New Roman" w:hAnsi="Times New Roman" w:cs="Times New Roman"/>
        </w:rPr>
        <w:t>泵的机组可做金属弹簧、橡胶减振器等隔振、减振处理。</w:t>
      </w:r>
    </w:p>
    <w:p w14:paraId="4E943782">
      <w:pPr>
        <w:spacing w:line="500" w:lineRule="exact"/>
        <w:ind w:firstLine="480" w:firstLineChars="200"/>
        <w:jc w:val="both"/>
        <w:rPr>
          <w:rFonts w:ascii="Times New Roman" w:hAnsi="Times New Roman" w:cs="Times New Roman"/>
        </w:rPr>
      </w:pPr>
      <w:r>
        <w:rPr>
          <w:rFonts w:hint="eastAsia"/>
        </w:rPr>
        <w:t>⑤</w:t>
      </w:r>
      <w:r>
        <w:rPr>
          <w:rFonts w:ascii="Times New Roman" w:hAnsi="Times New Roman" w:cs="Times New Roman"/>
        </w:rPr>
        <w:t>泵的管道支架可做弹性支承。</w:t>
      </w:r>
    </w:p>
    <w:p w14:paraId="78C49514">
      <w:pPr>
        <w:spacing w:line="500" w:lineRule="exact"/>
        <w:ind w:firstLine="480" w:firstLineChars="200"/>
        <w:jc w:val="both"/>
        <w:rPr>
          <w:rFonts w:ascii="Times New Roman" w:hAnsi="Times New Roman" w:cs="Times New Roman"/>
        </w:rPr>
      </w:pPr>
      <w:r>
        <w:rPr>
          <w:rFonts w:hint="eastAsia"/>
        </w:rPr>
        <w:t>⑥</w:t>
      </w:r>
      <w:r>
        <w:rPr>
          <w:rFonts w:ascii="Times New Roman" w:hAnsi="Times New Roman" w:cs="Times New Roman"/>
        </w:rPr>
        <w:t>泵的进出管尺寸要合适、匹配，若尺寸太小，流速过高，会产生气蚀现象而引起强烈噪声。</w:t>
      </w:r>
    </w:p>
    <w:p w14:paraId="136CA43E">
      <w:pPr>
        <w:spacing w:line="500" w:lineRule="exact"/>
        <w:ind w:firstLine="482" w:firstLineChars="200"/>
        <w:rPr>
          <w:rFonts w:ascii="Times New Roman" w:hAnsi="Times New Roman" w:cs="Times New Roman"/>
          <w:b/>
        </w:rPr>
      </w:pPr>
      <w:r>
        <w:rPr>
          <w:rFonts w:ascii="Times New Roman" w:hAnsi="Times New Roman" w:cs="Times New Roman"/>
          <w:b/>
        </w:rPr>
        <w:t>（2）传播途径控制</w:t>
      </w:r>
    </w:p>
    <w:p w14:paraId="75926474">
      <w:pPr>
        <w:spacing w:line="500" w:lineRule="exact"/>
        <w:ind w:firstLine="472" w:firstLineChars="200"/>
        <w:jc w:val="both"/>
        <w:rPr>
          <w:rFonts w:ascii="Times New Roman" w:hAnsi="Times New Roman" w:cs="Times New Roman"/>
          <w:spacing w:val="-2"/>
        </w:rPr>
      </w:pPr>
      <w:r>
        <w:rPr>
          <w:rFonts w:ascii="Times New Roman" w:hAnsi="Times New Roman" w:cs="Times New Roman"/>
          <w:spacing w:val="-2"/>
        </w:rPr>
        <w:t>对从声源上无法控制的噪声，应考虑从传播途径上对噪声进行控制。关闭生产车间和设备间门窗，将声源与外界隔离，阻断声音的传播，从而达到降噪的目的。</w:t>
      </w:r>
    </w:p>
    <w:p w14:paraId="3B2F3EF8">
      <w:pPr>
        <w:adjustRightInd w:val="0"/>
        <w:snapToGrid w:val="0"/>
        <w:spacing w:line="500" w:lineRule="exact"/>
        <w:ind w:firstLine="480" w:firstLineChars="200"/>
        <w:rPr>
          <w:rFonts w:ascii="Times New Roman" w:hAnsi="Times New Roman" w:eastAsia="方正书宋简体" w:cs="Times New Roman"/>
        </w:rPr>
      </w:pPr>
      <w:r>
        <w:rPr>
          <w:rFonts w:ascii="Times New Roman" w:hAnsi="Times New Roman" w:cs="Times New Roman"/>
          <w:bCs/>
        </w:rPr>
        <w:t>采取上述控制措施后，再经空气吸收、车间墙体遮挡、物体反射折射以及其它因素造成的衰减，根据噪声影响预测分析结果，</w:t>
      </w:r>
      <w:r>
        <w:rPr>
          <w:rFonts w:hint="eastAsia" w:ascii="Times New Roman" w:hAnsi="Times New Roman" w:cs="Times New Roman"/>
        </w:rPr>
        <w:t>本项目厂界东侧，西侧，北侧噪声值满足《工业企业厂界环境噪声排放标准(GB12348-2008)》中2类标准(2类：昼间60dB(A)，夜间50dB(A))要求。厂界南侧噪声值满足《工业企业厂界环境噪声排放标准(GB12348-2008)》中4类标准(4类：昼间70dB(A)，夜间55dB(A))要求</w:t>
      </w:r>
      <w:r>
        <w:rPr>
          <w:rFonts w:ascii="Times New Roman" w:hAnsi="Times New Roman" w:cs="Times New Roman"/>
        </w:rPr>
        <w:t>。</w:t>
      </w:r>
    </w:p>
    <w:p w14:paraId="5909C08E">
      <w:pPr>
        <w:spacing w:line="500" w:lineRule="exact"/>
        <w:ind w:firstLine="472" w:firstLineChars="200"/>
        <w:jc w:val="both"/>
        <w:rPr>
          <w:rFonts w:ascii="Times New Roman" w:hAnsi="Times New Roman" w:cs="Times New Roman"/>
          <w:spacing w:val="-2"/>
        </w:rPr>
      </w:pPr>
    </w:p>
    <w:p w14:paraId="57D0A222">
      <w:pPr>
        <w:pStyle w:val="7"/>
      </w:pPr>
      <w:bookmarkStart w:id="620" w:name="_Toc90026343"/>
      <w:bookmarkStart w:id="621" w:name="_Toc26141"/>
      <w:r>
        <w:rPr>
          <w:rFonts w:hint="eastAsia"/>
          <w:lang w:eastAsia="zh-CN"/>
        </w:rPr>
        <w:t>7</w:t>
      </w:r>
      <w:r>
        <w:t>.2.6 土壤环境保护措施</w:t>
      </w:r>
      <w:bookmarkEnd w:id="620"/>
      <w:bookmarkEnd w:id="621"/>
    </w:p>
    <w:p w14:paraId="0B7C0C59">
      <w:pPr>
        <w:spacing w:line="500" w:lineRule="exact"/>
        <w:ind w:firstLine="480" w:firstLineChars="200"/>
        <w:jc w:val="both"/>
        <w:rPr>
          <w:rFonts w:hint="default" w:ascii="Times New Roman" w:hAnsi="Times New Roman" w:eastAsia="宋体" w:cs="Times New Roman"/>
        </w:rPr>
      </w:pPr>
      <w:bookmarkStart w:id="622" w:name="_Toc27097"/>
      <w:bookmarkStart w:id="623" w:name="_Toc3886"/>
      <w:bookmarkStart w:id="624" w:name="_Toc22420"/>
      <w:r>
        <w:rPr>
          <w:rFonts w:hint="eastAsia" w:ascii="Times New Roman" w:hAnsi="Times New Roman" w:eastAsia="宋体" w:cs="Times New Roman"/>
          <w:lang w:val="en-US" w:eastAsia="zh-CN"/>
        </w:rPr>
        <w:t>1、</w:t>
      </w:r>
      <w:r>
        <w:rPr>
          <w:rFonts w:hint="default" w:ascii="Times New Roman" w:hAnsi="Times New Roman" w:eastAsia="宋体" w:cs="Times New Roman"/>
        </w:rPr>
        <w:t>保护措施</w:t>
      </w:r>
      <w:bookmarkEnd w:id="622"/>
      <w:bookmarkEnd w:id="623"/>
      <w:bookmarkEnd w:id="624"/>
    </w:p>
    <w:p w14:paraId="1D1CF48A">
      <w:pPr>
        <w:spacing w:line="500" w:lineRule="exact"/>
        <w:ind w:firstLine="480" w:firstLineChars="200"/>
        <w:jc w:val="both"/>
        <w:rPr>
          <w:rFonts w:hint="default" w:ascii="Times New Roman" w:hAnsi="Times New Roman" w:eastAsia="宋体" w:cs="Times New Roman"/>
        </w:rPr>
      </w:pPr>
      <w:r>
        <w:rPr>
          <w:rFonts w:hint="default" w:ascii="Times New Roman" w:hAnsi="Times New Roman" w:eastAsia="宋体" w:cs="Times New Roman"/>
        </w:rPr>
        <w:t>土壤的保护即包气带的保护，按照按照“源头控制、分区防控、污染监控、应急响应”的要求进行保护。</w:t>
      </w:r>
    </w:p>
    <w:p w14:paraId="33EA817F">
      <w:pPr>
        <w:spacing w:line="500" w:lineRule="exact"/>
        <w:ind w:firstLine="480" w:firstLineChars="200"/>
        <w:jc w:val="both"/>
        <w:rPr>
          <w:rFonts w:hint="default" w:ascii="Times New Roman" w:hAnsi="Times New Roman" w:eastAsia="宋体" w:cs="Times New Roman"/>
        </w:rPr>
      </w:pPr>
      <w:r>
        <w:rPr>
          <w:rFonts w:hint="default" w:ascii="Times New Roman" w:hAnsi="Times New Roman" w:eastAsia="宋体" w:cs="Times New Roman"/>
        </w:rPr>
        <w:t>（1）源头控制措施</w:t>
      </w:r>
    </w:p>
    <w:p w14:paraId="7126D0C1">
      <w:pPr>
        <w:spacing w:line="500" w:lineRule="exact"/>
        <w:ind w:firstLine="480" w:firstLineChars="200"/>
        <w:jc w:val="both"/>
        <w:rPr>
          <w:rFonts w:hint="default" w:ascii="Times New Roman" w:hAnsi="Times New Roman" w:eastAsia="宋体" w:cs="Times New Roman"/>
        </w:rPr>
      </w:pPr>
      <w:r>
        <w:rPr>
          <w:rFonts w:hint="default" w:ascii="Times New Roman" w:hAnsi="Times New Roman" w:eastAsia="宋体" w:cs="Times New Roman"/>
        </w:rPr>
        <w:t>①本项目</w:t>
      </w:r>
      <w:r>
        <w:rPr>
          <w:rFonts w:hint="default" w:ascii="Times New Roman" w:hAnsi="Times New Roman" w:eastAsia="宋体" w:cs="Times New Roman"/>
          <w:lang w:val="en-US" w:eastAsia="zh-CN"/>
        </w:rPr>
        <w:t>应</w:t>
      </w:r>
      <w:r>
        <w:rPr>
          <w:rFonts w:hint="default" w:ascii="Times New Roman" w:hAnsi="Times New Roman" w:eastAsia="宋体" w:cs="Times New Roman"/>
        </w:rPr>
        <w:t>选择先进、成熟、可靠的工艺技术和较清洁的原辅材料，并对产生的废物进行合理的回用和治理，以尽可能从源头上减少污染物排放；</w:t>
      </w:r>
    </w:p>
    <w:p w14:paraId="0B740BB6">
      <w:pPr>
        <w:spacing w:line="500" w:lineRule="exact"/>
        <w:ind w:firstLine="480" w:firstLineChars="200"/>
        <w:jc w:val="both"/>
        <w:rPr>
          <w:rFonts w:hint="default" w:ascii="Times New Roman" w:hAnsi="Times New Roman" w:eastAsia="宋体" w:cs="Times New Roman"/>
        </w:rPr>
      </w:pPr>
      <w:r>
        <w:rPr>
          <w:rFonts w:hint="default" w:ascii="Times New Roman" w:hAnsi="Times New Roman" w:eastAsia="宋体" w:cs="Times New Roman"/>
        </w:rPr>
        <w:t>②严格按照国家相关规范要求，对工艺、管道、设备、污水储存及处理构筑物采取相应的措施，以防止和污染物的跑、冒、滴、漏，将污染物泄漏的环境风险事故降到最低程度。</w:t>
      </w:r>
    </w:p>
    <w:p w14:paraId="6A45BC80">
      <w:pPr>
        <w:spacing w:line="500" w:lineRule="exact"/>
        <w:ind w:firstLine="480" w:firstLineChars="200"/>
        <w:jc w:val="both"/>
        <w:rPr>
          <w:rFonts w:hint="default" w:ascii="Times New Roman" w:hAnsi="Times New Roman" w:eastAsia="宋体" w:cs="Times New Roman"/>
        </w:rPr>
      </w:pPr>
      <w:r>
        <w:rPr>
          <w:rFonts w:hint="default" w:ascii="Times New Roman" w:hAnsi="Times New Roman" w:eastAsia="宋体" w:cs="Times New Roman"/>
        </w:rPr>
        <w:t>（2）过程防控措施</w:t>
      </w:r>
    </w:p>
    <w:p w14:paraId="6BDFD8ED">
      <w:pPr>
        <w:spacing w:line="500" w:lineRule="exact"/>
        <w:ind w:firstLine="480" w:firstLineChars="200"/>
        <w:jc w:val="both"/>
        <w:rPr>
          <w:rFonts w:hint="default" w:ascii="Times New Roman" w:hAnsi="Times New Roman" w:eastAsia="宋体" w:cs="Times New Roman"/>
        </w:rPr>
      </w:pPr>
      <w:r>
        <w:rPr>
          <w:rFonts w:hint="default" w:ascii="Times New Roman" w:hAnsi="Times New Roman" w:eastAsia="宋体" w:cs="Times New Roman"/>
          <w:lang w:val="en-US" w:eastAsia="zh-CN"/>
        </w:rPr>
        <w:t>本项目主要</w:t>
      </w:r>
      <w:r>
        <w:rPr>
          <w:rFonts w:hint="default" w:ascii="Times New Roman" w:hAnsi="Times New Roman" w:eastAsia="宋体" w:cs="Times New Roman"/>
        </w:rPr>
        <w:t>涉及大气沉降影响，占地范围内应采取绿化措施，以种植具有较强吸附能力的植物为主</w:t>
      </w:r>
      <w:r>
        <w:rPr>
          <w:rFonts w:hint="default" w:ascii="Times New Roman" w:hAnsi="Times New Roman" w:eastAsia="宋体" w:cs="Times New Roman"/>
          <w:lang w:eastAsia="zh-CN"/>
        </w:rPr>
        <w:t>。</w:t>
      </w:r>
      <w:r>
        <w:rPr>
          <w:rFonts w:hint="default" w:ascii="Times New Roman" w:hAnsi="Times New Roman" w:eastAsia="宋体" w:cs="Times New Roman"/>
        </w:rPr>
        <w:t>对于</w:t>
      </w:r>
      <w:r>
        <w:rPr>
          <w:rFonts w:hint="default" w:ascii="Times New Roman" w:hAnsi="Times New Roman" w:eastAsia="宋体" w:cs="Times New Roman"/>
          <w:lang w:val="en-US" w:eastAsia="zh-CN"/>
        </w:rPr>
        <w:t>部分废水有可能产生</w:t>
      </w:r>
      <w:r>
        <w:rPr>
          <w:rFonts w:hint="default" w:ascii="Times New Roman" w:hAnsi="Times New Roman" w:eastAsia="宋体" w:cs="Times New Roman"/>
        </w:rPr>
        <w:t>入渗途径影响的，应采取分区防渗措施，优化排水系统设计，不应有任何形式的渗井渗坑存在。</w:t>
      </w:r>
    </w:p>
    <w:p w14:paraId="582159C7">
      <w:pPr>
        <w:spacing w:line="500" w:lineRule="exact"/>
        <w:ind w:firstLine="480" w:firstLineChars="200"/>
        <w:jc w:val="both"/>
        <w:rPr>
          <w:rFonts w:hint="default" w:ascii="Times New Roman" w:hAnsi="Times New Roman" w:eastAsia="宋体" w:cs="Times New Roman"/>
          <w:lang w:val="en-US" w:eastAsia="zh-CN"/>
        </w:rPr>
      </w:pPr>
      <w:bookmarkStart w:id="625" w:name="_Toc20055"/>
      <w:bookmarkStart w:id="626" w:name="_Toc8885"/>
      <w:bookmarkStart w:id="627" w:name="_Toc23378"/>
      <w:r>
        <w:rPr>
          <w:rFonts w:hint="eastAsia" w:ascii="Times New Roman" w:hAnsi="Times New Roman" w:eastAsia="宋体" w:cs="Times New Roman"/>
          <w:lang w:val="en-US" w:eastAsia="zh-CN"/>
        </w:rPr>
        <w:t>2、</w:t>
      </w:r>
      <w:r>
        <w:rPr>
          <w:rFonts w:hint="default" w:ascii="Times New Roman" w:hAnsi="Times New Roman" w:eastAsia="宋体" w:cs="Times New Roman"/>
          <w:lang w:val="en-US" w:eastAsia="zh-CN"/>
        </w:rPr>
        <w:t>跟踪监测</w:t>
      </w:r>
      <w:bookmarkEnd w:id="625"/>
      <w:bookmarkEnd w:id="626"/>
      <w:bookmarkEnd w:id="627"/>
    </w:p>
    <w:p w14:paraId="040314F3">
      <w:pPr>
        <w:spacing w:line="500" w:lineRule="exact"/>
        <w:ind w:firstLine="480" w:firstLineChars="200"/>
        <w:jc w:val="both"/>
        <w:rPr>
          <w:rFonts w:hint="default" w:ascii="Times New Roman" w:hAnsi="Times New Roman" w:eastAsia="宋体" w:cs="Times New Roman"/>
          <w:lang w:val="en-US" w:eastAsia="zh-CN"/>
        </w:rPr>
      </w:pPr>
      <w:r>
        <w:rPr>
          <w:rFonts w:hint="default" w:ascii="Times New Roman" w:hAnsi="Times New Roman" w:eastAsia="宋体" w:cs="Times New Roman"/>
          <w:lang w:val="en-US" w:eastAsia="zh-CN"/>
        </w:rPr>
        <w:t>根据项目特点及评价等级确定，本次对厂区土壤进行跟踪监测，结合《环境影响评价技术导则 土壤环境（试行）》（HJ964-2018）和《工业企业土壤和地下水自行监测 技术指南（试行）》（HJ 1209—2021）的要求，本次对项目土壤进行跟踪监测，具体设置如下：</w:t>
      </w:r>
    </w:p>
    <w:p w14:paraId="400F8758">
      <w:pPr>
        <w:spacing w:line="500" w:lineRule="exact"/>
        <w:ind w:firstLine="480" w:firstLineChars="200"/>
        <w:jc w:val="both"/>
        <w:rPr>
          <w:rFonts w:hint="default" w:ascii="Times New Roman" w:hAnsi="Times New Roman" w:eastAsia="宋体" w:cs="Times New Roman"/>
          <w:lang w:val="en-US" w:eastAsia="zh-CN"/>
        </w:rPr>
      </w:pPr>
      <w:r>
        <w:rPr>
          <w:rFonts w:hint="default" w:ascii="Times New Roman" w:hAnsi="Times New Roman" w:eastAsia="宋体" w:cs="Times New Roman"/>
          <w:lang w:val="en-US" w:eastAsia="zh-CN"/>
        </w:rPr>
        <w:t>（1）监测点位设置及数量</w:t>
      </w:r>
    </w:p>
    <w:p w14:paraId="17E9046A">
      <w:pPr>
        <w:spacing w:line="500" w:lineRule="exact"/>
        <w:ind w:firstLine="480" w:firstLineChars="200"/>
        <w:jc w:val="both"/>
        <w:rPr>
          <w:rFonts w:hint="default" w:ascii="Times New Roman" w:hAnsi="Times New Roman" w:eastAsia="宋体" w:cs="Times New Roman"/>
          <w:lang w:val="en-US" w:eastAsia="zh-CN"/>
        </w:rPr>
      </w:pPr>
      <w:r>
        <w:rPr>
          <w:rFonts w:hint="default" w:ascii="Times New Roman" w:hAnsi="Times New Roman" w:eastAsia="宋体" w:cs="Times New Roman"/>
          <w:lang w:val="en-US" w:eastAsia="zh-CN"/>
        </w:rPr>
        <w:t>根据《工业企业土壤和地下水自行监测 技术指南（试行）》（HJ 1209—2021），将可能通过渗漏、流失、扬散等途径导致土壤或地下水污染的场所或设施设备识别为重点监测单元，重点监测单元确定后，应依据表5-1所述原则对其进行分类。</w:t>
      </w:r>
    </w:p>
    <w:p w14:paraId="5ED6B78A">
      <w:pPr>
        <w:pStyle w:val="719"/>
        <w:keepNext w:val="0"/>
        <w:keepLines w:val="0"/>
        <w:pageBreakBefore w:val="0"/>
        <w:widowControl/>
        <w:kinsoku/>
        <w:wordWrap/>
        <w:overflowPunct/>
        <w:topLinePunct w:val="0"/>
        <w:autoSpaceDE/>
        <w:autoSpaceDN/>
        <w:bidi w:val="0"/>
        <w:adjustRightInd w:val="0"/>
        <w:snapToGrid w:val="0"/>
        <w:spacing w:beforeLines="0" w:line="360" w:lineRule="auto"/>
        <w:textAlignment w:val="auto"/>
        <w:rPr>
          <w:rFonts w:hint="default" w:ascii="Times New Roman" w:hAnsi="Times New Roman" w:eastAsia="宋体" w:cs="Times New Roman"/>
          <w:sz w:val="24"/>
          <w:szCs w:val="24"/>
          <w:lang w:val="zh-CN"/>
        </w:rPr>
      </w:pPr>
      <w:r>
        <w:rPr>
          <w:rFonts w:hint="default" w:ascii="Times New Roman" w:hAnsi="Times New Roman" w:eastAsia="宋体" w:cs="Times New Roman"/>
          <w:sz w:val="24"/>
          <w:szCs w:val="24"/>
          <w:lang w:val="zh-CN"/>
        </w:rPr>
        <w:t>表</w:t>
      </w:r>
      <w:r>
        <w:rPr>
          <w:rFonts w:hint="default" w:ascii="Times New Roman" w:hAnsi="Times New Roman" w:eastAsia="宋体" w:cs="Times New Roman"/>
          <w:sz w:val="24"/>
          <w:szCs w:val="24"/>
          <w:lang w:val="en-US" w:eastAsia="zh-CN"/>
        </w:rPr>
        <w:t>5-</w:t>
      </w:r>
      <w:r>
        <w:rPr>
          <w:rFonts w:hint="default" w:ascii="Times New Roman" w:hAnsi="Times New Roman" w:eastAsia="宋体" w:cs="Times New Roman"/>
          <w:sz w:val="24"/>
          <w:szCs w:val="24"/>
        </w:rPr>
        <w:t>1</w:t>
      </w:r>
      <w:r>
        <w:rPr>
          <w:rFonts w:hint="default" w:ascii="Times New Roman" w:hAnsi="Times New Roman" w:eastAsia="宋体" w:cs="Times New Roman"/>
          <w:sz w:val="24"/>
          <w:szCs w:val="24"/>
          <w:lang w:val="zh-CN"/>
        </w:rPr>
        <w:t xml:space="preserve">  重点监测单元分类表</w:t>
      </w:r>
    </w:p>
    <w:tbl>
      <w:tblPr>
        <w:tblStyle w:val="5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591"/>
        <w:gridCol w:w="5977"/>
      </w:tblGrid>
      <w:tr w14:paraId="71EBFA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71" w:hRule="atLeast"/>
        </w:trPr>
        <w:tc>
          <w:tcPr>
            <w:tcW w:w="2591" w:type="dxa"/>
            <w:vAlign w:val="center"/>
          </w:tcPr>
          <w:p w14:paraId="28563C76">
            <w:pPr>
              <w:pStyle w:val="461"/>
              <w:widowControl w:val="0"/>
              <w:spacing w:after="0" w:line="360" w:lineRule="auto"/>
              <w:ind w:firstLine="0"/>
              <w:jc w:val="center"/>
              <w:rPr>
                <w:rFonts w:hint="default" w:ascii="Times New Roman" w:hAnsi="Times New Roman" w:eastAsia="宋体" w:cs="Times New Roman"/>
                <w:b/>
                <w:bCs/>
                <w:sz w:val="21"/>
                <w:szCs w:val="21"/>
              </w:rPr>
            </w:pPr>
            <w:r>
              <w:rPr>
                <w:rFonts w:hint="default" w:ascii="Times New Roman" w:hAnsi="Times New Roman" w:eastAsia="宋体" w:cs="Times New Roman"/>
                <w:b/>
                <w:bCs/>
                <w:sz w:val="21"/>
                <w:szCs w:val="21"/>
              </w:rPr>
              <w:t>单元类别</w:t>
            </w:r>
          </w:p>
        </w:tc>
        <w:tc>
          <w:tcPr>
            <w:tcW w:w="5977" w:type="dxa"/>
            <w:vAlign w:val="center"/>
          </w:tcPr>
          <w:p w14:paraId="39B905BA">
            <w:pPr>
              <w:pStyle w:val="461"/>
              <w:widowControl w:val="0"/>
              <w:spacing w:after="0" w:line="360" w:lineRule="auto"/>
              <w:ind w:firstLine="0"/>
              <w:jc w:val="center"/>
              <w:rPr>
                <w:rFonts w:hint="default" w:ascii="Times New Roman" w:hAnsi="Times New Roman" w:eastAsia="宋体" w:cs="Times New Roman"/>
                <w:b/>
                <w:bCs/>
                <w:sz w:val="21"/>
                <w:szCs w:val="21"/>
              </w:rPr>
            </w:pPr>
            <w:r>
              <w:rPr>
                <w:rFonts w:hint="default" w:ascii="Times New Roman" w:hAnsi="Times New Roman" w:eastAsia="宋体" w:cs="Times New Roman"/>
                <w:b/>
                <w:bCs/>
                <w:sz w:val="21"/>
                <w:szCs w:val="21"/>
              </w:rPr>
              <w:t>划分依据</w:t>
            </w:r>
          </w:p>
        </w:tc>
      </w:tr>
      <w:tr w14:paraId="2B64E6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91" w:type="dxa"/>
            <w:vAlign w:val="center"/>
          </w:tcPr>
          <w:p w14:paraId="3DD438B8">
            <w:pPr>
              <w:pStyle w:val="461"/>
              <w:widowControl w:val="0"/>
              <w:spacing w:after="0" w:line="360" w:lineRule="auto"/>
              <w:ind w:firstLine="0"/>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一类单元</w:t>
            </w:r>
          </w:p>
        </w:tc>
        <w:tc>
          <w:tcPr>
            <w:tcW w:w="5977" w:type="dxa"/>
            <w:vAlign w:val="center"/>
          </w:tcPr>
          <w:p w14:paraId="6F780EAC">
            <w:pPr>
              <w:pStyle w:val="461"/>
              <w:widowControl w:val="0"/>
              <w:spacing w:after="0" w:line="360" w:lineRule="auto"/>
              <w:ind w:firstLine="0"/>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内部存在隐蔽性重点设施设备的重点监测单元</w:t>
            </w:r>
          </w:p>
        </w:tc>
      </w:tr>
      <w:tr w14:paraId="154F0B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91" w:type="dxa"/>
            <w:vAlign w:val="center"/>
          </w:tcPr>
          <w:p w14:paraId="14E953F9">
            <w:pPr>
              <w:pStyle w:val="461"/>
              <w:widowControl w:val="0"/>
              <w:spacing w:after="0" w:line="360" w:lineRule="auto"/>
              <w:ind w:firstLine="0"/>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二类单元</w:t>
            </w:r>
          </w:p>
        </w:tc>
        <w:tc>
          <w:tcPr>
            <w:tcW w:w="5977" w:type="dxa"/>
            <w:vAlign w:val="center"/>
          </w:tcPr>
          <w:p w14:paraId="52161544">
            <w:pPr>
              <w:pStyle w:val="461"/>
              <w:widowControl w:val="0"/>
              <w:spacing w:after="0" w:line="360" w:lineRule="auto"/>
              <w:ind w:firstLine="0"/>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除一类单元外其他重点监测单元</w:t>
            </w:r>
          </w:p>
        </w:tc>
      </w:tr>
      <w:tr w14:paraId="4224AF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68" w:type="dxa"/>
            <w:gridSpan w:val="2"/>
            <w:vAlign w:val="center"/>
          </w:tcPr>
          <w:p w14:paraId="6D0CB241">
            <w:pPr>
              <w:pStyle w:val="461"/>
              <w:widowControl w:val="0"/>
              <w:spacing w:after="0" w:line="360" w:lineRule="auto"/>
              <w:ind w:firstLine="0"/>
              <w:jc w:val="left"/>
              <w:rPr>
                <w:rFonts w:hint="default" w:ascii="Times New Roman" w:hAnsi="Times New Roman" w:eastAsia="宋体" w:cs="Times New Roman"/>
                <w:sz w:val="21"/>
                <w:szCs w:val="21"/>
              </w:rPr>
            </w:pPr>
            <w:r>
              <w:rPr>
                <w:rFonts w:hint="default" w:ascii="Times New Roman" w:hAnsi="Times New Roman" w:eastAsia="宋体" w:cs="Times New Roman"/>
                <w:sz w:val="21"/>
                <w:szCs w:val="21"/>
              </w:rPr>
              <w:t>注：隐蔽性重点设施设备，指污染发生后不能及时发现或处理的重点设施设备，如地下、半地下或接地的储罐、池体、管道等。</w:t>
            </w:r>
          </w:p>
        </w:tc>
      </w:tr>
    </w:tbl>
    <w:p w14:paraId="302474B5">
      <w:pPr>
        <w:spacing w:line="500" w:lineRule="exact"/>
        <w:ind w:firstLine="480" w:firstLineChars="200"/>
        <w:jc w:val="both"/>
        <w:rPr>
          <w:rFonts w:hint="default" w:ascii="Times New Roman" w:hAnsi="Times New Roman" w:eastAsia="宋体" w:cs="Times New Roman"/>
          <w:lang w:val="en-US" w:eastAsia="zh-CN"/>
        </w:rPr>
      </w:pPr>
      <w:r>
        <w:rPr>
          <w:rFonts w:hint="default" w:ascii="Times New Roman" w:hAnsi="Times New Roman" w:eastAsia="宋体" w:cs="Times New Roman"/>
          <w:lang w:val="en-US" w:eastAsia="zh-CN"/>
        </w:rPr>
        <w:t>根据《工业企业土壤和地下水自行监测 技术指南（试行）》（HJ 1209—2021），一类单元涉及的每个隐蔽性重点设施设备周边原则上均应布设至少 1 个深层土壤监测点，单元内部或周边还应布设至少 1 个表层土壤监测点。每个二类单元内部或周边原则上均应布设至少 1 个表层土壤监测点，具体位置及数量可根据单元大小或单元内重点场所或重点设施设备的数量及分布等实际情况适当调整。监测点原则上应布设在土壤裸露处，并兼顾考虑设置在雨水易于汇流和积聚的区域，污染途径包含扬散的单元还应结合污染物主要沉降位置确定点位。根据本项目的工程分析，本技改项目不存在一类单元，将烧结生产车间和球团竖炉生产车间识别为二类单元，在车间及排气筒周边下风向各布设1个表层土壤监测点，共布设3个表层土壤监测点。</w:t>
      </w:r>
    </w:p>
    <w:p w14:paraId="0D3E78E4">
      <w:pPr>
        <w:pStyle w:val="2"/>
        <w:ind w:left="0" w:leftChars="0" w:firstLine="0" w:firstLineChars="0"/>
        <w:jc w:val="center"/>
        <w:rPr>
          <w:rFonts w:hint="default" w:ascii="Times New Roman" w:hAnsi="Times New Roman" w:cs="Times New Roman"/>
        </w:rPr>
      </w:pPr>
      <w:r>
        <w:rPr>
          <w:rFonts w:hint="default" w:ascii="Times New Roman" w:hAnsi="Times New Roman" w:cs="Times New Roman"/>
        </w:rPr>
        <w:drawing>
          <wp:inline distT="0" distB="0" distL="114300" distR="114300">
            <wp:extent cx="5173980" cy="4791710"/>
            <wp:effectExtent l="0" t="0" r="7620" b="8890"/>
            <wp:docPr id="168"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 name="图片 2"/>
                    <pic:cNvPicPr>
                      <a:picLocks noChangeAspect="1"/>
                    </pic:cNvPicPr>
                  </pic:nvPicPr>
                  <pic:blipFill>
                    <a:blip r:embed="rId122"/>
                    <a:stretch>
                      <a:fillRect/>
                    </a:stretch>
                  </pic:blipFill>
                  <pic:spPr>
                    <a:xfrm>
                      <a:off x="0" y="0"/>
                      <a:ext cx="5173980" cy="4791710"/>
                    </a:xfrm>
                    <a:prstGeom prst="rect">
                      <a:avLst/>
                    </a:prstGeom>
                    <a:noFill/>
                    <a:ln>
                      <a:noFill/>
                    </a:ln>
                  </pic:spPr>
                </pic:pic>
              </a:graphicData>
            </a:graphic>
          </wp:inline>
        </w:drawing>
      </w:r>
    </w:p>
    <w:p w14:paraId="1EFC7876">
      <w:pPr>
        <w:pStyle w:val="719"/>
        <w:keepNext w:val="0"/>
        <w:keepLines w:val="0"/>
        <w:pageBreakBefore w:val="0"/>
        <w:widowControl/>
        <w:kinsoku/>
        <w:wordWrap/>
        <w:overflowPunct/>
        <w:topLinePunct w:val="0"/>
        <w:autoSpaceDE/>
        <w:autoSpaceDN/>
        <w:bidi w:val="0"/>
        <w:adjustRightInd w:val="0"/>
        <w:snapToGrid w:val="0"/>
        <w:spacing w:beforeLines="0" w:line="360" w:lineRule="auto"/>
        <w:textAlignment w:val="auto"/>
        <w:rPr>
          <w:rFonts w:hint="default" w:ascii="Times New Roman" w:hAnsi="Times New Roman" w:eastAsia="宋体" w:cs="Times New Roman"/>
          <w:sz w:val="24"/>
          <w:szCs w:val="24"/>
          <w:lang w:val="zh-CN"/>
        </w:rPr>
      </w:pPr>
      <w:r>
        <w:rPr>
          <w:rFonts w:hint="default" w:ascii="Times New Roman" w:hAnsi="Times New Roman" w:eastAsia="宋体" w:cs="Times New Roman"/>
          <w:sz w:val="24"/>
          <w:szCs w:val="24"/>
          <w:lang w:val="zh-CN"/>
        </w:rPr>
        <w:t>图</w:t>
      </w:r>
      <w:r>
        <w:rPr>
          <w:rFonts w:hint="default" w:ascii="Times New Roman" w:hAnsi="Times New Roman" w:eastAsia="宋体" w:cs="Times New Roman"/>
          <w:sz w:val="24"/>
          <w:szCs w:val="24"/>
          <w:lang w:val="en-US" w:eastAsia="zh-CN"/>
        </w:rPr>
        <w:t>5</w:t>
      </w:r>
      <w:r>
        <w:rPr>
          <w:rFonts w:hint="default" w:ascii="Times New Roman" w:hAnsi="Times New Roman" w:eastAsia="宋体" w:cs="Times New Roman"/>
          <w:sz w:val="24"/>
          <w:szCs w:val="24"/>
          <w:lang w:val="zh-CN"/>
        </w:rPr>
        <w:t>-</w:t>
      </w:r>
      <w:r>
        <w:rPr>
          <w:rFonts w:hint="default" w:ascii="Times New Roman" w:hAnsi="Times New Roman" w:eastAsia="宋体" w:cs="Times New Roman"/>
          <w:sz w:val="24"/>
          <w:szCs w:val="24"/>
          <w:lang w:val="en-US" w:eastAsia="zh-CN"/>
        </w:rPr>
        <w:t>1</w:t>
      </w:r>
      <w:r>
        <w:rPr>
          <w:rFonts w:hint="default" w:ascii="Times New Roman" w:hAnsi="Times New Roman" w:eastAsia="宋体" w:cs="Times New Roman"/>
          <w:sz w:val="24"/>
          <w:szCs w:val="24"/>
          <w:lang w:val="zh-CN"/>
        </w:rPr>
        <w:t xml:space="preserve">  </w:t>
      </w:r>
      <w:r>
        <w:rPr>
          <w:rFonts w:hint="default" w:ascii="Times New Roman" w:hAnsi="Times New Roman" w:eastAsia="宋体" w:cs="Times New Roman"/>
          <w:sz w:val="24"/>
          <w:szCs w:val="24"/>
          <w:lang w:val="en-US" w:eastAsia="zh-CN"/>
        </w:rPr>
        <w:t>跟踪监测</w:t>
      </w:r>
      <w:r>
        <w:rPr>
          <w:rFonts w:hint="default" w:ascii="Times New Roman" w:hAnsi="Times New Roman" w:eastAsia="宋体" w:cs="Times New Roman"/>
          <w:sz w:val="24"/>
          <w:szCs w:val="24"/>
          <w:lang w:val="zh-CN"/>
        </w:rPr>
        <w:t>土壤监测点位图</w:t>
      </w:r>
    </w:p>
    <w:p w14:paraId="0AA87A92">
      <w:pPr>
        <w:spacing w:line="500" w:lineRule="exact"/>
        <w:ind w:firstLine="480" w:firstLineChars="200"/>
        <w:jc w:val="both"/>
        <w:rPr>
          <w:rFonts w:hint="default" w:ascii="Times New Roman" w:hAnsi="Times New Roman" w:eastAsia="宋体" w:cs="Times New Roman"/>
          <w:lang w:val="en-US" w:eastAsia="zh-CN"/>
        </w:rPr>
      </w:pPr>
      <w:r>
        <w:rPr>
          <w:rFonts w:hint="default" w:ascii="Times New Roman" w:hAnsi="Times New Roman" w:eastAsia="宋体" w:cs="Times New Roman"/>
          <w:lang w:val="en-US" w:eastAsia="zh-CN"/>
        </w:rPr>
        <w:t>（2）采样深度</w:t>
      </w:r>
    </w:p>
    <w:p w14:paraId="2FB61296">
      <w:pPr>
        <w:spacing w:line="500" w:lineRule="exact"/>
        <w:ind w:firstLine="480" w:firstLineChars="200"/>
        <w:jc w:val="both"/>
        <w:rPr>
          <w:rFonts w:hint="default" w:ascii="Times New Roman" w:hAnsi="Times New Roman" w:eastAsia="宋体" w:cs="Times New Roman"/>
          <w:lang w:val="en-US" w:eastAsia="zh-CN"/>
        </w:rPr>
      </w:pPr>
      <w:r>
        <w:rPr>
          <w:rFonts w:hint="default" w:ascii="Times New Roman" w:hAnsi="Times New Roman" w:eastAsia="宋体" w:cs="Times New Roman"/>
          <w:lang w:val="en-US" w:eastAsia="zh-CN"/>
        </w:rPr>
        <w:t>本项目主要涉及大气沉降影响，因此采集表层土壤，表层土壤监测点采样深度应为 0～0.5 m。</w:t>
      </w:r>
    </w:p>
    <w:p w14:paraId="4DCAD133">
      <w:pPr>
        <w:spacing w:line="500" w:lineRule="exact"/>
        <w:ind w:firstLine="480" w:firstLineChars="200"/>
        <w:jc w:val="both"/>
        <w:rPr>
          <w:rFonts w:hint="default" w:ascii="Times New Roman" w:hAnsi="Times New Roman" w:eastAsia="宋体" w:cs="Times New Roman"/>
          <w:lang w:val="en-US" w:eastAsia="zh-CN"/>
        </w:rPr>
      </w:pPr>
      <w:r>
        <w:rPr>
          <w:rFonts w:hint="default" w:ascii="Times New Roman" w:hAnsi="Times New Roman" w:eastAsia="宋体" w:cs="Times New Roman"/>
          <w:lang w:val="en-US" w:eastAsia="zh-CN"/>
        </w:rPr>
        <w:t>（3）监测指标</w:t>
      </w:r>
    </w:p>
    <w:p w14:paraId="4CC5D7E4">
      <w:pPr>
        <w:spacing w:line="500" w:lineRule="exact"/>
        <w:ind w:firstLine="480" w:firstLineChars="200"/>
        <w:jc w:val="both"/>
        <w:rPr>
          <w:rFonts w:hint="default" w:ascii="Times New Roman" w:hAnsi="Times New Roman" w:eastAsia="宋体" w:cs="Times New Roman"/>
          <w:lang w:val="en-US" w:eastAsia="zh-CN"/>
        </w:rPr>
      </w:pPr>
      <w:r>
        <w:rPr>
          <w:rFonts w:hint="default" w:ascii="Times New Roman" w:hAnsi="Times New Roman" w:eastAsia="宋体" w:cs="Times New Roman"/>
          <w:lang w:val="en-US" w:eastAsia="zh-CN"/>
        </w:rPr>
        <w:t>监测因子选取《土壤环境质量 建设用地土壤污染风险管控标准（试行）》（GB36600-2018）中基本因子，同时监测pH值、氨氮、氟化物、二噁英。</w:t>
      </w:r>
    </w:p>
    <w:p w14:paraId="17347B8C">
      <w:pPr>
        <w:spacing w:line="500" w:lineRule="exact"/>
        <w:ind w:firstLine="480" w:firstLineChars="200"/>
        <w:jc w:val="both"/>
        <w:rPr>
          <w:rFonts w:hint="default" w:ascii="Times New Roman" w:hAnsi="Times New Roman" w:eastAsia="宋体" w:cs="Times New Roman"/>
          <w:lang w:val="en-US" w:eastAsia="zh-CN"/>
        </w:rPr>
      </w:pPr>
      <w:r>
        <w:rPr>
          <w:rFonts w:hint="default" w:ascii="Times New Roman" w:hAnsi="Times New Roman" w:eastAsia="宋体" w:cs="Times New Roman"/>
          <w:lang w:val="en-US" w:eastAsia="zh-CN"/>
        </w:rPr>
        <w:t>（4）监测频次要求</w:t>
      </w:r>
    </w:p>
    <w:p w14:paraId="0D44884B">
      <w:pPr>
        <w:spacing w:line="500" w:lineRule="exact"/>
        <w:ind w:firstLine="480" w:firstLineChars="200"/>
        <w:jc w:val="both"/>
        <w:rPr>
          <w:rFonts w:hint="default" w:ascii="Times New Roman" w:hAnsi="Times New Roman" w:eastAsia="宋体" w:cs="Times New Roman"/>
          <w:lang w:val="en-US" w:eastAsia="zh-CN"/>
        </w:rPr>
      </w:pPr>
      <w:r>
        <w:rPr>
          <w:rFonts w:hint="default" w:ascii="Times New Roman" w:hAnsi="Times New Roman" w:eastAsia="宋体" w:cs="Times New Roman"/>
          <w:lang w:val="en-US" w:eastAsia="zh-CN"/>
        </w:rPr>
        <w:t>自行监测的最低监测频次按照表5-2的要求执行。</w:t>
      </w:r>
    </w:p>
    <w:p w14:paraId="78E5086C">
      <w:pPr>
        <w:pStyle w:val="719"/>
        <w:keepNext w:val="0"/>
        <w:keepLines w:val="0"/>
        <w:pageBreakBefore w:val="0"/>
        <w:widowControl/>
        <w:kinsoku/>
        <w:wordWrap/>
        <w:overflowPunct/>
        <w:topLinePunct w:val="0"/>
        <w:autoSpaceDE/>
        <w:autoSpaceDN/>
        <w:bidi w:val="0"/>
        <w:adjustRightInd w:val="0"/>
        <w:snapToGrid w:val="0"/>
        <w:spacing w:beforeLines="0" w:line="360" w:lineRule="auto"/>
        <w:textAlignment w:val="auto"/>
        <w:rPr>
          <w:rFonts w:hint="default" w:ascii="Times New Roman" w:hAnsi="Times New Roman" w:eastAsia="宋体" w:cs="Times New Roman"/>
          <w:sz w:val="24"/>
          <w:szCs w:val="24"/>
          <w:lang w:val="zh-CN"/>
        </w:rPr>
      </w:pPr>
      <w:r>
        <w:rPr>
          <w:rFonts w:hint="default" w:ascii="Times New Roman" w:hAnsi="Times New Roman" w:eastAsia="宋体" w:cs="Times New Roman"/>
          <w:sz w:val="24"/>
          <w:szCs w:val="24"/>
          <w:lang w:val="zh-CN"/>
        </w:rPr>
        <w:t>表</w:t>
      </w:r>
      <w:r>
        <w:rPr>
          <w:rFonts w:hint="default" w:ascii="Times New Roman" w:hAnsi="Times New Roman" w:eastAsia="宋体" w:cs="Times New Roman"/>
          <w:sz w:val="24"/>
          <w:szCs w:val="24"/>
          <w:lang w:val="en-US" w:eastAsia="zh-CN"/>
        </w:rPr>
        <w:t>5</w:t>
      </w:r>
      <w:r>
        <w:rPr>
          <w:rFonts w:hint="default" w:ascii="Times New Roman" w:hAnsi="Times New Roman" w:eastAsia="宋体" w:cs="Times New Roman"/>
          <w:sz w:val="24"/>
          <w:szCs w:val="24"/>
          <w:lang w:val="zh-CN"/>
        </w:rPr>
        <w:t>-2  自行监测的最低频次</w:t>
      </w:r>
    </w:p>
    <w:tbl>
      <w:tblPr>
        <w:tblStyle w:val="57"/>
        <w:tblW w:w="4999"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017"/>
        <w:gridCol w:w="3351"/>
        <w:gridCol w:w="3351"/>
      </w:tblGrid>
      <w:tr w14:paraId="04B06B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78" w:type="pct"/>
            <w:gridSpan w:val="2"/>
            <w:vAlign w:val="center"/>
          </w:tcPr>
          <w:p w14:paraId="1373DC2D">
            <w:pPr>
              <w:widowControl w:val="0"/>
              <w:jc w:val="center"/>
              <w:rPr>
                <w:rFonts w:hint="default" w:ascii="Times New Roman" w:hAnsi="Times New Roman" w:cs="Times New Roman"/>
                <w:sz w:val="21"/>
                <w:szCs w:val="21"/>
              </w:rPr>
            </w:pPr>
            <w:r>
              <w:rPr>
                <w:rFonts w:hint="default" w:ascii="Times New Roman" w:hAnsi="Times New Roman" w:cs="Times New Roman"/>
                <w:sz w:val="21"/>
                <w:szCs w:val="21"/>
              </w:rPr>
              <w:t>监测对象</w:t>
            </w:r>
          </w:p>
        </w:tc>
        <w:tc>
          <w:tcPr>
            <w:tcW w:w="1921" w:type="pct"/>
            <w:vAlign w:val="center"/>
          </w:tcPr>
          <w:p w14:paraId="35B8E6EB">
            <w:pPr>
              <w:widowControl w:val="0"/>
              <w:jc w:val="center"/>
              <w:rPr>
                <w:rFonts w:hint="default" w:ascii="Times New Roman" w:hAnsi="Times New Roman" w:cs="Times New Roman"/>
                <w:sz w:val="21"/>
                <w:szCs w:val="21"/>
              </w:rPr>
            </w:pPr>
            <w:r>
              <w:rPr>
                <w:rFonts w:hint="default" w:ascii="Times New Roman" w:hAnsi="Times New Roman" w:cs="Times New Roman"/>
                <w:sz w:val="21"/>
                <w:szCs w:val="21"/>
              </w:rPr>
              <w:t>监测频次</w:t>
            </w:r>
          </w:p>
        </w:tc>
      </w:tr>
      <w:tr w14:paraId="2C0781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57" w:type="pct"/>
            <w:vMerge w:val="restart"/>
            <w:vAlign w:val="center"/>
          </w:tcPr>
          <w:p w14:paraId="3CC24BA9">
            <w:pPr>
              <w:widowControl w:val="0"/>
              <w:jc w:val="center"/>
              <w:rPr>
                <w:rFonts w:hint="default" w:ascii="Times New Roman" w:hAnsi="Times New Roman" w:cs="Times New Roman"/>
                <w:sz w:val="21"/>
                <w:szCs w:val="21"/>
              </w:rPr>
            </w:pPr>
            <w:r>
              <w:rPr>
                <w:rFonts w:hint="default" w:ascii="Times New Roman" w:hAnsi="Times New Roman" w:cs="Times New Roman"/>
                <w:sz w:val="21"/>
                <w:szCs w:val="21"/>
              </w:rPr>
              <w:t>土壤</w:t>
            </w:r>
          </w:p>
        </w:tc>
        <w:tc>
          <w:tcPr>
            <w:tcW w:w="1921" w:type="pct"/>
            <w:vAlign w:val="center"/>
          </w:tcPr>
          <w:p w14:paraId="521BCD29">
            <w:pPr>
              <w:widowControl w:val="0"/>
              <w:jc w:val="center"/>
              <w:rPr>
                <w:rFonts w:hint="default" w:ascii="Times New Roman" w:hAnsi="Times New Roman" w:cs="Times New Roman"/>
                <w:sz w:val="21"/>
                <w:szCs w:val="21"/>
              </w:rPr>
            </w:pPr>
            <w:r>
              <w:rPr>
                <w:rFonts w:hint="default" w:ascii="Times New Roman" w:hAnsi="Times New Roman" w:cs="Times New Roman"/>
                <w:sz w:val="21"/>
                <w:szCs w:val="21"/>
              </w:rPr>
              <w:t>表层土壤</w:t>
            </w:r>
          </w:p>
        </w:tc>
        <w:tc>
          <w:tcPr>
            <w:tcW w:w="1921" w:type="pct"/>
            <w:vAlign w:val="center"/>
          </w:tcPr>
          <w:p w14:paraId="5AC27B39">
            <w:pPr>
              <w:widowControl w:val="0"/>
              <w:jc w:val="center"/>
              <w:rPr>
                <w:rFonts w:hint="default" w:ascii="Times New Roman" w:hAnsi="Times New Roman" w:cs="Times New Roman"/>
                <w:sz w:val="21"/>
                <w:szCs w:val="21"/>
              </w:rPr>
            </w:pPr>
            <w:r>
              <w:rPr>
                <w:rFonts w:hint="default" w:ascii="Times New Roman" w:hAnsi="Times New Roman" w:cs="Times New Roman"/>
                <w:sz w:val="21"/>
                <w:szCs w:val="21"/>
              </w:rPr>
              <w:t>1年</w:t>
            </w:r>
          </w:p>
        </w:tc>
      </w:tr>
      <w:tr w14:paraId="56F21C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57" w:type="pct"/>
            <w:vMerge w:val="continue"/>
            <w:vAlign w:val="center"/>
          </w:tcPr>
          <w:p w14:paraId="70F18BD7">
            <w:pPr>
              <w:widowControl w:val="0"/>
              <w:jc w:val="center"/>
              <w:rPr>
                <w:rFonts w:hint="default" w:ascii="Times New Roman" w:hAnsi="Times New Roman" w:cs="Times New Roman"/>
                <w:sz w:val="21"/>
                <w:szCs w:val="21"/>
              </w:rPr>
            </w:pPr>
          </w:p>
        </w:tc>
        <w:tc>
          <w:tcPr>
            <w:tcW w:w="1921" w:type="pct"/>
            <w:vAlign w:val="center"/>
          </w:tcPr>
          <w:p w14:paraId="37B3CB12">
            <w:pPr>
              <w:widowControl w:val="0"/>
              <w:jc w:val="center"/>
              <w:rPr>
                <w:rFonts w:hint="default" w:ascii="Times New Roman" w:hAnsi="Times New Roman" w:cs="Times New Roman"/>
                <w:sz w:val="21"/>
                <w:szCs w:val="21"/>
              </w:rPr>
            </w:pPr>
            <w:r>
              <w:rPr>
                <w:rFonts w:hint="default" w:ascii="Times New Roman" w:hAnsi="Times New Roman" w:cs="Times New Roman"/>
                <w:sz w:val="21"/>
                <w:szCs w:val="21"/>
              </w:rPr>
              <w:t>深层土壤</w:t>
            </w:r>
          </w:p>
        </w:tc>
        <w:tc>
          <w:tcPr>
            <w:tcW w:w="1921" w:type="pct"/>
            <w:vAlign w:val="center"/>
          </w:tcPr>
          <w:p w14:paraId="763C4551">
            <w:pPr>
              <w:widowControl w:val="0"/>
              <w:jc w:val="center"/>
              <w:rPr>
                <w:rFonts w:hint="default" w:ascii="Times New Roman" w:hAnsi="Times New Roman" w:cs="Times New Roman"/>
                <w:sz w:val="21"/>
                <w:szCs w:val="21"/>
              </w:rPr>
            </w:pPr>
            <w:r>
              <w:rPr>
                <w:rFonts w:hint="default" w:ascii="Times New Roman" w:hAnsi="Times New Roman" w:cs="Times New Roman"/>
                <w:sz w:val="21"/>
                <w:szCs w:val="21"/>
              </w:rPr>
              <w:t>3年</w:t>
            </w:r>
          </w:p>
        </w:tc>
      </w:tr>
    </w:tbl>
    <w:p w14:paraId="6AA20821">
      <w:pPr>
        <w:pStyle w:val="6"/>
        <w:spacing w:before="239"/>
        <w:rPr>
          <w:rFonts w:hint="eastAsia"/>
        </w:rPr>
        <w:sectPr>
          <w:pgSz w:w="11907" w:h="16840"/>
          <w:pgMar w:top="1701" w:right="1701" w:bottom="1701" w:left="1701" w:header="851" w:footer="1077" w:gutter="0"/>
          <w:pgBorders w:offsetFrom="page">
            <w:top w:val="none" w:sz="0" w:space="0"/>
            <w:left w:val="none" w:sz="0" w:space="0"/>
            <w:bottom w:val="none" w:sz="0" w:space="0"/>
            <w:right w:val="none" w:sz="0" w:space="0"/>
          </w:pgBorders>
          <w:pgNumType w:fmt="decimal"/>
          <w:cols w:space="720" w:num="1"/>
          <w:docGrid w:type="lines" w:linePitch="479" w:charSpace="0"/>
        </w:sectPr>
      </w:pPr>
      <w:bookmarkStart w:id="628" w:name="_Toc90026152"/>
    </w:p>
    <w:p w14:paraId="3EA05D47">
      <w:pPr>
        <w:pStyle w:val="6"/>
        <w:spacing w:before="239"/>
      </w:pPr>
      <w:bookmarkStart w:id="629" w:name="_Toc22843"/>
      <w:r>
        <w:rPr>
          <w:rFonts w:hint="eastAsia"/>
        </w:rPr>
        <w:t>7</w:t>
      </w:r>
      <w:r>
        <w:t>.3 “三同时”验收要求</w:t>
      </w:r>
      <w:bookmarkEnd w:id="628"/>
      <w:bookmarkEnd w:id="629"/>
    </w:p>
    <w:p w14:paraId="1A897E39">
      <w:pPr>
        <w:spacing w:line="500" w:lineRule="exact"/>
        <w:ind w:firstLine="480" w:firstLineChars="200"/>
        <w:rPr>
          <w:rFonts w:ascii="Times New Roman" w:hAnsi="Times New Roman" w:cs="Times New Roman"/>
        </w:rPr>
      </w:pPr>
      <w:r>
        <w:rPr>
          <w:rFonts w:ascii="Times New Roman" w:hAnsi="Times New Roman" w:cs="Times New Roman"/>
        </w:rPr>
        <w:t>本项目采取的各项环境保护措施应由项目建设单位负责落实，并应严格执行与主体工程“同时设计、同时施工、同时投入运行”的三同时原则。</w:t>
      </w:r>
    </w:p>
    <w:p w14:paraId="67CCE2C5">
      <w:pPr>
        <w:spacing w:line="500" w:lineRule="exact"/>
        <w:ind w:firstLine="480" w:firstLineChars="200"/>
        <w:rPr>
          <w:rFonts w:hint="eastAsia" w:ascii="Times New Roman" w:hAnsi="Times New Roman" w:cs="Times New Roman"/>
        </w:rPr>
      </w:pPr>
      <w:r>
        <w:rPr>
          <w:rFonts w:ascii="Times New Roman" w:hAnsi="Times New Roman" w:cs="Times New Roman"/>
        </w:rPr>
        <w:t>本项目“三同时”验收的主要内容见表</w:t>
      </w:r>
      <w:r>
        <w:rPr>
          <w:rFonts w:hint="eastAsia" w:ascii="Times New Roman" w:hAnsi="Times New Roman" w:cs="Times New Roman"/>
        </w:rPr>
        <w:t>7</w:t>
      </w:r>
      <w:r>
        <w:rPr>
          <w:rFonts w:ascii="Times New Roman" w:hAnsi="Times New Roman" w:cs="Times New Roman"/>
        </w:rPr>
        <w:t>.3-1。</w:t>
      </w:r>
    </w:p>
    <w:p w14:paraId="06C7443B">
      <w:pPr>
        <w:tabs>
          <w:tab w:val="left" w:pos="851"/>
          <w:tab w:val="left" w:pos="1141"/>
          <w:tab w:val="left" w:pos="4335"/>
        </w:tabs>
        <w:adjustRightInd w:val="0"/>
        <w:jc w:val="center"/>
        <w:rPr>
          <w:rFonts w:ascii="Times New Roman" w:hAnsi="Times New Roman" w:eastAsia="黑体" w:cs="Times New Roman"/>
        </w:rPr>
      </w:pPr>
      <w:r>
        <w:rPr>
          <w:rFonts w:ascii="Times New Roman" w:hAnsi="Times New Roman" w:eastAsia="黑体" w:cs="Times New Roman"/>
        </w:rPr>
        <w:t>表</w:t>
      </w:r>
      <w:r>
        <w:rPr>
          <w:rFonts w:hint="eastAsia" w:ascii="Times New Roman" w:hAnsi="Times New Roman" w:eastAsia="黑体" w:cs="Times New Roman"/>
        </w:rPr>
        <w:t>7</w:t>
      </w:r>
      <w:r>
        <w:rPr>
          <w:rFonts w:ascii="Times New Roman" w:hAnsi="Times New Roman" w:eastAsia="黑体" w:cs="Times New Roman"/>
        </w:rPr>
        <w:t>.3-1  建设项目“三同时”一览表</w:t>
      </w:r>
    </w:p>
    <w:tbl>
      <w:tblPr>
        <w:tblStyle w:val="56"/>
        <w:tblW w:w="536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695"/>
        <w:gridCol w:w="1468"/>
        <w:gridCol w:w="2371"/>
        <w:gridCol w:w="3299"/>
        <w:gridCol w:w="4964"/>
        <w:gridCol w:w="1863"/>
      </w:tblGrid>
      <w:tr w14:paraId="6BB1F2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695"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3D2DD937">
            <w:pPr>
              <w:jc w:val="center"/>
              <w:rPr>
                <w:b/>
              </w:rPr>
            </w:pPr>
            <w:r>
              <w:rPr>
                <w:b/>
              </w:rPr>
              <w:t>类别</w:t>
            </w:r>
          </w:p>
        </w:tc>
        <w:tc>
          <w:tcPr>
            <w:tcW w:w="1468"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13B4A02C">
            <w:pPr>
              <w:jc w:val="center"/>
              <w:rPr>
                <w:b/>
              </w:rPr>
            </w:pPr>
            <w:r>
              <w:rPr>
                <w:b/>
              </w:rPr>
              <w:t>污染源</w:t>
            </w:r>
          </w:p>
        </w:tc>
        <w:tc>
          <w:tcPr>
            <w:tcW w:w="2371"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56E48227">
            <w:pPr>
              <w:jc w:val="center"/>
              <w:rPr>
                <w:b/>
              </w:rPr>
            </w:pPr>
            <w:r>
              <w:rPr>
                <w:b/>
              </w:rPr>
              <w:t>污染物</w:t>
            </w:r>
          </w:p>
        </w:tc>
        <w:tc>
          <w:tcPr>
            <w:tcW w:w="3299"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143E1EE4">
            <w:pPr>
              <w:jc w:val="center"/>
              <w:rPr>
                <w:b/>
              </w:rPr>
            </w:pPr>
            <w:r>
              <w:rPr>
                <w:b/>
              </w:rPr>
              <w:t>治理措施（设施数量、规模、处理能力）</w:t>
            </w:r>
          </w:p>
        </w:tc>
        <w:tc>
          <w:tcPr>
            <w:tcW w:w="4964"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34EE18DC">
            <w:pPr>
              <w:jc w:val="center"/>
              <w:rPr>
                <w:b/>
              </w:rPr>
            </w:pPr>
            <w:r>
              <w:rPr>
                <w:b/>
              </w:rPr>
              <w:t>处理效果、执行标准或拟达要求</w:t>
            </w:r>
          </w:p>
        </w:tc>
        <w:tc>
          <w:tcPr>
            <w:tcW w:w="1863"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3411D18A">
            <w:pPr>
              <w:jc w:val="center"/>
              <w:rPr>
                <w:b/>
              </w:rPr>
            </w:pPr>
            <w:r>
              <w:rPr>
                <w:b/>
              </w:rPr>
              <w:t>完成时间</w:t>
            </w:r>
          </w:p>
        </w:tc>
      </w:tr>
      <w:tr w14:paraId="0417E5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695" w:type="dxa"/>
            <w:vMerge w:val="restart"/>
            <w:tcBorders>
              <w:top w:val="single" w:color="000000" w:sz="4" w:space="0"/>
              <w:left w:val="single" w:color="000000" w:sz="4" w:space="0"/>
              <w:right w:val="single" w:color="000000" w:sz="4" w:space="0"/>
            </w:tcBorders>
            <w:noWrap w:val="0"/>
            <w:tcMar>
              <w:left w:w="108" w:type="dxa"/>
              <w:right w:w="108" w:type="dxa"/>
            </w:tcMar>
            <w:vAlign w:val="center"/>
          </w:tcPr>
          <w:p w14:paraId="68EE59CD">
            <w:r>
              <w:t>废气</w:t>
            </w:r>
          </w:p>
        </w:tc>
        <w:tc>
          <w:tcPr>
            <w:tcW w:w="1468"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10D40380">
            <w:pPr>
              <w:keepNext w:val="0"/>
              <w:keepLines w:val="0"/>
              <w:widowControl/>
              <w:suppressLineNumbers w:val="0"/>
              <w:jc w:val="left"/>
              <w:textAlignment w:val="center"/>
            </w:pPr>
            <w:r>
              <w:rPr>
                <w:rFonts w:hint="eastAsia" w:ascii="宋体" w:hAnsi="宋体" w:eastAsia="宋体" w:cs="宋体"/>
                <w:i w:val="0"/>
                <w:iCs w:val="0"/>
                <w:color w:val="000000"/>
                <w:kern w:val="0"/>
                <w:sz w:val="21"/>
                <w:szCs w:val="21"/>
                <w:u w:val="none"/>
                <w:lang w:val="en-US" w:eastAsia="zh-CN" w:bidi="ar"/>
              </w:rPr>
              <w:t>配料室</w:t>
            </w:r>
          </w:p>
        </w:tc>
        <w:tc>
          <w:tcPr>
            <w:tcW w:w="2371"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5C705C33">
            <w:pPr>
              <w:keepNext w:val="0"/>
              <w:keepLines w:val="0"/>
              <w:widowControl/>
              <w:suppressLineNumbers w:val="0"/>
              <w:jc w:val="left"/>
              <w:textAlignment w:val="center"/>
            </w:pPr>
            <w:r>
              <w:rPr>
                <w:rFonts w:hint="eastAsia" w:ascii="宋体" w:hAnsi="宋体" w:eastAsia="宋体" w:cs="宋体"/>
                <w:i w:val="0"/>
                <w:iCs w:val="0"/>
                <w:color w:val="000000"/>
                <w:kern w:val="0"/>
                <w:sz w:val="21"/>
                <w:szCs w:val="21"/>
                <w:u w:val="none"/>
                <w:lang w:val="en-US" w:eastAsia="zh-CN" w:bidi="ar"/>
              </w:rPr>
              <w:t>粉尘</w:t>
            </w:r>
          </w:p>
        </w:tc>
        <w:tc>
          <w:tcPr>
            <w:tcW w:w="3299"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3F099749">
            <w:pPr>
              <w:keepNext w:val="0"/>
              <w:keepLines w:val="0"/>
              <w:widowControl/>
              <w:suppressLineNumbers w:val="0"/>
              <w:jc w:val="left"/>
              <w:textAlignment w:val="center"/>
            </w:pPr>
            <w:r>
              <w:rPr>
                <w:rFonts w:hint="eastAsia" w:ascii="宋体" w:hAnsi="宋体" w:eastAsia="宋体" w:cs="宋体"/>
                <w:i w:val="0"/>
                <w:iCs w:val="0"/>
                <w:color w:val="000000"/>
                <w:kern w:val="0"/>
                <w:sz w:val="21"/>
                <w:szCs w:val="21"/>
                <w:u w:val="none"/>
                <w:lang w:val="en-US" w:eastAsia="zh-CN" w:bidi="ar"/>
              </w:rPr>
              <w:t>袋式除尘器+30m排气筒DA003</w:t>
            </w:r>
          </w:p>
        </w:tc>
        <w:tc>
          <w:tcPr>
            <w:tcW w:w="4964" w:type="dxa"/>
            <w:vMerge w:val="restart"/>
            <w:tcBorders>
              <w:top w:val="single" w:color="000000" w:sz="4" w:space="0"/>
              <w:left w:val="single" w:color="000000" w:sz="4" w:space="0"/>
              <w:right w:val="single" w:color="000000" w:sz="4" w:space="0"/>
            </w:tcBorders>
            <w:noWrap w:val="0"/>
            <w:tcMar>
              <w:left w:w="108" w:type="dxa"/>
              <w:right w:w="108" w:type="dxa"/>
            </w:tcMar>
            <w:vAlign w:val="center"/>
          </w:tcPr>
          <w:p w14:paraId="3D765715">
            <w:r>
              <w:t>《关于推进实施钢铁行业超低排放的意见》（环大气〔2019〕35 号）、</w:t>
            </w:r>
            <w:r>
              <w:rPr>
                <w:rFonts w:hint="eastAsia"/>
              </w:rPr>
              <w:t>《钢铁工业大气污染物排放标准》（DB21/ 4119-2025）</w:t>
            </w:r>
            <w:r>
              <w:t xml:space="preserve">中表 </w:t>
            </w:r>
            <w:r>
              <w:rPr>
                <w:rFonts w:hint="eastAsia"/>
                <w:lang w:val="en-US" w:eastAsia="zh-CN"/>
              </w:rPr>
              <w:t>1</w:t>
            </w:r>
            <w:r>
              <w:t>排放限值。无组织排放限值执行</w:t>
            </w:r>
            <w:r>
              <w:rPr>
                <w:rFonts w:hint="eastAsia"/>
              </w:rPr>
              <w:t>《钢铁工业大气污染物排放标准》（DB21/ 4119-2025）</w:t>
            </w:r>
            <w:r>
              <w:t>标准。</w:t>
            </w:r>
          </w:p>
        </w:tc>
        <w:tc>
          <w:tcPr>
            <w:tcW w:w="1863" w:type="dxa"/>
            <w:vMerge w:val="restart"/>
            <w:tcBorders>
              <w:top w:val="single" w:color="000000" w:sz="4" w:space="0"/>
              <w:left w:val="single" w:color="000000" w:sz="4" w:space="0"/>
              <w:right w:val="single" w:color="000000" w:sz="4" w:space="0"/>
            </w:tcBorders>
            <w:noWrap w:val="0"/>
            <w:tcMar>
              <w:left w:w="108" w:type="dxa"/>
              <w:right w:w="108" w:type="dxa"/>
            </w:tcMar>
            <w:vAlign w:val="center"/>
          </w:tcPr>
          <w:p w14:paraId="7108A071">
            <w:r>
              <w:t>与建设项目同时设计、同时施工、同时投入运行</w:t>
            </w:r>
          </w:p>
        </w:tc>
      </w:tr>
      <w:tr w14:paraId="430757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695" w:type="dxa"/>
            <w:vMerge w:val="continue"/>
            <w:tcBorders>
              <w:left w:val="single" w:color="000000" w:sz="4" w:space="0"/>
              <w:right w:val="single" w:color="000000" w:sz="4" w:space="0"/>
            </w:tcBorders>
            <w:noWrap w:val="0"/>
            <w:tcMar>
              <w:left w:w="108" w:type="dxa"/>
              <w:right w:w="108" w:type="dxa"/>
            </w:tcMar>
            <w:vAlign w:val="center"/>
          </w:tcPr>
          <w:p w14:paraId="597CC31E"/>
        </w:tc>
        <w:tc>
          <w:tcPr>
            <w:tcW w:w="1468"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15E4B3E9">
            <w:pPr>
              <w:keepNext w:val="0"/>
              <w:keepLines w:val="0"/>
              <w:widowControl/>
              <w:suppressLineNumbers w:val="0"/>
              <w:jc w:val="left"/>
              <w:textAlignment w:val="center"/>
            </w:pPr>
            <w:r>
              <w:rPr>
                <w:rFonts w:hint="eastAsia" w:ascii="宋体" w:hAnsi="宋体" w:eastAsia="宋体" w:cs="宋体"/>
                <w:i w:val="0"/>
                <w:iCs w:val="0"/>
                <w:color w:val="000000"/>
                <w:kern w:val="0"/>
                <w:sz w:val="21"/>
                <w:szCs w:val="21"/>
                <w:u w:val="none"/>
                <w:lang w:val="en-US" w:eastAsia="zh-CN" w:bidi="ar"/>
              </w:rPr>
              <w:t>一、二次混合</w:t>
            </w:r>
          </w:p>
        </w:tc>
        <w:tc>
          <w:tcPr>
            <w:tcW w:w="2371"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1365A859">
            <w:pPr>
              <w:keepNext w:val="0"/>
              <w:keepLines w:val="0"/>
              <w:widowControl/>
              <w:suppressLineNumbers w:val="0"/>
              <w:jc w:val="left"/>
              <w:textAlignment w:val="center"/>
            </w:pPr>
            <w:r>
              <w:rPr>
                <w:rFonts w:hint="eastAsia" w:ascii="宋体" w:hAnsi="宋体" w:eastAsia="宋体" w:cs="宋体"/>
                <w:i w:val="0"/>
                <w:iCs w:val="0"/>
                <w:color w:val="000000"/>
                <w:kern w:val="0"/>
                <w:sz w:val="21"/>
                <w:szCs w:val="21"/>
                <w:u w:val="none"/>
                <w:lang w:val="en-US" w:eastAsia="zh-CN" w:bidi="ar"/>
              </w:rPr>
              <w:t>粉尘</w:t>
            </w:r>
          </w:p>
        </w:tc>
        <w:tc>
          <w:tcPr>
            <w:tcW w:w="3299"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3EE64B40">
            <w:pPr>
              <w:keepNext w:val="0"/>
              <w:keepLines w:val="0"/>
              <w:widowControl/>
              <w:suppressLineNumbers w:val="0"/>
              <w:jc w:val="left"/>
              <w:textAlignment w:val="center"/>
            </w:pPr>
            <w:r>
              <w:rPr>
                <w:rFonts w:hint="eastAsia" w:ascii="宋体" w:hAnsi="宋体" w:eastAsia="宋体" w:cs="宋体"/>
                <w:i w:val="0"/>
                <w:iCs w:val="0"/>
                <w:color w:val="000000"/>
                <w:kern w:val="0"/>
                <w:sz w:val="21"/>
                <w:szCs w:val="21"/>
                <w:u w:val="none"/>
                <w:lang w:val="en-US" w:eastAsia="zh-CN" w:bidi="ar"/>
              </w:rPr>
              <w:t>湿法水浴除尘器+20m排气筒DA015</w:t>
            </w:r>
          </w:p>
        </w:tc>
        <w:tc>
          <w:tcPr>
            <w:tcW w:w="4964" w:type="dxa"/>
            <w:vMerge w:val="continue"/>
            <w:tcBorders>
              <w:left w:val="single" w:color="000000" w:sz="4" w:space="0"/>
              <w:right w:val="single" w:color="000000" w:sz="4" w:space="0"/>
            </w:tcBorders>
            <w:noWrap w:val="0"/>
            <w:tcMar>
              <w:left w:w="108" w:type="dxa"/>
              <w:right w:w="108" w:type="dxa"/>
            </w:tcMar>
            <w:vAlign w:val="center"/>
          </w:tcPr>
          <w:p w14:paraId="22E5FA83"/>
        </w:tc>
        <w:tc>
          <w:tcPr>
            <w:tcW w:w="1863" w:type="dxa"/>
            <w:vMerge w:val="continue"/>
            <w:tcBorders>
              <w:left w:val="single" w:color="000000" w:sz="4" w:space="0"/>
              <w:right w:val="single" w:color="000000" w:sz="4" w:space="0"/>
            </w:tcBorders>
            <w:noWrap w:val="0"/>
            <w:tcMar>
              <w:left w:w="108" w:type="dxa"/>
              <w:right w:w="108" w:type="dxa"/>
            </w:tcMar>
            <w:vAlign w:val="center"/>
          </w:tcPr>
          <w:p w14:paraId="71937F93"/>
        </w:tc>
      </w:tr>
      <w:tr w14:paraId="589B36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695" w:type="dxa"/>
            <w:vMerge w:val="continue"/>
            <w:tcBorders>
              <w:left w:val="single" w:color="000000" w:sz="4" w:space="0"/>
              <w:right w:val="single" w:color="000000" w:sz="4" w:space="0"/>
            </w:tcBorders>
            <w:noWrap w:val="0"/>
            <w:tcMar>
              <w:left w:w="108" w:type="dxa"/>
              <w:right w:w="108" w:type="dxa"/>
            </w:tcMar>
            <w:vAlign w:val="center"/>
          </w:tcPr>
          <w:p w14:paraId="46AB288B"/>
        </w:tc>
        <w:tc>
          <w:tcPr>
            <w:tcW w:w="1468"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532F3CDC">
            <w:pPr>
              <w:keepNext w:val="0"/>
              <w:keepLines w:val="0"/>
              <w:widowControl/>
              <w:suppressLineNumbers w:val="0"/>
              <w:jc w:val="left"/>
              <w:textAlignment w:val="center"/>
            </w:pPr>
            <w:r>
              <w:rPr>
                <w:rFonts w:hint="eastAsia" w:ascii="宋体" w:hAnsi="宋体" w:eastAsia="宋体" w:cs="宋体"/>
                <w:i w:val="0"/>
                <w:iCs w:val="0"/>
                <w:color w:val="000000"/>
                <w:kern w:val="0"/>
                <w:sz w:val="21"/>
                <w:szCs w:val="21"/>
                <w:u w:val="none"/>
                <w:lang w:val="en-US" w:eastAsia="zh-CN" w:bidi="ar"/>
              </w:rPr>
              <w:t>烧结机头</w:t>
            </w:r>
          </w:p>
        </w:tc>
        <w:tc>
          <w:tcPr>
            <w:tcW w:w="2371"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68B70981">
            <w:pPr>
              <w:keepNext w:val="0"/>
              <w:keepLines w:val="0"/>
              <w:widowControl/>
              <w:suppressLineNumbers w:val="0"/>
              <w:jc w:val="left"/>
              <w:textAlignment w:val="center"/>
            </w:pPr>
            <w:r>
              <w:rPr>
                <w:rFonts w:hint="eastAsia" w:ascii="宋体" w:hAnsi="宋体" w:eastAsia="宋体" w:cs="宋体"/>
                <w:i w:val="0"/>
                <w:iCs w:val="0"/>
                <w:color w:val="000000"/>
                <w:kern w:val="0"/>
                <w:sz w:val="21"/>
                <w:szCs w:val="21"/>
                <w:u w:val="none"/>
                <w:lang w:val="en-US" w:eastAsia="zh-CN" w:bidi="ar"/>
              </w:rPr>
              <w:t>烟粉尘、SO</w:t>
            </w:r>
            <w:r>
              <w:rPr>
                <w:rFonts w:hint="eastAsia" w:ascii="宋体" w:hAnsi="宋体" w:eastAsia="宋体" w:cs="宋体"/>
                <w:i w:val="0"/>
                <w:iCs w:val="0"/>
                <w:color w:val="000000"/>
                <w:kern w:val="0"/>
                <w:sz w:val="21"/>
                <w:szCs w:val="21"/>
                <w:u w:val="none"/>
                <w:vertAlign w:val="subscript"/>
                <w:lang w:val="en-US" w:eastAsia="zh-CN" w:bidi="ar"/>
              </w:rPr>
              <w:t xml:space="preserve">                   </w:t>
            </w:r>
            <w:r>
              <w:rPr>
                <w:rFonts w:hint="eastAsia" w:ascii="宋体" w:hAnsi="宋体" w:eastAsia="宋体" w:cs="宋体"/>
                <w:i w:val="0"/>
                <w:iCs w:val="0"/>
                <w:color w:val="000000"/>
                <w:kern w:val="0"/>
                <w:sz w:val="21"/>
                <w:szCs w:val="21"/>
                <w:u w:val="none"/>
                <w:lang w:val="en-US" w:eastAsia="zh-CN" w:bidi="ar"/>
              </w:rPr>
              <w:t>、NO</w:t>
            </w:r>
            <w:r>
              <w:rPr>
                <w:rFonts w:hint="eastAsia" w:ascii="宋体" w:hAnsi="宋体" w:eastAsia="宋体" w:cs="宋体"/>
                <w:i w:val="0"/>
                <w:iCs w:val="0"/>
                <w:color w:val="000000"/>
                <w:kern w:val="0"/>
                <w:sz w:val="21"/>
                <w:szCs w:val="21"/>
                <w:u w:val="none"/>
                <w:vertAlign w:val="subscript"/>
                <w:lang w:val="en-US" w:eastAsia="zh-CN" w:bidi="ar"/>
              </w:rPr>
              <w:t>X</w:t>
            </w:r>
            <w:r>
              <w:rPr>
                <w:rFonts w:hint="eastAsia" w:ascii="宋体" w:hAnsi="宋体" w:eastAsia="宋体" w:cs="宋体"/>
                <w:i w:val="0"/>
                <w:iCs w:val="0"/>
                <w:color w:val="000000"/>
                <w:kern w:val="0"/>
                <w:sz w:val="21"/>
                <w:szCs w:val="21"/>
                <w:u w:val="none"/>
                <w:lang w:val="en-US" w:eastAsia="zh-CN" w:bidi="ar"/>
              </w:rPr>
              <w:t>、氟化物、氨、二噁英类</w:t>
            </w:r>
          </w:p>
        </w:tc>
        <w:tc>
          <w:tcPr>
            <w:tcW w:w="3299"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1FAE6FA5">
            <w:pPr>
              <w:keepNext w:val="0"/>
              <w:keepLines w:val="0"/>
              <w:widowControl/>
              <w:suppressLineNumbers w:val="0"/>
              <w:jc w:val="left"/>
              <w:textAlignment w:val="center"/>
            </w:pPr>
            <w:r>
              <w:rPr>
                <w:rFonts w:hint="eastAsia" w:ascii="宋体" w:hAnsi="宋体" w:eastAsia="宋体" w:cs="宋体"/>
                <w:i w:val="0"/>
                <w:iCs w:val="0"/>
                <w:color w:val="000000"/>
                <w:kern w:val="0"/>
                <w:sz w:val="21"/>
                <w:szCs w:val="21"/>
                <w:u w:val="none"/>
                <w:lang w:val="en-US" w:eastAsia="zh-CN" w:bidi="ar"/>
              </w:rPr>
              <w:t>湿电除尘器+石灰石-石膏湿式脱硫+SCR脱硝+70m排气筒DA002</w:t>
            </w:r>
          </w:p>
        </w:tc>
        <w:tc>
          <w:tcPr>
            <w:tcW w:w="4964" w:type="dxa"/>
            <w:vMerge w:val="continue"/>
            <w:tcBorders>
              <w:left w:val="single" w:color="000000" w:sz="4" w:space="0"/>
              <w:right w:val="single" w:color="000000" w:sz="4" w:space="0"/>
            </w:tcBorders>
            <w:noWrap w:val="0"/>
            <w:tcMar>
              <w:left w:w="108" w:type="dxa"/>
              <w:right w:w="108" w:type="dxa"/>
            </w:tcMar>
            <w:vAlign w:val="center"/>
          </w:tcPr>
          <w:p w14:paraId="33825EEA"/>
        </w:tc>
        <w:tc>
          <w:tcPr>
            <w:tcW w:w="1863" w:type="dxa"/>
            <w:vMerge w:val="continue"/>
            <w:tcBorders>
              <w:left w:val="single" w:color="000000" w:sz="4" w:space="0"/>
              <w:right w:val="single" w:color="000000" w:sz="4" w:space="0"/>
            </w:tcBorders>
            <w:noWrap w:val="0"/>
            <w:tcMar>
              <w:left w:w="108" w:type="dxa"/>
              <w:right w:w="108" w:type="dxa"/>
            </w:tcMar>
            <w:vAlign w:val="center"/>
          </w:tcPr>
          <w:p w14:paraId="210CB5D3"/>
        </w:tc>
      </w:tr>
      <w:tr w14:paraId="092E53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695" w:type="dxa"/>
            <w:vMerge w:val="continue"/>
            <w:tcBorders>
              <w:left w:val="single" w:color="000000" w:sz="4" w:space="0"/>
              <w:right w:val="single" w:color="000000" w:sz="4" w:space="0"/>
            </w:tcBorders>
            <w:noWrap w:val="0"/>
            <w:tcMar>
              <w:left w:w="108" w:type="dxa"/>
              <w:right w:w="108" w:type="dxa"/>
            </w:tcMar>
            <w:vAlign w:val="center"/>
          </w:tcPr>
          <w:p w14:paraId="36B4CED3"/>
        </w:tc>
        <w:tc>
          <w:tcPr>
            <w:tcW w:w="1468"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029A0018">
            <w:pPr>
              <w:keepNext w:val="0"/>
              <w:keepLines w:val="0"/>
              <w:widowControl/>
              <w:suppressLineNumbers w:val="0"/>
              <w:jc w:val="left"/>
              <w:textAlignment w:val="center"/>
            </w:pPr>
            <w:r>
              <w:rPr>
                <w:rFonts w:hint="eastAsia" w:ascii="宋体" w:hAnsi="宋体" w:eastAsia="宋体" w:cs="宋体"/>
                <w:i w:val="0"/>
                <w:iCs w:val="0"/>
                <w:color w:val="000000"/>
                <w:kern w:val="0"/>
                <w:sz w:val="21"/>
                <w:szCs w:val="21"/>
                <w:u w:val="none"/>
                <w:lang w:val="en-US" w:eastAsia="zh-CN" w:bidi="ar"/>
              </w:rPr>
              <w:t>烧结机尾</w:t>
            </w:r>
          </w:p>
        </w:tc>
        <w:tc>
          <w:tcPr>
            <w:tcW w:w="2371"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6427B6A4">
            <w:pPr>
              <w:keepNext w:val="0"/>
              <w:keepLines w:val="0"/>
              <w:widowControl/>
              <w:suppressLineNumbers w:val="0"/>
              <w:jc w:val="left"/>
              <w:textAlignment w:val="center"/>
            </w:pPr>
            <w:r>
              <w:rPr>
                <w:rFonts w:hint="eastAsia" w:ascii="宋体" w:hAnsi="宋体" w:eastAsia="宋体" w:cs="宋体"/>
                <w:i w:val="0"/>
                <w:iCs w:val="0"/>
                <w:color w:val="000000"/>
                <w:kern w:val="0"/>
                <w:sz w:val="21"/>
                <w:szCs w:val="21"/>
                <w:u w:val="none"/>
                <w:lang w:val="en-US" w:eastAsia="zh-CN" w:bidi="ar"/>
              </w:rPr>
              <w:t>粉尘</w:t>
            </w:r>
          </w:p>
        </w:tc>
        <w:tc>
          <w:tcPr>
            <w:tcW w:w="3299"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639E2143">
            <w:pPr>
              <w:keepNext w:val="0"/>
              <w:keepLines w:val="0"/>
              <w:widowControl/>
              <w:suppressLineNumbers w:val="0"/>
              <w:jc w:val="left"/>
              <w:textAlignment w:val="center"/>
            </w:pPr>
            <w:r>
              <w:rPr>
                <w:rFonts w:hint="eastAsia" w:ascii="宋体" w:hAnsi="宋体" w:eastAsia="宋体" w:cs="宋体"/>
                <w:i w:val="0"/>
                <w:iCs w:val="0"/>
                <w:color w:val="000000"/>
                <w:kern w:val="0"/>
                <w:sz w:val="21"/>
                <w:szCs w:val="21"/>
                <w:u w:val="none"/>
                <w:lang w:val="en-US" w:eastAsia="zh-CN" w:bidi="ar"/>
              </w:rPr>
              <w:t>袋式除尘器+50m排气筒DA005</w:t>
            </w:r>
          </w:p>
        </w:tc>
        <w:tc>
          <w:tcPr>
            <w:tcW w:w="4964" w:type="dxa"/>
            <w:vMerge w:val="continue"/>
            <w:tcBorders>
              <w:left w:val="single" w:color="000000" w:sz="4" w:space="0"/>
              <w:right w:val="single" w:color="000000" w:sz="4" w:space="0"/>
            </w:tcBorders>
            <w:noWrap w:val="0"/>
            <w:tcMar>
              <w:left w:w="108" w:type="dxa"/>
              <w:right w:w="108" w:type="dxa"/>
            </w:tcMar>
            <w:vAlign w:val="center"/>
          </w:tcPr>
          <w:p w14:paraId="45C0EBB7"/>
        </w:tc>
        <w:tc>
          <w:tcPr>
            <w:tcW w:w="1863" w:type="dxa"/>
            <w:vMerge w:val="continue"/>
            <w:tcBorders>
              <w:left w:val="single" w:color="000000" w:sz="4" w:space="0"/>
              <w:right w:val="single" w:color="000000" w:sz="4" w:space="0"/>
            </w:tcBorders>
            <w:noWrap w:val="0"/>
            <w:tcMar>
              <w:left w:w="108" w:type="dxa"/>
              <w:right w:w="108" w:type="dxa"/>
            </w:tcMar>
            <w:vAlign w:val="center"/>
          </w:tcPr>
          <w:p w14:paraId="68BEA1D3"/>
        </w:tc>
      </w:tr>
      <w:tr w14:paraId="4F8640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695" w:type="dxa"/>
            <w:vMerge w:val="continue"/>
            <w:tcBorders>
              <w:left w:val="single" w:color="000000" w:sz="4" w:space="0"/>
              <w:right w:val="single" w:color="000000" w:sz="4" w:space="0"/>
            </w:tcBorders>
            <w:noWrap w:val="0"/>
            <w:tcMar>
              <w:left w:w="108" w:type="dxa"/>
              <w:right w:w="108" w:type="dxa"/>
            </w:tcMar>
            <w:vAlign w:val="center"/>
          </w:tcPr>
          <w:p w14:paraId="63C60F40"/>
        </w:tc>
        <w:tc>
          <w:tcPr>
            <w:tcW w:w="1468"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35E81E12">
            <w:pPr>
              <w:keepNext w:val="0"/>
              <w:keepLines w:val="0"/>
              <w:widowControl/>
              <w:suppressLineNumbers w:val="0"/>
              <w:jc w:val="left"/>
              <w:textAlignment w:val="center"/>
            </w:pPr>
            <w:r>
              <w:rPr>
                <w:rFonts w:hint="eastAsia" w:ascii="宋体" w:hAnsi="宋体" w:eastAsia="宋体" w:cs="宋体"/>
                <w:i w:val="0"/>
                <w:iCs w:val="0"/>
                <w:color w:val="000000"/>
                <w:kern w:val="0"/>
                <w:sz w:val="21"/>
                <w:szCs w:val="21"/>
                <w:u w:val="none"/>
                <w:lang w:val="en-US" w:eastAsia="zh-CN" w:bidi="ar"/>
              </w:rPr>
              <w:t>单辊破碎</w:t>
            </w:r>
          </w:p>
        </w:tc>
        <w:tc>
          <w:tcPr>
            <w:tcW w:w="2371"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4F57F3EA">
            <w:pPr>
              <w:keepNext w:val="0"/>
              <w:keepLines w:val="0"/>
              <w:widowControl/>
              <w:suppressLineNumbers w:val="0"/>
              <w:jc w:val="left"/>
              <w:textAlignment w:val="center"/>
            </w:pPr>
            <w:r>
              <w:rPr>
                <w:rFonts w:hint="eastAsia" w:ascii="宋体" w:hAnsi="宋体" w:eastAsia="宋体" w:cs="宋体"/>
                <w:i w:val="0"/>
                <w:iCs w:val="0"/>
                <w:color w:val="000000"/>
                <w:kern w:val="0"/>
                <w:sz w:val="21"/>
                <w:szCs w:val="21"/>
                <w:u w:val="none"/>
                <w:lang w:val="en-US" w:eastAsia="zh-CN" w:bidi="ar"/>
              </w:rPr>
              <w:t>粉尘</w:t>
            </w:r>
          </w:p>
        </w:tc>
        <w:tc>
          <w:tcPr>
            <w:tcW w:w="3299"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422BF5EF">
            <w:pPr>
              <w:keepNext w:val="0"/>
              <w:keepLines w:val="0"/>
              <w:widowControl/>
              <w:suppressLineNumbers w:val="0"/>
              <w:jc w:val="left"/>
              <w:textAlignment w:val="center"/>
            </w:pPr>
            <w:r>
              <w:rPr>
                <w:rFonts w:hint="eastAsia" w:ascii="宋体" w:hAnsi="宋体" w:eastAsia="宋体" w:cs="宋体"/>
                <w:i w:val="0"/>
                <w:iCs w:val="0"/>
                <w:color w:val="000000"/>
                <w:kern w:val="0"/>
                <w:sz w:val="21"/>
                <w:szCs w:val="21"/>
                <w:u w:val="none"/>
                <w:lang w:val="en-US" w:eastAsia="zh-CN" w:bidi="ar"/>
              </w:rPr>
              <w:t>袋式除尘器+50m排气筒DA004</w:t>
            </w:r>
          </w:p>
        </w:tc>
        <w:tc>
          <w:tcPr>
            <w:tcW w:w="4964" w:type="dxa"/>
            <w:vMerge w:val="continue"/>
            <w:tcBorders>
              <w:left w:val="single" w:color="000000" w:sz="4" w:space="0"/>
              <w:right w:val="single" w:color="000000" w:sz="4" w:space="0"/>
            </w:tcBorders>
            <w:noWrap w:val="0"/>
            <w:tcMar>
              <w:left w:w="108" w:type="dxa"/>
              <w:right w:w="108" w:type="dxa"/>
            </w:tcMar>
            <w:vAlign w:val="center"/>
          </w:tcPr>
          <w:p w14:paraId="7E95CA36"/>
        </w:tc>
        <w:tc>
          <w:tcPr>
            <w:tcW w:w="1863" w:type="dxa"/>
            <w:vMerge w:val="continue"/>
            <w:tcBorders>
              <w:left w:val="single" w:color="000000" w:sz="4" w:space="0"/>
              <w:right w:val="single" w:color="000000" w:sz="4" w:space="0"/>
            </w:tcBorders>
            <w:noWrap w:val="0"/>
            <w:tcMar>
              <w:left w:w="108" w:type="dxa"/>
              <w:right w:w="108" w:type="dxa"/>
            </w:tcMar>
            <w:vAlign w:val="center"/>
          </w:tcPr>
          <w:p w14:paraId="3164BB4E"/>
        </w:tc>
      </w:tr>
      <w:tr w14:paraId="44E75B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695" w:type="dxa"/>
            <w:vMerge w:val="continue"/>
            <w:tcBorders>
              <w:left w:val="single" w:color="000000" w:sz="4" w:space="0"/>
              <w:right w:val="single" w:color="000000" w:sz="4" w:space="0"/>
            </w:tcBorders>
            <w:noWrap w:val="0"/>
            <w:tcMar>
              <w:left w:w="108" w:type="dxa"/>
              <w:right w:w="108" w:type="dxa"/>
            </w:tcMar>
            <w:vAlign w:val="center"/>
          </w:tcPr>
          <w:p w14:paraId="5AEE54EB"/>
        </w:tc>
        <w:tc>
          <w:tcPr>
            <w:tcW w:w="1468"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06C80661">
            <w:pPr>
              <w:keepNext w:val="0"/>
              <w:keepLines w:val="0"/>
              <w:widowControl/>
              <w:suppressLineNumbers w:val="0"/>
              <w:jc w:val="left"/>
              <w:textAlignment w:val="center"/>
            </w:pPr>
            <w:r>
              <w:rPr>
                <w:rFonts w:hint="eastAsia" w:ascii="宋体" w:hAnsi="宋体" w:eastAsia="宋体" w:cs="宋体"/>
                <w:i w:val="0"/>
                <w:iCs w:val="0"/>
                <w:color w:val="000000"/>
                <w:kern w:val="0"/>
                <w:sz w:val="21"/>
                <w:szCs w:val="21"/>
                <w:u w:val="none"/>
                <w:lang w:val="en-US" w:eastAsia="zh-CN" w:bidi="ar"/>
              </w:rPr>
              <w:t>下料</w:t>
            </w:r>
          </w:p>
        </w:tc>
        <w:tc>
          <w:tcPr>
            <w:tcW w:w="2371"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58584EA4">
            <w:pPr>
              <w:keepNext w:val="0"/>
              <w:keepLines w:val="0"/>
              <w:widowControl/>
              <w:suppressLineNumbers w:val="0"/>
              <w:jc w:val="left"/>
              <w:textAlignment w:val="center"/>
            </w:pPr>
            <w:r>
              <w:rPr>
                <w:rFonts w:hint="eastAsia" w:ascii="宋体" w:hAnsi="宋体" w:eastAsia="宋体" w:cs="宋体"/>
                <w:i w:val="0"/>
                <w:iCs w:val="0"/>
                <w:color w:val="000000"/>
                <w:kern w:val="0"/>
                <w:sz w:val="21"/>
                <w:szCs w:val="21"/>
                <w:u w:val="none"/>
                <w:lang w:val="en-US" w:eastAsia="zh-CN" w:bidi="ar"/>
              </w:rPr>
              <w:t>粉尘</w:t>
            </w:r>
          </w:p>
        </w:tc>
        <w:tc>
          <w:tcPr>
            <w:tcW w:w="3299"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7B4709FD">
            <w:pPr>
              <w:keepNext w:val="0"/>
              <w:keepLines w:val="0"/>
              <w:widowControl/>
              <w:suppressLineNumbers w:val="0"/>
              <w:jc w:val="left"/>
              <w:textAlignment w:val="center"/>
            </w:pPr>
            <w:r>
              <w:rPr>
                <w:rFonts w:hint="eastAsia" w:ascii="宋体" w:hAnsi="宋体" w:eastAsia="宋体" w:cs="宋体"/>
                <w:i w:val="0"/>
                <w:iCs w:val="0"/>
                <w:color w:val="000000"/>
                <w:kern w:val="0"/>
                <w:sz w:val="21"/>
                <w:szCs w:val="21"/>
                <w:u w:val="none"/>
                <w:lang w:val="en-US" w:eastAsia="zh-CN" w:bidi="ar"/>
              </w:rPr>
              <w:t>袋式除尘器+50m排气筒DA001</w:t>
            </w:r>
          </w:p>
        </w:tc>
        <w:tc>
          <w:tcPr>
            <w:tcW w:w="4964" w:type="dxa"/>
            <w:vMerge w:val="continue"/>
            <w:tcBorders>
              <w:left w:val="single" w:color="000000" w:sz="4" w:space="0"/>
              <w:right w:val="single" w:color="000000" w:sz="4" w:space="0"/>
            </w:tcBorders>
            <w:noWrap w:val="0"/>
            <w:tcMar>
              <w:left w:w="108" w:type="dxa"/>
              <w:right w:w="108" w:type="dxa"/>
            </w:tcMar>
            <w:vAlign w:val="center"/>
          </w:tcPr>
          <w:p w14:paraId="1DD473EC"/>
        </w:tc>
        <w:tc>
          <w:tcPr>
            <w:tcW w:w="1863" w:type="dxa"/>
            <w:vMerge w:val="continue"/>
            <w:tcBorders>
              <w:left w:val="single" w:color="000000" w:sz="4" w:space="0"/>
              <w:right w:val="single" w:color="000000" w:sz="4" w:space="0"/>
            </w:tcBorders>
            <w:noWrap w:val="0"/>
            <w:tcMar>
              <w:left w:w="108" w:type="dxa"/>
              <w:right w:w="108" w:type="dxa"/>
            </w:tcMar>
            <w:vAlign w:val="center"/>
          </w:tcPr>
          <w:p w14:paraId="1C6387BB"/>
        </w:tc>
      </w:tr>
      <w:tr w14:paraId="7C6AAE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695" w:type="dxa"/>
            <w:vMerge w:val="continue"/>
            <w:tcBorders>
              <w:left w:val="single" w:color="000000" w:sz="4" w:space="0"/>
              <w:right w:val="single" w:color="000000" w:sz="4" w:space="0"/>
            </w:tcBorders>
            <w:noWrap w:val="0"/>
            <w:tcMar>
              <w:left w:w="108" w:type="dxa"/>
              <w:right w:w="108" w:type="dxa"/>
            </w:tcMar>
            <w:vAlign w:val="center"/>
          </w:tcPr>
          <w:p w14:paraId="1A3C0872"/>
        </w:tc>
        <w:tc>
          <w:tcPr>
            <w:tcW w:w="1468"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322BB95A">
            <w:pPr>
              <w:keepNext w:val="0"/>
              <w:keepLines w:val="0"/>
              <w:widowControl/>
              <w:suppressLineNumbers w:val="0"/>
              <w:jc w:val="left"/>
              <w:textAlignment w:val="center"/>
            </w:pPr>
            <w:r>
              <w:rPr>
                <w:rFonts w:hint="eastAsia" w:ascii="宋体" w:hAnsi="宋体" w:eastAsia="宋体" w:cs="宋体"/>
                <w:i w:val="0"/>
                <w:iCs w:val="0"/>
                <w:color w:val="000000"/>
                <w:kern w:val="0"/>
                <w:sz w:val="21"/>
                <w:szCs w:val="21"/>
                <w:u w:val="none"/>
                <w:lang w:val="en-US" w:eastAsia="zh-CN" w:bidi="ar"/>
              </w:rPr>
              <w:t>贮存</w:t>
            </w:r>
          </w:p>
        </w:tc>
        <w:tc>
          <w:tcPr>
            <w:tcW w:w="2371"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049B3E91">
            <w:pPr>
              <w:keepNext w:val="0"/>
              <w:keepLines w:val="0"/>
              <w:widowControl/>
              <w:suppressLineNumbers w:val="0"/>
              <w:jc w:val="left"/>
              <w:textAlignment w:val="center"/>
            </w:pPr>
            <w:r>
              <w:rPr>
                <w:rFonts w:hint="eastAsia" w:ascii="宋体" w:hAnsi="宋体" w:eastAsia="宋体" w:cs="宋体"/>
                <w:i w:val="0"/>
                <w:iCs w:val="0"/>
                <w:color w:val="000000"/>
                <w:kern w:val="0"/>
                <w:sz w:val="21"/>
                <w:szCs w:val="21"/>
                <w:u w:val="none"/>
                <w:lang w:val="en-US" w:eastAsia="zh-CN" w:bidi="ar"/>
              </w:rPr>
              <w:t>粉尘</w:t>
            </w:r>
          </w:p>
        </w:tc>
        <w:tc>
          <w:tcPr>
            <w:tcW w:w="3299"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0633CE7B">
            <w:pPr>
              <w:keepNext w:val="0"/>
              <w:keepLines w:val="0"/>
              <w:widowControl/>
              <w:suppressLineNumbers w:val="0"/>
              <w:jc w:val="left"/>
              <w:textAlignment w:val="center"/>
            </w:pPr>
            <w:r>
              <w:rPr>
                <w:rFonts w:hint="eastAsia" w:ascii="宋体" w:hAnsi="宋体" w:eastAsia="宋体" w:cs="宋体"/>
                <w:i w:val="0"/>
                <w:iCs w:val="0"/>
                <w:color w:val="000000"/>
                <w:kern w:val="0"/>
                <w:sz w:val="21"/>
                <w:szCs w:val="21"/>
                <w:u w:val="none"/>
                <w:lang w:val="en-US" w:eastAsia="zh-CN" w:bidi="ar"/>
              </w:rPr>
              <w:t>袋式除尘器+30m排气筒DA012</w:t>
            </w:r>
          </w:p>
        </w:tc>
        <w:tc>
          <w:tcPr>
            <w:tcW w:w="4964" w:type="dxa"/>
            <w:vMerge w:val="continue"/>
            <w:tcBorders>
              <w:left w:val="single" w:color="000000" w:sz="4" w:space="0"/>
              <w:right w:val="single" w:color="000000" w:sz="4" w:space="0"/>
            </w:tcBorders>
            <w:noWrap w:val="0"/>
            <w:tcMar>
              <w:left w:w="108" w:type="dxa"/>
              <w:right w:w="108" w:type="dxa"/>
            </w:tcMar>
            <w:vAlign w:val="center"/>
          </w:tcPr>
          <w:p w14:paraId="350A26A1"/>
        </w:tc>
        <w:tc>
          <w:tcPr>
            <w:tcW w:w="1863" w:type="dxa"/>
            <w:vMerge w:val="continue"/>
            <w:tcBorders>
              <w:left w:val="single" w:color="000000" w:sz="4" w:space="0"/>
              <w:right w:val="single" w:color="000000" w:sz="4" w:space="0"/>
            </w:tcBorders>
            <w:noWrap w:val="0"/>
            <w:tcMar>
              <w:left w:w="108" w:type="dxa"/>
              <w:right w:w="108" w:type="dxa"/>
            </w:tcMar>
            <w:vAlign w:val="center"/>
          </w:tcPr>
          <w:p w14:paraId="31D6E401"/>
        </w:tc>
      </w:tr>
      <w:tr w14:paraId="3492CF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695" w:type="dxa"/>
            <w:vMerge w:val="continue"/>
            <w:tcBorders>
              <w:left w:val="single" w:color="000000" w:sz="4" w:space="0"/>
              <w:right w:val="single" w:color="000000" w:sz="4" w:space="0"/>
            </w:tcBorders>
            <w:noWrap w:val="0"/>
            <w:tcMar>
              <w:left w:w="108" w:type="dxa"/>
              <w:right w:w="108" w:type="dxa"/>
            </w:tcMar>
            <w:vAlign w:val="center"/>
          </w:tcPr>
          <w:p w14:paraId="5BA4FD81"/>
        </w:tc>
        <w:tc>
          <w:tcPr>
            <w:tcW w:w="1468"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760ED4FD">
            <w:pPr>
              <w:keepNext w:val="0"/>
              <w:keepLines w:val="0"/>
              <w:widowControl/>
              <w:suppressLineNumbers w:val="0"/>
              <w:jc w:val="left"/>
              <w:textAlignment w:val="center"/>
            </w:pPr>
            <w:r>
              <w:rPr>
                <w:rFonts w:hint="eastAsia" w:ascii="宋体" w:hAnsi="宋体" w:eastAsia="宋体" w:cs="宋体"/>
                <w:i w:val="0"/>
                <w:iCs w:val="0"/>
                <w:color w:val="000000"/>
                <w:kern w:val="0"/>
                <w:sz w:val="21"/>
                <w:szCs w:val="21"/>
                <w:u w:val="none"/>
                <w:lang w:val="en-US" w:eastAsia="zh-CN" w:bidi="ar"/>
              </w:rPr>
              <w:t>原料准备</w:t>
            </w:r>
          </w:p>
        </w:tc>
        <w:tc>
          <w:tcPr>
            <w:tcW w:w="2371"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668A6A69">
            <w:pPr>
              <w:keepNext w:val="0"/>
              <w:keepLines w:val="0"/>
              <w:widowControl/>
              <w:suppressLineNumbers w:val="0"/>
              <w:jc w:val="left"/>
              <w:textAlignment w:val="center"/>
            </w:pPr>
            <w:r>
              <w:rPr>
                <w:rFonts w:hint="eastAsia" w:ascii="宋体" w:hAnsi="宋体" w:eastAsia="宋体" w:cs="宋体"/>
                <w:i w:val="0"/>
                <w:iCs w:val="0"/>
                <w:color w:val="000000"/>
                <w:kern w:val="0"/>
                <w:sz w:val="21"/>
                <w:szCs w:val="21"/>
                <w:u w:val="none"/>
                <w:lang w:val="en-US" w:eastAsia="zh-CN" w:bidi="ar"/>
              </w:rPr>
              <w:t>粉尘</w:t>
            </w:r>
          </w:p>
        </w:tc>
        <w:tc>
          <w:tcPr>
            <w:tcW w:w="3299"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1E5496DC">
            <w:pPr>
              <w:keepNext w:val="0"/>
              <w:keepLines w:val="0"/>
              <w:widowControl/>
              <w:suppressLineNumbers w:val="0"/>
              <w:jc w:val="left"/>
              <w:textAlignment w:val="center"/>
            </w:pPr>
            <w:r>
              <w:rPr>
                <w:rFonts w:hint="eastAsia" w:ascii="宋体" w:hAnsi="宋体" w:eastAsia="宋体" w:cs="宋体"/>
                <w:i w:val="0"/>
                <w:iCs w:val="0"/>
                <w:color w:val="000000"/>
                <w:kern w:val="0"/>
                <w:sz w:val="21"/>
                <w:szCs w:val="21"/>
                <w:u w:val="none"/>
                <w:lang w:val="en-US" w:eastAsia="zh-CN" w:bidi="ar"/>
              </w:rPr>
              <w:t>袋式除尘器+30m排气筒DA014</w:t>
            </w:r>
          </w:p>
        </w:tc>
        <w:tc>
          <w:tcPr>
            <w:tcW w:w="4964" w:type="dxa"/>
            <w:vMerge w:val="continue"/>
            <w:tcBorders>
              <w:left w:val="single" w:color="000000" w:sz="4" w:space="0"/>
              <w:right w:val="single" w:color="000000" w:sz="4" w:space="0"/>
            </w:tcBorders>
            <w:noWrap w:val="0"/>
            <w:tcMar>
              <w:left w:w="108" w:type="dxa"/>
              <w:right w:w="108" w:type="dxa"/>
            </w:tcMar>
            <w:vAlign w:val="center"/>
          </w:tcPr>
          <w:p w14:paraId="679F25B1"/>
        </w:tc>
        <w:tc>
          <w:tcPr>
            <w:tcW w:w="1863" w:type="dxa"/>
            <w:vMerge w:val="continue"/>
            <w:tcBorders>
              <w:left w:val="single" w:color="000000" w:sz="4" w:space="0"/>
              <w:right w:val="single" w:color="000000" w:sz="4" w:space="0"/>
            </w:tcBorders>
            <w:noWrap w:val="0"/>
            <w:tcMar>
              <w:left w:w="108" w:type="dxa"/>
              <w:right w:w="108" w:type="dxa"/>
            </w:tcMar>
            <w:vAlign w:val="center"/>
          </w:tcPr>
          <w:p w14:paraId="23EF00C2"/>
        </w:tc>
      </w:tr>
      <w:tr w14:paraId="0E96B6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695" w:type="dxa"/>
            <w:vMerge w:val="continue"/>
            <w:tcBorders>
              <w:left w:val="single" w:color="000000" w:sz="4" w:space="0"/>
              <w:right w:val="single" w:color="000000" w:sz="4" w:space="0"/>
            </w:tcBorders>
            <w:noWrap w:val="0"/>
            <w:tcMar>
              <w:left w:w="108" w:type="dxa"/>
              <w:right w:w="108" w:type="dxa"/>
            </w:tcMar>
            <w:vAlign w:val="center"/>
          </w:tcPr>
          <w:p w14:paraId="45DE5175"/>
        </w:tc>
        <w:tc>
          <w:tcPr>
            <w:tcW w:w="1468"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77BC6B37">
            <w:pPr>
              <w:keepNext w:val="0"/>
              <w:keepLines w:val="0"/>
              <w:widowControl/>
              <w:suppressLineNumbers w:val="0"/>
              <w:jc w:val="left"/>
              <w:textAlignment w:val="center"/>
            </w:pPr>
            <w:r>
              <w:rPr>
                <w:rFonts w:hint="eastAsia" w:ascii="宋体" w:hAnsi="宋体" w:eastAsia="宋体" w:cs="宋体"/>
                <w:i w:val="0"/>
                <w:iCs w:val="0"/>
                <w:color w:val="000000"/>
                <w:kern w:val="0"/>
                <w:sz w:val="21"/>
                <w:szCs w:val="21"/>
                <w:u w:val="none"/>
                <w:lang w:val="en-US" w:eastAsia="zh-CN" w:bidi="ar"/>
              </w:rPr>
              <w:t>竖炉焙烧</w:t>
            </w:r>
          </w:p>
        </w:tc>
        <w:tc>
          <w:tcPr>
            <w:tcW w:w="2371"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032F46FE">
            <w:pPr>
              <w:keepNext w:val="0"/>
              <w:keepLines w:val="0"/>
              <w:widowControl/>
              <w:suppressLineNumbers w:val="0"/>
              <w:jc w:val="left"/>
              <w:textAlignment w:val="center"/>
            </w:pPr>
            <w:r>
              <w:rPr>
                <w:rFonts w:hint="eastAsia" w:ascii="宋体" w:hAnsi="宋体" w:eastAsia="宋体" w:cs="宋体"/>
                <w:i w:val="0"/>
                <w:iCs w:val="0"/>
                <w:color w:val="000000"/>
                <w:kern w:val="0"/>
                <w:sz w:val="21"/>
                <w:szCs w:val="21"/>
                <w:u w:val="none"/>
                <w:lang w:val="en-US" w:eastAsia="zh-CN" w:bidi="ar"/>
              </w:rPr>
              <w:t>SO</w:t>
            </w:r>
            <w:r>
              <w:rPr>
                <w:rFonts w:hint="eastAsia" w:ascii="宋体" w:hAnsi="宋体" w:eastAsia="宋体" w:cs="宋体"/>
                <w:i w:val="0"/>
                <w:iCs w:val="0"/>
                <w:color w:val="000000"/>
                <w:kern w:val="0"/>
                <w:sz w:val="21"/>
                <w:szCs w:val="21"/>
                <w:u w:val="none"/>
                <w:vertAlign w:val="subscript"/>
                <w:lang w:val="en-US" w:eastAsia="zh-CN" w:bidi="ar"/>
              </w:rPr>
              <w:t>2</w:t>
            </w:r>
            <w:r>
              <w:rPr>
                <w:rFonts w:hint="eastAsia" w:ascii="宋体" w:hAnsi="宋体" w:eastAsia="宋体" w:cs="宋体"/>
                <w:i w:val="0"/>
                <w:iCs w:val="0"/>
                <w:color w:val="000000"/>
                <w:kern w:val="0"/>
                <w:sz w:val="21"/>
                <w:szCs w:val="21"/>
                <w:u w:val="none"/>
                <w:lang w:val="en-US" w:eastAsia="zh-CN" w:bidi="ar"/>
              </w:rPr>
              <w:t>、NO</w:t>
            </w:r>
            <w:r>
              <w:rPr>
                <w:rFonts w:hint="eastAsia" w:ascii="宋体" w:hAnsi="宋体" w:eastAsia="宋体" w:cs="宋体"/>
                <w:i w:val="0"/>
                <w:iCs w:val="0"/>
                <w:color w:val="000000"/>
                <w:kern w:val="0"/>
                <w:sz w:val="21"/>
                <w:szCs w:val="21"/>
                <w:u w:val="none"/>
                <w:vertAlign w:val="subscript"/>
                <w:lang w:val="en-US" w:eastAsia="zh-CN" w:bidi="ar"/>
              </w:rPr>
              <w:t>X</w:t>
            </w:r>
            <w:r>
              <w:rPr>
                <w:rFonts w:hint="eastAsia" w:ascii="宋体" w:hAnsi="宋体" w:eastAsia="宋体" w:cs="宋体"/>
                <w:i w:val="0"/>
                <w:iCs w:val="0"/>
                <w:color w:val="000000"/>
                <w:kern w:val="0"/>
                <w:sz w:val="21"/>
                <w:szCs w:val="21"/>
                <w:u w:val="none"/>
                <w:lang w:val="en-US" w:eastAsia="zh-CN" w:bidi="ar"/>
              </w:rPr>
              <w:t>、颗粒物、氟化物、二噁英</w:t>
            </w:r>
          </w:p>
        </w:tc>
        <w:tc>
          <w:tcPr>
            <w:tcW w:w="3299"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4222F119">
            <w:pPr>
              <w:keepNext w:val="0"/>
              <w:keepLines w:val="0"/>
              <w:widowControl/>
              <w:suppressLineNumbers w:val="0"/>
              <w:jc w:val="left"/>
              <w:textAlignment w:val="center"/>
            </w:pPr>
            <w:r>
              <w:rPr>
                <w:rFonts w:hint="eastAsia" w:ascii="宋体" w:hAnsi="宋体" w:eastAsia="宋体" w:cs="宋体"/>
                <w:i w:val="0"/>
                <w:iCs w:val="0"/>
                <w:color w:val="000000"/>
                <w:kern w:val="0"/>
                <w:sz w:val="21"/>
                <w:szCs w:val="21"/>
                <w:u w:val="none"/>
                <w:lang w:val="en-US" w:eastAsia="zh-CN" w:bidi="ar"/>
              </w:rPr>
              <w:t>湿电除尘器+石灰石-石膏湿式脱硫+SCR脱硝+70m排气筒DA011</w:t>
            </w:r>
          </w:p>
        </w:tc>
        <w:tc>
          <w:tcPr>
            <w:tcW w:w="4964" w:type="dxa"/>
            <w:vMerge w:val="continue"/>
            <w:tcBorders>
              <w:left w:val="single" w:color="000000" w:sz="4" w:space="0"/>
              <w:right w:val="single" w:color="000000" w:sz="4" w:space="0"/>
            </w:tcBorders>
            <w:noWrap w:val="0"/>
            <w:tcMar>
              <w:left w:w="108" w:type="dxa"/>
              <w:right w:w="108" w:type="dxa"/>
            </w:tcMar>
            <w:vAlign w:val="center"/>
          </w:tcPr>
          <w:p w14:paraId="3F59DB7B"/>
        </w:tc>
        <w:tc>
          <w:tcPr>
            <w:tcW w:w="1863" w:type="dxa"/>
            <w:vMerge w:val="continue"/>
            <w:tcBorders>
              <w:left w:val="single" w:color="000000" w:sz="4" w:space="0"/>
              <w:right w:val="single" w:color="000000" w:sz="4" w:space="0"/>
            </w:tcBorders>
            <w:noWrap w:val="0"/>
            <w:tcMar>
              <w:left w:w="108" w:type="dxa"/>
              <w:right w:w="108" w:type="dxa"/>
            </w:tcMar>
            <w:vAlign w:val="center"/>
          </w:tcPr>
          <w:p w14:paraId="420275A3"/>
        </w:tc>
      </w:tr>
      <w:tr w14:paraId="3F0553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695" w:type="dxa"/>
            <w:vMerge w:val="continue"/>
            <w:tcBorders>
              <w:left w:val="single" w:color="000000" w:sz="4" w:space="0"/>
              <w:bottom w:val="single" w:color="000000" w:sz="4" w:space="0"/>
              <w:right w:val="single" w:color="000000" w:sz="4" w:space="0"/>
            </w:tcBorders>
            <w:noWrap w:val="0"/>
            <w:tcMar>
              <w:left w:w="108" w:type="dxa"/>
              <w:right w:w="108" w:type="dxa"/>
            </w:tcMar>
            <w:vAlign w:val="center"/>
          </w:tcPr>
          <w:p w14:paraId="16637806"/>
        </w:tc>
        <w:tc>
          <w:tcPr>
            <w:tcW w:w="1468"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3E082DDF">
            <w:pPr>
              <w:keepNext w:val="0"/>
              <w:keepLines w:val="0"/>
              <w:widowControl/>
              <w:suppressLineNumbers w:val="0"/>
              <w:jc w:val="left"/>
              <w:textAlignment w:val="center"/>
            </w:pPr>
            <w:r>
              <w:rPr>
                <w:rFonts w:hint="eastAsia" w:ascii="宋体" w:hAnsi="宋体" w:eastAsia="宋体" w:cs="宋体"/>
                <w:i w:val="0"/>
                <w:iCs w:val="0"/>
                <w:color w:val="000000"/>
                <w:kern w:val="0"/>
                <w:sz w:val="21"/>
                <w:szCs w:val="21"/>
                <w:u w:val="none"/>
                <w:lang w:val="en-US" w:eastAsia="zh-CN" w:bidi="ar"/>
              </w:rPr>
              <w:t>筛分</w:t>
            </w:r>
          </w:p>
        </w:tc>
        <w:tc>
          <w:tcPr>
            <w:tcW w:w="2371"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61B0E747">
            <w:pPr>
              <w:keepNext w:val="0"/>
              <w:keepLines w:val="0"/>
              <w:widowControl/>
              <w:suppressLineNumbers w:val="0"/>
              <w:jc w:val="left"/>
              <w:textAlignment w:val="center"/>
            </w:pPr>
            <w:r>
              <w:rPr>
                <w:rFonts w:hint="eastAsia" w:ascii="宋体" w:hAnsi="宋体" w:eastAsia="宋体" w:cs="宋体"/>
                <w:i w:val="0"/>
                <w:iCs w:val="0"/>
                <w:color w:val="000000"/>
                <w:kern w:val="0"/>
                <w:sz w:val="21"/>
                <w:szCs w:val="21"/>
                <w:u w:val="none"/>
                <w:lang w:val="en-US" w:eastAsia="zh-CN" w:bidi="ar"/>
              </w:rPr>
              <w:t>粉尘</w:t>
            </w:r>
          </w:p>
        </w:tc>
        <w:tc>
          <w:tcPr>
            <w:tcW w:w="3299"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7EB27219">
            <w:pPr>
              <w:keepNext w:val="0"/>
              <w:keepLines w:val="0"/>
              <w:widowControl/>
              <w:suppressLineNumbers w:val="0"/>
              <w:jc w:val="left"/>
              <w:textAlignment w:val="center"/>
            </w:pPr>
            <w:r>
              <w:rPr>
                <w:rFonts w:hint="eastAsia" w:ascii="宋体" w:hAnsi="宋体" w:eastAsia="宋体" w:cs="宋体"/>
                <w:i w:val="0"/>
                <w:iCs w:val="0"/>
                <w:color w:val="000000"/>
                <w:kern w:val="0"/>
                <w:sz w:val="21"/>
                <w:szCs w:val="21"/>
                <w:u w:val="none"/>
                <w:lang w:val="en-US" w:eastAsia="zh-CN" w:bidi="ar"/>
              </w:rPr>
              <w:t>袋式除尘器+30m排气筒DA014（与原料准备共用一套）</w:t>
            </w:r>
          </w:p>
        </w:tc>
        <w:tc>
          <w:tcPr>
            <w:tcW w:w="4964" w:type="dxa"/>
            <w:vMerge w:val="continue"/>
            <w:tcBorders>
              <w:left w:val="single" w:color="000000" w:sz="4" w:space="0"/>
              <w:bottom w:val="single" w:color="000000" w:sz="4" w:space="0"/>
              <w:right w:val="single" w:color="000000" w:sz="4" w:space="0"/>
            </w:tcBorders>
            <w:noWrap w:val="0"/>
            <w:tcMar>
              <w:left w:w="108" w:type="dxa"/>
              <w:right w:w="108" w:type="dxa"/>
            </w:tcMar>
            <w:vAlign w:val="center"/>
          </w:tcPr>
          <w:p w14:paraId="37B6081A"/>
        </w:tc>
        <w:tc>
          <w:tcPr>
            <w:tcW w:w="1863" w:type="dxa"/>
            <w:vMerge w:val="continue"/>
            <w:tcBorders>
              <w:left w:val="single" w:color="000000" w:sz="4" w:space="0"/>
              <w:right w:val="single" w:color="000000" w:sz="4" w:space="0"/>
            </w:tcBorders>
            <w:noWrap w:val="0"/>
            <w:tcMar>
              <w:left w:w="108" w:type="dxa"/>
              <w:right w:w="108" w:type="dxa"/>
            </w:tcMar>
            <w:vAlign w:val="center"/>
          </w:tcPr>
          <w:p w14:paraId="7492C05D"/>
        </w:tc>
      </w:tr>
      <w:tr w14:paraId="3D1C4A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695" w:type="dxa"/>
            <w:vMerge w:val="restart"/>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251180E0">
            <w:r>
              <w:t>废水</w:t>
            </w:r>
          </w:p>
        </w:tc>
        <w:tc>
          <w:tcPr>
            <w:tcW w:w="1468"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605FC022">
            <w:r>
              <w:t>脱硫设施</w:t>
            </w:r>
          </w:p>
        </w:tc>
        <w:tc>
          <w:tcPr>
            <w:tcW w:w="2371"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043B3F7F">
            <w:r>
              <w:t>SS</w:t>
            </w:r>
          </w:p>
        </w:tc>
        <w:tc>
          <w:tcPr>
            <w:tcW w:w="3299"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7B100123">
            <w:r>
              <w:rPr>
                <w:rFonts w:hint="eastAsia"/>
                <w:lang w:val="en-US" w:eastAsia="zh-CN"/>
              </w:rPr>
              <w:t>循环使用</w:t>
            </w:r>
          </w:p>
        </w:tc>
        <w:tc>
          <w:tcPr>
            <w:tcW w:w="4964"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1A617F91">
            <w:r>
              <w:t>不外排。</w:t>
            </w:r>
          </w:p>
        </w:tc>
        <w:tc>
          <w:tcPr>
            <w:tcW w:w="1863" w:type="dxa"/>
            <w:vMerge w:val="continue"/>
            <w:tcBorders>
              <w:left w:val="single" w:color="000000" w:sz="4" w:space="0"/>
              <w:right w:val="single" w:color="000000" w:sz="4" w:space="0"/>
            </w:tcBorders>
            <w:noWrap w:val="0"/>
            <w:tcMar>
              <w:left w:w="108" w:type="dxa"/>
              <w:right w:w="108" w:type="dxa"/>
            </w:tcMar>
            <w:vAlign w:val="center"/>
          </w:tcPr>
          <w:p w14:paraId="45CF1719"/>
        </w:tc>
      </w:tr>
      <w:tr w14:paraId="3C5761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695" w:type="dxa"/>
            <w:vMerge w:val="continue"/>
            <w:tcBorders>
              <w:left w:val="single" w:color="000000" w:sz="4" w:space="0"/>
              <w:right w:val="single" w:color="000000" w:sz="4" w:space="0"/>
            </w:tcBorders>
            <w:noWrap w:val="0"/>
            <w:tcMar>
              <w:left w:w="108" w:type="dxa"/>
              <w:right w:w="108" w:type="dxa"/>
            </w:tcMar>
            <w:vAlign w:val="center"/>
          </w:tcPr>
          <w:p w14:paraId="1814391A"/>
        </w:tc>
        <w:tc>
          <w:tcPr>
            <w:tcW w:w="1468"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7C4FF1AC">
            <w:r>
              <w:t>初期雨水</w:t>
            </w:r>
          </w:p>
        </w:tc>
        <w:tc>
          <w:tcPr>
            <w:tcW w:w="2371"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5E75E6BC">
            <w:r>
              <w:t>COD、SS</w:t>
            </w:r>
          </w:p>
        </w:tc>
        <w:tc>
          <w:tcPr>
            <w:tcW w:w="3299"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71BCCA5A">
            <w:pPr>
              <w:rPr>
                <w:rFonts w:hint="eastAsia" w:eastAsia="宋体"/>
                <w:lang w:val="en-US" w:eastAsia="zh-CN"/>
              </w:rPr>
            </w:pPr>
            <w:r>
              <w:rPr>
                <w:rFonts w:hint="eastAsia"/>
                <w:lang w:val="en-US" w:eastAsia="zh-CN"/>
              </w:rPr>
              <w:t>/</w:t>
            </w:r>
          </w:p>
        </w:tc>
        <w:tc>
          <w:tcPr>
            <w:tcW w:w="4964"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617B0AE1"/>
        </w:tc>
        <w:tc>
          <w:tcPr>
            <w:tcW w:w="1863" w:type="dxa"/>
            <w:vMerge w:val="continue"/>
            <w:tcBorders>
              <w:left w:val="single" w:color="000000" w:sz="4" w:space="0"/>
              <w:right w:val="single" w:color="000000" w:sz="4" w:space="0"/>
            </w:tcBorders>
            <w:noWrap w:val="0"/>
            <w:tcMar>
              <w:left w:w="108" w:type="dxa"/>
              <w:right w:w="108" w:type="dxa"/>
            </w:tcMar>
            <w:vAlign w:val="center"/>
          </w:tcPr>
          <w:p w14:paraId="415F3923"/>
        </w:tc>
      </w:tr>
      <w:tr w14:paraId="744A9B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695" w:type="dxa"/>
            <w:vMerge w:val="continue"/>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482C20A8"/>
        </w:tc>
        <w:tc>
          <w:tcPr>
            <w:tcW w:w="1468"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17EB621B">
            <w:r>
              <w:t>生活污水</w:t>
            </w:r>
          </w:p>
        </w:tc>
        <w:tc>
          <w:tcPr>
            <w:tcW w:w="2371"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548CCE25">
            <w:r>
              <w:t>COD、SS、氨氮、总氮、总磷等</w:t>
            </w:r>
          </w:p>
        </w:tc>
        <w:tc>
          <w:tcPr>
            <w:tcW w:w="3299"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3124389F">
            <w:r>
              <w:t>/</w:t>
            </w:r>
          </w:p>
        </w:tc>
        <w:tc>
          <w:tcPr>
            <w:tcW w:w="4964"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54BF6E79">
            <w:r>
              <w:rPr>
                <w:rFonts w:hint="eastAsia"/>
                <w:lang w:val="en-US" w:eastAsia="zh-CN"/>
              </w:rPr>
              <w:t>排至化粪池</w:t>
            </w:r>
            <w:r>
              <w:t>，</w:t>
            </w:r>
            <w:r>
              <w:rPr>
                <w:rFonts w:hint="eastAsia"/>
                <w:lang w:val="en-US" w:eastAsia="zh-CN"/>
              </w:rPr>
              <w:t>定期清掏，</w:t>
            </w:r>
            <w:r>
              <w:t>不外排。</w:t>
            </w:r>
          </w:p>
        </w:tc>
        <w:tc>
          <w:tcPr>
            <w:tcW w:w="1863" w:type="dxa"/>
            <w:vMerge w:val="continue"/>
            <w:tcBorders>
              <w:left w:val="single" w:color="000000" w:sz="4" w:space="0"/>
              <w:right w:val="single" w:color="000000" w:sz="4" w:space="0"/>
            </w:tcBorders>
            <w:noWrap w:val="0"/>
            <w:tcMar>
              <w:left w:w="108" w:type="dxa"/>
              <w:right w:w="108" w:type="dxa"/>
            </w:tcMar>
            <w:vAlign w:val="center"/>
          </w:tcPr>
          <w:p w14:paraId="48A879F6"/>
        </w:tc>
      </w:tr>
      <w:tr w14:paraId="13CC96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695" w:type="dxa"/>
            <w:vMerge w:val="continue"/>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470A665A"/>
        </w:tc>
        <w:tc>
          <w:tcPr>
            <w:tcW w:w="1468"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6DDD2CB1">
            <w:r>
              <w:t>冷却循环水</w:t>
            </w:r>
          </w:p>
        </w:tc>
        <w:tc>
          <w:tcPr>
            <w:tcW w:w="2371"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49B8BB78">
            <w:r>
              <w:t>COD、SS 等</w:t>
            </w:r>
          </w:p>
        </w:tc>
        <w:tc>
          <w:tcPr>
            <w:tcW w:w="3299"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280F2B70">
            <w:pPr>
              <w:rPr>
                <w:rFonts w:hint="default" w:eastAsia="宋体"/>
                <w:lang w:val="en-US" w:eastAsia="zh-CN"/>
              </w:rPr>
            </w:pPr>
            <w:r>
              <w:rPr>
                <w:rFonts w:hint="eastAsia"/>
                <w:lang w:val="en-US" w:eastAsia="zh-CN"/>
              </w:rPr>
              <w:t>循环使用，</w:t>
            </w:r>
            <w:r>
              <w:rPr>
                <w:rFonts w:hint="eastAsia" w:ascii="Times New Roman" w:hAnsi="Times New Roman" w:cs="Times New Roman"/>
              </w:rPr>
              <w:t>少量循环冷却排污水送高炉冲渣补充水</w:t>
            </w:r>
          </w:p>
        </w:tc>
        <w:tc>
          <w:tcPr>
            <w:tcW w:w="4964"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4E8F8A60">
            <w:r>
              <w:t>不外排。</w:t>
            </w:r>
          </w:p>
        </w:tc>
        <w:tc>
          <w:tcPr>
            <w:tcW w:w="1863" w:type="dxa"/>
            <w:vMerge w:val="continue"/>
            <w:tcBorders>
              <w:left w:val="single" w:color="000000" w:sz="4" w:space="0"/>
              <w:right w:val="single" w:color="000000" w:sz="4" w:space="0"/>
            </w:tcBorders>
            <w:noWrap w:val="0"/>
            <w:tcMar>
              <w:left w:w="108" w:type="dxa"/>
              <w:right w:w="108" w:type="dxa"/>
            </w:tcMar>
            <w:vAlign w:val="center"/>
          </w:tcPr>
          <w:p w14:paraId="39265C77"/>
        </w:tc>
      </w:tr>
      <w:tr w14:paraId="7C0C9C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695"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466CD8A3">
            <w:r>
              <w:t>噪声</w:t>
            </w:r>
          </w:p>
        </w:tc>
        <w:tc>
          <w:tcPr>
            <w:tcW w:w="1468"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7659C2D7">
            <w:r>
              <w:t>设备噪声</w:t>
            </w:r>
          </w:p>
        </w:tc>
        <w:tc>
          <w:tcPr>
            <w:tcW w:w="2371"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4627CE52">
            <w:r>
              <w:t>连续等效 A 声级</w:t>
            </w:r>
          </w:p>
        </w:tc>
        <w:tc>
          <w:tcPr>
            <w:tcW w:w="3299"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48B4A222">
            <w:r>
              <w:t>减振垫、隔声罩，合理布局，建筑隔声，厂区四周种植绿化带</w:t>
            </w:r>
          </w:p>
        </w:tc>
        <w:tc>
          <w:tcPr>
            <w:tcW w:w="4964"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79355306">
            <w:r>
              <w:t>满足《工业企业厂界环境噪声排放标准》（GB12348-2008）中的</w:t>
            </w:r>
            <w:r>
              <w:rPr>
                <w:rFonts w:hint="eastAsia"/>
                <w:lang w:val="en-US" w:eastAsia="zh-CN"/>
              </w:rPr>
              <w:t>2</w:t>
            </w:r>
            <w:r>
              <w:t>类或4类标准</w:t>
            </w:r>
          </w:p>
        </w:tc>
        <w:tc>
          <w:tcPr>
            <w:tcW w:w="1863" w:type="dxa"/>
            <w:vMerge w:val="continue"/>
            <w:tcBorders>
              <w:left w:val="single" w:color="000000" w:sz="4" w:space="0"/>
              <w:right w:val="single" w:color="000000" w:sz="4" w:space="0"/>
            </w:tcBorders>
            <w:noWrap w:val="0"/>
            <w:tcMar>
              <w:left w:w="108" w:type="dxa"/>
              <w:right w:w="108" w:type="dxa"/>
            </w:tcMar>
            <w:vAlign w:val="center"/>
          </w:tcPr>
          <w:p w14:paraId="6765F14A"/>
        </w:tc>
      </w:tr>
      <w:tr w14:paraId="6B5704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695" w:type="dxa"/>
            <w:vMerge w:val="restart"/>
            <w:tcBorders>
              <w:top w:val="single" w:color="000000" w:sz="4" w:space="0"/>
              <w:left w:val="single" w:color="000000" w:sz="4" w:space="0"/>
              <w:right w:val="single" w:color="000000" w:sz="4" w:space="0"/>
            </w:tcBorders>
            <w:noWrap w:val="0"/>
            <w:tcMar>
              <w:left w:w="108" w:type="dxa"/>
              <w:right w:w="108" w:type="dxa"/>
            </w:tcMar>
            <w:vAlign w:val="center"/>
          </w:tcPr>
          <w:p w14:paraId="0DD596D6">
            <w:r>
              <w:t>固废</w:t>
            </w:r>
          </w:p>
        </w:tc>
        <w:tc>
          <w:tcPr>
            <w:tcW w:w="1468"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3A9D01C1">
            <w:r>
              <w:t>危险废物</w:t>
            </w:r>
          </w:p>
        </w:tc>
        <w:tc>
          <w:tcPr>
            <w:tcW w:w="2371"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56A244FD">
            <w:r>
              <w:t>废矿物油、废催化剂</w:t>
            </w:r>
          </w:p>
        </w:tc>
        <w:tc>
          <w:tcPr>
            <w:tcW w:w="3299"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497A4558">
            <w:r>
              <w:t>依托现有危险废物贮存场所建筑面积</w:t>
            </w:r>
            <w:r>
              <w:rPr>
                <w:rFonts w:hint="eastAsia"/>
                <w:lang w:val="en-US" w:eastAsia="zh-CN"/>
              </w:rPr>
              <w:t>20</w:t>
            </w:r>
            <w:r>
              <w:t>m</w:t>
            </w:r>
            <w:r>
              <w:rPr>
                <w:vertAlign w:val="superscript"/>
              </w:rPr>
              <w:t>2</w:t>
            </w:r>
            <w:r>
              <w:t>，防雨、防渗、防腐等措施</w:t>
            </w:r>
          </w:p>
        </w:tc>
        <w:tc>
          <w:tcPr>
            <w:tcW w:w="4964" w:type="dxa"/>
            <w:vMerge w:val="restart"/>
            <w:tcBorders>
              <w:top w:val="single" w:color="000000" w:sz="4" w:space="0"/>
              <w:left w:val="single" w:color="000000" w:sz="4" w:space="0"/>
              <w:right w:val="single" w:color="000000" w:sz="4" w:space="0"/>
            </w:tcBorders>
            <w:noWrap w:val="0"/>
            <w:tcMar>
              <w:left w:w="108" w:type="dxa"/>
              <w:right w:w="108" w:type="dxa"/>
            </w:tcMar>
            <w:vAlign w:val="center"/>
          </w:tcPr>
          <w:p w14:paraId="3C4714B7">
            <w:r>
              <w:t>厂内分类暂存，均得到妥善处置，零排放</w:t>
            </w:r>
          </w:p>
        </w:tc>
        <w:tc>
          <w:tcPr>
            <w:tcW w:w="1863" w:type="dxa"/>
            <w:vMerge w:val="continue"/>
            <w:tcBorders>
              <w:left w:val="single" w:color="000000" w:sz="4" w:space="0"/>
              <w:right w:val="single" w:color="000000" w:sz="4" w:space="0"/>
            </w:tcBorders>
            <w:noWrap w:val="0"/>
            <w:tcMar>
              <w:left w:w="108" w:type="dxa"/>
              <w:right w:w="108" w:type="dxa"/>
            </w:tcMar>
            <w:vAlign w:val="center"/>
          </w:tcPr>
          <w:p w14:paraId="0DB2B1A8"/>
        </w:tc>
      </w:tr>
      <w:tr w14:paraId="040AB4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695" w:type="dxa"/>
            <w:vMerge w:val="continue"/>
            <w:tcBorders>
              <w:left w:val="single" w:color="000000" w:sz="4" w:space="0"/>
              <w:bottom w:val="single" w:color="000000" w:sz="4" w:space="0"/>
              <w:right w:val="single" w:color="000000" w:sz="4" w:space="0"/>
            </w:tcBorders>
            <w:noWrap w:val="0"/>
            <w:tcMar>
              <w:left w:w="108" w:type="dxa"/>
              <w:right w:w="108" w:type="dxa"/>
            </w:tcMar>
            <w:vAlign w:val="center"/>
          </w:tcPr>
          <w:p w14:paraId="7A780219"/>
        </w:tc>
        <w:tc>
          <w:tcPr>
            <w:tcW w:w="1468"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1374FD79">
            <w:r>
              <w:t>一般工业固废</w:t>
            </w:r>
          </w:p>
        </w:tc>
        <w:tc>
          <w:tcPr>
            <w:tcW w:w="2371"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5BCD3432">
            <w:r>
              <w:t>除尘灰、脱硫灰、除尘灰</w:t>
            </w:r>
          </w:p>
        </w:tc>
        <w:tc>
          <w:tcPr>
            <w:tcW w:w="3299"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297B539C">
            <w:pPr>
              <w:rPr>
                <w:rFonts w:hint="eastAsia" w:eastAsia="宋体"/>
                <w:vertAlign w:val="baseline"/>
                <w:lang w:val="en-US" w:eastAsia="zh-CN"/>
              </w:rPr>
            </w:pPr>
            <w:r>
              <w:rPr>
                <w:rFonts w:hint="eastAsia"/>
                <w:lang w:val="en-US" w:eastAsia="zh-CN"/>
              </w:rPr>
              <w:t>一般固废物暂存库</w:t>
            </w:r>
            <w:r>
              <w:t>2</w:t>
            </w:r>
            <w:r>
              <w:rPr>
                <w:rFonts w:hint="eastAsia"/>
                <w:lang w:val="en-US" w:eastAsia="zh-CN"/>
              </w:rPr>
              <w:t>0</w:t>
            </w:r>
            <w:r>
              <w:t>0m</w:t>
            </w:r>
            <w:r>
              <w:rPr>
                <w:rFonts w:hint="eastAsia"/>
                <w:vertAlign w:val="superscript"/>
                <w:lang w:val="en-US" w:eastAsia="zh-CN"/>
              </w:rPr>
              <w:t>2</w:t>
            </w:r>
          </w:p>
        </w:tc>
        <w:tc>
          <w:tcPr>
            <w:tcW w:w="4964" w:type="dxa"/>
            <w:vMerge w:val="continue"/>
            <w:tcBorders>
              <w:left w:val="single" w:color="000000" w:sz="4" w:space="0"/>
              <w:bottom w:val="single" w:color="000000" w:sz="4" w:space="0"/>
              <w:right w:val="single" w:color="000000" w:sz="4" w:space="0"/>
            </w:tcBorders>
            <w:noWrap w:val="0"/>
            <w:tcMar>
              <w:left w:w="108" w:type="dxa"/>
              <w:right w:w="108" w:type="dxa"/>
            </w:tcMar>
            <w:vAlign w:val="center"/>
          </w:tcPr>
          <w:p w14:paraId="32D8AC63"/>
        </w:tc>
        <w:tc>
          <w:tcPr>
            <w:tcW w:w="1863" w:type="dxa"/>
            <w:vMerge w:val="continue"/>
            <w:tcBorders>
              <w:left w:val="single" w:color="000000" w:sz="4" w:space="0"/>
              <w:bottom w:val="single" w:color="000000" w:sz="4" w:space="0"/>
              <w:right w:val="single" w:color="000000" w:sz="4" w:space="0"/>
            </w:tcBorders>
            <w:noWrap w:val="0"/>
            <w:tcMar>
              <w:left w:w="108" w:type="dxa"/>
              <w:right w:w="108" w:type="dxa"/>
            </w:tcMar>
            <w:vAlign w:val="center"/>
          </w:tcPr>
          <w:p w14:paraId="3BC0C162"/>
        </w:tc>
      </w:tr>
    </w:tbl>
    <w:p w14:paraId="5C9F81F2">
      <w:pPr>
        <w:adjustRightInd w:val="0"/>
        <w:jc w:val="center"/>
        <w:sectPr>
          <w:pgSz w:w="16840" w:h="11907" w:orient="landscape"/>
          <w:pgMar w:top="1701" w:right="1701" w:bottom="1701" w:left="1701" w:header="851" w:footer="1077" w:gutter="0"/>
          <w:pgBorders w:offsetFrom="page">
            <w:top w:val="none" w:sz="0" w:space="0"/>
            <w:left w:val="none" w:sz="0" w:space="0"/>
            <w:bottom w:val="none" w:sz="0" w:space="0"/>
            <w:right w:val="none" w:sz="0" w:space="0"/>
          </w:pgBorders>
          <w:pgNumType w:fmt="decimal"/>
          <w:cols w:space="720" w:num="1"/>
          <w:rtlGutter w:val="0"/>
          <w:docGrid w:type="lines" w:linePitch="500" w:charSpace="0"/>
        </w:sectPr>
      </w:pPr>
    </w:p>
    <w:p w14:paraId="08EC75F2">
      <w:pPr>
        <w:pStyle w:val="6"/>
        <w:spacing w:before="239"/>
      </w:pPr>
      <w:bookmarkStart w:id="630" w:name="_Toc90026153"/>
      <w:bookmarkStart w:id="631" w:name="_Toc1710"/>
      <w:r>
        <w:rPr>
          <w:rFonts w:hint="eastAsia"/>
        </w:rPr>
        <w:t>7</w:t>
      </w:r>
      <w:r>
        <w:t>.4 环保投资概算</w:t>
      </w:r>
      <w:bookmarkEnd w:id="630"/>
      <w:bookmarkEnd w:id="631"/>
    </w:p>
    <w:p w14:paraId="19271D2C">
      <w:pPr>
        <w:spacing w:line="500" w:lineRule="exact"/>
        <w:ind w:firstLine="480" w:firstLineChars="200"/>
        <w:rPr>
          <w:rFonts w:ascii="Times New Roman" w:hAnsi="Times New Roman" w:cs="Times New Roman"/>
        </w:rPr>
      </w:pPr>
      <w:r>
        <w:rPr>
          <w:rFonts w:ascii="Times New Roman" w:hAnsi="Times New Roman" w:cs="Times New Roman"/>
        </w:rPr>
        <w:t>为了保证建设项目做到环保“三同时”的要求，建设单位要投入一定的资金进行环境污染治理，各项投资明细见表</w:t>
      </w:r>
      <w:r>
        <w:rPr>
          <w:rFonts w:hint="eastAsia" w:ascii="Times New Roman" w:hAnsi="Times New Roman" w:cs="Times New Roman"/>
        </w:rPr>
        <w:t>7</w:t>
      </w:r>
      <w:r>
        <w:rPr>
          <w:rFonts w:ascii="Times New Roman" w:hAnsi="Times New Roman" w:cs="Times New Roman"/>
        </w:rPr>
        <w:t>.4-1。其中，环保总投资</w:t>
      </w:r>
      <w:r>
        <w:rPr>
          <w:rFonts w:hint="eastAsia" w:ascii="Times New Roman" w:hAnsi="Times New Roman" w:cs="Times New Roman"/>
        </w:rPr>
        <w:t>86</w:t>
      </w:r>
      <w:r>
        <w:rPr>
          <w:rFonts w:ascii="Times New Roman" w:hAnsi="Times New Roman" w:cs="Times New Roman"/>
        </w:rPr>
        <w:t>万元，占总投资额</w:t>
      </w:r>
      <w:r>
        <w:rPr>
          <w:rFonts w:hint="eastAsia" w:ascii="Times New Roman" w:hAnsi="Times New Roman" w:cs="Times New Roman"/>
        </w:rPr>
        <w:t>20</w:t>
      </w:r>
      <w:r>
        <w:rPr>
          <w:rFonts w:ascii="Times New Roman" w:hAnsi="Times New Roman" w:cs="Times New Roman"/>
        </w:rPr>
        <w:t>00万元的</w:t>
      </w:r>
      <w:r>
        <w:rPr>
          <w:rFonts w:hint="eastAsia" w:ascii="Times New Roman" w:hAnsi="Times New Roman" w:cs="Times New Roman"/>
        </w:rPr>
        <w:t>4.3</w:t>
      </w:r>
      <w:r>
        <w:rPr>
          <w:rFonts w:ascii="Times New Roman" w:hAnsi="Times New Roman" w:cs="Times New Roman"/>
        </w:rPr>
        <w:t>%。</w:t>
      </w:r>
    </w:p>
    <w:p w14:paraId="385FFA80">
      <w:pPr>
        <w:tabs>
          <w:tab w:val="left" w:pos="851"/>
          <w:tab w:val="left" w:pos="1141"/>
          <w:tab w:val="left" w:pos="4335"/>
        </w:tabs>
        <w:adjustRightInd w:val="0"/>
        <w:jc w:val="center"/>
        <w:rPr>
          <w:rFonts w:ascii="Times New Roman" w:hAnsi="Times New Roman" w:cs="Times New Roman"/>
        </w:rPr>
      </w:pPr>
      <w:r>
        <w:rPr>
          <w:rFonts w:ascii="Times New Roman" w:hAnsi="Times New Roman" w:eastAsia="黑体" w:cs="Times New Roman"/>
        </w:rPr>
        <w:t>表7.4-1  环保投资明细表</w:t>
      </w:r>
      <w:bookmarkEnd w:id="610"/>
      <w:bookmarkEnd w:id="611"/>
      <w:bookmarkEnd w:id="612"/>
      <w:bookmarkEnd w:id="613"/>
      <w:bookmarkStart w:id="632" w:name="_Toc166464753"/>
      <w:bookmarkStart w:id="633" w:name="_Toc153007149"/>
      <w:bookmarkStart w:id="634" w:name="_Toc151276237"/>
      <w:bookmarkStart w:id="635" w:name="_Toc151200344"/>
      <w:bookmarkStart w:id="636" w:name="_Toc175714285"/>
      <w:bookmarkStart w:id="637" w:name="_Toc154570276"/>
      <w:bookmarkStart w:id="638" w:name="_Toc175711452"/>
      <w:bookmarkStart w:id="639" w:name="_Toc151278950"/>
      <w:bookmarkStart w:id="640" w:name="_Toc151200184"/>
      <w:bookmarkStart w:id="641" w:name="_Toc154569889"/>
      <w:bookmarkStart w:id="642" w:name="_Toc153878485"/>
      <w:bookmarkStart w:id="643" w:name="_Toc158523438"/>
    </w:p>
    <w:bookmarkEnd w:id="632"/>
    <w:bookmarkEnd w:id="633"/>
    <w:bookmarkEnd w:id="634"/>
    <w:bookmarkEnd w:id="635"/>
    <w:bookmarkEnd w:id="636"/>
    <w:bookmarkEnd w:id="637"/>
    <w:bookmarkEnd w:id="638"/>
    <w:bookmarkEnd w:id="639"/>
    <w:bookmarkEnd w:id="640"/>
    <w:bookmarkEnd w:id="641"/>
    <w:bookmarkEnd w:id="642"/>
    <w:bookmarkEnd w:id="643"/>
    <w:p w14:paraId="46B89857">
      <w:pPr>
        <w:sectPr>
          <w:pgSz w:w="16840" w:h="11907" w:orient="landscape"/>
          <w:pgMar w:top="1701" w:right="1701" w:bottom="1701" w:left="1701" w:header="851" w:footer="1077" w:gutter="0"/>
          <w:pgBorders w:offsetFrom="page">
            <w:top w:val="none" w:sz="0" w:space="0"/>
            <w:left w:val="none" w:sz="0" w:space="0"/>
            <w:bottom w:val="none" w:sz="0" w:space="0"/>
            <w:right w:val="none" w:sz="0" w:space="0"/>
          </w:pgBorders>
          <w:pgNumType w:fmt="decimal"/>
          <w:cols w:space="720" w:num="1"/>
          <w:rtlGutter w:val="0"/>
          <w:docGrid w:type="lines" w:linePitch="500" w:charSpace="0"/>
        </w:sectPr>
      </w:pPr>
      <w:bookmarkStart w:id="644" w:name="_Toc90026154"/>
      <w:bookmarkStart w:id="645" w:name="_Toc166464761"/>
      <w:bookmarkStart w:id="646" w:name="_Toc175711460"/>
      <w:bookmarkStart w:id="647" w:name="_Toc175714293"/>
    </w:p>
    <w:p w14:paraId="6943E1D4">
      <w:pPr>
        <w:pStyle w:val="5"/>
      </w:pPr>
      <w:bookmarkStart w:id="648" w:name="_Toc15329"/>
      <w:r>
        <w:rPr>
          <w:rFonts w:hint="eastAsia"/>
          <w:lang w:eastAsia="zh-CN"/>
        </w:rPr>
        <w:t>8</w:t>
      </w:r>
      <w:r>
        <w:t>. 环境影响经济损益分析</w:t>
      </w:r>
      <w:bookmarkEnd w:id="644"/>
      <w:bookmarkEnd w:id="648"/>
    </w:p>
    <w:p w14:paraId="3596A0EB">
      <w:pPr>
        <w:pStyle w:val="310"/>
        <w:spacing w:line="500" w:lineRule="exact"/>
      </w:pPr>
      <w:r>
        <w:t>环境影响经济损益分析是环境影响评价的重要环节之一，它的主要任务是衡量建设项目需要投入的环保投资所能得到的环保效果，以及建设项目对外界产生的环境影响、经济影响和社会影响。</w:t>
      </w:r>
    </w:p>
    <w:p w14:paraId="61224119">
      <w:pPr>
        <w:pStyle w:val="310"/>
        <w:spacing w:line="500" w:lineRule="exact"/>
      </w:pPr>
      <w:r>
        <mc:AlternateContent>
          <mc:Choice Requires="wps">
            <w:drawing>
              <wp:anchor distT="0" distB="0" distL="114300" distR="114300" simplePos="0" relativeHeight="251664384" behindDoc="0" locked="0" layoutInCell="1" allowOverlap="1">
                <wp:simplePos x="0" y="0"/>
                <wp:positionH relativeFrom="column">
                  <wp:posOffset>3318510</wp:posOffset>
                </wp:positionH>
                <wp:positionV relativeFrom="paragraph">
                  <wp:posOffset>1501775</wp:posOffset>
                </wp:positionV>
                <wp:extent cx="1813560" cy="252095"/>
                <wp:effectExtent l="5080" t="5080" r="10160" b="9525"/>
                <wp:wrapNone/>
                <wp:docPr id="51" name="文本框 51"/>
                <wp:cNvGraphicFramePr/>
                <a:graphic xmlns:a="http://schemas.openxmlformats.org/drawingml/2006/main">
                  <a:graphicData uri="http://schemas.microsoft.com/office/word/2010/wordprocessingShape">
                    <wps:wsp>
                      <wps:cNvSpPr txBox="1">
                        <a:spLocks noChangeArrowheads="1"/>
                      </wps:cNvSpPr>
                      <wps:spPr bwMode="auto">
                        <a:xfrm>
                          <a:off x="0" y="0"/>
                          <a:ext cx="1813560" cy="252095"/>
                        </a:xfrm>
                        <a:prstGeom prst="rect">
                          <a:avLst/>
                        </a:prstGeom>
                        <a:solidFill>
                          <a:srgbClr val="FFFFFF"/>
                        </a:solidFill>
                        <a:ln w="9525">
                          <a:solidFill>
                            <a:srgbClr val="000000"/>
                          </a:solidFill>
                          <a:miter lim="800000"/>
                        </a:ln>
                        <a:effectLst/>
                      </wps:spPr>
                      <wps:txbx>
                        <w:txbxContent>
                          <w:p w14:paraId="2C14169B">
                            <w:pPr>
                              <w:jc w:val="center"/>
                              <w:rPr>
                                <w:szCs w:val="21"/>
                              </w:rPr>
                            </w:pPr>
                            <w:r>
                              <w:rPr>
                                <w:rFonts w:hint="eastAsia"/>
                                <w:szCs w:val="21"/>
                              </w:rPr>
                              <w:t>投资费用</w:t>
                            </w:r>
                          </w:p>
                        </w:txbxContent>
                      </wps:txbx>
                      <wps:bodyPr rot="0" vert="horz" wrap="square" lIns="0" tIns="0" rIns="0" bIns="0" anchor="t" anchorCtr="0" upright="1">
                        <a:noAutofit/>
                      </wps:bodyPr>
                    </wps:wsp>
                  </a:graphicData>
                </a:graphic>
              </wp:anchor>
            </w:drawing>
          </mc:Choice>
          <mc:Fallback>
            <w:pict>
              <v:shape id="_x0000_s1026" o:spid="_x0000_s1026" o:spt="202" type="#_x0000_t202" style="position:absolute;left:0pt;margin-left:261.3pt;margin-top:118.25pt;height:19.85pt;width:142.8pt;z-index:251664384;mso-width-relative:page;mso-height-relative:page;" fillcolor="#FFFFFF" filled="t" stroked="t" coordsize="21600,21600" o:gfxdata="UEsDBAoAAAAAAIdO4kAAAAAAAAAAAAAAAAAEAAAAZHJzL1BLAwQUAAAACACHTuJAwv9l9NkAAAAL&#10;AQAADwAAAGRycy9kb3ducmV2LnhtbE2Py07DMBBF90j8gzVI7Khdo4Y0jVNRJCQQmz4QazeePCAe&#10;R7ablr/HrGA5M0d3zi3XFzuwCX3oHSmYzwQwpNqZnloF74fnuxxYiJqMHhyhgm8MsK6ur0pdGHem&#10;HU772LIUQqHQCroYx4LzUHdodZi5ESndGuetjmn0LTden1O4HbgUIuNW95Q+dHrEpw7rr/3JKjhM&#10;m/Cy+4xL89psuHxrtvLDPyp1ezMXK2ARL/EPhl/9pA5Vcjq6E5nABgULKbOEKpD32QJYInKRS2DH&#10;tHnIJPCq5P87VD9QSwMEFAAAAAgAh07iQMHyUp0+AgAAhwQAAA4AAABkcnMvZTJvRG9jLnhtbK1U&#10;zW4TMRC+I/EOlu9kk6BUbdRNVVIVIZUfqfAAjte7a2F7zNjJbngAeANOvXDnufIcjL1JCQWkHtiD&#10;NbbH38x838yeX/TWsI3CoMGVfDIac6achEq7puQf3l8/O+UsROEqYcCpkm9V4BeLp0/OOz9XU2jB&#10;VAoZgbgw73zJ2xj9vCiCbJUVYQReObqsAa2ItMWmqFB0hG5NMR2PT4oOsPIIUoVAp1fDJd8j4mMA&#10;oa61VFcg11a5OKCiMiJSSaHVPvBFzraulYxv6zqoyEzJqdKYVwpC9iqtxeJczBsUvtVyn4J4TAoP&#10;arJCOwp6D3UlomBr1H9AWS0RAtRxJMEWQyGZEapiMn7AzW0rvMq1ENXB35Me/h+sfLN5h0xXJZ9N&#10;OHPCkuK7b193dz92378wOiOCOh/m5HfryTP2L6CntsnFBn8D8mNgDpatcI26RISuVaKiBPPL4ujp&#10;gBMSyKp7DRUFEusIGaiv0Sb2iA9G6CTO9l4c1UcmU8jTyfPZCV1JupvOpuOzWUquEPPDa48hvlRg&#10;WTJKjiR+RhebmxAH14NLChbA6OpaG5M32KyWBtlGUKNc52+P/pubcawr+dlsOhsI+CfEOH9/g7A6&#10;0vwYbUt+euxkXMpD5Z7d55vYS4QN1MV+1e/VWEG1JR4Rhn6maSajBfzMWUe9XPLwaS1QcWZeOdIi&#10;Nf7BwIOxOhjCSXpa8sjZYC7jMCBrj7ppCXlQ28El6VXrTGVKbciCJEgb6s8sxn6W0gAc77PXr//H&#10;4id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AAAAAZHJzL1BLAQIUABQAAAAIAIdO4kDC/2X02QAAAAsBAAAPAAAAAAAAAAEAIAAAACIAAABk&#10;cnMvZG93bnJldi54bWxQSwECFAAUAAAACACHTuJAwfJSnT4CAACHBAAADgAAAAAAAAABACAAAAAo&#10;AQAAZHJzL2Uyb0RvYy54bWxQSwUGAAAAAAYABgBZAQAA2AUAAAAA&#10;">
                <v:fill on="t" focussize="0,0"/>
                <v:stroke color="#000000" miterlimit="8" joinstyle="miter"/>
                <v:imagedata o:title=""/>
                <o:lock v:ext="edit" aspectratio="f"/>
                <v:textbox inset="0mm,0mm,0mm,0mm">
                  <w:txbxContent>
                    <w:p w14:paraId="2C14169B">
                      <w:pPr>
                        <w:jc w:val="center"/>
                        <w:rPr>
                          <w:szCs w:val="21"/>
                        </w:rPr>
                      </w:pPr>
                      <w:r>
                        <w:rPr>
                          <w:rFonts w:hint="eastAsia"/>
                          <w:szCs w:val="21"/>
                        </w:rPr>
                        <w:t>投资费用</w:t>
                      </w:r>
                    </w:p>
                  </w:txbxContent>
                </v:textbox>
              </v:shape>
            </w:pict>
          </mc:Fallback>
        </mc:AlternateContent>
      </w:r>
      <w:r>
        <w:t>本评价运用费用——效益方法进行环境影响经济损益分析。由环保设施带来的经济效益易用货币形式计算出来，而污染影响带来的损失难于用货币直接估算，只能用间接反应污染损失的货币支出表示。由于基础数据不全，只能就直接可比部分利用指标计算法和相关类比法进行核算。对目前难以定量的内容，则予以定性描述。费用和效益分析图见图</w:t>
      </w:r>
      <w:r>
        <w:rPr>
          <w:rFonts w:hint="eastAsia"/>
          <w:lang w:eastAsia="zh-CN"/>
        </w:rPr>
        <w:t>8.1-</w:t>
      </w:r>
      <w:r>
        <w:t>1。</w:t>
      </w:r>
    </w:p>
    <w:p w14:paraId="318B2018">
      <w:pPr>
        <w:pStyle w:val="310"/>
      </w:pPr>
      <w:r>
        <mc:AlternateContent>
          <mc:Choice Requires="wps">
            <w:drawing>
              <wp:anchor distT="0" distB="0" distL="114300" distR="114300" simplePos="0" relativeHeight="251701248" behindDoc="0" locked="0" layoutInCell="1" allowOverlap="1">
                <wp:simplePos x="0" y="0"/>
                <wp:positionH relativeFrom="column">
                  <wp:posOffset>1064895</wp:posOffset>
                </wp:positionH>
                <wp:positionV relativeFrom="paragraph">
                  <wp:posOffset>309245</wp:posOffset>
                </wp:positionV>
                <wp:extent cx="0" cy="301625"/>
                <wp:effectExtent l="6350" t="0" r="12700" b="3175"/>
                <wp:wrapNone/>
                <wp:docPr id="50" name="直接连接符 50"/>
                <wp:cNvGraphicFramePr/>
                <a:graphic xmlns:a="http://schemas.openxmlformats.org/drawingml/2006/main">
                  <a:graphicData uri="http://schemas.microsoft.com/office/word/2010/wordprocessingShape">
                    <wps:wsp>
                      <wps:cNvCnPr>
                        <a:cxnSpLocks noChangeShapeType="1"/>
                      </wps:cNvCnPr>
                      <wps:spPr bwMode="auto">
                        <a:xfrm flipH="1" flipV="1">
                          <a:off x="0" y="0"/>
                          <a:ext cx="0" cy="301625"/>
                        </a:xfrm>
                        <a:prstGeom prst="line">
                          <a:avLst/>
                        </a:prstGeom>
                        <a:noFill/>
                        <a:ln w="12700">
                          <a:solidFill>
                            <a:srgbClr val="000000"/>
                          </a:solidFill>
                          <a:round/>
                        </a:ln>
                        <a:effectLst/>
                      </wps:spPr>
                      <wps:bodyPr/>
                    </wps:wsp>
                  </a:graphicData>
                </a:graphic>
              </wp:anchor>
            </w:drawing>
          </mc:Choice>
          <mc:Fallback>
            <w:pict>
              <v:line id="_x0000_s1026" o:spid="_x0000_s1026" o:spt="20" style="position:absolute;left:0pt;flip:x y;margin-left:83.85pt;margin-top:24.35pt;height:23.75pt;width:0pt;z-index:251701248;mso-width-relative:page;mso-height-relative:page;" filled="f" stroked="t" coordsize="21600,21600" o:gfxdata="UEsDBAoAAAAAAIdO4kAAAAAAAAAAAAAAAAAEAAAAZHJzL1BLAwQUAAAACACHTuJARO07PNgAAAAJ&#10;AQAADwAAAGRycy9kb3ducmV2LnhtbE2PQUvDQBCF74L/YRnBm920aFpjJkWFIpFerCL0ts2OSTA7&#10;G7LbtPrrnXrR0/BmHm++ly+PrlMjDaH1jDCdJKCIK29brhHeXldXC1AhGram80wIXxRgWZyf5Saz&#10;/sAvNG5irSSEQ2YQmhj7TOtQNeRMmPieWG4ffnAmihxqbQdzkHDX6VmSpNqZluVDY3p6bKj63Owd&#10;wjb1989rfvou3/u4qsub7fjAJeLlxTS5AxXpGP/McMIXdCiEaef3bIPqRKfzuVgRrhcyT4bfxQ7h&#10;Np2BLnL9v0HxA1BLAwQUAAAACACHTuJAQ3KMSPIBAADOAwAADgAAAGRycy9lMm9Eb2MueG1srVO9&#10;jhMxEO6ReAfLPdlN0B1olc0ViQ6KAyLdcb3j9WYtbI/lcbLJS/ACSHRQUdLzNhyPwdiby/3QXMEW&#10;lj0/3zfzzez0bGcN26qAGlzNx6OSM+UkNNqta/7x6vzFa84wCtcIA07VfK+Qn82eP5v2vlIT6MA0&#10;KjACcVj1vuZdjL4qCpSdsgJH4JUjZwvBikjPsC6aIHpCt6aYlOVp0UNofACpEMm6GJz8gBieAght&#10;q6VagNxY5eKAGpQRkVrCTnvks1xt2yoZP7QtqshMzanTmE8iofsqncVsKqp1EL7T8lCCeEoJj3qy&#10;QjsiPUItRBRsE/Q/UFbLAAhtHEmwxdBIVoS6GJePtLnshFe5F5Ia/VF0/H+w8v12GZhuan5Ckjhh&#10;aeI3X37+/vztz6+vdN78+M7IQzL1HiuKnrtlSI3Knbv0FyA/IXMw74Rbq1zu1d4TxDhlFA9S0gM9&#10;ka36d9BQjNhEyJrt2mBZa7R/mxLz7TrdEg0pxHZ5XPvjuNQuMjkYJVlfluPTyUkmFFXCSnk+YHyj&#10;wLJ0qbnRLgkpKrG9wJhquwtJZgfn2pi8DMaxntgnr8oyZyAY3SRvisOwXs1NYFuR9il/B+IHYQE2&#10;rhlYjEt5Kq/igfpWiUHTFTT7ZbiVi8acizusZNqj++8s6t1vOPsL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YwQAAFtDb250ZW50X1R5cGVzXS54&#10;bWxQSwECFAAKAAAAAACHTuJAAAAAAAAAAAAAAAAABgAAAAAAAAAAABAAAABFAwAAX3JlbHMvUEsB&#10;AhQAFAAAAAgAh07iQIoUZjzRAAAAlAEAAAsAAAAAAAAAAQAgAAAAaQMAAF9yZWxzLy5yZWxzUEsB&#10;AhQACgAAAAAAh07iQAAAAAAAAAAAAAAAAAQAAAAAAAAAAAAQAAAAAAAAAGRycy9QSwECFAAUAAAA&#10;CACHTuJARO07PNgAAAAJAQAADwAAAAAAAAABACAAAAAiAAAAZHJzL2Rvd25yZXYueG1sUEsBAhQA&#10;FAAAAAgAh07iQENyjEjyAQAAzgMAAA4AAAAAAAAAAQAgAAAAJwEAAGRycy9lMm9Eb2MueG1sUEsF&#10;BgAAAAAGAAYAWQEAAIsFAAAAAA==&#10;">
                <v:fill on="f" focussize="0,0"/>
                <v:stroke weight="1pt" color="#000000" joinstyle="round"/>
                <v:imagedata o:title=""/>
                <o:lock v:ext="edit" aspectratio="f"/>
              </v:line>
            </w:pict>
          </mc:Fallback>
        </mc:AlternateContent>
      </w:r>
      <w:r>
        <mc:AlternateContent>
          <mc:Choice Requires="wps">
            <w:drawing>
              <wp:anchor distT="0" distB="0" distL="114300" distR="114300" simplePos="0" relativeHeight="251700224" behindDoc="0" locked="0" layoutInCell="1" allowOverlap="1">
                <wp:simplePos x="0" y="0"/>
                <wp:positionH relativeFrom="column">
                  <wp:posOffset>1064895</wp:posOffset>
                </wp:positionH>
                <wp:positionV relativeFrom="paragraph">
                  <wp:posOffset>309245</wp:posOffset>
                </wp:positionV>
                <wp:extent cx="520065" cy="0"/>
                <wp:effectExtent l="0" t="25400" r="13335" b="31750"/>
                <wp:wrapNone/>
                <wp:docPr id="49" name="直接连接符 49"/>
                <wp:cNvGraphicFramePr/>
                <a:graphic xmlns:a="http://schemas.openxmlformats.org/drawingml/2006/main">
                  <a:graphicData uri="http://schemas.microsoft.com/office/word/2010/wordprocessingShape">
                    <wps:wsp>
                      <wps:cNvCnPr>
                        <a:cxnSpLocks noChangeShapeType="1"/>
                      </wps:cNvCnPr>
                      <wps:spPr bwMode="auto">
                        <a:xfrm>
                          <a:off x="0" y="0"/>
                          <a:ext cx="520065" cy="0"/>
                        </a:xfrm>
                        <a:prstGeom prst="line">
                          <a:avLst/>
                        </a:prstGeom>
                        <a:noFill/>
                        <a:ln w="12700">
                          <a:solidFill>
                            <a:srgbClr val="000000"/>
                          </a:solidFill>
                          <a:round/>
                          <a:tailEnd type="stealth" w="sm" len="med"/>
                        </a:ln>
                        <a:effectLst/>
                      </wps:spPr>
                      <wps:bodyPr/>
                    </wps:wsp>
                  </a:graphicData>
                </a:graphic>
              </wp:anchor>
            </w:drawing>
          </mc:Choice>
          <mc:Fallback>
            <w:pict>
              <v:line id="_x0000_s1026" o:spid="_x0000_s1026" o:spt="20" style="position:absolute;left:0pt;margin-left:83.85pt;margin-top:24.35pt;height:0pt;width:40.95pt;z-index:251700224;mso-width-relative:page;mso-height-relative:page;" filled="f" stroked="t" coordsize="21600,21600" o:gfxdata="UEsDBAoAAAAAAIdO4kAAAAAAAAAAAAAAAAAEAAAAZHJzL1BLAwQUAAAACACHTuJAK67Cw9cAAAAJ&#10;AQAADwAAAGRycy9kb3ducmV2LnhtbE2PwU7DMBBE70j8g7VIXBB1WlVpm8apUKoirgQ+wI23SUq8&#10;jmy3CXw9izjAaTW7o9k3+W6yvbiiD50jBfNZAgKpdqajRsH72+FxDSJETUb3jlDBJwbYFbc3uc6M&#10;G+kVr1VsBIdQyLSCNsYhkzLULVodZm5A4tvJeasjS99I4/XI4baXiyRJpdUd8YdWD1i2WH9UF6vA&#10;T4e4Nw9jf94/lS/P7qvcnH2l1P3dPNmCiDjFPzP84DM6FMx0dBcyQfSs09WKrQqWa55sWCw3KYjj&#10;70IWufzfoPgGUEsDBBQAAAAIAIdO4kBAuyJiAAIAAOYDAAAOAAAAZHJzL2Uyb0RvYy54bWytU0uO&#10;EzEQ3SNxB8t70p2I4dNKZxYJw2aAkWY4QMV2py1sl2U76eQSXACJHaxYsuc2DMeg7HwYhs0s8MKy&#10;XVWv6r0qT8+31rCNClGja/l4VHOmnECp3arl728unrzgLCZwEgw61fKdivx89vjRdPCNmmCPRqrA&#10;CMTFZvAt71PyTVVF0SsLcYReOTJ2GCwkuoZVJQMMhG5NNanrZ9WAQfqAQsVIr4u9kR8Qw0MAseu0&#10;UAsUa6tc2qMGZSARpdhrH/msVNt1SqR3XRdVYqblxDSVnZLQeZn3ajaFZhXA91ocSoCHlHCPkwXt&#10;KOkJagEJ2Drof6CsFgEjdmkk0FZ7IkURYjGu72lz3YNXhQtJHf1J9Pj/YMXbzVVgWrb86UvOHFjq&#10;+O2n7z8/fvn14zPtt9++MrKQTIOPDXnP3VXIRMXWXftLFB8iczjvwa1UKfdm5wlinCOqv0LyJXpK&#10;thzeoCQfWCcsmm27YDMkqcG2pTW7U2vUNjFBj2d5dM44E0dTBc0xzoeYXiu0LB9abrTLokEDm8uY&#10;ch3QHF3ys8MLbUxpvHFsoGInz+u6REQ0WmZr9othtZybwDaQZ6eswoosd90Crp0saAm0eeUkS0WC&#10;mBSY1POcIVrOjKLvZpU8YBiXc6gyoocyjwrttV6i3F2Fo4zU/kLkMKp5vu7ei9h/vufsN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CuuwsPXAAAACQEAAA8AAAAAAAAAAQAgAAAAIgAAAGRycy9kb3du&#10;cmV2LnhtbFBLAQIUABQAAAAIAIdO4kBAuyJiAAIAAOYDAAAOAAAAAAAAAAEAIAAAACYBAABkcnMv&#10;ZTJvRG9jLnhtbFBLBQYAAAAABgAGAFkBAACYBQAAAAA=&#10;">
                <v:fill on="f" focussize="0,0"/>
                <v:stroke weight="1pt" color="#000000" joinstyle="round" endarrow="classic" endarrowwidth="narrow"/>
                <v:imagedata o:title=""/>
                <o:lock v:ext="edit" aspectratio="f"/>
              </v:line>
            </w:pict>
          </mc:Fallback>
        </mc:AlternateContent>
      </w:r>
      <w:r>
        <mc:AlternateContent>
          <mc:Choice Requires="wps">
            <w:drawing>
              <wp:anchor distT="0" distB="0" distL="114300" distR="114300" simplePos="0" relativeHeight="251684864" behindDoc="0" locked="0" layoutInCell="1" allowOverlap="1">
                <wp:simplePos x="0" y="0"/>
                <wp:positionH relativeFrom="column">
                  <wp:posOffset>2918460</wp:posOffset>
                </wp:positionH>
                <wp:positionV relativeFrom="paragraph">
                  <wp:posOffset>86995</wp:posOffset>
                </wp:positionV>
                <wp:extent cx="0" cy="444500"/>
                <wp:effectExtent l="6350" t="0" r="12700" b="12700"/>
                <wp:wrapNone/>
                <wp:docPr id="48" name="直接连接符 48"/>
                <wp:cNvGraphicFramePr/>
                <a:graphic xmlns:a="http://schemas.openxmlformats.org/drawingml/2006/main">
                  <a:graphicData uri="http://schemas.microsoft.com/office/word/2010/wordprocessingShape">
                    <wps:wsp>
                      <wps:cNvCnPr>
                        <a:cxnSpLocks noChangeShapeType="1"/>
                      </wps:cNvCnPr>
                      <wps:spPr bwMode="auto">
                        <a:xfrm>
                          <a:off x="0" y="0"/>
                          <a:ext cx="0" cy="444500"/>
                        </a:xfrm>
                        <a:prstGeom prst="line">
                          <a:avLst/>
                        </a:prstGeom>
                        <a:noFill/>
                        <a:ln w="12700">
                          <a:solidFill>
                            <a:srgbClr val="000000"/>
                          </a:solidFill>
                          <a:round/>
                        </a:ln>
                        <a:effectLst/>
                      </wps:spPr>
                      <wps:bodyPr/>
                    </wps:wsp>
                  </a:graphicData>
                </a:graphic>
              </wp:anchor>
            </w:drawing>
          </mc:Choice>
          <mc:Fallback>
            <w:pict>
              <v:line id="_x0000_s1026" o:spid="_x0000_s1026" o:spt="20" style="position:absolute;left:0pt;margin-left:229.8pt;margin-top:6.85pt;height:35pt;width:0pt;z-index:251684864;mso-width-relative:page;mso-height-relative:page;" filled="f" stroked="t" coordsize="21600,21600" o:gfxdata="UEsDBAoAAAAAAIdO4kAAAAAAAAAAAAAAAAAEAAAAZHJzL1BLAwQUAAAACACHTuJABpK3QdcAAAAJ&#10;AQAADwAAAGRycy9kb3ducmV2LnhtbE2PzU7DMBCE70i8g7VI3KjTAm0IcXoAVRWIS1skrtt4iQPx&#10;Oo3dH96eRRzguDOfZmfK+cl36kBDbAMbGI8yUMR1sC03Bl43i6scVEzIFrvAZOCLIsyr87MSCxuO&#10;vKLDOjVKQjgWaMCl1Bdax9qRxzgKPbF472HwmOQcGm0HPEq47/Qky6baY8vywWFPD47qz/XeG8DH&#10;5Sq95ZPnWfvkXj42i93S5TtjLi/G2T2oRKf0B8NPfakOlXTahj3bqDoDN7d3U0HFuJ6BEuBX2BrI&#10;RdBVqf8vqL4BUEsDBBQAAAAIAIdO4kBzadwG5QEAALoDAAAOAAAAZHJzL2Uyb0RvYy54bWytU0uO&#10;EzEQ3SNxB8t70p0ofNRKZxaJhs0AkWY4QMXtTlvYLst20skluAASO1ixZM9tZjgGZXcSIGxmQS8s&#10;1+9VvVfu2dXeaLaTPii0NR+PSs6kFdgou6n5+7vrZ684CxFsAxqtrPlBBn41f/pk1rtKTrBD3UjP&#10;CMSGqnc172J0VVEE0UkDYYROWgq26A1EMv2maDz0hG50MSnLF0WPvnEehQyBvMshyI+I/jGA2LZK&#10;yCWKrZE2DqheaohEKXTKBT7P07atFPFd2wYZma45MY35pCZ0X6ezmM+g2nhwnRLHEeAxI1xwMqAs&#10;NT1DLSEC23r1D5RRwmPANo4EmmIgkhUhFuPyQpvbDpzMXEjq4M6ih/8HK97uVp6ppuZT2rsFQxt/&#10;+PT9/uOXnz8+0/nw7SujCMnUu1BR9sKufCIq9vbW3aD4EJjFRQd2I/O4dwdHEONUUfxVkozgqNm6&#10;f4MN5cA2YtZs33qTIEkNts+rOZxXI/eRicEpyDudTp+XeWsFVKc650N8LdGwdKm5VjaJBhXsbkJM&#10;c0B1Sklui9dK67x4bVlPw05eEmYKBdSqSdFs+M16oT3bQXo7+cusLtI8bm0zdNE21cn87I6tT6wH&#10;/dbYHFb+JA2tNA93fH7pzfxpZwF//3LzX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AaSt0HXAAAA&#10;CQEAAA8AAAAAAAAAAQAgAAAAIgAAAGRycy9kb3ducmV2LnhtbFBLAQIUABQAAAAIAIdO4kBzadwG&#10;5QEAALoDAAAOAAAAAAAAAAEAIAAAACYBAABkcnMvZTJvRG9jLnhtbFBLBQYAAAAABgAGAFkBAAB9&#10;BQAAAAA=&#10;">
                <v:fill on="f" focussize="0,0"/>
                <v:stroke weight="1pt" color="#000000" joinstyle="round"/>
                <v:imagedata o:title=""/>
                <o:lock v:ext="edit" aspectratio="f"/>
              </v:line>
            </w:pict>
          </mc:Fallback>
        </mc:AlternateContent>
      </w:r>
      <w:r>
        <mc:AlternateContent>
          <mc:Choice Requires="wps">
            <w:drawing>
              <wp:anchor distT="0" distB="0" distL="114300" distR="114300" simplePos="0" relativeHeight="251682816" behindDoc="0" locked="0" layoutInCell="1" allowOverlap="1">
                <wp:simplePos x="0" y="0"/>
                <wp:positionH relativeFrom="column">
                  <wp:posOffset>2918460</wp:posOffset>
                </wp:positionH>
                <wp:positionV relativeFrom="paragraph">
                  <wp:posOffset>86995</wp:posOffset>
                </wp:positionV>
                <wp:extent cx="400050" cy="0"/>
                <wp:effectExtent l="0" t="25400" r="0" b="31750"/>
                <wp:wrapNone/>
                <wp:docPr id="47" name="直接连接符 47"/>
                <wp:cNvGraphicFramePr/>
                <a:graphic xmlns:a="http://schemas.openxmlformats.org/drawingml/2006/main">
                  <a:graphicData uri="http://schemas.microsoft.com/office/word/2010/wordprocessingShape">
                    <wps:wsp>
                      <wps:cNvCnPr>
                        <a:cxnSpLocks noChangeShapeType="1"/>
                      </wps:cNvCnPr>
                      <wps:spPr bwMode="auto">
                        <a:xfrm>
                          <a:off x="0" y="0"/>
                          <a:ext cx="400050" cy="0"/>
                        </a:xfrm>
                        <a:prstGeom prst="line">
                          <a:avLst/>
                        </a:prstGeom>
                        <a:noFill/>
                        <a:ln w="12700">
                          <a:solidFill>
                            <a:srgbClr val="000000"/>
                          </a:solidFill>
                          <a:round/>
                          <a:tailEnd type="stealth" w="sm" len="med"/>
                        </a:ln>
                        <a:effectLst/>
                      </wps:spPr>
                      <wps:bodyPr/>
                    </wps:wsp>
                  </a:graphicData>
                </a:graphic>
              </wp:anchor>
            </w:drawing>
          </mc:Choice>
          <mc:Fallback>
            <w:pict>
              <v:line id="_x0000_s1026" o:spid="_x0000_s1026" o:spt="20" style="position:absolute;left:0pt;margin-left:229.8pt;margin-top:6.85pt;height:0pt;width:31.5pt;z-index:251682816;mso-width-relative:page;mso-height-relative:page;" filled="f" stroked="t" coordsize="21600,21600" o:gfxdata="UEsDBAoAAAAAAIdO4kAAAAAAAAAAAAAAAAAEAAAAZHJzL1BLAwQUAAAACACHTuJARa6w2dYAAAAJ&#10;AQAADwAAAGRycy9kb3ducmV2LnhtbE2PzU7DMBCE70i8g7VIXBB1GuhfiFOhVEVcCTyAGy9JSryO&#10;bLcJPD2LOMBxZz7NzuTbyfbijD50jhTMZwkIpNqZjhoFb6/72zWIEDUZ3TtCBZ8YYFtcXuQ6M26k&#10;FzxXsREcQiHTCtoYh0zKULdodZi5AYm9d+etjnz6RhqvRw63vUyTZCmt7og/tHrAssX6ozpZBX7a&#10;x525Gfvj7rF8fnJf5eboK6Wur+bJA4iIU/yD4ac+V4eCOx3ciUwQvYL7xWbJKBt3KxAMLNKUhcOv&#10;IItc/l9QfANQSwMEFAAAAAgAh07iQGU9XisBAgAA5gMAAA4AAABkcnMvZTJvRG9jLnhtbK1TzW4T&#10;MRC+I/EOlu9kN1GhaJVNDwnlUqBSywM4tjdrYXssj5NNXoIXQOIGJ47ceRvKYzB2fijl0gM+WLZn&#10;5pv5vhlPL7bOso2OaMC3fDyqOdNegjJ+1fL3t5fPXnKGSXglLHjd8p1GfjF7+mQ6hEZPoAerdGQE&#10;4rEZQsv7lEJTVSh77QSOIGhPxg6iE4mucVWpKAZCd7aa1PWLaoCoQgSpEel1sTfyA2J8DCB0nZF6&#10;AXLttE971KitSEQJexOQz0q1Xadletd1qBOzLSemqeyUhM7LvFezqWhWUYTeyEMJ4jElPODkhPGU&#10;9AS1EEmwdTT/QDkjIyB0aSTBVXsiRRFiMa4faHPTi6ALF5Iaw0l0/H+w8u3mOjKjWn52zpkXjjp+&#10;9+n7z49ffv34TPvdt6+MLCTTELAh77m/jpmo3PqbcAXyAzIP8174lS7l3u4CQYxzRPVXSL5goGTL&#10;4Q0o8hHrBEWzbRddhiQ12La0Zndqjd4mJunxrK7r59Q0eTRVojnGhYjptQbH8qHl1vgsmmjE5gpT&#10;rkM0R5f87OHSWFsabz0bqNjJeV2XCARrVLZmP4yr5dxGthF5dsoqrMhy3y3C2quCloSxr7xiqUiA&#10;SQubep4zoOPMavpuTqsDhvU5hy4jeijzqNBe6yWo3XU8ykjtL0QOo5rn6/69iP3ne85+A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EWusNnWAAAACQEAAA8AAAAAAAAAAQAgAAAAIgAAAGRycy9kb3du&#10;cmV2LnhtbFBLAQIUABQAAAAIAIdO4kBlPV4rAQIAAOYDAAAOAAAAAAAAAAEAIAAAACUBAABkcnMv&#10;ZTJvRG9jLnhtbFBLBQYAAAAABgAGAFkBAACYBQAAAAA=&#10;">
                <v:fill on="f" focussize="0,0"/>
                <v:stroke weight="1pt" color="#000000" joinstyle="round" endarrow="classic" endarrowwidth="narrow"/>
                <v:imagedata o:title=""/>
                <o:lock v:ext="edit" aspectratio="f"/>
              </v:line>
            </w:pict>
          </mc:Fallback>
        </mc:AlternateContent>
      </w:r>
      <w:r>
        <mc:AlternateContent>
          <mc:Choice Requires="wps">
            <w:drawing>
              <wp:anchor distT="0" distB="0" distL="114300" distR="114300" simplePos="0" relativeHeight="251681792" behindDoc="0" locked="0" layoutInCell="1" allowOverlap="1">
                <wp:simplePos x="0" y="0"/>
                <wp:positionH relativeFrom="column">
                  <wp:posOffset>2598420</wp:posOffset>
                </wp:positionH>
                <wp:positionV relativeFrom="paragraph">
                  <wp:posOffset>293370</wp:posOffset>
                </wp:positionV>
                <wp:extent cx="320040" cy="0"/>
                <wp:effectExtent l="0" t="25400" r="3810" b="31750"/>
                <wp:wrapNone/>
                <wp:docPr id="46" name="直接连接符 46"/>
                <wp:cNvGraphicFramePr/>
                <a:graphic xmlns:a="http://schemas.openxmlformats.org/drawingml/2006/main">
                  <a:graphicData uri="http://schemas.microsoft.com/office/word/2010/wordprocessingShape">
                    <wps:wsp>
                      <wps:cNvCnPr>
                        <a:cxnSpLocks noChangeShapeType="1"/>
                      </wps:cNvCnPr>
                      <wps:spPr bwMode="auto">
                        <a:xfrm>
                          <a:off x="0" y="0"/>
                          <a:ext cx="320040" cy="0"/>
                        </a:xfrm>
                        <a:prstGeom prst="line">
                          <a:avLst/>
                        </a:prstGeom>
                        <a:noFill/>
                        <a:ln w="12700">
                          <a:solidFill>
                            <a:srgbClr val="000000"/>
                          </a:solidFill>
                          <a:round/>
                          <a:tailEnd type="stealth" w="sm" len="med"/>
                        </a:ln>
                        <a:effectLst/>
                      </wps:spPr>
                      <wps:bodyPr/>
                    </wps:wsp>
                  </a:graphicData>
                </a:graphic>
              </wp:anchor>
            </w:drawing>
          </mc:Choice>
          <mc:Fallback>
            <w:pict>
              <v:line id="_x0000_s1026" o:spid="_x0000_s1026" o:spt="20" style="position:absolute;left:0pt;margin-left:204.6pt;margin-top:23.1pt;height:0pt;width:25.2pt;z-index:251681792;mso-width-relative:page;mso-height-relative:page;" filled="f" stroked="t" coordsize="21600,21600" o:gfxdata="UEsDBAoAAAAAAIdO4kAAAAAAAAAAAAAAAAAEAAAAZHJzL1BLAwQUAAAACACHTuJAoq5h5tYAAAAJ&#10;AQAADwAAAGRycy9kb3ducmV2LnhtbE2Py07DMBBF90j8gzVIbFBrtyoRCXEqlKqILYEPcONpkuJH&#10;ZLtN4OsZxAJW87q690y5na1hFwxx8E7CaimAoWu9Hlwn4f1tv3gAFpNyWhnvUMInRthW11elKrSf&#10;3CtemtQxMnGxUBL6lMaC89j2aFVc+hEd3Y4+WJVoDB3XQU1kbg1fC5FxqwZHCb0ase6x/WjOVkKY&#10;92mn7yZz2j3VL8/+q85PoZHy9mYlHoElnNOfGH7wCR0qYjr4s9ORGQkbka9JSk1GlQSb+zwDdvhd&#10;8Krk/z+ovgFQSwMEFAAAAAgAh07iQO3vpioAAgAA5gMAAA4AAABkcnMvZTJvRG9jLnhtbK1TzW4T&#10;MRC+I/EOlu9kN6EqaJVNDwnlUqBSywNMbG/WwvZYtpNNXoIXQOIGJ47ceRvKYzB2fijl0gM+WLZn&#10;5pv5vhlPL7bWsI0KUaNr+XhUc6acQKndquXvby+fveQsJnASDDrV8p2K/GL29Ml08I2aYI9GqsAI&#10;xMVm8C3vU/JNVUXRKwtxhF45MnYYLCS6hlUlAwyEbk01qevzasAgfUChYqTXxd7ID4jhMYDYdVqo&#10;BYq1VS7tUYMykIhS7LWPfFaq7Tol0ruuiyox03JimspOSei8zHs1m0KzCuB7LQ4lwGNKeMDJgnaU&#10;9AS1gARsHfQ/UFaLgBG7NBJoqz2RogixGNcPtLnpwavChaSO/iR6/H+w4u3mOjAtW352zpkDSx2/&#10;+/T958cvv358pv3u21dGFpJp8LEh77m7Dpmo2Lobf4XiQ2QO5z24lSrl3u48QYxzRPVXSL5ET8mW&#10;wxuU5APrhEWzbRdshiQ12La0ZndqjdomJujxOY3OGTVNHE0VNMc4H2J6rdCyfGi50S6LBg1srmLK&#10;dUBzdMnPDi+1MaXxxrGBip28qOsSEdFoma3ZL4bVcm4C20CenbIKK7Lcdwu4drKgJdDmlZMsFQli&#10;UmBSz3OGaDkzir6bVfKAYVzOocqIHso8KrTXeolydx2OMlL7C5HDqOb5un8vYv/5nrPf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oq5h5tYAAAAJAQAADwAAAAAAAAABACAAAAAiAAAAZHJzL2Rvd25y&#10;ZXYueG1sUEsBAhQAFAAAAAgAh07iQO3vpioAAgAA5gMAAA4AAAAAAAAAAQAgAAAAJQEAAGRycy9l&#10;Mm9Eb2MueG1sUEsFBgAAAAAGAAYAWQEAAJcFAAAAAA==&#10;">
                <v:fill on="f" focussize="0,0"/>
                <v:stroke weight="1pt" color="#000000" joinstyle="round" endarrow="classic" endarrowwidth="narrow"/>
                <v:imagedata o:title=""/>
                <o:lock v:ext="edit" aspectratio="f"/>
              </v:line>
            </w:pict>
          </mc:Fallback>
        </mc:AlternateContent>
      </w:r>
      <w:r>
        <mc:AlternateContent>
          <mc:Choice Requires="wps">
            <w:drawing>
              <wp:anchor distT="0" distB="0" distL="114300" distR="114300" simplePos="0" relativeHeight="251674624" behindDoc="0" locked="0" layoutInCell="1" allowOverlap="1">
                <wp:simplePos x="0" y="0"/>
                <wp:positionH relativeFrom="column">
                  <wp:posOffset>1584960</wp:posOffset>
                </wp:positionH>
                <wp:positionV relativeFrom="paragraph">
                  <wp:posOffset>166370</wp:posOffset>
                </wp:positionV>
                <wp:extent cx="1013460" cy="252095"/>
                <wp:effectExtent l="5080" t="4445" r="10160" b="10160"/>
                <wp:wrapNone/>
                <wp:docPr id="45" name="文本框 45"/>
                <wp:cNvGraphicFramePr/>
                <a:graphic xmlns:a="http://schemas.openxmlformats.org/drawingml/2006/main">
                  <a:graphicData uri="http://schemas.microsoft.com/office/word/2010/wordprocessingShape">
                    <wps:wsp>
                      <wps:cNvSpPr txBox="1">
                        <a:spLocks noChangeArrowheads="1"/>
                      </wps:cNvSpPr>
                      <wps:spPr bwMode="auto">
                        <a:xfrm>
                          <a:off x="0" y="0"/>
                          <a:ext cx="1013460" cy="252095"/>
                        </a:xfrm>
                        <a:prstGeom prst="rect">
                          <a:avLst/>
                        </a:prstGeom>
                        <a:solidFill>
                          <a:srgbClr val="FFFFFF"/>
                        </a:solidFill>
                        <a:ln w="9525">
                          <a:solidFill>
                            <a:srgbClr val="000000"/>
                          </a:solidFill>
                          <a:miter lim="800000"/>
                        </a:ln>
                        <a:effectLst/>
                      </wps:spPr>
                      <wps:txbx>
                        <w:txbxContent>
                          <w:p w14:paraId="08223081">
                            <w:pPr>
                              <w:jc w:val="center"/>
                              <w:rPr>
                                <w:szCs w:val="21"/>
                              </w:rPr>
                            </w:pPr>
                            <w:r>
                              <w:rPr>
                                <w:rFonts w:hint="eastAsia"/>
                                <w:szCs w:val="21"/>
                              </w:rPr>
                              <w:t>环保设施费用</w:t>
                            </w:r>
                          </w:p>
                        </w:txbxContent>
                      </wps:txbx>
                      <wps:bodyPr rot="0" vert="horz" wrap="square" lIns="0" tIns="0" rIns="0" bIns="0" anchor="t" anchorCtr="0" upright="1">
                        <a:noAutofit/>
                      </wps:bodyPr>
                    </wps:wsp>
                  </a:graphicData>
                </a:graphic>
              </wp:anchor>
            </w:drawing>
          </mc:Choice>
          <mc:Fallback>
            <w:pict>
              <v:shape id="_x0000_s1026" o:spid="_x0000_s1026" o:spt="202" type="#_x0000_t202" style="position:absolute;left:0pt;margin-left:124.8pt;margin-top:13.1pt;height:19.85pt;width:79.8pt;z-index:251674624;mso-width-relative:page;mso-height-relative:page;" fillcolor="#FFFFFF" filled="t" stroked="t" coordsize="21600,21600" o:gfxdata="UEsDBAoAAAAAAIdO4kAAAAAAAAAAAAAAAAAEAAAAZHJzL1BLAwQUAAAACACHTuJAoIo/wNcAAAAJ&#10;AQAADwAAAGRycy9kb3ducmV2LnhtbE2PTU/DMAyG70j8h8hI3FiyaFS0NJ0YEhKIC9sQ56xxP6Bx&#10;qibrxr/HnOD2Wn70+nG5PvtBzDjFPpCB5UKBQKqD66k18L5/urkDEZMlZ4dAaOAbI6yry4vSFi6c&#10;aIvzLrWCSygW1kCX0lhIGesOvY2LMCLxrgmTt4nHqZVusicu94PUSmXS2574QmdHfOyw/todvYH9&#10;vInP28+Uu5dmI/Vr86Y/pgdjrq+W6h5EwnP6g+FXn9WhYqdDOJKLYjCgV3nGKIdMg2BgpXIOBwPZ&#10;bQ6yKuX/D6ofUEsDBBQAAAAIAIdO4kBgG3IyPwIAAIcEAAAOAAAAZHJzL2Uyb0RvYy54bWytVM1u&#10;EzEQviPxDpbvdDehqdpVN1VpVYRUfqTCAzheb9bC9pixk93yAPAGnLhw57nyHIy9SYkCSD2wB2ts&#10;j7/55puZPb8YrGFrhUGDq/nkqORMOQmNdsuaf3h/8+yUsxCFa4QBp2p+rwK/mD99ct77Sk2hA9Mo&#10;ZATiQtX7mncx+qooguyUFeEIvHJ02QJaEWmLy6JB0RO6NcW0LE+KHrDxCFKFQKfX4yXfIuJjAKFt&#10;tVTXIFdWuTiiojIiUkqh0z7weWbbtkrGt20bVGSm5pRpzCsFIXuR1mJ+LqolCt9puaUgHkPhICcr&#10;tKOgD1DXIgq2Qv0HlNUSIUAbjyTYYkwkK0JZTMoDbe464VXOhaQO/kH08P9g5Zv1O2S6qfnxjDMn&#10;LFV88+3r5vvPzY8vjM5IoN6HivzuPHnG4QUM1DY52eBvQX4MzMFVJ9xSXSJC3ynREMFJelnsPR1x&#10;QgJZ9K+hoUBiFSEDDS3apB7pwQidinP/UBw1RCZTyHLy/PiEriTdTWfT8iyTK0S1e+0xxJcKLEtG&#10;zZGKn9HF+jbExEZUO5cULIDRzY02Jm9wubgyyNaCGuUmfzmBAzfjWF/zs9l0NgrwT4gyf3+DsDrS&#10;/Bhta36672Rc4qFyz275JvWSYKN0cVgM22osoLknHRHGfqZpJqMD/MxZT71c8/BpJVBxZl45qkVq&#10;/J2BO2OxM4ST9LTmkbPRvIrjgKw86mVHyGO1HVxSvVqdpUzURhbbKlN/ZoW3s5QGYH+fvX7/P+a/&#10;AF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K8E&#10;AABbQ29udGVudF9UeXBlc10ueG1sUEsBAhQACgAAAAAAh07iQAAAAAAAAAAAAAAAAAYAAAAAAAAA&#10;AAAQAAAAkQMAAF9yZWxzL1BLAQIUABQAAAAIAIdO4kCKFGY80QAAAJQBAAALAAAAAAAAAAEAIAAA&#10;ALUDAABfcmVscy8ucmVsc1BLAQIUAAoAAAAAAIdO4kAAAAAAAAAAAAAAAAAEAAAAAAAAAAAAEAAA&#10;AAAAAABkcnMvUEsBAhQAFAAAAAgAh07iQKCKP8DXAAAACQEAAA8AAAAAAAAAAQAgAAAAIgAAAGRy&#10;cy9kb3ducmV2LnhtbFBLAQIUABQAAAAIAIdO4kBgG3IyPwIAAIcEAAAOAAAAAAAAAAEAIAAAACYB&#10;AABkcnMvZTJvRG9jLnhtbFBLBQYAAAAABgAGAFkBAADXBQAAAAA=&#10;">
                <v:fill on="t" focussize="0,0"/>
                <v:stroke color="#000000" miterlimit="8" joinstyle="miter"/>
                <v:imagedata o:title=""/>
                <o:lock v:ext="edit" aspectratio="f"/>
                <v:textbox inset="0mm,0mm,0mm,0mm">
                  <w:txbxContent>
                    <w:p w14:paraId="08223081">
                      <w:pPr>
                        <w:jc w:val="center"/>
                        <w:rPr>
                          <w:szCs w:val="21"/>
                        </w:rPr>
                      </w:pPr>
                      <w:r>
                        <w:rPr>
                          <w:rFonts w:hint="eastAsia"/>
                          <w:szCs w:val="21"/>
                        </w:rPr>
                        <w:t>环保设施费用</w:t>
                      </w:r>
                    </w:p>
                  </w:txbxContent>
                </v:textbox>
              </v:shape>
            </w:pict>
          </mc:Fallback>
        </mc:AlternateContent>
      </w:r>
    </w:p>
    <w:p w14:paraId="3A725558">
      <w:pPr>
        <w:pStyle w:val="310"/>
      </w:pPr>
      <w:r>
        <mc:AlternateContent>
          <mc:Choice Requires="wps">
            <w:drawing>
              <wp:anchor distT="0" distB="0" distL="114300" distR="114300" simplePos="0" relativeHeight="251683840" behindDoc="0" locked="0" layoutInCell="1" allowOverlap="1">
                <wp:simplePos x="0" y="0"/>
                <wp:positionH relativeFrom="column">
                  <wp:posOffset>2918460</wp:posOffset>
                </wp:positionH>
                <wp:positionV relativeFrom="paragraph">
                  <wp:posOffset>201295</wp:posOffset>
                </wp:positionV>
                <wp:extent cx="400050" cy="0"/>
                <wp:effectExtent l="0" t="25400" r="0" b="31750"/>
                <wp:wrapNone/>
                <wp:docPr id="44" name="直接连接符 44"/>
                <wp:cNvGraphicFramePr/>
                <a:graphic xmlns:a="http://schemas.openxmlformats.org/drawingml/2006/main">
                  <a:graphicData uri="http://schemas.microsoft.com/office/word/2010/wordprocessingShape">
                    <wps:wsp>
                      <wps:cNvCnPr>
                        <a:cxnSpLocks noChangeShapeType="1"/>
                      </wps:cNvCnPr>
                      <wps:spPr bwMode="auto">
                        <a:xfrm>
                          <a:off x="0" y="0"/>
                          <a:ext cx="400050" cy="0"/>
                        </a:xfrm>
                        <a:prstGeom prst="line">
                          <a:avLst/>
                        </a:prstGeom>
                        <a:noFill/>
                        <a:ln w="12700">
                          <a:solidFill>
                            <a:srgbClr val="000000"/>
                          </a:solidFill>
                          <a:round/>
                          <a:tailEnd type="stealth" w="sm" len="med"/>
                        </a:ln>
                        <a:effectLst/>
                      </wps:spPr>
                      <wps:bodyPr/>
                    </wps:wsp>
                  </a:graphicData>
                </a:graphic>
              </wp:anchor>
            </w:drawing>
          </mc:Choice>
          <mc:Fallback>
            <w:pict>
              <v:line id="_x0000_s1026" o:spid="_x0000_s1026" o:spt="20" style="position:absolute;left:0pt;margin-left:229.8pt;margin-top:15.85pt;height:0pt;width:31.5pt;z-index:251683840;mso-width-relative:page;mso-height-relative:page;" filled="f" stroked="t" coordsize="21600,21600" o:gfxdata="UEsDBAoAAAAAAIdO4kAAAAAAAAAAAAAAAAAEAAAAZHJzL1BLAwQUAAAACACHTuJATgxL7dYAAAAJ&#10;AQAADwAAAGRycy9kb3ducmV2LnhtbE2PwU7DMAyG70i8Q2QkLoilLWyw0nRCnYa4UniArDFtR+NU&#10;SbYWnh4jDnD070+/Pxeb2Q7ihD70jhSkiwQEUuNMT62Ct9fd9T2IEDUZPThCBZ8YYFOenxU6N26i&#10;FzzVsRVcQiHXCroYx1zK0HRodVi4EYl3785bHXn0rTReT1xuB5klyUpa3RNf6PSIVYfNR320Cvy8&#10;i1tzNQ2H7WP1/OS+qvXB10pdXqTJA4iIc/yD4Uef1aFkp707kgliUHC7XK8YVXCT3oFgYJllHOx/&#10;A1kW8v8H5TdQSwMEFAAAAAgAh07iQIOa47AAAgAA5gMAAA4AAABkcnMvZTJvRG9jLnhtbK1TS44T&#10;MRDdI3EHy3umO1H4qJXOLBKGzQAjzXCAiu1OW/gnl5NOLsEFkNjBiiX7uQ3DMSg7H4ZhMwu8sGxX&#10;1at6r8rT8601bKMiau9aPjqrOVNOeKndquUfbi6eveIMEzgJxjvV8p1Cfj57+mQ6hEaNfe+NVJER&#10;iMNmCC3vUwpNVaHolQU880E5MnY+Wkh0jatKRhgI3ZpqXNcvqsFHGaIXCpFeF3sjPyDGxwD6rtNC&#10;LbxYW+XSHjUqA4koYa8D8lmptuuUSO+7DlVipuXENJWdktB5mfdqNoVmFSH0WhxKgMeU8ICTBe0o&#10;6QlqAQnYOup/oKwW0aPv0pnwttoTKYoQi1H9QJvrHoIqXEhqDCfR8f/Binebq8i0bPlkwpkDSx2/&#10;+/zj56evv26/0H73/RsjC8k0BGzIe+6uYiYqtu46XHrxEZnz8x7cSpVyb3aBIEY5ovorJF8wULLl&#10;8NZL8oF18kWzbRdthiQ12La0ZndqjdomJuhxUtf1c2qaOJoqaI5xIWJ6o7xl+dByo10WDRrYXGLK&#10;dUBzdMnPzl9oY0rjjWMDFTt+WdclAr3RMluzH8bVcm4i20CenbIKK7Lcd4t+7WRBS6DNaydZKhJg&#10;UmBSz3MGtJwZRd/NKnnAMC7nUGVED2UeFdprvfRydxWPMlL7C5HDqOb5un8vYv/5nrPf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TgxL7dYAAAAJAQAADwAAAAAAAAABACAAAAAiAAAAZHJzL2Rvd25y&#10;ZXYueG1sUEsBAhQAFAAAAAgAh07iQIOa47AAAgAA5gMAAA4AAAAAAAAAAQAgAAAAJQEAAGRycy9l&#10;Mm9Eb2MueG1sUEsFBgAAAAAGAAYAWQEAAJcFAAAAAA==&#10;">
                <v:fill on="f" focussize="0,0"/>
                <v:stroke weight="1pt" color="#000000" joinstyle="round" endarrow="classic" endarrowwidth="narrow"/>
                <v:imagedata o:title=""/>
                <o:lock v:ext="edit" aspectratio="f"/>
              </v:line>
            </w:pict>
          </mc:Fallback>
        </mc:AlternateContent>
      </w:r>
      <w:r>
        <mc:AlternateContent>
          <mc:Choice Requires="wps">
            <w:drawing>
              <wp:anchor distT="0" distB="0" distL="114300" distR="114300" simplePos="0" relativeHeight="251678720" behindDoc="0" locked="0" layoutInCell="1" allowOverlap="1">
                <wp:simplePos x="0" y="0"/>
                <wp:positionH relativeFrom="column">
                  <wp:posOffset>864870</wp:posOffset>
                </wp:positionH>
                <wp:positionV relativeFrom="paragraph">
                  <wp:posOffset>282575</wp:posOffset>
                </wp:positionV>
                <wp:extent cx="426720" cy="252095"/>
                <wp:effectExtent l="5080" t="4445" r="6350" b="10160"/>
                <wp:wrapNone/>
                <wp:docPr id="43" name="文本框 43"/>
                <wp:cNvGraphicFramePr/>
                <a:graphic xmlns:a="http://schemas.openxmlformats.org/drawingml/2006/main">
                  <a:graphicData uri="http://schemas.microsoft.com/office/word/2010/wordprocessingShape">
                    <wps:wsp>
                      <wps:cNvSpPr txBox="1">
                        <a:spLocks noChangeArrowheads="1"/>
                      </wps:cNvSpPr>
                      <wps:spPr bwMode="auto">
                        <a:xfrm>
                          <a:off x="0" y="0"/>
                          <a:ext cx="426720" cy="252095"/>
                        </a:xfrm>
                        <a:prstGeom prst="rect">
                          <a:avLst/>
                        </a:prstGeom>
                        <a:solidFill>
                          <a:srgbClr val="FFFFFF"/>
                        </a:solidFill>
                        <a:ln w="9525">
                          <a:solidFill>
                            <a:srgbClr val="000000"/>
                          </a:solidFill>
                          <a:miter lim="800000"/>
                        </a:ln>
                        <a:effectLst/>
                      </wps:spPr>
                      <wps:txbx>
                        <w:txbxContent>
                          <w:p w14:paraId="24FEC251">
                            <w:pPr>
                              <w:jc w:val="center"/>
                              <w:rPr>
                                <w:szCs w:val="21"/>
                              </w:rPr>
                            </w:pPr>
                            <w:r>
                              <w:rPr>
                                <w:rFonts w:hint="eastAsia"/>
                                <w:szCs w:val="21"/>
                              </w:rPr>
                              <w:t>费用</w:t>
                            </w:r>
                          </w:p>
                        </w:txbxContent>
                      </wps:txbx>
                      <wps:bodyPr rot="0" vert="horz" wrap="square" lIns="0" tIns="0" rIns="0" bIns="0" anchor="t" anchorCtr="0" upright="1">
                        <a:noAutofit/>
                      </wps:bodyPr>
                    </wps:wsp>
                  </a:graphicData>
                </a:graphic>
              </wp:anchor>
            </w:drawing>
          </mc:Choice>
          <mc:Fallback>
            <w:pict>
              <v:shape id="_x0000_s1026" o:spid="_x0000_s1026" o:spt="202" type="#_x0000_t202" style="position:absolute;left:0pt;margin-left:68.1pt;margin-top:22.25pt;height:19.85pt;width:33.6pt;z-index:251678720;mso-width-relative:page;mso-height-relative:page;" fillcolor="#FFFFFF" filled="t" stroked="t" coordsize="21600,21600" o:gfxdata="UEsDBAoAAAAAAIdO4kAAAAAAAAAAAAAAAAAEAAAAZHJzL1BLAwQUAAAACACHTuJA2ZSOjdgAAAAJ&#10;AQAADwAAAGRycy9kb3ducmV2LnhtbE2Py07DMBBF90j8gzVI7KhdN1QlxKkoEhKIDW0RazeePCAe&#10;R7Gblr9nWMHyao7uPVOsz74XE46xC2RgPlMgkKrgOmoMvO+fblYgYrLkbB8IDXxjhHV5eVHY3IUT&#10;bXHapUZwCcXcGmhTGnIpY9Wit3EWBiS+1WH0NnEcG+lGe+Jy30ut1FJ62xEvtHbAxxarr93RG9hP&#10;m/i8/Ux37qXeSP1av+mP8cGY66u5ugeR8Jz+YPjVZ3Uo2ekQjuSi6DkvlppRA1l2C4IBrRYZiIOB&#10;VaZBloX8/0H5A1BLAwQUAAAACACHTuJAG09xNj4CAACGBAAADgAAAGRycy9lMm9Eb2MueG1srVTN&#10;btQwEL4j8Q6W7zTb0C1t1GxVWhUhlR+p8ABex9lY2B4z9m5SHgDegBMX7jzXPgdjJ1tKAakHcrDG&#10;9sw3M983zsnpYA3bKAwaXM3392acKSeh0W5V8/fvLp8ccRaicI0w4FTNb1Tgp4vHj056X6kSOjCN&#10;QkYgLlS9r3kXo6+KIshOWRH2wCtHly2gFZG2uCoaFD2hW1OUs9lh0QM2HkGqEOj0YrzkEyI+BBDa&#10;Vkt1AXJtlYsjKiojIrUUOu0DX+Rq21bJ+KZtg4rM1Jw6jXmlJGQv01osTkS1QuE7LacSxENKuNeT&#10;FdpR0luoCxEFW6P+A8pqiRCgjXsSbDE2khmhLvZn97i57oRXuReiOvhb0sP/g5WvN2+R6abmB085&#10;c8KS4tuvX7bffmy/f2Z0RgT1PlTkd+3JMw7PYaCxyc0GfwXyQ2AOzjvhVuoMEfpOiYYK3E+RxZ3Q&#10;ESckkGX/ChpKJNYRMtDQok3sER+M0Emcm1tx1BCZpMOD8vBZSTeSrsp5OTue5wyi2gV7DPGFAsuS&#10;UXMk7TO42FyFmIoR1c4l5QpgdHOpjckbXC3PDbKNoDm5zN+E/pubcayv+fG8nI/9/xNilr+/QVgd&#10;6fkYbWt+dNfJuFSHyiM71ZvIS3yNzMVhOUxiLKG5IRoRxnGmx0xGB/iJs55Guebh41qg4sy8dCRF&#10;mvudgTtjuTOEkxRa88jZaJ7H8X2sPepVR8ij2A7OSK5WZypTaWMVk8g0npnh6Sml+b+7z16/fh+L&#10;n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K8E&#10;AABbQ29udGVudF9UeXBlc10ueG1sUEsBAhQACgAAAAAAh07iQAAAAAAAAAAAAAAAAAYAAAAAAAAA&#10;AAAQAAAAkQMAAF9yZWxzL1BLAQIUABQAAAAIAIdO4kCKFGY80QAAAJQBAAALAAAAAAAAAAEAIAAA&#10;ALUDAABfcmVscy8ucmVsc1BLAQIUAAoAAAAAAIdO4kAAAAAAAAAAAAAAAAAEAAAAAAAAAAAAEAAA&#10;AAAAAABkcnMvUEsBAhQAFAAAAAgAh07iQNmUjo3YAAAACQEAAA8AAAAAAAAAAQAgAAAAIgAAAGRy&#10;cy9kb3ducmV2LnhtbFBLAQIUABQAAAAIAIdO4kAbT3E2PgIAAIYEAAAOAAAAAAAAAAEAIAAAACcB&#10;AABkcnMvZTJvRG9jLnhtbFBLBQYAAAAABgAGAFkBAADXBQAAAAA=&#10;">
                <v:fill on="t" focussize="0,0"/>
                <v:stroke color="#000000" miterlimit="8" joinstyle="miter"/>
                <v:imagedata o:title=""/>
                <o:lock v:ext="edit" aspectratio="f"/>
                <v:textbox inset="0mm,0mm,0mm,0mm">
                  <w:txbxContent>
                    <w:p w14:paraId="24FEC251">
                      <w:pPr>
                        <w:jc w:val="center"/>
                        <w:rPr>
                          <w:szCs w:val="21"/>
                        </w:rPr>
                      </w:pPr>
                      <w:r>
                        <w:rPr>
                          <w:rFonts w:hint="eastAsia"/>
                          <w:szCs w:val="21"/>
                        </w:rPr>
                        <w:t>费用</w:t>
                      </w:r>
                    </w:p>
                  </w:txbxContent>
                </v:textbox>
              </v:shape>
            </w:pict>
          </mc:Fallback>
        </mc:AlternateContent>
      </w:r>
      <w:r>
        <mc:AlternateContent>
          <mc:Choice Requires="wps">
            <w:drawing>
              <wp:anchor distT="0" distB="0" distL="114300" distR="114300" simplePos="0" relativeHeight="251665408" behindDoc="0" locked="0" layoutInCell="1" allowOverlap="1">
                <wp:simplePos x="0" y="0"/>
                <wp:positionH relativeFrom="column">
                  <wp:posOffset>3318510</wp:posOffset>
                </wp:positionH>
                <wp:positionV relativeFrom="paragraph">
                  <wp:posOffset>74295</wp:posOffset>
                </wp:positionV>
                <wp:extent cx="1813560" cy="252095"/>
                <wp:effectExtent l="5080" t="5080" r="10160" b="9525"/>
                <wp:wrapNone/>
                <wp:docPr id="42" name="文本框 42"/>
                <wp:cNvGraphicFramePr/>
                <a:graphic xmlns:a="http://schemas.openxmlformats.org/drawingml/2006/main">
                  <a:graphicData uri="http://schemas.microsoft.com/office/word/2010/wordprocessingShape">
                    <wps:wsp>
                      <wps:cNvSpPr txBox="1">
                        <a:spLocks noChangeArrowheads="1"/>
                      </wps:cNvSpPr>
                      <wps:spPr bwMode="auto">
                        <a:xfrm>
                          <a:off x="0" y="0"/>
                          <a:ext cx="1813560" cy="252095"/>
                        </a:xfrm>
                        <a:prstGeom prst="rect">
                          <a:avLst/>
                        </a:prstGeom>
                        <a:solidFill>
                          <a:srgbClr val="FFFFFF"/>
                        </a:solidFill>
                        <a:ln w="9525">
                          <a:solidFill>
                            <a:srgbClr val="000000"/>
                          </a:solidFill>
                          <a:miter lim="800000"/>
                        </a:ln>
                        <a:effectLst/>
                      </wps:spPr>
                      <wps:txbx>
                        <w:txbxContent>
                          <w:p w14:paraId="3376B6C9">
                            <w:pPr>
                              <w:jc w:val="center"/>
                              <w:rPr>
                                <w:szCs w:val="21"/>
                              </w:rPr>
                            </w:pPr>
                            <w:r>
                              <w:rPr>
                                <w:rFonts w:hint="eastAsia"/>
                                <w:szCs w:val="21"/>
                              </w:rPr>
                              <w:t>操作管理费用</w:t>
                            </w:r>
                          </w:p>
                        </w:txbxContent>
                      </wps:txbx>
                      <wps:bodyPr rot="0" vert="horz" wrap="square" lIns="0" tIns="0" rIns="0" bIns="0" anchor="t" anchorCtr="0" upright="1">
                        <a:noAutofit/>
                      </wps:bodyPr>
                    </wps:wsp>
                  </a:graphicData>
                </a:graphic>
              </wp:anchor>
            </w:drawing>
          </mc:Choice>
          <mc:Fallback>
            <w:pict>
              <v:shape id="_x0000_s1026" o:spid="_x0000_s1026" o:spt="202" type="#_x0000_t202" style="position:absolute;left:0pt;margin-left:261.3pt;margin-top:5.85pt;height:19.85pt;width:142.8pt;z-index:251665408;mso-width-relative:page;mso-height-relative:page;" fillcolor="#FFFFFF" filled="t" stroked="t" coordsize="21600,21600" o:gfxdata="UEsDBAoAAAAAAIdO4kAAAAAAAAAAAAAAAAAEAAAAZHJzL1BLAwQUAAAACACHTuJAwL+q49cAAAAJ&#10;AQAADwAAAGRycy9kb3ducmV2LnhtbE2Py07DMBBF90j8gzVI7KgTC0oIcSqKhARiQ1vE2o0nD4jH&#10;ke2m5e8ZVrAcnat7z1SrkxvFjCEOnjTkiwwEUuPtQJ2G993TVQEiJkPWjJ5QwzdGWNXnZ5UprT/S&#10;Budt6gSXUCyNhj6lqZQyNj06Exd+QmLW+uBM4jN00gZz5HI3SpVlS+nMQLzQmwkfe2y+tgenYTev&#10;4/PmM93Zl3Yt1Wv7pj7Cg9aXF3l2DyLhKf2F4Vef1aFmp70/kI1i1HCj1JKjDPJbEBwoskKB2DPJ&#10;r0HWlfz/Qf0DUEsDBBQAAAAIAIdO4kAHM0A5PwIAAIcEAAAOAAAAZHJzL2Uyb0RvYy54bWytVM1u&#10;EzEQviPxDpbvdJNAqnbVTVVSFSGVH6nwAI7Xm7WwPWbsZLc8ALwBJy7cea48B2PvpoQCUg/swRrb&#10;429mvm9mz857a9hWYdDgKj49mnCmnIRau3XF37+7enLCWYjC1cKAUxW/VYGfLx4/Out8qWbQgqkV&#10;MgJxoex8xdsYfVkUQbbKinAEXjm6bACtiLTFdVGj6AjdmmI2mRwXHWDtEaQKgU4vh0s+IuJDAKFp&#10;tFSXIDdWuTigojIiUkmh1T7wRc62aZSMb5omqMhMxanSmFcKQvYqrcXiTJRrFL7VckxBPCSFezVZ&#10;oR0FvYO6FFGwDeo/oKyWCAGaeCTBFkMhmRGqYjq5x81NK7zKtRDVwd+RHv4frHy9fYtM1xV/NuPM&#10;CUuK775+2X37sfv+mdEZEdT5UJLfjSfP2D+HntomFxv8NcgPgTlYtsKt1QUidK0SNSU4TS+Lg6cD&#10;Tkggq+4V1BRIbCJkoL5Bm9gjPhihkzi3d+KoPjKZQp5Mn86P6UrS3Ww+m5zOcwhR7l97DPGFAsuS&#10;UXEk8TO62F6HmLIR5d4lBQtgdH2ljckbXK+WBtlWUKNc5W9E/83NONZV/HQ+mw8E/BNikr+/QVgd&#10;aX6MthU/OXQyLuWhcs+O+Sb2EmEDdbFf9aMaK6hviUeEoZ9pmsloAT9x1lEvVzx83AhUnJmXjrRI&#10;jb83cG+s9oZwkp5WPHI2mMs4DMjGo163hDyo7eCC9Gp0pjKlNmQxqkz9mRkeZykNwOE+e/36fyx+&#10;Al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K8E&#10;AABbQ29udGVudF9UeXBlc10ueG1sUEsBAhQACgAAAAAAh07iQAAAAAAAAAAAAAAAAAYAAAAAAAAA&#10;AAAQAAAAkQMAAF9yZWxzL1BLAQIUABQAAAAIAIdO4kCKFGY80QAAAJQBAAALAAAAAAAAAAEAIAAA&#10;ALUDAABfcmVscy8ucmVsc1BLAQIUAAoAAAAAAIdO4kAAAAAAAAAAAAAAAAAEAAAAAAAAAAAAEAAA&#10;AAAAAABkcnMvUEsBAhQAFAAAAAgAh07iQMC/quPXAAAACQEAAA8AAAAAAAAAAQAgAAAAIgAAAGRy&#10;cy9kb3ducmV2LnhtbFBLAQIUABQAAAAIAIdO4kAHM0A5PwIAAIcEAAAOAAAAAAAAAAEAIAAAACYB&#10;AABkcnMvZTJvRG9jLnhtbFBLBQYAAAAABgAGAFkBAADXBQAAAAA=&#10;">
                <v:fill on="t" focussize="0,0"/>
                <v:stroke color="#000000" miterlimit="8" joinstyle="miter"/>
                <v:imagedata o:title=""/>
                <o:lock v:ext="edit" aspectratio="f"/>
                <v:textbox inset="0mm,0mm,0mm,0mm">
                  <w:txbxContent>
                    <w:p w14:paraId="3376B6C9">
                      <w:pPr>
                        <w:jc w:val="center"/>
                        <w:rPr>
                          <w:szCs w:val="21"/>
                        </w:rPr>
                      </w:pPr>
                      <w:r>
                        <w:rPr>
                          <w:rFonts w:hint="eastAsia"/>
                          <w:szCs w:val="21"/>
                        </w:rPr>
                        <w:t>操作管理费用</w:t>
                      </w:r>
                    </w:p>
                  </w:txbxContent>
                </v:textbox>
              </v:shape>
            </w:pict>
          </mc:Fallback>
        </mc:AlternateContent>
      </w:r>
    </w:p>
    <w:p w14:paraId="314606D5">
      <w:pPr>
        <w:pStyle w:val="310"/>
      </w:pPr>
      <w:r>
        <mc:AlternateContent>
          <mc:Choice Requires="wps">
            <w:drawing>
              <wp:anchor distT="0" distB="0" distL="114300" distR="114300" simplePos="0" relativeHeight="251711488" behindDoc="0" locked="0" layoutInCell="1" allowOverlap="1">
                <wp:simplePos x="0" y="0"/>
                <wp:positionH relativeFrom="column">
                  <wp:posOffset>344805</wp:posOffset>
                </wp:positionH>
                <wp:positionV relativeFrom="paragraph">
                  <wp:posOffset>93345</wp:posOffset>
                </wp:positionV>
                <wp:extent cx="0" cy="936625"/>
                <wp:effectExtent l="6350" t="0" r="12700" b="15875"/>
                <wp:wrapNone/>
                <wp:docPr id="56" name="直接连接符 41"/>
                <wp:cNvGraphicFramePr/>
                <a:graphic xmlns:a="http://schemas.openxmlformats.org/drawingml/2006/main">
                  <a:graphicData uri="http://schemas.microsoft.com/office/word/2010/wordprocessingShape">
                    <wps:wsp>
                      <wps:cNvCnPr>
                        <a:cxnSpLocks noChangeShapeType="1"/>
                      </wps:cNvCnPr>
                      <wps:spPr bwMode="auto">
                        <a:xfrm flipH="1" flipV="1">
                          <a:off x="0" y="0"/>
                          <a:ext cx="0" cy="936625"/>
                        </a:xfrm>
                        <a:prstGeom prst="line">
                          <a:avLst/>
                        </a:prstGeom>
                        <a:noFill/>
                        <a:ln w="12700">
                          <a:solidFill>
                            <a:srgbClr val="000000"/>
                          </a:solidFill>
                          <a:round/>
                        </a:ln>
                        <a:effectLst/>
                      </wps:spPr>
                      <wps:bodyPr/>
                    </wps:wsp>
                  </a:graphicData>
                </a:graphic>
              </wp:anchor>
            </w:drawing>
          </mc:Choice>
          <mc:Fallback>
            <w:pict>
              <v:line id="直接连接符 41" o:spid="_x0000_s1026" o:spt="20" style="position:absolute;left:0pt;flip:x y;margin-left:27.15pt;margin-top:7.35pt;height:73.75pt;width:0pt;z-index:251711488;mso-width-relative:page;mso-height-relative:page;" filled="f" stroked="t" coordsize="21600,21600" o:gfxdata="UEsDBAoAAAAAAIdO4kAAAAAAAAAAAAAAAAAEAAAAZHJzL1BLAwQUAAAACACHTuJALToOBNYAAAAI&#10;AQAADwAAAGRycy9kb3ducmV2LnhtbE2PQUvDQBCF74L/YRnBm900tlFiNkWFIhEvVhF6m2bHJJid&#10;DdltWv31jl70+M17vHmvWB1dryYaQ+fZwHyWgCKuve24MfD6sr64BhUissXeMxn4pACr8vSkwNz6&#10;Az/TtImNkhAOORpoYxxyrUPdksMw8wOxaO9+dBgFx0bbEQ8S7nqdJkmmHXYsH1oc6L6l+mOzdwa2&#10;mb99fOKHr+ptiOumWm6nO66MOT+bJzegIh3jnxl+6kt1KKXTzu/ZBtUbWC4uxSn3xRUo0X95J5yl&#10;Keiy0P8HlN9QSwMEFAAAAAgAh07iQPx80Fn0AQAAzgMAAA4AAABkcnMvZTJvRG9jLnhtbK1TsXIT&#10;MRDtmeEfNOrJnQ0xcONzCnsCRQDPJNDLOp1Pg6TVaGWf/RP8ADN0pKKk528In8FK5xgSmhRcoVmt&#10;dt/bfbs3PdtZw7YqoAZX89FJyZlyEhrt1jV/f3X+5AVnGIVrhAGnar5XyM9mjx9Ne1+pMXRgGhUY&#10;gTisel/zLkZfFQXKTlmBJ+CVo8cWghWRrmFdNEH0hG5NMS7LSdFDaHwAqRDJuxge+QExPAQQ2lZL&#10;tQC5scrFATUoIyK1hJ32yGe52rZVMr5rW1SRmZpTpzGfREL2Kp3FbCqqdRC+0/JQgnhICfd6skI7&#10;Ij1CLUQUbBP0P1BWywAIbTyRYIuhkawIdTEq72lz2Qmvci8kNfqj6Pj/YOXb7TIw3dT8dMKZE5Ym&#10;fvP5+89PX3/9+ELnzbdr9myUZOo9VhQ9d8uQGpU7d+kvQH5E5mDeCbdWudyrvSeInFHcSUkX9ES2&#10;6t9AQzFiEyFrtmuDZa3R/nVKzNaHZCUaUojt8rj2x3GpXWRycEryvnw6mYxPU4mFqBJWyvMB4ysF&#10;liWj5ka7JKSoxPYC4xB6G5LcDs61MXkZjGM9sY+fl2XOQDC6Sa8pDsN6NTeBbUXap/wdiO+EBdi4&#10;ZmAxLuWpvIoH6lslBk1X0OyXIQUnP40593FYybRHf99z1J/fcPY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YwQAAFtDb250ZW50X1R5cGVzXS54&#10;bWxQSwECFAAKAAAAAACHTuJAAAAAAAAAAAAAAAAABgAAAAAAAAAAABAAAABFAwAAX3JlbHMvUEsB&#10;AhQAFAAAAAgAh07iQIoUZjzRAAAAlAEAAAsAAAAAAAAAAQAgAAAAaQMAAF9yZWxzLy5yZWxzUEsB&#10;AhQACgAAAAAAh07iQAAAAAAAAAAAAAAAAAQAAAAAAAAAAAAQAAAAAAAAAGRycy9QSwECFAAUAAAA&#10;CACHTuJALToOBNYAAAAIAQAADwAAAAAAAAABACAAAAAiAAAAZHJzL2Rvd25yZXYueG1sUEsBAhQA&#10;FAAAAAgAh07iQPx80Fn0AQAAzgMAAA4AAAAAAAAAAQAgAAAAJQEAAGRycy9lMm9Eb2MueG1sUEsF&#10;BgAAAAAGAAYAWQEAAIsFAAAAAA==&#10;">
                <v:fill on="f" focussize="0,0"/>
                <v:stroke weight="1pt" color="#000000" joinstyle="round"/>
                <v:imagedata o:title=""/>
                <o:lock v:ext="edit" aspectratio="f"/>
              </v:line>
            </w:pict>
          </mc:Fallback>
        </mc:AlternateContent>
      </w:r>
      <w:r>
        <mc:AlternateContent>
          <mc:Choice Requires="wps">
            <w:drawing>
              <wp:anchor distT="0" distB="0" distL="114300" distR="114300" simplePos="0" relativeHeight="251710464" behindDoc="0" locked="0" layoutInCell="1" allowOverlap="1">
                <wp:simplePos x="0" y="0"/>
                <wp:positionH relativeFrom="column">
                  <wp:posOffset>344805</wp:posOffset>
                </wp:positionH>
                <wp:positionV relativeFrom="paragraph">
                  <wp:posOffset>93345</wp:posOffset>
                </wp:positionV>
                <wp:extent cx="520065" cy="0"/>
                <wp:effectExtent l="0" t="25400" r="13335" b="31750"/>
                <wp:wrapNone/>
                <wp:docPr id="55" name="直接连接符 40"/>
                <wp:cNvGraphicFramePr/>
                <a:graphic xmlns:a="http://schemas.openxmlformats.org/drawingml/2006/main">
                  <a:graphicData uri="http://schemas.microsoft.com/office/word/2010/wordprocessingShape">
                    <wps:wsp>
                      <wps:cNvCnPr>
                        <a:cxnSpLocks noChangeShapeType="1"/>
                      </wps:cNvCnPr>
                      <wps:spPr bwMode="auto">
                        <a:xfrm>
                          <a:off x="0" y="0"/>
                          <a:ext cx="520065" cy="0"/>
                        </a:xfrm>
                        <a:prstGeom prst="line">
                          <a:avLst/>
                        </a:prstGeom>
                        <a:noFill/>
                        <a:ln w="12700">
                          <a:solidFill>
                            <a:srgbClr val="000000"/>
                          </a:solidFill>
                          <a:round/>
                          <a:tailEnd type="stealth" w="sm" len="med"/>
                        </a:ln>
                        <a:effectLst/>
                      </wps:spPr>
                      <wps:bodyPr/>
                    </wps:wsp>
                  </a:graphicData>
                </a:graphic>
              </wp:anchor>
            </w:drawing>
          </mc:Choice>
          <mc:Fallback>
            <w:pict>
              <v:line id="直接连接符 40" o:spid="_x0000_s1026" o:spt="20" style="position:absolute;left:0pt;margin-left:27.15pt;margin-top:7.35pt;height:0pt;width:40.95pt;z-index:251710464;mso-width-relative:page;mso-height-relative:page;" filled="f" stroked="t" coordsize="21600,21600" o:gfxdata="UEsDBAoAAAAAAIdO4kAAAAAAAAAAAAAAAAAEAAAAZHJzL1BLAwQUAAAACACHTuJAfZu34dYAAAAI&#10;AQAADwAAAGRycy9kb3ducmV2LnhtbE2PzW7CMBCE75V4B2uReqmKw0+hTeMgFETFtSkPYOJtErDX&#10;kW1I2qevUQ/tcWdGs99k68FodkXnW0sCppMEGFJlVUu1gMPH7vEZmA+SlNSWUMAXeljno7tMpsr2&#10;9I7XMtQslpBPpYAmhC7l3FcNGukntkOK3qd1RoZ4uporJ/tYbjSfJcmSG9lS/NDIDosGq3N5MQLc&#10;sAtb9dDr03ZT7N/sd/FycqUQ9+Np8gos4BD+wnDDj+iQR6ajvZDyTAt4WsxjMuqLFbCbP1/OgB1/&#10;BZ5n/P+A/AdQSwMEFAAAAAgAh07iQH6kRTEAAgAA5gMAAA4AAABkcnMvZTJvRG9jLnhtbK1TS44T&#10;MRDdI3EHy3vSSUQAtdKZRcKwGSDSDAeo2O60hX9yOenkElwAiR2sWLKf2zAcg7LzYRg2s6AXVttV&#10;fvXeq/L0YmcN26qI2ruGjwZDzpQTXmq3bviHm8tnrzjDBE6C8U41fK+QX8yePpn2oVZj33kjVWQE&#10;4rDuQ8O7lEJdVSg6ZQEHPihHwdZHC4m2cV3JCD2hW1ONh8MXVe+jDNELhUini0OQHxHjYwB922qh&#10;Fl5srHLpgBqVgUSSsNMB+aywbVsl0vu2RZWYaTgpTWWlIvS/yms1m0K9jhA6LY4U4DEUHmiyoB0V&#10;PUMtIAHbRP0PlNUievRtGghvq4OQ4gipGA0feHPdQVBFC1mN4Ww6/j9Y8W67jEzLhk8mnDmw1PG7&#10;zz9+fvr66/YLrXffv7HnxaY+YE3Zc7eMWajYuetw5cVHZM7PO3BrVeje7ANBjLKx1V9X8gYDFVv1&#10;b72kHNgkXzzbtdFmSHKD7Upr9ufWqF1igg4neXSIoTiFKqhP90LE9EZ5y/JPw4122TSoYXuFKfOA&#10;+pSSj52/1MaUxhvHeiI7fjkclhvojZY5mvMwrldzE9kW8uyUr6iiyP206DdOFrQE2rx2kqViASYF&#10;JnU8V0DLmVH03KySRwzjcg1VRvRI8+RQHl6sV17ul/FkI7W/CDmOap6v+/ti9p/nOfsN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fZu34dYAAAAIAQAADwAAAAAAAAABACAAAAAiAAAAZHJzL2Rvd25y&#10;ZXYueG1sUEsBAhQAFAAAAAgAh07iQH6kRTEAAgAA5gMAAA4AAAAAAAAAAQAgAAAAJQEAAGRycy9l&#10;Mm9Eb2MueG1sUEsFBgAAAAAGAAYAWQEAAJcFAAAAAA==&#10;">
                <v:fill on="f" focussize="0,0"/>
                <v:stroke weight="1pt" color="#000000" joinstyle="round" endarrow="classic" endarrowwidth="narrow"/>
                <v:imagedata o:title=""/>
                <o:lock v:ext="edit" aspectratio="f"/>
              </v:line>
            </w:pict>
          </mc:Fallback>
        </mc:AlternateContent>
      </w:r>
      <w:r>
        <mc:AlternateContent>
          <mc:Choice Requires="wps">
            <w:drawing>
              <wp:anchor distT="0" distB="0" distL="114300" distR="114300" simplePos="0" relativeHeight="251702272" behindDoc="0" locked="0" layoutInCell="1" allowOverlap="1">
                <wp:simplePos x="0" y="0"/>
                <wp:positionH relativeFrom="column">
                  <wp:posOffset>1064895</wp:posOffset>
                </wp:positionH>
                <wp:positionV relativeFrom="paragraph">
                  <wp:posOffset>204470</wp:posOffset>
                </wp:positionV>
                <wp:extent cx="0" cy="333375"/>
                <wp:effectExtent l="6350" t="0" r="12700" b="9525"/>
                <wp:wrapNone/>
                <wp:docPr id="39" name="直接连接符 39"/>
                <wp:cNvGraphicFramePr/>
                <a:graphic xmlns:a="http://schemas.openxmlformats.org/drawingml/2006/main">
                  <a:graphicData uri="http://schemas.microsoft.com/office/word/2010/wordprocessingShape">
                    <wps:wsp>
                      <wps:cNvCnPr>
                        <a:cxnSpLocks noChangeShapeType="1"/>
                      </wps:cNvCnPr>
                      <wps:spPr bwMode="auto">
                        <a:xfrm>
                          <a:off x="0" y="0"/>
                          <a:ext cx="0" cy="333375"/>
                        </a:xfrm>
                        <a:prstGeom prst="line">
                          <a:avLst/>
                        </a:prstGeom>
                        <a:noFill/>
                        <a:ln w="12700">
                          <a:solidFill>
                            <a:srgbClr val="000000"/>
                          </a:solidFill>
                          <a:round/>
                        </a:ln>
                        <a:effectLst/>
                      </wps:spPr>
                      <wps:bodyPr/>
                    </wps:wsp>
                  </a:graphicData>
                </a:graphic>
              </wp:anchor>
            </w:drawing>
          </mc:Choice>
          <mc:Fallback>
            <w:pict>
              <v:line id="_x0000_s1026" o:spid="_x0000_s1026" o:spt="20" style="position:absolute;left:0pt;margin-left:83.85pt;margin-top:16.1pt;height:26.25pt;width:0pt;z-index:251702272;mso-width-relative:page;mso-height-relative:page;" filled="f" stroked="t" coordsize="21600,21600" o:gfxdata="UEsDBAoAAAAAAIdO4kAAAAAAAAAAAAAAAAAEAAAAZHJzL1BLAwQUAAAACACHTuJARLPZndcAAAAJ&#10;AQAADwAAAGRycy9kb3ducmV2LnhtbE2PTU/DMAyG70j7D5EncWPpClqr0nSHoWkCcdmGxNVrTFPW&#10;OF2TffDvybiM42s/ev24nF9sJ040+NaxgukkAUFcO91yo+Bju3zIQfiArLFzTAp+yMO8Gt2VWGh3&#10;5jWdNqERsYR9gQpMCH0hpa8NWfQT1xPH3ZcbLIYYh0bqAc+x3HYyTZKZtNhyvGCwp4Wher85WgX4&#10;slqHzzx9y9pX8/69XR5WJj8odT+eJs8gAl3CDYarflSHKjrt3JG1F13MsyyLqILHNAVxBf4GOwX5&#10;UwayKuX/D6pfUEsDBBQAAAAIAIdO4kC4KnFn5wEAALoDAAAOAAAAZHJzL2Uyb0RvYy54bWytU0uO&#10;EzEQ3SNxB8t70p2MYKCVziwSDZsBIs1wgIrbnbawXZbtpJNLcAEkdrBiyZ7bMByDsjvJfNjMAi+s&#10;dn1e1XtVPb3YGc220geFtubjUcmZtAIbZdc1/3hz+eI1ZyGCbUCjlTXfy8AvZs+fTXtXyQl2qBvp&#10;GYHYUPWu5l2MriqKIDppIIzQSUvOFr2BSE+/LhoPPaEbXUzK8lXRo2+cRyFDIOticPIDon8KILat&#10;EnKBYmOkjQOqlxoiUQqdcoHPcrdtK0X80LZBRqZrTkxjvqkIfa/SXcymUK09uE6JQwvwlBYecTKg&#10;LBU9QS0gAtt49Q+UUcJjwDaOBJpiIJIVIRbj8pE21x04mbmQ1MGdRA//D1a83y49U03Nz95wZsHQ&#10;xG+//Pz9+dufX1/pvv3xnZGHZOpdqCh6bpc+ERU7e+2uUHwKzOK8A7uWud2bvSOIccooHqSkR3BU&#10;bNW/w4ZiYBMxa7ZrvUmQpAbb5dHsT6ORu8jEYBRkPaNz/jKDQ3XMcz7EtxINSx8118om0aCC7VWI&#10;qQ+ojiHJbPFSaZ0Hry3rqdnJeVnmjIBaNcmb4oJfr+basy2k3cnnUPhBmMeNbYYq2qY8mdfuUPrI&#10;etBvhc1+6Y/S0Ehzc4f1Sztz/50FvPvlZn8B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RLPZndcA&#10;AAAJAQAADwAAAAAAAAABACAAAAAiAAAAZHJzL2Rvd25yZXYueG1sUEsBAhQAFAAAAAgAh07iQLgq&#10;cWfnAQAAugMAAA4AAAAAAAAAAQAgAAAAJgEAAGRycy9lMm9Eb2MueG1sUEsFBgAAAAAGAAYAWQEA&#10;AH8FAAAAAA==&#10;">
                <v:fill on="f" focussize="0,0"/>
                <v:stroke weight="1pt" color="#000000" joinstyle="round"/>
                <v:imagedata o:title=""/>
                <o:lock v:ext="edit" aspectratio="f"/>
              </v:line>
            </w:pict>
          </mc:Fallback>
        </mc:AlternateContent>
      </w:r>
      <w:r>
        <mc:AlternateContent>
          <mc:Choice Requires="wps">
            <w:drawing>
              <wp:anchor distT="0" distB="0" distL="114300" distR="114300" simplePos="0" relativeHeight="251666432" behindDoc="0" locked="0" layoutInCell="1" allowOverlap="1">
                <wp:simplePos x="0" y="0"/>
                <wp:positionH relativeFrom="column">
                  <wp:posOffset>3318510</wp:posOffset>
                </wp:positionH>
                <wp:positionV relativeFrom="paragraph">
                  <wp:posOffset>190500</wp:posOffset>
                </wp:positionV>
                <wp:extent cx="1813560" cy="252095"/>
                <wp:effectExtent l="5080" t="5080" r="10160" b="9525"/>
                <wp:wrapNone/>
                <wp:docPr id="38" name="文本框 38"/>
                <wp:cNvGraphicFramePr/>
                <a:graphic xmlns:a="http://schemas.openxmlformats.org/drawingml/2006/main">
                  <a:graphicData uri="http://schemas.microsoft.com/office/word/2010/wordprocessingShape">
                    <wps:wsp>
                      <wps:cNvSpPr txBox="1">
                        <a:spLocks noChangeArrowheads="1"/>
                      </wps:cNvSpPr>
                      <wps:spPr bwMode="auto">
                        <a:xfrm>
                          <a:off x="0" y="0"/>
                          <a:ext cx="1813560" cy="252095"/>
                        </a:xfrm>
                        <a:prstGeom prst="rect">
                          <a:avLst/>
                        </a:prstGeom>
                        <a:solidFill>
                          <a:srgbClr val="FFFFFF"/>
                        </a:solidFill>
                        <a:ln w="9525">
                          <a:solidFill>
                            <a:srgbClr val="000000"/>
                          </a:solidFill>
                          <a:miter lim="800000"/>
                        </a:ln>
                        <a:effectLst/>
                      </wps:spPr>
                      <wps:txbx>
                        <w:txbxContent>
                          <w:p w14:paraId="267736A5">
                            <w:pPr>
                              <w:jc w:val="center"/>
                              <w:rPr>
                                <w:szCs w:val="21"/>
                              </w:rPr>
                            </w:pPr>
                            <w:r>
                              <w:rPr>
                                <w:rFonts w:hint="eastAsia"/>
                                <w:szCs w:val="21"/>
                              </w:rPr>
                              <w:t>不采取措施时损失</w:t>
                            </w:r>
                          </w:p>
                        </w:txbxContent>
                      </wps:txbx>
                      <wps:bodyPr rot="0" vert="horz" wrap="square" lIns="0" tIns="0" rIns="0" bIns="0" anchor="t" anchorCtr="0" upright="1">
                        <a:noAutofit/>
                      </wps:bodyPr>
                    </wps:wsp>
                  </a:graphicData>
                </a:graphic>
              </wp:anchor>
            </w:drawing>
          </mc:Choice>
          <mc:Fallback>
            <w:pict>
              <v:shape id="_x0000_s1026" o:spid="_x0000_s1026" o:spt="202" type="#_x0000_t202" style="position:absolute;left:0pt;margin-left:261.3pt;margin-top:15pt;height:19.85pt;width:142.8pt;z-index:251666432;mso-width-relative:page;mso-height-relative:page;" fillcolor="#FFFFFF" filled="t" stroked="t" coordsize="21600,21600" o:gfxdata="UEsDBAoAAAAAAIdO4kAAAAAAAAAAAAAAAAAEAAAAZHJzL1BLAwQUAAAACACHTuJAy6QZutgAAAAJ&#10;AQAADwAAAGRycy9kb3ducmV2LnhtbE2Py07DMBBF90j8gzVI7KhdI0KaZlJRJCQQmz4Qazd2HiW2&#10;I9tNy98zrGA5mqN7zy1XFzuwyYTYe4cwnwlgxtVe965F+Ni/3OXAYlJOq8E7g/BtIqyq66tSFdqf&#10;3dZMu9QyCnGxUAhdSmPBeaw7Y1Wc+dE4+jU+WJXoDC3XQZ0p3A5cCpFxq3pHDZ0azXNn6q/dySLs&#10;p3V83R7TQr81ay7fm438DE+ItzdzsQSWzCX9wfCrT+pQkdPBn5yObEB4kDIjFOFe0CYCcpFLYAeE&#10;bPEIvCr5/wXVD1BLAwQUAAAACACHTuJAYzgqpT4CAACHBAAADgAAAGRycy9lMm9Eb2MueG1srVTN&#10;bhMxEL4j8Q6W73STVKnaVTdVSVWEVH6kwgM4Xm/WwvaYsZPd8gDwBpy4cOe58hyMvZsSCkg9sAdr&#10;bI+/mfm+mT2/6K1hW4VBg6v49GjCmXISau3WFX//7vrZKWchClcLA05V/E4FfrF4+uS886WaQQum&#10;VsgIxIWy8xVvY/RlUQTZKivCEXjl6LIBtCLSFtdFjaIjdGuK2WRyUnSAtUeQKgQ6vRou+YiIjwGE&#10;ptFSXYHcWOXigIrKiEglhVb7wBc526ZRMr5pmqAiMxWnSmNeKQjZq7QWi3NRrlH4VssxBfGYFB7U&#10;ZIV2FPQe6kpEwTao/4CyWiIEaOKRBFsMhWRGqIrp5AE3t63wKtdCVAd/T3r4f7Dy9fYtMl1X/Jh0&#10;d8KS4ruvX3bffuy+f2Z0RgR1PpTkd+vJM/bPoae2ycUGfwPyQ2AOlq1wa3WJCF2rRE0JTtPL4uDp&#10;gBMSyKp7BTUFEpsIGahv0Cb2iA9G6CTO3b04qo9MppCn0+P5CV1JupvNZ5OzeQ4hyv1rjyG+UGBZ&#10;MiqOJH5GF9ubEFM2oty7pGABjK6vtTF5g+vV0iDbCmqU6/yN6L+5Gce6ip/NZ/OBgH9CTPL3Nwir&#10;I82P0bbip4dOxqU8VO7ZMd/EXiJsoC72q35UYwX1HfGIMPQzTTMZLeAnzjrq5YqHjxuBijPz0pEW&#10;qfH3Bu6N1d4QTtLTikfOBnMZhwHZeNTrlpAHtR1ckl6NzlSm1IYsRpWpPzPD4yylATjcZ69f/4/F&#10;T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K8E&#10;AABbQ29udGVudF9UeXBlc10ueG1sUEsBAhQACgAAAAAAh07iQAAAAAAAAAAAAAAAAAYAAAAAAAAA&#10;AAAQAAAAkQMAAF9yZWxzL1BLAQIUABQAAAAIAIdO4kCKFGY80QAAAJQBAAALAAAAAAAAAAEAIAAA&#10;ALUDAABfcmVscy8ucmVsc1BLAQIUAAoAAAAAAIdO4kAAAAAAAAAAAAAAAAAEAAAAAAAAAAAAEAAA&#10;AAAAAABkcnMvUEsBAhQAFAAAAAgAh07iQMukGbrYAAAACQEAAA8AAAAAAAAAAQAgAAAAIgAAAGRy&#10;cy9kb3ducmV2LnhtbFBLAQIUABQAAAAIAIdO4kBjOCqlPgIAAIcEAAAOAAAAAAAAAAEAIAAAACcB&#10;AABkcnMvZTJvRG9jLnhtbFBLBQYAAAAABgAGAFkBAADXBQAAAAA=&#10;">
                <v:fill on="t" focussize="0,0"/>
                <v:stroke color="#000000" miterlimit="8" joinstyle="miter"/>
                <v:imagedata o:title=""/>
                <o:lock v:ext="edit" aspectratio="f"/>
                <v:textbox inset="0mm,0mm,0mm,0mm">
                  <w:txbxContent>
                    <w:p w14:paraId="267736A5">
                      <w:pPr>
                        <w:jc w:val="center"/>
                        <w:rPr>
                          <w:szCs w:val="21"/>
                        </w:rPr>
                      </w:pPr>
                      <w:r>
                        <w:rPr>
                          <w:rFonts w:hint="eastAsia"/>
                          <w:szCs w:val="21"/>
                        </w:rPr>
                        <w:t>不采取措施时损失</w:t>
                      </w:r>
                    </w:p>
                  </w:txbxContent>
                </v:textbox>
              </v:shape>
            </w:pict>
          </mc:Fallback>
        </mc:AlternateContent>
      </w:r>
    </w:p>
    <w:p w14:paraId="7756185E">
      <w:pPr>
        <w:pStyle w:val="310"/>
      </w:pPr>
      <w:r>
        <mc:AlternateContent>
          <mc:Choice Requires="wps">
            <w:drawing>
              <wp:anchor distT="0" distB="0" distL="114300" distR="114300" simplePos="0" relativeHeight="251703296" behindDoc="0" locked="0" layoutInCell="1" allowOverlap="1">
                <wp:simplePos x="0" y="0"/>
                <wp:positionH relativeFrom="column">
                  <wp:posOffset>1064895</wp:posOffset>
                </wp:positionH>
                <wp:positionV relativeFrom="paragraph">
                  <wp:posOffset>207645</wp:posOffset>
                </wp:positionV>
                <wp:extent cx="533400" cy="0"/>
                <wp:effectExtent l="0" t="25400" r="0" b="31750"/>
                <wp:wrapNone/>
                <wp:docPr id="37" name="直接连接符 37"/>
                <wp:cNvGraphicFramePr/>
                <a:graphic xmlns:a="http://schemas.openxmlformats.org/drawingml/2006/main">
                  <a:graphicData uri="http://schemas.microsoft.com/office/word/2010/wordprocessingShape">
                    <wps:wsp>
                      <wps:cNvCnPr>
                        <a:cxnSpLocks noChangeShapeType="1"/>
                      </wps:cNvCnPr>
                      <wps:spPr bwMode="auto">
                        <a:xfrm>
                          <a:off x="0" y="0"/>
                          <a:ext cx="533400" cy="0"/>
                        </a:xfrm>
                        <a:prstGeom prst="line">
                          <a:avLst/>
                        </a:prstGeom>
                        <a:noFill/>
                        <a:ln w="12700">
                          <a:solidFill>
                            <a:srgbClr val="000000"/>
                          </a:solidFill>
                          <a:round/>
                          <a:tailEnd type="stealth" w="sm" len="med"/>
                        </a:ln>
                        <a:effectLst/>
                      </wps:spPr>
                      <wps:bodyPr/>
                    </wps:wsp>
                  </a:graphicData>
                </a:graphic>
              </wp:anchor>
            </w:drawing>
          </mc:Choice>
          <mc:Fallback>
            <w:pict>
              <v:line id="_x0000_s1026" o:spid="_x0000_s1026" o:spt="20" style="position:absolute;left:0pt;margin-left:83.85pt;margin-top:16.35pt;height:0pt;width:42pt;z-index:251703296;mso-width-relative:page;mso-height-relative:page;" filled="f" stroked="t" coordsize="21600,21600" o:gfxdata="UEsDBAoAAAAAAIdO4kAAAAAAAAAAAAAAAAAEAAAAZHJzL1BLAwQUAAAACACHTuJA7dp77dYAAAAJ&#10;AQAADwAAAGRycy9kb3ducmV2LnhtbE2PwU7DMAyG70i8Q2QkLoilLWKD0nRCnYa4UniArDFtR+NU&#10;SbaWPf2MOMDJ/u1fvz8X69kO4og+9I4UpIsEBFLjTE+tgo/37e0DiBA1GT04QgXfGGBdXl4UOjdu&#10;ojc81rEVHEIh1wq6GMdcytB0aHVYuBGJd5/OWx1Z+lYarycOt4PMkmQpre6JL3R6xKrD5qs+WAV+&#10;3saNuZmG/ea5en1xp+px72ulrq/S5AlExDn+meEHn9GhZKadO5AJYmC9XK3YquAu48qG7D7lZvc7&#10;kGUh/39QngFQSwMEFAAAAAgAh07iQIK4e6f+AQAA5gMAAA4AAABkcnMvZTJvRG9jLnhtbK1TS44T&#10;MRDdI3EHy3vS+QCDWunMImHYDDDSDAeo2O60he2ybCedXIILILGDFUv23IbhGJSdDxA2s8ALy+Uq&#10;v6r3qjy93FrDNipEja7ho8GQM+UESu1WDX93d/XkBWcxgZNg0KmG71Tkl7PHj6a9r9UYOzRSBUYg&#10;Lta9b3iXkq+rKopOWYgD9MqRs8VgIZEZVpUM0BO6NdV4OHxe9RikDyhUjHS72Dv5ATE8BBDbVgu1&#10;QLG2yqU9alAGElGKnfaRz0q1batEetu2USVmGk5MU9kpCZ2Xea9mU6hXAXynxaEEeEgJZ5wsaEdJ&#10;T1ALSMDWQf8DZbUIGLFNA4G22hMpihCL0fBMm9sOvCpcSOroT6LH/wcr3mxuAtOy4ZMLzhxY6vj9&#10;x28/Pnz++f0T7fdfvzDykEy9jzVFz91NyETF1t36axTvI3M478CtVCn3bucJYpRfVH89yUb0lGzZ&#10;v0ZJMbBOWDTbtsFmSFKDbUtrdqfWqG1igi6fTSZPh9Q0cXRVUB/f+RDTK4WW5UPDjXZZNKhhcx1T&#10;rgPqY0i+dniljSmNN471VOz4gqCzK6LRMnuLEVbLuQlsA3l2yiqszsICrp0saAm0eekkS0WCmBSY&#10;1PGcIVrOjKLvZpU8YBiXc6gyoocyjwrttV6i3N2Eo4zU/kLkMKp5vv60i9i/v+fsF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G0EAABbQ29udGVu&#10;dF9UeXBlc10ueG1sUEsBAhQACgAAAAAAh07iQAAAAAAAAAAAAAAAAAYAAAAAAAAAAAAQAAAATwMA&#10;AF9yZWxzL1BLAQIUABQAAAAIAIdO4kCKFGY80QAAAJQBAAALAAAAAAAAAAEAIAAAAHMDAABfcmVs&#10;cy8ucmVsc1BLAQIUAAoAAAAAAIdO4kAAAAAAAAAAAAAAAAAEAAAAAAAAAAAAEAAAAAAAAABkcnMv&#10;UEsBAhQAFAAAAAgAh07iQO3ae+3WAAAACQEAAA8AAAAAAAAAAQAgAAAAIgAAAGRycy9kb3ducmV2&#10;LnhtbFBLAQIUABQAAAAIAIdO4kCCuHun/gEAAOYDAAAOAAAAAAAAAAEAIAAAACUBAABkcnMvZTJv&#10;RG9jLnhtbFBLBQYAAAAABgAGAFkBAACVBQAAAAA=&#10;">
                <v:fill on="f" focussize="0,0"/>
                <v:stroke weight="1pt" color="#000000" joinstyle="round" endarrow="classic" endarrowwidth="narrow"/>
                <v:imagedata o:title=""/>
                <o:lock v:ext="edit" aspectratio="f"/>
              </v:line>
            </w:pict>
          </mc:Fallback>
        </mc:AlternateContent>
      </w:r>
      <w:r>
        <mc:AlternateContent>
          <mc:Choice Requires="wps">
            <w:drawing>
              <wp:anchor distT="0" distB="0" distL="114300" distR="114300" simplePos="0" relativeHeight="251688960" behindDoc="0" locked="0" layoutInCell="1" allowOverlap="1">
                <wp:simplePos x="0" y="0"/>
                <wp:positionH relativeFrom="column">
                  <wp:posOffset>2931795</wp:posOffset>
                </wp:positionH>
                <wp:positionV relativeFrom="paragraph">
                  <wp:posOffset>1270</wp:posOffset>
                </wp:positionV>
                <wp:extent cx="0" cy="444500"/>
                <wp:effectExtent l="6350" t="0" r="12700" b="12700"/>
                <wp:wrapNone/>
                <wp:docPr id="36" name="直接连接符 36"/>
                <wp:cNvGraphicFramePr/>
                <a:graphic xmlns:a="http://schemas.openxmlformats.org/drawingml/2006/main">
                  <a:graphicData uri="http://schemas.microsoft.com/office/word/2010/wordprocessingShape">
                    <wps:wsp>
                      <wps:cNvCnPr>
                        <a:cxnSpLocks noChangeShapeType="1"/>
                      </wps:cNvCnPr>
                      <wps:spPr bwMode="auto">
                        <a:xfrm>
                          <a:off x="0" y="0"/>
                          <a:ext cx="0" cy="444500"/>
                        </a:xfrm>
                        <a:prstGeom prst="line">
                          <a:avLst/>
                        </a:prstGeom>
                        <a:noFill/>
                        <a:ln w="12700">
                          <a:solidFill>
                            <a:srgbClr val="000000"/>
                          </a:solidFill>
                          <a:round/>
                        </a:ln>
                        <a:effectLst/>
                      </wps:spPr>
                      <wps:bodyPr/>
                    </wps:wsp>
                  </a:graphicData>
                </a:graphic>
              </wp:anchor>
            </w:drawing>
          </mc:Choice>
          <mc:Fallback>
            <w:pict>
              <v:line id="_x0000_s1026" o:spid="_x0000_s1026" o:spt="20" style="position:absolute;left:0pt;margin-left:230.85pt;margin-top:0.1pt;height:35pt;width:0pt;z-index:251688960;mso-width-relative:page;mso-height-relative:page;" filled="f" stroked="t" coordsize="21600,21600" o:gfxdata="UEsDBAoAAAAAAIdO4kAAAAAAAAAAAAAAAAAEAAAAZHJzL1BLAwQUAAAACACHTuJAEldlU9QAAAAH&#10;AQAADwAAAGRycy9kb3ducmV2LnhtbE2OTU/DMBBE70j8B2uRuFE7EWqikE0PoKoCcWmLxNWNlzgQ&#10;r9PY/eDfY8SBHkczevPqxdkN4khT6D0jZDMFgrj1pucO4W27vCtBhKjZ6MEzIXxTgEVzfVXryvgT&#10;r+m4iZ1IEA6VRrAxjpWUobXkdJj5kTh1H35yOqY4ddJM+pTgbpC5UnPpdM/pweqRHi21X5uDQ9BP&#10;q3V8L/OXon+2r5/b5X5lyz3i7U2mHkBEOsf/MfzqJ3VoktPOH9gEMSDcz7MiTRFyEKn+izuEQuUg&#10;m1pe+jc/UEsDBBQAAAAIAIdO4kCkgSpe5wEAALoDAAAOAAAAZHJzL2Uyb0RvYy54bWytU72OEzEQ&#10;7pF4B8s92SSEA62yuSLR0RwQ6Y4HmHi9WQvbY9lONnkJXgCJDipK+nsbjse4sTfJQWiuYAvL8/fN&#10;fN94p5c7o9lW+qDQVnw0GHImrcBa2XXFP95evXjDWYhga9BoZcX3MvDL2fNn086Vcowt6lp6RiA2&#10;lJ2reBujK4siiFYaCAN00lKwQW8gkunXRe2hI3Sji/FweFF06GvnUcgQyLvog/yA6J8CiE2jhFyg&#10;2BhpY4/qpYZIlEKrXOCzPG3TSBE/NE2QkemKE9OYT2pC91U6i9kUyrUH1ypxGAGeMsIZJwPKUtMT&#10;1AIisI1X/0AZJTwGbOJAoCl6IlkRYjEanmlz04KTmQtJHdxJ9PD/YMX77dIzVVf85QVnFgxt/P7L&#10;z1+fv/2++0rn/Y/vjCIkU+dCSdlzu/SJqNjZG3eN4lNgFuct2LXM497uHUGMUkXxV0kygqNmq+4d&#10;1pQDm4hZs13jTYIkNdgur2Z/Wo3cRSZ6pyDvZDJ5NcxbK6A81jkf4luJhqVLxbWySTQoYXsdYpoD&#10;ymNKclu8UlrnxWvLOhp2/JowUyigVnWKZsOvV3Pt2RbS28lfZnWW5nFj676LtqlO5md3aH1k3eu3&#10;wnq/9EdpaKV5uMPzS2/mTzsL+PjLzR4A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VAQAAFtDb250ZW50X1R5cGVzXS54bWxQSwECFAAKAAAAAACH&#10;TuJAAAAAAAAAAAAAAAAABgAAAAAAAAAAABAAAAA2AwAAX3JlbHMvUEsBAhQAFAAAAAgAh07iQIoU&#10;ZjzRAAAAlAEAAAsAAAAAAAAAAQAgAAAAWgMAAF9yZWxzLy5yZWxzUEsBAhQACgAAAAAAh07iQAAA&#10;AAAAAAAAAAAAAAQAAAAAAAAAAAAQAAAAAAAAAGRycy9QSwECFAAUAAAACACHTuJAEldlU9QAAAAH&#10;AQAADwAAAAAAAAABACAAAAAiAAAAZHJzL2Rvd25yZXYueG1sUEsBAhQAFAAAAAgAh07iQKSBKl7n&#10;AQAAugMAAA4AAAAAAAAAAQAgAAAAIwEAAGRycy9lMm9Eb2MueG1sUEsFBgAAAAAGAAYAWQEAAHwF&#10;AAAAAA==&#10;">
                <v:fill on="f" focussize="0,0"/>
                <v:stroke weight="1pt" color="#000000" joinstyle="round"/>
                <v:imagedata o:title=""/>
                <o:lock v:ext="edit" aspectratio="f"/>
              </v:line>
            </w:pict>
          </mc:Fallback>
        </mc:AlternateContent>
      </w:r>
      <w:r>
        <mc:AlternateContent>
          <mc:Choice Requires="wps">
            <w:drawing>
              <wp:anchor distT="0" distB="0" distL="114300" distR="114300" simplePos="0" relativeHeight="251686912" behindDoc="0" locked="0" layoutInCell="1" allowOverlap="1">
                <wp:simplePos x="0" y="0"/>
                <wp:positionH relativeFrom="column">
                  <wp:posOffset>2931795</wp:posOffset>
                </wp:positionH>
                <wp:positionV relativeFrom="paragraph">
                  <wp:posOffset>1270</wp:posOffset>
                </wp:positionV>
                <wp:extent cx="400050" cy="0"/>
                <wp:effectExtent l="0" t="25400" r="0" b="31750"/>
                <wp:wrapNone/>
                <wp:docPr id="35" name="直接连接符 35"/>
                <wp:cNvGraphicFramePr/>
                <a:graphic xmlns:a="http://schemas.openxmlformats.org/drawingml/2006/main">
                  <a:graphicData uri="http://schemas.microsoft.com/office/word/2010/wordprocessingShape">
                    <wps:wsp>
                      <wps:cNvCnPr>
                        <a:cxnSpLocks noChangeShapeType="1"/>
                      </wps:cNvCnPr>
                      <wps:spPr bwMode="auto">
                        <a:xfrm>
                          <a:off x="0" y="0"/>
                          <a:ext cx="400050" cy="0"/>
                        </a:xfrm>
                        <a:prstGeom prst="line">
                          <a:avLst/>
                        </a:prstGeom>
                        <a:noFill/>
                        <a:ln w="12700">
                          <a:solidFill>
                            <a:srgbClr val="000000"/>
                          </a:solidFill>
                          <a:round/>
                          <a:tailEnd type="stealth" w="sm" len="med"/>
                        </a:ln>
                        <a:effectLst/>
                      </wps:spPr>
                      <wps:bodyPr/>
                    </wps:wsp>
                  </a:graphicData>
                </a:graphic>
              </wp:anchor>
            </w:drawing>
          </mc:Choice>
          <mc:Fallback>
            <w:pict>
              <v:line id="_x0000_s1026" o:spid="_x0000_s1026" o:spt="20" style="position:absolute;left:0pt;margin-left:230.85pt;margin-top:0.1pt;height:0pt;width:31.5pt;z-index:251686912;mso-width-relative:page;mso-height-relative:page;" filled="f" stroked="t" coordsize="21600,21600" o:gfxdata="UEsDBAoAAAAAAIdO4kAAAAAAAAAAAAAAAAAEAAAAZHJzL1BLAwQUAAAACACHTuJAdOq+5tIAAAAF&#10;AQAADwAAAGRycy9kb3ducmV2LnhtbE2OwU7DMBBE70j8g7VIXFDrJCothDgVSlXElcAHuPGSpMTr&#10;yHabwNezPcHxaUYzr9jOdhBn9KF3pCBdJiCQGmd6ahV8vO8XDyBC1GT04AgVfGOAbXl9VejcuIne&#10;8FzHVvAIhVwr6GIccylD06HVYelGJM4+nbc6MvpWGq8nHreDzJJkLa3uiR86PWLVYfNVn6wCP+/j&#10;ztxNw3H3XL2+uJ/q8ehrpW5v0uQJRMQ5/pXhos/qULLTwZ3IBDEoWK3TDVcVZCA4vs9WjIcLyrKQ&#10;/+3LX1BLAwQUAAAACACHTuJAU6Q8bQACAADmAwAADgAAAGRycy9lMm9Eb2MueG1srVNLjhMxEN0j&#10;cQfLe9KdwABqpTOLhGEzwEgzHKBiu9MW/snlpJNLcAEkdrBiyZ7bMByDsvNhGDazwAvLdlW9qveq&#10;PD3fWsM2KqL2ruXjUc2ZcsJL7VYtf39z8eQlZ5jASTDeqZbvFPLz2eNH0yE0auJ7b6SKjEAcNkNo&#10;eZ9SaKoKRa8s4MgH5cjY+Wgh0TWuKhlhIHRrqkldP68GH2WIXihEel3sjfyAGB8C6LtOC7XwYm2V&#10;S3vUqAwkooS9DshnpdquUyK96zpUiZmWE9NUdkpC52Xeq9kUmlWE0GtxKAEeUsI9Tha0o6QnqAUk&#10;YOuo/4GyWkSPvksj4W21J1IUIRbj+p421z0EVbiQ1BhOouP/gxVvN1eRadnyp2ecObDU8dtP339+&#10;/PLrx2fab799ZWQhmYaADXnP3VXMRMXWXYdLLz4gc37eg1upUu7NLhDEOEdUf4XkCwZKthzeeEk+&#10;sE6+aLbtos2QpAbbltbsTq1R28QEPT6r6/qMmiaOpgqaY1yImF4rb1k+tNxol0WDBjaXmHId0Bxd&#10;8rPzF9qY0njj2EDFTl7UdYlAb7TM1uyHcbWcm8g2kGenrMKKLHfdol87WdASaPPKSZaKBJgUmNTz&#10;nAEtZ0bRd7NKHjCMyzlUGdFDmUeF9lovvdxdxaOM1P5C5DCqeb7u3ovYf77n7Dd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BrBAAAW0NvbnRlbnRf&#10;VHlwZXNdLnhtbFBLAQIUAAoAAAAAAIdO4kAAAAAAAAAAAAAAAAAGAAAAAAAAAAAAEAAAAE0DAABf&#10;cmVscy9QSwECFAAUAAAACACHTuJAihRmPNEAAACUAQAACwAAAAAAAAABACAAAABxAwAAX3JlbHMv&#10;LnJlbHNQSwECFAAKAAAAAACHTuJAAAAAAAAAAAAAAAAABAAAAAAAAAAAABAAAAAAAAAAZHJzL1BL&#10;AQIUABQAAAAIAIdO4kB06r7m0gAAAAUBAAAPAAAAAAAAAAEAIAAAACIAAABkcnMvZG93bnJldi54&#10;bWxQSwECFAAUAAAACACHTuJAU6Q8bQACAADmAwAADgAAAAAAAAABACAAAAAhAQAAZHJzL2Uyb0Rv&#10;Yy54bWxQSwUGAAAAAAYABgBZAQAAkwUAAAAA&#10;">
                <v:fill on="f" focussize="0,0"/>
                <v:stroke weight="1pt" color="#000000" joinstyle="round" endarrow="classic" endarrowwidth="narrow"/>
                <v:imagedata o:title=""/>
                <o:lock v:ext="edit" aspectratio="f"/>
              </v:line>
            </w:pict>
          </mc:Fallback>
        </mc:AlternateContent>
      </w:r>
      <w:r>
        <mc:AlternateContent>
          <mc:Choice Requires="wps">
            <w:drawing>
              <wp:anchor distT="0" distB="0" distL="114300" distR="114300" simplePos="0" relativeHeight="251685888" behindDoc="0" locked="0" layoutInCell="1" allowOverlap="1">
                <wp:simplePos x="0" y="0"/>
                <wp:positionH relativeFrom="column">
                  <wp:posOffset>2611755</wp:posOffset>
                </wp:positionH>
                <wp:positionV relativeFrom="paragraph">
                  <wp:posOffset>207645</wp:posOffset>
                </wp:positionV>
                <wp:extent cx="320040" cy="0"/>
                <wp:effectExtent l="0" t="25400" r="3810" b="31750"/>
                <wp:wrapNone/>
                <wp:docPr id="34" name="直接连接符 34"/>
                <wp:cNvGraphicFramePr/>
                <a:graphic xmlns:a="http://schemas.openxmlformats.org/drawingml/2006/main">
                  <a:graphicData uri="http://schemas.microsoft.com/office/word/2010/wordprocessingShape">
                    <wps:wsp>
                      <wps:cNvCnPr>
                        <a:cxnSpLocks noChangeShapeType="1"/>
                      </wps:cNvCnPr>
                      <wps:spPr bwMode="auto">
                        <a:xfrm>
                          <a:off x="0" y="0"/>
                          <a:ext cx="320040" cy="0"/>
                        </a:xfrm>
                        <a:prstGeom prst="line">
                          <a:avLst/>
                        </a:prstGeom>
                        <a:noFill/>
                        <a:ln w="12700">
                          <a:solidFill>
                            <a:srgbClr val="000000"/>
                          </a:solidFill>
                          <a:round/>
                          <a:tailEnd type="stealth" w="sm" len="med"/>
                        </a:ln>
                        <a:effectLst/>
                      </wps:spPr>
                      <wps:bodyPr/>
                    </wps:wsp>
                  </a:graphicData>
                </a:graphic>
              </wp:anchor>
            </w:drawing>
          </mc:Choice>
          <mc:Fallback>
            <w:pict>
              <v:line id="_x0000_s1026" o:spid="_x0000_s1026" o:spt="20" style="position:absolute;left:0pt;margin-left:205.65pt;margin-top:16.35pt;height:0pt;width:25.2pt;z-index:251685888;mso-width-relative:page;mso-height-relative:page;" filled="f" stroked="t" coordsize="21600,21600" o:gfxdata="UEsDBAoAAAAAAIdO4kAAAAAAAAAAAAAAAAAEAAAAZHJzL1BLAwQUAAAACACHTuJAGwPmpdYAAAAJ&#10;AQAADwAAAGRycy9kb3ducmV2LnhtbE2PTU7DMBBG90jcwRokNqh13FalhDgVSlXEtoEDuPGQpNjj&#10;yHabwOkxYgG7+Xn65k2xnaxhF/ShdyRBzDNgSI3TPbUS3l73sw2wEBVpZRyhhE8MsC2vrwqVazfS&#10;AS91bFkKoZArCV2MQ855aDq0KszdgJR2785bFVPrW669GlO4NXyRZWtuVU/pQqcGrDpsPuqzleCn&#10;fdzpu9Gcdk/Vy7P7qh5Ovpby9kZkj8AiTvEPhh/9pA5lcjq6M+nAjISVEMuESlgu7oElYLUWqTj+&#10;DnhZ8P8flN9QSwMEFAAAAAgAh07iQNt2xGwAAgAA5gMAAA4AAABkcnMvZTJvRG9jLnhtbK1TzW4T&#10;MRC+I/EOlu9kN2kFaJVNDwnlUqBSywNMbG/Wwn/yONnkJXgBJG5w4sidt6E8BmPnh1IuPeCDZXtm&#10;vpnvm/H0YmsN26iI2ruWj0c1Z8oJL7Vbtfz97eWzl5xhAifBeKdavlPIL2ZPn0yH0KiJ772RKjIC&#10;cdgMoeV9SqGpKhS9soAjH5QjY+ejhUTXuKpkhIHQrakmdf28GnyUIXqhEOl1sTfyA2J8DKDvOi3U&#10;wou1VS7tUaMykIgS9jogn5Vqu06J9K7rUCVmWk5MU9kpCZ2Xea9mU2hWEUKvxaEEeEwJDzhZ0I6S&#10;nqAWkICto/4HymoRPfoujYS31Z5IUYRYjOsH2tz0EFThQlJjOImO/w9WvN1cR6Zly8/OOXNgqeN3&#10;n77//Pjl14/PtN99+8rIQjINARvynrvrmImKrbsJV158QOb8vAe3UqXc210giHGOqP4KyRcMlGw5&#10;vPGSfGCdfNFs20WbIUkNti2t2Z1ao7aJCXo8o9E5p6aJo6mC5hgXIqbXyluWDy032mXRoIHNFaZc&#10;BzRHl/zs/KU2pjTeODZQsZMXdV0i0BstszX7YVwt5yayDeTZKauwIst9t+jXTha0BNq8cpKlIgEm&#10;BSb1PGdAy5lR9N2skgcM43IOVUb0UOZRob3WSy931/EoI7W/EDmMap6v+/ci9p/vOfsN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GwPmpdYAAAAJAQAADwAAAAAAAAABACAAAAAiAAAAZHJzL2Rvd25y&#10;ZXYueG1sUEsBAhQAFAAAAAgAh07iQNt2xGwAAgAA5gMAAA4AAAAAAAAAAQAgAAAAJQEAAGRycy9l&#10;Mm9Eb2MueG1sUEsFBgAAAAAGAAYAWQEAAJcFAAAAAA==&#10;">
                <v:fill on="f" focussize="0,0"/>
                <v:stroke weight="1pt" color="#000000" joinstyle="round" endarrow="classic" endarrowwidth="narrow"/>
                <v:imagedata o:title=""/>
                <o:lock v:ext="edit" aspectratio="f"/>
              </v:line>
            </w:pict>
          </mc:Fallback>
        </mc:AlternateContent>
      </w:r>
      <w:r>
        <mc:AlternateContent>
          <mc:Choice Requires="wps">
            <w:drawing>
              <wp:anchor distT="0" distB="0" distL="114300" distR="114300" simplePos="0" relativeHeight="251675648" behindDoc="0" locked="0" layoutInCell="1" allowOverlap="1">
                <wp:simplePos x="0" y="0"/>
                <wp:positionH relativeFrom="column">
                  <wp:posOffset>1598295</wp:posOffset>
                </wp:positionH>
                <wp:positionV relativeFrom="paragraph">
                  <wp:posOffset>1270</wp:posOffset>
                </wp:positionV>
                <wp:extent cx="1013460" cy="412750"/>
                <wp:effectExtent l="4445" t="4445" r="10795" b="20955"/>
                <wp:wrapNone/>
                <wp:docPr id="33" name="文本框 33"/>
                <wp:cNvGraphicFramePr/>
                <a:graphic xmlns:a="http://schemas.openxmlformats.org/drawingml/2006/main">
                  <a:graphicData uri="http://schemas.microsoft.com/office/word/2010/wordprocessingShape">
                    <wps:wsp>
                      <wps:cNvSpPr txBox="1">
                        <a:spLocks noChangeArrowheads="1"/>
                      </wps:cNvSpPr>
                      <wps:spPr bwMode="auto">
                        <a:xfrm>
                          <a:off x="0" y="0"/>
                          <a:ext cx="1013460" cy="412750"/>
                        </a:xfrm>
                        <a:prstGeom prst="rect">
                          <a:avLst/>
                        </a:prstGeom>
                        <a:solidFill>
                          <a:srgbClr val="FFFFFF"/>
                        </a:solidFill>
                        <a:ln w="9525">
                          <a:solidFill>
                            <a:srgbClr val="000000"/>
                          </a:solidFill>
                          <a:miter lim="800000"/>
                        </a:ln>
                        <a:effectLst/>
                      </wps:spPr>
                      <wps:txbx>
                        <w:txbxContent>
                          <w:p w14:paraId="2F5F5311">
                            <w:pPr>
                              <w:snapToGrid w:val="0"/>
                              <w:jc w:val="center"/>
                              <w:rPr>
                                <w:szCs w:val="21"/>
                              </w:rPr>
                            </w:pPr>
                            <w:r>
                              <w:rPr>
                                <w:rFonts w:hint="eastAsia"/>
                                <w:szCs w:val="21"/>
                              </w:rPr>
                              <w:t>环境污染造成的资源能源损失</w:t>
                            </w:r>
                          </w:p>
                        </w:txbxContent>
                      </wps:txbx>
                      <wps:bodyPr rot="0" vert="horz" wrap="square" lIns="0" tIns="0" rIns="0" bIns="0" anchor="t" anchorCtr="0" upright="1">
                        <a:noAutofit/>
                      </wps:bodyPr>
                    </wps:wsp>
                  </a:graphicData>
                </a:graphic>
              </wp:anchor>
            </w:drawing>
          </mc:Choice>
          <mc:Fallback>
            <w:pict>
              <v:shape id="_x0000_s1026" o:spid="_x0000_s1026" o:spt="202" type="#_x0000_t202" style="position:absolute;left:0pt;margin-left:125.85pt;margin-top:0.1pt;height:32.5pt;width:79.8pt;z-index:251675648;mso-width-relative:page;mso-height-relative:page;" fillcolor="#FFFFFF" filled="t" stroked="t" coordsize="21600,21600" o:gfxdata="UEsDBAoAAAAAAIdO4kAAAAAAAAAAAAAAAAAEAAAAZHJzL1BLAwQUAAAACACHTuJABXZZl9YAAAAH&#10;AQAADwAAAGRycy9kb3ducmV2LnhtbE2OzU7DMBCE70i8g7VI3KhjQwuEOBVFQgL1QlvE2Y03PxCv&#10;o9hNy9uznOA2oxnNfMXy5Hsx4Ri7QAbULAOBVAXXUWPgffd8dQciJkvO9oHQwDdGWJbnZ4XNXTjS&#10;BqdtagSPUMytgTalIZcyVi16G2dhQOKsDqO3ie3YSDfaI4/7XuosW0hvO+KH1g741GL1tT14A7tp&#10;FV82n+nevdYrqdf1m/4YH425vFDZA4iEp/RXhl98RoeSmfbhQC6K3oCeq1uusgDB8Y1S1yD2BhZz&#10;DbIs5H/+8gdQSwMEFAAAAAgAh07iQF/NgDo/AgAAhwQAAA4AAABkcnMvZTJvRG9jLnhtbK1UzW4T&#10;MRC+I/EOlu9kk/SHssqmKq2CkMqPVHgAx+vNWtgeM3ayWx6AvgEnLtx5rj4HY28SogJSD+zBGtvj&#10;b2a+b2Zn5701bKMwaHAVn4zGnCknodZuVfGPHxbPzjgLUbhaGHCq4rcq8PP50yezzpdqCi2YWiEj&#10;EBfKzle8jdGXRRFkq6wII/DK0WUDaEWkLa6KGkVH6NYU0/H4tOgAa48gVQh0ejVc8i0iPgYQmkZL&#10;dQVybZWLAyoqIyKVFFrtA5/nbJtGyfiuaYKKzFScKo15pSBkL9NazGeiXKHwrZbbFMRjUnhQkxXa&#10;UdA91JWIgq1R/wFltUQI0MSRBFsMhWRGqIrJ+AE3N63wKtdCVAe/Jz38P1j5dvMema4rfnTEmROW&#10;FL//dnf//ef9j6+MzoigzoeS/G48ecb+JfTUNrnY4K9BfgrMwWUr3EpdIELXKlFTgpP0sjh4OuCE&#10;BLLs3kBNgcQ6QgbqG7SJPeKDETqJc7sXR/WRyRRyPDk6PqUrSXfHk+nzk6xeIcrda48hvlJgWTIq&#10;jiR+Rheb6xBTNqLcuaRgAYyuF9qYvMHV8tIg2whqlEX+cgEP3IxjXcVfnExPBgL+CTHO398grI40&#10;P0bbip8dOhmX8lC5Z7f5JvYSYQN1sV/2WzWWUN8SjwhDP9M0k9ECfuGso16uePi8Fqg4M68daZEa&#10;f2fgzljuDOEkPa145GwwL+MwIGuPetUS8qC2gwvSq9GZypTakMVWZerPzPB2ltIAHO6z1+//x/wX&#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BXZZl9YAAAAHAQAADwAAAAAAAAABACAAAAAiAAAAZHJz&#10;L2Rvd25yZXYueG1sUEsBAhQAFAAAAAgAh07iQF/NgDo/AgAAhwQAAA4AAAAAAAAAAQAgAAAAJQEA&#10;AGRycy9lMm9Eb2MueG1sUEsFBgAAAAAGAAYAWQEAANYFAAAAAA==&#10;">
                <v:fill on="t" focussize="0,0"/>
                <v:stroke color="#000000" miterlimit="8" joinstyle="miter"/>
                <v:imagedata o:title=""/>
                <o:lock v:ext="edit" aspectratio="f"/>
                <v:textbox inset="0mm,0mm,0mm,0mm">
                  <w:txbxContent>
                    <w:p w14:paraId="2F5F5311">
                      <w:pPr>
                        <w:snapToGrid w:val="0"/>
                        <w:jc w:val="center"/>
                        <w:rPr>
                          <w:szCs w:val="21"/>
                        </w:rPr>
                      </w:pPr>
                      <w:r>
                        <w:rPr>
                          <w:rFonts w:hint="eastAsia"/>
                          <w:szCs w:val="21"/>
                        </w:rPr>
                        <w:t>环境污染造成的资源能源损失</w:t>
                      </w:r>
                    </w:p>
                  </w:txbxContent>
                </v:textbox>
              </v:shape>
            </w:pict>
          </mc:Fallback>
        </mc:AlternateContent>
      </w:r>
      <w:r>
        <mc:AlternateContent>
          <mc:Choice Requires="wps">
            <w:drawing>
              <wp:anchor distT="0" distB="0" distL="114300" distR="114300" simplePos="0" relativeHeight="251667456" behindDoc="0" locked="0" layoutInCell="1" allowOverlap="1">
                <wp:simplePos x="0" y="0"/>
                <wp:positionH relativeFrom="column">
                  <wp:posOffset>3318510</wp:posOffset>
                </wp:positionH>
                <wp:positionV relativeFrom="paragraph">
                  <wp:posOffset>302895</wp:posOffset>
                </wp:positionV>
                <wp:extent cx="1813560" cy="252095"/>
                <wp:effectExtent l="5080" t="5080" r="10160" b="9525"/>
                <wp:wrapNone/>
                <wp:docPr id="32" name="文本框 32"/>
                <wp:cNvGraphicFramePr/>
                <a:graphic xmlns:a="http://schemas.openxmlformats.org/drawingml/2006/main">
                  <a:graphicData uri="http://schemas.microsoft.com/office/word/2010/wordprocessingShape">
                    <wps:wsp>
                      <wps:cNvSpPr txBox="1">
                        <a:spLocks noChangeArrowheads="1"/>
                      </wps:cNvSpPr>
                      <wps:spPr bwMode="auto">
                        <a:xfrm>
                          <a:off x="0" y="0"/>
                          <a:ext cx="1813560" cy="252095"/>
                        </a:xfrm>
                        <a:prstGeom prst="rect">
                          <a:avLst/>
                        </a:prstGeom>
                        <a:solidFill>
                          <a:srgbClr val="FFFFFF"/>
                        </a:solidFill>
                        <a:ln w="9525">
                          <a:solidFill>
                            <a:srgbClr val="000000"/>
                          </a:solidFill>
                          <a:miter lim="800000"/>
                        </a:ln>
                        <a:effectLst/>
                      </wps:spPr>
                      <wps:txbx>
                        <w:txbxContent>
                          <w:p w14:paraId="1672E9C8">
                            <w:pPr>
                              <w:jc w:val="center"/>
                              <w:rPr>
                                <w:szCs w:val="21"/>
                              </w:rPr>
                            </w:pPr>
                            <w:r>
                              <w:rPr>
                                <w:rFonts w:hint="eastAsia"/>
                                <w:szCs w:val="21"/>
                              </w:rPr>
                              <w:t>采取措施时损失</w:t>
                            </w:r>
                          </w:p>
                        </w:txbxContent>
                      </wps:txbx>
                      <wps:bodyPr rot="0" vert="horz" wrap="square" lIns="0" tIns="0" rIns="0" bIns="0" anchor="t" anchorCtr="0" upright="1">
                        <a:noAutofit/>
                      </wps:bodyPr>
                    </wps:wsp>
                  </a:graphicData>
                </a:graphic>
              </wp:anchor>
            </w:drawing>
          </mc:Choice>
          <mc:Fallback>
            <w:pict>
              <v:shape id="_x0000_s1026" o:spid="_x0000_s1026" o:spt="202" type="#_x0000_t202" style="position:absolute;left:0pt;margin-left:261.3pt;margin-top:23.85pt;height:19.85pt;width:142.8pt;z-index:251667456;mso-width-relative:page;mso-height-relative:page;" fillcolor="#FFFFFF" filled="t" stroked="t" coordsize="21600,21600" o:gfxdata="UEsDBAoAAAAAAIdO4kAAAAAAAAAAAAAAAAAEAAAAZHJzL1BLAwQUAAAACACHTuJAL9KirdkAAAAJ&#10;AQAADwAAAGRycy9kb3ducmV2LnhtbE2Py07DMBBF90j8gzVI7KhdqzQhxKkoEhIVG9oi1m48eUA8&#10;jmw3LX+Pu4LdjObozrnl6mwHNqEPvSMF85kAhlQ701Or4GP/cpcDC1GT0YMjVPCDAVbV9VWpC+NO&#10;tMVpF1uWQigUWkEX41hwHuoOrQ4zNyKlW+O81TGtvuXG61MKtwOXQiy51T2lD50e8bnD+nt3tAr2&#10;0zq8br/ig9k0ay7fmnf56Z+Uur2Zi0dgEc/xD4aLflKHKjkd3JFMYIOCeymXCVWwyDJgCchFLoEd&#10;0pAtgFcl/9+g+gVQSwMEFAAAAAgAh07iQJqxYog/AgAAhwQAAA4AAABkcnMvZTJvRG9jLnhtbK1U&#10;zW4TMRC+I/EOlu90k1Sp2lU3VUlVhFR+pMIDOF5v1sL2mLGT3fIA8AacuHDnufIcjL2bEgpIPbAH&#10;a2yPv5n5vpk9v+itYVuFQYOr+PRowplyEmrt1hV//+762SlnIQpXCwNOVfxOBX6xePrkvPOlmkEL&#10;plbICMSFsvMVb2P0ZVEE2SorwhF45eiyAbQi0hbXRY2iI3RritlkclJ0gLVHkCoEOr0aLvmIiI8B&#10;hKbRUl2B3Fjl4oCKyohIJYVW+8AXOdumUTK+aZqgIjMVp0pjXikI2au0FotzUa5R+FbLMQXxmBQe&#10;1GSFdhT0HupKRME2qP+AsloiBGjikQRbDIVkRqiK6eQBN7et8CrXQlQHf096+H+w8vX2LTJdV/x4&#10;xpkTlhTfff2y+/Zj9/0zozMiqPOhJL9bT56xfw49tU0uNvgbkB8Cc7BshVurS0ToWiVqSnCaXhYH&#10;TweckEBW3SuoKZDYRMhAfYM2sUd8MEInce7uxVF9ZDKFPJ0ez0/oStLdbD6bnM1zCFHuX3sM8YUC&#10;y5JRcSTxM7rY3oSYshHl3iUFC2B0fa2NyRtcr5YG2VZQo1znb0T/zc041lX8bD6bDwT8E2KSv79B&#10;WB1pfoy2FT89dDIu5aFyz475JvYSYQN1sV/1oxorqO+IR4Shn2mayWgBP3HWUS9XPHzcCFScmZeO&#10;tEiNvzdwb6z2hnCSnlY8cjaYyzgMyMajXreEPKjt4JL0anSmMqU2ZDGqTP2ZGR5nKQ3A4T57/fp/&#10;LH4C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AAAAAGRycy9QSwECFAAUAAAACACHTuJAL9KirdkAAAAJAQAADwAAAAAAAAABACAAAAAiAAAA&#10;ZHJzL2Rvd25yZXYueG1sUEsBAhQAFAAAAAgAh07iQJqxYog/AgAAhwQAAA4AAAAAAAAAAQAgAAAA&#10;KAEAAGRycy9lMm9Eb2MueG1sUEsFBgAAAAAGAAYAWQEAANkFAAAAAA==&#10;">
                <v:fill on="t" focussize="0,0"/>
                <v:stroke color="#000000" miterlimit="8" joinstyle="miter"/>
                <v:imagedata o:title=""/>
                <o:lock v:ext="edit" aspectratio="f"/>
                <v:textbox inset="0mm,0mm,0mm,0mm">
                  <w:txbxContent>
                    <w:p w14:paraId="1672E9C8">
                      <w:pPr>
                        <w:jc w:val="center"/>
                        <w:rPr>
                          <w:szCs w:val="21"/>
                        </w:rPr>
                      </w:pPr>
                      <w:r>
                        <w:rPr>
                          <w:rFonts w:hint="eastAsia"/>
                          <w:szCs w:val="21"/>
                        </w:rPr>
                        <w:t>采取措施时损失</w:t>
                      </w:r>
                    </w:p>
                  </w:txbxContent>
                </v:textbox>
              </v:shape>
            </w:pict>
          </mc:Fallback>
        </mc:AlternateContent>
      </w:r>
    </w:p>
    <w:p w14:paraId="2358E1DB">
      <w:pPr>
        <w:pStyle w:val="310"/>
      </w:pPr>
      <w:r>
        <mc:AlternateContent>
          <mc:Choice Requires="wps">
            <w:drawing>
              <wp:anchor distT="0" distB="0" distL="114300" distR="114300" simplePos="0" relativeHeight="251687936" behindDoc="0" locked="0" layoutInCell="1" allowOverlap="1">
                <wp:simplePos x="0" y="0"/>
                <wp:positionH relativeFrom="column">
                  <wp:posOffset>2931795</wp:posOffset>
                </wp:positionH>
                <wp:positionV relativeFrom="paragraph">
                  <wp:posOffset>115570</wp:posOffset>
                </wp:positionV>
                <wp:extent cx="400050" cy="0"/>
                <wp:effectExtent l="0" t="25400" r="0" b="31750"/>
                <wp:wrapNone/>
                <wp:docPr id="31" name="直接连接符 31"/>
                <wp:cNvGraphicFramePr/>
                <a:graphic xmlns:a="http://schemas.openxmlformats.org/drawingml/2006/main">
                  <a:graphicData uri="http://schemas.microsoft.com/office/word/2010/wordprocessingShape">
                    <wps:wsp>
                      <wps:cNvCnPr>
                        <a:cxnSpLocks noChangeShapeType="1"/>
                      </wps:cNvCnPr>
                      <wps:spPr bwMode="auto">
                        <a:xfrm>
                          <a:off x="0" y="0"/>
                          <a:ext cx="400050" cy="0"/>
                        </a:xfrm>
                        <a:prstGeom prst="line">
                          <a:avLst/>
                        </a:prstGeom>
                        <a:noFill/>
                        <a:ln w="12700">
                          <a:solidFill>
                            <a:srgbClr val="000000"/>
                          </a:solidFill>
                          <a:round/>
                          <a:tailEnd type="stealth" w="sm" len="med"/>
                        </a:ln>
                        <a:effectLst/>
                      </wps:spPr>
                      <wps:bodyPr/>
                    </wps:wsp>
                  </a:graphicData>
                </a:graphic>
              </wp:anchor>
            </w:drawing>
          </mc:Choice>
          <mc:Fallback>
            <w:pict>
              <v:line id="_x0000_s1026" o:spid="_x0000_s1026" o:spt="20" style="position:absolute;left:0pt;margin-left:230.85pt;margin-top:9.1pt;height:0pt;width:31.5pt;z-index:251687936;mso-width-relative:page;mso-height-relative:page;" filled="f" stroked="t" coordsize="21600,21600" o:gfxdata="UEsDBAoAAAAAAIdO4kAAAAAAAAAAAAAAAAAEAAAAZHJzL1BLAwQUAAAACACHTuJA5HYLI9YAAAAJ&#10;AQAADwAAAGRycy9kb3ducmV2LnhtbE2PwU7DMBBE70j8g7VIXBB1EpVSQpwKpSri2sAHuPGSpMTr&#10;yHabwNeziAMcd+ZpdqbYzHYQZ/Shd6QgXSQgkBpnemoVvL3ubtcgQtRk9OAIFXxigE15eVHo3LiJ&#10;9niuYys4hEKuFXQxjrmUoenQ6rBwIxJ7785bHfn0rTReTxxuB5klyUpa3RN/6PSIVYfNR32yCvy8&#10;i1tzMw3H7VP18uy+qoejr5W6vkqTRxAR5/gHw099rg4ldzq4E5kgBgXLVXrPKBvrDAQDd9mShcOv&#10;IMtC/l9QfgNQSwMEFAAAAAgAh07iQKUqz9oBAgAA5gMAAA4AAABkcnMvZTJvRG9jLnhtbK1TS44T&#10;MRDdI3EHy3vSnfBVK51ZJAybAUaa4QCO7U5b2C7L5aSTS3ABJHawYjl7bsNwDMrOB2bYzIJeWO2q&#10;V6+qXpWnZ1tn2UZHNOBbPh7VnGkvQRm/avmH6/MnrzjDJLwSFrxu+U4jP5s9fjQdQqMn0INVOjIi&#10;8dgMoeV9SqGpKpS9dgJHELQnZwfRiUTXuKpUFAOxO1tN6vpFNUBUIYLUiGRd7J38wBgfQghdZ6Re&#10;gFw77dOeNWorErWEvQnIZ6XartMyve861InZllOnqZyUhP6X+axmU9Gsogi9kYcSxENKuNeTE8ZT&#10;0hPVQiTB1tH8Q+WMjIDQpZEEV+0bKYpQF+P6njZXvQi69EJSYziJjv+PVr7bXEZmVMufjjnzwtHE&#10;bz/f/Pz09dePL3Tefv/GyEMyDQEbQs/9ZcyNyq2/ChcgPyLzMO+FX+lS7vUuEEWJqO6E5AsGSrYc&#10;3oIijFgnKJptu+gyJanBtmU0u9No9DYxScZndV0/p6HJo6sSzTEuRExvNDiWf1pujc+iiUZsLjBR&#10;5QQ9QrLZw7mxtgzeejZQsZOXdV0iEKxR2ZtxGFfLuY1sI/LulC/rQGx3YBHWXhW2JIx97RVLRQJM&#10;WtjU85wBHWdW03NzWh04rM85dFnRQ5lHhfZaL0HtLmNOmO00/pL6sKp5v/6+F9Sf5zn7DV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OR2CyPWAAAACQEAAA8AAAAAAAAAAQAgAAAAIgAAAGRycy9kb3du&#10;cmV2LnhtbFBLAQIUABQAAAAIAIdO4kClKs/aAQIAAOYDAAAOAAAAAAAAAAEAIAAAACUBAABkcnMv&#10;ZTJvRG9jLnhtbFBLBQYAAAAABgAGAFkBAACYBQAAAAA=&#10;">
                <v:fill on="f" focussize="0,0"/>
                <v:stroke weight="1pt" color="#000000" joinstyle="round" endarrow="classic" endarrowwidth="narrow"/>
                <v:imagedata o:title=""/>
                <o:lock v:ext="edit" aspectratio="f"/>
              </v:line>
            </w:pict>
          </mc:Fallback>
        </mc:AlternateContent>
      </w:r>
    </w:p>
    <w:p w14:paraId="560013A0">
      <w:pPr>
        <w:pStyle w:val="310"/>
      </w:pPr>
      <w:r>
        <mc:AlternateContent>
          <mc:Choice Requires="wps">
            <w:drawing>
              <wp:anchor distT="0" distB="0" distL="114300" distR="114300" simplePos="0" relativeHeight="251708416" behindDoc="0" locked="0" layoutInCell="1" allowOverlap="1">
                <wp:simplePos x="0" y="0"/>
                <wp:positionH relativeFrom="column">
                  <wp:posOffset>344805</wp:posOffset>
                </wp:positionH>
                <wp:positionV relativeFrom="paragraph">
                  <wp:posOffset>293370</wp:posOffset>
                </wp:positionV>
                <wp:extent cx="0" cy="1079500"/>
                <wp:effectExtent l="6350" t="0" r="12700" b="6350"/>
                <wp:wrapNone/>
                <wp:docPr id="53" name="直接连接符 30"/>
                <wp:cNvGraphicFramePr/>
                <a:graphic xmlns:a="http://schemas.openxmlformats.org/drawingml/2006/main">
                  <a:graphicData uri="http://schemas.microsoft.com/office/word/2010/wordprocessingShape">
                    <wps:wsp>
                      <wps:cNvCnPr>
                        <a:cxnSpLocks noChangeShapeType="1"/>
                      </wps:cNvCnPr>
                      <wps:spPr bwMode="auto">
                        <a:xfrm>
                          <a:off x="0" y="0"/>
                          <a:ext cx="0" cy="1079500"/>
                        </a:xfrm>
                        <a:prstGeom prst="line">
                          <a:avLst/>
                        </a:prstGeom>
                        <a:noFill/>
                        <a:ln w="12700">
                          <a:solidFill>
                            <a:srgbClr val="000000"/>
                          </a:solidFill>
                          <a:round/>
                        </a:ln>
                        <a:effectLst/>
                      </wps:spPr>
                      <wps:bodyPr/>
                    </wps:wsp>
                  </a:graphicData>
                </a:graphic>
              </wp:anchor>
            </w:drawing>
          </mc:Choice>
          <mc:Fallback>
            <w:pict>
              <v:line id="直接连接符 30" o:spid="_x0000_s1026" o:spt="20" style="position:absolute;left:0pt;margin-left:27.15pt;margin-top:23.1pt;height:85pt;width:0pt;z-index:251708416;mso-width-relative:page;mso-height-relative:page;" filled="f" stroked="t" coordsize="21600,21600" o:gfxdata="UEsDBAoAAAAAAIdO4kAAAAAAAAAAAAAAAAAEAAAAZHJzL1BLAwQUAAAACACHTuJAuU8Xj9cAAAAI&#10;AQAADwAAAGRycy9kb3ducmV2LnhtbE2PzU7DMBCE70i8g7VI3KiTUEoUsukBVFUgLm2RuG6TJQ7E&#10;dhq7P7w9Sy9wnJ3R7Dfl/GR7deAxdN4hpJMEFLvaN51rEd42i5scVIjkGuq9Y4RvDjCvLi9KKhp/&#10;dCs+rGOrpMSFghBMjEOhdagNWwoTP7AT78OPlqLIsdXNSEcpt73OkmSmLXVOPhga+NFw/bXeWwR6&#10;Wq7ie5693HfP5vVzs9gtTb5DvL5KkwdQkU/xLwy/+IIOlTBt/d41QfUId9NbSSJMZxko8c96i5Cl&#10;ctBVqf8PqH4AUEsDBBQAAAAIAIdO4kAnouzJ6AEAALsDAAAOAAAAZHJzL2Uyb0RvYy54bWytU82O&#10;0zAQviPxDpbvNGlXy0LUdA+tlssClXZ5ANdxGgvbY3ncpn0JXgCJG5w4cudtWB6DsdMWKJc9kIPl&#10;+fE3830zmV7vrGFbFVCDq/l4VHKmnIRGu3XN393fPHvBGUbhGmHAqZrvFfLr2dMn095XagIdmEYF&#10;RiAOq97XvIvRV0WBslNW4Ai8chRsIVgRyQzrogmiJ3RriklZPi96CI0PIBUieRdDkB8Qw2MAoW21&#10;VAuQG6tcHFCDMiISJey0Rz7L3batkvFt26KKzNScmMZ8UhG6r9JZzKaiWgfhOy0PLYjHtHDGyQrt&#10;qOgJaiGiYJug/4GyWgZAaONIgi0GIlkRYjEuz7S564RXmQtJjf4kOv4/WPlmuwxMNzW/vODMCUsT&#10;f/j47ceHzz+/f6Lz4esXdpFl6j1WlD13y5CIyp2787cg3yNzMO+EW6vc7v3eE8Q4CVv89SQZ6KnY&#10;qn8NDeWITYSs2a4NNkGSGmyXR7M/jUbtIpODU5J3XF69vCxzP4Wojg99wPhKgWXpUnOjXVJNVGJ7&#10;izE1IqpjSnI7uNHG5Mkbx3pCnVwRZgohGN2kaDbCejU3gW1FWp78ZVpnaQE2rhmqGJfeqbx3h9JH&#10;2mkjsVpBs1+GozY009zcYf/S0vxpZwV//3OzX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FgEAABbQ29udGVudF9UeXBlc10ueG1sUEsBAhQACgAA&#10;AAAAh07iQAAAAAAAAAAAAAAAAAYAAAAAAAAAAAAQAAAAOgMAAF9yZWxzL1BLAQIUABQAAAAIAIdO&#10;4kCKFGY80QAAAJQBAAALAAAAAAAAAAEAIAAAAF4DAABfcmVscy8ucmVsc1BLAQIUAAoAAAAAAIdO&#10;4kAAAAAAAAAAAAAAAAAEAAAAAAAAAAAAEAAAAAAAAABkcnMvUEsBAhQAFAAAAAgAh07iQLlPF4/X&#10;AAAACAEAAA8AAAAAAAAAAQAgAAAAIgAAAGRycy9kb3ducmV2LnhtbFBLAQIUABQAAAAIAIdO4kAn&#10;ouzJ6AEAALsDAAAOAAAAAAAAAAEAIAAAACYBAABkcnMvZTJvRG9jLnhtbFBLBQYAAAAABgAGAFkB&#10;AACABQAAAAA=&#10;">
                <v:fill on="f" focussize="0,0"/>
                <v:stroke weight="1pt" color="#000000" joinstyle="round"/>
                <v:imagedata o:title=""/>
                <o:lock v:ext="edit" aspectratio="f"/>
              </v:line>
            </w:pict>
          </mc:Fallback>
        </mc:AlternateContent>
      </w:r>
      <w:r>
        <mc:AlternateContent>
          <mc:Choice Requires="wps">
            <w:drawing>
              <wp:anchor distT="0" distB="0" distL="114300" distR="114300" simplePos="0" relativeHeight="251693056" behindDoc="0" locked="0" layoutInCell="1" allowOverlap="1">
                <wp:simplePos x="0" y="0"/>
                <wp:positionH relativeFrom="column">
                  <wp:posOffset>2918460</wp:posOffset>
                </wp:positionH>
                <wp:positionV relativeFrom="paragraph">
                  <wp:posOffset>229870</wp:posOffset>
                </wp:positionV>
                <wp:extent cx="0" cy="920750"/>
                <wp:effectExtent l="6350" t="0" r="12700" b="12700"/>
                <wp:wrapNone/>
                <wp:docPr id="29" name="直接连接符 29"/>
                <wp:cNvGraphicFramePr/>
                <a:graphic xmlns:a="http://schemas.openxmlformats.org/drawingml/2006/main">
                  <a:graphicData uri="http://schemas.microsoft.com/office/word/2010/wordprocessingShape">
                    <wps:wsp>
                      <wps:cNvCnPr>
                        <a:cxnSpLocks noChangeShapeType="1"/>
                      </wps:cNvCnPr>
                      <wps:spPr bwMode="auto">
                        <a:xfrm>
                          <a:off x="0" y="0"/>
                          <a:ext cx="0" cy="920750"/>
                        </a:xfrm>
                        <a:prstGeom prst="line">
                          <a:avLst/>
                        </a:prstGeom>
                        <a:noFill/>
                        <a:ln w="12700">
                          <a:solidFill>
                            <a:srgbClr val="000000"/>
                          </a:solidFill>
                          <a:round/>
                        </a:ln>
                        <a:effectLst/>
                      </wps:spPr>
                      <wps:bodyPr/>
                    </wps:wsp>
                  </a:graphicData>
                </a:graphic>
              </wp:anchor>
            </w:drawing>
          </mc:Choice>
          <mc:Fallback>
            <w:pict>
              <v:line id="_x0000_s1026" o:spid="_x0000_s1026" o:spt="20" style="position:absolute;left:0pt;margin-left:229.8pt;margin-top:18.1pt;height:72.5pt;width:0pt;z-index:251693056;mso-width-relative:page;mso-height-relative:page;" filled="f" stroked="t" coordsize="21600,21600" o:gfxdata="UEsDBAoAAAAAAIdO4kAAAAAAAAAAAAAAAAAEAAAAZHJzL1BLAwQUAAAACACHTuJAD+TkVNgAAAAK&#10;AQAADwAAAGRycy9kb3ducmV2LnhtbE2Py07DMBBF90j8gzVI7KiTACGEOF2AqgrUTR9St9N4iAPx&#10;OI3dB3+PEQtYzszRnXOr6dn24kij7xwrSCcJCOLG6Y5bBZv17KYA4QOyxt4xKfgiD9P68qLCUrsT&#10;L+m4Cq2IIexLVGBCGEopfWPIop+4gTje3t1oMcRxbKUe8RTDbS+zJMmlxY7jB4MDPRtqPlcHqwBf&#10;5suwLbK3h+7VLD7Ws/3cFHulrq/S5AlEoHP4g+FHP6pDHZ127sDai17B3f1jHlEFt3kGIgK/i10k&#10;izQDWVfyf4X6G1BLAwQUAAAACACHTuJAoW1IXukBAAC6AwAADgAAAGRycy9lMm9Eb2MueG1srVNL&#10;jhMxEN0jcQfLe9KdSDBMK51ZJBo2A0Sa4QCO2522sF2Wy0knl+ACSOxgxZI9t5nhGJTdSZjPZhb0&#10;wrLr86req+rpxc4atlUBNbiaj0clZ8pJaLRb1/zTzeWrt5xhFK4RBpyq+V4hv5i9fDHtfaUm0IFp&#10;VGAE4rDqfc27GH1VFCg7ZQWOwCtHzhaCFZGeYV00QfSEbk0xKcs3RQ+h8QGkQiTrYnDyA2J4DiC0&#10;rZZqAXJjlYsDalBGRKKEnfbIZ7nbtlUyfmxbVJGZmhPTmE8qQvdVOovZVFTrIHyn5aEF8ZwWHnGy&#10;QjsqeoJaiCjYJugnUFbLAAhtHEmwxUAkK0IsxuUjba474VXmQlKjP4mO/w9WftguA9NNzSfnnDlh&#10;aeJ3X3/dfvn+5/c3Ou9+/mDkIZl6jxVFz90yJKJy5679FcjPyBzMO+HWKrd7s/cEMU4ZxYOU9EBP&#10;xVb9e2goRmwiZM12bbAJktRguzya/Wk0aheZHIySrOeT8ux1nlohqmOeDxjfKbAsXWputEuiiUps&#10;rzCmPkR1DElmB5famDx441hPzU7OyjJnIBjdJG+Kw7BezU1gW5F2J3+ZFXnuhwXYuGaoYlzKU3nt&#10;DqWPrAf9VtDsl+EoDY00N3dYv7Qz999ZwH+/3Ow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WgQAAFtDb250ZW50X1R5cGVzXS54bWxQSwECFAAK&#10;AAAAAACHTuJAAAAAAAAAAAAAAAAABgAAAAAAAAAAABAAAAA8AwAAX3JlbHMvUEsBAhQAFAAAAAgA&#10;h07iQIoUZjzRAAAAlAEAAAsAAAAAAAAAAQAgAAAAYAMAAF9yZWxzLy5yZWxzUEsBAhQACgAAAAAA&#10;h07iQAAAAAAAAAAAAAAAAAQAAAAAAAAAAAAQAAAAAAAAAGRycy9QSwECFAAUAAAACACHTuJAD+Tk&#10;VNgAAAAKAQAADwAAAAAAAAABACAAAAAiAAAAZHJzL2Rvd25yZXYueG1sUEsBAhQAFAAAAAgAh07i&#10;QKFtSF7pAQAAugMAAA4AAAAAAAAAAQAgAAAAJwEAAGRycy9lMm9Eb2MueG1sUEsFBgAAAAAGAAYA&#10;WQEAAIIFAAAAAA==&#10;">
                <v:fill on="f" focussize="0,0"/>
                <v:stroke weight="1pt" color="#000000" joinstyle="round"/>
                <v:imagedata o:title=""/>
                <o:lock v:ext="edit" aspectratio="f"/>
              </v:line>
            </w:pict>
          </mc:Fallback>
        </mc:AlternateContent>
      </w:r>
      <w:r>
        <mc:AlternateContent>
          <mc:Choice Requires="wps">
            <w:drawing>
              <wp:anchor distT="0" distB="0" distL="114300" distR="114300" simplePos="0" relativeHeight="251691008" behindDoc="0" locked="0" layoutInCell="1" allowOverlap="1">
                <wp:simplePos x="0" y="0"/>
                <wp:positionH relativeFrom="column">
                  <wp:posOffset>2918460</wp:posOffset>
                </wp:positionH>
                <wp:positionV relativeFrom="paragraph">
                  <wp:posOffset>229870</wp:posOffset>
                </wp:positionV>
                <wp:extent cx="400050" cy="0"/>
                <wp:effectExtent l="0" t="25400" r="0" b="31750"/>
                <wp:wrapNone/>
                <wp:docPr id="28" name="直接连接符 28"/>
                <wp:cNvGraphicFramePr/>
                <a:graphic xmlns:a="http://schemas.openxmlformats.org/drawingml/2006/main">
                  <a:graphicData uri="http://schemas.microsoft.com/office/word/2010/wordprocessingShape">
                    <wps:wsp>
                      <wps:cNvCnPr>
                        <a:cxnSpLocks noChangeShapeType="1"/>
                      </wps:cNvCnPr>
                      <wps:spPr bwMode="auto">
                        <a:xfrm>
                          <a:off x="0" y="0"/>
                          <a:ext cx="400050" cy="0"/>
                        </a:xfrm>
                        <a:prstGeom prst="line">
                          <a:avLst/>
                        </a:prstGeom>
                        <a:noFill/>
                        <a:ln w="12700">
                          <a:solidFill>
                            <a:srgbClr val="000000"/>
                          </a:solidFill>
                          <a:round/>
                          <a:tailEnd type="stealth" w="sm" len="med"/>
                        </a:ln>
                        <a:effectLst/>
                      </wps:spPr>
                      <wps:bodyPr/>
                    </wps:wsp>
                  </a:graphicData>
                </a:graphic>
              </wp:anchor>
            </w:drawing>
          </mc:Choice>
          <mc:Fallback>
            <w:pict>
              <v:line id="_x0000_s1026" o:spid="_x0000_s1026" o:spt="20" style="position:absolute;left:0pt;margin-left:229.8pt;margin-top:18.1pt;height:0pt;width:31.5pt;z-index:251691008;mso-width-relative:page;mso-height-relative:page;" filled="f" stroked="t" coordsize="21600,21600" o:gfxdata="UEsDBAoAAAAAAIdO4kAAAAAAAAAAAAAAAAAEAAAAZHJzL1BLAwQUAAAACACHTuJAusKXq9YAAAAJ&#10;AQAADwAAAGRycy9kb3ducmV2LnhtbE2PwU7DMAyG70i8Q2QkLoilK6xipemEOg1xXeEBssa0HY1T&#10;JdlaeHqMOMDRvz/9/lxsZjuIM/rQO1KwXCQgkBpnemoVvL3ubh9AhKjJ6MERKvjEAJvy8qLQuXET&#10;7fFcx1ZwCYVcK+hiHHMpQ9Oh1WHhRiTevTtvdeTRt9J4PXG5HWSaJJm0uie+0OkRqw6bj/pkFfh5&#10;F7fmZhqO26fq5dl9Veujr5W6vlomjyAizvEPhh99VoeSnQ7uRCaIQcH9ap0xquAuS0EwsEpTDg6/&#10;gSwL+f+D8htQSwMEFAAAAAgAh07iQAz6YyD/AQAA5gMAAA4AAABkcnMvZTJvRG9jLnhtbK1TS44T&#10;MRDdI3EHy3vSnYifWunMImHYDBBphgNUbHfawj+5nHRyCS6AxA5WLNlzG4ZjUHY+DMNmFnhh2a6q&#10;V/VelacXO2vYVkXU3rV8PKo5U054qd265e9vLp+85AwTOAnGO9XyvUJ+MXv8aDqERk18741UkRGI&#10;w2YILe9TCk1VoeiVBRz5oBwZOx8tJLrGdSUjDIRuTTWp6+fV4KMM0QuFSK+Lg5EfEeNDAH3XaaEW&#10;XmyscumAGpWBRJSw1wH5rFTbdUqkd12HKjHTcmKayk5J6LzKezWbQrOOEHotjiXAQ0q4x8mCdpT0&#10;DLWABGwT9T9QVovo0XdpJLytDkSKIsRiXN/T5rqHoAoXkhrDWXT8f7Di7XYZmZYtn1DfHVjq+O2n&#10;7z8/fvn14zPtt9++MrKQTEPAhrznbhkzUbFz1+HKiw/InJ/34NaqlHuzDwQxzhHVXyH5goGSrYY3&#10;XpIPbJIvmu26aDMkqcF2pTX7c2vULjFBj0/run5GTRMnUwXNKS5ETK+VtywfWm60y6JBA9srTLkO&#10;aE4u+dn5S21MabxxbKBiJy/qukSgN1pma/bDuF7NTWRbyLNTVmFFlrtu0W+cLGgJtHnlJEtFAkwK&#10;TOp5zoCWM6Pou1kljxjG5RyqjOixzJNCB61XXu6X8SQjtb8QOY5qnq+79yL2n+85+w1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uBAAAW0NvbnRl&#10;bnRfVHlwZXNdLnhtbFBLAQIUAAoAAAAAAIdO4kAAAAAAAAAAAAAAAAAGAAAAAAAAAAAAEAAAAFAD&#10;AABfcmVscy9QSwECFAAUAAAACACHTuJAihRmPNEAAACUAQAACwAAAAAAAAABACAAAAB0AwAAX3Jl&#10;bHMvLnJlbHNQSwECFAAKAAAAAACHTuJAAAAAAAAAAAAAAAAABAAAAAAAAAAAABAAAAAAAAAAZHJz&#10;L1BLAQIUABQAAAAIAIdO4kC6wper1gAAAAkBAAAPAAAAAAAAAAEAIAAAACIAAABkcnMvZG93bnJl&#10;di54bWxQSwECFAAUAAAACACHTuJADPpjIP8BAADmAwAADgAAAAAAAAABACAAAAAlAQAAZHJzL2Uy&#10;b0RvYy54bWxQSwUGAAAAAAYABgBZAQAAlgUAAAAA&#10;">
                <v:fill on="f" focussize="0,0"/>
                <v:stroke weight="1pt" color="#000000" joinstyle="round" endarrow="classic" endarrowwidth="narrow"/>
                <v:imagedata o:title=""/>
                <o:lock v:ext="edit" aspectratio="f"/>
              </v:line>
            </w:pict>
          </mc:Fallback>
        </mc:AlternateContent>
      </w:r>
      <w:r>
        <mc:AlternateContent>
          <mc:Choice Requires="wps">
            <w:drawing>
              <wp:anchor distT="0" distB="0" distL="114300" distR="114300" simplePos="0" relativeHeight="251680768" behindDoc="0" locked="0" layoutInCell="1" allowOverlap="1">
                <wp:simplePos x="0" y="0"/>
                <wp:positionH relativeFrom="column">
                  <wp:posOffset>-95250</wp:posOffset>
                </wp:positionH>
                <wp:positionV relativeFrom="paragraph">
                  <wp:posOffset>39370</wp:posOffset>
                </wp:positionV>
                <wp:extent cx="880110" cy="252095"/>
                <wp:effectExtent l="5080" t="4445" r="10160" b="10160"/>
                <wp:wrapNone/>
                <wp:docPr id="27" name="文本框 27"/>
                <wp:cNvGraphicFramePr/>
                <a:graphic xmlns:a="http://schemas.openxmlformats.org/drawingml/2006/main">
                  <a:graphicData uri="http://schemas.microsoft.com/office/word/2010/wordprocessingShape">
                    <wps:wsp>
                      <wps:cNvSpPr txBox="1">
                        <a:spLocks noChangeArrowheads="1"/>
                      </wps:cNvSpPr>
                      <wps:spPr bwMode="auto">
                        <a:xfrm>
                          <a:off x="0" y="0"/>
                          <a:ext cx="880110" cy="252095"/>
                        </a:xfrm>
                        <a:prstGeom prst="rect">
                          <a:avLst/>
                        </a:prstGeom>
                        <a:solidFill>
                          <a:srgbClr val="FFFFFF"/>
                        </a:solidFill>
                        <a:ln w="9525">
                          <a:solidFill>
                            <a:srgbClr val="000000"/>
                          </a:solidFill>
                          <a:miter lim="800000"/>
                        </a:ln>
                        <a:effectLst/>
                      </wps:spPr>
                      <wps:txbx>
                        <w:txbxContent>
                          <w:p w14:paraId="10E05D15">
                            <w:pPr>
                              <w:jc w:val="center"/>
                              <w:rPr>
                                <w:szCs w:val="21"/>
                              </w:rPr>
                            </w:pPr>
                            <w:r>
                              <w:rPr>
                                <w:rFonts w:hint="eastAsia"/>
                                <w:szCs w:val="21"/>
                              </w:rPr>
                              <w:t>损益分析</w:t>
                            </w:r>
                          </w:p>
                        </w:txbxContent>
                      </wps:txbx>
                      <wps:bodyPr rot="0" vert="horz" wrap="square" lIns="0" tIns="0" rIns="0" bIns="0" anchor="t" anchorCtr="0" upright="1">
                        <a:noAutofit/>
                      </wps:bodyPr>
                    </wps:wsp>
                  </a:graphicData>
                </a:graphic>
              </wp:anchor>
            </w:drawing>
          </mc:Choice>
          <mc:Fallback>
            <w:pict>
              <v:shape id="_x0000_s1026" o:spid="_x0000_s1026" o:spt="202" type="#_x0000_t202" style="position:absolute;left:0pt;margin-left:-7.5pt;margin-top:3.1pt;height:19.85pt;width:69.3pt;z-index:251680768;mso-width-relative:page;mso-height-relative:page;" fillcolor="#FFFFFF" filled="t" stroked="t" coordsize="21600,21600" o:gfxdata="UEsDBAoAAAAAAIdO4kAAAAAAAAAAAAAAAAAEAAAAZHJzL1BLAwQUAAAACACHTuJAcI5v7tgAAAAI&#10;AQAADwAAAGRycy9kb3ducmV2LnhtbE2PS0/DMBCE70j8B2uRuLVODI1oyKaiSEggLn0gzm68eUC8&#10;jmI3Lf8e9wTH0YxmvilWZ9uLiUbfOUZI5wkI4sqZjhuEj/3L7AGED5qN7h0Twg95WJXXV4XOjTvx&#10;lqZdaEQsYZ9rhDaEIZfSVy1Z7eduII5e7UarQ5RjI82oT7Hc9lIlSSat7jgutHqg55aq793RIuyn&#10;tX/dfoWleavXUr3XG/U5PiHe3qTJI4hA5/AXhgt+RIcyMh3ckY0XPcIsXcQvASFTIC6+ustAHBDu&#10;F0uQZSH/Hyh/AVBLAwQUAAAACACHTuJAMERR4T0CAACGBAAADgAAAGRycy9lMm9Eb2MueG1srVTN&#10;btQwEL4j8Q6W7zTZlRbaqNmq7KoIqfxIhQfwOs7GwvaYsXeT8gDwBpy4cOe5+hyMnWwpBaQeyMEa&#10;2zPfzHzfOKdngzVsrzBocDWfHZWcKSeh0W5b8/fvLp4ccxaicI0w4FTNr1XgZ8vHj057X6k5dGAa&#10;hYxAXKh6X/MuRl8VRZCdsiIcgVeOLltAKyJtcVs0KHpCt6aYl+XTogdsPIJUIdDperzkEyI+BBDa&#10;Vku1BrmzysURFZURkVoKnfaBL3O1batkfNO2QUVmak6dxrxSErI3aS2Wp6LaovCdllMJ4iEl3OvJ&#10;Cu0o6S3UWkTBdqj/gLJaIgRo45EEW4yNZEaoi1l5j5urTniVeyGqg78lPfw/WPl6/xaZbmo+f8aZ&#10;E5YUv/n65ebbj5vvnxmdEUG9DxX5XXnyjMNzGGhscrPBX4L8EJiDVSfcVp0jQt8p0VCBsxRZ3Akd&#10;cUIC2fSvoKFEYhchAw0t2sQe8cEIncS5vhVHDZFJOjw+LmczupF0NV/My5NFziCqQ7DHEF8osCwZ&#10;NUfSPoOL/WWIqRhRHVxSrgBGNxfamLzB7WZlkO0FzclF/ib039yMY33NTxbzxdj/PyHK/P0NwupI&#10;z8doSx3ddTIu1aHyyE71JvISXyNzcdgMkxgbaK6JRoRxnOkxk9EBfuKsp1Guefi4E6g4My8dSZHm&#10;/mDgwdgcDOEkhdY8cjaaqzi+j51Hve0IeRTbwTnJ1epMZSptrGISmcYzMzw9pTT/d/fZ69fvY/kT&#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cI5v7tgAAAAIAQAADwAAAAAAAAABACAAAAAiAAAAZHJz&#10;L2Rvd25yZXYueG1sUEsBAhQAFAAAAAgAh07iQDBEUeE9AgAAhgQAAA4AAAAAAAAAAQAgAAAAJwEA&#10;AGRycy9lMm9Eb2MueG1sUEsFBgAAAAAGAAYAWQEAANYFAAAAAA==&#10;">
                <v:fill on="t" focussize="0,0"/>
                <v:stroke color="#000000" miterlimit="8" joinstyle="miter"/>
                <v:imagedata o:title=""/>
                <o:lock v:ext="edit" aspectratio="f"/>
                <v:textbox inset="0mm,0mm,0mm,0mm">
                  <w:txbxContent>
                    <w:p w14:paraId="10E05D15">
                      <w:pPr>
                        <w:jc w:val="center"/>
                        <w:rPr>
                          <w:szCs w:val="21"/>
                        </w:rPr>
                      </w:pPr>
                      <w:r>
                        <w:rPr>
                          <w:rFonts w:hint="eastAsia"/>
                          <w:szCs w:val="21"/>
                        </w:rPr>
                        <w:t>损益分析</w:t>
                      </w:r>
                    </w:p>
                  </w:txbxContent>
                </v:textbox>
              </v:shape>
            </w:pict>
          </mc:Fallback>
        </mc:AlternateContent>
      </w:r>
      <w:r>
        <mc:AlternateContent>
          <mc:Choice Requires="wps">
            <w:drawing>
              <wp:anchor distT="0" distB="0" distL="114300" distR="114300" simplePos="0" relativeHeight="251668480" behindDoc="0" locked="0" layoutInCell="1" allowOverlap="1">
                <wp:simplePos x="0" y="0"/>
                <wp:positionH relativeFrom="column">
                  <wp:posOffset>3318510</wp:posOffset>
                </wp:positionH>
                <wp:positionV relativeFrom="paragraph">
                  <wp:posOffset>102870</wp:posOffset>
                </wp:positionV>
                <wp:extent cx="1813560" cy="252095"/>
                <wp:effectExtent l="5080" t="5080" r="10160" b="9525"/>
                <wp:wrapNone/>
                <wp:docPr id="26" name="文本框 26"/>
                <wp:cNvGraphicFramePr/>
                <a:graphic xmlns:a="http://schemas.openxmlformats.org/drawingml/2006/main">
                  <a:graphicData uri="http://schemas.microsoft.com/office/word/2010/wordprocessingShape">
                    <wps:wsp>
                      <wps:cNvSpPr txBox="1">
                        <a:spLocks noChangeArrowheads="1"/>
                      </wps:cNvSpPr>
                      <wps:spPr bwMode="auto">
                        <a:xfrm>
                          <a:off x="0" y="0"/>
                          <a:ext cx="1813560" cy="252095"/>
                        </a:xfrm>
                        <a:prstGeom prst="rect">
                          <a:avLst/>
                        </a:prstGeom>
                        <a:solidFill>
                          <a:srgbClr val="FFFFFF"/>
                        </a:solidFill>
                        <a:ln w="9525">
                          <a:solidFill>
                            <a:srgbClr val="000000"/>
                          </a:solidFill>
                          <a:miter lim="800000"/>
                        </a:ln>
                        <a:effectLst/>
                      </wps:spPr>
                      <wps:txbx>
                        <w:txbxContent>
                          <w:p w14:paraId="2882E471">
                            <w:pPr>
                              <w:jc w:val="center"/>
                              <w:rPr>
                                <w:szCs w:val="21"/>
                              </w:rPr>
                            </w:pPr>
                            <w:r>
                              <w:rPr>
                                <w:rFonts w:hint="eastAsia"/>
                                <w:szCs w:val="21"/>
                              </w:rPr>
                              <w:t>工程本身的经济效益</w:t>
                            </w:r>
                          </w:p>
                        </w:txbxContent>
                      </wps:txbx>
                      <wps:bodyPr rot="0" vert="horz" wrap="square" lIns="0" tIns="0" rIns="0" bIns="0" anchor="t" anchorCtr="0" upright="1">
                        <a:noAutofit/>
                      </wps:bodyPr>
                    </wps:wsp>
                  </a:graphicData>
                </a:graphic>
              </wp:anchor>
            </w:drawing>
          </mc:Choice>
          <mc:Fallback>
            <w:pict>
              <v:shape id="_x0000_s1026" o:spid="_x0000_s1026" o:spt="202" type="#_x0000_t202" style="position:absolute;left:0pt;margin-left:261.3pt;margin-top:8.1pt;height:19.85pt;width:142.8pt;z-index:251668480;mso-width-relative:page;mso-height-relative:page;" fillcolor="#FFFFFF" filled="t" stroked="t" coordsize="21600,21600" o:gfxdata="UEsDBAoAAAAAAIdO4kAAAAAAAAAAAAAAAAAEAAAAZHJzL1BLAwQUAAAACACHTuJAeyF+A9cAAAAJ&#10;AQAADwAAAGRycy9kb3ducmV2LnhtbE2PTU/DMAyG70j8h8hI3FiySKu60nRiSEggLmxDnLPG/YDG&#10;qZqsG/8ec4KbrefV68fl5uIHMeMU+0AGlgsFAqkOrqfWwPvh6S4HEZMlZ4dAaOAbI2yq66vSFi6c&#10;aYfzPrWCSygW1kCX0lhIGesOvY2LMCIxa8LkbeJ1aqWb7JnL/SC1Upn0tie+0NkRHzusv/Ynb+Aw&#10;b+Pz7jOt3Uuzlfq1edMf04MxtzdLdQ8i4SX9heFXn9WhYqdjOJGLYjCw0jrjKINMg+BArnIejkxW&#10;a5BVKf9/UP0AUEsDBBQAAAAIAIdO4kBnyRsFPwIAAIcEAAAOAAAAZHJzL2Uyb0RvYy54bWytVM1u&#10;EzEQviPxDpbvdJOgVO2qm6qkKkIqP1LhARyvN2the8zYyW55AHgDTr1w57nyHIy9mxIKSD2wB2ts&#10;j7+Z+b6ZPTvvrWFbhUGDq/j0aMKZchJq7dYV//D+6tkJZyEKVwsDTlX8VgV+vnj65KzzpZpBC6ZW&#10;yAjEhbLzFW9j9GVRBNkqK8IReOXosgG0ItIW10WNoiN0a4rZZHJcdIC1R5AqBDq9HC75iIiPAYSm&#10;0VJdgtxY5eKAisqISCWFVvvAFznbplEyvm2aoCIzFadKY14pCNmrtBaLM1GuUfhWyzEF8ZgUHtRk&#10;hXYU9B7qUkTBNqj/gLJaIgRo4pEEWwyFZEaoiunkATc3rfAq10JUB39Pevh/sPLN9h0yXVd8dsyZ&#10;E5YU3337urv7sfv+hdEZEdT5UJLfjSfP2L+AntomFxv8NciPgTlYtsKt1QUidK0SNSU4TS+Lg6cD&#10;Tkggq+411BRIbCJkoL5Bm9gjPhihkzi39+KoPjKZQp5Mn8+P6UrS3Ww+m5zOcwhR7l97DPGlAsuS&#10;UXEk8TO62F6HmLIR5d4lBQtgdH2ljckbXK+WBtlWUKNc5W9E/83NONZV/HQ+mw8E/BNikr+/QVgd&#10;aX6MthU/OXQyLuWhcs+O+Sb2EmEDdbFf9aMaK6hviUeEoZ9pmsloAT9z1lEvVzx82ghUnJlXjrRI&#10;jb83cG+s9oZwkp5WPHI2mMs4DMjGo163hDyo7eCC9Gp0pjKlNmQxqkz9mRkeZykNwOE+e/36fyx+&#10;Al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K8E&#10;AABbQ29udGVudF9UeXBlc10ueG1sUEsBAhQACgAAAAAAh07iQAAAAAAAAAAAAAAAAAYAAAAAAAAA&#10;AAAQAAAAkQMAAF9yZWxzL1BLAQIUABQAAAAIAIdO4kCKFGY80QAAAJQBAAALAAAAAAAAAAEAIAAA&#10;ALUDAABfcmVscy8ucmVsc1BLAQIUAAoAAAAAAIdO4kAAAAAAAAAAAAAAAAAEAAAAAAAAAAAAEAAA&#10;AAAAAABkcnMvUEsBAhQAFAAAAAgAh07iQHshfgPXAAAACQEAAA8AAAAAAAAAAQAgAAAAIgAAAGRy&#10;cy9kb3ducmV2LnhtbFBLAQIUABQAAAAIAIdO4kBnyRsFPwIAAIcEAAAOAAAAAAAAAAEAIAAAACYB&#10;AABkcnMvZTJvRG9jLnhtbFBLBQYAAAAABgAGAFkBAADXBQAAAAA=&#10;">
                <v:fill on="t" focussize="0,0"/>
                <v:stroke color="#000000" miterlimit="8" joinstyle="miter"/>
                <v:imagedata o:title=""/>
                <o:lock v:ext="edit" aspectratio="f"/>
                <v:textbox inset="0mm,0mm,0mm,0mm">
                  <w:txbxContent>
                    <w:p w14:paraId="2882E471">
                      <w:pPr>
                        <w:jc w:val="center"/>
                        <w:rPr>
                          <w:szCs w:val="21"/>
                        </w:rPr>
                      </w:pPr>
                      <w:r>
                        <w:rPr>
                          <w:rFonts w:hint="eastAsia"/>
                          <w:szCs w:val="21"/>
                        </w:rPr>
                        <w:t>工程本身的经济效益</w:t>
                      </w:r>
                    </w:p>
                  </w:txbxContent>
                </v:textbox>
              </v:shape>
            </w:pict>
          </mc:Fallback>
        </mc:AlternateContent>
      </w:r>
    </w:p>
    <w:p w14:paraId="30AC6260">
      <w:pPr>
        <w:pStyle w:val="310"/>
      </w:pPr>
      <w:r>
        <mc:AlternateContent>
          <mc:Choice Requires="wps">
            <w:drawing>
              <wp:anchor distT="0" distB="0" distL="114300" distR="114300" simplePos="0" relativeHeight="251676672" behindDoc="0" locked="0" layoutInCell="1" allowOverlap="1">
                <wp:simplePos x="0" y="0"/>
                <wp:positionH relativeFrom="column">
                  <wp:posOffset>1598295</wp:posOffset>
                </wp:positionH>
                <wp:positionV relativeFrom="paragraph">
                  <wp:posOffset>153670</wp:posOffset>
                </wp:positionV>
                <wp:extent cx="1066800" cy="412750"/>
                <wp:effectExtent l="5080" t="4445" r="13970" b="20955"/>
                <wp:wrapNone/>
                <wp:docPr id="25" name="文本框 25"/>
                <wp:cNvGraphicFramePr/>
                <a:graphic xmlns:a="http://schemas.openxmlformats.org/drawingml/2006/main">
                  <a:graphicData uri="http://schemas.microsoft.com/office/word/2010/wordprocessingShape">
                    <wps:wsp>
                      <wps:cNvSpPr txBox="1">
                        <a:spLocks noChangeArrowheads="1"/>
                      </wps:cNvSpPr>
                      <wps:spPr bwMode="auto">
                        <a:xfrm>
                          <a:off x="0" y="0"/>
                          <a:ext cx="1066800" cy="412750"/>
                        </a:xfrm>
                        <a:prstGeom prst="rect">
                          <a:avLst/>
                        </a:prstGeom>
                        <a:solidFill>
                          <a:srgbClr val="FFFFFF"/>
                        </a:solidFill>
                        <a:ln w="9525">
                          <a:solidFill>
                            <a:srgbClr val="000000"/>
                          </a:solidFill>
                          <a:miter lim="800000"/>
                        </a:ln>
                        <a:effectLst/>
                      </wps:spPr>
                      <wps:txbx>
                        <w:txbxContent>
                          <w:p w14:paraId="065AA7CB">
                            <w:pPr>
                              <w:snapToGrid w:val="0"/>
                              <w:jc w:val="center"/>
                              <w:rPr>
                                <w:szCs w:val="21"/>
                              </w:rPr>
                            </w:pPr>
                            <w:r>
                              <w:rPr>
                                <w:rFonts w:hint="eastAsia"/>
                                <w:szCs w:val="21"/>
                              </w:rPr>
                              <w:t>直接效益</w:t>
                            </w:r>
                          </w:p>
                          <w:p w14:paraId="3945BBFB">
                            <w:pPr>
                              <w:snapToGrid w:val="0"/>
                              <w:jc w:val="center"/>
                              <w:rPr>
                                <w:szCs w:val="21"/>
                              </w:rPr>
                            </w:pPr>
                            <w:r>
                              <w:rPr>
                                <w:rFonts w:hint="eastAsia"/>
                                <w:szCs w:val="21"/>
                              </w:rPr>
                              <w:t>（环境经济效益）</w:t>
                            </w:r>
                          </w:p>
                        </w:txbxContent>
                      </wps:txbx>
                      <wps:bodyPr rot="0" vert="horz" wrap="square" lIns="0" tIns="0" rIns="0" bIns="0" anchor="t" anchorCtr="0" upright="1">
                        <a:noAutofit/>
                      </wps:bodyPr>
                    </wps:wsp>
                  </a:graphicData>
                </a:graphic>
              </wp:anchor>
            </w:drawing>
          </mc:Choice>
          <mc:Fallback>
            <w:pict>
              <v:shape id="_x0000_s1026" o:spid="_x0000_s1026" o:spt="202" type="#_x0000_t202" style="position:absolute;left:0pt;margin-left:125.85pt;margin-top:12.1pt;height:32.5pt;width:84pt;z-index:251676672;mso-width-relative:page;mso-height-relative:page;" fillcolor="#FFFFFF" filled="t" stroked="t" coordsize="21600,21600" o:gfxdata="UEsDBAoAAAAAAIdO4kAAAAAAAAAAAAAAAAAEAAAAZHJzL1BLAwQUAAAACACHTuJA3lNtldgAAAAJ&#10;AQAADwAAAGRycy9kb3ducmV2LnhtbE2Py07DMBBF90j8gzVI7KgTq0CTxqkoEhKITR+ItRtPHiUe&#10;R7Gblr9nWMFuHkd3zhSri+vFhGPoPGlIZwkIpMrbjhoNH/uXuwWIEA1Z03tCDd8YYFVeXxUmt/5M&#10;W5x2sREcQiE3GtoYh1zKULXoTJj5AYl3tR+didyOjbSjOXO466VKkgfpTEd8oTUDPrdYfe1OTsN+&#10;WofX7TFm9q1eS/Veb9Tn+KT17U2aLEFEvMQ/GH71WR1Kdjr4E9kgeg3qPn1klIu5AsHAPM14cNCw&#10;yBTIspD/Pyh/AFBLAwQUAAAACACHTuJAuhsT3D0CAACHBAAADgAAAGRycy9lMm9Eb2MueG1srVTN&#10;btQwEL4j8Q6W7zTZFS0larYqWxUhlR+p8ABex9lY2B4z9m5SHgDegBMX7jzXPgdjJ1uqBaEe8MEa&#10;x+NvZr5vJmfngzVsqzBocDWfHZWcKSeh0W5d8w/vr56cchaicI0w4FTNb1Xg54vHj856X6k5dGAa&#10;hYxAXKh6X/MuRl8VRZCdsiIcgVeOLltAKyIdcV00KHpCt6aYl+VJ0QM2HkGqEOjr5XjJJ0R8CCC0&#10;rZbqEuTGKhdHVFRGRCopdNoHvsjZtq2S8W3bBhWZqTlVGvNOQchepb1YnIlqjcJ3Wk4piIekcFCT&#10;FdpR0DuoSxEF26D+A8pqiRCgjUcSbDEWkhmhKmblATc3nfAq10JUB39Hevh/sPLN9h0y3dR8fsyZ&#10;E5YU3337uvv+c/fjC6NvRFDvQ0V+N5484/ACBmqbXGzw1yA/BuZg2Qm3VheI0HdKNJTgLL0s7j0d&#10;cUICWfWvoaFAYhMhAw0t2sQe8cEIncS5vRNHDZHJFLI8OTkt6UrS3dPZ/NlxVq8Q1f61xxBfKrAs&#10;GTVHEj+ji+11iCkbUe1dUrAARjdX2ph8wPVqaZBtBTXKVV65gAM341hf8+fHRMy/Icq8/gZhdaT5&#10;MdrWnMqhNTkZlxBV7tkp38ReImykLg6rYVJjBc0t8Ygw9jNNMxkd4GfOeurlmodPG4GKM/PKkRap&#10;8fcG7o3V3hBO0tOaR85GcxnHAdl41OuOkEe1HVyQXq3OVKbUxiwmlak/M8PTLKUBuH/OXr//H4tf&#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3lNtldgAAAAJAQAADwAAAAAAAAABACAAAAAiAAAAZHJz&#10;L2Rvd25yZXYueG1sUEsBAhQAFAAAAAgAh07iQLobE9w9AgAAhwQAAA4AAAAAAAAAAQAgAAAAJwEA&#10;AGRycy9lMm9Eb2MueG1sUEsFBgAAAAAGAAYAWQEAANYFAAAAAA==&#10;">
                <v:fill on="t" focussize="0,0"/>
                <v:stroke color="#000000" miterlimit="8" joinstyle="miter"/>
                <v:imagedata o:title=""/>
                <o:lock v:ext="edit" aspectratio="f"/>
                <v:textbox inset="0mm,0mm,0mm,0mm">
                  <w:txbxContent>
                    <w:p w14:paraId="065AA7CB">
                      <w:pPr>
                        <w:snapToGrid w:val="0"/>
                        <w:jc w:val="center"/>
                        <w:rPr>
                          <w:szCs w:val="21"/>
                        </w:rPr>
                      </w:pPr>
                      <w:r>
                        <w:rPr>
                          <w:rFonts w:hint="eastAsia"/>
                          <w:szCs w:val="21"/>
                        </w:rPr>
                        <w:t>直接效益</w:t>
                      </w:r>
                    </w:p>
                    <w:p w14:paraId="3945BBFB">
                      <w:pPr>
                        <w:snapToGrid w:val="0"/>
                        <w:jc w:val="center"/>
                        <w:rPr>
                          <w:szCs w:val="21"/>
                        </w:rPr>
                      </w:pPr>
                      <w:r>
                        <w:rPr>
                          <w:rFonts w:hint="eastAsia"/>
                          <w:szCs w:val="21"/>
                        </w:rPr>
                        <w:t>（环境经济效益）</w:t>
                      </w:r>
                    </w:p>
                  </w:txbxContent>
                </v:textbox>
              </v:shape>
            </w:pict>
          </mc:Fallback>
        </mc:AlternateContent>
      </w:r>
      <w:r>
        <mc:AlternateContent>
          <mc:Choice Requires="wps">
            <w:drawing>
              <wp:anchor distT="0" distB="0" distL="114300" distR="114300" simplePos="0" relativeHeight="251669504" behindDoc="0" locked="0" layoutInCell="1" allowOverlap="1">
                <wp:simplePos x="0" y="0"/>
                <wp:positionH relativeFrom="column">
                  <wp:posOffset>3318510</wp:posOffset>
                </wp:positionH>
                <wp:positionV relativeFrom="paragraph">
                  <wp:posOffset>215265</wp:posOffset>
                </wp:positionV>
                <wp:extent cx="1813560" cy="252095"/>
                <wp:effectExtent l="5080" t="5080" r="10160" b="9525"/>
                <wp:wrapNone/>
                <wp:docPr id="24" name="文本框 24"/>
                <wp:cNvGraphicFramePr/>
                <a:graphic xmlns:a="http://schemas.openxmlformats.org/drawingml/2006/main">
                  <a:graphicData uri="http://schemas.microsoft.com/office/word/2010/wordprocessingShape">
                    <wps:wsp>
                      <wps:cNvSpPr txBox="1">
                        <a:spLocks noChangeArrowheads="1"/>
                      </wps:cNvSpPr>
                      <wps:spPr bwMode="auto">
                        <a:xfrm>
                          <a:off x="0" y="0"/>
                          <a:ext cx="1813560" cy="252095"/>
                        </a:xfrm>
                        <a:prstGeom prst="rect">
                          <a:avLst/>
                        </a:prstGeom>
                        <a:solidFill>
                          <a:srgbClr val="FFFFFF"/>
                        </a:solidFill>
                        <a:ln w="9525">
                          <a:solidFill>
                            <a:srgbClr val="000000"/>
                          </a:solidFill>
                          <a:miter lim="800000"/>
                        </a:ln>
                        <a:effectLst/>
                      </wps:spPr>
                      <wps:txbx>
                        <w:txbxContent>
                          <w:p w14:paraId="1CBB1CA9">
                            <w:pPr>
                              <w:jc w:val="center"/>
                              <w:rPr>
                                <w:szCs w:val="21"/>
                              </w:rPr>
                            </w:pPr>
                            <w:r>
                              <w:rPr>
                                <w:rFonts w:hint="eastAsia"/>
                                <w:szCs w:val="21"/>
                              </w:rPr>
                              <w:t>采取环保措施后经济效益</w:t>
                            </w:r>
                          </w:p>
                        </w:txbxContent>
                      </wps:txbx>
                      <wps:bodyPr rot="0" vert="horz" wrap="square" lIns="0" tIns="0" rIns="0" bIns="0" anchor="t" anchorCtr="0" upright="1">
                        <a:noAutofit/>
                      </wps:bodyPr>
                    </wps:wsp>
                  </a:graphicData>
                </a:graphic>
              </wp:anchor>
            </w:drawing>
          </mc:Choice>
          <mc:Fallback>
            <w:pict>
              <v:shape id="_x0000_s1026" o:spid="_x0000_s1026" o:spt="202" type="#_x0000_t202" style="position:absolute;left:0pt;margin-left:261.3pt;margin-top:16.95pt;height:19.85pt;width:142.8pt;z-index:251669504;mso-width-relative:page;mso-height-relative:page;" fillcolor="#FFFFFF" filled="t" stroked="t" coordsize="21600,21600" o:gfxdata="UEsDBAoAAAAAAIdO4kAAAAAAAAAAAAAAAAAEAAAAZHJzL1BLAwQUAAAACACHTuJA6F2FGtkAAAAJ&#10;AQAADwAAAGRycy9kb3ducmV2LnhtbE2Py07DMBBF90j8gzVI7KhdR4Q0ZFJRJCQQG9oi1m7sPCAe&#10;R7ablr/HrGA5ukf3nqnWZzuy2fgwOEJYLgQwQ43TA3UI7/unmwJYiIq0Gh0ZhG8TYF1fXlSq1O5E&#10;WzPvYsdSCYVSIfQxTiXnoemNVWHhJkMpa523KqbTd1x7dUrlduRSiJxbNVBa6NVkHnvTfO2OFmE/&#10;b8Lz9jOu9Eu74fK1fZMf/gHx+mop7oFFc45/MPzqJ3Wok9PBHUkHNiLcSpknFCHLVsASUIhCAjsg&#10;3GU58Lri/z+ofwBQSwMEFAAAAAgAh07iQIC3bNc/AgAAhwQAAA4AAABkcnMvZTJvRG9jLnhtbK1U&#10;zW4TMRC+I/EOlu90k0CqdtVNVVIVIZUfqfAAjtebtbA9ZuxktzwAvAEnLtx5rjwHY++mhAJSD+zB&#10;Gtvjb2a+b2bPzntr2FZh0OAqPj2acKachFq7dcXfv7t6csJZiMLVwoBTFb9VgZ8vHj8663ypZtCC&#10;qRUyAnGh7HzF2xh9WRRBtsqKcAReObpsAK2ItMV1UaPoCN2aYjaZHBcdYO0RpAqBTi+HSz4i4kMA&#10;oWm0VJcgN1a5OKCiMiJSSaHVPvBFzrZplIxvmiaoyEzFqdKYVwpC9iqtxeJMlGsUvtVyTEE8JIV7&#10;NVmhHQW9g7oUUbAN6j+grJYIAZp4JMEWQyGZEapiOrnHzU0rvMq1ENXB35Ee/h+sfL19i0zXFZ89&#10;48wJS4rvvn7Zffux+/6Z0RkR1PlQkt+NJ8/YP4ee2iYXG/w1yA+BOVi2wq3VBSJ0rRI1JThNL4uD&#10;pwNOSCCr7hXUFEhsImSgvkGb2CM+GKGTOLd34qg+MplCnkyfzo/pStLdbD6bnM5zCFHuX3sM8YUC&#10;y5JRcSTxM7rYXoeYshHl3iUFC2B0faWNyRtcr5YG2VZQo1zlb0T/zc041lX8dD6bDwT8E2KSv79B&#10;WB1pfoy2FT85dDIu5aFyz475JvYSYQN1sV/1oxorqG+JR4Shn2mayWgBP3HWUS9XPHzcCFScmZeO&#10;tEiNvzdwb6z2hnCSnlY8cjaYyzgMyMajXreEPKjt4IL0anSmMqU2ZDGqTP2ZGR5nKQ3A4T57/fp/&#10;LH4C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AAAAAGRycy9QSwECFAAUAAAACACHTuJA6F2FGtkAAAAJAQAADwAAAAAAAAABACAAAAAiAAAA&#10;ZHJzL2Rvd25yZXYueG1sUEsBAhQAFAAAAAgAh07iQIC3bNc/AgAAhwQAAA4AAAAAAAAAAQAgAAAA&#10;KAEAAGRycy9lMm9Eb2MueG1sUEsFBgAAAAAGAAYAWQEAANkFAAAAAA==&#10;">
                <v:fill on="t" focussize="0,0"/>
                <v:stroke color="#000000" miterlimit="8" joinstyle="miter"/>
                <v:imagedata o:title=""/>
                <o:lock v:ext="edit" aspectratio="f"/>
                <v:textbox inset="0mm,0mm,0mm,0mm">
                  <w:txbxContent>
                    <w:p w14:paraId="1CBB1CA9">
                      <w:pPr>
                        <w:jc w:val="center"/>
                        <w:rPr>
                          <w:szCs w:val="21"/>
                        </w:rPr>
                      </w:pPr>
                      <w:r>
                        <w:rPr>
                          <w:rFonts w:hint="eastAsia"/>
                          <w:szCs w:val="21"/>
                        </w:rPr>
                        <w:t>采取环保措施后经济效益</w:t>
                      </w:r>
                    </w:p>
                  </w:txbxContent>
                </v:textbox>
              </v:shape>
            </w:pict>
          </mc:Fallback>
        </mc:AlternateContent>
      </w:r>
    </w:p>
    <w:p w14:paraId="4AD5AC52">
      <w:pPr>
        <w:pStyle w:val="310"/>
      </w:pPr>
      <w:r>
        <mc:AlternateContent>
          <mc:Choice Requires="wps">
            <w:drawing>
              <wp:anchor distT="0" distB="0" distL="114300" distR="114300" simplePos="0" relativeHeight="251705344" behindDoc="0" locked="0" layoutInCell="1" allowOverlap="1">
                <wp:simplePos x="0" y="0"/>
                <wp:positionH relativeFrom="column">
                  <wp:posOffset>1078230</wp:posOffset>
                </wp:positionH>
                <wp:positionV relativeFrom="paragraph">
                  <wp:posOffset>29845</wp:posOffset>
                </wp:positionV>
                <wp:extent cx="0" cy="555625"/>
                <wp:effectExtent l="6350" t="0" r="12700" b="15875"/>
                <wp:wrapNone/>
                <wp:docPr id="40" name="直接连接符 23"/>
                <wp:cNvGraphicFramePr/>
                <a:graphic xmlns:a="http://schemas.openxmlformats.org/drawingml/2006/main">
                  <a:graphicData uri="http://schemas.microsoft.com/office/word/2010/wordprocessingShape">
                    <wps:wsp>
                      <wps:cNvCnPr>
                        <a:cxnSpLocks noChangeShapeType="1"/>
                      </wps:cNvCnPr>
                      <wps:spPr bwMode="auto">
                        <a:xfrm flipV="1">
                          <a:off x="0" y="0"/>
                          <a:ext cx="0" cy="555625"/>
                        </a:xfrm>
                        <a:prstGeom prst="line">
                          <a:avLst/>
                        </a:prstGeom>
                        <a:noFill/>
                        <a:ln w="12700">
                          <a:solidFill>
                            <a:srgbClr val="000000"/>
                          </a:solidFill>
                          <a:round/>
                        </a:ln>
                        <a:effectLst/>
                      </wps:spPr>
                      <wps:bodyPr/>
                    </wps:wsp>
                  </a:graphicData>
                </a:graphic>
              </wp:anchor>
            </w:drawing>
          </mc:Choice>
          <mc:Fallback>
            <w:pict>
              <v:line id="直接连接符 23" o:spid="_x0000_s1026" o:spt="20" style="position:absolute;left:0pt;flip:y;margin-left:84.9pt;margin-top:2.35pt;height:43.75pt;width:0pt;z-index:251705344;mso-width-relative:page;mso-height-relative:page;" filled="f" stroked="t" coordsize="21600,21600" o:gfxdata="UEsDBAoAAAAAAIdO4kAAAAAAAAAAAAAAAAAEAAAAZHJzL1BLAwQUAAAACACHTuJAUTOxztYAAAAI&#10;AQAADwAAAGRycy9kb3ducmV2LnhtbE2PTUvDQBCG74L/YRnBm90kaGtjNj34AYIEsXrpbZodk2B2&#10;NmSnaf333faix4d3eN9nitXB9WqiMXSeDaSzBBRx7W3HjYGvz5ebe1BBkC32nsnALwVYlZcXBebW&#10;7/mDprU0KpZwyNFAKzLkWoe6JYdh5gfimH370aFEHBttR9zHctfrLEnm2mHHcaHFgR5bqn/WO2dg&#10;Sit+f33e+Kc3rJq7tLKbeiHGXF+lyQMooYP8HcNJP6pDGZ22fsc2qD7yfBnVxcDtAtQpP/PWwDLL&#10;QJeF/v9AeQRQSwMEFAAAAAgAh07iQFz20bvuAQAAxAMAAA4AAABkcnMvZTJvRG9jLnhtbK1TsY4T&#10;MRDtkfgHyz3ZTSAHWmVzRaKjOSDSHfSO15u1sD2Wx8kmP8EPINFBRUnP33B8BmNvLscdzRVsYdnj&#10;mffmPc/OzvfWsJ0KqMHVfDwqOVNOQqPdpubvry+eveIMo3CNMOBUzQ8K+fn86ZNZ7ys1gQ5MowIj&#10;EIdV72vexeirokDZKStwBF45umwhWBHpGDZFE0RP6NYUk7I8K3oIjQ8gFSJFl8MlPyKGxwBC22qp&#10;liC3Vrk4oAZlRCRJ2GmPfJ67bVsl47u2RRWZqTkpjXklEtqv01rMZ6LaBOE7LY8tiMe08ECTFdoR&#10;6QlqKaJg26D/gbJaBkBo40iCLQYh2RFSMS4feHPVCa+yFrIa/cl0/H+w8u1uFZhuav6CLHHC0ovf&#10;fP7x69PX3z+/0Hrz/RubPE829R4ryl64VUhC5d5d+UuQH5E5WHTCbVRu9/rgCWKcKop7JemAnsjW&#10;/RtoKEdsI2TP9m2wrDXaf0iFCZx8Yfv8SIfTI6l9ZHIISopOp9OzyTTTiCohpDofML5WYFna1Nxo&#10;l+wTldhdYkwd3aWksIMLbUweAeNYT+yTl2WZKxCMbtJtysOwWS9MYDuRpih/R+J7aQG2rhlYjEt1&#10;Kg/gkfpW/+DkGprDKtyaRI+bmzsOYpqev8/Zyrufb/4H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UTOxztYAAAAIAQAADwAAAAAAAAABACAAAAAiAAAAZHJzL2Rvd25yZXYueG1sUEsBAhQAFAAAAAgA&#10;h07iQFz20bvuAQAAxAMAAA4AAAAAAAAAAQAgAAAAJQEAAGRycy9lMm9Eb2MueG1sUEsFBgAAAAAG&#10;AAYAWQEAAIUFAAAAAA==&#10;">
                <v:fill on="f" focussize="0,0"/>
                <v:stroke weight="1pt" color="#000000" joinstyle="round"/>
                <v:imagedata o:title=""/>
                <o:lock v:ext="edit" aspectratio="f"/>
              </v:line>
            </w:pict>
          </mc:Fallback>
        </mc:AlternateContent>
      </w:r>
      <w:r>
        <mc:AlternateContent>
          <mc:Choice Requires="wps">
            <w:drawing>
              <wp:anchor distT="0" distB="0" distL="114300" distR="114300" simplePos="0" relativeHeight="251704320" behindDoc="0" locked="0" layoutInCell="1" allowOverlap="1">
                <wp:simplePos x="0" y="0"/>
                <wp:positionH relativeFrom="column">
                  <wp:posOffset>1078230</wp:posOffset>
                </wp:positionH>
                <wp:positionV relativeFrom="paragraph">
                  <wp:posOffset>29845</wp:posOffset>
                </wp:positionV>
                <wp:extent cx="520065" cy="0"/>
                <wp:effectExtent l="0" t="25400" r="13335" b="31750"/>
                <wp:wrapNone/>
                <wp:docPr id="30" name="直接连接符 22"/>
                <wp:cNvGraphicFramePr/>
                <a:graphic xmlns:a="http://schemas.openxmlformats.org/drawingml/2006/main">
                  <a:graphicData uri="http://schemas.microsoft.com/office/word/2010/wordprocessingShape">
                    <wps:wsp>
                      <wps:cNvCnPr>
                        <a:cxnSpLocks noChangeShapeType="1"/>
                      </wps:cNvCnPr>
                      <wps:spPr bwMode="auto">
                        <a:xfrm>
                          <a:off x="0" y="0"/>
                          <a:ext cx="520065" cy="0"/>
                        </a:xfrm>
                        <a:prstGeom prst="line">
                          <a:avLst/>
                        </a:prstGeom>
                        <a:noFill/>
                        <a:ln w="12700">
                          <a:solidFill>
                            <a:srgbClr val="000000"/>
                          </a:solidFill>
                          <a:round/>
                          <a:tailEnd type="stealth" w="sm" len="med"/>
                        </a:ln>
                        <a:effectLst/>
                      </wps:spPr>
                      <wps:bodyPr/>
                    </wps:wsp>
                  </a:graphicData>
                </a:graphic>
              </wp:anchor>
            </w:drawing>
          </mc:Choice>
          <mc:Fallback>
            <w:pict>
              <v:line id="直接连接符 22" o:spid="_x0000_s1026" o:spt="20" style="position:absolute;left:0pt;margin-left:84.9pt;margin-top:2.35pt;height:0pt;width:40.95pt;z-index:251704320;mso-width-relative:page;mso-height-relative:page;" filled="f" stroked="t" coordsize="21600,21600" o:gfxdata="UEsDBAoAAAAAAIdO4kAAAAAAAAAAAAAAAAAEAAAAZHJzL1BLAwQUAAAACACHTuJAFRWrl9MAAAAH&#10;AQAADwAAAGRycy9kb3ducmV2LnhtbE2OQU7DMBBF90jcwRokNog6qaDQEKdCqYrYEjiAGw9Jij2O&#10;bLcJnJ6BDezm6X/9eeVmdlacMMTBk4J8kYFAar0ZqFPw9rq7vgcRkyajrSdU8IkRNtX5WakL4yd6&#10;wVOTOsEjFAutoE9pLKSMbY9Ox4UfkTh798HpxBg6aYKeeNxZucyylXR6IP7Q6xHrHtuP5ugUhHmX&#10;tuZqsoftY/385L/q9SE0Sl1e5NkDiIRz+ivDjz6rQ8VOe38kE4VlXq1ZPSm4uQPB+fI252P/y7Iq&#10;5X//6htQSwMEFAAAAAgAh07iQLt5uYb/AQAA5gMAAA4AAABkcnMvZTJvRG9jLnhtbK1TzW4TMRC+&#10;I/EOlu9kN0EFtMqmh4RyKVCp5QEmtjdr4T95nGzyErwAEjc4ceTet6E8BmPnh1IuPeCDZXtmvpnv&#10;m/H0fGsN26iI2ruWj0c1Z8oJL7VbtfzDzcWzV5xhAifBeKdavlPIz2dPn0yH0KiJ772RKjICcdgM&#10;oeV9SqGpKhS9soAjH5QjY+ejhUTXuKpkhIHQrakmdf2iGnyUIXqhEOl1sTfyA2J8DKDvOi3Uwou1&#10;VS7tUaMykIgS9jogn5Vqu06J9L7rUCVmWk5MU9kpCZ2Xea9mU2hWEUKvxaEEeEwJDzhZ0I6SnqAW&#10;kICto/4HymoRPfoujYS31Z5IUYRYjOsH2lz3EFThQlJjOImO/w9WvNtcRaZly5+TJA4sdfzu84+f&#10;n77+uv1C+933b2wyyTINARvynrurmImKrbsOl158ROb8vAe3UqXcm10giHGOqP4KyRcMlGw5vPWS&#10;fGCdfNFs20WbIUkNti2t2Z1ao7aJCXo8y6Nzxpk4mipojnEhYnqjvGX50HKjXRYNGthcYsp1QHN0&#10;yc/OX2hjSuONYwMVO3lZ1yUCvdEyW7MfxtVybiLbQJ6dsgorstx3i37tZEFLoM1rJ1kqEmBSYFLP&#10;cwa0nBlF380qecAwLudQZUQPZR4V2mu99HJ3FY8yUvsLkcOo5vm6fy9i//mes99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BrBAAAW0NvbnRlbnRf&#10;VHlwZXNdLnhtbFBLAQIUAAoAAAAAAIdO4kAAAAAAAAAAAAAAAAAGAAAAAAAAAAAAEAAAAE0DAABf&#10;cmVscy9QSwECFAAUAAAACACHTuJAihRmPNEAAACUAQAACwAAAAAAAAABACAAAABxAwAAX3JlbHMv&#10;LnJlbHNQSwECFAAKAAAAAACHTuJAAAAAAAAAAAAAAAAABAAAAAAAAAAAABAAAAAAAAAAZHJzL1BL&#10;AQIUABQAAAAIAIdO4kAVFauX0wAAAAcBAAAPAAAAAAAAAAEAIAAAACIAAABkcnMvZG93bnJldi54&#10;bWxQSwECFAAUAAAACACHTuJAu3m5hv8BAADmAwAADgAAAAAAAAABACAAAAAiAQAAZHJzL2Uyb0Rv&#10;Yy54bWxQSwUGAAAAAAYABgBZAQAAkwUAAAAA&#10;">
                <v:fill on="f" focussize="0,0"/>
                <v:stroke weight="1pt" color="#000000" joinstyle="round" endarrow="classic" endarrowwidth="narrow"/>
                <v:imagedata o:title=""/>
                <o:lock v:ext="edit" aspectratio="f"/>
              </v:line>
            </w:pict>
          </mc:Fallback>
        </mc:AlternateContent>
      </w:r>
      <w:r>
        <mc:AlternateContent>
          <mc:Choice Requires="wps">
            <w:drawing>
              <wp:anchor distT="0" distB="0" distL="114300" distR="114300" simplePos="0" relativeHeight="251694080" behindDoc="0" locked="0" layoutInCell="1" allowOverlap="1">
                <wp:simplePos x="0" y="0"/>
                <wp:positionH relativeFrom="column">
                  <wp:posOffset>2918460</wp:posOffset>
                </wp:positionH>
                <wp:positionV relativeFrom="paragraph">
                  <wp:posOffset>29845</wp:posOffset>
                </wp:positionV>
                <wp:extent cx="400050" cy="0"/>
                <wp:effectExtent l="0" t="25400" r="0" b="31750"/>
                <wp:wrapNone/>
                <wp:docPr id="21" name="直接连接符 21"/>
                <wp:cNvGraphicFramePr/>
                <a:graphic xmlns:a="http://schemas.openxmlformats.org/drawingml/2006/main">
                  <a:graphicData uri="http://schemas.microsoft.com/office/word/2010/wordprocessingShape">
                    <wps:wsp>
                      <wps:cNvCnPr>
                        <a:cxnSpLocks noChangeShapeType="1"/>
                      </wps:cNvCnPr>
                      <wps:spPr bwMode="auto">
                        <a:xfrm>
                          <a:off x="0" y="0"/>
                          <a:ext cx="400050" cy="0"/>
                        </a:xfrm>
                        <a:prstGeom prst="line">
                          <a:avLst/>
                        </a:prstGeom>
                        <a:noFill/>
                        <a:ln w="12700">
                          <a:solidFill>
                            <a:srgbClr val="000000"/>
                          </a:solidFill>
                          <a:round/>
                          <a:tailEnd type="stealth" w="sm" len="med"/>
                        </a:ln>
                        <a:effectLst/>
                      </wps:spPr>
                      <wps:bodyPr/>
                    </wps:wsp>
                  </a:graphicData>
                </a:graphic>
              </wp:anchor>
            </w:drawing>
          </mc:Choice>
          <mc:Fallback>
            <w:pict>
              <v:line id="_x0000_s1026" o:spid="_x0000_s1026" o:spt="20" style="position:absolute;left:0pt;margin-left:229.8pt;margin-top:2.35pt;height:0pt;width:31.5pt;z-index:251694080;mso-width-relative:page;mso-height-relative:page;" filled="f" stroked="t" coordsize="21600,21600" o:gfxdata="UEsDBAoAAAAAAIdO4kAAAAAAAAAAAAAAAAAEAAAAZHJzL1BLAwQUAAAACACHTuJA542EctQAAAAH&#10;AQAADwAAAGRycy9kb3ducmV2LnhtbE2OQU7DMBBF90jcwRokNqh1GtHShjgVSlXEtoEDuPGQpMTj&#10;yHabwOkZ2MBunv7Xn5dvJ9uLC/rQOVKwmCcgkGpnOmoUvL3uZ2sQIWoyuneECj4xwLa4vsp1ZtxI&#10;B7xUsRE8QiHTCtoYh0zKULdodZi7AYmzd+etjoy+kcbrkcdtL9MkWUmrO+IPrR6wbLH+qM5WgZ/2&#10;cWfuxv60eypfnt1XuTn5Sqnbm0XyCCLiFP/K8KPP6lCw09GdyQTRK7hfblZc5eMBBOfLNGU+/rIs&#10;cvnfv/gGUEsDBBQAAAAIAIdO4kA8gbFUAAIAAOYDAAAOAAAAZHJzL2Uyb0RvYy54bWytU0uOEzEQ&#10;3SNxB8t70p2In1rpzCJh2AwQaYYDOLY7bWG7LJeTTi7BBZDYwYole27DcAzKzgdm2MyCXljtqlev&#10;ql6Vpxc7Z9lWRzTgWz4e1ZxpL0EZv275+5vLJy85wyS8Eha8bvleI7+YPX40HUKjJ9CDVToyIvHY&#10;DKHlfUqhqSqUvXYCRxC0J2cH0YlE17iuVBQDsTtbTer6eTVAVCGC1IhkXRyc/MgYH0IIXWekXoDc&#10;OO3TgTVqKxK1hL0JyGel2q7TMr3rOtSJ2ZZTp6mclIT+V/msZlPRrKMIvZHHEsRDSrjXkxPGU9Iz&#10;1UIkwTbR/EPljIyA0KWRBFcdGimKUBfj+p42170IuvRCUmM4i47/j1a+3S4jM6rlkzFnXjia+O2n&#10;7z8/fvn14zOdt9++MvKQTEPAhtBzv4y5Ubnz1+EK5AdkHua98Gtdyr3ZB6IoEdWdkHzBQMlWwxtQ&#10;hBGbBEWzXRddpiQ12K6MZn8ejd4lJsn4tK7rZzQ0eXJVojnFhYjptQbH8k/LrfFZNNGI7RUmqpyg&#10;J0g2e7g01pbBW88GKnbyoq5LBII1KnszDuN6NbeRbUXenfJlHYjtDizCxqvCloSxr7xiqUiASQub&#10;ep4zoOPManpuTqsjh/U5hy4reizzpNBB6xWo/TLmhNlO4y+pj6ua9+vve0H9eZ6z3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G0EAABbQ29udGVu&#10;dF9UeXBlc10ueG1sUEsBAhQACgAAAAAAh07iQAAAAAAAAAAAAAAAAAYAAAAAAAAAAAAQAAAATwMA&#10;AF9yZWxzL1BLAQIUABQAAAAIAIdO4kCKFGY80QAAAJQBAAALAAAAAAAAAAEAIAAAAHMDAABfcmVs&#10;cy8ucmVsc1BLAQIUAAoAAAAAAIdO4kAAAAAAAAAAAAAAAAAEAAAAAAAAAAAAEAAAAAAAAABkcnMv&#10;UEsBAhQAFAAAAAgAh07iQOeNhHLUAAAABwEAAA8AAAAAAAAAAQAgAAAAIgAAAGRycy9kb3ducmV2&#10;LnhtbFBLAQIUABQAAAAIAIdO4kA8gbFUAAIAAOYDAAAOAAAAAAAAAAEAIAAAACMBAABkcnMvZTJv&#10;RG9jLnhtbFBLBQYAAAAABgAGAFkBAACVBQAAAAA=&#10;">
                <v:fill on="f" focussize="0,0"/>
                <v:stroke weight="1pt" color="#000000" joinstyle="round" endarrow="classic" endarrowwidth="narrow"/>
                <v:imagedata o:title=""/>
                <o:lock v:ext="edit" aspectratio="f"/>
              </v:line>
            </w:pict>
          </mc:Fallback>
        </mc:AlternateContent>
      </w:r>
      <w:r>
        <mc:AlternateContent>
          <mc:Choice Requires="wps">
            <w:drawing>
              <wp:anchor distT="0" distB="0" distL="114300" distR="114300" simplePos="0" relativeHeight="251689984" behindDoc="0" locked="0" layoutInCell="1" allowOverlap="1">
                <wp:simplePos x="0" y="0"/>
                <wp:positionH relativeFrom="column">
                  <wp:posOffset>2665095</wp:posOffset>
                </wp:positionH>
                <wp:positionV relativeFrom="paragraph">
                  <wp:posOffset>29845</wp:posOffset>
                </wp:positionV>
                <wp:extent cx="253365" cy="635"/>
                <wp:effectExtent l="0" t="25400" r="13335" b="31115"/>
                <wp:wrapNone/>
                <wp:docPr id="20" name="直接连接符 20"/>
                <wp:cNvGraphicFramePr/>
                <a:graphic xmlns:a="http://schemas.openxmlformats.org/drawingml/2006/main">
                  <a:graphicData uri="http://schemas.microsoft.com/office/word/2010/wordprocessingShape">
                    <wps:wsp>
                      <wps:cNvCnPr>
                        <a:cxnSpLocks noChangeShapeType="1"/>
                      </wps:cNvCnPr>
                      <wps:spPr bwMode="auto">
                        <a:xfrm flipV="1">
                          <a:off x="0" y="0"/>
                          <a:ext cx="253365" cy="635"/>
                        </a:xfrm>
                        <a:prstGeom prst="line">
                          <a:avLst/>
                        </a:prstGeom>
                        <a:noFill/>
                        <a:ln w="12700">
                          <a:solidFill>
                            <a:srgbClr val="000000"/>
                          </a:solidFill>
                          <a:round/>
                          <a:tailEnd type="stealth" w="sm" len="med"/>
                        </a:ln>
                        <a:effectLst/>
                      </wps:spPr>
                      <wps:bodyPr/>
                    </wps:wsp>
                  </a:graphicData>
                </a:graphic>
              </wp:anchor>
            </w:drawing>
          </mc:Choice>
          <mc:Fallback>
            <w:pict>
              <v:line id="_x0000_s1026" o:spid="_x0000_s1026" o:spt="20" style="position:absolute;left:0pt;flip:y;margin-left:209.85pt;margin-top:2.35pt;height:0.05pt;width:19.95pt;z-index:251689984;mso-width-relative:page;mso-height-relative:page;" filled="f" stroked="t" coordsize="21600,21600" o:gfxdata="UEsDBAoAAAAAAIdO4kAAAAAAAAAAAAAAAAAEAAAAZHJzL1BLAwQUAAAACACHTuJAuSXev9YAAAAH&#10;AQAADwAAAGRycy9kb3ducmV2LnhtbE2OS0/DMBCE70j8B2uRuFEnqC1pGqcHXsdITcuhNzde4tB4&#10;HWL3Ab+e5QSnndWMZr5idXG9OOEYOk8K0kkCAqnxpqNWwXbzcpeBCFGT0b0nVPCFAVbl9VWhc+PP&#10;tMZTHVvBJRRyrcDGOORShsai02HiByT23v3odOR3bKUZ9ZnLXS/vk2Qune6IF6we8NFic6iPTsHs&#10;O32rN6/d5/M6O+y2Tx+VrUKl1O1NmixBRLzEvzD84jM6lMy090cyQfQKpunigaMs+LA/nS3mIPYs&#10;MpBlIf/zlz9QSwMEFAAAAAgAh07iQJlVmS8KAgAA8gMAAA4AAABkcnMvZTJvRG9jLnhtbK1TzW4T&#10;MRC+I/EOlu9kN4kS0CqbHhLKpUCklt4d25u18J88TjZ5CV4AiRucOPbO21Aeo2Nnm9Jy6YE9WGvP&#10;zPfN93k8O9sbTXYygHK2psNBSYm03AllNzX9dHX+6g0lEJkVTDsra3qQQM/mL1/MOl/JkWudFjIQ&#10;BLFQdb6mbYy+KgrgrTQMBs5Li8HGBcMibsOmEIF1iG50MSrLadG5IHxwXALg6fIYpD1ieA6gaxrF&#10;5dLxrZE2HlGD1CyiJGiVBzrP3TaN5PFj04CMRNcUlca8Ign+r9NazGes2gTmW8X7FthzWniiyTBl&#10;kfQEtWSRkW1Q/0AZxYMD18QBd6Y4CsmOoIph+cSby5Z5mbWg1eBPpsP/g+UfdqtAlKjpCC2xzOCN&#10;3369+f3l+59f33C9/fmDYARt6jxUmL2wq5CE8r299BeOfwZi3aJldiNzu1cHjxDDVFE8Kkkb8Ei2&#10;7t47gTlsG132bN8EQxqt/HUqTODoC9nnSzqcLknuI+F4OJqMx9MJJRxD0/EkE7EqYaRKHyC+k86Q&#10;9FNTrWwykFVsdwEx9fSQko6tO1da5yHQlnTIP3pdlrkCnFYiRVMehM16oQPZsTRH+euJH6UFt7Ui&#10;o0Wm9FsrSMx2QJRMx5YmBjCUaIlPz0jRY2ibOGQe177Ne7eOvq+dOKzCvaU4CllIP7Zp1v7eZ+Mf&#10;nur8Dl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Lkl3r/WAAAABwEAAA8AAAAAAAAAAQAgAAAAIgAA&#10;AGRycy9kb3ducmV2LnhtbFBLAQIUABQAAAAIAIdO4kCZVZkvCgIAAPIDAAAOAAAAAAAAAAEAIAAA&#10;ACUBAABkcnMvZTJvRG9jLnhtbFBLBQYAAAAABgAGAFkBAAChBQAAAAA=&#10;">
                <v:fill on="f" focussize="0,0"/>
                <v:stroke weight="1pt" color="#000000" joinstyle="round" endarrow="classic" endarrowwidth="narrow"/>
                <v:imagedata o:title=""/>
                <o:lock v:ext="edit" aspectratio="f"/>
              </v:line>
            </w:pict>
          </mc:Fallback>
        </mc:AlternateContent>
      </w:r>
    </w:p>
    <w:p w14:paraId="19084DE7">
      <w:pPr>
        <w:pStyle w:val="310"/>
      </w:pPr>
      <w:r>
        <mc:AlternateContent>
          <mc:Choice Requires="wps">
            <w:drawing>
              <wp:anchor distT="0" distB="0" distL="114300" distR="114300" simplePos="0" relativeHeight="251692032" behindDoc="0" locked="0" layoutInCell="1" allowOverlap="1">
                <wp:simplePos x="0" y="0"/>
                <wp:positionH relativeFrom="column">
                  <wp:posOffset>2918460</wp:posOffset>
                </wp:positionH>
                <wp:positionV relativeFrom="paragraph">
                  <wp:posOffset>160020</wp:posOffset>
                </wp:positionV>
                <wp:extent cx="400050" cy="0"/>
                <wp:effectExtent l="0" t="25400" r="0" b="31750"/>
                <wp:wrapNone/>
                <wp:docPr id="19" name="直接连接符 19"/>
                <wp:cNvGraphicFramePr/>
                <a:graphic xmlns:a="http://schemas.openxmlformats.org/drawingml/2006/main">
                  <a:graphicData uri="http://schemas.microsoft.com/office/word/2010/wordprocessingShape">
                    <wps:wsp>
                      <wps:cNvCnPr>
                        <a:cxnSpLocks noChangeShapeType="1"/>
                      </wps:cNvCnPr>
                      <wps:spPr bwMode="auto">
                        <a:xfrm>
                          <a:off x="0" y="0"/>
                          <a:ext cx="400050" cy="0"/>
                        </a:xfrm>
                        <a:prstGeom prst="line">
                          <a:avLst/>
                        </a:prstGeom>
                        <a:noFill/>
                        <a:ln w="12700">
                          <a:solidFill>
                            <a:srgbClr val="000000"/>
                          </a:solidFill>
                          <a:round/>
                          <a:tailEnd type="stealth" w="sm" len="med"/>
                        </a:ln>
                        <a:effectLst/>
                      </wps:spPr>
                      <wps:bodyPr/>
                    </wps:wsp>
                  </a:graphicData>
                </a:graphic>
              </wp:anchor>
            </w:drawing>
          </mc:Choice>
          <mc:Fallback>
            <w:pict>
              <v:line id="_x0000_s1026" o:spid="_x0000_s1026" o:spt="20" style="position:absolute;left:0pt;margin-left:229.8pt;margin-top:12.6pt;height:0pt;width:31.5pt;z-index:251692032;mso-width-relative:page;mso-height-relative:page;" filled="f" stroked="t" coordsize="21600,21600" o:gfxdata="UEsDBAoAAAAAAIdO4kAAAAAAAAAAAAAAAAAEAAAAZHJzL1BLAwQUAAAACACHTuJAbM4NTNYAAAAJ&#10;AQAADwAAAGRycy9kb3ducmV2LnhtbE2PQU7DMBBF90jcwRokNqh1apGKhjgVSlXElsAB3HiapNjj&#10;yHabwOkxYgHL+fP05025na1hF/RhcCRhtcyAIbVOD9RJeH/bLx6AhahIK+MIJXxigG11fVWqQruJ&#10;XvHSxI6lEgqFktDHOBach7ZHq8LSjUhpd3TeqphG33Ht1ZTKreEiy9bcqoHShV6NWPfYfjRnK8HP&#10;+7jTd5M57Z7ql2f3VW9OvpHy9maVPQKLOMc/GH70kzpUyengzqQDMxLu8806oRJELoAlIBciBYff&#10;gFcl//9B9Q1QSwMEFAAAAAgAh07iQHtg1akAAgAA5gMAAA4AAABkcnMvZTJvRG9jLnhtbK1TS44T&#10;MRDdI3EHy3vSnYhvK51ZJAybAUaa4QCO7U5b2C7L5aSTS3ABJHawYjl7bsNwDMrOh2HYzAIvLNtV&#10;9areq/L0bOss2+iIBnzLx6OaM+0lKONXLf9wff7kJWeYhFfCgtct32nkZ7PHj6ZDaPQEerBKR0Yg&#10;HpshtLxPKTRVhbLXTuAIgvZk7CA6kegaV5WKYiB0Z6tJXT+vBogqRJAakV4XeyM/IMaHAELXGakX&#10;INdO+7RHjdqKRJSwNwH5rFTbdVqm912HOjHbcmKayk5J6LzMezWbimYVReiNPJQgHlLCPU5OGE9J&#10;T1ALkQRbR/MPlDMyAkKXRhJctSdSFCEW4/qeNle9CLpwIakxnETH/wcr320uIzOKJuEVZ1446vjt&#10;55ufn77++vGF9tvv3xhZSKYhYEPec38ZM1G59VfhAuRHZB7mvfArXcq93gWCGOeI6q+QfMFAyZbD&#10;W1DkI9YJimbbLroMSWqwbWnN7tQavU1M0uPTuq6fUdPk0VSJ5hgXIqY3GhzLh5Zb47NoohGbC0y5&#10;DtEcXfKzh3NjbWm89WygYicv6rpEIFijsjX7YVwt5zayjcizU1ZhRZa7bhHWXhW0JIx97RVLRQJM&#10;WtjU85wBHWdW03dzWh0wrM85dBnRQ5lHhfZaL0HtLuNRRmp/IXIY1Txfd+9F7D/fc/Yb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bM4NTNYAAAAJAQAADwAAAAAAAAABACAAAAAiAAAAZHJzL2Rvd25y&#10;ZXYueG1sUEsBAhQAFAAAAAgAh07iQHtg1akAAgAA5gMAAA4AAAAAAAAAAQAgAAAAJQEAAGRycy9l&#10;Mm9Eb2MueG1sUEsFBgAAAAAGAAYAWQEAAJcFAAAAAA==&#10;">
                <v:fill on="f" focussize="0,0"/>
                <v:stroke weight="1pt" color="#000000" joinstyle="round" endarrow="classic" endarrowwidth="narrow"/>
                <v:imagedata o:title=""/>
                <o:lock v:ext="edit" aspectratio="f"/>
              </v:line>
            </w:pict>
          </mc:Fallback>
        </mc:AlternateContent>
      </w:r>
      <w:r>
        <mc:AlternateContent>
          <mc:Choice Requires="wps">
            <w:drawing>
              <wp:anchor distT="0" distB="0" distL="114300" distR="114300" simplePos="0" relativeHeight="251679744" behindDoc="0" locked="0" layoutInCell="1" allowOverlap="1">
                <wp:simplePos x="0" y="0"/>
                <wp:positionH relativeFrom="column">
                  <wp:posOffset>864870</wp:posOffset>
                </wp:positionH>
                <wp:positionV relativeFrom="paragraph">
                  <wp:posOffset>257175</wp:posOffset>
                </wp:positionV>
                <wp:extent cx="426720" cy="252095"/>
                <wp:effectExtent l="5080" t="4445" r="6350" b="10160"/>
                <wp:wrapNone/>
                <wp:docPr id="18" name="文本框 18"/>
                <wp:cNvGraphicFramePr/>
                <a:graphic xmlns:a="http://schemas.openxmlformats.org/drawingml/2006/main">
                  <a:graphicData uri="http://schemas.microsoft.com/office/word/2010/wordprocessingShape">
                    <wps:wsp>
                      <wps:cNvSpPr txBox="1">
                        <a:spLocks noChangeArrowheads="1"/>
                      </wps:cNvSpPr>
                      <wps:spPr bwMode="auto">
                        <a:xfrm>
                          <a:off x="0" y="0"/>
                          <a:ext cx="426720" cy="252095"/>
                        </a:xfrm>
                        <a:prstGeom prst="rect">
                          <a:avLst/>
                        </a:prstGeom>
                        <a:solidFill>
                          <a:srgbClr val="FFFFFF"/>
                        </a:solidFill>
                        <a:ln w="9525">
                          <a:solidFill>
                            <a:srgbClr val="000000"/>
                          </a:solidFill>
                          <a:miter lim="800000"/>
                        </a:ln>
                        <a:effectLst/>
                      </wps:spPr>
                      <wps:txbx>
                        <w:txbxContent>
                          <w:p w14:paraId="76F1C9B3">
                            <w:pPr>
                              <w:jc w:val="center"/>
                              <w:rPr>
                                <w:szCs w:val="21"/>
                              </w:rPr>
                            </w:pPr>
                            <w:r>
                              <w:rPr>
                                <w:rFonts w:hint="eastAsia"/>
                                <w:szCs w:val="21"/>
                              </w:rPr>
                              <w:t>效益</w:t>
                            </w:r>
                          </w:p>
                        </w:txbxContent>
                      </wps:txbx>
                      <wps:bodyPr rot="0" vert="horz" wrap="square" lIns="0" tIns="0" rIns="0" bIns="0" anchor="t" anchorCtr="0" upright="1">
                        <a:noAutofit/>
                      </wps:bodyPr>
                    </wps:wsp>
                  </a:graphicData>
                </a:graphic>
              </wp:anchor>
            </w:drawing>
          </mc:Choice>
          <mc:Fallback>
            <w:pict>
              <v:shape id="_x0000_s1026" o:spid="_x0000_s1026" o:spt="202" type="#_x0000_t202" style="position:absolute;left:0pt;margin-left:68.1pt;margin-top:20.25pt;height:19.85pt;width:33.6pt;z-index:251679744;mso-width-relative:page;mso-height-relative:page;" fillcolor="#FFFFFF" filled="t" stroked="t" coordsize="21600,21600" o:gfxdata="UEsDBAoAAAAAAIdO4kAAAAAAAAAAAAAAAAAEAAAAZHJzL1BLAwQUAAAACACHTuJAPykwrdgAAAAJ&#10;AQAADwAAAGRycy9kb3ducmV2LnhtbE2Py07DMBBF90j8gzVI7Khdt1QlxKkoEhKIDW0RazeePCAe&#10;R7Gblr/vdAXLqzm690y+OvlOjDjENpCB6USBQCqDa6k28Ll7uVuCiMmSs10gNPCLEVbF9VVuMxeO&#10;tMFxm2rBJRQza6BJqc+kjGWD3sZJ6JH4VoXB28RxqKUb7JHLfSe1UgvpbUu80Ngenxssf7YHb2A3&#10;ruPr5js9uLdqLfV79aG/hidjbm+m6hFEwlP6g+Giz+pQsNM+HMhF0XGeLTSjBubqHgQDWs3mIPYG&#10;lkqDLHL5/4PiDFBLAwQUAAAACACHTuJAK3F2uj0CAACGBAAADgAAAGRycy9lMm9Eb2MueG1srVTN&#10;btQwEL4j8Q6W7zS7EVvaqNmqtCpCKj9S4QG8jrOxsD1m7N2kPAC8AScu3HmuPgdjJ7uUAlIP5GCN&#10;7ZlvZr5vnJPTwRq2VRg0uJrPD2acKSeh0W5d8/fvLp8ccRaicI0w4FTNb1Tgp8vHj056X6kSOjCN&#10;QkYgLlS9r3kXo6+KIshOWREOwCtHly2gFZG2uC4aFD2hW1OUs9lh0QM2HkGqEOj0YrzkEyI+BBDa&#10;Vkt1AXJjlYsjKiojIrUUOu0DX+Zq21bJ+KZtg4rM1Jw6jXmlJGSv0losT0S1RuE7LacSxENKuNeT&#10;FdpR0j3UhYiCbVD/AWW1RAjQxgMJthgbyYxQF/PZPW6uO+FV7oWoDn5Pevh/sPL19i0y3dAkkO5O&#10;WFL89uuX228/br9/ZnRGBPU+VOR37ckzDs9hIOfcbPBXID8E5uC8E26tzhCh75RoqMB5iizuhI44&#10;IYGs+lfQUCKxiZCBhhZtYo/4YIRO4tzsxVFDZJIOn5aHz0q6kXRVLsrZ8SJnENUu2GOILxRYloya&#10;I2mfwcX2KsRUjKh2LilXAKObS21M3uB6dW6QbQXNyWX+JvTf3Ixjfc2PF+Vi7P+fELP8/Q3C6kjP&#10;x2hb86O7TsalOlQe2aneRF7ia2QuDqthEmMFzQ3RiDCOMz1mMjrAT5z1NMo1Dx83AhVn5qUjKdLc&#10;7wzcGaudIZyk0JpHzkbzPI7vY+NRrztCHsV2cEZytTpTmUobq5hEpvHMDE9PKc3/3X32+vX7WP4E&#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PykwrdgAAAAJAQAADwAAAAAAAAABACAAAAAiAAAAZHJz&#10;L2Rvd25yZXYueG1sUEsBAhQAFAAAAAgAh07iQCtxdro9AgAAhgQAAA4AAAAAAAAAAQAgAAAAJwEA&#10;AGRycy9lMm9Eb2MueG1sUEsFBgAAAAAGAAYAWQEAANYFAAAAAA==&#10;">
                <v:fill on="t" focussize="0,0"/>
                <v:stroke color="#000000" miterlimit="8" joinstyle="miter"/>
                <v:imagedata o:title=""/>
                <o:lock v:ext="edit" aspectratio="f"/>
                <v:textbox inset="0mm,0mm,0mm,0mm">
                  <w:txbxContent>
                    <w:p w14:paraId="76F1C9B3">
                      <w:pPr>
                        <w:jc w:val="center"/>
                        <w:rPr>
                          <w:szCs w:val="21"/>
                        </w:rPr>
                      </w:pPr>
                      <w:r>
                        <w:rPr>
                          <w:rFonts w:hint="eastAsia"/>
                          <w:szCs w:val="21"/>
                        </w:rPr>
                        <w:t>效益</w:t>
                      </w:r>
                    </w:p>
                  </w:txbxContent>
                </v:textbox>
              </v:shape>
            </w:pict>
          </mc:Fallback>
        </mc:AlternateContent>
      </w:r>
      <w:r>
        <mc:AlternateContent>
          <mc:Choice Requires="wps">
            <w:drawing>
              <wp:anchor distT="0" distB="0" distL="114300" distR="114300" simplePos="0" relativeHeight="251670528" behindDoc="0" locked="0" layoutInCell="1" allowOverlap="1">
                <wp:simplePos x="0" y="0"/>
                <wp:positionH relativeFrom="column">
                  <wp:posOffset>3318510</wp:posOffset>
                </wp:positionH>
                <wp:positionV relativeFrom="paragraph">
                  <wp:posOffset>1270</wp:posOffset>
                </wp:positionV>
                <wp:extent cx="1813560" cy="252095"/>
                <wp:effectExtent l="5080" t="5080" r="10160" b="9525"/>
                <wp:wrapNone/>
                <wp:docPr id="17" name="文本框 17"/>
                <wp:cNvGraphicFramePr/>
                <a:graphic xmlns:a="http://schemas.openxmlformats.org/drawingml/2006/main">
                  <a:graphicData uri="http://schemas.microsoft.com/office/word/2010/wordprocessingShape">
                    <wps:wsp>
                      <wps:cNvSpPr txBox="1">
                        <a:spLocks noChangeArrowheads="1"/>
                      </wps:cNvSpPr>
                      <wps:spPr bwMode="auto">
                        <a:xfrm>
                          <a:off x="0" y="0"/>
                          <a:ext cx="1813560" cy="252095"/>
                        </a:xfrm>
                        <a:prstGeom prst="rect">
                          <a:avLst/>
                        </a:prstGeom>
                        <a:solidFill>
                          <a:srgbClr val="FFFFFF"/>
                        </a:solidFill>
                        <a:ln w="9525">
                          <a:solidFill>
                            <a:srgbClr val="000000"/>
                          </a:solidFill>
                          <a:miter lim="800000"/>
                        </a:ln>
                        <a:effectLst/>
                      </wps:spPr>
                      <wps:txbx>
                        <w:txbxContent>
                          <w:p w14:paraId="7A0BAFBD">
                            <w:pPr>
                              <w:jc w:val="center"/>
                              <w:rPr>
                                <w:szCs w:val="21"/>
                              </w:rPr>
                            </w:pPr>
                            <w:r>
                              <w:rPr>
                                <w:rFonts w:hint="eastAsia"/>
                                <w:szCs w:val="21"/>
                              </w:rPr>
                              <w:t>工程建设减轻的环境污染</w:t>
                            </w:r>
                          </w:p>
                        </w:txbxContent>
                      </wps:txbx>
                      <wps:bodyPr rot="0" vert="horz" wrap="square" lIns="0" tIns="0" rIns="0" bIns="0" anchor="t" anchorCtr="0" upright="1">
                        <a:noAutofit/>
                      </wps:bodyPr>
                    </wps:wsp>
                  </a:graphicData>
                </a:graphic>
              </wp:anchor>
            </w:drawing>
          </mc:Choice>
          <mc:Fallback>
            <w:pict>
              <v:shape id="_x0000_s1026" o:spid="_x0000_s1026" o:spt="202" type="#_x0000_t202" style="position:absolute;left:0pt;margin-left:261.3pt;margin-top:0.1pt;height:19.85pt;width:142.8pt;z-index:251670528;mso-width-relative:page;mso-height-relative:page;" fillcolor="#FFFFFF" filled="t" stroked="t" coordsize="21600,21600" o:gfxdata="UEsDBAoAAAAAAIdO4kAAAAAAAAAAAAAAAAAEAAAAZHJzL1BLAwQUAAAACACHTuJA/fEKydYAAAAH&#10;AQAADwAAAGRycy9kb3ducmV2LnhtbE2OzU7DMBCE70i8g7VI3KhdI6okZFNRJCQQF9oizm68+YHY&#10;jmI3LW/PcoLbjGY085XrsxvETFPsg0dYLhQI8nWwvW8R3vdPNxmImIy3ZgieEL4pwrq6vChNYcPJ&#10;b2nepVbwiI+FQehSGgspY92RM3ERRvKcNWFyJrGdWmknc+JxN0it1Eo603t+6MxIjx3VX7ujQ9jP&#10;m/i8/Uy5fWk2Ur82b/pjekC8vlqqexCJzumvDL/4jA4VMx3C0dsoBoQ7rVdcRdAgOM5UxuKAcJvn&#10;IKtS/uevfgBQSwMEFAAAAAgAh07iQON2wk0+AgAAhwQAAA4AAABkcnMvZTJvRG9jLnhtbK1UzW4T&#10;MRC+I/EOlu90k6CUdtVNVVIVIZUfqfAAjtebtbA9ZuxktzwAvAEnLtx5rjwHY++mhAJSD+zBGtvj&#10;b2a+b2bPzntr2FZh0OAqPj2acKachFq7dcXfv7t6csJZiMLVwoBTFb9VgZ8vHj8663ypZtCCqRUy&#10;AnGh7HzF2xh9WRRBtsqKcAReObpsAK2ItMV1UaPoCN2aYjaZHBcdYO0RpAqBTi+HSz4i4kMAoWm0&#10;VJcgN1a5OKCiMiJSSaHVPvBFzrZplIxvmiaoyEzFqdKYVwpC9iqtxeJMlGsUvtVyTEE8JIV7NVmh&#10;HQW9g7oUUbAN6j+grJYIAZp4JMEWQyGZEapiOrnHzU0rvMq1ENXB35Ee/h+sfL19i0zX1AnPOHPC&#10;kuK7r192337svn9mdEYEdT6U5HfjyTP2z6En51xs8NcgPwTmYNkKt1YXiNC1StSU4DS9LA6eDjgh&#10;gay6V1BTILGJkIH6Bm1ij/hghE7i3N6Jo/rIZAp5Mn06P6YrSXez+WxyOs8hRLl/7THEFwosS0bF&#10;kcTP6GJ7HWLKRpR7lxQsgNH1lTYmb3C9WhpkW0GNcpW/Ef03N+NYV/HT+Ww+EPBPiEn+/gZhdaT5&#10;MdpW/OTQybiUh8o9O+ab2EuEDdTFftWPaqygviUeEYZ+pmkmowX8xFlHvVzx8HEjUHFmXjrSIjX+&#10;3sC9sdobwkl6WvHI2WAu4zAgG4963RLyoLaDC9Kr0ZnKlNqQxagy9WdmeJylNACH++z16/+x+Al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CtBAAA&#10;W0NvbnRlbnRfVHlwZXNdLnhtbFBLAQIUAAoAAAAAAIdO4kAAAAAAAAAAAAAAAAAGAAAAAAAAAAAA&#10;EAAAAI8DAABfcmVscy9QSwECFAAUAAAACACHTuJAihRmPNEAAACUAQAACwAAAAAAAAABACAAAACz&#10;AwAAX3JlbHMvLnJlbHNQSwECFAAKAAAAAACHTuJAAAAAAAAAAAAAAAAABAAAAAAAAAAAABAAAAAA&#10;AAAAZHJzL1BLAQIUABQAAAAIAIdO4kD98QrJ1gAAAAcBAAAPAAAAAAAAAAEAIAAAACIAAABkcnMv&#10;ZG93bnJldi54bWxQSwECFAAUAAAACACHTuJA43bCTT4CAACHBAAADgAAAAAAAAABACAAAAAlAQAA&#10;ZHJzL2Uyb0RvYy54bWxQSwUGAAAAAAYABgBZAQAA1QUAAAAA&#10;">
                <v:fill on="t" focussize="0,0"/>
                <v:stroke color="#000000" miterlimit="8" joinstyle="miter"/>
                <v:imagedata o:title=""/>
                <o:lock v:ext="edit" aspectratio="f"/>
                <v:textbox inset="0mm,0mm,0mm,0mm">
                  <w:txbxContent>
                    <w:p w14:paraId="7A0BAFBD">
                      <w:pPr>
                        <w:jc w:val="center"/>
                        <w:rPr>
                          <w:szCs w:val="21"/>
                        </w:rPr>
                      </w:pPr>
                      <w:r>
                        <w:rPr>
                          <w:rFonts w:hint="eastAsia"/>
                          <w:szCs w:val="21"/>
                        </w:rPr>
                        <w:t>工程建设减轻的环境污染</w:t>
                      </w:r>
                    </w:p>
                  </w:txbxContent>
                </v:textbox>
              </v:shape>
            </w:pict>
          </mc:Fallback>
        </mc:AlternateContent>
      </w:r>
    </w:p>
    <w:p w14:paraId="01156765">
      <w:pPr>
        <w:pStyle w:val="310"/>
      </w:pPr>
      <w:r>
        <mc:AlternateContent>
          <mc:Choice Requires="wps">
            <w:drawing>
              <wp:anchor distT="0" distB="0" distL="114300" distR="114300" simplePos="0" relativeHeight="251709440" behindDoc="0" locked="0" layoutInCell="1" allowOverlap="1">
                <wp:simplePos x="0" y="0"/>
                <wp:positionH relativeFrom="column">
                  <wp:posOffset>344805</wp:posOffset>
                </wp:positionH>
                <wp:positionV relativeFrom="paragraph">
                  <wp:posOffset>52070</wp:posOffset>
                </wp:positionV>
                <wp:extent cx="533400" cy="0"/>
                <wp:effectExtent l="0" t="25400" r="0" b="31750"/>
                <wp:wrapNone/>
                <wp:docPr id="54" name="直接连接符 16"/>
                <wp:cNvGraphicFramePr/>
                <a:graphic xmlns:a="http://schemas.openxmlformats.org/drawingml/2006/main">
                  <a:graphicData uri="http://schemas.microsoft.com/office/word/2010/wordprocessingShape">
                    <wps:wsp>
                      <wps:cNvCnPr>
                        <a:cxnSpLocks noChangeShapeType="1"/>
                      </wps:cNvCnPr>
                      <wps:spPr bwMode="auto">
                        <a:xfrm>
                          <a:off x="0" y="0"/>
                          <a:ext cx="533400" cy="0"/>
                        </a:xfrm>
                        <a:prstGeom prst="line">
                          <a:avLst/>
                        </a:prstGeom>
                        <a:noFill/>
                        <a:ln w="12700">
                          <a:solidFill>
                            <a:srgbClr val="000000"/>
                          </a:solidFill>
                          <a:round/>
                          <a:tailEnd type="stealth" w="sm" len="med"/>
                        </a:ln>
                        <a:effectLst/>
                      </wps:spPr>
                      <wps:bodyPr/>
                    </wps:wsp>
                  </a:graphicData>
                </a:graphic>
              </wp:anchor>
            </w:drawing>
          </mc:Choice>
          <mc:Fallback>
            <w:pict>
              <v:line id="直接连接符 16" o:spid="_x0000_s1026" o:spt="20" style="position:absolute;left:0pt;margin-left:27.15pt;margin-top:4.1pt;height:0pt;width:42pt;z-index:251709440;mso-width-relative:page;mso-height-relative:page;" filled="f" stroked="t" coordsize="21600,21600" o:gfxdata="UEsDBAoAAAAAAIdO4kAAAAAAAAAAAAAAAAAEAAAAZHJzL1BLAwQUAAAACACHTuJAi+oC2NMAAAAG&#10;AQAADwAAAGRycy9kb3ducmV2LnhtbE2OUU/CMBSF3034D80l4cVAByiZcx0hIxhfmf6Asl63YXu7&#10;tIVNf73FF338ck7O+fLtaDS7ovOdJQHLRQIMqbaqo0bA+9thngLzQZKS2hIK+EIP22Jyl8tM2YGO&#10;eK1Cw+II+UwKaEPoM8593aKRfmF7pJh9WGdkiOgarpwc4rjRfJUkG25kR/GhlT2WLdaf1cUIcOMh&#10;7NX9oM/7Xfn6Yr/Lp7OrhJhNl8kzsIBj+CvDTT+qQxGdTvZCyjMt4PFhHZsC0hWwW7xOI59+mRc5&#10;/69f/ABQSwMEFAAAAAgAh07iQGf3Qyb/AQAA5gMAAA4AAABkcnMvZTJvRG9jLnhtbK1TS44TMRDd&#10;I3EHy3vSSeYDaqUzi4RhM8BIMxygYrvTFrbLsp10cgkugMQOVizZcxuGY1B2PkDYzAIvLJer/Kre&#10;q/LkamMNW6sQNbqGjwZDzpQTKLVbNvzd/fWzF5zFBE6CQacavlWRX02fPpn0vlZj7NBIFRiBuFj3&#10;vuFdSr6uqig6ZSEO0CtHzhaDhURmWFYyQE/o1lTj4fCy6jFIH1CoGOl2vnPyPWJ4DCC2rRZqjmJl&#10;lUs71KAMJKIUO+0jn5Zq21aJ9LZto0rMNJyYprJTEjov8l5NJ1AvA/hOi30J8JgSTjhZ0I6SHqHm&#10;kICtgv4HymoRMGKbBgJttSNSFCEWo+GJNncdeFW4kNTRH0WP/w9WvFnfBqZlwy/OOXNgqeMPH7/9&#10;+PD55/dPtD98/cJGl1mm3seaomfuNmSiYuPu/A2K95E5nHXglqqUe7/1BDHKL6q/nmQjekq26F+j&#10;pBhYJSyabdpgMySpwTalNdtja9QmMUGXF2dn50Nqmji4KqgP73yI6ZVCy/Kh4Ua7LBrUsL6JKdcB&#10;9SEkXzu81saUxhvHeip2/Jygsyui0TJ7ixGWi5kJbA15dsoqrE7CAq6cLGgJtHnpJEtFgpgUmNTx&#10;nCFazoyi72aV3GMYl3OoMqL7Mg8K7bReoNzehoOM1P5CZD+qeb7+tIvYv7/n9Bd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BrBAAAW0NvbnRlbnRf&#10;VHlwZXNdLnhtbFBLAQIUAAoAAAAAAIdO4kAAAAAAAAAAAAAAAAAGAAAAAAAAAAAAEAAAAE0DAABf&#10;cmVscy9QSwECFAAUAAAACACHTuJAihRmPNEAAACUAQAACwAAAAAAAAABACAAAABxAwAAX3JlbHMv&#10;LnJlbHNQSwECFAAKAAAAAACHTuJAAAAAAAAAAAAAAAAABAAAAAAAAAAAABAAAAAAAAAAZHJzL1BL&#10;AQIUABQAAAAIAIdO4kCL6gLY0wAAAAYBAAAPAAAAAAAAAAEAIAAAACIAAABkcnMvZG93bnJldi54&#10;bWxQSwECFAAUAAAACACHTuJAZ/dDJv8BAADmAwAADgAAAAAAAAABACAAAAAiAQAAZHJzL2Uyb0Rv&#10;Yy54bWxQSwUGAAAAAAYABgBZAQAAkwUAAAAA&#10;">
                <v:fill on="f" focussize="0,0"/>
                <v:stroke weight="1pt" color="#000000" joinstyle="round" endarrow="classic" endarrowwidth="narrow"/>
                <v:imagedata o:title=""/>
                <o:lock v:ext="edit" aspectratio="f"/>
              </v:line>
            </w:pict>
          </mc:Fallback>
        </mc:AlternateContent>
      </w:r>
      <w:r>
        <mc:AlternateContent>
          <mc:Choice Requires="wps">
            <w:drawing>
              <wp:anchor distT="0" distB="0" distL="114300" distR="114300" simplePos="0" relativeHeight="251706368" behindDoc="0" locked="0" layoutInCell="1" allowOverlap="1">
                <wp:simplePos x="0" y="0"/>
                <wp:positionH relativeFrom="column">
                  <wp:posOffset>1091565</wp:posOffset>
                </wp:positionH>
                <wp:positionV relativeFrom="paragraph">
                  <wp:posOffset>179070</wp:posOffset>
                </wp:positionV>
                <wp:extent cx="0" cy="539750"/>
                <wp:effectExtent l="6350" t="0" r="12700" b="12700"/>
                <wp:wrapNone/>
                <wp:docPr id="41" name="直接连接符 15"/>
                <wp:cNvGraphicFramePr/>
                <a:graphic xmlns:a="http://schemas.openxmlformats.org/drawingml/2006/main">
                  <a:graphicData uri="http://schemas.microsoft.com/office/word/2010/wordprocessingShape">
                    <wps:wsp>
                      <wps:cNvCnPr>
                        <a:cxnSpLocks noChangeShapeType="1"/>
                      </wps:cNvCnPr>
                      <wps:spPr bwMode="auto">
                        <a:xfrm>
                          <a:off x="0" y="0"/>
                          <a:ext cx="0" cy="539750"/>
                        </a:xfrm>
                        <a:prstGeom prst="line">
                          <a:avLst/>
                        </a:prstGeom>
                        <a:noFill/>
                        <a:ln w="12700">
                          <a:solidFill>
                            <a:srgbClr val="000000"/>
                          </a:solidFill>
                          <a:round/>
                        </a:ln>
                        <a:effectLst/>
                      </wps:spPr>
                      <wps:bodyPr/>
                    </wps:wsp>
                  </a:graphicData>
                </a:graphic>
              </wp:anchor>
            </w:drawing>
          </mc:Choice>
          <mc:Fallback>
            <w:pict>
              <v:line id="直接连接符 15" o:spid="_x0000_s1026" o:spt="20" style="position:absolute;left:0pt;margin-left:85.95pt;margin-top:14.1pt;height:42.5pt;width:0pt;z-index:251706368;mso-width-relative:page;mso-height-relative:page;" filled="f" stroked="t" coordsize="21600,21600" o:gfxdata="UEsDBAoAAAAAAIdO4kAAAAAAAAAAAAAAAAAEAAAAZHJzL1BLAwQUAAAACACHTuJAu6c1PdgAAAAK&#10;AQAADwAAAGRycy9kb3ducmV2LnhtbE2PzU7DMBCE70i8g7VI3KgTI9EQ4vQAqipQL22RuG7jJQ7E&#10;6zR2f3j7ulzgtrM7mv2mmp1cLw40hs6zhnySgSBuvOm41fC+md8VIEJENth7Jg0/FGBWX19VWBp/&#10;5BUd1rEVKYRDiRpsjEMpZWgsOQwTPxCn26cfHcYkx1aaEY8p3PVSZdmDdNhx+mBxoGdLzfd67zTg&#10;y2IVPwr1Nu1e7fJrM98tbLHT+vYmz55ARDrFPzNc8BM61Ilp6/dsguiTnuaPyapBFQrExfC72KYh&#10;v1cg60r+r1CfAVBLAwQUAAAACACHTuJACNbj1uoBAAC6AwAADgAAAGRycy9lMm9Eb2MueG1srVPN&#10;bhMxEL4j8Q6W72Q3gVBYZdNDonIpUKnlASZeb9bC9li2k01eghdA4gYnjr3zNpTHYOxNQimXHtiD&#10;Zc/PN/N9Mzs73xnNttIHhbbm41HJmbQCG2XXNf9wc/HsFWchgm1Ao5U138vAz+dPn8x6V8kJdqgb&#10;6RmB2FD1ruZdjK4qiiA6aSCM0ElLzha9gUhPvy4aDz2hG11MyvJl0aNvnEchQyDrcnDyA6J/DCC2&#10;rRJyiWJjpI0DqpcaIlEKnXKBz3O3bStFfN+2QUama05MYz6pCN1X6SzmM6jWHlynxKEFeEwLDzgZ&#10;UJaKnqCWEIFtvPoHyijhMWAbRwJNMRDJihCLcflAm+sOnMxcSOrgTqKH/wcr3m2vPFNNzV+MObNg&#10;aOJ3n29/fvr668cXOu++f2PjaZKpd6Gi6IW98omo2Nlrd4niY2AWFx3Ytczt3uwdQYxTRvFXSnoE&#10;R8VW/VtsKAY2EbNmu9abBElqsF0ezf40GrmLTAxGQdbp89dn0zy1AqpjnvMhvpFoWLrUXCubRIMK&#10;tpchpj6gOoYks8ULpXUevLasp2YnZ2WZMwJq1SRvigt+vVpoz7aQdid/mRV57od53NhmqKJtypN5&#10;7Q6lj6wH/VbY7K/8URoaaW7usH5pZ+6/s4B/frn5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FsEAABbQ29udGVudF9UeXBlc10ueG1sUEsBAhQA&#10;CgAAAAAAh07iQAAAAAAAAAAAAAAAAAYAAAAAAAAAAAAQAAAAPQMAAF9yZWxzL1BLAQIUABQAAAAI&#10;AIdO4kCKFGY80QAAAJQBAAALAAAAAAAAAAEAIAAAAGEDAABfcmVscy8ucmVsc1BLAQIUAAoAAAAA&#10;AIdO4kAAAAAAAAAAAAAAAAAEAAAAAAAAAAAAEAAAAAAAAABkcnMvUEsBAhQAFAAAAAgAh07iQLun&#10;NT3YAAAACgEAAA8AAAAAAAAAAQAgAAAAIgAAAGRycy9kb3ducmV2LnhtbFBLAQIUABQAAAAIAIdO&#10;4kAI1uPW6gEAALoDAAAOAAAAAAAAAAEAIAAAACcBAABkcnMvZTJvRG9jLnhtbFBLBQYAAAAABgAG&#10;AFkBAACDBQAAAAA=&#10;">
                <v:fill on="f" focussize="0,0"/>
                <v:stroke weight="1pt" color="#000000" joinstyle="round"/>
                <v:imagedata o:title=""/>
                <o:lock v:ext="edit" aspectratio="f"/>
              </v:line>
            </w:pict>
          </mc:Fallback>
        </mc:AlternateContent>
      </w:r>
      <w:r>
        <mc:AlternateContent>
          <mc:Choice Requires="wps">
            <w:drawing>
              <wp:anchor distT="0" distB="0" distL="114300" distR="114300" simplePos="0" relativeHeight="251698176" behindDoc="0" locked="0" layoutInCell="1" allowOverlap="1">
                <wp:simplePos x="0" y="0"/>
                <wp:positionH relativeFrom="column">
                  <wp:posOffset>2931795</wp:posOffset>
                </wp:positionH>
                <wp:positionV relativeFrom="paragraph">
                  <wp:posOffset>242570</wp:posOffset>
                </wp:positionV>
                <wp:extent cx="0" cy="920750"/>
                <wp:effectExtent l="6350" t="0" r="12700" b="12700"/>
                <wp:wrapNone/>
                <wp:docPr id="22" name="直接连接符 14"/>
                <wp:cNvGraphicFramePr/>
                <a:graphic xmlns:a="http://schemas.openxmlformats.org/drawingml/2006/main">
                  <a:graphicData uri="http://schemas.microsoft.com/office/word/2010/wordprocessingShape">
                    <wps:wsp>
                      <wps:cNvCnPr>
                        <a:cxnSpLocks noChangeShapeType="1"/>
                      </wps:cNvCnPr>
                      <wps:spPr bwMode="auto">
                        <a:xfrm>
                          <a:off x="0" y="0"/>
                          <a:ext cx="0" cy="920750"/>
                        </a:xfrm>
                        <a:prstGeom prst="line">
                          <a:avLst/>
                        </a:prstGeom>
                        <a:noFill/>
                        <a:ln w="12700">
                          <a:solidFill>
                            <a:srgbClr val="000000"/>
                          </a:solidFill>
                          <a:round/>
                        </a:ln>
                        <a:effectLst/>
                      </wps:spPr>
                      <wps:bodyPr/>
                    </wps:wsp>
                  </a:graphicData>
                </a:graphic>
              </wp:anchor>
            </w:drawing>
          </mc:Choice>
          <mc:Fallback>
            <w:pict>
              <v:line id="直接连接符 14" o:spid="_x0000_s1026" o:spt="20" style="position:absolute;left:0pt;margin-left:230.85pt;margin-top:19.1pt;height:72.5pt;width:0pt;z-index:251698176;mso-width-relative:page;mso-height-relative:page;" filled="f" stroked="t" coordsize="21600,21600" o:gfxdata="UEsDBAoAAAAAAIdO4kAAAAAAAAAAAAAAAAAEAAAAZHJzL1BLAwQUAAAACACHTuJAhZDgCdgAAAAK&#10;AQAADwAAAGRycy9kb3ducmV2LnhtbE2PTU/DMAyG70j8h8hI3FjaDm1RaboDaJpAXLYhcfUa0xQa&#10;p2uyD/49QRzG0faj189bLc6uF0caQ+dZQz7JQBA33nTcanjbLu8UiBCRDfaeScM3BVjU11cVlsaf&#10;eE3HTWxFCuFQogYb41BKGRpLDsPED8Tp9uFHhzGNYyvNiKcU7npZZNlMOuw4fbA40KOl5mtzcBrw&#10;abWO76p4mXfP9vVzu9yvrNprfXuTZw8gIp3jBYZf/aQOdXLa+QObIHoN97N8nlANU1WASMDfYpdI&#10;NS1A1pX8X6H+AVBLAwQUAAAACACHTuJAuOpkh+oBAAC6AwAADgAAAGRycy9lMm9Eb2MueG1srVPN&#10;jtMwEL4j8Q6W7zRpBCxETffQarkssNIuDzB1nMbC9li227QvwQsgcYMTR+77NiyPwdhpy7Jc9kAO&#10;lj0/38z3zWR2vjOabaUPCm3Dp5OSM2kFtsquG/7h5uLZK85CBNuCRisbvpeBn8+fPpkNrpYV9qhb&#10;6RmB2FAPruF9jK4uiiB6aSBM0ElLzg69gUhPvy5aDwOhG11UZfmyGNC3zqOQIZB1OTr5AdE/BhC7&#10;Tgm5RLEx0sYR1UsNkSiFXrnA57nbrpMivu+6ICPTDSemMZ9UhO6rdBbzGdRrD65X4tACPKaFB5wM&#10;KEtFT1BLiMA2Xv0DZZTwGLCLE4GmGIlkRYjFtHygzXUPTmYuJHVwJ9HD/4MV77ZXnqm24VXFmQVD&#10;E7/7/OPnp6+/br/Qeff9G5s+TzINLtQUvbBXPhEVO3vtLlF8DMzioge7lrndm70jiGnKKP5KSY/g&#10;qNhqeIstxcAmYtZs13mTIEkNtsuj2Z9GI3eRidEoyPq6Ks9e5KkVUB/znA/xjUTD0qXhWtkkGtSw&#10;vQwx9QH1MSSZLV4orfPgtWUDNVudlWXOCKhVm7wpLvj1aqE920LanfxlVuS5H+ZxY9uxirYpT+a1&#10;O5Q+sh71W2G7v/JHaWikubnD+qWduf/OAv755ea/A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FsEAABbQ29udGVudF9UeXBlc10ueG1sUEsBAhQA&#10;CgAAAAAAh07iQAAAAAAAAAAAAAAAAAYAAAAAAAAAAAAQAAAAPQMAAF9yZWxzL1BLAQIUABQAAAAI&#10;AIdO4kCKFGY80QAAAJQBAAALAAAAAAAAAAEAIAAAAGEDAABfcmVscy8ucmVsc1BLAQIUAAoAAAAA&#10;AIdO4kAAAAAAAAAAAAAAAAAEAAAAAAAAAAAAEAAAAAAAAABkcnMvUEsBAhQAFAAAAAgAh07iQIWQ&#10;4AnYAAAACgEAAA8AAAAAAAAAAQAgAAAAIgAAAGRycy9kb3ducmV2LnhtbFBLAQIUABQAAAAIAIdO&#10;4kC46mSH6gEAALoDAAAOAAAAAAAAAAEAIAAAACcBAABkcnMvZTJvRG9jLnhtbFBLBQYAAAAABgAG&#10;AFkBAACDBQAAAAA=&#10;">
                <v:fill on="f" focussize="0,0"/>
                <v:stroke weight="1pt" color="#000000" joinstyle="round"/>
                <v:imagedata o:title=""/>
                <o:lock v:ext="edit" aspectratio="f"/>
              </v:line>
            </w:pict>
          </mc:Fallback>
        </mc:AlternateContent>
      </w:r>
      <w:r>
        <mc:AlternateContent>
          <mc:Choice Requires="wps">
            <w:drawing>
              <wp:anchor distT="0" distB="0" distL="114300" distR="114300" simplePos="0" relativeHeight="251696128" behindDoc="0" locked="0" layoutInCell="1" allowOverlap="1">
                <wp:simplePos x="0" y="0"/>
                <wp:positionH relativeFrom="column">
                  <wp:posOffset>2931795</wp:posOffset>
                </wp:positionH>
                <wp:positionV relativeFrom="paragraph">
                  <wp:posOffset>242570</wp:posOffset>
                </wp:positionV>
                <wp:extent cx="400050" cy="0"/>
                <wp:effectExtent l="0" t="25400" r="0" b="31750"/>
                <wp:wrapNone/>
                <wp:docPr id="15" name="直接连接符 13"/>
                <wp:cNvGraphicFramePr/>
                <a:graphic xmlns:a="http://schemas.openxmlformats.org/drawingml/2006/main">
                  <a:graphicData uri="http://schemas.microsoft.com/office/word/2010/wordprocessingShape">
                    <wps:wsp>
                      <wps:cNvCnPr>
                        <a:cxnSpLocks noChangeShapeType="1"/>
                      </wps:cNvCnPr>
                      <wps:spPr bwMode="auto">
                        <a:xfrm>
                          <a:off x="0" y="0"/>
                          <a:ext cx="400050" cy="0"/>
                        </a:xfrm>
                        <a:prstGeom prst="line">
                          <a:avLst/>
                        </a:prstGeom>
                        <a:noFill/>
                        <a:ln w="12700">
                          <a:solidFill>
                            <a:srgbClr val="000000"/>
                          </a:solidFill>
                          <a:round/>
                          <a:tailEnd type="stealth" w="sm" len="med"/>
                        </a:ln>
                        <a:effectLst/>
                      </wps:spPr>
                      <wps:bodyPr/>
                    </wps:wsp>
                  </a:graphicData>
                </a:graphic>
              </wp:anchor>
            </w:drawing>
          </mc:Choice>
          <mc:Fallback>
            <w:pict>
              <v:line id="直接连接符 13" o:spid="_x0000_s1026" o:spt="20" style="position:absolute;left:0pt;margin-left:230.85pt;margin-top:19.1pt;height:0pt;width:31.5pt;z-index:251696128;mso-width-relative:page;mso-height-relative:page;" filled="f" stroked="t" coordsize="21600,21600" o:gfxdata="UEsDBAoAAAAAAIdO4kAAAAAAAAAAAAAAAAAEAAAAZHJzL1BLAwQUAAAACACHTuJAHIqvB9YAAAAJ&#10;AQAADwAAAGRycy9kb3ducmV2LnhtbE2PwU7DMAyG70i8Q2QkLoilLWOM0nRCnYa4UniArDFtR+NU&#10;SbYWnh4jDnD070+/Pxeb2Q7ihD70jhSkiwQEUuNMT62Ct9fd9RpEiJqMHhyhgk8MsCnPzwqdGzfR&#10;C57q2AouoZBrBV2MYy5laDq0OizciMS7d+etjjz6VhqvJy63g8ySZCWt7okvdHrEqsPmoz5aBX7e&#10;xa25mobD9rF6fnJf1f3B10pdXqTJA4iIc/yD4Uef1aFkp707kgliULBcpXeMKrhZZyAYuM2WHOx/&#10;A1kW8v8H5TdQSwMEFAAAAAgAh07iQCRyJ+QBAgAA5gMAAA4AAABkcnMvZTJvRG9jLnhtbK1TvY4T&#10;MRDukXgHyz3ZTeAArbK5IuFoDjjpjgdwbG/WwvZYHiebvAQvgEQHFSU9b8PxGIydH46juQIXlu2Z&#10;+Wa+b8bT862zbKMjGvAtH49qzrSXoIxftfz9zcWTl5xhEl4JC163fKeRn88eP5oOodET6MEqHRmB&#10;eGyG0PI+pdBUFcpeO4EjCNqTsYPoRKJrXFUqioHQna0mdf28GiCqEEFqRHpd7I38gBgfAghdZ6Re&#10;gFw77dMeNWorElHC3gTks1Jt12mZ3nUd6sRsy4lpKjslofMy79VsKppVFKE38lCCeEgJ9zg5YTwl&#10;PUEtRBJsHc0/UM7ICAhdGklw1Z5IUYRYjOt72lz3IujChaTGcBId/x+sfLu5iswomoQzzrxw1PHb&#10;T99/fvzy68dn2m+/fWXjp1mmIWBD3nN/FTNRufXX4RLkB2Qe5r3wK13KvdkFghjniOqvkHzBQMmW&#10;wxtQ5CPWCYpm2y66DElqsG1pze7UGr1NTNLjs7quz6hp8miqRHOMCxHTaw2O5UPLrfFZNNGIzSWm&#10;XIdoji752cOFsbY03no2ULGTF3VdIhCsUdma/TCulnMb2Ubk2SmrsCLLXbcIa68KWhLGvvKKpSIB&#10;Ji1s6nnOgI4zq+m7Oa0OGNbnHLqM6KHMo0J7rZegdlfxKCO1vxA5jGqer7v3Ivaf7zn7DV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ByKrwfWAAAACQEAAA8AAAAAAAAAAQAgAAAAIgAAAGRycy9kb3du&#10;cmV2LnhtbFBLAQIUABQAAAAIAIdO4kAkcifkAQIAAOYDAAAOAAAAAAAAAAEAIAAAACUBAABkcnMv&#10;ZTJvRG9jLnhtbFBLBQYAAAAABgAGAFkBAACYBQAAAAA=&#10;">
                <v:fill on="f" focussize="0,0"/>
                <v:stroke weight="1pt" color="#000000" joinstyle="round" endarrow="classic" endarrowwidth="narrow"/>
                <v:imagedata o:title=""/>
                <o:lock v:ext="edit" aspectratio="f"/>
              </v:line>
            </w:pict>
          </mc:Fallback>
        </mc:AlternateContent>
      </w:r>
      <w:r>
        <mc:AlternateContent>
          <mc:Choice Requires="wps">
            <w:drawing>
              <wp:anchor distT="0" distB="0" distL="114300" distR="114300" simplePos="0" relativeHeight="251671552" behindDoc="0" locked="0" layoutInCell="1" allowOverlap="1">
                <wp:simplePos x="0" y="0"/>
                <wp:positionH relativeFrom="column">
                  <wp:posOffset>3318510</wp:posOffset>
                </wp:positionH>
                <wp:positionV relativeFrom="paragraph">
                  <wp:posOffset>113665</wp:posOffset>
                </wp:positionV>
                <wp:extent cx="1813560" cy="252095"/>
                <wp:effectExtent l="5080" t="5080" r="10160" b="9525"/>
                <wp:wrapNone/>
                <wp:docPr id="12" name="文本框 12"/>
                <wp:cNvGraphicFramePr/>
                <a:graphic xmlns:a="http://schemas.openxmlformats.org/drawingml/2006/main">
                  <a:graphicData uri="http://schemas.microsoft.com/office/word/2010/wordprocessingShape">
                    <wps:wsp>
                      <wps:cNvSpPr txBox="1">
                        <a:spLocks noChangeArrowheads="1"/>
                      </wps:cNvSpPr>
                      <wps:spPr bwMode="auto">
                        <a:xfrm>
                          <a:off x="0" y="0"/>
                          <a:ext cx="1813560" cy="252095"/>
                        </a:xfrm>
                        <a:prstGeom prst="rect">
                          <a:avLst/>
                        </a:prstGeom>
                        <a:solidFill>
                          <a:srgbClr val="FFFFFF"/>
                        </a:solidFill>
                        <a:ln w="9525">
                          <a:solidFill>
                            <a:srgbClr val="000000"/>
                          </a:solidFill>
                          <a:miter lim="800000"/>
                        </a:ln>
                        <a:effectLst/>
                      </wps:spPr>
                      <wps:txbx>
                        <w:txbxContent>
                          <w:p w14:paraId="5B59E0F3">
                            <w:pPr>
                              <w:jc w:val="center"/>
                              <w:rPr>
                                <w:szCs w:val="21"/>
                              </w:rPr>
                            </w:pPr>
                            <w:r>
                              <w:rPr>
                                <w:rFonts w:hint="eastAsia"/>
                                <w:szCs w:val="21"/>
                              </w:rPr>
                              <w:t>充分利用能源，节约能耗</w:t>
                            </w:r>
                          </w:p>
                        </w:txbxContent>
                      </wps:txbx>
                      <wps:bodyPr rot="0" vert="horz" wrap="square" lIns="0" tIns="0" rIns="0" bIns="0" anchor="t" anchorCtr="0" upright="1">
                        <a:noAutofit/>
                      </wps:bodyPr>
                    </wps:wsp>
                  </a:graphicData>
                </a:graphic>
              </wp:anchor>
            </w:drawing>
          </mc:Choice>
          <mc:Fallback>
            <w:pict>
              <v:shape id="_x0000_s1026" o:spid="_x0000_s1026" o:spt="202" type="#_x0000_t202" style="position:absolute;left:0pt;margin-left:261.3pt;margin-top:8.95pt;height:19.85pt;width:142.8pt;z-index:251671552;mso-width-relative:page;mso-height-relative:page;" fillcolor="#FFFFFF" filled="t" stroked="t" coordsize="21600,21600" o:gfxdata="UEsDBAoAAAAAAIdO4kAAAAAAAAAAAAAAAAAEAAAAZHJzL1BLAwQUAAAACACHTuJA9hyfHtgAAAAJ&#10;AQAADwAAAGRycy9kb3ducmV2LnhtbE2Py07DMBBF90j8gzVI7KhdS6RpiFNRJCQQG9oi1m48ebSx&#10;HdluWv6eYVWWo3N175lydbEDmzDE3jsF85kAhq72pnetgq/d60MOLCbtjB68QwU/GGFV3d6UujD+&#10;7DY4bVPLqMTFQivoUhoLzmPdodVx5kd0xBofrE50hpaboM9Ubgcuhci41b2jhU6P+NJhfdyerILd&#10;tI5vm0NamvdmzeVH8ym/w7NS93dz8QQs4SVdw/CnT+pQkdPen5yJbFDwKGVGUQKLJTAK5CKXwPZE&#10;FhnwquT/P6h+AVBLAwQUAAAACACHTuJAP7Hetj4CAACHBAAADgAAAGRycy9lMm9Eb2MueG1srVTN&#10;bhMxEL4j8Q6W73SToFTtqpuqpCpCKj9S4QEcrzdrYXvM2MlueQB4A069cOe58hyMvZsSCkg9sAdr&#10;bI+/mfm+mT07761hW4VBg6v49GjCmXISau3WFf/w/urZCWchClcLA05V/FYFfr54+uSs86WaQQum&#10;VsgIxIWy8xVvY/RlUQTZKivCEXjl6LIBtCLSFtdFjaIjdGuK2WRyXHSAtUeQKgQ6vRwu+YiIjwGE&#10;ptFSXYLcWOXigIrKiEglhVb7wBc526ZRMr5tmqAiMxWnSmNeKQjZq7QWizNRrlH4VssxBfGYFB7U&#10;ZIV2FPQe6lJEwTao/4CyWiIEaOKRBFsMhWRGqIrp5AE3N63wKtdCVAd/T3r4f7DyzfYdMl1TJ8w4&#10;c8KS4rtvX3d3P3bfvzA6I4I6H0ryu/HkGfsX0JNzLjb4a5AfA3OwbIVbqwtE6Folakpwml4WB08H&#10;nJBAVt1rqCmQ2ETIQH2DNrFHfDBCJ3Fu78VRfWQyhTyZPp8f05Wku9l8Njmd5xCi3L/2GOJLBZYl&#10;o+JI4md0sb0OMWUjyr1LChbA6PpKG5M3uF4tDbKtoEa5yt+I/pubcayr+Ol8Nh8I+CfEJH9/g7A6&#10;0vwYbSt+cuhkXMpD5Z4d803sJcIG6mK/6kc1VlDfEo8IQz/TNJPRAn7mrKNernj4tBGoODOvHGmR&#10;Gn9v4N5Y7Q3hJD2teORsMJdxGJCNR71uCXlQ28EF6dXoTGVKbchiVJn6MzM8zlIagMN99vr1/1j8&#10;BF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K8E&#10;AABbQ29udGVudF9UeXBlc10ueG1sUEsBAhQACgAAAAAAh07iQAAAAAAAAAAAAAAAAAYAAAAAAAAA&#10;AAAQAAAAkQMAAF9yZWxzL1BLAQIUABQAAAAIAIdO4kCKFGY80QAAAJQBAAALAAAAAAAAAAEAIAAA&#10;ALUDAABfcmVscy8ucmVsc1BLAQIUAAoAAAAAAIdO4kAAAAAAAAAAAAAAAAAEAAAAAAAAAAAAEAAA&#10;AAAAAABkcnMvUEsBAhQAFAAAAAgAh07iQPYcnx7YAAAACQEAAA8AAAAAAAAAAQAgAAAAIgAAAGRy&#10;cy9kb3ducmV2LnhtbFBLAQIUABQAAAAIAIdO4kA/sd62PgIAAIcEAAAOAAAAAAAAAAEAIAAAACcB&#10;AABkcnMvZTJvRG9jLnhtbFBLBQYAAAAABgAGAFkBAADXBQAAAAA=&#10;">
                <v:fill on="t" focussize="0,0"/>
                <v:stroke color="#000000" miterlimit="8" joinstyle="miter"/>
                <v:imagedata o:title=""/>
                <o:lock v:ext="edit" aspectratio="f"/>
                <v:textbox inset="0mm,0mm,0mm,0mm">
                  <w:txbxContent>
                    <w:p w14:paraId="5B59E0F3">
                      <w:pPr>
                        <w:jc w:val="center"/>
                        <w:rPr>
                          <w:szCs w:val="21"/>
                        </w:rPr>
                      </w:pPr>
                      <w:r>
                        <w:rPr>
                          <w:rFonts w:hint="eastAsia"/>
                          <w:szCs w:val="21"/>
                        </w:rPr>
                        <w:t>充分利用能源，节约能耗</w:t>
                      </w:r>
                    </w:p>
                  </w:txbxContent>
                </v:textbox>
              </v:shape>
            </w:pict>
          </mc:Fallback>
        </mc:AlternateContent>
      </w:r>
    </w:p>
    <w:p w14:paraId="4FE0598B">
      <w:pPr>
        <w:pStyle w:val="310"/>
      </w:pPr>
      <w:r>
        <mc:AlternateContent>
          <mc:Choice Requires="wps">
            <w:drawing>
              <wp:anchor distT="0" distB="0" distL="114300" distR="114300" simplePos="0" relativeHeight="251677696" behindDoc="0" locked="0" layoutInCell="1" allowOverlap="1">
                <wp:simplePos x="0" y="0"/>
                <wp:positionH relativeFrom="column">
                  <wp:posOffset>1624965</wp:posOffset>
                </wp:positionH>
                <wp:positionV relativeFrom="paragraph">
                  <wp:posOffset>166370</wp:posOffset>
                </wp:positionV>
                <wp:extent cx="986790" cy="412750"/>
                <wp:effectExtent l="4445" t="4445" r="18415" b="20955"/>
                <wp:wrapNone/>
                <wp:docPr id="13" name="文本框 11"/>
                <wp:cNvGraphicFramePr/>
                <a:graphic xmlns:a="http://schemas.openxmlformats.org/drawingml/2006/main">
                  <a:graphicData uri="http://schemas.microsoft.com/office/word/2010/wordprocessingShape">
                    <wps:wsp>
                      <wps:cNvSpPr txBox="1">
                        <a:spLocks noChangeArrowheads="1"/>
                      </wps:cNvSpPr>
                      <wps:spPr bwMode="auto">
                        <a:xfrm>
                          <a:off x="0" y="0"/>
                          <a:ext cx="986790" cy="412750"/>
                        </a:xfrm>
                        <a:prstGeom prst="rect">
                          <a:avLst/>
                        </a:prstGeom>
                        <a:solidFill>
                          <a:srgbClr val="FFFFFF"/>
                        </a:solidFill>
                        <a:ln w="9525">
                          <a:solidFill>
                            <a:srgbClr val="000000"/>
                          </a:solidFill>
                          <a:miter lim="800000"/>
                        </a:ln>
                        <a:effectLst/>
                      </wps:spPr>
                      <wps:txbx>
                        <w:txbxContent>
                          <w:p w14:paraId="22FDD4AB">
                            <w:pPr>
                              <w:spacing w:line="260" w:lineRule="exact"/>
                              <w:jc w:val="center"/>
                              <w:rPr>
                                <w:szCs w:val="21"/>
                              </w:rPr>
                            </w:pPr>
                            <w:r>
                              <w:rPr>
                                <w:rFonts w:hint="eastAsia"/>
                                <w:szCs w:val="21"/>
                              </w:rPr>
                              <w:t>间接效益</w:t>
                            </w:r>
                          </w:p>
                          <w:p w14:paraId="2B2907E6">
                            <w:pPr>
                              <w:snapToGrid w:val="0"/>
                              <w:jc w:val="center"/>
                              <w:rPr>
                                <w:szCs w:val="21"/>
                              </w:rPr>
                            </w:pPr>
                            <w:r>
                              <w:rPr>
                                <w:rFonts w:hint="eastAsia"/>
                                <w:szCs w:val="21"/>
                              </w:rPr>
                              <w:t>（社会效益）</w:t>
                            </w:r>
                          </w:p>
                        </w:txbxContent>
                      </wps:txbx>
                      <wps:bodyPr rot="0" vert="horz" wrap="square" lIns="0" tIns="0" rIns="0" bIns="0" anchor="t" anchorCtr="0" upright="1">
                        <a:noAutofit/>
                      </wps:bodyPr>
                    </wps:wsp>
                  </a:graphicData>
                </a:graphic>
              </wp:anchor>
            </w:drawing>
          </mc:Choice>
          <mc:Fallback>
            <w:pict>
              <v:shape id="文本框 11" o:spid="_x0000_s1026" o:spt="202" type="#_x0000_t202" style="position:absolute;left:0pt;margin-left:127.95pt;margin-top:13.1pt;height:32.5pt;width:77.7pt;z-index:251677696;mso-width-relative:page;mso-height-relative:page;" fillcolor="#FFFFFF" filled="t" stroked="t" coordsize="21600,21600" o:gfxdata="UEsDBAoAAAAAAIdO4kAAAAAAAAAAAAAAAAAEAAAAZHJzL1BLAwQUAAAACACHTuJAzlIYtNgAAAAJ&#10;AQAADwAAAGRycy9kb3ducmV2LnhtbE2Py07DMBBF90j8gzVI7KhjQyuSxqkoEhKITR+ItRs7jxKP&#10;I9tNy98zrGA3ozm6c265uriBTTbE3qMCMcuAWay96bFV8LF/uXsEFpNGowePVsG3jbCqrq9KXRh/&#10;xq2ddqllFIKx0Aq6lMaC81h31uk486NFujU+OJ1oDS03QZ8p3A1cZtmCO90jfej0aJ87W3/tTk7B&#10;flrH1+0x5eatWXP53mzkZ3hS6vZGZEtgyV7SHwy/+qQOFTkd/AlNZIMCOZ/nhNKwkMAIeBDiHthB&#10;QS4k8Krk/xtUP1BLAwQUAAAACACHTuJAunjJeT8CAACGBAAADgAAAGRycy9lMm9Eb2MueG1srVRL&#10;jhMxEN0jcQfLe9JJYH5ROqMhoyCk4SMNHMBxu9MWtsuUnXQPB4AbsGLDnnPlHJTdSQgDSLOgF61y&#10;u+q53nvlnl521rCNwqDBlXw0GHKmnIRKu1XJ379bPDnnLEThKmHAqZLfqcAvZ48fTVs/UWNowFQK&#10;GYG4MGl9yZsY/aQogmyUFWEAXjnarAGtiLTEVVGhaAndmmI8HJ4WLWDlEaQKgb5e95t8h4gPAYS6&#10;1lJdg1xb5WKPisqISJRCo33gs9xtXSsZ39R1UJGZkhPTmN90CMXL9C5mUzFZofCNlrsWxENauMfJ&#10;Cu3o0APUtYiCrVH/AWW1RAhQx4EEW/REsiLEYjS8p81tI7zKXEjq4A+ih/8HK19v3iLTFU3CU86c&#10;sOT49uuX7bcf2++f2WiUBGp9mFDerafM2D2HjpIz2eBvQH4IzMG8EW6lrhChbZSoqMFcWRyV9jgh&#10;gSzbV1DRQWIdIQN1NdqkHunBCJ3MuTuYo7rIJH28OD89u6AdSVvPRuOzk2xeISb7Yo8hvlBgWQpK&#10;juR9BhebmxCJBqXuU9JZAYyuFtqYvMDVcm6QbQTNySI/iTmV/JZmHGupk5PxSc//nxDD/PwNwupI&#10;18doW/Lz4yTjUh8qj+yu3yRe0qtXLnbLbmfGEqo7khGhH2e6zBQ0gJ84a2mUSx4+rgUqzsxLR1ak&#10;ud8HuA+W+0A4SaUlj5z14Tz292PtUa8aQu7NdnBFdtU6S5la67sgkdKCxjPLtbtKaf6P1znr1+9j&#10;9hN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AAAAAZHJzL1BLAQIUABQAAAAIAIdO4kDOUhi02AAAAAkBAAAPAAAAAAAAAAEAIAAAACIAAABk&#10;cnMvZG93bnJldi54bWxQSwECFAAUAAAACACHTuJAunjJeT8CAACGBAAADgAAAAAAAAABACAAAAAn&#10;AQAAZHJzL2Uyb0RvYy54bWxQSwUGAAAAAAYABgBZAQAA2AUAAAAA&#10;">
                <v:fill on="t" focussize="0,0"/>
                <v:stroke color="#000000" miterlimit="8" joinstyle="miter"/>
                <v:imagedata o:title=""/>
                <o:lock v:ext="edit" aspectratio="f"/>
                <v:textbox inset="0mm,0mm,0mm,0mm">
                  <w:txbxContent>
                    <w:p w14:paraId="22FDD4AB">
                      <w:pPr>
                        <w:spacing w:line="260" w:lineRule="exact"/>
                        <w:jc w:val="center"/>
                        <w:rPr>
                          <w:szCs w:val="21"/>
                        </w:rPr>
                      </w:pPr>
                      <w:r>
                        <w:rPr>
                          <w:rFonts w:hint="eastAsia"/>
                          <w:szCs w:val="21"/>
                        </w:rPr>
                        <w:t>间接效益</w:t>
                      </w:r>
                    </w:p>
                    <w:p w14:paraId="2B2907E6">
                      <w:pPr>
                        <w:snapToGrid w:val="0"/>
                        <w:jc w:val="center"/>
                        <w:rPr>
                          <w:szCs w:val="21"/>
                        </w:rPr>
                      </w:pPr>
                      <w:r>
                        <w:rPr>
                          <w:rFonts w:hint="eastAsia"/>
                          <w:szCs w:val="21"/>
                        </w:rPr>
                        <w:t>（社会效益）</w:t>
                      </w:r>
                    </w:p>
                  </w:txbxContent>
                </v:textbox>
              </v:shape>
            </w:pict>
          </mc:Fallback>
        </mc:AlternateContent>
      </w:r>
      <w:r>
        <mc:AlternateContent>
          <mc:Choice Requires="wps">
            <w:drawing>
              <wp:anchor distT="0" distB="0" distL="114300" distR="114300" simplePos="0" relativeHeight="251672576" behindDoc="0" locked="0" layoutInCell="1" allowOverlap="1">
                <wp:simplePos x="0" y="0"/>
                <wp:positionH relativeFrom="column">
                  <wp:posOffset>3318510</wp:posOffset>
                </wp:positionH>
                <wp:positionV relativeFrom="paragraph">
                  <wp:posOffset>217805</wp:posOffset>
                </wp:positionV>
                <wp:extent cx="1813560" cy="252095"/>
                <wp:effectExtent l="5080" t="5080" r="10160" b="9525"/>
                <wp:wrapNone/>
                <wp:docPr id="10" name="文本框 10"/>
                <wp:cNvGraphicFramePr/>
                <a:graphic xmlns:a="http://schemas.openxmlformats.org/drawingml/2006/main">
                  <a:graphicData uri="http://schemas.microsoft.com/office/word/2010/wordprocessingShape">
                    <wps:wsp>
                      <wps:cNvSpPr txBox="1">
                        <a:spLocks noChangeArrowheads="1"/>
                      </wps:cNvSpPr>
                      <wps:spPr bwMode="auto">
                        <a:xfrm>
                          <a:off x="0" y="0"/>
                          <a:ext cx="1813560" cy="252095"/>
                        </a:xfrm>
                        <a:prstGeom prst="rect">
                          <a:avLst/>
                        </a:prstGeom>
                        <a:solidFill>
                          <a:srgbClr val="FFFFFF"/>
                        </a:solidFill>
                        <a:ln w="9525">
                          <a:solidFill>
                            <a:srgbClr val="000000"/>
                          </a:solidFill>
                          <a:miter lim="800000"/>
                        </a:ln>
                        <a:effectLst/>
                      </wps:spPr>
                      <wps:txbx>
                        <w:txbxContent>
                          <w:p w14:paraId="1DCC3877">
                            <w:pPr>
                              <w:jc w:val="center"/>
                              <w:rPr>
                                <w:szCs w:val="21"/>
                              </w:rPr>
                            </w:pPr>
                            <w:r>
                              <w:rPr>
                                <w:rFonts w:hint="eastAsia"/>
                                <w:szCs w:val="21"/>
                              </w:rPr>
                              <w:t>发展经济、带动相关产业发展</w:t>
                            </w:r>
                          </w:p>
                        </w:txbxContent>
                      </wps:txbx>
                      <wps:bodyPr rot="0" vert="horz" wrap="square" lIns="0" tIns="0" rIns="0" bIns="0" anchor="t" anchorCtr="0" upright="1">
                        <a:noAutofit/>
                      </wps:bodyPr>
                    </wps:wsp>
                  </a:graphicData>
                </a:graphic>
              </wp:anchor>
            </w:drawing>
          </mc:Choice>
          <mc:Fallback>
            <w:pict>
              <v:shape id="_x0000_s1026" o:spid="_x0000_s1026" o:spt="202" type="#_x0000_t202" style="position:absolute;left:0pt;margin-left:261.3pt;margin-top:17.15pt;height:19.85pt;width:142.8pt;z-index:251672576;mso-width-relative:page;mso-height-relative:page;" fillcolor="#FFFFFF" filled="t" stroked="t" coordsize="21600,21600" o:gfxdata="UEsDBAoAAAAAAIdO4kAAAAAAAAAAAAAAAAAEAAAAZHJzL1BLAwQUAAAACACHTuJA8ocf09kAAAAJ&#10;AQAADwAAAGRycy9kb3ducmV2LnhtbE2Py07DMBBF90j8gzVI7Khdt5Q0ZFJRJCRQN7RFXbux84B4&#10;HNluWv4es4Ll6B7de6ZYXWzPRuND5whhOhHADFVOd9QgfOxf7jJgISrSqndkEL5NgFV5fVWoXLsz&#10;bc24iw1LJRRyhdDGOOSch6o1VoWJGwylrHbeqphO33Dt1TmV255LIRbcqo7SQqsG89ya6mt3sgj7&#10;cR1et59xqd/qNZeb+l0e/BPi7c1UPAKL5hL/YPjVT+pQJqejO5EOrEe4l3KRUITZfAYsAZnIJLAj&#10;wsNcAC8L/v+D8gdQSwMEFAAAAAgAh07iQNjPqWQ9AgAAhwQAAA4AAABkcnMvZTJvRG9jLnhtbK1U&#10;zW4TMRC+I/EOlu90k6BU7aqbqqQqQio/UuEBHK83a2F7zNjJbnkAeANOvXDnufIcjL2bEgpIPbAH&#10;a2yPv/nmm5k9O++tYVuFQYOr+PRowplyEmrt1hX/8P7q2QlnIQpXCwNOVfxWBX6+ePrkrPOlmkEL&#10;plbICMSFsvMVb2P0ZVEE2SorwhF45eiyAbQi0hbXRY2iI3Rritlkclx0gLVHkCoEOr0cLvmIiI8B&#10;hKbRUl2C3Fjl4oCKyohIKYVW+8AXmW3TKBnfNk1QkZmKU6YxrxSE7FVai8WZKNcofKvlSEE8hsKD&#10;nKzQjoLeQ12KKNgG9R9QVkuEAE08kmCLIZGsCGUxnTzQ5qYVXuVcSOrg70UP/w9Wvtm+Q6Zr6gSS&#10;xAlLFd99+7q7+7H7/oXRGQnU+VCS340nz9i/gJ6cc7LBX4P8GJiDZSvcWl0gQtcqURPBaXpZHDwd&#10;cEICWXWvoaZAYhMhA/UN2qQe6cEInZjc3hdH9ZHJFPJk+nx+TFeS7mbz2eR0nkOIcv/aY4gvFViW&#10;jIojFT+ji+11iImNKPcuKVgAo+srbUze4Hq1NMi2ghrlKn8j+m9uxrGu4qfz2XwQ4J8Qk/z9DcLq&#10;SPNjtK34yaGTcYmHyj078k3qJcEG6WK/6sdqrKC+JR0Rhn6maSajBfzMWUe9XPHwaSNQcWZeOaoF&#10;iRb3Bu6N1d4QTtLTikfOBnMZhwHZeNTrlpCHaju4oHo1OkuZqA0sxipTf2aFx1lKA3C4z16//h+L&#10;n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K8E&#10;AABbQ29udGVudF9UeXBlc10ueG1sUEsBAhQACgAAAAAAh07iQAAAAAAAAAAAAAAAAAYAAAAAAAAA&#10;AAAQAAAAkQMAAF9yZWxzL1BLAQIUABQAAAAIAIdO4kCKFGY80QAAAJQBAAALAAAAAAAAAAEAIAAA&#10;ALUDAABfcmVscy8ucmVsc1BLAQIUAAoAAAAAAIdO4kAAAAAAAAAAAAAAAAAEAAAAAAAAAAAAEAAA&#10;AAAAAABkcnMvUEsBAhQAFAAAAAgAh07iQPKHH9PZAAAACQEAAA8AAAAAAAAAAQAgAAAAIgAAAGRy&#10;cy9kb3ducmV2LnhtbFBLAQIUABQAAAAIAIdO4kDYz6lkPQIAAIcEAAAOAAAAAAAAAAEAIAAAACgB&#10;AABkcnMvZTJvRG9jLnhtbFBLBQYAAAAABgAGAFkBAADXBQAAAAA=&#10;">
                <v:fill on="t" focussize="0,0"/>
                <v:stroke color="#000000" miterlimit="8" joinstyle="miter"/>
                <v:imagedata o:title=""/>
                <o:lock v:ext="edit" aspectratio="f"/>
                <v:textbox inset="0mm,0mm,0mm,0mm">
                  <w:txbxContent>
                    <w:p w14:paraId="1DCC3877">
                      <w:pPr>
                        <w:jc w:val="center"/>
                        <w:rPr>
                          <w:szCs w:val="21"/>
                        </w:rPr>
                      </w:pPr>
                      <w:r>
                        <w:rPr>
                          <w:rFonts w:hint="eastAsia"/>
                          <w:szCs w:val="21"/>
                        </w:rPr>
                        <w:t>发展经济、带动相关产业发展</w:t>
                      </w:r>
                    </w:p>
                  </w:txbxContent>
                </v:textbox>
              </v:shape>
            </w:pict>
          </mc:Fallback>
        </mc:AlternateContent>
      </w:r>
    </w:p>
    <w:p w14:paraId="6C097FBA">
      <w:pPr>
        <w:pStyle w:val="310"/>
      </w:pPr>
      <w:r>
        <mc:AlternateContent>
          <mc:Choice Requires="wps">
            <w:drawing>
              <wp:anchor distT="0" distB="0" distL="114300" distR="114300" simplePos="0" relativeHeight="251707392" behindDoc="0" locked="0" layoutInCell="1" allowOverlap="1">
                <wp:simplePos x="0" y="0"/>
                <wp:positionH relativeFrom="column">
                  <wp:posOffset>1091565</wp:posOffset>
                </wp:positionH>
                <wp:positionV relativeFrom="paragraph">
                  <wp:posOffset>58420</wp:posOffset>
                </wp:positionV>
                <wp:extent cx="533400" cy="0"/>
                <wp:effectExtent l="0" t="25400" r="0" b="31750"/>
                <wp:wrapNone/>
                <wp:docPr id="52" name="直接连接符 9"/>
                <wp:cNvGraphicFramePr/>
                <a:graphic xmlns:a="http://schemas.openxmlformats.org/drawingml/2006/main">
                  <a:graphicData uri="http://schemas.microsoft.com/office/word/2010/wordprocessingShape">
                    <wps:wsp>
                      <wps:cNvCnPr>
                        <a:cxnSpLocks noChangeShapeType="1"/>
                      </wps:cNvCnPr>
                      <wps:spPr bwMode="auto">
                        <a:xfrm>
                          <a:off x="0" y="0"/>
                          <a:ext cx="533400" cy="0"/>
                        </a:xfrm>
                        <a:prstGeom prst="line">
                          <a:avLst/>
                        </a:prstGeom>
                        <a:noFill/>
                        <a:ln w="12700">
                          <a:solidFill>
                            <a:srgbClr val="000000"/>
                          </a:solidFill>
                          <a:round/>
                          <a:tailEnd type="stealth" w="sm" len="med"/>
                        </a:ln>
                        <a:effectLst/>
                      </wps:spPr>
                      <wps:bodyPr/>
                    </wps:wsp>
                  </a:graphicData>
                </a:graphic>
              </wp:anchor>
            </w:drawing>
          </mc:Choice>
          <mc:Fallback>
            <w:pict>
              <v:line id="直接连接符 9" o:spid="_x0000_s1026" o:spt="20" style="position:absolute;left:0pt;margin-left:85.95pt;margin-top:4.6pt;height:0pt;width:42pt;z-index:251707392;mso-width-relative:page;mso-height-relative:page;" filled="f" stroked="t" coordsize="21600,21600" o:gfxdata="UEsDBAoAAAAAAIdO4kAAAAAAAAAAAAAAAAAEAAAAZHJzL1BLAwQUAAAACACHTuJAm31fUNIAAAAH&#10;AQAADwAAAGRycy9kb3ducmV2LnhtbE2OwU7DMBBE70j8g7VIXBB1EqlAQpwKpSriSuAD3HhJUuJ1&#10;ZLtN4OtZuNDj04xmXrlZ7ChO6MPgSEG6SkAgtc4M1Cl4f9vdPoAIUZPRoyNU8IUBNtXlRakL42Z6&#10;xVMTO8EjFAqtoI9xKqQMbY9Wh5WbkDj7cN7qyOg7abyeedyOMkuSO2n1QPzQ6wnrHtvP5mgV+GUX&#10;t+ZmHg/bp/rl2X3X+cE3Sl1fpckjiIhL/C/Drz6rQ8VOe3ckE8TIfJ/mXFWQZyA4z9Zr5v0fy6qU&#10;5/7VD1BLAwQUAAAACACHTuJAPNDScP8BAADlAwAADgAAAGRycy9lMm9Eb2MueG1srVNLjhMxEN0j&#10;cQfLe9JJhuHTSmcWCcNmgEgzHKBiu9MWtsuynXRyCS6AxA5Ws2TPbRiOQdn5AMNmFnhhuVzlV/Ve&#10;lScXW2vYRoWo0TV8NBhyppxAqd2q4e9vLp+84CwmcBIMOtXwnYr8Yvr40aT3tRpjh0aqwAjExbr3&#10;De9S8nVVRdEpC3GAXjlythgsJDLDqpIBekK3phoPh8+qHoP0AYWKkW7neyc/IIaHAGLbaqHmKNZW&#10;ubRHDcpAIkqx0z7yaam2bZVI79o2qsRMw4lpKjslofMy79V0AvUqgO+0OJQADynhHicL2lHSE9Qc&#10;ErB10P9AWS0CRmzTQKCt9kSKIsRiNLynzXUHXhUuJHX0J9Hj/4MVbzeLwLRs+PmYMweWOn736duP&#10;j19+fv9M+93tV/Yyq9T7WFPwzC1C5im27tpfofgQmcNZB26lSrU3O08Io/yi+utJNqKnXMv+DUqK&#10;gXXCItm2DTZDkhhsWzqzO3VGbRMTdHl+dvZ0SD0TR1cF9fGdDzG9VmhZPjTcaJc1gxo2VzHlOqA+&#10;huRrh5famNJ341hPxY6fE3R2RTRaZm8xwmo5M4FtII9OWYXVvbCAaycLWgJtXjnJUpEgJgUmdTxn&#10;iJYzo+i3WSUPGMblHKpM6KHMo0J7rZcod4twlJG6X4gcJjWP1592Efv375z+A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GoEAABbQ29udGVudF9U&#10;eXBlc10ueG1sUEsBAhQACgAAAAAAh07iQAAAAAAAAAAAAAAAAAYAAAAAAAAAAAAQAAAATAMAAF9y&#10;ZWxzL1BLAQIUABQAAAAIAIdO4kCKFGY80QAAAJQBAAALAAAAAAAAAAEAIAAAAHADAABfcmVscy8u&#10;cmVsc1BLAQIUAAoAAAAAAIdO4kAAAAAAAAAAAAAAAAAEAAAAAAAAAAAAEAAAAAAAAABkcnMvUEsB&#10;AhQAFAAAAAgAh07iQJt9X1DSAAAABwEAAA8AAAAAAAAAAQAgAAAAIgAAAGRycy9kb3ducmV2Lnht&#10;bFBLAQIUABQAAAAIAIdO4kA80NJw/wEAAOUDAAAOAAAAAAAAAAEAIAAAACEBAABkcnMvZTJvRG9j&#10;LnhtbFBLBQYAAAAABgAGAFkBAACSBQAAAAA=&#10;">
                <v:fill on="f" focussize="0,0"/>
                <v:stroke weight="1pt" color="#000000" joinstyle="round" endarrow="classic" endarrowwidth="narrow"/>
                <v:imagedata o:title=""/>
                <o:lock v:ext="edit" aspectratio="f"/>
              </v:line>
            </w:pict>
          </mc:Fallback>
        </mc:AlternateContent>
      </w:r>
      <w:r>
        <mc:AlternateContent>
          <mc:Choice Requires="wps">
            <w:drawing>
              <wp:anchor distT="0" distB="0" distL="114300" distR="114300" simplePos="0" relativeHeight="251699200" behindDoc="0" locked="0" layoutInCell="1" allowOverlap="1">
                <wp:simplePos x="0" y="0"/>
                <wp:positionH relativeFrom="column">
                  <wp:posOffset>2931795</wp:posOffset>
                </wp:positionH>
                <wp:positionV relativeFrom="paragraph">
                  <wp:posOffset>42545</wp:posOffset>
                </wp:positionV>
                <wp:extent cx="400050" cy="0"/>
                <wp:effectExtent l="0" t="25400" r="0" b="31750"/>
                <wp:wrapNone/>
                <wp:docPr id="23" name="直接连接符 8"/>
                <wp:cNvGraphicFramePr/>
                <a:graphic xmlns:a="http://schemas.openxmlformats.org/drawingml/2006/main">
                  <a:graphicData uri="http://schemas.microsoft.com/office/word/2010/wordprocessingShape">
                    <wps:wsp>
                      <wps:cNvCnPr>
                        <a:cxnSpLocks noChangeShapeType="1"/>
                      </wps:cNvCnPr>
                      <wps:spPr bwMode="auto">
                        <a:xfrm>
                          <a:off x="0" y="0"/>
                          <a:ext cx="400050" cy="0"/>
                        </a:xfrm>
                        <a:prstGeom prst="line">
                          <a:avLst/>
                        </a:prstGeom>
                        <a:noFill/>
                        <a:ln w="12700">
                          <a:solidFill>
                            <a:srgbClr val="000000"/>
                          </a:solidFill>
                          <a:round/>
                          <a:tailEnd type="stealth" w="sm" len="med"/>
                        </a:ln>
                        <a:effectLst/>
                      </wps:spPr>
                      <wps:bodyPr/>
                    </wps:wsp>
                  </a:graphicData>
                </a:graphic>
              </wp:anchor>
            </w:drawing>
          </mc:Choice>
          <mc:Fallback>
            <w:pict>
              <v:line id="直接连接符 8" o:spid="_x0000_s1026" o:spt="20" style="position:absolute;left:0pt;margin-left:230.85pt;margin-top:3.35pt;height:0pt;width:31.5pt;z-index:251699200;mso-width-relative:page;mso-height-relative:page;" filled="f" stroked="t" coordsize="21600,21600" o:gfxdata="UEsDBAoAAAAAAIdO4kAAAAAAAAAAAAAAAAAEAAAAZHJzL1BLAwQUAAAACACHTuJAA97TmNQAAAAH&#10;AQAADwAAAGRycy9kb3ducmV2LnhtbE2OwU7DMBBE70j8g7VIvSDqpCoBQpwKpSriSuAD3HhJUuJ1&#10;ZLtNytezcIHTzmhGs6/YzHYQJ/Shd6QgXSYgkBpnemoVvL/tbu5BhKjJ6MERKjhjgE15eVHo3LiJ&#10;XvFUx1bwCIVcK+hiHHMpQ9Oh1WHpRiTOPpy3OrL1rTReTzxuB7lKkkxa3RN/6PSIVYfNZ320Cvy8&#10;i1tzPQ2H7VP18uy+qoeDr5VaXKXJI4iIc/wrww8+o0PJTHt3JBPEoGCdpXdcVZDx4fx2tWax//Wy&#10;LOR//vIbUEsDBBQAAAAIAIdO4kDtj+jzAAIAAOUDAAAOAAAAZHJzL2Uyb0RvYy54bWytU0uOEzEQ&#10;3SNxB8t70p3wG7XSmUXCsBlgpBkO4NjutIXtslxOOrkEF0BiByuW7LkNwzEoOx+GYTMLvLBsV9Wr&#10;eq/K0/Ots2yjIxrwLR+Pas60l6CMX7X8/c3FkzPOMAmvhAWvW77TyM9njx9Nh9DoCfRglY6MQDw2&#10;Q2h5n1Joqgplr53AEQTtydhBdCLRNa4qFcVA6M5Wk7p+UQ0QVYggNSK9LvZGfkCMDwGErjNSL0Cu&#10;nfZpjxq1FYkoYW8C8lmptuu0TO+6DnVituXENJWdktB5mfdqNhXNKorQG3koQTykhHucnDCekp6g&#10;FiIJto7mHyhnZASELo0kuGpPpChCLMb1PW2uexF04UJSYziJjv8PVr7dXEVmVMsnTznzwlHHbz99&#10;//nxy68fn2m//faVnWWVhoANOc/9Vcw85dZfh0uQH5B5mPfCr3Sp9mYXCGGcI6q/QvIFA+VaDm9A&#10;kY9YJyiSbbvoMiSJwbalM7tTZ/Q2MUmPz+q6fk49k0dTJZpjXIiYXmtwLB9abo3PmolGbC4x5TpE&#10;c3TJzx4ujLWl79azgYqdvKzrEoFgjcrW7IdxtZzbyDYij05ZhRVZ7rpFWHtV0JIw9pVXLBUJMGlh&#10;U89zBnScWU2/zWl1wLA+59BlQg9lHhXaa70EtbuKRxmp+4XIYVLzeN29F7H//M7Zb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G0EAABbQ29udGVu&#10;dF9UeXBlc10ueG1sUEsBAhQACgAAAAAAh07iQAAAAAAAAAAAAAAAAAYAAAAAAAAAAAAQAAAATwMA&#10;AF9yZWxzL1BLAQIUABQAAAAIAIdO4kCKFGY80QAAAJQBAAALAAAAAAAAAAEAIAAAAHMDAABfcmVs&#10;cy8ucmVsc1BLAQIUAAoAAAAAAIdO4kAAAAAAAAAAAAAAAAAEAAAAAAAAAAAAEAAAAAAAAABkcnMv&#10;UEsBAhQAFAAAAAgAh07iQAPe05jUAAAABwEAAA8AAAAAAAAAAQAgAAAAIgAAAGRycy9kb3ducmV2&#10;LnhtbFBLAQIUABQAAAAIAIdO4kDtj+jzAAIAAOUDAAAOAAAAAAAAAAEAIAAAACMBAABkcnMvZTJv&#10;RG9jLnhtbFBLBQYAAAAABgAGAFkBAACVBQAAAAA=&#10;">
                <v:fill on="f" focussize="0,0"/>
                <v:stroke weight="1pt" color="#000000" joinstyle="round" endarrow="classic" endarrowwidth="narrow"/>
                <v:imagedata o:title=""/>
                <o:lock v:ext="edit" aspectratio="f"/>
              </v:line>
            </w:pict>
          </mc:Fallback>
        </mc:AlternateContent>
      </w:r>
      <w:r>
        <mc:AlternateContent>
          <mc:Choice Requires="wps">
            <w:drawing>
              <wp:anchor distT="0" distB="0" distL="114300" distR="114300" simplePos="0" relativeHeight="251697152" behindDoc="0" locked="0" layoutInCell="1" allowOverlap="1">
                <wp:simplePos x="0" y="0"/>
                <wp:positionH relativeFrom="column">
                  <wp:posOffset>2931795</wp:posOffset>
                </wp:positionH>
                <wp:positionV relativeFrom="paragraph">
                  <wp:posOffset>502920</wp:posOffset>
                </wp:positionV>
                <wp:extent cx="400050" cy="0"/>
                <wp:effectExtent l="0" t="25400" r="0" b="31750"/>
                <wp:wrapNone/>
                <wp:docPr id="16" name="直接连接符 7"/>
                <wp:cNvGraphicFramePr/>
                <a:graphic xmlns:a="http://schemas.openxmlformats.org/drawingml/2006/main">
                  <a:graphicData uri="http://schemas.microsoft.com/office/word/2010/wordprocessingShape">
                    <wps:wsp>
                      <wps:cNvCnPr>
                        <a:cxnSpLocks noChangeShapeType="1"/>
                      </wps:cNvCnPr>
                      <wps:spPr bwMode="auto">
                        <a:xfrm>
                          <a:off x="0" y="0"/>
                          <a:ext cx="400050" cy="0"/>
                        </a:xfrm>
                        <a:prstGeom prst="line">
                          <a:avLst/>
                        </a:prstGeom>
                        <a:noFill/>
                        <a:ln w="12700">
                          <a:solidFill>
                            <a:srgbClr val="000000"/>
                          </a:solidFill>
                          <a:round/>
                          <a:tailEnd type="stealth" w="sm" len="med"/>
                        </a:ln>
                        <a:effectLst/>
                      </wps:spPr>
                      <wps:bodyPr/>
                    </wps:wsp>
                  </a:graphicData>
                </a:graphic>
              </wp:anchor>
            </w:drawing>
          </mc:Choice>
          <mc:Fallback>
            <w:pict>
              <v:line id="直接连接符 7" o:spid="_x0000_s1026" o:spt="20" style="position:absolute;left:0pt;margin-left:230.85pt;margin-top:39.6pt;height:0pt;width:31.5pt;z-index:251697152;mso-width-relative:page;mso-height-relative:page;" filled="f" stroked="t" coordsize="21600,21600" o:gfxdata="UEsDBAoAAAAAAIdO4kAAAAAAAAAAAAAAAAAEAAAAZHJzL1BLAwQUAAAACACHTuJAtV9xq9YAAAAJ&#10;AQAADwAAAGRycy9kb3ducmV2LnhtbE2PwU7DMAyG70i8Q2QkLoilrcbGStMJdRriSuEBssa0HY1T&#10;JdlaeHqMOMDRvz/9/lxsZzuIM/rQO1KQLhIQSI0zPbUK3l73t/cgQtRk9OAIFXxigG15eVHo3LiJ&#10;XvBcx1ZwCYVcK+hiHHMpQ9Oh1WHhRiTevTtvdeTRt9J4PXG5HWSWJCtpdU98odMjVh02H/XJKvDz&#10;Pu7MzTQcd4/V85P7qjZHXyt1fZUmDyAizvEPhh99VoeSnQ7uRCaIQcFyla4ZVbDeZCAYuMuWHBx+&#10;A1kW8v8H5TdQSwMEFAAAAAgAh07iQJGjIp8AAgAA5QMAAA4AAABkcnMvZTJvRG9jLnhtbK1TzW4T&#10;MRC+I/EOlu9kNxG0aJVNDwnlUqBSywM4tjdrYXssj5NNXoIXQOIGJ47ceRvKYzB2fijl0gM+WLZn&#10;5pv5vhlPL7bOso2OaMC3fDyqOdNegjJ+1fL3t5fPXnKGSXglLHjd8p1GfjF7+mQ6hEZPoAerdGQE&#10;4rEZQsv7lEJTVSh77QSOIGhPxg6iE4mucVWpKAZCd7aa1PVZNUBUIYLUiPS62Bv5ATE+BhC6zki9&#10;ALl22qc9atRWJKKEvQnIZ6XartMyves61InZlhPTVHZKQudl3qvZVDSrKEJv5KEE8ZgSHnBywnhK&#10;eoJaiCTYOpp/oJyRERC6NJLgqj2RogixGNcPtLnpRdCFC0mN4SQ6/j9Y+XZzHZlRNAlnnHnhqON3&#10;n77//Pjl14/PtN99+8rOs0pDwIac5/46Zp5y62/CFcgPyDzMe+FXulR7uwuEMM4R1V8h+YKBci2H&#10;N6DIR6wTFMm2XXQZksRg29KZ3akzepuYpMfndV2/oJ7Jo6kSzTEuREyvNTiWDy23xmfNRCM2V5hy&#10;HaI5uuRnD5fG2tJ369lAxU7O67pEIFijsjX7YVwt5zayjcijU1ZhRZb7bhHWXhW0JIx95RVLRQJM&#10;WtjU85wBHWdW029zWh0wrM85dJnQQ5lHhfZaL0HtruNRRup+IXKY1Dxe9+9F7D+/c/Yb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tV9xq9YAAAAJAQAADwAAAAAAAAABACAAAAAiAAAAZHJzL2Rvd25y&#10;ZXYueG1sUEsBAhQAFAAAAAgAh07iQJGjIp8AAgAA5QMAAA4AAAAAAAAAAQAgAAAAJQEAAGRycy9l&#10;Mm9Eb2MueG1sUEsFBgAAAAAGAAYAWQEAAJcFAAAAAA==&#10;">
                <v:fill on="f" focussize="0,0"/>
                <v:stroke weight="1pt" color="#000000" joinstyle="round" endarrow="classic" endarrowwidth="narrow"/>
                <v:imagedata o:title=""/>
                <o:lock v:ext="edit" aspectratio="f"/>
              </v:line>
            </w:pict>
          </mc:Fallback>
        </mc:AlternateContent>
      </w:r>
      <w:r>
        <mc:AlternateContent>
          <mc:Choice Requires="wps">
            <w:drawing>
              <wp:anchor distT="0" distB="0" distL="114300" distR="114300" simplePos="0" relativeHeight="251695104" behindDoc="0" locked="0" layoutInCell="1" allowOverlap="1">
                <wp:simplePos x="0" y="0"/>
                <wp:positionH relativeFrom="column">
                  <wp:posOffset>2611755</wp:posOffset>
                </wp:positionH>
                <wp:positionV relativeFrom="paragraph">
                  <wp:posOffset>42545</wp:posOffset>
                </wp:positionV>
                <wp:extent cx="320040" cy="0"/>
                <wp:effectExtent l="0" t="25400" r="3810" b="31750"/>
                <wp:wrapNone/>
                <wp:docPr id="14" name="直接连接符 6"/>
                <wp:cNvGraphicFramePr/>
                <a:graphic xmlns:a="http://schemas.openxmlformats.org/drawingml/2006/main">
                  <a:graphicData uri="http://schemas.microsoft.com/office/word/2010/wordprocessingShape">
                    <wps:wsp>
                      <wps:cNvCnPr>
                        <a:cxnSpLocks noChangeShapeType="1"/>
                      </wps:cNvCnPr>
                      <wps:spPr bwMode="auto">
                        <a:xfrm>
                          <a:off x="0" y="0"/>
                          <a:ext cx="320040" cy="0"/>
                        </a:xfrm>
                        <a:prstGeom prst="line">
                          <a:avLst/>
                        </a:prstGeom>
                        <a:noFill/>
                        <a:ln w="12700">
                          <a:solidFill>
                            <a:srgbClr val="000000"/>
                          </a:solidFill>
                          <a:round/>
                          <a:tailEnd type="stealth" w="sm" len="med"/>
                        </a:ln>
                        <a:effectLst/>
                      </wps:spPr>
                      <wps:bodyPr/>
                    </wps:wsp>
                  </a:graphicData>
                </a:graphic>
              </wp:anchor>
            </w:drawing>
          </mc:Choice>
          <mc:Fallback>
            <w:pict>
              <v:line id="直接连接符 6" o:spid="_x0000_s1026" o:spt="20" style="position:absolute;left:0pt;margin-left:205.65pt;margin-top:3.35pt;height:0pt;width:25.2pt;z-index:251695104;mso-width-relative:page;mso-height-relative:page;" filled="f" stroked="t" coordsize="21600,21600" o:gfxdata="UEsDBAoAAAAAAIdO4kAAAAAAAAAAAAAAAAAEAAAAZHJzL1BLAwQUAAAACACHTuJAAjNjzdQAAAAH&#10;AQAADwAAAGRycy9kb3ducmV2LnhtbE2OzU7DMBCE70i8g7VIXFDrGKpQQpwKpSri2sADuPGSpPgn&#10;st0m8PQsXOA2oxnNfOVmtoadMcTBOwlimQFD13o9uE7C2+tusQYWk3JaGe9QwidG2FSXF6UqtJ/c&#10;Hs9N6hiNuFgoCX1KY8F5bHu0Ki79iI6ydx+sSmRDx3VQE41bw2+zLOdWDY4eejVi3WP70ZyshDDv&#10;0lbfTOa4fapfnv1X/XAMjZTXVyJ7BJZwTn9l+MEndKiI6eBPTkdmJKyEuKOqhPweGOWrXJA4/Hpe&#10;lfw/f/UNUEsDBBQAAAAIAIdO4kAkBB2jAAIAAOUDAAAOAAAAZHJzL2Uyb0RvYy54bWytU81uEzEQ&#10;viPxDpbvZDehKmiVTQ8J5VKgUssDTGxv1sL2WLaTTV6CF0DiBieO3HkbymMwdn4o5dIDPli2Z+ab&#10;+b4ZTy+21rCNClGja/l4VHOmnECp3arl728vn73kLCZwEgw61fKdivxi9vTJdPCNmmCPRqrACMTF&#10;ZvAt71PyTVVF0SsLcYReOTJ2GCwkuoZVJQMMhG5NNanr82rAIH1AoWKk18XeyA+I4TGA2HVaqAWK&#10;tVUu7VGDMpCIUuy1j3xWqu06JdK7rosqMdNyYprKTknovMx7NZtCswrgey0OJcBjSnjAyYJ2lPQE&#10;tYAEbB30P1BWi4ARuzQSaKs9kaIIsRjXD7S56cGrwoWkjv4kevx/sOLt5jowLWkSzjhzYKnjd5++&#10;//z45dePz7TfffvKzrNKg48NOc/ddcg8xdbd+CsUHyJzOO/BrVSp9nbnCWGcI6q/QvIlesq1HN6g&#10;JB9YJyySbbtgMySJwbalM7tTZ9Q2MUGPz2lyzqhn4miqoDnG+RDTa4WW5UPLjXZZM2hgcxVTrgOa&#10;o0t+dnipjSl9N44NVOzkRV2XiIhGy2zNfjGslnMT2Aby6JRVWJHlvlvAtZMFLYE2r5xkqUgQkwKT&#10;ep4zRMuZUfTbrJIHDONyDlUm9FDmUaG91kuUu+twlJG6X4gcJjWP1/17EfvP75z9Bl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G0EAABbQ29udGVu&#10;dF9UeXBlc10ueG1sUEsBAhQACgAAAAAAh07iQAAAAAAAAAAAAAAAAAYAAAAAAAAAAAAQAAAATwMA&#10;AF9yZWxzL1BLAQIUABQAAAAIAIdO4kCKFGY80QAAAJQBAAALAAAAAAAAAAEAIAAAAHMDAABfcmVs&#10;cy8ucmVsc1BLAQIUAAoAAAAAAIdO4kAAAAAAAAAAAAAAAAAEAAAAAAAAAAAAEAAAAAAAAABkcnMv&#10;UEsBAhQAFAAAAAgAh07iQAIzY83UAAAABwEAAA8AAAAAAAAAAQAgAAAAIgAAAGRycy9kb3ducmV2&#10;LnhtbFBLAQIUABQAAAAIAIdO4kAkBB2jAAIAAOUDAAAOAAAAAAAAAAEAIAAAACMBAABkcnMvZTJv&#10;RG9jLnhtbFBLBQYAAAAABgAGAFkBAACVBQAAAAA=&#10;">
                <v:fill on="f" focussize="0,0"/>
                <v:stroke weight="1pt" color="#000000" joinstyle="round" endarrow="classic" endarrowwidth="narrow"/>
                <v:imagedata o:title=""/>
                <o:lock v:ext="edit" aspectratio="f"/>
              </v:line>
            </w:pict>
          </mc:Fallback>
        </mc:AlternateContent>
      </w:r>
      <w:r>
        <mc:AlternateContent>
          <mc:Choice Requires="wps">
            <w:drawing>
              <wp:anchor distT="0" distB="0" distL="114300" distR="114300" simplePos="0" relativeHeight="251673600" behindDoc="0" locked="0" layoutInCell="1" allowOverlap="1">
                <wp:simplePos x="0" y="0"/>
                <wp:positionH relativeFrom="column">
                  <wp:posOffset>3318510</wp:posOffset>
                </wp:positionH>
                <wp:positionV relativeFrom="paragraph">
                  <wp:posOffset>330200</wp:posOffset>
                </wp:positionV>
                <wp:extent cx="1813560" cy="252095"/>
                <wp:effectExtent l="5080" t="5080" r="10160" b="9525"/>
                <wp:wrapNone/>
                <wp:docPr id="11" name="文本框 5"/>
                <wp:cNvGraphicFramePr/>
                <a:graphic xmlns:a="http://schemas.openxmlformats.org/drawingml/2006/main">
                  <a:graphicData uri="http://schemas.microsoft.com/office/word/2010/wordprocessingShape">
                    <wps:wsp>
                      <wps:cNvSpPr txBox="1">
                        <a:spLocks noChangeArrowheads="1"/>
                      </wps:cNvSpPr>
                      <wps:spPr bwMode="auto">
                        <a:xfrm>
                          <a:off x="0" y="0"/>
                          <a:ext cx="1813560" cy="252095"/>
                        </a:xfrm>
                        <a:prstGeom prst="rect">
                          <a:avLst/>
                        </a:prstGeom>
                        <a:solidFill>
                          <a:srgbClr val="FFFFFF"/>
                        </a:solidFill>
                        <a:ln w="9525">
                          <a:solidFill>
                            <a:srgbClr val="000000"/>
                          </a:solidFill>
                          <a:miter lim="800000"/>
                        </a:ln>
                        <a:effectLst/>
                      </wps:spPr>
                      <wps:txbx>
                        <w:txbxContent>
                          <w:p w14:paraId="3EC21735">
                            <w:pPr>
                              <w:jc w:val="center"/>
                              <w:rPr>
                                <w:szCs w:val="21"/>
                              </w:rPr>
                            </w:pPr>
                            <w:r>
                              <w:rPr>
                                <w:rFonts w:hint="eastAsia"/>
                                <w:szCs w:val="21"/>
                              </w:rPr>
                              <w:t>提高居民就业机会</w:t>
                            </w:r>
                          </w:p>
                        </w:txbxContent>
                      </wps:txbx>
                      <wps:bodyPr rot="0" vert="horz" wrap="square" lIns="0" tIns="0" rIns="0" bIns="0" anchor="t" anchorCtr="0" upright="1">
                        <a:noAutofit/>
                      </wps:bodyPr>
                    </wps:wsp>
                  </a:graphicData>
                </a:graphic>
              </wp:anchor>
            </w:drawing>
          </mc:Choice>
          <mc:Fallback>
            <w:pict>
              <v:shape id="文本框 5" o:spid="_x0000_s1026" o:spt="202" type="#_x0000_t202" style="position:absolute;left:0pt;margin-left:261.3pt;margin-top:26pt;height:19.85pt;width:142.8pt;z-index:251673600;mso-width-relative:page;mso-height-relative:page;" fillcolor="#FFFFFF" filled="t" stroked="t" coordsize="21600,21600" o:gfxdata="UEsDBAoAAAAAAIdO4kAAAAAAAAAAAAAAAAAEAAAAZHJzL1BLAwQUAAAACACHTuJA5tWWKtgAAAAJ&#10;AQAADwAAAGRycy9kb3ducmV2LnhtbE2Py07DMBBF90j8gzVI7KgdS5Q0xKkoEhKIDW0RazeePNp4&#10;HNluWv4ed1V2M5qjO+eWy7Md2IQ+9I4UZDMBDKl2pqdWwff27SEHFqImowdHqOAXAyyr25tSF8ad&#10;aI3TJrYshVAotIIuxrHgPNQdWh1mbkRKt8Z5q2NafcuN16cUbgcuhZhzq3tKHzo94muH9WFztAq2&#10;0yq8r/dxYT6aFZefzZf88S9K3d9l4hlYxHO8wnDRT+pQJaedO5IJbFDwKOU8oZchdUpALnIJbKdg&#10;kT0Br0r+v0H1B1BLAwQUAAAACACHTuJAPNiOXz0CAACGBAAADgAAAGRycy9lMm9Eb2MueG1srVTN&#10;jtMwEL4j8Q6W7zRtUVe7UdPV0tUipOVHWngA13EaC9tjxm6T8gDwBpy4cOe5+hyMnXZZFZD2QA7R&#10;OB5/8833jTO/7K1hW4VBg6v4ZDTmTDkJtXbrin94f/PsnLMQhauFAacqvlOBXy6ePpl3vlRTaMHU&#10;ChmBuFB2vuJtjL4siiBbZUUYgVeONhtAKyItcV3UKDpCt6aYjsdnRQdYewSpQqCv18MmPyDiYwCh&#10;abRU1yA3Vrk4oKIyIlJLodU+8EVm2zRKxrdNE1RkpuLUacxvKkLxKr2LxVyUaxS+1fJAQTyGwklP&#10;VmhHRe+hrkUUbIP6DyirJUKAJo4k2GJoJCtCXUzGJ9rctcKr3AtJHfy96OH/wco323fIdE2TMOHM&#10;CUuO77993X//uf/xhc2SPp0PJaXdeUqM/QvoKTf3GvwtyI+BOVi2wq3VFSJ0rRI18Zukk8WDowNO&#10;SCCr7jXUVEdsImSgvkGbxCM5GKGTN7t7b1QfmUwlzyfPZ2e0JWlvOpuOLzK5QpTH0x5DfKnAshRU&#10;HMn7jC62tyEmNqI8pqRiAYyub7QxeYHr1dIg2wqak5v85AZO0oxjXcUvZtPZIMA/Icb5+RuE1ZGu&#10;j9G24ucPk4xLPFQe2QPfpF4SbJAu9qv+4MYK6h3piDCMM11mClrAz5x1NMoVD582AhVn5pUjL9Lc&#10;HwM8BqtjIJykoxWPnA3hMg73Y+NRr1tCHtx2cEV+NTpLmagNLA4u03hmhQ9XKc3/w3XO+v37WPwC&#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5tWWKtgAAAAJAQAADwAAAAAAAAABACAAAAAiAAAAZHJz&#10;L2Rvd25yZXYueG1sUEsBAhQAFAAAAAgAh07iQDzYjl89AgAAhgQAAA4AAAAAAAAAAQAgAAAAJwEA&#10;AGRycy9lMm9Eb2MueG1sUEsFBgAAAAAGAAYAWQEAANYFAAAAAA==&#10;">
                <v:fill on="t" focussize="0,0"/>
                <v:stroke color="#000000" miterlimit="8" joinstyle="miter"/>
                <v:imagedata o:title=""/>
                <o:lock v:ext="edit" aspectratio="f"/>
                <v:textbox inset="0mm,0mm,0mm,0mm">
                  <w:txbxContent>
                    <w:p w14:paraId="3EC21735">
                      <w:pPr>
                        <w:jc w:val="center"/>
                        <w:rPr>
                          <w:szCs w:val="21"/>
                        </w:rPr>
                      </w:pPr>
                      <w:r>
                        <w:rPr>
                          <w:rFonts w:hint="eastAsia"/>
                          <w:szCs w:val="21"/>
                        </w:rPr>
                        <w:t>提高居民就业机会</w:t>
                      </w:r>
                    </w:p>
                  </w:txbxContent>
                </v:textbox>
              </v:shape>
            </w:pict>
          </mc:Fallback>
        </mc:AlternateContent>
      </w:r>
    </w:p>
    <w:p w14:paraId="13882819">
      <w:pPr>
        <w:pStyle w:val="310"/>
      </w:pPr>
    </w:p>
    <w:p w14:paraId="69E91CFE">
      <w:pPr>
        <w:jc w:val="center"/>
        <w:rPr>
          <w:rFonts w:ascii="Times New Roman" w:hAnsi="Times New Roman" w:eastAsia="黑体" w:cs="Times New Roman"/>
        </w:rPr>
      </w:pPr>
      <w:r>
        <w:rPr>
          <w:rFonts w:ascii="Times New Roman" w:hAnsi="Times New Roman" w:eastAsia="黑体" w:cs="Times New Roman"/>
        </w:rPr>
        <w:t>图</w:t>
      </w:r>
      <w:r>
        <w:rPr>
          <w:rFonts w:hint="eastAsia" w:ascii="Times New Roman" w:hAnsi="Times New Roman" w:eastAsia="黑体" w:cs="Times New Roman"/>
        </w:rPr>
        <w:t>8.1</w:t>
      </w:r>
      <w:r>
        <w:rPr>
          <w:rFonts w:ascii="Times New Roman" w:hAnsi="Times New Roman" w:eastAsia="黑体" w:cs="Times New Roman"/>
        </w:rPr>
        <w:t>-1  费用和效益分析示意图</w:t>
      </w:r>
    </w:p>
    <w:p w14:paraId="15057B3C">
      <w:pPr>
        <w:pStyle w:val="6"/>
        <w:spacing w:before="239"/>
      </w:pPr>
      <w:bookmarkStart w:id="649" w:name="_Toc90026155"/>
      <w:bookmarkStart w:id="650" w:name="_Toc11731"/>
      <w:r>
        <w:rPr>
          <w:rFonts w:hint="eastAsia"/>
        </w:rPr>
        <w:t>8</w:t>
      </w:r>
      <w:r>
        <w:t>.1 费用</w:t>
      </w:r>
      <w:bookmarkEnd w:id="649"/>
      <w:bookmarkEnd w:id="650"/>
    </w:p>
    <w:p w14:paraId="7E902C98">
      <w:pPr>
        <w:pStyle w:val="310"/>
        <w:spacing w:line="500" w:lineRule="exact"/>
        <w:rPr>
          <w:lang w:eastAsia="zh-CN"/>
        </w:rPr>
      </w:pPr>
      <w:r>
        <w:t>本项目环境费用主要包括两部分：工程环境保护措施投资费用和环保设施运行及管理费用（两部分费用不具有可加性）。</w:t>
      </w:r>
    </w:p>
    <w:p w14:paraId="39742D90">
      <w:pPr>
        <w:pStyle w:val="310"/>
        <w:spacing w:line="500" w:lineRule="exact"/>
        <w:rPr>
          <w:b/>
          <w:lang w:eastAsia="zh-CN"/>
        </w:rPr>
      </w:pPr>
      <w:r>
        <w:rPr>
          <w:b/>
          <w:lang w:eastAsia="zh-CN"/>
        </w:rPr>
        <w:t>（1）工程环保措施投资费用</w:t>
      </w:r>
    </w:p>
    <w:p w14:paraId="6828AB66">
      <w:pPr>
        <w:spacing w:line="500" w:lineRule="exact"/>
        <w:ind w:firstLine="480" w:firstLineChars="200"/>
        <w:rPr>
          <w:rFonts w:ascii="Times New Roman" w:hAnsi="Times New Roman" w:cs="Times New Roman"/>
          <w:highlight w:val="none"/>
        </w:rPr>
      </w:pPr>
      <w:r>
        <w:rPr>
          <w:rFonts w:ascii="Times New Roman" w:hAnsi="Times New Roman" w:cs="Times New Roman"/>
          <w:highlight w:val="none"/>
        </w:rPr>
        <w:t>本项目总投资</w:t>
      </w:r>
      <w:r>
        <w:rPr>
          <w:rFonts w:hint="eastAsia" w:ascii="Times New Roman" w:hAnsi="Times New Roman" w:cs="Times New Roman"/>
          <w:highlight w:val="none"/>
          <w:lang w:val="en-US" w:eastAsia="zh-CN"/>
        </w:rPr>
        <w:t>8337</w:t>
      </w:r>
      <w:r>
        <w:rPr>
          <w:rFonts w:ascii="Times New Roman" w:hAnsi="Times New Roman" w:cs="Times New Roman"/>
          <w:highlight w:val="none"/>
        </w:rPr>
        <w:t>万元，其中环保投资为</w:t>
      </w:r>
      <w:r>
        <w:rPr>
          <w:rFonts w:hint="eastAsia" w:ascii="Times New Roman" w:hAnsi="Times New Roman" w:cs="Times New Roman"/>
          <w:highlight w:val="none"/>
          <w:lang w:val="en-US" w:eastAsia="zh-CN"/>
        </w:rPr>
        <w:t>500</w:t>
      </w:r>
      <w:r>
        <w:rPr>
          <w:rFonts w:ascii="Times New Roman" w:hAnsi="Times New Roman" w:cs="Times New Roman"/>
          <w:highlight w:val="none"/>
        </w:rPr>
        <w:t>万元，占总投资的</w:t>
      </w:r>
      <w:r>
        <w:rPr>
          <w:rFonts w:hint="eastAsia" w:ascii="Times New Roman" w:hAnsi="Times New Roman" w:cs="Times New Roman"/>
          <w:highlight w:val="none"/>
          <w:lang w:val="en-US" w:eastAsia="zh-CN"/>
        </w:rPr>
        <w:t>6</w:t>
      </w:r>
      <w:r>
        <w:rPr>
          <w:rFonts w:ascii="Times New Roman" w:hAnsi="Times New Roman" w:cs="Times New Roman"/>
          <w:highlight w:val="none"/>
        </w:rPr>
        <w:t>%。</w:t>
      </w:r>
    </w:p>
    <w:p w14:paraId="1FB9B95F">
      <w:pPr>
        <w:spacing w:line="500" w:lineRule="exact"/>
        <w:ind w:firstLine="482" w:firstLineChars="200"/>
        <w:rPr>
          <w:rFonts w:ascii="Times New Roman" w:hAnsi="Times New Roman" w:cs="Times New Roman"/>
          <w:b/>
        </w:rPr>
      </w:pPr>
      <w:r>
        <w:rPr>
          <w:rFonts w:ascii="Times New Roman" w:hAnsi="Times New Roman" w:cs="Times New Roman"/>
          <w:b/>
        </w:rPr>
        <w:t>（2）环保设施运行及管理费用</w:t>
      </w:r>
    </w:p>
    <w:p w14:paraId="7150E61E">
      <w:pPr>
        <w:spacing w:line="500" w:lineRule="exact"/>
        <w:ind w:firstLine="480" w:firstLineChars="200"/>
        <w:rPr>
          <w:rFonts w:ascii="Times New Roman" w:hAnsi="Times New Roman" w:cs="Times New Roman"/>
        </w:rPr>
      </w:pPr>
      <w:r>
        <w:rPr>
          <w:rFonts w:ascii="Times New Roman" w:hAnsi="Times New Roman" w:cs="Times New Roman"/>
        </w:rPr>
        <w:t>环保设施经营支出包括环保设施折旧费、运行费和环保设施管理费。</w:t>
      </w:r>
    </w:p>
    <w:p w14:paraId="6E846630">
      <w:pPr>
        <w:spacing w:line="500" w:lineRule="exact"/>
        <w:ind w:firstLine="480" w:firstLineChars="200"/>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 xml:space="preserve"> = 1 \* GB3 </w:instrText>
      </w:r>
      <w:r>
        <w:rPr>
          <w:rFonts w:ascii="Times New Roman" w:hAnsi="Times New Roman" w:cs="Times New Roman"/>
        </w:rPr>
        <w:fldChar w:fldCharType="separate"/>
      </w:r>
      <w:r>
        <w:rPr>
          <w:rFonts w:hint="eastAsia"/>
        </w:rPr>
        <w:t>①</w:t>
      </w:r>
      <w:r>
        <w:rPr>
          <w:rFonts w:ascii="Times New Roman" w:hAnsi="Times New Roman" w:cs="Times New Roman"/>
        </w:rPr>
        <w:fldChar w:fldCharType="end"/>
      </w:r>
      <w:r>
        <w:rPr>
          <w:rFonts w:ascii="Times New Roman" w:hAnsi="Times New Roman" w:cs="Times New Roman"/>
        </w:rPr>
        <w:t>环保设施折旧费C</w:t>
      </w:r>
      <w:r>
        <w:rPr>
          <w:rFonts w:ascii="Times New Roman" w:hAnsi="Times New Roman" w:cs="Times New Roman"/>
          <w:vertAlign w:val="subscript"/>
        </w:rPr>
        <w:t>1</w:t>
      </w:r>
    </w:p>
    <w:p w14:paraId="339980B9">
      <w:pPr>
        <w:jc w:val="center"/>
        <w:rPr>
          <w:rFonts w:ascii="Times New Roman" w:hAnsi="Times New Roman" w:cs="Times New Roman"/>
        </w:rPr>
      </w:pPr>
      <w:r>
        <w:rPr>
          <w:rFonts w:ascii="Times New Roman" w:hAnsi="Times New Roman" w:cs="Times New Roman"/>
        </w:rPr>
        <w:t>C</w:t>
      </w:r>
      <w:r>
        <w:rPr>
          <w:rFonts w:ascii="Times New Roman" w:hAnsi="Times New Roman" w:cs="Times New Roman"/>
          <w:vertAlign w:val="subscript"/>
        </w:rPr>
        <w:t>1</w:t>
      </w:r>
      <w:r>
        <w:rPr>
          <w:rFonts w:ascii="Times New Roman" w:hAnsi="Times New Roman" w:cs="Times New Roman"/>
        </w:rPr>
        <w:t>=a×C</w:t>
      </w:r>
      <w:r>
        <w:rPr>
          <w:rFonts w:ascii="Times New Roman" w:hAnsi="Times New Roman" w:cs="Times New Roman"/>
          <w:vertAlign w:val="subscript"/>
        </w:rPr>
        <w:t>0</w:t>
      </w:r>
      <w:r>
        <w:rPr>
          <w:rFonts w:ascii="Times New Roman" w:hAnsi="Times New Roman" w:cs="Times New Roman"/>
        </w:rPr>
        <w:t>/n</w:t>
      </w:r>
    </w:p>
    <w:p w14:paraId="57C4B7A2">
      <w:pPr>
        <w:spacing w:line="500" w:lineRule="exact"/>
        <w:ind w:firstLine="480" w:firstLineChars="200"/>
        <w:rPr>
          <w:rFonts w:ascii="Times New Roman" w:hAnsi="Times New Roman" w:cs="Times New Roman"/>
        </w:rPr>
      </w:pPr>
      <w:r>
        <w:rPr>
          <w:rFonts w:ascii="Times New Roman" w:hAnsi="Times New Roman" w:cs="Times New Roman"/>
        </w:rPr>
        <w:t>式中：a——固定资产形成率，取95%；</w:t>
      </w:r>
    </w:p>
    <w:p w14:paraId="63018C22">
      <w:pPr>
        <w:spacing w:line="500" w:lineRule="exact"/>
        <w:ind w:firstLine="480" w:firstLineChars="200"/>
        <w:rPr>
          <w:rFonts w:ascii="Times New Roman" w:hAnsi="Times New Roman" w:cs="Times New Roman"/>
        </w:rPr>
      </w:pPr>
      <w:r>
        <w:rPr>
          <w:rFonts w:ascii="Times New Roman" w:hAnsi="Times New Roman" w:cs="Times New Roman"/>
        </w:rPr>
        <w:t xml:space="preserve">      C</w:t>
      </w:r>
      <w:r>
        <w:rPr>
          <w:rFonts w:ascii="Times New Roman" w:hAnsi="Times New Roman" w:cs="Times New Roman"/>
          <w:vertAlign w:val="subscript"/>
        </w:rPr>
        <w:t>o</w:t>
      </w:r>
      <w:r>
        <w:rPr>
          <w:rFonts w:ascii="Times New Roman" w:hAnsi="Times New Roman" w:cs="Times New Roman"/>
        </w:rPr>
        <w:t>——环保总投资，万元；</w:t>
      </w:r>
    </w:p>
    <w:p w14:paraId="7CDA5D34">
      <w:pPr>
        <w:spacing w:line="500" w:lineRule="exact"/>
        <w:ind w:firstLine="480" w:firstLineChars="200"/>
        <w:rPr>
          <w:rFonts w:ascii="Times New Roman" w:hAnsi="Times New Roman" w:cs="Times New Roman"/>
        </w:rPr>
      </w:pPr>
      <w:r>
        <w:rPr>
          <w:rFonts w:ascii="Times New Roman" w:hAnsi="Times New Roman" w:cs="Times New Roman"/>
        </w:rPr>
        <w:t xml:space="preserve">      n——折旧年限，取10年。</w:t>
      </w:r>
    </w:p>
    <w:p w14:paraId="7A287601">
      <w:pPr>
        <w:spacing w:line="500" w:lineRule="exact"/>
        <w:ind w:firstLine="480" w:firstLineChars="200"/>
        <w:rPr>
          <w:rFonts w:ascii="Times New Roman" w:hAnsi="Times New Roman" w:cs="Times New Roman"/>
          <w:vertAlign w:val="subscript"/>
        </w:rPr>
      </w:pPr>
      <w:r>
        <w:rPr>
          <w:rFonts w:ascii="Times New Roman" w:hAnsi="Times New Roman" w:cs="Times New Roman"/>
        </w:rPr>
        <w:fldChar w:fldCharType="begin"/>
      </w:r>
      <w:r>
        <w:rPr>
          <w:rFonts w:ascii="Times New Roman" w:hAnsi="Times New Roman" w:cs="Times New Roman"/>
        </w:rPr>
        <w:instrText xml:space="preserve"> = 2 \* GB3 </w:instrText>
      </w:r>
      <w:r>
        <w:rPr>
          <w:rFonts w:ascii="Times New Roman" w:hAnsi="Times New Roman" w:cs="Times New Roman"/>
        </w:rPr>
        <w:fldChar w:fldCharType="separate"/>
      </w:r>
      <w:r>
        <w:rPr>
          <w:rFonts w:hint="eastAsia"/>
        </w:rPr>
        <w:t>②</w:t>
      </w:r>
      <w:r>
        <w:rPr>
          <w:rFonts w:ascii="Times New Roman" w:hAnsi="Times New Roman" w:cs="Times New Roman"/>
        </w:rPr>
        <w:fldChar w:fldCharType="end"/>
      </w:r>
      <w:r>
        <w:rPr>
          <w:rFonts w:ascii="Times New Roman" w:hAnsi="Times New Roman" w:cs="Times New Roman"/>
        </w:rPr>
        <w:t>环保设施运行费C</w:t>
      </w:r>
      <w:r>
        <w:rPr>
          <w:rFonts w:ascii="Times New Roman" w:hAnsi="Times New Roman" w:cs="Times New Roman"/>
          <w:vertAlign w:val="subscript"/>
        </w:rPr>
        <w:t>2</w:t>
      </w:r>
    </w:p>
    <w:p w14:paraId="78B274E4">
      <w:pPr>
        <w:spacing w:line="500" w:lineRule="exact"/>
        <w:ind w:firstLine="480" w:firstLineChars="200"/>
        <w:rPr>
          <w:rFonts w:ascii="Times New Roman" w:hAnsi="Times New Roman" w:cs="Times New Roman"/>
        </w:rPr>
      </w:pPr>
      <w:r>
        <w:rPr>
          <w:rFonts w:ascii="Times New Roman" w:hAnsi="Times New Roman" w:cs="Times New Roman"/>
        </w:rPr>
        <w:t>参照国内其它企业的有关资料，环保及综合利用设施的年运行费可按环保总投资的15%计算。</w:t>
      </w:r>
    </w:p>
    <w:p w14:paraId="083B5C7E">
      <w:pPr>
        <w:spacing w:line="500" w:lineRule="exact"/>
        <w:jc w:val="center"/>
        <w:rPr>
          <w:rFonts w:ascii="Times New Roman" w:hAnsi="Times New Roman" w:cs="Times New Roman"/>
        </w:rPr>
      </w:pPr>
      <w:r>
        <w:rPr>
          <w:rFonts w:ascii="Times New Roman" w:hAnsi="Times New Roman" w:cs="Times New Roman"/>
        </w:rPr>
        <w:t>C</w:t>
      </w:r>
      <w:r>
        <w:rPr>
          <w:rFonts w:ascii="Times New Roman" w:hAnsi="Times New Roman" w:cs="Times New Roman"/>
          <w:vertAlign w:val="subscript"/>
        </w:rPr>
        <w:t>2</w:t>
      </w:r>
      <w:r>
        <w:rPr>
          <w:rFonts w:ascii="Times New Roman" w:hAnsi="Times New Roman" w:cs="Times New Roman"/>
        </w:rPr>
        <w:t>=C</w:t>
      </w:r>
      <w:r>
        <w:rPr>
          <w:rFonts w:ascii="Times New Roman" w:hAnsi="Times New Roman" w:cs="Times New Roman"/>
          <w:vertAlign w:val="subscript"/>
        </w:rPr>
        <w:t>0</w:t>
      </w:r>
      <w:r>
        <w:rPr>
          <w:rFonts w:ascii="Times New Roman" w:hAnsi="Times New Roman" w:cs="Times New Roman"/>
        </w:rPr>
        <w:t>×15%</w:t>
      </w:r>
    </w:p>
    <w:p w14:paraId="1443FEC3">
      <w:pPr>
        <w:spacing w:line="500" w:lineRule="exact"/>
        <w:ind w:firstLine="480" w:firstLineChars="200"/>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 xml:space="preserve"> = 3 \* GB3 </w:instrText>
      </w:r>
      <w:r>
        <w:rPr>
          <w:rFonts w:ascii="Times New Roman" w:hAnsi="Times New Roman" w:cs="Times New Roman"/>
        </w:rPr>
        <w:fldChar w:fldCharType="separate"/>
      </w:r>
      <w:r>
        <w:rPr>
          <w:rFonts w:hint="eastAsia"/>
        </w:rPr>
        <w:t>③</w:t>
      </w:r>
      <w:r>
        <w:rPr>
          <w:rFonts w:ascii="Times New Roman" w:hAnsi="Times New Roman" w:cs="Times New Roman"/>
        </w:rPr>
        <w:fldChar w:fldCharType="end"/>
      </w:r>
      <w:r>
        <w:rPr>
          <w:rFonts w:ascii="Times New Roman" w:hAnsi="Times New Roman" w:cs="Times New Roman"/>
        </w:rPr>
        <w:t>环保设施管理费C</w:t>
      </w:r>
      <w:r>
        <w:rPr>
          <w:rFonts w:ascii="Times New Roman" w:hAnsi="Times New Roman" w:cs="Times New Roman"/>
          <w:vertAlign w:val="subscript"/>
        </w:rPr>
        <w:t>3</w:t>
      </w:r>
    </w:p>
    <w:p w14:paraId="1BDC7D73">
      <w:pPr>
        <w:spacing w:line="500" w:lineRule="exact"/>
        <w:ind w:firstLine="480" w:firstLineChars="200"/>
        <w:rPr>
          <w:rFonts w:ascii="Times New Roman" w:hAnsi="Times New Roman" w:cs="Times New Roman"/>
        </w:rPr>
      </w:pPr>
      <w:r>
        <w:rPr>
          <w:rFonts w:ascii="Times New Roman" w:hAnsi="Times New Roman" w:cs="Times New Roman"/>
        </w:rPr>
        <w:t>环保设施管理费可按环保设施折旧费和环保设施运行费之和的15%考虑。即：</w:t>
      </w:r>
    </w:p>
    <w:p w14:paraId="2E75946A">
      <w:pPr>
        <w:spacing w:line="500" w:lineRule="exact"/>
        <w:jc w:val="center"/>
        <w:rPr>
          <w:rFonts w:ascii="Times New Roman" w:hAnsi="Times New Roman" w:cs="Times New Roman"/>
        </w:rPr>
      </w:pPr>
      <w:r>
        <w:rPr>
          <w:rFonts w:ascii="Times New Roman" w:hAnsi="Times New Roman" w:cs="Times New Roman"/>
        </w:rPr>
        <w:t>C</w:t>
      </w:r>
      <w:r>
        <w:rPr>
          <w:rFonts w:ascii="Times New Roman" w:hAnsi="Times New Roman" w:cs="Times New Roman"/>
          <w:vertAlign w:val="subscript"/>
        </w:rPr>
        <w:t>3</w:t>
      </w:r>
      <w:r>
        <w:rPr>
          <w:rFonts w:ascii="Times New Roman" w:hAnsi="Times New Roman" w:cs="Times New Roman"/>
        </w:rPr>
        <w:t>=（C</w:t>
      </w:r>
      <w:r>
        <w:rPr>
          <w:rFonts w:ascii="Times New Roman" w:hAnsi="Times New Roman" w:cs="Times New Roman"/>
          <w:vertAlign w:val="subscript"/>
        </w:rPr>
        <w:t>1</w:t>
      </w:r>
      <w:r>
        <w:rPr>
          <w:rFonts w:ascii="Times New Roman" w:hAnsi="Times New Roman" w:cs="Times New Roman"/>
        </w:rPr>
        <w:t>+ C</w:t>
      </w:r>
      <w:r>
        <w:rPr>
          <w:rFonts w:ascii="Times New Roman" w:hAnsi="Times New Roman" w:cs="Times New Roman"/>
          <w:vertAlign w:val="subscript"/>
        </w:rPr>
        <w:t>2</w:t>
      </w:r>
      <w:r>
        <w:rPr>
          <w:rFonts w:ascii="Times New Roman" w:hAnsi="Times New Roman" w:cs="Times New Roman"/>
        </w:rPr>
        <w:t>）×15%</w:t>
      </w:r>
    </w:p>
    <w:p w14:paraId="08E58A81">
      <w:pPr>
        <w:spacing w:line="500" w:lineRule="exact"/>
        <w:ind w:firstLine="480" w:firstLineChars="200"/>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 xml:space="preserve"> = 4 \* GB3 </w:instrText>
      </w:r>
      <w:r>
        <w:rPr>
          <w:rFonts w:ascii="Times New Roman" w:hAnsi="Times New Roman" w:cs="Times New Roman"/>
        </w:rPr>
        <w:fldChar w:fldCharType="separate"/>
      </w:r>
      <w:r>
        <w:rPr>
          <w:rFonts w:hint="eastAsia"/>
        </w:rPr>
        <w:t>④</w:t>
      </w:r>
      <w:r>
        <w:rPr>
          <w:rFonts w:ascii="Times New Roman" w:hAnsi="Times New Roman" w:cs="Times New Roman"/>
        </w:rPr>
        <w:fldChar w:fldCharType="end"/>
      </w:r>
      <w:r>
        <w:rPr>
          <w:rFonts w:ascii="Times New Roman" w:hAnsi="Times New Roman" w:cs="Times New Roman"/>
        </w:rPr>
        <w:t>环保设施经营支出C</w:t>
      </w:r>
    </w:p>
    <w:p w14:paraId="7F5A2FD6">
      <w:pPr>
        <w:spacing w:line="500" w:lineRule="exact"/>
        <w:ind w:firstLine="480" w:firstLineChars="200"/>
        <w:rPr>
          <w:rFonts w:ascii="Times New Roman" w:hAnsi="Times New Roman" w:cs="Times New Roman"/>
        </w:rPr>
      </w:pPr>
      <w:r>
        <w:rPr>
          <w:rFonts w:ascii="Times New Roman" w:hAnsi="Times New Roman" w:cs="Times New Roman"/>
        </w:rPr>
        <w:t>环保设施经营支出为上述三项之和。</w:t>
      </w:r>
    </w:p>
    <w:p w14:paraId="4548117D">
      <w:pPr>
        <w:spacing w:line="500" w:lineRule="exact"/>
        <w:jc w:val="center"/>
        <w:rPr>
          <w:rFonts w:ascii="Times New Roman" w:hAnsi="Times New Roman" w:cs="Times New Roman"/>
        </w:rPr>
      </w:pPr>
      <w:r>
        <w:rPr>
          <w:rFonts w:ascii="Times New Roman" w:hAnsi="Times New Roman" w:cs="Times New Roman"/>
        </w:rPr>
        <w:t>C=C</w:t>
      </w:r>
      <w:r>
        <w:rPr>
          <w:rFonts w:ascii="Times New Roman" w:hAnsi="Times New Roman" w:cs="Times New Roman"/>
          <w:vertAlign w:val="subscript"/>
        </w:rPr>
        <w:t>1</w:t>
      </w:r>
      <w:r>
        <w:rPr>
          <w:rFonts w:ascii="Times New Roman" w:hAnsi="Times New Roman" w:cs="Times New Roman"/>
        </w:rPr>
        <w:t>+ C</w:t>
      </w:r>
      <w:r>
        <w:rPr>
          <w:rFonts w:ascii="Times New Roman" w:hAnsi="Times New Roman" w:cs="Times New Roman"/>
          <w:vertAlign w:val="subscript"/>
        </w:rPr>
        <w:t>2</w:t>
      </w:r>
      <w:r>
        <w:rPr>
          <w:rFonts w:ascii="Times New Roman" w:hAnsi="Times New Roman" w:cs="Times New Roman"/>
        </w:rPr>
        <w:t>+ C</w:t>
      </w:r>
      <w:r>
        <w:rPr>
          <w:rFonts w:ascii="Times New Roman" w:hAnsi="Times New Roman" w:cs="Times New Roman"/>
          <w:vertAlign w:val="subscript"/>
        </w:rPr>
        <w:t>3</w:t>
      </w:r>
    </w:p>
    <w:p w14:paraId="0291E88D">
      <w:pPr>
        <w:spacing w:line="500" w:lineRule="exact"/>
        <w:ind w:firstLine="480" w:firstLineChars="200"/>
        <w:rPr>
          <w:rFonts w:ascii="Times New Roman" w:hAnsi="Times New Roman" w:cs="Times New Roman"/>
        </w:rPr>
      </w:pPr>
      <w:r>
        <w:rPr>
          <w:rFonts w:ascii="Times New Roman" w:hAnsi="Times New Roman" w:cs="Times New Roman"/>
        </w:rPr>
        <w:t>环保设施经营支出见表</w:t>
      </w:r>
      <w:r>
        <w:rPr>
          <w:rFonts w:hint="eastAsia" w:ascii="Times New Roman" w:hAnsi="Times New Roman" w:cs="Times New Roman"/>
        </w:rPr>
        <w:t>8</w:t>
      </w:r>
      <w:r>
        <w:rPr>
          <w:rFonts w:ascii="Times New Roman" w:hAnsi="Times New Roman" w:cs="Times New Roman"/>
        </w:rPr>
        <w:t>.1-1。</w:t>
      </w:r>
    </w:p>
    <w:p w14:paraId="51DCE4B1">
      <w:pPr>
        <w:spacing w:line="500" w:lineRule="exact"/>
        <w:ind w:firstLine="480" w:firstLineChars="200"/>
        <w:rPr>
          <w:rFonts w:ascii="Times New Roman" w:hAnsi="Times New Roman" w:cs="Times New Roman"/>
        </w:rPr>
      </w:pPr>
    </w:p>
    <w:p w14:paraId="1544E9B3">
      <w:pPr>
        <w:spacing w:line="500" w:lineRule="exact"/>
        <w:ind w:firstLine="480" w:firstLineChars="200"/>
        <w:rPr>
          <w:rFonts w:ascii="Times New Roman" w:hAnsi="Times New Roman" w:cs="Times New Roman"/>
        </w:rPr>
      </w:pPr>
    </w:p>
    <w:p w14:paraId="00072E36">
      <w:pPr>
        <w:spacing w:line="500" w:lineRule="exact"/>
        <w:ind w:firstLine="480" w:firstLineChars="200"/>
        <w:rPr>
          <w:rFonts w:ascii="Times New Roman" w:hAnsi="Times New Roman" w:cs="Times New Roman"/>
        </w:rPr>
      </w:pPr>
    </w:p>
    <w:p w14:paraId="17B89C0D">
      <w:pPr>
        <w:pStyle w:val="112"/>
        <w:snapToGrid/>
        <w:spacing w:line="360" w:lineRule="auto"/>
        <w:rPr>
          <w:highlight w:val="none"/>
        </w:rPr>
      </w:pPr>
      <w:r>
        <w:rPr>
          <w:highlight w:val="none"/>
        </w:rPr>
        <w:t>表</w:t>
      </w:r>
      <w:r>
        <w:rPr>
          <w:rFonts w:hint="eastAsia"/>
          <w:highlight w:val="none"/>
        </w:rPr>
        <w:t>8</w:t>
      </w:r>
      <w:r>
        <w:rPr>
          <w:highlight w:val="none"/>
        </w:rPr>
        <w:t>.1-1  环保设施经营支出费用一览表</w:t>
      </w:r>
    </w:p>
    <w:tbl>
      <w:tblPr>
        <w:tblStyle w:val="56"/>
        <w:tblW w:w="0" w:type="auto"/>
        <w:tblInd w:w="0" w:type="dxa"/>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2171"/>
        <w:gridCol w:w="2172"/>
        <w:gridCol w:w="2196"/>
        <w:gridCol w:w="2182"/>
      </w:tblGrid>
      <w:tr w14:paraId="0C7E5441">
        <w:tblPrEx>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blHeader/>
        </w:trPr>
        <w:tc>
          <w:tcPr>
            <w:tcW w:w="2171" w:type="dxa"/>
            <w:tcBorders>
              <w:top w:val="thinThickSmallGap" w:color="auto" w:sz="12" w:space="0"/>
              <w:bottom w:val="single" w:color="auto" w:sz="4" w:space="0"/>
            </w:tcBorders>
            <w:shd w:val="clear" w:color="auto" w:fill="DDDDDD"/>
            <w:noWrap w:val="0"/>
            <w:vAlign w:val="center"/>
          </w:tcPr>
          <w:p w14:paraId="210E43EC">
            <w:pPr>
              <w:spacing w:line="300" w:lineRule="exact"/>
              <w:jc w:val="center"/>
              <w:rPr>
                <w:rFonts w:ascii="Times New Roman" w:hAnsi="Times New Roman" w:cs="Times New Roman"/>
                <w:sz w:val="21"/>
                <w:szCs w:val="21"/>
                <w:highlight w:val="none"/>
              </w:rPr>
            </w:pPr>
            <w:r>
              <w:rPr>
                <w:rFonts w:ascii="Times New Roman" w:hAnsi="Times New Roman" w:cs="Times New Roman"/>
                <w:sz w:val="21"/>
                <w:szCs w:val="21"/>
                <w:highlight w:val="none"/>
              </w:rPr>
              <w:t>序号</w:t>
            </w:r>
          </w:p>
        </w:tc>
        <w:tc>
          <w:tcPr>
            <w:tcW w:w="2172" w:type="dxa"/>
            <w:tcBorders>
              <w:top w:val="thinThickSmallGap" w:color="auto" w:sz="12" w:space="0"/>
              <w:bottom w:val="single" w:color="auto" w:sz="4" w:space="0"/>
            </w:tcBorders>
            <w:shd w:val="clear" w:color="auto" w:fill="DDDDDD"/>
            <w:noWrap w:val="0"/>
            <w:vAlign w:val="center"/>
          </w:tcPr>
          <w:p w14:paraId="0F445A13">
            <w:pPr>
              <w:spacing w:line="300" w:lineRule="exact"/>
              <w:jc w:val="center"/>
              <w:rPr>
                <w:rFonts w:ascii="Times New Roman" w:hAnsi="Times New Roman" w:cs="Times New Roman"/>
                <w:sz w:val="21"/>
                <w:szCs w:val="21"/>
                <w:highlight w:val="none"/>
              </w:rPr>
            </w:pPr>
            <w:r>
              <w:rPr>
                <w:rFonts w:ascii="Times New Roman" w:hAnsi="Times New Roman" w:cs="Times New Roman"/>
                <w:sz w:val="21"/>
                <w:szCs w:val="21"/>
                <w:highlight w:val="none"/>
              </w:rPr>
              <w:t>项目</w:t>
            </w:r>
          </w:p>
        </w:tc>
        <w:tc>
          <w:tcPr>
            <w:tcW w:w="2196" w:type="dxa"/>
            <w:tcBorders>
              <w:top w:val="thinThickSmallGap" w:color="auto" w:sz="12" w:space="0"/>
              <w:bottom w:val="single" w:color="auto" w:sz="4" w:space="0"/>
            </w:tcBorders>
            <w:shd w:val="clear" w:color="auto" w:fill="DDDDDD"/>
            <w:noWrap w:val="0"/>
            <w:vAlign w:val="center"/>
          </w:tcPr>
          <w:p w14:paraId="0F52A743">
            <w:pPr>
              <w:spacing w:line="300" w:lineRule="exact"/>
              <w:jc w:val="center"/>
              <w:rPr>
                <w:rFonts w:ascii="Times New Roman" w:hAnsi="Times New Roman" w:cs="Times New Roman"/>
                <w:sz w:val="21"/>
                <w:szCs w:val="21"/>
                <w:highlight w:val="none"/>
              </w:rPr>
            </w:pPr>
            <w:r>
              <w:rPr>
                <w:rFonts w:ascii="Times New Roman" w:hAnsi="Times New Roman" w:cs="Times New Roman"/>
                <w:sz w:val="21"/>
                <w:szCs w:val="21"/>
                <w:highlight w:val="none"/>
              </w:rPr>
              <w:t>计算方法</w:t>
            </w:r>
          </w:p>
        </w:tc>
        <w:tc>
          <w:tcPr>
            <w:tcW w:w="2182" w:type="dxa"/>
            <w:tcBorders>
              <w:top w:val="thinThickSmallGap" w:color="auto" w:sz="12" w:space="0"/>
              <w:bottom w:val="single" w:color="auto" w:sz="4" w:space="0"/>
            </w:tcBorders>
            <w:shd w:val="clear" w:color="auto" w:fill="DDDDDD"/>
            <w:noWrap w:val="0"/>
            <w:vAlign w:val="center"/>
          </w:tcPr>
          <w:p w14:paraId="64E2D863">
            <w:pPr>
              <w:spacing w:line="300" w:lineRule="exact"/>
              <w:jc w:val="center"/>
              <w:rPr>
                <w:rFonts w:ascii="Times New Roman" w:hAnsi="Times New Roman" w:cs="Times New Roman"/>
                <w:sz w:val="21"/>
                <w:szCs w:val="21"/>
                <w:highlight w:val="none"/>
              </w:rPr>
            </w:pPr>
            <w:r>
              <w:rPr>
                <w:rFonts w:ascii="Times New Roman" w:hAnsi="Times New Roman" w:cs="Times New Roman"/>
                <w:sz w:val="21"/>
                <w:szCs w:val="21"/>
                <w:highlight w:val="none"/>
              </w:rPr>
              <w:t>费用（万元）</w:t>
            </w:r>
          </w:p>
        </w:tc>
      </w:tr>
      <w:tr w14:paraId="478ED483">
        <w:tblPrEx>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171" w:type="dxa"/>
            <w:tcBorders>
              <w:top w:val="single" w:color="auto" w:sz="4" w:space="0"/>
            </w:tcBorders>
            <w:noWrap w:val="0"/>
            <w:vAlign w:val="center"/>
          </w:tcPr>
          <w:p w14:paraId="060F4BED">
            <w:pPr>
              <w:spacing w:line="300" w:lineRule="exact"/>
              <w:jc w:val="center"/>
              <w:rPr>
                <w:rFonts w:ascii="Times New Roman" w:hAnsi="Times New Roman" w:cs="Times New Roman"/>
                <w:sz w:val="21"/>
                <w:szCs w:val="21"/>
                <w:highlight w:val="none"/>
              </w:rPr>
            </w:pPr>
            <w:r>
              <w:rPr>
                <w:rFonts w:ascii="Times New Roman" w:hAnsi="Times New Roman" w:cs="Times New Roman"/>
                <w:sz w:val="21"/>
                <w:szCs w:val="21"/>
                <w:highlight w:val="none"/>
              </w:rPr>
              <w:t>1</w:t>
            </w:r>
          </w:p>
        </w:tc>
        <w:tc>
          <w:tcPr>
            <w:tcW w:w="2172" w:type="dxa"/>
            <w:tcBorders>
              <w:top w:val="single" w:color="auto" w:sz="4" w:space="0"/>
            </w:tcBorders>
            <w:noWrap w:val="0"/>
            <w:vAlign w:val="center"/>
          </w:tcPr>
          <w:p w14:paraId="5EC21955">
            <w:pPr>
              <w:spacing w:line="300" w:lineRule="exact"/>
              <w:jc w:val="center"/>
              <w:rPr>
                <w:rFonts w:ascii="Times New Roman" w:hAnsi="Times New Roman" w:cs="Times New Roman"/>
                <w:sz w:val="21"/>
                <w:szCs w:val="21"/>
                <w:highlight w:val="none"/>
              </w:rPr>
            </w:pPr>
            <w:r>
              <w:rPr>
                <w:rFonts w:ascii="Times New Roman" w:hAnsi="Times New Roman" w:cs="Times New Roman"/>
                <w:sz w:val="21"/>
                <w:szCs w:val="21"/>
                <w:highlight w:val="none"/>
              </w:rPr>
              <w:t>环保设施折旧费C</w:t>
            </w:r>
            <w:r>
              <w:rPr>
                <w:rFonts w:ascii="Times New Roman" w:hAnsi="Times New Roman" w:cs="Times New Roman"/>
                <w:sz w:val="21"/>
                <w:szCs w:val="21"/>
                <w:highlight w:val="none"/>
                <w:vertAlign w:val="subscript"/>
              </w:rPr>
              <w:t>1</w:t>
            </w:r>
          </w:p>
        </w:tc>
        <w:tc>
          <w:tcPr>
            <w:tcW w:w="2196" w:type="dxa"/>
            <w:tcBorders>
              <w:top w:val="single" w:color="auto" w:sz="4" w:space="0"/>
            </w:tcBorders>
            <w:noWrap w:val="0"/>
            <w:vAlign w:val="center"/>
          </w:tcPr>
          <w:p w14:paraId="5F2CFF7E">
            <w:pPr>
              <w:spacing w:line="300" w:lineRule="exact"/>
              <w:jc w:val="center"/>
              <w:rPr>
                <w:rFonts w:ascii="Times New Roman" w:hAnsi="Times New Roman" w:cs="Times New Roman"/>
                <w:sz w:val="21"/>
                <w:szCs w:val="21"/>
                <w:highlight w:val="none"/>
              </w:rPr>
            </w:pPr>
            <w:r>
              <w:rPr>
                <w:rFonts w:ascii="Times New Roman" w:hAnsi="Times New Roman" w:cs="Times New Roman"/>
                <w:sz w:val="21"/>
                <w:szCs w:val="21"/>
                <w:highlight w:val="none"/>
              </w:rPr>
              <w:t>C1=a×C</w:t>
            </w:r>
            <w:r>
              <w:rPr>
                <w:rFonts w:ascii="Times New Roman" w:hAnsi="Times New Roman" w:cs="Times New Roman"/>
                <w:sz w:val="21"/>
                <w:szCs w:val="21"/>
                <w:highlight w:val="none"/>
                <w:vertAlign w:val="subscript"/>
              </w:rPr>
              <w:t>0</w:t>
            </w:r>
            <w:r>
              <w:rPr>
                <w:rFonts w:ascii="Times New Roman" w:hAnsi="Times New Roman" w:cs="Times New Roman"/>
                <w:sz w:val="21"/>
                <w:szCs w:val="21"/>
                <w:highlight w:val="none"/>
              </w:rPr>
              <w:t>/n</w:t>
            </w:r>
          </w:p>
        </w:tc>
        <w:tc>
          <w:tcPr>
            <w:tcW w:w="2182" w:type="dxa"/>
            <w:tcBorders>
              <w:top w:val="single" w:color="auto" w:sz="4" w:space="0"/>
            </w:tcBorders>
            <w:noWrap w:val="0"/>
            <w:vAlign w:val="center"/>
          </w:tcPr>
          <w:p w14:paraId="743173DF">
            <w:pPr>
              <w:spacing w:line="300" w:lineRule="exact"/>
              <w:jc w:val="center"/>
              <w:rPr>
                <w:rFonts w:hint="default" w:ascii="Times New Roman" w:hAnsi="Times New Roman" w:eastAsia="宋体" w:cs="Times New Roman"/>
                <w:sz w:val="21"/>
                <w:szCs w:val="21"/>
                <w:highlight w:val="none"/>
                <w:lang w:val="en-US" w:eastAsia="zh-CN"/>
              </w:rPr>
            </w:pPr>
            <w:r>
              <w:rPr>
                <w:rFonts w:hint="eastAsia" w:ascii="Times New Roman" w:hAnsi="Times New Roman" w:cs="Times New Roman"/>
                <w:sz w:val="21"/>
                <w:szCs w:val="21"/>
                <w:highlight w:val="none"/>
                <w:lang w:val="en-US" w:eastAsia="zh-CN"/>
              </w:rPr>
              <w:t>47.5</w:t>
            </w:r>
          </w:p>
        </w:tc>
      </w:tr>
      <w:tr w14:paraId="1746FA30">
        <w:tblPrEx>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171" w:type="dxa"/>
            <w:noWrap w:val="0"/>
            <w:vAlign w:val="center"/>
          </w:tcPr>
          <w:p w14:paraId="7037C5AB">
            <w:pPr>
              <w:spacing w:line="300" w:lineRule="exact"/>
              <w:jc w:val="center"/>
              <w:rPr>
                <w:rFonts w:ascii="Times New Roman" w:hAnsi="Times New Roman" w:cs="Times New Roman"/>
                <w:sz w:val="21"/>
                <w:szCs w:val="21"/>
                <w:highlight w:val="none"/>
              </w:rPr>
            </w:pPr>
            <w:r>
              <w:rPr>
                <w:rFonts w:ascii="Times New Roman" w:hAnsi="Times New Roman" w:cs="Times New Roman"/>
                <w:sz w:val="21"/>
                <w:szCs w:val="21"/>
                <w:highlight w:val="none"/>
              </w:rPr>
              <w:t>2</w:t>
            </w:r>
          </w:p>
        </w:tc>
        <w:tc>
          <w:tcPr>
            <w:tcW w:w="2172" w:type="dxa"/>
            <w:noWrap w:val="0"/>
            <w:vAlign w:val="center"/>
          </w:tcPr>
          <w:p w14:paraId="15A1F77D">
            <w:pPr>
              <w:spacing w:line="300" w:lineRule="exact"/>
              <w:jc w:val="center"/>
              <w:rPr>
                <w:rFonts w:ascii="Times New Roman" w:hAnsi="Times New Roman" w:cs="Times New Roman"/>
                <w:sz w:val="21"/>
                <w:szCs w:val="21"/>
                <w:highlight w:val="none"/>
              </w:rPr>
            </w:pPr>
            <w:r>
              <w:rPr>
                <w:rFonts w:ascii="Times New Roman" w:hAnsi="Times New Roman" w:cs="Times New Roman"/>
                <w:sz w:val="21"/>
                <w:szCs w:val="21"/>
                <w:highlight w:val="none"/>
              </w:rPr>
              <w:t>环保设施运行费C</w:t>
            </w:r>
            <w:r>
              <w:rPr>
                <w:rFonts w:ascii="Times New Roman" w:hAnsi="Times New Roman" w:cs="Times New Roman"/>
                <w:sz w:val="21"/>
                <w:szCs w:val="21"/>
                <w:highlight w:val="none"/>
                <w:vertAlign w:val="subscript"/>
              </w:rPr>
              <w:t>2</w:t>
            </w:r>
          </w:p>
        </w:tc>
        <w:tc>
          <w:tcPr>
            <w:tcW w:w="2196" w:type="dxa"/>
            <w:noWrap w:val="0"/>
            <w:vAlign w:val="center"/>
          </w:tcPr>
          <w:p w14:paraId="59AB725B">
            <w:pPr>
              <w:spacing w:line="300" w:lineRule="exact"/>
              <w:jc w:val="center"/>
              <w:rPr>
                <w:rFonts w:ascii="Times New Roman" w:hAnsi="Times New Roman" w:cs="Times New Roman"/>
                <w:sz w:val="21"/>
                <w:szCs w:val="21"/>
                <w:highlight w:val="none"/>
              </w:rPr>
            </w:pPr>
            <w:r>
              <w:rPr>
                <w:rFonts w:ascii="Times New Roman" w:hAnsi="Times New Roman" w:cs="Times New Roman"/>
                <w:sz w:val="21"/>
                <w:szCs w:val="21"/>
                <w:highlight w:val="none"/>
              </w:rPr>
              <w:t>C</w:t>
            </w:r>
            <w:r>
              <w:rPr>
                <w:rFonts w:ascii="Times New Roman" w:hAnsi="Times New Roman" w:cs="Times New Roman"/>
                <w:sz w:val="21"/>
                <w:szCs w:val="21"/>
                <w:highlight w:val="none"/>
                <w:vertAlign w:val="subscript"/>
              </w:rPr>
              <w:t>2</w:t>
            </w:r>
            <w:r>
              <w:rPr>
                <w:rFonts w:ascii="Times New Roman" w:hAnsi="Times New Roman" w:cs="Times New Roman"/>
                <w:sz w:val="21"/>
                <w:szCs w:val="21"/>
                <w:highlight w:val="none"/>
              </w:rPr>
              <w:t>=C</w:t>
            </w:r>
            <w:r>
              <w:rPr>
                <w:rFonts w:ascii="Times New Roman" w:hAnsi="Times New Roman" w:cs="Times New Roman"/>
                <w:sz w:val="21"/>
                <w:szCs w:val="21"/>
                <w:highlight w:val="none"/>
                <w:vertAlign w:val="subscript"/>
              </w:rPr>
              <w:t>0</w:t>
            </w:r>
            <w:r>
              <w:rPr>
                <w:rFonts w:ascii="Times New Roman" w:hAnsi="Times New Roman" w:cs="Times New Roman"/>
                <w:sz w:val="21"/>
                <w:szCs w:val="21"/>
                <w:highlight w:val="none"/>
              </w:rPr>
              <w:t>×15%</w:t>
            </w:r>
          </w:p>
        </w:tc>
        <w:tc>
          <w:tcPr>
            <w:tcW w:w="2182" w:type="dxa"/>
            <w:noWrap w:val="0"/>
            <w:vAlign w:val="center"/>
          </w:tcPr>
          <w:p w14:paraId="47C2C6B8">
            <w:pPr>
              <w:spacing w:line="300" w:lineRule="exact"/>
              <w:jc w:val="center"/>
              <w:rPr>
                <w:rFonts w:hint="default" w:ascii="Times New Roman" w:hAnsi="Times New Roman" w:eastAsia="宋体" w:cs="Times New Roman"/>
                <w:sz w:val="21"/>
                <w:szCs w:val="21"/>
                <w:highlight w:val="none"/>
                <w:lang w:val="en-US" w:eastAsia="zh-CN"/>
              </w:rPr>
            </w:pPr>
            <w:r>
              <w:rPr>
                <w:rFonts w:hint="eastAsia" w:ascii="Times New Roman" w:hAnsi="Times New Roman" w:cs="Times New Roman"/>
                <w:sz w:val="21"/>
                <w:szCs w:val="21"/>
                <w:highlight w:val="none"/>
                <w:lang w:val="en-US" w:eastAsia="zh-CN"/>
              </w:rPr>
              <w:t>75</w:t>
            </w:r>
          </w:p>
        </w:tc>
      </w:tr>
      <w:tr w14:paraId="7CC6B616">
        <w:tblPrEx>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171" w:type="dxa"/>
            <w:noWrap w:val="0"/>
            <w:vAlign w:val="center"/>
          </w:tcPr>
          <w:p w14:paraId="00C4FED4">
            <w:pPr>
              <w:spacing w:line="300" w:lineRule="exact"/>
              <w:jc w:val="center"/>
              <w:rPr>
                <w:rFonts w:ascii="Times New Roman" w:hAnsi="Times New Roman" w:cs="Times New Roman"/>
                <w:sz w:val="21"/>
                <w:szCs w:val="21"/>
                <w:highlight w:val="none"/>
              </w:rPr>
            </w:pPr>
            <w:r>
              <w:rPr>
                <w:rFonts w:ascii="Times New Roman" w:hAnsi="Times New Roman" w:cs="Times New Roman"/>
                <w:sz w:val="21"/>
                <w:szCs w:val="21"/>
                <w:highlight w:val="none"/>
              </w:rPr>
              <w:t>3</w:t>
            </w:r>
          </w:p>
        </w:tc>
        <w:tc>
          <w:tcPr>
            <w:tcW w:w="2172" w:type="dxa"/>
            <w:noWrap w:val="0"/>
            <w:vAlign w:val="center"/>
          </w:tcPr>
          <w:p w14:paraId="6EAA0610">
            <w:pPr>
              <w:spacing w:line="300" w:lineRule="exact"/>
              <w:jc w:val="center"/>
              <w:rPr>
                <w:rFonts w:ascii="Times New Roman" w:hAnsi="Times New Roman" w:cs="Times New Roman"/>
                <w:sz w:val="21"/>
                <w:szCs w:val="21"/>
                <w:highlight w:val="none"/>
              </w:rPr>
            </w:pPr>
            <w:r>
              <w:rPr>
                <w:rFonts w:ascii="Times New Roman" w:hAnsi="Times New Roman" w:cs="Times New Roman"/>
                <w:sz w:val="21"/>
                <w:szCs w:val="21"/>
                <w:highlight w:val="none"/>
              </w:rPr>
              <w:t>环保设施管理费C</w:t>
            </w:r>
            <w:r>
              <w:rPr>
                <w:rFonts w:ascii="Times New Roman" w:hAnsi="Times New Roman" w:cs="Times New Roman"/>
                <w:sz w:val="21"/>
                <w:szCs w:val="21"/>
                <w:highlight w:val="none"/>
                <w:vertAlign w:val="subscript"/>
              </w:rPr>
              <w:t>3</w:t>
            </w:r>
          </w:p>
        </w:tc>
        <w:tc>
          <w:tcPr>
            <w:tcW w:w="2196" w:type="dxa"/>
            <w:noWrap w:val="0"/>
            <w:vAlign w:val="center"/>
          </w:tcPr>
          <w:p w14:paraId="49FEE458">
            <w:pPr>
              <w:spacing w:line="300" w:lineRule="exact"/>
              <w:jc w:val="center"/>
              <w:rPr>
                <w:rFonts w:ascii="Times New Roman" w:hAnsi="Times New Roman" w:cs="Times New Roman"/>
                <w:sz w:val="21"/>
                <w:szCs w:val="21"/>
                <w:highlight w:val="none"/>
              </w:rPr>
            </w:pPr>
            <w:r>
              <w:rPr>
                <w:rFonts w:ascii="Times New Roman" w:hAnsi="Times New Roman" w:cs="Times New Roman"/>
                <w:sz w:val="21"/>
                <w:szCs w:val="21"/>
                <w:highlight w:val="none"/>
              </w:rPr>
              <w:t>C</w:t>
            </w:r>
            <w:r>
              <w:rPr>
                <w:rFonts w:ascii="Times New Roman" w:hAnsi="Times New Roman" w:cs="Times New Roman"/>
                <w:sz w:val="21"/>
                <w:szCs w:val="21"/>
                <w:highlight w:val="none"/>
                <w:vertAlign w:val="subscript"/>
              </w:rPr>
              <w:t>3</w:t>
            </w:r>
            <w:r>
              <w:rPr>
                <w:rFonts w:ascii="Times New Roman" w:hAnsi="Times New Roman" w:cs="Times New Roman"/>
                <w:sz w:val="21"/>
                <w:szCs w:val="21"/>
                <w:highlight w:val="none"/>
              </w:rPr>
              <w:t>=（C</w:t>
            </w:r>
            <w:r>
              <w:rPr>
                <w:rFonts w:ascii="Times New Roman" w:hAnsi="Times New Roman" w:cs="Times New Roman"/>
                <w:sz w:val="21"/>
                <w:szCs w:val="21"/>
                <w:highlight w:val="none"/>
                <w:vertAlign w:val="subscript"/>
              </w:rPr>
              <w:t>1</w:t>
            </w:r>
            <w:r>
              <w:rPr>
                <w:rFonts w:ascii="Times New Roman" w:hAnsi="Times New Roman" w:cs="Times New Roman"/>
                <w:sz w:val="21"/>
                <w:szCs w:val="21"/>
                <w:highlight w:val="none"/>
              </w:rPr>
              <w:t>+C</w:t>
            </w:r>
            <w:r>
              <w:rPr>
                <w:rFonts w:ascii="Times New Roman" w:hAnsi="Times New Roman" w:cs="Times New Roman"/>
                <w:sz w:val="21"/>
                <w:szCs w:val="21"/>
                <w:highlight w:val="none"/>
                <w:vertAlign w:val="subscript"/>
              </w:rPr>
              <w:t>2</w:t>
            </w:r>
            <w:r>
              <w:rPr>
                <w:rFonts w:ascii="Times New Roman" w:hAnsi="Times New Roman" w:cs="Times New Roman"/>
                <w:sz w:val="21"/>
                <w:szCs w:val="21"/>
                <w:highlight w:val="none"/>
              </w:rPr>
              <w:t>）×15%</w:t>
            </w:r>
          </w:p>
        </w:tc>
        <w:tc>
          <w:tcPr>
            <w:tcW w:w="2182" w:type="dxa"/>
            <w:noWrap w:val="0"/>
            <w:vAlign w:val="center"/>
          </w:tcPr>
          <w:p w14:paraId="4A364914">
            <w:pPr>
              <w:spacing w:line="300" w:lineRule="exact"/>
              <w:jc w:val="center"/>
              <w:rPr>
                <w:rFonts w:hint="default" w:ascii="Times New Roman" w:hAnsi="Times New Roman" w:eastAsia="宋体" w:cs="Times New Roman"/>
                <w:sz w:val="21"/>
                <w:szCs w:val="21"/>
                <w:highlight w:val="none"/>
                <w:lang w:val="en-US" w:eastAsia="zh-CN"/>
              </w:rPr>
            </w:pPr>
            <w:r>
              <w:rPr>
                <w:rFonts w:hint="eastAsia" w:ascii="Times New Roman" w:hAnsi="Times New Roman" w:cs="Times New Roman"/>
                <w:sz w:val="21"/>
                <w:szCs w:val="21"/>
                <w:highlight w:val="none"/>
                <w:lang w:val="en-US" w:eastAsia="zh-CN"/>
              </w:rPr>
              <w:t>18.375</w:t>
            </w:r>
          </w:p>
        </w:tc>
      </w:tr>
      <w:tr w14:paraId="3FA92F32">
        <w:tblPrEx>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171" w:type="dxa"/>
            <w:noWrap w:val="0"/>
            <w:vAlign w:val="center"/>
          </w:tcPr>
          <w:p w14:paraId="509386DC">
            <w:pPr>
              <w:spacing w:line="300" w:lineRule="exact"/>
              <w:jc w:val="center"/>
              <w:rPr>
                <w:rFonts w:ascii="Times New Roman" w:hAnsi="Times New Roman" w:cs="Times New Roman"/>
                <w:sz w:val="21"/>
                <w:szCs w:val="21"/>
                <w:highlight w:val="none"/>
              </w:rPr>
            </w:pPr>
            <w:r>
              <w:rPr>
                <w:rFonts w:ascii="Times New Roman" w:hAnsi="Times New Roman" w:cs="Times New Roman"/>
                <w:sz w:val="21"/>
                <w:szCs w:val="21"/>
                <w:highlight w:val="none"/>
              </w:rPr>
              <w:t>4</w:t>
            </w:r>
          </w:p>
        </w:tc>
        <w:tc>
          <w:tcPr>
            <w:tcW w:w="2172" w:type="dxa"/>
            <w:noWrap w:val="0"/>
            <w:vAlign w:val="center"/>
          </w:tcPr>
          <w:p w14:paraId="03F3D70D">
            <w:pPr>
              <w:spacing w:line="300" w:lineRule="exact"/>
              <w:jc w:val="center"/>
              <w:rPr>
                <w:rFonts w:ascii="Times New Roman" w:hAnsi="Times New Roman" w:cs="Times New Roman"/>
                <w:sz w:val="21"/>
                <w:szCs w:val="21"/>
                <w:highlight w:val="none"/>
              </w:rPr>
            </w:pPr>
            <w:r>
              <w:rPr>
                <w:rFonts w:ascii="Times New Roman" w:hAnsi="Times New Roman" w:cs="Times New Roman"/>
                <w:sz w:val="21"/>
                <w:szCs w:val="21"/>
                <w:highlight w:val="none"/>
              </w:rPr>
              <w:t>环保设施经营支出C</w:t>
            </w:r>
          </w:p>
        </w:tc>
        <w:tc>
          <w:tcPr>
            <w:tcW w:w="2196" w:type="dxa"/>
            <w:noWrap w:val="0"/>
            <w:vAlign w:val="center"/>
          </w:tcPr>
          <w:p w14:paraId="7CD22351">
            <w:pPr>
              <w:spacing w:line="300" w:lineRule="exact"/>
              <w:jc w:val="center"/>
              <w:rPr>
                <w:rFonts w:ascii="Times New Roman" w:hAnsi="Times New Roman" w:cs="Times New Roman"/>
                <w:sz w:val="21"/>
                <w:szCs w:val="21"/>
                <w:highlight w:val="none"/>
              </w:rPr>
            </w:pPr>
            <w:r>
              <w:rPr>
                <w:rFonts w:ascii="Times New Roman" w:hAnsi="Times New Roman" w:cs="Times New Roman"/>
                <w:sz w:val="21"/>
                <w:szCs w:val="21"/>
                <w:highlight w:val="none"/>
              </w:rPr>
              <w:t>C=C</w:t>
            </w:r>
            <w:r>
              <w:rPr>
                <w:rFonts w:ascii="Times New Roman" w:hAnsi="Times New Roman" w:cs="Times New Roman"/>
                <w:sz w:val="21"/>
                <w:szCs w:val="21"/>
                <w:highlight w:val="none"/>
                <w:vertAlign w:val="subscript"/>
              </w:rPr>
              <w:t>1</w:t>
            </w:r>
            <w:r>
              <w:rPr>
                <w:rFonts w:ascii="Times New Roman" w:hAnsi="Times New Roman" w:cs="Times New Roman"/>
                <w:sz w:val="21"/>
                <w:szCs w:val="21"/>
                <w:highlight w:val="none"/>
              </w:rPr>
              <w:t>+ C</w:t>
            </w:r>
            <w:r>
              <w:rPr>
                <w:rFonts w:ascii="Times New Roman" w:hAnsi="Times New Roman" w:cs="Times New Roman"/>
                <w:sz w:val="21"/>
                <w:szCs w:val="21"/>
                <w:highlight w:val="none"/>
                <w:vertAlign w:val="subscript"/>
              </w:rPr>
              <w:t>2</w:t>
            </w:r>
            <w:r>
              <w:rPr>
                <w:rFonts w:ascii="Times New Roman" w:hAnsi="Times New Roman" w:cs="Times New Roman"/>
                <w:sz w:val="21"/>
                <w:szCs w:val="21"/>
                <w:highlight w:val="none"/>
              </w:rPr>
              <w:t>+ C</w:t>
            </w:r>
            <w:r>
              <w:rPr>
                <w:rFonts w:ascii="Times New Roman" w:hAnsi="Times New Roman" w:cs="Times New Roman"/>
                <w:sz w:val="21"/>
                <w:szCs w:val="21"/>
                <w:highlight w:val="none"/>
                <w:vertAlign w:val="subscript"/>
              </w:rPr>
              <w:t>3</w:t>
            </w:r>
          </w:p>
        </w:tc>
        <w:tc>
          <w:tcPr>
            <w:tcW w:w="2182" w:type="dxa"/>
            <w:noWrap w:val="0"/>
            <w:vAlign w:val="center"/>
          </w:tcPr>
          <w:p w14:paraId="2B95CAEE">
            <w:pPr>
              <w:spacing w:line="300" w:lineRule="exact"/>
              <w:jc w:val="center"/>
              <w:rPr>
                <w:rFonts w:hint="default" w:ascii="Times New Roman" w:hAnsi="Times New Roman" w:eastAsia="宋体" w:cs="Times New Roman"/>
                <w:sz w:val="21"/>
                <w:szCs w:val="21"/>
                <w:highlight w:val="none"/>
                <w:lang w:val="en-US" w:eastAsia="zh-CN"/>
              </w:rPr>
            </w:pPr>
            <w:r>
              <w:rPr>
                <w:rFonts w:hint="eastAsia" w:ascii="Times New Roman" w:hAnsi="Times New Roman" w:cs="Times New Roman"/>
                <w:sz w:val="21"/>
                <w:szCs w:val="21"/>
                <w:highlight w:val="none"/>
                <w:lang w:val="en-US" w:eastAsia="zh-CN"/>
              </w:rPr>
              <w:t>140.875</w:t>
            </w:r>
          </w:p>
        </w:tc>
      </w:tr>
    </w:tbl>
    <w:p w14:paraId="4978B2E6">
      <w:pPr>
        <w:spacing w:line="500" w:lineRule="exact"/>
        <w:ind w:firstLine="480" w:firstLineChars="200"/>
        <w:rPr>
          <w:rFonts w:ascii="Times New Roman" w:hAnsi="Times New Roman" w:cs="Times New Roman"/>
        </w:rPr>
      </w:pPr>
      <w:r>
        <w:rPr>
          <w:rFonts w:ascii="Times New Roman" w:hAnsi="Times New Roman" w:cs="Times New Roman"/>
        </w:rPr>
        <w:t>由表可知，本项目环保设施经营支出费用为</w:t>
      </w:r>
      <w:r>
        <w:rPr>
          <w:rFonts w:hint="eastAsia" w:ascii="Times New Roman" w:hAnsi="Times New Roman" w:cs="Times New Roman"/>
        </w:rPr>
        <w:t>140.875</w:t>
      </w:r>
      <w:r>
        <w:rPr>
          <w:rFonts w:ascii="Times New Roman" w:hAnsi="Times New Roman" w:cs="Times New Roman"/>
        </w:rPr>
        <w:t>万元。</w:t>
      </w:r>
    </w:p>
    <w:p w14:paraId="1AA0C74F">
      <w:pPr>
        <w:pStyle w:val="6"/>
        <w:spacing w:before="239"/>
      </w:pPr>
      <w:bookmarkStart w:id="651" w:name="_Toc1230"/>
      <w:bookmarkStart w:id="652" w:name="_Toc90026156"/>
      <w:r>
        <w:rPr>
          <w:rFonts w:hint="eastAsia"/>
        </w:rPr>
        <w:t>8</w:t>
      </w:r>
      <w:r>
        <w:t>.2 效益</w:t>
      </w:r>
      <w:bookmarkEnd w:id="651"/>
      <w:bookmarkEnd w:id="652"/>
    </w:p>
    <w:p w14:paraId="3A44230E">
      <w:pPr>
        <w:pStyle w:val="7"/>
      </w:pPr>
      <w:bookmarkStart w:id="653" w:name="_Toc5397"/>
      <w:bookmarkStart w:id="654" w:name="_Toc90026349"/>
      <w:r>
        <w:rPr>
          <w:rFonts w:hint="eastAsia"/>
          <w:lang w:eastAsia="zh-CN"/>
        </w:rPr>
        <w:t>8</w:t>
      </w:r>
      <w:r>
        <w:t>.2.1 直接效益</w:t>
      </w:r>
      <w:bookmarkEnd w:id="653"/>
      <w:bookmarkEnd w:id="654"/>
    </w:p>
    <w:p w14:paraId="2A06B916">
      <w:pPr>
        <w:adjustRightInd w:val="0"/>
        <w:snapToGrid w:val="0"/>
        <w:spacing w:line="500" w:lineRule="exact"/>
        <w:ind w:left="480"/>
        <w:rPr>
          <w:rFonts w:ascii="Times New Roman" w:hAnsi="Times New Roman" w:cs="Times New Roman"/>
          <w:b/>
        </w:rPr>
      </w:pPr>
      <w:r>
        <w:rPr>
          <w:rFonts w:ascii="Times New Roman" w:hAnsi="Times New Roman" w:cs="Times New Roman"/>
          <w:b/>
        </w:rPr>
        <w:t>（1）项目本身的经济效益</w:t>
      </w:r>
    </w:p>
    <w:p w14:paraId="485B076A">
      <w:pPr>
        <w:spacing w:line="500" w:lineRule="exact"/>
        <w:ind w:firstLine="480" w:firstLineChars="200"/>
        <w:rPr>
          <w:rFonts w:ascii="Times New Roman" w:hAnsi="Times New Roman" w:cs="Times New Roman"/>
        </w:rPr>
      </w:pPr>
      <w:r>
        <w:rPr>
          <w:rFonts w:ascii="Times New Roman" w:hAnsi="Times New Roman" w:cs="Times New Roman"/>
          <w:highlight w:val="none"/>
        </w:rPr>
        <w:t>本项目总投资</w:t>
      </w:r>
      <w:r>
        <w:rPr>
          <w:rFonts w:hint="eastAsia" w:ascii="Times New Roman" w:hAnsi="Times New Roman" w:cs="Times New Roman"/>
          <w:highlight w:val="none"/>
          <w:lang w:val="en-US" w:eastAsia="zh-CN"/>
        </w:rPr>
        <w:t>8337</w:t>
      </w:r>
      <w:r>
        <w:rPr>
          <w:rFonts w:ascii="Times New Roman" w:hAnsi="Times New Roman" w:cs="Times New Roman"/>
          <w:highlight w:val="none"/>
        </w:rPr>
        <w:t>万元，</w:t>
      </w:r>
      <w:r>
        <w:rPr>
          <w:rFonts w:ascii="Times New Roman" w:hAnsi="Times New Roman" w:cs="Times New Roman"/>
          <w:highlight w:val="yellow"/>
        </w:rPr>
        <w:t>投产后</w:t>
      </w:r>
      <w:r>
        <w:rPr>
          <w:rFonts w:hint="eastAsia" w:ascii="Times New Roman" w:hAnsi="Times New Roman" w:cs="Times New Roman"/>
          <w:highlight w:val="yellow"/>
        </w:rPr>
        <w:t>年销售收入6480</w:t>
      </w:r>
      <w:r>
        <w:rPr>
          <w:rFonts w:ascii="Times New Roman" w:hAnsi="Times New Roman" w:cs="Times New Roman"/>
          <w:highlight w:val="yellow"/>
        </w:rPr>
        <w:t>万元，</w:t>
      </w:r>
      <w:r>
        <w:rPr>
          <w:rFonts w:ascii="Times New Roman" w:hAnsi="Times New Roman" w:cs="Times New Roman"/>
        </w:rPr>
        <w:t>将取得良好的经济效益。</w:t>
      </w:r>
    </w:p>
    <w:p w14:paraId="4A7E5770">
      <w:pPr>
        <w:spacing w:line="500" w:lineRule="exact"/>
        <w:ind w:firstLine="480" w:firstLineChars="200"/>
        <w:rPr>
          <w:rFonts w:ascii="Times New Roman" w:hAnsi="Times New Roman" w:cs="Times New Roman"/>
        </w:rPr>
      </w:pPr>
      <w:r>
        <w:rPr>
          <w:rFonts w:ascii="Times New Roman" w:hAnsi="Times New Roman" w:cs="Times New Roman"/>
        </w:rPr>
        <w:t>根据本项目相关财务数据，对经济收益进行计算，财务评价指标见表</w:t>
      </w:r>
      <w:r>
        <w:rPr>
          <w:rFonts w:hint="eastAsia" w:ascii="Times New Roman" w:hAnsi="Times New Roman" w:cs="Times New Roman"/>
        </w:rPr>
        <w:t>8</w:t>
      </w:r>
      <w:r>
        <w:rPr>
          <w:rFonts w:ascii="Times New Roman" w:hAnsi="Times New Roman" w:cs="Times New Roman"/>
        </w:rPr>
        <w:t>.2-1。</w:t>
      </w:r>
    </w:p>
    <w:p w14:paraId="3ED61FA5">
      <w:pPr>
        <w:pStyle w:val="112"/>
        <w:snapToGrid/>
        <w:spacing w:line="360" w:lineRule="auto"/>
      </w:pPr>
      <w:r>
        <w:t>表</w:t>
      </w:r>
      <w:r>
        <w:rPr>
          <w:rFonts w:hint="eastAsia"/>
        </w:rPr>
        <w:t>8</w:t>
      </w:r>
      <w:r>
        <w:t>.2-1  本项目财务评价指标</w:t>
      </w:r>
    </w:p>
    <w:tbl>
      <w:tblPr>
        <w:tblStyle w:val="56"/>
        <w:tblW w:w="5000" w:type="pct"/>
        <w:jc w:val="center"/>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1388"/>
        <w:gridCol w:w="2974"/>
        <w:gridCol w:w="2180"/>
        <w:gridCol w:w="2179"/>
      </w:tblGrid>
      <w:tr w14:paraId="7271DFA9">
        <w:tblPrEx>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blHeader/>
          <w:jc w:val="center"/>
        </w:trPr>
        <w:tc>
          <w:tcPr>
            <w:tcW w:w="796" w:type="pct"/>
            <w:tcBorders>
              <w:top w:val="thinThickSmallGap" w:color="auto" w:sz="12" w:space="0"/>
              <w:bottom w:val="single" w:color="auto" w:sz="4" w:space="0"/>
            </w:tcBorders>
            <w:shd w:val="clear" w:color="auto" w:fill="DDDDDD"/>
            <w:noWrap w:val="0"/>
            <w:vAlign w:val="center"/>
          </w:tcPr>
          <w:p w14:paraId="378856F1">
            <w:pPr>
              <w:jc w:val="center"/>
              <w:rPr>
                <w:rFonts w:ascii="Times New Roman" w:hAnsi="Times New Roman" w:cs="Times New Roman"/>
                <w:sz w:val="21"/>
                <w:szCs w:val="21"/>
              </w:rPr>
            </w:pPr>
            <w:r>
              <w:rPr>
                <w:rFonts w:ascii="Times New Roman" w:hAnsi="Times New Roman" w:cs="Times New Roman"/>
                <w:sz w:val="21"/>
                <w:szCs w:val="21"/>
              </w:rPr>
              <w:t>序号</w:t>
            </w:r>
          </w:p>
        </w:tc>
        <w:tc>
          <w:tcPr>
            <w:tcW w:w="1705" w:type="pct"/>
            <w:tcBorders>
              <w:top w:val="thinThickSmallGap" w:color="auto" w:sz="12" w:space="0"/>
              <w:bottom w:val="single" w:color="auto" w:sz="4" w:space="0"/>
            </w:tcBorders>
            <w:shd w:val="clear" w:color="auto" w:fill="DDDDDD"/>
            <w:noWrap w:val="0"/>
            <w:vAlign w:val="center"/>
          </w:tcPr>
          <w:p w14:paraId="3097D60E">
            <w:pPr>
              <w:jc w:val="center"/>
              <w:rPr>
                <w:rFonts w:ascii="Times New Roman" w:hAnsi="Times New Roman" w:cs="Times New Roman"/>
                <w:sz w:val="21"/>
                <w:szCs w:val="21"/>
              </w:rPr>
            </w:pPr>
            <w:r>
              <w:rPr>
                <w:rFonts w:ascii="Times New Roman" w:hAnsi="Times New Roman" w:cs="Times New Roman"/>
                <w:sz w:val="21"/>
                <w:szCs w:val="21"/>
              </w:rPr>
              <w:t>项目名称</w:t>
            </w:r>
          </w:p>
        </w:tc>
        <w:tc>
          <w:tcPr>
            <w:tcW w:w="1250" w:type="pct"/>
            <w:tcBorders>
              <w:top w:val="thinThickSmallGap" w:color="auto" w:sz="12" w:space="0"/>
              <w:bottom w:val="single" w:color="auto" w:sz="4" w:space="0"/>
            </w:tcBorders>
            <w:shd w:val="clear" w:color="auto" w:fill="DDDDDD"/>
            <w:noWrap w:val="0"/>
            <w:vAlign w:val="center"/>
          </w:tcPr>
          <w:p w14:paraId="79DD4906">
            <w:pPr>
              <w:jc w:val="center"/>
              <w:rPr>
                <w:rFonts w:ascii="Times New Roman" w:hAnsi="Times New Roman" w:cs="Times New Roman"/>
                <w:sz w:val="21"/>
                <w:szCs w:val="21"/>
              </w:rPr>
            </w:pPr>
            <w:r>
              <w:rPr>
                <w:rFonts w:ascii="Times New Roman" w:hAnsi="Times New Roman" w:cs="Times New Roman"/>
                <w:sz w:val="21"/>
                <w:szCs w:val="21"/>
              </w:rPr>
              <w:t>单位</w:t>
            </w:r>
          </w:p>
        </w:tc>
        <w:tc>
          <w:tcPr>
            <w:tcW w:w="1249" w:type="pct"/>
            <w:tcBorders>
              <w:top w:val="thinThickSmallGap" w:color="auto" w:sz="12" w:space="0"/>
              <w:bottom w:val="single" w:color="auto" w:sz="4" w:space="0"/>
            </w:tcBorders>
            <w:shd w:val="clear" w:color="auto" w:fill="DDDDDD"/>
            <w:noWrap w:val="0"/>
            <w:vAlign w:val="center"/>
          </w:tcPr>
          <w:p w14:paraId="1411D2E7">
            <w:pPr>
              <w:jc w:val="center"/>
              <w:rPr>
                <w:rFonts w:ascii="Times New Roman" w:hAnsi="Times New Roman" w:cs="Times New Roman"/>
                <w:sz w:val="21"/>
                <w:szCs w:val="21"/>
              </w:rPr>
            </w:pPr>
            <w:r>
              <w:rPr>
                <w:rFonts w:ascii="Times New Roman" w:hAnsi="Times New Roman" w:cs="Times New Roman"/>
                <w:sz w:val="21"/>
                <w:szCs w:val="21"/>
              </w:rPr>
              <w:t>指标</w:t>
            </w:r>
          </w:p>
        </w:tc>
      </w:tr>
      <w:tr w14:paraId="5681DEA5">
        <w:tblPrEx>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96" w:type="pct"/>
            <w:tcBorders>
              <w:top w:val="single" w:color="auto" w:sz="4" w:space="0"/>
            </w:tcBorders>
            <w:noWrap w:val="0"/>
            <w:vAlign w:val="center"/>
          </w:tcPr>
          <w:p w14:paraId="3C8015E6">
            <w:pPr>
              <w:jc w:val="center"/>
              <w:rPr>
                <w:rFonts w:ascii="Times New Roman" w:hAnsi="Times New Roman" w:cs="Times New Roman"/>
                <w:sz w:val="21"/>
                <w:szCs w:val="21"/>
              </w:rPr>
            </w:pPr>
            <w:r>
              <w:rPr>
                <w:rFonts w:ascii="Times New Roman" w:hAnsi="Times New Roman" w:cs="Times New Roman"/>
                <w:sz w:val="21"/>
                <w:szCs w:val="21"/>
              </w:rPr>
              <w:t>1</w:t>
            </w:r>
          </w:p>
        </w:tc>
        <w:tc>
          <w:tcPr>
            <w:tcW w:w="1705" w:type="pct"/>
            <w:tcBorders>
              <w:top w:val="single" w:color="auto" w:sz="4" w:space="0"/>
            </w:tcBorders>
            <w:noWrap w:val="0"/>
            <w:vAlign w:val="center"/>
          </w:tcPr>
          <w:p w14:paraId="32FA7E19">
            <w:pPr>
              <w:jc w:val="center"/>
              <w:rPr>
                <w:rFonts w:ascii="Times New Roman" w:hAnsi="Times New Roman" w:cs="Times New Roman"/>
                <w:sz w:val="21"/>
                <w:szCs w:val="21"/>
              </w:rPr>
            </w:pPr>
            <w:r>
              <w:rPr>
                <w:rFonts w:ascii="Times New Roman" w:hAnsi="Times New Roman" w:cs="Times New Roman"/>
                <w:sz w:val="21"/>
                <w:szCs w:val="21"/>
              </w:rPr>
              <w:t>总投资</w:t>
            </w:r>
          </w:p>
        </w:tc>
        <w:tc>
          <w:tcPr>
            <w:tcW w:w="1250" w:type="pct"/>
            <w:tcBorders>
              <w:top w:val="single" w:color="auto" w:sz="4" w:space="0"/>
            </w:tcBorders>
            <w:noWrap w:val="0"/>
            <w:vAlign w:val="center"/>
          </w:tcPr>
          <w:p w14:paraId="551005C3">
            <w:pPr>
              <w:jc w:val="center"/>
              <w:rPr>
                <w:rFonts w:ascii="Times New Roman" w:hAnsi="Times New Roman" w:cs="Times New Roman"/>
                <w:sz w:val="21"/>
                <w:szCs w:val="21"/>
              </w:rPr>
            </w:pPr>
            <w:r>
              <w:rPr>
                <w:rFonts w:ascii="Times New Roman" w:hAnsi="Times New Roman" w:cs="Times New Roman"/>
                <w:sz w:val="21"/>
                <w:szCs w:val="21"/>
              </w:rPr>
              <w:t>万元</w:t>
            </w:r>
          </w:p>
        </w:tc>
        <w:tc>
          <w:tcPr>
            <w:tcW w:w="1249" w:type="pct"/>
            <w:tcBorders>
              <w:top w:val="single" w:color="auto" w:sz="4" w:space="0"/>
            </w:tcBorders>
            <w:noWrap w:val="0"/>
            <w:vAlign w:val="center"/>
          </w:tcPr>
          <w:p w14:paraId="3DB1489F">
            <w:pPr>
              <w:jc w:val="center"/>
              <w:rPr>
                <w:rFonts w:hint="default" w:ascii="Times New Roman" w:hAnsi="Times New Roman" w:eastAsia="宋体" w:cs="Times New Roman"/>
                <w:sz w:val="21"/>
                <w:szCs w:val="21"/>
                <w:lang w:val="en-US" w:eastAsia="zh-CN"/>
              </w:rPr>
            </w:pPr>
            <w:r>
              <w:rPr>
                <w:rFonts w:hint="eastAsia" w:ascii="Times New Roman" w:hAnsi="Times New Roman" w:cs="Times New Roman"/>
                <w:sz w:val="21"/>
                <w:szCs w:val="21"/>
                <w:lang w:val="en-US" w:eastAsia="zh-CN"/>
              </w:rPr>
              <w:t>8337</w:t>
            </w:r>
          </w:p>
        </w:tc>
      </w:tr>
      <w:tr w14:paraId="1A10CBC5">
        <w:tblPrEx>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96" w:type="pct"/>
            <w:noWrap w:val="0"/>
            <w:vAlign w:val="center"/>
          </w:tcPr>
          <w:p w14:paraId="605C0C2B">
            <w:pPr>
              <w:jc w:val="center"/>
              <w:rPr>
                <w:rFonts w:ascii="Times New Roman" w:hAnsi="Times New Roman" w:cs="Times New Roman"/>
                <w:sz w:val="21"/>
                <w:szCs w:val="21"/>
              </w:rPr>
            </w:pPr>
            <w:r>
              <w:rPr>
                <w:rFonts w:ascii="Times New Roman" w:hAnsi="Times New Roman" w:cs="Times New Roman"/>
                <w:sz w:val="21"/>
                <w:szCs w:val="21"/>
              </w:rPr>
              <w:t>2</w:t>
            </w:r>
          </w:p>
        </w:tc>
        <w:tc>
          <w:tcPr>
            <w:tcW w:w="1705" w:type="pct"/>
            <w:noWrap w:val="0"/>
            <w:vAlign w:val="center"/>
          </w:tcPr>
          <w:p w14:paraId="7FD2B96D">
            <w:pPr>
              <w:jc w:val="center"/>
              <w:rPr>
                <w:rFonts w:ascii="Times New Roman" w:hAnsi="Times New Roman" w:cs="Times New Roman"/>
                <w:sz w:val="21"/>
                <w:szCs w:val="21"/>
              </w:rPr>
            </w:pPr>
            <w:r>
              <w:rPr>
                <w:rFonts w:ascii="Times New Roman" w:hAnsi="Times New Roman" w:cs="Times New Roman"/>
                <w:sz w:val="21"/>
                <w:szCs w:val="21"/>
              </w:rPr>
              <w:t>年销售收入</w:t>
            </w:r>
          </w:p>
        </w:tc>
        <w:tc>
          <w:tcPr>
            <w:tcW w:w="1250" w:type="pct"/>
            <w:noWrap w:val="0"/>
            <w:vAlign w:val="center"/>
          </w:tcPr>
          <w:p w14:paraId="7D13EE6D">
            <w:pPr>
              <w:jc w:val="center"/>
              <w:rPr>
                <w:rFonts w:ascii="Times New Roman" w:hAnsi="Times New Roman" w:cs="Times New Roman"/>
                <w:sz w:val="21"/>
                <w:szCs w:val="21"/>
              </w:rPr>
            </w:pPr>
            <w:r>
              <w:rPr>
                <w:rFonts w:ascii="Times New Roman" w:hAnsi="Times New Roman" w:cs="Times New Roman"/>
                <w:sz w:val="21"/>
                <w:szCs w:val="21"/>
              </w:rPr>
              <w:t>万元</w:t>
            </w:r>
          </w:p>
        </w:tc>
        <w:tc>
          <w:tcPr>
            <w:tcW w:w="1249" w:type="pct"/>
            <w:noWrap w:val="0"/>
            <w:vAlign w:val="center"/>
          </w:tcPr>
          <w:p w14:paraId="6C02FEAF">
            <w:pPr>
              <w:jc w:val="center"/>
              <w:rPr>
                <w:rFonts w:ascii="Times New Roman" w:hAnsi="Times New Roman" w:cs="Times New Roman"/>
                <w:sz w:val="21"/>
                <w:szCs w:val="21"/>
                <w:highlight w:val="yellow"/>
              </w:rPr>
            </w:pPr>
            <w:r>
              <w:rPr>
                <w:rFonts w:hint="eastAsia" w:ascii="Times New Roman" w:hAnsi="Times New Roman" w:cs="Times New Roman"/>
                <w:sz w:val="21"/>
                <w:szCs w:val="21"/>
                <w:highlight w:val="yellow"/>
              </w:rPr>
              <w:t>175000</w:t>
            </w:r>
          </w:p>
        </w:tc>
      </w:tr>
      <w:tr w14:paraId="74089A86">
        <w:tblPrEx>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96" w:type="pct"/>
            <w:noWrap w:val="0"/>
            <w:vAlign w:val="center"/>
          </w:tcPr>
          <w:p w14:paraId="229C641B">
            <w:pPr>
              <w:jc w:val="center"/>
              <w:rPr>
                <w:rFonts w:ascii="Times New Roman" w:hAnsi="Times New Roman" w:cs="Times New Roman"/>
                <w:sz w:val="21"/>
                <w:szCs w:val="21"/>
              </w:rPr>
            </w:pPr>
            <w:r>
              <w:rPr>
                <w:rFonts w:ascii="Times New Roman" w:hAnsi="Times New Roman" w:cs="Times New Roman"/>
                <w:sz w:val="21"/>
                <w:szCs w:val="21"/>
              </w:rPr>
              <w:t>3</w:t>
            </w:r>
          </w:p>
        </w:tc>
        <w:tc>
          <w:tcPr>
            <w:tcW w:w="1705" w:type="pct"/>
            <w:noWrap w:val="0"/>
            <w:vAlign w:val="center"/>
          </w:tcPr>
          <w:p w14:paraId="182520FC">
            <w:pPr>
              <w:jc w:val="center"/>
              <w:rPr>
                <w:rFonts w:ascii="Times New Roman" w:hAnsi="Times New Roman" w:cs="Times New Roman"/>
                <w:sz w:val="21"/>
                <w:szCs w:val="21"/>
              </w:rPr>
            </w:pPr>
            <w:r>
              <w:rPr>
                <w:rFonts w:hint="eastAsia" w:ascii="Times New Roman" w:hAnsi="Times New Roman" w:cs="Times New Roman"/>
                <w:sz w:val="21"/>
                <w:szCs w:val="21"/>
              </w:rPr>
              <w:t>年</w:t>
            </w:r>
            <w:r>
              <w:rPr>
                <w:rFonts w:ascii="Times New Roman" w:hAnsi="Times New Roman" w:cs="Times New Roman"/>
                <w:sz w:val="21"/>
                <w:szCs w:val="21"/>
              </w:rPr>
              <w:t>净利润</w:t>
            </w:r>
          </w:p>
        </w:tc>
        <w:tc>
          <w:tcPr>
            <w:tcW w:w="1250" w:type="pct"/>
            <w:noWrap w:val="0"/>
            <w:vAlign w:val="center"/>
          </w:tcPr>
          <w:p w14:paraId="5B300990">
            <w:pPr>
              <w:jc w:val="center"/>
              <w:rPr>
                <w:rFonts w:ascii="Times New Roman" w:hAnsi="Times New Roman" w:cs="Times New Roman"/>
                <w:sz w:val="21"/>
                <w:szCs w:val="21"/>
              </w:rPr>
            </w:pPr>
            <w:r>
              <w:rPr>
                <w:rFonts w:ascii="Times New Roman" w:hAnsi="Times New Roman" w:cs="Times New Roman"/>
                <w:sz w:val="21"/>
                <w:szCs w:val="21"/>
              </w:rPr>
              <w:t>万元</w:t>
            </w:r>
          </w:p>
        </w:tc>
        <w:tc>
          <w:tcPr>
            <w:tcW w:w="1249" w:type="pct"/>
            <w:noWrap w:val="0"/>
            <w:vAlign w:val="center"/>
          </w:tcPr>
          <w:p w14:paraId="6105D3CB">
            <w:pPr>
              <w:jc w:val="center"/>
              <w:rPr>
                <w:rFonts w:ascii="Times New Roman" w:hAnsi="Times New Roman" w:cs="Times New Roman"/>
                <w:sz w:val="21"/>
                <w:szCs w:val="21"/>
                <w:highlight w:val="yellow"/>
              </w:rPr>
            </w:pPr>
            <w:r>
              <w:rPr>
                <w:rFonts w:hint="eastAsia" w:ascii="Times New Roman" w:hAnsi="Times New Roman" w:cs="Times New Roman"/>
                <w:sz w:val="21"/>
                <w:szCs w:val="21"/>
                <w:highlight w:val="yellow"/>
              </w:rPr>
              <w:t>27059</w:t>
            </w:r>
          </w:p>
        </w:tc>
      </w:tr>
      <w:tr w14:paraId="6B181A48">
        <w:tblPrEx>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96" w:type="pct"/>
            <w:noWrap w:val="0"/>
            <w:vAlign w:val="center"/>
          </w:tcPr>
          <w:p w14:paraId="56460A57">
            <w:pPr>
              <w:jc w:val="center"/>
              <w:rPr>
                <w:rFonts w:ascii="Times New Roman" w:hAnsi="Times New Roman" w:cs="Times New Roman"/>
                <w:sz w:val="21"/>
                <w:szCs w:val="21"/>
              </w:rPr>
            </w:pPr>
            <w:r>
              <w:rPr>
                <w:rFonts w:ascii="Times New Roman" w:hAnsi="Times New Roman" w:cs="Times New Roman"/>
                <w:sz w:val="21"/>
                <w:szCs w:val="21"/>
              </w:rPr>
              <w:t>4</w:t>
            </w:r>
          </w:p>
        </w:tc>
        <w:tc>
          <w:tcPr>
            <w:tcW w:w="1705" w:type="pct"/>
            <w:noWrap w:val="0"/>
            <w:vAlign w:val="center"/>
          </w:tcPr>
          <w:p w14:paraId="37EFCD23">
            <w:pPr>
              <w:jc w:val="center"/>
              <w:rPr>
                <w:rFonts w:ascii="Times New Roman" w:hAnsi="Times New Roman" w:cs="Times New Roman"/>
                <w:sz w:val="21"/>
                <w:szCs w:val="21"/>
              </w:rPr>
            </w:pPr>
            <w:r>
              <w:rPr>
                <w:rFonts w:ascii="Times New Roman" w:hAnsi="Times New Roman" w:cs="Times New Roman"/>
                <w:sz w:val="21"/>
                <w:szCs w:val="21"/>
              </w:rPr>
              <w:t>项目投资财务内部收益率</w:t>
            </w:r>
          </w:p>
        </w:tc>
        <w:tc>
          <w:tcPr>
            <w:tcW w:w="1250" w:type="pct"/>
            <w:noWrap w:val="0"/>
            <w:vAlign w:val="center"/>
          </w:tcPr>
          <w:p w14:paraId="4E79FF88">
            <w:pPr>
              <w:jc w:val="center"/>
              <w:rPr>
                <w:rFonts w:ascii="Times New Roman" w:hAnsi="Times New Roman" w:cs="Times New Roman"/>
                <w:sz w:val="21"/>
                <w:szCs w:val="21"/>
              </w:rPr>
            </w:pPr>
            <w:r>
              <w:rPr>
                <w:rFonts w:ascii="Times New Roman" w:hAnsi="Times New Roman" w:cs="Times New Roman"/>
                <w:sz w:val="21"/>
                <w:szCs w:val="21"/>
              </w:rPr>
              <w:t>%</w:t>
            </w:r>
          </w:p>
        </w:tc>
        <w:tc>
          <w:tcPr>
            <w:tcW w:w="1249" w:type="pct"/>
            <w:noWrap w:val="0"/>
            <w:vAlign w:val="center"/>
          </w:tcPr>
          <w:p w14:paraId="32D85041">
            <w:pPr>
              <w:jc w:val="center"/>
              <w:rPr>
                <w:rFonts w:ascii="Times New Roman" w:hAnsi="Times New Roman" w:cs="Times New Roman"/>
                <w:sz w:val="21"/>
                <w:szCs w:val="21"/>
                <w:highlight w:val="yellow"/>
              </w:rPr>
            </w:pPr>
            <w:r>
              <w:rPr>
                <w:rFonts w:hint="eastAsia" w:ascii="Times New Roman" w:hAnsi="Times New Roman" w:cs="Times New Roman"/>
                <w:sz w:val="21"/>
                <w:szCs w:val="21"/>
                <w:highlight w:val="yellow"/>
              </w:rPr>
              <w:t>34.59</w:t>
            </w:r>
          </w:p>
        </w:tc>
      </w:tr>
      <w:tr w14:paraId="56B5F697">
        <w:tblPrEx>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96" w:type="pct"/>
            <w:noWrap w:val="0"/>
            <w:vAlign w:val="center"/>
          </w:tcPr>
          <w:p w14:paraId="62408D2B">
            <w:pPr>
              <w:jc w:val="center"/>
              <w:rPr>
                <w:rFonts w:ascii="Times New Roman" w:hAnsi="Times New Roman" w:cs="Times New Roman"/>
                <w:sz w:val="21"/>
                <w:szCs w:val="21"/>
              </w:rPr>
            </w:pPr>
            <w:r>
              <w:rPr>
                <w:rFonts w:ascii="Times New Roman" w:hAnsi="Times New Roman" w:cs="Times New Roman"/>
                <w:sz w:val="21"/>
                <w:szCs w:val="21"/>
              </w:rPr>
              <w:t>5</w:t>
            </w:r>
          </w:p>
        </w:tc>
        <w:tc>
          <w:tcPr>
            <w:tcW w:w="1705" w:type="pct"/>
            <w:noWrap w:val="0"/>
            <w:vAlign w:val="center"/>
          </w:tcPr>
          <w:p w14:paraId="0104C5D7">
            <w:pPr>
              <w:jc w:val="center"/>
              <w:rPr>
                <w:rFonts w:ascii="Times New Roman" w:hAnsi="Times New Roman" w:cs="Times New Roman"/>
                <w:sz w:val="21"/>
                <w:szCs w:val="21"/>
              </w:rPr>
            </w:pPr>
            <w:r>
              <w:rPr>
                <w:rFonts w:ascii="Times New Roman" w:hAnsi="Times New Roman" w:cs="Times New Roman"/>
                <w:sz w:val="21"/>
                <w:szCs w:val="21"/>
              </w:rPr>
              <w:t>项目投资回收期</w:t>
            </w:r>
          </w:p>
        </w:tc>
        <w:tc>
          <w:tcPr>
            <w:tcW w:w="1250" w:type="pct"/>
            <w:noWrap w:val="0"/>
            <w:vAlign w:val="center"/>
          </w:tcPr>
          <w:p w14:paraId="784D19B3">
            <w:pPr>
              <w:jc w:val="center"/>
              <w:rPr>
                <w:rFonts w:ascii="Times New Roman" w:hAnsi="Times New Roman" w:cs="Times New Roman"/>
                <w:sz w:val="21"/>
                <w:szCs w:val="21"/>
              </w:rPr>
            </w:pPr>
            <w:r>
              <w:rPr>
                <w:rFonts w:ascii="Times New Roman" w:hAnsi="Times New Roman" w:cs="Times New Roman"/>
                <w:sz w:val="21"/>
                <w:szCs w:val="21"/>
              </w:rPr>
              <w:t>年</w:t>
            </w:r>
          </w:p>
        </w:tc>
        <w:tc>
          <w:tcPr>
            <w:tcW w:w="1249" w:type="pct"/>
            <w:noWrap w:val="0"/>
            <w:vAlign w:val="center"/>
          </w:tcPr>
          <w:p w14:paraId="415A1169">
            <w:pPr>
              <w:jc w:val="center"/>
              <w:rPr>
                <w:rFonts w:ascii="Times New Roman" w:hAnsi="Times New Roman" w:cs="Times New Roman"/>
                <w:sz w:val="21"/>
                <w:szCs w:val="21"/>
                <w:highlight w:val="yellow"/>
              </w:rPr>
            </w:pPr>
            <w:r>
              <w:rPr>
                <w:rFonts w:hint="eastAsia" w:ascii="Times New Roman" w:hAnsi="Times New Roman" w:cs="Times New Roman"/>
                <w:sz w:val="21"/>
                <w:szCs w:val="21"/>
                <w:highlight w:val="yellow"/>
              </w:rPr>
              <w:t>5.21</w:t>
            </w:r>
          </w:p>
        </w:tc>
      </w:tr>
    </w:tbl>
    <w:p w14:paraId="619F9BF4">
      <w:pPr>
        <w:spacing w:line="500" w:lineRule="exact"/>
        <w:ind w:firstLine="480" w:firstLineChars="200"/>
        <w:rPr>
          <w:rFonts w:ascii="Times New Roman" w:hAnsi="Times New Roman" w:cs="Times New Roman"/>
        </w:rPr>
      </w:pPr>
      <w:r>
        <w:rPr>
          <w:rFonts w:ascii="Times New Roman" w:hAnsi="Times New Roman" w:cs="Times New Roman"/>
        </w:rPr>
        <w:t>由上表可以看出，</w:t>
      </w:r>
      <w:r>
        <w:rPr>
          <w:rFonts w:ascii="Times New Roman" w:hAnsi="Times New Roman" w:cs="Times New Roman"/>
          <w:highlight w:val="yellow"/>
        </w:rPr>
        <w:t>本项目的投资回收期为</w:t>
      </w:r>
      <w:r>
        <w:rPr>
          <w:rFonts w:hint="eastAsia" w:ascii="Times New Roman" w:hAnsi="Times New Roman" w:cs="Times New Roman"/>
          <w:highlight w:val="yellow"/>
        </w:rPr>
        <w:t>5.21</w:t>
      </w:r>
      <w:r>
        <w:rPr>
          <w:rFonts w:ascii="Times New Roman" w:hAnsi="Times New Roman" w:cs="Times New Roman"/>
          <w:highlight w:val="yellow"/>
        </w:rPr>
        <w:t>年，</w:t>
      </w:r>
      <w:r>
        <w:rPr>
          <w:rFonts w:ascii="Times New Roman" w:hAnsi="Times New Roman" w:cs="Times New Roman"/>
        </w:rPr>
        <w:t>投资回收期较短，经济效益较显著，具有经济效益好、投资回收期短、抗风险能力强等特点。</w:t>
      </w:r>
    </w:p>
    <w:p w14:paraId="65D5EE0D">
      <w:pPr>
        <w:adjustRightInd w:val="0"/>
        <w:snapToGrid w:val="0"/>
        <w:spacing w:line="500" w:lineRule="exact"/>
        <w:ind w:left="480"/>
        <w:rPr>
          <w:rFonts w:ascii="Times New Roman" w:hAnsi="Times New Roman" w:cs="Times New Roman"/>
          <w:b/>
        </w:rPr>
      </w:pPr>
      <w:r>
        <w:rPr>
          <w:rFonts w:ascii="Times New Roman" w:hAnsi="Times New Roman" w:cs="Times New Roman"/>
          <w:b/>
        </w:rPr>
        <w:t>（2）采取环保措施后的环境经济效益</w:t>
      </w:r>
    </w:p>
    <w:p w14:paraId="2137EA07">
      <w:pPr>
        <w:numPr>
          <w:ilvl w:val="0"/>
          <w:numId w:val="36"/>
        </w:numPr>
        <w:adjustRightInd w:val="0"/>
        <w:spacing w:line="500" w:lineRule="exact"/>
        <w:ind w:left="0" w:firstLine="482" w:firstLineChars="200"/>
        <w:rPr>
          <w:rFonts w:ascii="Times New Roman" w:hAnsi="Times New Roman" w:cs="Times New Roman"/>
          <w:b/>
        </w:rPr>
      </w:pPr>
      <w:r>
        <w:rPr>
          <w:rFonts w:ascii="Times New Roman" w:hAnsi="Times New Roman" w:cs="Times New Roman"/>
          <w:b/>
        </w:rPr>
        <w:t>综合利用效益</w:t>
      </w:r>
    </w:p>
    <w:p w14:paraId="33A68D80">
      <w:pPr>
        <w:pStyle w:val="310"/>
        <w:spacing w:line="500" w:lineRule="exact"/>
        <w:rPr>
          <w:rFonts w:hint="eastAsia"/>
          <w:lang w:eastAsia="zh-CN"/>
        </w:rPr>
      </w:pPr>
      <w:r>
        <w:rPr>
          <w:lang w:eastAsia="zh-CN"/>
        </w:rPr>
        <w:t>本项目环保设施每年可回收实物量及价值直接效益见表</w:t>
      </w:r>
      <w:r>
        <w:rPr>
          <w:rFonts w:hint="eastAsia"/>
          <w:lang w:eastAsia="zh-CN"/>
        </w:rPr>
        <w:t>8</w:t>
      </w:r>
      <w:r>
        <w:rPr>
          <w:lang w:eastAsia="zh-CN"/>
        </w:rPr>
        <w:t>.2-2。</w:t>
      </w:r>
    </w:p>
    <w:p w14:paraId="7E5E0DE6">
      <w:pPr>
        <w:pStyle w:val="310"/>
        <w:spacing w:line="500" w:lineRule="exact"/>
        <w:rPr>
          <w:lang w:eastAsia="zh-CN"/>
        </w:rPr>
      </w:pPr>
    </w:p>
    <w:p w14:paraId="46BB0007">
      <w:pPr>
        <w:pStyle w:val="112"/>
        <w:snapToGrid/>
        <w:spacing w:line="360" w:lineRule="auto"/>
        <w:rPr>
          <w:highlight w:val="yellow"/>
        </w:rPr>
      </w:pPr>
      <w:r>
        <w:rPr>
          <w:highlight w:val="yellow"/>
        </w:rPr>
        <w:t>表</w:t>
      </w:r>
      <w:r>
        <w:rPr>
          <w:rFonts w:hint="eastAsia"/>
          <w:highlight w:val="yellow"/>
        </w:rPr>
        <w:t>8</w:t>
      </w:r>
      <w:r>
        <w:rPr>
          <w:highlight w:val="yellow"/>
        </w:rPr>
        <w:t>.2-2  环保投资收益一览表</w:t>
      </w:r>
    </w:p>
    <w:tbl>
      <w:tblPr>
        <w:tblStyle w:val="56"/>
        <w:tblW w:w="0" w:type="auto"/>
        <w:tblInd w:w="0" w:type="dxa"/>
        <w:tblBorders>
          <w:top w:val="thinThickSmallGap" w:color="auto" w:sz="12" w:space="0"/>
          <w:left w:val="none" w:color="auto" w:sz="0" w:space="0"/>
          <w:bottom w:val="thickThinSmallGap" w:color="auto" w:sz="12" w:space="0"/>
          <w:right w:val="none" w:color="auto" w:sz="0" w:space="0"/>
          <w:insideH w:val="single" w:color="auto" w:sz="2" w:space="0"/>
          <w:insideV w:val="single" w:color="auto" w:sz="2" w:space="0"/>
        </w:tblBorders>
        <w:tblLayout w:type="autofit"/>
        <w:tblCellMar>
          <w:top w:w="0" w:type="dxa"/>
          <w:left w:w="108" w:type="dxa"/>
          <w:bottom w:w="0" w:type="dxa"/>
          <w:right w:w="108" w:type="dxa"/>
        </w:tblCellMar>
      </w:tblPr>
      <w:tblGrid>
        <w:gridCol w:w="1101"/>
        <w:gridCol w:w="2409"/>
        <w:gridCol w:w="1701"/>
        <w:gridCol w:w="1599"/>
        <w:gridCol w:w="1712"/>
      </w:tblGrid>
      <w:tr w14:paraId="7739BD1B">
        <w:tblPrEx>
          <w:tblBorders>
            <w:top w:val="thinThickSmallGap" w:color="auto" w:sz="12" w:space="0"/>
            <w:left w:val="none" w:color="auto" w:sz="0" w:space="0"/>
            <w:bottom w:val="thickThinSmallGap" w:color="auto" w:sz="12"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97" w:hRule="atLeast"/>
        </w:trPr>
        <w:tc>
          <w:tcPr>
            <w:tcW w:w="1101" w:type="dxa"/>
            <w:tcBorders>
              <w:top w:val="thinThickSmallGap" w:color="auto" w:sz="12" w:space="0"/>
              <w:bottom w:val="single" w:color="auto" w:sz="2" w:space="0"/>
            </w:tcBorders>
            <w:shd w:val="clear" w:color="auto" w:fill="DDDDDD"/>
            <w:noWrap w:val="0"/>
            <w:vAlign w:val="center"/>
          </w:tcPr>
          <w:p w14:paraId="51CE1DD8">
            <w:pPr>
              <w:adjustRightInd w:val="0"/>
              <w:jc w:val="center"/>
              <w:rPr>
                <w:rFonts w:ascii="Times New Roman" w:hAnsi="Times New Roman" w:cs="Times New Roman"/>
                <w:sz w:val="21"/>
                <w:szCs w:val="21"/>
              </w:rPr>
            </w:pPr>
            <w:r>
              <w:rPr>
                <w:rFonts w:ascii="Times New Roman" w:hAnsi="Times New Roman" w:cs="Times New Roman"/>
                <w:sz w:val="21"/>
                <w:szCs w:val="21"/>
              </w:rPr>
              <w:t>序号</w:t>
            </w:r>
          </w:p>
        </w:tc>
        <w:tc>
          <w:tcPr>
            <w:tcW w:w="2409" w:type="dxa"/>
            <w:tcBorders>
              <w:top w:val="thinThickSmallGap" w:color="auto" w:sz="12" w:space="0"/>
              <w:bottom w:val="single" w:color="auto" w:sz="2" w:space="0"/>
            </w:tcBorders>
            <w:shd w:val="clear" w:color="auto" w:fill="DDDDDD"/>
            <w:noWrap w:val="0"/>
            <w:vAlign w:val="center"/>
          </w:tcPr>
          <w:p w14:paraId="3C110B43">
            <w:pPr>
              <w:adjustRightInd w:val="0"/>
              <w:jc w:val="center"/>
              <w:rPr>
                <w:rFonts w:ascii="Times New Roman" w:hAnsi="Times New Roman" w:cs="Times New Roman"/>
                <w:sz w:val="21"/>
                <w:szCs w:val="21"/>
              </w:rPr>
            </w:pPr>
            <w:r>
              <w:rPr>
                <w:rFonts w:ascii="Times New Roman" w:hAnsi="Times New Roman" w:cs="Times New Roman"/>
                <w:sz w:val="21"/>
                <w:szCs w:val="21"/>
              </w:rPr>
              <w:t>项目</w:t>
            </w:r>
          </w:p>
        </w:tc>
        <w:tc>
          <w:tcPr>
            <w:tcW w:w="1701" w:type="dxa"/>
            <w:tcBorders>
              <w:top w:val="thinThickSmallGap" w:color="auto" w:sz="12" w:space="0"/>
              <w:bottom w:val="single" w:color="auto" w:sz="2" w:space="0"/>
            </w:tcBorders>
            <w:shd w:val="clear" w:color="auto" w:fill="DDDDDD"/>
            <w:noWrap w:val="0"/>
            <w:vAlign w:val="center"/>
          </w:tcPr>
          <w:p w14:paraId="42CBEB5C">
            <w:pPr>
              <w:adjustRightInd w:val="0"/>
              <w:jc w:val="center"/>
              <w:rPr>
                <w:rFonts w:ascii="Times New Roman" w:hAnsi="Times New Roman" w:cs="Times New Roman"/>
                <w:sz w:val="21"/>
                <w:szCs w:val="21"/>
              </w:rPr>
            </w:pPr>
            <w:r>
              <w:rPr>
                <w:rFonts w:ascii="Times New Roman" w:hAnsi="Times New Roman" w:cs="Times New Roman"/>
                <w:sz w:val="21"/>
                <w:szCs w:val="21"/>
              </w:rPr>
              <w:t>数量（t/a）</w:t>
            </w:r>
          </w:p>
        </w:tc>
        <w:tc>
          <w:tcPr>
            <w:tcW w:w="1599" w:type="dxa"/>
            <w:tcBorders>
              <w:top w:val="thinThickSmallGap" w:color="auto" w:sz="12" w:space="0"/>
              <w:bottom w:val="single" w:color="auto" w:sz="2" w:space="0"/>
            </w:tcBorders>
            <w:shd w:val="clear" w:color="auto" w:fill="DDDDDD"/>
            <w:noWrap w:val="0"/>
            <w:vAlign w:val="center"/>
          </w:tcPr>
          <w:p w14:paraId="4B0EFE7D">
            <w:pPr>
              <w:adjustRightInd w:val="0"/>
              <w:jc w:val="center"/>
              <w:rPr>
                <w:rFonts w:ascii="Times New Roman" w:hAnsi="Times New Roman" w:cs="Times New Roman"/>
                <w:sz w:val="21"/>
                <w:szCs w:val="21"/>
              </w:rPr>
            </w:pPr>
            <w:r>
              <w:rPr>
                <w:rFonts w:ascii="Times New Roman" w:hAnsi="Times New Roman" w:cs="Times New Roman"/>
                <w:sz w:val="21"/>
                <w:szCs w:val="21"/>
              </w:rPr>
              <w:t>价值（元/吨）</w:t>
            </w:r>
          </w:p>
        </w:tc>
        <w:tc>
          <w:tcPr>
            <w:tcW w:w="1712" w:type="dxa"/>
            <w:tcBorders>
              <w:top w:val="thinThickSmallGap" w:color="auto" w:sz="12" w:space="0"/>
              <w:bottom w:val="single" w:color="auto" w:sz="2" w:space="0"/>
            </w:tcBorders>
            <w:shd w:val="clear" w:color="auto" w:fill="DDDDDD"/>
            <w:noWrap w:val="0"/>
            <w:vAlign w:val="center"/>
          </w:tcPr>
          <w:p w14:paraId="6F2BF28E">
            <w:pPr>
              <w:adjustRightInd w:val="0"/>
              <w:jc w:val="center"/>
              <w:rPr>
                <w:rFonts w:ascii="Times New Roman" w:hAnsi="Times New Roman" w:cs="Times New Roman"/>
                <w:sz w:val="21"/>
                <w:szCs w:val="21"/>
              </w:rPr>
            </w:pPr>
            <w:r>
              <w:rPr>
                <w:rFonts w:ascii="Times New Roman" w:hAnsi="Times New Roman" w:cs="Times New Roman"/>
                <w:sz w:val="21"/>
                <w:szCs w:val="21"/>
              </w:rPr>
              <w:t>收益（万元/年）</w:t>
            </w:r>
          </w:p>
        </w:tc>
      </w:tr>
      <w:tr w14:paraId="126449D8">
        <w:tblPrEx>
          <w:tblBorders>
            <w:top w:val="thinThickSmallGap" w:color="auto" w:sz="12" w:space="0"/>
            <w:left w:val="none" w:color="auto" w:sz="0" w:space="0"/>
            <w:bottom w:val="thickThinSmallGap" w:color="auto" w:sz="12"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97" w:hRule="atLeast"/>
        </w:trPr>
        <w:tc>
          <w:tcPr>
            <w:tcW w:w="1101" w:type="dxa"/>
            <w:tcBorders>
              <w:top w:val="single" w:color="auto" w:sz="2" w:space="0"/>
            </w:tcBorders>
            <w:noWrap w:val="0"/>
            <w:vAlign w:val="center"/>
          </w:tcPr>
          <w:p w14:paraId="3EC90B83">
            <w:pPr>
              <w:adjustRightInd w:val="0"/>
              <w:jc w:val="center"/>
              <w:rPr>
                <w:rFonts w:ascii="Times New Roman" w:hAnsi="Times New Roman" w:cs="Times New Roman"/>
                <w:sz w:val="21"/>
                <w:szCs w:val="21"/>
              </w:rPr>
            </w:pPr>
            <w:r>
              <w:rPr>
                <w:rFonts w:ascii="Times New Roman" w:hAnsi="Times New Roman" w:cs="Times New Roman"/>
                <w:sz w:val="21"/>
                <w:szCs w:val="21"/>
              </w:rPr>
              <w:t>1</w:t>
            </w:r>
          </w:p>
        </w:tc>
        <w:tc>
          <w:tcPr>
            <w:tcW w:w="2409" w:type="dxa"/>
            <w:tcBorders>
              <w:top w:val="single" w:color="auto" w:sz="2" w:space="0"/>
            </w:tcBorders>
            <w:noWrap w:val="0"/>
            <w:vAlign w:val="center"/>
          </w:tcPr>
          <w:p w14:paraId="2C683A53">
            <w:pPr>
              <w:adjustRightInd w:val="0"/>
              <w:jc w:val="center"/>
              <w:rPr>
                <w:rFonts w:ascii="Times New Roman" w:hAnsi="Times New Roman" w:cs="Times New Roman"/>
                <w:sz w:val="21"/>
                <w:szCs w:val="21"/>
                <w:highlight w:val="yellow"/>
              </w:rPr>
            </w:pPr>
            <w:r>
              <w:rPr>
                <w:rFonts w:ascii="Times New Roman" w:hAnsi="Times New Roman" w:cs="Times New Roman"/>
                <w:sz w:val="21"/>
                <w:szCs w:val="21"/>
                <w:highlight w:val="yellow"/>
              </w:rPr>
              <w:t>除尘灰</w:t>
            </w:r>
          </w:p>
        </w:tc>
        <w:tc>
          <w:tcPr>
            <w:tcW w:w="1701" w:type="dxa"/>
            <w:tcBorders>
              <w:top w:val="single" w:color="auto" w:sz="2" w:space="0"/>
            </w:tcBorders>
            <w:noWrap w:val="0"/>
            <w:vAlign w:val="center"/>
          </w:tcPr>
          <w:p w14:paraId="23C7CCEB">
            <w:pPr>
              <w:jc w:val="center"/>
              <w:rPr>
                <w:rFonts w:hint="eastAsia" w:ascii="Times New Roman" w:hAnsi="Times New Roman" w:cs="Times New Roman"/>
                <w:kern w:val="2"/>
                <w:sz w:val="21"/>
                <w:szCs w:val="21"/>
                <w:highlight w:val="yellow"/>
              </w:rPr>
            </w:pPr>
            <w:r>
              <w:rPr>
                <w:rFonts w:ascii="Times New Roman" w:hAnsi="Times New Roman" w:cs="Times New Roman"/>
                <w:kern w:val="2"/>
                <w:sz w:val="21"/>
                <w:szCs w:val="21"/>
                <w:highlight w:val="yellow"/>
              </w:rPr>
              <w:t>2321.13</w:t>
            </w:r>
          </w:p>
        </w:tc>
        <w:tc>
          <w:tcPr>
            <w:tcW w:w="1599" w:type="dxa"/>
            <w:tcBorders>
              <w:top w:val="single" w:color="auto" w:sz="2" w:space="0"/>
            </w:tcBorders>
            <w:noWrap w:val="0"/>
            <w:vAlign w:val="center"/>
          </w:tcPr>
          <w:p w14:paraId="1B8EE03E">
            <w:pPr>
              <w:adjustRightInd w:val="0"/>
              <w:jc w:val="center"/>
              <w:rPr>
                <w:rFonts w:ascii="Times New Roman" w:hAnsi="Times New Roman" w:cs="Times New Roman"/>
                <w:sz w:val="21"/>
                <w:szCs w:val="21"/>
                <w:highlight w:val="yellow"/>
              </w:rPr>
            </w:pPr>
            <w:r>
              <w:rPr>
                <w:rFonts w:ascii="Times New Roman" w:hAnsi="Times New Roman" w:cs="Times New Roman"/>
                <w:sz w:val="21"/>
                <w:szCs w:val="21"/>
                <w:highlight w:val="yellow"/>
              </w:rPr>
              <w:t>350</w:t>
            </w:r>
          </w:p>
        </w:tc>
        <w:tc>
          <w:tcPr>
            <w:tcW w:w="1712" w:type="dxa"/>
            <w:tcBorders>
              <w:top w:val="single" w:color="auto" w:sz="2" w:space="0"/>
            </w:tcBorders>
            <w:noWrap w:val="0"/>
            <w:vAlign w:val="center"/>
          </w:tcPr>
          <w:p w14:paraId="6BE15515">
            <w:pPr>
              <w:adjustRightInd w:val="0"/>
              <w:jc w:val="center"/>
              <w:rPr>
                <w:rFonts w:ascii="Times New Roman" w:hAnsi="Times New Roman" w:cs="Times New Roman"/>
                <w:sz w:val="21"/>
                <w:szCs w:val="21"/>
                <w:highlight w:val="yellow"/>
              </w:rPr>
            </w:pPr>
            <w:r>
              <w:rPr>
                <w:rFonts w:hint="eastAsia" w:ascii="Times New Roman" w:hAnsi="Times New Roman" w:cs="Times New Roman"/>
                <w:sz w:val="21"/>
                <w:szCs w:val="21"/>
                <w:highlight w:val="yellow"/>
              </w:rPr>
              <w:t>81.24</w:t>
            </w:r>
          </w:p>
        </w:tc>
      </w:tr>
      <w:tr w14:paraId="5899500B">
        <w:tblPrEx>
          <w:tblBorders>
            <w:top w:val="thinThickSmallGap" w:color="auto" w:sz="12" w:space="0"/>
            <w:left w:val="none" w:color="auto" w:sz="0" w:space="0"/>
            <w:bottom w:val="thickThinSmallGap" w:color="auto" w:sz="12"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97" w:hRule="atLeast"/>
        </w:trPr>
        <w:tc>
          <w:tcPr>
            <w:tcW w:w="6810" w:type="dxa"/>
            <w:gridSpan w:val="4"/>
            <w:noWrap w:val="0"/>
            <w:vAlign w:val="center"/>
          </w:tcPr>
          <w:p w14:paraId="4ADA564F">
            <w:pPr>
              <w:adjustRightInd w:val="0"/>
              <w:jc w:val="center"/>
              <w:rPr>
                <w:rFonts w:ascii="Times New Roman" w:hAnsi="Times New Roman" w:cs="Times New Roman"/>
                <w:b/>
                <w:sz w:val="21"/>
                <w:szCs w:val="21"/>
                <w:highlight w:val="yellow"/>
              </w:rPr>
            </w:pPr>
            <w:r>
              <w:rPr>
                <w:rFonts w:ascii="Times New Roman" w:hAnsi="Times New Roman" w:cs="Times New Roman"/>
                <w:b/>
                <w:sz w:val="21"/>
                <w:szCs w:val="21"/>
                <w:highlight w:val="yellow"/>
              </w:rPr>
              <w:t>合计</w:t>
            </w:r>
          </w:p>
        </w:tc>
        <w:tc>
          <w:tcPr>
            <w:tcW w:w="1712" w:type="dxa"/>
            <w:noWrap w:val="0"/>
            <w:vAlign w:val="center"/>
          </w:tcPr>
          <w:p w14:paraId="6A24477A">
            <w:pPr>
              <w:adjustRightInd w:val="0"/>
              <w:jc w:val="center"/>
              <w:rPr>
                <w:rFonts w:ascii="Times New Roman" w:hAnsi="Times New Roman" w:cs="Times New Roman"/>
                <w:b/>
                <w:sz w:val="21"/>
                <w:szCs w:val="21"/>
                <w:highlight w:val="yellow"/>
              </w:rPr>
            </w:pPr>
            <w:r>
              <w:rPr>
                <w:rFonts w:hint="eastAsia" w:ascii="Times New Roman" w:hAnsi="Times New Roman" w:cs="Times New Roman"/>
                <w:b/>
                <w:sz w:val="21"/>
                <w:szCs w:val="21"/>
                <w:highlight w:val="yellow"/>
              </w:rPr>
              <w:t>139.33</w:t>
            </w:r>
          </w:p>
        </w:tc>
      </w:tr>
    </w:tbl>
    <w:p w14:paraId="59BE0489">
      <w:pPr>
        <w:numPr>
          <w:ilvl w:val="0"/>
          <w:numId w:val="36"/>
        </w:numPr>
        <w:adjustRightInd w:val="0"/>
        <w:spacing w:line="500" w:lineRule="exact"/>
        <w:ind w:left="0" w:firstLine="482" w:firstLineChars="200"/>
        <w:rPr>
          <w:rFonts w:ascii="Times New Roman" w:hAnsi="Times New Roman" w:cs="Times New Roman"/>
          <w:b/>
        </w:rPr>
      </w:pPr>
      <w:r>
        <w:rPr>
          <w:rFonts w:ascii="Times New Roman" w:hAnsi="Times New Roman" w:cs="Times New Roman"/>
          <w:b/>
        </w:rPr>
        <w:t>节约环境保护效益</w:t>
      </w:r>
    </w:p>
    <w:p w14:paraId="14991236">
      <w:pPr>
        <w:spacing w:line="500" w:lineRule="exact"/>
        <w:ind w:firstLine="480" w:firstLineChars="200"/>
        <w:rPr>
          <w:rFonts w:hint="eastAsia" w:ascii="Times New Roman" w:hAnsi="Times New Roman" w:eastAsia="宋体" w:cs="Times New Roman"/>
        </w:rPr>
      </w:pPr>
      <w:bookmarkStart w:id="655" w:name="_Toc90026157"/>
      <w:r>
        <w:rPr>
          <w:rFonts w:hint="eastAsia" w:ascii="Times New Roman" w:hAnsi="Times New Roman" w:eastAsia="宋体" w:cs="Times New Roman"/>
        </w:rPr>
        <w:t>本项目生产过程产生的废水、废气、噪声、固废都严格按照环保要求进行达标处理，减少排入环境的污染物量，尽量降低对环境的不利影响程度，产生的正面环境效益主要体现在以下几个方面：</w:t>
      </w:r>
    </w:p>
    <w:p w14:paraId="21BA1142">
      <w:pPr>
        <w:spacing w:line="500" w:lineRule="exact"/>
        <w:ind w:firstLine="480" w:firstLineChars="200"/>
        <w:rPr>
          <w:rFonts w:hint="eastAsia" w:ascii="Times New Roman" w:hAnsi="Times New Roman" w:eastAsia="宋体" w:cs="Times New Roman"/>
        </w:rPr>
      </w:pPr>
      <w:r>
        <w:rPr>
          <w:rFonts w:hint="eastAsia" w:ascii="Times New Roman" w:hAnsi="Times New Roman" w:eastAsia="宋体" w:cs="Times New Roman"/>
        </w:rPr>
        <w:t>（1）本项目属于提升改造项目，它本身属于环保产业，项目的实施将提高企业清洁生产水平进一步，降低能耗物耗，吨产品污染物降低。</w:t>
      </w:r>
    </w:p>
    <w:p w14:paraId="774B6364">
      <w:pPr>
        <w:spacing w:line="500" w:lineRule="exact"/>
        <w:ind w:firstLine="480" w:firstLineChars="200"/>
        <w:rPr>
          <w:rFonts w:hint="eastAsia" w:ascii="Times New Roman" w:hAnsi="Times New Roman" w:eastAsia="宋体" w:cs="Times New Roman"/>
        </w:rPr>
      </w:pPr>
      <w:r>
        <w:rPr>
          <w:rFonts w:hint="eastAsia" w:ascii="Times New Roman" w:hAnsi="Times New Roman" w:eastAsia="宋体" w:cs="Times New Roman"/>
        </w:rPr>
        <w:t>（2）相对于本项目实施前，本项目提出了更全面和严格的污染防治措施，使得项目实施后排入环境的污染物减少，为灌南县的发展腾出环境容量做出积极的贡献。</w:t>
      </w:r>
    </w:p>
    <w:p w14:paraId="7D4B0135">
      <w:pPr>
        <w:pStyle w:val="6"/>
        <w:spacing w:before="239"/>
      </w:pPr>
      <w:bookmarkStart w:id="656" w:name="_Toc4493"/>
      <w:r>
        <w:rPr>
          <w:rFonts w:hint="eastAsia"/>
        </w:rPr>
        <w:t>8</w:t>
      </w:r>
      <w:r>
        <w:t>.3 环境影响经济损益分析结论</w:t>
      </w:r>
      <w:bookmarkEnd w:id="655"/>
      <w:bookmarkEnd w:id="656"/>
    </w:p>
    <w:p w14:paraId="757F4236">
      <w:pPr>
        <w:spacing w:line="500" w:lineRule="exact"/>
        <w:ind w:firstLine="480" w:firstLineChars="200"/>
        <w:jc w:val="both"/>
        <w:rPr>
          <w:rFonts w:ascii="Times New Roman" w:hAnsi="Times New Roman" w:cs="Times New Roman"/>
        </w:rPr>
      </w:pPr>
      <w:r>
        <w:rPr>
          <w:rFonts w:ascii="Times New Roman" w:hAnsi="Times New Roman" w:cs="Times New Roman"/>
        </w:rPr>
        <w:t>由环境影响经济损益分析表明，企业通过本项目实施，削减了污染物排放量，可减少上缴的环境保护税，可以获得较大经济效益，社会效益、环境效益也是良好的。</w:t>
      </w:r>
    </w:p>
    <w:p w14:paraId="6A7F8859">
      <w:pPr>
        <w:autoSpaceDE w:val="0"/>
        <w:autoSpaceDN w:val="0"/>
        <w:adjustRightInd w:val="0"/>
        <w:spacing w:line="500" w:lineRule="exact"/>
        <w:ind w:firstLine="480" w:firstLineChars="200"/>
        <w:rPr>
          <w:rFonts w:hint="eastAsia" w:ascii="Times New Roman" w:hAnsi="Times New Roman" w:cs="Times New Roman"/>
        </w:rPr>
      </w:pPr>
      <w:r>
        <w:rPr>
          <w:rFonts w:ascii="Times New Roman" w:hAnsi="Times New Roman" w:cs="Times New Roman"/>
        </w:rPr>
        <w:t>由此可见，本项目对社会、环境、企业都是有益的。</w:t>
      </w:r>
    </w:p>
    <w:p w14:paraId="7EF0E6DB">
      <w:pPr>
        <w:spacing w:line="500" w:lineRule="exact"/>
        <w:ind w:firstLine="480" w:firstLineChars="200"/>
        <w:rPr>
          <w:rFonts w:ascii="Times New Roman" w:hAnsi="Times New Roman" w:cs="Times New Roman"/>
        </w:rPr>
        <w:sectPr>
          <w:pgSz w:w="11907" w:h="16840"/>
          <w:pgMar w:top="1701" w:right="1701" w:bottom="1701" w:left="1701" w:header="851" w:footer="1077" w:gutter="0"/>
          <w:pgBorders w:offsetFrom="page">
            <w:top w:val="none" w:sz="0" w:space="0"/>
            <w:left w:val="none" w:sz="0" w:space="0"/>
            <w:bottom w:val="none" w:sz="0" w:space="0"/>
            <w:right w:val="none" w:sz="0" w:space="0"/>
          </w:pgBorders>
          <w:pgNumType w:fmt="decimal"/>
          <w:cols w:space="720" w:num="1"/>
          <w:docGrid w:type="lines" w:linePitch="479" w:charSpace="0"/>
        </w:sectPr>
      </w:pPr>
    </w:p>
    <w:p w14:paraId="58410F68">
      <w:pPr>
        <w:pStyle w:val="5"/>
      </w:pPr>
      <w:bookmarkStart w:id="657" w:name="_Toc3440"/>
      <w:bookmarkStart w:id="658" w:name="_Toc90026158"/>
      <w:r>
        <w:rPr>
          <w:rFonts w:hint="eastAsia"/>
          <w:lang w:eastAsia="zh-CN"/>
        </w:rPr>
        <w:t>9</w:t>
      </w:r>
      <w:r>
        <w:t>. 环境管理与监测计划</w:t>
      </w:r>
      <w:bookmarkEnd w:id="657"/>
      <w:bookmarkEnd w:id="658"/>
    </w:p>
    <w:p w14:paraId="7A0B4F41">
      <w:pPr>
        <w:pStyle w:val="6"/>
        <w:spacing w:before="239"/>
      </w:pPr>
      <w:bookmarkStart w:id="659" w:name="_Toc6743"/>
      <w:bookmarkStart w:id="660" w:name="_Toc90026159"/>
      <w:r>
        <w:rPr>
          <w:rFonts w:hint="eastAsia"/>
        </w:rPr>
        <w:t>9</w:t>
      </w:r>
      <w:r>
        <w:t>.1 环境管理</w:t>
      </w:r>
      <w:bookmarkEnd w:id="659"/>
      <w:bookmarkEnd w:id="660"/>
    </w:p>
    <w:p w14:paraId="2931F866">
      <w:pPr>
        <w:pStyle w:val="7"/>
      </w:pPr>
      <w:bookmarkStart w:id="661" w:name="_Toc13470"/>
      <w:bookmarkStart w:id="662" w:name="_Toc90026354"/>
      <w:r>
        <w:rPr>
          <w:rFonts w:hint="eastAsia"/>
          <w:lang w:eastAsia="zh-CN"/>
        </w:rPr>
        <w:t>9</w:t>
      </w:r>
      <w:r>
        <w:t>.1.1 环境管理体制</w:t>
      </w:r>
      <w:bookmarkEnd w:id="661"/>
      <w:bookmarkEnd w:id="662"/>
    </w:p>
    <w:p w14:paraId="0DCBB03D">
      <w:pPr>
        <w:spacing w:line="500" w:lineRule="exact"/>
        <w:ind w:firstLine="480" w:firstLineChars="200"/>
        <w:rPr>
          <w:rFonts w:ascii="Times New Roman" w:hAnsi="Times New Roman" w:cs="Times New Roman"/>
        </w:rPr>
      </w:pPr>
      <w:r>
        <w:rPr>
          <w:rFonts w:ascii="Times New Roman" w:hAnsi="Times New Roman" w:cs="Times New Roman"/>
        </w:rPr>
        <w:t>环境管理是环境保护工作的重要内容之一，也是企业管理的主要组成部分。环境管理的核心是把环境保护融于企业经营管理的过程之中，使环境保护成为工业企业的重要决策因素，重视研究本企业的环境对策，采用新技术、新工艺，减少有害废物的排放，对废旧产品进行回收处理及循环利用，变普通产品为“绿色”产品，努力通过环境认证，积极参与社会环境整治，推动员工和公众的环保宣传和引导，树立“绿色企业”的良好形象。</w:t>
      </w:r>
    </w:p>
    <w:p w14:paraId="3A22B8D8">
      <w:pPr>
        <w:spacing w:line="500" w:lineRule="exact"/>
        <w:ind w:firstLine="480" w:firstLineChars="200"/>
        <w:rPr>
          <w:rFonts w:ascii="Times New Roman" w:hAnsi="Times New Roman" w:cs="Times New Roman"/>
        </w:rPr>
      </w:pPr>
      <w:r>
        <w:rPr>
          <w:rFonts w:ascii="Times New Roman" w:hAnsi="Times New Roman" w:cs="Times New Roman"/>
        </w:rPr>
        <w:t>为了贯彻和执行国家和地方环境保护法律、法规、政策与标准，及时掌握和了解污染控制措施的效果，以及项目所在区域环境质量的变化情况，更好地监控环保设施的运行情况，协调与地方环保职能部门和其它有关部门的工作，同时保证企业生产管理和环境管理的正常运作，建立环境管理体系与监测制度是非常必要和重要的。</w:t>
      </w:r>
    </w:p>
    <w:p w14:paraId="781935E2">
      <w:pPr>
        <w:spacing w:line="500" w:lineRule="exact"/>
        <w:ind w:firstLine="480" w:firstLineChars="200"/>
        <w:rPr>
          <w:rFonts w:ascii="Times New Roman" w:hAnsi="Times New Roman" w:cs="Times New Roman"/>
        </w:rPr>
      </w:pPr>
      <w:r>
        <w:rPr>
          <w:rFonts w:ascii="Times New Roman" w:hAnsi="Times New Roman" w:cs="Times New Roman"/>
        </w:rPr>
        <w:t>环境管理体系与监测机构的建立能够帮助企业及早发现问题，使企业在发展生产的同时节约能源、降低原材料的消耗，控制污染物排放量，减轻污染物排放对环境产生的影响，为企业创造更好的经济效益和环境效益，树立良好的社会形象。</w:t>
      </w:r>
    </w:p>
    <w:p w14:paraId="53AD98FD">
      <w:pPr>
        <w:pStyle w:val="7"/>
        <w:rPr>
          <w:lang w:eastAsia="zh-CN"/>
        </w:rPr>
      </w:pPr>
      <w:bookmarkStart w:id="663" w:name="_Toc6849"/>
      <w:bookmarkStart w:id="664" w:name="_Toc90026355"/>
      <w:r>
        <w:rPr>
          <w:rFonts w:hint="eastAsia"/>
          <w:lang w:eastAsia="zh-CN"/>
        </w:rPr>
        <w:t>9</w:t>
      </w:r>
      <w:r>
        <w:t>.1.2 环境管理机构</w:t>
      </w:r>
      <w:bookmarkEnd w:id="663"/>
      <w:bookmarkEnd w:id="664"/>
    </w:p>
    <w:p w14:paraId="378EBD6D">
      <w:pPr>
        <w:spacing w:line="500" w:lineRule="exact"/>
        <w:ind w:firstLine="480" w:firstLineChars="200"/>
        <w:jc w:val="both"/>
        <w:rPr>
          <w:rFonts w:ascii="Times New Roman" w:hAnsi="Times New Roman" w:cs="Times New Roman"/>
        </w:rPr>
      </w:pPr>
      <w:r>
        <w:rPr>
          <w:rFonts w:ascii="Times New Roman" w:hAnsi="Times New Roman" w:cs="Times New Roman"/>
        </w:rPr>
        <w:t>根据</w:t>
      </w:r>
      <w:r>
        <w:rPr>
          <w:rFonts w:hint="eastAsia" w:ascii="Times New Roman" w:hAnsi="Times New Roman" w:cs="Times New Roman"/>
          <w:lang w:eastAsia="zh-CN"/>
        </w:rPr>
        <w:t>本溪玉麒麟新材料有限公司</w:t>
      </w:r>
      <w:r>
        <w:rPr>
          <w:rFonts w:ascii="Times New Roman" w:hAnsi="Times New Roman" w:cs="Times New Roman"/>
        </w:rPr>
        <w:t>的实际情况设置4名专职人员负责环境管理工作，其任务是组织、落实和监督公司的环境保护工作，以满足《建设项目环境保护设计规定》及工程的环境管理要求。具体工作如下：</w:t>
      </w:r>
    </w:p>
    <w:p w14:paraId="38B17957">
      <w:pPr>
        <w:spacing w:line="500" w:lineRule="exact"/>
        <w:ind w:firstLine="480" w:firstLineChars="200"/>
        <w:rPr>
          <w:rFonts w:ascii="Times New Roman" w:hAnsi="Times New Roman" w:cs="Times New Roman"/>
        </w:rPr>
      </w:pPr>
      <w:r>
        <w:rPr>
          <w:rFonts w:ascii="Times New Roman" w:hAnsi="Times New Roman" w:cs="Times New Roman"/>
        </w:rPr>
        <w:t>（1）贯彻执行环境保护法规和标准。</w:t>
      </w:r>
    </w:p>
    <w:p w14:paraId="4F6138B2">
      <w:pPr>
        <w:spacing w:line="500" w:lineRule="exact"/>
        <w:ind w:firstLine="480" w:firstLineChars="200"/>
        <w:rPr>
          <w:rFonts w:ascii="Times New Roman" w:hAnsi="Times New Roman" w:cs="Times New Roman"/>
        </w:rPr>
      </w:pPr>
      <w:r>
        <w:rPr>
          <w:rFonts w:ascii="Times New Roman" w:hAnsi="Times New Roman" w:cs="Times New Roman"/>
        </w:rPr>
        <w:t>（2）组织制定和修改本单位的环境管理规章制度并监督执行。</w:t>
      </w:r>
    </w:p>
    <w:p w14:paraId="0D93D73B">
      <w:pPr>
        <w:spacing w:line="500" w:lineRule="exact"/>
        <w:ind w:firstLine="480" w:firstLineChars="200"/>
        <w:rPr>
          <w:rFonts w:ascii="Times New Roman" w:hAnsi="Times New Roman" w:cs="Times New Roman"/>
        </w:rPr>
      </w:pPr>
      <w:r>
        <w:rPr>
          <w:rFonts w:ascii="Times New Roman" w:hAnsi="Times New Roman" w:cs="Times New Roman"/>
        </w:rPr>
        <w:t>（3）定期组织开展环境监测工作。</w:t>
      </w:r>
    </w:p>
    <w:p w14:paraId="21C4DC1B">
      <w:pPr>
        <w:spacing w:line="500" w:lineRule="exact"/>
        <w:ind w:firstLine="480" w:firstLineChars="200"/>
        <w:rPr>
          <w:rFonts w:ascii="Times New Roman" w:hAnsi="Times New Roman" w:cs="Times New Roman"/>
        </w:rPr>
      </w:pPr>
      <w:r>
        <w:rPr>
          <w:rFonts w:ascii="Times New Roman" w:hAnsi="Times New Roman" w:cs="Times New Roman"/>
        </w:rPr>
        <w:t>（4）搞好环境教育和技术培训，提高干部和职工的环境意识与技术水平。</w:t>
      </w:r>
    </w:p>
    <w:p w14:paraId="125C6D09">
      <w:pPr>
        <w:pStyle w:val="7"/>
      </w:pPr>
      <w:bookmarkStart w:id="665" w:name="_Toc8609"/>
      <w:bookmarkStart w:id="666" w:name="_Toc90026356"/>
      <w:r>
        <w:rPr>
          <w:rFonts w:hint="eastAsia"/>
          <w:lang w:eastAsia="zh-CN"/>
        </w:rPr>
        <w:t>9</w:t>
      </w:r>
      <w:r>
        <w:t>.1.3 环境管理手段和措施</w:t>
      </w:r>
      <w:bookmarkEnd w:id="665"/>
      <w:bookmarkEnd w:id="666"/>
    </w:p>
    <w:p w14:paraId="5629A4B8">
      <w:pPr>
        <w:spacing w:line="500" w:lineRule="exact"/>
        <w:ind w:right="17" w:rightChars="7" w:firstLine="480" w:firstLineChars="200"/>
        <w:rPr>
          <w:rFonts w:ascii="Times New Roman" w:hAnsi="Times New Roman" w:cs="Times New Roman"/>
        </w:rPr>
      </w:pPr>
      <w:r>
        <w:rPr>
          <w:rFonts w:ascii="Times New Roman" w:hAnsi="Times New Roman" w:cs="Times New Roman"/>
        </w:rPr>
        <w:t>为了使环境管理工作科学化、规范化、合理化，确保各项环保措施落实到位，本次评价建议企业在管理方面采取以下措施：</w:t>
      </w:r>
    </w:p>
    <w:p w14:paraId="55FEFBFC">
      <w:pPr>
        <w:spacing w:line="500" w:lineRule="exact"/>
        <w:ind w:right="17" w:rightChars="7" w:firstLine="480" w:firstLineChars="200"/>
        <w:rPr>
          <w:rFonts w:ascii="Times New Roman" w:hAnsi="Times New Roman" w:cs="Times New Roman"/>
        </w:rPr>
      </w:pPr>
      <w:r>
        <w:rPr>
          <w:rFonts w:ascii="Times New Roman" w:hAnsi="Times New Roman" w:cs="Times New Roman"/>
        </w:rPr>
        <w:t>（1）建立ISO14000环境管理体系，建议同时进行QHSE（质量、健康、安全、环保）审核；</w:t>
      </w:r>
    </w:p>
    <w:p w14:paraId="2ADF086F">
      <w:pPr>
        <w:spacing w:line="500" w:lineRule="exact"/>
        <w:ind w:right="17" w:rightChars="7" w:firstLine="480" w:firstLineChars="200"/>
        <w:rPr>
          <w:rFonts w:ascii="Times New Roman" w:hAnsi="Times New Roman" w:cs="Times New Roman"/>
        </w:rPr>
      </w:pPr>
      <w:r>
        <w:rPr>
          <w:rFonts w:ascii="Times New Roman" w:hAnsi="Times New Roman" w:cs="Times New Roman"/>
        </w:rPr>
        <w:t>（2）制订环境保护岗位目标责任制，将环境管理纳入生产管理体系，环保评价与经济效益评价相结合，建立严格的奖惩机制；</w:t>
      </w:r>
    </w:p>
    <w:p w14:paraId="307CEF05">
      <w:pPr>
        <w:spacing w:line="500" w:lineRule="exact"/>
        <w:ind w:right="17" w:rightChars="7" w:firstLine="480" w:firstLineChars="200"/>
        <w:rPr>
          <w:rFonts w:ascii="Times New Roman" w:hAnsi="Times New Roman" w:cs="Times New Roman"/>
        </w:rPr>
      </w:pPr>
      <w:r>
        <w:rPr>
          <w:rFonts w:ascii="Times New Roman" w:hAnsi="Times New Roman" w:cs="Times New Roman"/>
        </w:rPr>
        <w:t>（3）加强环境保护宣传教育工作，进行岗位培训，使全体职工能够意识到环境保护的重要意义，包括与企业生产、生存和发展的关系，全公司应有危机感和责任感，把环保工作落实到实处，落实到每一位员工；</w:t>
      </w:r>
    </w:p>
    <w:p w14:paraId="1C9EBB9E">
      <w:pPr>
        <w:spacing w:line="500" w:lineRule="exact"/>
        <w:ind w:right="17" w:rightChars="7" w:firstLine="480" w:firstLineChars="200"/>
        <w:rPr>
          <w:rFonts w:ascii="Times New Roman" w:hAnsi="Times New Roman" w:cs="Times New Roman"/>
        </w:rPr>
      </w:pPr>
      <w:r>
        <w:rPr>
          <w:rFonts w:ascii="Times New Roman" w:hAnsi="Times New Roman" w:cs="Times New Roman"/>
        </w:rPr>
        <w:t>（4）加强环境监测数据的统计工作，建立全厂完善的污染源及物料流失档案，严格控制污染物排放总量，确保污染物排放指标达到设计要求；</w:t>
      </w:r>
    </w:p>
    <w:p w14:paraId="1C233326">
      <w:pPr>
        <w:spacing w:line="500" w:lineRule="exact"/>
        <w:ind w:right="17" w:rightChars="7" w:firstLine="480" w:firstLineChars="200"/>
        <w:rPr>
          <w:rFonts w:ascii="Times New Roman" w:hAnsi="Times New Roman" w:cs="Times New Roman"/>
        </w:rPr>
      </w:pPr>
      <w:r>
        <w:rPr>
          <w:rFonts w:ascii="Times New Roman" w:hAnsi="Times New Roman" w:cs="Times New Roman"/>
        </w:rPr>
        <w:t>（5）强化对环保设施运行监督、管理的职能，建立全厂完善的环保设施运行、维护、维修等技术档案，以及加强对环保设施操作人员的技术培训，确保环境设施处于正常运行情况，污染物排放连续达标；</w:t>
      </w:r>
    </w:p>
    <w:p w14:paraId="274003C5">
      <w:pPr>
        <w:spacing w:line="500" w:lineRule="exact"/>
        <w:ind w:right="17" w:rightChars="7" w:firstLine="480" w:firstLineChars="200"/>
        <w:rPr>
          <w:rFonts w:ascii="Times New Roman" w:hAnsi="Times New Roman" w:cs="Times New Roman"/>
        </w:rPr>
      </w:pPr>
      <w:r>
        <w:rPr>
          <w:rFonts w:ascii="Times New Roman" w:hAnsi="Times New Roman" w:cs="Times New Roman"/>
        </w:rPr>
        <w:t>（6）制订应急预案。</w:t>
      </w:r>
    </w:p>
    <w:p w14:paraId="4BEC40D7">
      <w:pPr>
        <w:pStyle w:val="7"/>
      </w:pPr>
      <w:bookmarkStart w:id="667" w:name="_Toc6297"/>
      <w:bookmarkStart w:id="668" w:name="_Toc90026357"/>
      <w:r>
        <w:rPr>
          <w:rFonts w:hint="eastAsia"/>
          <w:lang w:eastAsia="zh-CN"/>
        </w:rPr>
        <w:t>9</w:t>
      </w:r>
      <w:r>
        <w:t>.1.4 建设阶段环境管理要求</w:t>
      </w:r>
      <w:bookmarkEnd w:id="667"/>
      <w:bookmarkEnd w:id="668"/>
    </w:p>
    <w:p w14:paraId="34B5EC6A">
      <w:pPr>
        <w:spacing w:line="500" w:lineRule="exact"/>
        <w:ind w:right="17" w:rightChars="7" w:firstLine="480" w:firstLineChars="200"/>
        <w:rPr>
          <w:rFonts w:ascii="Times New Roman" w:hAnsi="Times New Roman" w:cs="Times New Roman"/>
        </w:rPr>
      </w:pPr>
      <w:r>
        <w:rPr>
          <w:rFonts w:ascii="Times New Roman" w:hAnsi="Times New Roman" w:cs="Times New Roman"/>
        </w:rPr>
        <w:t>（1）确保污染治理措施执行“三同时”制度；</w:t>
      </w:r>
    </w:p>
    <w:p w14:paraId="37732295">
      <w:pPr>
        <w:spacing w:line="500" w:lineRule="exact"/>
        <w:ind w:right="17" w:rightChars="7" w:firstLine="480" w:firstLineChars="200"/>
        <w:rPr>
          <w:rFonts w:ascii="Times New Roman" w:hAnsi="Times New Roman" w:cs="Times New Roman"/>
        </w:rPr>
      </w:pPr>
      <w:r>
        <w:rPr>
          <w:rFonts w:ascii="Times New Roman" w:hAnsi="Times New Roman" w:cs="Times New Roman"/>
        </w:rPr>
        <w:t>（2）建设过程应有防治扬尘、噪声、固体废物和废水等污染环境的有效措施，并在施工过程中认真组织实施；</w:t>
      </w:r>
    </w:p>
    <w:p w14:paraId="475362C3">
      <w:pPr>
        <w:spacing w:line="500" w:lineRule="exact"/>
        <w:ind w:right="17" w:rightChars="7" w:firstLine="480" w:firstLineChars="200"/>
        <w:rPr>
          <w:rFonts w:ascii="Times New Roman" w:hAnsi="Times New Roman" w:cs="Times New Roman"/>
        </w:rPr>
      </w:pPr>
      <w:r>
        <w:rPr>
          <w:rFonts w:ascii="Times New Roman" w:hAnsi="Times New Roman" w:cs="Times New Roman"/>
        </w:rPr>
        <w:t>（3）施工现场应建立环境保护管理体系，层层落实，责任到人，并保证有效运行；</w:t>
      </w:r>
    </w:p>
    <w:p w14:paraId="3DB32BE9">
      <w:pPr>
        <w:spacing w:line="500" w:lineRule="exact"/>
        <w:ind w:right="17" w:rightChars="7" w:firstLine="480" w:firstLineChars="200"/>
        <w:rPr>
          <w:rFonts w:ascii="Times New Roman" w:hAnsi="Times New Roman" w:cs="Times New Roman"/>
        </w:rPr>
      </w:pPr>
      <w:r>
        <w:rPr>
          <w:rFonts w:ascii="Times New Roman" w:hAnsi="Times New Roman" w:cs="Times New Roman"/>
        </w:rPr>
        <w:t>（4）对施工现场防治扬尘、噪声、水污染及环境保护管理工作进行检查；</w:t>
      </w:r>
    </w:p>
    <w:p w14:paraId="2A6A6002">
      <w:pPr>
        <w:spacing w:line="500" w:lineRule="exact"/>
        <w:ind w:right="17" w:rightChars="7" w:firstLine="480" w:firstLineChars="200"/>
        <w:rPr>
          <w:rFonts w:ascii="Times New Roman" w:hAnsi="Times New Roman" w:cs="Times New Roman"/>
        </w:rPr>
      </w:pPr>
      <w:r>
        <w:rPr>
          <w:rFonts w:ascii="Times New Roman" w:hAnsi="Times New Roman" w:cs="Times New Roman"/>
        </w:rPr>
        <w:t>（5）定期对职工进行环保法规知识培训考核。</w:t>
      </w:r>
    </w:p>
    <w:p w14:paraId="66241226">
      <w:pPr>
        <w:pStyle w:val="7"/>
      </w:pPr>
      <w:bookmarkStart w:id="669" w:name="_Toc90026358"/>
      <w:bookmarkStart w:id="670" w:name="_Toc10898"/>
      <w:r>
        <w:rPr>
          <w:rFonts w:hint="eastAsia"/>
          <w:lang w:eastAsia="zh-CN"/>
        </w:rPr>
        <w:t>9</w:t>
      </w:r>
      <w:r>
        <w:t>.1.5 运行阶段环境管理要求</w:t>
      </w:r>
      <w:bookmarkEnd w:id="669"/>
      <w:bookmarkEnd w:id="670"/>
    </w:p>
    <w:p w14:paraId="1E26722C">
      <w:pPr>
        <w:spacing w:line="500" w:lineRule="exact"/>
        <w:ind w:right="17" w:rightChars="7" w:firstLine="480" w:firstLineChars="200"/>
        <w:rPr>
          <w:rFonts w:ascii="Times New Roman" w:hAnsi="Times New Roman" w:cs="Times New Roman"/>
        </w:rPr>
      </w:pPr>
      <w:r>
        <w:rPr>
          <w:rFonts w:ascii="Times New Roman" w:hAnsi="Times New Roman" w:cs="Times New Roman"/>
        </w:rPr>
        <w:t>（1）根据国家环保政策、标准及环境监测要求，制定该项目运行期环保管理规章制度、各种污染物排放控制指标；</w:t>
      </w:r>
    </w:p>
    <w:p w14:paraId="4357388E">
      <w:pPr>
        <w:spacing w:line="500" w:lineRule="exact"/>
        <w:ind w:right="17" w:rightChars="7" w:firstLine="480" w:firstLineChars="200"/>
        <w:rPr>
          <w:rFonts w:ascii="Times New Roman" w:hAnsi="Times New Roman" w:cs="Times New Roman"/>
        </w:rPr>
      </w:pPr>
      <w:r>
        <w:rPr>
          <w:rFonts w:ascii="Times New Roman" w:hAnsi="Times New Roman" w:cs="Times New Roman"/>
        </w:rPr>
        <w:t>（2）负责该项目内所有环保设施的日常运行管理，保障各环保设施的正常运行，并对环保设施的改进提出积极的建议；</w:t>
      </w:r>
    </w:p>
    <w:p w14:paraId="36940371">
      <w:pPr>
        <w:spacing w:line="500" w:lineRule="exact"/>
        <w:ind w:right="17" w:rightChars="7" w:firstLine="480" w:firstLineChars="200"/>
        <w:rPr>
          <w:rFonts w:ascii="Times New Roman" w:hAnsi="Times New Roman" w:cs="Times New Roman"/>
        </w:rPr>
      </w:pPr>
      <w:r>
        <w:rPr>
          <w:rFonts w:ascii="Times New Roman" w:hAnsi="Times New Roman" w:cs="Times New Roman"/>
        </w:rPr>
        <w:t>（3）负责该项目运行期环境监测工作，及时掌握该项目污染状况，整理监测数据，建立污染源档案；</w:t>
      </w:r>
    </w:p>
    <w:p w14:paraId="293E723F">
      <w:pPr>
        <w:spacing w:line="500" w:lineRule="exact"/>
        <w:ind w:right="17" w:rightChars="7" w:firstLine="480" w:firstLineChars="200"/>
        <w:rPr>
          <w:rFonts w:ascii="Times New Roman" w:hAnsi="Times New Roman" w:cs="Times New Roman"/>
        </w:rPr>
      </w:pPr>
      <w:r>
        <w:rPr>
          <w:rFonts w:ascii="Times New Roman" w:hAnsi="Times New Roman" w:cs="Times New Roman"/>
        </w:rPr>
        <w:t>（4）负责该项目内所有环保设施的日常运行管理，保障各环保设施的正常运行，并对环保设施的改进提出积极的建议；</w:t>
      </w:r>
    </w:p>
    <w:p w14:paraId="1FC9266F">
      <w:pPr>
        <w:spacing w:line="500" w:lineRule="exact"/>
        <w:ind w:right="17" w:rightChars="7" w:firstLine="480" w:firstLineChars="200"/>
        <w:rPr>
          <w:rFonts w:ascii="Times New Roman" w:hAnsi="Times New Roman" w:cs="Times New Roman"/>
        </w:rPr>
      </w:pPr>
      <w:r>
        <w:rPr>
          <w:rFonts w:ascii="Times New Roman" w:hAnsi="Times New Roman" w:cs="Times New Roman"/>
        </w:rPr>
        <w:t>（5）负责对职工进行环保宣传教育工作，以及检查、监督各单位环保制度的执行情况；</w:t>
      </w:r>
    </w:p>
    <w:p w14:paraId="62C2242C">
      <w:pPr>
        <w:spacing w:line="500" w:lineRule="exact"/>
        <w:ind w:right="17" w:rightChars="7" w:firstLine="480" w:firstLineChars="200"/>
        <w:rPr>
          <w:rFonts w:ascii="Times New Roman" w:hAnsi="Times New Roman" w:cs="Times New Roman"/>
        </w:rPr>
      </w:pPr>
      <w:r>
        <w:rPr>
          <w:rFonts w:ascii="Times New Roman" w:hAnsi="Times New Roman" w:cs="Times New Roman"/>
        </w:rPr>
        <w:t>（6）建立健全环境档案管理与保密制度、污染防治设施设计技术改进及运行资料、污染源调查技术档案、环境监测及评价资料等。</w:t>
      </w:r>
    </w:p>
    <w:p w14:paraId="78D0FD0C">
      <w:pPr>
        <w:pStyle w:val="7"/>
      </w:pPr>
      <w:bookmarkStart w:id="671" w:name="_Toc90026359"/>
      <w:bookmarkStart w:id="672" w:name="_Toc761"/>
      <w:r>
        <w:rPr>
          <w:rFonts w:hint="eastAsia"/>
          <w:lang w:eastAsia="zh-CN"/>
        </w:rPr>
        <w:t>9</w:t>
      </w:r>
      <w:r>
        <w:t>.1.6 运行阶段污染物排放管理要求</w:t>
      </w:r>
      <w:bookmarkEnd w:id="671"/>
      <w:bookmarkEnd w:id="672"/>
    </w:p>
    <w:p w14:paraId="542BEC9B">
      <w:pPr>
        <w:spacing w:line="500" w:lineRule="exact"/>
        <w:ind w:right="17" w:rightChars="7" w:firstLine="480" w:firstLineChars="200"/>
        <w:rPr>
          <w:rFonts w:hint="eastAsia" w:ascii="Times New Roman" w:hAnsi="Times New Roman" w:cs="Times New Roman"/>
        </w:rPr>
      </w:pPr>
      <w:r>
        <w:rPr>
          <w:rFonts w:ascii="Times New Roman" w:hAnsi="Times New Roman" w:cs="Times New Roman"/>
        </w:rPr>
        <w:t>本项目运营期污染物排放清单见表</w:t>
      </w:r>
      <w:r>
        <w:rPr>
          <w:rFonts w:hint="eastAsia" w:ascii="Times New Roman" w:hAnsi="Times New Roman" w:cs="Times New Roman"/>
        </w:rPr>
        <w:t>9</w:t>
      </w:r>
      <w:r>
        <w:rPr>
          <w:rFonts w:ascii="Times New Roman" w:hAnsi="Times New Roman" w:cs="Times New Roman"/>
        </w:rPr>
        <w:t>.1-1，企业污染源排放信息每年向公众公示。</w:t>
      </w:r>
    </w:p>
    <w:p w14:paraId="34F50C8A">
      <w:pPr>
        <w:spacing w:line="500" w:lineRule="exact"/>
        <w:ind w:right="17" w:rightChars="7" w:firstLine="480" w:firstLineChars="200"/>
        <w:rPr>
          <w:rFonts w:ascii="Times New Roman" w:hAnsi="Times New Roman" w:cs="Times New Roman"/>
        </w:rPr>
        <w:sectPr>
          <w:pgSz w:w="11907" w:h="16840"/>
          <w:pgMar w:top="1701" w:right="1701" w:bottom="1701" w:left="1701" w:header="851" w:footer="1077" w:gutter="0"/>
          <w:pgBorders w:offsetFrom="page">
            <w:top w:val="none" w:sz="0" w:space="0"/>
            <w:left w:val="none" w:sz="0" w:space="0"/>
            <w:bottom w:val="none" w:sz="0" w:space="0"/>
            <w:right w:val="none" w:sz="0" w:space="0"/>
          </w:pgBorders>
          <w:pgNumType w:fmt="decimal"/>
          <w:cols w:space="720" w:num="1"/>
          <w:docGrid w:type="lines" w:linePitch="479" w:charSpace="0"/>
        </w:sectPr>
      </w:pPr>
    </w:p>
    <w:p w14:paraId="26240EC7">
      <w:pPr>
        <w:tabs>
          <w:tab w:val="left" w:pos="851"/>
          <w:tab w:val="left" w:pos="1141"/>
          <w:tab w:val="left" w:pos="4335"/>
        </w:tabs>
        <w:adjustRightInd w:val="0"/>
        <w:jc w:val="center"/>
        <w:rPr>
          <w:rFonts w:ascii="Times New Roman" w:hAnsi="Times New Roman" w:eastAsia="黑体" w:cs="Times New Roman"/>
          <w:highlight w:val="yellow"/>
        </w:rPr>
      </w:pPr>
      <w:r>
        <w:rPr>
          <w:rFonts w:ascii="Times New Roman" w:hAnsi="Times New Roman" w:eastAsia="黑体" w:cs="Times New Roman"/>
          <w:highlight w:val="yellow"/>
        </w:rPr>
        <w:t>表</w:t>
      </w:r>
      <w:r>
        <w:rPr>
          <w:rFonts w:hint="eastAsia" w:ascii="Times New Roman" w:hAnsi="Times New Roman" w:eastAsia="黑体" w:cs="Times New Roman"/>
          <w:highlight w:val="yellow"/>
        </w:rPr>
        <w:t>9</w:t>
      </w:r>
      <w:r>
        <w:rPr>
          <w:rFonts w:ascii="Times New Roman" w:hAnsi="Times New Roman" w:eastAsia="黑体" w:cs="Times New Roman"/>
          <w:highlight w:val="yellow"/>
        </w:rPr>
        <w:t>.1-1  污染物排放清单一览表</w:t>
      </w:r>
    </w:p>
    <w:tbl>
      <w:tblPr>
        <w:tblStyle w:val="56"/>
        <w:tblW w:w="5060" w:type="pct"/>
        <w:jc w:val="center"/>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748"/>
        <w:gridCol w:w="9"/>
        <w:gridCol w:w="1465"/>
        <w:gridCol w:w="1311"/>
        <w:gridCol w:w="2397"/>
        <w:gridCol w:w="1252"/>
        <w:gridCol w:w="1436"/>
        <w:gridCol w:w="1438"/>
        <w:gridCol w:w="1638"/>
        <w:gridCol w:w="2106"/>
        <w:gridCol w:w="18"/>
      </w:tblGrid>
      <w:tr w14:paraId="2278C730">
        <w:tblPrEx>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397" w:hRule="atLeast"/>
          <w:tblHeader/>
          <w:jc w:val="center"/>
        </w:trPr>
        <w:tc>
          <w:tcPr>
            <w:tcW w:w="757" w:type="dxa"/>
            <w:gridSpan w:val="2"/>
            <w:shd w:val="clear" w:color="auto" w:fill="E0E0E0"/>
            <w:noWrap w:val="0"/>
            <w:vAlign w:val="center"/>
          </w:tcPr>
          <w:p w14:paraId="074F00AD">
            <w:pPr>
              <w:adjustRightInd w:val="0"/>
              <w:snapToGrid w:val="0"/>
              <w:spacing w:line="240" w:lineRule="exact"/>
              <w:jc w:val="center"/>
              <w:rPr>
                <w:rFonts w:ascii="Times New Roman" w:hAnsi="Times New Roman" w:cs="Times New Roman"/>
                <w:sz w:val="21"/>
                <w:szCs w:val="21"/>
              </w:rPr>
            </w:pPr>
            <w:r>
              <w:rPr>
                <w:rFonts w:ascii="Times New Roman" w:hAnsi="Times New Roman" w:cs="Times New Roman"/>
                <w:sz w:val="21"/>
                <w:szCs w:val="21"/>
              </w:rPr>
              <w:t>项目</w:t>
            </w:r>
          </w:p>
        </w:tc>
        <w:tc>
          <w:tcPr>
            <w:tcW w:w="1465" w:type="dxa"/>
            <w:shd w:val="clear" w:color="auto" w:fill="E0E0E0"/>
            <w:noWrap w:val="0"/>
            <w:vAlign w:val="center"/>
          </w:tcPr>
          <w:p w14:paraId="0377B3D5">
            <w:pPr>
              <w:adjustRightInd w:val="0"/>
              <w:snapToGrid w:val="0"/>
              <w:spacing w:line="240" w:lineRule="exact"/>
              <w:jc w:val="center"/>
              <w:rPr>
                <w:rFonts w:ascii="Times New Roman" w:hAnsi="Times New Roman" w:cs="Times New Roman"/>
                <w:sz w:val="21"/>
                <w:szCs w:val="21"/>
              </w:rPr>
            </w:pPr>
            <w:r>
              <w:rPr>
                <w:rFonts w:ascii="Times New Roman" w:hAnsi="Times New Roman" w:cs="Times New Roman"/>
                <w:sz w:val="21"/>
                <w:szCs w:val="21"/>
              </w:rPr>
              <w:t>污染源</w:t>
            </w:r>
          </w:p>
        </w:tc>
        <w:tc>
          <w:tcPr>
            <w:tcW w:w="1311" w:type="dxa"/>
            <w:shd w:val="clear" w:color="auto" w:fill="E0E0E0"/>
            <w:noWrap w:val="0"/>
            <w:vAlign w:val="center"/>
          </w:tcPr>
          <w:p w14:paraId="55DBF760">
            <w:pPr>
              <w:adjustRightInd w:val="0"/>
              <w:snapToGrid w:val="0"/>
              <w:spacing w:line="240" w:lineRule="exact"/>
              <w:jc w:val="center"/>
              <w:rPr>
                <w:rFonts w:ascii="Times New Roman" w:hAnsi="Times New Roman" w:cs="Times New Roman"/>
                <w:sz w:val="21"/>
                <w:szCs w:val="21"/>
              </w:rPr>
            </w:pPr>
            <w:r>
              <w:rPr>
                <w:rFonts w:ascii="Times New Roman" w:hAnsi="Times New Roman" w:cs="Times New Roman"/>
                <w:sz w:val="21"/>
                <w:szCs w:val="21"/>
              </w:rPr>
              <w:t>污染物名称</w:t>
            </w:r>
          </w:p>
        </w:tc>
        <w:tc>
          <w:tcPr>
            <w:tcW w:w="2397" w:type="dxa"/>
            <w:shd w:val="clear" w:color="auto" w:fill="E0E0E0"/>
            <w:noWrap w:val="0"/>
            <w:vAlign w:val="center"/>
          </w:tcPr>
          <w:p w14:paraId="6DDB8E31">
            <w:pPr>
              <w:adjustRightInd w:val="0"/>
              <w:snapToGrid w:val="0"/>
              <w:spacing w:line="240" w:lineRule="exact"/>
              <w:jc w:val="center"/>
              <w:rPr>
                <w:rFonts w:ascii="Times New Roman" w:hAnsi="Times New Roman" w:cs="Times New Roman"/>
                <w:sz w:val="21"/>
                <w:szCs w:val="21"/>
              </w:rPr>
            </w:pPr>
            <w:r>
              <w:rPr>
                <w:rFonts w:ascii="Times New Roman" w:hAnsi="Times New Roman" w:cs="Times New Roman"/>
                <w:sz w:val="21"/>
                <w:szCs w:val="21"/>
              </w:rPr>
              <w:t>环保措施</w:t>
            </w:r>
          </w:p>
        </w:tc>
        <w:tc>
          <w:tcPr>
            <w:tcW w:w="1252" w:type="dxa"/>
            <w:shd w:val="clear" w:color="auto" w:fill="E0E0E0"/>
            <w:noWrap w:val="0"/>
            <w:vAlign w:val="center"/>
          </w:tcPr>
          <w:p w14:paraId="47F1E84E">
            <w:pPr>
              <w:adjustRightInd w:val="0"/>
              <w:snapToGrid w:val="0"/>
              <w:spacing w:line="240" w:lineRule="exact"/>
              <w:jc w:val="center"/>
              <w:rPr>
                <w:rFonts w:ascii="Times New Roman" w:hAnsi="Times New Roman" w:cs="Times New Roman"/>
                <w:sz w:val="21"/>
                <w:szCs w:val="21"/>
              </w:rPr>
            </w:pPr>
            <w:r>
              <w:rPr>
                <w:rFonts w:ascii="Times New Roman" w:hAnsi="Times New Roman" w:cs="Times New Roman"/>
                <w:sz w:val="21"/>
                <w:szCs w:val="21"/>
              </w:rPr>
              <w:t>治理效率（%）</w:t>
            </w:r>
          </w:p>
        </w:tc>
        <w:tc>
          <w:tcPr>
            <w:tcW w:w="1436" w:type="dxa"/>
            <w:shd w:val="clear" w:color="auto" w:fill="E0E0E0"/>
            <w:noWrap w:val="0"/>
            <w:vAlign w:val="center"/>
          </w:tcPr>
          <w:p w14:paraId="2DCBDC21">
            <w:pPr>
              <w:adjustRightInd w:val="0"/>
              <w:snapToGrid w:val="0"/>
              <w:spacing w:line="240" w:lineRule="exact"/>
              <w:jc w:val="center"/>
              <w:rPr>
                <w:rFonts w:ascii="Times New Roman" w:hAnsi="Times New Roman" w:cs="Times New Roman"/>
                <w:sz w:val="21"/>
                <w:szCs w:val="21"/>
              </w:rPr>
            </w:pPr>
            <w:r>
              <w:rPr>
                <w:rFonts w:ascii="Times New Roman" w:hAnsi="Times New Roman" w:cs="Times New Roman"/>
                <w:sz w:val="21"/>
                <w:szCs w:val="21"/>
              </w:rPr>
              <w:t>排放浓度（mg/m</w:t>
            </w:r>
            <w:r>
              <w:rPr>
                <w:rFonts w:ascii="Times New Roman" w:hAnsi="Times New Roman" w:cs="Times New Roman"/>
                <w:sz w:val="21"/>
                <w:szCs w:val="21"/>
                <w:vertAlign w:val="superscript"/>
              </w:rPr>
              <w:t>3</w:t>
            </w:r>
            <w:r>
              <w:rPr>
                <w:rFonts w:ascii="Times New Roman" w:hAnsi="Times New Roman" w:cs="Times New Roman"/>
                <w:sz w:val="21"/>
                <w:szCs w:val="21"/>
              </w:rPr>
              <w:t>）</w:t>
            </w:r>
          </w:p>
        </w:tc>
        <w:tc>
          <w:tcPr>
            <w:tcW w:w="1438" w:type="dxa"/>
            <w:shd w:val="clear" w:color="auto" w:fill="E0E0E0"/>
            <w:noWrap w:val="0"/>
            <w:vAlign w:val="center"/>
          </w:tcPr>
          <w:p w14:paraId="61AADEF7">
            <w:pPr>
              <w:adjustRightInd w:val="0"/>
              <w:snapToGrid w:val="0"/>
              <w:spacing w:line="240" w:lineRule="exact"/>
              <w:jc w:val="center"/>
              <w:rPr>
                <w:rFonts w:ascii="Times New Roman" w:hAnsi="Times New Roman" w:cs="Times New Roman"/>
                <w:sz w:val="21"/>
                <w:szCs w:val="21"/>
              </w:rPr>
            </w:pPr>
            <w:r>
              <w:rPr>
                <w:rFonts w:ascii="Times New Roman" w:hAnsi="Times New Roman" w:cs="Times New Roman"/>
                <w:sz w:val="21"/>
                <w:szCs w:val="21"/>
              </w:rPr>
              <w:t>排放量</w:t>
            </w:r>
          </w:p>
          <w:p w14:paraId="5B82989D">
            <w:pPr>
              <w:adjustRightInd w:val="0"/>
              <w:snapToGrid w:val="0"/>
              <w:spacing w:line="240" w:lineRule="exact"/>
              <w:jc w:val="center"/>
              <w:rPr>
                <w:rFonts w:ascii="Times New Roman" w:hAnsi="Times New Roman" w:cs="Times New Roman"/>
                <w:sz w:val="21"/>
                <w:szCs w:val="21"/>
              </w:rPr>
            </w:pPr>
            <w:r>
              <w:rPr>
                <w:rFonts w:ascii="Times New Roman" w:hAnsi="Times New Roman" w:cs="Times New Roman"/>
                <w:sz w:val="21"/>
                <w:szCs w:val="21"/>
              </w:rPr>
              <w:t>（t/a）</w:t>
            </w:r>
          </w:p>
        </w:tc>
        <w:tc>
          <w:tcPr>
            <w:tcW w:w="1638" w:type="dxa"/>
            <w:shd w:val="clear" w:color="auto" w:fill="E0E0E0"/>
            <w:noWrap w:val="0"/>
            <w:vAlign w:val="center"/>
          </w:tcPr>
          <w:p w14:paraId="72CDF9EB">
            <w:pPr>
              <w:adjustRightInd w:val="0"/>
              <w:snapToGrid w:val="0"/>
              <w:spacing w:line="240" w:lineRule="exact"/>
              <w:ind w:left="-120" w:leftChars="-50" w:right="-120" w:rightChars="-50"/>
              <w:jc w:val="center"/>
              <w:rPr>
                <w:rFonts w:ascii="Times New Roman" w:hAnsi="Times New Roman" w:cs="Times New Roman"/>
                <w:sz w:val="21"/>
                <w:szCs w:val="21"/>
              </w:rPr>
            </w:pPr>
            <w:r>
              <w:rPr>
                <w:rFonts w:ascii="Times New Roman" w:hAnsi="Times New Roman" w:cs="Times New Roman"/>
                <w:sz w:val="21"/>
                <w:szCs w:val="21"/>
              </w:rPr>
              <w:t>标准限值（mg/m</w:t>
            </w:r>
            <w:r>
              <w:rPr>
                <w:rFonts w:ascii="Times New Roman" w:hAnsi="Times New Roman" w:cs="Times New Roman"/>
                <w:sz w:val="21"/>
                <w:szCs w:val="21"/>
                <w:vertAlign w:val="superscript"/>
              </w:rPr>
              <w:t>3</w:t>
            </w:r>
            <w:r>
              <w:rPr>
                <w:rFonts w:ascii="Times New Roman" w:hAnsi="Times New Roman" w:cs="Times New Roman"/>
                <w:sz w:val="21"/>
                <w:szCs w:val="21"/>
              </w:rPr>
              <w:t>）</w:t>
            </w:r>
          </w:p>
        </w:tc>
        <w:tc>
          <w:tcPr>
            <w:tcW w:w="2124" w:type="dxa"/>
            <w:gridSpan w:val="2"/>
            <w:shd w:val="clear" w:color="auto" w:fill="E0E0E0"/>
            <w:noWrap w:val="0"/>
            <w:vAlign w:val="center"/>
          </w:tcPr>
          <w:p w14:paraId="193257AD">
            <w:pPr>
              <w:adjustRightInd w:val="0"/>
              <w:snapToGrid w:val="0"/>
              <w:spacing w:line="240" w:lineRule="exact"/>
              <w:jc w:val="center"/>
              <w:rPr>
                <w:rFonts w:ascii="Times New Roman" w:hAnsi="Times New Roman" w:cs="Times New Roman"/>
                <w:sz w:val="21"/>
                <w:szCs w:val="21"/>
              </w:rPr>
            </w:pPr>
            <w:r>
              <w:rPr>
                <w:rFonts w:ascii="Times New Roman" w:hAnsi="Times New Roman" w:cs="Times New Roman"/>
                <w:sz w:val="21"/>
                <w:szCs w:val="21"/>
              </w:rPr>
              <w:t>执行标准</w:t>
            </w:r>
          </w:p>
        </w:tc>
      </w:tr>
      <w:tr w14:paraId="5CAC3EBD">
        <w:tblPrEx>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gridAfter w:val="1"/>
          <w:wAfter w:w="18" w:type="dxa"/>
          <w:cantSplit/>
          <w:trHeight w:val="397" w:hRule="atLeast"/>
          <w:jc w:val="center"/>
        </w:trPr>
        <w:tc>
          <w:tcPr>
            <w:tcW w:w="748" w:type="dxa"/>
            <w:vMerge w:val="restart"/>
            <w:noWrap w:val="0"/>
            <w:vAlign w:val="center"/>
          </w:tcPr>
          <w:p w14:paraId="193AE378">
            <w:pPr>
              <w:adjustRightInd w:val="0"/>
              <w:snapToGrid w:val="0"/>
              <w:spacing w:line="240" w:lineRule="exact"/>
              <w:jc w:val="center"/>
              <w:rPr>
                <w:rFonts w:ascii="Times New Roman" w:hAnsi="Times New Roman" w:cs="Times New Roman"/>
                <w:sz w:val="21"/>
                <w:szCs w:val="21"/>
              </w:rPr>
            </w:pPr>
            <w:r>
              <w:rPr>
                <w:rFonts w:ascii="Times New Roman" w:hAnsi="Times New Roman" w:cs="Times New Roman"/>
                <w:sz w:val="21"/>
                <w:szCs w:val="21"/>
              </w:rPr>
              <w:t>大气</w:t>
            </w:r>
          </w:p>
          <w:p w14:paraId="21944550">
            <w:pPr>
              <w:adjustRightInd w:val="0"/>
              <w:snapToGrid w:val="0"/>
              <w:spacing w:line="240" w:lineRule="exact"/>
              <w:jc w:val="center"/>
              <w:rPr>
                <w:rFonts w:ascii="Times New Roman" w:hAnsi="Times New Roman" w:cs="Times New Roman"/>
                <w:sz w:val="21"/>
                <w:szCs w:val="21"/>
              </w:rPr>
            </w:pPr>
            <w:r>
              <w:rPr>
                <w:rFonts w:ascii="Times New Roman" w:hAnsi="Times New Roman" w:cs="Times New Roman"/>
                <w:sz w:val="21"/>
                <w:szCs w:val="21"/>
              </w:rPr>
              <w:t>污染物</w:t>
            </w:r>
          </w:p>
        </w:tc>
        <w:tc>
          <w:tcPr>
            <w:tcW w:w="1474" w:type="dxa"/>
            <w:gridSpan w:val="2"/>
            <w:noWrap w:val="0"/>
            <w:vAlign w:val="center"/>
          </w:tcPr>
          <w:p w14:paraId="1BCE6665">
            <w:pPr>
              <w:adjustRightInd w:val="0"/>
              <w:snapToGrid w:val="0"/>
              <w:spacing w:line="240" w:lineRule="exact"/>
              <w:jc w:val="center"/>
              <w:rPr>
                <w:rFonts w:ascii="Times New Roman" w:hAnsi="Times New Roman" w:cs="Times New Roman"/>
                <w:sz w:val="21"/>
                <w:szCs w:val="21"/>
              </w:rPr>
            </w:pPr>
            <w:r>
              <w:rPr>
                <w:rFonts w:hint="eastAsia" w:ascii="Times New Roman" w:hAnsi="Times New Roman" w:cs="Times New Roman"/>
                <w:sz w:val="21"/>
                <w:szCs w:val="21"/>
              </w:rPr>
              <w:t>VOD炉</w:t>
            </w:r>
            <w:r>
              <w:rPr>
                <w:rFonts w:ascii="Times New Roman" w:hAnsi="Times New Roman" w:cs="Times New Roman"/>
                <w:sz w:val="21"/>
                <w:szCs w:val="21"/>
              </w:rPr>
              <w:t>排气筒DA003</w:t>
            </w:r>
          </w:p>
        </w:tc>
        <w:tc>
          <w:tcPr>
            <w:tcW w:w="1311" w:type="dxa"/>
            <w:noWrap w:val="0"/>
            <w:vAlign w:val="center"/>
          </w:tcPr>
          <w:p w14:paraId="4E5795C2">
            <w:pPr>
              <w:adjustRightInd w:val="0"/>
              <w:snapToGrid w:val="0"/>
              <w:spacing w:line="240" w:lineRule="exact"/>
              <w:jc w:val="center"/>
              <w:rPr>
                <w:rFonts w:ascii="Times New Roman" w:hAnsi="Times New Roman" w:cs="Times New Roman"/>
                <w:sz w:val="21"/>
                <w:szCs w:val="21"/>
              </w:rPr>
            </w:pPr>
            <w:r>
              <w:rPr>
                <w:rFonts w:ascii="Times New Roman" w:hAnsi="Times New Roman" w:cs="Times New Roman"/>
                <w:sz w:val="21"/>
                <w:szCs w:val="21"/>
              </w:rPr>
              <w:t>颗粒物</w:t>
            </w:r>
          </w:p>
        </w:tc>
        <w:tc>
          <w:tcPr>
            <w:tcW w:w="2397" w:type="dxa"/>
            <w:noWrap w:val="0"/>
            <w:vAlign w:val="center"/>
          </w:tcPr>
          <w:p w14:paraId="211F70B1">
            <w:pPr>
              <w:jc w:val="center"/>
              <w:rPr>
                <w:rFonts w:hint="eastAsia" w:ascii="Times New Roman" w:hAnsi="Times New Roman" w:cs="Times New Roman"/>
                <w:sz w:val="21"/>
                <w:szCs w:val="21"/>
              </w:rPr>
            </w:pPr>
            <w:r>
              <w:rPr>
                <w:rFonts w:hint="eastAsia" w:ascii="Times New Roman" w:hAnsi="Times New Roman" w:cs="Times New Roman"/>
                <w:sz w:val="21"/>
                <w:szCs w:val="21"/>
              </w:rPr>
              <w:t>烟气采用密闭罩+屋顶罩收集，收集后引入</w:t>
            </w:r>
            <w:r>
              <w:rPr>
                <w:rFonts w:ascii="Times New Roman" w:hAnsi="Times New Roman" w:cs="Times New Roman"/>
                <w:sz w:val="21"/>
                <w:szCs w:val="21"/>
              </w:rPr>
              <w:t>脉冲袋式除尘器</w:t>
            </w:r>
            <w:r>
              <w:rPr>
                <w:rFonts w:hint="eastAsia" w:ascii="Times New Roman" w:hAnsi="Times New Roman" w:cs="Times New Roman"/>
                <w:sz w:val="21"/>
                <w:szCs w:val="21"/>
              </w:rPr>
              <w:t>处理后经</w:t>
            </w:r>
            <w:r>
              <w:rPr>
                <w:rFonts w:hint="eastAsia" w:ascii="Times New Roman" w:hAnsi="Times New Roman" w:cs="Times New Roman"/>
                <w:bCs/>
                <w:sz w:val="21"/>
                <w:szCs w:val="21"/>
              </w:rPr>
              <w:t>19.5</w:t>
            </w:r>
            <w:r>
              <w:rPr>
                <w:rFonts w:ascii="Times New Roman" w:hAnsi="Times New Roman" w:cs="Times New Roman"/>
                <w:bCs/>
                <w:sz w:val="21"/>
                <w:szCs w:val="21"/>
              </w:rPr>
              <w:t>m高排气筒</w:t>
            </w:r>
            <w:r>
              <w:rPr>
                <w:rFonts w:hint="eastAsia" w:ascii="Times New Roman" w:hAnsi="Times New Roman" w:cs="Times New Roman"/>
                <w:sz w:val="21"/>
                <w:szCs w:val="21"/>
              </w:rPr>
              <w:t>排放</w:t>
            </w:r>
          </w:p>
          <w:p w14:paraId="42598E9D">
            <w:pPr>
              <w:jc w:val="center"/>
              <w:rPr>
                <w:rFonts w:ascii="Times New Roman" w:hAnsi="Times New Roman" w:cs="Times New Roman"/>
                <w:sz w:val="21"/>
                <w:szCs w:val="21"/>
              </w:rPr>
            </w:pPr>
            <w:r>
              <w:rPr>
                <w:rFonts w:ascii="Times New Roman" w:hAnsi="Times New Roman" w:cs="Times New Roman"/>
                <w:bCs/>
                <w:sz w:val="21"/>
                <w:szCs w:val="21"/>
              </w:rPr>
              <w:t>（</w:t>
            </w:r>
            <w:r>
              <w:rPr>
                <w:rFonts w:hint="eastAsia" w:ascii="Times New Roman" w:hAnsi="Times New Roman" w:cs="Times New Roman"/>
                <w:bCs/>
                <w:sz w:val="21"/>
                <w:szCs w:val="21"/>
              </w:rPr>
              <w:t>与LF炉共用一套</w:t>
            </w:r>
            <w:r>
              <w:rPr>
                <w:rFonts w:ascii="Times New Roman" w:hAnsi="Times New Roman" w:cs="Times New Roman"/>
                <w:bCs/>
                <w:sz w:val="21"/>
                <w:szCs w:val="21"/>
              </w:rPr>
              <w:t>袋式除尘器、排气筒）</w:t>
            </w:r>
          </w:p>
        </w:tc>
        <w:tc>
          <w:tcPr>
            <w:tcW w:w="1252" w:type="dxa"/>
            <w:noWrap w:val="0"/>
            <w:vAlign w:val="center"/>
          </w:tcPr>
          <w:p w14:paraId="0048A8B2">
            <w:pPr>
              <w:jc w:val="center"/>
              <w:rPr>
                <w:rFonts w:ascii="Times New Roman" w:hAnsi="Times New Roman" w:cs="Times New Roman"/>
                <w:sz w:val="21"/>
                <w:szCs w:val="21"/>
              </w:rPr>
            </w:pPr>
            <w:r>
              <w:rPr>
                <w:rFonts w:ascii="Times New Roman" w:hAnsi="Times New Roman" w:cs="Times New Roman"/>
                <w:sz w:val="21"/>
                <w:szCs w:val="21"/>
              </w:rPr>
              <w:t>＞99.5</w:t>
            </w:r>
          </w:p>
        </w:tc>
        <w:tc>
          <w:tcPr>
            <w:tcW w:w="1436" w:type="dxa"/>
            <w:noWrap w:val="0"/>
            <w:vAlign w:val="center"/>
          </w:tcPr>
          <w:p w14:paraId="196D9B47">
            <w:pPr>
              <w:jc w:val="center"/>
              <w:rPr>
                <w:rFonts w:ascii="Times New Roman" w:hAnsi="Times New Roman" w:cs="Times New Roman"/>
                <w:sz w:val="21"/>
                <w:szCs w:val="21"/>
              </w:rPr>
            </w:pPr>
            <w:r>
              <w:rPr>
                <w:rFonts w:ascii="Times New Roman" w:hAnsi="Times New Roman" w:cs="Times New Roman"/>
                <w:sz w:val="21"/>
                <w:szCs w:val="21"/>
              </w:rPr>
              <w:t>&lt;15</w:t>
            </w:r>
          </w:p>
        </w:tc>
        <w:tc>
          <w:tcPr>
            <w:tcW w:w="1438" w:type="dxa"/>
            <w:noWrap w:val="0"/>
            <w:vAlign w:val="center"/>
          </w:tcPr>
          <w:p w14:paraId="7ED5FFA8">
            <w:pPr>
              <w:jc w:val="center"/>
              <w:rPr>
                <w:rFonts w:ascii="Times New Roman" w:hAnsi="Times New Roman" w:cs="Times New Roman"/>
                <w:sz w:val="21"/>
                <w:szCs w:val="21"/>
              </w:rPr>
            </w:pPr>
            <w:r>
              <w:rPr>
                <w:rFonts w:ascii="Times New Roman" w:hAnsi="Times New Roman" w:cs="Times New Roman"/>
                <w:sz w:val="21"/>
                <w:szCs w:val="21"/>
              </w:rPr>
              <w:t>11.67</w:t>
            </w:r>
          </w:p>
        </w:tc>
        <w:tc>
          <w:tcPr>
            <w:tcW w:w="1638" w:type="dxa"/>
            <w:noWrap w:val="0"/>
            <w:vAlign w:val="center"/>
          </w:tcPr>
          <w:p w14:paraId="6A802FEA">
            <w:pPr>
              <w:jc w:val="center"/>
              <w:rPr>
                <w:rFonts w:ascii="Times New Roman" w:hAnsi="Times New Roman" w:cs="Times New Roman"/>
                <w:sz w:val="21"/>
                <w:szCs w:val="21"/>
              </w:rPr>
            </w:pPr>
            <w:r>
              <w:rPr>
                <w:rFonts w:ascii="Times New Roman" w:hAnsi="Times New Roman" w:cs="Times New Roman"/>
                <w:sz w:val="21"/>
                <w:szCs w:val="21"/>
              </w:rPr>
              <w:t>15</w:t>
            </w:r>
          </w:p>
        </w:tc>
        <w:tc>
          <w:tcPr>
            <w:tcW w:w="2106" w:type="dxa"/>
            <w:noWrap w:val="0"/>
            <w:vAlign w:val="center"/>
          </w:tcPr>
          <w:p w14:paraId="1D541212">
            <w:pPr>
              <w:jc w:val="center"/>
              <w:rPr>
                <w:rFonts w:ascii="Times New Roman" w:hAnsi="Times New Roman" w:cs="Times New Roman"/>
                <w:sz w:val="21"/>
                <w:szCs w:val="21"/>
              </w:rPr>
            </w:pPr>
            <w:r>
              <w:rPr>
                <w:rFonts w:ascii="Times New Roman" w:hAnsi="Times New Roman" w:cs="Times New Roman"/>
                <w:sz w:val="21"/>
                <w:szCs w:val="21"/>
              </w:rPr>
              <w:t>GB28664-2012表3</w:t>
            </w:r>
          </w:p>
        </w:tc>
      </w:tr>
      <w:tr w14:paraId="1D94D189">
        <w:tblPrEx>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gridAfter w:val="1"/>
          <w:wAfter w:w="18" w:type="dxa"/>
          <w:cantSplit/>
          <w:trHeight w:val="397" w:hRule="atLeast"/>
          <w:jc w:val="center"/>
        </w:trPr>
        <w:tc>
          <w:tcPr>
            <w:tcW w:w="748" w:type="dxa"/>
            <w:vMerge w:val="continue"/>
            <w:noWrap w:val="0"/>
            <w:vAlign w:val="center"/>
          </w:tcPr>
          <w:p w14:paraId="2904C2FD">
            <w:pPr>
              <w:adjustRightInd w:val="0"/>
              <w:snapToGrid w:val="0"/>
              <w:spacing w:line="240" w:lineRule="exact"/>
              <w:jc w:val="center"/>
              <w:rPr>
                <w:rFonts w:ascii="Times New Roman" w:hAnsi="Times New Roman" w:cs="Times New Roman"/>
                <w:sz w:val="21"/>
                <w:szCs w:val="21"/>
              </w:rPr>
            </w:pPr>
          </w:p>
        </w:tc>
        <w:tc>
          <w:tcPr>
            <w:tcW w:w="1474" w:type="dxa"/>
            <w:gridSpan w:val="2"/>
            <w:vMerge w:val="restart"/>
            <w:noWrap w:val="0"/>
            <w:vAlign w:val="center"/>
          </w:tcPr>
          <w:p w14:paraId="34EC8575">
            <w:pPr>
              <w:adjustRightInd w:val="0"/>
              <w:snapToGrid w:val="0"/>
              <w:spacing w:line="240" w:lineRule="exact"/>
              <w:jc w:val="center"/>
              <w:rPr>
                <w:rFonts w:ascii="Times New Roman" w:hAnsi="Times New Roman" w:cs="Times New Roman"/>
                <w:sz w:val="21"/>
                <w:szCs w:val="21"/>
              </w:rPr>
            </w:pPr>
            <w:r>
              <w:rPr>
                <w:rFonts w:hint="eastAsia" w:ascii="Times New Roman" w:hAnsi="Times New Roman" w:cs="Times New Roman"/>
                <w:sz w:val="21"/>
                <w:szCs w:val="21"/>
              </w:rPr>
              <w:t>加热炉</w:t>
            </w:r>
            <w:r>
              <w:rPr>
                <w:rFonts w:ascii="Times New Roman" w:hAnsi="Times New Roman" w:cs="Times New Roman"/>
                <w:sz w:val="21"/>
                <w:szCs w:val="21"/>
              </w:rPr>
              <w:t>排气筒DA004</w:t>
            </w:r>
          </w:p>
        </w:tc>
        <w:tc>
          <w:tcPr>
            <w:tcW w:w="1311" w:type="dxa"/>
            <w:noWrap w:val="0"/>
            <w:vAlign w:val="center"/>
          </w:tcPr>
          <w:p w14:paraId="52707813">
            <w:pPr>
              <w:jc w:val="center"/>
              <w:rPr>
                <w:rFonts w:ascii="Times New Roman" w:hAnsi="Times New Roman" w:cs="Times New Roman"/>
                <w:sz w:val="21"/>
                <w:szCs w:val="21"/>
              </w:rPr>
            </w:pPr>
            <w:r>
              <w:rPr>
                <w:rFonts w:ascii="Times New Roman" w:hAnsi="Times New Roman" w:cs="Times New Roman"/>
                <w:sz w:val="21"/>
                <w:szCs w:val="21"/>
              </w:rPr>
              <w:t>颗粒物</w:t>
            </w:r>
          </w:p>
        </w:tc>
        <w:tc>
          <w:tcPr>
            <w:tcW w:w="2397" w:type="dxa"/>
            <w:vMerge w:val="restart"/>
            <w:noWrap w:val="0"/>
            <w:vAlign w:val="center"/>
          </w:tcPr>
          <w:p w14:paraId="5E3EBF2B">
            <w:pPr>
              <w:jc w:val="center"/>
              <w:rPr>
                <w:rFonts w:ascii="Times New Roman" w:hAnsi="Times New Roman" w:cs="Times New Roman"/>
                <w:sz w:val="21"/>
                <w:szCs w:val="21"/>
              </w:rPr>
            </w:pPr>
            <w:r>
              <w:rPr>
                <w:rFonts w:hint="eastAsia" w:ascii="Times New Roman" w:hAnsi="Times New Roman" w:cs="Times New Roman"/>
                <w:sz w:val="21"/>
                <w:szCs w:val="21"/>
              </w:rPr>
              <w:t>燃用清洁能源天然气，配低氮燃烧器，废气经</w:t>
            </w:r>
            <w:r>
              <w:rPr>
                <w:rFonts w:hint="eastAsia" w:ascii="Times New Roman" w:hAnsi="Times New Roman" w:cs="Times New Roman"/>
                <w:bCs/>
                <w:sz w:val="21"/>
                <w:szCs w:val="21"/>
              </w:rPr>
              <w:t>22</w:t>
            </w:r>
            <w:r>
              <w:rPr>
                <w:rFonts w:ascii="Times New Roman" w:hAnsi="Times New Roman" w:cs="Times New Roman"/>
                <w:bCs/>
                <w:sz w:val="21"/>
                <w:szCs w:val="21"/>
              </w:rPr>
              <w:t>m高排气筒</w:t>
            </w:r>
          </w:p>
        </w:tc>
        <w:tc>
          <w:tcPr>
            <w:tcW w:w="1252" w:type="dxa"/>
            <w:noWrap w:val="0"/>
            <w:vAlign w:val="center"/>
          </w:tcPr>
          <w:p w14:paraId="63FE7875">
            <w:pPr>
              <w:jc w:val="center"/>
              <w:rPr>
                <w:rFonts w:ascii="Times New Roman" w:hAnsi="Times New Roman" w:cs="Times New Roman"/>
                <w:sz w:val="21"/>
                <w:szCs w:val="21"/>
              </w:rPr>
            </w:pPr>
            <w:r>
              <w:rPr>
                <w:rFonts w:ascii="Times New Roman" w:hAnsi="Times New Roman" w:cs="Times New Roman"/>
                <w:sz w:val="21"/>
                <w:szCs w:val="21"/>
              </w:rPr>
              <w:t>--</w:t>
            </w:r>
          </w:p>
        </w:tc>
        <w:tc>
          <w:tcPr>
            <w:tcW w:w="1436" w:type="dxa"/>
            <w:noWrap w:val="0"/>
            <w:vAlign w:val="center"/>
          </w:tcPr>
          <w:p w14:paraId="6BE1910B">
            <w:pPr>
              <w:jc w:val="center"/>
              <w:rPr>
                <w:rFonts w:ascii="Times New Roman" w:hAnsi="Times New Roman" w:cs="Times New Roman"/>
                <w:sz w:val="21"/>
                <w:szCs w:val="21"/>
              </w:rPr>
            </w:pPr>
            <w:r>
              <w:rPr>
                <w:rFonts w:ascii="Times New Roman" w:hAnsi="Times New Roman" w:cs="Times New Roman"/>
                <w:sz w:val="21"/>
                <w:szCs w:val="21"/>
              </w:rPr>
              <w:t>&lt;10</w:t>
            </w:r>
          </w:p>
        </w:tc>
        <w:tc>
          <w:tcPr>
            <w:tcW w:w="1438" w:type="dxa"/>
            <w:noWrap w:val="0"/>
            <w:vAlign w:val="center"/>
          </w:tcPr>
          <w:p w14:paraId="3D6ECE65">
            <w:pPr>
              <w:jc w:val="center"/>
              <w:rPr>
                <w:rFonts w:ascii="Times New Roman" w:hAnsi="Times New Roman" w:cs="Times New Roman"/>
                <w:sz w:val="21"/>
                <w:szCs w:val="21"/>
              </w:rPr>
            </w:pPr>
            <w:r>
              <w:rPr>
                <w:rFonts w:ascii="Times New Roman" w:hAnsi="Times New Roman" w:cs="Times New Roman"/>
                <w:sz w:val="21"/>
                <w:szCs w:val="21"/>
              </w:rPr>
              <w:t>2.28</w:t>
            </w:r>
          </w:p>
        </w:tc>
        <w:tc>
          <w:tcPr>
            <w:tcW w:w="1638" w:type="dxa"/>
            <w:noWrap w:val="0"/>
            <w:vAlign w:val="center"/>
          </w:tcPr>
          <w:p w14:paraId="142C0630">
            <w:pPr>
              <w:jc w:val="center"/>
              <w:rPr>
                <w:rFonts w:ascii="Times New Roman" w:hAnsi="Times New Roman" w:cs="Times New Roman"/>
                <w:sz w:val="21"/>
                <w:szCs w:val="21"/>
              </w:rPr>
            </w:pPr>
            <w:r>
              <w:rPr>
                <w:rFonts w:ascii="Times New Roman" w:hAnsi="Times New Roman" w:cs="Times New Roman"/>
                <w:sz w:val="21"/>
                <w:szCs w:val="21"/>
              </w:rPr>
              <w:t>1</w:t>
            </w:r>
            <w:r>
              <w:rPr>
                <w:rFonts w:hint="eastAsia" w:ascii="Times New Roman" w:hAnsi="Times New Roman" w:cs="Times New Roman"/>
                <w:sz w:val="21"/>
                <w:szCs w:val="21"/>
              </w:rPr>
              <w:t>0</w:t>
            </w:r>
          </w:p>
        </w:tc>
        <w:tc>
          <w:tcPr>
            <w:tcW w:w="2106" w:type="dxa"/>
            <w:vMerge w:val="restart"/>
            <w:noWrap w:val="0"/>
            <w:vAlign w:val="center"/>
          </w:tcPr>
          <w:p w14:paraId="6DD29894">
            <w:pPr>
              <w:jc w:val="center"/>
              <w:rPr>
                <w:rFonts w:ascii="Times New Roman" w:hAnsi="Times New Roman" w:cs="Times New Roman"/>
                <w:sz w:val="21"/>
                <w:szCs w:val="21"/>
              </w:rPr>
            </w:pPr>
            <w:r>
              <w:rPr>
                <w:rFonts w:ascii="Times New Roman" w:hAnsi="Times New Roman" w:cs="Times New Roman"/>
                <w:sz w:val="21"/>
                <w:szCs w:val="21"/>
              </w:rPr>
              <w:t>环大气[2019]35号</w:t>
            </w:r>
          </w:p>
        </w:tc>
      </w:tr>
      <w:tr w14:paraId="4A801E74">
        <w:tblPrEx>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gridAfter w:val="1"/>
          <w:wAfter w:w="18" w:type="dxa"/>
          <w:cantSplit/>
          <w:trHeight w:val="397" w:hRule="atLeast"/>
          <w:jc w:val="center"/>
        </w:trPr>
        <w:tc>
          <w:tcPr>
            <w:tcW w:w="748" w:type="dxa"/>
            <w:vMerge w:val="continue"/>
            <w:noWrap w:val="0"/>
            <w:vAlign w:val="center"/>
          </w:tcPr>
          <w:p w14:paraId="041B952F">
            <w:pPr>
              <w:adjustRightInd w:val="0"/>
              <w:snapToGrid w:val="0"/>
              <w:spacing w:line="240" w:lineRule="exact"/>
              <w:jc w:val="center"/>
              <w:rPr>
                <w:rFonts w:ascii="Times New Roman" w:hAnsi="Times New Roman" w:cs="Times New Roman"/>
                <w:sz w:val="21"/>
                <w:szCs w:val="21"/>
              </w:rPr>
            </w:pPr>
          </w:p>
        </w:tc>
        <w:tc>
          <w:tcPr>
            <w:tcW w:w="1474" w:type="dxa"/>
            <w:gridSpan w:val="2"/>
            <w:vMerge w:val="continue"/>
            <w:noWrap w:val="0"/>
            <w:vAlign w:val="center"/>
          </w:tcPr>
          <w:p w14:paraId="4BC68CC2">
            <w:pPr>
              <w:adjustRightInd w:val="0"/>
              <w:snapToGrid w:val="0"/>
              <w:spacing w:line="240" w:lineRule="exact"/>
              <w:jc w:val="center"/>
              <w:rPr>
                <w:rFonts w:ascii="Times New Roman" w:hAnsi="Times New Roman" w:cs="Times New Roman"/>
                <w:sz w:val="21"/>
                <w:szCs w:val="21"/>
              </w:rPr>
            </w:pPr>
          </w:p>
        </w:tc>
        <w:tc>
          <w:tcPr>
            <w:tcW w:w="1311" w:type="dxa"/>
            <w:noWrap w:val="0"/>
            <w:vAlign w:val="center"/>
          </w:tcPr>
          <w:p w14:paraId="084D54D2">
            <w:pPr>
              <w:jc w:val="center"/>
              <w:rPr>
                <w:rFonts w:ascii="Times New Roman" w:hAnsi="Times New Roman" w:cs="Times New Roman"/>
                <w:sz w:val="21"/>
                <w:szCs w:val="21"/>
              </w:rPr>
            </w:pPr>
            <w:r>
              <w:rPr>
                <w:rFonts w:ascii="Times New Roman" w:hAnsi="Times New Roman" w:cs="Times New Roman"/>
                <w:sz w:val="21"/>
                <w:szCs w:val="21"/>
              </w:rPr>
              <w:t>SO</w:t>
            </w:r>
            <w:r>
              <w:rPr>
                <w:rFonts w:ascii="Times New Roman" w:hAnsi="Times New Roman" w:cs="Times New Roman"/>
                <w:sz w:val="21"/>
                <w:szCs w:val="21"/>
                <w:vertAlign w:val="subscript"/>
              </w:rPr>
              <w:t>2</w:t>
            </w:r>
          </w:p>
        </w:tc>
        <w:tc>
          <w:tcPr>
            <w:tcW w:w="2397" w:type="dxa"/>
            <w:vMerge w:val="continue"/>
            <w:noWrap w:val="0"/>
            <w:vAlign w:val="center"/>
          </w:tcPr>
          <w:p w14:paraId="0CF58AC1">
            <w:pPr>
              <w:jc w:val="center"/>
              <w:rPr>
                <w:rFonts w:ascii="Times New Roman" w:hAnsi="Times New Roman" w:cs="Times New Roman"/>
                <w:sz w:val="21"/>
                <w:szCs w:val="21"/>
              </w:rPr>
            </w:pPr>
          </w:p>
        </w:tc>
        <w:tc>
          <w:tcPr>
            <w:tcW w:w="1252" w:type="dxa"/>
            <w:noWrap w:val="0"/>
            <w:vAlign w:val="center"/>
          </w:tcPr>
          <w:p w14:paraId="105161FF">
            <w:pPr>
              <w:jc w:val="center"/>
              <w:rPr>
                <w:rFonts w:ascii="Times New Roman" w:hAnsi="Times New Roman" w:cs="Times New Roman"/>
                <w:sz w:val="21"/>
                <w:szCs w:val="21"/>
              </w:rPr>
            </w:pPr>
            <w:r>
              <w:rPr>
                <w:rFonts w:hint="eastAsia" w:ascii="Times New Roman" w:hAnsi="Times New Roman" w:cs="Times New Roman"/>
                <w:sz w:val="21"/>
                <w:szCs w:val="21"/>
              </w:rPr>
              <w:t>--</w:t>
            </w:r>
          </w:p>
        </w:tc>
        <w:tc>
          <w:tcPr>
            <w:tcW w:w="1436" w:type="dxa"/>
            <w:noWrap w:val="0"/>
            <w:vAlign w:val="center"/>
          </w:tcPr>
          <w:p w14:paraId="657087FB">
            <w:pPr>
              <w:jc w:val="center"/>
              <w:rPr>
                <w:rFonts w:ascii="Times New Roman" w:hAnsi="Times New Roman" w:cs="Times New Roman"/>
                <w:sz w:val="21"/>
                <w:szCs w:val="21"/>
              </w:rPr>
            </w:pPr>
            <w:r>
              <w:rPr>
                <w:rFonts w:ascii="Times New Roman" w:hAnsi="Times New Roman" w:cs="Times New Roman"/>
                <w:sz w:val="21"/>
                <w:szCs w:val="21"/>
              </w:rPr>
              <w:t>&lt;50</w:t>
            </w:r>
          </w:p>
        </w:tc>
        <w:tc>
          <w:tcPr>
            <w:tcW w:w="1438" w:type="dxa"/>
            <w:noWrap w:val="0"/>
            <w:vAlign w:val="center"/>
          </w:tcPr>
          <w:p w14:paraId="62562797">
            <w:pPr>
              <w:jc w:val="center"/>
              <w:rPr>
                <w:rFonts w:ascii="Times New Roman" w:hAnsi="Times New Roman" w:cs="Times New Roman"/>
                <w:sz w:val="21"/>
                <w:szCs w:val="21"/>
              </w:rPr>
            </w:pPr>
            <w:r>
              <w:rPr>
                <w:rFonts w:ascii="Times New Roman" w:hAnsi="Times New Roman" w:cs="Times New Roman"/>
                <w:sz w:val="21"/>
                <w:szCs w:val="21"/>
              </w:rPr>
              <w:t>7.0</w:t>
            </w:r>
          </w:p>
        </w:tc>
        <w:tc>
          <w:tcPr>
            <w:tcW w:w="1638" w:type="dxa"/>
            <w:noWrap w:val="0"/>
            <w:vAlign w:val="center"/>
          </w:tcPr>
          <w:p w14:paraId="6BD954CA">
            <w:pPr>
              <w:jc w:val="center"/>
              <w:rPr>
                <w:rFonts w:ascii="Times New Roman" w:hAnsi="Times New Roman" w:cs="Times New Roman"/>
                <w:sz w:val="21"/>
                <w:szCs w:val="21"/>
              </w:rPr>
            </w:pPr>
            <w:r>
              <w:rPr>
                <w:rFonts w:hint="eastAsia" w:ascii="Times New Roman" w:hAnsi="Times New Roman" w:cs="Times New Roman"/>
                <w:sz w:val="21"/>
                <w:szCs w:val="21"/>
              </w:rPr>
              <w:t>50</w:t>
            </w:r>
          </w:p>
        </w:tc>
        <w:tc>
          <w:tcPr>
            <w:tcW w:w="2106" w:type="dxa"/>
            <w:vMerge w:val="continue"/>
            <w:noWrap w:val="0"/>
            <w:vAlign w:val="center"/>
          </w:tcPr>
          <w:p w14:paraId="64408DAE">
            <w:pPr>
              <w:jc w:val="center"/>
              <w:rPr>
                <w:rFonts w:ascii="Times New Roman" w:hAnsi="Times New Roman" w:cs="Times New Roman"/>
                <w:sz w:val="21"/>
                <w:szCs w:val="21"/>
              </w:rPr>
            </w:pPr>
          </w:p>
        </w:tc>
      </w:tr>
      <w:tr w14:paraId="1289A1B8">
        <w:tblPrEx>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gridAfter w:val="1"/>
          <w:wAfter w:w="18" w:type="dxa"/>
          <w:cantSplit/>
          <w:trHeight w:val="397" w:hRule="atLeast"/>
          <w:jc w:val="center"/>
        </w:trPr>
        <w:tc>
          <w:tcPr>
            <w:tcW w:w="748" w:type="dxa"/>
            <w:vMerge w:val="continue"/>
            <w:noWrap w:val="0"/>
            <w:vAlign w:val="center"/>
          </w:tcPr>
          <w:p w14:paraId="48250D29">
            <w:pPr>
              <w:adjustRightInd w:val="0"/>
              <w:snapToGrid w:val="0"/>
              <w:spacing w:line="240" w:lineRule="exact"/>
              <w:jc w:val="center"/>
              <w:rPr>
                <w:rFonts w:ascii="Times New Roman" w:hAnsi="Times New Roman" w:cs="Times New Roman"/>
                <w:sz w:val="21"/>
                <w:szCs w:val="21"/>
              </w:rPr>
            </w:pPr>
          </w:p>
        </w:tc>
        <w:tc>
          <w:tcPr>
            <w:tcW w:w="1474" w:type="dxa"/>
            <w:gridSpan w:val="2"/>
            <w:vMerge w:val="continue"/>
            <w:noWrap w:val="0"/>
            <w:vAlign w:val="center"/>
          </w:tcPr>
          <w:p w14:paraId="0B308AAA">
            <w:pPr>
              <w:adjustRightInd w:val="0"/>
              <w:snapToGrid w:val="0"/>
              <w:spacing w:line="240" w:lineRule="exact"/>
              <w:jc w:val="center"/>
              <w:rPr>
                <w:rFonts w:ascii="Times New Roman" w:hAnsi="Times New Roman" w:cs="Times New Roman"/>
                <w:sz w:val="21"/>
                <w:szCs w:val="21"/>
              </w:rPr>
            </w:pPr>
          </w:p>
        </w:tc>
        <w:tc>
          <w:tcPr>
            <w:tcW w:w="1311" w:type="dxa"/>
            <w:noWrap w:val="0"/>
            <w:vAlign w:val="center"/>
          </w:tcPr>
          <w:p w14:paraId="4F5F00DF">
            <w:pPr>
              <w:jc w:val="center"/>
              <w:rPr>
                <w:rFonts w:ascii="Times New Roman" w:hAnsi="Times New Roman" w:cs="Times New Roman"/>
                <w:sz w:val="21"/>
                <w:szCs w:val="21"/>
              </w:rPr>
            </w:pPr>
            <w:r>
              <w:rPr>
                <w:rFonts w:ascii="Times New Roman" w:hAnsi="Times New Roman" w:cs="Times New Roman"/>
                <w:sz w:val="21"/>
                <w:szCs w:val="21"/>
              </w:rPr>
              <w:t>NO</w:t>
            </w:r>
            <w:r>
              <w:rPr>
                <w:rFonts w:ascii="Times New Roman" w:hAnsi="Times New Roman" w:cs="Times New Roman"/>
                <w:sz w:val="21"/>
                <w:szCs w:val="21"/>
                <w:vertAlign w:val="subscript"/>
              </w:rPr>
              <w:t>2</w:t>
            </w:r>
          </w:p>
        </w:tc>
        <w:tc>
          <w:tcPr>
            <w:tcW w:w="2397" w:type="dxa"/>
            <w:vMerge w:val="continue"/>
            <w:noWrap w:val="0"/>
            <w:vAlign w:val="center"/>
          </w:tcPr>
          <w:p w14:paraId="5BF39742">
            <w:pPr>
              <w:jc w:val="center"/>
              <w:rPr>
                <w:rFonts w:ascii="Times New Roman" w:hAnsi="Times New Roman" w:cs="Times New Roman"/>
                <w:sz w:val="21"/>
                <w:szCs w:val="21"/>
              </w:rPr>
            </w:pPr>
          </w:p>
        </w:tc>
        <w:tc>
          <w:tcPr>
            <w:tcW w:w="1252" w:type="dxa"/>
            <w:noWrap w:val="0"/>
            <w:vAlign w:val="center"/>
          </w:tcPr>
          <w:p w14:paraId="2BD86D24">
            <w:pPr>
              <w:jc w:val="center"/>
              <w:rPr>
                <w:rFonts w:ascii="Times New Roman" w:hAnsi="Times New Roman" w:cs="Times New Roman"/>
                <w:sz w:val="21"/>
                <w:szCs w:val="21"/>
              </w:rPr>
            </w:pPr>
            <w:r>
              <w:rPr>
                <w:rFonts w:hint="eastAsia" w:ascii="Times New Roman" w:hAnsi="Times New Roman" w:cs="Times New Roman"/>
                <w:sz w:val="21"/>
                <w:szCs w:val="21"/>
              </w:rPr>
              <w:t>--</w:t>
            </w:r>
          </w:p>
        </w:tc>
        <w:tc>
          <w:tcPr>
            <w:tcW w:w="1436" w:type="dxa"/>
            <w:noWrap w:val="0"/>
            <w:vAlign w:val="center"/>
          </w:tcPr>
          <w:p w14:paraId="081E5E3E">
            <w:pPr>
              <w:jc w:val="center"/>
              <w:rPr>
                <w:rFonts w:ascii="Times New Roman" w:hAnsi="Times New Roman" w:cs="Times New Roman"/>
                <w:sz w:val="21"/>
                <w:szCs w:val="21"/>
              </w:rPr>
            </w:pPr>
            <w:r>
              <w:rPr>
                <w:rFonts w:ascii="Times New Roman" w:hAnsi="Times New Roman" w:cs="Times New Roman"/>
                <w:sz w:val="21"/>
                <w:szCs w:val="21"/>
              </w:rPr>
              <w:t>&lt;200</w:t>
            </w:r>
          </w:p>
        </w:tc>
        <w:tc>
          <w:tcPr>
            <w:tcW w:w="1438" w:type="dxa"/>
            <w:noWrap w:val="0"/>
            <w:vAlign w:val="center"/>
          </w:tcPr>
          <w:p w14:paraId="228218CB">
            <w:pPr>
              <w:jc w:val="center"/>
              <w:rPr>
                <w:rFonts w:ascii="Times New Roman" w:hAnsi="Times New Roman" w:cs="Times New Roman"/>
                <w:sz w:val="21"/>
                <w:szCs w:val="21"/>
              </w:rPr>
            </w:pPr>
            <w:r>
              <w:rPr>
                <w:rFonts w:ascii="Times New Roman" w:hAnsi="Times New Roman" w:cs="Times New Roman"/>
                <w:sz w:val="21"/>
                <w:szCs w:val="21"/>
              </w:rPr>
              <w:t>32.74</w:t>
            </w:r>
          </w:p>
        </w:tc>
        <w:tc>
          <w:tcPr>
            <w:tcW w:w="1638" w:type="dxa"/>
            <w:noWrap w:val="0"/>
            <w:vAlign w:val="center"/>
          </w:tcPr>
          <w:p w14:paraId="4B1F0825">
            <w:pPr>
              <w:jc w:val="center"/>
              <w:rPr>
                <w:rFonts w:ascii="Times New Roman" w:hAnsi="Times New Roman" w:cs="Times New Roman"/>
                <w:sz w:val="21"/>
                <w:szCs w:val="21"/>
              </w:rPr>
            </w:pPr>
            <w:r>
              <w:rPr>
                <w:rFonts w:ascii="Times New Roman" w:hAnsi="Times New Roman" w:cs="Times New Roman"/>
                <w:sz w:val="21"/>
                <w:szCs w:val="21"/>
              </w:rPr>
              <w:t>200</w:t>
            </w:r>
          </w:p>
        </w:tc>
        <w:tc>
          <w:tcPr>
            <w:tcW w:w="2106" w:type="dxa"/>
            <w:vMerge w:val="continue"/>
            <w:noWrap w:val="0"/>
            <w:vAlign w:val="center"/>
          </w:tcPr>
          <w:p w14:paraId="22F74FCE">
            <w:pPr>
              <w:jc w:val="center"/>
              <w:rPr>
                <w:rFonts w:ascii="Times New Roman" w:hAnsi="Times New Roman" w:cs="Times New Roman"/>
                <w:sz w:val="21"/>
                <w:szCs w:val="21"/>
              </w:rPr>
            </w:pPr>
          </w:p>
        </w:tc>
      </w:tr>
      <w:tr w14:paraId="0D92D732">
        <w:tblPrEx>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gridAfter w:val="1"/>
          <w:wAfter w:w="18" w:type="dxa"/>
          <w:cantSplit/>
          <w:trHeight w:val="397" w:hRule="atLeast"/>
          <w:jc w:val="center"/>
        </w:trPr>
        <w:tc>
          <w:tcPr>
            <w:tcW w:w="748" w:type="dxa"/>
            <w:vMerge w:val="continue"/>
            <w:noWrap w:val="0"/>
            <w:vAlign w:val="center"/>
          </w:tcPr>
          <w:p w14:paraId="2EEDD9F7">
            <w:pPr>
              <w:adjustRightInd w:val="0"/>
              <w:snapToGrid w:val="0"/>
              <w:spacing w:line="240" w:lineRule="exact"/>
              <w:jc w:val="center"/>
              <w:rPr>
                <w:rFonts w:ascii="Times New Roman" w:hAnsi="Times New Roman" w:cs="Times New Roman"/>
                <w:sz w:val="21"/>
                <w:szCs w:val="21"/>
              </w:rPr>
            </w:pPr>
          </w:p>
        </w:tc>
        <w:tc>
          <w:tcPr>
            <w:tcW w:w="1474" w:type="dxa"/>
            <w:gridSpan w:val="2"/>
            <w:noWrap w:val="0"/>
            <w:vAlign w:val="center"/>
          </w:tcPr>
          <w:p w14:paraId="46356325">
            <w:pPr>
              <w:adjustRightInd w:val="0"/>
              <w:snapToGrid w:val="0"/>
              <w:spacing w:line="240" w:lineRule="exact"/>
              <w:jc w:val="center"/>
              <w:rPr>
                <w:rFonts w:ascii="Times New Roman" w:hAnsi="Times New Roman" w:cs="Times New Roman"/>
                <w:sz w:val="21"/>
                <w:szCs w:val="21"/>
              </w:rPr>
            </w:pPr>
            <w:r>
              <w:rPr>
                <w:rFonts w:hint="eastAsia" w:ascii="Times New Roman" w:hAnsi="Times New Roman" w:cs="Times New Roman"/>
                <w:sz w:val="21"/>
                <w:szCs w:val="21"/>
              </w:rPr>
              <w:t>轧钢车间</w:t>
            </w:r>
            <w:r>
              <w:rPr>
                <w:rFonts w:ascii="Times New Roman" w:hAnsi="Times New Roman" w:cs="Times New Roman"/>
                <w:sz w:val="21"/>
                <w:szCs w:val="21"/>
              </w:rPr>
              <w:t>无组织排放</w:t>
            </w:r>
          </w:p>
        </w:tc>
        <w:tc>
          <w:tcPr>
            <w:tcW w:w="1311" w:type="dxa"/>
            <w:noWrap w:val="0"/>
            <w:vAlign w:val="center"/>
          </w:tcPr>
          <w:p w14:paraId="07070560">
            <w:pPr>
              <w:jc w:val="center"/>
              <w:rPr>
                <w:rFonts w:ascii="Times New Roman" w:hAnsi="Times New Roman" w:cs="Times New Roman"/>
                <w:sz w:val="21"/>
                <w:szCs w:val="21"/>
              </w:rPr>
            </w:pPr>
            <w:r>
              <w:rPr>
                <w:rFonts w:ascii="Times New Roman" w:hAnsi="Times New Roman" w:cs="Times New Roman"/>
                <w:sz w:val="21"/>
                <w:szCs w:val="21"/>
              </w:rPr>
              <w:t>颗粒物</w:t>
            </w:r>
          </w:p>
        </w:tc>
        <w:tc>
          <w:tcPr>
            <w:tcW w:w="2397" w:type="dxa"/>
            <w:noWrap w:val="0"/>
            <w:vAlign w:val="center"/>
          </w:tcPr>
          <w:p w14:paraId="6744B566">
            <w:pPr>
              <w:jc w:val="center"/>
              <w:rPr>
                <w:rFonts w:ascii="Times New Roman" w:hAnsi="Times New Roman" w:cs="Times New Roman"/>
                <w:sz w:val="21"/>
                <w:szCs w:val="21"/>
              </w:rPr>
            </w:pPr>
            <w:r>
              <w:rPr>
                <w:rFonts w:hint="eastAsia" w:ascii="Times New Roman" w:hAnsi="Times New Roman" w:cs="Times New Roman"/>
                <w:sz w:val="21"/>
                <w:szCs w:val="21"/>
              </w:rPr>
              <w:t>封闭厂房</w:t>
            </w:r>
          </w:p>
        </w:tc>
        <w:tc>
          <w:tcPr>
            <w:tcW w:w="1252" w:type="dxa"/>
            <w:noWrap w:val="0"/>
            <w:vAlign w:val="center"/>
          </w:tcPr>
          <w:p w14:paraId="61FE6828">
            <w:pPr>
              <w:jc w:val="center"/>
              <w:rPr>
                <w:rFonts w:ascii="Times New Roman" w:hAnsi="Times New Roman" w:cs="Times New Roman"/>
                <w:sz w:val="21"/>
                <w:szCs w:val="21"/>
              </w:rPr>
            </w:pPr>
            <w:r>
              <w:rPr>
                <w:rFonts w:hint="eastAsia" w:ascii="Times New Roman" w:hAnsi="Times New Roman" w:cs="Times New Roman"/>
                <w:sz w:val="21"/>
                <w:szCs w:val="21"/>
              </w:rPr>
              <w:t>--</w:t>
            </w:r>
          </w:p>
        </w:tc>
        <w:tc>
          <w:tcPr>
            <w:tcW w:w="1436" w:type="dxa"/>
            <w:noWrap w:val="0"/>
            <w:vAlign w:val="center"/>
          </w:tcPr>
          <w:p w14:paraId="7E47576C">
            <w:pPr>
              <w:jc w:val="center"/>
              <w:rPr>
                <w:rFonts w:ascii="Times New Roman" w:hAnsi="Times New Roman" w:cs="Times New Roman"/>
                <w:sz w:val="21"/>
                <w:szCs w:val="21"/>
              </w:rPr>
            </w:pPr>
            <w:r>
              <w:rPr>
                <w:rFonts w:ascii="Times New Roman" w:hAnsi="Times New Roman" w:cs="Times New Roman"/>
                <w:sz w:val="21"/>
                <w:szCs w:val="21"/>
              </w:rPr>
              <w:t>&lt;5.0</w:t>
            </w:r>
          </w:p>
        </w:tc>
        <w:tc>
          <w:tcPr>
            <w:tcW w:w="1438" w:type="dxa"/>
            <w:noWrap w:val="0"/>
            <w:vAlign w:val="center"/>
          </w:tcPr>
          <w:p w14:paraId="51BE5F71">
            <w:pPr>
              <w:jc w:val="center"/>
              <w:rPr>
                <w:rFonts w:ascii="Times New Roman" w:hAnsi="Times New Roman" w:cs="Times New Roman"/>
                <w:sz w:val="21"/>
                <w:szCs w:val="21"/>
              </w:rPr>
            </w:pPr>
            <w:r>
              <w:rPr>
                <w:rFonts w:ascii="Times New Roman" w:hAnsi="Times New Roman" w:cs="Times New Roman"/>
                <w:sz w:val="21"/>
                <w:szCs w:val="21"/>
              </w:rPr>
              <w:t>5.5</w:t>
            </w:r>
          </w:p>
        </w:tc>
        <w:tc>
          <w:tcPr>
            <w:tcW w:w="1638" w:type="dxa"/>
            <w:noWrap w:val="0"/>
            <w:vAlign w:val="center"/>
          </w:tcPr>
          <w:p w14:paraId="0D117F32">
            <w:pPr>
              <w:jc w:val="center"/>
              <w:rPr>
                <w:rFonts w:ascii="Times New Roman" w:hAnsi="Times New Roman" w:cs="Times New Roman"/>
                <w:sz w:val="21"/>
                <w:szCs w:val="21"/>
              </w:rPr>
            </w:pPr>
            <w:r>
              <w:rPr>
                <w:rFonts w:ascii="Times New Roman" w:hAnsi="Times New Roman" w:cs="Times New Roman"/>
                <w:sz w:val="21"/>
                <w:szCs w:val="21"/>
              </w:rPr>
              <w:t>5.0</w:t>
            </w:r>
          </w:p>
        </w:tc>
        <w:tc>
          <w:tcPr>
            <w:tcW w:w="2106" w:type="dxa"/>
            <w:noWrap w:val="0"/>
            <w:vAlign w:val="center"/>
          </w:tcPr>
          <w:p w14:paraId="5B117905">
            <w:pPr>
              <w:jc w:val="center"/>
              <w:rPr>
                <w:rFonts w:ascii="Times New Roman" w:hAnsi="Times New Roman" w:cs="Times New Roman"/>
                <w:sz w:val="21"/>
                <w:szCs w:val="21"/>
              </w:rPr>
            </w:pPr>
            <w:r>
              <w:rPr>
                <w:rFonts w:ascii="Times New Roman" w:hAnsi="Times New Roman" w:cs="Times New Roman"/>
                <w:sz w:val="21"/>
                <w:szCs w:val="21"/>
              </w:rPr>
              <w:t>GB28664-2012表4</w:t>
            </w:r>
          </w:p>
        </w:tc>
      </w:tr>
      <w:tr w14:paraId="129BC8FF">
        <w:tblPrEx>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757" w:type="dxa"/>
            <w:gridSpan w:val="2"/>
            <w:vMerge w:val="restart"/>
            <w:noWrap w:val="0"/>
            <w:vAlign w:val="center"/>
          </w:tcPr>
          <w:p w14:paraId="4DB8E832">
            <w:pPr>
              <w:adjustRightInd w:val="0"/>
              <w:snapToGrid w:val="0"/>
              <w:spacing w:line="240" w:lineRule="exact"/>
              <w:jc w:val="center"/>
              <w:rPr>
                <w:rFonts w:ascii="Times New Roman" w:hAnsi="Times New Roman" w:cs="Times New Roman"/>
                <w:sz w:val="21"/>
                <w:szCs w:val="21"/>
              </w:rPr>
            </w:pPr>
            <w:r>
              <w:rPr>
                <w:rFonts w:ascii="Times New Roman" w:hAnsi="Times New Roman" w:cs="Times New Roman"/>
                <w:sz w:val="21"/>
                <w:szCs w:val="21"/>
              </w:rPr>
              <w:t>固体</w:t>
            </w:r>
          </w:p>
          <w:p w14:paraId="6C655B86">
            <w:pPr>
              <w:adjustRightInd w:val="0"/>
              <w:snapToGrid w:val="0"/>
              <w:spacing w:line="240" w:lineRule="exact"/>
              <w:jc w:val="center"/>
              <w:rPr>
                <w:rFonts w:ascii="Times New Roman" w:hAnsi="Times New Roman" w:cs="Times New Roman"/>
                <w:sz w:val="21"/>
                <w:szCs w:val="21"/>
              </w:rPr>
            </w:pPr>
            <w:r>
              <w:rPr>
                <w:rFonts w:ascii="Times New Roman" w:hAnsi="Times New Roman" w:cs="Times New Roman"/>
                <w:sz w:val="21"/>
                <w:szCs w:val="21"/>
              </w:rPr>
              <w:t>废物</w:t>
            </w:r>
          </w:p>
        </w:tc>
        <w:tc>
          <w:tcPr>
            <w:tcW w:w="1465" w:type="dxa"/>
            <w:vMerge w:val="restart"/>
            <w:noWrap w:val="0"/>
            <w:vAlign w:val="center"/>
          </w:tcPr>
          <w:p w14:paraId="51A8400E">
            <w:pPr>
              <w:adjustRightInd w:val="0"/>
              <w:snapToGrid w:val="0"/>
              <w:spacing w:line="240" w:lineRule="exact"/>
              <w:jc w:val="center"/>
              <w:rPr>
                <w:rFonts w:ascii="Times New Roman" w:hAnsi="Times New Roman" w:cs="Times New Roman"/>
                <w:sz w:val="21"/>
                <w:szCs w:val="21"/>
              </w:rPr>
            </w:pPr>
            <w:r>
              <w:rPr>
                <w:rFonts w:ascii="Times New Roman" w:hAnsi="Times New Roman" w:cs="Times New Roman"/>
                <w:sz w:val="21"/>
                <w:szCs w:val="21"/>
              </w:rPr>
              <w:t>一般工业</w:t>
            </w:r>
          </w:p>
          <w:p w14:paraId="274DBF2A">
            <w:pPr>
              <w:adjustRightInd w:val="0"/>
              <w:snapToGrid w:val="0"/>
              <w:spacing w:line="240" w:lineRule="exact"/>
              <w:jc w:val="center"/>
              <w:rPr>
                <w:rFonts w:ascii="Times New Roman" w:hAnsi="Times New Roman" w:cs="Times New Roman"/>
                <w:sz w:val="21"/>
                <w:szCs w:val="21"/>
              </w:rPr>
            </w:pPr>
            <w:r>
              <w:rPr>
                <w:rFonts w:ascii="Times New Roman" w:hAnsi="Times New Roman" w:cs="Times New Roman"/>
                <w:sz w:val="21"/>
                <w:szCs w:val="21"/>
              </w:rPr>
              <w:t>固体废物</w:t>
            </w:r>
          </w:p>
        </w:tc>
        <w:tc>
          <w:tcPr>
            <w:tcW w:w="1311" w:type="dxa"/>
            <w:noWrap w:val="0"/>
            <w:vAlign w:val="center"/>
          </w:tcPr>
          <w:p w14:paraId="06BDCC39">
            <w:pPr>
              <w:jc w:val="center"/>
              <w:rPr>
                <w:rFonts w:ascii="Times New Roman" w:hAnsi="Times New Roman" w:cs="Times New Roman"/>
                <w:kern w:val="2"/>
                <w:sz w:val="21"/>
                <w:szCs w:val="21"/>
                <w:highlight w:val="yellow"/>
              </w:rPr>
            </w:pPr>
            <w:r>
              <w:rPr>
                <w:rFonts w:hint="eastAsia" w:ascii="Times New Roman" w:hAnsi="Times New Roman" w:cs="Times New Roman"/>
                <w:kern w:val="2"/>
                <w:sz w:val="21"/>
                <w:szCs w:val="21"/>
              </w:rPr>
              <w:t>钢渣</w:t>
            </w:r>
          </w:p>
        </w:tc>
        <w:tc>
          <w:tcPr>
            <w:tcW w:w="3649" w:type="dxa"/>
            <w:gridSpan w:val="2"/>
            <w:noWrap w:val="0"/>
            <w:vAlign w:val="center"/>
          </w:tcPr>
          <w:p w14:paraId="2DC9519B">
            <w:pPr>
              <w:adjustRightInd w:val="0"/>
              <w:snapToGrid w:val="0"/>
              <w:spacing w:line="240" w:lineRule="exact"/>
              <w:jc w:val="center"/>
              <w:rPr>
                <w:rFonts w:ascii="Times New Roman" w:hAnsi="Times New Roman" w:cs="Times New Roman"/>
                <w:sz w:val="21"/>
                <w:szCs w:val="21"/>
              </w:rPr>
            </w:pPr>
            <w:r>
              <w:rPr>
                <w:rFonts w:hint="eastAsia" w:ascii="Times New Roman" w:hAnsi="Times New Roman" w:cs="Times New Roman"/>
                <w:sz w:val="21"/>
                <w:szCs w:val="21"/>
              </w:rPr>
              <w:t>作冶炼原料外售</w:t>
            </w:r>
          </w:p>
        </w:tc>
        <w:tc>
          <w:tcPr>
            <w:tcW w:w="1436" w:type="dxa"/>
            <w:noWrap w:val="0"/>
            <w:vAlign w:val="center"/>
          </w:tcPr>
          <w:p w14:paraId="1FB0ED6F">
            <w:pPr>
              <w:adjustRightInd w:val="0"/>
              <w:jc w:val="center"/>
              <w:textAlignment w:val="baseline"/>
              <w:rPr>
                <w:rFonts w:ascii="Times New Roman" w:hAnsi="Times New Roman" w:cs="Times New Roman"/>
                <w:bCs/>
                <w:kern w:val="24"/>
                <w:sz w:val="21"/>
                <w:szCs w:val="21"/>
              </w:rPr>
            </w:pPr>
            <w:r>
              <w:rPr>
                <w:rFonts w:ascii="Times New Roman" w:hAnsi="Times New Roman" w:cs="Times New Roman"/>
                <w:bCs/>
                <w:kern w:val="24"/>
                <w:sz w:val="21"/>
                <w:szCs w:val="21"/>
              </w:rPr>
              <w:t>--</w:t>
            </w:r>
          </w:p>
        </w:tc>
        <w:tc>
          <w:tcPr>
            <w:tcW w:w="1438" w:type="dxa"/>
            <w:noWrap w:val="0"/>
            <w:vAlign w:val="center"/>
          </w:tcPr>
          <w:p w14:paraId="6CA5A213">
            <w:pPr>
              <w:adjustRightInd w:val="0"/>
              <w:jc w:val="center"/>
              <w:textAlignment w:val="baseline"/>
              <w:rPr>
                <w:rFonts w:ascii="Times New Roman" w:hAnsi="Times New Roman" w:cs="Times New Roman"/>
                <w:bCs/>
                <w:kern w:val="24"/>
                <w:sz w:val="21"/>
                <w:szCs w:val="21"/>
              </w:rPr>
            </w:pPr>
            <w:r>
              <w:rPr>
                <w:rFonts w:hint="eastAsia" w:ascii="Times New Roman" w:hAnsi="Times New Roman" w:cs="Times New Roman"/>
                <w:kern w:val="2"/>
                <w:sz w:val="21"/>
                <w:szCs w:val="21"/>
              </w:rPr>
              <w:t>11618.2</w:t>
            </w:r>
            <w:r>
              <w:rPr>
                <w:rFonts w:ascii="Times New Roman" w:hAnsi="Times New Roman" w:cs="Times New Roman"/>
                <w:bCs/>
                <w:kern w:val="24"/>
                <w:sz w:val="21"/>
                <w:szCs w:val="21"/>
                <w:vertAlign w:val="superscript"/>
              </w:rPr>
              <w:fldChar w:fldCharType="begin"/>
            </w:r>
            <w:r>
              <w:rPr>
                <w:rFonts w:ascii="Times New Roman" w:hAnsi="Times New Roman" w:cs="Times New Roman"/>
                <w:bCs/>
                <w:kern w:val="24"/>
                <w:sz w:val="21"/>
                <w:szCs w:val="21"/>
                <w:vertAlign w:val="superscript"/>
              </w:rPr>
              <w:instrText xml:space="preserve">= 1 \* GB3</w:instrText>
            </w:r>
            <w:r>
              <w:rPr>
                <w:rFonts w:ascii="Times New Roman" w:hAnsi="Times New Roman" w:cs="Times New Roman"/>
                <w:bCs/>
                <w:kern w:val="24"/>
                <w:sz w:val="21"/>
                <w:szCs w:val="21"/>
                <w:vertAlign w:val="superscript"/>
              </w:rPr>
              <w:fldChar w:fldCharType="separate"/>
            </w:r>
            <w:r>
              <w:rPr>
                <w:rFonts w:hint="eastAsia"/>
                <w:bCs/>
                <w:kern w:val="24"/>
                <w:sz w:val="21"/>
                <w:szCs w:val="21"/>
                <w:vertAlign w:val="superscript"/>
              </w:rPr>
              <w:t>①</w:t>
            </w:r>
            <w:r>
              <w:rPr>
                <w:rFonts w:ascii="Times New Roman" w:hAnsi="Times New Roman" w:cs="Times New Roman"/>
                <w:bCs/>
                <w:kern w:val="24"/>
                <w:sz w:val="21"/>
                <w:szCs w:val="21"/>
                <w:vertAlign w:val="superscript"/>
              </w:rPr>
              <w:fldChar w:fldCharType="end"/>
            </w:r>
            <w:r>
              <w:rPr>
                <w:rFonts w:ascii="Times New Roman" w:hAnsi="Times New Roman" w:cs="Times New Roman"/>
                <w:bCs/>
                <w:kern w:val="24"/>
                <w:sz w:val="21"/>
                <w:szCs w:val="21"/>
              </w:rPr>
              <w:t>/0</w:t>
            </w:r>
            <w:r>
              <w:rPr>
                <w:rFonts w:ascii="Times New Roman" w:hAnsi="Times New Roman" w:cs="Times New Roman"/>
                <w:bCs/>
                <w:kern w:val="24"/>
                <w:sz w:val="21"/>
                <w:szCs w:val="21"/>
                <w:vertAlign w:val="superscript"/>
              </w:rPr>
              <w:fldChar w:fldCharType="begin"/>
            </w:r>
            <w:r>
              <w:rPr>
                <w:rFonts w:ascii="Times New Roman" w:hAnsi="Times New Roman" w:cs="Times New Roman"/>
                <w:bCs/>
                <w:kern w:val="24"/>
                <w:sz w:val="21"/>
                <w:szCs w:val="21"/>
                <w:vertAlign w:val="superscript"/>
              </w:rPr>
              <w:instrText xml:space="preserve">= 2 \* GB3</w:instrText>
            </w:r>
            <w:r>
              <w:rPr>
                <w:rFonts w:ascii="Times New Roman" w:hAnsi="Times New Roman" w:cs="Times New Roman"/>
                <w:bCs/>
                <w:kern w:val="24"/>
                <w:sz w:val="21"/>
                <w:szCs w:val="21"/>
                <w:vertAlign w:val="superscript"/>
              </w:rPr>
              <w:fldChar w:fldCharType="separate"/>
            </w:r>
            <w:r>
              <w:rPr>
                <w:rFonts w:hint="eastAsia"/>
                <w:bCs/>
                <w:kern w:val="24"/>
                <w:sz w:val="21"/>
                <w:szCs w:val="21"/>
                <w:vertAlign w:val="superscript"/>
              </w:rPr>
              <w:t>②</w:t>
            </w:r>
            <w:r>
              <w:rPr>
                <w:rFonts w:ascii="Times New Roman" w:hAnsi="Times New Roman" w:cs="Times New Roman"/>
                <w:bCs/>
                <w:kern w:val="24"/>
                <w:sz w:val="21"/>
                <w:szCs w:val="21"/>
                <w:vertAlign w:val="superscript"/>
              </w:rPr>
              <w:fldChar w:fldCharType="end"/>
            </w:r>
          </w:p>
        </w:tc>
        <w:tc>
          <w:tcPr>
            <w:tcW w:w="1638" w:type="dxa"/>
            <w:noWrap w:val="0"/>
            <w:vAlign w:val="center"/>
          </w:tcPr>
          <w:p w14:paraId="1273AF7E">
            <w:pPr>
              <w:adjustRightInd w:val="0"/>
              <w:jc w:val="center"/>
              <w:textAlignment w:val="baseline"/>
              <w:rPr>
                <w:rFonts w:ascii="Times New Roman" w:hAnsi="Times New Roman" w:cs="Times New Roman"/>
                <w:bCs/>
                <w:kern w:val="24"/>
                <w:sz w:val="21"/>
                <w:szCs w:val="21"/>
              </w:rPr>
            </w:pPr>
            <w:r>
              <w:rPr>
                <w:rFonts w:ascii="Times New Roman" w:hAnsi="Times New Roman" w:cs="Times New Roman"/>
                <w:bCs/>
                <w:kern w:val="24"/>
                <w:sz w:val="21"/>
                <w:szCs w:val="21"/>
              </w:rPr>
              <w:t>--</w:t>
            </w:r>
          </w:p>
        </w:tc>
        <w:tc>
          <w:tcPr>
            <w:tcW w:w="2124" w:type="dxa"/>
            <w:gridSpan w:val="2"/>
            <w:vMerge w:val="restart"/>
            <w:noWrap w:val="0"/>
            <w:vAlign w:val="center"/>
          </w:tcPr>
          <w:p w14:paraId="04C24379">
            <w:pPr>
              <w:adjustRightInd w:val="0"/>
              <w:snapToGrid w:val="0"/>
              <w:spacing w:line="240" w:lineRule="exact"/>
              <w:jc w:val="center"/>
              <w:rPr>
                <w:rFonts w:ascii="Times New Roman" w:hAnsi="Times New Roman" w:cs="Times New Roman"/>
                <w:sz w:val="21"/>
                <w:szCs w:val="21"/>
              </w:rPr>
            </w:pPr>
            <w:r>
              <w:rPr>
                <w:rFonts w:ascii="Times New Roman" w:hAnsi="Times New Roman" w:cs="Times New Roman"/>
                <w:bCs/>
                <w:sz w:val="21"/>
                <w:szCs w:val="21"/>
              </w:rPr>
              <w:t>GB18599-20</w:t>
            </w:r>
            <w:r>
              <w:rPr>
                <w:rFonts w:hint="eastAsia" w:ascii="Times New Roman" w:hAnsi="Times New Roman" w:cs="Times New Roman"/>
                <w:bCs/>
                <w:sz w:val="21"/>
                <w:szCs w:val="21"/>
              </w:rPr>
              <w:t>20</w:t>
            </w:r>
          </w:p>
        </w:tc>
      </w:tr>
      <w:tr w14:paraId="605BAF1A">
        <w:tblPrEx>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757" w:type="dxa"/>
            <w:gridSpan w:val="2"/>
            <w:vMerge w:val="continue"/>
            <w:noWrap w:val="0"/>
            <w:vAlign w:val="center"/>
          </w:tcPr>
          <w:p w14:paraId="1B554C68">
            <w:pPr>
              <w:adjustRightInd w:val="0"/>
              <w:snapToGrid w:val="0"/>
              <w:spacing w:line="240" w:lineRule="exact"/>
              <w:jc w:val="center"/>
              <w:rPr>
                <w:rFonts w:ascii="Times New Roman" w:hAnsi="Times New Roman" w:cs="Times New Roman"/>
                <w:sz w:val="21"/>
                <w:szCs w:val="21"/>
              </w:rPr>
            </w:pPr>
          </w:p>
        </w:tc>
        <w:tc>
          <w:tcPr>
            <w:tcW w:w="1465" w:type="dxa"/>
            <w:vMerge w:val="continue"/>
            <w:noWrap w:val="0"/>
            <w:vAlign w:val="center"/>
          </w:tcPr>
          <w:p w14:paraId="43932134">
            <w:pPr>
              <w:adjustRightInd w:val="0"/>
              <w:snapToGrid w:val="0"/>
              <w:spacing w:line="240" w:lineRule="exact"/>
              <w:jc w:val="center"/>
              <w:rPr>
                <w:rFonts w:ascii="Times New Roman" w:hAnsi="Times New Roman" w:cs="Times New Roman"/>
                <w:sz w:val="21"/>
                <w:szCs w:val="21"/>
              </w:rPr>
            </w:pPr>
          </w:p>
        </w:tc>
        <w:tc>
          <w:tcPr>
            <w:tcW w:w="1311" w:type="dxa"/>
            <w:noWrap w:val="0"/>
            <w:vAlign w:val="center"/>
          </w:tcPr>
          <w:p w14:paraId="1CC07718">
            <w:pPr>
              <w:jc w:val="center"/>
              <w:rPr>
                <w:rFonts w:ascii="Times New Roman" w:hAnsi="Times New Roman" w:cs="Times New Roman"/>
                <w:kern w:val="2"/>
                <w:sz w:val="21"/>
                <w:szCs w:val="21"/>
              </w:rPr>
            </w:pPr>
            <w:r>
              <w:rPr>
                <w:rFonts w:ascii="Times New Roman" w:hAnsi="Times New Roman" w:cs="Times New Roman"/>
                <w:kern w:val="2"/>
                <w:sz w:val="21"/>
                <w:szCs w:val="21"/>
              </w:rPr>
              <w:t>除尘灰</w:t>
            </w:r>
          </w:p>
        </w:tc>
        <w:tc>
          <w:tcPr>
            <w:tcW w:w="3649" w:type="dxa"/>
            <w:gridSpan w:val="2"/>
            <w:noWrap w:val="0"/>
            <w:vAlign w:val="center"/>
          </w:tcPr>
          <w:p w14:paraId="3040DA74">
            <w:pPr>
              <w:jc w:val="center"/>
              <w:rPr>
                <w:rFonts w:ascii="Times New Roman" w:hAnsi="Times New Roman" w:cs="Times New Roman"/>
                <w:kern w:val="2"/>
                <w:sz w:val="21"/>
                <w:szCs w:val="21"/>
              </w:rPr>
            </w:pPr>
            <w:r>
              <w:rPr>
                <w:rFonts w:ascii="Times New Roman" w:hAnsi="Times New Roman" w:cs="Times New Roman"/>
                <w:kern w:val="2"/>
                <w:sz w:val="21"/>
                <w:szCs w:val="21"/>
              </w:rPr>
              <w:t>作冶炼原料外售</w:t>
            </w:r>
          </w:p>
        </w:tc>
        <w:tc>
          <w:tcPr>
            <w:tcW w:w="1436" w:type="dxa"/>
            <w:noWrap w:val="0"/>
            <w:vAlign w:val="center"/>
          </w:tcPr>
          <w:p w14:paraId="764F5023">
            <w:pPr>
              <w:adjustRightInd w:val="0"/>
              <w:jc w:val="center"/>
              <w:textAlignment w:val="baseline"/>
              <w:rPr>
                <w:rFonts w:ascii="Times New Roman" w:hAnsi="Times New Roman" w:cs="Times New Roman"/>
                <w:bCs/>
                <w:kern w:val="24"/>
                <w:sz w:val="21"/>
                <w:szCs w:val="21"/>
              </w:rPr>
            </w:pPr>
            <w:r>
              <w:rPr>
                <w:rFonts w:ascii="Times New Roman" w:hAnsi="Times New Roman" w:cs="Times New Roman"/>
                <w:bCs/>
                <w:kern w:val="24"/>
                <w:sz w:val="21"/>
                <w:szCs w:val="21"/>
              </w:rPr>
              <w:t>--</w:t>
            </w:r>
          </w:p>
        </w:tc>
        <w:tc>
          <w:tcPr>
            <w:tcW w:w="1438" w:type="dxa"/>
            <w:noWrap w:val="0"/>
            <w:vAlign w:val="center"/>
          </w:tcPr>
          <w:p w14:paraId="6BFCE79E">
            <w:pPr>
              <w:adjustRightInd w:val="0"/>
              <w:jc w:val="center"/>
              <w:textAlignment w:val="baseline"/>
              <w:rPr>
                <w:rFonts w:hint="eastAsia" w:ascii="Times New Roman" w:hAnsi="Times New Roman" w:cs="Times New Roman"/>
                <w:bCs/>
                <w:kern w:val="24"/>
                <w:sz w:val="21"/>
                <w:szCs w:val="21"/>
              </w:rPr>
            </w:pPr>
            <w:r>
              <w:rPr>
                <w:rFonts w:ascii="Times New Roman" w:hAnsi="Times New Roman" w:cs="Times New Roman"/>
                <w:kern w:val="2"/>
                <w:sz w:val="21"/>
                <w:szCs w:val="21"/>
              </w:rPr>
              <w:t>2321.13</w:t>
            </w:r>
            <w:r>
              <w:rPr>
                <w:rFonts w:ascii="Times New Roman" w:hAnsi="Times New Roman" w:cs="Times New Roman"/>
                <w:bCs/>
                <w:kern w:val="24"/>
                <w:sz w:val="21"/>
                <w:szCs w:val="21"/>
                <w:vertAlign w:val="superscript"/>
              </w:rPr>
              <w:fldChar w:fldCharType="begin"/>
            </w:r>
            <w:r>
              <w:rPr>
                <w:rFonts w:ascii="Times New Roman" w:hAnsi="Times New Roman" w:cs="Times New Roman"/>
                <w:bCs/>
                <w:kern w:val="24"/>
                <w:sz w:val="21"/>
                <w:szCs w:val="21"/>
                <w:vertAlign w:val="superscript"/>
              </w:rPr>
              <w:instrText xml:space="preserve">= 1 \* GB3</w:instrText>
            </w:r>
            <w:r>
              <w:rPr>
                <w:rFonts w:ascii="Times New Roman" w:hAnsi="Times New Roman" w:cs="Times New Roman"/>
                <w:bCs/>
                <w:kern w:val="24"/>
                <w:sz w:val="21"/>
                <w:szCs w:val="21"/>
                <w:vertAlign w:val="superscript"/>
              </w:rPr>
              <w:fldChar w:fldCharType="separate"/>
            </w:r>
            <w:r>
              <w:rPr>
                <w:rFonts w:hint="eastAsia"/>
                <w:bCs/>
                <w:kern w:val="24"/>
                <w:sz w:val="21"/>
                <w:szCs w:val="21"/>
                <w:vertAlign w:val="superscript"/>
              </w:rPr>
              <w:t>①</w:t>
            </w:r>
            <w:r>
              <w:rPr>
                <w:rFonts w:ascii="Times New Roman" w:hAnsi="Times New Roman" w:cs="Times New Roman"/>
                <w:bCs/>
                <w:kern w:val="24"/>
                <w:sz w:val="21"/>
                <w:szCs w:val="21"/>
                <w:vertAlign w:val="superscript"/>
              </w:rPr>
              <w:fldChar w:fldCharType="end"/>
            </w:r>
            <w:r>
              <w:rPr>
                <w:rFonts w:ascii="Times New Roman" w:hAnsi="Times New Roman" w:cs="Times New Roman"/>
                <w:bCs/>
                <w:kern w:val="24"/>
                <w:sz w:val="21"/>
                <w:szCs w:val="21"/>
              </w:rPr>
              <w:t>/0</w:t>
            </w:r>
            <w:r>
              <w:rPr>
                <w:rFonts w:ascii="Times New Roman" w:hAnsi="Times New Roman" w:cs="Times New Roman"/>
                <w:bCs/>
                <w:kern w:val="24"/>
                <w:sz w:val="21"/>
                <w:szCs w:val="21"/>
                <w:vertAlign w:val="superscript"/>
              </w:rPr>
              <w:fldChar w:fldCharType="begin"/>
            </w:r>
            <w:r>
              <w:rPr>
                <w:rFonts w:ascii="Times New Roman" w:hAnsi="Times New Roman" w:cs="Times New Roman"/>
                <w:bCs/>
                <w:kern w:val="24"/>
                <w:sz w:val="21"/>
                <w:szCs w:val="21"/>
                <w:vertAlign w:val="superscript"/>
              </w:rPr>
              <w:instrText xml:space="preserve">= 2 \* GB3</w:instrText>
            </w:r>
            <w:r>
              <w:rPr>
                <w:rFonts w:ascii="Times New Roman" w:hAnsi="Times New Roman" w:cs="Times New Roman"/>
                <w:bCs/>
                <w:kern w:val="24"/>
                <w:sz w:val="21"/>
                <w:szCs w:val="21"/>
                <w:vertAlign w:val="superscript"/>
              </w:rPr>
              <w:fldChar w:fldCharType="separate"/>
            </w:r>
            <w:r>
              <w:rPr>
                <w:rFonts w:hint="eastAsia"/>
                <w:bCs/>
                <w:kern w:val="24"/>
                <w:sz w:val="21"/>
                <w:szCs w:val="21"/>
                <w:vertAlign w:val="superscript"/>
              </w:rPr>
              <w:t>②</w:t>
            </w:r>
            <w:r>
              <w:rPr>
                <w:rFonts w:ascii="Times New Roman" w:hAnsi="Times New Roman" w:cs="Times New Roman"/>
                <w:bCs/>
                <w:kern w:val="24"/>
                <w:sz w:val="21"/>
                <w:szCs w:val="21"/>
                <w:vertAlign w:val="superscript"/>
              </w:rPr>
              <w:fldChar w:fldCharType="end"/>
            </w:r>
          </w:p>
        </w:tc>
        <w:tc>
          <w:tcPr>
            <w:tcW w:w="1638" w:type="dxa"/>
            <w:noWrap w:val="0"/>
            <w:vAlign w:val="center"/>
          </w:tcPr>
          <w:p w14:paraId="2B141B8C">
            <w:pPr>
              <w:adjustRightInd w:val="0"/>
              <w:jc w:val="center"/>
              <w:textAlignment w:val="baseline"/>
              <w:rPr>
                <w:rFonts w:ascii="Times New Roman" w:hAnsi="Times New Roman" w:cs="Times New Roman"/>
                <w:bCs/>
                <w:kern w:val="24"/>
                <w:sz w:val="21"/>
                <w:szCs w:val="21"/>
              </w:rPr>
            </w:pPr>
            <w:r>
              <w:rPr>
                <w:rFonts w:ascii="Times New Roman" w:hAnsi="Times New Roman" w:cs="Times New Roman"/>
                <w:bCs/>
                <w:kern w:val="24"/>
                <w:sz w:val="21"/>
                <w:szCs w:val="21"/>
              </w:rPr>
              <w:t>--</w:t>
            </w:r>
          </w:p>
        </w:tc>
        <w:tc>
          <w:tcPr>
            <w:tcW w:w="2124" w:type="dxa"/>
            <w:gridSpan w:val="2"/>
            <w:vMerge w:val="continue"/>
            <w:noWrap w:val="0"/>
            <w:vAlign w:val="center"/>
          </w:tcPr>
          <w:p w14:paraId="4D87A4C0">
            <w:pPr>
              <w:adjustRightInd w:val="0"/>
              <w:snapToGrid w:val="0"/>
              <w:spacing w:line="240" w:lineRule="exact"/>
              <w:jc w:val="center"/>
              <w:rPr>
                <w:rFonts w:ascii="Times New Roman" w:hAnsi="Times New Roman" w:cs="Times New Roman"/>
                <w:bCs/>
                <w:sz w:val="21"/>
                <w:szCs w:val="21"/>
              </w:rPr>
            </w:pPr>
          </w:p>
        </w:tc>
      </w:tr>
      <w:tr w14:paraId="0978D284">
        <w:tblPrEx>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757" w:type="dxa"/>
            <w:gridSpan w:val="2"/>
            <w:vMerge w:val="continue"/>
            <w:noWrap w:val="0"/>
            <w:vAlign w:val="center"/>
          </w:tcPr>
          <w:p w14:paraId="7A31D543">
            <w:pPr>
              <w:adjustRightInd w:val="0"/>
              <w:snapToGrid w:val="0"/>
              <w:spacing w:line="240" w:lineRule="exact"/>
              <w:jc w:val="center"/>
              <w:rPr>
                <w:rFonts w:ascii="Times New Roman" w:hAnsi="Times New Roman" w:cs="Times New Roman"/>
                <w:sz w:val="21"/>
                <w:szCs w:val="21"/>
              </w:rPr>
            </w:pPr>
          </w:p>
        </w:tc>
        <w:tc>
          <w:tcPr>
            <w:tcW w:w="1465" w:type="dxa"/>
            <w:vMerge w:val="continue"/>
            <w:noWrap w:val="0"/>
            <w:vAlign w:val="center"/>
          </w:tcPr>
          <w:p w14:paraId="2EED2E4F">
            <w:pPr>
              <w:adjustRightInd w:val="0"/>
              <w:snapToGrid w:val="0"/>
              <w:spacing w:line="240" w:lineRule="exact"/>
              <w:jc w:val="center"/>
              <w:rPr>
                <w:rFonts w:ascii="Times New Roman" w:hAnsi="Times New Roman" w:cs="Times New Roman"/>
                <w:sz w:val="21"/>
                <w:szCs w:val="21"/>
              </w:rPr>
            </w:pPr>
          </w:p>
        </w:tc>
        <w:tc>
          <w:tcPr>
            <w:tcW w:w="1311" w:type="dxa"/>
            <w:noWrap w:val="0"/>
            <w:vAlign w:val="center"/>
          </w:tcPr>
          <w:p w14:paraId="206BDE9C">
            <w:pPr>
              <w:jc w:val="center"/>
              <w:rPr>
                <w:rFonts w:ascii="Times New Roman" w:hAnsi="Times New Roman" w:cs="Times New Roman"/>
                <w:kern w:val="2"/>
                <w:sz w:val="21"/>
                <w:szCs w:val="21"/>
              </w:rPr>
            </w:pPr>
            <w:r>
              <w:rPr>
                <w:rFonts w:hint="eastAsia" w:ascii="Times New Roman" w:hAnsi="Times New Roman" w:cs="Times New Roman"/>
                <w:kern w:val="2"/>
                <w:sz w:val="21"/>
                <w:szCs w:val="21"/>
              </w:rPr>
              <w:t>切割废边角料</w:t>
            </w:r>
          </w:p>
        </w:tc>
        <w:tc>
          <w:tcPr>
            <w:tcW w:w="3649" w:type="dxa"/>
            <w:gridSpan w:val="2"/>
            <w:noWrap w:val="0"/>
            <w:vAlign w:val="center"/>
          </w:tcPr>
          <w:p w14:paraId="073E487B">
            <w:pPr>
              <w:jc w:val="center"/>
              <w:rPr>
                <w:rFonts w:ascii="Times New Roman" w:hAnsi="Times New Roman" w:cs="Times New Roman"/>
                <w:kern w:val="2"/>
                <w:sz w:val="21"/>
                <w:szCs w:val="21"/>
              </w:rPr>
            </w:pPr>
            <w:r>
              <w:rPr>
                <w:rFonts w:hint="eastAsia" w:ascii="Times New Roman" w:hAnsi="Times New Roman" w:cs="Times New Roman"/>
                <w:kern w:val="2"/>
                <w:sz w:val="21"/>
                <w:szCs w:val="21"/>
              </w:rPr>
              <w:t>回用于生产</w:t>
            </w:r>
          </w:p>
        </w:tc>
        <w:tc>
          <w:tcPr>
            <w:tcW w:w="1436" w:type="dxa"/>
            <w:noWrap w:val="0"/>
            <w:vAlign w:val="center"/>
          </w:tcPr>
          <w:p w14:paraId="32EB07E1">
            <w:pPr>
              <w:adjustRightInd w:val="0"/>
              <w:jc w:val="center"/>
              <w:textAlignment w:val="baseline"/>
              <w:rPr>
                <w:rFonts w:ascii="Times New Roman" w:hAnsi="Times New Roman" w:cs="Times New Roman"/>
                <w:bCs/>
                <w:kern w:val="24"/>
                <w:sz w:val="21"/>
                <w:szCs w:val="21"/>
              </w:rPr>
            </w:pPr>
            <w:r>
              <w:rPr>
                <w:rFonts w:ascii="Times New Roman" w:hAnsi="Times New Roman" w:cs="Times New Roman"/>
                <w:bCs/>
                <w:kern w:val="24"/>
                <w:sz w:val="21"/>
                <w:szCs w:val="21"/>
              </w:rPr>
              <w:t>--</w:t>
            </w:r>
          </w:p>
        </w:tc>
        <w:tc>
          <w:tcPr>
            <w:tcW w:w="1438" w:type="dxa"/>
            <w:noWrap w:val="0"/>
            <w:vAlign w:val="center"/>
          </w:tcPr>
          <w:p w14:paraId="23A6E691">
            <w:pPr>
              <w:adjustRightInd w:val="0"/>
              <w:jc w:val="center"/>
              <w:textAlignment w:val="baseline"/>
              <w:rPr>
                <w:rFonts w:hint="eastAsia" w:ascii="Times New Roman" w:hAnsi="Times New Roman" w:cs="Times New Roman"/>
                <w:bCs/>
                <w:kern w:val="24"/>
                <w:sz w:val="21"/>
                <w:szCs w:val="21"/>
              </w:rPr>
            </w:pPr>
            <w:r>
              <w:rPr>
                <w:rFonts w:hint="eastAsia" w:ascii="Times New Roman" w:hAnsi="Times New Roman" w:cs="Times New Roman"/>
                <w:kern w:val="2"/>
                <w:sz w:val="21"/>
                <w:szCs w:val="21"/>
              </w:rPr>
              <w:t>6821</w:t>
            </w:r>
            <w:r>
              <w:rPr>
                <w:rFonts w:ascii="Times New Roman" w:hAnsi="Times New Roman" w:cs="Times New Roman"/>
                <w:bCs/>
                <w:kern w:val="24"/>
                <w:sz w:val="21"/>
                <w:szCs w:val="21"/>
                <w:vertAlign w:val="superscript"/>
              </w:rPr>
              <w:fldChar w:fldCharType="begin"/>
            </w:r>
            <w:r>
              <w:rPr>
                <w:rFonts w:ascii="Times New Roman" w:hAnsi="Times New Roman" w:cs="Times New Roman"/>
                <w:bCs/>
                <w:kern w:val="24"/>
                <w:sz w:val="21"/>
                <w:szCs w:val="21"/>
                <w:vertAlign w:val="superscript"/>
              </w:rPr>
              <w:instrText xml:space="preserve">= 1 \* GB3</w:instrText>
            </w:r>
            <w:r>
              <w:rPr>
                <w:rFonts w:ascii="Times New Roman" w:hAnsi="Times New Roman" w:cs="Times New Roman"/>
                <w:bCs/>
                <w:kern w:val="24"/>
                <w:sz w:val="21"/>
                <w:szCs w:val="21"/>
                <w:vertAlign w:val="superscript"/>
              </w:rPr>
              <w:fldChar w:fldCharType="separate"/>
            </w:r>
            <w:r>
              <w:rPr>
                <w:rFonts w:hint="eastAsia"/>
                <w:bCs/>
                <w:kern w:val="24"/>
                <w:sz w:val="21"/>
                <w:szCs w:val="21"/>
                <w:vertAlign w:val="superscript"/>
              </w:rPr>
              <w:t>①</w:t>
            </w:r>
            <w:r>
              <w:rPr>
                <w:rFonts w:ascii="Times New Roman" w:hAnsi="Times New Roman" w:cs="Times New Roman"/>
                <w:bCs/>
                <w:kern w:val="24"/>
                <w:sz w:val="21"/>
                <w:szCs w:val="21"/>
                <w:vertAlign w:val="superscript"/>
              </w:rPr>
              <w:fldChar w:fldCharType="end"/>
            </w:r>
            <w:r>
              <w:rPr>
                <w:rFonts w:ascii="Times New Roman" w:hAnsi="Times New Roman" w:cs="Times New Roman"/>
                <w:bCs/>
                <w:kern w:val="24"/>
                <w:sz w:val="21"/>
                <w:szCs w:val="21"/>
              </w:rPr>
              <w:t>/0</w:t>
            </w:r>
            <w:r>
              <w:rPr>
                <w:rFonts w:ascii="Times New Roman" w:hAnsi="Times New Roman" w:cs="Times New Roman"/>
                <w:bCs/>
                <w:kern w:val="24"/>
                <w:sz w:val="21"/>
                <w:szCs w:val="21"/>
                <w:vertAlign w:val="superscript"/>
              </w:rPr>
              <w:fldChar w:fldCharType="begin"/>
            </w:r>
            <w:r>
              <w:rPr>
                <w:rFonts w:ascii="Times New Roman" w:hAnsi="Times New Roman" w:cs="Times New Roman"/>
                <w:bCs/>
                <w:kern w:val="24"/>
                <w:sz w:val="21"/>
                <w:szCs w:val="21"/>
                <w:vertAlign w:val="superscript"/>
              </w:rPr>
              <w:instrText xml:space="preserve">= 2 \* GB3</w:instrText>
            </w:r>
            <w:r>
              <w:rPr>
                <w:rFonts w:ascii="Times New Roman" w:hAnsi="Times New Roman" w:cs="Times New Roman"/>
                <w:bCs/>
                <w:kern w:val="24"/>
                <w:sz w:val="21"/>
                <w:szCs w:val="21"/>
                <w:vertAlign w:val="superscript"/>
              </w:rPr>
              <w:fldChar w:fldCharType="separate"/>
            </w:r>
            <w:r>
              <w:rPr>
                <w:rFonts w:hint="eastAsia"/>
                <w:bCs/>
                <w:kern w:val="24"/>
                <w:sz w:val="21"/>
                <w:szCs w:val="21"/>
                <w:vertAlign w:val="superscript"/>
              </w:rPr>
              <w:t>②</w:t>
            </w:r>
            <w:r>
              <w:rPr>
                <w:rFonts w:ascii="Times New Roman" w:hAnsi="Times New Roman" w:cs="Times New Roman"/>
                <w:bCs/>
                <w:kern w:val="24"/>
                <w:sz w:val="21"/>
                <w:szCs w:val="21"/>
                <w:vertAlign w:val="superscript"/>
              </w:rPr>
              <w:fldChar w:fldCharType="end"/>
            </w:r>
          </w:p>
        </w:tc>
        <w:tc>
          <w:tcPr>
            <w:tcW w:w="1638" w:type="dxa"/>
            <w:noWrap w:val="0"/>
            <w:vAlign w:val="center"/>
          </w:tcPr>
          <w:p w14:paraId="43D3A46A">
            <w:pPr>
              <w:adjustRightInd w:val="0"/>
              <w:jc w:val="center"/>
              <w:textAlignment w:val="baseline"/>
              <w:rPr>
                <w:rFonts w:ascii="Times New Roman" w:hAnsi="Times New Roman" w:cs="Times New Roman"/>
                <w:bCs/>
                <w:kern w:val="24"/>
                <w:sz w:val="21"/>
                <w:szCs w:val="21"/>
              </w:rPr>
            </w:pPr>
            <w:r>
              <w:rPr>
                <w:rFonts w:ascii="Times New Roman" w:hAnsi="Times New Roman" w:cs="Times New Roman"/>
                <w:bCs/>
                <w:kern w:val="24"/>
                <w:sz w:val="21"/>
                <w:szCs w:val="21"/>
              </w:rPr>
              <w:t>--</w:t>
            </w:r>
          </w:p>
        </w:tc>
        <w:tc>
          <w:tcPr>
            <w:tcW w:w="2124" w:type="dxa"/>
            <w:gridSpan w:val="2"/>
            <w:vMerge w:val="continue"/>
            <w:noWrap w:val="0"/>
            <w:vAlign w:val="center"/>
          </w:tcPr>
          <w:p w14:paraId="2A24BEEC">
            <w:pPr>
              <w:adjustRightInd w:val="0"/>
              <w:snapToGrid w:val="0"/>
              <w:spacing w:line="240" w:lineRule="exact"/>
              <w:jc w:val="center"/>
              <w:rPr>
                <w:rFonts w:ascii="Times New Roman" w:hAnsi="Times New Roman" w:cs="Times New Roman"/>
                <w:bCs/>
                <w:sz w:val="21"/>
                <w:szCs w:val="21"/>
              </w:rPr>
            </w:pPr>
          </w:p>
        </w:tc>
      </w:tr>
      <w:tr w14:paraId="3FABCCEF">
        <w:tblPrEx>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757" w:type="dxa"/>
            <w:gridSpan w:val="2"/>
            <w:vMerge w:val="continue"/>
            <w:noWrap w:val="0"/>
            <w:vAlign w:val="center"/>
          </w:tcPr>
          <w:p w14:paraId="26A242D5">
            <w:pPr>
              <w:adjustRightInd w:val="0"/>
              <w:snapToGrid w:val="0"/>
              <w:spacing w:line="240" w:lineRule="exact"/>
              <w:jc w:val="center"/>
              <w:rPr>
                <w:rFonts w:ascii="Times New Roman" w:hAnsi="Times New Roman" w:cs="Times New Roman"/>
                <w:sz w:val="21"/>
                <w:szCs w:val="21"/>
              </w:rPr>
            </w:pPr>
          </w:p>
        </w:tc>
        <w:tc>
          <w:tcPr>
            <w:tcW w:w="1465" w:type="dxa"/>
            <w:vMerge w:val="restart"/>
            <w:noWrap w:val="0"/>
            <w:vAlign w:val="center"/>
          </w:tcPr>
          <w:p w14:paraId="5951FA33">
            <w:pPr>
              <w:adjustRightInd w:val="0"/>
              <w:snapToGrid w:val="0"/>
              <w:spacing w:line="240" w:lineRule="exact"/>
              <w:jc w:val="center"/>
              <w:rPr>
                <w:rFonts w:ascii="Times New Roman" w:hAnsi="Times New Roman" w:cs="Times New Roman"/>
                <w:sz w:val="21"/>
                <w:szCs w:val="21"/>
              </w:rPr>
            </w:pPr>
            <w:r>
              <w:rPr>
                <w:rFonts w:hint="eastAsia" w:ascii="Times New Roman" w:hAnsi="Times New Roman" w:cs="Times New Roman"/>
                <w:sz w:val="21"/>
                <w:szCs w:val="21"/>
              </w:rPr>
              <w:t>危险废物</w:t>
            </w:r>
          </w:p>
        </w:tc>
        <w:tc>
          <w:tcPr>
            <w:tcW w:w="1311" w:type="dxa"/>
            <w:noWrap w:val="0"/>
            <w:vAlign w:val="center"/>
          </w:tcPr>
          <w:p w14:paraId="43768D98">
            <w:pPr>
              <w:jc w:val="center"/>
              <w:rPr>
                <w:rFonts w:hint="eastAsia" w:ascii="Times New Roman" w:hAnsi="Times New Roman" w:cs="Times New Roman"/>
                <w:sz w:val="21"/>
                <w:szCs w:val="21"/>
              </w:rPr>
            </w:pPr>
            <w:r>
              <w:rPr>
                <w:rFonts w:hint="eastAsia" w:ascii="Times New Roman" w:hAnsi="Times New Roman" w:cs="Times New Roman"/>
                <w:sz w:val="21"/>
                <w:szCs w:val="21"/>
              </w:rPr>
              <w:t>废液压油</w:t>
            </w:r>
          </w:p>
        </w:tc>
        <w:tc>
          <w:tcPr>
            <w:tcW w:w="3649" w:type="dxa"/>
            <w:gridSpan w:val="2"/>
            <w:vMerge w:val="restart"/>
            <w:noWrap w:val="0"/>
            <w:vAlign w:val="center"/>
          </w:tcPr>
          <w:p w14:paraId="6690C1FC">
            <w:pPr>
              <w:adjustRightInd w:val="0"/>
              <w:snapToGrid w:val="0"/>
              <w:spacing w:line="240" w:lineRule="exact"/>
              <w:jc w:val="center"/>
              <w:rPr>
                <w:rFonts w:ascii="Times New Roman" w:hAnsi="Times New Roman" w:cs="Times New Roman"/>
                <w:sz w:val="21"/>
                <w:szCs w:val="21"/>
              </w:rPr>
            </w:pPr>
            <w:r>
              <w:rPr>
                <w:rFonts w:hint="eastAsia" w:ascii="Times New Roman" w:hAnsi="Times New Roman" w:cs="Times New Roman"/>
                <w:sz w:val="21"/>
                <w:szCs w:val="21"/>
              </w:rPr>
              <w:t>暂存于</w:t>
            </w:r>
            <w:r>
              <w:rPr>
                <w:rFonts w:ascii="Times New Roman" w:hAnsi="Times New Roman" w:cs="Times New Roman"/>
                <w:sz w:val="21"/>
                <w:szCs w:val="21"/>
              </w:rPr>
              <w:t>厂区危废暂存间，定期委托有资质单位处置</w:t>
            </w:r>
          </w:p>
        </w:tc>
        <w:tc>
          <w:tcPr>
            <w:tcW w:w="1436" w:type="dxa"/>
            <w:noWrap w:val="0"/>
            <w:vAlign w:val="center"/>
          </w:tcPr>
          <w:p w14:paraId="02277790">
            <w:pPr>
              <w:adjustRightInd w:val="0"/>
              <w:jc w:val="center"/>
              <w:textAlignment w:val="baseline"/>
              <w:rPr>
                <w:rFonts w:ascii="Times New Roman" w:hAnsi="Times New Roman" w:cs="Times New Roman"/>
                <w:bCs/>
                <w:kern w:val="24"/>
                <w:sz w:val="21"/>
                <w:szCs w:val="21"/>
              </w:rPr>
            </w:pPr>
            <w:r>
              <w:rPr>
                <w:rFonts w:ascii="Times New Roman" w:hAnsi="Times New Roman" w:cs="Times New Roman"/>
                <w:bCs/>
                <w:kern w:val="24"/>
                <w:sz w:val="21"/>
                <w:szCs w:val="21"/>
              </w:rPr>
              <w:t>--</w:t>
            </w:r>
          </w:p>
        </w:tc>
        <w:tc>
          <w:tcPr>
            <w:tcW w:w="1438" w:type="dxa"/>
            <w:noWrap w:val="0"/>
            <w:vAlign w:val="center"/>
          </w:tcPr>
          <w:p w14:paraId="36177291">
            <w:pPr>
              <w:adjustRightInd w:val="0"/>
              <w:jc w:val="center"/>
              <w:textAlignment w:val="baseline"/>
              <w:rPr>
                <w:rFonts w:hint="eastAsia" w:ascii="Times New Roman" w:hAnsi="Times New Roman" w:cs="Times New Roman"/>
                <w:bCs/>
                <w:kern w:val="24"/>
                <w:sz w:val="21"/>
                <w:szCs w:val="21"/>
              </w:rPr>
            </w:pPr>
            <w:r>
              <w:rPr>
                <w:rFonts w:hint="eastAsia" w:ascii="Times New Roman" w:hAnsi="Times New Roman" w:cs="Times New Roman"/>
                <w:bCs/>
                <w:kern w:val="24"/>
                <w:sz w:val="21"/>
                <w:szCs w:val="21"/>
              </w:rPr>
              <w:t>0.72</w:t>
            </w:r>
            <w:r>
              <w:rPr>
                <w:rFonts w:ascii="Times New Roman" w:hAnsi="Times New Roman" w:cs="Times New Roman"/>
                <w:bCs/>
                <w:kern w:val="24"/>
                <w:sz w:val="21"/>
                <w:szCs w:val="21"/>
                <w:vertAlign w:val="superscript"/>
              </w:rPr>
              <w:fldChar w:fldCharType="begin"/>
            </w:r>
            <w:r>
              <w:rPr>
                <w:rFonts w:ascii="Times New Roman" w:hAnsi="Times New Roman" w:cs="Times New Roman"/>
                <w:bCs/>
                <w:kern w:val="24"/>
                <w:sz w:val="21"/>
                <w:szCs w:val="21"/>
                <w:vertAlign w:val="superscript"/>
              </w:rPr>
              <w:instrText xml:space="preserve">= 1 \* GB3</w:instrText>
            </w:r>
            <w:r>
              <w:rPr>
                <w:rFonts w:ascii="Times New Roman" w:hAnsi="Times New Roman" w:cs="Times New Roman"/>
                <w:bCs/>
                <w:kern w:val="24"/>
                <w:sz w:val="21"/>
                <w:szCs w:val="21"/>
                <w:vertAlign w:val="superscript"/>
              </w:rPr>
              <w:fldChar w:fldCharType="separate"/>
            </w:r>
            <w:r>
              <w:rPr>
                <w:rFonts w:hint="eastAsia"/>
                <w:bCs/>
                <w:kern w:val="24"/>
                <w:sz w:val="21"/>
                <w:szCs w:val="21"/>
                <w:vertAlign w:val="superscript"/>
              </w:rPr>
              <w:t>①</w:t>
            </w:r>
            <w:r>
              <w:rPr>
                <w:rFonts w:ascii="Times New Roman" w:hAnsi="Times New Roman" w:cs="Times New Roman"/>
                <w:bCs/>
                <w:kern w:val="24"/>
                <w:sz w:val="21"/>
                <w:szCs w:val="21"/>
                <w:vertAlign w:val="superscript"/>
              </w:rPr>
              <w:fldChar w:fldCharType="end"/>
            </w:r>
            <w:r>
              <w:rPr>
                <w:rFonts w:ascii="Times New Roman" w:hAnsi="Times New Roman" w:cs="Times New Roman"/>
                <w:bCs/>
                <w:kern w:val="24"/>
                <w:sz w:val="21"/>
                <w:szCs w:val="21"/>
              </w:rPr>
              <w:t>/0</w:t>
            </w:r>
            <w:r>
              <w:rPr>
                <w:rFonts w:ascii="Times New Roman" w:hAnsi="Times New Roman" w:cs="Times New Roman"/>
                <w:bCs/>
                <w:kern w:val="24"/>
                <w:sz w:val="21"/>
                <w:szCs w:val="21"/>
                <w:vertAlign w:val="superscript"/>
              </w:rPr>
              <w:fldChar w:fldCharType="begin"/>
            </w:r>
            <w:r>
              <w:rPr>
                <w:rFonts w:ascii="Times New Roman" w:hAnsi="Times New Roman" w:cs="Times New Roman"/>
                <w:bCs/>
                <w:kern w:val="24"/>
                <w:sz w:val="21"/>
                <w:szCs w:val="21"/>
                <w:vertAlign w:val="superscript"/>
              </w:rPr>
              <w:instrText xml:space="preserve">= 2 \* GB3</w:instrText>
            </w:r>
            <w:r>
              <w:rPr>
                <w:rFonts w:ascii="Times New Roman" w:hAnsi="Times New Roman" w:cs="Times New Roman"/>
                <w:bCs/>
                <w:kern w:val="24"/>
                <w:sz w:val="21"/>
                <w:szCs w:val="21"/>
                <w:vertAlign w:val="superscript"/>
              </w:rPr>
              <w:fldChar w:fldCharType="separate"/>
            </w:r>
            <w:r>
              <w:rPr>
                <w:rFonts w:hint="eastAsia"/>
                <w:bCs/>
                <w:kern w:val="24"/>
                <w:sz w:val="21"/>
                <w:szCs w:val="21"/>
                <w:vertAlign w:val="superscript"/>
              </w:rPr>
              <w:t>②</w:t>
            </w:r>
            <w:r>
              <w:rPr>
                <w:rFonts w:ascii="Times New Roman" w:hAnsi="Times New Roman" w:cs="Times New Roman"/>
                <w:bCs/>
                <w:kern w:val="24"/>
                <w:sz w:val="21"/>
                <w:szCs w:val="21"/>
                <w:vertAlign w:val="superscript"/>
              </w:rPr>
              <w:fldChar w:fldCharType="end"/>
            </w:r>
          </w:p>
        </w:tc>
        <w:tc>
          <w:tcPr>
            <w:tcW w:w="1638" w:type="dxa"/>
            <w:noWrap w:val="0"/>
            <w:vAlign w:val="center"/>
          </w:tcPr>
          <w:p w14:paraId="11CFEB58">
            <w:pPr>
              <w:adjustRightInd w:val="0"/>
              <w:jc w:val="center"/>
              <w:textAlignment w:val="baseline"/>
              <w:rPr>
                <w:rFonts w:ascii="Times New Roman" w:hAnsi="Times New Roman" w:cs="Times New Roman"/>
                <w:bCs/>
                <w:kern w:val="24"/>
                <w:sz w:val="21"/>
                <w:szCs w:val="21"/>
              </w:rPr>
            </w:pPr>
            <w:r>
              <w:rPr>
                <w:rFonts w:ascii="Times New Roman" w:hAnsi="Times New Roman" w:cs="Times New Roman"/>
                <w:bCs/>
                <w:kern w:val="24"/>
                <w:sz w:val="21"/>
                <w:szCs w:val="21"/>
              </w:rPr>
              <w:t>--</w:t>
            </w:r>
          </w:p>
        </w:tc>
        <w:tc>
          <w:tcPr>
            <w:tcW w:w="2124" w:type="dxa"/>
            <w:gridSpan w:val="2"/>
            <w:vMerge w:val="restart"/>
            <w:noWrap w:val="0"/>
            <w:vAlign w:val="center"/>
          </w:tcPr>
          <w:p w14:paraId="53C9A1AC">
            <w:pPr>
              <w:adjustRightInd w:val="0"/>
              <w:snapToGrid w:val="0"/>
              <w:spacing w:line="240" w:lineRule="exact"/>
              <w:jc w:val="center"/>
              <w:rPr>
                <w:rFonts w:ascii="Times New Roman" w:hAnsi="Times New Roman" w:cs="Times New Roman"/>
                <w:bCs/>
                <w:sz w:val="21"/>
                <w:szCs w:val="21"/>
              </w:rPr>
            </w:pPr>
            <w:r>
              <w:rPr>
                <w:rFonts w:ascii="Times New Roman" w:hAnsi="Times New Roman" w:cs="Times New Roman"/>
                <w:bCs/>
                <w:sz w:val="21"/>
                <w:szCs w:val="21"/>
              </w:rPr>
              <w:t>GB18597-2001，2013年修改</w:t>
            </w:r>
          </w:p>
        </w:tc>
      </w:tr>
      <w:tr w14:paraId="0AB5CBE9">
        <w:tblPrEx>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757" w:type="dxa"/>
            <w:gridSpan w:val="2"/>
            <w:vMerge w:val="continue"/>
            <w:noWrap w:val="0"/>
            <w:vAlign w:val="center"/>
          </w:tcPr>
          <w:p w14:paraId="168836E7">
            <w:pPr>
              <w:adjustRightInd w:val="0"/>
              <w:snapToGrid w:val="0"/>
              <w:spacing w:line="240" w:lineRule="exact"/>
              <w:jc w:val="center"/>
              <w:rPr>
                <w:rFonts w:ascii="Times New Roman" w:hAnsi="Times New Roman" w:cs="Times New Roman"/>
                <w:sz w:val="21"/>
                <w:szCs w:val="21"/>
              </w:rPr>
            </w:pPr>
          </w:p>
        </w:tc>
        <w:tc>
          <w:tcPr>
            <w:tcW w:w="1465" w:type="dxa"/>
            <w:vMerge w:val="continue"/>
            <w:noWrap w:val="0"/>
            <w:vAlign w:val="center"/>
          </w:tcPr>
          <w:p w14:paraId="38D2F878">
            <w:pPr>
              <w:adjustRightInd w:val="0"/>
              <w:snapToGrid w:val="0"/>
              <w:spacing w:line="240" w:lineRule="exact"/>
              <w:jc w:val="center"/>
              <w:rPr>
                <w:rFonts w:ascii="Times New Roman" w:hAnsi="Times New Roman" w:cs="Times New Roman"/>
                <w:sz w:val="21"/>
                <w:szCs w:val="21"/>
              </w:rPr>
            </w:pPr>
          </w:p>
        </w:tc>
        <w:tc>
          <w:tcPr>
            <w:tcW w:w="1311" w:type="dxa"/>
            <w:noWrap w:val="0"/>
            <w:vAlign w:val="center"/>
          </w:tcPr>
          <w:p w14:paraId="45C302BF">
            <w:pPr>
              <w:jc w:val="center"/>
              <w:rPr>
                <w:rFonts w:hint="eastAsia" w:ascii="Times New Roman" w:hAnsi="Times New Roman" w:cs="Times New Roman"/>
                <w:sz w:val="21"/>
                <w:szCs w:val="21"/>
              </w:rPr>
            </w:pPr>
            <w:r>
              <w:rPr>
                <w:rFonts w:hint="eastAsia" w:ascii="Times New Roman" w:hAnsi="Times New Roman" w:cs="Times New Roman"/>
                <w:sz w:val="21"/>
                <w:szCs w:val="21"/>
              </w:rPr>
              <w:t>废油桶</w:t>
            </w:r>
          </w:p>
        </w:tc>
        <w:tc>
          <w:tcPr>
            <w:tcW w:w="3649" w:type="dxa"/>
            <w:gridSpan w:val="2"/>
            <w:vMerge w:val="continue"/>
            <w:noWrap w:val="0"/>
            <w:vAlign w:val="center"/>
          </w:tcPr>
          <w:p w14:paraId="1713B899">
            <w:pPr>
              <w:adjustRightInd w:val="0"/>
              <w:snapToGrid w:val="0"/>
              <w:spacing w:line="240" w:lineRule="exact"/>
              <w:jc w:val="center"/>
              <w:rPr>
                <w:rFonts w:hint="eastAsia" w:ascii="Times New Roman" w:hAnsi="Times New Roman" w:cs="Times New Roman"/>
                <w:sz w:val="21"/>
                <w:szCs w:val="21"/>
              </w:rPr>
            </w:pPr>
          </w:p>
        </w:tc>
        <w:tc>
          <w:tcPr>
            <w:tcW w:w="1436" w:type="dxa"/>
            <w:noWrap w:val="0"/>
            <w:vAlign w:val="center"/>
          </w:tcPr>
          <w:p w14:paraId="54AD384A">
            <w:pPr>
              <w:adjustRightInd w:val="0"/>
              <w:jc w:val="center"/>
              <w:textAlignment w:val="baseline"/>
              <w:rPr>
                <w:rFonts w:ascii="Times New Roman" w:hAnsi="Times New Roman" w:cs="Times New Roman"/>
                <w:bCs/>
                <w:kern w:val="24"/>
                <w:sz w:val="21"/>
                <w:szCs w:val="21"/>
              </w:rPr>
            </w:pPr>
            <w:r>
              <w:rPr>
                <w:rFonts w:ascii="Times New Roman" w:hAnsi="Times New Roman" w:cs="Times New Roman"/>
                <w:bCs/>
                <w:kern w:val="24"/>
                <w:sz w:val="21"/>
                <w:szCs w:val="21"/>
              </w:rPr>
              <w:t>--</w:t>
            </w:r>
          </w:p>
        </w:tc>
        <w:tc>
          <w:tcPr>
            <w:tcW w:w="1438" w:type="dxa"/>
            <w:noWrap w:val="0"/>
            <w:vAlign w:val="center"/>
          </w:tcPr>
          <w:p w14:paraId="4F92F31A">
            <w:pPr>
              <w:adjustRightInd w:val="0"/>
              <w:jc w:val="center"/>
              <w:textAlignment w:val="baseline"/>
              <w:rPr>
                <w:rFonts w:hint="eastAsia" w:ascii="Times New Roman" w:hAnsi="Times New Roman" w:cs="Times New Roman"/>
                <w:bCs/>
                <w:kern w:val="24"/>
                <w:sz w:val="21"/>
                <w:szCs w:val="21"/>
              </w:rPr>
            </w:pPr>
            <w:r>
              <w:rPr>
                <w:rFonts w:hint="eastAsia" w:ascii="Times New Roman" w:hAnsi="Times New Roman" w:cs="Times New Roman"/>
                <w:bCs/>
                <w:kern w:val="24"/>
                <w:sz w:val="21"/>
                <w:szCs w:val="21"/>
              </w:rPr>
              <w:t>4个</w:t>
            </w:r>
            <w:r>
              <w:rPr>
                <w:rFonts w:ascii="Times New Roman" w:hAnsi="Times New Roman" w:cs="Times New Roman"/>
                <w:bCs/>
                <w:kern w:val="24"/>
                <w:sz w:val="21"/>
                <w:szCs w:val="21"/>
                <w:vertAlign w:val="superscript"/>
              </w:rPr>
              <w:fldChar w:fldCharType="begin"/>
            </w:r>
            <w:r>
              <w:rPr>
                <w:rFonts w:ascii="Times New Roman" w:hAnsi="Times New Roman" w:cs="Times New Roman"/>
                <w:bCs/>
                <w:kern w:val="24"/>
                <w:sz w:val="21"/>
                <w:szCs w:val="21"/>
                <w:vertAlign w:val="superscript"/>
              </w:rPr>
              <w:instrText xml:space="preserve">= 1 \* GB3</w:instrText>
            </w:r>
            <w:r>
              <w:rPr>
                <w:rFonts w:ascii="Times New Roman" w:hAnsi="Times New Roman" w:cs="Times New Roman"/>
                <w:bCs/>
                <w:kern w:val="24"/>
                <w:sz w:val="21"/>
                <w:szCs w:val="21"/>
                <w:vertAlign w:val="superscript"/>
              </w:rPr>
              <w:fldChar w:fldCharType="separate"/>
            </w:r>
            <w:r>
              <w:rPr>
                <w:rFonts w:hint="eastAsia"/>
                <w:bCs/>
                <w:kern w:val="24"/>
                <w:sz w:val="21"/>
                <w:szCs w:val="21"/>
                <w:vertAlign w:val="superscript"/>
              </w:rPr>
              <w:t>①</w:t>
            </w:r>
            <w:r>
              <w:rPr>
                <w:rFonts w:ascii="Times New Roman" w:hAnsi="Times New Roman" w:cs="Times New Roman"/>
                <w:bCs/>
                <w:kern w:val="24"/>
                <w:sz w:val="21"/>
                <w:szCs w:val="21"/>
                <w:vertAlign w:val="superscript"/>
              </w:rPr>
              <w:fldChar w:fldCharType="end"/>
            </w:r>
            <w:r>
              <w:rPr>
                <w:rFonts w:ascii="Times New Roman" w:hAnsi="Times New Roman" w:cs="Times New Roman"/>
                <w:bCs/>
                <w:kern w:val="24"/>
                <w:sz w:val="21"/>
                <w:szCs w:val="21"/>
              </w:rPr>
              <w:t>/0</w:t>
            </w:r>
            <w:r>
              <w:rPr>
                <w:rFonts w:ascii="Times New Roman" w:hAnsi="Times New Roman" w:cs="Times New Roman"/>
                <w:bCs/>
                <w:kern w:val="24"/>
                <w:sz w:val="21"/>
                <w:szCs w:val="21"/>
                <w:vertAlign w:val="superscript"/>
              </w:rPr>
              <w:fldChar w:fldCharType="begin"/>
            </w:r>
            <w:r>
              <w:rPr>
                <w:rFonts w:ascii="Times New Roman" w:hAnsi="Times New Roman" w:cs="Times New Roman"/>
                <w:bCs/>
                <w:kern w:val="24"/>
                <w:sz w:val="21"/>
                <w:szCs w:val="21"/>
                <w:vertAlign w:val="superscript"/>
              </w:rPr>
              <w:instrText xml:space="preserve">= 2 \* GB3</w:instrText>
            </w:r>
            <w:r>
              <w:rPr>
                <w:rFonts w:ascii="Times New Roman" w:hAnsi="Times New Roman" w:cs="Times New Roman"/>
                <w:bCs/>
                <w:kern w:val="24"/>
                <w:sz w:val="21"/>
                <w:szCs w:val="21"/>
                <w:vertAlign w:val="superscript"/>
              </w:rPr>
              <w:fldChar w:fldCharType="separate"/>
            </w:r>
            <w:r>
              <w:rPr>
                <w:rFonts w:hint="eastAsia"/>
                <w:bCs/>
                <w:kern w:val="24"/>
                <w:sz w:val="21"/>
                <w:szCs w:val="21"/>
                <w:vertAlign w:val="superscript"/>
              </w:rPr>
              <w:t>②</w:t>
            </w:r>
            <w:r>
              <w:rPr>
                <w:rFonts w:ascii="Times New Roman" w:hAnsi="Times New Roman" w:cs="Times New Roman"/>
                <w:bCs/>
                <w:kern w:val="24"/>
                <w:sz w:val="21"/>
                <w:szCs w:val="21"/>
                <w:vertAlign w:val="superscript"/>
              </w:rPr>
              <w:fldChar w:fldCharType="end"/>
            </w:r>
          </w:p>
        </w:tc>
        <w:tc>
          <w:tcPr>
            <w:tcW w:w="1638" w:type="dxa"/>
            <w:noWrap w:val="0"/>
            <w:vAlign w:val="center"/>
          </w:tcPr>
          <w:p w14:paraId="49E8FDFD">
            <w:pPr>
              <w:adjustRightInd w:val="0"/>
              <w:jc w:val="center"/>
              <w:textAlignment w:val="baseline"/>
              <w:rPr>
                <w:rFonts w:ascii="Times New Roman" w:hAnsi="Times New Roman" w:cs="Times New Roman"/>
                <w:bCs/>
                <w:kern w:val="24"/>
                <w:sz w:val="21"/>
                <w:szCs w:val="21"/>
              </w:rPr>
            </w:pPr>
            <w:r>
              <w:rPr>
                <w:rFonts w:ascii="Times New Roman" w:hAnsi="Times New Roman" w:cs="Times New Roman"/>
                <w:bCs/>
                <w:kern w:val="24"/>
                <w:sz w:val="21"/>
                <w:szCs w:val="21"/>
              </w:rPr>
              <w:t>--</w:t>
            </w:r>
          </w:p>
        </w:tc>
        <w:tc>
          <w:tcPr>
            <w:tcW w:w="2124" w:type="dxa"/>
            <w:gridSpan w:val="2"/>
            <w:vMerge w:val="continue"/>
            <w:noWrap w:val="0"/>
            <w:vAlign w:val="center"/>
          </w:tcPr>
          <w:p w14:paraId="4197144D">
            <w:pPr>
              <w:adjustRightInd w:val="0"/>
              <w:snapToGrid w:val="0"/>
              <w:spacing w:line="240" w:lineRule="exact"/>
              <w:jc w:val="center"/>
              <w:rPr>
                <w:rFonts w:ascii="Times New Roman" w:hAnsi="Times New Roman" w:cs="Times New Roman"/>
                <w:bCs/>
                <w:sz w:val="21"/>
                <w:szCs w:val="21"/>
              </w:rPr>
            </w:pPr>
          </w:p>
        </w:tc>
      </w:tr>
      <w:tr w14:paraId="036B54EF">
        <w:tblPrEx>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757" w:type="dxa"/>
            <w:gridSpan w:val="2"/>
            <w:noWrap w:val="0"/>
            <w:vAlign w:val="center"/>
          </w:tcPr>
          <w:p w14:paraId="24FA960E">
            <w:pPr>
              <w:jc w:val="center"/>
              <w:rPr>
                <w:rFonts w:ascii="Times New Roman" w:hAnsi="Times New Roman" w:cs="Times New Roman"/>
                <w:sz w:val="21"/>
                <w:szCs w:val="21"/>
              </w:rPr>
            </w:pPr>
            <w:r>
              <w:rPr>
                <w:rFonts w:ascii="Times New Roman" w:hAnsi="Times New Roman" w:cs="Times New Roman"/>
                <w:sz w:val="21"/>
                <w:szCs w:val="21"/>
              </w:rPr>
              <w:t>噪声</w:t>
            </w:r>
          </w:p>
        </w:tc>
        <w:tc>
          <w:tcPr>
            <w:tcW w:w="1465" w:type="dxa"/>
            <w:noWrap w:val="0"/>
            <w:vAlign w:val="center"/>
          </w:tcPr>
          <w:p w14:paraId="0E26B690">
            <w:pPr>
              <w:adjustRightInd w:val="0"/>
              <w:snapToGrid w:val="0"/>
              <w:spacing w:line="240" w:lineRule="exact"/>
              <w:jc w:val="center"/>
              <w:rPr>
                <w:rFonts w:ascii="Times New Roman" w:hAnsi="Times New Roman" w:cs="Times New Roman"/>
                <w:sz w:val="21"/>
                <w:szCs w:val="21"/>
              </w:rPr>
            </w:pPr>
            <w:r>
              <w:rPr>
                <w:rFonts w:ascii="Times New Roman" w:hAnsi="Times New Roman" w:cs="Times New Roman"/>
                <w:sz w:val="21"/>
                <w:szCs w:val="21"/>
              </w:rPr>
              <w:t>生产设备</w:t>
            </w:r>
          </w:p>
        </w:tc>
        <w:tc>
          <w:tcPr>
            <w:tcW w:w="1311" w:type="dxa"/>
            <w:noWrap w:val="0"/>
            <w:vAlign w:val="center"/>
          </w:tcPr>
          <w:p w14:paraId="06DC667E">
            <w:pPr>
              <w:adjustRightInd w:val="0"/>
              <w:jc w:val="center"/>
              <w:textAlignment w:val="baseline"/>
              <w:rPr>
                <w:rFonts w:ascii="Times New Roman" w:hAnsi="Times New Roman" w:cs="Times New Roman"/>
                <w:bCs/>
                <w:kern w:val="24"/>
                <w:sz w:val="21"/>
                <w:szCs w:val="21"/>
              </w:rPr>
            </w:pPr>
            <w:r>
              <w:rPr>
                <w:rFonts w:ascii="Times New Roman" w:hAnsi="Times New Roman" w:cs="Times New Roman"/>
                <w:bCs/>
                <w:kern w:val="24"/>
                <w:sz w:val="21"/>
                <w:szCs w:val="21"/>
              </w:rPr>
              <w:t>Leq</w:t>
            </w:r>
          </w:p>
        </w:tc>
        <w:tc>
          <w:tcPr>
            <w:tcW w:w="3649" w:type="dxa"/>
            <w:gridSpan w:val="2"/>
            <w:noWrap w:val="0"/>
            <w:vAlign w:val="center"/>
          </w:tcPr>
          <w:p w14:paraId="7F5E6BEA">
            <w:pPr>
              <w:adjustRightInd w:val="0"/>
              <w:jc w:val="center"/>
              <w:textAlignment w:val="baseline"/>
              <w:rPr>
                <w:rFonts w:ascii="Times New Roman" w:hAnsi="Times New Roman" w:cs="Times New Roman"/>
                <w:bCs/>
                <w:kern w:val="24"/>
                <w:sz w:val="21"/>
                <w:szCs w:val="21"/>
              </w:rPr>
            </w:pPr>
            <w:r>
              <w:rPr>
                <w:rFonts w:ascii="Times New Roman" w:hAnsi="Times New Roman" w:cs="Times New Roman"/>
                <w:bCs/>
                <w:kern w:val="24"/>
                <w:sz w:val="21"/>
                <w:szCs w:val="21"/>
              </w:rPr>
              <w:t>低噪声设备、厂房隔声、消声、减振等</w:t>
            </w:r>
          </w:p>
        </w:tc>
        <w:tc>
          <w:tcPr>
            <w:tcW w:w="1436" w:type="dxa"/>
            <w:noWrap w:val="0"/>
            <w:vAlign w:val="center"/>
          </w:tcPr>
          <w:p w14:paraId="53E39661">
            <w:pPr>
              <w:adjustRightInd w:val="0"/>
              <w:jc w:val="center"/>
              <w:textAlignment w:val="baseline"/>
              <w:rPr>
                <w:rFonts w:ascii="Times New Roman" w:hAnsi="Times New Roman" w:cs="Times New Roman"/>
                <w:bCs/>
                <w:kern w:val="24"/>
                <w:sz w:val="21"/>
                <w:szCs w:val="21"/>
              </w:rPr>
            </w:pPr>
            <w:r>
              <w:rPr>
                <w:rFonts w:hint="eastAsia" w:ascii="Times New Roman" w:hAnsi="Times New Roman" w:cs="Times New Roman"/>
                <w:bCs/>
                <w:kern w:val="24"/>
                <w:sz w:val="21"/>
                <w:szCs w:val="21"/>
              </w:rPr>
              <w:t>3</w:t>
            </w:r>
            <w:r>
              <w:rPr>
                <w:rFonts w:ascii="Times New Roman" w:hAnsi="Times New Roman" w:cs="Times New Roman"/>
                <w:bCs/>
                <w:kern w:val="24"/>
                <w:sz w:val="21"/>
                <w:szCs w:val="21"/>
              </w:rPr>
              <w:t>类</w:t>
            </w:r>
          </w:p>
        </w:tc>
        <w:tc>
          <w:tcPr>
            <w:tcW w:w="1438" w:type="dxa"/>
            <w:noWrap w:val="0"/>
            <w:vAlign w:val="center"/>
          </w:tcPr>
          <w:p w14:paraId="1F63C5F8">
            <w:pPr>
              <w:adjustRightInd w:val="0"/>
              <w:jc w:val="center"/>
              <w:textAlignment w:val="baseline"/>
              <w:rPr>
                <w:rFonts w:ascii="Times New Roman" w:hAnsi="Times New Roman" w:cs="Times New Roman"/>
                <w:bCs/>
                <w:kern w:val="24"/>
                <w:sz w:val="21"/>
                <w:szCs w:val="21"/>
              </w:rPr>
            </w:pPr>
            <w:r>
              <w:rPr>
                <w:rFonts w:ascii="Times New Roman" w:hAnsi="Times New Roman" w:cs="Times New Roman"/>
                <w:bCs/>
                <w:kern w:val="24"/>
                <w:sz w:val="21"/>
                <w:szCs w:val="21"/>
              </w:rPr>
              <w:t>--</w:t>
            </w:r>
          </w:p>
        </w:tc>
        <w:tc>
          <w:tcPr>
            <w:tcW w:w="1638" w:type="dxa"/>
            <w:noWrap w:val="0"/>
            <w:vAlign w:val="center"/>
          </w:tcPr>
          <w:p w14:paraId="5609EB50">
            <w:pPr>
              <w:adjustRightInd w:val="0"/>
              <w:snapToGrid w:val="0"/>
              <w:spacing w:line="240" w:lineRule="exact"/>
              <w:jc w:val="center"/>
              <w:rPr>
                <w:rFonts w:ascii="Times New Roman" w:hAnsi="Times New Roman" w:cs="Times New Roman"/>
                <w:bCs/>
                <w:sz w:val="21"/>
                <w:szCs w:val="21"/>
              </w:rPr>
            </w:pPr>
            <w:r>
              <w:rPr>
                <w:rFonts w:ascii="Times New Roman" w:hAnsi="Times New Roman" w:cs="Times New Roman"/>
                <w:bCs/>
                <w:sz w:val="21"/>
                <w:szCs w:val="21"/>
              </w:rPr>
              <w:t>--</w:t>
            </w:r>
          </w:p>
        </w:tc>
        <w:tc>
          <w:tcPr>
            <w:tcW w:w="2124" w:type="dxa"/>
            <w:gridSpan w:val="2"/>
            <w:noWrap w:val="0"/>
            <w:vAlign w:val="center"/>
          </w:tcPr>
          <w:p w14:paraId="11D24AA9">
            <w:pPr>
              <w:adjustRightInd w:val="0"/>
              <w:snapToGrid w:val="0"/>
              <w:spacing w:line="240" w:lineRule="exact"/>
              <w:jc w:val="center"/>
              <w:rPr>
                <w:rFonts w:ascii="Times New Roman" w:hAnsi="Times New Roman" w:cs="Times New Roman"/>
                <w:sz w:val="21"/>
                <w:szCs w:val="21"/>
              </w:rPr>
            </w:pPr>
            <w:r>
              <w:rPr>
                <w:rFonts w:ascii="Times New Roman" w:hAnsi="Times New Roman" w:cs="Times New Roman"/>
                <w:sz w:val="21"/>
                <w:szCs w:val="21"/>
              </w:rPr>
              <w:t>GB12348-2008</w:t>
            </w:r>
          </w:p>
          <w:p w14:paraId="4018C064">
            <w:pPr>
              <w:adjustRightInd w:val="0"/>
              <w:snapToGrid w:val="0"/>
              <w:spacing w:line="240" w:lineRule="exact"/>
              <w:jc w:val="center"/>
              <w:rPr>
                <w:rFonts w:ascii="Times New Roman" w:hAnsi="Times New Roman" w:cs="Times New Roman"/>
                <w:sz w:val="21"/>
                <w:szCs w:val="21"/>
              </w:rPr>
            </w:pPr>
            <w:r>
              <w:rPr>
                <w:rFonts w:hint="eastAsia" w:ascii="Times New Roman" w:hAnsi="Times New Roman" w:cs="Times New Roman"/>
                <w:sz w:val="21"/>
                <w:szCs w:val="21"/>
              </w:rPr>
              <w:t>3</w:t>
            </w:r>
            <w:r>
              <w:rPr>
                <w:rFonts w:ascii="Times New Roman" w:hAnsi="Times New Roman" w:cs="Times New Roman"/>
                <w:sz w:val="21"/>
                <w:szCs w:val="21"/>
              </w:rPr>
              <w:t>类区</w:t>
            </w:r>
          </w:p>
        </w:tc>
      </w:tr>
    </w:tbl>
    <w:p w14:paraId="446CC549">
      <w:pPr>
        <w:rPr>
          <w:rFonts w:ascii="Times New Roman" w:hAnsi="Times New Roman" w:cs="Times New Roman"/>
        </w:rPr>
      </w:pPr>
      <w:r>
        <w:rPr>
          <w:rFonts w:ascii="Times New Roman" w:hAnsi="Times New Roman" w:cs="Times New Roman"/>
          <w:b/>
          <w:sz w:val="21"/>
          <w:szCs w:val="21"/>
        </w:rPr>
        <w:t>注：</w:t>
      </w:r>
      <w:r>
        <w:rPr>
          <w:rFonts w:ascii="Times New Roman" w:hAnsi="Times New Roman" w:cs="Times New Roman"/>
          <w:b/>
          <w:sz w:val="21"/>
          <w:szCs w:val="21"/>
        </w:rPr>
        <w:fldChar w:fldCharType="begin"/>
      </w:r>
      <w:r>
        <w:rPr>
          <w:rFonts w:ascii="Times New Roman" w:hAnsi="Times New Roman" w:cs="Times New Roman"/>
          <w:b/>
          <w:sz w:val="21"/>
          <w:szCs w:val="21"/>
        </w:rPr>
        <w:instrText xml:space="preserve">= 1 \* GB3</w:instrText>
      </w:r>
      <w:r>
        <w:rPr>
          <w:rFonts w:ascii="Times New Roman" w:hAnsi="Times New Roman" w:cs="Times New Roman"/>
          <w:b/>
          <w:sz w:val="21"/>
          <w:szCs w:val="21"/>
        </w:rPr>
        <w:fldChar w:fldCharType="separate"/>
      </w:r>
      <w:r>
        <w:rPr>
          <w:rFonts w:hint="eastAsia"/>
          <w:b/>
          <w:sz w:val="21"/>
          <w:szCs w:val="21"/>
        </w:rPr>
        <w:t>①</w:t>
      </w:r>
      <w:r>
        <w:rPr>
          <w:rFonts w:ascii="Times New Roman" w:hAnsi="Times New Roman" w:cs="Times New Roman"/>
          <w:b/>
          <w:sz w:val="21"/>
          <w:szCs w:val="21"/>
        </w:rPr>
        <w:fldChar w:fldCharType="end"/>
      </w:r>
      <w:r>
        <w:rPr>
          <w:rFonts w:ascii="Times New Roman" w:hAnsi="Times New Roman" w:cs="Times New Roman"/>
          <w:b/>
          <w:sz w:val="21"/>
          <w:szCs w:val="21"/>
        </w:rPr>
        <w:t>为固废产生量；</w:t>
      </w:r>
      <w:r>
        <w:rPr>
          <w:rFonts w:ascii="Times New Roman" w:hAnsi="Times New Roman" w:cs="Times New Roman"/>
          <w:b/>
          <w:sz w:val="21"/>
          <w:szCs w:val="21"/>
        </w:rPr>
        <w:fldChar w:fldCharType="begin"/>
      </w:r>
      <w:r>
        <w:rPr>
          <w:rFonts w:ascii="Times New Roman" w:hAnsi="Times New Roman" w:cs="Times New Roman"/>
          <w:b/>
          <w:sz w:val="21"/>
          <w:szCs w:val="21"/>
        </w:rPr>
        <w:instrText xml:space="preserve">= 2 \* GB3</w:instrText>
      </w:r>
      <w:r>
        <w:rPr>
          <w:rFonts w:ascii="Times New Roman" w:hAnsi="Times New Roman" w:cs="Times New Roman"/>
          <w:b/>
          <w:sz w:val="21"/>
          <w:szCs w:val="21"/>
        </w:rPr>
        <w:fldChar w:fldCharType="separate"/>
      </w:r>
      <w:r>
        <w:rPr>
          <w:rFonts w:hint="eastAsia"/>
          <w:b/>
          <w:sz w:val="21"/>
          <w:szCs w:val="21"/>
        </w:rPr>
        <w:t>②</w:t>
      </w:r>
      <w:r>
        <w:rPr>
          <w:rFonts w:ascii="Times New Roman" w:hAnsi="Times New Roman" w:cs="Times New Roman"/>
          <w:b/>
          <w:sz w:val="21"/>
          <w:szCs w:val="21"/>
        </w:rPr>
        <w:fldChar w:fldCharType="end"/>
      </w:r>
      <w:r>
        <w:rPr>
          <w:rFonts w:ascii="Times New Roman" w:hAnsi="Times New Roman" w:cs="Times New Roman"/>
          <w:b/>
          <w:sz w:val="21"/>
          <w:szCs w:val="21"/>
        </w:rPr>
        <w:t>为固废排放量。</w:t>
      </w:r>
    </w:p>
    <w:p w14:paraId="5073C8BB">
      <w:pPr>
        <w:spacing w:line="500" w:lineRule="exact"/>
        <w:ind w:right="17" w:rightChars="7" w:firstLine="480" w:firstLineChars="200"/>
        <w:rPr>
          <w:rFonts w:ascii="Times New Roman" w:hAnsi="Times New Roman" w:cs="Times New Roman"/>
        </w:rPr>
        <w:sectPr>
          <w:pgSz w:w="16840" w:h="11907" w:orient="landscape"/>
          <w:pgMar w:top="1701" w:right="1701" w:bottom="1701" w:left="1701" w:header="851" w:footer="1077" w:gutter="0"/>
          <w:pgBorders w:offsetFrom="page">
            <w:top w:val="none" w:sz="0" w:space="0"/>
            <w:left w:val="none" w:sz="0" w:space="0"/>
            <w:bottom w:val="none" w:sz="0" w:space="0"/>
            <w:right w:val="none" w:sz="0" w:space="0"/>
          </w:pgBorders>
          <w:pgNumType w:fmt="decimal"/>
          <w:cols w:space="720" w:num="1"/>
          <w:docGrid w:type="lines" w:linePitch="479" w:charSpace="0"/>
        </w:sectPr>
      </w:pPr>
    </w:p>
    <w:p w14:paraId="62DF3D5D">
      <w:pPr>
        <w:pStyle w:val="6"/>
      </w:pPr>
      <w:bookmarkStart w:id="673" w:name="_Toc13828"/>
      <w:bookmarkStart w:id="674" w:name="_Toc90026160"/>
      <w:r>
        <w:rPr>
          <w:rFonts w:hint="eastAsia"/>
        </w:rPr>
        <w:t>9</w:t>
      </w:r>
      <w:r>
        <w:t>.2 监测计划</w:t>
      </w:r>
      <w:bookmarkEnd w:id="673"/>
      <w:bookmarkEnd w:id="674"/>
    </w:p>
    <w:p w14:paraId="329FB2C1">
      <w:pPr>
        <w:spacing w:line="500" w:lineRule="exact"/>
        <w:ind w:firstLine="480" w:firstLineChars="200"/>
        <w:rPr>
          <w:rFonts w:ascii="Times New Roman" w:hAnsi="Times New Roman" w:cs="Times New Roman"/>
          <w:bCs/>
        </w:rPr>
      </w:pPr>
      <w:r>
        <w:rPr>
          <w:rFonts w:ascii="Times New Roman" w:hAnsi="Times New Roman" w:cs="Times New Roman"/>
          <w:bCs/>
        </w:rPr>
        <w:t>企业应制定环境监测年度计划，建立和健全规章制度；完成环境监测计划规定的各项监控任务，按有关规定编制各种报告、报表，并负责呈报工作。其目的是为了监督各项措施的落实，以便根据监测结果适时调整环境保护措施，为环保措施的实施时间和实施方案提供依据。</w:t>
      </w:r>
    </w:p>
    <w:p w14:paraId="2BFF3651">
      <w:pPr>
        <w:spacing w:line="500" w:lineRule="exact"/>
        <w:ind w:firstLine="480" w:firstLineChars="200"/>
        <w:jc w:val="both"/>
        <w:rPr>
          <w:rFonts w:ascii="Times New Roman" w:hAnsi="Times New Roman" w:cs="Times New Roman"/>
        </w:rPr>
      </w:pPr>
      <w:r>
        <w:rPr>
          <w:rFonts w:ascii="Times New Roman" w:hAnsi="Times New Roman" w:cs="Times New Roman"/>
        </w:rPr>
        <w:t>由于企业没有监测机构，建议委托有资质的监测机构进行监测。</w:t>
      </w:r>
    </w:p>
    <w:p w14:paraId="65E6C718">
      <w:pPr>
        <w:spacing w:line="500" w:lineRule="exact"/>
        <w:ind w:firstLine="480" w:firstLineChars="200"/>
        <w:jc w:val="both"/>
        <w:rPr>
          <w:rFonts w:ascii="Times New Roman" w:hAnsi="Times New Roman" w:cs="Times New Roman"/>
        </w:rPr>
      </w:pPr>
      <w:r>
        <w:rPr>
          <w:rFonts w:ascii="Times New Roman" w:hAnsi="Times New Roman" w:cs="Times New Roman"/>
        </w:rPr>
        <w:t>根据《排污单位自行监测技术指南 总则》、《排污单位自行监测技术指南 钢铁工业及炼焦化学工业》（HJ878-2017）等相关要求，确定本项目营运期污染源监测计划见表</w:t>
      </w:r>
      <w:r>
        <w:rPr>
          <w:rFonts w:hint="eastAsia" w:ascii="Times New Roman" w:hAnsi="Times New Roman" w:cs="Times New Roman"/>
        </w:rPr>
        <w:t>9</w:t>
      </w:r>
      <w:r>
        <w:rPr>
          <w:rFonts w:ascii="Times New Roman" w:hAnsi="Times New Roman" w:cs="Times New Roman"/>
        </w:rPr>
        <w:t>.2-1，环境质量监测计划见表</w:t>
      </w:r>
      <w:r>
        <w:rPr>
          <w:rFonts w:hint="eastAsia" w:ascii="Times New Roman" w:hAnsi="Times New Roman" w:cs="Times New Roman"/>
        </w:rPr>
        <w:t>9</w:t>
      </w:r>
      <w:r>
        <w:rPr>
          <w:rFonts w:ascii="Times New Roman" w:hAnsi="Times New Roman" w:cs="Times New Roman"/>
        </w:rPr>
        <w:t>.2-2。</w:t>
      </w:r>
    </w:p>
    <w:p w14:paraId="7B78E9DD">
      <w:pPr>
        <w:tabs>
          <w:tab w:val="left" w:pos="0"/>
        </w:tabs>
        <w:jc w:val="center"/>
        <w:rPr>
          <w:rFonts w:ascii="Times New Roman" w:hAnsi="Times New Roman" w:eastAsia="黑体" w:cs="Times New Roman"/>
        </w:rPr>
      </w:pPr>
      <w:r>
        <w:rPr>
          <w:rFonts w:ascii="Times New Roman" w:hAnsi="Times New Roman" w:eastAsia="黑体" w:cs="Times New Roman"/>
        </w:rPr>
        <w:t>表</w:t>
      </w:r>
      <w:r>
        <w:rPr>
          <w:rFonts w:hint="eastAsia" w:ascii="Times New Roman" w:hAnsi="Times New Roman" w:cs="Times New Roman"/>
        </w:rPr>
        <w:t>9</w:t>
      </w:r>
      <w:r>
        <w:rPr>
          <w:rFonts w:ascii="Times New Roman" w:hAnsi="Times New Roman" w:cs="Times New Roman"/>
        </w:rPr>
        <w:t>.2-1</w:t>
      </w:r>
      <w:r>
        <w:rPr>
          <w:rFonts w:ascii="Times New Roman" w:hAnsi="Times New Roman" w:eastAsia="黑体" w:cs="Times New Roman"/>
        </w:rPr>
        <w:t xml:space="preserve">  营运期污染源监测计划一览表</w:t>
      </w:r>
    </w:p>
    <w:tbl>
      <w:tblPr>
        <w:tblStyle w:val="56"/>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977"/>
        <w:gridCol w:w="1851"/>
        <w:gridCol w:w="4040"/>
        <w:gridCol w:w="1853"/>
      </w:tblGrid>
      <w:tr w14:paraId="149D24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0" w:type="auto"/>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3EBE52D3">
            <w:pPr>
              <w:jc w:val="center"/>
              <w:rPr>
                <w:b/>
              </w:rPr>
            </w:pPr>
            <w:r>
              <w:rPr>
                <w:b/>
              </w:rPr>
              <w:t>环境要素</w:t>
            </w:r>
          </w:p>
        </w:tc>
        <w:tc>
          <w:tcPr>
            <w:tcW w:w="1061" w:type="pct"/>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531CB920">
            <w:pPr>
              <w:jc w:val="center"/>
              <w:rPr>
                <w:b/>
              </w:rPr>
            </w:pPr>
            <w:r>
              <w:rPr>
                <w:b/>
              </w:rPr>
              <w:t>监测位置</w:t>
            </w:r>
          </w:p>
        </w:tc>
        <w:tc>
          <w:tcPr>
            <w:tcW w:w="2316" w:type="pct"/>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24C56E58">
            <w:pPr>
              <w:jc w:val="center"/>
              <w:rPr>
                <w:b/>
              </w:rPr>
            </w:pPr>
            <w:r>
              <w:rPr>
                <w:b/>
              </w:rPr>
              <w:t>污染物</w:t>
            </w:r>
          </w:p>
        </w:tc>
        <w:tc>
          <w:tcPr>
            <w:tcW w:w="1062" w:type="pct"/>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0111E99D">
            <w:pPr>
              <w:jc w:val="center"/>
              <w:rPr>
                <w:b/>
              </w:rPr>
            </w:pPr>
            <w:r>
              <w:rPr>
                <w:b/>
              </w:rPr>
              <w:t>监测频率</w:t>
            </w:r>
          </w:p>
        </w:tc>
      </w:tr>
      <w:tr w14:paraId="7D2CAC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0" w:type="auto"/>
            <w:vMerge w:val="restart"/>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55B2DD7C">
            <w:r>
              <w:t>废气</w:t>
            </w:r>
          </w:p>
        </w:tc>
        <w:tc>
          <w:tcPr>
            <w:tcW w:w="1061" w:type="pct"/>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7135E6FB">
            <w:pPr>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DA001</w:t>
            </w:r>
          </w:p>
        </w:tc>
        <w:tc>
          <w:tcPr>
            <w:tcW w:w="2316" w:type="pct"/>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1A01286C">
            <w:pPr>
              <w:jc w:val="center"/>
              <w:rPr>
                <w:rFonts w:ascii="Times New Roman" w:hAnsi="Times New Roman" w:eastAsia="宋体" w:cs="Times New Roman"/>
                <w:sz w:val="21"/>
                <w:szCs w:val="21"/>
              </w:rPr>
            </w:pPr>
            <w:r>
              <w:rPr>
                <w:rFonts w:ascii="Times New Roman" w:hAnsi="Times New Roman" w:eastAsia="宋体" w:cs="Times New Roman"/>
                <w:sz w:val="21"/>
                <w:szCs w:val="21"/>
              </w:rPr>
              <w:t>颗粒物</w:t>
            </w:r>
          </w:p>
        </w:tc>
        <w:tc>
          <w:tcPr>
            <w:tcW w:w="1062" w:type="pct"/>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651F8583">
            <w:pPr>
              <w:jc w:val="center"/>
              <w:rPr>
                <w:rFonts w:ascii="Times New Roman" w:hAnsi="Times New Roman" w:eastAsia="宋体" w:cs="Times New Roman"/>
                <w:sz w:val="21"/>
                <w:szCs w:val="21"/>
              </w:rPr>
            </w:pPr>
            <w:r>
              <w:rPr>
                <w:rFonts w:hint="eastAsia" w:ascii="Times New Roman" w:hAnsi="Times New Roman" w:eastAsia="宋体" w:cs="Times New Roman"/>
                <w:sz w:val="21"/>
                <w:szCs w:val="21"/>
                <w:lang w:val="en-US" w:eastAsia="zh-CN"/>
              </w:rPr>
              <w:t>1次/年</w:t>
            </w:r>
          </w:p>
        </w:tc>
      </w:tr>
      <w:tr w14:paraId="2B1CAC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0" w:type="auto"/>
            <w:vMerge w:val="continue"/>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3652AC49"/>
        </w:tc>
        <w:tc>
          <w:tcPr>
            <w:tcW w:w="1061" w:type="pct"/>
            <w:vMerge w:val="restart"/>
            <w:tcBorders>
              <w:top w:val="single" w:color="000000" w:sz="4" w:space="0"/>
              <w:left w:val="single" w:color="000000" w:sz="4" w:space="0"/>
              <w:right w:val="single" w:color="000000" w:sz="4" w:space="0"/>
            </w:tcBorders>
            <w:noWrap w:val="0"/>
            <w:tcMar>
              <w:left w:w="108" w:type="dxa"/>
              <w:right w:w="108" w:type="dxa"/>
            </w:tcMar>
            <w:vAlign w:val="center"/>
          </w:tcPr>
          <w:p w14:paraId="5F9CF3D6">
            <w:pPr>
              <w:jc w:val="center"/>
              <w:rPr>
                <w:rFonts w:ascii="Times New Roman" w:hAnsi="Times New Roman" w:eastAsia="宋体" w:cs="Times New Roman"/>
                <w:sz w:val="21"/>
                <w:szCs w:val="21"/>
              </w:rPr>
            </w:pPr>
            <w:r>
              <w:rPr>
                <w:rFonts w:ascii="Times New Roman" w:hAnsi="Times New Roman" w:eastAsia="宋体" w:cs="Times New Roman"/>
                <w:sz w:val="21"/>
                <w:szCs w:val="21"/>
              </w:rPr>
              <w:t>DA002</w:t>
            </w:r>
          </w:p>
        </w:tc>
        <w:tc>
          <w:tcPr>
            <w:tcW w:w="2316" w:type="pct"/>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614568F4">
            <w:pPr>
              <w:jc w:val="center"/>
              <w:rPr>
                <w:rFonts w:ascii="Times New Roman" w:hAnsi="Times New Roman" w:eastAsia="宋体" w:cs="Times New Roman"/>
                <w:sz w:val="21"/>
                <w:szCs w:val="21"/>
              </w:rPr>
            </w:pPr>
            <w:r>
              <w:rPr>
                <w:rFonts w:ascii="Times New Roman" w:hAnsi="Times New Roman" w:eastAsia="宋体" w:cs="Times New Roman"/>
                <w:sz w:val="21"/>
                <w:szCs w:val="21"/>
              </w:rPr>
              <w:t>颗粒物、二氧化硫、氮氧化物</w:t>
            </w:r>
          </w:p>
        </w:tc>
        <w:tc>
          <w:tcPr>
            <w:tcW w:w="1062" w:type="pct"/>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5943AB27">
            <w:pPr>
              <w:jc w:val="center"/>
              <w:rPr>
                <w:rFonts w:ascii="Times New Roman" w:hAnsi="Times New Roman" w:eastAsia="宋体" w:cs="Times New Roman"/>
                <w:sz w:val="21"/>
                <w:szCs w:val="21"/>
              </w:rPr>
            </w:pPr>
            <w:r>
              <w:rPr>
                <w:rFonts w:ascii="Times New Roman" w:hAnsi="Times New Roman" w:eastAsia="宋体" w:cs="Times New Roman"/>
                <w:sz w:val="21"/>
                <w:szCs w:val="21"/>
              </w:rPr>
              <w:t>自动监测</w:t>
            </w:r>
          </w:p>
        </w:tc>
      </w:tr>
      <w:tr w14:paraId="348172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0" w:type="auto"/>
            <w:vMerge w:val="continue"/>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0B27C458"/>
        </w:tc>
        <w:tc>
          <w:tcPr>
            <w:tcW w:w="1061" w:type="pct"/>
            <w:vMerge w:val="continue"/>
            <w:tcBorders>
              <w:left w:val="single" w:color="000000" w:sz="4" w:space="0"/>
              <w:right w:val="single" w:color="000000" w:sz="4" w:space="0"/>
            </w:tcBorders>
            <w:noWrap w:val="0"/>
            <w:tcMar>
              <w:left w:w="108" w:type="dxa"/>
              <w:right w:w="108" w:type="dxa"/>
            </w:tcMar>
            <w:vAlign w:val="center"/>
          </w:tcPr>
          <w:p w14:paraId="75391B83">
            <w:pPr>
              <w:jc w:val="center"/>
              <w:rPr>
                <w:rFonts w:ascii="Times New Roman" w:hAnsi="Times New Roman" w:eastAsia="宋体" w:cs="Times New Roman"/>
                <w:sz w:val="21"/>
                <w:szCs w:val="21"/>
              </w:rPr>
            </w:pPr>
          </w:p>
        </w:tc>
        <w:tc>
          <w:tcPr>
            <w:tcW w:w="2316" w:type="pct"/>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2FB24FEB">
            <w:pPr>
              <w:jc w:val="center"/>
              <w:rPr>
                <w:rFonts w:ascii="Times New Roman" w:hAnsi="Times New Roman" w:eastAsia="宋体" w:cs="Times New Roman"/>
                <w:sz w:val="21"/>
                <w:szCs w:val="21"/>
              </w:rPr>
            </w:pPr>
            <w:r>
              <w:rPr>
                <w:rFonts w:ascii="Times New Roman" w:hAnsi="Times New Roman" w:eastAsia="宋体" w:cs="Times New Roman"/>
                <w:sz w:val="21"/>
                <w:szCs w:val="21"/>
              </w:rPr>
              <w:t>氟化物、氨</w:t>
            </w:r>
          </w:p>
        </w:tc>
        <w:tc>
          <w:tcPr>
            <w:tcW w:w="1062" w:type="pct"/>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169282DB">
            <w:pPr>
              <w:jc w:val="center"/>
              <w:rPr>
                <w:rFonts w:ascii="Times New Roman" w:hAnsi="Times New Roman" w:eastAsia="宋体" w:cs="Times New Roman"/>
                <w:sz w:val="21"/>
                <w:szCs w:val="21"/>
              </w:rPr>
            </w:pPr>
            <w:r>
              <w:rPr>
                <w:rFonts w:hint="eastAsia" w:ascii="Times New Roman" w:hAnsi="Times New Roman" w:eastAsia="宋体" w:cs="Times New Roman"/>
                <w:sz w:val="21"/>
                <w:szCs w:val="21"/>
                <w:lang w:val="en-US" w:eastAsia="zh-CN"/>
              </w:rPr>
              <w:t>1次/</w:t>
            </w:r>
            <w:r>
              <w:rPr>
                <w:rFonts w:ascii="Times New Roman" w:hAnsi="Times New Roman" w:eastAsia="宋体" w:cs="Times New Roman"/>
                <w:sz w:val="21"/>
                <w:szCs w:val="21"/>
              </w:rPr>
              <w:t>季度</w:t>
            </w:r>
          </w:p>
        </w:tc>
      </w:tr>
      <w:tr w14:paraId="609A24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0" w:type="auto"/>
            <w:vMerge w:val="continue"/>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21F17F5A"/>
        </w:tc>
        <w:tc>
          <w:tcPr>
            <w:tcW w:w="1061" w:type="pct"/>
            <w:vMerge w:val="continue"/>
            <w:tcBorders>
              <w:left w:val="single" w:color="000000" w:sz="4" w:space="0"/>
              <w:bottom w:val="single" w:color="000000" w:sz="4" w:space="0"/>
              <w:right w:val="single" w:color="000000" w:sz="4" w:space="0"/>
            </w:tcBorders>
            <w:noWrap w:val="0"/>
            <w:tcMar>
              <w:left w:w="108" w:type="dxa"/>
              <w:right w:w="108" w:type="dxa"/>
            </w:tcMar>
            <w:vAlign w:val="center"/>
          </w:tcPr>
          <w:p w14:paraId="47AF910C">
            <w:pPr>
              <w:jc w:val="center"/>
              <w:rPr>
                <w:rFonts w:ascii="Times New Roman" w:hAnsi="Times New Roman" w:eastAsia="宋体" w:cs="Times New Roman"/>
                <w:sz w:val="21"/>
                <w:szCs w:val="21"/>
              </w:rPr>
            </w:pPr>
          </w:p>
        </w:tc>
        <w:tc>
          <w:tcPr>
            <w:tcW w:w="2316" w:type="pct"/>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70635473">
            <w:pPr>
              <w:jc w:val="center"/>
              <w:rPr>
                <w:rFonts w:ascii="Times New Roman" w:hAnsi="Times New Roman" w:eastAsia="宋体" w:cs="Times New Roman"/>
                <w:sz w:val="21"/>
                <w:szCs w:val="21"/>
              </w:rPr>
            </w:pPr>
            <w:r>
              <w:rPr>
                <w:rFonts w:ascii="Times New Roman" w:hAnsi="Times New Roman" w:eastAsia="宋体" w:cs="Times New Roman"/>
                <w:sz w:val="21"/>
                <w:szCs w:val="21"/>
              </w:rPr>
              <w:t>二噁英类</w:t>
            </w:r>
          </w:p>
        </w:tc>
        <w:tc>
          <w:tcPr>
            <w:tcW w:w="1062" w:type="pct"/>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427C402E">
            <w:pPr>
              <w:jc w:val="center"/>
              <w:rPr>
                <w:rFonts w:ascii="Times New Roman" w:hAnsi="Times New Roman" w:eastAsia="宋体" w:cs="Times New Roman"/>
                <w:sz w:val="21"/>
                <w:szCs w:val="21"/>
              </w:rPr>
            </w:pPr>
            <w:r>
              <w:rPr>
                <w:rFonts w:hint="eastAsia" w:ascii="Times New Roman" w:hAnsi="Times New Roman" w:eastAsia="宋体" w:cs="Times New Roman"/>
                <w:sz w:val="21"/>
                <w:szCs w:val="21"/>
                <w:lang w:val="en-US" w:eastAsia="zh-CN"/>
              </w:rPr>
              <w:t>1次/年</w:t>
            </w:r>
          </w:p>
        </w:tc>
      </w:tr>
      <w:tr w14:paraId="640DCF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0" w:type="auto"/>
            <w:vMerge w:val="continue"/>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0AF12E45"/>
        </w:tc>
        <w:tc>
          <w:tcPr>
            <w:tcW w:w="1061" w:type="pct"/>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15017A4E">
            <w:pPr>
              <w:jc w:val="center"/>
              <w:rPr>
                <w:rFonts w:ascii="Times New Roman" w:hAnsi="Times New Roman" w:eastAsia="宋体" w:cs="Times New Roman"/>
                <w:sz w:val="21"/>
                <w:szCs w:val="21"/>
              </w:rPr>
            </w:pPr>
            <w:r>
              <w:rPr>
                <w:rFonts w:ascii="Times New Roman" w:hAnsi="Times New Roman" w:eastAsia="宋体" w:cs="Times New Roman"/>
                <w:sz w:val="21"/>
                <w:szCs w:val="21"/>
              </w:rPr>
              <w:t>DA003</w:t>
            </w:r>
          </w:p>
        </w:tc>
        <w:tc>
          <w:tcPr>
            <w:tcW w:w="2316" w:type="pct"/>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7C06941D">
            <w:pPr>
              <w:jc w:val="center"/>
              <w:rPr>
                <w:rFonts w:ascii="Times New Roman" w:hAnsi="Times New Roman" w:eastAsia="宋体" w:cs="Times New Roman"/>
                <w:sz w:val="21"/>
                <w:szCs w:val="21"/>
              </w:rPr>
            </w:pPr>
            <w:r>
              <w:rPr>
                <w:rFonts w:ascii="Times New Roman" w:hAnsi="Times New Roman" w:eastAsia="宋体" w:cs="Times New Roman"/>
                <w:sz w:val="21"/>
                <w:szCs w:val="21"/>
              </w:rPr>
              <w:t>颗粒物</w:t>
            </w:r>
          </w:p>
        </w:tc>
        <w:tc>
          <w:tcPr>
            <w:tcW w:w="1062" w:type="pct"/>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0CD2B932">
            <w:pPr>
              <w:jc w:val="center"/>
              <w:rPr>
                <w:rFonts w:ascii="Times New Roman" w:hAnsi="Times New Roman" w:eastAsia="宋体" w:cs="Times New Roman"/>
                <w:sz w:val="21"/>
                <w:szCs w:val="21"/>
              </w:rPr>
            </w:pPr>
            <w:r>
              <w:rPr>
                <w:rFonts w:hint="eastAsia" w:ascii="Times New Roman" w:hAnsi="Times New Roman" w:eastAsia="宋体" w:cs="Times New Roman"/>
                <w:sz w:val="21"/>
                <w:szCs w:val="21"/>
                <w:lang w:val="en-US" w:eastAsia="zh-CN"/>
              </w:rPr>
              <w:t>1次/年</w:t>
            </w:r>
          </w:p>
        </w:tc>
      </w:tr>
      <w:tr w14:paraId="600A10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0" w:type="auto"/>
            <w:vMerge w:val="continue"/>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35EBC393"/>
        </w:tc>
        <w:tc>
          <w:tcPr>
            <w:tcW w:w="1061" w:type="pct"/>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0ED44A53">
            <w:pPr>
              <w:jc w:val="center"/>
              <w:rPr>
                <w:rFonts w:ascii="Times New Roman" w:hAnsi="Times New Roman" w:eastAsia="宋体" w:cs="Times New Roman"/>
                <w:sz w:val="21"/>
                <w:szCs w:val="21"/>
              </w:rPr>
            </w:pPr>
            <w:r>
              <w:rPr>
                <w:rFonts w:ascii="Times New Roman" w:hAnsi="Times New Roman" w:eastAsia="宋体" w:cs="Times New Roman"/>
                <w:sz w:val="21"/>
                <w:szCs w:val="21"/>
              </w:rPr>
              <w:t>DA004</w:t>
            </w:r>
          </w:p>
        </w:tc>
        <w:tc>
          <w:tcPr>
            <w:tcW w:w="2316" w:type="pct"/>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37C2175D">
            <w:pPr>
              <w:jc w:val="center"/>
              <w:rPr>
                <w:rFonts w:ascii="Times New Roman" w:hAnsi="Times New Roman" w:eastAsia="宋体" w:cs="Times New Roman"/>
                <w:sz w:val="21"/>
                <w:szCs w:val="21"/>
              </w:rPr>
            </w:pPr>
            <w:r>
              <w:rPr>
                <w:rFonts w:ascii="Times New Roman" w:hAnsi="Times New Roman" w:eastAsia="宋体" w:cs="Times New Roman"/>
                <w:sz w:val="21"/>
                <w:szCs w:val="21"/>
              </w:rPr>
              <w:t>颗粒物</w:t>
            </w:r>
          </w:p>
        </w:tc>
        <w:tc>
          <w:tcPr>
            <w:tcW w:w="1062" w:type="pct"/>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3084F4E3">
            <w:pPr>
              <w:jc w:val="center"/>
              <w:rPr>
                <w:rFonts w:ascii="Times New Roman" w:hAnsi="Times New Roman" w:eastAsia="宋体" w:cs="Times New Roman"/>
                <w:sz w:val="21"/>
                <w:szCs w:val="21"/>
              </w:rPr>
            </w:pPr>
            <w:r>
              <w:rPr>
                <w:rFonts w:hint="eastAsia" w:ascii="Times New Roman" w:hAnsi="Times New Roman" w:eastAsia="宋体" w:cs="Times New Roman"/>
                <w:sz w:val="21"/>
                <w:szCs w:val="21"/>
                <w:lang w:val="en-US" w:eastAsia="zh-CN"/>
              </w:rPr>
              <w:t>1次/年</w:t>
            </w:r>
          </w:p>
        </w:tc>
      </w:tr>
      <w:tr w14:paraId="65A561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0" w:type="auto"/>
            <w:vMerge w:val="continue"/>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1C9233F7"/>
        </w:tc>
        <w:tc>
          <w:tcPr>
            <w:tcW w:w="1061" w:type="pct"/>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2EC740FE">
            <w:pPr>
              <w:jc w:val="center"/>
              <w:rPr>
                <w:rFonts w:ascii="Times New Roman" w:hAnsi="Times New Roman" w:eastAsia="宋体" w:cs="Times New Roman"/>
                <w:sz w:val="21"/>
                <w:szCs w:val="21"/>
              </w:rPr>
            </w:pPr>
            <w:r>
              <w:rPr>
                <w:rFonts w:ascii="Times New Roman" w:hAnsi="Times New Roman" w:eastAsia="宋体" w:cs="Times New Roman"/>
                <w:sz w:val="21"/>
                <w:szCs w:val="21"/>
              </w:rPr>
              <w:t>DA005</w:t>
            </w:r>
          </w:p>
        </w:tc>
        <w:tc>
          <w:tcPr>
            <w:tcW w:w="2316" w:type="pct"/>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6B98570D">
            <w:pPr>
              <w:jc w:val="center"/>
              <w:rPr>
                <w:rFonts w:ascii="Times New Roman" w:hAnsi="Times New Roman" w:eastAsia="宋体" w:cs="Times New Roman"/>
                <w:sz w:val="21"/>
                <w:szCs w:val="21"/>
              </w:rPr>
            </w:pPr>
            <w:r>
              <w:rPr>
                <w:rFonts w:ascii="Times New Roman" w:hAnsi="Times New Roman" w:eastAsia="宋体" w:cs="Times New Roman"/>
                <w:sz w:val="21"/>
                <w:szCs w:val="21"/>
              </w:rPr>
              <w:t>颗粒物</w:t>
            </w:r>
          </w:p>
        </w:tc>
        <w:tc>
          <w:tcPr>
            <w:tcW w:w="1062" w:type="pct"/>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7454B461">
            <w:pPr>
              <w:jc w:val="center"/>
              <w:rPr>
                <w:rFonts w:ascii="Times New Roman" w:hAnsi="Times New Roman" w:eastAsia="宋体" w:cs="Times New Roman"/>
                <w:sz w:val="21"/>
                <w:szCs w:val="21"/>
              </w:rPr>
            </w:pPr>
            <w:r>
              <w:rPr>
                <w:rFonts w:hint="eastAsia" w:ascii="Times New Roman" w:hAnsi="Times New Roman" w:eastAsia="宋体" w:cs="Times New Roman"/>
                <w:sz w:val="21"/>
                <w:szCs w:val="21"/>
                <w:lang w:val="en-US" w:eastAsia="zh-CN"/>
              </w:rPr>
              <w:t>1次/年</w:t>
            </w:r>
          </w:p>
        </w:tc>
      </w:tr>
      <w:tr w14:paraId="5C53E9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0" w:type="auto"/>
            <w:vMerge w:val="continue"/>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06EE4381"/>
        </w:tc>
        <w:tc>
          <w:tcPr>
            <w:tcW w:w="1061" w:type="pct"/>
            <w:vMerge w:val="restart"/>
            <w:tcBorders>
              <w:top w:val="single" w:color="000000" w:sz="4" w:space="0"/>
              <w:left w:val="single" w:color="000000" w:sz="4" w:space="0"/>
              <w:right w:val="single" w:color="000000" w:sz="4" w:space="0"/>
            </w:tcBorders>
            <w:noWrap w:val="0"/>
            <w:tcMar>
              <w:left w:w="108" w:type="dxa"/>
              <w:right w:w="108" w:type="dxa"/>
            </w:tcMar>
            <w:vAlign w:val="center"/>
          </w:tcPr>
          <w:p w14:paraId="7BCCED0E">
            <w:pPr>
              <w:jc w:val="center"/>
              <w:rPr>
                <w:rFonts w:hint="default" w:ascii="Times New Roman" w:hAnsi="Times New Roman" w:eastAsia="宋体" w:cs="Times New Roman"/>
                <w:sz w:val="21"/>
                <w:szCs w:val="21"/>
                <w:lang w:val="en-US" w:eastAsia="zh-CN"/>
              </w:rPr>
            </w:pPr>
            <w:r>
              <w:rPr>
                <w:rFonts w:ascii="Times New Roman" w:hAnsi="Times New Roman" w:eastAsia="宋体" w:cs="Times New Roman"/>
                <w:sz w:val="21"/>
                <w:szCs w:val="21"/>
              </w:rPr>
              <w:t>DA0</w:t>
            </w:r>
            <w:r>
              <w:rPr>
                <w:rFonts w:hint="eastAsia" w:ascii="Times New Roman" w:hAnsi="Times New Roman" w:eastAsia="宋体" w:cs="Times New Roman"/>
                <w:sz w:val="21"/>
                <w:szCs w:val="21"/>
                <w:lang w:val="en-US" w:eastAsia="zh-CN"/>
              </w:rPr>
              <w:t>11</w:t>
            </w:r>
          </w:p>
        </w:tc>
        <w:tc>
          <w:tcPr>
            <w:tcW w:w="2316" w:type="pct"/>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74A1C67C">
            <w:pPr>
              <w:jc w:val="center"/>
              <w:rPr>
                <w:rFonts w:ascii="Times New Roman" w:hAnsi="Times New Roman" w:eastAsia="宋体" w:cs="Times New Roman"/>
                <w:sz w:val="21"/>
                <w:szCs w:val="21"/>
              </w:rPr>
            </w:pPr>
            <w:r>
              <w:rPr>
                <w:rFonts w:ascii="Times New Roman" w:hAnsi="Times New Roman" w:eastAsia="宋体" w:cs="Times New Roman"/>
                <w:sz w:val="21"/>
                <w:szCs w:val="21"/>
              </w:rPr>
              <w:t>颗粒物、二氧化硫、氮氧化物</w:t>
            </w:r>
          </w:p>
        </w:tc>
        <w:tc>
          <w:tcPr>
            <w:tcW w:w="1062" w:type="pct"/>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5C8C0650">
            <w:pPr>
              <w:jc w:val="center"/>
              <w:rPr>
                <w:rFonts w:ascii="Times New Roman" w:hAnsi="Times New Roman" w:eastAsia="宋体" w:cs="Times New Roman"/>
                <w:sz w:val="21"/>
                <w:szCs w:val="21"/>
              </w:rPr>
            </w:pPr>
            <w:r>
              <w:rPr>
                <w:rFonts w:ascii="Times New Roman" w:hAnsi="Times New Roman" w:eastAsia="宋体" w:cs="Times New Roman"/>
                <w:sz w:val="21"/>
                <w:szCs w:val="21"/>
              </w:rPr>
              <w:t>自动监测</w:t>
            </w:r>
          </w:p>
        </w:tc>
      </w:tr>
      <w:tr w14:paraId="699993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0" w:type="auto"/>
            <w:vMerge w:val="continue"/>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70E1944A"/>
        </w:tc>
        <w:tc>
          <w:tcPr>
            <w:tcW w:w="1061" w:type="pct"/>
            <w:vMerge w:val="continue"/>
            <w:tcBorders>
              <w:left w:val="single" w:color="000000" w:sz="4" w:space="0"/>
              <w:right w:val="single" w:color="000000" w:sz="4" w:space="0"/>
            </w:tcBorders>
            <w:noWrap w:val="0"/>
            <w:tcMar>
              <w:left w:w="108" w:type="dxa"/>
              <w:right w:w="108" w:type="dxa"/>
            </w:tcMar>
            <w:vAlign w:val="center"/>
          </w:tcPr>
          <w:p w14:paraId="2A153538">
            <w:pPr>
              <w:jc w:val="center"/>
              <w:rPr>
                <w:rFonts w:ascii="Times New Roman" w:hAnsi="Times New Roman" w:eastAsia="宋体" w:cs="Times New Roman"/>
                <w:sz w:val="21"/>
                <w:szCs w:val="21"/>
              </w:rPr>
            </w:pPr>
          </w:p>
        </w:tc>
        <w:tc>
          <w:tcPr>
            <w:tcW w:w="2316" w:type="pct"/>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2C3C77C6">
            <w:pPr>
              <w:jc w:val="center"/>
              <w:rPr>
                <w:rFonts w:ascii="Times New Roman" w:hAnsi="Times New Roman" w:eastAsia="宋体" w:cs="Times New Roman"/>
                <w:sz w:val="21"/>
                <w:szCs w:val="21"/>
              </w:rPr>
            </w:pPr>
            <w:r>
              <w:rPr>
                <w:rFonts w:ascii="Times New Roman" w:hAnsi="Times New Roman" w:eastAsia="宋体" w:cs="Times New Roman"/>
                <w:sz w:val="21"/>
                <w:szCs w:val="21"/>
              </w:rPr>
              <w:t>氟化物、氨</w:t>
            </w:r>
          </w:p>
        </w:tc>
        <w:tc>
          <w:tcPr>
            <w:tcW w:w="1062" w:type="pct"/>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157CD625">
            <w:pPr>
              <w:jc w:val="center"/>
              <w:rPr>
                <w:rFonts w:ascii="Times New Roman" w:hAnsi="Times New Roman" w:eastAsia="宋体" w:cs="Times New Roman"/>
                <w:sz w:val="21"/>
                <w:szCs w:val="21"/>
              </w:rPr>
            </w:pPr>
            <w:r>
              <w:rPr>
                <w:rFonts w:hint="eastAsia" w:ascii="Times New Roman" w:hAnsi="Times New Roman" w:eastAsia="宋体" w:cs="Times New Roman"/>
                <w:sz w:val="21"/>
                <w:szCs w:val="21"/>
                <w:lang w:val="en-US" w:eastAsia="zh-CN"/>
              </w:rPr>
              <w:t>1次/</w:t>
            </w:r>
            <w:r>
              <w:rPr>
                <w:rFonts w:ascii="Times New Roman" w:hAnsi="Times New Roman" w:eastAsia="宋体" w:cs="Times New Roman"/>
                <w:sz w:val="21"/>
                <w:szCs w:val="21"/>
              </w:rPr>
              <w:t>季度</w:t>
            </w:r>
          </w:p>
        </w:tc>
      </w:tr>
      <w:tr w14:paraId="143848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0" w:type="auto"/>
            <w:vMerge w:val="continue"/>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3A8442A2"/>
        </w:tc>
        <w:tc>
          <w:tcPr>
            <w:tcW w:w="1061" w:type="pct"/>
            <w:vMerge w:val="continue"/>
            <w:tcBorders>
              <w:left w:val="single" w:color="000000" w:sz="4" w:space="0"/>
              <w:bottom w:val="single" w:color="000000" w:sz="4" w:space="0"/>
              <w:right w:val="single" w:color="000000" w:sz="4" w:space="0"/>
            </w:tcBorders>
            <w:noWrap w:val="0"/>
            <w:tcMar>
              <w:left w:w="108" w:type="dxa"/>
              <w:right w:w="108" w:type="dxa"/>
            </w:tcMar>
            <w:vAlign w:val="center"/>
          </w:tcPr>
          <w:p w14:paraId="594D5EE6">
            <w:pPr>
              <w:jc w:val="center"/>
              <w:rPr>
                <w:rFonts w:ascii="Times New Roman" w:hAnsi="Times New Roman" w:eastAsia="宋体" w:cs="Times New Roman"/>
                <w:sz w:val="21"/>
                <w:szCs w:val="21"/>
              </w:rPr>
            </w:pPr>
          </w:p>
        </w:tc>
        <w:tc>
          <w:tcPr>
            <w:tcW w:w="2316" w:type="pct"/>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19BAAA04">
            <w:pPr>
              <w:jc w:val="center"/>
              <w:rPr>
                <w:rFonts w:ascii="Times New Roman" w:hAnsi="Times New Roman" w:eastAsia="宋体" w:cs="Times New Roman"/>
                <w:sz w:val="21"/>
                <w:szCs w:val="21"/>
              </w:rPr>
            </w:pPr>
            <w:r>
              <w:rPr>
                <w:rFonts w:ascii="Times New Roman" w:hAnsi="Times New Roman" w:eastAsia="宋体" w:cs="Times New Roman"/>
                <w:sz w:val="21"/>
                <w:szCs w:val="21"/>
              </w:rPr>
              <w:t>二噁英类</w:t>
            </w:r>
          </w:p>
        </w:tc>
        <w:tc>
          <w:tcPr>
            <w:tcW w:w="1062" w:type="pct"/>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6A57F79C">
            <w:pPr>
              <w:jc w:val="center"/>
              <w:rPr>
                <w:rFonts w:ascii="Times New Roman" w:hAnsi="Times New Roman" w:eastAsia="宋体" w:cs="Times New Roman"/>
                <w:sz w:val="21"/>
                <w:szCs w:val="21"/>
              </w:rPr>
            </w:pPr>
            <w:r>
              <w:rPr>
                <w:rFonts w:hint="eastAsia" w:ascii="Times New Roman" w:hAnsi="Times New Roman" w:eastAsia="宋体" w:cs="Times New Roman"/>
                <w:sz w:val="21"/>
                <w:szCs w:val="21"/>
                <w:lang w:val="en-US" w:eastAsia="zh-CN"/>
              </w:rPr>
              <w:t>1次/年</w:t>
            </w:r>
          </w:p>
        </w:tc>
      </w:tr>
      <w:tr w14:paraId="10F196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0" w:type="auto"/>
            <w:vMerge w:val="continue"/>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4DBD2B15"/>
        </w:tc>
        <w:tc>
          <w:tcPr>
            <w:tcW w:w="1061" w:type="pct"/>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766D205F">
            <w:pPr>
              <w:jc w:val="center"/>
              <w:rPr>
                <w:rFonts w:ascii="Times New Roman" w:hAnsi="Times New Roman" w:eastAsia="宋体" w:cs="Times New Roman"/>
                <w:sz w:val="21"/>
                <w:szCs w:val="21"/>
              </w:rPr>
            </w:pPr>
            <w:r>
              <w:rPr>
                <w:rFonts w:ascii="Times New Roman" w:hAnsi="Times New Roman" w:eastAsia="宋体" w:cs="Times New Roman"/>
                <w:sz w:val="21"/>
                <w:szCs w:val="21"/>
              </w:rPr>
              <w:t>DA0</w:t>
            </w:r>
            <w:r>
              <w:rPr>
                <w:rFonts w:hint="eastAsia" w:ascii="Times New Roman" w:hAnsi="Times New Roman" w:eastAsia="宋体" w:cs="Times New Roman"/>
                <w:sz w:val="21"/>
                <w:szCs w:val="21"/>
                <w:lang w:val="en-US" w:eastAsia="zh-CN"/>
              </w:rPr>
              <w:t>12</w:t>
            </w:r>
          </w:p>
        </w:tc>
        <w:tc>
          <w:tcPr>
            <w:tcW w:w="2316" w:type="pct"/>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655EDB34">
            <w:pPr>
              <w:jc w:val="center"/>
              <w:rPr>
                <w:rFonts w:ascii="Times New Roman" w:hAnsi="Times New Roman" w:eastAsia="宋体" w:cs="Times New Roman"/>
                <w:sz w:val="21"/>
                <w:szCs w:val="21"/>
              </w:rPr>
            </w:pPr>
            <w:r>
              <w:rPr>
                <w:rFonts w:ascii="Times New Roman" w:hAnsi="Times New Roman" w:eastAsia="宋体" w:cs="Times New Roman"/>
                <w:sz w:val="21"/>
                <w:szCs w:val="21"/>
              </w:rPr>
              <w:t>颗粒物</w:t>
            </w:r>
          </w:p>
        </w:tc>
        <w:tc>
          <w:tcPr>
            <w:tcW w:w="1062" w:type="pct"/>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7EF08754">
            <w:pPr>
              <w:jc w:val="center"/>
              <w:rPr>
                <w:rFonts w:ascii="Times New Roman" w:hAnsi="Times New Roman" w:eastAsia="宋体" w:cs="Times New Roman"/>
                <w:sz w:val="21"/>
                <w:szCs w:val="21"/>
              </w:rPr>
            </w:pPr>
            <w:r>
              <w:rPr>
                <w:rFonts w:hint="eastAsia" w:ascii="Times New Roman" w:hAnsi="Times New Roman" w:eastAsia="宋体" w:cs="Times New Roman"/>
                <w:sz w:val="21"/>
                <w:szCs w:val="21"/>
                <w:lang w:val="en-US" w:eastAsia="zh-CN"/>
              </w:rPr>
              <w:t>1次/年</w:t>
            </w:r>
          </w:p>
        </w:tc>
      </w:tr>
      <w:tr w14:paraId="05871C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0" w:type="auto"/>
            <w:vMerge w:val="continue"/>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36520767"/>
        </w:tc>
        <w:tc>
          <w:tcPr>
            <w:tcW w:w="1061" w:type="pct"/>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0972A059">
            <w:pPr>
              <w:jc w:val="center"/>
              <w:rPr>
                <w:rFonts w:ascii="Times New Roman" w:hAnsi="Times New Roman" w:eastAsia="宋体" w:cs="Times New Roman"/>
                <w:sz w:val="21"/>
                <w:szCs w:val="21"/>
              </w:rPr>
            </w:pPr>
            <w:r>
              <w:rPr>
                <w:rFonts w:ascii="Times New Roman" w:hAnsi="Times New Roman" w:eastAsia="宋体" w:cs="Times New Roman"/>
                <w:sz w:val="21"/>
                <w:szCs w:val="21"/>
              </w:rPr>
              <w:t>DA0</w:t>
            </w:r>
            <w:r>
              <w:rPr>
                <w:rFonts w:hint="eastAsia" w:ascii="Times New Roman" w:hAnsi="Times New Roman" w:eastAsia="宋体" w:cs="Times New Roman"/>
                <w:sz w:val="21"/>
                <w:szCs w:val="21"/>
                <w:lang w:val="en-US" w:eastAsia="zh-CN"/>
              </w:rPr>
              <w:t>14</w:t>
            </w:r>
          </w:p>
        </w:tc>
        <w:tc>
          <w:tcPr>
            <w:tcW w:w="2316" w:type="pct"/>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33123493">
            <w:pPr>
              <w:jc w:val="center"/>
              <w:rPr>
                <w:rFonts w:ascii="Times New Roman" w:hAnsi="Times New Roman" w:eastAsia="宋体" w:cs="Times New Roman"/>
                <w:sz w:val="21"/>
                <w:szCs w:val="21"/>
              </w:rPr>
            </w:pPr>
            <w:r>
              <w:rPr>
                <w:rFonts w:ascii="Times New Roman" w:hAnsi="Times New Roman" w:eastAsia="宋体" w:cs="Times New Roman"/>
                <w:sz w:val="21"/>
                <w:szCs w:val="21"/>
              </w:rPr>
              <w:t>颗粒物</w:t>
            </w:r>
          </w:p>
        </w:tc>
        <w:tc>
          <w:tcPr>
            <w:tcW w:w="1062" w:type="pct"/>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084B5E0F">
            <w:pPr>
              <w:jc w:val="center"/>
              <w:rPr>
                <w:rFonts w:ascii="Times New Roman" w:hAnsi="Times New Roman" w:eastAsia="宋体" w:cs="Times New Roman"/>
                <w:sz w:val="21"/>
                <w:szCs w:val="21"/>
              </w:rPr>
            </w:pPr>
            <w:r>
              <w:rPr>
                <w:rFonts w:hint="eastAsia" w:ascii="Times New Roman" w:hAnsi="Times New Roman" w:eastAsia="宋体" w:cs="Times New Roman"/>
                <w:sz w:val="21"/>
                <w:szCs w:val="21"/>
                <w:lang w:val="en-US" w:eastAsia="zh-CN"/>
              </w:rPr>
              <w:t>1次/年</w:t>
            </w:r>
          </w:p>
        </w:tc>
      </w:tr>
      <w:tr w14:paraId="56CC99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0" w:type="auto"/>
            <w:vMerge w:val="continue"/>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5E6A5FE9"/>
        </w:tc>
        <w:tc>
          <w:tcPr>
            <w:tcW w:w="1061" w:type="pct"/>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6559D2DD">
            <w:pPr>
              <w:jc w:val="center"/>
              <w:rPr>
                <w:rFonts w:ascii="Times New Roman" w:hAnsi="Times New Roman" w:eastAsia="宋体" w:cs="Times New Roman"/>
                <w:sz w:val="21"/>
                <w:szCs w:val="21"/>
              </w:rPr>
            </w:pPr>
            <w:r>
              <w:rPr>
                <w:rFonts w:ascii="Times New Roman" w:hAnsi="Times New Roman" w:eastAsia="宋体" w:cs="Times New Roman"/>
                <w:sz w:val="21"/>
                <w:szCs w:val="21"/>
              </w:rPr>
              <w:t>DA0</w:t>
            </w:r>
            <w:r>
              <w:rPr>
                <w:rFonts w:hint="eastAsia" w:ascii="Times New Roman" w:hAnsi="Times New Roman" w:eastAsia="宋体" w:cs="Times New Roman"/>
                <w:sz w:val="21"/>
                <w:szCs w:val="21"/>
                <w:lang w:val="en-US" w:eastAsia="zh-CN"/>
              </w:rPr>
              <w:t>15</w:t>
            </w:r>
          </w:p>
        </w:tc>
        <w:tc>
          <w:tcPr>
            <w:tcW w:w="2316" w:type="pct"/>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02DE6596">
            <w:pPr>
              <w:jc w:val="center"/>
              <w:rPr>
                <w:rFonts w:ascii="Times New Roman" w:hAnsi="Times New Roman" w:eastAsia="宋体" w:cs="Times New Roman"/>
                <w:sz w:val="21"/>
                <w:szCs w:val="21"/>
              </w:rPr>
            </w:pPr>
            <w:r>
              <w:rPr>
                <w:rFonts w:ascii="Times New Roman" w:hAnsi="Times New Roman" w:eastAsia="宋体" w:cs="Times New Roman"/>
                <w:sz w:val="21"/>
                <w:szCs w:val="21"/>
              </w:rPr>
              <w:t>颗粒物</w:t>
            </w:r>
          </w:p>
        </w:tc>
        <w:tc>
          <w:tcPr>
            <w:tcW w:w="1062" w:type="pct"/>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2ED8987A">
            <w:pPr>
              <w:jc w:val="center"/>
              <w:rPr>
                <w:rFonts w:ascii="Times New Roman" w:hAnsi="Times New Roman" w:eastAsia="宋体" w:cs="Times New Roman"/>
                <w:sz w:val="21"/>
                <w:szCs w:val="21"/>
              </w:rPr>
            </w:pPr>
            <w:r>
              <w:rPr>
                <w:rFonts w:hint="eastAsia" w:ascii="Times New Roman" w:hAnsi="Times New Roman" w:eastAsia="宋体" w:cs="Times New Roman"/>
                <w:sz w:val="21"/>
                <w:szCs w:val="21"/>
                <w:lang w:val="en-US" w:eastAsia="zh-CN"/>
              </w:rPr>
              <w:t>1次/年</w:t>
            </w:r>
          </w:p>
        </w:tc>
      </w:tr>
      <w:tr w14:paraId="11056B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0" w:type="auto"/>
            <w:vMerge w:val="continue"/>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54470EE8"/>
        </w:tc>
        <w:tc>
          <w:tcPr>
            <w:tcW w:w="1061" w:type="pct"/>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1A1DB054">
            <w:pPr>
              <w:jc w:val="center"/>
              <w:rPr>
                <w:rFonts w:ascii="Times New Roman" w:hAnsi="Times New Roman" w:eastAsia="宋体" w:cs="Times New Roman"/>
                <w:sz w:val="21"/>
                <w:szCs w:val="21"/>
              </w:rPr>
            </w:pPr>
            <w:r>
              <w:rPr>
                <w:rFonts w:ascii="Times New Roman" w:hAnsi="Times New Roman" w:eastAsia="宋体" w:cs="Times New Roman"/>
                <w:sz w:val="21"/>
                <w:szCs w:val="21"/>
              </w:rPr>
              <w:t>厂界</w:t>
            </w:r>
          </w:p>
        </w:tc>
        <w:tc>
          <w:tcPr>
            <w:tcW w:w="2316" w:type="pct"/>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092FD26E">
            <w:pPr>
              <w:jc w:val="center"/>
              <w:rPr>
                <w:rFonts w:ascii="Times New Roman" w:hAnsi="Times New Roman" w:eastAsia="宋体" w:cs="Times New Roman"/>
                <w:sz w:val="21"/>
                <w:szCs w:val="21"/>
              </w:rPr>
            </w:pPr>
            <w:r>
              <w:rPr>
                <w:rFonts w:ascii="Times New Roman" w:hAnsi="Times New Roman" w:eastAsia="宋体" w:cs="Times New Roman"/>
                <w:sz w:val="21"/>
                <w:szCs w:val="21"/>
              </w:rPr>
              <w:t>TSP、氨气</w:t>
            </w:r>
          </w:p>
        </w:tc>
        <w:tc>
          <w:tcPr>
            <w:tcW w:w="1062" w:type="pct"/>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08176C39">
            <w:pPr>
              <w:jc w:val="center"/>
              <w:rPr>
                <w:rFonts w:ascii="Times New Roman" w:hAnsi="Times New Roman" w:eastAsia="宋体" w:cs="Times New Roman"/>
                <w:sz w:val="21"/>
                <w:szCs w:val="21"/>
              </w:rPr>
            </w:pPr>
            <w:r>
              <w:rPr>
                <w:rFonts w:ascii="Times New Roman" w:hAnsi="Times New Roman" w:eastAsia="宋体" w:cs="Times New Roman"/>
                <w:sz w:val="21"/>
                <w:szCs w:val="21"/>
              </w:rPr>
              <w:t>每年监测一次</w:t>
            </w:r>
          </w:p>
        </w:tc>
      </w:tr>
      <w:tr w14:paraId="67ECEB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0" w:type="auto"/>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6B4C17D8">
            <w:r>
              <w:t>噪声</w:t>
            </w:r>
          </w:p>
        </w:tc>
        <w:tc>
          <w:tcPr>
            <w:tcW w:w="1061" w:type="pct"/>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3FDC9B9A">
            <w:pPr>
              <w:jc w:val="center"/>
              <w:rPr>
                <w:rFonts w:ascii="Times New Roman" w:hAnsi="Times New Roman" w:eastAsia="宋体" w:cs="Times New Roman"/>
                <w:sz w:val="21"/>
                <w:szCs w:val="21"/>
              </w:rPr>
            </w:pPr>
            <w:r>
              <w:rPr>
                <w:rFonts w:ascii="Times New Roman" w:hAnsi="Times New Roman" w:eastAsia="宋体" w:cs="Times New Roman"/>
                <w:sz w:val="21"/>
                <w:szCs w:val="21"/>
              </w:rPr>
              <w:t>厂界（8～10个点位）</w:t>
            </w:r>
          </w:p>
        </w:tc>
        <w:tc>
          <w:tcPr>
            <w:tcW w:w="2316" w:type="pct"/>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5803C8D2">
            <w:pPr>
              <w:jc w:val="center"/>
              <w:rPr>
                <w:rFonts w:ascii="Times New Roman" w:hAnsi="Times New Roman" w:eastAsia="宋体" w:cs="Times New Roman"/>
                <w:sz w:val="21"/>
                <w:szCs w:val="21"/>
              </w:rPr>
            </w:pPr>
            <w:r>
              <w:rPr>
                <w:rFonts w:ascii="Times New Roman" w:hAnsi="Times New Roman" w:eastAsia="宋体" w:cs="Times New Roman"/>
                <w:sz w:val="21"/>
                <w:szCs w:val="21"/>
              </w:rPr>
              <w:t>等效连续A声级（昼、夜各一次）</w:t>
            </w:r>
          </w:p>
        </w:tc>
        <w:tc>
          <w:tcPr>
            <w:tcW w:w="1062" w:type="pct"/>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00D68FAD">
            <w:pPr>
              <w:jc w:val="center"/>
              <w:rPr>
                <w:rFonts w:ascii="Times New Roman" w:hAnsi="Times New Roman" w:eastAsia="宋体" w:cs="Times New Roman"/>
                <w:sz w:val="21"/>
                <w:szCs w:val="21"/>
              </w:rPr>
            </w:pPr>
            <w:r>
              <w:rPr>
                <w:rFonts w:ascii="Times New Roman" w:hAnsi="Times New Roman" w:eastAsia="宋体" w:cs="Times New Roman"/>
                <w:sz w:val="21"/>
                <w:szCs w:val="21"/>
              </w:rPr>
              <w:t>每季度一次</w:t>
            </w:r>
          </w:p>
        </w:tc>
      </w:tr>
      <w:tr w14:paraId="1265FC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560" w:type="pct"/>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79FCFEAB">
            <w:pPr>
              <w:jc w:val="center"/>
            </w:pPr>
            <w:r>
              <w:rPr>
                <w:rFonts w:ascii="Times New Roman" w:hAnsi="Times New Roman" w:cs="Times New Roman"/>
                <w:sz w:val="21"/>
                <w:szCs w:val="21"/>
              </w:rPr>
              <w:t>土壤</w:t>
            </w:r>
          </w:p>
        </w:tc>
        <w:tc>
          <w:tcPr>
            <w:tcW w:w="1061" w:type="pct"/>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7954E807">
            <w:pPr>
              <w:jc w:val="center"/>
            </w:pPr>
            <w:r>
              <w:rPr>
                <w:rFonts w:ascii="Times New Roman" w:hAnsi="Times New Roman" w:cs="Times New Roman"/>
                <w:sz w:val="21"/>
                <w:szCs w:val="21"/>
              </w:rPr>
              <w:t>厂区周边200</w:t>
            </w:r>
            <w:r>
              <w:rPr>
                <w:rFonts w:hint="eastAsia" w:ascii="Times New Roman" w:hAnsi="Times New Roman" w:cs="Times New Roman"/>
                <w:sz w:val="21"/>
                <w:szCs w:val="21"/>
              </w:rPr>
              <w:t>m</w:t>
            </w:r>
            <w:r>
              <w:rPr>
                <w:rFonts w:ascii="Times New Roman" w:hAnsi="Times New Roman" w:cs="Times New Roman"/>
                <w:sz w:val="21"/>
                <w:szCs w:val="21"/>
              </w:rPr>
              <w:t>范围内设置1个点位</w:t>
            </w:r>
          </w:p>
        </w:tc>
        <w:tc>
          <w:tcPr>
            <w:tcW w:w="2316" w:type="pct"/>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0D740665">
            <w:pPr>
              <w:pStyle w:val="242"/>
            </w:pPr>
            <w:r>
              <w:rPr>
                <w:kern w:val="0"/>
                <w:szCs w:val="21"/>
              </w:rPr>
              <w:t>pH值、镉、汞、铜、铅、铬、锌、砷、镍</w:t>
            </w:r>
          </w:p>
        </w:tc>
        <w:tc>
          <w:tcPr>
            <w:tcW w:w="1062" w:type="pct"/>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529AFEE5">
            <w:pPr>
              <w:jc w:val="center"/>
            </w:pPr>
            <w:r>
              <w:rPr>
                <w:rFonts w:ascii="Times New Roman" w:hAnsi="Times New Roman" w:cs="Times New Roman"/>
                <w:sz w:val="21"/>
                <w:szCs w:val="21"/>
              </w:rPr>
              <w:t>每年一次</w:t>
            </w:r>
          </w:p>
        </w:tc>
      </w:tr>
    </w:tbl>
    <w:p w14:paraId="4324D219">
      <w:pPr>
        <w:tabs>
          <w:tab w:val="left" w:pos="0"/>
        </w:tabs>
        <w:jc w:val="center"/>
        <w:rPr>
          <w:rFonts w:ascii="Times New Roman" w:hAnsi="Times New Roman" w:eastAsia="黑体" w:cs="Times New Roman"/>
        </w:rPr>
      </w:pPr>
    </w:p>
    <w:p w14:paraId="0F331B5E">
      <w:pPr>
        <w:rPr>
          <w:rFonts w:hint="eastAsia"/>
        </w:rPr>
      </w:pPr>
      <w:bookmarkStart w:id="675" w:name="_Toc90026161"/>
    </w:p>
    <w:p w14:paraId="098645D8">
      <w:pPr>
        <w:pStyle w:val="6"/>
      </w:pPr>
      <w:bookmarkStart w:id="676" w:name="_Toc29331"/>
      <w:r>
        <w:rPr>
          <w:rFonts w:hint="eastAsia"/>
        </w:rPr>
        <w:t>9</w:t>
      </w:r>
      <w:r>
        <w:t>.3 环境信息公开制度</w:t>
      </w:r>
      <w:bookmarkEnd w:id="675"/>
      <w:bookmarkEnd w:id="676"/>
    </w:p>
    <w:p w14:paraId="50722758">
      <w:pPr>
        <w:pStyle w:val="7"/>
      </w:pPr>
      <w:bookmarkStart w:id="677" w:name="_Toc23683"/>
      <w:bookmarkStart w:id="678" w:name="_Toc90026362"/>
      <w:r>
        <w:rPr>
          <w:rFonts w:hint="eastAsia"/>
          <w:lang w:eastAsia="zh-CN"/>
        </w:rPr>
        <w:t>9</w:t>
      </w:r>
      <w:r>
        <w:t>.3.1 环境信息公开内容</w:t>
      </w:r>
      <w:bookmarkEnd w:id="677"/>
      <w:bookmarkEnd w:id="678"/>
    </w:p>
    <w:p w14:paraId="3857AF5C">
      <w:pPr>
        <w:spacing w:line="500" w:lineRule="exact"/>
        <w:ind w:firstLine="480" w:firstLineChars="200"/>
        <w:rPr>
          <w:rFonts w:ascii="Times New Roman" w:hAnsi="Times New Roman" w:cs="Times New Roman"/>
        </w:rPr>
      </w:pPr>
      <w:r>
        <w:rPr>
          <w:rFonts w:ascii="Times New Roman" w:hAnsi="Times New Roman" w:cs="Times New Roman"/>
        </w:rPr>
        <w:t>按照环保部《企业事业单位环境信息公开办法》、《环境信息公开办法（试行）》等的相关要求，建设单位应制定相应的环境信息公开制度，定期向公众公布企业的环境信息，包括的内容如下：</w:t>
      </w:r>
    </w:p>
    <w:p w14:paraId="44744720">
      <w:pPr>
        <w:spacing w:line="500" w:lineRule="exact"/>
        <w:ind w:firstLine="480" w:firstLineChars="200"/>
        <w:rPr>
          <w:rFonts w:ascii="Times New Roman" w:hAnsi="Times New Roman" w:cs="Times New Roman"/>
        </w:rPr>
      </w:pPr>
      <w:r>
        <w:rPr>
          <w:rFonts w:ascii="Times New Roman" w:hAnsi="Times New Roman" w:cs="Times New Roman"/>
        </w:rPr>
        <w:t>（一）基础信息，包括单位名称、组织机构代码、法定代表人、生产地址、联系方式，以及生产经营和管理服务的主要内容、产品及规模；</w:t>
      </w:r>
    </w:p>
    <w:p w14:paraId="44F2F69D">
      <w:pPr>
        <w:spacing w:line="500" w:lineRule="exact"/>
        <w:ind w:firstLine="480" w:firstLineChars="200"/>
        <w:rPr>
          <w:rFonts w:ascii="Times New Roman" w:hAnsi="Times New Roman" w:cs="Times New Roman"/>
        </w:rPr>
      </w:pPr>
      <w:r>
        <w:rPr>
          <w:rFonts w:ascii="Times New Roman" w:hAnsi="Times New Roman" w:cs="Times New Roman"/>
        </w:rPr>
        <w:t>（二）排污信息，包括主要污染物及特征污染物的名称、排放方式、排放口数量和分布情况、排放浓度和总量、超标情况，以及执行的污染物排放标准、核定的排放总量；</w:t>
      </w:r>
    </w:p>
    <w:p w14:paraId="19F7A624">
      <w:pPr>
        <w:spacing w:line="500" w:lineRule="exact"/>
        <w:ind w:firstLine="480" w:firstLineChars="200"/>
        <w:rPr>
          <w:rFonts w:ascii="Times New Roman" w:hAnsi="Times New Roman" w:cs="Times New Roman"/>
        </w:rPr>
      </w:pPr>
      <w:r>
        <w:rPr>
          <w:rFonts w:ascii="Times New Roman" w:hAnsi="Times New Roman" w:cs="Times New Roman"/>
        </w:rPr>
        <w:t>（三）防治污染设施的建设和运行情况；</w:t>
      </w:r>
    </w:p>
    <w:p w14:paraId="61498604">
      <w:pPr>
        <w:spacing w:line="500" w:lineRule="exact"/>
        <w:ind w:firstLine="480" w:firstLineChars="200"/>
        <w:rPr>
          <w:rFonts w:ascii="Times New Roman" w:hAnsi="Times New Roman" w:cs="Times New Roman"/>
        </w:rPr>
      </w:pPr>
      <w:r>
        <w:rPr>
          <w:rFonts w:ascii="Times New Roman" w:hAnsi="Times New Roman" w:cs="Times New Roman"/>
        </w:rPr>
        <w:t>（四）建设项目环境影响评价及其他环境保护行政许可情况；</w:t>
      </w:r>
    </w:p>
    <w:p w14:paraId="2D379558">
      <w:pPr>
        <w:spacing w:line="500" w:lineRule="exact"/>
        <w:ind w:firstLine="480" w:firstLineChars="200"/>
        <w:rPr>
          <w:rFonts w:ascii="Times New Roman" w:hAnsi="Times New Roman" w:cs="Times New Roman"/>
        </w:rPr>
      </w:pPr>
      <w:r>
        <w:rPr>
          <w:rFonts w:ascii="Times New Roman" w:hAnsi="Times New Roman" w:cs="Times New Roman"/>
        </w:rPr>
        <w:t>（五）突发环境事件应急预案；</w:t>
      </w:r>
    </w:p>
    <w:p w14:paraId="2DB5AFA9">
      <w:pPr>
        <w:spacing w:line="500" w:lineRule="exact"/>
        <w:ind w:firstLine="480" w:firstLineChars="200"/>
        <w:rPr>
          <w:rFonts w:ascii="Times New Roman" w:hAnsi="Times New Roman" w:cs="Times New Roman"/>
        </w:rPr>
      </w:pPr>
      <w:r>
        <w:rPr>
          <w:rFonts w:ascii="Times New Roman" w:hAnsi="Times New Roman" w:cs="Times New Roman"/>
        </w:rPr>
        <w:t>（六）环境自行监测方案；</w:t>
      </w:r>
    </w:p>
    <w:p w14:paraId="4921745C">
      <w:pPr>
        <w:spacing w:line="500" w:lineRule="exact"/>
        <w:ind w:firstLine="480" w:firstLineChars="200"/>
        <w:rPr>
          <w:rFonts w:ascii="Times New Roman" w:hAnsi="Times New Roman" w:cs="Times New Roman"/>
        </w:rPr>
      </w:pPr>
      <w:r>
        <w:rPr>
          <w:rFonts w:ascii="Times New Roman" w:hAnsi="Times New Roman" w:cs="Times New Roman"/>
        </w:rPr>
        <w:t>（七）其他应当公开的环境信息。</w:t>
      </w:r>
    </w:p>
    <w:p w14:paraId="2D01AA54">
      <w:pPr>
        <w:pStyle w:val="7"/>
      </w:pPr>
      <w:bookmarkStart w:id="679" w:name="_Toc90026363"/>
      <w:bookmarkStart w:id="680" w:name="_Toc7623"/>
      <w:r>
        <w:rPr>
          <w:rFonts w:hint="eastAsia"/>
          <w:lang w:eastAsia="zh-CN"/>
        </w:rPr>
        <w:t>9</w:t>
      </w:r>
      <w:r>
        <w:t>.3.2 环境信息公开方式</w:t>
      </w:r>
      <w:bookmarkEnd w:id="679"/>
      <w:bookmarkEnd w:id="680"/>
    </w:p>
    <w:p w14:paraId="0840AF62">
      <w:pPr>
        <w:spacing w:line="500" w:lineRule="exact"/>
        <w:ind w:firstLine="482"/>
        <w:rPr>
          <w:rFonts w:ascii="Times New Roman" w:hAnsi="Times New Roman" w:cs="Times New Roman"/>
        </w:rPr>
      </w:pPr>
      <w:r>
        <w:rPr>
          <w:rFonts w:ascii="Times New Roman" w:hAnsi="Times New Roman" w:cs="Times New Roman"/>
        </w:rPr>
        <w:t>环境信息公开可以通过其网站、企业事业单位环境信息公开平台或者当地报刊等便于公众知晓的方式公开环境信息，同时可以采取以下一种或者几种方式予以公开：</w:t>
      </w:r>
    </w:p>
    <w:p w14:paraId="3A4E6461">
      <w:pPr>
        <w:spacing w:line="500" w:lineRule="exact"/>
        <w:ind w:firstLine="482"/>
        <w:rPr>
          <w:rFonts w:ascii="Times New Roman" w:hAnsi="Times New Roman" w:cs="Times New Roman"/>
        </w:rPr>
      </w:pPr>
      <w:r>
        <w:rPr>
          <w:rFonts w:ascii="Times New Roman" w:hAnsi="Times New Roman" w:cs="Times New Roman"/>
        </w:rPr>
        <w:t>（一）公告或者公开发行的信息专刊；</w:t>
      </w:r>
    </w:p>
    <w:p w14:paraId="78263E7B">
      <w:pPr>
        <w:spacing w:line="500" w:lineRule="exact"/>
        <w:ind w:firstLine="482"/>
        <w:rPr>
          <w:rFonts w:ascii="Times New Roman" w:hAnsi="Times New Roman" w:cs="Times New Roman"/>
        </w:rPr>
      </w:pPr>
      <w:r>
        <w:rPr>
          <w:rFonts w:ascii="Times New Roman" w:hAnsi="Times New Roman" w:cs="Times New Roman"/>
        </w:rPr>
        <w:t>（二）广播、电视等新闻媒体；</w:t>
      </w:r>
    </w:p>
    <w:p w14:paraId="31DD7ED3">
      <w:pPr>
        <w:spacing w:line="500" w:lineRule="exact"/>
        <w:ind w:firstLine="482"/>
        <w:rPr>
          <w:rFonts w:ascii="Times New Roman" w:hAnsi="Times New Roman" w:cs="Times New Roman"/>
        </w:rPr>
      </w:pPr>
      <w:r>
        <w:rPr>
          <w:rFonts w:ascii="Times New Roman" w:hAnsi="Times New Roman" w:cs="Times New Roman"/>
        </w:rPr>
        <w:t>（三）信息公开服务、监督热线电话；</w:t>
      </w:r>
    </w:p>
    <w:p w14:paraId="0CDBA05B">
      <w:pPr>
        <w:spacing w:line="500" w:lineRule="exact"/>
        <w:ind w:firstLine="482"/>
        <w:rPr>
          <w:rFonts w:ascii="Times New Roman" w:hAnsi="Times New Roman" w:cs="Times New Roman"/>
        </w:rPr>
      </w:pPr>
      <w:r>
        <w:rPr>
          <w:rFonts w:ascii="Times New Roman" w:hAnsi="Times New Roman" w:cs="Times New Roman"/>
        </w:rPr>
        <w:t>（四）本单位的资料索取点、信息公开栏、信息亭、电子屏幕、电子触摸屏等场所或者设施；</w:t>
      </w:r>
    </w:p>
    <w:p w14:paraId="70072E24">
      <w:pPr>
        <w:spacing w:line="500" w:lineRule="exact"/>
        <w:ind w:firstLine="482"/>
        <w:rPr>
          <w:rFonts w:ascii="Times New Roman" w:hAnsi="Times New Roman" w:cs="Times New Roman"/>
        </w:rPr>
      </w:pPr>
      <w:r>
        <w:rPr>
          <w:rFonts w:ascii="Times New Roman" w:hAnsi="Times New Roman" w:cs="Times New Roman"/>
        </w:rPr>
        <w:t>（五）其他便于公众及时、准确获得信息的方式。</w:t>
      </w:r>
    </w:p>
    <w:p w14:paraId="1184BF8B">
      <w:pPr>
        <w:pStyle w:val="6"/>
      </w:pPr>
      <w:bookmarkStart w:id="681" w:name="_Toc754"/>
      <w:bookmarkStart w:id="682" w:name="_Toc90026162"/>
      <w:r>
        <w:rPr>
          <w:rFonts w:hint="eastAsia"/>
        </w:rPr>
        <w:t>9</w:t>
      </w:r>
      <w:r>
        <w:t>.4 排污口规范化管理</w:t>
      </w:r>
      <w:bookmarkEnd w:id="681"/>
      <w:bookmarkEnd w:id="682"/>
    </w:p>
    <w:p w14:paraId="4C25EFDA">
      <w:pPr>
        <w:spacing w:line="500" w:lineRule="exact"/>
        <w:ind w:firstLine="480" w:firstLineChars="200"/>
        <w:rPr>
          <w:rFonts w:ascii="Times New Roman" w:hAnsi="Times New Roman" w:cs="Times New Roman"/>
          <w:bCs/>
        </w:rPr>
      </w:pPr>
      <w:r>
        <w:rPr>
          <w:rFonts w:ascii="Times New Roman" w:hAnsi="Times New Roman" w:cs="Times New Roman"/>
          <w:bCs/>
        </w:rPr>
        <w:t>排污口是污染物进入环境、对环境产生影响的通道。强化排污口的管理是实施污染物总量控制的基础工作之一，也是区域环境管理逐步实现污染物排放科学化、定量化的重要手段。</w:t>
      </w:r>
    </w:p>
    <w:p w14:paraId="4BF04B43">
      <w:pPr>
        <w:pStyle w:val="7"/>
      </w:pPr>
      <w:bookmarkStart w:id="683" w:name="_Toc9730"/>
      <w:bookmarkStart w:id="684" w:name="_Toc90026365"/>
      <w:r>
        <w:rPr>
          <w:rFonts w:hint="eastAsia"/>
          <w:lang w:eastAsia="zh-CN"/>
        </w:rPr>
        <w:t>9</w:t>
      </w:r>
      <w:r>
        <w:t>.4.1 排污口规范化要求</w:t>
      </w:r>
      <w:bookmarkEnd w:id="683"/>
      <w:bookmarkEnd w:id="684"/>
    </w:p>
    <w:p w14:paraId="721A6916">
      <w:pPr>
        <w:spacing w:line="500" w:lineRule="exact"/>
        <w:ind w:firstLine="480" w:firstLineChars="200"/>
        <w:rPr>
          <w:rFonts w:ascii="Times New Roman" w:hAnsi="Times New Roman" w:cs="Times New Roman"/>
          <w:bCs/>
        </w:rPr>
      </w:pPr>
      <w:r>
        <w:rPr>
          <w:rFonts w:ascii="Times New Roman" w:hAnsi="Times New Roman" w:cs="Times New Roman"/>
          <w:bCs/>
        </w:rPr>
        <w:t>根据国家环保总局环发[1999]24号文《关于开展排污口规范化整治工作的通知》精神，一切新建、扩建、改建的排污单位必须在建设污染防治设施的同时，建设规范化排污口，作为落实环境保护三同时制度的必要组成和项目验收内容之一，本次评价对项目排污口提出以下要求：</w:t>
      </w:r>
    </w:p>
    <w:p w14:paraId="19AE51AA">
      <w:pPr>
        <w:spacing w:line="500" w:lineRule="exact"/>
        <w:ind w:firstLine="482" w:firstLineChars="200"/>
        <w:rPr>
          <w:rFonts w:ascii="Times New Roman" w:hAnsi="Times New Roman" w:cs="Times New Roman"/>
          <w:b/>
          <w:bCs/>
        </w:rPr>
      </w:pPr>
      <w:r>
        <w:rPr>
          <w:rFonts w:ascii="Times New Roman" w:hAnsi="Times New Roman" w:cs="Times New Roman"/>
          <w:b/>
          <w:bCs/>
        </w:rPr>
        <w:t>（1）排污口规范</w:t>
      </w:r>
    </w:p>
    <w:p w14:paraId="096B6900">
      <w:pPr>
        <w:spacing w:line="500" w:lineRule="exact"/>
        <w:ind w:firstLine="480" w:firstLineChars="200"/>
        <w:rPr>
          <w:rFonts w:ascii="Times New Roman" w:hAnsi="Times New Roman" w:cs="Times New Roman"/>
          <w:bCs/>
        </w:rPr>
      </w:pPr>
      <w:r>
        <w:rPr>
          <w:rFonts w:ascii="Times New Roman" w:hAnsi="Times New Roman" w:cs="Times New Roman"/>
          <w:bCs/>
        </w:rPr>
        <w:t>烟气排放口、除尘器及其它环保设施进出口应设置采样口，采样口的设置应符合《固定源废气监测技术规范》（HJ/T397-2007）以及固定污染源废气、烟气等监测规范中的相关要求，同时设置环境图形标志。</w:t>
      </w:r>
    </w:p>
    <w:p w14:paraId="5397E631">
      <w:pPr>
        <w:spacing w:line="500" w:lineRule="exact"/>
        <w:ind w:firstLine="482" w:firstLineChars="200"/>
        <w:rPr>
          <w:rFonts w:ascii="Times New Roman" w:hAnsi="Times New Roman" w:cs="Times New Roman"/>
          <w:b/>
          <w:bCs/>
        </w:rPr>
      </w:pPr>
      <w:r>
        <w:rPr>
          <w:rFonts w:ascii="Times New Roman" w:hAnsi="Times New Roman" w:cs="Times New Roman"/>
          <w:b/>
          <w:bCs/>
        </w:rPr>
        <w:t>（2）排污口立标要求</w:t>
      </w:r>
    </w:p>
    <w:p w14:paraId="259DE0AE">
      <w:pPr>
        <w:spacing w:line="500" w:lineRule="exact"/>
        <w:ind w:firstLine="480" w:firstLineChars="200"/>
        <w:rPr>
          <w:rFonts w:ascii="Times New Roman" w:hAnsi="Times New Roman" w:cs="Times New Roman"/>
          <w:bCs/>
        </w:rPr>
      </w:pPr>
      <w:r>
        <w:rPr>
          <w:rFonts w:ascii="Times New Roman" w:hAnsi="Times New Roman" w:cs="Times New Roman"/>
          <w:bCs/>
        </w:rPr>
        <w:t>污染物排放口的环保图形标志牌均应设置在靠近采样点，且醒目处，标志牌设置高度为其上边缘，距离地面约2m。以上环保标志图形应按照GB15562.1、GB15562.2规定进行制作和安装。</w:t>
      </w:r>
    </w:p>
    <w:p w14:paraId="55585F53">
      <w:pPr>
        <w:spacing w:line="500" w:lineRule="exact"/>
        <w:ind w:firstLine="482" w:firstLineChars="200"/>
        <w:rPr>
          <w:rFonts w:ascii="Times New Roman" w:hAnsi="Times New Roman" w:cs="Times New Roman"/>
          <w:b/>
          <w:bCs/>
        </w:rPr>
      </w:pPr>
      <w:r>
        <w:rPr>
          <w:rFonts w:ascii="Times New Roman" w:hAnsi="Times New Roman" w:cs="Times New Roman"/>
          <w:b/>
          <w:bCs/>
        </w:rPr>
        <w:t>（3）排污口设置图形标志的要求</w:t>
      </w:r>
    </w:p>
    <w:p w14:paraId="0DC6E137">
      <w:pPr>
        <w:spacing w:line="500" w:lineRule="exact"/>
        <w:ind w:firstLine="480" w:firstLineChars="200"/>
        <w:rPr>
          <w:rFonts w:ascii="Times New Roman" w:hAnsi="Times New Roman" w:cs="Times New Roman"/>
          <w:bCs/>
        </w:rPr>
      </w:pPr>
      <w:r>
        <w:rPr>
          <w:rFonts w:hint="eastAsia"/>
          <w:bCs/>
        </w:rPr>
        <w:t>◆</w:t>
      </w:r>
      <w:r>
        <w:rPr>
          <w:rFonts w:ascii="Times New Roman" w:hAnsi="Times New Roman" w:cs="Times New Roman"/>
          <w:bCs/>
        </w:rPr>
        <w:t>本项目建设的同时，应在各个废气排放口和重点噪声源处设置相应环保图形标志。</w:t>
      </w:r>
    </w:p>
    <w:p w14:paraId="7D39B92B">
      <w:pPr>
        <w:spacing w:line="500" w:lineRule="exact"/>
        <w:ind w:firstLine="480" w:firstLineChars="200"/>
        <w:rPr>
          <w:rFonts w:ascii="Times New Roman" w:hAnsi="Times New Roman" w:cs="Times New Roman"/>
          <w:bCs/>
        </w:rPr>
      </w:pPr>
      <w:r>
        <w:rPr>
          <w:rFonts w:hint="eastAsia"/>
          <w:bCs/>
        </w:rPr>
        <w:t>◆</w:t>
      </w:r>
      <w:r>
        <w:rPr>
          <w:rFonts w:ascii="Times New Roman" w:hAnsi="Times New Roman" w:cs="Times New Roman"/>
          <w:bCs/>
        </w:rPr>
        <w:t>污染物排放口的环保图形标志牌均应设置在靠近采样点，应满足“一明显，二合理，三便于”的要求。</w:t>
      </w:r>
    </w:p>
    <w:p w14:paraId="567371C3">
      <w:pPr>
        <w:spacing w:line="500" w:lineRule="exact"/>
        <w:ind w:firstLine="480" w:firstLineChars="200"/>
        <w:rPr>
          <w:rFonts w:ascii="Times New Roman" w:hAnsi="Times New Roman" w:cs="Times New Roman"/>
          <w:bCs/>
        </w:rPr>
      </w:pPr>
      <w:r>
        <w:rPr>
          <w:rFonts w:hint="eastAsia"/>
          <w:bCs/>
        </w:rPr>
        <w:t>◆</w:t>
      </w:r>
      <w:r>
        <w:rPr>
          <w:rFonts w:ascii="Times New Roman" w:hAnsi="Times New Roman" w:cs="Times New Roman"/>
          <w:bCs/>
        </w:rPr>
        <w:t>重点排污单位的污染物排放口以设置立式标志牌为主，一般排污单位的污染物排放口，可根据情况设置立式或平面固定式标志牌。</w:t>
      </w:r>
    </w:p>
    <w:p w14:paraId="430D4619">
      <w:pPr>
        <w:spacing w:line="500" w:lineRule="exact"/>
        <w:ind w:firstLine="480" w:firstLineChars="200"/>
        <w:rPr>
          <w:rFonts w:ascii="Times New Roman" w:hAnsi="Times New Roman" w:cs="Times New Roman"/>
          <w:bCs/>
        </w:rPr>
      </w:pPr>
      <w:r>
        <w:rPr>
          <w:rFonts w:ascii="Times New Roman" w:hAnsi="Times New Roman" w:cs="Times New Roman"/>
          <w:bCs/>
        </w:rPr>
        <w:t>排放口图形标志牌见图</w:t>
      </w:r>
      <w:r>
        <w:rPr>
          <w:rFonts w:hint="eastAsia" w:ascii="Times New Roman" w:hAnsi="Times New Roman" w:cs="Times New Roman"/>
          <w:bCs/>
        </w:rPr>
        <w:t>9.4</w:t>
      </w:r>
      <w:r>
        <w:rPr>
          <w:rFonts w:ascii="Times New Roman" w:hAnsi="Times New Roman" w:cs="Times New Roman"/>
          <w:bCs/>
        </w:rPr>
        <w:t>-1，环境保护图形标志排放口（源）的形状及颜色说明见表</w:t>
      </w:r>
      <w:r>
        <w:rPr>
          <w:rFonts w:hint="eastAsia" w:ascii="Times New Roman" w:hAnsi="Times New Roman" w:cs="Times New Roman"/>
          <w:bCs/>
        </w:rPr>
        <w:t>9</w:t>
      </w:r>
      <w:r>
        <w:rPr>
          <w:rFonts w:ascii="Times New Roman" w:hAnsi="Times New Roman" w:cs="Times New Roman"/>
          <w:bCs/>
        </w:rPr>
        <w:t>.4-1。</w:t>
      </w:r>
    </w:p>
    <w:p w14:paraId="6F22D273">
      <w:pPr>
        <w:tabs>
          <w:tab w:val="left" w:pos="851"/>
          <w:tab w:val="left" w:pos="1141"/>
          <w:tab w:val="left" w:pos="4335"/>
        </w:tabs>
        <w:adjustRightInd w:val="0"/>
        <w:jc w:val="center"/>
        <w:rPr>
          <w:rFonts w:ascii="Times New Roman" w:hAnsi="Times New Roman" w:eastAsia="黑体" w:cs="Times New Roman"/>
        </w:rPr>
      </w:pPr>
    </w:p>
    <w:p w14:paraId="179B6FAA">
      <w:pPr>
        <w:tabs>
          <w:tab w:val="left" w:pos="851"/>
          <w:tab w:val="left" w:pos="1141"/>
          <w:tab w:val="left" w:pos="4335"/>
        </w:tabs>
        <w:adjustRightInd w:val="0"/>
        <w:jc w:val="center"/>
        <w:rPr>
          <w:rFonts w:ascii="Times New Roman" w:hAnsi="Times New Roman" w:eastAsia="黑体" w:cs="Times New Roman"/>
        </w:rPr>
      </w:pPr>
      <w:r>
        <w:rPr>
          <w:rFonts w:ascii="Times New Roman" w:hAnsi="Times New Roman" w:eastAsia="黑体" w:cs="Times New Roman"/>
        </w:rPr>
        <w:t>图</w:t>
      </w:r>
      <w:r>
        <w:rPr>
          <w:rFonts w:hint="eastAsia" w:ascii="Times New Roman" w:hAnsi="Times New Roman" w:eastAsia="黑体" w:cs="Times New Roman"/>
        </w:rPr>
        <w:t>9.4</w:t>
      </w:r>
      <w:r>
        <w:rPr>
          <w:rFonts w:ascii="Times New Roman" w:hAnsi="Times New Roman" w:eastAsia="黑体" w:cs="Times New Roman"/>
        </w:rPr>
        <w:t>-1  环境保护图形标志—排放口（源）</w:t>
      </w:r>
    </w:p>
    <w:tbl>
      <w:tblPr>
        <w:tblStyle w:val="56"/>
        <w:tblW w:w="5056"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455"/>
        <w:gridCol w:w="1654"/>
        <w:gridCol w:w="2018"/>
        <w:gridCol w:w="1787"/>
        <w:gridCol w:w="2905"/>
      </w:tblGrid>
      <w:tr w14:paraId="617595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456"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1736985B">
            <w:pPr>
              <w:jc w:val="center"/>
              <w:rPr>
                <w:b/>
              </w:rPr>
            </w:pPr>
            <w:r>
              <w:rPr>
                <w:b/>
              </w:rPr>
              <w:t>序号</w:t>
            </w:r>
          </w:p>
        </w:tc>
        <w:tc>
          <w:tcPr>
            <w:tcW w:w="1654"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62F7AF52">
            <w:pPr>
              <w:jc w:val="center"/>
              <w:rPr>
                <w:b/>
              </w:rPr>
            </w:pPr>
            <w:r>
              <w:rPr>
                <w:b/>
              </w:rPr>
              <w:t>提示图形符号</w:t>
            </w:r>
          </w:p>
        </w:tc>
        <w:tc>
          <w:tcPr>
            <w:tcW w:w="2018"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4312339A">
            <w:pPr>
              <w:jc w:val="center"/>
              <w:rPr>
                <w:b/>
              </w:rPr>
            </w:pPr>
            <w:r>
              <w:rPr>
                <w:b/>
              </w:rPr>
              <w:t>警告图形符号</w:t>
            </w:r>
          </w:p>
        </w:tc>
        <w:tc>
          <w:tcPr>
            <w:tcW w:w="1787"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5CA5B21D">
            <w:pPr>
              <w:jc w:val="center"/>
              <w:rPr>
                <w:b/>
              </w:rPr>
            </w:pPr>
            <w:r>
              <w:rPr>
                <w:b/>
              </w:rPr>
              <w:t>名称</w:t>
            </w:r>
          </w:p>
        </w:tc>
        <w:tc>
          <w:tcPr>
            <w:tcW w:w="2904"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5D501E3A">
            <w:pPr>
              <w:jc w:val="center"/>
              <w:rPr>
                <w:b/>
              </w:rPr>
            </w:pPr>
            <w:r>
              <w:rPr>
                <w:b/>
              </w:rPr>
              <w:t>功能</w:t>
            </w:r>
          </w:p>
        </w:tc>
      </w:tr>
      <w:tr w14:paraId="7F6F1D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456"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32370EB4">
            <w:r>
              <w:t>1</w:t>
            </w:r>
          </w:p>
        </w:tc>
        <w:tc>
          <w:tcPr>
            <w:tcW w:w="1654"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665D4846">
            <w:r>
              <w:drawing>
                <wp:inline distT="0" distB="0" distL="114300" distR="114300">
                  <wp:extent cx="828040" cy="828040"/>
                  <wp:effectExtent l="0" t="0" r="10160" b="10160"/>
                  <wp:docPr id="129" name="图片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 name="图片 130"/>
                          <pic:cNvPicPr>
                            <a:picLocks noChangeAspect="1"/>
                          </pic:cNvPicPr>
                        </pic:nvPicPr>
                        <pic:blipFill>
                          <a:blip r:embed="rId123"/>
                          <a:stretch>
                            <a:fillRect/>
                          </a:stretch>
                        </pic:blipFill>
                        <pic:spPr>
                          <a:xfrm>
                            <a:off x="0" y="0"/>
                            <a:ext cx="828040" cy="828040"/>
                          </a:xfrm>
                          <a:prstGeom prst="rect">
                            <a:avLst/>
                          </a:prstGeom>
                          <a:noFill/>
                          <a:ln>
                            <a:noFill/>
                          </a:ln>
                        </pic:spPr>
                      </pic:pic>
                    </a:graphicData>
                  </a:graphic>
                </wp:inline>
              </w:drawing>
            </w:r>
          </w:p>
        </w:tc>
        <w:tc>
          <w:tcPr>
            <w:tcW w:w="2018"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4F5AB43E">
            <w:r>
              <w:drawing>
                <wp:inline distT="0" distB="0" distL="114300" distR="114300">
                  <wp:extent cx="882650" cy="842010"/>
                  <wp:effectExtent l="0" t="0" r="12700" b="15240"/>
                  <wp:docPr id="130" name="图片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 name="图片 131"/>
                          <pic:cNvPicPr>
                            <a:picLocks noChangeAspect="1"/>
                          </pic:cNvPicPr>
                        </pic:nvPicPr>
                        <pic:blipFill>
                          <a:blip r:embed="rId124"/>
                          <a:stretch>
                            <a:fillRect/>
                          </a:stretch>
                        </pic:blipFill>
                        <pic:spPr>
                          <a:xfrm>
                            <a:off x="0" y="0"/>
                            <a:ext cx="882650" cy="842010"/>
                          </a:xfrm>
                          <a:prstGeom prst="rect">
                            <a:avLst/>
                          </a:prstGeom>
                          <a:noFill/>
                          <a:ln>
                            <a:noFill/>
                          </a:ln>
                        </pic:spPr>
                      </pic:pic>
                    </a:graphicData>
                  </a:graphic>
                </wp:inline>
              </w:drawing>
            </w:r>
          </w:p>
        </w:tc>
        <w:tc>
          <w:tcPr>
            <w:tcW w:w="1787"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075190FF">
            <w:r>
              <w:t>废水排放口</w:t>
            </w:r>
          </w:p>
        </w:tc>
        <w:tc>
          <w:tcPr>
            <w:tcW w:w="2904"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28710F8E">
            <w:r>
              <w:t>/</w:t>
            </w:r>
          </w:p>
        </w:tc>
      </w:tr>
      <w:tr w14:paraId="2A7AAF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456"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2A5C552F">
            <w:r>
              <w:t>2</w:t>
            </w:r>
          </w:p>
        </w:tc>
        <w:tc>
          <w:tcPr>
            <w:tcW w:w="1654"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5E779DCE">
            <w:r>
              <w:drawing>
                <wp:inline distT="0" distB="0" distL="114300" distR="114300">
                  <wp:extent cx="828040" cy="828040"/>
                  <wp:effectExtent l="0" t="0" r="10160" b="10160"/>
                  <wp:docPr id="131" name="图片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 name="图片 132"/>
                          <pic:cNvPicPr>
                            <a:picLocks noChangeAspect="1"/>
                          </pic:cNvPicPr>
                        </pic:nvPicPr>
                        <pic:blipFill>
                          <a:blip r:embed="rId125"/>
                          <a:stretch>
                            <a:fillRect/>
                          </a:stretch>
                        </pic:blipFill>
                        <pic:spPr>
                          <a:xfrm>
                            <a:off x="0" y="0"/>
                            <a:ext cx="828040" cy="828040"/>
                          </a:xfrm>
                          <a:prstGeom prst="rect">
                            <a:avLst/>
                          </a:prstGeom>
                          <a:noFill/>
                          <a:ln>
                            <a:noFill/>
                          </a:ln>
                        </pic:spPr>
                      </pic:pic>
                    </a:graphicData>
                  </a:graphic>
                </wp:inline>
              </w:drawing>
            </w:r>
          </w:p>
        </w:tc>
        <w:tc>
          <w:tcPr>
            <w:tcW w:w="2018"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15D81304">
            <w:r>
              <w:drawing>
                <wp:inline distT="0" distB="0" distL="114300" distR="114300">
                  <wp:extent cx="869950" cy="869950"/>
                  <wp:effectExtent l="0" t="0" r="6350" b="6350"/>
                  <wp:docPr id="132" name="图片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 name="图片 133"/>
                          <pic:cNvPicPr>
                            <a:picLocks noChangeAspect="1"/>
                          </pic:cNvPicPr>
                        </pic:nvPicPr>
                        <pic:blipFill>
                          <a:blip r:embed="rId126"/>
                          <a:stretch>
                            <a:fillRect/>
                          </a:stretch>
                        </pic:blipFill>
                        <pic:spPr>
                          <a:xfrm>
                            <a:off x="0" y="0"/>
                            <a:ext cx="869950" cy="869950"/>
                          </a:xfrm>
                          <a:prstGeom prst="rect">
                            <a:avLst/>
                          </a:prstGeom>
                          <a:noFill/>
                          <a:ln>
                            <a:noFill/>
                          </a:ln>
                        </pic:spPr>
                      </pic:pic>
                    </a:graphicData>
                  </a:graphic>
                </wp:inline>
              </w:drawing>
            </w:r>
          </w:p>
        </w:tc>
        <w:tc>
          <w:tcPr>
            <w:tcW w:w="1787"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2E761D50">
            <w:r>
              <w:t>废气排放口</w:t>
            </w:r>
          </w:p>
        </w:tc>
        <w:tc>
          <w:tcPr>
            <w:tcW w:w="2904"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103F830F">
            <w:r>
              <w:t>表示废气向大气环境排放</w:t>
            </w:r>
          </w:p>
        </w:tc>
      </w:tr>
      <w:tr w14:paraId="1BD755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456"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353D801D">
            <w:r>
              <w:t>3</w:t>
            </w:r>
          </w:p>
        </w:tc>
        <w:tc>
          <w:tcPr>
            <w:tcW w:w="1654"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04FA61E4">
            <w:r>
              <w:drawing>
                <wp:inline distT="0" distB="0" distL="114300" distR="114300">
                  <wp:extent cx="818515" cy="818515"/>
                  <wp:effectExtent l="0" t="0" r="635" b="635"/>
                  <wp:docPr id="133" name="图片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 name="图片 134"/>
                          <pic:cNvPicPr>
                            <a:picLocks noChangeAspect="1"/>
                          </pic:cNvPicPr>
                        </pic:nvPicPr>
                        <pic:blipFill>
                          <a:blip r:embed="rId127"/>
                          <a:stretch>
                            <a:fillRect/>
                          </a:stretch>
                        </pic:blipFill>
                        <pic:spPr>
                          <a:xfrm>
                            <a:off x="0" y="0"/>
                            <a:ext cx="818515" cy="818515"/>
                          </a:xfrm>
                          <a:prstGeom prst="rect">
                            <a:avLst/>
                          </a:prstGeom>
                          <a:noFill/>
                          <a:ln>
                            <a:noFill/>
                          </a:ln>
                        </pic:spPr>
                      </pic:pic>
                    </a:graphicData>
                  </a:graphic>
                </wp:inline>
              </w:drawing>
            </w:r>
          </w:p>
        </w:tc>
        <w:tc>
          <w:tcPr>
            <w:tcW w:w="2018"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52963BAD">
            <w:r>
              <w:drawing>
                <wp:inline distT="0" distB="0" distL="114300" distR="114300">
                  <wp:extent cx="900430" cy="864235"/>
                  <wp:effectExtent l="0" t="0" r="13970" b="12065"/>
                  <wp:docPr id="134" name="图片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 name="图片 135"/>
                          <pic:cNvPicPr>
                            <a:picLocks noChangeAspect="1"/>
                          </pic:cNvPicPr>
                        </pic:nvPicPr>
                        <pic:blipFill>
                          <a:blip r:embed="rId128"/>
                          <a:stretch>
                            <a:fillRect/>
                          </a:stretch>
                        </pic:blipFill>
                        <pic:spPr>
                          <a:xfrm>
                            <a:off x="0" y="0"/>
                            <a:ext cx="900430" cy="864235"/>
                          </a:xfrm>
                          <a:prstGeom prst="rect">
                            <a:avLst/>
                          </a:prstGeom>
                          <a:noFill/>
                          <a:ln>
                            <a:noFill/>
                          </a:ln>
                        </pic:spPr>
                      </pic:pic>
                    </a:graphicData>
                  </a:graphic>
                </wp:inline>
              </w:drawing>
            </w:r>
          </w:p>
        </w:tc>
        <w:tc>
          <w:tcPr>
            <w:tcW w:w="1787"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1BFC8823">
            <w:r>
              <w:t>一般固体废物</w:t>
            </w:r>
          </w:p>
        </w:tc>
        <w:tc>
          <w:tcPr>
            <w:tcW w:w="2904"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6CE5487B">
            <w:r>
              <w:t>表示一般固体废物贮存、处置场</w:t>
            </w:r>
          </w:p>
        </w:tc>
      </w:tr>
      <w:tr w14:paraId="35D516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456"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7DA25DAB">
            <w:r>
              <w:t>4</w:t>
            </w:r>
          </w:p>
        </w:tc>
        <w:tc>
          <w:tcPr>
            <w:tcW w:w="1654"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43519F66">
            <w:r>
              <w:drawing>
                <wp:inline distT="0" distB="0" distL="114300" distR="114300">
                  <wp:extent cx="852805" cy="852805"/>
                  <wp:effectExtent l="0" t="0" r="4445" b="4445"/>
                  <wp:docPr id="135" name="图片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 name="图片 136"/>
                          <pic:cNvPicPr>
                            <a:picLocks noChangeAspect="1"/>
                          </pic:cNvPicPr>
                        </pic:nvPicPr>
                        <pic:blipFill>
                          <a:blip r:embed="rId129"/>
                          <a:stretch>
                            <a:fillRect/>
                          </a:stretch>
                        </pic:blipFill>
                        <pic:spPr>
                          <a:xfrm>
                            <a:off x="0" y="0"/>
                            <a:ext cx="852805" cy="852805"/>
                          </a:xfrm>
                          <a:prstGeom prst="rect">
                            <a:avLst/>
                          </a:prstGeom>
                          <a:noFill/>
                          <a:ln>
                            <a:noFill/>
                          </a:ln>
                        </pic:spPr>
                      </pic:pic>
                    </a:graphicData>
                  </a:graphic>
                </wp:inline>
              </w:drawing>
            </w:r>
          </w:p>
        </w:tc>
        <w:tc>
          <w:tcPr>
            <w:tcW w:w="2018"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54180416">
            <w:r>
              <w:drawing>
                <wp:inline distT="0" distB="0" distL="114300" distR="114300">
                  <wp:extent cx="1009015" cy="895985"/>
                  <wp:effectExtent l="0" t="0" r="635" b="18415"/>
                  <wp:docPr id="136" name="图片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 name="图片 137"/>
                          <pic:cNvPicPr>
                            <a:picLocks noChangeAspect="1"/>
                          </pic:cNvPicPr>
                        </pic:nvPicPr>
                        <pic:blipFill>
                          <a:blip r:embed="rId130"/>
                          <a:stretch>
                            <a:fillRect/>
                          </a:stretch>
                        </pic:blipFill>
                        <pic:spPr>
                          <a:xfrm>
                            <a:off x="0" y="0"/>
                            <a:ext cx="1009015" cy="895985"/>
                          </a:xfrm>
                          <a:prstGeom prst="rect">
                            <a:avLst/>
                          </a:prstGeom>
                          <a:noFill/>
                          <a:ln>
                            <a:noFill/>
                          </a:ln>
                        </pic:spPr>
                      </pic:pic>
                    </a:graphicData>
                  </a:graphic>
                </wp:inline>
              </w:drawing>
            </w:r>
          </w:p>
        </w:tc>
        <w:tc>
          <w:tcPr>
            <w:tcW w:w="1787"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138B717F">
            <w:r>
              <w:t>噪声排放源</w:t>
            </w:r>
          </w:p>
        </w:tc>
        <w:tc>
          <w:tcPr>
            <w:tcW w:w="2904"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7437EEBC">
            <w:r>
              <w:t>表示噪声向外环境排放</w:t>
            </w:r>
          </w:p>
        </w:tc>
      </w:tr>
      <w:tr w14:paraId="4DAA17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456"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73625A25">
            <w:r>
              <w:t>5</w:t>
            </w:r>
          </w:p>
        </w:tc>
        <w:tc>
          <w:tcPr>
            <w:tcW w:w="1654"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5CE59415"/>
        </w:tc>
        <w:tc>
          <w:tcPr>
            <w:tcW w:w="2018"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20F7874F">
            <w:r>
              <w:drawing>
                <wp:inline distT="0" distB="0" distL="114300" distR="114300">
                  <wp:extent cx="1052830" cy="905510"/>
                  <wp:effectExtent l="0" t="0" r="13970" b="8890"/>
                  <wp:docPr id="137" name="图片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 name="图片 139"/>
                          <pic:cNvPicPr>
                            <a:picLocks noChangeAspect="1"/>
                          </pic:cNvPicPr>
                        </pic:nvPicPr>
                        <pic:blipFill>
                          <a:blip r:embed="rId131"/>
                          <a:stretch>
                            <a:fillRect/>
                          </a:stretch>
                        </pic:blipFill>
                        <pic:spPr>
                          <a:xfrm>
                            <a:off x="0" y="0"/>
                            <a:ext cx="1052830" cy="905510"/>
                          </a:xfrm>
                          <a:prstGeom prst="rect">
                            <a:avLst/>
                          </a:prstGeom>
                          <a:noFill/>
                          <a:ln>
                            <a:noFill/>
                          </a:ln>
                        </pic:spPr>
                      </pic:pic>
                    </a:graphicData>
                  </a:graphic>
                </wp:inline>
              </w:drawing>
            </w:r>
          </w:p>
        </w:tc>
        <w:tc>
          <w:tcPr>
            <w:tcW w:w="1787"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5403F338">
            <w:r>
              <w:t>危险废物</w:t>
            </w:r>
          </w:p>
        </w:tc>
        <w:tc>
          <w:tcPr>
            <w:tcW w:w="2904"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6559391F">
            <w:r>
              <w:t>表示危险废物贮存、处置场警告图形符号</w:t>
            </w:r>
          </w:p>
        </w:tc>
      </w:tr>
    </w:tbl>
    <w:p w14:paraId="369AFB02">
      <w:pPr>
        <w:snapToGrid w:val="0"/>
        <w:rPr>
          <w:rFonts w:ascii="Times New Roman" w:hAnsi="Times New Roman" w:cs="Times New Roman"/>
        </w:rPr>
      </w:pPr>
    </w:p>
    <w:p w14:paraId="7EB5458E">
      <w:pPr>
        <w:tabs>
          <w:tab w:val="left" w:pos="0"/>
        </w:tabs>
        <w:jc w:val="center"/>
        <w:rPr>
          <w:rFonts w:ascii="Times New Roman" w:hAnsi="Times New Roman" w:eastAsia="黑体" w:cs="Times New Roman"/>
        </w:rPr>
      </w:pPr>
      <w:r>
        <w:rPr>
          <w:rFonts w:ascii="Times New Roman" w:hAnsi="Times New Roman" w:eastAsia="黑体" w:cs="Times New Roman"/>
        </w:rPr>
        <w:t>表</w:t>
      </w:r>
      <w:r>
        <w:rPr>
          <w:rFonts w:hint="eastAsia" w:ascii="Times New Roman" w:hAnsi="Times New Roman" w:eastAsia="黑体" w:cs="Times New Roman"/>
        </w:rPr>
        <w:t>9</w:t>
      </w:r>
      <w:r>
        <w:rPr>
          <w:rFonts w:ascii="Times New Roman" w:hAnsi="Times New Roman" w:eastAsia="黑体" w:cs="Times New Roman"/>
        </w:rPr>
        <w:t>.4-1  标志的形状及颜色说明一览表</w:t>
      </w:r>
    </w:p>
    <w:tbl>
      <w:tblPr>
        <w:tblStyle w:val="56"/>
        <w:tblW w:w="4875" w:type="pct"/>
        <w:jc w:val="center"/>
        <w:tblBorders>
          <w:top w:val="thinThickSmallGap" w:color="auto" w:sz="12" w:space="0"/>
          <w:left w:val="none" w:color="auto" w:sz="0" w:space="0"/>
          <w:bottom w:val="thickThinSmallGap" w:color="auto" w:sz="12" w:space="0"/>
          <w:right w:val="none" w:color="auto" w:sz="0" w:space="0"/>
          <w:insideH w:val="single" w:color="auto" w:sz="6" w:space="0"/>
          <w:insideV w:val="single" w:color="auto" w:sz="6" w:space="0"/>
        </w:tblBorders>
        <w:tblLayout w:type="autofit"/>
        <w:tblCellMar>
          <w:top w:w="0" w:type="dxa"/>
          <w:left w:w="108" w:type="dxa"/>
          <w:bottom w:w="0" w:type="dxa"/>
          <w:right w:w="108" w:type="dxa"/>
        </w:tblCellMar>
      </w:tblPr>
      <w:tblGrid>
        <w:gridCol w:w="2178"/>
        <w:gridCol w:w="2180"/>
        <w:gridCol w:w="2180"/>
        <w:gridCol w:w="1965"/>
      </w:tblGrid>
      <w:tr w14:paraId="572B3A6E">
        <w:tblPrEx>
          <w:tblBorders>
            <w:top w:val="thinThickSmallGap" w:color="auto" w:sz="12" w:space="0"/>
            <w:left w:val="none" w:color="auto" w:sz="0" w:space="0"/>
            <w:bottom w:val="thickThinSmallGap"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81" w:type="pct"/>
            <w:tcBorders>
              <w:top w:val="thinThickSmallGap" w:color="auto" w:sz="12" w:space="0"/>
              <w:bottom w:val="single" w:color="auto" w:sz="6" w:space="0"/>
            </w:tcBorders>
            <w:shd w:val="clear" w:color="auto" w:fill="DDDDDD"/>
            <w:noWrap w:val="0"/>
            <w:vAlign w:val="center"/>
          </w:tcPr>
          <w:p w14:paraId="4DDDA496">
            <w:pPr>
              <w:jc w:val="center"/>
              <w:rPr>
                <w:rFonts w:ascii="Times New Roman" w:hAnsi="Times New Roman" w:cs="Times New Roman"/>
                <w:sz w:val="21"/>
                <w:szCs w:val="21"/>
              </w:rPr>
            </w:pPr>
            <w:r>
              <w:rPr>
                <w:rFonts w:ascii="Times New Roman" w:hAnsi="Times New Roman" w:cs="Times New Roman"/>
                <w:sz w:val="21"/>
                <w:szCs w:val="21"/>
              </w:rPr>
              <w:t>标志</w:t>
            </w:r>
          </w:p>
        </w:tc>
        <w:tc>
          <w:tcPr>
            <w:tcW w:w="1282" w:type="pct"/>
            <w:tcBorders>
              <w:top w:val="thinThickSmallGap" w:color="auto" w:sz="12" w:space="0"/>
              <w:bottom w:val="single" w:color="auto" w:sz="6" w:space="0"/>
            </w:tcBorders>
            <w:shd w:val="clear" w:color="auto" w:fill="DDDDDD"/>
            <w:noWrap w:val="0"/>
            <w:vAlign w:val="center"/>
          </w:tcPr>
          <w:p w14:paraId="769DEB3B">
            <w:pPr>
              <w:jc w:val="center"/>
              <w:rPr>
                <w:rFonts w:ascii="Times New Roman" w:hAnsi="Times New Roman" w:cs="Times New Roman"/>
                <w:sz w:val="21"/>
                <w:szCs w:val="21"/>
              </w:rPr>
            </w:pPr>
            <w:r>
              <w:rPr>
                <w:rFonts w:ascii="Times New Roman" w:hAnsi="Times New Roman" w:cs="Times New Roman"/>
                <w:sz w:val="21"/>
                <w:szCs w:val="21"/>
              </w:rPr>
              <w:t>形状</w:t>
            </w:r>
          </w:p>
        </w:tc>
        <w:tc>
          <w:tcPr>
            <w:tcW w:w="1282" w:type="pct"/>
            <w:tcBorders>
              <w:top w:val="thinThickSmallGap" w:color="auto" w:sz="12" w:space="0"/>
              <w:bottom w:val="single" w:color="auto" w:sz="6" w:space="0"/>
            </w:tcBorders>
            <w:shd w:val="clear" w:color="auto" w:fill="DDDDDD"/>
            <w:noWrap w:val="0"/>
            <w:vAlign w:val="center"/>
          </w:tcPr>
          <w:p w14:paraId="0C42DB59">
            <w:pPr>
              <w:jc w:val="center"/>
              <w:rPr>
                <w:rFonts w:ascii="Times New Roman" w:hAnsi="Times New Roman" w:eastAsia="黑体" w:cs="Times New Roman"/>
                <w:sz w:val="21"/>
                <w:szCs w:val="21"/>
              </w:rPr>
            </w:pPr>
            <w:r>
              <w:rPr>
                <w:rFonts w:ascii="Times New Roman" w:hAnsi="Times New Roman" w:cs="Times New Roman"/>
                <w:sz w:val="21"/>
                <w:szCs w:val="21"/>
              </w:rPr>
              <w:t>背景颜色</w:t>
            </w:r>
          </w:p>
        </w:tc>
        <w:tc>
          <w:tcPr>
            <w:tcW w:w="1155" w:type="pct"/>
            <w:tcBorders>
              <w:top w:val="thinThickSmallGap" w:color="auto" w:sz="12" w:space="0"/>
              <w:bottom w:val="single" w:color="auto" w:sz="6" w:space="0"/>
            </w:tcBorders>
            <w:shd w:val="clear" w:color="auto" w:fill="DDDDDD"/>
            <w:noWrap w:val="0"/>
            <w:vAlign w:val="center"/>
          </w:tcPr>
          <w:p w14:paraId="1330809E">
            <w:pPr>
              <w:jc w:val="center"/>
              <w:rPr>
                <w:rFonts w:ascii="Times New Roman" w:hAnsi="Times New Roman" w:cs="Times New Roman"/>
                <w:sz w:val="21"/>
                <w:szCs w:val="21"/>
              </w:rPr>
            </w:pPr>
            <w:r>
              <w:rPr>
                <w:rFonts w:ascii="Times New Roman" w:hAnsi="Times New Roman" w:cs="Times New Roman"/>
                <w:sz w:val="21"/>
                <w:szCs w:val="21"/>
              </w:rPr>
              <w:t>图形颜色</w:t>
            </w:r>
          </w:p>
        </w:tc>
      </w:tr>
      <w:tr w14:paraId="40DEB867">
        <w:tblPrEx>
          <w:tblBorders>
            <w:top w:val="thinThickSmallGap" w:color="auto" w:sz="12" w:space="0"/>
            <w:left w:val="none" w:color="auto" w:sz="0" w:space="0"/>
            <w:bottom w:val="thickThinSmallGap"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81" w:type="pct"/>
            <w:tcBorders>
              <w:top w:val="single" w:color="auto" w:sz="6" w:space="0"/>
            </w:tcBorders>
            <w:noWrap w:val="0"/>
            <w:vAlign w:val="center"/>
          </w:tcPr>
          <w:p w14:paraId="5F9BD93A">
            <w:pPr>
              <w:jc w:val="center"/>
              <w:rPr>
                <w:rFonts w:ascii="Times New Roman" w:hAnsi="Times New Roman" w:cs="Times New Roman"/>
                <w:sz w:val="21"/>
                <w:szCs w:val="21"/>
              </w:rPr>
            </w:pPr>
            <w:r>
              <w:rPr>
                <w:rFonts w:ascii="Times New Roman" w:hAnsi="Times New Roman" w:cs="Times New Roman"/>
                <w:sz w:val="21"/>
                <w:szCs w:val="21"/>
              </w:rPr>
              <w:t>警告标志</w:t>
            </w:r>
          </w:p>
        </w:tc>
        <w:tc>
          <w:tcPr>
            <w:tcW w:w="1282" w:type="pct"/>
            <w:tcBorders>
              <w:top w:val="single" w:color="auto" w:sz="6" w:space="0"/>
            </w:tcBorders>
            <w:noWrap w:val="0"/>
            <w:vAlign w:val="center"/>
          </w:tcPr>
          <w:p w14:paraId="46285DCE">
            <w:pPr>
              <w:jc w:val="center"/>
              <w:rPr>
                <w:rFonts w:ascii="Times New Roman" w:hAnsi="Times New Roman" w:cs="Times New Roman"/>
                <w:sz w:val="21"/>
                <w:szCs w:val="21"/>
              </w:rPr>
            </w:pPr>
            <w:r>
              <w:rPr>
                <w:rFonts w:ascii="Times New Roman" w:hAnsi="Times New Roman" w:cs="Times New Roman"/>
                <w:sz w:val="21"/>
                <w:szCs w:val="21"/>
              </w:rPr>
              <w:t>三角形边框</w:t>
            </w:r>
          </w:p>
        </w:tc>
        <w:tc>
          <w:tcPr>
            <w:tcW w:w="1282" w:type="pct"/>
            <w:tcBorders>
              <w:top w:val="single" w:color="auto" w:sz="6" w:space="0"/>
            </w:tcBorders>
            <w:noWrap w:val="0"/>
            <w:vAlign w:val="center"/>
          </w:tcPr>
          <w:p w14:paraId="547A6A42">
            <w:pPr>
              <w:jc w:val="center"/>
              <w:rPr>
                <w:rFonts w:ascii="Times New Roman" w:hAnsi="Times New Roman" w:cs="Times New Roman"/>
                <w:sz w:val="21"/>
                <w:szCs w:val="21"/>
              </w:rPr>
            </w:pPr>
            <w:r>
              <w:rPr>
                <w:rFonts w:ascii="Times New Roman" w:hAnsi="Times New Roman" w:cs="Times New Roman"/>
                <w:sz w:val="21"/>
                <w:szCs w:val="21"/>
              </w:rPr>
              <w:t>黄色</w:t>
            </w:r>
          </w:p>
        </w:tc>
        <w:tc>
          <w:tcPr>
            <w:tcW w:w="1155" w:type="pct"/>
            <w:tcBorders>
              <w:top w:val="single" w:color="auto" w:sz="6" w:space="0"/>
            </w:tcBorders>
            <w:noWrap w:val="0"/>
            <w:vAlign w:val="center"/>
          </w:tcPr>
          <w:p w14:paraId="39246C22">
            <w:pPr>
              <w:jc w:val="center"/>
              <w:rPr>
                <w:rFonts w:ascii="Times New Roman" w:hAnsi="Times New Roman" w:cs="Times New Roman"/>
                <w:sz w:val="21"/>
                <w:szCs w:val="21"/>
              </w:rPr>
            </w:pPr>
            <w:r>
              <w:rPr>
                <w:rFonts w:ascii="Times New Roman" w:hAnsi="Times New Roman" w:cs="Times New Roman"/>
                <w:sz w:val="21"/>
                <w:szCs w:val="21"/>
              </w:rPr>
              <w:t>黑色</w:t>
            </w:r>
          </w:p>
        </w:tc>
      </w:tr>
      <w:tr w14:paraId="473BB68B">
        <w:tblPrEx>
          <w:tblBorders>
            <w:top w:val="thinThickSmallGap" w:color="auto" w:sz="12" w:space="0"/>
            <w:left w:val="none" w:color="auto" w:sz="0" w:space="0"/>
            <w:bottom w:val="thickThinSmallGap"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81" w:type="pct"/>
            <w:noWrap w:val="0"/>
            <w:vAlign w:val="center"/>
          </w:tcPr>
          <w:p w14:paraId="087822C6">
            <w:pPr>
              <w:jc w:val="center"/>
              <w:rPr>
                <w:rFonts w:ascii="Times New Roman" w:hAnsi="Times New Roman" w:cs="Times New Roman"/>
                <w:sz w:val="21"/>
                <w:szCs w:val="21"/>
              </w:rPr>
            </w:pPr>
            <w:r>
              <w:rPr>
                <w:rFonts w:ascii="Times New Roman" w:hAnsi="Times New Roman" w:cs="Times New Roman"/>
                <w:sz w:val="21"/>
                <w:szCs w:val="21"/>
              </w:rPr>
              <w:t>提示标志</w:t>
            </w:r>
          </w:p>
        </w:tc>
        <w:tc>
          <w:tcPr>
            <w:tcW w:w="1282" w:type="pct"/>
            <w:noWrap w:val="0"/>
            <w:vAlign w:val="center"/>
          </w:tcPr>
          <w:p w14:paraId="0A9F6643">
            <w:pPr>
              <w:jc w:val="center"/>
              <w:rPr>
                <w:rFonts w:ascii="Times New Roman" w:hAnsi="Times New Roman" w:cs="Times New Roman"/>
                <w:sz w:val="21"/>
                <w:szCs w:val="21"/>
              </w:rPr>
            </w:pPr>
            <w:r>
              <w:rPr>
                <w:rFonts w:ascii="Times New Roman" w:hAnsi="Times New Roman" w:cs="Times New Roman"/>
                <w:sz w:val="21"/>
                <w:szCs w:val="21"/>
              </w:rPr>
              <w:t>正方形边框</w:t>
            </w:r>
          </w:p>
        </w:tc>
        <w:tc>
          <w:tcPr>
            <w:tcW w:w="1282" w:type="pct"/>
            <w:noWrap w:val="0"/>
            <w:vAlign w:val="center"/>
          </w:tcPr>
          <w:p w14:paraId="278857C9">
            <w:pPr>
              <w:jc w:val="center"/>
              <w:rPr>
                <w:rFonts w:ascii="Times New Roman" w:hAnsi="Times New Roman" w:cs="Times New Roman"/>
                <w:sz w:val="21"/>
                <w:szCs w:val="21"/>
              </w:rPr>
            </w:pPr>
            <w:r>
              <w:rPr>
                <w:rFonts w:ascii="Times New Roman" w:hAnsi="Times New Roman" w:cs="Times New Roman"/>
                <w:sz w:val="21"/>
                <w:szCs w:val="21"/>
              </w:rPr>
              <w:t>绿色</w:t>
            </w:r>
          </w:p>
        </w:tc>
        <w:tc>
          <w:tcPr>
            <w:tcW w:w="1155" w:type="pct"/>
            <w:noWrap w:val="0"/>
            <w:vAlign w:val="center"/>
          </w:tcPr>
          <w:p w14:paraId="0C766764">
            <w:pPr>
              <w:jc w:val="center"/>
              <w:rPr>
                <w:rFonts w:ascii="Times New Roman" w:hAnsi="Times New Roman" w:cs="Times New Roman"/>
                <w:sz w:val="21"/>
                <w:szCs w:val="21"/>
              </w:rPr>
            </w:pPr>
            <w:r>
              <w:rPr>
                <w:rFonts w:ascii="Times New Roman" w:hAnsi="Times New Roman" w:cs="Times New Roman"/>
                <w:sz w:val="21"/>
                <w:szCs w:val="21"/>
              </w:rPr>
              <w:t>白色</w:t>
            </w:r>
          </w:p>
        </w:tc>
      </w:tr>
    </w:tbl>
    <w:p w14:paraId="136D3F21">
      <w:pPr>
        <w:spacing w:line="500" w:lineRule="exact"/>
        <w:ind w:firstLine="482" w:firstLineChars="200"/>
        <w:rPr>
          <w:rFonts w:ascii="Times New Roman" w:hAnsi="Times New Roman" w:cs="Times New Roman"/>
          <w:b/>
          <w:bCs/>
        </w:rPr>
      </w:pPr>
      <w:r>
        <w:rPr>
          <w:rFonts w:ascii="Times New Roman" w:hAnsi="Times New Roman" w:cs="Times New Roman"/>
          <w:b/>
          <w:bCs/>
        </w:rPr>
        <w:t>（4）排污口管理</w:t>
      </w:r>
    </w:p>
    <w:p w14:paraId="625DE242">
      <w:pPr>
        <w:spacing w:line="500" w:lineRule="exact"/>
        <w:ind w:firstLine="480" w:firstLineChars="200"/>
        <w:rPr>
          <w:rFonts w:ascii="Times New Roman" w:hAnsi="Times New Roman" w:cs="Times New Roman"/>
          <w:bCs/>
        </w:rPr>
      </w:pPr>
      <w:r>
        <w:rPr>
          <w:rFonts w:hint="eastAsia"/>
          <w:bCs/>
        </w:rPr>
        <w:t>◆</w:t>
      </w:r>
      <w:r>
        <w:rPr>
          <w:rFonts w:ascii="Times New Roman" w:hAnsi="Times New Roman" w:cs="Times New Roman"/>
          <w:bCs/>
        </w:rPr>
        <w:t>管理原则</w:t>
      </w:r>
    </w:p>
    <w:p w14:paraId="09DFE65C">
      <w:pPr>
        <w:spacing w:line="500" w:lineRule="exact"/>
        <w:ind w:firstLine="480" w:firstLineChars="200"/>
        <w:rPr>
          <w:rFonts w:ascii="Times New Roman" w:hAnsi="Times New Roman" w:cs="Times New Roman"/>
          <w:bCs/>
        </w:rPr>
      </w:pPr>
      <w:r>
        <w:rPr>
          <w:rFonts w:ascii="Times New Roman" w:hAnsi="Times New Roman" w:cs="Times New Roman"/>
          <w:bCs/>
        </w:rPr>
        <w:t>强化排污口管理是实施企业污染物总量控制的基础工作之一，也是区域环境管理逐步实现污染物排放科学化、定量化的重要手段。具体管理原则如下：</w:t>
      </w:r>
    </w:p>
    <w:p w14:paraId="13639DBA">
      <w:pPr>
        <w:spacing w:line="500" w:lineRule="exact"/>
        <w:ind w:firstLine="480" w:firstLineChars="200"/>
        <w:rPr>
          <w:rFonts w:ascii="Times New Roman" w:hAnsi="Times New Roman" w:cs="Times New Roman"/>
          <w:bCs/>
        </w:rPr>
      </w:pPr>
      <w:r>
        <w:rPr>
          <w:rFonts w:ascii="Times New Roman" w:hAnsi="Times New Roman" w:cs="Times New Roman"/>
          <w:bCs/>
        </w:rPr>
        <w:t>——列入总量控制的污染物排放源列为管理的重点；</w:t>
      </w:r>
    </w:p>
    <w:p w14:paraId="7ECF4BBD">
      <w:pPr>
        <w:spacing w:line="500" w:lineRule="exact"/>
        <w:ind w:firstLine="480" w:firstLineChars="200"/>
        <w:rPr>
          <w:rFonts w:ascii="Times New Roman" w:hAnsi="Times New Roman" w:cs="Times New Roman"/>
          <w:bCs/>
        </w:rPr>
      </w:pPr>
      <w:r>
        <w:rPr>
          <w:rFonts w:ascii="Times New Roman" w:hAnsi="Times New Roman" w:cs="Times New Roman"/>
          <w:bCs/>
        </w:rPr>
        <w:t>——如实向环境保护管理部门申报登记排污口数量、位置及所排放的主要污染物的种类、数量、浓度、排放去向等情况；</w:t>
      </w:r>
    </w:p>
    <w:p w14:paraId="12CE0155">
      <w:pPr>
        <w:spacing w:line="500" w:lineRule="exact"/>
        <w:ind w:firstLine="480" w:firstLineChars="200"/>
        <w:rPr>
          <w:rFonts w:ascii="Times New Roman" w:hAnsi="Times New Roman" w:cs="Times New Roman"/>
          <w:bCs/>
        </w:rPr>
      </w:pPr>
      <w:r>
        <w:rPr>
          <w:rFonts w:ascii="Times New Roman" w:hAnsi="Times New Roman" w:cs="Times New Roman"/>
          <w:bCs/>
        </w:rPr>
        <w:t>——废气排放装置应设置便于采样、监测的采样孔和采样平台，设置符合《污染源监测技术规范》。</w:t>
      </w:r>
    </w:p>
    <w:p w14:paraId="0D5F2A41">
      <w:pPr>
        <w:spacing w:line="500" w:lineRule="exact"/>
        <w:ind w:firstLine="480" w:firstLineChars="200"/>
        <w:rPr>
          <w:rFonts w:ascii="Times New Roman" w:hAnsi="Times New Roman" w:cs="Times New Roman"/>
          <w:bCs/>
        </w:rPr>
      </w:pPr>
      <w:r>
        <w:rPr>
          <w:rFonts w:ascii="Times New Roman" w:hAnsi="Times New Roman" w:cs="Times New Roman"/>
          <w:bCs/>
        </w:rPr>
        <w:t>——工程固废堆存时，应设置专用堆放场地，并有防扬散、防流失、对有毒有害固废采取防渗漏措施。</w:t>
      </w:r>
    </w:p>
    <w:p w14:paraId="2F666066">
      <w:pPr>
        <w:spacing w:line="500" w:lineRule="exact"/>
        <w:ind w:firstLine="480" w:firstLineChars="200"/>
        <w:rPr>
          <w:rFonts w:ascii="Times New Roman" w:hAnsi="Times New Roman" w:cs="Times New Roman"/>
          <w:bCs/>
        </w:rPr>
      </w:pPr>
      <w:r>
        <w:rPr>
          <w:rFonts w:ascii="Times New Roman" w:hAnsi="Times New Roman" w:cs="Times New Roman"/>
          <w:bCs/>
        </w:rPr>
        <w:t>——排污口规范化建设要与主体工程及环保工程同时设计、同时施工、同时投入使用。另外，未经环保部门的许可，不得擅自设置、移动和扩大排污口。</w:t>
      </w:r>
    </w:p>
    <w:p w14:paraId="7A602BF0">
      <w:pPr>
        <w:spacing w:line="500" w:lineRule="exact"/>
        <w:ind w:firstLine="480" w:firstLineChars="200"/>
        <w:rPr>
          <w:rFonts w:ascii="Times New Roman" w:hAnsi="Times New Roman" w:cs="Times New Roman"/>
          <w:bCs/>
        </w:rPr>
      </w:pPr>
      <w:r>
        <w:rPr>
          <w:rFonts w:hint="eastAsia"/>
          <w:bCs/>
        </w:rPr>
        <w:t>◆</w:t>
      </w:r>
      <w:r>
        <w:rPr>
          <w:rFonts w:ascii="Times New Roman" w:hAnsi="Times New Roman" w:cs="Times New Roman"/>
          <w:bCs/>
        </w:rPr>
        <w:t>污染排放源建档</w:t>
      </w:r>
    </w:p>
    <w:p w14:paraId="36E8B37B">
      <w:pPr>
        <w:spacing w:line="500" w:lineRule="exact"/>
        <w:ind w:firstLine="480" w:firstLineChars="200"/>
        <w:rPr>
          <w:rFonts w:ascii="Times New Roman" w:hAnsi="Times New Roman" w:cs="Times New Roman"/>
          <w:bCs/>
        </w:rPr>
      </w:pPr>
      <w:r>
        <w:rPr>
          <w:rFonts w:ascii="Times New Roman" w:hAnsi="Times New Roman" w:cs="Times New Roman"/>
          <w:bCs/>
        </w:rPr>
        <w:t>——本项目应使用国家环保部统一印制的《中华人民共和国规范化排污口标志登记证》，并按要求填写有关内容。</w:t>
      </w:r>
    </w:p>
    <w:p w14:paraId="55D24A13">
      <w:pPr>
        <w:spacing w:line="500" w:lineRule="exact"/>
        <w:ind w:firstLine="480" w:firstLineChars="200"/>
        <w:rPr>
          <w:rFonts w:ascii="Times New Roman" w:hAnsi="Times New Roman" w:cs="Times New Roman"/>
        </w:rPr>
      </w:pPr>
      <w:r>
        <w:rPr>
          <w:rFonts w:ascii="Times New Roman" w:hAnsi="Times New Roman" w:cs="Times New Roman"/>
          <w:bCs/>
        </w:rPr>
        <w:t>——根据排污口管理内容要求，项目建成投产后，应将主要污染物种类、数量、浓度、排放去向、立标情况及设施运行情况记录于档案。</w:t>
      </w:r>
    </w:p>
    <w:p w14:paraId="761FF473">
      <w:pPr>
        <w:pStyle w:val="7"/>
      </w:pPr>
      <w:bookmarkStart w:id="685" w:name="_Toc7371"/>
      <w:bookmarkStart w:id="686" w:name="_Toc90026366"/>
      <w:r>
        <w:rPr>
          <w:rFonts w:hint="eastAsia"/>
          <w:lang w:eastAsia="zh-CN"/>
        </w:rPr>
        <w:t>9</w:t>
      </w:r>
      <w:r>
        <w:t>.4.2 排污口规范化设置</w:t>
      </w:r>
      <w:bookmarkEnd w:id="685"/>
      <w:bookmarkEnd w:id="686"/>
    </w:p>
    <w:p w14:paraId="1BD273F3">
      <w:pPr>
        <w:spacing w:line="500" w:lineRule="exact"/>
        <w:ind w:firstLine="480" w:firstLineChars="200"/>
        <w:rPr>
          <w:rFonts w:ascii="Times New Roman" w:hAnsi="Times New Roman" w:cs="Times New Roman"/>
        </w:rPr>
      </w:pPr>
      <w:r>
        <w:rPr>
          <w:rFonts w:ascii="Times New Roman" w:hAnsi="Times New Roman" w:cs="Times New Roman"/>
        </w:rPr>
        <w:t>（1）废气</w:t>
      </w:r>
    </w:p>
    <w:p w14:paraId="61B3EB42">
      <w:pPr>
        <w:spacing w:line="500" w:lineRule="exact"/>
        <w:ind w:firstLine="480" w:firstLineChars="200"/>
        <w:rPr>
          <w:rFonts w:ascii="Times New Roman" w:hAnsi="Times New Roman" w:cs="Times New Roman"/>
        </w:rPr>
      </w:pPr>
      <w:r>
        <w:rPr>
          <w:rFonts w:ascii="Times New Roman" w:hAnsi="Times New Roman" w:cs="Times New Roman"/>
        </w:rPr>
        <w:t>本项目拟在各排气筒处新设置废气标志牌，应按规定制作相应标牌，以便监督管理。废气排放口必须符合规定的高度和按《污染源监测技术规范》便于采样、监测要求，设置直径不小于75mm的采样口。</w:t>
      </w:r>
    </w:p>
    <w:p w14:paraId="02CCA06A">
      <w:pPr>
        <w:spacing w:line="500" w:lineRule="exact"/>
        <w:ind w:firstLine="480" w:firstLineChars="200"/>
        <w:rPr>
          <w:rFonts w:ascii="Times New Roman" w:hAnsi="Times New Roman" w:cs="Times New Roman"/>
        </w:rPr>
      </w:pPr>
      <w:r>
        <w:rPr>
          <w:rFonts w:ascii="Times New Roman" w:hAnsi="Times New Roman" w:cs="Times New Roman"/>
        </w:rPr>
        <w:t>（2）噪声</w:t>
      </w:r>
    </w:p>
    <w:p w14:paraId="486E5E0C">
      <w:pPr>
        <w:spacing w:line="500" w:lineRule="exact"/>
        <w:ind w:firstLine="480" w:firstLineChars="200"/>
        <w:rPr>
          <w:rFonts w:hint="eastAsia" w:ascii="Times New Roman" w:hAnsi="Times New Roman" w:cs="Times New Roman"/>
        </w:rPr>
      </w:pPr>
      <w:r>
        <w:rPr>
          <w:rFonts w:ascii="Times New Roman" w:hAnsi="Times New Roman" w:cs="Times New Roman"/>
        </w:rPr>
        <w:t>噪声排放源设置1个噪声标志牌，标志牌设在噪声对外界影响最大处。</w:t>
      </w:r>
    </w:p>
    <w:p w14:paraId="2C337169">
      <w:pPr>
        <w:spacing w:line="500" w:lineRule="exact"/>
        <w:ind w:firstLine="480" w:firstLineChars="200"/>
        <w:rPr>
          <w:rFonts w:hint="eastAsia" w:ascii="Times New Roman" w:hAnsi="Times New Roman" w:cs="Times New Roman"/>
        </w:rPr>
      </w:pPr>
    </w:p>
    <w:p w14:paraId="0FC370FD">
      <w:pPr>
        <w:spacing w:line="500" w:lineRule="exact"/>
        <w:ind w:firstLine="480" w:firstLineChars="200"/>
        <w:rPr>
          <w:rFonts w:hint="eastAsia" w:ascii="Times New Roman" w:hAnsi="Times New Roman" w:cs="Times New Roman"/>
        </w:rPr>
      </w:pPr>
    </w:p>
    <w:p w14:paraId="43529BAC">
      <w:pPr>
        <w:spacing w:line="500" w:lineRule="exact"/>
        <w:ind w:firstLine="480" w:firstLineChars="200"/>
        <w:rPr>
          <w:rFonts w:hint="eastAsia" w:ascii="Times New Roman" w:hAnsi="Times New Roman" w:cs="Times New Roman"/>
        </w:rPr>
      </w:pPr>
    </w:p>
    <w:p w14:paraId="48FD4E8B">
      <w:pPr>
        <w:spacing w:line="500" w:lineRule="exact"/>
        <w:ind w:firstLine="480" w:firstLineChars="200"/>
        <w:rPr>
          <w:rFonts w:hint="eastAsia" w:ascii="Times New Roman" w:hAnsi="Times New Roman" w:cs="Times New Roman"/>
        </w:rPr>
      </w:pPr>
    </w:p>
    <w:p w14:paraId="3BFB3BB6">
      <w:pPr>
        <w:spacing w:line="500" w:lineRule="exact"/>
        <w:ind w:firstLine="480" w:firstLineChars="200"/>
        <w:rPr>
          <w:rFonts w:hint="eastAsia" w:ascii="Times New Roman" w:hAnsi="Times New Roman" w:cs="Times New Roman"/>
        </w:rPr>
      </w:pPr>
    </w:p>
    <w:p w14:paraId="2DF059CD">
      <w:pPr>
        <w:spacing w:line="500" w:lineRule="exact"/>
        <w:ind w:firstLine="480" w:firstLineChars="200"/>
        <w:rPr>
          <w:rFonts w:hint="eastAsia" w:ascii="Times New Roman" w:hAnsi="Times New Roman" w:cs="Times New Roman"/>
        </w:rPr>
      </w:pPr>
    </w:p>
    <w:p w14:paraId="161BA1A1">
      <w:pPr>
        <w:spacing w:line="500" w:lineRule="exact"/>
        <w:ind w:firstLine="480" w:firstLineChars="200"/>
        <w:rPr>
          <w:rFonts w:hint="eastAsia" w:ascii="Times New Roman" w:hAnsi="Times New Roman" w:cs="Times New Roman"/>
        </w:rPr>
      </w:pPr>
    </w:p>
    <w:p w14:paraId="7BB9B0B7">
      <w:pPr>
        <w:spacing w:line="500" w:lineRule="exact"/>
        <w:ind w:firstLine="480" w:firstLineChars="200"/>
        <w:rPr>
          <w:rFonts w:hint="eastAsia" w:ascii="Times New Roman" w:hAnsi="Times New Roman" w:cs="Times New Roman"/>
        </w:rPr>
      </w:pPr>
    </w:p>
    <w:bookmarkEnd w:id="645"/>
    <w:bookmarkEnd w:id="646"/>
    <w:bookmarkEnd w:id="647"/>
    <w:p w14:paraId="3AE67D68">
      <w:pPr>
        <w:pStyle w:val="5"/>
        <w:spacing w:line="240" w:lineRule="auto"/>
      </w:pPr>
      <w:bookmarkStart w:id="687" w:name="_Toc151276257"/>
      <w:bookmarkStart w:id="688" w:name="_Toc175714298"/>
      <w:bookmarkStart w:id="689" w:name="_Toc158523451"/>
      <w:bookmarkStart w:id="690" w:name="_Toc175711465"/>
      <w:bookmarkStart w:id="691" w:name="_Toc151200364"/>
      <w:bookmarkStart w:id="692" w:name="_Toc153007162"/>
      <w:bookmarkStart w:id="693" w:name="_Toc24527046"/>
      <w:bookmarkStart w:id="694" w:name="_Toc151200204"/>
      <w:bookmarkStart w:id="695" w:name="_Toc153878498"/>
      <w:bookmarkStart w:id="696" w:name="_Toc151278963"/>
      <w:bookmarkStart w:id="697" w:name="_Toc154570289"/>
      <w:bookmarkStart w:id="698" w:name="_Toc154569902"/>
      <w:bookmarkStart w:id="699" w:name="_Toc166464766"/>
      <w:bookmarkStart w:id="700" w:name="_Toc20853"/>
      <w:bookmarkStart w:id="701" w:name="_Toc90026163"/>
      <w:r>
        <w:rPr>
          <w:rFonts w:hint="eastAsia"/>
          <w:lang w:eastAsia="zh-CN"/>
        </w:rPr>
        <w:t>10</w:t>
      </w:r>
      <w:r>
        <w:t>. 评价结论</w:t>
      </w:r>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p>
    <w:p w14:paraId="1F9E2563">
      <w:pPr>
        <w:pStyle w:val="6"/>
      </w:pPr>
      <w:bookmarkStart w:id="702" w:name="_Toc90026164"/>
      <w:bookmarkStart w:id="703" w:name="_Toc24527047"/>
      <w:bookmarkStart w:id="704" w:name="_Toc32156"/>
      <w:r>
        <w:rPr>
          <w:rFonts w:hint="eastAsia"/>
        </w:rPr>
        <w:t>10</w:t>
      </w:r>
      <w:r>
        <w:t>.1 项目概况</w:t>
      </w:r>
      <w:bookmarkEnd w:id="702"/>
      <w:bookmarkEnd w:id="703"/>
      <w:bookmarkEnd w:id="704"/>
    </w:p>
    <w:p w14:paraId="183E8E55">
      <w:pPr>
        <w:autoSpaceDE w:val="0"/>
        <w:autoSpaceDN w:val="0"/>
        <w:spacing w:line="500" w:lineRule="exact"/>
        <w:ind w:firstLine="480" w:firstLineChars="200"/>
        <w:jc w:val="both"/>
        <w:rPr>
          <w:rFonts w:hint="eastAsia" w:ascii="Times New Roman" w:hAnsi="Times New Roman" w:eastAsia="宋体" w:cs="Times New Roman"/>
          <w:lang w:eastAsia="zh-CN"/>
        </w:rPr>
      </w:pPr>
      <w:bookmarkStart w:id="705" w:name="_Toc27659032"/>
      <w:bookmarkStart w:id="706" w:name="_Toc90026165"/>
      <w:r>
        <w:rPr>
          <w:rFonts w:hint="eastAsia" w:ascii="Times New Roman" w:hAnsi="Times New Roman" w:eastAsia="宋体" w:cs="Times New Roman"/>
          <w:lang w:eastAsia="zh-CN"/>
        </w:rPr>
        <w:t>本溪玉麒麟新材料有限公司位于本溪市本溪满族自治县草河口镇祁家堡村，并于2019年2月收购了本溪市北方炼铁厂和本溪连铸曲轴有限公司，本溪玉麒麟新材料有限公司于2019年3月29日取得《关于同意本溪玉麒麟新材料有限公司适用本溪市北方炼铁厂和本溪连铸曲轴有限公司环评文件及批复的函》(本县环函[2019]7号)。公司设炼铁车间、烧结车间、竖炉车间和石灰窑车间等，以生产球墨铸造用生铁为主导产品。公司收购的“本溪市北方炼铁厂”于2011年取得《关于本溪市北方炼铁厂205m3炼铁高炉异地扩建改造项目环境影响报告书的批复》(本环建字[2011]18号)；2021年8年完成自主验收。公司收购的“本溪连铸曲轴有限公司”于2012年取得《关于本溪连铸曲轴有限公司烧结机改造及新上脱硫工艺项目环境影响报告书的批复》(本环建字[2012]26号)；2021年8年完成自主验收。本溪玉麒麟新材料有限公司于2020年，将厂区北侧现有白灰竖窑拆除，在厂区东侧新建1座200m3煤气节能环保白灰竖窑(以下简称“本项目”)，年产生石灰4.5万t。于2020年10月27日取得《关于本溪玉麒麟新材料有限公司煤气节能环保石灰窑项目环境影响评价报告表的批复》（本环建字[2020]30号）；2021年8年完成自主验收。2019年11月08日首次申请排污许可证，排污许可证编号：91210521MA0YALYT39001R。</w:t>
      </w:r>
    </w:p>
    <w:p w14:paraId="74895704">
      <w:pPr>
        <w:autoSpaceDE w:val="0"/>
        <w:autoSpaceDN w:val="0"/>
        <w:spacing w:line="500" w:lineRule="exact"/>
        <w:ind w:firstLine="480" w:firstLineChars="200"/>
        <w:jc w:val="both"/>
        <w:rPr>
          <w:rFonts w:hint="eastAsia" w:ascii="Times New Roman" w:hAnsi="Times New Roman" w:eastAsia="宋体" w:cs="Times New Roman"/>
          <w:lang w:eastAsia="zh-CN"/>
        </w:rPr>
      </w:pPr>
      <w:r>
        <w:rPr>
          <w:rFonts w:hint="eastAsia" w:ascii="Times New Roman" w:hAnsi="Times New Roman" w:eastAsia="宋体" w:cs="Times New Roman"/>
          <w:lang w:eastAsia="zh-CN"/>
        </w:rPr>
        <w:t>为提升产品质量和市场竞争力，使本溪玉麒麟新材料有限公司实现现代化生产和可持续发展，增加公司经济效益，降低环境负担，本溪玉麒麟新材料有限公司拟投资8337万元人民币，本溪玉麒麟新材料有限公司进行节能环保改造工程，主要改造内容包括：烧结机升级改造，拆除原步进式烧结机，改建为带式烧结机，升级环冷机烟气治理工程，白灰窑除尘器系统改造及各部封堵，安装湿法除尘器，新建烧结脱硝系统，烧结脱硫改造工程，新建焦炭上料系统。烧结多管除尘器改造高效电除尘器及其他除尘器改造。利用原有厂房、框架及部分设备利旧，拆除6.3平3座圆形竖炉，技改新建12平方米圆形竖炉及配套竖冷器、链篦机、2个球团成品矿仓等设施，同步实施土建施工、电气控制系统升级、安全防护设施。本次技改总产能不增加。预计烧结机改造后，烟气治理系统电除尘、脱硫、脱硝等达标排放。</w:t>
      </w:r>
    </w:p>
    <w:bookmarkEnd w:id="705"/>
    <w:bookmarkEnd w:id="706"/>
    <w:p w14:paraId="2D7BB6E8">
      <w:pPr>
        <w:pStyle w:val="6"/>
      </w:pPr>
      <w:bookmarkStart w:id="707" w:name="_Toc6951"/>
      <w:r>
        <w:rPr>
          <w:rFonts w:hint="eastAsia"/>
        </w:rPr>
        <w:t>10</w:t>
      </w:r>
      <w:r>
        <w:t>.2 环境质量现状评价结论</w:t>
      </w:r>
      <w:bookmarkEnd w:id="707"/>
    </w:p>
    <w:p w14:paraId="349AF058">
      <w:pPr>
        <w:spacing w:line="500" w:lineRule="exact"/>
        <w:ind w:firstLine="482"/>
        <w:rPr>
          <w:rFonts w:ascii="Times New Roman" w:hAnsi="Times New Roman" w:cs="Times New Roman"/>
          <w:b/>
          <w:bCs/>
        </w:rPr>
      </w:pPr>
      <w:r>
        <w:rPr>
          <w:rFonts w:ascii="Times New Roman" w:hAnsi="Times New Roman" w:cs="Times New Roman"/>
          <w:b/>
          <w:bCs/>
        </w:rPr>
        <w:t>（1）环境空气质量现状</w:t>
      </w:r>
    </w:p>
    <w:p w14:paraId="5C6EF05C">
      <w:pPr>
        <w:autoSpaceDE w:val="0"/>
        <w:autoSpaceDN w:val="0"/>
        <w:spacing w:line="500" w:lineRule="exact"/>
        <w:ind w:firstLine="480" w:firstLineChars="200"/>
        <w:jc w:val="both"/>
        <w:rPr>
          <w:rFonts w:ascii="Times New Roman" w:hAnsi="Times New Roman" w:cs="Times New Roman"/>
        </w:rPr>
      </w:pPr>
      <w:r>
        <w:rPr>
          <w:rFonts w:ascii="Times New Roman" w:hAnsi="Times New Roman" w:cs="Times New Roman"/>
        </w:rPr>
        <w:t>本项目评价范围</w:t>
      </w:r>
      <w:r>
        <w:rPr>
          <w:rFonts w:hint="eastAsia" w:ascii="Times New Roman" w:hAnsi="Times New Roman" w:cs="Times New Roman"/>
        </w:rPr>
        <w:t>所在的</w:t>
      </w:r>
      <w:r>
        <w:rPr>
          <w:rFonts w:hint="eastAsia" w:ascii="Times New Roman" w:hAnsi="Times New Roman" w:cs="Times New Roman"/>
          <w:lang w:val="en-US" w:eastAsia="zh-CN"/>
        </w:rPr>
        <w:t>本溪</w:t>
      </w:r>
      <w:r>
        <w:rPr>
          <w:rFonts w:ascii="Times New Roman" w:hAnsi="Times New Roman" w:cs="Times New Roman"/>
        </w:rPr>
        <w:t>市属于不达标区。</w:t>
      </w:r>
    </w:p>
    <w:p w14:paraId="38795F5E">
      <w:pPr>
        <w:autoSpaceDE w:val="0"/>
        <w:autoSpaceDN w:val="0"/>
        <w:spacing w:line="500" w:lineRule="exact"/>
        <w:ind w:firstLine="480" w:firstLineChars="200"/>
        <w:jc w:val="both"/>
        <w:rPr>
          <w:rFonts w:ascii="Times New Roman" w:hAnsi="Times New Roman" w:cs="Times New Roman"/>
        </w:rPr>
      </w:pPr>
      <w:r>
        <w:rPr>
          <w:rFonts w:hint="eastAsia" w:ascii="Times New Roman" w:hAnsi="Times New Roman" w:cs="Times New Roman"/>
        </w:rPr>
        <w:t>本项目所在的</w:t>
      </w:r>
      <w:r>
        <w:rPr>
          <w:rFonts w:hint="eastAsia" w:ascii="Times New Roman" w:hAnsi="Times New Roman" w:cs="Times New Roman"/>
          <w:lang w:val="en-US" w:eastAsia="zh-CN"/>
        </w:rPr>
        <w:t>本溪满族自治县</w:t>
      </w:r>
      <w:r>
        <w:rPr>
          <w:rFonts w:hint="eastAsia" w:ascii="Times New Roman" w:hAnsi="Times New Roman" w:cs="Times New Roman"/>
        </w:rPr>
        <w:t>隶属于</w:t>
      </w:r>
      <w:r>
        <w:rPr>
          <w:rFonts w:hint="eastAsia" w:ascii="Times New Roman" w:hAnsi="Times New Roman" w:cs="Times New Roman"/>
          <w:lang w:val="en-US" w:eastAsia="zh-CN"/>
        </w:rPr>
        <w:t>本溪</w:t>
      </w:r>
      <w:r>
        <w:rPr>
          <w:rFonts w:hint="eastAsia" w:ascii="Times New Roman" w:hAnsi="Times New Roman" w:cs="Times New Roman"/>
        </w:rPr>
        <w:t>市，项目所在区域选用《</w:t>
      </w:r>
      <w:r>
        <w:rPr>
          <w:rFonts w:ascii="Times New Roman" w:hAnsi="Times New Roman" w:cs="Times New Roman"/>
          <w:highlight w:val="none"/>
        </w:rPr>
        <w:t>202</w:t>
      </w:r>
      <w:r>
        <w:rPr>
          <w:rFonts w:hint="eastAsia" w:ascii="Times New Roman" w:hAnsi="Times New Roman" w:cs="Times New Roman"/>
          <w:highlight w:val="none"/>
          <w:lang w:val="en-US" w:eastAsia="zh-CN"/>
        </w:rPr>
        <w:t>5</w:t>
      </w:r>
      <w:r>
        <w:rPr>
          <w:rFonts w:ascii="Times New Roman" w:hAnsi="Times New Roman" w:cs="Times New Roman"/>
          <w:highlight w:val="none"/>
        </w:rPr>
        <w:t>年</w:t>
      </w:r>
      <w:r>
        <w:rPr>
          <w:rFonts w:hint="eastAsia" w:ascii="Times New Roman" w:hAnsi="Times New Roman" w:cs="Times New Roman"/>
          <w:highlight w:val="none"/>
        </w:rPr>
        <w:t>本溪市生态环境质量简报</w:t>
      </w:r>
      <w:r>
        <w:rPr>
          <w:rFonts w:hint="eastAsia" w:ascii="Times New Roman" w:hAnsi="Times New Roman" w:cs="Times New Roman"/>
        </w:rPr>
        <w:t>》中的空气质量数据以及中国空气质量在线监测分析平台公布的历史数据。</w:t>
      </w:r>
      <w:r>
        <w:rPr>
          <w:rFonts w:ascii="Times New Roman" w:hAnsi="Times New Roman" w:cs="Times New Roman"/>
        </w:rPr>
        <w:t>综上，区域空气质量现状的SO</w:t>
      </w:r>
      <w:r>
        <w:rPr>
          <w:rFonts w:ascii="Times New Roman" w:hAnsi="Times New Roman" w:cs="Times New Roman"/>
          <w:vertAlign w:val="subscript"/>
        </w:rPr>
        <w:t>2</w:t>
      </w:r>
      <w:r>
        <w:rPr>
          <w:rFonts w:ascii="Times New Roman" w:hAnsi="Times New Roman" w:cs="Times New Roman"/>
        </w:rPr>
        <w:t>和NO</w:t>
      </w:r>
      <w:r>
        <w:rPr>
          <w:rFonts w:ascii="Times New Roman" w:hAnsi="Times New Roman" w:cs="Times New Roman"/>
          <w:vertAlign w:val="subscript"/>
        </w:rPr>
        <w:t>2</w:t>
      </w:r>
      <w:r>
        <w:rPr>
          <w:rFonts w:hint="eastAsia" w:ascii="Times New Roman" w:hAnsi="Times New Roman" w:cs="Times New Roman"/>
          <w:vertAlign w:val="baseline"/>
          <w:lang w:eastAsia="zh-CN"/>
        </w:rPr>
        <w:t>、</w:t>
      </w:r>
      <w:r>
        <w:rPr>
          <w:rFonts w:hint="default" w:ascii="Times New Roman" w:hAnsi="Times New Roman" w:cs="Times New Roman"/>
        </w:rPr>
        <w:t>PM</w:t>
      </w:r>
      <w:r>
        <w:rPr>
          <w:rFonts w:hint="default" w:ascii="Times New Roman" w:hAnsi="Times New Roman" w:cs="Times New Roman"/>
          <w:vertAlign w:val="subscript"/>
        </w:rPr>
        <w:t>10</w:t>
      </w:r>
      <w:r>
        <w:rPr>
          <w:rFonts w:ascii="Times New Roman" w:hAnsi="Times New Roman" w:cs="Times New Roman"/>
        </w:rPr>
        <w:t>的年平均浓度均达标；PM</w:t>
      </w:r>
      <w:r>
        <w:rPr>
          <w:rFonts w:ascii="Times New Roman" w:hAnsi="Times New Roman" w:cs="Times New Roman"/>
          <w:vertAlign w:val="subscript"/>
        </w:rPr>
        <w:t>2.5</w:t>
      </w:r>
      <w:r>
        <w:rPr>
          <w:rFonts w:ascii="Times New Roman" w:hAnsi="Times New Roman" w:cs="Times New Roman"/>
        </w:rPr>
        <w:t>年平均浓度不能满足《环境空气质量标准》（GB3095-20</w:t>
      </w:r>
      <w:r>
        <w:rPr>
          <w:rFonts w:hint="eastAsia" w:ascii="Times New Roman" w:hAnsi="Times New Roman" w:cs="Times New Roman"/>
          <w:lang w:val="en-US" w:eastAsia="zh-CN"/>
        </w:rPr>
        <w:t>26</w:t>
      </w:r>
      <w:r>
        <w:rPr>
          <w:rFonts w:ascii="Times New Roman" w:hAnsi="Times New Roman" w:cs="Times New Roman"/>
        </w:rPr>
        <w:t>）中的二级标准，故项目所在区域属于不达标区。</w:t>
      </w:r>
    </w:p>
    <w:p w14:paraId="7333A2D6">
      <w:pPr>
        <w:autoSpaceDE w:val="0"/>
        <w:autoSpaceDN w:val="0"/>
        <w:spacing w:line="500" w:lineRule="exact"/>
        <w:ind w:firstLine="480" w:firstLineChars="200"/>
        <w:jc w:val="both"/>
        <w:rPr>
          <w:rFonts w:ascii="Times New Roman" w:hAnsi="Times New Roman" w:cs="Times New Roman"/>
        </w:rPr>
      </w:pPr>
      <w:r>
        <w:rPr>
          <w:rFonts w:ascii="Times New Roman" w:hAnsi="Times New Roman" w:cs="Times New Roman"/>
        </w:rPr>
        <w:t>本次评价在项目</w:t>
      </w:r>
      <w:r>
        <w:rPr>
          <w:rFonts w:hint="eastAsia" w:ascii="Times New Roman" w:hAnsi="Times New Roman" w:cs="Times New Roman"/>
        </w:rPr>
        <w:t>厂址处</w:t>
      </w:r>
      <w:r>
        <w:rPr>
          <w:rFonts w:ascii="Times New Roman" w:hAnsi="Times New Roman" w:cs="Times New Roman"/>
        </w:rPr>
        <w:t>设置</w:t>
      </w:r>
      <w:r>
        <w:rPr>
          <w:rFonts w:hint="eastAsia" w:ascii="Times New Roman" w:hAnsi="Times New Roman" w:cs="Times New Roman"/>
          <w:lang w:val="en-US" w:eastAsia="zh-CN"/>
        </w:rPr>
        <w:t>2</w:t>
      </w:r>
      <w:r>
        <w:rPr>
          <w:rFonts w:ascii="Times New Roman" w:hAnsi="Times New Roman" w:cs="Times New Roman"/>
        </w:rPr>
        <w:t>个大气监测点位进行补充监测，连续监测7天，监测因子为</w:t>
      </w:r>
      <w:r>
        <w:rPr>
          <w:rFonts w:hint="eastAsia" w:ascii="Times New Roman" w:hAnsi="Times New Roman" w:cs="Times New Roman"/>
        </w:rPr>
        <w:t>总悬浮颗粒物、氮氧化物、氟化物</w:t>
      </w:r>
      <w:r>
        <w:rPr>
          <w:rFonts w:hint="eastAsia" w:ascii="Times New Roman" w:hAnsi="Times New Roman" w:cs="Times New Roman"/>
          <w:lang w:eastAsia="zh-CN"/>
        </w:rPr>
        <w:t>、</w:t>
      </w:r>
      <w:r>
        <w:rPr>
          <w:rFonts w:hint="eastAsia" w:ascii="Times New Roman" w:hAnsi="Times New Roman" w:cs="Times New Roman"/>
        </w:rPr>
        <w:t>氨气</w:t>
      </w:r>
      <w:r>
        <w:rPr>
          <w:rFonts w:hint="eastAsia" w:ascii="Times New Roman" w:hAnsi="Times New Roman" w:cs="Times New Roman"/>
          <w:lang w:eastAsia="zh-CN"/>
        </w:rPr>
        <w:t>、</w:t>
      </w:r>
      <w:r>
        <w:rPr>
          <w:rFonts w:hint="eastAsia" w:ascii="Times New Roman" w:hAnsi="Times New Roman" w:cs="Times New Roman"/>
        </w:rPr>
        <w:t>二噁英</w:t>
      </w:r>
      <w:r>
        <w:rPr>
          <w:rFonts w:ascii="Times New Roman" w:hAnsi="Times New Roman" w:cs="Times New Roman"/>
        </w:rPr>
        <w:t>。监测结果表明，</w:t>
      </w:r>
      <w:r>
        <w:rPr>
          <w:rFonts w:hint="eastAsia" w:ascii="Times New Roman" w:hAnsi="Times New Roman" w:cs="Times New Roman"/>
        </w:rPr>
        <w:t>总悬浮颗粒物、氮氧化物、氟化物浓度满足《环境空气质量标准》（GB3095-2026）中二级标准的要求；氨气满足《环境影响评价技术导则 大气环境》（HJ 2.2-2018）附录中标准限值要求；二噁英浓度满足日本环境厅中央环境审议会议制定的环境标准</w:t>
      </w:r>
      <w:r>
        <w:rPr>
          <w:rFonts w:ascii="Times New Roman" w:hAnsi="Times New Roman" w:cs="Times New Roman"/>
        </w:rPr>
        <w:t>。</w:t>
      </w:r>
    </w:p>
    <w:p w14:paraId="3DB56502">
      <w:pPr>
        <w:spacing w:line="500" w:lineRule="exact"/>
        <w:ind w:firstLine="482"/>
        <w:rPr>
          <w:rFonts w:ascii="Times New Roman" w:hAnsi="Times New Roman" w:cs="Times New Roman"/>
          <w:b/>
          <w:bCs/>
        </w:rPr>
      </w:pPr>
      <w:r>
        <w:rPr>
          <w:rFonts w:ascii="Times New Roman" w:hAnsi="Times New Roman" w:cs="Times New Roman"/>
          <w:b/>
          <w:bCs/>
        </w:rPr>
        <w:t>（2）声环境质量现状</w:t>
      </w:r>
    </w:p>
    <w:p w14:paraId="5C077F3D">
      <w:pPr>
        <w:spacing w:line="500" w:lineRule="exact"/>
        <w:ind w:firstLine="482"/>
        <w:jc w:val="both"/>
        <w:rPr>
          <w:rFonts w:hint="default" w:ascii="Times New Roman" w:hAnsi="Times New Roman" w:eastAsia="宋体" w:cs="Times New Roman"/>
          <w:lang w:val="en-US" w:eastAsia="zh-CN"/>
        </w:rPr>
      </w:pPr>
      <w:r>
        <w:rPr>
          <w:rFonts w:ascii="Times New Roman" w:hAnsi="Times New Roman" w:cs="Times New Roman"/>
        </w:rPr>
        <w:t>本次评价在厂界设置4个噪声监测点位，监测结果表明，</w:t>
      </w:r>
      <w:r>
        <w:rPr>
          <w:rFonts w:hint="eastAsia" w:ascii="Times New Roman" w:hAnsi="Times New Roman" w:cs="Times New Roman"/>
        </w:rPr>
        <w:t>本项目厂界东侧，西侧，北侧噪声值满足《工业企业厂界环境噪声排放标准(GB12348-2008)》中2类标准(2类：昼间60dB(A)，夜间50dB(A))要求。厂界南侧噪声值满足《工业企业厂界环境噪声排放标准(GB12348-2008)》中4类标准(4类：昼间70dB(A)，夜间55dB(A))要求</w:t>
      </w:r>
      <w:r>
        <w:rPr>
          <w:rFonts w:ascii="Times New Roman" w:hAnsi="Times New Roman" w:cs="Times New Roman"/>
        </w:rPr>
        <w:t>。</w:t>
      </w:r>
      <w:r>
        <w:rPr>
          <w:rFonts w:hint="eastAsia" w:ascii="Times New Roman" w:hAnsi="Times New Roman" w:cs="Times New Roman"/>
          <w:lang w:val="en-US" w:eastAsia="zh-CN"/>
        </w:rPr>
        <w:t>本项目北侧、西侧居民监测点声环境满足《声环境质量标准》（GB 3096-2008）1类标准。</w:t>
      </w:r>
    </w:p>
    <w:p w14:paraId="39892ED3">
      <w:pPr>
        <w:spacing w:line="500" w:lineRule="exact"/>
        <w:ind w:firstLine="482"/>
        <w:rPr>
          <w:rFonts w:ascii="Times New Roman" w:hAnsi="Times New Roman" w:cs="Times New Roman"/>
          <w:b/>
        </w:rPr>
      </w:pPr>
      <w:r>
        <w:rPr>
          <w:rFonts w:ascii="Times New Roman" w:hAnsi="Times New Roman" w:cs="Times New Roman"/>
          <w:b/>
        </w:rPr>
        <w:t>（3）土壤环境质量现状</w:t>
      </w:r>
    </w:p>
    <w:p w14:paraId="4AF1AEF7">
      <w:pPr>
        <w:spacing w:line="500" w:lineRule="exact"/>
        <w:ind w:firstLine="480"/>
        <w:rPr>
          <w:rFonts w:ascii="Times New Roman" w:hAnsi="Times New Roman" w:cs="Times New Roman"/>
        </w:rPr>
      </w:pPr>
      <w:r>
        <w:rPr>
          <w:rFonts w:ascii="Times New Roman" w:hAnsi="Times New Roman" w:cs="Times New Roman"/>
        </w:rPr>
        <w:t>本次土壤环境质量现状调查设置</w:t>
      </w:r>
      <w:r>
        <w:rPr>
          <w:rFonts w:hint="eastAsia" w:ascii="Times New Roman" w:hAnsi="Times New Roman" w:cs="Times New Roman"/>
        </w:rPr>
        <w:t>6</w:t>
      </w:r>
      <w:r>
        <w:rPr>
          <w:rFonts w:ascii="Times New Roman" w:hAnsi="Times New Roman" w:cs="Times New Roman"/>
        </w:rPr>
        <w:t>个监测点位，监测结果表明，本区域土壤本底质量较好，均未达到《土壤环境质量 农用地土壤污染风险管控标准（试行）》（GB15618-2018）和《土壤环境质量 建设用地土壤污染风险管控标准（试行）》（GB36600-2018）中的风险筛选值。</w:t>
      </w:r>
    </w:p>
    <w:p w14:paraId="490BC9D3">
      <w:pPr>
        <w:pStyle w:val="6"/>
      </w:pPr>
      <w:bookmarkStart w:id="708" w:name="_Toc6965"/>
      <w:bookmarkStart w:id="709" w:name="_Toc27659033"/>
      <w:bookmarkStart w:id="710" w:name="_Toc90026166"/>
      <w:r>
        <w:rPr>
          <w:rFonts w:hint="eastAsia"/>
        </w:rPr>
        <w:t>10</w:t>
      </w:r>
      <w:r>
        <w:t>.3 环境影响源及污染物排放情况结论</w:t>
      </w:r>
      <w:bookmarkEnd w:id="708"/>
      <w:bookmarkEnd w:id="709"/>
      <w:bookmarkEnd w:id="710"/>
    </w:p>
    <w:p w14:paraId="6F23C214">
      <w:pPr>
        <w:pStyle w:val="7"/>
      </w:pPr>
      <w:bookmarkStart w:id="711" w:name="_Toc90026371"/>
      <w:bookmarkStart w:id="712" w:name="_Toc5355"/>
      <w:r>
        <w:rPr>
          <w:rFonts w:hint="eastAsia"/>
          <w:lang w:eastAsia="zh-CN"/>
        </w:rPr>
        <w:t>10</w:t>
      </w:r>
      <w:r>
        <w:t>.3.1 施工期污染物排放情况</w:t>
      </w:r>
      <w:bookmarkEnd w:id="711"/>
      <w:bookmarkEnd w:id="712"/>
    </w:p>
    <w:p w14:paraId="0B69FCF4">
      <w:pPr>
        <w:pStyle w:val="310"/>
        <w:spacing w:line="500" w:lineRule="exact"/>
        <w:rPr>
          <w:b/>
        </w:rPr>
      </w:pPr>
      <w:r>
        <w:rPr>
          <w:b/>
          <w:lang w:eastAsia="zh-CN"/>
        </w:rPr>
        <w:t>（1）</w:t>
      </w:r>
      <w:r>
        <w:rPr>
          <w:b/>
        </w:rPr>
        <w:t>废气</w:t>
      </w:r>
    </w:p>
    <w:p w14:paraId="5A8A1A85">
      <w:pPr>
        <w:pStyle w:val="310"/>
        <w:spacing w:line="500" w:lineRule="exact"/>
      </w:pPr>
      <w:r>
        <w:t>大气污染主要是施工扬尘和施工车辆产生的扬尘及尾气等，但因扬尘的辐射范围较小，随着距离的增加而很快降低，施工期扬尘能够满足《施工及堆料场地扬尘排放标准》（DB21/2642-2016）</w:t>
      </w:r>
      <w:r>
        <w:rPr>
          <w:lang w:eastAsia="zh-CN"/>
        </w:rPr>
        <w:t>标准</w:t>
      </w:r>
      <w:r>
        <w:t>。</w:t>
      </w:r>
    </w:p>
    <w:p w14:paraId="7D72F183">
      <w:pPr>
        <w:pStyle w:val="310"/>
        <w:spacing w:line="500" w:lineRule="exact"/>
        <w:rPr>
          <w:b/>
        </w:rPr>
      </w:pPr>
      <w:r>
        <w:rPr>
          <w:b/>
          <w:lang w:eastAsia="zh-CN"/>
        </w:rPr>
        <w:t>（2）</w:t>
      </w:r>
      <w:r>
        <w:rPr>
          <w:b/>
        </w:rPr>
        <w:t>废水</w:t>
      </w:r>
    </w:p>
    <w:p w14:paraId="108BCA7A">
      <w:pPr>
        <w:pStyle w:val="310"/>
        <w:spacing w:line="500" w:lineRule="exact"/>
      </w:pPr>
      <w:r>
        <w:t>施工期废水主要为施工人员所排放的生活污水及施工工地泥浆废水。施工废水沉淀后用于洒水抑尘；施工人员的生活污水排入化粪池处理，定期清掏。</w:t>
      </w:r>
    </w:p>
    <w:p w14:paraId="7EBCDAB5">
      <w:pPr>
        <w:pStyle w:val="310"/>
        <w:spacing w:line="500" w:lineRule="exact"/>
        <w:rPr>
          <w:b/>
        </w:rPr>
      </w:pPr>
      <w:r>
        <w:rPr>
          <w:b/>
          <w:lang w:eastAsia="zh-CN"/>
        </w:rPr>
        <w:t>（3）</w:t>
      </w:r>
      <w:r>
        <w:rPr>
          <w:b/>
        </w:rPr>
        <w:t>噪声</w:t>
      </w:r>
    </w:p>
    <w:p w14:paraId="0BFA1953">
      <w:pPr>
        <w:pStyle w:val="310"/>
        <w:spacing w:line="500" w:lineRule="exact"/>
      </w:pPr>
      <w:r>
        <w:t>施工期噪声主要是在施工现场的机械设备运行及作业中产生的噪声，以及车辆运输产生的噪声。项目在施工中会对环境会造成一定的影响，但是这种影响是暂时的，随着工程的结束而消失。经减缓措施后，可满足《建筑施工场界环境噪声排放标准》（GB12523-2011）中的排放限值要求。</w:t>
      </w:r>
    </w:p>
    <w:p w14:paraId="26EB1F43">
      <w:pPr>
        <w:pStyle w:val="310"/>
        <w:spacing w:line="500" w:lineRule="exact"/>
        <w:rPr>
          <w:b/>
        </w:rPr>
      </w:pPr>
      <w:r>
        <w:rPr>
          <w:b/>
          <w:lang w:eastAsia="zh-CN"/>
        </w:rPr>
        <w:t>（4）</w:t>
      </w:r>
      <w:r>
        <w:rPr>
          <w:b/>
        </w:rPr>
        <w:t>固废</w:t>
      </w:r>
    </w:p>
    <w:p w14:paraId="489D1646">
      <w:pPr>
        <w:tabs>
          <w:tab w:val="left" w:pos="1506"/>
        </w:tabs>
        <w:spacing w:line="500" w:lineRule="exact"/>
        <w:ind w:firstLine="480" w:firstLineChars="200"/>
        <w:rPr>
          <w:rFonts w:ascii="Times New Roman" w:hAnsi="Times New Roman" w:cs="Times New Roman"/>
        </w:rPr>
      </w:pPr>
      <w:r>
        <w:rPr>
          <w:rFonts w:ascii="Times New Roman" w:hAnsi="Times New Roman" w:cs="Times New Roman"/>
        </w:rPr>
        <w:t>施工期产生的固体废物主要是土建工程中产生的废土石方、废建筑材料和施工人员生活垃圾等。</w:t>
      </w:r>
    </w:p>
    <w:p w14:paraId="74368F7D">
      <w:pPr>
        <w:tabs>
          <w:tab w:val="left" w:pos="1506"/>
        </w:tabs>
        <w:spacing w:line="500" w:lineRule="exact"/>
        <w:ind w:firstLine="480" w:firstLineChars="200"/>
        <w:rPr>
          <w:rFonts w:ascii="Times New Roman" w:hAnsi="Times New Roman" w:cs="Times New Roman"/>
        </w:rPr>
      </w:pPr>
      <w:r>
        <w:rPr>
          <w:rFonts w:ascii="Times New Roman" w:hAnsi="Times New Roman" w:cs="Times New Roman"/>
        </w:rPr>
        <w:t>土石方</w:t>
      </w:r>
      <w:r>
        <w:rPr>
          <w:rFonts w:ascii="Times New Roman" w:hAnsi="Times New Roman" w:cs="Times New Roman"/>
          <w:szCs w:val="32"/>
        </w:rPr>
        <w:t>全部用于厂区内的场地平整，不外排；废建筑材料和生活垃圾集中收集后由环卫部门统一处理。</w:t>
      </w:r>
    </w:p>
    <w:p w14:paraId="0A3863B6">
      <w:pPr>
        <w:pStyle w:val="7"/>
      </w:pPr>
      <w:bookmarkStart w:id="713" w:name="_Toc28249"/>
      <w:bookmarkStart w:id="714" w:name="_Toc90026372"/>
      <w:r>
        <w:rPr>
          <w:rFonts w:hint="eastAsia"/>
          <w:lang w:eastAsia="zh-CN"/>
        </w:rPr>
        <w:t>10</w:t>
      </w:r>
      <w:r>
        <w:t>.3.2 营运期污染物排放情况</w:t>
      </w:r>
      <w:bookmarkEnd w:id="713"/>
      <w:bookmarkEnd w:id="714"/>
    </w:p>
    <w:p w14:paraId="13E92930">
      <w:pPr>
        <w:tabs>
          <w:tab w:val="left" w:pos="1506"/>
        </w:tabs>
        <w:spacing w:line="500" w:lineRule="exact"/>
        <w:ind w:firstLine="482" w:firstLineChars="200"/>
        <w:rPr>
          <w:rFonts w:ascii="Times New Roman" w:hAnsi="Times New Roman" w:cs="Times New Roman"/>
          <w:b/>
          <w:szCs w:val="32"/>
        </w:rPr>
      </w:pPr>
      <w:r>
        <w:rPr>
          <w:rFonts w:ascii="Times New Roman" w:hAnsi="Times New Roman" w:cs="Times New Roman"/>
          <w:b/>
          <w:szCs w:val="32"/>
        </w:rPr>
        <w:t>（1）废气</w:t>
      </w:r>
    </w:p>
    <w:p w14:paraId="713399E7">
      <w:pPr>
        <w:tabs>
          <w:tab w:val="left" w:pos="1506"/>
        </w:tabs>
        <w:spacing w:line="500" w:lineRule="exact"/>
        <w:ind w:firstLine="480" w:firstLineChars="200"/>
        <w:jc w:val="both"/>
        <w:rPr>
          <w:rFonts w:hint="eastAsia" w:ascii="Times New Roman" w:hAnsi="Times New Roman" w:cs="Times New Roman"/>
        </w:rPr>
      </w:pPr>
      <w:r>
        <w:rPr>
          <w:rFonts w:hint="eastAsia" w:ascii="Times New Roman" w:hAnsi="Times New Roman" w:cs="Times New Roman"/>
          <w:lang w:val="en-US" w:eastAsia="zh-CN"/>
        </w:rPr>
        <w:t>1</w:t>
      </w:r>
      <w:r>
        <w:rPr>
          <w:rFonts w:hint="eastAsia" w:ascii="Times New Roman" w:hAnsi="Times New Roman" w:cs="Times New Roman"/>
        </w:rPr>
        <w:t>）烧结矿废气</w:t>
      </w:r>
    </w:p>
    <w:p w14:paraId="017B734D">
      <w:pPr>
        <w:tabs>
          <w:tab w:val="left" w:pos="1506"/>
        </w:tabs>
        <w:spacing w:line="500" w:lineRule="exact"/>
        <w:ind w:firstLine="480" w:firstLineChars="200"/>
        <w:jc w:val="both"/>
        <w:rPr>
          <w:rFonts w:hint="eastAsia" w:ascii="Times New Roman" w:hAnsi="Times New Roman" w:cs="Times New Roman"/>
        </w:rPr>
      </w:pPr>
      <w:r>
        <w:rPr>
          <w:rFonts w:hint="eastAsia" w:ascii="Times New Roman" w:hAnsi="Times New Roman" w:cs="Times New Roman"/>
          <w:lang w:val="en-US" w:eastAsia="zh-CN"/>
        </w:rPr>
        <w:t>①</w:t>
      </w:r>
      <w:r>
        <w:rPr>
          <w:rFonts w:hint="eastAsia" w:ascii="Times New Roman" w:hAnsi="Times New Roman" w:cs="Times New Roman"/>
        </w:rPr>
        <w:t>配料系统除尘系统（G1）</w:t>
      </w:r>
    </w:p>
    <w:p w14:paraId="613A6E08">
      <w:pPr>
        <w:tabs>
          <w:tab w:val="left" w:pos="1506"/>
        </w:tabs>
        <w:spacing w:line="500" w:lineRule="exact"/>
        <w:ind w:firstLine="480" w:firstLineChars="200"/>
        <w:jc w:val="both"/>
        <w:rPr>
          <w:rFonts w:hint="eastAsia" w:ascii="Times New Roman" w:hAnsi="Times New Roman" w:cs="Times New Roman"/>
        </w:rPr>
      </w:pPr>
      <w:r>
        <w:rPr>
          <w:rFonts w:hint="eastAsia" w:ascii="Times New Roman" w:hAnsi="Times New Roman" w:cs="Times New Roman"/>
        </w:rPr>
        <w:t>配料系统袋式除尘系统处理配料产生的含尘废气，采用袋式除尘器净化，净化效率可达99.5%，项目颗粒物排放浓度为10mg/Nm</w:t>
      </w:r>
      <w:r>
        <w:rPr>
          <w:rFonts w:hint="eastAsia" w:ascii="Times New Roman" w:hAnsi="Times New Roman" w:cs="Times New Roman"/>
          <w:vertAlign w:val="superscript"/>
        </w:rPr>
        <w:t>3</w:t>
      </w:r>
      <w:r>
        <w:rPr>
          <w:rFonts w:hint="eastAsia" w:ascii="Times New Roman" w:hAnsi="Times New Roman" w:cs="Times New Roman"/>
        </w:rPr>
        <w:t>，尾气经15m排气筒排放，满足《关于推进实施钢铁行业超低排放的意见》（环大气〔2019〕35号）钢铁企业超低排放指标限值的要求。</w:t>
      </w:r>
    </w:p>
    <w:p w14:paraId="32D85E2C">
      <w:pPr>
        <w:tabs>
          <w:tab w:val="left" w:pos="1506"/>
        </w:tabs>
        <w:spacing w:line="500" w:lineRule="exact"/>
        <w:ind w:firstLine="480" w:firstLineChars="200"/>
        <w:jc w:val="both"/>
        <w:rPr>
          <w:rFonts w:hint="eastAsia" w:ascii="Times New Roman" w:hAnsi="Times New Roman" w:cs="Times New Roman"/>
        </w:rPr>
      </w:pPr>
      <w:r>
        <w:rPr>
          <w:rFonts w:hint="eastAsia" w:ascii="Times New Roman" w:hAnsi="Times New Roman" w:cs="Times New Roman"/>
          <w:lang w:val="en-US" w:eastAsia="zh-CN"/>
        </w:rPr>
        <w:t>②</w:t>
      </w:r>
      <w:r>
        <w:rPr>
          <w:rFonts w:hint="eastAsia" w:ascii="Times New Roman" w:hAnsi="Times New Roman" w:cs="Times New Roman"/>
        </w:rPr>
        <w:t>混料湿法除尘系统（G2）</w:t>
      </w:r>
    </w:p>
    <w:p w14:paraId="1B86C4B7">
      <w:pPr>
        <w:tabs>
          <w:tab w:val="left" w:pos="1506"/>
        </w:tabs>
        <w:spacing w:line="500" w:lineRule="exact"/>
        <w:ind w:firstLine="480" w:firstLineChars="200"/>
        <w:jc w:val="both"/>
        <w:rPr>
          <w:rFonts w:hint="eastAsia" w:ascii="Times New Roman" w:hAnsi="Times New Roman" w:cs="Times New Roman"/>
        </w:rPr>
      </w:pPr>
      <w:r>
        <w:rPr>
          <w:rFonts w:hint="eastAsia" w:ascii="Times New Roman" w:hAnsi="Times New Roman" w:cs="Times New Roman"/>
        </w:rPr>
        <w:t>混合机湿式除尘系统处理包括一、二次混合室混合机本体进料端和出口端等处的含蒸汽除尘废气</w:t>
      </w:r>
      <w:r>
        <w:rPr>
          <w:rFonts w:hint="eastAsia" w:ascii="Times New Roman" w:hAnsi="Times New Roman" w:cs="Times New Roman"/>
          <w:lang w:eastAsia="zh-CN"/>
        </w:rPr>
        <w:t>，</w:t>
      </w:r>
      <w:r>
        <w:rPr>
          <w:rFonts w:hint="eastAsia" w:ascii="Times New Roman" w:hAnsi="Times New Roman" w:cs="Times New Roman"/>
        </w:rPr>
        <w:t>含尘废气采用湿式水浴除尘器净化，净化效率可达99%，项目颗粒物排放浓度为3mg/Nm</w:t>
      </w:r>
      <w:r>
        <w:rPr>
          <w:rFonts w:hint="eastAsia" w:ascii="Times New Roman" w:hAnsi="Times New Roman" w:cs="Times New Roman"/>
          <w:vertAlign w:val="superscript"/>
        </w:rPr>
        <w:t>3</w:t>
      </w:r>
      <w:r>
        <w:rPr>
          <w:rFonts w:hint="eastAsia" w:ascii="Times New Roman" w:hAnsi="Times New Roman" w:cs="Times New Roman"/>
        </w:rPr>
        <w:t>，尾气经15m排气筒排放，满足《关于推进实施钢铁行业超低排放的意见》（环大气〔2019〕35号）钢铁企业超低排放指标限值的要求。</w:t>
      </w:r>
    </w:p>
    <w:p w14:paraId="731963EB">
      <w:pPr>
        <w:tabs>
          <w:tab w:val="left" w:pos="1506"/>
        </w:tabs>
        <w:spacing w:line="500" w:lineRule="exact"/>
        <w:ind w:firstLine="480" w:firstLineChars="200"/>
        <w:jc w:val="both"/>
        <w:rPr>
          <w:rFonts w:hint="eastAsia" w:ascii="Times New Roman" w:hAnsi="Times New Roman" w:cs="Times New Roman"/>
        </w:rPr>
      </w:pPr>
      <w:r>
        <w:rPr>
          <w:rFonts w:hint="eastAsia" w:ascii="Times New Roman" w:hAnsi="Times New Roman" w:cs="Times New Roman"/>
          <w:lang w:val="en-US" w:eastAsia="zh-CN"/>
        </w:rPr>
        <w:t>③</w:t>
      </w:r>
      <w:r>
        <w:rPr>
          <w:rFonts w:hint="eastAsia" w:ascii="Times New Roman" w:hAnsi="Times New Roman" w:cs="Times New Roman"/>
        </w:rPr>
        <w:t>机头烟气处理系统（G3）</w:t>
      </w:r>
    </w:p>
    <w:p w14:paraId="6F5FED0D">
      <w:pPr>
        <w:tabs>
          <w:tab w:val="left" w:pos="1506"/>
        </w:tabs>
        <w:spacing w:line="500" w:lineRule="exact"/>
        <w:ind w:firstLine="480" w:firstLineChars="200"/>
        <w:jc w:val="both"/>
        <w:rPr>
          <w:rFonts w:hint="eastAsia" w:ascii="Times New Roman" w:hAnsi="Times New Roman" w:cs="Times New Roman"/>
        </w:rPr>
      </w:pPr>
      <w:r>
        <w:rPr>
          <w:rFonts w:hint="eastAsia" w:ascii="Times New Roman" w:hAnsi="Times New Roman" w:cs="Times New Roman"/>
        </w:rPr>
        <w:t>烧结台车上的混合料经过点火后，开始燃烧，空气从混合料层的上部抽入，燃烧产生的烟气含SO2、NOx、烟尘、氟化物和二噁英等，其中氟化物主要来自矿石及燃料中的氟，经高温生成HF及SiF4等氟化物，另外脱硝工艺中逃逸出的氨气随机头废气一起排放。</w:t>
      </w:r>
    </w:p>
    <w:p w14:paraId="710E596C">
      <w:pPr>
        <w:tabs>
          <w:tab w:val="left" w:pos="1506"/>
        </w:tabs>
        <w:spacing w:line="500" w:lineRule="exact"/>
        <w:ind w:firstLine="480" w:firstLineChars="200"/>
        <w:jc w:val="both"/>
        <w:rPr>
          <w:rFonts w:hint="eastAsia" w:ascii="Times New Roman" w:hAnsi="Times New Roman" w:cs="Times New Roman"/>
        </w:rPr>
      </w:pPr>
      <w:r>
        <w:rPr>
          <w:rFonts w:hint="eastAsia" w:ascii="Times New Roman" w:hAnsi="Times New Roman" w:cs="Times New Roman"/>
        </w:rPr>
        <w:t>项目机头废气采用湿电混合除尘净化，净化效率可达99.5%，净化后废气中颗粒物排放浓度≤10mg/m3，尾气经70m排气筒排放，满足《关于推进实施钢铁行业超低排放的意见》（环大气〔2019〕35 号）钢铁企业超低排放指标限值的要求。烧结机机头废气SO2采用石灰石-石膏法脱硫，净化效率可达95%，净化后废气中SO2排放浓度约23mg/m3，尾气经15m排气筒排放，满足《关于推进实施钢铁行业超低排放的意见》（环大气〔2019〕35 号）钢铁企业超低排放指标限值的要求35mg/m3。烧结生产过程中产生大量的NOX，采用中低温SCR脱硝系统处理，净化效率可达85%，净化后废气中NOX排放浓度26mg/m3，尾气经15m排气筒排放，满足《关于推进实施钢铁行业超低排放的意见》（环大气〔2019〕35 号）钢铁企业超低排放指标限值的要求≤50mg/m3。烧结机机头废气氟化物除尘及脱硫系统对氟化物的协同去除效率保守取60%，净化后废气中氟化物（以F计）排放浓度0.5mg/m3，经</w:t>
      </w:r>
      <w:r>
        <w:rPr>
          <w:rFonts w:hint="eastAsia" w:ascii="Times New Roman" w:hAnsi="Times New Roman" w:cs="Times New Roman"/>
          <w:lang w:val="en-US" w:eastAsia="zh-CN"/>
        </w:rPr>
        <w:t>70</w:t>
      </w:r>
      <w:r>
        <w:rPr>
          <w:rFonts w:hint="eastAsia" w:ascii="Times New Roman" w:hAnsi="Times New Roman" w:cs="Times New Roman"/>
        </w:rPr>
        <w:t>m排气筒排放，满足《钢铁工业大气污染物排放标准》（DB21/ 4119—2025）表1标准。烧结机头二噁英湿电除尘器和SCR脱硝的总二噁英减排效率可达90%以上。机头烟气中二噁英排放浓度小于等于0.5ng-TEQ/m</w:t>
      </w:r>
      <w:r>
        <w:rPr>
          <w:rFonts w:hint="eastAsia" w:ascii="Times New Roman" w:hAnsi="Times New Roman" w:cs="Times New Roman"/>
          <w:vertAlign w:val="superscript"/>
        </w:rPr>
        <w:t>3</w:t>
      </w:r>
      <w:r>
        <w:rPr>
          <w:rFonts w:hint="eastAsia" w:ascii="Times New Roman" w:hAnsi="Times New Roman" w:cs="Times New Roman"/>
        </w:rPr>
        <w:t xml:space="preserve">，另类比同类项目监测数据，机头烟气中二噁英《钢铁工业大气污染物排放标准》（DB21/ 4119-2025）表1标准。脱硝系统的运行过程中会产生少量的逃逸氨气。满足《恶臭污染物排放标准》（GB14554-93）表2中排放标准。 </w:t>
      </w:r>
    </w:p>
    <w:p w14:paraId="747E0238">
      <w:pPr>
        <w:tabs>
          <w:tab w:val="left" w:pos="1506"/>
        </w:tabs>
        <w:spacing w:line="500" w:lineRule="exact"/>
        <w:ind w:firstLine="480" w:firstLineChars="200"/>
        <w:jc w:val="both"/>
        <w:rPr>
          <w:rFonts w:hint="eastAsia" w:ascii="Times New Roman" w:hAnsi="Times New Roman" w:cs="Times New Roman"/>
        </w:rPr>
      </w:pPr>
      <w:r>
        <w:rPr>
          <w:rFonts w:hint="eastAsia" w:ascii="Times New Roman" w:hAnsi="Times New Roman" w:cs="Times New Roman"/>
          <w:lang w:val="en-US" w:eastAsia="zh-CN"/>
        </w:rPr>
        <w:t>④</w:t>
      </w:r>
      <w:r>
        <w:rPr>
          <w:rFonts w:hint="eastAsia" w:ascii="Times New Roman" w:hAnsi="Times New Roman" w:cs="Times New Roman"/>
        </w:rPr>
        <w:t xml:space="preserve">机尾除尘系统（G4） </w:t>
      </w:r>
    </w:p>
    <w:p w14:paraId="13ADBC61">
      <w:pPr>
        <w:tabs>
          <w:tab w:val="left" w:pos="1506"/>
        </w:tabs>
        <w:spacing w:line="500" w:lineRule="exact"/>
        <w:ind w:firstLine="480" w:firstLineChars="200"/>
        <w:jc w:val="both"/>
        <w:rPr>
          <w:rFonts w:hint="eastAsia" w:ascii="Times New Roman" w:hAnsi="Times New Roman" w:cs="Times New Roman"/>
        </w:rPr>
      </w:pPr>
      <w:r>
        <w:rPr>
          <w:rFonts w:hint="eastAsia" w:ascii="Times New Roman" w:hAnsi="Times New Roman" w:cs="Times New Roman"/>
        </w:rPr>
        <w:t>机尾除尘系统处理机尾除尘点产生的含尘废气，采用覆膜袋式除尘器净化，净化效率可达99.9%，净化后废气中颗粒物排放浓度3.1mg/m3，尾气经19m排气筒排放，满足《关于推进实施钢铁行业超低排放的意见》（环大气〔2019〕35号）钢铁企业超低排放指标限值的要求。</w:t>
      </w:r>
    </w:p>
    <w:p w14:paraId="43B3A39E">
      <w:pPr>
        <w:tabs>
          <w:tab w:val="left" w:pos="1506"/>
        </w:tabs>
        <w:spacing w:line="500" w:lineRule="exact"/>
        <w:ind w:firstLine="480" w:firstLineChars="200"/>
        <w:jc w:val="both"/>
        <w:rPr>
          <w:rFonts w:hint="eastAsia" w:ascii="Times New Roman" w:hAnsi="Times New Roman" w:cs="Times New Roman"/>
        </w:rPr>
      </w:pPr>
      <w:r>
        <w:rPr>
          <w:rFonts w:hint="eastAsia" w:ascii="Times New Roman" w:hAnsi="Times New Roman" w:cs="Times New Roman"/>
          <w:lang w:val="en-US" w:eastAsia="zh-CN"/>
        </w:rPr>
        <w:t>⑤</w:t>
      </w:r>
      <w:r>
        <w:rPr>
          <w:rFonts w:hint="eastAsia" w:ascii="Times New Roman" w:hAnsi="Times New Roman" w:cs="Times New Roman"/>
        </w:rPr>
        <w:t xml:space="preserve">成品破碎除尘系统（G5） </w:t>
      </w:r>
    </w:p>
    <w:p w14:paraId="06687DA6">
      <w:pPr>
        <w:tabs>
          <w:tab w:val="left" w:pos="1506"/>
        </w:tabs>
        <w:spacing w:line="500" w:lineRule="exact"/>
        <w:ind w:firstLine="480" w:firstLineChars="200"/>
        <w:jc w:val="both"/>
        <w:rPr>
          <w:rFonts w:hint="eastAsia" w:ascii="Times New Roman" w:hAnsi="Times New Roman" w:cs="Times New Roman"/>
        </w:rPr>
      </w:pPr>
      <w:r>
        <w:rPr>
          <w:rFonts w:hint="eastAsia" w:ascii="Times New Roman" w:hAnsi="Times New Roman" w:cs="Times New Roman"/>
        </w:rPr>
        <w:t>成品破碎除尘系统处理产生的含尘废气，采用覆膜袋式除尘器净化，净化效率可达99.9%，净化后废气中颗粒物排放浓度2mg/m3，尾气经15m排气筒排放，满足《关于推进实施钢铁行业超低排放的意见》（环大气〔2019〕35号）钢铁企业超低排放指标限值的要求。</w:t>
      </w:r>
    </w:p>
    <w:p w14:paraId="1D20D98E">
      <w:pPr>
        <w:tabs>
          <w:tab w:val="left" w:pos="1506"/>
        </w:tabs>
        <w:spacing w:line="500" w:lineRule="exact"/>
        <w:ind w:firstLine="480" w:firstLineChars="200"/>
        <w:jc w:val="both"/>
        <w:rPr>
          <w:rFonts w:hint="eastAsia" w:ascii="Times New Roman" w:hAnsi="Times New Roman" w:cs="Times New Roman"/>
        </w:rPr>
      </w:pPr>
      <w:r>
        <w:rPr>
          <w:rFonts w:hint="eastAsia" w:ascii="Times New Roman" w:hAnsi="Times New Roman" w:cs="Times New Roman"/>
          <w:lang w:val="en-US" w:eastAsia="zh-CN"/>
        </w:rPr>
        <w:t>⑥</w:t>
      </w:r>
      <w:r>
        <w:rPr>
          <w:rFonts w:hint="eastAsia" w:ascii="Times New Roman" w:hAnsi="Times New Roman" w:cs="Times New Roman"/>
        </w:rPr>
        <w:t xml:space="preserve">成品下料除尘系统（G6） </w:t>
      </w:r>
    </w:p>
    <w:p w14:paraId="75004C37">
      <w:pPr>
        <w:tabs>
          <w:tab w:val="left" w:pos="1506"/>
        </w:tabs>
        <w:spacing w:line="500" w:lineRule="exact"/>
        <w:ind w:firstLine="480" w:firstLineChars="200"/>
        <w:jc w:val="both"/>
        <w:rPr>
          <w:rFonts w:hint="eastAsia" w:ascii="Times New Roman" w:hAnsi="Times New Roman" w:cs="Times New Roman"/>
        </w:rPr>
      </w:pPr>
      <w:r>
        <w:rPr>
          <w:rFonts w:hint="eastAsia" w:ascii="Times New Roman" w:hAnsi="Times New Roman" w:cs="Times New Roman"/>
        </w:rPr>
        <w:t>成品筛分除尘系统处理成品筛分除尘点产生的含尘废气，采用袋式除尘器净化，净化效率可达99.5%，净化后废气中颗粒物排放浓度≤10mg/m3，本次环评取10mg/m3，尾气经15m排气筒排放，满足《关于推进实施钢铁行业超低排放的意见》（环大气〔2019〕35 号）钢铁企业超低排放指标限值的要求。</w:t>
      </w:r>
    </w:p>
    <w:p w14:paraId="00B791B0">
      <w:pPr>
        <w:tabs>
          <w:tab w:val="left" w:pos="1506"/>
        </w:tabs>
        <w:spacing w:line="500" w:lineRule="exact"/>
        <w:ind w:firstLine="480" w:firstLineChars="200"/>
        <w:jc w:val="both"/>
        <w:rPr>
          <w:rFonts w:hint="eastAsia" w:ascii="Times New Roman" w:hAnsi="Times New Roman" w:cs="Times New Roman"/>
        </w:rPr>
      </w:pPr>
      <w:r>
        <w:rPr>
          <w:rFonts w:hint="eastAsia" w:ascii="Times New Roman" w:hAnsi="Times New Roman" w:cs="Times New Roman"/>
          <w:lang w:val="en-US" w:eastAsia="zh-CN"/>
        </w:rPr>
        <w:t>⑦</w:t>
      </w:r>
      <w:r>
        <w:rPr>
          <w:rFonts w:hint="eastAsia" w:ascii="Times New Roman" w:hAnsi="Times New Roman" w:cs="Times New Roman"/>
        </w:rPr>
        <w:t>成品贮存除尘系统（G7）</w:t>
      </w:r>
    </w:p>
    <w:p w14:paraId="147B6AA1">
      <w:pPr>
        <w:tabs>
          <w:tab w:val="left" w:pos="1506"/>
        </w:tabs>
        <w:spacing w:line="500" w:lineRule="exact"/>
        <w:ind w:firstLine="480" w:firstLineChars="200"/>
        <w:jc w:val="both"/>
        <w:rPr>
          <w:rFonts w:hint="eastAsia" w:ascii="Times New Roman" w:hAnsi="Times New Roman" w:cs="Times New Roman"/>
        </w:rPr>
      </w:pPr>
      <w:r>
        <w:rPr>
          <w:rFonts w:hint="eastAsia" w:ascii="Times New Roman" w:hAnsi="Times New Roman" w:cs="Times New Roman"/>
        </w:rPr>
        <w:t>成品贮存除尘系统处理包括成品仓储存及转运等除尘点产生的含尘废气，采用覆膜袋式除尘器净化，净化效率可达99.9%，净化后废气中颗粒物排放浓度2mg/m</w:t>
      </w:r>
      <w:r>
        <w:rPr>
          <w:rFonts w:hint="eastAsia" w:ascii="Times New Roman" w:hAnsi="Times New Roman" w:cs="Times New Roman"/>
          <w:vertAlign w:val="superscript"/>
        </w:rPr>
        <w:t>3</w:t>
      </w:r>
      <w:r>
        <w:rPr>
          <w:rFonts w:hint="eastAsia" w:ascii="Times New Roman" w:hAnsi="Times New Roman" w:cs="Times New Roman"/>
        </w:rPr>
        <w:t>，尾气经15m排气筒排放，满足《关于推进实施钢铁行业超低排放的意见》（环大气〔2019〕35号）钢铁企业超低排放指标限值的要求。</w:t>
      </w:r>
    </w:p>
    <w:p w14:paraId="7342C6FC">
      <w:pPr>
        <w:tabs>
          <w:tab w:val="left" w:pos="1506"/>
        </w:tabs>
        <w:spacing w:line="500" w:lineRule="exact"/>
        <w:ind w:firstLine="480" w:firstLineChars="200"/>
        <w:jc w:val="both"/>
        <w:rPr>
          <w:rFonts w:hint="eastAsia" w:ascii="Times New Roman" w:hAnsi="Times New Roman" w:cs="Times New Roman"/>
        </w:rPr>
      </w:pPr>
      <w:r>
        <w:rPr>
          <w:rFonts w:hint="eastAsia" w:ascii="Times New Roman" w:hAnsi="Times New Roman" w:cs="Times New Roman"/>
          <w:lang w:val="en-US" w:eastAsia="zh-CN"/>
        </w:rPr>
        <w:t>2</w:t>
      </w:r>
      <w:r>
        <w:rPr>
          <w:rFonts w:hint="eastAsia" w:ascii="Times New Roman" w:hAnsi="Times New Roman" w:cs="Times New Roman"/>
        </w:rPr>
        <w:t>）球团矿废气</w:t>
      </w:r>
    </w:p>
    <w:p w14:paraId="7BC5BEAB">
      <w:pPr>
        <w:tabs>
          <w:tab w:val="left" w:pos="1506"/>
        </w:tabs>
        <w:spacing w:line="500" w:lineRule="exact"/>
        <w:ind w:firstLine="480" w:firstLineChars="200"/>
        <w:jc w:val="both"/>
        <w:rPr>
          <w:rFonts w:hint="eastAsia" w:ascii="Times New Roman" w:hAnsi="Times New Roman" w:cs="Times New Roman"/>
        </w:rPr>
      </w:pPr>
      <w:r>
        <w:rPr>
          <w:rFonts w:hint="eastAsia" w:ascii="Times New Roman" w:hAnsi="Times New Roman" w:cs="Times New Roman"/>
          <w:lang w:val="en-US" w:eastAsia="zh-CN"/>
        </w:rPr>
        <w:t>①</w:t>
      </w:r>
      <w:r>
        <w:rPr>
          <w:rFonts w:hint="eastAsia" w:ascii="Times New Roman" w:hAnsi="Times New Roman" w:cs="Times New Roman"/>
        </w:rPr>
        <w:t>原料准备G8、成品筛分G10</w:t>
      </w:r>
    </w:p>
    <w:p w14:paraId="1D43D0DF">
      <w:pPr>
        <w:tabs>
          <w:tab w:val="left" w:pos="1506"/>
        </w:tabs>
        <w:spacing w:line="500" w:lineRule="exact"/>
        <w:ind w:firstLine="480" w:firstLineChars="200"/>
        <w:jc w:val="both"/>
        <w:rPr>
          <w:rFonts w:hint="eastAsia" w:ascii="Times New Roman" w:hAnsi="Times New Roman" w:cs="Times New Roman"/>
        </w:rPr>
      </w:pPr>
      <w:r>
        <w:rPr>
          <w:rFonts w:hint="eastAsia" w:ascii="Times New Roman" w:hAnsi="Times New Roman" w:cs="Times New Roman"/>
        </w:rPr>
        <w:t>本项目铁精粉及膨润土原料仓为半封闭结构，上料过程中会产生一定量的粉尘。环评要求料仓上方设置集气罩(集气效率为90%），上料及放料粉尘经集气罩收集后，引至布袋除尘器处理后，经30m高排气筒排放。</w:t>
      </w:r>
    </w:p>
    <w:p w14:paraId="57C7D0D5">
      <w:pPr>
        <w:tabs>
          <w:tab w:val="left" w:pos="1506"/>
        </w:tabs>
        <w:spacing w:line="500" w:lineRule="exact"/>
        <w:ind w:firstLine="480" w:firstLineChars="200"/>
        <w:jc w:val="both"/>
        <w:rPr>
          <w:rFonts w:hint="eastAsia" w:ascii="Times New Roman" w:hAnsi="Times New Roman" w:cs="Times New Roman"/>
        </w:rPr>
      </w:pPr>
      <w:r>
        <w:rPr>
          <w:rFonts w:hint="eastAsia" w:ascii="Times New Roman" w:hAnsi="Times New Roman" w:cs="Times New Roman"/>
          <w:lang w:val="en-US" w:eastAsia="zh-CN"/>
        </w:rPr>
        <w:t>②</w:t>
      </w:r>
      <w:r>
        <w:rPr>
          <w:rFonts w:hint="eastAsia" w:ascii="Times New Roman" w:hAnsi="Times New Roman" w:cs="Times New Roman"/>
        </w:rPr>
        <w:t>球团竖炉烟气(G9)</w:t>
      </w:r>
    </w:p>
    <w:p w14:paraId="4B8C109A">
      <w:pPr>
        <w:tabs>
          <w:tab w:val="left" w:pos="1506"/>
        </w:tabs>
        <w:spacing w:line="500" w:lineRule="exact"/>
        <w:ind w:firstLine="480" w:firstLineChars="200"/>
        <w:jc w:val="both"/>
        <w:rPr>
          <w:rFonts w:hint="eastAsia" w:ascii="Times New Roman" w:hAnsi="Times New Roman" w:cs="Times New Roman"/>
        </w:rPr>
      </w:pPr>
      <w:r>
        <w:rPr>
          <w:rFonts w:hint="eastAsia" w:ascii="Times New Roman" w:hAnsi="Times New Roman" w:cs="Times New Roman"/>
        </w:rPr>
        <w:t>焙烧烟气采用“静电除尘器+SCR脱硝+石灰-石膏湿法烟气脱硫” 对焙烧烟气进行除尘脱硫脱硝，达标后经</w:t>
      </w:r>
      <w:r>
        <w:rPr>
          <w:rFonts w:hint="eastAsia" w:ascii="Times New Roman" w:hAnsi="Times New Roman" w:cs="Times New Roman"/>
          <w:lang w:val="en-US" w:eastAsia="zh-CN"/>
        </w:rPr>
        <w:t>30</w:t>
      </w:r>
      <w:r>
        <w:rPr>
          <w:rFonts w:hint="eastAsia" w:ascii="Times New Roman" w:hAnsi="Times New Roman" w:cs="Times New Roman"/>
        </w:rPr>
        <w:t>m 高排气筒排入大气.</w:t>
      </w:r>
    </w:p>
    <w:p w14:paraId="64E4757D">
      <w:pPr>
        <w:adjustRightInd w:val="0"/>
        <w:spacing w:line="500" w:lineRule="exact"/>
        <w:ind w:firstLine="480" w:firstLineChars="200"/>
        <w:jc w:val="both"/>
        <w:rPr>
          <w:rFonts w:hint="eastAsia" w:ascii="Times New Roman" w:hAnsi="Times New Roman" w:cs="Times New Roman"/>
        </w:rPr>
      </w:pPr>
      <w:r>
        <w:rPr>
          <w:rFonts w:ascii="Times New Roman" w:hAnsi="Times New Roman" w:cs="Times New Roman"/>
        </w:rPr>
        <w:t>本项目无组织排放源主要为</w:t>
      </w:r>
      <w:r>
        <w:rPr>
          <w:rFonts w:hint="eastAsia" w:cs="宋体"/>
          <w:color w:val="000000"/>
          <w:kern w:val="0"/>
          <w:sz w:val="24"/>
          <w:szCs w:val="24"/>
          <w:lang w:val="en-US" w:eastAsia="zh-CN" w:bidi="ar"/>
        </w:rPr>
        <w:t>原料</w:t>
      </w:r>
      <w:r>
        <w:rPr>
          <w:rFonts w:hint="eastAsia" w:ascii="宋体" w:hAnsi="宋体" w:eastAsia="宋体" w:cs="宋体"/>
          <w:color w:val="000000"/>
          <w:kern w:val="0"/>
          <w:sz w:val="24"/>
          <w:szCs w:val="24"/>
          <w:lang w:val="en-US" w:eastAsia="zh-CN" w:bidi="ar"/>
        </w:rPr>
        <w:t>破碎、混合、下料，球团混料</w:t>
      </w:r>
      <w:r>
        <w:rPr>
          <w:rFonts w:hint="eastAsia" w:ascii="Times New Roman" w:hAnsi="Times New Roman" w:cs="Times New Roman"/>
        </w:rPr>
        <w:t>产生的少量烟尘</w:t>
      </w:r>
      <w:r>
        <w:rPr>
          <w:rFonts w:ascii="Times New Roman" w:hAnsi="Times New Roman" w:cs="Times New Roman"/>
        </w:rPr>
        <w:t>。</w:t>
      </w:r>
      <w:r>
        <w:rPr>
          <w:rFonts w:hint="eastAsia" w:ascii="Times New Roman" w:hAnsi="Times New Roman" w:cs="Times New Roman"/>
        </w:rPr>
        <w:t>所有产生烟/粉尘的设施、落料点均设置吸尘装置，烟气经除尘器除尘后排放；石灰采用密闭罐车运输，通过气力输送至烧结配料室石灰仓；除尘器设有密闭除尘灰仓，灰仓中的除尘灰通过气力输送至烧结配料室的除尘灰仓，参与烧结配料，除尘灰不落地；皮带机通廊及转运站采用封闭结构，粉尘不外逸；混匀矿、焦炭等原燃料储存场所，采用封闭料场，并配合喷淋抑尘措施，区域内的道路、建构筑物外场地除绿化外全部硬化；车间内采用混凝土地坪；运输车辆经常清洗车轮、车身；定期对厂内道路进行洒水抑尘。</w:t>
      </w:r>
      <w:r>
        <w:rPr>
          <w:rFonts w:ascii="Times New Roman" w:hAnsi="Times New Roman" w:cs="Times New Roman"/>
        </w:rPr>
        <w:t>可确保厂界及车间外达标排放</w:t>
      </w:r>
      <w:r>
        <w:rPr>
          <w:rFonts w:hint="eastAsia" w:ascii="Times New Roman" w:hAnsi="Times New Roman" w:cs="Times New Roman"/>
        </w:rPr>
        <w:t>。</w:t>
      </w:r>
    </w:p>
    <w:p w14:paraId="20691DA7">
      <w:pPr>
        <w:spacing w:line="500" w:lineRule="exact"/>
        <w:ind w:right="6" w:firstLine="482" w:firstLineChars="200"/>
        <w:rPr>
          <w:rFonts w:ascii="Times New Roman" w:hAnsi="Times New Roman" w:cs="Times New Roman"/>
          <w:b/>
        </w:rPr>
      </w:pPr>
      <w:r>
        <w:rPr>
          <w:rFonts w:ascii="Times New Roman" w:hAnsi="Times New Roman" w:cs="Times New Roman"/>
          <w:b/>
        </w:rPr>
        <w:t>（2）废水</w:t>
      </w:r>
    </w:p>
    <w:p w14:paraId="1530D59A">
      <w:pPr>
        <w:adjustRightInd w:val="0"/>
        <w:snapToGrid w:val="0"/>
        <w:spacing w:line="500" w:lineRule="exact"/>
        <w:ind w:firstLine="480" w:firstLineChars="200"/>
        <w:jc w:val="both"/>
        <w:rPr>
          <w:rFonts w:ascii="Times New Roman" w:hAnsi="Times New Roman" w:cs="Times New Roman"/>
        </w:rPr>
      </w:pPr>
      <w:r>
        <w:rPr>
          <w:rFonts w:ascii="Times New Roman" w:hAnsi="Times New Roman" w:cs="Times New Roman"/>
        </w:rPr>
        <w:t>本项目</w:t>
      </w:r>
      <w:r>
        <w:rPr>
          <w:rFonts w:hint="eastAsia" w:ascii="Times New Roman" w:hAnsi="Times New Roman" w:cs="Times New Roman"/>
        </w:rPr>
        <w:t>不新增劳动定员，不新增生活污水</w:t>
      </w:r>
      <w:r>
        <w:rPr>
          <w:rFonts w:ascii="Times New Roman" w:hAnsi="Times New Roman" w:cs="Times New Roman"/>
        </w:rPr>
        <w:t>；</w:t>
      </w:r>
      <w:r>
        <w:rPr>
          <w:rFonts w:hint="eastAsia" w:ascii="Times New Roman" w:hAnsi="Times New Roman" w:cs="Times New Roman"/>
        </w:rPr>
        <w:t>生产废水主要为</w:t>
      </w:r>
      <w:r>
        <w:rPr>
          <w:rFonts w:ascii="Times New Roman" w:hAnsi="Times New Roman" w:cs="Times New Roman"/>
        </w:rPr>
        <w:t>间接冷却水排污水，</w:t>
      </w:r>
      <w:r>
        <w:rPr>
          <w:rFonts w:hint="eastAsia" w:ascii="Times New Roman" w:hAnsi="Times New Roman" w:cs="Times New Roman"/>
          <w:lang w:val="en-US" w:eastAsia="zh-CN"/>
        </w:rPr>
        <w:t>用于高炉冲渣</w:t>
      </w:r>
      <w:r>
        <w:rPr>
          <w:rFonts w:ascii="Times New Roman" w:hAnsi="Times New Roman" w:cs="Times New Roman"/>
        </w:rPr>
        <w:t>，不外排。</w:t>
      </w:r>
      <w:r>
        <w:rPr>
          <w:rFonts w:hint="eastAsia" w:ascii="Times New Roman" w:hAnsi="Times New Roman" w:cs="Times New Roman"/>
          <w:lang w:val="en-US" w:eastAsia="zh-CN"/>
        </w:rPr>
        <w:t>脱硫废水循环使用。</w:t>
      </w:r>
      <w:r>
        <w:rPr>
          <w:rFonts w:hint="eastAsia" w:ascii="Times New Roman" w:hAnsi="Times New Roman" w:cs="Times New Roman"/>
        </w:rPr>
        <w:t>因此本项目无废水外排。</w:t>
      </w:r>
    </w:p>
    <w:p w14:paraId="53532251">
      <w:pPr>
        <w:adjustRightInd w:val="0"/>
        <w:snapToGrid w:val="0"/>
        <w:spacing w:line="500" w:lineRule="exact"/>
        <w:ind w:firstLine="482" w:firstLineChars="200"/>
        <w:rPr>
          <w:rFonts w:ascii="Times New Roman" w:hAnsi="Times New Roman" w:cs="Times New Roman"/>
          <w:b/>
        </w:rPr>
      </w:pPr>
      <w:r>
        <w:rPr>
          <w:rFonts w:ascii="Times New Roman" w:hAnsi="Times New Roman" w:cs="Times New Roman"/>
          <w:b/>
        </w:rPr>
        <w:t>（3）固体废物</w:t>
      </w:r>
    </w:p>
    <w:p w14:paraId="5B6D87A4">
      <w:pPr>
        <w:spacing w:line="500" w:lineRule="exact"/>
        <w:ind w:firstLine="482"/>
        <w:jc w:val="both"/>
        <w:rPr>
          <w:rFonts w:hint="eastAsia" w:ascii="Times New Roman" w:hAnsi="Times New Roman" w:cs="Times New Roman"/>
        </w:rPr>
      </w:pPr>
      <w:r>
        <w:rPr>
          <w:rFonts w:hint="eastAsia" w:ascii="Times New Roman" w:hAnsi="Times New Roman" w:cs="Times New Roman"/>
        </w:rPr>
        <w:t xml:space="preserve">技改项目固体废物分为一般工业固废、危险废物。一般工业固废主要有除尘灰、除尘灰浆、脱硫灰、废布袋，危险废物为废矿物油和脱硝废催化剂。 </w:t>
      </w:r>
    </w:p>
    <w:p w14:paraId="6E70CAA6">
      <w:pPr>
        <w:spacing w:line="500" w:lineRule="exact"/>
        <w:ind w:firstLine="482"/>
        <w:jc w:val="both"/>
        <w:rPr>
          <w:rFonts w:hint="eastAsia" w:ascii="Times New Roman" w:hAnsi="Times New Roman" w:cs="Times New Roman"/>
        </w:rPr>
      </w:pPr>
      <w:r>
        <w:rPr>
          <w:rFonts w:hint="eastAsia" w:ascii="Times New Roman" w:hAnsi="Times New Roman" w:cs="Times New Roman"/>
        </w:rPr>
        <w:t xml:space="preserve">技改项目机头除尘系统、机尾除尘系统、环境除尘系统及配料除尘系统产生除尘灰，混合室除灰系统产生除尘灰浆，经收集回收后返炉利用，不排放。 </w:t>
      </w:r>
    </w:p>
    <w:p w14:paraId="56C44832">
      <w:pPr>
        <w:spacing w:line="500" w:lineRule="exact"/>
        <w:ind w:firstLine="482"/>
        <w:jc w:val="both"/>
        <w:rPr>
          <w:rFonts w:hint="eastAsia" w:ascii="Times New Roman" w:hAnsi="Times New Roman" w:cs="Times New Roman"/>
        </w:rPr>
      </w:pPr>
      <w:r>
        <w:rPr>
          <w:rFonts w:hint="eastAsia" w:ascii="Times New Roman" w:hAnsi="Times New Roman" w:cs="Times New Roman"/>
        </w:rPr>
        <w:t xml:space="preserve">机头脱硫渣脱水后外售。 </w:t>
      </w:r>
    </w:p>
    <w:p w14:paraId="6D0124F7">
      <w:pPr>
        <w:spacing w:line="500" w:lineRule="exact"/>
        <w:ind w:firstLine="482"/>
        <w:jc w:val="both"/>
        <w:rPr>
          <w:rFonts w:hint="eastAsia" w:ascii="Times New Roman" w:hAnsi="Times New Roman" w:cs="Times New Roman"/>
        </w:rPr>
      </w:pPr>
      <w:r>
        <w:rPr>
          <w:rFonts w:hint="eastAsia" w:ascii="Times New Roman" w:hAnsi="Times New Roman" w:cs="Times New Roman"/>
        </w:rPr>
        <w:t xml:space="preserve">袋式除尘器布袋需要定期更换，定期外售综合利用。 </w:t>
      </w:r>
    </w:p>
    <w:p w14:paraId="2A280A20">
      <w:pPr>
        <w:spacing w:line="500" w:lineRule="exact"/>
        <w:ind w:firstLine="482"/>
        <w:jc w:val="both"/>
        <w:rPr>
          <w:rFonts w:hint="eastAsia" w:ascii="Times New Roman" w:hAnsi="Times New Roman" w:cs="Times New Roman"/>
        </w:rPr>
      </w:pPr>
      <w:r>
        <w:rPr>
          <w:rFonts w:hint="eastAsia" w:ascii="Times New Roman" w:hAnsi="Times New Roman" w:cs="Times New Roman"/>
        </w:rPr>
        <w:t>企业设备维护产生少量废</w:t>
      </w:r>
      <w:r>
        <w:rPr>
          <w:rFonts w:hint="eastAsia" w:ascii="Times New Roman" w:hAnsi="Times New Roman" w:cs="Times New Roman"/>
          <w:lang w:val="en-US" w:eastAsia="zh-CN"/>
        </w:rPr>
        <w:t>机</w:t>
      </w:r>
      <w:r>
        <w:rPr>
          <w:rFonts w:hint="eastAsia" w:ascii="Times New Roman" w:hAnsi="Times New Roman" w:cs="Times New Roman"/>
        </w:rPr>
        <w:t>油，</w:t>
      </w:r>
      <w:r>
        <w:rPr>
          <w:rFonts w:hint="eastAsia" w:ascii="Times New Roman" w:hAnsi="Times New Roman" w:cs="Times New Roman"/>
          <w:lang w:val="en-US" w:eastAsia="zh-CN"/>
        </w:rPr>
        <w:t>废机油桶</w:t>
      </w:r>
      <w:r>
        <w:rPr>
          <w:rFonts w:hint="eastAsia" w:ascii="Times New Roman" w:hAnsi="Times New Roman" w:cs="Times New Roman"/>
        </w:rPr>
        <w:t xml:space="preserve">类委托有资质单位处理。 </w:t>
      </w:r>
    </w:p>
    <w:p w14:paraId="6EF3D977">
      <w:pPr>
        <w:spacing w:line="500" w:lineRule="exact"/>
        <w:ind w:firstLine="482"/>
        <w:jc w:val="both"/>
        <w:rPr>
          <w:rFonts w:hint="eastAsia" w:ascii="Times New Roman" w:hAnsi="Times New Roman" w:cs="Times New Roman"/>
        </w:rPr>
      </w:pPr>
      <w:r>
        <w:rPr>
          <w:rFonts w:hint="eastAsia" w:ascii="Times New Roman" w:hAnsi="Times New Roman" w:cs="Times New Roman"/>
        </w:rPr>
        <w:t xml:space="preserve">项目产生的废催化剂主要是烧结烟气脱硝过程中产生的废钒钛系催化剂，催化剂每3 年更换一次，更换后委托有资质的单位处理。 </w:t>
      </w:r>
      <w:r>
        <w:rPr>
          <w:rFonts w:ascii="Times New Roman" w:hAnsi="Times New Roman" w:cs="Times New Roman"/>
        </w:rPr>
        <w:t>。</w:t>
      </w:r>
    </w:p>
    <w:p w14:paraId="21CDE00E">
      <w:pPr>
        <w:spacing w:line="500" w:lineRule="exact"/>
        <w:ind w:firstLine="482"/>
        <w:jc w:val="both"/>
        <w:rPr>
          <w:rFonts w:hint="eastAsia" w:ascii="Times New Roman" w:hAnsi="Times New Roman" w:cs="Times New Roman"/>
        </w:rPr>
      </w:pPr>
      <w:r>
        <w:rPr>
          <w:rFonts w:hint="eastAsia" w:ascii="Times New Roman" w:hAnsi="Times New Roman" w:cs="Times New Roman"/>
        </w:rPr>
        <w:t>综上，本项目投产后产生的各类固体废物均可得到有效处理或处置。</w:t>
      </w:r>
    </w:p>
    <w:p w14:paraId="4F2E67E2">
      <w:pPr>
        <w:adjustRightInd w:val="0"/>
        <w:snapToGrid w:val="0"/>
        <w:spacing w:line="500" w:lineRule="exact"/>
        <w:ind w:firstLine="482" w:firstLineChars="200"/>
        <w:rPr>
          <w:rFonts w:ascii="Times New Roman" w:hAnsi="Times New Roman" w:cs="Times New Roman"/>
          <w:b/>
        </w:rPr>
      </w:pPr>
      <w:r>
        <w:rPr>
          <w:rFonts w:ascii="Times New Roman" w:hAnsi="Times New Roman" w:cs="Times New Roman"/>
          <w:b/>
        </w:rPr>
        <w:t>（4）噪声</w:t>
      </w:r>
    </w:p>
    <w:p w14:paraId="7E52D007">
      <w:pPr>
        <w:adjustRightInd w:val="0"/>
        <w:snapToGrid w:val="0"/>
        <w:spacing w:line="500" w:lineRule="exact"/>
        <w:ind w:firstLine="480" w:firstLineChars="200"/>
        <w:rPr>
          <w:rFonts w:ascii="Times New Roman" w:hAnsi="Times New Roman" w:eastAsia="方正书宋简体" w:cs="Times New Roman"/>
        </w:rPr>
      </w:pPr>
      <w:r>
        <w:rPr>
          <w:rFonts w:hint="eastAsia" w:ascii="Times New Roman" w:hAnsi="Times New Roman" w:cs="Times New Roman"/>
        </w:rPr>
        <w:t>本</w:t>
      </w:r>
      <w:r>
        <w:rPr>
          <w:rFonts w:ascii="Times New Roman" w:hAnsi="Times New Roman" w:cs="Times New Roman"/>
        </w:rPr>
        <w:t>项目营运过程中噪声源主要为</w:t>
      </w:r>
      <w:r>
        <w:rPr>
          <w:rFonts w:hint="eastAsia" w:ascii="Times New Roman" w:hAnsi="Times New Roman" w:cs="Times New Roman"/>
        </w:rPr>
        <w:t>生产设备噪声及真空泵等辅助设备噪声</w:t>
      </w:r>
      <w:r>
        <w:rPr>
          <w:rFonts w:ascii="Times New Roman" w:hAnsi="Times New Roman" w:cs="Times New Roman"/>
        </w:rPr>
        <w:t>，设备选型均选用同类产品中低噪声设备，对于强噪声源采取车间隔声、减振基础等治理措施，</w:t>
      </w:r>
      <w:r>
        <w:rPr>
          <w:rFonts w:ascii="Times New Roman" w:hAnsi="Times New Roman" w:eastAsia="方正书宋简体" w:cs="Times New Roman"/>
        </w:rPr>
        <w:t>可以满足</w:t>
      </w:r>
      <w:r>
        <w:rPr>
          <w:rFonts w:hint="eastAsia" w:ascii="Times New Roman" w:hAnsi="Times New Roman" w:cs="Times New Roman"/>
        </w:rPr>
        <w:t>本项目厂界东侧，西侧，北侧噪声值满足《工业企业厂界环境噪声排放标准(GB12348-2008)》中2类标准(2类：昼间60dB(A)，夜间50dB(A))要求。厂界南侧噪声值满足《工业企业厂界环境噪声排放标准(GB12348-2008)》中4类标准(4类：昼间70dB(A)，夜间55dB(A))要求</w:t>
      </w:r>
      <w:r>
        <w:rPr>
          <w:rFonts w:ascii="Times New Roman" w:hAnsi="Times New Roman" w:cs="Times New Roman"/>
        </w:rPr>
        <w:t>。</w:t>
      </w:r>
    </w:p>
    <w:p w14:paraId="15132BDC">
      <w:pPr>
        <w:pStyle w:val="6"/>
      </w:pPr>
      <w:bookmarkStart w:id="715" w:name="_Toc90026167"/>
      <w:bookmarkStart w:id="716" w:name="_Toc27659034"/>
      <w:bookmarkStart w:id="717" w:name="_Toc12746"/>
      <w:r>
        <w:rPr>
          <w:rFonts w:hint="eastAsia"/>
        </w:rPr>
        <w:t>10</w:t>
      </w:r>
      <w:r>
        <w:t>.4 环境影响预测评价结论</w:t>
      </w:r>
      <w:bookmarkEnd w:id="715"/>
      <w:bookmarkEnd w:id="716"/>
      <w:bookmarkEnd w:id="717"/>
    </w:p>
    <w:p w14:paraId="1747D24A">
      <w:pPr>
        <w:spacing w:line="500" w:lineRule="exact"/>
        <w:ind w:firstLine="482"/>
        <w:jc w:val="both"/>
        <w:rPr>
          <w:rFonts w:ascii="Times New Roman" w:hAnsi="Times New Roman" w:cs="Times New Roman"/>
          <w:b/>
        </w:rPr>
      </w:pPr>
      <w:r>
        <w:rPr>
          <w:rFonts w:ascii="Times New Roman" w:hAnsi="Times New Roman" w:cs="Times New Roman"/>
          <w:b/>
        </w:rPr>
        <w:t>（1）大气环境影响预测与分析结论</w:t>
      </w:r>
    </w:p>
    <w:p w14:paraId="63115D83">
      <w:pPr>
        <w:adjustRightInd w:val="0"/>
        <w:spacing w:line="500" w:lineRule="exact"/>
        <w:ind w:firstLine="482"/>
        <w:jc w:val="both"/>
        <w:rPr>
          <w:rFonts w:hint="eastAsia" w:ascii="Times New Roman" w:hAnsi="Times New Roman" w:cs="Times New Roman"/>
        </w:rPr>
      </w:pPr>
      <w:r>
        <w:rPr>
          <w:rFonts w:hint="eastAsia" w:ascii="Times New Roman" w:hAnsi="Times New Roman" w:cs="Times New Roman"/>
        </w:rPr>
        <w:t>在正常排放条件下，各新增污染源在评价区域内短期贡献值和长期贡献值的最大浓度均达标，污染物短期浓度贡献值最大占标率小于34%，污染物年均浓度贡献值最大占标率小于2%，环境影响可接受。</w:t>
      </w:r>
    </w:p>
    <w:p w14:paraId="4893B4DA">
      <w:pPr>
        <w:adjustRightInd w:val="0"/>
        <w:spacing w:line="500" w:lineRule="exact"/>
        <w:ind w:firstLine="482"/>
        <w:jc w:val="both"/>
        <w:rPr>
          <w:rFonts w:hint="eastAsia" w:ascii="Times New Roman" w:hAnsi="Times New Roman" w:cs="Times New Roman"/>
        </w:rPr>
      </w:pPr>
      <w:r>
        <w:rPr>
          <w:rFonts w:hint="eastAsia" w:ascii="Times New Roman" w:hAnsi="Times New Roman" w:cs="Times New Roman"/>
        </w:rPr>
        <w:t>根据预测结果，各污染因子叠加现状值、“以新带老”项目后短期浓度和长期浓度均能满足环境质量标准要求。</w:t>
      </w:r>
    </w:p>
    <w:p w14:paraId="378FC9F4">
      <w:pPr>
        <w:adjustRightInd w:val="0"/>
        <w:spacing w:line="500" w:lineRule="exact"/>
        <w:ind w:firstLine="482"/>
        <w:jc w:val="both"/>
        <w:rPr>
          <w:rFonts w:hint="eastAsia" w:ascii="Times New Roman" w:hAnsi="Times New Roman" w:cs="Times New Roman"/>
        </w:rPr>
      </w:pPr>
      <w:r>
        <w:rPr>
          <w:rFonts w:hint="eastAsia" w:ascii="Times New Roman" w:hAnsi="Times New Roman" w:cs="Times New Roman"/>
        </w:rPr>
        <w:t>在非正常排放条件下，预测因子在评价区域内和扩散到各敏感点处的最大落地浓度1h贡献值满足相应的环境空气质量标准。</w:t>
      </w:r>
    </w:p>
    <w:p w14:paraId="75D15953">
      <w:pPr>
        <w:adjustRightInd w:val="0"/>
        <w:spacing w:line="500" w:lineRule="exact"/>
        <w:ind w:firstLine="482"/>
        <w:jc w:val="both"/>
        <w:rPr>
          <w:rFonts w:hint="eastAsia" w:ascii="Times New Roman" w:hAnsi="Times New Roman" w:cs="Times New Roman"/>
        </w:rPr>
      </w:pPr>
      <w:r>
        <w:rPr>
          <w:rFonts w:hint="eastAsia" w:ascii="Times New Roman" w:hAnsi="Times New Roman" w:cs="Times New Roman"/>
        </w:rPr>
        <w:t>本项目无组织排放颗粒物在周界外10m范围内的最高浓度为0.0773 mg/m</w:t>
      </w:r>
      <w:r>
        <w:rPr>
          <w:rFonts w:hint="eastAsia" w:ascii="Times New Roman" w:hAnsi="Times New Roman" w:cs="Times New Roman"/>
          <w:vertAlign w:val="superscript"/>
        </w:rPr>
        <w:t>3</w:t>
      </w:r>
      <w:r>
        <w:rPr>
          <w:rFonts w:hint="eastAsia" w:ascii="Times New Roman" w:hAnsi="Times New Roman" w:cs="Times New Roman"/>
        </w:rPr>
        <w:t>，满足《钢铁工业大气污染物排放标准》（DB21/4119-2025）表2“颗粒物无组织排放监控浓度限值”，本项目无组织排放氨气在周界外10m范围内的最高浓度为0.00705mg/m</w:t>
      </w:r>
      <w:r>
        <w:rPr>
          <w:rFonts w:hint="eastAsia" w:ascii="Times New Roman" w:hAnsi="Times New Roman" w:cs="Times New Roman"/>
          <w:vertAlign w:val="superscript"/>
        </w:rPr>
        <w:t>3</w:t>
      </w:r>
      <w:r>
        <w:rPr>
          <w:rFonts w:hint="eastAsia" w:ascii="Times New Roman" w:hAnsi="Times New Roman" w:cs="Times New Roman"/>
        </w:rPr>
        <w:t>，满足《钢铁工业大气污染物排放标准》（DB21/4119-2025）表3“企业边界无组织排放监控浓度限值”，均能够达标排放。</w:t>
      </w:r>
    </w:p>
    <w:p w14:paraId="554B3B9E">
      <w:pPr>
        <w:adjustRightInd w:val="0"/>
        <w:spacing w:line="500" w:lineRule="exact"/>
        <w:ind w:firstLine="482"/>
        <w:rPr>
          <w:rFonts w:hint="eastAsia" w:ascii="Times New Roman" w:hAnsi="Times New Roman" w:cs="Times New Roman"/>
          <w:color w:val="000000" w:themeColor="text1"/>
          <w14:textFill>
            <w14:solidFill>
              <w14:schemeClr w14:val="tx1"/>
            </w14:solidFill>
          </w14:textFill>
        </w:rPr>
      </w:pPr>
      <w:r>
        <w:rPr>
          <w:rFonts w:hint="eastAsia" w:ascii="Times New Roman" w:hAnsi="Times New Roman" w:cs="Times New Roman"/>
          <w:color w:val="000000" w:themeColor="text1"/>
          <w14:textFill>
            <w14:solidFill>
              <w14:schemeClr w14:val="tx1"/>
            </w14:solidFill>
          </w14:textFill>
        </w:rPr>
        <w:t>本项目生产过程中废气在厂界未出现超标点，因此，本项目不需设置大气环境防护距离。</w:t>
      </w:r>
    </w:p>
    <w:p w14:paraId="4D81E9CD">
      <w:pPr>
        <w:spacing w:line="500" w:lineRule="exact"/>
        <w:ind w:firstLine="480"/>
        <w:rPr>
          <w:rFonts w:ascii="Times New Roman" w:hAnsi="Times New Roman" w:cs="Times New Roman"/>
          <w:b/>
        </w:rPr>
      </w:pPr>
      <w:r>
        <w:rPr>
          <w:rFonts w:ascii="Times New Roman" w:hAnsi="Times New Roman" w:cs="Times New Roman"/>
          <w:b/>
        </w:rPr>
        <w:t>（2）噪声环境影响预测与分析结论</w:t>
      </w:r>
    </w:p>
    <w:p w14:paraId="331E8D73">
      <w:pPr>
        <w:pStyle w:val="129"/>
        <w:spacing w:line="500" w:lineRule="exact"/>
        <w:ind w:firstLine="480"/>
        <w:jc w:val="both"/>
        <w:rPr>
          <w:lang w:val="en-US" w:eastAsia="zh-CN"/>
        </w:rPr>
      </w:pPr>
      <w:r>
        <w:rPr>
          <w:lang w:val="en-US"/>
        </w:rPr>
        <w:t>由预测结果可知，本项目采取相应隔声、消声等一系列措施后，噪声传播到各厂界处</w:t>
      </w:r>
      <w:r>
        <w:rPr>
          <w:rFonts w:hint="eastAsia"/>
          <w:lang w:val="en-US" w:eastAsia="zh-CN"/>
        </w:rPr>
        <w:t>，</w:t>
      </w:r>
      <w:r>
        <w:t>。</w:t>
      </w:r>
    </w:p>
    <w:p w14:paraId="52686C54">
      <w:pPr>
        <w:spacing w:line="500" w:lineRule="exact"/>
        <w:ind w:firstLine="482" w:firstLineChars="200"/>
        <w:rPr>
          <w:rFonts w:ascii="Times New Roman" w:hAnsi="Times New Roman" w:cs="Times New Roman"/>
          <w:b/>
        </w:rPr>
      </w:pPr>
      <w:r>
        <w:rPr>
          <w:rFonts w:ascii="Times New Roman" w:hAnsi="Times New Roman" w:cs="Times New Roman"/>
          <w:b/>
        </w:rPr>
        <w:t>（3）水环境影响分析结论</w:t>
      </w:r>
    </w:p>
    <w:p w14:paraId="5474485C">
      <w:pPr>
        <w:spacing w:line="500" w:lineRule="exact"/>
        <w:ind w:firstLine="480" w:firstLineChars="200"/>
        <w:jc w:val="both"/>
        <w:rPr>
          <w:rFonts w:hint="eastAsia" w:ascii="Times New Roman" w:hAnsi="Times New Roman" w:cs="Times New Roman"/>
        </w:rPr>
      </w:pPr>
      <w:r>
        <w:rPr>
          <w:rFonts w:hint="eastAsia" w:ascii="Times New Roman" w:hAnsi="Times New Roman" w:cs="Times New Roman"/>
        </w:rPr>
        <w:t>本项目不新增劳动定员，不新增生活污水；生产废水主要为间接冷却水排污水，用于高炉冲渣，不外排。脱硫废水循环使用。因此本项目无废水外排。</w:t>
      </w:r>
    </w:p>
    <w:p w14:paraId="3E1391E4">
      <w:pPr>
        <w:spacing w:line="500" w:lineRule="exact"/>
        <w:ind w:right="6" w:firstLine="480" w:firstLineChars="200"/>
        <w:jc w:val="both"/>
        <w:rPr>
          <w:rFonts w:ascii="Times New Roman" w:hAnsi="Times New Roman" w:cs="Times New Roman"/>
        </w:rPr>
      </w:pPr>
      <w:r>
        <w:rPr>
          <w:rFonts w:hint="eastAsia" w:ascii="Times New Roman" w:hAnsi="Times New Roman" w:cs="Times New Roman"/>
        </w:rPr>
        <w:t>综上，本项目</w:t>
      </w:r>
      <w:r>
        <w:rPr>
          <w:rFonts w:ascii="Times New Roman" w:hAnsi="Times New Roman" w:cs="Times New Roman"/>
          <w:bCs/>
        </w:rPr>
        <w:t>对区域地表水环境影响较小</w:t>
      </w:r>
      <w:r>
        <w:rPr>
          <w:rFonts w:hint="eastAsia" w:ascii="Times New Roman" w:hAnsi="Times New Roman" w:cs="Times New Roman"/>
        </w:rPr>
        <w:t>。</w:t>
      </w:r>
    </w:p>
    <w:p w14:paraId="32E594A2">
      <w:pPr>
        <w:spacing w:line="500" w:lineRule="exact"/>
        <w:ind w:right="6" w:firstLine="482" w:firstLineChars="200"/>
        <w:rPr>
          <w:rFonts w:ascii="Times New Roman" w:hAnsi="Times New Roman" w:cs="Times New Roman"/>
          <w:b/>
        </w:rPr>
      </w:pPr>
      <w:r>
        <w:rPr>
          <w:rFonts w:ascii="Times New Roman" w:hAnsi="Times New Roman" w:cs="Times New Roman"/>
          <w:b/>
        </w:rPr>
        <w:t>（4）地下水环境影响分析结论</w:t>
      </w:r>
    </w:p>
    <w:p w14:paraId="4259AD40">
      <w:pPr>
        <w:spacing w:line="500" w:lineRule="exact"/>
        <w:ind w:right="6" w:firstLine="480" w:firstLineChars="200"/>
        <w:jc w:val="both"/>
        <w:rPr>
          <w:rFonts w:ascii="Times New Roman" w:hAnsi="Times New Roman" w:cs="Times New Roman"/>
          <w:bCs/>
        </w:rPr>
      </w:pPr>
      <w:r>
        <w:rPr>
          <w:rFonts w:ascii="Times New Roman" w:hAnsi="Times New Roman" w:cs="Times New Roman"/>
          <w:bCs/>
        </w:rPr>
        <w:t>本项目为Ⅳ类项目，在运营期正常状况下对地下水环境影响较小。</w:t>
      </w:r>
    </w:p>
    <w:p w14:paraId="05C83E3A">
      <w:pPr>
        <w:adjustRightInd w:val="0"/>
        <w:spacing w:line="500" w:lineRule="exact"/>
        <w:ind w:firstLine="480" w:firstLineChars="200"/>
        <w:jc w:val="both"/>
        <w:rPr>
          <w:rFonts w:ascii="Times New Roman" w:hAnsi="Times New Roman" w:cs="Times New Roman"/>
        </w:rPr>
      </w:pPr>
      <w:r>
        <w:rPr>
          <w:rFonts w:ascii="Times New Roman" w:hAnsi="Times New Roman" w:cs="Times New Roman"/>
        </w:rPr>
        <w:t>本项目实施后，建设单位应进行地下水污染防治工作，定期维护防渗系统。</w:t>
      </w:r>
    </w:p>
    <w:p w14:paraId="3258815C">
      <w:pPr>
        <w:spacing w:line="500" w:lineRule="exact"/>
        <w:ind w:right="6" w:firstLine="482" w:firstLineChars="200"/>
        <w:rPr>
          <w:rFonts w:ascii="Times New Roman" w:hAnsi="Times New Roman" w:cs="Times New Roman"/>
          <w:b/>
        </w:rPr>
      </w:pPr>
      <w:r>
        <w:rPr>
          <w:rFonts w:ascii="Times New Roman" w:hAnsi="Times New Roman" w:cs="Times New Roman"/>
          <w:b/>
        </w:rPr>
        <w:t>（4）固体废物影响分析结论</w:t>
      </w:r>
    </w:p>
    <w:p w14:paraId="65B0DCE5">
      <w:pPr>
        <w:adjustRightInd w:val="0"/>
        <w:spacing w:line="500" w:lineRule="exact"/>
        <w:ind w:firstLine="480" w:firstLineChars="200"/>
        <w:rPr>
          <w:rFonts w:ascii="Times New Roman" w:hAnsi="Times New Roman" w:eastAsia="方正书宋简体" w:cs="Times New Roman"/>
        </w:rPr>
      </w:pPr>
      <w:r>
        <w:rPr>
          <w:rFonts w:ascii="Times New Roman" w:hAnsi="Times New Roman" w:eastAsia="方正书宋简体" w:cs="Times New Roman"/>
        </w:rPr>
        <w:t>本项目投产后产生的各类一般工业固废、危险废物均可得到有效处理或处置，基本不会对周围环境产生影响。</w:t>
      </w:r>
    </w:p>
    <w:p w14:paraId="67A7A088">
      <w:pPr>
        <w:adjustRightInd w:val="0"/>
        <w:spacing w:line="500" w:lineRule="exact"/>
        <w:ind w:firstLine="482" w:firstLineChars="200"/>
        <w:rPr>
          <w:rFonts w:ascii="Times New Roman" w:hAnsi="Times New Roman" w:eastAsia="方正书宋简体" w:cs="Times New Roman"/>
          <w:b/>
        </w:rPr>
      </w:pPr>
      <w:r>
        <w:rPr>
          <w:rFonts w:ascii="Times New Roman" w:hAnsi="Times New Roman" w:eastAsia="方正书宋简体" w:cs="Times New Roman"/>
          <w:b/>
        </w:rPr>
        <w:t>（5）土壤环境影响分析结论</w:t>
      </w:r>
    </w:p>
    <w:p w14:paraId="65FA9BAF">
      <w:pPr>
        <w:spacing w:line="500" w:lineRule="exact"/>
        <w:ind w:firstLine="480" w:firstLineChars="200"/>
        <w:rPr>
          <w:rFonts w:hint="eastAsia" w:ascii="Times New Roman" w:hAnsi="Times New Roman" w:cs="Times New Roman"/>
        </w:rPr>
      </w:pPr>
      <w:r>
        <w:rPr>
          <w:rFonts w:hint="eastAsia" w:ascii="Times New Roman" w:hAnsi="Times New Roman" w:cs="Times New Roman"/>
        </w:rPr>
        <w:t>无组织排放的氨气不会全部沉降到土壤中，沉降到土壤中的氨氮会作为养分被植物根系吸收利用，残留在土壤环境中的氨氮污染物会被硝化细菌逐步转化为硝态氮，同时还存在氨挥发作用，因此在多种作用下土壤中氨氮含量会随时间的推移而逐渐减少。因此，可对土壤保持长期监测，若出现显著上升趋势或超标，可采取相关措施进行管控，总体上大气沉降氨氮污染物对评价范围内土壤环境影响可接受。</w:t>
      </w:r>
    </w:p>
    <w:p w14:paraId="3FFEED77">
      <w:pPr>
        <w:spacing w:line="500" w:lineRule="exact"/>
        <w:ind w:firstLine="480" w:firstLineChars="200"/>
        <w:rPr>
          <w:rFonts w:hint="eastAsia" w:ascii="Times New Roman" w:hAnsi="Times New Roman" w:cs="Times New Roman"/>
        </w:rPr>
      </w:pPr>
      <w:r>
        <w:rPr>
          <w:rFonts w:hint="eastAsia" w:ascii="Times New Roman" w:hAnsi="Times New Roman" w:cs="Times New Roman"/>
        </w:rPr>
        <w:t>综上</w:t>
      </w:r>
      <w:r>
        <w:rPr>
          <w:rFonts w:ascii="Times New Roman" w:hAnsi="Times New Roman" w:cs="Times New Roman"/>
        </w:rPr>
        <w:t>，</w:t>
      </w:r>
      <w:r>
        <w:rPr>
          <w:rFonts w:hint="eastAsia" w:ascii="Times New Roman" w:hAnsi="Times New Roman" w:cs="Times New Roman"/>
        </w:rPr>
        <w:t>正常工况下</w:t>
      </w:r>
      <w:r>
        <w:rPr>
          <w:rFonts w:ascii="Times New Roman" w:hAnsi="Times New Roman" w:cs="Times New Roman"/>
        </w:rPr>
        <w:t>本项目</w:t>
      </w:r>
      <w:r>
        <w:rPr>
          <w:rFonts w:hint="eastAsia" w:ascii="Times New Roman" w:hAnsi="Times New Roman" w:cs="Times New Roman"/>
        </w:rPr>
        <w:t>基本不会对</w:t>
      </w:r>
      <w:r>
        <w:rPr>
          <w:rFonts w:ascii="Times New Roman" w:hAnsi="Times New Roman" w:cs="Times New Roman"/>
        </w:rPr>
        <w:t>土壤环境</w:t>
      </w:r>
      <w:r>
        <w:rPr>
          <w:rFonts w:hint="eastAsia" w:ascii="Times New Roman" w:hAnsi="Times New Roman" w:cs="Times New Roman"/>
        </w:rPr>
        <w:t>产生</w:t>
      </w:r>
      <w:r>
        <w:rPr>
          <w:rFonts w:ascii="Times New Roman" w:hAnsi="Times New Roman" w:cs="Times New Roman"/>
        </w:rPr>
        <w:t>影响。</w:t>
      </w:r>
    </w:p>
    <w:p w14:paraId="295FE5DA">
      <w:pPr>
        <w:spacing w:line="500" w:lineRule="exact"/>
        <w:ind w:firstLine="482" w:firstLineChars="200"/>
        <w:rPr>
          <w:rFonts w:ascii="Times New Roman" w:hAnsi="Times New Roman" w:cs="Times New Roman"/>
          <w:b/>
        </w:rPr>
      </w:pPr>
      <w:r>
        <w:rPr>
          <w:rFonts w:ascii="Times New Roman" w:hAnsi="Times New Roman" w:cs="Times New Roman"/>
          <w:b/>
        </w:rPr>
        <w:t>（6）生态环境影响分析结论</w:t>
      </w:r>
    </w:p>
    <w:p w14:paraId="4D90BEFC">
      <w:pPr>
        <w:spacing w:line="500" w:lineRule="exact"/>
        <w:ind w:firstLine="480" w:firstLineChars="200"/>
        <w:rPr>
          <w:rFonts w:ascii="Times New Roman" w:hAnsi="Times New Roman" w:cs="Times New Roman"/>
        </w:rPr>
      </w:pPr>
      <w:r>
        <w:rPr>
          <w:rFonts w:ascii="Times New Roman" w:hAnsi="Times New Roman" w:cs="Times New Roman"/>
        </w:rPr>
        <w:t>本项目用地位于</w:t>
      </w:r>
      <w:r>
        <w:rPr>
          <w:rFonts w:hint="eastAsia" w:ascii="Times New Roman" w:hAnsi="Times New Roman" w:cs="Times New Roman"/>
          <w:lang w:eastAsia="zh-CN"/>
        </w:rPr>
        <w:t>本溪玉麒麟新材料有限公司</w:t>
      </w:r>
      <w:r>
        <w:rPr>
          <w:rFonts w:hint="eastAsia" w:ascii="Times New Roman" w:hAnsi="Times New Roman" w:cs="Times New Roman"/>
        </w:rPr>
        <w:t>现有厂区内，</w:t>
      </w:r>
      <w:r>
        <w:rPr>
          <w:rFonts w:ascii="Times New Roman" w:hAnsi="Times New Roman" w:cs="Times New Roman"/>
        </w:rPr>
        <w:t>占地类型为工业用地。</w:t>
      </w:r>
      <w:r>
        <w:rPr>
          <w:rFonts w:hint="eastAsia" w:ascii="Times New Roman" w:hAnsi="Times New Roman" w:cs="Times New Roman"/>
        </w:rPr>
        <w:t>本项目利用原有工业用地，不改变土地原有使用功能，</w:t>
      </w:r>
      <w:r>
        <w:rPr>
          <w:rFonts w:ascii="Times New Roman" w:hAnsi="Times New Roman" w:cs="Times New Roman"/>
        </w:rPr>
        <w:t>不涉及自然保护区、风景名胜区、森林公园、地质公园等生态敏感区，且占地范围内无需要特殊保护的野生动植物。</w:t>
      </w:r>
      <w:r>
        <w:rPr>
          <w:rFonts w:hint="eastAsia" w:ascii="Times New Roman" w:hAnsi="Times New Roman" w:cs="Times New Roman"/>
        </w:rPr>
        <w:t>因此本项目实施后，不会对周围生态环境产生明显影响</w:t>
      </w:r>
      <w:r>
        <w:rPr>
          <w:rFonts w:ascii="Times New Roman" w:hAnsi="Times New Roman" w:cs="Times New Roman"/>
        </w:rPr>
        <w:t>。</w:t>
      </w:r>
    </w:p>
    <w:p w14:paraId="37A7F2D0">
      <w:pPr>
        <w:pStyle w:val="6"/>
      </w:pPr>
      <w:bookmarkStart w:id="718" w:name="_Toc27659035"/>
      <w:bookmarkStart w:id="719" w:name="_Toc90026168"/>
      <w:bookmarkStart w:id="720" w:name="_Toc19961"/>
      <w:r>
        <w:rPr>
          <w:rFonts w:hint="eastAsia"/>
        </w:rPr>
        <w:t>10</w:t>
      </w:r>
      <w:r>
        <w:t>.5 环保措施可行性结论</w:t>
      </w:r>
      <w:bookmarkEnd w:id="718"/>
      <w:bookmarkEnd w:id="719"/>
      <w:bookmarkEnd w:id="720"/>
    </w:p>
    <w:p w14:paraId="41584D29">
      <w:pPr>
        <w:spacing w:line="500" w:lineRule="exact"/>
        <w:ind w:firstLine="482"/>
        <w:rPr>
          <w:rFonts w:ascii="Times New Roman" w:hAnsi="Times New Roman" w:cs="Times New Roman"/>
          <w:b/>
        </w:rPr>
      </w:pPr>
      <w:r>
        <w:rPr>
          <w:rFonts w:ascii="Times New Roman" w:hAnsi="Times New Roman" w:cs="Times New Roman"/>
          <w:b/>
        </w:rPr>
        <w:t>（1）废气</w:t>
      </w:r>
    </w:p>
    <w:p w14:paraId="462B828A">
      <w:pPr>
        <w:spacing w:line="500" w:lineRule="exact"/>
        <w:ind w:firstLine="480" w:firstLineChars="200"/>
        <w:jc w:val="both"/>
        <w:rPr>
          <w:rFonts w:hint="eastAsia" w:ascii="Times New Roman" w:hAnsi="Times New Roman" w:cs="Times New Roman"/>
        </w:rPr>
      </w:pPr>
      <w:r>
        <w:rPr>
          <w:rFonts w:hint="eastAsia" w:ascii="Times New Roman" w:hAnsi="Times New Roman" w:cs="Times New Roman"/>
        </w:rPr>
        <w:t>项目有组织废气主要包括烧结机头烟气、</w:t>
      </w:r>
      <w:r>
        <w:rPr>
          <w:rFonts w:hint="eastAsia" w:ascii="Times New Roman" w:hAnsi="Times New Roman" w:cs="Times New Roman"/>
          <w:lang w:val="en-US" w:eastAsia="zh-CN"/>
        </w:rPr>
        <w:t>球团竖炉烟气采用</w:t>
      </w:r>
      <w:r>
        <w:rPr>
          <w:rFonts w:hint="eastAsia" w:ascii="Times New Roman" w:hAnsi="Times New Roman" w:cs="Times New Roman"/>
        </w:rPr>
        <w:t>电除尘器+</w:t>
      </w:r>
      <w:r>
        <w:rPr>
          <w:rFonts w:hint="eastAsia" w:ascii="Times New Roman" w:hAnsi="Times New Roman" w:cs="Times New Roman"/>
          <w:lang w:val="en-US" w:eastAsia="zh-CN"/>
        </w:rPr>
        <w:t>石灰石-石膏脱硫</w:t>
      </w:r>
      <w:r>
        <w:rPr>
          <w:rFonts w:hint="eastAsia" w:ascii="Times New Roman" w:hAnsi="Times New Roman" w:cs="Times New Roman"/>
        </w:rPr>
        <w:t>+SCR脱硝系统处理</w:t>
      </w:r>
      <w:r>
        <w:rPr>
          <w:rFonts w:hint="eastAsia" w:ascii="Times New Roman" w:hAnsi="Times New Roman" w:cs="Times New Roman"/>
          <w:lang w:eastAsia="zh-CN"/>
        </w:rPr>
        <w:t>，</w:t>
      </w:r>
      <w:r>
        <w:rPr>
          <w:rFonts w:hint="eastAsia" w:ascii="Times New Roman" w:hAnsi="Times New Roman" w:cs="Times New Roman"/>
        </w:rPr>
        <w:t>烧结机尾废气、配料室粉尘、混合粉尘、单辊破碎粉尘、成品仓废气采取袋式除尘器处理后分别高空排放，混合废气采用湿式除尘器处理</w:t>
      </w:r>
      <w:r>
        <w:rPr>
          <w:rFonts w:hint="eastAsia" w:ascii="Times New Roman" w:hAnsi="Times New Roman" w:cs="Times New Roman"/>
          <w:lang w:eastAsia="zh-CN"/>
        </w:rPr>
        <w:t>。</w:t>
      </w:r>
      <w:r>
        <w:rPr>
          <w:rFonts w:hint="eastAsia" w:ascii="Times New Roman" w:hAnsi="Times New Roman" w:cs="Times New Roman"/>
        </w:rPr>
        <w:t>本项目对照《关于推进实施钢铁行业超低排放的意见》（环大气【2019】35号）要求，</w:t>
      </w:r>
      <w:r>
        <w:rPr>
          <w:rFonts w:ascii="Times New Roman" w:hAnsi="Times New Roman" w:cs="Times New Roman"/>
        </w:rPr>
        <w:t>采取从原料贮存、输送、生产过程等全过程控制无组织排放，</w:t>
      </w:r>
      <w:r>
        <w:rPr>
          <w:rFonts w:hint="eastAsia" w:ascii="Times New Roman" w:hAnsi="Times New Roman" w:cs="Times New Roman"/>
        </w:rPr>
        <w:t>按</w:t>
      </w:r>
      <w:r>
        <w:rPr>
          <w:rFonts w:ascii="Times New Roman" w:hAnsi="Times New Roman" w:cs="Times New Roman"/>
        </w:rPr>
        <w:t>照超低排放要求进行设计，</w:t>
      </w:r>
      <w:r>
        <w:rPr>
          <w:rFonts w:hint="eastAsia" w:ascii="Times New Roman" w:hAnsi="Times New Roman" w:cs="Times New Roman"/>
        </w:rPr>
        <w:t>并要求企业通过加强环保管理进一步减少项目无组织废气的产生和排放。</w:t>
      </w:r>
    </w:p>
    <w:p w14:paraId="3B674919">
      <w:pPr>
        <w:spacing w:line="500" w:lineRule="exact"/>
        <w:ind w:firstLine="480" w:firstLineChars="200"/>
        <w:rPr>
          <w:rFonts w:ascii="Times New Roman" w:hAnsi="Times New Roman" w:cs="Times New Roman"/>
        </w:rPr>
      </w:pPr>
      <w:r>
        <w:rPr>
          <w:rFonts w:ascii="Times New Roman" w:hAnsi="Times New Roman" w:cs="Times New Roman"/>
        </w:rPr>
        <w:t>经工程分析和环境影响预测，各污染物的最大地面浓度及到周边敏感点处的地面浓度均能够满足相应环境质量标准，可以做到达标排放，拟采取的大气污染防治措施可行。</w:t>
      </w:r>
    </w:p>
    <w:p w14:paraId="77864575">
      <w:pPr>
        <w:spacing w:line="500" w:lineRule="exact"/>
        <w:ind w:firstLine="482" w:firstLineChars="200"/>
        <w:rPr>
          <w:rFonts w:ascii="Times New Roman" w:hAnsi="Times New Roman" w:cs="Times New Roman"/>
          <w:b/>
        </w:rPr>
      </w:pPr>
      <w:r>
        <w:rPr>
          <w:rFonts w:ascii="Times New Roman" w:hAnsi="Times New Roman" w:cs="Times New Roman"/>
          <w:b/>
        </w:rPr>
        <w:t>（2）废水</w:t>
      </w:r>
    </w:p>
    <w:p w14:paraId="57B40148">
      <w:pPr>
        <w:spacing w:line="500" w:lineRule="exact"/>
        <w:ind w:firstLine="480" w:firstLineChars="200"/>
        <w:jc w:val="both"/>
        <w:rPr>
          <w:rFonts w:hint="eastAsia" w:ascii="Times New Roman" w:hAnsi="Times New Roman" w:cs="Times New Roman"/>
        </w:rPr>
      </w:pPr>
      <w:r>
        <w:rPr>
          <w:rFonts w:hint="eastAsia" w:ascii="Times New Roman" w:hAnsi="Times New Roman" w:cs="Times New Roman"/>
        </w:rPr>
        <w:t>本项目不新增劳动定员，不新增生活污水；生产废水主要为间接冷却水排污水，用于高炉冲渣，不外排。脱硫废水循环使用。因此本项目无废水外排。</w:t>
      </w:r>
    </w:p>
    <w:p w14:paraId="06FCDDB0">
      <w:pPr>
        <w:spacing w:line="500" w:lineRule="exact"/>
        <w:ind w:firstLine="480" w:firstLineChars="200"/>
        <w:jc w:val="both"/>
        <w:rPr>
          <w:rFonts w:hint="eastAsia" w:ascii="Times New Roman" w:hAnsi="Times New Roman" w:cs="Times New Roman"/>
        </w:rPr>
      </w:pPr>
      <w:r>
        <w:rPr>
          <w:rFonts w:hint="eastAsia" w:ascii="Times New Roman" w:hAnsi="Times New Roman" w:cs="Times New Roman"/>
        </w:rPr>
        <w:t>综上，本项目废水全部回用不外排，</w:t>
      </w:r>
      <w:r>
        <w:rPr>
          <w:rFonts w:hint="eastAsia" w:ascii="Times New Roman" w:hAnsi="Times New Roman" w:cs="Times New Roman"/>
          <w:bCs/>
        </w:rPr>
        <w:t>废水污染防治措施可行</w:t>
      </w:r>
      <w:r>
        <w:rPr>
          <w:rFonts w:ascii="Times New Roman" w:hAnsi="Times New Roman" w:cs="Times New Roman"/>
          <w:bCs/>
        </w:rPr>
        <w:t>。</w:t>
      </w:r>
    </w:p>
    <w:p w14:paraId="14D75370">
      <w:pPr>
        <w:spacing w:line="500" w:lineRule="exact"/>
        <w:ind w:firstLine="480" w:firstLineChars="200"/>
        <w:rPr>
          <w:rFonts w:ascii="Times New Roman" w:hAnsi="Times New Roman" w:cs="Times New Roman"/>
        </w:rPr>
      </w:pPr>
      <w:r>
        <w:rPr>
          <w:rFonts w:ascii="Times New Roman" w:hAnsi="Times New Roman" w:cs="Times New Roman"/>
        </w:rPr>
        <w:t>地下水污染防治方面拟采取源头控制措施，确保地下水环境影响降至最低。</w:t>
      </w:r>
    </w:p>
    <w:p w14:paraId="47F19C79">
      <w:pPr>
        <w:spacing w:line="500" w:lineRule="exact"/>
        <w:ind w:firstLine="480"/>
        <w:rPr>
          <w:rFonts w:ascii="Times New Roman" w:hAnsi="Times New Roman" w:cs="Times New Roman"/>
          <w:b/>
        </w:rPr>
      </w:pPr>
      <w:r>
        <w:rPr>
          <w:rFonts w:ascii="Times New Roman" w:hAnsi="Times New Roman" w:cs="Times New Roman"/>
          <w:b/>
        </w:rPr>
        <w:t>（3）固体废物</w:t>
      </w:r>
    </w:p>
    <w:p w14:paraId="4A1E9760">
      <w:pPr>
        <w:spacing w:line="500" w:lineRule="exact"/>
        <w:ind w:firstLine="482"/>
        <w:rPr>
          <w:rFonts w:hint="eastAsia" w:ascii="Times New Roman" w:hAnsi="Times New Roman" w:cs="Times New Roman"/>
          <w:bCs/>
        </w:rPr>
      </w:pPr>
      <w:r>
        <w:rPr>
          <w:rFonts w:hint="eastAsia" w:ascii="Times New Roman" w:hAnsi="Times New Roman" w:cs="Times New Roman"/>
          <w:bCs/>
        </w:rPr>
        <w:t>除尘灰、除尘灰浆回收后返炉回用，脱硫灰</w:t>
      </w:r>
      <w:r>
        <w:rPr>
          <w:rFonts w:hint="eastAsia" w:ascii="Times New Roman" w:hAnsi="Times New Roman" w:cs="Times New Roman"/>
          <w:bCs/>
          <w:lang w:val="en-US" w:eastAsia="zh-CN"/>
        </w:rPr>
        <w:t>外售</w:t>
      </w:r>
      <w:r>
        <w:rPr>
          <w:rFonts w:hint="eastAsia" w:ascii="Times New Roman" w:hAnsi="Times New Roman" w:cs="Times New Roman"/>
          <w:bCs/>
        </w:rPr>
        <w:t>，废布袋外售综合利用。生活垃圾主要为职工日常生活和办公区产生，设置若干个垃圾桶进行收集，委托环卫部门统一清运。</w:t>
      </w:r>
    </w:p>
    <w:p w14:paraId="7C1D1540">
      <w:pPr>
        <w:spacing w:line="500" w:lineRule="exact"/>
        <w:ind w:firstLine="482"/>
        <w:rPr>
          <w:rFonts w:ascii="Times New Roman" w:hAnsi="Times New Roman" w:cs="Times New Roman"/>
          <w:bCs/>
        </w:rPr>
      </w:pPr>
      <w:r>
        <w:rPr>
          <w:rFonts w:hint="eastAsia" w:ascii="Times New Roman" w:hAnsi="Times New Roman" w:cs="Times New Roman"/>
          <w:bCs/>
        </w:rPr>
        <w:t>根据上述分析可知，技改项目产生的一般工业固废、危险废物可以得到有效的处理处置，对外环境影响较小。</w:t>
      </w:r>
    </w:p>
    <w:p w14:paraId="5B10297F">
      <w:pPr>
        <w:spacing w:line="500" w:lineRule="exact"/>
        <w:ind w:firstLine="480" w:firstLineChars="200"/>
        <w:jc w:val="both"/>
        <w:rPr>
          <w:rFonts w:ascii="Times New Roman" w:hAnsi="Times New Roman" w:cs="Times New Roman"/>
          <w:highlight w:val="none"/>
        </w:rPr>
      </w:pPr>
      <w:r>
        <w:rPr>
          <w:rFonts w:hint="eastAsia" w:ascii="Times New Roman" w:hAnsi="Times New Roman" w:cs="Times New Roman"/>
          <w:highlight w:val="none"/>
        </w:rPr>
        <w:t>厂</w:t>
      </w:r>
      <w:r>
        <w:rPr>
          <w:rFonts w:ascii="Times New Roman" w:hAnsi="Times New Roman" w:cs="Times New Roman"/>
          <w:highlight w:val="none"/>
        </w:rPr>
        <w:t>内设置一座</w:t>
      </w:r>
      <w:r>
        <w:rPr>
          <w:rFonts w:hint="eastAsia" w:ascii="Times New Roman" w:hAnsi="Times New Roman" w:cs="Times New Roman"/>
          <w:highlight w:val="none"/>
          <w:lang w:val="en-US" w:eastAsia="zh-CN"/>
        </w:rPr>
        <w:t>200</w:t>
      </w:r>
      <w:r>
        <w:rPr>
          <w:rFonts w:ascii="Times New Roman" w:hAnsi="Times New Roman" w:cs="Times New Roman"/>
          <w:highlight w:val="none"/>
        </w:rPr>
        <w:t>m</w:t>
      </w:r>
      <w:r>
        <w:rPr>
          <w:rFonts w:ascii="Times New Roman" w:hAnsi="Times New Roman" w:cs="Times New Roman"/>
          <w:highlight w:val="none"/>
          <w:vertAlign w:val="superscript"/>
        </w:rPr>
        <w:t>2</w:t>
      </w:r>
      <w:r>
        <w:rPr>
          <w:rFonts w:ascii="Times New Roman" w:hAnsi="Times New Roman" w:cs="Times New Roman"/>
          <w:highlight w:val="none"/>
        </w:rPr>
        <w:t>的</w:t>
      </w:r>
      <w:r>
        <w:rPr>
          <w:rFonts w:hint="eastAsia" w:ascii="Times New Roman" w:hAnsi="Times New Roman" w:cs="Times New Roman"/>
          <w:highlight w:val="none"/>
          <w:lang w:val="en-US" w:eastAsia="zh-CN"/>
        </w:rPr>
        <w:t>一般固体废物库</w:t>
      </w:r>
      <w:r>
        <w:rPr>
          <w:rFonts w:ascii="Times New Roman" w:hAnsi="Times New Roman" w:cs="Times New Roman"/>
          <w:highlight w:val="none"/>
        </w:rPr>
        <w:t>，</w:t>
      </w:r>
      <w:r>
        <w:rPr>
          <w:rFonts w:hint="eastAsia" w:ascii="Times New Roman" w:hAnsi="Times New Roman" w:cs="Times New Roman"/>
          <w:highlight w:val="none"/>
        </w:rPr>
        <w:t>用以</w:t>
      </w:r>
      <w:r>
        <w:rPr>
          <w:highlight w:val="none"/>
        </w:rPr>
        <w:t>脱硫灰</w:t>
      </w:r>
      <w:r>
        <w:rPr>
          <w:rFonts w:hint="eastAsia"/>
          <w:highlight w:val="none"/>
          <w:lang w:eastAsia="zh-CN"/>
        </w:rPr>
        <w:t>、</w:t>
      </w:r>
      <w:r>
        <w:rPr>
          <w:rFonts w:hint="eastAsia"/>
          <w:highlight w:val="none"/>
          <w:lang w:val="en-US" w:eastAsia="zh-CN"/>
        </w:rPr>
        <w:t>废布袋</w:t>
      </w:r>
      <w:r>
        <w:rPr>
          <w:rFonts w:hint="eastAsia" w:ascii="Times New Roman" w:hAnsi="Times New Roman" w:cs="Times New Roman"/>
          <w:highlight w:val="none"/>
        </w:rPr>
        <w:t>以及其他一般固体废物，本次环评要求建设单位按</w:t>
      </w:r>
      <w:r>
        <w:rPr>
          <w:rFonts w:ascii="Times New Roman" w:hAnsi="Times New Roman" w:cs="Times New Roman"/>
          <w:highlight w:val="none"/>
        </w:rPr>
        <w:t>《一般工业固体废物贮存</w:t>
      </w:r>
      <w:r>
        <w:rPr>
          <w:rFonts w:hint="eastAsia" w:ascii="Times New Roman" w:hAnsi="Times New Roman" w:cs="Times New Roman"/>
          <w:highlight w:val="none"/>
        </w:rPr>
        <w:t>和填埋</w:t>
      </w:r>
      <w:r>
        <w:rPr>
          <w:rFonts w:ascii="Times New Roman" w:hAnsi="Times New Roman" w:cs="Times New Roman"/>
          <w:highlight w:val="none"/>
        </w:rPr>
        <w:t>污染控制标准》（GB18599-20</w:t>
      </w:r>
      <w:r>
        <w:rPr>
          <w:rFonts w:hint="eastAsia" w:ascii="Times New Roman" w:hAnsi="Times New Roman" w:cs="Times New Roman"/>
          <w:highlight w:val="none"/>
        </w:rPr>
        <w:t>20</w:t>
      </w:r>
      <w:r>
        <w:rPr>
          <w:rFonts w:ascii="Times New Roman" w:hAnsi="Times New Roman" w:cs="Times New Roman"/>
          <w:highlight w:val="none"/>
        </w:rPr>
        <w:t>）</w:t>
      </w:r>
      <w:r>
        <w:rPr>
          <w:rFonts w:hint="eastAsia" w:ascii="Times New Roman" w:hAnsi="Times New Roman" w:cs="Times New Roman"/>
          <w:highlight w:val="none"/>
        </w:rPr>
        <w:t>中相关要求执行，周边设置导流渠，按G</w:t>
      </w:r>
      <w:r>
        <w:rPr>
          <w:rFonts w:ascii="Times New Roman" w:hAnsi="Times New Roman" w:cs="Times New Roman"/>
          <w:highlight w:val="none"/>
        </w:rPr>
        <w:t>B 15562.2</w:t>
      </w:r>
      <w:r>
        <w:rPr>
          <w:rFonts w:hint="eastAsia" w:ascii="Times New Roman" w:hAnsi="Times New Roman" w:cs="Times New Roman"/>
          <w:highlight w:val="none"/>
        </w:rPr>
        <w:t>设置环境保护图形标志，设集排水设施并构筑堤坝、挡土墙等设施。</w:t>
      </w:r>
      <w:r>
        <w:rPr>
          <w:rFonts w:ascii="Times New Roman" w:hAnsi="Times New Roman" w:cs="Times New Roman"/>
          <w:highlight w:val="none"/>
        </w:rPr>
        <w:t>防渗层</w:t>
      </w:r>
      <w:r>
        <w:rPr>
          <w:rFonts w:hint="eastAsia" w:ascii="Times New Roman" w:hAnsi="Times New Roman" w:cs="Times New Roman"/>
          <w:highlight w:val="none"/>
        </w:rPr>
        <w:t>厚度应相当于</w:t>
      </w:r>
      <w:r>
        <w:rPr>
          <w:rFonts w:ascii="Times New Roman" w:hAnsi="Times New Roman" w:cs="Times New Roman"/>
          <w:highlight w:val="none"/>
        </w:rPr>
        <w:t>至少1</w:t>
      </w:r>
      <w:r>
        <w:rPr>
          <w:rFonts w:hint="eastAsia" w:ascii="Times New Roman" w:hAnsi="Times New Roman" w:cs="Times New Roman"/>
          <w:highlight w:val="none"/>
        </w:rPr>
        <w:t>.</w:t>
      </w:r>
      <w:r>
        <w:rPr>
          <w:rFonts w:ascii="Times New Roman" w:hAnsi="Times New Roman" w:cs="Times New Roman"/>
          <w:highlight w:val="none"/>
        </w:rPr>
        <w:t>5m厚粘土层（渗透系数≤10</w:t>
      </w:r>
      <w:r>
        <w:rPr>
          <w:rFonts w:ascii="Times New Roman" w:hAnsi="Times New Roman" w:cs="Times New Roman"/>
          <w:highlight w:val="none"/>
          <w:vertAlign w:val="superscript"/>
        </w:rPr>
        <w:t>-7</w:t>
      </w:r>
      <w:r>
        <w:rPr>
          <w:rFonts w:ascii="Times New Roman" w:hAnsi="Times New Roman" w:cs="Times New Roman"/>
          <w:highlight w:val="none"/>
        </w:rPr>
        <w:t>cm/s）。</w:t>
      </w:r>
      <w:r>
        <w:rPr>
          <w:rFonts w:hint="eastAsia" w:ascii="Times New Roman" w:hAnsi="Times New Roman" w:cs="Times New Roman"/>
          <w:highlight w:val="none"/>
        </w:rPr>
        <w:t>禁止危险废物和生活垃圾混入，建立检查维护制度和档案制度。</w:t>
      </w:r>
    </w:p>
    <w:p w14:paraId="4597F28E">
      <w:pPr>
        <w:spacing w:line="500" w:lineRule="exact"/>
        <w:ind w:firstLine="482"/>
        <w:jc w:val="both"/>
        <w:rPr>
          <w:rFonts w:hint="eastAsia" w:ascii="Times New Roman" w:hAnsi="Times New Roman" w:cs="Times New Roman"/>
        </w:rPr>
      </w:pPr>
      <w:r>
        <w:rPr>
          <w:rFonts w:hint="eastAsia" w:ascii="Times New Roman" w:hAnsi="Times New Roman" w:cs="Times New Roman"/>
        </w:rPr>
        <w:t>技改后废矿物油产生量不变，仍为 2t/a，全厂危废产生量不变。废催化剂 3 年更换一次，更换后及时委托有资质的单位处理。</w:t>
      </w:r>
    </w:p>
    <w:p w14:paraId="551BEABB">
      <w:pPr>
        <w:spacing w:line="500" w:lineRule="exact"/>
        <w:ind w:firstLine="482"/>
        <w:jc w:val="both"/>
        <w:rPr>
          <w:rFonts w:hint="eastAsia" w:ascii="Times New Roman" w:hAnsi="Times New Roman" w:cs="Times New Roman"/>
        </w:rPr>
      </w:pPr>
      <w:r>
        <w:rPr>
          <w:rFonts w:hint="eastAsia" w:ascii="Times New Roman" w:hAnsi="Times New Roman" w:cs="Times New Roman"/>
        </w:rPr>
        <w:t>根据现有项目运行情况，现有贮存设施能满足本项目危废贮存需求。危废贮存点位置不敏感、地质结构稳定，项目危险废物暂存设施底部高于地下水最高水位，选址合理。按照《危险废物贮存污染控制标准》（GB18597-2023）建设，危废贮存场地基础已采用地面硬化防渗，环氧地坪防渗，同时采用桶装并在危废贮存点设置围堰，废矿物油采用桶装，置于围堰内，能有效防止渗滤液进入附近地表水，对地下水、土壤影响较小。同时危废贮存点设置灭火器及沙堆等安全措施，有效控制环境风险。综上，危险废物贮存过程对环境空气、地表水、地下水、土壤影响较小。</w:t>
      </w:r>
    </w:p>
    <w:p w14:paraId="4B2E0621">
      <w:pPr>
        <w:spacing w:line="500" w:lineRule="exact"/>
        <w:ind w:firstLine="482"/>
        <w:jc w:val="both"/>
      </w:pPr>
      <w:r>
        <w:rPr>
          <w:rFonts w:hint="eastAsia" w:ascii="Times New Roman" w:hAnsi="Times New Roman" w:cs="Times New Roman"/>
        </w:rPr>
        <w:t>综上，本项目依托现有一般工业固体废物及危险废物处置措施可行。</w:t>
      </w:r>
    </w:p>
    <w:p w14:paraId="472F9D0F">
      <w:pPr>
        <w:spacing w:line="500" w:lineRule="exact"/>
        <w:ind w:firstLine="482"/>
        <w:jc w:val="both"/>
        <w:rPr>
          <w:rFonts w:ascii="Times New Roman" w:hAnsi="Times New Roman" w:cs="Times New Roman"/>
          <w:b/>
        </w:rPr>
      </w:pPr>
      <w:r>
        <w:rPr>
          <w:rFonts w:ascii="Times New Roman" w:hAnsi="Times New Roman" w:cs="Times New Roman"/>
          <w:b/>
        </w:rPr>
        <w:t>（4）噪声</w:t>
      </w:r>
    </w:p>
    <w:p w14:paraId="2B5E7CE3">
      <w:pPr>
        <w:spacing w:line="500" w:lineRule="exact"/>
        <w:ind w:firstLine="472" w:firstLineChars="200"/>
        <w:jc w:val="both"/>
        <w:rPr>
          <w:rFonts w:ascii="Times New Roman" w:hAnsi="Times New Roman" w:cs="Times New Roman"/>
        </w:rPr>
      </w:pPr>
      <w:r>
        <w:rPr>
          <w:rFonts w:ascii="Times New Roman" w:hAnsi="Times New Roman" w:cs="Times New Roman"/>
          <w:spacing w:val="-2"/>
        </w:rPr>
        <w:t>营运期</w:t>
      </w:r>
      <w:r>
        <w:rPr>
          <w:rFonts w:ascii="Times New Roman" w:hAnsi="Times New Roman" w:cs="Times New Roman"/>
        </w:rPr>
        <w:t>噪声的治理，通过合理布局、选择低噪声设备、关闭车间门窗切断噪声传播途径、减振等措施，确保满足以上条件下营运期噪声传至厂界处满足相应的标准。</w:t>
      </w:r>
    </w:p>
    <w:p w14:paraId="21E41D0A">
      <w:pPr>
        <w:pStyle w:val="6"/>
      </w:pPr>
      <w:bookmarkStart w:id="721" w:name="_Toc1236"/>
      <w:bookmarkStart w:id="722" w:name="_Toc27659036"/>
      <w:bookmarkStart w:id="723" w:name="_Toc90026169"/>
      <w:r>
        <w:rPr>
          <w:rFonts w:hint="eastAsia"/>
        </w:rPr>
        <w:t>10</w:t>
      </w:r>
      <w:r>
        <w:t>.6 环境风险评价结论</w:t>
      </w:r>
      <w:bookmarkEnd w:id="721"/>
      <w:bookmarkEnd w:id="722"/>
      <w:bookmarkEnd w:id="723"/>
    </w:p>
    <w:p w14:paraId="32782F92">
      <w:pPr>
        <w:pStyle w:val="7"/>
      </w:pPr>
      <w:bookmarkStart w:id="724" w:name="_Toc16702"/>
      <w:bookmarkStart w:id="725" w:name="_Toc90026376"/>
      <w:r>
        <w:rPr>
          <w:rFonts w:hint="eastAsia"/>
          <w:lang w:eastAsia="zh-CN"/>
        </w:rPr>
        <w:t>10</w:t>
      </w:r>
      <w:r>
        <w:t>.6.1 项目危险因素</w:t>
      </w:r>
      <w:bookmarkEnd w:id="724"/>
      <w:bookmarkEnd w:id="725"/>
    </w:p>
    <w:p w14:paraId="0E1AE9EE">
      <w:pPr>
        <w:spacing w:after="240" w:line="500" w:lineRule="exact"/>
        <w:ind w:firstLine="480" w:firstLineChars="200"/>
        <w:jc w:val="both"/>
        <w:rPr>
          <w:rFonts w:hint="eastAsia" w:ascii="Times New Roman" w:hAnsi="Times New Roman" w:cs="Times New Roman"/>
        </w:rPr>
      </w:pPr>
      <w:r>
        <w:rPr>
          <w:rFonts w:hint="eastAsia" w:ascii="Times New Roman" w:hAnsi="Times New Roman" w:cs="Times New Roman"/>
        </w:rPr>
        <w:t>本项目涉及的风险物质主要为煤气、</w:t>
      </w:r>
      <w:r>
        <w:rPr>
          <w:rFonts w:hint="eastAsia" w:ascii="Times New Roman" w:hAnsi="Times New Roman" w:cs="Times New Roman"/>
          <w:lang w:val="en-US" w:eastAsia="zh-CN"/>
        </w:rPr>
        <w:t>氨水、</w:t>
      </w:r>
      <w:r>
        <w:rPr>
          <w:rFonts w:hint="eastAsia" w:ascii="Times New Roman" w:hAnsi="Times New Roman" w:cs="Times New Roman"/>
        </w:rPr>
        <w:t>危险废物，主要事故类型为：① 煤气管道由于阀门、法兰损坏、管线老化等导致煤气泄漏，造成火灾、爆炸及不完全燃烧产生的CO伴生烟气污染等事故；②</w:t>
      </w:r>
      <w:r>
        <w:rPr>
          <w:rFonts w:hint="eastAsia" w:ascii="Times New Roman" w:hAnsi="Times New Roman" w:cs="Times New Roman"/>
          <w:lang w:val="en-US" w:eastAsia="zh-CN"/>
        </w:rPr>
        <w:t>氨水储罐</w:t>
      </w:r>
      <w:r>
        <w:rPr>
          <w:rFonts w:hint="eastAsia" w:ascii="Times New Roman" w:hAnsi="Times New Roman" w:cs="Times New Roman"/>
        </w:rPr>
        <w:t>破裂，导致泄漏，由于处理措施不当，排入外环境造成水环境</w:t>
      </w:r>
      <w:r>
        <w:rPr>
          <w:rFonts w:hint="eastAsia" w:ascii="Times New Roman" w:hAnsi="Times New Roman" w:cs="Times New Roman"/>
          <w:lang w:eastAsia="zh-CN"/>
        </w:rPr>
        <w:t>、</w:t>
      </w:r>
      <w:r>
        <w:rPr>
          <w:rFonts w:hint="eastAsia" w:ascii="Times New Roman" w:hAnsi="Times New Roman" w:cs="Times New Roman"/>
          <w:lang w:val="en-US" w:eastAsia="zh-CN"/>
        </w:rPr>
        <w:t>大气环境</w:t>
      </w:r>
      <w:r>
        <w:rPr>
          <w:rFonts w:hint="eastAsia" w:ascii="Times New Roman" w:hAnsi="Times New Roman" w:cs="Times New Roman"/>
        </w:rPr>
        <w:t>污染事件。</w:t>
      </w:r>
      <w:r>
        <w:rPr>
          <w:rFonts w:hint="eastAsia" w:ascii="Times New Roman" w:hAnsi="Times New Roman" w:cs="Times New Roman"/>
          <w:lang w:val="en-US" w:eastAsia="zh-CN"/>
        </w:rPr>
        <w:t>③</w:t>
      </w:r>
      <w:r>
        <w:rPr>
          <w:rFonts w:hint="eastAsia" w:ascii="Times New Roman" w:hAnsi="Times New Roman" w:cs="Times New Roman"/>
        </w:rPr>
        <w:t>危废贮存点包装由于制造缺陷或受到外力作用破裂，导致泄漏，由于处理措施不当，排入外环境造成水环境污染事件。</w:t>
      </w:r>
    </w:p>
    <w:p w14:paraId="7B58C9E9">
      <w:pPr>
        <w:pStyle w:val="7"/>
        <w:rPr>
          <w:lang w:eastAsia="zh-CN"/>
        </w:rPr>
      </w:pPr>
      <w:bookmarkStart w:id="726" w:name="_Toc90026377"/>
      <w:bookmarkStart w:id="727" w:name="_Toc8063"/>
      <w:r>
        <w:rPr>
          <w:rFonts w:hint="eastAsia"/>
          <w:lang w:eastAsia="zh-CN"/>
        </w:rPr>
        <w:t>10</w:t>
      </w:r>
      <w:r>
        <w:rPr>
          <w:lang w:eastAsia="zh-CN"/>
        </w:rPr>
        <w:t>.6.2 环境风险防范措施和应急预案</w:t>
      </w:r>
      <w:bookmarkEnd w:id="726"/>
      <w:bookmarkEnd w:id="727"/>
    </w:p>
    <w:p w14:paraId="636594F0">
      <w:pPr>
        <w:spacing w:line="500" w:lineRule="exact"/>
        <w:ind w:firstLine="482"/>
        <w:jc w:val="both"/>
        <w:rPr>
          <w:rFonts w:ascii="Times New Roman" w:hAnsi="Times New Roman" w:cs="Times New Roman"/>
        </w:rPr>
      </w:pPr>
      <w:r>
        <w:rPr>
          <w:rFonts w:ascii="Times New Roman" w:hAnsi="Times New Roman" w:cs="Times New Roman"/>
        </w:rPr>
        <w:t>建设单位应采取如下环境风险防范措施：定期检修，严格执行巡检制度；</w:t>
      </w:r>
      <w:r>
        <w:rPr>
          <w:rFonts w:hint="eastAsia" w:ascii="Times New Roman" w:hAnsi="Times New Roman" w:cs="Times New Roman"/>
        </w:rPr>
        <w:t>重要设置视频监控系统、固定式</w:t>
      </w:r>
      <w:r>
        <w:rPr>
          <w:rFonts w:hint="eastAsia" w:ascii="Times New Roman" w:hAnsi="Times New Roman" w:cs="Times New Roman"/>
          <w:lang w:val="en-US" w:eastAsia="zh-CN"/>
        </w:rPr>
        <w:t>可燃气体</w:t>
      </w:r>
      <w:r>
        <w:rPr>
          <w:rFonts w:hint="eastAsia" w:ascii="Times New Roman" w:hAnsi="Times New Roman" w:cs="Times New Roman"/>
        </w:rPr>
        <w:t>报警仪并配备消防灭火器材；</w:t>
      </w:r>
      <w:r>
        <w:rPr>
          <w:rFonts w:ascii="Times New Roman" w:hAnsi="Times New Roman" w:cs="Times New Roman"/>
        </w:rPr>
        <w:t>参考《石油化工工程防渗技术规范》（GB/T 50934-2013）</w:t>
      </w:r>
      <w:r>
        <w:rPr>
          <w:rFonts w:hint="eastAsia" w:ascii="Times New Roman" w:hAnsi="Times New Roman" w:cs="Times New Roman"/>
        </w:rPr>
        <w:t>中的</w:t>
      </w:r>
      <w:r>
        <w:rPr>
          <w:rFonts w:ascii="Times New Roman" w:hAnsi="Times New Roman" w:cs="Times New Roman"/>
        </w:rPr>
        <w:t>相关要求</w:t>
      </w:r>
      <w:r>
        <w:rPr>
          <w:rFonts w:hint="eastAsia" w:ascii="Times New Roman" w:hAnsi="Times New Roman" w:cs="Times New Roman"/>
        </w:rPr>
        <w:t>对厂区进行分区防渗</w:t>
      </w:r>
      <w:r>
        <w:rPr>
          <w:rFonts w:ascii="Times New Roman" w:hAnsi="Times New Roman" w:cs="Times New Roman"/>
        </w:rPr>
        <w:t>。</w:t>
      </w:r>
    </w:p>
    <w:p w14:paraId="0F07E7AD">
      <w:pPr>
        <w:adjustRightInd w:val="0"/>
        <w:spacing w:after="240" w:line="500" w:lineRule="exact"/>
        <w:ind w:firstLine="480" w:firstLineChars="200"/>
        <w:jc w:val="both"/>
        <w:rPr>
          <w:rFonts w:ascii="Times New Roman" w:hAnsi="Times New Roman" w:cs="Times New Roman"/>
        </w:rPr>
      </w:pPr>
      <w:r>
        <w:rPr>
          <w:rFonts w:ascii="Times New Roman" w:hAnsi="Times New Roman" w:cs="Times New Roman"/>
        </w:rPr>
        <w:t>建设单位应</w:t>
      </w:r>
      <w:r>
        <w:rPr>
          <w:rFonts w:hint="eastAsia" w:ascii="Times New Roman" w:hAnsi="Times New Roman" w:cs="Times New Roman"/>
        </w:rPr>
        <w:t>修订</w:t>
      </w:r>
      <w:r>
        <w:rPr>
          <w:rFonts w:ascii="Times New Roman" w:hAnsi="Times New Roman" w:cs="Times New Roman"/>
        </w:rPr>
        <w:t>突发环境事件应急预案并完成备案。</w:t>
      </w:r>
    </w:p>
    <w:p w14:paraId="3E4852EC">
      <w:pPr>
        <w:pStyle w:val="7"/>
      </w:pPr>
      <w:bookmarkStart w:id="728" w:name="_Toc90026378"/>
      <w:bookmarkStart w:id="729" w:name="_Toc26350"/>
      <w:r>
        <w:rPr>
          <w:rFonts w:hint="eastAsia"/>
          <w:lang w:eastAsia="zh-CN"/>
        </w:rPr>
        <w:t>10</w:t>
      </w:r>
      <w:r>
        <w:t>.6.4 环境风险评价结论与建议</w:t>
      </w:r>
      <w:bookmarkEnd w:id="728"/>
      <w:bookmarkEnd w:id="729"/>
    </w:p>
    <w:p w14:paraId="02E61D36">
      <w:pPr>
        <w:adjustRightInd w:val="0"/>
        <w:spacing w:line="500" w:lineRule="exact"/>
        <w:ind w:firstLine="480" w:firstLineChars="200"/>
        <w:jc w:val="both"/>
        <w:rPr>
          <w:rFonts w:ascii="Times New Roman" w:hAnsi="Times New Roman" w:cs="Times New Roman"/>
        </w:rPr>
      </w:pPr>
      <w:r>
        <w:rPr>
          <w:rFonts w:ascii="Times New Roman" w:hAnsi="Times New Roman" w:cs="Times New Roman"/>
        </w:rPr>
        <w:t>在严格按照国家有关技术标准、规范进行设计和实施，并落实本报告提出的风险防范措施及应急预案基础上，本项目所涉及的风险影响因素、风险危害程度可以达到同行业可接受水平，风险事故一旦发生，可将环境危害降到最低水平。综上所述，本项目环境风险可接受。</w:t>
      </w:r>
    </w:p>
    <w:p w14:paraId="7D0A253B">
      <w:pPr>
        <w:pStyle w:val="6"/>
      </w:pPr>
      <w:bookmarkStart w:id="730" w:name="_Toc90026170"/>
      <w:bookmarkStart w:id="731" w:name="_Toc27659037"/>
      <w:bookmarkStart w:id="732" w:name="_Toc21501"/>
      <w:r>
        <w:rPr>
          <w:rFonts w:hint="eastAsia"/>
        </w:rPr>
        <w:t>10</w:t>
      </w:r>
      <w:r>
        <w:t xml:space="preserve">.7 </w:t>
      </w:r>
      <w:r>
        <w:rPr>
          <w:rFonts w:hint="eastAsia"/>
        </w:rPr>
        <w:t>公众参与</w:t>
      </w:r>
      <w:r>
        <w:t>结论</w:t>
      </w:r>
      <w:bookmarkEnd w:id="730"/>
      <w:bookmarkEnd w:id="731"/>
      <w:bookmarkEnd w:id="732"/>
    </w:p>
    <w:p w14:paraId="2C7A9F2F">
      <w:pPr>
        <w:spacing w:line="500" w:lineRule="exact"/>
        <w:ind w:firstLine="480" w:firstLineChars="200"/>
        <w:jc w:val="both"/>
        <w:rPr>
          <w:rFonts w:hint="eastAsia"/>
          <w:bCs/>
        </w:rPr>
      </w:pPr>
      <w:r>
        <w:rPr>
          <w:rFonts w:hint="eastAsia"/>
        </w:rPr>
        <w:t>在本次评价期间，建设单位按照</w:t>
      </w:r>
      <w:r>
        <w:t>《环境影响评价公众参与办法》</w:t>
      </w:r>
      <w:r>
        <w:rPr>
          <w:rFonts w:hint="eastAsia"/>
        </w:rPr>
        <w:t>要求，首次环评信息公开阶段在</w:t>
      </w:r>
      <w:r>
        <w:rPr>
          <w:rFonts w:hint="eastAsia"/>
          <w:lang w:val="en-US" w:eastAsia="zh-CN"/>
        </w:rPr>
        <w:t>本溪县</w:t>
      </w:r>
      <w:r>
        <w:rPr>
          <w:rFonts w:hint="eastAsia"/>
        </w:rPr>
        <w:t>人民政府网站发布第一次公示公告，在环境影响报告书征求意见稿编制过程中，</w:t>
      </w:r>
      <w:r>
        <w:rPr>
          <w:rFonts w:hint="eastAsia"/>
          <w:bCs/>
        </w:rPr>
        <w:t>未收到公众通过信函、邮件及来电等形式反馈对本项目建设及环评工作的相关意见。</w:t>
      </w:r>
    </w:p>
    <w:p w14:paraId="65B586A9">
      <w:pPr>
        <w:adjustRightInd w:val="0"/>
        <w:spacing w:line="500" w:lineRule="exact"/>
        <w:ind w:firstLine="480" w:firstLineChars="200"/>
        <w:jc w:val="both"/>
        <w:rPr>
          <w:rFonts w:ascii="Times New Roman" w:hAnsi="Times New Roman" w:cs="Times New Roman"/>
        </w:rPr>
      </w:pPr>
      <w:r>
        <w:rPr>
          <w:rFonts w:hint="eastAsia"/>
        </w:rPr>
        <w:t>环境影响报告书征求意见稿编制完成后，建设单位分别在</w:t>
      </w:r>
      <w:r>
        <w:rPr>
          <w:rFonts w:hint="eastAsia"/>
          <w:lang w:val="en-US" w:eastAsia="zh-CN"/>
        </w:rPr>
        <w:t>本溪县</w:t>
      </w:r>
      <w:r>
        <w:rPr>
          <w:rFonts w:hint="eastAsia"/>
        </w:rPr>
        <w:t>人民政府网站、报纸、企业厂区门口采取网络公示、登报公示、张贴公告等三种方式进行同步公开，同时提供环境影响报告书征求意见稿全文网络链接及查阅纸质报告书的方式和途径，征求公众意见时间为10个工作日。</w:t>
      </w:r>
      <w:r>
        <w:rPr>
          <w:rFonts w:hint="eastAsia"/>
          <w:bCs/>
        </w:rPr>
        <w:t>截至公示期结束，未收到公众通过信函、邮件及来电等形式反馈对本项目建设及环评工作的相关意见。</w:t>
      </w:r>
    </w:p>
    <w:p w14:paraId="3A5CFEF1">
      <w:pPr>
        <w:pStyle w:val="6"/>
      </w:pPr>
      <w:bookmarkStart w:id="733" w:name="_Toc90026171"/>
      <w:bookmarkStart w:id="734" w:name="_Toc17648"/>
      <w:bookmarkStart w:id="735" w:name="_Toc27659039"/>
      <w:r>
        <w:rPr>
          <w:rFonts w:hint="eastAsia"/>
        </w:rPr>
        <w:t>10</w:t>
      </w:r>
      <w:r>
        <w:t>.8 环境影响经济损益分析结论</w:t>
      </w:r>
      <w:bookmarkEnd w:id="733"/>
      <w:bookmarkEnd w:id="734"/>
      <w:bookmarkEnd w:id="735"/>
    </w:p>
    <w:p w14:paraId="6C7EAE09">
      <w:pPr>
        <w:spacing w:line="500" w:lineRule="exact"/>
        <w:ind w:firstLine="480" w:firstLineChars="200"/>
        <w:jc w:val="both"/>
        <w:rPr>
          <w:rFonts w:ascii="Times New Roman" w:hAnsi="Times New Roman" w:cs="Times New Roman"/>
        </w:rPr>
      </w:pPr>
      <w:r>
        <w:rPr>
          <w:rFonts w:ascii="Times New Roman" w:hAnsi="Times New Roman" w:cs="Times New Roman"/>
        </w:rPr>
        <w:t>由环境影响经济损益分析表明，企业通过本项目实施，削减了污染物排放量，可减少上缴的环境保护税，可以获得较大经济效益，社会效益、环境效益也是良好的。</w:t>
      </w:r>
    </w:p>
    <w:p w14:paraId="52AB8795">
      <w:pPr>
        <w:pStyle w:val="6"/>
      </w:pPr>
      <w:bookmarkStart w:id="736" w:name="_Toc90026172"/>
      <w:bookmarkStart w:id="737" w:name="_Toc27659040"/>
      <w:bookmarkStart w:id="738" w:name="_Toc808"/>
      <w:r>
        <w:rPr>
          <w:rFonts w:hint="eastAsia"/>
        </w:rPr>
        <w:t>10</w:t>
      </w:r>
      <w:r>
        <w:t>.9 环境管理与监测计划结论</w:t>
      </w:r>
      <w:bookmarkEnd w:id="736"/>
      <w:bookmarkEnd w:id="737"/>
      <w:bookmarkEnd w:id="738"/>
    </w:p>
    <w:p w14:paraId="6E66F717">
      <w:pPr>
        <w:spacing w:line="500" w:lineRule="exact"/>
        <w:ind w:firstLine="480" w:firstLineChars="200"/>
        <w:rPr>
          <w:rFonts w:ascii="Times New Roman" w:hAnsi="Times New Roman" w:cs="Times New Roman"/>
        </w:rPr>
      </w:pPr>
      <w:r>
        <w:rPr>
          <w:rFonts w:ascii="Times New Roman" w:hAnsi="Times New Roman" w:cs="Times New Roman"/>
        </w:rPr>
        <w:t>企业建立了环境管理体制，设立了环境管理机构，采取了环境管理措施，本次评价提出了建设阶段、生产运行阶段和污染物排放的环境管理要求。依据建设项目运营后的污染物排放情况，制定了污染源监测计划，并结合影响范围、影响程度和环境保护目标分布，制定了环境质量定点监测方案。</w:t>
      </w:r>
    </w:p>
    <w:p w14:paraId="6FCA348D">
      <w:pPr>
        <w:pStyle w:val="6"/>
      </w:pPr>
      <w:bookmarkStart w:id="739" w:name="_Toc34730323"/>
      <w:bookmarkStart w:id="740" w:name="_Toc90026173"/>
      <w:bookmarkStart w:id="741" w:name="_Toc10491"/>
      <w:bookmarkStart w:id="742" w:name="_Toc27659041"/>
      <w:r>
        <w:rPr>
          <w:rFonts w:hint="eastAsia"/>
        </w:rPr>
        <w:t>10</w:t>
      </w:r>
      <w:r>
        <w:t>.10 可行性评价结论</w:t>
      </w:r>
      <w:bookmarkEnd w:id="739"/>
      <w:bookmarkEnd w:id="740"/>
      <w:bookmarkEnd w:id="741"/>
      <w:bookmarkEnd w:id="742"/>
      <w:bookmarkStart w:id="743" w:name="_Toc153878499"/>
      <w:bookmarkStart w:id="744" w:name="_Toc175711466"/>
      <w:bookmarkStart w:id="745" w:name="_Toc166464767"/>
      <w:bookmarkStart w:id="746" w:name="_Toc151200365"/>
      <w:bookmarkStart w:id="747" w:name="_Toc175714299"/>
      <w:bookmarkStart w:id="748" w:name="_Toc151278964"/>
      <w:bookmarkStart w:id="749" w:name="_Toc154569903"/>
      <w:bookmarkStart w:id="750" w:name="_Toc158523452"/>
      <w:bookmarkStart w:id="751" w:name="_Toc151200205"/>
      <w:bookmarkStart w:id="752" w:name="_Toc151276258"/>
      <w:bookmarkStart w:id="753" w:name="_Toc154570290"/>
      <w:bookmarkStart w:id="754" w:name="_Toc153007163"/>
    </w:p>
    <w:p w14:paraId="1160D5A7">
      <w:pPr>
        <w:spacing w:line="500" w:lineRule="exact"/>
        <w:ind w:firstLine="480" w:firstLineChars="200"/>
        <w:jc w:val="both"/>
        <w:rPr>
          <w:rFonts w:ascii="Times New Roman" w:hAnsi="Times New Roman" w:cs="Times New Roman"/>
        </w:rPr>
      </w:pPr>
      <w:r>
        <w:rPr>
          <w:rFonts w:ascii="Times New Roman" w:hAnsi="Times New Roman" w:cs="Times New Roman"/>
        </w:rPr>
        <w:t>本项目位于辽宁省</w:t>
      </w:r>
      <w:r>
        <w:rPr>
          <w:rFonts w:hint="eastAsia" w:ascii="Times New Roman" w:hAnsi="Times New Roman" w:cs="Times New Roman"/>
          <w:lang w:eastAsia="zh-CN"/>
        </w:rPr>
        <w:t>本溪市本溪满族自治县草河口镇祁家堡村本溪玉麒麟新材料有限公司</w:t>
      </w:r>
      <w:r>
        <w:rPr>
          <w:rFonts w:hint="eastAsia" w:ascii="Times New Roman" w:hAnsi="Times New Roman" w:cs="Times New Roman"/>
        </w:rPr>
        <w:t>厂区内</w:t>
      </w:r>
      <w:r>
        <w:rPr>
          <w:rFonts w:ascii="Times New Roman" w:hAnsi="Times New Roman" w:cs="Times New Roman"/>
        </w:rPr>
        <w:t>，符合</w:t>
      </w:r>
      <w:r>
        <w:rPr>
          <w:rFonts w:hint="eastAsia" w:ascii="Times New Roman" w:hAnsi="Times New Roman" w:cs="Times New Roman"/>
          <w:lang w:val="en-US" w:eastAsia="zh-CN"/>
        </w:rPr>
        <w:t>草河口</w:t>
      </w:r>
      <w:r>
        <w:rPr>
          <w:rFonts w:hint="eastAsia" w:ascii="Times New Roman" w:hAnsi="Times New Roman" w:cs="Times New Roman"/>
        </w:rPr>
        <w:t>镇</w:t>
      </w:r>
      <w:r>
        <w:rPr>
          <w:rFonts w:ascii="Times New Roman" w:hAnsi="Times New Roman" w:cs="Times New Roman"/>
        </w:rPr>
        <w:t>用地规划和产业</w:t>
      </w:r>
      <w:r>
        <w:rPr>
          <w:rFonts w:hint="eastAsia" w:ascii="Times New Roman" w:hAnsi="Times New Roman" w:cs="Times New Roman"/>
        </w:rPr>
        <w:t>定位</w:t>
      </w:r>
      <w:r>
        <w:rPr>
          <w:rFonts w:ascii="Times New Roman" w:hAnsi="Times New Roman" w:cs="Times New Roman"/>
        </w:rPr>
        <w:t>要求，与当地的环境功能区划相符。本项目符合国家及地方产业政策规定，符合行业规范条件要求。</w:t>
      </w:r>
    </w:p>
    <w:p w14:paraId="5E9285CD">
      <w:pPr>
        <w:spacing w:line="500" w:lineRule="exact"/>
        <w:ind w:firstLine="480" w:firstLineChars="200"/>
        <w:jc w:val="both"/>
        <w:rPr>
          <w:rFonts w:ascii="Times New Roman" w:hAnsi="Times New Roman" w:cs="Times New Roman"/>
        </w:rPr>
      </w:pPr>
      <w:r>
        <w:rPr>
          <w:rFonts w:ascii="Times New Roman" w:hAnsi="Times New Roman" w:cs="Times New Roman"/>
        </w:rPr>
        <w:t>本项目污染防治措施完善可行并可达标排放，对周围环境影响较小</w:t>
      </w:r>
      <w:r>
        <w:rPr>
          <w:rFonts w:hint="eastAsia" w:ascii="Times New Roman" w:hAnsi="Times New Roman" w:cs="Times New Roman"/>
        </w:rPr>
        <w:t>。</w:t>
      </w:r>
      <w:r>
        <w:rPr>
          <w:rFonts w:ascii="Times New Roman" w:hAnsi="Times New Roman" w:cs="Times New Roman"/>
        </w:rPr>
        <w:t>本项目</w:t>
      </w:r>
      <w:r>
        <w:rPr>
          <w:rFonts w:hint="eastAsia" w:ascii="Times New Roman" w:hAnsi="Times New Roman" w:cs="Times New Roman"/>
        </w:rPr>
        <w:t>建成</w:t>
      </w:r>
      <w:r>
        <w:rPr>
          <w:rFonts w:ascii="Times New Roman" w:hAnsi="Times New Roman" w:cs="Times New Roman"/>
        </w:rPr>
        <w:t>后，</w:t>
      </w:r>
      <w:r>
        <w:rPr>
          <w:rFonts w:hint="eastAsia" w:ascii="Times New Roman" w:hAnsi="Times New Roman" w:cs="Times New Roman"/>
        </w:rPr>
        <w:t>对厂区现有存在的环保问题进行了升级改造，削减了污染物排放量，使得</w:t>
      </w:r>
      <w:r>
        <w:rPr>
          <w:rFonts w:ascii="Times New Roman" w:hAnsi="Times New Roman" w:cs="Times New Roman"/>
        </w:rPr>
        <w:t>区域环境质量得到改善，同时通过循环经济、清洁生产等技术的实施，获得较好的经济效益，有利于经济效益、环境效益和社会效益的统一，有利于当地经济的发展。</w:t>
      </w:r>
    </w:p>
    <w:p w14:paraId="5A15F62B">
      <w:pPr>
        <w:tabs>
          <w:tab w:val="left" w:pos="3686"/>
        </w:tabs>
        <w:spacing w:line="500" w:lineRule="exact"/>
        <w:ind w:firstLine="480" w:firstLineChars="200"/>
        <w:jc w:val="both"/>
        <w:rPr>
          <w:rFonts w:ascii="Times New Roman" w:hAnsi="Times New Roman" w:cs="Times New Roman"/>
        </w:rPr>
      </w:pPr>
      <w:r>
        <w:rPr>
          <w:rFonts w:ascii="Times New Roman" w:hAnsi="Times New Roman" w:cs="Times New Roman"/>
        </w:rPr>
        <w:t>运营过程中，企业须确保各项环保设施稳定运行并采取环境风险防范措施，严格执行各项环保管理制度，在此前提下，本项目从环保角度是可行的。</w:t>
      </w:r>
    </w:p>
    <w:bookmarkEnd w:id="743"/>
    <w:bookmarkEnd w:id="744"/>
    <w:bookmarkEnd w:id="745"/>
    <w:bookmarkEnd w:id="746"/>
    <w:bookmarkEnd w:id="747"/>
    <w:bookmarkEnd w:id="748"/>
    <w:bookmarkEnd w:id="749"/>
    <w:bookmarkEnd w:id="750"/>
    <w:bookmarkEnd w:id="751"/>
    <w:bookmarkEnd w:id="752"/>
    <w:bookmarkEnd w:id="753"/>
    <w:bookmarkEnd w:id="754"/>
    <w:p w14:paraId="072A5A65">
      <w:pPr>
        <w:tabs>
          <w:tab w:val="left" w:pos="3686"/>
        </w:tabs>
        <w:spacing w:line="500" w:lineRule="exact"/>
        <w:ind w:firstLine="480" w:firstLineChars="200"/>
        <w:rPr>
          <w:rFonts w:hint="eastAsia" w:ascii="Times New Roman" w:hAnsi="Times New Roman" w:cs="Times New Roman"/>
        </w:rPr>
      </w:pPr>
    </w:p>
    <w:sectPr>
      <w:footerReference r:id="rId27" w:type="even"/>
      <w:type w:val="oddPage"/>
      <w:pgSz w:w="11907" w:h="16840"/>
      <w:pgMar w:top="1701" w:right="1701" w:bottom="1701" w:left="1701" w:header="851" w:footer="1077" w:gutter="0"/>
      <w:pgBorders w:offsetFrom="page">
        <w:top w:val="none" w:sz="0" w:space="0"/>
        <w:left w:val="none" w:sz="0" w:space="0"/>
        <w:bottom w:val="none" w:sz="0" w:space="0"/>
        <w:right w:val="none" w:sz="0" w:space="0"/>
      </w:pgBorders>
      <w:pgNumType w:fmt="decimal"/>
      <w:cols w:space="720" w:num="1"/>
      <w:docGrid w:linePitch="47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8"/>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书宋简体">
    <w:altName w:val="宋体"/>
    <w:panose1 w:val="00000000000000000000"/>
    <w:charset w:val="86"/>
    <w:family w:val="auto"/>
    <w:pitch w:val="default"/>
    <w:sig w:usb0="00000000" w:usb1="00000000" w:usb2="00000010" w:usb3="00000000" w:csb0="00040000" w:csb1="00000000"/>
  </w:font>
  <w:font w:name="宋体（打印机字体）">
    <w:altName w:val="宋体"/>
    <w:panose1 w:val="00000000000000000000"/>
    <w:charset w:val="86"/>
    <w:family w:val="roman"/>
    <w:pitch w:val="default"/>
    <w:sig w:usb0="00000000" w:usb1="00000000" w:usb2="00000010" w:usb3="00000000" w:csb0="00040000" w:csb1="00000000"/>
  </w:font>
  <w:font w:name="Cambria">
    <w:panose1 w:val="02040503050406030204"/>
    <w:charset w:val="00"/>
    <w:family w:val="roman"/>
    <w:pitch w:val="default"/>
    <w:sig w:usb0="E00006FF" w:usb1="420024FF" w:usb2="02000000" w:usb3="00000000" w:csb0="2000019F" w:csb1="00000000"/>
  </w:font>
  <w:font w:name="Arial Unicode MS">
    <w:altName w:val="宋体"/>
    <w:panose1 w:val="020B0604020202020204"/>
    <w:charset w:val="86"/>
    <w:family w:val="swiss"/>
    <w:pitch w:val="default"/>
    <w:sig w:usb0="00000000" w:usb1="00000000" w:usb2="0000003F" w:usb3="00000000" w:csb0="003F01FF" w:csb1="00000000"/>
  </w:font>
  <w:font w:name="ST Song">
    <w:altName w:val="宋体"/>
    <w:panose1 w:val="00000000000000000000"/>
    <w:charset w:val="86"/>
    <w:family w:val="roman"/>
    <w:pitch w:val="default"/>
    <w:sig w:usb0="00000000" w:usb1="00000000" w:usb2="0000001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幼圆">
    <w:altName w:val="宋体"/>
    <w:panose1 w:val="02010509060101010101"/>
    <w:charset w:val="86"/>
    <w:family w:val="modern"/>
    <w:pitch w:val="default"/>
    <w:sig w:usb0="00000000" w:usb1="00000000" w:usb2="00000000" w:usb3="00000000" w:csb0="00040000" w:csb1="00000000"/>
  </w:font>
  <w:font w:name="_x000B__x000C_">
    <w:altName w:val="Times New Roman"/>
    <w:panose1 w:val="00000000000000000000"/>
    <w:charset w:val="00"/>
    <w:family w:val="roman"/>
    <w:pitch w:val="default"/>
    <w:sig w:usb0="00000000" w:usb1="00000000" w:usb2="00000000" w:usb3="00000000" w:csb0="00040001" w:csb1="00000000"/>
  </w:font>
  <w:font w:name="Tahoma">
    <w:panose1 w:val="020B0604030504040204"/>
    <w:charset w:val="00"/>
    <w:family w:val="swiss"/>
    <w:pitch w:val="default"/>
    <w:sig w:usb0="E1002EFF" w:usb1="C000605B" w:usb2="00000029" w:usb3="00000000" w:csb0="200101FF" w:csb1="20280000"/>
  </w:font>
  <w:font w:name="Verdana">
    <w:panose1 w:val="020B0604030504040204"/>
    <w:charset w:val="00"/>
    <w:family w:val="swiss"/>
    <w:pitch w:val="default"/>
    <w:sig w:usb0="A00006FF" w:usb1="4000205B" w:usb2="00000010" w:usb3="00000000" w:csb0="2000019F" w:csb1="00000000"/>
  </w:font>
  <w:font w:name="ˎ̥">
    <w:altName w:val="Times New Roman"/>
    <w:panose1 w:val="00000000000000000000"/>
    <w:charset w:val="00"/>
    <w:family w:val="roman"/>
    <w:pitch w:val="default"/>
    <w:sig w:usb0="00000000" w:usb1="00000000" w:usb2="00000000" w:usb3="00000000" w:csb0="00040001" w:csb1="00000000"/>
  </w:font>
  <w:font w:name="隶书">
    <w:altName w:val="微软雅黑"/>
    <w:panose1 w:val="02010509060101010101"/>
    <w:charset w:val="86"/>
    <w:family w:val="modern"/>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阴影黑体-10Point">
    <w:altName w:val="黑体"/>
    <w:panose1 w:val="00000000000000000000"/>
    <w:charset w:val="86"/>
    <w:family w:val="modern"/>
    <w:pitch w:val="default"/>
    <w:sig w:usb0="00000000" w:usb1="00000000" w:usb2="00000010" w:usb3="00000000" w:csb0="00040000" w:csb1="00000000"/>
  </w:font>
  <w:font w:name="华文新魏">
    <w:altName w:val="宋体"/>
    <w:panose1 w:val="02010800040101010101"/>
    <w:charset w:val="86"/>
    <w:family w:val="auto"/>
    <w:pitch w:val="default"/>
    <w:sig w:usb0="00000000" w:usb1="00000000" w:usb2="00000000" w:usb3="00000000" w:csb0="00040000" w:csb1="00000000"/>
  </w:font>
  <w:font w:name="PMingLiU-ExtB">
    <w:panose1 w:val="02020500000000000000"/>
    <w:charset w:val="88"/>
    <w:family w:val="roman"/>
    <w:pitch w:val="default"/>
    <w:sig w:usb0="8000002F" w:usb1="02000008" w:usb2="00000000" w:usb3="00000000" w:csb0="00100001" w:csb1="00000000"/>
  </w:font>
  <w:font w:name="Segoe UI Symbol">
    <w:panose1 w:val="020B0502040204020203"/>
    <w:charset w:val="00"/>
    <w:family w:val="swiss"/>
    <w:pitch w:val="default"/>
    <w:sig w:usb0="800001E3" w:usb1="1200FFEF" w:usb2="00040000" w:usb3="04000000" w:csb0="00000001" w:csb1="40000000"/>
  </w:font>
  <w:font w:name="TimesNewRomanPS-BoldMT">
    <w:altName w:val="Segoe Print"/>
    <w:panose1 w:val="00000000000000000000"/>
    <w:charset w:val="00"/>
    <w:family w:val="auto"/>
    <w:pitch w:val="default"/>
    <w:sig w:usb0="00000000" w:usb1="00000000" w:usb2="00000000" w:usb3="00000000" w:csb0="00040001" w:csb1="00000000"/>
  </w:font>
  <w:font w:name="Segoe Print">
    <w:panose1 w:val="02000600000000000000"/>
    <w:charset w:val="00"/>
    <w:family w:val="auto"/>
    <w:pitch w:val="default"/>
    <w:sig w:usb0="0000028F" w:usb1="00000000" w:usb2="00000000" w:usb3="00000000" w:csb0="2000009F" w:csb1="47010000"/>
  </w:font>
  <w:font w:name="MicrosoftYaHei">
    <w:altName w:val="Segoe Print"/>
    <w:panose1 w:val="00000000000000000000"/>
    <w:charset w:val="00"/>
    <w:family w:val="auto"/>
    <w:pitch w:val="default"/>
    <w:sig w:usb0="00000000" w:usb1="00000000" w:usb2="00000000" w:usb3="00000000" w:csb0="00040001" w:csb1="00000000"/>
  </w:font>
  <w:font w:name="FZSongS-Extended">
    <w:altName w:val="Segoe Print"/>
    <w:panose1 w:val="00000000000000000000"/>
    <w:charset w:val="00"/>
    <w:family w:val="auto"/>
    <w:pitch w:val="default"/>
    <w:sig w:usb0="00000000" w:usb1="00000000" w:usb2="00000000" w:usb3="00000000" w:csb0="00040001" w:csb1="00000000"/>
  </w:font>
  <w:font w:name="KSOF4F9C2767">
    <w:panose1 w:val="020B0503020204020204"/>
    <w:charset w:val="86"/>
    <w:family w:val="auto"/>
    <w:pitch w:val="default"/>
    <w:sig w:usb0="00000001" w:usb1="00000000" w:usb2="00000000" w:usb3="00000000" w:csb0="00040001" w:csb1="00000000"/>
  </w:font>
  <w:font w:name="KSOFF9CC6125">
    <w:panose1 w:val="02010609060101010101"/>
    <w:charset w:val="86"/>
    <w:family w:val="auto"/>
    <w:pitch w:val="default"/>
    <w:sig w:usb0="00000001" w:usb1="00000000" w:usb2="00000000" w:usb3="00000000" w:csb0="00040001" w:csb1="00000000"/>
  </w:font>
  <w:font w:name="KSOFE4500885">
    <w:panose1 w:val="02010609060101010101"/>
    <w:charset w:val="86"/>
    <w:family w:val="auto"/>
    <w:pitch w:val="default"/>
    <w:sig w:usb0="00000001"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5D477C">
    <w:pPr>
      <w:pStyle w:val="35"/>
      <w:ind w:right="360" w:firstLine="270" w:firstLineChars="150"/>
      <w:rPr>
        <w:rFonts w:hint="eastAsia" w:eastAsia="宋体（打印机字体）"/>
        <w:lang w:eastAsia="zh-CN"/>
      </w:rPr>
    </w:pPr>
    <w:r>
      <mc:AlternateContent>
        <mc:Choice Requires="wps">
          <w:drawing>
            <wp:anchor distT="0" distB="0" distL="114300" distR="114300" simplePos="0" relativeHeight="251659264" behindDoc="0" locked="0" layoutInCell="1" allowOverlap="1">
              <wp:simplePos x="0" y="0"/>
              <wp:positionH relativeFrom="column">
                <wp:posOffset>2653665</wp:posOffset>
              </wp:positionH>
              <wp:positionV relativeFrom="paragraph">
                <wp:posOffset>69850</wp:posOffset>
              </wp:positionV>
              <wp:extent cx="2680335" cy="0"/>
              <wp:effectExtent l="0" t="9525" r="5715" b="9525"/>
              <wp:wrapNone/>
              <wp:docPr id="140" name="直线 13"/>
              <wp:cNvGraphicFramePr/>
              <a:graphic xmlns:a="http://schemas.openxmlformats.org/drawingml/2006/main">
                <a:graphicData uri="http://schemas.microsoft.com/office/word/2010/wordprocessingShape">
                  <wps:wsp>
                    <wps:cNvCnPr/>
                    <wps:spPr>
                      <a:xfrm flipH="1">
                        <a:off x="0" y="0"/>
                        <a:ext cx="2680335" cy="0"/>
                      </a:xfrm>
                      <a:prstGeom prst="line">
                        <a:avLst/>
                      </a:prstGeom>
                      <a:ln w="19050" cap="flat" cmpd="sng">
                        <a:solidFill>
                          <a:srgbClr val="000000"/>
                        </a:solidFill>
                        <a:prstDash val="solid"/>
                        <a:headEnd type="none" w="med" len="med"/>
                        <a:tailEnd type="none" w="med" len="med"/>
                      </a:ln>
                    </wps:spPr>
                    <wps:bodyPr upright="1"/>
                  </wps:wsp>
                </a:graphicData>
              </a:graphic>
            </wp:anchor>
          </w:drawing>
        </mc:Choice>
        <mc:Fallback>
          <w:pict>
            <v:line id="直线 13" o:spid="_x0000_s1026" o:spt="20" style="position:absolute;left:0pt;flip:x;margin-left:208.95pt;margin-top:5.5pt;height:0pt;width:211.05pt;z-index:251659264;mso-width-relative:page;mso-height-relative:page;" filled="f" stroked="t" coordsize="21600,21600" o:gfxdata="UEsDBAoAAAAAAIdO4kAAAAAAAAAAAAAAAAAEAAAAZHJzL1BLAwQUAAAACACHTuJAkUMKftQAAAAJ&#10;AQAADwAAAGRycy9kb3ducmV2LnhtbE1Py27CMBC8V+IfrK3UCyp2KtTSNA4HpCJVggPQD1jiJUkb&#10;r6PYPPr3XdRDue3sjOZRzC++UycaYhvYQjYxoIir4FquLXzu3h9noGJCdtgFJgs/FGFeju4KzF04&#10;84ZO21QrMeGYo4UmpT7XOlYNeYyT0BMLdwiDxyRwqLUb8CzmvtNPxjxrjy1LQoM9LRqqvrdHbyGO&#10;ebXerCR0R3QwX+N+ufQf1j7cZ+YNVKJL+hfDtb5Uh1I67cORXVSdhWn28ipSITLZJILZ1Mix/3vo&#10;stC3C8pfUEsDBBQAAAAIAIdO4kB6pzJx8wEAAOkDAAAOAAAAZHJzL2Uyb0RvYy54bWytU0uOEzEQ&#10;3SNxB8t70p2EGQ2tdGYxYWCBYCTgABW33W3JP7mcdHIWrsGKDceZa1B2ZwIMmyzoRavsKr9677m8&#10;uj1Yw/Yyovau5fNZzZl0wnfa9S3/+uX+1Q1nmMB1YLyTLT9K5Lfrly9WY2jkwg/edDIyAnHYjKHl&#10;Q0qhqSoUg7SAMx+ko6Ty0UKiZeyrLsJI6NZUi7q+rkYfuxC9kIi0u5mS/IQYLwH0SmkhN17srHRp&#10;Qo3SQCJJOOiAfF3YKiVF+qQUysRMy0lpKn9qQvE2/6v1Cpo+Qhi0OFGASyg802RBO2p6htpAAraL&#10;+h8oq0X06FWaCW+rSUhxhFTM62fefB4gyKKFrMZwNh3/H6z4uH+ITHc0Ca/JEweWrvzx2/fHHz/Z&#10;fJntGQM2VHXnHuJpheEhZq0HFS1TRof3dLqoJz3sUMw9ns2Vh8QEbS6ub+rl8ooz8ZSrJogMFSKm&#10;d9JbloOWG+2ybmhg/wETtaXSp5K8bRwbqeeb+oo4C6ApVHT7FNpAStD15TB6o7t7bUw+grHf3pnI&#10;9pAnoXxZHQH/VZa7bACHqa6kphkZJHRvXcfSMZBDjp4Gzxys7Dgzkl5SjggQmgTaXFJJrY0jBtng&#10;ydIcbX13pBvZhaj7gayYF5Y5QxNQ+J6mNY/Yn+uC9PuFrn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kUMKftQAAAAJAQAADwAAAAAAAAABACAAAAAiAAAAZHJzL2Rvd25yZXYueG1sUEsBAhQAFAAA&#10;AAgAh07iQHqnMnHzAQAA6QMAAA4AAAAAAAAAAQAgAAAAIwEAAGRycy9lMm9Eb2MueG1sUEsFBgAA&#10;AAAGAAYAWQEAAIgFAAAAAA==&#10;">
              <v:fill on="f" focussize="0,0"/>
              <v:stroke weight="1.5pt" color="#000000" joinstyle="round"/>
              <v:imagedata o:title=""/>
              <o:lock v:ext="edit" aspectratio="f"/>
            </v:line>
          </w:pict>
        </mc:Fallback>
      </mc:AlternateContent>
    </w:r>
    <w:r>
      <w:rPr>
        <w:rStyle w:val="62"/>
        <w:b/>
      </w:rPr>
      <w:fldChar w:fldCharType="begin"/>
    </w:r>
    <w:r>
      <w:rPr>
        <w:rStyle w:val="62"/>
        <w:b/>
      </w:rPr>
      <w:instrText xml:space="preserve"> PAGE </w:instrText>
    </w:r>
    <w:r>
      <w:rPr>
        <w:rStyle w:val="62"/>
        <w:b/>
      </w:rPr>
      <w:fldChar w:fldCharType="separate"/>
    </w:r>
    <w:r>
      <w:rPr>
        <w:rStyle w:val="62"/>
        <w:b/>
      </w:rPr>
      <w:t>IV</w:t>
    </w:r>
    <w:r>
      <w:rPr>
        <w:rStyle w:val="62"/>
        <w:b/>
      </w:rPr>
      <w:fldChar w:fldCharType="end"/>
    </w:r>
    <w:r>
      <w:rPr>
        <w:rStyle w:val="62"/>
        <w:rFonts w:hint="eastAsia"/>
      </w:rPr>
      <w:t xml:space="preserve">   </w:t>
    </w:r>
    <w:r>
      <w:rPr>
        <w:rFonts w:hint="eastAsia" w:eastAsia="宋体"/>
        <w:iCs/>
        <w:lang w:eastAsia="zh-CN"/>
      </w:rPr>
      <w:t>辽宁瑞恺技术咨询服务有限公司</w: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71EE9B">
    <w:pPr>
      <w:pStyle w:val="35"/>
      <w:tabs>
        <w:tab w:val="left" w:pos="4440"/>
        <w:tab w:val="clear" w:pos="4153"/>
        <w:tab w:val="clear" w:pos="8306"/>
      </w:tabs>
      <w:ind w:right="360" w:firstLine="270" w:firstLineChars="150"/>
      <w:rPr>
        <w:rFonts w:eastAsia="宋体"/>
      </w:rPr>
    </w:pPr>
    <w:r>
      <w:rPr>
        <w:sz w:val="18"/>
      </w:rPr>
      <mc:AlternateContent>
        <mc:Choice Requires="wps">
          <w:drawing>
            <wp:anchor distT="0" distB="0" distL="114300" distR="114300" simplePos="0" relativeHeight="251671552" behindDoc="0" locked="0" layoutInCell="1" allowOverlap="1">
              <wp:simplePos x="0" y="0"/>
              <wp:positionH relativeFrom="margin">
                <wp:align>outside</wp:align>
              </wp:positionH>
              <wp:positionV relativeFrom="paragraph">
                <wp:posOffset>0</wp:posOffset>
              </wp:positionV>
              <wp:extent cx="1828800" cy="1828800"/>
              <wp:effectExtent l="0" t="0" r="0" b="0"/>
              <wp:wrapNone/>
              <wp:docPr id="152" name="文本框 3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34CC25E4">
                          <w:pPr>
                            <w:pStyle w:val="35"/>
                            <w:tabs>
                              <w:tab w:val="left" w:pos="4440"/>
                              <w:tab w:val="clear" w:pos="4153"/>
                              <w:tab w:val="clear" w:pos="8306"/>
                            </w:tabs>
                            <w:ind w:right="360" w:firstLine="271" w:firstLineChars="150"/>
                          </w:pPr>
                          <w:r>
                            <w:rPr>
                              <w:rStyle w:val="62"/>
                              <w:rFonts w:eastAsia="宋体"/>
                              <w:b/>
                            </w:rPr>
                            <w:fldChar w:fldCharType="begin"/>
                          </w:r>
                          <w:r>
                            <w:rPr>
                              <w:rStyle w:val="62"/>
                              <w:rFonts w:eastAsia="宋体"/>
                              <w:b/>
                            </w:rPr>
                            <w:instrText xml:space="preserve"> PAGE </w:instrText>
                          </w:r>
                          <w:r>
                            <w:rPr>
                              <w:rStyle w:val="62"/>
                              <w:rFonts w:eastAsia="宋体"/>
                              <w:b/>
                            </w:rPr>
                            <w:fldChar w:fldCharType="separate"/>
                          </w:r>
                          <w:r>
                            <w:rPr>
                              <w:rStyle w:val="62"/>
                              <w:rFonts w:eastAsia="宋体"/>
                              <w:b/>
                            </w:rPr>
                            <w:t>250</w:t>
                          </w:r>
                          <w:r>
                            <w:rPr>
                              <w:rStyle w:val="62"/>
                              <w:rFonts w:eastAsia="宋体"/>
                              <w:b/>
                            </w:rPr>
                            <w:fldChar w:fldCharType="end"/>
                          </w:r>
                          <w:r>
                            <w:rPr>
                              <w:rStyle w:val="62"/>
                              <w:rFonts w:eastAsia="宋体"/>
                            </w:rPr>
                            <w:t xml:space="preserve">  </w:t>
                          </w:r>
                          <w:r>
                            <w:rPr>
                              <w:rStyle w:val="62"/>
                              <w:rFonts w:hint="eastAsia" w:eastAsia="宋体"/>
                              <w:lang w:eastAsia="zh-CN"/>
                            </w:rPr>
                            <w:t>辽宁瑞恺技术咨询服务有限公司</w:t>
                          </w:r>
                          <w:r>
                            <w:rPr>
                              <w:rStyle w:val="62"/>
                              <w:rFonts w:eastAsia="宋体"/>
                            </w:rPr>
                            <w:tab/>
                          </w:r>
                        </w:p>
                      </w:txbxContent>
                    </wps:txbx>
                    <wps:bodyPr vert="horz" wrap="none" lIns="0" tIns="0" rIns="0" bIns="0" anchor="t" anchorCtr="0" upright="0">
                      <a:spAutoFit/>
                    </wps:bodyPr>
                  </wps:wsp>
                </a:graphicData>
              </a:graphic>
            </wp:anchor>
          </w:drawing>
        </mc:Choice>
        <mc:Fallback>
          <w:pict>
            <v:shape id="文本框 34" o:spid="_x0000_s1026" o:spt="202" type="#_x0000_t202" style="position:absolute;left:0pt;margin-top:0pt;height:144pt;width:144pt;mso-position-horizontal:outside;mso-position-horizontal-relative:margin;mso-wrap-style:none;z-index:25167155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jpt1k+ABAADBAwAADgAAAGRycy9lMm9Eb2MueG1srVPNjtMwEL4j8Q6W&#10;7zTZ8qMqaroCqkVICJAWHsB1nMaS/+SZNikPAG/AiQt3nqvPwdhJurBc9sAlGc+Mv5nvm/H6erCG&#10;HVUE7V3NrxYlZ8pJ32i3r/nnTzdPVpwBCtcI452q+UkBv948frTuQ6WWvvOmUZERiIOqDzXvEENV&#10;FCA7ZQUsfFCOgq2PViAd475oougJ3ZpiWZYvit7HJkQvFQB5t2OQT4jxIYC+bbVUWy8PVjkcUaMy&#10;AokSdDoA3+Ru21ZJ/NC2oJCZmhNTzF8qQvYufYvNWlT7KEKn5dSCeEgL9zhZoR0VvUBtBQp2iPof&#10;KKtl9OBbXEhvi5FIVoRYXJX3tLntRFCZC0kN4SI6/D9Y+f74MTLd0CY8X3LmhKWRn79/O//4df75&#10;lT19lhTqA1SUeBsoFYdXfqDs2Q/kTMSHNtr0J0qM4qTv6aKvGpDJdGm1XK1KCkmKzQfCL+6uhwj4&#10;RnnLklHzSAPMuorjO8AxdU5J1Zy/0cbkIRr3l4Mwk6dIvY89JguH3TAR2vnmRHzoJVCdzscvnPW0&#10;BzV3tPacmbeOZE4rMxtxNnazIZykizVHzkbzNY6rdQhR77u8bKkpCC8PSJ1mAqmNsfbUHU02SzBt&#10;YVqdP8856+7lbX4D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SAQAAFtDb250ZW50X1R5cGVzXS54bWxQSwECFAAKAAAAAACHTuJAAAAAAAAAAAAA&#10;AAAABgAAAAAAAAAAABAAAAAqAwAAX3JlbHMvUEsBAhQAFAAAAAgAh07iQIoUZjzRAAAAlAEAAAsA&#10;AAAAAAAAAQAgAAAATgMAAF9yZWxzLy5yZWxzUEsBAhQACgAAAAAAh07iQAAAAAAAAAAAAAAAAAQA&#10;AAAAAAAAAAAQAAAAAAAAAGRycy9QSwECFAAUAAAACACHTuJAzql5uc8AAAAFAQAADwAAAAAAAAAB&#10;ACAAAAAiAAAAZHJzL2Rvd25yZXYueG1sUEsBAhQAFAAAAAgAh07iQI6bdZPgAQAAwQMAAA4AAAAA&#10;AAAAAQAgAAAAHgEAAGRycy9lMm9Eb2MueG1sUEsFBgAAAAAGAAYAWQEAAHAFAAAAAA==&#10;">
              <v:fill on="f" focussize="0,0"/>
              <v:stroke on="f"/>
              <v:imagedata o:title=""/>
              <o:lock v:ext="edit" aspectratio="f"/>
              <v:textbox inset="0mm,0mm,0mm,0mm" style="mso-fit-shape-to-text:t;">
                <w:txbxContent>
                  <w:p w14:paraId="34CC25E4">
                    <w:pPr>
                      <w:pStyle w:val="35"/>
                      <w:tabs>
                        <w:tab w:val="left" w:pos="4440"/>
                        <w:tab w:val="clear" w:pos="4153"/>
                        <w:tab w:val="clear" w:pos="8306"/>
                      </w:tabs>
                      <w:ind w:right="360" w:firstLine="271" w:firstLineChars="150"/>
                    </w:pPr>
                    <w:r>
                      <w:rPr>
                        <w:rStyle w:val="62"/>
                        <w:rFonts w:eastAsia="宋体"/>
                        <w:b/>
                      </w:rPr>
                      <w:fldChar w:fldCharType="begin"/>
                    </w:r>
                    <w:r>
                      <w:rPr>
                        <w:rStyle w:val="62"/>
                        <w:rFonts w:eastAsia="宋体"/>
                        <w:b/>
                      </w:rPr>
                      <w:instrText xml:space="preserve"> PAGE </w:instrText>
                    </w:r>
                    <w:r>
                      <w:rPr>
                        <w:rStyle w:val="62"/>
                        <w:rFonts w:eastAsia="宋体"/>
                        <w:b/>
                      </w:rPr>
                      <w:fldChar w:fldCharType="separate"/>
                    </w:r>
                    <w:r>
                      <w:rPr>
                        <w:rStyle w:val="62"/>
                        <w:rFonts w:eastAsia="宋体"/>
                        <w:b/>
                      </w:rPr>
                      <w:t>250</w:t>
                    </w:r>
                    <w:r>
                      <w:rPr>
                        <w:rStyle w:val="62"/>
                        <w:rFonts w:eastAsia="宋体"/>
                        <w:b/>
                      </w:rPr>
                      <w:fldChar w:fldCharType="end"/>
                    </w:r>
                    <w:r>
                      <w:rPr>
                        <w:rStyle w:val="62"/>
                        <w:rFonts w:eastAsia="宋体"/>
                      </w:rPr>
                      <w:t xml:space="preserve">  </w:t>
                    </w:r>
                    <w:r>
                      <w:rPr>
                        <w:rStyle w:val="62"/>
                        <w:rFonts w:hint="eastAsia" w:eastAsia="宋体"/>
                        <w:lang w:eastAsia="zh-CN"/>
                      </w:rPr>
                      <w:t>辽宁瑞恺技术咨询服务有限公司</w:t>
                    </w:r>
                    <w:r>
                      <w:rPr>
                        <w:rStyle w:val="62"/>
                        <w:rFonts w:eastAsia="宋体"/>
                      </w:rPr>
                      <w:tab/>
                    </w:r>
                  </w:p>
                </w:txbxContent>
              </v:textbox>
            </v:shape>
          </w:pict>
        </mc:Fallback>
      </mc:AlternateContent>
    </w:r>
    <w:r>
      <mc:AlternateContent>
        <mc:Choice Requires="wps">
          <w:drawing>
            <wp:anchor distT="0" distB="0" distL="114300" distR="114300" simplePos="0" relativeHeight="251663360" behindDoc="0" locked="0" layoutInCell="1" allowOverlap="1">
              <wp:simplePos x="0" y="0"/>
              <wp:positionH relativeFrom="column">
                <wp:posOffset>2453640</wp:posOffset>
              </wp:positionH>
              <wp:positionV relativeFrom="paragraph">
                <wp:posOffset>69850</wp:posOffset>
              </wp:positionV>
              <wp:extent cx="2880360" cy="0"/>
              <wp:effectExtent l="0" t="9525" r="15240" b="9525"/>
              <wp:wrapNone/>
              <wp:docPr id="144" name="直线 19"/>
              <wp:cNvGraphicFramePr/>
              <a:graphic xmlns:a="http://schemas.openxmlformats.org/drawingml/2006/main">
                <a:graphicData uri="http://schemas.microsoft.com/office/word/2010/wordprocessingShape">
                  <wps:wsp>
                    <wps:cNvCnPr/>
                    <wps:spPr>
                      <a:xfrm flipH="1">
                        <a:off x="0" y="0"/>
                        <a:ext cx="2880360" cy="0"/>
                      </a:xfrm>
                      <a:prstGeom prst="line">
                        <a:avLst/>
                      </a:prstGeom>
                      <a:ln w="19050" cap="flat" cmpd="sng">
                        <a:solidFill>
                          <a:srgbClr val="000000"/>
                        </a:solidFill>
                        <a:prstDash val="solid"/>
                        <a:headEnd type="none" w="med" len="med"/>
                        <a:tailEnd type="none" w="med" len="med"/>
                      </a:ln>
                    </wps:spPr>
                    <wps:bodyPr upright="1"/>
                  </wps:wsp>
                </a:graphicData>
              </a:graphic>
            </wp:anchor>
          </w:drawing>
        </mc:Choice>
        <mc:Fallback>
          <w:pict>
            <v:line id="直线 19" o:spid="_x0000_s1026" o:spt="20" style="position:absolute;left:0pt;flip:x;margin-left:193.2pt;margin-top:5.5pt;height:0pt;width:226.8pt;z-index:251663360;mso-width-relative:page;mso-height-relative:page;" filled="f" stroked="t" coordsize="21600,21600" o:gfxdata="UEsDBAoAAAAAAIdO4kAAAAAAAAAAAAAAAAAEAAAAZHJzL1BLAwQUAAAACACHTuJAlQpdJ9QAAAAJ&#10;AQAADwAAAGRycy9kb3ducmV2LnhtbE1Py07DMBC8I/EP1iJxqagdqKooxOkBiUpI7aGPD9jG2yQQ&#10;r6PYffD3XcQBbjs7o3mUi6vv1ZnG2AW2kE0NKOI6uI4bC/vd+1MOKiZkh31gsvBNERbV/V2JhQsX&#10;3tB5mxolJhwLtNCmNBRax7olj3EaBmLhjmH0mASOjXYjXsTc9/rZmLn22LEktDjQW0v11/bkLcQJ&#10;r9ablYTuiI7mczIsl/7D2seHzLyCSnRNf2L4qS/VoZJOh3BiF1Vv4SWfz0QqRCabRJDPjByH34eu&#10;Sv1/QXUDUEsDBBQAAAAIAIdO4kC95Vs48gEAAOkDAAAOAAAAZHJzL2Uyb0RvYy54bWytU0uOEzEQ&#10;3SNxB8t70p0wjGZa6cxiwsACQSTgABXb3W3JP7mcdHIWrsGKDceZa1B2ZwIMmyzoRavsKr9677m8&#10;vDtYw/Yqovau5fNZzZlywkvt+pZ//fLw6oYzTOAkGO9Uy48K+d3q5YvlGBq18IM3UkVGIA6bMbR8&#10;SCk0VYViUBZw5oNylOx8tJBoGftKRhgJ3ZpqUdfX1eijDNELhUi76ynJT4jxEkDfdVqotRc7q1ya&#10;UKMykEgSDjogXxW2XadE+tR1qBIzLSelqfypCcXb/K9WS2j6CGHQ4kQBLqHwTJMF7ajpGWoNCdgu&#10;6n+grBbRo+/STHhbTUKKI6RiXj/z5vMAQRUtZDWGs+n4/2DFx/0mMi1pEq6uOHNg6cofv31//PGT&#10;zW+zPWPAhqru3SaeVhg2MWs9dNGyzujwnk4X9aSHHYq5x7O56pCYoM3FzU39+pp8F0+5aoLIUCFi&#10;eqe8ZTloudEu64YG9h8wUVsqfSrJ28axkXre1m8yHtAUdnT7FNpAStD15TB6o+WDNiYfwdhv701k&#10;e8iTUL6sjoD/Kstd1oDDVFdS04wMCuRbJ1k6BnLI0dPgmYNVkjOj6CXliAChSaDNJZXU2jhikA2e&#10;LM3R1ssj3cguRN0PZMW8sMwZmoDC9zStecT+XBek3y909Qt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CVCl0n1AAAAAkBAAAPAAAAAAAAAAEAIAAAACIAAABkcnMvZG93bnJldi54bWxQSwECFAAUAAAA&#10;CACHTuJAveVbOPIBAADpAwAADgAAAAAAAAABACAAAAAjAQAAZHJzL2Uyb0RvYy54bWxQSwUGAAAA&#10;AAYABgBZAQAAhwUAAAAA&#10;">
              <v:fill on="f" focussize="0,0"/>
              <v:stroke weight="1.5pt" color="#000000" joinstyle="round"/>
              <v:imagedata o:title=""/>
              <o:lock v:ext="edit" aspectratio="f"/>
            </v:lin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8D928E"/>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09C382">
    <w:pPr>
      <w:pStyle w:val="35"/>
      <w:ind w:right="360" w:firstLine="360"/>
      <w:rPr>
        <w:rFonts w:hint="eastAsia" w:eastAsia="宋体"/>
        <w:lang w:eastAsia="zh-CN"/>
      </w:rPr>
    </w:pPr>
    <w:r>
      <w:rPr>
        <w:sz w:val="18"/>
      </w:rPr>
      <mc:AlternateContent>
        <mc:Choice Requires="wps">
          <w:drawing>
            <wp:anchor distT="0" distB="0" distL="114300" distR="114300" simplePos="0" relativeHeight="251672576" behindDoc="0" locked="0" layoutInCell="1" allowOverlap="1">
              <wp:simplePos x="0" y="0"/>
              <wp:positionH relativeFrom="margin">
                <wp:align>outside</wp:align>
              </wp:positionH>
              <wp:positionV relativeFrom="paragraph">
                <wp:posOffset>0</wp:posOffset>
              </wp:positionV>
              <wp:extent cx="1828800" cy="1828800"/>
              <wp:effectExtent l="0" t="0" r="0" b="0"/>
              <wp:wrapNone/>
              <wp:docPr id="153" name="文本框 3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3C2F922">
                          <w:pPr>
                            <w:pStyle w:val="35"/>
                            <w:rPr>
                              <w:rStyle w:val="62"/>
                              <w:b/>
                            </w:rPr>
                          </w:pPr>
                          <w:r>
                            <w:rPr>
                              <w:rStyle w:val="62"/>
                              <w:b/>
                            </w:rPr>
                            <w:fldChar w:fldCharType="begin"/>
                          </w:r>
                          <w:r>
                            <w:rPr>
                              <w:rStyle w:val="62"/>
                              <w:b/>
                            </w:rPr>
                            <w:instrText xml:space="preserve">PAGE  </w:instrText>
                          </w:r>
                          <w:r>
                            <w:rPr>
                              <w:rStyle w:val="62"/>
                              <w:b/>
                            </w:rPr>
                            <w:fldChar w:fldCharType="separate"/>
                          </w:r>
                          <w:r>
                            <w:rPr>
                              <w:rStyle w:val="62"/>
                              <w:b/>
                            </w:rPr>
                            <w:t>254</w:t>
                          </w:r>
                          <w:r>
                            <w:rPr>
                              <w:rStyle w:val="62"/>
                              <w:b/>
                            </w:rPr>
                            <w:fldChar w:fldCharType="end"/>
                          </w:r>
                        </w:p>
                      </w:txbxContent>
                    </wps:txbx>
                    <wps:bodyPr vert="horz" wrap="none" lIns="0" tIns="0" rIns="0" bIns="0" anchor="t" anchorCtr="0" upright="0">
                      <a:spAutoFit/>
                    </wps:bodyPr>
                  </wps:wsp>
                </a:graphicData>
              </a:graphic>
            </wp:anchor>
          </w:drawing>
        </mc:Choice>
        <mc:Fallback>
          <w:pict>
            <v:shape id="文本框 35" o:spid="_x0000_s1026" o:spt="202" type="#_x0000_t202" style="position:absolute;left:0pt;margin-top:0pt;height:144pt;width:144pt;mso-position-horizontal:outside;mso-position-horizontal-relative:margin;mso-wrap-style:none;z-index:25167257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ycSvsuEBAADBAwAADgAAAGRycy9lMm9Eb2MueG1srVPNjtMwEL4j8Q6W&#10;7zTZrhZVVdMVUC1CQoC08ACu4zSW/KfxtEl5AHgDTly481x9jh07SRd2L3vYSzKeGX8z3zfj1XVv&#10;DTsoiNq7il/MSs6Uk77Wblfxb19vXi04iyhcLYx3quJHFfn1+uWLVReWau5bb2oFjEBcXHah4i1i&#10;WBZFlK2yIs58UI6CjQcrkI6wK2oQHaFbU8zL8nXReagDeKliJO9mCPIREZ4C6JtGS7Xxcm+VwwEV&#10;lBFIlGKrQ+Tr3G3TKImfmyYqZKbixBTzl4qQvU3fYr0Syx2I0Go5tiCe0sIDTlZoR0XPUBuBgu1B&#10;P4KyWoKPvsGZ9LYYiGRFiMVF+UCb21YElbmQ1DGcRY/PBys/Hb4A0zVtwtUlZ05YGvnp18/T77+n&#10;Pz/Y5VVSqAtxSYm3gVKxf+t7yp78kZyJeN+ATX+ixChO+h7P+qoemUyXFvPFoqSQpNh0IPzi/nqA&#10;iO+VtywZFQcaYNZVHD5GHFKnlFTN+RttTB6icf85CDN5itT70GOysN/2I6Gtr4/Eh14C1Wk9fOes&#10;oz2ouKO158x8cCRzWpnJgMnYToZwki5WHDkbzHc4rNY+gN61edlSUzG82SN1mgmkNobaY3c02SzB&#10;uIVpdf4956z7l7e+A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EkEAABbQ29udGVudF9UeXBlc10ueG1sUEsBAhQACgAAAAAAh07iQAAAAAAAAAAA&#10;AAAAAAYAAAAAAAAAAAAQAAAAKwMAAF9yZWxzL1BLAQIUABQAAAAIAIdO4kCKFGY80QAAAJQBAAAL&#10;AAAAAAAAAAEAIAAAAE8DAABfcmVscy8ucmVsc1BLAQIUAAoAAAAAAIdO4kAAAAAAAAAAAAAAAAAE&#10;AAAAAAAAAAAAEAAAAAAAAABkcnMvUEsBAhQAFAAAAAgAh07iQM6pebnPAAAABQEAAA8AAAAAAAAA&#10;AQAgAAAAIgAAAGRycy9kb3ducmV2LnhtbFBLAQIUABQAAAAIAIdO4kDJxK+y4QEAAMEDAAAOAAAA&#10;AAAAAAEAIAAAAB4BAABkcnMvZTJvRG9jLnhtbFBLBQYAAAAABgAGAFkBAABxBQAAAAA=&#10;">
              <v:fill on="f" focussize="0,0"/>
              <v:stroke on="f"/>
              <v:imagedata o:title=""/>
              <o:lock v:ext="edit" aspectratio="f"/>
              <v:textbox inset="0mm,0mm,0mm,0mm" style="mso-fit-shape-to-text:t;">
                <w:txbxContent>
                  <w:p w14:paraId="23C2F922">
                    <w:pPr>
                      <w:pStyle w:val="35"/>
                      <w:rPr>
                        <w:rStyle w:val="62"/>
                        <w:b/>
                      </w:rPr>
                    </w:pPr>
                    <w:r>
                      <w:rPr>
                        <w:rStyle w:val="62"/>
                        <w:b/>
                      </w:rPr>
                      <w:fldChar w:fldCharType="begin"/>
                    </w:r>
                    <w:r>
                      <w:rPr>
                        <w:rStyle w:val="62"/>
                        <w:b/>
                      </w:rPr>
                      <w:instrText xml:space="preserve">PAGE  </w:instrText>
                    </w:r>
                    <w:r>
                      <w:rPr>
                        <w:rStyle w:val="62"/>
                        <w:b/>
                      </w:rPr>
                      <w:fldChar w:fldCharType="separate"/>
                    </w:r>
                    <w:r>
                      <w:rPr>
                        <w:rStyle w:val="62"/>
                        <w:b/>
                      </w:rPr>
                      <w:t>254</w:t>
                    </w:r>
                    <w:r>
                      <w:rPr>
                        <w:rStyle w:val="62"/>
                        <w:b/>
                      </w:rPr>
                      <w:fldChar w:fldCharType="end"/>
                    </w:r>
                  </w:p>
                </w:txbxContent>
              </v:textbox>
            </v:shape>
          </w:pict>
        </mc:Fallback>
      </mc:AlternateContent>
    </w:r>
    <w:r>
      <w:rPr>
        <w:rFonts w:eastAsia="宋体"/>
      </w:rPr>
      <mc:AlternateContent>
        <mc:Choice Requires="wps">
          <w:drawing>
            <wp:anchor distT="0" distB="0" distL="114300" distR="114300" simplePos="0" relativeHeight="251660288" behindDoc="0" locked="0" layoutInCell="1" allowOverlap="1">
              <wp:simplePos x="0" y="0"/>
              <wp:positionH relativeFrom="column">
                <wp:posOffset>2272665</wp:posOffset>
              </wp:positionH>
              <wp:positionV relativeFrom="paragraph">
                <wp:posOffset>79375</wp:posOffset>
              </wp:positionV>
              <wp:extent cx="3213735" cy="0"/>
              <wp:effectExtent l="0" t="9525" r="5715" b="9525"/>
              <wp:wrapNone/>
              <wp:docPr id="141" name="直线 15"/>
              <wp:cNvGraphicFramePr/>
              <a:graphic xmlns:a="http://schemas.openxmlformats.org/drawingml/2006/main">
                <a:graphicData uri="http://schemas.microsoft.com/office/word/2010/wordprocessingShape">
                  <wps:wsp>
                    <wps:cNvCnPr/>
                    <wps:spPr>
                      <a:xfrm flipH="1">
                        <a:off x="0" y="0"/>
                        <a:ext cx="3213735" cy="0"/>
                      </a:xfrm>
                      <a:prstGeom prst="line">
                        <a:avLst/>
                      </a:prstGeom>
                      <a:ln w="19050" cap="flat" cmpd="sng">
                        <a:solidFill>
                          <a:srgbClr val="000000"/>
                        </a:solidFill>
                        <a:prstDash val="solid"/>
                        <a:headEnd type="none" w="med" len="med"/>
                        <a:tailEnd type="none" w="med" len="med"/>
                      </a:ln>
                    </wps:spPr>
                    <wps:bodyPr upright="1"/>
                  </wps:wsp>
                </a:graphicData>
              </a:graphic>
            </wp:anchor>
          </w:drawing>
        </mc:Choice>
        <mc:Fallback>
          <w:pict>
            <v:line id="直线 15" o:spid="_x0000_s1026" o:spt="20" style="position:absolute;left:0pt;flip:x;margin-left:178.95pt;margin-top:6.25pt;height:0pt;width:253.05pt;z-index:251660288;mso-width-relative:page;mso-height-relative:page;" filled="f" stroked="t" coordsize="21600,21600" o:gfxdata="UEsDBAoAAAAAAIdO4kAAAAAAAAAAAAAAAAAEAAAAZHJzL1BLAwQUAAAACACHTuJAyCj5OdcAAAAJ&#10;AQAADwAAAGRycy9kb3ducmV2LnhtbE2PzU7DMBCE70i8g7VIXCpqt9DSpnF6QKISUntoywNs420S&#10;iNdR7P7w9iziAMfdGc18ky+vvlVn6mMT2MJoaEARl8E1XFl4378+zEDFhOywDUwWvijCsri9yTFz&#10;4cJbOu9SpSSEY4YW6pS6TOtY1uQxDkNHLNox9B6TnH2lXY8XCfetHhsz1R4bloYaO3qpqfzcnbyF&#10;OOD1ZruW0j3R0XwMutXKv1l7fzcyC1CJrunPDD/4gg6FMB3CiV1UrYXHyfNcrCKMJ6DEMJs+ybjD&#10;70MXuf6/oPgGUEsDBBQAAAAIAIdO4kBtqOuq8wEAAOkDAAAOAAAAZHJzL2Uyb0RvYy54bWytU0uO&#10;EzEQ3SNxB8t70t0J4dNKZxYTBhYIIg0coOJPtyX/ZDvp5CxcgxUbjjPXoOzOBBg2WeCFVXaVX9V7&#10;VV7dHI0mBxGicrajzaymRFjmuLJ9R79+uXvxhpKYwHLQzoqOnkSkN+vnz1ajb8XcDU5zEQiC2NiO&#10;vqNDSr6tqsgGYSDOnBcWndIFAwmPoa94gBHRja7mdf2qGl3gPjgmYsTbzeSkZ8RwDaCTUjGxcWxv&#10;hE0TahAaElKKg/KRrku1UgqWPksZRSK6o8g0lR2ToL3Le7VeQdsH8INi5xLgmhKecDKgLCa9QG0g&#10;AdkH9Q+UUSy46GSaMWeqiUhRBFk09RNt7gfwonBBqaO/iB7/Hyz7dNgGojhOwsuGEgsGW/7w7fvD&#10;j5+kWWZ5Rh9bjLq123A+Rb8NmetRBkOkVv4Dvi7skQ85FnFPF3HFMRGGl4t5s3i9WFLCHn3VBJGh&#10;fIjpvXCGZKOjWtnMG1o4fIwJ02LoY0i+1paMmPNtvcQ+MsAplNh9NI1HJtH25XF0WvE7pXV+EkO/&#10;u9WBHCBPQlmZHQL/FZazbCAOU1xxTTMyCODvLCfp5FEhi1+D5hqM4JRogT8pWwgIbQKlr4nE1Npi&#10;BVngSdJs7Rw/YUf2Pqh+QCmaUmX24ASUes/Tmkfsz3NB+v1D178A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YwQAAFtDb250ZW50X1R5cGVzXS54&#10;bWxQSwECFAAKAAAAAACHTuJAAAAAAAAAAAAAAAAABgAAAAAAAAAAABAAAABFAwAAX3JlbHMvUEsB&#10;AhQAFAAAAAgAh07iQIoUZjzRAAAAlAEAAAsAAAAAAAAAAQAgAAAAaQMAAF9yZWxzLy5yZWxzUEsB&#10;AhQACgAAAAAAh07iQAAAAAAAAAAAAAAAAAQAAAAAAAAAAAAQAAAAAAAAAGRycy9QSwECFAAUAAAA&#10;CACHTuJAyCj5OdcAAAAJAQAADwAAAAAAAAABACAAAAAiAAAAZHJzL2Rvd25yZXYueG1sUEsBAhQA&#10;FAAAAAgAh07iQG2o66rzAQAA6QMAAA4AAAAAAAAAAQAgAAAAJgEAAGRycy9lMm9Eb2MueG1sUEsF&#10;BgAAAAAGAAYAWQEAAIsFAAAAAA==&#10;">
              <v:fill on="f" focussize="0,0"/>
              <v:stroke weight="1.5pt" color="#000000" joinstyle="round"/>
              <v:imagedata o:title=""/>
              <o:lock v:ext="edit" aspectratio="f"/>
            </v:line>
          </w:pict>
        </mc:Fallback>
      </mc:AlternateContent>
    </w:r>
    <w:r>
      <w:rPr>
        <w:rFonts w:hint="eastAsia" w:eastAsia="宋体"/>
        <w:lang w:eastAsia="zh-CN"/>
      </w:rPr>
      <w:t>辽宁瑞恺技术咨询服务有限公司</w:t>
    </w:r>
  </w:p>
  <w:p w14:paraId="49AD9B20"/>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953705">
    <w:pPr>
      <w:pStyle w:val="35"/>
      <w:wordWrap w:val="0"/>
      <w:ind w:right="270" w:firstLine="360"/>
      <w:jc w:val="right"/>
      <w:rPr>
        <w:rFonts w:eastAsia="隶书"/>
        <w:iCs/>
      </w:rPr>
    </w:pPr>
    <w:r>
      <w:rPr>
        <w:rFonts w:eastAsia="宋体"/>
        <w:iCs/>
      </w:rPr>
      <mc:AlternateContent>
        <mc:Choice Requires="wps">
          <w:drawing>
            <wp:anchor distT="0" distB="0" distL="114300" distR="114300" simplePos="0" relativeHeight="251664384" behindDoc="0" locked="0" layoutInCell="1" allowOverlap="1">
              <wp:simplePos x="0" y="0"/>
              <wp:positionH relativeFrom="column">
                <wp:posOffset>88900</wp:posOffset>
              </wp:positionH>
              <wp:positionV relativeFrom="paragraph">
                <wp:posOffset>86995</wp:posOffset>
              </wp:positionV>
              <wp:extent cx="2745740" cy="0"/>
              <wp:effectExtent l="0" t="9525" r="0" b="9525"/>
              <wp:wrapNone/>
              <wp:docPr id="145" name="直线 21"/>
              <wp:cNvGraphicFramePr/>
              <a:graphic xmlns:a="http://schemas.openxmlformats.org/drawingml/2006/main">
                <a:graphicData uri="http://schemas.microsoft.com/office/word/2010/wordprocessingShape">
                  <wps:wsp>
                    <wps:cNvCnPr/>
                    <wps:spPr>
                      <a:xfrm flipH="1">
                        <a:off x="0" y="0"/>
                        <a:ext cx="2745740" cy="0"/>
                      </a:xfrm>
                      <a:prstGeom prst="line">
                        <a:avLst/>
                      </a:prstGeom>
                      <a:ln w="19050" cap="flat" cmpd="sng">
                        <a:solidFill>
                          <a:srgbClr val="000000"/>
                        </a:solidFill>
                        <a:prstDash val="solid"/>
                        <a:headEnd type="none" w="med" len="med"/>
                        <a:tailEnd type="none" w="med" len="med"/>
                      </a:ln>
                    </wps:spPr>
                    <wps:bodyPr upright="1"/>
                  </wps:wsp>
                </a:graphicData>
              </a:graphic>
            </wp:anchor>
          </w:drawing>
        </mc:Choice>
        <mc:Fallback>
          <w:pict>
            <v:line id="直线 21" o:spid="_x0000_s1026" o:spt="20" style="position:absolute;left:0pt;flip:x;margin-left:7pt;margin-top:6.85pt;height:0pt;width:216.2pt;z-index:251664384;mso-width-relative:page;mso-height-relative:page;" filled="f" stroked="t" coordsize="21600,21600" o:gfxdata="UEsDBAoAAAAAAIdO4kAAAAAAAAAAAAAAAAAEAAAAZHJzL1BLAwQUAAAACACHTuJAFit45NQAAAAI&#10;AQAADwAAAGRycy9kb3ducmV2LnhtbE1Py27CMBC8I/EP1lbqBRWbNqJVGocDUpEq0QPQD1jiJUkb&#10;r6PYPPr33aoHOK1mZzSPYnHxnTrRENvAFmZTA4q4Cq7l2sLn7u3hBVRMyA67wGThhyIsyvGowNyF&#10;M2/otE21EhOOOVpoUupzrWPVkMc4DT2xcIcweEwCh1q7Ac9i7jv9aMxce2xZEhrsadlQ9b09egtx&#10;wuuPzVpCd0QH8zXpVyv/bu393cy8gkp0SVcx/NWX6lBKp304souqE5zJlCT36RmU8Fk2z0Dt/x+6&#10;LPTtgPIXUEsDBBQAAAAIAIdO4kDuystz8QEAAOkDAAAOAAAAZHJzL2Uyb0RvYy54bWytU0uOEzEQ&#10;3SNxB8t70kmUMNBKZxYTBhYIIg0coOK2uy35J5eTTs7CNVix4ThzDcruTIBhkwVeWGVX+VW9V+XV&#10;7dEadpARtXcNn02mnEknfKtd1/CvX+5fveEME7gWjHey4SeJ/Hb98sVqCLWc+96bVkZGIA7rITS8&#10;TynUVYWilxZw4oN05FQ+Wkh0jF3VRhgI3ZpqPp2+rgYf2xC9kIh0uxmd/IwYrwH0SmkhN17srXRp&#10;RI3SQCJK2OuAfF2qVUqK9FkplImZhhPTVHZKQvYu79V6BXUXIfRanEuAa0p4xsmCdpT0ArWBBGwf&#10;9T9QVovo0as0Ed5WI5GiCLGYTZ9p89BDkIULSY3hIjr+P1jx6bCNTLc0CYslZw4stfzx2/fHHz/Z&#10;fJblGQLWFHXntvF8wrCNmetRRcuU0eEDvS7siQ87FnFPF3HlMTFBl/ObxfJmQbqLJ181QmSoEDG9&#10;l96ybDTcaJd5Qw2Hj5goLYU+heRr49hAOd9OlxkPaAoVdZ9MG4gJuq48Rm90e6+NyU8wdrs7E9kB&#10;8iSUldkR8F9hOcsGsB/jimuckV5C+861LJ0CKeToa/Bcg5UtZ0bST8oWAUKdQJtrIim1cVRBFniU&#10;NFs7356oI/sQddeTFKUHJYYmoNR7ntY8Yn+eC9LvH7r+B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BYreOTUAAAACAEAAA8AAAAAAAAAAQAgAAAAIgAAAGRycy9kb3ducmV2LnhtbFBLAQIUABQAAAAI&#10;AIdO4kDuystz8QEAAOkDAAAOAAAAAAAAAAEAIAAAACMBAABkcnMvZTJvRG9jLnhtbFBLBQYAAAAA&#10;BgAGAFkBAACGBQAAAAA=&#10;">
              <v:fill on="f" focussize="0,0"/>
              <v:stroke weight="1.5pt" color="#000000" joinstyle="round"/>
              <v:imagedata o:title=""/>
              <o:lock v:ext="edit" aspectratio="f"/>
            </v:line>
          </w:pict>
        </mc:Fallback>
      </mc:AlternateContent>
    </w:r>
    <w:r>
      <w:rPr>
        <w:rFonts w:hint="eastAsia" w:eastAsia="宋体"/>
        <w:iCs/>
        <w:lang w:eastAsia="zh-CN"/>
      </w:rPr>
      <w:t>辽宁瑞恺技术咨询服务有限公司</w:t>
    </w:r>
    <w:r>
      <w:rPr>
        <w:rFonts w:hint="eastAsia" w:ascii="隶书" w:eastAsia="隶书"/>
        <w:iCs/>
      </w:rPr>
      <w:t xml:space="preserve">   </w:t>
    </w:r>
    <w:r>
      <w:rPr>
        <w:rStyle w:val="62"/>
        <w:rFonts w:eastAsia="隶书"/>
        <w:b/>
      </w:rPr>
      <w:fldChar w:fldCharType="begin"/>
    </w:r>
    <w:r>
      <w:rPr>
        <w:rStyle w:val="62"/>
        <w:rFonts w:eastAsia="隶书"/>
        <w:b/>
      </w:rPr>
      <w:instrText xml:space="preserve"> PAGE </w:instrText>
    </w:r>
    <w:r>
      <w:rPr>
        <w:rStyle w:val="62"/>
        <w:rFonts w:eastAsia="隶书"/>
        <w:b/>
      </w:rPr>
      <w:fldChar w:fldCharType="separate"/>
    </w:r>
    <w:r>
      <w:rPr>
        <w:rStyle w:val="62"/>
        <w:rFonts w:eastAsia="隶书"/>
        <w:b/>
      </w:rPr>
      <w:t>143</w:t>
    </w:r>
    <w:r>
      <w:rPr>
        <w:rStyle w:val="62"/>
        <w:rFonts w:eastAsia="隶书"/>
        <w:b/>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4504E1">
    <w:pPr>
      <w:pStyle w:val="35"/>
      <w:wordWrap w:val="0"/>
      <w:ind w:right="270" w:firstLine="360"/>
      <w:jc w:val="right"/>
      <w:rPr>
        <w:rFonts w:eastAsia="隶书"/>
        <w:iCs/>
      </w:rPr>
    </w:pPr>
    <w:r>
      <w:rPr>
        <w:sz w:val="18"/>
      </w:rPr>
      <mc:AlternateContent>
        <mc:Choice Requires="wps">
          <w:drawing>
            <wp:anchor distT="0" distB="0" distL="114300" distR="114300" simplePos="0" relativeHeight="251667456" behindDoc="0" locked="0" layoutInCell="1" allowOverlap="1">
              <wp:simplePos x="0" y="0"/>
              <wp:positionH relativeFrom="margin">
                <wp:align>right</wp:align>
              </wp:positionH>
              <wp:positionV relativeFrom="paragraph">
                <wp:posOffset>0</wp:posOffset>
              </wp:positionV>
              <wp:extent cx="1828800" cy="1828800"/>
              <wp:effectExtent l="0" t="0" r="0" b="0"/>
              <wp:wrapNone/>
              <wp:docPr id="148" name="文本框 3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542216D">
                          <w:pPr>
                            <w:pStyle w:val="35"/>
                            <w:wordWrap w:val="0"/>
                            <w:ind w:right="270" w:firstLine="360"/>
                            <w:jc w:val="right"/>
                          </w:pPr>
                          <w:r>
                            <w:rPr>
                              <w:rFonts w:hint="eastAsia" w:eastAsia="宋体"/>
                              <w:iCs/>
                              <w:lang w:eastAsia="zh-CN"/>
                            </w:rPr>
                            <w:t>辽宁瑞恺技术咨询服务有限公司</w:t>
                          </w:r>
                          <w:r>
                            <w:rPr>
                              <w:rFonts w:hint="eastAsia" w:ascii="隶书" w:eastAsia="隶书"/>
                              <w:iCs/>
                            </w:rPr>
                            <w:t xml:space="preserve">   </w:t>
                          </w:r>
                          <w:r>
                            <w:rPr>
                              <w:rStyle w:val="62"/>
                              <w:rFonts w:eastAsia="隶书"/>
                              <w:b/>
                            </w:rPr>
                            <w:fldChar w:fldCharType="begin"/>
                          </w:r>
                          <w:r>
                            <w:rPr>
                              <w:rStyle w:val="62"/>
                              <w:rFonts w:eastAsia="隶书"/>
                              <w:b/>
                            </w:rPr>
                            <w:instrText xml:space="preserve"> PAGE </w:instrText>
                          </w:r>
                          <w:r>
                            <w:rPr>
                              <w:rStyle w:val="62"/>
                              <w:rFonts w:eastAsia="隶书"/>
                              <w:b/>
                            </w:rPr>
                            <w:fldChar w:fldCharType="separate"/>
                          </w:r>
                          <w:r>
                            <w:rPr>
                              <w:rStyle w:val="62"/>
                              <w:rFonts w:eastAsia="隶书"/>
                              <w:b/>
                            </w:rPr>
                            <w:t>143</w:t>
                          </w:r>
                          <w:r>
                            <w:rPr>
                              <w:rStyle w:val="62"/>
                              <w:rFonts w:eastAsia="隶书"/>
                              <w:b/>
                            </w:rPr>
                            <w:fldChar w:fldCharType="end"/>
                          </w:r>
                        </w:p>
                      </w:txbxContent>
                    </wps:txbx>
                    <wps:bodyPr vert="horz" wrap="none" lIns="0" tIns="0" rIns="0" bIns="0" anchor="t" anchorCtr="0" upright="0">
                      <a:spAutoFit/>
                    </wps:bodyPr>
                  </wps:wsp>
                </a:graphicData>
              </a:graphic>
            </wp:anchor>
          </w:drawing>
        </mc:Choice>
        <mc:Fallback>
          <w:pict>
            <v:shape id="文本框 30" o:spid="_x0000_s1026" o:spt="202" type="#_x0000_t202" style="position:absolute;left:0pt;margin-top:0pt;height:144pt;width:144pt;mso-position-horizontal:right;mso-position-horizontal-relative:margin;mso-wrap-style:none;z-index:25166745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8YHoct8BAADBAwAADgAAAGRycy9lMm9Eb2MueG1srVPBjtMwEL0j8Q+W&#10;7zTZglBVNV0B1SIkBEgLH+A6TmPJ9lj2tEn5APgDTly48139jh07SQu7lz3sJRnPjN/MezNeXffW&#10;sIMKUYOr+NWs5Ew5CbV2u4p/+3rzYsFZROFqYcCpih9V5Nfr589WnV+qObRgahUYgbi47HzFW0S/&#10;LIooW2VFnIFXjoINBCuQjmFX1EF0hG5NMS/L10UHofYBpIqRvJshyEfE8BhAaBot1Qbk3iqHA2pQ&#10;RiBRiq32ka9zt02jJH5umqiQmYoTU8xfKkL2Nn2L9Uosd0H4VsuxBfGYFu5xskI7KnqG2ggUbB/0&#10;AyirZYAIDc4k2GIgkhUhFlflPW1uW+FV5kJSR38WPT4drPx0+BKYrmkTXtHgnbA08tOvn6fff09/&#10;frCXWaHOxyUl3npKxf4t9JSdlEv+SM5EvG+CTX+ixChO+h7P+qoemUyXFvPFoqSQpNh0IJzict2H&#10;iO8VWJaMigcaYNZVHD5GHFKnlFTNwY02Jg/RuP8chJk8xaXHZGG/7cfGt1AfiQ+9BKrTQvjOWUd7&#10;UHFHa8+Z+eBI5rQykxEmYzsZwkm6WHHkbDDf4bBaex/0rs3LlpqK/s0eqdNMILUx1B67o8lmCcYt&#10;TKvz7zlnXV7e+g5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BHBAAAW0NvbnRlbnRfVHlwZXNdLnhtbFBLAQIUAAoAAAAAAIdO4kAAAAAAAAAAAAAA&#10;AAAGAAAAAAAAAAAAEAAAACkDAABfcmVscy9QSwECFAAUAAAACACHTuJAihRmPNEAAACUAQAACwAA&#10;AAAAAAABACAAAABNAwAAX3JlbHMvLnJlbHNQSwECFAAKAAAAAACHTuJAAAAAAAAAAAAAAAAABAAA&#10;AAAAAAAAABAAAAAAAAAAZHJzL1BLAQIUABQAAAAIAIdO4kDOqXm5zwAAAAUBAAAPAAAAAAAAAAEA&#10;IAAAACIAAABkcnMvZG93bnJldi54bWxQSwECFAAUAAAACACHTuJA8YHoct8BAADBAwAADgAAAAAA&#10;AAABACAAAAAeAQAAZHJzL2Uyb0RvYy54bWxQSwUGAAAAAAYABgBZAQAAbwUAAAAA&#10;">
              <v:fill on="f" focussize="0,0"/>
              <v:stroke on="f"/>
              <v:imagedata o:title=""/>
              <o:lock v:ext="edit" aspectratio="f"/>
              <v:textbox inset="0mm,0mm,0mm,0mm" style="mso-fit-shape-to-text:t;">
                <w:txbxContent>
                  <w:p w14:paraId="7542216D">
                    <w:pPr>
                      <w:pStyle w:val="35"/>
                      <w:wordWrap w:val="0"/>
                      <w:ind w:right="270" w:firstLine="360"/>
                      <w:jc w:val="right"/>
                    </w:pPr>
                    <w:r>
                      <w:rPr>
                        <w:rFonts w:hint="eastAsia" w:eastAsia="宋体"/>
                        <w:iCs/>
                        <w:lang w:eastAsia="zh-CN"/>
                      </w:rPr>
                      <w:t>辽宁瑞恺技术咨询服务有限公司</w:t>
                    </w:r>
                    <w:r>
                      <w:rPr>
                        <w:rFonts w:hint="eastAsia" w:ascii="隶书" w:eastAsia="隶书"/>
                        <w:iCs/>
                      </w:rPr>
                      <w:t xml:space="preserve">   </w:t>
                    </w:r>
                    <w:r>
                      <w:rPr>
                        <w:rStyle w:val="62"/>
                        <w:rFonts w:eastAsia="隶书"/>
                        <w:b/>
                      </w:rPr>
                      <w:fldChar w:fldCharType="begin"/>
                    </w:r>
                    <w:r>
                      <w:rPr>
                        <w:rStyle w:val="62"/>
                        <w:rFonts w:eastAsia="隶书"/>
                        <w:b/>
                      </w:rPr>
                      <w:instrText xml:space="preserve"> PAGE </w:instrText>
                    </w:r>
                    <w:r>
                      <w:rPr>
                        <w:rStyle w:val="62"/>
                        <w:rFonts w:eastAsia="隶书"/>
                        <w:b/>
                      </w:rPr>
                      <w:fldChar w:fldCharType="separate"/>
                    </w:r>
                    <w:r>
                      <w:rPr>
                        <w:rStyle w:val="62"/>
                        <w:rFonts w:eastAsia="隶书"/>
                        <w:b/>
                      </w:rPr>
                      <w:t>143</w:t>
                    </w:r>
                    <w:r>
                      <w:rPr>
                        <w:rStyle w:val="62"/>
                        <w:rFonts w:eastAsia="隶书"/>
                        <w:b/>
                      </w:rPr>
                      <w:fldChar w:fldCharType="end"/>
                    </w:r>
                  </w:p>
                </w:txbxContent>
              </v:textbox>
            </v:shape>
          </w:pict>
        </mc:Fallback>
      </mc:AlternateContent>
    </w:r>
    <w:r>
      <w:rPr>
        <w:rFonts w:eastAsia="宋体"/>
        <w:iCs/>
      </w:rPr>
      <mc:AlternateContent>
        <mc:Choice Requires="wps">
          <w:drawing>
            <wp:anchor distT="0" distB="0" distL="114300" distR="114300" simplePos="0" relativeHeight="251665408" behindDoc="0" locked="0" layoutInCell="1" allowOverlap="1">
              <wp:simplePos x="0" y="0"/>
              <wp:positionH relativeFrom="column">
                <wp:posOffset>88900</wp:posOffset>
              </wp:positionH>
              <wp:positionV relativeFrom="paragraph">
                <wp:posOffset>86995</wp:posOffset>
              </wp:positionV>
              <wp:extent cx="2745740" cy="0"/>
              <wp:effectExtent l="0" t="9525" r="0" b="9525"/>
              <wp:wrapNone/>
              <wp:docPr id="146" name="直线 28"/>
              <wp:cNvGraphicFramePr/>
              <a:graphic xmlns:a="http://schemas.openxmlformats.org/drawingml/2006/main">
                <a:graphicData uri="http://schemas.microsoft.com/office/word/2010/wordprocessingShape">
                  <wps:wsp>
                    <wps:cNvCnPr/>
                    <wps:spPr>
                      <a:xfrm flipH="1">
                        <a:off x="0" y="0"/>
                        <a:ext cx="2745740" cy="0"/>
                      </a:xfrm>
                      <a:prstGeom prst="line">
                        <a:avLst/>
                      </a:prstGeom>
                      <a:ln w="19050" cap="flat" cmpd="sng">
                        <a:solidFill>
                          <a:srgbClr val="000000"/>
                        </a:solidFill>
                        <a:prstDash val="solid"/>
                        <a:headEnd type="none" w="med" len="med"/>
                        <a:tailEnd type="none" w="med" len="med"/>
                      </a:ln>
                    </wps:spPr>
                    <wps:bodyPr upright="1"/>
                  </wps:wsp>
                </a:graphicData>
              </a:graphic>
            </wp:anchor>
          </w:drawing>
        </mc:Choice>
        <mc:Fallback>
          <w:pict>
            <v:line id="直线 28" o:spid="_x0000_s1026" o:spt="20" style="position:absolute;left:0pt;flip:x;margin-left:7pt;margin-top:6.85pt;height:0pt;width:216.2pt;z-index:251665408;mso-width-relative:page;mso-height-relative:page;" filled="f" stroked="t" coordsize="21600,21600" o:gfxdata="UEsDBAoAAAAAAIdO4kAAAAAAAAAAAAAAAAAEAAAAZHJzL1BLAwQUAAAACACHTuJAFit45NQAAAAI&#10;AQAADwAAAGRycy9kb3ducmV2LnhtbE1Py27CMBC8I/EP1lbqBRWbNqJVGocDUpEq0QPQD1jiJUkb&#10;r6PYPPr33aoHOK1mZzSPYnHxnTrRENvAFmZTA4q4Cq7l2sLn7u3hBVRMyA67wGThhyIsyvGowNyF&#10;M2/otE21EhOOOVpoUupzrWPVkMc4DT2xcIcweEwCh1q7Ac9i7jv9aMxce2xZEhrsadlQ9b09egtx&#10;wuuPzVpCd0QH8zXpVyv/bu393cy8gkp0SVcx/NWX6lBKp304souqE5zJlCT36RmU8Fk2z0Dt/x+6&#10;LPTtgPIXUEsDBBQAAAAIAIdO4kDlEdBA8gEAAOkDAAAOAAAAZHJzL2Uyb0RvYy54bWytU0uOEzEQ&#10;3SNxB8t70kmU+dBKZxYTBhYIIg0coOK2uy35J5eTTs7CNVix4ThzDcruTIBhkwW9aJVd5VfvPZeX&#10;dwdr2F5G1N41fDaZciad8K12XcO/fnl4c8sZJnAtGO9kw48S+d3q9avlEGo59703rYyMQBzWQ2h4&#10;n1KoqwpFLy3gxAfpKKl8tJBoGbuqjTAQujXVfDq9rgYf2xC9kIi0ux6T/IQYLwH0Smkh117srHRp&#10;RI3SQCJJ2OuAfFXYKiVF+qwUysRMw0lpKn9qQvE2/6vVEuouQui1OFGASyi80GRBO2p6hlpDAraL&#10;+h8oq0X06FWaCG+rUUhxhFTMpi+8eewhyKKFrMZwNh3/H6z4tN9EpluahMU1Zw4sXfnTt+9PP36y&#10;+W22ZwhYU9W928TTCsMmZq0HFS1TRocPdLqoJz3sUMw9ns2Vh8QEbc5vFlc3C/JdPOeqESJDhYjp&#10;vfSW5aDhRrusG2rYf8REban0uSRvG8cG6vl2epXxgKZQ0e1TaAMpQdeVw+iNbh+0MfkIxm57byLb&#10;Q56E8mV1BPxXWe6yBuzHupIaZ6SX0L5zLUvHQA45eho8c7Cy5cxIekk5IkCoE2hzSSW1No4YZINH&#10;S3O09e2RbmQXou56smJWWOYMTUDhe5rWPGJ/rgvS7xe6+gV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AWK3jk1AAAAAgBAAAPAAAAAAAAAAEAIAAAACIAAABkcnMvZG93bnJldi54bWxQSwECFAAUAAAA&#10;CACHTuJA5RHQQPIBAADpAwAADgAAAAAAAAABACAAAAAjAQAAZHJzL2Uyb0RvYy54bWxQSwUGAAAA&#10;AAYABgBZAQAAhwUAAAAA&#10;">
              <v:fill on="f" focussize="0,0"/>
              <v:stroke weight="1.5pt" color="#000000" joinstyle="round"/>
              <v:imagedata o:title=""/>
              <o:lock v:ext="edit" aspectratio="f"/>
            </v:lin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EA62EA">
    <w:pPr>
      <w:pStyle w:val="35"/>
      <w:ind w:right="360" w:firstLine="270" w:firstLineChars="150"/>
      <w:rPr>
        <w:rFonts w:hint="eastAsia" w:eastAsia="宋体（打印机字体）"/>
        <w:lang w:eastAsia="zh-CN"/>
      </w:rPr>
    </w:pPr>
    <w:r>
      <w:rPr>
        <w:sz w:val="18"/>
      </w:rPr>
      <mc:AlternateContent>
        <mc:Choice Requires="wps">
          <w:drawing>
            <wp:anchor distT="0" distB="0" distL="114300" distR="114300" simplePos="0" relativeHeight="251668480" behindDoc="0" locked="0" layoutInCell="1" allowOverlap="1">
              <wp:simplePos x="0" y="0"/>
              <wp:positionH relativeFrom="margin">
                <wp:align>right</wp:align>
              </wp:positionH>
              <wp:positionV relativeFrom="paragraph">
                <wp:posOffset>0</wp:posOffset>
              </wp:positionV>
              <wp:extent cx="1828800" cy="1828800"/>
              <wp:effectExtent l="0" t="0" r="0" b="0"/>
              <wp:wrapNone/>
              <wp:docPr id="149" name="文本框 3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B2790DA">
                          <w:pPr>
                            <w:pStyle w:val="35"/>
                            <w:ind w:right="360" w:firstLine="271" w:firstLineChars="150"/>
                          </w:pPr>
                          <w:r>
                            <w:rPr>
                              <w:rStyle w:val="62"/>
                              <w:b/>
                            </w:rPr>
                            <w:fldChar w:fldCharType="begin"/>
                          </w:r>
                          <w:r>
                            <w:rPr>
                              <w:rStyle w:val="62"/>
                              <w:b/>
                            </w:rPr>
                            <w:instrText xml:space="preserve"> PAGE </w:instrText>
                          </w:r>
                          <w:r>
                            <w:rPr>
                              <w:rStyle w:val="62"/>
                              <w:b/>
                            </w:rPr>
                            <w:fldChar w:fldCharType="separate"/>
                          </w:r>
                          <w:r>
                            <w:rPr>
                              <w:rStyle w:val="62"/>
                              <w:b/>
                            </w:rPr>
                            <w:t>IV</w:t>
                          </w:r>
                          <w:r>
                            <w:rPr>
                              <w:rStyle w:val="62"/>
                              <w:b/>
                            </w:rPr>
                            <w:fldChar w:fldCharType="end"/>
                          </w:r>
                          <w:r>
                            <w:rPr>
                              <w:rStyle w:val="62"/>
                              <w:rFonts w:hint="eastAsia"/>
                            </w:rPr>
                            <w:t xml:space="preserve">   </w:t>
                          </w:r>
                          <w:r>
                            <w:rPr>
                              <w:rFonts w:hint="eastAsia" w:eastAsia="宋体"/>
                              <w:iCs/>
                              <w:lang w:eastAsia="zh-CN"/>
                            </w:rPr>
                            <w:t>辽宁瑞恺技术咨询服务有限公司</w:t>
                          </w:r>
                        </w:p>
                      </w:txbxContent>
                    </wps:txbx>
                    <wps:bodyPr vert="horz" wrap="none" lIns="0" tIns="0" rIns="0" bIns="0" anchor="t" anchorCtr="0" upright="0">
                      <a:spAutoFit/>
                    </wps:bodyPr>
                  </wps:wsp>
                </a:graphicData>
              </a:graphic>
            </wp:anchor>
          </w:drawing>
        </mc:Choice>
        <mc:Fallback>
          <w:pict>
            <v:shape id="文本框 31" o:spid="_x0000_s1026" o:spt="202" type="#_x0000_t202" style="position:absolute;left:0pt;margin-top:0pt;height:144pt;width:144pt;mso-position-horizontal:right;mso-position-horizontal-relative:margin;mso-wrap-style:none;z-index:25166848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tt4yU+ABAADBAwAADgAAAGRycy9lMm9Eb2MueG1srVPBjtMwEL0j8Q+W&#10;7zRpQahETVdAtQgJAdLCB7iO01iyPdbYbVI+AP6AExfufFe/g7HTdNndyx64JOOZ8Zt5b8arq8Ea&#10;dlAYNLiaz2clZ8pJaLTb1fzrl+tnS85CFK4RBpyq+VEFfrV++mTV+0otoAPTKGQE4kLV+5p3Mfqq&#10;KILslBVhBl45CraAVkQ64q5oUPSEbk2xKMuXRQ/YeASpQiDvZgzyMyI+BhDaVku1Abm3ysURFZUR&#10;kSiFTvvA17nbtlUyfmrboCIzNSemMX+pCNnb9C3WK1HtUPhOy3ML4jEt3ONkhXZU9AK1EVGwPeoH&#10;UFZLhABtnEmwxUgkK0Is5uU9bW464VXmQlIHfxE9/D9Y+fHwGZluaBNevOLMCUsjP/38cfr15/T7&#10;O3s+Twr1PlSUeOMpNQ5vYKDsyR/ImYgPLdr0J0qM4qTv8aKvGiKT6dJysVyWFJIUmw6EX9xe9xji&#10;OwWWJaPmSAPMuorDhxDH1CklVXNwrY3JQzTujoMwk6dIvY89JisO2+FMaAvNkfjQS6A6HeA3znra&#10;g5o7WnvOzHtHMqeVmQycjO1kCCfpYs0jZ6P5No6rtfeod11ettRU8K/3kTrNBFIbY+1zdzTZLMF5&#10;C9Pq/HvOWbcvb/0X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SAQAAFtDb250ZW50X1R5cGVzXS54bWxQSwECFAAKAAAAAACHTuJAAAAAAAAAAAAA&#10;AAAABgAAAAAAAAAAABAAAAAqAwAAX3JlbHMvUEsBAhQAFAAAAAgAh07iQIoUZjzRAAAAlAEAAAsA&#10;AAAAAAAAAQAgAAAATgMAAF9yZWxzLy5yZWxzUEsBAhQACgAAAAAAh07iQAAAAAAAAAAAAAAAAAQA&#10;AAAAAAAAAAAQAAAAAAAAAGRycy9QSwECFAAUAAAACACHTuJAzql5uc8AAAAFAQAADwAAAAAAAAAB&#10;ACAAAAAiAAAAZHJzL2Rvd25yZXYueG1sUEsBAhQAFAAAAAgAh07iQLbeMlPgAQAAwQMAAA4AAAAA&#10;AAAAAQAgAAAAHgEAAGRycy9lMm9Eb2MueG1sUEsFBgAAAAAGAAYAWQEAAHAFAAAAAA==&#10;">
              <v:fill on="f" focussize="0,0"/>
              <v:stroke on="f"/>
              <v:imagedata o:title=""/>
              <o:lock v:ext="edit" aspectratio="f"/>
              <v:textbox inset="0mm,0mm,0mm,0mm" style="mso-fit-shape-to-text:t;">
                <w:txbxContent>
                  <w:p w14:paraId="2B2790DA">
                    <w:pPr>
                      <w:pStyle w:val="35"/>
                      <w:ind w:right="360" w:firstLine="271" w:firstLineChars="150"/>
                    </w:pPr>
                    <w:r>
                      <w:rPr>
                        <w:rStyle w:val="62"/>
                        <w:b/>
                      </w:rPr>
                      <w:fldChar w:fldCharType="begin"/>
                    </w:r>
                    <w:r>
                      <w:rPr>
                        <w:rStyle w:val="62"/>
                        <w:b/>
                      </w:rPr>
                      <w:instrText xml:space="preserve"> PAGE </w:instrText>
                    </w:r>
                    <w:r>
                      <w:rPr>
                        <w:rStyle w:val="62"/>
                        <w:b/>
                      </w:rPr>
                      <w:fldChar w:fldCharType="separate"/>
                    </w:r>
                    <w:r>
                      <w:rPr>
                        <w:rStyle w:val="62"/>
                        <w:b/>
                      </w:rPr>
                      <w:t>IV</w:t>
                    </w:r>
                    <w:r>
                      <w:rPr>
                        <w:rStyle w:val="62"/>
                        <w:b/>
                      </w:rPr>
                      <w:fldChar w:fldCharType="end"/>
                    </w:r>
                    <w:r>
                      <w:rPr>
                        <w:rStyle w:val="62"/>
                        <w:rFonts w:hint="eastAsia"/>
                      </w:rPr>
                      <w:t xml:space="preserve">   </w:t>
                    </w:r>
                    <w:r>
                      <w:rPr>
                        <w:rFonts w:hint="eastAsia" w:eastAsia="宋体"/>
                        <w:iCs/>
                        <w:lang w:eastAsia="zh-CN"/>
                      </w:rPr>
                      <w:t>辽宁瑞恺技术咨询服务有限公司</w:t>
                    </w:r>
                  </w:p>
                </w:txbxContent>
              </v:textbox>
            </v:shape>
          </w:pict>
        </mc:Fallback>
      </mc:AlternateContent>
    </w:r>
    <w:r>
      <mc:AlternateContent>
        <mc:Choice Requires="wps">
          <w:drawing>
            <wp:anchor distT="0" distB="0" distL="114300" distR="114300" simplePos="0" relativeHeight="251666432" behindDoc="0" locked="0" layoutInCell="1" allowOverlap="1">
              <wp:simplePos x="0" y="0"/>
              <wp:positionH relativeFrom="column">
                <wp:posOffset>2653665</wp:posOffset>
              </wp:positionH>
              <wp:positionV relativeFrom="paragraph">
                <wp:posOffset>69850</wp:posOffset>
              </wp:positionV>
              <wp:extent cx="2680335" cy="0"/>
              <wp:effectExtent l="0" t="9525" r="5715" b="9525"/>
              <wp:wrapNone/>
              <wp:docPr id="147" name="直线 29"/>
              <wp:cNvGraphicFramePr/>
              <a:graphic xmlns:a="http://schemas.openxmlformats.org/drawingml/2006/main">
                <a:graphicData uri="http://schemas.microsoft.com/office/word/2010/wordprocessingShape">
                  <wps:wsp>
                    <wps:cNvCnPr/>
                    <wps:spPr>
                      <a:xfrm flipH="1">
                        <a:off x="0" y="0"/>
                        <a:ext cx="2680335" cy="0"/>
                      </a:xfrm>
                      <a:prstGeom prst="line">
                        <a:avLst/>
                      </a:prstGeom>
                      <a:ln w="19050" cap="flat" cmpd="sng">
                        <a:solidFill>
                          <a:srgbClr val="000000"/>
                        </a:solidFill>
                        <a:prstDash val="solid"/>
                        <a:headEnd type="none" w="med" len="med"/>
                        <a:tailEnd type="none" w="med" len="med"/>
                      </a:ln>
                    </wps:spPr>
                    <wps:bodyPr upright="1"/>
                  </wps:wsp>
                </a:graphicData>
              </a:graphic>
            </wp:anchor>
          </w:drawing>
        </mc:Choice>
        <mc:Fallback>
          <w:pict>
            <v:line id="直线 29" o:spid="_x0000_s1026" o:spt="20" style="position:absolute;left:0pt;flip:x;margin-left:208.95pt;margin-top:5.5pt;height:0pt;width:211.05pt;z-index:251666432;mso-width-relative:page;mso-height-relative:page;" filled="f" stroked="t" coordsize="21600,21600" o:gfxdata="UEsDBAoAAAAAAIdO4kAAAAAAAAAAAAAAAAAEAAAAZHJzL1BLAwQUAAAACACHTuJAkUMKftQAAAAJ&#10;AQAADwAAAGRycy9kb3ducmV2LnhtbE1Py27CMBC8V+IfrK3UCyp2KtTSNA4HpCJVggPQD1jiJUkb&#10;r6PYPPr3XdRDue3sjOZRzC++UycaYhvYQjYxoIir4FquLXzu3h9noGJCdtgFJgs/FGFeju4KzF04&#10;84ZO21QrMeGYo4UmpT7XOlYNeYyT0BMLdwiDxyRwqLUb8CzmvtNPxjxrjy1LQoM9LRqqvrdHbyGO&#10;ebXerCR0R3QwX+N+ufQf1j7cZ+YNVKJL+hfDtb5Uh1I67cORXVSdhWn28ipSITLZJILZ1Mix/3vo&#10;stC3C8pfUEsDBBQAAAAIAIdO4kAbr8yB9AEAAOkDAAAOAAAAZHJzL2Uyb0RvYy54bWytU81uEzEQ&#10;viPxDpbvZDcpLe0qmx4aCgcEkYAHmHjtXUv+k8fJJs/Ca3DiwuP0NRh70wDl0gM+WGPP+Jv5vhkv&#10;bw/WsL2MqL1r+XxWcyad8J12fcu/frl/dc0ZJnAdGO9ky48S+e3q5YvlGBq58IM3nYyMQBw2Y2j5&#10;kFJoqgrFIC3gzAfpyKl8tJDoGPuqizASujXVoq6vqtHHLkQvJCLdricnPyHG5wB6pbSQay92Vro0&#10;oUZpIBElHHRAvirVKiVF+qQUysRMy4lpKjslIXub92q1hKaPEAYtTiXAc0p4wsmCdpT0DLWGBGwX&#10;9T9QVovo0as0E95WE5GiCLGY10+0+TxAkIULSY3hLDr+P1jxcb+JTHc0Ca/fcObAUssfvn1/+PGT&#10;LW6yPGPAhqLu3CaeThg2MXM9qGiZMjq8p9eFPfFhhyLu8SyuPCQm6HJxdV1fXFxyJh591QSRoULE&#10;9E56y7LRcqNd5g0N7D9gorQU+hiSr41jI+W8qS+pjwJoChV1n0wbiAm6vjxGb3R3r43JTzD22zsT&#10;2R7yJJSV2RHwX2E5yxpwmOKKa5qRQUL31nUsHQMp5Ohr8FyDlR1nRtJPyhYBQpNAm+dEUmrjqIIs&#10;8CRptra+O1JHdiHqfiAp5qXK7KEJKPWepjWP2J/ngvT7h65+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GEEAABbQ29udGVudF9UeXBlc10ueG1s&#10;UEsBAhQACgAAAAAAh07iQAAAAAAAAAAAAAAAAAYAAAAAAAAAAAAQAAAAQwMAAF9yZWxzL1BLAQIU&#10;ABQAAAAIAIdO4kCKFGY80QAAAJQBAAALAAAAAAAAAAEAIAAAAGcDAABfcmVscy8ucmVsc1BLAQIU&#10;AAoAAAAAAIdO4kAAAAAAAAAAAAAAAAAEAAAAAAAAAAAAEAAAAAAAAABkcnMvUEsBAhQAFAAAAAgA&#10;h07iQJFDCn7UAAAACQEAAA8AAAAAAAAAAQAgAAAAIgAAAGRycy9kb3ducmV2LnhtbFBLAQIUABQA&#10;AAAIAIdO4kAbr8yB9AEAAOkDAAAOAAAAAAAAAAEAIAAAACMBAABkcnMvZTJvRG9jLnhtbFBLBQYA&#10;AAAABgAGAFkBAACJBQAAAAA=&#10;">
              <v:fill on="f" focussize="0,0"/>
              <v:stroke weight="1.5pt" color="#000000" joinstyle="round"/>
              <v:imagedata o:title=""/>
              <o:lock v:ext="edit" aspectratio="f"/>
            </v:lin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556FE7">
    <w:pPr>
      <w:pStyle w:val="35"/>
      <w:wordWrap w:val="0"/>
      <w:ind w:right="270" w:firstLine="360"/>
      <w:jc w:val="right"/>
      <w:rPr>
        <w:rFonts w:eastAsia="隶书"/>
        <w:iCs/>
      </w:rPr>
    </w:pPr>
    <w:r>
      <w:rPr>
        <w:sz w:val="18"/>
      </w:rPr>
      <mc:AlternateContent>
        <mc:Choice Requires="wps">
          <w:drawing>
            <wp:anchor distT="0" distB="0" distL="114300" distR="114300" simplePos="0" relativeHeight="25167462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55" name="文本框 3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08A9074E">
                          <w:pPr>
                            <w:pStyle w:val="35"/>
                            <w:wordWrap w:val="0"/>
                            <w:ind w:right="270" w:firstLine="360"/>
                            <w:jc w:val="right"/>
                          </w:pPr>
                          <w:r>
                            <w:rPr>
                              <w:rFonts w:hint="eastAsia" w:eastAsia="宋体"/>
                              <w:iCs/>
                              <w:lang w:eastAsia="zh-CN"/>
                            </w:rPr>
                            <w:t>辽宁瑞恺技术咨询服务有限公司</w:t>
                          </w:r>
                          <w:r>
                            <w:rPr>
                              <w:rFonts w:hint="eastAsia" w:ascii="隶书" w:eastAsia="隶书"/>
                              <w:iCs/>
                            </w:rPr>
                            <w:t xml:space="preserve">   </w:t>
                          </w:r>
                          <w:r>
                            <w:rPr>
                              <w:rStyle w:val="62"/>
                              <w:rFonts w:eastAsia="隶书"/>
                              <w:b/>
                            </w:rPr>
                            <w:fldChar w:fldCharType="begin"/>
                          </w:r>
                          <w:r>
                            <w:rPr>
                              <w:rStyle w:val="62"/>
                              <w:rFonts w:eastAsia="隶书"/>
                              <w:b/>
                            </w:rPr>
                            <w:instrText xml:space="preserve"> PAGE </w:instrText>
                          </w:r>
                          <w:r>
                            <w:rPr>
                              <w:rStyle w:val="62"/>
                              <w:rFonts w:eastAsia="隶书"/>
                              <w:b/>
                            </w:rPr>
                            <w:fldChar w:fldCharType="separate"/>
                          </w:r>
                          <w:r>
                            <w:rPr>
                              <w:rStyle w:val="62"/>
                              <w:rFonts w:eastAsia="隶书"/>
                              <w:b/>
                            </w:rPr>
                            <w:t>143</w:t>
                          </w:r>
                          <w:r>
                            <w:rPr>
                              <w:rStyle w:val="62"/>
                              <w:rFonts w:eastAsia="隶书"/>
                              <w:b/>
                            </w:rPr>
                            <w:fldChar w:fldCharType="end"/>
                          </w:r>
                        </w:p>
                      </w:txbxContent>
                    </wps:txbx>
                    <wps:bodyPr vert="horz" wrap="none" lIns="0" tIns="0" rIns="0" bIns="0" anchor="t" anchorCtr="0" upright="0">
                      <a:spAutoFit/>
                    </wps:bodyPr>
                  </wps:wsp>
                </a:graphicData>
              </a:graphic>
            </wp:anchor>
          </w:drawing>
        </mc:Choice>
        <mc:Fallback>
          <w:pict>
            <v:shape id="文本框 36" o:spid="_x0000_s1026" o:spt="202" type="#_x0000_t202" style="position:absolute;left:0pt;margin-top:0pt;height:144pt;width:144pt;mso-position-horizontal:outside;mso-position-horizontal-relative:margin;mso-wrap-style:none;z-index:25167462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IEBgteEBAADBAwAADgAAAGRycy9lMm9Eb2MueG1srVPNjtMwEL4j8Q6W&#10;7zTZol1VVdMVUC1CQoC08ACu4zSW/CfPtEl5AHgDTly481x9jh07SRd2L3vYSzKeGX8z3zfj1XVv&#10;DTuoCNq7il/MSs6Uk77Wblfxb19vXi04AxSuFsY7VfGjAn69fvli1YWlmvvWm1pFRiAOll2oeIsY&#10;lkUBslVWwMwH5SjY+GgF0jHuijqKjtCtKeZleVV0PtYheqkAyLsZgnxEjE8B9E2jpdp4ubfK4YAa&#10;lRFIlKDVAfg6d9s0SuLnpgGFzFScmGL+UhGyt+lbrFdiuYsitFqOLYintPCAkxXaUdEz1EagYPuo&#10;H0FZLaMH3+BMelsMRLIixOKifKDNbSuCylxIaghn0eH5YOWnw5fIdE2bcHnJmROWRn769fP0++/p&#10;zw/2+iop1AVYUuJtoFTs3/qesic/kDMR75to058oMYqTvsezvqpHJtOlxXyxKCkkKTYdCL+4vx4i&#10;4HvlLUtGxSMNMOsqDh8Bh9QpJVVz/kYbk4do3H8OwkyeIvU+9Jgs7Lf9SGjr6yPxoZdAdVofv3PW&#10;0R5U3NHac2Y+OJI5rcxkxMnYToZwki5WHDkbzHc4rNY+RL1r87KlpiC82SN1mgmkNobaY3c02SzB&#10;uIVpdf4956z7l7e+A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EkEAABbQ29udGVudF9UeXBlc10ueG1sUEsBAhQACgAAAAAAh07iQAAAAAAAAAAA&#10;AAAAAAYAAAAAAAAAAAAQAAAAKwMAAF9yZWxzL1BLAQIUABQAAAAIAIdO4kCKFGY80QAAAJQBAAAL&#10;AAAAAAAAAAEAIAAAAE8DAABfcmVscy8ucmVsc1BLAQIUAAoAAAAAAIdO4kAAAAAAAAAAAAAAAAAE&#10;AAAAAAAAAAAAEAAAAAAAAABkcnMvUEsBAhQAFAAAAAgAh07iQM6pebnPAAAABQEAAA8AAAAAAAAA&#10;AQAgAAAAIgAAAGRycy9kb3ducmV2LnhtbFBLAQIUABQAAAAIAIdO4kAgQGC14QEAAMEDAAAOAAAA&#10;AAAAAAEAIAAAAB4BAABkcnMvZTJvRG9jLnhtbFBLBQYAAAAABgAGAFkBAABxBQAAAAA=&#10;">
              <v:fill on="f" focussize="0,0"/>
              <v:stroke on="f"/>
              <v:imagedata o:title=""/>
              <o:lock v:ext="edit" aspectratio="f"/>
              <v:textbox inset="0mm,0mm,0mm,0mm" style="mso-fit-shape-to-text:t;">
                <w:txbxContent>
                  <w:p w14:paraId="08A9074E">
                    <w:pPr>
                      <w:pStyle w:val="35"/>
                      <w:wordWrap w:val="0"/>
                      <w:ind w:right="270" w:firstLine="360"/>
                      <w:jc w:val="right"/>
                    </w:pPr>
                    <w:r>
                      <w:rPr>
                        <w:rFonts w:hint="eastAsia" w:eastAsia="宋体"/>
                        <w:iCs/>
                        <w:lang w:eastAsia="zh-CN"/>
                      </w:rPr>
                      <w:t>辽宁瑞恺技术咨询服务有限公司</w:t>
                    </w:r>
                    <w:r>
                      <w:rPr>
                        <w:rFonts w:hint="eastAsia" w:ascii="隶书" w:eastAsia="隶书"/>
                        <w:iCs/>
                      </w:rPr>
                      <w:t xml:space="preserve">   </w:t>
                    </w:r>
                    <w:r>
                      <w:rPr>
                        <w:rStyle w:val="62"/>
                        <w:rFonts w:eastAsia="隶书"/>
                        <w:b/>
                      </w:rPr>
                      <w:fldChar w:fldCharType="begin"/>
                    </w:r>
                    <w:r>
                      <w:rPr>
                        <w:rStyle w:val="62"/>
                        <w:rFonts w:eastAsia="隶书"/>
                        <w:b/>
                      </w:rPr>
                      <w:instrText xml:space="preserve"> PAGE </w:instrText>
                    </w:r>
                    <w:r>
                      <w:rPr>
                        <w:rStyle w:val="62"/>
                        <w:rFonts w:eastAsia="隶书"/>
                        <w:b/>
                      </w:rPr>
                      <w:fldChar w:fldCharType="separate"/>
                    </w:r>
                    <w:r>
                      <w:rPr>
                        <w:rStyle w:val="62"/>
                        <w:rFonts w:eastAsia="隶书"/>
                        <w:b/>
                      </w:rPr>
                      <w:t>143</w:t>
                    </w:r>
                    <w:r>
                      <w:rPr>
                        <w:rStyle w:val="62"/>
                        <w:rFonts w:eastAsia="隶书"/>
                        <w:b/>
                      </w:rPr>
                      <w:fldChar w:fldCharType="end"/>
                    </w:r>
                  </w:p>
                </w:txbxContent>
              </v:textbox>
            </v:shape>
          </w:pict>
        </mc:Fallback>
      </mc:AlternateContent>
    </w:r>
    <w:r>
      <w:rPr>
        <w:rFonts w:eastAsia="宋体"/>
        <w:iCs/>
      </w:rPr>
      <mc:AlternateContent>
        <mc:Choice Requires="wps">
          <w:drawing>
            <wp:anchor distT="0" distB="0" distL="114300" distR="114300" simplePos="0" relativeHeight="251673600" behindDoc="0" locked="0" layoutInCell="1" allowOverlap="1">
              <wp:simplePos x="0" y="0"/>
              <wp:positionH relativeFrom="column">
                <wp:posOffset>88900</wp:posOffset>
              </wp:positionH>
              <wp:positionV relativeFrom="paragraph">
                <wp:posOffset>86995</wp:posOffset>
              </wp:positionV>
              <wp:extent cx="2745740" cy="0"/>
              <wp:effectExtent l="0" t="9525" r="0" b="9525"/>
              <wp:wrapNone/>
              <wp:docPr id="154" name="直线 37"/>
              <wp:cNvGraphicFramePr/>
              <a:graphic xmlns:a="http://schemas.openxmlformats.org/drawingml/2006/main">
                <a:graphicData uri="http://schemas.microsoft.com/office/word/2010/wordprocessingShape">
                  <wps:wsp>
                    <wps:cNvCnPr/>
                    <wps:spPr>
                      <a:xfrm flipH="1">
                        <a:off x="0" y="0"/>
                        <a:ext cx="2745740" cy="0"/>
                      </a:xfrm>
                      <a:prstGeom prst="line">
                        <a:avLst/>
                      </a:prstGeom>
                      <a:ln w="19050" cap="flat" cmpd="sng">
                        <a:solidFill>
                          <a:srgbClr val="000000"/>
                        </a:solidFill>
                        <a:prstDash val="solid"/>
                        <a:headEnd type="none" w="med" len="med"/>
                        <a:tailEnd type="none" w="med" len="med"/>
                      </a:ln>
                    </wps:spPr>
                    <wps:bodyPr upright="1"/>
                  </wps:wsp>
                </a:graphicData>
              </a:graphic>
            </wp:anchor>
          </w:drawing>
        </mc:Choice>
        <mc:Fallback>
          <w:pict>
            <v:line id="直线 37" o:spid="_x0000_s1026" o:spt="20" style="position:absolute;left:0pt;flip:x;margin-left:7pt;margin-top:6.85pt;height:0pt;width:216.2pt;z-index:251673600;mso-width-relative:page;mso-height-relative:page;" filled="f" stroked="t" coordsize="21600,21600" o:gfxdata="UEsDBAoAAAAAAIdO4kAAAAAAAAAAAAAAAAAEAAAAZHJzL1BLAwQUAAAACACHTuJAFit45NQAAAAI&#10;AQAADwAAAGRycy9kb3ducmV2LnhtbE1Py27CMBC8I/EP1lbqBRWbNqJVGocDUpEq0QPQD1jiJUkb&#10;r6PYPPr33aoHOK1mZzSPYnHxnTrRENvAFmZTA4q4Cq7l2sLn7u3hBVRMyA67wGThhyIsyvGowNyF&#10;M2/otE21EhOOOVpoUupzrWPVkMc4DT2xcIcweEwCh1q7Ac9i7jv9aMxce2xZEhrsadlQ9b09egtx&#10;wuuPzVpCd0QH8zXpVyv/bu393cy8gkp0SVcx/NWX6lBKp304souqE5zJlCT36RmU8Fk2z0Dt/x+6&#10;LPTtgPIXUEsDBBQAAAAIAIdO4kBn10l28gEAAOkDAAAOAAAAZHJzL2Uyb0RvYy54bWytU0uOEzEQ&#10;3SNxB8t70klICLTSmcWEgQWCSMABKra725J/cjnp5CxcgxUbjjPXoOzOBBg2s6AXrbKr/Oq95/L6&#10;5mQNO6qI2ruGzyZTzpQTXmrXNfzrl7sXrznDBE6C8U41/KyQ32yeP1sPoVZz33sjVWQE4rAeQsP7&#10;lEJdVSh6ZQEnPihHydZHC4mWsatkhIHQranm0+mravBRhuiFQqTd7ZjkF8T4FEDftlqorRcHq1wa&#10;UaMykEgS9jog3xS2batE+tS2qBIzDSelqfypCcX7/K82a6i7CKHX4kIBnkLhkSYL2lHTK9QWErBD&#10;1P9AWS2iR9+mifC2GoUUR0jFbPrIm889BFW0kNUYrqbj/4MVH4+7yLSkSVguOHNg6crvv32///GT&#10;vVxle4aANVXdul28rDDsYtZ6aqNlrdHhPZ0u6kkPOxVzz1dz1SkxQZvz1WK5WpDv4iFXjRAZKkRM&#10;75S3LAcNN9pl3VDD8QMmakulDyV52zg2UM8302XGA5rClm6fQhtICbquHEZvtLzTxuQjGLv9rYns&#10;CHkSypfVEfBfZbnLFrAf60pqnJFegXzrJEvnQA45eho8c7BKcmYUvaQcESDUCbR5SiW1No4YZINH&#10;S3O09/JMN3IIUXc9WTErLHOGJqDwvUxrHrE/1wXp9wvd/AJ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AWK3jk1AAAAAgBAAAPAAAAAAAAAAEAIAAAACIAAABkcnMvZG93bnJldi54bWxQSwECFAAUAAAA&#10;CACHTuJAZ9dJdvIBAADpAwAADgAAAAAAAAABACAAAAAjAQAAZHJzL2Uyb0RvYy54bWxQSwUGAAAA&#10;AAYABgBZAQAAhwUAAAAA&#10;">
              <v:fill on="f" focussize="0,0"/>
              <v:stroke weight="1.5pt" color="#000000" joinstyle="round"/>
              <v:imagedata o:title=""/>
              <o:lock v:ext="edit" aspectratio="f"/>
            </v:lin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26F675">
    <w:pPr>
      <w:pStyle w:val="35"/>
      <w:ind w:right="360" w:firstLine="270" w:firstLineChars="150"/>
      <w:rPr>
        <w:rFonts w:hint="eastAsia" w:eastAsia="宋体（打印机字体）"/>
        <w:lang w:eastAsia="zh-CN"/>
      </w:rPr>
    </w:pPr>
    <w:r>
      <w:rPr>
        <w:sz w:val="18"/>
      </w:rPr>
      <mc:AlternateContent>
        <mc:Choice Requires="wps">
          <w:drawing>
            <wp:anchor distT="0" distB="0" distL="114300" distR="114300" simplePos="0" relativeHeight="251676672" behindDoc="0" locked="0" layoutInCell="1" allowOverlap="1">
              <wp:simplePos x="0" y="0"/>
              <wp:positionH relativeFrom="margin">
                <wp:align>outside</wp:align>
              </wp:positionH>
              <wp:positionV relativeFrom="paragraph">
                <wp:posOffset>0</wp:posOffset>
              </wp:positionV>
              <wp:extent cx="1828800" cy="1828800"/>
              <wp:effectExtent l="0" t="0" r="0" b="0"/>
              <wp:wrapNone/>
              <wp:docPr id="157" name="文本框 3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E6E71A9">
                          <w:pPr>
                            <w:pStyle w:val="35"/>
                            <w:ind w:right="360" w:firstLine="271" w:firstLineChars="150"/>
                          </w:pPr>
                          <w:r>
                            <w:rPr>
                              <w:rStyle w:val="62"/>
                              <w:b/>
                            </w:rPr>
                            <w:fldChar w:fldCharType="begin"/>
                          </w:r>
                          <w:r>
                            <w:rPr>
                              <w:rStyle w:val="62"/>
                              <w:b/>
                            </w:rPr>
                            <w:instrText xml:space="preserve"> PAGE </w:instrText>
                          </w:r>
                          <w:r>
                            <w:rPr>
                              <w:rStyle w:val="62"/>
                              <w:b/>
                            </w:rPr>
                            <w:fldChar w:fldCharType="separate"/>
                          </w:r>
                          <w:r>
                            <w:rPr>
                              <w:rStyle w:val="62"/>
                              <w:b/>
                            </w:rPr>
                            <w:t>IV</w:t>
                          </w:r>
                          <w:r>
                            <w:rPr>
                              <w:rStyle w:val="62"/>
                              <w:b/>
                            </w:rPr>
                            <w:fldChar w:fldCharType="end"/>
                          </w:r>
                          <w:r>
                            <w:rPr>
                              <w:rStyle w:val="62"/>
                              <w:rFonts w:hint="eastAsia"/>
                            </w:rPr>
                            <w:t xml:space="preserve">   </w:t>
                          </w:r>
                          <w:r>
                            <w:rPr>
                              <w:rFonts w:hint="eastAsia" w:eastAsia="宋体"/>
                              <w:iCs/>
                              <w:lang w:eastAsia="zh-CN"/>
                            </w:rPr>
                            <w:t>辽宁瑞恺技术咨询服务有限公司</w:t>
                          </w:r>
                        </w:p>
                      </w:txbxContent>
                    </wps:txbx>
                    <wps:bodyPr vert="horz" wrap="none" lIns="0" tIns="0" rIns="0" bIns="0" anchor="t" anchorCtr="0" upright="0">
                      <a:spAutoFit/>
                    </wps:bodyPr>
                  </wps:wsp>
                </a:graphicData>
              </a:graphic>
            </wp:anchor>
          </w:drawing>
        </mc:Choice>
        <mc:Fallback>
          <w:pict>
            <v:shape id="文本框 38" o:spid="_x0000_s1026" o:spt="202" type="#_x0000_t202" style="position:absolute;left:0pt;margin-top:0pt;height:144pt;width:144pt;mso-position-horizontal:outside;mso-position-horizontal-relative:margin;mso-wrap-style:none;z-index:25167667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SwydKeABAADBAwAADgAAAGRycy9lMm9Eb2MueG1srVPBjtMwEL0j8Q+W&#10;7zTZIqCKmq6AahESAqSFD3Adp7Fkeyx72qR8APwBJy7c+a5+B2Mn6cJy2QOXZDwzfjPvzXh9PVjD&#10;jipEDa7mV4uSM+UkNNrta/75082TFWcRhWuEAadqflKRX28eP1r3vlJL6MA0KjACcbHqfc07RF8V&#10;RZSdsiIuwCtHwRaCFUjHsC+aIHpCt6ZYluXzoofQ+ABSxUje7RjkE2J4CCC0rZZqC/JglcMRNSgj&#10;kCjFTvvIN7nbtlUSP7RtVMhMzYkp5i8VIXuXvsVmLap9EL7TcmpBPKSFe5ys0I6KXqC2AgU7BP0P&#10;lNUyQIQWFxJsMRLJihCLq/KeNred8CpzIamjv4ge/x+sfH/8GJhuaBOeveDMCUsjP3//dv7x6/zz&#10;K3u6Sgr1PlaUeOspFYdXMFD27I/kTMSHNtj0J0qM4qTv6aKvGpDJdGm1XK1KCkmKzQfCL+6u+xDx&#10;jQLLklHzQAPMuorju4hj6pySqjm40cbkIRr3l4Mwk6dIvY89JguH3TAR2kFzIj70EqhOB+ELZz3t&#10;Qc0drT1n5q0jmdPKzEaYjd1sCCfpYs2Rs9F8jeNqHXzQ+y4vW2oq+pcHpE4zgdTGWHvqjiabJZi2&#10;MK3On+ecdffyNr8B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SAQAAFtDb250ZW50X1R5cGVzXS54bWxQSwECFAAKAAAAAACHTuJAAAAAAAAAAAAA&#10;AAAABgAAAAAAAAAAABAAAAAqAwAAX3JlbHMvUEsBAhQAFAAAAAgAh07iQIoUZjzRAAAAlAEAAAsA&#10;AAAAAAAAAQAgAAAATgMAAF9yZWxzLy5yZWxzUEsBAhQACgAAAAAAh07iQAAAAAAAAAAAAAAAAAQA&#10;AAAAAAAAAAAQAAAAAAAAAGRycy9QSwECFAAUAAAACACHTuJAzql5uc8AAAAFAQAADwAAAAAAAAAB&#10;ACAAAAAiAAAAZHJzL2Rvd25yZXYueG1sUEsBAhQAFAAAAAgAh07iQEsMnSngAQAAwQMAAA4AAAAA&#10;AAAAAQAgAAAAHgEAAGRycy9lMm9Eb2MueG1sUEsFBgAAAAAGAAYAWQEAAHAFAAAAAA==&#10;">
              <v:fill on="f" focussize="0,0"/>
              <v:stroke on="f"/>
              <v:imagedata o:title=""/>
              <o:lock v:ext="edit" aspectratio="f"/>
              <v:textbox inset="0mm,0mm,0mm,0mm" style="mso-fit-shape-to-text:t;">
                <w:txbxContent>
                  <w:p w14:paraId="5E6E71A9">
                    <w:pPr>
                      <w:pStyle w:val="35"/>
                      <w:ind w:right="360" w:firstLine="271" w:firstLineChars="150"/>
                    </w:pPr>
                    <w:r>
                      <w:rPr>
                        <w:rStyle w:val="62"/>
                        <w:b/>
                      </w:rPr>
                      <w:fldChar w:fldCharType="begin"/>
                    </w:r>
                    <w:r>
                      <w:rPr>
                        <w:rStyle w:val="62"/>
                        <w:b/>
                      </w:rPr>
                      <w:instrText xml:space="preserve"> PAGE </w:instrText>
                    </w:r>
                    <w:r>
                      <w:rPr>
                        <w:rStyle w:val="62"/>
                        <w:b/>
                      </w:rPr>
                      <w:fldChar w:fldCharType="separate"/>
                    </w:r>
                    <w:r>
                      <w:rPr>
                        <w:rStyle w:val="62"/>
                        <w:b/>
                      </w:rPr>
                      <w:t>IV</w:t>
                    </w:r>
                    <w:r>
                      <w:rPr>
                        <w:rStyle w:val="62"/>
                        <w:b/>
                      </w:rPr>
                      <w:fldChar w:fldCharType="end"/>
                    </w:r>
                    <w:r>
                      <w:rPr>
                        <w:rStyle w:val="62"/>
                        <w:rFonts w:hint="eastAsia"/>
                      </w:rPr>
                      <w:t xml:space="preserve">   </w:t>
                    </w:r>
                    <w:r>
                      <w:rPr>
                        <w:rFonts w:hint="eastAsia" w:eastAsia="宋体"/>
                        <w:iCs/>
                        <w:lang w:eastAsia="zh-CN"/>
                      </w:rPr>
                      <w:t>辽宁瑞恺技术咨询服务有限公司</w:t>
                    </w:r>
                  </w:p>
                </w:txbxContent>
              </v:textbox>
            </v:shape>
          </w:pict>
        </mc:Fallback>
      </mc:AlternateContent>
    </w:r>
    <w:r>
      <mc:AlternateContent>
        <mc:Choice Requires="wps">
          <w:drawing>
            <wp:anchor distT="0" distB="0" distL="114300" distR="114300" simplePos="0" relativeHeight="251675648" behindDoc="0" locked="0" layoutInCell="1" allowOverlap="1">
              <wp:simplePos x="0" y="0"/>
              <wp:positionH relativeFrom="column">
                <wp:posOffset>2653665</wp:posOffset>
              </wp:positionH>
              <wp:positionV relativeFrom="paragraph">
                <wp:posOffset>69850</wp:posOffset>
              </wp:positionV>
              <wp:extent cx="2680335" cy="0"/>
              <wp:effectExtent l="0" t="9525" r="5715" b="9525"/>
              <wp:wrapNone/>
              <wp:docPr id="156" name="直线 39"/>
              <wp:cNvGraphicFramePr/>
              <a:graphic xmlns:a="http://schemas.openxmlformats.org/drawingml/2006/main">
                <a:graphicData uri="http://schemas.microsoft.com/office/word/2010/wordprocessingShape">
                  <wps:wsp>
                    <wps:cNvCnPr/>
                    <wps:spPr>
                      <a:xfrm flipH="1">
                        <a:off x="0" y="0"/>
                        <a:ext cx="2680335" cy="0"/>
                      </a:xfrm>
                      <a:prstGeom prst="line">
                        <a:avLst/>
                      </a:prstGeom>
                      <a:ln w="19050" cap="flat" cmpd="sng">
                        <a:solidFill>
                          <a:srgbClr val="000000"/>
                        </a:solidFill>
                        <a:prstDash val="solid"/>
                        <a:headEnd type="none" w="med" len="med"/>
                        <a:tailEnd type="none" w="med" len="med"/>
                      </a:ln>
                    </wps:spPr>
                    <wps:bodyPr upright="1"/>
                  </wps:wsp>
                </a:graphicData>
              </a:graphic>
            </wp:anchor>
          </w:drawing>
        </mc:Choice>
        <mc:Fallback>
          <w:pict>
            <v:line id="直线 39" o:spid="_x0000_s1026" o:spt="20" style="position:absolute;left:0pt;flip:x;margin-left:208.95pt;margin-top:5.5pt;height:0pt;width:211.05pt;z-index:251675648;mso-width-relative:page;mso-height-relative:page;" filled="f" stroked="t" coordsize="21600,21600" o:gfxdata="UEsDBAoAAAAAAIdO4kAAAAAAAAAAAAAAAAAEAAAAZHJzL1BLAwQUAAAACACHTuJAkUMKftQAAAAJ&#10;AQAADwAAAGRycy9kb3ducmV2LnhtbE1Py27CMBC8V+IfrK3UCyp2KtTSNA4HpCJVggPQD1jiJUkb&#10;r6PYPPr3XdRDue3sjOZRzC++UycaYhvYQjYxoIir4FquLXzu3h9noGJCdtgFJgs/FGFeju4KzF04&#10;84ZO21QrMeGYo4UmpT7XOlYNeYyT0BMLdwiDxyRwqLUb8CzmvtNPxjxrjy1LQoM9LRqqvrdHbyGO&#10;ebXerCR0R3QwX+N+ufQf1j7cZ+YNVKJL+hfDtb5Uh1I67cORXVSdhWn28ipSITLZJILZ1Mix/3vo&#10;stC3C8pfUEsDBBQAAAAIAIdO4kBALK2i8wEAAOkDAAAOAAAAZHJzL2Uyb0RvYy54bWytU0uOEzEQ&#10;3SNxB8t70p1EiWZa6cxiwsACQSTgABV/ui35J9tJJ2fhGqzYcJy5BmV3JjAzmyzwwiq7yq/qvSqv&#10;7o5Gk4MIUTnb0umkpkRY5riyXUu/f3t4d0NJTGA5aGdFS08i0rv12zerwTdi5nqnuQgEQWxsBt/S&#10;PiXfVFVkvTAQJ84Li07pgoGEx9BVPMCA6EZXs7peVoML3AfHRIx4uxmd9IwYrgF0UiomNo7tjbBp&#10;RA1CQ0JKsVc+0nWpVkrB0hcpo0hEtxSZprJjErR3ea/WK2i6AL5X7FwCXFPCC04GlMWkF6gNJCD7&#10;oF5BGcWCi06mCXOmGokURZDFtH6hzdcevChcUOroL6LH/wfLPh+2gSiOk7BYUmLBYMsff/x8/PWb&#10;zG+zPIOPDUbd2204n6Lfhsz1KIMhUiv/EV8X9siHHIu4p4u44pgIw8vZ8qaezxeUsCdfNUJkKB9i&#10;+iCcIdloqVY284YGDp9iwrQY+hSSr7UlA+a8rRfYRwY4hRK7j6bxyCTarjyOTiv+oLTOT2Lodvc6&#10;kAPkSSgrs0PgZ2E5ywZiP8YV1zgjvQD+3nKSTh4Vsvg1aK7BCE6JFviTsoWA0CRQ+ppITK0tVpAF&#10;HiXN1s7xE3Zk74PqepRiWqrMHpyAUu95WvOI/XsuSH9/6PoP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kUMKftQAAAAJAQAADwAAAAAAAAABACAAAAAiAAAAZHJzL2Rvd25yZXYueG1sUEsBAhQAFAAA&#10;AAgAh07iQEAsraLzAQAA6QMAAA4AAAAAAAAAAQAgAAAAIwEAAGRycy9lMm9Eb2MueG1sUEsFBgAA&#10;AAAGAAYAWQEAAIgFAAAAAA==&#10;">
              <v:fill on="f" focussize="0,0"/>
              <v:stroke weight="1.5pt" color="#000000" joinstyle="round"/>
              <v:imagedata o:title=""/>
              <o:lock v:ext="edit" aspectratio="f"/>
            </v:lin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B35FCC">
    <w:pPr>
      <w:pStyle w:val="35"/>
      <w:ind w:right="360" w:firstLine="270" w:firstLineChars="150"/>
      <w:rPr>
        <w:rFonts w:hint="eastAsia" w:eastAsia="宋体（打印机字体）"/>
        <w:lang w:eastAsia="zh-CN"/>
      </w:rPr>
    </w:pPr>
    <w:r>
      <w:rPr>
        <w:sz w:val="18"/>
      </w:rPr>
      <mc:AlternateContent>
        <mc:Choice Requires="wps">
          <w:drawing>
            <wp:anchor distT="0" distB="0" distL="114300" distR="114300" simplePos="0" relativeHeight="25166950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50" name="文本框 3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DC916E8">
                          <w:pPr>
                            <w:pStyle w:val="35"/>
                            <w:ind w:right="360" w:firstLine="271" w:firstLineChars="150"/>
                          </w:pPr>
                          <w:r>
                            <w:rPr>
                              <w:rStyle w:val="62"/>
                              <w:b/>
                            </w:rPr>
                            <w:fldChar w:fldCharType="begin"/>
                          </w:r>
                          <w:r>
                            <w:rPr>
                              <w:rStyle w:val="62"/>
                              <w:b/>
                            </w:rPr>
                            <w:instrText xml:space="preserve"> PAGE </w:instrText>
                          </w:r>
                          <w:r>
                            <w:rPr>
                              <w:rStyle w:val="62"/>
                              <w:b/>
                            </w:rPr>
                            <w:fldChar w:fldCharType="separate"/>
                          </w:r>
                          <w:r>
                            <w:rPr>
                              <w:rStyle w:val="62"/>
                              <w:b/>
                            </w:rPr>
                            <w:t>78</w:t>
                          </w:r>
                          <w:r>
                            <w:rPr>
                              <w:rStyle w:val="62"/>
                              <w:b/>
                            </w:rPr>
                            <w:fldChar w:fldCharType="end"/>
                          </w:r>
                          <w:r>
                            <w:rPr>
                              <w:rStyle w:val="62"/>
                              <w:rFonts w:hint="eastAsia"/>
                            </w:rPr>
                            <w:t xml:space="preserve">   </w:t>
                          </w:r>
                          <w:r>
                            <w:rPr>
                              <w:rFonts w:hint="eastAsia" w:eastAsia="宋体"/>
                              <w:iCs/>
                              <w:lang w:eastAsia="zh-CN"/>
                            </w:rPr>
                            <w:t>辽宁瑞恺技术咨询服务有限公司</w:t>
                          </w:r>
                        </w:p>
                      </w:txbxContent>
                    </wps:txbx>
                    <wps:bodyPr vert="horz" wrap="none" lIns="0" tIns="0" rIns="0" bIns="0" anchor="t" anchorCtr="0" upright="0">
                      <a:spAutoFit/>
                    </wps:bodyPr>
                  </wps:wsp>
                </a:graphicData>
              </a:graphic>
            </wp:anchor>
          </w:drawing>
        </mc:Choice>
        <mc:Fallback>
          <w:pict>
            <v:shape id="文本框 32" o:spid="_x0000_s1026" o:spt="202" type="#_x0000_t202" style="position:absolute;left:0pt;margin-top:0pt;height:144pt;width:144pt;mso-position-horizontal:outside;mso-position-horizontal-relative:margin;mso-wrap-style:none;z-index:25166950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o3QGmt8BAADBAwAADgAAAGRycy9lMm9Eb2MueG1srVPBjtMwEL0j8Q+W&#10;7zTZIlAVNV0B1SIkBEgLH+A6TmPJ9lj2tEn5APgDTly48139jh07SReWyx64JOPx+M17z+P19WAN&#10;O6oQNbiaXy1KzpST0Gi3r/mXzzfPVpxFFK4RBpyq+UlFfr15+mTd+0otoQPTqMAIxMWq9zXvEH1V&#10;FFF2yoq4AK8cbbYQrEBahn3RBNETujXFsixfFj2ExgeQKkbKbsdNPiGGxwBC22qptiAPVjkcUYMy&#10;AklS7LSPfJPZtq2S+LFto0Jmak5KMX+pCcW79C02a1Htg/CdlhMF8RgKDzRZoR01vUBtBQp2CPof&#10;KKtlgAgtLiTYYhSSHSEVV+UDb2474VXWQlZHfzE9/j9Y+eH4KTDd0CS8IE+csHTl5x/fzz9/n399&#10;Y8+XyaHex4oKbz2V4vAaBqqe85GSSfjQBpv+JInRPmGdLv6qAZlMh1bL1aqkLUl784Lwi/vjPkR8&#10;q8CyFNQ80AVmX8XxfcSxdC5J3RzcaGPyJRr3V4IwU6ZI3EeOKcJhN0yCdtCcSA+9BOrTQfjKWU9z&#10;UHNHY8+ZeefIZuKKcxDmYDcHwkk6WHPkbAzf4DhaBx/0vsvDlkhF/+qAxDQLSDTG3hM7utlswTSF&#10;aXT+XOeq+5e3uQN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BHBAAAW0NvbnRlbnRfVHlwZXNdLnhtbFBLAQIUAAoAAAAAAIdO4kAAAAAAAAAAAAAA&#10;AAAGAAAAAAAAAAAAEAAAACkDAABfcmVscy9QSwECFAAUAAAACACHTuJAihRmPNEAAACUAQAACwAA&#10;AAAAAAABACAAAABNAwAAX3JlbHMvLnJlbHNQSwECFAAKAAAAAACHTuJAAAAAAAAAAAAAAAAABAAA&#10;AAAAAAAAABAAAAAAAAAAZHJzL1BLAQIUABQAAAAIAIdO4kDOqXm5zwAAAAUBAAAPAAAAAAAAAAEA&#10;IAAAACIAAABkcnMvZG93bnJldi54bWxQSwECFAAUAAAACACHTuJAo3QGmt8BAADBAwAADgAAAAAA&#10;AAABACAAAAAeAQAAZHJzL2Uyb0RvYy54bWxQSwUGAAAAAAYABgBZAQAAbwUAAAAA&#10;">
              <v:fill on="f" focussize="0,0"/>
              <v:stroke on="f"/>
              <v:imagedata o:title=""/>
              <o:lock v:ext="edit" aspectratio="f"/>
              <v:textbox inset="0mm,0mm,0mm,0mm" style="mso-fit-shape-to-text:t;">
                <w:txbxContent>
                  <w:p w14:paraId="5DC916E8">
                    <w:pPr>
                      <w:pStyle w:val="35"/>
                      <w:ind w:right="360" w:firstLine="271" w:firstLineChars="150"/>
                    </w:pPr>
                    <w:r>
                      <w:rPr>
                        <w:rStyle w:val="62"/>
                        <w:b/>
                      </w:rPr>
                      <w:fldChar w:fldCharType="begin"/>
                    </w:r>
                    <w:r>
                      <w:rPr>
                        <w:rStyle w:val="62"/>
                        <w:b/>
                      </w:rPr>
                      <w:instrText xml:space="preserve"> PAGE </w:instrText>
                    </w:r>
                    <w:r>
                      <w:rPr>
                        <w:rStyle w:val="62"/>
                        <w:b/>
                      </w:rPr>
                      <w:fldChar w:fldCharType="separate"/>
                    </w:r>
                    <w:r>
                      <w:rPr>
                        <w:rStyle w:val="62"/>
                        <w:b/>
                      </w:rPr>
                      <w:t>78</w:t>
                    </w:r>
                    <w:r>
                      <w:rPr>
                        <w:rStyle w:val="62"/>
                        <w:b/>
                      </w:rPr>
                      <w:fldChar w:fldCharType="end"/>
                    </w:r>
                    <w:r>
                      <w:rPr>
                        <w:rStyle w:val="62"/>
                        <w:rFonts w:hint="eastAsia"/>
                      </w:rPr>
                      <w:t xml:space="preserve">   </w:t>
                    </w:r>
                    <w:r>
                      <w:rPr>
                        <w:rFonts w:hint="eastAsia" w:eastAsia="宋体"/>
                        <w:iCs/>
                        <w:lang w:eastAsia="zh-CN"/>
                      </w:rPr>
                      <w:t>辽宁瑞恺技术咨询服务有限公司</w:t>
                    </w:r>
                  </w:p>
                </w:txbxContent>
              </v:textbox>
            </v:shape>
          </w:pict>
        </mc:Fallback>
      </mc:AlternateContent>
    </w:r>
    <w:r>
      <mc:AlternateContent>
        <mc:Choice Requires="wps">
          <w:drawing>
            <wp:anchor distT="0" distB="0" distL="114300" distR="114300" simplePos="0" relativeHeight="251661312" behindDoc="0" locked="0" layoutInCell="1" allowOverlap="1">
              <wp:simplePos x="0" y="0"/>
              <wp:positionH relativeFrom="column">
                <wp:posOffset>2653665</wp:posOffset>
              </wp:positionH>
              <wp:positionV relativeFrom="paragraph">
                <wp:posOffset>69850</wp:posOffset>
              </wp:positionV>
              <wp:extent cx="2680335" cy="0"/>
              <wp:effectExtent l="0" t="9525" r="5715" b="9525"/>
              <wp:wrapNone/>
              <wp:docPr id="142" name="直线 17"/>
              <wp:cNvGraphicFramePr/>
              <a:graphic xmlns:a="http://schemas.openxmlformats.org/drawingml/2006/main">
                <a:graphicData uri="http://schemas.microsoft.com/office/word/2010/wordprocessingShape">
                  <wps:wsp>
                    <wps:cNvCnPr/>
                    <wps:spPr>
                      <a:xfrm flipH="1">
                        <a:off x="0" y="0"/>
                        <a:ext cx="2680335" cy="0"/>
                      </a:xfrm>
                      <a:prstGeom prst="line">
                        <a:avLst/>
                      </a:prstGeom>
                      <a:ln w="19050" cap="flat" cmpd="sng">
                        <a:solidFill>
                          <a:srgbClr val="000000"/>
                        </a:solidFill>
                        <a:prstDash val="solid"/>
                        <a:headEnd type="none" w="med" len="med"/>
                        <a:tailEnd type="none" w="med" len="med"/>
                      </a:ln>
                    </wps:spPr>
                    <wps:bodyPr upright="1"/>
                  </wps:wsp>
                </a:graphicData>
              </a:graphic>
            </wp:anchor>
          </w:drawing>
        </mc:Choice>
        <mc:Fallback>
          <w:pict>
            <v:line id="直线 17" o:spid="_x0000_s1026" o:spt="20" style="position:absolute;left:0pt;flip:x;margin-left:208.95pt;margin-top:5.5pt;height:0pt;width:211.05pt;z-index:251661312;mso-width-relative:page;mso-height-relative:page;" filled="f" stroked="t" coordsize="21600,21600" o:gfxdata="UEsDBAoAAAAAAIdO4kAAAAAAAAAAAAAAAAAEAAAAZHJzL1BLAwQUAAAACACHTuJAkUMKftQAAAAJ&#10;AQAADwAAAGRycy9kb3ducmV2LnhtbE1Py27CMBC8V+IfrK3UCyp2KtTSNA4HpCJVggPQD1jiJUkb&#10;r6PYPPr3XdRDue3sjOZRzC++UycaYhvYQjYxoIir4FquLXzu3h9noGJCdtgFJgs/FGFeju4KzF04&#10;84ZO21QrMeGYo4UmpT7XOlYNeYyT0BMLdwiDxyRwqLUb8CzmvtNPxjxrjy1LQoM9LRqqvrdHbyGO&#10;ebXerCR0R3QwX+N+ufQf1j7cZ+YNVKJL+hfDtb5Uh1I67cORXVSdhWn28ipSITLZJILZ1Mix/3vo&#10;stC3C8pfUEsDBBQAAAAIAIdO4kDBa9SO9AEAAOkDAAAOAAAAZHJzL2Uyb0RvYy54bWytU81uEzEQ&#10;viPxDpbvZDcpLWWVTQ8NhQOCSIUHmNreXUv+k8fJJs/Ca3DiwuP0NRh70wDlkgM+WGPP+Jv5vhkv&#10;b/bWsJ2KqL1r+XxWc6ac8FK7vuVfv9y9uuYMEzgJxjvV8oNCfrN6+WI5hkYt/OCNVJERiMNmDC0f&#10;UgpNVaEYlAWc+aAcOTsfLSQ6xr6SEUZCt6Za1PVVNfooQ/RCIdLtenLyI2I8B9B3nRZq7cXWKpcm&#10;1KgMJKKEgw7IV6XarlMife46VImZlhPTVHZKQvZD3qvVEpo+Qhi0OJYA55TwjJMF7SjpCWoNCdg2&#10;6n+grBbRo+/STHhbTUSKIsRiXj/T5n6AoAoXkhrDSXT8f7Di024TmZY0Ca8XnDmw1PLHb98ff/xk&#10;8zdZnjFgQ1G3bhOPJwybmLnuu2hZZ3T4QK8Le+LD9kXcw0lctU9M0OXi6rq+uLjkTDz5qgkiQ4WI&#10;6b3ylmWj5Ua7zBsa2H3ERGkp9CkkXxvHRsr5tr6kPgqgKeyo+2TaQEzQ9eUxeqPlnTYmP8HYP9ya&#10;yHaQJ6GszI6A/wrLWdaAwxRXXNOMDArkOydZOgRSyNHX4LkGqyRnRtFPyhYBQpNAm3MiKbVxVEEW&#10;eJI0Ww9eHqgj2xB1P5AU81Jl9tAElHqP05pH7M9zQfr9Q1e/AF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GEEAABbQ29udGVudF9UeXBlc10ueG1s&#10;UEsBAhQACgAAAAAAh07iQAAAAAAAAAAAAAAAAAYAAAAAAAAAAAAQAAAAQwMAAF9yZWxzL1BLAQIU&#10;ABQAAAAIAIdO4kCKFGY80QAAAJQBAAALAAAAAAAAAAEAIAAAAGcDAABfcmVscy8ucmVsc1BLAQIU&#10;AAoAAAAAAIdO4kAAAAAAAAAAAAAAAAAEAAAAAAAAAAAAEAAAAAAAAABkcnMvUEsBAhQAFAAAAAgA&#10;h07iQJFDCn7UAAAACQEAAA8AAAAAAAAAAQAgAAAAIgAAAGRycy9kb3ducmV2LnhtbFBLAQIUABQA&#10;AAAIAIdO4kDBa9SO9AEAAOkDAAAOAAAAAAAAAAEAIAAAACMBAABkcnMvZTJvRG9jLnhtbFBLBQYA&#10;AAAABgAGAFkBAACJBQAAAAA=&#10;">
              <v:fill on="f" focussize="0,0"/>
              <v:stroke weight="1.5pt" color="#000000" joinstyle="round"/>
              <v:imagedata o:title=""/>
              <o:lock v:ext="edit" aspectratio="f"/>
            </v:lin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F717E7">
    <w:pPr>
      <w:pStyle w:val="35"/>
      <w:wordWrap w:val="0"/>
      <w:ind w:right="270" w:firstLine="360"/>
      <w:jc w:val="right"/>
      <w:rPr>
        <w:rFonts w:eastAsia="隶书"/>
        <w:iCs/>
      </w:rPr>
    </w:pPr>
    <w:r>
      <w:rPr>
        <w:sz w:val="18"/>
      </w:rPr>
      <mc:AlternateContent>
        <mc:Choice Requires="wps">
          <w:drawing>
            <wp:anchor distT="0" distB="0" distL="114300" distR="114300" simplePos="0" relativeHeight="251678720" behindDoc="0" locked="0" layoutInCell="1" allowOverlap="1">
              <wp:simplePos x="0" y="0"/>
              <wp:positionH relativeFrom="margin">
                <wp:align>outside</wp:align>
              </wp:positionH>
              <wp:positionV relativeFrom="paragraph">
                <wp:posOffset>0</wp:posOffset>
              </wp:positionV>
              <wp:extent cx="1828800" cy="1828800"/>
              <wp:effectExtent l="0" t="0" r="0" b="0"/>
              <wp:wrapNone/>
              <wp:docPr id="159" name="文本框 4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4ACBD90">
                          <w:pPr>
                            <w:pStyle w:val="35"/>
                            <w:wordWrap w:val="0"/>
                            <w:ind w:right="270" w:firstLine="360"/>
                            <w:jc w:val="right"/>
                          </w:pPr>
                          <w:r>
                            <w:rPr>
                              <w:rFonts w:hint="eastAsia" w:eastAsia="宋体"/>
                              <w:iCs/>
                              <w:lang w:eastAsia="zh-CN"/>
                            </w:rPr>
                            <w:t>辽宁瑞恺技术咨询服务有限公司</w:t>
                          </w:r>
                          <w:r>
                            <w:rPr>
                              <w:rFonts w:hint="eastAsia" w:ascii="隶书" w:eastAsia="隶书"/>
                              <w:iCs/>
                            </w:rPr>
                            <w:t xml:space="preserve">   </w:t>
                          </w:r>
                          <w:r>
                            <w:rPr>
                              <w:rStyle w:val="62"/>
                              <w:rFonts w:eastAsia="隶书"/>
                              <w:b/>
                            </w:rPr>
                            <w:fldChar w:fldCharType="begin"/>
                          </w:r>
                          <w:r>
                            <w:rPr>
                              <w:rStyle w:val="62"/>
                              <w:rFonts w:eastAsia="隶书"/>
                              <w:b/>
                            </w:rPr>
                            <w:instrText xml:space="preserve"> PAGE </w:instrText>
                          </w:r>
                          <w:r>
                            <w:rPr>
                              <w:rStyle w:val="62"/>
                              <w:rFonts w:eastAsia="隶书"/>
                              <w:b/>
                            </w:rPr>
                            <w:fldChar w:fldCharType="separate"/>
                          </w:r>
                          <w:r>
                            <w:rPr>
                              <w:rStyle w:val="62"/>
                              <w:rFonts w:eastAsia="隶书"/>
                              <w:b/>
                            </w:rPr>
                            <w:t>143</w:t>
                          </w:r>
                          <w:r>
                            <w:rPr>
                              <w:rStyle w:val="62"/>
                              <w:rFonts w:eastAsia="隶书"/>
                              <w:b/>
                            </w:rPr>
                            <w:fldChar w:fldCharType="end"/>
                          </w:r>
                        </w:p>
                      </w:txbxContent>
                    </wps:txbx>
                    <wps:bodyPr vert="horz" wrap="none" lIns="0" tIns="0" rIns="0" bIns="0" anchor="t" anchorCtr="0" upright="0">
                      <a:spAutoFit/>
                    </wps:bodyPr>
                  </wps:wsp>
                </a:graphicData>
              </a:graphic>
            </wp:anchor>
          </w:drawing>
        </mc:Choice>
        <mc:Fallback>
          <w:pict>
            <v:shape id="文本框 41" o:spid="_x0000_s1026" o:spt="202" type="#_x0000_t202" style="position:absolute;left:0pt;margin-top:0pt;height:144pt;width:144pt;mso-position-horizontal:outside;mso-position-horizontal-relative:margin;mso-wrap-style:none;z-index:25167872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ePxMPuABAADBAwAADgAAAGRycy9lMm9Eb2MueG1srVPBjtMwEL0j8Q+W&#10;7zRpBahETVdAtQgJAdLCB7iO01iyPdbYbVI+AP6AExfufFe/g7HTdNndyx64JOOZ8Zt5b8arq8Ea&#10;dlAYNLiaz2clZ8pJaLTb1fzrl+tnS85CFK4RBpyq+VEFfrV++mTV+0otoAPTKGQE4kLV+5p3Mfqq&#10;KILslBVhBl45CraAVkQ64q5oUPSEbk2xKMuXRQ/YeASpQiDvZgzyMyI+BhDaVku1Abm3ysURFZUR&#10;kSiFTvvA17nbtlUyfmrboCIzNSemMX+pCNnb9C3WK1HtUPhOy3ML4jEt3ONkhXZU9AK1EVGwPeoH&#10;UFZLhABtnEmwxUgkK0Is5uU9bW464VXmQlIHfxE9/D9Y+fHwGZluaBNevOLMCUsjP/38cfr15/T7&#10;O3s+Twr1PlSUeOMpNQ5vYKDsyR/ImYgPLdr0J0qM4qTv8aKvGiKT6dJysVyWFJIUmw6EX9xe9xji&#10;OwWWJaPmSAPMuorDhxDH1CklVXNwrY3JQzTujoMwk6dIvY89JisO2+FMaAvNkfjQS6A6HeA3znra&#10;g5o7WnvOzHtHMqeVmQycjO1kCCfpYs0jZ6P5No6rtfeod11ettRU8K/3kTrNBFIbY+1zdzTZLMF5&#10;C9Pq/HvOWbcvb/0X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SAQAAFtDb250ZW50X1R5cGVzXS54bWxQSwECFAAKAAAAAACHTuJAAAAAAAAAAAAA&#10;AAAABgAAAAAAAAAAABAAAAAqAwAAX3JlbHMvUEsBAhQAFAAAAAgAh07iQIoUZjzRAAAAlAEAAAsA&#10;AAAAAAAAAQAgAAAATgMAAF9yZWxzLy5yZWxzUEsBAhQACgAAAAAAh07iQAAAAAAAAAAAAAAAAAQA&#10;AAAAAAAAAAAQAAAAAAAAAGRycy9QSwECFAAUAAAACACHTuJAzql5uc8AAAAFAQAADwAAAAAAAAAB&#10;ACAAAAAiAAAAZHJzL2Rvd25yZXYueG1sUEsBAhQAFAAAAAgAh07iQHj8TD7gAQAAwQMAAA4AAAAA&#10;AAAAAQAgAAAAHgEAAGRycy9lMm9Eb2MueG1sUEsFBgAAAAAGAAYAWQEAAHAFAAAAAA==&#10;">
              <v:fill on="f" focussize="0,0"/>
              <v:stroke on="f"/>
              <v:imagedata o:title=""/>
              <o:lock v:ext="edit" aspectratio="f"/>
              <v:textbox inset="0mm,0mm,0mm,0mm" style="mso-fit-shape-to-text:t;">
                <w:txbxContent>
                  <w:p w14:paraId="44ACBD90">
                    <w:pPr>
                      <w:pStyle w:val="35"/>
                      <w:wordWrap w:val="0"/>
                      <w:ind w:right="270" w:firstLine="360"/>
                      <w:jc w:val="right"/>
                    </w:pPr>
                    <w:r>
                      <w:rPr>
                        <w:rFonts w:hint="eastAsia" w:eastAsia="宋体"/>
                        <w:iCs/>
                        <w:lang w:eastAsia="zh-CN"/>
                      </w:rPr>
                      <w:t>辽宁瑞恺技术咨询服务有限公司</w:t>
                    </w:r>
                    <w:r>
                      <w:rPr>
                        <w:rFonts w:hint="eastAsia" w:ascii="隶书" w:eastAsia="隶书"/>
                        <w:iCs/>
                      </w:rPr>
                      <w:t xml:space="preserve">   </w:t>
                    </w:r>
                    <w:r>
                      <w:rPr>
                        <w:rStyle w:val="62"/>
                        <w:rFonts w:eastAsia="隶书"/>
                        <w:b/>
                      </w:rPr>
                      <w:fldChar w:fldCharType="begin"/>
                    </w:r>
                    <w:r>
                      <w:rPr>
                        <w:rStyle w:val="62"/>
                        <w:rFonts w:eastAsia="隶书"/>
                        <w:b/>
                      </w:rPr>
                      <w:instrText xml:space="preserve"> PAGE </w:instrText>
                    </w:r>
                    <w:r>
                      <w:rPr>
                        <w:rStyle w:val="62"/>
                        <w:rFonts w:eastAsia="隶书"/>
                        <w:b/>
                      </w:rPr>
                      <w:fldChar w:fldCharType="separate"/>
                    </w:r>
                    <w:r>
                      <w:rPr>
                        <w:rStyle w:val="62"/>
                        <w:rFonts w:eastAsia="隶书"/>
                        <w:b/>
                      </w:rPr>
                      <w:t>143</w:t>
                    </w:r>
                    <w:r>
                      <w:rPr>
                        <w:rStyle w:val="62"/>
                        <w:rFonts w:eastAsia="隶书"/>
                        <w:b/>
                      </w:rPr>
                      <w:fldChar w:fldCharType="end"/>
                    </w:r>
                  </w:p>
                </w:txbxContent>
              </v:textbox>
            </v:shape>
          </w:pict>
        </mc:Fallback>
      </mc:AlternateContent>
    </w:r>
    <w:r>
      <w:rPr>
        <w:rFonts w:eastAsia="宋体"/>
        <w:iCs/>
      </w:rPr>
      <mc:AlternateContent>
        <mc:Choice Requires="wps">
          <w:drawing>
            <wp:anchor distT="0" distB="0" distL="114300" distR="114300" simplePos="0" relativeHeight="251677696" behindDoc="0" locked="0" layoutInCell="1" allowOverlap="1">
              <wp:simplePos x="0" y="0"/>
              <wp:positionH relativeFrom="column">
                <wp:posOffset>88900</wp:posOffset>
              </wp:positionH>
              <wp:positionV relativeFrom="paragraph">
                <wp:posOffset>86995</wp:posOffset>
              </wp:positionV>
              <wp:extent cx="2745740" cy="0"/>
              <wp:effectExtent l="0" t="9525" r="0" b="9525"/>
              <wp:wrapNone/>
              <wp:docPr id="158" name="直线 42"/>
              <wp:cNvGraphicFramePr/>
              <a:graphic xmlns:a="http://schemas.openxmlformats.org/drawingml/2006/main">
                <a:graphicData uri="http://schemas.microsoft.com/office/word/2010/wordprocessingShape">
                  <wps:wsp>
                    <wps:cNvCnPr/>
                    <wps:spPr>
                      <a:xfrm flipH="1">
                        <a:off x="0" y="0"/>
                        <a:ext cx="2745740" cy="0"/>
                      </a:xfrm>
                      <a:prstGeom prst="line">
                        <a:avLst/>
                      </a:prstGeom>
                      <a:ln w="19050" cap="flat" cmpd="sng">
                        <a:solidFill>
                          <a:srgbClr val="000000"/>
                        </a:solidFill>
                        <a:prstDash val="solid"/>
                        <a:headEnd type="none" w="med" len="med"/>
                        <a:tailEnd type="none" w="med" len="med"/>
                      </a:ln>
                    </wps:spPr>
                    <wps:bodyPr upright="1"/>
                  </wps:wsp>
                </a:graphicData>
              </a:graphic>
            </wp:anchor>
          </w:drawing>
        </mc:Choice>
        <mc:Fallback>
          <w:pict>
            <v:line id="直线 42" o:spid="_x0000_s1026" o:spt="20" style="position:absolute;left:0pt;flip:x;margin-left:7pt;margin-top:6.85pt;height:0pt;width:216.2pt;z-index:251677696;mso-width-relative:page;mso-height-relative:page;" filled="f" stroked="t" coordsize="21600,21600" o:gfxdata="UEsDBAoAAAAAAIdO4kAAAAAAAAAAAAAAAAAEAAAAZHJzL1BLAwQUAAAACACHTuJAFit45NQAAAAI&#10;AQAADwAAAGRycy9kb3ducmV2LnhtbE1Py27CMBC8I/EP1lbqBRWbNqJVGocDUpEq0QPQD1jiJUkb&#10;r6PYPPr33aoHOK1mZzSPYnHxnTrRENvAFmZTA4q4Cq7l2sLn7u3hBVRMyA67wGThhyIsyvGowNyF&#10;M2/otE21EhOOOVpoUupzrWPVkMc4DT2xcIcweEwCh1q7Ac9i7jv9aMxce2xZEhrsadlQ9b09egtx&#10;wuuPzVpCd0QH8zXpVyv/bu393cy8gkp0SVcx/NWX6lBKp304souqE5zJlCT36RmU8Fk2z0Dt/x+6&#10;LPTtgPIXUEsDBBQAAAAIAIdO4kC6lL/O8QEAAOkDAAAOAAAAZHJzL2Uyb0RvYy54bWytU0uOEzEQ&#10;3SNxB8t70kmUMNBKZxYTBhYIIg0coOK2uy35J5eTTs7CNVix4ThzDcruTIBhkwVeWGVX+VW9V+XV&#10;7dEadpARtXcNn02mnEknfKtd1/CvX+5fveEME7gWjHey4SeJ/Hb98sVqCLWc+96bVkZGIA7rITS8&#10;TynUVYWilxZw4oN05FQ+Wkh0jF3VRhgI3ZpqPp2+rgYf2xC9kIh0uxmd/IwYrwH0SmkhN17srXRp&#10;RI3SQCJK2OuAfF2qVUqK9FkplImZhhPTVHZKQvYu79V6BXUXIfRanEuAa0p4xsmCdpT0ArWBBGwf&#10;9T9QVovo0as0Ed5WI5GiCLGYTZ9p89BDkIULSY3hIjr+P1jx6bCNTLc0CUtqvANLLX/89v3xx0+2&#10;mGd5hoA1Rd25bTyfMGxj5npU0TJldPhArwt74sOORdzTRVx5TEzQ5fxmsbxZkO7iyVeNEBkqREzv&#10;pbcsGw032mXeUMPhIyZKS6FPIfnaODZQzrfTZcYDmkJF3SfTBmKCriuP0Rvd3mtj8hOM3e7ORHaA&#10;PAllZXYE/FdYzrIB7Me44hpnpJfQvnMtS6dACjn6GjzXYGXLmZH0k7JFgFAn0OaaSEptHFWQBR4l&#10;zdbOtyfqyD5E3fUkxaxUmT00AaXe87TmEfvzXJB+/9D1L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BYreOTUAAAACAEAAA8AAAAAAAAAAQAgAAAAIgAAAGRycy9kb3ducmV2LnhtbFBLAQIUABQAAAAI&#10;AIdO4kC6lL/O8QEAAOkDAAAOAAAAAAAAAAEAIAAAACMBAABkcnMvZTJvRG9jLnhtbFBLBQYAAAAA&#10;BgAGAFkBAACGBQAAAAA=&#10;">
              <v:fill on="f" focussize="0,0"/>
              <v:stroke weight="1.5pt" color="#000000" joinstyle="round"/>
              <v:imagedata o:title=""/>
              <o:lock v:ext="edit" aspectratio="f"/>
            </v:lin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C3EC8B">
    <w:pPr>
      <w:pStyle w:val="35"/>
      <w:wordWrap w:val="0"/>
      <w:ind w:right="90" w:firstLine="360"/>
      <w:jc w:val="right"/>
      <w:rPr>
        <w:rFonts w:hint="eastAsia" w:eastAsia="宋体"/>
        <w:iCs/>
        <w:szCs w:val="18"/>
        <w:lang w:eastAsia="zh-CN"/>
      </w:rPr>
    </w:pPr>
    <w:r>
      <w:rPr>
        <w:sz w:val="18"/>
      </w:rPr>
      <mc:AlternateContent>
        <mc:Choice Requires="wps">
          <w:drawing>
            <wp:anchor distT="0" distB="0" distL="114300" distR="114300" simplePos="0" relativeHeight="251670528" behindDoc="0" locked="0" layoutInCell="1" allowOverlap="1">
              <wp:simplePos x="0" y="0"/>
              <wp:positionH relativeFrom="margin">
                <wp:align>outside</wp:align>
              </wp:positionH>
              <wp:positionV relativeFrom="paragraph">
                <wp:posOffset>0</wp:posOffset>
              </wp:positionV>
              <wp:extent cx="1828800" cy="1828800"/>
              <wp:effectExtent l="0" t="0" r="0" b="0"/>
              <wp:wrapNone/>
              <wp:docPr id="151" name="文本框 3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1DFDE7C">
                          <w:pPr>
                            <w:pStyle w:val="35"/>
                            <w:wordWrap w:val="0"/>
                            <w:ind w:right="90" w:firstLine="360"/>
                            <w:jc w:val="right"/>
                          </w:pPr>
                          <w:r>
                            <w:rPr>
                              <w:rFonts w:hint="eastAsia" w:eastAsia="宋体"/>
                              <w:iCs/>
                              <w:szCs w:val="18"/>
                              <w:lang w:eastAsia="zh-CN"/>
                            </w:rPr>
                            <w:t>辽宁瑞恺技术咨询服务有限公司</w:t>
                          </w:r>
                          <w:r>
                            <w:rPr>
                              <w:rFonts w:eastAsia="宋体"/>
                              <w:iCs/>
                              <w:szCs w:val="18"/>
                            </w:rPr>
                            <w:t xml:space="preserve">  </w:t>
                          </w:r>
                          <w:r>
                            <w:rPr>
                              <w:rStyle w:val="62"/>
                              <w:rFonts w:eastAsia="宋体"/>
                              <w:b/>
                              <w:szCs w:val="18"/>
                            </w:rPr>
                            <w:fldChar w:fldCharType="begin"/>
                          </w:r>
                          <w:r>
                            <w:rPr>
                              <w:rStyle w:val="62"/>
                              <w:rFonts w:eastAsia="宋体"/>
                              <w:b/>
                              <w:szCs w:val="18"/>
                            </w:rPr>
                            <w:instrText xml:space="preserve"> PAGE </w:instrText>
                          </w:r>
                          <w:r>
                            <w:rPr>
                              <w:rStyle w:val="62"/>
                              <w:rFonts w:eastAsia="宋体"/>
                              <w:b/>
                              <w:szCs w:val="18"/>
                            </w:rPr>
                            <w:fldChar w:fldCharType="separate"/>
                          </w:r>
                          <w:r>
                            <w:rPr>
                              <w:rStyle w:val="62"/>
                              <w:rFonts w:eastAsia="宋体"/>
                              <w:b/>
                              <w:szCs w:val="18"/>
                            </w:rPr>
                            <w:t>255</w:t>
                          </w:r>
                          <w:r>
                            <w:rPr>
                              <w:rStyle w:val="62"/>
                              <w:rFonts w:eastAsia="宋体"/>
                              <w:b/>
                              <w:szCs w:val="18"/>
                            </w:rPr>
                            <w:fldChar w:fldCharType="end"/>
                          </w:r>
                        </w:p>
                      </w:txbxContent>
                    </wps:txbx>
                    <wps:bodyPr vert="horz" wrap="none" lIns="0" tIns="0" rIns="0" bIns="0" anchor="t" anchorCtr="0" upright="0">
                      <a:spAutoFit/>
                    </wps:bodyPr>
                  </wps:wsp>
                </a:graphicData>
              </a:graphic>
            </wp:anchor>
          </w:drawing>
        </mc:Choice>
        <mc:Fallback>
          <w:pict>
            <v:shape id="文本框 33" o:spid="_x0000_s1026" o:spt="202" type="#_x0000_t202" style="position:absolute;left:0pt;margin-top:0pt;height:144pt;width:144pt;mso-position-horizontal:outside;mso-position-horizontal-relative:margin;mso-wrap-style:none;z-index:25167052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Cvcu+ABAADBAwAADgAAAGRycy9lMm9Eb2MueG1srVPNjtMwEL4j8Q6W&#10;7zRpV6CqaroCqkVICJAWHsB1nMaS/+SZNikPAG/AiQt3nqvPwdhJuuzuZQ9ckvHM+Jv5vhmvr3tr&#10;2FFF0N5VfD4rOVNO+lq7fcW/frl5seQMULhaGO9UxU8K+PXm+bN1F1Zq4VtvahUZgThYdaHiLWJY&#10;FQXIVlkBMx+Uo2DjoxVIx7gv6ig6QremWJTlq6LzsQ7RSwVA3u0Q5CNifAqgbxot1dbLg1UOB9So&#10;jECiBK0OwDe526ZREj81DShkpuLEFPOXipC9S99isxarfRSh1XJsQTylhQecrNCOil6gtgIFO0T9&#10;CMpqGT34BmfS22IgkhUhFvPygTa3rQgqcyGpIVxEh/8HKz8eP0ema9qEl3POnLA08vPPH+dff86/&#10;v7Orq6RQF2BFibeBUrF/43vKnvxAzkS8b6JNf6LEKE76ni76qh6ZTJeWi+WypJCk2HQg/OLueoiA&#10;75S3LBkVjzTArKs4fgAcUqeUVM35G21MHqJx9xyEmTxF6n3oMVnY7/qR0M7XJ+JDL4HqtD5+46yj&#10;Pai4o7XnzLx3JHNamcmIk7GbDOEkXaw4cjaYb3FYrUOIet/mZUtNQXh9QOo0E0htDLXH7miyWYJx&#10;C9Pq/HvOWXcvb/MX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SAQAAFtDb250ZW50X1R5cGVzXS54bWxQSwECFAAKAAAAAACHTuJAAAAAAAAAAAAA&#10;AAAABgAAAAAAAAAAABAAAAAqAwAAX3JlbHMvUEsBAhQAFAAAAAgAh07iQIoUZjzRAAAAlAEAAAsA&#10;AAAAAAAAAQAgAAAATgMAAF9yZWxzLy5yZWxzUEsBAhQACgAAAAAAh07iQAAAAAAAAAAAAAAAAAQA&#10;AAAAAAAAAAAQAAAAAAAAAGRycy9QSwECFAAUAAAACACHTuJAzql5uc8AAAAFAQAADwAAAAAAAAAB&#10;ACAAAAAiAAAAZHJzL2Rvd25yZXYueG1sUEsBAhQAFAAAAAgAh07iQOQr3LvgAQAAwQMAAA4AAAAA&#10;AAAAAQAgAAAAHgEAAGRycy9lMm9Eb2MueG1sUEsFBgAAAAAGAAYAWQEAAHAFAAAAAA==&#10;">
              <v:fill on="f" focussize="0,0"/>
              <v:stroke on="f"/>
              <v:imagedata o:title=""/>
              <o:lock v:ext="edit" aspectratio="f"/>
              <v:textbox inset="0mm,0mm,0mm,0mm" style="mso-fit-shape-to-text:t;">
                <w:txbxContent>
                  <w:p w14:paraId="21DFDE7C">
                    <w:pPr>
                      <w:pStyle w:val="35"/>
                      <w:wordWrap w:val="0"/>
                      <w:ind w:right="90" w:firstLine="360"/>
                      <w:jc w:val="right"/>
                    </w:pPr>
                    <w:r>
                      <w:rPr>
                        <w:rFonts w:hint="eastAsia" w:eastAsia="宋体"/>
                        <w:iCs/>
                        <w:szCs w:val="18"/>
                        <w:lang w:eastAsia="zh-CN"/>
                      </w:rPr>
                      <w:t>辽宁瑞恺技术咨询服务有限公司</w:t>
                    </w:r>
                    <w:r>
                      <w:rPr>
                        <w:rFonts w:eastAsia="宋体"/>
                        <w:iCs/>
                        <w:szCs w:val="18"/>
                      </w:rPr>
                      <w:t xml:space="preserve">  </w:t>
                    </w:r>
                    <w:r>
                      <w:rPr>
                        <w:rStyle w:val="62"/>
                        <w:rFonts w:eastAsia="宋体"/>
                        <w:b/>
                        <w:szCs w:val="18"/>
                      </w:rPr>
                      <w:fldChar w:fldCharType="begin"/>
                    </w:r>
                    <w:r>
                      <w:rPr>
                        <w:rStyle w:val="62"/>
                        <w:rFonts w:eastAsia="宋体"/>
                        <w:b/>
                        <w:szCs w:val="18"/>
                      </w:rPr>
                      <w:instrText xml:space="preserve"> PAGE </w:instrText>
                    </w:r>
                    <w:r>
                      <w:rPr>
                        <w:rStyle w:val="62"/>
                        <w:rFonts w:eastAsia="宋体"/>
                        <w:b/>
                        <w:szCs w:val="18"/>
                      </w:rPr>
                      <w:fldChar w:fldCharType="separate"/>
                    </w:r>
                    <w:r>
                      <w:rPr>
                        <w:rStyle w:val="62"/>
                        <w:rFonts w:eastAsia="宋体"/>
                        <w:b/>
                        <w:szCs w:val="18"/>
                      </w:rPr>
                      <w:t>255</w:t>
                    </w:r>
                    <w:r>
                      <w:rPr>
                        <w:rStyle w:val="62"/>
                        <w:rFonts w:eastAsia="宋体"/>
                        <w:b/>
                        <w:szCs w:val="18"/>
                      </w:rPr>
                      <w:fldChar w:fldCharType="end"/>
                    </w:r>
                  </w:p>
                </w:txbxContent>
              </v:textbox>
            </v:shape>
          </w:pict>
        </mc:Fallback>
      </mc:AlternateContent>
    </w:r>
    <w:r>
      <w:rPr>
        <w:rFonts w:eastAsia="宋体"/>
        <w:iCs/>
        <w:szCs w:val="18"/>
      </w:rPr>
      <mc:AlternateContent>
        <mc:Choice Requires="wps">
          <w:drawing>
            <wp:anchor distT="0" distB="0" distL="114300" distR="114300" simplePos="0" relativeHeight="251662336" behindDoc="0" locked="0" layoutInCell="1" allowOverlap="1">
              <wp:simplePos x="0" y="0"/>
              <wp:positionH relativeFrom="column">
                <wp:posOffset>-3810</wp:posOffset>
              </wp:positionH>
              <wp:positionV relativeFrom="paragraph">
                <wp:posOffset>86995</wp:posOffset>
              </wp:positionV>
              <wp:extent cx="2990850" cy="0"/>
              <wp:effectExtent l="0" t="9525" r="0" b="9525"/>
              <wp:wrapNone/>
              <wp:docPr id="143" name="直线 18"/>
              <wp:cNvGraphicFramePr/>
              <a:graphic xmlns:a="http://schemas.openxmlformats.org/drawingml/2006/main">
                <a:graphicData uri="http://schemas.microsoft.com/office/word/2010/wordprocessingShape">
                  <wps:wsp>
                    <wps:cNvCnPr/>
                    <wps:spPr>
                      <a:xfrm flipH="1">
                        <a:off x="0" y="0"/>
                        <a:ext cx="2990850" cy="0"/>
                      </a:xfrm>
                      <a:prstGeom prst="line">
                        <a:avLst/>
                      </a:prstGeom>
                      <a:ln w="19050" cap="flat" cmpd="sng">
                        <a:solidFill>
                          <a:srgbClr val="000000"/>
                        </a:solidFill>
                        <a:prstDash val="solid"/>
                        <a:headEnd type="none" w="med" len="med"/>
                        <a:tailEnd type="none" w="med" len="med"/>
                      </a:ln>
                    </wps:spPr>
                    <wps:bodyPr upright="1"/>
                  </wps:wsp>
                </a:graphicData>
              </a:graphic>
            </wp:anchor>
          </w:drawing>
        </mc:Choice>
        <mc:Fallback>
          <w:pict>
            <v:line id="直线 18" o:spid="_x0000_s1026" o:spt="20" style="position:absolute;left:0pt;flip:x;margin-left:-0.3pt;margin-top:6.85pt;height:0pt;width:235.5pt;z-index:251662336;mso-width-relative:page;mso-height-relative:page;" filled="f" stroked="t" coordsize="21600,21600" o:gfxdata="UEsDBAoAAAAAAIdO4kAAAAAAAAAAAAAAAAAEAAAAZHJzL1BLAwQUAAAACACHTuJAq2aezNMAAAAH&#10;AQAADwAAAGRycy9kb3ducmV2LnhtbE2Oy27CMBBF90j9B2sqdYPApkWA0jgsKhWpEl3w+IAhHpK0&#10;8TiKzaN/36m6gOV96N6TL6++VWfqYxPYwmRsQBGXwTVcWdjv3kcLUDEhO2wDk4UfirAsHgY5Zi5c&#10;eEPnbaqUjHDM0EKdUpdpHcuaPMZx6IglO4beYxLZV9r1eJFx3+pnY2baY8PyUGNHbzWV39uTtxCH&#10;vP7crOV0R3Q0X8NutfIf1j49TswrqETXdCvDH76gQyFMh3BiF1VrYTSTotgvc1AST+dmCurwb+gi&#10;1/f8xS9QSwMEFAAAAAgAh07iQF+pJAjxAQAA6QMAAA4AAABkcnMvZTJvRG9jLnhtbK1TS44TMRDd&#10;I3EHy3vSnfDRpJXOLCYMLBBEAg5Qsd3dlvyTy0knZ+EarNhwnLkGZXcmwLDJgl60yq7yq/eey6vb&#10;ozXsoCJq71o+n9WcKSe81K5v+dcv9y9uOMMEToLxTrX8pJDfrp8/W42hUQs/eCNVZATisBlDy4eU&#10;QlNVKAZlAWc+KEfJzkcLiZaxr2SEkdCtqRZ1/aYafZQheqEQaXczJfkZMV4D6LtOC7XxYm+VSxNq&#10;VAYSScJBB+TrwrbrlEifug5VYqblpDSVPzWheJf/1XoFTR8hDFqcKcA1FJ5osqAdNb1AbSAB20f9&#10;D5TVInr0XZoJb6tJSHGEVMzrJ958HiCoooWsxnAxHf8frPh42EamJU3Cq5ecObB05Q/fvj/8+Mnm&#10;N9meMWBDVXduG88rDNuYtR67aFlndHhPp4t60sOOxdzTxVx1TEzQ5mK5rG9ek+/iMVdNEBkqREzv&#10;lLcsBy032mXd0MDhAyZqS6WPJXnbODZSz2Vd8ICmsKPbJ2gbSAm6vhxGb7S818bkIxj73Z2J7AB5&#10;EsqX1RHwX2W5ywZwmOpKapqRQYF86yRLp0AOOXoaPHOwSnJmFL2kHBEgNAm0uaaSWhtHDLLBk6U5&#10;2nl5ohvZh6j7gayYF5Y5QxNQ+J6nNY/Yn+uC9PuFrn8B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q2aezNMAAAAHAQAADwAAAAAAAAABACAAAAAiAAAAZHJzL2Rvd25yZXYueG1sUEsBAhQAFAAAAAgA&#10;h07iQF+pJAjxAQAA6QMAAA4AAAAAAAAAAQAgAAAAIgEAAGRycy9lMm9Eb2MueG1sUEsFBgAAAAAG&#10;AAYAWQEAAIUFAAAAAA==&#10;">
              <v:fill on="f" focussize="0,0"/>
              <v:stroke weight="1.5pt" color="#000000" joinstyle="round"/>
              <v:imagedata o:title=""/>
              <o:lock v:ext="edit" aspectratio="f"/>
            </v:lin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2A191B">
    <w:pPr>
      <w:pStyle w:val="36"/>
      <w:pBdr>
        <w:bottom w:val="none" w:color="auto" w:sz="0" w:space="0"/>
      </w:pBd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A278F4">
    <w:pPr>
      <w:pStyle w:val="36"/>
      <w:pBdr>
        <w:bottom w:val="single" w:color="auto" w:sz="12" w:space="1"/>
      </w:pBdr>
      <w:spacing w:line="240" w:lineRule="exact"/>
      <w:rPr>
        <w:rFonts w:hint="eastAsia" w:eastAsia="宋体"/>
        <w:i/>
        <w:color w:val="000000"/>
        <w:szCs w:val="18"/>
      </w:rP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A09772"/>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775077">
    <w:pPr>
      <w:pStyle w:val="36"/>
      <w:pBdr>
        <w:top w:val="none" w:color="auto" w:sz="0" w:space="0"/>
        <w:left w:val="none" w:color="auto" w:sz="0" w:space="0"/>
        <w:bottom w:val="none" w:color="auto" w:sz="0" w:space="1"/>
        <w:right w:val="none" w:color="auto" w:sz="0" w:space="0"/>
        <w:between w:val="none" w:color="auto" w:sz="0" w:space="0"/>
      </w:pBdr>
      <w:spacing w:line="240" w:lineRule="exact"/>
      <w:rPr>
        <w:rFonts w:hint="eastAsia" w:eastAsia="宋体"/>
        <w:i/>
        <w:color w:val="000000"/>
        <w:szCs w:val="18"/>
      </w:rP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7AFF4C">
    <w:pPr>
      <w:pStyle w:val="36"/>
      <w:pBdr>
        <w:bottom w:val="single" w:color="auto" w:sz="12" w:space="1"/>
      </w:pBdr>
      <w:spacing w:line="240" w:lineRule="exact"/>
      <w:rPr>
        <w:rFonts w:hint="eastAsia" w:eastAsia="宋体"/>
        <w:i/>
        <w:color w:val="000000"/>
        <w:szCs w:val="18"/>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449B6B">
    <w:pPr>
      <w:pStyle w:val="36"/>
      <w:pBdr>
        <w:bottom w:val="single" w:color="auto" w:sz="12" w:space="1"/>
      </w:pBdr>
      <w:spacing w:line="240" w:lineRule="exact"/>
      <w:rPr>
        <w:rFonts w:eastAsia="宋体"/>
        <w:i/>
        <w:color w:val="000000"/>
        <w:szCs w:val="18"/>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F68F90">
    <w:pPr>
      <w:pStyle w:val="36"/>
      <w:rPr>
        <w:rFonts w:ascii="华文新魏" w:eastAsia="华文新魏"/>
        <w:iCs/>
        <w:sz w:val="21"/>
      </w:rPr>
    </w:pPr>
    <w:r>
      <w:rPr>
        <w:rFonts w:hint="eastAsia" w:ascii="华文新魏" w:eastAsia="华文新魏"/>
        <w:iCs/>
        <w:sz w:val="21"/>
      </w:rPr>
      <w:t xml:space="preserve">                        《黄泥川</w:t>
    </w:r>
    <w:r>
      <w:rPr>
        <w:rFonts w:hint="eastAsia" w:eastAsia="华文新魏"/>
        <w:iCs/>
        <w:sz w:val="21"/>
      </w:rPr>
      <w:t>安置区建设项目环境影响报告书</w:t>
    </w:r>
    <w:r>
      <w:rPr>
        <w:rFonts w:hint="eastAsia" w:ascii="华文新魏" w:eastAsia="华文新魏"/>
        <w:iCs/>
        <w:vanish/>
        <w:sz w:val="21"/>
      </w:rPr>
      <w:t>，</w:t>
    </w:r>
    <w:r>
      <w:rPr>
        <w:rFonts w:hint="eastAsia" w:ascii="华文新魏" w:eastAsia="华文新魏"/>
        <w:iCs/>
        <w:vanish/>
        <w:sz w:val="21"/>
      </w:rPr>
      <w:pgNum/>
    </w:r>
    <w:r>
      <w:rPr>
        <w:rFonts w:hint="eastAsia" w:ascii="华文新魏" w:eastAsia="华文新魏"/>
        <w:iCs/>
        <w:sz w:val="21"/>
      </w:rPr>
      <w:t>》</w:t>
    </w:r>
    <w:r>
      <w:rPr>
        <w:rFonts w:hint="eastAsia" w:ascii="华文新魏" w:eastAsia="华文新魏"/>
        <w:iCs/>
        <w:vanish/>
        <w:sz w:val="21"/>
      </w:rPr>
      <w:t>，</w:t>
    </w:r>
    <w:r>
      <w:rPr>
        <w:rFonts w:hint="eastAsia" w:eastAsia="宋体"/>
        <w:iCs/>
      </w:rPr>
      <w:t xml:space="preserve"> </w:t>
    </w:r>
    <w:r>
      <w:rPr>
        <w:rFonts w:hint="eastAsia" w:eastAsia="仿宋_GB2312"/>
      </w:rPr>
      <w:t xml:space="preserve">            </w:t>
    </w:r>
    <w:r>
      <w:rPr>
        <w:rFonts w:eastAsia="仿宋_GB2312"/>
      </w:rPr>
      <w:drawing>
        <wp:inline distT="0" distB="0" distL="114300" distR="114300">
          <wp:extent cx="581025" cy="247650"/>
          <wp:effectExtent l="0" t="0" r="9525" b="0"/>
          <wp:docPr id="160" name="图片 1" descr="DLSP 拷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 name="图片 1" descr="DLSP 拷贝"/>
                  <pic:cNvPicPr>
                    <a:picLocks noChangeAspect="1"/>
                  </pic:cNvPicPr>
                </pic:nvPicPr>
                <pic:blipFill>
                  <a:blip r:embed="rId1"/>
                  <a:stretch>
                    <a:fillRect/>
                  </a:stretch>
                </pic:blipFill>
                <pic:spPr>
                  <a:xfrm>
                    <a:off x="0" y="0"/>
                    <a:ext cx="581025" cy="247650"/>
                  </a:xfrm>
                  <a:prstGeom prst="rect">
                    <a:avLst/>
                  </a:prstGeom>
                  <a:noFill/>
                  <a:ln>
                    <a:noFill/>
                  </a:ln>
                </pic:spPr>
              </pic:pic>
            </a:graphicData>
          </a:graphic>
        </wp:inline>
      </w:drawing>
    </w:r>
    <w:r>
      <w:rPr>
        <w:rFonts w:hint="eastAsia" w:eastAsia="仿宋_GB2312"/>
      </w:rPr>
      <w:t xml:space="preserve"> </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7247F9">
    <w:pPr>
      <w:pStyle w:val="36"/>
      <w:pBdr>
        <w:bottom w:val="single" w:color="auto" w:sz="12" w:space="1"/>
      </w:pBdr>
      <w:spacing w:line="240" w:lineRule="exact"/>
      <w:rPr>
        <w:rFonts w:eastAsia="宋体"/>
        <w:i/>
        <w:color w:val="000000"/>
        <w:szCs w:val="18"/>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81BD36">
    <w:pPr>
      <w:pStyle w:val="36"/>
      <w:pBdr>
        <w:bottom w:val="single" w:color="auto" w:sz="12" w:space="1"/>
      </w:pBdr>
      <w:spacing w:line="240" w:lineRule="exact"/>
      <w:rPr>
        <w:rFonts w:eastAsia="宋体"/>
        <w:i/>
        <w:color w:val="000000"/>
        <w:szCs w:val="18"/>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C323F9">
    <w:pPr>
      <w:pStyle w:val="36"/>
      <w:pBdr>
        <w:bottom w:val="single" w:color="auto" w:sz="12" w:space="1"/>
      </w:pBdr>
      <w:spacing w:line="240" w:lineRule="exact"/>
      <w:rPr>
        <w:rFonts w:eastAsia="宋体"/>
        <w:i/>
        <w:color w:val="000000"/>
        <w:szCs w:val="18"/>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4A1D36">
    <w:pPr>
      <w:pStyle w:val="36"/>
      <w:pBdr>
        <w:bottom w:val="single" w:color="auto" w:sz="12" w:space="1"/>
      </w:pBdr>
      <w:spacing w:line="240" w:lineRule="exact"/>
      <w:rPr>
        <w:rFonts w:eastAsia="宋体"/>
        <w:i/>
        <w:color w:val="000000"/>
        <w:szCs w:val="18"/>
      </w:rP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CA6A5C">
    <w:pPr>
      <w:pStyle w:val="36"/>
      <w:pBdr>
        <w:bottom w:val="single" w:color="auto" w:sz="12" w:space="1"/>
      </w:pBdr>
      <w:spacing w:line="240" w:lineRule="exact"/>
      <w:rPr>
        <w:rFonts w:eastAsia="宋体"/>
        <w:i/>
        <w:color w:val="000000"/>
        <w:szCs w:val="18"/>
      </w:rP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2315A1">
    <w:pPr>
      <w:pStyle w:val="36"/>
      <w:pBdr>
        <w:bottom w:val="single" w:color="auto" w:sz="12" w:space="1"/>
      </w:pBdr>
      <w:spacing w:line="240" w:lineRule="exact"/>
      <w:rPr>
        <w:rFonts w:hint="eastAsia" w:eastAsia="宋体"/>
        <w:i/>
        <w:color w:val="000000"/>
        <w:szCs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32BF22C"/>
    <w:multiLevelType w:val="singleLevel"/>
    <w:tmpl w:val="C32BF22C"/>
    <w:lvl w:ilvl="0" w:tentative="0">
      <w:start w:val="1"/>
      <w:numFmt w:val="decimal"/>
      <w:suff w:val="nothing"/>
      <w:lvlText w:val="（%1）"/>
      <w:lvlJc w:val="left"/>
    </w:lvl>
  </w:abstractNum>
  <w:abstractNum w:abstractNumId="1">
    <w:nsid w:val="F41CDC4E"/>
    <w:multiLevelType w:val="singleLevel"/>
    <w:tmpl w:val="F41CDC4E"/>
    <w:lvl w:ilvl="0" w:tentative="0">
      <w:start w:val="2"/>
      <w:numFmt w:val="decimal"/>
      <w:suff w:val="nothing"/>
      <w:lvlText w:val="（%1）"/>
      <w:lvlJc w:val="left"/>
    </w:lvl>
  </w:abstractNum>
  <w:abstractNum w:abstractNumId="2">
    <w:nsid w:val="00000008"/>
    <w:multiLevelType w:val="multilevel"/>
    <w:tmpl w:val="00000008"/>
    <w:lvl w:ilvl="0" w:tentative="0">
      <w:start w:val="1"/>
      <w:numFmt w:val="decimal"/>
      <w:lvlText w:val="%1."/>
      <w:lvlJc w:val="left"/>
      <w:pPr>
        <w:tabs>
          <w:tab w:val="left" w:pos="959"/>
        </w:tabs>
        <w:ind w:left="959" w:hanging="420"/>
      </w:pPr>
    </w:lvl>
    <w:lvl w:ilvl="1" w:tentative="0">
      <w:start w:val="0"/>
      <w:numFmt w:val="none"/>
      <w:pStyle w:val="596"/>
      <w:lvlText w:val=""/>
      <w:lvlJc w:val="left"/>
      <w:pPr>
        <w:tabs>
          <w:tab w:val="left" w:pos="360"/>
        </w:tabs>
      </w:pPr>
    </w:lvl>
    <w:lvl w:ilvl="2" w:tentative="0">
      <w:start w:val="0"/>
      <w:numFmt w:val="none"/>
      <w:lvlText w:val=""/>
      <w:lvlJc w:val="left"/>
      <w:pPr>
        <w:tabs>
          <w:tab w:val="left" w:pos="360"/>
        </w:tabs>
      </w:pPr>
    </w:lvl>
    <w:lvl w:ilvl="3" w:tentative="0">
      <w:start w:val="0"/>
      <w:numFmt w:val="none"/>
      <w:lvlText w:val=""/>
      <w:lvlJc w:val="left"/>
      <w:pPr>
        <w:tabs>
          <w:tab w:val="left" w:pos="360"/>
        </w:tabs>
      </w:pPr>
    </w:lvl>
    <w:lvl w:ilvl="4" w:tentative="0">
      <w:start w:val="0"/>
      <w:numFmt w:val="none"/>
      <w:lvlText w:val=""/>
      <w:lvlJc w:val="left"/>
      <w:pPr>
        <w:tabs>
          <w:tab w:val="left" w:pos="360"/>
        </w:tabs>
      </w:pPr>
    </w:lvl>
    <w:lvl w:ilvl="5" w:tentative="0">
      <w:start w:val="0"/>
      <w:numFmt w:val="none"/>
      <w:lvlText w:val=""/>
      <w:lvlJc w:val="left"/>
      <w:pPr>
        <w:tabs>
          <w:tab w:val="left" w:pos="360"/>
        </w:tabs>
      </w:pPr>
    </w:lvl>
    <w:lvl w:ilvl="6" w:tentative="0">
      <w:start w:val="0"/>
      <w:numFmt w:val="none"/>
      <w:lvlText w:val=""/>
      <w:lvlJc w:val="left"/>
      <w:pPr>
        <w:tabs>
          <w:tab w:val="left" w:pos="360"/>
        </w:tabs>
      </w:pPr>
    </w:lvl>
    <w:lvl w:ilvl="7" w:tentative="0">
      <w:start w:val="0"/>
      <w:numFmt w:val="none"/>
      <w:lvlText w:val=""/>
      <w:lvlJc w:val="left"/>
      <w:pPr>
        <w:tabs>
          <w:tab w:val="left" w:pos="360"/>
        </w:tabs>
      </w:pPr>
    </w:lvl>
    <w:lvl w:ilvl="8" w:tentative="0">
      <w:start w:val="0"/>
      <w:numFmt w:val="none"/>
      <w:lvlText w:val=""/>
      <w:lvlJc w:val="left"/>
      <w:pPr>
        <w:tabs>
          <w:tab w:val="left" w:pos="360"/>
        </w:tabs>
      </w:pPr>
    </w:lvl>
  </w:abstractNum>
  <w:abstractNum w:abstractNumId="3">
    <w:nsid w:val="0D7E4318"/>
    <w:multiLevelType w:val="multilevel"/>
    <w:tmpl w:val="0D7E4318"/>
    <w:lvl w:ilvl="0" w:tentative="0">
      <w:start w:val="1"/>
      <w:numFmt w:val="decimalEnclosedCircle"/>
      <w:lvlText w:val="%1"/>
      <w:lvlJc w:val="left"/>
      <w:pPr>
        <w:ind w:left="900" w:hanging="420"/>
      </w:pPr>
      <w:rPr>
        <w:rFonts w:hint="default" w:ascii="宋体" w:hAnsi="宋体"/>
      </w:rPr>
    </w:lvl>
    <w:lvl w:ilvl="1" w:tentative="0">
      <w:start w:val="1"/>
      <w:numFmt w:val="decimalEnclosedCircle"/>
      <w:lvlText w:val="%2"/>
      <w:lvlJc w:val="left"/>
      <w:pPr>
        <w:ind w:left="1320" w:hanging="420"/>
      </w:pPr>
      <w:rPr>
        <w:rFonts w:hint="default" w:ascii="宋体" w:hAnsi="宋体"/>
      </w:r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4">
    <w:nsid w:val="0E352EC2"/>
    <w:multiLevelType w:val="multilevel"/>
    <w:tmpl w:val="0E352EC2"/>
    <w:lvl w:ilvl="0" w:tentative="0">
      <w:start w:val="1"/>
      <w:numFmt w:val="decimal"/>
      <w:pStyle w:val="287"/>
      <w:lvlText w:val="表6.%1"/>
      <w:lvlJc w:val="left"/>
      <w:pPr>
        <w:ind w:left="902" w:hanging="420"/>
      </w:pPr>
      <w:rPr>
        <w:rFonts w:hint="eastAsia" w:eastAsia="黑体"/>
        <w:sz w:val="24"/>
        <w:lang w:val="en-US"/>
      </w:rPr>
    </w:lvl>
    <w:lvl w:ilvl="1" w:tentative="0">
      <w:start w:val="1"/>
      <w:numFmt w:val="lowerLetter"/>
      <w:lvlText w:val="%2)"/>
      <w:lvlJc w:val="left"/>
      <w:pPr>
        <w:ind w:left="1322" w:hanging="420"/>
      </w:pPr>
    </w:lvl>
    <w:lvl w:ilvl="2" w:tentative="0">
      <w:start w:val="1"/>
      <w:numFmt w:val="lowerRoman"/>
      <w:lvlText w:val="%3."/>
      <w:lvlJc w:val="right"/>
      <w:pPr>
        <w:ind w:left="1742" w:hanging="420"/>
      </w:pPr>
    </w:lvl>
    <w:lvl w:ilvl="3" w:tentative="0">
      <w:start w:val="1"/>
      <w:numFmt w:val="decimal"/>
      <w:lvlText w:val="%4."/>
      <w:lvlJc w:val="left"/>
      <w:pPr>
        <w:ind w:left="2162" w:hanging="420"/>
      </w:pPr>
    </w:lvl>
    <w:lvl w:ilvl="4" w:tentative="0">
      <w:start w:val="1"/>
      <w:numFmt w:val="lowerLetter"/>
      <w:lvlText w:val="%5)"/>
      <w:lvlJc w:val="left"/>
      <w:pPr>
        <w:ind w:left="2582" w:hanging="420"/>
      </w:pPr>
    </w:lvl>
    <w:lvl w:ilvl="5" w:tentative="0">
      <w:start w:val="1"/>
      <w:numFmt w:val="lowerRoman"/>
      <w:lvlText w:val="%6."/>
      <w:lvlJc w:val="right"/>
      <w:pPr>
        <w:ind w:left="3002" w:hanging="420"/>
      </w:pPr>
    </w:lvl>
    <w:lvl w:ilvl="6" w:tentative="0">
      <w:start w:val="1"/>
      <w:numFmt w:val="decimal"/>
      <w:lvlText w:val="%7."/>
      <w:lvlJc w:val="left"/>
      <w:pPr>
        <w:ind w:left="3422" w:hanging="420"/>
      </w:pPr>
    </w:lvl>
    <w:lvl w:ilvl="7" w:tentative="0">
      <w:start w:val="1"/>
      <w:numFmt w:val="lowerLetter"/>
      <w:lvlText w:val="%8)"/>
      <w:lvlJc w:val="left"/>
      <w:pPr>
        <w:ind w:left="3842" w:hanging="420"/>
      </w:pPr>
    </w:lvl>
    <w:lvl w:ilvl="8" w:tentative="0">
      <w:start w:val="1"/>
      <w:numFmt w:val="lowerRoman"/>
      <w:lvlText w:val="%9."/>
      <w:lvlJc w:val="right"/>
      <w:pPr>
        <w:ind w:left="4262" w:hanging="420"/>
      </w:pPr>
    </w:lvl>
  </w:abstractNum>
  <w:abstractNum w:abstractNumId="5">
    <w:nsid w:val="103B51D8"/>
    <w:multiLevelType w:val="multilevel"/>
    <w:tmpl w:val="103B51D8"/>
    <w:lvl w:ilvl="0" w:tentative="0">
      <w:start w:val="1"/>
      <w:numFmt w:val="decimal"/>
      <w:pStyle w:val="428"/>
      <w:lvlText w:val="表5.%1"/>
      <w:lvlJc w:val="left"/>
      <w:pPr>
        <w:ind w:left="420" w:hanging="420"/>
      </w:pPr>
      <w:rPr>
        <w:rFonts w:hint="eastAsia" w:ascii="Times New Roman" w:hAnsi="Times New Roman" w:cs="Times New Roman"/>
        <w:b w:val="0"/>
        <w:bCs w:val="0"/>
        <w:i w:val="0"/>
        <w:iCs w:val="0"/>
        <w:caps w:val="0"/>
        <w:smallCaps w:val="0"/>
        <w:strike w:val="0"/>
        <w:dstrike w:val="0"/>
        <w:outline w:val="0"/>
        <w:shadow w:val="0"/>
        <w:emboss w:val="0"/>
        <w:imprint w:val="0"/>
        <w:vanish w:val="0"/>
        <w:spacing w:val="0"/>
        <w:position w:val="0"/>
        <w:u w:val="none"/>
        <w:vertAlign w:val="baseline"/>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6">
    <w:nsid w:val="1442494D"/>
    <w:multiLevelType w:val="multilevel"/>
    <w:tmpl w:val="1442494D"/>
    <w:lvl w:ilvl="0" w:tentative="0">
      <w:start w:val="1"/>
      <w:numFmt w:val="bullet"/>
      <w:lvlText w:val=""/>
      <w:lvlJc w:val="left"/>
      <w:pPr>
        <w:ind w:left="900" w:hanging="420"/>
      </w:pPr>
      <w:rPr>
        <w:rFonts w:hint="default" w:ascii="Wingdings" w:hAnsi="Wingdings"/>
      </w:rPr>
    </w:lvl>
    <w:lvl w:ilvl="1" w:tentative="0">
      <w:start w:val="1"/>
      <w:numFmt w:val="bullet"/>
      <w:lvlText w:val=""/>
      <w:lvlJc w:val="left"/>
      <w:pPr>
        <w:ind w:left="1320" w:hanging="420"/>
      </w:pPr>
      <w:rPr>
        <w:rFonts w:hint="default" w:ascii="Wingdings" w:hAnsi="Wingdings"/>
      </w:rPr>
    </w:lvl>
    <w:lvl w:ilvl="2" w:tentative="0">
      <w:start w:val="1"/>
      <w:numFmt w:val="bullet"/>
      <w:lvlText w:val=""/>
      <w:lvlJc w:val="left"/>
      <w:pPr>
        <w:ind w:left="1740" w:hanging="420"/>
      </w:pPr>
      <w:rPr>
        <w:rFonts w:hint="default" w:ascii="Wingdings" w:hAnsi="Wingdings"/>
      </w:rPr>
    </w:lvl>
    <w:lvl w:ilvl="3" w:tentative="0">
      <w:start w:val="1"/>
      <w:numFmt w:val="bullet"/>
      <w:lvlText w:val=""/>
      <w:lvlJc w:val="left"/>
      <w:pPr>
        <w:ind w:left="2160" w:hanging="420"/>
      </w:pPr>
      <w:rPr>
        <w:rFonts w:hint="default" w:ascii="Wingdings" w:hAnsi="Wingdings"/>
      </w:rPr>
    </w:lvl>
    <w:lvl w:ilvl="4" w:tentative="0">
      <w:start w:val="1"/>
      <w:numFmt w:val="bullet"/>
      <w:lvlText w:val=""/>
      <w:lvlJc w:val="left"/>
      <w:pPr>
        <w:ind w:left="2580" w:hanging="420"/>
      </w:pPr>
      <w:rPr>
        <w:rFonts w:hint="default" w:ascii="Wingdings" w:hAnsi="Wingdings"/>
      </w:rPr>
    </w:lvl>
    <w:lvl w:ilvl="5" w:tentative="0">
      <w:start w:val="1"/>
      <w:numFmt w:val="bullet"/>
      <w:lvlText w:val=""/>
      <w:lvlJc w:val="left"/>
      <w:pPr>
        <w:ind w:left="3000" w:hanging="420"/>
      </w:pPr>
      <w:rPr>
        <w:rFonts w:hint="default" w:ascii="Wingdings" w:hAnsi="Wingdings"/>
      </w:rPr>
    </w:lvl>
    <w:lvl w:ilvl="6" w:tentative="0">
      <w:start w:val="1"/>
      <w:numFmt w:val="bullet"/>
      <w:lvlText w:val=""/>
      <w:lvlJc w:val="left"/>
      <w:pPr>
        <w:ind w:left="3420" w:hanging="420"/>
      </w:pPr>
      <w:rPr>
        <w:rFonts w:hint="default" w:ascii="Wingdings" w:hAnsi="Wingdings"/>
      </w:rPr>
    </w:lvl>
    <w:lvl w:ilvl="7" w:tentative="0">
      <w:start w:val="1"/>
      <w:numFmt w:val="bullet"/>
      <w:lvlText w:val=""/>
      <w:lvlJc w:val="left"/>
      <w:pPr>
        <w:ind w:left="3840" w:hanging="420"/>
      </w:pPr>
      <w:rPr>
        <w:rFonts w:hint="default" w:ascii="Wingdings" w:hAnsi="Wingdings"/>
      </w:rPr>
    </w:lvl>
    <w:lvl w:ilvl="8" w:tentative="0">
      <w:start w:val="1"/>
      <w:numFmt w:val="bullet"/>
      <w:lvlText w:val=""/>
      <w:lvlJc w:val="left"/>
      <w:pPr>
        <w:ind w:left="4260" w:hanging="420"/>
      </w:pPr>
      <w:rPr>
        <w:rFonts w:hint="default" w:ascii="Wingdings" w:hAnsi="Wingdings"/>
      </w:rPr>
    </w:lvl>
  </w:abstractNum>
  <w:abstractNum w:abstractNumId="7">
    <w:nsid w:val="15E93DEF"/>
    <w:multiLevelType w:val="multilevel"/>
    <w:tmpl w:val="15E93DEF"/>
    <w:lvl w:ilvl="0" w:tentative="0">
      <w:start w:val="1"/>
      <w:numFmt w:val="decimal"/>
      <w:lvlText w:val="%1)"/>
      <w:lvlJc w:val="left"/>
      <w:pPr>
        <w:ind w:left="900" w:hanging="420"/>
      </w:p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8">
    <w:nsid w:val="1EB81EA1"/>
    <w:multiLevelType w:val="multilevel"/>
    <w:tmpl w:val="1EB81EA1"/>
    <w:lvl w:ilvl="0" w:tentative="0">
      <w:start w:val="1"/>
      <w:numFmt w:val="decimal"/>
      <w:pStyle w:val="3"/>
      <w:lvlText w:val="表3.%1"/>
      <w:lvlJc w:val="center"/>
      <w:pPr>
        <w:tabs>
          <w:tab w:val="left" w:pos="4208"/>
        </w:tabs>
        <w:ind w:left="6330" w:hanging="420"/>
      </w:pPr>
      <w:rPr>
        <w:rFonts w:hint="default" w:ascii="Times New Roman" w:hAnsi="Times New Roman" w:eastAsia="黑体"/>
        <w:color w:val="FF0000"/>
      </w:rPr>
    </w:lvl>
    <w:lvl w:ilvl="1" w:tentative="0">
      <w:start w:val="1"/>
      <w:numFmt w:val="lowerLetter"/>
      <w:lvlText w:val="%2)"/>
      <w:lvlJc w:val="left"/>
      <w:pPr>
        <w:tabs>
          <w:tab w:val="left" w:pos="1815"/>
        </w:tabs>
        <w:ind w:left="1815" w:hanging="420"/>
      </w:pPr>
    </w:lvl>
    <w:lvl w:ilvl="2" w:tentative="0">
      <w:start w:val="1"/>
      <w:numFmt w:val="lowerRoman"/>
      <w:lvlText w:val="%3."/>
      <w:lvlJc w:val="right"/>
      <w:pPr>
        <w:tabs>
          <w:tab w:val="left" w:pos="2235"/>
        </w:tabs>
        <w:ind w:left="2235" w:hanging="420"/>
      </w:pPr>
    </w:lvl>
    <w:lvl w:ilvl="3" w:tentative="0">
      <w:start w:val="1"/>
      <w:numFmt w:val="decimal"/>
      <w:lvlText w:val="%4."/>
      <w:lvlJc w:val="left"/>
      <w:pPr>
        <w:tabs>
          <w:tab w:val="left" w:pos="2655"/>
        </w:tabs>
        <w:ind w:left="2655" w:hanging="420"/>
      </w:pPr>
    </w:lvl>
    <w:lvl w:ilvl="4" w:tentative="0">
      <w:start w:val="1"/>
      <w:numFmt w:val="lowerLetter"/>
      <w:lvlText w:val="%5)"/>
      <w:lvlJc w:val="left"/>
      <w:pPr>
        <w:tabs>
          <w:tab w:val="left" w:pos="3075"/>
        </w:tabs>
        <w:ind w:left="3075" w:hanging="420"/>
      </w:pPr>
    </w:lvl>
    <w:lvl w:ilvl="5" w:tentative="0">
      <w:start w:val="1"/>
      <w:numFmt w:val="lowerRoman"/>
      <w:lvlText w:val="%6."/>
      <w:lvlJc w:val="right"/>
      <w:pPr>
        <w:tabs>
          <w:tab w:val="left" w:pos="3495"/>
        </w:tabs>
        <w:ind w:left="3495" w:hanging="420"/>
      </w:pPr>
    </w:lvl>
    <w:lvl w:ilvl="6" w:tentative="0">
      <w:start w:val="1"/>
      <w:numFmt w:val="decimal"/>
      <w:lvlText w:val="%7."/>
      <w:lvlJc w:val="left"/>
      <w:pPr>
        <w:tabs>
          <w:tab w:val="left" w:pos="3915"/>
        </w:tabs>
        <w:ind w:left="3915" w:hanging="420"/>
      </w:pPr>
    </w:lvl>
    <w:lvl w:ilvl="7" w:tentative="0">
      <w:start w:val="1"/>
      <w:numFmt w:val="lowerLetter"/>
      <w:lvlText w:val="%8)"/>
      <w:lvlJc w:val="left"/>
      <w:pPr>
        <w:tabs>
          <w:tab w:val="left" w:pos="4335"/>
        </w:tabs>
        <w:ind w:left="4335" w:hanging="420"/>
      </w:pPr>
    </w:lvl>
    <w:lvl w:ilvl="8" w:tentative="0">
      <w:start w:val="1"/>
      <w:numFmt w:val="lowerRoman"/>
      <w:lvlText w:val="%9."/>
      <w:lvlJc w:val="right"/>
      <w:pPr>
        <w:tabs>
          <w:tab w:val="left" w:pos="4755"/>
        </w:tabs>
        <w:ind w:left="4755" w:hanging="420"/>
      </w:pPr>
    </w:lvl>
  </w:abstractNum>
  <w:abstractNum w:abstractNumId="9">
    <w:nsid w:val="2425F653"/>
    <w:multiLevelType w:val="singleLevel"/>
    <w:tmpl w:val="2425F653"/>
    <w:lvl w:ilvl="0" w:tentative="0">
      <w:start w:val="2"/>
      <w:numFmt w:val="decimal"/>
      <w:suff w:val="nothing"/>
      <w:lvlText w:val="（%1）"/>
      <w:lvlJc w:val="left"/>
    </w:lvl>
  </w:abstractNum>
  <w:abstractNum w:abstractNumId="10">
    <w:nsid w:val="345D20E7"/>
    <w:multiLevelType w:val="multilevel"/>
    <w:tmpl w:val="345D20E7"/>
    <w:lvl w:ilvl="0" w:tentative="0">
      <w:start w:val="1"/>
      <w:numFmt w:val="decimal"/>
      <w:pStyle w:val="269"/>
      <w:lvlText w:val="表3.%1    "/>
      <w:lvlJc w:val="center"/>
      <w:pPr>
        <w:tabs>
          <w:tab w:val="left" w:pos="-2422"/>
        </w:tabs>
        <w:ind w:left="1543" w:hanging="420"/>
      </w:pPr>
      <w:rPr>
        <w:rFonts w:hint="eastAsia" w:ascii="Times New Roman" w:hAnsi="Times New Roman" w:cs="Times New Roman"/>
        <w:b w:val="0"/>
        <w:bCs w:val="0"/>
        <w:i w:val="0"/>
        <w:iCs w:val="0"/>
        <w:caps w:val="0"/>
        <w:smallCaps w:val="0"/>
        <w:strike w:val="0"/>
        <w:dstrike w:val="0"/>
        <w:outline w:val="0"/>
        <w:shadow w:val="0"/>
        <w:emboss w:val="0"/>
        <w:imprint w:val="0"/>
        <w:snapToGrid w:val="0"/>
        <w:vanish w:val="0"/>
        <w:color w:val="000000"/>
        <w:spacing w:val="0"/>
        <w:w w:val="0"/>
        <w:kern w:val="0"/>
        <w:position w:val="0"/>
        <w:szCs w:val="0"/>
        <w:u w:val="none"/>
        <w:vertAlign w:val="baseline"/>
        <w:lang w:val="en-US"/>
      </w:rPr>
    </w:lvl>
    <w:lvl w:ilvl="1" w:tentative="0">
      <w:start w:val="1"/>
      <w:numFmt w:val="lowerLetter"/>
      <w:lvlText w:val="%2)"/>
      <w:lvlJc w:val="left"/>
      <w:pPr>
        <w:tabs>
          <w:tab w:val="left" w:pos="1400"/>
        </w:tabs>
        <w:ind w:left="1400" w:hanging="420"/>
      </w:pPr>
    </w:lvl>
    <w:lvl w:ilvl="2" w:tentative="0">
      <w:start w:val="1"/>
      <w:numFmt w:val="lowerRoman"/>
      <w:lvlText w:val="%3."/>
      <w:lvlJc w:val="right"/>
      <w:pPr>
        <w:tabs>
          <w:tab w:val="left" w:pos="1820"/>
        </w:tabs>
        <w:ind w:left="1820" w:hanging="420"/>
      </w:pPr>
    </w:lvl>
    <w:lvl w:ilvl="3" w:tentative="0">
      <w:start w:val="1"/>
      <w:numFmt w:val="decimal"/>
      <w:lvlText w:val="%4."/>
      <w:lvlJc w:val="left"/>
      <w:pPr>
        <w:tabs>
          <w:tab w:val="left" w:pos="2240"/>
        </w:tabs>
        <w:ind w:left="2240" w:hanging="420"/>
      </w:pPr>
    </w:lvl>
    <w:lvl w:ilvl="4" w:tentative="0">
      <w:start w:val="1"/>
      <w:numFmt w:val="lowerLetter"/>
      <w:lvlText w:val="%5)"/>
      <w:lvlJc w:val="left"/>
      <w:pPr>
        <w:tabs>
          <w:tab w:val="left" w:pos="2660"/>
        </w:tabs>
        <w:ind w:left="2660" w:hanging="420"/>
      </w:pPr>
    </w:lvl>
    <w:lvl w:ilvl="5" w:tentative="0">
      <w:start w:val="1"/>
      <w:numFmt w:val="lowerRoman"/>
      <w:lvlText w:val="%6."/>
      <w:lvlJc w:val="right"/>
      <w:pPr>
        <w:tabs>
          <w:tab w:val="left" w:pos="3080"/>
        </w:tabs>
        <w:ind w:left="3080" w:hanging="420"/>
      </w:pPr>
    </w:lvl>
    <w:lvl w:ilvl="6" w:tentative="0">
      <w:start w:val="1"/>
      <w:numFmt w:val="decimal"/>
      <w:lvlText w:val="%7."/>
      <w:lvlJc w:val="left"/>
      <w:pPr>
        <w:tabs>
          <w:tab w:val="left" w:pos="3500"/>
        </w:tabs>
        <w:ind w:left="3500" w:hanging="420"/>
      </w:pPr>
    </w:lvl>
    <w:lvl w:ilvl="7" w:tentative="0">
      <w:start w:val="1"/>
      <w:numFmt w:val="lowerLetter"/>
      <w:lvlText w:val="%8)"/>
      <w:lvlJc w:val="left"/>
      <w:pPr>
        <w:tabs>
          <w:tab w:val="left" w:pos="3920"/>
        </w:tabs>
        <w:ind w:left="3920" w:hanging="420"/>
      </w:pPr>
    </w:lvl>
    <w:lvl w:ilvl="8" w:tentative="0">
      <w:start w:val="1"/>
      <w:numFmt w:val="lowerRoman"/>
      <w:lvlText w:val="%9."/>
      <w:lvlJc w:val="right"/>
      <w:pPr>
        <w:tabs>
          <w:tab w:val="left" w:pos="4340"/>
        </w:tabs>
        <w:ind w:left="4340" w:hanging="420"/>
      </w:pPr>
    </w:lvl>
  </w:abstractNum>
  <w:abstractNum w:abstractNumId="11">
    <w:nsid w:val="36A1044E"/>
    <w:multiLevelType w:val="multilevel"/>
    <w:tmpl w:val="36A1044E"/>
    <w:lvl w:ilvl="0" w:tentative="0">
      <w:start w:val="1"/>
      <w:numFmt w:val="decimalEnclosedCircle"/>
      <w:lvlText w:val="%1"/>
      <w:lvlJc w:val="left"/>
      <w:pPr>
        <w:ind w:left="900" w:hanging="420"/>
      </w:pPr>
      <w:rPr>
        <w:rFonts w:hint="default"/>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12">
    <w:nsid w:val="37D526EB"/>
    <w:multiLevelType w:val="multilevel"/>
    <w:tmpl w:val="37D526EB"/>
    <w:lvl w:ilvl="0" w:tentative="0">
      <w:start w:val="1"/>
      <w:numFmt w:val="bullet"/>
      <w:pStyle w:val="591"/>
      <w:lvlText w:val=""/>
      <w:lvlJc w:val="left"/>
      <w:pPr>
        <w:ind w:left="620" w:hanging="420"/>
      </w:pPr>
      <w:rPr>
        <w:rFonts w:hint="default" w:ascii="Wingdings" w:hAnsi="Wingdings"/>
      </w:rPr>
    </w:lvl>
    <w:lvl w:ilvl="1" w:tentative="0">
      <w:start w:val="1"/>
      <w:numFmt w:val="bullet"/>
      <w:lvlText w:val=""/>
      <w:lvlJc w:val="left"/>
      <w:pPr>
        <w:ind w:left="1040" w:hanging="420"/>
      </w:pPr>
      <w:rPr>
        <w:rFonts w:hint="default" w:ascii="Wingdings" w:hAnsi="Wingdings"/>
      </w:rPr>
    </w:lvl>
    <w:lvl w:ilvl="2" w:tentative="0">
      <w:start w:val="1"/>
      <w:numFmt w:val="bullet"/>
      <w:lvlText w:val=""/>
      <w:lvlJc w:val="left"/>
      <w:pPr>
        <w:ind w:left="1460" w:hanging="420"/>
      </w:pPr>
      <w:rPr>
        <w:rFonts w:hint="default" w:ascii="Wingdings" w:hAnsi="Wingdings"/>
      </w:rPr>
    </w:lvl>
    <w:lvl w:ilvl="3" w:tentative="0">
      <w:start w:val="1"/>
      <w:numFmt w:val="bullet"/>
      <w:lvlText w:val=""/>
      <w:lvlJc w:val="left"/>
      <w:pPr>
        <w:ind w:left="1880" w:hanging="420"/>
      </w:pPr>
      <w:rPr>
        <w:rFonts w:hint="default" w:ascii="Wingdings" w:hAnsi="Wingdings"/>
      </w:rPr>
    </w:lvl>
    <w:lvl w:ilvl="4" w:tentative="0">
      <w:start w:val="1"/>
      <w:numFmt w:val="bullet"/>
      <w:lvlText w:val=""/>
      <w:lvlJc w:val="left"/>
      <w:pPr>
        <w:ind w:left="2300" w:hanging="420"/>
      </w:pPr>
      <w:rPr>
        <w:rFonts w:hint="default" w:ascii="Wingdings" w:hAnsi="Wingdings"/>
      </w:rPr>
    </w:lvl>
    <w:lvl w:ilvl="5" w:tentative="0">
      <w:start w:val="1"/>
      <w:numFmt w:val="bullet"/>
      <w:lvlText w:val=""/>
      <w:lvlJc w:val="left"/>
      <w:pPr>
        <w:ind w:left="2720" w:hanging="420"/>
      </w:pPr>
      <w:rPr>
        <w:rFonts w:hint="default" w:ascii="Wingdings" w:hAnsi="Wingdings"/>
      </w:rPr>
    </w:lvl>
    <w:lvl w:ilvl="6" w:tentative="0">
      <w:start w:val="1"/>
      <w:numFmt w:val="bullet"/>
      <w:lvlText w:val=""/>
      <w:lvlJc w:val="left"/>
      <w:pPr>
        <w:ind w:left="3140" w:hanging="420"/>
      </w:pPr>
      <w:rPr>
        <w:rFonts w:hint="default" w:ascii="Wingdings" w:hAnsi="Wingdings"/>
      </w:rPr>
    </w:lvl>
    <w:lvl w:ilvl="7" w:tentative="0">
      <w:start w:val="1"/>
      <w:numFmt w:val="bullet"/>
      <w:lvlText w:val=""/>
      <w:lvlJc w:val="left"/>
      <w:pPr>
        <w:ind w:left="3560" w:hanging="420"/>
      </w:pPr>
      <w:rPr>
        <w:rFonts w:hint="default" w:ascii="Wingdings" w:hAnsi="Wingdings"/>
      </w:rPr>
    </w:lvl>
    <w:lvl w:ilvl="8" w:tentative="0">
      <w:start w:val="1"/>
      <w:numFmt w:val="bullet"/>
      <w:lvlText w:val=""/>
      <w:lvlJc w:val="left"/>
      <w:pPr>
        <w:ind w:left="3980" w:hanging="420"/>
      </w:pPr>
      <w:rPr>
        <w:rFonts w:hint="default" w:ascii="Wingdings" w:hAnsi="Wingdings"/>
      </w:rPr>
    </w:lvl>
  </w:abstractNum>
  <w:abstractNum w:abstractNumId="13">
    <w:nsid w:val="38BA099D"/>
    <w:multiLevelType w:val="multilevel"/>
    <w:tmpl w:val="38BA099D"/>
    <w:lvl w:ilvl="0" w:tentative="0">
      <w:start w:val="1"/>
      <w:numFmt w:val="decimal"/>
      <w:pStyle w:val="520"/>
      <w:suff w:val="space"/>
      <w:lvlText w:val="%1  "/>
      <w:lvlJc w:val="left"/>
      <w:pPr>
        <w:ind w:left="0" w:firstLine="0"/>
      </w:pPr>
      <w:rPr>
        <w:rFonts w:hint="default" w:ascii="Times New Roman" w:hAnsi="Times New Roman" w:cs="Times New Roman"/>
        <w:sz w:val="32"/>
        <w:szCs w:val="32"/>
      </w:rPr>
    </w:lvl>
    <w:lvl w:ilvl="1" w:tentative="0">
      <w:start w:val="1"/>
      <w:numFmt w:val="decimal"/>
      <w:pStyle w:val="522"/>
      <w:suff w:val="space"/>
      <w:lvlText w:val="%1.%2  "/>
      <w:lvlJc w:val="left"/>
      <w:pPr>
        <w:ind w:left="1800" w:hanging="400"/>
      </w:pPr>
      <w:rPr>
        <w:rFonts w:hint="default" w:ascii="Times New Roman" w:hAnsi="Times New Roman" w:cs="Times New Roman"/>
        <w:sz w:val="30"/>
        <w:szCs w:val="30"/>
      </w:rPr>
    </w:lvl>
    <w:lvl w:ilvl="2" w:tentative="0">
      <w:start w:val="1"/>
      <w:numFmt w:val="decimal"/>
      <w:pStyle w:val="524"/>
      <w:suff w:val="space"/>
      <w:lvlText w:val="%1.%2.%3  "/>
      <w:lvlJc w:val="left"/>
      <w:pPr>
        <w:ind w:left="2977" w:hanging="567"/>
      </w:pPr>
      <w:rPr>
        <w:rFonts w:hint="default" w:ascii="Times New Roman" w:hAnsi="Times New Roman" w:cs="Times New Roman"/>
        <w:b/>
        <w:color w:val="auto"/>
        <w:sz w:val="28"/>
        <w:szCs w:val="28"/>
      </w:rPr>
    </w:lvl>
    <w:lvl w:ilvl="3" w:tentative="0">
      <w:start w:val="1"/>
      <w:numFmt w:val="decimal"/>
      <w:pStyle w:val="526"/>
      <w:suff w:val="space"/>
      <w:lvlText w:val="%1.%2.%3.%4  "/>
      <w:lvlJc w:val="left"/>
      <w:pPr>
        <w:ind w:left="4224" w:hanging="864"/>
      </w:pPr>
      <w:rPr>
        <w:rFonts w:hint="default" w:ascii="Times New Roman" w:hAnsi="Times New Roman" w:cs="Times New Roman"/>
        <w:b/>
        <w:sz w:val="28"/>
        <w:szCs w:val="28"/>
      </w:rPr>
    </w:lvl>
    <w:lvl w:ilvl="4" w:tentative="0">
      <w:start w:val="1"/>
      <w:numFmt w:val="decimal"/>
      <w:suff w:val="space"/>
      <w:lvlText w:val="%1.%2.%3.%4.%5"/>
      <w:lvlJc w:val="left"/>
      <w:pPr>
        <w:ind w:left="1188" w:hanging="1008"/>
      </w:pPr>
    </w:lvl>
    <w:lvl w:ilvl="5" w:tentative="0">
      <w:start w:val="1"/>
      <w:numFmt w:val="decimal"/>
      <w:lvlText w:val="%1.%2.%3.%4.%5.%6"/>
      <w:lvlJc w:val="left"/>
      <w:pPr>
        <w:tabs>
          <w:tab w:val="left" w:pos="1152"/>
        </w:tabs>
        <w:ind w:left="1152" w:hanging="1152"/>
      </w:pPr>
    </w:lvl>
    <w:lvl w:ilvl="6" w:tentative="0">
      <w:start w:val="1"/>
      <w:numFmt w:val="decimal"/>
      <w:lvlText w:val="%1.%2.%3.%4.%5.%6.%7"/>
      <w:lvlJc w:val="left"/>
      <w:pPr>
        <w:tabs>
          <w:tab w:val="left" w:pos="1296"/>
        </w:tabs>
        <w:ind w:left="1296" w:hanging="1296"/>
      </w:pPr>
    </w:lvl>
    <w:lvl w:ilvl="7" w:tentative="0">
      <w:start w:val="1"/>
      <w:numFmt w:val="decimal"/>
      <w:lvlText w:val="%1.%2.%3.%4.%5.%6.%7.%8"/>
      <w:lvlJc w:val="left"/>
      <w:pPr>
        <w:tabs>
          <w:tab w:val="left" w:pos="1440"/>
        </w:tabs>
        <w:ind w:left="1440" w:hanging="1440"/>
      </w:pPr>
    </w:lvl>
    <w:lvl w:ilvl="8" w:tentative="0">
      <w:start w:val="1"/>
      <w:numFmt w:val="decimal"/>
      <w:lvlText w:val="%1.%2.%3.%4.%5.%6.%7.%8.%9"/>
      <w:lvlJc w:val="left"/>
      <w:pPr>
        <w:tabs>
          <w:tab w:val="left" w:pos="1584"/>
        </w:tabs>
        <w:ind w:left="1584" w:hanging="1584"/>
      </w:pPr>
    </w:lvl>
  </w:abstractNum>
  <w:abstractNum w:abstractNumId="14">
    <w:nsid w:val="3C8C18BD"/>
    <w:multiLevelType w:val="multilevel"/>
    <w:tmpl w:val="3C8C18BD"/>
    <w:lvl w:ilvl="0" w:tentative="0">
      <w:start w:val="1"/>
      <w:numFmt w:val="decimal"/>
      <w:lvlText w:val="%1)"/>
      <w:lvlJc w:val="left"/>
      <w:pPr>
        <w:ind w:left="902" w:hanging="420"/>
      </w:pPr>
    </w:lvl>
    <w:lvl w:ilvl="1" w:tentative="0">
      <w:start w:val="1"/>
      <w:numFmt w:val="lowerLetter"/>
      <w:lvlText w:val="%2)"/>
      <w:lvlJc w:val="left"/>
      <w:pPr>
        <w:ind w:left="1322" w:hanging="420"/>
      </w:pPr>
    </w:lvl>
    <w:lvl w:ilvl="2" w:tentative="0">
      <w:start w:val="1"/>
      <w:numFmt w:val="lowerRoman"/>
      <w:lvlText w:val="%3."/>
      <w:lvlJc w:val="right"/>
      <w:pPr>
        <w:ind w:left="1742" w:hanging="420"/>
      </w:pPr>
    </w:lvl>
    <w:lvl w:ilvl="3" w:tentative="0">
      <w:start w:val="1"/>
      <w:numFmt w:val="decimal"/>
      <w:lvlText w:val="%4."/>
      <w:lvlJc w:val="left"/>
      <w:pPr>
        <w:ind w:left="2162" w:hanging="420"/>
      </w:pPr>
    </w:lvl>
    <w:lvl w:ilvl="4" w:tentative="0">
      <w:start w:val="1"/>
      <w:numFmt w:val="lowerLetter"/>
      <w:lvlText w:val="%5)"/>
      <w:lvlJc w:val="left"/>
      <w:pPr>
        <w:ind w:left="2582" w:hanging="420"/>
      </w:pPr>
    </w:lvl>
    <w:lvl w:ilvl="5" w:tentative="0">
      <w:start w:val="1"/>
      <w:numFmt w:val="lowerRoman"/>
      <w:lvlText w:val="%6."/>
      <w:lvlJc w:val="right"/>
      <w:pPr>
        <w:ind w:left="3002" w:hanging="420"/>
      </w:pPr>
    </w:lvl>
    <w:lvl w:ilvl="6" w:tentative="0">
      <w:start w:val="1"/>
      <w:numFmt w:val="decimal"/>
      <w:lvlText w:val="%7."/>
      <w:lvlJc w:val="left"/>
      <w:pPr>
        <w:ind w:left="3422" w:hanging="420"/>
      </w:pPr>
    </w:lvl>
    <w:lvl w:ilvl="7" w:tentative="0">
      <w:start w:val="1"/>
      <w:numFmt w:val="lowerLetter"/>
      <w:lvlText w:val="%8)"/>
      <w:lvlJc w:val="left"/>
      <w:pPr>
        <w:ind w:left="3842" w:hanging="420"/>
      </w:pPr>
    </w:lvl>
    <w:lvl w:ilvl="8" w:tentative="0">
      <w:start w:val="1"/>
      <w:numFmt w:val="lowerRoman"/>
      <w:lvlText w:val="%9."/>
      <w:lvlJc w:val="right"/>
      <w:pPr>
        <w:ind w:left="4262" w:hanging="420"/>
      </w:pPr>
    </w:lvl>
  </w:abstractNum>
  <w:abstractNum w:abstractNumId="15">
    <w:nsid w:val="3D1E7095"/>
    <w:multiLevelType w:val="multilevel"/>
    <w:tmpl w:val="3D1E7095"/>
    <w:lvl w:ilvl="0" w:tentative="0">
      <w:start w:val="1"/>
      <w:numFmt w:val="decimal"/>
      <w:pStyle w:val="137"/>
      <w:lvlText w:val="表4.%1"/>
      <w:lvlJc w:val="center"/>
      <w:pPr>
        <w:ind w:left="420" w:hanging="420"/>
      </w:pPr>
      <w:rPr>
        <w:rFonts w:hint="eastAsia" w:eastAsia="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6">
    <w:nsid w:val="3D687152"/>
    <w:multiLevelType w:val="singleLevel"/>
    <w:tmpl w:val="3D687152"/>
    <w:lvl w:ilvl="0" w:tentative="0">
      <w:start w:val="56"/>
      <w:numFmt w:val="decimal"/>
      <w:suff w:val="space"/>
      <w:lvlText w:val="第%1条"/>
      <w:lvlJc w:val="left"/>
    </w:lvl>
  </w:abstractNum>
  <w:abstractNum w:abstractNumId="17">
    <w:nsid w:val="40AB162D"/>
    <w:multiLevelType w:val="multilevel"/>
    <w:tmpl w:val="40AB162D"/>
    <w:lvl w:ilvl="0" w:tentative="0">
      <w:start w:val="1"/>
      <w:numFmt w:val="decimal"/>
      <w:pStyle w:val="245"/>
      <w:lvlText w:val="表2.%1"/>
      <w:lvlJc w:val="center"/>
      <w:pPr>
        <w:tabs>
          <w:tab w:val="left" w:pos="-899"/>
        </w:tabs>
        <w:ind w:left="3066" w:hanging="420"/>
      </w:pPr>
      <w:rPr>
        <w:rFonts w:hint="default" w:ascii="Times New Roman" w:hAnsi="Times New Roman" w:eastAsia="黑体" w:cs="Times New Roman"/>
        <w:b w:val="0"/>
        <w:bCs w:val="0"/>
        <w:i w:val="0"/>
        <w:iCs w:val="0"/>
        <w:caps w:val="0"/>
        <w:strike w:val="0"/>
        <w:dstrike w:val="0"/>
        <w:outline w:val="0"/>
        <w:shadow w:val="0"/>
        <w:emboss w:val="0"/>
        <w:imprint w:val="0"/>
        <w:vanish w:val="0"/>
        <w:spacing w:val="0"/>
        <w:position w:val="0"/>
        <w:sz w:val="24"/>
        <w:szCs w:val="24"/>
        <w:u w:val="none"/>
        <w:vertAlign w:val="baseline"/>
        <w:lang w:val="en-US"/>
      </w:rPr>
    </w:lvl>
    <w:lvl w:ilvl="1" w:tentative="0">
      <w:start w:val="1"/>
      <w:numFmt w:val="bullet"/>
      <w:lvlText w:val=""/>
      <w:lvlJc w:val="left"/>
      <w:pPr>
        <w:tabs>
          <w:tab w:val="left" w:pos="840"/>
        </w:tabs>
        <w:ind w:left="840" w:hanging="420"/>
      </w:pPr>
      <w:rPr>
        <w:rFonts w:hint="default" w:ascii="Wingdings" w:hAnsi="Wingdings"/>
        <w:b w:val="0"/>
        <w:bCs w:val="0"/>
        <w:i w:val="0"/>
        <w:iCs w:val="0"/>
        <w:caps w:val="0"/>
        <w:strike w:val="0"/>
        <w:dstrike w:val="0"/>
        <w:outline w:val="0"/>
        <w:shadow w:val="0"/>
        <w:emboss w:val="0"/>
        <w:imprint w:val="0"/>
        <w:vanish w:val="0"/>
        <w:spacing w:val="0"/>
        <w:position w:val="0"/>
        <w:sz w:val="24"/>
        <w:szCs w:val="24"/>
        <w:u w:val="none"/>
        <w:vertAlign w:val="baseline"/>
        <w:lang w:val="en-US"/>
      </w:r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8">
    <w:nsid w:val="48214CC1"/>
    <w:multiLevelType w:val="multilevel"/>
    <w:tmpl w:val="48214CC1"/>
    <w:lvl w:ilvl="0" w:tentative="0">
      <w:start w:val="1"/>
      <w:numFmt w:val="decimal"/>
      <w:pStyle w:val="453"/>
      <w:lvlText w:val="图5-%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9">
    <w:nsid w:val="4A167573"/>
    <w:multiLevelType w:val="multilevel"/>
    <w:tmpl w:val="4A167573"/>
    <w:lvl w:ilvl="0" w:tentative="0">
      <w:start w:val="1"/>
      <w:numFmt w:val="decimal"/>
      <w:pStyle w:val="153"/>
      <w:lvlText w:val="表7.%1"/>
      <w:lvlJc w:val="center"/>
      <w:pPr>
        <w:tabs>
          <w:tab w:val="left" w:pos="-1281"/>
        </w:tabs>
        <w:ind w:left="841" w:hanging="420"/>
      </w:pPr>
      <w:rPr>
        <w:rFonts w:hint="default" w:ascii="Times New Roman" w:hAnsi="Times New Roman" w:eastAsia="黑体"/>
        <w:b w:val="0"/>
        <w:sz w:val="24"/>
        <w:szCs w:val="24"/>
        <w:lang w:val="en-US"/>
      </w:rPr>
    </w:lvl>
    <w:lvl w:ilvl="1" w:tentative="0">
      <w:start w:val="1"/>
      <w:numFmt w:val="lowerLetter"/>
      <w:lvlText w:val="%2)"/>
      <w:lvlJc w:val="left"/>
      <w:pPr>
        <w:tabs>
          <w:tab w:val="left" w:pos="1261"/>
        </w:tabs>
        <w:ind w:left="1261" w:hanging="420"/>
      </w:pPr>
    </w:lvl>
    <w:lvl w:ilvl="2" w:tentative="0">
      <w:start w:val="1"/>
      <w:numFmt w:val="lowerRoman"/>
      <w:lvlText w:val="%3."/>
      <w:lvlJc w:val="right"/>
      <w:pPr>
        <w:tabs>
          <w:tab w:val="left" w:pos="1681"/>
        </w:tabs>
        <w:ind w:left="1681" w:hanging="420"/>
      </w:pPr>
    </w:lvl>
    <w:lvl w:ilvl="3" w:tentative="0">
      <w:start w:val="1"/>
      <w:numFmt w:val="decimal"/>
      <w:lvlText w:val="%4."/>
      <w:lvlJc w:val="left"/>
      <w:pPr>
        <w:tabs>
          <w:tab w:val="left" w:pos="2101"/>
        </w:tabs>
        <w:ind w:left="2101" w:hanging="420"/>
      </w:pPr>
    </w:lvl>
    <w:lvl w:ilvl="4" w:tentative="0">
      <w:start w:val="1"/>
      <w:numFmt w:val="lowerLetter"/>
      <w:lvlText w:val="%5)"/>
      <w:lvlJc w:val="left"/>
      <w:pPr>
        <w:tabs>
          <w:tab w:val="left" w:pos="2521"/>
        </w:tabs>
        <w:ind w:left="2521" w:hanging="420"/>
      </w:pPr>
    </w:lvl>
    <w:lvl w:ilvl="5" w:tentative="0">
      <w:start w:val="1"/>
      <w:numFmt w:val="lowerRoman"/>
      <w:lvlText w:val="%6."/>
      <w:lvlJc w:val="right"/>
      <w:pPr>
        <w:tabs>
          <w:tab w:val="left" w:pos="2941"/>
        </w:tabs>
        <w:ind w:left="2941" w:hanging="420"/>
      </w:pPr>
    </w:lvl>
    <w:lvl w:ilvl="6" w:tentative="0">
      <w:start w:val="1"/>
      <w:numFmt w:val="decimal"/>
      <w:lvlText w:val="%7."/>
      <w:lvlJc w:val="left"/>
      <w:pPr>
        <w:tabs>
          <w:tab w:val="left" w:pos="3361"/>
        </w:tabs>
        <w:ind w:left="3361" w:hanging="420"/>
      </w:pPr>
    </w:lvl>
    <w:lvl w:ilvl="7" w:tentative="0">
      <w:start w:val="1"/>
      <w:numFmt w:val="lowerLetter"/>
      <w:lvlText w:val="%8)"/>
      <w:lvlJc w:val="left"/>
      <w:pPr>
        <w:tabs>
          <w:tab w:val="left" w:pos="3781"/>
        </w:tabs>
        <w:ind w:left="3781" w:hanging="420"/>
      </w:pPr>
    </w:lvl>
    <w:lvl w:ilvl="8" w:tentative="0">
      <w:start w:val="1"/>
      <w:numFmt w:val="lowerRoman"/>
      <w:lvlText w:val="%9."/>
      <w:lvlJc w:val="right"/>
      <w:pPr>
        <w:tabs>
          <w:tab w:val="left" w:pos="4201"/>
        </w:tabs>
        <w:ind w:left="4201" w:hanging="420"/>
      </w:pPr>
    </w:lvl>
  </w:abstractNum>
  <w:abstractNum w:abstractNumId="20">
    <w:nsid w:val="4E0B2F45"/>
    <w:multiLevelType w:val="multilevel"/>
    <w:tmpl w:val="4E0B2F45"/>
    <w:lvl w:ilvl="0" w:tentative="0">
      <w:start w:val="1"/>
      <w:numFmt w:val="decimal"/>
      <w:pStyle w:val="300"/>
      <w:lvlText w:val="图3-%1"/>
      <w:lvlJc w:val="center"/>
      <w:pPr>
        <w:ind w:left="420" w:hanging="420"/>
      </w:pPr>
      <w:rPr>
        <w:rFonts w:hint="eastAsia" w:eastAsia="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1">
    <w:nsid w:val="4F18418D"/>
    <w:multiLevelType w:val="singleLevel"/>
    <w:tmpl w:val="4F18418D"/>
    <w:lvl w:ilvl="0" w:tentative="0">
      <w:start w:val="2"/>
      <w:numFmt w:val="chineseCounting"/>
      <w:suff w:val="nothing"/>
      <w:lvlText w:val="%1、"/>
      <w:lvlJc w:val="left"/>
      <w:rPr>
        <w:rFonts w:hint="eastAsia"/>
      </w:rPr>
    </w:lvl>
  </w:abstractNum>
  <w:abstractNum w:abstractNumId="22">
    <w:nsid w:val="50114F41"/>
    <w:multiLevelType w:val="multilevel"/>
    <w:tmpl w:val="50114F41"/>
    <w:lvl w:ilvl="0" w:tentative="0">
      <w:start w:val="1"/>
      <w:numFmt w:val="decimal"/>
      <w:pStyle w:val="340"/>
      <w:lvlText w:val="表8.%1"/>
      <w:lvlJc w:val="left"/>
      <w:pPr>
        <w:ind w:left="900" w:hanging="420"/>
      </w:pPr>
      <w:rPr>
        <w:rFonts w:hint="eastAsia"/>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23">
    <w:nsid w:val="5A7D36A7"/>
    <w:multiLevelType w:val="multilevel"/>
    <w:tmpl w:val="5A7D36A7"/>
    <w:lvl w:ilvl="0" w:tentative="0">
      <w:start w:val="1"/>
      <w:numFmt w:val="decimal"/>
      <w:lvlText w:val="%1)"/>
      <w:lvlJc w:val="left"/>
      <w:pPr>
        <w:ind w:left="900" w:hanging="420"/>
      </w:p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24">
    <w:nsid w:val="5B546752"/>
    <w:multiLevelType w:val="multilevel"/>
    <w:tmpl w:val="5B546752"/>
    <w:lvl w:ilvl="0" w:tentative="0">
      <w:start w:val="1"/>
      <w:numFmt w:val="decimal"/>
      <w:pStyle w:val="600"/>
      <w:lvlText w:val="%1)"/>
      <w:lvlJc w:val="left"/>
      <w:pPr>
        <w:ind w:left="900" w:hanging="420"/>
      </w:p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25">
    <w:nsid w:val="62B0534E"/>
    <w:multiLevelType w:val="singleLevel"/>
    <w:tmpl w:val="62B0534E"/>
    <w:lvl w:ilvl="0" w:tentative="0">
      <w:start w:val="1"/>
      <w:numFmt w:val="decimal"/>
      <w:pStyle w:val="9"/>
      <w:lvlText w:val="（%1） "/>
      <w:lvlJc w:val="left"/>
      <w:pPr>
        <w:tabs>
          <w:tab w:val="left" w:pos="1647"/>
        </w:tabs>
        <w:ind w:left="0" w:firstLine="567"/>
      </w:pPr>
      <w:rPr>
        <w:rFonts w:hint="eastAsia" w:ascii="仿宋_GB2312" w:eastAsia="仿宋_GB2312"/>
        <w:b/>
        <w:i w:val="0"/>
        <w:spacing w:val="0"/>
        <w:w w:val="100"/>
        <w:kern w:val="0"/>
        <w:position w:val="0"/>
        <w:sz w:val="28"/>
      </w:rPr>
    </w:lvl>
  </w:abstractNum>
  <w:abstractNum w:abstractNumId="26">
    <w:nsid w:val="680A11B6"/>
    <w:multiLevelType w:val="multilevel"/>
    <w:tmpl w:val="680A11B6"/>
    <w:lvl w:ilvl="0" w:tentative="0">
      <w:start w:val="1"/>
      <w:numFmt w:val="decimal"/>
      <w:pStyle w:val="338"/>
      <w:lvlText w:val="表2.%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7">
    <w:nsid w:val="681E0A28"/>
    <w:multiLevelType w:val="multilevel"/>
    <w:tmpl w:val="681E0A28"/>
    <w:lvl w:ilvl="0" w:tentative="0">
      <w:start w:val="1"/>
      <w:numFmt w:val="bullet"/>
      <w:lvlText w:val=""/>
      <w:lvlJc w:val="left"/>
      <w:pPr>
        <w:ind w:left="900" w:hanging="420"/>
      </w:pPr>
      <w:rPr>
        <w:rFonts w:hint="default" w:ascii="Wingdings" w:hAnsi="Wingdings"/>
      </w:rPr>
    </w:lvl>
    <w:lvl w:ilvl="1" w:tentative="0">
      <w:start w:val="1"/>
      <w:numFmt w:val="bullet"/>
      <w:lvlText w:val=""/>
      <w:lvlJc w:val="left"/>
      <w:pPr>
        <w:ind w:left="1320" w:hanging="420"/>
      </w:pPr>
      <w:rPr>
        <w:rFonts w:hint="default" w:ascii="Wingdings" w:hAnsi="Wingdings"/>
      </w:rPr>
    </w:lvl>
    <w:lvl w:ilvl="2" w:tentative="0">
      <w:start w:val="1"/>
      <w:numFmt w:val="bullet"/>
      <w:lvlText w:val=""/>
      <w:lvlJc w:val="left"/>
      <w:pPr>
        <w:ind w:left="1740" w:hanging="420"/>
      </w:pPr>
      <w:rPr>
        <w:rFonts w:hint="default" w:ascii="Wingdings" w:hAnsi="Wingdings"/>
      </w:rPr>
    </w:lvl>
    <w:lvl w:ilvl="3" w:tentative="0">
      <w:start w:val="1"/>
      <w:numFmt w:val="bullet"/>
      <w:lvlText w:val=""/>
      <w:lvlJc w:val="left"/>
      <w:pPr>
        <w:ind w:left="2160" w:hanging="420"/>
      </w:pPr>
      <w:rPr>
        <w:rFonts w:hint="default" w:ascii="Wingdings" w:hAnsi="Wingdings"/>
      </w:rPr>
    </w:lvl>
    <w:lvl w:ilvl="4" w:tentative="0">
      <w:start w:val="1"/>
      <w:numFmt w:val="bullet"/>
      <w:lvlText w:val=""/>
      <w:lvlJc w:val="left"/>
      <w:pPr>
        <w:ind w:left="2580" w:hanging="420"/>
      </w:pPr>
      <w:rPr>
        <w:rFonts w:hint="default" w:ascii="Wingdings" w:hAnsi="Wingdings"/>
      </w:rPr>
    </w:lvl>
    <w:lvl w:ilvl="5" w:tentative="0">
      <w:start w:val="1"/>
      <w:numFmt w:val="bullet"/>
      <w:lvlText w:val=""/>
      <w:lvlJc w:val="left"/>
      <w:pPr>
        <w:ind w:left="3000" w:hanging="420"/>
      </w:pPr>
      <w:rPr>
        <w:rFonts w:hint="default" w:ascii="Wingdings" w:hAnsi="Wingdings"/>
      </w:rPr>
    </w:lvl>
    <w:lvl w:ilvl="6" w:tentative="0">
      <w:start w:val="1"/>
      <w:numFmt w:val="bullet"/>
      <w:lvlText w:val=""/>
      <w:lvlJc w:val="left"/>
      <w:pPr>
        <w:ind w:left="3420" w:hanging="420"/>
      </w:pPr>
      <w:rPr>
        <w:rFonts w:hint="default" w:ascii="Wingdings" w:hAnsi="Wingdings"/>
      </w:rPr>
    </w:lvl>
    <w:lvl w:ilvl="7" w:tentative="0">
      <w:start w:val="1"/>
      <w:numFmt w:val="bullet"/>
      <w:lvlText w:val=""/>
      <w:lvlJc w:val="left"/>
      <w:pPr>
        <w:ind w:left="3840" w:hanging="420"/>
      </w:pPr>
      <w:rPr>
        <w:rFonts w:hint="default" w:ascii="Wingdings" w:hAnsi="Wingdings"/>
      </w:rPr>
    </w:lvl>
    <w:lvl w:ilvl="8" w:tentative="0">
      <w:start w:val="1"/>
      <w:numFmt w:val="bullet"/>
      <w:lvlText w:val=""/>
      <w:lvlJc w:val="left"/>
      <w:pPr>
        <w:ind w:left="4260" w:hanging="420"/>
      </w:pPr>
      <w:rPr>
        <w:rFonts w:hint="default" w:ascii="Wingdings" w:hAnsi="Wingdings"/>
      </w:rPr>
    </w:lvl>
  </w:abstractNum>
  <w:abstractNum w:abstractNumId="28">
    <w:nsid w:val="6FEFBCF4"/>
    <w:multiLevelType w:val="singleLevel"/>
    <w:tmpl w:val="6FEFBCF4"/>
    <w:lvl w:ilvl="0" w:tentative="0">
      <w:start w:val="3"/>
      <w:numFmt w:val="decimal"/>
      <w:lvlText w:val="%1)"/>
      <w:lvlJc w:val="left"/>
      <w:pPr>
        <w:tabs>
          <w:tab w:val="left" w:pos="312"/>
        </w:tabs>
      </w:pPr>
    </w:lvl>
  </w:abstractNum>
  <w:abstractNum w:abstractNumId="29">
    <w:nsid w:val="703C7E8C"/>
    <w:multiLevelType w:val="multilevel"/>
    <w:tmpl w:val="703C7E8C"/>
    <w:lvl w:ilvl="0" w:tentative="0">
      <w:start w:val="1"/>
      <w:numFmt w:val="decimal"/>
      <w:pStyle w:val="376"/>
      <w:lvlText w:val="%1."/>
      <w:lvlJc w:val="left"/>
      <w:pPr>
        <w:tabs>
          <w:tab w:val="left" w:pos="425"/>
        </w:tabs>
        <w:ind w:left="425" w:hanging="425"/>
      </w:pPr>
      <w:rPr>
        <w:rFonts w:hint="eastAsia"/>
        <w:b/>
        <w:sz w:val="28"/>
        <w:szCs w:val="28"/>
      </w:rPr>
    </w:lvl>
    <w:lvl w:ilvl="1" w:tentative="0">
      <w:start w:val="1"/>
      <w:numFmt w:val="decimal"/>
      <w:pStyle w:val="377"/>
      <w:lvlText w:val="%1.%2."/>
      <w:lvlJc w:val="left"/>
      <w:pPr>
        <w:tabs>
          <w:tab w:val="left" w:pos="567"/>
        </w:tabs>
        <w:ind w:left="567" w:hanging="567"/>
      </w:pPr>
      <w:rPr>
        <w:rFonts w:hint="eastAsia"/>
        <w:b/>
      </w:rPr>
    </w:lvl>
    <w:lvl w:ilvl="2" w:tentative="0">
      <w:start w:val="1"/>
      <w:numFmt w:val="decimal"/>
      <w:pStyle w:val="379"/>
      <w:lvlText w:val="%1.%2.%3."/>
      <w:lvlJc w:val="left"/>
      <w:pPr>
        <w:tabs>
          <w:tab w:val="left" w:pos="709"/>
        </w:tabs>
        <w:ind w:left="709" w:hanging="709"/>
      </w:pPr>
      <w:rPr>
        <w:rFonts w:hint="eastAsia"/>
      </w:rPr>
    </w:lvl>
    <w:lvl w:ilvl="3" w:tentative="0">
      <w:start w:val="1"/>
      <w:numFmt w:val="decimal"/>
      <w:lvlText w:val="%1.%2.%3.%4."/>
      <w:lvlJc w:val="left"/>
      <w:pPr>
        <w:tabs>
          <w:tab w:val="left" w:pos="851"/>
        </w:tabs>
        <w:ind w:left="851" w:hanging="851"/>
      </w:pPr>
      <w:rPr>
        <w:rFonts w:hint="eastAsia"/>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30">
    <w:nsid w:val="712453D9"/>
    <w:multiLevelType w:val="multilevel"/>
    <w:tmpl w:val="712453D9"/>
    <w:lvl w:ilvl="0" w:tentative="0">
      <w:start w:val="1"/>
      <w:numFmt w:val="decimal"/>
      <w:pStyle w:val="304"/>
      <w:lvlText w:val="表7.%1"/>
      <w:lvlJc w:val="left"/>
      <w:pPr>
        <w:ind w:left="900" w:hanging="420"/>
      </w:pPr>
      <w:rPr>
        <w:rFonts w:hint="eastAsia"/>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31">
    <w:nsid w:val="74E832F6"/>
    <w:multiLevelType w:val="multilevel"/>
    <w:tmpl w:val="74E832F6"/>
    <w:lvl w:ilvl="0" w:tentative="0">
      <w:start w:val="1"/>
      <w:numFmt w:val="decimal"/>
      <w:pStyle w:val="587"/>
      <w:lvlText w:val="%1)"/>
      <w:lvlJc w:val="left"/>
      <w:pPr>
        <w:ind w:left="900" w:hanging="420"/>
      </w:p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32">
    <w:nsid w:val="75D5491A"/>
    <w:multiLevelType w:val="multilevel"/>
    <w:tmpl w:val="75D5491A"/>
    <w:lvl w:ilvl="0" w:tentative="0">
      <w:start w:val="1"/>
      <w:numFmt w:val="decimal"/>
      <w:pStyle w:val="431"/>
      <w:lvlText w:val="表8.%1"/>
      <w:lvlJc w:val="left"/>
      <w:pPr>
        <w:tabs>
          <w:tab w:val="left" w:pos="480"/>
        </w:tabs>
        <w:ind w:left="90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3">
    <w:nsid w:val="78DA2064"/>
    <w:multiLevelType w:val="multilevel"/>
    <w:tmpl w:val="78DA2064"/>
    <w:lvl w:ilvl="0" w:tentative="0">
      <w:start w:val="1"/>
      <w:numFmt w:val="decimal"/>
      <w:lvlText w:val="%1)"/>
      <w:lvlJc w:val="left"/>
      <w:pPr>
        <w:ind w:left="902" w:hanging="420"/>
      </w:pPr>
    </w:lvl>
    <w:lvl w:ilvl="1" w:tentative="0">
      <w:start w:val="1"/>
      <w:numFmt w:val="decimalEnclosedCircle"/>
      <w:lvlText w:val="%2"/>
      <w:lvlJc w:val="left"/>
      <w:pPr>
        <w:ind w:left="1262" w:hanging="360"/>
      </w:pPr>
      <w:rPr>
        <w:rFonts w:hint="default"/>
      </w:rPr>
    </w:lvl>
    <w:lvl w:ilvl="2" w:tentative="0">
      <w:start w:val="1"/>
      <w:numFmt w:val="lowerRoman"/>
      <w:lvlText w:val="%3."/>
      <w:lvlJc w:val="right"/>
      <w:pPr>
        <w:ind w:left="1742" w:hanging="420"/>
      </w:pPr>
    </w:lvl>
    <w:lvl w:ilvl="3" w:tentative="0">
      <w:start w:val="1"/>
      <w:numFmt w:val="decimal"/>
      <w:lvlText w:val="%4."/>
      <w:lvlJc w:val="left"/>
      <w:pPr>
        <w:ind w:left="2162" w:hanging="420"/>
      </w:pPr>
    </w:lvl>
    <w:lvl w:ilvl="4" w:tentative="0">
      <w:start w:val="1"/>
      <w:numFmt w:val="lowerLetter"/>
      <w:lvlText w:val="%5)"/>
      <w:lvlJc w:val="left"/>
      <w:pPr>
        <w:ind w:left="2582" w:hanging="420"/>
      </w:pPr>
    </w:lvl>
    <w:lvl w:ilvl="5" w:tentative="0">
      <w:start w:val="1"/>
      <w:numFmt w:val="lowerRoman"/>
      <w:lvlText w:val="%6."/>
      <w:lvlJc w:val="right"/>
      <w:pPr>
        <w:ind w:left="3002" w:hanging="420"/>
      </w:pPr>
    </w:lvl>
    <w:lvl w:ilvl="6" w:tentative="0">
      <w:start w:val="1"/>
      <w:numFmt w:val="decimal"/>
      <w:lvlText w:val="%7."/>
      <w:lvlJc w:val="left"/>
      <w:pPr>
        <w:ind w:left="3422" w:hanging="420"/>
      </w:pPr>
    </w:lvl>
    <w:lvl w:ilvl="7" w:tentative="0">
      <w:start w:val="1"/>
      <w:numFmt w:val="lowerLetter"/>
      <w:lvlText w:val="%8)"/>
      <w:lvlJc w:val="left"/>
      <w:pPr>
        <w:ind w:left="3842" w:hanging="420"/>
      </w:pPr>
    </w:lvl>
    <w:lvl w:ilvl="8" w:tentative="0">
      <w:start w:val="1"/>
      <w:numFmt w:val="lowerRoman"/>
      <w:lvlText w:val="%9."/>
      <w:lvlJc w:val="right"/>
      <w:pPr>
        <w:ind w:left="4262" w:hanging="420"/>
      </w:pPr>
    </w:lvl>
  </w:abstractNum>
  <w:abstractNum w:abstractNumId="34">
    <w:nsid w:val="79CE2202"/>
    <w:multiLevelType w:val="multilevel"/>
    <w:tmpl w:val="79CE2202"/>
    <w:lvl w:ilvl="0" w:tentative="0">
      <w:start w:val="1"/>
      <w:numFmt w:val="decimal"/>
      <w:lvlText w:val="%1."/>
      <w:lvlJc w:val="left"/>
      <w:pPr>
        <w:tabs>
          <w:tab w:val="left" w:pos="425"/>
        </w:tabs>
        <w:ind w:left="425" w:hanging="425"/>
      </w:pPr>
    </w:lvl>
    <w:lvl w:ilvl="1" w:tentative="0">
      <w:start w:val="1"/>
      <w:numFmt w:val="decimal"/>
      <w:pStyle w:val="378"/>
      <w:lvlText w:val="%1.%2."/>
      <w:lvlJc w:val="left"/>
      <w:pPr>
        <w:tabs>
          <w:tab w:val="left" w:pos="567"/>
        </w:tabs>
        <w:ind w:left="567" w:hanging="567"/>
      </w:pPr>
    </w:lvl>
    <w:lvl w:ilvl="2" w:tentative="0">
      <w:start w:val="1"/>
      <w:numFmt w:val="decimal"/>
      <w:lvlText w:val="%1.%2.%3."/>
      <w:lvlJc w:val="left"/>
      <w:pPr>
        <w:tabs>
          <w:tab w:val="left" w:pos="709"/>
        </w:tabs>
        <w:ind w:left="709" w:hanging="709"/>
      </w:pPr>
    </w:lvl>
    <w:lvl w:ilvl="3" w:tentative="0">
      <w:start w:val="1"/>
      <w:numFmt w:val="decimal"/>
      <w:lvlText w:val="%1.%2.%3.%4."/>
      <w:lvlJc w:val="left"/>
      <w:pPr>
        <w:tabs>
          <w:tab w:val="left" w:pos="851"/>
        </w:tabs>
        <w:ind w:left="851" w:hanging="851"/>
      </w:pPr>
    </w:lvl>
    <w:lvl w:ilvl="4" w:tentative="0">
      <w:start w:val="1"/>
      <w:numFmt w:val="decimal"/>
      <w:lvlText w:val="%1.%2.%3.%4.%5."/>
      <w:lvlJc w:val="left"/>
      <w:pPr>
        <w:tabs>
          <w:tab w:val="left" w:pos="992"/>
        </w:tabs>
        <w:ind w:left="992" w:hanging="992"/>
      </w:pPr>
    </w:lvl>
    <w:lvl w:ilvl="5" w:tentative="0">
      <w:start w:val="1"/>
      <w:numFmt w:val="decimal"/>
      <w:lvlText w:val="%1.%2.%3.%4.%5.%6."/>
      <w:lvlJc w:val="left"/>
      <w:pPr>
        <w:tabs>
          <w:tab w:val="left" w:pos="1134"/>
        </w:tabs>
        <w:ind w:left="1134" w:hanging="1134"/>
      </w:pPr>
    </w:lvl>
    <w:lvl w:ilvl="6" w:tentative="0">
      <w:start w:val="1"/>
      <w:numFmt w:val="decimal"/>
      <w:lvlText w:val="%1.%2.%3.%4.%5.%6.%7."/>
      <w:lvlJc w:val="left"/>
      <w:pPr>
        <w:tabs>
          <w:tab w:val="left" w:pos="1276"/>
        </w:tabs>
        <w:ind w:left="1276" w:hanging="1276"/>
      </w:pPr>
    </w:lvl>
    <w:lvl w:ilvl="7" w:tentative="0">
      <w:start w:val="1"/>
      <w:numFmt w:val="decimal"/>
      <w:lvlText w:val="%1.%2.%3.%4.%5.%6.%7.%8."/>
      <w:lvlJc w:val="left"/>
      <w:pPr>
        <w:tabs>
          <w:tab w:val="left" w:pos="1418"/>
        </w:tabs>
        <w:ind w:left="1418" w:hanging="1418"/>
      </w:pPr>
    </w:lvl>
    <w:lvl w:ilvl="8" w:tentative="0">
      <w:start w:val="1"/>
      <w:numFmt w:val="decimal"/>
      <w:lvlText w:val="%1.%2.%3.%4.%5.%6.%7.%8.%9."/>
      <w:lvlJc w:val="left"/>
      <w:pPr>
        <w:tabs>
          <w:tab w:val="left" w:pos="1559"/>
        </w:tabs>
        <w:ind w:left="1559" w:hanging="1559"/>
      </w:pPr>
    </w:lvl>
  </w:abstractNum>
  <w:abstractNum w:abstractNumId="35">
    <w:nsid w:val="7A3E7900"/>
    <w:multiLevelType w:val="singleLevel"/>
    <w:tmpl w:val="7A3E7900"/>
    <w:lvl w:ilvl="0" w:tentative="0">
      <w:start w:val="1"/>
      <w:numFmt w:val="decimal"/>
      <w:pStyle w:val="8"/>
      <w:lvlText w:val="%1. "/>
      <w:lvlJc w:val="left"/>
      <w:pPr>
        <w:tabs>
          <w:tab w:val="left" w:pos="1287"/>
        </w:tabs>
        <w:ind w:left="0" w:firstLine="567"/>
      </w:pPr>
      <w:rPr>
        <w:rFonts w:hint="eastAsia" w:ascii="仿宋_GB2312" w:eastAsia="仿宋_GB2312"/>
        <w:b/>
        <w:i w:val="0"/>
        <w:spacing w:val="0"/>
        <w:w w:val="100"/>
        <w:kern w:val="0"/>
        <w:position w:val="0"/>
        <w:sz w:val="28"/>
      </w:rPr>
    </w:lvl>
  </w:abstractNum>
  <w:num w:numId="1">
    <w:abstractNumId w:val="35"/>
  </w:num>
  <w:num w:numId="2">
    <w:abstractNumId w:val="25"/>
  </w:num>
  <w:num w:numId="3">
    <w:abstractNumId w:val="8"/>
  </w:num>
  <w:num w:numId="4">
    <w:abstractNumId w:val="15"/>
  </w:num>
  <w:num w:numId="5">
    <w:abstractNumId w:val="19"/>
  </w:num>
  <w:num w:numId="6">
    <w:abstractNumId w:val="17"/>
  </w:num>
  <w:num w:numId="7">
    <w:abstractNumId w:val="10"/>
  </w:num>
  <w:num w:numId="8">
    <w:abstractNumId w:val="4"/>
  </w:num>
  <w:num w:numId="9">
    <w:abstractNumId w:val="20"/>
  </w:num>
  <w:num w:numId="10">
    <w:abstractNumId w:val="30"/>
  </w:num>
  <w:num w:numId="11">
    <w:abstractNumId w:val="26"/>
  </w:num>
  <w:num w:numId="12">
    <w:abstractNumId w:val="22"/>
  </w:num>
  <w:num w:numId="13">
    <w:abstractNumId w:val="29"/>
  </w:num>
  <w:num w:numId="14">
    <w:abstractNumId w:val="34"/>
  </w:num>
  <w:num w:numId="15">
    <w:abstractNumId w:val="5"/>
  </w:num>
  <w:num w:numId="16">
    <w:abstractNumId w:val="32"/>
  </w:num>
  <w:num w:numId="17">
    <w:abstractNumId w:val="18"/>
  </w:num>
  <w:num w:numId="1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1"/>
  </w:num>
  <w:num w:numId="20">
    <w:abstractNumId w:val="12"/>
  </w:num>
  <w:num w:numId="21">
    <w:abstractNumId w:val="2"/>
  </w:num>
  <w:num w:numId="22">
    <w:abstractNumId w:val="24"/>
  </w:num>
  <w:num w:numId="23">
    <w:abstractNumId w:val="23"/>
  </w:num>
  <w:num w:numId="24">
    <w:abstractNumId w:val="14"/>
  </w:num>
  <w:num w:numId="25">
    <w:abstractNumId w:val="33"/>
  </w:num>
  <w:num w:numId="26">
    <w:abstractNumId w:val="7"/>
  </w:num>
  <w:num w:numId="27">
    <w:abstractNumId w:val="16"/>
  </w:num>
  <w:num w:numId="28">
    <w:abstractNumId w:val="27"/>
  </w:num>
  <w:num w:numId="29">
    <w:abstractNumId w:val="21"/>
  </w:num>
  <w:num w:numId="30">
    <w:abstractNumId w:val="0"/>
  </w:num>
  <w:num w:numId="31">
    <w:abstractNumId w:val="9"/>
  </w:num>
  <w:num w:numId="32">
    <w:abstractNumId w:val="1"/>
  </w:num>
  <w:num w:numId="33">
    <w:abstractNumId w:val="3"/>
  </w:num>
  <w:num w:numId="34">
    <w:abstractNumId w:val="28"/>
  </w:num>
  <w:num w:numId="35">
    <w:abstractNumId w:val="6"/>
  </w:num>
  <w:num w:numId="3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bordersDoNotSurroundHeader w:val="0"/>
  <w:bordersDoNotSurroundFooter w:val="0"/>
  <w:documentProtection w:enforcement="0"/>
  <w:defaultTabStop w:val="425"/>
  <w:hyphenationZone w:val="360"/>
  <w:evenAndOddHeaders w:val="1"/>
  <w:drawingGridHorizontalSpacing w:val="120"/>
  <w:drawingGridVerticalSpacing w:val="250"/>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doNotWrapTextWithPunct/>
    <w:doNotUseEastAsianBreakRules/>
    <w:useFELayout/>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6887"/>
    <w:rsid w:val="00000251"/>
    <w:rsid w:val="0000044C"/>
    <w:rsid w:val="0000057A"/>
    <w:rsid w:val="000007C1"/>
    <w:rsid w:val="00000C9D"/>
    <w:rsid w:val="00001235"/>
    <w:rsid w:val="0000126F"/>
    <w:rsid w:val="00001406"/>
    <w:rsid w:val="000017DB"/>
    <w:rsid w:val="00001B6B"/>
    <w:rsid w:val="00001E65"/>
    <w:rsid w:val="0000204F"/>
    <w:rsid w:val="00002108"/>
    <w:rsid w:val="00002112"/>
    <w:rsid w:val="000021A2"/>
    <w:rsid w:val="000022BE"/>
    <w:rsid w:val="00002407"/>
    <w:rsid w:val="000024FD"/>
    <w:rsid w:val="00002782"/>
    <w:rsid w:val="000029FF"/>
    <w:rsid w:val="00002BB4"/>
    <w:rsid w:val="00002BDA"/>
    <w:rsid w:val="00002BFF"/>
    <w:rsid w:val="00003182"/>
    <w:rsid w:val="000034CE"/>
    <w:rsid w:val="00003887"/>
    <w:rsid w:val="000039D0"/>
    <w:rsid w:val="00003A6E"/>
    <w:rsid w:val="00003B0A"/>
    <w:rsid w:val="00003C40"/>
    <w:rsid w:val="00003D37"/>
    <w:rsid w:val="00004031"/>
    <w:rsid w:val="000040BE"/>
    <w:rsid w:val="00004481"/>
    <w:rsid w:val="00004502"/>
    <w:rsid w:val="000048F6"/>
    <w:rsid w:val="00004F5A"/>
    <w:rsid w:val="000055E9"/>
    <w:rsid w:val="00005929"/>
    <w:rsid w:val="00005968"/>
    <w:rsid w:val="000062C2"/>
    <w:rsid w:val="00006470"/>
    <w:rsid w:val="00006510"/>
    <w:rsid w:val="000065C4"/>
    <w:rsid w:val="000069D7"/>
    <w:rsid w:val="00006AA5"/>
    <w:rsid w:val="00007100"/>
    <w:rsid w:val="00007131"/>
    <w:rsid w:val="000072F1"/>
    <w:rsid w:val="0000747B"/>
    <w:rsid w:val="000075AC"/>
    <w:rsid w:val="000076B8"/>
    <w:rsid w:val="0000789F"/>
    <w:rsid w:val="0001013D"/>
    <w:rsid w:val="0001021D"/>
    <w:rsid w:val="0001024D"/>
    <w:rsid w:val="00010681"/>
    <w:rsid w:val="000106D1"/>
    <w:rsid w:val="00010A96"/>
    <w:rsid w:val="00010FB9"/>
    <w:rsid w:val="000110DC"/>
    <w:rsid w:val="00011226"/>
    <w:rsid w:val="00011296"/>
    <w:rsid w:val="000114EB"/>
    <w:rsid w:val="0001153B"/>
    <w:rsid w:val="00011630"/>
    <w:rsid w:val="00011760"/>
    <w:rsid w:val="000118C2"/>
    <w:rsid w:val="00011AEA"/>
    <w:rsid w:val="000121D4"/>
    <w:rsid w:val="00012414"/>
    <w:rsid w:val="00012485"/>
    <w:rsid w:val="00012595"/>
    <w:rsid w:val="00012677"/>
    <w:rsid w:val="000126FA"/>
    <w:rsid w:val="0001284E"/>
    <w:rsid w:val="000129DF"/>
    <w:rsid w:val="000131E9"/>
    <w:rsid w:val="00013B60"/>
    <w:rsid w:val="00013F97"/>
    <w:rsid w:val="00014455"/>
    <w:rsid w:val="000144E5"/>
    <w:rsid w:val="00014820"/>
    <w:rsid w:val="00014AE4"/>
    <w:rsid w:val="00014C21"/>
    <w:rsid w:val="00014F9B"/>
    <w:rsid w:val="000150B7"/>
    <w:rsid w:val="000151D7"/>
    <w:rsid w:val="000152EA"/>
    <w:rsid w:val="0001538E"/>
    <w:rsid w:val="00015524"/>
    <w:rsid w:val="000158CB"/>
    <w:rsid w:val="00015BC8"/>
    <w:rsid w:val="00016037"/>
    <w:rsid w:val="0001678D"/>
    <w:rsid w:val="00016861"/>
    <w:rsid w:val="000168D3"/>
    <w:rsid w:val="00016B99"/>
    <w:rsid w:val="00016CAF"/>
    <w:rsid w:val="000178FC"/>
    <w:rsid w:val="00017E3D"/>
    <w:rsid w:val="00017ED8"/>
    <w:rsid w:val="0002027A"/>
    <w:rsid w:val="000202CF"/>
    <w:rsid w:val="00020671"/>
    <w:rsid w:val="0002074F"/>
    <w:rsid w:val="00020839"/>
    <w:rsid w:val="00020C5B"/>
    <w:rsid w:val="00020F63"/>
    <w:rsid w:val="00020F66"/>
    <w:rsid w:val="00021846"/>
    <w:rsid w:val="00021E51"/>
    <w:rsid w:val="00021EDA"/>
    <w:rsid w:val="00022704"/>
    <w:rsid w:val="00022725"/>
    <w:rsid w:val="000227D8"/>
    <w:rsid w:val="0002281D"/>
    <w:rsid w:val="000229AA"/>
    <w:rsid w:val="000229D5"/>
    <w:rsid w:val="00022E94"/>
    <w:rsid w:val="00022FE5"/>
    <w:rsid w:val="00023333"/>
    <w:rsid w:val="00023499"/>
    <w:rsid w:val="000235E7"/>
    <w:rsid w:val="00023669"/>
    <w:rsid w:val="0002385D"/>
    <w:rsid w:val="000238D4"/>
    <w:rsid w:val="00023BE7"/>
    <w:rsid w:val="000242C3"/>
    <w:rsid w:val="000243F3"/>
    <w:rsid w:val="0002454A"/>
    <w:rsid w:val="00024D41"/>
    <w:rsid w:val="00024E66"/>
    <w:rsid w:val="00025316"/>
    <w:rsid w:val="00025D33"/>
    <w:rsid w:val="000261FF"/>
    <w:rsid w:val="0002626F"/>
    <w:rsid w:val="000263FC"/>
    <w:rsid w:val="0002672B"/>
    <w:rsid w:val="00026D17"/>
    <w:rsid w:val="00026E5F"/>
    <w:rsid w:val="00027295"/>
    <w:rsid w:val="000272DD"/>
    <w:rsid w:val="000272F8"/>
    <w:rsid w:val="00027594"/>
    <w:rsid w:val="00027C56"/>
    <w:rsid w:val="00027E70"/>
    <w:rsid w:val="00027FF2"/>
    <w:rsid w:val="000306FC"/>
    <w:rsid w:val="00030831"/>
    <w:rsid w:val="00030C15"/>
    <w:rsid w:val="000312CC"/>
    <w:rsid w:val="00031509"/>
    <w:rsid w:val="00031572"/>
    <w:rsid w:val="00031593"/>
    <w:rsid w:val="00031636"/>
    <w:rsid w:val="000316A3"/>
    <w:rsid w:val="00031F5C"/>
    <w:rsid w:val="000320A1"/>
    <w:rsid w:val="0003266F"/>
    <w:rsid w:val="00032BB4"/>
    <w:rsid w:val="00032DC8"/>
    <w:rsid w:val="0003363E"/>
    <w:rsid w:val="00033AE3"/>
    <w:rsid w:val="00033B04"/>
    <w:rsid w:val="00033CB6"/>
    <w:rsid w:val="00033D59"/>
    <w:rsid w:val="00033FA6"/>
    <w:rsid w:val="0003402B"/>
    <w:rsid w:val="00034068"/>
    <w:rsid w:val="0003447D"/>
    <w:rsid w:val="0003491C"/>
    <w:rsid w:val="00034B2E"/>
    <w:rsid w:val="00035105"/>
    <w:rsid w:val="000357CD"/>
    <w:rsid w:val="000358E8"/>
    <w:rsid w:val="00035E6D"/>
    <w:rsid w:val="00036316"/>
    <w:rsid w:val="00036394"/>
    <w:rsid w:val="000365AD"/>
    <w:rsid w:val="000369ED"/>
    <w:rsid w:val="00036ED7"/>
    <w:rsid w:val="000370DA"/>
    <w:rsid w:val="00037169"/>
    <w:rsid w:val="00037207"/>
    <w:rsid w:val="00037E69"/>
    <w:rsid w:val="0004014B"/>
    <w:rsid w:val="000406DC"/>
    <w:rsid w:val="00040877"/>
    <w:rsid w:val="00040D61"/>
    <w:rsid w:val="00040F01"/>
    <w:rsid w:val="00040FBF"/>
    <w:rsid w:val="00041293"/>
    <w:rsid w:val="0004129B"/>
    <w:rsid w:val="00041748"/>
    <w:rsid w:val="0004177F"/>
    <w:rsid w:val="00041889"/>
    <w:rsid w:val="000418B8"/>
    <w:rsid w:val="0004210C"/>
    <w:rsid w:val="000425F6"/>
    <w:rsid w:val="000426E2"/>
    <w:rsid w:val="00042950"/>
    <w:rsid w:val="00042AF4"/>
    <w:rsid w:val="00042C84"/>
    <w:rsid w:val="00042D4C"/>
    <w:rsid w:val="00042D58"/>
    <w:rsid w:val="00042FAD"/>
    <w:rsid w:val="00042FC7"/>
    <w:rsid w:val="00042FD9"/>
    <w:rsid w:val="00043550"/>
    <w:rsid w:val="00043615"/>
    <w:rsid w:val="00043888"/>
    <w:rsid w:val="00043FE1"/>
    <w:rsid w:val="00044124"/>
    <w:rsid w:val="000441A2"/>
    <w:rsid w:val="000441CE"/>
    <w:rsid w:val="00044386"/>
    <w:rsid w:val="00044A6B"/>
    <w:rsid w:val="00044E2C"/>
    <w:rsid w:val="00044F22"/>
    <w:rsid w:val="00044FD2"/>
    <w:rsid w:val="0004520D"/>
    <w:rsid w:val="000456CE"/>
    <w:rsid w:val="00045A31"/>
    <w:rsid w:val="00045BBC"/>
    <w:rsid w:val="00045CE3"/>
    <w:rsid w:val="000460CF"/>
    <w:rsid w:val="000461DB"/>
    <w:rsid w:val="0004632C"/>
    <w:rsid w:val="00046388"/>
    <w:rsid w:val="000466D0"/>
    <w:rsid w:val="00046C94"/>
    <w:rsid w:val="00047239"/>
    <w:rsid w:val="000474D1"/>
    <w:rsid w:val="000474F4"/>
    <w:rsid w:val="0004751F"/>
    <w:rsid w:val="000475C8"/>
    <w:rsid w:val="00047DDD"/>
    <w:rsid w:val="00047FF9"/>
    <w:rsid w:val="000500BF"/>
    <w:rsid w:val="0005036D"/>
    <w:rsid w:val="00050411"/>
    <w:rsid w:val="00050B5C"/>
    <w:rsid w:val="00050F8E"/>
    <w:rsid w:val="00051363"/>
    <w:rsid w:val="00051C63"/>
    <w:rsid w:val="00051F00"/>
    <w:rsid w:val="0005294B"/>
    <w:rsid w:val="00052ABA"/>
    <w:rsid w:val="00052AE8"/>
    <w:rsid w:val="00053030"/>
    <w:rsid w:val="00053359"/>
    <w:rsid w:val="00053454"/>
    <w:rsid w:val="00053550"/>
    <w:rsid w:val="00053A64"/>
    <w:rsid w:val="00053BA4"/>
    <w:rsid w:val="00053F7A"/>
    <w:rsid w:val="000541AC"/>
    <w:rsid w:val="000542EB"/>
    <w:rsid w:val="000543E6"/>
    <w:rsid w:val="00054415"/>
    <w:rsid w:val="0005469B"/>
    <w:rsid w:val="0005483E"/>
    <w:rsid w:val="00054C21"/>
    <w:rsid w:val="0005535D"/>
    <w:rsid w:val="000553B6"/>
    <w:rsid w:val="00055963"/>
    <w:rsid w:val="0005599E"/>
    <w:rsid w:val="000560B1"/>
    <w:rsid w:val="000561C8"/>
    <w:rsid w:val="0005637E"/>
    <w:rsid w:val="00056408"/>
    <w:rsid w:val="0005656A"/>
    <w:rsid w:val="0005690C"/>
    <w:rsid w:val="00056BAD"/>
    <w:rsid w:val="000573CC"/>
    <w:rsid w:val="00057423"/>
    <w:rsid w:val="000578D2"/>
    <w:rsid w:val="00057972"/>
    <w:rsid w:val="00057D67"/>
    <w:rsid w:val="00057DA5"/>
    <w:rsid w:val="00060464"/>
    <w:rsid w:val="0006069E"/>
    <w:rsid w:val="00060DA6"/>
    <w:rsid w:val="0006144E"/>
    <w:rsid w:val="0006146A"/>
    <w:rsid w:val="0006146D"/>
    <w:rsid w:val="00061558"/>
    <w:rsid w:val="00061566"/>
    <w:rsid w:val="00061919"/>
    <w:rsid w:val="00061BD1"/>
    <w:rsid w:val="00061CE5"/>
    <w:rsid w:val="00061D15"/>
    <w:rsid w:val="00061F14"/>
    <w:rsid w:val="00062087"/>
    <w:rsid w:val="000621B2"/>
    <w:rsid w:val="00062450"/>
    <w:rsid w:val="00062458"/>
    <w:rsid w:val="00062617"/>
    <w:rsid w:val="00062952"/>
    <w:rsid w:val="00062A73"/>
    <w:rsid w:val="00062AA7"/>
    <w:rsid w:val="000639C0"/>
    <w:rsid w:val="00063B37"/>
    <w:rsid w:val="00063B52"/>
    <w:rsid w:val="00063E23"/>
    <w:rsid w:val="00063FE6"/>
    <w:rsid w:val="000641B0"/>
    <w:rsid w:val="0006472E"/>
    <w:rsid w:val="0006477E"/>
    <w:rsid w:val="00064947"/>
    <w:rsid w:val="0006498C"/>
    <w:rsid w:val="00064FD5"/>
    <w:rsid w:val="000651A3"/>
    <w:rsid w:val="000655E4"/>
    <w:rsid w:val="000660C8"/>
    <w:rsid w:val="00066345"/>
    <w:rsid w:val="000664C0"/>
    <w:rsid w:val="00066797"/>
    <w:rsid w:val="0006698D"/>
    <w:rsid w:val="00066DBC"/>
    <w:rsid w:val="00066E39"/>
    <w:rsid w:val="00067008"/>
    <w:rsid w:val="00067122"/>
    <w:rsid w:val="0006714F"/>
    <w:rsid w:val="00067219"/>
    <w:rsid w:val="000676F3"/>
    <w:rsid w:val="000677D2"/>
    <w:rsid w:val="00067DE9"/>
    <w:rsid w:val="00067F80"/>
    <w:rsid w:val="00070006"/>
    <w:rsid w:val="00070723"/>
    <w:rsid w:val="00070BA5"/>
    <w:rsid w:val="00070C07"/>
    <w:rsid w:val="00071219"/>
    <w:rsid w:val="0007128C"/>
    <w:rsid w:val="000713BB"/>
    <w:rsid w:val="00071698"/>
    <w:rsid w:val="000717D5"/>
    <w:rsid w:val="00071AF4"/>
    <w:rsid w:val="00071E86"/>
    <w:rsid w:val="00071F1F"/>
    <w:rsid w:val="000725B1"/>
    <w:rsid w:val="00072729"/>
    <w:rsid w:val="000727B9"/>
    <w:rsid w:val="000728C4"/>
    <w:rsid w:val="0007296D"/>
    <w:rsid w:val="00072B91"/>
    <w:rsid w:val="00072E3D"/>
    <w:rsid w:val="00073438"/>
    <w:rsid w:val="00073537"/>
    <w:rsid w:val="000738DB"/>
    <w:rsid w:val="00073ADD"/>
    <w:rsid w:val="00074167"/>
    <w:rsid w:val="00074197"/>
    <w:rsid w:val="0007474A"/>
    <w:rsid w:val="00074903"/>
    <w:rsid w:val="0007496B"/>
    <w:rsid w:val="00074A33"/>
    <w:rsid w:val="00074B1C"/>
    <w:rsid w:val="00074C50"/>
    <w:rsid w:val="00074F6B"/>
    <w:rsid w:val="00075176"/>
    <w:rsid w:val="000752AC"/>
    <w:rsid w:val="000752EC"/>
    <w:rsid w:val="000753E9"/>
    <w:rsid w:val="000757B3"/>
    <w:rsid w:val="000758E8"/>
    <w:rsid w:val="00075CAF"/>
    <w:rsid w:val="00075CE3"/>
    <w:rsid w:val="00075DDD"/>
    <w:rsid w:val="00075E6B"/>
    <w:rsid w:val="00075F67"/>
    <w:rsid w:val="0007606C"/>
    <w:rsid w:val="000760D1"/>
    <w:rsid w:val="00076259"/>
    <w:rsid w:val="0007679F"/>
    <w:rsid w:val="00076BFF"/>
    <w:rsid w:val="00076D26"/>
    <w:rsid w:val="00076ED4"/>
    <w:rsid w:val="000778C9"/>
    <w:rsid w:val="00077CAD"/>
    <w:rsid w:val="00077E23"/>
    <w:rsid w:val="000800ED"/>
    <w:rsid w:val="00080255"/>
    <w:rsid w:val="000803B5"/>
    <w:rsid w:val="00080523"/>
    <w:rsid w:val="000806B9"/>
    <w:rsid w:val="000809AC"/>
    <w:rsid w:val="00080BDA"/>
    <w:rsid w:val="00080D3D"/>
    <w:rsid w:val="00080D8A"/>
    <w:rsid w:val="00080D8D"/>
    <w:rsid w:val="000812B6"/>
    <w:rsid w:val="0008140F"/>
    <w:rsid w:val="0008164A"/>
    <w:rsid w:val="000816CB"/>
    <w:rsid w:val="0008177A"/>
    <w:rsid w:val="00081D71"/>
    <w:rsid w:val="00081F7B"/>
    <w:rsid w:val="000824BD"/>
    <w:rsid w:val="00082563"/>
    <w:rsid w:val="00082636"/>
    <w:rsid w:val="00082A09"/>
    <w:rsid w:val="00082A55"/>
    <w:rsid w:val="00082B17"/>
    <w:rsid w:val="0008343A"/>
    <w:rsid w:val="00083E92"/>
    <w:rsid w:val="00083FAD"/>
    <w:rsid w:val="00084089"/>
    <w:rsid w:val="000841C4"/>
    <w:rsid w:val="0008421D"/>
    <w:rsid w:val="000842D2"/>
    <w:rsid w:val="0008459C"/>
    <w:rsid w:val="0008499F"/>
    <w:rsid w:val="00084A07"/>
    <w:rsid w:val="00084C3B"/>
    <w:rsid w:val="00084E9C"/>
    <w:rsid w:val="000851C6"/>
    <w:rsid w:val="000852F7"/>
    <w:rsid w:val="0008598A"/>
    <w:rsid w:val="00086061"/>
    <w:rsid w:val="000860A3"/>
    <w:rsid w:val="0008617B"/>
    <w:rsid w:val="0008656D"/>
    <w:rsid w:val="0008701F"/>
    <w:rsid w:val="0008720B"/>
    <w:rsid w:val="00087502"/>
    <w:rsid w:val="000877A9"/>
    <w:rsid w:val="000877AB"/>
    <w:rsid w:val="0009005E"/>
    <w:rsid w:val="00090350"/>
    <w:rsid w:val="00090558"/>
    <w:rsid w:val="00090DC8"/>
    <w:rsid w:val="000910AA"/>
    <w:rsid w:val="00091E7C"/>
    <w:rsid w:val="00091F4B"/>
    <w:rsid w:val="0009254D"/>
    <w:rsid w:val="0009296C"/>
    <w:rsid w:val="00092FF6"/>
    <w:rsid w:val="00093214"/>
    <w:rsid w:val="0009323C"/>
    <w:rsid w:val="000932A6"/>
    <w:rsid w:val="000932E4"/>
    <w:rsid w:val="0009386C"/>
    <w:rsid w:val="0009421A"/>
    <w:rsid w:val="00094474"/>
    <w:rsid w:val="000949F1"/>
    <w:rsid w:val="00094FC7"/>
    <w:rsid w:val="00095114"/>
    <w:rsid w:val="00095390"/>
    <w:rsid w:val="00095971"/>
    <w:rsid w:val="0009597E"/>
    <w:rsid w:val="00095ADE"/>
    <w:rsid w:val="00095C1D"/>
    <w:rsid w:val="00095D23"/>
    <w:rsid w:val="00095F09"/>
    <w:rsid w:val="000961A7"/>
    <w:rsid w:val="00096285"/>
    <w:rsid w:val="000964F9"/>
    <w:rsid w:val="0009662A"/>
    <w:rsid w:val="000966CE"/>
    <w:rsid w:val="0009680B"/>
    <w:rsid w:val="000968C4"/>
    <w:rsid w:val="00096A97"/>
    <w:rsid w:val="00096D63"/>
    <w:rsid w:val="0009709C"/>
    <w:rsid w:val="00097226"/>
    <w:rsid w:val="00097245"/>
    <w:rsid w:val="00097359"/>
    <w:rsid w:val="000977AA"/>
    <w:rsid w:val="00097AF1"/>
    <w:rsid w:val="00097C29"/>
    <w:rsid w:val="00097E04"/>
    <w:rsid w:val="000A007B"/>
    <w:rsid w:val="000A06B1"/>
    <w:rsid w:val="000A06BA"/>
    <w:rsid w:val="000A0BED"/>
    <w:rsid w:val="000A0F43"/>
    <w:rsid w:val="000A1201"/>
    <w:rsid w:val="000A1300"/>
    <w:rsid w:val="000A1397"/>
    <w:rsid w:val="000A1589"/>
    <w:rsid w:val="000A200A"/>
    <w:rsid w:val="000A20F1"/>
    <w:rsid w:val="000A22EB"/>
    <w:rsid w:val="000A232C"/>
    <w:rsid w:val="000A2D01"/>
    <w:rsid w:val="000A3169"/>
    <w:rsid w:val="000A31FC"/>
    <w:rsid w:val="000A41C3"/>
    <w:rsid w:val="000A4413"/>
    <w:rsid w:val="000A4B20"/>
    <w:rsid w:val="000A4BA2"/>
    <w:rsid w:val="000A508C"/>
    <w:rsid w:val="000A5ADC"/>
    <w:rsid w:val="000A5DDD"/>
    <w:rsid w:val="000A5EDB"/>
    <w:rsid w:val="000A6535"/>
    <w:rsid w:val="000A6682"/>
    <w:rsid w:val="000A66EF"/>
    <w:rsid w:val="000A72B7"/>
    <w:rsid w:val="000A7658"/>
    <w:rsid w:val="000A77CE"/>
    <w:rsid w:val="000A7B8A"/>
    <w:rsid w:val="000A7C87"/>
    <w:rsid w:val="000A7ED1"/>
    <w:rsid w:val="000B02E4"/>
    <w:rsid w:val="000B0315"/>
    <w:rsid w:val="000B06EE"/>
    <w:rsid w:val="000B0AB4"/>
    <w:rsid w:val="000B140E"/>
    <w:rsid w:val="000B1839"/>
    <w:rsid w:val="000B1B8A"/>
    <w:rsid w:val="000B1C96"/>
    <w:rsid w:val="000B1DAD"/>
    <w:rsid w:val="000B1EE4"/>
    <w:rsid w:val="000B25E6"/>
    <w:rsid w:val="000B27FA"/>
    <w:rsid w:val="000B29AC"/>
    <w:rsid w:val="000B2D20"/>
    <w:rsid w:val="000B36C9"/>
    <w:rsid w:val="000B3867"/>
    <w:rsid w:val="000B397A"/>
    <w:rsid w:val="000B3B74"/>
    <w:rsid w:val="000B3B85"/>
    <w:rsid w:val="000B43C9"/>
    <w:rsid w:val="000B480D"/>
    <w:rsid w:val="000B4B85"/>
    <w:rsid w:val="000B4BDB"/>
    <w:rsid w:val="000B4FEC"/>
    <w:rsid w:val="000B5150"/>
    <w:rsid w:val="000B53B9"/>
    <w:rsid w:val="000B56AD"/>
    <w:rsid w:val="000B59BE"/>
    <w:rsid w:val="000B5B3C"/>
    <w:rsid w:val="000B5E37"/>
    <w:rsid w:val="000B5EF3"/>
    <w:rsid w:val="000B65B2"/>
    <w:rsid w:val="000B6B23"/>
    <w:rsid w:val="000B6CB6"/>
    <w:rsid w:val="000B701D"/>
    <w:rsid w:val="000B7059"/>
    <w:rsid w:val="000B7403"/>
    <w:rsid w:val="000B7621"/>
    <w:rsid w:val="000B7BC1"/>
    <w:rsid w:val="000B7FAA"/>
    <w:rsid w:val="000C01DE"/>
    <w:rsid w:val="000C03D6"/>
    <w:rsid w:val="000C0779"/>
    <w:rsid w:val="000C0961"/>
    <w:rsid w:val="000C0AD9"/>
    <w:rsid w:val="000C0E64"/>
    <w:rsid w:val="000C0F17"/>
    <w:rsid w:val="000C1067"/>
    <w:rsid w:val="000C14F6"/>
    <w:rsid w:val="000C1534"/>
    <w:rsid w:val="000C1AF4"/>
    <w:rsid w:val="000C1BE0"/>
    <w:rsid w:val="000C21EB"/>
    <w:rsid w:val="000C233A"/>
    <w:rsid w:val="000C24E0"/>
    <w:rsid w:val="000C291E"/>
    <w:rsid w:val="000C2CCD"/>
    <w:rsid w:val="000C2D6F"/>
    <w:rsid w:val="000C2E6A"/>
    <w:rsid w:val="000C2EC8"/>
    <w:rsid w:val="000C32D4"/>
    <w:rsid w:val="000C3594"/>
    <w:rsid w:val="000C35F5"/>
    <w:rsid w:val="000C39D8"/>
    <w:rsid w:val="000C3ADE"/>
    <w:rsid w:val="000C3BEB"/>
    <w:rsid w:val="000C3CD1"/>
    <w:rsid w:val="000C3D45"/>
    <w:rsid w:val="000C3FED"/>
    <w:rsid w:val="000C418E"/>
    <w:rsid w:val="000C4364"/>
    <w:rsid w:val="000C4436"/>
    <w:rsid w:val="000C4547"/>
    <w:rsid w:val="000C473A"/>
    <w:rsid w:val="000C4959"/>
    <w:rsid w:val="000C49D3"/>
    <w:rsid w:val="000C4B15"/>
    <w:rsid w:val="000C4C28"/>
    <w:rsid w:val="000C4CC8"/>
    <w:rsid w:val="000C5112"/>
    <w:rsid w:val="000C514E"/>
    <w:rsid w:val="000C5261"/>
    <w:rsid w:val="000C5368"/>
    <w:rsid w:val="000C5375"/>
    <w:rsid w:val="000C544E"/>
    <w:rsid w:val="000C59D4"/>
    <w:rsid w:val="000C5A5A"/>
    <w:rsid w:val="000C5B02"/>
    <w:rsid w:val="000C5B49"/>
    <w:rsid w:val="000C5BC9"/>
    <w:rsid w:val="000C664E"/>
    <w:rsid w:val="000C6717"/>
    <w:rsid w:val="000C6D54"/>
    <w:rsid w:val="000C6DDF"/>
    <w:rsid w:val="000C6FEE"/>
    <w:rsid w:val="000C70A7"/>
    <w:rsid w:val="000C767B"/>
    <w:rsid w:val="000C77FF"/>
    <w:rsid w:val="000C7967"/>
    <w:rsid w:val="000C7B9D"/>
    <w:rsid w:val="000C7CBD"/>
    <w:rsid w:val="000C7EF2"/>
    <w:rsid w:val="000D00D9"/>
    <w:rsid w:val="000D034D"/>
    <w:rsid w:val="000D0626"/>
    <w:rsid w:val="000D0F5F"/>
    <w:rsid w:val="000D1025"/>
    <w:rsid w:val="000D1279"/>
    <w:rsid w:val="000D12F4"/>
    <w:rsid w:val="000D15EF"/>
    <w:rsid w:val="000D1AEF"/>
    <w:rsid w:val="000D1D10"/>
    <w:rsid w:val="000D2061"/>
    <w:rsid w:val="000D2313"/>
    <w:rsid w:val="000D2537"/>
    <w:rsid w:val="000D259E"/>
    <w:rsid w:val="000D3178"/>
    <w:rsid w:val="000D34E5"/>
    <w:rsid w:val="000D4405"/>
    <w:rsid w:val="000D476A"/>
    <w:rsid w:val="000D4804"/>
    <w:rsid w:val="000D48B2"/>
    <w:rsid w:val="000D4E8A"/>
    <w:rsid w:val="000D55D5"/>
    <w:rsid w:val="000D560C"/>
    <w:rsid w:val="000D5B3F"/>
    <w:rsid w:val="000D5E7F"/>
    <w:rsid w:val="000D6310"/>
    <w:rsid w:val="000D661C"/>
    <w:rsid w:val="000D68DE"/>
    <w:rsid w:val="000D6926"/>
    <w:rsid w:val="000D6C19"/>
    <w:rsid w:val="000D714E"/>
    <w:rsid w:val="000D71A7"/>
    <w:rsid w:val="000D7570"/>
    <w:rsid w:val="000D773C"/>
    <w:rsid w:val="000D7F42"/>
    <w:rsid w:val="000E0A47"/>
    <w:rsid w:val="000E0D18"/>
    <w:rsid w:val="000E0FD2"/>
    <w:rsid w:val="000E10A3"/>
    <w:rsid w:val="000E11B4"/>
    <w:rsid w:val="000E11EC"/>
    <w:rsid w:val="000E129E"/>
    <w:rsid w:val="000E1E12"/>
    <w:rsid w:val="000E217A"/>
    <w:rsid w:val="000E2185"/>
    <w:rsid w:val="000E255A"/>
    <w:rsid w:val="000E29C1"/>
    <w:rsid w:val="000E29CE"/>
    <w:rsid w:val="000E2DF9"/>
    <w:rsid w:val="000E30E3"/>
    <w:rsid w:val="000E312C"/>
    <w:rsid w:val="000E3310"/>
    <w:rsid w:val="000E349C"/>
    <w:rsid w:val="000E357D"/>
    <w:rsid w:val="000E3D6B"/>
    <w:rsid w:val="000E45C8"/>
    <w:rsid w:val="000E46F8"/>
    <w:rsid w:val="000E4759"/>
    <w:rsid w:val="000E5615"/>
    <w:rsid w:val="000E58C4"/>
    <w:rsid w:val="000E5A0E"/>
    <w:rsid w:val="000E5C41"/>
    <w:rsid w:val="000E6089"/>
    <w:rsid w:val="000E6CA3"/>
    <w:rsid w:val="000E7CC2"/>
    <w:rsid w:val="000F00D5"/>
    <w:rsid w:val="000F021C"/>
    <w:rsid w:val="000F04E9"/>
    <w:rsid w:val="000F0B38"/>
    <w:rsid w:val="000F0BB3"/>
    <w:rsid w:val="000F187E"/>
    <w:rsid w:val="000F1C2F"/>
    <w:rsid w:val="000F2A0F"/>
    <w:rsid w:val="000F3913"/>
    <w:rsid w:val="000F3E2C"/>
    <w:rsid w:val="000F3F63"/>
    <w:rsid w:val="000F4116"/>
    <w:rsid w:val="000F427F"/>
    <w:rsid w:val="000F432F"/>
    <w:rsid w:val="000F464A"/>
    <w:rsid w:val="000F476A"/>
    <w:rsid w:val="000F4A7D"/>
    <w:rsid w:val="000F4A81"/>
    <w:rsid w:val="000F4D67"/>
    <w:rsid w:val="000F50DF"/>
    <w:rsid w:val="000F52EE"/>
    <w:rsid w:val="000F5350"/>
    <w:rsid w:val="000F54E1"/>
    <w:rsid w:val="000F5B3C"/>
    <w:rsid w:val="000F5DDB"/>
    <w:rsid w:val="000F6632"/>
    <w:rsid w:val="000F748F"/>
    <w:rsid w:val="000F752F"/>
    <w:rsid w:val="000F797E"/>
    <w:rsid w:val="000F7A4A"/>
    <w:rsid w:val="000F7EB2"/>
    <w:rsid w:val="000F7ED8"/>
    <w:rsid w:val="0010000E"/>
    <w:rsid w:val="0010023B"/>
    <w:rsid w:val="0010051A"/>
    <w:rsid w:val="001007BB"/>
    <w:rsid w:val="00100DE8"/>
    <w:rsid w:val="00100FC0"/>
    <w:rsid w:val="001013AE"/>
    <w:rsid w:val="00101437"/>
    <w:rsid w:val="001015D1"/>
    <w:rsid w:val="001016C3"/>
    <w:rsid w:val="001018B4"/>
    <w:rsid w:val="00101AA8"/>
    <w:rsid w:val="00101AB8"/>
    <w:rsid w:val="00101B5B"/>
    <w:rsid w:val="00101C6D"/>
    <w:rsid w:val="00101F47"/>
    <w:rsid w:val="001023DB"/>
    <w:rsid w:val="00102696"/>
    <w:rsid w:val="0010282F"/>
    <w:rsid w:val="0010289A"/>
    <w:rsid w:val="00102C55"/>
    <w:rsid w:val="00102CEC"/>
    <w:rsid w:val="00102D3B"/>
    <w:rsid w:val="00102F58"/>
    <w:rsid w:val="0010349A"/>
    <w:rsid w:val="001034C2"/>
    <w:rsid w:val="0010367D"/>
    <w:rsid w:val="00103768"/>
    <w:rsid w:val="00103B07"/>
    <w:rsid w:val="00103DA5"/>
    <w:rsid w:val="00103E6E"/>
    <w:rsid w:val="00103FE9"/>
    <w:rsid w:val="00104168"/>
    <w:rsid w:val="00104768"/>
    <w:rsid w:val="0010489F"/>
    <w:rsid w:val="00104AD0"/>
    <w:rsid w:val="00104CB4"/>
    <w:rsid w:val="00104D1C"/>
    <w:rsid w:val="0010572B"/>
    <w:rsid w:val="00105E64"/>
    <w:rsid w:val="00105F0F"/>
    <w:rsid w:val="001061A8"/>
    <w:rsid w:val="00106304"/>
    <w:rsid w:val="00106E6C"/>
    <w:rsid w:val="00107435"/>
    <w:rsid w:val="00107542"/>
    <w:rsid w:val="001076C0"/>
    <w:rsid w:val="00107735"/>
    <w:rsid w:val="0010788D"/>
    <w:rsid w:val="00107956"/>
    <w:rsid w:val="00110159"/>
    <w:rsid w:val="00110501"/>
    <w:rsid w:val="00110D6B"/>
    <w:rsid w:val="00110E87"/>
    <w:rsid w:val="00110ECB"/>
    <w:rsid w:val="001111A5"/>
    <w:rsid w:val="00111290"/>
    <w:rsid w:val="001112B9"/>
    <w:rsid w:val="001113AA"/>
    <w:rsid w:val="00111581"/>
    <w:rsid w:val="00111756"/>
    <w:rsid w:val="001122A7"/>
    <w:rsid w:val="00112413"/>
    <w:rsid w:val="001126C8"/>
    <w:rsid w:val="00112ADC"/>
    <w:rsid w:val="00112E30"/>
    <w:rsid w:val="00113767"/>
    <w:rsid w:val="00113A33"/>
    <w:rsid w:val="00113DD2"/>
    <w:rsid w:val="00114233"/>
    <w:rsid w:val="001145B1"/>
    <w:rsid w:val="001146CA"/>
    <w:rsid w:val="001146CD"/>
    <w:rsid w:val="00114CF1"/>
    <w:rsid w:val="0011506A"/>
    <w:rsid w:val="001154E2"/>
    <w:rsid w:val="00115513"/>
    <w:rsid w:val="001157ED"/>
    <w:rsid w:val="0011585C"/>
    <w:rsid w:val="00115A7D"/>
    <w:rsid w:val="00116114"/>
    <w:rsid w:val="0011622B"/>
    <w:rsid w:val="001163F1"/>
    <w:rsid w:val="001165F8"/>
    <w:rsid w:val="0011669D"/>
    <w:rsid w:val="00116C90"/>
    <w:rsid w:val="00116CF7"/>
    <w:rsid w:val="00116ED5"/>
    <w:rsid w:val="001172BF"/>
    <w:rsid w:val="001174C6"/>
    <w:rsid w:val="001175A4"/>
    <w:rsid w:val="0011773E"/>
    <w:rsid w:val="00117A03"/>
    <w:rsid w:val="00117CFB"/>
    <w:rsid w:val="00117D01"/>
    <w:rsid w:val="00117D25"/>
    <w:rsid w:val="00117EB6"/>
    <w:rsid w:val="00117ED5"/>
    <w:rsid w:val="0012018A"/>
    <w:rsid w:val="0012063B"/>
    <w:rsid w:val="001207A6"/>
    <w:rsid w:val="0012097E"/>
    <w:rsid w:val="00120E11"/>
    <w:rsid w:val="00120F2A"/>
    <w:rsid w:val="0012110F"/>
    <w:rsid w:val="001216E0"/>
    <w:rsid w:val="0012171B"/>
    <w:rsid w:val="0012171F"/>
    <w:rsid w:val="00121784"/>
    <w:rsid w:val="00121930"/>
    <w:rsid w:val="0012194C"/>
    <w:rsid w:val="00121998"/>
    <w:rsid w:val="00121B6C"/>
    <w:rsid w:val="00121B70"/>
    <w:rsid w:val="00121D42"/>
    <w:rsid w:val="00121D50"/>
    <w:rsid w:val="0012205A"/>
    <w:rsid w:val="001220EE"/>
    <w:rsid w:val="001222DA"/>
    <w:rsid w:val="00122505"/>
    <w:rsid w:val="00122599"/>
    <w:rsid w:val="001227F2"/>
    <w:rsid w:val="001228A7"/>
    <w:rsid w:val="00122B8A"/>
    <w:rsid w:val="00122E6D"/>
    <w:rsid w:val="00122FB6"/>
    <w:rsid w:val="001233D3"/>
    <w:rsid w:val="00123551"/>
    <w:rsid w:val="00123617"/>
    <w:rsid w:val="00123703"/>
    <w:rsid w:val="00123894"/>
    <w:rsid w:val="0012394A"/>
    <w:rsid w:val="00123ABC"/>
    <w:rsid w:val="00123CBD"/>
    <w:rsid w:val="00123F23"/>
    <w:rsid w:val="0012413F"/>
    <w:rsid w:val="0012432C"/>
    <w:rsid w:val="0012436C"/>
    <w:rsid w:val="00124412"/>
    <w:rsid w:val="0012470F"/>
    <w:rsid w:val="00124AA2"/>
    <w:rsid w:val="00124C95"/>
    <w:rsid w:val="0012503A"/>
    <w:rsid w:val="0012530D"/>
    <w:rsid w:val="0012556F"/>
    <w:rsid w:val="00125C33"/>
    <w:rsid w:val="00125C66"/>
    <w:rsid w:val="001260E3"/>
    <w:rsid w:val="001265AC"/>
    <w:rsid w:val="00126757"/>
    <w:rsid w:val="00126840"/>
    <w:rsid w:val="00126989"/>
    <w:rsid w:val="00126A2E"/>
    <w:rsid w:val="00126EAA"/>
    <w:rsid w:val="0012701D"/>
    <w:rsid w:val="00127049"/>
    <w:rsid w:val="0012734D"/>
    <w:rsid w:val="00127493"/>
    <w:rsid w:val="001275B2"/>
    <w:rsid w:val="00127689"/>
    <w:rsid w:val="001279E5"/>
    <w:rsid w:val="00127A45"/>
    <w:rsid w:val="00127AD0"/>
    <w:rsid w:val="00127FA9"/>
    <w:rsid w:val="00127FB5"/>
    <w:rsid w:val="00130264"/>
    <w:rsid w:val="001302B2"/>
    <w:rsid w:val="00130657"/>
    <w:rsid w:val="0013081F"/>
    <w:rsid w:val="001314AE"/>
    <w:rsid w:val="00131580"/>
    <w:rsid w:val="0013213D"/>
    <w:rsid w:val="00132189"/>
    <w:rsid w:val="001325A7"/>
    <w:rsid w:val="00132882"/>
    <w:rsid w:val="001329FC"/>
    <w:rsid w:val="00132B7D"/>
    <w:rsid w:val="00132C38"/>
    <w:rsid w:val="00132FDD"/>
    <w:rsid w:val="00133312"/>
    <w:rsid w:val="001338C3"/>
    <w:rsid w:val="00133E41"/>
    <w:rsid w:val="00134047"/>
    <w:rsid w:val="00134293"/>
    <w:rsid w:val="00134BFE"/>
    <w:rsid w:val="00134D8F"/>
    <w:rsid w:val="00134F74"/>
    <w:rsid w:val="00134F9F"/>
    <w:rsid w:val="001355CC"/>
    <w:rsid w:val="00135D30"/>
    <w:rsid w:val="00135D4B"/>
    <w:rsid w:val="00135E51"/>
    <w:rsid w:val="00135F3D"/>
    <w:rsid w:val="001360B6"/>
    <w:rsid w:val="001363A4"/>
    <w:rsid w:val="0013674E"/>
    <w:rsid w:val="00137412"/>
    <w:rsid w:val="00137815"/>
    <w:rsid w:val="00137D91"/>
    <w:rsid w:val="00137DC0"/>
    <w:rsid w:val="00137F00"/>
    <w:rsid w:val="00140360"/>
    <w:rsid w:val="00140606"/>
    <w:rsid w:val="001408A3"/>
    <w:rsid w:val="00140956"/>
    <w:rsid w:val="00140B1A"/>
    <w:rsid w:val="00140C00"/>
    <w:rsid w:val="00140EDB"/>
    <w:rsid w:val="001413D2"/>
    <w:rsid w:val="001419AA"/>
    <w:rsid w:val="00141D62"/>
    <w:rsid w:val="00141E95"/>
    <w:rsid w:val="00141EFD"/>
    <w:rsid w:val="001421DC"/>
    <w:rsid w:val="0014234D"/>
    <w:rsid w:val="0014253B"/>
    <w:rsid w:val="0014255A"/>
    <w:rsid w:val="001425FE"/>
    <w:rsid w:val="0014262A"/>
    <w:rsid w:val="0014276A"/>
    <w:rsid w:val="00142B63"/>
    <w:rsid w:val="00142D43"/>
    <w:rsid w:val="00143256"/>
    <w:rsid w:val="00143A3D"/>
    <w:rsid w:val="00143B14"/>
    <w:rsid w:val="00143C0D"/>
    <w:rsid w:val="00143E75"/>
    <w:rsid w:val="00144014"/>
    <w:rsid w:val="0014433F"/>
    <w:rsid w:val="00144525"/>
    <w:rsid w:val="00144BE4"/>
    <w:rsid w:val="00145102"/>
    <w:rsid w:val="0014513C"/>
    <w:rsid w:val="00145165"/>
    <w:rsid w:val="001454BF"/>
    <w:rsid w:val="001454C0"/>
    <w:rsid w:val="0014554A"/>
    <w:rsid w:val="00145634"/>
    <w:rsid w:val="0014569E"/>
    <w:rsid w:val="00145726"/>
    <w:rsid w:val="00145E3F"/>
    <w:rsid w:val="00146309"/>
    <w:rsid w:val="00146419"/>
    <w:rsid w:val="0014646F"/>
    <w:rsid w:val="00146863"/>
    <w:rsid w:val="00146943"/>
    <w:rsid w:val="00146C53"/>
    <w:rsid w:val="00146F14"/>
    <w:rsid w:val="001471D5"/>
    <w:rsid w:val="0014720D"/>
    <w:rsid w:val="001473F8"/>
    <w:rsid w:val="00147944"/>
    <w:rsid w:val="001479ED"/>
    <w:rsid w:val="0015025B"/>
    <w:rsid w:val="001502F8"/>
    <w:rsid w:val="00150C7E"/>
    <w:rsid w:val="00150E5B"/>
    <w:rsid w:val="001511D2"/>
    <w:rsid w:val="0015144B"/>
    <w:rsid w:val="001514A5"/>
    <w:rsid w:val="001515C4"/>
    <w:rsid w:val="00151826"/>
    <w:rsid w:val="0015185A"/>
    <w:rsid w:val="00151918"/>
    <w:rsid w:val="00151A02"/>
    <w:rsid w:val="00152060"/>
    <w:rsid w:val="0015263F"/>
    <w:rsid w:val="00152886"/>
    <w:rsid w:val="001529F2"/>
    <w:rsid w:val="00152B22"/>
    <w:rsid w:val="00152CF3"/>
    <w:rsid w:val="00152EFE"/>
    <w:rsid w:val="00153900"/>
    <w:rsid w:val="00153A55"/>
    <w:rsid w:val="00153E17"/>
    <w:rsid w:val="0015401B"/>
    <w:rsid w:val="00154020"/>
    <w:rsid w:val="0015435D"/>
    <w:rsid w:val="00154509"/>
    <w:rsid w:val="00154CC5"/>
    <w:rsid w:val="00154DFE"/>
    <w:rsid w:val="00155E02"/>
    <w:rsid w:val="00156092"/>
    <w:rsid w:val="001560A2"/>
    <w:rsid w:val="00156187"/>
    <w:rsid w:val="001562B8"/>
    <w:rsid w:val="0015674E"/>
    <w:rsid w:val="00156914"/>
    <w:rsid w:val="0015698A"/>
    <w:rsid w:val="00156A24"/>
    <w:rsid w:val="0015723B"/>
    <w:rsid w:val="00157B47"/>
    <w:rsid w:val="00157EC2"/>
    <w:rsid w:val="00160403"/>
    <w:rsid w:val="00160438"/>
    <w:rsid w:val="0016046C"/>
    <w:rsid w:val="00160A43"/>
    <w:rsid w:val="00160CC2"/>
    <w:rsid w:val="00160D8F"/>
    <w:rsid w:val="0016133A"/>
    <w:rsid w:val="001613B4"/>
    <w:rsid w:val="0016143D"/>
    <w:rsid w:val="0016176C"/>
    <w:rsid w:val="001617C1"/>
    <w:rsid w:val="00161A65"/>
    <w:rsid w:val="00161D6D"/>
    <w:rsid w:val="0016263B"/>
    <w:rsid w:val="00162880"/>
    <w:rsid w:val="00162B60"/>
    <w:rsid w:val="00162BCD"/>
    <w:rsid w:val="00162BFA"/>
    <w:rsid w:val="00163068"/>
    <w:rsid w:val="001633EE"/>
    <w:rsid w:val="00163469"/>
    <w:rsid w:val="001634B9"/>
    <w:rsid w:val="001634C5"/>
    <w:rsid w:val="00163523"/>
    <w:rsid w:val="001636CC"/>
    <w:rsid w:val="001638C8"/>
    <w:rsid w:val="00163A4E"/>
    <w:rsid w:val="00163AED"/>
    <w:rsid w:val="00163CB7"/>
    <w:rsid w:val="00163D68"/>
    <w:rsid w:val="00163EE3"/>
    <w:rsid w:val="00163F10"/>
    <w:rsid w:val="001642CF"/>
    <w:rsid w:val="00164445"/>
    <w:rsid w:val="001645A0"/>
    <w:rsid w:val="001646B1"/>
    <w:rsid w:val="001648B6"/>
    <w:rsid w:val="00164DF0"/>
    <w:rsid w:val="00165192"/>
    <w:rsid w:val="001652C2"/>
    <w:rsid w:val="001655F8"/>
    <w:rsid w:val="001656E7"/>
    <w:rsid w:val="001658E1"/>
    <w:rsid w:val="00165AFC"/>
    <w:rsid w:val="00165C90"/>
    <w:rsid w:val="00165C9C"/>
    <w:rsid w:val="00165D60"/>
    <w:rsid w:val="00165F2A"/>
    <w:rsid w:val="001662C9"/>
    <w:rsid w:val="001664E0"/>
    <w:rsid w:val="00166CAC"/>
    <w:rsid w:val="00166FD9"/>
    <w:rsid w:val="001670BB"/>
    <w:rsid w:val="001674FD"/>
    <w:rsid w:val="001675D4"/>
    <w:rsid w:val="001678B7"/>
    <w:rsid w:val="001679EA"/>
    <w:rsid w:val="00167B58"/>
    <w:rsid w:val="00167C12"/>
    <w:rsid w:val="00167C55"/>
    <w:rsid w:val="0017016F"/>
    <w:rsid w:val="0017019B"/>
    <w:rsid w:val="0017040E"/>
    <w:rsid w:val="001706FA"/>
    <w:rsid w:val="00170A30"/>
    <w:rsid w:val="00170A4C"/>
    <w:rsid w:val="00170AE4"/>
    <w:rsid w:val="00170C6E"/>
    <w:rsid w:val="00170F66"/>
    <w:rsid w:val="00170F6B"/>
    <w:rsid w:val="001713A5"/>
    <w:rsid w:val="001717BC"/>
    <w:rsid w:val="00171970"/>
    <w:rsid w:val="00171AB7"/>
    <w:rsid w:val="001720CB"/>
    <w:rsid w:val="001721E5"/>
    <w:rsid w:val="001723A1"/>
    <w:rsid w:val="001723B4"/>
    <w:rsid w:val="001727F2"/>
    <w:rsid w:val="001732FF"/>
    <w:rsid w:val="00173333"/>
    <w:rsid w:val="001737AE"/>
    <w:rsid w:val="00173912"/>
    <w:rsid w:val="00173967"/>
    <w:rsid w:val="00173A54"/>
    <w:rsid w:val="00173C17"/>
    <w:rsid w:val="00174081"/>
    <w:rsid w:val="0017413E"/>
    <w:rsid w:val="00174148"/>
    <w:rsid w:val="00174233"/>
    <w:rsid w:val="0017441A"/>
    <w:rsid w:val="001745E4"/>
    <w:rsid w:val="001746C7"/>
    <w:rsid w:val="00174932"/>
    <w:rsid w:val="00174B3B"/>
    <w:rsid w:val="00174DC3"/>
    <w:rsid w:val="0017503D"/>
    <w:rsid w:val="00175447"/>
    <w:rsid w:val="001756CA"/>
    <w:rsid w:val="00175909"/>
    <w:rsid w:val="001761C5"/>
    <w:rsid w:val="0017636E"/>
    <w:rsid w:val="00176374"/>
    <w:rsid w:val="00176445"/>
    <w:rsid w:val="001764F8"/>
    <w:rsid w:val="001764FA"/>
    <w:rsid w:val="001765EC"/>
    <w:rsid w:val="00176766"/>
    <w:rsid w:val="001767FC"/>
    <w:rsid w:val="00176936"/>
    <w:rsid w:val="001769AD"/>
    <w:rsid w:val="00176A1D"/>
    <w:rsid w:val="00176A32"/>
    <w:rsid w:val="00176D90"/>
    <w:rsid w:val="00176DC9"/>
    <w:rsid w:val="001771B2"/>
    <w:rsid w:val="001773B9"/>
    <w:rsid w:val="00177566"/>
    <w:rsid w:val="001776F1"/>
    <w:rsid w:val="001777B8"/>
    <w:rsid w:val="001779BF"/>
    <w:rsid w:val="00177B52"/>
    <w:rsid w:val="00177D3D"/>
    <w:rsid w:val="00177E99"/>
    <w:rsid w:val="00177FF2"/>
    <w:rsid w:val="00180112"/>
    <w:rsid w:val="0018040A"/>
    <w:rsid w:val="001805DB"/>
    <w:rsid w:val="00180AE0"/>
    <w:rsid w:val="00180D7A"/>
    <w:rsid w:val="00181298"/>
    <w:rsid w:val="00181305"/>
    <w:rsid w:val="001813A5"/>
    <w:rsid w:val="00181439"/>
    <w:rsid w:val="001816E7"/>
    <w:rsid w:val="001817EA"/>
    <w:rsid w:val="00181B30"/>
    <w:rsid w:val="00182225"/>
    <w:rsid w:val="00182448"/>
    <w:rsid w:val="00182AB9"/>
    <w:rsid w:val="00182AE9"/>
    <w:rsid w:val="00183419"/>
    <w:rsid w:val="001835F2"/>
    <w:rsid w:val="001837BE"/>
    <w:rsid w:val="0018383D"/>
    <w:rsid w:val="001838D1"/>
    <w:rsid w:val="001839EF"/>
    <w:rsid w:val="00183B98"/>
    <w:rsid w:val="00184088"/>
    <w:rsid w:val="001841B0"/>
    <w:rsid w:val="001842C6"/>
    <w:rsid w:val="0018444D"/>
    <w:rsid w:val="00184691"/>
    <w:rsid w:val="001847B3"/>
    <w:rsid w:val="00184A3D"/>
    <w:rsid w:val="00184D68"/>
    <w:rsid w:val="00184DF0"/>
    <w:rsid w:val="00184FF0"/>
    <w:rsid w:val="0018508F"/>
    <w:rsid w:val="001856B6"/>
    <w:rsid w:val="00185833"/>
    <w:rsid w:val="00185AA2"/>
    <w:rsid w:val="00185E0F"/>
    <w:rsid w:val="0018601E"/>
    <w:rsid w:val="00186342"/>
    <w:rsid w:val="0018646A"/>
    <w:rsid w:val="001864F9"/>
    <w:rsid w:val="00186580"/>
    <w:rsid w:val="001869EE"/>
    <w:rsid w:val="00186B72"/>
    <w:rsid w:val="00186BCB"/>
    <w:rsid w:val="00186BD3"/>
    <w:rsid w:val="00186DEC"/>
    <w:rsid w:val="001871FF"/>
    <w:rsid w:val="0018745B"/>
    <w:rsid w:val="00187680"/>
    <w:rsid w:val="001876F4"/>
    <w:rsid w:val="00187814"/>
    <w:rsid w:val="00187D5A"/>
    <w:rsid w:val="00187E5C"/>
    <w:rsid w:val="00187E7F"/>
    <w:rsid w:val="00187FCC"/>
    <w:rsid w:val="001902C8"/>
    <w:rsid w:val="00190370"/>
    <w:rsid w:val="00190A89"/>
    <w:rsid w:val="00190CE7"/>
    <w:rsid w:val="00190FED"/>
    <w:rsid w:val="001911A6"/>
    <w:rsid w:val="00191675"/>
    <w:rsid w:val="00191778"/>
    <w:rsid w:val="00191859"/>
    <w:rsid w:val="0019195C"/>
    <w:rsid w:val="00191D29"/>
    <w:rsid w:val="00192201"/>
    <w:rsid w:val="00192607"/>
    <w:rsid w:val="00192625"/>
    <w:rsid w:val="001928D0"/>
    <w:rsid w:val="00192BC6"/>
    <w:rsid w:val="00192C37"/>
    <w:rsid w:val="00192D7B"/>
    <w:rsid w:val="00192EBF"/>
    <w:rsid w:val="0019303E"/>
    <w:rsid w:val="00193620"/>
    <w:rsid w:val="00193B63"/>
    <w:rsid w:val="00193F67"/>
    <w:rsid w:val="00193F91"/>
    <w:rsid w:val="00193FF4"/>
    <w:rsid w:val="001940F8"/>
    <w:rsid w:val="0019454A"/>
    <w:rsid w:val="001945EF"/>
    <w:rsid w:val="00194733"/>
    <w:rsid w:val="00194785"/>
    <w:rsid w:val="00194A73"/>
    <w:rsid w:val="00194C1F"/>
    <w:rsid w:val="00195161"/>
    <w:rsid w:val="00195757"/>
    <w:rsid w:val="00196071"/>
    <w:rsid w:val="0019612E"/>
    <w:rsid w:val="001967AB"/>
    <w:rsid w:val="001973DD"/>
    <w:rsid w:val="00197687"/>
    <w:rsid w:val="00197AF1"/>
    <w:rsid w:val="001A0146"/>
    <w:rsid w:val="001A015E"/>
    <w:rsid w:val="001A0285"/>
    <w:rsid w:val="001A0667"/>
    <w:rsid w:val="001A070C"/>
    <w:rsid w:val="001A0989"/>
    <w:rsid w:val="001A0C37"/>
    <w:rsid w:val="001A0C3C"/>
    <w:rsid w:val="001A0D51"/>
    <w:rsid w:val="001A0D8A"/>
    <w:rsid w:val="001A1092"/>
    <w:rsid w:val="001A109A"/>
    <w:rsid w:val="001A1322"/>
    <w:rsid w:val="001A1344"/>
    <w:rsid w:val="001A1733"/>
    <w:rsid w:val="001A1837"/>
    <w:rsid w:val="001A1D6A"/>
    <w:rsid w:val="001A1FBB"/>
    <w:rsid w:val="001A2563"/>
    <w:rsid w:val="001A2823"/>
    <w:rsid w:val="001A287A"/>
    <w:rsid w:val="001A2B79"/>
    <w:rsid w:val="001A2BFB"/>
    <w:rsid w:val="001A2C12"/>
    <w:rsid w:val="001A32E4"/>
    <w:rsid w:val="001A32F9"/>
    <w:rsid w:val="001A33B9"/>
    <w:rsid w:val="001A3DAE"/>
    <w:rsid w:val="001A3EA0"/>
    <w:rsid w:val="001A446C"/>
    <w:rsid w:val="001A4514"/>
    <w:rsid w:val="001A4B74"/>
    <w:rsid w:val="001A4BCC"/>
    <w:rsid w:val="001A4D87"/>
    <w:rsid w:val="001A5315"/>
    <w:rsid w:val="001A577D"/>
    <w:rsid w:val="001A5791"/>
    <w:rsid w:val="001A5A54"/>
    <w:rsid w:val="001A5A5F"/>
    <w:rsid w:val="001A5AA7"/>
    <w:rsid w:val="001A5FF6"/>
    <w:rsid w:val="001A639F"/>
    <w:rsid w:val="001A64B5"/>
    <w:rsid w:val="001A6766"/>
    <w:rsid w:val="001A697E"/>
    <w:rsid w:val="001A6C43"/>
    <w:rsid w:val="001A6EC8"/>
    <w:rsid w:val="001A7328"/>
    <w:rsid w:val="001A73AA"/>
    <w:rsid w:val="001A747C"/>
    <w:rsid w:val="001A7557"/>
    <w:rsid w:val="001A75AD"/>
    <w:rsid w:val="001A7638"/>
    <w:rsid w:val="001A77C6"/>
    <w:rsid w:val="001A7C89"/>
    <w:rsid w:val="001A7F99"/>
    <w:rsid w:val="001B033D"/>
    <w:rsid w:val="001B079C"/>
    <w:rsid w:val="001B07DF"/>
    <w:rsid w:val="001B09EB"/>
    <w:rsid w:val="001B0B62"/>
    <w:rsid w:val="001B0DEB"/>
    <w:rsid w:val="001B1005"/>
    <w:rsid w:val="001B1242"/>
    <w:rsid w:val="001B1392"/>
    <w:rsid w:val="001B1548"/>
    <w:rsid w:val="001B15BD"/>
    <w:rsid w:val="001B18BE"/>
    <w:rsid w:val="001B18F3"/>
    <w:rsid w:val="001B1A44"/>
    <w:rsid w:val="001B1BB7"/>
    <w:rsid w:val="001B1C01"/>
    <w:rsid w:val="001B1CB2"/>
    <w:rsid w:val="001B1FDA"/>
    <w:rsid w:val="001B2CDE"/>
    <w:rsid w:val="001B2F6A"/>
    <w:rsid w:val="001B34D6"/>
    <w:rsid w:val="001B35D9"/>
    <w:rsid w:val="001B388D"/>
    <w:rsid w:val="001B39C7"/>
    <w:rsid w:val="001B3AB5"/>
    <w:rsid w:val="001B3D09"/>
    <w:rsid w:val="001B4052"/>
    <w:rsid w:val="001B44D3"/>
    <w:rsid w:val="001B44FC"/>
    <w:rsid w:val="001B4684"/>
    <w:rsid w:val="001B4D47"/>
    <w:rsid w:val="001B5A4F"/>
    <w:rsid w:val="001B5D1B"/>
    <w:rsid w:val="001B5DAB"/>
    <w:rsid w:val="001B61C4"/>
    <w:rsid w:val="001B66F9"/>
    <w:rsid w:val="001B680B"/>
    <w:rsid w:val="001B68EF"/>
    <w:rsid w:val="001B69C3"/>
    <w:rsid w:val="001B6FC5"/>
    <w:rsid w:val="001B70C8"/>
    <w:rsid w:val="001B7B0E"/>
    <w:rsid w:val="001C00D1"/>
    <w:rsid w:val="001C024C"/>
    <w:rsid w:val="001C056B"/>
    <w:rsid w:val="001C05EC"/>
    <w:rsid w:val="001C0ACB"/>
    <w:rsid w:val="001C0E13"/>
    <w:rsid w:val="001C1A8C"/>
    <w:rsid w:val="001C1DF8"/>
    <w:rsid w:val="001C20FD"/>
    <w:rsid w:val="001C26B1"/>
    <w:rsid w:val="001C2B5C"/>
    <w:rsid w:val="001C2F05"/>
    <w:rsid w:val="001C2F5A"/>
    <w:rsid w:val="001C2FBF"/>
    <w:rsid w:val="001C31AE"/>
    <w:rsid w:val="001C32D4"/>
    <w:rsid w:val="001C3343"/>
    <w:rsid w:val="001C340C"/>
    <w:rsid w:val="001C34B1"/>
    <w:rsid w:val="001C3514"/>
    <w:rsid w:val="001C3639"/>
    <w:rsid w:val="001C38D0"/>
    <w:rsid w:val="001C3BFF"/>
    <w:rsid w:val="001C442B"/>
    <w:rsid w:val="001C46CB"/>
    <w:rsid w:val="001C47E7"/>
    <w:rsid w:val="001C4BFC"/>
    <w:rsid w:val="001C4DB6"/>
    <w:rsid w:val="001C4F8C"/>
    <w:rsid w:val="001C515D"/>
    <w:rsid w:val="001C584D"/>
    <w:rsid w:val="001C5988"/>
    <w:rsid w:val="001C5B45"/>
    <w:rsid w:val="001C5DAD"/>
    <w:rsid w:val="001C634A"/>
    <w:rsid w:val="001C69D8"/>
    <w:rsid w:val="001C6F12"/>
    <w:rsid w:val="001C71A6"/>
    <w:rsid w:val="001C7233"/>
    <w:rsid w:val="001C7342"/>
    <w:rsid w:val="001C79A5"/>
    <w:rsid w:val="001C7E58"/>
    <w:rsid w:val="001C7ED7"/>
    <w:rsid w:val="001D00AE"/>
    <w:rsid w:val="001D016D"/>
    <w:rsid w:val="001D06D9"/>
    <w:rsid w:val="001D0760"/>
    <w:rsid w:val="001D1146"/>
    <w:rsid w:val="001D1196"/>
    <w:rsid w:val="001D125A"/>
    <w:rsid w:val="001D1386"/>
    <w:rsid w:val="001D1460"/>
    <w:rsid w:val="001D16CF"/>
    <w:rsid w:val="001D1731"/>
    <w:rsid w:val="001D1BAA"/>
    <w:rsid w:val="001D1F19"/>
    <w:rsid w:val="001D26B8"/>
    <w:rsid w:val="001D2786"/>
    <w:rsid w:val="001D2A0D"/>
    <w:rsid w:val="001D2BD1"/>
    <w:rsid w:val="001D366A"/>
    <w:rsid w:val="001D3ADC"/>
    <w:rsid w:val="001D4227"/>
    <w:rsid w:val="001D44BC"/>
    <w:rsid w:val="001D46C2"/>
    <w:rsid w:val="001D48F2"/>
    <w:rsid w:val="001D4A02"/>
    <w:rsid w:val="001D4AB7"/>
    <w:rsid w:val="001D5084"/>
    <w:rsid w:val="001D55FC"/>
    <w:rsid w:val="001D59DF"/>
    <w:rsid w:val="001D5B4F"/>
    <w:rsid w:val="001D5C7A"/>
    <w:rsid w:val="001D5E4E"/>
    <w:rsid w:val="001D6085"/>
    <w:rsid w:val="001D6515"/>
    <w:rsid w:val="001D6796"/>
    <w:rsid w:val="001D6D8E"/>
    <w:rsid w:val="001D703D"/>
    <w:rsid w:val="001D74AB"/>
    <w:rsid w:val="001D7894"/>
    <w:rsid w:val="001D78D8"/>
    <w:rsid w:val="001D7A2F"/>
    <w:rsid w:val="001D7CA6"/>
    <w:rsid w:val="001E02D9"/>
    <w:rsid w:val="001E058F"/>
    <w:rsid w:val="001E06E0"/>
    <w:rsid w:val="001E0F42"/>
    <w:rsid w:val="001E10F1"/>
    <w:rsid w:val="001E14F8"/>
    <w:rsid w:val="001E189F"/>
    <w:rsid w:val="001E1D18"/>
    <w:rsid w:val="001E26E8"/>
    <w:rsid w:val="001E26FA"/>
    <w:rsid w:val="001E2C8E"/>
    <w:rsid w:val="001E2C8F"/>
    <w:rsid w:val="001E32DC"/>
    <w:rsid w:val="001E33E7"/>
    <w:rsid w:val="001E34B5"/>
    <w:rsid w:val="001E34CD"/>
    <w:rsid w:val="001E3545"/>
    <w:rsid w:val="001E35F4"/>
    <w:rsid w:val="001E384D"/>
    <w:rsid w:val="001E3C20"/>
    <w:rsid w:val="001E4398"/>
    <w:rsid w:val="001E4492"/>
    <w:rsid w:val="001E44B1"/>
    <w:rsid w:val="001E4648"/>
    <w:rsid w:val="001E48A6"/>
    <w:rsid w:val="001E4A79"/>
    <w:rsid w:val="001E4A98"/>
    <w:rsid w:val="001E52C0"/>
    <w:rsid w:val="001E5670"/>
    <w:rsid w:val="001E58B6"/>
    <w:rsid w:val="001E58D6"/>
    <w:rsid w:val="001E5B7A"/>
    <w:rsid w:val="001E5C0C"/>
    <w:rsid w:val="001E5CD2"/>
    <w:rsid w:val="001E5E39"/>
    <w:rsid w:val="001E5FC2"/>
    <w:rsid w:val="001E60F5"/>
    <w:rsid w:val="001E647B"/>
    <w:rsid w:val="001E657D"/>
    <w:rsid w:val="001E65D4"/>
    <w:rsid w:val="001E66B8"/>
    <w:rsid w:val="001E6990"/>
    <w:rsid w:val="001E6D4B"/>
    <w:rsid w:val="001E6F61"/>
    <w:rsid w:val="001E737A"/>
    <w:rsid w:val="001E7784"/>
    <w:rsid w:val="001E7D1C"/>
    <w:rsid w:val="001E7EC5"/>
    <w:rsid w:val="001F005D"/>
    <w:rsid w:val="001F00F4"/>
    <w:rsid w:val="001F029A"/>
    <w:rsid w:val="001F07CF"/>
    <w:rsid w:val="001F0AF2"/>
    <w:rsid w:val="001F0FA5"/>
    <w:rsid w:val="001F12A0"/>
    <w:rsid w:val="001F1858"/>
    <w:rsid w:val="001F19EF"/>
    <w:rsid w:val="001F1D6F"/>
    <w:rsid w:val="001F1E75"/>
    <w:rsid w:val="001F2023"/>
    <w:rsid w:val="001F21D6"/>
    <w:rsid w:val="001F2977"/>
    <w:rsid w:val="001F29FA"/>
    <w:rsid w:val="001F2AAB"/>
    <w:rsid w:val="001F2B47"/>
    <w:rsid w:val="001F2E0E"/>
    <w:rsid w:val="001F2E3C"/>
    <w:rsid w:val="001F2EEB"/>
    <w:rsid w:val="001F3122"/>
    <w:rsid w:val="001F313C"/>
    <w:rsid w:val="001F3471"/>
    <w:rsid w:val="001F385E"/>
    <w:rsid w:val="001F3A4A"/>
    <w:rsid w:val="001F3B8B"/>
    <w:rsid w:val="001F3BCB"/>
    <w:rsid w:val="001F3D3C"/>
    <w:rsid w:val="001F3D4E"/>
    <w:rsid w:val="001F3DA6"/>
    <w:rsid w:val="001F3F1A"/>
    <w:rsid w:val="001F408B"/>
    <w:rsid w:val="001F4209"/>
    <w:rsid w:val="001F4284"/>
    <w:rsid w:val="001F4517"/>
    <w:rsid w:val="001F49ED"/>
    <w:rsid w:val="001F4EB0"/>
    <w:rsid w:val="001F4FBB"/>
    <w:rsid w:val="001F503E"/>
    <w:rsid w:val="001F515F"/>
    <w:rsid w:val="001F5854"/>
    <w:rsid w:val="001F5A77"/>
    <w:rsid w:val="001F5BDC"/>
    <w:rsid w:val="001F65EF"/>
    <w:rsid w:val="001F67CE"/>
    <w:rsid w:val="001F6B38"/>
    <w:rsid w:val="001F7068"/>
    <w:rsid w:val="001F708B"/>
    <w:rsid w:val="001F72DD"/>
    <w:rsid w:val="001F7347"/>
    <w:rsid w:val="001F7849"/>
    <w:rsid w:val="001F7BA5"/>
    <w:rsid w:val="00200194"/>
    <w:rsid w:val="00200422"/>
    <w:rsid w:val="00200554"/>
    <w:rsid w:val="0020072B"/>
    <w:rsid w:val="0020088F"/>
    <w:rsid w:val="00200BB4"/>
    <w:rsid w:val="00200C34"/>
    <w:rsid w:val="00200D51"/>
    <w:rsid w:val="0020101C"/>
    <w:rsid w:val="002012CE"/>
    <w:rsid w:val="00201465"/>
    <w:rsid w:val="002014A2"/>
    <w:rsid w:val="00201650"/>
    <w:rsid w:val="00202318"/>
    <w:rsid w:val="00202522"/>
    <w:rsid w:val="00202C72"/>
    <w:rsid w:val="00202CC4"/>
    <w:rsid w:val="0020325A"/>
    <w:rsid w:val="002035C1"/>
    <w:rsid w:val="0020388E"/>
    <w:rsid w:val="00203AE6"/>
    <w:rsid w:val="00203DBD"/>
    <w:rsid w:val="00203DCF"/>
    <w:rsid w:val="00203DDB"/>
    <w:rsid w:val="00203F01"/>
    <w:rsid w:val="00204E68"/>
    <w:rsid w:val="002053D6"/>
    <w:rsid w:val="002056F4"/>
    <w:rsid w:val="00205B2F"/>
    <w:rsid w:val="00205BD3"/>
    <w:rsid w:val="00205D67"/>
    <w:rsid w:val="00205E7B"/>
    <w:rsid w:val="00205EFD"/>
    <w:rsid w:val="00206061"/>
    <w:rsid w:val="002061EA"/>
    <w:rsid w:val="002067D4"/>
    <w:rsid w:val="00206867"/>
    <w:rsid w:val="00206B74"/>
    <w:rsid w:val="00206BC5"/>
    <w:rsid w:val="00206D4D"/>
    <w:rsid w:val="00206F25"/>
    <w:rsid w:val="00206F45"/>
    <w:rsid w:val="00207065"/>
    <w:rsid w:val="00207253"/>
    <w:rsid w:val="00207344"/>
    <w:rsid w:val="00207725"/>
    <w:rsid w:val="0020786B"/>
    <w:rsid w:val="00207914"/>
    <w:rsid w:val="0020798F"/>
    <w:rsid w:val="00207EB3"/>
    <w:rsid w:val="0021005B"/>
    <w:rsid w:val="002101CB"/>
    <w:rsid w:val="0021046A"/>
    <w:rsid w:val="002104F8"/>
    <w:rsid w:val="00210E1C"/>
    <w:rsid w:val="00210E88"/>
    <w:rsid w:val="00211274"/>
    <w:rsid w:val="0021129A"/>
    <w:rsid w:val="00211455"/>
    <w:rsid w:val="00211519"/>
    <w:rsid w:val="0021173A"/>
    <w:rsid w:val="00211A02"/>
    <w:rsid w:val="00211CBB"/>
    <w:rsid w:val="00212408"/>
    <w:rsid w:val="00212666"/>
    <w:rsid w:val="00212AED"/>
    <w:rsid w:val="00212C2B"/>
    <w:rsid w:val="00212D02"/>
    <w:rsid w:val="00212E54"/>
    <w:rsid w:val="00212F3D"/>
    <w:rsid w:val="00213289"/>
    <w:rsid w:val="00213318"/>
    <w:rsid w:val="0021334C"/>
    <w:rsid w:val="002134E2"/>
    <w:rsid w:val="0021396B"/>
    <w:rsid w:val="00213AEC"/>
    <w:rsid w:val="00213F26"/>
    <w:rsid w:val="00214131"/>
    <w:rsid w:val="0021427B"/>
    <w:rsid w:val="00214539"/>
    <w:rsid w:val="002149D6"/>
    <w:rsid w:val="00214C7F"/>
    <w:rsid w:val="00214EBB"/>
    <w:rsid w:val="00214FB6"/>
    <w:rsid w:val="0021514D"/>
    <w:rsid w:val="00215669"/>
    <w:rsid w:val="002156A3"/>
    <w:rsid w:val="00215CCE"/>
    <w:rsid w:val="00215EF2"/>
    <w:rsid w:val="002162DF"/>
    <w:rsid w:val="0021639B"/>
    <w:rsid w:val="00216494"/>
    <w:rsid w:val="002165B6"/>
    <w:rsid w:val="00216655"/>
    <w:rsid w:val="00216E8E"/>
    <w:rsid w:val="00217006"/>
    <w:rsid w:val="00217092"/>
    <w:rsid w:val="0021741E"/>
    <w:rsid w:val="00220373"/>
    <w:rsid w:val="00220ABB"/>
    <w:rsid w:val="0022166C"/>
    <w:rsid w:val="00221DDE"/>
    <w:rsid w:val="0022250C"/>
    <w:rsid w:val="0022292D"/>
    <w:rsid w:val="0022294C"/>
    <w:rsid w:val="0022298B"/>
    <w:rsid w:val="00222A7A"/>
    <w:rsid w:val="00222C21"/>
    <w:rsid w:val="00222D0B"/>
    <w:rsid w:val="00222DE4"/>
    <w:rsid w:val="002233E4"/>
    <w:rsid w:val="00223D68"/>
    <w:rsid w:val="0022455C"/>
    <w:rsid w:val="002250C4"/>
    <w:rsid w:val="00225460"/>
    <w:rsid w:val="002254F2"/>
    <w:rsid w:val="00225A6E"/>
    <w:rsid w:val="00225A9A"/>
    <w:rsid w:val="00225AFC"/>
    <w:rsid w:val="00225B85"/>
    <w:rsid w:val="00225BD3"/>
    <w:rsid w:val="00225BF3"/>
    <w:rsid w:val="00225D29"/>
    <w:rsid w:val="00225ED5"/>
    <w:rsid w:val="0022601E"/>
    <w:rsid w:val="002266FF"/>
    <w:rsid w:val="0022698A"/>
    <w:rsid w:val="00226C68"/>
    <w:rsid w:val="00227064"/>
    <w:rsid w:val="00227183"/>
    <w:rsid w:val="002275B6"/>
    <w:rsid w:val="00227B3B"/>
    <w:rsid w:val="00227E06"/>
    <w:rsid w:val="00227FDB"/>
    <w:rsid w:val="0023001F"/>
    <w:rsid w:val="00230079"/>
    <w:rsid w:val="0023013F"/>
    <w:rsid w:val="00230387"/>
    <w:rsid w:val="00230624"/>
    <w:rsid w:val="00230CE0"/>
    <w:rsid w:val="00230D7C"/>
    <w:rsid w:val="00230D9B"/>
    <w:rsid w:val="002310DA"/>
    <w:rsid w:val="002311EF"/>
    <w:rsid w:val="0023122C"/>
    <w:rsid w:val="00231451"/>
    <w:rsid w:val="00231532"/>
    <w:rsid w:val="0023156E"/>
    <w:rsid w:val="002318AE"/>
    <w:rsid w:val="0023197D"/>
    <w:rsid w:val="00231A0D"/>
    <w:rsid w:val="00231D34"/>
    <w:rsid w:val="00231F5C"/>
    <w:rsid w:val="002321FD"/>
    <w:rsid w:val="00232432"/>
    <w:rsid w:val="00232A16"/>
    <w:rsid w:val="00232F2E"/>
    <w:rsid w:val="00232FA9"/>
    <w:rsid w:val="00233093"/>
    <w:rsid w:val="00233674"/>
    <w:rsid w:val="00233B86"/>
    <w:rsid w:val="00233D3E"/>
    <w:rsid w:val="002345C6"/>
    <w:rsid w:val="00234888"/>
    <w:rsid w:val="00234939"/>
    <w:rsid w:val="00234966"/>
    <w:rsid w:val="00234E1C"/>
    <w:rsid w:val="00235407"/>
    <w:rsid w:val="002359D8"/>
    <w:rsid w:val="00235C22"/>
    <w:rsid w:val="00235C49"/>
    <w:rsid w:val="00235DF3"/>
    <w:rsid w:val="002360E7"/>
    <w:rsid w:val="00236712"/>
    <w:rsid w:val="00236729"/>
    <w:rsid w:val="002368D4"/>
    <w:rsid w:val="00236997"/>
    <w:rsid w:val="00236B90"/>
    <w:rsid w:val="00236D86"/>
    <w:rsid w:val="00236E78"/>
    <w:rsid w:val="00237515"/>
    <w:rsid w:val="00237650"/>
    <w:rsid w:val="00237A49"/>
    <w:rsid w:val="00237B5F"/>
    <w:rsid w:val="00237FF5"/>
    <w:rsid w:val="0024076F"/>
    <w:rsid w:val="00240A2B"/>
    <w:rsid w:val="00240B4F"/>
    <w:rsid w:val="00240F49"/>
    <w:rsid w:val="00240F69"/>
    <w:rsid w:val="00241227"/>
    <w:rsid w:val="002414BF"/>
    <w:rsid w:val="002415CB"/>
    <w:rsid w:val="0024183D"/>
    <w:rsid w:val="002419BB"/>
    <w:rsid w:val="002427D6"/>
    <w:rsid w:val="00242A04"/>
    <w:rsid w:val="00242A3A"/>
    <w:rsid w:val="00242C69"/>
    <w:rsid w:val="00242D0D"/>
    <w:rsid w:val="00242DF2"/>
    <w:rsid w:val="00242E76"/>
    <w:rsid w:val="00242ED8"/>
    <w:rsid w:val="00243265"/>
    <w:rsid w:val="002433BD"/>
    <w:rsid w:val="00243455"/>
    <w:rsid w:val="00243DAD"/>
    <w:rsid w:val="00244084"/>
    <w:rsid w:val="00244338"/>
    <w:rsid w:val="00244405"/>
    <w:rsid w:val="002446A3"/>
    <w:rsid w:val="00244907"/>
    <w:rsid w:val="00244A68"/>
    <w:rsid w:val="00244D6C"/>
    <w:rsid w:val="002453E0"/>
    <w:rsid w:val="002453FB"/>
    <w:rsid w:val="002454FF"/>
    <w:rsid w:val="00245525"/>
    <w:rsid w:val="0024561A"/>
    <w:rsid w:val="0024563C"/>
    <w:rsid w:val="002459A2"/>
    <w:rsid w:val="00245D1C"/>
    <w:rsid w:val="00245EA6"/>
    <w:rsid w:val="0024606E"/>
    <w:rsid w:val="0024632A"/>
    <w:rsid w:val="0024647F"/>
    <w:rsid w:val="002469F1"/>
    <w:rsid w:val="00246BC4"/>
    <w:rsid w:val="00246BC7"/>
    <w:rsid w:val="00246C0E"/>
    <w:rsid w:val="00246DA2"/>
    <w:rsid w:val="00246DAE"/>
    <w:rsid w:val="00246F7D"/>
    <w:rsid w:val="00246FF1"/>
    <w:rsid w:val="00247322"/>
    <w:rsid w:val="002474D8"/>
    <w:rsid w:val="002478A9"/>
    <w:rsid w:val="00247B94"/>
    <w:rsid w:val="00247C96"/>
    <w:rsid w:val="00247D4B"/>
    <w:rsid w:val="00247FDF"/>
    <w:rsid w:val="002503CC"/>
    <w:rsid w:val="0025048E"/>
    <w:rsid w:val="0025085A"/>
    <w:rsid w:val="00250B61"/>
    <w:rsid w:val="00250BC1"/>
    <w:rsid w:val="00250CCF"/>
    <w:rsid w:val="002512F6"/>
    <w:rsid w:val="00251460"/>
    <w:rsid w:val="00251544"/>
    <w:rsid w:val="002515D0"/>
    <w:rsid w:val="002518A3"/>
    <w:rsid w:val="00251C65"/>
    <w:rsid w:val="00251E83"/>
    <w:rsid w:val="00251F02"/>
    <w:rsid w:val="00251FAD"/>
    <w:rsid w:val="00252946"/>
    <w:rsid w:val="00252BD5"/>
    <w:rsid w:val="00253004"/>
    <w:rsid w:val="0025317D"/>
    <w:rsid w:val="0025318F"/>
    <w:rsid w:val="00253258"/>
    <w:rsid w:val="002533EB"/>
    <w:rsid w:val="00253663"/>
    <w:rsid w:val="0025370D"/>
    <w:rsid w:val="0025373B"/>
    <w:rsid w:val="0025378A"/>
    <w:rsid w:val="00253844"/>
    <w:rsid w:val="00253B04"/>
    <w:rsid w:val="00253BA5"/>
    <w:rsid w:val="00253DDE"/>
    <w:rsid w:val="00253F48"/>
    <w:rsid w:val="00253F78"/>
    <w:rsid w:val="00253FED"/>
    <w:rsid w:val="00253FFA"/>
    <w:rsid w:val="002545D5"/>
    <w:rsid w:val="00254742"/>
    <w:rsid w:val="002548CE"/>
    <w:rsid w:val="00254E51"/>
    <w:rsid w:val="00255214"/>
    <w:rsid w:val="002552C2"/>
    <w:rsid w:val="002556D2"/>
    <w:rsid w:val="00255924"/>
    <w:rsid w:val="00255B32"/>
    <w:rsid w:val="00255D1F"/>
    <w:rsid w:val="00255E8F"/>
    <w:rsid w:val="00255ED4"/>
    <w:rsid w:val="002560C4"/>
    <w:rsid w:val="0025632E"/>
    <w:rsid w:val="0025651B"/>
    <w:rsid w:val="0025686A"/>
    <w:rsid w:val="00256A56"/>
    <w:rsid w:val="00256C4C"/>
    <w:rsid w:val="00256FC9"/>
    <w:rsid w:val="00257009"/>
    <w:rsid w:val="002572B4"/>
    <w:rsid w:val="00257902"/>
    <w:rsid w:val="00257A2E"/>
    <w:rsid w:val="0026025C"/>
    <w:rsid w:val="002604D0"/>
    <w:rsid w:val="002607E5"/>
    <w:rsid w:val="00260B20"/>
    <w:rsid w:val="00260D07"/>
    <w:rsid w:val="00260DAE"/>
    <w:rsid w:val="002613C9"/>
    <w:rsid w:val="002618C5"/>
    <w:rsid w:val="00261AC9"/>
    <w:rsid w:val="002621A9"/>
    <w:rsid w:val="0026290F"/>
    <w:rsid w:val="00262AA7"/>
    <w:rsid w:val="00262B69"/>
    <w:rsid w:val="00262E02"/>
    <w:rsid w:val="0026320B"/>
    <w:rsid w:val="00263490"/>
    <w:rsid w:val="0026403D"/>
    <w:rsid w:val="0026439C"/>
    <w:rsid w:val="002643AF"/>
    <w:rsid w:val="002644E0"/>
    <w:rsid w:val="0026466E"/>
    <w:rsid w:val="00264B4F"/>
    <w:rsid w:val="00264B8E"/>
    <w:rsid w:val="00264CCB"/>
    <w:rsid w:val="00265102"/>
    <w:rsid w:val="00265235"/>
    <w:rsid w:val="00265B75"/>
    <w:rsid w:val="00265BB3"/>
    <w:rsid w:val="00265CC1"/>
    <w:rsid w:val="0026602E"/>
    <w:rsid w:val="002662CE"/>
    <w:rsid w:val="00266610"/>
    <w:rsid w:val="00266A4F"/>
    <w:rsid w:val="00266B3C"/>
    <w:rsid w:val="00266BB8"/>
    <w:rsid w:val="00266C04"/>
    <w:rsid w:val="00266CA8"/>
    <w:rsid w:val="00266FF5"/>
    <w:rsid w:val="00267062"/>
    <w:rsid w:val="00267128"/>
    <w:rsid w:val="00267AAF"/>
    <w:rsid w:val="00267DFA"/>
    <w:rsid w:val="002700C0"/>
    <w:rsid w:val="002700F3"/>
    <w:rsid w:val="002701A5"/>
    <w:rsid w:val="00270580"/>
    <w:rsid w:val="002705FC"/>
    <w:rsid w:val="002706C4"/>
    <w:rsid w:val="00270AB8"/>
    <w:rsid w:val="00270C2E"/>
    <w:rsid w:val="0027107A"/>
    <w:rsid w:val="002711C5"/>
    <w:rsid w:val="00271697"/>
    <w:rsid w:val="0027175B"/>
    <w:rsid w:val="00271900"/>
    <w:rsid w:val="00271C20"/>
    <w:rsid w:val="00271E6F"/>
    <w:rsid w:val="00271F1A"/>
    <w:rsid w:val="00272091"/>
    <w:rsid w:val="00272369"/>
    <w:rsid w:val="00272428"/>
    <w:rsid w:val="0027272E"/>
    <w:rsid w:val="00272A06"/>
    <w:rsid w:val="00272B4A"/>
    <w:rsid w:val="00272DC9"/>
    <w:rsid w:val="00272E39"/>
    <w:rsid w:val="0027320F"/>
    <w:rsid w:val="002739F6"/>
    <w:rsid w:val="00274118"/>
    <w:rsid w:val="002742D0"/>
    <w:rsid w:val="002743D9"/>
    <w:rsid w:val="0027464B"/>
    <w:rsid w:val="00274659"/>
    <w:rsid w:val="002746CB"/>
    <w:rsid w:val="00274A35"/>
    <w:rsid w:val="00274CB9"/>
    <w:rsid w:val="00274E56"/>
    <w:rsid w:val="00275091"/>
    <w:rsid w:val="00275107"/>
    <w:rsid w:val="0027520A"/>
    <w:rsid w:val="00275902"/>
    <w:rsid w:val="00275B08"/>
    <w:rsid w:val="00275C03"/>
    <w:rsid w:val="00275C05"/>
    <w:rsid w:val="00275D8D"/>
    <w:rsid w:val="00275DA5"/>
    <w:rsid w:val="002760A3"/>
    <w:rsid w:val="002760D7"/>
    <w:rsid w:val="002763A8"/>
    <w:rsid w:val="00276526"/>
    <w:rsid w:val="00276716"/>
    <w:rsid w:val="00276738"/>
    <w:rsid w:val="00276884"/>
    <w:rsid w:val="00276979"/>
    <w:rsid w:val="00276A74"/>
    <w:rsid w:val="0027702F"/>
    <w:rsid w:val="00277263"/>
    <w:rsid w:val="00277A5B"/>
    <w:rsid w:val="00280090"/>
    <w:rsid w:val="002804EA"/>
    <w:rsid w:val="00280585"/>
    <w:rsid w:val="002805C9"/>
    <w:rsid w:val="00280A25"/>
    <w:rsid w:val="00280DD1"/>
    <w:rsid w:val="00281144"/>
    <w:rsid w:val="00281355"/>
    <w:rsid w:val="00281B7E"/>
    <w:rsid w:val="00281BF8"/>
    <w:rsid w:val="00281CE9"/>
    <w:rsid w:val="00281D45"/>
    <w:rsid w:val="00282478"/>
    <w:rsid w:val="0028255B"/>
    <w:rsid w:val="002826F6"/>
    <w:rsid w:val="00282871"/>
    <w:rsid w:val="00282985"/>
    <w:rsid w:val="00283A32"/>
    <w:rsid w:val="0028401E"/>
    <w:rsid w:val="002840A0"/>
    <w:rsid w:val="0028424F"/>
    <w:rsid w:val="0028457D"/>
    <w:rsid w:val="0028470B"/>
    <w:rsid w:val="00284D78"/>
    <w:rsid w:val="002850B4"/>
    <w:rsid w:val="00285143"/>
    <w:rsid w:val="00285254"/>
    <w:rsid w:val="0028539A"/>
    <w:rsid w:val="00285425"/>
    <w:rsid w:val="00285BFC"/>
    <w:rsid w:val="00286100"/>
    <w:rsid w:val="00286780"/>
    <w:rsid w:val="00286CB5"/>
    <w:rsid w:val="002874E8"/>
    <w:rsid w:val="00287665"/>
    <w:rsid w:val="00287878"/>
    <w:rsid w:val="002878F6"/>
    <w:rsid w:val="0028798B"/>
    <w:rsid w:val="00287B3B"/>
    <w:rsid w:val="00287B82"/>
    <w:rsid w:val="00290058"/>
    <w:rsid w:val="002910BC"/>
    <w:rsid w:val="002910E5"/>
    <w:rsid w:val="002910F5"/>
    <w:rsid w:val="00291303"/>
    <w:rsid w:val="002914F2"/>
    <w:rsid w:val="0029150B"/>
    <w:rsid w:val="002916EC"/>
    <w:rsid w:val="002919EB"/>
    <w:rsid w:val="00291FB8"/>
    <w:rsid w:val="00292038"/>
    <w:rsid w:val="0029239D"/>
    <w:rsid w:val="00292527"/>
    <w:rsid w:val="0029252A"/>
    <w:rsid w:val="00292A14"/>
    <w:rsid w:val="00292BF7"/>
    <w:rsid w:val="00292CE9"/>
    <w:rsid w:val="00292CF0"/>
    <w:rsid w:val="00292FAF"/>
    <w:rsid w:val="00292FEB"/>
    <w:rsid w:val="002932FE"/>
    <w:rsid w:val="00293474"/>
    <w:rsid w:val="00293623"/>
    <w:rsid w:val="00293FC0"/>
    <w:rsid w:val="00294128"/>
    <w:rsid w:val="00294395"/>
    <w:rsid w:val="002944AE"/>
    <w:rsid w:val="00294686"/>
    <w:rsid w:val="002946FB"/>
    <w:rsid w:val="00294D8F"/>
    <w:rsid w:val="00294E56"/>
    <w:rsid w:val="00295512"/>
    <w:rsid w:val="0029563A"/>
    <w:rsid w:val="0029570C"/>
    <w:rsid w:val="00295791"/>
    <w:rsid w:val="0029598E"/>
    <w:rsid w:val="00295B3F"/>
    <w:rsid w:val="00295CAD"/>
    <w:rsid w:val="00295CB1"/>
    <w:rsid w:val="00296121"/>
    <w:rsid w:val="00296285"/>
    <w:rsid w:val="00296467"/>
    <w:rsid w:val="00296491"/>
    <w:rsid w:val="0029665E"/>
    <w:rsid w:val="002966DD"/>
    <w:rsid w:val="00296871"/>
    <w:rsid w:val="00296EF8"/>
    <w:rsid w:val="00297304"/>
    <w:rsid w:val="00297473"/>
    <w:rsid w:val="00297EFD"/>
    <w:rsid w:val="002A0077"/>
    <w:rsid w:val="002A02C6"/>
    <w:rsid w:val="002A0319"/>
    <w:rsid w:val="002A0524"/>
    <w:rsid w:val="002A07E3"/>
    <w:rsid w:val="002A1A59"/>
    <w:rsid w:val="002A1A62"/>
    <w:rsid w:val="002A1B2D"/>
    <w:rsid w:val="002A1E22"/>
    <w:rsid w:val="002A2057"/>
    <w:rsid w:val="002A26F2"/>
    <w:rsid w:val="002A2B61"/>
    <w:rsid w:val="002A2E53"/>
    <w:rsid w:val="002A31C6"/>
    <w:rsid w:val="002A3A6B"/>
    <w:rsid w:val="002A3C1A"/>
    <w:rsid w:val="002A40D9"/>
    <w:rsid w:val="002A440D"/>
    <w:rsid w:val="002A476B"/>
    <w:rsid w:val="002A4C91"/>
    <w:rsid w:val="002A4D0F"/>
    <w:rsid w:val="002A4D25"/>
    <w:rsid w:val="002A4E79"/>
    <w:rsid w:val="002A4F0A"/>
    <w:rsid w:val="002A509B"/>
    <w:rsid w:val="002A5156"/>
    <w:rsid w:val="002A5252"/>
    <w:rsid w:val="002A55BB"/>
    <w:rsid w:val="002A5A3F"/>
    <w:rsid w:val="002A5C21"/>
    <w:rsid w:val="002A615D"/>
    <w:rsid w:val="002A62F7"/>
    <w:rsid w:val="002A678A"/>
    <w:rsid w:val="002A6F5E"/>
    <w:rsid w:val="002A6FB4"/>
    <w:rsid w:val="002A7356"/>
    <w:rsid w:val="002A7378"/>
    <w:rsid w:val="002A75A2"/>
    <w:rsid w:val="002A75C9"/>
    <w:rsid w:val="002A7657"/>
    <w:rsid w:val="002A768B"/>
    <w:rsid w:val="002A78C6"/>
    <w:rsid w:val="002A78E7"/>
    <w:rsid w:val="002A7925"/>
    <w:rsid w:val="002A7BCB"/>
    <w:rsid w:val="002A7FA2"/>
    <w:rsid w:val="002B01B2"/>
    <w:rsid w:val="002B01F6"/>
    <w:rsid w:val="002B0B79"/>
    <w:rsid w:val="002B1201"/>
    <w:rsid w:val="002B1441"/>
    <w:rsid w:val="002B1BF8"/>
    <w:rsid w:val="002B23B6"/>
    <w:rsid w:val="002B246D"/>
    <w:rsid w:val="002B2600"/>
    <w:rsid w:val="002B260E"/>
    <w:rsid w:val="002B26C1"/>
    <w:rsid w:val="002B285D"/>
    <w:rsid w:val="002B2A2F"/>
    <w:rsid w:val="002B2A7B"/>
    <w:rsid w:val="002B2BC9"/>
    <w:rsid w:val="002B2D58"/>
    <w:rsid w:val="002B384B"/>
    <w:rsid w:val="002B3B5B"/>
    <w:rsid w:val="002B41CA"/>
    <w:rsid w:val="002B4605"/>
    <w:rsid w:val="002B4DD4"/>
    <w:rsid w:val="002B4EC1"/>
    <w:rsid w:val="002B5689"/>
    <w:rsid w:val="002B573B"/>
    <w:rsid w:val="002B57AB"/>
    <w:rsid w:val="002B588C"/>
    <w:rsid w:val="002B598B"/>
    <w:rsid w:val="002B5CE2"/>
    <w:rsid w:val="002B5E47"/>
    <w:rsid w:val="002B6228"/>
    <w:rsid w:val="002B62C5"/>
    <w:rsid w:val="002B62D1"/>
    <w:rsid w:val="002B637B"/>
    <w:rsid w:val="002B63FD"/>
    <w:rsid w:val="002B64D4"/>
    <w:rsid w:val="002B64ED"/>
    <w:rsid w:val="002B6CD7"/>
    <w:rsid w:val="002B748E"/>
    <w:rsid w:val="002B763E"/>
    <w:rsid w:val="002B780D"/>
    <w:rsid w:val="002B7C29"/>
    <w:rsid w:val="002B7C3F"/>
    <w:rsid w:val="002B7CCC"/>
    <w:rsid w:val="002B7CF8"/>
    <w:rsid w:val="002B7E48"/>
    <w:rsid w:val="002B7ED7"/>
    <w:rsid w:val="002C034C"/>
    <w:rsid w:val="002C079E"/>
    <w:rsid w:val="002C0BDD"/>
    <w:rsid w:val="002C107E"/>
    <w:rsid w:val="002C12C7"/>
    <w:rsid w:val="002C16E7"/>
    <w:rsid w:val="002C1774"/>
    <w:rsid w:val="002C1E05"/>
    <w:rsid w:val="002C2259"/>
    <w:rsid w:val="002C23A0"/>
    <w:rsid w:val="002C2543"/>
    <w:rsid w:val="002C26D9"/>
    <w:rsid w:val="002C28E9"/>
    <w:rsid w:val="002C2F6A"/>
    <w:rsid w:val="002C34FE"/>
    <w:rsid w:val="002C367B"/>
    <w:rsid w:val="002C36FB"/>
    <w:rsid w:val="002C3E33"/>
    <w:rsid w:val="002C4794"/>
    <w:rsid w:val="002C48CF"/>
    <w:rsid w:val="002C4E3D"/>
    <w:rsid w:val="002C4E70"/>
    <w:rsid w:val="002C540B"/>
    <w:rsid w:val="002C5431"/>
    <w:rsid w:val="002C5641"/>
    <w:rsid w:val="002C5D7F"/>
    <w:rsid w:val="002C6046"/>
    <w:rsid w:val="002C60DD"/>
    <w:rsid w:val="002C6131"/>
    <w:rsid w:val="002C63C4"/>
    <w:rsid w:val="002C6514"/>
    <w:rsid w:val="002C699F"/>
    <w:rsid w:val="002C6B56"/>
    <w:rsid w:val="002C6DD6"/>
    <w:rsid w:val="002C6E4A"/>
    <w:rsid w:val="002C6FEF"/>
    <w:rsid w:val="002C73CE"/>
    <w:rsid w:val="002C7643"/>
    <w:rsid w:val="002C7A6A"/>
    <w:rsid w:val="002C7CEC"/>
    <w:rsid w:val="002C7E1D"/>
    <w:rsid w:val="002D0150"/>
    <w:rsid w:val="002D0288"/>
    <w:rsid w:val="002D0C1D"/>
    <w:rsid w:val="002D0DB4"/>
    <w:rsid w:val="002D0E92"/>
    <w:rsid w:val="002D1540"/>
    <w:rsid w:val="002D1680"/>
    <w:rsid w:val="002D23D9"/>
    <w:rsid w:val="002D2655"/>
    <w:rsid w:val="002D273F"/>
    <w:rsid w:val="002D274E"/>
    <w:rsid w:val="002D2A84"/>
    <w:rsid w:val="002D2D45"/>
    <w:rsid w:val="002D2E93"/>
    <w:rsid w:val="002D3206"/>
    <w:rsid w:val="002D324D"/>
    <w:rsid w:val="002D3311"/>
    <w:rsid w:val="002D37BF"/>
    <w:rsid w:val="002D397E"/>
    <w:rsid w:val="002D4209"/>
    <w:rsid w:val="002D43FE"/>
    <w:rsid w:val="002D45A3"/>
    <w:rsid w:val="002D48CC"/>
    <w:rsid w:val="002D48F8"/>
    <w:rsid w:val="002D492B"/>
    <w:rsid w:val="002D495F"/>
    <w:rsid w:val="002D4BD0"/>
    <w:rsid w:val="002D4C2D"/>
    <w:rsid w:val="002D4C2F"/>
    <w:rsid w:val="002D4EF0"/>
    <w:rsid w:val="002D5299"/>
    <w:rsid w:val="002D52C3"/>
    <w:rsid w:val="002D5E5A"/>
    <w:rsid w:val="002D605A"/>
    <w:rsid w:val="002D65BC"/>
    <w:rsid w:val="002D6871"/>
    <w:rsid w:val="002D69D1"/>
    <w:rsid w:val="002D6BC6"/>
    <w:rsid w:val="002D704A"/>
    <w:rsid w:val="002D71B9"/>
    <w:rsid w:val="002D7692"/>
    <w:rsid w:val="002D7759"/>
    <w:rsid w:val="002D77BE"/>
    <w:rsid w:val="002D79CC"/>
    <w:rsid w:val="002E0032"/>
    <w:rsid w:val="002E05BB"/>
    <w:rsid w:val="002E06E5"/>
    <w:rsid w:val="002E0C30"/>
    <w:rsid w:val="002E0CEA"/>
    <w:rsid w:val="002E0DA6"/>
    <w:rsid w:val="002E1035"/>
    <w:rsid w:val="002E12CE"/>
    <w:rsid w:val="002E1412"/>
    <w:rsid w:val="002E15EE"/>
    <w:rsid w:val="002E20F1"/>
    <w:rsid w:val="002E2390"/>
    <w:rsid w:val="002E25B0"/>
    <w:rsid w:val="002E264E"/>
    <w:rsid w:val="002E26E0"/>
    <w:rsid w:val="002E280F"/>
    <w:rsid w:val="002E2838"/>
    <w:rsid w:val="002E28C3"/>
    <w:rsid w:val="002E3317"/>
    <w:rsid w:val="002E3344"/>
    <w:rsid w:val="002E33A5"/>
    <w:rsid w:val="002E389A"/>
    <w:rsid w:val="002E3A19"/>
    <w:rsid w:val="002E3A7B"/>
    <w:rsid w:val="002E3AE0"/>
    <w:rsid w:val="002E3BEA"/>
    <w:rsid w:val="002E3ECB"/>
    <w:rsid w:val="002E3F50"/>
    <w:rsid w:val="002E4388"/>
    <w:rsid w:val="002E4486"/>
    <w:rsid w:val="002E44E3"/>
    <w:rsid w:val="002E4657"/>
    <w:rsid w:val="002E4694"/>
    <w:rsid w:val="002E48B4"/>
    <w:rsid w:val="002E4C85"/>
    <w:rsid w:val="002E4EE0"/>
    <w:rsid w:val="002E5071"/>
    <w:rsid w:val="002E5074"/>
    <w:rsid w:val="002E5470"/>
    <w:rsid w:val="002E5734"/>
    <w:rsid w:val="002E5C53"/>
    <w:rsid w:val="002E5EBE"/>
    <w:rsid w:val="002E6087"/>
    <w:rsid w:val="002E6105"/>
    <w:rsid w:val="002E6421"/>
    <w:rsid w:val="002E656B"/>
    <w:rsid w:val="002E65A6"/>
    <w:rsid w:val="002E6812"/>
    <w:rsid w:val="002E6818"/>
    <w:rsid w:val="002E6E64"/>
    <w:rsid w:val="002E77BA"/>
    <w:rsid w:val="002E7B2C"/>
    <w:rsid w:val="002E7DB6"/>
    <w:rsid w:val="002E7DEA"/>
    <w:rsid w:val="002E7EAE"/>
    <w:rsid w:val="002F02EB"/>
    <w:rsid w:val="002F0307"/>
    <w:rsid w:val="002F03F0"/>
    <w:rsid w:val="002F049A"/>
    <w:rsid w:val="002F08C4"/>
    <w:rsid w:val="002F0934"/>
    <w:rsid w:val="002F0A5E"/>
    <w:rsid w:val="002F0AB7"/>
    <w:rsid w:val="002F106E"/>
    <w:rsid w:val="002F2198"/>
    <w:rsid w:val="002F225B"/>
    <w:rsid w:val="002F2274"/>
    <w:rsid w:val="002F2392"/>
    <w:rsid w:val="002F29F1"/>
    <w:rsid w:val="002F2C2D"/>
    <w:rsid w:val="002F2C35"/>
    <w:rsid w:val="002F2C90"/>
    <w:rsid w:val="002F2E16"/>
    <w:rsid w:val="002F2EFC"/>
    <w:rsid w:val="002F2F80"/>
    <w:rsid w:val="002F307B"/>
    <w:rsid w:val="002F32E9"/>
    <w:rsid w:val="002F338A"/>
    <w:rsid w:val="002F37B9"/>
    <w:rsid w:val="002F37ED"/>
    <w:rsid w:val="002F3980"/>
    <w:rsid w:val="002F3C05"/>
    <w:rsid w:val="002F3C22"/>
    <w:rsid w:val="002F3FCD"/>
    <w:rsid w:val="002F430D"/>
    <w:rsid w:val="002F4417"/>
    <w:rsid w:val="002F48BB"/>
    <w:rsid w:val="002F4AE8"/>
    <w:rsid w:val="002F4D1E"/>
    <w:rsid w:val="002F4E34"/>
    <w:rsid w:val="002F4F75"/>
    <w:rsid w:val="002F52DB"/>
    <w:rsid w:val="002F5310"/>
    <w:rsid w:val="002F53C8"/>
    <w:rsid w:val="002F58C0"/>
    <w:rsid w:val="002F58CD"/>
    <w:rsid w:val="002F58F3"/>
    <w:rsid w:val="002F5B90"/>
    <w:rsid w:val="002F5D30"/>
    <w:rsid w:val="002F5E88"/>
    <w:rsid w:val="002F6151"/>
    <w:rsid w:val="002F61B8"/>
    <w:rsid w:val="002F6808"/>
    <w:rsid w:val="002F68E0"/>
    <w:rsid w:val="002F6C88"/>
    <w:rsid w:val="002F6F1B"/>
    <w:rsid w:val="002F737D"/>
    <w:rsid w:val="002F759E"/>
    <w:rsid w:val="002F774D"/>
    <w:rsid w:val="002F7C3C"/>
    <w:rsid w:val="002F7E64"/>
    <w:rsid w:val="00300356"/>
    <w:rsid w:val="0030048A"/>
    <w:rsid w:val="003004C3"/>
    <w:rsid w:val="00300A08"/>
    <w:rsid w:val="00300ABE"/>
    <w:rsid w:val="00300B84"/>
    <w:rsid w:val="00300D0E"/>
    <w:rsid w:val="00301517"/>
    <w:rsid w:val="00301673"/>
    <w:rsid w:val="00301DD2"/>
    <w:rsid w:val="00302B99"/>
    <w:rsid w:val="00302CDC"/>
    <w:rsid w:val="00303012"/>
    <w:rsid w:val="00303436"/>
    <w:rsid w:val="0030344B"/>
    <w:rsid w:val="00303463"/>
    <w:rsid w:val="00303768"/>
    <w:rsid w:val="003039E3"/>
    <w:rsid w:val="00303BEC"/>
    <w:rsid w:val="00303D1E"/>
    <w:rsid w:val="0030420A"/>
    <w:rsid w:val="0030425D"/>
    <w:rsid w:val="0030447E"/>
    <w:rsid w:val="0030454F"/>
    <w:rsid w:val="0030471F"/>
    <w:rsid w:val="0030475C"/>
    <w:rsid w:val="003047AD"/>
    <w:rsid w:val="003047B7"/>
    <w:rsid w:val="0030480E"/>
    <w:rsid w:val="00304928"/>
    <w:rsid w:val="00304C68"/>
    <w:rsid w:val="0030541E"/>
    <w:rsid w:val="0030564A"/>
    <w:rsid w:val="00305674"/>
    <w:rsid w:val="00305675"/>
    <w:rsid w:val="003059E5"/>
    <w:rsid w:val="00305D6F"/>
    <w:rsid w:val="00305F11"/>
    <w:rsid w:val="00306A75"/>
    <w:rsid w:val="00306AA7"/>
    <w:rsid w:val="00306CD8"/>
    <w:rsid w:val="00306D39"/>
    <w:rsid w:val="00306D46"/>
    <w:rsid w:val="00306DD9"/>
    <w:rsid w:val="00306FD5"/>
    <w:rsid w:val="0030716C"/>
    <w:rsid w:val="003072F6"/>
    <w:rsid w:val="00307368"/>
    <w:rsid w:val="0030783B"/>
    <w:rsid w:val="0030783F"/>
    <w:rsid w:val="003078EA"/>
    <w:rsid w:val="00307A9D"/>
    <w:rsid w:val="00307B83"/>
    <w:rsid w:val="00307BFD"/>
    <w:rsid w:val="00307EDF"/>
    <w:rsid w:val="003101E4"/>
    <w:rsid w:val="0031030B"/>
    <w:rsid w:val="0031036E"/>
    <w:rsid w:val="003104C0"/>
    <w:rsid w:val="003105FB"/>
    <w:rsid w:val="00310867"/>
    <w:rsid w:val="00310D84"/>
    <w:rsid w:val="00310DB3"/>
    <w:rsid w:val="00311124"/>
    <w:rsid w:val="00311251"/>
    <w:rsid w:val="0031138A"/>
    <w:rsid w:val="0031167B"/>
    <w:rsid w:val="00311904"/>
    <w:rsid w:val="00311A8F"/>
    <w:rsid w:val="00311C33"/>
    <w:rsid w:val="00312916"/>
    <w:rsid w:val="00312919"/>
    <w:rsid w:val="003129B4"/>
    <w:rsid w:val="00312AAD"/>
    <w:rsid w:val="00312D79"/>
    <w:rsid w:val="0031302E"/>
    <w:rsid w:val="003133C2"/>
    <w:rsid w:val="003136EE"/>
    <w:rsid w:val="003139AA"/>
    <w:rsid w:val="003142DF"/>
    <w:rsid w:val="0031498D"/>
    <w:rsid w:val="00314AEE"/>
    <w:rsid w:val="00314B00"/>
    <w:rsid w:val="00314C42"/>
    <w:rsid w:val="00314CFC"/>
    <w:rsid w:val="00314F70"/>
    <w:rsid w:val="0031513D"/>
    <w:rsid w:val="0031544A"/>
    <w:rsid w:val="003155B9"/>
    <w:rsid w:val="0031572C"/>
    <w:rsid w:val="003158E0"/>
    <w:rsid w:val="00315AFB"/>
    <w:rsid w:val="00315DEC"/>
    <w:rsid w:val="0031648D"/>
    <w:rsid w:val="0031685B"/>
    <w:rsid w:val="00317032"/>
    <w:rsid w:val="0031718B"/>
    <w:rsid w:val="00317409"/>
    <w:rsid w:val="00317497"/>
    <w:rsid w:val="00317537"/>
    <w:rsid w:val="00317608"/>
    <w:rsid w:val="00317669"/>
    <w:rsid w:val="00317F80"/>
    <w:rsid w:val="0032034D"/>
    <w:rsid w:val="00320463"/>
    <w:rsid w:val="0032082A"/>
    <w:rsid w:val="00320B9F"/>
    <w:rsid w:val="0032115C"/>
    <w:rsid w:val="00321172"/>
    <w:rsid w:val="003211F6"/>
    <w:rsid w:val="003212E1"/>
    <w:rsid w:val="003214AE"/>
    <w:rsid w:val="00321582"/>
    <w:rsid w:val="003218DD"/>
    <w:rsid w:val="003218F9"/>
    <w:rsid w:val="00321AB2"/>
    <w:rsid w:val="00321ADA"/>
    <w:rsid w:val="00321BDB"/>
    <w:rsid w:val="00321E86"/>
    <w:rsid w:val="00321F64"/>
    <w:rsid w:val="0032212E"/>
    <w:rsid w:val="00322603"/>
    <w:rsid w:val="003226F4"/>
    <w:rsid w:val="0032271E"/>
    <w:rsid w:val="003227F0"/>
    <w:rsid w:val="003229FD"/>
    <w:rsid w:val="00322D68"/>
    <w:rsid w:val="00322D84"/>
    <w:rsid w:val="0032396C"/>
    <w:rsid w:val="00323A5A"/>
    <w:rsid w:val="00323D3B"/>
    <w:rsid w:val="00323D57"/>
    <w:rsid w:val="00323F0F"/>
    <w:rsid w:val="00323FE6"/>
    <w:rsid w:val="0032410B"/>
    <w:rsid w:val="00324116"/>
    <w:rsid w:val="00324402"/>
    <w:rsid w:val="00324404"/>
    <w:rsid w:val="00324461"/>
    <w:rsid w:val="0032457F"/>
    <w:rsid w:val="00324CC5"/>
    <w:rsid w:val="00324F9B"/>
    <w:rsid w:val="00324FAD"/>
    <w:rsid w:val="0032534E"/>
    <w:rsid w:val="00325586"/>
    <w:rsid w:val="00325729"/>
    <w:rsid w:val="00325776"/>
    <w:rsid w:val="0032587D"/>
    <w:rsid w:val="00325A0D"/>
    <w:rsid w:val="00325C29"/>
    <w:rsid w:val="00325D1B"/>
    <w:rsid w:val="00325F32"/>
    <w:rsid w:val="00326450"/>
    <w:rsid w:val="00326B38"/>
    <w:rsid w:val="00326B98"/>
    <w:rsid w:val="00326D02"/>
    <w:rsid w:val="0032711C"/>
    <w:rsid w:val="00327720"/>
    <w:rsid w:val="00327997"/>
    <w:rsid w:val="00327C3C"/>
    <w:rsid w:val="003300F0"/>
    <w:rsid w:val="0033015C"/>
    <w:rsid w:val="003301E1"/>
    <w:rsid w:val="003302C0"/>
    <w:rsid w:val="003304E9"/>
    <w:rsid w:val="0033061C"/>
    <w:rsid w:val="00330A2F"/>
    <w:rsid w:val="00330A89"/>
    <w:rsid w:val="00330B31"/>
    <w:rsid w:val="00330BB3"/>
    <w:rsid w:val="00330DD5"/>
    <w:rsid w:val="00330DEB"/>
    <w:rsid w:val="00330F81"/>
    <w:rsid w:val="0033117E"/>
    <w:rsid w:val="00331209"/>
    <w:rsid w:val="00331264"/>
    <w:rsid w:val="003312A5"/>
    <w:rsid w:val="0033137F"/>
    <w:rsid w:val="0033145C"/>
    <w:rsid w:val="003317D8"/>
    <w:rsid w:val="00331D07"/>
    <w:rsid w:val="00331EFD"/>
    <w:rsid w:val="0033211C"/>
    <w:rsid w:val="00332214"/>
    <w:rsid w:val="00332327"/>
    <w:rsid w:val="003323E2"/>
    <w:rsid w:val="0033279C"/>
    <w:rsid w:val="00332AF4"/>
    <w:rsid w:val="00332B98"/>
    <w:rsid w:val="00332BF0"/>
    <w:rsid w:val="0033350F"/>
    <w:rsid w:val="003337C3"/>
    <w:rsid w:val="003338EF"/>
    <w:rsid w:val="00333E59"/>
    <w:rsid w:val="00333F09"/>
    <w:rsid w:val="00334011"/>
    <w:rsid w:val="00334018"/>
    <w:rsid w:val="00334045"/>
    <w:rsid w:val="00334656"/>
    <w:rsid w:val="00334837"/>
    <w:rsid w:val="00334843"/>
    <w:rsid w:val="00334D21"/>
    <w:rsid w:val="00334D76"/>
    <w:rsid w:val="00334F4B"/>
    <w:rsid w:val="0033532D"/>
    <w:rsid w:val="00335444"/>
    <w:rsid w:val="00335453"/>
    <w:rsid w:val="003354B4"/>
    <w:rsid w:val="0033650C"/>
    <w:rsid w:val="00336C9F"/>
    <w:rsid w:val="00336ED6"/>
    <w:rsid w:val="00337286"/>
    <w:rsid w:val="00337568"/>
    <w:rsid w:val="00337B11"/>
    <w:rsid w:val="00337FF3"/>
    <w:rsid w:val="00340375"/>
    <w:rsid w:val="003404AB"/>
    <w:rsid w:val="003408EA"/>
    <w:rsid w:val="0034136D"/>
    <w:rsid w:val="0034193F"/>
    <w:rsid w:val="00341A0D"/>
    <w:rsid w:val="00341E56"/>
    <w:rsid w:val="00341F59"/>
    <w:rsid w:val="0034212A"/>
    <w:rsid w:val="003427CE"/>
    <w:rsid w:val="00342B2B"/>
    <w:rsid w:val="00342C96"/>
    <w:rsid w:val="00342FC6"/>
    <w:rsid w:val="00342FC9"/>
    <w:rsid w:val="0034319C"/>
    <w:rsid w:val="0034349D"/>
    <w:rsid w:val="00343A7A"/>
    <w:rsid w:val="00343A9F"/>
    <w:rsid w:val="00343B12"/>
    <w:rsid w:val="00343B34"/>
    <w:rsid w:val="00343C0E"/>
    <w:rsid w:val="00343C82"/>
    <w:rsid w:val="00343E90"/>
    <w:rsid w:val="0034402E"/>
    <w:rsid w:val="003442C2"/>
    <w:rsid w:val="0034456D"/>
    <w:rsid w:val="003448D4"/>
    <w:rsid w:val="003449BC"/>
    <w:rsid w:val="003449D3"/>
    <w:rsid w:val="00344AA2"/>
    <w:rsid w:val="00344B24"/>
    <w:rsid w:val="003456B7"/>
    <w:rsid w:val="0034582F"/>
    <w:rsid w:val="003458EE"/>
    <w:rsid w:val="00345C27"/>
    <w:rsid w:val="0034612F"/>
    <w:rsid w:val="003464F7"/>
    <w:rsid w:val="0034674F"/>
    <w:rsid w:val="00346867"/>
    <w:rsid w:val="003468D8"/>
    <w:rsid w:val="00346C1C"/>
    <w:rsid w:val="00346F08"/>
    <w:rsid w:val="003473C7"/>
    <w:rsid w:val="00347436"/>
    <w:rsid w:val="003475BA"/>
    <w:rsid w:val="00347962"/>
    <w:rsid w:val="00347E30"/>
    <w:rsid w:val="00347FB9"/>
    <w:rsid w:val="00350082"/>
    <w:rsid w:val="003502DD"/>
    <w:rsid w:val="003507BF"/>
    <w:rsid w:val="00350D00"/>
    <w:rsid w:val="00350F08"/>
    <w:rsid w:val="00351186"/>
    <w:rsid w:val="00351654"/>
    <w:rsid w:val="00351866"/>
    <w:rsid w:val="00351B3E"/>
    <w:rsid w:val="00351B9B"/>
    <w:rsid w:val="00351D33"/>
    <w:rsid w:val="00351FCA"/>
    <w:rsid w:val="00352022"/>
    <w:rsid w:val="003520AC"/>
    <w:rsid w:val="00352313"/>
    <w:rsid w:val="003528F4"/>
    <w:rsid w:val="00352912"/>
    <w:rsid w:val="003529BC"/>
    <w:rsid w:val="00352D8B"/>
    <w:rsid w:val="003532C7"/>
    <w:rsid w:val="0035358F"/>
    <w:rsid w:val="003539CE"/>
    <w:rsid w:val="00353C04"/>
    <w:rsid w:val="00353C08"/>
    <w:rsid w:val="00353CAA"/>
    <w:rsid w:val="0035405E"/>
    <w:rsid w:val="003540E2"/>
    <w:rsid w:val="00354260"/>
    <w:rsid w:val="00354467"/>
    <w:rsid w:val="003545B8"/>
    <w:rsid w:val="0035462C"/>
    <w:rsid w:val="00354679"/>
    <w:rsid w:val="00355333"/>
    <w:rsid w:val="0035546C"/>
    <w:rsid w:val="00355F2E"/>
    <w:rsid w:val="003561F7"/>
    <w:rsid w:val="0035696C"/>
    <w:rsid w:val="00356B77"/>
    <w:rsid w:val="003573D6"/>
    <w:rsid w:val="00357929"/>
    <w:rsid w:val="00357D44"/>
    <w:rsid w:val="00357E59"/>
    <w:rsid w:val="00357F4A"/>
    <w:rsid w:val="003602D9"/>
    <w:rsid w:val="003604AD"/>
    <w:rsid w:val="0036063A"/>
    <w:rsid w:val="00360775"/>
    <w:rsid w:val="00360CF7"/>
    <w:rsid w:val="0036117F"/>
    <w:rsid w:val="003614D1"/>
    <w:rsid w:val="00361547"/>
    <w:rsid w:val="003619C9"/>
    <w:rsid w:val="003619EC"/>
    <w:rsid w:val="00361F5F"/>
    <w:rsid w:val="003623CB"/>
    <w:rsid w:val="00362568"/>
    <w:rsid w:val="003626EB"/>
    <w:rsid w:val="00362E58"/>
    <w:rsid w:val="0036326F"/>
    <w:rsid w:val="0036348E"/>
    <w:rsid w:val="003635A4"/>
    <w:rsid w:val="003636B4"/>
    <w:rsid w:val="003638EB"/>
    <w:rsid w:val="00363A21"/>
    <w:rsid w:val="00363D40"/>
    <w:rsid w:val="00363F78"/>
    <w:rsid w:val="00364541"/>
    <w:rsid w:val="003645F0"/>
    <w:rsid w:val="003646C9"/>
    <w:rsid w:val="0036491D"/>
    <w:rsid w:val="0036491E"/>
    <w:rsid w:val="003649EA"/>
    <w:rsid w:val="00364E7F"/>
    <w:rsid w:val="00365C03"/>
    <w:rsid w:val="00365CB5"/>
    <w:rsid w:val="00365CB8"/>
    <w:rsid w:val="00365F9B"/>
    <w:rsid w:val="00366285"/>
    <w:rsid w:val="003665DC"/>
    <w:rsid w:val="00366624"/>
    <w:rsid w:val="003668B0"/>
    <w:rsid w:val="00366A4C"/>
    <w:rsid w:val="00366B72"/>
    <w:rsid w:val="00366CB4"/>
    <w:rsid w:val="00366F81"/>
    <w:rsid w:val="0036707F"/>
    <w:rsid w:val="00367441"/>
    <w:rsid w:val="003675D9"/>
    <w:rsid w:val="003676CB"/>
    <w:rsid w:val="0036790E"/>
    <w:rsid w:val="0037006F"/>
    <w:rsid w:val="00370366"/>
    <w:rsid w:val="003703BC"/>
    <w:rsid w:val="00370663"/>
    <w:rsid w:val="00370696"/>
    <w:rsid w:val="00370C71"/>
    <w:rsid w:val="0037124D"/>
    <w:rsid w:val="00371A36"/>
    <w:rsid w:val="00371B77"/>
    <w:rsid w:val="00372115"/>
    <w:rsid w:val="0037219D"/>
    <w:rsid w:val="00372446"/>
    <w:rsid w:val="00372B62"/>
    <w:rsid w:val="00372BF0"/>
    <w:rsid w:val="00372CF7"/>
    <w:rsid w:val="00373456"/>
    <w:rsid w:val="00373571"/>
    <w:rsid w:val="003736C0"/>
    <w:rsid w:val="00373A37"/>
    <w:rsid w:val="00373A4D"/>
    <w:rsid w:val="00373E45"/>
    <w:rsid w:val="00373F3B"/>
    <w:rsid w:val="00374024"/>
    <w:rsid w:val="00374692"/>
    <w:rsid w:val="003748A6"/>
    <w:rsid w:val="003749D2"/>
    <w:rsid w:val="00374A86"/>
    <w:rsid w:val="00374C31"/>
    <w:rsid w:val="00374CF8"/>
    <w:rsid w:val="00374D1D"/>
    <w:rsid w:val="00374F61"/>
    <w:rsid w:val="003754A2"/>
    <w:rsid w:val="00375C3D"/>
    <w:rsid w:val="00375C49"/>
    <w:rsid w:val="00375DA9"/>
    <w:rsid w:val="0037615A"/>
    <w:rsid w:val="003761F6"/>
    <w:rsid w:val="00376625"/>
    <w:rsid w:val="00376A4C"/>
    <w:rsid w:val="00376A93"/>
    <w:rsid w:val="00376B9D"/>
    <w:rsid w:val="003770CA"/>
    <w:rsid w:val="003770F4"/>
    <w:rsid w:val="003773CD"/>
    <w:rsid w:val="0037749A"/>
    <w:rsid w:val="00377C43"/>
    <w:rsid w:val="00377CDE"/>
    <w:rsid w:val="0038016E"/>
    <w:rsid w:val="003804B7"/>
    <w:rsid w:val="00380802"/>
    <w:rsid w:val="00380AC5"/>
    <w:rsid w:val="00381C06"/>
    <w:rsid w:val="00381CD5"/>
    <w:rsid w:val="00381E5F"/>
    <w:rsid w:val="00381F47"/>
    <w:rsid w:val="00382421"/>
    <w:rsid w:val="00382824"/>
    <w:rsid w:val="00382B85"/>
    <w:rsid w:val="00382D5D"/>
    <w:rsid w:val="00382DF4"/>
    <w:rsid w:val="00382F35"/>
    <w:rsid w:val="0038319A"/>
    <w:rsid w:val="003832D7"/>
    <w:rsid w:val="00383562"/>
    <w:rsid w:val="00383750"/>
    <w:rsid w:val="00383BBC"/>
    <w:rsid w:val="00383C64"/>
    <w:rsid w:val="00383D36"/>
    <w:rsid w:val="00383FFE"/>
    <w:rsid w:val="00384960"/>
    <w:rsid w:val="00384B0A"/>
    <w:rsid w:val="00384D37"/>
    <w:rsid w:val="003854C8"/>
    <w:rsid w:val="0038560A"/>
    <w:rsid w:val="00385C32"/>
    <w:rsid w:val="00385CFC"/>
    <w:rsid w:val="00386112"/>
    <w:rsid w:val="00386D6D"/>
    <w:rsid w:val="00386F8D"/>
    <w:rsid w:val="003874EE"/>
    <w:rsid w:val="003875A1"/>
    <w:rsid w:val="00387920"/>
    <w:rsid w:val="00390168"/>
    <w:rsid w:val="003902A0"/>
    <w:rsid w:val="003905B8"/>
    <w:rsid w:val="003906C3"/>
    <w:rsid w:val="00390715"/>
    <w:rsid w:val="00390931"/>
    <w:rsid w:val="00390950"/>
    <w:rsid w:val="00390A68"/>
    <w:rsid w:val="00391C24"/>
    <w:rsid w:val="00391F74"/>
    <w:rsid w:val="00392017"/>
    <w:rsid w:val="0039250E"/>
    <w:rsid w:val="003925A7"/>
    <w:rsid w:val="0039264F"/>
    <w:rsid w:val="003928CD"/>
    <w:rsid w:val="00392BC0"/>
    <w:rsid w:val="00392F00"/>
    <w:rsid w:val="003932E4"/>
    <w:rsid w:val="003936A1"/>
    <w:rsid w:val="00393725"/>
    <w:rsid w:val="00393B18"/>
    <w:rsid w:val="00393CE4"/>
    <w:rsid w:val="003940DA"/>
    <w:rsid w:val="00394403"/>
    <w:rsid w:val="00394423"/>
    <w:rsid w:val="003944C4"/>
    <w:rsid w:val="00394623"/>
    <w:rsid w:val="003946CD"/>
    <w:rsid w:val="003949B9"/>
    <w:rsid w:val="00395441"/>
    <w:rsid w:val="00395661"/>
    <w:rsid w:val="003958CA"/>
    <w:rsid w:val="00395A5F"/>
    <w:rsid w:val="00395D38"/>
    <w:rsid w:val="00395FBC"/>
    <w:rsid w:val="0039625E"/>
    <w:rsid w:val="003963F7"/>
    <w:rsid w:val="00396773"/>
    <w:rsid w:val="00396C7D"/>
    <w:rsid w:val="00396E91"/>
    <w:rsid w:val="00396F51"/>
    <w:rsid w:val="0039718E"/>
    <w:rsid w:val="0039763B"/>
    <w:rsid w:val="003977B4"/>
    <w:rsid w:val="003977C7"/>
    <w:rsid w:val="00397BFC"/>
    <w:rsid w:val="00397C9A"/>
    <w:rsid w:val="00397FE3"/>
    <w:rsid w:val="003A0314"/>
    <w:rsid w:val="003A039B"/>
    <w:rsid w:val="003A04A9"/>
    <w:rsid w:val="003A04F7"/>
    <w:rsid w:val="003A0612"/>
    <w:rsid w:val="003A0F93"/>
    <w:rsid w:val="003A1022"/>
    <w:rsid w:val="003A10DB"/>
    <w:rsid w:val="003A1471"/>
    <w:rsid w:val="003A1562"/>
    <w:rsid w:val="003A1589"/>
    <w:rsid w:val="003A1B90"/>
    <w:rsid w:val="003A1D19"/>
    <w:rsid w:val="003A1DCC"/>
    <w:rsid w:val="003A1DDA"/>
    <w:rsid w:val="003A1FBC"/>
    <w:rsid w:val="003A2005"/>
    <w:rsid w:val="003A2062"/>
    <w:rsid w:val="003A20D8"/>
    <w:rsid w:val="003A217B"/>
    <w:rsid w:val="003A2739"/>
    <w:rsid w:val="003A2EBA"/>
    <w:rsid w:val="003A2F43"/>
    <w:rsid w:val="003A31DE"/>
    <w:rsid w:val="003A3267"/>
    <w:rsid w:val="003A386D"/>
    <w:rsid w:val="003A3A9E"/>
    <w:rsid w:val="003A3B15"/>
    <w:rsid w:val="003A3CE8"/>
    <w:rsid w:val="003A4B00"/>
    <w:rsid w:val="003A4FF5"/>
    <w:rsid w:val="003A51FE"/>
    <w:rsid w:val="003A54AF"/>
    <w:rsid w:val="003A5AAC"/>
    <w:rsid w:val="003A5C2A"/>
    <w:rsid w:val="003A5D39"/>
    <w:rsid w:val="003A5D61"/>
    <w:rsid w:val="003A5E2A"/>
    <w:rsid w:val="003A61B7"/>
    <w:rsid w:val="003A6384"/>
    <w:rsid w:val="003A686C"/>
    <w:rsid w:val="003A6B20"/>
    <w:rsid w:val="003A6E14"/>
    <w:rsid w:val="003A724D"/>
    <w:rsid w:val="003A7271"/>
    <w:rsid w:val="003A7499"/>
    <w:rsid w:val="003A782E"/>
    <w:rsid w:val="003A786B"/>
    <w:rsid w:val="003A7988"/>
    <w:rsid w:val="003B0B22"/>
    <w:rsid w:val="003B0FDC"/>
    <w:rsid w:val="003B15D0"/>
    <w:rsid w:val="003B176C"/>
    <w:rsid w:val="003B1AC9"/>
    <w:rsid w:val="003B1D26"/>
    <w:rsid w:val="003B2205"/>
    <w:rsid w:val="003B23F5"/>
    <w:rsid w:val="003B244A"/>
    <w:rsid w:val="003B24D7"/>
    <w:rsid w:val="003B252D"/>
    <w:rsid w:val="003B254C"/>
    <w:rsid w:val="003B2970"/>
    <w:rsid w:val="003B314D"/>
    <w:rsid w:val="003B3D62"/>
    <w:rsid w:val="003B3DC8"/>
    <w:rsid w:val="003B3E07"/>
    <w:rsid w:val="003B3FDA"/>
    <w:rsid w:val="003B4381"/>
    <w:rsid w:val="003B4531"/>
    <w:rsid w:val="003B457E"/>
    <w:rsid w:val="003B47F8"/>
    <w:rsid w:val="003B48EF"/>
    <w:rsid w:val="003B4B64"/>
    <w:rsid w:val="003B4B8F"/>
    <w:rsid w:val="003B4BB7"/>
    <w:rsid w:val="003B4EBD"/>
    <w:rsid w:val="003B500A"/>
    <w:rsid w:val="003B5352"/>
    <w:rsid w:val="003B537F"/>
    <w:rsid w:val="003B5417"/>
    <w:rsid w:val="003B566F"/>
    <w:rsid w:val="003B571A"/>
    <w:rsid w:val="003B5988"/>
    <w:rsid w:val="003B59C1"/>
    <w:rsid w:val="003B5DA1"/>
    <w:rsid w:val="003B6332"/>
    <w:rsid w:val="003B63E2"/>
    <w:rsid w:val="003B641A"/>
    <w:rsid w:val="003B6489"/>
    <w:rsid w:val="003B69BB"/>
    <w:rsid w:val="003B6CC2"/>
    <w:rsid w:val="003B6E95"/>
    <w:rsid w:val="003B77D5"/>
    <w:rsid w:val="003C0243"/>
    <w:rsid w:val="003C043A"/>
    <w:rsid w:val="003C045A"/>
    <w:rsid w:val="003C0465"/>
    <w:rsid w:val="003C099C"/>
    <w:rsid w:val="003C0A43"/>
    <w:rsid w:val="003C0E8A"/>
    <w:rsid w:val="003C1099"/>
    <w:rsid w:val="003C180A"/>
    <w:rsid w:val="003C1D70"/>
    <w:rsid w:val="003C1D92"/>
    <w:rsid w:val="003C2305"/>
    <w:rsid w:val="003C250A"/>
    <w:rsid w:val="003C2AC2"/>
    <w:rsid w:val="003C2BA3"/>
    <w:rsid w:val="003C2DB0"/>
    <w:rsid w:val="003C3050"/>
    <w:rsid w:val="003C30CB"/>
    <w:rsid w:val="003C3324"/>
    <w:rsid w:val="003C34A4"/>
    <w:rsid w:val="003C3874"/>
    <w:rsid w:val="003C3EAF"/>
    <w:rsid w:val="003C3FEA"/>
    <w:rsid w:val="003C4244"/>
    <w:rsid w:val="003C45F9"/>
    <w:rsid w:val="003C4B30"/>
    <w:rsid w:val="003C4BB8"/>
    <w:rsid w:val="003C4CD4"/>
    <w:rsid w:val="003C4F62"/>
    <w:rsid w:val="003C5117"/>
    <w:rsid w:val="003C5787"/>
    <w:rsid w:val="003C5946"/>
    <w:rsid w:val="003C5ADA"/>
    <w:rsid w:val="003C5C1B"/>
    <w:rsid w:val="003C650F"/>
    <w:rsid w:val="003C658D"/>
    <w:rsid w:val="003C6608"/>
    <w:rsid w:val="003C6D75"/>
    <w:rsid w:val="003C75AD"/>
    <w:rsid w:val="003C7771"/>
    <w:rsid w:val="003C7C97"/>
    <w:rsid w:val="003C7DEC"/>
    <w:rsid w:val="003D00D2"/>
    <w:rsid w:val="003D01A8"/>
    <w:rsid w:val="003D0486"/>
    <w:rsid w:val="003D05F0"/>
    <w:rsid w:val="003D063D"/>
    <w:rsid w:val="003D06DB"/>
    <w:rsid w:val="003D0A23"/>
    <w:rsid w:val="003D0DE2"/>
    <w:rsid w:val="003D1038"/>
    <w:rsid w:val="003D12B3"/>
    <w:rsid w:val="003D16F3"/>
    <w:rsid w:val="003D1C45"/>
    <w:rsid w:val="003D1E27"/>
    <w:rsid w:val="003D2433"/>
    <w:rsid w:val="003D2586"/>
    <w:rsid w:val="003D26E5"/>
    <w:rsid w:val="003D27D7"/>
    <w:rsid w:val="003D28DD"/>
    <w:rsid w:val="003D3261"/>
    <w:rsid w:val="003D3309"/>
    <w:rsid w:val="003D3334"/>
    <w:rsid w:val="003D3739"/>
    <w:rsid w:val="003D4194"/>
    <w:rsid w:val="003D4432"/>
    <w:rsid w:val="003D4724"/>
    <w:rsid w:val="003D599D"/>
    <w:rsid w:val="003D5EB8"/>
    <w:rsid w:val="003D65CF"/>
    <w:rsid w:val="003D692E"/>
    <w:rsid w:val="003D6B0B"/>
    <w:rsid w:val="003D6C62"/>
    <w:rsid w:val="003D7157"/>
    <w:rsid w:val="003D7318"/>
    <w:rsid w:val="003D75C0"/>
    <w:rsid w:val="003D7753"/>
    <w:rsid w:val="003D77F7"/>
    <w:rsid w:val="003D7866"/>
    <w:rsid w:val="003D7C20"/>
    <w:rsid w:val="003D7EFD"/>
    <w:rsid w:val="003D7F02"/>
    <w:rsid w:val="003E00EF"/>
    <w:rsid w:val="003E073E"/>
    <w:rsid w:val="003E0C5B"/>
    <w:rsid w:val="003E0D6E"/>
    <w:rsid w:val="003E0DD7"/>
    <w:rsid w:val="003E0E22"/>
    <w:rsid w:val="003E115A"/>
    <w:rsid w:val="003E1701"/>
    <w:rsid w:val="003E2226"/>
    <w:rsid w:val="003E2408"/>
    <w:rsid w:val="003E25AA"/>
    <w:rsid w:val="003E2BBD"/>
    <w:rsid w:val="003E2D81"/>
    <w:rsid w:val="003E301E"/>
    <w:rsid w:val="003E3A4C"/>
    <w:rsid w:val="003E3BD3"/>
    <w:rsid w:val="003E3FF5"/>
    <w:rsid w:val="003E415F"/>
    <w:rsid w:val="003E4311"/>
    <w:rsid w:val="003E43E1"/>
    <w:rsid w:val="003E4504"/>
    <w:rsid w:val="003E478F"/>
    <w:rsid w:val="003E493C"/>
    <w:rsid w:val="003E4A5B"/>
    <w:rsid w:val="003E50BE"/>
    <w:rsid w:val="003E552C"/>
    <w:rsid w:val="003E5626"/>
    <w:rsid w:val="003E5689"/>
    <w:rsid w:val="003E664D"/>
    <w:rsid w:val="003E6720"/>
    <w:rsid w:val="003E6AF1"/>
    <w:rsid w:val="003E6B78"/>
    <w:rsid w:val="003E6C5F"/>
    <w:rsid w:val="003E6D79"/>
    <w:rsid w:val="003E6DF1"/>
    <w:rsid w:val="003E701F"/>
    <w:rsid w:val="003E74AA"/>
    <w:rsid w:val="003E74ED"/>
    <w:rsid w:val="003E7879"/>
    <w:rsid w:val="003F020B"/>
    <w:rsid w:val="003F046A"/>
    <w:rsid w:val="003F10A4"/>
    <w:rsid w:val="003F123A"/>
    <w:rsid w:val="003F12FB"/>
    <w:rsid w:val="003F1E6D"/>
    <w:rsid w:val="003F1F1C"/>
    <w:rsid w:val="003F217D"/>
    <w:rsid w:val="003F2432"/>
    <w:rsid w:val="003F2573"/>
    <w:rsid w:val="003F2710"/>
    <w:rsid w:val="003F280D"/>
    <w:rsid w:val="003F2E35"/>
    <w:rsid w:val="003F2E3D"/>
    <w:rsid w:val="003F39B0"/>
    <w:rsid w:val="003F442B"/>
    <w:rsid w:val="003F4699"/>
    <w:rsid w:val="003F48F0"/>
    <w:rsid w:val="003F4914"/>
    <w:rsid w:val="003F4A23"/>
    <w:rsid w:val="003F4AF2"/>
    <w:rsid w:val="003F50AE"/>
    <w:rsid w:val="003F51BC"/>
    <w:rsid w:val="003F531B"/>
    <w:rsid w:val="003F53D9"/>
    <w:rsid w:val="003F5762"/>
    <w:rsid w:val="003F5D1F"/>
    <w:rsid w:val="003F5DFC"/>
    <w:rsid w:val="003F6302"/>
    <w:rsid w:val="003F643D"/>
    <w:rsid w:val="003F6692"/>
    <w:rsid w:val="003F697A"/>
    <w:rsid w:val="003F6A8C"/>
    <w:rsid w:val="003F6F20"/>
    <w:rsid w:val="003F7184"/>
    <w:rsid w:val="003F7273"/>
    <w:rsid w:val="003F74C7"/>
    <w:rsid w:val="003F765E"/>
    <w:rsid w:val="003F769B"/>
    <w:rsid w:val="003F76D2"/>
    <w:rsid w:val="003F770A"/>
    <w:rsid w:val="003F7BFF"/>
    <w:rsid w:val="004000F7"/>
    <w:rsid w:val="00400278"/>
    <w:rsid w:val="004002CD"/>
    <w:rsid w:val="00400747"/>
    <w:rsid w:val="004007CE"/>
    <w:rsid w:val="00400C94"/>
    <w:rsid w:val="00401022"/>
    <w:rsid w:val="00401237"/>
    <w:rsid w:val="00401539"/>
    <w:rsid w:val="004016F2"/>
    <w:rsid w:val="00401941"/>
    <w:rsid w:val="004019DF"/>
    <w:rsid w:val="00401C0B"/>
    <w:rsid w:val="0040212B"/>
    <w:rsid w:val="004022E2"/>
    <w:rsid w:val="004022EE"/>
    <w:rsid w:val="00402811"/>
    <w:rsid w:val="004028F5"/>
    <w:rsid w:val="00402A6E"/>
    <w:rsid w:val="00402DA7"/>
    <w:rsid w:val="00402E35"/>
    <w:rsid w:val="004038EE"/>
    <w:rsid w:val="00403926"/>
    <w:rsid w:val="00403CED"/>
    <w:rsid w:val="00403D21"/>
    <w:rsid w:val="00403D91"/>
    <w:rsid w:val="004040F3"/>
    <w:rsid w:val="0040434A"/>
    <w:rsid w:val="0040442F"/>
    <w:rsid w:val="004047B5"/>
    <w:rsid w:val="004049AA"/>
    <w:rsid w:val="00404CF0"/>
    <w:rsid w:val="00404F08"/>
    <w:rsid w:val="004051E5"/>
    <w:rsid w:val="00405661"/>
    <w:rsid w:val="00405BB4"/>
    <w:rsid w:val="00405CA0"/>
    <w:rsid w:val="00405E9B"/>
    <w:rsid w:val="004062E7"/>
    <w:rsid w:val="00406539"/>
    <w:rsid w:val="004068FC"/>
    <w:rsid w:val="00406B35"/>
    <w:rsid w:val="00406F91"/>
    <w:rsid w:val="00407145"/>
    <w:rsid w:val="0040722D"/>
    <w:rsid w:val="004075DA"/>
    <w:rsid w:val="00407BBC"/>
    <w:rsid w:val="00407C0D"/>
    <w:rsid w:val="00407FA3"/>
    <w:rsid w:val="00410161"/>
    <w:rsid w:val="0041039E"/>
    <w:rsid w:val="004108DA"/>
    <w:rsid w:val="00410A18"/>
    <w:rsid w:val="0041128F"/>
    <w:rsid w:val="00411838"/>
    <w:rsid w:val="0041193C"/>
    <w:rsid w:val="00411CAD"/>
    <w:rsid w:val="00411EFB"/>
    <w:rsid w:val="00412251"/>
    <w:rsid w:val="00412381"/>
    <w:rsid w:val="004124DF"/>
    <w:rsid w:val="00412546"/>
    <w:rsid w:val="0041289E"/>
    <w:rsid w:val="00412A14"/>
    <w:rsid w:val="00412BAC"/>
    <w:rsid w:val="00412FAA"/>
    <w:rsid w:val="004130C2"/>
    <w:rsid w:val="00413100"/>
    <w:rsid w:val="00413372"/>
    <w:rsid w:val="004133CC"/>
    <w:rsid w:val="004136AF"/>
    <w:rsid w:val="004136BC"/>
    <w:rsid w:val="00413A6E"/>
    <w:rsid w:val="00413FC8"/>
    <w:rsid w:val="0041405B"/>
    <w:rsid w:val="00414433"/>
    <w:rsid w:val="00414C02"/>
    <w:rsid w:val="00414CCF"/>
    <w:rsid w:val="00414DFF"/>
    <w:rsid w:val="00414F04"/>
    <w:rsid w:val="00415391"/>
    <w:rsid w:val="00415409"/>
    <w:rsid w:val="00415680"/>
    <w:rsid w:val="00415790"/>
    <w:rsid w:val="004157C5"/>
    <w:rsid w:val="004158D6"/>
    <w:rsid w:val="00415935"/>
    <w:rsid w:val="00415AF3"/>
    <w:rsid w:val="004160CE"/>
    <w:rsid w:val="004160E1"/>
    <w:rsid w:val="004162D8"/>
    <w:rsid w:val="004162EA"/>
    <w:rsid w:val="00416428"/>
    <w:rsid w:val="00416C43"/>
    <w:rsid w:val="00417361"/>
    <w:rsid w:val="00417630"/>
    <w:rsid w:val="004176B1"/>
    <w:rsid w:val="0041798B"/>
    <w:rsid w:val="00417A0A"/>
    <w:rsid w:val="00417AD0"/>
    <w:rsid w:val="00417F50"/>
    <w:rsid w:val="00417FEA"/>
    <w:rsid w:val="00420139"/>
    <w:rsid w:val="0042021E"/>
    <w:rsid w:val="00420332"/>
    <w:rsid w:val="004204F9"/>
    <w:rsid w:val="004205E5"/>
    <w:rsid w:val="004209F2"/>
    <w:rsid w:val="00420A2F"/>
    <w:rsid w:val="00420AD5"/>
    <w:rsid w:val="00420C56"/>
    <w:rsid w:val="00420D5D"/>
    <w:rsid w:val="00420E35"/>
    <w:rsid w:val="00420F8A"/>
    <w:rsid w:val="0042106D"/>
    <w:rsid w:val="00421728"/>
    <w:rsid w:val="00421970"/>
    <w:rsid w:val="004219C5"/>
    <w:rsid w:val="0042234A"/>
    <w:rsid w:val="0042259B"/>
    <w:rsid w:val="004226AF"/>
    <w:rsid w:val="00422883"/>
    <w:rsid w:val="004229CD"/>
    <w:rsid w:val="00422DFA"/>
    <w:rsid w:val="00422F75"/>
    <w:rsid w:val="004231A4"/>
    <w:rsid w:val="00423309"/>
    <w:rsid w:val="00423667"/>
    <w:rsid w:val="00423AD5"/>
    <w:rsid w:val="00423C3C"/>
    <w:rsid w:val="00423D78"/>
    <w:rsid w:val="00423F33"/>
    <w:rsid w:val="0042421C"/>
    <w:rsid w:val="00424759"/>
    <w:rsid w:val="004247CB"/>
    <w:rsid w:val="004247EF"/>
    <w:rsid w:val="00425094"/>
    <w:rsid w:val="00425132"/>
    <w:rsid w:val="00425138"/>
    <w:rsid w:val="00425480"/>
    <w:rsid w:val="00425542"/>
    <w:rsid w:val="004256FB"/>
    <w:rsid w:val="004258B2"/>
    <w:rsid w:val="004258D7"/>
    <w:rsid w:val="004259E6"/>
    <w:rsid w:val="00425E7A"/>
    <w:rsid w:val="0042612E"/>
    <w:rsid w:val="00426767"/>
    <w:rsid w:val="004268B1"/>
    <w:rsid w:val="00426E7E"/>
    <w:rsid w:val="00427126"/>
    <w:rsid w:val="00427529"/>
    <w:rsid w:val="004277A0"/>
    <w:rsid w:val="00427BA1"/>
    <w:rsid w:val="00427BE1"/>
    <w:rsid w:val="00427C8A"/>
    <w:rsid w:val="0043028F"/>
    <w:rsid w:val="004304FD"/>
    <w:rsid w:val="00430575"/>
    <w:rsid w:val="00430602"/>
    <w:rsid w:val="0043077B"/>
    <w:rsid w:val="004307CF"/>
    <w:rsid w:val="004307E6"/>
    <w:rsid w:val="00430978"/>
    <w:rsid w:val="00430D3C"/>
    <w:rsid w:val="004311A2"/>
    <w:rsid w:val="00431316"/>
    <w:rsid w:val="00431551"/>
    <w:rsid w:val="004315CC"/>
    <w:rsid w:val="004316D0"/>
    <w:rsid w:val="004317BB"/>
    <w:rsid w:val="00431B1B"/>
    <w:rsid w:val="00431CBA"/>
    <w:rsid w:val="00431EB9"/>
    <w:rsid w:val="00431ED5"/>
    <w:rsid w:val="00432581"/>
    <w:rsid w:val="00432756"/>
    <w:rsid w:val="004328D5"/>
    <w:rsid w:val="00432BA5"/>
    <w:rsid w:val="00433388"/>
    <w:rsid w:val="00433470"/>
    <w:rsid w:val="00433E0A"/>
    <w:rsid w:val="00433FB6"/>
    <w:rsid w:val="00434DD5"/>
    <w:rsid w:val="00435037"/>
    <w:rsid w:val="004356A6"/>
    <w:rsid w:val="00435706"/>
    <w:rsid w:val="00435C81"/>
    <w:rsid w:val="0043606C"/>
    <w:rsid w:val="004367F9"/>
    <w:rsid w:val="00436800"/>
    <w:rsid w:val="00436B0B"/>
    <w:rsid w:val="00436BFF"/>
    <w:rsid w:val="00436C5E"/>
    <w:rsid w:val="0043709E"/>
    <w:rsid w:val="004373D4"/>
    <w:rsid w:val="00437488"/>
    <w:rsid w:val="004374AF"/>
    <w:rsid w:val="00437559"/>
    <w:rsid w:val="004376C7"/>
    <w:rsid w:val="0043785D"/>
    <w:rsid w:val="00437BD2"/>
    <w:rsid w:val="00437D86"/>
    <w:rsid w:val="00437EF5"/>
    <w:rsid w:val="004400BD"/>
    <w:rsid w:val="00440476"/>
    <w:rsid w:val="004405AC"/>
    <w:rsid w:val="0044088F"/>
    <w:rsid w:val="004408E3"/>
    <w:rsid w:val="00440C3D"/>
    <w:rsid w:val="00440C6F"/>
    <w:rsid w:val="00441662"/>
    <w:rsid w:val="004418EB"/>
    <w:rsid w:val="00441CC5"/>
    <w:rsid w:val="00441E7C"/>
    <w:rsid w:val="00441F3D"/>
    <w:rsid w:val="00442336"/>
    <w:rsid w:val="00442499"/>
    <w:rsid w:val="004424E5"/>
    <w:rsid w:val="004425A7"/>
    <w:rsid w:val="004425FC"/>
    <w:rsid w:val="00442671"/>
    <w:rsid w:val="004427D8"/>
    <w:rsid w:val="00442A65"/>
    <w:rsid w:val="00442E14"/>
    <w:rsid w:val="00443074"/>
    <w:rsid w:val="00443613"/>
    <w:rsid w:val="00443A97"/>
    <w:rsid w:val="00443B2A"/>
    <w:rsid w:val="00443BF5"/>
    <w:rsid w:val="00444336"/>
    <w:rsid w:val="0044434B"/>
    <w:rsid w:val="00444735"/>
    <w:rsid w:val="00444834"/>
    <w:rsid w:val="004449B1"/>
    <w:rsid w:val="00444CE7"/>
    <w:rsid w:val="00444CED"/>
    <w:rsid w:val="004451F0"/>
    <w:rsid w:val="00445267"/>
    <w:rsid w:val="004455D7"/>
    <w:rsid w:val="00445682"/>
    <w:rsid w:val="00445AFC"/>
    <w:rsid w:val="00445F67"/>
    <w:rsid w:val="00446128"/>
    <w:rsid w:val="00446301"/>
    <w:rsid w:val="0044637A"/>
    <w:rsid w:val="004463BE"/>
    <w:rsid w:val="0044655A"/>
    <w:rsid w:val="00446766"/>
    <w:rsid w:val="004467D4"/>
    <w:rsid w:val="00446885"/>
    <w:rsid w:val="00446AFB"/>
    <w:rsid w:val="00446BA5"/>
    <w:rsid w:val="00446EE0"/>
    <w:rsid w:val="0044730C"/>
    <w:rsid w:val="00447494"/>
    <w:rsid w:val="00447578"/>
    <w:rsid w:val="0044759B"/>
    <w:rsid w:val="00447615"/>
    <w:rsid w:val="00447616"/>
    <w:rsid w:val="00447C0F"/>
    <w:rsid w:val="00447C31"/>
    <w:rsid w:val="00447D49"/>
    <w:rsid w:val="004504EF"/>
    <w:rsid w:val="00450912"/>
    <w:rsid w:val="00450A5A"/>
    <w:rsid w:val="00450D19"/>
    <w:rsid w:val="00451051"/>
    <w:rsid w:val="00451402"/>
    <w:rsid w:val="00451592"/>
    <w:rsid w:val="00451A4E"/>
    <w:rsid w:val="004525D3"/>
    <w:rsid w:val="00452635"/>
    <w:rsid w:val="0045275D"/>
    <w:rsid w:val="0045298C"/>
    <w:rsid w:val="00452A9B"/>
    <w:rsid w:val="00452EE8"/>
    <w:rsid w:val="00452F59"/>
    <w:rsid w:val="004534A6"/>
    <w:rsid w:val="00453587"/>
    <w:rsid w:val="00453A53"/>
    <w:rsid w:val="00453B48"/>
    <w:rsid w:val="00453C45"/>
    <w:rsid w:val="00453D2A"/>
    <w:rsid w:val="00453D92"/>
    <w:rsid w:val="00453FAC"/>
    <w:rsid w:val="0045404B"/>
    <w:rsid w:val="00454158"/>
    <w:rsid w:val="00454A80"/>
    <w:rsid w:val="00454C38"/>
    <w:rsid w:val="00454E7C"/>
    <w:rsid w:val="00454EB9"/>
    <w:rsid w:val="00455085"/>
    <w:rsid w:val="004556E3"/>
    <w:rsid w:val="00455707"/>
    <w:rsid w:val="004557AD"/>
    <w:rsid w:val="0045592D"/>
    <w:rsid w:val="00455BA7"/>
    <w:rsid w:val="00455D33"/>
    <w:rsid w:val="00456748"/>
    <w:rsid w:val="00456929"/>
    <w:rsid w:val="00456963"/>
    <w:rsid w:val="00456992"/>
    <w:rsid w:val="00456BAA"/>
    <w:rsid w:val="00456E3A"/>
    <w:rsid w:val="00456F4E"/>
    <w:rsid w:val="004572E6"/>
    <w:rsid w:val="004572EE"/>
    <w:rsid w:val="00457556"/>
    <w:rsid w:val="00457A7D"/>
    <w:rsid w:val="00457BAE"/>
    <w:rsid w:val="004600E3"/>
    <w:rsid w:val="00460159"/>
    <w:rsid w:val="00460259"/>
    <w:rsid w:val="004602ED"/>
    <w:rsid w:val="00460460"/>
    <w:rsid w:val="00460694"/>
    <w:rsid w:val="00460E9F"/>
    <w:rsid w:val="00460EDB"/>
    <w:rsid w:val="0046164F"/>
    <w:rsid w:val="00461785"/>
    <w:rsid w:val="004618AC"/>
    <w:rsid w:val="00461A04"/>
    <w:rsid w:val="004621B3"/>
    <w:rsid w:val="004623BC"/>
    <w:rsid w:val="00462504"/>
    <w:rsid w:val="0046250E"/>
    <w:rsid w:val="004625E6"/>
    <w:rsid w:val="004625F8"/>
    <w:rsid w:val="0046267E"/>
    <w:rsid w:val="00462816"/>
    <w:rsid w:val="00462943"/>
    <w:rsid w:val="00462CB0"/>
    <w:rsid w:val="004630D2"/>
    <w:rsid w:val="00463211"/>
    <w:rsid w:val="004635D1"/>
    <w:rsid w:val="004637C2"/>
    <w:rsid w:val="00463C5F"/>
    <w:rsid w:val="0046455B"/>
    <w:rsid w:val="00464777"/>
    <w:rsid w:val="00464ABA"/>
    <w:rsid w:val="00464B5A"/>
    <w:rsid w:val="00464CBD"/>
    <w:rsid w:val="00464CDF"/>
    <w:rsid w:val="00465255"/>
    <w:rsid w:val="00465324"/>
    <w:rsid w:val="004654AC"/>
    <w:rsid w:val="0046554A"/>
    <w:rsid w:val="00465E88"/>
    <w:rsid w:val="004662C4"/>
    <w:rsid w:val="004664D5"/>
    <w:rsid w:val="004665BC"/>
    <w:rsid w:val="00466A16"/>
    <w:rsid w:val="00466A94"/>
    <w:rsid w:val="00466B68"/>
    <w:rsid w:val="00467222"/>
    <w:rsid w:val="0046724B"/>
    <w:rsid w:val="0046724C"/>
    <w:rsid w:val="004676AB"/>
    <w:rsid w:val="0046779C"/>
    <w:rsid w:val="00467896"/>
    <w:rsid w:val="004700E2"/>
    <w:rsid w:val="00470416"/>
    <w:rsid w:val="0047041A"/>
    <w:rsid w:val="00470665"/>
    <w:rsid w:val="00471273"/>
    <w:rsid w:val="004712C4"/>
    <w:rsid w:val="004714BA"/>
    <w:rsid w:val="00471701"/>
    <w:rsid w:val="00471B09"/>
    <w:rsid w:val="00471BD8"/>
    <w:rsid w:val="00472ADA"/>
    <w:rsid w:val="00473641"/>
    <w:rsid w:val="0047393F"/>
    <w:rsid w:val="00473DA1"/>
    <w:rsid w:val="00473E3F"/>
    <w:rsid w:val="0047409E"/>
    <w:rsid w:val="0047440E"/>
    <w:rsid w:val="0047495E"/>
    <w:rsid w:val="00474A05"/>
    <w:rsid w:val="00474AC7"/>
    <w:rsid w:val="00474EEC"/>
    <w:rsid w:val="0047502A"/>
    <w:rsid w:val="0047564F"/>
    <w:rsid w:val="0047568D"/>
    <w:rsid w:val="004758FC"/>
    <w:rsid w:val="00475956"/>
    <w:rsid w:val="00475ADA"/>
    <w:rsid w:val="00475C93"/>
    <w:rsid w:val="00475F69"/>
    <w:rsid w:val="00475FD0"/>
    <w:rsid w:val="00476057"/>
    <w:rsid w:val="00476160"/>
    <w:rsid w:val="00476529"/>
    <w:rsid w:val="00476627"/>
    <w:rsid w:val="004768C5"/>
    <w:rsid w:val="00476970"/>
    <w:rsid w:val="00476A64"/>
    <w:rsid w:val="00476BD6"/>
    <w:rsid w:val="00476C7E"/>
    <w:rsid w:val="00476F52"/>
    <w:rsid w:val="004774BC"/>
    <w:rsid w:val="00477563"/>
    <w:rsid w:val="0047783D"/>
    <w:rsid w:val="0047796F"/>
    <w:rsid w:val="00477A33"/>
    <w:rsid w:val="00477B8F"/>
    <w:rsid w:val="00477C67"/>
    <w:rsid w:val="0048001F"/>
    <w:rsid w:val="00480415"/>
    <w:rsid w:val="00480935"/>
    <w:rsid w:val="00480A8B"/>
    <w:rsid w:val="00480BEF"/>
    <w:rsid w:val="00480C22"/>
    <w:rsid w:val="00480D7E"/>
    <w:rsid w:val="00480F42"/>
    <w:rsid w:val="004814A2"/>
    <w:rsid w:val="004816A5"/>
    <w:rsid w:val="0048170B"/>
    <w:rsid w:val="004818C9"/>
    <w:rsid w:val="00481DB2"/>
    <w:rsid w:val="00481F80"/>
    <w:rsid w:val="004823C7"/>
    <w:rsid w:val="0048251D"/>
    <w:rsid w:val="0048265B"/>
    <w:rsid w:val="0048285B"/>
    <w:rsid w:val="0048286E"/>
    <w:rsid w:val="00482AD7"/>
    <w:rsid w:val="00482C2E"/>
    <w:rsid w:val="00482C47"/>
    <w:rsid w:val="00482DC4"/>
    <w:rsid w:val="00482F8B"/>
    <w:rsid w:val="0048304A"/>
    <w:rsid w:val="004830A8"/>
    <w:rsid w:val="004830E1"/>
    <w:rsid w:val="0048346A"/>
    <w:rsid w:val="0048358E"/>
    <w:rsid w:val="00483940"/>
    <w:rsid w:val="00484186"/>
    <w:rsid w:val="0048473F"/>
    <w:rsid w:val="00484821"/>
    <w:rsid w:val="00484822"/>
    <w:rsid w:val="00484939"/>
    <w:rsid w:val="00484D8B"/>
    <w:rsid w:val="004850A1"/>
    <w:rsid w:val="00485318"/>
    <w:rsid w:val="004853B8"/>
    <w:rsid w:val="00485447"/>
    <w:rsid w:val="004856AE"/>
    <w:rsid w:val="00485D57"/>
    <w:rsid w:val="004860F7"/>
    <w:rsid w:val="00486309"/>
    <w:rsid w:val="00486657"/>
    <w:rsid w:val="004866CF"/>
    <w:rsid w:val="00486A2B"/>
    <w:rsid w:val="00486FF1"/>
    <w:rsid w:val="0048732E"/>
    <w:rsid w:val="0048734C"/>
    <w:rsid w:val="00487724"/>
    <w:rsid w:val="00487937"/>
    <w:rsid w:val="00487B07"/>
    <w:rsid w:val="00487BF7"/>
    <w:rsid w:val="00487F93"/>
    <w:rsid w:val="00490385"/>
    <w:rsid w:val="00490E86"/>
    <w:rsid w:val="00490EBC"/>
    <w:rsid w:val="0049185D"/>
    <w:rsid w:val="00491963"/>
    <w:rsid w:val="00491ACA"/>
    <w:rsid w:val="00491C1A"/>
    <w:rsid w:val="00491CCD"/>
    <w:rsid w:val="00491D8D"/>
    <w:rsid w:val="00491DE3"/>
    <w:rsid w:val="00492A9F"/>
    <w:rsid w:val="00492ABC"/>
    <w:rsid w:val="00492C63"/>
    <w:rsid w:val="00492F37"/>
    <w:rsid w:val="0049302E"/>
    <w:rsid w:val="004931D6"/>
    <w:rsid w:val="0049320C"/>
    <w:rsid w:val="0049329E"/>
    <w:rsid w:val="0049338B"/>
    <w:rsid w:val="00493555"/>
    <w:rsid w:val="00493E03"/>
    <w:rsid w:val="00493F6C"/>
    <w:rsid w:val="00494237"/>
    <w:rsid w:val="00494397"/>
    <w:rsid w:val="004948EC"/>
    <w:rsid w:val="00494E08"/>
    <w:rsid w:val="00494F6E"/>
    <w:rsid w:val="00495397"/>
    <w:rsid w:val="00495463"/>
    <w:rsid w:val="004955D6"/>
    <w:rsid w:val="0049576A"/>
    <w:rsid w:val="00495865"/>
    <w:rsid w:val="00495D4E"/>
    <w:rsid w:val="00496783"/>
    <w:rsid w:val="00496857"/>
    <w:rsid w:val="00496DBE"/>
    <w:rsid w:val="004972C6"/>
    <w:rsid w:val="0049745B"/>
    <w:rsid w:val="00497502"/>
    <w:rsid w:val="00497699"/>
    <w:rsid w:val="00497E96"/>
    <w:rsid w:val="004A0409"/>
    <w:rsid w:val="004A096C"/>
    <w:rsid w:val="004A09E0"/>
    <w:rsid w:val="004A0CD7"/>
    <w:rsid w:val="004A128B"/>
    <w:rsid w:val="004A134E"/>
    <w:rsid w:val="004A14ED"/>
    <w:rsid w:val="004A1501"/>
    <w:rsid w:val="004A178C"/>
    <w:rsid w:val="004A1A81"/>
    <w:rsid w:val="004A1AFC"/>
    <w:rsid w:val="004A1F64"/>
    <w:rsid w:val="004A2100"/>
    <w:rsid w:val="004A24BE"/>
    <w:rsid w:val="004A250B"/>
    <w:rsid w:val="004A257E"/>
    <w:rsid w:val="004A2A5E"/>
    <w:rsid w:val="004A2A80"/>
    <w:rsid w:val="004A2ED7"/>
    <w:rsid w:val="004A310C"/>
    <w:rsid w:val="004A337D"/>
    <w:rsid w:val="004A3CA4"/>
    <w:rsid w:val="004A3DB2"/>
    <w:rsid w:val="004A3E51"/>
    <w:rsid w:val="004A40FE"/>
    <w:rsid w:val="004A462C"/>
    <w:rsid w:val="004A4665"/>
    <w:rsid w:val="004A472E"/>
    <w:rsid w:val="004A4F41"/>
    <w:rsid w:val="004A5100"/>
    <w:rsid w:val="004A5157"/>
    <w:rsid w:val="004A5234"/>
    <w:rsid w:val="004A53E3"/>
    <w:rsid w:val="004A54BF"/>
    <w:rsid w:val="004A5994"/>
    <w:rsid w:val="004A5CCD"/>
    <w:rsid w:val="004A5D57"/>
    <w:rsid w:val="004A5D9D"/>
    <w:rsid w:val="004A627F"/>
    <w:rsid w:val="004A6500"/>
    <w:rsid w:val="004A651D"/>
    <w:rsid w:val="004A6656"/>
    <w:rsid w:val="004A6C0D"/>
    <w:rsid w:val="004A6F52"/>
    <w:rsid w:val="004A6FFF"/>
    <w:rsid w:val="004A783D"/>
    <w:rsid w:val="004A788F"/>
    <w:rsid w:val="004A7DE4"/>
    <w:rsid w:val="004A7E44"/>
    <w:rsid w:val="004B00D2"/>
    <w:rsid w:val="004B030C"/>
    <w:rsid w:val="004B0332"/>
    <w:rsid w:val="004B0575"/>
    <w:rsid w:val="004B05E0"/>
    <w:rsid w:val="004B0AD7"/>
    <w:rsid w:val="004B0D0A"/>
    <w:rsid w:val="004B0DEF"/>
    <w:rsid w:val="004B125C"/>
    <w:rsid w:val="004B1418"/>
    <w:rsid w:val="004B1465"/>
    <w:rsid w:val="004B154A"/>
    <w:rsid w:val="004B1574"/>
    <w:rsid w:val="004B1A3F"/>
    <w:rsid w:val="004B1B24"/>
    <w:rsid w:val="004B1F57"/>
    <w:rsid w:val="004B203D"/>
    <w:rsid w:val="004B22E1"/>
    <w:rsid w:val="004B2410"/>
    <w:rsid w:val="004B242D"/>
    <w:rsid w:val="004B25D5"/>
    <w:rsid w:val="004B25FB"/>
    <w:rsid w:val="004B26CD"/>
    <w:rsid w:val="004B2AC8"/>
    <w:rsid w:val="004B2B57"/>
    <w:rsid w:val="004B2CF6"/>
    <w:rsid w:val="004B2D2B"/>
    <w:rsid w:val="004B2E1C"/>
    <w:rsid w:val="004B3173"/>
    <w:rsid w:val="004B3372"/>
    <w:rsid w:val="004B3A46"/>
    <w:rsid w:val="004B3A55"/>
    <w:rsid w:val="004B3C27"/>
    <w:rsid w:val="004B3D1D"/>
    <w:rsid w:val="004B403A"/>
    <w:rsid w:val="004B4115"/>
    <w:rsid w:val="004B4190"/>
    <w:rsid w:val="004B4336"/>
    <w:rsid w:val="004B49A1"/>
    <w:rsid w:val="004B4C3F"/>
    <w:rsid w:val="004B5165"/>
    <w:rsid w:val="004B5199"/>
    <w:rsid w:val="004B57A8"/>
    <w:rsid w:val="004B5B36"/>
    <w:rsid w:val="004B5C9B"/>
    <w:rsid w:val="004B6155"/>
    <w:rsid w:val="004B62BF"/>
    <w:rsid w:val="004B652E"/>
    <w:rsid w:val="004B7054"/>
    <w:rsid w:val="004B761B"/>
    <w:rsid w:val="004B7858"/>
    <w:rsid w:val="004B787F"/>
    <w:rsid w:val="004B789E"/>
    <w:rsid w:val="004B78D8"/>
    <w:rsid w:val="004B7A2C"/>
    <w:rsid w:val="004C0245"/>
    <w:rsid w:val="004C0298"/>
    <w:rsid w:val="004C02C9"/>
    <w:rsid w:val="004C038C"/>
    <w:rsid w:val="004C03D7"/>
    <w:rsid w:val="004C05CE"/>
    <w:rsid w:val="004C0B68"/>
    <w:rsid w:val="004C0C78"/>
    <w:rsid w:val="004C113C"/>
    <w:rsid w:val="004C13A1"/>
    <w:rsid w:val="004C16FA"/>
    <w:rsid w:val="004C177B"/>
    <w:rsid w:val="004C27FC"/>
    <w:rsid w:val="004C2800"/>
    <w:rsid w:val="004C30FB"/>
    <w:rsid w:val="004C3151"/>
    <w:rsid w:val="004C3152"/>
    <w:rsid w:val="004C31F7"/>
    <w:rsid w:val="004C377D"/>
    <w:rsid w:val="004C39C6"/>
    <w:rsid w:val="004C3A7C"/>
    <w:rsid w:val="004C3F61"/>
    <w:rsid w:val="004C404D"/>
    <w:rsid w:val="004C45C5"/>
    <w:rsid w:val="004C4707"/>
    <w:rsid w:val="004C47F3"/>
    <w:rsid w:val="004C488A"/>
    <w:rsid w:val="004C4C49"/>
    <w:rsid w:val="004C4E73"/>
    <w:rsid w:val="004C5207"/>
    <w:rsid w:val="004C541A"/>
    <w:rsid w:val="004C5476"/>
    <w:rsid w:val="004C55FB"/>
    <w:rsid w:val="004C5AA7"/>
    <w:rsid w:val="004C5F2A"/>
    <w:rsid w:val="004C601E"/>
    <w:rsid w:val="004C61C7"/>
    <w:rsid w:val="004C6570"/>
    <w:rsid w:val="004C667A"/>
    <w:rsid w:val="004C6F06"/>
    <w:rsid w:val="004C7189"/>
    <w:rsid w:val="004C73B7"/>
    <w:rsid w:val="004C73EA"/>
    <w:rsid w:val="004C7CE2"/>
    <w:rsid w:val="004C7DCA"/>
    <w:rsid w:val="004D0A35"/>
    <w:rsid w:val="004D0C16"/>
    <w:rsid w:val="004D0C93"/>
    <w:rsid w:val="004D0DC7"/>
    <w:rsid w:val="004D0E64"/>
    <w:rsid w:val="004D1010"/>
    <w:rsid w:val="004D101D"/>
    <w:rsid w:val="004D125A"/>
    <w:rsid w:val="004D14FA"/>
    <w:rsid w:val="004D1664"/>
    <w:rsid w:val="004D1A14"/>
    <w:rsid w:val="004D1C65"/>
    <w:rsid w:val="004D1E1D"/>
    <w:rsid w:val="004D2357"/>
    <w:rsid w:val="004D250A"/>
    <w:rsid w:val="004D275B"/>
    <w:rsid w:val="004D28B4"/>
    <w:rsid w:val="004D2981"/>
    <w:rsid w:val="004D2AB8"/>
    <w:rsid w:val="004D2DB6"/>
    <w:rsid w:val="004D313A"/>
    <w:rsid w:val="004D3938"/>
    <w:rsid w:val="004D398C"/>
    <w:rsid w:val="004D3B70"/>
    <w:rsid w:val="004D4288"/>
    <w:rsid w:val="004D43C6"/>
    <w:rsid w:val="004D445C"/>
    <w:rsid w:val="004D48F9"/>
    <w:rsid w:val="004D4A5C"/>
    <w:rsid w:val="004D53ED"/>
    <w:rsid w:val="004D5A8F"/>
    <w:rsid w:val="004D5B46"/>
    <w:rsid w:val="004D5B7A"/>
    <w:rsid w:val="004D5BAD"/>
    <w:rsid w:val="004D5E29"/>
    <w:rsid w:val="004D5E76"/>
    <w:rsid w:val="004D6065"/>
    <w:rsid w:val="004D6159"/>
    <w:rsid w:val="004D642B"/>
    <w:rsid w:val="004D683D"/>
    <w:rsid w:val="004D69F0"/>
    <w:rsid w:val="004D6CE0"/>
    <w:rsid w:val="004D6D00"/>
    <w:rsid w:val="004D6EBC"/>
    <w:rsid w:val="004D7446"/>
    <w:rsid w:val="004D746C"/>
    <w:rsid w:val="004D7759"/>
    <w:rsid w:val="004D784A"/>
    <w:rsid w:val="004D788B"/>
    <w:rsid w:val="004D7BE5"/>
    <w:rsid w:val="004D7C44"/>
    <w:rsid w:val="004D7C4B"/>
    <w:rsid w:val="004D7E86"/>
    <w:rsid w:val="004E047D"/>
    <w:rsid w:val="004E1508"/>
    <w:rsid w:val="004E174D"/>
    <w:rsid w:val="004E1F75"/>
    <w:rsid w:val="004E2079"/>
    <w:rsid w:val="004E2122"/>
    <w:rsid w:val="004E23F4"/>
    <w:rsid w:val="004E2522"/>
    <w:rsid w:val="004E288D"/>
    <w:rsid w:val="004E29FC"/>
    <w:rsid w:val="004E2D63"/>
    <w:rsid w:val="004E2E94"/>
    <w:rsid w:val="004E309B"/>
    <w:rsid w:val="004E3106"/>
    <w:rsid w:val="004E32DE"/>
    <w:rsid w:val="004E3598"/>
    <w:rsid w:val="004E3825"/>
    <w:rsid w:val="004E392C"/>
    <w:rsid w:val="004E3A4A"/>
    <w:rsid w:val="004E3C68"/>
    <w:rsid w:val="004E3F56"/>
    <w:rsid w:val="004E4275"/>
    <w:rsid w:val="004E4419"/>
    <w:rsid w:val="004E44D7"/>
    <w:rsid w:val="004E4567"/>
    <w:rsid w:val="004E47BB"/>
    <w:rsid w:val="004E4B61"/>
    <w:rsid w:val="004E4CC7"/>
    <w:rsid w:val="004E58BB"/>
    <w:rsid w:val="004E5B56"/>
    <w:rsid w:val="004E5DDA"/>
    <w:rsid w:val="004E60BC"/>
    <w:rsid w:val="004E6935"/>
    <w:rsid w:val="004E69D4"/>
    <w:rsid w:val="004E6A4B"/>
    <w:rsid w:val="004E6BCB"/>
    <w:rsid w:val="004E6F2F"/>
    <w:rsid w:val="004E72CF"/>
    <w:rsid w:val="004E77CD"/>
    <w:rsid w:val="004E7B20"/>
    <w:rsid w:val="004E7BD6"/>
    <w:rsid w:val="004E7C51"/>
    <w:rsid w:val="004E7DE1"/>
    <w:rsid w:val="004F0ED3"/>
    <w:rsid w:val="004F0F12"/>
    <w:rsid w:val="004F1481"/>
    <w:rsid w:val="004F1584"/>
    <w:rsid w:val="004F1885"/>
    <w:rsid w:val="004F1959"/>
    <w:rsid w:val="004F21CE"/>
    <w:rsid w:val="004F234C"/>
    <w:rsid w:val="004F2532"/>
    <w:rsid w:val="004F2949"/>
    <w:rsid w:val="004F295D"/>
    <w:rsid w:val="004F29CB"/>
    <w:rsid w:val="004F2A56"/>
    <w:rsid w:val="004F2BB5"/>
    <w:rsid w:val="004F2C52"/>
    <w:rsid w:val="004F2C76"/>
    <w:rsid w:val="004F30C5"/>
    <w:rsid w:val="004F3251"/>
    <w:rsid w:val="004F333C"/>
    <w:rsid w:val="004F39B6"/>
    <w:rsid w:val="004F3A27"/>
    <w:rsid w:val="004F3CD8"/>
    <w:rsid w:val="004F439A"/>
    <w:rsid w:val="004F44D0"/>
    <w:rsid w:val="004F45C6"/>
    <w:rsid w:val="004F460A"/>
    <w:rsid w:val="004F4681"/>
    <w:rsid w:val="004F46A6"/>
    <w:rsid w:val="004F4781"/>
    <w:rsid w:val="004F48BC"/>
    <w:rsid w:val="004F5540"/>
    <w:rsid w:val="004F5555"/>
    <w:rsid w:val="004F5685"/>
    <w:rsid w:val="004F581D"/>
    <w:rsid w:val="004F5AB4"/>
    <w:rsid w:val="004F6059"/>
    <w:rsid w:val="004F6292"/>
    <w:rsid w:val="004F67F2"/>
    <w:rsid w:val="004F6A6F"/>
    <w:rsid w:val="004F6CF0"/>
    <w:rsid w:val="004F6D64"/>
    <w:rsid w:val="004F70C0"/>
    <w:rsid w:val="004F71B2"/>
    <w:rsid w:val="004F732D"/>
    <w:rsid w:val="004F7955"/>
    <w:rsid w:val="004F799D"/>
    <w:rsid w:val="004F79F4"/>
    <w:rsid w:val="004F7B9C"/>
    <w:rsid w:val="004F7C6D"/>
    <w:rsid w:val="00500067"/>
    <w:rsid w:val="0050016A"/>
    <w:rsid w:val="005004D9"/>
    <w:rsid w:val="00500506"/>
    <w:rsid w:val="005005EA"/>
    <w:rsid w:val="00500632"/>
    <w:rsid w:val="00500858"/>
    <w:rsid w:val="005008ED"/>
    <w:rsid w:val="00500CD6"/>
    <w:rsid w:val="00500EC2"/>
    <w:rsid w:val="00500F6B"/>
    <w:rsid w:val="00500FCB"/>
    <w:rsid w:val="00501101"/>
    <w:rsid w:val="0050165A"/>
    <w:rsid w:val="005018E2"/>
    <w:rsid w:val="005018E5"/>
    <w:rsid w:val="00501E22"/>
    <w:rsid w:val="005024A3"/>
    <w:rsid w:val="00502883"/>
    <w:rsid w:val="005029FE"/>
    <w:rsid w:val="00503041"/>
    <w:rsid w:val="00503216"/>
    <w:rsid w:val="005037F8"/>
    <w:rsid w:val="00503800"/>
    <w:rsid w:val="00503AC9"/>
    <w:rsid w:val="005046A7"/>
    <w:rsid w:val="00504806"/>
    <w:rsid w:val="00504832"/>
    <w:rsid w:val="005049C3"/>
    <w:rsid w:val="00504F4C"/>
    <w:rsid w:val="00504F7E"/>
    <w:rsid w:val="0050511A"/>
    <w:rsid w:val="0050514C"/>
    <w:rsid w:val="005055A7"/>
    <w:rsid w:val="005056BF"/>
    <w:rsid w:val="00505875"/>
    <w:rsid w:val="00505CBB"/>
    <w:rsid w:val="00505F52"/>
    <w:rsid w:val="00505FE4"/>
    <w:rsid w:val="00506574"/>
    <w:rsid w:val="005065BA"/>
    <w:rsid w:val="005068F0"/>
    <w:rsid w:val="00506DA3"/>
    <w:rsid w:val="0050724E"/>
    <w:rsid w:val="0050731D"/>
    <w:rsid w:val="00507860"/>
    <w:rsid w:val="00507B76"/>
    <w:rsid w:val="00507C02"/>
    <w:rsid w:val="00507F78"/>
    <w:rsid w:val="005100AD"/>
    <w:rsid w:val="005101ED"/>
    <w:rsid w:val="00510349"/>
    <w:rsid w:val="005103B9"/>
    <w:rsid w:val="005108E6"/>
    <w:rsid w:val="00510A04"/>
    <w:rsid w:val="00510A7C"/>
    <w:rsid w:val="00511084"/>
    <w:rsid w:val="00511360"/>
    <w:rsid w:val="00511A32"/>
    <w:rsid w:val="00511CB4"/>
    <w:rsid w:val="00511E8E"/>
    <w:rsid w:val="00511EEA"/>
    <w:rsid w:val="00512023"/>
    <w:rsid w:val="005121FA"/>
    <w:rsid w:val="00512565"/>
    <w:rsid w:val="00512685"/>
    <w:rsid w:val="00512724"/>
    <w:rsid w:val="00512755"/>
    <w:rsid w:val="00512E23"/>
    <w:rsid w:val="00512E4A"/>
    <w:rsid w:val="005130D0"/>
    <w:rsid w:val="0051312C"/>
    <w:rsid w:val="00513183"/>
    <w:rsid w:val="00513674"/>
    <w:rsid w:val="005138D1"/>
    <w:rsid w:val="00513C1A"/>
    <w:rsid w:val="00513C62"/>
    <w:rsid w:val="00513D95"/>
    <w:rsid w:val="00514208"/>
    <w:rsid w:val="005142A3"/>
    <w:rsid w:val="00514B2B"/>
    <w:rsid w:val="005151AA"/>
    <w:rsid w:val="005158C1"/>
    <w:rsid w:val="00515FE9"/>
    <w:rsid w:val="0051606D"/>
    <w:rsid w:val="005160E9"/>
    <w:rsid w:val="005166C9"/>
    <w:rsid w:val="0051697C"/>
    <w:rsid w:val="005169B3"/>
    <w:rsid w:val="00516CF8"/>
    <w:rsid w:val="0051715F"/>
    <w:rsid w:val="0051733F"/>
    <w:rsid w:val="00517629"/>
    <w:rsid w:val="005176C2"/>
    <w:rsid w:val="0051771A"/>
    <w:rsid w:val="0051778A"/>
    <w:rsid w:val="00517A31"/>
    <w:rsid w:val="00517D9F"/>
    <w:rsid w:val="00517FD6"/>
    <w:rsid w:val="0052001C"/>
    <w:rsid w:val="005200E0"/>
    <w:rsid w:val="00520126"/>
    <w:rsid w:val="0052023C"/>
    <w:rsid w:val="0052024E"/>
    <w:rsid w:val="005205DF"/>
    <w:rsid w:val="00520A89"/>
    <w:rsid w:val="00520BD9"/>
    <w:rsid w:val="00520C51"/>
    <w:rsid w:val="00520F1C"/>
    <w:rsid w:val="005210AE"/>
    <w:rsid w:val="00521A85"/>
    <w:rsid w:val="0052205F"/>
    <w:rsid w:val="00522725"/>
    <w:rsid w:val="005228E4"/>
    <w:rsid w:val="00522906"/>
    <w:rsid w:val="00522B24"/>
    <w:rsid w:val="00522DE4"/>
    <w:rsid w:val="00523659"/>
    <w:rsid w:val="005236D4"/>
    <w:rsid w:val="00523ADF"/>
    <w:rsid w:val="00523E78"/>
    <w:rsid w:val="00524672"/>
    <w:rsid w:val="00524846"/>
    <w:rsid w:val="00524910"/>
    <w:rsid w:val="00524C5D"/>
    <w:rsid w:val="00524E32"/>
    <w:rsid w:val="00524EC0"/>
    <w:rsid w:val="0052526A"/>
    <w:rsid w:val="005255E4"/>
    <w:rsid w:val="00525620"/>
    <w:rsid w:val="005256FD"/>
    <w:rsid w:val="00525AF8"/>
    <w:rsid w:val="00525BA8"/>
    <w:rsid w:val="00525F1C"/>
    <w:rsid w:val="005261AE"/>
    <w:rsid w:val="0052695B"/>
    <w:rsid w:val="00526F24"/>
    <w:rsid w:val="005277E9"/>
    <w:rsid w:val="00527EDF"/>
    <w:rsid w:val="005300FB"/>
    <w:rsid w:val="005301FE"/>
    <w:rsid w:val="0053065F"/>
    <w:rsid w:val="005306C1"/>
    <w:rsid w:val="00530CB2"/>
    <w:rsid w:val="00530CB8"/>
    <w:rsid w:val="00530D94"/>
    <w:rsid w:val="00531084"/>
    <w:rsid w:val="00531163"/>
    <w:rsid w:val="005311D1"/>
    <w:rsid w:val="005312B4"/>
    <w:rsid w:val="00531E95"/>
    <w:rsid w:val="00531F92"/>
    <w:rsid w:val="005326BC"/>
    <w:rsid w:val="005326BE"/>
    <w:rsid w:val="00532C3A"/>
    <w:rsid w:val="00532E55"/>
    <w:rsid w:val="005331AC"/>
    <w:rsid w:val="00533430"/>
    <w:rsid w:val="0053381D"/>
    <w:rsid w:val="00533BC1"/>
    <w:rsid w:val="00534263"/>
    <w:rsid w:val="005343A5"/>
    <w:rsid w:val="00534EFB"/>
    <w:rsid w:val="005351DA"/>
    <w:rsid w:val="005354EF"/>
    <w:rsid w:val="0053565F"/>
    <w:rsid w:val="0053596C"/>
    <w:rsid w:val="00535AA2"/>
    <w:rsid w:val="00535AA3"/>
    <w:rsid w:val="00535BE1"/>
    <w:rsid w:val="00536A8F"/>
    <w:rsid w:val="00537046"/>
    <w:rsid w:val="00537811"/>
    <w:rsid w:val="00537E60"/>
    <w:rsid w:val="00540096"/>
    <w:rsid w:val="0054059B"/>
    <w:rsid w:val="005406B5"/>
    <w:rsid w:val="0054075A"/>
    <w:rsid w:val="00540844"/>
    <w:rsid w:val="00540A9C"/>
    <w:rsid w:val="00540BD2"/>
    <w:rsid w:val="00540CC0"/>
    <w:rsid w:val="00540F93"/>
    <w:rsid w:val="0054126C"/>
    <w:rsid w:val="0054127D"/>
    <w:rsid w:val="005416EA"/>
    <w:rsid w:val="00541E3B"/>
    <w:rsid w:val="0054247D"/>
    <w:rsid w:val="00542791"/>
    <w:rsid w:val="00542AC6"/>
    <w:rsid w:val="00542DF3"/>
    <w:rsid w:val="00542F09"/>
    <w:rsid w:val="00542FAC"/>
    <w:rsid w:val="00543FEC"/>
    <w:rsid w:val="00544098"/>
    <w:rsid w:val="00544122"/>
    <w:rsid w:val="00544290"/>
    <w:rsid w:val="005442A9"/>
    <w:rsid w:val="00544435"/>
    <w:rsid w:val="0054460A"/>
    <w:rsid w:val="005446D5"/>
    <w:rsid w:val="00544814"/>
    <w:rsid w:val="00544879"/>
    <w:rsid w:val="00544F7E"/>
    <w:rsid w:val="005450DA"/>
    <w:rsid w:val="00545304"/>
    <w:rsid w:val="0054544C"/>
    <w:rsid w:val="00545488"/>
    <w:rsid w:val="00545792"/>
    <w:rsid w:val="00545C1A"/>
    <w:rsid w:val="0054627D"/>
    <w:rsid w:val="0054631D"/>
    <w:rsid w:val="00546397"/>
    <w:rsid w:val="00546B44"/>
    <w:rsid w:val="005477C6"/>
    <w:rsid w:val="005479AE"/>
    <w:rsid w:val="00547B7D"/>
    <w:rsid w:val="00547F02"/>
    <w:rsid w:val="00547F84"/>
    <w:rsid w:val="00550040"/>
    <w:rsid w:val="00550335"/>
    <w:rsid w:val="00550445"/>
    <w:rsid w:val="0055067E"/>
    <w:rsid w:val="0055096A"/>
    <w:rsid w:val="00550F4F"/>
    <w:rsid w:val="00550F8D"/>
    <w:rsid w:val="00551024"/>
    <w:rsid w:val="005511B5"/>
    <w:rsid w:val="005513D9"/>
    <w:rsid w:val="005514EF"/>
    <w:rsid w:val="005518E5"/>
    <w:rsid w:val="00551975"/>
    <w:rsid w:val="00551DA9"/>
    <w:rsid w:val="00551EDC"/>
    <w:rsid w:val="0055237F"/>
    <w:rsid w:val="00552C77"/>
    <w:rsid w:val="00552F14"/>
    <w:rsid w:val="005532C5"/>
    <w:rsid w:val="00553448"/>
    <w:rsid w:val="00553455"/>
    <w:rsid w:val="005534F9"/>
    <w:rsid w:val="00553568"/>
    <w:rsid w:val="005535F3"/>
    <w:rsid w:val="005537C2"/>
    <w:rsid w:val="00553915"/>
    <w:rsid w:val="00553977"/>
    <w:rsid w:val="00553AE1"/>
    <w:rsid w:val="00553C12"/>
    <w:rsid w:val="00553DAD"/>
    <w:rsid w:val="005541AF"/>
    <w:rsid w:val="005548CC"/>
    <w:rsid w:val="00554AD5"/>
    <w:rsid w:val="0055512D"/>
    <w:rsid w:val="005554A4"/>
    <w:rsid w:val="0055573A"/>
    <w:rsid w:val="00555745"/>
    <w:rsid w:val="005558E5"/>
    <w:rsid w:val="00555985"/>
    <w:rsid w:val="00555B68"/>
    <w:rsid w:val="00555BFE"/>
    <w:rsid w:val="00555CA4"/>
    <w:rsid w:val="00555D55"/>
    <w:rsid w:val="00555FBF"/>
    <w:rsid w:val="0055631A"/>
    <w:rsid w:val="00556521"/>
    <w:rsid w:val="005568C6"/>
    <w:rsid w:val="00556B60"/>
    <w:rsid w:val="0055723B"/>
    <w:rsid w:val="00557562"/>
    <w:rsid w:val="0055788B"/>
    <w:rsid w:val="005579B1"/>
    <w:rsid w:val="00557D4F"/>
    <w:rsid w:val="00557FE1"/>
    <w:rsid w:val="0056014F"/>
    <w:rsid w:val="0056036C"/>
    <w:rsid w:val="005607B6"/>
    <w:rsid w:val="00560F69"/>
    <w:rsid w:val="00561421"/>
    <w:rsid w:val="0056149B"/>
    <w:rsid w:val="0056168D"/>
    <w:rsid w:val="00561AA7"/>
    <w:rsid w:val="00561C26"/>
    <w:rsid w:val="00561C7C"/>
    <w:rsid w:val="00561EE8"/>
    <w:rsid w:val="00561F00"/>
    <w:rsid w:val="00561F57"/>
    <w:rsid w:val="00561F76"/>
    <w:rsid w:val="00561F7D"/>
    <w:rsid w:val="005620BE"/>
    <w:rsid w:val="00562121"/>
    <w:rsid w:val="00562178"/>
    <w:rsid w:val="005621F1"/>
    <w:rsid w:val="005623F4"/>
    <w:rsid w:val="0056283F"/>
    <w:rsid w:val="00562A4A"/>
    <w:rsid w:val="00562BF3"/>
    <w:rsid w:val="00562EA1"/>
    <w:rsid w:val="00562FA6"/>
    <w:rsid w:val="00563ACA"/>
    <w:rsid w:val="00563B0B"/>
    <w:rsid w:val="00563B61"/>
    <w:rsid w:val="00563CA6"/>
    <w:rsid w:val="00564208"/>
    <w:rsid w:val="00564407"/>
    <w:rsid w:val="0056452F"/>
    <w:rsid w:val="0056469A"/>
    <w:rsid w:val="00564FF6"/>
    <w:rsid w:val="00565103"/>
    <w:rsid w:val="00565233"/>
    <w:rsid w:val="005659F2"/>
    <w:rsid w:val="00565C5C"/>
    <w:rsid w:val="00566055"/>
    <w:rsid w:val="00566961"/>
    <w:rsid w:val="00566A3A"/>
    <w:rsid w:val="00566ABD"/>
    <w:rsid w:val="00567457"/>
    <w:rsid w:val="00567786"/>
    <w:rsid w:val="00567C13"/>
    <w:rsid w:val="00567CF7"/>
    <w:rsid w:val="00567D73"/>
    <w:rsid w:val="00567FCA"/>
    <w:rsid w:val="00567FE1"/>
    <w:rsid w:val="00570066"/>
    <w:rsid w:val="0057014B"/>
    <w:rsid w:val="00570A1E"/>
    <w:rsid w:val="00570B45"/>
    <w:rsid w:val="005710BE"/>
    <w:rsid w:val="005712D1"/>
    <w:rsid w:val="00571536"/>
    <w:rsid w:val="00571868"/>
    <w:rsid w:val="0057190A"/>
    <w:rsid w:val="00571915"/>
    <w:rsid w:val="00571961"/>
    <w:rsid w:val="005719F6"/>
    <w:rsid w:val="00571CED"/>
    <w:rsid w:val="00571F78"/>
    <w:rsid w:val="005720FE"/>
    <w:rsid w:val="00572738"/>
    <w:rsid w:val="00573673"/>
    <w:rsid w:val="00573C79"/>
    <w:rsid w:val="00573CB1"/>
    <w:rsid w:val="00573DDC"/>
    <w:rsid w:val="005741A8"/>
    <w:rsid w:val="005743B7"/>
    <w:rsid w:val="0057461F"/>
    <w:rsid w:val="0057497B"/>
    <w:rsid w:val="00574A1F"/>
    <w:rsid w:val="00574A39"/>
    <w:rsid w:val="00574F8E"/>
    <w:rsid w:val="005751DB"/>
    <w:rsid w:val="00575743"/>
    <w:rsid w:val="005759EC"/>
    <w:rsid w:val="00575C6E"/>
    <w:rsid w:val="00576095"/>
    <w:rsid w:val="005760CB"/>
    <w:rsid w:val="0057643C"/>
    <w:rsid w:val="00576498"/>
    <w:rsid w:val="00577304"/>
    <w:rsid w:val="00577C37"/>
    <w:rsid w:val="00577D67"/>
    <w:rsid w:val="00577E82"/>
    <w:rsid w:val="00577F92"/>
    <w:rsid w:val="005801E5"/>
    <w:rsid w:val="005808C0"/>
    <w:rsid w:val="005809E1"/>
    <w:rsid w:val="00580ADA"/>
    <w:rsid w:val="00580CCC"/>
    <w:rsid w:val="00581247"/>
    <w:rsid w:val="0058147C"/>
    <w:rsid w:val="00581526"/>
    <w:rsid w:val="00581537"/>
    <w:rsid w:val="00581A47"/>
    <w:rsid w:val="00582074"/>
    <w:rsid w:val="005823BB"/>
    <w:rsid w:val="00582593"/>
    <w:rsid w:val="00582649"/>
    <w:rsid w:val="005827AE"/>
    <w:rsid w:val="00582877"/>
    <w:rsid w:val="00582976"/>
    <w:rsid w:val="00582A57"/>
    <w:rsid w:val="00582E24"/>
    <w:rsid w:val="005832B3"/>
    <w:rsid w:val="0058355A"/>
    <w:rsid w:val="00583645"/>
    <w:rsid w:val="00583863"/>
    <w:rsid w:val="005839A2"/>
    <w:rsid w:val="00583A45"/>
    <w:rsid w:val="00583CE6"/>
    <w:rsid w:val="00583E92"/>
    <w:rsid w:val="00584B4C"/>
    <w:rsid w:val="00584B54"/>
    <w:rsid w:val="00585049"/>
    <w:rsid w:val="00585333"/>
    <w:rsid w:val="005858A3"/>
    <w:rsid w:val="00585A4D"/>
    <w:rsid w:val="00585A61"/>
    <w:rsid w:val="005861F3"/>
    <w:rsid w:val="00586C64"/>
    <w:rsid w:val="00587118"/>
    <w:rsid w:val="00587322"/>
    <w:rsid w:val="00590279"/>
    <w:rsid w:val="00590540"/>
    <w:rsid w:val="00590B3A"/>
    <w:rsid w:val="00590B49"/>
    <w:rsid w:val="00590BB7"/>
    <w:rsid w:val="00590ED8"/>
    <w:rsid w:val="00590F15"/>
    <w:rsid w:val="0059160F"/>
    <w:rsid w:val="00591676"/>
    <w:rsid w:val="00591872"/>
    <w:rsid w:val="0059194E"/>
    <w:rsid w:val="0059197E"/>
    <w:rsid w:val="00591ADD"/>
    <w:rsid w:val="00591C9E"/>
    <w:rsid w:val="00591D73"/>
    <w:rsid w:val="00592015"/>
    <w:rsid w:val="005920FB"/>
    <w:rsid w:val="00592543"/>
    <w:rsid w:val="005926B3"/>
    <w:rsid w:val="00592766"/>
    <w:rsid w:val="00592783"/>
    <w:rsid w:val="005927B9"/>
    <w:rsid w:val="00592877"/>
    <w:rsid w:val="00592913"/>
    <w:rsid w:val="00592ADE"/>
    <w:rsid w:val="00592C1A"/>
    <w:rsid w:val="00592C4C"/>
    <w:rsid w:val="00592CDE"/>
    <w:rsid w:val="00592D70"/>
    <w:rsid w:val="00592DDA"/>
    <w:rsid w:val="00592F6A"/>
    <w:rsid w:val="00592F6B"/>
    <w:rsid w:val="005930FD"/>
    <w:rsid w:val="00593189"/>
    <w:rsid w:val="00593465"/>
    <w:rsid w:val="0059351C"/>
    <w:rsid w:val="0059475D"/>
    <w:rsid w:val="0059476D"/>
    <w:rsid w:val="0059480C"/>
    <w:rsid w:val="00594C6A"/>
    <w:rsid w:val="00594F04"/>
    <w:rsid w:val="00595C48"/>
    <w:rsid w:val="00595DB5"/>
    <w:rsid w:val="0059624C"/>
    <w:rsid w:val="0059644B"/>
    <w:rsid w:val="005964E5"/>
    <w:rsid w:val="00596582"/>
    <w:rsid w:val="00596A45"/>
    <w:rsid w:val="0059713D"/>
    <w:rsid w:val="00597471"/>
    <w:rsid w:val="00597574"/>
    <w:rsid w:val="00597719"/>
    <w:rsid w:val="005977F1"/>
    <w:rsid w:val="00597979"/>
    <w:rsid w:val="00597B06"/>
    <w:rsid w:val="00597C8D"/>
    <w:rsid w:val="00597F9C"/>
    <w:rsid w:val="005A01C1"/>
    <w:rsid w:val="005A05F0"/>
    <w:rsid w:val="005A0942"/>
    <w:rsid w:val="005A0B7D"/>
    <w:rsid w:val="005A0B8C"/>
    <w:rsid w:val="005A0BA5"/>
    <w:rsid w:val="005A0C73"/>
    <w:rsid w:val="005A0EAA"/>
    <w:rsid w:val="005A107E"/>
    <w:rsid w:val="005A13F1"/>
    <w:rsid w:val="005A1C05"/>
    <w:rsid w:val="005A1DFD"/>
    <w:rsid w:val="005A1F5C"/>
    <w:rsid w:val="005A20DD"/>
    <w:rsid w:val="005A22EB"/>
    <w:rsid w:val="005A2743"/>
    <w:rsid w:val="005A27B8"/>
    <w:rsid w:val="005A2C3C"/>
    <w:rsid w:val="005A3159"/>
    <w:rsid w:val="005A321F"/>
    <w:rsid w:val="005A3708"/>
    <w:rsid w:val="005A3BD0"/>
    <w:rsid w:val="005A3ECC"/>
    <w:rsid w:val="005A4307"/>
    <w:rsid w:val="005A4399"/>
    <w:rsid w:val="005A475C"/>
    <w:rsid w:val="005A4D93"/>
    <w:rsid w:val="005A5131"/>
    <w:rsid w:val="005A5AE7"/>
    <w:rsid w:val="005A5ED0"/>
    <w:rsid w:val="005A5F13"/>
    <w:rsid w:val="005A66B8"/>
    <w:rsid w:val="005A6CFA"/>
    <w:rsid w:val="005A6D72"/>
    <w:rsid w:val="005A6EC2"/>
    <w:rsid w:val="005A7048"/>
    <w:rsid w:val="005A73BC"/>
    <w:rsid w:val="005A7A5B"/>
    <w:rsid w:val="005A7AFF"/>
    <w:rsid w:val="005A7BE1"/>
    <w:rsid w:val="005A7E63"/>
    <w:rsid w:val="005B01EE"/>
    <w:rsid w:val="005B0AD6"/>
    <w:rsid w:val="005B10C9"/>
    <w:rsid w:val="005B11D2"/>
    <w:rsid w:val="005B1235"/>
    <w:rsid w:val="005B14C9"/>
    <w:rsid w:val="005B15DE"/>
    <w:rsid w:val="005B186F"/>
    <w:rsid w:val="005B1EDA"/>
    <w:rsid w:val="005B1FD9"/>
    <w:rsid w:val="005B21FB"/>
    <w:rsid w:val="005B29FA"/>
    <w:rsid w:val="005B2A14"/>
    <w:rsid w:val="005B2C16"/>
    <w:rsid w:val="005B2E24"/>
    <w:rsid w:val="005B31C6"/>
    <w:rsid w:val="005B325E"/>
    <w:rsid w:val="005B35AE"/>
    <w:rsid w:val="005B3C28"/>
    <w:rsid w:val="005B3D90"/>
    <w:rsid w:val="005B437B"/>
    <w:rsid w:val="005B441E"/>
    <w:rsid w:val="005B4603"/>
    <w:rsid w:val="005B479E"/>
    <w:rsid w:val="005B493C"/>
    <w:rsid w:val="005B4AB2"/>
    <w:rsid w:val="005B4AF6"/>
    <w:rsid w:val="005B4B5E"/>
    <w:rsid w:val="005B52E3"/>
    <w:rsid w:val="005B55B7"/>
    <w:rsid w:val="005B59E1"/>
    <w:rsid w:val="005B5A25"/>
    <w:rsid w:val="005B5B7D"/>
    <w:rsid w:val="005B5E14"/>
    <w:rsid w:val="005B5EB9"/>
    <w:rsid w:val="005B60E3"/>
    <w:rsid w:val="005B61FA"/>
    <w:rsid w:val="005B65FB"/>
    <w:rsid w:val="005B6658"/>
    <w:rsid w:val="005B698F"/>
    <w:rsid w:val="005B6AAE"/>
    <w:rsid w:val="005B6EE7"/>
    <w:rsid w:val="005B6F1C"/>
    <w:rsid w:val="005B7046"/>
    <w:rsid w:val="005B752B"/>
    <w:rsid w:val="005B78A2"/>
    <w:rsid w:val="005B78DD"/>
    <w:rsid w:val="005B7E4B"/>
    <w:rsid w:val="005C0938"/>
    <w:rsid w:val="005C0BCE"/>
    <w:rsid w:val="005C0BDE"/>
    <w:rsid w:val="005C131F"/>
    <w:rsid w:val="005C159B"/>
    <w:rsid w:val="005C1643"/>
    <w:rsid w:val="005C18D1"/>
    <w:rsid w:val="005C1F57"/>
    <w:rsid w:val="005C206E"/>
    <w:rsid w:val="005C20DD"/>
    <w:rsid w:val="005C2294"/>
    <w:rsid w:val="005C247A"/>
    <w:rsid w:val="005C28B6"/>
    <w:rsid w:val="005C2BA4"/>
    <w:rsid w:val="005C2C2F"/>
    <w:rsid w:val="005C2D89"/>
    <w:rsid w:val="005C2F09"/>
    <w:rsid w:val="005C3198"/>
    <w:rsid w:val="005C3924"/>
    <w:rsid w:val="005C3A9E"/>
    <w:rsid w:val="005C4183"/>
    <w:rsid w:val="005C444C"/>
    <w:rsid w:val="005C4453"/>
    <w:rsid w:val="005C4468"/>
    <w:rsid w:val="005C4784"/>
    <w:rsid w:val="005C4AA9"/>
    <w:rsid w:val="005C5485"/>
    <w:rsid w:val="005C56F0"/>
    <w:rsid w:val="005C59CA"/>
    <w:rsid w:val="005C5BA9"/>
    <w:rsid w:val="005C5CCE"/>
    <w:rsid w:val="005C62E7"/>
    <w:rsid w:val="005C6310"/>
    <w:rsid w:val="005C6491"/>
    <w:rsid w:val="005C64FB"/>
    <w:rsid w:val="005C6628"/>
    <w:rsid w:val="005C6828"/>
    <w:rsid w:val="005C6A1C"/>
    <w:rsid w:val="005C6AAF"/>
    <w:rsid w:val="005C6E31"/>
    <w:rsid w:val="005C709A"/>
    <w:rsid w:val="005C72DF"/>
    <w:rsid w:val="005C7641"/>
    <w:rsid w:val="005C77A3"/>
    <w:rsid w:val="005C78C1"/>
    <w:rsid w:val="005C7A2E"/>
    <w:rsid w:val="005C7E42"/>
    <w:rsid w:val="005D0068"/>
    <w:rsid w:val="005D0353"/>
    <w:rsid w:val="005D047A"/>
    <w:rsid w:val="005D0B94"/>
    <w:rsid w:val="005D0E73"/>
    <w:rsid w:val="005D1412"/>
    <w:rsid w:val="005D1551"/>
    <w:rsid w:val="005D168D"/>
    <w:rsid w:val="005D16D7"/>
    <w:rsid w:val="005D1705"/>
    <w:rsid w:val="005D182D"/>
    <w:rsid w:val="005D19AA"/>
    <w:rsid w:val="005D1EAB"/>
    <w:rsid w:val="005D2007"/>
    <w:rsid w:val="005D2484"/>
    <w:rsid w:val="005D2604"/>
    <w:rsid w:val="005D2D0F"/>
    <w:rsid w:val="005D2D3A"/>
    <w:rsid w:val="005D2EE4"/>
    <w:rsid w:val="005D31BF"/>
    <w:rsid w:val="005D337C"/>
    <w:rsid w:val="005D33E2"/>
    <w:rsid w:val="005D36EA"/>
    <w:rsid w:val="005D40B6"/>
    <w:rsid w:val="005D4134"/>
    <w:rsid w:val="005D4207"/>
    <w:rsid w:val="005D428B"/>
    <w:rsid w:val="005D4681"/>
    <w:rsid w:val="005D4687"/>
    <w:rsid w:val="005D49ED"/>
    <w:rsid w:val="005D4BC3"/>
    <w:rsid w:val="005D4C93"/>
    <w:rsid w:val="005D4CAE"/>
    <w:rsid w:val="005D5049"/>
    <w:rsid w:val="005D5211"/>
    <w:rsid w:val="005D54EC"/>
    <w:rsid w:val="005D573D"/>
    <w:rsid w:val="005D57F5"/>
    <w:rsid w:val="005D596E"/>
    <w:rsid w:val="005D59F7"/>
    <w:rsid w:val="005D5C5C"/>
    <w:rsid w:val="005D5CD6"/>
    <w:rsid w:val="005D5D55"/>
    <w:rsid w:val="005D5EC3"/>
    <w:rsid w:val="005D5FBF"/>
    <w:rsid w:val="005D6419"/>
    <w:rsid w:val="005D646C"/>
    <w:rsid w:val="005D64A7"/>
    <w:rsid w:val="005D6547"/>
    <w:rsid w:val="005D6760"/>
    <w:rsid w:val="005D67C9"/>
    <w:rsid w:val="005D681C"/>
    <w:rsid w:val="005D6BD1"/>
    <w:rsid w:val="005D7261"/>
    <w:rsid w:val="005D75D3"/>
    <w:rsid w:val="005D781A"/>
    <w:rsid w:val="005D79AF"/>
    <w:rsid w:val="005D79BD"/>
    <w:rsid w:val="005D7BE5"/>
    <w:rsid w:val="005D7D07"/>
    <w:rsid w:val="005D7D6C"/>
    <w:rsid w:val="005D7E3C"/>
    <w:rsid w:val="005D7E51"/>
    <w:rsid w:val="005D7EE0"/>
    <w:rsid w:val="005E081D"/>
    <w:rsid w:val="005E0B7C"/>
    <w:rsid w:val="005E0FFF"/>
    <w:rsid w:val="005E1047"/>
    <w:rsid w:val="005E11BB"/>
    <w:rsid w:val="005E13A9"/>
    <w:rsid w:val="005E1531"/>
    <w:rsid w:val="005E1587"/>
    <w:rsid w:val="005E15F1"/>
    <w:rsid w:val="005E1747"/>
    <w:rsid w:val="005E197B"/>
    <w:rsid w:val="005E1C4E"/>
    <w:rsid w:val="005E1E43"/>
    <w:rsid w:val="005E1F52"/>
    <w:rsid w:val="005E1FE7"/>
    <w:rsid w:val="005E2101"/>
    <w:rsid w:val="005E2402"/>
    <w:rsid w:val="005E2458"/>
    <w:rsid w:val="005E2551"/>
    <w:rsid w:val="005E2A0B"/>
    <w:rsid w:val="005E2E7F"/>
    <w:rsid w:val="005E31AE"/>
    <w:rsid w:val="005E32C7"/>
    <w:rsid w:val="005E32EF"/>
    <w:rsid w:val="005E341F"/>
    <w:rsid w:val="005E35E5"/>
    <w:rsid w:val="005E35F6"/>
    <w:rsid w:val="005E369D"/>
    <w:rsid w:val="005E37BD"/>
    <w:rsid w:val="005E37FF"/>
    <w:rsid w:val="005E39CF"/>
    <w:rsid w:val="005E3FDE"/>
    <w:rsid w:val="005E420F"/>
    <w:rsid w:val="005E45A2"/>
    <w:rsid w:val="005E4607"/>
    <w:rsid w:val="005E47A2"/>
    <w:rsid w:val="005E47F5"/>
    <w:rsid w:val="005E49E3"/>
    <w:rsid w:val="005E4CE8"/>
    <w:rsid w:val="005E4F28"/>
    <w:rsid w:val="005E4F31"/>
    <w:rsid w:val="005E5589"/>
    <w:rsid w:val="005E5797"/>
    <w:rsid w:val="005E58B8"/>
    <w:rsid w:val="005E5A7C"/>
    <w:rsid w:val="005E5AD9"/>
    <w:rsid w:val="005E5C6E"/>
    <w:rsid w:val="005E656B"/>
    <w:rsid w:val="005E71DC"/>
    <w:rsid w:val="005E76DD"/>
    <w:rsid w:val="005E785A"/>
    <w:rsid w:val="005E7B7C"/>
    <w:rsid w:val="005F016B"/>
    <w:rsid w:val="005F03E6"/>
    <w:rsid w:val="005F045F"/>
    <w:rsid w:val="005F079D"/>
    <w:rsid w:val="005F0E33"/>
    <w:rsid w:val="005F1082"/>
    <w:rsid w:val="005F10B5"/>
    <w:rsid w:val="005F1178"/>
    <w:rsid w:val="005F1A94"/>
    <w:rsid w:val="005F1E1D"/>
    <w:rsid w:val="005F20CC"/>
    <w:rsid w:val="005F25D5"/>
    <w:rsid w:val="005F2ECC"/>
    <w:rsid w:val="005F3152"/>
    <w:rsid w:val="005F35B4"/>
    <w:rsid w:val="005F36BF"/>
    <w:rsid w:val="005F3A2B"/>
    <w:rsid w:val="005F3DE7"/>
    <w:rsid w:val="005F3EA2"/>
    <w:rsid w:val="005F473F"/>
    <w:rsid w:val="005F4FBB"/>
    <w:rsid w:val="005F5009"/>
    <w:rsid w:val="005F5353"/>
    <w:rsid w:val="005F593A"/>
    <w:rsid w:val="005F5C7F"/>
    <w:rsid w:val="005F5CE5"/>
    <w:rsid w:val="005F5DD2"/>
    <w:rsid w:val="005F5FD7"/>
    <w:rsid w:val="005F6045"/>
    <w:rsid w:val="005F64C5"/>
    <w:rsid w:val="005F6543"/>
    <w:rsid w:val="005F6918"/>
    <w:rsid w:val="005F693A"/>
    <w:rsid w:val="005F6AF3"/>
    <w:rsid w:val="005F6E04"/>
    <w:rsid w:val="005F72CD"/>
    <w:rsid w:val="005F73B9"/>
    <w:rsid w:val="005F781B"/>
    <w:rsid w:val="005F7B36"/>
    <w:rsid w:val="005F7BF0"/>
    <w:rsid w:val="005F7C80"/>
    <w:rsid w:val="005F7D36"/>
    <w:rsid w:val="005F7F61"/>
    <w:rsid w:val="005F7FFD"/>
    <w:rsid w:val="006005D8"/>
    <w:rsid w:val="00600627"/>
    <w:rsid w:val="00600A10"/>
    <w:rsid w:val="00600AB7"/>
    <w:rsid w:val="00600AF7"/>
    <w:rsid w:val="00601247"/>
    <w:rsid w:val="0060134D"/>
    <w:rsid w:val="0060176F"/>
    <w:rsid w:val="006017FF"/>
    <w:rsid w:val="00601A5B"/>
    <w:rsid w:val="00601D1A"/>
    <w:rsid w:val="00601E61"/>
    <w:rsid w:val="006022A8"/>
    <w:rsid w:val="006024D6"/>
    <w:rsid w:val="00602624"/>
    <w:rsid w:val="00602640"/>
    <w:rsid w:val="00602944"/>
    <w:rsid w:val="00602B5F"/>
    <w:rsid w:val="00602D3E"/>
    <w:rsid w:val="00602E8E"/>
    <w:rsid w:val="00602E96"/>
    <w:rsid w:val="00603043"/>
    <w:rsid w:val="006033F3"/>
    <w:rsid w:val="006034D7"/>
    <w:rsid w:val="00603791"/>
    <w:rsid w:val="006038C8"/>
    <w:rsid w:val="00604489"/>
    <w:rsid w:val="00604511"/>
    <w:rsid w:val="006048A6"/>
    <w:rsid w:val="00604CCB"/>
    <w:rsid w:val="00604D36"/>
    <w:rsid w:val="00604E31"/>
    <w:rsid w:val="006050BA"/>
    <w:rsid w:val="00605A01"/>
    <w:rsid w:val="00605B8E"/>
    <w:rsid w:val="00605CC0"/>
    <w:rsid w:val="00605CD8"/>
    <w:rsid w:val="00606053"/>
    <w:rsid w:val="0060608C"/>
    <w:rsid w:val="00606205"/>
    <w:rsid w:val="00606788"/>
    <w:rsid w:val="006071D9"/>
    <w:rsid w:val="00607465"/>
    <w:rsid w:val="00607472"/>
    <w:rsid w:val="00607517"/>
    <w:rsid w:val="00607584"/>
    <w:rsid w:val="00607678"/>
    <w:rsid w:val="00607B8B"/>
    <w:rsid w:val="00607E49"/>
    <w:rsid w:val="00607F50"/>
    <w:rsid w:val="00607FAF"/>
    <w:rsid w:val="006102F5"/>
    <w:rsid w:val="0061099C"/>
    <w:rsid w:val="00610F8F"/>
    <w:rsid w:val="0061168F"/>
    <w:rsid w:val="00611ADF"/>
    <w:rsid w:val="00611B5F"/>
    <w:rsid w:val="00611D78"/>
    <w:rsid w:val="00612131"/>
    <w:rsid w:val="00612246"/>
    <w:rsid w:val="00612387"/>
    <w:rsid w:val="006125E6"/>
    <w:rsid w:val="00612742"/>
    <w:rsid w:val="00612856"/>
    <w:rsid w:val="00612935"/>
    <w:rsid w:val="00612D12"/>
    <w:rsid w:val="006130C0"/>
    <w:rsid w:val="00613EF4"/>
    <w:rsid w:val="00613F1A"/>
    <w:rsid w:val="00613F7F"/>
    <w:rsid w:val="00614247"/>
    <w:rsid w:val="006144A1"/>
    <w:rsid w:val="006144D0"/>
    <w:rsid w:val="0061464F"/>
    <w:rsid w:val="00614802"/>
    <w:rsid w:val="00614EF5"/>
    <w:rsid w:val="006151B2"/>
    <w:rsid w:val="00615423"/>
    <w:rsid w:val="00615540"/>
    <w:rsid w:val="0061575F"/>
    <w:rsid w:val="00615826"/>
    <w:rsid w:val="00615982"/>
    <w:rsid w:val="006159E9"/>
    <w:rsid w:val="00615EAD"/>
    <w:rsid w:val="00615F00"/>
    <w:rsid w:val="00615FFF"/>
    <w:rsid w:val="0061617C"/>
    <w:rsid w:val="00616230"/>
    <w:rsid w:val="00616668"/>
    <w:rsid w:val="006169CF"/>
    <w:rsid w:val="00616D0B"/>
    <w:rsid w:val="00616F51"/>
    <w:rsid w:val="006172D5"/>
    <w:rsid w:val="00617551"/>
    <w:rsid w:val="00617697"/>
    <w:rsid w:val="00617CD2"/>
    <w:rsid w:val="00617D12"/>
    <w:rsid w:val="00617D9C"/>
    <w:rsid w:val="00617E8F"/>
    <w:rsid w:val="00620213"/>
    <w:rsid w:val="006202AD"/>
    <w:rsid w:val="00620543"/>
    <w:rsid w:val="00620A88"/>
    <w:rsid w:val="00620CDF"/>
    <w:rsid w:val="00620D18"/>
    <w:rsid w:val="00621407"/>
    <w:rsid w:val="00621763"/>
    <w:rsid w:val="00621815"/>
    <w:rsid w:val="00621931"/>
    <w:rsid w:val="00621977"/>
    <w:rsid w:val="00621EC4"/>
    <w:rsid w:val="0062204F"/>
    <w:rsid w:val="0062218E"/>
    <w:rsid w:val="0062237D"/>
    <w:rsid w:val="00622673"/>
    <w:rsid w:val="006226E3"/>
    <w:rsid w:val="00622770"/>
    <w:rsid w:val="00622C68"/>
    <w:rsid w:val="00622DB3"/>
    <w:rsid w:val="006231B3"/>
    <w:rsid w:val="00623236"/>
    <w:rsid w:val="00623364"/>
    <w:rsid w:val="0062341F"/>
    <w:rsid w:val="00623570"/>
    <w:rsid w:val="0062364B"/>
    <w:rsid w:val="00623704"/>
    <w:rsid w:val="006237AB"/>
    <w:rsid w:val="006238AB"/>
    <w:rsid w:val="00623939"/>
    <w:rsid w:val="00623C1F"/>
    <w:rsid w:val="00623DE0"/>
    <w:rsid w:val="00624795"/>
    <w:rsid w:val="006247FC"/>
    <w:rsid w:val="006249EB"/>
    <w:rsid w:val="00624A23"/>
    <w:rsid w:val="00625683"/>
    <w:rsid w:val="00625CAA"/>
    <w:rsid w:val="00625D2A"/>
    <w:rsid w:val="00625F78"/>
    <w:rsid w:val="00625FE2"/>
    <w:rsid w:val="00626467"/>
    <w:rsid w:val="006264F3"/>
    <w:rsid w:val="0062666D"/>
    <w:rsid w:val="006267CC"/>
    <w:rsid w:val="0062687A"/>
    <w:rsid w:val="006268F1"/>
    <w:rsid w:val="00626DEE"/>
    <w:rsid w:val="0062710E"/>
    <w:rsid w:val="00627412"/>
    <w:rsid w:val="00627556"/>
    <w:rsid w:val="00627C56"/>
    <w:rsid w:val="00627E9C"/>
    <w:rsid w:val="00627FEF"/>
    <w:rsid w:val="00630041"/>
    <w:rsid w:val="006300DE"/>
    <w:rsid w:val="006301F2"/>
    <w:rsid w:val="00630937"/>
    <w:rsid w:val="00630A0D"/>
    <w:rsid w:val="00631056"/>
    <w:rsid w:val="006310AF"/>
    <w:rsid w:val="006311D5"/>
    <w:rsid w:val="006312D7"/>
    <w:rsid w:val="00631350"/>
    <w:rsid w:val="0063164B"/>
    <w:rsid w:val="006317A5"/>
    <w:rsid w:val="0063190A"/>
    <w:rsid w:val="00631965"/>
    <w:rsid w:val="00631982"/>
    <w:rsid w:val="00631CCD"/>
    <w:rsid w:val="00632210"/>
    <w:rsid w:val="006327E7"/>
    <w:rsid w:val="0063295B"/>
    <w:rsid w:val="006329FB"/>
    <w:rsid w:val="00632F4F"/>
    <w:rsid w:val="0063309B"/>
    <w:rsid w:val="00633606"/>
    <w:rsid w:val="00633872"/>
    <w:rsid w:val="00633A18"/>
    <w:rsid w:val="00633F3D"/>
    <w:rsid w:val="00634127"/>
    <w:rsid w:val="00634647"/>
    <w:rsid w:val="00634669"/>
    <w:rsid w:val="00634714"/>
    <w:rsid w:val="006350C0"/>
    <w:rsid w:val="0063513D"/>
    <w:rsid w:val="006356CD"/>
    <w:rsid w:val="00635DBA"/>
    <w:rsid w:val="00636483"/>
    <w:rsid w:val="00636490"/>
    <w:rsid w:val="0063653B"/>
    <w:rsid w:val="00636603"/>
    <w:rsid w:val="00636619"/>
    <w:rsid w:val="00636687"/>
    <w:rsid w:val="0063686C"/>
    <w:rsid w:val="00636A71"/>
    <w:rsid w:val="00636F31"/>
    <w:rsid w:val="00637483"/>
    <w:rsid w:val="00637C54"/>
    <w:rsid w:val="00640028"/>
    <w:rsid w:val="00640187"/>
    <w:rsid w:val="00640652"/>
    <w:rsid w:val="00640972"/>
    <w:rsid w:val="00640E87"/>
    <w:rsid w:val="006410A7"/>
    <w:rsid w:val="006411B5"/>
    <w:rsid w:val="006414A9"/>
    <w:rsid w:val="0064172C"/>
    <w:rsid w:val="006417AA"/>
    <w:rsid w:val="00641EB4"/>
    <w:rsid w:val="00641FD6"/>
    <w:rsid w:val="006429BF"/>
    <w:rsid w:val="006436D9"/>
    <w:rsid w:val="006436FD"/>
    <w:rsid w:val="00643AEA"/>
    <w:rsid w:val="00643BA0"/>
    <w:rsid w:val="00643FE6"/>
    <w:rsid w:val="00644141"/>
    <w:rsid w:val="006441DE"/>
    <w:rsid w:val="0064435B"/>
    <w:rsid w:val="006449FD"/>
    <w:rsid w:val="00644D79"/>
    <w:rsid w:val="0064511D"/>
    <w:rsid w:val="0064516A"/>
    <w:rsid w:val="006453FE"/>
    <w:rsid w:val="00645738"/>
    <w:rsid w:val="006458B2"/>
    <w:rsid w:val="00645968"/>
    <w:rsid w:val="00645D05"/>
    <w:rsid w:val="00645D1F"/>
    <w:rsid w:val="0064615B"/>
    <w:rsid w:val="006463C6"/>
    <w:rsid w:val="00646724"/>
    <w:rsid w:val="00646B0D"/>
    <w:rsid w:val="00646C8B"/>
    <w:rsid w:val="00646D06"/>
    <w:rsid w:val="006474CE"/>
    <w:rsid w:val="00647840"/>
    <w:rsid w:val="00647BDA"/>
    <w:rsid w:val="006501E2"/>
    <w:rsid w:val="00650259"/>
    <w:rsid w:val="0065044E"/>
    <w:rsid w:val="00650841"/>
    <w:rsid w:val="00651251"/>
    <w:rsid w:val="006515A3"/>
    <w:rsid w:val="00651BC1"/>
    <w:rsid w:val="00652225"/>
    <w:rsid w:val="00652297"/>
    <w:rsid w:val="0065232F"/>
    <w:rsid w:val="00652392"/>
    <w:rsid w:val="00652446"/>
    <w:rsid w:val="00652578"/>
    <w:rsid w:val="00652B07"/>
    <w:rsid w:val="00652BB5"/>
    <w:rsid w:val="00652FE0"/>
    <w:rsid w:val="0065316F"/>
    <w:rsid w:val="0065354E"/>
    <w:rsid w:val="00653895"/>
    <w:rsid w:val="0065397B"/>
    <w:rsid w:val="006539CD"/>
    <w:rsid w:val="00653E43"/>
    <w:rsid w:val="00653EE1"/>
    <w:rsid w:val="00654951"/>
    <w:rsid w:val="006550D6"/>
    <w:rsid w:val="00655105"/>
    <w:rsid w:val="00655184"/>
    <w:rsid w:val="00655216"/>
    <w:rsid w:val="006553D2"/>
    <w:rsid w:val="00655487"/>
    <w:rsid w:val="006554C4"/>
    <w:rsid w:val="006556CC"/>
    <w:rsid w:val="00655717"/>
    <w:rsid w:val="00655B6C"/>
    <w:rsid w:val="00655DCE"/>
    <w:rsid w:val="00655EFA"/>
    <w:rsid w:val="006561B1"/>
    <w:rsid w:val="0065638C"/>
    <w:rsid w:val="006563A7"/>
    <w:rsid w:val="006563BA"/>
    <w:rsid w:val="00656726"/>
    <w:rsid w:val="00656885"/>
    <w:rsid w:val="00656B2C"/>
    <w:rsid w:val="00656C59"/>
    <w:rsid w:val="00656D7C"/>
    <w:rsid w:val="006570AA"/>
    <w:rsid w:val="006574E5"/>
    <w:rsid w:val="006576EB"/>
    <w:rsid w:val="0065790F"/>
    <w:rsid w:val="00657922"/>
    <w:rsid w:val="006579C7"/>
    <w:rsid w:val="00657CCF"/>
    <w:rsid w:val="00660271"/>
    <w:rsid w:val="0066089A"/>
    <w:rsid w:val="00660A7E"/>
    <w:rsid w:val="00660D1B"/>
    <w:rsid w:val="00660E2F"/>
    <w:rsid w:val="00661019"/>
    <w:rsid w:val="00661085"/>
    <w:rsid w:val="006610DF"/>
    <w:rsid w:val="00661B85"/>
    <w:rsid w:val="00661BFB"/>
    <w:rsid w:val="00661DF6"/>
    <w:rsid w:val="00661E6E"/>
    <w:rsid w:val="006620FC"/>
    <w:rsid w:val="00662D4E"/>
    <w:rsid w:val="00663314"/>
    <w:rsid w:val="006635D5"/>
    <w:rsid w:val="006638B1"/>
    <w:rsid w:val="006639E6"/>
    <w:rsid w:val="00663FC3"/>
    <w:rsid w:val="006641C2"/>
    <w:rsid w:val="00664563"/>
    <w:rsid w:val="00664693"/>
    <w:rsid w:val="006646BC"/>
    <w:rsid w:val="0066489D"/>
    <w:rsid w:val="00664C97"/>
    <w:rsid w:val="00665D24"/>
    <w:rsid w:val="00665E7D"/>
    <w:rsid w:val="00666056"/>
    <w:rsid w:val="00666309"/>
    <w:rsid w:val="0066678D"/>
    <w:rsid w:val="006667B6"/>
    <w:rsid w:val="006667FA"/>
    <w:rsid w:val="0066695A"/>
    <w:rsid w:val="00666B07"/>
    <w:rsid w:val="00666B17"/>
    <w:rsid w:val="006670D0"/>
    <w:rsid w:val="006675D4"/>
    <w:rsid w:val="006677DB"/>
    <w:rsid w:val="006678EB"/>
    <w:rsid w:val="006679C2"/>
    <w:rsid w:val="00667E88"/>
    <w:rsid w:val="006706CE"/>
    <w:rsid w:val="006712A9"/>
    <w:rsid w:val="006714FA"/>
    <w:rsid w:val="00671528"/>
    <w:rsid w:val="006715F7"/>
    <w:rsid w:val="00671630"/>
    <w:rsid w:val="006716AD"/>
    <w:rsid w:val="00671901"/>
    <w:rsid w:val="00672385"/>
    <w:rsid w:val="00672525"/>
    <w:rsid w:val="0067253C"/>
    <w:rsid w:val="00672681"/>
    <w:rsid w:val="00672742"/>
    <w:rsid w:val="006730CA"/>
    <w:rsid w:val="006733A8"/>
    <w:rsid w:val="006734FE"/>
    <w:rsid w:val="00673C9B"/>
    <w:rsid w:val="00673E9C"/>
    <w:rsid w:val="00673F89"/>
    <w:rsid w:val="006740D2"/>
    <w:rsid w:val="0067423B"/>
    <w:rsid w:val="006743F4"/>
    <w:rsid w:val="006748B6"/>
    <w:rsid w:val="00674987"/>
    <w:rsid w:val="006749F6"/>
    <w:rsid w:val="00674CAA"/>
    <w:rsid w:val="00674CF6"/>
    <w:rsid w:val="00674D51"/>
    <w:rsid w:val="00674ED1"/>
    <w:rsid w:val="00675447"/>
    <w:rsid w:val="00675449"/>
    <w:rsid w:val="006755F7"/>
    <w:rsid w:val="0067586D"/>
    <w:rsid w:val="006758F5"/>
    <w:rsid w:val="00675997"/>
    <w:rsid w:val="00675A2A"/>
    <w:rsid w:val="00675FDF"/>
    <w:rsid w:val="00676223"/>
    <w:rsid w:val="00676782"/>
    <w:rsid w:val="006767B6"/>
    <w:rsid w:val="00676829"/>
    <w:rsid w:val="006768F6"/>
    <w:rsid w:val="00676D71"/>
    <w:rsid w:val="00677A03"/>
    <w:rsid w:val="00677A11"/>
    <w:rsid w:val="00677E6B"/>
    <w:rsid w:val="006802D9"/>
    <w:rsid w:val="0068042F"/>
    <w:rsid w:val="00680998"/>
    <w:rsid w:val="00681073"/>
    <w:rsid w:val="00681150"/>
    <w:rsid w:val="0068126F"/>
    <w:rsid w:val="00681364"/>
    <w:rsid w:val="0068150B"/>
    <w:rsid w:val="00681562"/>
    <w:rsid w:val="0068169F"/>
    <w:rsid w:val="00681892"/>
    <w:rsid w:val="0068191B"/>
    <w:rsid w:val="00681AA2"/>
    <w:rsid w:val="00682083"/>
    <w:rsid w:val="00682539"/>
    <w:rsid w:val="006826DC"/>
    <w:rsid w:val="006827AF"/>
    <w:rsid w:val="00682829"/>
    <w:rsid w:val="00682A8C"/>
    <w:rsid w:val="00682E92"/>
    <w:rsid w:val="0068314F"/>
    <w:rsid w:val="00683231"/>
    <w:rsid w:val="00683252"/>
    <w:rsid w:val="006835E1"/>
    <w:rsid w:val="00683946"/>
    <w:rsid w:val="00683CDC"/>
    <w:rsid w:val="00683D63"/>
    <w:rsid w:val="00683E17"/>
    <w:rsid w:val="00683F61"/>
    <w:rsid w:val="00683FDA"/>
    <w:rsid w:val="006843F5"/>
    <w:rsid w:val="006845E3"/>
    <w:rsid w:val="00684B02"/>
    <w:rsid w:val="00684C97"/>
    <w:rsid w:val="00684FA6"/>
    <w:rsid w:val="00685150"/>
    <w:rsid w:val="0068525F"/>
    <w:rsid w:val="006852D8"/>
    <w:rsid w:val="0068548A"/>
    <w:rsid w:val="006854EF"/>
    <w:rsid w:val="006857FB"/>
    <w:rsid w:val="00685A9E"/>
    <w:rsid w:val="00685B1F"/>
    <w:rsid w:val="00685B63"/>
    <w:rsid w:val="006860F2"/>
    <w:rsid w:val="0068644C"/>
    <w:rsid w:val="0068652B"/>
    <w:rsid w:val="0068668B"/>
    <w:rsid w:val="006866F0"/>
    <w:rsid w:val="00686E5B"/>
    <w:rsid w:val="00686E68"/>
    <w:rsid w:val="00686E80"/>
    <w:rsid w:val="00686F36"/>
    <w:rsid w:val="0068716C"/>
    <w:rsid w:val="006873C1"/>
    <w:rsid w:val="0068785D"/>
    <w:rsid w:val="00687E5C"/>
    <w:rsid w:val="00690338"/>
    <w:rsid w:val="00690451"/>
    <w:rsid w:val="0069072C"/>
    <w:rsid w:val="006907C9"/>
    <w:rsid w:val="00690951"/>
    <w:rsid w:val="00690AD6"/>
    <w:rsid w:val="00690B7E"/>
    <w:rsid w:val="00690C65"/>
    <w:rsid w:val="00690E54"/>
    <w:rsid w:val="00690F58"/>
    <w:rsid w:val="00691A12"/>
    <w:rsid w:val="00692078"/>
    <w:rsid w:val="00692128"/>
    <w:rsid w:val="006921A6"/>
    <w:rsid w:val="0069222C"/>
    <w:rsid w:val="006922FD"/>
    <w:rsid w:val="006929D3"/>
    <w:rsid w:val="00692A34"/>
    <w:rsid w:val="00692D34"/>
    <w:rsid w:val="006930BF"/>
    <w:rsid w:val="00693387"/>
    <w:rsid w:val="00693410"/>
    <w:rsid w:val="0069384F"/>
    <w:rsid w:val="00693A5D"/>
    <w:rsid w:val="00693DC2"/>
    <w:rsid w:val="00693EB6"/>
    <w:rsid w:val="00693FB4"/>
    <w:rsid w:val="00694044"/>
    <w:rsid w:val="006941F4"/>
    <w:rsid w:val="00694693"/>
    <w:rsid w:val="00694909"/>
    <w:rsid w:val="0069490B"/>
    <w:rsid w:val="00694B4F"/>
    <w:rsid w:val="0069506B"/>
    <w:rsid w:val="006951F6"/>
    <w:rsid w:val="006952D2"/>
    <w:rsid w:val="00695436"/>
    <w:rsid w:val="0069589F"/>
    <w:rsid w:val="0069664E"/>
    <w:rsid w:val="00696712"/>
    <w:rsid w:val="00696733"/>
    <w:rsid w:val="0069674B"/>
    <w:rsid w:val="00696DB0"/>
    <w:rsid w:val="00696E43"/>
    <w:rsid w:val="0069731D"/>
    <w:rsid w:val="006976B5"/>
    <w:rsid w:val="006976D4"/>
    <w:rsid w:val="00697AC6"/>
    <w:rsid w:val="00697C72"/>
    <w:rsid w:val="00697C9E"/>
    <w:rsid w:val="00697EF9"/>
    <w:rsid w:val="006A008A"/>
    <w:rsid w:val="006A06AB"/>
    <w:rsid w:val="006A0CE5"/>
    <w:rsid w:val="006A0D65"/>
    <w:rsid w:val="006A0DC5"/>
    <w:rsid w:val="006A0E21"/>
    <w:rsid w:val="006A10E2"/>
    <w:rsid w:val="006A1406"/>
    <w:rsid w:val="006A1430"/>
    <w:rsid w:val="006A14B8"/>
    <w:rsid w:val="006A14F5"/>
    <w:rsid w:val="006A1559"/>
    <w:rsid w:val="006A194D"/>
    <w:rsid w:val="006A1BD6"/>
    <w:rsid w:val="006A1BE8"/>
    <w:rsid w:val="006A1E4F"/>
    <w:rsid w:val="006A200D"/>
    <w:rsid w:val="006A290B"/>
    <w:rsid w:val="006A29CC"/>
    <w:rsid w:val="006A2EA1"/>
    <w:rsid w:val="006A3044"/>
    <w:rsid w:val="006A339D"/>
    <w:rsid w:val="006A34DC"/>
    <w:rsid w:val="006A36C8"/>
    <w:rsid w:val="006A36D7"/>
    <w:rsid w:val="006A3796"/>
    <w:rsid w:val="006A37CE"/>
    <w:rsid w:val="006A3AE6"/>
    <w:rsid w:val="006A3FAA"/>
    <w:rsid w:val="006A3FD0"/>
    <w:rsid w:val="006A4690"/>
    <w:rsid w:val="006A47B3"/>
    <w:rsid w:val="006A4967"/>
    <w:rsid w:val="006A496F"/>
    <w:rsid w:val="006A4DF5"/>
    <w:rsid w:val="006A5085"/>
    <w:rsid w:val="006A5270"/>
    <w:rsid w:val="006A5321"/>
    <w:rsid w:val="006A552E"/>
    <w:rsid w:val="006A562A"/>
    <w:rsid w:val="006A5838"/>
    <w:rsid w:val="006A5A53"/>
    <w:rsid w:val="006A66C8"/>
    <w:rsid w:val="006A687D"/>
    <w:rsid w:val="006A6ACA"/>
    <w:rsid w:val="006A6DB1"/>
    <w:rsid w:val="006A6FCC"/>
    <w:rsid w:val="006A7081"/>
    <w:rsid w:val="006A7748"/>
    <w:rsid w:val="006A7C11"/>
    <w:rsid w:val="006B0151"/>
    <w:rsid w:val="006B0188"/>
    <w:rsid w:val="006B01CA"/>
    <w:rsid w:val="006B01CF"/>
    <w:rsid w:val="006B02A2"/>
    <w:rsid w:val="006B0448"/>
    <w:rsid w:val="006B0579"/>
    <w:rsid w:val="006B0858"/>
    <w:rsid w:val="006B098A"/>
    <w:rsid w:val="006B0996"/>
    <w:rsid w:val="006B09BA"/>
    <w:rsid w:val="006B09D5"/>
    <w:rsid w:val="006B0A2E"/>
    <w:rsid w:val="006B0D97"/>
    <w:rsid w:val="006B1193"/>
    <w:rsid w:val="006B131C"/>
    <w:rsid w:val="006B1332"/>
    <w:rsid w:val="006B1BF2"/>
    <w:rsid w:val="006B1C85"/>
    <w:rsid w:val="006B1D12"/>
    <w:rsid w:val="006B1DB4"/>
    <w:rsid w:val="006B1ECE"/>
    <w:rsid w:val="006B278E"/>
    <w:rsid w:val="006B282E"/>
    <w:rsid w:val="006B290E"/>
    <w:rsid w:val="006B2B57"/>
    <w:rsid w:val="006B320E"/>
    <w:rsid w:val="006B35DB"/>
    <w:rsid w:val="006B3706"/>
    <w:rsid w:val="006B3774"/>
    <w:rsid w:val="006B377E"/>
    <w:rsid w:val="006B3906"/>
    <w:rsid w:val="006B3A6C"/>
    <w:rsid w:val="006B3C44"/>
    <w:rsid w:val="006B448E"/>
    <w:rsid w:val="006B456E"/>
    <w:rsid w:val="006B47F8"/>
    <w:rsid w:val="006B48FD"/>
    <w:rsid w:val="006B494C"/>
    <w:rsid w:val="006B4DBD"/>
    <w:rsid w:val="006B4E50"/>
    <w:rsid w:val="006B5166"/>
    <w:rsid w:val="006B5189"/>
    <w:rsid w:val="006B525C"/>
    <w:rsid w:val="006B5342"/>
    <w:rsid w:val="006B5CFA"/>
    <w:rsid w:val="006B5DBB"/>
    <w:rsid w:val="006B602B"/>
    <w:rsid w:val="006B61A6"/>
    <w:rsid w:val="006B64A6"/>
    <w:rsid w:val="006B6565"/>
    <w:rsid w:val="006B6628"/>
    <w:rsid w:val="006B6635"/>
    <w:rsid w:val="006B6E00"/>
    <w:rsid w:val="006B6E93"/>
    <w:rsid w:val="006B6EB5"/>
    <w:rsid w:val="006B6FEC"/>
    <w:rsid w:val="006B731E"/>
    <w:rsid w:val="006B7468"/>
    <w:rsid w:val="006B75C6"/>
    <w:rsid w:val="006B79E3"/>
    <w:rsid w:val="006C01DB"/>
    <w:rsid w:val="006C0527"/>
    <w:rsid w:val="006C054F"/>
    <w:rsid w:val="006C05FC"/>
    <w:rsid w:val="006C0735"/>
    <w:rsid w:val="006C07D1"/>
    <w:rsid w:val="006C0A26"/>
    <w:rsid w:val="006C0B21"/>
    <w:rsid w:val="006C0D00"/>
    <w:rsid w:val="006C1053"/>
    <w:rsid w:val="006C126A"/>
    <w:rsid w:val="006C1292"/>
    <w:rsid w:val="006C13E9"/>
    <w:rsid w:val="006C1AAC"/>
    <w:rsid w:val="006C1D9E"/>
    <w:rsid w:val="006C1E3E"/>
    <w:rsid w:val="006C25CB"/>
    <w:rsid w:val="006C2C24"/>
    <w:rsid w:val="006C3BA9"/>
    <w:rsid w:val="006C4467"/>
    <w:rsid w:val="006C44E0"/>
    <w:rsid w:val="006C4796"/>
    <w:rsid w:val="006C47A2"/>
    <w:rsid w:val="006C4F09"/>
    <w:rsid w:val="006C501D"/>
    <w:rsid w:val="006C536A"/>
    <w:rsid w:val="006C53F5"/>
    <w:rsid w:val="006C58A0"/>
    <w:rsid w:val="006C58F1"/>
    <w:rsid w:val="006C5DD6"/>
    <w:rsid w:val="006C601B"/>
    <w:rsid w:val="006C6775"/>
    <w:rsid w:val="006C69D6"/>
    <w:rsid w:val="006C6AEC"/>
    <w:rsid w:val="006C6ED7"/>
    <w:rsid w:val="006C7136"/>
    <w:rsid w:val="006C72D7"/>
    <w:rsid w:val="006C7737"/>
    <w:rsid w:val="006C797F"/>
    <w:rsid w:val="006C79E7"/>
    <w:rsid w:val="006C7BC0"/>
    <w:rsid w:val="006C7BE4"/>
    <w:rsid w:val="006C7C2D"/>
    <w:rsid w:val="006C7E5C"/>
    <w:rsid w:val="006D02E2"/>
    <w:rsid w:val="006D0D0A"/>
    <w:rsid w:val="006D10A7"/>
    <w:rsid w:val="006D10D9"/>
    <w:rsid w:val="006D11C1"/>
    <w:rsid w:val="006D161A"/>
    <w:rsid w:val="006D1E28"/>
    <w:rsid w:val="006D2182"/>
    <w:rsid w:val="006D2266"/>
    <w:rsid w:val="006D2365"/>
    <w:rsid w:val="006D2495"/>
    <w:rsid w:val="006D274B"/>
    <w:rsid w:val="006D28CB"/>
    <w:rsid w:val="006D2AA1"/>
    <w:rsid w:val="006D2C41"/>
    <w:rsid w:val="006D3477"/>
    <w:rsid w:val="006D35C9"/>
    <w:rsid w:val="006D3E29"/>
    <w:rsid w:val="006D3F4B"/>
    <w:rsid w:val="006D3FBC"/>
    <w:rsid w:val="006D4113"/>
    <w:rsid w:val="006D42F6"/>
    <w:rsid w:val="006D4314"/>
    <w:rsid w:val="006D442D"/>
    <w:rsid w:val="006D4690"/>
    <w:rsid w:val="006D4DE8"/>
    <w:rsid w:val="006D4EA0"/>
    <w:rsid w:val="006D5E9B"/>
    <w:rsid w:val="006D5EC1"/>
    <w:rsid w:val="006D5EE3"/>
    <w:rsid w:val="006D67C9"/>
    <w:rsid w:val="006D6809"/>
    <w:rsid w:val="006D6865"/>
    <w:rsid w:val="006D68FA"/>
    <w:rsid w:val="006D68FE"/>
    <w:rsid w:val="006D695D"/>
    <w:rsid w:val="006D6B18"/>
    <w:rsid w:val="006D6DE1"/>
    <w:rsid w:val="006D72DA"/>
    <w:rsid w:val="006D72F2"/>
    <w:rsid w:val="006D786D"/>
    <w:rsid w:val="006D7B67"/>
    <w:rsid w:val="006D7F3F"/>
    <w:rsid w:val="006E0453"/>
    <w:rsid w:val="006E04DD"/>
    <w:rsid w:val="006E0797"/>
    <w:rsid w:val="006E08B0"/>
    <w:rsid w:val="006E0937"/>
    <w:rsid w:val="006E0D10"/>
    <w:rsid w:val="006E0D15"/>
    <w:rsid w:val="006E106D"/>
    <w:rsid w:val="006E10C2"/>
    <w:rsid w:val="006E1112"/>
    <w:rsid w:val="006E128E"/>
    <w:rsid w:val="006E144E"/>
    <w:rsid w:val="006E1808"/>
    <w:rsid w:val="006E1D0C"/>
    <w:rsid w:val="006E1D34"/>
    <w:rsid w:val="006E1FEC"/>
    <w:rsid w:val="006E215B"/>
    <w:rsid w:val="006E2710"/>
    <w:rsid w:val="006E2D39"/>
    <w:rsid w:val="006E313E"/>
    <w:rsid w:val="006E325A"/>
    <w:rsid w:val="006E33F7"/>
    <w:rsid w:val="006E3524"/>
    <w:rsid w:val="006E35BB"/>
    <w:rsid w:val="006E3874"/>
    <w:rsid w:val="006E3A5C"/>
    <w:rsid w:val="006E41F1"/>
    <w:rsid w:val="006E435A"/>
    <w:rsid w:val="006E4412"/>
    <w:rsid w:val="006E49A3"/>
    <w:rsid w:val="006E4C99"/>
    <w:rsid w:val="006E4F91"/>
    <w:rsid w:val="006E5639"/>
    <w:rsid w:val="006E5FB5"/>
    <w:rsid w:val="006E6354"/>
    <w:rsid w:val="006E6ABA"/>
    <w:rsid w:val="006E6CB8"/>
    <w:rsid w:val="006E6E3A"/>
    <w:rsid w:val="006E6F39"/>
    <w:rsid w:val="006E747B"/>
    <w:rsid w:val="006E7EBA"/>
    <w:rsid w:val="006E7F0D"/>
    <w:rsid w:val="006F0037"/>
    <w:rsid w:val="006F0049"/>
    <w:rsid w:val="006F0188"/>
    <w:rsid w:val="006F052C"/>
    <w:rsid w:val="006F05C2"/>
    <w:rsid w:val="006F0633"/>
    <w:rsid w:val="006F0AA3"/>
    <w:rsid w:val="006F0FF2"/>
    <w:rsid w:val="006F10E1"/>
    <w:rsid w:val="006F1598"/>
    <w:rsid w:val="006F1633"/>
    <w:rsid w:val="006F1654"/>
    <w:rsid w:val="006F1805"/>
    <w:rsid w:val="006F19F4"/>
    <w:rsid w:val="006F1F1C"/>
    <w:rsid w:val="006F1FF7"/>
    <w:rsid w:val="006F220B"/>
    <w:rsid w:val="006F230B"/>
    <w:rsid w:val="006F2731"/>
    <w:rsid w:val="006F2881"/>
    <w:rsid w:val="006F292A"/>
    <w:rsid w:val="006F29DC"/>
    <w:rsid w:val="006F2A5C"/>
    <w:rsid w:val="006F2BEE"/>
    <w:rsid w:val="006F2C3A"/>
    <w:rsid w:val="006F2C81"/>
    <w:rsid w:val="006F2E44"/>
    <w:rsid w:val="006F2F79"/>
    <w:rsid w:val="006F3297"/>
    <w:rsid w:val="006F352E"/>
    <w:rsid w:val="006F3B58"/>
    <w:rsid w:val="006F3EE0"/>
    <w:rsid w:val="006F411A"/>
    <w:rsid w:val="006F4520"/>
    <w:rsid w:val="006F4D2F"/>
    <w:rsid w:val="006F521D"/>
    <w:rsid w:val="006F52D9"/>
    <w:rsid w:val="006F5454"/>
    <w:rsid w:val="006F57C4"/>
    <w:rsid w:val="006F5825"/>
    <w:rsid w:val="006F58B5"/>
    <w:rsid w:val="006F58CD"/>
    <w:rsid w:val="006F5AA9"/>
    <w:rsid w:val="006F5C83"/>
    <w:rsid w:val="006F5CAD"/>
    <w:rsid w:val="006F5F1C"/>
    <w:rsid w:val="006F5FCE"/>
    <w:rsid w:val="006F6135"/>
    <w:rsid w:val="006F6623"/>
    <w:rsid w:val="006F6867"/>
    <w:rsid w:val="006F6CBE"/>
    <w:rsid w:val="006F6DB6"/>
    <w:rsid w:val="006F6EDE"/>
    <w:rsid w:val="006F6EE0"/>
    <w:rsid w:val="006F7D2E"/>
    <w:rsid w:val="006F7DE8"/>
    <w:rsid w:val="007000E1"/>
    <w:rsid w:val="00700251"/>
    <w:rsid w:val="007003B8"/>
    <w:rsid w:val="00700702"/>
    <w:rsid w:val="0070090E"/>
    <w:rsid w:val="00700FF7"/>
    <w:rsid w:val="00701220"/>
    <w:rsid w:val="00701246"/>
    <w:rsid w:val="007013C8"/>
    <w:rsid w:val="00701B55"/>
    <w:rsid w:val="00701FD9"/>
    <w:rsid w:val="0070211C"/>
    <w:rsid w:val="007021E0"/>
    <w:rsid w:val="007022C4"/>
    <w:rsid w:val="00702356"/>
    <w:rsid w:val="007024B5"/>
    <w:rsid w:val="00702B54"/>
    <w:rsid w:val="0070309B"/>
    <w:rsid w:val="00703191"/>
    <w:rsid w:val="00703263"/>
    <w:rsid w:val="007034FC"/>
    <w:rsid w:val="00703971"/>
    <w:rsid w:val="00704002"/>
    <w:rsid w:val="00704525"/>
    <w:rsid w:val="00704964"/>
    <w:rsid w:val="0070499A"/>
    <w:rsid w:val="00704A16"/>
    <w:rsid w:val="00704A47"/>
    <w:rsid w:val="0070526F"/>
    <w:rsid w:val="00705354"/>
    <w:rsid w:val="00705601"/>
    <w:rsid w:val="007056BE"/>
    <w:rsid w:val="007056E5"/>
    <w:rsid w:val="0070597A"/>
    <w:rsid w:val="0070603F"/>
    <w:rsid w:val="00706286"/>
    <w:rsid w:val="007062B4"/>
    <w:rsid w:val="007062E6"/>
    <w:rsid w:val="00706306"/>
    <w:rsid w:val="007065C7"/>
    <w:rsid w:val="00706760"/>
    <w:rsid w:val="007068D9"/>
    <w:rsid w:val="00706BE8"/>
    <w:rsid w:val="00707082"/>
    <w:rsid w:val="0070709B"/>
    <w:rsid w:val="00707503"/>
    <w:rsid w:val="00707535"/>
    <w:rsid w:val="00707DE3"/>
    <w:rsid w:val="00710062"/>
    <w:rsid w:val="00710492"/>
    <w:rsid w:val="00710579"/>
    <w:rsid w:val="0071066F"/>
    <w:rsid w:val="007108A6"/>
    <w:rsid w:val="00710B8B"/>
    <w:rsid w:val="00710D14"/>
    <w:rsid w:val="00710F6F"/>
    <w:rsid w:val="0071121B"/>
    <w:rsid w:val="00711550"/>
    <w:rsid w:val="0071155E"/>
    <w:rsid w:val="00711BB0"/>
    <w:rsid w:val="00711BB1"/>
    <w:rsid w:val="00711C8D"/>
    <w:rsid w:val="00711CF3"/>
    <w:rsid w:val="00711D73"/>
    <w:rsid w:val="00711FA9"/>
    <w:rsid w:val="0071219B"/>
    <w:rsid w:val="00712228"/>
    <w:rsid w:val="00712C51"/>
    <w:rsid w:val="00713522"/>
    <w:rsid w:val="00713787"/>
    <w:rsid w:val="007137B1"/>
    <w:rsid w:val="00713800"/>
    <w:rsid w:val="00713915"/>
    <w:rsid w:val="00713A72"/>
    <w:rsid w:val="00713E6F"/>
    <w:rsid w:val="00714D3F"/>
    <w:rsid w:val="00715106"/>
    <w:rsid w:val="0071547C"/>
    <w:rsid w:val="007155A2"/>
    <w:rsid w:val="007156BD"/>
    <w:rsid w:val="00715911"/>
    <w:rsid w:val="00715958"/>
    <w:rsid w:val="00715989"/>
    <w:rsid w:val="007159B9"/>
    <w:rsid w:val="00715A05"/>
    <w:rsid w:val="00715BF9"/>
    <w:rsid w:val="00715DF9"/>
    <w:rsid w:val="00715F99"/>
    <w:rsid w:val="00716103"/>
    <w:rsid w:val="00716633"/>
    <w:rsid w:val="00716930"/>
    <w:rsid w:val="0071696B"/>
    <w:rsid w:val="00716B5E"/>
    <w:rsid w:val="00716BF2"/>
    <w:rsid w:val="00716D68"/>
    <w:rsid w:val="0071715F"/>
    <w:rsid w:val="0071782F"/>
    <w:rsid w:val="0071786D"/>
    <w:rsid w:val="00717E3C"/>
    <w:rsid w:val="00717F07"/>
    <w:rsid w:val="00717F9C"/>
    <w:rsid w:val="00720106"/>
    <w:rsid w:val="0072031E"/>
    <w:rsid w:val="00720327"/>
    <w:rsid w:val="00720717"/>
    <w:rsid w:val="007207BB"/>
    <w:rsid w:val="00720811"/>
    <w:rsid w:val="007208FA"/>
    <w:rsid w:val="00720C11"/>
    <w:rsid w:val="00720E98"/>
    <w:rsid w:val="00721D19"/>
    <w:rsid w:val="00721E25"/>
    <w:rsid w:val="00721F98"/>
    <w:rsid w:val="00721FD4"/>
    <w:rsid w:val="00722084"/>
    <w:rsid w:val="0072212C"/>
    <w:rsid w:val="0072222C"/>
    <w:rsid w:val="00722532"/>
    <w:rsid w:val="00722879"/>
    <w:rsid w:val="00722D64"/>
    <w:rsid w:val="007238F3"/>
    <w:rsid w:val="007239D7"/>
    <w:rsid w:val="00723C78"/>
    <w:rsid w:val="00723EBC"/>
    <w:rsid w:val="007240AE"/>
    <w:rsid w:val="007242B1"/>
    <w:rsid w:val="00724563"/>
    <w:rsid w:val="007245EB"/>
    <w:rsid w:val="0072468E"/>
    <w:rsid w:val="00724774"/>
    <w:rsid w:val="00724938"/>
    <w:rsid w:val="00725099"/>
    <w:rsid w:val="0072539A"/>
    <w:rsid w:val="007253F9"/>
    <w:rsid w:val="0072551F"/>
    <w:rsid w:val="007257A5"/>
    <w:rsid w:val="00725CCA"/>
    <w:rsid w:val="00725FDF"/>
    <w:rsid w:val="0072603A"/>
    <w:rsid w:val="0072629F"/>
    <w:rsid w:val="007264C7"/>
    <w:rsid w:val="00726865"/>
    <w:rsid w:val="007268F9"/>
    <w:rsid w:val="00726992"/>
    <w:rsid w:val="00726DD7"/>
    <w:rsid w:val="00726F7F"/>
    <w:rsid w:val="00726FEE"/>
    <w:rsid w:val="007270C1"/>
    <w:rsid w:val="00727194"/>
    <w:rsid w:val="007273B5"/>
    <w:rsid w:val="00727406"/>
    <w:rsid w:val="00727512"/>
    <w:rsid w:val="0072769F"/>
    <w:rsid w:val="00727713"/>
    <w:rsid w:val="00727FFB"/>
    <w:rsid w:val="0073019D"/>
    <w:rsid w:val="007301C5"/>
    <w:rsid w:val="007304AD"/>
    <w:rsid w:val="00730565"/>
    <w:rsid w:val="0073080B"/>
    <w:rsid w:val="00730A27"/>
    <w:rsid w:val="00730E4A"/>
    <w:rsid w:val="00730E9F"/>
    <w:rsid w:val="00731746"/>
    <w:rsid w:val="007317F5"/>
    <w:rsid w:val="007318F1"/>
    <w:rsid w:val="00731B38"/>
    <w:rsid w:val="00731D5B"/>
    <w:rsid w:val="007320C8"/>
    <w:rsid w:val="0073234D"/>
    <w:rsid w:val="007324F3"/>
    <w:rsid w:val="00732A9D"/>
    <w:rsid w:val="00732CDA"/>
    <w:rsid w:val="007330C3"/>
    <w:rsid w:val="007330DC"/>
    <w:rsid w:val="00733444"/>
    <w:rsid w:val="007334B5"/>
    <w:rsid w:val="00733734"/>
    <w:rsid w:val="007337A2"/>
    <w:rsid w:val="007339DD"/>
    <w:rsid w:val="00733B01"/>
    <w:rsid w:val="00733C45"/>
    <w:rsid w:val="00733FF8"/>
    <w:rsid w:val="00734163"/>
    <w:rsid w:val="007342D1"/>
    <w:rsid w:val="0073457F"/>
    <w:rsid w:val="00734647"/>
    <w:rsid w:val="007347B2"/>
    <w:rsid w:val="007349B8"/>
    <w:rsid w:val="00735157"/>
    <w:rsid w:val="00735808"/>
    <w:rsid w:val="007358AC"/>
    <w:rsid w:val="00735934"/>
    <w:rsid w:val="00735AF9"/>
    <w:rsid w:val="00735C13"/>
    <w:rsid w:val="00735D1C"/>
    <w:rsid w:val="00735DEC"/>
    <w:rsid w:val="007365CD"/>
    <w:rsid w:val="007366C8"/>
    <w:rsid w:val="00737546"/>
    <w:rsid w:val="00737590"/>
    <w:rsid w:val="007379FC"/>
    <w:rsid w:val="00737EA2"/>
    <w:rsid w:val="0074012D"/>
    <w:rsid w:val="00740155"/>
    <w:rsid w:val="0074020D"/>
    <w:rsid w:val="00740375"/>
    <w:rsid w:val="00740385"/>
    <w:rsid w:val="00740433"/>
    <w:rsid w:val="00740506"/>
    <w:rsid w:val="00740618"/>
    <w:rsid w:val="007406E4"/>
    <w:rsid w:val="00740ADE"/>
    <w:rsid w:val="00740C06"/>
    <w:rsid w:val="0074104C"/>
    <w:rsid w:val="007411B1"/>
    <w:rsid w:val="00741277"/>
    <w:rsid w:val="007415E9"/>
    <w:rsid w:val="007417CE"/>
    <w:rsid w:val="00741A51"/>
    <w:rsid w:val="00741B3E"/>
    <w:rsid w:val="00741EFC"/>
    <w:rsid w:val="00742011"/>
    <w:rsid w:val="007423DB"/>
    <w:rsid w:val="007423E0"/>
    <w:rsid w:val="00742AE9"/>
    <w:rsid w:val="00742B71"/>
    <w:rsid w:val="00742F5C"/>
    <w:rsid w:val="007430C5"/>
    <w:rsid w:val="0074330C"/>
    <w:rsid w:val="00743552"/>
    <w:rsid w:val="00743911"/>
    <w:rsid w:val="00743AB7"/>
    <w:rsid w:val="00743B84"/>
    <w:rsid w:val="0074402F"/>
    <w:rsid w:val="00744171"/>
    <w:rsid w:val="007441B8"/>
    <w:rsid w:val="007443FC"/>
    <w:rsid w:val="0074460A"/>
    <w:rsid w:val="007447F6"/>
    <w:rsid w:val="00744842"/>
    <w:rsid w:val="00744B43"/>
    <w:rsid w:val="00744C36"/>
    <w:rsid w:val="00744C37"/>
    <w:rsid w:val="00744DD3"/>
    <w:rsid w:val="00744F01"/>
    <w:rsid w:val="00744F11"/>
    <w:rsid w:val="00745378"/>
    <w:rsid w:val="00745723"/>
    <w:rsid w:val="00745925"/>
    <w:rsid w:val="00745F2B"/>
    <w:rsid w:val="007460B4"/>
    <w:rsid w:val="00746296"/>
    <w:rsid w:val="00746462"/>
    <w:rsid w:val="00746809"/>
    <w:rsid w:val="0074681C"/>
    <w:rsid w:val="00746903"/>
    <w:rsid w:val="00746B13"/>
    <w:rsid w:val="00746C43"/>
    <w:rsid w:val="00746DA4"/>
    <w:rsid w:val="00747116"/>
    <w:rsid w:val="00747176"/>
    <w:rsid w:val="0074729F"/>
    <w:rsid w:val="007472AD"/>
    <w:rsid w:val="0074757A"/>
    <w:rsid w:val="00747675"/>
    <w:rsid w:val="00747870"/>
    <w:rsid w:val="00747B47"/>
    <w:rsid w:val="00747DD5"/>
    <w:rsid w:val="00747F04"/>
    <w:rsid w:val="00750563"/>
    <w:rsid w:val="00750AE2"/>
    <w:rsid w:val="00750C01"/>
    <w:rsid w:val="00750E0A"/>
    <w:rsid w:val="00750E5E"/>
    <w:rsid w:val="00750EB2"/>
    <w:rsid w:val="0075107C"/>
    <w:rsid w:val="007511C9"/>
    <w:rsid w:val="007511E8"/>
    <w:rsid w:val="0075157C"/>
    <w:rsid w:val="0075180F"/>
    <w:rsid w:val="00751E03"/>
    <w:rsid w:val="007520DF"/>
    <w:rsid w:val="0075221C"/>
    <w:rsid w:val="007527A9"/>
    <w:rsid w:val="0075289C"/>
    <w:rsid w:val="00752955"/>
    <w:rsid w:val="007529D8"/>
    <w:rsid w:val="00753332"/>
    <w:rsid w:val="00753672"/>
    <w:rsid w:val="00753A10"/>
    <w:rsid w:val="00754815"/>
    <w:rsid w:val="007548B9"/>
    <w:rsid w:val="00754C1D"/>
    <w:rsid w:val="00754E85"/>
    <w:rsid w:val="00754FE3"/>
    <w:rsid w:val="007554FC"/>
    <w:rsid w:val="00755839"/>
    <w:rsid w:val="00756005"/>
    <w:rsid w:val="00756191"/>
    <w:rsid w:val="007562F2"/>
    <w:rsid w:val="0075632B"/>
    <w:rsid w:val="00756AA5"/>
    <w:rsid w:val="00756C15"/>
    <w:rsid w:val="00756EB8"/>
    <w:rsid w:val="007577BF"/>
    <w:rsid w:val="00757BBA"/>
    <w:rsid w:val="0076026C"/>
    <w:rsid w:val="007603BA"/>
    <w:rsid w:val="00760AEF"/>
    <w:rsid w:val="00760E86"/>
    <w:rsid w:val="007610D5"/>
    <w:rsid w:val="0076122C"/>
    <w:rsid w:val="00761E92"/>
    <w:rsid w:val="00762348"/>
    <w:rsid w:val="007623B8"/>
    <w:rsid w:val="007625BB"/>
    <w:rsid w:val="0076268F"/>
    <w:rsid w:val="0076272B"/>
    <w:rsid w:val="00762DD5"/>
    <w:rsid w:val="00762DDA"/>
    <w:rsid w:val="00762E35"/>
    <w:rsid w:val="00762EBC"/>
    <w:rsid w:val="00763152"/>
    <w:rsid w:val="00763495"/>
    <w:rsid w:val="0076375E"/>
    <w:rsid w:val="0076394C"/>
    <w:rsid w:val="00763B13"/>
    <w:rsid w:val="00763E21"/>
    <w:rsid w:val="00763E84"/>
    <w:rsid w:val="00763F7D"/>
    <w:rsid w:val="00764147"/>
    <w:rsid w:val="0076422D"/>
    <w:rsid w:val="0076425F"/>
    <w:rsid w:val="0076451E"/>
    <w:rsid w:val="0076454B"/>
    <w:rsid w:val="00764DB4"/>
    <w:rsid w:val="00764E06"/>
    <w:rsid w:val="0076530D"/>
    <w:rsid w:val="007657A2"/>
    <w:rsid w:val="0076593B"/>
    <w:rsid w:val="00765A47"/>
    <w:rsid w:val="00765A92"/>
    <w:rsid w:val="00765C4D"/>
    <w:rsid w:val="00765D2C"/>
    <w:rsid w:val="00765D3F"/>
    <w:rsid w:val="00765EDC"/>
    <w:rsid w:val="0076612F"/>
    <w:rsid w:val="0076629D"/>
    <w:rsid w:val="00766527"/>
    <w:rsid w:val="00766704"/>
    <w:rsid w:val="0076691D"/>
    <w:rsid w:val="00766D2A"/>
    <w:rsid w:val="00766D7C"/>
    <w:rsid w:val="00766EF3"/>
    <w:rsid w:val="00766EF7"/>
    <w:rsid w:val="0076714E"/>
    <w:rsid w:val="007677B7"/>
    <w:rsid w:val="00767969"/>
    <w:rsid w:val="00767A0A"/>
    <w:rsid w:val="00767A55"/>
    <w:rsid w:val="00767BE0"/>
    <w:rsid w:val="00767DB0"/>
    <w:rsid w:val="00767DB8"/>
    <w:rsid w:val="007707D1"/>
    <w:rsid w:val="007710FB"/>
    <w:rsid w:val="00771330"/>
    <w:rsid w:val="00771665"/>
    <w:rsid w:val="0077166E"/>
    <w:rsid w:val="0077199A"/>
    <w:rsid w:val="00772162"/>
    <w:rsid w:val="007721D1"/>
    <w:rsid w:val="007722AB"/>
    <w:rsid w:val="00772314"/>
    <w:rsid w:val="00772505"/>
    <w:rsid w:val="007726FD"/>
    <w:rsid w:val="0077294F"/>
    <w:rsid w:val="00772984"/>
    <w:rsid w:val="00772EE2"/>
    <w:rsid w:val="007732C3"/>
    <w:rsid w:val="007733A9"/>
    <w:rsid w:val="0077366B"/>
    <w:rsid w:val="0077399B"/>
    <w:rsid w:val="0077399E"/>
    <w:rsid w:val="0077430B"/>
    <w:rsid w:val="007743BB"/>
    <w:rsid w:val="0077446C"/>
    <w:rsid w:val="00774635"/>
    <w:rsid w:val="00774AB1"/>
    <w:rsid w:val="00774E00"/>
    <w:rsid w:val="00775020"/>
    <w:rsid w:val="00775B8B"/>
    <w:rsid w:val="00775F04"/>
    <w:rsid w:val="007769A7"/>
    <w:rsid w:val="00776ADB"/>
    <w:rsid w:val="00776B88"/>
    <w:rsid w:val="00776D37"/>
    <w:rsid w:val="00776E3A"/>
    <w:rsid w:val="0077719D"/>
    <w:rsid w:val="00777334"/>
    <w:rsid w:val="0077734A"/>
    <w:rsid w:val="007773C1"/>
    <w:rsid w:val="0077747C"/>
    <w:rsid w:val="007774EE"/>
    <w:rsid w:val="007775B9"/>
    <w:rsid w:val="007777DA"/>
    <w:rsid w:val="00777E2F"/>
    <w:rsid w:val="007800ED"/>
    <w:rsid w:val="00780477"/>
    <w:rsid w:val="00780756"/>
    <w:rsid w:val="007808B6"/>
    <w:rsid w:val="00780947"/>
    <w:rsid w:val="00780C61"/>
    <w:rsid w:val="00780F0E"/>
    <w:rsid w:val="00780F83"/>
    <w:rsid w:val="00781233"/>
    <w:rsid w:val="007813EB"/>
    <w:rsid w:val="007814E8"/>
    <w:rsid w:val="00781B61"/>
    <w:rsid w:val="00781C32"/>
    <w:rsid w:val="00781D22"/>
    <w:rsid w:val="00781D47"/>
    <w:rsid w:val="00781E26"/>
    <w:rsid w:val="00781EF6"/>
    <w:rsid w:val="007822DC"/>
    <w:rsid w:val="0078237D"/>
    <w:rsid w:val="00782752"/>
    <w:rsid w:val="00782A88"/>
    <w:rsid w:val="00782B04"/>
    <w:rsid w:val="00782FB1"/>
    <w:rsid w:val="00783169"/>
    <w:rsid w:val="007831FF"/>
    <w:rsid w:val="0078330B"/>
    <w:rsid w:val="007837EF"/>
    <w:rsid w:val="00783DD3"/>
    <w:rsid w:val="00783DD7"/>
    <w:rsid w:val="00783FF5"/>
    <w:rsid w:val="0078444B"/>
    <w:rsid w:val="007847A4"/>
    <w:rsid w:val="0078481E"/>
    <w:rsid w:val="00784893"/>
    <w:rsid w:val="00784DDE"/>
    <w:rsid w:val="007852EE"/>
    <w:rsid w:val="00785483"/>
    <w:rsid w:val="00785907"/>
    <w:rsid w:val="0078595D"/>
    <w:rsid w:val="00785B8A"/>
    <w:rsid w:val="00785D19"/>
    <w:rsid w:val="00785EB5"/>
    <w:rsid w:val="00785FAB"/>
    <w:rsid w:val="00786215"/>
    <w:rsid w:val="0078648D"/>
    <w:rsid w:val="0078654E"/>
    <w:rsid w:val="007866A9"/>
    <w:rsid w:val="007866FC"/>
    <w:rsid w:val="00786868"/>
    <w:rsid w:val="00786C4D"/>
    <w:rsid w:val="00786EA4"/>
    <w:rsid w:val="00786F11"/>
    <w:rsid w:val="00787443"/>
    <w:rsid w:val="00787774"/>
    <w:rsid w:val="007878F5"/>
    <w:rsid w:val="00787E3C"/>
    <w:rsid w:val="00787F4F"/>
    <w:rsid w:val="007900E6"/>
    <w:rsid w:val="00790108"/>
    <w:rsid w:val="00790129"/>
    <w:rsid w:val="007907B2"/>
    <w:rsid w:val="00790A17"/>
    <w:rsid w:val="00790E10"/>
    <w:rsid w:val="007911DE"/>
    <w:rsid w:val="0079126F"/>
    <w:rsid w:val="00791607"/>
    <w:rsid w:val="0079173C"/>
    <w:rsid w:val="00791EC1"/>
    <w:rsid w:val="007920F1"/>
    <w:rsid w:val="0079230E"/>
    <w:rsid w:val="0079249D"/>
    <w:rsid w:val="00792522"/>
    <w:rsid w:val="0079285E"/>
    <w:rsid w:val="00792BA8"/>
    <w:rsid w:val="00792BF8"/>
    <w:rsid w:val="007935E6"/>
    <w:rsid w:val="007936E2"/>
    <w:rsid w:val="00793A84"/>
    <w:rsid w:val="00793B5B"/>
    <w:rsid w:val="00793DAB"/>
    <w:rsid w:val="00793EE2"/>
    <w:rsid w:val="007942E4"/>
    <w:rsid w:val="00794470"/>
    <w:rsid w:val="007947CD"/>
    <w:rsid w:val="0079491B"/>
    <w:rsid w:val="00794BB5"/>
    <w:rsid w:val="00795271"/>
    <w:rsid w:val="007954B3"/>
    <w:rsid w:val="007956AB"/>
    <w:rsid w:val="007956E2"/>
    <w:rsid w:val="00795984"/>
    <w:rsid w:val="007964AB"/>
    <w:rsid w:val="007965C2"/>
    <w:rsid w:val="00796736"/>
    <w:rsid w:val="00796C90"/>
    <w:rsid w:val="0079702C"/>
    <w:rsid w:val="007971C2"/>
    <w:rsid w:val="007971DB"/>
    <w:rsid w:val="0079736A"/>
    <w:rsid w:val="007975E6"/>
    <w:rsid w:val="0079762F"/>
    <w:rsid w:val="00797A26"/>
    <w:rsid w:val="00797DAA"/>
    <w:rsid w:val="007A00A7"/>
    <w:rsid w:val="007A0210"/>
    <w:rsid w:val="007A02D2"/>
    <w:rsid w:val="007A035A"/>
    <w:rsid w:val="007A043C"/>
    <w:rsid w:val="007A0C76"/>
    <w:rsid w:val="007A0D48"/>
    <w:rsid w:val="007A0F9A"/>
    <w:rsid w:val="007A15DB"/>
    <w:rsid w:val="007A179D"/>
    <w:rsid w:val="007A17B8"/>
    <w:rsid w:val="007A1C4A"/>
    <w:rsid w:val="007A211C"/>
    <w:rsid w:val="007A2249"/>
    <w:rsid w:val="007A30E9"/>
    <w:rsid w:val="007A35CC"/>
    <w:rsid w:val="007A36CE"/>
    <w:rsid w:val="007A38D2"/>
    <w:rsid w:val="007A3B9E"/>
    <w:rsid w:val="007A3BFD"/>
    <w:rsid w:val="007A4150"/>
    <w:rsid w:val="007A4220"/>
    <w:rsid w:val="007A425C"/>
    <w:rsid w:val="007A4B21"/>
    <w:rsid w:val="007A4BEA"/>
    <w:rsid w:val="007A4DB1"/>
    <w:rsid w:val="007A4DD3"/>
    <w:rsid w:val="007A4E2C"/>
    <w:rsid w:val="007A4F91"/>
    <w:rsid w:val="007A4FA0"/>
    <w:rsid w:val="007A5158"/>
    <w:rsid w:val="007A53FA"/>
    <w:rsid w:val="007A55B1"/>
    <w:rsid w:val="007A56E3"/>
    <w:rsid w:val="007A58D3"/>
    <w:rsid w:val="007A5996"/>
    <w:rsid w:val="007A59CC"/>
    <w:rsid w:val="007A5BBE"/>
    <w:rsid w:val="007A5DBB"/>
    <w:rsid w:val="007A5F7F"/>
    <w:rsid w:val="007A5FB5"/>
    <w:rsid w:val="007A66A2"/>
    <w:rsid w:val="007A6F29"/>
    <w:rsid w:val="007A6FB2"/>
    <w:rsid w:val="007A70D2"/>
    <w:rsid w:val="007A7242"/>
    <w:rsid w:val="007A73A4"/>
    <w:rsid w:val="007A752F"/>
    <w:rsid w:val="007A75D9"/>
    <w:rsid w:val="007A76FE"/>
    <w:rsid w:val="007A7E22"/>
    <w:rsid w:val="007B01A0"/>
    <w:rsid w:val="007B048C"/>
    <w:rsid w:val="007B05C1"/>
    <w:rsid w:val="007B06FB"/>
    <w:rsid w:val="007B07B1"/>
    <w:rsid w:val="007B0A71"/>
    <w:rsid w:val="007B12EF"/>
    <w:rsid w:val="007B16DD"/>
    <w:rsid w:val="007B1906"/>
    <w:rsid w:val="007B1B57"/>
    <w:rsid w:val="007B1B85"/>
    <w:rsid w:val="007B1FBB"/>
    <w:rsid w:val="007B1FE7"/>
    <w:rsid w:val="007B214A"/>
    <w:rsid w:val="007B21CC"/>
    <w:rsid w:val="007B23C1"/>
    <w:rsid w:val="007B26E1"/>
    <w:rsid w:val="007B28F5"/>
    <w:rsid w:val="007B2959"/>
    <w:rsid w:val="007B2C4E"/>
    <w:rsid w:val="007B2E45"/>
    <w:rsid w:val="007B3030"/>
    <w:rsid w:val="007B3283"/>
    <w:rsid w:val="007B39B3"/>
    <w:rsid w:val="007B3A95"/>
    <w:rsid w:val="007B3E9E"/>
    <w:rsid w:val="007B4116"/>
    <w:rsid w:val="007B4B9E"/>
    <w:rsid w:val="007B4FCD"/>
    <w:rsid w:val="007B4FFE"/>
    <w:rsid w:val="007B516F"/>
    <w:rsid w:val="007B5203"/>
    <w:rsid w:val="007B544C"/>
    <w:rsid w:val="007B54B4"/>
    <w:rsid w:val="007B57BC"/>
    <w:rsid w:val="007B5AA4"/>
    <w:rsid w:val="007B5D9B"/>
    <w:rsid w:val="007B5FC7"/>
    <w:rsid w:val="007B5FD2"/>
    <w:rsid w:val="007B6362"/>
    <w:rsid w:val="007B65E1"/>
    <w:rsid w:val="007B691C"/>
    <w:rsid w:val="007B6BDF"/>
    <w:rsid w:val="007B6C53"/>
    <w:rsid w:val="007B7054"/>
    <w:rsid w:val="007B72CE"/>
    <w:rsid w:val="007B72D8"/>
    <w:rsid w:val="007B7689"/>
    <w:rsid w:val="007B776E"/>
    <w:rsid w:val="007B7832"/>
    <w:rsid w:val="007B78A4"/>
    <w:rsid w:val="007B7EDE"/>
    <w:rsid w:val="007C0108"/>
    <w:rsid w:val="007C0513"/>
    <w:rsid w:val="007C0A10"/>
    <w:rsid w:val="007C0A22"/>
    <w:rsid w:val="007C0A94"/>
    <w:rsid w:val="007C0C8C"/>
    <w:rsid w:val="007C102D"/>
    <w:rsid w:val="007C109C"/>
    <w:rsid w:val="007C134B"/>
    <w:rsid w:val="007C1DBA"/>
    <w:rsid w:val="007C2001"/>
    <w:rsid w:val="007C20D1"/>
    <w:rsid w:val="007C22EE"/>
    <w:rsid w:val="007C230B"/>
    <w:rsid w:val="007C2550"/>
    <w:rsid w:val="007C2725"/>
    <w:rsid w:val="007C2A5D"/>
    <w:rsid w:val="007C2D1B"/>
    <w:rsid w:val="007C2E2F"/>
    <w:rsid w:val="007C3005"/>
    <w:rsid w:val="007C3154"/>
    <w:rsid w:val="007C31D3"/>
    <w:rsid w:val="007C31E4"/>
    <w:rsid w:val="007C3253"/>
    <w:rsid w:val="007C35CB"/>
    <w:rsid w:val="007C36C6"/>
    <w:rsid w:val="007C36E7"/>
    <w:rsid w:val="007C3929"/>
    <w:rsid w:val="007C3E63"/>
    <w:rsid w:val="007C3F59"/>
    <w:rsid w:val="007C4122"/>
    <w:rsid w:val="007C4239"/>
    <w:rsid w:val="007C4322"/>
    <w:rsid w:val="007C4A1C"/>
    <w:rsid w:val="007C4AC1"/>
    <w:rsid w:val="007C4AE8"/>
    <w:rsid w:val="007C4BC5"/>
    <w:rsid w:val="007C4D63"/>
    <w:rsid w:val="007C4EAA"/>
    <w:rsid w:val="007C505F"/>
    <w:rsid w:val="007C54AA"/>
    <w:rsid w:val="007C5709"/>
    <w:rsid w:val="007C5AB4"/>
    <w:rsid w:val="007C5DA2"/>
    <w:rsid w:val="007C5E38"/>
    <w:rsid w:val="007C5F96"/>
    <w:rsid w:val="007C6171"/>
    <w:rsid w:val="007C6822"/>
    <w:rsid w:val="007C68A4"/>
    <w:rsid w:val="007C696B"/>
    <w:rsid w:val="007C6B98"/>
    <w:rsid w:val="007C6BD6"/>
    <w:rsid w:val="007C6C06"/>
    <w:rsid w:val="007C6E2D"/>
    <w:rsid w:val="007C7045"/>
    <w:rsid w:val="007C74D2"/>
    <w:rsid w:val="007C7A2E"/>
    <w:rsid w:val="007C7D14"/>
    <w:rsid w:val="007C7F11"/>
    <w:rsid w:val="007D09FA"/>
    <w:rsid w:val="007D0C0A"/>
    <w:rsid w:val="007D0CD4"/>
    <w:rsid w:val="007D114F"/>
    <w:rsid w:val="007D1305"/>
    <w:rsid w:val="007D14EB"/>
    <w:rsid w:val="007D175F"/>
    <w:rsid w:val="007D1D91"/>
    <w:rsid w:val="007D210A"/>
    <w:rsid w:val="007D21B5"/>
    <w:rsid w:val="007D233F"/>
    <w:rsid w:val="007D2B62"/>
    <w:rsid w:val="007D2DAC"/>
    <w:rsid w:val="007D2F19"/>
    <w:rsid w:val="007D3718"/>
    <w:rsid w:val="007D3832"/>
    <w:rsid w:val="007D386D"/>
    <w:rsid w:val="007D3954"/>
    <w:rsid w:val="007D3B73"/>
    <w:rsid w:val="007D3E41"/>
    <w:rsid w:val="007D4093"/>
    <w:rsid w:val="007D4575"/>
    <w:rsid w:val="007D486A"/>
    <w:rsid w:val="007D49E0"/>
    <w:rsid w:val="007D51DA"/>
    <w:rsid w:val="007D53AF"/>
    <w:rsid w:val="007D53BF"/>
    <w:rsid w:val="007D547D"/>
    <w:rsid w:val="007D5797"/>
    <w:rsid w:val="007D597B"/>
    <w:rsid w:val="007D5D87"/>
    <w:rsid w:val="007D6514"/>
    <w:rsid w:val="007D65A0"/>
    <w:rsid w:val="007D68F5"/>
    <w:rsid w:val="007D6BD0"/>
    <w:rsid w:val="007D6F88"/>
    <w:rsid w:val="007D6F96"/>
    <w:rsid w:val="007D7117"/>
    <w:rsid w:val="007D737C"/>
    <w:rsid w:val="007D782F"/>
    <w:rsid w:val="007D7CDF"/>
    <w:rsid w:val="007D7D0D"/>
    <w:rsid w:val="007E00A9"/>
    <w:rsid w:val="007E0384"/>
    <w:rsid w:val="007E04F7"/>
    <w:rsid w:val="007E085D"/>
    <w:rsid w:val="007E0D97"/>
    <w:rsid w:val="007E11A5"/>
    <w:rsid w:val="007E12F0"/>
    <w:rsid w:val="007E160D"/>
    <w:rsid w:val="007E175C"/>
    <w:rsid w:val="007E1985"/>
    <w:rsid w:val="007E1A38"/>
    <w:rsid w:val="007E1A54"/>
    <w:rsid w:val="007E1BE9"/>
    <w:rsid w:val="007E207E"/>
    <w:rsid w:val="007E20B8"/>
    <w:rsid w:val="007E23BD"/>
    <w:rsid w:val="007E247B"/>
    <w:rsid w:val="007E2586"/>
    <w:rsid w:val="007E25CD"/>
    <w:rsid w:val="007E26EF"/>
    <w:rsid w:val="007E294F"/>
    <w:rsid w:val="007E29D0"/>
    <w:rsid w:val="007E2ABF"/>
    <w:rsid w:val="007E2E2F"/>
    <w:rsid w:val="007E2EEA"/>
    <w:rsid w:val="007E2FFA"/>
    <w:rsid w:val="007E30B1"/>
    <w:rsid w:val="007E340B"/>
    <w:rsid w:val="007E3463"/>
    <w:rsid w:val="007E395E"/>
    <w:rsid w:val="007E39F4"/>
    <w:rsid w:val="007E3BE3"/>
    <w:rsid w:val="007E3CFC"/>
    <w:rsid w:val="007E3D6B"/>
    <w:rsid w:val="007E3E60"/>
    <w:rsid w:val="007E3E92"/>
    <w:rsid w:val="007E4091"/>
    <w:rsid w:val="007E40FD"/>
    <w:rsid w:val="007E44A0"/>
    <w:rsid w:val="007E50A5"/>
    <w:rsid w:val="007E5A25"/>
    <w:rsid w:val="007E5BA9"/>
    <w:rsid w:val="007E5CE4"/>
    <w:rsid w:val="007E60A5"/>
    <w:rsid w:val="007E6392"/>
    <w:rsid w:val="007E64AA"/>
    <w:rsid w:val="007E67AA"/>
    <w:rsid w:val="007E684E"/>
    <w:rsid w:val="007E687D"/>
    <w:rsid w:val="007E6EE1"/>
    <w:rsid w:val="007E70EE"/>
    <w:rsid w:val="007E710C"/>
    <w:rsid w:val="007E72AA"/>
    <w:rsid w:val="007E749A"/>
    <w:rsid w:val="007E77E9"/>
    <w:rsid w:val="007E7863"/>
    <w:rsid w:val="007E7B0D"/>
    <w:rsid w:val="007E7DDB"/>
    <w:rsid w:val="007E7EA1"/>
    <w:rsid w:val="007F03DC"/>
    <w:rsid w:val="007F088D"/>
    <w:rsid w:val="007F0A68"/>
    <w:rsid w:val="007F0E06"/>
    <w:rsid w:val="007F10F0"/>
    <w:rsid w:val="007F20FE"/>
    <w:rsid w:val="007F210C"/>
    <w:rsid w:val="007F2130"/>
    <w:rsid w:val="007F2681"/>
    <w:rsid w:val="007F26E7"/>
    <w:rsid w:val="007F2716"/>
    <w:rsid w:val="007F2862"/>
    <w:rsid w:val="007F2883"/>
    <w:rsid w:val="007F3249"/>
    <w:rsid w:val="007F33D2"/>
    <w:rsid w:val="007F34A7"/>
    <w:rsid w:val="007F3764"/>
    <w:rsid w:val="007F3C20"/>
    <w:rsid w:val="007F40A2"/>
    <w:rsid w:val="007F42E7"/>
    <w:rsid w:val="007F4333"/>
    <w:rsid w:val="007F4725"/>
    <w:rsid w:val="007F4BE9"/>
    <w:rsid w:val="007F5053"/>
    <w:rsid w:val="007F507D"/>
    <w:rsid w:val="007F52A7"/>
    <w:rsid w:val="007F537F"/>
    <w:rsid w:val="007F5505"/>
    <w:rsid w:val="007F55EA"/>
    <w:rsid w:val="007F568F"/>
    <w:rsid w:val="007F587A"/>
    <w:rsid w:val="007F5AE6"/>
    <w:rsid w:val="007F5AFE"/>
    <w:rsid w:val="007F5E72"/>
    <w:rsid w:val="007F5F23"/>
    <w:rsid w:val="007F6051"/>
    <w:rsid w:val="007F611C"/>
    <w:rsid w:val="007F6389"/>
    <w:rsid w:val="007F6506"/>
    <w:rsid w:val="007F713B"/>
    <w:rsid w:val="007F752C"/>
    <w:rsid w:val="007F7578"/>
    <w:rsid w:val="007F76A6"/>
    <w:rsid w:val="007F774E"/>
    <w:rsid w:val="008002F7"/>
    <w:rsid w:val="008006FA"/>
    <w:rsid w:val="0080079B"/>
    <w:rsid w:val="008008C7"/>
    <w:rsid w:val="008008CA"/>
    <w:rsid w:val="00800E29"/>
    <w:rsid w:val="0080116D"/>
    <w:rsid w:val="00801340"/>
    <w:rsid w:val="00801740"/>
    <w:rsid w:val="008020BD"/>
    <w:rsid w:val="00802526"/>
    <w:rsid w:val="00802695"/>
    <w:rsid w:val="00802924"/>
    <w:rsid w:val="0080294E"/>
    <w:rsid w:val="008029A9"/>
    <w:rsid w:val="00802BF0"/>
    <w:rsid w:val="00802C60"/>
    <w:rsid w:val="00802CC0"/>
    <w:rsid w:val="00802E68"/>
    <w:rsid w:val="008035E8"/>
    <w:rsid w:val="00803770"/>
    <w:rsid w:val="00803DA3"/>
    <w:rsid w:val="00803FB1"/>
    <w:rsid w:val="0080469C"/>
    <w:rsid w:val="0080476D"/>
    <w:rsid w:val="00804867"/>
    <w:rsid w:val="00804A2E"/>
    <w:rsid w:val="00804A42"/>
    <w:rsid w:val="00804ABC"/>
    <w:rsid w:val="00804D92"/>
    <w:rsid w:val="008053DC"/>
    <w:rsid w:val="008055D1"/>
    <w:rsid w:val="00805C9F"/>
    <w:rsid w:val="00805E42"/>
    <w:rsid w:val="00806061"/>
    <w:rsid w:val="008060C2"/>
    <w:rsid w:val="0080629C"/>
    <w:rsid w:val="00806458"/>
    <w:rsid w:val="0080654E"/>
    <w:rsid w:val="0080659C"/>
    <w:rsid w:val="008065BC"/>
    <w:rsid w:val="00806C8E"/>
    <w:rsid w:val="008070D2"/>
    <w:rsid w:val="00807171"/>
    <w:rsid w:val="00807749"/>
    <w:rsid w:val="008077DB"/>
    <w:rsid w:val="0080799E"/>
    <w:rsid w:val="008100F9"/>
    <w:rsid w:val="0081043B"/>
    <w:rsid w:val="00810923"/>
    <w:rsid w:val="00810C7B"/>
    <w:rsid w:val="00810DFB"/>
    <w:rsid w:val="00810E48"/>
    <w:rsid w:val="008117B4"/>
    <w:rsid w:val="00811A19"/>
    <w:rsid w:val="0081232D"/>
    <w:rsid w:val="00812478"/>
    <w:rsid w:val="008124AB"/>
    <w:rsid w:val="00812779"/>
    <w:rsid w:val="008129CB"/>
    <w:rsid w:val="00812CD2"/>
    <w:rsid w:val="00812D4C"/>
    <w:rsid w:val="008131A9"/>
    <w:rsid w:val="00813275"/>
    <w:rsid w:val="00813778"/>
    <w:rsid w:val="008137D6"/>
    <w:rsid w:val="008137E0"/>
    <w:rsid w:val="00813AAA"/>
    <w:rsid w:val="00813BCA"/>
    <w:rsid w:val="00813E9B"/>
    <w:rsid w:val="008141F3"/>
    <w:rsid w:val="00814309"/>
    <w:rsid w:val="00814381"/>
    <w:rsid w:val="00814573"/>
    <w:rsid w:val="008145E1"/>
    <w:rsid w:val="00814728"/>
    <w:rsid w:val="00814A7A"/>
    <w:rsid w:val="00814EF2"/>
    <w:rsid w:val="00815010"/>
    <w:rsid w:val="00815264"/>
    <w:rsid w:val="00815313"/>
    <w:rsid w:val="008153A8"/>
    <w:rsid w:val="00815727"/>
    <w:rsid w:val="00815818"/>
    <w:rsid w:val="008159E4"/>
    <w:rsid w:val="008159E7"/>
    <w:rsid w:val="00815C29"/>
    <w:rsid w:val="00815C92"/>
    <w:rsid w:val="00816203"/>
    <w:rsid w:val="00816477"/>
    <w:rsid w:val="008165AD"/>
    <w:rsid w:val="0081681D"/>
    <w:rsid w:val="008169C7"/>
    <w:rsid w:val="00816A11"/>
    <w:rsid w:val="00816D83"/>
    <w:rsid w:val="00816E8D"/>
    <w:rsid w:val="00817274"/>
    <w:rsid w:val="00817371"/>
    <w:rsid w:val="00817569"/>
    <w:rsid w:val="0081769F"/>
    <w:rsid w:val="008178DD"/>
    <w:rsid w:val="00817E09"/>
    <w:rsid w:val="00817E25"/>
    <w:rsid w:val="00817E7A"/>
    <w:rsid w:val="00817ED0"/>
    <w:rsid w:val="008202C8"/>
    <w:rsid w:val="00820316"/>
    <w:rsid w:val="00820407"/>
    <w:rsid w:val="0082045B"/>
    <w:rsid w:val="008204EC"/>
    <w:rsid w:val="00820F85"/>
    <w:rsid w:val="00821383"/>
    <w:rsid w:val="008215B3"/>
    <w:rsid w:val="00821A59"/>
    <w:rsid w:val="00821B68"/>
    <w:rsid w:val="00821B9E"/>
    <w:rsid w:val="00821BD3"/>
    <w:rsid w:val="00822312"/>
    <w:rsid w:val="0082250F"/>
    <w:rsid w:val="00822CFE"/>
    <w:rsid w:val="00822DE3"/>
    <w:rsid w:val="00822DFD"/>
    <w:rsid w:val="008236EE"/>
    <w:rsid w:val="00823EC3"/>
    <w:rsid w:val="00824809"/>
    <w:rsid w:val="00824848"/>
    <w:rsid w:val="00824F60"/>
    <w:rsid w:val="008250E8"/>
    <w:rsid w:val="0082517A"/>
    <w:rsid w:val="00825781"/>
    <w:rsid w:val="008259A8"/>
    <w:rsid w:val="0082608A"/>
    <w:rsid w:val="00826150"/>
    <w:rsid w:val="008263AD"/>
    <w:rsid w:val="00826641"/>
    <w:rsid w:val="00826B12"/>
    <w:rsid w:val="00826D94"/>
    <w:rsid w:val="0082710B"/>
    <w:rsid w:val="0082724B"/>
    <w:rsid w:val="008277F0"/>
    <w:rsid w:val="00827AD3"/>
    <w:rsid w:val="00830250"/>
    <w:rsid w:val="00830281"/>
    <w:rsid w:val="008302F1"/>
    <w:rsid w:val="00830CDE"/>
    <w:rsid w:val="00830DB8"/>
    <w:rsid w:val="008313C8"/>
    <w:rsid w:val="008318A9"/>
    <w:rsid w:val="00831B97"/>
    <w:rsid w:val="00831B9A"/>
    <w:rsid w:val="00831C81"/>
    <w:rsid w:val="008326EA"/>
    <w:rsid w:val="008328D6"/>
    <w:rsid w:val="008328F0"/>
    <w:rsid w:val="00832A05"/>
    <w:rsid w:val="00832C06"/>
    <w:rsid w:val="00832FF4"/>
    <w:rsid w:val="0083357E"/>
    <w:rsid w:val="0083364D"/>
    <w:rsid w:val="008337E6"/>
    <w:rsid w:val="008341DD"/>
    <w:rsid w:val="00834365"/>
    <w:rsid w:val="008343D8"/>
    <w:rsid w:val="00834446"/>
    <w:rsid w:val="00834651"/>
    <w:rsid w:val="00834B6B"/>
    <w:rsid w:val="00834C61"/>
    <w:rsid w:val="00834D1F"/>
    <w:rsid w:val="00835076"/>
    <w:rsid w:val="00835153"/>
    <w:rsid w:val="008354A1"/>
    <w:rsid w:val="008358E2"/>
    <w:rsid w:val="00835921"/>
    <w:rsid w:val="00835D6F"/>
    <w:rsid w:val="00835DDB"/>
    <w:rsid w:val="00835FC1"/>
    <w:rsid w:val="0083626F"/>
    <w:rsid w:val="008362DA"/>
    <w:rsid w:val="00836AF7"/>
    <w:rsid w:val="00836C7A"/>
    <w:rsid w:val="00836CE1"/>
    <w:rsid w:val="00836F5A"/>
    <w:rsid w:val="008370A2"/>
    <w:rsid w:val="008370AE"/>
    <w:rsid w:val="00837242"/>
    <w:rsid w:val="008376DE"/>
    <w:rsid w:val="00837B42"/>
    <w:rsid w:val="00837BD2"/>
    <w:rsid w:val="00837BE9"/>
    <w:rsid w:val="00837BFD"/>
    <w:rsid w:val="00837E0C"/>
    <w:rsid w:val="008402EB"/>
    <w:rsid w:val="008408B2"/>
    <w:rsid w:val="00840B23"/>
    <w:rsid w:val="00840DC8"/>
    <w:rsid w:val="00841001"/>
    <w:rsid w:val="00841042"/>
    <w:rsid w:val="008416AB"/>
    <w:rsid w:val="0084181B"/>
    <w:rsid w:val="00841FF0"/>
    <w:rsid w:val="008420CF"/>
    <w:rsid w:val="008421B2"/>
    <w:rsid w:val="00842243"/>
    <w:rsid w:val="0084225B"/>
    <w:rsid w:val="00842620"/>
    <w:rsid w:val="00842632"/>
    <w:rsid w:val="00842A71"/>
    <w:rsid w:val="00842B21"/>
    <w:rsid w:val="00842B27"/>
    <w:rsid w:val="00842ED4"/>
    <w:rsid w:val="00843021"/>
    <w:rsid w:val="00843185"/>
    <w:rsid w:val="00843244"/>
    <w:rsid w:val="008437C9"/>
    <w:rsid w:val="0084380D"/>
    <w:rsid w:val="00843A0C"/>
    <w:rsid w:val="00843C31"/>
    <w:rsid w:val="00843C39"/>
    <w:rsid w:val="00843C6D"/>
    <w:rsid w:val="00843C75"/>
    <w:rsid w:val="00843DE2"/>
    <w:rsid w:val="00843EF2"/>
    <w:rsid w:val="00844602"/>
    <w:rsid w:val="00844F83"/>
    <w:rsid w:val="008455F8"/>
    <w:rsid w:val="0084580B"/>
    <w:rsid w:val="00845883"/>
    <w:rsid w:val="00845990"/>
    <w:rsid w:val="00845B95"/>
    <w:rsid w:val="00845C95"/>
    <w:rsid w:val="00846076"/>
    <w:rsid w:val="0084611D"/>
    <w:rsid w:val="008462CE"/>
    <w:rsid w:val="008464A0"/>
    <w:rsid w:val="00846820"/>
    <w:rsid w:val="00846948"/>
    <w:rsid w:val="00846A94"/>
    <w:rsid w:val="00846AE3"/>
    <w:rsid w:val="00846E82"/>
    <w:rsid w:val="008470E2"/>
    <w:rsid w:val="0084760D"/>
    <w:rsid w:val="008479A8"/>
    <w:rsid w:val="008479B1"/>
    <w:rsid w:val="00847AA5"/>
    <w:rsid w:val="008501D6"/>
    <w:rsid w:val="008503EA"/>
    <w:rsid w:val="0085043B"/>
    <w:rsid w:val="00850C8A"/>
    <w:rsid w:val="00850E85"/>
    <w:rsid w:val="00851279"/>
    <w:rsid w:val="00851571"/>
    <w:rsid w:val="00851677"/>
    <w:rsid w:val="0085179D"/>
    <w:rsid w:val="008518A8"/>
    <w:rsid w:val="00851EA4"/>
    <w:rsid w:val="008524F4"/>
    <w:rsid w:val="008527E4"/>
    <w:rsid w:val="00852C28"/>
    <w:rsid w:val="00852D0A"/>
    <w:rsid w:val="00852D78"/>
    <w:rsid w:val="00852E07"/>
    <w:rsid w:val="008531B3"/>
    <w:rsid w:val="0085340A"/>
    <w:rsid w:val="0085345B"/>
    <w:rsid w:val="00853C77"/>
    <w:rsid w:val="00853EFA"/>
    <w:rsid w:val="00853F7D"/>
    <w:rsid w:val="0085421D"/>
    <w:rsid w:val="008547E8"/>
    <w:rsid w:val="008549A6"/>
    <w:rsid w:val="00854D8A"/>
    <w:rsid w:val="00855125"/>
    <w:rsid w:val="008552B3"/>
    <w:rsid w:val="0085554A"/>
    <w:rsid w:val="00855922"/>
    <w:rsid w:val="00855970"/>
    <w:rsid w:val="008559FD"/>
    <w:rsid w:val="00855B1B"/>
    <w:rsid w:val="00855DA3"/>
    <w:rsid w:val="00856456"/>
    <w:rsid w:val="008567EC"/>
    <w:rsid w:val="008572B0"/>
    <w:rsid w:val="008573E5"/>
    <w:rsid w:val="0085765E"/>
    <w:rsid w:val="008576B9"/>
    <w:rsid w:val="00857701"/>
    <w:rsid w:val="008577A4"/>
    <w:rsid w:val="00857D12"/>
    <w:rsid w:val="00857D73"/>
    <w:rsid w:val="00857F01"/>
    <w:rsid w:val="00860088"/>
    <w:rsid w:val="00860169"/>
    <w:rsid w:val="008602A9"/>
    <w:rsid w:val="0086050F"/>
    <w:rsid w:val="00860614"/>
    <w:rsid w:val="00860A99"/>
    <w:rsid w:val="00860BB6"/>
    <w:rsid w:val="00860E47"/>
    <w:rsid w:val="0086106D"/>
    <w:rsid w:val="0086114E"/>
    <w:rsid w:val="008616A4"/>
    <w:rsid w:val="00861DFD"/>
    <w:rsid w:val="00861F2F"/>
    <w:rsid w:val="00862198"/>
    <w:rsid w:val="0086229A"/>
    <w:rsid w:val="00862455"/>
    <w:rsid w:val="008626C7"/>
    <w:rsid w:val="008627D3"/>
    <w:rsid w:val="00862A4C"/>
    <w:rsid w:val="00862CB6"/>
    <w:rsid w:val="00862CDB"/>
    <w:rsid w:val="00862EB9"/>
    <w:rsid w:val="00863652"/>
    <w:rsid w:val="0086373B"/>
    <w:rsid w:val="008639BC"/>
    <w:rsid w:val="00863E8E"/>
    <w:rsid w:val="0086477E"/>
    <w:rsid w:val="008648F4"/>
    <w:rsid w:val="00864960"/>
    <w:rsid w:val="00864B18"/>
    <w:rsid w:val="0086513C"/>
    <w:rsid w:val="00865252"/>
    <w:rsid w:val="008653CB"/>
    <w:rsid w:val="00865691"/>
    <w:rsid w:val="00865F8A"/>
    <w:rsid w:val="00866333"/>
    <w:rsid w:val="00866506"/>
    <w:rsid w:val="0086664A"/>
    <w:rsid w:val="0086667C"/>
    <w:rsid w:val="00866726"/>
    <w:rsid w:val="0086679F"/>
    <w:rsid w:val="00866BFF"/>
    <w:rsid w:val="00866C6E"/>
    <w:rsid w:val="00866CEF"/>
    <w:rsid w:val="00867032"/>
    <w:rsid w:val="008671F3"/>
    <w:rsid w:val="008674C9"/>
    <w:rsid w:val="008674DF"/>
    <w:rsid w:val="00867807"/>
    <w:rsid w:val="008678FD"/>
    <w:rsid w:val="00867C2E"/>
    <w:rsid w:val="00867C65"/>
    <w:rsid w:val="00867CC8"/>
    <w:rsid w:val="00870032"/>
    <w:rsid w:val="0087009D"/>
    <w:rsid w:val="008702D6"/>
    <w:rsid w:val="008702DC"/>
    <w:rsid w:val="0087040F"/>
    <w:rsid w:val="00870655"/>
    <w:rsid w:val="00870D05"/>
    <w:rsid w:val="0087115D"/>
    <w:rsid w:val="0087179E"/>
    <w:rsid w:val="0087199E"/>
    <w:rsid w:val="008726B9"/>
    <w:rsid w:val="008729D3"/>
    <w:rsid w:val="00872ECA"/>
    <w:rsid w:val="00872EFC"/>
    <w:rsid w:val="008738DE"/>
    <w:rsid w:val="00873A7A"/>
    <w:rsid w:val="00873ABB"/>
    <w:rsid w:val="00873B77"/>
    <w:rsid w:val="00873C30"/>
    <w:rsid w:val="00873F5A"/>
    <w:rsid w:val="00874590"/>
    <w:rsid w:val="00874704"/>
    <w:rsid w:val="00874D71"/>
    <w:rsid w:val="00874DA8"/>
    <w:rsid w:val="00874E03"/>
    <w:rsid w:val="00874E94"/>
    <w:rsid w:val="00875148"/>
    <w:rsid w:val="00875283"/>
    <w:rsid w:val="00875790"/>
    <w:rsid w:val="0087596A"/>
    <w:rsid w:val="00875AEA"/>
    <w:rsid w:val="00875B37"/>
    <w:rsid w:val="00875EE9"/>
    <w:rsid w:val="00876007"/>
    <w:rsid w:val="00876273"/>
    <w:rsid w:val="0087659B"/>
    <w:rsid w:val="0087671A"/>
    <w:rsid w:val="00876F32"/>
    <w:rsid w:val="00877FBC"/>
    <w:rsid w:val="00877FF4"/>
    <w:rsid w:val="0088019C"/>
    <w:rsid w:val="008804FD"/>
    <w:rsid w:val="008805E1"/>
    <w:rsid w:val="00880747"/>
    <w:rsid w:val="00880B99"/>
    <w:rsid w:val="00880CD7"/>
    <w:rsid w:val="008810A2"/>
    <w:rsid w:val="0088117C"/>
    <w:rsid w:val="008814E5"/>
    <w:rsid w:val="0088179A"/>
    <w:rsid w:val="00881804"/>
    <w:rsid w:val="00881C11"/>
    <w:rsid w:val="00881DFE"/>
    <w:rsid w:val="00882199"/>
    <w:rsid w:val="0088234B"/>
    <w:rsid w:val="00882570"/>
    <w:rsid w:val="00882758"/>
    <w:rsid w:val="00882851"/>
    <w:rsid w:val="00882D39"/>
    <w:rsid w:val="00883320"/>
    <w:rsid w:val="00883463"/>
    <w:rsid w:val="00883751"/>
    <w:rsid w:val="008837A6"/>
    <w:rsid w:val="0088397E"/>
    <w:rsid w:val="008839D1"/>
    <w:rsid w:val="008841BF"/>
    <w:rsid w:val="00884254"/>
    <w:rsid w:val="00884291"/>
    <w:rsid w:val="008845F3"/>
    <w:rsid w:val="00884743"/>
    <w:rsid w:val="00884ADB"/>
    <w:rsid w:val="00884C84"/>
    <w:rsid w:val="00884D58"/>
    <w:rsid w:val="00884E58"/>
    <w:rsid w:val="00884ECC"/>
    <w:rsid w:val="00884F9C"/>
    <w:rsid w:val="00884FD7"/>
    <w:rsid w:val="008850AC"/>
    <w:rsid w:val="00885115"/>
    <w:rsid w:val="0088511D"/>
    <w:rsid w:val="008852DB"/>
    <w:rsid w:val="0088536E"/>
    <w:rsid w:val="0088556A"/>
    <w:rsid w:val="008857A1"/>
    <w:rsid w:val="008858C1"/>
    <w:rsid w:val="00885ACD"/>
    <w:rsid w:val="00885C37"/>
    <w:rsid w:val="00886268"/>
    <w:rsid w:val="008862ED"/>
    <w:rsid w:val="008863C2"/>
    <w:rsid w:val="00886C59"/>
    <w:rsid w:val="00886CA1"/>
    <w:rsid w:val="00886FFF"/>
    <w:rsid w:val="008871B6"/>
    <w:rsid w:val="008872AB"/>
    <w:rsid w:val="008872BD"/>
    <w:rsid w:val="0088757F"/>
    <w:rsid w:val="008875ED"/>
    <w:rsid w:val="00887943"/>
    <w:rsid w:val="00887A23"/>
    <w:rsid w:val="00887BC0"/>
    <w:rsid w:val="00887C40"/>
    <w:rsid w:val="00887E24"/>
    <w:rsid w:val="00887F7F"/>
    <w:rsid w:val="00887F8F"/>
    <w:rsid w:val="0089008B"/>
    <w:rsid w:val="0089020E"/>
    <w:rsid w:val="0089042F"/>
    <w:rsid w:val="00890952"/>
    <w:rsid w:val="00890E8B"/>
    <w:rsid w:val="00890EA4"/>
    <w:rsid w:val="00890F73"/>
    <w:rsid w:val="00891029"/>
    <w:rsid w:val="008912D9"/>
    <w:rsid w:val="00891454"/>
    <w:rsid w:val="0089173D"/>
    <w:rsid w:val="0089178F"/>
    <w:rsid w:val="00891AF9"/>
    <w:rsid w:val="00892094"/>
    <w:rsid w:val="008920ED"/>
    <w:rsid w:val="008925E2"/>
    <w:rsid w:val="00892C10"/>
    <w:rsid w:val="008931D9"/>
    <w:rsid w:val="00893377"/>
    <w:rsid w:val="00893684"/>
    <w:rsid w:val="00893D8A"/>
    <w:rsid w:val="008941B5"/>
    <w:rsid w:val="008942D4"/>
    <w:rsid w:val="008943DE"/>
    <w:rsid w:val="00894727"/>
    <w:rsid w:val="00894900"/>
    <w:rsid w:val="00894AFF"/>
    <w:rsid w:val="00894EDB"/>
    <w:rsid w:val="00895697"/>
    <w:rsid w:val="0089576E"/>
    <w:rsid w:val="008958CA"/>
    <w:rsid w:val="00895AD9"/>
    <w:rsid w:val="00895CEC"/>
    <w:rsid w:val="00895D88"/>
    <w:rsid w:val="00895FB9"/>
    <w:rsid w:val="008961CA"/>
    <w:rsid w:val="00896455"/>
    <w:rsid w:val="0089658C"/>
    <w:rsid w:val="00896620"/>
    <w:rsid w:val="00896764"/>
    <w:rsid w:val="008968FE"/>
    <w:rsid w:val="00896C05"/>
    <w:rsid w:val="00896DB3"/>
    <w:rsid w:val="008971AE"/>
    <w:rsid w:val="00897537"/>
    <w:rsid w:val="00897684"/>
    <w:rsid w:val="00897A60"/>
    <w:rsid w:val="00897DC6"/>
    <w:rsid w:val="008A01F1"/>
    <w:rsid w:val="008A0436"/>
    <w:rsid w:val="008A0795"/>
    <w:rsid w:val="008A079A"/>
    <w:rsid w:val="008A07E0"/>
    <w:rsid w:val="008A0838"/>
    <w:rsid w:val="008A0A1A"/>
    <w:rsid w:val="008A0DD2"/>
    <w:rsid w:val="008A0E50"/>
    <w:rsid w:val="008A0EA9"/>
    <w:rsid w:val="008A0ED6"/>
    <w:rsid w:val="008A103B"/>
    <w:rsid w:val="008A1269"/>
    <w:rsid w:val="008A1300"/>
    <w:rsid w:val="008A1471"/>
    <w:rsid w:val="008A1C99"/>
    <w:rsid w:val="008A1E9D"/>
    <w:rsid w:val="008A25CF"/>
    <w:rsid w:val="008A2646"/>
    <w:rsid w:val="008A279C"/>
    <w:rsid w:val="008A2909"/>
    <w:rsid w:val="008A2A3B"/>
    <w:rsid w:val="008A2D2E"/>
    <w:rsid w:val="008A390E"/>
    <w:rsid w:val="008A3A62"/>
    <w:rsid w:val="008A3D83"/>
    <w:rsid w:val="008A408A"/>
    <w:rsid w:val="008A4C54"/>
    <w:rsid w:val="008A4CD4"/>
    <w:rsid w:val="008A4D01"/>
    <w:rsid w:val="008A4DDD"/>
    <w:rsid w:val="008A4EB7"/>
    <w:rsid w:val="008A5396"/>
    <w:rsid w:val="008A5596"/>
    <w:rsid w:val="008A5613"/>
    <w:rsid w:val="008A56D0"/>
    <w:rsid w:val="008A5779"/>
    <w:rsid w:val="008A5A62"/>
    <w:rsid w:val="008A5AD4"/>
    <w:rsid w:val="008A5DFC"/>
    <w:rsid w:val="008A5E42"/>
    <w:rsid w:val="008A62AB"/>
    <w:rsid w:val="008A6ED6"/>
    <w:rsid w:val="008A74C6"/>
    <w:rsid w:val="008A77F6"/>
    <w:rsid w:val="008A79C9"/>
    <w:rsid w:val="008A7CB5"/>
    <w:rsid w:val="008A7CE1"/>
    <w:rsid w:val="008A7E4B"/>
    <w:rsid w:val="008B0871"/>
    <w:rsid w:val="008B088E"/>
    <w:rsid w:val="008B0FAB"/>
    <w:rsid w:val="008B1346"/>
    <w:rsid w:val="008B164F"/>
    <w:rsid w:val="008B189D"/>
    <w:rsid w:val="008B1901"/>
    <w:rsid w:val="008B1E29"/>
    <w:rsid w:val="008B24F5"/>
    <w:rsid w:val="008B2503"/>
    <w:rsid w:val="008B2C07"/>
    <w:rsid w:val="008B2D93"/>
    <w:rsid w:val="008B2EB8"/>
    <w:rsid w:val="008B2F18"/>
    <w:rsid w:val="008B2F55"/>
    <w:rsid w:val="008B3476"/>
    <w:rsid w:val="008B34C7"/>
    <w:rsid w:val="008B35F5"/>
    <w:rsid w:val="008B3684"/>
    <w:rsid w:val="008B3E15"/>
    <w:rsid w:val="008B3E84"/>
    <w:rsid w:val="008B3F0C"/>
    <w:rsid w:val="008B428C"/>
    <w:rsid w:val="008B4725"/>
    <w:rsid w:val="008B475C"/>
    <w:rsid w:val="008B476F"/>
    <w:rsid w:val="008B4824"/>
    <w:rsid w:val="008B4A8C"/>
    <w:rsid w:val="008B4EB1"/>
    <w:rsid w:val="008B50C8"/>
    <w:rsid w:val="008B51EB"/>
    <w:rsid w:val="008B51FE"/>
    <w:rsid w:val="008B523D"/>
    <w:rsid w:val="008B52C6"/>
    <w:rsid w:val="008B5480"/>
    <w:rsid w:val="008B56A7"/>
    <w:rsid w:val="008B570A"/>
    <w:rsid w:val="008B593E"/>
    <w:rsid w:val="008B59A6"/>
    <w:rsid w:val="008B5A47"/>
    <w:rsid w:val="008B5B1B"/>
    <w:rsid w:val="008B669A"/>
    <w:rsid w:val="008B6874"/>
    <w:rsid w:val="008B6887"/>
    <w:rsid w:val="008B68AF"/>
    <w:rsid w:val="008B69D4"/>
    <w:rsid w:val="008B6A02"/>
    <w:rsid w:val="008B6C20"/>
    <w:rsid w:val="008B6C23"/>
    <w:rsid w:val="008B6CC3"/>
    <w:rsid w:val="008B7230"/>
    <w:rsid w:val="008B74AD"/>
    <w:rsid w:val="008B74BD"/>
    <w:rsid w:val="008B75A1"/>
    <w:rsid w:val="008B7AB4"/>
    <w:rsid w:val="008B7E30"/>
    <w:rsid w:val="008B7F30"/>
    <w:rsid w:val="008C008F"/>
    <w:rsid w:val="008C020F"/>
    <w:rsid w:val="008C02F2"/>
    <w:rsid w:val="008C0384"/>
    <w:rsid w:val="008C042B"/>
    <w:rsid w:val="008C0485"/>
    <w:rsid w:val="008C0492"/>
    <w:rsid w:val="008C0509"/>
    <w:rsid w:val="008C0BA1"/>
    <w:rsid w:val="008C0CB3"/>
    <w:rsid w:val="008C138F"/>
    <w:rsid w:val="008C14A5"/>
    <w:rsid w:val="008C1576"/>
    <w:rsid w:val="008C17CE"/>
    <w:rsid w:val="008C1826"/>
    <w:rsid w:val="008C1ED1"/>
    <w:rsid w:val="008C1FD8"/>
    <w:rsid w:val="008C209E"/>
    <w:rsid w:val="008C20E1"/>
    <w:rsid w:val="008C23CD"/>
    <w:rsid w:val="008C2568"/>
    <w:rsid w:val="008C267C"/>
    <w:rsid w:val="008C2788"/>
    <w:rsid w:val="008C2922"/>
    <w:rsid w:val="008C2B80"/>
    <w:rsid w:val="008C2C64"/>
    <w:rsid w:val="008C2C8E"/>
    <w:rsid w:val="008C33CF"/>
    <w:rsid w:val="008C3408"/>
    <w:rsid w:val="008C3582"/>
    <w:rsid w:val="008C37D0"/>
    <w:rsid w:val="008C3A5E"/>
    <w:rsid w:val="008C3A74"/>
    <w:rsid w:val="008C3ADE"/>
    <w:rsid w:val="008C3AF3"/>
    <w:rsid w:val="008C3E47"/>
    <w:rsid w:val="008C4565"/>
    <w:rsid w:val="008C4684"/>
    <w:rsid w:val="008C49E3"/>
    <w:rsid w:val="008C506B"/>
    <w:rsid w:val="008C588D"/>
    <w:rsid w:val="008C5B28"/>
    <w:rsid w:val="008C5C84"/>
    <w:rsid w:val="008C5FCE"/>
    <w:rsid w:val="008C604F"/>
    <w:rsid w:val="008C621B"/>
    <w:rsid w:val="008C63B1"/>
    <w:rsid w:val="008C63D5"/>
    <w:rsid w:val="008C65FD"/>
    <w:rsid w:val="008C66C7"/>
    <w:rsid w:val="008C6A07"/>
    <w:rsid w:val="008C7098"/>
    <w:rsid w:val="008C7656"/>
    <w:rsid w:val="008C79F9"/>
    <w:rsid w:val="008C7CE5"/>
    <w:rsid w:val="008D10DB"/>
    <w:rsid w:val="008D125E"/>
    <w:rsid w:val="008D130E"/>
    <w:rsid w:val="008D1475"/>
    <w:rsid w:val="008D1A03"/>
    <w:rsid w:val="008D1A95"/>
    <w:rsid w:val="008D1B0C"/>
    <w:rsid w:val="008D1BFD"/>
    <w:rsid w:val="008D1E70"/>
    <w:rsid w:val="008D2132"/>
    <w:rsid w:val="008D2174"/>
    <w:rsid w:val="008D2294"/>
    <w:rsid w:val="008D2C46"/>
    <w:rsid w:val="008D2CD5"/>
    <w:rsid w:val="008D2DEB"/>
    <w:rsid w:val="008D30CF"/>
    <w:rsid w:val="008D30DE"/>
    <w:rsid w:val="008D3126"/>
    <w:rsid w:val="008D336A"/>
    <w:rsid w:val="008D37B7"/>
    <w:rsid w:val="008D3834"/>
    <w:rsid w:val="008D3B33"/>
    <w:rsid w:val="008D3B5B"/>
    <w:rsid w:val="008D3DAB"/>
    <w:rsid w:val="008D3DE3"/>
    <w:rsid w:val="008D406E"/>
    <w:rsid w:val="008D4287"/>
    <w:rsid w:val="008D4730"/>
    <w:rsid w:val="008D4889"/>
    <w:rsid w:val="008D4A59"/>
    <w:rsid w:val="008D4AAB"/>
    <w:rsid w:val="008D4FC3"/>
    <w:rsid w:val="008D51C3"/>
    <w:rsid w:val="008D547A"/>
    <w:rsid w:val="008D54D9"/>
    <w:rsid w:val="008D551A"/>
    <w:rsid w:val="008D5592"/>
    <w:rsid w:val="008D57E7"/>
    <w:rsid w:val="008D5BC9"/>
    <w:rsid w:val="008D5BDF"/>
    <w:rsid w:val="008D5E5E"/>
    <w:rsid w:val="008D5E98"/>
    <w:rsid w:val="008D5F0F"/>
    <w:rsid w:val="008D61BC"/>
    <w:rsid w:val="008D64F7"/>
    <w:rsid w:val="008D6598"/>
    <w:rsid w:val="008D6644"/>
    <w:rsid w:val="008D6681"/>
    <w:rsid w:val="008D69E1"/>
    <w:rsid w:val="008D6E01"/>
    <w:rsid w:val="008D6F68"/>
    <w:rsid w:val="008D7566"/>
    <w:rsid w:val="008D7A02"/>
    <w:rsid w:val="008D7A3C"/>
    <w:rsid w:val="008D7BB5"/>
    <w:rsid w:val="008D7CCB"/>
    <w:rsid w:val="008D7F14"/>
    <w:rsid w:val="008E0036"/>
    <w:rsid w:val="008E004A"/>
    <w:rsid w:val="008E01A1"/>
    <w:rsid w:val="008E0271"/>
    <w:rsid w:val="008E06FB"/>
    <w:rsid w:val="008E073D"/>
    <w:rsid w:val="008E07FE"/>
    <w:rsid w:val="008E0BD8"/>
    <w:rsid w:val="008E0C25"/>
    <w:rsid w:val="008E13A1"/>
    <w:rsid w:val="008E146C"/>
    <w:rsid w:val="008E1AC5"/>
    <w:rsid w:val="008E1BD2"/>
    <w:rsid w:val="008E2573"/>
    <w:rsid w:val="008E2622"/>
    <w:rsid w:val="008E2637"/>
    <w:rsid w:val="008E26DF"/>
    <w:rsid w:val="008E2723"/>
    <w:rsid w:val="008E275A"/>
    <w:rsid w:val="008E2774"/>
    <w:rsid w:val="008E2942"/>
    <w:rsid w:val="008E2B39"/>
    <w:rsid w:val="008E2CBC"/>
    <w:rsid w:val="008E2FB0"/>
    <w:rsid w:val="008E35EC"/>
    <w:rsid w:val="008E3646"/>
    <w:rsid w:val="008E3E70"/>
    <w:rsid w:val="008E3EA0"/>
    <w:rsid w:val="008E4074"/>
    <w:rsid w:val="008E450A"/>
    <w:rsid w:val="008E454A"/>
    <w:rsid w:val="008E49B6"/>
    <w:rsid w:val="008E49C7"/>
    <w:rsid w:val="008E4B6B"/>
    <w:rsid w:val="008E4CFE"/>
    <w:rsid w:val="008E4F43"/>
    <w:rsid w:val="008E52A3"/>
    <w:rsid w:val="008E52B9"/>
    <w:rsid w:val="008E553A"/>
    <w:rsid w:val="008E55AA"/>
    <w:rsid w:val="008E5E6B"/>
    <w:rsid w:val="008E616C"/>
    <w:rsid w:val="008E62E1"/>
    <w:rsid w:val="008E651B"/>
    <w:rsid w:val="008E6DD0"/>
    <w:rsid w:val="008E6FD3"/>
    <w:rsid w:val="008E725C"/>
    <w:rsid w:val="008E725F"/>
    <w:rsid w:val="008E735B"/>
    <w:rsid w:val="008E7A52"/>
    <w:rsid w:val="008E7C72"/>
    <w:rsid w:val="008E7E93"/>
    <w:rsid w:val="008E7FBB"/>
    <w:rsid w:val="008F068C"/>
    <w:rsid w:val="008F0A8A"/>
    <w:rsid w:val="008F0B1D"/>
    <w:rsid w:val="008F0CCD"/>
    <w:rsid w:val="008F1137"/>
    <w:rsid w:val="008F11A4"/>
    <w:rsid w:val="008F1247"/>
    <w:rsid w:val="008F15EE"/>
    <w:rsid w:val="008F198A"/>
    <w:rsid w:val="008F19B5"/>
    <w:rsid w:val="008F1A1B"/>
    <w:rsid w:val="008F1EF3"/>
    <w:rsid w:val="008F1F09"/>
    <w:rsid w:val="008F22C6"/>
    <w:rsid w:val="008F2430"/>
    <w:rsid w:val="008F2551"/>
    <w:rsid w:val="008F28A3"/>
    <w:rsid w:val="008F346F"/>
    <w:rsid w:val="008F3801"/>
    <w:rsid w:val="008F3A6B"/>
    <w:rsid w:val="008F3D3A"/>
    <w:rsid w:val="008F3DF4"/>
    <w:rsid w:val="008F4050"/>
    <w:rsid w:val="008F43DF"/>
    <w:rsid w:val="008F44C6"/>
    <w:rsid w:val="008F4538"/>
    <w:rsid w:val="008F4620"/>
    <w:rsid w:val="008F46E4"/>
    <w:rsid w:val="008F4761"/>
    <w:rsid w:val="008F4B8F"/>
    <w:rsid w:val="008F4E80"/>
    <w:rsid w:val="008F4F49"/>
    <w:rsid w:val="008F536B"/>
    <w:rsid w:val="008F53E0"/>
    <w:rsid w:val="008F5590"/>
    <w:rsid w:val="008F5944"/>
    <w:rsid w:val="008F5A43"/>
    <w:rsid w:val="008F5B6C"/>
    <w:rsid w:val="008F648F"/>
    <w:rsid w:val="008F6526"/>
    <w:rsid w:val="008F654D"/>
    <w:rsid w:val="008F6643"/>
    <w:rsid w:val="008F68E0"/>
    <w:rsid w:val="008F6AB7"/>
    <w:rsid w:val="008F6C95"/>
    <w:rsid w:val="008F6DC7"/>
    <w:rsid w:val="008F6F9E"/>
    <w:rsid w:val="008F7238"/>
    <w:rsid w:val="008F7712"/>
    <w:rsid w:val="008F7B2A"/>
    <w:rsid w:val="008F7D3D"/>
    <w:rsid w:val="008F7FAF"/>
    <w:rsid w:val="009001CC"/>
    <w:rsid w:val="0090025C"/>
    <w:rsid w:val="009004B8"/>
    <w:rsid w:val="009012B4"/>
    <w:rsid w:val="009015D4"/>
    <w:rsid w:val="00901663"/>
    <w:rsid w:val="009018B5"/>
    <w:rsid w:val="009019CD"/>
    <w:rsid w:val="00901B5A"/>
    <w:rsid w:val="00901CE1"/>
    <w:rsid w:val="00901EF3"/>
    <w:rsid w:val="00902491"/>
    <w:rsid w:val="00902739"/>
    <w:rsid w:val="00902773"/>
    <w:rsid w:val="00902949"/>
    <w:rsid w:val="00902EEB"/>
    <w:rsid w:val="00903850"/>
    <w:rsid w:val="00903A90"/>
    <w:rsid w:val="00903BAA"/>
    <w:rsid w:val="00903D83"/>
    <w:rsid w:val="0090569E"/>
    <w:rsid w:val="009058B6"/>
    <w:rsid w:val="009059F1"/>
    <w:rsid w:val="00905BD8"/>
    <w:rsid w:val="00906096"/>
    <w:rsid w:val="009061A5"/>
    <w:rsid w:val="00906628"/>
    <w:rsid w:val="00906CEF"/>
    <w:rsid w:val="00906D60"/>
    <w:rsid w:val="00906D95"/>
    <w:rsid w:val="00906EF0"/>
    <w:rsid w:val="00906FF8"/>
    <w:rsid w:val="00907747"/>
    <w:rsid w:val="00907888"/>
    <w:rsid w:val="00907E02"/>
    <w:rsid w:val="009102EE"/>
    <w:rsid w:val="00910672"/>
    <w:rsid w:val="00910AC9"/>
    <w:rsid w:val="00910BAB"/>
    <w:rsid w:val="00911117"/>
    <w:rsid w:val="009113CA"/>
    <w:rsid w:val="009115FD"/>
    <w:rsid w:val="00912227"/>
    <w:rsid w:val="0091238A"/>
    <w:rsid w:val="00912755"/>
    <w:rsid w:val="009130A2"/>
    <w:rsid w:val="009134BC"/>
    <w:rsid w:val="0091367D"/>
    <w:rsid w:val="0091368F"/>
    <w:rsid w:val="0091385A"/>
    <w:rsid w:val="009139A5"/>
    <w:rsid w:val="00913B4F"/>
    <w:rsid w:val="00913D27"/>
    <w:rsid w:val="009147BF"/>
    <w:rsid w:val="009148E8"/>
    <w:rsid w:val="00914A46"/>
    <w:rsid w:val="00914C8E"/>
    <w:rsid w:val="00914D53"/>
    <w:rsid w:val="00914D88"/>
    <w:rsid w:val="00914DFD"/>
    <w:rsid w:val="00914F36"/>
    <w:rsid w:val="009150A6"/>
    <w:rsid w:val="00915112"/>
    <w:rsid w:val="0091515D"/>
    <w:rsid w:val="0091521B"/>
    <w:rsid w:val="009152BF"/>
    <w:rsid w:val="009157B1"/>
    <w:rsid w:val="0091581D"/>
    <w:rsid w:val="009158B6"/>
    <w:rsid w:val="00915A0D"/>
    <w:rsid w:val="00915B19"/>
    <w:rsid w:val="00915E17"/>
    <w:rsid w:val="0091633D"/>
    <w:rsid w:val="0091675B"/>
    <w:rsid w:val="00916AC3"/>
    <w:rsid w:val="00916DA7"/>
    <w:rsid w:val="00916FB3"/>
    <w:rsid w:val="0091701C"/>
    <w:rsid w:val="009177C7"/>
    <w:rsid w:val="00917DF9"/>
    <w:rsid w:val="00920119"/>
    <w:rsid w:val="00920897"/>
    <w:rsid w:val="00920AE1"/>
    <w:rsid w:val="00920B6B"/>
    <w:rsid w:val="00920BC7"/>
    <w:rsid w:val="00920E8D"/>
    <w:rsid w:val="0092117E"/>
    <w:rsid w:val="00921413"/>
    <w:rsid w:val="00921B4D"/>
    <w:rsid w:val="00921B51"/>
    <w:rsid w:val="00922016"/>
    <w:rsid w:val="0092206A"/>
    <w:rsid w:val="009222EA"/>
    <w:rsid w:val="00922306"/>
    <w:rsid w:val="009229E0"/>
    <w:rsid w:val="00922A82"/>
    <w:rsid w:val="00922ADF"/>
    <w:rsid w:val="00922B16"/>
    <w:rsid w:val="00922E46"/>
    <w:rsid w:val="00923657"/>
    <w:rsid w:val="00923D6C"/>
    <w:rsid w:val="00923DFA"/>
    <w:rsid w:val="00923EA2"/>
    <w:rsid w:val="00924148"/>
    <w:rsid w:val="0092417D"/>
    <w:rsid w:val="0092422B"/>
    <w:rsid w:val="009242FB"/>
    <w:rsid w:val="00924330"/>
    <w:rsid w:val="009243CA"/>
    <w:rsid w:val="0092498F"/>
    <w:rsid w:val="00924CA3"/>
    <w:rsid w:val="00924F6A"/>
    <w:rsid w:val="009252E5"/>
    <w:rsid w:val="0092563F"/>
    <w:rsid w:val="00925F80"/>
    <w:rsid w:val="009262C3"/>
    <w:rsid w:val="00926341"/>
    <w:rsid w:val="00926381"/>
    <w:rsid w:val="0092647D"/>
    <w:rsid w:val="009266B3"/>
    <w:rsid w:val="00926938"/>
    <w:rsid w:val="00926A18"/>
    <w:rsid w:val="00926E13"/>
    <w:rsid w:val="009271E2"/>
    <w:rsid w:val="0092754E"/>
    <w:rsid w:val="009278AF"/>
    <w:rsid w:val="00930046"/>
    <w:rsid w:val="0093012E"/>
    <w:rsid w:val="00930A44"/>
    <w:rsid w:val="00930BEF"/>
    <w:rsid w:val="00930C25"/>
    <w:rsid w:val="009311A1"/>
    <w:rsid w:val="0093120D"/>
    <w:rsid w:val="0093142F"/>
    <w:rsid w:val="009316CC"/>
    <w:rsid w:val="00931AFD"/>
    <w:rsid w:val="00931B29"/>
    <w:rsid w:val="009320AD"/>
    <w:rsid w:val="00932132"/>
    <w:rsid w:val="00932463"/>
    <w:rsid w:val="00932526"/>
    <w:rsid w:val="0093265F"/>
    <w:rsid w:val="00932F74"/>
    <w:rsid w:val="00933014"/>
    <w:rsid w:val="00933B19"/>
    <w:rsid w:val="00933D9C"/>
    <w:rsid w:val="00933ED5"/>
    <w:rsid w:val="00933F9A"/>
    <w:rsid w:val="009340F8"/>
    <w:rsid w:val="0093414D"/>
    <w:rsid w:val="0093484C"/>
    <w:rsid w:val="00934899"/>
    <w:rsid w:val="009348FF"/>
    <w:rsid w:val="00934B07"/>
    <w:rsid w:val="00934CFF"/>
    <w:rsid w:val="00934D2A"/>
    <w:rsid w:val="00934D79"/>
    <w:rsid w:val="00935D0E"/>
    <w:rsid w:val="00935E31"/>
    <w:rsid w:val="00936007"/>
    <w:rsid w:val="009360F1"/>
    <w:rsid w:val="0093644E"/>
    <w:rsid w:val="00936665"/>
    <w:rsid w:val="00936969"/>
    <w:rsid w:val="009369CA"/>
    <w:rsid w:val="00936D68"/>
    <w:rsid w:val="009371BC"/>
    <w:rsid w:val="00937237"/>
    <w:rsid w:val="009372F9"/>
    <w:rsid w:val="00937453"/>
    <w:rsid w:val="009377A2"/>
    <w:rsid w:val="00937F5A"/>
    <w:rsid w:val="0094018A"/>
    <w:rsid w:val="009402F0"/>
    <w:rsid w:val="009406F7"/>
    <w:rsid w:val="00940D14"/>
    <w:rsid w:val="00941260"/>
    <w:rsid w:val="00941428"/>
    <w:rsid w:val="00941541"/>
    <w:rsid w:val="00941619"/>
    <w:rsid w:val="00941B28"/>
    <w:rsid w:val="00941D56"/>
    <w:rsid w:val="00941D87"/>
    <w:rsid w:val="00941DD8"/>
    <w:rsid w:val="00941E54"/>
    <w:rsid w:val="00941F4D"/>
    <w:rsid w:val="009420CF"/>
    <w:rsid w:val="0094248E"/>
    <w:rsid w:val="009425A1"/>
    <w:rsid w:val="009425EE"/>
    <w:rsid w:val="00942601"/>
    <w:rsid w:val="0094311B"/>
    <w:rsid w:val="00943227"/>
    <w:rsid w:val="009433AF"/>
    <w:rsid w:val="00943592"/>
    <w:rsid w:val="009436C0"/>
    <w:rsid w:val="009438E8"/>
    <w:rsid w:val="00943F2E"/>
    <w:rsid w:val="0094407F"/>
    <w:rsid w:val="00944104"/>
    <w:rsid w:val="009441D5"/>
    <w:rsid w:val="009441ED"/>
    <w:rsid w:val="009442D6"/>
    <w:rsid w:val="0094436D"/>
    <w:rsid w:val="009443DF"/>
    <w:rsid w:val="00944487"/>
    <w:rsid w:val="00944692"/>
    <w:rsid w:val="00944710"/>
    <w:rsid w:val="00945012"/>
    <w:rsid w:val="00945035"/>
    <w:rsid w:val="009452F4"/>
    <w:rsid w:val="009454C1"/>
    <w:rsid w:val="00945A70"/>
    <w:rsid w:val="00945C0E"/>
    <w:rsid w:val="0094600D"/>
    <w:rsid w:val="00946048"/>
    <w:rsid w:val="00946271"/>
    <w:rsid w:val="009465AD"/>
    <w:rsid w:val="00946C46"/>
    <w:rsid w:val="00946CC6"/>
    <w:rsid w:val="00946E9A"/>
    <w:rsid w:val="00946FC0"/>
    <w:rsid w:val="009473E5"/>
    <w:rsid w:val="009476DA"/>
    <w:rsid w:val="009477A2"/>
    <w:rsid w:val="009477D7"/>
    <w:rsid w:val="0094781D"/>
    <w:rsid w:val="00947917"/>
    <w:rsid w:val="0094797D"/>
    <w:rsid w:val="00947D7C"/>
    <w:rsid w:val="00947DC2"/>
    <w:rsid w:val="00947EAA"/>
    <w:rsid w:val="00947FB1"/>
    <w:rsid w:val="00950049"/>
    <w:rsid w:val="00950295"/>
    <w:rsid w:val="009508DA"/>
    <w:rsid w:val="00950995"/>
    <w:rsid w:val="00950F9E"/>
    <w:rsid w:val="00951682"/>
    <w:rsid w:val="00951791"/>
    <w:rsid w:val="00951B09"/>
    <w:rsid w:val="00951DBE"/>
    <w:rsid w:val="00951F0F"/>
    <w:rsid w:val="0095205A"/>
    <w:rsid w:val="00952385"/>
    <w:rsid w:val="0095273D"/>
    <w:rsid w:val="00952A03"/>
    <w:rsid w:val="00952B14"/>
    <w:rsid w:val="00952B5B"/>
    <w:rsid w:val="00952CC2"/>
    <w:rsid w:val="00952CF7"/>
    <w:rsid w:val="00952E15"/>
    <w:rsid w:val="00952E22"/>
    <w:rsid w:val="00953039"/>
    <w:rsid w:val="0095333C"/>
    <w:rsid w:val="00953442"/>
    <w:rsid w:val="00953A9D"/>
    <w:rsid w:val="00953B29"/>
    <w:rsid w:val="009542CD"/>
    <w:rsid w:val="00954353"/>
    <w:rsid w:val="0095448C"/>
    <w:rsid w:val="00954F4A"/>
    <w:rsid w:val="00954F95"/>
    <w:rsid w:val="009553F0"/>
    <w:rsid w:val="00955406"/>
    <w:rsid w:val="00955417"/>
    <w:rsid w:val="00955559"/>
    <w:rsid w:val="009555C8"/>
    <w:rsid w:val="00955A88"/>
    <w:rsid w:val="00955A9A"/>
    <w:rsid w:val="00955AC8"/>
    <w:rsid w:val="00955CB1"/>
    <w:rsid w:val="00956592"/>
    <w:rsid w:val="00956C04"/>
    <w:rsid w:val="00956D97"/>
    <w:rsid w:val="00956E4D"/>
    <w:rsid w:val="00957107"/>
    <w:rsid w:val="0095714D"/>
    <w:rsid w:val="00957231"/>
    <w:rsid w:val="0095777C"/>
    <w:rsid w:val="00957D16"/>
    <w:rsid w:val="00957D37"/>
    <w:rsid w:val="00957E0B"/>
    <w:rsid w:val="00960357"/>
    <w:rsid w:val="0096036F"/>
    <w:rsid w:val="00960724"/>
    <w:rsid w:val="009608BF"/>
    <w:rsid w:val="00960964"/>
    <w:rsid w:val="00960C63"/>
    <w:rsid w:val="00960C9D"/>
    <w:rsid w:val="00960CBE"/>
    <w:rsid w:val="00960E79"/>
    <w:rsid w:val="0096154F"/>
    <w:rsid w:val="009616F7"/>
    <w:rsid w:val="00961779"/>
    <w:rsid w:val="00961889"/>
    <w:rsid w:val="009618BA"/>
    <w:rsid w:val="0096224B"/>
    <w:rsid w:val="00962381"/>
    <w:rsid w:val="00962793"/>
    <w:rsid w:val="009627F1"/>
    <w:rsid w:val="0096295B"/>
    <w:rsid w:val="00962FFB"/>
    <w:rsid w:val="0096329B"/>
    <w:rsid w:val="00963377"/>
    <w:rsid w:val="00963727"/>
    <w:rsid w:val="00963738"/>
    <w:rsid w:val="00963AD6"/>
    <w:rsid w:val="00963C8F"/>
    <w:rsid w:val="00963E64"/>
    <w:rsid w:val="0096400E"/>
    <w:rsid w:val="009641B3"/>
    <w:rsid w:val="0096438E"/>
    <w:rsid w:val="00964683"/>
    <w:rsid w:val="00964957"/>
    <w:rsid w:val="00964B0D"/>
    <w:rsid w:val="00964B45"/>
    <w:rsid w:val="0096508A"/>
    <w:rsid w:val="009657D1"/>
    <w:rsid w:val="009659B3"/>
    <w:rsid w:val="00965DEC"/>
    <w:rsid w:val="009660D9"/>
    <w:rsid w:val="00966315"/>
    <w:rsid w:val="00966531"/>
    <w:rsid w:val="00966950"/>
    <w:rsid w:val="00966B17"/>
    <w:rsid w:val="00966C34"/>
    <w:rsid w:val="009670EB"/>
    <w:rsid w:val="00967262"/>
    <w:rsid w:val="00967765"/>
    <w:rsid w:val="00967B3A"/>
    <w:rsid w:val="00967FC3"/>
    <w:rsid w:val="009704D2"/>
    <w:rsid w:val="00970583"/>
    <w:rsid w:val="0097060A"/>
    <w:rsid w:val="00970686"/>
    <w:rsid w:val="009707E4"/>
    <w:rsid w:val="00970A6D"/>
    <w:rsid w:val="00970BB1"/>
    <w:rsid w:val="00970F4A"/>
    <w:rsid w:val="0097127E"/>
    <w:rsid w:val="0097183E"/>
    <w:rsid w:val="00971986"/>
    <w:rsid w:val="0097198B"/>
    <w:rsid w:val="00971C0D"/>
    <w:rsid w:val="00972268"/>
    <w:rsid w:val="00972643"/>
    <w:rsid w:val="00972BD2"/>
    <w:rsid w:val="009739D0"/>
    <w:rsid w:val="0097405D"/>
    <w:rsid w:val="00974120"/>
    <w:rsid w:val="00974340"/>
    <w:rsid w:val="009748FD"/>
    <w:rsid w:val="00974983"/>
    <w:rsid w:val="0097500A"/>
    <w:rsid w:val="009753F5"/>
    <w:rsid w:val="009754C4"/>
    <w:rsid w:val="009755DA"/>
    <w:rsid w:val="00975696"/>
    <w:rsid w:val="009757B2"/>
    <w:rsid w:val="009759C3"/>
    <w:rsid w:val="00975EDA"/>
    <w:rsid w:val="00976793"/>
    <w:rsid w:val="00976EE8"/>
    <w:rsid w:val="009778A0"/>
    <w:rsid w:val="009778E4"/>
    <w:rsid w:val="0097797B"/>
    <w:rsid w:val="00977A87"/>
    <w:rsid w:val="00977C84"/>
    <w:rsid w:val="00977D40"/>
    <w:rsid w:val="00977D91"/>
    <w:rsid w:val="009801BD"/>
    <w:rsid w:val="0098052F"/>
    <w:rsid w:val="00980A60"/>
    <w:rsid w:val="00980ABF"/>
    <w:rsid w:val="00980B83"/>
    <w:rsid w:val="009814C3"/>
    <w:rsid w:val="009815B5"/>
    <w:rsid w:val="009815F2"/>
    <w:rsid w:val="009818D9"/>
    <w:rsid w:val="00982142"/>
    <w:rsid w:val="00982153"/>
    <w:rsid w:val="009822D9"/>
    <w:rsid w:val="0098235D"/>
    <w:rsid w:val="00982799"/>
    <w:rsid w:val="00982C0D"/>
    <w:rsid w:val="00982C92"/>
    <w:rsid w:val="00982C97"/>
    <w:rsid w:val="00982E65"/>
    <w:rsid w:val="00982F74"/>
    <w:rsid w:val="009831F3"/>
    <w:rsid w:val="009831F5"/>
    <w:rsid w:val="0098360D"/>
    <w:rsid w:val="00983A25"/>
    <w:rsid w:val="00983A2D"/>
    <w:rsid w:val="00983BEE"/>
    <w:rsid w:val="00983CC8"/>
    <w:rsid w:val="00983ED6"/>
    <w:rsid w:val="00984096"/>
    <w:rsid w:val="009841D0"/>
    <w:rsid w:val="00984293"/>
    <w:rsid w:val="009843CC"/>
    <w:rsid w:val="009849BD"/>
    <w:rsid w:val="00984D7A"/>
    <w:rsid w:val="0098515D"/>
    <w:rsid w:val="0098518B"/>
    <w:rsid w:val="00985262"/>
    <w:rsid w:val="00985CB9"/>
    <w:rsid w:val="00985E9E"/>
    <w:rsid w:val="0098657F"/>
    <w:rsid w:val="00986676"/>
    <w:rsid w:val="00986921"/>
    <w:rsid w:val="00986C19"/>
    <w:rsid w:val="00986D16"/>
    <w:rsid w:val="00986D40"/>
    <w:rsid w:val="00986D60"/>
    <w:rsid w:val="00986FBB"/>
    <w:rsid w:val="00986FFB"/>
    <w:rsid w:val="00987A02"/>
    <w:rsid w:val="00987ED7"/>
    <w:rsid w:val="009901F5"/>
    <w:rsid w:val="0099027E"/>
    <w:rsid w:val="0099056B"/>
    <w:rsid w:val="0099057F"/>
    <w:rsid w:val="00990719"/>
    <w:rsid w:val="009907C5"/>
    <w:rsid w:val="0099087F"/>
    <w:rsid w:val="009908E5"/>
    <w:rsid w:val="00990DA8"/>
    <w:rsid w:val="0099109A"/>
    <w:rsid w:val="009910B8"/>
    <w:rsid w:val="009912B1"/>
    <w:rsid w:val="00991397"/>
    <w:rsid w:val="00991662"/>
    <w:rsid w:val="0099186B"/>
    <w:rsid w:val="00992010"/>
    <w:rsid w:val="00992027"/>
    <w:rsid w:val="00992065"/>
    <w:rsid w:val="00992439"/>
    <w:rsid w:val="009924B7"/>
    <w:rsid w:val="0099253D"/>
    <w:rsid w:val="0099272C"/>
    <w:rsid w:val="009927BB"/>
    <w:rsid w:val="00992D7C"/>
    <w:rsid w:val="00992F9E"/>
    <w:rsid w:val="009932A0"/>
    <w:rsid w:val="00993627"/>
    <w:rsid w:val="00993D00"/>
    <w:rsid w:val="00993D72"/>
    <w:rsid w:val="00994139"/>
    <w:rsid w:val="00994166"/>
    <w:rsid w:val="009943B3"/>
    <w:rsid w:val="009945E9"/>
    <w:rsid w:val="00994B1F"/>
    <w:rsid w:val="00994E5A"/>
    <w:rsid w:val="009951EF"/>
    <w:rsid w:val="00995299"/>
    <w:rsid w:val="00995589"/>
    <w:rsid w:val="0099587E"/>
    <w:rsid w:val="0099589D"/>
    <w:rsid w:val="00995976"/>
    <w:rsid w:val="00995CAC"/>
    <w:rsid w:val="009960F4"/>
    <w:rsid w:val="009961A4"/>
    <w:rsid w:val="0099621B"/>
    <w:rsid w:val="009963AA"/>
    <w:rsid w:val="00996987"/>
    <w:rsid w:val="009969CC"/>
    <w:rsid w:val="00996BA6"/>
    <w:rsid w:val="00996DA4"/>
    <w:rsid w:val="00997285"/>
    <w:rsid w:val="00997386"/>
    <w:rsid w:val="009973CB"/>
    <w:rsid w:val="00997F80"/>
    <w:rsid w:val="009A06E1"/>
    <w:rsid w:val="009A0921"/>
    <w:rsid w:val="009A0A54"/>
    <w:rsid w:val="009A0B0F"/>
    <w:rsid w:val="009A0F3D"/>
    <w:rsid w:val="009A14D9"/>
    <w:rsid w:val="009A1AA6"/>
    <w:rsid w:val="009A1B4A"/>
    <w:rsid w:val="009A1FF4"/>
    <w:rsid w:val="009A2396"/>
    <w:rsid w:val="009A23D6"/>
    <w:rsid w:val="009A2477"/>
    <w:rsid w:val="009A24E5"/>
    <w:rsid w:val="009A28F9"/>
    <w:rsid w:val="009A298A"/>
    <w:rsid w:val="009A2AF1"/>
    <w:rsid w:val="009A2D76"/>
    <w:rsid w:val="009A2EB2"/>
    <w:rsid w:val="009A3092"/>
    <w:rsid w:val="009A396E"/>
    <w:rsid w:val="009A42F1"/>
    <w:rsid w:val="009A4342"/>
    <w:rsid w:val="009A4396"/>
    <w:rsid w:val="009A441E"/>
    <w:rsid w:val="009A44B5"/>
    <w:rsid w:val="009A44EC"/>
    <w:rsid w:val="009A4832"/>
    <w:rsid w:val="009A488A"/>
    <w:rsid w:val="009A4FB6"/>
    <w:rsid w:val="009A5443"/>
    <w:rsid w:val="009A5452"/>
    <w:rsid w:val="009A5FA8"/>
    <w:rsid w:val="009A60BA"/>
    <w:rsid w:val="009A645B"/>
    <w:rsid w:val="009A69DD"/>
    <w:rsid w:val="009A6EB7"/>
    <w:rsid w:val="009A6FBD"/>
    <w:rsid w:val="009A7143"/>
    <w:rsid w:val="009A737A"/>
    <w:rsid w:val="009A78B6"/>
    <w:rsid w:val="009A7AAE"/>
    <w:rsid w:val="009A7B50"/>
    <w:rsid w:val="009B00D0"/>
    <w:rsid w:val="009B01F1"/>
    <w:rsid w:val="009B037D"/>
    <w:rsid w:val="009B055D"/>
    <w:rsid w:val="009B062F"/>
    <w:rsid w:val="009B07B9"/>
    <w:rsid w:val="009B0877"/>
    <w:rsid w:val="009B0B10"/>
    <w:rsid w:val="009B0D3D"/>
    <w:rsid w:val="009B1258"/>
    <w:rsid w:val="009B17C0"/>
    <w:rsid w:val="009B1BBF"/>
    <w:rsid w:val="009B1BE0"/>
    <w:rsid w:val="009B2D1D"/>
    <w:rsid w:val="009B2E39"/>
    <w:rsid w:val="009B3A5E"/>
    <w:rsid w:val="009B3C6A"/>
    <w:rsid w:val="009B42D3"/>
    <w:rsid w:val="009B4572"/>
    <w:rsid w:val="009B4AE5"/>
    <w:rsid w:val="009B4B89"/>
    <w:rsid w:val="009B4DFD"/>
    <w:rsid w:val="009B4FAB"/>
    <w:rsid w:val="009B505C"/>
    <w:rsid w:val="009B56E8"/>
    <w:rsid w:val="009B5751"/>
    <w:rsid w:val="009B575E"/>
    <w:rsid w:val="009B5791"/>
    <w:rsid w:val="009B601C"/>
    <w:rsid w:val="009B6197"/>
    <w:rsid w:val="009B6D69"/>
    <w:rsid w:val="009B7159"/>
    <w:rsid w:val="009B7249"/>
    <w:rsid w:val="009B766B"/>
    <w:rsid w:val="009B7B60"/>
    <w:rsid w:val="009B7FF3"/>
    <w:rsid w:val="009C0019"/>
    <w:rsid w:val="009C01D6"/>
    <w:rsid w:val="009C08E3"/>
    <w:rsid w:val="009C145D"/>
    <w:rsid w:val="009C1469"/>
    <w:rsid w:val="009C1642"/>
    <w:rsid w:val="009C192B"/>
    <w:rsid w:val="009C1F71"/>
    <w:rsid w:val="009C1FE3"/>
    <w:rsid w:val="009C2AF4"/>
    <w:rsid w:val="009C2E15"/>
    <w:rsid w:val="009C3167"/>
    <w:rsid w:val="009C323C"/>
    <w:rsid w:val="009C3835"/>
    <w:rsid w:val="009C3F23"/>
    <w:rsid w:val="009C4100"/>
    <w:rsid w:val="009C4486"/>
    <w:rsid w:val="009C45A9"/>
    <w:rsid w:val="009C4659"/>
    <w:rsid w:val="009C4746"/>
    <w:rsid w:val="009C4D44"/>
    <w:rsid w:val="009C4DA8"/>
    <w:rsid w:val="009C4F3B"/>
    <w:rsid w:val="009C5157"/>
    <w:rsid w:val="009C51EA"/>
    <w:rsid w:val="009C58D7"/>
    <w:rsid w:val="009C5995"/>
    <w:rsid w:val="009C5D7D"/>
    <w:rsid w:val="009C5FA7"/>
    <w:rsid w:val="009C62CB"/>
    <w:rsid w:val="009C648D"/>
    <w:rsid w:val="009C696B"/>
    <w:rsid w:val="009C720B"/>
    <w:rsid w:val="009C72E1"/>
    <w:rsid w:val="009C72FE"/>
    <w:rsid w:val="009C764A"/>
    <w:rsid w:val="009C7870"/>
    <w:rsid w:val="009C78AB"/>
    <w:rsid w:val="009C79FB"/>
    <w:rsid w:val="009C7B93"/>
    <w:rsid w:val="009C7D9A"/>
    <w:rsid w:val="009D000F"/>
    <w:rsid w:val="009D0063"/>
    <w:rsid w:val="009D01D2"/>
    <w:rsid w:val="009D0346"/>
    <w:rsid w:val="009D071E"/>
    <w:rsid w:val="009D08C9"/>
    <w:rsid w:val="009D0E07"/>
    <w:rsid w:val="009D0EDA"/>
    <w:rsid w:val="009D1A3F"/>
    <w:rsid w:val="009D1B15"/>
    <w:rsid w:val="009D1C54"/>
    <w:rsid w:val="009D1E00"/>
    <w:rsid w:val="009D1E59"/>
    <w:rsid w:val="009D1FC0"/>
    <w:rsid w:val="009D21DA"/>
    <w:rsid w:val="009D2516"/>
    <w:rsid w:val="009D2696"/>
    <w:rsid w:val="009D2744"/>
    <w:rsid w:val="009D2895"/>
    <w:rsid w:val="009D32FE"/>
    <w:rsid w:val="009D33F1"/>
    <w:rsid w:val="009D36B4"/>
    <w:rsid w:val="009D38EA"/>
    <w:rsid w:val="009D3CE0"/>
    <w:rsid w:val="009D3D3B"/>
    <w:rsid w:val="009D3D70"/>
    <w:rsid w:val="009D3FA5"/>
    <w:rsid w:val="009D4068"/>
    <w:rsid w:val="009D4079"/>
    <w:rsid w:val="009D4152"/>
    <w:rsid w:val="009D41ED"/>
    <w:rsid w:val="009D4521"/>
    <w:rsid w:val="009D473D"/>
    <w:rsid w:val="009D4E47"/>
    <w:rsid w:val="009D515A"/>
    <w:rsid w:val="009D5452"/>
    <w:rsid w:val="009D559B"/>
    <w:rsid w:val="009D5A6D"/>
    <w:rsid w:val="009D5DCD"/>
    <w:rsid w:val="009D6251"/>
    <w:rsid w:val="009D664B"/>
    <w:rsid w:val="009D6666"/>
    <w:rsid w:val="009D6753"/>
    <w:rsid w:val="009D6EA3"/>
    <w:rsid w:val="009D70C9"/>
    <w:rsid w:val="009D7370"/>
    <w:rsid w:val="009D7871"/>
    <w:rsid w:val="009D79F5"/>
    <w:rsid w:val="009E00F4"/>
    <w:rsid w:val="009E0387"/>
    <w:rsid w:val="009E0514"/>
    <w:rsid w:val="009E0792"/>
    <w:rsid w:val="009E0FD9"/>
    <w:rsid w:val="009E135C"/>
    <w:rsid w:val="009E1657"/>
    <w:rsid w:val="009E17A2"/>
    <w:rsid w:val="009E19E5"/>
    <w:rsid w:val="009E1B25"/>
    <w:rsid w:val="009E1D50"/>
    <w:rsid w:val="009E1DCA"/>
    <w:rsid w:val="009E1EB6"/>
    <w:rsid w:val="009E1F89"/>
    <w:rsid w:val="009E207C"/>
    <w:rsid w:val="009E266B"/>
    <w:rsid w:val="009E27A1"/>
    <w:rsid w:val="009E27B1"/>
    <w:rsid w:val="009E303E"/>
    <w:rsid w:val="009E307E"/>
    <w:rsid w:val="009E3195"/>
    <w:rsid w:val="009E345A"/>
    <w:rsid w:val="009E37FA"/>
    <w:rsid w:val="009E394B"/>
    <w:rsid w:val="009E3B15"/>
    <w:rsid w:val="009E3B1B"/>
    <w:rsid w:val="009E3B81"/>
    <w:rsid w:val="009E3E4C"/>
    <w:rsid w:val="009E4252"/>
    <w:rsid w:val="009E42F2"/>
    <w:rsid w:val="009E44F8"/>
    <w:rsid w:val="009E44FE"/>
    <w:rsid w:val="009E4601"/>
    <w:rsid w:val="009E4A8F"/>
    <w:rsid w:val="009E4C5B"/>
    <w:rsid w:val="009E4D81"/>
    <w:rsid w:val="009E4D84"/>
    <w:rsid w:val="009E5102"/>
    <w:rsid w:val="009E527D"/>
    <w:rsid w:val="009E57DD"/>
    <w:rsid w:val="009E59E3"/>
    <w:rsid w:val="009E5A8A"/>
    <w:rsid w:val="009E5B45"/>
    <w:rsid w:val="009E5E03"/>
    <w:rsid w:val="009E5F4A"/>
    <w:rsid w:val="009E6020"/>
    <w:rsid w:val="009E6066"/>
    <w:rsid w:val="009E6087"/>
    <w:rsid w:val="009E6472"/>
    <w:rsid w:val="009E6838"/>
    <w:rsid w:val="009E6B28"/>
    <w:rsid w:val="009E6EB6"/>
    <w:rsid w:val="009E6EDF"/>
    <w:rsid w:val="009E6FD9"/>
    <w:rsid w:val="009E7E28"/>
    <w:rsid w:val="009E7F79"/>
    <w:rsid w:val="009F023A"/>
    <w:rsid w:val="009F052E"/>
    <w:rsid w:val="009F0855"/>
    <w:rsid w:val="009F1330"/>
    <w:rsid w:val="009F1446"/>
    <w:rsid w:val="009F157D"/>
    <w:rsid w:val="009F1DFC"/>
    <w:rsid w:val="009F20E6"/>
    <w:rsid w:val="009F25CD"/>
    <w:rsid w:val="009F2D28"/>
    <w:rsid w:val="009F2FDA"/>
    <w:rsid w:val="009F3755"/>
    <w:rsid w:val="009F391F"/>
    <w:rsid w:val="009F3AB2"/>
    <w:rsid w:val="009F3C8A"/>
    <w:rsid w:val="009F3CCE"/>
    <w:rsid w:val="009F446C"/>
    <w:rsid w:val="009F4740"/>
    <w:rsid w:val="009F4E88"/>
    <w:rsid w:val="009F5103"/>
    <w:rsid w:val="009F5805"/>
    <w:rsid w:val="009F5944"/>
    <w:rsid w:val="009F5975"/>
    <w:rsid w:val="009F5B0A"/>
    <w:rsid w:val="009F5B22"/>
    <w:rsid w:val="009F5C3C"/>
    <w:rsid w:val="009F5F78"/>
    <w:rsid w:val="009F610D"/>
    <w:rsid w:val="009F655C"/>
    <w:rsid w:val="009F65D3"/>
    <w:rsid w:val="009F6B56"/>
    <w:rsid w:val="009F73BB"/>
    <w:rsid w:val="009F74F2"/>
    <w:rsid w:val="009F7CFA"/>
    <w:rsid w:val="009F7DF3"/>
    <w:rsid w:val="00A00093"/>
    <w:rsid w:val="00A00208"/>
    <w:rsid w:val="00A00B51"/>
    <w:rsid w:val="00A00E71"/>
    <w:rsid w:val="00A0169D"/>
    <w:rsid w:val="00A019A3"/>
    <w:rsid w:val="00A01AAD"/>
    <w:rsid w:val="00A01E61"/>
    <w:rsid w:val="00A01E8F"/>
    <w:rsid w:val="00A0206F"/>
    <w:rsid w:val="00A0218F"/>
    <w:rsid w:val="00A023CE"/>
    <w:rsid w:val="00A0245C"/>
    <w:rsid w:val="00A0271B"/>
    <w:rsid w:val="00A02745"/>
    <w:rsid w:val="00A027E9"/>
    <w:rsid w:val="00A0282E"/>
    <w:rsid w:val="00A02D0A"/>
    <w:rsid w:val="00A02E05"/>
    <w:rsid w:val="00A02E0B"/>
    <w:rsid w:val="00A02F6F"/>
    <w:rsid w:val="00A031BF"/>
    <w:rsid w:val="00A03656"/>
    <w:rsid w:val="00A037E1"/>
    <w:rsid w:val="00A03856"/>
    <w:rsid w:val="00A03A67"/>
    <w:rsid w:val="00A03D0D"/>
    <w:rsid w:val="00A03EDF"/>
    <w:rsid w:val="00A04052"/>
    <w:rsid w:val="00A041C7"/>
    <w:rsid w:val="00A042F4"/>
    <w:rsid w:val="00A0436A"/>
    <w:rsid w:val="00A043E5"/>
    <w:rsid w:val="00A044C1"/>
    <w:rsid w:val="00A04774"/>
    <w:rsid w:val="00A04ADC"/>
    <w:rsid w:val="00A04B38"/>
    <w:rsid w:val="00A04E63"/>
    <w:rsid w:val="00A05086"/>
    <w:rsid w:val="00A052F3"/>
    <w:rsid w:val="00A05738"/>
    <w:rsid w:val="00A059CF"/>
    <w:rsid w:val="00A05B5A"/>
    <w:rsid w:val="00A05CFA"/>
    <w:rsid w:val="00A063AF"/>
    <w:rsid w:val="00A06667"/>
    <w:rsid w:val="00A068A7"/>
    <w:rsid w:val="00A06C31"/>
    <w:rsid w:val="00A06F06"/>
    <w:rsid w:val="00A06F62"/>
    <w:rsid w:val="00A07699"/>
    <w:rsid w:val="00A076F7"/>
    <w:rsid w:val="00A0787E"/>
    <w:rsid w:val="00A07BFF"/>
    <w:rsid w:val="00A1013E"/>
    <w:rsid w:val="00A103D1"/>
    <w:rsid w:val="00A10547"/>
    <w:rsid w:val="00A10B19"/>
    <w:rsid w:val="00A10D6C"/>
    <w:rsid w:val="00A10E16"/>
    <w:rsid w:val="00A10F97"/>
    <w:rsid w:val="00A11031"/>
    <w:rsid w:val="00A112EC"/>
    <w:rsid w:val="00A11985"/>
    <w:rsid w:val="00A123AC"/>
    <w:rsid w:val="00A127B7"/>
    <w:rsid w:val="00A12AD4"/>
    <w:rsid w:val="00A1325C"/>
    <w:rsid w:val="00A1341C"/>
    <w:rsid w:val="00A13519"/>
    <w:rsid w:val="00A135E0"/>
    <w:rsid w:val="00A135E2"/>
    <w:rsid w:val="00A13C53"/>
    <w:rsid w:val="00A13D3F"/>
    <w:rsid w:val="00A1441F"/>
    <w:rsid w:val="00A149DA"/>
    <w:rsid w:val="00A14DB1"/>
    <w:rsid w:val="00A154E7"/>
    <w:rsid w:val="00A15522"/>
    <w:rsid w:val="00A1557A"/>
    <w:rsid w:val="00A15666"/>
    <w:rsid w:val="00A16082"/>
    <w:rsid w:val="00A16239"/>
    <w:rsid w:val="00A162E2"/>
    <w:rsid w:val="00A16307"/>
    <w:rsid w:val="00A16330"/>
    <w:rsid w:val="00A164A0"/>
    <w:rsid w:val="00A1653C"/>
    <w:rsid w:val="00A167EC"/>
    <w:rsid w:val="00A1689D"/>
    <w:rsid w:val="00A16C94"/>
    <w:rsid w:val="00A17116"/>
    <w:rsid w:val="00A17601"/>
    <w:rsid w:val="00A17614"/>
    <w:rsid w:val="00A1772A"/>
    <w:rsid w:val="00A179D1"/>
    <w:rsid w:val="00A17B5A"/>
    <w:rsid w:val="00A17E3E"/>
    <w:rsid w:val="00A17EDC"/>
    <w:rsid w:val="00A2105E"/>
    <w:rsid w:val="00A213CA"/>
    <w:rsid w:val="00A21424"/>
    <w:rsid w:val="00A2158F"/>
    <w:rsid w:val="00A21670"/>
    <w:rsid w:val="00A224C2"/>
    <w:rsid w:val="00A22664"/>
    <w:rsid w:val="00A226F7"/>
    <w:rsid w:val="00A22926"/>
    <w:rsid w:val="00A22A5D"/>
    <w:rsid w:val="00A22D1A"/>
    <w:rsid w:val="00A22EE9"/>
    <w:rsid w:val="00A22F19"/>
    <w:rsid w:val="00A2327E"/>
    <w:rsid w:val="00A232D5"/>
    <w:rsid w:val="00A23A07"/>
    <w:rsid w:val="00A23EFA"/>
    <w:rsid w:val="00A241C2"/>
    <w:rsid w:val="00A24484"/>
    <w:rsid w:val="00A246B4"/>
    <w:rsid w:val="00A24C2E"/>
    <w:rsid w:val="00A24F07"/>
    <w:rsid w:val="00A252E7"/>
    <w:rsid w:val="00A25380"/>
    <w:rsid w:val="00A259F9"/>
    <w:rsid w:val="00A25A3A"/>
    <w:rsid w:val="00A26045"/>
    <w:rsid w:val="00A260A3"/>
    <w:rsid w:val="00A2613C"/>
    <w:rsid w:val="00A261C9"/>
    <w:rsid w:val="00A266A8"/>
    <w:rsid w:val="00A268B9"/>
    <w:rsid w:val="00A26936"/>
    <w:rsid w:val="00A26A6E"/>
    <w:rsid w:val="00A26C63"/>
    <w:rsid w:val="00A26D6D"/>
    <w:rsid w:val="00A270CD"/>
    <w:rsid w:val="00A272F5"/>
    <w:rsid w:val="00A27302"/>
    <w:rsid w:val="00A2750C"/>
    <w:rsid w:val="00A27915"/>
    <w:rsid w:val="00A27A32"/>
    <w:rsid w:val="00A27EFA"/>
    <w:rsid w:val="00A30659"/>
    <w:rsid w:val="00A3069C"/>
    <w:rsid w:val="00A308A4"/>
    <w:rsid w:val="00A30985"/>
    <w:rsid w:val="00A3139B"/>
    <w:rsid w:val="00A316DC"/>
    <w:rsid w:val="00A31749"/>
    <w:rsid w:val="00A318C6"/>
    <w:rsid w:val="00A3199F"/>
    <w:rsid w:val="00A319CA"/>
    <w:rsid w:val="00A31A41"/>
    <w:rsid w:val="00A31B13"/>
    <w:rsid w:val="00A31BBE"/>
    <w:rsid w:val="00A31C8F"/>
    <w:rsid w:val="00A31ECA"/>
    <w:rsid w:val="00A320CF"/>
    <w:rsid w:val="00A32165"/>
    <w:rsid w:val="00A325F8"/>
    <w:rsid w:val="00A32607"/>
    <w:rsid w:val="00A32620"/>
    <w:rsid w:val="00A32826"/>
    <w:rsid w:val="00A32906"/>
    <w:rsid w:val="00A32B6F"/>
    <w:rsid w:val="00A32DD8"/>
    <w:rsid w:val="00A339E0"/>
    <w:rsid w:val="00A33B62"/>
    <w:rsid w:val="00A33CC9"/>
    <w:rsid w:val="00A341C6"/>
    <w:rsid w:val="00A34812"/>
    <w:rsid w:val="00A348F8"/>
    <w:rsid w:val="00A34EBA"/>
    <w:rsid w:val="00A354F8"/>
    <w:rsid w:val="00A3599E"/>
    <w:rsid w:val="00A359D2"/>
    <w:rsid w:val="00A35B80"/>
    <w:rsid w:val="00A36615"/>
    <w:rsid w:val="00A3694D"/>
    <w:rsid w:val="00A36BF7"/>
    <w:rsid w:val="00A37025"/>
    <w:rsid w:val="00A370B6"/>
    <w:rsid w:val="00A37447"/>
    <w:rsid w:val="00A37A79"/>
    <w:rsid w:val="00A37C16"/>
    <w:rsid w:val="00A37C74"/>
    <w:rsid w:val="00A37EEB"/>
    <w:rsid w:val="00A400E6"/>
    <w:rsid w:val="00A402BE"/>
    <w:rsid w:val="00A4030E"/>
    <w:rsid w:val="00A404C6"/>
    <w:rsid w:val="00A404FB"/>
    <w:rsid w:val="00A4066D"/>
    <w:rsid w:val="00A40A58"/>
    <w:rsid w:val="00A40B13"/>
    <w:rsid w:val="00A40DD5"/>
    <w:rsid w:val="00A40EDF"/>
    <w:rsid w:val="00A4121E"/>
    <w:rsid w:val="00A41765"/>
    <w:rsid w:val="00A41AFD"/>
    <w:rsid w:val="00A41B3B"/>
    <w:rsid w:val="00A41C56"/>
    <w:rsid w:val="00A41EE6"/>
    <w:rsid w:val="00A4219A"/>
    <w:rsid w:val="00A42285"/>
    <w:rsid w:val="00A42770"/>
    <w:rsid w:val="00A427ED"/>
    <w:rsid w:val="00A42F74"/>
    <w:rsid w:val="00A431BD"/>
    <w:rsid w:val="00A433C6"/>
    <w:rsid w:val="00A43440"/>
    <w:rsid w:val="00A43781"/>
    <w:rsid w:val="00A438E9"/>
    <w:rsid w:val="00A43C5B"/>
    <w:rsid w:val="00A4461B"/>
    <w:rsid w:val="00A448A4"/>
    <w:rsid w:val="00A44993"/>
    <w:rsid w:val="00A449EE"/>
    <w:rsid w:val="00A44EAD"/>
    <w:rsid w:val="00A4598D"/>
    <w:rsid w:val="00A45E93"/>
    <w:rsid w:val="00A46042"/>
    <w:rsid w:val="00A46063"/>
    <w:rsid w:val="00A46228"/>
    <w:rsid w:val="00A46382"/>
    <w:rsid w:val="00A4660F"/>
    <w:rsid w:val="00A46A23"/>
    <w:rsid w:val="00A46B4E"/>
    <w:rsid w:val="00A46C4A"/>
    <w:rsid w:val="00A46D30"/>
    <w:rsid w:val="00A471A4"/>
    <w:rsid w:val="00A472CC"/>
    <w:rsid w:val="00A475C4"/>
    <w:rsid w:val="00A477FD"/>
    <w:rsid w:val="00A47884"/>
    <w:rsid w:val="00A47B91"/>
    <w:rsid w:val="00A47BAE"/>
    <w:rsid w:val="00A500D9"/>
    <w:rsid w:val="00A506A8"/>
    <w:rsid w:val="00A508AD"/>
    <w:rsid w:val="00A50A24"/>
    <w:rsid w:val="00A50CC9"/>
    <w:rsid w:val="00A51357"/>
    <w:rsid w:val="00A51734"/>
    <w:rsid w:val="00A51938"/>
    <w:rsid w:val="00A51A4D"/>
    <w:rsid w:val="00A51CB8"/>
    <w:rsid w:val="00A51DDA"/>
    <w:rsid w:val="00A51EBC"/>
    <w:rsid w:val="00A51EEC"/>
    <w:rsid w:val="00A52A63"/>
    <w:rsid w:val="00A52C9E"/>
    <w:rsid w:val="00A52D07"/>
    <w:rsid w:val="00A52FA4"/>
    <w:rsid w:val="00A53266"/>
    <w:rsid w:val="00A538EC"/>
    <w:rsid w:val="00A539FB"/>
    <w:rsid w:val="00A53CA9"/>
    <w:rsid w:val="00A5418F"/>
    <w:rsid w:val="00A544CD"/>
    <w:rsid w:val="00A545EB"/>
    <w:rsid w:val="00A5492F"/>
    <w:rsid w:val="00A54BB1"/>
    <w:rsid w:val="00A54BF3"/>
    <w:rsid w:val="00A54FFF"/>
    <w:rsid w:val="00A55026"/>
    <w:rsid w:val="00A55095"/>
    <w:rsid w:val="00A5514E"/>
    <w:rsid w:val="00A556CA"/>
    <w:rsid w:val="00A5579E"/>
    <w:rsid w:val="00A55917"/>
    <w:rsid w:val="00A55957"/>
    <w:rsid w:val="00A55EE9"/>
    <w:rsid w:val="00A55F63"/>
    <w:rsid w:val="00A56163"/>
    <w:rsid w:val="00A56435"/>
    <w:rsid w:val="00A568D5"/>
    <w:rsid w:val="00A569A8"/>
    <w:rsid w:val="00A56A3B"/>
    <w:rsid w:val="00A56DEA"/>
    <w:rsid w:val="00A56F1F"/>
    <w:rsid w:val="00A56F22"/>
    <w:rsid w:val="00A56FBC"/>
    <w:rsid w:val="00A57654"/>
    <w:rsid w:val="00A5782F"/>
    <w:rsid w:val="00A57838"/>
    <w:rsid w:val="00A57A47"/>
    <w:rsid w:val="00A57CF9"/>
    <w:rsid w:val="00A57E59"/>
    <w:rsid w:val="00A57E8E"/>
    <w:rsid w:val="00A57EC3"/>
    <w:rsid w:val="00A57FEF"/>
    <w:rsid w:val="00A6034F"/>
    <w:rsid w:val="00A60674"/>
    <w:rsid w:val="00A60C9E"/>
    <w:rsid w:val="00A61030"/>
    <w:rsid w:val="00A61156"/>
    <w:rsid w:val="00A61418"/>
    <w:rsid w:val="00A61544"/>
    <w:rsid w:val="00A617B0"/>
    <w:rsid w:val="00A617C7"/>
    <w:rsid w:val="00A619D7"/>
    <w:rsid w:val="00A61C88"/>
    <w:rsid w:val="00A61D76"/>
    <w:rsid w:val="00A61D97"/>
    <w:rsid w:val="00A61E70"/>
    <w:rsid w:val="00A61FEC"/>
    <w:rsid w:val="00A62134"/>
    <w:rsid w:val="00A62617"/>
    <w:rsid w:val="00A6286E"/>
    <w:rsid w:val="00A628B5"/>
    <w:rsid w:val="00A62A48"/>
    <w:rsid w:val="00A62A5D"/>
    <w:rsid w:val="00A62D17"/>
    <w:rsid w:val="00A63C17"/>
    <w:rsid w:val="00A63F4F"/>
    <w:rsid w:val="00A643B0"/>
    <w:rsid w:val="00A650F4"/>
    <w:rsid w:val="00A65125"/>
    <w:rsid w:val="00A6547F"/>
    <w:rsid w:val="00A65AF5"/>
    <w:rsid w:val="00A65CD4"/>
    <w:rsid w:val="00A65D06"/>
    <w:rsid w:val="00A65F65"/>
    <w:rsid w:val="00A666D7"/>
    <w:rsid w:val="00A6675B"/>
    <w:rsid w:val="00A66B54"/>
    <w:rsid w:val="00A66CD5"/>
    <w:rsid w:val="00A66EA8"/>
    <w:rsid w:val="00A66F59"/>
    <w:rsid w:val="00A670ED"/>
    <w:rsid w:val="00A67312"/>
    <w:rsid w:val="00A67578"/>
    <w:rsid w:val="00A67C53"/>
    <w:rsid w:val="00A67D10"/>
    <w:rsid w:val="00A67D5D"/>
    <w:rsid w:val="00A67EA5"/>
    <w:rsid w:val="00A7063D"/>
    <w:rsid w:val="00A70740"/>
    <w:rsid w:val="00A707AE"/>
    <w:rsid w:val="00A70819"/>
    <w:rsid w:val="00A70902"/>
    <w:rsid w:val="00A709B5"/>
    <w:rsid w:val="00A70A39"/>
    <w:rsid w:val="00A70AB6"/>
    <w:rsid w:val="00A70C22"/>
    <w:rsid w:val="00A711D6"/>
    <w:rsid w:val="00A71552"/>
    <w:rsid w:val="00A71631"/>
    <w:rsid w:val="00A71978"/>
    <w:rsid w:val="00A71E49"/>
    <w:rsid w:val="00A72020"/>
    <w:rsid w:val="00A72366"/>
    <w:rsid w:val="00A7261E"/>
    <w:rsid w:val="00A72668"/>
    <w:rsid w:val="00A72758"/>
    <w:rsid w:val="00A72881"/>
    <w:rsid w:val="00A72A96"/>
    <w:rsid w:val="00A72AB0"/>
    <w:rsid w:val="00A72BCD"/>
    <w:rsid w:val="00A72FAF"/>
    <w:rsid w:val="00A72FFF"/>
    <w:rsid w:val="00A73155"/>
    <w:rsid w:val="00A73160"/>
    <w:rsid w:val="00A73301"/>
    <w:rsid w:val="00A7357F"/>
    <w:rsid w:val="00A73588"/>
    <w:rsid w:val="00A73EA4"/>
    <w:rsid w:val="00A74176"/>
    <w:rsid w:val="00A74719"/>
    <w:rsid w:val="00A747FA"/>
    <w:rsid w:val="00A74A2F"/>
    <w:rsid w:val="00A74F9D"/>
    <w:rsid w:val="00A75579"/>
    <w:rsid w:val="00A757C1"/>
    <w:rsid w:val="00A75BB7"/>
    <w:rsid w:val="00A75E60"/>
    <w:rsid w:val="00A75F66"/>
    <w:rsid w:val="00A76229"/>
    <w:rsid w:val="00A76AFC"/>
    <w:rsid w:val="00A76C1C"/>
    <w:rsid w:val="00A76D46"/>
    <w:rsid w:val="00A76E1E"/>
    <w:rsid w:val="00A772CB"/>
    <w:rsid w:val="00A7731E"/>
    <w:rsid w:val="00A7762B"/>
    <w:rsid w:val="00A77844"/>
    <w:rsid w:val="00A77971"/>
    <w:rsid w:val="00A77C21"/>
    <w:rsid w:val="00A77DA4"/>
    <w:rsid w:val="00A77FEC"/>
    <w:rsid w:val="00A80351"/>
    <w:rsid w:val="00A803BB"/>
    <w:rsid w:val="00A8052E"/>
    <w:rsid w:val="00A8053D"/>
    <w:rsid w:val="00A80ED8"/>
    <w:rsid w:val="00A81051"/>
    <w:rsid w:val="00A820BA"/>
    <w:rsid w:val="00A826F3"/>
    <w:rsid w:val="00A82871"/>
    <w:rsid w:val="00A829DB"/>
    <w:rsid w:val="00A82E63"/>
    <w:rsid w:val="00A82EEE"/>
    <w:rsid w:val="00A830B6"/>
    <w:rsid w:val="00A831D8"/>
    <w:rsid w:val="00A832E9"/>
    <w:rsid w:val="00A835A9"/>
    <w:rsid w:val="00A8395E"/>
    <w:rsid w:val="00A83DCF"/>
    <w:rsid w:val="00A8410B"/>
    <w:rsid w:val="00A842DD"/>
    <w:rsid w:val="00A843FA"/>
    <w:rsid w:val="00A8456A"/>
    <w:rsid w:val="00A845CD"/>
    <w:rsid w:val="00A84838"/>
    <w:rsid w:val="00A84C19"/>
    <w:rsid w:val="00A84DFB"/>
    <w:rsid w:val="00A84F2C"/>
    <w:rsid w:val="00A8501D"/>
    <w:rsid w:val="00A85478"/>
    <w:rsid w:val="00A85786"/>
    <w:rsid w:val="00A85C2F"/>
    <w:rsid w:val="00A864F5"/>
    <w:rsid w:val="00A866AD"/>
    <w:rsid w:val="00A8699B"/>
    <w:rsid w:val="00A869BF"/>
    <w:rsid w:val="00A869C5"/>
    <w:rsid w:val="00A86EE4"/>
    <w:rsid w:val="00A870EB"/>
    <w:rsid w:val="00A87119"/>
    <w:rsid w:val="00A87286"/>
    <w:rsid w:val="00A877F9"/>
    <w:rsid w:val="00A87812"/>
    <w:rsid w:val="00A878DC"/>
    <w:rsid w:val="00A878F4"/>
    <w:rsid w:val="00A87D4D"/>
    <w:rsid w:val="00A904F2"/>
    <w:rsid w:val="00A90599"/>
    <w:rsid w:val="00A90FAE"/>
    <w:rsid w:val="00A91017"/>
    <w:rsid w:val="00A910F9"/>
    <w:rsid w:val="00A911F3"/>
    <w:rsid w:val="00A916ED"/>
    <w:rsid w:val="00A91BE3"/>
    <w:rsid w:val="00A91CD6"/>
    <w:rsid w:val="00A9254A"/>
    <w:rsid w:val="00A92929"/>
    <w:rsid w:val="00A92AE2"/>
    <w:rsid w:val="00A92AF4"/>
    <w:rsid w:val="00A92B5B"/>
    <w:rsid w:val="00A92E5D"/>
    <w:rsid w:val="00A92F1F"/>
    <w:rsid w:val="00A92F91"/>
    <w:rsid w:val="00A938F8"/>
    <w:rsid w:val="00A93BE9"/>
    <w:rsid w:val="00A93C6E"/>
    <w:rsid w:val="00A93CC5"/>
    <w:rsid w:val="00A93EA6"/>
    <w:rsid w:val="00A93F78"/>
    <w:rsid w:val="00A943E5"/>
    <w:rsid w:val="00A943F6"/>
    <w:rsid w:val="00A9445A"/>
    <w:rsid w:val="00A94525"/>
    <w:rsid w:val="00A94626"/>
    <w:rsid w:val="00A94711"/>
    <w:rsid w:val="00A947A1"/>
    <w:rsid w:val="00A9489E"/>
    <w:rsid w:val="00A9511E"/>
    <w:rsid w:val="00A95133"/>
    <w:rsid w:val="00A95484"/>
    <w:rsid w:val="00A95681"/>
    <w:rsid w:val="00A957CD"/>
    <w:rsid w:val="00A95908"/>
    <w:rsid w:val="00A95E4E"/>
    <w:rsid w:val="00A95EB7"/>
    <w:rsid w:val="00A95EC6"/>
    <w:rsid w:val="00A95F94"/>
    <w:rsid w:val="00A96B51"/>
    <w:rsid w:val="00A96C79"/>
    <w:rsid w:val="00A96D72"/>
    <w:rsid w:val="00A96DB2"/>
    <w:rsid w:val="00A96F7A"/>
    <w:rsid w:val="00A9703E"/>
    <w:rsid w:val="00A972DE"/>
    <w:rsid w:val="00A9779B"/>
    <w:rsid w:val="00A977E9"/>
    <w:rsid w:val="00A97962"/>
    <w:rsid w:val="00A97B2C"/>
    <w:rsid w:val="00A97E27"/>
    <w:rsid w:val="00AA0108"/>
    <w:rsid w:val="00AA03EF"/>
    <w:rsid w:val="00AA04AF"/>
    <w:rsid w:val="00AA0D3F"/>
    <w:rsid w:val="00AA12E6"/>
    <w:rsid w:val="00AA141B"/>
    <w:rsid w:val="00AA17E7"/>
    <w:rsid w:val="00AA1A68"/>
    <w:rsid w:val="00AA1B02"/>
    <w:rsid w:val="00AA1DDB"/>
    <w:rsid w:val="00AA21EF"/>
    <w:rsid w:val="00AA221F"/>
    <w:rsid w:val="00AA23F2"/>
    <w:rsid w:val="00AA26E4"/>
    <w:rsid w:val="00AA2714"/>
    <w:rsid w:val="00AA27F6"/>
    <w:rsid w:val="00AA28BE"/>
    <w:rsid w:val="00AA2A55"/>
    <w:rsid w:val="00AA2CBE"/>
    <w:rsid w:val="00AA3024"/>
    <w:rsid w:val="00AA3176"/>
    <w:rsid w:val="00AA365C"/>
    <w:rsid w:val="00AA3BF3"/>
    <w:rsid w:val="00AA3C6F"/>
    <w:rsid w:val="00AA3CB7"/>
    <w:rsid w:val="00AA3ED4"/>
    <w:rsid w:val="00AA3F93"/>
    <w:rsid w:val="00AA404A"/>
    <w:rsid w:val="00AA429B"/>
    <w:rsid w:val="00AA43BE"/>
    <w:rsid w:val="00AA4466"/>
    <w:rsid w:val="00AA477F"/>
    <w:rsid w:val="00AA4A05"/>
    <w:rsid w:val="00AA4B49"/>
    <w:rsid w:val="00AA4FAF"/>
    <w:rsid w:val="00AA50BA"/>
    <w:rsid w:val="00AA50BB"/>
    <w:rsid w:val="00AA5347"/>
    <w:rsid w:val="00AA5646"/>
    <w:rsid w:val="00AA59F0"/>
    <w:rsid w:val="00AA5C00"/>
    <w:rsid w:val="00AA5E01"/>
    <w:rsid w:val="00AA5F5C"/>
    <w:rsid w:val="00AA6273"/>
    <w:rsid w:val="00AA6823"/>
    <w:rsid w:val="00AA688E"/>
    <w:rsid w:val="00AA6985"/>
    <w:rsid w:val="00AA6D3B"/>
    <w:rsid w:val="00AA6E58"/>
    <w:rsid w:val="00AA6E8F"/>
    <w:rsid w:val="00AA7261"/>
    <w:rsid w:val="00AA7578"/>
    <w:rsid w:val="00AA7634"/>
    <w:rsid w:val="00AA7B22"/>
    <w:rsid w:val="00AA7BAE"/>
    <w:rsid w:val="00AB00B3"/>
    <w:rsid w:val="00AB04BC"/>
    <w:rsid w:val="00AB08DA"/>
    <w:rsid w:val="00AB08F3"/>
    <w:rsid w:val="00AB0A44"/>
    <w:rsid w:val="00AB0A69"/>
    <w:rsid w:val="00AB0B9B"/>
    <w:rsid w:val="00AB0C22"/>
    <w:rsid w:val="00AB0C26"/>
    <w:rsid w:val="00AB0DC9"/>
    <w:rsid w:val="00AB0E52"/>
    <w:rsid w:val="00AB0F49"/>
    <w:rsid w:val="00AB1384"/>
    <w:rsid w:val="00AB1583"/>
    <w:rsid w:val="00AB15D8"/>
    <w:rsid w:val="00AB189C"/>
    <w:rsid w:val="00AB1CCA"/>
    <w:rsid w:val="00AB1D9C"/>
    <w:rsid w:val="00AB1F8B"/>
    <w:rsid w:val="00AB2057"/>
    <w:rsid w:val="00AB221F"/>
    <w:rsid w:val="00AB251A"/>
    <w:rsid w:val="00AB2527"/>
    <w:rsid w:val="00AB28DF"/>
    <w:rsid w:val="00AB292F"/>
    <w:rsid w:val="00AB2937"/>
    <w:rsid w:val="00AB2F47"/>
    <w:rsid w:val="00AB35D2"/>
    <w:rsid w:val="00AB3A83"/>
    <w:rsid w:val="00AB428C"/>
    <w:rsid w:val="00AB45ED"/>
    <w:rsid w:val="00AB467D"/>
    <w:rsid w:val="00AB4748"/>
    <w:rsid w:val="00AB4935"/>
    <w:rsid w:val="00AB4D76"/>
    <w:rsid w:val="00AB4DC5"/>
    <w:rsid w:val="00AB4FA5"/>
    <w:rsid w:val="00AB5871"/>
    <w:rsid w:val="00AB5D2A"/>
    <w:rsid w:val="00AB5D84"/>
    <w:rsid w:val="00AB60B6"/>
    <w:rsid w:val="00AB6120"/>
    <w:rsid w:val="00AB6830"/>
    <w:rsid w:val="00AB6CD9"/>
    <w:rsid w:val="00AB7261"/>
    <w:rsid w:val="00AB737A"/>
    <w:rsid w:val="00AB76EA"/>
    <w:rsid w:val="00AB7A7C"/>
    <w:rsid w:val="00AB7D69"/>
    <w:rsid w:val="00AC0102"/>
    <w:rsid w:val="00AC0256"/>
    <w:rsid w:val="00AC04A4"/>
    <w:rsid w:val="00AC09D0"/>
    <w:rsid w:val="00AC0D45"/>
    <w:rsid w:val="00AC0E88"/>
    <w:rsid w:val="00AC0FFE"/>
    <w:rsid w:val="00AC13D6"/>
    <w:rsid w:val="00AC16DC"/>
    <w:rsid w:val="00AC1E3B"/>
    <w:rsid w:val="00AC2312"/>
    <w:rsid w:val="00AC261F"/>
    <w:rsid w:val="00AC26C2"/>
    <w:rsid w:val="00AC2926"/>
    <w:rsid w:val="00AC2A2E"/>
    <w:rsid w:val="00AC337A"/>
    <w:rsid w:val="00AC3575"/>
    <w:rsid w:val="00AC39DF"/>
    <w:rsid w:val="00AC3D69"/>
    <w:rsid w:val="00AC41CE"/>
    <w:rsid w:val="00AC44DC"/>
    <w:rsid w:val="00AC469B"/>
    <w:rsid w:val="00AC4722"/>
    <w:rsid w:val="00AC47CB"/>
    <w:rsid w:val="00AC4A81"/>
    <w:rsid w:val="00AC4DFB"/>
    <w:rsid w:val="00AC50B6"/>
    <w:rsid w:val="00AC5236"/>
    <w:rsid w:val="00AC53C8"/>
    <w:rsid w:val="00AC6256"/>
    <w:rsid w:val="00AC6554"/>
    <w:rsid w:val="00AC66E1"/>
    <w:rsid w:val="00AC674F"/>
    <w:rsid w:val="00AC68A5"/>
    <w:rsid w:val="00AC7212"/>
    <w:rsid w:val="00AC7312"/>
    <w:rsid w:val="00AC73EC"/>
    <w:rsid w:val="00AC74F4"/>
    <w:rsid w:val="00AC78C4"/>
    <w:rsid w:val="00AC7A1B"/>
    <w:rsid w:val="00AD0190"/>
    <w:rsid w:val="00AD0CD6"/>
    <w:rsid w:val="00AD0D99"/>
    <w:rsid w:val="00AD1043"/>
    <w:rsid w:val="00AD10E9"/>
    <w:rsid w:val="00AD123E"/>
    <w:rsid w:val="00AD1280"/>
    <w:rsid w:val="00AD1298"/>
    <w:rsid w:val="00AD1789"/>
    <w:rsid w:val="00AD17CF"/>
    <w:rsid w:val="00AD1A1F"/>
    <w:rsid w:val="00AD1B72"/>
    <w:rsid w:val="00AD25C4"/>
    <w:rsid w:val="00AD2D3E"/>
    <w:rsid w:val="00AD2D92"/>
    <w:rsid w:val="00AD2D9B"/>
    <w:rsid w:val="00AD30EC"/>
    <w:rsid w:val="00AD36B3"/>
    <w:rsid w:val="00AD3CDD"/>
    <w:rsid w:val="00AD3FA2"/>
    <w:rsid w:val="00AD401B"/>
    <w:rsid w:val="00AD43D0"/>
    <w:rsid w:val="00AD4436"/>
    <w:rsid w:val="00AD4938"/>
    <w:rsid w:val="00AD4E81"/>
    <w:rsid w:val="00AD5469"/>
    <w:rsid w:val="00AD5638"/>
    <w:rsid w:val="00AD5765"/>
    <w:rsid w:val="00AD5B39"/>
    <w:rsid w:val="00AD5BD4"/>
    <w:rsid w:val="00AD5CB3"/>
    <w:rsid w:val="00AD5E30"/>
    <w:rsid w:val="00AD61B2"/>
    <w:rsid w:val="00AD61CE"/>
    <w:rsid w:val="00AD63A1"/>
    <w:rsid w:val="00AD64AA"/>
    <w:rsid w:val="00AD6855"/>
    <w:rsid w:val="00AD685F"/>
    <w:rsid w:val="00AD72A1"/>
    <w:rsid w:val="00AD75FF"/>
    <w:rsid w:val="00AD789A"/>
    <w:rsid w:val="00AD7941"/>
    <w:rsid w:val="00AD7EE8"/>
    <w:rsid w:val="00AE0051"/>
    <w:rsid w:val="00AE028A"/>
    <w:rsid w:val="00AE03B0"/>
    <w:rsid w:val="00AE0452"/>
    <w:rsid w:val="00AE064B"/>
    <w:rsid w:val="00AE0807"/>
    <w:rsid w:val="00AE0961"/>
    <w:rsid w:val="00AE0C6B"/>
    <w:rsid w:val="00AE0E32"/>
    <w:rsid w:val="00AE11A3"/>
    <w:rsid w:val="00AE1516"/>
    <w:rsid w:val="00AE15EE"/>
    <w:rsid w:val="00AE165D"/>
    <w:rsid w:val="00AE175A"/>
    <w:rsid w:val="00AE1987"/>
    <w:rsid w:val="00AE1AFC"/>
    <w:rsid w:val="00AE1DB1"/>
    <w:rsid w:val="00AE220D"/>
    <w:rsid w:val="00AE227F"/>
    <w:rsid w:val="00AE265A"/>
    <w:rsid w:val="00AE295D"/>
    <w:rsid w:val="00AE2A40"/>
    <w:rsid w:val="00AE2B78"/>
    <w:rsid w:val="00AE2BAE"/>
    <w:rsid w:val="00AE2D7E"/>
    <w:rsid w:val="00AE32C5"/>
    <w:rsid w:val="00AE3471"/>
    <w:rsid w:val="00AE349F"/>
    <w:rsid w:val="00AE35ED"/>
    <w:rsid w:val="00AE35F1"/>
    <w:rsid w:val="00AE364A"/>
    <w:rsid w:val="00AE36F3"/>
    <w:rsid w:val="00AE3924"/>
    <w:rsid w:val="00AE39F1"/>
    <w:rsid w:val="00AE3BB0"/>
    <w:rsid w:val="00AE46AC"/>
    <w:rsid w:val="00AE4947"/>
    <w:rsid w:val="00AE4BE3"/>
    <w:rsid w:val="00AE50A8"/>
    <w:rsid w:val="00AE543A"/>
    <w:rsid w:val="00AE57BD"/>
    <w:rsid w:val="00AE5A77"/>
    <w:rsid w:val="00AE5D4A"/>
    <w:rsid w:val="00AE5E98"/>
    <w:rsid w:val="00AE5EFD"/>
    <w:rsid w:val="00AE657B"/>
    <w:rsid w:val="00AE69D3"/>
    <w:rsid w:val="00AE6ACC"/>
    <w:rsid w:val="00AE6ACF"/>
    <w:rsid w:val="00AE6B4E"/>
    <w:rsid w:val="00AE6C95"/>
    <w:rsid w:val="00AE7853"/>
    <w:rsid w:val="00AE79A1"/>
    <w:rsid w:val="00AE7E3E"/>
    <w:rsid w:val="00AF0222"/>
    <w:rsid w:val="00AF02F6"/>
    <w:rsid w:val="00AF0447"/>
    <w:rsid w:val="00AF0787"/>
    <w:rsid w:val="00AF1114"/>
    <w:rsid w:val="00AF11A7"/>
    <w:rsid w:val="00AF144D"/>
    <w:rsid w:val="00AF161F"/>
    <w:rsid w:val="00AF1998"/>
    <w:rsid w:val="00AF1AC2"/>
    <w:rsid w:val="00AF1E8C"/>
    <w:rsid w:val="00AF2191"/>
    <w:rsid w:val="00AF27A7"/>
    <w:rsid w:val="00AF285E"/>
    <w:rsid w:val="00AF2C48"/>
    <w:rsid w:val="00AF30FF"/>
    <w:rsid w:val="00AF325B"/>
    <w:rsid w:val="00AF3562"/>
    <w:rsid w:val="00AF3C1F"/>
    <w:rsid w:val="00AF3EBD"/>
    <w:rsid w:val="00AF414E"/>
    <w:rsid w:val="00AF47C7"/>
    <w:rsid w:val="00AF4D94"/>
    <w:rsid w:val="00AF5240"/>
    <w:rsid w:val="00AF5393"/>
    <w:rsid w:val="00AF569F"/>
    <w:rsid w:val="00AF5C47"/>
    <w:rsid w:val="00AF6377"/>
    <w:rsid w:val="00AF708A"/>
    <w:rsid w:val="00AF70DD"/>
    <w:rsid w:val="00AF7424"/>
    <w:rsid w:val="00AF7B80"/>
    <w:rsid w:val="00AF7BD5"/>
    <w:rsid w:val="00AF7C37"/>
    <w:rsid w:val="00AF7F95"/>
    <w:rsid w:val="00B001ED"/>
    <w:rsid w:val="00B003B4"/>
    <w:rsid w:val="00B00560"/>
    <w:rsid w:val="00B0061B"/>
    <w:rsid w:val="00B00CEB"/>
    <w:rsid w:val="00B00D5F"/>
    <w:rsid w:val="00B01089"/>
    <w:rsid w:val="00B01394"/>
    <w:rsid w:val="00B01497"/>
    <w:rsid w:val="00B0153C"/>
    <w:rsid w:val="00B015D9"/>
    <w:rsid w:val="00B0188B"/>
    <w:rsid w:val="00B01A08"/>
    <w:rsid w:val="00B01BA9"/>
    <w:rsid w:val="00B01E9F"/>
    <w:rsid w:val="00B028E1"/>
    <w:rsid w:val="00B029B8"/>
    <w:rsid w:val="00B02BAE"/>
    <w:rsid w:val="00B02CAF"/>
    <w:rsid w:val="00B02EFC"/>
    <w:rsid w:val="00B03151"/>
    <w:rsid w:val="00B0353C"/>
    <w:rsid w:val="00B03A37"/>
    <w:rsid w:val="00B03DC5"/>
    <w:rsid w:val="00B03F8C"/>
    <w:rsid w:val="00B04030"/>
    <w:rsid w:val="00B04055"/>
    <w:rsid w:val="00B042D7"/>
    <w:rsid w:val="00B043C4"/>
    <w:rsid w:val="00B0467E"/>
    <w:rsid w:val="00B04D87"/>
    <w:rsid w:val="00B0501E"/>
    <w:rsid w:val="00B0537E"/>
    <w:rsid w:val="00B0577A"/>
    <w:rsid w:val="00B05874"/>
    <w:rsid w:val="00B05E97"/>
    <w:rsid w:val="00B069DD"/>
    <w:rsid w:val="00B06B18"/>
    <w:rsid w:val="00B06B27"/>
    <w:rsid w:val="00B06D5A"/>
    <w:rsid w:val="00B06F09"/>
    <w:rsid w:val="00B070DA"/>
    <w:rsid w:val="00B0718D"/>
    <w:rsid w:val="00B0746D"/>
    <w:rsid w:val="00B079ED"/>
    <w:rsid w:val="00B07A30"/>
    <w:rsid w:val="00B07F63"/>
    <w:rsid w:val="00B07FA4"/>
    <w:rsid w:val="00B106B0"/>
    <w:rsid w:val="00B10C6E"/>
    <w:rsid w:val="00B10D0D"/>
    <w:rsid w:val="00B10D3E"/>
    <w:rsid w:val="00B10D9E"/>
    <w:rsid w:val="00B110BE"/>
    <w:rsid w:val="00B114F1"/>
    <w:rsid w:val="00B11504"/>
    <w:rsid w:val="00B11621"/>
    <w:rsid w:val="00B11A00"/>
    <w:rsid w:val="00B11D74"/>
    <w:rsid w:val="00B11F0C"/>
    <w:rsid w:val="00B12018"/>
    <w:rsid w:val="00B12218"/>
    <w:rsid w:val="00B125C8"/>
    <w:rsid w:val="00B127F4"/>
    <w:rsid w:val="00B12CE6"/>
    <w:rsid w:val="00B12D9F"/>
    <w:rsid w:val="00B12E11"/>
    <w:rsid w:val="00B12E21"/>
    <w:rsid w:val="00B12F39"/>
    <w:rsid w:val="00B13105"/>
    <w:rsid w:val="00B13883"/>
    <w:rsid w:val="00B13AF1"/>
    <w:rsid w:val="00B13B5E"/>
    <w:rsid w:val="00B13CF0"/>
    <w:rsid w:val="00B13EA3"/>
    <w:rsid w:val="00B13F85"/>
    <w:rsid w:val="00B14690"/>
    <w:rsid w:val="00B1496D"/>
    <w:rsid w:val="00B14A07"/>
    <w:rsid w:val="00B14CE2"/>
    <w:rsid w:val="00B14F1F"/>
    <w:rsid w:val="00B15097"/>
    <w:rsid w:val="00B15241"/>
    <w:rsid w:val="00B153B3"/>
    <w:rsid w:val="00B154E6"/>
    <w:rsid w:val="00B15B1C"/>
    <w:rsid w:val="00B15BE5"/>
    <w:rsid w:val="00B15DE2"/>
    <w:rsid w:val="00B15E0C"/>
    <w:rsid w:val="00B168C6"/>
    <w:rsid w:val="00B16CEE"/>
    <w:rsid w:val="00B16E11"/>
    <w:rsid w:val="00B16F51"/>
    <w:rsid w:val="00B17187"/>
    <w:rsid w:val="00B17449"/>
    <w:rsid w:val="00B1747B"/>
    <w:rsid w:val="00B175E0"/>
    <w:rsid w:val="00B17775"/>
    <w:rsid w:val="00B1779D"/>
    <w:rsid w:val="00B177AA"/>
    <w:rsid w:val="00B178C8"/>
    <w:rsid w:val="00B17A6E"/>
    <w:rsid w:val="00B17B26"/>
    <w:rsid w:val="00B20382"/>
    <w:rsid w:val="00B2078B"/>
    <w:rsid w:val="00B20798"/>
    <w:rsid w:val="00B20902"/>
    <w:rsid w:val="00B20B45"/>
    <w:rsid w:val="00B20D5C"/>
    <w:rsid w:val="00B21201"/>
    <w:rsid w:val="00B2152C"/>
    <w:rsid w:val="00B219CA"/>
    <w:rsid w:val="00B219E0"/>
    <w:rsid w:val="00B21C17"/>
    <w:rsid w:val="00B21CE1"/>
    <w:rsid w:val="00B21E1D"/>
    <w:rsid w:val="00B221BB"/>
    <w:rsid w:val="00B22366"/>
    <w:rsid w:val="00B225A0"/>
    <w:rsid w:val="00B2265A"/>
    <w:rsid w:val="00B229BD"/>
    <w:rsid w:val="00B22EF0"/>
    <w:rsid w:val="00B230E2"/>
    <w:rsid w:val="00B2311B"/>
    <w:rsid w:val="00B2323D"/>
    <w:rsid w:val="00B234A0"/>
    <w:rsid w:val="00B234D7"/>
    <w:rsid w:val="00B23CFD"/>
    <w:rsid w:val="00B23EF6"/>
    <w:rsid w:val="00B24B32"/>
    <w:rsid w:val="00B24BDE"/>
    <w:rsid w:val="00B2507F"/>
    <w:rsid w:val="00B2515A"/>
    <w:rsid w:val="00B258B6"/>
    <w:rsid w:val="00B25F19"/>
    <w:rsid w:val="00B25F49"/>
    <w:rsid w:val="00B26206"/>
    <w:rsid w:val="00B26236"/>
    <w:rsid w:val="00B267F2"/>
    <w:rsid w:val="00B26903"/>
    <w:rsid w:val="00B269B0"/>
    <w:rsid w:val="00B26CE3"/>
    <w:rsid w:val="00B26F23"/>
    <w:rsid w:val="00B27434"/>
    <w:rsid w:val="00B30041"/>
    <w:rsid w:val="00B300B6"/>
    <w:rsid w:val="00B3011D"/>
    <w:rsid w:val="00B30434"/>
    <w:rsid w:val="00B309E4"/>
    <w:rsid w:val="00B30A8C"/>
    <w:rsid w:val="00B31768"/>
    <w:rsid w:val="00B319E1"/>
    <w:rsid w:val="00B31B1A"/>
    <w:rsid w:val="00B31B97"/>
    <w:rsid w:val="00B31C1C"/>
    <w:rsid w:val="00B31CBF"/>
    <w:rsid w:val="00B31E45"/>
    <w:rsid w:val="00B31E90"/>
    <w:rsid w:val="00B31EE0"/>
    <w:rsid w:val="00B32555"/>
    <w:rsid w:val="00B329A2"/>
    <w:rsid w:val="00B32B6F"/>
    <w:rsid w:val="00B331BD"/>
    <w:rsid w:val="00B331DD"/>
    <w:rsid w:val="00B33577"/>
    <w:rsid w:val="00B33C8D"/>
    <w:rsid w:val="00B33D4B"/>
    <w:rsid w:val="00B34251"/>
    <w:rsid w:val="00B34333"/>
    <w:rsid w:val="00B34392"/>
    <w:rsid w:val="00B345CF"/>
    <w:rsid w:val="00B34707"/>
    <w:rsid w:val="00B3487D"/>
    <w:rsid w:val="00B34C8C"/>
    <w:rsid w:val="00B34E77"/>
    <w:rsid w:val="00B35496"/>
    <w:rsid w:val="00B354B0"/>
    <w:rsid w:val="00B36148"/>
    <w:rsid w:val="00B36361"/>
    <w:rsid w:val="00B364C9"/>
    <w:rsid w:val="00B365CA"/>
    <w:rsid w:val="00B366DD"/>
    <w:rsid w:val="00B36B2C"/>
    <w:rsid w:val="00B36BC7"/>
    <w:rsid w:val="00B3710F"/>
    <w:rsid w:val="00B37137"/>
    <w:rsid w:val="00B3767E"/>
    <w:rsid w:val="00B376A2"/>
    <w:rsid w:val="00B37C36"/>
    <w:rsid w:val="00B37D2E"/>
    <w:rsid w:val="00B401FE"/>
    <w:rsid w:val="00B4066F"/>
    <w:rsid w:val="00B4076C"/>
    <w:rsid w:val="00B408CC"/>
    <w:rsid w:val="00B40B3E"/>
    <w:rsid w:val="00B40F46"/>
    <w:rsid w:val="00B41693"/>
    <w:rsid w:val="00B416B7"/>
    <w:rsid w:val="00B41C66"/>
    <w:rsid w:val="00B41D49"/>
    <w:rsid w:val="00B41D58"/>
    <w:rsid w:val="00B41EFC"/>
    <w:rsid w:val="00B4221B"/>
    <w:rsid w:val="00B42A2C"/>
    <w:rsid w:val="00B42A3F"/>
    <w:rsid w:val="00B43528"/>
    <w:rsid w:val="00B43965"/>
    <w:rsid w:val="00B442E1"/>
    <w:rsid w:val="00B4433F"/>
    <w:rsid w:val="00B44686"/>
    <w:rsid w:val="00B44AE5"/>
    <w:rsid w:val="00B45049"/>
    <w:rsid w:val="00B450AB"/>
    <w:rsid w:val="00B4510B"/>
    <w:rsid w:val="00B4529D"/>
    <w:rsid w:val="00B453E2"/>
    <w:rsid w:val="00B454F8"/>
    <w:rsid w:val="00B4587A"/>
    <w:rsid w:val="00B45903"/>
    <w:rsid w:val="00B45F56"/>
    <w:rsid w:val="00B45FFC"/>
    <w:rsid w:val="00B46163"/>
    <w:rsid w:val="00B46451"/>
    <w:rsid w:val="00B469D5"/>
    <w:rsid w:val="00B46A62"/>
    <w:rsid w:val="00B46E0A"/>
    <w:rsid w:val="00B46F1A"/>
    <w:rsid w:val="00B46F9E"/>
    <w:rsid w:val="00B46FD7"/>
    <w:rsid w:val="00B4701F"/>
    <w:rsid w:val="00B4704A"/>
    <w:rsid w:val="00B472F6"/>
    <w:rsid w:val="00B47321"/>
    <w:rsid w:val="00B474E6"/>
    <w:rsid w:val="00B47542"/>
    <w:rsid w:val="00B47597"/>
    <w:rsid w:val="00B475F9"/>
    <w:rsid w:val="00B47E1D"/>
    <w:rsid w:val="00B50296"/>
    <w:rsid w:val="00B50631"/>
    <w:rsid w:val="00B506A0"/>
    <w:rsid w:val="00B50CAC"/>
    <w:rsid w:val="00B513DA"/>
    <w:rsid w:val="00B51475"/>
    <w:rsid w:val="00B51512"/>
    <w:rsid w:val="00B5195A"/>
    <w:rsid w:val="00B51B34"/>
    <w:rsid w:val="00B51F75"/>
    <w:rsid w:val="00B52180"/>
    <w:rsid w:val="00B523C1"/>
    <w:rsid w:val="00B52530"/>
    <w:rsid w:val="00B530FF"/>
    <w:rsid w:val="00B5343F"/>
    <w:rsid w:val="00B53737"/>
    <w:rsid w:val="00B5381E"/>
    <w:rsid w:val="00B53840"/>
    <w:rsid w:val="00B53D47"/>
    <w:rsid w:val="00B54B63"/>
    <w:rsid w:val="00B54D19"/>
    <w:rsid w:val="00B54D4C"/>
    <w:rsid w:val="00B54E02"/>
    <w:rsid w:val="00B54EDF"/>
    <w:rsid w:val="00B54FE7"/>
    <w:rsid w:val="00B5510C"/>
    <w:rsid w:val="00B55273"/>
    <w:rsid w:val="00B5571C"/>
    <w:rsid w:val="00B557BB"/>
    <w:rsid w:val="00B55974"/>
    <w:rsid w:val="00B55977"/>
    <w:rsid w:val="00B55D1E"/>
    <w:rsid w:val="00B55D85"/>
    <w:rsid w:val="00B56218"/>
    <w:rsid w:val="00B562FB"/>
    <w:rsid w:val="00B5651F"/>
    <w:rsid w:val="00B56B26"/>
    <w:rsid w:val="00B57310"/>
    <w:rsid w:val="00B57345"/>
    <w:rsid w:val="00B57CE1"/>
    <w:rsid w:val="00B57DFA"/>
    <w:rsid w:val="00B6005C"/>
    <w:rsid w:val="00B6025B"/>
    <w:rsid w:val="00B602D5"/>
    <w:rsid w:val="00B60321"/>
    <w:rsid w:val="00B60322"/>
    <w:rsid w:val="00B60536"/>
    <w:rsid w:val="00B60670"/>
    <w:rsid w:val="00B60A4E"/>
    <w:rsid w:val="00B60AB2"/>
    <w:rsid w:val="00B6120B"/>
    <w:rsid w:val="00B612CA"/>
    <w:rsid w:val="00B6139F"/>
    <w:rsid w:val="00B614B0"/>
    <w:rsid w:val="00B61918"/>
    <w:rsid w:val="00B61ADE"/>
    <w:rsid w:val="00B61B58"/>
    <w:rsid w:val="00B62046"/>
    <w:rsid w:val="00B62570"/>
    <w:rsid w:val="00B62598"/>
    <w:rsid w:val="00B626F5"/>
    <w:rsid w:val="00B6270D"/>
    <w:rsid w:val="00B6289C"/>
    <w:rsid w:val="00B62960"/>
    <w:rsid w:val="00B629B9"/>
    <w:rsid w:val="00B62DFC"/>
    <w:rsid w:val="00B62E82"/>
    <w:rsid w:val="00B63175"/>
    <w:rsid w:val="00B632E8"/>
    <w:rsid w:val="00B635CB"/>
    <w:rsid w:val="00B63AE8"/>
    <w:rsid w:val="00B645AB"/>
    <w:rsid w:val="00B645DD"/>
    <w:rsid w:val="00B65187"/>
    <w:rsid w:val="00B65702"/>
    <w:rsid w:val="00B657BF"/>
    <w:rsid w:val="00B6580E"/>
    <w:rsid w:val="00B65C9D"/>
    <w:rsid w:val="00B65CD5"/>
    <w:rsid w:val="00B660D1"/>
    <w:rsid w:val="00B668CB"/>
    <w:rsid w:val="00B668E6"/>
    <w:rsid w:val="00B66AD8"/>
    <w:rsid w:val="00B67871"/>
    <w:rsid w:val="00B67950"/>
    <w:rsid w:val="00B67BF6"/>
    <w:rsid w:val="00B67CE8"/>
    <w:rsid w:val="00B70016"/>
    <w:rsid w:val="00B7043E"/>
    <w:rsid w:val="00B709BF"/>
    <w:rsid w:val="00B70D1A"/>
    <w:rsid w:val="00B71272"/>
    <w:rsid w:val="00B717FD"/>
    <w:rsid w:val="00B71897"/>
    <w:rsid w:val="00B72174"/>
    <w:rsid w:val="00B724F4"/>
    <w:rsid w:val="00B72779"/>
    <w:rsid w:val="00B727B3"/>
    <w:rsid w:val="00B72873"/>
    <w:rsid w:val="00B7293F"/>
    <w:rsid w:val="00B72AC8"/>
    <w:rsid w:val="00B72D9E"/>
    <w:rsid w:val="00B73024"/>
    <w:rsid w:val="00B7305B"/>
    <w:rsid w:val="00B733EA"/>
    <w:rsid w:val="00B734C2"/>
    <w:rsid w:val="00B73BB1"/>
    <w:rsid w:val="00B73D39"/>
    <w:rsid w:val="00B73F2D"/>
    <w:rsid w:val="00B74186"/>
    <w:rsid w:val="00B74823"/>
    <w:rsid w:val="00B74A13"/>
    <w:rsid w:val="00B7506A"/>
    <w:rsid w:val="00B7533C"/>
    <w:rsid w:val="00B758E1"/>
    <w:rsid w:val="00B75CBC"/>
    <w:rsid w:val="00B75CC1"/>
    <w:rsid w:val="00B75D79"/>
    <w:rsid w:val="00B75F91"/>
    <w:rsid w:val="00B763EB"/>
    <w:rsid w:val="00B764C1"/>
    <w:rsid w:val="00B7678E"/>
    <w:rsid w:val="00B769B3"/>
    <w:rsid w:val="00B76C52"/>
    <w:rsid w:val="00B76DFF"/>
    <w:rsid w:val="00B7714B"/>
    <w:rsid w:val="00B77292"/>
    <w:rsid w:val="00B77503"/>
    <w:rsid w:val="00B77671"/>
    <w:rsid w:val="00B776E3"/>
    <w:rsid w:val="00B77705"/>
    <w:rsid w:val="00B77783"/>
    <w:rsid w:val="00B77A19"/>
    <w:rsid w:val="00B77AB8"/>
    <w:rsid w:val="00B77C3C"/>
    <w:rsid w:val="00B77CC2"/>
    <w:rsid w:val="00B801BC"/>
    <w:rsid w:val="00B80418"/>
    <w:rsid w:val="00B804BC"/>
    <w:rsid w:val="00B804CD"/>
    <w:rsid w:val="00B806AE"/>
    <w:rsid w:val="00B80AF8"/>
    <w:rsid w:val="00B80D27"/>
    <w:rsid w:val="00B80FBC"/>
    <w:rsid w:val="00B812A2"/>
    <w:rsid w:val="00B81321"/>
    <w:rsid w:val="00B814E6"/>
    <w:rsid w:val="00B81CE4"/>
    <w:rsid w:val="00B81D67"/>
    <w:rsid w:val="00B81FD5"/>
    <w:rsid w:val="00B821B2"/>
    <w:rsid w:val="00B82D3A"/>
    <w:rsid w:val="00B837D3"/>
    <w:rsid w:val="00B83D88"/>
    <w:rsid w:val="00B84082"/>
    <w:rsid w:val="00B84138"/>
    <w:rsid w:val="00B841C2"/>
    <w:rsid w:val="00B842F3"/>
    <w:rsid w:val="00B845EE"/>
    <w:rsid w:val="00B84676"/>
    <w:rsid w:val="00B8494E"/>
    <w:rsid w:val="00B84952"/>
    <w:rsid w:val="00B8504E"/>
    <w:rsid w:val="00B85101"/>
    <w:rsid w:val="00B8517F"/>
    <w:rsid w:val="00B851E6"/>
    <w:rsid w:val="00B85353"/>
    <w:rsid w:val="00B85B56"/>
    <w:rsid w:val="00B85B8D"/>
    <w:rsid w:val="00B85FD0"/>
    <w:rsid w:val="00B86685"/>
    <w:rsid w:val="00B868E0"/>
    <w:rsid w:val="00B86AD7"/>
    <w:rsid w:val="00B86ADA"/>
    <w:rsid w:val="00B872DE"/>
    <w:rsid w:val="00B87462"/>
    <w:rsid w:val="00B87483"/>
    <w:rsid w:val="00B879EB"/>
    <w:rsid w:val="00B87C7B"/>
    <w:rsid w:val="00B9079F"/>
    <w:rsid w:val="00B909B6"/>
    <w:rsid w:val="00B90CDA"/>
    <w:rsid w:val="00B90D53"/>
    <w:rsid w:val="00B919AC"/>
    <w:rsid w:val="00B91BC3"/>
    <w:rsid w:val="00B91CD8"/>
    <w:rsid w:val="00B91F7B"/>
    <w:rsid w:val="00B923F7"/>
    <w:rsid w:val="00B92471"/>
    <w:rsid w:val="00B927BF"/>
    <w:rsid w:val="00B92B35"/>
    <w:rsid w:val="00B92B80"/>
    <w:rsid w:val="00B92D25"/>
    <w:rsid w:val="00B92D7F"/>
    <w:rsid w:val="00B932E7"/>
    <w:rsid w:val="00B93359"/>
    <w:rsid w:val="00B933E4"/>
    <w:rsid w:val="00B9358A"/>
    <w:rsid w:val="00B93674"/>
    <w:rsid w:val="00B9378F"/>
    <w:rsid w:val="00B93EF7"/>
    <w:rsid w:val="00B9408A"/>
    <w:rsid w:val="00B94141"/>
    <w:rsid w:val="00B9428E"/>
    <w:rsid w:val="00B942E4"/>
    <w:rsid w:val="00B948A2"/>
    <w:rsid w:val="00B94B7E"/>
    <w:rsid w:val="00B94F7A"/>
    <w:rsid w:val="00B952F9"/>
    <w:rsid w:val="00B95A52"/>
    <w:rsid w:val="00B95C29"/>
    <w:rsid w:val="00B95E1E"/>
    <w:rsid w:val="00B9638D"/>
    <w:rsid w:val="00B969A5"/>
    <w:rsid w:val="00B97082"/>
    <w:rsid w:val="00B971D1"/>
    <w:rsid w:val="00B972BE"/>
    <w:rsid w:val="00B972DB"/>
    <w:rsid w:val="00B97CC0"/>
    <w:rsid w:val="00BA04E6"/>
    <w:rsid w:val="00BA0BCD"/>
    <w:rsid w:val="00BA0C0C"/>
    <w:rsid w:val="00BA0C73"/>
    <w:rsid w:val="00BA0DAD"/>
    <w:rsid w:val="00BA161B"/>
    <w:rsid w:val="00BA1E68"/>
    <w:rsid w:val="00BA203D"/>
    <w:rsid w:val="00BA2C90"/>
    <w:rsid w:val="00BA2E13"/>
    <w:rsid w:val="00BA2E46"/>
    <w:rsid w:val="00BA317B"/>
    <w:rsid w:val="00BA32F0"/>
    <w:rsid w:val="00BA366C"/>
    <w:rsid w:val="00BA3800"/>
    <w:rsid w:val="00BA3B61"/>
    <w:rsid w:val="00BA3BF4"/>
    <w:rsid w:val="00BA3C78"/>
    <w:rsid w:val="00BA4037"/>
    <w:rsid w:val="00BA43D5"/>
    <w:rsid w:val="00BA4467"/>
    <w:rsid w:val="00BA44FE"/>
    <w:rsid w:val="00BA462B"/>
    <w:rsid w:val="00BA4702"/>
    <w:rsid w:val="00BA48DE"/>
    <w:rsid w:val="00BA49DC"/>
    <w:rsid w:val="00BA4BFF"/>
    <w:rsid w:val="00BA4CB8"/>
    <w:rsid w:val="00BA552D"/>
    <w:rsid w:val="00BA5956"/>
    <w:rsid w:val="00BA5CF8"/>
    <w:rsid w:val="00BA5DF7"/>
    <w:rsid w:val="00BA5E3A"/>
    <w:rsid w:val="00BA5F8E"/>
    <w:rsid w:val="00BA64D1"/>
    <w:rsid w:val="00BA6545"/>
    <w:rsid w:val="00BA7200"/>
    <w:rsid w:val="00BA738A"/>
    <w:rsid w:val="00BA7E51"/>
    <w:rsid w:val="00BB0152"/>
    <w:rsid w:val="00BB0341"/>
    <w:rsid w:val="00BB0383"/>
    <w:rsid w:val="00BB0467"/>
    <w:rsid w:val="00BB07B4"/>
    <w:rsid w:val="00BB07D1"/>
    <w:rsid w:val="00BB07F6"/>
    <w:rsid w:val="00BB0A4C"/>
    <w:rsid w:val="00BB0AF3"/>
    <w:rsid w:val="00BB0F05"/>
    <w:rsid w:val="00BB111E"/>
    <w:rsid w:val="00BB1678"/>
    <w:rsid w:val="00BB1B76"/>
    <w:rsid w:val="00BB1EF5"/>
    <w:rsid w:val="00BB24C6"/>
    <w:rsid w:val="00BB27DF"/>
    <w:rsid w:val="00BB2815"/>
    <w:rsid w:val="00BB29C1"/>
    <w:rsid w:val="00BB2A18"/>
    <w:rsid w:val="00BB2A75"/>
    <w:rsid w:val="00BB2BC9"/>
    <w:rsid w:val="00BB2C03"/>
    <w:rsid w:val="00BB2CA7"/>
    <w:rsid w:val="00BB30E0"/>
    <w:rsid w:val="00BB346D"/>
    <w:rsid w:val="00BB3541"/>
    <w:rsid w:val="00BB361C"/>
    <w:rsid w:val="00BB39DB"/>
    <w:rsid w:val="00BB4F00"/>
    <w:rsid w:val="00BB56C2"/>
    <w:rsid w:val="00BB5CA6"/>
    <w:rsid w:val="00BB653D"/>
    <w:rsid w:val="00BB6AD2"/>
    <w:rsid w:val="00BB6E54"/>
    <w:rsid w:val="00BB6E88"/>
    <w:rsid w:val="00BB6F46"/>
    <w:rsid w:val="00BB6FB3"/>
    <w:rsid w:val="00BB7727"/>
    <w:rsid w:val="00BB7BAF"/>
    <w:rsid w:val="00BB7EA3"/>
    <w:rsid w:val="00BC0040"/>
    <w:rsid w:val="00BC024B"/>
    <w:rsid w:val="00BC02FA"/>
    <w:rsid w:val="00BC0311"/>
    <w:rsid w:val="00BC0638"/>
    <w:rsid w:val="00BC068B"/>
    <w:rsid w:val="00BC0842"/>
    <w:rsid w:val="00BC0AA8"/>
    <w:rsid w:val="00BC0BC9"/>
    <w:rsid w:val="00BC0ED8"/>
    <w:rsid w:val="00BC1014"/>
    <w:rsid w:val="00BC18E6"/>
    <w:rsid w:val="00BC1BB5"/>
    <w:rsid w:val="00BC1C13"/>
    <w:rsid w:val="00BC23B8"/>
    <w:rsid w:val="00BC2598"/>
    <w:rsid w:val="00BC2767"/>
    <w:rsid w:val="00BC2870"/>
    <w:rsid w:val="00BC3619"/>
    <w:rsid w:val="00BC38B0"/>
    <w:rsid w:val="00BC3B0E"/>
    <w:rsid w:val="00BC3C76"/>
    <w:rsid w:val="00BC3F8C"/>
    <w:rsid w:val="00BC3FA9"/>
    <w:rsid w:val="00BC4375"/>
    <w:rsid w:val="00BC445D"/>
    <w:rsid w:val="00BC44CC"/>
    <w:rsid w:val="00BC4A98"/>
    <w:rsid w:val="00BC54EA"/>
    <w:rsid w:val="00BC55A3"/>
    <w:rsid w:val="00BC58E2"/>
    <w:rsid w:val="00BC5B3E"/>
    <w:rsid w:val="00BC5B5F"/>
    <w:rsid w:val="00BC61FA"/>
    <w:rsid w:val="00BC62B2"/>
    <w:rsid w:val="00BC6377"/>
    <w:rsid w:val="00BC69B7"/>
    <w:rsid w:val="00BC6A4E"/>
    <w:rsid w:val="00BC6B41"/>
    <w:rsid w:val="00BC6CEA"/>
    <w:rsid w:val="00BC6CF9"/>
    <w:rsid w:val="00BC6E1C"/>
    <w:rsid w:val="00BC6F26"/>
    <w:rsid w:val="00BC7182"/>
    <w:rsid w:val="00BC71B9"/>
    <w:rsid w:val="00BC73A3"/>
    <w:rsid w:val="00BC744B"/>
    <w:rsid w:val="00BC7DC0"/>
    <w:rsid w:val="00BD061B"/>
    <w:rsid w:val="00BD066D"/>
    <w:rsid w:val="00BD0859"/>
    <w:rsid w:val="00BD0A97"/>
    <w:rsid w:val="00BD0B02"/>
    <w:rsid w:val="00BD1013"/>
    <w:rsid w:val="00BD1BD1"/>
    <w:rsid w:val="00BD23CF"/>
    <w:rsid w:val="00BD28E9"/>
    <w:rsid w:val="00BD28EC"/>
    <w:rsid w:val="00BD2950"/>
    <w:rsid w:val="00BD2BBF"/>
    <w:rsid w:val="00BD3582"/>
    <w:rsid w:val="00BD3591"/>
    <w:rsid w:val="00BD3605"/>
    <w:rsid w:val="00BD39B0"/>
    <w:rsid w:val="00BD3ACB"/>
    <w:rsid w:val="00BD3BC7"/>
    <w:rsid w:val="00BD3DE7"/>
    <w:rsid w:val="00BD3FE8"/>
    <w:rsid w:val="00BD4AEF"/>
    <w:rsid w:val="00BD4BE9"/>
    <w:rsid w:val="00BD4D78"/>
    <w:rsid w:val="00BD4DCE"/>
    <w:rsid w:val="00BD51F4"/>
    <w:rsid w:val="00BD535A"/>
    <w:rsid w:val="00BD55E2"/>
    <w:rsid w:val="00BD5E85"/>
    <w:rsid w:val="00BD5EBC"/>
    <w:rsid w:val="00BD6769"/>
    <w:rsid w:val="00BD690C"/>
    <w:rsid w:val="00BD698D"/>
    <w:rsid w:val="00BD6AF8"/>
    <w:rsid w:val="00BD6DE8"/>
    <w:rsid w:val="00BD6FFC"/>
    <w:rsid w:val="00BD73D3"/>
    <w:rsid w:val="00BD7683"/>
    <w:rsid w:val="00BD7725"/>
    <w:rsid w:val="00BD7899"/>
    <w:rsid w:val="00BD7A18"/>
    <w:rsid w:val="00BD7A23"/>
    <w:rsid w:val="00BD7ABF"/>
    <w:rsid w:val="00BD7B25"/>
    <w:rsid w:val="00BE0700"/>
    <w:rsid w:val="00BE084A"/>
    <w:rsid w:val="00BE090E"/>
    <w:rsid w:val="00BE0A89"/>
    <w:rsid w:val="00BE0B78"/>
    <w:rsid w:val="00BE0DFA"/>
    <w:rsid w:val="00BE0EE5"/>
    <w:rsid w:val="00BE1387"/>
    <w:rsid w:val="00BE1407"/>
    <w:rsid w:val="00BE1DAC"/>
    <w:rsid w:val="00BE1EEA"/>
    <w:rsid w:val="00BE1F2C"/>
    <w:rsid w:val="00BE247A"/>
    <w:rsid w:val="00BE2653"/>
    <w:rsid w:val="00BE2761"/>
    <w:rsid w:val="00BE295A"/>
    <w:rsid w:val="00BE2C4E"/>
    <w:rsid w:val="00BE2CC8"/>
    <w:rsid w:val="00BE2D2D"/>
    <w:rsid w:val="00BE32C9"/>
    <w:rsid w:val="00BE38DF"/>
    <w:rsid w:val="00BE3FC1"/>
    <w:rsid w:val="00BE4399"/>
    <w:rsid w:val="00BE43CF"/>
    <w:rsid w:val="00BE442A"/>
    <w:rsid w:val="00BE44E4"/>
    <w:rsid w:val="00BE4AB3"/>
    <w:rsid w:val="00BE4B07"/>
    <w:rsid w:val="00BE5672"/>
    <w:rsid w:val="00BE5E05"/>
    <w:rsid w:val="00BE5E1C"/>
    <w:rsid w:val="00BE5FC5"/>
    <w:rsid w:val="00BE6026"/>
    <w:rsid w:val="00BE64DA"/>
    <w:rsid w:val="00BE6DAB"/>
    <w:rsid w:val="00BE6FEC"/>
    <w:rsid w:val="00BE73AF"/>
    <w:rsid w:val="00BE74E2"/>
    <w:rsid w:val="00BE7710"/>
    <w:rsid w:val="00BE77BF"/>
    <w:rsid w:val="00BE7E99"/>
    <w:rsid w:val="00BF0B75"/>
    <w:rsid w:val="00BF0EE4"/>
    <w:rsid w:val="00BF1199"/>
    <w:rsid w:val="00BF1300"/>
    <w:rsid w:val="00BF1481"/>
    <w:rsid w:val="00BF194C"/>
    <w:rsid w:val="00BF221A"/>
    <w:rsid w:val="00BF2307"/>
    <w:rsid w:val="00BF231D"/>
    <w:rsid w:val="00BF2409"/>
    <w:rsid w:val="00BF25FA"/>
    <w:rsid w:val="00BF30A3"/>
    <w:rsid w:val="00BF30BD"/>
    <w:rsid w:val="00BF36D7"/>
    <w:rsid w:val="00BF3B5A"/>
    <w:rsid w:val="00BF3E64"/>
    <w:rsid w:val="00BF401B"/>
    <w:rsid w:val="00BF401C"/>
    <w:rsid w:val="00BF4831"/>
    <w:rsid w:val="00BF4908"/>
    <w:rsid w:val="00BF4B40"/>
    <w:rsid w:val="00BF5047"/>
    <w:rsid w:val="00BF545E"/>
    <w:rsid w:val="00BF5528"/>
    <w:rsid w:val="00BF572D"/>
    <w:rsid w:val="00BF5E12"/>
    <w:rsid w:val="00BF616B"/>
    <w:rsid w:val="00BF62B9"/>
    <w:rsid w:val="00BF6488"/>
    <w:rsid w:val="00BF67EB"/>
    <w:rsid w:val="00BF6946"/>
    <w:rsid w:val="00BF6986"/>
    <w:rsid w:val="00BF6A21"/>
    <w:rsid w:val="00BF73D2"/>
    <w:rsid w:val="00BF79FD"/>
    <w:rsid w:val="00C001E3"/>
    <w:rsid w:val="00C00318"/>
    <w:rsid w:val="00C0035F"/>
    <w:rsid w:val="00C00BAE"/>
    <w:rsid w:val="00C00C66"/>
    <w:rsid w:val="00C0120E"/>
    <w:rsid w:val="00C01793"/>
    <w:rsid w:val="00C01864"/>
    <w:rsid w:val="00C02848"/>
    <w:rsid w:val="00C028DA"/>
    <w:rsid w:val="00C02E0B"/>
    <w:rsid w:val="00C02EC8"/>
    <w:rsid w:val="00C03036"/>
    <w:rsid w:val="00C03052"/>
    <w:rsid w:val="00C032AC"/>
    <w:rsid w:val="00C03342"/>
    <w:rsid w:val="00C0379D"/>
    <w:rsid w:val="00C038E7"/>
    <w:rsid w:val="00C038FD"/>
    <w:rsid w:val="00C03AEB"/>
    <w:rsid w:val="00C03E95"/>
    <w:rsid w:val="00C04212"/>
    <w:rsid w:val="00C0422C"/>
    <w:rsid w:val="00C04267"/>
    <w:rsid w:val="00C04465"/>
    <w:rsid w:val="00C04EEB"/>
    <w:rsid w:val="00C04EED"/>
    <w:rsid w:val="00C04F31"/>
    <w:rsid w:val="00C04F4D"/>
    <w:rsid w:val="00C0500E"/>
    <w:rsid w:val="00C054C6"/>
    <w:rsid w:val="00C05679"/>
    <w:rsid w:val="00C05862"/>
    <w:rsid w:val="00C05AB1"/>
    <w:rsid w:val="00C05C23"/>
    <w:rsid w:val="00C05D25"/>
    <w:rsid w:val="00C05E5F"/>
    <w:rsid w:val="00C05F3A"/>
    <w:rsid w:val="00C06063"/>
    <w:rsid w:val="00C0608F"/>
    <w:rsid w:val="00C060DC"/>
    <w:rsid w:val="00C067CC"/>
    <w:rsid w:val="00C0695C"/>
    <w:rsid w:val="00C069BA"/>
    <w:rsid w:val="00C06A5E"/>
    <w:rsid w:val="00C06E24"/>
    <w:rsid w:val="00C06E60"/>
    <w:rsid w:val="00C07315"/>
    <w:rsid w:val="00C07550"/>
    <w:rsid w:val="00C07683"/>
    <w:rsid w:val="00C07977"/>
    <w:rsid w:val="00C07FEE"/>
    <w:rsid w:val="00C10185"/>
    <w:rsid w:val="00C101F8"/>
    <w:rsid w:val="00C10382"/>
    <w:rsid w:val="00C103BD"/>
    <w:rsid w:val="00C104BC"/>
    <w:rsid w:val="00C1069D"/>
    <w:rsid w:val="00C10992"/>
    <w:rsid w:val="00C10DE6"/>
    <w:rsid w:val="00C1137F"/>
    <w:rsid w:val="00C114BB"/>
    <w:rsid w:val="00C1152B"/>
    <w:rsid w:val="00C1165F"/>
    <w:rsid w:val="00C11AB9"/>
    <w:rsid w:val="00C11D5E"/>
    <w:rsid w:val="00C125B0"/>
    <w:rsid w:val="00C12662"/>
    <w:rsid w:val="00C12A01"/>
    <w:rsid w:val="00C12BB8"/>
    <w:rsid w:val="00C12EDF"/>
    <w:rsid w:val="00C13860"/>
    <w:rsid w:val="00C13AFF"/>
    <w:rsid w:val="00C13D7B"/>
    <w:rsid w:val="00C14139"/>
    <w:rsid w:val="00C1429E"/>
    <w:rsid w:val="00C147FA"/>
    <w:rsid w:val="00C1486E"/>
    <w:rsid w:val="00C148F8"/>
    <w:rsid w:val="00C14D3F"/>
    <w:rsid w:val="00C14E48"/>
    <w:rsid w:val="00C1528B"/>
    <w:rsid w:val="00C152B9"/>
    <w:rsid w:val="00C154BF"/>
    <w:rsid w:val="00C15719"/>
    <w:rsid w:val="00C158D5"/>
    <w:rsid w:val="00C15CFD"/>
    <w:rsid w:val="00C162D9"/>
    <w:rsid w:val="00C16599"/>
    <w:rsid w:val="00C16AC8"/>
    <w:rsid w:val="00C16C74"/>
    <w:rsid w:val="00C16CE7"/>
    <w:rsid w:val="00C16D45"/>
    <w:rsid w:val="00C16DA1"/>
    <w:rsid w:val="00C16EB6"/>
    <w:rsid w:val="00C172BA"/>
    <w:rsid w:val="00C172FD"/>
    <w:rsid w:val="00C173CA"/>
    <w:rsid w:val="00C17502"/>
    <w:rsid w:val="00C17527"/>
    <w:rsid w:val="00C17B48"/>
    <w:rsid w:val="00C17F03"/>
    <w:rsid w:val="00C2055A"/>
    <w:rsid w:val="00C20A6B"/>
    <w:rsid w:val="00C20C26"/>
    <w:rsid w:val="00C2101F"/>
    <w:rsid w:val="00C2106C"/>
    <w:rsid w:val="00C21153"/>
    <w:rsid w:val="00C2129A"/>
    <w:rsid w:val="00C21359"/>
    <w:rsid w:val="00C21418"/>
    <w:rsid w:val="00C2144E"/>
    <w:rsid w:val="00C21972"/>
    <w:rsid w:val="00C21B80"/>
    <w:rsid w:val="00C21C79"/>
    <w:rsid w:val="00C21F0D"/>
    <w:rsid w:val="00C226AE"/>
    <w:rsid w:val="00C226C6"/>
    <w:rsid w:val="00C22CA2"/>
    <w:rsid w:val="00C22F4C"/>
    <w:rsid w:val="00C22F5D"/>
    <w:rsid w:val="00C233B8"/>
    <w:rsid w:val="00C236D0"/>
    <w:rsid w:val="00C23828"/>
    <w:rsid w:val="00C2396F"/>
    <w:rsid w:val="00C23AD9"/>
    <w:rsid w:val="00C23B71"/>
    <w:rsid w:val="00C23C03"/>
    <w:rsid w:val="00C23CB4"/>
    <w:rsid w:val="00C23DB5"/>
    <w:rsid w:val="00C23E46"/>
    <w:rsid w:val="00C240C1"/>
    <w:rsid w:val="00C243B2"/>
    <w:rsid w:val="00C243C0"/>
    <w:rsid w:val="00C2451C"/>
    <w:rsid w:val="00C2463C"/>
    <w:rsid w:val="00C24651"/>
    <w:rsid w:val="00C246BF"/>
    <w:rsid w:val="00C24AB0"/>
    <w:rsid w:val="00C24FD5"/>
    <w:rsid w:val="00C25315"/>
    <w:rsid w:val="00C25544"/>
    <w:rsid w:val="00C255CC"/>
    <w:rsid w:val="00C257D6"/>
    <w:rsid w:val="00C2614E"/>
    <w:rsid w:val="00C26706"/>
    <w:rsid w:val="00C26D5C"/>
    <w:rsid w:val="00C26DAB"/>
    <w:rsid w:val="00C27330"/>
    <w:rsid w:val="00C2772F"/>
    <w:rsid w:val="00C27857"/>
    <w:rsid w:val="00C278C4"/>
    <w:rsid w:val="00C27E84"/>
    <w:rsid w:val="00C27E86"/>
    <w:rsid w:val="00C27FAC"/>
    <w:rsid w:val="00C3047C"/>
    <w:rsid w:val="00C308FB"/>
    <w:rsid w:val="00C3094E"/>
    <w:rsid w:val="00C30BB7"/>
    <w:rsid w:val="00C30DC4"/>
    <w:rsid w:val="00C30E30"/>
    <w:rsid w:val="00C31BC6"/>
    <w:rsid w:val="00C31BFC"/>
    <w:rsid w:val="00C31E0A"/>
    <w:rsid w:val="00C3245F"/>
    <w:rsid w:val="00C32604"/>
    <w:rsid w:val="00C32693"/>
    <w:rsid w:val="00C326B8"/>
    <w:rsid w:val="00C3276E"/>
    <w:rsid w:val="00C3281D"/>
    <w:rsid w:val="00C32884"/>
    <w:rsid w:val="00C328E5"/>
    <w:rsid w:val="00C32EE8"/>
    <w:rsid w:val="00C33056"/>
    <w:rsid w:val="00C3334D"/>
    <w:rsid w:val="00C336C6"/>
    <w:rsid w:val="00C33A2D"/>
    <w:rsid w:val="00C33A30"/>
    <w:rsid w:val="00C33F2F"/>
    <w:rsid w:val="00C34583"/>
    <w:rsid w:val="00C3471A"/>
    <w:rsid w:val="00C3474A"/>
    <w:rsid w:val="00C34C29"/>
    <w:rsid w:val="00C35124"/>
    <w:rsid w:val="00C35129"/>
    <w:rsid w:val="00C353A4"/>
    <w:rsid w:val="00C3544B"/>
    <w:rsid w:val="00C35698"/>
    <w:rsid w:val="00C359D7"/>
    <w:rsid w:val="00C35F6E"/>
    <w:rsid w:val="00C3630D"/>
    <w:rsid w:val="00C367A4"/>
    <w:rsid w:val="00C36921"/>
    <w:rsid w:val="00C36B8C"/>
    <w:rsid w:val="00C36BF4"/>
    <w:rsid w:val="00C36EEF"/>
    <w:rsid w:val="00C36F0A"/>
    <w:rsid w:val="00C37108"/>
    <w:rsid w:val="00C3751A"/>
    <w:rsid w:val="00C37E57"/>
    <w:rsid w:val="00C37ECB"/>
    <w:rsid w:val="00C37F17"/>
    <w:rsid w:val="00C37FD2"/>
    <w:rsid w:val="00C407CA"/>
    <w:rsid w:val="00C408CA"/>
    <w:rsid w:val="00C40934"/>
    <w:rsid w:val="00C40A36"/>
    <w:rsid w:val="00C40A79"/>
    <w:rsid w:val="00C40DCD"/>
    <w:rsid w:val="00C40EE1"/>
    <w:rsid w:val="00C40F6A"/>
    <w:rsid w:val="00C41186"/>
    <w:rsid w:val="00C417E3"/>
    <w:rsid w:val="00C4199A"/>
    <w:rsid w:val="00C41EA1"/>
    <w:rsid w:val="00C41EED"/>
    <w:rsid w:val="00C41FAA"/>
    <w:rsid w:val="00C4219A"/>
    <w:rsid w:val="00C421D7"/>
    <w:rsid w:val="00C42242"/>
    <w:rsid w:val="00C424C1"/>
    <w:rsid w:val="00C42753"/>
    <w:rsid w:val="00C42878"/>
    <w:rsid w:val="00C42953"/>
    <w:rsid w:val="00C4339A"/>
    <w:rsid w:val="00C437A0"/>
    <w:rsid w:val="00C43915"/>
    <w:rsid w:val="00C439CB"/>
    <w:rsid w:val="00C439E5"/>
    <w:rsid w:val="00C43C9F"/>
    <w:rsid w:val="00C43CA0"/>
    <w:rsid w:val="00C43CC9"/>
    <w:rsid w:val="00C43E0B"/>
    <w:rsid w:val="00C440FF"/>
    <w:rsid w:val="00C44212"/>
    <w:rsid w:val="00C44547"/>
    <w:rsid w:val="00C447CD"/>
    <w:rsid w:val="00C44B37"/>
    <w:rsid w:val="00C44D2F"/>
    <w:rsid w:val="00C45970"/>
    <w:rsid w:val="00C45AE0"/>
    <w:rsid w:val="00C45D2A"/>
    <w:rsid w:val="00C45D4D"/>
    <w:rsid w:val="00C45D68"/>
    <w:rsid w:val="00C45F2A"/>
    <w:rsid w:val="00C4624D"/>
    <w:rsid w:val="00C46416"/>
    <w:rsid w:val="00C46895"/>
    <w:rsid w:val="00C46951"/>
    <w:rsid w:val="00C46A89"/>
    <w:rsid w:val="00C46CFE"/>
    <w:rsid w:val="00C46FF8"/>
    <w:rsid w:val="00C4708D"/>
    <w:rsid w:val="00C47AE2"/>
    <w:rsid w:val="00C47AF8"/>
    <w:rsid w:val="00C47D21"/>
    <w:rsid w:val="00C47D4A"/>
    <w:rsid w:val="00C47D80"/>
    <w:rsid w:val="00C5060F"/>
    <w:rsid w:val="00C5076A"/>
    <w:rsid w:val="00C508AE"/>
    <w:rsid w:val="00C50B65"/>
    <w:rsid w:val="00C511C1"/>
    <w:rsid w:val="00C51506"/>
    <w:rsid w:val="00C51585"/>
    <w:rsid w:val="00C51664"/>
    <w:rsid w:val="00C523EB"/>
    <w:rsid w:val="00C525A8"/>
    <w:rsid w:val="00C52918"/>
    <w:rsid w:val="00C52923"/>
    <w:rsid w:val="00C52AD8"/>
    <w:rsid w:val="00C52ECD"/>
    <w:rsid w:val="00C52F62"/>
    <w:rsid w:val="00C530FE"/>
    <w:rsid w:val="00C532D0"/>
    <w:rsid w:val="00C53446"/>
    <w:rsid w:val="00C53470"/>
    <w:rsid w:val="00C535A9"/>
    <w:rsid w:val="00C53814"/>
    <w:rsid w:val="00C53B31"/>
    <w:rsid w:val="00C53B75"/>
    <w:rsid w:val="00C53E68"/>
    <w:rsid w:val="00C53EFC"/>
    <w:rsid w:val="00C541FD"/>
    <w:rsid w:val="00C547C0"/>
    <w:rsid w:val="00C5495C"/>
    <w:rsid w:val="00C54AD5"/>
    <w:rsid w:val="00C54B7E"/>
    <w:rsid w:val="00C54B86"/>
    <w:rsid w:val="00C54D26"/>
    <w:rsid w:val="00C54EDF"/>
    <w:rsid w:val="00C55331"/>
    <w:rsid w:val="00C5547E"/>
    <w:rsid w:val="00C55520"/>
    <w:rsid w:val="00C556C9"/>
    <w:rsid w:val="00C55997"/>
    <w:rsid w:val="00C559D3"/>
    <w:rsid w:val="00C55AE0"/>
    <w:rsid w:val="00C55C81"/>
    <w:rsid w:val="00C55CA5"/>
    <w:rsid w:val="00C55DA5"/>
    <w:rsid w:val="00C5608B"/>
    <w:rsid w:val="00C56656"/>
    <w:rsid w:val="00C56989"/>
    <w:rsid w:val="00C56B31"/>
    <w:rsid w:val="00C56BE4"/>
    <w:rsid w:val="00C56C1A"/>
    <w:rsid w:val="00C56DFD"/>
    <w:rsid w:val="00C56ED3"/>
    <w:rsid w:val="00C56EF6"/>
    <w:rsid w:val="00C56F0F"/>
    <w:rsid w:val="00C57437"/>
    <w:rsid w:val="00C57483"/>
    <w:rsid w:val="00C5764B"/>
    <w:rsid w:val="00C57803"/>
    <w:rsid w:val="00C579D1"/>
    <w:rsid w:val="00C57DCA"/>
    <w:rsid w:val="00C605D2"/>
    <w:rsid w:val="00C6079F"/>
    <w:rsid w:val="00C60908"/>
    <w:rsid w:val="00C60A8C"/>
    <w:rsid w:val="00C60D37"/>
    <w:rsid w:val="00C614E3"/>
    <w:rsid w:val="00C61860"/>
    <w:rsid w:val="00C61C83"/>
    <w:rsid w:val="00C61F88"/>
    <w:rsid w:val="00C62142"/>
    <w:rsid w:val="00C62229"/>
    <w:rsid w:val="00C623C5"/>
    <w:rsid w:val="00C62E08"/>
    <w:rsid w:val="00C62ECC"/>
    <w:rsid w:val="00C62F6D"/>
    <w:rsid w:val="00C631B8"/>
    <w:rsid w:val="00C631F7"/>
    <w:rsid w:val="00C63303"/>
    <w:rsid w:val="00C63424"/>
    <w:rsid w:val="00C63A7E"/>
    <w:rsid w:val="00C63AF6"/>
    <w:rsid w:val="00C63EEE"/>
    <w:rsid w:val="00C64278"/>
    <w:rsid w:val="00C64300"/>
    <w:rsid w:val="00C6472B"/>
    <w:rsid w:val="00C647EB"/>
    <w:rsid w:val="00C6491A"/>
    <w:rsid w:val="00C64AD7"/>
    <w:rsid w:val="00C64C87"/>
    <w:rsid w:val="00C65447"/>
    <w:rsid w:val="00C655F8"/>
    <w:rsid w:val="00C656A6"/>
    <w:rsid w:val="00C656D1"/>
    <w:rsid w:val="00C656D3"/>
    <w:rsid w:val="00C65AF7"/>
    <w:rsid w:val="00C65EFC"/>
    <w:rsid w:val="00C66209"/>
    <w:rsid w:val="00C6631F"/>
    <w:rsid w:val="00C6652C"/>
    <w:rsid w:val="00C6655B"/>
    <w:rsid w:val="00C66965"/>
    <w:rsid w:val="00C66A37"/>
    <w:rsid w:val="00C66E52"/>
    <w:rsid w:val="00C66EEC"/>
    <w:rsid w:val="00C674F1"/>
    <w:rsid w:val="00C67688"/>
    <w:rsid w:val="00C67EF1"/>
    <w:rsid w:val="00C67F4C"/>
    <w:rsid w:val="00C67F4D"/>
    <w:rsid w:val="00C705C1"/>
    <w:rsid w:val="00C70635"/>
    <w:rsid w:val="00C7073F"/>
    <w:rsid w:val="00C71137"/>
    <w:rsid w:val="00C71166"/>
    <w:rsid w:val="00C71468"/>
    <w:rsid w:val="00C714D8"/>
    <w:rsid w:val="00C7182C"/>
    <w:rsid w:val="00C71BFB"/>
    <w:rsid w:val="00C71C01"/>
    <w:rsid w:val="00C721FD"/>
    <w:rsid w:val="00C72397"/>
    <w:rsid w:val="00C729F2"/>
    <w:rsid w:val="00C733D7"/>
    <w:rsid w:val="00C734A3"/>
    <w:rsid w:val="00C73571"/>
    <w:rsid w:val="00C737A0"/>
    <w:rsid w:val="00C73BE2"/>
    <w:rsid w:val="00C73ECF"/>
    <w:rsid w:val="00C73EE7"/>
    <w:rsid w:val="00C74190"/>
    <w:rsid w:val="00C74287"/>
    <w:rsid w:val="00C742A4"/>
    <w:rsid w:val="00C743D3"/>
    <w:rsid w:val="00C74CA1"/>
    <w:rsid w:val="00C7541A"/>
    <w:rsid w:val="00C757E2"/>
    <w:rsid w:val="00C758C0"/>
    <w:rsid w:val="00C764A8"/>
    <w:rsid w:val="00C764DB"/>
    <w:rsid w:val="00C76759"/>
    <w:rsid w:val="00C768DA"/>
    <w:rsid w:val="00C76BDD"/>
    <w:rsid w:val="00C771C3"/>
    <w:rsid w:val="00C772E7"/>
    <w:rsid w:val="00C77328"/>
    <w:rsid w:val="00C77AB6"/>
    <w:rsid w:val="00C77CAF"/>
    <w:rsid w:val="00C77CBF"/>
    <w:rsid w:val="00C77F39"/>
    <w:rsid w:val="00C77F9A"/>
    <w:rsid w:val="00C80159"/>
    <w:rsid w:val="00C8031A"/>
    <w:rsid w:val="00C803B6"/>
    <w:rsid w:val="00C8046B"/>
    <w:rsid w:val="00C80536"/>
    <w:rsid w:val="00C8061A"/>
    <w:rsid w:val="00C807A3"/>
    <w:rsid w:val="00C80843"/>
    <w:rsid w:val="00C808E7"/>
    <w:rsid w:val="00C80AC9"/>
    <w:rsid w:val="00C80D22"/>
    <w:rsid w:val="00C80F2A"/>
    <w:rsid w:val="00C81309"/>
    <w:rsid w:val="00C81480"/>
    <w:rsid w:val="00C8158E"/>
    <w:rsid w:val="00C8169F"/>
    <w:rsid w:val="00C816FE"/>
    <w:rsid w:val="00C8230E"/>
    <w:rsid w:val="00C82768"/>
    <w:rsid w:val="00C828E5"/>
    <w:rsid w:val="00C8298E"/>
    <w:rsid w:val="00C82AB7"/>
    <w:rsid w:val="00C82D55"/>
    <w:rsid w:val="00C82E22"/>
    <w:rsid w:val="00C83083"/>
    <w:rsid w:val="00C83C72"/>
    <w:rsid w:val="00C83EF1"/>
    <w:rsid w:val="00C83F15"/>
    <w:rsid w:val="00C83FF1"/>
    <w:rsid w:val="00C84097"/>
    <w:rsid w:val="00C84307"/>
    <w:rsid w:val="00C845CD"/>
    <w:rsid w:val="00C84616"/>
    <w:rsid w:val="00C849E0"/>
    <w:rsid w:val="00C84B52"/>
    <w:rsid w:val="00C84C17"/>
    <w:rsid w:val="00C84C77"/>
    <w:rsid w:val="00C84DC8"/>
    <w:rsid w:val="00C84DDC"/>
    <w:rsid w:val="00C85881"/>
    <w:rsid w:val="00C85925"/>
    <w:rsid w:val="00C85B46"/>
    <w:rsid w:val="00C85F34"/>
    <w:rsid w:val="00C860FE"/>
    <w:rsid w:val="00C861D0"/>
    <w:rsid w:val="00C867F3"/>
    <w:rsid w:val="00C86E66"/>
    <w:rsid w:val="00C87254"/>
    <w:rsid w:val="00C8739E"/>
    <w:rsid w:val="00C87C00"/>
    <w:rsid w:val="00C87CFF"/>
    <w:rsid w:val="00C87F10"/>
    <w:rsid w:val="00C87F7A"/>
    <w:rsid w:val="00C87F91"/>
    <w:rsid w:val="00C9010F"/>
    <w:rsid w:val="00C90116"/>
    <w:rsid w:val="00C90386"/>
    <w:rsid w:val="00C91064"/>
    <w:rsid w:val="00C913DB"/>
    <w:rsid w:val="00C9176B"/>
    <w:rsid w:val="00C919EB"/>
    <w:rsid w:val="00C91A91"/>
    <w:rsid w:val="00C91F5B"/>
    <w:rsid w:val="00C927D8"/>
    <w:rsid w:val="00C929B5"/>
    <w:rsid w:val="00C92CB0"/>
    <w:rsid w:val="00C93297"/>
    <w:rsid w:val="00C93537"/>
    <w:rsid w:val="00C9353A"/>
    <w:rsid w:val="00C935F3"/>
    <w:rsid w:val="00C93ADB"/>
    <w:rsid w:val="00C93E23"/>
    <w:rsid w:val="00C93E44"/>
    <w:rsid w:val="00C94101"/>
    <w:rsid w:val="00C943DF"/>
    <w:rsid w:val="00C9442E"/>
    <w:rsid w:val="00C944CE"/>
    <w:rsid w:val="00C9453E"/>
    <w:rsid w:val="00C94563"/>
    <w:rsid w:val="00C946A7"/>
    <w:rsid w:val="00C94F20"/>
    <w:rsid w:val="00C9504E"/>
    <w:rsid w:val="00C95AB4"/>
    <w:rsid w:val="00C95BCD"/>
    <w:rsid w:val="00C95DA8"/>
    <w:rsid w:val="00C95E1A"/>
    <w:rsid w:val="00C96241"/>
    <w:rsid w:val="00C965C5"/>
    <w:rsid w:val="00C96C35"/>
    <w:rsid w:val="00C97334"/>
    <w:rsid w:val="00C9738E"/>
    <w:rsid w:val="00C9760E"/>
    <w:rsid w:val="00C97655"/>
    <w:rsid w:val="00C97AB5"/>
    <w:rsid w:val="00CA0142"/>
    <w:rsid w:val="00CA0511"/>
    <w:rsid w:val="00CA0A9A"/>
    <w:rsid w:val="00CA0AEC"/>
    <w:rsid w:val="00CA0CEE"/>
    <w:rsid w:val="00CA14B7"/>
    <w:rsid w:val="00CA1CB6"/>
    <w:rsid w:val="00CA1F5A"/>
    <w:rsid w:val="00CA20FD"/>
    <w:rsid w:val="00CA2632"/>
    <w:rsid w:val="00CA2676"/>
    <w:rsid w:val="00CA2A42"/>
    <w:rsid w:val="00CA2A61"/>
    <w:rsid w:val="00CA2BE8"/>
    <w:rsid w:val="00CA3060"/>
    <w:rsid w:val="00CA30F7"/>
    <w:rsid w:val="00CA3660"/>
    <w:rsid w:val="00CA3756"/>
    <w:rsid w:val="00CA37DB"/>
    <w:rsid w:val="00CA384E"/>
    <w:rsid w:val="00CA3D79"/>
    <w:rsid w:val="00CA3ECD"/>
    <w:rsid w:val="00CA4036"/>
    <w:rsid w:val="00CA473B"/>
    <w:rsid w:val="00CA47EB"/>
    <w:rsid w:val="00CA496E"/>
    <w:rsid w:val="00CA4BD4"/>
    <w:rsid w:val="00CA5113"/>
    <w:rsid w:val="00CA51F4"/>
    <w:rsid w:val="00CA51F7"/>
    <w:rsid w:val="00CA537C"/>
    <w:rsid w:val="00CA5B91"/>
    <w:rsid w:val="00CA5BE9"/>
    <w:rsid w:val="00CA5D22"/>
    <w:rsid w:val="00CA5D94"/>
    <w:rsid w:val="00CA5FFD"/>
    <w:rsid w:val="00CA6121"/>
    <w:rsid w:val="00CA6487"/>
    <w:rsid w:val="00CA6661"/>
    <w:rsid w:val="00CA68EE"/>
    <w:rsid w:val="00CA6AF5"/>
    <w:rsid w:val="00CA6B8B"/>
    <w:rsid w:val="00CA6BB0"/>
    <w:rsid w:val="00CA7159"/>
    <w:rsid w:val="00CA7177"/>
    <w:rsid w:val="00CA7ED2"/>
    <w:rsid w:val="00CB033A"/>
    <w:rsid w:val="00CB03FA"/>
    <w:rsid w:val="00CB040D"/>
    <w:rsid w:val="00CB04C5"/>
    <w:rsid w:val="00CB06E6"/>
    <w:rsid w:val="00CB0C94"/>
    <w:rsid w:val="00CB0CCE"/>
    <w:rsid w:val="00CB0E19"/>
    <w:rsid w:val="00CB0EDD"/>
    <w:rsid w:val="00CB1545"/>
    <w:rsid w:val="00CB17DC"/>
    <w:rsid w:val="00CB19A0"/>
    <w:rsid w:val="00CB19F2"/>
    <w:rsid w:val="00CB1A58"/>
    <w:rsid w:val="00CB1BF3"/>
    <w:rsid w:val="00CB1C38"/>
    <w:rsid w:val="00CB1F1D"/>
    <w:rsid w:val="00CB2285"/>
    <w:rsid w:val="00CB25AC"/>
    <w:rsid w:val="00CB25C6"/>
    <w:rsid w:val="00CB26D0"/>
    <w:rsid w:val="00CB2935"/>
    <w:rsid w:val="00CB2B36"/>
    <w:rsid w:val="00CB2F22"/>
    <w:rsid w:val="00CB2FD1"/>
    <w:rsid w:val="00CB30D9"/>
    <w:rsid w:val="00CB3676"/>
    <w:rsid w:val="00CB3C62"/>
    <w:rsid w:val="00CB3D5C"/>
    <w:rsid w:val="00CB3DC1"/>
    <w:rsid w:val="00CB3E5B"/>
    <w:rsid w:val="00CB3FB1"/>
    <w:rsid w:val="00CB4029"/>
    <w:rsid w:val="00CB429C"/>
    <w:rsid w:val="00CB4440"/>
    <w:rsid w:val="00CB44AE"/>
    <w:rsid w:val="00CB4657"/>
    <w:rsid w:val="00CB46F3"/>
    <w:rsid w:val="00CB4809"/>
    <w:rsid w:val="00CB4A30"/>
    <w:rsid w:val="00CB50DF"/>
    <w:rsid w:val="00CB53DB"/>
    <w:rsid w:val="00CB56D4"/>
    <w:rsid w:val="00CB5C32"/>
    <w:rsid w:val="00CB5C33"/>
    <w:rsid w:val="00CB603E"/>
    <w:rsid w:val="00CB60FF"/>
    <w:rsid w:val="00CB661D"/>
    <w:rsid w:val="00CB66AE"/>
    <w:rsid w:val="00CB6A39"/>
    <w:rsid w:val="00CB6B4C"/>
    <w:rsid w:val="00CB6DC8"/>
    <w:rsid w:val="00CB6E8A"/>
    <w:rsid w:val="00CB6F00"/>
    <w:rsid w:val="00CB715F"/>
    <w:rsid w:val="00CB7767"/>
    <w:rsid w:val="00CB77F7"/>
    <w:rsid w:val="00CB7CB7"/>
    <w:rsid w:val="00CB7EBA"/>
    <w:rsid w:val="00CB7F91"/>
    <w:rsid w:val="00CC021C"/>
    <w:rsid w:val="00CC0545"/>
    <w:rsid w:val="00CC0607"/>
    <w:rsid w:val="00CC0A50"/>
    <w:rsid w:val="00CC0A89"/>
    <w:rsid w:val="00CC0AFD"/>
    <w:rsid w:val="00CC0E8D"/>
    <w:rsid w:val="00CC12A5"/>
    <w:rsid w:val="00CC1EC0"/>
    <w:rsid w:val="00CC2269"/>
    <w:rsid w:val="00CC2842"/>
    <w:rsid w:val="00CC28B0"/>
    <w:rsid w:val="00CC2ABA"/>
    <w:rsid w:val="00CC2BA5"/>
    <w:rsid w:val="00CC2BB6"/>
    <w:rsid w:val="00CC2BF1"/>
    <w:rsid w:val="00CC3191"/>
    <w:rsid w:val="00CC39E1"/>
    <w:rsid w:val="00CC3E1D"/>
    <w:rsid w:val="00CC4008"/>
    <w:rsid w:val="00CC4511"/>
    <w:rsid w:val="00CC4759"/>
    <w:rsid w:val="00CC485A"/>
    <w:rsid w:val="00CC4981"/>
    <w:rsid w:val="00CC4D87"/>
    <w:rsid w:val="00CC4F30"/>
    <w:rsid w:val="00CC500B"/>
    <w:rsid w:val="00CC5091"/>
    <w:rsid w:val="00CC50A4"/>
    <w:rsid w:val="00CC52F6"/>
    <w:rsid w:val="00CC5689"/>
    <w:rsid w:val="00CC595A"/>
    <w:rsid w:val="00CC5A69"/>
    <w:rsid w:val="00CC5D0A"/>
    <w:rsid w:val="00CC5EF7"/>
    <w:rsid w:val="00CC5FAF"/>
    <w:rsid w:val="00CC636A"/>
    <w:rsid w:val="00CC649A"/>
    <w:rsid w:val="00CC6516"/>
    <w:rsid w:val="00CC6764"/>
    <w:rsid w:val="00CC6A1A"/>
    <w:rsid w:val="00CC6A82"/>
    <w:rsid w:val="00CC6B67"/>
    <w:rsid w:val="00CC6C47"/>
    <w:rsid w:val="00CC72AA"/>
    <w:rsid w:val="00CC7590"/>
    <w:rsid w:val="00CC7847"/>
    <w:rsid w:val="00CC7A5F"/>
    <w:rsid w:val="00CC7BE6"/>
    <w:rsid w:val="00CC7C23"/>
    <w:rsid w:val="00CC7CB8"/>
    <w:rsid w:val="00CC7CE8"/>
    <w:rsid w:val="00CD085A"/>
    <w:rsid w:val="00CD0C9C"/>
    <w:rsid w:val="00CD0D61"/>
    <w:rsid w:val="00CD0D7E"/>
    <w:rsid w:val="00CD10E6"/>
    <w:rsid w:val="00CD118E"/>
    <w:rsid w:val="00CD1720"/>
    <w:rsid w:val="00CD1B2E"/>
    <w:rsid w:val="00CD1B6E"/>
    <w:rsid w:val="00CD1BAC"/>
    <w:rsid w:val="00CD1E0A"/>
    <w:rsid w:val="00CD1E56"/>
    <w:rsid w:val="00CD207C"/>
    <w:rsid w:val="00CD2141"/>
    <w:rsid w:val="00CD2324"/>
    <w:rsid w:val="00CD2592"/>
    <w:rsid w:val="00CD2828"/>
    <w:rsid w:val="00CD2F7B"/>
    <w:rsid w:val="00CD30F4"/>
    <w:rsid w:val="00CD33F7"/>
    <w:rsid w:val="00CD39F1"/>
    <w:rsid w:val="00CD3EF9"/>
    <w:rsid w:val="00CD3FDB"/>
    <w:rsid w:val="00CD4202"/>
    <w:rsid w:val="00CD4DF6"/>
    <w:rsid w:val="00CD508A"/>
    <w:rsid w:val="00CD51EF"/>
    <w:rsid w:val="00CD55AD"/>
    <w:rsid w:val="00CD55E0"/>
    <w:rsid w:val="00CD5771"/>
    <w:rsid w:val="00CD58B4"/>
    <w:rsid w:val="00CD59D7"/>
    <w:rsid w:val="00CD5A87"/>
    <w:rsid w:val="00CD5B70"/>
    <w:rsid w:val="00CD5DCB"/>
    <w:rsid w:val="00CD5E73"/>
    <w:rsid w:val="00CD5FBF"/>
    <w:rsid w:val="00CD62F3"/>
    <w:rsid w:val="00CD6845"/>
    <w:rsid w:val="00CD68FE"/>
    <w:rsid w:val="00CD6A13"/>
    <w:rsid w:val="00CD6B75"/>
    <w:rsid w:val="00CD75FE"/>
    <w:rsid w:val="00CD78FC"/>
    <w:rsid w:val="00CD79D6"/>
    <w:rsid w:val="00CD7D23"/>
    <w:rsid w:val="00CD7E90"/>
    <w:rsid w:val="00CD7EDC"/>
    <w:rsid w:val="00CE041A"/>
    <w:rsid w:val="00CE087C"/>
    <w:rsid w:val="00CE0AF8"/>
    <w:rsid w:val="00CE0E30"/>
    <w:rsid w:val="00CE0F3E"/>
    <w:rsid w:val="00CE0FA7"/>
    <w:rsid w:val="00CE1532"/>
    <w:rsid w:val="00CE1ACF"/>
    <w:rsid w:val="00CE1BD5"/>
    <w:rsid w:val="00CE1CC9"/>
    <w:rsid w:val="00CE1E97"/>
    <w:rsid w:val="00CE2042"/>
    <w:rsid w:val="00CE239E"/>
    <w:rsid w:val="00CE2605"/>
    <w:rsid w:val="00CE2648"/>
    <w:rsid w:val="00CE2838"/>
    <w:rsid w:val="00CE2E91"/>
    <w:rsid w:val="00CE2ED4"/>
    <w:rsid w:val="00CE3194"/>
    <w:rsid w:val="00CE3256"/>
    <w:rsid w:val="00CE3334"/>
    <w:rsid w:val="00CE33C1"/>
    <w:rsid w:val="00CE3725"/>
    <w:rsid w:val="00CE3752"/>
    <w:rsid w:val="00CE3A4D"/>
    <w:rsid w:val="00CE3DB6"/>
    <w:rsid w:val="00CE3ECF"/>
    <w:rsid w:val="00CE4062"/>
    <w:rsid w:val="00CE461C"/>
    <w:rsid w:val="00CE4C46"/>
    <w:rsid w:val="00CE4DED"/>
    <w:rsid w:val="00CE4DFC"/>
    <w:rsid w:val="00CE5646"/>
    <w:rsid w:val="00CE58D0"/>
    <w:rsid w:val="00CE632A"/>
    <w:rsid w:val="00CE6391"/>
    <w:rsid w:val="00CE6A91"/>
    <w:rsid w:val="00CE6F7F"/>
    <w:rsid w:val="00CE7196"/>
    <w:rsid w:val="00CE757A"/>
    <w:rsid w:val="00CE7A0B"/>
    <w:rsid w:val="00CE7AE7"/>
    <w:rsid w:val="00CE7EC7"/>
    <w:rsid w:val="00CE7F2C"/>
    <w:rsid w:val="00CF00FC"/>
    <w:rsid w:val="00CF010B"/>
    <w:rsid w:val="00CF01E4"/>
    <w:rsid w:val="00CF034C"/>
    <w:rsid w:val="00CF0456"/>
    <w:rsid w:val="00CF05A9"/>
    <w:rsid w:val="00CF0ECB"/>
    <w:rsid w:val="00CF0F6B"/>
    <w:rsid w:val="00CF113E"/>
    <w:rsid w:val="00CF124F"/>
    <w:rsid w:val="00CF136D"/>
    <w:rsid w:val="00CF1921"/>
    <w:rsid w:val="00CF232E"/>
    <w:rsid w:val="00CF29B4"/>
    <w:rsid w:val="00CF2B37"/>
    <w:rsid w:val="00CF2DAF"/>
    <w:rsid w:val="00CF313A"/>
    <w:rsid w:val="00CF31F6"/>
    <w:rsid w:val="00CF322B"/>
    <w:rsid w:val="00CF32C6"/>
    <w:rsid w:val="00CF384F"/>
    <w:rsid w:val="00CF3C71"/>
    <w:rsid w:val="00CF429C"/>
    <w:rsid w:val="00CF42A7"/>
    <w:rsid w:val="00CF42AC"/>
    <w:rsid w:val="00CF42DE"/>
    <w:rsid w:val="00CF4998"/>
    <w:rsid w:val="00CF4AF5"/>
    <w:rsid w:val="00CF4B82"/>
    <w:rsid w:val="00CF4CDA"/>
    <w:rsid w:val="00CF5071"/>
    <w:rsid w:val="00CF512A"/>
    <w:rsid w:val="00CF5313"/>
    <w:rsid w:val="00CF537C"/>
    <w:rsid w:val="00CF5622"/>
    <w:rsid w:val="00CF5B0B"/>
    <w:rsid w:val="00CF5B45"/>
    <w:rsid w:val="00CF5BFD"/>
    <w:rsid w:val="00CF5D4F"/>
    <w:rsid w:val="00CF607F"/>
    <w:rsid w:val="00CF654B"/>
    <w:rsid w:val="00CF6B27"/>
    <w:rsid w:val="00CF72ED"/>
    <w:rsid w:val="00CF73E2"/>
    <w:rsid w:val="00CF7523"/>
    <w:rsid w:val="00CF76D9"/>
    <w:rsid w:val="00CF778A"/>
    <w:rsid w:val="00CF79D3"/>
    <w:rsid w:val="00CF79F4"/>
    <w:rsid w:val="00CF7ADB"/>
    <w:rsid w:val="00CF7B58"/>
    <w:rsid w:val="00CF7D70"/>
    <w:rsid w:val="00CF7FA7"/>
    <w:rsid w:val="00D0028C"/>
    <w:rsid w:val="00D00376"/>
    <w:rsid w:val="00D00439"/>
    <w:rsid w:val="00D0085A"/>
    <w:rsid w:val="00D00994"/>
    <w:rsid w:val="00D00A23"/>
    <w:rsid w:val="00D01064"/>
    <w:rsid w:val="00D010C5"/>
    <w:rsid w:val="00D013C2"/>
    <w:rsid w:val="00D015F7"/>
    <w:rsid w:val="00D01969"/>
    <w:rsid w:val="00D01D02"/>
    <w:rsid w:val="00D01D6C"/>
    <w:rsid w:val="00D02370"/>
    <w:rsid w:val="00D02552"/>
    <w:rsid w:val="00D028B3"/>
    <w:rsid w:val="00D029E0"/>
    <w:rsid w:val="00D02ADA"/>
    <w:rsid w:val="00D02FCC"/>
    <w:rsid w:val="00D03128"/>
    <w:rsid w:val="00D0333D"/>
    <w:rsid w:val="00D03745"/>
    <w:rsid w:val="00D0392F"/>
    <w:rsid w:val="00D03A4C"/>
    <w:rsid w:val="00D03DFD"/>
    <w:rsid w:val="00D04155"/>
    <w:rsid w:val="00D043C8"/>
    <w:rsid w:val="00D0450E"/>
    <w:rsid w:val="00D04BDE"/>
    <w:rsid w:val="00D04ED5"/>
    <w:rsid w:val="00D05505"/>
    <w:rsid w:val="00D05886"/>
    <w:rsid w:val="00D05CF5"/>
    <w:rsid w:val="00D06182"/>
    <w:rsid w:val="00D06610"/>
    <w:rsid w:val="00D06AA5"/>
    <w:rsid w:val="00D06C69"/>
    <w:rsid w:val="00D071C6"/>
    <w:rsid w:val="00D07425"/>
    <w:rsid w:val="00D074B5"/>
    <w:rsid w:val="00D07CD7"/>
    <w:rsid w:val="00D07E20"/>
    <w:rsid w:val="00D100F8"/>
    <w:rsid w:val="00D10274"/>
    <w:rsid w:val="00D10540"/>
    <w:rsid w:val="00D10AAB"/>
    <w:rsid w:val="00D10F30"/>
    <w:rsid w:val="00D11022"/>
    <w:rsid w:val="00D1141F"/>
    <w:rsid w:val="00D11600"/>
    <w:rsid w:val="00D116D1"/>
    <w:rsid w:val="00D11A01"/>
    <w:rsid w:val="00D11B16"/>
    <w:rsid w:val="00D11C36"/>
    <w:rsid w:val="00D11CFD"/>
    <w:rsid w:val="00D11FD1"/>
    <w:rsid w:val="00D1201F"/>
    <w:rsid w:val="00D1204C"/>
    <w:rsid w:val="00D120A5"/>
    <w:rsid w:val="00D1237B"/>
    <w:rsid w:val="00D12383"/>
    <w:rsid w:val="00D12E8F"/>
    <w:rsid w:val="00D132D2"/>
    <w:rsid w:val="00D139E0"/>
    <w:rsid w:val="00D13B20"/>
    <w:rsid w:val="00D13E00"/>
    <w:rsid w:val="00D14309"/>
    <w:rsid w:val="00D14489"/>
    <w:rsid w:val="00D14495"/>
    <w:rsid w:val="00D146CA"/>
    <w:rsid w:val="00D149B4"/>
    <w:rsid w:val="00D14AAC"/>
    <w:rsid w:val="00D15053"/>
    <w:rsid w:val="00D15142"/>
    <w:rsid w:val="00D1514D"/>
    <w:rsid w:val="00D154A8"/>
    <w:rsid w:val="00D15B0F"/>
    <w:rsid w:val="00D15DDD"/>
    <w:rsid w:val="00D15E34"/>
    <w:rsid w:val="00D1614E"/>
    <w:rsid w:val="00D1618F"/>
    <w:rsid w:val="00D16445"/>
    <w:rsid w:val="00D1682F"/>
    <w:rsid w:val="00D16947"/>
    <w:rsid w:val="00D16A94"/>
    <w:rsid w:val="00D16AD2"/>
    <w:rsid w:val="00D16C7C"/>
    <w:rsid w:val="00D16E6D"/>
    <w:rsid w:val="00D17159"/>
    <w:rsid w:val="00D1736C"/>
    <w:rsid w:val="00D17425"/>
    <w:rsid w:val="00D17445"/>
    <w:rsid w:val="00D175DA"/>
    <w:rsid w:val="00D17B25"/>
    <w:rsid w:val="00D17B34"/>
    <w:rsid w:val="00D17C56"/>
    <w:rsid w:val="00D17F7B"/>
    <w:rsid w:val="00D17FE9"/>
    <w:rsid w:val="00D203FE"/>
    <w:rsid w:val="00D205EB"/>
    <w:rsid w:val="00D20AA1"/>
    <w:rsid w:val="00D20D86"/>
    <w:rsid w:val="00D20FF3"/>
    <w:rsid w:val="00D21170"/>
    <w:rsid w:val="00D214EC"/>
    <w:rsid w:val="00D219A4"/>
    <w:rsid w:val="00D21DFA"/>
    <w:rsid w:val="00D21E40"/>
    <w:rsid w:val="00D22247"/>
    <w:rsid w:val="00D223C7"/>
    <w:rsid w:val="00D229E6"/>
    <w:rsid w:val="00D23314"/>
    <w:rsid w:val="00D2348C"/>
    <w:rsid w:val="00D234BC"/>
    <w:rsid w:val="00D239E3"/>
    <w:rsid w:val="00D23A8E"/>
    <w:rsid w:val="00D23FB9"/>
    <w:rsid w:val="00D240B0"/>
    <w:rsid w:val="00D241B8"/>
    <w:rsid w:val="00D24287"/>
    <w:rsid w:val="00D2439A"/>
    <w:rsid w:val="00D24569"/>
    <w:rsid w:val="00D24606"/>
    <w:rsid w:val="00D24666"/>
    <w:rsid w:val="00D24805"/>
    <w:rsid w:val="00D248AF"/>
    <w:rsid w:val="00D24AE1"/>
    <w:rsid w:val="00D24B88"/>
    <w:rsid w:val="00D24EE9"/>
    <w:rsid w:val="00D25A50"/>
    <w:rsid w:val="00D2668E"/>
    <w:rsid w:val="00D269B3"/>
    <w:rsid w:val="00D2713F"/>
    <w:rsid w:val="00D2715C"/>
    <w:rsid w:val="00D27787"/>
    <w:rsid w:val="00D27C8A"/>
    <w:rsid w:val="00D3003E"/>
    <w:rsid w:val="00D3039E"/>
    <w:rsid w:val="00D30727"/>
    <w:rsid w:val="00D308A7"/>
    <w:rsid w:val="00D30905"/>
    <w:rsid w:val="00D30ECE"/>
    <w:rsid w:val="00D30F17"/>
    <w:rsid w:val="00D311EB"/>
    <w:rsid w:val="00D3124B"/>
    <w:rsid w:val="00D31306"/>
    <w:rsid w:val="00D3181F"/>
    <w:rsid w:val="00D31AE3"/>
    <w:rsid w:val="00D31C05"/>
    <w:rsid w:val="00D31CB2"/>
    <w:rsid w:val="00D32183"/>
    <w:rsid w:val="00D321A4"/>
    <w:rsid w:val="00D32522"/>
    <w:rsid w:val="00D3291E"/>
    <w:rsid w:val="00D32DE6"/>
    <w:rsid w:val="00D32EDF"/>
    <w:rsid w:val="00D33200"/>
    <w:rsid w:val="00D33345"/>
    <w:rsid w:val="00D3373A"/>
    <w:rsid w:val="00D33A31"/>
    <w:rsid w:val="00D33B5C"/>
    <w:rsid w:val="00D33C0C"/>
    <w:rsid w:val="00D340B5"/>
    <w:rsid w:val="00D343C2"/>
    <w:rsid w:val="00D34838"/>
    <w:rsid w:val="00D34A04"/>
    <w:rsid w:val="00D34DF9"/>
    <w:rsid w:val="00D351DA"/>
    <w:rsid w:val="00D352CB"/>
    <w:rsid w:val="00D35493"/>
    <w:rsid w:val="00D35AB3"/>
    <w:rsid w:val="00D35E2A"/>
    <w:rsid w:val="00D36253"/>
    <w:rsid w:val="00D3642F"/>
    <w:rsid w:val="00D36485"/>
    <w:rsid w:val="00D36638"/>
    <w:rsid w:val="00D366C6"/>
    <w:rsid w:val="00D36DB8"/>
    <w:rsid w:val="00D3724C"/>
    <w:rsid w:val="00D3747F"/>
    <w:rsid w:val="00D374EF"/>
    <w:rsid w:val="00D37509"/>
    <w:rsid w:val="00D375F6"/>
    <w:rsid w:val="00D379B2"/>
    <w:rsid w:val="00D379CA"/>
    <w:rsid w:val="00D379CF"/>
    <w:rsid w:val="00D37A1A"/>
    <w:rsid w:val="00D37C44"/>
    <w:rsid w:val="00D37CE6"/>
    <w:rsid w:val="00D37D46"/>
    <w:rsid w:val="00D37F7D"/>
    <w:rsid w:val="00D37F8E"/>
    <w:rsid w:val="00D40AC2"/>
    <w:rsid w:val="00D40D68"/>
    <w:rsid w:val="00D4119C"/>
    <w:rsid w:val="00D411A9"/>
    <w:rsid w:val="00D41371"/>
    <w:rsid w:val="00D416F2"/>
    <w:rsid w:val="00D41858"/>
    <w:rsid w:val="00D41B2D"/>
    <w:rsid w:val="00D42517"/>
    <w:rsid w:val="00D4256B"/>
    <w:rsid w:val="00D42688"/>
    <w:rsid w:val="00D42C14"/>
    <w:rsid w:val="00D42F47"/>
    <w:rsid w:val="00D43073"/>
    <w:rsid w:val="00D43CEB"/>
    <w:rsid w:val="00D43F08"/>
    <w:rsid w:val="00D44334"/>
    <w:rsid w:val="00D4472B"/>
    <w:rsid w:val="00D44880"/>
    <w:rsid w:val="00D44AC6"/>
    <w:rsid w:val="00D44DF5"/>
    <w:rsid w:val="00D450E1"/>
    <w:rsid w:val="00D452CA"/>
    <w:rsid w:val="00D45597"/>
    <w:rsid w:val="00D459DB"/>
    <w:rsid w:val="00D45DB1"/>
    <w:rsid w:val="00D45F54"/>
    <w:rsid w:val="00D462DE"/>
    <w:rsid w:val="00D467C1"/>
    <w:rsid w:val="00D46C9C"/>
    <w:rsid w:val="00D46D09"/>
    <w:rsid w:val="00D47268"/>
    <w:rsid w:val="00D47731"/>
    <w:rsid w:val="00D47783"/>
    <w:rsid w:val="00D47802"/>
    <w:rsid w:val="00D47885"/>
    <w:rsid w:val="00D47B80"/>
    <w:rsid w:val="00D47F38"/>
    <w:rsid w:val="00D50259"/>
    <w:rsid w:val="00D5045F"/>
    <w:rsid w:val="00D50605"/>
    <w:rsid w:val="00D506C7"/>
    <w:rsid w:val="00D50937"/>
    <w:rsid w:val="00D50B63"/>
    <w:rsid w:val="00D50D36"/>
    <w:rsid w:val="00D51042"/>
    <w:rsid w:val="00D51117"/>
    <w:rsid w:val="00D51C58"/>
    <w:rsid w:val="00D51D14"/>
    <w:rsid w:val="00D51D6E"/>
    <w:rsid w:val="00D51FFC"/>
    <w:rsid w:val="00D52183"/>
    <w:rsid w:val="00D524C2"/>
    <w:rsid w:val="00D52681"/>
    <w:rsid w:val="00D52883"/>
    <w:rsid w:val="00D52A11"/>
    <w:rsid w:val="00D52A37"/>
    <w:rsid w:val="00D52B12"/>
    <w:rsid w:val="00D52E71"/>
    <w:rsid w:val="00D5303B"/>
    <w:rsid w:val="00D536A1"/>
    <w:rsid w:val="00D538C8"/>
    <w:rsid w:val="00D53964"/>
    <w:rsid w:val="00D539B6"/>
    <w:rsid w:val="00D53CF1"/>
    <w:rsid w:val="00D53F1A"/>
    <w:rsid w:val="00D54277"/>
    <w:rsid w:val="00D544B8"/>
    <w:rsid w:val="00D54554"/>
    <w:rsid w:val="00D547A1"/>
    <w:rsid w:val="00D54A47"/>
    <w:rsid w:val="00D55114"/>
    <w:rsid w:val="00D553D0"/>
    <w:rsid w:val="00D55771"/>
    <w:rsid w:val="00D55A29"/>
    <w:rsid w:val="00D55AFA"/>
    <w:rsid w:val="00D55BED"/>
    <w:rsid w:val="00D55F66"/>
    <w:rsid w:val="00D56C55"/>
    <w:rsid w:val="00D574D2"/>
    <w:rsid w:val="00D57748"/>
    <w:rsid w:val="00D57DEC"/>
    <w:rsid w:val="00D57FE7"/>
    <w:rsid w:val="00D6007D"/>
    <w:rsid w:val="00D60466"/>
    <w:rsid w:val="00D60592"/>
    <w:rsid w:val="00D60646"/>
    <w:rsid w:val="00D609DF"/>
    <w:rsid w:val="00D60B25"/>
    <w:rsid w:val="00D60EA2"/>
    <w:rsid w:val="00D60EC0"/>
    <w:rsid w:val="00D610B6"/>
    <w:rsid w:val="00D61185"/>
    <w:rsid w:val="00D61D1B"/>
    <w:rsid w:val="00D61D6A"/>
    <w:rsid w:val="00D61F07"/>
    <w:rsid w:val="00D61F30"/>
    <w:rsid w:val="00D621C5"/>
    <w:rsid w:val="00D62386"/>
    <w:rsid w:val="00D6259C"/>
    <w:rsid w:val="00D628AC"/>
    <w:rsid w:val="00D6295D"/>
    <w:rsid w:val="00D62B3F"/>
    <w:rsid w:val="00D62D0B"/>
    <w:rsid w:val="00D63457"/>
    <w:rsid w:val="00D636FF"/>
    <w:rsid w:val="00D63AD9"/>
    <w:rsid w:val="00D63B09"/>
    <w:rsid w:val="00D63B9A"/>
    <w:rsid w:val="00D63FC6"/>
    <w:rsid w:val="00D640BB"/>
    <w:rsid w:val="00D640F3"/>
    <w:rsid w:val="00D642A6"/>
    <w:rsid w:val="00D6431C"/>
    <w:rsid w:val="00D647B7"/>
    <w:rsid w:val="00D6488D"/>
    <w:rsid w:val="00D64C82"/>
    <w:rsid w:val="00D64CDE"/>
    <w:rsid w:val="00D64F4C"/>
    <w:rsid w:val="00D64FA6"/>
    <w:rsid w:val="00D6539C"/>
    <w:rsid w:val="00D65711"/>
    <w:rsid w:val="00D65A54"/>
    <w:rsid w:val="00D65B7A"/>
    <w:rsid w:val="00D65D97"/>
    <w:rsid w:val="00D66234"/>
    <w:rsid w:val="00D66279"/>
    <w:rsid w:val="00D662B3"/>
    <w:rsid w:val="00D666CE"/>
    <w:rsid w:val="00D6684C"/>
    <w:rsid w:val="00D66891"/>
    <w:rsid w:val="00D66BAB"/>
    <w:rsid w:val="00D67036"/>
    <w:rsid w:val="00D6770E"/>
    <w:rsid w:val="00D677EB"/>
    <w:rsid w:val="00D679BD"/>
    <w:rsid w:val="00D67B1F"/>
    <w:rsid w:val="00D7003F"/>
    <w:rsid w:val="00D7064D"/>
    <w:rsid w:val="00D70696"/>
    <w:rsid w:val="00D7094F"/>
    <w:rsid w:val="00D70BA7"/>
    <w:rsid w:val="00D70BD0"/>
    <w:rsid w:val="00D70CB4"/>
    <w:rsid w:val="00D70CDD"/>
    <w:rsid w:val="00D70DAC"/>
    <w:rsid w:val="00D70E69"/>
    <w:rsid w:val="00D7142A"/>
    <w:rsid w:val="00D717E4"/>
    <w:rsid w:val="00D71B6F"/>
    <w:rsid w:val="00D71B7E"/>
    <w:rsid w:val="00D71FCB"/>
    <w:rsid w:val="00D723DC"/>
    <w:rsid w:val="00D725E3"/>
    <w:rsid w:val="00D72B9E"/>
    <w:rsid w:val="00D72C5F"/>
    <w:rsid w:val="00D72CAB"/>
    <w:rsid w:val="00D72CD7"/>
    <w:rsid w:val="00D730E8"/>
    <w:rsid w:val="00D73501"/>
    <w:rsid w:val="00D7351F"/>
    <w:rsid w:val="00D73621"/>
    <w:rsid w:val="00D737C2"/>
    <w:rsid w:val="00D73F1F"/>
    <w:rsid w:val="00D743E4"/>
    <w:rsid w:val="00D745A1"/>
    <w:rsid w:val="00D749AA"/>
    <w:rsid w:val="00D74AC1"/>
    <w:rsid w:val="00D74E68"/>
    <w:rsid w:val="00D74E8C"/>
    <w:rsid w:val="00D75D8E"/>
    <w:rsid w:val="00D75F10"/>
    <w:rsid w:val="00D75FB3"/>
    <w:rsid w:val="00D760E0"/>
    <w:rsid w:val="00D765CA"/>
    <w:rsid w:val="00D76FC9"/>
    <w:rsid w:val="00D7749D"/>
    <w:rsid w:val="00D77976"/>
    <w:rsid w:val="00D77FDA"/>
    <w:rsid w:val="00D8026E"/>
    <w:rsid w:val="00D80495"/>
    <w:rsid w:val="00D80807"/>
    <w:rsid w:val="00D80A22"/>
    <w:rsid w:val="00D80C79"/>
    <w:rsid w:val="00D80D74"/>
    <w:rsid w:val="00D81163"/>
    <w:rsid w:val="00D8135F"/>
    <w:rsid w:val="00D8140B"/>
    <w:rsid w:val="00D820B9"/>
    <w:rsid w:val="00D820E3"/>
    <w:rsid w:val="00D8230C"/>
    <w:rsid w:val="00D824DE"/>
    <w:rsid w:val="00D8250A"/>
    <w:rsid w:val="00D825DA"/>
    <w:rsid w:val="00D8265C"/>
    <w:rsid w:val="00D82F3B"/>
    <w:rsid w:val="00D833C1"/>
    <w:rsid w:val="00D83464"/>
    <w:rsid w:val="00D83567"/>
    <w:rsid w:val="00D84219"/>
    <w:rsid w:val="00D84592"/>
    <w:rsid w:val="00D845E0"/>
    <w:rsid w:val="00D846B9"/>
    <w:rsid w:val="00D84C43"/>
    <w:rsid w:val="00D84E65"/>
    <w:rsid w:val="00D8546C"/>
    <w:rsid w:val="00D85816"/>
    <w:rsid w:val="00D858BE"/>
    <w:rsid w:val="00D85B65"/>
    <w:rsid w:val="00D864DB"/>
    <w:rsid w:val="00D86E02"/>
    <w:rsid w:val="00D86EC1"/>
    <w:rsid w:val="00D86FC5"/>
    <w:rsid w:val="00D87005"/>
    <w:rsid w:val="00D871EE"/>
    <w:rsid w:val="00D87838"/>
    <w:rsid w:val="00D87857"/>
    <w:rsid w:val="00D87961"/>
    <w:rsid w:val="00D87CC5"/>
    <w:rsid w:val="00D87CFE"/>
    <w:rsid w:val="00D902C9"/>
    <w:rsid w:val="00D903FF"/>
    <w:rsid w:val="00D90472"/>
    <w:rsid w:val="00D904FC"/>
    <w:rsid w:val="00D90553"/>
    <w:rsid w:val="00D90CB2"/>
    <w:rsid w:val="00D91447"/>
    <w:rsid w:val="00D91C11"/>
    <w:rsid w:val="00D9206C"/>
    <w:rsid w:val="00D921CF"/>
    <w:rsid w:val="00D921ED"/>
    <w:rsid w:val="00D92480"/>
    <w:rsid w:val="00D925BA"/>
    <w:rsid w:val="00D9266A"/>
    <w:rsid w:val="00D92914"/>
    <w:rsid w:val="00D92952"/>
    <w:rsid w:val="00D93293"/>
    <w:rsid w:val="00D93875"/>
    <w:rsid w:val="00D9394B"/>
    <w:rsid w:val="00D93C37"/>
    <w:rsid w:val="00D93EE1"/>
    <w:rsid w:val="00D94094"/>
    <w:rsid w:val="00D949D0"/>
    <w:rsid w:val="00D94A1B"/>
    <w:rsid w:val="00D94FBC"/>
    <w:rsid w:val="00D9510C"/>
    <w:rsid w:val="00D954B6"/>
    <w:rsid w:val="00D95502"/>
    <w:rsid w:val="00D95798"/>
    <w:rsid w:val="00D95931"/>
    <w:rsid w:val="00D95B6C"/>
    <w:rsid w:val="00D95E8A"/>
    <w:rsid w:val="00D96083"/>
    <w:rsid w:val="00D960B5"/>
    <w:rsid w:val="00D9673C"/>
    <w:rsid w:val="00D9680A"/>
    <w:rsid w:val="00D96947"/>
    <w:rsid w:val="00D96A1B"/>
    <w:rsid w:val="00D970CC"/>
    <w:rsid w:val="00D97119"/>
    <w:rsid w:val="00D9740A"/>
    <w:rsid w:val="00D97492"/>
    <w:rsid w:val="00D97724"/>
    <w:rsid w:val="00D97810"/>
    <w:rsid w:val="00D979F0"/>
    <w:rsid w:val="00D97B3B"/>
    <w:rsid w:val="00D97E16"/>
    <w:rsid w:val="00DA0127"/>
    <w:rsid w:val="00DA06BD"/>
    <w:rsid w:val="00DA07CE"/>
    <w:rsid w:val="00DA0B90"/>
    <w:rsid w:val="00DA0E6B"/>
    <w:rsid w:val="00DA0ECC"/>
    <w:rsid w:val="00DA136E"/>
    <w:rsid w:val="00DA15B6"/>
    <w:rsid w:val="00DA1983"/>
    <w:rsid w:val="00DA1A3F"/>
    <w:rsid w:val="00DA1BD8"/>
    <w:rsid w:val="00DA1D17"/>
    <w:rsid w:val="00DA1E9D"/>
    <w:rsid w:val="00DA22A4"/>
    <w:rsid w:val="00DA22B1"/>
    <w:rsid w:val="00DA22C6"/>
    <w:rsid w:val="00DA22D0"/>
    <w:rsid w:val="00DA2519"/>
    <w:rsid w:val="00DA2BE7"/>
    <w:rsid w:val="00DA2D87"/>
    <w:rsid w:val="00DA3829"/>
    <w:rsid w:val="00DA3A4E"/>
    <w:rsid w:val="00DA3A92"/>
    <w:rsid w:val="00DA40D2"/>
    <w:rsid w:val="00DA49E6"/>
    <w:rsid w:val="00DA59A1"/>
    <w:rsid w:val="00DA5AA1"/>
    <w:rsid w:val="00DA5E7E"/>
    <w:rsid w:val="00DA6F7D"/>
    <w:rsid w:val="00DA701D"/>
    <w:rsid w:val="00DA749A"/>
    <w:rsid w:val="00DA7566"/>
    <w:rsid w:val="00DA7822"/>
    <w:rsid w:val="00DA797D"/>
    <w:rsid w:val="00DA79F9"/>
    <w:rsid w:val="00DA7C8F"/>
    <w:rsid w:val="00DB0055"/>
    <w:rsid w:val="00DB014A"/>
    <w:rsid w:val="00DB0227"/>
    <w:rsid w:val="00DB0238"/>
    <w:rsid w:val="00DB02A8"/>
    <w:rsid w:val="00DB03DE"/>
    <w:rsid w:val="00DB0434"/>
    <w:rsid w:val="00DB04BF"/>
    <w:rsid w:val="00DB057A"/>
    <w:rsid w:val="00DB07EC"/>
    <w:rsid w:val="00DB0B15"/>
    <w:rsid w:val="00DB0B31"/>
    <w:rsid w:val="00DB0CD8"/>
    <w:rsid w:val="00DB1562"/>
    <w:rsid w:val="00DB18F7"/>
    <w:rsid w:val="00DB269B"/>
    <w:rsid w:val="00DB28B9"/>
    <w:rsid w:val="00DB28F9"/>
    <w:rsid w:val="00DB2AB3"/>
    <w:rsid w:val="00DB2C1E"/>
    <w:rsid w:val="00DB2FF3"/>
    <w:rsid w:val="00DB3335"/>
    <w:rsid w:val="00DB3762"/>
    <w:rsid w:val="00DB3E90"/>
    <w:rsid w:val="00DB406C"/>
    <w:rsid w:val="00DB41CE"/>
    <w:rsid w:val="00DB4387"/>
    <w:rsid w:val="00DB4870"/>
    <w:rsid w:val="00DB4B34"/>
    <w:rsid w:val="00DB54C4"/>
    <w:rsid w:val="00DB5827"/>
    <w:rsid w:val="00DB61E9"/>
    <w:rsid w:val="00DB6337"/>
    <w:rsid w:val="00DB6471"/>
    <w:rsid w:val="00DB64F2"/>
    <w:rsid w:val="00DB6985"/>
    <w:rsid w:val="00DB69BD"/>
    <w:rsid w:val="00DB6C3A"/>
    <w:rsid w:val="00DB74AD"/>
    <w:rsid w:val="00DB768F"/>
    <w:rsid w:val="00DB79C7"/>
    <w:rsid w:val="00DB7A60"/>
    <w:rsid w:val="00DB7B15"/>
    <w:rsid w:val="00DC0187"/>
    <w:rsid w:val="00DC02A6"/>
    <w:rsid w:val="00DC038D"/>
    <w:rsid w:val="00DC03F4"/>
    <w:rsid w:val="00DC0465"/>
    <w:rsid w:val="00DC057C"/>
    <w:rsid w:val="00DC090F"/>
    <w:rsid w:val="00DC0AEB"/>
    <w:rsid w:val="00DC11AC"/>
    <w:rsid w:val="00DC1277"/>
    <w:rsid w:val="00DC1DC0"/>
    <w:rsid w:val="00DC1E3D"/>
    <w:rsid w:val="00DC1FED"/>
    <w:rsid w:val="00DC2146"/>
    <w:rsid w:val="00DC21D5"/>
    <w:rsid w:val="00DC21E1"/>
    <w:rsid w:val="00DC2BB6"/>
    <w:rsid w:val="00DC2C86"/>
    <w:rsid w:val="00DC2CE3"/>
    <w:rsid w:val="00DC2FB7"/>
    <w:rsid w:val="00DC3288"/>
    <w:rsid w:val="00DC335F"/>
    <w:rsid w:val="00DC3893"/>
    <w:rsid w:val="00DC3AB0"/>
    <w:rsid w:val="00DC40A6"/>
    <w:rsid w:val="00DC40D3"/>
    <w:rsid w:val="00DC4225"/>
    <w:rsid w:val="00DC4411"/>
    <w:rsid w:val="00DC45C1"/>
    <w:rsid w:val="00DC497A"/>
    <w:rsid w:val="00DC4D8F"/>
    <w:rsid w:val="00DC4DBE"/>
    <w:rsid w:val="00DC4EDA"/>
    <w:rsid w:val="00DC52A0"/>
    <w:rsid w:val="00DC52E3"/>
    <w:rsid w:val="00DC531A"/>
    <w:rsid w:val="00DC5461"/>
    <w:rsid w:val="00DC55FF"/>
    <w:rsid w:val="00DC5673"/>
    <w:rsid w:val="00DC62DC"/>
    <w:rsid w:val="00DC6916"/>
    <w:rsid w:val="00DC6EA3"/>
    <w:rsid w:val="00DC6F0E"/>
    <w:rsid w:val="00DC70AD"/>
    <w:rsid w:val="00DC7231"/>
    <w:rsid w:val="00DC7665"/>
    <w:rsid w:val="00DC7731"/>
    <w:rsid w:val="00DC7773"/>
    <w:rsid w:val="00DC7C56"/>
    <w:rsid w:val="00DC7FAE"/>
    <w:rsid w:val="00DD0195"/>
    <w:rsid w:val="00DD0394"/>
    <w:rsid w:val="00DD057F"/>
    <w:rsid w:val="00DD0AC1"/>
    <w:rsid w:val="00DD0DBB"/>
    <w:rsid w:val="00DD0FE0"/>
    <w:rsid w:val="00DD11A3"/>
    <w:rsid w:val="00DD11B5"/>
    <w:rsid w:val="00DD19EF"/>
    <w:rsid w:val="00DD1AF2"/>
    <w:rsid w:val="00DD1E6E"/>
    <w:rsid w:val="00DD1FF6"/>
    <w:rsid w:val="00DD2C7C"/>
    <w:rsid w:val="00DD3074"/>
    <w:rsid w:val="00DD3559"/>
    <w:rsid w:val="00DD38D9"/>
    <w:rsid w:val="00DD3C6B"/>
    <w:rsid w:val="00DD3D71"/>
    <w:rsid w:val="00DD442A"/>
    <w:rsid w:val="00DD44A9"/>
    <w:rsid w:val="00DD468B"/>
    <w:rsid w:val="00DD4769"/>
    <w:rsid w:val="00DD4C9F"/>
    <w:rsid w:val="00DD4D21"/>
    <w:rsid w:val="00DD4F3A"/>
    <w:rsid w:val="00DD5040"/>
    <w:rsid w:val="00DD51EF"/>
    <w:rsid w:val="00DD5532"/>
    <w:rsid w:val="00DD5728"/>
    <w:rsid w:val="00DD5760"/>
    <w:rsid w:val="00DD57E1"/>
    <w:rsid w:val="00DD5D62"/>
    <w:rsid w:val="00DD5E3C"/>
    <w:rsid w:val="00DD5EB6"/>
    <w:rsid w:val="00DD66A2"/>
    <w:rsid w:val="00DD673E"/>
    <w:rsid w:val="00DD67B1"/>
    <w:rsid w:val="00DD698A"/>
    <w:rsid w:val="00DD69CE"/>
    <w:rsid w:val="00DD6F33"/>
    <w:rsid w:val="00DD7B49"/>
    <w:rsid w:val="00DE0297"/>
    <w:rsid w:val="00DE0311"/>
    <w:rsid w:val="00DE0321"/>
    <w:rsid w:val="00DE0343"/>
    <w:rsid w:val="00DE06AC"/>
    <w:rsid w:val="00DE0A0C"/>
    <w:rsid w:val="00DE0A1A"/>
    <w:rsid w:val="00DE0AA8"/>
    <w:rsid w:val="00DE0EEE"/>
    <w:rsid w:val="00DE0FCB"/>
    <w:rsid w:val="00DE105E"/>
    <w:rsid w:val="00DE11F0"/>
    <w:rsid w:val="00DE143A"/>
    <w:rsid w:val="00DE1501"/>
    <w:rsid w:val="00DE158A"/>
    <w:rsid w:val="00DE1C02"/>
    <w:rsid w:val="00DE1D74"/>
    <w:rsid w:val="00DE226E"/>
    <w:rsid w:val="00DE2401"/>
    <w:rsid w:val="00DE2D4D"/>
    <w:rsid w:val="00DE2DA6"/>
    <w:rsid w:val="00DE329B"/>
    <w:rsid w:val="00DE3AD9"/>
    <w:rsid w:val="00DE3B97"/>
    <w:rsid w:val="00DE3EC4"/>
    <w:rsid w:val="00DE4062"/>
    <w:rsid w:val="00DE435A"/>
    <w:rsid w:val="00DE4671"/>
    <w:rsid w:val="00DE47E5"/>
    <w:rsid w:val="00DE4BE2"/>
    <w:rsid w:val="00DE4C22"/>
    <w:rsid w:val="00DE4C55"/>
    <w:rsid w:val="00DE4FF1"/>
    <w:rsid w:val="00DE500F"/>
    <w:rsid w:val="00DE5023"/>
    <w:rsid w:val="00DE52A2"/>
    <w:rsid w:val="00DE56F8"/>
    <w:rsid w:val="00DE5A6C"/>
    <w:rsid w:val="00DE5AAE"/>
    <w:rsid w:val="00DE5B86"/>
    <w:rsid w:val="00DE5D37"/>
    <w:rsid w:val="00DE5F31"/>
    <w:rsid w:val="00DE61F8"/>
    <w:rsid w:val="00DE63FF"/>
    <w:rsid w:val="00DE665F"/>
    <w:rsid w:val="00DE6804"/>
    <w:rsid w:val="00DE69FD"/>
    <w:rsid w:val="00DE719F"/>
    <w:rsid w:val="00DE7341"/>
    <w:rsid w:val="00DE77F8"/>
    <w:rsid w:val="00DE7805"/>
    <w:rsid w:val="00DE7A7A"/>
    <w:rsid w:val="00DE7CA6"/>
    <w:rsid w:val="00DE7D93"/>
    <w:rsid w:val="00DF05BB"/>
    <w:rsid w:val="00DF0624"/>
    <w:rsid w:val="00DF0795"/>
    <w:rsid w:val="00DF0BF1"/>
    <w:rsid w:val="00DF0E96"/>
    <w:rsid w:val="00DF1057"/>
    <w:rsid w:val="00DF10F0"/>
    <w:rsid w:val="00DF11E5"/>
    <w:rsid w:val="00DF1252"/>
    <w:rsid w:val="00DF1401"/>
    <w:rsid w:val="00DF1946"/>
    <w:rsid w:val="00DF194B"/>
    <w:rsid w:val="00DF1ABD"/>
    <w:rsid w:val="00DF1D17"/>
    <w:rsid w:val="00DF1E3C"/>
    <w:rsid w:val="00DF2325"/>
    <w:rsid w:val="00DF27AC"/>
    <w:rsid w:val="00DF2A32"/>
    <w:rsid w:val="00DF2FFE"/>
    <w:rsid w:val="00DF34A8"/>
    <w:rsid w:val="00DF362C"/>
    <w:rsid w:val="00DF3744"/>
    <w:rsid w:val="00DF38F4"/>
    <w:rsid w:val="00DF3994"/>
    <w:rsid w:val="00DF3CD5"/>
    <w:rsid w:val="00DF3E4F"/>
    <w:rsid w:val="00DF4416"/>
    <w:rsid w:val="00DF44EC"/>
    <w:rsid w:val="00DF47B2"/>
    <w:rsid w:val="00DF4971"/>
    <w:rsid w:val="00DF4B79"/>
    <w:rsid w:val="00DF50BF"/>
    <w:rsid w:val="00DF51CE"/>
    <w:rsid w:val="00DF53D0"/>
    <w:rsid w:val="00DF5539"/>
    <w:rsid w:val="00DF5BE4"/>
    <w:rsid w:val="00DF5DE4"/>
    <w:rsid w:val="00DF5F9A"/>
    <w:rsid w:val="00DF62EB"/>
    <w:rsid w:val="00DF6C74"/>
    <w:rsid w:val="00DF6F18"/>
    <w:rsid w:val="00DF7201"/>
    <w:rsid w:val="00DF72D9"/>
    <w:rsid w:val="00DF771B"/>
    <w:rsid w:val="00DF78C3"/>
    <w:rsid w:val="00DF792A"/>
    <w:rsid w:val="00DF7D4E"/>
    <w:rsid w:val="00E00370"/>
    <w:rsid w:val="00E005F8"/>
    <w:rsid w:val="00E00661"/>
    <w:rsid w:val="00E006AE"/>
    <w:rsid w:val="00E00801"/>
    <w:rsid w:val="00E00A0C"/>
    <w:rsid w:val="00E00C05"/>
    <w:rsid w:val="00E015ED"/>
    <w:rsid w:val="00E01980"/>
    <w:rsid w:val="00E02175"/>
    <w:rsid w:val="00E022B9"/>
    <w:rsid w:val="00E02384"/>
    <w:rsid w:val="00E0245E"/>
    <w:rsid w:val="00E029FB"/>
    <w:rsid w:val="00E02BE6"/>
    <w:rsid w:val="00E02C64"/>
    <w:rsid w:val="00E02F74"/>
    <w:rsid w:val="00E02FD4"/>
    <w:rsid w:val="00E0325E"/>
    <w:rsid w:val="00E03496"/>
    <w:rsid w:val="00E03A0D"/>
    <w:rsid w:val="00E03B78"/>
    <w:rsid w:val="00E03C6E"/>
    <w:rsid w:val="00E04003"/>
    <w:rsid w:val="00E040A4"/>
    <w:rsid w:val="00E040CB"/>
    <w:rsid w:val="00E04119"/>
    <w:rsid w:val="00E041DE"/>
    <w:rsid w:val="00E04870"/>
    <w:rsid w:val="00E048D4"/>
    <w:rsid w:val="00E04D1B"/>
    <w:rsid w:val="00E04E48"/>
    <w:rsid w:val="00E051BB"/>
    <w:rsid w:val="00E0539A"/>
    <w:rsid w:val="00E056CB"/>
    <w:rsid w:val="00E05792"/>
    <w:rsid w:val="00E0583B"/>
    <w:rsid w:val="00E0586B"/>
    <w:rsid w:val="00E058AA"/>
    <w:rsid w:val="00E05FC4"/>
    <w:rsid w:val="00E06155"/>
    <w:rsid w:val="00E0617E"/>
    <w:rsid w:val="00E061E4"/>
    <w:rsid w:val="00E06375"/>
    <w:rsid w:val="00E0647A"/>
    <w:rsid w:val="00E0671A"/>
    <w:rsid w:val="00E067B7"/>
    <w:rsid w:val="00E06B6B"/>
    <w:rsid w:val="00E07289"/>
    <w:rsid w:val="00E07538"/>
    <w:rsid w:val="00E07553"/>
    <w:rsid w:val="00E076F5"/>
    <w:rsid w:val="00E1018E"/>
    <w:rsid w:val="00E102C1"/>
    <w:rsid w:val="00E10778"/>
    <w:rsid w:val="00E10931"/>
    <w:rsid w:val="00E10AF7"/>
    <w:rsid w:val="00E11087"/>
    <w:rsid w:val="00E112D4"/>
    <w:rsid w:val="00E11752"/>
    <w:rsid w:val="00E11985"/>
    <w:rsid w:val="00E11BC8"/>
    <w:rsid w:val="00E11F15"/>
    <w:rsid w:val="00E1219F"/>
    <w:rsid w:val="00E1288D"/>
    <w:rsid w:val="00E12B49"/>
    <w:rsid w:val="00E12E6F"/>
    <w:rsid w:val="00E12FB1"/>
    <w:rsid w:val="00E13285"/>
    <w:rsid w:val="00E1337B"/>
    <w:rsid w:val="00E13495"/>
    <w:rsid w:val="00E139C3"/>
    <w:rsid w:val="00E13C0B"/>
    <w:rsid w:val="00E13C0E"/>
    <w:rsid w:val="00E13D31"/>
    <w:rsid w:val="00E1423C"/>
    <w:rsid w:val="00E14832"/>
    <w:rsid w:val="00E14885"/>
    <w:rsid w:val="00E14D1A"/>
    <w:rsid w:val="00E14D6C"/>
    <w:rsid w:val="00E14E61"/>
    <w:rsid w:val="00E14ED0"/>
    <w:rsid w:val="00E14EE6"/>
    <w:rsid w:val="00E15306"/>
    <w:rsid w:val="00E153A4"/>
    <w:rsid w:val="00E153F5"/>
    <w:rsid w:val="00E15436"/>
    <w:rsid w:val="00E154F1"/>
    <w:rsid w:val="00E15531"/>
    <w:rsid w:val="00E155E4"/>
    <w:rsid w:val="00E156B6"/>
    <w:rsid w:val="00E15751"/>
    <w:rsid w:val="00E157ED"/>
    <w:rsid w:val="00E15916"/>
    <w:rsid w:val="00E15BAE"/>
    <w:rsid w:val="00E15F68"/>
    <w:rsid w:val="00E16C30"/>
    <w:rsid w:val="00E16C84"/>
    <w:rsid w:val="00E172DF"/>
    <w:rsid w:val="00E1743D"/>
    <w:rsid w:val="00E17970"/>
    <w:rsid w:val="00E17A0F"/>
    <w:rsid w:val="00E20223"/>
    <w:rsid w:val="00E204A7"/>
    <w:rsid w:val="00E2050C"/>
    <w:rsid w:val="00E20810"/>
    <w:rsid w:val="00E20CD9"/>
    <w:rsid w:val="00E2151E"/>
    <w:rsid w:val="00E21A1F"/>
    <w:rsid w:val="00E21B12"/>
    <w:rsid w:val="00E223FD"/>
    <w:rsid w:val="00E225DB"/>
    <w:rsid w:val="00E22693"/>
    <w:rsid w:val="00E22CCA"/>
    <w:rsid w:val="00E2306D"/>
    <w:rsid w:val="00E2317E"/>
    <w:rsid w:val="00E231A1"/>
    <w:rsid w:val="00E23754"/>
    <w:rsid w:val="00E23931"/>
    <w:rsid w:val="00E2399E"/>
    <w:rsid w:val="00E23ADC"/>
    <w:rsid w:val="00E23C28"/>
    <w:rsid w:val="00E240F2"/>
    <w:rsid w:val="00E2427C"/>
    <w:rsid w:val="00E243A9"/>
    <w:rsid w:val="00E243FC"/>
    <w:rsid w:val="00E24902"/>
    <w:rsid w:val="00E24F0E"/>
    <w:rsid w:val="00E25076"/>
    <w:rsid w:val="00E2531C"/>
    <w:rsid w:val="00E2549D"/>
    <w:rsid w:val="00E254B4"/>
    <w:rsid w:val="00E257F4"/>
    <w:rsid w:val="00E258AB"/>
    <w:rsid w:val="00E25B65"/>
    <w:rsid w:val="00E2605F"/>
    <w:rsid w:val="00E26328"/>
    <w:rsid w:val="00E263C0"/>
    <w:rsid w:val="00E26414"/>
    <w:rsid w:val="00E26790"/>
    <w:rsid w:val="00E26C43"/>
    <w:rsid w:val="00E2760F"/>
    <w:rsid w:val="00E27766"/>
    <w:rsid w:val="00E277B8"/>
    <w:rsid w:val="00E2788A"/>
    <w:rsid w:val="00E27AB0"/>
    <w:rsid w:val="00E27DE4"/>
    <w:rsid w:val="00E27F15"/>
    <w:rsid w:val="00E27FEA"/>
    <w:rsid w:val="00E30117"/>
    <w:rsid w:val="00E3028E"/>
    <w:rsid w:val="00E305F8"/>
    <w:rsid w:val="00E3081B"/>
    <w:rsid w:val="00E30A0F"/>
    <w:rsid w:val="00E30D4F"/>
    <w:rsid w:val="00E30D71"/>
    <w:rsid w:val="00E31113"/>
    <w:rsid w:val="00E31492"/>
    <w:rsid w:val="00E3158E"/>
    <w:rsid w:val="00E317F8"/>
    <w:rsid w:val="00E31CFA"/>
    <w:rsid w:val="00E31E37"/>
    <w:rsid w:val="00E32429"/>
    <w:rsid w:val="00E32BCE"/>
    <w:rsid w:val="00E32D32"/>
    <w:rsid w:val="00E33076"/>
    <w:rsid w:val="00E334A8"/>
    <w:rsid w:val="00E33752"/>
    <w:rsid w:val="00E337BE"/>
    <w:rsid w:val="00E33A59"/>
    <w:rsid w:val="00E33FC8"/>
    <w:rsid w:val="00E344C4"/>
    <w:rsid w:val="00E34656"/>
    <w:rsid w:val="00E34728"/>
    <w:rsid w:val="00E34782"/>
    <w:rsid w:val="00E3494F"/>
    <w:rsid w:val="00E34ED6"/>
    <w:rsid w:val="00E35533"/>
    <w:rsid w:val="00E35758"/>
    <w:rsid w:val="00E35A52"/>
    <w:rsid w:val="00E35C73"/>
    <w:rsid w:val="00E35EC5"/>
    <w:rsid w:val="00E36586"/>
    <w:rsid w:val="00E367CC"/>
    <w:rsid w:val="00E36B09"/>
    <w:rsid w:val="00E36B51"/>
    <w:rsid w:val="00E36E98"/>
    <w:rsid w:val="00E36EDE"/>
    <w:rsid w:val="00E371CB"/>
    <w:rsid w:val="00E371E3"/>
    <w:rsid w:val="00E3781A"/>
    <w:rsid w:val="00E37875"/>
    <w:rsid w:val="00E37BCF"/>
    <w:rsid w:val="00E37F03"/>
    <w:rsid w:val="00E40227"/>
    <w:rsid w:val="00E40359"/>
    <w:rsid w:val="00E40BA9"/>
    <w:rsid w:val="00E413B9"/>
    <w:rsid w:val="00E416BA"/>
    <w:rsid w:val="00E41CF0"/>
    <w:rsid w:val="00E4238B"/>
    <w:rsid w:val="00E424F2"/>
    <w:rsid w:val="00E42FB0"/>
    <w:rsid w:val="00E430E5"/>
    <w:rsid w:val="00E4314E"/>
    <w:rsid w:val="00E43214"/>
    <w:rsid w:val="00E43406"/>
    <w:rsid w:val="00E437A9"/>
    <w:rsid w:val="00E43C63"/>
    <w:rsid w:val="00E43CD0"/>
    <w:rsid w:val="00E440D6"/>
    <w:rsid w:val="00E4490B"/>
    <w:rsid w:val="00E4491A"/>
    <w:rsid w:val="00E45013"/>
    <w:rsid w:val="00E45141"/>
    <w:rsid w:val="00E45663"/>
    <w:rsid w:val="00E4580B"/>
    <w:rsid w:val="00E45935"/>
    <w:rsid w:val="00E45D02"/>
    <w:rsid w:val="00E45D50"/>
    <w:rsid w:val="00E46010"/>
    <w:rsid w:val="00E4603C"/>
    <w:rsid w:val="00E4612D"/>
    <w:rsid w:val="00E46257"/>
    <w:rsid w:val="00E4633F"/>
    <w:rsid w:val="00E4655A"/>
    <w:rsid w:val="00E46819"/>
    <w:rsid w:val="00E46A8E"/>
    <w:rsid w:val="00E46B35"/>
    <w:rsid w:val="00E46BA3"/>
    <w:rsid w:val="00E46D7B"/>
    <w:rsid w:val="00E46F3C"/>
    <w:rsid w:val="00E46F6E"/>
    <w:rsid w:val="00E47099"/>
    <w:rsid w:val="00E471F4"/>
    <w:rsid w:val="00E47953"/>
    <w:rsid w:val="00E47EDD"/>
    <w:rsid w:val="00E502EB"/>
    <w:rsid w:val="00E5044C"/>
    <w:rsid w:val="00E504C9"/>
    <w:rsid w:val="00E50544"/>
    <w:rsid w:val="00E505C2"/>
    <w:rsid w:val="00E505C8"/>
    <w:rsid w:val="00E5066F"/>
    <w:rsid w:val="00E50AF0"/>
    <w:rsid w:val="00E50B3E"/>
    <w:rsid w:val="00E50FE3"/>
    <w:rsid w:val="00E5138B"/>
    <w:rsid w:val="00E5158A"/>
    <w:rsid w:val="00E51678"/>
    <w:rsid w:val="00E517B1"/>
    <w:rsid w:val="00E52212"/>
    <w:rsid w:val="00E523CD"/>
    <w:rsid w:val="00E523D4"/>
    <w:rsid w:val="00E5240A"/>
    <w:rsid w:val="00E527B8"/>
    <w:rsid w:val="00E52873"/>
    <w:rsid w:val="00E52926"/>
    <w:rsid w:val="00E52AF1"/>
    <w:rsid w:val="00E52BD1"/>
    <w:rsid w:val="00E52E7A"/>
    <w:rsid w:val="00E52EAF"/>
    <w:rsid w:val="00E52EEF"/>
    <w:rsid w:val="00E53068"/>
    <w:rsid w:val="00E53492"/>
    <w:rsid w:val="00E53D23"/>
    <w:rsid w:val="00E53D5E"/>
    <w:rsid w:val="00E53E0A"/>
    <w:rsid w:val="00E54087"/>
    <w:rsid w:val="00E5413F"/>
    <w:rsid w:val="00E54180"/>
    <w:rsid w:val="00E546AD"/>
    <w:rsid w:val="00E54A6D"/>
    <w:rsid w:val="00E54B1F"/>
    <w:rsid w:val="00E54DF2"/>
    <w:rsid w:val="00E5507A"/>
    <w:rsid w:val="00E550E1"/>
    <w:rsid w:val="00E5562E"/>
    <w:rsid w:val="00E55850"/>
    <w:rsid w:val="00E55B7C"/>
    <w:rsid w:val="00E561E6"/>
    <w:rsid w:val="00E5670D"/>
    <w:rsid w:val="00E56953"/>
    <w:rsid w:val="00E56AAA"/>
    <w:rsid w:val="00E56C00"/>
    <w:rsid w:val="00E5717A"/>
    <w:rsid w:val="00E57641"/>
    <w:rsid w:val="00E5768C"/>
    <w:rsid w:val="00E578AC"/>
    <w:rsid w:val="00E57BBA"/>
    <w:rsid w:val="00E60025"/>
    <w:rsid w:val="00E600EC"/>
    <w:rsid w:val="00E601E3"/>
    <w:rsid w:val="00E6048E"/>
    <w:rsid w:val="00E60C6D"/>
    <w:rsid w:val="00E60E2E"/>
    <w:rsid w:val="00E60F0A"/>
    <w:rsid w:val="00E6155B"/>
    <w:rsid w:val="00E61680"/>
    <w:rsid w:val="00E619D7"/>
    <w:rsid w:val="00E61A37"/>
    <w:rsid w:val="00E620FB"/>
    <w:rsid w:val="00E623B4"/>
    <w:rsid w:val="00E626E6"/>
    <w:rsid w:val="00E62B66"/>
    <w:rsid w:val="00E62BDB"/>
    <w:rsid w:val="00E62D9B"/>
    <w:rsid w:val="00E631B1"/>
    <w:rsid w:val="00E63299"/>
    <w:rsid w:val="00E6363F"/>
    <w:rsid w:val="00E637A6"/>
    <w:rsid w:val="00E637ED"/>
    <w:rsid w:val="00E6385C"/>
    <w:rsid w:val="00E63A18"/>
    <w:rsid w:val="00E63C11"/>
    <w:rsid w:val="00E63E89"/>
    <w:rsid w:val="00E6463D"/>
    <w:rsid w:val="00E64C77"/>
    <w:rsid w:val="00E64EB3"/>
    <w:rsid w:val="00E64F8B"/>
    <w:rsid w:val="00E651B0"/>
    <w:rsid w:val="00E65217"/>
    <w:rsid w:val="00E65493"/>
    <w:rsid w:val="00E656F8"/>
    <w:rsid w:val="00E6579E"/>
    <w:rsid w:val="00E65808"/>
    <w:rsid w:val="00E6584E"/>
    <w:rsid w:val="00E65853"/>
    <w:rsid w:val="00E65FAD"/>
    <w:rsid w:val="00E6642E"/>
    <w:rsid w:val="00E66657"/>
    <w:rsid w:val="00E666C6"/>
    <w:rsid w:val="00E668D6"/>
    <w:rsid w:val="00E66A0C"/>
    <w:rsid w:val="00E66A77"/>
    <w:rsid w:val="00E66AE8"/>
    <w:rsid w:val="00E66B36"/>
    <w:rsid w:val="00E66DA4"/>
    <w:rsid w:val="00E66F0A"/>
    <w:rsid w:val="00E66F57"/>
    <w:rsid w:val="00E67197"/>
    <w:rsid w:val="00E675E3"/>
    <w:rsid w:val="00E6778D"/>
    <w:rsid w:val="00E67B3B"/>
    <w:rsid w:val="00E67D14"/>
    <w:rsid w:val="00E67E38"/>
    <w:rsid w:val="00E67E7C"/>
    <w:rsid w:val="00E67EEC"/>
    <w:rsid w:val="00E70178"/>
    <w:rsid w:val="00E70302"/>
    <w:rsid w:val="00E70826"/>
    <w:rsid w:val="00E70A18"/>
    <w:rsid w:val="00E70AF0"/>
    <w:rsid w:val="00E70B1F"/>
    <w:rsid w:val="00E70F48"/>
    <w:rsid w:val="00E71810"/>
    <w:rsid w:val="00E71943"/>
    <w:rsid w:val="00E71C57"/>
    <w:rsid w:val="00E722E2"/>
    <w:rsid w:val="00E728A2"/>
    <w:rsid w:val="00E72A18"/>
    <w:rsid w:val="00E72FCE"/>
    <w:rsid w:val="00E731BF"/>
    <w:rsid w:val="00E73485"/>
    <w:rsid w:val="00E738A2"/>
    <w:rsid w:val="00E73BFD"/>
    <w:rsid w:val="00E73C12"/>
    <w:rsid w:val="00E73C70"/>
    <w:rsid w:val="00E73CCD"/>
    <w:rsid w:val="00E73FED"/>
    <w:rsid w:val="00E7402C"/>
    <w:rsid w:val="00E74670"/>
    <w:rsid w:val="00E74689"/>
    <w:rsid w:val="00E74779"/>
    <w:rsid w:val="00E748D3"/>
    <w:rsid w:val="00E74A07"/>
    <w:rsid w:val="00E74C51"/>
    <w:rsid w:val="00E75067"/>
    <w:rsid w:val="00E752A3"/>
    <w:rsid w:val="00E75380"/>
    <w:rsid w:val="00E75400"/>
    <w:rsid w:val="00E75551"/>
    <w:rsid w:val="00E75743"/>
    <w:rsid w:val="00E75C18"/>
    <w:rsid w:val="00E75C62"/>
    <w:rsid w:val="00E75F0A"/>
    <w:rsid w:val="00E76292"/>
    <w:rsid w:val="00E76325"/>
    <w:rsid w:val="00E764C9"/>
    <w:rsid w:val="00E76B89"/>
    <w:rsid w:val="00E76C33"/>
    <w:rsid w:val="00E774B4"/>
    <w:rsid w:val="00E77639"/>
    <w:rsid w:val="00E77686"/>
    <w:rsid w:val="00E776EC"/>
    <w:rsid w:val="00E777A4"/>
    <w:rsid w:val="00E77A3F"/>
    <w:rsid w:val="00E80091"/>
    <w:rsid w:val="00E800CE"/>
    <w:rsid w:val="00E80382"/>
    <w:rsid w:val="00E8049C"/>
    <w:rsid w:val="00E80862"/>
    <w:rsid w:val="00E80A53"/>
    <w:rsid w:val="00E8107D"/>
    <w:rsid w:val="00E8114C"/>
    <w:rsid w:val="00E81236"/>
    <w:rsid w:val="00E813D9"/>
    <w:rsid w:val="00E81590"/>
    <w:rsid w:val="00E8168E"/>
    <w:rsid w:val="00E818FB"/>
    <w:rsid w:val="00E81D31"/>
    <w:rsid w:val="00E81EC2"/>
    <w:rsid w:val="00E82753"/>
    <w:rsid w:val="00E82828"/>
    <w:rsid w:val="00E82C62"/>
    <w:rsid w:val="00E8312F"/>
    <w:rsid w:val="00E83DDD"/>
    <w:rsid w:val="00E83F74"/>
    <w:rsid w:val="00E840C4"/>
    <w:rsid w:val="00E8424A"/>
    <w:rsid w:val="00E8428A"/>
    <w:rsid w:val="00E8428C"/>
    <w:rsid w:val="00E8429D"/>
    <w:rsid w:val="00E84510"/>
    <w:rsid w:val="00E84797"/>
    <w:rsid w:val="00E85302"/>
    <w:rsid w:val="00E85536"/>
    <w:rsid w:val="00E85582"/>
    <w:rsid w:val="00E85736"/>
    <w:rsid w:val="00E8590B"/>
    <w:rsid w:val="00E86412"/>
    <w:rsid w:val="00E8644A"/>
    <w:rsid w:val="00E869C8"/>
    <w:rsid w:val="00E86EB1"/>
    <w:rsid w:val="00E872A0"/>
    <w:rsid w:val="00E873BA"/>
    <w:rsid w:val="00E874D7"/>
    <w:rsid w:val="00E87891"/>
    <w:rsid w:val="00E87A27"/>
    <w:rsid w:val="00E87B58"/>
    <w:rsid w:val="00E87CC2"/>
    <w:rsid w:val="00E87CE1"/>
    <w:rsid w:val="00E87E83"/>
    <w:rsid w:val="00E90087"/>
    <w:rsid w:val="00E900F1"/>
    <w:rsid w:val="00E903BA"/>
    <w:rsid w:val="00E90447"/>
    <w:rsid w:val="00E9055F"/>
    <w:rsid w:val="00E9077E"/>
    <w:rsid w:val="00E909C6"/>
    <w:rsid w:val="00E90FA6"/>
    <w:rsid w:val="00E91117"/>
    <w:rsid w:val="00E912A7"/>
    <w:rsid w:val="00E91524"/>
    <w:rsid w:val="00E91525"/>
    <w:rsid w:val="00E915EF"/>
    <w:rsid w:val="00E9165A"/>
    <w:rsid w:val="00E91708"/>
    <w:rsid w:val="00E917C5"/>
    <w:rsid w:val="00E91B40"/>
    <w:rsid w:val="00E91C70"/>
    <w:rsid w:val="00E91E31"/>
    <w:rsid w:val="00E92008"/>
    <w:rsid w:val="00E92327"/>
    <w:rsid w:val="00E92455"/>
    <w:rsid w:val="00E92B7C"/>
    <w:rsid w:val="00E92D64"/>
    <w:rsid w:val="00E932DD"/>
    <w:rsid w:val="00E93323"/>
    <w:rsid w:val="00E9347D"/>
    <w:rsid w:val="00E935D7"/>
    <w:rsid w:val="00E93670"/>
    <w:rsid w:val="00E937BF"/>
    <w:rsid w:val="00E93878"/>
    <w:rsid w:val="00E93892"/>
    <w:rsid w:val="00E93A66"/>
    <w:rsid w:val="00E93ADB"/>
    <w:rsid w:val="00E93DBD"/>
    <w:rsid w:val="00E9457C"/>
    <w:rsid w:val="00E95524"/>
    <w:rsid w:val="00E95573"/>
    <w:rsid w:val="00E95AE1"/>
    <w:rsid w:val="00E95F89"/>
    <w:rsid w:val="00E9639F"/>
    <w:rsid w:val="00E96B98"/>
    <w:rsid w:val="00E96F4C"/>
    <w:rsid w:val="00E97237"/>
    <w:rsid w:val="00E97579"/>
    <w:rsid w:val="00E976C2"/>
    <w:rsid w:val="00E977F2"/>
    <w:rsid w:val="00E97A82"/>
    <w:rsid w:val="00E97B2A"/>
    <w:rsid w:val="00E97DE7"/>
    <w:rsid w:val="00E97EDA"/>
    <w:rsid w:val="00EA012E"/>
    <w:rsid w:val="00EA067A"/>
    <w:rsid w:val="00EA0A83"/>
    <w:rsid w:val="00EA0D1A"/>
    <w:rsid w:val="00EA0ED4"/>
    <w:rsid w:val="00EA1166"/>
    <w:rsid w:val="00EA14FA"/>
    <w:rsid w:val="00EA1AA9"/>
    <w:rsid w:val="00EA1F6F"/>
    <w:rsid w:val="00EA23A4"/>
    <w:rsid w:val="00EA268F"/>
    <w:rsid w:val="00EA26F5"/>
    <w:rsid w:val="00EA2C29"/>
    <w:rsid w:val="00EA2FA6"/>
    <w:rsid w:val="00EA303F"/>
    <w:rsid w:val="00EA3400"/>
    <w:rsid w:val="00EA3407"/>
    <w:rsid w:val="00EA3F89"/>
    <w:rsid w:val="00EA47A7"/>
    <w:rsid w:val="00EA47F4"/>
    <w:rsid w:val="00EA48F2"/>
    <w:rsid w:val="00EA4971"/>
    <w:rsid w:val="00EA4A14"/>
    <w:rsid w:val="00EA4A33"/>
    <w:rsid w:val="00EA4B85"/>
    <w:rsid w:val="00EA57DD"/>
    <w:rsid w:val="00EA5B7B"/>
    <w:rsid w:val="00EA5D3D"/>
    <w:rsid w:val="00EA5E5D"/>
    <w:rsid w:val="00EA5E97"/>
    <w:rsid w:val="00EA62F8"/>
    <w:rsid w:val="00EA6543"/>
    <w:rsid w:val="00EA65D7"/>
    <w:rsid w:val="00EA6815"/>
    <w:rsid w:val="00EA68E1"/>
    <w:rsid w:val="00EA6D49"/>
    <w:rsid w:val="00EA7093"/>
    <w:rsid w:val="00EA70C7"/>
    <w:rsid w:val="00EA73DD"/>
    <w:rsid w:val="00EA7540"/>
    <w:rsid w:val="00EA7645"/>
    <w:rsid w:val="00EA788B"/>
    <w:rsid w:val="00EA7B00"/>
    <w:rsid w:val="00EA7B30"/>
    <w:rsid w:val="00EA7BEA"/>
    <w:rsid w:val="00EB0116"/>
    <w:rsid w:val="00EB0384"/>
    <w:rsid w:val="00EB0789"/>
    <w:rsid w:val="00EB0A52"/>
    <w:rsid w:val="00EB13C0"/>
    <w:rsid w:val="00EB1462"/>
    <w:rsid w:val="00EB149D"/>
    <w:rsid w:val="00EB15C3"/>
    <w:rsid w:val="00EB1AAA"/>
    <w:rsid w:val="00EB1C19"/>
    <w:rsid w:val="00EB1EFC"/>
    <w:rsid w:val="00EB2212"/>
    <w:rsid w:val="00EB2546"/>
    <w:rsid w:val="00EB26EF"/>
    <w:rsid w:val="00EB2816"/>
    <w:rsid w:val="00EB2868"/>
    <w:rsid w:val="00EB2917"/>
    <w:rsid w:val="00EB2A70"/>
    <w:rsid w:val="00EB2CFA"/>
    <w:rsid w:val="00EB2F54"/>
    <w:rsid w:val="00EB3135"/>
    <w:rsid w:val="00EB35EA"/>
    <w:rsid w:val="00EB3A3E"/>
    <w:rsid w:val="00EB3C5E"/>
    <w:rsid w:val="00EB3C9C"/>
    <w:rsid w:val="00EB3D36"/>
    <w:rsid w:val="00EB3ED7"/>
    <w:rsid w:val="00EB4039"/>
    <w:rsid w:val="00EB4131"/>
    <w:rsid w:val="00EB41EA"/>
    <w:rsid w:val="00EB4352"/>
    <w:rsid w:val="00EB49BF"/>
    <w:rsid w:val="00EB4C16"/>
    <w:rsid w:val="00EB4CF3"/>
    <w:rsid w:val="00EB4DFE"/>
    <w:rsid w:val="00EB5434"/>
    <w:rsid w:val="00EB5ED8"/>
    <w:rsid w:val="00EB6287"/>
    <w:rsid w:val="00EB6299"/>
    <w:rsid w:val="00EB6679"/>
    <w:rsid w:val="00EB67D9"/>
    <w:rsid w:val="00EB6959"/>
    <w:rsid w:val="00EB6DB5"/>
    <w:rsid w:val="00EB71AA"/>
    <w:rsid w:val="00EB72C7"/>
    <w:rsid w:val="00EB7A48"/>
    <w:rsid w:val="00EB7AFE"/>
    <w:rsid w:val="00EB7BCF"/>
    <w:rsid w:val="00EB7EDE"/>
    <w:rsid w:val="00EC04B3"/>
    <w:rsid w:val="00EC059C"/>
    <w:rsid w:val="00EC067A"/>
    <w:rsid w:val="00EC097A"/>
    <w:rsid w:val="00EC0AC7"/>
    <w:rsid w:val="00EC0C42"/>
    <w:rsid w:val="00EC0C7D"/>
    <w:rsid w:val="00EC0E3B"/>
    <w:rsid w:val="00EC0FBB"/>
    <w:rsid w:val="00EC11BB"/>
    <w:rsid w:val="00EC1282"/>
    <w:rsid w:val="00EC164E"/>
    <w:rsid w:val="00EC176D"/>
    <w:rsid w:val="00EC19DB"/>
    <w:rsid w:val="00EC1B55"/>
    <w:rsid w:val="00EC1C84"/>
    <w:rsid w:val="00EC1E66"/>
    <w:rsid w:val="00EC1F3E"/>
    <w:rsid w:val="00EC2570"/>
    <w:rsid w:val="00EC25F0"/>
    <w:rsid w:val="00EC2624"/>
    <w:rsid w:val="00EC265D"/>
    <w:rsid w:val="00EC28BA"/>
    <w:rsid w:val="00EC2B01"/>
    <w:rsid w:val="00EC2D42"/>
    <w:rsid w:val="00EC2E89"/>
    <w:rsid w:val="00EC3423"/>
    <w:rsid w:val="00EC36AF"/>
    <w:rsid w:val="00EC36E8"/>
    <w:rsid w:val="00EC382C"/>
    <w:rsid w:val="00EC3BEA"/>
    <w:rsid w:val="00EC3C15"/>
    <w:rsid w:val="00EC3C81"/>
    <w:rsid w:val="00EC3D62"/>
    <w:rsid w:val="00EC3D79"/>
    <w:rsid w:val="00EC3F0E"/>
    <w:rsid w:val="00EC3FA8"/>
    <w:rsid w:val="00EC40B8"/>
    <w:rsid w:val="00EC42BA"/>
    <w:rsid w:val="00EC42BE"/>
    <w:rsid w:val="00EC4355"/>
    <w:rsid w:val="00EC43DB"/>
    <w:rsid w:val="00EC4826"/>
    <w:rsid w:val="00EC4B07"/>
    <w:rsid w:val="00EC4E5A"/>
    <w:rsid w:val="00EC532F"/>
    <w:rsid w:val="00EC5453"/>
    <w:rsid w:val="00EC57BE"/>
    <w:rsid w:val="00EC5819"/>
    <w:rsid w:val="00EC583C"/>
    <w:rsid w:val="00EC5AB4"/>
    <w:rsid w:val="00EC5D49"/>
    <w:rsid w:val="00EC6118"/>
    <w:rsid w:val="00EC639E"/>
    <w:rsid w:val="00EC659C"/>
    <w:rsid w:val="00EC6617"/>
    <w:rsid w:val="00EC672D"/>
    <w:rsid w:val="00EC67A0"/>
    <w:rsid w:val="00EC68EF"/>
    <w:rsid w:val="00EC6D0D"/>
    <w:rsid w:val="00EC701B"/>
    <w:rsid w:val="00EC71A2"/>
    <w:rsid w:val="00EC72C6"/>
    <w:rsid w:val="00EC72E4"/>
    <w:rsid w:val="00EC738D"/>
    <w:rsid w:val="00EC7952"/>
    <w:rsid w:val="00EC79A4"/>
    <w:rsid w:val="00EC7A8E"/>
    <w:rsid w:val="00EC7BD3"/>
    <w:rsid w:val="00EC7E35"/>
    <w:rsid w:val="00ED009D"/>
    <w:rsid w:val="00ED00ED"/>
    <w:rsid w:val="00ED01FC"/>
    <w:rsid w:val="00ED02D2"/>
    <w:rsid w:val="00ED0569"/>
    <w:rsid w:val="00ED09CB"/>
    <w:rsid w:val="00ED09DF"/>
    <w:rsid w:val="00ED0A5C"/>
    <w:rsid w:val="00ED0F34"/>
    <w:rsid w:val="00ED0F77"/>
    <w:rsid w:val="00ED136E"/>
    <w:rsid w:val="00ED158C"/>
    <w:rsid w:val="00ED1974"/>
    <w:rsid w:val="00ED1DA8"/>
    <w:rsid w:val="00ED1EC7"/>
    <w:rsid w:val="00ED2C26"/>
    <w:rsid w:val="00ED2F19"/>
    <w:rsid w:val="00ED2FF9"/>
    <w:rsid w:val="00ED3116"/>
    <w:rsid w:val="00ED3A26"/>
    <w:rsid w:val="00ED3A64"/>
    <w:rsid w:val="00ED3EC3"/>
    <w:rsid w:val="00ED482B"/>
    <w:rsid w:val="00ED4AC0"/>
    <w:rsid w:val="00ED4BA2"/>
    <w:rsid w:val="00ED5123"/>
    <w:rsid w:val="00ED51E5"/>
    <w:rsid w:val="00ED52F7"/>
    <w:rsid w:val="00ED5520"/>
    <w:rsid w:val="00ED565F"/>
    <w:rsid w:val="00ED5CE5"/>
    <w:rsid w:val="00ED5FBA"/>
    <w:rsid w:val="00ED6055"/>
    <w:rsid w:val="00ED6264"/>
    <w:rsid w:val="00ED65E5"/>
    <w:rsid w:val="00ED66E9"/>
    <w:rsid w:val="00ED6C27"/>
    <w:rsid w:val="00ED6E8C"/>
    <w:rsid w:val="00ED6ED8"/>
    <w:rsid w:val="00ED6F45"/>
    <w:rsid w:val="00ED7173"/>
    <w:rsid w:val="00ED789D"/>
    <w:rsid w:val="00ED78AC"/>
    <w:rsid w:val="00ED791C"/>
    <w:rsid w:val="00ED7F5D"/>
    <w:rsid w:val="00EE0278"/>
    <w:rsid w:val="00EE0BBF"/>
    <w:rsid w:val="00EE0D43"/>
    <w:rsid w:val="00EE0EB5"/>
    <w:rsid w:val="00EE0F81"/>
    <w:rsid w:val="00EE14E6"/>
    <w:rsid w:val="00EE191B"/>
    <w:rsid w:val="00EE1925"/>
    <w:rsid w:val="00EE1B7A"/>
    <w:rsid w:val="00EE1CA0"/>
    <w:rsid w:val="00EE1EE4"/>
    <w:rsid w:val="00EE20FE"/>
    <w:rsid w:val="00EE2225"/>
    <w:rsid w:val="00EE23BD"/>
    <w:rsid w:val="00EE24C1"/>
    <w:rsid w:val="00EE27F4"/>
    <w:rsid w:val="00EE2BFD"/>
    <w:rsid w:val="00EE2F3B"/>
    <w:rsid w:val="00EE304D"/>
    <w:rsid w:val="00EE3263"/>
    <w:rsid w:val="00EE38C7"/>
    <w:rsid w:val="00EE3B75"/>
    <w:rsid w:val="00EE3E6A"/>
    <w:rsid w:val="00EE40E6"/>
    <w:rsid w:val="00EE4701"/>
    <w:rsid w:val="00EE4C0F"/>
    <w:rsid w:val="00EE4FF2"/>
    <w:rsid w:val="00EE501D"/>
    <w:rsid w:val="00EE521C"/>
    <w:rsid w:val="00EE52F6"/>
    <w:rsid w:val="00EE549A"/>
    <w:rsid w:val="00EE58C4"/>
    <w:rsid w:val="00EE58F5"/>
    <w:rsid w:val="00EE5AC3"/>
    <w:rsid w:val="00EE5FA9"/>
    <w:rsid w:val="00EE6350"/>
    <w:rsid w:val="00EE6574"/>
    <w:rsid w:val="00EE6649"/>
    <w:rsid w:val="00EE6A29"/>
    <w:rsid w:val="00EE6AC0"/>
    <w:rsid w:val="00EE6C44"/>
    <w:rsid w:val="00EE752D"/>
    <w:rsid w:val="00EE7748"/>
    <w:rsid w:val="00EE7832"/>
    <w:rsid w:val="00EE7A63"/>
    <w:rsid w:val="00EE7CB7"/>
    <w:rsid w:val="00EE7FE4"/>
    <w:rsid w:val="00EF03A7"/>
    <w:rsid w:val="00EF10B6"/>
    <w:rsid w:val="00EF1594"/>
    <w:rsid w:val="00EF1610"/>
    <w:rsid w:val="00EF16CC"/>
    <w:rsid w:val="00EF1E94"/>
    <w:rsid w:val="00EF1EA7"/>
    <w:rsid w:val="00EF1F48"/>
    <w:rsid w:val="00EF22D6"/>
    <w:rsid w:val="00EF2428"/>
    <w:rsid w:val="00EF2AEC"/>
    <w:rsid w:val="00EF2D36"/>
    <w:rsid w:val="00EF3576"/>
    <w:rsid w:val="00EF37B0"/>
    <w:rsid w:val="00EF3983"/>
    <w:rsid w:val="00EF3A54"/>
    <w:rsid w:val="00EF3C5E"/>
    <w:rsid w:val="00EF427F"/>
    <w:rsid w:val="00EF4378"/>
    <w:rsid w:val="00EF45D5"/>
    <w:rsid w:val="00EF4893"/>
    <w:rsid w:val="00EF4ADE"/>
    <w:rsid w:val="00EF4B5B"/>
    <w:rsid w:val="00EF4E04"/>
    <w:rsid w:val="00EF55B9"/>
    <w:rsid w:val="00EF5843"/>
    <w:rsid w:val="00EF5908"/>
    <w:rsid w:val="00EF5924"/>
    <w:rsid w:val="00EF61E0"/>
    <w:rsid w:val="00EF68CA"/>
    <w:rsid w:val="00EF6CA3"/>
    <w:rsid w:val="00EF6E2D"/>
    <w:rsid w:val="00EF6E4F"/>
    <w:rsid w:val="00EF6E9F"/>
    <w:rsid w:val="00EF6EB4"/>
    <w:rsid w:val="00EF712D"/>
    <w:rsid w:val="00EF7358"/>
    <w:rsid w:val="00EF74DA"/>
    <w:rsid w:val="00EF74E4"/>
    <w:rsid w:val="00EF7A63"/>
    <w:rsid w:val="00EF7B94"/>
    <w:rsid w:val="00EF7E27"/>
    <w:rsid w:val="00F0009B"/>
    <w:rsid w:val="00F0039B"/>
    <w:rsid w:val="00F00826"/>
    <w:rsid w:val="00F00DA8"/>
    <w:rsid w:val="00F010FF"/>
    <w:rsid w:val="00F0138F"/>
    <w:rsid w:val="00F01A1F"/>
    <w:rsid w:val="00F01DD4"/>
    <w:rsid w:val="00F020F5"/>
    <w:rsid w:val="00F0239C"/>
    <w:rsid w:val="00F0246E"/>
    <w:rsid w:val="00F02A72"/>
    <w:rsid w:val="00F02AF5"/>
    <w:rsid w:val="00F02DAD"/>
    <w:rsid w:val="00F031AF"/>
    <w:rsid w:val="00F03720"/>
    <w:rsid w:val="00F03971"/>
    <w:rsid w:val="00F03E20"/>
    <w:rsid w:val="00F03F5D"/>
    <w:rsid w:val="00F041EB"/>
    <w:rsid w:val="00F0422E"/>
    <w:rsid w:val="00F047B2"/>
    <w:rsid w:val="00F0492A"/>
    <w:rsid w:val="00F04A91"/>
    <w:rsid w:val="00F04B5D"/>
    <w:rsid w:val="00F04EE3"/>
    <w:rsid w:val="00F053C0"/>
    <w:rsid w:val="00F0600F"/>
    <w:rsid w:val="00F06086"/>
    <w:rsid w:val="00F062A2"/>
    <w:rsid w:val="00F064AF"/>
    <w:rsid w:val="00F06D95"/>
    <w:rsid w:val="00F06E2B"/>
    <w:rsid w:val="00F06E40"/>
    <w:rsid w:val="00F06EA7"/>
    <w:rsid w:val="00F075A2"/>
    <w:rsid w:val="00F075B3"/>
    <w:rsid w:val="00F0777B"/>
    <w:rsid w:val="00F0779C"/>
    <w:rsid w:val="00F07ECF"/>
    <w:rsid w:val="00F07F4F"/>
    <w:rsid w:val="00F100FB"/>
    <w:rsid w:val="00F10452"/>
    <w:rsid w:val="00F10AFA"/>
    <w:rsid w:val="00F10BB9"/>
    <w:rsid w:val="00F10C0E"/>
    <w:rsid w:val="00F10CEA"/>
    <w:rsid w:val="00F10CF0"/>
    <w:rsid w:val="00F10DF2"/>
    <w:rsid w:val="00F10F12"/>
    <w:rsid w:val="00F114C8"/>
    <w:rsid w:val="00F11668"/>
    <w:rsid w:val="00F11E18"/>
    <w:rsid w:val="00F11E6A"/>
    <w:rsid w:val="00F12317"/>
    <w:rsid w:val="00F12381"/>
    <w:rsid w:val="00F12392"/>
    <w:rsid w:val="00F12528"/>
    <w:rsid w:val="00F125F2"/>
    <w:rsid w:val="00F12802"/>
    <w:rsid w:val="00F1283F"/>
    <w:rsid w:val="00F12CF2"/>
    <w:rsid w:val="00F1314F"/>
    <w:rsid w:val="00F1356D"/>
    <w:rsid w:val="00F1405E"/>
    <w:rsid w:val="00F14291"/>
    <w:rsid w:val="00F146B1"/>
    <w:rsid w:val="00F146D0"/>
    <w:rsid w:val="00F1491C"/>
    <w:rsid w:val="00F14923"/>
    <w:rsid w:val="00F14BE1"/>
    <w:rsid w:val="00F14CB3"/>
    <w:rsid w:val="00F15867"/>
    <w:rsid w:val="00F15B42"/>
    <w:rsid w:val="00F15BF5"/>
    <w:rsid w:val="00F15CA2"/>
    <w:rsid w:val="00F15EF5"/>
    <w:rsid w:val="00F15F54"/>
    <w:rsid w:val="00F15FF3"/>
    <w:rsid w:val="00F1633C"/>
    <w:rsid w:val="00F166EE"/>
    <w:rsid w:val="00F1675D"/>
    <w:rsid w:val="00F168E6"/>
    <w:rsid w:val="00F16906"/>
    <w:rsid w:val="00F16976"/>
    <w:rsid w:val="00F16A43"/>
    <w:rsid w:val="00F16C5C"/>
    <w:rsid w:val="00F16D01"/>
    <w:rsid w:val="00F17121"/>
    <w:rsid w:val="00F17642"/>
    <w:rsid w:val="00F1768A"/>
    <w:rsid w:val="00F17761"/>
    <w:rsid w:val="00F1792A"/>
    <w:rsid w:val="00F17E92"/>
    <w:rsid w:val="00F2018B"/>
    <w:rsid w:val="00F204AE"/>
    <w:rsid w:val="00F20710"/>
    <w:rsid w:val="00F20755"/>
    <w:rsid w:val="00F207B4"/>
    <w:rsid w:val="00F20A05"/>
    <w:rsid w:val="00F20A39"/>
    <w:rsid w:val="00F21487"/>
    <w:rsid w:val="00F216D0"/>
    <w:rsid w:val="00F2170C"/>
    <w:rsid w:val="00F21B29"/>
    <w:rsid w:val="00F21D6F"/>
    <w:rsid w:val="00F22170"/>
    <w:rsid w:val="00F2224E"/>
    <w:rsid w:val="00F222AA"/>
    <w:rsid w:val="00F22876"/>
    <w:rsid w:val="00F22B2A"/>
    <w:rsid w:val="00F22E04"/>
    <w:rsid w:val="00F22F1C"/>
    <w:rsid w:val="00F230DA"/>
    <w:rsid w:val="00F2319F"/>
    <w:rsid w:val="00F2363B"/>
    <w:rsid w:val="00F2375E"/>
    <w:rsid w:val="00F237CC"/>
    <w:rsid w:val="00F2385F"/>
    <w:rsid w:val="00F23901"/>
    <w:rsid w:val="00F23B71"/>
    <w:rsid w:val="00F23C4F"/>
    <w:rsid w:val="00F23E58"/>
    <w:rsid w:val="00F23F40"/>
    <w:rsid w:val="00F24131"/>
    <w:rsid w:val="00F241EE"/>
    <w:rsid w:val="00F24440"/>
    <w:rsid w:val="00F2472F"/>
    <w:rsid w:val="00F2496D"/>
    <w:rsid w:val="00F24F1B"/>
    <w:rsid w:val="00F254BD"/>
    <w:rsid w:val="00F25E20"/>
    <w:rsid w:val="00F262D3"/>
    <w:rsid w:val="00F263CE"/>
    <w:rsid w:val="00F269CF"/>
    <w:rsid w:val="00F26A45"/>
    <w:rsid w:val="00F26CC3"/>
    <w:rsid w:val="00F26E1F"/>
    <w:rsid w:val="00F27244"/>
    <w:rsid w:val="00F2733D"/>
    <w:rsid w:val="00F274A4"/>
    <w:rsid w:val="00F2753E"/>
    <w:rsid w:val="00F2779C"/>
    <w:rsid w:val="00F277D5"/>
    <w:rsid w:val="00F277FB"/>
    <w:rsid w:val="00F27DE8"/>
    <w:rsid w:val="00F27EDB"/>
    <w:rsid w:val="00F30656"/>
    <w:rsid w:val="00F306B9"/>
    <w:rsid w:val="00F30847"/>
    <w:rsid w:val="00F308E5"/>
    <w:rsid w:val="00F31092"/>
    <w:rsid w:val="00F31141"/>
    <w:rsid w:val="00F3138D"/>
    <w:rsid w:val="00F31460"/>
    <w:rsid w:val="00F314D0"/>
    <w:rsid w:val="00F31683"/>
    <w:rsid w:val="00F318FD"/>
    <w:rsid w:val="00F32250"/>
    <w:rsid w:val="00F324B4"/>
    <w:rsid w:val="00F32648"/>
    <w:rsid w:val="00F32698"/>
    <w:rsid w:val="00F32D29"/>
    <w:rsid w:val="00F32D7A"/>
    <w:rsid w:val="00F32F3C"/>
    <w:rsid w:val="00F3400C"/>
    <w:rsid w:val="00F3408C"/>
    <w:rsid w:val="00F347DD"/>
    <w:rsid w:val="00F351EC"/>
    <w:rsid w:val="00F3521E"/>
    <w:rsid w:val="00F3544B"/>
    <w:rsid w:val="00F35960"/>
    <w:rsid w:val="00F363DC"/>
    <w:rsid w:val="00F36478"/>
    <w:rsid w:val="00F367A6"/>
    <w:rsid w:val="00F3684B"/>
    <w:rsid w:val="00F36C39"/>
    <w:rsid w:val="00F36E34"/>
    <w:rsid w:val="00F37005"/>
    <w:rsid w:val="00F37016"/>
    <w:rsid w:val="00F37070"/>
    <w:rsid w:val="00F37182"/>
    <w:rsid w:val="00F3788F"/>
    <w:rsid w:val="00F37B9D"/>
    <w:rsid w:val="00F4022C"/>
    <w:rsid w:val="00F40609"/>
    <w:rsid w:val="00F40674"/>
    <w:rsid w:val="00F408D3"/>
    <w:rsid w:val="00F40B62"/>
    <w:rsid w:val="00F40CE6"/>
    <w:rsid w:val="00F40DD7"/>
    <w:rsid w:val="00F41215"/>
    <w:rsid w:val="00F4126D"/>
    <w:rsid w:val="00F412E4"/>
    <w:rsid w:val="00F414BC"/>
    <w:rsid w:val="00F4174F"/>
    <w:rsid w:val="00F41767"/>
    <w:rsid w:val="00F4187A"/>
    <w:rsid w:val="00F4191B"/>
    <w:rsid w:val="00F41A89"/>
    <w:rsid w:val="00F41E3C"/>
    <w:rsid w:val="00F41F94"/>
    <w:rsid w:val="00F42057"/>
    <w:rsid w:val="00F4207C"/>
    <w:rsid w:val="00F42200"/>
    <w:rsid w:val="00F42211"/>
    <w:rsid w:val="00F42225"/>
    <w:rsid w:val="00F422F8"/>
    <w:rsid w:val="00F42371"/>
    <w:rsid w:val="00F42775"/>
    <w:rsid w:val="00F42881"/>
    <w:rsid w:val="00F42B5F"/>
    <w:rsid w:val="00F42BAC"/>
    <w:rsid w:val="00F42C9C"/>
    <w:rsid w:val="00F42CC3"/>
    <w:rsid w:val="00F42D91"/>
    <w:rsid w:val="00F430CA"/>
    <w:rsid w:val="00F432D0"/>
    <w:rsid w:val="00F43789"/>
    <w:rsid w:val="00F43C17"/>
    <w:rsid w:val="00F43CE5"/>
    <w:rsid w:val="00F441BB"/>
    <w:rsid w:val="00F445EE"/>
    <w:rsid w:val="00F44801"/>
    <w:rsid w:val="00F4481E"/>
    <w:rsid w:val="00F44A3A"/>
    <w:rsid w:val="00F44AC8"/>
    <w:rsid w:val="00F44FB1"/>
    <w:rsid w:val="00F450B5"/>
    <w:rsid w:val="00F450BF"/>
    <w:rsid w:val="00F45D36"/>
    <w:rsid w:val="00F45D55"/>
    <w:rsid w:val="00F45DC5"/>
    <w:rsid w:val="00F46394"/>
    <w:rsid w:val="00F46603"/>
    <w:rsid w:val="00F46645"/>
    <w:rsid w:val="00F46DB3"/>
    <w:rsid w:val="00F46FDC"/>
    <w:rsid w:val="00F4712A"/>
    <w:rsid w:val="00F4713A"/>
    <w:rsid w:val="00F4736F"/>
    <w:rsid w:val="00F4745E"/>
    <w:rsid w:val="00F47795"/>
    <w:rsid w:val="00F47AEB"/>
    <w:rsid w:val="00F47D01"/>
    <w:rsid w:val="00F47EB8"/>
    <w:rsid w:val="00F47F3A"/>
    <w:rsid w:val="00F503A2"/>
    <w:rsid w:val="00F503E4"/>
    <w:rsid w:val="00F504B9"/>
    <w:rsid w:val="00F50BBD"/>
    <w:rsid w:val="00F50E2B"/>
    <w:rsid w:val="00F50E68"/>
    <w:rsid w:val="00F51084"/>
    <w:rsid w:val="00F513BE"/>
    <w:rsid w:val="00F5159B"/>
    <w:rsid w:val="00F51A88"/>
    <w:rsid w:val="00F51D0C"/>
    <w:rsid w:val="00F51ED4"/>
    <w:rsid w:val="00F52382"/>
    <w:rsid w:val="00F52646"/>
    <w:rsid w:val="00F52D85"/>
    <w:rsid w:val="00F53276"/>
    <w:rsid w:val="00F5352F"/>
    <w:rsid w:val="00F535CA"/>
    <w:rsid w:val="00F5390C"/>
    <w:rsid w:val="00F53EBF"/>
    <w:rsid w:val="00F544B8"/>
    <w:rsid w:val="00F546DA"/>
    <w:rsid w:val="00F547E8"/>
    <w:rsid w:val="00F5492F"/>
    <w:rsid w:val="00F549A1"/>
    <w:rsid w:val="00F54AC3"/>
    <w:rsid w:val="00F54ADC"/>
    <w:rsid w:val="00F54C85"/>
    <w:rsid w:val="00F54EB7"/>
    <w:rsid w:val="00F54EFC"/>
    <w:rsid w:val="00F55038"/>
    <w:rsid w:val="00F552C5"/>
    <w:rsid w:val="00F5543C"/>
    <w:rsid w:val="00F559B7"/>
    <w:rsid w:val="00F55D93"/>
    <w:rsid w:val="00F562E7"/>
    <w:rsid w:val="00F568B0"/>
    <w:rsid w:val="00F56D86"/>
    <w:rsid w:val="00F56DE9"/>
    <w:rsid w:val="00F570AE"/>
    <w:rsid w:val="00F57177"/>
    <w:rsid w:val="00F577D9"/>
    <w:rsid w:val="00F57EBC"/>
    <w:rsid w:val="00F604AD"/>
    <w:rsid w:val="00F609B9"/>
    <w:rsid w:val="00F60B21"/>
    <w:rsid w:val="00F60FD3"/>
    <w:rsid w:val="00F61089"/>
    <w:rsid w:val="00F61A39"/>
    <w:rsid w:val="00F61AAD"/>
    <w:rsid w:val="00F6207E"/>
    <w:rsid w:val="00F620D2"/>
    <w:rsid w:val="00F6288B"/>
    <w:rsid w:val="00F62BED"/>
    <w:rsid w:val="00F62CA2"/>
    <w:rsid w:val="00F62CB1"/>
    <w:rsid w:val="00F62D5B"/>
    <w:rsid w:val="00F62FA5"/>
    <w:rsid w:val="00F6315A"/>
    <w:rsid w:val="00F63225"/>
    <w:rsid w:val="00F633BE"/>
    <w:rsid w:val="00F63415"/>
    <w:rsid w:val="00F63D65"/>
    <w:rsid w:val="00F64436"/>
    <w:rsid w:val="00F647C8"/>
    <w:rsid w:val="00F647D8"/>
    <w:rsid w:val="00F64ACE"/>
    <w:rsid w:val="00F65371"/>
    <w:rsid w:val="00F65433"/>
    <w:rsid w:val="00F657C4"/>
    <w:rsid w:val="00F6581E"/>
    <w:rsid w:val="00F659E8"/>
    <w:rsid w:val="00F65E7C"/>
    <w:rsid w:val="00F66413"/>
    <w:rsid w:val="00F6653A"/>
    <w:rsid w:val="00F6658D"/>
    <w:rsid w:val="00F66AEE"/>
    <w:rsid w:val="00F66BFA"/>
    <w:rsid w:val="00F66CD9"/>
    <w:rsid w:val="00F67079"/>
    <w:rsid w:val="00F6776E"/>
    <w:rsid w:val="00F677AF"/>
    <w:rsid w:val="00F67956"/>
    <w:rsid w:val="00F67990"/>
    <w:rsid w:val="00F67B8A"/>
    <w:rsid w:val="00F67BCA"/>
    <w:rsid w:val="00F67E6D"/>
    <w:rsid w:val="00F67ECC"/>
    <w:rsid w:val="00F700FA"/>
    <w:rsid w:val="00F70369"/>
    <w:rsid w:val="00F7043F"/>
    <w:rsid w:val="00F70684"/>
    <w:rsid w:val="00F70A85"/>
    <w:rsid w:val="00F70AE4"/>
    <w:rsid w:val="00F70BBC"/>
    <w:rsid w:val="00F70C57"/>
    <w:rsid w:val="00F70EA8"/>
    <w:rsid w:val="00F711FE"/>
    <w:rsid w:val="00F71737"/>
    <w:rsid w:val="00F71805"/>
    <w:rsid w:val="00F7184C"/>
    <w:rsid w:val="00F718AE"/>
    <w:rsid w:val="00F71BF4"/>
    <w:rsid w:val="00F71C0C"/>
    <w:rsid w:val="00F71CEB"/>
    <w:rsid w:val="00F721B7"/>
    <w:rsid w:val="00F721BD"/>
    <w:rsid w:val="00F72597"/>
    <w:rsid w:val="00F725EC"/>
    <w:rsid w:val="00F72C6D"/>
    <w:rsid w:val="00F72F01"/>
    <w:rsid w:val="00F7303B"/>
    <w:rsid w:val="00F73448"/>
    <w:rsid w:val="00F735ED"/>
    <w:rsid w:val="00F73A26"/>
    <w:rsid w:val="00F73E17"/>
    <w:rsid w:val="00F73F12"/>
    <w:rsid w:val="00F743A1"/>
    <w:rsid w:val="00F74829"/>
    <w:rsid w:val="00F7498A"/>
    <w:rsid w:val="00F74F38"/>
    <w:rsid w:val="00F7512D"/>
    <w:rsid w:val="00F751B9"/>
    <w:rsid w:val="00F75342"/>
    <w:rsid w:val="00F75356"/>
    <w:rsid w:val="00F75421"/>
    <w:rsid w:val="00F75468"/>
    <w:rsid w:val="00F755C2"/>
    <w:rsid w:val="00F75712"/>
    <w:rsid w:val="00F75AE6"/>
    <w:rsid w:val="00F75F4C"/>
    <w:rsid w:val="00F76168"/>
    <w:rsid w:val="00F76876"/>
    <w:rsid w:val="00F76F7E"/>
    <w:rsid w:val="00F7701F"/>
    <w:rsid w:val="00F7746D"/>
    <w:rsid w:val="00F77586"/>
    <w:rsid w:val="00F776FC"/>
    <w:rsid w:val="00F77C47"/>
    <w:rsid w:val="00F77E5F"/>
    <w:rsid w:val="00F8011A"/>
    <w:rsid w:val="00F804F9"/>
    <w:rsid w:val="00F8050B"/>
    <w:rsid w:val="00F80E82"/>
    <w:rsid w:val="00F81249"/>
    <w:rsid w:val="00F816F1"/>
    <w:rsid w:val="00F81DD5"/>
    <w:rsid w:val="00F81DDE"/>
    <w:rsid w:val="00F82135"/>
    <w:rsid w:val="00F8218F"/>
    <w:rsid w:val="00F8246A"/>
    <w:rsid w:val="00F82603"/>
    <w:rsid w:val="00F82D01"/>
    <w:rsid w:val="00F830BB"/>
    <w:rsid w:val="00F8315D"/>
    <w:rsid w:val="00F8319B"/>
    <w:rsid w:val="00F83675"/>
    <w:rsid w:val="00F83829"/>
    <w:rsid w:val="00F839CA"/>
    <w:rsid w:val="00F83EA3"/>
    <w:rsid w:val="00F83F04"/>
    <w:rsid w:val="00F8402F"/>
    <w:rsid w:val="00F8409A"/>
    <w:rsid w:val="00F84652"/>
    <w:rsid w:val="00F84995"/>
    <w:rsid w:val="00F84A63"/>
    <w:rsid w:val="00F84A74"/>
    <w:rsid w:val="00F851CD"/>
    <w:rsid w:val="00F854AF"/>
    <w:rsid w:val="00F854C6"/>
    <w:rsid w:val="00F858BC"/>
    <w:rsid w:val="00F85E82"/>
    <w:rsid w:val="00F85F87"/>
    <w:rsid w:val="00F8644E"/>
    <w:rsid w:val="00F866E0"/>
    <w:rsid w:val="00F86E00"/>
    <w:rsid w:val="00F870CD"/>
    <w:rsid w:val="00F871F0"/>
    <w:rsid w:val="00F876D3"/>
    <w:rsid w:val="00F87976"/>
    <w:rsid w:val="00F87DE3"/>
    <w:rsid w:val="00F9025E"/>
    <w:rsid w:val="00F903DA"/>
    <w:rsid w:val="00F90451"/>
    <w:rsid w:val="00F90630"/>
    <w:rsid w:val="00F90684"/>
    <w:rsid w:val="00F907C6"/>
    <w:rsid w:val="00F90D1A"/>
    <w:rsid w:val="00F910E0"/>
    <w:rsid w:val="00F9123E"/>
    <w:rsid w:val="00F916ED"/>
    <w:rsid w:val="00F91DC8"/>
    <w:rsid w:val="00F922F5"/>
    <w:rsid w:val="00F92328"/>
    <w:rsid w:val="00F92358"/>
    <w:rsid w:val="00F92465"/>
    <w:rsid w:val="00F92548"/>
    <w:rsid w:val="00F92B3A"/>
    <w:rsid w:val="00F93130"/>
    <w:rsid w:val="00F9341E"/>
    <w:rsid w:val="00F934E3"/>
    <w:rsid w:val="00F93523"/>
    <w:rsid w:val="00F93772"/>
    <w:rsid w:val="00F93B64"/>
    <w:rsid w:val="00F93C02"/>
    <w:rsid w:val="00F93FA7"/>
    <w:rsid w:val="00F94228"/>
    <w:rsid w:val="00F9443D"/>
    <w:rsid w:val="00F94B28"/>
    <w:rsid w:val="00F94C36"/>
    <w:rsid w:val="00F94D78"/>
    <w:rsid w:val="00F94F1C"/>
    <w:rsid w:val="00F94FF5"/>
    <w:rsid w:val="00F9502E"/>
    <w:rsid w:val="00F95045"/>
    <w:rsid w:val="00F954D8"/>
    <w:rsid w:val="00F954EC"/>
    <w:rsid w:val="00F95533"/>
    <w:rsid w:val="00F958AE"/>
    <w:rsid w:val="00F95FD5"/>
    <w:rsid w:val="00F9604C"/>
    <w:rsid w:val="00F9640A"/>
    <w:rsid w:val="00F968D6"/>
    <w:rsid w:val="00F970ED"/>
    <w:rsid w:val="00F9723E"/>
    <w:rsid w:val="00F97518"/>
    <w:rsid w:val="00F97A1F"/>
    <w:rsid w:val="00F97F4A"/>
    <w:rsid w:val="00FA012D"/>
    <w:rsid w:val="00FA0DB5"/>
    <w:rsid w:val="00FA1251"/>
    <w:rsid w:val="00FA1995"/>
    <w:rsid w:val="00FA1A59"/>
    <w:rsid w:val="00FA1C05"/>
    <w:rsid w:val="00FA28C3"/>
    <w:rsid w:val="00FA2DC5"/>
    <w:rsid w:val="00FA2FC0"/>
    <w:rsid w:val="00FA312E"/>
    <w:rsid w:val="00FA314D"/>
    <w:rsid w:val="00FA31CB"/>
    <w:rsid w:val="00FA3ABA"/>
    <w:rsid w:val="00FA3C50"/>
    <w:rsid w:val="00FA3E78"/>
    <w:rsid w:val="00FA45F0"/>
    <w:rsid w:val="00FA46FC"/>
    <w:rsid w:val="00FA4E1F"/>
    <w:rsid w:val="00FA4FF1"/>
    <w:rsid w:val="00FA5102"/>
    <w:rsid w:val="00FA55B7"/>
    <w:rsid w:val="00FA5646"/>
    <w:rsid w:val="00FA5937"/>
    <w:rsid w:val="00FA5958"/>
    <w:rsid w:val="00FA5BF0"/>
    <w:rsid w:val="00FA5E0F"/>
    <w:rsid w:val="00FA5FA0"/>
    <w:rsid w:val="00FA6243"/>
    <w:rsid w:val="00FA63B8"/>
    <w:rsid w:val="00FA65FF"/>
    <w:rsid w:val="00FA6A11"/>
    <w:rsid w:val="00FA6B55"/>
    <w:rsid w:val="00FA6F95"/>
    <w:rsid w:val="00FA785F"/>
    <w:rsid w:val="00FA7997"/>
    <w:rsid w:val="00FA7A80"/>
    <w:rsid w:val="00FA7E40"/>
    <w:rsid w:val="00FA7EAD"/>
    <w:rsid w:val="00FB0006"/>
    <w:rsid w:val="00FB029F"/>
    <w:rsid w:val="00FB07C9"/>
    <w:rsid w:val="00FB0852"/>
    <w:rsid w:val="00FB0C7D"/>
    <w:rsid w:val="00FB0E4E"/>
    <w:rsid w:val="00FB0F18"/>
    <w:rsid w:val="00FB14E7"/>
    <w:rsid w:val="00FB16AC"/>
    <w:rsid w:val="00FB170D"/>
    <w:rsid w:val="00FB18CD"/>
    <w:rsid w:val="00FB1BC2"/>
    <w:rsid w:val="00FB1F91"/>
    <w:rsid w:val="00FB2E28"/>
    <w:rsid w:val="00FB303D"/>
    <w:rsid w:val="00FB3074"/>
    <w:rsid w:val="00FB35D7"/>
    <w:rsid w:val="00FB37B9"/>
    <w:rsid w:val="00FB3AB8"/>
    <w:rsid w:val="00FB3B06"/>
    <w:rsid w:val="00FB3B65"/>
    <w:rsid w:val="00FB3FA2"/>
    <w:rsid w:val="00FB402C"/>
    <w:rsid w:val="00FB4389"/>
    <w:rsid w:val="00FB482E"/>
    <w:rsid w:val="00FB4AB0"/>
    <w:rsid w:val="00FB4B15"/>
    <w:rsid w:val="00FB5269"/>
    <w:rsid w:val="00FB52BA"/>
    <w:rsid w:val="00FB5326"/>
    <w:rsid w:val="00FB541B"/>
    <w:rsid w:val="00FB573E"/>
    <w:rsid w:val="00FB583D"/>
    <w:rsid w:val="00FB5D22"/>
    <w:rsid w:val="00FB5F87"/>
    <w:rsid w:val="00FB607D"/>
    <w:rsid w:val="00FB64EF"/>
    <w:rsid w:val="00FB6566"/>
    <w:rsid w:val="00FB66B5"/>
    <w:rsid w:val="00FB66CC"/>
    <w:rsid w:val="00FB6C80"/>
    <w:rsid w:val="00FB7CF8"/>
    <w:rsid w:val="00FB7E18"/>
    <w:rsid w:val="00FC00B0"/>
    <w:rsid w:val="00FC012E"/>
    <w:rsid w:val="00FC0320"/>
    <w:rsid w:val="00FC04AC"/>
    <w:rsid w:val="00FC08CE"/>
    <w:rsid w:val="00FC0E5B"/>
    <w:rsid w:val="00FC106A"/>
    <w:rsid w:val="00FC130E"/>
    <w:rsid w:val="00FC14EA"/>
    <w:rsid w:val="00FC14F9"/>
    <w:rsid w:val="00FC191C"/>
    <w:rsid w:val="00FC1957"/>
    <w:rsid w:val="00FC1A9B"/>
    <w:rsid w:val="00FC1DB0"/>
    <w:rsid w:val="00FC20AB"/>
    <w:rsid w:val="00FC21A5"/>
    <w:rsid w:val="00FC2539"/>
    <w:rsid w:val="00FC2978"/>
    <w:rsid w:val="00FC29AC"/>
    <w:rsid w:val="00FC2C03"/>
    <w:rsid w:val="00FC2FFD"/>
    <w:rsid w:val="00FC3175"/>
    <w:rsid w:val="00FC381E"/>
    <w:rsid w:val="00FC39A5"/>
    <w:rsid w:val="00FC39B3"/>
    <w:rsid w:val="00FC3AA7"/>
    <w:rsid w:val="00FC3BF8"/>
    <w:rsid w:val="00FC3DAD"/>
    <w:rsid w:val="00FC3DD7"/>
    <w:rsid w:val="00FC3F43"/>
    <w:rsid w:val="00FC42F7"/>
    <w:rsid w:val="00FC465E"/>
    <w:rsid w:val="00FC48E5"/>
    <w:rsid w:val="00FC4AA9"/>
    <w:rsid w:val="00FC4CF5"/>
    <w:rsid w:val="00FC4DF5"/>
    <w:rsid w:val="00FC4E43"/>
    <w:rsid w:val="00FC53B4"/>
    <w:rsid w:val="00FC5930"/>
    <w:rsid w:val="00FC5A44"/>
    <w:rsid w:val="00FC60B5"/>
    <w:rsid w:val="00FC63AB"/>
    <w:rsid w:val="00FC64CA"/>
    <w:rsid w:val="00FC6670"/>
    <w:rsid w:val="00FC6A0E"/>
    <w:rsid w:val="00FC6A75"/>
    <w:rsid w:val="00FC6DAE"/>
    <w:rsid w:val="00FC72FC"/>
    <w:rsid w:val="00FC7770"/>
    <w:rsid w:val="00FC7B0E"/>
    <w:rsid w:val="00FC7BB0"/>
    <w:rsid w:val="00FC7C6A"/>
    <w:rsid w:val="00FC7D9B"/>
    <w:rsid w:val="00FC7F00"/>
    <w:rsid w:val="00FC7F65"/>
    <w:rsid w:val="00FC7F8D"/>
    <w:rsid w:val="00FD0205"/>
    <w:rsid w:val="00FD05C5"/>
    <w:rsid w:val="00FD067A"/>
    <w:rsid w:val="00FD0982"/>
    <w:rsid w:val="00FD0AEE"/>
    <w:rsid w:val="00FD0B0A"/>
    <w:rsid w:val="00FD0CC5"/>
    <w:rsid w:val="00FD1144"/>
    <w:rsid w:val="00FD1145"/>
    <w:rsid w:val="00FD12D8"/>
    <w:rsid w:val="00FD13E4"/>
    <w:rsid w:val="00FD144C"/>
    <w:rsid w:val="00FD17AA"/>
    <w:rsid w:val="00FD1A7B"/>
    <w:rsid w:val="00FD1C2E"/>
    <w:rsid w:val="00FD1CB7"/>
    <w:rsid w:val="00FD21A4"/>
    <w:rsid w:val="00FD24C7"/>
    <w:rsid w:val="00FD2D81"/>
    <w:rsid w:val="00FD31E6"/>
    <w:rsid w:val="00FD3529"/>
    <w:rsid w:val="00FD366E"/>
    <w:rsid w:val="00FD3DBC"/>
    <w:rsid w:val="00FD3EA1"/>
    <w:rsid w:val="00FD43C0"/>
    <w:rsid w:val="00FD47E3"/>
    <w:rsid w:val="00FD4ABD"/>
    <w:rsid w:val="00FD4E25"/>
    <w:rsid w:val="00FD4FD0"/>
    <w:rsid w:val="00FD5304"/>
    <w:rsid w:val="00FD54F6"/>
    <w:rsid w:val="00FD5521"/>
    <w:rsid w:val="00FD574C"/>
    <w:rsid w:val="00FD57CB"/>
    <w:rsid w:val="00FD57EA"/>
    <w:rsid w:val="00FD581E"/>
    <w:rsid w:val="00FD5A11"/>
    <w:rsid w:val="00FD5E92"/>
    <w:rsid w:val="00FD6442"/>
    <w:rsid w:val="00FD6BAC"/>
    <w:rsid w:val="00FD6F9B"/>
    <w:rsid w:val="00FD7576"/>
    <w:rsid w:val="00FD763A"/>
    <w:rsid w:val="00FE07CB"/>
    <w:rsid w:val="00FE088B"/>
    <w:rsid w:val="00FE0AFC"/>
    <w:rsid w:val="00FE0FEC"/>
    <w:rsid w:val="00FE1040"/>
    <w:rsid w:val="00FE1137"/>
    <w:rsid w:val="00FE1201"/>
    <w:rsid w:val="00FE13BB"/>
    <w:rsid w:val="00FE13CD"/>
    <w:rsid w:val="00FE1564"/>
    <w:rsid w:val="00FE1A91"/>
    <w:rsid w:val="00FE1DD7"/>
    <w:rsid w:val="00FE1EAA"/>
    <w:rsid w:val="00FE1ED8"/>
    <w:rsid w:val="00FE236C"/>
    <w:rsid w:val="00FE23F1"/>
    <w:rsid w:val="00FE2402"/>
    <w:rsid w:val="00FE24C1"/>
    <w:rsid w:val="00FE256F"/>
    <w:rsid w:val="00FE2678"/>
    <w:rsid w:val="00FE2938"/>
    <w:rsid w:val="00FE2AF0"/>
    <w:rsid w:val="00FE2B79"/>
    <w:rsid w:val="00FE2CAD"/>
    <w:rsid w:val="00FE2D08"/>
    <w:rsid w:val="00FE32F1"/>
    <w:rsid w:val="00FE341B"/>
    <w:rsid w:val="00FE35A7"/>
    <w:rsid w:val="00FE3815"/>
    <w:rsid w:val="00FE3957"/>
    <w:rsid w:val="00FE3978"/>
    <w:rsid w:val="00FE3C6A"/>
    <w:rsid w:val="00FE3D41"/>
    <w:rsid w:val="00FE414A"/>
    <w:rsid w:val="00FE4771"/>
    <w:rsid w:val="00FE4900"/>
    <w:rsid w:val="00FE4A4C"/>
    <w:rsid w:val="00FE4AFD"/>
    <w:rsid w:val="00FE4B0A"/>
    <w:rsid w:val="00FE4B84"/>
    <w:rsid w:val="00FE5060"/>
    <w:rsid w:val="00FE5214"/>
    <w:rsid w:val="00FE5234"/>
    <w:rsid w:val="00FE5250"/>
    <w:rsid w:val="00FE5262"/>
    <w:rsid w:val="00FE5323"/>
    <w:rsid w:val="00FE5385"/>
    <w:rsid w:val="00FE5CF0"/>
    <w:rsid w:val="00FE5EF3"/>
    <w:rsid w:val="00FE6021"/>
    <w:rsid w:val="00FE620E"/>
    <w:rsid w:val="00FE62F7"/>
    <w:rsid w:val="00FE686E"/>
    <w:rsid w:val="00FE6ABC"/>
    <w:rsid w:val="00FE6E8D"/>
    <w:rsid w:val="00FE6EF3"/>
    <w:rsid w:val="00FE7020"/>
    <w:rsid w:val="00FE7B34"/>
    <w:rsid w:val="00FE7D5D"/>
    <w:rsid w:val="00FE7DD7"/>
    <w:rsid w:val="00FE7E62"/>
    <w:rsid w:val="00FE7F16"/>
    <w:rsid w:val="00FF0278"/>
    <w:rsid w:val="00FF02FE"/>
    <w:rsid w:val="00FF0FDD"/>
    <w:rsid w:val="00FF1BD8"/>
    <w:rsid w:val="00FF207B"/>
    <w:rsid w:val="00FF216C"/>
    <w:rsid w:val="00FF28AB"/>
    <w:rsid w:val="00FF290D"/>
    <w:rsid w:val="00FF2B95"/>
    <w:rsid w:val="00FF2EC7"/>
    <w:rsid w:val="00FF2EF3"/>
    <w:rsid w:val="00FF32BE"/>
    <w:rsid w:val="00FF333A"/>
    <w:rsid w:val="00FF33E7"/>
    <w:rsid w:val="00FF36E7"/>
    <w:rsid w:val="00FF385D"/>
    <w:rsid w:val="00FF4152"/>
    <w:rsid w:val="00FF47B2"/>
    <w:rsid w:val="00FF4807"/>
    <w:rsid w:val="00FF4C13"/>
    <w:rsid w:val="00FF5033"/>
    <w:rsid w:val="00FF51CC"/>
    <w:rsid w:val="00FF5492"/>
    <w:rsid w:val="00FF54C3"/>
    <w:rsid w:val="00FF56F7"/>
    <w:rsid w:val="00FF598C"/>
    <w:rsid w:val="00FF5E4B"/>
    <w:rsid w:val="00FF5F7A"/>
    <w:rsid w:val="00FF6282"/>
    <w:rsid w:val="00FF6A8C"/>
    <w:rsid w:val="00FF6AC3"/>
    <w:rsid w:val="00FF6C49"/>
    <w:rsid w:val="00FF6CE1"/>
    <w:rsid w:val="00FF6FB7"/>
    <w:rsid w:val="00FF7082"/>
    <w:rsid w:val="00FF72C6"/>
    <w:rsid w:val="00FF72E2"/>
    <w:rsid w:val="00FF7476"/>
    <w:rsid w:val="00FF74C5"/>
    <w:rsid w:val="00FF7664"/>
    <w:rsid w:val="00FF7868"/>
    <w:rsid w:val="00FF7A43"/>
    <w:rsid w:val="00FF7B03"/>
    <w:rsid w:val="00FF7DFA"/>
    <w:rsid w:val="01092A81"/>
    <w:rsid w:val="02460FA9"/>
    <w:rsid w:val="02BB7FC1"/>
    <w:rsid w:val="0413083D"/>
    <w:rsid w:val="050B779C"/>
    <w:rsid w:val="051A1C1C"/>
    <w:rsid w:val="066D022D"/>
    <w:rsid w:val="0723135E"/>
    <w:rsid w:val="08175991"/>
    <w:rsid w:val="08B54ED0"/>
    <w:rsid w:val="0AA153B0"/>
    <w:rsid w:val="0BB84DE3"/>
    <w:rsid w:val="100A61CD"/>
    <w:rsid w:val="1029111C"/>
    <w:rsid w:val="1087063B"/>
    <w:rsid w:val="17901980"/>
    <w:rsid w:val="17A30AB2"/>
    <w:rsid w:val="186C28E2"/>
    <w:rsid w:val="193F1F17"/>
    <w:rsid w:val="1BDB4585"/>
    <w:rsid w:val="1D190969"/>
    <w:rsid w:val="1D8A53F7"/>
    <w:rsid w:val="1F8F337A"/>
    <w:rsid w:val="20E30A5D"/>
    <w:rsid w:val="22053BB4"/>
    <w:rsid w:val="2B216AE1"/>
    <w:rsid w:val="30322FBD"/>
    <w:rsid w:val="3794122F"/>
    <w:rsid w:val="37EE4ED7"/>
    <w:rsid w:val="388D0DF8"/>
    <w:rsid w:val="391A22B9"/>
    <w:rsid w:val="3A741968"/>
    <w:rsid w:val="3D625404"/>
    <w:rsid w:val="3F7E08EF"/>
    <w:rsid w:val="3FEE4E4C"/>
    <w:rsid w:val="411C5594"/>
    <w:rsid w:val="4421412B"/>
    <w:rsid w:val="4502573E"/>
    <w:rsid w:val="45055C36"/>
    <w:rsid w:val="4D9931B7"/>
    <w:rsid w:val="4F7B63DB"/>
    <w:rsid w:val="5046039A"/>
    <w:rsid w:val="526A2DFD"/>
    <w:rsid w:val="52AC7B98"/>
    <w:rsid w:val="554E1630"/>
    <w:rsid w:val="56F617E5"/>
    <w:rsid w:val="58B2693F"/>
    <w:rsid w:val="5ED87CB2"/>
    <w:rsid w:val="614E7A33"/>
    <w:rsid w:val="632A4E87"/>
    <w:rsid w:val="64CD0A00"/>
    <w:rsid w:val="68162156"/>
    <w:rsid w:val="6F03561F"/>
    <w:rsid w:val="74E67F35"/>
    <w:rsid w:val="74FD33A5"/>
    <w:rsid w:val="7CBA5AF1"/>
    <w:rsid w:val="7D007813"/>
    <w:rsid w:val="7DAD494D"/>
    <w:rsid w:val="7F5A3AD9"/>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f">
      <v:fill on="t" focussize="0,0"/>
      <v:stroke on="f"/>
    </o:shapedefaults>
    <o:shapelayout v:ext="edit">
      <o:idmap v:ext="edit" data="1,3,4,5,6"/>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39" w:semiHidden="0" w:name="toc 4"/>
    <w:lsdException w:qFormat="1" w:unhideWhenUsed="0" w:uiPriority="39" w:semiHidden="0" w:name="toc 5"/>
    <w:lsdException w:qFormat="1" w:unhideWhenUsed="0" w:uiPriority="39" w:semiHidden="0" w:name="toc 6"/>
    <w:lsdException w:qFormat="1" w:unhideWhenUsed="0" w:uiPriority="39" w:semiHidden="0" w:name="toc 7"/>
    <w:lsdException w:qFormat="1" w:unhideWhenUsed="0" w:uiPriority="39" w:semiHidden="0" w:name="toc 8"/>
    <w:lsdException w:qFormat="1" w:unhideWhenUsed="0" w:uiPriority="39" w:semiHidden="0" w:name="toc 9"/>
    <w:lsdException w:qFormat="1" w:unhideWhenUsed="0" w:uiPriority="0" w:semiHidden="0" w:name="Normal Indent"/>
    <w:lsdException w:qFormat="1" w:unhideWhenUsed="0" w:uiPriority="0" w:semiHidden="0" w:name="footnote text"/>
    <w:lsdException w:qFormat="1" w:unhideWhenUsed="0" w:uiPriority="99" w:semiHidden="0" w:name="annotation text"/>
    <w:lsdException w:qFormat="1" w:unhideWhenUsed="0" w:uiPriority="99" w:semiHidden="0" w:name="header"/>
    <w:lsdException w:qFormat="1" w:unhideWhenUsed="0" w:uiPriority="99" w:semiHidden="0" w:name="footer"/>
    <w:lsdException w:qFormat="1" w:unhideWhenUsed="0" w:uiPriority="0" w:name="index heading"/>
    <w:lsdException w:qFormat="1" w:unhideWhenUsed="0" w:uiPriority="35" w:semiHidden="0" w:name="caption"/>
    <w:lsdException w:uiPriority="99" w:name="table of figures"/>
    <w:lsdException w:uiPriority="99" w:name="envelope address"/>
    <w:lsdException w:uiPriority="99" w:name="envelope return"/>
    <w:lsdException w:uiPriority="99" w:name="footnote reference"/>
    <w:lsdException w:qFormat="1" w:unhideWhenUsed="0" w:uiPriority="99" w:semiHidden="0" w:name="annotation reference"/>
    <w:lsdException w:qFormat="1" w:unhideWhenUsed="0" w:uiPriority="0" w:semiHidden="0" w:name="line number"/>
    <w:lsdException w:qFormat="1" w:unhideWhenUsed="0" w:uiPriority="0" w:semiHidden="0" w:name="page number"/>
    <w:lsdException w:uiPriority="99" w:name="endnote reference"/>
    <w:lsdException w:uiPriority="99" w:name="endnote text"/>
    <w:lsdException w:qFormat="1" w:unhideWhenUsed="0" w:uiPriority="0" w:name="table of authorities"/>
    <w:lsdException w:uiPriority="99" w:name="macro"/>
    <w:lsdException w:qFormat="1" w:unhideWhenUsed="0" w:uiPriority="0" w:name="toa heading"/>
    <w:lsdException w:qFormat="1" w:unhideWhenUsed="0" w:uiPriority="0" w:semiHidden="0" w:name="List"/>
    <w:lsdException w:uiPriority="99" w:name="List Bullet"/>
    <w:lsdException w:qFormat="1" w:unhideWhenUsed="0" w:uiPriority="0" w:semiHidden="0" w:name="List Number"/>
    <w:lsdException w:qFormat="1" w:unhideWhenUsed="0" w:uiPriority="0" w:semiHidden="0" w:name="List 2"/>
    <w:lsdException w:qFormat="1" w:unhideWhenUsed="0" w:uiPriority="0" w:semiHidden="0" w:name="List 3"/>
    <w:lsdException w:qFormat="1" w:unhideWhenUsed="0" w:uiPriority="0" w:semiHidden="0" w:name="List 4"/>
    <w:lsdException w:uiPriority="99" w:name="List 5"/>
    <w:lsdException w:uiPriority="99" w:name="List Bullet 2"/>
    <w:lsdException w:qFormat="1" w:unhideWhenUsed="0" w:uiPriority="0" w:semiHidden="0"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semiHidden="0" w:name="Default Paragraph Font"/>
    <w:lsdException w:qFormat="1" w:unhideWhenUsed="0" w:uiPriority="0" w:semiHidden="0" w:name="Body Text"/>
    <w:lsdException w:qFormat="1" w:unhideWhenUsed="0" w:uiPriority="0" w:semiHidden="0" w:name="Body Text Indent"/>
    <w:lsdException w:qFormat="1" w:unhideWhenUsed="0" w:uiPriority="0" w:semiHidden="0" w:name="List Continue"/>
    <w:lsdException w:qFormat="1" w:unhideWhenUsed="0" w:uiPriority="0" w:semiHidden="0"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qFormat="1" w:unhideWhenUsed="0" w:uiPriority="0" w:semiHidden="0" w:name="Date"/>
    <w:lsdException w:qFormat="1" w:unhideWhenUsed="0" w:uiPriority="0" w:semiHidden="0" w:name="Body Text First Indent"/>
    <w:lsdException w:qFormat="1" w:uiPriority="99" w:semiHidden="0" w:name="Body Text First Indent 2"/>
    <w:lsdException w:qFormat="1"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99" w:name="Block Text"/>
    <w:lsdException w:qFormat="1" w:unhideWhenUsed="0" w:uiPriority="99"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qFormat="1" w:unhideWhenUsed="0" w:uiPriority="0" w:semiHidden="0" w:name="HTML Code"/>
    <w:lsdException w:uiPriority="99" w:name="HTML Definition"/>
    <w:lsdException w:uiPriority="99" w:name="HTML Keyboard"/>
    <w:lsdException w:qFormat="1" w:unhideWhenUsed="0" w:uiPriority="0" w:semiHidden="0" w:name="HTML Preformatted"/>
    <w:lsdException w:uiPriority="99" w:name="HTML Sample"/>
    <w:lsdException w:uiPriority="99" w:name="HTML Typewriter"/>
    <w:lsdException w:uiPriority="99" w:name="HTML Variable"/>
    <w:lsdException w:qFormat="1" w:uiPriority="99" w:semiHidden="0" w:name="Normal Table"/>
    <w:lsdException w:qFormat="1" w:unhideWhenUsed="0" w:uiPriority="0" w:semiHidden="0" w:name="annotation subject"/>
    <w:lsdException w:qFormat="1" w:unhideWhenUsed="0" w:uiPriority="0" w:semiHidden="0"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0" w:semiHidden="0" w:name="Table Grid"/>
    <w:lsdException w:uiPriority="99"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0"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qFormat="1" w:unhideWhenUsed="0" w:uiPriority="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rPr>
      <w:rFonts w:ascii="宋体" w:hAnsi="宋体" w:eastAsia="宋体" w:cs="宋体"/>
      <w:sz w:val="24"/>
      <w:szCs w:val="24"/>
      <w:lang w:val="en-US" w:eastAsia="zh-CN" w:bidi="ar-SA"/>
    </w:rPr>
  </w:style>
  <w:style w:type="paragraph" w:styleId="5">
    <w:name w:val="heading 1"/>
    <w:basedOn w:val="1"/>
    <w:next w:val="1"/>
    <w:link w:val="74"/>
    <w:qFormat/>
    <w:uiPriority w:val="0"/>
    <w:pPr>
      <w:keepNext/>
      <w:keepLines/>
      <w:spacing w:before="340" w:after="330" w:line="578" w:lineRule="auto"/>
      <w:outlineLvl w:val="0"/>
    </w:pPr>
    <w:rPr>
      <w:rFonts w:ascii="Times New Roman" w:hAnsi="Times New Roman" w:cs="Times New Roman"/>
      <w:b/>
      <w:bCs/>
      <w:kern w:val="44"/>
      <w:sz w:val="44"/>
      <w:szCs w:val="44"/>
    </w:rPr>
  </w:style>
  <w:style w:type="paragraph" w:styleId="6">
    <w:name w:val="heading 2"/>
    <w:basedOn w:val="1"/>
    <w:next w:val="1"/>
    <w:link w:val="75"/>
    <w:qFormat/>
    <w:uiPriority w:val="0"/>
    <w:pPr>
      <w:keepNext/>
      <w:tabs>
        <w:tab w:val="left" w:pos="1503"/>
      </w:tabs>
      <w:adjustRightInd w:val="0"/>
      <w:snapToGrid w:val="0"/>
      <w:spacing w:before="120" w:beforeLines="50" w:line="360" w:lineRule="auto"/>
      <w:outlineLvl w:val="1"/>
    </w:pPr>
    <w:rPr>
      <w:rFonts w:ascii="Times New Roman" w:hAnsi="Times New Roman" w:cs="Times New Roman"/>
      <w:b/>
      <w:sz w:val="32"/>
    </w:rPr>
  </w:style>
  <w:style w:type="paragraph" w:styleId="7">
    <w:name w:val="heading 3"/>
    <w:basedOn w:val="1"/>
    <w:next w:val="1"/>
    <w:link w:val="76"/>
    <w:qFormat/>
    <w:uiPriority w:val="0"/>
    <w:pPr>
      <w:keepNext/>
      <w:tabs>
        <w:tab w:val="left" w:pos="658"/>
      </w:tabs>
      <w:spacing w:line="360" w:lineRule="auto"/>
      <w:outlineLvl w:val="2"/>
    </w:pPr>
    <w:rPr>
      <w:rFonts w:ascii="Times New Roman" w:hAnsi="Times New Roman" w:cs="Times New Roman"/>
      <w:b/>
      <w:szCs w:val="28"/>
    </w:rPr>
  </w:style>
  <w:style w:type="paragraph" w:styleId="8">
    <w:name w:val="heading 4"/>
    <w:basedOn w:val="1"/>
    <w:next w:val="1"/>
    <w:link w:val="77"/>
    <w:qFormat/>
    <w:uiPriority w:val="0"/>
    <w:pPr>
      <w:numPr>
        <w:ilvl w:val="0"/>
        <w:numId w:val="1"/>
      </w:numPr>
      <w:tabs>
        <w:tab w:val="left" w:pos="998"/>
      </w:tabs>
      <w:outlineLvl w:val="3"/>
    </w:pPr>
    <w:rPr>
      <w:rFonts w:ascii="仿宋_GB2312" w:hAnsi="Arial" w:eastAsia="仿宋_GB2312" w:cs="Times New Roman"/>
    </w:rPr>
  </w:style>
  <w:style w:type="paragraph" w:styleId="9">
    <w:name w:val="heading 5"/>
    <w:basedOn w:val="1"/>
    <w:next w:val="1"/>
    <w:link w:val="78"/>
    <w:qFormat/>
    <w:uiPriority w:val="0"/>
    <w:pPr>
      <w:numPr>
        <w:ilvl w:val="0"/>
        <w:numId w:val="2"/>
      </w:numPr>
      <w:tabs>
        <w:tab w:val="left" w:pos="1418"/>
      </w:tabs>
      <w:outlineLvl w:val="4"/>
    </w:pPr>
    <w:rPr>
      <w:rFonts w:ascii="仿宋_GB2312" w:eastAsia="仿宋_GB2312" w:cs="Times New Roman"/>
    </w:rPr>
  </w:style>
  <w:style w:type="paragraph" w:styleId="10">
    <w:name w:val="heading 6"/>
    <w:basedOn w:val="1"/>
    <w:next w:val="1"/>
    <w:link w:val="79"/>
    <w:qFormat/>
    <w:uiPriority w:val="0"/>
    <w:pPr>
      <w:keepNext/>
      <w:adjustRightInd w:val="0"/>
      <w:snapToGrid w:val="0"/>
      <w:spacing w:line="240" w:lineRule="atLeast"/>
      <w:jc w:val="center"/>
      <w:outlineLvl w:val="5"/>
    </w:pPr>
    <w:rPr>
      <w:rFonts w:ascii="Times New Roman" w:hAnsi="Times New Roman" w:cs="Times New Roman"/>
      <w:b/>
      <w:bCs/>
      <w:sz w:val="18"/>
      <w:szCs w:val="20"/>
    </w:rPr>
  </w:style>
  <w:style w:type="paragraph" w:styleId="11">
    <w:name w:val="heading 7"/>
    <w:basedOn w:val="1"/>
    <w:next w:val="1"/>
    <w:link w:val="80"/>
    <w:qFormat/>
    <w:uiPriority w:val="0"/>
    <w:pPr>
      <w:keepNext/>
      <w:spacing w:line="240" w:lineRule="exact"/>
      <w:outlineLvl w:val="6"/>
    </w:pPr>
    <w:rPr>
      <w:rFonts w:cs="Times New Roman"/>
      <w:i/>
      <w:iCs/>
      <w:kern w:val="2"/>
      <w:sz w:val="21"/>
      <w:szCs w:val="21"/>
    </w:rPr>
  </w:style>
  <w:style w:type="paragraph" w:styleId="12">
    <w:name w:val="heading 8"/>
    <w:basedOn w:val="1"/>
    <w:next w:val="1"/>
    <w:link w:val="81"/>
    <w:qFormat/>
    <w:uiPriority w:val="0"/>
    <w:pPr>
      <w:overflowPunct w:val="0"/>
      <w:adjustRightInd w:val="0"/>
      <w:snapToGrid w:val="0"/>
      <w:spacing w:before="120" w:line="400" w:lineRule="exact"/>
      <w:ind w:firstLine="567"/>
      <w:jc w:val="left"/>
      <w:textAlignment w:val="baseline"/>
      <w:outlineLvl w:val="7"/>
    </w:pPr>
    <w:rPr>
      <w:rFonts w:ascii="Arial" w:hAnsi="Arial" w:eastAsia="仿宋_GB2312" w:cs="Times New Roman"/>
      <w:sz w:val="28"/>
      <w:szCs w:val="20"/>
    </w:rPr>
  </w:style>
  <w:style w:type="paragraph" w:styleId="13">
    <w:name w:val="heading 9"/>
    <w:basedOn w:val="1"/>
    <w:next w:val="1"/>
    <w:link w:val="82"/>
    <w:qFormat/>
    <w:uiPriority w:val="0"/>
    <w:pPr>
      <w:overflowPunct w:val="0"/>
      <w:adjustRightInd w:val="0"/>
      <w:snapToGrid w:val="0"/>
      <w:spacing w:before="120" w:line="400" w:lineRule="exact"/>
      <w:ind w:firstLine="567"/>
      <w:jc w:val="left"/>
      <w:textAlignment w:val="baseline"/>
      <w:outlineLvl w:val="8"/>
    </w:pPr>
    <w:rPr>
      <w:rFonts w:ascii="Arial" w:hAnsi="Arial" w:eastAsia="仿宋_GB2312" w:cs="Times New Roman"/>
      <w:sz w:val="28"/>
      <w:szCs w:val="20"/>
    </w:rPr>
  </w:style>
  <w:style w:type="character" w:default="1" w:styleId="60">
    <w:name w:val="Default Paragraph Font"/>
    <w:unhideWhenUsed/>
    <w:qFormat/>
    <w:uiPriority w:val="1"/>
  </w:style>
  <w:style w:type="table" w:default="1" w:styleId="56">
    <w:name w:val="Normal Table"/>
    <w:unhideWhenUsed/>
    <w:qFormat/>
    <w:uiPriority w:val="99"/>
    <w:tblPr>
      <w:tblCellMar>
        <w:top w:w="0" w:type="dxa"/>
        <w:left w:w="108" w:type="dxa"/>
        <w:bottom w:w="0" w:type="dxa"/>
        <w:right w:w="108" w:type="dxa"/>
      </w:tblCellMar>
    </w:tblPr>
  </w:style>
  <w:style w:type="paragraph" w:styleId="2">
    <w:name w:val="Body Text Indent 2"/>
    <w:basedOn w:val="1"/>
    <w:next w:val="3"/>
    <w:link w:val="71"/>
    <w:qFormat/>
    <w:uiPriority w:val="0"/>
    <w:pPr>
      <w:ind w:right="-64" w:firstLine="585"/>
    </w:pPr>
    <w:rPr>
      <w:rFonts w:ascii="方正书宋简体" w:hAnsi="Times New Roman" w:eastAsia="方正书宋简体" w:cs="Times New Roman"/>
      <w:kern w:val="2"/>
      <w:sz w:val="28"/>
      <w:szCs w:val="20"/>
    </w:rPr>
  </w:style>
  <w:style w:type="paragraph" w:styleId="3">
    <w:name w:val="Body Text First Indent"/>
    <w:basedOn w:val="4"/>
    <w:link w:val="73"/>
    <w:qFormat/>
    <w:uiPriority w:val="0"/>
    <w:pPr>
      <w:numPr>
        <w:ilvl w:val="0"/>
        <w:numId w:val="3"/>
      </w:numPr>
      <w:tabs>
        <w:tab w:val="clear" w:pos="4208"/>
      </w:tabs>
      <w:spacing w:after="120"/>
      <w:ind w:left="0" w:right="0" w:firstLine="420" w:firstLineChars="100"/>
    </w:pPr>
    <w:rPr>
      <w:rFonts w:ascii="Times New Roman" w:hAnsi="宋体" w:eastAsia="宋体"/>
      <w:kern w:val="0"/>
      <w:sz w:val="21"/>
      <w:szCs w:val="24"/>
    </w:rPr>
  </w:style>
  <w:style w:type="paragraph" w:styleId="4">
    <w:name w:val="Body Text"/>
    <w:basedOn w:val="1"/>
    <w:link w:val="72"/>
    <w:qFormat/>
    <w:uiPriority w:val="0"/>
    <w:pPr>
      <w:ind w:right="-64"/>
    </w:pPr>
    <w:rPr>
      <w:rFonts w:ascii="方正书宋简体" w:hAnsi="Times New Roman" w:eastAsia="方正书宋简体" w:cs="Times New Roman"/>
      <w:kern w:val="2"/>
      <w:sz w:val="28"/>
      <w:szCs w:val="20"/>
    </w:rPr>
  </w:style>
  <w:style w:type="paragraph" w:styleId="14">
    <w:name w:val="List 3"/>
    <w:basedOn w:val="1"/>
    <w:qFormat/>
    <w:uiPriority w:val="0"/>
    <w:pPr>
      <w:ind w:left="1260" w:hanging="420"/>
    </w:pPr>
    <w:rPr>
      <w:sz w:val="21"/>
    </w:rPr>
  </w:style>
  <w:style w:type="paragraph" w:styleId="15">
    <w:name w:val="toc 7"/>
    <w:basedOn w:val="1"/>
    <w:next w:val="1"/>
    <w:qFormat/>
    <w:uiPriority w:val="39"/>
    <w:pPr>
      <w:ind w:left="1440"/>
    </w:pPr>
    <w:rPr>
      <w:rFonts w:ascii="Calibri" w:hAnsi="Calibri" w:cs="Calibri"/>
      <w:sz w:val="18"/>
      <w:szCs w:val="18"/>
    </w:rPr>
  </w:style>
  <w:style w:type="paragraph" w:styleId="16">
    <w:name w:val="table of authorities"/>
    <w:basedOn w:val="1"/>
    <w:next w:val="1"/>
    <w:semiHidden/>
    <w:qFormat/>
    <w:uiPriority w:val="0"/>
    <w:pPr>
      <w:spacing w:line="520" w:lineRule="exact"/>
      <w:ind w:left="420" w:leftChars="200" w:firstLineChars="200"/>
    </w:pPr>
    <w:rPr>
      <w:rFonts w:ascii="宋体"/>
      <w:szCs w:val="28"/>
    </w:rPr>
  </w:style>
  <w:style w:type="paragraph" w:styleId="17">
    <w:name w:val="Note Heading"/>
    <w:basedOn w:val="1"/>
    <w:next w:val="1"/>
    <w:link w:val="83"/>
    <w:qFormat/>
    <w:uiPriority w:val="0"/>
    <w:pPr>
      <w:autoSpaceDE w:val="0"/>
      <w:autoSpaceDN w:val="0"/>
      <w:ind w:firstLine="482"/>
      <w:jc w:val="center"/>
      <w:textAlignment w:val="bottom"/>
    </w:pPr>
    <w:rPr>
      <w:rFonts w:ascii="Times New Roman" w:hAnsi="Times New Roman" w:eastAsia="黑体" w:cs="Times New Roman"/>
      <w:b/>
      <w:kern w:val="2"/>
    </w:rPr>
  </w:style>
  <w:style w:type="paragraph" w:styleId="18">
    <w:name w:val="List Number"/>
    <w:basedOn w:val="1"/>
    <w:qFormat/>
    <w:uiPriority w:val="0"/>
    <w:pPr>
      <w:tabs>
        <w:tab w:val="left" w:pos="420"/>
      </w:tabs>
      <w:ind w:left="420" w:hanging="420"/>
    </w:pPr>
  </w:style>
  <w:style w:type="paragraph" w:styleId="19">
    <w:name w:val="Normal Indent"/>
    <w:basedOn w:val="1"/>
    <w:link w:val="84"/>
    <w:qFormat/>
    <w:uiPriority w:val="0"/>
    <w:pPr>
      <w:ind w:firstLine="420" w:firstLineChars="200"/>
    </w:pPr>
    <w:rPr>
      <w:rFonts w:ascii="Times New Roman" w:hAnsi="Times New Roman" w:cs="Times New Roman"/>
      <w:kern w:val="2"/>
      <w:sz w:val="28"/>
      <w:szCs w:val="20"/>
    </w:rPr>
  </w:style>
  <w:style w:type="paragraph" w:styleId="20">
    <w:name w:val="caption"/>
    <w:basedOn w:val="1"/>
    <w:next w:val="1"/>
    <w:link w:val="85"/>
    <w:qFormat/>
    <w:uiPriority w:val="35"/>
    <w:pPr>
      <w:keepNext/>
      <w:jc w:val="center"/>
      <w:outlineLvl w:val="4"/>
    </w:pPr>
    <w:rPr>
      <w:rFonts w:ascii="Arial" w:hAnsi="Arial" w:eastAsia="黑体" w:cs="Times New Roman"/>
      <w:kern w:val="2"/>
    </w:rPr>
  </w:style>
  <w:style w:type="paragraph" w:styleId="21">
    <w:name w:val="Document Map"/>
    <w:basedOn w:val="1"/>
    <w:link w:val="86"/>
    <w:qFormat/>
    <w:uiPriority w:val="0"/>
    <w:pPr>
      <w:shd w:val="clear" w:color="auto" w:fill="000080"/>
    </w:pPr>
    <w:rPr>
      <w:rFonts w:ascii="Times New Roman" w:hAnsi="Times New Roman" w:cs="Times New Roman"/>
      <w:kern w:val="2"/>
      <w:sz w:val="28"/>
      <w:szCs w:val="20"/>
    </w:rPr>
  </w:style>
  <w:style w:type="paragraph" w:styleId="22">
    <w:name w:val="toa heading"/>
    <w:basedOn w:val="1"/>
    <w:next w:val="1"/>
    <w:semiHidden/>
    <w:qFormat/>
    <w:uiPriority w:val="0"/>
    <w:pPr>
      <w:spacing w:before="120" w:line="520" w:lineRule="exact"/>
      <w:ind w:firstLine="200" w:firstLineChars="200"/>
    </w:pPr>
    <w:rPr>
      <w:rFonts w:ascii="Arial" w:hAnsi="Arial" w:cs="Arial"/>
      <w:sz w:val="24"/>
      <w:szCs w:val="24"/>
    </w:rPr>
  </w:style>
  <w:style w:type="paragraph" w:styleId="23">
    <w:name w:val="annotation text"/>
    <w:basedOn w:val="1"/>
    <w:link w:val="87"/>
    <w:qFormat/>
    <w:uiPriority w:val="99"/>
    <w:pPr>
      <w:jc w:val="left"/>
    </w:pPr>
    <w:rPr>
      <w:rFonts w:ascii="Times New Roman" w:hAnsi="Times New Roman" w:cs="Times New Roman"/>
      <w:kern w:val="2"/>
      <w:sz w:val="21"/>
    </w:rPr>
  </w:style>
  <w:style w:type="paragraph" w:styleId="24">
    <w:name w:val="Body Text 3"/>
    <w:basedOn w:val="1"/>
    <w:link w:val="88"/>
    <w:qFormat/>
    <w:uiPriority w:val="0"/>
    <w:pPr>
      <w:spacing w:line="240" w:lineRule="exact"/>
    </w:pPr>
    <w:rPr>
      <w:rFonts w:ascii="Times New Roman" w:hAnsi="Times New Roman" w:cs="Times New Roman"/>
      <w:kern w:val="2"/>
      <w:szCs w:val="20"/>
    </w:rPr>
  </w:style>
  <w:style w:type="paragraph" w:styleId="25">
    <w:name w:val="List Bullet 3"/>
    <w:basedOn w:val="1"/>
    <w:qFormat/>
    <w:uiPriority w:val="0"/>
    <w:pPr>
      <w:tabs>
        <w:tab w:val="left" w:pos="1200"/>
      </w:tabs>
      <w:adjustRightInd w:val="0"/>
      <w:snapToGrid w:val="0"/>
      <w:spacing w:line="520" w:lineRule="exact"/>
      <w:ind w:left="1200" w:hanging="360" w:firstLineChars="200"/>
    </w:pPr>
    <w:rPr>
      <w:sz w:val="24"/>
    </w:rPr>
  </w:style>
  <w:style w:type="paragraph" w:styleId="26">
    <w:name w:val="Body Text Indent"/>
    <w:basedOn w:val="1"/>
    <w:link w:val="89"/>
    <w:qFormat/>
    <w:uiPriority w:val="0"/>
    <w:pPr>
      <w:ind w:firstLine="560"/>
    </w:pPr>
    <w:rPr>
      <w:rFonts w:ascii="仿宋_GB2312" w:hAnsi="Times New Roman" w:eastAsia="仿宋_GB2312" w:cs="Times New Roman"/>
      <w:kern w:val="2"/>
      <w:sz w:val="28"/>
      <w:szCs w:val="20"/>
    </w:rPr>
  </w:style>
  <w:style w:type="paragraph" w:styleId="27">
    <w:name w:val="List 2"/>
    <w:basedOn w:val="1"/>
    <w:qFormat/>
    <w:uiPriority w:val="0"/>
    <w:pPr>
      <w:ind w:left="100" w:leftChars="200" w:hanging="200" w:hangingChars="200"/>
    </w:pPr>
    <w:rPr>
      <w:sz w:val="21"/>
      <w:szCs w:val="24"/>
    </w:rPr>
  </w:style>
  <w:style w:type="paragraph" w:styleId="28">
    <w:name w:val="List Continue"/>
    <w:basedOn w:val="1"/>
    <w:qFormat/>
    <w:uiPriority w:val="0"/>
    <w:pPr>
      <w:spacing w:after="120"/>
      <w:ind w:left="420" w:leftChars="200"/>
    </w:pPr>
    <w:rPr>
      <w:sz w:val="21"/>
      <w:szCs w:val="24"/>
    </w:rPr>
  </w:style>
  <w:style w:type="paragraph" w:styleId="29">
    <w:name w:val="toc 5"/>
    <w:basedOn w:val="1"/>
    <w:next w:val="1"/>
    <w:qFormat/>
    <w:uiPriority w:val="39"/>
    <w:pPr>
      <w:ind w:left="960"/>
    </w:pPr>
    <w:rPr>
      <w:rFonts w:ascii="Calibri" w:hAnsi="Calibri" w:cs="Calibri"/>
      <w:sz w:val="18"/>
      <w:szCs w:val="18"/>
    </w:rPr>
  </w:style>
  <w:style w:type="paragraph" w:styleId="30">
    <w:name w:val="toc 3"/>
    <w:basedOn w:val="1"/>
    <w:next w:val="1"/>
    <w:qFormat/>
    <w:uiPriority w:val="39"/>
    <w:pPr>
      <w:ind w:left="480"/>
    </w:pPr>
    <w:rPr>
      <w:rFonts w:ascii="Calibri" w:hAnsi="Calibri" w:cs="Calibri"/>
      <w:i/>
      <w:iCs/>
      <w:sz w:val="20"/>
      <w:szCs w:val="20"/>
    </w:rPr>
  </w:style>
  <w:style w:type="paragraph" w:styleId="31">
    <w:name w:val="Plain Text"/>
    <w:basedOn w:val="1"/>
    <w:link w:val="90"/>
    <w:qFormat/>
    <w:uiPriority w:val="0"/>
    <w:rPr>
      <w:rFonts w:hAnsi="Courier New" w:cs="Times New Roman"/>
      <w:kern w:val="2"/>
      <w:sz w:val="21"/>
      <w:szCs w:val="20"/>
    </w:rPr>
  </w:style>
  <w:style w:type="paragraph" w:styleId="32">
    <w:name w:val="toc 8"/>
    <w:basedOn w:val="1"/>
    <w:next w:val="1"/>
    <w:qFormat/>
    <w:uiPriority w:val="39"/>
    <w:pPr>
      <w:ind w:left="1680"/>
    </w:pPr>
    <w:rPr>
      <w:rFonts w:ascii="Calibri" w:hAnsi="Calibri" w:cs="Calibri"/>
      <w:sz w:val="18"/>
      <w:szCs w:val="18"/>
    </w:rPr>
  </w:style>
  <w:style w:type="paragraph" w:styleId="33">
    <w:name w:val="Date"/>
    <w:basedOn w:val="1"/>
    <w:next w:val="1"/>
    <w:link w:val="91"/>
    <w:qFormat/>
    <w:uiPriority w:val="0"/>
    <w:pPr>
      <w:ind w:left="100" w:leftChars="2500"/>
    </w:pPr>
    <w:rPr>
      <w:rFonts w:cs="Times New Roman"/>
      <w:kern w:val="2"/>
      <w:sz w:val="28"/>
      <w:szCs w:val="20"/>
    </w:rPr>
  </w:style>
  <w:style w:type="paragraph" w:styleId="34">
    <w:name w:val="Balloon Text"/>
    <w:basedOn w:val="1"/>
    <w:link w:val="92"/>
    <w:qFormat/>
    <w:uiPriority w:val="0"/>
    <w:rPr>
      <w:rFonts w:ascii="Times New Roman" w:hAnsi="Times New Roman" w:cs="Times New Roman"/>
      <w:kern w:val="2"/>
      <w:sz w:val="18"/>
      <w:szCs w:val="18"/>
    </w:rPr>
  </w:style>
  <w:style w:type="paragraph" w:styleId="35">
    <w:name w:val="footer"/>
    <w:basedOn w:val="1"/>
    <w:next w:val="1"/>
    <w:link w:val="93"/>
    <w:qFormat/>
    <w:uiPriority w:val="99"/>
    <w:pPr>
      <w:tabs>
        <w:tab w:val="center" w:pos="4153"/>
        <w:tab w:val="right" w:pos="8306"/>
      </w:tabs>
      <w:snapToGrid w:val="0"/>
      <w:jc w:val="left"/>
    </w:pPr>
    <w:rPr>
      <w:rFonts w:ascii="Times New Roman" w:hAnsi="Times New Roman" w:eastAsia="宋体（打印机字体）" w:cs="Times New Roman"/>
      <w:kern w:val="2"/>
      <w:sz w:val="18"/>
      <w:szCs w:val="20"/>
    </w:rPr>
  </w:style>
  <w:style w:type="paragraph" w:styleId="36">
    <w:name w:val="header"/>
    <w:basedOn w:val="1"/>
    <w:link w:val="94"/>
    <w:qFormat/>
    <w:uiPriority w:val="99"/>
    <w:pPr>
      <w:pBdr>
        <w:bottom w:val="single" w:color="auto" w:sz="6" w:space="1"/>
      </w:pBdr>
      <w:tabs>
        <w:tab w:val="center" w:pos="4153"/>
        <w:tab w:val="right" w:pos="8306"/>
      </w:tabs>
      <w:snapToGrid w:val="0"/>
      <w:jc w:val="center"/>
    </w:pPr>
    <w:rPr>
      <w:rFonts w:ascii="Times New Roman" w:hAnsi="Times New Roman" w:eastAsia="宋体（打印机字体）" w:cs="Times New Roman"/>
      <w:kern w:val="2"/>
      <w:sz w:val="18"/>
      <w:szCs w:val="20"/>
    </w:rPr>
  </w:style>
  <w:style w:type="paragraph" w:styleId="37">
    <w:name w:val="toc 1"/>
    <w:basedOn w:val="1"/>
    <w:next w:val="1"/>
    <w:qFormat/>
    <w:uiPriority w:val="39"/>
    <w:pPr>
      <w:spacing w:before="120" w:after="120"/>
    </w:pPr>
    <w:rPr>
      <w:rFonts w:ascii="Calibri" w:hAnsi="Calibri" w:cs="Calibri"/>
      <w:b/>
      <w:bCs/>
      <w:caps/>
      <w:sz w:val="20"/>
      <w:szCs w:val="20"/>
    </w:rPr>
  </w:style>
  <w:style w:type="paragraph" w:styleId="38">
    <w:name w:val="toc 4"/>
    <w:basedOn w:val="1"/>
    <w:next w:val="1"/>
    <w:qFormat/>
    <w:uiPriority w:val="39"/>
    <w:pPr>
      <w:ind w:left="720"/>
    </w:pPr>
    <w:rPr>
      <w:rFonts w:ascii="Calibri" w:hAnsi="Calibri" w:cs="Calibri"/>
      <w:sz w:val="18"/>
      <w:szCs w:val="18"/>
    </w:rPr>
  </w:style>
  <w:style w:type="paragraph" w:styleId="39">
    <w:name w:val="index heading"/>
    <w:basedOn w:val="1"/>
    <w:next w:val="40"/>
    <w:semiHidden/>
    <w:qFormat/>
    <w:uiPriority w:val="0"/>
    <w:rPr>
      <w:sz w:val="21"/>
      <w:szCs w:val="24"/>
    </w:rPr>
  </w:style>
  <w:style w:type="paragraph" w:styleId="40">
    <w:name w:val="index 1"/>
    <w:basedOn w:val="1"/>
    <w:next w:val="1"/>
    <w:qFormat/>
    <w:uiPriority w:val="0"/>
    <w:pPr>
      <w:jc w:val="center"/>
    </w:pPr>
    <w:rPr>
      <w:rFonts w:ascii="宋体" w:hAnsi="宋体"/>
      <w:sz w:val="21"/>
    </w:rPr>
  </w:style>
  <w:style w:type="paragraph" w:styleId="41">
    <w:name w:val="Subtitle"/>
    <w:basedOn w:val="1"/>
    <w:next w:val="1"/>
    <w:link w:val="95"/>
    <w:qFormat/>
    <w:uiPriority w:val="0"/>
    <w:pPr>
      <w:adjustRightInd w:val="0"/>
      <w:snapToGrid w:val="0"/>
      <w:spacing w:before="240" w:after="60" w:line="312" w:lineRule="atLeast"/>
      <w:ind w:firstLine="200" w:firstLineChars="200"/>
      <w:jc w:val="center"/>
      <w:outlineLvl w:val="1"/>
    </w:pPr>
    <w:rPr>
      <w:rFonts w:ascii="Cambria" w:hAnsi="Cambria" w:cs="Times New Roman"/>
      <w:b/>
      <w:bCs/>
      <w:kern w:val="28"/>
      <w:sz w:val="32"/>
      <w:szCs w:val="32"/>
    </w:rPr>
  </w:style>
  <w:style w:type="paragraph" w:styleId="42">
    <w:name w:val="List"/>
    <w:basedOn w:val="1"/>
    <w:qFormat/>
    <w:uiPriority w:val="0"/>
    <w:pPr>
      <w:ind w:left="200" w:hanging="200" w:hangingChars="200"/>
    </w:pPr>
    <w:rPr>
      <w:sz w:val="21"/>
      <w:szCs w:val="24"/>
    </w:rPr>
  </w:style>
  <w:style w:type="paragraph" w:styleId="43">
    <w:name w:val="footnote text"/>
    <w:basedOn w:val="1"/>
    <w:link w:val="96"/>
    <w:qFormat/>
    <w:uiPriority w:val="0"/>
    <w:pPr>
      <w:snapToGrid w:val="0"/>
      <w:spacing w:line="440" w:lineRule="exact"/>
      <w:jc w:val="left"/>
    </w:pPr>
    <w:rPr>
      <w:rFonts w:ascii="Times New Roman" w:hAnsi="Times New Roman" w:cs="Times New Roman"/>
      <w:kern w:val="2"/>
      <w:sz w:val="18"/>
      <w:szCs w:val="18"/>
    </w:rPr>
  </w:style>
  <w:style w:type="paragraph" w:styleId="44">
    <w:name w:val="toc 6"/>
    <w:basedOn w:val="1"/>
    <w:next w:val="1"/>
    <w:qFormat/>
    <w:uiPriority w:val="39"/>
    <w:pPr>
      <w:ind w:left="1200"/>
    </w:pPr>
    <w:rPr>
      <w:rFonts w:ascii="Calibri" w:hAnsi="Calibri" w:cs="Calibri"/>
      <w:sz w:val="18"/>
      <w:szCs w:val="18"/>
    </w:rPr>
  </w:style>
  <w:style w:type="paragraph" w:styleId="45">
    <w:name w:val="Body Text Indent 3"/>
    <w:basedOn w:val="1"/>
    <w:link w:val="97"/>
    <w:qFormat/>
    <w:uiPriority w:val="0"/>
    <w:pPr>
      <w:ind w:left="560"/>
    </w:pPr>
    <w:rPr>
      <w:rFonts w:ascii="方正书宋简体" w:hAnsi="Times New Roman" w:eastAsia="方正书宋简体" w:cs="Times New Roman"/>
      <w:kern w:val="2"/>
      <w:sz w:val="28"/>
      <w:szCs w:val="20"/>
    </w:rPr>
  </w:style>
  <w:style w:type="paragraph" w:styleId="46">
    <w:name w:val="toc 2"/>
    <w:basedOn w:val="1"/>
    <w:next w:val="1"/>
    <w:qFormat/>
    <w:uiPriority w:val="39"/>
    <w:pPr>
      <w:ind w:left="240"/>
    </w:pPr>
    <w:rPr>
      <w:rFonts w:ascii="Calibri" w:hAnsi="Calibri" w:cs="Calibri"/>
      <w:smallCaps/>
      <w:sz w:val="20"/>
      <w:szCs w:val="20"/>
    </w:rPr>
  </w:style>
  <w:style w:type="paragraph" w:styleId="47">
    <w:name w:val="toc 9"/>
    <w:basedOn w:val="1"/>
    <w:next w:val="1"/>
    <w:qFormat/>
    <w:uiPriority w:val="39"/>
    <w:pPr>
      <w:ind w:left="1920"/>
    </w:pPr>
    <w:rPr>
      <w:rFonts w:ascii="Calibri" w:hAnsi="Calibri" w:cs="Calibri"/>
      <w:sz w:val="18"/>
      <w:szCs w:val="18"/>
    </w:rPr>
  </w:style>
  <w:style w:type="paragraph" w:styleId="48">
    <w:name w:val="Body Text 2"/>
    <w:basedOn w:val="1"/>
    <w:link w:val="98"/>
    <w:qFormat/>
    <w:uiPriority w:val="0"/>
    <w:pPr>
      <w:spacing w:line="240" w:lineRule="exact"/>
    </w:pPr>
    <w:rPr>
      <w:rFonts w:ascii="Times New Roman" w:hAnsi="Times New Roman" w:cs="Times New Roman"/>
      <w:b/>
      <w:bCs/>
      <w:color w:val="008000"/>
      <w:kern w:val="2"/>
      <w:szCs w:val="20"/>
    </w:rPr>
  </w:style>
  <w:style w:type="paragraph" w:styleId="49">
    <w:name w:val="List 4"/>
    <w:basedOn w:val="1"/>
    <w:qFormat/>
    <w:uiPriority w:val="0"/>
    <w:pPr>
      <w:adjustRightInd w:val="0"/>
      <w:snapToGrid w:val="0"/>
      <w:spacing w:line="520" w:lineRule="exact"/>
      <w:ind w:left="100" w:leftChars="600" w:hanging="200" w:hangingChars="200"/>
      <w:contextualSpacing/>
    </w:pPr>
    <w:rPr>
      <w:sz w:val="24"/>
    </w:rPr>
  </w:style>
  <w:style w:type="paragraph" w:styleId="50">
    <w:name w:val="List Continue 2"/>
    <w:basedOn w:val="1"/>
    <w:qFormat/>
    <w:uiPriority w:val="0"/>
    <w:pPr>
      <w:spacing w:after="120"/>
      <w:ind w:left="840" w:leftChars="400"/>
    </w:pPr>
    <w:rPr>
      <w:sz w:val="21"/>
      <w:szCs w:val="24"/>
    </w:rPr>
  </w:style>
  <w:style w:type="paragraph" w:styleId="51">
    <w:name w:val="HTML Preformatted"/>
    <w:basedOn w:val="1"/>
    <w:link w:val="99"/>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ind w:firstLine="200" w:firstLineChars="200"/>
      <w:jc w:val="left"/>
    </w:pPr>
    <w:rPr>
      <w:rFonts w:ascii="黑体" w:hAnsi="Courier New" w:eastAsia="黑体" w:cs="Times New Roman"/>
      <w:sz w:val="20"/>
      <w:szCs w:val="20"/>
    </w:rPr>
  </w:style>
  <w:style w:type="paragraph" w:styleId="52">
    <w:name w:val="Normal (Web)"/>
    <w:basedOn w:val="1"/>
    <w:qFormat/>
    <w:uiPriority w:val="99"/>
    <w:pPr>
      <w:widowControl/>
      <w:spacing w:before="100" w:beforeAutospacing="1" w:after="100" w:afterAutospacing="1"/>
      <w:jc w:val="left"/>
    </w:pPr>
    <w:rPr>
      <w:rFonts w:ascii="Arial Unicode MS" w:hAnsi="Arial Unicode MS" w:eastAsia="Arial Unicode MS" w:cs="Arial Unicode MS"/>
      <w:kern w:val="0"/>
      <w:sz w:val="24"/>
      <w:szCs w:val="24"/>
    </w:rPr>
  </w:style>
  <w:style w:type="paragraph" w:styleId="53">
    <w:name w:val="Title"/>
    <w:basedOn w:val="1"/>
    <w:next w:val="1"/>
    <w:link w:val="100"/>
    <w:qFormat/>
    <w:uiPriority w:val="0"/>
    <w:pPr>
      <w:spacing w:before="240" w:after="60"/>
      <w:jc w:val="center"/>
      <w:outlineLvl w:val="0"/>
    </w:pPr>
    <w:rPr>
      <w:rFonts w:ascii="Cambria" w:hAnsi="Cambria" w:cs="Times New Roman"/>
      <w:b/>
      <w:bCs/>
      <w:kern w:val="2"/>
      <w:sz w:val="32"/>
      <w:szCs w:val="32"/>
    </w:rPr>
  </w:style>
  <w:style w:type="paragraph" w:styleId="54">
    <w:name w:val="annotation subject"/>
    <w:basedOn w:val="23"/>
    <w:next w:val="23"/>
    <w:link w:val="101"/>
    <w:qFormat/>
    <w:uiPriority w:val="0"/>
    <w:rPr>
      <w:rFonts w:ascii="Times New Roman" w:hAnsi="Times New Roman" w:eastAsia="方正书宋简体" w:cs="Times New Roman"/>
      <w:b/>
      <w:bCs/>
      <w:kern w:val="2"/>
      <w:sz w:val="28"/>
      <w:szCs w:val="20"/>
    </w:rPr>
  </w:style>
  <w:style w:type="paragraph" w:styleId="55">
    <w:name w:val="Body Text First Indent 2"/>
    <w:basedOn w:val="26"/>
    <w:link w:val="102"/>
    <w:unhideWhenUsed/>
    <w:qFormat/>
    <w:uiPriority w:val="99"/>
    <w:pPr>
      <w:spacing w:after="120"/>
      <w:ind w:left="420" w:leftChars="200" w:firstLine="420" w:firstLineChars="200"/>
    </w:pPr>
    <w:rPr>
      <w:rFonts w:ascii="Times New Roman" w:eastAsia="宋体"/>
    </w:rPr>
  </w:style>
  <w:style w:type="table" w:styleId="57">
    <w:name w:val="Table Grid"/>
    <w:basedOn w:val="5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58">
    <w:name w:val="Table Simple 1"/>
    <w:basedOn w:val="56"/>
    <w:qFormat/>
    <w:uiPriority w:val="0"/>
    <w:pPr>
      <w:widowControl w:val="0"/>
      <w:jc w:val="both"/>
    </w:pPr>
    <w:tblPr>
      <w:tblBorders>
        <w:top w:val="single" w:color="008000" w:sz="12" w:space="0"/>
        <w:bottom w:val="single" w:color="008000" w:sz="12" w:space="0"/>
      </w:tblBorders>
    </w:tblPr>
    <w:tcPr>
      <w:shd w:val="clear" w:color="auto" w:fill="auto"/>
    </w:tcPr>
    <w:tblStylePr w:type="firstRow">
      <w:tblPr/>
      <w:tcPr>
        <w:tcBorders>
          <w:top w:val="nil"/>
          <w:left w:val="single" w:color="008000" w:sz="6" w:space="0"/>
          <w:bottom w:val="nil"/>
          <w:right w:val="nil"/>
          <w:insideH w:val="nil"/>
          <w:insideV w:val="nil"/>
          <w:tl2br w:val="nil"/>
          <w:tr2bl w:val="nil"/>
        </w:tcBorders>
      </w:tcPr>
    </w:tblStylePr>
    <w:tblStylePr w:type="lastRow">
      <w:tblPr/>
      <w:tcPr>
        <w:tcBorders>
          <w:top w:val="single" w:color="008000" w:sz="6" w:space="0"/>
          <w:left w:val="nil"/>
          <w:bottom w:val="nil"/>
          <w:right w:val="nil"/>
          <w:insideH w:val="nil"/>
          <w:insideV w:val="nil"/>
          <w:tl2br w:val="nil"/>
          <w:tr2bl w:val="nil"/>
        </w:tcBorders>
      </w:tcPr>
    </w:tblStylePr>
  </w:style>
  <w:style w:type="table" w:styleId="59">
    <w:name w:val="Light Shading Accent 2"/>
    <w:basedOn w:val="56"/>
    <w:qFormat/>
    <w:uiPriority w:val="0"/>
    <w:rPr>
      <w:b/>
      <w:bCs/>
      <w:i/>
      <w:iCs/>
      <w:color w:val="4F81BD"/>
      <w:kern w:val="2"/>
      <w:sz w:val="24"/>
      <w:szCs w:val="24"/>
    </w:rPr>
    <w:tblPr>
      <w:tblBorders>
        <w:top w:val="single" w:color="C0504D" w:sz="8" w:space="0"/>
        <w:bottom w:val="single" w:color="C0504D" w:sz="8" w:space="0"/>
      </w:tblBorders>
    </w:tblPr>
    <w:tblStylePr w:type="firstRow">
      <w:pPr>
        <w:spacing w:before="0" w:after="0" w:line="240" w:lineRule="auto"/>
      </w:pPr>
      <w:rPr>
        <w:b/>
        <w:bCs/>
      </w:rPr>
      <w:tblPr/>
      <w:tcPr>
        <w:tcBorders>
          <w:top w:val="single" w:color="C0504D" w:sz="8" w:space="0"/>
          <w:left w:val="single" w:color="C0504D" w:sz="8" w:space="0"/>
          <w:bottom w:val="nil"/>
          <w:right w:val="nil"/>
          <w:insideH w:val="nil"/>
          <w:insideV w:val="nil"/>
          <w:tl2br w:val="nil"/>
          <w:tr2bl w:val="nil"/>
        </w:tcBorders>
      </w:tcPr>
    </w:tblStylePr>
    <w:tblStylePr w:type="lastRow">
      <w:pPr>
        <w:spacing w:before="0" w:after="0" w:line="240" w:lineRule="auto"/>
      </w:pPr>
      <w:rPr>
        <w:b/>
        <w:bCs/>
      </w:rPr>
      <w:tblPr/>
      <w:tcPr>
        <w:tcBorders>
          <w:top w:val="single" w:color="C0504D" w:sz="8" w:space="0"/>
          <w:left w:val="single" w:color="C0504D" w:sz="8" w:space="0"/>
          <w:bottom w:val="nil"/>
          <w:right w:val="nil"/>
          <w:insideH w:val="nil"/>
          <w:insideV w:val="nil"/>
          <w:tl2br w:val="nil"/>
          <w:tr2bl w:val="nil"/>
        </w:tcBorders>
      </w:tcPr>
    </w:tblStylePr>
    <w:tblStylePr w:type="firstCol">
      <w:rPr>
        <w:b/>
        <w:bCs/>
      </w:rPr>
    </w:tblStylePr>
    <w:tblStylePr w:type="lastCol">
      <w:rPr>
        <w:b/>
        <w:bCs/>
      </w:rPr>
    </w:tblStylePr>
    <w:tblStylePr w:type="band1Vert">
      <w:tblPr/>
      <w:tcPr>
        <w:tcBorders>
          <w:top w:val="nil"/>
          <w:left w:val="nil"/>
          <w:bottom w:val="nil"/>
          <w:right w:val="nil"/>
          <w:insideH w:val="nil"/>
          <w:insideV w:val="nil"/>
          <w:tl2br w:val="nil"/>
          <w:tr2bl w:val="nil"/>
        </w:tcBorders>
        <w:shd w:val="clear" w:color="auto" w:fill="EFD3D2"/>
      </w:tcPr>
    </w:tblStylePr>
    <w:tblStylePr w:type="band1Horz">
      <w:tblPr/>
      <w:tcPr>
        <w:tcBorders>
          <w:top w:val="nil"/>
          <w:left w:val="nil"/>
          <w:bottom w:val="nil"/>
          <w:right w:val="nil"/>
          <w:insideH w:val="nil"/>
          <w:insideV w:val="nil"/>
          <w:tl2br w:val="nil"/>
          <w:tr2bl w:val="nil"/>
        </w:tcBorders>
        <w:shd w:val="clear" w:color="auto" w:fill="EFD3D2"/>
      </w:tcPr>
    </w:tblStylePr>
  </w:style>
  <w:style w:type="character" w:styleId="61">
    <w:name w:val="Strong"/>
    <w:qFormat/>
    <w:uiPriority w:val="22"/>
    <w:rPr>
      <w:b/>
      <w:bCs/>
    </w:rPr>
  </w:style>
  <w:style w:type="character" w:styleId="62">
    <w:name w:val="page number"/>
    <w:basedOn w:val="60"/>
    <w:qFormat/>
    <w:uiPriority w:val="0"/>
  </w:style>
  <w:style w:type="character" w:styleId="63">
    <w:name w:val="FollowedHyperlink"/>
    <w:qFormat/>
    <w:uiPriority w:val="0"/>
    <w:rPr>
      <w:color w:val="800080"/>
      <w:u w:val="single"/>
    </w:rPr>
  </w:style>
  <w:style w:type="character" w:styleId="64">
    <w:name w:val="Emphasis"/>
    <w:qFormat/>
    <w:uiPriority w:val="0"/>
    <w:rPr>
      <w:i/>
      <w:iCs/>
    </w:rPr>
  </w:style>
  <w:style w:type="character" w:styleId="65">
    <w:name w:val="line number"/>
    <w:qFormat/>
    <w:uiPriority w:val="0"/>
  </w:style>
  <w:style w:type="character" w:styleId="66">
    <w:name w:val="Hyperlink"/>
    <w:qFormat/>
    <w:uiPriority w:val="99"/>
    <w:rPr>
      <w:color w:val="0000FF"/>
      <w:u w:val="single"/>
    </w:rPr>
  </w:style>
  <w:style w:type="character" w:styleId="67">
    <w:name w:val="HTML Code"/>
    <w:qFormat/>
    <w:uiPriority w:val="0"/>
    <w:rPr>
      <w:rFonts w:ascii="黑体" w:hAnsi="Courier New" w:eastAsia="黑体" w:cs="Courier New"/>
      <w:sz w:val="24"/>
      <w:szCs w:val="24"/>
    </w:rPr>
  </w:style>
  <w:style w:type="character" w:styleId="68">
    <w:name w:val="annotation reference"/>
    <w:qFormat/>
    <w:uiPriority w:val="99"/>
    <w:rPr>
      <w:sz w:val="21"/>
      <w:szCs w:val="21"/>
    </w:rPr>
  </w:style>
  <w:style w:type="paragraph" w:customStyle="1" w:styleId="69">
    <w:name w:val="Default"/>
    <w:basedOn w:val="70"/>
    <w:next w:val="30"/>
    <w:qFormat/>
    <w:uiPriority w:val="0"/>
    <w:pPr>
      <w:widowControl w:val="0"/>
      <w:autoSpaceDE w:val="0"/>
      <w:autoSpaceDN w:val="0"/>
      <w:adjustRightInd w:val="0"/>
    </w:pPr>
    <w:rPr>
      <w:rFonts w:ascii="ST Song" w:hAnsi="Times New Roman" w:eastAsia="ST Song" w:cs="ST Song"/>
      <w:color w:val="000000"/>
      <w:sz w:val="24"/>
      <w:szCs w:val="24"/>
      <w:lang w:val="en-US" w:eastAsia="zh-CN" w:bidi="ar-SA"/>
    </w:rPr>
  </w:style>
  <w:style w:type="paragraph" w:customStyle="1" w:styleId="70">
    <w:name w:val="纯文本1"/>
    <w:basedOn w:val="1"/>
    <w:autoRedefine/>
    <w:qFormat/>
    <w:uiPriority w:val="0"/>
    <w:pPr>
      <w:adjustRightInd w:val="0"/>
      <w:spacing w:line="240" w:lineRule="auto"/>
      <w:ind w:firstLine="0" w:firstLineChars="0"/>
      <w:textAlignment w:val="baseline"/>
    </w:pPr>
    <w:rPr>
      <w:rFonts w:ascii="宋体" w:hAnsi="Courier New" w:eastAsia="宋体" w:cs="Times New Roman"/>
      <w:sz w:val="21"/>
      <w:szCs w:val="20"/>
    </w:rPr>
  </w:style>
  <w:style w:type="character" w:customStyle="1" w:styleId="71">
    <w:name w:val="正文文本缩进 2 Char1"/>
    <w:link w:val="2"/>
    <w:qFormat/>
    <w:uiPriority w:val="0"/>
    <w:rPr>
      <w:rFonts w:ascii="方正书宋简体" w:eastAsia="方正书宋简体"/>
      <w:kern w:val="2"/>
      <w:sz w:val="28"/>
      <w:lang w:val="en-US" w:eastAsia="zh-CN" w:bidi="ar-SA"/>
    </w:rPr>
  </w:style>
  <w:style w:type="character" w:customStyle="1" w:styleId="72">
    <w:name w:val="正文文本 Char1"/>
    <w:link w:val="4"/>
    <w:qFormat/>
    <w:uiPriority w:val="0"/>
    <w:rPr>
      <w:rFonts w:ascii="方正书宋简体" w:eastAsia="方正书宋简体"/>
      <w:kern w:val="2"/>
      <w:sz w:val="28"/>
    </w:rPr>
  </w:style>
  <w:style w:type="character" w:customStyle="1" w:styleId="73">
    <w:name w:val="正文首行缩进 Char"/>
    <w:link w:val="3"/>
    <w:qFormat/>
    <w:uiPriority w:val="0"/>
    <w:rPr>
      <w:rFonts w:hAnsi="宋体" w:cs="宋体"/>
      <w:sz w:val="21"/>
      <w:szCs w:val="24"/>
    </w:rPr>
  </w:style>
  <w:style w:type="character" w:customStyle="1" w:styleId="74">
    <w:name w:val="标题1 Char"/>
    <w:link w:val="5"/>
    <w:qFormat/>
    <w:uiPriority w:val="0"/>
    <w:rPr>
      <w:b/>
      <w:bCs/>
      <w:kern w:val="44"/>
      <w:sz w:val="44"/>
      <w:szCs w:val="44"/>
    </w:rPr>
  </w:style>
  <w:style w:type="character" w:customStyle="1" w:styleId="75">
    <w:name w:val="标题 2 Char"/>
    <w:link w:val="6"/>
    <w:qFormat/>
    <w:uiPriority w:val="0"/>
    <w:rPr>
      <w:b/>
      <w:sz w:val="32"/>
      <w:szCs w:val="24"/>
    </w:rPr>
  </w:style>
  <w:style w:type="character" w:customStyle="1" w:styleId="76">
    <w:name w:val="标题 3 Char3"/>
    <w:link w:val="7"/>
    <w:qFormat/>
    <w:uiPriority w:val="0"/>
    <w:rPr>
      <w:b/>
      <w:sz w:val="24"/>
      <w:szCs w:val="28"/>
    </w:rPr>
  </w:style>
  <w:style w:type="character" w:customStyle="1" w:styleId="77">
    <w:name w:val="标题 4 字符"/>
    <w:link w:val="8"/>
    <w:qFormat/>
    <w:uiPriority w:val="0"/>
    <w:rPr>
      <w:rFonts w:ascii="仿宋_GB2312" w:hAnsi="Arial" w:eastAsia="仿宋_GB2312" w:cs="宋体"/>
      <w:sz w:val="24"/>
      <w:szCs w:val="24"/>
    </w:rPr>
  </w:style>
  <w:style w:type="character" w:customStyle="1" w:styleId="78">
    <w:name w:val="标题 5 Char"/>
    <w:link w:val="9"/>
    <w:qFormat/>
    <w:uiPriority w:val="0"/>
    <w:rPr>
      <w:rFonts w:ascii="仿宋_GB2312" w:hAnsi="宋体" w:eastAsia="仿宋_GB2312" w:cs="宋体"/>
      <w:sz w:val="24"/>
      <w:szCs w:val="24"/>
    </w:rPr>
  </w:style>
  <w:style w:type="character" w:customStyle="1" w:styleId="79">
    <w:name w:val="标题 6 Char"/>
    <w:link w:val="10"/>
    <w:qFormat/>
    <w:uiPriority w:val="0"/>
    <w:rPr>
      <w:b/>
      <w:bCs/>
      <w:sz w:val="18"/>
    </w:rPr>
  </w:style>
  <w:style w:type="character" w:customStyle="1" w:styleId="80">
    <w:name w:val="标题 7 Char"/>
    <w:link w:val="11"/>
    <w:qFormat/>
    <w:uiPriority w:val="0"/>
    <w:rPr>
      <w:rFonts w:ascii="宋体" w:hAnsi="宋体"/>
      <w:i/>
      <w:iCs/>
      <w:kern w:val="2"/>
      <w:sz w:val="21"/>
      <w:szCs w:val="21"/>
    </w:rPr>
  </w:style>
  <w:style w:type="character" w:customStyle="1" w:styleId="81">
    <w:name w:val="标题 8 Char"/>
    <w:link w:val="12"/>
    <w:qFormat/>
    <w:uiPriority w:val="0"/>
    <w:rPr>
      <w:rFonts w:ascii="Arial" w:hAnsi="Arial" w:eastAsia="仿宋_GB2312"/>
      <w:sz w:val="28"/>
    </w:rPr>
  </w:style>
  <w:style w:type="character" w:customStyle="1" w:styleId="82">
    <w:name w:val="标题 9 Char"/>
    <w:link w:val="13"/>
    <w:qFormat/>
    <w:uiPriority w:val="0"/>
    <w:rPr>
      <w:rFonts w:ascii="Arial" w:hAnsi="Arial" w:eastAsia="仿宋_GB2312"/>
      <w:sz w:val="28"/>
    </w:rPr>
  </w:style>
  <w:style w:type="character" w:customStyle="1" w:styleId="83">
    <w:name w:val="注释标题 字符"/>
    <w:link w:val="17"/>
    <w:qFormat/>
    <w:uiPriority w:val="0"/>
    <w:rPr>
      <w:rFonts w:eastAsia="黑体"/>
      <w:b/>
      <w:kern w:val="2"/>
      <w:sz w:val="24"/>
      <w:szCs w:val="24"/>
    </w:rPr>
  </w:style>
  <w:style w:type="character" w:customStyle="1" w:styleId="84">
    <w:name w:val="正文缩进 Char1"/>
    <w:link w:val="19"/>
    <w:qFormat/>
    <w:locked/>
    <w:uiPriority w:val="0"/>
    <w:rPr>
      <w:rFonts w:eastAsia="宋体"/>
      <w:kern w:val="2"/>
      <w:sz w:val="28"/>
      <w:lang w:val="en-US" w:eastAsia="zh-CN" w:bidi="ar-SA"/>
    </w:rPr>
  </w:style>
  <w:style w:type="character" w:customStyle="1" w:styleId="85">
    <w:name w:val="题注 Char1"/>
    <w:link w:val="20"/>
    <w:qFormat/>
    <w:uiPriority w:val="35"/>
    <w:rPr>
      <w:rFonts w:ascii="Arial" w:hAnsi="Arial" w:eastAsia="黑体" w:cs="Arial"/>
      <w:kern w:val="2"/>
      <w:sz w:val="24"/>
      <w:szCs w:val="24"/>
    </w:rPr>
  </w:style>
  <w:style w:type="character" w:customStyle="1" w:styleId="86">
    <w:name w:val="文档结构图 Char"/>
    <w:link w:val="21"/>
    <w:qFormat/>
    <w:uiPriority w:val="0"/>
    <w:rPr>
      <w:kern w:val="2"/>
      <w:sz w:val="28"/>
      <w:shd w:val="clear" w:color="auto" w:fill="000080"/>
    </w:rPr>
  </w:style>
  <w:style w:type="character" w:customStyle="1" w:styleId="87">
    <w:name w:val="批注文字 Char"/>
    <w:link w:val="23"/>
    <w:qFormat/>
    <w:uiPriority w:val="99"/>
    <w:rPr>
      <w:kern w:val="2"/>
      <w:sz w:val="21"/>
      <w:szCs w:val="24"/>
    </w:rPr>
  </w:style>
  <w:style w:type="character" w:customStyle="1" w:styleId="88">
    <w:name w:val="正文文本 3 Char"/>
    <w:link w:val="24"/>
    <w:qFormat/>
    <w:uiPriority w:val="0"/>
    <w:rPr>
      <w:kern w:val="2"/>
      <w:sz w:val="24"/>
    </w:rPr>
  </w:style>
  <w:style w:type="character" w:customStyle="1" w:styleId="89">
    <w:name w:val="正文文本缩进 Char"/>
    <w:link w:val="26"/>
    <w:qFormat/>
    <w:uiPriority w:val="0"/>
    <w:rPr>
      <w:rFonts w:ascii="仿宋_GB2312" w:eastAsia="仿宋_GB2312"/>
      <w:kern w:val="2"/>
      <w:sz w:val="28"/>
      <w:lang w:val="en-US" w:eastAsia="zh-CN" w:bidi="ar-SA"/>
    </w:rPr>
  </w:style>
  <w:style w:type="character" w:customStyle="1" w:styleId="90">
    <w:name w:val="纯文本 Char1"/>
    <w:link w:val="31"/>
    <w:qFormat/>
    <w:uiPriority w:val="0"/>
    <w:rPr>
      <w:rFonts w:ascii="宋体" w:hAnsi="Courier New" w:eastAsia="宋体"/>
      <w:kern w:val="2"/>
      <w:sz w:val="21"/>
      <w:lang w:val="en-US" w:eastAsia="zh-CN" w:bidi="ar-SA"/>
    </w:rPr>
  </w:style>
  <w:style w:type="character" w:customStyle="1" w:styleId="91">
    <w:name w:val="日期 Char"/>
    <w:link w:val="33"/>
    <w:qFormat/>
    <w:uiPriority w:val="0"/>
    <w:rPr>
      <w:rFonts w:ascii="宋体" w:hAnsi="宋体"/>
      <w:kern w:val="2"/>
      <w:sz w:val="28"/>
    </w:rPr>
  </w:style>
  <w:style w:type="character" w:customStyle="1" w:styleId="92">
    <w:name w:val="批注框文本 Char1"/>
    <w:link w:val="34"/>
    <w:qFormat/>
    <w:uiPriority w:val="0"/>
    <w:rPr>
      <w:kern w:val="2"/>
      <w:sz w:val="18"/>
      <w:szCs w:val="18"/>
    </w:rPr>
  </w:style>
  <w:style w:type="character" w:customStyle="1" w:styleId="93">
    <w:name w:val="页脚 Char"/>
    <w:link w:val="35"/>
    <w:qFormat/>
    <w:uiPriority w:val="99"/>
    <w:rPr>
      <w:rFonts w:eastAsia="宋体（打印机字体）"/>
      <w:kern w:val="2"/>
      <w:sz w:val="18"/>
    </w:rPr>
  </w:style>
  <w:style w:type="character" w:customStyle="1" w:styleId="94">
    <w:name w:val="页眉 Char"/>
    <w:link w:val="36"/>
    <w:qFormat/>
    <w:uiPriority w:val="99"/>
    <w:rPr>
      <w:rFonts w:eastAsia="宋体（打印机字体）"/>
      <w:kern w:val="2"/>
      <w:sz w:val="18"/>
    </w:rPr>
  </w:style>
  <w:style w:type="character" w:customStyle="1" w:styleId="95">
    <w:name w:val="副标题 Char"/>
    <w:link w:val="41"/>
    <w:qFormat/>
    <w:uiPriority w:val="0"/>
    <w:rPr>
      <w:rFonts w:ascii="Cambria" w:hAnsi="Cambria"/>
      <w:b/>
      <w:bCs/>
      <w:kern w:val="28"/>
      <w:sz w:val="32"/>
      <w:szCs w:val="32"/>
    </w:rPr>
  </w:style>
  <w:style w:type="character" w:customStyle="1" w:styleId="96">
    <w:name w:val="脚注文本 Char"/>
    <w:link w:val="43"/>
    <w:qFormat/>
    <w:uiPriority w:val="0"/>
    <w:rPr>
      <w:kern w:val="2"/>
      <w:sz w:val="18"/>
      <w:szCs w:val="18"/>
    </w:rPr>
  </w:style>
  <w:style w:type="character" w:customStyle="1" w:styleId="97">
    <w:name w:val="正文文本缩进 3 Char"/>
    <w:link w:val="45"/>
    <w:qFormat/>
    <w:uiPriority w:val="0"/>
    <w:rPr>
      <w:rFonts w:ascii="方正书宋简体" w:eastAsia="方正书宋简体"/>
      <w:kern w:val="2"/>
      <w:sz w:val="28"/>
    </w:rPr>
  </w:style>
  <w:style w:type="character" w:customStyle="1" w:styleId="98">
    <w:name w:val="正文文本 2 Char"/>
    <w:link w:val="48"/>
    <w:qFormat/>
    <w:uiPriority w:val="0"/>
    <w:rPr>
      <w:b/>
      <w:bCs/>
      <w:color w:val="008000"/>
      <w:kern w:val="2"/>
      <w:sz w:val="24"/>
    </w:rPr>
  </w:style>
  <w:style w:type="character" w:customStyle="1" w:styleId="99">
    <w:name w:val="HTML 预设格式 字符"/>
    <w:link w:val="51"/>
    <w:qFormat/>
    <w:uiPriority w:val="0"/>
    <w:rPr>
      <w:rFonts w:ascii="黑体" w:hAnsi="Courier New" w:eastAsia="黑体" w:cs="Courier New"/>
    </w:rPr>
  </w:style>
  <w:style w:type="character" w:customStyle="1" w:styleId="100">
    <w:name w:val="标题 Char1"/>
    <w:link w:val="53"/>
    <w:qFormat/>
    <w:uiPriority w:val="0"/>
    <w:rPr>
      <w:rFonts w:ascii="Cambria" w:hAnsi="Cambria" w:eastAsia="宋体"/>
      <w:b/>
      <w:bCs/>
      <w:kern w:val="2"/>
      <w:sz w:val="32"/>
      <w:szCs w:val="32"/>
      <w:lang w:val="en-US" w:eastAsia="zh-CN" w:bidi="ar-SA"/>
    </w:rPr>
  </w:style>
  <w:style w:type="character" w:customStyle="1" w:styleId="101">
    <w:name w:val="批注主题 Char"/>
    <w:link w:val="54"/>
    <w:qFormat/>
    <w:uiPriority w:val="0"/>
    <w:rPr>
      <w:rFonts w:eastAsia="方正书宋简体"/>
      <w:b/>
      <w:bCs/>
      <w:kern w:val="2"/>
      <w:sz w:val="28"/>
    </w:rPr>
  </w:style>
  <w:style w:type="character" w:customStyle="1" w:styleId="102">
    <w:name w:val="正文首行缩进 2 Char"/>
    <w:basedOn w:val="89"/>
    <w:link w:val="55"/>
    <w:semiHidden/>
    <w:qFormat/>
    <w:uiPriority w:val="99"/>
  </w:style>
  <w:style w:type="paragraph" w:customStyle="1" w:styleId="103">
    <w:name w:val="xl39"/>
    <w:basedOn w:val="1"/>
    <w:qFormat/>
    <w:uiPriority w:val="0"/>
    <w:pPr>
      <w:widowControl/>
      <w:spacing w:before="100" w:after="100"/>
      <w:jc w:val="center"/>
    </w:pPr>
    <w:rPr>
      <w:rFonts w:ascii="Arial Unicode MS" w:hAnsi="Arial Unicode MS" w:eastAsia="Arial Unicode MS"/>
      <w:kern w:val="0"/>
      <w:sz w:val="24"/>
    </w:rPr>
  </w:style>
  <w:style w:type="character" w:customStyle="1" w:styleId="104">
    <w:name w:val="f241"/>
    <w:qFormat/>
    <w:uiPriority w:val="0"/>
    <w:rPr>
      <w:spacing w:val="288"/>
      <w:sz w:val="36"/>
      <w:szCs w:val="36"/>
    </w:rPr>
  </w:style>
  <w:style w:type="character" w:customStyle="1" w:styleId="105">
    <w:name w:val="text31"/>
    <w:qFormat/>
    <w:uiPriority w:val="0"/>
    <w:rPr>
      <w:rFonts w:hint="eastAsia" w:ascii="宋体" w:hAnsi="宋体" w:eastAsia="宋体"/>
      <w:color w:val="673434"/>
      <w:sz w:val="22"/>
      <w:szCs w:val="22"/>
      <w:u w:val="none"/>
    </w:rPr>
  </w:style>
  <w:style w:type="character" w:customStyle="1" w:styleId="106">
    <w:name w:val="正文文本缩进 2 Char"/>
    <w:qFormat/>
    <w:uiPriority w:val="0"/>
    <w:rPr>
      <w:rFonts w:ascii="方正书宋简体" w:eastAsia="方正书宋简体"/>
      <w:kern w:val="2"/>
      <w:sz w:val="28"/>
      <w:lang w:val="en-US" w:eastAsia="zh-CN" w:bidi="ar-SA"/>
    </w:rPr>
  </w:style>
  <w:style w:type="paragraph" w:customStyle="1" w:styleId="107">
    <w:name w:val="表题"/>
    <w:basedOn w:val="1"/>
    <w:qFormat/>
    <w:uiPriority w:val="0"/>
    <w:pPr>
      <w:tabs>
        <w:tab w:val="left" w:pos="4305"/>
      </w:tabs>
      <w:jc w:val="center"/>
    </w:pPr>
    <w:rPr>
      <w:b/>
      <w:sz w:val="21"/>
      <w:szCs w:val="21"/>
    </w:rPr>
  </w:style>
  <w:style w:type="paragraph" w:customStyle="1" w:styleId="108">
    <w:name w:val="表内5"/>
    <w:basedOn w:val="1"/>
    <w:qFormat/>
    <w:uiPriority w:val="0"/>
    <w:pPr>
      <w:tabs>
        <w:tab w:val="left" w:pos="4680"/>
      </w:tabs>
      <w:adjustRightInd w:val="0"/>
      <w:snapToGrid w:val="0"/>
      <w:ind w:firstLine="200" w:firstLineChars="350"/>
      <w:jc w:val="center"/>
    </w:pPr>
    <w:rPr>
      <w:rFonts w:hAnsi="宋体"/>
      <w:color w:val="000000"/>
      <w:sz w:val="21"/>
      <w:szCs w:val="21"/>
    </w:rPr>
  </w:style>
  <w:style w:type="paragraph" w:customStyle="1" w:styleId="109">
    <w:name w:val="样式 燕山正文 + 首行缩进:  3.5 字符"/>
    <w:basedOn w:val="1"/>
    <w:qFormat/>
    <w:uiPriority w:val="0"/>
    <w:pPr>
      <w:tabs>
        <w:tab w:val="left" w:pos="4680"/>
      </w:tabs>
      <w:adjustRightInd w:val="0"/>
      <w:snapToGrid w:val="0"/>
      <w:spacing w:afterLines="50" w:line="460" w:lineRule="exact"/>
      <w:ind w:firstLine="480" w:firstLineChars="200"/>
    </w:pPr>
    <w:rPr>
      <w:rFonts w:hAnsi="宋体"/>
      <w:color w:val="000000"/>
      <w:sz w:val="24"/>
      <w:szCs w:val="24"/>
    </w:rPr>
  </w:style>
  <w:style w:type="paragraph" w:customStyle="1" w:styleId="110">
    <w:name w:val="正文首行缩近"/>
    <w:qFormat/>
    <w:uiPriority w:val="0"/>
    <w:pPr>
      <w:adjustRightInd w:val="0"/>
      <w:snapToGrid w:val="0"/>
      <w:spacing w:line="360" w:lineRule="auto"/>
      <w:ind w:firstLine="480" w:firstLineChars="200"/>
      <w:jc w:val="both"/>
    </w:pPr>
    <w:rPr>
      <w:rFonts w:ascii="Times New Roman" w:hAnsi="Times New Roman" w:eastAsia="宋体" w:cs="Times New Roman"/>
      <w:kern w:val="2"/>
      <w:sz w:val="24"/>
      <w:lang w:val="en-US" w:eastAsia="zh-CN" w:bidi="ar-SA"/>
    </w:rPr>
  </w:style>
  <w:style w:type="paragraph" w:customStyle="1" w:styleId="111">
    <w:name w:val="表格内容"/>
    <w:basedOn w:val="1"/>
    <w:next w:val="1"/>
    <w:qFormat/>
    <w:uiPriority w:val="0"/>
    <w:pPr>
      <w:overflowPunct w:val="0"/>
      <w:adjustRightInd w:val="0"/>
      <w:spacing w:before="40" w:after="60" w:line="200" w:lineRule="atLeast"/>
      <w:textAlignment w:val="baseline"/>
    </w:pPr>
    <w:rPr>
      <w:rFonts w:eastAsia="仿宋_GB2312"/>
      <w:kern w:val="0"/>
      <w:sz w:val="24"/>
    </w:rPr>
  </w:style>
  <w:style w:type="paragraph" w:customStyle="1" w:styleId="112">
    <w:name w:val="表头"/>
    <w:link w:val="113"/>
    <w:qFormat/>
    <w:uiPriority w:val="0"/>
    <w:pPr>
      <w:adjustRightInd w:val="0"/>
      <w:snapToGrid w:val="0"/>
      <w:jc w:val="center"/>
    </w:pPr>
    <w:rPr>
      <w:rFonts w:ascii="Times New Roman" w:hAnsi="Times New Roman" w:eastAsia="黑体" w:cs="Times New Roman"/>
      <w:kern w:val="2"/>
      <w:sz w:val="24"/>
      <w:lang w:val="en-US" w:eastAsia="zh-CN" w:bidi="ar-SA"/>
    </w:rPr>
  </w:style>
  <w:style w:type="character" w:customStyle="1" w:styleId="113">
    <w:name w:val="表头 Char Char"/>
    <w:link w:val="112"/>
    <w:qFormat/>
    <w:locked/>
    <w:uiPriority w:val="0"/>
    <w:rPr>
      <w:rFonts w:eastAsia="黑体"/>
      <w:kern w:val="2"/>
      <w:sz w:val="24"/>
      <w:lang w:bidi="ar-SA"/>
    </w:rPr>
  </w:style>
  <w:style w:type="paragraph" w:customStyle="1" w:styleId="114">
    <w:name w:val="表内"/>
    <w:qFormat/>
    <w:uiPriority w:val="0"/>
    <w:pPr>
      <w:adjustRightInd w:val="0"/>
      <w:snapToGrid w:val="0"/>
      <w:ind w:left="-105" w:leftChars="-50" w:right="-105" w:rightChars="-50"/>
      <w:jc w:val="center"/>
    </w:pPr>
    <w:rPr>
      <w:rFonts w:ascii="Times New Roman" w:hAnsi="Times New Roman" w:eastAsia="宋体" w:cs="Times New Roman"/>
      <w:kern w:val="2"/>
      <w:sz w:val="21"/>
      <w:lang w:val="en-US" w:eastAsia="zh-CN" w:bidi="ar-SA"/>
    </w:rPr>
  </w:style>
  <w:style w:type="paragraph" w:customStyle="1" w:styleId="115">
    <w:name w:val="孙为军标题2"/>
    <w:basedOn w:val="1"/>
    <w:qFormat/>
    <w:uiPriority w:val="0"/>
    <w:rPr>
      <w:sz w:val="21"/>
    </w:rPr>
  </w:style>
  <w:style w:type="paragraph" w:customStyle="1" w:styleId="116">
    <w:name w:val="标题2"/>
    <w:basedOn w:val="6"/>
    <w:qFormat/>
    <w:uiPriority w:val="0"/>
    <w:pPr>
      <w:jc w:val="both"/>
    </w:pPr>
    <w:rPr>
      <w:rFonts w:cs="宋体"/>
      <w:bCs/>
    </w:rPr>
  </w:style>
  <w:style w:type="paragraph" w:customStyle="1" w:styleId="117">
    <w:name w:val="样式1"/>
    <w:basedOn w:val="1"/>
    <w:qFormat/>
    <w:uiPriority w:val="0"/>
    <w:pPr>
      <w:ind w:firstLine="422" w:firstLineChars="200"/>
    </w:pPr>
    <w:rPr>
      <w:rFonts w:hAnsi="宋体"/>
      <w:szCs w:val="24"/>
    </w:rPr>
  </w:style>
  <w:style w:type="character" w:customStyle="1" w:styleId="118">
    <w:name w:val="正文缩进 Char"/>
    <w:qFormat/>
    <w:uiPriority w:val="0"/>
    <w:rPr>
      <w:rFonts w:eastAsia="宋体"/>
      <w:kern w:val="2"/>
      <w:sz w:val="28"/>
      <w:lang w:val="en-US" w:eastAsia="zh-CN" w:bidi="ar-SA"/>
    </w:rPr>
  </w:style>
  <w:style w:type="paragraph" w:customStyle="1" w:styleId="119">
    <w:name w:val="表后"/>
    <w:basedOn w:val="110"/>
    <w:qFormat/>
    <w:uiPriority w:val="0"/>
    <w:pPr>
      <w:spacing w:line="240" w:lineRule="auto"/>
      <w:ind w:firstLine="0" w:firstLineChars="0"/>
    </w:pPr>
  </w:style>
  <w:style w:type="paragraph" w:customStyle="1" w:styleId="120">
    <w:name w:val="表格03"/>
    <w:basedOn w:val="1"/>
    <w:qFormat/>
    <w:uiPriority w:val="0"/>
    <w:pPr>
      <w:snapToGrid w:val="0"/>
      <w:spacing w:line="400" w:lineRule="exact"/>
      <w:jc w:val="center"/>
    </w:pPr>
    <w:rPr>
      <w:sz w:val="21"/>
      <w:szCs w:val="21"/>
    </w:rPr>
  </w:style>
  <w:style w:type="paragraph" w:customStyle="1" w:styleId="121">
    <w:name w:val="正文（首行缩进两字） Char Char Char Char1 Char11"/>
    <w:basedOn w:val="1"/>
    <w:next w:val="19"/>
    <w:semiHidden/>
    <w:qFormat/>
    <w:uiPriority w:val="0"/>
    <w:pPr>
      <w:spacing w:line="440" w:lineRule="exact"/>
      <w:ind w:firstLine="200" w:firstLineChars="200"/>
    </w:pPr>
    <w:rPr>
      <w:rFonts w:ascii="Arial" w:hAnsi="Arial"/>
      <w:sz w:val="24"/>
      <w:szCs w:val="24"/>
    </w:rPr>
  </w:style>
  <w:style w:type="paragraph" w:customStyle="1" w:styleId="122">
    <w:name w:val="燕山正文"/>
    <w:basedOn w:val="1"/>
    <w:qFormat/>
    <w:uiPriority w:val="0"/>
    <w:pPr>
      <w:tabs>
        <w:tab w:val="left" w:pos="4680"/>
      </w:tabs>
      <w:adjustRightInd w:val="0"/>
      <w:snapToGrid w:val="0"/>
      <w:spacing w:line="360" w:lineRule="auto"/>
      <w:ind w:firstLine="480" w:firstLineChars="200"/>
    </w:pPr>
    <w:rPr>
      <w:rFonts w:hAnsi="宋体"/>
      <w:color w:val="000000"/>
      <w:sz w:val="24"/>
      <w:szCs w:val="24"/>
    </w:rPr>
  </w:style>
  <w:style w:type="paragraph" w:customStyle="1" w:styleId="123">
    <w:name w:val="正文1"/>
    <w:basedOn w:val="1"/>
    <w:next w:val="1"/>
    <w:link w:val="124"/>
    <w:qFormat/>
    <w:uiPriority w:val="0"/>
    <w:pPr>
      <w:snapToGrid w:val="0"/>
      <w:spacing w:line="270" w:lineRule="atLeast"/>
      <w:jc w:val="center"/>
    </w:pPr>
    <w:rPr>
      <w:rFonts w:ascii="Times New Roman" w:hAnsi="Times New Roman" w:cs="Times New Roman"/>
      <w:spacing w:val="10"/>
      <w:kern w:val="21"/>
      <w:sz w:val="21"/>
      <w:szCs w:val="20"/>
    </w:rPr>
  </w:style>
  <w:style w:type="character" w:customStyle="1" w:styleId="124">
    <w:name w:val="正文1 Char1"/>
    <w:link w:val="123"/>
    <w:qFormat/>
    <w:uiPriority w:val="0"/>
    <w:rPr>
      <w:spacing w:val="10"/>
      <w:kern w:val="21"/>
      <w:sz w:val="21"/>
    </w:rPr>
  </w:style>
  <w:style w:type="paragraph" w:customStyle="1" w:styleId="125">
    <w:name w:val="目录"/>
    <w:basedOn w:val="1"/>
    <w:qFormat/>
    <w:uiPriority w:val="0"/>
    <w:pPr>
      <w:jc w:val="center"/>
    </w:pPr>
    <w:rPr>
      <w:b/>
      <w:sz w:val="44"/>
      <w:szCs w:val="44"/>
    </w:rPr>
  </w:style>
  <w:style w:type="character" w:customStyle="1" w:styleId="126">
    <w:name w:val="标题 Char"/>
    <w:qFormat/>
    <w:uiPriority w:val="0"/>
    <w:rPr>
      <w:rFonts w:ascii="Cambria" w:hAnsi="Cambria" w:cs="Times New Roman"/>
      <w:b/>
      <w:bCs/>
      <w:kern w:val="2"/>
      <w:sz w:val="32"/>
      <w:szCs w:val="32"/>
    </w:rPr>
  </w:style>
  <w:style w:type="paragraph" w:customStyle="1" w:styleId="127">
    <w:name w:val="p2"/>
    <w:basedOn w:val="1"/>
    <w:qFormat/>
    <w:uiPriority w:val="0"/>
    <w:pPr>
      <w:widowControl/>
      <w:spacing w:before="100" w:beforeAutospacing="1" w:after="100" w:afterAutospacing="1"/>
      <w:jc w:val="left"/>
    </w:pPr>
    <w:rPr>
      <w:rFonts w:ascii="宋体" w:hAnsi="宋体" w:cs="宋体"/>
      <w:kern w:val="0"/>
      <w:sz w:val="24"/>
      <w:szCs w:val="24"/>
    </w:rPr>
  </w:style>
  <w:style w:type="character" w:customStyle="1" w:styleId="128">
    <w:name w:val="批注框文本 Char"/>
    <w:qFormat/>
    <w:uiPriority w:val="0"/>
    <w:rPr>
      <w:kern w:val="2"/>
      <w:sz w:val="18"/>
      <w:szCs w:val="18"/>
    </w:rPr>
  </w:style>
  <w:style w:type="paragraph" w:customStyle="1" w:styleId="129">
    <w:name w:val="报告正文"/>
    <w:basedOn w:val="1"/>
    <w:link w:val="130"/>
    <w:qFormat/>
    <w:uiPriority w:val="0"/>
    <w:pPr>
      <w:adjustRightInd w:val="0"/>
      <w:snapToGrid w:val="0"/>
      <w:spacing w:line="360" w:lineRule="exact"/>
      <w:ind w:firstLine="200" w:firstLineChars="200"/>
    </w:pPr>
    <w:rPr>
      <w:rFonts w:ascii="Times New Roman" w:hAnsi="Times New Roman" w:cs="Times New Roman"/>
      <w:kern w:val="2"/>
    </w:rPr>
  </w:style>
  <w:style w:type="character" w:customStyle="1" w:styleId="130">
    <w:name w:val="报告正文 Char Char"/>
    <w:link w:val="129"/>
    <w:qFormat/>
    <w:uiPriority w:val="0"/>
    <w:rPr>
      <w:kern w:val="2"/>
      <w:sz w:val="24"/>
      <w:szCs w:val="24"/>
    </w:rPr>
  </w:style>
  <w:style w:type="paragraph" w:customStyle="1" w:styleId="131">
    <w:name w:val="第三章表标头"/>
    <w:basedOn w:val="107"/>
    <w:qFormat/>
    <w:uiPriority w:val="0"/>
    <w:pPr>
      <w:tabs>
        <w:tab w:val="clear" w:pos="4305"/>
      </w:tabs>
      <w:adjustRightInd w:val="0"/>
      <w:snapToGrid w:val="0"/>
      <w:spacing w:line="480" w:lineRule="exact"/>
      <w:ind w:left="420" w:hanging="420"/>
    </w:pPr>
    <w:rPr>
      <w:rFonts w:ascii="黑体" w:eastAsia="黑体"/>
      <w:b w:val="0"/>
      <w:sz w:val="24"/>
    </w:rPr>
  </w:style>
  <w:style w:type="paragraph" w:customStyle="1" w:styleId="132">
    <w:name w:val="样式 样式 正正正正文 + 首行缩进:  2 字符 + 首行缩进:  2 字符"/>
    <w:basedOn w:val="1"/>
    <w:qFormat/>
    <w:uiPriority w:val="0"/>
    <w:pPr>
      <w:adjustRightInd w:val="0"/>
      <w:snapToGrid w:val="0"/>
      <w:spacing w:line="480" w:lineRule="exact"/>
      <w:ind w:firstLine="480" w:firstLineChars="200"/>
    </w:pPr>
    <w:rPr>
      <w:rFonts w:cs="宋体"/>
      <w:sz w:val="24"/>
    </w:rPr>
  </w:style>
  <w:style w:type="paragraph" w:customStyle="1" w:styleId="133">
    <w:name w:val="标题4"/>
    <w:basedOn w:val="7"/>
    <w:link w:val="134"/>
    <w:qFormat/>
    <w:uiPriority w:val="0"/>
    <w:pPr>
      <w:jc w:val="left"/>
      <w:outlineLvl w:val="3"/>
    </w:pPr>
    <w:rPr>
      <w:kern w:val="2"/>
    </w:rPr>
  </w:style>
  <w:style w:type="character" w:customStyle="1" w:styleId="134">
    <w:name w:val="标题4 Char"/>
    <w:link w:val="133"/>
    <w:qFormat/>
    <w:uiPriority w:val="0"/>
    <w:rPr>
      <w:b/>
      <w:kern w:val="2"/>
      <w:sz w:val="24"/>
      <w:szCs w:val="28"/>
    </w:rPr>
  </w:style>
  <w:style w:type="paragraph" w:styleId="135">
    <w:name w:val="List Paragraph"/>
    <w:basedOn w:val="1"/>
    <w:qFormat/>
    <w:uiPriority w:val="34"/>
    <w:pPr>
      <w:ind w:firstLine="420" w:firstLineChars="200"/>
    </w:pPr>
  </w:style>
  <w:style w:type="paragraph" w:customStyle="1" w:styleId="136">
    <w:name w:val="表格4"/>
    <w:basedOn w:val="1"/>
    <w:next w:val="1"/>
    <w:qFormat/>
    <w:uiPriority w:val="0"/>
    <w:pPr>
      <w:tabs>
        <w:tab w:val="left" w:pos="780"/>
      </w:tabs>
      <w:snapToGrid w:val="0"/>
      <w:spacing w:line="400" w:lineRule="exact"/>
      <w:ind w:left="780" w:leftChars="200" w:hanging="200" w:hangingChars="200"/>
      <w:jc w:val="center"/>
    </w:pPr>
    <w:rPr>
      <w:b/>
      <w:sz w:val="24"/>
      <w:szCs w:val="21"/>
    </w:rPr>
  </w:style>
  <w:style w:type="paragraph" w:customStyle="1" w:styleId="137">
    <w:name w:val="小5"/>
    <w:basedOn w:val="1"/>
    <w:qFormat/>
    <w:uiPriority w:val="0"/>
    <w:pPr>
      <w:numPr>
        <w:ilvl w:val="0"/>
        <w:numId w:val="4"/>
      </w:numPr>
      <w:ind w:left="0" w:firstLine="0"/>
      <w:jc w:val="center"/>
    </w:pPr>
    <w:rPr>
      <w:rFonts w:ascii="宋体" w:hAnsi="宋体"/>
      <w:kern w:val="0"/>
      <w:sz w:val="21"/>
      <w:szCs w:val="21"/>
    </w:rPr>
  </w:style>
  <w:style w:type="paragraph" w:customStyle="1" w:styleId="138">
    <w:name w:val="默认段落字体 Para Char Char Char Char"/>
    <w:basedOn w:val="1"/>
    <w:qFormat/>
    <w:uiPriority w:val="0"/>
    <w:rPr>
      <w:sz w:val="24"/>
      <w:szCs w:val="24"/>
    </w:rPr>
  </w:style>
  <w:style w:type="paragraph" w:customStyle="1" w:styleId="139">
    <w:name w:val="xl24"/>
    <w:basedOn w:val="1"/>
    <w:qFormat/>
    <w:uiPriority w:val="0"/>
    <w:pPr>
      <w:widowControl/>
      <w:spacing w:before="100" w:beforeAutospacing="1" w:after="100" w:afterAutospacing="1"/>
      <w:jc w:val="left"/>
    </w:pPr>
    <w:rPr>
      <w:rFonts w:eastAsia="Arial Unicode MS"/>
      <w:kern w:val="0"/>
      <w:sz w:val="24"/>
      <w:szCs w:val="24"/>
    </w:rPr>
  </w:style>
  <w:style w:type="paragraph" w:customStyle="1" w:styleId="140">
    <w:name w:val="标题1"/>
    <w:basedOn w:val="1"/>
    <w:next w:val="19"/>
    <w:qFormat/>
    <w:uiPriority w:val="0"/>
    <w:pPr>
      <w:spacing w:before="360" w:after="360" w:line="400" w:lineRule="exact"/>
    </w:pPr>
    <w:rPr>
      <w:rFonts w:ascii="Arial Unicode MS" w:hAnsi="Arial Unicode MS"/>
      <w:b/>
      <w:sz w:val="44"/>
      <w:szCs w:val="24"/>
    </w:rPr>
  </w:style>
  <w:style w:type="paragraph" w:customStyle="1" w:styleId="141">
    <w:name w:val="标题3"/>
    <w:basedOn w:val="1"/>
    <w:next w:val="19"/>
    <w:link w:val="142"/>
    <w:qFormat/>
    <w:uiPriority w:val="0"/>
    <w:pPr>
      <w:spacing w:line="480" w:lineRule="auto"/>
    </w:pPr>
    <w:rPr>
      <w:rFonts w:ascii="Times New Roman" w:hAnsi="Times New Roman" w:cs="Times New Roman"/>
      <w:b/>
      <w:kern w:val="2"/>
      <w:sz w:val="28"/>
    </w:rPr>
  </w:style>
  <w:style w:type="character" w:customStyle="1" w:styleId="142">
    <w:name w:val="标题3 Char"/>
    <w:link w:val="141"/>
    <w:qFormat/>
    <w:uiPriority w:val="0"/>
    <w:rPr>
      <w:b/>
      <w:kern w:val="2"/>
      <w:sz w:val="28"/>
      <w:szCs w:val="24"/>
    </w:rPr>
  </w:style>
  <w:style w:type="paragraph" w:customStyle="1" w:styleId="143">
    <w:name w:val="xl25"/>
    <w:basedOn w:val="1"/>
    <w:qFormat/>
    <w:uiPriority w:val="0"/>
    <w:pPr>
      <w:widowControl/>
      <w:spacing w:before="100" w:beforeAutospacing="1" w:after="100" w:afterAutospacing="1"/>
      <w:jc w:val="center"/>
    </w:pPr>
    <w:rPr>
      <w:rFonts w:ascii="宋体" w:hAnsi="宋体"/>
      <w:kern w:val="0"/>
      <w:sz w:val="24"/>
      <w:szCs w:val="24"/>
    </w:rPr>
  </w:style>
  <w:style w:type="paragraph" w:customStyle="1" w:styleId="144">
    <w:name w:val="环评正文"/>
    <w:qFormat/>
    <w:uiPriority w:val="0"/>
    <w:pPr>
      <w:spacing w:line="360" w:lineRule="exact"/>
      <w:ind w:firstLine="200" w:firstLineChars="200"/>
    </w:pPr>
    <w:rPr>
      <w:rFonts w:ascii="Times New Roman" w:hAnsi="Times New Roman" w:eastAsia="宋体" w:cs="Times New Roman"/>
      <w:color w:val="000000"/>
      <w:kern w:val="21"/>
      <w:sz w:val="24"/>
      <w:szCs w:val="24"/>
      <w:lang w:val="en-US" w:eastAsia="zh-CN" w:bidi="ar-SA"/>
    </w:rPr>
  </w:style>
  <w:style w:type="character" w:customStyle="1" w:styleId="145">
    <w:name w:val="未命名1"/>
    <w:basedOn w:val="60"/>
    <w:qFormat/>
    <w:uiPriority w:val="0"/>
  </w:style>
  <w:style w:type="paragraph" w:customStyle="1" w:styleId="146">
    <w:name w:val="表题 Char"/>
    <w:basedOn w:val="1"/>
    <w:qFormat/>
    <w:uiPriority w:val="0"/>
    <w:pPr>
      <w:tabs>
        <w:tab w:val="left" w:pos="4305"/>
      </w:tabs>
      <w:spacing w:line="360" w:lineRule="auto"/>
      <w:jc w:val="center"/>
    </w:pPr>
    <w:rPr>
      <w:rFonts w:ascii="黑体" w:hAnsi="宋体" w:eastAsia="黑体"/>
      <w:sz w:val="24"/>
      <w:szCs w:val="24"/>
    </w:rPr>
  </w:style>
  <w:style w:type="paragraph" w:customStyle="1" w:styleId="147">
    <w:name w:val="样式2"/>
    <w:basedOn w:val="1"/>
    <w:link w:val="148"/>
    <w:qFormat/>
    <w:uiPriority w:val="0"/>
    <w:pPr>
      <w:tabs>
        <w:tab w:val="left" w:pos="4680"/>
      </w:tabs>
      <w:adjustRightInd w:val="0"/>
      <w:spacing w:line="360" w:lineRule="auto"/>
      <w:ind w:firstLine="624"/>
    </w:pPr>
    <w:rPr>
      <w:rFonts w:ascii="Times New Roman" w:hAnsi="Times New Roman" w:cs="Times New Roman"/>
      <w:b/>
      <w:i/>
      <w:color w:val="0000FF"/>
      <w:kern w:val="2"/>
    </w:rPr>
  </w:style>
  <w:style w:type="character" w:customStyle="1" w:styleId="148">
    <w:name w:val="样式2[858D7CFB-ED40-4347-BF05-701D383B685F]"/>
    <w:link w:val="147"/>
    <w:qFormat/>
    <w:uiPriority w:val="0"/>
    <w:rPr>
      <w:b/>
      <w:i/>
      <w:color w:val="0000FF"/>
      <w:kern w:val="2"/>
      <w:sz w:val="24"/>
      <w:szCs w:val="24"/>
    </w:rPr>
  </w:style>
  <w:style w:type="paragraph" w:customStyle="1" w:styleId="149">
    <w:name w:val="燕山正文 Char Char"/>
    <w:basedOn w:val="1"/>
    <w:qFormat/>
    <w:uiPriority w:val="0"/>
    <w:pPr>
      <w:tabs>
        <w:tab w:val="left" w:pos="-2268"/>
        <w:tab w:val="left" w:pos="-2142"/>
      </w:tabs>
      <w:spacing w:line="400" w:lineRule="exact"/>
      <w:ind w:firstLine="504" w:firstLineChars="200"/>
    </w:pPr>
    <w:rPr>
      <w:sz w:val="24"/>
      <w:szCs w:val="24"/>
    </w:rPr>
  </w:style>
  <w:style w:type="paragraph" w:customStyle="1" w:styleId="150">
    <w:name w:val="表题 Char Char Char Char"/>
    <w:basedOn w:val="1"/>
    <w:qFormat/>
    <w:uiPriority w:val="0"/>
    <w:pPr>
      <w:spacing w:line="400" w:lineRule="exact"/>
      <w:jc w:val="center"/>
    </w:pPr>
    <w:rPr>
      <w:rFonts w:hAnsi="宋体"/>
      <w:b/>
      <w:bCs/>
      <w:sz w:val="24"/>
      <w:szCs w:val="24"/>
    </w:rPr>
  </w:style>
  <w:style w:type="paragraph" w:customStyle="1" w:styleId="151">
    <w:name w:val="表格内容格式"/>
    <w:basedOn w:val="1"/>
    <w:qFormat/>
    <w:uiPriority w:val="0"/>
    <w:pPr>
      <w:adjustRightInd w:val="0"/>
      <w:spacing w:line="240" w:lineRule="atLeast"/>
      <w:textAlignment w:val="baseline"/>
    </w:pPr>
    <w:rPr>
      <w:rFonts w:ascii="宋体" w:hAnsi="宋体"/>
      <w:snapToGrid w:val="0"/>
      <w:color w:val="000000"/>
      <w:kern w:val="0"/>
      <w:sz w:val="21"/>
    </w:rPr>
  </w:style>
  <w:style w:type="paragraph" w:customStyle="1" w:styleId="152">
    <w:name w:val="表内5中"/>
    <w:basedOn w:val="1"/>
    <w:qFormat/>
    <w:uiPriority w:val="0"/>
    <w:pPr>
      <w:jc w:val="center"/>
    </w:pPr>
    <w:rPr>
      <w:rFonts w:ascii="宋体"/>
      <w:sz w:val="21"/>
      <w:szCs w:val="21"/>
    </w:rPr>
  </w:style>
  <w:style w:type="paragraph" w:customStyle="1" w:styleId="153">
    <w:name w:val="表"/>
    <w:basedOn w:val="1"/>
    <w:qFormat/>
    <w:uiPriority w:val="0"/>
    <w:pPr>
      <w:numPr>
        <w:ilvl w:val="0"/>
        <w:numId w:val="5"/>
      </w:numPr>
      <w:adjustRightInd w:val="0"/>
      <w:snapToGrid w:val="0"/>
      <w:spacing w:line="360" w:lineRule="atLeast"/>
      <w:jc w:val="center"/>
    </w:pPr>
    <w:rPr>
      <w:kern w:val="0"/>
      <w:sz w:val="21"/>
      <w:szCs w:val="21"/>
    </w:rPr>
  </w:style>
  <w:style w:type="paragraph" w:customStyle="1" w:styleId="154">
    <w:name w:val="表头2"/>
    <w:basedOn w:val="1"/>
    <w:next w:val="153"/>
    <w:qFormat/>
    <w:uiPriority w:val="0"/>
    <w:pPr>
      <w:adjustRightInd w:val="0"/>
      <w:snapToGrid w:val="0"/>
      <w:spacing w:beforeLines="50"/>
      <w:jc w:val="center"/>
    </w:pPr>
    <w:rPr>
      <w:rFonts w:ascii="楷体_GB2312" w:hAnsi="宋体" w:eastAsia="楷体_GB2312"/>
      <w:b/>
      <w:spacing w:val="10"/>
      <w:sz w:val="24"/>
      <w:szCs w:val="24"/>
    </w:rPr>
  </w:style>
  <w:style w:type="paragraph" w:customStyle="1" w:styleId="155">
    <w:name w:val="图头4"/>
    <w:basedOn w:val="1"/>
    <w:next w:val="1"/>
    <w:qFormat/>
    <w:uiPriority w:val="0"/>
    <w:pPr>
      <w:tabs>
        <w:tab w:val="left" w:pos="1320"/>
      </w:tabs>
      <w:adjustRightInd w:val="0"/>
      <w:snapToGrid w:val="0"/>
      <w:spacing w:line="400" w:lineRule="exact"/>
      <w:ind w:left="480" w:firstLine="480"/>
      <w:jc w:val="center"/>
      <w:textAlignment w:val="baseline"/>
    </w:pPr>
    <w:rPr>
      <w:b/>
      <w:kern w:val="0"/>
      <w:sz w:val="24"/>
    </w:rPr>
  </w:style>
  <w:style w:type="paragraph" w:customStyle="1" w:styleId="156">
    <w:name w:val="样式 正文首行缩进 + 首行缩进:  1 字符 段前: 2 行"/>
    <w:basedOn w:val="3"/>
    <w:qFormat/>
    <w:uiPriority w:val="0"/>
    <w:pPr>
      <w:autoSpaceDE w:val="0"/>
      <w:autoSpaceDN w:val="0"/>
      <w:spacing w:after="0" w:line="360" w:lineRule="auto"/>
      <w:ind w:firstLine="0" w:firstLineChars="0"/>
      <w:jc w:val="center"/>
      <w:textAlignment w:val="bottom"/>
    </w:pPr>
    <w:rPr>
      <w:rFonts w:ascii="宋体" w:hAnsi="宋体" w:eastAsia="幼圆" w:cs="宋体"/>
      <w:sz w:val="24"/>
    </w:rPr>
  </w:style>
  <w:style w:type="paragraph" w:customStyle="1" w:styleId="157">
    <w:name w:val="样式 正文文本 + (西文) 宋体 左侧:  0.42 厘米 右侧:  0.42 厘米"/>
    <w:basedOn w:val="4"/>
    <w:qFormat/>
    <w:uiPriority w:val="0"/>
    <w:pPr>
      <w:autoSpaceDE w:val="0"/>
      <w:autoSpaceDN w:val="0"/>
      <w:ind w:right="0"/>
      <w:jc w:val="center"/>
      <w:textAlignment w:val="bottom"/>
    </w:pPr>
    <w:rPr>
      <w:rFonts w:ascii="宋体" w:hAnsi="宋体" w:eastAsia="宋体" w:cs="宋体"/>
      <w:sz w:val="24"/>
      <w:szCs w:val="24"/>
    </w:rPr>
  </w:style>
  <w:style w:type="paragraph" w:customStyle="1" w:styleId="158">
    <w:name w:val="样式4"/>
    <w:basedOn w:val="1"/>
    <w:qFormat/>
    <w:uiPriority w:val="0"/>
    <w:pPr>
      <w:tabs>
        <w:tab w:val="left" w:pos="900"/>
      </w:tabs>
      <w:autoSpaceDE w:val="0"/>
      <w:autoSpaceDN w:val="0"/>
      <w:adjustRightInd w:val="0"/>
      <w:snapToGrid w:val="0"/>
      <w:spacing w:before="60" w:after="60"/>
      <w:ind w:firstLine="480"/>
      <w:jc w:val="center"/>
      <w:textAlignment w:val="bottom"/>
    </w:pPr>
    <w:rPr>
      <w:rFonts w:ascii="宋体" w:hAnsi="宋体"/>
      <w:sz w:val="24"/>
    </w:rPr>
  </w:style>
  <w:style w:type="paragraph" w:customStyle="1" w:styleId="159">
    <w:name w:val="目录2"/>
    <w:basedOn w:val="1"/>
    <w:next w:val="1"/>
    <w:qFormat/>
    <w:uiPriority w:val="0"/>
    <w:pPr>
      <w:adjustRightInd w:val="0"/>
      <w:snapToGrid w:val="0"/>
      <w:spacing w:line="420" w:lineRule="atLeast"/>
    </w:pPr>
    <w:rPr>
      <w:sz w:val="21"/>
    </w:rPr>
  </w:style>
  <w:style w:type="paragraph" w:customStyle="1" w:styleId="160">
    <w:name w:val="样式3"/>
    <w:basedOn w:val="1"/>
    <w:next w:val="1"/>
    <w:qFormat/>
    <w:uiPriority w:val="0"/>
    <w:pPr>
      <w:adjustRightInd w:val="0"/>
      <w:snapToGrid w:val="0"/>
      <w:spacing w:line="360" w:lineRule="auto"/>
      <w:jc w:val="center"/>
    </w:pPr>
    <w:rPr>
      <w:rFonts w:eastAsia="仿宋_GB2312"/>
      <w:b/>
      <w:bCs/>
      <w:spacing w:val="10"/>
      <w:kern w:val="0"/>
      <w:sz w:val="21"/>
    </w:rPr>
  </w:style>
  <w:style w:type="paragraph" w:customStyle="1" w:styleId="161">
    <w:name w:val="2"/>
    <w:basedOn w:val="1"/>
    <w:qFormat/>
    <w:uiPriority w:val="0"/>
    <w:rPr>
      <w:rFonts w:ascii="宋体" w:hAnsi="宋体"/>
      <w:spacing w:val="-24"/>
      <w:sz w:val="24"/>
    </w:rPr>
  </w:style>
  <w:style w:type="paragraph" w:customStyle="1" w:styleId="162">
    <w:name w:val="日期1"/>
    <w:basedOn w:val="1"/>
    <w:next w:val="1"/>
    <w:qFormat/>
    <w:uiPriority w:val="0"/>
    <w:pPr>
      <w:adjustRightInd w:val="0"/>
      <w:spacing w:line="360" w:lineRule="atLeast"/>
      <w:ind w:firstLine="590"/>
      <w:textAlignment w:val="baseline"/>
    </w:pPr>
    <w:rPr>
      <w:rFonts w:eastAsia="楷体_GB2312"/>
      <w:b/>
      <w:kern w:val="0"/>
      <w:sz w:val="24"/>
    </w:rPr>
  </w:style>
  <w:style w:type="paragraph" w:customStyle="1" w:styleId="163">
    <w:name w:val="1"/>
    <w:basedOn w:val="1"/>
    <w:qFormat/>
    <w:uiPriority w:val="0"/>
    <w:pPr>
      <w:adjustRightInd w:val="0"/>
      <w:snapToGrid w:val="0"/>
      <w:spacing w:line="360" w:lineRule="auto"/>
      <w:ind w:firstLine="200" w:firstLineChars="200"/>
    </w:pPr>
    <w:rPr>
      <w:spacing w:val="10"/>
      <w:kern w:val="0"/>
      <w:sz w:val="24"/>
    </w:rPr>
  </w:style>
  <w:style w:type="paragraph" w:customStyle="1" w:styleId="164">
    <w:name w:val="样式 首行缩进:  2 字符"/>
    <w:basedOn w:val="1"/>
    <w:qFormat/>
    <w:uiPriority w:val="0"/>
    <w:pPr>
      <w:adjustRightInd w:val="0"/>
      <w:snapToGrid w:val="0"/>
      <w:spacing w:line="360" w:lineRule="auto"/>
      <w:ind w:firstLine="480" w:firstLineChars="200"/>
    </w:pPr>
    <w:rPr>
      <w:rFonts w:cs="宋体"/>
      <w:spacing w:val="20"/>
      <w:kern w:val="0"/>
      <w:sz w:val="24"/>
      <w:szCs w:val="24"/>
    </w:rPr>
  </w:style>
  <w:style w:type="paragraph" w:customStyle="1" w:styleId="165">
    <w:name w:val="标准"/>
    <w:basedOn w:val="1"/>
    <w:qFormat/>
    <w:uiPriority w:val="0"/>
    <w:pPr>
      <w:keepNext/>
      <w:adjustRightInd w:val="0"/>
      <w:snapToGrid w:val="0"/>
      <w:spacing w:line="312" w:lineRule="atLeast"/>
      <w:ind w:firstLine="590" w:firstLineChars="200"/>
      <w:textAlignment w:val="baseline"/>
    </w:pPr>
    <w:rPr>
      <w:snapToGrid w:val="0"/>
      <w:spacing w:val="10"/>
      <w:kern w:val="0"/>
      <w:sz w:val="24"/>
    </w:rPr>
  </w:style>
  <w:style w:type="paragraph" w:customStyle="1" w:styleId="166">
    <w:name w:val="3"/>
    <w:basedOn w:val="1"/>
    <w:next w:val="45"/>
    <w:qFormat/>
    <w:uiPriority w:val="0"/>
    <w:pPr>
      <w:adjustRightInd w:val="0"/>
      <w:spacing w:line="360" w:lineRule="atLeast"/>
      <w:ind w:firstLine="590"/>
    </w:pPr>
    <w:rPr>
      <w:kern w:val="0"/>
      <w:sz w:val="24"/>
    </w:rPr>
  </w:style>
  <w:style w:type="paragraph" w:customStyle="1" w:styleId="167">
    <w:name w:val="Body Text 21"/>
    <w:basedOn w:val="1"/>
    <w:qFormat/>
    <w:uiPriority w:val="0"/>
    <w:pPr>
      <w:adjustRightInd w:val="0"/>
      <w:spacing w:line="360" w:lineRule="atLeast"/>
      <w:textAlignment w:val="baseline"/>
    </w:pPr>
    <w:rPr>
      <w:kern w:val="0"/>
      <w:sz w:val="24"/>
    </w:rPr>
  </w:style>
  <w:style w:type="paragraph" w:customStyle="1" w:styleId="168">
    <w:name w:val="font0"/>
    <w:basedOn w:val="1"/>
    <w:qFormat/>
    <w:uiPriority w:val="0"/>
    <w:pPr>
      <w:widowControl/>
      <w:spacing w:before="100" w:beforeAutospacing="1" w:after="100" w:afterAutospacing="1"/>
      <w:jc w:val="left"/>
    </w:pPr>
    <w:rPr>
      <w:rFonts w:hint="eastAsia" w:ascii="宋体" w:hAnsi="宋体" w:cs="Arial Unicode MS"/>
      <w:kern w:val="0"/>
      <w:sz w:val="24"/>
      <w:szCs w:val="24"/>
    </w:rPr>
  </w:style>
  <w:style w:type="paragraph" w:customStyle="1" w:styleId="169">
    <w:name w:val="font5"/>
    <w:basedOn w:val="1"/>
    <w:qFormat/>
    <w:uiPriority w:val="0"/>
    <w:pPr>
      <w:widowControl/>
      <w:spacing w:before="100" w:beforeAutospacing="1" w:after="100" w:afterAutospacing="1"/>
      <w:jc w:val="left"/>
    </w:pPr>
    <w:rPr>
      <w:rFonts w:hint="eastAsia" w:ascii="宋体" w:hAnsi="宋体" w:cs="Arial Unicode MS"/>
      <w:kern w:val="0"/>
      <w:sz w:val="18"/>
      <w:szCs w:val="18"/>
    </w:rPr>
  </w:style>
  <w:style w:type="paragraph" w:customStyle="1" w:styleId="170">
    <w:name w:val="font6"/>
    <w:basedOn w:val="1"/>
    <w:qFormat/>
    <w:uiPriority w:val="0"/>
    <w:pPr>
      <w:widowControl/>
      <w:spacing w:before="100" w:beforeAutospacing="1" w:after="100" w:afterAutospacing="1"/>
      <w:jc w:val="left"/>
    </w:pPr>
    <w:rPr>
      <w:rFonts w:eastAsia="Arial Unicode MS"/>
      <w:kern w:val="0"/>
      <w:sz w:val="24"/>
      <w:szCs w:val="24"/>
    </w:rPr>
  </w:style>
  <w:style w:type="paragraph" w:customStyle="1" w:styleId="171">
    <w:name w:val="样式 首行缩进:  2 字符1"/>
    <w:basedOn w:val="1"/>
    <w:qFormat/>
    <w:uiPriority w:val="0"/>
    <w:pPr>
      <w:adjustRightInd w:val="0"/>
      <w:snapToGrid w:val="0"/>
      <w:spacing w:line="360" w:lineRule="auto"/>
      <w:ind w:firstLine="528" w:firstLineChars="200"/>
    </w:pPr>
    <w:rPr>
      <w:rFonts w:cs="宋体"/>
      <w:spacing w:val="12"/>
      <w:sz w:val="24"/>
    </w:rPr>
  </w:style>
  <w:style w:type="paragraph" w:customStyle="1" w:styleId="172">
    <w:name w:val="表1"/>
    <w:basedOn w:val="158"/>
    <w:qFormat/>
    <w:uiPriority w:val="0"/>
    <w:pPr>
      <w:autoSpaceDE/>
      <w:autoSpaceDN/>
      <w:textAlignment w:val="auto"/>
    </w:pPr>
  </w:style>
  <w:style w:type="paragraph" w:customStyle="1" w:styleId="173">
    <w:name w:val="样式 首行缩进:  2 字符4"/>
    <w:basedOn w:val="1"/>
    <w:qFormat/>
    <w:uiPriority w:val="0"/>
    <w:pPr>
      <w:adjustRightInd w:val="0"/>
      <w:snapToGrid w:val="0"/>
      <w:spacing w:line="360" w:lineRule="auto"/>
      <w:ind w:firstLine="480" w:firstLineChars="200"/>
    </w:pPr>
    <w:rPr>
      <w:rFonts w:cs="宋体"/>
      <w:spacing w:val="12"/>
      <w:sz w:val="24"/>
      <w:szCs w:val="24"/>
    </w:rPr>
  </w:style>
  <w:style w:type="paragraph" w:customStyle="1" w:styleId="174">
    <w:name w:val="样式 正文文本 2 + 首行缩进:  2 字符"/>
    <w:basedOn w:val="48"/>
    <w:qFormat/>
    <w:uiPriority w:val="0"/>
    <w:pPr>
      <w:spacing w:line="320" w:lineRule="atLeast"/>
      <w:jc w:val="center"/>
    </w:pPr>
    <w:rPr>
      <w:b w:val="0"/>
      <w:bCs w:val="0"/>
      <w:color w:val="auto"/>
      <w:spacing w:val="20"/>
      <w:kern w:val="0"/>
      <w:position w:val="-20"/>
      <w:sz w:val="21"/>
      <w:szCs w:val="21"/>
    </w:rPr>
  </w:style>
  <w:style w:type="paragraph" w:customStyle="1" w:styleId="175">
    <w:name w:val="文本框"/>
    <w:basedOn w:val="1"/>
    <w:qFormat/>
    <w:uiPriority w:val="0"/>
    <w:pPr>
      <w:adjustRightInd w:val="0"/>
      <w:snapToGrid w:val="0"/>
      <w:spacing w:after="6"/>
      <w:jc w:val="center"/>
    </w:pPr>
    <w:rPr>
      <w:rFonts w:eastAsia="仿宋_GB2312"/>
      <w:sz w:val="21"/>
      <w:szCs w:val="24"/>
    </w:rPr>
  </w:style>
  <w:style w:type="paragraph" w:customStyle="1" w:styleId="176">
    <w:name w:val="表头名称"/>
    <w:basedOn w:val="19"/>
    <w:qFormat/>
    <w:uiPriority w:val="0"/>
    <w:pPr>
      <w:autoSpaceDE w:val="0"/>
      <w:autoSpaceDN w:val="0"/>
      <w:adjustRightInd w:val="0"/>
      <w:spacing w:line="360" w:lineRule="auto"/>
      <w:ind w:firstLine="0" w:firstLineChars="0"/>
      <w:jc w:val="center"/>
    </w:pPr>
    <w:rPr>
      <w:rFonts w:ascii="黑体" w:hAnsi="宋体" w:eastAsia="黑体"/>
      <w:kern w:val="0"/>
      <w:sz w:val="24"/>
    </w:rPr>
  </w:style>
  <w:style w:type="paragraph" w:customStyle="1" w:styleId="177">
    <w:name w:val="大纲正文"/>
    <w:basedOn w:val="1"/>
    <w:link w:val="178"/>
    <w:qFormat/>
    <w:uiPriority w:val="0"/>
    <w:pPr>
      <w:widowControl/>
      <w:adjustRightInd w:val="0"/>
      <w:snapToGrid w:val="0"/>
      <w:spacing w:afterLines="50" w:line="300" w:lineRule="auto"/>
      <w:ind w:firstLine="480" w:firstLineChars="200"/>
    </w:pPr>
    <w:rPr>
      <w:rFonts w:ascii="Times New Roman" w:hAnsi="Times New Roman" w:cs="Times New Roman"/>
      <w:kern w:val="2"/>
      <w:szCs w:val="20"/>
    </w:rPr>
  </w:style>
  <w:style w:type="character" w:customStyle="1" w:styleId="178">
    <w:name w:val="大纲正文 Char1"/>
    <w:link w:val="177"/>
    <w:qFormat/>
    <w:uiPriority w:val="0"/>
    <w:rPr>
      <w:rFonts w:cs="宋体"/>
      <w:kern w:val="2"/>
      <w:sz w:val="24"/>
    </w:rPr>
  </w:style>
  <w:style w:type="character" w:customStyle="1" w:styleId="179">
    <w:name w:val="大纲正文 Char"/>
    <w:qFormat/>
    <w:uiPriority w:val="0"/>
    <w:rPr>
      <w:rFonts w:eastAsia="宋体" w:cs="宋体"/>
      <w:kern w:val="2"/>
      <w:sz w:val="24"/>
      <w:lang w:val="en-US" w:eastAsia="zh-CN" w:bidi="ar-SA"/>
    </w:rPr>
  </w:style>
  <w:style w:type="paragraph" w:customStyle="1" w:styleId="180">
    <w:name w:val="样式 样式 首行缩进:  2 字符4 + 首行缩进:  2 字符"/>
    <w:basedOn w:val="173"/>
    <w:qFormat/>
    <w:uiPriority w:val="0"/>
    <w:pPr>
      <w:ind w:right="3" w:rightChars="1"/>
    </w:pPr>
    <w:rPr>
      <w:spacing w:val="0"/>
      <w:kern w:val="0"/>
      <w:szCs w:val="20"/>
    </w:rPr>
  </w:style>
  <w:style w:type="paragraph" w:customStyle="1" w:styleId="181">
    <w:name w:val="表格式"/>
    <w:basedOn w:val="1"/>
    <w:qFormat/>
    <w:uiPriority w:val="0"/>
    <w:pPr>
      <w:spacing w:before="60" w:after="60" w:line="320" w:lineRule="exact"/>
      <w:jc w:val="center"/>
    </w:pPr>
    <w:rPr>
      <w:rFonts w:ascii="宋体"/>
      <w:spacing w:val="6"/>
      <w:sz w:val="21"/>
    </w:rPr>
  </w:style>
  <w:style w:type="paragraph" w:customStyle="1" w:styleId="182">
    <w:name w:val="样式 注释标题 + 首行缩进:  2 字符"/>
    <w:basedOn w:val="17"/>
    <w:qFormat/>
    <w:uiPriority w:val="0"/>
    <w:pPr>
      <w:autoSpaceDE/>
      <w:autoSpaceDN/>
      <w:adjustRightInd w:val="0"/>
      <w:snapToGrid w:val="0"/>
      <w:ind w:firstLine="0"/>
      <w:textAlignment w:val="auto"/>
    </w:pPr>
    <w:rPr>
      <w:rFonts w:cs="宋体"/>
      <w:b w:val="0"/>
      <w:spacing w:val="20"/>
      <w:kern w:val="0"/>
    </w:rPr>
  </w:style>
  <w:style w:type="paragraph" w:customStyle="1" w:styleId="183">
    <w:name w:val="font7"/>
    <w:basedOn w:val="1"/>
    <w:qFormat/>
    <w:uiPriority w:val="0"/>
    <w:pPr>
      <w:widowControl/>
      <w:spacing w:before="100" w:beforeAutospacing="1" w:after="100" w:afterAutospacing="1"/>
      <w:jc w:val="left"/>
    </w:pPr>
    <w:rPr>
      <w:rFonts w:hint="eastAsia" w:ascii="宋体" w:hAnsi="宋体"/>
      <w:kern w:val="0"/>
      <w:sz w:val="18"/>
      <w:szCs w:val="18"/>
    </w:rPr>
  </w:style>
  <w:style w:type="paragraph" w:customStyle="1" w:styleId="184">
    <w:name w:val="xl26"/>
    <w:basedOn w:val="1"/>
    <w:qFormat/>
    <w:uiPriority w:val="0"/>
    <w:pPr>
      <w:widowControl/>
      <w:pBdr>
        <w:top w:val="double" w:color="auto" w:sz="6" w:space="0"/>
        <w:bottom w:val="single" w:color="auto" w:sz="4" w:space="0"/>
      </w:pBdr>
      <w:spacing w:before="100" w:beforeAutospacing="1" w:after="100" w:afterAutospacing="1"/>
      <w:jc w:val="center"/>
    </w:pPr>
    <w:rPr>
      <w:rFonts w:ascii="宋体" w:hAnsi="宋体"/>
      <w:kern w:val="0"/>
      <w:sz w:val="21"/>
      <w:szCs w:val="21"/>
    </w:rPr>
  </w:style>
  <w:style w:type="paragraph" w:customStyle="1" w:styleId="185">
    <w:name w:val="xl27"/>
    <w:basedOn w:val="1"/>
    <w:qFormat/>
    <w:uiPriority w:val="0"/>
    <w:pPr>
      <w:widowControl/>
      <w:pBdr>
        <w:top w:val="double" w:color="auto" w:sz="6" w:space="0"/>
        <w:left w:val="single" w:color="auto" w:sz="4" w:space="0"/>
        <w:bottom w:val="single" w:color="auto" w:sz="4" w:space="0"/>
      </w:pBdr>
      <w:spacing w:before="100" w:beforeAutospacing="1" w:after="100" w:afterAutospacing="1"/>
      <w:jc w:val="center"/>
    </w:pPr>
    <w:rPr>
      <w:rFonts w:ascii="宋体" w:hAnsi="宋体"/>
      <w:kern w:val="0"/>
      <w:sz w:val="21"/>
      <w:szCs w:val="21"/>
    </w:rPr>
  </w:style>
  <w:style w:type="paragraph" w:customStyle="1" w:styleId="186">
    <w:name w:val="xl28"/>
    <w:basedOn w:val="1"/>
    <w:qFormat/>
    <w:uiPriority w:val="0"/>
    <w:pPr>
      <w:widowControl/>
      <w:pBdr>
        <w:top w:val="double" w:color="auto" w:sz="6" w:space="0"/>
        <w:bottom w:val="single" w:color="auto" w:sz="4" w:space="0"/>
        <w:right w:val="single" w:color="auto" w:sz="4" w:space="0"/>
      </w:pBdr>
      <w:spacing w:before="100" w:beforeAutospacing="1" w:after="100" w:afterAutospacing="1"/>
      <w:jc w:val="center"/>
    </w:pPr>
    <w:rPr>
      <w:rFonts w:ascii="宋体" w:hAnsi="宋体"/>
      <w:kern w:val="0"/>
      <w:sz w:val="21"/>
      <w:szCs w:val="21"/>
    </w:rPr>
  </w:style>
  <w:style w:type="paragraph" w:customStyle="1" w:styleId="187">
    <w:name w:val="xl29"/>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pPr>
    <w:rPr>
      <w:rFonts w:ascii="宋体" w:hAnsi="宋体"/>
      <w:kern w:val="0"/>
      <w:sz w:val="21"/>
      <w:szCs w:val="21"/>
    </w:rPr>
  </w:style>
  <w:style w:type="paragraph" w:customStyle="1" w:styleId="188">
    <w:name w:val="xl30"/>
    <w:basedOn w:val="1"/>
    <w:qFormat/>
    <w:uiPriority w:val="0"/>
    <w:pPr>
      <w:widowControl/>
      <w:pBdr>
        <w:top w:val="single" w:color="auto" w:sz="4" w:space="0"/>
        <w:bottom w:val="single" w:color="auto" w:sz="4" w:space="0"/>
        <w:right w:val="single" w:color="auto" w:sz="4" w:space="0"/>
      </w:pBdr>
      <w:spacing w:before="100" w:beforeAutospacing="1" w:after="100" w:afterAutospacing="1"/>
      <w:jc w:val="center"/>
    </w:pPr>
    <w:rPr>
      <w:rFonts w:ascii="宋体" w:hAnsi="宋体"/>
      <w:kern w:val="0"/>
      <w:sz w:val="21"/>
      <w:szCs w:val="21"/>
    </w:rPr>
  </w:style>
  <w:style w:type="paragraph" w:customStyle="1" w:styleId="189">
    <w:name w:val="xl22"/>
    <w:basedOn w:val="1"/>
    <w:qFormat/>
    <w:uiPriority w:val="0"/>
    <w:pPr>
      <w:widowControl/>
      <w:pBdr>
        <w:bottom w:val="single" w:color="auto" w:sz="4" w:space="0"/>
      </w:pBdr>
      <w:spacing w:before="100" w:beforeAutospacing="1" w:after="100" w:afterAutospacing="1"/>
      <w:jc w:val="center"/>
    </w:pPr>
    <w:rPr>
      <w:rFonts w:ascii="宋体" w:hAnsi="宋体"/>
      <w:kern w:val="0"/>
      <w:sz w:val="21"/>
      <w:szCs w:val="21"/>
    </w:rPr>
  </w:style>
  <w:style w:type="paragraph" w:customStyle="1" w:styleId="190">
    <w:name w:val="样式 标题2 + (中文) 宋体"/>
    <w:basedOn w:val="1"/>
    <w:next w:val="1"/>
    <w:qFormat/>
    <w:uiPriority w:val="0"/>
    <w:pPr>
      <w:adjustRightInd w:val="0"/>
      <w:snapToGrid w:val="0"/>
      <w:spacing w:before="120" w:after="240" w:line="360" w:lineRule="auto"/>
    </w:pPr>
    <w:rPr>
      <w:rFonts w:eastAsia="黑体"/>
      <w:spacing w:val="10"/>
      <w:kern w:val="0"/>
      <w:sz w:val="32"/>
    </w:rPr>
  </w:style>
  <w:style w:type="paragraph" w:customStyle="1" w:styleId="191">
    <w:name w:val="样式 样式 首行缩进:  2 字符 + 首行缩进:  2 字符"/>
    <w:basedOn w:val="164"/>
    <w:qFormat/>
    <w:uiPriority w:val="0"/>
    <w:pPr>
      <w:ind w:firstLine="560"/>
    </w:pPr>
    <w:rPr>
      <w:spacing w:val="10"/>
    </w:rPr>
  </w:style>
  <w:style w:type="paragraph" w:customStyle="1" w:styleId="192">
    <w:name w:val="样式 标题3 + (中文) 宋体 Char Char"/>
    <w:basedOn w:val="141"/>
    <w:next w:val="1"/>
    <w:qFormat/>
    <w:uiPriority w:val="0"/>
    <w:pPr>
      <w:adjustRightInd w:val="0"/>
      <w:snapToGrid w:val="0"/>
      <w:spacing w:before="240" w:after="120" w:line="360" w:lineRule="auto"/>
    </w:pPr>
    <w:rPr>
      <w:rFonts w:eastAsia="楷体_GB2312"/>
      <w:bCs/>
      <w:i/>
      <w:iCs/>
      <w:spacing w:val="10"/>
      <w:kern w:val="0"/>
      <w:szCs w:val="20"/>
    </w:rPr>
  </w:style>
  <w:style w:type="paragraph" w:customStyle="1" w:styleId="193">
    <w:name w:val="表头文字"/>
    <w:basedOn w:val="31"/>
    <w:qFormat/>
    <w:uiPriority w:val="0"/>
    <w:pPr>
      <w:adjustRightInd w:val="0"/>
      <w:snapToGrid w:val="0"/>
      <w:spacing w:beforeLines="100" w:afterLines="50" w:line="360" w:lineRule="auto"/>
      <w:jc w:val="center"/>
    </w:pPr>
    <w:rPr>
      <w:rFonts w:ascii="Times New Roman" w:hAnsi="Times New Roman" w:eastAsia="黑体" w:cs="Courier New"/>
      <w:b/>
      <w:bCs/>
      <w:sz w:val="28"/>
      <w:szCs w:val="28"/>
    </w:rPr>
  </w:style>
  <w:style w:type="paragraph" w:customStyle="1" w:styleId="194">
    <w:name w:val="表格内字体"/>
    <w:basedOn w:val="31"/>
    <w:qFormat/>
    <w:uiPriority w:val="0"/>
    <w:pPr>
      <w:adjustRightInd w:val="0"/>
      <w:snapToGrid w:val="0"/>
      <w:jc w:val="center"/>
    </w:pPr>
    <w:rPr>
      <w:rFonts w:ascii="Times New Roman" w:hAnsi="Times New Roman" w:cs="Courier New"/>
      <w:sz w:val="28"/>
      <w:szCs w:val="24"/>
    </w:rPr>
  </w:style>
  <w:style w:type="paragraph" w:customStyle="1" w:styleId="195">
    <w:name w:val="正文文字2"/>
    <w:basedOn w:val="4"/>
    <w:next w:val="4"/>
    <w:qFormat/>
    <w:uiPriority w:val="0"/>
    <w:pPr>
      <w:adjustRightInd w:val="0"/>
      <w:snapToGrid w:val="0"/>
      <w:ind w:right="0"/>
      <w:textAlignment w:val="baseline"/>
    </w:pPr>
    <w:rPr>
      <w:rFonts w:ascii="Times New Roman" w:eastAsia="宋体"/>
      <w:snapToGrid w:val="0"/>
      <w:kern w:val="0"/>
      <w:sz w:val="24"/>
    </w:rPr>
  </w:style>
  <w:style w:type="paragraph" w:customStyle="1" w:styleId="196">
    <w:name w:val="目录1"/>
    <w:basedOn w:val="1"/>
    <w:next w:val="1"/>
    <w:qFormat/>
    <w:uiPriority w:val="0"/>
    <w:pPr>
      <w:adjustRightInd w:val="0"/>
      <w:snapToGrid w:val="0"/>
      <w:spacing w:before="120" w:after="120" w:line="420" w:lineRule="atLeast"/>
    </w:pPr>
    <w:rPr>
      <w:b/>
      <w:sz w:val="24"/>
    </w:rPr>
  </w:style>
  <w:style w:type="paragraph" w:customStyle="1" w:styleId="197">
    <w:name w:val="目录3"/>
    <w:basedOn w:val="1"/>
    <w:next w:val="1"/>
    <w:qFormat/>
    <w:uiPriority w:val="0"/>
    <w:pPr>
      <w:adjustRightInd w:val="0"/>
      <w:snapToGrid w:val="0"/>
      <w:spacing w:line="420" w:lineRule="atLeast"/>
    </w:pPr>
    <w:rPr>
      <w:i/>
    </w:rPr>
  </w:style>
  <w:style w:type="paragraph" w:customStyle="1" w:styleId="198">
    <w:name w:val="样式 样式 段后: 0.5 行1 + 左侧:  2 字符 段后: 0.5 行"/>
    <w:basedOn w:val="1"/>
    <w:qFormat/>
    <w:uiPriority w:val="0"/>
    <w:pPr>
      <w:adjustRightInd w:val="0"/>
      <w:snapToGrid w:val="0"/>
      <w:spacing w:afterLines="50" w:line="300" w:lineRule="auto"/>
      <w:ind w:firstLine="200" w:firstLineChars="200"/>
    </w:pPr>
    <w:rPr>
      <w:rFonts w:cs="宋体"/>
    </w:rPr>
  </w:style>
  <w:style w:type="paragraph" w:customStyle="1" w:styleId="199">
    <w:name w:val="普通文字"/>
    <w:basedOn w:val="1"/>
    <w:qFormat/>
    <w:uiPriority w:val="0"/>
    <w:pPr>
      <w:widowControl/>
      <w:spacing w:line="351" w:lineRule="atLeast"/>
      <w:ind w:firstLine="419"/>
      <w:textAlignment w:val="baseline"/>
    </w:pPr>
    <w:rPr>
      <w:rFonts w:ascii="宋体"/>
      <w:color w:val="000000"/>
      <w:kern w:val="0"/>
      <w:sz w:val="21"/>
      <w:u w:val="none" w:color="000000"/>
    </w:rPr>
  </w:style>
  <w:style w:type="paragraph" w:customStyle="1" w:styleId="200">
    <w:name w:val="样式 四号 段前: 7.8 磅 行距: 多倍行距 1.25 字行 首行缩进:  2 字符"/>
    <w:basedOn w:val="1"/>
    <w:qFormat/>
    <w:uiPriority w:val="0"/>
    <w:pPr>
      <w:spacing w:beforeLines="50" w:line="300" w:lineRule="auto"/>
      <w:ind w:firstLine="200" w:firstLineChars="200"/>
    </w:pPr>
    <w:rPr>
      <w:rFonts w:cs="宋体"/>
    </w:rPr>
  </w:style>
  <w:style w:type="paragraph" w:customStyle="1" w:styleId="201">
    <w:name w:val="表格正文"/>
    <w:basedOn w:val="1"/>
    <w:link w:val="202"/>
    <w:qFormat/>
    <w:uiPriority w:val="0"/>
    <w:pPr>
      <w:spacing w:line="240" w:lineRule="atLeast"/>
      <w:jc w:val="center"/>
    </w:pPr>
    <w:rPr>
      <w:rFonts w:ascii="Times New Roman" w:hAnsi="Times New Roman" w:cs="Times New Roman"/>
      <w:color w:val="000000"/>
      <w:kern w:val="2"/>
    </w:rPr>
  </w:style>
  <w:style w:type="character" w:customStyle="1" w:styleId="202">
    <w:name w:val="表格正文 Char"/>
    <w:link w:val="201"/>
    <w:qFormat/>
    <w:uiPriority w:val="0"/>
    <w:rPr>
      <w:color w:val="000000"/>
      <w:kern w:val="2"/>
      <w:sz w:val="24"/>
      <w:szCs w:val="24"/>
    </w:rPr>
  </w:style>
  <w:style w:type="paragraph" w:customStyle="1" w:styleId="203">
    <w:name w:val="表体"/>
    <w:basedOn w:val="1"/>
    <w:link w:val="204"/>
    <w:qFormat/>
    <w:uiPriority w:val="0"/>
    <w:pPr>
      <w:overflowPunct w:val="0"/>
      <w:adjustRightInd w:val="0"/>
      <w:spacing w:before="80" w:after="80"/>
      <w:ind w:left="-57" w:right="-57"/>
      <w:jc w:val="center"/>
      <w:textAlignment w:val="baseline"/>
    </w:pPr>
    <w:rPr>
      <w:rFonts w:hAnsi="Times New Roman" w:cs="Times New Roman"/>
      <w:color w:val="000000"/>
      <w:kern w:val="24"/>
      <w:sz w:val="21"/>
      <w:szCs w:val="20"/>
    </w:rPr>
  </w:style>
  <w:style w:type="character" w:customStyle="1" w:styleId="204">
    <w:name w:val="表体 Char"/>
    <w:link w:val="203"/>
    <w:qFormat/>
    <w:uiPriority w:val="0"/>
    <w:rPr>
      <w:rFonts w:ascii="宋体"/>
      <w:color w:val="000000"/>
      <w:kern w:val="24"/>
      <w:sz w:val="21"/>
    </w:rPr>
  </w:style>
  <w:style w:type="paragraph" w:customStyle="1" w:styleId="205">
    <w:name w:val="cauc-0 Char"/>
    <w:qFormat/>
    <w:uiPriority w:val="0"/>
    <w:pPr>
      <w:spacing w:line="360" w:lineRule="auto"/>
      <w:ind w:firstLine="480" w:firstLineChars="200"/>
      <w:jc w:val="both"/>
    </w:pPr>
    <w:rPr>
      <w:rFonts w:ascii="Times New Roman" w:hAnsi="Times New Roman" w:eastAsia="宋体" w:cs="Times New Roman"/>
      <w:kern w:val="2"/>
      <w:sz w:val="24"/>
      <w:szCs w:val="24"/>
      <w:lang w:val="en-US" w:eastAsia="zh-CN" w:bidi="ar-SA"/>
    </w:rPr>
  </w:style>
  <w:style w:type="paragraph" w:customStyle="1" w:styleId="206">
    <w:name w:val="样式 报告书正文 + 首行缩进:  2 字符"/>
    <w:basedOn w:val="1"/>
    <w:qFormat/>
    <w:uiPriority w:val="0"/>
    <w:pPr>
      <w:spacing w:line="300" w:lineRule="auto"/>
      <w:ind w:firstLine="478" w:firstLineChars="199"/>
    </w:pPr>
    <w:rPr>
      <w:sz w:val="24"/>
      <w:szCs w:val="24"/>
    </w:rPr>
  </w:style>
  <w:style w:type="paragraph" w:customStyle="1" w:styleId="207">
    <w:name w:val="样式 燕山正文 + 首行缩进:  3.5 字符1"/>
    <w:basedOn w:val="122"/>
    <w:qFormat/>
    <w:uiPriority w:val="0"/>
    <w:pPr>
      <w:tabs>
        <w:tab w:val="left" w:pos="-2268"/>
        <w:tab w:val="clear" w:pos="4680"/>
      </w:tabs>
      <w:adjustRightInd/>
      <w:spacing w:line="240" w:lineRule="exact"/>
      <w:ind w:left="472" w:firstLine="0" w:firstLineChars="0"/>
      <w:jc w:val="center"/>
    </w:pPr>
    <w:rPr>
      <w:rFonts w:ascii="宋体" w:cs="宋体"/>
      <w:color w:val="0000FF"/>
      <w:sz w:val="21"/>
      <w:szCs w:val="21"/>
    </w:rPr>
  </w:style>
  <w:style w:type="paragraph" w:customStyle="1" w:styleId="208">
    <w:name w:val="样式 样式2 + (符号) 宋体 Char Char Char"/>
    <w:basedOn w:val="1"/>
    <w:qFormat/>
    <w:uiPriority w:val="0"/>
    <w:pPr>
      <w:tabs>
        <w:tab w:val="left" w:pos="2475"/>
      </w:tabs>
      <w:adjustRightInd w:val="0"/>
      <w:snapToGrid w:val="0"/>
    </w:pPr>
    <w:rPr>
      <w:rFonts w:ascii="宋体" w:hAnsi="宋体"/>
      <w:color w:val="000000"/>
      <w:sz w:val="21"/>
      <w:szCs w:val="21"/>
    </w:rPr>
  </w:style>
  <w:style w:type="paragraph" w:customStyle="1" w:styleId="209">
    <w:name w:val="mycss"/>
    <w:basedOn w:val="1"/>
    <w:qFormat/>
    <w:uiPriority w:val="0"/>
    <w:pPr>
      <w:widowControl/>
      <w:spacing w:before="100" w:beforeAutospacing="1" w:after="100" w:afterAutospacing="1"/>
      <w:jc w:val="left"/>
    </w:pPr>
    <w:rPr>
      <w:rFonts w:ascii="宋体" w:hAnsi="宋体" w:cs="宋体"/>
      <w:kern w:val="0"/>
      <w:sz w:val="24"/>
      <w:szCs w:val="24"/>
    </w:rPr>
  </w:style>
  <w:style w:type="character" w:customStyle="1" w:styleId="210">
    <w:name w:val="style101"/>
    <w:qFormat/>
    <w:uiPriority w:val="0"/>
    <w:rPr>
      <w:rFonts w:hint="eastAsia" w:ascii="宋体" w:hAnsi="宋体" w:eastAsia="宋体"/>
      <w:color w:val="000000"/>
      <w:sz w:val="21"/>
      <w:szCs w:val="21"/>
      <w:u w:val="none"/>
    </w:rPr>
  </w:style>
  <w:style w:type="paragraph" w:customStyle="1" w:styleId="211">
    <w:name w:val="样式 正文缩进正文（首行缩进两字） Chars4 + (符号) 宋体 自动设置 首行缩进:  2 字符 行距: 固定值..."/>
    <w:basedOn w:val="19"/>
    <w:qFormat/>
    <w:uiPriority w:val="0"/>
    <w:pPr>
      <w:spacing w:line="440" w:lineRule="exact"/>
      <w:ind w:firstLine="504"/>
    </w:pPr>
    <w:rPr>
      <w:rFonts w:cs="宋体"/>
      <w:sz w:val="24"/>
    </w:rPr>
  </w:style>
  <w:style w:type="character" w:customStyle="1" w:styleId="212">
    <w:name w:val="正文文本 Char"/>
    <w:qFormat/>
    <w:uiPriority w:val="0"/>
    <w:rPr>
      <w:rFonts w:ascii="方正书宋简体" w:eastAsia="方正书宋简体"/>
      <w:kern w:val="2"/>
      <w:sz w:val="24"/>
      <w:lang w:val="en-US" w:eastAsia="zh-CN" w:bidi="ar-SA"/>
    </w:rPr>
  </w:style>
  <w:style w:type="character" w:customStyle="1" w:styleId="213">
    <w:name w:val="正文缩进 Char2"/>
    <w:qFormat/>
    <w:uiPriority w:val="0"/>
    <w:rPr>
      <w:color w:val="000000"/>
      <w:kern w:val="2"/>
      <w:sz w:val="24"/>
      <w:szCs w:val="24"/>
    </w:rPr>
  </w:style>
  <w:style w:type="paragraph" w:customStyle="1" w:styleId="214">
    <w:name w:val="xl31"/>
    <w:basedOn w:val="1"/>
    <w:qFormat/>
    <w:uiPriority w:val="0"/>
    <w:pPr>
      <w:widowControl/>
      <w:spacing w:before="100" w:beforeAutospacing="1" w:after="100" w:afterAutospacing="1" w:line="400" w:lineRule="exact"/>
      <w:ind w:firstLine="200" w:firstLineChars="200"/>
      <w:jc w:val="center"/>
      <w:textAlignment w:val="center"/>
    </w:pPr>
    <w:rPr>
      <w:rFonts w:ascii="Arial Unicode MS" w:hAnsi="Arial Unicode MS" w:eastAsia="Arial Unicode MS"/>
      <w:kern w:val="0"/>
      <w:sz w:val="24"/>
      <w:szCs w:val="24"/>
    </w:rPr>
  </w:style>
  <w:style w:type="character" w:customStyle="1" w:styleId="215">
    <w:name w:val="t31"/>
    <w:qFormat/>
    <w:uiPriority w:val="0"/>
    <w:rPr>
      <w:rFonts w:hint="eastAsia" w:ascii="宋体" w:hAnsi="宋体" w:eastAsia="宋体"/>
      <w:color w:val="000000"/>
      <w:sz w:val="18"/>
      <w:szCs w:val="18"/>
    </w:rPr>
  </w:style>
  <w:style w:type="paragraph" w:customStyle="1" w:styleId="216">
    <w:name w:val="xl34"/>
    <w:basedOn w:val="1"/>
    <w:qFormat/>
    <w:uiPriority w:val="0"/>
    <w:pPr>
      <w:widowControl/>
      <w:pBdr>
        <w:left w:val="double" w:color="auto" w:sz="6" w:space="0"/>
      </w:pBdr>
      <w:spacing w:before="100" w:after="100" w:line="400" w:lineRule="exact"/>
      <w:ind w:firstLine="200" w:firstLineChars="200"/>
      <w:jc w:val="center"/>
      <w:textAlignment w:val="center"/>
    </w:pPr>
    <w:rPr>
      <w:rFonts w:ascii="宋体" w:hAnsi="宋体"/>
      <w:kern w:val="0"/>
      <w:sz w:val="24"/>
    </w:rPr>
  </w:style>
  <w:style w:type="character" w:customStyle="1" w:styleId="217">
    <w:name w:val="word1"/>
    <w:qFormat/>
    <w:uiPriority w:val="0"/>
    <w:rPr>
      <w:spacing w:val="312"/>
      <w:sz w:val="17"/>
      <w:szCs w:val="17"/>
    </w:rPr>
  </w:style>
  <w:style w:type="character" w:customStyle="1" w:styleId="218">
    <w:name w:val="hig1"/>
    <w:qFormat/>
    <w:uiPriority w:val="0"/>
    <w:rPr>
      <w:spacing w:val="480"/>
    </w:rPr>
  </w:style>
  <w:style w:type="character" w:customStyle="1" w:styleId="219">
    <w:name w:val="style11"/>
    <w:qFormat/>
    <w:uiPriority w:val="0"/>
    <w:rPr>
      <w:sz w:val="21"/>
      <w:szCs w:val="21"/>
    </w:rPr>
  </w:style>
  <w:style w:type="character" w:customStyle="1" w:styleId="220">
    <w:name w:val="燕山正文 Char"/>
    <w:qFormat/>
    <w:uiPriority w:val="0"/>
    <w:rPr>
      <w:kern w:val="2"/>
      <w:sz w:val="24"/>
      <w:szCs w:val="24"/>
    </w:rPr>
  </w:style>
  <w:style w:type="paragraph" w:customStyle="1" w:styleId="221">
    <w:name w:val="Char Char2 Char Char"/>
    <w:basedOn w:val="1"/>
    <w:qFormat/>
    <w:uiPriority w:val="0"/>
    <w:pPr>
      <w:spacing w:line="400" w:lineRule="exact"/>
      <w:ind w:firstLine="200" w:firstLineChars="200"/>
    </w:pPr>
    <w:rPr>
      <w:sz w:val="21"/>
      <w:szCs w:val="24"/>
    </w:rPr>
  </w:style>
  <w:style w:type="character" w:customStyle="1" w:styleId="222">
    <w:name w:val="HTML 预设格式 Char"/>
    <w:qFormat/>
    <w:uiPriority w:val="0"/>
    <w:rPr>
      <w:rFonts w:ascii="黑体" w:hAnsi="Courier New" w:eastAsia="黑体" w:cs="Courier New"/>
    </w:rPr>
  </w:style>
  <w:style w:type="paragraph" w:customStyle="1" w:styleId="223">
    <w:name w:val="l_text"/>
    <w:basedOn w:val="1"/>
    <w:qFormat/>
    <w:uiPriority w:val="0"/>
    <w:pPr>
      <w:widowControl/>
      <w:overflowPunct w:val="0"/>
      <w:autoSpaceDE w:val="0"/>
      <w:autoSpaceDN w:val="0"/>
      <w:adjustRightInd w:val="0"/>
      <w:spacing w:line="360" w:lineRule="auto"/>
      <w:ind w:firstLine="567" w:firstLineChars="200"/>
      <w:textAlignment w:val="baseline"/>
    </w:pPr>
    <w:rPr>
      <w:kern w:val="0"/>
      <w:sz w:val="24"/>
      <w:lang w:val="en-GB"/>
    </w:rPr>
  </w:style>
  <w:style w:type="paragraph" w:customStyle="1" w:styleId="224">
    <w:name w:val="Char Char1"/>
    <w:basedOn w:val="1"/>
    <w:qFormat/>
    <w:uiPriority w:val="0"/>
    <w:pPr>
      <w:spacing w:line="400" w:lineRule="exact"/>
      <w:ind w:firstLine="200" w:firstLineChars="200"/>
    </w:pPr>
    <w:rPr>
      <w:sz w:val="21"/>
      <w:szCs w:val="24"/>
    </w:rPr>
  </w:style>
  <w:style w:type="paragraph" w:customStyle="1" w:styleId="225">
    <w:name w:val="Char Char Char Char"/>
    <w:basedOn w:val="1"/>
    <w:qFormat/>
    <w:uiPriority w:val="0"/>
    <w:pPr>
      <w:spacing w:line="400" w:lineRule="exact"/>
      <w:ind w:firstLine="200" w:firstLineChars="200"/>
    </w:pPr>
    <w:rPr>
      <w:sz w:val="21"/>
      <w:szCs w:val="24"/>
    </w:rPr>
  </w:style>
  <w:style w:type="paragraph" w:customStyle="1" w:styleId="226">
    <w:name w:val="Char Char1 Char Char Char Char"/>
    <w:basedOn w:val="1"/>
    <w:qFormat/>
    <w:uiPriority w:val="0"/>
    <w:pPr>
      <w:spacing w:line="400" w:lineRule="exact"/>
      <w:ind w:firstLine="200" w:firstLineChars="200"/>
    </w:pPr>
    <w:rPr>
      <w:sz w:val="21"/>
      <w:szCs w:val="24"/>
    </w:rPr>
  </w:style>
  <w:style w:type="paragraph" w:customStyle="1" w:styleId="227">
    <w:name w:val="Char Char2 Char Char Char Char"/>
    <w:basedOn w:val="1"/>
    <w:qFormat/>
    <w:uiPriority w:val="0"/>
    <w:pPr>
      <w:spacing w:line="400" w:lineRule="exact"/>
      <w:ind w:firstLine="200" w:firstLineChars="200"/>
    </w:pPr>
    <w:rPr>
      <w:sz w:val="21"/>
      <w:szCs w:val="24"/>
    </w:rPr>
  </w:style>
  <w:style w:type="paragraph" w:styleId="228">
    <w:name w:val="No Spacing"/>
    <w:qFormat/>
    <w:uiPriority w:val="0"/>
    <w:pPr>
      <w:widowControl w:val="0"/>
      <w:ind w:firstLine="200" w:firstLineChars="200"/>
      <w:jc w:val="both"/>
    </w:pPr>
    <w:rPr>
      <w:rFonts w:ascii="Times New Roman" w:hAnsi="Times New Roman" w:eastAsia="宋体" w:cs="Times New Roman"/>
      <w:kern w:val="2"/>
      <w:sz w:val="24"/>
      <w:lang w:val="en-US" w:eastAsia="zh-CN" w:bidi="ar-SA"/>
    </w:rPr>
  </w:style>
  <w:style w:type="paragraph" w:customStyle="1" w:styleId="229">
    <w:name w:val="_Style 227"/>
    <w:basedOn w:val="5"/>
    <w:next w:val="1"/>
    <w:qFormat/>
    <w:uiPriority w:val="0"/>
    <w:pPr>
      <w:widowControl/>
      <w:spacing w:before="480" w:after="0" w:line="276" w:lineRule="auto"/>
      <w:jc w:val="left"/>
      <w:outlineLvl w:val="9"/>
    </w:pPr>
    <w:rPr>
      <w:rFonts w:ascii="Cambria" w:hAnsi="Cambria"/>
      <w:color w:val="365F91"/>
      <w:kern w:val="0"/>
      <w:sz w:val="28"/>
      <w:szCs w:val="28"/>
    </w:rPr>
  </w:style>
  <w:style w:type="paragraph" w:customStyle="1" w:styleId="230">
    <w:name w:val="Char Char2 Char Char Char Char Char Char Char Char Char Char"/>
    <w:basedOn w:val="1"/>
    <w:qFormat/>
    <w:uiPriority w:val="0"/>
    <w:rPr>
      <w:sz w:val="21"/>
      <w:szCs w:val="24"/>
    </w:rPr>
  </w:style>
  <w:style w:type="paragraph" w:customStyle="1" w:styleId="231">
    <w:name w:val="强调内容"/>
    <w:basedOn w:val="1"/>
    <w:next w:val="1"/>
    <w:qFormat/>
    <w:uiPriority w:val="0"/>
    <w:pPr>
      <w:adjustRightInd w:val="0"/>
      <w:snapToGrid w:val="0"/>
      <w:spacing w:line="480" w:lineRule="exact"/>
      <w:ind w:firstLine="200" w:firstLineChars="200"/>
    </w:pPr>
    <w:rPr>
      <w:b/>
      <w:sz w:val="24"/>
    </w:rPr>
  </w:style>
  <w:style w:type="character" w:customStyle="1" w:styleId="232">
    <w:name w:val="报告正文 Char"/>
    <w:qFormat/>
    <w:uiPriority w:val="0"/>
    <w:rPr>
      <w:kern w:val="2"/>
      <w:sz w:val="24"/>
      <w:szCs w:val="24"/>
    </w:rPr>
  </w:style>
  <w:style w:type="character" w:customStyle="1" w:styleId="233">
    <w:name w:val="强调内容 Char"/>
    <w:qFormat/>
    <w:uiPriority w:val="0"/>
    <w:rPr>
      <w:b/>
      <w:kern w:val="2"/>
      <w:sz w:val="24"/>
    </w:rPr>
  </w:style>
  <w:style w:type="character" w:customStyle="1" w:styleId="234">
    <w:name w:val="表格内容 Char"/>
    <w:qFormat/>
    <w:uiPriority w:val="0"/>
    <w:rPr>
      <w:rFonts w:eastAsia="仿宋_GB2312"/>
      <w:sz w:val="24"/>
    </w:rPr>
  </w:style>
  <w:style w:type="paragraph" w:customStyle="1" w:styleId="235">
    <w:name w:val="Char Char2 Char Char Char Char Char Char Char Char Char Char Char Char Char Char"/>
    <w:basedOn w:val="1"/>
    <w:qFormat/>
    <w:uiPriority w:val="0"/>
    <w:rPr>
      <w:sz w:val="21"/>
      <w:szCs w:val="24"/>
    </w:rPr>
  </w:style>
  <w:style w:type="character" w:customStyle="1" w:styleId="236">
    <w:name w:val="zhenwen14"/>
    <w:basedOn w:val="60"/>
    <w:qFormat/>
    <w:uiPriority w:val="0"/>
  </w:style>
  <w:style w:type="paragraph" w:customStyle="1" w:styleId="237">
    <w:name w:val="Char Char2 Char Char Char Char Char Char Char Char Char Char Char Char Char Char Char Char Char Char"/>
    <w:basedOn w:val="1"/>
    <w:qFormat/>
    <w:uiPriority w:val="0"/>
    <w:rPr>
      <w:sz w:val="21"/>
      <w:szCs w:val="24"/>
    </w:rPr>
  </w:style>
  <w:style w:type="paragraph" w:customStyle="1" w:styleId="238">
    <w:name w:val="Char Char2 Char Char Char Char Char Char Char Char Char Char Char Char Char Char Char Char Char Char2"/>
    <w:basedOn w:val="1"/>
    <w:qFormat/>
    <w:uiPriority w:val="0"/>
    <w:rPr>
      <w:sz w:val="21"/>
      <w:szCs w:val="24"/>
    </w:rPr>
  </w:style>
  <w:style w:type="paragraph" w:customStyle="1" w:styleId="239">
    <w:name w:val="Char Char Char Char1"/>
    <w:basedOn w:val="1"/>
    <w:qFormat/>
    <w:uiPriority w:val="0"/>
    <w:rPr>
      <w:sz w:val="21"/>
      <w:szCs w:val="24"/>
    </w:rPr>
  </w:style>
  <w:style w:type="table" w:customStyle="1" w:styleId="240">
    <w:name w:val="网格型1"/>
    <w:basedOn w:val="56"/>
    <w:qFormat/>
    <w:uiPriority w:val="0"/>
    <w:pPr>
      <w:widowControl w:val="0"/>
      <w:spacing w:line="400" w:lineRule="exact"/>
      <w:ind w:firstLine="200" w:firstLineChars="20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241">
    <w:name w:val="加粗报告正文"/>
    <w:basedOn w:val="129"/>
    <w:next w:val="1"/>
    <w:qFormat/>
    <w:uiPriority w:val="0"/>
    <w:pPr>
      <w:spacing w:line="480" w:lineRule="exact"/>
      <w:ind w:firstLine="480"/>
    </w:pPr>
    <w:rPr>
      <w:b/>
      <w:szCs w:val="20"/>
    </w:rPr>
  </w:style>
  <w:style w:type="paragraph" w:customStyle="1" w:styleId="242">
    <w:name w:val="报告表格内容"/>
    <w:basedOn w:val="1"/>
    <w:next w:val="1"/>
    <w:link w:val="243"/>
    <w:qFormat/>
    <w:uiPriority w:val="0"/>
    <w:pPr>
      <w:adjustRightInd w:val="0"/>
      <w:snapToGrid w:val="0"/>
      <w:jc w:val="center"/>
    </w:pPr>
    <w:rPr>
      <w:rFonts w:ascii="Times New Roman" w:hAnsi="Times New Roman" w:cs="Times New Roman"/>
      <w:kern w:val="2"/>
      <w:sz w:val="21"/>
      <w:szCs w:val="20"/>
    </w:rPr>
  </w:style>
  <w:style w:type="character" w:customStyle="1" w:styleId="243">
    <w:name w:val="报告表格内容 Char"/>
    <w:link w:val="242"/>
    <w:qFormat/>
    <w:uiPriority w:val="0"/>
    <w:rPr>
      <w:rFonts w:eastAsia="宋体"/>
      <w:kern w:val="2"/>
      <w:sz w:val="21"/>
      <w:lang w:val="en-US" w:eastAsia="zh-CN" w:bidi="ar-SA"/>
    </w:rPr>
  </w:style>
  <w:style w:type="character" w:customStyle="1" w:styleId="244">
    <w:name w:val="unnamed11"/>
    <w:qFormat/>
    <w:uiPriority w:val="0"/>
    <w:rPr>
      <w:sz w:val="20"/>
      <w:szCs w:val="20"/>
    </w:rPr>
  </w:style>
  <w:style w:type="paragraph" w:customStyle="1" w:styleId="245">
    <w:name w:val="样式5"/>
    <w:basedOn w:val="1"/>
    <w:qFormat/>
    <w:uiPriority w:val="0"/>
    <w:pPr>
      <w:numPr>
        <w:ilvl w:val="0"/>
        <w:numId w:val="6"/>
      </w:numPr>
      <w:spacing w:line="400" w:lineRule="exact"/>
    </w:pPr>
    <w:rPr>
      <w:sz w:val="24"/>
      <w:szCs w:val="24"/>
    </w:rPr>
  </w:style>
  <w:style w:type="character" w:customStyle="1" w:styleId="246">
    <w:name w:val="px14"/>
    <w:basedOn w:val="60"/>
    <w:qFormat/>
    <w:uiPriority w:val="0"/>
  </w:style>
  <w:style w:type="paragraph" w:customStyle="1" w:styleId="247">
    <w:name w:val="全文"/>
    <w:basedOn w:val="1"/>
    <w:qFormat/>
    <w:uiPriority w:val="0"/>
    <w:pPr>
      <w:widowControl/>
      <w:spacing w:before="100" w:after="100"/>
      <w:jc w:val="left"/>
    </w:pPr>
    <w:rPr>
      <w:rFonts w:hint="eastAsia" w:ascii="宋体" w:hAnsi="宋体"/>
      <w:kern w:val="0"/>
      <w:sz w:val="18"/>
    </w:rPr>
  </w:style>
  <w:style w:type="paragraph" w:customStyle="1" w:styleId="248">
    <w:name w:val="表格"/>
    <w:link w:val="249"/>
    <w:qFormat/>
    <w:uiPriority w:val="99"/>
    <w:pPr>
      <w:spacing w:line="380" w:lineRule="exact"/>
      <w:jc w:val="center"/>
    </w:pPr>
    <w:rPr>
      <w:rFonts w:ascii="宋体" w:hAnsi="宋体" w:eastAsia="宋体" w:cs="Times New Roman"/>
      <w:snapToGrid w:val="0"/>
      <w:sz w:val="21"/>
      <w:lang w:val="en-US" w:eastAsia="zh-CN" w:bidi="ar-SA"/>
    </w:rPr>
  </w:style>
  <w:style w:type="character" w:customStyle="1" w:styleId="249">
    <w:name w:val="表格 Char"/>
    <w:link w:val="248"/>
    <w:qFormat/>
    <w:uiPriority w:val="99"/>
    <w:rPr>
      <w:rFonts w:ascii="宋体" w:hAnsi="宋体"/>
      <w:snapToGrid w:val="0"/>
      <w:sz w:val="21"/>
      <w:lang w:val="en-US" w:eastAsia="zh-CN" w:bidi="ar-SA"/>
    </w:rPr>
  </w:style>
  <w:style w:type="character" w:customStyle="1" w:styleId="250">
    <w:name w:val="px141"/>
    <w:qFormat/>
    <w:uiPriority w:val="0"/>
    <w:rPr>
      <w:rFonts w:hint="default"/>
      <w:spacing w:val="330"/>
      <w:sz w:val="21"/>
      <w:szCs w:val="21"/>
    </w:rPr>
  </w:style>
  <w:style w:type="character" w:customStyle="1" w:styleId="251">
    <w:name w:val="unnamed21"/>
    <w:qFormat/>
    <w:uiPriority w:val="0"/>
    <w:rPr>
      <w:color w:val="000000"/>
      <w:spacing w:val="255"/>
      <w:sz w:val="18"/>
      <w:szCs w:val="18"/>
      <w:u w:val="none"/>
    </w:rPr>
  </w:style>
  <w:style w:type="character" w:customStyle="1" w:styleId="252">
    <w:name w:val="font"/>
    <w:basedOn w:val="60"/>
    <w:qFormat/>
    <w:uiPriority w:val="0"/>
  </w:style>
  <w:style w:type="paragraph" w:customStyle="1" w:styleId="253">
    <w:name w:val="公式"/>
    <w:basedOn w:val="1"/>
    <w:link w:val="254"/>
    <w:qFormat/>
    <w:uiPriority w:val="0"/>
    <w:pPr>
      <w:tabs>
        <w:tab w:val="left" w:pos="6580"/>
      </w:tabs>
      <w:adjustRightInd w:val="0"/>
      <w:snapToGrid w:val="0"/>
      <w:spacing w:line="360" w:lineRule="auto"/>
      <w:ind w:firstLine="500" w:firstLineChars="500"/>
    </w:pPr>
    <w:rPr>
      <w:rFonts w:ascii="Times New Roman" w:hAnsi="Times New Roman" w:cs="Times New Roman"/>
      <w:kern w:val="2"/>
    </w:rPr>
  </w:style>
  <w:style w:type="character" w:customStyle="1" w:styleId="254">
    <w:name w:val="公式 Char"/>
    <w:link w:val="253"/>
    <w:qFormat/>
    <w:uiPriority w:val="0"/>
    <w:rPr>
      <w:kern w:val="2"/>
      <w:sz w:val="24"/>
      <w:szCs w:val="24"/>
    </w:rPr>
  </w:style>
  <w:style w:type="paragraph" w:customStyle="1" w:styleId="255">
    <w:name w:val="正文文本1111"/>
    <w:basedOn w:val="1"/>
    <w:next w:val="4"/>
    <w:qFormat/>
    <w:uiPriority w:val="0"/>
    <w:pPr>
      <w:spacing w:line="480" w:lineRule="exact"/>
      <w:ind w:firstLine="200" w:firstLineChars="200"/>
    </w:pPr>
    <w:rPr>
      <w:rFonts w:ascii="宋体"/>
      <w:sz w:val="24"/>
      <w:szCs w:val="24"/>
    </w:rPr>
  </w:style>
  <w:style w:type="paragraph" w:customStyle="1" w:styleId="256">
    <w:name w:val="第二章表头"/>
    <w:basedOn w:val="1"/>
    <w:qFormat/>
    <w:uiPriority w:val="0"/>
    <w:pPr>
      <w:overflowPunct w:val="0"/>
      <w:adjustRightInd w:val="0"/>
      <w:spacing w:line="480" w:lineRule="exact"/>
      <w:ind w:left="420" w:hanging="420"/>
      <w:jc w:val="center"/>
      <w:textAlignment w:val="baseline"/>
    </w:pPr>
    <w:rPr>
      <w:rFonts w:cs="宋体"/>
      <w:b/>
      <w:kern w:val="0"/>
      <w:sz w:val="24"/>
    </w:rPr>
  </w:style>
  <w:style w:type="paragraph" w:customStyle="1" w:styleId="257">
    <w:name w:val="报告标题2"/>
    <w:basedOn w:val="53"/>
    <w:next w:val="1"/>
    <w:qFormat/>
    <w:uiPriority w:val="0"/>
    <w:pPr>
      <w:adjustRightInd w:val="0"/>
      <w:snapToGrid w:val="0"/>
      <w:spacing w:beforeLines="150" w:afterLines="150" w:line="480" w:lineRule="exact"/>
      <w:jc w:val="left"/>
    </w:pPr>
    <w:rPr>
      <w:rFonts w:ascii="Times New Roman" w:hAnsi="Times New Roman"/>
    </w:rPr>
  </w:style>
  <w:style w:type="paragraph" w:customStyle="1" w:styleId="258">
    <w:name w:val="报告表格标题"/>
    <w:basedOn w:val="1"/>
    <w:next w:val="1"/>
    <w:qFormat/>
    <w:uiPriority w:val="0"/>
    <w:pPr>
      <w:adjustRightInd w:val="0"/>
      <w:snapToGrid w:val="0"/>
      <w:spacing w:beforeLines="50" w:afterLines="50" w:line="480" w:lineRule="exact"/>
      <w:jc w:val="center"/>
    </w:pPr>
    <w:rPr>
      <w:rFonts w:ascii="黑体" w:hAnsi="宋体" w:eastAsia="黑体"/>
      <w:sz w:val="24"/>
    </w:rPr>
  </w:style>
  <w:style w:type="paragraph" w:customStyle="1" w:styleId="259">
    <w:name w:val="报告标题3"/>
    <w:basedOn w:val="1"/>
    <w:next w:val="1"/>
    <w:qFormat/>
    <w:uiPriority w:val="0"/>
    <w:pPr>
      <w:adjustRightInd w:val="0"/>
      <w:snapToGrid w:val="0"/>
      <w:spacing w:beforeLines="100" w:afterLines="100" w:line="480" w:lineRule="exact"/>
    </w:pPr>
    <w:rPr>
      <w:b/>
    </w:rPr>
  </w:style>
  <w:style w:type="paragraph" w:customStyle="1" w:styleId="260">
    <w:name w:val="表格02"/>
    <w:basedOn w:val="1"/>
    <w:qFormat/>
    <w:uiPriority w:val="0"/>
    <w:pPr>
      <w:adjustRightInd w:val="0"/>
      <w:snapToGrid w:val="0"/>
      <w:spacing w:line="400" w:lineRule="exact"/>
      <w:jc w:val="center"/>
      <w:textAlignment w:val="baseline"/>
    </w:pPr>
    <w:rPr>
      <w:snapToGrid w:val="0"/>
      <w:kern w:val="0"/>
      <w:sz w:val="24"/>
      <w:szCs w:val="24"/>
      <w:lang w:val="en-GB"/>
    </w:rPr>
  </w:style>
  <w:style w:type="paragraph" w:customStyle="1" w:styleId="261">
    <w:name w:val="xl104"/>
    <w:basedOn w:val="1"/>
    <w:qFormat/>
    <w:uiPriority w:val="0"/>
    <w:pPr>
      <w:widowControl/>
      <w:spacing w:before="100" w:beforeAutospacing="1" w:after="100" w:afterAutospacing="1"/>
      <w:jc w:val="center"/>
    </w:pPr>
    <w:rPr>
      <w:kern w:val="0"/>
      <w:sz w:val="24"/>
      <w:szCs w:val="24"/>
    </w:rPr>
  </w:style>
  <w:style w:type="character" w:customStyle="1" w:styleId="262">
    <w:name w:val="tpc_content"/>
    <w:basedOn w:val="60"/>
    <w:qFormat/>
    <w:uiPriority w:val="0"/>
  </w:style>
  <w:style w:type="character" w:customStyle="1" w:styleId="263">
    <w:name w:val="title"/>
    <w:basedOn w:val="60"/>
    <w:qFormat/>
    <w:uiPriority w:val="0"/>
  </w:style>
  <w:style w:type="paragraph" w:customStyle="1" w:styleId="264">
    <w:name w:val="样式 样式 样式 四号 段前: 7.8 磅 行距: 多倍行距 1.25 字行 首行缩进:  2 字符 + 首行缩进:  2 字符...1"/>
    <w:basedOn w:val="1"/>
    <w:qFormat/>
    <w:uiPriority w:val="0"/>
    <w:pPr>
      <w:snapToGrid w:val="0"/>
      <w:spacing w:beforeLines="50" w:line="300" w:lineRule="auto"/>
      <w:ind w:firstLine="200" w:firstLineChars="200"/>
    </w:pPr>
    <w:rPr>
      <w:rFonts w:cs="宋体"/>
    </w:rPr>
  </w:style>
  <w:style w:type="paragraph" w:customStyle="1" w:styleId="265">
    <w:name w:val="Char Char2 Char Char Char Char Char Char Char Char Char Char Char Char Char Char1"/>
    <w:basedOn w:val="1"/>
    <w:qFormat/>
    <w:uiPriority w:val="0"/>
    <w:rPr>
      <w:sz w:val="21"/>
      <w:szCs w:val="24"/>
    </w:rPr>
  </w:style>
  <w:style w:type="character" w:customStyle="1" w:styleId="266">
    <w:name w:val="未命名11"/>
    <w:qFormat/>
    <w:uiPriority w:val="0"/>
    <w:rPr>
      <w:rFonts w:eastAsia="黑体"/>
      <w:spacing w:val="280"/>
      <w:kern w:val="2"/>
      <w:sz w:val="24"/>
      <w:szCs w:val="24"/>
      <w:lang w:val="en-US" w:eastAsia="zh-CN" w:bidi="ar-SA"/>
    </w:rPr>
  </w:style>
  <w:style w:type="character" w:customStyle="1" w:styleId="267">
    <w:name w:val="content"/>
    <w:basedOn w:val="60"/>
    <w:qFormat/>
    <w:uiPriority w:val="0"/>
  </w:style>
  <w:style w:type="paragraph" w:customStyle="1" w:styleId="268">
    <w:name w:val="第三章表头1"/>
    <w:basedOn w:val="1"/>
    <w:next w:val="1"/>
    <w:qFormat/>
    <w:uiPriority w:val="0"/>
    <w:pPr>
      <w:widowControl/>
      <w:adjustRightInd w:val="0"/>
      <w:snapToGrid w:val="0"/>
      <w:spacing w:line="480" w:lineRule="exact"/>
      <w:ind w:left="900" w:hanging="420"/>
      <w:jc w:val="center"/>
    </w:pPr>
    <w:rPr>
      <w:rFonts w:eastAsia="黑体"/>
      <w:kern w:val="0"/>
      <w:sz w:val="24"/>
      <w:szCs w:val="24"/>
    </w:rPr>
  </w:style>
  <w:style w:type="paragraph" w:customStyle="1" w:styleId="269">
    <w:name w:val="Char3"/>
    <w:basedOn w:val="1"/>
    <w:qFormat/>
    <w:uiPriority w:val="0"/>
    <w:pPr>
      <w:numPr>
        <w:ilvl w:val="0"/>
        <w:numId w:val="7"/>
      </w:numPr>
      <w:tabs>
        <w:tab w:val="clear" w:pos="-2422"/>
      </w:tabs>
      <w:spacing w:line="360" w:lineRule="auto"/>
      <w:ind w:left="0" w:firstLine="200" w:firstLineChars="200"/>
    </w:pPr>
    <w:rPr>
      <w:rFonts w:ascii="宋体" w:hAnsi="宋体" w:cs="宋体"/>
      <w:sz w:val="24"/>
      <w:szCs w:val="24"/>
    </w:rPr>
  </w:style>
  <w:style w:type="character" w:customStyle="1" w:styleId="270">
    <w:name w:val="postbody1"/>
    <w:qFormat/>
    <w:uiPriority w:val="0"/>
    <w:rPr>
      <w:sz w:val="23"/>
      <w:szCs w:val="23"/>
    </w:rPr>
  </w:style>
  <w:style w:type="paragraph" w:customStyle="1" w:styleId="271">
    <w:name w:val="Char Char2 Char Char Char Char Char Char Char Char Char Char Char Char Char Char Char Char Char Char1"/>
    <w:basedOn w:val="1"/>
    <w:qFormat/>
    <w:uiPriority w:val="0"/>
    <w:rPr>
      <w:sz w:val="21"/>
      <w:szCs w:val="24"/>
    </w:rPr>
  </w:style>
  <w:style w:type="character" w:customStyle="1" w:styleId="272">
    <w:name w:val="css1"/>
    <w:basedOn w:val="60"/>
    <w:qFormat/>
    <w:uiPriority w:val="0"/>
  </w:style>
  <w:style w:type="paragraph" w:customStyle="1" w:styleId="273">
    <w:name w:val="标头报告正文"/>
    <w:basedOn w:val="129"/>
    <w:next w:val="1"/>
    <w:link w:val="274"/>
    <w:qFormat/>
    <w:uiPriority w:val="0"/>
    <w:pPr>
      <w:spacing w:line="480" w:lineRule="exact"/>
    </w:pPr>
    <w:rPr>
      <w:b/>
      <w:szCs w:val="20"/>
    </w:rPr>
  </w:style>
  <w:style w:type="character" w:customStyle="1" w:styleId="274">
    <w:name w:val="标头报告正文 Char"/>
    <w:link w:val="273"/>
    <w:qFormat/>
    <w:uiPriority w:val="0"/>
    <w:rPr>
      <w:b/>
      <w:kern w:val="2"/>
      <w:sz w:val="24"/>
    </w:rPr>
  </w:style>
  <w:style w:type="paragraph" w:customStyle="1" w:styleId="275">
    <w:name w:val="第四章表标头"/>
    <w:basedOn w:val="1"/>
    <w:link w:val="276"/>
    <w:qFormat/>
    <w:uiPriority w:val="0"/>
    <w:pPr>
      <w:adjustRightInd w:val="0"/>
      <w:snapToGrid w:val="0"/>
      <w:spacing w:line="480" w:lineRule="exact"/>
      <w:jc w:val="center"/>
    </w:pPr>
    <w:rPr>
      <w:rFonts w:ascii="黑体" w:hAnsi="黑体" w:eastAsia="黑体" w:cs="Times New Roman"/>
      <w:bCs/>
      <w:color w:val="000000"/>
      <w:kern w:val="2"/>
      <w:szCs w:val="20"/>
    </w:rPr>
  </w:style>
  <w:style w:type="character" w:customStyle="1" w:styleId="276">
    <w:name w:val="第四章表标头 Char"/>
    <w:link w:val="275"/>
    <w:qFormat/>
    <w:uiPriority w:val="0"/>
    <w:rPr>
      <w:rFonts w:ascii="黑体" w:hAnsi="黑体" w:eastAsia="黑体"/>
      <w:bCs/>
      <w:color w:val="000000"/>
      <w:kern w:val="2"/>
      <w:sz w:val="24"/>
    </w:rPr>
  </w:style>
  <w:style w:type="character" w:customStyle="1" w:styleId="277">
    <w:name w:val="zhou11"/>
    <w:qFormat/>
    <w:uiPriority w:val="0"/>
    <w:rPr>
      <w:color w:val="000000"/>
      <w:sz w:val="21"/>
      <w:szCs w:val="21"/>
    </w:rPr>
  </w:style>
  <w:style w:type="character" w:customStyle="1" w:styleId="278">
    <w:name w:val="正文待定 Char Char"/>
    <w:qFormat/>
    <w:uiPriority w:val="0"/>
    <w:rPr>
      <w:rFonts w:eastAsia="宋体"/>
      <w:b/>
      <w:i/>
      <w:color w:val="FF0000"/>
      <w:kern w:val="2"/>
      <w:sz w:val="24"/>
      <w:szCs w:val="24"/>
      <w:lang w:val="en-US" w:eastAsia="zh-CN" w:bidi="ar-SA"/>
    </w:rPr>
  </w:style>
  <w:style w:type="paragraph" w:customStyle="1" w:styleId="279">
    <w:name w:val="封面正文"/>
    <w:qFormat/>
    <w:uiPriority w:val="0"/>
    <w:pPr>
      <w:jc w:val="both"/>
    </w:pPr>
    <w:rPr>
      <w:rFonts w:ascii="Times New Roman" w:hAnsi="Times New Roman" w:eastAsia="宋体" w:cs="Times New Roman"/>
      <w:lang w:val="en-US" w:eastAsia="zh-CN" w:bidi="ar-SA"/>
    </w:rPr>
  </w:style>
  <w:style w:type="character" w:customStyle="1" w:styleId="280">
    <w:name w:val="hilite"/>
    <w:basedOn w:val="60"/>
    <w:qFormat/>
    <w:uiPriority w:val="0"/>
  </w:style>
  <w:style w:type="paragraph" w:customStyle="1" w:styleId="281">
    <w:name w:val="Char Char1 Char Char Char Char1"/>
    <w:basedOn w:val="1"/>
    <w:qFormat/>
    <w:uiPriority w:val="0"/>
    <w:rPr>
      <w:sz w:val="21"/>
      <w:szCs w:val="24"/>
    </w:rPr>
  </w:style>
  <w:style w:type="paragraph" w:customStyle="1" w:styleId="282">
    <w:name w:val="默认段落字体 Para Char"/>
    <w:basedOn w:val="1"/>
    <w:qFormat/>
    <w:uiPriority w:val="0"/>
    <w:rPr>
      <w:sz w:val="24"/>
      <w:szCs w:val="24"/>
    </w:rPr>
  </w:style>
  <w:style w:type="paragraph" w:customStyle="1" w:styleId="283">
    <w:name w:val="表、图名"/>
    <w:basedOn w:val="1"/>
    <w:qFormat/>
    <w:uiPriority w:val="0"/>
    <w:pPr>
      <w:adjustRightInd w:val="0"/>
      <w:snapToGrid w:val="0"/>
      <w:spacing w:line="312" w:lineRule="atLeast"/>
      <w:jc w:val="center"/>
    </w:pPr>
    <w:rPr>
      <w:rFonts w:ascii="黑体" w:hAnsi="宋体" w:eastAsia="黑体"/>
      <w:color w:val="000000"/>
      <w:kern w:val="0"/>
      <w:sz w:val="21"/>
      <w:szCs w:val="21"/>
    </w:rPr>
  </w:style>
  <w:style w:type="paragraph" w:customStyle="1" w:styleId="284">
    <w:name w:val="表格中"/>
    <w:basedOn w:val="1"/>
    <w:qFormat/>
    <w:uiPriority w:val="0"/>
    <w:pPr>
      <w:spacing w:line="280" w:lineRule="exact"/>
      <w:jc w:val="center"/>
    </w:pPr>
    <w:rPr>
      <w:rFonts w:ascii="宋体"/>
      <w:sz w:val="18"/>
      <w:szCs w:val="24"/>
    </w:rPr>
  </w:style>
  <w:style w:type="paragraph" w:customStyle="1" w:styleId="285">
    <w:name w:val="表格文字"/>
    <w:basedOn w:val="4"/>
    <w:link w:val="286"/>
    <w:qFormat/>
    <w:uiPriority w:val="0"/>
    <w:pPr>
      <w:adjustRightInd w:val="0"/>
      <w:snapToGrid w:val="0"/>
      <w:ind w:right="0"/>
      <w:jc w:val="center"/>
    </w:pPr>
    <w:rPr>
      <w:rFonts w:ascii="宋体" w:eastAsia="宋体" w:cs="Times New Roman"/>
      <w:color w:val="000000"/>
      <w:sz w:val="18"/>
      <w:szCs w:val="18"/>
    </w:rPr>
  </w:style>
  <w:style w:type="character" w:customStyle="1" w:styleId="286">
    <w:name w:val="表格文字 Char"/>
    <w:link w:val="285"/>
    <w:qFormat/>
    <w:locked/>
    <w:uiPriority w:val="0"/>
    <w:rPr>
      <w:rFonts w:ascii="宋体" w:hAnsi="宋体" w:cs="宋体"/>
      <w:color w:val="000000"/>
      <w:sz w:val="18"/>
      <w:szCs w:val="18"/>
    </w:rPr>
  </w:style>
  <w:style w:type="paragraph" w:customStyle="1" w:styleId="287">
    <w:name w:val="第六章表标头"/>
    <w:basedOn w:val="1"/>
    <w:next w:val="129"/>
    <w:qFormat/>
    <w:uiPriority w:val="0"/>
    <w:pPr>
      <w:numPr>
        <w:ilvl w:val="0"/>
        <w:numId w:val="8"/>
      </w:numPr>
      <w:adjustRightInd w:val="0"/>
      <w:snapToGrid w:val="0"/>
      <w:spacing w:line="400" w:lineRule="exact"/>
      <w:ind w:left="0" w:firstLine="0"/>
      <w:jc w:val="center"/>
    </w:pPr>
    <w:rPr>
      <w:rFonts w:ascii="黑体" w:hAnsi="黑体" w:eastAsia="黑体"/>
      <w:bCs/>
      <w:color w:val="000000"/>
      <w:sz w:val="24"/>
    </w:rPr>
  </w:style>
  <w:style w:type="paragraph" w:customStyle="1" w:styleId="288">
    <w:name w:val="Char Char1 Char Char Char Char Char Char Char Char Char Char Char Char Char Char Char Char Char Char Char Char1 Char"/>
    <w:basedOn w:val="1"/>
    <w:qFormat/>
    <w:uiPriority w:val="0"/>
    <w:pPr>
      <w:spacing w:line="360" w:lineRule="auto"/>
      <w:ind w:firstLine="200" w:firstLineChars="200"/>
    </w:pPr>
    <w:rPr>
      <w:rFonts w:ascii="宋体" w:hAnsi="宋体" w:cs="宋体"/>
      <w:sz w:val="24"/>
      <w:szCs w:val="24"/>
    </w:rPr>
  </w:style>
  <w:style w:type="paragraph" w:customStyle="1" w:styleId="289">
    <w:name w:val="样式 黑体 小四 居中"/>
    <w:basedOn w:val="1"/>
    <w:qFormat/>
    <w:uiPriority w:val="0"/>
    <w:pPr>
      <w:jc w:val="center"/>
    </w:pPr>
    <w:rPr>
      <w:rFonts w:ascii="黑体" w:hAnsi="黑体" w:eastAsia="黑体" w:cs="宋体"/>
      <w:sz w:val="24"/>
    </w:rPr>
  </w:style>
  <w:style w:type="paragraph" w:customStyle="1" w:styleId="290">
    <w:name w:val="样式 五号 居中 右侧:  -0.11 厘米"/>
    <w:basedOn w:val="1"/>
    <w:qFormat/>
    <w:uiPriority w:val="0"/>
    <w:pPr>
      <w:ind w:right="-64"/>
      <w:jc w:val="center"/>
    </w:pPr>
    <w:rPr>
      <w:rFonts w:cs="宋体"/>
      <w:sz w:val="21"/>
    </w:rPr>
  </w:style>
  <w:style w:type="table" w:customStyle="1" w:styleId="291">
    <w:name w:val="网格型2"/>
    <w:basedOn w:val="56"/>
    <w:qFormat/>
    <w:uiPriority w:val="0"/>
    <w:pPr>
      <w:widowControl w:val="0"/>
      <w:spacing w:line="400" w:lineRule="exact"/>
      <w:ind w:firstLine="200" w:firstLineChars="20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92">
    <w:name w:val="网格型3"/>
    <w:basedOn w:val="56"/>
    <w:qFormat/>
    <w:uiPriority w:val="0"/>
    <w:pPr>
      <w:widowControl w:val="0"/>
      <w:spacing w:line="400" w:lineRule="exact"/>
      <w:ind w:firstLine="200" w:firstLineChars="20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293">
    <w:name w:val=" Char Char2 Char Char Char Char Char Char Char Char Char Char Char Char Char Char Char Char Char Char"/>
    <w:basedOn w:val="1"/>
    <w:qFormat/>
    <w:uiPriority w:val="0"/>
    <w:rPr>
      <w:sz w:val="21"/>
      <w:szCs w:val="24"/>
    </w:rPr>
  </w:style>
  <w:style w:type="paragraph" w:customStyle="1" w:styleId="294">
    <w:name w:val=" Char Char Char Char"/>
    <w:basedOn w:val="1"/>
    <w:qFormat/>
    <w:uiPriority w:val="0"/>
    <w:rPr>
      <w:sz w:val="21"/>
      <w:szCs w:val="24"/>
    </w:rPr>
  </w:style>
  <w:style w:type="paragraph" w:customStyle="1" w:styleId="295">
    <w:name w:val=" Char Char2 Char Char Char Char Char Char Char Char Char Char Char Char Char Char"/>
    <w:basedOn w:val="1"/>
    <w:qFormat/>
    <w:uiPriority w:val="0"/>
    <w:rPr>
      <w:sz w:val="21"/>
      <w:szCs w:val="24"/>
    </w:rPr>
  </w:style>
  <w:style w:type="paragraph" w:customStyle="1" w:styleId="296">
    <w:name w:val=" Char3"/>
    <w:basedOn w:val="1"/>
    <w:qFormat/>
    <w:uiPriority w:val="0"/>
    <w:pPr>
      <w:spacing w:line="360" w:lineRule="auto"/>
      <w:ind w:firstLine="200" w:firstLineChars="200"/>
    </w:pPr>
    <w:rPr>
      <w:rFonts w:ascii="宋体" w:hAnsi="宋体" w:cs="宋体"/>
      <w:sz w:val="24"/>
      <w:szCs w:val="24"/>
    </w:rPr>
  </w:style>
  <w:style w:type="paragraph" w:customStyle="1" w:styleId="297">
    <w:name w:val=" Char Char2 Char Char Char Char Char Char Char Char Char Char Char Char Char Char Char Char Char Char1"/>
    <w:basedOn w:val="1"/>
    <w:qFormat/>
    <w:uiPriority w:val="0"/>
    <w:rPr>
      <w:sz w:val="21"/>
      <w:szCs w:val="24"/>
    </w:rPr>
  </w:style>
  <w:style w:type="paragraph" w:customStyle="1" w:styleId="298">
    <w:name w:val=" Char Char1 Char Char Char Char"/>
    <w:basedOn w:val="1"/>
    <w:qFormat/>
    <w:uiPriority w:val="0"/>
    <w:rPr>
      <w:sz w:val="21"/>
      <w:szCs w:val="24"/>
    </w:rPr>
  </w:style>
  <w:style w:type="paragraph" w:customStyle="1" w:styleId="299">
    <w:name w:val=" Char Char1 Char Char Char Char Char Char Char Char Char Char Char Char Char Char Char Char Char Char Char Char1 Char"/>
    <w:basedOn w:val="1"/>
    <w:qFormat/>
    <w:uiPriority w:val="0"/>
    <w:pPr>
      <w:spacing w:line="360" w:lineRule="auto"/>
      <w:ind w:firstLine="200" w:firstLineChars="200"/>
    </w:pPr>
    <w:rPr>
      <w:rFonts w:ascii="宋体" w:hAnsi="宋体" w:cs="宋体"/>
      <w:sz w:val="24"/>
      <w:szCs w:val="24"/>
    </w:rPr>
  </w:style>
  <w:style w:type="paragraph" w:customStyle="1" w:styleId="300">
    <w:name w:val="第三章图标头"/>
    <w:basedOn w:val="107"/>
    <w:qFormat/>
    <w:uiPriority w:val="0"/>
    <w:pPr>
      <w:numPr>
        <w:ilvl w:val="0"/>
        <w:numId w:val="9"/>
      </w:numPr>
      <w:tabs>
        <w:tab w:val="clear" w:pos="4305"/>
      </w:tabs>
      <w:adjustRightInd w:val="0"/>
      <w:snapToGrid w:val="0"/>
      <w:spacing w:line="480" w:lineRule="exact"/>
    </w:pPr>
    <w:rPr>
      <w:rFonts w:ascii="黑体" w:hAnsi="宋体" w:eastAsia="黑体" w:cs="宋体"/>
      <w:b w:val="0"/>
      <w:kern w:val="0"/>
      <w:sz w:val="24"/>
    </w:rPr>
  </w:style>
  <w:style w:type="paragraph" w:customStyle="1" w:styleId="301">
    <w:name w:val="a正文"/>
    <w:basedOn w:val="1"/>
    <w:qFormat/>
    <w:uiPriority w:val="0"/>
    <w:pPr>
      <w:widowControl/>
      <w:overflowPunct w:val="0"/>
      <w:autoSpaceDE w:val="0"/>
      <w:autoSpaceDN w:val="0"/>
      <w:spacing w:beforeLines="20" w:afterLines="30" w:line="360" w:lineRule="auto"/>
      <w:jc w:val="left"/>
    </w:pPr>
    <w:rPr>
      <w:rFonts w:ascii="宋体" w:hAnsi="宋体" w:cs="宋体"/>
      <w:kern w:val="0"/>
      <w:sz w:val="24"/>
      <w:szCs w:val="24"/>
    </w:rPr>
  </w:style>
  <w:style w:type="paragraph" w:customStyle="1" w:styleId="302">
    <w:name w:val="表名"/>
    <w:basedOn w:val="1"/>
    <w:next w:val="1"/>
    <w:link w:val="303"/>
    <w:qFormat/>
    <w:uiPriority w:val="0"/>
    <w:pPr>
      <w:jc w:val="center"/>
    </w:pPr>
    <w:rPr>
      <w:rFonts w:ascii="Times New Roman" w:hAnsi="Times New Roman" w:cs="Times New Roman"/>
      <w:b/>
      <w:kern w:val="2"/>
    </w:rPr>
  </w:style>
  <w:style w:type="character" w:customStyle="1" w:styleId="303">
    <w:name w:val="表名 Char"/>
    <w:link w:val="302"/>
    <w:qFormat/>
    <w:uiPriority w:val="0"/>
    <w:rPr>
      <w:b/>
      <w:kern w:val="2"/>
      <w:sz w:val="24"/>
      <w:szCs w:val="24"/>
    </w:rPr>
  </w:style>
  <w:style w:type="paragraph" w:customStyle="1" w:styleId="304">
    <w:name w:val="第七章表标头"/>
    <w:basedOn w:val="1"/>
    <w:qFormat/>
    <w:uiPriority w:val="0"/>
    <w:pPr>
      <w:numPr>
        <w:ilvl w:val="0"/>
        <w:numId w:val="10"/>
      </w:numPr>
      <w:adjustRightInd w:val="0"/>
      <w:snapToGrid w:val="0"/>
      <w:spacing w:line="400" w:lineRule="exact"/>
      <w:ind w:left="0" w:firstLine="0"/>
      <w:jc w:val="center"/>
    </w:pPr>
    <w:rPr>
      <w:rFonts w:ascii="黑体" w:hAnsi="黑体" w:eastAsia="黑体"/>
      <w:color w:val="000000"/>
      <w:sz w:val="24"/>
    </w:rPr>
  </w:style>
  <w:style w:type="paragraph" w:customStyle="1" w:styleId="305">
    <w:name w:val="MTDisplayEquation"/>
    <w:basedOn w:val="1"/>
    <w:next w:val="1"/>
    <w:link w:val="306"/>
    <w:qFormat/>
    <w:uiPriority w:val="0"/>
    <w:pPr>
      <w:tabs>
        <w:tab w:val="center" w:pos="4240"/>
        <w:tab w:val="right" w:pos="8500"/>
      </w:tabs>
      <w:spacing w:line="460" w:lineRule="exact"/>
      <w:ind w:firstLine="480" w:firstLineChars="200"/>
    </w:pPr>
    <w:rPr>
      <w:rFonts w:cs="Times New Roman"/>
      <w:color w:val="000000"/>
      <w:kern w:val="2"/>
      <w:szCs w:val="20"/>
    </w:rPr>
  </w:style>
  <w:style w:type="character" w:customStyle="1" w:styleId="306">
    <w:name w:val="MTDisplayEquation Char"/>
    <w:link w:val="305"/>
    <w:qFormat/>
    <w:uiPriority w:val="0"/>
    <w:rPr>
      <w:rFonts w:ascii="宋体" w:hAnsi="宋体"/>
      <w:color w:val="000000"/>
      <w:kern w:val="2"/>
      <w:sz w:val="24"/>
    </w:rPr>
  </w:style>
  <w:style w:type="paragraph" w:customStyle="1" w:styleId="307">
    <w:name w:val="正文-wyt"/>
    <w:basedOn w:val="1"/>
    <w:link w:val="308"/>
    <w:qFormat/>
    <w:uiPriority w:val="0"/>
    <w:pPr>
      <w:adjustRightInd w:val="0"/>
      <w:snapToGrid w:val="0"/>
      <w:spacing w:line="520" w:lineRule="exact"/>
      <w:ind w:firstLine="480" w:firstLineChars="200"/>
    </w:pPr>
    <w:rPr>
      <w:rFonts w:ascii="Times New Roman" w:hAnsi="Times New Roman" w:cs="Times New Roman"/>
      <w:kern w:val="2"/>
      <w:szCs w:val="20"/>
    </w:rPr>
  </w:style>
  <w:style w:type="character" w:customStyle="1" w:styleId="308">
    <w:name w:val="正文-wyt Char"/>
    <w:link w:val="307"/>
    <w:qFormat/>
    <w:uiPriority w:val="0"/>
    <w:rPr>
      <w:kern w:val="2"/>
      <w:sz w:val="24"/>
    </w:rPr>
  </w:style>
  <w:style w:type="character" w:customStyle="1" w:styleId="309">
    <w:name w:val="标题 Char2"/>
    <w:qFormat/>
    <w:uiPriority w:val="0"/>
    <w:rPr>
      <w:rFonts w:ascii="黑体" w:hAnsi="黑体" w:eastAsia="黑体"/>
      <w:bCs/>
      <w:kern w:val="2"/>
      <w:sz w:val="24"/>
      <w:szCs w:val="32"/>
    </w:rPr>
  </w:style>
  <w:style w:type="paragraph" w:customStyle="1" w:styleId="310">
    <w:name w:val="wyt-正文"/>
    <w:basedOn w:val="1"/>
    <w:link w:val="311"/>
    <w:qFormat/>
    <w:uiPriority w:val="0"/>
    <w:pPr>
      <w:adjustRightInd w:val="0"/>
      <w:snapToGrid w:val="0"/>
      <w:spacing w:line="520" w:lineRule="exact"/>
      <w:ind w:firstLine="480" w:firstLineChars="200"/>
    </w:pPr>
    <w:rPr>
      <w:rFonts w:ascii="Times New Roman" w:hAnsi="Times New Roman" w:cs="Times New Roman"/>
      <w:kern w:val="2"/>
      <w:szCs w:val="20"/>
    </w:rPr>
  </w:style>
  <w:style w:type="character" w:customStyle="1" w:styleId="311">
    <w:name w:val="wyt-正文 Char"/>
    <w:link w:val="310"/>
    <w:qFormat/>
    <w:uiPriority w:val="0"/>
    <w:rPr>
      <w:kern w:val="2"/>
      <w:sz w:val="24"/>
    </w:rPr>
  </w:style>
  <w:style w:type="paragraph" w:customStyle="1" w:styleId="312">
    <w:name w:val="Re-表头-wyt"/>
    <w:basedOn w:val="1"/>
    <w:link w:val="313"/>
    <w:qFormat/>
    <w:uiPriority w:val="4"/>
    <w:pPr>
      <w:spacing w:line="520" w:lineRule="exact"/>
      <w:jc w:val="center"/>
    </w:pPr>
    <w:rPr>
      <w:rFonts w:ascii="Times New Roman" w:hAnsi="Times New Roman" w:eastAsia="黑体" w:cs="Times New Roman"/>
      <w:szCs w:val="22"/>
      <w:lang w:eastAsia="en-US"/>
    </w:rPr>
  </w:style>
  <w:style w:type="character" w:customStyle="1" w:styleId="313">
    <w:name w:val="Re-表头-wyt Char"/>
    <w:link w:val="312"/>
    <w:qFormat/>
    <w:uiPriority w:val="4"/>
    <w:rPr>
      <w:rFonts w:eastAsia="黑体"/>
      <w:sz w:val="24"/>
      <w:szCs w:val="22"/>
      <w:lang w:eastAsia="en-US"/>
    </w:rPr>
  </w:style>
  <w:style w:type="paragraph" w:customStyle="1" w:styleId="314">
    <w:name w:val="wyt-标题2"/>
    <w:basedOn w:val="6"/>
    <w:link w:val="315"/>
    <w:qFormat/>
    <w:uiPriority w:val="0"/>
    <w:pPr>
      <w:keepLines/>
      <w:tabs>
        <w:tab w:val="clear" w:pos="1503"/>
      </w:tabs>
      <w:adjustRightInd w:val="0"/>
      <w:snapToGrid w:val="0"/>
      <w:spacing w:before="240" w:line="520" w:lineRule="exact"/>
    </w:pPr>
    <w:rPr>
      <w:rFonts w:eastAsia="黑体"/>
      <w:b w:val="0"/>
      <w:kern w:val="2"/>
      <w:sz w:val="28"/>
      <w:szCs w:val="20"/>
    </w:rPr>
  </w:style>
  <w:style w:type="character" w:customStyle="1" w:styleId="315">
    <w:name w:val="wyt-标题2 Char"/>
    <w:link w:val="314"/>
    <w:qFormat/>
    <w:uiPriority w:val="0"/>
    <w:rPr>
      <w:rFonts w:eastAsia="黑体"/>
      <w:kern w:val="2"/>
      <w:sz w:val="28"/>
    </w:rPr>
  </w:style>
  <w:style w:type="paragraph" w:customStyle="1" w:styleId="316">
    <w:name w:val="xl44"/>
    <w:basedOn w:val="1"/>
    <w:qFormat/>
    <w:uiPriority w:val="0"/>
    <w:pPr>
      <w:widowControl/>
      <w:pBdr>
        <w:top w:val="single" w:color="auto" w:sz="8" w:space="0"/>
        <w:left w:val="single" w:color="auto" w:sz="8" w:space="0"/>
        <w:bottom w:val="single" w:color="auto" w:sz="8" w:space="0"/>
        <w:right w:val="single" w:color="auto" w:sz="8" w:space="0"/>
      </w:pBdr>
      <w:spacing w:before="100" w:beforeAutospacing="1" w:after="100" w:afterAutospacing="1"/>
      <w:textAlignment w:val="top"/>
    </w:pPr>
    <w:rPr>
      <w:rFonts w:ascii="宋体" w:hAnsi="宋体" w:cs="宋体"/>
      <w:kern w:val="0"/>
      <w:sz w:val="24"/>
      <w:szCs w:val="24"/>
    </w:rPr>
  </w:style>
  <w:style w:type="character" w:customStyle="1" w:styleId="317">
    <w:name w:val="d1"/>
    <w:qFormat/>
    <w:uiPriority w:val="0"/>
    <w:rPr>
      <w:rFonts w:hint="default" w:ascii="_x000B__x000C_" w:hAnsi="_x000B__x000C_"/>
      <w:b/>
      <w:bCs/>
      <w:color w:val="0000CC"/>
      <w:sz w:val="21"/>
      <w:szCs w:val="21"/>
    </w:rPr>
  </w:style>
  <w:style w:type="character" w:customStyle="1" w:styleId="318">
    <w:name w:val="javascript1"/>
    <w:qFormat/>
    <w:uiPriority w:val="0"/>
    <w:rPr>
      <w:rFonts w:hint="default" w:ascii="Tahoma" w:hAnsi="Tahoma" w:cs="Tahoma"/>
      <w:sz w:val="18"/>
      <w:szCs w:val="18"/>
    </w:rPr>
  </w:style>
  <w:style w:type="character" w:customStyle="1" w:styleId="319">
    <w:name w:val="wenzi02neirong"/>
    <w:basedOn w:val="60"/>
    <w:qFormat/>
    <w:uiPriority w:val="0"/>
  </w:style>
  <w:style w:type="character" w:customStyle="1" w:styleId="320">
    <w:name w:val="s1"/>
    <w:qFormat/>
    <w:uiPriority w:val="0"/>
    <w:rPr>
      <w:sz w:val="18"/>
      <w:szCs w:val="18"/>
    </w:rPr>
  </w:style>
  <w:style w:type="paragraph" w:customStyle="1" w:styleId="321">
    <w:name w:val="unnamed1"/>
    <w:basedOn w:val="1"/>
    <w:qFormat/>
    <w:uiPriority w:val="0"/>
    <w:pPr>
      <w:widowControl/>
      <w:spacing w:before="100" w:beforeAutospacing="1" w:after="100" w:afterAutospacing="1" w:line="375" w:lineRule="atLeast"/>
      <w:jc w:val="left"/>
    </w:pPr>
    <w:rPr>
      <w:rFonts w:ascii="Arial Unicode MS" w:hAnsi="Arial Unicode MS" w:eastAsia="Arial Unicode MS"/>
      <w:kern w:val="0"/>
      <w:sz w:val="21"/>
      <w:szCs w:val="21"/>
    </w:rPr>
  </w:style>
  <w:style w:type="character" w:customStyle="1" w:styleId="322">
    <w:name w:val="black21"/>
    <w:qFormat/>
    <w:uiPriority w:val="0"/>
    <w:rPr>
      <w:color w:val="000000"/>
      <w:sz w:val="20"/>
      <w:szCs w:val="20"/>
    </w:rPr>
  </w:style>
  <w:style w:type="paragraph" w:customStyle="1" w:styleId="323">
    <w:name w:val="样式 标题 2 + (中文) 黑体"/>
    <w:basedOn w:val="6"/>
    <w:qFormat/>
    <w:uiPriority w:val="0"/>
    <w:pPr>
      <w:keepLines/>
      <w:tabs>
        <w:tab w:val="clear" w:pos="1503"/>
      </w:tabs>
      <w:spacing w:before="260" w:after="260" w:line="416" w:lineRule="auto"/>
      <w:jc w:val="both"/>
    </w:pPr>
    <w:rPr>
      <w:rFonts w:ascii="Arial" w:hAnsi="Arial"/>
      <w:bCs/>
      <w:szCs w:val="32"/>
    </w:rPr>
  </w:style>
  <w:style w:type="paragraph" w:customStyle="1" w:styleId="324">
    <w:name w:val="Normal"/>
    <w:qFormat/>
    <w:uiPriority w:val="0"/>
    <w:pPr>
      <w:widowControl w:val="0"/>
      <w:adjustRightInd w:val="0"/>
      <w:spacing w:line="360" w:lineRule="atLeast"/>
      <w:textAlignment w:val="baseline"/>
    </w:pPr>
    <w:rPr>
      <w:rFonts w:ascii="宋体" w:hAnsi="Times New Roman" w:eastAsia="宋体" w:cs="Times New Roman"/>
      <w:sz w:val="34"/>
      <w:lang w:val="en-US" w:eastAsia="zh-CN" w:bidi="ar-SA"/>
    </w:rPr>
  </w:style>
  <w:style w:type="character" w:customStyle="1" w:styleId="325">
    <w:name w:val="批注主题 Char1"/>
    <w:qFormat/>
    <w:uiPriority w:val="99"/>
    <w:rPr>
      <w:b/>
      <w:bCs/>
      <w:kern w:val="2"/>
      <w:sz w:val="28"/>
      <w:szCs w:val="24"/>
    </w:rPr>
  </w:style>
  <w:style w:type="character" w:customStyle="1" w:styleId="326">
    <w:name w:val="cpx14blueb"/>
    <w:basedOn w:val="60"/>
    <w:qFormat/>
    <w:uiPriority w:val="0"/>
  </w:style>
  <w:style w:type="paragraph" w:customStyle="1" w:styleId="327">
    <w:name w:val="第七章表头 Char Char Char"/>
    <w:basedOn w:val="18"/>
    <w:next w:val="1"/>
    <w:qFormat/>
    <w:uiPriority w:val="0"/>
    <w:pPr>
      <w:tabs>
        <w:tab w:val="left" w:pos="851"/>
        <w:tab w:val="clear" w:pos="420"/>
      </w:tabs>
      <w:ind w:left="340" w:firstLine="0"/>
    </w:pPr>
    <w:rPr>
      <w:rFonts w:eastAsia="黑体"/>
      <w:sz w:val="24"/>
      <w:szCs w:val="24"/>
    </w:rPr>
  </w:style>
  <w:style w:type="paragraph" w:customStyle="1" w:styleId="328">
    <w:name w:val="第一章表头"/>
    <w:basedOn w:val="42"/>
    <w:qFormat/>
    <w:uiPriority w:val="0"/>
    <w:pPr>
      <w:tabs>
        <w:tab w:val="left" w:pos="900"/>
      </w:tabs>
      <w:ind w:left="0" w:firstLine="480" w:firstLineChars="0"/>
      <w:jc w:val="center"/>
    </w:pPr>
    <w:rPr>
      <w:rFonts w:eastAsia="黑体"/>
      <w:sz w:val="24"/>
      <w:szCs w:val="20"/>
    </w:rPr>
  </w:style>
  <w:style w:type="paragraph" w:customStyle="1" w:styleId="329">
    <w:name w:val="表内容"/>
    <w:basedOn w:val="1"/>
    <w:qFormat/>
    <w:uiPriority w:val="0"/>
    <w:pPr>
      <w:ind w:left="-140" w:leftChars="-50" w:right="-140" w:rightChars="-50"/>
      <w:jc w:val="center"/>
    </w:pPr>
    <w:rPr>
      <w:rFonts w:hAnsi="宋体" w:cs="宋体"/>
      <w:sz w:val="21"/>
    </w:rPr>
  </w:style>
  <w:style w:type="paragraph" w:customStyle="1" w:styleId="330">
    <w:name w:val="标题 11"/>
    <w:basedOn w:val="5"/>
    <w:next w:val="1"/>
    <w:qFormat/>
    <w:uiPriority w:val="0"/>
    <w:pPr>
      <w:pageBreakBefore/>
      <w:spacing w:after="360" w:line="720" w:lineRule="auto"/>
    </w:pPr>
    <w:rPr>
      <w:rFonts w:eastAsia="黑体" w:cs="宋体"/>
      <w:sz w:val="48"/>
      <w:szCs w:val="20"/>
    </w:rPr>
  </w:style>
  <w:style w:type="paragraph" w:customStyle="1" w:styleId="331">
    <w:name w:val="标题 22"/>
    <w:basedOn w:val="6"/>
    <w:next w:val="1"/>
    <w:qFormat/>
    <w:uiPriority w:val="0"/>
    <w:pPr>
      <w:keepLines/>
      <w:tabs>
        <w:tab w:val="clear" w:pos="1503"/>
      </w:tabs>
      <w:spacing w:before="260" w:after="260" w:line="415" w:lineRule="auto"/>
      <w:ind w:left="2331" w:hanging="2331" w:hangingChars="2331"/>
    </w:pPr>
    <w:rPr>
      <w:rFonts w:ascii="Arial" w:hAnsi="Arial" w:eastAsia="黑体" w:cs="宋体"/>
      <w:bCs/>
      <w:sz w:val="36"/>
    </w:rPr>
  </w:style>
  <w:style w:type="paragraph" w:customStyle="1" w:styleId="332">
    <w:name w:val="标题 33"/>
    <w:basedOn w:val="7"/>
    <w:next w:val="1"/>
    <w:qFormat/>
    <w:uiPriority w:val="0"/>
    <w:pPr>
      <w:keepLines/>
      <w:tabs>
        <w:tab w:val="clear" w:pos="658"/>
      </w:tabs>
      <w:spacing w:before="260" w:after="260" w:line="415" w:lineRule="auto"/>
    </w:pPr>
    <w:rPr>
      <w:rFonts w:eastAsia="黑体"/>
      <w:bCs/>
      <w:szCs w:val="20"/>
    </w:rPr>
  </w:style>
  <w:style w:type="paragraph" w:customStyle="1" w:styleId="333">
    <w:name w:val="第三章表头"/>
    <w:basedOn w:val="328"/>
    <w:qFormat/>
    <w:uiPriority w:val="0"/>
    <w:pPr>
      <w:tabs>
        <w:tab w:val="left" w:pos="840"/>
        <w:tab w:val="clear" w:pos="900"/>
      </w:tabs>
      <w:ind w:left="840" w:hanging="360"/>
    </w:pPr>
    <w:rPr>
      <w:rFonts w:eastAsia="宋体"/>
      <w:b/>
    </w:rPr>
  </w:style>
  <w:style w:type="paragraph" w:customStyle="1" w:styleId="334">
    <w:name w:val="正文正文正文"/>
    <w:basedOn w:val="1"/>
    <w:next w:val="1"/>
    <w:qFormat/>
    <w:uiPriority w:val="0"/>
    <w:pPr>
      <w:adjustRightInd w:val="0"/>
      <w:snapToGrid w:val="0"/>
      <w:spacing w:line="480" w:lineRule="exact"/>
      <w:ind w:firstLine="200" w:firstLineChars="200"/>
    </w:pPr>
    <w:rPr>
      <w:sz w:val="24"/>
      <w:szCs w:val="24"/>
    </w:rPr>
  </w:style>
  <w:style w:type="character" w:customStyle="1" w:styleId="335">
    <w:name w:val="正文正文正文 Char1"/>
    <w:qFormat/>
    <w:uiPriority w:val="0"/>
    <w:rPr>
      <w:rFonts w:eastAsia="宋体"/>
      <w:kern w:val="2"/>
      <w:sz w:val="24"/>
      <w:szCs w:val="24"/>
      <w:lang w:val="en-US" w:eastAsia="zh-CN" w:bidi="ar-SA"/>
    </w:rPr>
  </w:style>
  <w:style w:type="paragraph" w:customStyle="1" w:styleId="336">
    <w:name w:val="封面标准文稿编辑信息"/>
    <w:qFormat/>
    <w:uiPriority w:val="0"/>
    <w:pPr>
      <w:spacing w:before="180" w:line="180" w:lineRule="exact"/>
      <w:jc w:val="center"/>
    </w:pPr>
    <w:rPr>
      <w:rFonts w:ascii="宋体" w:hAnsi="Times New Roman" w:eastAsia="宋体" w:cs="Times New Roman"/>
      <w:sz w:val="21"/>
      <w:lang w:val="en-US" w:eastAsia="zh-CN" w:bidi="ar-SA"/>
    </w:rPr>
  </w:style>
  <w:style w:type="paragraph" w:customStyle="1" w:styleId="337">
    <w:name w:val="表后间隔"/>
    <w:basedOn w:val="35"/>
    <w:qFormat/>
    <w:uiPriority w:val="0"/>
    <w:pPr>
      <w:tabs>
        <w:tab w:val="left" w:pos="0"/>
      </w:tabs>
      <w:spacing w:before="50" w:after="50" w:line="40" w:lineRule="exact"/>
      <w:ind w:firstLine="471"/>
    </w:pPr>
    <w:rPr>
      <w:rFonts w:ascii="宋体" w:hAnsi="宋体" w:eastAsia="宋体"/>
      <w:kern w:val="0"/>
      <w:szCs w:val="27"/>
      <w:lang w:val="eu-ES"/>
    </w:rPr>
  </w:style>
  <w:style w:type="paragraph" w:customStyle="1" w:styleId="338">
    <w:name w:val="第二章表标题"/>
    <w:basedOn w:val="1"/>
    <w:next w:val="1"/>
    <w:qFormat/>
    <w:uiPriority w:val="0"/>
    <w:pPr>
      <w:numPr>
        <w:ilvl w:val="0"/>
        <w:numId w:val="11"/>
      </w:numPr>
      <w:spacing w:line="440" w:lineRule="exact"/>
      <w:ind w:left="0" w:firstLine="0"/>
      <w:jc w:val="center"/>
    </w:pPr>
    <w:rPr>
      <w:rFonts w:eastAsia="黑体"/>
      <w:bCs/>
      <w:sz w:val="24"/>
    </w:rPr>
  </w:style>
  <w:style w:type="paragraph" w:customStyle="1" w:styleId="339">
    <w:name w:val=" Char Char2 Char Char Char Char Char Char Char Char Char Char Char Char Char Char Char Char Char Char1 Char Char Char Char Char Char Char Char1"/>
    <w:basedOn w:val="1"/>
    <w:qFormat/>
    <w:uiPriority w:val="0"/>
    <w:rPr>
      <w:sz w:val="21"/>
      <w:szCs w:val="24"/>
    </w:rPr>
  </w:style>
  <w:style w:type="paragraph" w:customStyle="1" w:styleId="340">
    <w:name w:val="第八章表标题"/>
    <w:basedOn w:val="1"/>
    <w:next w:val="1"/>
    <w:qFormat/>
    <w:uiPriority w:val="0"/>
    <w:pPr>
      <w:numPr>
        <w:ilvl w:val="0"/>
        <w:numId w:val="12"/>
      </w:numPr>
      <w:spacing w:line="440" w:lineRule="exact"/>
      <w:ind w:left="0" w:firstLine="0"/>
      <w:jc w:val="center"/>
    </w:pPr>
    <w:rPr>
      <w:rFonts w:eastAsia="黑体"/>
      <w:sz w:val="24"/>
    </w:rPr>
  </w:style>
  <w:style w:type="paragraph" w:customStyle="1" w:styleId="341">
    <w:name w:val="正文加重"/>
    <w:basedOn w:val="1"/>
    <w:next w:val="1"/>
    <w:link w:val="342"/>
    <w:qFormat/>
    <w:uiPriority w:val="0"/>
    <w:pPr>
      <w:spacing w:line="440" w:lineRule="exact"/>
      <w:ind w:firstLine="200" w:firstLineChars="200"/>
    </w:pPr>
    <w:rPr>
      <w:rFonts w:ascii="Times New Roman" w:hAnsi="Times New Roman" w:cs="Times New Roman"/>
      <w:b/>
      <w:bCs/>
      <w:kern w:val="2"/>
      <w:szCs w:val="20"/>
    </w:rPr>
  </w:style>
  <w:style w:type="character" w:customStyle="1" w:styleId="342">
    <w:name w:val="正文加重 Char Char"/>
    <w:link w:val="341"/>
    <w:qFormat/>
    <w:uiPriority w:val="0"/>
    <w:rPr>
      <w:b/>
      <w:bCs/>
      <w:kern w:val="2"/>
      <w:sz w:val="24"/>
    </w:rPr>
  </w:style>
  <w:style w:type="paragraph" w:customStyle="1" w:styleId="343">
    <w:name w:val="论证__正文"/>
    <w:basedOn w:val="1"/>
    <w:qFormat/>
    <w:uiPriority w:val="0"/>
    <w:pPr>
      <w:tabs>
        <w:tab w:val="left" w:pos="360"/>
      </w:tabs>
      <w:spacing w:line="360" w:lineRule="auto"/>
      <w:ind w:firstLine="480" w:firstLineChars="200"/>
    </w:pPr>
    <w:rPr>
      <w:sz w:val="24"/>
      <w:szCs w:val="24"/>
    </w:rPr>
  </w:style>
  <w:style w:type="character" w:customStyle="1" w:styleId="344">
    <w:name w:val="highlight1"/>
    <w:qFormat/>
    <w:uiPriority w:val="0"/>
    <w:rPr>
      <w:sz w:val="21"/>
      <w:szCs w:val="21"/>
    </w:rPr>
  </w:style>
  <w:style w:type="paragraph" w:customStyle="1" w:styleId="345">
    <w:name w:val="第五章表标头"/>
    <w:basedOn w:val="107"/>
    <w:qFormat/>
    <w:uiPriority w:val="0"/>
    <w:pPr>
      <w:tabs>
        <w:tab w:val="clear" w:pos="4305"/>
      </w:tabs>
      <w:adjustRightInd w:val="0"/>
      <w:snapToGrid w:val="0"/>
      <w:spacing w:line="480" w:lineRule="exact"/>
      <w:ind w:left="2646" w:hanging="420"/>
    </w:pPr>
    <w:rPr>
      <w:rFonts w:ascii="黑体" w:eastAsia="黑体"/>
      <w:b w:val="0"/>
      <w:sz w:val="24"/>
    </w:rPr>
  </w:style>
  <w:style w:type="paragraph" w:customStyle="1" w:styleId="346">
    <w:name w:val="font1"/>
    <w:basedOn w:val="1"/>
    <w:qFormat/>
    <w:uiPriority w:val="0"/>
    <w:pPr>
      <w:widowControl/>
      <w:spacing w:before="100" w:beforeAutospacing="1" w:after="100" w:afterAutospacing="1"/>
      <w:jc w:val="left"/>
    </w:pPr>
    <w:rPr>
      <w:rFonts w:hint="eastAsia" w:ascii="宋体" w:hAnsi="宋体" w:cs="Arial Unicode MS"/>
      <w:kern w:val="0"/>
      <w:sz w:val="24"/>
      <w:szCs w:val="24"/>
    </w:rPr>
  </w:style>
  <w:style w:type="paragraph" w:customStyle="1" w:styleId="347">
    <w:name w:val="xl3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Arial Unicode MS" w:hAnsi="Arial Unicode MS" w:eastAsia="Arial Unicode MS" w:cs="Arial Unicode MS"/>
      <w:kern w:val="0"/>
      <w:sz w:val="24"/>
      <w:szCs w:val="24"/>
    </w:rPr>
  </w:style>
  <w:style w:type="paragraph" w:customStyle="1" w:styleId="348">
    <w:name w:val="xl33"/>
    <w:basedOn w:val="1"/>
    <w:qFormat/>
    <w:uiPriority w:val="0"/>
    <w:pPr>
      <w:widowControl/>
      <w:spacing w:before="100" w:beforeAutospacing="1" w:after="100" w:afterAutospacing="1"/>
      <w:jc w:val="center"/>
      <w:textAlignment w:val="center"/>
    </w:pPr>
    <w:rPr>
      <w:rFonts w:ascii="Arial Unicode MS" w:hAnsi="Arial Unicode MS" w:eastAsia="Arial Unicode MS" w:cs="Arial Unicode MS"/>
      <w:kern w:val="0"/>
      <w:sz w:val="24"/>
      <w:szCs w:val="24"/>
    </w:rPr>
  </w:style>
  <w:style w:type="paragraph" w:customStyle="1" w:styleId="349">
    <w:name w:val="xl35"/>
    <w:basedOn w:val="1"/>
    <w:qFormat/>
    <w:uiPriority w:val="0"/>
    <w:pPr>
      <w:widowControl/>
      <w:spacing w:before="100" w:beforeAutospacing="1" w:after="100" w:afterAutospacing="1"/>
      <w:jc w:val="center"/>
      <w:textAlignment w:val="center"/>
    </w:pPr>
    <w:rPr>
      <w:rFonts w:ascii="Arial Unicode MS" w:hAnsi="Arial Unicode MS" w:eastAsia="Arial Unicode MS" w:cs="Arial Unicode MS"/>
      <w:color w:val="000000"/>
      <w:kern w:val="0"/>
      <w:sz w:val="24"/>
      <w:szCs w:val="24"/>
    </w:rPr>
  </w:style>
  <w:style w:type="paragraph" w:customStyle="1" w:styleId="350">
    <w:name w:val="xl36"/>
    <w:basedOn w:val="1"/>
    <w:qFormat/>
    <w:uiPriority w:val="0"/>
    <w:pPr>
      <w:widowControl/>
      <w:spacing w:before="100" w:beforeAutospacing="1" w:after="100" w:afterAutospacing="1"/>
      <w:jc w:val="center"/>
      <w:textAlignment w:val="center"/>
    </w:pPr>
    <w:rPr>
      <w:rFonts w:ascii="Arial Unicode MS" w:hAnsi="Arial Unicode MS" w:eastAsia="Arial Unicode MS" w:cs="Arial Unicode MS"/>
      <w:color w:val="000000"/>
      <w:kern w:val="0"/>
      <w:sz w:val="24"/>
      <w:szCs w:val="24"/>
    </w:rPr>
  </w:style>
  <w:style w:type="paragraph" w:customStyle="1" w:styleId="351">
    <w:name w:val="xl37"/>
    <w:basedOn w:val="1"/>
    <w:qFormat/>
    <w:uiPriority w:val="0"/>
    <w:pPr>
      <w:widowControl/>
      <w:pBdr>
        <w:right w:val="single" w:color="auto" w:sz="4" w:space="0"/>
      </w:pBdr>
      <w:spacing w:before="100" w:beforeAutospacing="1" w:after="100" w:afterAutospacing="1"/>
      <w:jc w:val="center"/>
      <w:textAlignment w:val="center"/>
    </w:pPr>
    <w:rPr>
      <w:rFonts w:ascii="Arial Unicode MS" w:hAnsi="Arial Unicode MS" w:eastAsia="Arial Unicode MS" w:cs="Arial Unicode MS"/>
      <w:color w:val="000000"/>
      <w:kern w:val="0"/>
      <w:sz w:val="24"/>
      <w:szCs w:val="24"/>
    </w:rPr>
  </w:style>
  <w:style w:type="paragraph" w:customStyle="1" w:styleId="352">
    <w:name w:val="xl38"/>
    <w:basedOn w:val="1"/>
    <w:qFormat/>
    <w:uiPriority w:val="0"/>
    <w:pPr>
      <w:widowControl/>
      <w:pBdr>
        <w:bottom w:val="single" w:color="auto" w:sz="4" w:space="0"/>
      </w:pBdr>
      <w:spacing w:before="100" w:beforeAutospacing="1" w:after="100" w:afterAutospacing="1"/>
      <w:jc w:val="center"/>
      <w:textAlignment w:val="center"/>
    </w:pPr>
    <w:rPr>
      <w:rFonts w:ascii="Arial Unicode MS" w:hAnsi="Arial Unicode MS" w:eastAsia="Arial Unicode MS" w:cs="Arial Unicode MS"/>
      <w:color w:val="000000"/>
      <w:kern w:val="0"/>
      <w:sz w:val="24"/>
      <w:szCs w:val="24"/>
    </w:rPr>
  </w:style>
  <w:style w:type="paragraph" w:customStyle="1" w:styleId="353">
    <w:name w:val="xl40"/>
    <w:basedOn w:val="1"/>
    <w:qFormat/>
    <w:uiPriority w:val="0"/>
    <w:pPr>
      <w:widowControl/>
      <w:pBdr>
        <w:top w:val="single" w:color="auto" w:sz="4" w:space="0"/>
      </w:pBdr>
      <w:spacing w:before="100" w:beforeAutospacing="1" w:after="100" w:afterAutospacing="1"/>
      <w:jc w:val="left"/>
      <w:textAlignment w:val="center"/>
    </w:pPr>
    <w:rPr>
      <w:rFonts w:ascii="Arial Unicode MS" w:hAnsi="Arial Unicode MS" w:eastAsia="Arial Unicode MS" w:cs="Arial Unicode MS"/>
      <w:kern w:val="0"/>
      <w:sz w:val="24"/>
      <w:szCs w:val="24"/>
    </w:rPr>
  </w:style>
  <w:style w:type="paragraph" w:customStyle="1" w:styleId="354">
    <w:name w:val="xl41"/>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textAlignment w:val="center"/>
    </w:pPr>
    <w:rPr>
      <w:rFonts w:ascii="Arial Unicode MS" w:hAnsi="Arial Unicode MS" w:eastAsia="Arial Unicode MS" w:cs="Arial Unicode MS"/>
      <w:kern w:val="0"/>
      <w:sz w:val="24"/>
      <w:szCs w:val="24"/>
    </w:rPr>
  </w:style>
  <w:style w:type="paragraph" w:customStyle="1" w:styleId="355">
    <w:name w:val="xl42"/>
    <w:basedOn w:val="1"/>
    <w:qFormat/>
    <w:uiPriority w:val="0"/>
    <w:pPr>
      <w:widowControl/>
      <w:pBdr>
        <w:top w:val="single" w:color="auto" w:sz="4" w:space="0"/>
        <w:bottom w:val="single" w:color="auto" w:sz="4" w:space="0"/>
      </w:pBdr>
      <w:spacing w:before="100" w:beforeAutospacing="1" w:after="100" w:afterAutospacing="1"/>
      <w:jc w:val="center"/>
      <w:textAlignment w:val="center"/>
    </w:pPr>
    <w:rPr>
      <w:rFonts w:ascii="Arial Unicode MS" w:hAnsi="Arial Unicode MS" w:eastAsia="Arial Unicode MS" w:cs="Arial Unicode MS"/>
      <w:kern w:val="0"/>
      <w:sz w:val="24"/>
      <w:szCs w:val="24"/>
    </w:rPr>
  </w:style>
  <w:style w:type="paragraph" w:customStyle="1" w:styleId="356">
    <w:name w:val="xl43"/>
    <w:basedOn w:val="1"/>
    <w:qFormat/>
    <w:uiPriority w:val="0"/>
    <w:pPr>
      <w:widowControl/>
      <w:spacing w:before="100" w:beforeAutospacing="1" w:after="100" w:afterAutospacing="1"/>
      <w:jc w:val="center"/>
      <w:textAlignment w:val="center"/>
    </w:pPr>
    <w:rPr>
      <w:rFonts w:ascii="Arial Unicode MS" w:hAnsi="Arial Unicode MS" w:eastAsia="Arial Unicode MS" w:cs="Arial Unicode MS"/>
      <w:b/>
      <w:bCs/>
      <w:kern w:val="0"/>
      <w:sz w:val="32"/>
      <w:szCs w:val="32"/>
    </w:rPr>
  </w:style>
  <w:style w:type="paragraph" w:customStyle="1" w:styleId="357">
    <w:name w:val="xl45"/>
    <w:basedOn w:val="1"/>
    <w:qFormat/>
    <w:uiPriority w:val="0"/>
    <w:pPr>
      <w:widowControl/>
      <w:pBdr>
        <w:top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kern w:val="0"/>
      <w:sz w:val="24"/>
      <w:szCs w:val="24"/>
    </w:rPr>
  </w:style>
  <w:style w:type="paragraph" w:customStyle="1" w:styleId="358">
    <w:name w:val="样式 (符号) 宋体 四号 左"/>
    <w:basedOn w:val="1"/>
    <w:qFormat/>
    <w:uiPriority w:val="0"/>
    <w:pPr>
      <w:ind w:firstLine="560" w:firstLineChars="200"/>
      <w:jc w:val="left"/>
    </w:pPr>
    <w:rPr>
      <w:rFonts w:hAnsi="宋体" w:cs="宋体"/>
      <w:sz w:val="24"/>
    </w:rPr>
  </w:style>
  <w:style w:type="character" w:customStyle="1" w:styleId="359">
    <w:name w:val="样式1 Char"/>
    <w:qFormat/>
    <w:uiPriority w:val="0"/>
    <w:rPr>
      <w:rFonts w:ascii="宋体" w:hAnsi="宋体" w:eastAsia="宋体"/>
      <w:bCs/>
      <w:kern w:val="2"/>
      <w:sz w:val="24"/>
      <w:szCs w:val="21"/>
      <w:lang w:val="en-US" w:eastAsia="zh-CN" w:bidi="ar-SA"/>
    </w:rPr>
  </w:style>
  <w:style w:type="paragraph" w:customStyle="1" w:styleId="360">
    <w:name w:val="font8"/>
    <w:basedOn w:val="1"/>
    <w:qFormat/>
    <w:uiPriority w:val="0"/>
    <w:pPr>
      <w:widowControl/>
      <w:spacing w:before="100" w:beforeAutospacing="1" w:after="100" w:afterAutospacing="1"/>
      <w:jc w:val="left"/>
    </w:pPr>
    <w:rPr>
      <w:rFonts w:hint="eastAsia" w:ascii="宋体" w:hAnsi="宋体" w:cs="Arial Unicode MS"/>
      <w:kern w:val="0"/>
      <w:sz w:val="21"/>
      <w:szCs w:val="21"/>
      <w:u w:val="single"/>
    </w:rPr>
  </w:style>
  <w:style w:type="paragraph" w:customStyle="1" w:styleId="361">
    <w:name w:val="font9"/>
    <w:basedOn w:val="1"/>
    <w:qFormat/>
    <w:uiPriority w:val="0"/>
    <w:pPr>
      <w:widowControl/>
      <w:spacing w:before="100" w:beforeAutospacing="1" w:after="100" w:afterAutospacing="1"/>
      <w:jc w:val="left"/>
    </w:pPr>
    <w:rPr>
      <w:rFonts w:eastAsia="Arial Unicode MS"/>
      <w:kern w:val="0"/>
      <w:sz w:val="15"/>
      <w:szCs w:val="15"/>
    </w:rPr>
  </w:style>
  <w:style w:type="paragraph" w:customStyle="1" w:styleId="362">
    <w:name w:val="font10"/>
    <w:basedOn w:val="1"/>
    <w:qFormat/>
    <w:uiPriority w:val="0"/>
    <w:pPr>
      <w:widowControl/>
      <w:spacing w:before="100" w:beforeAutospacing="1" w:after="100" w:afterAutospacing="1"/>
      <w:jc w:val="left"/>
    </w:pPr>
    <w:rPr>
      <w:rFonts w:eastAsia="Arial Unicode MS"/>
      <w:kern w:val="0"/>
      <w:sz w:val="15"/>
      <w:szCs w:val="15"/>
    </w:rPr>
  </w:style>
  <w:style w:type="paragraph" w:customStyle="1" w:styleId="363">
    <w:name w:val="font11"/>
    <w:basedOn w:val="1"/>
    <w:qFormat/>
    <w:uiPriority w:val="0"/>
    <w:pPr>
      <w:widowControl/>
      <w:spacing w:before="100" w:beforeAutospacing="1" w:after="100" w:afterAutospacing="1"/>
      <w:jc w:val="left"/>
    </w:pPr>
    <w:rPr>
      <w:rFonts w:hint="eastAsia" w:ascii="宋体" w:hAnsi="宋体" w:cs="Arial Unicode MS"/>
      <w:kern w:val="0"/>
      <w:sz w:val="15"/>
      <w:szCs w:val="15"/>
    </w:rPr>
  </w:style>
  <w:style w:type="paragraph" w:customStyle="1" w:styleId="364">
    <w:name w:val="font12"/>
    <w:basedOn w:val="1"/>
    <w:qFormat/>
    <w:uiPriority w:val="0"/>
    <w:pPr>
      <w:widowControl/>
      <w:spacing w:before="100" w:beforeAutospacing="1" w:after="100" w:afterAutospacing="1"/>
      <w:jc w:val="left"/>
    </w:pPr>
    <w:rPr>
      <w:rFonts w:hint="eastAsia" w:ascii="宋体" w:hAnsi="宋体" w:cs="Arial Unicode MS"/>
      <w:kern w:val="0"/>
      <w:sz w:val="18"/>
      <w:szCs w:val="18"/>
    </w:rPr>
  </w:style>
  <w:style w:type="paragraph" w:customStyle="1" w:styleId="365">
    <w:name w:val="font13"/>
    <w:basedOn w:val="1"/>
    <w:qFormat/>
    <w:uiPriority w:val="0"/>
    <w:pPr>
      <w:widowControl/>
      <w:spacing w:before="100" w:beforeAutospacing="1" w:after="100" w:afterAutospacing="1"/>
      <w:jc w:val="left"/>
    </w:pPr>
    <w:rPr>
      <w:rFonts w:hint="eastAsia" w:ascii="宋体" w:hAnsi="宋体" w:cs="Arial Unicode MS"/>
      <w:kern w:val="0"/>
      <w:sz w:val="24"/>
      <w:szCs w:val="24"/>
      <w:u w:val="single"/>
    </w:rPr>
  </w:style>
  <w:style w:type="paragraph" w:customStyle="1" w:styleId="366">
    <w:name w:val="font14"/>
    <w:basedOn w:val="1"/>
    <w:qFormat/>
    <w:uiPriority w:val="0"/>
    <w:pPr>
      <w:widowControl/>
      <w:spacing w:before="100" w:beforeAutospacing="1" w:after="100" w:afterAutospacing="1"/>
      <w:jc w:val="left"/>
    </w:pPr>
    <w:rPr>
      <w:rFonts w:eastAsia="Arial Unicode MS"/>
      <w:kern w:val="0"/>
      <w:sz w:val="24"/>
      <w:szCs w:val="24"/>
    </w:rPr>
  </w:style>
  <w:style w:type="paragraph" w:customStyle="1" w:styleId="367">
    <w:name w:val="font15"/>
    <w:basedOn w:val="1"/>
    <w:qFormat/>
    <w:uiPriority w:val="0"/>
    <w:pPr>
      <w:widowControl/>
      <w:spacing w:before="100" w:beforeAutospacing="1" w:after="100" w:afterAutospacing="1"/>
      <w:jc w:val="left"/>
    </w:pPr>
    <w:rPr>
      <w:rFonts w:eastAsia="Arial Unicode MS"/>
      <w:kern w:val="0"/>
      <w:sz w:val="24"/>
      <w:szCs w:val="24"/>
      <w:u w:val="single"/>
    </w:rPr>
  </w:style>
  <w:style w:type="paragraph" w:customStyle="1" w:styleId="368">
    <w:name w:val="font16"/>
    <w:basedOn w:val="1"/>
    <w:qFormat/>
    <w:uiPriority w:val="0"/>
    <w:pPr>
      <w:widowControl/>
      <w:spacing w:before="100" w:beforeAutospacing="1" w:after="100" w:afterAutospacing="1"/>
      <w:jc w:val="left"/>
    </w:pPr>
    <w:rPr>
      <w:rFonts w:eastAsia="Arial Unicode MS"/>
      <w:kern w:val="0"/>
      <w:sz w:val="24"/>
      <w:szCs w:val="24"/>
      <w:u w:val="single"/>
    </w:rPr>
  </w:style>
  <w:style w:type="paragraph" w:customStyle="1" w:styleId="369">
    <w:name w:val="xl4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Arial Unicode MS" w:hAnsi="Arial Unicode MS" w:eastAsia="Arial Unicode MS" w:cs="Arial Unicode MS"/>
      <w:kern w:val="0"/>
      <w:sz w:val="24"/>
      <w:szCs w:val="24"/>
    </w:rPr>
  </w:style>
  <w:style w:type="paragraph" w:customStyle="1" w:styleId="370">
    <w:name w:val="xl4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eastAsia="Arial Unicode MS"/>
      <w:kern w:val="0"/>
      <w:sz w:val="21"/>
      <w:szCs w:val="21"/>
    </w:rPr>
  </w:style>
  <w:style w:type="paragraph" w:customStyle="1" w:styleId="371">
    <w:name w:val="xl4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i/>
      <w:iCs/>
      <w:kern w:val="0"/>
      <w:sz w:val="24"/>
      <w:szCs w:val="24"/>
    </w:rPr>
  </w:style>
  <w:style w:type="paragraph" w:customStyle="1" w:styleId="372">
    <w:name w:val="xl4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color w:val="000000"/>
      <w:kern w:val="0"/>
      <w:sz w:val="24"/>
      <w:szCs w:val="24"/>
    </w:rPr>
  </w:style>
  <w:style w:type="paragraph" w:customStyle="1" w:styleId="373">
    <w:name w:val="xl5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i/>
      <w:iCs/>
      <w:color w:val="000000"/>
      <w:kern w:val="0"/>
      <w:sz w:val="24"/>
      <w:szCs w:val="24"/>
    </w:rPr>
  </w:style>
  <w:style w:type="paragraph" w:customStyle="1" w:styleId="374">
    <w:name w:val="xl51"/>
    <w:basedOn w:val="1"/>
    <w:qFormat/>
    <w:uiPriority w:val="0"/>
    <w:pPr>
      <w:widowControl/>
      <w:pBdr>
        <w:bottom w:val="single" w:color="auto" w:sz="4" w:space="0"/>
        <w:right w:val="single" w:color="auto" w:sz="4" w:space="0"/>
      </w:pBdr>
      <w:spacing w:before="100" w:beforeAutospacing="1" w:after="100" w:afterAutospacing="1"/>
      <w:jc w:val="center"/>
      <w:textAlignment w:val="center"/>
    </w:pPr>
    <w:rPr>
      <w:rFonts w:ascii="Arial Unicode MS" w:hAnsi="Arial Unicode MS" w:eastAsia="Arial Unicode MS" w:cs="Arial Unicode MS"/>
      <w:kern w:val="0"/>
      <w:sz w:val="24"/>
      <w:szCs w:val="24"/>
    </w:rPr>
  </w:style>
  <w:style w:type="paragraph" w:customStyle="1" w:styleId="375">
    <w:name w:val="xl52"/>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Arial Unicode MS" w:hAnsi="Arial Unicode MS" w:eastAsia="Arial Unicode MS" w:cs="Arial Unicode MS"/>
      <w:kern w:val="0"/>
      <w:sz w:val="21"/>
      <w:szCs w:val="21"/>
    </w:rPr>
  </w:style>
  <w:style w:type="paragraph" w:customStyle="1" w:styleId="376">
    <w:name w:val="样式 宋体 小三 加粗 段前: 12 磅 段后: 12 磅"/>
    <w:basedOn w:val="5"/>
    <w:qFormat/>
    <w:uiPriority w:val="0"/>
    <w:pPr>
      <w:numPr>
        <w:ilvl w:val="0"/>
        <w:numId w:val="13"/>
      </w:numPr>
      <w:spacing w:before="240" w:after="240"/>
    </w:pPr>
    <w:rPr>
      <w:rFonts w:ascii="宋体" w:hAnsi="宋体" w:eastAsia="黑体" w:cs="宋体"/>
      <w:bCs w:val="0"/>
      <w:sz w:val="28"/>
      <w:szCs w:val="20"/>
    </w:rPr>
  </w:style>
  <w:style w:type="paragraph" w:customStyle="1" w:styleId="377">
    <w:name w:val="样式 宋体 四号 加粗 段前: 6 磅 段后: 6 磅"/>
    <w:basedOn w:val="6"/>
    <w:qFormat/>
    <w:uiPriority w:val="0"/>
    <w:pPr>
      <w:keepLines/>
      <w:numPr>
        <w:ilvl w:val="1"/>
        <w:numId w:val="13"/>
      </w:numPr>
      <w:tabs>
        <w:tab w:val="clear" w:pos="1503"/>
      </w:tabs>
      <w:adjustRightInd w:val="0"/>
      <w:snapToGrid w:val="0"/>
      <w:spacing w:before="120" w:after="120" w:line="300" w:lineRule="auto"/>
      <w:jc w:val="both"/>
    </w:pPr>
    <w:rPr>
      <w:rFonts w:ascii="宋体" w:hAnsi="宋体" w:eastAsia="黑体" w:cs="宋体"/>
      <w:sz w:val="28"/>
    </w:rPr>
  </w:style>
  <w:style w:type="paragraph" w:customStyle="1" w:styleId="378">
    <w:name w:val="样式 标题 3条 + 段前: 13 磅 段后: 13 磅 行距: 单倍行距"/>
    <w:basedOn w:val="1"/>
    <w:qFormat/>
    <w:uiPriority w:val="0"/>
    <w:pPr>
      <w:numPr>
        <w:ilvl w:val="1"/>
        <w:numId w:val="14"/>
      </w:numPr>
    </w:pPr>
    <w:rPr>
      <w:sz w:val="21"/>
      <w:szCs w:val="24"/>
    </w:rPr>
  </w:style>
  <w:style w:type="paragraph" w:customStyle="1" w:styleId="379">
    <w:name w:val="样式 宋体 四号 加粗 段前: 7.8 磅 段后: 7.8 磅"/>
    <w:basedOn w:val="7"/>
    <w:qFormat/>
    <w:uiPriority w:val="0"/>
    <w:pPr>
      <w:keepLines/>
      <w:numPr>
        <w:ilvl w:val="2"/>
        <w:numId w:val="13"/>
      </w:numPr>
      <w:tabs>
        <w:tab w:val="clear" w:pos="658"/>
      </w:tabs>
      <w:adjustRightInd w:val="0"/>
      <w:snapToGrid w:val="0"/>
      <w:spacing w:before="156" w:after="156" w:line="300" w:lineRule="auto"/>
    </w:pPr>
    <w:rPr>
      <w:rFonts w:ascii="宋体" w:hAnsi="宋体" w:cs="宋体"/>
      <w:b w:val="0"/>
      <w:szCs w:val="20"/>
    </w:rPr>
  </w:style>
  <w:style w:type="table" w:customStyle="1" w:styleId="380">
    <w:name w:val="网格型-中对齐1"/>
    <w:basedOn w:val="5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381">
    <w:name w:val=" Char Char26"/>
    <w:qFormat/>
    <w:uiPriority w:val="0"/>
    <w:rPr>
      <w:rFonts w:ascii="Arial" w:hAnsi="Arial" w:eastAsia="黑体" w:cs="Times New Roman"/>
      <w:b/>
      <w:kern w:val="0"/>
      <w:szCs w:val="20"/>
    </w:rPr>
  </w:style>
  <w:style w:type="character" w:customStyle="1" w:styleId="382">
    <w:name w:val=" Char Char25"/>
    <w:qFormat/>
    <w:uiPriority w:val="0"/>
    <w:rPr>
      <w:rFonts w:ascii="Times New Roman" w:hAnsi="Times New Roman" w:eastAsia="宋体" w:cs="Times New Roman"/>
      <w:b/>
      <w:kern w:val="0"/>
      <w:szCs w:val="20"/>
    </w:rPr>
  </w:style>
  <w:style w:type="character" w:customStyle="1" w:styleId="383">
    <w:name w:val=" Char Char21"/>
    <w:qFormat/>
    <w:uiPriority w:val="0"/>
    <w:rPr>
      <w:rFonts w:ascii="Arial" w:hAnsi="Arial" w:eastAsia="黑体" w:cs="Times New Roman"/>
      <w:kern w:val="0"/>
      <w:szCs w:val="20"/>
    </w:rPr>
  </w:style>
  <w:style w:type="character" w:customStyle="1" w:styleId="384">
    <w:name w:val=" Char Char20"/>
    <w:qFormat/>
    <w:uiPriority w:val="0"/>
    <w:rPr>
      <w:rFonts w:ascii="Arial" w:hAnsi="Arial" w:eastAsia="黑体" w:cs="Times New Roman"/>
      <w:kern w:val="0"/>
      <w:szCs w:val="20"/>
    </w:rPr>
  </w:style>
  <w:style w:type="character" w:customStyle="1" w:styleId="385">
    <w:name w:val=" Char Char17"/>
    <w:qFormat/>
    <w:uiPriority w:val="0"/>
    <w:rPr>
      <w:rFonts w:ascii="Times New Roman" w:hAnsi="Times New Roman" w:eastAsia="宋体" w:cs="Times New Roman"/>
      <w:sz w:val="18"/>
      <w:szCs w:val="18"/>
    </w:rPr>
  </w:style>
  <w:style w:type="character" w:customStyle="1" w:styleId="386">
    <w:name w:val="纯文本 Char2"/>
    <w:qFormat/>
    <w:uiPriority w:val="0"/>
    <w:rPr>
      <w:rFonts w:ascii="宋体" w:hAnsi="Courier New" w:eastAsia="宋体"/>
      <w:kern w:val="2"/>
      <w:sz w:val="21"/>
      <w:lang w:val="en-US" w:eastAsia="zh-CN" w:bidi="ar-SA"/>
    </w:rPr>
  </w:style>
  <w:style w:type="character" w:customStyle="1" w:styleId="387">
    <w:name w:val=" Char Char14"/>
    <w:qFormat/>
    <w:uiPriority w:val="0"/>
    <w:rPr>
      <w:rFonts w:ascii="方正书宋简体" w:hAnsi="Times New Roman" w:eastAsia="方正书宋简体" w:cs="Times New Roman"/>
      <w:szCs w:val="20"/>
    </w:rPr>
  </w:style>
  <w:style w:type="paragraph" w:customStyle="1" w:styleId="388">
    <w:name w:val="图题"/>
    <w:basedOn w:val="1"/>
    <w:next w:val="177"/>
    <w:qFormat/>
    <w:uiPriority w:val="0"/>
    <w:pPr>
      <w:spacing w:before="120" w:beforeLines="50" w:line="400" w:lineRule="atLeast"/>
      <w:jc w:val="center"/>
    </w:pPr>
    <w:rPr>
      <w:rFonts w:ascii="黑体" w:eastAsia="黑体"/>
      <w:sz w:val="21"/>
      <w:szCs w:val="21"/>
    </w:rPr>
  </w:style>
  <w:style w:type="character" w:customStyle="1" w:styleId="389">
    <w:name w:val="图题 Char"/>
    <w:qFormat/>
    <w:uiPriority w:val="0"/>
    <w:rPr>
      <w:rFonts w:ascii="黑体" w:eastAsia="黑体"/>
      <w:kern w:val="2"/>
      <w:sz w:val="21"/>
      <w:szCs w:val="21"/>
      <w:lang w:val="en-US" w:eastAsia="zh-CN" w:bidi="ar-SA"/>
    </w:rPr>
  </w:style>
  <w:style w:type="paragraph" w:customStyle="1" w:styleId="390">
    <w:name w:val="资料来源"/>
    <w:basedOn w:val="1"/>
    <w:next w:val="177"/>
    <w:qFormat/>
    <w:uiPriority w:val="0"/>
    <w:pPr>
      <w:adjustRightInd w:val="0"/>
      <w:snapToGrid w:val="0"/>
      <w:spacing w:before="78" w:beforeLines="25"/>
    </w:pPr>
    <w:rPr>
      <w:sz w:val="20"/>
    </w:rPr>
  </w:style>
  <w:style w:type="character" w:customStyle="1" w:styleId="391">
    <w:name w:val="标题 2 Char Char"/>
    <w:qFormat/>
    <w:uiPriority w:val="0"/>
    <w:rPr>
      <w:rFonts w:ascii="Arial" w:hAnsi="Arial" w:eastAsia="黑体"/>
      <w:bCs/>
      <w:kern w:val="2"/>
      <w:sz w:val="28"/>
      <w:szCs w:val="32"/>
      <w:lang w:val="en-US" w:eastAsia="zh-CN" w:bidi="ar-SA"/>
    </w:rPr>
  </w:style>
  <w:style w:type="character" w:customStyle="1" w:styleId="392">
    <w:name w:val="标题 4 Char Char"/>
    <w:qFormat/>
    <w:uiPriority w:val="0"/>
    <w:rPr>
      <w:rFonts w:ascii="Arial" w:hAnsi="Arial" w:eastAsia="黑体"/>
      <w:bCs/>
      <w:kern w:val="2"/>
      <w:sz w:val="24"/>
      <w:szCs w:val="28"/>
      <w:lang w:val="en-US" w:eastAsia="zh-CN" w:bidi="ar-SA"/>
    </w:rPr>
  </w:style>
  <w:style w:type="paragraph" w:customStyle="1" w:styleId="393">
    <w:name w:val="第五章图标头"/>
    <w:basedOn w:val="107"/>
    <w:qFormat/>
    <w:uiPriority w:val="0"/>
    <w:pPr>
      <w:tabs>
        <w:tab w:val="left" w:pos="1647"/>
        <w:tab w:val="clear" w:pos="4305"/>
      </w:tabs>
      <w:adjustRightInd w:val="0"/>
      <w:snapToGrid w:val="0"/>
      <w:spacing w:line="480" w:lineRule="exact"/>
    </w:pPr>
    <w:rPr>
      <w:rFonts w:ascii="黑体" w:eastAsia="黑体"/>
      <w:b w:val="0"/>
      <w:sz w:val="24"/>
    </w:rPr>
  </w:style>
  <w:style w:type="character" w:customStyle="1" w:styleId="394">
    <w:name w:val=" Char Char11"/>
    <w:qFormat/>
    <w:uiPriority w:val="0"/>
    <w:rPr>
      <w:rFonts w:ascii="Times New Roman" w:hAnsi="Times New Roman" w:eastAsia="宋体" w:cs="Times New Roman"/>
      <w:szCs w:val="24"/>
    </w:rPr>
  </w:style>
  <w:style w:type="paragraph" w:customStyle="1" w:styleId="395">
    <w:name w:val="样式 正正正正文 + 首行缩进:  2 字符"/>
    <w:basedOn w:val="1"/>
    <w:link w:val="396"/>
    <w:qFormat/>
    <w:uiPriority w:val="0"/>
    <w:pPr>
      <w:adjustRightInd w:val="0"/>
      <w:snapToGrid w:val="0"/>
      <w:spacing w:line="480" w:lineRule="exact"/>
      <w:ind w:firstLine="486" w:firstLineChars="200"/>
    </w:pPr>
    <w:rPr>
      <w:rFonts w:ascii="Times New Roman" w:hAnsi="Times New Roman" w:cs="Times New Roman"/>
      <w:kern w:val="2"/>
      <w:szCs w:val="20"/>
    </w:rPr>
  </w:style>
  <w:style w:type="character" w:customStyle="1" w:styleId="396">
    <w:name w:val="样式 正正正正文 + 首行缩进:  2 字符 Char"/>
    <w:link w:val="395"/>
    <w:qFormat/>
    <w:uiPriority w:val="0"/>
    <w:rPr>
      <w:rFonts w:cs="宋体"/>
      <w:kern w:val="2"/>
      <w:sz w:val="24"/>
    </w:rPr>
  </w:style>
  <w:style w:type="paragraph" w:customStyle="1" w:styleId="397">
    <w:name w:val="样式 标题 4 + (西文) Times New Roman (中文) 宋体 小四"/>
    <w:basedOn w:val="8"/>
    <w:link w:val="398"/>
    <w:qFormat/>
    <w:uiPriority w:val="0"/>
    <w:pPr>
      <w:keepNext/>
      <w:keepLines/>
      <w:numPr>
        <w:ilvl w:val="0"/>
        <w:numId w:val="0"/>
      </w:numPr>
      <w:tabs>
        <w:tab w:val="clear" w:pos="998"/>
        <w:tab w:val="clear" w:pos="1287"/>
      </w:tabs>
      <w:spacing w:before="280" w:after="290" w:line="376" w:lineRule="auto"/>
    </w:pPr>
    <w:rPr>
      <w:rFonts w:eastAsia="宋体"/>
      <w:b/>
      <w:bCs/>
      <w:kern w:val="2"/>
      <w:szCs w:val="28"/>
    </w:rPr>
  </w:style>
  <w:style w:type="character" w:customStyle="1" w:styleId="398">
    <w:name w:val="样式 标题 4 + (西文) Times New Roman (中文) 宋体 小四 Char"/>
    <w:link w:val="397"/>
    <w:qFormat/>
    <w:uiPriority w:val="0"/>
    <w:rPr>
      <w:rFonts w:ascii="仿宋_GB2312" w:hAnsi="Arial"/>
      <w:b/>
      <w:bCs/>
      <w:kern w:val="2"/>
      <w:sz w:val="24"/>
      <w:szCs w:val="28"/>
    </w:rPr>
  </w:style>
  <w:style w:type="paragraph" w:customStyle="1" w:styleId="399">
    <w:name w:val="样式 加粗报告正文 + 首行缩进:  2 字符"/>
    <w:basedOn w:val="1"/>
    <w:qFormat/>
    <w:uiPriority w:val="0"/>
    <w:pPr>
      <w:adjustRightInd w:val="0"/>
      <w:snapToGrid w:val="0"/>
      <w:spacing w:line="480" w:lineRule="exact"/>
      <w:ind w:firstLine="482" w:firstLineChars="200"/>
    </w:pPr>
    <w:rPr>
      <w:b/>
      <w:sz w:val="24"/>
      <w:szCs w:val="24"/>
    </w:rPr>
  </w:style>
  <w:style w:type="paragraph" w:customStyle="1" w:styleId="400">
    <w:name w:val="第一章图标头"/>
    <w:basedOn w:val="107"/>
    <w:qFormat/>
    <w:uiPriority w:val="0"/>
    <w:pPr>
      <w:tabs>
        <w:tab w:val="left" w:pos="990"/>
        <w:tab w:val="clear" w:pos="4305"/>
      </w:tabs>
      <w:adjustRightInd w:val="0"/>
      <w:snapToGrid w:val="0"/>
      <w:spacing w:line="480" w:lineRule="exact"/>
    </w:pPr>
    <w:rPr>
      <w:rFonts w:ascii="黑体" w:eastAsia="黑体"/>
      <w:b w:val="0"/>
      <w:sz w:val="24"/>
    </w:rPr>
  </w:style>
  <w:style w:type="paragraph" w:customStyle="1" w:styleId="401">
    <w:name w:val="第一章表标头"/>
    <w:basedOn w:val="107"/>
    <w:qFormat/>
    <w:uiPriority w:val="0"/>
    <w:pPr>
      <w:tabs>
        <w:tab w:val="left" w:pos="916"/>
        <w:tab w:val="clear" w:pos="4305"/>
      </w:tabs>
      <w:adjustRightInd w:val="0"/>
      <w:snapToGrid w:val="0"/>
      <w:spacing w:line="480" w:lineRule="exact"/>
    </w:pPr>
    <w:rPr>
      <w:rFonts w:ascii="黑体" w:eastAsia="黑体"/>
      <w:b w:val="0"/>
      <w:sz w:val="24"/>
    </w:rPr>
  </w:style>
  <w:style w:type="paragraph" w:customStyle="1" w:styleId="402">
    <w:name w:val="第二张图标头"/>
    <w:basedOn w:val="107"/>
    <w:qFormat/>
    <w:uiPriority w:val="0"/>
    <w:pPr>
      <w:tabs>
        <w:tab w:val="left" w:pos="916"/>
        <w:tab w:val="clear" w:pos="4305"/>
      </w:tabs>
      <w:adjustRightInd w:val="0"/>
      <w:snapToGrid w:val="0"/>
      <w:spacing w:line="480" w:lineRule="exact"/>
    </w:pPr>
    <w:rPr>
      <w:rFonts w:ascii="黑体" w:eastAsia="黑体"/>
      <w:b w:val="0"/>
      <w:sz w:val="24"/>
    </w:rPr>
  </w:style>
  <w:style w:type="paragraph" w:customStyle="1" w:styleId="403">
    <w:name w:val="第二张表标头"/>
    <w:basedOn w:val="107"/>
    <w:next w:val="1"/>
    <w:qFormat/>
    <w:uiPriority w:val="0"/>
    <w:pPr>
      <w:tabs>
        <w:tab w:val="clear" w:pos="4305"/>
      </w:tabs>
      <w:adjustRightInd w:val="0"/>
      <w:snapToGrid w:val="0"/>
      <w:spacing w:line="480" w:lineRule="exact"/>
    </w:pPr>
    <w:rPr>
      <w:rFonts w:ascii="黑体" w:eastAsia="黑体"/>
      <w:b w:val="0"/>
      <w:sz w:val="24"/>
    </w:rPr>
  </w:style>
  <w:style w:type="paragraph" w:customStyle="1" w:styleId="404">
    <w:name w:val="第四章图标头"/>
    <w:basedOn w:val="107"/>
    <w:qFormat/>
    <w:uiPriority w:val="0"/>
    <w:pPr>
      <w:tabs>
        <w:tab w:val="clear" w:pos="4305"/>
      </w:tabs>
      <w:adjustRightInd w:val="0"/>
      <w:snapToGrid w:val="0"/>
      <w:spacing w:line="480" w:lineRule="exact"/>
    </w:pPr>
    <w:rPr>
      <w:rFonts w:ascii="黑体" w:eastAsia="黑体"/>
      <w:b w:val="0"/>
      <w:sz w:val="24"/>
    </w:rPr>
  </w:style>
  <w:style w:type="character" w:customStyle="1" w:styleId="405">
    <w:name w:val="不明显强调1"/>
    <w:qFormat/>
    <w:uiPriority w:val="0"/>
    <w:rPr>
      <w:i/>
      <w:iCs/>
      <w:color w:val="808080"/>
    </w:rPr>
  </w:style>
  <w:style w:type="paragraph" w:customStyle="1" w:styleId="406">
    <w:name w:val="无间距"/>
    <w:qFormat/>
    <w:uiPriority w:val="0"/>
    <w:pPr>
      <w:widowControl w:val="0"/>
      <w:adjustRightInd w:val="0"/>
      <w:snapToGrid w:val="0"/>
      <w:ind w:firstLine="200" w:firstLineChars="200"/>
      <w:jc w:val="both"/>
    </w:pPr>
    <w:rPr>
      <w:rFonts w:ascii="Times New Roman" w:hAnsi="Times New Roman" w:eastAsia="宋体" w:cs="Times New Roman"/>
      <w:kern w:val="2"/>
      <w:sz w:val="24"/>
      <w:szCs w:val="24"/>
      <w:lang w:val="en-US" w:eastAsia="zh-CN" w:bidi="ar-SA"/>
    </w:rPr>
  </w:style>
  <w:style w:type="character" w:customStyle="1" w:styleId="407">
    <w:name w:val="浅色底纹 - 强调文字颜色 2 Char"/>
    <w:qFormat/>
    <w:uiPriority w:val="0"/>
    <w:rPr>
      <w:rFonts w:eastAsia="宋体"/>
      <w:b/>
      <w:bCs/>
      <w:i/>
      <w:iCs/>
      <w:color w:val="4F81BD"/>
      <w:kern w:val="2"/>
      <w:sz w:val="24"/>
      <w:szCs w:val="24"/>
      <w:lang w:val="en-US" w:eastAsia="zh-CN" w:bidi="ar-SA"/>
    </w:rPr>
  </w:style>
  <w:style w:type="character" w:customStyle="1" w:styleId="408">
    <w:name w:val="明显参考1"/>
    <w:qFormat/>
    <w:uiPriority w:val="0"/>
    <w:rPr>
      <w:b/>
      <w:bCs/>
      <w:smallCaps/>
      <w:color w:val="C0504D"/>
      <w:spacing w:val="5"/>
      <w:u w:val="single"/>
    </w:rPr>
  </w:style>
  <w:style w:type="character" w:customStyle="1" w:styleId="409">
    <w:name w:val="书籍标题1"/>
    <w:qFormat/>
    <w:uiPriority w:val="0"/>
    <w:rPr>
      <w:b/>
      <w:bCs/>
      <w:smallCaps/>
      <w:spacing w:val="5"/>
    </w:rPr>
  </w:style>
  <w:style w:type="character" w:customStyle="1" w:styleId="410">
    <w:name w:val="明显强调1"/>
    <w:qFormat/>
    <w:uiPriority w:val="0"/>
    <w:rPr>
      <w:b/>
      <w:bCs/>
      <w:i/>
      <w:iCs/>
      <w:color w:val="4F81BD"/>
    </w:rPr>
  </w:style>
  <w:style w:type="paragraph" w:customStyle="1" w:styleId="411">
    <w:name w:val="表头1"/>
    <w:basedOn w:val="1"/>
    <w:qFormat/>
    <w:uiPriority w:val="0"/>
    <w:pPr>
      <w:keepNext/>
      <w:adjustRightInd w:val="0"/>
      <w:snapToGrid w:val="0"/>
      <w:jc w:val="center"/>
      <w:textAlignment w:val="baseline"/>
    </w:pPr>
    <w:rPr>
      <w:rFonts w:eastAsia="黑体"/>
      <w:kern w:val="0"/>
      <w:sz w:val="24"/>
    </w:rPr>
  </w:style>
  <w:style w:type="paragraph" w:customStyle="1" w:styleId="412">
    <w:name w:val="标题2222"/>
    <w:basedOn w:val="53"/>
    <w:next w:val="53"/>
    <w:qFormat/>
    <w:uiPriority w:val="0"/>
    <w:pPr>
      <w:spacing w:line="480" w:lineRule="exact"/>
      <w:jc w:val="left"/>
    </w:pPr>
    <w:rPr>
      <w:rFonts w:ascii="黑体" w:hAnsi="黑体" w:eastAsia="黑体" w:cs="黑体"/>
      <w:color w:val="000000"/>
    </w:rPr>
  </w:style>
  <w:style w:type="paragraph" w:customStyle="1" w:styleId="413">
    <w:name w:val="标题3333"/>
    <w:basedOn w:val="1"/>
    <w:next w:val="53"/>
    <w:qFormat/>
    <w:uiPriority w:val="0"/>
    <w:pPr>
      <w:spacing w:line="480" w:lineRule="exact"/>
      <w:jc w:val="left"/>
    </w:pPr>
    <w:rPr>
      <w:rFonts w:ascii="黑体" w:hAnsi="黑体" w:eastAsia="黑体" w:cs="黑体"/>
      <w:b/>
      <w:color w:val="000000"/>
      <w:szCs w:val="28"/>
    </w:rPr>
  </w:style>
  <w:style w:type="character" w:customStyle="1" w:styleId="414">
    <w:name w:val="正文文字( 首段缩进两字） Char Char"/>
    <w:qFormat/>
    <w:uiPriority w:val="0"/>
    <w:rPr>
      <w:rFonts w:eastAsia="宋体"/>
      <w:kern w:val="2"/>
      <w:sz w:val="24"/>
      <w:szCs w:val="24"/>
      <w:lang w:val="en-US" w:eastAsia="zh-CN" w:bidi="ar-SA"/>
    </w:rPr>
  </w:style>
  <w:style w:type="paragraph" w:customStyle="1" w:styleId="415">
    <w:name w:val="1 Char"/>
    <w:basedOn w:val="1"/>
    <w:qFormat/>
    <w:uiPriority w:val="0"/>
    <w:rPr>
      <w:sz w:val="21"/>
      <w:szCs w:val="24"/>
    </w:rPr>
  </w:style>
  <w:style w:type="character" w:customStyle="1" w:styleId="416">
    <w:name w:val="标题 1.1 Char"/>
    <w:qFormat/>
    <w:uiPriority w:val="0"/>
    <w:rPr>
      <w:rFonts w:eastAsia="黑体"/>
      <w:b/>
      <w:bCs/>
      <w:kern w:val="2"/>
      <w:sz w:val="32"/>
      <w:szCs w:val="32"/>
      <w:lang w:val="en-US" w:eastAsia="zh-CN" w:bidi="ar-SA"/>
    </w:rPr>
  </w:style>
  <w:style w:type="character" w:customStyle="1" w:styleId="417">
    <w:name w:val="正文文字( 首段缩进两字） Char Char1"/>
    <w:qFormat/>
    <w:uiPriority w:val="0"/>
    <w:rPr>
      <w:rFonts w:eastAsia="宋体"/>
      <w:kern w:val="2"/>
      <w:sz w:val="24"/>
      <w:szCs w:val="24"/>
      <w:lang w:val="en-US" w:eastAsia="zh-CN" w:bidi="ar-SA"/>
    </w:rPr>
  </w:style>
  <w:style w:type="paragraph" w:customStyle="1" w:styleId="418">
    <w:name w:val="默认段落字体 Para Char Char Char Char Char Char Char"/>
    <w:basedOn w:val="1"/>
    <w:qFormat/>
    <w:uiPriority w:val="0"/>
    <w:rPr>
      <w:rFonts w:ascii="Arial" w:hAnsi="Arial" w:cs="Arial"/>
      <w:sz w:val="20"/>
    </w:rPr>
  </w:style>
  <w:style w:type="paragraph" w:customStyle="1" w:styleId="419">
    <w:name w:val=" Char Char Char Char Char Char Char Char Char Char Char Char Char Char Char Char"/>
    <w:basedOn w:val="1"/>
    <w:qFormat/>
    <w:uiPriority w:val="0"/>
    <w:pPr>
      <w:tabs>
        <w:tab w:val="left" w:pos="360"/>
      </w:tabs>
    </w:pPr>
    <w:rPr>
      <w:sz w:val="24"/>
      <w:szCs w:val="24"/>
    </w:rPr>
  </w:style>
  <w:style w:type="paragraph" w:customStyle="1" w:styleId="420">
    <w:name w:val="正文终"/>
    <w:basedOn w:val="1"/>
    <w:qFormat/>
    <w:uiPriority w:val="0"/>
    <w:pPr>
      <w:spacing w:line="360" w:lineRule="auto"/>
      <w:ind w:firstLine="200" w:firstLineChars="200"/>
    </w:pPr>
    <w:rPr>
      <w:rFonts w:cs="宋体"/>
      <w:sz w:val="24"/>
      <w:szCs w:val="24"/>
    </w:rPr>
  </w:style>
  <w:style w:type="character" w:customStyle="1" w:styleId="421">
    <w:name w:val="标题 1.1 Char1"/>
    <w:qFormat/>
    <w:uiPriority w:val="0"/>
    <w:rPr>
      <w:rFonts w:ascii="Times New Roman" w:hAnsi="Times New Roman" w:eastAsia="黑体"/>
      <w:b/>
      <w:bCs/>
      <w:kern w:val="2"/>
      <w:sz w:val="32"/>
      <w:szCs w:val="32"/>
    </w:rPr>
  </w:style>
  <w:style w:type="character" w:customStyle="1" w:styleId="422">
    <w:name w:val=" Char Char24"/>
    <w:qFormat/>
    <w:uiPriority w:val="0"/>
    <w:rPr>
      <w:rFonts w:ascii="仿宋_GB2312" w:hAnsi="Arial" w:eastAsia="仿宋_GB2312"/>
      <w:kern w:val="2"/>
      <w:sz w:val="28"/>
    </w:rPr>
  </w:style>
  <w:style w:type="character" w:customStyle="1" w:styleId="423">
    <w:name w:val=" Char Char23"/>
    <w:qFormat/>
    <w:uiPriority w:val="0"/>
    <w:rPr>
      <w:rFonts w:ascii="仿宋_GB2312" w:hAnsi="Times New Roman" w:eastAsia="仿宋_GB2312"/>
      <w:kern w:val="2"/>
      <w:sz w:val="28"/>
    </w:rPr>
  </w:style>
  <w:style w:type="character" w:customStyle="1" w:styleId="424">
    <w:name w:val=" Char Char22"/>
    <w:qFormat/>
    <w:uiPriority w:val="0"/>
    <w:rPr>
      <w:rFonts w:ascii="Arial" w:hAnsi="Arial" w:eastAsia="黑体"/>
      <w:b/>
      <w:sz w:val="21"/>
    </w:rPr>
  </w:style>
  <w:style w:type="character" w:customStyle="1" w:styleId="425">
    <w:name w:val="正文文字( 首段缩进两字） Char Char2"/>
    <w:qFormat/>
    <w:uiPriority w:val="0"/>
    <w:rPr>
      <w:rFonts w:ascii="Times New Roman" w:hAnsi="Times New Roman"/>
      <w:kern w:val="2"/>
      <w:sz w:val="24"/>
      <w:szCs w:val="24"/>
    </w:rPr>
  </w:style>
  <w:style w:type="character" w:customStyle="1" w:styleId="426">
    <w:name w:val="标题 1.1 Char2"/>
    <w:qFormat/>
    <w:uiPriority w:val="0"/>
    <w:rPr>
      <w:rFonts w:eastAsia="黑体"/>
      <w:b/>
      <w:bCs/>
      <w:kern w:val="2"/>
      <w:sz w:val="32"/>
      <w:szCs w:val="32"/>
      <w:lang w:val="en-US" w:eastAsia="zh-CN" w:bidi="ar-SA"/>
    </w:rPr>
  </w:style>
  <w:style w:type="character" w:customStyle="1" w:styleId="427">
    <w:name w:val="正文文字( 首段缩进两字） Char Char3"/>
    <w:qFormat/>
    <w:uiPriority w:val="0"/>
    <w:rPr>
      <w:rFonts w:eastAsia="宋体"/>
      <w:kern w:val="2"/>
      <w:sz w:val="24"/>
      <w:szCs w:val="24"/>
      <w:lang w:val="en-US" w:eastAsia="zh-CN" w:bidi="ar-SA"/>
    </w:rPr>
  </w:style>
  <w:style w:type="paragraph" w:customStyle="1" w:styleId="428">
    <w:name w:val="第五章表头"/>
    <w:basedOn w:val="275"/>
    <w:qFormat/>
    <w:uiPriority w:val="0"/>
    <w:pPr>
      <w:numPr>
        <w:ilvl w:val="0"/>
        <w:numId w:val="15"/>
      </w:numPr>
      <w:spacing w:line="400" w:lineRule="exact"/>
    </w:pPr>
    <w:rPr>
      <w:b/>
    </w:rPr>
  </w:style>
  <w:style w:type="paragraph" w:customStyle="1" w:styleId="429">
    <w:name w:val="第二章图标头"/>
    <w:basedOn w:val="1"/>
    <w:qFormat/>
    <w:uiPriority w:val="0"/>
    <w:pPr>
      <w:adjustRightInd w:val="0"/>
      <w:snapToGrid w:val="0"/>
      <w:jc w:val="center"/>
    </w:pPr>
    <w:rPr>
      <w:rFonts w:eastAsia="黑体"/>
      <w:sz w:val="24"/>
    </w:rPr>
  </w:style>
  <w:style w:type="character" w:customStyle="1" w:styleId="430">
    <w:name w:val="表题 Char1"/>
    <w:qFormat/>
    <w:uiPriority w:val="0"/>
    <w:rPr>
      <w:rFonts w:hAnsi="宋体"/>
      <w:b/>
      <w:kern w:val="2"/>
      <w:sz w:val="21"/>
      <w:szCs w:val="21"/>
    </w:rPr>
  </w:style>
  <w:style w:type="paragraph" w:customStyle="1" w:styleId="431">
    <w:name w:val="第十章表"/>
    <w:basedOn w:val="1"/>
    <w:qFormat/>
    <w:uiPriority w:val="0"/>
    <w:pPr>
      <w:numPr>
        <w:ilvl w:val="0"/>
        <w:numId w:val="16"/>
      </w:numPr>
      <w:adjustRightInd w:val="0"/>
      <w:snapToGrid w:val="0"/>
      <w:spacing w:line="400" w:lineRule="exact"/>
      <w:jc w:val="center"/>
    </w:pPr>
    <w:rPr>
      <w:rFonts w:eastAsia="黑体"/>
      <w:sz w:val="24"/>
      <w:szCs w:val="24"/>
    </w:rPr>
  </w:style>
  <w:style w:type="paragraph" w:customStyle="1" w:styleId="432">
    <w:name w:val="正文2"/>
    <w:qFormat/>
    <w:uiPriority w:val="0"/>
    <w:pPr>
      <w:widowControl w:val="0"/>
      <w:adjustRightInd w:val="0"/>
      <w:spacing w:line="360" w:lineRule="atLeast"/>
      <w:textAlignment w:val="baseline"/>
    </w:pPr>
    <w:rPr>
      <w:rFonts w:ascii="宋体" w:hAnsi="Times New Roman" w:eastAsia="宋体" w:cs="Times New Roman"/>
      <w:sz w:val="34"/>
      <w:lang w:val="en-US" w:eastAsia="zh-CN" w:bidi="ar-SA"/>
    </w:rPr>
  </w:style>
  <w:style w:type="paragraph" w:customStyle="1" w:styleId="433">
    <w:name w:val="Char Char2 Char Char Char Char Char Char Char Char Char Char Char Char Char Char Char Char Char Char1 Char Char Char Char Char Char Char Char1"/>
    <w:basedOn w:val="1"/>
    <w:qFormat/>
    <w:uiPriority w:val="0"/>
    <w:rPr>
      <w:sz w:val="21"/>
      <w:szCs w:val="24"/>
    </w:rPr>
  </w:style>
  <w:style w:type="character" w:customStyle="1" w:styleId="434">
    <w:name w:val="Char Char26"/>
    <w:qFormat/>
    <w:uiPriority w:val="0"/>
    <w:rPr>
      <w:rFonts w:ascii="Arial" w:hAnsi="Arial" w:eastAsia="黑体" w:cs="Times New Roman"/>
      <w:b/>
      <w:kern w:val="0"/>
      <w:szCs w:val="20"/>
    </w:rPr>
  </w:style>
  <w:style w:type="character" w:customStyle="1" w:styleId="435">
    <w:name w:val="Char Char25"/>
    <w:qFormat/>
    <w:uiPriority w:val="0"/>
    <w:rPr>
      <w:rFonts w:ascii="Times New Roman" w:hAnsi="Times New Roman" w:eastAsia="宋体" w:cs="Times New Roman"/>
      <w:b/>
      <w:kern w:val="0"/>
      <w:szCs w:val="20"/>
    </w:rPr>
  </w:style>
  <w:style w:type="character" w:customStyle="1" w:styleId="436">
    <w:name w:val="Char Char21"/>
    <w:qFormat/>
    <w:uiPriority w:val="0"/>
    <w:rPr>
      <w:rFonts w:ascii="Arial" w:hAnsi="Arial" w:eastAsia="黑体" w:cs="Times New Roman"/>
      <w:kern w:val="0"/>
      <w:szCs w:val="20"/>
    </w:rPr>
  </w:style>
  <w:style w:type="character" w:customStyle="1" w:styleId="437">
    <w:name w:val="Char Char20"/>
    <w:qFormat/>
    <w:uiPriority w:val="0"/>
    <w:rPr>
      <w:rFonts w:ascii="Arial" w:hAnsi="Arial" w:eastAsia="黑体" w:cs="Times New Roman"/>
      <w:kern w:val="0"/>
      <w:szCs w:val="20"/>
    </w:rPr>
  </w:style>
  <w:style w:type="character" w:customStyle="1" w:styleId="438">
    <w:name w:val="Char Char17"/>
    <w:qFormat/>
    <w:uiPriority w:val="0"/>
    <w:rPr>
      <w:rFonts w:ascii="Times New Roman" w:hAnsi="Times New Roman" w:eastAsia="宋体" w:cs="Times New Roman"/>
      <w:sz w:val="18"/>
      <w:szCs w:val="18"/>
    </w:rPr>
  </w:style>
  <w:style w:type="character" w:customStyle="1" w:styleId="439">
    <w:name w:val="Char Char14"/>
    <w:qFormat/>
    <w:uiPriority w:val="0"/>
    <w:rPr>
      <w:rFonts w:ascii="方正书宋简体" w:hAnsi="Times New Roman" w:eastAsia="方正书宋简体" w:cs="Times New Roman"/>
      <w:szCs w:val="20"/>
    </w:rPr>
  </w:style>
  <w:style w:type="character" w:customStyle="1" w:styleId="440">
    <w:name w:val="Char Char11"/>
    <w:qFormat/>
    <w:uiPriority w:val="0"/>
    <w:rPr>
      <w:rFonts w:ascii="Times New Roman" w:hAnsi="Times New Roman" w:eastAsia="宋体" w:cs="Times New Roman"/>
      <w:szCs w:val="24"/>
    </w:rPr>
  </w:style>
  <w:style w:type="paragraph" w:customStyle="1" w:styleId="441">
    <w:name w:val="Char Char Char Char Char Char Char Char Char Char Char Char Char Char Char Char"/>
    <w:basedOn w:val="1"/>
    <w:qFormat/>
    <w:uiPriority w:val="0"/>
    <w:pPr>
      <w:tabs>
        <w:tab w:val="left" w:pos="360"/>
      </w:tabs>
    </w:pPr>
    <w:rPr>
      <w:sz w:val="24"/>
      <w:szCs w:val="24"/>
    </w:rPr>
  </w:style>
  <w:style w:type="character" w:customStyle="1" w:styleId="442">
    <w:name w:val="Char Char24"/>
    <w:qFormat/>
    <w:uiPriority w:val="0"/>
    <w:rPr>
      <w:rFonts w:ascii="仿宋_GB2312" w:hAnsi="Arial" w:eastAsia="仿宋_GB2312"/>
      <w:kern w:val="2"/>
      <w:sz w:val="28"/>
    </w:rPr>
  </w:style>
  <w:style w:type="character" w:customStyle="1" w:styleId="443">
    <w:name w:val="Char Char23"/>
    <w:qFormat/>
    <w:uiPriority w:val="0"/>
    <w:rPr>
      <w:rFonts w:ascii="仿宋_GB2312" w:hAnsi="Times New Roman" w:eastAsia="仿宋_GB2312"/>
      <w:kern w:val="2"/>
      <w:sz w:val="28"/>
    </w:rPr>
  </w:style>
  <w:style w:type="character" w:customStyle="1" w:styleId="444">
    <w:name w:val="Char Char22"/>
    <w:qFormat/>
    <w:uiPriority w:val="0"/>
    <w:rPr>
      <w:rFonts w:ascii="Arial" w:hAnsi="Arial" w:eastAsia="黑体"/>
      <w:b/>
      <w:sz w:val="21"/>
    </w:rPr>
  </w:style>
  <w:style w:type="paragraph" w:customStyle="1" w:styleId="445">
    <w:name w:val="样式6"/>
    <w:basedOn w:val="129"/>
    <w:link w:val="446"/>
    <w:qFormat/>
    <w:uiPriority w:val="0"/>
    <w:pPr>
      <w:spacing w:before="81"/>
    </w:pPr>
    <w:rPr>
      <w:rFonts w:ascii="Times New Roman" w:hAnsi="Times New Roman" w:cs="Times New Roman"/>
      <w:kern w:val="2"/>
    </w:rPr>
  </w:style>
  <w:style w:type="character" w:customStyle="1" w:styleId="446">
    <w:name w:val="样式6 Char"/>
    <w:link w:val="445"/>
    <w:qFormat/>
    <w:uiPriority w:val="0"/>
    <w:rPr>
      <w:kern w:val="2"/>
      <w:sz w:val="24"/>
      <w:szCs w:val="24"/>
    </w:rPr>
  </w:style>
  <w:style w:type="paragraph" w:customStyle="1" w:styleId="447">
    <w:name w:val="加重"/>
    <w:basedOn w:val="129"/>
    <w:next w:val="129"/>
    <w:qFormat/>
    <w:uiPriority w:val="0"/>
    <w:pPr>
      <w:spacing w:after="50" w:afterLines="50" w:line="400" w:lineRule="exact"/>
      <w:ind w:firstLine="480"/>
    </w:pPr>
    <w:rPr>
      <w:b/>
    </w:rPr>
  </w:style>
  <w:style w:type="character" w:customStyle="1" w:styleId="448">
    <w:name w:val="样式7 Char"/>
    <w:link w:val="449"/>
    <w:qFormat/>
    <w:uiPriority w:val="0"/>
    <w:rPr>
      <w:kern w:val="2"/>
      <w:sz w:val="24"/>
    </w:rPr>
  </w:style>
  <w:style w:type="paragraph" w:customStyle="1" w:styleId="449">
    <w:name w:val="样式7"/>
    <w:basedOn w:val="1"/>
    <w:link w:val="448"/>
    <w:qFormat/>
    <w:uiPriority w:val="0"/>
    <w:pPr>
      <w:adjustRightInd w:val="0"/>
      <w:snapToGrid w:val="0"/>
      <w:spacing w:line="360" w:lineRule="exact"/>
      <w:ind w:firstLine="200" w:firstLineChars="200"/>
    </w:pPr>
    <w:rPr>
      <w:rFonts w:ascii="Times New Roman" w:hAnsi="Times New Roman" w:cs="Times New Roman"/>
      <w:kern w:val="2"/>
      <w:szCs w:val="20"/>
    </w:rPr>
  </w:style>
  <w:style w:type="character" w:customStyle="1" w:styleId="450">
    <w:name w:val="apple-style-span"/>
    <w:qFormat/>
    <w:uiPriority w:val="0"/>
    <w:rPr>
      <w:rFonts w:cs="Times New Roman"/>
    </w:rPr>
  </w:style>
  <w:style w:type="paragraph" w:customStyle="1" w:styleId="451">
    <w:name w:val="表内文字"/>
    <w:qFormat/>
    <w:uiPriority w:val="0"/>
    <w:pPr>
      <w:adjustRightInd w:val="0"/>
      <w:snapToGrid w:val="0"/>
      <w:jc w:val="center"/>
    </w:pPr>
    <w:rPr>
      <w:rFonts w:ascii="宋体" w:hAnsi="宋体" w:eastAsia="宋体" w:cs="Times New Roman"/>
      <w:kern w:val="2"/>
      <w:sz w:val="21"/>
      <w:szCs w:val="21"/>
      <w:lang w:val="en-US" w:eastAsia="zh-CN" w:bidi="ar-SA"/>
    </w:rPr>
  </w:style>
  <w:style w:type="character" w:customStyle="1" w:styleId="452">
    <w:name w:val="报告表格内容 Char Char"/>
    <w:qFormat/>
    <w:uiPriority w:val="0"/>
    <w:rPr>
      <w:kern w:val="2"/>
      <w:sz w:val="21"/>
    </w:rPr>
  </w:style>
  <w:style w:type="paragraph" w:customStyle="1" w:styleId="453">
    <w:name w:val="第六章图标头"/>
    <w:basedOn w:val="107"/>
    <w:qFormat/>
    <w:uiPriority w:val="0"/>
    <w:pPr>
      <w:numPr>
        <w:ilvl w:val="0"/>
        <w:numId w:val="17"/>
      </w:numPr>
      <w:tabs>
        <w:tab w:val="clear" w:pos="4305"/>
      </w:tabs>
      <w:adjustRightInd w:val="0"/>
      <w:snapToGrid w:val="0"/>
      <w:spacing w:line="360" w:lineRule="exact"/>
    </w:pPr>
    <w:rPr>
      <w:rFonts w:ascii="黑体" w:eastAsia="黑体"/>
      <w:b w:val="0"/>
      <w:sz w:val="24"/>
    </w:rPr>
  </w:style>
  <w:style w:type="paragraph" w:customStyle="1" w:styleId="454">
    <w:name w:val="我的正文"/>
    <w:basedOn w:val="1"/>
    <w:link w:val="455"/>
    <w:qFormat/>
    <w:uiPriority w:val="0"/>
    <w:pPr>
      <w:widowControl/>
      <w:adjustRightInd w:val="0"/>
      <w:snapToGrid w:val="0"/>
      <w:spacing w:line="360" w:lineRule="auto"/>
      <w:ind w:firstLine="200" w:firstLineChars="200"/>
    </w:pPr>
    <w:rPr>
      <w:rFonts w:ascii="Times New Roman" w:hAnsi="Times New Roman" w:cs="Times New Roman"/>
      <w:color w:val="000000"/>
      <w:kern w:val="2"/>
    </w:rPr>
  </w:style>
  <w:style w:type="character" w:customStyle="1" w:styleId="455">
    <w:name w:val="我的正文 Char"/>
    <w:link w:val="454"/>
    <w:qFormat/>
    <w:locked/>
    <w:uiPriority w:val="0"/>
    <w:rPr>
      <w:color w:val="000000"/>
      <w:kern w:val="2"/>
      <w:sz w:val="24"/>
      <w:szCs w:val="24"/>
    </w:rPr>
  </w:style>
  <w:style w:type="character" w:customStyle="1" w:styleId="456">
    <w:name w:val="论文正文2 Char Char"/>
    <w:link w:val="457"/>
    <w:qFormat/>
    <w:uiPriority w:val="0"/>
    <w:rPr>
      <w:color w:val="FF0000"/>
      <w:sz w:val="28"/>
      <w:szCs w:val="24"/>
    </w:rPr>
  </w:style>
  <w:style w:type="paragraph" w:customStyle="1" w:styleId="457">
    <w:name w:val="论文正文2"/>
    <w:basedOn w:val="1"/>
    <w:link w:val="456"/>
    <w:qFormat/>
    <w:uiPriority w:val="0"/>
    <w:pPr>
      <w:ind w:firstLine="560" w:firstLineChars="200"/>
    </w:pPr>
    <w:rPr>
      <w:rFonts w:ascii="Times New Roman" w:hAnsi="Times New Roman" w:cs="Times New Roman"/>
      <w:color w:val="FF0000"/>
      <w:sz w:val="28"/>
    </w:rPr>
  </w:style>
  <w:style w:type="paragraph" w:customStyle="1" w:styleId="458">
    <w:name w:val="a)"/>
    <w:basedOn w:val="1"/>
    <w:link w:val="459"/>
    <w:qFormat/>
    <w:uiPriority w:val="0"/>
    <w:pPr>
      <w:adjustRightInd w:val="0"/>
      <w:spacing w:line="360" w:lineRule="auto"/>
      <w:ind w:firstLine="567"/>
      <w:textAlignment w:val="baseline"/>
    </w:pPr>
    <w:rPr>
      <w:rFonts w:ascii="Times New Roman" w:hAnsi="Times New Roman" w:cs="Times New Roman"/>
      <w:szCs w:val="20"/>
    </w:rPr>
  </w:style>
  <w:style w:type="character" w:customStyle="1" w:styleId="459">
    <w:name w:val="a) Char"/>
    <w:link w:val="458"/>
    <w:qFormat/>
    <w:uiPriority w:val="0"/>
    <w:rPr>
      <w:sz w:val="24"/>
    </w:rPr>
  </w:style>
  <w:style w:type="character" w:customStyle="1" w:styleId="460">
    <w:name w:val="￥正文 Char"/>
    <w:link w:val="461"/>
    <w:qFormat/>
    <w:uiPriority w:val="0"/>
    <w:rPr>
      <w:rFonts w:ascii="宋体" w:hAnsi="宋体" w:eastAsia="仿宋_GB2312"/>
      <w:sz w:val="24"/>
      <w:szCs w:val="28"/>
    </w:rPr>
  </w:style>
  <w:style w:type="paragraph" w:customStyle="1" w:styleId="461">
    <w:name w:val="￥正文"/>
    <w:basedOn w:val="1"/>
    <w:link w:val="460"/>
    <w:qFormat/>
    <w:uiPriority w:val="0"/>
    <w:pPr>
      <w:spacing w:after="120" w:line="440" w:lineRule="atLeast"/>
      <w:ind w:firstLine="560" w:firstLineChars="200"/>
    </w:pPr>
    <w:rPr>
      <w:rFonts w:eastAsia="仿宋_GB2312" w:cs="Times New Roman"/>
      <w:szCs w:val="28"/>
    </w:rPr>
  </w:style>
  <w:style w:type="paragraph" w:customStyle="1" w:styleId="462">
    <w:name w:val="0正文"/>
    <w:unhideWhenUsed/>
    <w:qFormat/>
    <w:uiPriority w:val="0"/>
    <w:pPr>
      <w:widowControl w:val="0"/>
      <w:spacing w:line="360" w:lineRule="auto"/>
      <w:ind w:firstLine="720" w:firstLineChars="200"/>
    </w:pPr>
    <w:rPr>
      <w:rFonts w:ascii="Times New Roman" w:hAnsi="Times New Roman" w:eastAsia="宋体" w:cs="Times New Roman"/>
      <w:sz w:val="24"/>
      <w:szCs w:val="22"/>
      <w:lang w:val="en-US" w:eastAsia="zh-CN" w:bidi="ar-SA"/>
    </w:rPr>
  </w:style>
  <w:style w:type="paragraph" w:customStyle="1" w:styleId="463">
    <w:name w:val="8.7正文格式"/>
    <w:basedOn w:val="1"/>
    <w:qFormat/>
    <w:uiPriority w:val="0"/>
    <w:pPr>
      <w:spacing w:line="500" w:lineRule="exact"/>
      <w:ind w:firstLine="560" w:firstLineChars="200"/>
    </w:pPr>
    <w:rPr>
      <w:rFonts w:cs="宋体"/>
      <w:kern w:val="0"/>
    </w:rPr>
  </w:style>
  <w:style w:type="character" w:customStyle="1" w:styleId="464">
    <w:name w:val="font31"/>
    <w:basedOn w:val="60"/>
    <w:qFormat/>
    <w:uiPriority w:val="0"/>
    <w:rPr>
      <w:rFonts w:hint="eastAsia" w:ascii="宋体" w:hAnsi="宋体" w:eastAsia="宋体" w:cs="宋体"/>
      <w:color w:val="000000"/>
      <w:sz w:val="22"/>
      <w:szCs w:val="22"/>
      <w:u w:val="none"/>
    </w:rPr>
  </w:style>
  <w:style w:type="paragraph" w:customStyle="1" w:styleId="465">
    <w:name w:val="中文报告书样式"/>
    <w:basedOn w:val="1"/>
    <w:link w:val="466"/>
    <w:qFormat/>
    <w:uiPriority w:val="0"/>
    <w:pPr>
      <w:adjustRightInd w:val="0"/>
      <w:spacing w:line="480" w:lineRule="atLeast"/>
      <w:ind w:firstLine="482"/>
      <w:textAlignment w:val="baseline"/>
    </w:pPr>
    <w:rPr>
      <w:rFonts w:ascii="Times New Roman" w:hAnsi="Times New Roman" w:cs="Times New Roman"/>
      <w:kern w:val="24"/>
      <w:szCs w:val="20"/>
    </w:rPr>
  </w:style>
  <w:style w:type="character" w:customStyle="1" w:styleId="466">
    <w:name w:val="中文报告书样式 Char1"/>
    <w:link w:val="465"/>
    <w:qFormat/>
    <w:uiPriority w:val="0"/>
    <w:rPr>
      <w:kern w:val="24"/>
      <w:sz w:val="24"/>
    </w:rPr>
  </w:style>
  <w:style w:type="paragraph" w:customStyle="1" w:styleId="467">
    <w:name w:val="报告正文样式"/>
    <w:basedOn w:val="1"/>
    <w:link w:val="468"/>
    <w:qFormat/>
    <w:uiPriority w:val="0"/>
    <w:pPr>
      <w:adjustRightInd w:val="0"/>
      <w:snapToGrid w:val="0"/>
      <w:spacing w:line="440" w:lineRule="exact"/>
      <w:ind w:firstLine="480" w:firstLineChars="200"/>
    </w:pPr>
    <w:rPr>
      <w:rFonts w:ascii="Times New Roman" w:hAnsi="Times New Roman" w:cs="Times New Roman"/>
      <w:szCs w:val="20"/>
    </w:rPr>
  </w:style>
  <w:style w:type="character" w:customStyle="1" w:styleId="468">
    <w:name w:val="报告正文样式 Char"/>
    <w:link w:val="467"/>
    <w:qFormat/>
    <w:uiPriority w:val="0"/>
    <w:rPr>
      <w:sz w:val="24"/>
    </w:rPr>
  </w:style>
  <w:style w:type="character" w:customStyle="1" w:styleId="469">
    <w:name w:val="样式 红色 首行缩进:  2 字符 Char"/>
    <w:link w:val="470"/>
    <w:qFormat/>
    <w:locked/>
    <w:uiPriority w:val="0"/>
    <w:rPr>
      <w:rFonts w:ascii="宋体" w:hAnsi="宋体" w:cs="宋体"/>
      <w:kern w:val="2"/>
      <w:sz w:val="24"/>
    </w:rPr>
  </w:style>
  <w:style w:type="paragraph" w:customStyle="1" w:styleId="470">
    <w:name w:val="样式 红色 首行缩进:  2 字符"/>
    <w:basedOn w:val="1"/>
    <w:link w:val="469"/>
    <w:qFormat/>
    <w:uiPriority w:val="0"/>
    <w:pPr>
      <w:adjustRightInd w:val="0"/>
      <w:snapToGrid w:val="0"/>
      <w:spacing w:line="360" w:lineRule="auto"/>
      <w:ind w:firstLine="480" w:firstLineChars="200"/>
    </w:pPr>
    <w:rPr>
      <w:rFonts w:cs="Times New Roman"/>
      <w:kern w:val="2"/>
      <w:szCs w:val="20"/>
    </w:rPr>
  </w:style>
  <w:style w:type="character" w:customStyle="1" w:styleId="471">
    <w:name w:val="标题 1 Char1"/>
    <w:qFormat/>
    <w:uiPriority w:val="0"/>
    <w:rPr>
      <w:b/>
      <w:bCs/>
      <w:kern w:val="44"/>
      <w:sz w:val="44"/>
      <w:szCs w:val="44"/>
    </w:rPr>
  </w:style>
  <w:style w:type="character" w:customStyle="1" w:styleId="472">
    <w:name w:val="页眉 Char1"/>
    <w:semiHidden/>
    <w:qFormat/>
    <w:uiPriority w:val="0"/>
    <w:rPr>
      <w:kern w:val="2"/>
      <w:sz w:val="18"/>
      <w:szCs w:val="18"/>
    </w:rPr>
  </w:style>
  <w:style w:type="character" w:customStyle="1" w:styleId="473">
    <w:name w:val="正文文本缩进 Char1"/>
    <w:qFormat/>
    <w:uiPriority w:val="0"/>
    <w:rPr>
      <w:kern w:val="2"/>
      <w:sz w:val="28"/>
    </w:rPr>
  </w:style>
  <w:style w:type="character" w:customStyle="1" w:styleId="474">
    <w:name w:val="普通文字 Char Char1"/>
    <w:semiHidden/>
    <w:qFormat/>
    <w:uiPriority w:val="99"/>
    <w:rPr>
      <w:rFonts w:ascii="宋体" w:hAnsi="Courier New" w:cs="Courier New"/>
      <w:kern w:val="2"/>
      <w:sz w:val="21"/>
      <w:szCs w:val="21"/>
    </w:rPr>
  </w:style>
  <w:style w:type="character" w:customStyle="1" w:styleId="475">
    <w:name w:val="批注文字 Char1"/>
    <w:qFormat/>
    <w:uiPriority w:val="99"/>
    <w:rPr>
      <w:kern w:val="2"/>
      <w:sz w:val="28"/>
    </w:rPr>
  </w:style>
  <w:style w:type="character" w:customStyle="1" w:styleId="476">
    <w:name w:val="普通(网站) Char"/>
    <w:semiHidden/>
    <w:qFormat/>
    <w:locked/>
    <w:uiPriority w:val="0"/>
    <w:rPr>
      <w:kern w:val="2"/>
      <w:sz w:val="18"/>
      <w:szCs w:val="18"/>
    </w:rPr>
  </w:style>
  <w:style w:type="paragraph" w:customStyle="1" w:styleId="477">
    <w:name w:val="彩色列表 - 强调文字颜色 11"/>
    <w:basedOn w:val="1"/>
    <w:qFormat/>
    <w:uiPriority w:val="0"/>
    <w:pPr>
      <w:ind w:firstLine="420" w:firstLineChars="200"/>
    </w:pPr>
  </w:style>
  <w:style w:type="character" w:customStyle="1" w:styleId="478">
    <w:name w:val="页脚 Char1"/>
    <w:semiHidden/>
    <w:qFormat/>
    <w:uiPriority w:val="0"/>
    <w:rPr>
      <w:kern w:val="2"/>
      <w:sz w:val="18"/>
      <w:szCs w:val="18"/>
    </w:rPr>
  </w:style>
  <w:style w:type="paragraph" w:customStyle="1" w:styleId="479">
    <w:name w:val="浅色底纹 - 强调文字颜色 21"/>
    <w:basedOn w:val="1"/>
    <w:next w:val="1"/>
    <w:qFormat/>
    <w:uiPriority w:val="0"/>
    <w:pPr>
      <w:pBdr>
        <w:bottom w:val="single" w:color="4F81BD" w:sz="4" w:space="4"/>
      </w:pBdr>
      <w:adjustRightInd w:val="0"/>
      <w:snapToGrid w:val="0"/>
      <w:spacing w:before="200" w:after="280" w:line="480" w:lineRule="exact"/>
      <w:ind w:left="936" w:right="936" w:firstLine="200" w:firstLineChars="200"/>
    </w:pPr>
    <w:rPr>
      <w:b/>
      <w:bCs/>
      <w:i/>
      <w:iCs/>
      <w:color w:val="4F81BD"/>
      <w:sz w:val="24"/>
      <w:szCs w:val="24"/>
    </w:rPr>
  </w:style>
  <w:style w:type="paragraph" w:customStyle="1" w:styleId="480">
    <w:name w:val="彩色列表 - 强调文字颜色 12"/>
    <w:basedOn w:val="1"/>
    <w:qFormat/>
    <w:uiPriority w:val="0"/>
    <w:pPr>
      <w:ind w:firstLine="420" w:firstLineChars="200"/>
    </w:pPr>
    <w:rPr>
      <w:rFonts w:ascii="Calibri" w:hAnsi="Calibri"/>
      <w:sz w:val="21"/>
      <w:szCs w:val="22"/>
    </w:rPr>
  </w:style>
  <w:style w:type="character" w:customStyle="1" w:styleId="481">
    <w:name w:val="表内字 Char1"/>
    <w:link w:val="482"/>
    <w:qFormat/>
    <w:locked/>
    <w:uiPriority w:val="0"/>
    <w:rPr>
      <w:color w:val="000000"/>
      <w:sz w:val="21"/>
      <w:lang w:val="en-US" w:eastAsia="zh-CN" w:bidi="ar-SA"/>
    </w:rPr>
  </w:style>
  <w:style w:type="paragraph" w:customStyle="1" w:styleId="482">
    <w:name w:val="表内字"/>
    <w:link w:val="481"/>
    <w:qFormat/>
    <w:uiPriority w:val="0"/>
    <w:pPr>
      <w:spacing w:line="312" w:lineRule="auto"/>
      <w:jc w:val="center"/>
    </w:pPr>
    <w:rPr>
      <w:rFonts w:ascii="Times New Roman" w:hAnsi="Times New Roman" w:eastAsia="宋体" w:cs="Times New Roman"/>
      <w:color w:val="000000"/>
      <w:sz w:val="21"/>
      <w:lang w:val="en-US" w:eastAsia="zh-CN" w:bidi="ar-SA"/>
    </w:rPr>
  </w:style>
  <w:style w:type="paragraph" w:customStyle="1" w:styleId="483">
    <w:name w:val="a-文本缩2"/>
    <w:qFormat/>
    <w:uiPriority w:val="0"/>
    <w:pPr>
      <w:adjustRightInd w:val="0"/>
      <w:snapToGrid w:val="0"/>
      <w:spacing w:line="360" w:lineRule="auto"/>
      <w:ind w:firstLine="200" w:firstLineChars="200"/>
      <w:jc w:val="both"/>
    </w:pPr>
    <w:rPr>
      <w:rFonts w:ascii="Times New Roman" w:hAnsi="Times New Roman" w:eastAsia="宋体" w:cs="Times New Roman"/>
      <w:color w:val="000000"/>
      <w:kern w:val="2"/>
      <w:sz w:val="24"/>
      <w:szCs w:val="21"/>
      <w:lang w:val="en-US" w:eastAsia="zh-CN" w:bidi="ar-SA"/>
    </w:rPr>
  </w:style>
  <w:style w:type="paragraph" w:customStyle="1" w:styleId="484">
    <w:name w:val="char"/>
    <w:basedOn w:val="1"/>
    <w:qFormat/>
    <w:uiPriority w:val="0"/>
    <w:pPr>
      <w:widowControl/>
      <w:spacing w:after="160" w:line="240" w:lineRule="exact"/>
      <w:jc w:val="left"/>
    </w:pPr>
    <w:rPr>
      <w:rFonts w:ascii="Verdana" w:hAnsi="Verdana" w:eastAsia="仿宋_GB2312"/>
      <w:color w:val="000000"/>
      <w:kern w:val="0"/>
      <w:sz w:val="24"/>
      <w:lang w:eastAsia="en-US"/>
    </w:rPr>
  </w:style>
  <w:style w:type="paragraph" w:customStyle="1" w:styleId="485">
    <w:name w:val="_Style 4"/>
    <w:basedOn w:val="1"/>
    <w:qFormat/>
    <w:uiPriority w:val="0"/>
    <w:pPr>
      <w:tabs>
        <w:tab w:val="left" w:pos="4665"/>
        <w:tab w:val="left" w:pos="8970"/>
      </w:tabs>
      <w:ind w:firstLine="400"/>
    </w:pPr>
    <w:rPr>
      <w:rFonts w:ascii="宋体" w:hAnsi="宋体"/>
      <w:sz w:val="30"/>
      <w:szCs w:val="30"/>
    </w:rPr>
  </w:style>
  <w:style w:type="paragraph" w:customStyle="1" w:styleId="486">
    <w:name w:val="xl60"/>
    <w:basedOn w:val="1"/>
    <w:qFormat/>
    <w:uiPriority w:val="0"/>
    <w:pPr>
      <w:widowControl/>
      <w:pBdr>
        <w:left w:val="single" w:color="auto" w:sz="8" w:space="0"/>
        <w:right w:val="single" w:color="auto" w:sz="4" w:space="0"/>
      </w:pBdr>
      <w:spacing w:before="100" w:beforeAutospacing="1" w:after="100" w:afterAutospacing="1"/>
      <w:jc w:val="center"/>
    </w:pPr>
    <w:rPr>
      <w:kern w:val="0"/>
      <w:sz w:val="24"/>
      <w:szCs w:val="24"/>
    </w:rPr>
  </w:style>
  <w:style w:type="character" w:customStyle="1" w:styleId="487">
    <w:name w:val="标题 7 Char1"/>
    <w:semiHidden/>
    <w:qFormat/>
    <w:uiPriority w:val="0"/>
    <w:rPr>
      <w:b/>
      <w:bCs/>
      <w:kern w:val="2"/>
      <w:sz w:val="24"/>
      <w:szCs w:val="24"/>
    </w:rPr>
  </w:style>
  <w:style w:type="character" w:customStyle="1" w:styleId="488">
    <w:name w:val="标题 8 Char1"/>
    <w:semiHidden/>
    <w:qFormat/>
    <w:uiPriority w:val="0"/>
    <w:rPr>
      <w:rFonts w:ascii="Cambria" w:hAnsi="Cambria" w:eastAsia="宋体" w:cs="Times New Roman"/>
      <w:kern w:val="2"/>
      <w:sz w:val="24"/>
      <w:szCs w:val="24"/>
    </w:rPr>
  </w:style>
  <w:style w:type="character" w:customStyle="1" w:styleId="489">
    <w:name w:val="标题 9 Char1"/>
    <w:semiHidden/>
    <w:qFormat/>
    <w:uiPriority w:val="0"/>
    <w:rPr>
      <w:rFonts w:ascii="Cambria" w:hAnsi="Cambria" w:eastAsia="宋体" w:cs="Times New Roman"/>
      <w:kern w:val="2"/>
      <w:sz w:val="21"/>
      <w:szCs w:val="21"/>
    </w:rPr>
  </w:style>
  <w:style w:type="character" w:customStyle="1" w:styleId="490">
    <w:name w:val="正文文本缩进 3 Char1"/>
    <w:semiHidden/>
    <w:qFormat/>
    <w:uiPriority w:val="0"/>
    <w:rPr>
      <w:kern w:val="2"/>
      <w:sz w:val="16"/>
      <w:szCs w:val="16"/>
    </w:rPr>
  </w:style>
  <w:style w:type="character" w:customStyle="1" w:styleId="491">
    <w:name w:val="日期 Char1"/>
    <w:qFormat/>
    <w:uiPriority w:val="0"/>
    <w:rPr>
      <w:kern w:val="2"/>
      <w:sz w:val="28"/>
    </w:rPr>
  </w:style>
  <w:style w:type="character" w:customStyle="1" w:styleId="492">
    <w:name w:val="正文文本 2 Char1"/>
    <w:semiHidden/>
    <w:qFormat/>
    <w:uiPriority w:val="0"/>
    <w:rPr>
      <w:kern w:val="2"/>
      <w:sz w:val="28"/>
    </w:rPr>
  </w:style>
  <w:style w:type="character" w:customStyle="1" w:styleId="493">
    <w:name w:val="正文文本 3 Char1"/>
    <w:semiHidden/>
    <w:qFormat/>
    <w:uiPriority w:val="0"/>
    <w:rPr>
      <w:kern w:val="2"/>
      <w:sz w:val="16"/>
      <w:szCs w:val="16"/>
    </w:rPr>
  </w:style>
  <w:style w:type="character" w:customStyle="1" w:styleId="494">
    <w:name w:val="文档结构图 Char1"/>
    <w:semiHidden/>
    <w:qFormat/>
    <w:uiPriority w:val="0"/>
    <w:rPr>
      <w:rFonts w:ascii="宋体"/>
      <w:kern w:val="2"/>
      <w:sz w:val="18"/>
      <w:szCs w:val="18"/>
    </w:rPr>
  </w:style>
  <w:style w:type="character" w:customStyle="1" w:styleId="495">
    <w:name w:val="正文首行缩进 Char1"/>
    <w:basedOn w:val="72"/>
    <w:qFormat/>
    <w:uiPriority w:val="0"/>
  </w:style>
  <w:style w:type="character" w:customStyle="1" w:styleId="496">
    <w:name w:val="脚注文本 Char1"/>
    <w:semiHidden/>
    <w:qFormat/>
    <w:uiPriority w:val="0"/>
    <w:rPr>
      <w:kern w:val="2"/>
      <w:sz w:val="18"/>
      <w:szCs w:val="18"/>
    </w:rPr>
  </w:style>
  <w:style w:type="character" w:customStyle="1" w:styleId="497">
    <w:name w:val="副标题 Char1"/>
    <w:qFormat/>
    <w:uiPriority w:val="0"/>
    <w:rPr>
      <w:rFonts w:ascii="Cambria" w:hAnsi="Cambria" w:cs="Times New Roman"/>
      <w:b/>
      <w:bCs/>
      <w:kern w:val="28"/>
      <w:sz w:val="32"/>
      <w:szCs w:val="32"/>
    </w:rPr>
  </w:style>
  <w:style w:type="character" w:customStyle="1" w:styleId="498">
    <w:name w:val="正文首行缩进 2 Char1"/>
    <w:basedOn w:val="473"/>
    <w:semiHidden/>
    <w:qFormat/>
    <w:uiPriority w:val="99"/>
  </w:style>
  <w:style w:type="table" w:customStyle="1" w:styleId="499">
    <w:name w:val="灰度表格1"/>
    <w:basedOn w:val="56"/>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customStyle="1" w:styleId="500">
    <w:name w:val="heading 3"/>
    <w:basedOn w:val="1"/>
    <w:next w:val="1"/>
    <w:qFormat/>
    <w:uiPriority w:val="0"/>
    <w:pPr>
      <w:keepNext/>
      <w:keepLines/>
      <w:spacing w:before="260" w:after="260" w:line="415" w:lineRule="auto"/>
      <w:outlineLvl w:val="2"/>
    </w:pPr>
    <w:rPr>
      <w:b/>
      <w:bCs/>
      <w:sz w:val="32"/>
      <w:szCs w:val="32"/>
    </w:rPr>
  </w:style>
  <w:style w:type="paragraph" w:customStyle="1" w:styleId="501">
    <w:name w:val="样式35"/>
    <w:basedOn w:val="1"/>
    <w:qFormat/>
    <w:uiPriority w:val="0"/>
    <w:pPr>
      <w:adjustRightInd w:val="0"/>
      <w:spacing w:line="312" w:lineRule="auto"/>
      <w:ind w:firstLine="567" w:firstLineChars="200"/>
    </w:pPr>
    <w:rPr>
      <w:rFonts w:ascii="宋体"/>
      <w:kern w:val="0"/>
    </w:rPr>
  </w:style>
  <w:style w:type="character" w:customStyle="1" w:styleId="502">
    <w:name w:val="font121"/>
    <w:basedOn w:val="60"/>
    <w:qFormat/>
    <w:uiPriority w:val="0"/>
    <w:rPr>
      <w:rFonts w:hint="default" w:ascii="Times New Roman" w:hAnsi="Times New Roman" w:cs="Times New Roman"/>
      <w:color w:val="000000"/>
      <w:sz w:val="21"/>
      <w:szCs w:val="21"/>
      <w:u w:val="none"/>
    </w:rPr>
  </w:style>
  <w:style w:type="paragraph" w:customStyle="1" w:styleId="503">
    <w:name w:val="表头，alt+D"/>
    <w:basedOn w:val="1"/>
    <w:link w:val="504"/>
    <w:qFormat/>
    <w:uiPriority w:val="0"/>
    <w:pPr>
      <w:spacing w:before="60" w:after="60" w:line="240" w:lineRule="atLeast"/>
      <w:ind w:left="-113" w:right="-113"/>
      <w:jc w:val="center"/>
      <w:textAlignment w:val="center"/>
    </w:pPr>
    <w:rPr>
      <w:rFonts w:hAnsi="Times New Roman" w:cs="Times New Roman"/>
      <w:color w:val="808000"/>
      <w:kern w:val="2"/>
    </w:rPr>
  </w:style>
  <w:style w:type="character" w:customStyle="1" w:styleId="504">
    <w:name w:val="表头，alt+D Char"/>
    <w:link w:val="503"/>
    <w:qFormat/>
    <w:uiPriority w:val="0"/>
    <w:rPr>
      <w:rFonts w:ascii="宋体"/>
      <w:color w:val="808000"/>
      <w:kern w:val="2"/>
      <w:sz w:val="24"/>
      <w:szCs w:val="24"/>
    </w:rPr>
  </w:style>
  <w:style w:type="paragraph" w:customStyle="1" w:styleId="505">
    <w:name w:val="二章表头"/>
    <w:basedOn w:val="42"/>
    <w:qFormat/>
    <w:uiPriority w:val="0"/>
  </w:style>
  <w:style w:type="paragraph" w:customStyle="1" w:styleId="506">
    <w:name w:val="Re-表中文字"/>
    <w:basedOn w:val="1"/>
    <w:link w:val="507"/>
    <w:qFormat/>
    <w:uiPriority w:val="5"/>
    <w:pPr>
      <w:spacing w:line="340" w:lineRule="exact"/>
      <w:jc w:val="center"/>
      <w:textAlignment w:val="center"/>
    </w:pPr>
    <w:rPr>
      <w:rFonts w:ascii="Times New Roman" w:hAnsi="Times New Roman" w:cs="Times New Roman"/>
      <w:sz w:val="21"/>
      <w:szCs w:val="22"/>
      <w:lang w:eastAsia="en-US"/>
    </w:rPr>
  </w:style>
  <w:style w:type="character" w:customStyle="1" w:styleId="507">
    <w:name w:val="Re-表中文字 Char"/>
    <w:link w:val="506"/>
    <w:qFormat/>
    <w:uiPriority w:val="5"/>
    <w:rPr>
      <w:sz w:val="21"/>
      <w:szCs w:val="22"/>
      <w:lang w:eastAsia="en-US"/>
    </w:rPr>
  </w:style>
  <w:style w:type="character" w:customStyle="1" w:styleId="508">
    <w:name w:val="标题 1 字符"/>
    <w:qFormat/>
    <w:uiPriority w:val="0"/>
    <w:rPr>
      <w:b/>
      <w:color w:val="000000"/>
      <w:kern w:val="44"/>
      <w:sz w:val="30"/>
    </w:rPr>
  </w:style>
  <w:style w:type="character" w:customStyle="1" w:styleId="509">
    <w:name w:val="标题 2 字符"/>
    <w:qFormat/>
    <w:uiPriority w:val="0"/>
    <w:rPr>
      <w:b/>
      <w:kern w:val="2"/>
      <w:sz w:val="28"/>
    </w:rPr>
  </w:style>
  <w:style w:type="character" w:customStyle="1" w:styleId="510">
    <w:name w:val="标题 3 字符"/>
    <w:qFormat/>
    <w:uiPriority w:val="0"/>
    <w:rPr>
      <w:b/>
      <w:kern w:val="2"/>
      <w:sz w:val="24"/>
    </w:rPr>
  </w:style>
  <w:style w:type="character" w:customStyle="1" w:styleId="511">
    <w:name w:val="标题 5 字符"/>
    <w:qFormat/>
    <w:uiPriority w:val="0"/>
    <w:rPr>
      <w:sz w:val="24"/>
    </w:rPr>
  </w:style>
  <w:style w:type="character" w:customStyle="1" w:styleId="512">
    <w:name w:val="标题 6 字符"/>
    <w:qFormat/>
    <w:uiPriority w:val="0"/>
    <w:rPr>
      <w:rFonts w:ascii="Arial" w:hAnsi="Arial" w:eastAsia="黑体"/>
    </w:rPr>
  </w:style>
  <w:style w:type="character" w:customStyle="1" w:styleId="513">
    <w:name w:val="标题 7 字符"/>
    <w:qFormat/>
    <w:uiPriority w:val="0"/>
    <w:rPr>
      <w:b/>
      <w:bCs/>
    </w:rPr>
  </w:style>
  <w:style w:type="character" w:customStyle="1" w:styleId="514">
    <w:name w:val="标题 8 字符"/>
    <w:qFormat/>
    <w:uiPriority w:val="0"/>
    <w:rPr>
      <w:rFonts w:ascii="Arial" w:hAnsi="Arial" w:eastAsia="黑体"/>
    </w:rPr>
  </w:style>
  <w:style w:type="character" w:customStyle="1" w:styleId="515">
    <w:name w:val="标题 9 字符"/>
    <w:qFormat/>
    <w:uiPriority w:val="0"/>
    <w:rPr>
      <w:rFonts w:ascii="Arial" w:hAnsi="Arial" w:eastAsia="黑体"/>
      <w:sz w:val="24"/>
    </w:rPr>
  </w:style>
  <w:style w:type="paragraph" w:customStyle="1" w:styleId="516">
    <w:name w:val="Re-正文"/>
    <w:basedOn w:val="1"/>
    <w:link w:val="517"/>
    <w:qFormat/>
    <w:uiPriority w:val="3"/>
    <w:pPr>
      <w:spacing w:line="360" w:lineRule="auto"/>
      <w:ind w:firstLine="200" w:firstLineChars="200"/>
    </w:pPr>
    <w:rPr>
      <w:rFonts w:ascii="Times New Roman" w:hAnsi="Times New Roman" w:cs="Times New Roman"/>
    </w:rPr>
  </w:style>
  <w:style w:type="character" w:customStyle="1" w:styleId="517">
    <w:name w:val="Re-正文 Char"/>
    <w:link w:val="516"/>
    <w:qFormat/>
    <w:uiPriority w:val="3"/>
    <w:rPr>
      <w:sz w:val="24"/>
      <w:szCs w:val="24"/>
    </w:rPr>
  </w:style>
  <w:style w:type="character" w:customStyle="1" w:styleId="518">
    <w:name w:val="页眉 字符"/>
    <w:qFormat/>
    <w:uiPriority w:val="0"/>
    <w:rPr>
      <w:kern w:val="2"/>
      <w:sz w:val="18"/>
      <w:szCs w:val="18"/>
    </w:rPr>
  </w:style>
  <w:style w:type="character" w:customStyle="1" w:styleId="519">
    <w:name w:val="页脚 字符"/>
    <w:qFormat/>
    <w:uiPriority w:val="99"/>
    <w:rPr>
      <w:kern w:val="2"/>
      <w:sz w:val="18"/>
      <w:szCs w:val="18"/>
    </w:rPr>
  </w:style>
  <w:style w:type="paragraph" w:customStyle="1" w:styleId="520">
    <w:name w:val="标题1-wyt"/>
    <w:basedOn w:val="1"/>
    <w:link w:val="521"/>
    <w:qFormat/>
    <w:uiPriority w:val="0"/>
    <w:pPr>
      <w:keepNext/>
      <w:keepLines/>
      <w:numPr>
        <w:ilvl w:val="0"/>
        <w:numId w:val="18"/>
      </w:numPr>
      <w:adjustRightInd w:val="0"/>
      <w:spacing w:before="120" w:after="120" w:line="360" w:lineRule="auto"/>
      <w:jc w:val="center"/>
      <w:outlineLvl w:val="0"/>
    </w:pPr>
    <w:rPr>
      <w:rFonts w:cs="Times New Roman"/>
      <w:b/>
      <w:kern w:val="44"/>
      <w:sz w:val="30"/>
    </w:rPr>
  </w:style>
  <w:style w:type="character" w:customStyle="1" w:styleId="521">
    <w:name w:val="标题1-wyt Char"/>
    <w:link w:val="520"/>
    <w:qFormat/>
    <w:uiPriority w:val="0"/>
    <w:rPr>
      <w:rFonts w:ascii="宋体" w:hAnsi="宋体" w:cs="宋体"/>
      <w:b/>
      <w:kern w:val="44"/>
      <w:sz w:val="30"/>
      <w:szCs w:val="24"/>
    </w:rPr>
  </w:style>
  <w:style w:type="paragraph" w:customStyle="1" w:styleId="522">
    <w:name w:val="标题2-wyt"/>
    <w:basedOn w:val="1"/>
    <w:link w:val="523"/>
    <w:qFormat/>
    <w:uiPriority w:val="0"/>
    <w:pPr>
      <w:keepNext/>
      <w:keepLines/>
      <w:numPr>
        <w:ilvl w:val="1"/>
        <w:numId w:val="18"/>
      </w:numPr>
      <w:tabs>
        <w:tab w:val="left" w:pos="720"/>
      </w:tabs>
      <w:adjustRightInd w:val="0"/>
      <w:spacing w:before="50" w:beforeLines="50" w:line="360" w:lineRule="auto"/>
      <w:ind w:left="0" w:hanging="403" w:hangingChars="168"/>
      <w:outlineLvl w:val="1"/>
    </w:pPr>
    <w:rPr>
      <w:rFonts w:cs="Times New Roman"/>
      <w:b/>
      <w:spacing w:val="1"/>
    </w:rPr>
  </w:style>
  <w:style w:type="character" w:customStyle="1" w:styleId="523">
    <w:name w:val="标题2-wyt Char"/>
    <w:link w:val="522"/>
    <w:qFormat/>
    <w:uiPriority w:val="0"/>
    <w:rPr>
      <w:rFonts w:ascii="宋体" w:hAnsi="宋体" w:cs="宋体"/>
      <w:b/>
      <w:spacing w:val="1"/>
      <w:sz w:val="24"/>
      <w:szCs w:val="24"/>
    </w:rPr>
  </w:style>
  <w:style w:type="paragraph" w:customStyle="1" w:styleId="524">
    <w:name w:val="标题3-wyt"/>
    <w:basedOn w:val="1"/>
    <w:link w:val="525"/>
    <w:qFormat/>
    <w:uiPriority w:val="0"/>
    <w:pPr>
      <w:keepNext/>
      <w:keepLines/>
      <w:numPr>
        <w:ilvl w:val="2"/>
        <w:numId w:val="18"/>
      </w:numPr>
      <w:adjustRightInd w:val="0"/>
      <w:spacing w:before="163" w:line="520" w:lineRule="exact"/>
      <w:ind w:left="0" w:firstLine="0"/>
      <w:outlineLvl w:val="2"/>
    </w:pPr>
    <w:rPr>
      <w:rFonts w:cs="Times New Roman"/>
      <w:b/>
    </w:rPr>
  </w:style>
  <w:style w:type="character" w:customStyle="1" w:styleId="525">
    <w:name w:val="标题3-wyt Char"/>
    <w:link w:val="524"/>
    <w:qFormat/>
    <w:uiPriority w:val="0"/>
    <w:rPr>
      <w:rFonts w:ascii="宋体" w:hAnsi="宋体" w:cs="宋体"/>
      <w:b/>
      <w:sz w:val="24"/>
      <w:szCs w:val="24"/>
    </w:rPr>
  </w:style>
  <w:style w:type="paragraph" w:customStyle="1" w:styleId="526">
    <w:name w:val="标题4-wyt"/>
    <w:basedOn w:val="1"/>
    <w:link w:val="527"/>
    <w:qFormat/>
    <w:uiPriority w:val="0"/>
    <w:pPr>
      <w:keepNext/>
      <w:keepLines/>
      <w:numPr>
        <w:ilvl w:val="3"/>
        <w:numId w:val="18"/>
      </w:numPr>
      <w:tabs>
        <w:tab w:val="left" w:pos="840"/>
      </w:tabs>
      <w:autoSpaceDE w:val="0"/>
      <w:autoSpaceDN w:val="0"/>
      <w:adjustRightInd w:val="0"/>
      <w:snapToGrid w:val="0"/>
      <w:spacing w:line="520" w:lineRule="exact"/>
      <w:ind w:left="0" w:firstLine="0"/>
      <w:outlineLvl w:val="3"/>
    </w:pPr>
    <w:rPr>
      <w:rFonts w:ascii="黑体" w:hAnsi="黑体" w:eastAsia="黑体" w:cs="Times New Roman"/>
    </w:rPr>
  </w:style>
  <w:style w:type="character" w:customStyle="1" w:styleId="527">
    <w:name w:val="标题4-wyt Char"/>
    <w:link w:val="526"/>
    <w:qFormat/>
    <w:uiPriority w:val="0"/>
    <w:rPr>
      <w:rFonts w:ascii="黑体" w:hAnsi="黑体" w:eastAsia="黑体" w:cs="宋体"/>
      <w:sz w:val="24"/>
      <w:szCs w:val="24"/>
    </w:rPr>
  </w:style>
  <w:style w:type="table" w:customStyle="1" w:styleId="528">
    <w:name w:val="样式1-wyt"/>
    <w:basedOn w:val="56"/>
    <w:qFormat/>
    <w:uiPriority w:val="99"/>
    <w:pPr>
      <w:spacing w:line="300" w:lineRule="exact"/>
      <w:jc w:val="center"/>
    </w:pPr>
    <w:rPr>
      <w:sz w:val="21"/>
    </w:rPr>
    <w:tblPr>
      <w:jc w:val="center"/>
      <w:tblBorders>
        <w:top w:val="single" w:color="auto" w:sz="12" w:space="0"/>
        <w:bottom w:val="single" w:color="auto" w:sz="12" w:space="0"/>
        <w:insideH w:val="single" w:color="auto" w:sz="4" w:space="0"/>
        <w:insideV w:val="single" w:color="auto" w:sz="4" w:space="0"/>
      </w:tblBorders>
    </w:tblPr>
    <w:trPr>
      <w:jc w:val="center"/>
    </w:trPr>
    <w:tcPr>
      <w:vAlign w:val="center"/>
    </w:tcPr>
  </w:style>
  <w:style w:type="paragraph" w:customStyle="1" w:styleId="529">
    <w:name w:val="Re-四级标题"/>
    <w:basedOn w:val="1"/>
    <w:link w:val="530"/>
    <w:qFormat/>
    <w:uiPriority w:val="3"/>
    <w:pPr>
      <w:spacing w:line="360" w:lineRule="auto"/>
      <w:jc w:val="left"/>
    </w:pPr>
    <w:rPr>
      <w:rFonts w:ascii="Times New Roman" w:hAnsi="Times New Roman" w:cs="Times New Roman"/>
      <w:b/>
      <w:szCs w:val="22"/>
      <w:lang w:eastAsia="en-US"/>
    </w:rPr>
  </w:style>
  <w:style w:type="character" w:customStyle="1" w:styleId="530">
    <w:name w:val="Re-四级标题 Char"/>
    <w:link w:val="529"/>
    <w:qFormat/>
    <w:uiPriority w:val="3"/>
    <w:rPr>
      <w:b/>
      <w:sz w:val="24"/>
      <w:szCs w:val="22"/>
      <w:lang w:eastAsia="en-US"/>
    </w:rPr>
  </w:style>
  <w:style w:type="character" w:customStyle="1" w:styleId="531">
    <w:name w:val="新正文 Char"/>
    <w:link w:val="532"/>
    <w:qFormat/>
    <w:uiPriority w:val="0"/>
    <w:rPr>
      <w:sz w:val="24"/>
      <w:szCs w:val="24"/>
    </w:rPr>
  </w:style>
  <w:style w:type="paragraph" w:customStyle="1" w:styleId="532">
    <w:name w:val="新正文"/>
    <w:basedOn w:val="1"/>
    <w:link w:val="531"/>
    <w:qFormat/>
    <w:uiPriority w:val="0"/>
    <w:pPr>
      <w:spacing w:before="20" w:beforeLines="20" w:after="20" w:afterLines="20" w:line="360" w:lineRule="auto"/>
      <w:ind w:firstLine="200" w:firstLineChars="200"/>
    </w:pPr>
    <w:rPr>
      <w:rFonts w:ascii="Times New Roman" w:hAnsi="Times New Roman" w:cs="Times New Roman"/>
    </w:rPr>
  </w:style>
  <w:style w:type="paragraph" w:customStyle="1" w:styleId="533">
    <w:name w:val="Re-表头"/>
    <w:basedOn w:val="1"/>
    <w:link w:val="534"/>
    <w:qFormat/>
    <w:uiPriority w:val="4"/>
    <w:pPr>
      <w:jc w:val="center"/>
    </w:pPr>
    <w:rPr>
      <w:rFonts w:ascii="Times New Roman" w:hAnsi="Times New Roman" w:cs="Times New Roman"/>
      <w:szCs w:val="22"/>
      <w:lang w:eastAsia="en-US"/>
    </w:rPr>
  </w:style>
  <w:style w:type="character" w:customStyle="1" w:styleId="534">
    <w:name w:val="Re-表头 Char"/>
    <w:link w:val="533"/>
    <w:qFormat/>
    <w:uiPriority w:val="4"/>
    <w:rPr>
      <w:sz w:val="24"/>
      <w:szCs w:val="22"/>
      <w:lang w:eastAsia="en-US"/>
    </w:rPr>
  </w:style>
  <w:style w:type="character" w:customStyle="1" w:styleId="535">
    <w:name w:val="正文文本缩进 2 字符"/>
    <w:qFormat/>
    <w:uiPriority w:val="0"/>
    <w:rPr>
      <w:kern w:val="2"/>
      <w:sz w:val="21"/>
    </w:rPr>
  </w:style>
  <w:style w:type="character" w:customStyle="1" w:styleId="536">
    <w:name w:val="纯文本 字符"/>
    <w:qFormat/>
    <w:uiPriority w:val="99"/>
    <w:rPr>
      <w:rFonts w:ascii="ˎ̥" w:hAnsi="ˎ̥"/>
      <w:sz w:val="18"/>
      <w:szCs w:val="18"/>
    </w:rPr>
  </w:style>
  <w:style w:type="character" w:customStyle="1" w:styleId="537">
    <w:name w:val="批注文字 字符"/>
    <w:qFormat/>
    <w:uiPriority w:val="99"/>
    <w:rPr>
      <w:kern w:val="2"/>
      <w:sz w:val="21"/>
    </w:rPr>
  </w:style>
  <w:style w:type="character" w:customStyle="1" w:styleId="538">
    <w:name w:val="正文文本 字符"/>
    <w:qFormat/>
    <w:uiPriority w:val="0"/>
    <w:rPr>
      <w:rFonts w:ascii="楷体_GB2312" w:eastAsia="楷体_GB2312"/>
      <w:color w:val="000000"/>
      <w:sz w:val="24"/>
      <w:szCs w:val="21"/>
    </w:rPr>
  </w:style>
  <w:style w:type="character" w:customStyle="1" w:styleId="539">
    <w:name w:val="正文首行缩进 字符"/>
    <w:qFormat/>
    <w:uiPriority w:val="0"/>
    <w:rPr>
      <w:rFonts w:ascii="楷体_GB2312" w:eastAsia="楷体_GB2312"/>
      <w:color w:val="000000"/>
      <w:sz w:val="24"/>
      <w:szCs w:val="21"/>
    </w:rPr>
  </w:style>
  <w:style w:type="character" w:customStyle="1" w:styleId="540">
    <w:name w:val="文档结构图 字符"/>
    <w:qFormat/>
    <w:uiPriority w:val="0"/>
    <w:rPr>
      <w:kern w:val="2"/>
      <w:sz w:val="21"/>
      <w:shd w:val="clear" w:color="auto" w:fill="000080"/>
    </w:rPr>
  </w:style>
  <w:style w:type="character" w:customStyle="1" w:styleId="541">
    <w:name w:val="font21"/>
    <w:basedOn w:val="60"/>
    <w:qFormat/>
    <w:uiPriority w:val="0"/>
    <w:rPr>
      <w:rFonts w:hint="default" w:ascii="Times New Roman" w:hAnsi="Times New Roman" w:cs="Times New Roman"/>
      <w:color w:val="000000"/>
      <w:sz w:val="18"/>
      <w:szCs w:val="18"/>
      <w:u w:val="none"/>
    </w:rPr>
  </w:style>
  <w:style w:type="character" w:customStyle="1" w:styleId="542">
    <w:name w:val="font41"/>
    <w:basedOn w:val="60"/>
    <w:qFormat/>
    <w:uiPriority w:val="0"/>
    <w:rPr>
      <w:rFonts w:hint="eastAsia" w:ascii="宋体" w:hAnsi="宋体" w:eastAsia="宋体" w:cs="宋体"/>
      <w:color w:val="000000"/>
      <w:sz w:val="18"/>
      <w:szCs w:val="18"/>
      <w:u w:val="none"/>
    </w:rPr>
  </w:style>
  <w:style w:type="character" w:customStyle="1" w:styleId="543">
    <w:name w:val="font01"/>
    <w:basedOn w:val="60"/>
    <w:qFormat/>
    <w:uiPriority w:val="0"/>
    <w:rPr>
      <w:rFonts w:hint="eastAsia" w:ascii="宋体" w:hAnsi="宋体" w:eastAsia="宋体" w:cs="宋体"/>
      <w:color w:val="000000"/>
      <w:sz w:val="18"/>
      <w:szCs w:val="18"/>
      <w:u w:val="none"/>
    </w:rPr>
  </w:style>
  <w:style w:type="paragraph" w:customStyle="1" w:styleId="544">
    <w:name w:val="wyt-标题3"/>
    <w:basedOn w:val="7"/>
    <w:link w:val="545"/>
    <w:qFormat/>
    <w:uiPriority w:val="0"/>
    <w:pPr>
      <w:keepNext w:val="0"/>
      <w:tabs>
        <w:tab w:val="clear" w:pos="658"/>
      </w:tabs>
      <w:adjustRightInd w:val="0"/>
      <w:snapToGrid w:val="0"/>
      <w:spacing w:before="120" w:beforeLines="50" w:line="520" w:lineRule="exact"/>
      <w:jc w:val="left"/>
    </w:pPr>
    <w:rPr>
      <w:kern w:val="2"/>
      <w:szCs w:val="20"/>
    </w:rPr>
  </w:style>
  <w:style w:type="character" w:customStyle="1" w:styleId="545">
    <w:name w:val="wyt-标题3 Char"/>
    <w:link w:val="544"/>
    <w:qFormat/>
    <w:uiPriority w:val="0"/>
    <w:rPr>
      <w:b/>
      <w:kern w:val="2"/>
      <w:sz w:val="24"/>
    </w:rPr>
  </w:style>
  <w:style w:type="character" w:customStyle="1" w:styleId="546">
    <w:name w:val="正文文本缩进 字符"/>
    <w:qFormat/>
    <w:uiPriority w:val="0"/>
    <w:rPr>
      <w:kern w:val="2"/>
      <w:sz w:val="24"/>
    </w:rPr>
  </w:style>
  <w:style w:type="paragraph" w:customStyle="1" w:styleId="547">
    <w:name w:val="图标"/>
    <w:basedOn w:val="1"/>
    <w:qFormat/>
    <w:uiPriority w:val="0"/>
    <w:pPr>
      <w:adjustRightInd w:val="0"/>
      <w:snapToGrid w:val="0"/>
      <w:spacing w:line="520" w:lineRule="exact"/>
      <w:ind w:firstLine="480" w:firstLineChars="200"/>
      <w:jc w:val="center"/>
    </w:pPr>
    <w:rPr>
      <w:rFonts w:eastAsia="黑体"/>
      <w:sz w:val="24"/>
    </w:rPr>
  </w:style>
  <w:style w:type="paragraph" w:customStyle="1" w:styleId="548">
    <w:name w:val="表中正文"/>
    <w:basedOn w:val="1"/>
    <w:qFormat/>
    <w:uiPriority w:val="0"/>
    <w:pPr>
      <w:adjustRightInd w:val="0"/>
      <w:snapToGrid w:val="0"/>
      <w:spacing w:line="400" w:lineRule="exact"/>
      <w:ind w:firstLine="200" w:firstLineChars="200"/>
      <w:jc w:val="center"/>
    </w:pPr>
    <w:rPr>
      <w:rFonts w:ascii="宋体" w:hAnsi="宋体"/>
      <w:spacing w:val="-8"/>
      <w:sz w:val="24"/>
      <w:szCs w:val="24"/>
    </w:rPr>
  </w:style>
  <w:style w:type="paragraph" w:customStyle="1" w:styleId="549">
    <w:name w:val="表文"/>
    <w:basedOn w:val="112"/>
    <w:qFormat/>
    <w:uiPriority w:val="0"/>
    <w:pPr>
      <w:widowControl w:val="0"/>
      <w:spacing w:before="20" w:beforeLines="20" w:after="20" w:afterLines="20" w:line="280" w:lineRule="exact"/>
      <w:ind w:firstLineChars="200"/>
    </w:pPr>
    <w:rPr>
      <w:rFonts w:ascii="黑体" w:hAnsi="宋体" w:eastAsia="宋体"/>
    </w:rPr>
  </w:style>
  <w:style w:type="paragraph" w:customStyle="1" w:styleId="550">
    <w:name w:val="首行缩进1"/>
    <w:basedOn w:val="1"/>
    <w:qFormat/>
    <w:uiPriority w:val="0"/>
    <w:pPr>
      <w:tabs>
        <w:tab w:val="left" w:pos="3600"/>
      </w:tabs>
      <w:adjustRightInd w:val="0"/>
      <w:snapToGrid w:val="0"/>
      <w:spacing w:line="480" w:lineRule="exact"/>
      <w:ind w:firstLine="584" w:firstLineChars="200"/>
    </w:pPr>
    <w:rPr>
      <w:rFonts w:ascii="宋体"/>
      <w:spacing w:val="6"/>
    </w:rPr>
  </w:style>
  <w:style w:type="paragraph" w:customStyle="1" w:styleId="551">
    <w:name w:val="表正文"/>
    <w:basedOn w:val="1"/>
    <w:qFormat/>
    <w:uiPriority w:val="0"/>
    <w:pPr>
      <w:adjustRightInd w:val="0"/>
      <w:snapToGrid w:val="0"/>
      <w:spacing w:before="50" w:beforeLines="50" w:after="50" w:afterLines="50" w:line="240" w:lineRule="exact"/>
      <w:ind w:firstLine="200" w:firstLineChars="200"/>
      <w:jc w:val="center"/>
    </w:pPr>
    <w:rPr>
      <w:sz w:val="24"/>
      <w:szCs w:val="24"/>
    </w:rPr>
  </w:style>
  <w:style w:type="paragraph" w:customStyle="1" w:styleId="552">
    <w:name w:val="表中正文居中"/>
    <w:qFormat/>
    <w:uiPriority w:val="0"/>
    <w:pPr>
      <w:spacing w:before="120" w:after="120" w:line="240" w:lineRule="atLeast"/>
      <w:jc w:val="center"/>
    </w:pPr>
    <w:rPr>
      <w:rFonts w:ascii="宋体" w:hAnsi="Times New Roman" w:eastAsia="宋体" w:cs="Times New Roman"/>
      <w:kern w:val="2"/>
      <w:sz w:val="21"/>
      <w:lang w:val="en-US" w:eastAsia="zh-CN" w:bidi="ar-SA"/>
    </w:rPr>
  </w:style>
  <w:style w:type="paragraph" w:customStyle="1" w:styleId="553">
    <w:name w:val="Char Char Char Char Char Char Char"/>
    <w:basedOn w:val="1"/>
    <w:qFormat/>
    <w:uiPriority w:val="0"/>
    <w:pPr>
      <w:ind w:firstLine="200" w:firstLineChars="200"/>
    </w:pPr>
    <w:rPr>
      <w:sz w:val="21"/>
      <w:szCs w:val="24"/>
    </w:rPr>
  </w:style>
  <w:style w:type="paragraph" w:customStyle="1" w:styleId="554">
    <w:name w:val="默认段落字体 Para Char Char Char1 Char Char Char Char"/>
    <w:basedOn w:val="1"/>
    <w:semiHidden/>
    <w:qFormat/>
    <w:locked/>
    <w:uiPriority w:val="0"/>
    <w:pPr>
      <w:spacing w:line="360" w:lineRule="auto"/>
    </w:pPr>
    <w:rPr>
      <w:rFonts w:ascii="宋体"/>
      <w:sz w:val="24"/>
      <w:szCs w:val="24"/>
    </w:rPr>
  </w:style>
  <w:style w:type="paragraph" w:customStyle="1" w:styleId="555">
    <w:name w:val="Char Char Char Char Char Char1 Char Char Char Char Char Char Char"/>
    <w:basedOn w:val="1"/>
    <w:qFormat/>
    <w:uiPriority w:val="0"/>
    <w:rPr>
      <w:rFonts w:ascii="Tahoma" w:hAnsi="Tahoma"/>
      <w:sz w:val="24"/>
    </w:rPr>
  </w:style>
  <w:style w:type="character" w:customStyle="1" w:styleId="556">
    <w:name w:val="正文缩进 字符"/>
    <w:qFormat/>
    <w:uiPriority w:val="0"/>
    <w:rPr>
      <w:kern w:val="2"/>
      <w:sz w:val="28"/>
      <w:szCs w:val="24"/>
    </w:rPr>
  </w:style>
  <w:style w:type="character" w:customStyle="1" w:styleId="557">
    <w:name w:val="正文文本 2 字符"/>
    <w:qFormat/>
    <w:uiPriority w:val="0"/>
    <w:rPr>
      <w:kern w:val="2"/>
      <w:sz w:val="24"/>
    </w:rPr>
  </w:style>
  <w:style w:type="character" w:customStyle="1" w:styleId="558">
    <w:name w:val="首行缩进2字符 Char Char"/>
    <w:link w:val="559"/>
    <w:qFormat/>
    <w:uiPriority w:val="0"/>
    <w:rPr>
      <w:rFonts w:ascii="宋体"/>
      <w:snapToGrid/>
      <w:sz w:val="24"/>
      <w:szCs w:val="24"/>
    </w:rPr>
  </w:style>
  <w:style w:type="paragraph" w:customStyle="1" w:styleId="559">
    <w:name w:val="首行缩进2字符"/>
    <w:basedOn w:val="1"/>
    <w:link w:val="558"/>
    <w:qFormat/>
    <w:uiPriority w:val="0"/>
    <w:pPr>
      <w:keepNext/>
      <w:snapToGrid w:val="0"/>
      <w:spacing w:line="360" w:lineRule="auto"/>
      <w:ind w:firstLine="480" w:firstLineChars="200"/>
    </w:pPr>
    <w:rPr>
      <w:rFonts w:hAnsi="Times New Roman" w:cs="Times New Roman"/>
      <w:snapToGrid w:val="0"/>
    </w:rPr>
  </w:style>
  <w:style w:type="paragraph" w:customStyle="1" w:styleId="560">
    <w:name w:val="Char Char Char Char Char Char Char Char"/>
    <w:basedOn w:val="1"/>
    <w:semiHidden/>
    <w:qFormat/>
    <w:uiPriority w:val="0"/>
    <w:pPr>
      <w:widowControl/>
      <w:spacing w:after="160" w:line="240" w:lineRule="exact"/>
      <w:jc w:val="left"/>
    </w:pPr>
    <w:rPr>
      <w:rFonts w:ascii="Verdana" w:hAnsi="Verdana"/>
      <w:kern w:val="0"/>
      <w:sz w:val="20"/>
      <w:lang w:eastAsia="en-US"/>
    </w:rPr>
  </w:style>
  <w:style w:type="character" w:customStyle="1" w:styleId="561">
    <w:name w:val="批注框文本 字符"/>
    <w:qFormat/>
    <w:uiPriority w:val="0"/>
    <w:rPr>
      <w:kern w:val="2"/>
      <w:sz w:val="18"/>
      <w:szCs w:val="18"/>
    </w:rPr>
  </w:style>
  <w:style w:type="paragraph" w:customStyle="1" w:styleId="562">
    <w:name w:val="Char Char Char Char Char Char"/>
    <w:basedOn w:val="1"/>
    <w:qFormat/>
    <w:uiPriority w:val="0"/>
    <w:rPr>
      <w:sz w:val="24"/>
      <w:szCs w:val="24"/>
    </w:rPr>
  </w:style>
  <w:style w:type="character" w:customStyle="1" w:styleId="563">
    <w:name w:val="正文首行缩进 2 字符"/>
    <w:qFormat/>
    <w:uiPriority w:val="0"/>
    <w:rPr>
      <w:kern w:val="2"/>
      <w:sz w:val="24"/>
    </w:rPr>
  </w:style>
  <w:style w:type="paragraph" w:customStyle="1" w:styleId="564">
    <w:name w:val="wyt-标题1"/>
    <w:basedOn w:val="5"/>
    <w:link w:val="565"/>
    <w:qFormat/>
    <w:uiPriority w:val="0"/>
    <w:pPr>
      <w:adjustRightInd w:val="0"/>
      <w:snapToGrid w:val="0"/>
      <w:spacing w:before="120" w:after="120" w:line="480" w:lineRule="exact"/>
      <w:jc w:val="center"/>
    </w:pPr>
    <w:rPr>
      <w:rFonts w:ascii="Times New Roman" w:hAnsi="Times New Roman" w:eastAsia="黑体" w:cs="Times New Roman"/>
      <w:b w:val="0"/>
      <w:bCs w:val="0"/>
      <w:color w:val="000000"/>
      <w:sz w:val="30"/>
      <w:szCs w:val="20"/>
    </w:rPr>
  </w:style>
  <w:style w:type="character" w:customStyle="1" w:styleId="565">
    <w:name w:val="wyt-标题1 Char"/>
    <w:link w:val="564"/>
    <w:qFormat/>
    <w:uiPriority w:val="0"/>
    <w:rPr>
      <w:rFonts w:eastAsia="黑体"/>
      <w:color w:val="000000"/>
      <w:kern w:val="44"/>
      <w:sz w:val="30"/>
    </w:rPr>
  </w:style>
  <w:style w:type="character" w:customStyle="1" w:styleId="566">
    <w:name w:val="标题 字符"/>
    <w:qFormat/>
    <w:uiPriority w:val="0"/>
    <w:rPr>
      <w:rFonts w:ascii="Cambria" w:hAnsi="Cambria"/>
      <w:b/>
      <w:bCs/>
      <w:kern w:val="2"/>
      <w:sz w:val="32"/>
      <w:szCs w:val="32"/>
    </w:rPr>
  </w:style>
  <w:style w:type="table" w:customStyle="1" w:styleId="567">
    <w:name w:val="wyt-表格"/>
    <w:basedOn w:val="56"/>
    <w:qFormat/>
    <w:uiPriority w:val="0"/>
    <w:pPr>
      <w:spacing w:line="300" w:lineRule="exact"/>
    </w:pPr>
    <w:rPr>
      <w:sz w:val="21"/>
    </w:rPr>
    <w:tblPr>
      <w:tblBorders>
        <w:top w:val="single" w:color="auto" w:sz="12" w:space="0"/>
        <w:bottom w:val="single" w:color="auto" w:sz="12" w:space="0"/>
        <w:insideH w:val="single" w:color="auto" w:sz="2" w:space="0"/>
        <w:insideV w:val="single" w:color="auto" w:sz="2" w:space="0"/>
      </w:tblBorders>
    </w:tblPr>
  </w:style>
  <w:style w:type="character" w:customStyle="1" w:styleId="568">
    <w:name w:val="正文文本缩进 3 字符"/>
    <w:qFormat/>
    <w:uiPriority w:val="0"/>
    <w:rPr>
      <w:kern w:val="2"/>
      <w:sz w:val="16"/>
      <w:szCs w:val="16"/>
    </w:rPr>
  </w:style>
  <w:style w:type="paragraph" w:customStyle="1" w:styleId="569">
    <w:name w:val="p0"/>
    <w:basedOn w:val="1"/>
    <w:qFormat/>
    <w:uiPriority w:val="0"/>
    <w:pPr>
      <w:widowControl/>
    </w:pPr>
    <w:rPr>
      <w:kern w:val="0"/>
      <w:sz w:val="21"/>
      <w:szCs w:val="21"/>
    </w:rPr>
  </w:style>
  <w:style w:type="character" w:customStyle="1" w:styleId="570">
    <w:name w:val="日期 字符"/>
    <w:qFormat/>
    <w:uiPriority w:val="0"/>
    <w:rPr>
      <w:kern w:val="2"/>
      <w:sz w:val="24"/>
    </w:rPr>
  </w:style>
  <w:style w:type="character" w:customStyle="1" w:styleId="571">
    <w:name w:val="样式 报告正文 + 首行缩进:  2 字符 Char Char"/>
    <w:link w:val="572"/>
    <w:qFormat/>
    <w:uiPriority w:val="0"/>
    <w:rPr>
      <w:rFonts w:cs="宋体"/>
      <w:sz w:val="24"/>
      <w:szCs w:val="24"/>
    </w:rPr>
  </w:style>
  <w:style w:type="paragraph" w:customStyle="1" w:styleId="572">
    <w:name w:val="样式 报告正文 + 首行缩进:  2 字符"/>
    <w:basedOn w:val="129"/>
    <w:link w:val="571"/>
    <w:qFormat/>
    <w:uiPriority w:val="0"/>
    <w:pPr>
      <w:spacing w:line="400" w:lineRule="exact"/>
      <w:ind w:firstLine="480"/>
    </w:pPr>
    <w:rPr>
      <w:rFonts w:ascii="Times New Roman" w:hAnsi="Times New Roman" w:cs="Times New Roman"/>
    </w:rPr>
  </w:style>
  <w:style w:type="paragraph" w:customStyle="1" w:styleId="573">
    <w:name w:val="第七章表"/>
    <w:basedOn w:val="1"/>
    <w:qFormat/>
    <w:uiPriority w:val="0"/>
    <w:pPr>
      <w:adjustRightInd w:val="0"/>
      <w:snapToGrid w:val="0"/>
      <w:spacing w:line="400" w:lineRule="exact"/>
      <w:ind w:left="420"/>
      <w:jc w:val="center"/>
    </w:pPr>
    <w:rPr>
      <w:rFonts w:eastAsia="黑体"/>
      <w:sz w:val="24"/>
      <w:szCs w:val="24"/>
    </w:rPr>
  </w:style>
  <w:style w:type="character" w:customStyle="1" w:styleId="574">
    <w:name w:val="样式1 Char Char"/>
    <w:qFormat/>
    <w:uiPriority w:val="0"/>
    <w:rPr>
      <w:rFonts w:ascii="宋体"/>
      <w:color w:val="FF0000"/>
      <w:kern w:val="2"/>
      <w:sz w:val="18"/>
    </w:rPr>
  </w:style>
  <w:style w:type="paragraph" w:customStyle="1" w:styleId="575">
    <w:name w:val="reader-word-layer"/>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576">
    <w:name w:val="正文111"/>
    <w:basedOn w:val="19"/>
    <w:qFormat/>
    <w:uiPriority w:val="0"/>
    <w:pPr>
      <w:spacing w:after="25" w:afterLines="25" w:line="360" w:lineRule="auto"/>
      <w:ind w:firstLine="200"/>
    </w:pPr>
    <w:rPr>
      <w:sz w:val="24"/>
      <w:szCs w:val="24"/>
    </w:rPr>
  </w:style>
  <w:style w:type="paragraph" w:customStyle="1" w:styleId="577">
    <w:name w:val="环正文"/>
    <w:basedOn w:val="1"/>
    <w:qFormat/>
    <w:uiPriority w:val="0"/>
    <w:pPr>
      <w:suppressAutoHyphens/>
      <w:adjustRightInd w:val="0"/>
      <w:ind w:right="6"/>
      <w:textAlignment w:val="baseline"/>
    </w:pPr>
    <w:rPr>
      <w:rFonts w:ascii="宋体" w:hAnsi="宋体"/>
      <w:kern w:val="0"/>
      <w:sz w:val="24"/>
    </w:rPr>
  </w:style>
  <w:style w:type="paragraph" w:customStyle="1" w:styleId="578">
    <w:name w:val="正文表格"/>
    <w:basedOn w:val="1"/>
    <w:link w:val="579"/>
    <w:qFormat/>
    <w:uiPriority w:val="0"/>
    <w:pPr>
      <w:keepNext/>
      <w:keepLines/>
      <w:tabs>
        <w:tab w:val="center" w:pos="6804"/>
      </w:tabs>
      <w:overflowPunct w:val="0"/>
      <w:adjustRightInd w:val="0"/>
      <w:spacing w:before="80"/>
      <w:jc w:val="center"/>
      <w:textAlignment w:val="bottom"/>
    </w:pPr>
    <w:rPr>
      <w:rFonts w:ascii="Times New Roman" w:hAnsi="Times New Roman" w:cs="Times New Roman"/>
      <w:szCs w:val="20"/>
    </w:rPr>
  </w:style>
  <w:style w:type="character" w:customStyle="1" w:styleId="579">
    <w:name w:val="正文表格 Char"/>
    <w:link w:val="578"/>
    <w:qFormat/>
    <w:uiPriority w:val="0"/>
    <w:rPr>
      <w:sz w:val="24"/>
    </w:rPr>
  </w:style>
  <w:style w:type="paragraph" w:customStyle="1" w:styleId="580">
    <w:name w:val="Char Char Char Char Char Char Char Char Char Char"/>
    <w:basedOn w:val="1"/>
    <w:qFormat/>
    <w:uiPriority w:val="0"/>
    <w:pPr>
      <w:spacing w:line="360" w:lineRule="auto"/>
      <w:ind w:firstLine="200" w:firstLineChars="200"/>
    </w:pPr>
    <w:rPr>
      <w:sz w:val="21"/>
    </w:rPr>
  </w:style>
  <w:style w:type="character" w:customStyle="1" w:styleId="581">
    <w:name w:val="Char Char19"/>
    <w:qFormat/>
    <w:uiPriority w:val="0"/>
    <w:rPr>
      <w:rFonts w:eastAsia="宋体"/>
      <w:kern w:val="2"/>
      <w:sz w:val="21"/>
      <w:lang w:eastAsia="zh-CN"/>
    </w:rPr>
  </w:style>
  <w:style w:type="character" w:customStyle="1" w:styleId="582">
    <w:name w:val="批注主题 字符"/>
    <w:qFormat/>
    <w:uiPriority w:val="0"/>
    <w:rPr>
      <w:b/>
      <w:bCs/>
      <w:kern w:val="2"/>
      <w:sz w:val="24"/>
    </w:rPr>
  </w:style>
  <w:style w:type="paragraph" w:customStyle="1" w:styleId="583">
    <w:name w:val="Char2"/>
    <w:basedOn w:val="1"/>
    <w:semiHidden/>
    <w:qFormat/>
    <w:uiPriority w:val="0"/>
    <w:pPr>
      <w:adjustRightInd w:val="0"/>
      <w:snapToGrid w:val="0"/>
      <w:spacing w:line="360" w:lineRule="auto"/>
      <w:ind w:firstLine="200" w:firstLineChars="200"/>
    </w:pPr>
    <w:rPr>
      <w:rFonts w:ascii="仿宋_GB2312" w:eastAsia="仿宋_GB2312"/>
      <w:b/>
      <w:sz w:val="32"/>
      <w:szCs w:val="32"/>
    </w:rPr>
  </w:style>
  <w:style w:type="character" w:customStyle="1" w:styleId="584">
    <w:name w:val="样式1[858D7CFB-ED40-4347-BF05-701D383B685F]"/>
    <w:qFormat/>
    <w:uiPriority w:val="0"/>
    <w:rPr>
      <w:color w:val="333333"/>
      <w:sz w:val="24"/>
    </w:rPr>
  </w:style>
  <w:style w:type="paragraph" w:customStyle="1" w:styleId="585">
    <w:name w:val="表头 改"/>
    <w:basedOn w:val="1"/>
    <w:qFormat/>
    <w:uiPriority w:val="0"/>
    <w:pPr>
      <w:snapToGrid w:val="0"/>
      <w:spacing w:beforeLines="100" w:afterLines="50"/>
      <w:jc w:val="center"/>
    </w:pPr>
    <w:rPr>
      <w:b/>
      <w:sz w:val="21"/>
      <w:szCs w:val="21"/>
    </w:rPr>
  </w:style>
  <w:style w:type="paragraph" w:customStyle="1" w:styleId="586">
    <w:name w:val="表格里"/>
    <w:basedOn w:val="1"/>
    <w:qFormat/>
    <w:uiPriority w:val="0"/>
    <w:pPr>
      <w:jc w:val="center"/>
    </w:pPr>
    <w:rPr>
      <w:sz w:val="21"/>
      <w:szCs w:val="21"/>
    </w:rPr>
  </w:style>
  <w:style w:type="paragraph" w:customStyle="1" w:styleId="587">
    <w:name w:val="第二章表标头"/>
    <w:basedOn w:val="1"/>
    <w:qFormat/>
    <w:uiPriority w:val="0"/>
    <w:pPr>
      <w:numPr>
        <w:ilvl w:val="0"/>
        <w:numId w:val="19"/>
      </w:numPr>
      <w:adjustRightInd w:val="0"/>
      <w:snapToGrid w:val="0"/>
      <w:spacing w:line="480" w:lineRule="exact"/>
      <w:ind w:firstLine="0"/>
      <w:jc w:val="center"/>
    </w:pPr>
    <w:rPr>
      <w:rFonts w:ascii="黑体" w:hAnsi="黑体" w:eastAsia="黑体"/>
      <w:sz w:val="24"/>
    </w:rPr>
  </w:style>
  <w:style w:type="paragraph" w:styleId="588">
    <w:name w:val="Quote"/>
    <w:basedOn w:val="1"/>
    <w:next w:val="1"/>
    <w:link w:val="589"/>
    <w:qFormat/>
    <w:uiPriority w:val="0"/>
    <w:pPr>
      <w:adjustRightInd w:val="0"/>
      <w:snapToGrid w:val="0"/>
      <w:spacing w:line="480" w:lineRule="exact"/>
      <w:ind w:firstLine="200" w:firstLineChars="200"/>
    </w:pPr>
    <w:rPr>
      <w:rFonts w:ascii="Times New Roman" w:hAnsi="Times New Roman" w:cs="Times New Roman"/>
      <w:i/>
      <w:iCs/>
      <w:color w:val="000000"/>
      <w:szCs w:val="20"/>
    </w:rPr>
  </w:style>
  <w:style w:type="character" w:customStyle="1" w:styleId="589">
    <w:name w:val="引用 字符"/>
    <w:link w:val="588"/>
    <w:qFormat/>
    <w:uiPriority w:val="0"/>
    <w:rPr>
      <w:i/>
      <w:iCs/>
      <w:color w:val="000000"/>
      <w:sz w:val="24"/>
    </w:rPr>
  </w:style>
  <w:style w:type="paragraph" w:customStyle="1" w:styleId="590">
    <w:name w:val="第八章表标头"/>
    <w:basedOn w:val="1"/>
    <w:qFormat/>
    <w:uiPriority w:val="0"/>
    <w:pPr>
      <w:adjustRightInd w:val="0"/>
      <w:snapToGrid w:val="0"/>
      <w:spacing w:line="480" w:lineRule="exact"/>
      <w:jc w:val="center"/>
    </w:pPr>
    <w:rPr>
      <w:rFonts w:ascii="黑体" w:hAnsi="黑体" w:eastAsia="黑体"/>
      <w:bCs/>
      <w:color w:val="000000"/>
      <w:sz w:val="24"/>
    </w:rPr>
  </w:style>
  <w:style w:type="paragraph" w:customStyle="1" w:styleId="591">
    <w:name w:val="表文字"/>
    <w:basedOn w:val="1"/>
    <w:qFormat/>
    <w:uiPriority w:val="0"/>
    <w:pPr>
      <w:numPr>
        <w:ilvl w:val="0"/>
        <w:numId w:val="20"/>
      </w:numPr>
      <w:overflowPunct w:val="0"/>
      <w:autoSpaceDE w:val="0"/>
      <w:autoSpaceDN w:val="0"/>
      <w:adjustRightInd w:val="0"/>
      <w:spacing w:line="240" w:lineRule="atLeast"/>
      <w:ind w:left="0" w:firstLine="0"/>
      <w:jc w:val="center"/>
      <w:textAlignment w:val="baseline"/>
    </w:pPr>
    <w:rPr>
      <w:kern w:val="0"/>
      <w:sz w:val="24"/>
    </w:rPr>
  </w:style>
  <w:style w:type="paragraph" w:customStyle="1" w:styleId="592">
    <w:name w:val="章标题"/>
    <w:next w:val="1"/>
    <w:qFormat/>
    <w:uiPriority w:val="0"/>
    <w:pPr>
      <w:spacing w:beforeLines="50" w:afterLines="50"/>
      <w:ind w:left="1800" w:hanging="400"/>
      <w:jc w:val="both"/>
      <w:outlineLvl w:val="1"/>
    </w:pPr>
    <w:rPr>
      <w:rFonts w:ascii="黑体" w:hAnsi="Times New Roman" w:eastAsia="黑体" w:cs="Times New Roman"/>
      <w:sz w:val="21"/>
      <w:lang w:val="en-US" w:eastAsia="zh-CN" w:bidi="ar-SA"/>
    </w:rPr>
  </w:style>
  <w:style w:type="paragraph" w:customStyle="1" w:styleId="593">
    <w:name w:val="前言、引言标题"/>
    <w:next w:val="1"/>
    <w:qFormat/>
    <w:uiPriority w:val="0"/>
    <w:pPr>
      <w:shd w:val="clear" w:color="FFFFFF" w:fill="FFFFFF"/>
      <w:spacing w:before="640" w:after="560"/>
      <w:jc w:val="center"/>
      <w:outlineLvl w:val="0"/>
    </w:pPr>
    <w:rPr>
      <w:rFonts w:ascii="黑体" w:hAnsi="Times New Roman" w:eastAsia="黑体" w:cs="Times New Roman"/>
      <w:sz w:val="32"/>
      <w:lang w:val="en-US" w:eastAsia="zh-CN" w:bidi="ar-SA"/>
    </w:rPr>
  </w:style>
  <w:style w:type="paragraph" w:customStyle="1" w:styleId="594">
    <w:name w:val="一级条标题"/>
    <w:next w:val="1"/>
    <w:qFormat/>
    <w:uiPriority w:val="0"/>
    <w:pPr>
      <w:outlineLvl w:val="2"/>
    </w:pPr>
    <w:rPr>
      <w:rFonts w:ascii="Times New Roman" w:hAnsi="Times New Roman" w:eastAsia="黑体" w:cs="Times New Roman"/>
      <w:sz w:val="21"/>
      <w:lang w:val="en-US" w:eastAsia="zh-CN" w:bidi="ar-SA"/>
    </w:rPr>
  </w:style>
  <w:style w:type="paragraph" w:customStyle="1" w:styleId="595">
    <w:name w:val="实施日期"/>
    <w:basedOn w:val="1"/>
    <w:qFormat/>
    <w:uiPriority w:val="0"/>
    <w:pPr>
      <w:framePr w:w="4000" w:h="473" w:hRule="exact" w:vSpace="180" w:wrap="around" w:vAnchor="margin" w:hAnchor="margin" w:xAlign="right" w:y="13511" w:anchorLock="1"/>
      <w:widowControl/>
      <w:jc w:val="right"/>
    </w:pPr>
    <w:rPr>
      <w:rFonts w:eastAsia="黑体"/>
      <w:kern w:val="0"/>
    </w:rPr>
  </w:style>
  <w:style w:type="paragraph" w:customStyle="1" w:styleId="596">
    <w:name w:val="图表脚注"/>
    <w:next w:val="1"/>
    <w:qFormat/>
    <w:uiPriority w:val="0"/>
    <w:pPr>
      <w:numPr>
        <w:ilvl w:val="1"/>
        <w:numId w:val="21"/>
      </w:numPr>
      <w:tabs>
        <w:tab w:val="clear" w:pos="360"/>
      </w:tabs>
      <w:ind w:left="300" w:leftChars="200" w:hanging="100" w:hangingChars="100"/>
      <w:jc w:val="both"/>
    </w:pPr>
    <w:rPr>
      <w:rFonts w:ascii="宋体" w:hAnsi="Times New Roman" w:eastAsia="宋体" w:cs="Times New Roman"/>
      <w:sz w:val="18"/>
      <w:lang w:val="en-US" w:eastAsia="zh-CN" w:bidi="ar-SA"/>
    </w:rPr>
  </w:style>
  <w:style w:type="paragraph" w:customStyle="1" w:styleId="597">
    <w:name w:val="附录章标题"/>
    <w:next w:val="1"/>
    <w:qFormat/>
    <w:uiPriority w:val="0"/>
    <w:pPr>
      <w:tabs>
        <w:tab w:val="left" w:pos="720"/>
      </w:tabs>
      <w:wordWrap w:val="0"/>
      <w:overflowPunct w:val="0"/>
      <w:autoSpaceDE w:val="0"/>
      <w:spacing w:beforeLines="50" w:afterLines="50"/>
      <w:ind w:left="720" w:hanging="720"/>
      <w:jc w:val="both"/>
      <w:textAlignment w:val="baseline"/>
      <w:outlineLvl w:val="1"/>
    </w:pPr>
    <w:rPr>
      <w:rFonts w:ascii="黑体" w:hAnsi="Times New Roman" w:eastAsia="黑体" w:cs="Times New Roman"/>
      <w:kern w:val="21"/>
      <w:sz w:val="21"/>
      <w:lang w:val="en-US" w:eastAsia="zh-CN" w:bidi="ar-SA"/>
    </w:rPr>
  </w:style>
  <w:style w:type="paragraph" w:customStyle="1" w:styleId="598">
    <w:name w:val="附录一级条标题"/>
    <w:basedOn w:val="597"/>
    <w:next w:val="1"/>
    <w:qFormat/>
    <w:uiPriority w:val="0"/>
    <w:pPr>
      <w:tabs>
        <w:tab w:val="clear" w:pos="720"/>
      </w:tabs>
      <w:autoSpaceDN w:val="0"/>
      <w:spacing w:beforeLines="0" w:afterLines="0"/>
      <w:ind w:left="0" w:firstLine="0"/>
      <w:outlineLvl w:val="2"/>
    </w:pPr>
  </w:style>
  <w:style w:type="paragraph" w:customStyle="1" w:styleId="599">
    <w:name w:val="附录四级条标题"/>
    <w:basedOn w:val="1"/>
    <w:next w:val="1"/>
    <w:qFormat/>
    <w:uiPriority w:val="0"/>
    <w:pPr>
      <w:widowControl/>
      <w:wordWrap w:val="0"/>
      <w:overflowPunct w:val="0"/>
      <w:autoSpaceDE w:val="0"/>
      <w:autoSpaceDN w:val="0"/>
      <w:textAlignment w:val="baseline"/>
      <w:outlineLvl w:val="5"/>
    </w:pPr>
    <w:rPr>
      <w:rFonts w:ascii="黑体" w:eastAsia="黑体"/>
      <w:kern w:val="21"/>
      <w:sz w:val="21"/>
    </w:rPr>
  </w:style>
  <w:style w:type="paragraph" w:customStyle="1" w:styleId="600">
    <w:name w:val="附录图标题"/>
    <w:next w:val="1"/>
    <w:qFormat/>
    <w:uiPriority w:val="0"/>
    <w:pPr>
      <w:numPr>
        <w:ilvl w:val="0"/>
        <w:numId w:val="22"/>
      </w:numPr>
      <w:jc w:val="center"/>
    </w:pPr>
    <w:rPr>
      <w:rFonts w:ascii="黑体" w:hAnsi="Times New Roman" w:eastAsia="黑体" w:cs="Times New Roman"/>
      <w:sz w:val="21"/>
      <w:lang w:val="en-US" w:eastAsia="zh-CN" w:bidi="ar-SA"/>
    </w:rPr>
  </w:style>
  <w:style w:type="character" w:customStyle="1" w:styleId="601">
    <w:name w:val="个人答复风格"/>
    <w:qFormat/>
    <w:uiPriority w:val="0"/>
    <w:rPr>
      <w:rFonts w:ascii="Arial" w:hAnsi="Arial" w:eastAsia="宋体" w:cs="Arial"/>
      <w:color w:val="auto"/>
      <w:sz w:val="20"/>
    </w:rPr>
  </w:style>
  <w:style w:type="paragraph" w:customStyle="1" w:styleId="602">
    <w:name w:val="其他标准称谓"/>
    <w:qFormat/>
    <w:uiPriority w:val="0"/>
    <w:pPr>
      <w:spacing w:line="0" w:lineRule="atLeast"/>
      <w:jc w:val="distribute"/>
    </w:pPr>
    <w:rPr>
      <w:rFonts w:ascii="黑体" w:hAnsi="宋体" w:eastAsia="黑体" w:cs="Times New Roman"/>
      <w:sz w:val="52"/>
      <w:lang w:val="en-US" w:eastAsia="zh-CN" w:bidi="ar-SA"/>
    </w:rPr>
  </w:style>
  <w:style w:type="paragraph" w:customStyle="1" w:styleId="603">
    <w:name w:val="文献分类号"/>
    <w:qFormat/>
    <w:uiPriority w:val="0"/>
    <w:pPr>
      <w:framePr w:hSpace="180" w:vSpace="180" w:wrap="around" w:vAnchor="margin" w:hAnchor="margin" w:y="1" w:anchorLock="1"/>
      <w:widowControl w:val="0"/>
      <w:textAlignment w:val="center"/>
    </w:pPr>
    <w:rPr>
      <w:rFonts w:ascii="Times New Roman" w:hAnsi="Times New Roman" w:eastAsia="黑体" w:cs="Times New Roman"/>
      <w:sz w:val="21"/>
      <w:lang w:val="en-US" w:eastAsia="zh-CN" w:bidi="ar-SA"/>
    </w:rPr>
  </w:style>
  <w:style w:type="character" w:customStyle="1" w:styleId="604">
    <w:name w:val="正文文本 3 字符"/>
    <w:qFormat/>
    <w:uiPriority w:val="99"/>
    <w:rPr>
      <w:sz w:val="16"/>
      <w:szCs w:val="16"/>
    </w:rPr>
  </w:style>
  <w:style w:type="character" w:customStyle="1" w:styleId="605">
    <w:name w:val="脚注文本 字符"/>
    <w:qFormat/>
    <w:uiPriority w:val="0"/>
    <w:rPr>
      <w:sz w:val="18"/>
    </w:rPr>
  </w:style>
  <w:style w:type="character" w:customStyle="1" w:styleId="606">
    <w:name w:val="报告正文样式 Char Char"/>
    <w:qFormat/>
    <w:uiPriority w:val="0"/>
    <w:rPr>
      <w:rFonts w:ascii="宋体" w:hAnsi="宋体"/>
      <w:color w:val="000000"/>
      <w:sz w:val="24"/>
      <w:szCs w:val="24"/>
    </w:rPr>
  </w:style>
  <w:style w:type="character" w:customStyle="1" w:styleId="607">
    <w:name w:val="标题 y1 Char1"/>
    <w:qFormat/>
    <w:uiPriority w:val="9"/>
    <w:rPr>
      <w:rFonts w:ascii="Times New Roman" w:hAnsi="Times New Roman"/>
      <w:b/>
      <w:bCs/>
      <w:kern w:val="44"/>
      <w:sz w:val="44"/>
      <w:szCs w:val="44"/>
    </w:rPr>
  </w:style>
  <w:style w:type="character" w:customStyle="1" w:styleId="608">
    <w:name w:val="1.1标题 2 Char1"/>
    <w:semiHidden/>
    <w:qFormat/>
    <w:uiPriority w:val="0"/>
    <w:rPr>
      <w:rFonts w:ascii="Cambria" w:hAnsi="Cambria" w:eastAsia="宋体" w:cs="Times New Roman"/>
      <w:b/>
      <w:bCs/>
      <w:kern w:val="2"/>
      <w:sz w:val="32"/>
      <w:szCs w:val="32"/>
    </w:rPr>
  </w:style>
  <w:style w:type="character" w:customStyle="1" w:styleId="609">
    <w:name w:val="标题 3 Char1 Char1"/>
    <w:semiHidden/>
    <w:qFormat/>
    <w:uiPriority w:val="0"/>
    <w:rPr>
      <w:rFonts w:ascii="Times New Roman" w:hAnsi="Times New Roman"/>
      <w:b/>
      <w:bCs/>
      <w:kern w:val="2"/>
      <w:sz w:val="32"/>
      <w:szCs w:val="32"/>
    </w:rPr>
  </w:style>
  <w:style w:type="paragraph" w:customStyle="1" w:styleId="610">
    <w:name w:val="表格标题"/>
    <w:next w:val="248"/>
    <w:qFormat/>
    <w:uiPriority w:val="0"/>
    <w:pPr>
      <w:spacing w:beforeLines="50"/>
      <w:jc w:val="center"/>
    </w:pPr>
    <w:rPr>
      <w:rFonts w:ascii="Times New Roman" w:hAnsi="Times New Roman" w:eastAsia="宋体" w:cs="Times New Roman"/>
      <w:sz w:val="28"/>
      <w:szCs w:val="28"/>
      <w:lang w:val="en-US" w:eastAsia="zh-CN" w:bidi="ar-SA"/>
    </w:rPr>
  </w:style>
  <w:style w:type="character" w:customStyle="1" w:styleId="611">
    <w:name w:val="表格标题 Char Char"/>
    <w:qFormat/>
    <w:uiPriority w:val="0"/>
    <w:rPr>
      <w:b/>
      <w:kern w:val="2"/>
      <w:sz w:val="24"/>
      <w:szCs w:val="24"/>
      <w:lang w:val="en-US" w:eastAsia="zh-CN" w:bidi="ar-SA"/>
    </w:rPr>
  </w:style>
  <w:style w:type="character" w:customStyle="1" w:styleId="612">
    <w:name w:val="表格 Char Char"/>
    <w:qFormat/>
    <w:uiPriority w:val="0"/>
    <w:rPr>
      <w:kern w:val="2"/>
      <w:sz w:val="21"/>
      <w:szCs w:val="21"/>
      <w:lang w:val="en-US" w:eastAsia="zh-CN" w:bidi="ar-SA"/>
    </w:rPr>
  </w:style>
  <w:style w:type="paragraph" w:customStyle="1" w:styleId="613">
    <w:name w:val="正文首行缩进1"/>
    <w:basedOn w:val="4"/>
    <w:qFormat/>
    <w:uiPriority w:val="0"/>
    <w:pPr>
      <w:widowControl/>
      <w:adjustRightInd w:val="0"/>
      <w:spacing w:line="312" w:lineRule="auto"/>
      <w:ind w:right="0" w:firstLine="567"/>
      <w:jc w:val="left"/>
      <w:textAlignment w:val="baseline"/>
    </w:pPr>
    <w:rPr>
      <w:rFonts w:ascii="宋体" w:hAnsi="宋体" w:eastAsia="宋体" w:cs="宋体"/>
      <w:kern w:val="0"/>
    </w:rPr>
  </w:style>
  <w:style w:type="character" w:customStyle="1" w:styleId="614">
    <w:name w:val="表标题 Char"/>
    <w:link w:val="615"/>
    <w:qFormat/>
    <w:locked/>
    <w:uiPriority w:val="0"/>
    <w:rPr>
      <w:rFonts w:ascii="黑体" w:hAnsi="黑体" w:eastAsia="黑体" w:cs="黑体"/>
      <w:sz w:val="24"/>
    </w:rPr>
  </w:style>
  <w:style w:type="paragraph" w:customStyle="1" w:styleId="615">
    <w:name w:val="表标题"/>
    <w:basedOn w:val="20"/>
    <w:link w:val="614"/>
    <w:qFormat/>
    <w:uiPriority w:val="0"/>
    <w:pPr>
      <w:keepNext w:val="0"/>
      <w:tabs>
        <w:tab w:val="center" w:pos="630"/>
      </w:tabs>
      <w:spacing w:line="360" w:lineRule="auto"/>
      <w:outlineLvl w:val="9"/>
    </w:pPr>
    <w:rPr>
      <w:rFonts w:ascii="黑体" w:hAnsi="黑体" w:cs="Times New Roman"/>
      <w:szCs w:val="20"/>
    </w:rPr>
  </w:style>
  <w:style w:type="paragraph" w:customStyle="1" w:styleId="616">
    <w:name w:val="表后空行"/>
    <w:basedOn w:val="1"/>
    <w:next w:val="1"/>
    <w:qFormat/>
    <w:uiPriority w:val="0"/>
    <w:pPr>
      <w:numPr>
        <w:ilvl w:val="4"/>
        <w:numId w:val="0"/>
      </w:numPr>
      <w:ind w:firstLine="200" w:firstLineChars="200"/>
    </w:pPr>
    <w:rPr>
      <w:rFonts w:ascii="宋体"/>
      <w:kern w:val="18"/>
      <w:sz w:val="21"/>
      <w:szCs w:val="21"/>
    </w:rPr>
  </w:style>
  <w:style w:type="paragraph" w:customStyle="1" w:styleId="617">
    <w:name w:val="表注"/>
    <w:basedOn w:val="1"/>
    <w:next w:val="616"/>
    <w:link w:val="618"/>
    <w:qFormat/>
    <w:uiPriority w:val="0"/>
    <w:pPr>
      <w:keepLines/>
      <w:ind w:left="300" w:leftChars="100" w:right="50" w:rightChars="50" w:hanging="200" w:hangingChars="200"/>
    </w:pPr>
    <w:rPr>
      <w:rFonts w:hAnsi="Times New Roman" w:cs="Times New Roman"/>
      <w:color w:val="FF0000"/>
      <w:kern w:val="2"/>
      <w:sz w:val="21"/>
      <w:szCs w:val="21"/>
    </w:rPr>
  </w:style>
  <w:style w:type="character" w:customStyle="1" w:styleId="618">
    <w:name w:val="表注 Char"/>
    <w:link w:val="617"/>
    <w:qFormat/>
    <w:uiPriority w:val="0"/>
    <w:rPr>
      <w:rFonts w:ascii="宋体"/>
      <w:color w:val="FF0000"/>
      <w:kern w:val="2"/>
      <w:sz w:val="21"/>
      <w:szCs w:val="21"/>
    </w:rPr>
  </w:style>
  <w:style w:type="paragraph" w:customStyle="1" w:styleId="619">
    <w:name w:val="目录标题"/>
    <w:basedOn w:val="37"/>
    <w:next w:val="37"/>
    <w:qFormat/>
    <w:uiPriority w:val="0"/>
    <w:pPr>
      <w:spacing w:beforeLines="150" w:afterLines="150"/>
      <w:jc w:val="center"/>
    </w:pPr>
    <w:rPr>
      <w:b w:val="0"/>
      <w:kern w:val="0"/>
      <w:sz w:val="44"/>
      <w:szCs w:val="28"/>
      <w:u w:val="double"/>
    </w:rPr>
  </w:style>
  <w:style w:type="paragraph" w:customStyle="1" w:styleId="620">
    <w:name w:val="图片"/>
    <w:basedOn w:val="1"/>
    <w:next w:val="1"/>
    <w:qFormat/>
    <w:uiPriority w:val="0"/>
    <w:pPr>
      <w:spacing w:beforeLines="100" w:line="312" w:lineRule="auto"/>
      <w:jc w:val="center"/>
    </w:pPr>
    <w:rPr>
      <w:rFonts w:ascii="宋体"/>
      <w:szCs w:val="28"/>
    </w:rPr>
  </w:style>
  <w:style w:type="paragraph" w:customStyle="1" w:styleId="621">
    <w:name w:val="Char Char3"/>
    <w:basedOn w:val="1"/>
    <w:qFormat/>
    <w:uiPriority w:val="0"/>
    <w:pPr>
      <w:widowControl/>
      <w:adjustRightInd w:val="0"/>
      <w:jc w:val="center"/>
    </w:pPr>
    <w:rPr>
      <w:kern w:val="0"/>
      <w:sz w:val="21"/>
      <w:szCs w:val="21"/>
      <w:lang w:eastAsia="en-US"/>
    </w:rPr>
  </w:style>
  <w:style w:type="character" w:customStyle="1" w:styleId="622">
    <w:name w:val="表头 Char"/>
    <w:qFormat/>
    <w:uiPriority w:val="99"/>
    <w:rPr>
      <w:rFonts w:ascii="宋体" w:eastAsia="黑体"/>
      <w:spacing w:val="6"/>
      <w:kern w:val="2"/>
      <w:position w:val="10"/>
      <w:sz w:val="24"/>
    </w:rPr>
  </w:style>
  <w:style w:type="character" w:customStyle="1" w:styleId="623">
    <w:name w:val="正文1 Char"/>
    <w:qFormat/>
    <w:uiPriority w:val="0"/>
    <w:rPr>
      <w:color w:val="000000"/>
      <w:kern w:val="2"/>
      <w:sz w:val="28"/>
    </w:rPr>
  </w:style>
  <w:style w:type="paragraph" w:customStyle="1" w:styleId="624">
    <w:name w:val="行距"/>
    <w:link w:val="625"/>
    <w:qFormat/>
    <w:uiPriority w:val="0"/>
    <w:pPr>
      <w:spacing w:line="520" w:lineRule="exact"/>
      <w:ind w:firstLine="200" w:firstLineChars="200"/>
      <w:jc w:val="both"/>
    </w:pPr>
    <w:rPr>
      <w:rFonts w:ascii="Times New Roman" w:hAnsi="Times New Roman" w:eastAsia="宋体" w:cs="Times New Roman"/>
      <w:kern w:val="2"/>
      <w:sz w:val="28"/>
      <w:szCs w:val="24"/>
      <w:lang w:val="en-US" w:eastAsia="zh-CN" w:bidi="ar-SA"/>
    </w:rPr>
  </w:style>
  <w:style w:type="character" w:customStyle="1" w:styleId="625">
    <w:name w:val="行距 Char"/>
    <w:link w:val="624"/>
    <w:qFormat/>
    <w:uiPriority w:val="0"/>
    <w:rPr>
      <w:kern w:val="2"/>
      <w:sz w:val="28"/>
      <w:szCs w:val="24"/>
      <w:lang w:bidi="ar-SA"/>
    </w:rPr>
  </w:style>
  <w:style w:type="paragraph" w:customStyle="1" w:styleId="626">
    <w:name w:val="TT表名"/>
    <w:basedOn w:val="1"/>
    <w:next w:val="1"/>
    <w:link w:val="627"/>
    <w:qFormat/>
    <w:uiPriority w:val="0"/>
    <w:pPr>
      <w:keepNext/>
      <w:topLinePunct/>
      <w:adjustRightInd w:val="0"/>
      <w:snapToGrid w:val="0"/>
      <w:spacing w:line="520" w:lineRule="exact"/>
      <w:jc w:val="center"/>
    </w:pPr>
    <w:rPr>
      <w:rFonts w:ascii="Times New Roman" w:hAnsi="Times New Roman" w:cs="Times New Roman"/>
      <w:kern w:val="2"/>
      <w:szCs w:val="28"/>
    </w:rPr>
  </w:style>
  <w:style w:type="character" w:customStyle="1" w:styleId="627">
    <w:name w:val="TT表名 Char Char Char"/>
    <w:link w:val="626"/>
    <w:qFormat/>
    <w:uiPriority w:val="0"/>
    <w:rPr>
      <w:kern w:val="2"/>
      <w:sz w:val="24"/>
      <w:szCs w:val="28"/>
    </w:rPr>
  </w:style>
  <w:style w:type="character" w:customStyle="1" w:styleId="628">
    <w:name w:val="TT表格（左） Char"/>
    <w:link w:val="629"/>
    <w:qFormat/>
    <w:locked/>
    <w:uiPriority w:val="0"/>
    <w:rPr>
      <w:rFonts w:ascii="宋体" w:hAnsi="宋体"/>
      <w:snapToGrid w:val="0"/>
      <w:sz w:val="21"/>
      <w:szCs w:val="21"/>
      <w:lang w:val="en-US" w:eastAsia="zh-CN" w:bidi="ar-SA"/>
    </w:rPr>
  </w:style>
  <w:style w:type="paragraph" w:customStyle="1" w:styleId="629">
    <w:name w:val="TT表格（左）"/>
    <w:next w:val="1"/>
    <w:link w:val="628"/>
    <w:qFormat/>
    <w:uiPriority w:val="0"/>
    <w:pPr>
      <w:widowControl w:val="0"/>
      <w:topLinePunct/>
      <w:adjustRightInd w:val="0"/>
      <w:snapToGrid w:val="0"/>
    </w:pPr>
    <w:rPr>
      <w:rFonts w:ascii="宋体" w:hAnsi="宋体" w:eastAsia="宋体" w:cs="Times New Roman"/>
      <w:snapToGrid w:val="0"/>
      <w:sz w:val="21"/>
      <w:szCs w:val="21"/>
      <w:lang w:val="en-US" w:eastAsia="zh-CN" w:bidi="ar-SA"/>
    </w:rPr>
  </w:style>
  <w:style w:type="table" w:customStyle="1" w:styleId="630">
    <w:name w:val="自建表格样式1"/>
    <w:basedOn w:val="56"/>
    <w:qFormat/>
    <w:uiPriority w:val="0"/>
    <w:pPr>
      <w:adjustRightInd w:val="0"/>
      <w:snapToGrid w:val="0"/>
      <w:jc w:val="center"/>
    </w:pPr>
    <w:rPr>
      <w:sz w:val="21"/>
    </w:rPr>
    <w:tblP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
    <w:tcPr>
      <w:vAlign w:val="center"/>
    </w:tcPr>
    <w:tblStylePr w:type="firstRow">
      <w:rPr>
        <w:b/>
      </w:rPr>
    </w:tblStylePr>
    <w:tblStylePr w:type="lastRow">
      <w:rPr>
        <w:b/>
      </w:rPr>
    </w:tblStylePr>
    <w:tblStylePr w:type="firstCol">
      <w:rPr>
        <w:b/>
      </w:rPr>
    </w:tblStylePr>
  </w:style>
  <w:style w:type="paragraph" w:customStyle="1" w:styleId="631">
    <w:name w:val="表体-格式"/>
    <w:basedOn w:val="1"/>
    <w:link w:val="632"/>
    <w:qFormat/>
    <w:uiPriority w:val="0"/>
    <w:pPr>
      <w:adjustRightInd w:val="0"/>
      <w:snapToGrid w:val="0"/>
      <w:jc w:val="center"/>
    </w:pPr>
    <w:rPr>
      <w:rFonts w:ascii="Times New Roman" w:hAnsi="Times New Roman" w:cs="Times New Roman"/>
      <w:sz w:val="21"/>
      <w:szCs w:val="18"/>
      <w:lang w:eastAsia="en-US" w:bidi="en-US"/>
    </w:rPr>
  </w:style>
  <w:style w:type="character" w:customStyle="1" w:styleId="632">
    <w:name w:val="表体-格式 Char"/>
    <w:link w:val="631"/>
    <w:qFormat/>
    <w:uiPriority w:val="0"/>
    <w:rPr>
      <w:sz w:val="21"/>
      <w:szCs w:val="18"/>
      <w:lang w:eastAsia="en-US" w:bidi="en-US"/>
    </w:rPr>
  </w:style>
  <w:style w:type="paragraph" w:styleId="633">
    <w:name w:val="Intense Quote"/>
    <w:basedOn w:val="1"/>
    <w:next w:val="1"/>
    <w:link w:val="634"/>
    <w:qFormat/>
    <w:uiPriority w:val="30"/>
    <w:pPr>
      <w:pBdr>
        <w:bottom w:val="single" w:color="4F81BD" w:sz="4" w:space="4"/>
      </w:pBdr>
      <w:adjustRightInd w:val="0"/>
      <w:snapToGrid w:val="0"/>
      <w:spacing w:before="200" w:after="280" w:line="360" w:lineRule="auto"/>
      <w:ind w:left="936" w:right="936" w:firstLine="200" w:firstLineChars="200"/>
    </w:pPr>
    <w:rPr>
      <w:rFonts w:ascii="Times New Roman" w:hAnsi="Times New Roman" w:cs="Times New Roman"/>
      <w:b/>
      <w:bCs/>
      <w:i/>
      <w:iCs/>
      <w:color w:val="4F81BD"/>
      <w:kern w:val="2"/>
      <w:szCs w:val="22"/>
    </w:rPr>
  </w:style>
  <w:style w:type="character" w:customStyle="1" w:styleId="634">
    <w:name w:val="明显引用 字符"/>
    <w:link w:val="633"/>
    <w:qFormat/>
    <w:uiPriority w:val="30"/>
    <w:rPr>
      <w:b/>
      <w:bCs/>
      <w:i/>
      <w:iCs/>
      <w:color w:val="4F81BD"/>
      <w:kern w:val="2"/>
      <w:sz w:val="24"/>
      <w:szCs w:val="22"/>
    </w:rPr>
  </w:style>
  <w:style w:type="paragraph" w:customStyle="1" w:styleId="635">
    <w:name w:val="表头-格式"/>
    <w:basedOn w:val="1"/>
    <w:link w:val="636"/>
    <w:qFormat/>
    <w:uiPriority w:val="0"/>
    <w:pPr>
      <w:widowControl/>
      <w:adjustRightInd w:val="0"/>
      <w:snapToGrid w:val="0"/>
      <w:spacing w:before="120" w:after="120"/>
      <w:jc w:val="center"/>
    </w:pPr>
    <w:rPr>
      <w:rFonts w:ascii="Times New Roman" w:hAnsi="Times New Roman" w:cs="Times New Roman"/>
      <w:b/>
      <w:szCs w:val="21"/>
      <w:lang w:bidi="en-US"/>
    </w:rPr>
  </w:style>
  <w:style w:type="character" w:customStyle="1" w:styleId="636">
    <w:name w:val="表头-格式 Char"/>
    <w:link w:val="635"/>
    <w:qFormat/>
    <w:uiPriority w:val="0"/>
    <w:rPr>
      <w:b/>
      <w:sz w:val="24"/>
      <w:szCs w:val="21"/>
      <w:lang w:bidi="en-US"/>
    </w:rPr>
  </w:style>
  <w:style w:type="paragraph" w:customStyle="1" w:styleId="637">
    <w:name w:val="Char1"/>
    <w:basedOn w:val="1"/>
    <w:qFormat/>
    <w:uiPriority w:val="0"/>
    <w:pPr>
      <w:adjustRightInd w:val="0"/>
      <w:snapToGrid w:val="0"/>
      <w:spacing w:line="360" w:lineRule="auto"/>
      <w:ind w:firstLine="200" w:firstLineChars="200"/>
    </w:pPr>
    <w:rPr>
      <w:rFonts w:ascii="仿宋_GB2312" w:eastAsia="仿宋_GB2312"/>
      <w:b/>
      <w:sz w:val="32"/>
      <w:szCs w:val="32"/>
    </w:rPr>
  </w:style>
  <w:style w:type="paragraph" w:customStyle="1" w:styleId="638">
    <w:name w:val="Table Paragraph"/>
    <w:basedOn w:val="1"/>
    <w:qFormat/>
    <w:uiPriority w:val="1"/>
    <w:pPr>
      <w:jc w:val="left"/>
    </w:pPr>
    <w:rPr>
      <w:rFonts w:ascii="Calibri" w:hAnsi="Calibri"/>
      <w:kern w:val="0"/>
      <w:sz w:val="22"/>
      <w:szCs w:val="22"/>
      <w:lang w:eastAsia="en-US"/>
    </w:rPr>
  </w:style>
  <w:style w:type="paragraph" w:customStyle="1" w:styleId="639">
    <w:name w:val="表格-w"/>
    <w:basedOn w:val="1"/>
    <w:qFormat/>
    <w:uiPriority w:val="0"/>
    <w:pPr>
      <w:jc w:val="center"/>
    </w:pPr>
    <w:rPr>
      <w:color w:val="000000"/>
      <w:kern w:val="0"/>
      <w:sz w:val="21"/>
      <w:szCs w:val="22"/>
    </w:rPr>
  </w:style>
  <w:style w:type="character" w:customStyle="1" w:styleId="640">
    <w:name w:val="gyy 正文 Char Char"/>
    <w:link w:val="641"/>
    <w:qFormat/>
    <w:uiPriority w:val="0"/>
    <w:rPr>
      <w:color w:val="000000"/>
      <w:sz w:val="28"/>
      <w:szCs w:val="28"/>
    </w:rPr>
  </w:style>
  <w:style w:type="paragraph" w:customStyle="1" w:styleId="641">
    <w:name w:val="gyy 正文"/>
    <w:basedOn w:val="1"/>
    <w:link w:val="640"/>
    <w:qFormat/>
    <w:uiPriority w:val="0"/>
    <w:pPr>
      <w:snapToGrid w:val="0"/>
      <w:spacing w:before="156" w:beforeLines="50" w:after="156" w:afterLines="50" w:line="360" w:lineRule="auto"/>
      <w:ind w:firstLine="566" w:firstLineChars="202"/>
      <w:contextualSpacing/>
      <w:jc w:val="left"/>
    </w:pPr>
    <w:rPr>
      <w:rFonts w:ascii="Times New Roman" w:hAnsi="Times New Roman" w:cs="Times New Roman"/>
      <w:color w:val="000000"/>
      <w:sz w:val="28"/>
      <w:szCs w:val="28"/>
    </w:rPr>
  </w:style>
  <w:style w:type="character" w:customStyle="1" w:styleId="642">
    <w:name w:val="表体 Char Char"/>
    <w:qFormat/>
    <w:uiPriority w:val="0"/>
    <w:rPr>
      <w:color w:val="000000"/>
      <w:kern w:val="24"/>
      <w:sz w:val="18"/>
    </w:rPr>
  </w:style>
  <w:style w:type="paragraph" w:customStyle="1" w:styleId="643">
    <w:name w:val="00报告书正文 + 宋体 小四 首行缩进 1.5 行距"/>
    <w:basedOn w:val="1"/>
    <w:link w:val="644"/>
    <w:qFormat/>
    <w:uiPriority w:val="0"/>
    <w:pPr>
      <w:spacing w:line="360" w:lineRule="auto"/>
      <w:ind w:firstLine="560" w:firstLineChars="200"/>
    </w:pPr>
    <w:rPr>
      <w:rFonts w:cs="Times New Roman"/>
      <w:color w:val="000000"/>
      <w:szCs w:val="20"/>
    </w:rPr>
  </w:style>
  <w:style w:type="character" w:customStyle="1" w:styleId="644">
    <w:name w:val="00报告书正文 + 宋体 小四 首行缩进 1.5 行距 Char Char"/>
    <w:link w:val="643"/>
    <w:qFormat/>
    <w:uiPriority w:val="0"/>
    <w:rPr>
      <w:rFonts w:ascii="宋体" w:hAnsi="宋体"/>
      <w:color w:val="000000"/>
      <w:sz w:val="24"/>
    </w:rPr>
  </w:style>
  <w:style w:type="character" w:customStyle="1" w:styleId="645">
    <w:name w:val="15"/>
    <w:qFormat/>
    <w:uiPriority w:val="0"/>
  </w:style>
  <w:style w:type="character" w:customStyle="1" w:styleId="646">
    <w:name w:val="页眉 字符1"/>
    <w:qFormat/>
    <w:uiPriority w:val="0"/>
    <w:rPr>
      <w:sz w:val="18"/>
      <w:szCs w:val="18"/>
    </w:rPr>
  </w:style>
  <w:style w:type="character" w:customStyle="1" w:styleId="647">
    <w:name w:val="页脚 字符1"/>
    <w:qFormat/>
    <w:uiPriority w:val="0"/>
    <w:rPr>
      <w:sz w:val="18"/>
      <w:szCs w:val="18"/>
    </w:rPr>
  </w:style>
  <w:style w:type="character" w:customStyle="1" w:styleId="648">
    <w:name w:val="标题 2 字符1"/>
    <w:qFormat/>
    <w:uiPriority w:val="0"/>
    <w:rPr>
      <w:rFonts w:ascii="Times New Roman" w:hAnsi="Times New Roman" w:eastAsia="宋体" w:cs="Times New Roman"/>
      <w:b/>
      <w:sz w:val="32"/>
      <w:szCs w:val="20"/>
    </w:rPr>
  </w:style>
  <w:style w:type="character" w:customStyle="1" w:styleId="649">
    <w:name w:val="标题 3 字符1"/>
    <w:qFormat/>
    <w:uiPriority w:val="0"/>
    <w:rPr>
      <w:rFonts w:ascii="Times New Roman" w:hAnsi="Times New Roman" w:eastAsia="宋体" w:cs="Times New Roman"/>
      <w:b/>
      <w:sz w:val="28"/>
      <w:szCs w:val="28"/>
    </w:rPr>
  </w:style>
  <w:style w:type="character" w:customStyle="1" w:styleId="650">
    <w:name w:val="标题 1 字符1"/>
    <w:qFormat/>
    <w:uiPriority w:val="0"/>
    <w:rPr>
      <w:rFonts w:ascii="Times New Roman" w:hAnsi="Times New Roman" w:eastAsia="宋体" w:cs="Times New Roman"/>
      <w:b/>
      <w:bCs/>
      <w:kern w:val="44"/>
      <w:sz w:val="44"/>
      <w:szCs w:val="44"/>
    </w:rPr>
  </w:style>
  <w:style w:type="character" w:customStyle="1" w:styleId="651">
    <w:name w:val="标题 5 字符1"/>
    <w:qFormat/>
    <w:uiPriority w:val="0"/>
    <w:rPr>
      <w:rFonts w:ascii="仿宋_GB2312" w:hAnsi="Times New Roman" w:eastAsia="仿宋_GB2312" w:cs="Times New Roman"/>
      <w:sz w:val="24"/>
      <w:szCs w:val="20"/>
    </w:rPr>
  </w:style>
  <w:style w:type="character" w:customStyle="1" w:styleId="652">
    <w:name w:val="标题 6 字符1"/>
    <w:qFormat/>
    <w:uiPriority w:val="0"/>
    <w:rPr>
      <w:rFonts w:ascii="Times New Roman" w:hAnsi="Times New Roman" w:eastAsia="宋体" w:cs="Times New Roman"/>
      <w:b/>
      <w:bCs/>
      <w:kern w:val="0"/>
      <w:sz w:val="18"/>
      <w:szCs w:val="20"/>
    </w:rPr>
  </w:style>
  <w:style w:type="character" w:customStyle="1" w:styleId="653">
    <w:name w:val="标题 7 字符1"/>
    <w:qFormat/>
    <w:uiPriority w:val="0"/>
    <w:rPr>
      <w:rFonts w:ascii="宋体" w:hAnsi="宋体" w:eastAsia="宋体" w:cs="Times New Roman"/>
      <w:i/>
      <w:iCs/>
      <w:szCs w:val="21"/>
    </w:rPr>
  </w:style>
  <w:style w:type="character" w:customStyle="1" w:styleId="654">
    <w:name w:val="标题 8 字符1"/>
    <w:qFormat/>
    <w:uiPriority w:val="0"/>
    <w:rPr>
      <w:rFonts w:ascii="Arial" w:hAnsi="Arial" w:eastAsia="仿宋_GB2312" w:cs="Times New Roman"/>
      <w:kern w:val="0"/>
      <w:sz w:val="28"/>
      <w:szCs w:val="20"/>
    </w:rPr>
  </w:style>
  <w:style w:type="character" w:customStyle="1" w:styleId="655">
    <w:name w:val="标题 9 字符1"/>
    <w:qFormat/>
    <w:uiPriority w:val="0"/>
    <w:rPr>
      <w:rFonts w:ascii="Arial" w:hAnsi="Arial" w:eastAsia="仿宋_GB2312" w:cs="Times New Roman"/>
      <w:kern w:val="0"/>
      <w:sz w:val="28"/>
      <w:szCs w:val="20"/>
    </w:rPr>
  </w:style>
  <w:style w:type="character" w:customStyle="1" w:styleId="656">
    <w:name w:val="正文文本缩进 3 字符1"/>
    <w:qFormat/>
    <w:uiPriority w:val="0"/>
    <w:rPr>
      <w:rFonts w:ascii="方正书宋简体" w:hAnsi="Times New Roman" w:eastAsia="方正书宋简体" w:cs="Times New Roman"/>
      <w:sz w:val="28"/>
      <w:szCs w:val="20"/>
    </w:rPr>
  </w:style>
  <w:style w:type="character" w:customStyle="1" w:styleId="657">
    <w:name w:val="正文文本缩进 字符1"/>
    <w:qFormat/>
    <w:uiPriority w:val="0"/>
    <w:rPr>
      <w:rFonts w:ascii="仿宋_GB2312" w:hAnsi="Times New Roman" w:eastAsia="仿宋_GB2312" w:cs="Times New Roman"/>
      <w:sz w:val="28"/>
      <w:szCs w:val="20"/>
    </w:rPr>
  </w:style>
  <w:style w:type="character" w:customStyle="1" w:styleId="658">
    <w:name w:val="日期 字符1"/>
    <w:qFormat/>
    <w:uiPriority w:val="0"/>
    <w:rPr>
      <w:rFonts w:ascii="宋体" w:hAnsi="宋体" w:eastAsia="宋体" w:cs="Times New Roman"/>
      <w:sz w:val="28"/>
      <w:szCs w:val="20"/>
    </w:rPr>
  </w:style>
  <w:style w:type="character" w:customStyle="1" w:styleId="659">
    <w:name w:val="正文文本 2 字符1"/>
    <w:qFormat/>
    <w:uiPriority w:val="0"/>
    <w:rPr>
      <w:rFonts w:ascii="Times New Roman" w:hAnsi="Times New Roman" w:eastAsia="宋体" w:cs="Times New Roman"/>
      <w:b/>
      <w:bCs/>
      <w:color w:val="008000"/>
      <w:sz w:val="24"/>
      <w:szCs w:val="20"/>
    </w:rPr>
  </w:style>
  <w:style w:type="character" w:customStyle="1" w:styleId="660">
    <w:name w:val="正文文本 3 字符1"/>
    <w:qFormat/>
    <w:uiPriority w:val="0"/>
    <w:rPr>
      <w:rFonts w:ascii="Times New Roman" w:hAnsi="Times New Roman" w:eastAsia="宋体" w:cs="Times New Roman"/>
      <w:sz w:val="24"/>
      <w:szCs w:val="20"/>
    </w:rPr>
  </w:style>
  <w:style w:type="character" w:customStyle="1" w:styleId="661">
    <w:name w:val="文档结构图 字符1"/>
    <w:qFormat/>
    <w:uiPriority w:val="0"/>
    <w:rPr>
      <w:rFonts w:ascii="Times New Roman" w:hAnsi="Times New Roman" w:eastAsia="宋体" w:cs="Times New Roman"/>
      <w:sz w:val="28"/>
      <w:szCs w:val="20"/>
      <w:shd w:val="clear" w:color="auto" w:fill="000080"/>
    </w:rPr>
  </w:style>
  <w:style w:type="character" w:customStyle="1" w:styleId="662">
    <w:name w:val="正文文本缩进 2 字符1"/>
    <w:qFormat/>
    <w:uiPriority w:val="0"/>
    <w:rPr>
      <w:rFonts w:ascii="方正书宋简体" w:hAnsi="Times New Roman" w:eastAsia="方正书宋简体" w:cs="Times New Roman"/>
      <w:sz w:val="28"/>
      <w:szCs w:val="20"/>
    </w:rPr>
  </w:style>
  <w:style w:type="character" w:customStyle="1" w:styleId="663">
    <w:name w:val="纯文本 字符1"/>
    <w:qFormat/>
    <w:uiPriority w:val="0"/>
    <w:rPr>
      <w:rFonts w:ascii="宋体" w:hAnsi="Courier New" w:eastAsia="宋体" w:cs="Times New Roman"/>
      <w:szCs w:val="20"/>
    </w:rPr>
  </w:style>
  <w:style w:type="character" w:customStyle="1" w:styleId="664">
    <w:name w:val="正文文本首行缩进 字符"/>
    <w:qFormat/>
    <w:uiPriority w:val="0"/>
    <w:rPr>
      <w:rFonts w:ascii="Times New Roman" w:hAnsi="Times New Roman" w:eastAsia="宋体" w:cs="Times New Roman"/>
      <w:kern w:val="2"/>
      <w:sz w:val="24"/>
      <w:szCs w:val="24"/>
      <w:lang w:bidi="ar-SA"/>
    </w:rPr>
  </w:style>
  <w:style w:type="character" w:customStyle="1" w:styleId="665">
    <w:name w:val="标题 字符1"/>
    <w:qFormat/>
    <w:uiPriority w:val="0"/>
    <w:rPr>
      <w:rFonts w:ascii="Cambria" w:hAnsi="Cambria" w:eastAsia="宋体" w:cs="Times New Roman"/>
      <w:b/>
      <w:bCs/>
      <w:sz w:val="32"/>
      <w:szCs w:val="32"/>
    </w:rPr>
  </w:style>
  <w:style w:type="character" w:customStyle="1" w:styleId="666">
    <w:name w:val="标题6"/>
    <w:qFormat/>
    <w:uiPriority w:val="0"/>
  </w:style>
  <w:style w:type="character" w:customStyle="1" w:styleId="667">
    <w:name w:val="正文缩进 字符1"/>
    <w:qFormat/>
    <w:locked/>
    <w:uiPriority w:val="0"/>
    <w:rPr>
      <w:rFonts w:ascii="Times New Roman" w:hAnsi="Times New Roman" w:eastAsia="宋体" w:cs="Times New Roman"/>
      <w:sz w:val="28"/>
      <w:szCs w:val="20"/>
    </w:rPr>
  </w:style>
  <w:style w:type="paragraph" w:customStyle="1" w:styleId="668">
    <w:name w:val="Char Char2 Char Char Char Char Char Char Char Char Char Char Char Char Char Char Char Char Char Char3"/>
    <w:basedOn w:val="1"/>
    <w:qFormat/>
    <w:uiPriority w:val="0"/>
    <w:rPr>
      <w:sz w:val="21"/>
      <w:szCs w:val="24"/>
    </w:rPr>
  </w:style>
  <w:style w:type="paragraph" w:customStyle="1" w:styleId="669">
    <w:name w:val="Char Char Char Char2"/>
    <w:basedOn w:val="1"/>
    <w:qFormat/>
    <w:uiPriority w:val="0"/>
    <w:rPr>
      <w:sz w:val="21"/>
      <w:szCs w:val="24"/>
    </w:rPr>
  </w:style>
  <w:style w:type="paragraph" w:customStyle="1" w:styleId="670">
    <w:name w:val="Char Char2 Char Char Char Char Char Char Char Char Char Char Char Char Char Char2"/>
    <w:basedOn w:val="1"/>
    <w:qFormat/>
    <w:uiPriority w:val="0"/>
    <w:rPr>
      <w:sz w:val="21"/>
      <w:szCs w:val="24"/>
    </w:rPr>
  </w:style>
  <w:style w:type="paragraph" w:customStyle="1" w:styleId="671">
    <w:name w:val="Char31"/>
    <w:basedOn w:val="1"/>
    <w:qFormat/>
    <w:uiPriority w:val="0"/>
    <w:pPr>
      <w:spacing w:line="360" w:lineRule="auto"/>
      <w:ind w:firstLine="200" w:firstLineChars="200"/>
    </w:pPr>
    <w:rPr>
      <w:rFonts w:ascii="宋体" w:hAnsi="宋体" w:cs="宋体"/>
      <w:sz w:val="24"/>
      <w:szCs w:val="24"/>
    </w:rPr>
  </w:style>
  <w:style w:type="paragraph" w:customStyle="1" w:styleId="672">
    <w:name w:val="Char Char2 Char Char Char Char Char Char Char Char Char Char Char Char Char Char Char Char Char Char11"/>
    <w:basedOn w:val="1"/>
    <w:qFormat/>
    <w:uiPriority w:val="0"/>
    <w:rPr>
      <w:sz w:val="21"/>
      <w:szCs w:val="24"/>
    </w:rPr>
  </w:style>
  <w:style w:type="paragraph" w:customStyle="1" w:styleId="673">
    <w:name w:val="Char Char1 Char Char Char Char2"/>
    <w:basedOn w:val="1"/>
    <w:qFormat/>
    <w:uiPriority w:val="0"/>
    <w:rPr>
      <w:sz w:val="21"/>
      <w:szCs w:val="24"/>
    </w:rPr>
  </w:style>
  <w:style w:type="paragraph" w:customStyle="1" w:styleId="674">
    <w:name w:val="Char Char1 Char Char Char Char Char Char Char Char Char Char Char Char Char Char Char Char Char Char Char Char1 Char1"/>
    <w:basedOn w:val="1"/>
    <w:qFormat/>
    <w:uiPriority w:val="0"/>
    <w:pPr>
      <w:spacing w:line="360" w:lineRule="auto"/>
      <w:ind w:firstLine="200" w:firstLineChars="200"/>
    </w:pPr>
    <w:rPr>
      <w:rFonts w:ascii="宋体" w:hAnsi="宋体" w:cs="宋体"/>
      <w:sz w:val="24"/>
      <w:szCs w:val="24"/>
    </w:rPr>
  </w:style>
  <w:style w:type="character" w:customStyle="1" w:styleId="675">
    <w:name w:val="批注文字 字符1"/>
    <w:qFormat/>
    <w:uiPriority w:val="0"/>
    <w:rPr>
      <w:rFonts w:ascii="Times New Roman" w:hAnsi="Times New Roman" w:eastAsia="宋体" w:cs="Times New Roman"/>
      <w:szCs w:val="24"/>
    </w:rPr>
  </w:style>
  <w:style w:type="character" w:customStyle="1" w:styleId="676">
    <w:name w:val="批注主题 字符1"/>
    <w:qFormat/>
    <w:uiPriority w:val="0"/>
    <w:rPr>
      <w:rFonts w:eastAsia="方正书宋简体"/>
      <w:b/>
      <w:bCs/>
      <w:sz w:val="28"/>
    </w:rPr>
  </w:style>
  <w:style w:type="character" w:customStyle="1" w:styleId="677">
    <w:name w:val="脚注文本 字符1"/>
    <w:qFormat/>
    <w:uiPriority w:val="0"/>
    <w:rPr>
      <w:rFonts w:ascii="Times New Roman" w:hAnsi="Times New Roman" w:eastAsia="宋体" w:cs="Times New Roman"/>
      <w:sz w:val="18"/>
      <w:szCs w:val="18"/>
    </w:rPr>
  </w:style>
  <w:style w:type="character" w:customStyle="1" w:styleId="678">
    <w:name w:val="批注框文本 字符1"/>
    <w:qFormat/>
    <w:uiPriority w:val="0"/>
    <w:rPr>
      <w:rFonts w:ascii="Times New Roman" w:hAnsi="Times New Roman" w:eastAsia="宋体" w:cs="Times New Roman"/>
      <w:sz w:val="18"/>
      <w:szCs w:val="18"/>
    </w:rPr>
  </w:style>
  <w:style w:type="character" w:customStyle="1" w:styleId="679">
    <w:name w:val="副标题 字符"/>
    <w:qFormat/>
    <w:uiPriority w:val="0"/>
    <w:rPr>
      <w:rFonts w:ascii="Cambria" w:hAnsi="Cambria" w:eastAsia="宋体" w:cs="Times New Roman"/>
      <w:b/>
      <w:bCs/>
      <w:kern w:val="28"/>
      <w:sz w:val="32"/>
      <w:szCs w:val="32"/>
    </w:rPr>
  </w:style>
  <w:style w:type="paragraph" w:customStyle="1" w:styleId="680">
    <w:name w:val="正文21"/>
    <w:qFormat/>
    <w:uiPriority w:val="0"/>
    <w:pPr>
      <w:widowControl w:val="0"/>
      <w:adjustRightInd w:val="0"/>
      <w:spacing w:line="360" w:lineRule="atLeast"/>
      <w:textAlignment w:val="baseline"/>
    </w:pPr>
    <w:rPr>
      <w:rFonts w:ascii="宋体" w:hAnsi="Times New Roman" w:eastAsia="宋体" w:cs="Times New Roman"/>
      <w:sz w:val="34"/>
      <w:lang w:val="en-US" w:eastAsia="zh-CN" w:bidi="ar-SA"/>
    </w:rPr>
  </w:style>
  <w:style w:type="paragraph" w:customStyle="1" w:styleId="681">
    <w:name w:val="Char Char2 Char Char Char Char Char Char Char Char Char Char Char Char Char Char Char Char Char Char1 Char Char Char Char Char Char Char Char11"/>
    <w:basedOn w:val="1"/>
    <w:qFormat/>
    <w:uiPriority w:val="0"/>
    <w:rPr>
      <w:sz w:val="21"/>
      <w:szCs w:val="24"/>
    </w:rPr>
  </w:style>
  <w:style w:type="character" w:customStyle="1" w:styleId="682">
    <w:name w:val="Char Char261"/>
    <w:qFormat/>
    <w:uiPriority w:val="0"/>
    <w:rPr>
      <w:rFonts w:ascii="Arial" w:hAnsi="Arial" w:eastAsia="黑体" w:cs="Times New Roman"/>
      <w:b/>
      <w:kern w:val="0"/>
      <w:szCs w:val="20"/>
    </w:rPr>
  </w:style>
  <w:style w:type="character" w:customStyle="1" w:styleId="683">
    <w:name w:val="Char Char251"/>
    <w:qFormat/>
    <w:uiPriority w:val="0"/>
    <w:rPr>
      <w:rFonts w:ascii="Times New Roman" w:hAnsi="Times New Roman" w:eastAsia="宋体" w:cs="Times New Roman"/>
      <w:b/>
      <w:kern w:val="0"/>
      <w:szCs w:val="20"/>
    </w:rPr>
  </w:style>
  <w:style w:type="character" w:customStyle="1" w:styleId="684">
    <w:name w:val="Char Char211"/>
    <w:qFormat/>
    <w:uiPriority w:val="0"/>
    <w:rPr>
      <w:rFonts w:ascii="Arial" w:hAnsi="Arial" w:eastAsia="黑体" w:cs="Times New Roman"/>
      <w:kern w:val="0"/>
      <w:szCs w:val="20"/>
    </w:rPr>
  </w:style>
  <w:style w:type="character" w:customStyle="1" w:styleId="685">
    <w:name w:val="Char Char201"/>
    <w:qFormat/>
    <w:uiPriority w:val="0"/>
    <w:rPr>
      <w:rFonts w:ascii="Arial" w:hAnsi="Arial" w:eastAsia="黑体" w:cs="Times New Roman"/>
      <w:kern w:val="0"/>
      <w:szCs w:val="20"/>
    </w:rPr>
  </w:style>
  <w:style w:type="character" w:customStyle="1" w:styleId="686">
    <w:name w:val="Char Char171"/>
    <w:qFormat/>
    <w:uiPriority w:val="0"/>
    <w:rPr>
      <w:rFonts w:ascii="Times New Roman" w:hAnsi="Times New Roman" w:eastAsia="宋体" w:cs="Times New Roman"/>
      <w:sz w:val="18"/>
      <w:szCs w:val="18"/>
    </w:rPr>
  </w:style>
  <w:style w:type="character" w:customStyle="1" w:styleId="687">
    <w:name w:val="Char Char141"/>
    <w:qFormat/>
    <w:uiPriority w:val="0"/>
    <w:rPr>
      <w:rFonts w:ascii="方正书宋简体" w:hAnsi="Times New Roman" w:eastAsia="方正书宋简体" w:cs="Times New Roman"/>
      <w:szCs w:val="20"/>
    </w:rPr>
  </w:style>
  <w:style w:type="character" w:customStyle="1" w:styleId="688">
    <w:name w:val="Char Char111"/>
    <w:qFormat/>
    <w:uiPriority w:val="0"/>
    <w:rPr>
      <w:rFonts w:ascii="Times New Roman" w:hAnsi="Times New Roman" w:eastAsia="宋体" w:cs="Times New Roman"/>
      <w:szCs w:val="24"/>
    </w:rPr>
  </w:style>
  <w:style w:type="paragraph" w:customStyle="1" w:styleId="689">
    <w:name w:val="Char Char Char Char Char Char Char Char Char Char Char Char Char Char Char Char2"/>
    <w:basedOn w:val="1"/>
    <w:qFormat/>
    <w:uiPriority w:val="0"/>
    <w:pPr>
      <w:tabs>
        <w:tab w:val="left" w:pos="360"/>
      </w:tabs>
    </w:pPr>
    <w:rPr>
      <w:sz w:val="24"/>
      <w:szCs w:val="24"/>
    </w:rPr>
  </w:style>
  <w:style w:type="character" w:customStyle="1" w:styleId="690">
    <w:name w:val="Char Char241"/>
    <w:qFormat/>
    <w:uiPriority w:val="0"/>
    <w:rPr>
      <w:rFonts w:ascii="仿宋_GB2312" w:hAnsi="Arial" w:eastAsia="仿宋_GB2312"/>
      <w:kern w:val="2"/>
      <w:sz w:val="28"/>
    </w:rPr>
  </w:style>
  <w:style w:type="character" w:customStyle="1" w:styleId="691">
    <w:name w:val="Char Char231"/>
    <w:qFormat/>
    <w:uiPriority w:val="0"/>
    <w:rPr>
      <w:rFonts w:ascii="仿宋_GB2312" w:hAnsi="Times New Roman" w:eastAsia="仿宋_GB2312"/>
      <w:kern w:val="2"/>
      <w:sz w:val="28"/>
    </w:rPr>
  </w:style>
  <w:style w:type="character" w:customStyle="1" w:styleId="692">
    <w:name w:val="Char Char221"/>
    <w:qFormat/>
    <w:uiPriority w:val="0"/>
    <w:rPr>
      <w:rFonts w:ascii="Arial" w:hAnsi="Arial" w:eastAsia="黑体"/>
      <w:b/>
      <w:sz w:val="21"/>
    </w:rPr>
  </w:style>
  <w:style w:type="character" w:customStyle="1" w:styleId="693">
    <w:name w:val="题注 字符"/>
    <w:qFormat/>
    <w:uiPriority w:val="0"/>
    <w:rPr>
      <w:rFonts w:ascii="Arial" w:hAnsi="Arial" w:eastAsia="黑体" w:cs="Times New Roman"/>
      <w:sz w:val="24"/>
      <w:szCs w:val="24"/>
    </w:rPr>
  </w:style>
  <w:style w:type="character" w:customStyle="1" w:styleId="694">
    <w:name w:val="正文文本首行缩进 2 字符"/>
    <w:qFormat/>
    <w:uiPriority w:val="99"/>
    <w:rPr>
      <w:rFonts w:ascii="Times New Roman" w:hAnsi="Times New Roman" w:eastAsia="宋体" w:cs="Times New Roman"/>
      <w:sz w:val="28"/>
      <w:szCs w:val="20"/>
    </w:rPr>
  </w:style>
  <w:style w:type="paragraph" w:customStyle="1" w:styleId="695">
    <w:name w:val="浅色底纹 - 强调文字颜色 23"/>
    <w:basedOn w:val="1"/>
    <w:qFormat/>
    <w:uiPriority w:val="0"/>
    <w:rPr>
      <w:b/>
      <w:bCs/>
      <w:i/>
      <w:iCs/>
      <w:color w:val="4F81BD"/>
      <w:sz w:val="24"/>
      <w:szCs w:val="24"/>
    </w:rPr>
  </w:style>
  <w:style w:type="character" w:customStyle="1" w:styleId="696">
    <w:name w:val="正文文本 字符1"/>
    <w:qFormat/>
    <w:uiPriority w:val="0"/>
    <w:rPr>
      <w:rFonts w:ascii="方正书宋简体" w:hAnsi="Times New Roman" w:eastAsia="方正书宋简体" w:cs="Times New Roman"/>
      <w:sz w:val="28"/>
      <w:szCs w:val="20"/>
    </w:rPr>
  </w:style>
  <w:style w:type="paragraph" w:customStyle="1" w:styleId="697">
    <w:name w:val="标题 31"/>
    <w:basedOn w:val="1"/>
    <w:next w:val="1"/>
    <w:qFormat/>
    <w:uiPriority w:val="0"/>
    <w:pPr>
      <w:keepNext/>
      <w:keepLines/>
      <w:spacing w:before="260" w:after="260" w:line="415" w:lineRule="auto"/>
      <w:outlineLvl w:val="2"/>
    </w:pPr>
    <w:rPr>
      <w:b/>
      <w:bCs/>
      <w:sz w:val="32"/>
      <w:szCs w:val="32"/>
    </w:rPr>
  </w:style>
  <w:style w:type="character" w:customStyle="1" w:styleId="698">
    <w:name w:val="标题 4 字符1"/>
    <w:qFormat/>
    <w:uiPriority w:val="0"/>
    <w:rPr>
      <w:rFonts w:ascii="仿宋_GB2312" w:hAnsi="Arial" w:eastAsia="仿宋_GB2312" w:cs="Times New Roman"/>
      <w:sz w:val="24"/>
      <w:szCs w:val="20"/>
    </w:rPr>
  </w:style>
  <w:style w:type="character" w:customStyle="1" w:styleId="699">
    <w:name w:val="引用 Char"/>
    <w:qFormat/>
    <w:uiPriority w:val="29"/>
    <w:rPr>
      <w:i/>
      <w:iCs/>
      <w:color w:val="000000"/>
    </w:rPr>
  </w:style>
  <w:style w:type="character" w:customStyle="1" w:styleId="700">
    <w:name w:val="引用 字符1"/>
    <w:qFormat/>
    <w:uiPriority w:val="0"/>
    <w:rPr>
      <w:rFonts w:ascii="Times New Roman" w:hAnsi="Times New Roman" w:eastAsia="宋体" w:cs="Times New Roman"/>
      <w:i/>
      <w:iCs/>
      <w:color w:val="000000"/>
      <w:kern w:val="0"/>
      <w:sz w:val="24"/>
      <w:szCs w:val="20"/>
    </w:rPr>
  </w:style>
  <w:style w:type="character" w:customStyle="1" w:styleId="701">
    <w:name w:val="明显引用 Char"/>
    <w:qFormat/>
    <w:uiPriority w:val="30"/>
    <w:rPr>
      <w:b/>
      <w:bCs/>
      <w:i/>
      <w:iCs/>
      <w:color w:val="4F81BD"/>
    </w:rPr>
  </w:style>
  <w:style w:type="character" w:customStyle="1" w:styleId="702">
    <w:name w:val="明显引用 字符1"/>
    <w:qFormat/>
    <w:uiPriority w:val="30"/>
    <w:rPr>
      <w:rFonts w:ascii="Times New Roman" w:hAnsi="Times New Roman" w:eastAsia="宋体" w:cs="Times New Roman"/>
      <w:b/>
      <w:bCs/>
      <w:i/>
      <w:iCs/>
      <w:color w:val="4F81BD"/>
      <w:sz w:val="24"/>
    </w:rPr>
  </w:style>
  <w:style w:type="character" w:customStyle="1" w:styleId="703">
    <w:name w:val="标题9"/>
    <w:qFormat/>
    <w:uiPriority w:val="0"/>
  </w:style>
  <w:style w:type="paragraph" w:customStyle="1" w:styleId="704">
    <w:name w:val="正文3"/>
    <w:qFormat/>
    <w:uiPriority w:val="0"/>
    <w:pPr>
      <w:widowControl w:val="0"/>
      <w:adjustRightInd w:val="0"/>
      <w:spacing w:line="360" w:lineRule="atLeast"/>
      <w:textAlignment w:val="baseline"/>
    </w:pPr>
    <w:rPr>
      <w:rFonts w:ascii="宋体" w:hAnsi="Times New Roman" w:eastAsia="宋体" w:cs="Times New Roman"/>
      <w:sz w:val="34"/>
      <w:lang w:val="en-US" w:eastAsia="zh-CN" w:bidi="ar-SA"/>
    </w:rPr>
  </w:style>
  <w:style w:type="paragraph" w:customStyle="1" w:styleId="705">
    <w:name w:val="标题 32"/>
    <w:basedOn w:val="1"/>
    <w:next w:val="1"/>
    <w:qFormat/>
    <w:uiPriority w:val="0"/>
    <w:pPr>
      <w:keepNext/>
      <w:keepLines/>
      <w:spacing w:before="260" w:after="260" w:line="415" w:lineRule="auto"/>
      <w:outlineLvl w:val="2"/>
    </w:pPr>
    <w:rPr>
      <w:b/>
      <w:bCs/>
      <w:sz w:val="32"/>
      <w:szCs w:val="32"/>
    </w:rPr>
  </w:style>
  <w:style w:type="paragraph" w:customStyle="1" w:styleId="706">
    <w:name w:val="p"/>
    <w:basedOn w:val="1"/>
    <w:qFormat/>
    <w:uiPriority w:val="0"/>
    <w:pPr>
      <w:widowControl/>
      <w:spacing w:before="100" w:beforeAutospacing="1" w:after="100" w:afterAutospacing="1"/>
      <w:jc w:val="left"/>
    </w:pPr>
    <w:rPr>
      <w:rFonts w:ascii="宋体" w:hAnsi="宋体" w:cs="宋体"/>
      <w:kern w:val="0"/>
      <w:sz w:val="24"/>
      <w:szCs w:val="24"/>
    </w:rPr>
  </w:style>
  <w:style w:type="character" w:customStyle="1" w:styleId="707">
    <w:name w:val="未处理的提及"/>
    <w:unhideWhenUsed/>
    <w:qFormat/>
    <w:uiPriority w:val="99"/>
    <w:rPr>
      <w:color w:val="605E5C"/>
      <w:shd w:val="clear" w:color="auto" w:fill="E1DFDD"/>
    </w:rPr>
  </w:style>
  <w:style w:type="paragraph" w:customStyle="1" w:styleId="708">
    <w:name w:val=" Char Char3 Char Char"/>
    <w:basedOn w:val="1"/>
    <w:qFormat/>
    <w:uiPriority w:val="0"/>
    <w:rPr>
      <w:sz w:val="32"/>
      <w:szCs w:val="32"/>
    </w:rPr>
  </w:style>
  <w:style w:type="paragraph" w:customStyle="1" w:styleId="709">
    <w:name w:val=" Char Char Char Char Char Char Char Char Char1 Char Char Char Char"/>
    <w:basedOn w:val="1"/>
    <w:qFormat/>
    <w:uiPriority w:val="0"/>
    <w:pPr>
      <w:widowControl/>
      <w:spacing w:after="160" w:line="240" w:lineRule="exact"/>
      <w:jc w:val="left"/>
    </w:pPr>
    <w:rPr>
      <w:sz w:val="21"/>
    </w:rPr>
  </w:style>
  <w:style w:type="paragraph" w:customStyle="1" w:styleId="710">
    <w:name w:val="_Style 6"/>
    <w:basedOn w:val="1"/>
    <w:qFormat/>
    <w:uiPriority w:val="0"/>
    <w:pPr>
      <w:widowControl w:val="0"/>
      <w:adjustRightInd w:val="0"/>
      <w:spacing w:line="360" w:lineRule="auto"/>
      <w:jc w:val="both"/>
    </w:pPr>
    <w:rPr>
      <w:rFonts w:ascii="Times New Roman" w:hAnsi="Times New Roman" w:cs="Times New Roman"/>
      <w:sz w:val="20"/>
      <w:szCs w:val="20"/>
    </w:rPr>
  </w:style>
  <w:style w:type="character" w:customStyle="1" w:styleId="711">
    <w:name w:val="表格文字1 字符"/>
    <w:link w:val="712"/>
    <w:qFormat/>
    <w:locked/>
    <w:uiPriority w:val="0"/>
    <w:rPr>
      <w:szCs w:val="21"/>
    </w:rPr>
  </w:style>
  <w:style w:type="paragraph" w:customStyle="1" w:styleId="712">
    <w:name w:val="表格文字1"/>
    <w:basedOn w:val="1"/>
    <w:link w:val="711"/>
    <w:qFormat/>
    <w:uiPriority w:val="0"/>
    <w:pPr>
      <w:widowControl w:val="0"/>
      <w:adjustRightInd w:val="0"/>
      <w:snapToGrid w:val="0"/>
    </w:pPr>
    <w:rPr>
      <w:rFonts w:ascii="Times New Roman" w:hAnsi="Times New Roman" w:cs="Times New Roman"/>
      <w:sz w:val="20"/>
      <w:szCs w:val="21"/>
    </w:rPr>
  </w:style>
  <w:style w:type="paragraph" w:customStyle="1" w:styleId="713">
    <w:name w:val="正文式样"/>
    <w:basedOn w:val="19"/>
    <w:qFormat/>
    <w:uiPriority w:val="0"/>
    <w:pPr>
      <w:widowControl w:val="0"/>
      <w:ind w:firstLine="601" w:firstLineChars="0"/>
      <w:jc w:val="both"/>
    </w:pPr>
    <w:rPr>
      <w:rFonts w:ascii="Times New Roman" w:hAnsi="Times New Roman" w:cs="Times New Roman"/>
      <w:kern w:val="2"/>
      <w:sz w:val="28"/>
      <w:szCs w:val="28"/>
    </w:rPr>
  </w:style>
  <w:style w:type="table" w:customStyle="1" w:styleId="714">
    <w:name w:val="常用"/>
    <w:basedOn w:val="56"/>
    <w:qFormat/>
    <w:uiPriority w:val="0"/>
    <w:pPr>
      <w:widowControl w:val="0"/>
      <w:jc w:val="center"/>
    </w:pPr>
    <w:rPr>
      <w:sz w:val="21"/>
    </w:rPr>
    <w:tblP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
    <w:tcPr>
      <w:vAlign w:val="center"/>
    </w:tcPr>
  </w:style>
  <w:style w:type="character" w:customStyle="1" w:styleId="715">
    <w:name w:val="0.5正文缩进1 Char"/>
    <w:link w:val="716"/>
    <w:qFormat/>
    <w:uiPriority w:val="0"/>
    <w:rPr>
      <w:rFonts w:eastAsia="仿宋_GB2312"/>
      <w:sz w:val="24"/>
      <w:szCs w:val="24"/>
      <w:lang w:val="zh-CN"/>
    </w:rPr>
  </w:style>
  <w:style w:type="paragraph" w:customStyle="1" w:styleId="716">
    <w:name w:val="0.5正文缩进1"/>
    <w:basedOn w:val="1"/>
    <w:link w:val="715"/>
    <w:qFormat/>
    <w:uiPriority w:val="0"/>
    <w:pPr>
      <w:widowControl w:val="0"/>
      <w:adjustRightInd w:val="0"/>
      <w:snapToGrid w:val="0"/>
      <w:spacing w:line="360" w:lineRule="auto"/>
      <w:ind w:firstLine="200" w:firstLineChars="200"/>
    </w:pPr>
    <w:rPr>
      <w:rFonts w:ascii="Times New Roman" w:hAnsi="Times New Roman" w:eastAsia="仿宋_GB2312" w:cs="Times New Roman"/>
      <w:lang w:val="zh-CN"/>
    </w:rPr>
  </w:style>
  <w:style w:type="paragraph" w:customStyle="1" w:styleId="717">
    <w:name w:val=" Char"/>
    <w:basedOn w:val="1"/>
    <w:qFormat/>
    <w:uiPriority w:val="0"/>
    <w:rPr>
      <w:sz w:val="32"/>
      <w:szCs w:val="32"/>
    </w:rPr>
  </w:style>
  <w:style w:type="paragraph" w:customStyle="1" w:styleId="718">
    <w:name w:val="报告表格"/>
    <w:basedOn w:val="1"/>
    <w:next w:val="129"/>
    <w:qFormat/>
    <w:uiPriority w:val="0"/>
    <w:pPr>
      <w:numPr>
        <w:ilvl w:val="0"/>
        <w:numId w:val="0"/>
      </w:numPr>
      <w:topLinePunct/>
      <w:spacing w:line="240" w:lineRule="auto"/>
      <w:ind w:left="0" w:firstLine="0" w:firstLineChars="0"/>
      <w:jc w:val="center"/>
    </w:pPr>
    <w:rPr>
      <w:rFonts w:ascii="Times New Roman" w:hAnsi="Times New Roman" w:eastAsia="宋体"/>
      <w:color w:val="auto"/>
      <w:sz w:val="21"/>
      <w:szCs w:val="21"/>
    </w:rPr>
  </w:style>
  <w:style w:type="paragraph" w:customStyle="1" w:styleId="719">
    <w:name w:val="表、图标题名"/>
    <w:basedOn w:val="1"/>
    <w:autoRedefine/>
    <w:qFormat/>
    <w:uiPriority w:val="0"/>
    <w:pPr>
      <w:widowControl/>
      <w:spacing w:beforeLines="50"/>
      <w:jc w:val="center"/>
    </w:pPr>
    <w:rPr>
      <w:b/>
      <w:bCs/>
      <w:sz w:val="24"/>
      <w:szCs w:val="21"/>
    </w:rPr>
  </w:style>
  <w:style w:type="paragraph" w:customStyle="1" w:styleId="720">
    <w:name w:val="表格内"/>
    <w:basedOn w:val="1"/>
    <w:qFormat/>
    <w:uiPriority w:val="0"/>
    <w:pPr>
      <w:spacing w:line="240" w:lineRule="auto"/>
      <w:ind w:firstLine="0" w:firstLineChars="0"/>
      <w:jc w:val="center"/>
    </w:pPr>
    <w:rPr>
      <w:rFonts w:ascii="Times New Roman" w:hAnsi="Times New Roman" w:cs="Times New Roman"/>
      <w:sz w:val="21"/>
    </w:rPr>
  </w:style>
  <w:style w:type="table" w:customStyle="1" w:styleId="721">
    <w:name w:val="表格333"/>
    <w:basedOn w:val="56"/>
    <w:autoRedefine/>
    <w:qFormat/>
    <w:uiPriority w:val="0"/>
    <w:pPr>
      <w:spacing w:line="360" w:lineRule="exact"/>
      <w:jc w:val="center"/>
    </w:pPr>
    <w:rPr>
      <w:rFonts w:cs="Calibri"/>
      <w:snapToGrid w:val="0"/>
    </w:rPr>
    <w:tblPr>
      <w:jc w:val="center"/>
      <w:tblBorders>
        <w:top w:val="double" w:color="auto" w:sz="4" w:space="0"/>
        <w:bottom w:val="double" w:color="auto" w:sz="4" w:space="0"/>
        <w:insideH w:val="single" w:color="auto" w:sz="4" w:space="0"/>
        <w:insideV w:val="single" w:color="auto" w:sz="4" w:space="0"/>
      </w:tblBorders>
    </w:tblPr>
    <w:trPr>
      <w:jc w:val="center"/>
    </w:trPr>
    <w:tcPr>
      <w:vAlign w:val="center"/>
    </w:tcPr>
  </w:style>
  <w:style w:type="paragraph" w:customStyle="1" w:styleId="722">
    <w:name w:val="样式 样式 样式 样式 首行缩进:  0.85 厘米 段前: 0.5 行 段后: 0.5 行 + 首行缩进:  2 字符 + 左..."/>
    <w:basedOn w:val="4"/>
    <w:autoRedefine/>
    <w:qFormat/>
    <w:uiPriority w:val="0"/>
    <w:pPr>
      <w:adjustRightInd w:val="0"/>
      <w:spacing w:line="360" w:lineRule="auto"/>
      <w:ind w:firstLine="200" w:firstLineChars="200"/>
      <w:textAlignment w:val="baseline"/>
    </w:pPr>
    <w:rPr>
      <w:rFonts w:ascii="Times New Roman" w:hAnsi="Times New Roman" w:eastAsia="宋体" w:cs="Times New Roman"/>
      <w:sz w:val="24"/>
      <w:u w:color="000000"/>
    </w:rPr>
  </w:style>
  <w:style w:type="character" w:customStyle="1" w:styleId="723">
    <w:name w:val="font61"/>
    <w:basedOn w:val="60"/>
    <w:autoRedefine/>
    <w:qFormat/>
    <w:uiPriority w:val="0"/>
    <w:rPr>
      <w:rFonts w:hint="default" w:ascii="Times New Roman" w:hAnsi="Times New Roman" w:eastAsia="宋体" w:cs="Times New Roman"/>
      <w:color w:val="000000"/>
      <w:sz w:val="21"/>
      <w:szCs w:val="21"/>
      <w:u w:val="none"/>
      <w:vertAlign w:val="subscript"/>
    </w:rPr>
  </w:style>
  <w:style w:type="paragraph" w:customStyle="1" w:styleId="724">
    <w:name w:val="1正文段落"/>
    <w:basedOn w:val="1"/>
    <w:autoRedefine/>
    <w:qFormat/>
    <w:uiPriority w:val="0"/>
    <w:pPr>
      <w:ind w:firstLine="480"/>
      <w:jc w:val="left"/>
    </w:pPr>
    <w:rPr>
      <w:snapToGrid w:val="0"/>
      <w:kern w:val="0"/>
      <w:szCs w:val="24"/>
    </w:rPr>
  </w:style>
  <w:style w:type="character" w:customStyle="1" w:styleId="725">
    <w:name w:val="font51"/>
    <w:basedOn w:val="60"/>
    <w:autoRedefine/>
    <w:qFormat/>
    <w:uiPriority w:val="0"/>
    <w:rPr>
      <w:rFonts w:hint="eastAsia" w:ascii="宋体" w:hAnsi="宋体" w:eastAsia="宋体" w:cs="宋体"/>
      <w:color w:val="000000"/>
      <w:sz w:val="21"/>
      <w:szCs w:val="21"/>
      <w:u w:val="none"/>
    </w:rPr>
  </w:style>
  <w:style w:type="paragraph" w:customStyle="1" w:styleId="726">
    <w:name w:val="E内容"/>
    <w:basedOn w:val="1"/>
    <w:autoRedefine/>
    <w:qFormat/>
    <w:uiPriority w:val="0"/>
    <w:pPr>
      <w:spacing w:line="360" w:lineRule="auto"/>
      <w:ind w:firstLine="720" w:firstLineChars="200"/>
    </w:pPr>
    <w:rPr>
      <w:rFonts w:ascii="Times New Roman" w:hAnsi="Times New Roman" w:eastAsia="宋体"/>
      <w:sz w:val="24"/>
      <w:szCs w:val="21"/>
    </w:rPr>
  </w:style>
  <w:style w:type="paragraph" w:customStyle="1" w:styleId="727">
    <w:name w:val="图表题头"/>
    <w:next w:val="1"/>
    <w:autoRedefine/>
    <w:qFormat/>
    <w:uiPriority w:val="0"/>
    <w:pPr>
      <w:adjustRightInd w:val="0"/>
      <w:spacing w:line="360" w:lineRule="auto"/>
      <w:jc w:val="center"/>
      <w:textAlignment w:val="center"/>
    </w:pPr>
    <w:rPr>
      <w:rFonts w:ascii="Times New Roman" w:hAnsi="Times New Roman" w:eastAsia="宋体" w:cs="Times New Roman"/>
      <w:b/>
      <w:sz w:val="24"/>
      <w:szCs w:val="24"/>
      <w:lang w:val="en-US" w:eastAsia="zh-CN" w:bidi="ar-SA"/>
    </w:rPr>
  </w:style>
</w:styles>
</file>

<file path=word/_rels/document.xml.rels><?xml version="1.0" encoding="UTF-8" standalone="yes"?>
<Relationships xmlns="http://schemas.openxmlformats.org/package/2006/relationships"><Relationship Id="rId99" Type="http://schemas.openxmlformats.org/officeDocument/2006/relationships/image" Target="media/image65.png"/><Relationship Id="rId98" Type="http://schemas.openxmlformats.org/officeDocument/2006/relationships/image" Target="media/image64.png"/><Relationship Id="rId97" Type="http://schemas.openxmlformats.org/officeDocument/2006/relationships/image" Target="media/image63.png"/><Relationship Id="rId96" Type="http://schemas.openxmlformats.org/officeDocument/2006/relationships/image" Target="media/image62.png"/><Relationship Id="rId95" Type="http://schemas.openxmlformats.org/officeDocument/2006/relationships/image" Target="media/image61.png"/><Relationship Id="rId94" Type="http://schemas.openxmlformats.org/officeDocument/2006/relationships/image" Target="media/image60.png"/><Relationship Id="rId93" Type="http://schemas.openxmlformats.org/officeDocument/2006/relationships/image" Target="media/image59.png"/><Relationship Id="rId92" Type="http://schemas.openxmlformats.org/officeDocument/2006/relationships/image" Target="media/image58.png"/><Relationship Id="rId91" Type="http://schemas.openxmlformats.org/officeDocument/2006/relationships/image" Target="media/image57.png"/><Relationship Id="rId90" Type="http://schemas.openxmlformats.org/officeDocument/2006/relationships/image" Target="media/image56.png"/><Relationship Id="rId9" Type="http://schemas.openxmlformats.org/officeDocument/2006/relationships/header" Target="header5.xml"/><Relationship Id="rId89" Type="http://schemas.openxmlformats.org/officeDocument/2006/relationships/image" Target="media/image55.png"/><Relationship Id="rId88" Type="http://schemas.openxmlformats.org/officeDocument/2006/relationships/image" Target="media/image54.png"/><Relationship Id="rId87" Type="http://schemas.openxmlformats.org/officeDocument/2006/relationships/image" Target="media/image53.png"/><Relationship Id="rId86" Type="http://schemas.openxmlformats.org/officeDocument/2006/relationships/image" Target="media/image52.png"/><Relationship Id="rId85" Type="http://schemas.openxmlformats.org/officeDocument/2006/relationships/image" Target="media/image51.png"/><Relationship Id="rId84" Type="http://schemas.openxmlformats.org/officeDocument/2006/relationships/image" Target="media/image50.png"/><Relationship Id="rId83" Type="http://schemas.openxmlformats.org/officeDocument/2006/relationships/image" Target="media/image49.png"/><Relationship Id="rId82" Type="http://schemas.openxmlformats.org/officeDocument/2006/relationships/image" Target="media/image48.png"/><Relationship Id="rId81" Type="http://schemas.openxmlformats.org/officeDocument/2006/relationships/image" Target="media/image47.png"/><Relationship Id="rId80" Type="http://schemas.openxmlformats.org/officeDocument/2006/relationships/image" Target="media/image46.png"/><Relationship Id="rId8" Type="http://schemas.openxmlformats.org/officeDocument/2006/relationships/footer" Target="footer2.xml"/><Relationship Id="rId79" Type="http://schemas.openxmlformats.org/officeDocument/2006/relationships/image" Target="media/image45.png"/><Relationship Id="rId78" Type="http://schemas.openxmlformats.org/officeDocument/2006/relationships/image" Target="media/image44.png"/><Relationship Id="rId77" Type="http://schemas.openxmlformats.org/officeDocument/2006/relationships/image" Target="media/image43.png"/><Relationship Id="rId76" Type="http://schemas.openxmlformats.org/officeDocument/2006/relationships/image" Target="media/image42.png"/><Relationship Id="rId75" Type="http://schemas.openxmlformats.org/officeDocument/2006/relationships/image" Target="media/image41.png"/><Relationship Id="rId74" Type="http://schemas.openxmlformats.org/officeDocument/2006/relationships/image" Target="media/image40.png"/><Relationship Id="rId73" Type="http://schemas.openxmlformats.org/officeDocument/2006/relationships/image" Target="media/image39.png"/><Relationship Id="rId72" Type="http://schemas.openxmlformats.org/officeDocument/2006/relationships/image" Target="media/image38.png"/><Relationship Id="rId71" Type="http://schemas.openxmlformats.org/officeDocument/2006/relationships/image" Target="media/image37.png"/><Relationship Id="rId70" Type="http://schemas.openxmlformats.org/officeDocument/2006/relationships/image" Target="media/image36.png"/><Relationship Id="rId7" Type="http://schemas.openxmlformats.org/officeDocument/2006/relationships/header" Target="header4.xml"/><Relationship Id="rId69" Type="http://schemas.openxmlformats.org/officeDocument/2006/relationships/image" Target="media/image35.png"/><Relationship Id="rId68" Type="http://schemas.openxmlformats.org/officeDocument/2006/relationships/image" Target="media/image34.png"/><Relationship Id="rId67" Type="http://schemas.openxmlformats.org/officeDocument/2006/relationships/image" Target="media/image33.png"/><Relationship Id="rId66" Type="http://schemas.openxmlformats.org/officeDocument/2006/relationships/image" Target="media/image32.png"/><Relationship Id="rId65" Type="http://schemas.openxmlformats.org/officeDocument/2006/relationships/image" Target="media/image31.png"/><Relationship Id="rId64" Type="http://schemas.openxmlformats.org/officeDocument/2006/relationships/image" Target="media/image30.png"/><Relationship Id="rId63" Type="http://schemas.openxmlformats.org/officeDocument/2006/relationships/image" Target="media/image29.png"/><Relationship Id="rId62" Type="http://schemas.openxmlformats.org/officeDocument/2006/relationships/image" Target="media/image28.png"/><Relationship Id="rId61" Type="http://schemas.openxmlformats.org/officeDocument/2006/relationships/image" Target="media/image27.png"/><Relationship Id="rId60" Type="http://schemas.openxmlformats.org/officeDocument/2006/relationships/image" Target="media/image26.png"/><Relationship Id="rId6" Type="http://schemas.openxmlformats.org/officeDocument/2006/relationships/footer" Target="footer1.xml"/><Relationship Id="rId59" Type="http://schemas.openxmlformats.org/officeDocument/2006/relationships/chart" Target="charts/chart2.xml"/><Relationship Id="rId58" Type="http://schemas.openxmlformats.org/officeDocument/2006/relationships/chart" Target="charts/chart1.xml"/><Relationship Id="rId57" Type="http://schemas.openxmlformats.org/officeDocument/2006/relationships/image" Target="media/image25.png"/><Relationship Id="rId56" Type="http://schemas.openxmlformats.org/officeDocument/2006/relationships/image" Target="media/image24.png"/><Relationship Id="rId55" Type="http://schemas.openxmlformats.org/officeDocument/2006/relationships/image" Target="media/image23.wmf"/><Relationship Id="rId54" Type="http://schemas.openxmlformats.org/officeDocument/2006/relationships/oleObject" Target="embeddings/oleObject5.bin"/><Relationship Id="rId53" Type="http://schemas.openxmlformats.org/officeDocument/2006/relationships/image" Target="media/image22.wmf"/><Relationship Id="rId52" Type="http://schemas.openxmlformats.org/officeDocument/2006/relationships/oleObject" Target="embeddings/oleObject4.bin"/><Relationship Id="rId51" Type="http://schemas.openxmlformats.org/officeDocument/2006/relationships/image" Target="media/image21.wmf"/><Relationship Id="rId50" Type="http://schemas.openxmlformats.org/officeDocument/2006/relationships/oleObject" Target="embeddings/oleObject3.bin"/><Relationship Id="rId5" Type="http://schemas.openxmlformats.org/officeDocument/2006/relationships/header" Target="header3.xml"/><Relationship Id="rId49" Type="http://schemas.openxmlformats.org/officeDocument/2006/relationships/image" Target="media/image20.wmf"/><Relationship Id="rId48" Type="http://schemas.openxmlformats.org/officeDocument/2006/relationships/oleObject" Target="embeddings/oleObject2.bin"/><Relationship Id="rId47" Type="http://schemas.openxmlformats.org/officeDocument/2006/relationships/image" Target="media/image19.png"/><Relationship Id="rId46" Type="http://schemas.openxmlformats.org/officeDocument/2006/relationships/image" Target="media/image18.png"/><Relationship Id="rId45" Type="http://schemas.openxmlformats.org/officeDocument/2006/relationships/image" Target="media/image17.png"/><Relationship Id="rId44" Type="http://schemas.openxmlformats.org/officeDocument/2006/relationships/image" Target="media/image16.png"/><Relationship Id="rId43" Type="http://schemas.openxmlformats.org/officeDocument/2006/relationships/image" Target="media/image15.png"/><Relationship Id="rId42" Type="http://schemas.openxmlformats.org/officeDocument/2006/relationships/image" Target="media/image14.jpeg"/><Relationship Id="rId41" Type="http://schemas.openxmlformats.org/officeDocument/2006/relationships/image" Target="media/image13.jpeg"/><Relationship Id="rId40" Type="http://schemas.openxmlformats.org/officeDocument/2006/relationships/image" Target="media/image12.jpeg"/><Relationship Id="rId4" Type="http://schemas.openxmlformats.org/officeDocument/2006/relationships/header" Target="header2.xml"/><Relationship Id="rId39" Type="http://schemas.openxmlformats.org/officeDocument/2006/relationships/image" Target="media/image11.jpeg"/><Relationship Id="rId38" Type="http://schemas.openxmlformats.org/officeDocument/2006/relationships/image" Target="media/image10.png"/><Relationship Id="rId37" Type="http://schemas.openxmlformats.org/officeDocument/2006/relationships/image" Target="media/image9.png"/><Relationship Id="rId36" Type="http://schemas.openxmlformats.org/officeDocument/2006/relationships/image" Target="media/image8.png"/><Relationship Id="rId35" Type="http://schemas.openxmlformats.org/officeDocument/2006/relationships/image" Target="media/image7.png"/><Relationship Id="rId34" Type="http://schemas.openxmlformats.org/officeDocument/2006/relationships/image" Target="media/image6.png"/><Relationship Id="rId33" Type="http://schemas.openxmlformats.org/officeDocument/2006/relationships/image" Target="media/image5.wmf"/><Relationship Id="rId32" Type="http://schemas.openxmlformats.org/officeDocument/2006/relationships/image" Target="media/image4.jpeg"/><Relationship Id="rId31" Type="http://schemas.openxmlformats.org/officeDocument/2006/relationships/image" Target="media/image3.wmf"/><Relationship Id="rId30" Type="http://schemas.openxmlformats.org/officeDocument/2006/relationships/oleObject" Target="embeddings/oleObject1.bin"/><Relationship Id="rId3" Type="http://schemas.openxmlformats.org/officeDocument/2006/relationships/header" Target="header1.xml"/><Relationship Id="rId29" Type="http://schemas.openxmlformats.org/officeDocument/2006/relationships/image" Target="media/image2.emf"/><Relationship Id="rId28" Type="http://schemas.openxmlformats.org/officeDocument/2006/relationships/theme" Target="theme/theme1.xml"/><Relationship Id="rId27" Type="http://schemas.openxmlformats.org/officeDocument/2006/relationships/footer" Target="footer12.xml"/><Relationship Id="rId26" Type="http://schemas.openxmlformats.org/officeDocument/2006/relationships/header" Target="header13.xml"/><Relationship Id="rId25" Type="http://schemas.openxmlformats.org/officeDocument/2006/relationships/header" Target="header12.xml"/><Relationship Id="rId24" Type="http://schemas.openxmlformats.org/officeDocument/2006/relationships/footer" Target="footer11.xml"/><Relationship Id="rId23" Type="http://schemas.openxmlformats.org/officeDocument/2006/relationships/footer" Target="footer10.xml"/><Relationship Id="rId22" Type="http://schemas.openxmlformats.org/officeDocument/2006/relationships/footer" Target="footer9.xml"/><Relationship Id="rId21" Type="http://schemas.openxmlformats.org/officeDocument/2006/relationships/header" Target="header11.xml"/><Relationship Id="rId20" Type="http://schemas.openxmlformats.org/officeDocument/2006/relationships/header" Target="header10.xml"/><Relationship Id="rId2" Type="http://schemas.openxmlformats.org/officeDocument/2006/relationships/settings" Target="settings.xml"/><Relationship Id="rId19" Type="http://schemas.openxmlformats.org/officeDocument/2006/relationships/header" Target="header9.xml"/><Relationship Id="rId18" Type="http://schemas.openxmlformats.org/officeDocument/2006/relationships/header" Target="header8.xml"/><Relationship Id="rId17" Type="http://schemas.openxmlformats.org/officeDocument/2006/relationships/footer" Target="footer8.xml"/><Relationship Id="rId16" Type="http://schemas.openxmlformats.org/officeDocument/2006/relationships/header" Target="header7.xml"/><Relationship Id="rId15" Type="http://schemas.openxmlformats.org/officeDocument/2006/relationships/footer" Target="footer7.xml"/><Relationship Id="rId14" Type="http://schemas.openxmlformats.org/officeDocument/2006/relationships/header" Target="header6.xml"/><Relationship Id="rId134" Type="http://schemas.openxmlformats.org/officeDocument/2006/relationships/fontTable" Target="fontTable.xml"/><Relationship Id="rId133" Type="http://schemas.openxmlformats.org/officeDocument/2006/relationships/numbering" Target="numbering.xml"/><Relationship Id="rId132" Type="http://schemas.openxmlformats.org/officeDocument/2006/relationships/customXml" Target="../customXml/item1.xml"/><Relationship Id="rId131" Type="http://schemas.openxmlformats.org/officeDocument/2006/relationships/image" Target="media/image97.png"/><Relationship Id="rId130" Type="http://schemas.openxmlformats.org/officeDocument/2006/relationships/image" Target="media/image96.png"/><Relationship Id="rId13" Type="http://schemas.openxmlformats.org/officeDocument/2006/relationships/footer" Target="footer6.xml"/><Relationship Id="rId129" Type="http://schemas.openxmlformats.org/officeDocument/2006/relationships/image" Target="media/image95.png"/><Relationship Id="rId128" Type="http://schemas.openxmlformats.org/officeDocument/2006/relationships/image" Target="media/image94.png"/><Relationship Id="rId127" Type="http://schemas.openxmlformats.org/officeDocument/2006/relationships/image" Target="media/image93.png"/><Relationship Id="rId126" Type="http://schemas.openxmlformats.org/officeDocument/2006/relationships/image" Target="media/image92.png"/><Relationship Id="rId125" Type="http://schemas.openxmlformats.org/officeDocument/2006/relationships/image" Target="media/image91.png"/><Relationship Id="rId124" Type="http://schemas.openxmlformats.org/officeDocument/2006/relationships/image" Target="media/image90.png"/><Relationship Id="rId123" Type="http://schemas.openxmlformats.org/officeDocument/2006/relationships/image" Target="media/image89.png"/><Relationship Id="rId122" Type="http://schemas.openxmlformats.org/officeDocument/2006/relationships/image" Target="media/image88.png"/><Relationship Id="rId121" Type="http://schemas.openxmlformats.org/officeDocument/2006/relationships/image" Target="media/image87.png"/><Relationship Id="rId120" Type="http://schemas.openxmlformats.org/officeDocument/2006/relationships/image" Target="media/image86.png"/><Relationship Id="rId12" Type="http://schemas.openxmlformats.org/officeDocument/2006/relationships/footer" Target="footer5.xml"/><Relationship Id="rId119" Type="http://schemas.openxmlformats.org/officeDocument/2006/relationships/image" Target="media/image85.png"/><Relationship Id="rId118" Type="http://schemas.openxmlformats.org/officeDocument/2006/relationships/image" Target="media/image84.png"/><Relationship Id="rId117" Type="http://schemas.openxmlformats.org/officeDocument/2006/relationships/image" Target="media/image83.png"/><Relationship Id="rId116" Type="http://schemas.openxmlformats.org/officeDocument/2006/relationships/image" Target="media/image82.png"/><Relationship Id="rId115" Type="http://schemas.openxmlformats.org/officeDocument/2006/relationships/image" Target="media/image81.png"/><Relationship Id="rId114" Type="http://schemas.openxmlformats.org/officeDocument/2006/relationships/image" Target="media/image80.png"/><Relationship Id="rId113" Type="http://schemas.openxmlformats.org/officeDocument/2006/relationships/image" Target="media/image79.png"/><Relationship Id="rId112" Type="http://schemas.openxmlformats.org/officeDocument/2006/relationships/image" Target="media/image78.png"/><Relationship Id="rId111" Type="http://schemas.openxmlformats.org/officeDocument/2006/relationships/image" Target="media/image77.png"/><Relationship Id="rId110" Type="http://schemas.openxmlformats.org/officeDocument/2006/relationships/image" Target="media/image76.png"/><Relationship Id="rId11" Type="http://schemas.openxmlformats.org/officeDocument/2006/relationships/footer" Target="footer4.xml"/><Relationship Id="rId109" Type="http://schemas.openxmlformats.org/officeDocument/2006/relationships/image" Target="media/image75.png"/><Relationship Id="rId108" Type="http://schemas.openxmlformats.org/officeDocument/2006/relationships/image" Target="media/image74.png"/><Relationship Id="rId107" Type="http://schemas.openxmlformats.org/officeDocument/2006/relationships/image" Target="media/image73.png"/><Relationship Id="rId106" Type="http://schemas.openxmlformats.org/officeDocument/2006/relationships/image" Target="media/image72.png"/><Relationship Id="rId105" Type="http://schemas.openxmlformats.org/officeDocument/2006/relationships/image" Target="media/image71.png"/><Relationship Id="rId104" Type="http://schemas.openxmlformats.org/officeDocument/2006/relationships/image" Target="media/image70.png"/><Relationship Id="rId103" Type="http://schemas.openxmlformats.org/officeDocument/2006/relationships/image" Target="media/image69.png"/><Relationship Id="rId102" Type="http://schemas.openxmlformats.org/officeDocument/2006/relationships/image" Target="media/image68.png"/><Relationship Id="rId101" Type="http://schemas.openxmlformats.org/officeDocument/2006/relationships/image" Target="media/image67.png"/><Relationship Id="rId100" Type="http://schemas.openxmlformats.org/officeDocument/2006/relationships/image" Target="media/image66.png"/><Relationship Id="rId10" Type="http://schemas.openxmlformats.org/officeDocument/2006/relationships/footer" Target="footer3.xml"/><Relationship Id="rId1" Type="http://schemas.openxmlformats.org/officeDocument/2006/relationships/styles" Target="styles.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charts/_rels/chart1.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package" Target="../embeddings/Workbook1.xlsx"/></Relationships>
</file>

<file path=word/charts/_rels/chart2.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package" Target="../embeddings/Workbook2.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1" i="0" u="none" strike="noStrike" kern="1200" baseline="0">
                <a:solidFill>
                  <a:schemeClr val="tx1">
                    <a:lumMod val="75000"/>
                    <a:lumOff val="25000"/>
                  </a:schemeClr>
                </a:solidFill>
                <a:latin typeface="+mn-lt"/>
                <a:ea typeface="+mn-ea"/>
                <a:cs typeface="+mn-cs"/>
              </a:defRPr>
            </a:pPr>
            <a:r>
              <a:t>全年平均温度月变化曲线图℃</a:t>
            </a:r>
          </a:p>
        </c:rich>
      </c:tx>
      <c:layout/>
      <c:overlay val="0"/>
      <c:spPr>
        <a:noFill/>
        <a:ln>
          <a:noFill/>
        </a:ln>
        <a:effectLst/>
      </c:spPr>
    </c:title>
    <c:autoTitleDeleted val="0"/>
    <c:plotArea>
      <c:layout/>
      <c:lineChart>
        <c:grouping val="standard"/>
        <c:varyColors val="0"/>
        <c:ser>
          <c:idx val="0"/>
          <c:order val="0"/>
          <c:tx>
            <c:strRef>
              <c:f>Sheet1!$B$1</c:f>
              <c:strCache>
                <c:ptCount val="1"/>
                <c:pt idx="0">
                  <c:v>温度℃</c:v>
                </c:pt>
              </c:strCache>
            </c:strRef>
          </c:tx>
          <c:spPr>
            <a:ln w="12700" cap="rnd" cmpd="sng">
              <a:solidFill>
                <a:schemeClr val="tx1"/>
              </a:solidFill>
              <a:prstDash val="solid"/>
              <a:round/>
            </a:ln>
            <a:effectLst/>
            <a:sp3d contourW="12700"/>
          </c:spPr>
          <c:marker>
            <c:symbol val="none"/>
          </c:marker>
          <c:dLbls>
            <c:delete val="1"/>
          </c:dLbls>
          <c:cat>
            <c:strRef>
              <c:f>Sheet1!$A$2:$A$13</c:f>
              <c:strCache>
                <c:ptCount val="12"/>
                <c:pt idx="0">
                  <c:v>1月</c:v>
                </c:pt>
                <c:pt idx="1">
                  <c:v>2月</c:v>
                </c:pt>
                <c:pt idx="2">
                  <c:v>3月</c:v>
                </c:pt>
                <c:pt idx="3">
                  <c:v>4月</c:v>
                </c:pt>
                <c:pt idx="4">
                  <c:v>5月</c:v>
                </c:pt>
                <c:pt idx="5">
                  <c:v>6月</c:v>
                </c:pt>
                <c:pt idx="6">
                  <c:v>7月</c:v>
                </c:pt>
                <c:pt idx="7">
                  <c:v>8月</c:v>
                </c:pt>
                <c:pt idx="8">
                  <c:v>9月</c:v>
                </c:pt>
                <c:pt idx="9">
                  <c:v>10月</c:v>
                </c:pt>
                <c:pt idx="10">
                  <c:v>11月</c:v>
                </c:pt>
                <c:pt idx="11">
                  <c:v>12月</c:v>
                </c:pt>
              </c:strCache>
            </c:strRef>
          </c:cat>
          <c:val>
            <c:numRef>
              <c:f>Sheet1!$B$2:$B$13</c:f>
              <c:numCache>
                <c:formatCode>General</c:formatCode>
                <c:ptCount val="12"/>
                <c:pt idx="0">
                  <c:v>-10.2</c:v>
                </c:pt>
                <c:pt idx="1">
                  <c:v>-5.9</c:v>
                </c:pt>
                <c:pt idx="2">
                  <c:v>2.2</c:v>
                </c:pt>
                <c:pt idx="3">
                  <c:v>10.6</c:v>
                </c:pt>
                <c:pt idx="4">
                  <c:v>17.3</c:v>
                </c:pt>
                <c:pt idx="5">
                  <c:v>21.7</c:v>
                </c:pt>
                <c:pt idx="6">
                  <c:v>24.9</c:v>
                </c:pt>
                <c:pt idx="7">
                  <c:v>23.6</c:v>
                </c:pt>
                <c:pt idx="8">
                  <c:v>18</c:v>
                </c:pt>
                <c:pt idx="9">
                  <c:v>10.2</c:v>
                </c:pt>
                <c:pt idx="10">
                  <c:v>1.2</c:v>
                </c:pt>
                <c:pt idx="11">
                  <c:v>-7.8</c:v>
                </c:pt>
              </c:numCache>
            </c:numRef>
          </c:val>
          <c:smooth val="0"/>
        </c:ser>
        <c:ser>
          <c:idx val="1"/>
          <c:order val="1"/>
          <c:tx>
            <c:strRef>
              <c:f>Sheet1!#REF!</c:f>
              <c:strCache>
                <c:ptCount val="1"/>
                <c:pt idx="0">
                  <c:v/>
                </c:pt>
              </c:strCache>
            </c:strRef>
          </c:tx>
          <c:spPr>
            <a:ln w="28575" cap="rnd">
              <a:solidFill>
                <a:schemeClr val="accent2"/>
              </a:solidFill>
              <a:round/>
            </a:ln>
            <a:effectLst/>
          </c:spPr>
          <c:marker>
            <c:symbol val="none"/>
          </c:marker>
          <c:dLbls>
            <c:delete val="1"/>
          </c:dLbls>
          <c:cat>
            <c:strRef>
              <c:f>Sheet1!$A$2:$A$13</c:f>
              <c:strCache>
                <c:ptCount val="12"/>
                <c:pt idx="0">
                  <c:v>1月</c:v>
                </c:pt>
                <c:pt idx="1">
                  <c:v>2月</c:v>
                </c:pt>
                <c:pt idx="2">
                  <c:v>3月</c:v>
                </c:pt>
                <c:pt idx="3">
                  <c:v>4月</c:v>
                </c:pt>
                <c:pt idx="4">
                  <c:v>5月</c:v>
                </c:pt>
                <c:pt idx="5">
                  <c:v>6月</c:v>
                </c:pt>
                <c:pt idx="6">
                  <c:v>7月</c:v>
                </c:pt>
                <c:pt idx="7">
                  <c:v>8月</c:v>
                </c:pt>
                <c:pt idx="8">
                  <c:v>9月</c:v>
                </c:pt>
                <c:pt idx="9">
                  <c:v>10月</c:v>
                </c:pt>
                <c:pt idx="10">
                  <c:v>11月</c:v>
                </c:pt>
                <c:pt idx="11">
                  <c:v>12月</c:v>
                </c:pt>
              </c:strCache>
            </c:strRef>
          </c:cat>
          <c:val>
            <c:numRef>
              <c:f>Sheet1!#REF!</c:f>
              <c:numCache>
                <c:formatCode>General</c:formatCode>
                <c:ptCount val="1"/>
                <c:pt idx="0">
                  <c:v>1</c:v>
                </c:pt>
              </c:numCache>
            </c:numRef>
          </c:val>
          <c:smooth val="0"/>
        </c:ser>
        <c:ser>
          <c:idx val="2"/>
          <c:order val="2"/>
          <c:tx>
            <c:strRef>
              <c:f>Sheet1!#REF!</c:f>
              <c:strCache>
                <c:ptCount val="1"/>
                <c:pt idx="0">
                  <c:v/>
                </c:pt>
              </c:strCache>
            </c:strRef>
          </c:tx>
          <c:spPr>
            <a:ln w="28575" cap="rnd">
              <a:solidFill>
                <a:schemeClr val="accent3"/>
              </a:solidFill>
              <a:round/>
            </a:ln>
            <a:effectLst/>
          </c:spPr>
          <c:marker>
            <c:symbol val="none"/>
          </c:marker>
          <c:dLbls>
            <c:delete val="1"/>
          </c:dLbls>
          <c:cat>
            <c:strRef>
              <c:f>Sheet1!$A$2:$A$13</c:f>
              <c:strCache>
                <c:ptCount val="12"/>
                <c:pt idx="0">
                  <c:v>1月</c:v>
                </c:pt>
                <c:pt idx="1">
                  <c:v>2月</c:v>
                </c:pt>
                <c:pt idx="2">
                  <c:v>3月</c:v>
                </c:pt>
                <c:pt idx="3">
                  <c:v>4月</c:v>
                </c:pt>
                <c:pt idx="4">
                  <c:v>5月</c:v>
                </c:pt>
                <c:pt idx="5">
                  <c:v>6月</c:v>
                </c:pt>
                <c:pt idx="6">
                  <c:v>7月</c:v>
                </c:pt>
                <c:pt idx="7">
                  <c:v>8月</c:v>
                </c:pt>
                <c:pt idx="8">
                  <c:v>9月</c:v>
                </c:pt>
                <c:pt idx="9">
                  <c:v>10月</c:v>
                </c:pt>
                <c:pt idx="10">
                  <c:v>11月</c:v>
                </c:pt>
                <c:pt idx="11">
                  <c:v>12月</c:v>
                </c:pt>
              </c:strCache>
            </c:strRef>
          </c:cat>
          <c:val>
            <c:numRef>
              <c:f>Sheet1!#REF!</c:f>
              <c:numCache>
                <c:formatCode>General</c:formatCode>
                <c:ptCount val="1"/>
                <c:pt idx="0">
                  <c:v>1</c:v>
                </c:pt>
              </c:numCache>
            </c:numRef>
          </c:val>
          <c:smooth val="0"/>
        </c:ser>
        <c:dLbls>
          <c:showLegendKey val="0"/>
          <c:showVal val="0"/>
          <c:showCatName val="0"/>
          <c:showSerName val="0"/>
          <c:showPercent val="0"/>
          <c:showBubbleSize val="0"/>
        </c:dLbls>
        <c:marker val="0"/>
        <c:smooth val="0"/>
        <c:axId val="602340408"/>
        <c:axId val="412930947"/>
      </c:lineChart>
      <c:catAx>
        <c:axId val="602340408"/>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412930947"/>
        <c:crossesAt val="-15"/>
        <c:auto val="0"/>
        <c:lblAlgn val="ctr"/>
        <c:lblOffset val="100"/>
        <c:noMultiLvlLbl val="0"/>
      </c:catAx>
      <c:valAx>
        <c:axId val="412930947"/>
        <c:scaling>
          <c:orientation val="minMax"/>
        </c:scaling>
        <c:delete val="0"/>
        <c:axPos val="l"/>
        <c:majorGridlines>
          <c:spPr>
            <a:ln w="9525" cap="flat" cmpd="sng" algn="ctr">
              <a:solidFill>
                <a:schemeClr val="lt1">
                  <a:lumMod val="90200"/>
                </a:schemeClr>
              </a:solidFill>
              <a:round/>
            </a:ln>
            <a:effectLst/>
          </c:spPr>
        </c:majorGridlines>
        <c:numFmt formatCode="General" sourceLinked="1"/>
        <c:majorTickMark val="none"/>
        <c:minorTickMark val="none"/>
        <c:tickLblPos val="nextTo"/>
        <c:spPr>
          <a:noFill/>
          <a:ln>
            <a:solidFill>
              <a:schemeClr val="accent1"/>
            </a:solid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602340408"/>
        <c:crosses val="autoZero"/>
        <c:crossBetween val="between"/>
      </c:valAx>
      <c:spPr>
        <a:noFill/>
        <a:ln>
          <a:noFill/>
        </a:ln>
        <a:effectLst/>
      </c:spPr>
    </c:plotArea>
    <c:plotVisOnly val="1"/>
    <c:dispBlanksAs val="gap"/>
    <c:showDLblsOverMax val="0"/>
    <c:extLst>
      <c:ext uri="{0b15fc19-7d7d-44ad-8c2d-2c3a37ce22c3}">
        <chartProps xmlns="https://web.wps.cn/et/2018/main" chartId="{3996ecbb-0e0f-4949-8d31-40a19b538b6d}"/>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1" i="0" u="none" strike="noStrike" kern="1200" baseline="0">
                <a:solidFill>
                  <a:schemeClr val="tx1">
                    <a:lumMod val="75000"/>
                    <a:lumOff val="25000"/>
                  </a:schemeClr>
                </a:solidFill>
                <a:latin typeface="+mn-lt"/>
                <a:ea typeface="+mn-ea"/>
                <a:cs typeface="+mn-cs"/>
              </a:defRPr>
            </a:pPr>
            <a:r>
              <a:t>全年平均风速月变化曲线图</a:t>
            </a:r>
            <a:r>
              <a:rPr lang="en-US" altLang="zh-CN"/>
              <a:t>m/s</a:t>
            </a:r>
            <a:endParaRPr lang="en-US" altLang="zh-CN"/>
          </a:p>
        </c:rich>
      </c:tx>
      <c:layout/>
      <c:overlay val="0"/>
      <c:spPr>
        <a:noFill/>
        <a:ln>
          <a:noFill/>
        </a:ln>
        <a:effectLst/>
      </c:spPr>
    </c:title>
    <c:autoTitleDeleted val="0"/>
    <c:plotArea>
      <c:layout/>
      <c:lineChart>
        <c:grouping val="standard"/>
        <c:varyColors val="0"/>
        <c:ser>
          <c:idx val="0"/>
          <c:order val="0"/>
          <c:tx>
            <c:strRef>
              <c:f>Sheet1!$B$1</c:f>
              <c:strCache>
                <c:ptCount val="1"/>
                <c:pt idx="0">
                  <c:v>风速m/s</c:v>
                </c:pt>
              </c:strCache>
            </c:strRef>
          </c:tx>
          <c:spPr>
            <a:ln w="12700" cap="rnd" cmpd="sng">
              <a:solidFill>
                <a:schemeClr val="tx1"/>
              </a:solidFill>
              <a:prstDash val="solid"/>
              <a:round/>
            </a:ln>
            <a:effectLst/>
            <a:sp3d contourW="12700"/>
          </c:spPr>
          <c:marker>
            <c:symbol val="none"/>
          </c:marker>
          <c:dLbls>
            <c:delete val="1"/>
          </c:dLbls>
          <c:cat>
            <c:strRef>
              <c:f>Sheet1!$A$2:$A$13</c:f>
              <c:strCache>
                <c:ptCount val="12"/>
                <c:pt idx="0">
                  <c:v>1月</c:v>
                </c:pt>
                <c:pt idx="1">
                  <c:v>2月</c:v>
                </c:pt>
                <c:pt idx="2">
                  <c:v>3月</c:v>
                </c:pt>
                <c:pt idx="3">
                  <c:v>4月</c:v>
                </c:pt>
                <c:pt idx="4">
                  <c:v>5月</c:v>
                </c:pt>
                <c:pt idx="5">
                  <c:v>6月</c:v>
                </c:pt>
                <c:pt idx="6">
                  <c:v>7月</c:v>
                </c:pt>
                <c:pt idx="7">
                  <c:v>8月</c:v>
                </c:pt>
                <c:pt idx="8">
                  <c:v>9月</c:v>
                </c:pt>
                <c:pt idx="9">
                  <c:v>10月</c:v>
                </c:pt>
                <c:pt idx="10">
                  <c:v>11月</c:v>
                </c:pt>
                <c:pt idx="11">
                  <c:v>12月</c:v>
                </c:pt>
              </c:strCache>
            </c:strRef>
          </c:cat>
          <c:val>
            <c:numRef>
              <c:f>Sheet1!$B$2:$B$13</c:f>
              <c:numCache>
                <c:formatCode>General</c:formatCode>
                <c:ptCount val="12"/>
                <c:pt idx="0">
                  <c:v>1.9</c:v>
                </c:pt>
                <c:pt idx="1">
                  <c:v>2.1</c:v>
                </c:pt>
                <c:pt idx="2">
                  <c:v>2.3</c:v>
                </c:pt>
                <c:pt idx="3">
                  <c:v>2.4</c:v>
                </c:pt>
                <c:pt idx="4">
                  <c:v>2.4</c:v>
                </c:pt>
                <c:pt idx="5">
                  <c:v>2</c:v>
                </c:pt>
                <c:pt idx="6">
                  <c:v>1.9</c:v>
                </c:pt>
                <c:pt idx="7">
                  <c:v>1.8</c:v>
                </c:pt>
                <c:pt idx="8">
                  <c:v>1.9</c:v>
                </c:pt>
                <c:pt idx="9">
                  <c:v>2</c:v>
                </c:pt>
                <c:pt idx="10">
                  <c:v>2.1</c:v>
                </c:pt>
                <c:pt idx="11">
                  <c:v>2</c:v>
                </c:pt>
              </c:numCache>
            </c:numRef>
          </c:val>
          <c:smooth val="0"/>
        </c:ser>
        <c:ser>
          <c:idx val="1"/>
          <c:order val="1"/>
          <c:tx>
            <c:strRef>
              <c:f>Sheet1!#REF!</c:f>
              <c:strCache>
                <c:ptCount val="1"/>
                <c:pt idx="0">
                  <c:v/>
                </c:pt>
              </c:strCache>
            </c:strRef>
          </c:tx>
          <c:spPr>
            <a:ln w="28575" cap="rnd">
              <a:solidFill>
                <a:schemeClr val="accent2"/>
              </a:solidFill>
              <a:round/>
            </a:ln>
            <a:effectLst/>
          </c:spPr>
          <c:marker>
            <c:symbol val="none"/>
          </c:marker>
          <c:dLbls>
            <c:delete val="1"/>
          </c:dLbls>
          <c:cat>
            <c:strRef>
              <c:f>Sheet1!$A$2:$A$13</c:f>
              <c:strCache>
                <c:ptCount val="12"/>
                <c:pt idx="0">
                  <c:v>1月</c:v>
                </c:pt>
                <c:pt idx="1">
                  <c:v>2月</c:v>
                </c:pt>
                <c:pt idx="2">
                  <c:v>3月</c:v>
                </c:pt>
                <c:pt idx="3">
                  <c:v>4月</c:v>
                </c:pt>
                <c:pt idx="4">
                  <c:v>5月</c:v>
                </c:pt>
                <c:pt idx="5">
                  <c:v>6月</c:v>
                </c:pt>
                <c:pt idx="6">
                  <c:v>7月</c:v>
                </c:pt>
                <c:pt idx="7">
                  <c:v>8月</c:v>
                </c:pt>
                <c:pt idx="8">
                  <c:v>9月</c:v>
                </c:pt>
                <c:pt idx="9">
                  <c:v>10月</c:v>
                </c:pt>
                <c:pt idx="10">
                  <c:v>11月</c:v>
                </c:pt>
                <c:pt idx="11">
                  <c:v>12月</c:v>
                </c:pt>
              </c:strCache>
            </c:strRef>
          </c:cat>
          <c:val>
            <c:numRef>
              <c:f>Sheet1!#REF!</c:f>
              <c:numCache>
                <c:formatCode>General</c:formatCode>
                <c:ptCount val="1"/>
                <c:pt idx="0">
                  <c:v>1</c:v>
                </c:pt>
              </c:numCache>
            </c:numRef>
          </c:val>
          <c:smooth val="0"/>
        </c:ser>
        <c:ser>
          <c:idx val="2"/>
          <c:order val="2"/>
          <c:tx>
            <c:strRef>
              <c:f>Sheet1!#REF!</c:f>
              <c:strCache>
                <c:ptCount val="1"/>
                <c:pt idx="0">
                  <c:v/>
                </c:pt>
              </c:strCache>
            </c:strRef>
          </c:tx>
          <c:spPr>
            <a:ln w="28575" cap="rnd">
              <a:solidFill>
                <a:schemeClr val="accent3"/>
              </a:solidFill>
              <a:round/>
            </a:ln>
            <a:effectLst/>
          </c:spPr>
          <c:marker>
            <c:symbol val="none"/>
          </c:marker>
          <c:dLbls>
            <c:delete val="1"/>
          </c:dLbls>
          <c:cat>
            <c:strRef>
              <c:f>Sheet1!$A$2:$A$13</c:f>
              <c:strCache>
                <c:ptCount val="12"/>
                <c:pt idx="0">
                  <c:v>1月</c:v>
                </c:pt>
                <c:pt idx="1">
                  <c:v>2月</c:v>
                </c:pt>
                <c:pt idx="2">
                  <c:v>3月</c:v>
                </c:pt>
                <c:pt idx="3">
                  <c:v>4月</c:v>
                </c:pt>
                <c:pt idx="4">
                  <c:v>5月</c:v>
                </c:pt>
                <c:pt idx="5">
                  <c:v>6月</c:v>
                </c:pt>
                <c:pt idx="6">
                  <c:v>7月</c:v>
                </c:pt>
                <c:pt idx="7">
                  <c:v>8月</c:v>
                </c:pt>
                <c:pt idx="8">
                  <c:v>9月</c:v>
                </c:pt>
                <c:pt idx="9">
                  <c:v>10月</c:v>
                </c:pt>
                <c:pt idx="10">
                  <c:v>11月</c:v>
                </c:pt>
                <c:pt idx="11">
                  <c:v>12月</c:v>
                </c:pt>
              </c:strCache>
            </c:strRef>
          </c:cat>
          <c:val>
            <c:numRef>
              <c:f>Sheet1!#REF!</c:f>
              <c:numCache>
                <c:formatCode>General</c:formatCode>
                <c:ptCount val="1"/>
                <c:pt idx="0">
                  <c:v>1</c:v>
                </c:pt>
              </c:numCache>
            </c:numRef>
          </c:val>
          <c:smooth val="0"/>
        </c:ser>
        <c:dLbls>
          <c:showLegendKey val="0"/>
          <c:showVal val="0"/>
          <c:showCatName val="0"/>
          <c:showSerName val="0"/>
          <c:showPercent val="0"/>
          <c:showBubbleSize val="0"/>
        </c:dLbls>
        <c:marker val="0"/>
        <c:smooth val="0"/>
        <c:axId val="602340408"/>
        <c:axId val="412930947"/>
      </c:lineChart>
      <c:catAx>
        <c:axId val="602340408"/>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412930947"/>
        <c:crosses val="autoZero"/>
        <c:auto val="0"/>
        <c:lblAlgn val="ctr"/>
        <c:lblOffset val="100"/>
        <c:noMultiLvlLbl val="0"/>
      </c:catAx>
      <c:valAx>
        <c:axId val="412930947"/>
        <c:scaling>
          <c:orientation val="minMax"/>
          <c:max val="2.6"/>
          <c:min val="1"/>
        </c:scaling>
        <c:delete val="0"/>
        <c:axPos val="l"/>
        <c:majorGridlines>
          <c:spPr>
            <a:ln w="9525" cap="flat" cmpd="sng" algn="ctr">
              <a:solidFill>
                <a:schemeClr val="lt1">
                  <a:lumMod val="902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602340408"/>
        <c:crosses val="autoZero"/>
        <c:crossBetween val="between"/>
        <c:majorUnit val="0.4"/>
      </c:valAx>
      <c:spPr>
        <a:noFill/>
        <a:ln>
          <a:noFill/>
        </a:ln>
        <a:effectLst/>
      </c:spPr>
    </c:plotArea>
    <c:plotVisOnly val="1"/>
    <c:dispBlanksAs val="gap"/>
    <c:showDLblsOverMax val="0"/>
    <c:extLst>
      <c:ext uri="{0b15fc19-7d7d-44ad-8c2d-2c3a37ce22c3}">
        <chartProps xmlns="https://web.wps.cn/et/2018/main" chartId="{9fa5d9ca-2cca-459e-8773-6f0cd6be9c82}"/>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10028">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0">
      <cs:styleClr val="auto"/>
    </cs:fillRef>
    <cs:effectRef idx="0"/>
    <cs:fontRef idx="minor">
      <a:schemeClr val="dk1"/>
    </cs:fontRef>
    <cs:spPr>
      <a:ln w="28575" cap="rnd">
        <a:solidFill>
          <a:schemeClr val="phClr"/>
        </a:solidFill>
        <a:round/>
      </a:ln>
      <a:effectLst/>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10028">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0">
      <cs:styleClr val="auto"/>
    </cs:fillRef>
    <cs:effectRef idx="0"/>
    <cs:fontRef idx="minor">
      <a:schemeClr val="dk1"/>
    </cs:fontRef>
    <cs:spPr>
      <a:ln w="28575" cap="rnd">
        <a:solidFill>
          <a:schemeClr val="phClr"/>
        </a:solidFill>
        <a:round/>
      </a:ln>
      <a:effectLst/>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extobjs>
    <extobj name="E657119C-6982-421D-8BA7-E74DEB70A7D9-1">
      <extobjdata type="E657119C-6982-421D-8BA7-E74DEB70A7D9" data="ewoJIkNhdGVnb3J5IiA6ICJmbG93IiwKCSJEZWZpbml0aW9uIiA6ICJKVGRDSlRJeWNHRm5aU1V5TWlVelFTVTNRaVV5TW5CaFpHUnBibWNsTWpJbE0wRXlNQ1V5UXlVeU1tSmhZMnRuY205MWJtUkRiMnh2Y2lVeU1pVXpRU1V5TW5SeVlXNXpjR0Z5Wlc1MEpUSXlKVEpESlRJeWIzSnBaVzUwWVhScGIyNGxNaklsTTBFbE1qSndiM0owY21GcGRDVXlNaVV5UXlVeU1tZHlhV1JUYVhwbEpUSXlKVE5CTVRVbE1rTWxNakozYVdSMGFDVXlNaVV6UVRFMk5qWWxNa01sTWpKemFHOTNSM0pwWkNVeU1pVXpRWFJ5ZFdVbE1rTWxNakpzYVc1bFNuVnRjSE1sTWpJbE0wRm1ZV3h6WlNVeVF5VXlNbWhsYVdkb2RDVXlNaVV6UVRFMk1EQWxNa01sTWpKeWFXTm9WR1Y0ZENVeU1pVXpRWFJ5ZFdVbE4wUWxNa01sTWpKbGJHVnRaVzUwY3lVeU1pVXpRU1UzUWlVeU1tRjRVR2xWYkhkTGFuRXpNVFEwTXpnbE1qSWxNMEVsTjBJbE1qSnNhVzVySlRJeUpUTkJKVEl5SlRJeUpUSkRKVEl5YzJoaGNHVlRkSGxzWlNVeU1pVXpRU1UzUWlVeU1tRnNjR2hoSlRJeUpUTkJNU1UzUkNVeVF5VXlNblJsZUhSQ2JHOWpheVV5TWlVelFTVTFRaVUzUWlVeU1uQnZjMmwwYVc5dUpUSXlKVE5CSlRkQ0pUSXlkeVV5TWlVelFTVXlNbmN0TWpBbE1qSWxNa01sTWpKNEpUSXlKVE5CTVRBbE1rTWxNakpvSlRJeUpUTkJKVEl5YUNVeU1pVXlReVV5TW5rbE1qSWxNMEV3SlRkRUpUSkRKVEl5ZEdWNGRDVXlNaVV6UVNVeU1pVkZPU1U1UWlVNE5pVkZOaVZDTUNVNU5DVkZOeVZDUkNWQk9TVXlRaVZGTlNWQlJpVTROaVZGT1NVNU55VkJSQ1ZGTnlWQlJTVkJNU1ZGT1NVNE1TVTVNeVV5TWlVM1JDVTFSQ1V5UXlVeU1tRnVZMmh2Y25NbE1qSWxNMEVsTlVJbE4wSWxNako0SlRJeUpUTkJKVEl5ZHlVeVJqSWxNaklsTWtNbE1qSjVKVEl5SlROQkpUSXlNQ1V5TWlVM1JDVXlReVUzUWlVeU1uZ2xNaklsTTBFbE1qSjNKVEpHTWlVeU1pVXlReVV5TW5rbE1qSWxNMEVsTWpKb0pUSXlKVGRFSlRKREpUZENKVEl5ZUNVeU1pVXpRU1V5TWpBbE1qSWxNa01sTWpKNUpUSXlKVE5CSlRJeWFDVXlSaklsTWpJbE4wUWxNa01sTjBJbE1qSjRKVEl5SlROQkpUSXlkeVV5TWlVeVF5VXlNbmtsTWpJbE0wRWxNakpvSlRKR01pVXlNaVUzUkNVMVJDVXlReVV5TW5ScGRHeGxKVEl5SlROQkpUSXlKVEl5SlRKREpUSXlabTl1ZEZOMGVXeGxKVEl5SlROQkpUZENKVGRFSlRKREpUSXlaR0YwWVVGMGRISnBZblYwWlhNbE1qSWxNMEVsTlVJbE5VUWxNa01sTWpKd2NtOXdjeVV5TWlVelFTVTNRaVV5TW5wcGJtUmxlQ1V5TWlVelFUTXdKVEpESlRJeWR5VXlNaVV6UVRFMk1DNDJOREl3T0RrNE5ETTNOU1V5UXlVeU1uZ2xNaklsTTBFeU1UWWxNa01sTWpKb0pUSXlKVE5CTlRBbE1rTWxNako1SlRJeUpUTkJNVEkxTUNVeVF5VXlNbUZ1WjJ4bEpUSXlKVE5CTUNVM1JDVXlReVV5TW5CaGRHZ2xNaklsTTBFbE5VSWxOMElsTWpKaFkzUnBiMjV6SlRJeUpUTkJKVFZDSlRkQ0pUSXllQ1V5TWlVelFTVXlNakFsTWpJbE1rTWxNakpoWTNScGIyNGxNaklsTTBFbE1qSnRiM1psSlRJeUpUSkRKVEl5ZVNVeU1pVXpRU1V5TWpBbE1qSWxOMFFsTWtNbE4wSWxNako0SlRJeUpUTkJKVEl5ZHlVeU1pVXlReVV5TW1GamRHbHZiaVV5TWlVelFTVXlNbXhwYm1VbE1qSWxNa01sTWpKNUpUSXlKVE5CSlRJeU1DVXlNaVUzUkNVeVF5VTNRaVV5TW5nbE1qSWxNMEVsTWpKM0pUSXlKVEpESlRJeVlXTjBhVzl1SlRJeUpUTkJKVEl5YkdsdVpTVXlNaVV5UXlVeU1ua2xNaklsTTBFbE1qSm9KVEl5SlRkRUpUSkRKVGRDSlRJeWVDVXlNaVV6UVNVeU1qQWxNaklsTWtNbE1qSmhZM1JwYjI0bE1qSWxNMEVsTWpKc2FXNWxKVEl5SlRKREpUSXllU1V5TWlVelFTVXlNbWdsTWpJbE4wUWxNa01sTjBJbE1qSmhZM1JwYjI0bE1qSWxNMEVsTWpKamJHOXpaU1V5TWlVM1JDVTFSQ1UzUkNVMVJDVXlReVV5TW14cGJtVlRkSGxzWlNVeU1pVXpRU1UzUWlVeU1uSnZkVzVrYVc1bkpUSXlKVE5CTkNVeVF5VXlNbXhwYm1WWGFXUjBhQ1V5TWlVelFURXVOU1UzUkNVeVF5VXlNbU5vYVd4a2NtVnVKVEl5SlROQkpUVkNKVFZFSlRKREpUSXljbVZ6YVhwbFJHbHlKVEl5SlROQkpUVkNKVEl5ZEd3bE1qSWxNa01sTWpKMGNpVXlNaVV5UXlVeU1tSnlKVEl5SlRKREpUSXlZbXdsTWpJbE1rTWxNakpzSlRJeUpUSkRKVEl5ZENVeU1pVXlReVV5TW5JbE1qSWxNa01sTWpKaUpUSXlKVFZFSlRKREpUSXlibUZ0WlNVeU1pVXpRU1V5TW5CeWIyTmxjM01sTWpJbE1rTWxNakptYVd4c1UzUjViR1VsTWpJbE0wRWxOMElsTjBRbE1rTWxNakowYUdWdFpTVXlNaVV6UVNVM1FpVTNSQ1V5UXlVeU1tbGtKVEl5SlROQkpUSXlZWGhRYVZWc2QwdHFjVE14TkRRek9DVXlNaVV5UXlVeU1tRjBkSEpwWW5WMFpTVXlNaVV6UVNVM1FpVXlNbU52Ym5SaGFXNWxjaVV5TWlVelFXWmhiSE5sSlRKREpUSXljbTkwWVhSaFlteGxKVEl5SlROQmRISjFaU1V5UXlVeU1uWnBjMmxpYkdVbE1qSWxNMEYwY25WbEpUSkRKVEl5Wm1sNFpXUk1hVzVySlRJeUpUTkJabUZzYzJVbE1rTWxNakpqYjJ4c1lYQnpZV0pzWlNVeU1pVXpRV1poYkhObEpUSkRKVEl5WTI5c2JHRndjMlZrSlRJeUpUTkJabUZzYzJVbE1rTWxNakpzYVc1cllXSnNaU1V5TWlVelFYUnlkV1VsTWtNbE1qSnRZWEpyWlhKUFptWnpaWFFsTWpJbE0wRTFKVGRFSlRKREpUSXlZMkYwWldkdmNua2xNaklsTTBFbE1qSm1iRzkzSlRJeUpUZEVKVEpESlRJeWIzVk1VRkJuWldaNlRESXdOakF6TVNVeU1pVXpRU1UzUWlVeU1teHBibXNsTWpJbE0wRWxNaklsTWpJbE1rTWxNakp6YUdGd1pWTjBlV3hsSlRJeUpUTkJKVGRDSlRJeVlXeHdhR0VsTWpJbE0wRXhKVGRFSlRKREpUSXlkR1Y0ZEVKc2IyTnJKVEl5SlROQkpUVkNKVGRDSlRJeWNHOXphWFJwYjI0bE1qSWxNMEVsTjBJbE1qSjNKVEl5SlROQkpUSXlkeTB5TUNVeU1pVXlReVV5TW5nbE1qSWxNMEV4TUNVeVF5VXlNbWdsTWpJbE0wRWxNakpvSlRJeUpUSkRKVEl5ZVNVeU1pVXpRVEFsTjBRbE1rTWxNakowWlhoMEpUSXlKVE5CSlRJeUpVVTRKVUV5SlRoQ0pVVTFKVUpESlRoR0pVVTVKVGs1SlVFMEpVVTFKVUl3SlRrNEpVVTFKVGs1SlVFNEpUSXlKVGRFSlRWRUpUSkRKVEl5WVc1amFHOXljeVV5TWlVelFTVTFRaVUzUWlVeU1uZ2xNaklsTTBFbE1qSjNKVEpHTWlVeU1pVXlReVV5TW5rbE1qSWxNMEVsTWpJd0pUSXlKVGRFSlRKREpUZENKVEl5ZUNVeU1pVXpRU1V5TW5jbE1rWXlKVEl5SlRKREpUSXllU1V5TWlVelFTVXlNbWdsTWpJbE4wUWxNa01sTjBJbE1qSjRKVEl5SlROQkpUSXlNQ1V5TWlVeVF5VXlNbmtsTWpJbE0wRWxNakpvSlRKR01pVXlNaVUzUkNVeVF5VTNRaVV5TW5nbE1qSWxNMEVsTWpKM0pUSXlKVEpESlRJeWVTVXlNaVV6UVNVeU1tZ2xNa1l5SlRJeUpUZEVKVFZFSlRKREpUSXlkR2wwYkdVbE1qSWxNMEVsTWpJbE1qSWxNa01sTWpKbWIyNTBVM1I1YkdVbE1qSWxNMEVsTjBJbE4wUWxNa01sTWpKa1lYUmhRWFIwY21saWRYUmxjeVV5TWlVelFTVTFRaVUxUkNVeVF5VXlNbkJ5YjNCekpUSXlKVE5CSlRkQ0pUSXllbWx1WkdWNEpUSXlKVE5CTXlVeVF5VXlNbmNsTWpJbE0wRXhNalVsTWtNbE1qSjRKVEl5SlROQk5USTBMamt6T1RJd09EazRORE0zTlNVeVF5VXlNbWdsTWpJbE0wRTFNQ1V5UXlVeU1ua2xNaklsTTBFeU1EQWxNa01sTWpKaGJtZHNaU1V5TWlVelFUQWxOMFFsTWtNbE1qSndZWFJvSlRJeUpUTkJKVFZDSlRkQ0pUSXlZV04wYVc5dWN5VXlNaVV6UVNVMVFpVTNRaVV5TW5nbE1qSWxNMEVsTWpJd0pUSXlKVEpESlRJeVlXTjBhVzl1SlRJeUpUTkJKVEl5Ylc5MlpTVXlNaVV5UXlVeU1ua2xNaklsTTBFbE1qSXdKVEl5SlRkRUpUSkRKVGRDSlRJeWVDVXlNaVV6UVNVeU1uY2xNaklsTWtNbE1qSmhZM1JwYjI0bE1qSWxNMEVsTWpKc2FXNWxKVEl5SlRKREpUSXllU1V5TWlVelFTVXlNakFsTWpJbE4wUWxNa01sTjBJbE1qSjRKVEl5SlROQkpUSXlkeVV5TWlVeVF5VXlNbUZqZEdsdmJpVXlNaVV6UVNVeU1teHBibVVsTWpJbE1rTWxNako1SlRJeUpUTkJKVEl5YUNVeU1pVTNSQ1V5UXlVM1FpVXlNbmdsTWpJbE0wRWxNakl3SlRJeUpUSkRKVEl5WVdOMGFXOXVKVEl5SlROQkpUSXliR2x1WlNVeU1pVXlReVV5TW5rbE1qSWxNMEVsTWpKb0pUSXlKVGRFSlRKREpUZENKVEl5WVdOMGFXOXVKVEl5SlROQkpUSXlZMnh2YzJVbE1qSWxOMFFsTlVRbE4wUWxOVVFsTWtNbE1qSnNhVzVsVTNSNWJHVWxNaklsTTBFbE4wSWxNakp5YjNWdVpHbHVaeVV5TWlVelFUUWxNa01sTWpKc2FXNWxWMmxrZEdnbE1qSWxNMEV4TGpVbE4wUWxNa01sTWpKamFHbHNaSEpsYmlVeU1pVXpRU1UxUWlVMVJDVXlReVV5TW5KbGMybDZaVVJwY2lVeU1pVXpRU1UxUWlVeU1uUnNKVEl5SlRKREpUSXlkSElsTWpJbE1rTWxNakppY2lVeU1pVXlReVV5TW1Kc0pUSXlKVEpESlRJeWJDVXlNaVV5UXlVeU1uUWxNaklsTWtNbE1qSnlKVEl5SlRKREpUSXlZaVV5TWlVMVJDVXlReVV5TW01aGJXVWxNaklsTTBFbE1qSndjbTlqWlhOekpUSXlKVEpESlRJeVptbHNiRk4wZVd4bEpUSXlKVE5CSlRkQ0pUZEVKVEpESlRJeWRHaGxiV1VsTWpJbE0wRWxOMElsTjBRbE1rTWxNakpwWkNVeU1pVXpRU1V5TW05MVRGQlFaMlZtZWt3eU1EWXdNekVsTWpJbE1rTWxNakpoZEhSeWFXSjFkR1VsTWpJbE0wRWxOMElsTWpKamIyNTBZV2x1WlhJbE1qSWxNMEZtWVd4elpTVXlReVV5TW5KdmRHRjBZV0pzWlNVeU1pVXpRWFJ5ZFdVbE1rTWxNakoyYVhOcFlteGxKVEl5SlROQmRISjFaU1V5UXlVeU1tWnBlR1ZrVEdsdWF5VXlNaVV6UVdaaGJITmxKVEpESlRJeVkyOXNiR0Z3YzJGaWJHVWxNaklsTTBGbVlXeHpaU1V5UXlVeU1tTnZiR3hoY0hObFpDVXlNaVV6UVdaaGJITmxKVEpESlRJeWJHbHVhMkZpYkdVbE1qSWxNMEYwY25WbEpUSkRKVEl5YldGeWEyVnlUMlptYzJWMEpUSXlKVE5CTlNVM1JDVXlReVV5TW1OaGRHVm5iM0o1SlRJeUpUTkJKVEl5Wm14dmR5VXlNaVUzUkNVeVF5VXlNbHBsY0d0VWNYUnJWWEk1TlRrNE1EWWxNaklsTTBFbE4wSWxNakpzYVc1ckpUSXlKVE5CSlRJeUpUSXlKVEpESlRJeWMyaGhjR1ZUZEhsc1pTVXlNaVV6UVNVM1FpVXlNbUZzY0doaEpUSXlKVE5CTVNVM1JDVXlReVV5TW5SbGVIUkNiRzlqYXlVeU1pVXpRU1UxUWlVM1FpVXlNbkJ2YzJsMGFXOXVKVEl5SlROQkpUZENKVEl5ZHlVeU1pVXpRU1V5TW5jdE1qQWxNaklsTWtNbE1qSjRKVEl5SlROQk1UQWxNa01sTWpKb0pUSXlKVE5CSlRJeWFDVXlNaVV5UXlVeU1ua2xNaklsTTBFd0pUZEVKVEpESlRJeWRHVjRkQ1V5TWlVelFTVXlNaVZGT1NVNVFpVTROaVZGTmlWQ01DVTVOQ1ZGTnlWQ1JDVkJPU1V5UWlWRk5TVkJSaVU0TmlWRk9TVTVOeVZCUkNWRk55VkJSU1ZCTVNWRk9TVTRNU1U1TXlVeU1pVTNSQ1UxUkNVeVF5VXlNbUZ1WTJodmNuTWxNaklsTTBFbE5VSWxOMElsTWpKNEpUSXlKVE5CSlRJeWR5VXlSaklsTWpJbE1rTWxNako1SlRJeUpUTkJKVEl5TUNVeU1pVTNSQ1V5UXlVM1FpVXlNbmdsTWpJbE0wRWxNakozSlRKR01pVXlNaVV5UXlVeU1ua2xNaklsTTBFbE1qSm9KVEl5SlRkRUpUSkRKVGRDSlRJeWVDVXlNaVV6UVNVeU1qQWxNaklsTWtNbE1qSjVKVEl5SlROQkpUSXlhQ1V5UmpJbE1qSWxOMFFsTWtNbE4wSWxNako0SlRJeUpUTkJKVEl5ZHlVeU1pVXlReVV5TW5rbE1qSWxNMEVsTWpKb0pUSkdNaVV5TWlVM1JDVTFSQ1V5UXlVeU1uUnBkR3hsSlRJeUpUTkJKVEl5SlRJeUpUSkRKVEl5Wm05dWRGTjBlV3hsSlRJeUpUTkJKVGRDSlRkRUpUSkRKVEl5WkdGMFlVRjBkSEpwWW5WMFpYTWxNaklsTTBFbE5VSWxOVVFsTWtNbE1qSndjbTl3Y3lVeU1pVXpRU1UzUWlVeU1ucHBibVJsZUNVeU1pVXpRVEUwSlRKREpUSXlkeVV5TWlVelFURTJNQzQyTkRJd09EazRORE0zTlNVeVF5VXlNbmdsTWpJbE0wRXlNVFlsTWtNbE1qSm9KVEl5SlROQk5UQWxNa01sTWpKNUpUSXlKVE5CTmpVd0pUSkRKVEl5WVc1bmJHVWxNaklsTTBFd0pUZEVKVEpESlRJeWNHRjBhQ1V5TWlVelFTVTFRaVUzUWlVeU1tRmpkR2x2Ym5NbE1qSWxNMEVsTlVJbE4wSWxNako0SlRJeUpUTkJKVEl5TUNVeU1pVXlReVV5TW1GamRHbHZiaVV5TWlVelFTVXlNbTF2ZG1VbE1qSWxNa01sTWpKNUpUSXlKVE5CSlRJeU1DVXlNaVUzUkNVeVF5VTNRaVV5TW5nbE1qSWxNMEVsTWpKM0pUSXlKVEpESlRJeVlXTjBhVzl1SlRJeUpUTkJKVEl5YkdsdVpTVXlNaVV5UXlVeU1ua2xNaklsTTBFbE1qSXdKVEl5SlRkRUpUSkRKVGRDSlRJeWVDVXlNaVV6UVNVeU1uY2xNaklsTWtNbE1qSmhZM1JwYjI0bE1qSWxNMEVsTWpKc2FXNWxKVEl5SlRKREpUSXllU1V5TWlVelFTVXlNbWdsTWpJbE4wUWxNa01sTjBJbE1qSjRKVEl5SlROQkpUSXlNQ1V5TWlVeVF5VXlNbUZqZEdsdmJpVXlNaVV6UVNVeU1teHBibVVsTWpJbE1rTWxNako1SlRJeUpUTkJKVEl5YUNVeU1pVTNSQ1V5UXlVM1FpVXlNbUZqZEdsdmJpVXlNaVV6UVNVeU1tTnNiM05sSlRJeUpUZEVKVFZFSlRkRUpUVkVKVEpESlRJeWJHbHVaVk4wZVd4bEpUSXlKVE5CSlRkQ0pUSXljbTkxYm1ScGJtY2xNaklsTTBFMEpUSkRKVEl5YkdsdVpWZHBaSFJvSlRJeUpUTkJNUzQxSlRkRUpUSkRKVEl5WTJocGJHUnlaVzRsTWpJbE0wRWxOVUlsTlVRbE1rTWxNakp5WlhOcGVtVkVhWElsTWpJbE0wRWxOVUlsTWpKMGJDVXlNaVV5UXlVeU1uUnlKVEl5SlRKREpUSXlZbklsTWpJbE1rTWxNakppYkNVeU1pVXlReVV5TW13bE1qSWxNa01sTWpKMEpUSXlKVEpESlRJeWNpVXlNaVV5UXlVeU1tSWxNaklsTlVRbE1rTWxNakp1WVcxbEpUSXlKVE5CSlRJeWNISnZZMlZ6Y3lVeU1pVXlReVV5TW1acGJHeFRkSGxzWlNVeU1pVXpRU1UzUWlVM1JDVXlReVV5TW5Sb1pXMWxKVEl5SlROQkpUZENKVGRFSlRKREpUSXlhV1FsTWpJbE0wRWxNakphWlhCclZIRjBhMVZ5T1RVNU9EQTJKVEl5SlRKREpUSXlZWFIwY21saWRYUmxKVEl5SlROQkpUZENKVEl5WTI5dWRHRnBibVZ5SlRJeUpUTkJabUZzYzJVbE1rTWxNakp5YjNSaGRHRmliR1VsTWpJbE0wRjBjblZsSlRKREpUSXlkbWx6YVdKc1pTVXlNaVV6UVhSeWRXVWxNa01sTWpKbWFYaGxaRXhwYm1zbE1qSWxNMEZtWVd4elpTVXlReVV5TW1OdmJHeGhjSE5oWW14bEpUSXlKVE5CWm1Gc2MyVWxNa01sTWpKamIyeHNZWEJ6WldRbE1qSWxNMEZtWVd4elpTVXlReVV5TW14cGJtdGhZbXhsSlRJeUpUTkJkSEoxWlNVeVF5VXlNbTFoY210bGNrOW1abk5sZENVeU1pVXpRVFVsTjBRbE1rTWxNakpqWVhSbFoyOXllU1V5TWlVelFTVXlNbVpzYjNjbE1qSWxOMFFsTWtNbE1qSkZUVzEzZFZKNGFsUklNVEV5TVRNekpUSXlKVE5CSlRkQ0pUSXliR2x1YXlVeU1pVXpRU1V5TWlVeU1pVXlReVV5TW5Ob1lYQmxVM1I1YkdVbE1qSWxNMEVsTjBJbE1qSmhiSEJvWVNVeU1pVXpRVEVsTjBRbE1rTWxNakowWlhoMFFteHZZMnNsTWpJbE0wRWxOVUlsTjBJbE1qSndiM05wZEdsdmJpVXlNaVV6UVNVM1FpVXlNbmNsTWpJbE0wRWxNakozTFRJd0pUSXlKVEpESlRJeWVDVXlNaVV6UVRFd0pUSkRKVEl5YUNVeU1pVXpRU1V5TW1nbE1qSWxNa01sTWpKNUpUSXlKVE5CTUNVM1JDVXlReVV5TW5SbGVIUWxNaklsTTBFbE1qSXlNRzBsUlRZbE9FVWxPVElsUlRZbFFqQWxPVFFsUlRjbFFVUWxPVElsTWpCRVFUQXhOU1V5TWlVM1JDVTFSQ1V5UXlVeU1tRnVZMmh2Y25NbE1qSWxNMEVsTlVJbE4wSWxNako0SlRJeUpUTkJKVEl5ZHlVeVJqSWxNaklsTWtNbE1qSjVKVEl5SlROQkpUSXlNQ1V5TWlVM1JDVXlReVUzUWlVeU1uZ2xNaklsTTBFbE1qSjNKVEpHTWlVeU1pVXlReVV5TW5rbE1qSWxNMEVsTWpKb0pUSXlKVGRFSlRKREpUZENKVEl5ZUNVeU1pVXpRU1V5TWpBbE1qSWxNa01sTWpKNUpUSXlKVE5CSlRJeWFDVXlSaklsTWpJbE4wUWxNa01sTjBJbE1qSjRKVEl5SlROQkpUSXlkeVV5TWlVeVF5VXlNbmtsTWpJbE0wRWxNakpvSlRKR01pVXlNaVUzUkNVMVJDVXlReVV5TW5ScGRHeGxKVEl5SlROQkpUSXlKVEl5SlRKREpUSXlabTl1ZEZOMGVXeGxKVEl5SlROQkpUZENKVGRFSlRKREpUSXlaR0YwWVVGMGRISnBZblYwWlhNbE1qSWxNMEVsTlVJbE5VUWxNa01sTWpKd2NtOXdjeVV5TWlVelFTVTNRaVV5TW5wcGJtUmxlQ1V5TWlVelFUZ2xNa01sTWpKM0pUSXlKVE5CTVRjeExqazJOak13T0RVNU16YzFKVEpESlRJeWVDVXlNaVV6UVRjNU9DNHlNell6TWpneE1qVWxNa01sTWpKb0pUSXlKVE5CTlRBbE1rTWxNako1SlRJeUpUTkJNelV3SlRKREpUSXlZVzVuYkdVbE1qSWxNMEV3SlRkRUpUSkRKVEl5Y0dGMGFDVXlNaVV6UVNVMVFpVTNRaVV5TW1GamRHbHZibk1sTWpJbE0wRWxOVUlsTjBJbE1qSjRKVEl5SlROQkpUSXlNQ1V5TWlVeVF5VXlNbUZqZEdsdmJpVXlNaVV6UVNVeU1tMXZkbVVsTWpJbE1rTWxNako1SlRJeUpUTkJKVEl5TUNVeU1pVTNSQ1V5UXlVM1FpVXlNbmdsTWpJbE0wRWxNakozSlRJeUpUSkRKVEl5WVdOMGFXOXVKVEl5SlROQkpUSXliR2x1WlNVeU1pVXlReVV5TW5rbE1qSWxNMEVsTWpJd0pUSXlKVGRFSlRKREpUZENKVEl5ZUNVeU1pVXpRU1V5TW5jbE1qSWxNa01sTWpKaFkzUnBiMjRsTWpJbE0wRWxNakpzYVc1bEpUSXlKVEpESlRJeWVTVXlNaVV6UVNVeU1tZ2xNaklsTjBRbE1rTWxOMElsTWpKNEpUSXlKVE5CSlRJeU1DVXlNaVV5UXlVeU1tRmpkR2x2YmlVeU1pVXpRU1V5TW14cGJtVWxNaklsTWtNbE1qSjVKVEl5SlROQkpUSXlhQ1V5TWlVM1JDVXlReVUzUWlVeU1tRmpkR2x2YmlVeU1pVXpRU1V5TW1Oc2IzTmxKVEl5SlRkRUpUVkVKVGRFSlRWRUpUSkRKVEl5YkdsdVpWTjBlV3hsSlRJeUpUTkJKVGRDSlRJeWNtOTFibVJwYm1jbE1qSWxNMEUwSlRKREpUSXliR2x1WlZkcFpIUm9KVEl5SlROQk1TNDFKVGRFSlRKREpUSXlZMmhwYkdSeVpXNGxNaklsTTBFbE5VSWxOVVFsTWtNbE1qSnlaWE5wZW1WRWFYSWxNaklsTTBFbE5VSWxNakowYkNVeU1pVXlReVV5TW5SeUpUSXlKVEpESlRJeVluSWxNaklsTWtNbE1qSmliQ1V5TWlVeVF5VXlNbXdsTWpJbE1rTWxNakowSlRJeUpUSkRKVEl5Y2lVeU1pVXlReVV5TW1JbE1qSWxOVVFsTWtNbE1qSnVZVzFsSlRJeUpUTkJKVEl5Y0hKdlkyVnpjeVV5TWlVeVF5VXlNbVpwYkd4VGRIbHNaU1V5TWlVelFTVTNRaVUzUkNVeVF5VXlNblJvWlcxbEpUSXlKVE5CSlRkQ0pUZEVKVEpESlRJeWFXUWxNaklsTTBFbE1qSkZUVzEzZFZKNGFsUklNVEV5TVRNekpUSXlKVEpESlRJeVlYUjBjbWxpZFhSbEpUSXlKVE5CSlRkQ0pUSXlZMjl1ZEdGcGJtVnlKVEl5SlROQlptRnNjMlVsTWtNbE1qSnliM1JoZEdGaWJHVWxNaklsTTBGMGNuVmxKVEpESlRJeWRtbHphV0pzWlNVeU1pVXpRWFJ5ZFdVbE1rTWxNakptYVhobFpFeHBibXNsTWpJbE0wRm1ZV3h6WlNVeVF5VXlNbU52Ykd4aGNITmhZbXhsSlRJeUpUTkJabUZzYzJVbE1rTWxNakpqYjJ4c1lYQnpaV1FsTWpJbE0wRm1ZV3h6WlNVeVF5VXlNbXhwYm10aFlteGxKVEl5SlROQmRISjFaU1V5UXlVeU1tMWhjbXRsY2s5bVpuTmxkQ1V5TWlVelFUVWxOMFFsTWtNbE1qSmpZWFJsWjI5eWVTVXlNaVV6UVNVeU1tWnNiM2NsTWpJbE4wUWxNa01sTWpKc2JFRkVXRTVIY0dOdE5ESTBNRE14SlRJeUpUTkJKVGRDSlRJeWJHbHVheVV5TWlVelFTVXlNaVV5TWlVeVF5VXlNbk5vWVhCbFUzUjViR1VsTWpJbE0wRWxOMElsTWpKaGJIQm9ZU1V5TWlVelFURWxOMFFsTWtNbE1qSjBaWGgwUW14dlkyc2xNaklsTTBFbE5VSWxOMElsTWpKd2IzTnBkR2x2YmlVeU1pVXpRU1UzUWlVeU1uY2xNaklsTTBFbE1qSjNMVEl3SlRJeUpUSkRKVEl5ZUNVeU1pVXpRVEV3SlRKREpUSXlhQ1V5TWlVelFTVXlNbWdsTWpJbE1rTWxNako1SlRJeUpUTkJNQ1UzUkNVeVF5VXlNblJsZUhRbE1qSWxNMEVsTWpJbFJUa2xPVUlsT0RZbFJUWWxRakFsT1RRbFJUY2xRa1FsUVRrbE1rSWxSVFVsUVVZbE9EWWxSVGtsT1RjbFFVUWxSVGNsUVVVbFFURWxSVGtsT0RFbE9UTWxNaklsTjBRbE5VUWxNa01sTWpKaGJtTm9iM0p6SlRJeUpUTkJKVFZDSlRkQ0pUSXllQ1V5TWlVelFTVXlNbmNsTWtZeUpUSXlKVEpESlRJeWVTVXlNaVV6UVNVeU1qQWxNaklsTjBRbE1rTWxOMElsTWpKNEpUSXlKVE5CSlRJeWR5VXlSaklsTWpJbE1rTWxNako1SlRJeUpUTkJKVEl5YUNVeU1pVTNSQ1V5UXlVM1FpVXlNbmdsTWpJbE0wRWxNakl3SlRJeUpUSkRKVEl5ZVNVeU1pVXpRU1V5TW1nbE1rWXlKVEl5SlRkRUpUSkRKVGRDSlRJeWVDVXlNaVV6UVNVeU1uY2xNaklsTWtNbE1qSjVKVEl5SlROQkpUSXlhQ1V5UmpJbE1qSWxOMFFsTlVRbE1rTWxNakowYVhSc1pTVXlNaVV6UVNVeU1pVXlNaVV5UXlVeU1tWnZiblJUZEhsc1pTVXlNaVV6UVNVM1FpVTNSQ1V5UXlVeU1tUmhkR0ZCZEhSeWFXSjFkR1Z6SlRJeUpUTkJKVFZDSlRWRUpUSkRKVEl5Y0hKdmNITWxNaklsTTBFbE4wSWxNako2YVc1a1pYZ2xNaklsTTBFek9DVXlReVV5TW5jbE1qSWxNMEV4TmpBdU5qUXlNRGc1T0RRek56VWxNa01sTWpKNEpUSXlKVE5CTWpFMkpUSkRKVEl5YUNVeU1pVXpRVFV3SlRKREpUSXllU1V5TWlVelFURTBNREFsTWtNbE1qSmhibWRzWlNVeU1pVXpRVEFsTjBRbE1rTWxNakp3WVhSb0pUSXlKVE5CSlRWQ0pUZENKVEl5WVdOMGFXOXVjeVV5TWlVelFTVTFRaVUzUWlVeU1uZ2xNaklsTTBFbE1qSXdKVEl5SlRKREpUSXlZV04wYVc5dUpUSXlKVE5CSlRJeWJXOTJaU1V5TWlVeVF5VXlNbmtsTWpJbE0wRWxNakl3SlRJeUpUZEVKVEpESlRkQ0pUSXllQ1V5TWlVelFTVXlNbmNsTWpJbE1rTWxNakpoWTNScGIyNGxNaklsTTBFbE1qSnNhVzVsSlRJeUpUSkRKVEl5ZVNVeU1pVXpRU1V5TWpBbE1qSWxOMFFsTWtNbE4wSWxNako0SlRJeUpUTkJKVEl5ZHlVeU1pVXlReVV5TW1GamRHbHZiaVV5TWlVelFTVXlNbXhwYm1VbE1qSWxNa01sTWpKNUpUSXlKVE5CSlRJeWFDVXlNaVUzUkNVeVF5VTNRaVV5TW5nbE1qSWxNMEVsTWpJd0pUSXlKVEpESlRJeVlXTjBhVzl1SlRJeUpUTkJKVEl5YkdsdVpTVXlNaVV5UXlVeU1ua2xNaklsTTBFbE1qSm9KVEl5SlRkRUpUSkRKVGRDSlRJeVlXTjBhVzl1SlRJeUpUTkJKVEl5WTJ4dmMyVWxNaklsTjBRbE5VUWxOMFFsTlVRbE1rTWxNakpzYVc1bFUzUjViR1VsTWpJbE0wRWxOMElsTWpKeWIzVnVaR2x1WnlVeU1pVXpRVFFsTWtNbE1qSnNhVzVsVjJsa2RHZ2xNaklsTTBFeExqVWxOMFFsTWtNbE1qSmphR2xzWkhKbGJpVXlNaVV6UVNVMVFpVTFSQ1V5UXlVeU1uSmxjMmw2WlVScGNpVXlNaVV6UVNVMVFpVXlNblJzSlRJeUpUSkRKVEl5ZEhJbE1qSWxNa01sTWpKaWNpVXlNaVV5UXlVeU1tSnNKVEl5SlRKREpUSXliQ1V5TWlVeVF5VXlNblFsTWpJbE1rTWxNakp5SlRJeUpUSkRKVEl5WWlVeU1pVTFSQ1V5UXlVeU1tNWhiV1VsTWpJbE0wRWxNakp3Y205alpYTnpKVEl5SlRKREpUSXlabWxzYkZOMGVXeGxKVEl5SlROQkpUZENKVGRFSlRKREpUSXlkR2hsYldVbE1qSWxNMEVsTjBJbE4wUWxNa01sTWpKcFpDVXlNaVV6UVNVeU1teHNRVVJZVGtkd1kyMDBNalF3TXpFbE1qSWxNa01sTWpKaGRIUnlhV0oxZEdVbE1qSWxNMEVsTjBJbE1qSmpiMjUwWVdsdVpYSWxNaklsTTBGbVlXeHpaU1V5UXlVeU1uSnZkR0YwWVdKc1pTVXlNaVV6UVhSeWRXVWxNa01sTWpKMmFYTnBZbXhsSlRJeUpUTkJkSEoxWlNVeVF5VXlNbVpwZUdWa1RHbHVheVV5TWlVelFXWmhiSE5sSlRKREpUSXlZMjlzYkdGd2MyRmliR1VsTWpJbE0wRm1ZV3h6WlNVeVF5VXlNbU52Ykd4aGNITmxaQ1V5TWlVelFXWmhiSE5sSlRKREpUSXliR2x1YTJGaWJHVWxNaklsTTBGMGNuVmxKVEpESlRJeWJXRnlhMlZ5VDJabWMyVjBKVEl5SlROQk5TVTNSQ1V5UXlVeU1tTmhkR1ZuYjNKNUpUSXlKVE5CSlRJeVpteHZkeVV5TWlVM1JDVXlReVV5TW5oNWVITk5XRmhwVlVvMU5ETTROVElsTWpJbE0wRWxOMElsTWpKc2FXNXJKVEl5SlROQkpUSXlKVEl5SlRKREpUSXljMmhoY0dWVGRIbHNaU1V5TWlVelFTVTNRaVV5TW1Gc2NHaGhKVEl5SlROQk1TVTNSQ1V5UXlVeU1uUmxlSFJDYkc5amF5VXlNaVV6UVNVMVFpVTNRaVV5TW5CdmMybDBhVzl1SlRJeUpUTkJKVGRDSlRJeWR5VXlNaVV6UVNVeU1uY3RNakFsTWpJbE1rTWxNako0SlRJeUpUTkJNVEFsTWtNbE1qSm9KVEl5SlROQkpUSXlhQ1V5TWlVeVF5VXlNbmtsTWpJbE0wRXdKVGRFSlRKREpUSXlkR1Y0ZENVeU1pVXpRU1V5TWlWRk9DVkJNaVU0UWlWRk5TVkNReVU0UmlWRk9TVTVPU1ZCTkNWRk5TVkNNQ1U1T0NWRk5TVTVPU1ZCT0NVeU1pVTNSQ1UxUkNVeVF5VXlNbUZ1WTJodmNuTWxNaklsTTBFbE5VSWxOMElsTWpKNEpUSXlKVE5CSlRJeWR5VXlSaklsTWpJbE1rTWxNako1SlRJeUpUTkJKVEl5TUNVeU1pVTNSQ1V5UXlVM1FpVXlNbmdsTWpJbE0wRWxNakozSlRKR01pVXlNaVV5UXlVeU1ua2xNaklsTTBFbE1qSm9KVEl5SlRkRUpUSkRKVGRDSlRJeWVDVXlNaVV6UVNVeU1qQWxNaklsTWtNbE1qSjVKVEl5SlROQkpUSXlhQ1V5UmpJbE1qSWxOMFFsTWtNbE4wSWxNako0SlRJeUpUTkJKVEl5ZHlVeU1pVXlReVV5TW5rbE1qSWxNMEVsTWpKb0pUSkdNaVV5TWlVM1JDVTFSQ1V5UXlVeU1uUnBkR3hsSlRJeUpUTkJKVEl5SlRJeUpUSkRKVEl5Wm05dWRGTjBlV3hsSlRJeUpUTkJKVGRDSlRkRUpUSkRKVEl5WkdGMFlVRjBkSEpwWW5WMFpYTWxNaklsTTBFbE5VSWxOVVFsTWtNbE1qSndjbTl3Y3lVeU1pVXpRU1UzUWlVeU1ucHBibVJsZUNVeU1pVXpRVEU1SlRKREpUSXlkeVV5TWlVelFURXlOU1V5UXlVeU1uZ2xNaklsTTBFMU1qUXVPVE01TWpBNE9UZzBNemMxSlRKREpUSXlhQ1V5TWlVelFUVXdKVEpESlRJeWVTVXlNaVV6UVRnd01DVXlReVV5TW1GdVoyeGxKVEl5SlROQk1DVTNSQ1V5UXlVeU1uQmhkR2dsTWpJbE0wRWxOVUlsTjBJbE1qSmhZM1JwYjI1ekpUSXlKVE5CSlRWQ0pUZENKVEl5ZUNVeU1pVXpRU1V5TWpBbE1qSWxNa01sTWpKaFkzUnBiMjRsTWpJbE0wRWxNakp0YjNabEpUSXlKVEpESlRJeWVTVXlNaVV6UVNVeU1qQWxNaklsTjBRbE1rTWxOMElsTWpKNEpUSXlKVE5CSlRJeWR5VXlNaVV5UXlVeU1tRmpkR2x2YmlVeU1pVXpRU1V5TW14cGJtVWxNaklsTWtNbE1qSjVKVEl5SlROQkpUSXlNQ1V5TWlVM1JDVXlReVUzUWlVeU1uZ2xNaklsTTBFbE1qSjNKVEl5SlRKREpUSXlZV04wYVc5dUpUSXlKVE5CSlRJeWJHbHVaU1V5TWlVeVF5VXlNbmtsTWpJbE0wRWxNakpvSlRJeUpUZEVKVEpESlRkQ0pUSXllQ1V5TWlVelFTVXlNakFsTWpJbE1rTWxNakpoWTNScGIyNGxNaklsTTBFbE1qSnNhVzVsSlRJeUpUSkRKVEl5ZVNVeU1pVXpRU1V5TW1nbE1qSWxOMFFsTWtNbE4wSWxNakpoWTNScGIyNGxNaklsTTBFbE1qSmpiRzl6WlNVeU1pVTNSQ1UxUkNVM1JDVTFSQ1V5UXlVeU1teHBibVZUZEhsc1pTVXlNaVV6UVNVM1FpVXlNbkp2ZFc1a2FXNW5KVEl5SlROQk5DVXlReVV5TW14cGJtVlhhV1IwYUNVeU1pVXpRVEV1TlNVM1JDVXlReVV5TW1Ob2FXeGtjbVZ1SlRJeUpUTkJKVFZDSlRWRUpUSkRKVEl5Y21WemFYcGxSR2x5SlRJeUpUTkJKVFZDSlRJeWRHd2xNaklsTWtNbE1qSjBjaVV5TWlVeVF5VXlNbUp5SlRJeUpUSkRKVEl5WW13bE1qSWxNa01sTWpKc0pUSXlKVEpESlRJeWRDVXlNaVV5UXlVeU1uSWxNaklsTWtNbE1qSmlKVEl5SlRWRUpUSkRKVEl5Ym1GdFpTVXlNaVV6UVNVeU1uQnliMk5sYzNNbE1qSWxNa01sTWpKbWFXeHNVM1I1YkdVbE1qSWxNMEVsTjBJbE4wUWxNa01sTWpKMGFHVnRaU1V5TWlVelFTVTNRaVUzUkNVeVF5VXlNbWxrSlRJeUpUTkJKVEl5ZUhsNGMwMVlXR2xWU2pVME16ZzFNaVV5TWlVeVF5VXlNbUYwZEhKcFluVjBaU1V5TWlVelFTVTNRaVV5TW1OdmJuUmhhVzVsY2lVeU1pVXpRV1poYkhObEpUSkRKVEl5Y205MFlYUmhZbXhsSlRJeUpUTkJkSEoxWlNVeVF5VXlNblpwYzJsaWJHVWxNaklsTTBGMGNuVmxKVEpESlRJeVptbDRaV1JNYVc1ckpUSXlKVE5CWm1Gc2MyVWxNa01sTWpKamIyeHNZWEJ6WVdKc1pTVXlNaVV6UVdaaGJITmxKVEpESlRJeVkyOXNiR0Z3YzJWa0pUSXlKVE5CWm1Gc2MyVWxNa01sTWpKc2FXNXJZV0pzWlNVeU1pVXpRWFJ5ZFdVbE1rTWxNakp0WVhKclpYSlBabVp6WlhRbE1qSWxNMEUxSlRkRUpUSkRKVEl5WTJGMFpXZHZjbmtsTWpJbE0wRWxNakptYkc5M0pUSXlKVGRFSlRKREpUSXlkV2g0VFVGVmEzQlBWakk1TkRNMk1TVXlNaVV6UVNVM1FpVXlNbXhwYm1zbE1qSWxNMEVsTWpJbE1qSWxNa01sTWpKemFHRndaVk4wZVd4bEpUSXlKVE5CSlRkQ0pUSXlZV3h3YUdFbE1qSWxNMEV4SlRkRUpUSkRKVEl5ZEdWNGRFSnNiMk5ySlRJeUpUTkJKVFZDSlRkQ0pUSXljRzl6YVhScGIyNGxNaklsTTBFbE4wSWxNakozSlRJeUpUTkJKVEl5ZHkweU1DVXlNaVV5UXlVeU1uZ2xNaklsTTBFeE1DVXlReVV5TW1nbE1qSWxNMEVsTWpKb0pUSXlKVEpESlRJeWVTVXlNaVV6UVRBbE4wUWxNa01sTWpKMFpYaDBKVEl5SlROQkpUSXlKVVU0SlVJMEpVRkZKVVUxSlVGRUpUazRKVVUxSlVKQkpUbEdKVVUySlVJd0pUazBKVEl5SlRkRUpUVkVKVEpESlRJeVlXNWphRzl5Y3lVeU1pVXpRU1UxUWlVM1FpVXlNbmdsTWpJbE0wRWxNakozSlRKR01pVXlNaVV5UXlVeU1ua2xNaklsTTBFbE1qSXdKVEl5SlRkRUpUSkRKVGRDSlRJeWVDVXlNaVV6UVNVeU1uY2xNa1l5SlRJeUpUSkRKVEl5ZVNVeU1pVXpRU1V5TW1nbE1qSWxOMFFsTWtNbE4wSWxNako0SlRJeUpUTkJKVEl5TUNVeU1pVXlReVV5TW5rbE1qSWxNMEVsTWpKb0pUSkdNaVV5TWlVM1JDVXlReVUzUWlVeU1uZ2xNaklsTTBFbE1qSjNKVEl5SlRKREpUSXllU1V5TWlVelFTVXlNbWdsTWtZeUpUSXlKVGRFSlRWRUpUSkRKVEl5ZEdsMGJHVWxNaklsTTBFbE1qSWxNaklsTWtNbE1qSm1iMjUwVTNSNWJHVWxNaklsTTBFbE4wSWxOMFFsTWtNbE1qSmtZWFJoUVhSMGNtbGlkWFJsY3lVeU1pVXpRU1UxUWlVMVJDVXlReVV5TW5CeWIzQnpKVEl5SlROQkpUZENKVEl5ZW1sdVpHVjRKVEl5SlROQk1qVWxNa01sTWpKM0pUSXlKVE5CTVRFeUpUSkRKVEl5ZUNVeU1pVXpRVEkySlRKREpUSXlhQ1V5TWlVelFUVXdKVEpESlRJeWVTVXlNaVV6UVRFeE1EQWxNa01sTWpKaGJtZHNaU1V5TWlVelFUQWxOMFFsTWtNbE1qSndZWFJvSlRJeUpUTkJKVFZDSlRkQ0pUSXlZV04wYVc5dWN5VXlNaVV6UVNVMVFpVTNRaVV5TW5nbE1qSWxNMEVsTWpJd0pUSXlKVEpESlRJeVlXTjBhVzl1SlRJeUpUTkJKVEl5Ylc5MlpTVXlNaVV5UXlVeU1ua2xNaklsTTBFbE1qSXdKVEl5SlRkRUpUSkRKVGRDSlRJeWVDVXlNaVV6UVNVeU1uY2xNaklsTWtNbE1qSmhZM1JwYjI0bE1qSWxNMEVsTWpKc2FXNWxKVEl5SlRKREpUSXllU1V5TWlVelFTVXlNakFsTWpJbE4wUWxNa01sTjBJbE1qSjRKVEl5SlROQkpUSXlkeVV5TWlVeVF5VXlNbUZqZEdsdmJpVXlNaVV6UVNVeU1teHBibVVsTWpJbE1rTWxNako1SlRJeUpUTkJKVEl5YUNVeU1pVTNSQ1V5UXlVM1FpVXlNbmdsTWpJbE0wRWxNakl3SlRJeUpUSkRKVEl5WVdOMGFXOXVKVEl5SlROQkpUSXliR2x1WlNVeU1pVXlReVV5TW5rbE1qSWxNMEVsTWpKb0pUSXlKVGRFSlRKREpUZENKVEl5WVdOMGFXOXVKVEl5SlROQkpUSXlZMnh2YzJVbE1qSWxOMFFsTlVRbE4wUWxOVVFsTWtNbE1qSnNhVzVsVTNSNWJHVWxNaklsTTBFbE4wSWxNakp5YjNWdVpHbHVaeVV5TWlVelFUUWxNa01sTWpKc2FXNWxWMmxrZEdnbE1qSWxNMEV4TGpVbE4wUWxNa01sTWpKamFHbHNaSEpsYmlVeU1pVXpRU1UxUWlVMVJDVXlReVV5TW5KbGMybDZaVVJwY2lVeU1pVXpRU1UxUWlVeU1uUnNKVEl5SlRKREpUSXlkSElsTWpJbE1rTWxNakppY2lVeU1pVXlReVV5TW1Kc0pUSXlKVEpESlRJeWJDVXlNaVV5UXlVeU1uUWxNaklsTWtNbE1qSnlKVEl5SlRKREpUSXlZaVV5TWlVMVJDVXlReVV5TW01aGJXVWxNaklsTTBFbE1qSndjbTlqWlhOekpUSXlKVEpESlRJeVptbHNiRk4wZVd4bEpUSXlKVE5CSlRkQ0pUZEVKVEpESlRJeWRHaGxiV1VsTWpJbE0wRWxOMElsTjBRbE1rTWxNakpwWkNVeU1pVXpRU1V5TW5Wb2VFMUJWV3R3VDFZeU9UUXpOakVsTWpJbE1rTWxNakpoZEhSeWFXSjFkR1VsTWpJbE0wRWxOMElsTWpKamIyNTBZV2x1WlhJbE1qSWxNMEZtWVd4elpTVXlReVV5TW5KdmRHRjBZV0pzWlNVeU1pVXpRWFJ5ZFdVbE1rTWxNakoyYVhOcFlteGxKVEl5SlROQmRISjFaU1V5UXlVeU1tWnBlR1ZrVEdsdWF5VXlNaVV6UVdaaGJITmxKVEpESlRJeVkyOXNiR0Z3YzJGaWJHVWxNaklsTTBGbVlXeHpaU1V5UXlVeU1tTnZiR3hoY0hObFpDVXlNaVV6UVdaaGJITmxKVEpESlRJeWJHbHVhMkZpYkdVbE1qSWxNMEYwY25WbEpUSkRKVEl5YldGeWEyVnlUMlptYzJWMEpUSXlKVE5CTlNVM1JDVXlReVV5TW1OaGRHVm5iM0o1SlRJeUpUTkJKVEl5Wm14dmR5VXlNaVUzUkNVeVF5VXlNbHBxYjJkamFXSlNkM013TVRBd01UY2xNaklsTTBFbE4wSWxNakpzYVc1ckpUSXlKVE5CSlRJeUpUSXlKVEpESlRJeWMyaGhjR1ZUZEhsc1pTVXlNaVV6UVNVM1FpVXlNbUZzY0doaEpUSXlKVE5CTVNVM1JDVXlReVV5TW5SbGVIUkNiRzlqYXlVeU1pVXpRU1UxUWlVM1FpVXlNbkJ2YzJsMGFXOXVKVEl5SlROQkpUZENKVEl5ZHlVeU1pVXpRU1V5TW5jdE1qQWxNaklsTWtNbE1qSjRKVEl5SlROQk1UQWxNa01sTWpKb0pUSXlKVE5CSlRJeWFDVXlNaVV5UXlVeU1ua2xNaklsTTBFd0pUZEVKVEpESlRJeWRHVjRkQ1V5TWlVelFTVXlNalV3YlNWRk5pVTRSU1U1TWlWRk5pVkNNQ1U1TkNWRk55VkJSQ1U1TWlVeU1FUkJNREF4SlRJeUpUZEVKVFZFSlRKREpUSXlZVzVqYUc5eWN5VXlNaVV6UVNVMVFpVTNRaVV5TW5nbE1qSWxNMEVsTWpKM0pUSkdNaVV5TWlVeVF5VXlNbmtsTWpJbE0wRWxNakl3SlRJeUpUZEVKVEpESlRkQ0pUSXllQ1V5TWlVelFTVXlNbmNsTWtZeUpUSXlKVEpESlRJeWVTVXlNaVV6UVNVeU1tZ2xNaklsTjBRbE1rTWxOMElsTWpKNEpUSXlKVE5CSlRJeU1DVXlNaVV5UXlVeU1ua2xNaklsTTBFbE1qSm9KVEpHTWlVeU1pVTNSQ1V5UXlVM1FpVXlNbmdsTWpJbE0wRWxNakozSlRJeUpUSkRKVEl5ZVNVeU1pVXpRU1V5TW1nbE1rWXlKVEl5SlRkRUpUVkVKVEpESlRJeWRHbDBiR1VsTWpJbE0wRWxNaklsTWpJbE1rTWxNakptYjI1MFUzUjViR1VsTWpJbE0wRWxOMElsTjBRbE1rTWxNakprWVhSaFFYUjBjbWxpZFhSbGN5VXlNaVV6UVNVMVFpVTFSQ1V5UXlVeU1uQnliM0J6SlRJeUpUTkJKVGRDSlRJeWVtbHVaR1Y0SlRJeUpUTkJNalFsTWtNbE1qSjNKVEl5SlROQk1UY3hMamsyTmpNd09EVTVNemMxSlRKREpUSXllQ1V5TWlVelFUYzVPQzR5TXpZek1qZ3hNalVsTWtNbE1qSm9KVEl5SlROQk5UQWxNa01sTWpKNUpUSXlKVE5CT1RVd0pUSkRKVEl5WVc1bmJHVWxNaklsTTBFd0pUZEVKVEpESlRJeWNHRjBhQ1V5TWlVelFTVTFRaVUzUWlVeU1tRmpkR2x2Ym5NbE1qSWxNMEVsTlVJbE4wSWxNako0SlRJeUpUTkJKVEl5TUNVeU1pVXlReVV5TW1GamRHbHZiaVV5TWlVelFTVXlNbTF2ZG1VbE1qSWxNa01sTWpKNUpUSXlKVE5CSlRJeU1DVXlNaVUzUkNVeVF5VTNRaVV5TW5nbE1qSWxNMEVsTWpKM0pUSXlKVEpESlRJeVlXTjBhVzl1SlRJeUpUTkJKVEl5YkdsdVpTVXlNaVV5UXlVeU1ua2xNaklsTTBFbE1qSXdKVEl5SlRkRUpUSkRKVGRDSlRJeWVDVXlNaVV6UVNVeU1uY2xNaklsTWtNbE1qSmhZM1JwYjI0bE1qSWxNMEVsTWpKc2FXNWxKVEl5SlRKREpUSXllU1V5TWlVelFTVXlNbWdsTWpJbE4wUWxNa01sTjBJbE1qSjRKVEl5SlROQkpUSXlNQ1V5TWlVeVF5VXlNbUZqZEdsdmJpVXlNaVV6UVNVeU1teHBibVVsTWpJbE1rTWxNako1SlRJeUpUTkJKVEl5YUNVeU1pVTNSQ1V5UXlVM1FpVXlNbUZqZEdsdmJpVXlNaVV6UVNVeU1tTnNiM05sSlRJeUpUZEVKVFZFSlRkRUpUVkVKVEpESlRJeWJHbHVaVk4wZVd4bEpUSXlKVE5CSlRkQ0pUSXljbTkxYm1ScGJtY2xNaklsTTBFMEpUSkRKVEl5YkdsdVpWZHBaSFJvSlRJeUpUTkJNUzQxSlRkRUpUSkRKVEl5WTJocGJHUnlaVzRsTWpJbE0wRWxOVUlsTlVRbE1rTWxNakp5WlhOcGVtVkVhWElsTWpJbE0wRWxOVUlsTWpKMGJDVXlNaVV5UXlVeU1uUnlKVEl5SlRKREpUSXlZbklsTWpJbE1rTWxNakppYkNVeU1pVXlReVV5TW13bE1qSWxNa01sTWpKMEpUSXlKVEpESlRJeWNpVXlNaVV5UXlVeU1tSWxNaklsTlVRbE1rTWxNakp1WVcxbEpUSXlKVE5CSlRJeWNISnZZMlZ6Y3lVeU1pVXlReVV5TW1acGJHeFRkSGxzWlNVeU1pVXpRU1UzUWlVM1JDVXlReVV5TW5Sb1pXMWxKVEl5SlROQkpUZENKVGRFSlRKREpUSXlhV1FsTWpJbE0wRWxNakphYW05blkybGlVbmR6TURFd01ERTNKVEl5SlRKREpUSXlZWFIwY21saWRYUmxKVEl5SlROQkpUZENKVEl5WTI5dWRHRnBibVZ5SlRJeUpUTkJabUZzYzJVbE1rTWxNakp5YjNSaGRHRmliR1VsTWpJbE0wRjBjblZsSlRKREpUSXlkbWx6YVdKc1pTVXlNaVV6UVhSeWRXVWxNa01sTWpKbWFYaGxaRXhwYm1zbE1qSWxNMEZtWVd4elpTVXlReVV5TW1OdmJHeGhjSE5oWW14bEpUSXlKVE5CWm1Gc2MyVWxNa01sTWpKamIyeHNZWEJ6WldRbE1qSWxNMEZtWVd4elpTVXlReVV5TW14cGJtdGhZbXhsSlRJeUpUTkJkSEoxWlNVeVF5VXlNbTFoY210bGNrOW1abk5sZENVeU1pVXpRVFVsTjBRbE1rTWxNakpqWVhSbFoyOXllU1V5TWlVelFTVXlNbVpzYjNjbE1qSWxOMFFsTWtNbE1qSlVRVk5RVUV0cGFHMVFNRGswTWpVekpUSXlKVE5CSlRkQ0pUSXliR2x1YXlVeU1pVXpRU1V5TWlVeU1pVXlReVV5TW5Ob1lYQmxVM1I1YkdVbE1qSWxNMEVsTjBJbE1qSmhiSEJvWVNVeU1pVXpRVEVsTjBRbE1rTWxNakowWlhoMFFteHZZMnNsTWpJbE0wRWxOVUlsTjBJbE1qSndiM05wZEdsdmJpVXlNaVV6UVNVM1FpVXlNbmNsTWpJbE0wRWxNakozTFRJd0pUSXlKVEpESlRJeWVDVXlNaVV6UVRFd0pUSkRKVEl5YUNVeU1pVXpRU1V5TW1nbE1qSWxNa01sTWpKNUpUSXlKVE5CTUNVM1JDVXlReVV5TW5SbGVIUWxNaklsTTBFbE1qSTFNRzBsUlRZbE9FVWxPVElsUlRZbFFqQWxPVFFsUlRjbFFVUWxPVElsTWpCRVFUQXdOQ1V5TWlVM1JDVTFSQ1V5UXlVeU1tRnVZMmh2Y25NbE1qSWxNMEVsTlVJbE4wSWxNako0SlRJeUpUTkJKVEl5ZHlVeVJqSWxNaklsTWtNbE1qSjVKVEl5SlROQkpUSXlNQ1V5TWlVM1JDVXlReVUzUWlVeU1uZ2xNaklsTTBFbE1qSjNKVEpHTWlVeU1pVXlReVV5TW5rbE1qSWxNMEVsTWpKb0pUSXlKVGRFSlRKREpUZENKVEl5ZUNVeU1pVXpRU1V5TWpBbE1qSWxNa01sTWpKNUpUSXlKVE5CSlRJeWFDVXlSaklsTWpJbE4wUWxNa01sTjBJbE1qSjRKVEl5SlROQkpUSXlkeVV5TWlVeVF5VXlNbmtsTWpJbE0wRWxNakpvSlRKR01pVXlNaVUzUkNVMVJDVXlReVV5TW5ScGRHeGxKVEl5SlROQkpUSXlKVEl5SlRKREpUSXlabTl1ZEZOMGVXeGxKVEl5SlROQkpUZENKVGRFSlRKREpUSXlaR0YwWVVGMGRISnBZblYwWlhNbE1qSWxNMEVsTlVJbE5VUWxNa01sTWpKd2NtOXdjeVV5TWlVelFTVTNRaVV5TW5wcGJtUmxlQ1V5TWlVelFUSXdKVEpESlRJeWR5VXlNaVV6UVRFM01TNDVOall6TURnMU9UTTNOU1V5UXlVeU1uZ2xNaklsTTBFM09UZ3VNak0yTXpJNE1USTFKVEpESlRJeWFDVXlNaVV6UVRVd0pUSkRKVEl5ZVNVeU1pVXpRVGd3TUNVeVF5VXlNbUZ1WjJ4bEpUSXlKVE5CTUNVM1JDVXlReVV5TW5CaGRHZ2xNaklsTTBFbE5VSWxOMElsTWpKaFkzUnBiMjV6SlRJeUpUTkJKVFZDSlRkQ0pUSXllQ1V5TWlVelFTVXlNakFsTWpJbE1rTWxNakpoWTNScGIyNGxNaklsTTBFbE1qSnRiM1psSlRJeUpUSkRKVEl5ZVNVeU1pVXpRU1V5TWpBbE1qSWxOMFFsTWtNbE4wSWxNako0SlRJeUpUTkJKVEl5ZHlVeU1pVXlReVV5TW1GamRHbHZiaVV5TWlVelFTVXlNbXhwYm1VbE1qSWxNa01sTWpKNUpUSXlKVE5CSlRJeU1DVXlNaVUzUkNVeVF5VTNRaVV5TW5nbE1qSWxNMEVsTWpKM0pUSXlKVEpESlRJeVlXTjBhVzl1SlRJeUpUTkJKVEl5YkdsdVpTVXlNaVV5UXlVeU1ua2xNaklsTTBFbE1qSm9KVEl5SlRkRUpUSkRKVGRDSlRJeWVDVXlNaVV6UVNVeU1qQWxNaklsTWtNbE1qSmhZM1JwYjI0bE1qSWxNMEVsTWpKc2FXNWxKVEl5SlRKREpUSXllU1V5TWlVelFTVXlNbWdsTWpJbE4wUWxNa01sTjBJbE1qSmhZM1JwYjI0bE1qSWxNMEVsTWpKamJHOXpaU1V5TWlVM1JDVTFSQ1UzUkNVMVJDVXlReVV5TW14cGJtVlRkSGxzWlNVeU1pVXpRU1UzUWlVeU1uSnZkVzVrYVc1bkpUSXlKVE5CTkNVeVF5VXlNbXhwYm1WWGFXUjBhQ1V5TWlVelFURXVOU1UzUkNVeVF5VXlNbU5vYVd4a2NtVnVKVEl5SlROQkpUVkNKVFZFSlRKREpUSXljbVZ6YVhwbFJHbHlKVEl5SlROQkpUVkNKVEl5ZEd3bE1qSWxNa01sTWpKMGNpVXlNaVV5UXlVeU1tSnlKVEl5SlRKREpUSXlZbXdsTWpJbE1rTWxNakpzSlRJeUpUSkRKVEl5ZENVeU1pVXlReVV5TW5JbE1qSWxNa01sTWpKaUpUSXlKVFZFSlRKREpUSXlibUZ0WlNVeU1pVXpRU1V5TW5CeWIyTmxjM01sTWpJbE1rTWxNakptYVd4c1UzUjViR1VsTWpJbE0wRWxOMElsTjBRbE1rTWxNakowYUdWdFpTVXlNaVV6UVNVM1FpVTNSQ1V5UXlVeU1tbGtKVEl5SlROQkpUSXlWRUZUVUZCTGFXaHRVREE1TkRJMU15VXlNaVV5UXlVeU1tRjBkSEpwWW5WMFpTVXlNaVV6UVNVM1FpVXlNbU52Ym5SaGFXNWxjaVV5TWlVelFXWmhiSE5sSlRKREpUSXljbTkwWVhSaFlteGxKVEl5SlROQmRISjFaU1V5UXlVeU1uWnBjMmxpYkdVbE1qSWxNMEYwY25WbEpUSkRKVEl5Wm1sNFpXUk1hVzVySlRJeUpUTkJabUZzYzJVbE1rTWxNakpqYjJ4c1lYQnpZV0pzWlNVeU1pVXpRV1poYkhObEpUSkRKVEl5WTI5c2JHRndjMlZrSlRJeUpUTkJabUZzYzJVbE1rTWxNakpzYVc1cllXSnNaU1V5TWlVelFYUnlkV1VsTWtNbE1qSnRZWEpyWlhKUFptWnpaWFFsTWpJbE0wRTFKVGRFSlRKREpUSXlZMkYwWldkdmNua2xNaklsTTBFbE1qSm1iRzkzSlRJeUpUZEVKVEpESlRJeWJFMVNXbnAxZUZORWVETTRPRGd4TVNVeU1pVXpRU1UzUWlVeU1teHBibXNsTWpJbE0wRWxNaklsTWpJbE1rTWxNakp6YUdGd1pWTjBlV3hsSlRJeUpUTkJKVGRDSlRJeVlXeHdhR0VsTWpJbE0wRXhKVGRFSlRKREpUSXlkR1Y0ZEVKc2IyTnJKVEl5SlROQkpUVkNKVGRDSlRJeWNHOXphWFJwYjI0bE1qSWxNMEVsTjBJbE1qSjNKVEl5SlROQkpUSXlkeTB5TUNVeU1pVXlReVV5TW5nbE1qSWxNMEV4TUNVeVF5VXlNbWdsTWpJbE0wRWxNakpvSlRJeUpUSkRKVEl5ZVNVeU1pVXpRVEFsTjBRbE1rTWxNakowWlhoMEpUSXlKVE5CSlRJeUpVVTVKVGxDSlRnMkpVVTJKVUl3SlRrMEpVVTNKVUpFSlVFNUpUSkNKVVUxSlVGR0pUZzJKVVU1SlRrM0pVRkVKVVUzSlVGRkpVRXhKVVU1SlRneEpUa3pKVEl5SlRkRUpUVkVKVEpESlRJeVlXNWphRzl5Y3lVeU1pVXpRU1UxUWlVM1FpVXlNbmdsTWpJbE0wRWxNakozSlRKR01pVXlNaVV5UXlVeU1ua2xNaklsTTBFbE1qSXdKVEl5SlRkRUpUSkRKVGRDSlRJeWVDVXlNaVV6UVNVeU1uY2xNa1l5SlRJeUpUSkRKVEl5ZVNVeU1pVXpRU1V5TW1nbE1qSWxOMFFsTWtNbE4wSWxNako0SlRJeUpUTkJKVEl5TUNVeU1pVXlReVV5TW5rbE1qSWxNMEVsTWpKb0pUSkdNaVV5TWlVM1JDVXlReVUzUWlVeU1uZ2xNaklsTTBFbE1qSjNKVEl5SlRKREpUSXllU1V5TWlVelFTVXlNbWdsTWtZeUpUSXlKVGRFSlRWRUpUSkRKVEl5ZEdsMGJHVWxNaklsTTBFbE1qSWxNaklsTWtNbE1qSm1iMjUwVTNSNWJHVWxNaklsTTBFbE4wSWxOMFFsTWtNbE1qSmtZWFJoUVhSMGNtbGlkWFJsY3lVeU1pVXpRU1UxUWlVMVJDVXlReVV5TW5CeWIzQnpKVEl5SlROQkpUZENKVEl5ZW1sdVpHVjRKVEl5SlROQk1qSWxNa01sTWpKM0pUSXlKVE5CTVRZd0xqWTBNakE0T1RnME16YzFKVEpESlRJeWVDVXlNaVV6UVRJeE5pVXlReVV5TW1nbE1qSWxNMEUxTUNVeVF5VXlNbmtsTWpJbE0wRTVOVEFsTWtNbE1qSmhibWRzWlNVeU1pVXpRVEFsTjBRbE1rTWxNakp3WVhSb0pUSXlKVE5CSlRWQ0pUZENKVEl5WVdOMGFXOXVjeVV5TWlVelFTVTFRaVUzUWlVeU1uZ2xNaklsTTBFbE1qSXdKVEl5SlRKREpUSXlZV04wYVc5dUpUSXlKVE5CSlRJeWJXOTJaU1V5TWlVeVF5VXlNbmtsTWpJbE0wRWxNakl3SlRJeUpUZEVKVEpESlRkQ0pUSXllQ1V5TWlVelFTVXlNbmNsTWpJbE1rTWxNakpoWTNScGIyNGxNaklsTTBFbE1qSnNhVzVsSlRJeUpUSkRKVEl5ZVNVeU1pVXpRU1V5TWpBbE1qSWxOMFFsTWtNbE4wSWxNako0SlRJeUpUTkJKVEl5ZHlVeU1pVXlReVV5TW1GamRHbHZiaVV5TWlVelFTVXlNbXhwYm1VbE1qSWxNa01sTWpKNUpUSXlKVE5CSlRJeWFDVXlNaVUzUkNVeVF5VTNRaVV5TW5nbE1qSWxNMEVsTWpJd0pUSXlKVEpESlRJeVlXTjBhVzl1SlRJeUpUTkJKVEl5YkdsdVpTVXlNaVV5UXlVeU1ua2xNaklsTTBFbE1qSm9KVEl5SlRkRUpUSkRKVGRDSlRJeVlXTjBhVzl1SlRJeUpUTkJKVEl5WTJ4dmMyVWxNaklsTjBRbE5VUWxOMFFsTlVRbE1rTWxNakpzYVc1bFUzUjViR1VsTWpJbE0wRWxOMElsTWpKeWIzVnVaR2x1WnlVeU1pVXpRVFFsTWtNbE1qSnNhVzVsVjJsa2RHZ2xNaklsTTBFeExqVWxOMFFsTWtNbE1qSmphR2xzWkhKbGJpVXlNaVV6UVNVMVFpVTFSQ1V5UXlVeU1uSmxjMmw2WlVScGNpVXlNaVV6UVNVMVFpVXlNblJzSlRJeUpUSkRKVEl5ZEhJbE1qSWxNa01sTWpKaWNpVXlNaVV5UXlVeU1tSnNKVEl5SlRKREpUSXliQ1V5TWlVeVF5VXlNblFsTWpJbE1rTWxNakp5SlRJeUpUSkRKVEl5WWlVeU1pVTFSQ1V5UXlVeU1tNWhiV1VsTWpJbE0wRWxNakp3Y205alpYTnpKVEl5SlRKREpUSXlabWxzYkZOMGVXeGxKVEl5SlROQkpUZENKVGRFSlRKREpUSXlkR2hsYldVbE1qSWxNMEVsTjBJbE4wUWxNa01sTWpKcFpDVXlNaVV6UVNVeU1teE5VbHA2ZFhoVFJIZ3pPRGc0TVRFbE1qSWxNa01sTWpKaGRIUnlhV0oxZEdVbE1qSWxNMEVsTjBJbE1qSmpiMjUwWVdsdVpYSWxNaklsTTBGbVlXeHpaU1V5UXlVeU1uSnZkR0YwWVdKc1pTVXlNaVV6UVhSeWRXVWxNa01sTWpKMmFYTnBZbXhsSlRJeUpUTkJkSEoxWlNVeVF5VXlNbVpwZUdWa1RHbHVheVV5TWlVelFXWmhiSE5sSlRKREpUSXlZMjlzYkdGd2MyRmliR1VsTWpJbE0wRm1ZV3h6WlNVeVF5VXlNbU52Ykd4aGNITmxaQ1V5TWlVelFXWmhiSE5sSlRKREpUSXliR2x1YTJGaWJHVWxNaklsTTBGMGNuVmxKVEpESlRJeWJXRnlhMlZ5VDJabWMyVjBKVEl5SlROQk5TVTNSQ1V5UXlVeU1tTmhkR1ZuYjNKNUpUSXlKVE5CSlRJeVpteHZkeVV5TWlVM1JDVXlReVV5TWtWdWNWSnlkM1pYU1dNMk1UUTNNVFlsTWpJbE0wRWxOMElsTWpKc2FXNXJKVEl5SlROQkpUSXlKVEl5SlRKREpUSXljMmhoY0dWVGRIbHNaU1V5TWlVelFTVTNRaVV5TW1Gc2NHaGhKVEl5SlROQk1TVTNSQ1V5UXlVeU1uUmxlSFJDYkc5amF5VXlNaVV6UVNVMVFpVTNRaVV5TW5CdmMybDBhVzl1SlRJeUpUTkJKVGRDSlRJeWR5VXlNaVV6UVNVeU1uY3RNakFsTWpJbE1rTWxNako0SlRJeUpUTkJNVEFsTWtNbE1qSm9KVEl5SlROQkpUSXlhQ1V5TWlVeVF5VXlNbmtsTWpJbE0wRXdKVGRFSlRKREpUSXlkR1Y0ZENVeU1pVXpRU1V5TWlWRk5TVTRSQ1U1TlNWRk9DVkNSU1U0UVNWRk55VkJNQ1ZDTkNWRk55VkJNaVU0UlNWRk5TVkNRU1U1UmlWRk5pVkNNQ1U1TkNVeU1pVTNSQ1UxUkNVeVF5VXlNbUZ1WTJodmNuTWxNaklsTTBFbE5VSWxOMElsTWpKNEpUSXlKVE5CSlRJeWR5VXlSaklsTWpJbE1rTWxNako1SlRJeUpUTkJKVEl5TUNVeU1pVTNSQ1V5UXlVM1FpVXlNbmdsTWpJbE0wRWxNakozSlRKR01pVXlNaVV5UXlVeU1ua2xNaklsTTBFbE1qSm9KVEl5SlRkRUpUSkRKVGRDSlRJeWVDVXlNaVV6UVNVeU1qQWxNaklsTWtNbE1qSjVKVEl5SlROQkpUSXlhQ1V5UmpJbE1qSWxOMFFsTWtNbE4wSWxNako0SlRJeUpUTkJKVEl5ZHlVeU1pVXlReVV5TW5rbE1qSWxNMEVsTWpKb0pUSkdNaVV5TWlVM1JDVTFSQ1V5UXlVeU1uUnBkR3hsSlRJeUpUTkJKVEl5SlRJeUpUSkRKVEl5Wm05dWRGTjBlV3hsSlRJeUpUTkJKVGRDSlRkRUpUSkRKVEl5WkdGMFlVRjBkSEpwWW5WMFpYTWxNaklsTTBFbE5VSWxOVVFsTWtNbE1qSndjbTl3Y3lVeU1pVXpRU1UzUWlVeU1ucHBibVJsZUNVeU1pVXpRVEUzSlRKREpUSXlkeVV5TWlVelFURXpPQ1V5UXlVeU1uZ2xNaklsTTBFeE15VXlReVV5TW1nbE1qSWxNMEUxTUNVeVF5VXlNbmtsTWpJbE0wRTRNREFsTWtNbE1qSmhibWRzWlNVeU1pVXpRVEFsTjBRbE1rTWxNakp3WVhSb0pUSXlKVE5CSlRWQ0pUZENKVEl5WVdOMGFXOXVjeVV5TWlVelFTVTFRaVUzUWlVeU1uZ2xNaklsTTBFbE1qSXdKVEl5SlRKREpUSXlZV04wYVc5dUpUSXlKVE5CSlRJeWJXOTJaU1V5TWlVeVF5VXlNbmtsTWpJbE0wRWxNakl3SlRJeUpUZEVKVEpESlRkQ0pUSXllQ1V5TWlVelFTVXlNbmNsTWpJbE1rTWxNakpoWTNScGIyNGxNaklsTTBFbE1qSnNhVzVsSlRJeUpUSkRKVEl5ZVNVeU1pVXpRU1V5TWpBbE1qSWxOMFFsTWtNbE4wSWxNako0SlRJeUpUTkJKVEl5ZHlVeU1pVXlReVV5TW1GamRHbHZiaVV5TWlVelFTVXlNbXhwYm1VbE1qSWxNa01sTWpKNUpUSXlKVE5CSlRJeWFDVXlNaVUzUkNVeVF5VTNRaVV5TW5nbE1qSWxNMEVsTWpJd0pUSXlKVEpESlRJeVlXTjBhVzl1SlRJeUpUTkJKVEl5YkdsdVpTVXlNaVV5UXlVeU1ua2xNaklsTTBFbE1qSm9KVEl5SlRkRUpUSkRKVGRDSlRJeVlXTjBhVzl1SlRJeUpUTkJKVEl5WTJ4dmMyVWxNaklsTjBRbE5VUWxOMFFsTlVRbE1rTWxNakpzYVc1bFUzUjViR1VsTWpJbE0wRWxOMElsTWpKeWIzVnVaR2x1WnlVeU1pVXpRVFFsTWtNbE1qSnNhVzVsVjJsa2RHZ2xNaklsTTBFeExqVWxOMFFsTWtNbE1qSmphR2xzWkhKbGJpVXlNaVV6UVNVMVFpVTFSQ1V5UXlVeU1uSmxjMmw2WlVScGNpVXlNaVV6UVNVMVFpVXlNblJzSlRJeUpUSkRKVEl5ZEhJbE1qSWxNa01sTWpKaWNpVXlNaVV5UXlVeU1tSnNKVEl5SlRKREpUSXliQ1V5TWlVeVF5VXlNblFsTWpJbE1rTWxNakp5SlRJeUpUSkRKVEl5WWlVeU1pVTFSQ1V5UXlVeU1tNWhiV1VsTWpJbE0wRWxNakp3Y205alpYTnpKVEl5SlRKREpUSXlabWxzYkZOMGVXeGxKVEl5SlROQkpUZENKVGRFSlRKREpUSXlkR2hsYldVbE1qSWxNMEVsTjBJbE4wUWxNa01sTWpKcFpDVXlNaVV6UVNVeU1rVnVjVkp5ZDNaWFNXTTJNVFEzTVRZbE1qSWxNa01sTWpKaGRIUnlhV0oxZEdVbE1qSWxNMEVsTjBJbE1qSmpiMjUwWVdsdVpYSWxNaklsTTBGbVlXeHpaU1V5UXlVeU1uSnZkR0YwWVdKc1pTVXlNaVV6UVhSeWRXVWxNa01sTWpKMmFYTnBZbXhsSlRJeUpUTkJkSEoxWlNVeVF5VXlNbVpwZUdWa1RHbHVheVV5TWlVelFXWmhiSE5sSlRKREpUSXlZMjlzYkdGd2MyRmliR1VsTWpJbE0wRm1ZV3h6WlNVeVF5VXlNbU52Ykd4aGNITmxaQ1V5TWlVelFXWmhiSE5sSlRKREpUSXliR2x1YTJGaWJHVWxNaklsTTBGMGNuVmxKVEpESlRJeWJXRnlhMlZ5VDJabWMyVjBKVEl5SlROQk5TVTNSQ1V5UXlVeU1tTmhkR1ZuYjNKNUpUSXlKVE5CSlRJeVpteHZkeVV5TWlVM1JDVXlReVV5TW5OU2JrdGljbGRYVkhBM01qSXdPRFlsTWpJbE0wRWxOMElsTWpKc2FXNXJKVEl5SlROQkpUSXlKVEl5SlRKREpUSXljMmhoY0dWVGRIbHNaU1V5TWlVelFTVTNRaVV5TW1Gc2NHaGhKVEl5SlROQk1TVTNSQ1V5UXlVeU1uUmxlSFJDYkc5amF5VXlNaVV6UVNVMVFpVTNRaVV5TW5CdmMybDBhVzl1SlRJeUpUTkJKVGRDSlRJeWR5VXlNaVV6UVNVeU1uY3RNakFsTWpJbE1rTWxNako0SlRJeUpUTkJNVEFsTWtNbE1qSm9KVEl5SlROQkpUSXlhQ1V5TWlVeVF5VXlNbmtsTWpJbE0wRXdKVGRFSlRKREpUSXlkR1Y0ZENVeU1pVXpRU1V5TWlWRk5DVkNPQ1U0TUNWRk15VTRNQ1U0TVNWRk5DVkNRU1U0UXlWRk5pVkJReVZCTVNWRk5pVkNOeVZDTnlWRk5TVTVNQ1U0T0NWRk5TVkNRU1U1UmlWRk5pVkNNQ1U1TkNVeU1pVTNSQ1UxUkNVeVF5VXlNbUZ1WTJodmNuTWxNaklsTTBFbE5VSWxOMElsTWpKNEpUSXlKVE5CSlRJeWR5VXlSaklsTWpJbE1rTWxNako1SlRJeUpUTkJKVEl5TUNVeU1pVTNSQ1V5UXlVM1FpVXlNbmdsTWpJbE0wRWxNakozSlRKR01pVXlNaVV5UXlVeU1ua2xNaklsTTBFbE1qSm9KVEl5SlRkRUpUSkRKVGRDSlRJeWVDVXlNaVV6UVNVeU1qQWxNaklsTWtNbE1qSjVKVEl5SlROQkpUSXlhQ1V5UmpJbE1qSWxOMFFsTWtNbE4wSWxNako0SlRJeUpUTkJKVEl5ZHlVeU1pVXlReVV5TW5rbE1qSWxNMEVsTWpKb0pUSkdNaVV5TWlVM1JDVTFSQ1V5UXlVeU1uUnBkR3hsSlRJeUpUTkJKVEl5SlRJeUpUSkRKVEl5Wm05dWRGTjBlV3hsSlRJeUpUTkJKVGRDSlRkRUpUSkRKVEl5WkdGMFlVRjBkSEpwWW5WMFpYTWxNaklsTTBFbE5VSWxOVVFsTWtNbE1qSndjbTl3Y3lVeU1pVXpRU1UzUWlVeU1ucHBibVJsZUNVeU1pVXpRVFVsTWtNbE1qSjNKVEl5SlROQk1UWTBKVEpESlRJeWVDVXlNaVV6UVRBbE1rTWxNakpvSlRJeUpUTkJOVEFsTWtNbE1qSjVKVEl5SlROQk16VXdKVEpESlRJeVlXNW5iR1VsTWpJbE0wRXdKVGRFSlRKREpUSXljR0YwYUNVeU1pVXpRU1UxUWlVM1FpVXlNbUZqZEdsdmJuTWxNaklsTTBFbE5VSWxOMElsTWpKNEpUSXlKVE5CSlRJeU1DVXlNaVV5UXlVeU1tRmpkR2x2YmlVeU1pVXpRU1V5TW0xdmRtVWxNaklsTWtNbE1qSjVKVEl5SlROQkpUSXlNQ1V5TWlVM1JDVXlReVUzUWlVeU1uZ2xNaklsTTBFbE1qSjNKVEl5SlRKREpUSXlZV04wYVc5dUpUSXlKVE5CSlRJeWJHbHVaU1V5TWlVeVF5VXlNbmtsTWpJbE0wRWxNakl3SlRJeUpUZEVKVEpESlRkQ0pUSXllQ1V5TWlVelFTVXlNbmNsTWpJbE1rTWxNakpoWTNScGIyNGxNaklsTTBFbE1qSnNhVzVsSlRJeUpUSkRKVEl5ZVNVeU1pVXpRU1V5TW1nbE1qSWxOMFFsTWtNbE4wSWxNako0SlRJeUpUTkJKVEl5TUNVeU1pVXlReVV5TW1GamRHbHZiaVV5TWlVelFTVXlNbXhwYm1VbE1qSWxNa01sTWpKNUpUSXlKVE5CSlRJeWFDVXlNaVUzUkNVeVF5VTNRaVV5TW1GamRHbHZiaVV5TWlVelFTVXlNbU5zYjNObEpUSXlKVGRFSlRWRUpUZEVKVFZFSlRKREpUSXliR2x1WlZOMGVXeGxKVEl5SlROQkpUZENKVEl5Y205MWJtUnBibWNsTWpJbE0wRTBKVEpESlRJeWJHbHVaVmRwWkhSb0pUSXlKVE5CTVM0MUpUZEVKVEpESlRJeVkyaHBiR1J5Wlc0bE1qSWxNMEVsTlVJbE5VUWxNa01sTWpKeVpYTnBlbVZFYVhJbE1qSWxNMEVsTlVJbE1qSjBiQ1V5TWlVeVF5VXlNblJ5SlRJeUpUSkRKVEl5WW5JbE1qSWxNa01sTWpKaWJDVXlNaVV5UXlVeU1td2xNaklsTWtNbE1qSjBKVEl5SlRKREpUSXljaVV5TWlVeVF5VXlNbUlsTWpJbE5VUWxNa01sTWpKdVlXMWxKVEl5SlROQkpUSXljSEp2WTJWemN5VXlNaVV5UXlVeU1tWnBiR3hUZEhsc1pTVXlNaVV6UVNVM1FpVTNSQ1V5UXlVeU1uUm9aVzFsSlRJeUpUTkJKVGRDSlRkRUpUSkRKVEl5YVdRbE1qSWxNMEVsTWpKelVtNUxZbkpYVjFSd056SXlNRGcySlRJeUpUSkRKVEl5WVhSMGNtbGlkWFJsSlRJeUpUTkJKVGRDSlRJeVkyOXVkR0ZwYm1WeUpUSXlKVE5CWm1Gc2MyVWxNa01sTWpKeWIzUmhkR0ZpYkdVbE1qSWxNMEYwY25WbEpUSkRKVEl5ZG1semFXSnNaU1V5TWlVelFYUnlkV1VsTWtNbE1qSm1hWGhsWkV4cGJtc2xNaklsTTBGbVlXeHpaU1V5UXlVeU1tTnZiR3hoY0hOaFlteGxKVEl5SlROQlptRnNjMlVsTWtNbE1qSmpiMnhzWVhCelpXUWxNaklsTTBGbVlXeHpaU1V5UXlVeU1teHBibXRoWW14bEpUSXlKVE5CZEhKMVpTVXlReVV5TW0xaGNtdGxjazltWm5ObGRDVXlNaVV6UVRVbE4wUWxNa01sTWpKallYUmxaMjl5ZVNVeU1pVXpRU1V5TW1ac2IzY2xNaklsTjBRbE1rTWxNakpEU1dWWlVtVnllbFoxTWpjNU5UTXlKVEl5SlROQkpUZENKVEl5YkdsdWF5VXlNaVV6UVNVeU1pVXlNaVV5UXlVeU1uTm9ZWEJsVTNSNWJHVWxNaklsTTBFbE4wSWxNakpoYkhCb1lTVXlNaVV6UVRFbE4wUWxNa01sTWpKMFpYaDBRbXh2WTJzbE1qSWxNMEVsTlVJbE4wSWxNakp3YjNOcGRHbHZiaVV5TWlVelFTVTNRaVV5TW5jbE1qSWxNMEVsTWpKM0xUSXdKVEl5SlRKREpUSXllQ1V5TWlVelFURXdKVEpESlRJeWFDVXlNaVV6UVNVeU1tZ2xNaklsTWtNbE1qSjVKVEl5SlROQk1DVTNSQ1V5UXlVeU1uUmxlSFFsTWpJbE0wRWxNaklsUlRVbE9FVWxPVVlsUlRZbE9UWWxPVGtsUlRVbE9EY2xPRFlsUlRVbFFUUWxPRGNsUlRVbFFrRWxPVVlsUlRZbFFqQWxPVFFsTWpJbE4wUWxOVVFsTWtNbE1qSmhibU5vYjNKekpUSXlKVE5CSlRWQ0pUZENKVEl5ZUNVeU1pVXpRU1V5TW5jbE1rWXlKVEl5SlRKREpUSXllU1V5TWlVelFTVXlNakFsTWpJbE4wUWxNa01sTjBJbE1qSjRKVEl5SlROQkpUSXlkeVV5UmpJbE1qSWxNa01sTWpKNUpUSXlKVE5CSlRJeWFDVXlNaVUzUkNVeVF5VTNRaVV5TW5nbE1qSWxNMEVsTWpJd0pUSXlKVEpESlRJeWVTVXlNaVV6UVNVeU1tZ2xNa1l5SlRJeUpUZEVKVEpESlRkQ0pUSXllQ1V5TWlVelFTVXlNbmNsTWpJbE1rTWxNako1SlRJeUpUTkJKVEl5YUNVeVJqSWxNaklsTjBRbE5VUWxNa01sTWpKMGFYUnNaU1V5TWlVelFTVXlNaVV5TWlVeVF5VXlNbVp2Ym5SVGRIbHNaU1V5TWlVelFTVTNRaVUzUkNVeVF5VXlNbVJoZEdGQmRIUnlhV0oxZEdWekpUSXlKVE5CSlRWQ0pUVkVKVEpESlRJeWNISnZjSE1sTWpJbE0wRWxOMElsTWpKNmFXNWtaWGdsTWpJbE0wRXlPU1V5UXlVeU1uY2xNaklsTTBFeE16Z2xNa01sTWpKNEpUSXlKVE5CTVRNbE1rTWxNakpvSlRJeUpUTkJOVEFsTWtNbE1qSjVKVEl5SlROQk1USTFNQ1V5UXlVeU1tRnVaMnhsSlRJeUpUTkJNQ1UzUkNVeVF5VXlNbkJoZEdnbE1qSWxNMEVsTlVJbE4wSWxNakpoWTNScGIyNXpKVEl5SlROQkpUVkNKVGRDSlRJeWVDVXlNaVV6UVNVeU1qQWxNaklsTWtNbE1qSmhZM1JwYjI0bE1qSWxNMEVsTWpKdGIzWmxKVEl5SlRKREpUSXllU1V5TWlVelFTVXlNakFsTWpJbE4wUWxNa01sTjBJbE1qSjRKVEl5SlROQkpUSXlkeVV5TWlVeVF5VXlNbUZqZEdsdmJpVXlNaVV6UVNVeU1teHBibVVsTWpJbE1rTWxNako1SlRJeUpUTkJKVEl5TUNVeU1pVTNSQ1V5UXlVM1FpVXlNbmdsTWpJbE0wRWxNakozSlRJeUpUSkRKVEl5WVdOMGFXOXVKVEl5SlROQkpUSXliR2x1WlNVeU1pVXlReVV5TW5rbE1qSWxNMEVsTWpKb0pUSXlKVGRFSlRKREpUZENKVEl5ZUNVeU1pVXpRU1V5TWpBbE1qSWxNa01sTWpKaFkzUnBiMjRsTWpJbE0wRWxNakpzYVc1bEpUSXlKVEpESlRJeWVTVXlNaVV6UVNVeU1tZ2xNaklsTjBRbE1rTWxOMElsTWpKaFkzUnBiMjRsTWpJbE0wRWxNakpqYkc5elpTVXlNaVUzUkNVMVJDVTNSQ1UxUkNVeVF5VXlNbXhwYm1WVGRIbHNaU1V5TWlVelFTVTNRaVV5TW5KdmRXNWthVzVuSlRJeUpUTkJOQ1V5UXlVeU1teHBibVZYYVdSMGFDVXlNaVV6UVRFdU5TVTNSQ1V5UXlVeU1tTm9hV3hrY21WdUpUSXlKVE5CSlRWQ0pUVkVKVEpESlRJeWNtVnphWHBsUkdseUpUSXlKVE5CSlRWQ0pUSXlkR3dsTWpJbE1rTWxNakowY2lVeU1pVXlReVV5TW1KeUpUSXlKVEpESlRJeVltd2xNaklsTWtNbE1qSnNKVEl5SlRKREpUSXlkQ1V5TWlVeVF5VXlNbklsTWpJbE1rTWxNakppSlRJeUpUVkVKVEpESlRJeWJtRnRaU1V5TWlVelFTVXlNbkJ5YjJObGMzTWxNaklsTWtNbE1qSm1hV3hzVTNSNWJHVWxNaklsTTBFbE4wSWxOMFFsTWtNbE1qSjBhR1Z0WlNVeU1pVXpRU1UzUWlVM1JDVXlReVV5TW1sa0pUSXlKVE5CSlRJeVEwbGxXVkpsY25wV2RUSTNPVFV6TWlVeU1pVXlReVV5TW1GMGRISnBZblYwWlNVeU1pVXpRU1UzUWlVeU1tTnZiblJoYVc1bGNpVXlNaVV6UVdaaGJITmxKVEpESlRJeWNtOTBZWFJoWW14bEpUSXlKVE5CZEhKMVpTVXlReVV5TW5acGMybGliR1VsTWpJbE0wRjBjblZsSlRKREpUSXlabWw0WldSTWFXNXJKVEl5SlROQlptRnNjMlVsTWtNbE1qSmpiMnhzWVhCellXSnNaU1V5TWlVelFXWmhiSE5sSlRKREpUSXlZMjlzYkdGd2MyVmtKVEl5SlROQlptRnNjMlVsTWtNbE1qSnNhVzVyWVdKc1pTVXlNaVV6UVhSeWRXVWxNa01sTWpKdFlYSnJaWEpQWm1aelpYUWxNaklsTTBFMUpUZEVKVEpESlRJeVkyRjBaV2R2Y25rbE1qSWxNMEVsTWpKbWJHOTNKVEl5SlRkRUpUSkRKVEl5Y0VORGVtTlFUa2RqV0RZeU1qSTNOU1V5TWlVelFTVTNRaVV5TW14cGJtc2xNaklsTTBFbE1qSWxNaklsTWtNbE1qSnphR0Z3WlZOMGVXeGxKVEl5SlROQkpUZENKVEl5WVd4d2FHRWxNaklsTTBFeEpUZEVKVEpESlRJeWRHVjRkRUpzYjJOckpUSXlKVE5CSlRWQ0pUZENKVEl5Y0c5emFYUnBiMjRsTWpJbE0wRWxOMElsTWpKM0pUSXlKVE5CSlRJeWR5MHlNQ1V5TWlVeVF5VXlNbmdsTWpJbE0wRXhNQ1V5UXlVeU1tZ2xNaklsTTBFbE1qSm9KVEl5SlRKREpUSXllU1V5TWlVelFUQWxOMFFsTWtNbE1qSjBaWGgwSlRJeUpUTkJKVEl5SlVVNUpUbENKVGcySlVVMkpVSXdKVGswSlVVM0pVSkVKVUU1SlRKQ0pVVTFKVUZHSlRnMkpVVTVKVGszSlVGRUpVVTNKVUZGSlVFeEpVVTVKVGd4SlRrekpUSXlKVGRFSlRWRUpUSkRKVEl5WVc1amFHOXljeVV5TWlVelFTVTFRaVUzUWlVeU1uZ2xNaklsTTBFbE1qSjNKVEpHTWlVeU1pVXlReVV5TW5rbE1qSWxNMEVsTWpJd0pUSXlKVGRFSlRKREpUZENKVEl5ZUNVeU1pVXpRU1V5TW5jbE1rWXlKVEl5SlRKREpUSXllU1V5TWlVelFTVXlNbWdsTWpJbE4wUWxNa01sTjBJbE1qSjRKVEl5SlROQkpUSXlNQ1V5TWlVeVF5VXlNbmtsTWpJbE0wRWxNakpvSlRKR01pVXlNaVUzUkNVeVF5VTNRaVV5TW5nbE1qSWxNMEVsTWpKM0pUSXlKVEpESlRJeWVTVXlNaVV6UVNVeU1tZ2xNa1l5SlRJeUpUZEVKVFZFSlRKREpUSXlkR2wwYkdVbE1qSWxNMEVsTWpJbE1qSWxNa01sTWpKbWIyNTBVM1I1YkdVbE1qSWxNMEVsTjBJbE4wUWxNa01sTWpKa1lYUmhRWFIwY21saWRYUmxjeVV5TWlVelFTVTFRaVUxUkNVeVF5VXlNbkJ5YjNCekpUSXlKVE5CSlRkQ0pUSXllbWx1WkdWNEpUSXlKVE5CTWlVeVF5VXlNbmNsTWpJbE0wRXhOakF1TmpReU1EZzVPRFF6TnpVbE1rTWxNako0SlRJeUpUTkJNakUySlRKREpUSXlhQ1V5TWlVelFUVXdKVEpESlRJeWVTVXlNaVV6UVRJd01DVXlReVV5TW1GdVoyeGxKVEl5SlROQk1DVTNSQ1V5UXlVeU1uQmhkR2dsTWpJbE0wRWxOVUlsTjBJbE1qSmhZM1JwYjI1ekpUSXlKVE5CSlRWQ0pUZENKVEl5ZUNVeU1pVXpRU1V5TWpBbE1qSWxNa01sTWpKaFkzUnBiMjRsTWpJbE0wRWxNakp0YjNabEpUSXlKVEpESlRJeWVTVXlNaVV6UVNVeU1qQWxNaklsTjBRbE1rTWxOMElsTWpKNEpUSXlKVE5CSlRJeWR5VXlNaVV5UXlVeU1tRmpkR2x2YmlVeU1pVXpRU1V5TW14cGJtVWxNaklsTWtNbE1qSjVKVEl5SlROQkpUSXlNQ1V5TWlVM1JDVXlReVUzUWlVeU1uZ2xNaklsTTBFbE1qSjNKVEl5SlRKREpUSXlZV04wYVc5dUpUSXlKVE5CSlRJeWJHbHVaU1V5TWlVeVF5VXlNbmtsTWpJbE0wRWxNakpvSlRJeUpUZEVKVEpESlRkQ0pUSXllQ1V5TWlVelFTVXlNakFsTWpJbE1rTWxNakpoWTNScGIyNGxNaklsTTBFbE1qSnNhVzVsSlRJeUpUSkRKVEl5ZVNVeU1pVXpRU1V5TW1nbE1qSWxOMFFsTWtNbE4wSWxNakpoWTNScGIyNGxNaklsTTBFbE1qSmpiRzl6WlNVeU1pVTNSQ1UxUkNVM1JDVTFSQ1V5UXlVeU1teHBibVZUZEhsc1pTVXlNaVV6UVNVM1FpVXlNbkp2ZFc1a2FXNW5KVEl5SlROQk5DVXlReVV5TW14cGJtVlhhV1IwYUNVeU1pVXpRVEV1TlNVM1JDVXlReVV5TW1Ob2FXeGtjbVZ1SlRJeUpUTkJKVFZDSlRWRUpUSkRKVEl5Y21WemFYcGxSR2x5SlRJeUpUTkJKVFZDSlRJeWRHd2xNaklsTWtNbE1qSjBjaVV5TWlVeVF5VXlNbUp5SlRJeUpUSkRKVEl5WW13bE1qSWxNa01sTWpKc0pUSXlKVEpESlRJeWRDVXlNaVV5UXlVeU1uSWxNaklsTWtNbE1qSmlKVEl5SlRWRUpUSkRKVEl5Ym1GdFpTVXlNaVV6UVNVeU1uQnliMk5sYzNNbE1qSWxNa01sTWpKbWFXeHNVM1I1YkdVbE1qSWxNMEVsTjBJbE4wUWxNa01sTWpKMGFHVnRaU1V5TWlVelFTVTNRaVUzUkNVeVF5VXlNbWxrSlRJeUpUTkJKVEl5Y0VORGVtTlFUa2RqV0RZeU1qSTNOU1V5TWlVeVF5VXlNbUYwZEhKcFluVjBaU1V5TWlVelFTVTNRaVV5TW1OdmJuUmhhVzVsY2lVeU1pVXpRV1poYkhObEpUSkRKVEl5Y205MFlYUmhZbXhsSlRJeUpUTkJkSEoxWlNVeVF5VXlNblpwYzJsaWJHVWxNaklsTTBGMGNuVmxKVEpESlRJeVptbDRaV1JNYVc1ckpUSXlKVE5CWm1Gc2MyVWxNa01sTWpKamIyeHNZWEJ6WVdKc1pTVXlNaVV6UVdaaGJITmxKVEpESlRJeVkyOXNiR0Z3YzJWa0pUSXlKVE5CWm1Gc2MyVWxNa01sTWpKc2FXNXJZV0pzWlNVeU1pVXpRWFJ5ZFdVbE1rTWxNakp0WVhKclpYSlBabVp6WlhRbE1qSWxNMEUxSlRkRUpUSkRKVEl5WTJGMFpXZHZjbmtsTWpJbE0wRWxNakptYkc5M0pUSXlKVGRFSlRKREpUSXlZbFZHVDNaS1IyOTRWekEyTXpnMU1DVXlNaVV6UVNVM1FpVXlNbXhwYm1zbE1qSWxNMEVsTWpJbE1qSWxNa01sTWpKemFHRndaVk4wZVd4bEpUSXlKVE5CSlRkQ0pUSXlZV3h3YUdFbE1qSWxNMEV4SlRkRUpUSkRKVEl5ZEdWNGRFSnNiMk5ySlRJeUpUTkJKVFZDSlRkQ0pUSXljRzl6YVhScGIyNGxNaklsTTBFbE4wSWxNakozSlRJeUpUTkJKVEl5ZHkweU1DVXlNaVV5UXlVeU1uZ2xNaklsTTBFeE1DVXlReVV5TW1nbE1qSWxNMEVsTWpKb0pUSXlKVEpESlRJeWVTVXlNaVV6UVRBbE4wUWxNa01sTWpKMFpYaDBKVEl5SlROQkpUSXlOekJ0SlVVMkpUaEZKVGt5SlVVMkpVSXdKVGswSlVVM0pVRkVKVGt5SlRJd1JFRXdNRElsTWpJbE4wUWxOVVFsTWtNbE1qSmhibU5vYjNKekpUSXlKVE5CSlRWQ0pUZENKVEl5ZUNVeU1pVXpRU1V5TW5jbE1rWXlKVEl5SlRKREpUSXllU1V5TWlVelFTVXlNakFsTWpJbE4wUWxNa01sTjBJbE1qSjRKVEl5SlROQkpUSXlkeVV5UmpJbE1qSWxNa01sTWpKNUpUSXlKVE5CSlRJeWFDVXlNaVUzUkNVeVF5VTNRaVV5TW5nbE1qSWxNMEVsTWpJd0pUSXlKVEpESlRJeWVTVXlNaVV6UVNVeU1tZ2xNa1l5SlRJeUpUZEVKVEpESlRkQ0pUSXllQ1V5TWlVelFTVXlNbmNsTWpJbE1rTWxNako1SlRJeUpUTkJKVEl5YUNVeVJqSWxNaklsTjBRbE5VUWxNa01sTWpKMGFYUnNaU1V5TWlVelFTVXlNaVV5TWlVeVF5VXlNbVp2Ym5SVGRIbHNaU1V5TWlVelFTVTNRaVUzUkNVeVF5VXlNbVJoZEdGQmRIUnlhV0oxZEdWekpUSXlKVE5CSlRWQ0pUVkVKVEpESlRJeWNISnZjSE1sTWpJbE0wRWxOMElsTWpKNmFXNWtaWGdsTWpJbE0wRXhNaVV5UXlVeU1uY2xNaklsTTBFeE56RXVPVFkyTXpBNE5Ua3pOelVsTWtNbE1qSjRKVEl5SlROQk56azRMakl6TmpNeU9ERXlOU1V5UXlVeU1tZ2xNaklsTTBFMU1DVXlReVV5TW5rbE1qSWxNMEUxTURBbE1rTWxNakpoYm1kc1pTVXlNaVV6UVRBbE4wUWxNa01sTWpKd1lYUm9KVEl5SlROQkpUVkNKVGRDSlRJeVlXTjBhVzl1Y3lVeU1pVXpRU1UxUWlVM1FpVXlNbmdsTWpJbE0wRWxNakl3SlRJeUpUSkRKVEl5WVdOMGFXOXVKVEl5SlROQkpUSXliVzkyWlNVeU1pVXlReVV5TW5rbE1qSWxNMEVsTWpJd0pUSXlKVGRFSlRKREpUZENKVEl5ZUNVeU1pVXpRU1V5TW5jbE1qSWxNa01sTWpKaFkzUnBiMjRsTWpJbE0wRWxNakpzYVc1bEpUSXlKVEpESlRJeWVTVXlNaVV6UVNVeU1qQWxNaklsTjBRbE1rTWxOMElsTWpKNEpUSXlKVE5CSlRJeWR5VXlNaVV5UXlVeU1tRmpkR2x2YmlVeU1pVXpRU1V5TW14cGJtVWxNaklsTWtNbE1qSjVKVEl5SlROQkpUSXlhQ1V5TWlVM1JDVXlReVUzUWlVeU1uZ2xNaklsTTBFbE1qSXdKVEl5SlRKREpUSXlZV04wYVc5dUpUSXlKVE5CSlRJeWJHbHVaU1V5TWlVeVF5VXlNbmtsTWpJbE0wRWxNakpvSlRJeUpUZEVKVEpESlRkQ0pUSXlZV04wYVc5dUpUSXlKVE5CSlRJeVkyeHZjMlVsTWpJbE4wUWxOVVFsTjBRbE5VUWxNa01sTWpKc2FXNWxVM1I1YkdVbE1qSWxNMEVsTjBJbE1qSnliM1Z1WkdsdVp5VXlNaVV6UVRRbE1rTWxNakpzYVc1bFYybGtkR2dsTWpJbE0wRXhMalVsTjBRbE1rTWxNakpqYUdsc1pISmxiaVV5TWlVelFTVTFRaVUxUkNVeVF5VXlNbkpsYzJsNlpVUnBjaVV5TWlVelFTVTFRaVV5TW5Sc0pUSXlKVEpESlRJeWRISWxNaklsTWtNbE1qSmljaVV5TWlVeVF5VXlNbUpzSlRJeUpUSkRKVEl5YkNVeU1pVXlReVV5TW5RbE1qSWxNa01sTWpKeUpUSXlKVEpESlRJeVlpVXlNaVUxUkNVeVF5VXlNbTVoYldVbE1qSWxNMEVsTWpKd2NtOWpaWE56SlRJeUpUSkRKVEl5Wm1sc2JGTjBlV3hsSlRJeUpUTkJKVGRDSlRkRUpUSkRKVEl5ZEdobGJXVWxNaklsTTBFbE4wSWxOMFFsTWtNbE1qSnBaQ1V5TWlVelFTVXlNbUpWUms5MlNrZHZlRmN3TmpNNE5UQWxNaklsTWtNbE1qSmhkSFJ5YVdKMWRHVWxNaklsTTBFbE4wSWxNakpqYjI1MFlXbHVaWElsTWpJbE0wRm1ZV3h6WlNVeVF5VXlNbkp2ZEdGMFlXSnNaU1V5TWlVelFYUnlkV1VsTWtNbE1qSjJhWE5wWW14bEpUSXlKVE5CZEhKMVpTVXlReVV5TW1acGVHVmtUR2x1YXlVeU1pVXpRV1poYkhObEpUSkRKVEl5WTI5c2JHRndjMkZpYkdVbE1qSWxNMEZtWVd4elpTVXlReVV5TW1OdmJHeGhjSE5sWkNVeU1pVXpRV1poYkhObEpUSkRKVEl5YkdsdWEyRmliR1VsTWpJbE0wRjBjblZsSlRKREpUSXliV0Z5YTJWeVQyWm1jMlYwSlRJeUpUTkJOU1UzUkNVeVF5VXlNbU5oZEdWbmIzSjVKVEl5SlROQkpUSXlabXh2ZHlVeU1pVTNSQ1V5UXlVeU1rcDZVRmwyZEZSU2VtZzNORGcxT0RFbE1qSWxNMEVsTjBJbE1qSnNhVzVySlRJeUpUTkJKVEl5SlRJeUpUSkRKVEl5YzJoaGNHVlRkSGxzWlNVeU1pVXpRU1UzUWlVeU1tRnNjR2hoSlRJeUpUTkJNU1UzUkNVeVF5VXlNblJsZUhSQ2JHOWpheVV5TWlVelFTVTFRaVUzUWlVeU1uQnZjMmwwYVc5dUpUSXlKVE5CSlRkQ0pUSXlkeVV5TWlVelFTVXlNbmN0TWpBbE1qSWxNa01sTWpKNEpUSXlKVE5CTVRBbE1rTWxNakpvSlRJeUpUTkJKVEl5YUNVeU1pVXlReVV5TW5rbE1qSWxNMEV3SlRkRUpUSkRKVEl5ZEdWNGRDVXlNaVV6UVNVeU1qTXdiU1ZGTmlVNFJTVTVNaVZGTmlWQ01DVTVOQ1ZGTnlWQlJDVTVNaVV5TUVSQk1ERXlKVEl5SlRkRUpUVkVKVEpESlRJeVlXNWphRzl5Y3lVeU1pVXpRU1UxUWlVM1FpVXlNbmdsTWpJbE0wRWxNakozSlRKR01pVXlNaVV5UXlVeU1ua2xNaklsTTBFbE1qSXdKVEl5SlRkRUpUSkRKVGRDSlRJeWVDVXlNaVV6UVNVeU1uY2xNa1l5SlRJeUpUSkRKVEl5ZVNVeU1pVXpRU1V5TW1nbE1qSWxOMFFsTWtNbE4wSWxNako0SlRJeUpUTkJKVEl5TUNVeU1pVXlReVV5TW5rbE1qSWxNMEVsTWpKb0pUSkdNaVV5TWlVM1JDVXlReVUzUWlVeU1uZ2xNaklsTTBFbE1qSjNKVEl5SlRKREpUSXllU1V5TWlVelFTVXlNbWdsTWtZeUpUSXlKVGRFSlRWRUpUSkRKVEl5ZEdsMGJHVWxNaklsTTBFbE1qSWxNaklsTWtNbE1qSm1iMjUwVTNSNWJHVWxNaklsTTBFbE4wSWxOMFFsTWtNbE1qSmtZWFJoUVhSMGNtbGlkWFJsY3lVeU1pVXpRU1UxUWlVMVJDVXlReVV5TW5CeWIzQnpKVEl5SlROQkpUZENKVEl5ZW1sdVpHVjRKVEl5SlROQk1qZ2xNa01sTWpKM0pUSXlKVE5CTVRjeExqazJOak13T0RVNU16YzFKVEpESlRJeWVDVXlNaVV6UVRjNU9DNHlNell6TWpneE1qVWxNa01sTWpKb0pUSXlKVE5CTlRBbE1rTWxNako1SlRJeUpUTkJNVEV3TUNVeVF5VXlNbUZ1WjJ4bEpUSXlKVE5CTUNVM1JDVXlReVV5TW5CaGRHZ2xNaklsTTBFbE5VSWxOMElsTWpKaFkzUnBiMjV6SlRJeUpUTkJKVFZDSlRkQ0pUSXllQ1V5TWlVelFTVXlNakFsTWpJbE1rTWxNakpoWTNScGIyNGxNaklsTTBFbE1qSnRiM1psSlRJeUpUSkRKVEl5ZVNVeU1pVXpRU1V5TWpBbE1qSWxOMFFsTWtNbE4wSWxNako0SlRJeUpUTkJKVEl5ZHlVeU1pVXlReVV5TW1GamRHbHZiaVV5TWlVelFTVXlNbXhwYm1VbE1qSWxNa01sTWpKNUpUSXlKVE5CSlRJeU1DVXlNaVUzUkNVeVF5VTNRaVV5TW5nbE1qSWxNMEVsTWpKM0pUSXlKVEpESlRJeVlXTjBhVzl1SlRJeUpUTkJKVEl5YkdsdVpTVXlNaVV5UXlVeU1ua2xNaklsTTBFbE1qSm9KVEl5SlRkRUpUSkRKVGRDSlRJeWVDVXlNaVV6UVNVeU1qQWxNaklsTWtNbE1qSmhZM1JwYjI0bE1qSWxNMEVsTWpKc2FXNWxKVEl5SlRKREpUSXllU1V5TWlVelFTVXlNbWdsTWpJbE4wUWxNa01sTjBJbE1qSmhZM1JwYjI0bE1qSWxNMEVsTWpKamJHOXpaU1V5TWlVM1JDVTFSQ1UzUkNVMVJDVXlReVV5TW14cGJtVlRkSGxzWlNVeU1pVXpRU1UzUWlVeU1uSnZkVzVrYVc1bkpUSXlKVE5CTkNVeVF5VXlNbXhwYm1WWGFXUjBhQ1V5TWlVelFURXVOU1UzUkNVeVF5VXlNbU5vYVd4a2NtVnVKVEl5SlROQkpUVkNKVFZFSlRKREpUSXljbVZ6YVhwbFJHbHlKVEl5SlROQkpUVkNKVEl5ZEd3bE1qSWxNa01sTWpKMGNpVXlNaVV5UXlVeU1tSnlKVEl5SlRKREpUSXlZbXdsTWpJbE1rTWxNakpzSlRJeUpUSkRKVEl5ZENVeU1pVXlReVV5TW5JbE1qSWxNa01sTWpKaUpUSXlKVFZFSlRKREpUSXlibUZ0WlNVeU1pVXpRU1V5TW5CeWIyTmxjM01sTWpJbE1rTWxNakptYVd4c1UzUjViR1VsTWpJbE0wRWxOMElsTjBRbE1rTWxNakowYUdWdFpTVXlNaVV6UVNVM1FpVTNSQ1V5UXlVeU1tbGtKVEl5SlROQkpUSXlTbnBRV1haMFZGSjZhRGMwT0RVNE1TVXlNaVV5UXlVeU1tRjBkSEpwWW5WMFpTVXlNaVV6UVNVM1FpVXlNbU52Ym5SaGFXNWxjaVV5TWlVelFXWmhiSE5sSlRKREpUSXljbTkwWVhSaFlteGxKVEl5SlROQmRISjFaU1V5UXlVeU1uWnBjMmxpYkdVbE1qSWxNMEYwY25WbEpUSkRKVEl5Wm1sNFpXUk1hVzVySlRJeUpUTkJabUZzYzJVbE1rTWxNakpqYjJ4c1lYQnpZV0pzWlNVeU1pVXpRV1poYkhObEpUSkRKVEl5WTI5c2JHRndjMlZrSlRJeUpUTkJabUZzYzJVbE1rTWxNakpzYVc1cllXSnNaU1V5TWlVelFYUnlkV1VsTWtNbE1qSnRZWEpyWlhKUFptWnpaWFFsTWpJbE0wRTFKVGRFSlRKREpUSXlZMkYwWldkdmNua2xNaklsTTBFbE1qSm1iRzkzSlRJeUpUZEVKVEpESlRJeVVFWkxlR0ZSWlhSRVFUZzBNVFkwTUNVeU1pVXpRU1UzUWlVeU1teHBibXNsTWpJbE0wRWxNaklsTWpJbE1rTWxNakp6YUdGd1pWTjBlV3hsSlRJeUpUTkJKVGRDSlRJeVlXeHdhR0VsTWpJbE0wRXhKVGRFSlRKREpUSXlkR1Y0ZEVKc2IyTnJKVEl5SlROQkpUVkNKVGRDSlRJeWNHOXphWFJwYjI0bE1qSWxNMEVsTjBJbE1qSjNKVEl5SlROQkpUSXlkeTB5TUNVeU1pVXlReVV5TW5nbE1qSWxNMEV4TUNVeVF5VXlNbWdsTWpJbE0wRWxNakpvSlRJeUpUSkRKVEl5ZVNVeU1pVXpRVEFsTjBRbE1rTWxNakowWlhoMEpUSXlKVE5CSlRJeUpVVTNKVGd6SlVFM0pVVTNKVUpDSlRrekpVVTJKVGxESlVKQkpVVTFKVUl3SlVKRkpVVTFKVUpCSlRsR0pVVTJKVUl3SlRrMEpUSXlKVGRFSlRWRUpUSkRKVEl5WVc1amFHOXljeVV5TWlVelFTVTFRaVUzUWlVeU1uZ2xNaklsTTBFbE1qSjNKVEpHTWlVeU1pVXlReVV5TW5rbE1qSWxNMEVsTWpJd0pUSXlKVGRFSlRKREpUZENKVEl5ZUNVeU1pVXpRU1V5TW5jbE1rWXlKVEl5SlRKREpUSXllU1V5TWlVelFTVXlNbWdsTWpJbE4wUWxNa01sTjBJbE1qSjRKVEl5SlROQkpUSXlNQ1V5TWlVeVF5VXlNbmtsTWpJbE0wRWxNakpvSlRKR01pVXlNaVUzUkNVeVF5VTNRaVV5TW5nbE1qSWxNMEVsTWpKM0pUSXlKVEpESlRJeWVTVXlNaVV6UVNVeU1tZ2xNa1l5SlRJeUpUZEVKVFZFSlRKREpUSXlkR2wwYkdVbE1qSWxNMEVsTWpJbE1qSWxNa01sTWpKbWIyNTBVM1I1YkdVbE1qSWxNMEVsTjBJbE4wUWxNa01sTWpKa1lYUmhRWFIwY21saWRYUmxjeVV5TWlVelFTVTFRaVUxUkNVeVF5VXlNbkJ5YjNCekpUSXlKVE5CSlRkQ0pUSXllbWx1WkdWNEpUSXlKVE5CTVRNbE1rTWxNakozSlRJeUpUTkJNVE00SlRKREpUSXllQ1V5TWlVelFURXpKVEpESlRJeWFDVXlNaVV6UVRVd0pUSkRKVEl5ZVNVeU1pVXpRVFkxTUNVeVF5VXlNbUZ1WjJ4bEpUSXlKVE5CTUNVM1JDVXlReVV5TW5CaGRHZ2xNaklsTTBFbE5VSWxOMElsTWpKaFkzUnBiMjV6SlRJeUpUTkJKVFZDSlRkQ0pUSXllQ1V5TWlVelFTVXlNakFsTWpJbE1rTWxNakpoWTNScGIyNGxNaklsTTBFbE1qSnRiM1psSlRJeUpUSkRKVEl5ZVNVeU1pVXpRU1V5TWpBbE1qSWxOMFFsTWtNbE4wSWxNako0SlRJeUpUTkJKVEl5ZHlVeU1pVXlReVV5TW1GamRHbHZiaVV5TWlVelFTVXlNbXhwYm1VbE1qSWxNa01sTWpKNUpUSXlKVE5CSlRJeU1DVXlNaVUzUkNVeVF5VTNRaVV5TW5nbE1qSWxNMEVsTWpKM0pUSXlKVEpESlRJeVlXTjBhVzl1SlRJeUpUTkJKVEl5YkdsdVpTVXlNaVV5UXlVeU1ua2xNaklsTTBFbE1qSm9KVEl5SlRkRUpUSkRKVGRDSlRJeWVDVXlNaVV6UVNVeU1qQWxNaklsTWtNbE1qSmhZM1JwYjI0bE1qSWxNMEVsTWpKc2FXNWxKVEl5SlRKREpUSXllU1V5TWlVelFTVXlNbWdsTWpJbE4wUWxNa01sTjBJbE1qSmhZM1JwYjI0bE1qSWxNMEVsTWpKamJHOXpaU1V5TWlVM1JDVTFSQ1UzUkNVMVJDVXlReVV5TW14cGJtVlRkSGxzWlNVeU1pVXpRU1UzUWlVeU1uSnZkVzVrYVc1bkpUSXlKVE5CTkNVeVF5VXlNbXhwYm1WWGFXUjBhQ1V5TWlVelFURXVOU1UzUkNVeVF5VXlNbU5vYVd4a2NtVnVKVEl5SlROQkpUVkNKVFZFSlRKREpUSXljbVZ6YVhwbFJHbHlKVEl5SlROQkpUVkNKVEl5ZEd3bE1qSWxNa01sTWpKMGNpVXlNaVV5UXlVeU1tSnlKVEl5SlRKREpUSXlZbXdsTWpJbE1rTWxNakpzSlRJeUpUSkRKVEl5ZENVeU1pVXlReVV5TW5JbE1qSWxNa01sTWpKaUpUSXlKVFZFSlRKREpUSXlibUZ0WlNVeU1pVXpRU1V5TW5CeWIyTmxjM01sTWpJbE1rTWxNakptYVd4c1UzUjViR1VsTWpJbE0wRWxOMElsTjBRbE1rTWxNakowYUdWdFpTVXlNaVV6UVNVM1FpVTNSQ1V5UXlVeU1tbGtKVEl5SlROQkpUSXlVRVpMZUdGUlpYUkVRVGcwTVRZME1DVXlNaVV5UXlVeU1tRjBkSEpwWW5WMFpTVXlNaVV6UVNVM1FpVXlNbU52Ym5SaGFXNWxjaVV5TWlVelFXWmhiSE5sSlRKREpUSXljbTkwWVhSaFlteGxKVEl5SlROQmRISjFaU1V5UXlVeU1uWnBjMmxpYkdVbE1qSWxNMEYwY25WbEpUSkRKVEl5Wm1sNFpXUk1hVzVySlRJeUpUTkJabUZzYzJVbE1rTWxNakpqYjJ4c1lYQnpZV0pzWlNVeU1pVXpRV1poYkhObEpUSkRKVEl5WTI5c2JHRndjMlZrSlRJeUpUTkJabUZzYzJVbE1rTWxNakpzYVc1cllXSnNaU1V5TWlVelFYUnlkV1VsTWtNbE1qSnRZWEpyWlhKUFptWnpaWFFsTWpJbE0wRTFKVGRFSlRKREpUSXlZMkYwWldkdmNua2xNaklsTTBFbE1qSm1iRzkzSlRJeUpUZEVKVEpESlRJeWFrOUtabE5IVFc1c1NUQXpNalExTUNVeU1pVXpRU1UzUWlVeU1teHBibXNsTWpJbE0wRWxNaklsTWpJbE1rTWxNakp6YUdGd1pWTjBlV3hsSlRJeUpUTkJKVGRDSlRJeVlXeHdhR0VsTWpJbE0wRXhKVGRFSlRKREpUSXlkR1Y0ZEVKc2IyTnJKVEl5SlROQkpUVkNKVGRDSlRJeWNHOXphWFJwYjI0bE1qSWxNMEVsTjBJbE1qSjNKVEl5SlROQkpUSXlkeTB5TUNVeU1pVXlReVV5TW5nbE1qSWxNMEV4TUNVeVF5VXlNbWdsTWpJbE0wRWxNakpvSlRJeUpUSkRKVEl5ZVNVeU1pVXpRVEFsTjBRbE1rTWxNakowWlhoMEpUSXlKVE5CSlRJeUpVVTVKVGxDSlRnMkpVVTJKVUl3SlRrMEpVVTNKVUpFSlVFNUpUSkNKVVUxSlVGR0pUZzJKVVU1SlRrM0pVRkVKVVUzSlVGRkpVRXhKVVU1SlRneEpUa3pKVEl5SlRkRUpUVkVKVEpESlRJeVlXNWphRzl5Y3lVeU1pVXpRU1UxUWlVM1FpVXlNbmdsTWpJbE0wRWxNakozSlRKR01pVXlNaVV5UXlVeU1ua2xNaklsTTBFbE1qSXdKVEl5SlRkRUpUSkRKVGRDSlRJeWVDVXlNaVV6UVNVeU1uY2xNa1l5SlRJeUpUSkRKVEl5ZVNVeU1pVXpRU1V5TW1nbE1qSWxOMFFsTWtNbE4wSWxNako0SlRJeUpUTkJKVEl5TUNVeU1pVXlReVV5TW5rbE1qSWxNMEVsTWpKb0pUSkdNaVV5TWlVM1JDVXlReVUzUWlVeU1uZ2xNaklsTTBFbE1qSjNKVEl5SlRKREpUSXllU1V5TWlVelFTVXlNbWdsTWtZeUpUSXlKVGRFSlRWRUpUSkRKVEl5ZEdsMGJHVWxNaklsTTBFbE1qSWxNaklsTWtNbE1qSm1iMjUwVTNSNWJHVWxNaklsTTBFbE4wSWxOMFFsTWtNbE1qSmtZWFJoUVhSMGNtbGlkWFJsY3lVeU1pVXpRU1UxUWlVMVJDVXlReVV5TW5CeWIzQnpKVEl5SlROQkpUZENKVEl5ZW1sdVpHVjRKVEl5SlROQk1UZ2xNa01sTWpKM0pUSXlKVE5CTVRZd0xqWTBNakE0T1RnME16YzFKVEpESlRJeWVDVXlNaVV6UVRJeE5pVXlReVV5TW1nbE1qSWxNMEUxTUNVeVF5VXlNbmtsTWpJbE0wRTRNREFsTWtNbE1qSmhibWRzWlNVeU1pVXpRVEFsTjBRbE1rTWxNakp3WVhSb0pUSXlKVE5CSlRWQ0pUZENKVEl5WVdOMGFXOXVjeVV5TWlVelFTVTFRaVUzUWlVeU1uZ2xNaklsTTBFbE1qSXdKVEl5SlRKREpUSXlZV04wYVc5dUpUSXlKVE5CSlRJeWJXOTJaU1V5TWlVeVF5VXlNbmtsTWpJbE0wRWxNakl3SlRJeUpUZEVKVEpESlRkQ0pUSXllQ1V5TWlVelFTVXlNbmNsTWpJbE1rTWxNakpoWTNScGIyNGxNaklsTTBFbE1qSnNhVzVsSlRJeUpUSkRKVEl5ZVNVeU1pVXpRU1V5TWpBbE1qSWxOMFFsTWtNbE4wSWxNako0SlRJeUpUTkJKVEl5ZHlVeU1pVXlReVV5TW1GamRHbHZiaVV5TWlVelFTVXlNbXhwYm1VbE1qSWxNa01sTWpKNUpUSXlKVE5CSlRJeWFDVXlNaVUzUkNVeVF5VTNRaVV5TW5nbE1qSWxNMEVsTWpJd0pUSXlKVEpESlRJeVlXTjBhVzl1SlRJeUpUTkJKVEl5YkdsdVpTVXlNaVV5UXlVeU1ua2xNaklsTTBFbE1qSm9KVEl5SlRkRUpUSkRKVGRDSlRJeVlXTjBhVzl1SlRJeUpUTkJKVEl5WTJ4dmMyVWxNaklsTjBRbE5VUWxOMFFsTlVRbE1rTWxNakpzYVc1bFUzUjViR1VsTWpJbE0wRWxOMElsTWpKeWIzVnVaR2x1WnlVeU1pVXpRVFFsTWtNbE1qSnNhVzVsVjJsa2RHZ2xNaklsTTBFeExqVWxOMFFsTWtNbE1qSmphR2xzWkhKbGJpVXlNaVV6UVNVMVFpVTFSQ1V5UXlVeU1uSmxjMmw2WlVScGNpVXlNaVV6UVNVMVFpVXlNblJzSlRJeUpUSkRKVEl5ZEhJbE1qSWxNa01sTWpKaWNpVXlNaVV5UXlVeU1tSnNKVEl5SlRKREpUSXliQ1V5TWlVeVF5VXlNblFsTWpJbE1rTWxNakp5SlRJeUpUSkRKVEl5WWlVeU1pVTFSQ1V5UXlVeU1tNWhiV1VsTWpJbE0wRWxNakp3Y205alpYTnpKVEl5SlRKREpUSXlabWxzYkZOMGVXeGxKVEl5SlROQkpUZENKVGRFSlRKREpUSXlkR2hsYldVbE1qSWxNMEVsTjBJbE4wUWxNa01sTWpKcFpDVXlNaVV6UVNVeU1tcFBTbVpUUjAxdWJFa3dNekkwTlRBbE1qSWxNa01sTWpKaGRIUnlhV0oxZEdVbE1qSWxNMEVsTjBJbE1qSmpiMjUwWVdsdVpYSWxNaklsTTBGbVlXeHpaU1V5UXlVeU1uSnZkR0YwWVdKc1pTVXlNaVV6UVhSeWRXVWxNa01sTWpKMmFYTnBZbXhsSlRJeUpUTkJkSEoxWlNVeVF5VXlNbVpwZUdWa1RHbHVheVV5TWlVelFXWmhiSE5sSlRKREpUSXlZMjlzYkdGd2MyRmliR1VsTWpJbE0wRm1ZV3h6WlNVeVF5VXlNbU52Ykd4aGNITmxaQ1V5TWlVelFXWmhiSE5sSlRKREpUSXliR2x1YTJGaWJHVWxNaklsTTBGMGNuVmxKVEpESlRJeWJXRnlhMlZ5VDJabWMyVjBKVEl5SlROQk5TVTNSQ1V5UXlVeU1tTmhkR1ZuYjNKNUpUSXlKVE5CSlRJeVpteHZkeVV5TWlVM1JDVXlReVV5TW1OTlNWUkdkbk5qV1dzM016azFNRFFsTWpJbE0wRWxOMElsTWpKc2FXNXJKVEl5SlROQkpUSXlKVEl5SlRKREpUSXljMmhoY0dWVGRIbHNaU1V5TWlVelFTVTNRaVV5TW1Gc2NHaGhKVEl5SlROQk1TVTNSQ1V5UXlVeU1uUmxlSFJDYkc5amF5VXlNaVV6UVNVMVFpVTNRaVV5TW5CdmMybDBhVzl1SlRJeUpUTkJKVGRDSlRJeWR5VXlNaVV6UVNVeU1uY3RNakFsTWpJbE1rTWxNako0SlRJeUpUTkJNVEFsTWtNbE1qSm9KVEl5SlROQkpUSXlhQ1V5TWlVeVF5VXlNbmtsTWpJbE0wRXdKVGRFSlRKREpUSXlkR1Y0ZENVeU1pVXpRU1V5TWpVd2JTVkZOaVU0UlNVNU1pVkZOaVZDTUNVNU5DVkZOeVZCUkNVNU1pVXlNRVJCTURBMUpUSXlKVGRFSlRWRUpUSkRKVEl5WVc1amFHOXljeVV5TWlVelFTVTFRaVUzUWlVeU1uZ2xNaklsTTBFbE1qSjNKVEpHTWlVeU1pVXlReVV5TW5rbE1qSWxNMEVsTWpJd0pUSXlKVGRFSlRKREpUZENKVEl5ZUNVeU1pVXpRU1V5TW5jbE1rWXlKVEl5SlRKREpUSXllU1V5TWlVelFTVXlNbWdsTWpJbE4wUWxNa01sTjBJbE1qSjRKVEl5SlROQkpUSXlNQ1V5TWlVeVF5VXlNbmtsTWpJbE0wRWxNakpvSlRKR01pVXlNaVUzUkNVeVF5VTNRaVV5TW5nbE1qSWxNMEVsTWpKM0pUSXlKVEpESlRJeWVTVXlNaVV6UVNVeU1tZ2xNa1l5SlRJeUpUZEVKVFZFSlRKREpUSXlkR2wwYkdVbE1qSWxNMEVsTWpJbE1qSWxNa01sTWpKbWIyNTBVM1I1YkdVbE1qSWxNMEVsTjBJbE4wUWxNa01sTWpKa1lYUmhRWFIwY21saWRYUmxjeVV5TWlVelFTVTFRaVUxUkNVeVF5VXlNbkJ5YjNCekpUSXlKVE5CSlRkQ0pUSXllbWx1WkdWNEpUSXlKVE5CTVRZbE1rTWxNakozSlRJeUpUTkJNVGN4TGprMk5qTXdPRFU1TXpjMUpUSkRKVEl5ZUNVeU1pVXpRVGM1T0M0eU16WXpNamd4TWpVbE1rTWxNakpvSlRJeUpUTkJOVEFsTWtNbE1qSjVKVEl5SlROQk5qVXdKVEpESlRJeVlXNW5iR1VsTWpJbE0wRXdKVGRFSlRKREpUSXljR0YwYUNVeU1pVXpRU1UxUWlVM1FpVXlNbUZqZEdsdmJuTWxNaklsTTBFbE5VSWxOMElsTWpKNEpUSXlKVE5CSlRJeU1DVXlNaVV5UXlVeU1tRmpkR2x2YmlVeU1pVXpRU1V5TW0xdmRtVWxNaklsTWtNbE1qSjVKVEl5SlROQkpUSXlNQ1V5TWlVM1JDVXlReVUzUWlVeU1uZ2xNaklsTTBFbE1qSjNKVEl5SlRKREpUSXlZV04wYVc5dUpUSXlKVE5CSlRJeWJHbHVaU1V5TWlVeVF5VXlNbmtsTWpJbE0wRWxNakl3SlRJeUpUZEVKVEpESlRkQ0pUSXllQ1V5TWlVelFTVXlNbmNsTWpJbE1rTWxNakpoWTNScGIyNGxNaklsTTBFbE1qSnNhVzVsSlRJeUpUSkRKVEl5ZVNVeU1pVXpRU1V5TW1nbE1qSWxOMFFsTWtNbE4wSWxNako0SlRJeUpUTkJKVEl5TUNVeU1pVXlReVV5TW1GamRHbHZiaVV5TWlVelFTVXlNbXhwYm1VbE1qSWxNa01sTWpKNUpUSXlKVE5CSlRJeWFDVXlNaVUzUkNVeVF5VTNRaVV5TW1GamRHbHZiaVV5TWlVelFTVXlNbU5zYjNObEpUSXlKVGRFSlRWRUpUZEVKVFZFSlRKREpUSXliR2x1WlZOMGVXeGxKVEl5SlROQkpUZENKVEl5Y205MWJtUnBibWNsTWpJbE0wRTBKVEpESlRJeWJHbHVaVmRwWkhSb0pUSXlKVE5CTVM0MUpUZEVKVEpESlRJeVkyaHBiR1J5Wlc0bE1qSWxNMEVsTlVJbE5VUWxNa01sTWpKeVpYTnBlbVZFYVhJbE1qSWxNMEVsTlVJbE1qSjBiQ1V5TWlVeVF5VXlNblJ5SlRJeUpUSkRKVEl5WW5JbE1qSWxNa01sTWpKaWJDVXlNaVV5UXlVeU1td2xNaklsTWtNbE1qSjBKVEl5SlRKREpUSXljaVV5TWlVeVF5VXlNbUlsTWpJbE5VUWxNa01sTWpKdVlXMWxKVEl5SlROQkpUSXljSEp2WTJWemN5VXlNaVV5UXlVeU1tWnBiR3hUZEhsc1pTVXlNaVV6UVNVM1FpVTNSQ1V5UXlVeU1uUm9aVzFsSlRJeUpUTkJKVGRDSlRkRUpUSkRKVEl5YVdRbE1qSWxNMEVsTWpKalRVbFVSblp6WTFsck56TTVOVEEwSlRJeUpUSkRKVEl5WVhSMGNtbGlkWFJsSlRJeUpUTkJKVGRDSlRJeVkyOXVkR0ZwYm1WeUpUSXlKVE5CWm1Gc2MyVWxNa01sTWpKeWIzUmhkR0ZpYkdVbE1qSWxNMEYwY25WbEpUSkRKVEl5ZG1semFXSnNaU1V5TWlVelFYUnlkV1VsTWtNbE1qSm1hWGhsWkV4cGJtc2xNaklsTTBGbVlXeHpaU1V5UXlVeU1tTnZiR3hoY0hOaFlteGxKVEl5SlROQlptRnNjMlVsTWtNbE1qSmpiMnhzWVhCelpXUWxNaklsTTBGbVlXeHpaU1V5UXlVeU1teHBibXRoWW14bEpUSXlKVE5CZEhKMVpTVXlReVV5TW0xaGNtdGxjazltWm5ObGRDVXlNaVV6UVRVbE4wUWxNa01sTWpKallYUmxaMjl5ZVNVeU1pVXpRU1V5TW1ac2IzY2xNaklsTjBRbE1rTWxNakpVWVhKTGJuSmtlbmw1TmpjeE5UVTNKVEl5SlROQkpUZENKVEl5YkdsdWF5VXlNaVV6UVNVeU1pVXlNaVV5UXlVeU1uTm9ZWEJsVTNSNWJHVWxNaklsTTBFbE4wSWxNakpoYkhCb1lTVXlNaVV6UVRFbE4wUWxNa01sTWpKMFpYaDBRbXh2WTJzbE1qSWxNMEVsTlVJbE4wSWxNakp3YjNOcGRHbHZiaVV5TWlVelFTVTNRaVV5TW5jbE1qSWxNMEVsTWpKM0xUSXdKVEl5SlRKREpUSXllQ1V5TWlVelFURXdKVEpESlRJeWFDVXlNaVV6UVNVeU1tZ2xNaklsTWtNbE1qSjVKVEl5SlROQk1DVTNSQ1V5UXlVeU1uUmxlSFFsTWpJbE0wRWxNaklsUlRZbFFqa2xRa1lsUlRjbE9UUWxRalVsUlRrbE9Ua2xRVFFsUlRVbFFqQWxPVGdsUlRVbE9Ua2xRVGdsTWtJbFJUY2xPVVlsUWpNbFJUY2xPREVsUWpBbFJUY2xPVVlsUWpNdEpVVTNKVGxHSlVJekpVVTRKVGcySlRoR0pVVTJKVUk1SlVKR0pVVTFKVUpESlRoR0pVVTRKVGcwSlVJeEpVVTNKVUV4SlVGQ0pUSkNVME5TSlVVNEpUZzBKVUl4SlVVM0pVRXhKVGxFSlRJeUpUZEVKVFZFSlRKREpUSXlZVzVqYUc5eWN5VXlNaVV6UVNVMVFpVTNRaVV5TW5nbE1qSWxNMEVsTWpKM0pUSkdNaVV5TWlVeVF5VXlNbmtsTWpJbE0wRWxNakl3SlRJeUpUZEVKVEpESlRkQ0pUSXllQ1V5TWlVelFTVXlNbmNsTWtZeUpUSXlKVEpESlRJeWVTVXlNaVV6UVNVeU1tZ2xNaklsTjBRbE1rTWxOMElsTWpKNEpUSXlKVE5CSlRJeU1DVXlNaVV5UXlVeU1ua2xNaklsTTBFbE1qSm9KVEpHTWlVeU1pVTNSQ1V5UXlVM1FpVXlNbmdsTWpJbE0wRWxNakozSlRJeUpUSkRKVEl5ZVNVeU1pVXpRU1V5TW1nbE1rWXlKVEl5SlRkRUpUVkVKVEpESlRJeWRHbDBiR1VsTWpJbE0wRWxNaklsTWpJbE1rTWxNakptYjI1MFUzUjViR1VsTWpJbE0wRWxOMElsTjBRbE1rTWxNakprWVhSaFFYUjBjbWxpZFhSbGN5VXlNaVV6UVNVMVFpVTFSQ1V5UXlVeU1uQnliM0J6SlRJeUpUTkJKVGRDSlRJeWVtbHVaR1Y0SlRJeUpUTkJNelVsTWtNbE1qSjNKVEl5SlROQk16RTNMalU1TkRJek9ESTRNVEkxSlRKREpUSXllQ1V5TWlVelFUUXlPQzQyTkRJd09EazRORE0zTlNVeVF5VXlNbWdsTWpJbE0wRTFNQ1V5UXlVeU1ua2xNaklsTTBFeE5UVXdKVEpESlRJeVlXNW5iR1VsTWpJbE0wRXdKVGRFSlRKREpUSXljR0YwYUNVeU1pVXpRU1UxUWlVM1FpVXlNbUZqZEdsdmJuTWxNaklsTTBFbE5VSWxOMElsTWpKNEpUSXlKVE5CSlRJeU1DVXlNaVV5UXlVeU1tRmpkR2x2YmlVeU1pVXpRU1V5TW0xdmRtVWxNaklsTWtNbE1qSjVKVEl5SlROQkpUSXlNQ1V5TWlVM1JDVXlReVUzUWlVeU1uZ2xNaklsTTBFbE1qSjNKVEl5SlRKREpUSXlZV04wYVc5dUpUSXlKVE5CSlRJeWJHbHVaU1V5TWlVeVF5VXlNbmtsTWpJbE0wRWxNakl3SlRJeUpUZEVKVEpESlRkQ0pUSXllQ1V5TWlVelFTVXlNbmNsTWpJbE1rTWxNakpoWTNScGIyNGxNaklsTTBFbE1qSnNhVzVsSlRJeUpUSkRKVEl5ZVNVeU1pVXpRU1V5TW1nbE1qSWxOMFFsTWtNbE4wSWxNako0SlRJeUpUTkJKVEl5TUNVeU1pVXlReVV5TW1GamRHbHZiaVV5TWlVelFTVXlNbXhwYm1VbE1qSWxNa01sTWpKNUpUSXlKVE5CSlRJeWFDVXlNaVUzUkNVeVF5VTNRaVV5TW1GamRHbHZiaVV5TWlVelFTVXlNbU5zYjNObEpUSXlKVGRFSlRWRUpUZEVKVFZFSlRKREpUSXliR2x1WlZOMGVXeGxKVEl5SlROQkpUZENKVEl5Y205MWJtUnBibWNsTWpJbE0wRTBKVEpESlRJeWJHbHVaVmRwWkhSb0pUSXlKVE5CTVM0MUpUZEVKVEpESlRJeVkyaHBiR1J5Wlc0bE1qSWxNMEVsTlVJbE5VUWxNa01sTWpKeVpYTnBlbVZFYVhJbE1qSWxNMEVsTlVJbE1qSjBiQ1V5TWlVeVF5VXlNblJ5SlRJeUpUSkRKVEl5WW5JbE1qSWxNa01sTWpKaWJDVXlNaVV5UXlVeU1td2xNaklsTWtNbE1qSjBKVEl5SlRKREpUSXljaVV5TWlVeVF5VXlNbUlsTWpJbE5VUWxNa01sTWpKdVlXMWxKVEl5SlROQkpUSXljSEp2WTJWemN5VXlNaVV5UXlVeU1tWnBiR3hUZEhsc1pTVXlNaVV6UVNVM1FpVTNSQ1V5UXlVeU1uUm9aVzFsSlRJeUpUTkJKVGRDSlRkRUpUSkRKVEl5YVdRbE1qSWxNMEVsTWpKVVlYSkxibkprZW5sNU5qY3hOVFUzSlRJeUpUSkRKVEl5WVhSMGNtbGlkWFJsSlRJeUpUTkJKVGRDSlRJeVkyOXVkR0ZwYm1WeUpUSXlKVE5CWm1Gc2MyVWxNa01sTWpKeWIzUmhkR0ZpYkdVbE1qSWxNMEYwY25WbEpUSkRKVEl5ZG1semFXSnNaU1V5TWlVelFYUnlkV1VsTWtNbE1qSm1hWGhsWkV4cGJtc2xNaklsTTBGbVlXeHpaU1V5UXlVeU1tTnZiR3hoY0hOaFlteGxKVEl5SlROQlptRnNjMlVsTWtNbE1qSmpiMnhzWVhCelpXUWxNaklsTTBGbVlXeHpaU1V5UXlVeU1teHBibXRoWW14bEpUSXlKVE5CZEhKMVpTVXlReVV5TW0xaGNtdGxjazltWm5ObGRDVXlNaVV6UVRVbE4wUWxNa01sTWpKallYUmxaMjl5ZVNVeU1pVXpRU1V5TW1ac2IzY2xNaklsTjBRbE1rTWxNakpUUWxwSFFVMXVkRXRZTnpNd016SXdKVEl5SlROQkpUZENKVEl5YkdsdWF5VXlNaVV6UVNVeU1pVXlNaVV5UXlVeU1uTm9ZWEJsVTNSNWJHVWxNaklsTTBFbE4wSWxNakpoYkhCb1lTVXlNaVV6UVRFbE4wUWxNa01sTWpKMFpYaDBRbXh2WTJzbE1qSWxNMEVsTlVJbE4wSWxNakp3YjNOcGRHbHZiaVV5TWlVelFTVTNRaVV5TW5jbE1qSWxNMEVsTWpKM0xUSXdKVEl5SlRKREpUSXllQ1V5TWlVelFURXdKVEpESlRJeWFDVXlNaVV6UVNVeU1tZ2xNaklsTWtNbE1qSjVKVEl5SlROQk1DVTNSQ1V5UXlVeU1uUmxlSFFsTWpJbE0wRWxNaklsUlRZbFFqa2xRa1lsUlRZbFFqTWxPVFVsUlRZbFFqQWxRalFsUlRZbFFqVWxRalFsUlRrbE9Ua2xRVFFsUlRVbFFqQWxPVGdsUlRVbE9Ua2xRVGdsTWpJbE4wUWxOVVFsTWtNbE1qSmhibU5vYjNKekpUSXlKVE5CSlRWQ0pUZENKVEl5ZUNVeU1pVXpRU1V5TW5jbE1rWXlKVEl5SlRKREpUSXllU1V5TWlVelFTVXlNakFsTWpJbE4wUWxNa01sTjBJbE1qSjRKVEl5SlROQkpUSXlkeVV5UmpJbE1qSWxNa01sTWpKNUpUSXlKVE5CSlRJeWFDVXlNaVUzUkNVeVF5VTNRaVV5TW5nbE1qSWxNMEVsTWpJd0pUSXlKVEpESlRJeWVTVXlNaVV6UVNVeU1tZ2xNa1l5SlRJeUpUZEVKVEpESlRkQ0pUSXllQ1V5TWlVelFTVXlNbmNsTWpJbE1rTWxNako1SlRJeUpUTkJKVEl5YUNVeVJqSWxNaklsTjBRbE5VUWxNa01sTWpKMGFYUnNaU1V5TWlVelFTVXlNaVV5TWlVeVF5VXlNbVp2Ym5SVGRIbHNaU1V5TWlVelFTVTNRaVUzUkNVeVF5VXlNbVJoZEdGQmRIUnlhV0oxZEdWekpUSXlKVE5CSlRWQ0pUVkVKVEpESlRJeWNISnZjSE1sTWpJbE0wRWxOMElsTWpKNmFXNWtaWGdsTWpJbE0wRTNKVEpESlRJeWR5VXlNaVV6UVRFMU1TVXlReVV5TW5nbE1qSWxNMEUxTVRFdU9UTTVNakE0T1RnME16YzFKVEpESlRJeWFDVXlNaVV6UVRVd0pUSkRKVEl5ZVNVeU1pVXpRVE0xTUNVeVF5VXlNbUZ1WjJ4bEpUSXlKVE5CTUNVM1JDVXlReVV5TW5CaGRHZ2xNaklsTTBFbE5VSWxOMElsTWpKaFkzUnBiMjV6SlRJeUpUTkJKVFZDSlRkQ0pUSXllQ1V5TWlVelFTVXlNakFsTWpJbE1rTWxNakpoWTNScGIyNGxNaklsTTBFbE1qSnRiM1psSlRJeUpUSkRKVEl5ZVNVeU1pVXpRU1V5TWpBbE1qSWxOMFFsTWtNbE4wSWxNako0SlRJeUpUTkJKVEl5ZHlVeU1pVXlReVV5TW1GamRHbHZiaVV5TWlVelFTVXlNbXhwYm1VbE1qSWxNa01sTWpKNUpUSXlKVE5CSlRJeU1DVXlNaVUzUkNVeVF5VTNRaVV5TW5nbE1qSWxNMEVsTWpKM0pUSXlKVEpESlRJeVlXTjBhVzl1SlRJeUpUTkJKVEl5YkdsdVpTVXlNaVV5UXlVeU1ua2xNaklsTTBFbE1qSm9KVEl5SlRkRUpUSkRKVGRDSlRJeWVDVXlNaVV6UVNVeU1qQWxNaklsTWtNbE1qSmhZM1JwYjI0bE1qSWxNMEVsTWpKc2FXNWxKVEl5SlRKREpUSXllU1V5TWlVelFTVXlNbWdsTWpJbE4wUWxNa01sTjBJbE1qSmhZM1JwYjI0bE1qSWxNMEVsTWpKamJHOXpaU1V5TWlVM1JDVTFSQ1UzUkNVMVJDVXlReVV5TW14cGJtVlRkSGxzWlNVeU1pVXpRU1UzUWlVeU1uSnZkVzVrYVc1bkpUSXlKVE5CTkNVeVF5VXlNbXhwYm1WWGFXUjBhQ1V5TWlVelFURXVOU1UzUkNVeVF5VXlNbU5vYVd4a2NtVnVKVEl5SlROQkpUVkNKVFZFSlRKREpUSXljbVZ6YVhwbFJHbHlKVEl5SlROQkpUVkNKVEl5ZEd3bE1qSWxNa01sTWpKMGNpVXlNaVV5UXlVeU1tSnlKVEl5SlRKREpUSXlZbXdsTWpJbE1rTWxNakpzSlRJeUpUSkRKVEl5ZENVeU1pVXlReVV5TW5JbE1qSWxNa01sTWpKaUpUSXlKVFZFSlRKREpUSXlibUZ0WlNVeU1pVXpRU1V5TW5CeWIyTmxjM01sTWpJbE1rTWxNakptYVd4c1UzUjViR1VsTWpJbE0wRWxOMElsTjBRbE1rTWxNakowYUdWdFpTVXlNaVV6UVNVM1FpVTNSQ1V5UXlVeU1tbGtKVEl5SlROQkpUSXlVMEphUjBGTmJuUkxXRGN6TURNeU1DVXlNaVV5UXlVeU1tRjBkSEpwWW5WMFpTVXlNaVV6UVNVM1FpVXlNbU52Ym5SaGFXNWxjaVV5TWlVelFXWmhiSE5sSlRKREpUSXljbTkwWVhSaFlteGxKVEl5SlROQmRISjFaU1V5UXlVeU1uWnBjMmxpYkdVbE1qSWxNMEYwY25WbEpUSkRKVEl5Wm1sNFpXUk1hVzVySlRJeUpUTkJabUZzYzJVbE1rTWxNakpqYjJ4c1lYQnpZV0pzWlNVeU1pVXpRV1poYkhObEpUSkRKVEl5WTI5c2JHRndjMlZrSlRJeUpUTkJabUZzYzJVbE1rTWxNakpzYVc1cllXSnNaU1V5TWlVelFYUnlkV1VsTWtNbE1qSnRZWEpyWlhKUFptWnpaWFFsTWpJbE0wRTFKVGRFSlRKREpUSXlZMkYwWldkdmNua2xNaklsTTBFbE1qSm1iRzkzSlRJeUpUZEVKVEpESlRJeWJuUjFVWEpqZFhGTldEWTROalEwTWlVeU1pVXpRU1UzUWlVeU1teHBibXNsTWpJbE0wRWxNaklsTWpJbE1rTWxNakp6YUdGd1pWTjBlV3hsSlRJeUpUTkJKVGRDSlRJeVlXeHdhR0VsTWpJbE0wRXhKVGRFSlRKREpUSXlkR1Y0ZEVKc2IyTnJKVEl5SlROQkpUVkNKVGRDSlRJeWNHOXphWFJwYjI0bE1qSWxNMEVsTjBJbE1qSjNKVEl5SlROQkpUSXlkeTB5TUNVeU1pVXlReVV5TW5nbE1qSWxNMEV4TUNVeVF5VXlNbWdsTWpJbE0wRWxNakpvSlRJeUpUSkRKVEl5ZVNVeU1pVXpRVEFsTjBRbE1rTWxNakowWlhoMEpUSXlKVE5CSlRJeUpVVTVKVGxDSlRnMkpVVTJKVUl3SlRrMEpVVTNKVUpFSlVFNUpUSkNKVVUxSlVGR0pUZzJKVVU1SlRrM0pVRkVKVVUzSlVGRkpVRXhKVVU1SlRneEpUa3pKVEl5SlRkRUpUVkVKVEpESlRJeVlXNWphRzl5Y3lVeU1pVXpRU1UxUWlVM1FpVXlNbmdsTWpJbE0wRWxNakozSlRKR01pVXlNaVV5UXlVeU1ua2xNaklsTTBFbE1qSXdKVEl5SlRkRUpUSkRKVGRDSlRJeWVDVXlNaVV6UVNVeU1uY2xNa1l5SlRJeUpUSkRKVEl5ZVNVeU1pVXpRU1V5TW1nbE1qSWxOMFFsTWtNbE4wSWxNako0SlRJeUpUTkJKVEl5TUNVeU1pVXlReVV5TW5rbE1qSWxNMEVsTWpKb0pUSkdNaVV5TWlVM1JDVXlReVUzUWlVeU1uZ2xNaklsTTBFbE1qSjNKVEl5SlRKREpUSXllU1V5TWlVelFTVXlNbWdsTWtZeUpUSXlKVGRFSlRWRUpUSkRKVEl5ZEdsMGJHVWxNaklsTTBFbE1qSWxNaklsTWtNbE1qSm1iMjUwVTNSNWJHVWxNaklsTTBFbE4wSWxOMFFsTWtNbE1qSmtZWFJoUVhSMGNtbGlkWFJsY3lVeU1pVXpRU1UxUWlVMVJDVXlReVV5TW5CeWIzQnpKVEl5SlROQkpUZENKVEl5ZW1sdVpHVjRKVEl5SlROQk16UWxNa01sTWpKM0pUSXlKVE5CTVRZd0xqWTBNakE0T1RnME16YzFKVEpESlRJeWVDVXlNaVV6UVRJeE5pVXlReVV5TW1nbE1qSWxNMEUxTUNVeVF5VXlNbmtsTWpJbE0wRXhOVFV3SlRKREpUSXlZVzVuYkdVbE1qSWxNMEV3SlRkRUpUSkRKVEl5Y0dGMGFDVXlNaVV6UVNVMVFpVTNRaVV5TW1GamRHbHZibk1sTWpJbE0wRWxOVUlsTjBJbE1qSjRKVEl5SlROQkpUSXlNQ1V5TWlVeVF5VXlNbUZqZEdsdmJpVXlNaVV6UVNVeU1tMXZkbVVsTWpJbE1rTWxNako1SlRJeUpUTkJKVEl5TUNVeU1pVTNSQ1V5UXlVM1FpVXlNbmdsTWpJbE0wRWxNakozSlRJeUpUSkRKVEl5WVdOMGFXOXVKVEl5SlROQkpUSXliR2x1WlNVeU1pVXlReVV5TW5rbE1qSWxNMEVsTWpJd0pUSXlKVGRFSlRKREpUZENKVEl5ZUNVeU1pVXpRU1V5TW5jbE1qSWxNa01sTWpKaFkzUnBiMjRsTWpJbE0wRWxNakpzYVc1bEpUSXlKVEpESlRJeWVTVXlNaVV6UVNVeU1tZ2xNaklsTjBRbE1rTWxOMElsTWpKNEpUSXlKVE5CSlRJeU1DVXlNaVV5UXlVeU1tRmpkR2x2YmlVeU1pVXpRU1V5TW14cGJtVWxNaklsTWtNbE1qSjVKVEl5SlROQkpUSXlhQ1V5TWlVM1JDVXlReVUzUWlVeU1tRmpkR2x2YmlVeU1pVXpRU1V5TW1Oc2IzTmxKVEl5SlRkRUpUVkVKVGRFSlRWRUpUSkRKVEl5YkdsdVpWTjBlV3hsSlRJeUpUTkJKVGRDSlRJeWNtOTFibVJwYm1jbE1qSWxNMEUwSlRKREpUSXliR2x1WlZkcFpIUm9KVEl5SlROQk1TNDFKVGRFSlRKREpUSXlZMmhwYkdSeVpXNGxNaklsTTBFbE5VSWxOVVFsTWtNbE1qSnlaWE5wZW1WRWFYSWxNaklsTTBFbE5VSWxNakowYkNVeU1pVXlReVV5TW5SeUpUSXlKVEpESlRJeVluSWxNaklsTWtNbE1qSmliQ1V5TWlVeVF5VXlNbXdsTWpJbE1rTWxNakowSlRJeUpUSkRKVEl5Y2lVeU1pVXlReVV5TW1JbE1qSWxOVVFsTWtNbE1qSnVZVzFsSlRJeUpUTkJKVEl5Y0hKdlkyVnpjeVV5TWlVeVF5VXlNbVpwYkd4VGRIbHNaU1V5TWlVelFTVTNRaVUzUkNVeVF5VXlNblJvWlcxbEpUSXlKVE5CSlRkQ0pUZEVKVEpESlRJeWFXUWxNaklsTTBFbE1qSnVkSFZSY21OMWNVMVlOamcyTkRReUpUSXlKVEpESlRJeVlYUjBjbWxpZFhSbEpUSXlKVE5CSlRkQ0pUSXlZMjl1ZEdGcGJtVnlKVEl5SlROQlptRnNjMlVsTWtNbE1qSnliM1JoZEdGaWJHVWxNaklsTTBGMGNuVmxKVEpESlRJeWRtbHphV0pzWlNVeU1pVXpRWFJ5ZFdVbE1rTWxNakptYVhobFpFeHBibXNsTWpJbE0wRm1ZV3h6WlNVeVF5VXlNbU52Ykd4aGNITmhZbXhsSlRJeUpUTkJabUZzYzJVbE1rTWxNakpqYjJ4c1lYQnpaV1FsTWpJbE0wRm1ZV3h6WlNVeVF5VXlNbXhwYm10aFlteGxKVEl5SlROQmRISjFaU1V5UXlVeU1tMWhjbXRsY2s5bVpuTmxkQ1V5TWlVelFUVWxOMFFsTWtNbE1qSmpZWFJsWjI5eWVTVXlNaVV6UVNVeU1tWnNiM2NsTWpJbE4wUWxNa01sTWpKeGFYWkNjVlJ6VkhWVk56TTROek16SlRJeUpUTkJKVGRDSlRJeWJHbHVheVV5TWlVelFTVXlNaVV5TWlVeVF5VXlNbk5vWVhCbFUzUjViR1VsTWpJbE0wRWxOMElsTWpKaGJIQm9ZU1V5TWlVelFURWxOMFFsTWtNbE1qSjBaWGgwUW14dlkyc2xNaklsTTBFbE5VSWxOMElsTWpKd2IzTnBkR2x2YmlVeU1pVXpRU1UzUWlVeU1uY2xNaklsTTBFbE1qSjNMVEl3SlRJeUpUSkRKVEl5ZUNVeU1pVXpRVEV3SlRKREpUSXlhQ1V5TWlVelFTVXlNbWdsTWpJbE1rTWxNako1SlRJeUpUTkJNQ1UzUkNVeVF5VXlNblJsZUhRbE1qSWxNMEVsTWpJbFJUZ2xRVElsT0VJbFJUVWxRa01sT0VZbFJUa2xPVGtsUVRRbFJUVWxRakFsT1RnbFJUVWxPVGtsUVRnbE1qSWxOMFFsTlVRbE1rTWxNakpoYm1Ob2IzSnpKVEl5SlROQkpUVkNKVGRDSlRJeWVDVXlNaVV6UVNVeU1uY2xNa1l5SlRJeUpUSkRKVEl5ZVNVeU1pVXpRU1V5TWpBbE1qSWxOMFFsTWtNbE4wSWxNako0SlRJeUpUTkJKVEl5ZHlVeVJqSWxNaklsTWtNbE1qSjVKVEl5SlROQkpUSXlhQ1V5TWlVM1JDVXlReVUzUWlVeU1uZ2xNaklsTTBFbE1qSXdKVEl5SlRKREpUSXllU1V5TWlVelFTVXlNbWdsTWtZeUpUSXlKVGRFSlRKREpUZENKVEl5ZUNVeU1pVXpRU1V5TW5jbE1qSWxNa01sTWpKNUpUSXlKVE5CSlRJeWFDVXlSaklsTWpJbE4wUWxOVVFsTWtNbE1qSjBhWFJzWlNVeU1pVXpRU1V5TWlVeU1pVXlReVV5TW1admJuUlRkSGxzWlNVeU1pVXpRU1UzUWlVM1JDVXlReVV5TW1SaGRHRkJkSFJ5YVdKMWRHVnpKVEl5SlROQkpUVkNKVFZFSlRKREpUSXljSEp2Y0hNbE1qSWxNMEVsTjBJbE1qSjZhVzVrWlhnbE1qSWxNMEV5TXlVeVF5VXlNbmNsTWpJbE0wRXhNalVsTWtNbE1qSjRKVEl5SlROQk5USTBMamt6T1RJd09EazRORE0zTlNVeVF5VXlNbWdsTWpJbE0wRTFNQ1V5UXlVeU1ua2xNaklsTTBFNU5UQWxNa01sTWpKaGJtZHNaU1V5TWlVelFUQWxOMFFsTWtNbE1qSndZWFJvSlRJeUpUTkJKVFZDSlRkQ0pUSXlZV04wYVc5dWN5VXlNaVV6UVNVMVFpVTNRaVV5TW5nbE1qSWxNMEVsTWpJd0pUSXlKVEpESlRJeVlXTjBhVzl1SlRJeUpUTkJKVEl5Ylc5MlpTVXlNaVV5UXlVeU1ua2xNaklsTTBFbE1qSXdKVEl5SlRkRUpUSkRKVGRDSlRJeWVDVXlNaVV6UVNVeU1uY2xNaklsTWtNbE1qSmhZM1JwYjI0bE1qSWxNMEVsTWpKc2FXNWxKVEl5SlRKREpUSXllU1V5TWlVelFTVXlNakFsTWpJbE4wUWxNa01sTjBJbE1qSjRKVEl5SlROQkpUSXlkeVV5TWlVeVF5VXlNbUZqZEdsdmJpVXlNaVV6UVNVeU1teHBibVVsTWpJbE1rTWxNako1SlRJeUpUTkJKVEl5YUNVeU1pVTNSQ1V5UXlVM1FpVXlNbmdsTWpJbE0wRWxNakl3SlRJeUpUSkRKVEl5WVdOMGFXOXVKVEl5SlROQkpUSXliR2x1WlNVeU1pVXlReVV5TW5rbE1qSWxNMEVsTWpKb0pUSXlKVGRFSlRKREpUZENKVEl5WVdOMGFXOXVKVEl5SlROQkpUSXlZMnh2YzJVbE1qSWxOMFFsTlVRbE4wUWxOVVFsTWtNbE1qSnNhVzVsVTNSNWJHVWxNaklsTTBFbE4wSWxNakp5YjNWdVpHbHVaeVV5TWlVelFUUWxNa01sTWpKc2FXNWxWMmxrZEdnbE1qSWxNMEV4TGpVbE4wUWxNa01sTWpKamFHbHNaSEpsYmlVeU1pVXpRU1UxUWlVMVJDVXlReVV5TW5KbGMybDZaVVJwY2lVeU1pVXpRU1UxUWlVeU1uUnNKVEl5SlRKREpUSXlkSElsTWpJbE1rTWxNakppY2lVeU1pVXlReVV5TW1Kc0pUSXlKVEpESlRJeWJDVXlNaVV5UXlVeU1uUWxNaklsTWtNbE1qSnlKVEl5SlRKREpUSXlZaVV5TWlVMVJDVXlReVV5TW01aGJXVWxNaklsTTBFbE1qSndjbTlqWlhOekpUSXlKVEpESlRJeVptbHNiRk4wZVd4bEpUSXlKVE5CSlRkQ0pUZEVKVEpESlRJeWRHaGxiV1VsTWpJbE0wRWxOMElsTjBRbE1rTWxNakpwWkNVeU1pVXpRU1V5TW5GcGRrSnhWSE5VZFZVM016ZzNNek1sTWpJbE1rTWxNakpoZEhSeWFXSjFkR1VsTWpJbE0wRWxOMElsTWpKamIyNTBZV2x1WlhJbE1qSWxNMEZtWVd4elpTVXlReVV5TW5KdmRHRjBZV0pzWlNVeU1pVXpRWFJ5ZFdVbE1rTWxNakoyYVhOcFlteGxKVEl5SlROQmRISjFaU1V5UXlVeU1tWnBlR1ZrVEdsdWF5VXlNaVV6UVdaaGJITmxKVEpESlRJeVkyOXNiR0Z3YzJGaWJHVWxNaklsTTBGbVlXeHpaU1V5UXlVeU1tTnZiR3hoY0hObFpDVXlNaVV6UVdaaGJITmxKVEpESlRJeWJHbHVhMkZpYkdVbE1qSWxNMEYwY25WbEpUSkRKVEl5YldGeWEyVnlUMlptYzJWMEpUSXlKVE5CTlNVM1JDVXlReVV5TW1OaGRHVm5iM0o1SlRJeUpUTkJKVEl5Wm14dmR5VXlNaVUzUkNVeVF5VXlNbTlzVVhKSVdHNXJVMG80TnpBek9EY2xNaklsTTBFbE4wSWxNakpzYVc1ckpUSXlKVE5CSlRJeUpUSXlKVEpESlRJeWMyaGhjR1ZUZEhsc1pTVXlNaVV6UVNVM1FpVXlNbUZzY0doaEpUSXlKVE5CTVNVM1JDVXlReVV5TW5SbGVIUkNiRzlqYXlVeU1pVXpRU1UxUWlVM1FpVXlNbkJ2YzJsMGFXOXVKVEl5SlROQkpUZENKVEl5ZHlVeU1pVXpRU1V5TW5jdE1qQWxNaklsTWtNbE1qSjRKVEl5SlROQk1UQWxNa01sTWpKb0pUSXlKVE5CSlRJeWFDVXlNaVV5UXlVeU1ua2xNaklsTTBFd0pUZEVKVEpESlRJeWRHVjRkQ1V5TWlVelFTVXlNaVZGT0NWQk1pVTRRaVZGTlNWQ1F5VTRSaVZGT1NVNU9TVkJOQ1ZGTlNWQ01DVTVPQ1ZGTlNVNU9TVkJPQ1V5TWlVM1JDVTFSQ1V5UXlVeU1tRnVZMmh2Y25NbE1qSWxNMEVsTlVJbE4wSWxNako0SlRJeUpUTkJKVEl5ZHlVeVJqSWxNaklsTWtNbE1qSjVKVEl5SlROQkpUSXlNQ1V5TWlVM1JDVXlReVUzUWlVeU1uZ2xNaklsTTBFbE1qSjNKVEpHTWlVeU1pVXlReVV5TW5rbE1qSWxNMEVsTWpKb0pUSXlKVGRFSlRKREpUZENKVEl5ZUNVeU1pVXpRU1V5TWpBbE1qSWxNa01sTWpKNUpUSXlKVE5CSlRJeWFDVXlSaklsTWpJbE4wUWxNa01sTjBJbE1qSjRKVEl5SlROQkpUSXlkeVV5TWlVeVF5VXlNbmtsTWpJbE0wRWxNakpvSlRKR01pVXlNaVUzUkNVMVJDVXlReVV5TW5ScGRHeGxKVEl5SlROQkpUSXlKVEl5SlRKREpUSXlabTl1ZEZOMGVXeGxKVEl5SlROQkpUZENKVGRFSlRKREpUSXlaR0YwWVVGMGRISnBZblYwWlhNbE1qSWxNMEVsTlVJbE5VUWxNa01sTWpKd2NtOXdjeVV5TWlVelFTVTNRaVV5TW5wcGJtUmxlQ1V5TWlVelFURTFKVEpESlRJeWR5VXlNaVV6UVRFeU5TVXlReVV5TW5nbE1qSWxNMEUxTWpRdU9UTTVNakE0T1RnME16YzFKVEpESlRJeWFDVXlNaVV6UVRVd0pUSkRKVEl5ZVNVeU1pVXpRVFkxTUNVeVF5VXlNbUZ1WjJ4bEpUSXlKVE5CTUNVM1JDVXlReVV5TW5CaGRHZ2xNaklsTTBFbE5VSWxOMElsTWpKaFkzUnBiMjV6SlRJeUpUTkJKVFZDSlRkQ0pUSXllQ1V5TWlVelFTVXlNakFsTWpJbE1rTWxNakpoWTNScGIyNGxNaklsTTBFbE1qSnRiM1psSlRJeUpUSkRKVEl5ZVNVeU1pVXpRU1V5TWpBbE1qSWxOMFFsTWtNbE4wSWxNako0SlRJeUpUTkJKVEl5ZHlVeU1pVXlReVV5TW1GamRHbHZiaVV5TWlVelFTVXlNbXhwYm1VbE1qSWxNa01sTWpKNUpUSXlKVE5CSlRJeU1DVXlNaVUzUkNVeVF5VTNRaVV5TW5nbE1qSWxNMEVsTWpKM0pUSXlKVEpESlRJeVlXTjBhVzl1SlRJeUpUTkJKVEl5YkdsdVpTVXlNaVV5UXlVeU1ua2xNaklsTTBFbE1qSm9KVEl5SlRkRUpUSkRKVGRDSlRJeWVDVXlNaVV6UVNVeU1qQWxNaklsTWtNbE1qSmhZM1JwYjI0bE1qSWxNMEVsTWpKc2FXNWxKVEl5SlRKREpUSXllU1V5TWlVelFTVXlNbWdsTWpJbE4wUWxNa01sTjBJbE1qSmhZM1JwYjI0bE1qSWxNMEVsTWpKamJHOXpaU1V5TWlVM1JDVTFSQ1UzUkNVMVJDVXlReVV5TW14cGJtVlRkSGxzWlNVeU1pVXpRU1UzUWlVeU1uSnZkVzVrYVc1bkpUSXlKVE5CTkNVeVF5VXlNbXhwYm1WWGFXUjBhQ1V5TWlVelFURXVOU1UzUkNVeVF5VXlNbU5vYVd4a2NtVnVKVEl5SlROQkpUVkNKVFZFSlRKREpUSXljbVZ6YVhwbFJHbHlKVEl5SlROQkpUVkNKVEl5ZEd3bE1qSWxNa01sTWpKMGNpVXlNaVV5UXlVeU1tSnlKVEl5SlRKREpUSXlZbXdsTWpJbE1rTWxNakpzSlRJeUpUSkRKVEl5ZENVeU1pVXlReVV5TW5JbE1qSWxNa01sTWpKaUpUSXlKVFZFSlRKREpUSXlibUZ0WlNVeU1pVXpRU1V5TW5CeWIyTmxjM01sTWpJbE1rTWxNakptYVd4c1UzUjViR1VsTWpJbE0wRWxOMElsTjBRbE1rTWxNakowYUdWdFpTVXlNaVV6UVNVM1FpVTNSQ1V5UXlVeU1tbGtKVEl5SlROQkpUSXliMnhSY2toWWJtdFRTamczTURNNE55VXlNaVV5UXlVeU1tRjBkSEpwWW5WMFpTVXlNaVV6UVNVM1FpVXlNbU52Ym5SaGFXNWxjaVV5TWlVelFXWmhiSE5sSlRKREpUSXljbTkwWVhSaFlteGxKVEl5SlROQmRISjFaU1V5UXlVeU1uWnBjMmxpYkdVbE1qSWxNMEYwY25WbEpUSkRKVEl5Wm1sNFpXUk1hVzVySlRJeUpUTkJabUZzYzJVbE1rTWxNakpqYjJ4c1lYQnpZV0pzWlNVeU1pVXpRV1poYkhObEpUSkRKVEl5WTI5c2JHRndjMlZrSlRJeUpUTkJabUZzYzJVbE1rTWxNakpzYVc1cllXSnNaU1V5TWlVelFYUnlkV1VsTWtNbE1qSnRZWEpyWlhKUFptWnpaWFFsTWpJbE0wRTFKVGRFSlRKREpUSXlZMkYwWldkdmNua2xNaklsTTBFbE1qSm1iRzkzSlRJeUpUZEVKVEpESlRJeWNIWm1lbko0VGtwUWR6RTBOVEU0TWlVeU1pVXpRU1UzUWlVeU1teHBibXNsTWpJbE0wRWxNaklsTWpJbE1rTWxNakp6YUdGd1pWTjBlV3hsSlRJeUpUTkJKVGRDSlRJeVlXeHdhR0VsTWpJbE0wRXhKVGRFSlRKREpUSXlkR1Y0ZEVKc2IyTnJKVEl5SlROQkpUVkNKVGRDSlRJeWNHOXphWFJwYjI0bE1qSWxNMEVsTjBJbE1qSjNKVEl5SlROQkpUSXlkeTB5TUNVeU1pVXlReVV5TW5nbE1qSWxNMEV4TUNVeVF5VXlNbWdsTWpJbE0wRWxNakpvSlRJeUpUSkRKVEl5ZVNVeU1pVXpRVEFsTjBRbE1rTWxNakowWlhoMEpUSXlKVE5CSlRJeUpVVTVKVGcxSlRoRUpVVTJKVGsySlRrNUpVVTFKVUZGSlVFMEpVVTFKVUpCSlRsR0pVVTJKVUl3SlRrMEpUSXlKVGRFSlRWRUpUSkRKVEl5WVc1amFHOXljeVV5TWlVelFTVTFRaVUzUWlVeU1uZ2xNaklsTTBFbE1qSjNKVEpHTWlVeU1pVXlReVV5TW5rbE1qSWxNMEVsTWpJd0pUSXlKVGRFSlRKREpUZENKVEl5ZUNVeU1pVXpRU1V5TW5jbE1rWXlKVEl5SlRKREpUSXllU1V5TWlVelFTVXlNbWdsTWpJbE4wUWxNa01sTjBJbE1qSjRKVEl5SlROQkpUSXlNQ1V5TWlVeVF5VXlNbmtsTWpJbE0wRWxNakpvSlRKR01pVXlNaVUzUkNVeVF5VTNRaVV5TW5nbE1qSWxNMEVsTWpKM0pUSXlKVEpESlRJeWVTVXlNaVV6UVNVeU1tZ2xNa1l5SlRJeUpUZEVKVFZFSlRKREpUSXlkR2wwYkdVbE1qSWxNMEVsTWpJbE1qSWxNa01sTWpKbWIyNTBVM1I1YkdVbE1qSWxNMEVsTjBJbE4wUWxNa01sTWpKa1lYUmhRWFIwY21saWRYUmxjeVV5TWlVelFTVTFRaVUxUkNVeVF5VXlNbkJ5YjNCekpUSXlKVE5CSlRkQ0pUSXllbWx1WkdWNEpUSXlKVE5CTVNVeVF5VXlNbmNsTWpJbE0wRXhNalVsTWtNbE1qSjRKVEl5SlROQk1Ua3VOU1V5UXlVeU1tZ2xNaklsTTBFMU1DVXlReVV5TW5rbE1qSWxNMEV5TURBbE1rTWxNakpoYm1kc1pTVXlNaVV6UVRBbE4wUWxNa01sTWpKd1lYUm9KVEl5SlROQkpUVkNKVGRDSlRJeVlXTjBhVzl1Y3lVeU1pVXpRU1UxUWlVM1FpVXlNbmdsTWpJbE0wRWxNakl3SlRJeUpUSkRKVEl5WVdOMGFXOXVKVEl5SlROQkpUSXliVzkyWlNVeU1pVXlReVV5TW5rbE1qSWxNMEVsTWpJd0pUSXlKVGRFSlRKREpUZENKVEl5ZUNVeU1pVXpRU1V5TW5jbE1qSWxNa01sTWpKaFkzUnBiMjRsTWpJbE0wRWxNakpzYVc1bEpUSXlKVEpESlRJeWVTVXlNaVV6UVNVeU1qQWxNaklsTjBRbE1rTWxOMElsTWpKNEpUSXlKVE5CSlRJeWR5VXlNaVV5UXlVeU1tRmpkR2x2YmlVeU1pVXpRU1V5TW14cGJtVWxNaklsTWtNbE1qSjVKVEl5SlROQkpUSXlhQ1V5TWlVM1JDVXlReVUzUWlVeU1uZ2xNaklsTTBFbE1qSXdKVEl5SlRKREpUSXlZV04wYVc5dUpUSXlKVE5CSlRJeWJHbHVaU1V5TWlVeVF5VXlNbmtsTWpJbE0wRWxNakpvSlRJeUpUZEVKVEpESlRkQ0pUSXlZV04wYVc5dUpUSXlKVE5CSlRJeVkyeHZjMlVsTWpJbE4wUWxOVVFsTjBRbE5VUWxNa01sTWpKc2FXNWxVM1I1YkdVbE1qSWxNMEVsTjBJbE1qSnliM1Z1WkdsdVp5VXlNaVV6UVRRbE1rTWxNakpzYVc1bFYybGtkR2dsTWpJbE0wRXhMalVsTjBRbE1rTWxNakpqYUdsc1pISmxiaVV5TWlVelFTVTFRaVUxUkNVeVF5VXlNbkpsYzJsNlpVUnBjaVV5TWlVelFTVTFRaVV5TW5Sc0pUSXlKVEpESlRJeWRISWxNaklsTWtNbE1qSmljaVV5TWlVeVF5VXlNbUpzSlRJeUpUSkRKVEl5YkNVeU1pVXlReVV5TW5RbE1qSWxNa01sTWpKeUpUSXlKVEpESlRJeVlpVXlNaVUxUkNVeVF5VXlNbTVoYldVbE1qSWxNMEVsTWpKd2NtOWpaWE56SlRJeUpUSkRKVEl5Wm1sc2JGTjBlV3hsSlRJeUpUTkJKVGRDSlRkRUpUSkRKVEl5ZEdobGJXVWxNaklsTTBFbE4wSWxOMFFsTWtNbE1qSnBaQ1V5TWlVelFTVXlNbkIyWm5weWVFNUtVSGN4TkRVeE9ESWxNaklsTWtNbE1qSmhkSFJ5YVdKMWRHVWxNaklsTTBFbE4wSWxNakpqYjI1MFlXbHVaWElsTWpJbE0wRm1ZV3h6WlNVeVF5VXlNbkp2ZEdGMFlXSnNaU1V5TWlVelFYUnlkV1VsTWtNbE1qSjJhWE5wWW14bEpUSXlKVE5CZEhKMVpTVXlReVV5TW1acGVHVmtUR2x1YXlVeU1pVXpRV1poYkhObEpUSkRKVEl5WTI5c2JHRndjMkZpYkdVbE1qSWxNMEZtWVd4elpTVXlReVV5TW1OdmJHeGhjSE5sWkNVeU1pVXpRV1poYkhObEpUSkRKVEl5YkdsdWEyRmliR1VsTWpJbE0wRjBjblZsSlRKREpUSXliV0Z5YTJWeVQyWm1jMlYwSlRJeUpUTkJOU1UzUkNVeVF5VXlNbU5oZEdWbmIzSjVKVEl5SlROQkpUSXlabXh2ZHlVeU1pVTNSQ1V5UXlVeU1taHVUVTE1Ym0xVmJYSXpORGM1TnpVbE1qSWxNMEVsTjBJbE1qSnNhVzVySlRJeUpUTkJKVEl5SlRJeUpUSkRKVEl5YzJoaGNHVlRkSGxzWlNVeU1pVXpRU1UzUWlVeU1tRnNjR2hoSlRJeUpUTkJNU1UzUkNVeVF5VXlNblJsZUhSQ2JHOWpheVV5TWlVelFTVTFRaVUzUWlVeU1uQnZjMmwwYVc5dUpUSXlKVE5CSlRkQ0pUSXlkeVV5TWlVelFTVXlNbmN0TWpBbE1qSWxNa01sTWpKNEpUSXlKVE5CTVRBbE1rTWxNakpvSlRJeUpUTkJKVEl5YUNVeU1pVXlReVV5TW5rbE1qSWxNMEV3SlRkRUpUSkRKVEl5ZEdWNGRDVXlNaVV6UVNVeU1pVkZOeVU0TXlWQk55VkZOeVZDUWlVNU15VkZOaVU1UXlWQ1FTVkZOU1ZCTkNWQ05DVkZOU1ZDUVNVNVJpVkZOaVZDTUNVNU5DVXlNaVUzUkNVMVJDVXlReVV5TW1GdVkyaHZjbk1sTWpJbE0wRWxOVUlsTjBJbE1qSjRKVEl5SlROQkpUSXlkeVV5UmpJbE1qSWxNa01sTWpKNUpUSXlKVE5CSlRJeU1DVXlNaVUzUkNVeVF5VTNRaVV5TW5nbE1qSWxNMEVsTWpKM0pUSkdNaVV5TWlVeVF5VXlNbmtsTWpJbE0wRWxNakpvSlRJeUpUZEVKVEpESlRkQ0pUSXllQ1V5TWlVelFTVXlNakFsTWpJbE1rTWxNako1SlRJeUpUTkJKVEl5YUNVeVJqSWxNaklsTjBRbE1rTWxOMElsTWpKNEpUSXlKVE5CSlRJeWR5VXlNaVV5UXlVeU1ua2xNaklsTTBFbE1qSm9KVEpHTWlVeU1pVTNSQ1UxUkNVeVF5VXlNblJwZEd4bEpUSXlKVE5CSlRJeUpUSXlKVEpESlRJeVptOXVkRk4wZVd4bEpUSXlKVE5CSlRkQ0pUZEVKVEpESlRJeVpHRjBZVUYwZEhKcFluVjBaWE1sTWpJbE0wRWxOVUlsTlVRbE1rTWxNakp3Y205d2N5VXlNaVV6UVNVM1FpVXlNbnBwYm1SbGVDVXlNaVV6UVRrbE1rTWxNakozSlRJeUpUTkJNVE00SlRKREpUSXllQ1V5TWlVelFURXpKVEpESlRJeWFDVXlNaVV6UVRVd0pUSkRKVEl5ZVNVeU1pVXpRVFV3TUNVeVF5VXlNbUZ1WjJ4bEpUSXlKVE5CTUNVM1JDVXlReVV5TW5CaGRHZ2xNaklsTTBFbE5VSWxOMElsTWpKaFkzUnBiMjV6SlRJeUpUTkJKVFZDSlRkQ0pUSXllQ1V5TWlVelFTVXlNakFsTWpJbE1rTWxNakpoWTNScGIyNGxNaklsTTBFbE1qSnRiM1psSlRJeUpUSkRKVEl5ZVNVeU1pVXpRU1V5TWpBbE1qSWxOMFFsTWtNbE4wSWxNako0SlRJeUpUTkJKVEl5ZHlVeU1pVXlReVV5TW1GamRHbHZiaVV5TWlVelFTVXlNbXhwYm1VbE1qSWxNa01sTWpKNUpUSXlKVE5CSlRJeU1DVXlNaVUzUkNVeVF5VTNRaVV5TW5nbE1qSWxNMEVsTWpKM0pUSXlKVEpESlRJeVlXTjBhVzl1SlRJeUpUTkJKVEl5YkdsdVpTVXlNaVV5UXlVeU1ua2xNaklsTTBFbE1qSm9KVEl5SlRkRUpUSkRKVGRDSlRJeWVDVXlNaVV6UVNVeU1qQWxNaklsTWtNbE1qSmhZM1JwYjI0bE1qSWxNMEVsTWpKc2FXNWxKVEl5SlRKREpUSXllU1V5TWlVelFTVXlNbWdsTWpJbE4wUWxNa01sTjBJbE1qSmhZM1JwYjI0bE1qSWxNMEVsTWpKamJHOXpaU1V5TWlVM1JDVTFSQ1UzUkNVMVJDVXlReVV5TW14cGJtVlRkSGxzWlNVeU1pVXpRU1UzUWlVeU1uSnZkVzVrYVc1bkpUSXlKVE5CTkNVeVF5VXlNbXhwYm1WWGFXUjBhQ1V5TWlVelFURXVOU1UzUkNVeVF5VXlNbU5vYVd4a2NtVnVKVEl5SlROQkpUVkNKVFZFSlRKREpUSXljbVZ6YVhwbFJHbHlKVEl5SlROQkpUVkNKVEl5ZEd3bE1qSWxNa01sTWpKMGNpVXlNaVV5UXlVeU1tSnlKVEl5SlRKREpUSXlZbXdsTWpJbE1rTWxNakpzSlRJeUpUSkRKVEl5ZENVeU1pVXlReVV5TW5JbE1qSWxNa01sTWpKaUpUSXlKVFZFSlRKREpUSXlibUZ0WlNVeU1pVXpRU1V5TW5CeWIyTmxjM01sTWpJbE1rTWxNakptYVd4c1UzUjViR1VsTWpJbE0wRWxOMElsTjBRbE1rTWxNakowYUdWdFpTVXlNaVV6UVNVM1FpVTNSQ1V5UXlVeU1tbGtKVEl5SlROQkpUSXlhRzVOVFhsdWJWVnRjak0wTnprM05TVXlNaVV5UXlVeU1tRjBkSEpwWW5WMFpTVXlNaVV6UVNVM1FpVXlNbU52Ym5SaGFXNWxjaVV5TWlVelFXWmhiSE5sSlRKREpUSXljbTkwWVhSaFlteGxKVEl5SlROQmRISjFaU1V5UXlVeU1uWnBjMmxpYkdVbE1qSWxNMEYwY25WbEpUSkRKVEl5Wm1sNFpXUk1hVzVySlRJeUpUTkJabUZzYzJVbE1rTWxNakpqYjJ4c1lYQnpZV0pzWlNVeU1pVXpRV1poYkhObEpUSkRKVEl5WTI5c2JHRndjMlZrSlRJeUpUTkJabUZzYzJVbE1rTWxNakpzYVc1cllXSnNaU1V5TWlVelFYUnlkV1VsTWtNbE1qSnRZWEpyWlhKUFptWnpaWFFsTWpJbE0wRTFKVGRFSlRKREpUSXlZMkYwWldkdmNua2xNaklsTTBFbE1qSm1iRzkzSlRJeUpUZEVKVEpESlRJeWJuSllUVU52ZEhoWVVqazBOalExTlNVeU1pVXpRU1UzUWlVeU1teHBibXNsTWpJbE0wRWxNaklsTWpJbE1rTWxNakp6YUdGd1pWTjBlV3hsSlRJeUpUTkJKVGRDSlRJeVlXeHdhR0VsTWpJbE0wRXhKVGRFSlRKREpUSXlkR1Y0ZEVKc2IyTnJKVEl5SlROQkpUVkNKVGRDSlRJeWNHOXphWFJwYjI0bE1qSWxNMEVsTjBJbE1qSjNKVEl5SlROQkpUSXlkeTB5TUNVeU1pVXlReVV5TW5nbE1qSWxNMEV4TUNVeVF5VXlNbWdsTWpJbE0wRWxNakpvSlRJeUpUSkRKVEl5ZVNVeU1pVXpRVEFsTjBRbE1rTWxNakowWlhoMEpUSXlKVE5CSlRJeUpVVTVKVGxDSlRnMkpVVTJKVUl3SlRrMEpVVTNKVUpFSlVFNUpUSkNKVVUxSlVGR0pUZzJKVVU1SlRrM0pVRkVKVVUzSlVGRkpVRXhKVVU1SlRneEpUa3pKVEl5SlRkRUpUVkVKVEpESlRJeVlXNWphRzl5Y3lVeU1pVXpRU1UxUWlVM1FpVXlNbmdsTWpJbE0wRWxNakozSlRKR01pVXlNaVV5UXlVeU1ua2xNaklsTTBFbE1qSXdKVEl5SlRkRUpUSkRKVGRDSlRJeWVDVXlNaVV6UVNVeU1uY2xNa1l5SlRJeUpUSkRKVEl5ZVNVeU1pVXpRU1V5TW1nbE1qSWxOMFFsTWtNbE4wSWxNako0SlRJeUpUTkJKVEl5TUNVeU1pVXlReVV5TW5rbE1qSWxNMEVsTWpKb0pUSkdNaVV5TWlVM1JDVXlReVUzUWlVeU1uZ2xNaklsTTBFbE1qSjNKVEl5SlRKREpUSXllU1V5TWlVelFTVXlNbWdsTWtZeUpUSXlKVGRFSlRWRUpUSkRKVEl5ZEdsMGJHVWxNaklsTTBFbE1qSWxNaklsTWtNbE1qSm1iMjUwVTNSNWJHVWxNaklsTTBFbE4wSWxOMFFsTWtNbE1qSmtZWFJoUVhSMGNtbGlkWFJsY3lVeU1pVXpRU1UxUWlVMVJDVXlReVV5TW5CeWIzQnpKVEl5SlROQkpUZENKVEl5ZW1sdVpHVjRKVEl5SlROQk1UQWxNa01sTWpKM0pUSXlKVE5CTVRZd0xqWTBNakE0T1RnME16YzFKVEpESlRJeWVDVXlNaVV6UVRJeE5pVXlReVV5TW1nbE1qSWxNMEUxTUNVeVF5VXlNbmtsTWpJbE0wRTFNREFsTWtNbE1qSmhibWRzWlNVeU1pVXpRVEFsTjBRbE1rTWxNakp3WVhSb0pUSXlKVE5CSlRWQ0pUZENKVEl5WVdOMGFXOXVjeVV5TWlVelFTVTFRaVUzUWlVeU1uZ2xNaklsTTBFbE1qSXdKVEl5SlRKREpUSXlZV04wYVc5dUpUSXlKVE5CSlRJeWJXOTJaU1V5TWlVeVF5VXlNbmtsTWpJbE0wRWxNakl3SlRJeUpUZEVKVEpESlRkQ0pUSXllQ1V5TWlVelFTVXlNbmNsTWpJbE1rTWxNakpoWTNScGIyNGxNaklsTTBFbE1qSnNhVzVsSlRJeUpUSkRKVEl5ZVNVeU1pVXpRU1V5TWpBbE1qSWxOMFFsTWtNbE4wSWxNako0SlRJeUpUTkJKVEl5ZHlVeU1pVXlReVV5TW1GamRHbHZiaVV5TWlVelFTVXlNbXhwYm1VbE1qSWxNa01sTWpKNUpUSXlKVE5CSlRJeWFDVXlNaVUzUkNVeVF5VTNRaVV5TW5nbE1qSWxNMEVsTWpJd0pUSXlKVEpESlRJeVlXTjBhVzl1SlRJeUpUTkJKVEl5YkdsdVpTVXlNaVV5UXlVeU1ua2xNaklsTTBFbE1qSm9KVEl5SlRkRUpUSkRKVGRDSlRJeVlXTjBhVzl1SlRJeUpUTkJKVEl5WTJ4dmMyVWxNaklsTjBRbE5VUWxOMFFsTlVRbE1rTWxNakpzYVc1bFUzUjViR1VsTWpJbE0wRWxOMElsTWpKeWIzVnVaR2x1WnlVeU1pVXpRVFFsTWtNbE1qSnNhVzVsVjJsa2RHZ2xNaklsTTBFeExqVWxOMFFsTWtNbE1qSmphR2xzWkhKbGJpVXlNaVV6UVNVMVFpVTFSQ1V5UXlVeU1uSmxjMmw2WlVScGNpVXlNaVV6UVNVMVFpVXlNblJzSlRJeUpUSkRKVEl5ZEhJbE1qSWxNa01sTWpKaWNpVXlNaVV5UXlVeU1tSnNKVEl5SlRKREpUSXliQ1V5TWlVeVF5VXlNblFsTWpJbE1rTWxNakp5SlRJeUpUSkRKVEl5WWlVeU1pVTFSQ1V5UXlVeU1tNWhiV1VsTWpJbE0wRWxNakp3Y205alpYTnpKVEl5SlRKREpUSXlabWxzYkZOMGVXeGxKVEl5SlROQkpUZENKVGRFSlRKREpUSXlkR2hsYldVbE1qSWxNMEVsTjBJbE4wUWxNa01sTWpKcFpDVXlNaVV6UVNVeU1tNXlXRTFEYjNSNFdGSTVORFkwTlRVbE1qSWxNa01sTWpKaGRIUnlhV0oxZEdVbE1qSWxNMEVsTjBJbE1qSmpiMjUwWVdsdVpYSWxNaklsTTBGbVlXeHpaU1V5UXlVeU1uSnZkR0YwWVdKc1pTVXlNaVV6UVhSeWRXVWxNa01sTWpKMmFYTnBZbXhsSlRJeUpUTkJkSEoxWlNVeVF5VXlNbVpwZUdWa1RHbHVheVV5TWlVelFXWmhiSE5sSlRKREpUSXlZMjlzYkdGd2MyRmliR1VsTWpJbE0wRm1ZV3h6WlNVeVF5VXlNbU52Ykd4aGNITmxaQ1V5TWlVelFXWmhiSE5sSlRKREpUSXliR2x1YTJGaWJHVWxNaklsTTBGMGNuVmxKVEpESlRJeWJXRnlhMlZ5VDJabWMyVjBKVEl5SlROQk5TVTNSQ1V5UXlVeU1tTmhkR1ZuYjNKNUpUSXlKVE5CSlRJeVpteHZkeVV5TWlVM1JDVXlReVV5TW5WT1VXeFFSMmhqVmxjME1UZzNPVEFsTWpJbE0wRWxOMElsTWpKc2FXNXJKVEl5SlROQkpUSXlKVEl5SlRKREpUSXljMmhoY0dWVGRIbHNaU1V5TWlVelFTVTNRaVV5TW1Gc2NHaGhKVEl5SlROQk1TVTNSQ1V5UXlVeU1uUmxlSFJDYkc5amF5VXlNaVV6UVNVMVFpVTNRaVV5TW5CdmMybDBhVzl1SlRJeUpUTkJKVGRDSlRJeWR5VXlNaVV6UVNVeU1uY3RNakFsTWpJbE1rTWxNako0SlRJeUpUTkJNVEFsTWtNbE1qSm9KVEl5SlROQkpUSXlhQ1V5TWlVeVF5VXlNbmtsTWpJbE0wRXdKVGRFSlRKREpUSXlkR1Y0ZENVeU1pVXpRU1V5TWlWRk5DVkNPQ1U0UWlWRk5pVTVOaVU1T1NWRk5TVkNRU1U1UmlWRk5pVkNNQ1U1TkNVeU1pVTNSQ1UxUkNVeVF5VXlNbUZ1WTJodmNuTWxNaklsTTBFbE5VSWxOMElsTWpKNEpUSXlKVE5CSlRJeWR5VXlSaklsTWpJbE1rTWxNako1SlRJeUpUTkJKVEl5TUNVeU1pVTNSQ1V5UXlVM1FpVXlNbmdsTWpJbE0wRWxNakozSlRKR01pVXlNaVV5UXlVeU1ua2xNaklsTTBFbE1qSm9KVEl5SlRkRUpUSkRKVGRDSlRJeWVDVXlNaVV6UVNVeU1qQWxNaklsTWtNbE1qSjVKVEl5SlROQkpUSXlhQ1V5UmpJbE1qSWxOMFFsTWtNbE4wSWxNako0SlRJeUpUTkJKVEl5ZHlVeU1pVXlReVV5TW5rbE1qSWxNMEVsTWpKb0pUSkdNaVV5TWlVM1JDVTFSQ1V5UXlVeU1uUnBkR3hsSlRJeUpUTkJKVEl5SlRJeUpUSkRKVEl5Wm05dWRGTjBlV3hsSlRJeUpUTkJKVGRDSlRkRUpUSkRKVEl5WkdGMFlVRjBkSEpwWW5WMFpYTWxNaklsTTBFbE5VSWxOVVFsTWtNbE1qSndjbTl3Y3lVeU1pVXpRU1UzUWlVeU1ucHBibVJsZUNVeU1pVXpRVEl4SlRKREpUSXlkeVV5TWlVelFURXhNaVV5UXlVeU1uZ2xNaklsTTBFeU5pVXlReVV5TW1nbE1qSWxNMEUxTUNVeVF5VXlNbmtsTWpJbE0wRTVOVEFsTWtNbE1qSmhibWRzWlNVeU1pVXpRVEFsTjBRbE1rTWxNakp3WVhSb0pUSXlKVE5CSlRWQ0pUZENKVEl5WVdOMGFXOXVjeVV5TWlVelFTVTFRaVUzUWlVeU1uZ2xNaklsTTBFbE1qSXdKVEl5SlRKREpUSXlZV04wYVc5dUpUSXlKVE5CSlRJeWJXOTJaU1V5TWlVeVF5VXlNbmtsTWpJbE0wRWxNakl3SlRJeUpUZEVKVEpESlRkQ0pUSXllQ1V5TWlVelFTVXlNbmNsTWpJbE1rTWxNakpoWTNScGIyNGxNaklsTTBFbE1qSnNhVzVsSlRJeUpUSkRKVEl5ZVNVeU1pVXpRU1V5TWpBbE1qSWxOMFFsTWtNbE4wSWxNako0SlRJeUpUTkJKVEl5ZHlVeU1pVXlReVV5TW1GamRHbHZiaVV5TWlVelFTVXlNbXhwYm1VbE1qSWxNa01sTWpKNUpUSXlKVE5CSlRJeWFDVXlNaVUzUkNVeVF5VTNRaVV5TW5nbE1qSWxNMEVsTWpJd0pUSXlKVEpESlRJeVlXTjBhVzl1SlRJeUpUTkJKVEl5YkdsdVpTVXlNaVV5UXlVeU1ua2xNaklsTTBFbE1qSm9KVEl5SlRkRUpUSkRKVGRDSlRJeVlXTjBhVzl1SlRJeUpUTkJKVEl5WTJ4dmMyVWxNaklsTjBRbE5VUWxOMFFsTlVRbE1rTWxNakpzYVc1bFUzUjViR1VsTWpJbE0wRWxOMElsTWpKeWIzVnVaR2x1WnlVeU1pVXpRVFFsTWtNbE1qSnNhVzVsVjJsa2RHZ2xNaklsTTBFeExqVWxOMFFsTWtNbE1qSmphR2xzWkhKbGJpVXlNaVV6UVNVMVFpVTFSQ1V5UXlVeU1uSmxjMmw2WlVScGNpVXlNaVV6UVNVMVFpVXlNblJzSlRJeUpUSkRKVEl5ZEhJbE1qSWxNa01sTWpKaWNpVXlNaVV5UXlVeU1tSnNKVEl5SlRKREpUSXliQ1V5TWlVeVF5VXlNblFsTWpJbE1rTWxNakp5SlRJeUpUSkRKVEl5WWlVeU1pVTFSQ1V5UXlVeU1tNWhiV1VsTWpJbE0wRWxNakp3Y205alpYTnpKVEl5SlRKREpUSXlabWxzYkZOMGVXeGxKVEl5SlROQkpUZENKVGRFSlRKREpUSXlkR2hsYldVbE1qSWxNMEVsTjBJbE4wUWxNa01sTWpKcFpDVXlNaVV6UVNVeU1uVk9VV3hRUjJoalZsYzBNVGczT1RBbE1qSWxNa01sTWpKaGRIUnlhV0oxZEdVbE1qSWxNMEVsTjBJbE1qSmpiMjUwWVdsdVpYSWxNaklsTTBGbVlXeHpaU1V5UXlVeU1uSnZkR0YwWVdKc1pTVXlNaVV6UVhSeWRXVWxNa01sTWpKMmFYTnBZbXhsSlRJeUpUTkJkSEoxWlNVeVF5VXlNbVpwZUdWa1RHbHVheVV5TWlVelFXWmhiSE5sSlRKREpUSXlZMjlzYkdGd2MyRmliR1VsTWpJbE0wRm1ZV3h6WlNVeVF5VXlNbU52Ykd4aGNITmxaQ1V5TWlVelFXWmhiSE5sSlRKREpUSXliR2x1YTJGaWJHVWxNaklsTTBGMGNuVmxKVEpESlRJeWJXRnlhMlZ5VDJabWMyVjBKVEl5SlROQk5TVTNSQ1V5UXlVeU1tTmhkR1ZuYjNKNUpUSXlKVE5CSlRJeVpteHZkeVV5TWlVM1JDVXlReVV5TWxOMVJYcG5SbGxJWkdjeU16UXhNelFsTWpJbE0wRWxOMElsTWpKc2FXNXJKVEl5SlROQkpUSXlKVEl5SlRKREpUSXljMmhoY0dWVGRIbHNaU1V5TWlVelFTVTNRaVV5TW1Gc2NHaGhKVEl5SlROQk1TVTNSQ1V5UXlVeU1uUmxlSFJDYkc5amF5VXlNaVV6UVNVMVFpVTNRaVV5TW5CdmMybDBhVzl1SlRJeUpUTkJKVGRDSlRJeWR5VXlNaVV6UVNVeU1uY3RNakFsTWpJbE1rTWxNako0SlRJeUpUTkJNVEFsTWtNbE1qSm9KVEl5SlROQkpUSXlhQ1V5TWlVeVF5VXlNbmtsTWpJbE0wRXdKVGRFSlRKREpUSXlkR1Y0ZENVeU1pVXpRU1V5TWpjd2JTVkZOaVU0UlNVNU1pVkZOaVZDTUNVNU5DVkZOeVZCUkNVNU1pVXlNRVJCTURFeEpUSXlKVGRFSlRWRUpUSkRKVEl5WVc1amFHOXljeVV5TWlVelFTVTFRaVUzUWlVeU1uZ2xNaklsTTBFbE1qSjNKVEpHTWlVeU1pVXlReVV5TW5rbE1qSWxNMEVsTWpJd0pUSXlKVGRFSlRKREpUZENKVEl5ZUNVeU1pVXpRU1V5TW5jbE1rWXlKVEl5SlRKREpUSXllU1V5TWlVelFTVXlNbWdsTWpJbE4wUWxNa01sTjBJbE1qSjRKVEl5SlROQkpUSXlNQ1V5TWlVeVF5VXlNbmtsTWpJbE0wRWxNakpvSlRKR01pVXlNaVUzUkNVeVF5VTNRaVV5TW5nbE1qSWxNMEVsTWpKM0pUSXlKVEpESlRJeWVTVXlNaVV6UVNVeU1tZ2xNa1l5SlRJeUpUZEVKVFZFSlRKREpUSXlkR2wwYkdVbE1qSWxNMEVsTWpJbE1qSWxNa01sTWpKbWIyNTBVM1I1YkdVbE1qSWxNMEVsTjBJbE4wUWxNa01sTWpKa1lYUmhRWFIwY21saWRYUmxjeVV5TWlVelFTVTFRaVUxUkNVeVF5VXlNbkJ5YjNCekpUSXlKVE5CSlRkQ0pUSXllbWx1WkdWNEpUSXlKVE5CTXpZbE1rTWxNakozSlRJeUpUTkJNVGN4TGprMk5qTXdPRFU1TXpjMUpUSkRKVEl5ZUNVeU1pVXpRVGM1T0M0eU16WXpNamd4TWpVbE1rTWxNakpvSlRJeUpUTkJOVEFsTWtNbE1qSjVKVEl5SlROQk1UVTFNQ1V5UXlVeU1tRnVaMnhsSlRJeUpUTkJNQ1UzUkNVeVF5VXlNbkJoZEdnbE1qSWxNMEVsTlVJbE4wSWxNakpoWTNScGIyNXpKVEl5SlROQkpUVkNKVGRDSlRJeWVDVXlNaVV6UVNVeU1qQWxNaklsTWtNbE1qSmhZM1JwYjI0bE1qSWxNMEVsTWpKdGIzWmxKVEl5SlRKREpUSXllU1V5TWlVelFTVXlNakFsTWpJbE4wUWxNa01sTjBJbE1qSjRKVEl5SlROQkpUSXlkeVV5TWlVeVF5VXlNbUZqZEdsdmJpVXlNaVV6UVNVeU1teHBibVVsTWpJbE1rTWxNako1SlRJeUpUTkJKVEl5TUNVeU1pVTNSQ1V5UXlVM1FpVXlNbmdsTWpJbE0wRWxNakozSlRJeUpUSkRKVEl5WVdOMGFXOXVKVEl5SlROQkpUSXliR2x1WlNVeU1pVXlReVV5TW5rbE1qSWxNMEVsTWpKb0pUSXlKVGRFSlRKREpUZENKVEl5ZUNVeU1pVXpRU1V5TWpBbE1qSWxNa01sTWpKaFkzUnBiMjRsTWpJbE0wRWxNakpzYVc1bEpUSXlKVEpESlRJeWVTVXlNaVV6UVNVeU1tZ2xNaklsTjBRbE1rTWxOMElsTWpKaFkzUnBiMjRsTWpJbE0wRWxNakpqYkc5elpTVXlNaVUzUkNVMVJDVTNSQ1UxUkNVeVF5VXlNbXhwYm1WVGRIbHNaU1V5TWlVelFTVTNRaVV5TW5KdmRXNWthVzVuSlRJeUpUTkJOQ1V5UXlVeU1teHBibVZYYVdSMGFDVXlNaVV6UVRFdU5TVTNSQ1V5UXlVeU1tTm9hV3hrY21WdUpUSXlKVE5CSlRWQ0pUVkVKVEpESlRJeWNtVnphWHBsUkdseUpUSXlKVE5CSlRWQ0pUSXlkR3dsTWpJbE1rTWxNakowY2lVeU1pVXlReVV5TW1KeUpUSXlKVEpESlRJeVltd2xNaklsTWtNbE1qSnNKVEl5SlRKREpUSXlkQ1V5TWlVeVF5VXlNbklsTWpJbE1rTWxNakppSlRJeUpUVkVKVEpESlRJeWJtRnRaU1V5TWlVelFTVXlNbkJ5YjJObGMzTWxNaklsTWtNbE1qSm1hV3hzVTNSNWJHVWxNaklsTTBFbE4wSWxOMFFsTWtNbE1qSjBhR1Z0WlNVeU1pVXpRU1UzUWlVM1JDVXlReVV5TW1sa0pUSXlKVE5CSlRJeVUzVkZlbWRHV1Voa1p6SXpOREV6TkNVeU1pVXlReVV5TW1GMGRISnBZblYwWlNVeU1pVXpRU1UzUWlVeU1tTnZiblJoYVc1bGNpVXlNaVV6UVdaaGJITmxKVEpESlRJeWNtOTBZWFJoWW14bEpUSXlKVE5CZEhKMVpTVXlReVV5TW5acGMybGliR1VsTWpJbE0wRjBjblZsSlRKREpUSXlabWw0WldSTWFXNXJKVEl5SlROQlptRnNjMlVsTWtNbE1qSmpiMnhzWVhCellXSnNaU1V5TWlVelFXWmhiSE5sSlRKREpUSXlZMjlzYkdGd2MyVmtKVEl5SlROQlptRnNjMlVsTWtNbE1qSnNhVzVyWVdKc1pTVXlNaVV6UVhSeWRXVWxNa01sTWpKdFlYSnJaWEpQWm1aelpYUWxNaklsTTBFMUpUZEVKVEpESlRJeVkyRjBaV2R2Y25rbE1qSWxNMEVsTWpKbWJHOTNKVEl5SlRkRUpUSkRKVEl5U1hCVFJXdDJSVWQwVWpZME1URTNOeVV5TWlVelFTVTNRaVV5TW14cGJtc2xNaklsTTBFbE1qSWxNaklsTWtNbE1qSnphR0Z3WlZOMGVXeGxKVEl5SlROQkpUZENKVEl5WVd4d2FHRWxNaklsTTBFeEpUZEVKVEpESlRJeWRHVjRkRUpzYjJOckpUSXlKVE5CSlRWQ0pUZENKVEl5Y0c5emFYUnBiMjRsTWpJbE0wRWxOMElsTWpKM0pUSXlKVE5CSlRJeWR5MHlNQ1V5TWlVeVF5VXlNbmdsTWpJbE0wRXhNQ1V5UXlVeU1tZ2xNaklsTTBFbE1qSm9KVEl5SlRKREpUSXllU1V5TWlVelFUQWxOMFFsTWtNbE1qSjBaWGgwSlRJeUpUTkJKVEl5TXpCdEpVVTJKVGhGSlRreUpVVTJKVUl3SlRrMEpVVTNKVUZFSlRreUpUSXdSRUV3TURNbE1qSWxOMFFsTlVRbE1rTWxNakpoYm1Ob2IzSnpKVEl5SlROQkpUVkNKVGRDSlRJeWVDVXlNaVV6UVNVeU1uY2xNa1l5SlRJeUpUSkRKVEl5ZVNVeU1pVXpRU1V5TWpBbE1qSWxOMFFsTWtNbE4wSWxNako0SlRJeUpUTkJKVEl5ZHlVeVJqSWxNaklsTWtNbE1qSjVKVEl5SlROQkpUSXlhQ1V5TWlVM1JDVXlReVUzUWlVeU1uZ2xNaklsTTBFbE1qSXdKVEl5SlRKREpUSXllU1V5TWlVelFTVXlNbWdsTWtZeUpUSXlKVGRFSlRKREpUZENKVEl5ZUNVeU1pVXpRU1V5TW5jbE1qSWxNa01sTWpKNUpUSXlKVE5CSlRJeWFDVXlSaklsTWpJbE4wUWxOVVFsTWtNbE1qSjBhWFJzWlNVeU1pVXpRU1V5TWlVeU1pVXlReVV5TW1admJuUlRkSGxzWlNVeU1pVXpRU1UzUWlVM1JDVXlReVV5TW1SaGRHRkJkSFJ5YVdKMWRHVnpKVEl5SlROQkpUVkNKVFZFSlRKREpUSXljSEp2Y0hNbE1qSWxNMEVsTjBJbE1qSjZhVzVrWlhnbE1qSWxNMEUwSlRKREpUSXlkeVV5TWlVelFURTNNUzQ1TmpZek1EZzFPVE0zTlNVeVF5VXlNbmdsTWpJbE0wRTNPVGd1TWpNMk16STRNVEkxSlRKREpUSXlhQ1V5TWlVelFUVXdKVEpESlRJeWVTVXlNaVV6UVRJd01DVXlReVV5TW1GdVoyeGxKVEl5SlROQk1DVTNSQ1V5UXlVeU1uQmhkR2dsTWpJbE0wRWxOVUlsTjBJbE1qSmhZM1JwYjI1ekpUSXlKVE5CSlRWQ0pUZENKVEl5ZUNVeU1pVXpRU1V5TWpBbE1qSWxNa01sTWpKaFkzUnBiMjRsTWpJbE0wRWxNakp0YjNabEpUSXlKVEpESlRJeWVTVXlNaVV6UVNVeU1qQWxNaklsTjBRbE1rTWxOMElsTWpKNEpUSXlKVE5CSlRJeWR5VXlNaVV5UXlVeU1tRmpkR2x2YmlVeU1pVXpRU1V5TW14cGJtVWxNaklsTWtNbE1qSjVKVEl5SlROQkpUSXlNQ1V5TWlVM1JDVXlReVUzUWlVeU1uZ2xNaklsTTBFbE1qSjNKVEl5SlRKREpUSXlZV04wYVc5dUpUSXlKVE5CSlRJeWJHbHVaU1V5TWlVeVF5VXlNbmtsTWpJbE0wRWxNakpvSlRJeUpUZEVKVEpESlRkQ0pUSXllQ1V5TWlVelFTVXlNakFsTWpJbE1rTWxNakpoWTNScGIyNGxNaklsTTBFbE1qSnNhVzVsSlRJeUpUSkRKVEl5ZVNVeU1pVXpRU1V5TW1nbE1qSWxOMFFsTWtNbE4wSWxNakpoWTNScGIyNGxNaklsTTBFbE1qSmpiRzl6WlNVeU1pVTNSQ1UxUkNVM1JDVTFSQ1V5UXlVeU1teHBibVZUZEhsc1pTVXlNaVV6UVNVM1FpVXlNbkp2ZFc1a2FXNW5KVEl5SlROQk5DVXlReVV5TW14cGJtVlhhV1IwYUNVeU1pVXpRVEV1TlNVM1JDVXlReVV5TW1Ob2FXeGtjbVZ1SlRJeUpUTkJKVFZDSlRWRUpUSkRKVEl5Y21WemFYcGxSR2x5SlRJeUpUTkJKVFZDSlRJeWRHd2xNaklsTWtNbE1qSjBjaVV5TWlVeVF5VXlNbUp5SlRJeUpUSkRKVEl5WW13bE1qSWxNa01sTWpKc0pUSXlKVEpESlRJeWRDVXlNaVV5UXlVeU1uSWxNaklsTWtNbE1qSmlKVEl5SlRWRUpUSkRKVEl5Ym1GdFpTVXlNaVV6UVNVeU1uQnliMk5sYzNNbE1qSWxNa01sTWpKbWFXeHNVM1I1YkdVbE1qSWxNMEVsTjBJbE4wUWxNa01sTWpKMGFHVnRaU1V5TWlVelFTVTNRaVUzUkNVeVF5VXlNbWxrSlRJeUpUTkJKVEl5U1hCVFJXdDJSVWQwVWpZME1URTNOeVV5TWlVeVF5VXlNbUYwZEhKcFluVjBaU1V5TWlVelFTVTNRaVV5TW1OdmJuUmhhVzVsY2lVeU1pVXpRV1poYkhObEpUSkRKVEl5Y205MFlYUmhZbXhsSlRJeUpUTkJkSEoxWlNVeVF5VXlNblpwYzJsaWJHVWxNaklsTTBGMGNuVmxKVEpESlRJeVptbDRaV1JNYVc1ckpUSXlKVE5CWm1Gc2MyVWxNa01sTWpKamIyeHNZWEJ6WVdKc1pTVXlNaVV6UVdaaGJITmxKVEpESlRJeVkyOXNiR0Z3YzJWa0pUSXlKVE5CWm1Gc2MyVWxNa01sTWpKc2FXNXJZV0pzWlNVeU1pVXpRWFJ5ZFdVbE1rTWxNakp0WVhKclpYSlBabVp6WlhRbE1qSWxNMEUxSlRkRUpUSkRKVEl5WTJGMFpXZHZjbmtsTWpJbE0wRWxNakptYkc5M0pUSXlKVGRFSlRKREpUSXlZbXBFUmtsWWNFSkNZekE1TlRNd015VXlNaVV6UVNVM1FpVXlNbXhwYm1zbE1qSWxNMEVsTWpJbE1qSWxNa01sTWpKemFHRndaVk4wZVd4bEpUSXlKVE5CSlRkQ0pUSXlZV3h3YUdFbE1qSWxNMEV4SlRkRUpUSkRKVEl5ZEdWNGRFSnNiMk5ySlRJeUpUTkJKVFZDSlRkQ0pUSXljRzl6YVhScGIyNGxNaklsTTBFbE4wSWxNakozSlRJeUpUTkJKVEl5ZHkweU1DVXlNaVV5UXlVeU1uZ2xNaklsTTBFeE1DVXlReVV5TW1nbE1qSWxNMEVsTWpKb0pUSXlKVEpESlRJeWVTVXlNaVV6UVRBbE4wUWxNa01sTWpKMFpYaDBKVEl5SlROQkpUSXlNekJ0SlVVMkpUaEZKVGt5SlVVMkpVSXdKVGswSlVVM0pVRkVKVGt5SlRJd1JFRXdNVFFsTWpJbE4wUWxOVVFsTWtNbE1qSmhibU5vYjNKekpUSXlKVE5CSlRWQ0pUZENKVEl5ZUNVeU1pVXpRU1V5TW5jbE1rWXlKVEl5SlRKREpUSXllU1V5TWlVelFTVXlNakFsTWpJbE4wUWxNa01sTjBJbE1qSjRKVEl5SlROQkpUSXlkeVV5UmpJbE1qSWxNa01sTWpKNUpUSXlKVE5CSlRJeWFDVXlNaVUzUkNVeVF5VTNRaVV5TW5nbE1qSWxNMEVsTWpJd0pUSXlKVEpESlRJeWVTVXlNaVV6UVNVeU1tZ2xNa1l5SlRJeUpUZEVKVEpESlRkQ0pUSXllQ1V5TWlVelFTVXlNbmNsTWpJbE1rTWxNako1SlRJeUpUTkJKVEl5YUNVeVJqSWxNaklsTjBRbE5VUWxNa01sTWpKMGFYUnNaU1V5TWlVelFTVXlNaVV5TWlVeVF5VXlNbVp2Ym5SVGRIbHNaU1V5TWlVelFTVTNRaVUzUkNVeVF5VXlNbVJoZEdGQmRIUnlhV0oxZEdWekpUSXlKVE5CSlRWQ0pUVkVKVEpESlRJeWNISnZjSE1sTWpJbE0wRWxOMElsTWpKNmFXNWtaWGdsTWpJbE0wRXpNaVV5UXlVeU1uY2xNaklsTTBFeE56RXVPVFkyTXpBNE5Ua3pOelVsTWtNbE1qSjRKVEl5SlROQk56azRMakl6TmpNeU9ERXlOU1V5UXlVeU1tZ2xNaklsTTBFMU1DVXlReVV5TW5rbE1qSWxNMEV4TXpNeEpUSkRKVEl5WVc1bmJHVWxNaklsTTBFd0pUZEVKVEpESlRJeWNHRjBhQ1V5TWlVelFTVTFRaVUzUWlVeU1tRmpkR2x2Ym5NbE1qSWxNMEVsTlVJbE4wSWxNako0SlRJeUpUTkJKVEl5TUNVeU1pVXlReVV5TW1GamRHbHZiaVV5TWlVelFTVXlNbTF2ZG1VbE1qSWxNa01sTWpKNUpUSXlKVE5CSlRJeU1DVXlNaVUzUkNVeVF5VTNRaVV5TW5nbE1qSWxNMEVsTWpKM0pUSXlKVEpESlRJeVlXTjBhVzl1SlRJeUpUTkJKVEl5YkdsdVpTVXlNaVV5UXlVeU1ua2xNaklsTTBFbE1qSXdKVEl5SlRkRUpUSkRKVGRDSlRJeWVDVXlNaVV6UVNVeU1uY2xNaklsTWtNbE1qSmhZM1JwYjI0bE1qSWxNMEVsTWpKc2FXNWxKVEl5SlRKREpUSXllU1V5TWlVelFTVXlNbWdsTWpJbE4wUWxNa01sTjBJbE1qSjRKVEl5SlROQkpUSXlNQ1V5TWlVeVF5VXlNbUZqZEdsdmJpVXlNaVV6UVNVeU1teHBibVVsTWpJbE1rTWxNako1SlRJeUpUTkJKVEl5YUNVeU1pVTNSQ1V5UXlVM1FpVXlNbUZqZEdsdmJpVXlNaVV6UVNVeU1tTnNiM05sSlRJeUpUZEVKVFZFSlRkRUpUVkVKVEpESlRJeWJHbHVaVk4wZVd4bEpUSXlKVE5CSlRkQ0pUSXljbTkxYm1ScGJtY2xNaklsTTBFMEpUSkRKVEl5YkdsdVpWZHBaSFJvSlRJeUpUTkJNUzQxSlRkRUpUSkRKVEl5WTJocGJHUnlaVzRsTWpJbE0wRWxOVUlsTlVRbE1rTWxNakp5WlhOcGVtVkVhWElsTWpJbE0wRWxOVUlsTWpKMGJDVXlNaVV5UXlVeU1uUnlKVEl5SlRKREpUSXlZbklsTWpJbE1rTWxNakppYkNVeU1pVXlReVV5TW13bE1qSWxNa01sTWpKMEpUSXlKVEpESlRJeWNpVXlNaVV5UXlVeU1tSWxNaklsTlVRbE1rTWxNakp1WVcxbEpUSXlKVE5CSlRJeWNISnZZMlZ6Y3lVeU1pVXlReVV5TW1acGJHeFRkSGxzWlNVeU1pVXpRU1UzUWlVM1JDVXlReVV5TW5Sb1pXMWxKVEl5SlROQkpUZENKVGRFSlRKREpUSXlhV1FsTWpJbE0wRWxNakppYWtSR1NWaHdRa0pqTURrMU16QXpKVEl5SlRKREpUSXlZWFIwY21saWRYUmxKVEl5SlROQkpUZENKVEl5WTI5dWRHRnBibVZ5SlRJeUpUTkJabUZzYzJVbE1rTWxNakp5YjNSaGRHRmliR1VsTWpJbE0wRjBjblZsSlRKREpUSXlkbWx6YVdKc1pTVXlNaVV6UVhSeWRXVWxNa01sTWpKbWFYaGxaRXhwYm1zbE1qSWxNMEZtWVd4elpTVXlReVV5TW1OdmJHeGhjSE5oWW14bEpUSXlKVE5CWm1Gc2MyVWxNa01sTWpKamIyeHNZWEJ6WldRbE1qSWxNMEZtWVd4elpTVXlReVV5TW14cGJtdGhZbXhsSlRJeUpUTkJkSEoxWlNVeVF5VXlNbTFoY210bGNrOW1abk5sZENVeU1pVXpRVFVsTjBRbE1rTWxNakpqWVhSbFoyOXllU1V5TWlVelFTVXlNbVpzYjNjbE1qSWxOMFFsTWtNbE1qSkdjVkZEWkdkRmJXVkNPRFUzTURVeUpUSXlKVE5CSlRkQ0pUSXliR2x1YXlVeU1pVXpRU1V5TWlVeU1pVXlReVV5TW5Ob1lYQmxVM1I1YkdVbE1qSWxNMEVsTjBJbE1qSmhiSEJvWVNVeU1pVXpRVEVsTjBRbE1rTWxNakowWlhoMFFteHZZMnNsTWpJbE0wRWxOVUlsTjBJbE1qSndiM05wZEdsdmJpVXlNaVV6UVNVM1FpVXlNbmNsTWpJbE0wRWxNakozTFRJd0pUSXlKVEpESlRJeWVDVXlNaVV6UVRFd0pUSkRKVEl5YUNVeU1pVXpRU1V5TW1nbE1qSWxNa01sTWpKNUpUSXlKVE5CTUNVM1JDVXlReVV5TW5SbGVIUWxNaklsTTBFbE1qSWxSVGNsUVVRbE9VSWxSVFVsT0RnbE9EWWxSVFVsUWtFbE9VWWxSVFlsUWpBbE9UUWxNaklsTjBRbE5VUWxNa01sTWpKaGJtTm9iM0p6SlRJeUpUTkJKVFZDSlRkQ0pUSXllQ1V5TWlVelFTVXlNbmNsTWtZeUpUSXlKVEpESlRJeWVTVXlNaVV6UVNVeU1qQWxNaklsTjBRbE1rTWxOMElsTWpKNEpUSXlKVE5CSlRJeWR5VXlSaklsTWpJbE1rTWxNako1SlRJeUpUTkJKVEl5YUNVeU1pVTNSQ1V5UXlVM1FpVXlNbmdsTWpJbE0wRWxNakl3SlRJeUpUSkRKVEl5ZVNVeU1pVXpRU1V5TW1nbE1rWXlKVEl5SlRkRUpUSkRKVGRDSlRJeWVDVXlNaVV6UVNVeU1uY2xNaklsTWtNbE1qSjVKVEl5SlROQkpUSXlhQ1V5UmpJbE1qSWxOMFFsTlVRbE1rTWxNakowYVhSc1pTVXlNaVV6UVNVeU1pVXlNaVV5UXlVeU1tWnZiblJUZEhsc1pTVXlNaVV6UVNVM1FpVTNSQ1V5UXlVeU1tUmhkR0ZCZEhSeWFXSjFkR1Z6SlRJeUpUTkJKVFZDSlRWRUpUSkRKVEl5Y0hKdmNITWxNaklsTTBFbE4wSWxNako2YVc1a1pYZ2xNaklsTTBFek55VXlReVV5TW5jbE1qSWxNMEV4TVRJbE1rTWxNako0SlRJeUpUTkJNallsTWtNbE1qSm9KVEl5SlROQk5UQWxNa01sTWpKNUpUSXlKVE5CTVRRd01DVXlReVV5TW1GdVoyeGxKVEl5SlROQk1DVTNSQ1V5UXlVeU1uQmhkR2dsTWpJbE0wRWxOVUlsTjBJbE1qSmhZM1JwYjI1ekpUSXlKVE5CSlRWQ0pUZENKVEl5ZUNVeU1pVXpRU1V5TWpBbE1qSWxNa01sTWpKaFkzUnBiMjRsTWpJbE0wRWxNakp0YjNabEpUSXlKVEpESlRJeWVTVXlNaVV6UVNVeU1qQWxNaklsTjBRbE1rTWxOMElsTWpKNEpUSXlKVE5CSlRJeWR5VXlNaVV5UXlVeU1tRmpkR2x2YmlVeU1pVXpRU1V5TW14cGJtVWxNaklsTWtNbE1qSjVKVEl5SlROQkpUSXlNQ1V5TWlVM1JDVXlReVUzUWlVeU1uZ2xNaklsTTBFbE1qSjNKVEl5SlRKREpUSXlZV04wYVc5dUpUSXlKVE5CSlRJeWJHbHVaU1V5TWlVeVF5VXlNbmtsTWpJbE0wRWxNakpvSlRJeUpUZEVKVEpESlRkQ0pUSXllQ1V5TWlVelFTVXlNakFsTWpJbE1rTWxNakpoWTNScGIyNGxNaklsTTBFbE1qSnNhVzVsSlRJeUpUSkRKVEl5ZVNVeU1pVXpRU1V5TW1nbE1qSWxOMFFsTWtNbE4wSWxNakpoWTNScGIyNGxNaklsTTBFbE1qSmpiRzl6WlNVeU1pVTNSQ1UxUkNVM1JDVTFSQ1V5UXlVeU1teHBibVZUZEhsc1pTVXlNaVV6UVNVM1FpVXlNbkp2ZFc1a2FXNW5KVEl5SlROQk5DVXlReVV5TW14cGJtVlhhV1IwYUNVeU1pVXpRVEV1TlNVM1JDVXlReVV5TW1Ob2FXeGtjbVZ1SlRJeUpUTkJKVFZDSlRWRUpUSkRKVEl5Y21WemFYcGxSR2x5SlRJeUpUTkJKVFZDSlRJeWRHd2xNaklsTWtNbE1qSjBjaVV5TWlVeVF5VXlNbUp5SlRJeUpUSkRKVEl5WW13bE1qSWxNa01sTWpKc0pUSXlKVEpESlRJeWRDVXlNaVV5UXlVeU1uSWxNaklsTWtNbE1qSmlKVEl5SlRWRUpUSkRKVEl5Ym1GdFpTVXlNaVV6UVNVeU1uQnliMk5sYzNNbE1qSWxNa01sTWpKbWFXeHNVM1I1YkdVbE1qSWxNMEVsTjBJbE4wUWxNa01sTWpKMGFHVnRaU1V5TWlVelFTVTNRaVUzUkNVeVF5VXlNbWxrSlRJeUpUTkJKVEl5Um5GUlEyUm5SVzFsUWpnMU56QTFNaVV5TWlVeVF5VXlNbUYwZEhKcFluVjBaU1V5TWlVelFTVTNRaVV5TW1OdmJuUmhhVzVsY2lVeU1pVXpRV1poYkhObEpUSkRKVEl5Y205MFlYUmhZbXhsSlRJeUpUTkJkSEoxWlNVeVF5VXlNblpwYzJsaWJHVWxNaklsTTBGMGNuVmxKVEpESlRJeVptbDRaV1JNYVc1ckpUSXlKVE5CWm1Gc2MyVWxNa01sTWpKamIyeHNZWEJ6WVdKc1pTVXlNaVV6UVdaaGJITmxKVEpESlRJeVkyOXNiR0Z3YzJWa0pUSXlKVE5CWm1Gc2MyVWxNa01sTWpKc2FXNXJZV0pzWlNVeU1pVXpRWFJ5ZFdVbE1rTWxNakp0WVhKclpYSlBabVp6WlhRbE1qSWxNMEUxSlRkRUpUSkRKVEl5WTJGMFpXZHZjbmtsTWpJbE0wRWxNakptYkc5M0pUSXlKVGRFSlRKREpUSXlTMVJaZEcxM1UyMUNaelF6TmpFM055VXlNaVV6UVNVM1FpVXlNbXhwYm1zbE1qSWxNMEVsTWpJbE1qSWxNa01sTWpKemFHRndaVk4wZVd4bEpUSXlKVE5CSlRkQ0pUSXlZV3h3YUdFbE1qSWxNMEV4SlRkRUpUSkRKVEl5ZEdWNGRFSnNiMk5ySlRJeUpUTkJKVFZDSlRkQ0pUSXljRzl6YVhScGIyNGxNaklsTTBFbE4wSWxNakozSlRJeUpUTkJKVEl5ZHkweU1DVXlNaVV5UXlVeU1uZ2xNaklsTTBFeE1DVXlReVV5TW1nbE1qSWxNMEVsTWpKb0pUSXlKVEpESlRJeWVTVXlNaVV6UVRBbE4wUWxNa01sTWpKMFpYaDBKVEl5SlROQkpUSXlKVVU1SlRsQ0pUZzJKVVUySlVJd0pUazBKVVUzSlVKRUpVRTVKVEpDSlVVMUpVRkdKVGcySlVVNUpUazNKVUZFSlVVM0pVRkZKVUV4SlVVNUpUZ3hKVGt6SlRJeUpUZEVKVFZFSlRKREpUSXlZVzVqYUc5eWN5VXlNaVV6UVNVMVFpVTNRaVV5TW5nbE1qSWxNMEVsTWpKM0pUSkdNaVV5TWlVeVF5VXlNbmtsTWpJbE0wRWxNakl3SlRJeUpUZEVKVEpESlRkQ0pUSXllQ1V5TWlVelFTVXlNbmNsTWtZeUpUSXlKVEpESlRJeWVTVXlNaVV6UVNVeU1tZ2xNaklsTjBRbE1rTWxOMElsTWpKNEpUSXlKVE5CSlRJeU1DVXlNaVV5UXlVeU1ua2xNaklsTTBFbE1qSm9KVEpHTWlVeU1pVTNSQ1V5UXlVM1FpVXlNbmdsTWpJbE0wRWxNakozSlRJeUpUSkRKVEl5ZVNVeU1pVXpRU1V5TW1nbE1rWXlKVEl5SlRkRUpUVkVKVEpESlRJeWRHbDBiR1VsTWpJbE0wRWxNaklsTWpJbE1rTWxNakptYjI1MFUzUjViR1VsTWpJbE0wRWxOMElsTjBRbE1rTWxNakprWVhSaFFYUjBjbWxpZFhSbGN5VXlNaVV6UVNVMVFpVTFSQ1V5UXlVeU1uQnliM0J6SlRJeUpUTkJKVGRDSlRJeWVtbHVaR1Y0SlRJeUpUTkJOaVV5UXlVeU1uY2xNaklsTTBFeE5qQXVOalF5TURnNU9EUXpOelVsTWtNbE1qSjRKVEl5SlROQk1qRTJKVEpESlRJeWFDVXlNaVV6UVRVd0pUSkRKVEl5ZVNVeU1pVXpRVE0xTUNVeVF5VXlNbUZ1WjJ4bEpUSXlKVE5CTUNVM1JDVXlReVV5TW5CaGRHZ2xNaklsTTBFbE5VSWxOMElsTWpKaFkzUnBiMjV6SlRJeUpUTkJKVFZDSlRkQ0pUSXllQ1V5TWlVelFTVXlNakFsTWpJbE1rTWxNakpoWTNScGIyNGxNaklsTTBFbE1qSnRiM1psSlRJeUpUSkRKVEl5ZVNVeU1pVXpRU1V5TWpBbE1qSWxOMFFsTWtNbE4wSWxNako0SlRJeUpUTkJKVEl5ZHlVeU1pVXlReVV5TW1GamRHbHZiaVV5TWlVelFTVXlNbXhwYm1VbE1qSWxNa01sTWpKNUpUSXlKVE5CSlRJeU1DVXlNaVUzUkNVeVF5VTNRaVV5TW5nbE1qSWxNMEVsTWpKM0pUSXlKVEpESlRJeVlXTjBhVzl1SlRJeUpUTkJKVEl5YkdsdVpTVXlNaVV5UXlVeU1ua2xNaklsTTBFbE1qSm9KVEl5SlRkRUpUSkRKVGRDSlRJeWVDVXlNaVV6UVNVeU1qQWxNaklsTWtNbE1qSmhZM1JwYjI0bE1qSWxNMEVsTWpKc2FXNWxKVEl5SlRKREpUSXllU1V5TWlVelFTVXlNbWdsTWpJbE4wUWxNa01sTjBJbE1qSmhZM1JwYjI0bE1qSWxNMEVsTWpKamJHOXpaU1V5TWlVM1JDVTFSQ1UzUkNVMVJDVXlReVV5TW14cGJtVlRkSGxzWlNVeU1pVXpRU1UzUWlVeU1uSnZkVzVrYVc1bkpUSXlKVE5CTkNVeVF5VXlNbXhwYm1WWGFXUjBhQ1V5TWlVelFURXVOU1UzUkNVeVF5VXlNbU5vYVd4a2NtVnVKVEl5SlROQkpUVkNKVFZFSlRKREpUSXljbVZ6YVhwbFJHbHlKVEl5SlROQkpUVkNKVEl5ZEd3bE1qSWxNa01sTWpKMGNpVXlNaVV5UXlVeU1tSnlKVEl5SlRKREpUSXlZbXdsTWpJbE1rTWxNakpzSlRJeUpUSkRKVEl5ZENVeU1pVXlReVV5TW5JbE1qSWxNa01sTWpKaUpUSXlKVFZFSlRKREpUSXlibUZ0WlNVeU1pVXpRU1V5TW5CeWIyTmxjM01sTWpJbE1rTWxNakptYVd4c1UzUjViR1VsTWpJbE0wRWxOMElsTjBRbE1rTWxNakowYUdWdFpTVXlNaVV6UVNVM1FpVTNSQ1V5UXlVeU1tbGtKVEl5SlROQkpUSXlTMVJaZEcxM1UyMUNaelF6TmpFM055VXlNaVV5UXlVeU1tRjBkSEpwWW5WMFpTVXlNaVV6UVNVM1FpVXlNbU52Ym5SaGFXNWxjaVV5TWlVelFXWmhiSE5sSlRKREpUSXljbTkwWVhSaFlteGxKVEl5SlROQmRISjFaU1V5UXlVeU1uWnBjMmxpYkdVbE1qSWxNMEYwY25WbEpUSkRKVEl5Wm1sNFpXUk1hVzVySlRJeUpUTkJabUZzYzJVbE1rTWxNakpqYjJ4c1lYQnpZV0pzWlNVeU1pVXpRV1poYkhObEpUSkRKVEl5WTI5c2JHRndjMlZrSlRJeUpUTkJabUZzYzJVbE1rTWxNakpzYVc1cllXSnNaU1V5TWlVelFYUnlkV1VsTWtNbE1qSnRZWEpyWlhKUFptWnpaWFFsTWpJbE0wRTFKVGRFSlRKREpUSXlZMkYwWldkdmNua2xNaklsTTBFbE1qSm1iRzkzSlRJeUpUZEVKVEpESlRJeWQxVkdUVk53WlhGb2JqSTNPVEk0TWlVeU1pVXpRU1UzUWlVeU1teHBibXNsTWpJbE0wRWxNaklsTWpJbE1rTWxNakp6YUdGd1pWTjBlV3hsSlRJeUpUTkJKVGRDSlRJeVlXeHdhR0VsTWpJbE0wRXhKVGRFSlRKREpUSXlkR1Y0ZEVKc2IyTnJKVEl5SlROQkpUVkNKVGRDSlRJeWNHOXphWFJwYjI0bE1qSWxNMEVsTjBJbE1qSjNKVEl5SlROQkpUSXlkeTB5TUNVeU1pVXlReVV5TW5nbE1qSWxNMEV4TUNVeVF5VXlNbWdsTWpJbE0wRWxNakpvSlRJeUpUSkRKVEl5ZVNVeU1pVXpRVEFsTjBRbE1rTWxNakowWlhoMEpUSXlKVE5CSlRJeUpVVTRKVUV5SlRoQ0pVVTFKVUpESlRoR0pVVTVKVGs1SlVFMEpVVTFKVUl3SlRrNEpVVTFKVGs1SlVFNEpUSXlKVGRFSlRWRUpUSkRKVEl5WVc1amFHOXljeVV5TWlVelFTVTFRaVUzUWlVeU1uZ2xNaklsTTBFbE1qSjNKVEpHTWlVeU1pVXlReVV5TW5rbE1qSWxNMEVsTWpJd0pUSXlKVGRFSlRKREpUZENKVEl5ZUNVeU1pVXpRU1V5TW5jbE1rWXlKVEl5SlRKREpUSXllU1V5TWlVelFTVXlNbWdsTWpJbE4wUWxNa01sTjBJbE1qSjRKVEl5SlROQkpUSXlNQ1V5TWlVeVF5VXlNbmtsTWpJbE0wRWxNakpvSlRKR01pVXlNaVUzUkNVeVF5VTNRaVV5TW5nbE1qSWxNMEVsTWpKM0pUSXlKVEpESlRJeWVTVXlNaVV6UVNVeU1tZ2xNa1l5SlRJeUpUZEVKVFZFSlRKREpUSXlkR2wwYkdVbE1qSWxNMEVsTWpJbE1qSWxNa01sTWpKbWIyNTBVM1I1YkdVbE1qSWxNMEVsTjBJbE4wUWxNa01sTWpKa1lYUmhRWFIwY21saWRYUmxjeVV5TWlVelFTVTFRaVUxUkNVeVF5VXlNbkJ5YjNCekpUSXlKVE5CSlRkQ0pUSXllbWx1WkdWNEpUSXlKVE5CTWpjbE1rTWxNakozSlRJeUpUTkJNVEkxSlRKREpUSXllQ1V5TWlVelFUVXlOQzQ1TXpreU1EZzVPRFF6TnpVbE1rTWxNakpvSlRJeUpUTkJOVEFsTWtNbE1qSjVKVEl5SlROQk1URXdNQ1V5UXlVeU1tRnVaMnhsSlRJeUpUTkJNQ1UzUkNVeVF5VXlNbkJoZEdnbE1qSWxNMEVsTlVJbE4wSWxNakpoWTNScGIyNXpKVEl5SlROQkpUVkNKVGRDSlRJeWVDVXlNaVV6UVNVeU1qQWxNaklsTWtNbE1qSmhZM1JwYjI0bE1qSWxNMEVsTWpKdGIzWmxKVEl5SlRKREpUSXllU1V5TWlVelFTVXlNakFsTWpJbE4wUWxNa01sTjBJbE1qSjRKVEl5SlROQkpUSXlkeVV5TWlVeVF5VXlNbUZqZEdsdmJpVXlNaVV6UVNVeU1teHBibVVsTWpJbE1rTWxNako1SlRJeUpUTkJKVEl5TUNVeU1pVTNSQ1V5UXlVM1FpVXlNbmdsTWpJbE0wRWxNakozSlRJeUpUSkRKVEl5WVdOMGFXOXVKVEl5SlROQkpUSXliR2x1WlNVeU1pVXlReVV5TW5rbE1qSWxNMEVsTWpKb0pUSXlKVGRFSlRKREpUZENKVEl5ZUNVeU1pVXpRU1V5TWpBbE1qSWxNa01sTWpKaFkzUnBiMjRsTWpJbE0wRWxNakpzYVc1bEpUSXlKVEpESlRJeWVTVXlNaVV6UVNVeU1tZ2xNaklsTjBRbE1rTWxOMElsTWpKaFkzUnBiMjRsTWpJbE0wRWxNakpqYkc5elpTVXlNaVUzUkNVMVJDVTNSQ1UxUkNVeVF5VXlNbXhwYm1WVGRIbHNaU1V5TWlVelFTVTNRaVV5TW5KdmRXNWthVzVuSlRJeUpUTkJOQ1V5UXlVeU1teHBibVZYYVdSMGFDVXlNaVV6UVRFdU5TVTNSQ1V5UXlVeU1tTm9hV3hrY21WdUpUSXlKVE5CSlRWQ0pUVkVKVEpESlRJeWNtVnphWHBsUkdseUpUSXlKVE5CSlRWQ0pUSXlkR3dsTWpJbE1rTWxNakowY2lVeU1pVXlReVV5TW1KeUpUSXlKVEpESlRJeVltd2xNaklsTWtNbE1qSnNKVEl5SlRKREpUSXlkQ1V5TWlVeVF5VXlNbklsTWpJbE1rTWxNakppSlRJeUpUVkVKVEpESlRJeWJtRnRaU1V5TWlVelFTVXlNbkJ5YjJObGMzTWxNaklsTWtNbE1qSm1hV3hzVTNSNWJHVWxNaklsTTBFbE4wSWxOMFFsTWtNbE1qSjBhR1Z0WlNVeU1pVXpRU1UzUWlVM1JDVXlReVV5TW1sa0pUSXlKVE5CSlRJeWQxVkdUVk53WlhGb2JqSTNPVEk0TWlVeU1pVXlReVV5TW1GMGRISnBZblYwWlNVeU1pVXpRU1UzUWlVeU1tTnZiblJoYVc1bGNpVXlNaVV6UVdaaGJITmxKVEpESlRJeWNtOTBZWFJoWW14bEpUSXlKVE5CZEhKMVpTVXlReVV5TW5acGMybGliR1VsTWpJbE0wRjBjblZsSlRKREpUSXlabWw0WldSTWFXNXJKVEl5SlROQlptRnNjMlVsTWtNbE1qSmpiMnhzWVhCellXSnNaU1V5TWlVelFXWmhiSE5sSlRKREpUSXlZMjlzYkdGd2MyVmtKVEl5SlROQlptRnNjMlVsTWtNbE1qSnNhVzVyWVdKc1pTVXlNaVV6UVhSeWRXVWxNa01sTWpKdFlYSnJaWEpQWm1aelpYUWxNaklsTTBFMUpUZEVKVEpESlRJeVkyRjBaV2R2Y25rbE1qSWxNMEVsTWpKbWJHOTNKVEl5SlRkRUpUSkRKVEl5UW5aUFoxbHhaRmwwZURFek1qVTFOaVV5TWlVelFTVTNRaVV5TW14cGJtc2xNaklsTTBFbE1qSWxNaklsTWtNbE1qSnphR0Z3WlZOMGVXeGxKVEl5SlROQkpUZENKVEl5WVd4d2FHRWxNaklsTTBFeEpUZEVKVEpESlRJeWRHVjRkRUpzYjJOckpUSXlKVE5CSlRWQ0pUZENKVEl5Y0c5emFYUnBiMjRsTWpJbE0wRWxOMElsTWpKM0pUSXlKVE5CSlRJeWR5MHlNQ1V5TWlVeVF5VXlNbmdsTWpJbE0wRXhNQ1V5UXlVeU1tZ2xNaklsTTBFbE1qSm9KVEl5SlRKREpUSXllU1V5TWlVelFUQWxOMFFsTWtNbE1qSjBaWGgwSlRJeUpUTkJKVEl5SlVVNEpVRXlKVGhDSlVVMUpVSkRKVGhHSlVVNUpUazVKVUUwSlVVMUpVSXdKVGs0SlVVMUpUazVKVUU0SlRJeUpUZEVKVFZFSlRKREpUSXlZVzVqYUc5eWN5VXlNaVV6UVNVMVFpVTNRaVV5TW5nbE1qSWxNMEVsTWpKM0pUSkdNaVV5TWlVeVF5VXlNbmtsTWpJbE0wRWxNakl3SlRJeUpUZEVKVEpESlRkQ0pUSXllQ1V5TWlVelFTVXlNbmNsTWtZeUpUSXlKVEpESlRJeWVTVXlNaVV6UVNVeU1tZ2xNaklsTjBRbE1rTWxOMElsTWpKNEpUSXlKVE5CSlRJeU1DVXlNaVV5UXlVeU1ua2xNaklsTTBFbE1qSm9KVEpHTWlVeU1pVTNSQ1V5UXlVM1FpVXlNbmdsTWpJbE0wRWxNakozSlRJeUpUSkRKVEl5ZVNVeU1pVXpRU1V5TW1nbE1rWXlKVEl5SlRkRUpUVkVKVEpESlRJeWRHbDBiR1VsTWpJbE0wRWxNaklsTWpJbE1rTWxNakptYjI1MFUzUjViR1VsTWpJbE0wRWxOMElsTjBRbE1rTWxNakprWVhSaFFYUjBjbWxpZFhSbGN5VXlNaVV6UVNVMVFpVTFSQ1V5UXlVeU1uQnliM0J6SlRJeUpUTkJKVGRDSlRJeWVtbHVaR1Y0SlRJeUpUTkJNekVsTWtNbE1qSjNKVEl5SlROQk1USTFKVEpESlRJeWVDVXlNaVV6UVRVeU5DNDVNemt5TURnNU9EUXpOelVsTWtNbE1qSm9KVEl5SlROQk5UQWxNa01sTWpKNUpUSXlKVE5CTVRNek1TVXlReVV5TW1GdVoyeGxKVEl5SlROQk1DVTNSQ1V5UXlVeU1uQmhkR2dsTWpJbE0wRWxOVUlsTjBJbE1qSmhZM1JwYjI1ekpUSXlKVE5CSlRWQ0pUZENKVEl5ZUNVeU1pVXpRU1V5TWpBbE1qSWxNa01sTWpKaFkzUnBiMjRsTWpJbE0wRWxNakp0YjNabEpUSXlKVEpESlRJeWVTVXlNaVV6UVNVeU1qQWxNaklsTjBRbE1rTWxOMElsTWpKNEpUSXlKVE5CSlRJeWR5VXlNaVV5UXlVeU1tRmpkR2x2YmlVeU1pVXpRU1V5TW14cGJtVWxNaklsTWtNbE1qSjVKVEl5SlROQkpUSXlNQ1V5TWlVM1JDVXlReVUzUWlVeU1uZ2xNaklsTTBFbE1qSjNKVEl5SlRKREpUSXlZV04wYVc5dUpUSXlKVE5CSlRJeWJHbHVaU1V5TWlVeVF5VXlNbmtsTWpJbE0wRWxNakpvSlRJeUpUZEVKVEpESlRkQ0pUSXllQ1V5TWlVelFTVXlNakFsTWpJbE1rTWxNakpoWTNScGIyNGxNaklsTTBFbE1qSnNhVzVsSlRJeUpUSkRKVEl5ZVNVeU1pVXpRU1V5TW1nbE1qSWxOMFFsTWtNbE4wSWxNakpoWTNScGIyNGxNaklsTTBFbE1qSmpiRzl6WlNVeU1pVTNSQ1UxUkNVM1JDVTFSQ1V5UXlVeU1teHBibVZUZEhsc1pTVXlNaVV6UVNVM1FpVXlNbkp2ZFc1a2FXNW5KVEl5SlROQk5DVXlReVV5TW14cGJtVlhhV1IwYUNVeU1pVXpRVEV1TlNVM1JDVXlReVV5TW1Ob2FXeGtjbVZ1SlRJeUpUTkJKVFZDSlRWRUpUSkRKVEl5Y21WemFYcGxSR2x5SlRJeUpUTkJKVFZDSlRJeWRHd2xNaklsTWtNbE1qSjBjaVV5TWlVeVF5VXlNbUp5SlRJeUpUSkRKVEl5WW13bE1qSWxNa01sTWpKc0pUSXlKVEpESlRJeWRDVXlNaVV5UXlVeU1uSWxNaklsTWtNbE1qSmlKVEl5SlRWRUpUSkRKVEl5Ym1GdFpTVXlNaVV6UVNVeU1uQnliMk5sYzNNbE1qSWxNa01sTWpKbWFXeHNVM1I1YkdVbE1qSWxNMEVsTjBJbE4wUWxNa01sTWpKMGFHVnRaU1V5TWlVelFTVTNRaVUzUkNVeVF5VXlNbWxrSlRJeUpUTkJKVEl5UW5aUFoxbHhaRmwwZURFek1qVTFOaVV5TWlVeVF5VXlNbUYwZEhKcFluVjBaU1V5TWlVelFTVTNRaVV5TW1OdmJuUmhhVzVsY2lVeU1pVXpRV1poYkhObEpUSkRKVEl5Y205MFlYUmhZbXhsSlRJeUpUTkJkSEoxWlNVeVF5VXlNblpwYzJsaWJHVWxNaklsTTBGMGNuVmxKVEpESlRJeVptbDRaV1JNYVc1ckpUSXlKVE5CWm1Gc2MyVWxNa01sTWpKamIyeHNZWEJ6WVdKc1pTVXlNaVV6UVdaaGJITmxKVEpESlRJeVkyOXNiR0Z3YzJWa0pUSXlKVE5CWm1Gc2MyVWxNa01sTWpKc2FXNXJZV0pzWlNVeU1pVXpRWFJ5ZFdVbE1rTWxNakp0WVhKclpYSlBabVp6WlhRbE1qSWxNMEUxSlRkRUpUSkRKVEl5WTJGMFpXZHZjbmtsTWpJbE0wRWxNakptYkc5M0pUSXlKVGRFSlRKREpUSXlUR1JZU0ZsWmVXdEhXRGc0TkRjMk15VXlNaVV6UVNVM1FpVXlNbXhwYm1zbE1qSWxNMEVsTWpJbE1qSWxNa01sTWpKemFHRndaVk4wZVd4bEpUSXlKVE5CSlRkQ0pUSXlZV3h3YUdFbE1qSWxNMEV4SlRkRUpUSkRKVEl5ZEdWNGRFSnNiMk5ySlRJeUpUTkJKVFZDSlRkQ0pUSXljRzl6YVhScGIyNGxNaklsTTBFbE4wSWxNakozSlRJeUpUTkJKVEl5ZHkweU1DVXlNaVV5UXlVeU1uZ2xNaklsTTBFeE1DVXlReVV5TW1nbE1qSWxNMEVsTWpKb0pUSXlKVEpESlRJeWVTVXlNaVV6UVRBbE4wUWxNa01sTWpKMFpYaDBKVEl5SlROQkpUSXlKVVUzSlVGQ0pUazJKVVUzSlRneUpUZzVKVVUzSlRnMEpUazVKVVUzSlRnekpVRTNKVVUxSlVKQkpUbEdKVVUySlVJd0pUazBKVEl5SlRkRUpUVkVKVEpESlRJeVlXNWphRzl5Y3lVeU1pVXpRU1UxUWlVM1FpVXlNbmdsTWpJbE0wRWxNakozSlRKR01pVXlNaVV5UXlVeU1ua2xNaklsTTBFbE1qSXdKVEl5SlRkRUpUSkRKVGRDSlRJeWVDVXlNaVV6UVNVeU1uY2xNa1l5SlRJeUpUSkRKVEl5ZVNVeU1pVXpRU1V5TW1nbE1qSWxOMFFsTWtNbE4wSWxNako0SlRJeUpUTkJKVEl5TUNVeU1pVXlReVV5TW5rbE1qSWxNMEVsTWpKb0pUSkdNaVV5TWlVM1JDVXlReVUzUWlVeU1uZ2xNaklsTTBFbE1qSjNKVEl5SlRKREpUSXllU1V5TWlVelFTVXlNbWdsTWtZeUpUSXlKVGRFSlRWRUpUSkRKVEl5ZEdsMGJHVWxNaklsTTBFbE1qSWxNaklsTWtNbE1qSm1iMjUwVTNSNWJHVWxNaklsTTBFbE4wSWxOMFFsTWtNbE1qSmtZWFJoUVhSMGNtbGlkWFJsY3lVeU1pVXpRU1UxUWlVMVJDVXlReVV5TW5CeWIzQnpKVEl5SlROQkpUZENKVEl5ZW1sdVpHVjRKVEl5SlROQk16TWxNa01sTWpKM0pUSXlKVE5CTVRNNEpUSkRKVEl5ZUNVeU1pVXpRVEV6SlRKREpUSXlhQ1V5TWlVelFUVXdKVEpESlRJeWVTVXlNaVV6UVRFMU5UQWxNa01sTWpKaGJtZHNaU1V5TWlVelFUQWxOMFFsTWtNbE1qSndZWFJvSlRJeUpUTkJKVFZDSlRkQ0pUSXlZV04wYVc5dWN5VXlNaVV6UVNVMVFpVTNRaVV5TW5nbE1qSWxNMEVsTWpJd0pUSXlKVEpESlRJeVlXTjBhVzl1SlRJeUpUTkJKVEl5Ylc5MlpTVXlNaVV5UXlVeU1ua2xNaklsTTBFbE1qSXdKVEl5SlRkRUpUSkRKVGRDSlRJeWVDVXlNaVV6UVNVeU1uY2xNaklsTWtNbE1qSmhZM1JwYjI0bE1qSWxNMEVsTWpKc2FXNWxKVEl5SlRKREpUSXllU1V5TWlVelFTVXlNakFsTWpJbE4wUWxNa01sTjBJbE1qSjRKVEl5SlROQkpUSXlkeVV5TWlVeVF5VXlNbUZqZEdsdmJpVXlNaVV6UVNVeU1teHBibVVsTWpJbE1rTWxNako1SlRJeUpUTkJKVEl5YUNVeU1pVTNSQ1V5UXlVM1FpVXlNbmdsTWpJbE0wRWxNakl3SlRJeUpUSkRKVEl5WVdOMGFXOXVKVEl5SlROQkpUSXliR2x1WlNVeU1pVXlReVV5TW5rbE1qSWxNMEVsTWpKb0pUSXlKVGRFSlRKREpUZENKVEl5WVdOMGFXOXVKVEl5SlROQkpUSXlZMnh2YzJVbE1qSWxOMFFsTlVRbE4wUWxOVVFsTWtNbE1qSnNhVzVsVTNSNWJHVWxNaklsTTBFbE4wSWxNakp5YjNWdVpHbHVaeVV5TWlVelFUUWxNa01sTWpKc2FXNWxWMmxrZEdnbE1qSWxNMEV4TGpVbE4wUWxNa01sTWpKamFHbHNaSEpsYmlVeU1pVXpRU1UxUWlVMVJDVXlReVV5TW5KbGMybDZaVVJwY2lVeU1pVXpRU1UxUWlVeU1uUnNKVEl5SlRKREpUSXlkSElsTWpJbE1rTWxNakppY2lVeU1pVXlReVV5TW1Kc0pUSXlKVEpESlRJeWJDVXlNaVV5UXlVeU1uUWxNaklsTWtNbE1qSnlKVEl5SlRKREpUSXlZaVV5TWlVMVJDVXlReVV5TW01aGJXVWxNaklsTTBFbE1qSndjbTlqWlhOekpUSXlKVEpESlRJeVptbHNiRk4wZVd4bEpUSXlKVE5CSlRkQ0pUZEVKVEpESlRJeWRHaGxiV1VsTWpJbE0wRWxOMElsTjBRbE1rTWxNakpwWkNVeU1pVXpRU1V5TWt4a1dFaFpXWGxyUjFnNE9EUTNOak1sTWpJbE1rTWxNakpoZEhSeWFXSjFkR1VsTWpJbE0wRWxOMElsTWpKamIyNTBZV2x1WlhJbE1qSWxNMEZtWVd4elpTVXlReVV5TW5KdmRHRjBZV0pzWlNVeU1pVXpRWFJ5ZFdVbE1rTWxNakoyYVhOcFlteGxKVEl5SlROQmRISjFaU1V5UXlVeU1tWnBlR1ZrVEdsdWF5VXlNaVV6UVdaaGJITmxKVEpESlRJeVkyOXNiR0Z3YzJGaWJHVWxNaklsTTBGbVlXeHpaU1V5UXlVeU1tTnZiR3hoY0hObFpDVXlNaVV6UVdaaGJITmxKVEpESlRJeWJHbHVhMkZpYkdVbE1qSWxNMEYwY25WbEpUSkRKVEl5YldGeWEyVnlUMlptYzJWMEpUSXlKVE5CTlNVM1JDVXlReVV5TW1OaGRHVm5iM0o1SlRJeUpUTkJKVEl5Wm14dmR5VXlNaVUzUkNVeVF5VXlNa3RZWjJOalRVdGllVkk0TmpjMU5EZ2xNaklsTTBFbE4wSWxNakpzYVc1ckpUSXlKVE5CSlRJeUpUSXlKVEpESlRJeWMyaGhjR1ZUZEhsc1pTVXlNaVV6UVNVM1FpVXlNbUZzY0doaEpUSXlKVE5CTVNVM1JDVXlReVV5TW5SbGVIUkNiRzlqYXlVeU1pVXpRU1UxUWlVM1FpVXlNbkJ2YzJsMGFXOXVKVEl5SlROQkpUZENKVEl5ZHlVeU1pVXpRU1V5TW5jdE1qQWxNaklsTWtNbE1qSjRKVEl5SlROQk1UQWxNa01sTWpKb0pUSXlKVE5CSlRJeWFDVXlNaVV5UXlVeU1ua2xNaklsTTBFd0pUZEVKVEpESlRJeWRHVjRkQ1V5TWlVelFTVXlNaVZGTmlWQ09TVkNSaVZGTnlVNU5DVkNOU1ZGT1NVNU9TVkJOQ1ZGTlNWQ01DVTVPQ1ZGTlNVNU9TVkJPQ1V5UWlWRk55VTVSaVZDTXlWRk55VTRNU1ZDTUNWRk55VTVSaVZDTXkwbFJUY2xPVVlsUWpNbFJUZ2xPRFlsT0VZbFJUWWxRamtsUWtZbFJUVWxRa01sT0VZbFJUZ2xPRFFsUWpFbFJUY2xRVEVsUVVJbE1rSlRRMUlsUlRnbE9EUWxRakVsUlRjbFFURWxPVVFsTWpJbE4wUWxOVVFsTWtNbE1qSmhibU5vYjNKekpUSXlKVE5CSlRWQ0pUZENKVEl5ZUNVeU1pVXpRU1V5TW5jbE1rWXlKVEl5SlRKREpUSXllU1V5TWlVelFTVXlNakFsTWpJbE4wUWxNa01sTjBJbE1qSjRKVEl5SlROQkpUSXlkeVV5UmpJbE1qSWxNa01sTWpKNUpUSXlKVE5CSlRJeWFDVXlNaVUzUkNVeVF5VTNRaVV5TW5nbE1qSWxNMEVsTWpJd0pUSXlKVEpESlRJeWVTVXlNaVV6UVNVeU1tZ2xNa1l5SlRJeUpUZEVKVEpESlRkQ0pUSXllQ1V5TWlVelFTVXlNbmNsTWpJbE1rTWxNako1SlRJeUpUTkJKVEl5YUNVeVJqSWxNaklsTjBRbE5VUWxNa01sTWpKMGFYUnNaU1V5TWlVelFTVXlNaVV5TWlVeVF5VXlNbVp2Ym5SVGRIbHNaU1V5TWlVelFTVTNRaVUzUkNVeVF5VXlNbVJoZEdGQmRIUnlhV0oxZEdWekpUSXlKVE5CSlRWQ0pUVkVKVEpESlRJeWNISnZjSE1sTWpJbE0wRWxOMElsTWpKNmFXNWtaWGdsTWpJbE0wRXhNU1V5UXlVeU1uY2xNaklsTTBFek1UY3VOVGswTWpNNE1qZ3hNalVsTWtNbE1qSjRKVEl5SlROQk5ESTRMalkwTWpBNE9UZzBNemMxSlRKREpUSXlhQ1V5TWlVelFUVXdKVEpESlRJeWVTVXlNaVV6UVRVd01DVXlReVV5TW1GdVoyeGxKVEl5SlROQk1DVTNSQ1V5UXlVeU1uQmhkR2dsTWpJbE0wRWxOVUlsTjBJbE1qSmhZM1JwYjI1ekpUSXlKVE5CSlRWQ0pUZENKVEl5ZUNVeU1pVXpRU1V5TWpBbE1qSWxNa01sTWpKaFkzUnBiMjRsTWpJbE0wRWxNakp0YjNabEpUSXlKVEpESlRJeWVTVXlNaVV6UVNVeU1qQWxNaklsTjBRbE1rTWxOMElsTWpKNEpUSXlKVE5CSlRJeWR5VXlNaVV5UXlVeU1tRmpkR2x2YmlVeU1pVXpRU1V5TW14cGJtVWxNaklsTWtNbE1qSjVKVEl5SlROQkpUSXlNQ1V5TWlVM1JDVXlReVUzUWlVeU1uZ2xNaklsTTBFbE1qSjNKVEl5SlRKREpUSXlZV04wYVc5dUpUSXlKVE5CSlRJeWJHbHVaU1V5TWlVeVF5VXlNbmtsTWpJbE0wRWxNakpvSlRJeUpUZEVKVEpESlRkQ0pUSXllQ1V5TWlVelFTVXlNakFsTWpJbE1rTWxNakpoWTNScGIyNGxNaklsTTBFbE1qSnNhVzVsSlRJeUpUSkRKVEl5ZVNVeU1pVXpRU1V5TW1nbE1qSWxOMFFsTWtNbE4wSWxNakpoWTNScGIyNGxNaklsTTBFbE1qSmpiRzl6WlNVeU1pVTNSQ1UxUkNVM1JDVTFSQ1V5UXlVeU1teHBibVZUZEhsc1pTVXlNaVV6UVNVM1FpVXlNbkp2ZFc1a2FXNW5KVEl5SlROQk5DVXlReVV5TW14cGJtVlhhV1IwYUNVeU1pVXpRVEV1TlNVM1JDVXlReVV5TW1Ob2FXeGtjbVZ1SlRJeUpUTkJKVFZDSlRWRUpUSkRKVEl5Y21WemFYcGxSR2x5SlRJeUpUTkJKVFZDSlRJeWRHd2xNaklsTWtNbE1qSjBjaVV5TWlVeVF5VXlNbUp5SlRJeUpUSkRKVEl5WW13bE1qSWxNa01sTWpKc0pUSXlKVEpESlRJeWRDVXlNaVV5UXlVeU1uSWxNaklsTWtNbE1qSmlKVEl5SlRWRUpUSkRKVEl5Ym1GdFpTVXlNaVV6UVNVeU1uQnliMk5sYzNNbE1qSWxNa01sTWpKbWFXeHNVM1I1YkdVbE1qSWxNMEVsTjBJbE4wUWxNa01sTWpKMGFHVnRaU1V5TWlVelFTVTNRaVUzUkNVeVF5VXlNbWxrSlRJeUpUTkJKVEl5UzFoblkyTk5TMko1VWpnMk56VTBPQ1V5TWlVeVF5VXlNbUYwZEhKcFluVjBaU1V5TWlVelFTVTNRaVV5TW1OdmJuUmhhVzVsY2lVeU1pVXpRV1poYkhObEpUSkRKVEl5Y205MFlYUmhZbXhsSlRJeUpUTkJkSEoxWlNVeVF5VXlNblpwYzJsaWJHVWxNaklsTTBGMGNuVmxKVEpESlRJeVptbDRaV1JNYVc1ckpUSXlKVE5CWm1Gc2MyVWxNa01sTWpKamIyeHNZWEJ6WVdKc1pTVXlNaVV6UVdaaGJITmxKVEpESlRJeVkyOXNiR0Z3YzJWa0pUSXlKVE5CWm1Gc2MyVWxNa01sTWpKc2FXNXJZV0pzWlNVeU1pVXpRWFJ5ZFdVbE1rTWxNakp0WVhKclpYSlBabVp6WlhRbE1qSWxNMEUxSlRkRUpUSkRKVEl5WTJGMFpXZHZjbmtsTWpJbE0wRWxNakptYkc5M0pUSXlKVGRFSlRKREpUSXlRbGhEZEhsemEwZFNTVFl3TnpJd05DVXlNaVV6UVNVM1FpVXlNbXhwYm1zbE1qSWxNMEVsTWpJbE1qSWxNa01sTWpKemFHRndaVk4wZVd4bEpUSXlKVE5CSlRkQ0pUSXlZV3h3YUdFbE1qSWxNMEV4SlRkRUpUSkRKVEl5ZEdWNGRFSnNiMk5ySlRJeUpUTkJKVFZDSlRkQ0pUSXljRzl6YVhScGIyNGxNaklsTTBFbE4wSWxNakozSlRJeUpUTkJKVEl5ZHkweU1DVXlNaVV5UXlVeU1uZ2xNaklsTTBFeE1DVXlReVV5TW1nbE1qSWxNMEVsTWpKb0pUSXlKVEpESlRJeWVTVXlNaVV6UVRBbE4wUWxNa01sTWpKMFpYaDBKVEl5SlROQkpUSXlKVVU1SlRsQ0pUZzJKVVUySlVJd0pUazBKVVUzSlVKRUpVRTVKVEpDSlVVMUpVRkdKVGcySlVVNUpUazNKVUZFSlVVM0pVRkZKVUV4SlVVNUpUZ3hKVGt6SlRJeUpUZEVKVFZFSlRKREpUSXlZVzVqYUc5eWN5VXlNaVV6UVNVMVFpVTNRaVV5TW5nbE1qSWxNMEVsTWpKM0pUSkdNaVV5TWlVeVF5VXlNbmtsTWpJbE0wRWxNakl3SlRJeUpUZEVKVEpESlRkQ0pUSXllQ1V5TWlVelFTVXlNbmNsTWtZeUpUSXlKVEpESlRJeWVTVXlNaVV6UVNVeU1tZ2xNaklsTjBRbE1rTWxOMElsTWpKNEpUSXlKVE5CSlRJeU1DVXlNaVV5UXlVeU1ua2xNaklsTTBFbE1qSm9KVEpHTWlVeU1pVTNSQ1V5UXlVM1FpVXlNbmdsTWpJbE0wRWxNakozSlRJeUpUSkRKVEl5ZVNVeU1pVXpRU1V5TW1nbE1rWXlKVEl5SlRkRUpUVkVKVEpESlRJeWRHbDBiR1VsTWpJbE0wRWxNaklsTWpJbE1rTWxNakptYjI1MFUzUjViR1VsTWpJbE0wRWxOMElsTjBRbE1rTWxNakprWVhSaFFYUjBjbWxpZFhSbGN5VXlNaVV6UVNVMVFpVTFSQ1V5UXlVeU1uQnliM0J6SlRJeUpUTkJKVGRDSlRJeWVtbHVaR1Y0SlRJeUpUTkJNallsTWtNbE1qSjNKVEl5SlROQk1UWXdMalkwTWpBNE9UZzBNemMxSlRKREpUSXllQ1V5TWlVelFUSXhOaVV5UXlVeU1tZ2xNaklsTTBFMU1DVXlReVV5TW5rbE1qSWxNMEV4TVRBd0pUSkRKVEl5WVc1bmJHVWxNaklsTTBFd0pUZEVKVEpESlRJeWNHRjBhQ1V5TWlVelFTVTFRaVUzUWlVeU1tRmpkR2x2Ym5NbE1qSWxNMEVsTlVJbE4wSWxNako0SlRJeUpUTkJKVEl5TUNVeU1pVXlReVV5TW1GamRHbHZiaVV5TWlVelFTVXlNbTF2ZG1VbE1qSWxNa01sTWpKNUpUSXlKVE5CSlRJeU1DVXlNaVUzUkNVeVF5VTNRaVV5TW5nbE1qSWxNMEVsTWpKM0pUSXlKVEpESlRJeVlXTjBhVzl1SlRJeUpUTkJKVEl5YkdsdVpTVXlNaVV5UXlVeU1ua2xNaklsTTBFbE1qSXdKVEl5SlRkRUpUSkRKVGRDSlRJeWVDVXlNaVV6UVNVeU1uY2xNaklsTWtNbE1qSmhZM1JwYjI0bE1qSWxNMEVsTWpKc2FXNWxKVEl5SlRKREpUSXllU1V5TWlVelFTVXlNbWdsTWpJbE4wUWxNa01sTjBJbE1qSjRKVEl5SlROQkpUSXlNQ1V5TWlVeVF5VXlNbUZqZEdsdmJpVXlNaVV6UVNVeU1teHBibVVsTWpJbE1rTWxNako1SlRJeUpUTkJKVEl5YUNVeU1pVTNSQ1V5UXlVM1FpVXlNbUZqZEdsdmJpVXlNaVV6UVNVeU1tTnNiM05sSlRJeUpUZEVKVFZFSlRkRUpUVkVKVEpESlRJeWJHbHVaVk4wZVd4bEpUSXlKVE5CSlRkQ0pUSXljbTkxYm1ScGJtY2xNaklsTTBFMEpUSkRKVEl5YkdsdVpWZHBaSFJvSlRJeUpUTkJNUzQxSlRkRUpUSkRKVEl5WTJocGJHUnlaVzRsTWpJbE0wRWxOVUlsTlVRbE1rTWxNakp5WlhOcGVtVkVhWElsTWpJbE0wRWxOVUlsTWpKMGJDVXlNaVV5UXlVeU1uUnlKVEl5SlRKREpUSXlZbklsTWpJbE1rTWxNakppYkNVeU1pVXlReVV5TW13bE1qSWxNa01sTWpKMEpUSXlKVEpESlRJeWNpVXlNaVV5UXlVeU1tSWxNaklsTlVRbE1rTWxNakp1WVcxbEpUSXlKVE5CSlRJeWNISnZZMlZ6Y3lVeU1pVXlReVV5TW1acGJHeFRkSGxzWlNVeU1pVXpRU1UzUWlVM1JDVXlReVV5TW5Sb1pXMWxKVEl5SlROQkpUZENKVGRFSlRKREpUSXlhV1FsTWpJbE0wRWxNakpDV0VOMGVYTnJSMUpKTmpBM01qQTBKVEl5SlRKREpUSXlZWFIwY21saWRYUmxKVEl5SlROQkpUZENKVEl5WTI5dWRHRnBibVZ5SlRJeUpUTkJabUZzYzJVbE1rTWxNakp5YjNSaGRHRmliR1VsTWpJbE0wRjBjblZsSlRKREpUSXlkbWx6YVdKc1pTVXlNaVV6UVhSeWRXVWxNa01sTWpKbWFYaGxaRXhwYm1zbE1qSWxNMEZtWVd4elpTVXlReVV5TW1OdmJHeGhjSE5oWW14bEpUSXlKVE5CWm1Gc2MyVWxNa01sTWpKamIyeHNZWEJ6WldRbE1qSWxNMEZtWVd4elpTVXlReVV5TW14cGJtdGhZbXhsSlRJeUpUTkJkSEoxWlNVeVF5VXlNbTFoY210bGNrOW1abk5sZENVeU1pVXpRVFVsTjBRbE1rTWxNakpqWVhSbFoyOXllU1V5TWlVelFTVXlNbVpzYjNjbE1qSWxOMFFsTWtNbE1qSlFSbEZxY21oaVRGZG9PREl4T1RBM0pUSXlKVE5CSlRkQ0pUSXlabTl1ZEZOMGVXeGxKVEl5SlROQkpUZENKVGRFSlRKREpUSXljRzlwYm5SekpUSXlKVE5CSlRWQ0pUZENKVEl5ZUNVeU1pVXpRVEU0TUM0eU5TVXlReVV5TW5rbE1qSWxNMEV5TWpVbE4wUWxNa01sTjBJbE1qSjRKVEl5SlROQk1UZ3dMakkxSlRKREpUSXllU1V5TWlVelFUSXlOU1UzUkNVMVJDVXlReVV5TW1SaGRHRkJkSFJ5YVdKMWRHVnpKVEl5SlROQkpUVkNKVFZFSlRKREpUSXljSEp2Y0hNbE1qSWxNMEVsTjBJbE1qSjZhVzVrWlhnbE1qSWxNMEUwTUNVM1JDVXlReVV5TW14cGJtdGxjbFI1Y0dVbE1qSWxNMEVsTWpKaWNtOXJaVzRsTWpJbE1rTWxNakpzYVc1bFUzUjViR1VsTWpJbE0wRWxOMElsTWpKeWIzVnVaR2x1WnlVeU1pVXpRVFFsTWtNbE1qSmlaV2RwYmtGeWNtOTNVM1I1YkdVbE1qSWxNMEVsTWpKdWIyNWxKVEl5SlRKREpUSXlaVzVrUVhKeWIzZFRkSGxzWlNVeU1pVXpRU1V5TW5OdmJHbGtRWEp5YjNjbE1qSWxNa01sTWpKc2FXNWxWMmxrZEdnbE1qSWxNMEV4SlRkRUpUSkRKVEl5YkdsdVpWUjVjR1VsTWpJbE0wRWxNakp6YjJ4cFpDVXlNaVV5UXlVeU1tNWhiV1VsTWpJbE0wRWxNakpzYVc1clpYSWxNaklsTWtNbE1qSm1jbTl0SlRJeUpUTkJKVGRDSlRJeWVDVXlNaVV6UVRFME5DNDFKVEpESlRJeWVTVXlNaVV6UVRJeU5TVXlReVV5TW1GdVoyeGxKVEl5SlROQk15NHhOREUxT1RJMk5UTTFPRGszT1RNMkpUSkRKVEl5YVdRbE1qSWxNMEVsTWpKd2RtWjZjbmhPU2xCM01UUTFNVGd5SlRJeUpUZEVKVEpESlRJeWFXUWxNaklsTTBFbE1qSlFSbEZxY21oaVRGZG9PREl4T1RBM0pUSXlKVEpESlRJeWRHVjRkQ1V5TWlVelFTVXlNaVV5TWlVeVF5VXlNblJ2SlRJeUpUTkJKVGRDSlRJeWVDVXlNaVV6UVRJeE5pVXlReVV5TW5rbE1qSWxNMEV5TWpVbE1rTWxNakpoYm1kc1pTVXlNaVV6UVRBbE1rTWxNakpwWkNVeU1pVXpRU1V5TW5CRFEzcGpVRTVIWTFnMk1qSXlOelVsTWpJbE4wUWxNa01sTWpKallYUmxaMjl5ZVNVeU1pVXpRU1V5TW1KaGMybGpKVEl5SlRKREpUSXlkR1Y0ZEVKc2IyTnJKVEl5SlROQkpUVkNKVFZFSlRkRUpUSkRKVEl5ZUV4WWIzWmlRMkoyWnpNeU1Ua3hNeVV5TWlVelFTVTNRaVV5TW1admJuUlRkSGxzWlNVeU1pVXpRU1UzUWlVM1JDVXlReVV5TW5CdmFXNTBjeVV5TWlVelFTVTFRaVUzUWlVeU1uZ2xNaklsTTBFME5UQXVOemt3TmpRNU5ERTBNRFl5TlNVeVF5VXlNbmtsTWpJbE0wRXlNalVsTjBRbE1rTWxOMElsTWpKNEpUSXlKVE5CTkRVd0xqYzVNRFkwT1RReE5EQTJNalVsTWtNbE1qSjVKVEl5SlROQk1qSTFKVGRFSlRWRUpUSkRKVEl5WkdGMFlVRjBkSEpwWW5WMFpYTWxNaklsTTBFbE5VSWxOVVFsTWtNbE1qSndjbTl3Y3lVeU1pVXpRU1UzUWlVeU1ucHBibVJsZUNVeU1pVXpRVFF4SlRkRUpUSkRKVEl5YkdsdWEyVnlWSGx3WlNVeU1pVXpRU1V5TW1KeWIydGxiaVV5TWlVeVF5VXlNbXhwYm1WVGRIbHNaU1V5TWlVelFTVTNRaVV5TW5KdmRXNWthVzVuSlRJeUpUTkJOQ1V5UXlVeU1tSmxaMmx1UVhKeWIzZFRkSGxzWlNVeU1pVXpRU1V5TW01dmJtVWxNaklsTWtNbE1qSmxibVJCY25KdmQxTjBlV3hsSlRJeUpUTkJKVEl5YzI5c2FXUkJjbkp2ZHlVeU1pVXlReVV5TW14cGJtVlhhV1IwYUNVeU1pVXpRVEVsTjBRbE1rTWxNakpzYVc1bFZIbHdaU1V5TWlVelFTVXlNbk52Ykdsa0pUSXlKVEpESlRJeWJtRnRaU1V5TWlVelFTVXlNbXhwYm10bGNpVXlNaVV5UXlVeU1tWnliMjBsTWpJbE0wRWxOMElsTWpKNEpUSXlKVE5CTXpjMkxqWTBNakE0T1RnME16YzFKVEpESlRJeWVTVXlNaVV6UVRJeU5TVXlReVV5TW1GdVoyeGxKVEl5SlROQk15NHhOREUxT1RJMk5UTTFPRGszT1RNbE1rTWxNakpwWkNVeU1pVXpRU1V5TW5CRFEzcGpVRTVIWTFnMk1qSXlOelVsTWpJbE4wUWxNa01sTWpKcFpDVXlNaVV6UVNVeU1uaE1XRzkyWWtOaWRtY3pNakU1TVRNbE1qSWxNa01sTWpKMFpYaDBKVEl5SlROQkpUSXlKVEl5SlRKREpUSXlkRzhsTWpJbE0wRWxOMElsTWpKNEpUSXlKVE5CTlRJMExqa3pPVEl3T0RrNE5ETTNOU1V5UXlVeU1ua2xNaklsTTBFeU1qVWxNa01sTWpKaGJtZHNaU1V5TWlVelFUQWxNa01sTWpKcFpDVXlNaVV6UVNVeU1tOTFURkJRWjJWbWVrd3lNRFl3TXpFbE1qSWxOMFFsTWtNbE1qSmpZWFJsWjI5eWVTVXlNaVV6UVNVeU1tSmhjMmxqSlRJeUpUSkRKVEl5ZEdWNGRFSnNiMk5ySlRJeUpUTkJKVFZDSlRWRUpUZEVKVEpESlRJeWFrVkxXbkZOUm14SVpqQTNNRGd3TmlVeU1pVXpRU1UzUWlVeU1tWnZiblJUZEhsc1pTVXlNaVV6UVNVM1FpVTNSQ1V5UXlVeU1uQnZhVzUwY3lVeU1pVXpRU1UxUWlVM1FpVXlNbmdsTWpJbE0wRXhPRE11TlNVeVF5VXlNbmtsTWpJbE0wRTFNalVsTjBRbE1rTWxOMElsTWpKNEpUSXlKVE5CTVRnekxqVWxNa01sTWpKNUpUSXlKVE5CTlRJMUpUZEVKVFZFSlRKREpUSXlaR0YwWVVGMGRISnBZblYwWlhNbE1qSWxNMEVsTlVJbE5VUWxNa01sTWpKd2NtOXdjeVV5TWlVelFTVTNRaVV5TW5wcGJtUmxlQ1V5TWlVelFUUTJKVGRFSlRKREpUSXliR2x1YTJWeVZIbHdaU1V5TWlVelFTVXlNbUp5YjJ0bGJpVXlNaVV5UXlVeU1teHBibVZUZEhsc1pTVXlNaVV6UVNVM1FpVXlNbkp2ZFc1a2FXNW5KVEl5SlROQk5DVXlReVV5TW1KbFoybHVRWEp5YjNkVGRIbHNaU1V5TWlVelFTVXlNbTV2Ym1VbE1qSWxNa01sTWpKbGJtUkJjbkp2ZDFOMGVXeGxKVEl5SlROQkpUSXljMjlzYVdSQmNuSnZkeVV5TWlVeVF5VXlNbXhwYm1WWGFXUjBhQ1V5TWlVelFURWxOMFFsTWtNbE1qSnNhVzVsVkhsd1pTVXlNaVV6UVNVeU1uTnZiR2xrSlRJeUpUSkRKVEl5Ym1GdFpTVXlNaVV6UVNVeU1teHBibXRsY2lVeU1pVXlReVV5TW1aeWIyMGxNaklsTTBFbE4wSWxNako0SlRJeUpUTkJNVFV4SlRKREpUSXllU1V5TWlVelFUVXlOU1V5UXlVeU1tRnVaMnhsSlRJeUpUTkJNeTR4TkRFMU9USTJOVE0xT0RrM09UTTJKVEpESlRJeWFXUWxNaklsTTBFbE1qSm9iazFOZVc1dFZXMXlNelEzT1RjMUpUSXlKVGRFSlRKREpUSXlhV1FsTWpJbE0wRWxNakpxUlV0YWNVMUdiRWhtTURjd09EQTJKVEl5SlRKREpUSXlkR1Y0ZENVeU1pVXpRU1V5TWlVeU1pVXlReVV5TW5SdkpUSXlKVE5CSlRkQ0pUSXllQ1V5TWlVelFUSXhOaVV5UXlVeU1ua2xNaklsTTBFMU1qVWxNa01sTWpKaGJtZHNaU1V5TWlVelFUQWxNa01sTWpKcFpDVXlNaVV6UVNVeU1tNXlXRTFEYjNSNFdGSTVORFkwTlRVbE1qSWxOMFFsTWtNbE1qSmpZWFJsWjI5eWVTVXlNaVV6UVNVeU1tSmhjMmxqSlRJeUpUSkRKVEl5ZEdWNGRFSnNiMk5ySlRJeUpUTkJKVFZDSlRWRUpUZEVKVEpESlRJeVpVdDJZV1owYUVOTlZETTFPRGc0TlNVeU1pVXpRU1UzUWlVeU1tWnZiblJUZEhsc1pTVXlNaVV6UVNVM1FpVTNSQ1V5UXlVeU1uQnZhVzUwY3lVeU1pVXpRU1UxUWlVM1FpVXlNbmdsTWpJbE0wRTBNREl1TmpReU1EZzVPRFF6TnpVbE1rTWxNako1SlRJeUpUTkJOVEkxSlRkRUpUSkRKVGRDSlRJeWVDVXlNaVV6UVRRd01pNDJOREl3T0RrNE5ETTNOU1V5UXlVeU1ua2xNaklsTTBFMU1qVWxOMFFsTlVRbE1rTWxNakprWVhSaFFYUjBjbWxpZFhSbGN5VXlNaVV6UVNVMVFpVTFSQ1V5UXlVeU1uQnliM0J6SlRJeUpUTkJKVGRDSlRJeWVtbHVaR1Y0SlRJeUpUTkJORGNsTjBRbE1rTWxNakpzYVc1clpYSlVlWEJsSlRJeUpUTkJKVEl5WW5KdmEyVnVKVEl5SlRKREpUSXliR2x1WlZOMGVXeGxKVEl5SlROQkpUZENKVEl5Y205MWJtUnBibWNsTWpJbE0wRTBKVEpESlRJeVltVm5hVzVCY25KdmQxTjBlV3hsSlRJeUpUTkJKVEl5Ym05dVpTVXlNaVV5UXlVeU1tVnVaRUZ5Y205M1UzUjViR1VsTWpJbE0wRWxNakp6YjJ4cFpFRnljbTkzSlRJeUpUSkRKVEl5YkdsdVpWZHBaSFJvSlRJeUpUTkJNU1UzUkNVeVF5VXlNbXhwYm1WVWVYQmxKVEl5SlROQkpUSXljMjlzYVdRbE1qSWxNa01sTWpKdVlXMWxKVEl5SlROQkpUSXliR2x1YTJWeUpUSXlKVEpESlRJeVpuSnZiU1V5TWlVelFTVTNRaVV5TW5nbE1qSWxNMEV6TnpZdU5qUXlNRGc1T0RRek56VWxNa01sTWpKNUpUSXlKVE5CTlRJMUpUSkRKVEl5WVc1bmJHVWxNaklsTTBFekxqRTBNVFU1TWpZMU16VTRPVGM1TXlVeVF5VXlNbWxrSlRJeUpUTkJKVEl5Ym5KWVRVTnZkSGhZVWprME5qUTFOU1V5TWlVM1JDVXlReVV5TW1sa0pUSXlKVE5CSlRJeVpVdDJZV1owYUVOTlZETTFPRGc0TlNVeU1pVXlReVV5TW5SbGVIUWxNaklsTTBFbE1qSWxNaklsTWtNbE1qSjBieVV5TWlVelFTVTNRaVV5TW5nbE1qSWxNMEUwTWpndU5qUXlNRGc1T0RRek56VWxNa01sTWpKNUpUSXlKVE5CTlRJMUpUSkRKVEl5WVc1bmJHVWxNaklsTTBFd0pUSkRKVEl5YVdRbE1qSWxNMEVsTWpKTFdHZGpZMDFMWW5sU09EWTNOVFE0SlRJeUpUZEVKVEpESlRJeVkyRjBaV2R2Y25rbE1qSWxNMEVsTWpKaVlYTnBZeVV5TWlVeVF5VXlNblJsZUhSQ2JHOWpheVV5TWlVelFTVTFRaVUxUkNVM1JDVXlReVV5TWtWeFlYRnZkRk5IUTJ3Mk56QTJOekVsTWpJbE0wRWxOMElsTWpKbWIyNTBVM1I1YkdVbE1qSWxNMEVsTjBJbE4wUWxNa01sTWpKd2IybHVkSE1sTWpJbE0wRWxOVUlsTjBJbE1qSjRKVEl5SlROQk1UZ3pMalVsTWtNbE1qSjVKVEl5SlROQk1USTNOU1UzUkNVeVF5VTNRaVV5TW5nbE1qSWxNMEV4T0RNdU5TVXlReVV5TW5rbE1qSWxNMEV4TWpjMUpUZEVKVFZFSlRKREpUSXlaR0YwWVVGMGRISnBZblYwWlhNbE1qSWxNMEVsTlVJbE5VUWxNa01sTWpKd2NtOXdjeVV5TWlVelFTVTNRaVV5TW5wcGJtUmxlQ1V5TWlVelFUWXhKVGRFSlRKREpUSXliR2x1YTJWeVZIbHdaU1V5TWlVelFTVXlNbUp5YjJ0bGJpVXlNaVV5UXlVeU1teHBibVZUZEhsc1pTVXlNaVV6UVNVM1FpVXlNbkp2ZFc1a2FXNW5KVEl5SlROQk5DVXlReVV5TW1KbFoybHVRWEp5YjNkVGRIbHNaU1V5TWlVelFTVXlNbTV2Ym1VbE1qSWxNa01sTWpKbGJtUkJjbkp2ZDFOMGVXeGxKVEl5SlROQkpUSXljMjlzYVdSQmNuSnZkeVV5TWlVeVF5VXlNbXhwYm1WWGFXUjBhQ1V5TWlVelFURWxOMFFsTWtNbE1qSnNhVzVsVkhsd1pTVXlNaVV6UVNVeU1uTnZiR2xrSlRJeUpUSkRKVEl5Ym1GdFpTVXlNaVV6UVNVeU1teHBibXRsY2lVeU1pVXlReVV5TW1aeWIyMGxNaklsTTBFbE4wSWxNako0SlRJeUpUTkJNVFV4SlRKREpUSXllU1V5TWlVelFURXlOelVsTWtNbE1qSmhibWRzWlNVeU1pVXpRVE11TVRReE5Ua3lOalV6TlRnNU56a3pOaVV5UXlVeU1tbGtKVEl5SlROQkpUSXlRMGxsV1ZKbGNucFdkVEkzT1RVek1pVXlNaVUzUkNVeVF5VXlNbWxrSlRJeUpUTkJKVEl5UlhGaGNXOTBVMGREYkRZM01EWTNNU1V5TWlVeVF5VXlNblJsZUhRbE1qSWxNMEVsTWpJbE1qSWxNa01sTWpKMGJ5VXlNaVV6UVNVM1FpVXlNbmdsTWpJbE0wRXlNVFlsTWtNbE1qSjVKVEl5SlROQk1USTNOU1V5UXlVeU1tRnVaMnhsSlRJeUpUTkJNQ1V5UXlVeU1tbGtKVEl5SlROQkpUSXlZWGhRYVZWc2QwdHFjVE14TkRRek9DVXlNaVUzUkNVeVF5VXlNbU5oZEdWbmIzSjVKVEl5SlROQkpUSXlZbUZ6YVdNbE1qSWxNa01sTWpKMFpYaDBRbXh2WTJzbE1qSWxNMEVsTlVJbE5VUWxOMFFsTWtNbE1qSnJVRU5vUkhCU1IwOW1OVFUzT1RRNUpUSXlKVE5CSlRkQ0pUSXlabTl1ZEZOMGVXeGxKVEl5SlROQkpUZENKVGRFSlRKREpUSXljRzlwYm5SekpUSXlKVE5CSlRWQ0pUZENKVEl5ZUNVeU1pVXpRVGMzTWk0eU16WXpNamd4TWpVbE1rTWxNako1SlRJeUpUTkJOVEkxSlRkRUpUSkRKVGRDSlRJeWVDVXlNaVV6UVRjM01pNHlNell6TWpneE1qVWxNa01sTWpKNUpUSXlKVE5CTlRJMUpUZEVKVFZFSlRKREpUSXlaR0YwWVVGMGRISnBZblYwWlhNbE1qSWxNMEVsTlVJbE5VUWxNa01sTWpKd2NtOXdjeVV5TWlVelFTVTNRaVV5TW5wcGJtUmxlQ1V5TWlVelFUUTRKVGRFSlRKREpUSXliR2x1YTJWeVZIbHdaU1V5TWlVelFTVXlNbUp5YjJ0bGJpVXlNaVV5UXlVeU1teHBibVZUZEhsc1pTVXlNaVV6UVNVM1FpVXlNbkp2ZFc1a2FXNW5KVEl5SlROQk5DVXlReVV5TW1KbFoybHVRWEp5YjNkVGRIbHNaU1V5TWlVelFTVXlNbTV2Ym1VbE1qSWxNa01sTWpKbGJtUkJjbkp2ZDFOMGVXeGxKVEl5SlROQkpUSXljMjlzYVdSQmNuSnZkeVV5TWlVeVF5VXlNbXhwYm1WWGFXUjBhQ1V5TWlVelFURWxOMFFsTWtNbE1qSnNhVzVsVkhsd1pTVXlNaVV6UVNVeU1uTnZiR2xrSlRJeUpUSkRKVEl5Ym1GdFpTVXlNaVV6UVNVeU1teHBibXRsY2lVeU1pVXlReVV5TW1aeWIyMGxNaklsTTBFbE4wSWxNako0SlRJeUpUTkJOelEyTGpJek5qTXlPREV5TlNVeVF5VXlNbmtsTWpJbE0wRTFNalVsTWtNbE1qSmhibWRzWlNVeU1pVXpRVE11TVRReE5Ua3lOalV6TlRnNU56a3pKVEpESlRJeWFXUWxNaklsTTBFbE1qSkxXR2RqWTAxTFlubFNPRFkzTlRRNEpUSXlKVGRFSlRKREpUSXlhV1FsTWpJbE0wRWxNakpyVUVOb1JIQlNSMDltTlRVM09UUTVKVEl5SlRKREpUSXlkR1Y0ZENVeU1pVXpRU1V5TWlVeU1pVXlReVV5TW5SdkpUSXlKVE5CSlRkQ0pUSXllQ1V5TWlVelFUYzVPQzR5TXpZek1qZ3hNalVsTWtNbE1qSjVKVEl5SlROQk5USTFKVEpESlRJeVlXNW5iR1VsTWpJbE0wRXdKVEpESlRJeWFXUWxNaklsTTBFbE1qSmlWVVpQZGtwSGIzaFhNRFl6T0RVd0pUSXlKVGRFSlRKREpUSXlZMkYwWldkdmNua2xNaklsTTBFbE1qSmlZWE5wWXlVeU1pVXlReVV5TW5SbGVIUkNiRzlqYXlVeU1pVXpRU1UxUWlVMVJDVTNSQ1V5UXlVeU1rbFRTbEp4UkV0aVRIZ3pNalEwTVRrbE1qSWxNMEVsTjBJbE1qSm1iMjUwVTNSNWJHVWxNaklsTTBFbE4wSWxOMFFsTWtNbE1qSndiMmx1ZEhNbE1qSWxNMEVsTlVJbE4wSWxNako0SlRJeUpUTkJORFV3TGpjNU1EWTBPVFF4TkRBMk1qVWxNa01sTWpKNUpUSXlKVE5CTVRJM05TVTNSQ1V5UXlVM1FpVXlNbmdsTWpJbE0wRTBOVEF1Tnprd05qUTVOREUwTURZeU5TVXlReVV5TW5rbE1qSWxNMEV4TXpVMkpUZEVKVFZFSlRKREpUSXlaR0YwWVVGMGRISnBZblYwWlhNbE1qSWxNMEVsTlVJbE5VUWxNa01sTWpKd2NtOXdjeVV5TWlVelFTVTNRaVV5TW5wcGJtUmxlQ1V5TWlVelFUWXlKVGRFSlRKREpUSXliR2x1YTJWeVZIbHdaU1V5TWlVelFTVXlNbUp5YjJ0bGJpVXlNaVV5UXlVeU1teHBibVZUZEhsc1pTVXlNaVV6UVNVM1FpVXlNbkp2ZFc1a2FXNW5KVEl5SlROQk5DVXlReVV5TW1KbFoybHVRWEp5YjNkVGRIbHNaU1V5TWlVelFTVXlNbTV2Ym1VbE1qSWxNa01sTWpKbGJtUkJjbkp2ZDFOMGVXeGxKVEl5SlROQkpUSXljMjlzYVdSQmNuSnZkeVV5TWlVeVF5VXlNbXhwYm1WWGFXUjBhQ1V5TWlVelFURWxOMFFsTWtNbE1qSnNhVzVsVkhsd1pTVXlNaVV6UVNVeU1uTnZiR2xrSlRJeUpUSkRKVEl5Ym1GdFpTVXlNaVV6UVNVeU1teHBibXRsY2lVeU1pVXlReVV5TW1aeWIyMGxNaklsTTBFbE4wSWxNako0SlRJeUpUTkJNemMyTGpZME1qQTRPVGcwTXpjMUpUSkRKVEl5ZVNVeU1pVXpRVEV5TnpVbE1rTWxNakpoYm1kc1pTVXlNaVV6UVRNdU1UUXhOVGt5TmpVek5UZzVOemt6SlRKREpUSXlhV1FsTWpJbE0wRWxNakpoZUZCcFZXeDNTMnB4TXpFME5ETTRKVEl5SlRkRUpUSkRKVEl5YVdRbE1qSWxNMEVsTWpKSlUwcFNjVVJMWWt4NE16STBOREU1SlRJeUpUSkRKVEl5ZEdWNGRDVXlNaVV6UVNVeU1pVXlNaVV5UXlVeU1uUnZKVEl5SlROQkpUZENKVEl5ZUNVeU1pVXpRVFV5TkM0NU16a3lNRGc1T0RRek56VWxNa01sTWpKNUpUSXlKVE5CTVRNMU5pVXlReVV5TW1GdVoyeGxKVEl5SlROQk1DVXlReVV5TW1sa0pUSXlKVE5CSlRJeVFuWlBaMWx4WkZsMGVERXpNalUxTmlVeU1pVTNSQ1V5UXlVeU1tTmhkR1ZuYjNKNUpUSXlKVE5CSlRJeVltRnphV01sTWpJbE1rTWxNakowWlhoMFFteHZZMnNsTWpJbE0wRWxOVUlsTlVRbE4wUWxNa01sTWpKUFUwTkliVnAxYTNka09EQXdPREF5SlRJeUpUTkJKVGRDSlRJeVptOXVkRk4wZVd4bEpUSXlKVE5CSlRkQ0pUZEVKVEpESlRJeWNHOXBiblJ6SlRJeUpUTkJKVFZDSlRkQ0pUSXllQ1V5TWlVelFUY3lOQzR3T0RjM05qZzFOVFEyT0RjMUpUSkRKVEl5ZVNVeU1pVXpRVEV4TWpVbE4wUWxNa01sTjBJbE1qSjRKVEl5SlROQk56STBMakE0TnpjMk9EVTFORFk0TnpVbE1rTWxNako1SlRJeUpUTkJNVEV5TlNVM1JDVTFSQ1V5UXlVeU1tUmhkR0ZCZEhSeWFXSjFkR1Z6SlRJeUpUTkJKVFZDSlRWRUpUSkRKVEl5Y0hKdmNITWxNaklsTTBFbE4wSWxNako2YVc1a1pYZ2xNaklsTTBFMk1DVTNSQ1V5UXlVeU1teHBibXRsY2xSNWNHVWxNaklsTTBFbE1qSmljbTlyWlc0bE1qSWxNa01sTWpKc2FXNWxVM1I1YkdVbE1qSWxNMEVsTjBJbE1qSnliM1Z1WkdsdVp5VXlNaVV6UVRRbE1rTWxNakppWldkcGJrRnljbTkzVTNSNWJHVWxNaklsTTBFbE1qSnViMjVsSlRJeUpUSkRKVEl5Wlc1a1FYSnliM2RUZEhsc1pTVXlNaVV6UVNVeU1uTnZiR2xrUVhKeWIzY2xNaklsTWtNbE1qSnNhVzVsVjJsa2RHZ2xNaklsTTBFeEpUZEVKVEpESlRJeWJHbHVaVlI1Y0dVbE1qSWxNMEVsTWpKemIyeHBaQ1V5TWlVeVF5VXlNbTVoYldVbE1qSWxNMEVsTWpKc2FXNXJaWElsTWpJbE1rTWxNakptY205dEpUSXlKVE5CSlRkQ0pUSXllQ1V5TWlVelFUWTBPUzQ1TXpreU1EZzVPRFF6TnpVbE1rTWxNako1SlRJeUpUTkJNVEV5TlNVeVF5VXlNbUZ1WjJ4bEpUSXlKVE5CTXk0eE5ERTFPVEkyTlRNMU9EazNPVE0ySlRKREpUSXlhV1FsTWpJbE0wRWxNakozVlVaTlUzQmxjV2h1TWpjNU1qZ3lKVEl5SlRkRUpUSkRKVEl5YVdRbE1qSWxNMEVsTWpKUFUwTkliVnAxYTNka09EQXdPREF5SlRJeUpUSkRKVEl5ZEdWNGRDVXlNaVV6UVNVeU1pVXlNaVV5UXlVeU1uUnZKVEl5SlROQkpUZENKVEl5ZUNVeU1pVXpRVGM1T0M0eU16WXpNamd4TWpVbE1rTWxNako1SlRJeUpUTkJNVEV5TlNVeVF5VXlNbUZ1WjJ4bEpUSXlKVE5CTUNVeVF5VXlNbWxrSlRJeUpUTkJKVEl5U25wUVdYWjBWRko2YURjME9EVTRNU1V5TWlVM1JDVXlReVV5TW1OaGRHVm5iM0o1SlRJeUpUTkJKVEl5WW1GemFXTWxNaklsTWtNbE1qSjBaWGgwUW14dlkyc2xNaklsTTBFbE5VSWxOVVFsTjBRbE1rTWxNakoyYmtoQ1UxaEJRVWhpTXpBNU5qWXlKVEl5SlROQkpUZENKVEl5Wm05dWRGTjBlV3hsSlRJeUpUTkJKVGRDSlRkRUpUSkRKVEl5Y0c5cGJuUnpKVEl5SlROQkpUVkNKVGRDSlRJeWVDVXlNaVV6UVRFNE15NDFKVEpESlRJeWVTVXlNaVV6UVRFMU56VWxOMFFsTWtNbE4wSWxNako0SlRJeUpUTkJNVGd6TGpVbE1rTWxNako1SlRJeUpUTkJNVFUzTlNVM1JDVTFSQ1V5UXlVeU1tUmhkR0ZCZEhSeWFXSjFkR1Z6SlRJeUpUTkJKVFZDSlRWRUpUSkRKVEl5Y0hKdmNITWxNaklsTTBFbE4wSWxNako2YVc1a1pYZ2xNaklsTTBFMk5DVTNSQ1V5UXlVeU1teHBibXRsY2xSNWNHVWxNaklsTTBFbE1qSmljbTlyWlc0bE1qSWxNa01sTWpKc2FXNWxVM1I1YkdVbE1qSWxNMEVsTjBJbE1qSnliM1Z1WkdsdVp5VXlNaVV6UVRRbE1rTWxNakppWldkcGJrRnljbTkzVTNSNWJHVWxNaklsTTBFbE1qSnViMjVsSlRJeUpUSkRKVEl5Wlc1a1FYSnliM2RUZEhsc1pTVXlNaVV6UVNVeU1uTnZiR2xrUVhKeWIzY2xNaklsTWtNbE1qSnNhVzVsVjJsa2RHZ2xNaklsTTBFeEpUZEVKVEpESlRJeWJHbHVaVlI1Y0dVbE1qSWxNMEVsTWpKemIyeHBaQ1V5TWlVeVF5VXlNbTVoYldVbE1qSWxNMEVsTWpKc2FXNXJaWElsTWpJbE1rTWxNakptY205dEpUSXlKVE5CSlRkQ0pUSXllQ1V5TWlVelFURTFNU1V5UXlVeU1ua2xNaklsTTBFeE5UYzFKVEpESlRJeVlXNW5iR1VsTWpJbE0wRXpMakUwTVRVNU1qWTFNelU0T1RjNU16WWxNa01sTWpKcFpDVXlNaVV6UVNVeU1reGtXRWhaV1hsclIxZzRPRFEzTmpNbE1qSWxOMFFsTWtNbE1qSnBaQ1V5TWlVelFTVXlNblp1U0VKVFdFRkJTR0l6TURrMk5qSWxNaklsTWtNbE1qSjBaWGgwSlRJeUpUTkJKVEl5SlRJeUpUSkRKVEl5ZEc4bE1qSWxNMEVsTjBJbE1qSjRKVEl5SlROQk1qRTJKVEpESlRJeWVTVXlNaVV6UVRFMU56VWxNa01sTWpKaGJtZHNaU1V5TWlVelFUQWxNa01sTWpKcFpDVXlNaVV6UVNVeU1tNTBkVkZ5WTNWeFRWZzJPRFkwTkRJbE1qSWxOMFFsTWtNbE1qSmpZWFJsWjI5eWVTVXlNaVV6UVNVeU1tSmhjMmxqSlRJeUpUSkRKVEl5ZEdWNGRFSnNiMk5ySlRJeUpUTkJKVFZDSlRWRUpUZEVKVEpESlRJeVVHWlpTRWwwZUhaV2NqTTFOVEkwTkNVeU1pVXpRU1UzUWlVeU1tWnZiblJUZEhsc1pTVXlNaVV6UVNVM1FpVTNSQ1V5UXlVeU1uQnZhVzUwY3lVeU1pVXpRU1UxUWlVM1FpVXlNbmdsTWpJbE0wRTBOVEF1Tnprd05qUTVOREUwTURZeU5TVXlReVV5TW5rbE1qSWxNMEUyTnpVbE4wUWxNa01sTjBJbE1qSjRKVEl5SlROQk5EVXdMamM1TURZME9UUXhOREEyTWpVbE1rTWxNako1SlRJeUpUTkJOamMxSlRkRUpUVkVKVEpESlRJeVpHRjBZVUYwZEhKcFluVjBaWE1sTWpJbE0wRWxOVUlsTlVRbE1rTWxNakp3Y205d2N5VXlNaVV6UVNVM1FpVXlNbnBwYm1SbGVDVXlNaVV6UVRVd0pUZEVKVEpESlRJeWJHbHVhMlZ5Vkhsd1pTVXlNaVV6UVNVeU1tSnliMnRsYmlVeU1pVXlReVV5TW14cGJtVlRkSGxzWlNVeU1pVXpRU1UzUWlVeU1uSnZkVzVrYVc1bkpUSXlKVE5CTkNVeVF5VXlNbUpsWjJsdVFYSnliM2RUZEhsc1pTVXlNaVV6UVNVeU1tNXZibVVsTWpJbE1rTWxNakpsYm1SQmNuSnZkMU4wZVd4bEpUSXlKVE5CSlRJeWMyOXNhV1JCY25KdmR5VXlNaVV5UXlVeU1teHBibVZYYVdSMGFDVXlNaVV6UVRFbE4wUWxNa01sTWpKc2FXNWxWSGx3WlNVeU1pVXpRU1V5TW5OdmJHbGtKVEl5SlRKREpUSXlibUZ0WlNVeU1pVXpRU1V5TW14cGJtdGxjaVV5TWlVeVF5VXlNbVp5YjIwbE1qSWxNMEVsTjBJbE1qSjRKVEl5SlROQk16YzJMalkwTWpBNE9UZzBNemMxSlRKREpUSXllU1V5TWlVelFUWTNOU1V5UXlVeU1tRnVaMnhsSlRJeUpUTkJNeTR4TkRFMU9USTJOVE0xT0RrM09UTWxNa01sTWpKcFpDVXlNaVV6UVNVeU1scGxjR3RVY1hSclZYSTVOVGs0TURZbE1qSWxOMFFsTWtNbE1qSnBaQ1V5TWlVelFTVXlNbEJtV1VoSmRIaDJWbkl6TlRVeU5EUWxNaklsTWtNbE1qSjBaWGgwSlRJeUpUTkJKVEl5SlRJeUpUSkRKVEl5ZEc4bE1qSWxNMEVsTjBJbE1qSjRKVEl5SlROQk5USTBMamt6T1RJd09EazRORE0zTlNVeVF5VXlNbmtsTWpJbE0wRTJOelVsTWtNbE1qSmhibWRzWlNVeU1pVXpRVEFsTWtNbE1qSnBaQ1V5TWlVelFTVXlNbTlzVVhKSVdHNXJVMG80TnpBek9EY2xNaklsTjBRbE1rTWxNakpqWVhSbFoyOXllU1V5TWlVelFTVXlNbUpoYzJsakpUSXlKVEpESlRJeWRHVjRkRUpzYjJOckpUSXlKVE5CSlRWQ0pUVkVKVGRFSlRKREpUSXlVRkJUY2tkbWRYbDBialF4TkRRMk15VXlNaVV6UVNVM1FpVXlNbVp2Ym5SVGRIbHNaU1V5TWlVelFTVTNRaVUzUkNVeVF5VXlNbkJ2YVc1MGN5VXlNaVV6UVNVMVFpVTNRaVV5TW5nbE1qSWxNMEV4TnpjbE1rTWxNako1SlRJeUpUTkJNVEV5TlNVM1JDVXlReVUzUWlVeU1uZ2xNaklsTTBFeE56Y2xNa01sTWpKNUpUSXlKVE5CTVRFeU5TVTNSQ1UxUkNVeVF5VXlNbVJoZEdGQmRIUnlhV0oxZEdWekpUSXlKVE5CSlRWQ0pUVkVKVEpESlRJeWNISnZjSE1sTWpJbE0wRWxOMElsTWpKNmFXNWtaWGdsTWpJbE0wRTFPQ1UzUkNVeVF5VXlNbXhwYm10bGNsUjVjR1VsTWpJbE0wRWxNakppY205clpXNGxNaklsTWtNbE1qSnNhVzVsVTNSNWJHVWxNaklsTTBFbE4wSWxNakp5YjNWdVpHbHVaeVV5TWlVelFUUWxNa01sTWpKaVpXZHBia0Z5Y205M1UzUjViR1VsTWpJbE0wRWxNakp1YjI1bEpUSXlKVEpESlRJeVpXNWtRWEp5YjNkVGRIbHNaU1V5TWlVelFTVXlNbk52Ykdsa1FYSnliM2NsTWpJbE1rTWxNakpzYVc1bFYybGtkR2dsTWpJbE0wRXhKVGRFSlRKREpUSXliR2x1WlZSNWNHVWxNaklsTTBFbE1qSnpiMnhwWkNVeU1pVXlReVV5TW01aGJXVWxNaklsTTBFbE1qSnNhVzVyWlhJbE1qSWxNa01sTWpKbWNtOXRKVEl5SlROQkpUZENKVEl5ZUNVeU1pVXpRVEV6T0NVeVF5VXlNbmtsTWpJbE0wRXhNVEkxSlRKREpUSXlZVzVuYkdVbE1qSWxNMEV6TGpFME1UVTVNalkxTXpVNE9UYzVNellsTWtNbE1qSnBaQ1V5TWlVelFTVXlNblZvZUUxQlZXdHdUMVl5T1RRek5qRWxNaklsTjBRbE1rTWxNakpwWkNVeU1pVXpRU1V5TWxCUVUzSkhablY1ZEc0ME1UUTBOak1sTWpJbE1rTWxNakowWlhoMEpUSXlKVE5CSlRJeUpUSXlKVEpESlRJeWRHOGxNaklsTTBFbE4wSWxNako0SlRJeUpUTkJNakUySlRKREpUSXllU1V5TWlVelFURXhNalVsTWtNbE1qSmhibWRzWlNVeU1pVXpRVEFsTWtNbE1qSnBaQ1V5TWlVelFTVXlNa0pZUTNSNWMydEhVa2syTURjeU1EUWxNaklsTjBRbE1rTWxNakpqWVhSbFoyOXllU1V5TWlVelFTVXlNbUpoYzJsakpUSXlKVEpESlRJeWRHVjRkRUpzYjJOckpUSXlKVE5CSlRWQ0pUVkVKVGRFSlRKREpUSXlXVXBJUldwd2RVTlZkRE0zTVRZeU1TVXlNaVV6UVNVM1FpVXlNbVp2Ym5SVGRIbHNaU1V5TWlVelFTVTNRaVUzUkNVeVF5VXlNbkJ2YVc1MGN5VXlNaVV6UVNVMVFpVTNRaVV5TW5nbE1qSWxNMEV4T1RBbE1rTWxNako1SlRJeUpUTkJNemMxSlRkRUpUSkRKVGRDSlRJeWVDVXlNaVV6UVRFNU1DVXlReVV5TW5rbE1qSWxNMEV6TnpVbE4wUWxOVVFsTWtNbE1qSmtZWFJoUVhSMGNtbGlkWFJsY3lVeU1pVXpRU1UxUWlVMVJDVXlReVV5TW5CeWIzQnpKVEl5SlROQkpUZENKVEl5ZW1sdVpHVjRKVEl5SlROQk5ETWxOMFFsTWtNbE1qSnNhVzVyWlhKVWVYQmxKVEl5SlROQkpUSXlZbkp2YTJWdUpUSXlKVEpESlRJeWJHbHVaVk4wZVd4bEpUSXlKVE5CSlRkQ0pUSXljbTkxYm1ScGJtY2xNaklsTTBFMEpUSkRKVEl5WW1WbmFXNUJjbkp2ZDFOMGVXeGxKVEl5SlROQkpUSXlibTl1WlNVeU1pVXlReVV5TW1WdVpFRnljbTkzVTNSNWJHVWxNaklsTTBFbE1qSnpiMnhwWkVGeWNtOTNKVEl5SlRKREpUSXliR2x1WlZkcFpIUm9KVEl5SlROQk1TVTNSQ1V5UXlVeU1teHBibVZVZVhCbEpUSXlKVE5CSlRJeWMyOXNhV1FsTWpJbE1rTWxNakp1WVcxbEpUSXlKVE5CSlRJeWJHbHVhMlZ5SlRJeUpUSkRKVEl5Wm5KdmJTVXlNaVV6UVNVM1FpVXlNbmdsTWpJbE0wRXhOalFsTWtNbE1qSjVKVEl5SlROQk16YzFKVEpESlRJeVlXNW5iR1VsTWpJbE0wRXpMakUwTVRVNU1qWTFNelU0T1RjNU16WWxNa01sTWpKcFpDVXlNaVV6UVNVeU1uTlNia3RpY2xkWFZIQTNNakl3T0RZbE1qSWxOMFFsTWtNbE1qSnBaQ1V5TWlVelFTVXlNbGxLU0VWcWNIVkRWWFF6TnpFMk1qRWxNaklsTWtNbE1qSjBaWGgwSlRJeUpUTkJKVEl5SlRJeUpUSkRKVEl5ZEc4bE1qSWxNMEVsTjBJbE1qSjRKVEl5SlROQk1qRTJKVEpESlRJeWVTVXlNaVV6UVRNM05TVXlReVV5TW1GdVoyeGxKVEl5SlROQk1DVXlReVV5TW1sa0pUSXlKVE5CSlRJeVMxUlpkRzEzVTIxQ1p6UXpOakUzTnlVeU1pVTNSQ1V5UXlVeU1tTmhkR1ZuYjNKNUpUSXlKVE5CSlRJeVltRnphV01sTWpJbE1rTWxNakowWlhoMFFteHZZMnNsTWpJbE0wRWxOVUlsTlVRbE4wUWxNa01sTWpKNVMzUkxlR3BLWVZOTk1EYzFNRGN5SlRJeUpUTkJKVGRDSlRJeVptOXVkRk4wZVd4bEpUSXlKVE5CSlRkQ0pUZEVKVEpESlRJeWNHOXBiblJ6SlRJeUpUTkJKVFZDSlRkQ0pUSXllQ1V5TWlVelFUUTFNQzQzT1RBMk5EazBNVFF3TmpJMUpUSkRKVEl5ZVNVeU1pVXpRVGd5TlNVM1JDVXlReVUzUWlVeU1uZ2xNaklsTTBFME5UQXVOemt3TmpRNU5ERTBNRFl5TlNVeVF5VXlNbmtsTWpJbE0wRTRNalVsTjBRbE5VUWxNa01sTWpKa1lYUmhRWFIwY21saWRYUmxjeVV5TWlVelFTVTFRaVUxUkNVeVF5VXlNbkJ5YjNCekpUSXlKVE5CSlRkQ0pUSXllbWx1WkdWNEpUSXlKVE5CTlRNbE4wUWxNa01sTWpKc2FXNXJaWEpVZVhCbEpUSXlKVE5CSlRJeVluSnZhMlZ1SlRJeUpUSkRKVEl5YkdsdVpWTjBlV3hsSlRJeUpUTkJKVGRDSlRJeWNtOTFibVJwYm1jbE1qSWxNMEUwSlRKREpUSXlZbVZuYVc1QmNuSnZkMU4wZVd4bEpUSXlKVE5CSlRJeWJtOXVaU1V5TWlVeVF5VXlNbVZ1WkVGeWNtOTNVM1I1YkdVbE1qSWxNMEVsTWpKemIyeHBaRUZ5Y205M0pUSXlKVEpESlRJeWJHbHVaVmRwWkhSb0pUSXlKVE5CTVNVM1JDVXlReVV5TW14cGJtVlVlWEJsSlRJeUpUTkJKVEl5YzI5c2FXUWxNaklsTWtNbE1qSnVZVzFsSlRJeUpUTkJKVEl5YkdsdWEyVnlKVEl5SlRKREpUSXlabkp2YlNVeU1pVXpRU1UzUWlVeU1uZ2xNaklsTTBFek56WXVOalF5TURnNU9EUXpOelVsTWtNbE1qSjVKVEl5SlROQk9ESTFKVEpESlRJeVlXNW5iR1VsTWpJbE0wRXpMakUwTVRVNU1qWTFNelU0T1RjNU15VXlReVV5TW1sa0pUSXlKVE5CSlRJeWFrOUtabE5IVFc1c1NUQXpNalExTUNVeU1pVTNSQ1V5UXlVeU1tbGtKVEl5SlROQkpUSXllVXQwUzNocVNtRlRUVEEzTlRBM01pVXlNaVV5UXlVeU1uUmxlSFFsTWpJbE0wRWxNaklsTWpJbE1rTWxNakowYnlVeU1pVXpRU1UzUWlVeU1uZ2xNaklsTTBFMU1qUXVPVE01TWpBNE9UZzBNemMxSlRKREpUSXllU1V5TWlVelFUZ3lOU1V5UXlVeU1tRnVaMnhsSlRJeUpUTkJNQ1V5UXlVeU1tbGtKVEl5SlROQkpUSXllSGw0YzAxWVdHbFZTalUwTXpnMU1pVXlNaVUzUkNVeVF5VXlNbU5oZEdWbmIzSjVKVEl5SlROQkpUSXlZbUZ6YVdNbE1qSWxNa01sTWpKMFpYaDBRbXh2WTJzbE1qSWxNMEVsTlVJbE5VUWxOMFFsTWtNbE1qSndSbGhIUjFoWmJsQnVPVGd3TURNekpUSXlKVE5CSlRkQ0pUSXlabTl1ZEZOMGVXeGxKVEl5SlROQkpUZENKVGRFSlRKREpUSXljRzlwYm5SekpUSXlKVE5CSlRWQ0pUZENKVEl5ZUNVeU1pVXpRVFExTUM0M09UQTJNRFEwT1RJeE9EYzFKVEpESlRJeWVTVXlNaVV6UVRFME1qVWxOMFFsTWtNbE4wSWxNako0SlRJeUpUTkJORFV3TGpjNU1EWXdORFE1TWpFNE56VWxNa01sTWpKNUpUSXlKVE5CTVRNMU5pVTNSQ1UxUkNVeVF5VXlNbVJoZEdGQmRIUnlhV0oxZEdWekpUSXlKVE5CSlRWQ0pUVkVKVEpESlRJeWNISnZjSE1sTWpJbE0wRWxOMElsTWpKNmFXNWtaWGdsTWpJbE0wRTJPU1UzUkNVeVF5VXlNbXhwYm10bGNsUjVjR1VsTWpJbE0wRWxNakppY205clpXNGxNaklsTWtNbE1qSnNhVzVsVTNSNWJHVWxNaklsTTBFbE4wSWxNakpzYVc1bFUzUjViR1VsTWpJbE0wRWxNakp6YjJ4cFpDVXlNaVV5UXlVeU1uSnZkVzVrYVc1bkpUSXlKVE5CTkNVeVF5VXlNbUpsWjJsdVFYSnliM2RUZEhsc1pTVXlNaVV6UVNVeU1tNXZibVVsTWpJbE1rTWxNakpsYm1SQmNuSnZkMU4wZVd4bEpUSXlKVE5CSlRJeWMyOXNhV1JCY25KdmR5VXlNaVV5UXlVeU1teHBibVZYYVdSMGFDVXlNaVV6UVRFbE1rTWxNakprY21GM1ZIbHdaU1V5TWlVelFTVXlNbTV2Ym1VbE1qSWxOMFFsTWtNbE1qSnNhVzVsVkhsd1pTVXlNaVV6UVNVeU1tUmhjMmhsWkNVeU1pVXlReVV5TW01aGJXVWxNaklsTTBFbE1qSnNhVzVyWlhJbE1qSWxNa01sTWpKbWNtOXRKVEl5SlROQkpUZENKVEl5ZUNVeU1pVXpRVE0zTmk0Mk5ESWxNa01sTWpKNUpUSXlKVE5CTVRReU5TVXlReVV5TW1GdVoyeGxKVEl5SlROQk15NHhOREUxT1RJMk5UTTFPRGszT1RNMkpUSkRKVEl5YVdRbE1qSWxNMEVsTWpKc2JFRkVXRTVIY0dOdE5ESTBNRE14SlRJeUpUZEVKVEpESlRJeWFXUWxNaklsTTBFbE1qSndSbGhIUjFoWmJsQnVPVGd3TURNekpUSXlKVEpESlRJeWRHVjRkQ1V5TWlVelFTVXlNaVZGTkNWQ09DVTRSU1ZGTlNVNFJTVTVSaVZGTmlVNU5pVTVPU1ZGTlNVNE55VTROaVZGTlNWQk5DVTROeVZGTlNVNE5TVkNNU1ZGTnlVNU5DVkJPQ1V5TWlVeVF5VXlNblJ2SlRJeUpUTkJKVGRDSlRJeWVDVXlNaVV6UVRVeU5DNDVNemt5TURnNU9EUXpOelVsTWtNbE1qSjVKVEl5SlROQk1UTTFOaVV5UXlVeU1tRnVaMnhsSlRJeUpUTkJNQ1V5UXlVeU1tbGtKVEl5SlROQkpUSXlRblpQWjFseFpGbDBlREV6TWpVMU5pVXlNaVUzUkNVeVF5VXlNbU5oZEdWbmIzSjVKVEl5SlROQkpUSXlZbUZ6YVdNbE1qSWxNa01sTWpKMFpYaDBRbXh2WTJzbE1qSWxNMEVsTlVJbE4wSWxNakowWlhoMEpUSXlKVE5CSlRJeUpVVTBKVUk0SlRoRkpVVTFKVGhGSlRsR0pVVTJKVGsySlRrNUpVVTFKVGczSlRnMkpVVTFKVUUwSlRnM0pVVTFKVGcxSlVJeEpVVTNKVGswSlVFNEpUSXlKVEpESlRJeWJHOWpZWFJwYjI0bE1qSWxNMEV3TGpVbE4wUWxOVVFsTjBRbE1rTWxNakpZWjNOUGJGZDVTV3RxTWpVME5ETTFKVEl5SlROQkpUZENKVEl5Wm05dWRGTjBlV3hsSlRJeUpUTkJKVGRDSlRkRUpUSkRKVEl5Y0c5cGJuUnpKVEl5SlROQkpUVkNKVGRDSlRJeWVDVXlNaVV6UVRjeU5DNHdPRGMzTmpnMU5UUTJPRGMxSlRKREpUSXllU1V5TWlVelFUWTNOU1UzUkNVeVF5VTNRaVV5TW5nbE1qSWxNMEUzTWpRdU1EZzNOelk0TlRVME5qZzNOU1V5UXlVeU1ua2xNaklsTTBFMk56VWxOMFFsTlVRbE1rTWxNakprWVhSaFFYUjBjbWxpZFhSbGN5VXlNaVV6UVNVMVFpVTFSQ1V5UXlVeU1uQnliM0J6SlRJeUpUTkJKVGRDSlRJeWVtbHVaR1Y0SlRJeUpUTkJOVEVsTjBRbE1rTWxNakpzYVc1clpYSlVlWEJsSlRJeUpUTkJKVEl5WW5KdmEyVnVKVEl5SlRKREpUSXliR2x1WlZOMGVXeGxKVEl5SlROQkpUZENKVEl5Y205MWJtUnBibWNsTWpJbE0wRTBKVEpESlRJeVltVm5hVzVCY25KdmQxTjBlV3hsSlRJeUpUTkJKVEl5Ym05dVpTVXlNaVV5UXlVeU1tVnVaRUZ5Y205M1UzUjViR1VsTWpJbE0wRWxNakp6YjJ4cFpFRnljbTkzSlRJeUpUSkRKVEl5YkdsdVpWZHBaSFJvSlRJeUpUTkJNU1UzUkNVeVF5VXlNbXhwYm1WVWVYQmxKVEl5SlROQkpUSXljMjlzYVdRbE1qSWxNa01sTWpKdVlXMWxKVEl5SlROQkpUSXliR2x1YTJWeUpUSXlKVEpESlRJeVpuSnZiU1V5TWlVelFTVTNRaVV5TW5nbE1qSWxNMEUyTkRrdU9UTTVNakE0T1RnME16YzFKVEpESlRJeWVTVXlNaVV6UVRZM05TVXlReVV5TW1GdVoyeGxKVEl5SlROQk15NHhOREUxT1RJMk5UTTFPRGszT1RNMkpUSkRKVEl5YVdRbE1qSWxNMEVsTWpKdmJGRnlTRmh1YTFOS09EY3dNemczSlRJeUpUZEVKVEpESlRJeWFXUWxNaklsTTBFbE1qSllaM05QYkZkNVNXdHFNalUwTkRNMUpUSXlKVEpESlRJeWRHVjRkQ1V5TWlVelFTVXlNaVV5TWlVeVF5VXlNblJ2SlRJeUpUTkJKVGRDSlRJeWVDVXlNaVV6UVRjNU9DNHlNell6TWpneE1qVWxNa01sTWpKNUpUSXlKVE5CTmpjMUpUSkRKVEl5WVc1bmJHVWxNaklsTTBFd0pUSkRKVEl5YVdRbE1qSWxNMEVsTWpKalRVbFVSblp6WTFsck56TTVOVEEwSlRJeUpUZEVKVEpESlRJeVkyRjBaV2R2Y25rbE1qSWxNMEVsTWpKaVlYTnBZeVV5TWlVeVF5VXlNblJsZUhSQ2JHOWpheVV5TWlVelFTVTFRaVUxUkNVM1JDVXlReVV5TWtGNFdHaGphRlJhYjBZNE1qVXpPREVsTWpJbE0wRWxOMElsTWpKbWIyNTBVM1I1YkdVbE1qSWxNMEVsTjBJbE4wUWxNa01sTWpKd2IybHVkSE1sTWpJbE0wRWxOVUlsTjBJbE1qSjRKVEl5SlROQk56STBMakE0TnpjMk9EVTFORFk0TnpVbE1rTWxNako1SlRJeUpUTkJNVE0xTmlVM1JDVXlReVUzUWlVeU1uZ2xNaklsTTBFM01qUXVNRGczTnpZNE5UVTBOamczTlNVeVF5VXlNbmtsTWpJbE0wRXhNelUySlRkRUpUVkVKVEpESlRJeVpHRjBZVUYwZEhKcFluVjBaWE1sTWpJbE0wRWxOVUlsTlVRbE1rTWxNakp3Y205d2N5VXlNaVV6UVNVM1FpVXlNbnBwYm1SbGVDVXlNaVV6UVRZekpUZEVKVEpESlRJeWJHbHVhMlZ5Vkhsd1pTVXlNaVV6UVNVeU1tSnliMnRsYmlVeU1pVXlReVV5TW14cGJtVlRkSGxzWlNVeU1pVXpRU1UzUWlVeU1uSnZkVzVrYVc1bkpUSXlKVE5CTkNVeVF5VXlNbUpsWjJsdVFYSnliM2RUZEhsc1pTVXlNaVV6UVNVeU1tNXZibVVsTWpJbE1rTWxNakpsYm1SQmNuSnZkMU4wZVd4bEpUSXlKVE5CSlRJeWMyOXNhV1JCY25KdmR5VXlNaVV5UXlVeU1teHBibVZYYVdSMGFDVXlNaVV6UVRFbE4wUWxNa01sTWpKc2FXNWxWSGx3WlNVeU1pVXpRU1V5TW5OdmJHbGtKVEl5SlRKREpUSXlibUZ0WlNVeU1pVXpRU1V5TW14cGJtdGxjaVV5TWlVeVF5VXlNbVp5YjIwbE1qSWxNMEVsTjBJbE1qSjRKVEl5SlROQk5qUTVMamt6T1RJd09EazRORE0zTlNVeVF5VXlNbmtsTWpJbE0wRXhNelUySlRKREpUSXlZVzVuYkdVbE1qSWxNMEV6TGpFME1UVTVNalkxTXpVNE9UYzVNellsTWtNbE1qSnBaQ1V5TWlVelFTVXlNa0oyVDJkWmNXUlpkSGd4TXpJMU5UWWxNaklsTjBRbE1rTWxNakpwWkNVeU1pVXpRU1V5TWtGNFdHaGphRlJhYjBZNE1qVXpPREVsTWpJbE1rTWxNakowWlhoMEpUSXlKVE5CSlRJeUpUSXlKVEpESlRJeWRHOGxNaklsTTBFbE4wSWxNako0SlRJeUpUTkJOems0TGpJek5qTXlPREV5TlNVeVF5VXlNbmtsTWpJbE0wRXhNelUySlRKREpUSXlZVzVuYkdVbE1qSWxNMEV3SlRKREpUSXlhV1FsTWpJbE0wRWxNakppYWtSR1NWaHdRa0pqTURrMU16QXpKVEl5SlRkRUpUSkRKVEl5WTJGMFpXZHZjbmtsTWpJbE0wRWxNakppWVhOcFl5VXlNaVV5UXlVeU1uUmxlSFJDYkc5amF5VXlNaVV6UVNVMVFpVTFSQ1UzUkNVeVF5VXlNa3BEV0hCTFVHZEhTSGczT1RNMk9URWxNaklsTTBFbE4wSWxNakptYjI1MFUzUjViR1VsTWpJbE0wRWxOMElsTjBRbE1rTWxNakp3YjJsdWRITWxNaklsTTBFbE5VSWxOMElsTWpKNEpUSXlKVE5CTVRjM0pUSkRKVEl5ZVNVeU1pVXpRVEUwTWpVbE4wUWxNa01sTjBJbE1qSjRKVEl5SlROQk1UYzNKVEpESlRJeWVTVXlNaVV6UVRFME1qVWxOMFFsTlVRbE1rTWxNakprWVhSaFFYUjBjbWxpZFhSbGN5VXlNaVV6UVNVMVFpVTFSQ1V5UXlVeU1uQnliM0J6SlRJeUpUTkJKVGRDSlRJeWVtbHVaR1Y0SlRJeUpUTkJOamNsTjBRbE1rTWxNakpzYVc1clpYSlVlWEJsSlRJeUpUTkJKVEl5WW5KdmEyVnVKVEl5SlRKREpUSXliR2x1WlZOMGVXeGxKVEl5SlROQkpUZENKVEl5Y205MWJtUnBibWNsTWpJbE0wRTBKVEpESlRJeVltVm5hVzVCY25KdmQxTjBlV3hsSlRJeUpUTkJKVEl5Ym05dVpTVXlNaVV5UXlVeU1tVnVaRUZ5Y205M1UzUjViR1VsTWpJbE0wRWxNakp6YjJ4cFpFRnljbTkzSlRJeUpUSkRKVEl5YkdsdVpWZHBaSFJvSlRJeUpUTkJNU1UzUkNVeVF5VXlNbXhwYm1WVWVYQmxKVEl5SlROQkpUSXljMjlzYVdRbE1qSWxNa01sTWpKdVlXMWxKVEl5SlROQkpUSXliR2x1YTJWeUpUSXlKVEpESlRJeVpuSnZiU1V5TWlVelFTVTNRaVV5TW5nbE1qSWxNMEV4TXpnbE1rTWxNako1SlRJeUpUTkJNVFF5TlNVeVF5VXlNbUZ1WjJ4bEpUSXlKVE5CTXk0eE5ERTFPVEkyTlRNMU9EazNPVE0ySlRKREpUSXlhV1FsTWpJbE0wRWxNakpHY1ZGRFpHZEZiV1ZDT0RVM01EVXlKVEl5SlRkRUpUSkRKVEl5YVdRbE1qSWxNMEVsTWpKS1ExaHdTMUJuUjBoNE56a3pOamt4SlRJeUpUSkRKVEl5ZEdWNGRDVXlNaVV6UVNVeU1pVXlNaVV5UXlVeU1uUnZKVEl5SlROQkpUZENKVEl5ZUNVeU1pVXpRVEl4TmlVeVF5VXlNbmtsTWpJbE0wRXhOREkxSlRKREpUSXlZVzVuYkdVbE1qSWxNMEV3SlRKREpUSXlhV1FsTWpJbE0wRWxNakpzYkVGRVdFNUhjR050TkRJME1ETXhKVEl5SlRkRUpUSkRKVEl5WTJGMFpXZHZjbmtsTWpJbE0wRWxNakppWVhOcFl5VXlNaVV5UXlVeU1uUmxlSFJDYkc5amF5VXlNaVV6UVNVMVFpVTFSQ1UzUkNVeVF5VXlNbGhDYUdKMFJYbGxaRzh3TlRjMU9Ua2xNaklsTTBFbE4wSWxNakptYjI1MFUzUjViR1VsTWpJbE0wRWxOMElsTjBRbE1rTWxNakp3YjJsdWRITWxNaklsTTBFbE5VSWxOMElsTWpKNEpUSXlKVE5CTnpJMExqQTROemMyT0RVMU5EWTROelVsTWtNbE1qSjVKVEl5SlROQk9UYzFKVGRFSlRKREpUZENKVEl5ZUNVeU1pVXpRVGN5TkM0d09EYzNOamcxTlRRMk9EYzFKVEpESlRJeWVTVXlNaVV6UVRrM05TVTNSQ1UxUkNVeVF5VXlNbVJoZEdGQmRIUnlhV0oxZEdWekpUSXlKVE5CSlRWQ0pUVkVKVEpESlRJeWNISnZjSE1sTWpJbE0wRWxOMElsTWpKNmFXNWtaWGdsTWpJbE0wRTFOeVUzUkNVeVF5VXlNbXhwYm10bGNsUjVjR1VsTWpJbE0wRWxNakppY205clpXNGxNaklsTWtNbE1qSnNhVzVsVTNSNWJHVWxNaklsTTBFbE4wSWxNakp5YjNWdVpHbHVaeVV5TWlVelFUUWxNa01sTWpKaVpXZHBia0Z5Y205M1UzUjViR1VsTWpJbE0wRWxNakp1YjI1bEpUSXlKVEpESlRJeVpXNWtRWEp5YjNkVGRIbHNaU1V5TWlVelFTVXlNbk52Ykdsa1FYSnliM2NsTWpJbE1rTWxNakpzYVc1bFYybGtkR2dsTWpJbE0wRXhKVGRFSlRKREpUSXliR2x1WlZSNWNHVWxNaklsTTBFbE1qSnpiMnhwWkNVeU1pVXlReVV5TW01aGJXVWxNaklsTTBFbE1qSnNhVzVyWlhJbE1qSWxNa01sTWpKbWNtOXRKVEl5SlROQkpUZENKVEl5ZUNVeU1pVXpRVFkwT1M0NU16a3lNRGc1T0RRek56VWxNa01sTWpKNUpUSXlKVE5CT1RjMUpUSkRKVEl5WVc1bmJHVWxNaklsTTBFekxqRTBNVFU1TWpZMU16VTRPVGM1TXpZbE1rTWxNakpwWkNVeU1pVXpRU1V5TW5GcGRrSnhWSE5VZFZVM016ZzNNek1sTWpJbE4wUWxNa01sTWpKcFpDVXlNaVV6UVNVeU1saENhR0owUlhsbFpHOHdOVGMxT1RrbE1qSWxNa01sTWpKMFpYaDBKVEl5SlROQkpUSXlKVEl5SlRKREpUSXlkRzhsTWpJbE0wRWxOMElsTWpKNEpUSXlKVE5CTnprNExqSXpOak15T0RFeU5TVXlReVV5TW5rbE1qSWxNMEU1TnpVbE1rTWxNakpoYm1kc1pTVXlNaVV6UVRBbE1rTWxNakpwWkNVeU1pVXpRU1V5TWxwcWIyZGphV0pTZDNNd01UQXdNVGNsTWpJbE4wUWxNa01sTWpKallYUmxaMjl5ZVNVeU1pVXpRU1V5TW1KaGMybGpKVEl5SlRKREpUSXlkR1Y0ZEVKc2IyTnJKVEl5SlROQkpUVkNKVFZFSlRkRUpUSkRKVEl5ZFZoT2EwVjRVMU5PU3pVM05UQXpNQ1V5TWlVelFTVTNRaVV5TW1admJuUlRkSGxzWlNVeU1pVXpRU1UzUWlVM1JDVXlReVV5TW5CdmFXNTBjeVV5TWlVelFTVTFRaVUzUWlVeU1uZ2xNaklsTTBFME5UQXVOemt3TmpRNU5ERTBNRFl5TlNVeVF5VXlNbmtsTWpJbE0wRXhNVEkxSlRkRUpUSkRKVGRDSlRJeWVDVXlNaVV6UVRRMU1DNDNPVEEyTkRrME1UUXdOakkxSlRKREpUSXllU1V5TWlVelFURXhNalVsTjBRbE5VUWxNa01sTWpKa1lYUmhRWFIwY21saWRYUmxjeVV5TWlVelFTVTFRaVUxUkNVeVF5VXlNbkJ5YjNCekpUSXlKVE5CSlRkQ0pUSXllbWx1WkdWNEpUSXlKVE5CTlRrbE4wUWxNa01sTWpKc2FXNXJaWEpVZVhCbEpUSXlKVE5CSlRJeVluSnZhMlZ1SlRJeUpUSkRKVEl5YkdsdVpWTjBlV3hsSlRJeUpUTkJKVGRDSlRJeWNtOTFibVJwYm1jbE1qSWxNMEUwSlRKREpUSXlZbVZuYVc1QmNuSnZkMU4wZVd4bEpUSXlKVE5CSlRJeWJtOXVaU1V5TWlVeVF5VXlNbVZ1WkVGeWNtOTNVM1I1YkdVbE1qSWxNMEVsTWpKemIyeHBaRUZ5Y205M0pUSXlKVEpESlRJeWJHbHVaVmRwWkhSb0pUSXlKVE5CTVNVM1JDVXlReVV5TW14cGJtVlVlWEJsSlRJeUpUTkJKVEl5YzI5c2FXUWxNaklsTWtNbE1qSnVZVzFsSlRJeUpUTkJKVEl5YkdsdWEyVnlKVEl5SlRKREpUSXlabkp2YlNVeU1pVXpRU1UzUWlVeU1uZ2xNaklsTTBFek56WXVOalF5TURnNU9EUXpOelVsTWtNbE1qSjVKVEl5SlROQk1URXlOU1V5UXlVeU1tRnVaMnhsSlRJeUpUTkJNeTR4TkRFMU9USTJOVE0xT0RrM09UTWxNa01sTWpKcFpDVXlNaVV6UVNVeU1rSllRM1I1YzJ0SFVrazJNRGN5TURRbE1qSWxOMFFsTWtNbE1qSnBaQ1V5TWlVelFTVXlNblZZVG10RmVGTlRUa3MxTnpVd016QWxNaklsTWtNbE1qSjBaWGgwSlRJeUpUTkJKVEl5SlRJeUpUSkRKVEl5ZEc4bE1qSWxNMEVsTjBJbE1qSjRKVEl5SlROQk5USTBMamt6T1RJd09EazRORE0zTlNVeVF5VXlNbmtsTWpJbE0wRXhNVEkxSlRKREpUSXlZVzVuYkdVbE1qSWxNMEV3SlRKREpUSXlhV1FsTWpJbE0wRWxNakozVlVaTlUzQmxjV2h1TWpjNU1qZ3lKVEl5SlRkRUpUSkRKVEl5WTJGMFpXZHZjbmtsTWpJbE0wRWxNakppWVhOcFl5VXlNaVV5UXlVeU1uUmxlSFJDYkc5amF5VXlNaVV6UVNVMVFpVTFSQ1UzUkNVeVF5VXlNbUpzVDBaNlkxZEdTVk0zTVRjNU9ETWxNaklsTTBFbE4wSWxNakptYjI1MFUzUjViR1VsTWpJbE0wRWxOMElsTjBRbE1rTWxNakp3YjJsdWRITWxNaklsTTBFbE5VSWxOMElsTWpKNEpUSXlKVE5CTkRBeUxqWTBNakE0T1RnME16YzFKVEpESlRJeWVTVXlNaVV6UVRFMU56VWxOMFFsTWtNbE4wSWxNako0SlRJeUpUTkJOREF5TGpZME1qQTRPVGcwTXpjMUpUSkRKVEl5ZVNVeU1pVXpRVEUxTnpVbE4wUWxOVVFsTWtNbE1qSmtZWFJoUVhSMGNtbGlkWFJsY3lVeU1pVXpRU1UxUWlVMVJDVXlReVV5TW5CeWIzQnpKVEl5SlROQkpUZENKVEl5ZW1sdVpHVjRKVEl5SlROQk5qVWxOMFFsTWtNbE1qSnNhVzVyWlhKVWVYQmxKVEl5SlROQkpUSXlZbkp2YTJWdUpUSXlKVEpESlRJeWJHbHVaVk4wZVd4bEpUSXlKVE5CSlRkQ0pUSXljbTkxYm1ScGJtY2xNaklsTTBFMEpUSkRKVEl5WW1WbmFXNUJjbkp2ZDFOMGVXeGxKVEl5SlROQkpUSXlibTl1WlNVeU1pVXlReVV5TW1WdVpFRnljbTkzVTNSNWJHVWxNaklsTTBFbE1qSnpiMnhwWkVGeWNtOTNKVEl5SlRKREpUSXliR2x1WlZkcFpIUm9KVEl5SlROQk1TVTNSQ1V5UXlVeU1teHBibVZVZVhCbEpUSXlKVE5CSlRJeWMyOXNhV1FsTWpJbE1rTWxNakp1WVcxbEpUSXlKVE5CSlRJeWJHbHVhMlZ5SlRJeUpUSkRKVEl5Wm5KdmJTVXlNaVV6UVNVM1FpVXlNbmdsTWpJbE0wRXpOell1TmpReU1EZzVPRFF6TnpVbE1rTWxNako1SlRJeUpUTkJNVFUzTlNVeVF5VXlNbUZ1WjJ4bEpUSXlKVE5CTXk0eE5ERTFPVEkyTlRNMU9EazNPVE1sTWtNbE1qSnBaQ1V5TWlVelFTVXlNbTUwZFZGeVkzVnhUVmcyT0RZME5ESWxNaklsTjBRbE1rTWxNakpwWkNVeU1pVXpRU1V5TW1Kc1QwWjZZMWRHU1ZNM01UYzVPRE1sTWpJbE1rTWxNakowWlhoMEpUSXlKVE5CSlRJeUpUSXlKVEpESlRJeWRHOGxNaklsTTBFbE4wSWxNako0SlRJeUpUTkJOREk0TGpZME1qQTRPVGcwTXpjMUpUSkRKVEl5ZVNVeU1pVXpRVEUxTnpVbE1rTWxNakpoYm1kc1pTVXlNaVV6UVRBbE1rTWxNakpwWkNVeU1pVXpRU1V5TWxSaGNrdHVjbVI2ZVhrMk56RTFOVGNsTWpJbE4wUWxNa01sTWpKallYUmxaMjl5ZVNVeU1pVXpRU1V5TW1KaGMybGpKVEl5SlRKREpUSXlkR1Y0ZEVKc2IyTnJKVEl5SlROQkpUVkNKVFZFSlRkRUpUSkRKVEl5VW5STFRWUmpiVVZNUWpRM056QTJNeVV5TWlVelFTVTNRaVV5TW1admJuUlRkSGxzWlNVeU1pVXpRU1UzUWlVM1JDVXlReVV5TW5CdmFXNTBjeVV5TWlVelFTVTFRaVUzUWlVeU1uZ2xNaklsTTBFeE56Y2xNa01sTWpKNUpUSXlKVE5CT1RjMUpUZEVKVEpESlRkQ0pUSXllQ1V5TWlVelFURTNOeVV5UXlVeU1ua2xNaklsTTBFNU56VWxOMFFsTlVRbE1rTWxNakprWVhSaFFYUjBjbWxpZFhSbGN5VXlNaVV6UVNVMVFpVTFSQ1V5UXlVeU1uQnliM0J6SlRJeUpUTkJKVGRDSlRJeWVtbHVaR1Y0SlRJeUpUTkJOVFVsTjBRbE1rTWxNakpzYVc1clpYSlVlWEJsSlRJeUpUTkJKVEl5WW5KdmEyVnVKVEl5SlRKREpUSXliR2x1WlZOMGVXeGxKVEl5SlROQkpUZENKVEl5Y205MWJtUnBibWNsTWpJbE0wRTBKVEpESlRJeVltVm5hVzVCY25KdmQxTjBlV3hsSlRJeUpUTkJKVEl5Ym05dVpTVXlNaVV5UXlVeU1tVnVaRUZ5Y205M1UzUjViR1VsTWpJbE0wRWxNakp6YjJ4cFpFRnljbTkzSlRJeUpUSkRKVEl5YkdsdVpWZHBaSFJvSlRJeUpUTkJNU1UzUkNVeVF5VXlNbXhwYm1WVWVYQmxKVEl5SlROQkpUSXljMjlzYVdRbE1qSWxNa01sTWpKdVlXMWxKVEl5SlROQkpUSXliR2x1YTJWeUpUSXlKVEpESlRJeVpuSnZiU1V5TWlVelFTVTNRaVV5TW5nbE1qSWxNMEV4TXpnbE1rTWxNako1SlRJeUpUTkJPVGMxSlRKREpUSXlZVzVuYkdVbE1qSWxNMEV6TGpFME1UVTVNalkxTXpVNE9UYzVNellsTWtNbE1qSnBaQ1V5TWlVelFTVXlNblZPVVd4UVIyaGpWbGMwTVRnM09UQWxNaklsTjBRbE1rTWxNakpwWkNVeU1pVXpRU1V5TWxKMFMwMVVZMjFGVEVJME56Y3dOak1sTWpJbE1rTWxNakowWlhoMEpUSXlKVE5CSlRJeUpUSXlKVEpESlRJeWRHOGxNaklsTTBFbE4wSWxNako0SlRJeUpUTkJNakUySlRKREpUSXllU1V5TWlVelFUazNOU1V5UXlVeU1tRnVaMnhsSlRJeUpUTkJNQ1V5UXlVeU1tbGtKVEl5SlROQkpUSXliRTFTV25wMWVGTkVlRE00T0RneE1TVXlNaVUzUkNVeVF5VXlNbU5oZEdWbmIzSjVKVEl5SlROQkpUSXlZbUZ6YVdNbE1qSWxNa01sTWpKMFpYaDBRbXh2WTJzbE1qSWxNMEVsTlVJbE5VUWxOMFFsTWtNbE1qSlhiSEpIZEU1d2JFNUJNREF6TWpJM0pUSXlKVE5CSlRkQ0pUSXlabTl1ZEZOMGVXeGxKVEl5SlROQkpUZENKVGRFSlRKREpUSXljRzlwYm5SekpUSXlKVE5CSlRWQ0pUZENKVEl5ZUNVeU1pVXpRVFExTUM0M09UQTJORGswTVRRd05qSTFKVEpESlRJeWVTVXlNaVV6UVRrM05TVTNSQ1V5UXlVM1FpVXlNbmdsTWpJbE0wRTBOVEF1Tnprd05qUTVOREUwTURZeU5TVXlReVV5TW5rbE1qSWxNMEU1TnpVbE4wUWxOVVFsTWtNbE1qSmtZWFJoUVhSMGNtbGlkWFJsY3lVeU1pVXpRU1UxUWlVMVJDVXlReVV5TW5CeWIzQnpKVEl5SlROQkpUZENKVEl5ZW1sdVpHVjRKVEl5SlROQk5UWWxOMFFsTWtNbE1qSnNhVzVyWlhKVWVYQmxKVEl5SlROQkpUSXlZbkp2YTJWdUpUSXlKVEpESlRJeWJHbHVaVk4wZVd4bEpUSXlKVE5CSlRkQ0pUSXljbTkxYm1ScGJtY2xNaklsTTBFMEpUSkRKVEl5WW1WbmFXNUJjbkp2ZDFOMGVXeGxKVEl5SlROQkpUSXlibTl1WlNVeU1pVXlReVV5TW1WdVpFRnljbTkzVTNSNWJHVWxNaklsTTBFbE1qSnpiMnhwWkVGeWNtOTNKVEl5SlRKREpUSXliR2x1WlZkcFpIUm9KVEl5SlROQk1TVTNSQ1V5UXlVeU1teHBibVZVZVhCbEpUSXlKVE5CSlRJeWMyOXNhV1FsTWpJbE1rTWxNakp1WVcxbEpUSXlKVE5CSlRJeWJHbHVhMlZ5SlRJeUpUSkRKVEl5Wm5KdmJTVXlNaVV6UVNVM1FpVXlNbmdsTWpJbE0wRXpOell1TmpReU1EZzVPRFF6TnpVbE1rTWxNako1SlRJeUpUTkJPVGMxSlRKREpUSXlZVzVuYkdVbE1qSWxNMEV6TGpFME1UVTVNalkxTXpVNE9UYzVNeVV5UXlVeU1tbGtKVEl5SlROQkpUSXliRTFTV25wMWVGTkVlRE00T0RneE1TVXlNaVUzUkNVeVF5VXlNbWxrSlRJeUpUTkJKVEl5VjJ4eVIzUk9jR3hPUVRBd016SXlOeVV5TWlVeVF5VXlNblJsZUhRbE1qSWxNMEVsTWpJbE1qSWxNa01sTWpKMGJ5VXlNaVV6UVNVM1FpVXlNbmdsTWpJbE0wRTFNalF1T1RNNU1qQTRPVGcwTXpjMUpUSkRKVEl5ZVNVeU1pVXpRVGszTlNVeVF5VXlNbUZ1WjJ4bEpUSXlKVE5CTUNVeVF5VXlNbWxrSlRJeUpUTkJKVEl5Y1dsMlFuRlVjMVIxVlRjek9EY3pNeVV5TWlVM1JDVXlReVV5TW1OaGRHVm5iM0o1SlRJeUpUTkJKVEl5WW1GemFXTWxNaklsTWtNbE1qSjBaWGgwUW14dlkyc2xNaklsTTBFbE5VSWxOVVFsTjBRbE1rTWxNakpXWjFSR1VVdFlZMGx5TXpZNU9EZzRKVEl5SlROQkpUZENKVEl5Wm05dWRGTjBlV3hsSlRJeUpUTkJKVGRDSlRkRUpUSkRKVEl5Y0c5cGJuUnpKVEl5SlROQkpUVkNKVGRDSlRJeWVDVXlNaVV6UVRjeU5DNHdPRGMzTmpnMU5UUTJPRGMxSlRKREpUSXllU1V5TWlVelFUSXlOU1UzUkNVeVF5VTNRaVV5TW5nbE1qSWxNMEUzTWpRdU1EZzNOelk0TlRVME5qZzNOU1V5UXlVeU1ua2xNaklsTTBFeU1qVWxOMFFsTlVRbE1rTWxNakprWVhSaFFYUjBjbWxpZFhSbGN5VXlNaVV6UVNVMVFpVTFSQ1V5UXlVeU1uQnliM0J6SlRJeUpUTkJKVGRDSlRJeWVtbHVaR1Y0SlRJeUpUTkJORElsTjBRbE1rTWxNakpzYVc1clpYSlVlWEJsSlRJeUpUTkJKVEl5WW5KdmEyVnVKVEl5SlRKREpUSXliR2x1WlZOMGVXeGxKVEl5SlROQkpUZENKVEl5Y205MWJtUnBibWNsTWpJbE0wRTBKVEpESlRJeVltVm5hVzVCY25KdmQxTjBlV3hsSlRJeUpUTkJKVEl5Ym05dVpTVXlNaVV5UXlVeU1tVnVaRUZ5Y205M1UzUjViR1VsTWpJbE0wRWxNakp6YjJ4cFpFRnljbTkzSlRJeUpUSkRKVEl5YkdsdVpWZHBaSFJvSlRJeUpUTkJNU1UzUkNVeVF5VXlNbXhwYm1WVWVYQmxKVEl5SlROQkpUSXljMjlzYVdRbE1qSWxNa01sTWpKdVlXMWxKVEl5SlROQkpUSXliR2x1YTJWeUpUSXlKVEpESlRJeVpuSnZiU1V5TWlVelFTVTNRaVV5TW5nbE1qSWxNMEUyTkRrdU9UTTVNakE0T1RnME16YzFKVEpESlRJeWVTVXlNaVV6UVRJeU5TVXlReVV5TW1GdVoyeGxKVEl5SlROQk15NHhOREUxT1RJMk5UTTFPRGszT1RNMkpUSkRKVEl5YVdRbE1qSWxNMEVsTWpKdmRVeFFVR2RsWm5wTU1qQTJNRE14SlRJeUpUZEVKVEpESlRJeWFXUWxNaklsTTBFbE1qSldaMVJHVVV0WVkwbHlNelk1T0RnNEpUSXlKVEpESlRJeWRHVjRkQ1V5TWlVelFTVXlNaVV5TWlVeVF5VXlNblJ2SlRJeUpUTkJKVGRDSlRJeWVDVXlNaVV6UVRjNU9DNHlNell6TWpneE1qVWxNa01sTWpKNUpUSXlKVE5CTWpJMUpUSkRKVEl5WVc1bmJHVWxNaklsTTBFd0pUSkRKVEl5YVdRbE1qSWxNMEVsTWpKSmNGTkZhM1pGUjNSU05qUXhNVGMzSlRJeUpUZEVKVEpESlRJeVkyRjBaV2R2Y25rbE1qSWxNMEVsTWpKaVlYTnBZeVV5TWlVeVF5VXlNblJsZUhSQ2JHOWpheVV5TWlVelFTVTFRaVUxUkNVM1JDVXlReVV5TW05NlpIZHdkRkpFVGtjd09ETTFOakFsTWpJbE0wRWxOMElsTWpKbWIyNTBVM1I1YkdVbE1qSWxNMEVsTjBJbE4wUWxNa01sTWpKd2IybHVkSE1sTWpJbE0wRWxOVUlsTjBJbE1qSjRKVEl5SlROQk56STBMakE0TnpjMk9EVTFORFk0TnpVbE1rTWxNako1SlRJeUpUTkJPREkxSlRkRUpUSkRKVGRDSlRJeWVDVXlNaVV6UVRjeU5DNHdPRGMzTmpnMU5UUTJPRGMxSlRKREpUSXllU1V5TWlVelFUZ3lOU1UzUkNVMVJDVXlReVV5TW1SaGRHRkJkSFJ5YVdKMWRHVnpKVEl5SlROQkpUVkNKVFZFSlRKREpUSXljSEp2Y0hNbE1qSWxNMEVsTjBJbE1qSjZhVzVrWlhnbE1qSWxNMEUxTkNVM1JDVXlReVV5TW14cGJtdGxjbFI1Y0dVbE1qSWxNMEVsTWpKaWNtOXJaVzRsTWpJbE1rTWxNakpzYVc1bFUzUjViR1VsTWpJbE0wRWxOMElsTWpKeWIzVnVaR2x1WnlVeU1pVXpRVFFsTWtNbE1qSmlaV2RwYmtGeWNtOTNVM1I1YkdVbE1qSWxNMEVsTWpKdWIyNWxKVEl5SlRKREpUSXlaVzVrUVhKeWIzZFRkSGxzWlNVeU1pVXpRU1V5TW5OdmJHbGtRWEp5YjNjbE1qSWxNa01sTWpKc2FXNWxWMmxrZEdnbE1qSWxNMEV4SlRkRUpUSkRKVEl5YkdsdVpWUjVjR1VsTWpJbE0wRWxNakp6YjJ4cFpDVXlNaVV5UXlVeU1tNWhiV1VsTWpJbE0wRWxNakpzYVc1clpYSWxNaklsTWtNbE1qSm1jbTl0SlRJeUpUTkJKVGRDSlRJeWVDVXlNaVV6UVRZME9TNDVNemt5TURnNU9EUXpOelVsTWtNbE1qSjVKVEl5SlROQk9ESTFKVEpESlRJeVlXNW5iR1VsTWpJbE0wRXpMakUwTVRVNU1qWTFNelU0T1RjNU16WWxNa01sTWpKcFpDVXlNaVV6UVNVeU1uaDVlSE5OV0ZocFZVbzFORE00TlRJbE1qSWxOMFFsTWtNbE1qSnBaQ1V5TWlVelFTVXlNbTk2Wkhkd2RGSkVUa2N3T0RNMU5qQWxNaklsTWtNbE1qSjBaWGgwSlRJeUpUTkJKVEl5SlRJeUpUSkRKVEl5ZEc4bE1qSWxNMEVsTjBJbE1qSjRKVEl5SlROQk56azRMakl6TmpNeU9ERXlOU1V5UXlVeU1ua2xNaklsTTBFNE1qVWxNa01sTWpKaGJtZHNaU1V5TWlVelFUQWxNa01sTWpKcFpDVXlNaVV6UVNVeU1sUkJVMUJRUzJsb2JWQXdPVFF5TlRNbE1qSWxOMFFsTWtNbE1qSmpZWFJsWjI5eWVTVXlNaVV6UVNVeU1tSmhjMmxqSlRJeUpUSkRKVEl5ZEdWNGRFSnNiMk5ySlRJeUpUTkJKVFZDSlRWRUpUZEVKVEpESlRJeWVFcE9Sa05GV0d0YWVEZ3pNelU1TnlVeU1pVXpRU1UzUWlVeU1tWnZiblJUZEhsc1pTVXlNaVV6UVNVM1FpVTNSQ1V5UXlVeU1uQnZhVzUwY3lVeU1pVXpRU1UxUWlVM1FpVXlNbmdsTWpJbE0wRXhPRE11TlNVeVF5VXlNbmtsTWpJbE0wRTRNalVsTjBRbE1rTWxOMElsTWpKNEpUSXlKVE5CTVRnekxqVWxNa01sTWpKNUpUSXlKVE5CT0RJMUpUZEVKVFZFSlRKREpUSXlaR0YwWVVGMGRISnBZblYwWlhNbE1qSWxNMEVsTlVJbE5VUWxNa01sTWpKd2NtOXdjeVV5TWlVelFTVTNRaVV5TW5wcGJtUmxlQ1V5TWlVelFUVXlKVGRFSlRKREpUSXliR2x1YTJWeVZIbHdaU1V5TWlVelFTVXlNbUp5YjJ0bGJpVXlNaVV5UXlVeU1teHBibVZUZEhsc1pTVXlNaVV6UVNVM1FpVXlNbkp2ZFc1a2FXNW5KVEl5SlROQk5DVXlReVV5TW1KbFoybHVRWEp5YjNkVGRIbHNaU1V5TWlVelFTVXlNbTV2Ym1VbE1qSWxNa01sTWpKbGJtUkJjbkp2ZDFOMGVXeGxKVEl5SlROQkpUSXljMjlzYVdSQmNuSnZkeVV5TWlVeVF5VXlNbXhwYm1WWGFXUjBhQ1V5TWlVelFURWxOMFFsTWtNbE1qSnNhVzVsVkhsd1pTVXlNaVV6UVNVeU1uTnZiR2xrSlRJeUpUSkRKVEl5Ym1GdFpTVXlNaVV6UVNVeU1teHBibXRsY2lVeU1pVXlReVV5TW1aeWIyMGxNaklsTTBFbE4wSWxNako0SlRJeUpUTkJNVFV4SlRKREpUSXllU1V5TWlVelFUZ3lOU1V5UXlVeU1tRnVaMnhsSlRJeUpUTkJNeTR4TkRFMU9USTJOVE0xT0RrM09UTTJKVEpESlRJeWFXUWxNaklsTTBFbE1qSkZibkZTY25kMlYwbGpOakUwTnpFMkpUSXlKVGRFSlRKREpUSXlhV1FsTWpJbE0wRWxNako0U2s1R1EwVllhMXA0T0RNek5UazNKVEl5SlRKREpUSXlkR1Y0ZENVeU1pVXpRU1V5TWlVeU1pVXlReVV5TW5SdkpUSXlKVE5CSlRkQ0pUSXllQ1V5TWlVelFUSXhOaVV5UXlVeU1ua2xNaklsTTBFNE1qVWxNa01sTWpKaGJtZHNaU1V5TWlVelFUQWxNa01sTWpKcFpDVXlNaVV6UVNVeU1tcFBTbVpUUjAxdWJFa3dNekkwTlRBbE1qSWxOMFFsTWtNbE1qSmpZWFJsWjI5eWVTVXlNaVV6UVNVeU1tSmhjMmxqSlRJeUpUSkRKVEl5ZEdWNGRFSnNiMk5ySlRJeUpUTkJKVFZDSlRWRUpUZEVKVEpESlRJeVVXaHZkVXhHVVhkS1Z6VXdNREE0TnlVeU1pVXpRU1UzUWlVeU1tWnZiblJUZEhsc1pTVXlNaVV6UVNVM1FpVTNSQ1V5UXlVeU1uQnZhVzUwY3lVeU1pVXpRU1UxUWlVM1FpVXlNbmdsTWpJbE0wRTNNekF1TlRnM056WTROVFUwTmpnM05TVXlReVV5TW5rbE1qSWxNMEV6TnpVbE4wUWxNa01sTjBJbE1qSjRKVEl5SlROQk56TXdMalU0TnpjMk9EVTFORFk0TnpVbE1rTWxNako1SlRJeUpUTkJNemMxSlRkRUpUVkVKVEpESlRJeVpHRjBZVUYwZEhKcFluVjBaWE1sTWpJbE0wRWxOVUlsTlVRbE1rTWxNakp3Y205d2N5VXlNaVV6UVNVM1FpVXlNbnBwYm1SbGVDVXlNaVV6UVRRMUpUZEVKVEpESlRJeWJHbHVhMlZ5Vkhsd1pTVXlNaVV6UVNVeU1tSnliMnRsYmlVeU1pVXlReVV5TW14cGJtVlRkSGxzWlNVeU1pVXpRU1UzUWlVeU1uSnZkVzVrYVc1bkpUSXlKVE5CTkNVeVF5VXlNbUpsWjJsdVFYSnliM2RUZEhsc1pTVXlNaVV6UVNVeU1tNXZibVVsTWpJbE1rTWxNakpsYm1SQmNuSnZkMU4wZVd4bEpUSXlKVE5CSlRJeWMyOXNhV1JCY25KdmR5VXlNaVV5UXlVeU1teHBibVZYYVdSMGFDVXlNaVV6UVRFbE4wUWxNa01sTWpKc2FXNWxWSGx3WlNVeU1pVXpRU1V5TW5OdmJHbGtKVEl5SlRKREpUSXlibUZ0WlNVeU1pVXpRU1V5TW14cGJtdGxjaVV5TWlVeVF5VXlNbVp5YjIwbE1qSWxNMEVsTjBJbE1qSjRKVEl5SlROQk5qWXlMamt6T1RJd09EazRORE0zTlNVeVF5VXlNbmtsTWpJbE0wRXpOelVsTWtNbE1qSmhibWRzWlNVeU1pVXpRVE11TVRReE5Ua3lOalV6TlRnNU56a3pOaVV5UXlVeU1tbGtKVEl5SlROQkpUSXlVMEphUjBGTmJuUkxXRGN6TURNeU1DVXlNaVUzUkNVeVF5VXlNbWxrSlRJeUpUTkJKVEl5VVdodmRVeEdVWGRLVnpVd01EQTROeVV5TWlVeVF5VXlNblJsZUhRbE1qSWxNMEVsTWpJbE1qSWxNa01sTWpKMGJ5VXlNaVV6UVNVM1FpVXlNbmdsTWpJbE0wRTNPVGd1TWpNMk16STRNVEkxSlRKREpUSXllU1V5TWlVelFUTTNOU1V5UXlVeU1tRnVaMnhsSlRJeUpUTkJNQ1V5UXlVeU1tbGtKVEl5SlROQkpUSXlSVTF0ZDNWU2VHcFVTREV4TWpFek15VXlNaVUzUkNVeVF5VXlNbU5oZEdWbmIzSjVKVEl5SlROQkpUSXlZbUZ6YVdNbE1qSWxNa01sTWpKMFpYaDBRbXh2WTJzbE1qSWxNMEVsTlVJbE5VUWxOMFFsTWtNbE1qSnplazVMVW1GdlRXUlhPREEyTkRNekpUSXlKVE5CSlRkQ0pUSXlabTl1ZEZOMGVXeGxKVEl5SlROQkpUZENKVGRFSlRKREpUSXljRzlwYm5SekpUSXlKVE5CSlRWQ0pUZENKVEl5ZUNVeU1pVXpRVEU0TXk0MUpUSkRKVEl5ZVNVeU1pVXpRVFkzTlNVM1JDVXlReVUzUWlVeU1uZ2xNaklsTTBFeE9ETXVOU1V5UXlVeU1ua2xNaklsTTBFMk56VWxOMFFsTlVRbE1rTWxNakprWVhSaFFYUjBjbWxpZFhSbGN5VXlNaVV6UVNVMVFpVTFSQ1V5UXlVeU1uQnliM0J6SlRJeUpUTkJKVGRDSlRJeWVtbHVaR1Y0SlRJeUpUTkJORGtsTjBRbE1rTWxNakpzYVc1clpYSlVlWEJsSlRJeUpUTkJKVEl5WW5KdmEyVnVKVEl5SlRKREpUSXliR2x1WlZOMGVXeGxKVEl5SlROQkpUZENKVEl5Y205MWJtUnBibWNsTWpJbE0wRTBKVEpESlRJeVltVm5hVzVCY25KdmQxTjBlV3hsSlRJeUpUTkJKVEl5Ym05dVpTVXlNaVV5UXlVeU1tVnVaRUZ5Y205M1UzUjViR1VsTWpJbE0wRWxNakp6YjJ4cFpFRnljbTkzSlRJeUpUSkRKVEl5YkdsdVpWZHBaSFJvSlRJeUpUTkJNU1UzUkNVeVF5VXlNbXhwYm1WVWVYQmxKVEl5SlROQkpUSXljMjlzYVdRbE1qSWxNa01sTWpKdVlXMWxKVEl5SlROQkpUSXliR2x1YTJWeUpUSXlKVEpESlRJeVpuSnZiU1V5TWlVelFTVTNRaVV5TW5nbE1qSWxNMEV4TlRFbE1rTWxNako1SlRJeUpUTkJOamMxSlRKREpUSXlZVzVuYkdVbE1qSWxNMEV6TGpFME1UVTVNalkxTXpVNE9UYzVNellsTWtNbE1qSnBaQ1V5TWlVelFTVXlNbEJHUzNoaFVXVjBSRUU0TkRFMk5EQWxNaklsTjBRbE1rTWxNakpwWkNVeU1pVXpRU1V5TW5ONlRrdFNZVzlOWkZjNE1EWTBNek1sTWpJbE1rTWxNakowWlhoMEpUSXlKVE5CSlRJeUpUSXlKVEpESlRJeWRHOGxNaklsTTBFbE4wSWxNako0SlRJeUpUTkJNakUySlRKREpUSXllU1V5TWlVelFUWTNOU1V5UXlVeU1tRnVaMnhsSlRJeUpUTkJNQ1V5UXlVeU1tbGtKVEl5SlROQkpUSXlXbVZ3YTFSeGRHdFZjamsxT1Rnd05pVXlNaVUzUkNVeVF5VXlNbU5oZEdWbmIzSjVKVEl5SlROQkpUSXlZbUZ6YVdNbE1qSWxNa01sTWpKMFpYaDBRbXh2WTJzbE1qSWxNMEVsTlVJbE5VUWxOMFFsTWtNbE1qSlFXbEY2VFdwS1kzRm9Nak0xTkRVMEpUSXlKVE5CSlRkQ0pUSXlabTl1ZEZOMGVXeGxKVEl5SlROQkpUZENKVGRFSlRKREpUSXljRzlwYm5SekpUSXlKVE5CSlRWQ0pUZENKVEl5ZUNVeU1pVXpRVGMzTWk0eU16WXpNamd4TWpVbE1rTWxNako1SlRJeUpUTkJNVFUzTlNVM1JDVXlReVUzUWlVeU1uZ2xNaklsTTBFM056SXVNak0yTXpJNE1USTFKVEpESlRJeWVTVXlNaVV6UVRFMU56VWxOMFFsTlVRbE1rTWxNakprWVhSaFFYUjBjbWxpZFhSbGN5VXlNaVV6UVNVMVFpVTFSQ1V5UXlVeU1uQnliM0J6SlRJeUpUTkJKVGRDSlRJeWVtbHVaR1Y0SlRJeUpUTkJOallsTjBRbE1rTWxNakpzYVc1clpYSlVlWEJsSlRJeUpUTkJKVEl5WW5KdmEyVnVKVEl5SlRKREpUSXliR2x1WlZOMGVXeGxKVEl5SlROQkpUZENKVEl5Y205MWJtUnBibWNsTWpJbE0wRTBKVEpESlRJeVltVm5hVzVCY25KdmQxTjBlV3hsSlRJeUpUTkJKVEl5Ym05dVpTVXlNaVV5UXlVeU1tVnVaRUZ5Y205M1UzUjViR1VsTWpJbE0wRWxNakp6YjJ4cFpFRnljbTkzSlRJeUpUSkRKVEl5YkdsdVpWZHBaSFJvSlRJeUpUTkJNU1UzUkNVeVF5VXlNbXhwYm1WVWVYQmxKVEl5SlROQkpUSXljMjlzYVdRbE1qSWxNa01sTWpKdVlXMWxKVEl5SlROQkpUSXliR2x1YTJWeUpUSXlKVEpESlRJeVpuSnZiU1V5TWlVelFTVTNRaVV5TW5nbE1qSWxNMEUzTkRZdU1qTTJNekk0TVRJMUpUSkRKVEl5ZVNVeU1pVXpRVEUxTnpVbE1rTWxNakpoYm1kc1pTVXlNaVV6UVRNdU1UUXhOVGt5TmpVek5UZzVOemt6SlRKREpUSXlhV1FsTWpJbE0wRWxNakpVWVhKTGJuSmtlbmw1TmpjeE5UVTNKVEl5SlRkRUpUSkRKVEl5YVdRbE1qSWxNMEVsTWpKUVdsRjZUV3BLWTNGb01qTTFORFUwSlRJeUpUSkRKVEl5ZEdWNGRDVXlNaVV6UVNVeU1pVXlNaVV5UXlVeU1uUnZKVEl5SlROQkpUZENKVEl5ZUNVeU1pVXpRVGM1T0M0eU16WXpNamd4TWpVbE1rTWxNako1SlRJeUpUTkJNVFUzTlNVeVF5VXlNbUZ1WjJ4bEpUSXlKVE5CTUNVeVF5VXlNbWxrSlRJeUpUTkJKVEl5VTNWRmVtZEdXVWhrWnpJek5ERXpOQ1V5TWlVM1JDVXlReVV5TW1OaGRHVm5iM0o1SlRJeUpUTkJKVEl5WW1GemFXTWxNaklsTWtNbE1qSjBaWGgwUW14dlkyc2xNaklsTTBFbE5VSWxOVVFsTjBRbE1rTWxNakpNZDI1MWQyUkNRbmhwTlRNeU5EVTJKVEl5SlROQkpUZENKVEl5Wm05dWRGTjBlV3hsSlRJeUpUTkJKVGRDSlRkRUpUSkRKVEl5Y0c5cGJuUnpKVEl5SlROQkpUVkNKVGRDSlRJeWVDVXlNaVV6UVRRME5DNHlPVEEyTkRrME1UUXdOakkxSlRKREpUSXllU1V5TWlVelFUTTNOU1UzUkNVeVF5VTNRaVV5TW5nbE1qSWxNMEUwTkRRdU1qa3dOalE1TkRFME1EWXlOU1V5UXlVeU1ua2xNaklsTTBFek56VWxOMFFsTlVRbE1rTWxNakprWVhSaFFYUjBjbWxpZFhSbGN5VXlNaVV6UVNVMVFpVTFSQ1V5UXlVeU1uQnliM0J6SlRJeUpUTkJKVGRDSlRJeWVtbHVaR1Y0SlRJeUpUTkJORFFsTjBRbE1rTWxNakpzYVc1clpYSlVlWEJsSlRJeUpUTkJKVEl5WW5KdmEyVnVKVEl5SlRKREpUSXliR2x1WlZOMGVXeGxKVEl5SlROQkpUZENKVEl5Y205MWJtUnBibWNsTWpJbE0wRTBKVEpESlRJeVltVm5hVzVCY25KdmQxTjBlV3hsSlRJeUpUTkJKVEl5Ym05dVpTVXlNaVV5UXlVeU1tVnVaRUZ5Y205M1UzUjViR1VsTWpJbE0wRWxNakp6YjJ4cFpFRnljbTkzSlRJeUpUSkRKVEl5YkdsdVpWZHBaSFJvSlRJeUpUTkJNU1UzUkNVeVF5VXlNbXhwYm1WVWVYQmxKVEl5SlROQkpUSXljMjlzYVdRbE1qSWxNa01sTWpKdVlXMWxKVEl5SlROQkpUSXliR2x1YTJWeUpUSXlKVEpESlRJeVpuSnZiU1V5TWlVelFTVTNRaVV5TW5nbE1qSWxNMEV6TnpZdU5qUXlNRGc1T0RRek56VWxNa01sTWpKNUpUSXlKVE5CTXpjMUpUSkRKVEl5WVc1bmJHVWxNaklsTTBFekxqRTBNVFU1TWpZMU16VTRPVGM1TXlVeVF5VXlNbWxrSlRJeUpUTkJKVEl5UzFSWmRHMTNVMjFDWnpRek5qRTNOeVV5TWlVM1JDVXlReVV5TW1sa0pUSXlKVE5CSlRJeVRIZHVkWGRrUWtKNGFUVXpNalExTmlVeU1pVXlReVV5TW5SbGVIUWxNaklsTTBFbE1qSWxNaklsTWtNbE1qSjBieVV5TWlVelFTVTNRaVV5TW5nbE1qSWxNMEUxTVRFdU9UTTVNakE0T1RnME16YzFKVEpESlRJeWVTVXlNaVV6UVRNM05TVXlReVV5TW1GdVoyeGxKVEl5SlROQk1DVXlReVV5TW1sa0pUSXlKVE5CSlRJeVUwSmFSMEZOYm5STFdEY3pNRE15TUNVeU1pVTNSQ1V5UXlVeU1tTmhkR1ZuYjNKNUpUSXlKVE5CSlRJeVltRnphV01sTWpJbE1rTWxNakowWlhoMFFteHZZMnNsTWpJbE0wRWxOVUlsTlVRbE4wUWxOMFFsTWtNbE1qSjJaWEp6YVc5dUpUSXlKVE5CSlRJeU1DVXlNaVV5UXlVeU1tVmthWFJ2Y2xabGNuTnBiMjRsTWpJbE0wRWxNakpXTVNVeU1pVXlReVV5TW1OdmJXMWxiblJ6SlRJeUpUTkJKVFZDSlRWRUpUSkRKVEl5Y0d4MVoybHVjeVV5TWlVelFTVTNRaVUzUkNVeVF5VXlNbUZwUTI5dWRHRnBibVZ5Y3lVeU1pVXpRU1UzUWlVM1JDVXlReVV5TW1sdWMyVnlkRkJoWjJWUGNIUnpKVEl5SlROQkpUZENKVGRFSlRKREpUSXljRzl6ZEZCaGVXMWxiblFsTWpJbE0wRWxOMElsTjBRbE1rTWxNakowYUdWdFpTVXlNaVV6UVNVM1FpVXlNbkJoWjJVbE1qSWxNMEVsTjBJbE1qSmlZV05yWjNKdmRXNWtRMjlzYjNJbE1qSWxNMEVsTWpKMGNtRnVjM0JoY21WdWRDVXlNaVUzUkNVM1JDVTNSQT09IiwKCSJGaWxlSWQiIDogImE0NmZkYzA2LTE0NDUtNDNjOS04YTYxLWVlZmUxZGI0YzA0NiIKfQo="/>
    </extobj>
  </extobj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317</Pages>
  <Words>7448</Words>
  <Characters>9413</Characters>
  <Lines>1301</Lines>
  <Paragraphs>366</Paragraphs>
  <TotalTime>47</TotalTime>
  <ScaleCrop>false</ScaleCrop>
  <LinksUpToDate>false</LinksUpToDate>
  <CharactersWithSpaces>9833</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2021-11-24T01:35:00Z</dcterms:created>
  <dc:creator>wfj</dc:creator>
  <cp:lastModifiedBy>佳梦</cp:lastModifiedBy>
  <cp:lastPrinted>2022-01-06T01:24:00Z</cp:lastPrinted>
  <dcterms:modified xsi:type="dcterms:W3CDTF">2026-06-03T17:13:06Z</dcterms:modified>
  <dc:title>建设项目环境影响报告书</dc:title>
  <cp:revision>272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eyJoZGlkIjoiMzdjM2I0OWM5ZDkzYjMwNWZmNWJhN2JlNmYwZTEyOTUiLCJ1c2VySWQiOiIzNzE4ODQ5MTAifQ==</vt:lpwstr>
  </property>
  <property fmtid="{D5CDD505-2E9C-101B-9397-08002B2CF9AE}" pid="3" name="KSOProductBuildVer">
    <vt:lpwstr>2052-12.1.0.26375</vt:lpwstr>
  </property>
  <property fmtid="{D5CDD505-2E9C-101B-9397-08002B2CF9AE}" pid="4" name="ICV">
    <vt:lpwstr>509CD27893A14F55BBE24D34F353426E_13</vt:lpwstr>
  </property>
</Properties>
</file>